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3C66EB" w14:paraId="5EA1DA35" w14:textId="77777777">
        <w:trPr>
          <w:jc w:val="center"/>
        </w:trPr>
        <w:tc>
          <w:tcPr>
            <w:tcW w:w="50" w:type="pct"/>
            <w:shd w:val="clear" w:color="auto" w:fill="auto"/>
          </w:tcPr>
          <w:p w14:paraId="5EA1DA32" w14:textId="2713367F" w:rsidR="003C66EB" w:rsidRDefault="00D96C4E">
            <w:pPr>
              <w:rPr>
                <w:rFonts w:ascii="宋体"/>
              </w:rPr>
            </w:pPr>
            <w:r>
              <w:rPr>
                <w:rFonts w:ascii="宋体"/>
              </w:rPr>
              <w:t xml:space="preserve"> </w:t>
            </w:r>
          </w:p>
        </w:tc>
        <w:tc>
          <w:tcPr>
            <w:tcW w:w="4945" w:type="pct"/>
            <w:shd w:val="clear" w:color="auto" w:fill="auto"/>
          </w:tcPr>
          <w:p w14:paraId="5EA1DA33" w14:textId="77777777" w:rsidR="003C66EB" w:rsidRDefault="003C66EB">
            <w:pPr>
              <w:rPr>
                <w:rFonts w:ascii="宋体"/>
              </w:rPr>
            </w:pPr>
          </w:p>
        </w:tc>
        <w:tc>
          <w:tcPr>
            <w:tcW w:w="5" w:type="pct"/>
            <w:shd w:val="clear" w:color="auto" w:fill="auto"/>
          </w:tcPr>
          <w:p w14:paraId="5EA1DA34" w14:textId="77777777" w:rsidR="003C66EB" w:rsidRDefault="003C66EB">
            <w:pPr>
              <w:rPr>
                <w:rFonts w:ascii="宋体"/>
              </w:rPr>
            </w:pPr>
          </w:p>
        </w:tc>
      </w:tr>
      <w:tr w:rsidR="003C66EB" w14:paraId="5EA1DA37"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5EA1DA36" w14:textId="77777777" w:rsidR="003C66EB" w:rsidRDefault="003C66EB">
            <w:pPr>
              <w:rPr>
                <w:rFonts w:ascii="宋体"/>
              </w:rPr>
            </w:pPr>
          </w:p>
        </w:tc>
      </w:tr>
    </w:tbl>
    <w:p w14:paraId="5EA1DA38" w14:textId="77777777" w:rsidR="003C66EB" w:rsidRDefault="00D96C4E">
      <w:pPr>
        <w:spacing w:before="40"/>
        <w:ind w:firstLine="450"/>
        <w:jc w:val="center"/>
      </w:pPr>
      <w:r>
        <w:rPr>
          <w:rFonts w:ascii="Arial" w:eastAsia="宋体" w:hAnsi="Arial" w:cs="Arial"/>
          <w:b/>
          <w:bCs/>
          <w:color w:val="000000"/>
          <w:sz w:val="30"/>
          <w:szCs w:val="30"/>
        </w:rPr>
        <w:t>UNITED STATES</w:t>
      </w:r>
    </w:p>
    <w:p w14:paraId="5EA1DA39" w14:textId="77777777" w:rsidR="003C66EB" w:rsidRDefault="00D96C4E">
      <w:pPr>
        <w:ind w:firstLine="450"/>
        <w:jc w:val="center"/>
      </w:pPr>
      <w:r>
        <w:rPr>
          <w:rFonts w:ascii="Arial" w:eastAsia="宋体" w:hAnsi="Arial" w:cs="Arial"/>
          <w:b/>
          <w:bCs/>
          <w:color w:val="000000"/>
          <w:sz w:val="30"/>
          <w:szCs w:val="30"/>
        </w:rPr>
        <w:t>SECURITIES AND EXCHANGE COMMISSION</w:t>
      </w:r>
    </w:p>
    <w:p w14:paraId="5EA1DA3A" w14:textId="77777777" w:rsidR="003C66EB" w:rsidRDefault="00D96C4E">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5EA1DA3B" w14:textId="77777777" w:rsidR="003C66EB" w:rsidRDefault="00D96C4E">
      <w:pPr>
        <w:spacing w:before="100"/>
        <w:ind w:firstLine="450"/>
        <w:jc w:val="center"/>
      </w:pPr>
      <w:r>
        <w:rPr>
          <w:rFonts w:ascii="Arial" w:eastAsia="宋体" w:hAnsi="Arial" w:cs="Arial"/>
          <w:b/>
          <w:bCs/>
          <w:color w:val="000000"/>
          <w:sz w:val="30"/>
          <w:szCs w:val="3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3C66EB" w14:paraId="5EA1DA42" w14:textId="77777777">
        <w:trPr>
          <w:jc w:val="center"/>
        </w:trPr>
        <w:tc>
          <w:tcPr>
            <w:tcW w:w="50" w:type="pct"/>
            <w:shd w:val="clear" w:color="auto" w:fill="auto"/>
          </w:tcPr>
          <w:p w14:paraId="5EA1DA3C" w14:textId="77777777" w:rsidR="003C66EB" w:rsidRDefault="003C66EB">
            <w:pPr>
              <w:rPr>
                <w:rFonts w:ascii="宋体"/>
              </w:rPr>
            </w:pPr>
          </w:p>
        </w:tc>
        <w:tc>
          <w:tcPr>
            <w:tcW w:w="222" w:type="pct"/>
            <w:shd w:val="clear" w:color="auto" w:fill="auto"/>
          </w:tcPr>
          <w:p w14:paraId="5EA1DA3D" w14:textId="77777777" w:rsidR="003C66EB" w:rsidRDefault="003C66EB">
            <w:pPr>
              <w:rPr>
                <w:rFonts w:ascii="宋体"/>
              </w:rPr>
            </w:pPr>
          </w:p>
        </w:tc>
        <w:tc>
          <w:tcPr>
            <w:tcW w:w="5" w:type="pct"/>
            <w:shd w:val="clear" w:color="auto" w:fill="auto"/>
          </w:tcPr>
          <w:p w14:paraId="5EA1DA3E" w14:textId="77777777" w:rsidR="003C66EB" w:rsidRDefault="003C66EB">
            <w:pPr>
              <w:rPr>
                <w:rFonts w:ascii="宋体"/>
              </w:rPr>
            </w:pPr>
          </w:p>
        </w:tc>
        <w:tc>
          <w:tcPr>
            <w:tcW w:w="50" w:type="pct"/>
            <w:shd w:val="clear" w:color="auto" w:fill="auto"/>
          </w:tcPr>
          <w:p w14:paraId="5EA1DA3F" w14:textId="77777777" w:rsidR="003C66EB" w:rsidRDefault="003C66EB">
            <w:pPr>
              <w:rPr>
                <w:rFonts w:ascii="宋体"/>
              </w:rPr>
            </w:pPr>
          </w:p>
        </w:tc>
        <w:tc>
          <w:tcPr>
            <w:tcW w:w="4667" w:type="pct"/>
            <w:shd w:val="clear" w:color="auto" w:fill="auto"/>
          </w:tcPr>
          <w:p w14:paraId="5EA1DA40" w14:textId="77777777" w:rsidR="003C66EB" w:rsidRDefault="003C66EB">
            <w:pPr>
              <w:rPr>
                <w:rFonts w:ascii="宋体"/>
              </w:rPr>
            </w:pPr>
          </w:p>
        </w:tc>
        <w:tc>
          <w:tcPr>
            <w:tcW w:w="5" w:type="pct"/>
            <w:shd w:val="clear" w:color="auto" w:fill="auto"/>
          </w:tcPr>
          <w:p w14:paraId="5EA1DA41" w14:textId="77777777" w:rsidR="003C66EB" w:rsidRDefault="003C66EB">
            <w:pPr>
              <w:rPr>
                <w:rFonts w:ascii="宋体"/>
              </w:rPr>
            </w:pPr>
          </w:p>
        </w:tc>
      </w:tr>
      <w:tr w:rsidR="003C66EB" w14:paraId="5EA1DA45" w14:textId="77777777">
        <w:trPr>
          <w:jc w:val="center"/>
        </w:trPr>
        <w:tc>
          <w:tcPr>
            <w:tcW w:w="0" w:type="auto"/>
            <w:gridSpan w:val="3"/>
            <w:shd w:val="clear" w:color="auto" w:fill="auto"/>
            <w:tcMar>
              <w:top w:w="40" w:type="dxa"/>
              <w:left w:w="20" w:type="dxa"/>
              <w:bottom w:w="40" w:type="dxa"/>
              <w:right w:w="20" w:type="dxa"/>
            </w:tcMar>
          </w:tcPr>
          <w:p w14:paraId="5EA1DA43" w14:textId="77777777" w:rsidR="003C66EB" w:rsidRDefault="00D96C4E">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5EA1DA44" w14:textId="77777777" w:rsidR="003C66EB" w:rsidRDefault="00D96C4E">
            <w:pPr>
              <w:textAlignment w:val="top"/>
            </w:pPr>
            <w:r>
              <w:rPr>
                <w:rFonts w:ascii="Arial" w:eastAsia="宋体" w:hAnsi="Arial" w:cs="Arial"/>
                <w:b/>
                <w:bCs/>
                <w:color w:val="000000"/>
                <w:sz w:val="20"/>
                <w:szCs w:val="20"/>
              </w:rPr>
              <w:t>QUARTERLY REPORT PURSUANT TO SECTION 13 OR 15(d) OF THE SECURITIES EXCHANGE ACT OF 1934</w:t>
            </w:r>
          </w:p>
        </w:tc>
      </w:tr>
    </w:tbl>
    <w:p w14:paraId="5EA1DA46" w14:textId="77777777" w:rsidR="003C66EB" w:rsidRDefault="00D96C4E">
      <w:pPr>
        <w:ind w:firstLine="450"/>
        <w:jc w:val="center"/>
      </w:pPr>
      <w:r>
        <w:rPr>
          <w:rFonts w:ascii="Arial" w:eastAsia="宋体" w:hAnsi="Arial" w:cs="Arial"/>
          <w:b/>
          <w:bCs/>
          <w:color w:val="000000"/>
          <w:sz w:val="20"/>
          <w:szCs w:val="20"/>
        </w:rPr>
        <w:t xml:space="preserve">For the quarterly period ended March 31, 2021 </w:t>
      </w:r>
    </w:p>
    <w:p w14:paraId="5EA1DA47" w14:textId="77777777" w:rsidR="003C66EB" w:rsidRDefault="00D96C4E">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3C66EB" w14:paraId="5EA1DA4E" w14:textId="77777777">
        <w:trPr>
          <w:jc w:val="center"/>
        </w:trPr>
        <w:tc>
          <w:tcPr>
            <w:tcW w:w="50" w:type="pct"/>
            <w:shd w:val="clear" w:color="auto" w:fill="auto"/>
          </w:tcPr>
          <w:p w14:paraId="5EA1DA48" w14:textId="77777777" w:rsidR="003C66EB" w:rsidRDefault="003C66EB">
            <w:pPr>
              <w:rPr>
                <w:rFonts w:ascii="宋体"/>
              </w:rPr>
            </w:pPr>
          </w:p>
        </w:tc>
        <w:tc>
          <w:tcPr>
            <w:tcW w:w="222" w:type="pct"/>
            <w:shd w:val="clear" w:color="auto" w:fill="auto"/>
          </w:tcPr>
          <w:p w14:paraId="5EA1DA49" w14:textId="77777777" w:rsidR="003C66EB" w:rsidRDefault="003C66EB">
            <w:pPr>
              <w:rPr>
                <w:rFonts w:ascii="宋体"/>
              </w:rPr>
            </w:pPr>
          </w:p>
        </w:tc>
        <w:tc>
          <w:tcPr>
            <w:tcW w:w="5" w:type="pct"/>
            <w:shd w:val="clear" w:color="auto" w:fill="auto"/>
          </w:tcPr>
          <w:p w14:paraId="5EA1DA4A" w14:textId="77777777" w:rsidR="003C66EB" w:rsidRDefault="003C66EB">
            <w:pPr>
              <w:rPr>
                <w:rFonts w:ascii="宋体"/>
              </w:rPr>
            </w:pPr>
          </w:p>
        </w:tc>
        <w:tc>
          <w:tcPr>
            <w:tcW w:w="50" w:type="pct"/>
            <w:shd w:val="clear" w:color="auto" w:fill="auto"/>
          </w:tcPr>
          <w:p w14:paraId="5EA1DA4B" w14:textId="77777777" w:rsidR="003C66EB" w:rsidRDefault="003C66EB">
            <w:pPr>
              <w:rPr>
                <w:rFonts w:ascii="宋体"/>
              </w:rPr>
            </w:pPr>
          </w:p>
        </w:tc>
        <w:tc>
          <w:tcPr>
            <w:tcW w:w="4667" w:type="pct"/>
            <w:shd w:val="clear" w:color="auto" w:fill="auto"/>
          </w:tcPr>
          <w:p w14:paraId="5EA1DA4C" w14:textId="77777777" w:rsidR="003C66EB" w:rsidRDefault="003C66EB">
            <w:pPr>
              <w:rPr>
                <w:rFonts w:ascii="宋体"/>
              </w:rPr>
            </w:pPr>
          </w:p>
        </w:tc>
        <w:tc>
          <w:tcPr>
            <w:tcW w:w="5" w:type="pct"/>
            <w:shd w:val="clear" w:color="auto" w:fill="auto"/>
          </w:tcPr>
          <w:p w14:paraId="5EA1DA4D" w14:textId="77777777" w:rsidR="003C66EB" w:rsidRDefault="003C66EB">
            <w:pPr>
              <w:rPr>
                <w:rFonts w:ascii="宋体"/>
              </w:rPr>
            </w:pPr>
          </w:p>
        </w:tc>
      </w:tr>
      <w:tr w:rsidR="003C66EB" w14:paraId="5EA1DA51" w14:textId="77777777">
        <w:trPr>
          <w:jc w:val="center"/>
        </w:trPr>
        <w:tc>
          <w:tcPr>
            <w:tcW w:w="0" w:type="auto"/>
            <w:gridSpan w:val="3"/>
            <w:shd w:val="clear" w:color="auto" w:fill="auto"/>
            <w:tcMar>
              <w:top w:w="40" w:type="dxa"/>
              <w:left w:w="20" w:type="dxa"/>
              <w:bottom w:w="40" w:type="dxa"/>
              <w:right w:w="20" w:type="dxa"/>
            </w:tcMar>
          </w:tcPr>
          <w:p w14:paraId="5EA1DA4F" w14:textId="77777777" w:rsidR="003C66EB" w:rsidRDefault="00D96C4E">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5EA1DA50" w14:textId="77777777" w:rsidR="003C66EB" w:rsidRDefault="00D96C4E">
            <w:pPr>
              <w:textAlignment w:val="top"/>
            </w:pPr>
            <w:r>
              <w:rPr>
                <w:rFonts w:ascii="Arial" w:eastAsia="宋体" w:hAnsi="Arial" w:cs="Arial"/>
                <w:b/>
                <w:bCs/>
                <w:color w:val="000000"/>
                <w:sz w:val="20"/>
                <w:szCs w:val="20"/>
              </w:rPr>
              <w:t>TRANSITION REPORT PURSUANT TO SECTION 13 OR 15(d) OF THE SECURITIES EXCHANGE ACT OF 1934</w:t>
            </w:r>
          </w:p>
        </w:tc>
      </w:tr>
    </w:tbl>
    <w:p w14:paraId="5EA1DA52" w14:textId="77777777" w:rsidR="003C66EB" w:rsidRDefault="00D96C4E">
      <w:pPr>
        <w:ind w:firstLine="450"/>
        <w:jc w:val="center"/>
      </w:pPr>
      <w:r>
        <w:rPr>
          <w:rFonts w:ascii="Arial" w:eastAsia="宋体" w:hAnsi="Arial" w:cs="Arial"/>
          <w:b/>
          <w:bCs/>
          <w:color w:val="000000"/>
          <w:sz w:val="18"/>
          <w:szCs w:val="18"/>
        </w:rPr>
        <w:t>For the transition period from                      to                     </w:t>
      </w:r>
    </w:p>
    <w:p w14:paraId="5EA1DA53" w14:textId="77777777" w:rsidR="003C66EB" w:rsidRDefault="00D96C4E">
      <w:pPr>
        <w:spacing w:before="100"/>
        <w:ind w:firstLine="450"/>
        <w:jc w:val="center"/>
      </w:pPr>
      <w:r>
        <w:rPr>
          <w:rFonts w:ascii="Arial" w:eastAsia="宋体" w:hAnsi="Arial" w:cs="Arial"/>
          <w:b/>
          <w:bCs/>
          <w:color w:val="000000"/>
          <w:sz w:val="18"/>
          <w:szCs w:val="18"/>
        </w:rPr>
        <w:t xml:space="preserve">Commission File No. 001-07511 </w:t>
      </w:r>
    </w:p>
    <w:p w14:paraId="5EA1DA54" w14:textId="77777777" w:rsidR="003C66EB" w:rsidRDefault="00D96C4E">
      <w:pPr>
        <w:spacing w:before="100"/>
        <w:ind w:firstLine="450"/>
        <w:jc w:val="center"/>
      </w:pPr>
      <w:r>
        <w:rPr>
          <w:rFonts w:ascii="Arial" w:eastAsia="宋体" w:hAnsi="Arial" w:cs="Arial"/>
          <w:b/>
          <w:bCs/>
          <w:color w:val="000000"/>
          <w:sz w:val="36"/>
          <w:szCs w:val="36"/>
        </w:rPr>
        <w:t xml:space="preserve">STATE STREET CORPORATION </w:t>
      </w:r>
    </w:p>
    <w:p w14:paraId="5EA1DA55" w14:textId="77777777" w:rsidR="003C66EB" w:rsidRDefault="00D96C4E">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3C66EB" w14:paraId="5EA1DA71" w14:textId="77777777">
        <w:trPr>
          <w:jc w:val="center"/>
        </w:trPr>
        <w:tc>
          <w:tcPr>
            <w:tcW w:w="50" w:type="pct"/>
            <w:shd w:val="clear" w:color="auto" w:fill="auto"/>
          </w:tcPr>
          <w:p w14:paraId="5EA1DA56" w14:textId="77777777" w:rsidR="003C66EB" w:rsidRDefault="003C66EB">
            <w:pPr>
              <w:rPr>
                <w:rFonts w:ascii="宋体"/>
              </w:rPr>
            </w:pPr>
          </w:p>
        </w:tc>
        <w:tc>
          <w:tcPr>
            <w:tcW w:w="748" w:type="pct"/>
            <w:shd w:val="clear" w:color="auto" w:fill="auto"/>
          </w:tcPr>
          <w:p w14:paraId="5EA1DA57" w14:textId="77777777" w:rsidR="003C66EB" w:rsidRDefault="003C66EB">
            <w:pPr>
              <w:rPr>
                <w:rFonts w:ascii="宋体"/>
              </w:rPr>
            </w:pPr>
          </w:p>
        </w:tc>
        <w:tc>
          <w:tcPr>
            <w:tcW w:w="5" w:type="pct"/>
            <w:shd w:val="clear" w:color="auto" w:fill="auto"/>
          </w:tcPr>
          <w:p w14:paraId="5EA1DA58" w14:textId="77777777" w:rsidR="003C66EB" w:rsidRDefault="003C66EB">
            <w:pPr>
              <w:rPr>
                <w:rFonts w:ascii="宋体"/>
              </w:rPr>
            </w:pPr>
          </w:p>
        </w:tc>
        <w:tc>
          <w:tcPr>
            <w:tcW w:w="50" w:type="pct"/>
            <w:shd w:val="clear" w:color="auto" w:fill="auto"/>
          </w:tcPr>
          <w:p w14:paraId="5EA1DA59" w14:textId="77777777" w:rsidR="003C66EB" w:rsidRDefault="003C66EB">
            <w:pPr>
              <w:rPr>
                <w:rFonts w:ascii="宋体"/>
              </w:rPr>
            </w:pPr>
          </w:p>
        </w:tc>
        <w:tc>
          <w:tcPr>
            <w:tcW w:w="837" w:type="pct"/>
            <w:shd w:val="clear" w:color="auto" w:fill="auto"/>
          </w:tcPr>
          <w:p w14:paraId="5EA1DA5A" w14:textId="77777777" w:rsidR="003C66EB" w:rsidRDefault="003C66EB">
            <w:pPr>
              <w:rPr>
                <w:rFonts w:ascii="宋体"/>
              </w:rPr>
            </w:pPr>
          </w:p>
        </w:tc>
        <w:tc>
          <w:tcPr>
            <w:tcW w:w="5" w:type="pct"/>
            <w:shd w:val="clear" w:color="auto" w:fill="auto"/>
          </w:tcPr>
          <w:p w14:paraId="5EA1DA5B" w14:textId="77777777" w:rsidR="003C66EB" w:rsidRDefault="003C66EB">
            <w:pPr>
              <w:rPr>
                <w:rFonts w:ascii="宋体"/>
              </w:rPr>
            </w:pPr>
          </w:p>
        </w:tc>
        <w:tc>
          <w:tcPr>
            <w:tcW w:w="50" w:type="pct"/>
            <w:shd w:val="clear" w:color="auto" w:fill="auto"/>
          </w:tcPr>
          <w:p w14:paraId="5EA1DA5C" w14:textId="77777777" w:rsidR="003C66EB" w:rsidRDefault="003C66EB">
            <w:pPr>
              <w:rPr>
                <w:rFonts w:ascii="宋体"/>
              </w:rPr>
            </w:pPr>
          </w:p>
        </w:tc>
        <w:tc>
          <w:tcPr>
            <w:tcW w:w="741" w:type="pct"/>
            <w:shd w:val="clear" w:color="auto" w:fill="auto"/>
          </w:tcPr>
          <w:p w14:paraId="5EA1DA5D" w14:textId="77777777" w:rsidR="003C66EB" w:rsidRDefault="003C66EB">
            <w:pPr>
              <w:rPr>
                <w:rFonts w:ascii="宋体"/>
              </w:rPr>
            </w:pPr>
          </w:p>
        </w:tc>
        <w:tc>
          <w:tcPr>
            <w:tcW w:w="5" w:type="pct"/>
            <w:shd w:val="clear" w:color="auto" w:fill="auto"/>
          </w:tcPr>
          <w:p w14:paraId="5EA1DA5E" w14:textId="77777777" w:rsidR="003C66EB" w:rsidRDefault="003C66EB">
            <w:pPr>
              <w:rPr>
                <w:rFonts w:ascii="宋体"/>
              </w:rPr>
            </w:pPr>
          </w:p>
        </w:tc>
        <w:tc>
          <w:tcPr>
            <w:tcW w:w="50" w:type="pct"/>
            <w:shd w:val="clear" w:color="auto" w:fill="auto"/>
          </w:tcPr>
          <w:p w14:paraId="5EA1DA5F" w14:textId="77777777" w:rsidR="003C66EB" w:rsidRDefault="003C66EB">
            <w:pPr>
              <w:rPr>
                <w:rFonts w:ascii="宋体"/>
              </w:rPr>
            </w:pPr>
          </w:p>
        </w:tc>
        <w:tc>
          <w:tcPr>
            <w:tcW w:w="306" w:type="pct"/>
            <w:shd w:val="clear" w:color="auto" w:fill="auto"/>
          </w:tcPr>
          <w:p w14:paraId="5EA1DA60" w14:textId="77777777" w:rsidR="003C66EB" w:rsidRDefault="003C66EB">
            <w:pPr>
              <w:rPr>
                <w:rFonts w:ascii="宋体"/>
              </w:rPr>
            </w:pPr>
          </w:p>
        </w:tc>
        <w:tc>
          <w:tcPr>
            <w:tcW w:w="5" w:type="pct"/>
            <w:shd w:val="clear" w:color="auto" w:fill="auto"/>
          </w:tcPr>
          <w:p w14:paraId="5EA1DA61" w14:textId="77777777" w:rsidR="003C66EB" w:rsidRDefault="003C66EB">
            <w:pPr>
              <w:rPr>
                <w:rFonts w:ascii="宋体"/>
              </w:rPr>
            </w:pPr>
          </w:p>
        </w:tc>
        <w:tc>
          <w:tcPr>
            <w:tcW w:w="50" w:type="pct"/>
            <w:shd w:val="clear" w:color="auto" w:fill="auto"/>
          </w:tcPr>
          <w:p w14:paraId="5EA1DA62" w14:textId="77777777" w:rsidR="003C66EB" w:rsidRDefault="003C66EB">
            <w:pPr>
              <w:rPr>
                <w:rFonts w:ascii="宋体"/>
              </w:rPr>
            </w:pPr>
          </w:p>
        </w:tc>
        <w:tc>
          <w:tcPr>
            <w:tcW w:w="394" w:type="pct"/>
            <w:shd w:val="clear" w:color="auto" w:fill="auto"/>
          </w:tcPr>
          <w:p w14:paraId="5EA1DA63" w14:textId="77777777" w:rsidR="003C66EB" w:rsidRDefault="003C66EB">
            <w:pPr>
              <w:rPr>
                <w:rFonts w:ascii="宋体"/>
              </w:rPr>
            </w:pPr>
          </w:p>
        </w:tc>
        <w:tc>
          <w:tcPr>
            <w:tcW w:w="5" w:type="pct"/>
            <w:shd w:val="clear" w:color="auto" w:fill="auto"/>
          </w:tcPr>
          <w:p w14:paraId="5EA1DA64" w14:textId="77777777" w:rsidR="003C66EB" w:rsidRDefault="003C66EB">
            <w:pPr>
              <w:rPr>
                <w:rFonts w:ascii="宋体"/>
              </w:rPr>
            </w:pPr>
          </w:p>
        </w:tc>
        <w:tc>
          <w:tcPr>
            <w:tcW w:w="5" w:type="pct"/>
            <w:shd w:val="clear" w:color="auto" w:fill="auto"/>
          </w:tcPr>
          <w:p w14:paraId="5EA1DA65" w14:textId="77777777" w:rsidR="003C66EB" w:rsidRDefault="003C66EB">
            <w:pPr>
              <w:rPr>
                <w:rFonts w:ascii="宋体"/>
              </w:rPr>
            </w:pPr>
          </w:p>
        </w:tc>
        <w:tc>
          <w:tcPr>
            <w:tcW w:w="85" w:type="pct"/>
            <w:shd w:val="clear" w:color="auto" w:fill="auto"/>
          </w:tcPr>
          <w:p w14:paraId="5EA1DA66" w14:textId="77777777" w:rsidR="003C66EB" w:rsidRDefault="003C66EB">
            <w:pPr>
              <w:rPr>
                <w:rFonts w:ascii="宋体"/>
              </w:rPr>
            </w:pPr>
          </w:p>
        </w:tc>
        <w:tc>
          <w:tcPr>
            <w:tcW w:w="5" w:type="pct"/>
            <w:shd w:val="clear" w:color="auto" w:fill="auto"/>
          </w:tcPr>
          <w:p w14:paraId="5EA1DA67" w14:textId="77777777" w:rsidR="003C66EB" w:rsidRDefault="003C66EB">
            <w:pPr>
              <w:rPr>
                <w:rFonts w:ascii="宋体"/>
              </w:rPr>
            </w:pPr>
          </w:p>
        </w:tc>
        <w:tc>
          <w:tcPr>
            <w:tcW w:w="50" w:type="pct"/>
            <w:shd w:val="clear" w:color="auto" w:fill="auto"/>
          </w:tcPr>
          <w:p w14:paraId="5EA1DA68" w14:textId="77777777" w:rsidR="003C66EB" w:rsidRDefault="003C66EB">
            <w:pPr>
              <w:rPr>
                <w:rFonts w:ascii="宋体"/>
              </w:rPr>
            </w:pPr>
          </w:p>
        </w:tc>
        <w:tc>
          <w:tcPr>
            <w:tcW w:w="217" w:type="pct"/>
            <w:shd w:val="clear" w:color="auto" w:fill="auto"/>
          </w:tcPr>
          <w:p w14:paraId="5EA1DA69" w14:textId="77777777" w:rsidR="003C66EB" w:rsidRDefault="003C66EB">
            <w:pPr>
              <w:rPr>
                <w:rFonts w:ascii="宋体"/>
              </w:rPr>
            </w:pPr>
          </w:p>
        </w:tc>
        <w:tc>
          <w:tcPr>
            <w:tcW w:w="5" w:type="pct"/>
            <w:shd w:val="clear" w:color="auto" w:fill="auto"/>
          </w:tcPr>
          <w:p w14:paraId="5EA1DA6A" w14:textId="77777777" w:rsidR="003C66EB" w:rsidRDefault="003C66EB">
            <w:pPr>
              <w:rPr>
                <w:rFonts w:ascii="宋体"/>
              </w:rPr>
            </w:pPr>
          </w:p>
        </w:tc>
        <w:tc>
          <w:tcPr>
            <w:tcW w:w="50" w:type="pct"/>
            <w:shd w:val="clear" w:color="auto" w:fill="auto"/>
          </w:tcPr>
          <w:p w14:paraId="5EA1DA6B" w14:textId="77777777" w:rsidR="003C66EB" w:rsidRDefault="003C66EB">
            <w:pPr>
              <w:rPr>
                <w:rFonts w:ascii="宋体"/>
              </w:rPr>
            </w:pPr>
          </w:p>
        </w:tc>
        <w:tc>
          <w:tcPr>
            <w:tcW w:w="1124" w:type="pct"/>
            <w:shd w:val="clear" w:color="auto" w:fill="auto"/>
          </w:tcPr>
          <w:p w14:paraId="5EA1DA6C" w14:textId="77777777" w:rsidR="003C66EB" w:rsidRDefault="003C66EB">
            <w:pPr>
              <w:rPr>
                <w:rFonts w:ascii="宋体"/>
              </w:rPr>
            </w:pPr>
          </w:p>
        </w:tc>
        <w:tc>
          <w:tcPr>
            <w:tcW w:w="5" w:type="pct"/>
            <w:shd w:val="clear" w:color="auto" w:fill="auto"/>
          </w:tcPr>
          <w:p w14:paraId="5EA1DA6D" w14:textId="77777777" w:rsidR="003C66EB" w:rsidRDefault="003C66EB">
            <w:pPr>
              <w:rPr>
                <w:rFonts w:ascii="宋体"/>
              </w:rPr>
            </w:pPr>
          </w:p>
        </w:tc>
        <w:tc>
          <w:tcPr>
            <w:tcW w:w="5" w:type="pct"/>
            <w:shd w:val="clear" w:color="auto" w:fill="auto"/>
          </w:tcPr>
          <w:p w14:paraId="5EA1DA6E" w14:textId="77777777" w:rsidR="003C66EB" w:rsidRDefault="003C66EB">
            <w:pPr>
              <w:rPr>
                <w:rFonts w:ascii="宋体"/>
              </w:rPr>
            </w:pPr>
          </w:p>
        </w:tc>
        <w:tc>
          <w:tcPr>
            <w:tcW w:w="137" w:type="pct"/>
            <w:shd w:val="clear" w:color="auto" w:fill="auto"/>
          </w:tcPr>
          <w:p w14:paraId="5EA1DA6F" w14:textId="77777777" w:rsidR="003C66EB" w:rsidRDefault="003C66EB">
            <w:pPr>
              <w:rPr>
                <w:rFonts w:ascii="宋体"/>
              </w:rPr>
            </w:pPr>
          </w:p>
        </w:tc>
        <w:tc>
          <w:tcPr>
            <w:tcW w:w="5" w:type="pct"/>
            <w:shd w:val="clear" w:color="auto" w:fill="auto"/>
          </w:tcPr>
          <w:p w14:paraId="5EA1DA70" w14:textId="77777777" w:rsidR="003C66EB" w:rsidRDefault="003C66EB">
            <w:pPr>
              <w:rPr>
                <w:rFonts w:ascii="宋体"/>
              </w:rPr>
            </w:pPr>
          </w:p>
        </w:tc>
      </w:tr>
      <w:tr w:rsidR="003C66EB" w14:paraId="5EA1DA7A" w14:textId="77777777">
        <w:trPr>
          <w:jc w:val="center"/>
        </w:trPr>
        <w:tc>
          <w:tcPr>
            <w:tcW w:w="0" w:type="auto"/>
            <w:gridSpan w:val="6"/>
            <w:shd w:val="clear" w:color="auto" w:fill="auto"/>
            <w:tcMar>
              <w:top w:w="40" w:type="dxa"/>
              <w:left w:w="20" w:type="dxa"/>
              <w:bottom w:w="40" w:type="dxa"/>
              <w:right w:w="20" w:type="dxa"/>
            </w:tcMar>
            <w:vAlign w:val="bottom"/>
          </w:tcPr>
          <w:p w14:paraId="5EA1DA72" w14:textId="77777777" w:rsidR="003C66EB" w:rsidRDefault="00D96C4E">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tcPr>
          <w:p w14:paraId="5EA1DA7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78" w14:textId="77777777" w:rsidR="003C66EB" w:rsidRDefault="00D96C4E">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tcPr>
          <w:p w14:paraId="5EA1DA79" w14:textId="77777777" w:rsidR="003C66EB" w:rsidRDefault="003C66EB">
            <w:pPr>
              <w:rPr>
                <w:rFonts w:ascii="宋体"/>
              </w:rPr>
            </w:pPr>
          </w:p>
        </w:tc>
      </w:tr>
      <w:tr w:rsidR="003C66EB" w14:paraId="5EA1DA83" w14:textId="77777777">
        <w:trPr>
          <w:jc w:val="center"/>
        </w:trPr>
        <w:tc>
          <w:tcPr>
            <w:tcW w:w="0" w:type="auto"/>
            <w:gridSpan w:val="6"/>
            <w:shd w:val="clear" w:color="auto" w:fill="auto"/>
            <w:tcMar>
              <w:top w:w="40" w:type="dxa"/>
              <w:left w:w="20" w:type="dxa"/>
              <w:bottom w:w="40" w:type="dxa"/>
              <w:right w:w="20" w:type="dxa"/>
            </w:tcMar>
            <w:vAlign w:val="bottom"/>
          </w:tcPr>
          <w:p w14:paraId="5EA1DA7B" w14:textId="77777777" w:rsidR="003C66EB" w:rsidRDefault="00D96C4E">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tcPr>
          <w:p w14:paraId="5EA1DA7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7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81" w14:textId="77777777" w:rsidR="003C66EB" w:rsidRDefault="00D96C4E">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tcPr>
          <w:p w14:paraId="5EA1DA82" w14:textId="77777777" w:rsidR="003C66EB" w:rsidRDefault="003C66EB">
            <w:pPr>
              <w:rPr>
                <w:rFonts w:ascii="宋体"/>
              </w:rPr>
            </w:pPr>
          </w:p>
        </w:tc>
      </w:tr>
      <w:tr w:rsidR="003C66EB" w14:paraId="5EA1DA8C" w14:textId="77777777">
        <w:trPr>
          <w:jc w:val="center"/>
        </w:trPr>
        <w:tc>
          <w:tcPr>
            <w:tcW w:w="0" w:type="auto"/>
            <w:gridSpan w:val="6"/>
            <w:shd w:val="clear" w:color="auto" w:fill="auto"/>
            <w:tcMar>
              <w:top w:w="40" w:type="dxa"/>
              <w:left w:w="20" w:type="dxa"/>
              <w:bottom w:w="40" w:type="dxa"/>
              <w:right w:w="20" w:type="dxa"/>
            </w:tcMar>
            <w:vAlign w:val="bottom"/>
          </w:tcPr>
          <w:p w14:paraId="5EA1DA84" w14:textId="77777777" w:rsidR="003C66EB" w:rsidRDefault="00D96C4E">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tcPr>
          <w:p w14:paraId="5EA1DA8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8B" w14:textId="77777777" w:rsidR="003C66EB" w:rsidRDefault="003C66EB">
            <w:pPr>
              <w:rPr>
                <w:rFonts w:ascii="宋体"/>
              </w:rPr>
            </w:pPr>
          </w:p>
        </w:tc>
      </w:tr>
      <w:tr w:rsidR="003C66EB" w14:paraId="5EA1DA95" w14:textId="77777777">
        <w:trPr>
          <w:jc w:val="center"/>
        </w:trPr>
        <w:tc>
          <w:tcPr>
            <w:tcW w:w="0" w:type="auto"/>
            <w:gridSpan w:val="3"/>
            <w:shd w:val="clear" w:color="auto" w:fill="auto"/>
            <w:tcMar>
              <w:top w:w="40" w:type="dxa"/>
              <w:left w:w="20" w:type="dxa"/>
              <w:bottom w:w="40" w:type="dxa"/>
              <w:right w:w="20" w:type="dxa"/>
            </w:tcMar>
            <w:vAlign w:val="bottom"/>
          </w:tcPr>
          <w:p w14:paraId="5EA1DA8D" w14:textId="77777777" w:rsidR="003C66EB" w:rsidRDefault="00D96C4E">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5EA1DA8E" w14:textId="77777777" w:rsidR="003C66EB" w:rsidRDefault="00D96C4E">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tcPr>
          <w:p w14:paraId="5EA1DA8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2"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93" w14:textId="77777777" w:rsidR="003C66EB" w:rsidRDefault="00D96C4E">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tcPr>
          <w:p w14:paraId="5EA1DA94" w14:textId="77777777" w:rsidR="003C66EB" w:rsidRDefault="003C66EB">
            <w:pPr>
              <w:rPr>
                <w:rFonts w:ascii="宋体"/>
              </w:rPr>
            </w:pPr>
          </w:p>
        </w:tc>
      </w:tr>
      <w:tr w:rsidR="003C66EB" w14:paraId="5EA1DA9D" w14:textId="77777777">
        <w:trPr>
          <w:jc w:val="center"/>
        </w:trPr>
        <w:tc>
          <w:tcPr>
            <w:tcW w:w="0" w:type="auto"/>
            <w:gridSpan w:val="6"/>
            <w:shd w:val="clear" w:color="auto" w:fill="auto"/>
            <w:tcMar>
              <w:top w:w="40" w:type="dxa"/>
              <w:left w:w="20" w:type="dxa"/>
              <w:bottom w:w="40" w:type="dxa"/>
              <w:right w:w="20" w:type="dxa"/>
            </w:tcMar>
            <w:vAlign w:val="bottom"/>
          </w:tcPr>
          <w:p w14:paraId="5EA1DA96" w14:textId="77777777" w:rsidR="003C66EB" w:rsidRDefault="00D96C4E">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tcPr>
          <w:p w14:paraId="5EA1DA9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9B" w14:textId="77777777" w:rsidR="003C66EB" w:rsidRDefault="00D96C4E">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tcPr>
          <w:p w14:paraId="5EA1DA9C" w14:textId="77777777" w:rsidR="003C66EB" w:rsidRDefault="003C66EB">
            <w:pPr>
              <w:rPr>
                <w:rFonts w:ascii="宋体"/>
              </w:rPr>
            </w:pPr>
          </w:p>
        </w:tc>
      </w:tr>
      <w:tr w:rsidR="003C66EB" w14:paraId="5EA1DAA6" w14:textId="77777777">
        <w:trPr>
          <w:jc w:val="center"/>
        </w:trPr>
        <w:tc>
          <w:tcPr>
            <w:tcW w:w="0" w:type="auto"/>
            <w:gridSpan w:val="3"/>
            <w:shd w:val="clear" w:color="auto" w:fill="auto"/>
            <w:tcMar>
              <w:top w:w="0" w:type="dxa"/>
              <w:left w:w="20" w:type="dxa"/>
              <w:bottom w:w="0" w:type="dxa"/>
              <w:right w:w="20" w:type="dxa"/>
            </w:tcMar>
          </w:tcPr>
          <w:p w14:paraId="5EA1DA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9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A0" w14:textId="77777777" w:rsidR="003C66EB" w:rsidRDefault="00D96C4E">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5EA1DAA1" w14:textId="77777777" w:rsidR="003C66EB" w:rsidRDefault="00D96C4E">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tcPr>
          <w:p w14:paraId="5EA1DAA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5" w14:textId="77777777" w:rsidR="003C66EB" w:rsidRDefault="003C66EB">
            <w:pPr>
              <w:rPr>
                <w:rFonts w:ascii="宋体"/>
              </w:rPr>
            </w:pPr>
          </w:p>
        </w:tc>
      </w:tr>
      <w:tr w:rsidR="003C66EB" w14:paraId="5EA1DAAD" w14:textId="77777777">
        <w:trPr>
          <w:jc w:val="center"/>
        </w:trPr>
        <w:tc>
          <w:tcPr>
            <w:tcW w:w="0" w:type="auto"/>
            <w:gridSpan w:val="3"/>
            <w:shd w:val="clear" w:color="auto" w:fill="auto"/>
            <w:tcMar>
              <w:top w:w="0" w:type="dxa"/>
              <w:left w:w="20" w:type="dxa"/>
              <w:bottom w:w="0" w:type="dxa"/>
              <w:right w:w="20" w:type="dxa"/>
            </w:tcMar>
          </w:tcPr>
          <w:p w14:paraId="5EA1DAA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8" w14:textId="77777777" w:rsidR="003C66EB" w:rsidRDefault="003C66EB">
            <w:pPr>
              <w:rPr>
                <w:rFonts w:ascii="宋体"/>
              </w:rPr>
            </w:pPr>
          </w:p>
        </w:tc>
        <w:tc>
          <w:tcPr>
            <w:tcW w:w="0" w:type="auto"/>
            <w:gridSpan w:val="12"/>
            <w:shd w:val="clear" w:color="auto" w:fill="auto"/>
            <w:tcMar>
              <w:top w:w="40" w:type="dxa"/>
              <w:left w:w="20" w:type="dxa"/>
              <w:bottom w:w="40" w:type="dxa"/>
              <w:right w:w="20" w:type="dxa"/>
            </w:tcMar>
            <w:vAlign w:val="bottom"/>
          </w:tcPr>
          <w:p w14:paraId="5EA1DAA9" w14:textId="77777777" w:rsidR="003C66EB" w:rsidRDefault="00D96C4E">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tcPr>
          <w:p w14:paraId="5EA1DAA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C" w14:textId="77777777" w:rsidR="003C66EB" w:rsidRDefault="003C66EB">
            <w:pPr>
              <w:rPr>
                <w:rFonts w:ascii="宋体"/>
              </w:rPr>
            </w:pPr>
          </w:p>
        </w:tc>
      </w:tr>
      <w:tr w:rsidR="003C66EB" w14:paraId="5EA1DAB0" w14:textId="77777777">
        <w:trPr>
          <w:trHeight w:val="240"/>
          <w:jc w:val="center"/>
        </w:trPr>
        <w:tc>
          <w:tcPr>
            <w:tcW w:w="0" w:type="auto"/>
            <w:gridSpan w:val="24"/>
            <w:shd w:val="clear" w:color="auto" w:fill="auto"/>
            <w:tcMar>
              <w:top w:w="0" w:type="dxa"/>
              <w:left w:w="20" w:type="dxa"/>
              <w:bottom w:w="0" w:type="dxa"/>
              <w:right w:w="20" w:type="dxa"/>
            </w:tcMar>
          </w:tcPr>
          <w:p w14:paraId="5EA1DAA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AF" w14:textId="77777777" w:rsidR="003C66EB" w:rsidRDefault="003C66EB">
            <w:pPr>
              <w:rPr>
                <w:rFonts w:ascii="宋体"/>
              </w:rPr>
            </w:pPr>
          </w:p>
        </w:tc>
      </w:tr>
      <w:tr w:rsidR="003C66EB" w14:paraId="5EA1DAB3" w14:textId="77777777">
        <w:trPr>
          <w:jc w:val="center"/>
        </w:trPr>
        <w:tc>
          <w:tcPr>
            <w:tcW w:w="0" w:type="auto"/>
            <w:gridSpan w:val="24"/>
            <w:shd w:val="clear" w:color="auto" w:fill="auto"/>
            <w:tcMar>
              <w:top w:w="40" w:type="dxa"/>
              <w:left w:w="20" w:type="dxa"/>
              <w:bottom w:w="40" w:type="dxa"/>
              <w:right w:w="20" w:type="dxa"/>
            </w:tcMar>
            <w:vAlign w:val="bottom"/>
          </w:tcPr>
          <w:p w14:paraId="5EA1DAB1" w14:textId="77777777" w:rsidR="003C66EB" w:rsidRDefault="00D96C4E">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tcPr>
          <w:p w14:paraId="5EA1DAB2" w14:textId="77777777" w:rsidR="003C66EB" w:rsidRDefault="003C66EB">
            <w:pPr>
              <w:rPr>
                <w:rFonts w:ascii="宋体"/>
              </w:rPr>
            </w:pPr>
          </w:p>
        </w:tc>
      </w:tr>
      <w:tr w:rsidR="003C66EB" w14:paraId="5EA1DABB"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EA1DAB4" w14:textId="77777777" w:rsidR="003C66EB" w:rsidRDefault="00D96C4E">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tcPr>
          <w:p w14:paraId="5EA1DAB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B6" w14:textId="77777777" w:rsidR="003C66EB" w:rsidRDefault="00D96C4E">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tcPr>
          <w:p w14:paraId="5EA1DAB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B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AB9" w14:textId="77777777" w:rsidR="003C66EB" w:rsidRDefault="00D96C4E">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tcPr>
          <w:p w14:paraId="5EA1DABA" w14:textId="77777777" w:rsidR="003C66EB" w:rsidRDefault="003C66EB">
            <w:pPr>
              <w:rPr>
                <w:rFonts w:ascii="宋体"/>
              </w:rPr>
            </w:pPr>
          </w:p>
        </w:tc>
      </w:tr>
      <w:tr w:rsidR="003C66EB" w14:paraId="5EA1DAC3"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5EA1DABC" w14:textId="77777777" w:rsidR="003C66EB" w:rsidRDefault="00D96C4E">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tcPr>
          <w:p w14:paraId="5EA1DAB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DABE" w14:textId="77777777" w:rsidR="003C66EB" w:rsidRDefault="00D96C4E">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tcPr>
          <w:p w14:paraId="5EA1DAB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EA1DAC1" w14:textId="77777777" w:rsidR="003C66EB" w:rsidRDefault="00D96C4E">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tcPr>
          <w:p w14:paraId="5EA1DAC2" w14:textId="77777777" w:rsidR="003C66EB" w:rsidRDefault="003C66EB">
            <w:pPr>
              <w:rPr>
                <w:rFonts w:ascii="宋体"/>
              </w:rPr>
            </w:pPr>
          </w:p>
        </w:tc>
      </w:tr>
      <w:tr w:rsidR="003C66EB" w14:paraId="5EA1DACB" w14:textId="77777777">
        <w:trPr>
          <w:trHeight w:val="100"/>
          <w:jc w:val="center"/>
        </w:trPr>
        <w:tc>
          <w:tcPr>
            <w:tcW w:w="0" w:type="auto"/>
            <w:gridSpan w:val="9"/>
            <w:shd w:val="clear" w:color="auto" w:fill="auto"/>
            <w:tcMar>
              <w:top w:w="0" w:type="dxa"/>
              <w:left w:w="20" w:type="dxa"/>
              <w:bottom w:w="0" w:type="dxa"/>
              <w:right w:w="20" w:type="dxa"/>
            </w:tcMar>
          </w:tcPr>
          <w:p w14:paraId="5EA1DAC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CA" w14:textId="77777777" w:rsidR="003C66EB" w:rsidRDefault="003C66EB">
            <w:pPr>
              <w:rPr>
                <w:rFonts w:ascii="宋体"/>
              </w:rPr>
            </w:pPr>
          </w:p>
        </w:tc>
      </w:tr>
      <w:tr w:rsidR="003C66EB" w14:paraId="5EA1DAD3" w14:textId="77777777">
        <w:trPr>
          <w:trHeight w:val="180"/>
          <w:jc w:val="center"/>
        </w:trPr>
        <w:tc>
          <w:tcPr>
            <w:tcW w:w="0" w:type="auto"/>
            <w:gridSpan w:val="9"/>
            <w:shd w:val="clear" w:color="auto" w:fill="auto"/>
            <w:tcMar>
              <w:top w:w="40" w:type="dxa"/>
              <w:left w:w="20" w:type="dxa"/>
              <w:bottom w:w="40" w:type="dxa"/>
              <w:right w:w="20" w:type="dxa"/>
            </w:tcMar>
          </w:tcPr>
          <w:p w14:paraId="5EA1DACC" w14:textId="77777777" w:rsidR="003C66EB" w:rsidRDefault="00D96C4E">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tcPr>
          <w:p w14:paraId="5EA1DACD"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A1DACE" w14:textId="77777777" w:rsidR="003C66EB" w:rsidRDefault="00D96C4E">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tcPr>
          <w:p w14:paraId="5EA1DAC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0"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A1DAD1" w14:textId="77777777" w:rsidR="003C66EB" w:rsidRDefault="00D96C4E">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tcPr>
          <w:p w14:paraId="5EA1DAD2" w14:textId="77777777" w:rsidR="003C66EB" w:rsidRDefault="003C66EB">
            <w:pPr>
              <w:rPr>
                <w:rFonts w:ascii="宋体"/>
              </w:rPr>
            </w:pPr>
          </w:p>
        </w:tc>
      </w:tr>
      <w:tr w:rsidR="003C66EB" w14:paraId="5EA1DADB" w14:textId="77777777">
        <w:trPr>
          <w:trHeight w:val="300"/>
          <w:jc w:val="center"/>
        </w:trPr>
        <w:tc>
          <w:tcPr>
            <w:tcW w:w="0" w:type="auto"/>
            <w:gridSpan w:val="9"/>
            <w:shd w:val="clear" w:color="auto" w:fill="auto"/>
            <w:tcMar>
              <w:top w:w="40" w:type="dxa"/>
              <w:left w:w="20" w:type="dxa"/>
              <w:bottom w:w="40" w:type="dxa"/>
              <w:right w:w="20" w:type="dxa"/>
            </w:tcMar>
            <w:vAlign w:val="bottom"/>
          </w:tcPr>
          <w:p w14:paraId="5EA1DAD4" w14:textId="77777777" w:rsidR="003C66EB" w:rsidRDefault="00D96C4E">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tcPr>
          <w:p w14:paraId="5EA1DAD5"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center"/>
          </w:tcPr>
          <w:p w14:paraId="5EA1DA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8"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center"/>
          </w:tcPr>
          <w:p w14:paraId="5EA1DAD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A" w14:textId="77777777" w:rsidR="003C66EB" w:rsidRDefault="003C66EB">
            <w:pPr>
              <w:rPr>
                <w:rFonts w:ascii="宋体"/>
              </w:rPr>
            </w:pPr>
          </w:p>
        </w:tc>
      </w:tr>
      <w:tr w:rsidR="003C66EB" w14:paraId="5EA1DAE3" w14:textId="77777777">
        <w:trPr>
          <w:trHeight w:val="120"/>
          <w:jc w:val="center"/>
        </w:trPr>
        <w:tc>
          <w:tcPr>
            <w:tcW w:w="0" w:type="auto"/>
            <w:gridSpan w:val="9"/>
            <w:shd w:val="clear" w:color="auto" w:fill="auto"/>
            <w:tcMar>
              <w:top w:w="0" w:type="dxa"/>
              <w:left w:w="20" w:type="dxa"/>
              <w:bottom w:w="0" w:type="dxa"/>
              <w:right w:w="20" w:type="dxa"/>
            </w:tcMar>
          </w:tcPr>
          <w:p w14:paraId="5EA1DAD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D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E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E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E2" w14:textId="77777777" w:rsidR="003C66EB" w:rsidRDefault="003C66EB">
            <w:pPr>
              <w:rPr>
                <w:rFonts w:ascii="宋体"/>
              </w:rPr>
            </w:pPr>
          </w:p>
        </w:tc>
      </w:tr>
      <w:tr w:rsidR="003C66EB" w14:paraId="5EA1DAEB" w14:textId="77777777">
        <w:trPr>
          <w:trHeight w:val="180"/>
          <w:jc w:val="center"/>
        </w:trPr>
        <w:tc>
          <w:tcPr>
            <w:tcW w:w="0" w:type="auto"/>
            <w:gridSpan w:val="9"/>
            <w:shd w:val="clear" w:color="auto" w:fill="auto"/>
            <w:tcMar>
              <w:top w:w="40" w:type="dxa"/>
              <w:left w:w="20" w:type="dxa"/>
              <w:bottom w:w="40" w:type="dxa"/>
              <w:right w:w="20" w:type="dxa"/>
            </w:tcMar>
          </w:tcPr>
          <w:p w14:paraId="5EA1DAE4" w14:textId="77777777" w:rsidR="003C66EB" w:rsidRDefault="00D96C4E">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tcPr>
          <w:p w14:paraId="5EA1DAE5"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A1DAE6" w14:textId="77777777" w:rsidR="003C66EB" w:rsidRDefault="00D96C4E">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tcPr>
          <w:p w14:paraId="5EA1DAE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E8"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A1DAE9" w14:textId="77777777" w:rsidR="003C66EB" w:rsidRDefault="00D96C4E">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tcPr>
          <w:p w14:paraId="5EA1DAEA" w14:textId="77777777" w:rsidR="003C66EB" w:rsidRDefault="003C66EB">
            <w:pPr>
              <w:rPr>
                <w:rFonts w:ascii="宋体"/>
              </w:rPr>
            </w:pPr>
          </w:p>
        </w:tc>
      </w:tr>
      <w:tr w:rsidR="003C66EB" w14:paraId="5EA1DAF3" w14:textId="77777777">
        <w:trPr>
          <w:trHeight w:val="300"/>
          <w:jc w:val="center"/>
        </w:trPr>
        <w:tc>
          <w:tcPr>
            <w:tcW w:w="0" w:type="auto"/>
            <w:gridSpan w:val="9"/>
            <w:shd w:val="clear" w:color="auto" w:fill="auto"/>
            <w:tcMar>
              <w:top w:w="40" w:type="dxa"/>
              <w:left w:w="20" w:type="dxa"/>
              <w:bottom w:w="40" w:type="dxa"/>
              <w:right w:w="20" w:type="dxa"/>
            </w:tcMar>
            <w:vAlign w:val="bottom"/>
          </w:tcPr>
          <w:p w14:paraId="5EA1DAEC" w14:textId="77777777" w:rsidR="003C66EB" w:rsidRDefault="00D96C4E">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tcPr>
          <w:p w14:paraId="5EA1DAED"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center"/>
          </w:tcPr>
          <w:p w14:paraId="5EA1DAE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F0"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center"/>
          </w:tcPr>
          <w:p w14:paraId="5EA1DA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AF2" w14:textId="77777777" w:rsidR="003C66EB" w:rsidRDefault="003C66EB">
            <w:pPr>
              <w:rPr>
                <w:rFonts w:ascii="宋体"/>
              </w:rPr>
            </w:pPr>
          </w:p>
        </w:tc>
      </w:tr>
    </w:tbl>
    <w:p w14:paraId="5EA1DAF4" w14:textId="77777777" w:rsidR="003C66EB" w:rsidRDefault="003C66EB">
      <w:pPr>
        <w:ind w:firstLine="450"/>
        <w:jc w:val="center"/>
      </w:pPr>
    </w:p>
    <w:p w14:paraId="5EA1DAF5" w14:textId="77777777" w:rsidR="003C66EB" w:rsidRDefault="003C66EB">
      <w:pPr>
        <w:ind w:firstLine="450"/>
        <w:jc w:val="center"/>
      </w:pPr>
    </w:p>
    <w:p w14:paraId="5EA1DAF6" w14:textId="77777777" w:rsidR="003C66EB" w:rsidRDefault="00D96C4E">
      <w:pPr>
        <w:spacing w:before="50"/>
        <w:ind w:firstLine="450"/>
      </w:pPr>
      <w:r>
        <w:rPr>
          <w:rFonts w:ascii="Arial" w:eastAsia="宋体" w:hAnsi="Arial" w:cs="Arial"/>
          <w:color w:val="000000"/>
          <w:sz w:val="16"/>
          <w:szCs w:val="16"/>
        </w:rPr>
        <w:t xml:space="preserve">Indicate by check </w:t>
      </w:r>
      <w:r>
        <w:rPr>
          <w:rFonts w:ascii="Arial" w:eastAsia="宋体" w:hAnsi="Arial" w:cs="Arial"/>
          <w:color w:val="000000"/>
          <w:sz w:val="16"/>
          <w:szCs w:val="16"/>
        </w:rPr>
        <w:t>mark whether the registrant (1) has filed all reports required to be filed by Section 13 or 15(d) of the Securities Exchange Act of 1934 during the preceding 12 months (or for such shorter period that the registrant was required to file such reports) and (</w:t>
      </w:r>
      <w:r>
        <w:rPr>
          <w:rFonts w:ascii="Arial" w:eastAsia="宋体" w:hAnsi="Arial" w:cs="Arial"/>
          <w:color w:val="000000"/>
          <w:sz w:val="16"/>
          <w:szCs w:val="16"/>
        </w:rPr>
        <w:t>2) has been subject to such filing requirements for the past 90 days.  Yes  </w:t>
      </w:r>
      <w:r>
        <w:rPr>
          <w:rFonts w:ascii="Arial Unicode MS" w:eastAsia="Arial Unicode MS" w:hAnsi="Arial Unicode MS" w:cs="Arial Unicode MS"/>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5EA1DAF7" w14:textId="77777777" w:rsidR="003C66EB" w:rsidRDefault="00D96C4E">
      <w:pPr>
        <w:spacing w:before="50"/>
        <w:ind w:firstLine="450"/>
      </w:pPr>
      <w:r>
        <w:rPr>
          <w:rFonts w:ascii="Arial" w:eastAsia="宋体" w:hAnsi="Arial" w:cs="Arial"/>
          <w:color w:val="000000"/>
          <w:sz w:val="16"/>
          <w:szCs w:val="16"/>
        </w:rPr>
        <w:lastRenderedPageBreak/>
        <w:t>Indicate by check mark whether the registrant has submitted electronically every Interactive Data File required to be submitted pursuant to Rule 405 of Regulation S-T (§ 2</w:t>
      </w:r>
      <w:r>
        <w:rPr>
          <w:rFonts w:ascii="Arial" w:eastAsia="宋体" w:hAnsi="Arial" w:cs="Arial"/>
          <w:color w:val="000000"/>
          <w:sz w:val="16"/>
          <w:szCs w:val="16"/>
        </w:rPr>
        <w:t>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5EA1DAF8" w14:textId="77777777" w:rsidR="003C66EB" w:rsidRDefault="00D96C4E">
      <w:pPr>
        <w:spacing w:before="50"/>
        <w:ind w:firstLine="450"/>
      </w:pPr>
      <w:r>
        <w:rPr>
          <w:rFonts w:ascii="Arial" w:eastAsia="宋体" w:hAnsi="Arial" w:cs="Arial"/>
          <w:color w:val="000000"/>
          <w:sz w:val="16"/>
          <w:szCs w:val="16"/>
        </w:rPr>
        <w:t>Indicate by check mark whether the registrant is a large accelerated filer, an accelerated filer, a no</w:t>
      </w:r>
      <w:r>
        <w:rPr>
          <w:rFonts w:ascii="Arial" w:eastAsia="宋体" w:hAnsi="Arial" w:cs="Arial"/>
          <w:color w:val="000000"/>
          <w:sz w:val="16"/>
          <w:szCs w:val="16"/>
        </w:rPr>
        <w:t xml:space="preserve">n-accelerated filer, a smaller reporting company, or an emerging growth company. See the definitions of "large accelerated filer", "accelerated filer", "smaller reporting company", and "emerging growth company" in Rule 12b-2 of the Exchange Act. </w:t>
      </w:r>
    </w:p>
    <w:tbl>
      <w:tblPr>
        <w:tblW w:w="4563" w:type="pct"/>
        <w:tblCellMar>
          <w:top w:w="15" w:type="dxa"/>
          <w:left w:w="15" w:type="dxa"/>
          <w:bottom w:w="15" w:type="dxa"/>
          <w:right w:w="15" w:type="dxa"/>
        </w:tblCellMar>
        <w:tblLook w:val="04A0" w:firstRow="1" w:lastRow="0" w:firstColumn="1" w:lastColumn="0" w:noHBand="0" w:noVBand="1"/>
      </w:tblPr>
      <w:tblGrid>
        <w:gridCol w:w="49"/>
        <w:gridCol w:w="1373"/>
        <w:gridCol w:w="36"/>
        <w:gridCol w:w="37"/>
        <w:gridCol w:w="165"/>
        <w:gridCol w:w="36"/>
        <w:gridCol w:w="36"/>
        <w:gridCol w:w="63"/>
        <w:gridCol w:w="36"/>
        <w:gridCol w:w="51"/>
        <w:gridCol w:w="1151"/>
        <w:gridCol w:w="36"/>
        <w:gridCol w:w="37"/>
        <w:gridCol w:w="159"/>
        <w:gridCol w:w="36"/>
        <w:gridCol w:w="36"/>
        <w:gridCol w:w="87"/>
        <w:gridCol w:w="36"/>
        <w:gridCol w:w="57"/>
        <w:gridCol w:w="1437"/>
        <w:gridCol w:w="36"/>
        <w:gridCol w:w="49"/>
        <w:gridCol w:w="125"/>
        <w:gridCol w:w="36"/>
        <w:gridCol w:w="36"/>
        <w:gridCol w:w="73"/>
        <w:gridCol w:w="36"/>
        <w:gridCol w:w="95"/>
        <w:gridCol w:w="1893"/>
        <w:gridCol w:w="36"/>
        <w:gridCol w:w="37"/>
        <w:gridCol w:w="165"/>
        <w:gridCol w:w="36"/>
      </w:tblGrid>
      <w:tr w:rsidR="003C66EB" w14:paraId="5EA1DB1A" w14:textId="77777777">
        <w:tc>
          <w:tcPr>
            <w:tcW w:w="50" w:type="pct"/>
            <w:shd w:val="clear" w:color="auto" w:fill="auto"/>
          </w:tcPr>
          <w:p w14:paraId="5EA1DAF9" w14:textId="77777777" w:rsidR="003C66EB" w:rsidRDefault="003C66EB">
            <w:pPr>
              <w:rPr>
                <w:rFonts w:ascii="宋体"/>
              </w:rPr>
            </w:pPr>
          </w:p>
        </w:tc>
        <w:tc>
          <w:tcPr>
            <w:tcW w:w="972" w:type="pct"/>
            <w:shd w:val="clear" w:color="auto" w:fill="auto"/>
          </w:tcPr>
          <w:p w14:paraId="5EA1DAFA" w14:textId="77777777" w:rsidR="003C66EB" w:rsidRDefault="003C66EB">
            <w:pPr>
              <w:rPr>
                <w:rFonts w:ascii="宋体"/>
              </w:rPr>
            </w:pPr>
          </w:p>
        </w:tc>
        <w:tc>
          <w:tcPr>
            <w:tcW w:w="5" w:type="pct"/>
            <w:shd w:val="clear" w:color="auto" w:fill="auto"/>
          </w:tcPr>
          <w:p w14:paraId="5EA1DAFB" w14:textId="77777777" w:rsidR="003C66EB" w:rsidRDefault="003C66EB">
            <w:pPr>
              <w:rPr>
                <w:rFonts w:ascii="宋体"/>
              </w:rPr>
            </w:pPr>
          </w:p>
        </w:tc>
        <w:tc>
          <w:tcPr>
            <w:tcW w:w="5" w:type="pct"/>
            <w:shd w:val="clear" w:color="auto" w:fill="auto"/>
          </w:tcPr>
          <w:p w14:paraId="5EA1DAFC" w14:textId="77777777" w:rsidR="003C66EB" w:rsidRDefault="003C66EB">
            <w:pPr>
              <w:rPr>
                <w:rFonts w:ascii="宋体"/>
              </w:rPr>
            </w:pPr>
          </w:p>
        </w:tc>
        <w:tc>
          <w:tcPr>
            <w:tcW w:w="119" w:type="pct"/>
            <w:shd w:val="clear" w:color="auto" w:fill="auto"/>
          </w:tcPr>
          <w:p w14:paraId="5EA1DAFD" w14:textId="77777777" w:rsidR="003C66EB" w:rsidRDefault="003C66EB">
            <w:pPr>
              <w:rPr>
                <w:rFonts w:ascii="宋体"/>
              </w:rPr>
            </w:pPr>
          </w:p>
        </w:tc>
        <w:tc>
          <w:tcPr>
            <w:tcW w:w="5" w:type="pct"/>
            <w:shd w:val="clear" w:color="auto" w:fill="auto"/>
          </w:tcPr>
          <w:p w14:paraId="5EA1DAFE" w14:textId="77777777" w:rsidR="003C66EB" w:rsidRDefault="003C66EB">
            <w:pPr>
              <w:rPr>
                <w:rFonts w:ascii="宋体"/>
              </w:rPr>
            </w:pPr>
          </w:p>
        </w:tc>
        <w:tc>
          <w:tcPr>
            <w:tcW w:w="5" w:type="pct"/>
            <w:shd w:val="clear" w:color="auto" w:fill="auto"/>
          </w:tcPr>
          <w:p w14:paraId="5EA1DAFF" w14:textId="77777777" w:rsidR="003C66EB" w:rsidRDefault="003C66EB">
            <w:pPr>
              <w:rPr>
                <w:rFonts w:ascii="宋体"/>
              </w:rPr>
            </w:pPr>
          </w:p>
        </w:tc>
        <w:tc>
          <w:tcPr>
            <w:tcW w:w="119" w:type="pct"/>
            <w:shd w:val="clear" w:color="auto" w:fill="auto"/>
          </w:tcPr>
          <w:p w14:paraId="5EA1DB00" w14:textId="77777777" w:rsidR="003C66EB" w:rsidRDefault="003C66EB">
            <w:pPr>
              <w:rPr>
                <w:rFonts w:ascii="宋体"/>
              </w:rPr>
            </w:pPr>
          </w:p>
        </w:tc>
        <w:tc>
          <w:tcPr>
            <w:tcW w:w="5" w:type="pct"/>
            <w:shd w:val="clear" w:color="auto" w:fill="auto"/>
          </w:tcPr>
          <w:p w14:paraId="5EA1DB01" w14:textId="77777777" w:rsidR="003C66EB" w:rsidRDefault="003C66EB">
            <w:pPr>
              <w:rPr>
                <w:rFonts w:ascii="宋体"/>
              </w:rPr>
            </w:pPr>
          </w:p>
        </w:tc>
        <w:tc>
          <w:tcPr>
            <w:tcW w:w="50" w:type="pct"/>
            <w:shd w:val="clear" w:color="auto" w:fill="auto"/>
          </w:tcPr>
          <w:p w14:paraId="5EA1DB02" w14:textId="77777777" w:rsidR="003C66EB" w:rsidRDefault="003C66EB">
            <w:pPr>
              <w:rPr>
                <w:rFonts w:ascii="宋体"/>
              </w:rPr>
            </w:pPr>
          </w:p>
        </w:tc>
        <w:tc>
          <w:tcPr>
            <w:tcW w:w="827" w:type="pct"/>
            <w:shd w:val="clear" w:color="auto" w:fill="auto"/>
          </w:tcPr>
          <w:p w14:paraId="5EA1DB03" w14:textId="77777777" w:rsidR="003C66EB" w:rsidRDefault="003C66EB">
            <w:pPr>
              <w:rPr>
                <w:rFonts w:ascii="宋体"/>
              </w:rPr>
            </w:pPr>
          </w:p>
        </w:tc>
        <w:tc>
          <w:tcPr>
            <w:tcW w:w="5" w:type="pct"/>
            <w:shd w:val="clear" w:color="auto" w:fill="auto"/>
          </w:tcPr>
          <w:p w14:paraId="5EA1DB04" w14:textId="77777777" w:rsidR="003C66EB" w:rsidRDefault="003C66EB">
            <w:pPr>
              <w:rPr>
                <w:rFonts w:ascii="宋体"/>
              </w:rPr>
            </w:pPr>
          </w:p>
        </w:tc>
        <w:tc>
          <w:tcPr>
            <w:tcW w:w="5" w:type="pct"/>
            <w:shd w:val="clear" w:color="auto" w:fill="auto"/>
          </w:tcPr>
          <w:p w14:paraId="5EA1DB05" w14:textId="77777777" w:rsidR="003C66EB" w:rsidRDefault="003C66EB">
            <w:pPr>
              <w:rPr>
                <w:rFonts w:ascii="宋体"/>
              </w:rPr>
            </w:pPr>
          </w:p>
        </w:tc>
        <w:tc>
          <w:tcPr>
            <w:tcW w:w="81" w:type="pct"/>
            <w:shd w:val="clear" w:color="auto" w:fill="auto"/>
          </w:tcPr>
          <w:p w14:paraId="5EA1DB06" w14:textId="77777777" w:rsidR="003C66EB" w:rsidRDefault="003C66EB">
            <w:pPr>
              <w:rPr>
                <w:rFonts w:ascii="宋体"/>
              </w:rPr>
            </w:pPr>
          </w:p>
        </w:tc>
        <w:tc>
          <w:tcPr>
            <w:tcW w:w="5" w:type="pct"/>
            <w:shd w:val="clear" w:color="auto" w:fill="auto"/>
          </w:tcPr>
          <w:p w14:paraId="5EA1DB07" w14:textId="77777777" w:rsidR="003C66EB" w:rsidRDefault="003C66EB">
            <w:pPr>
              <w:rPr>
                <w:rFonts w:ascii="宋体"/>
              </w:rPr>
            </w:pPr>
          </w:p>
        </w:tc>
        <w:tc>
          <w:tcPr>
            <w:tcW w:w="5" w:type="pct"/>
            <w:shd w:val="clear" w:color="auto" w:fill="auto"/>
          </w:tcPr>
          <w:p w14:paraId="5EA1DB08" w14:textId="77777777" w:rsidR="003C66EB" w:rsidRDefault="003C66EB">
            <w:pPr>
              <w:rPr>
                <w:rFonts w:ascii="宋体"/>
              </w:rPr>
            </w:pPr>
          </w:p>
        </w:tc>
        <w:tc>
          <w:tcPr>
            <w:tcW w:w="104" w:type="pct"/>
            <w:shd w:val="clear" w:color="auto" w:fill="auto"/>
          </w:tcPr>
          <w:p w14:paraId="5EA1DB09" w14:textId="77777777" w:rsidR="003C66EB" w:rsidRDefault="003C66EB">
            <w:pPr>
              <w:rPr>
                <w:rFonts w:ascii="宋体"/>
              </w:rPr>
            </w:pPr>
          </w:p>
        </w:tc>
        <w:tc>
          <w:tcPr>
            <w:tcW w:w="5" w:type="pct"/>
            <w:shd w:val="clear" w:color="auto" w:fill="auto"/>
          </w:tcPr>
          <w:p w14:paraId="5EA1DB0A" w14:textId="77777777" w:rsidR="003C66EB" w:rsidRDefault="003C66EB">
            <w:pPr>
              <w:rPr>
                <w:rFonts w:ascii="宋体"/>
              </w:rPr>
            </w:pPr>
          </w:p>
        </w:tc>
        <w:tc>
          <w:tcPr>
            <w:tcW w:w="50" w:type="pct"/>
            <w:shd w:val="clear" w:color="auto" w:fill="auto"/>
          </w:tcPr>
          <w:p w14:paraId="5EA1DB0B" w14:textId="77777777" w:rsidR="003C66EB" w:rsidRDefault="003C66EB">
            <w:pPr>
              <w:rPr>
                <w:rFonts w:ascii="宋体"/>
              </w:rPr>
            </w:pPr>
          </w:p>
        </w:tc>
        <w:tc>
          <w:tcPr>
            <w:tcW w:w="1018" w:type="pct"/>
            <w:shd w:val="clear" w:color="auto" w:fill="auto"/>
          </w:tcPr>
          <w:p w14:paraId="5EA1DB0C" w14:textId="77777777" w:rsidR="003C66EB" w:rsidRDefault="003C66EB">
            <w:pPr>
              <w:rPr>
                <w:rFonts w:ascii="宋体"/>
              </w:rPr>
            </w:pPr>
          </w:p>
        </w:tc>
        <w:tc>
          <w:tcPr>
            <w:tcW w:w="5" w:type="pct"/>
            <w:shd w:val="clear" w:color="auto" w:fill="auto"/>
          </w:tcPr>
          <w:p w14:paraId="5EA1DB0D" w14:textId="77777777" w:rsidR="003C66EB" w:rsidRDefault="003C66EB">
            <w:pPr>
              <w:rPr>
                <w:rFonts w:ascii="宋体"/>
              </w:rPr>
            </w:pPr>
          </w:p>
        </w:tc>
        <w:tc>
          <w:tcPr>
            <w:tcW w:w="50" w:type="pct"/>
            <w:shd w:val="clear" w:color="auto" w:fill="auto"/>
          </w:tcPr>
          <w:p w14:paraId="5EA1DB0E" w14:textId="77777777" w:rsidR="003C66EB" w:rsidRDefault="003C66EB">
            <w:pPr>
              <w:rPr>
                <w:rFonts w:ascii="宋体"/>
              </w:rPr>
            </w:pPr>
          </w:p>
        </w:tc>
        <w:tc>
          <w:tcPr>
            <w:tcW w:w="127" w:type="pct"/>
            <w:shd w:val="clear" w:color="auto" w:fill="auto"/>
          </w:tcPr>
          <w:p w14:paraId="5EA1DB0F" w14:textId="77777777" w:rsidR="003C66EB" w:rsidRDefault="003C66EB">
            <w:pPr>
              <w:rPr>
                <w:rFonts w:ascii="宋体"/>
              </w:rPr>
            </w:pPr>
          </w:p>
        </w:tc>
        <w:tc>
          <w:tcPr>
            <w:tcW w:w="5" w:type="pct"/>
            <w:shd w:val="clear" w:color="auto" w:fill="auto"/>
          </w:tcPr>
          <w:p w14:paraId="5EA1DB10" w14:textId="77777777" w:rsidR="003C66EB" w:rsidRDefault="003C66EB">
            <w:pPr>
              <w:rPr>
                <w:rFonts w:ascii="宋体"/>
              </w:rPr>
            </w:pPr>
          </w:p>
        </w:tc>
        <w:tc>
          <w:tcPr>
            <w:tcW w:w="50" w:type="pct"/>
            <w:shd w:val="clear" w:color="auto" w:fill="auto"/>
          </w:tcPr>
          <w:p w14:paraId="5EA1DB11" w14:textId="77777777" w:rsidR="003C66EB" w:rsidRDefault="003C66EB">
            <w:pPr>
              <w:rPr>
                <w:rFonts w:ascii="宋体"/>
              </w:rPr>
            </w:pPr>
          </w:p>
        </w:tc>
        <w:tc>
          <w:tcPr>
            <w:tcW w:w="127" w:type="pct"/>
            <w:shd w:val="clear" w:color="auto" w:fill="auto"/>
          </w:tcPr>
          <w:p w14:paraId="5EA1DB12" w14:textId="77777777" w:rsidR="003C66EB" w:rsidRDefault="003C66EB">
            <w:pPr>
              <w:rPr>
                <w:rFonts w:ascii="宋体"/>
              </w:rPr>
            </w:pPr>
          </w:p>
        </w:tc>
        <w:tc>
          <w:tcPr>
            <w:tcW w:w="5" w:type="pct"/>
            <w:shd w:val="clear" w:color="auto" w:fill="auto"/>
          </w:tcPr>
          <w:p w14:paraId="5EA1DB13" w14:textId="77777777" w:rsidR="003C66EB" w:rsidRDefault="003C66EB">
            <w:pPr>
              <w:rPr>
                <w:rFonts w:ascii="宋体"/>
              </w:rPr>
            </w:pPr>
          </w:p>
        </w:tc>
        <w:tc>
          <w:tcPr>
            <w:tcW w:w="50" w:type="pct"/>
            <w:shd w:val="clear" w:color="auto" w:fill="auto"/>
          </w:tcPr>
          <w:p w14:paraId="5EA1DB14" w14:textId="77777777" w:rsidR="003C66EB" w:rsidRDefault="003C66EB">
            <w:pPr>
              <w:rPr>
                <w:rFonts w:ascii="宋体"/>
              </w:rPr>
            </w:pPr>
          </w:p>
        </w:tc>
        <w:tc>
          <w:tcPr>
            <w:tcW w:w="1002" w:type="pct"/>
            <w:shd w:val="clear" w:color="auto" w:fill="auto"/>
          </w:tcPr>
          <w:p w14:paraId="5EA1DB15" w14:textId="77777777" w:rsidR="003C66EB" w:rsidRDefault="003C66EB">
            <w:pPr>
              <w:rPr>
                <w:rFonts w:ascii="宋体"/>
              </w:rPr>
            </w:pPr>
          </w:p>
        </w:tc>
        <w:tc>
          <w:tcPr>
            <w:tcW w:w="5" w:type="pct"/>
            <w:shd w:val="clear" w:color="auto" w:fill="auto"/>
          </w:tcPr>
          <w:p w14:paraId="5EA1DB16" w14:textId="77777777" w:rsidR="003C66EB" w:rsidRDefault="003C66EB">
            <w:pPr>
              <w:rPr>
                <w:rFonts w:ascii="宋体"/>
              </w:rPr>
            </w:pPr>
          </w:p>
        </w:tc>
        <w:tc>
          <w:tcPr>
            <w:tcW w:w="5" w:type="pct"/>
            <w:shd w:val="clear" w:color="auto" w:fill="auto"/>
          </w:tcPr>
          <w:p w14:paraId="5EA1DB17" w14:textId="77777777" w:rsidR="003C66EB" w:rsidRDefault="003C66EB">
            <w:pPr>
              <w:rPr>
                <w:rFonts w:ascii="宋体"/>
              </w:rPr>
            </w:pPr>
          </w:p>
        </w:tc>
        <w:tc>
          <w:tcPr>
            <w:tcW w:w="119" w:type="pct"/>
            <w:shd w:val="clear" w:color="auto" w:fill="auto"/>
          </w:tcPr>
          <w:p w14:paraId="5EA1DB18" w14:textId="77777777" w:rsidR="003C66EB" w:rsidRDefault="003C66EB">
            <w:pPr>
              <w:rPr>
                <w:rFonts w:ascii="宋体"/>
              </w:rPr>
            </w:pPr>
          </w:p>
        </w:tc>
        <w:tc>
          <w:tcPr>
            <w:tcW w:w="5" w:type="pct"/>
            <w:shd w:val="clear" w:color="auto" w:fill="auto"/>
          </w:tcPr>
          <w:p w14:paraId="5EA1DB19" w14:textId="77777777" w:rsidR="003C66EB" w:rsidRDefault="003C66EB">
            <w:pPr>
              <w:rPr>
                <w:rFonts w:ascii="宋体"/>
              </w:rPr>
            </w:pPr>
          </w:p>
        </w:tc>
      </w:tr>
      <w:tr w:rsidR="003C66EB" w14:paraId="5EA1DB26" w14:textId="77777777">
        <w:tc>
          <w:tcPr>
            <w:tcW w:w="0" w:type="auto"/>
            <w:gridSpan w:val="3"/>
            <w:shd w:val="clear" w:color="auto" w:fill="auto"/>
            <w:tcMar>
              <w:top w:w="40" w:type="dxa"/>
              <w:left w:w="155" w:type="dxa"/>
              <w:bottom w:w="40" w:type="dxa"/>
              <w:right w:w="20" w:type="dxa"/>
            </w:tcMar>
            <w:vAlign w:val="bottom"/>
          </w:tcPr>
          <w:p w14:paraId="5EA1DB1B" w14:textId="77777777" w:rsidR="003C66EB" w:rsidRDefault="00D96C4E">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5EA1DB1C" w14:textId="77777777" w:rsidR="003C66EB" w:rsidRDefault="00D96C4E">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5EA1DB1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B1E" w14:textId="77777777" w:rsidR="003C66EB" w:rsidRDefault="00D96C4E">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5EA1DB1F" w14:textId="77777777" w:rsidR="003C66EB" w:rsidRDefault="00D96C4E">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5EA1DB2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B21" w14:textId="77777777" w:rsidR="003C66EB" w:rsidRDefault="00D96C4E">
            <w:pPr>
              <w:textAlignment w:val="bottom"/>
            </w:pPr>
            <w:r>
              <w:rPr>
                <w:rFonts w:ascii="Arial" w:eastAsia="宋体" w:hAnsi="Arial" w:cs="Arial"/>
                <w:color w:val="000000"/>
                <w:sz w:val="16"/>
                <w:szCs w:val="16"/>
              </w:rPr>
              <w:t>Non-accelerated filer  </w:t>
            </w:r>
          </w:p>
        </w:tc>
        <w:tc>
          <w:tcPr>
            <w:tcW w:w="0" w:type="auto"/>
            <w:gridSpan w:val="3"/>
            <w:shd w:val="clear" w:color="auto" w:fill="auto"/>
            <w:tcMar>
              <w:top w:w="40" w:type="dxa"/>
              <w:left w:w="20" w:type="dxa"/>
              <w:bottom w:w="40" w:type="dxa"/>
              <w:right w:w="20" w:type="dxa"/>
            </w:tcMar>
            <w:vAlign w:val="bottom"/>
          </w:tcPr>
          <w:p w14:paraId="5EA1DB22" w14:textId="77777777" w:rsidR="003C66EB" w:rsidRDefault="00D96C4E">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5EA1DB2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B24" w14:textId="77777777" w:rsidR="003C66EB" w:rsidRDefault="00D96C4E">
            <w:pPr>
              <w:textAlignment w:val="bottom"/>
            </w:pPr>
            <w:r>
              <w:rPr>
                <w:rFonts w:ascii="Arial" w:eastAsia="宋体" w:hAnsi="Arial" w:cs="Arial"/>
                <w:color w:val="000000"/>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5EA1DB25" w14:textId="77777777" w:rsidR="003C66EB" w:rsidRDefault="00D96C4E">
            <w:pPr>
              <w:textAlignment w:val="bottom"/>
            </w:pPr>
            <w:r>
              <w:rPr>
                <w:rFonts w:ascii="Arial" w:eastAsia="宋体" w:hAnsi="Arial" w:cs="Arial"/>
                <w:color w:val="000000"/>
                <w:sz w:val="16"/>
                <w:szCs w:val="16"/>
              </w:rPr>
              <w:t>☐</w:t>
            </w:r>
          </w:p>
        </w:tc>
      </w:tr>
      <w:tr w:rsidR="003C66EB" w14:paraId="5EA1DB2F" w14:textId="77777777">
        <w:tc>
          <w:tcPr>
            <w:tcW w:w="0" w:type="auto"/>
            <w:gridSpan w:val="3"/>
            <w:shd w:val="clear" w:color="auto" w:fill="auto"/>
            <w:tcMar>
              <w:top w:w="40" w:type="dxa"/>
              <w:left w:w="155" w:type="dxa"/>
              <w:bottom w:w="40" w:type="dxa"/>
              <w:right w:w="20" w:type="dxa"/>
            </w:tcMar>
            <w:vAlign w:val="bottom"/>
          </w:tcPr>
          <w:p w14:paraId="5EA1DB27" w14:textId="77777777" w:rsidR="003C66EB" w:rsidRDefault="00D96C4E">
            <w:pPr>
              <w:textAlignment w:val="bottom"/>
            </w:pPr>
            <w:r>
              <w:rPr>
                <w:rFonts w:ascii="Arial" w:eastAsia="宋体" w:hAnsi="Arial" w:cs="Arial"/>
                <w:color w:val="000000"/>
                <w:sz w:val="16"/>
                <w:szCs w:val="16"/>
              </w:rPr>
              <w:t xml:space="preserve">Emerging </w:t>
            </w:r>
            <w:r>
              <w:rPr>
                <w:rFonts w:ascii="Arial" w:eastAsia="宋体" w:hAnsi="Arial" w:cs="Arial"/>
                <w:color w:val="000000"/>
                <w:sz w:val="16"/>
                <w:szCs w:val="16"/>
              </w:rPr>
              <w:t>growth company </w:t>
            </w:r>
          </w:p>
        </w:tc>
        <w:tc>
          <w:tcPr>
            <w:tcW w:w="0" w:type="auto"/>
            <w:gridSpan w:val="3"/>
            <w:shd w:val="clear" w:color="auto" w:fill="auto"/>
            <w:tcMar>
              <w:top w:w="40" w:type="dxa"/>
              <w:left w:w="20" w:type="dxa"/>
              <w:bottom w:w="40" w:type="dxa"/>
              <w:right w:w="20" w:type="dxa"/>
            </w:tcMar>
            <w:vAlign w:val="bottom"/>
          </w:tcPr>
          <w:p w14:paraId="5EA1DB28" w14:textId="77777777" w:rsidR="003C66EB" w:rsidRDefault="00D96C4E">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5EA1DB2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B2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B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B2C" w14:textId="77777777" w:rsidR="003C66EB" w:rsidRDefault="003C66EB">
            <w:pPr>
              <w:rPr>
                <w:rFonts w:ascii="宋体"/>
              </w:rPr>
            </w:pPr>
          </w:p>
        </w:tc>
        <w:tc>
          <w:tcPr>
            <w:tcW w:w="0" w:type="auto"/>
            <w:gridSpan w:val="12"/>
            <w:shd w:val="clear" w:color="auto" w:fill="auto"/>
            <w:tcMar>
              <w:top w:w="0" w:type="dxa"/>
              <w:left w:w="20" w:type="dxa"/>
              <w:bottom w:w="0" w:type="dxa"/>
              <w:right w:w="20" w:type="dxa"/>
            </w:tcMar>
          </w:tcPr>
          <w:p w14:paraId="5EA1DB2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B2E" w14:textId="77777777" w:rsidR="003C66EB" w:rsidRDefault="003C66EB">
            <w:pPr>
              <w:rPr>
                <w:rFonts w:ascii="宋体"/>
              </w:rPr>
            </w:pPr>
          </w:p>
        </w:tc>
      </w:tr>
    </w:tbl>
    <w:p w14:paraId="5EA1DB30" w14:textId="77777777" w:rsidR="003C66EB" w:rsidRDefault="00D96C4E">
      <w:pPr>
        <w:spacing w:before="50"/>
        <w:ind w:firstLine="45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6"/>
          <w:szCs w:val="16"/>
        </w:rPr>
        <w:t>¨</w:t>
      </w:r>
    </w:p>
    <w:p w14:paraId="5EA1DB31" w14:textId="77777777" w:rsidR="003C66EB" w:rsidRDefault="00D96C4E">
      <w:pPr>
        <w:spacing w:before="50"/>
        <w:ind w:firstLine="450"/>
        <w:jc w:val="both"/>
      </w:pPr>
      <w:r>
        <w:rPr>
          <w:rFonts w:ascii="Arial" w:eastAsia="宋体" w:hAnsi="Arial" w:cs="Arial"/>
          <w:color w:val="000000"/>
          <w:sz w:val="16"/>
          <w:szCs w:val="16"/>
        </w:rPr>
        <w:t>Indicate by check mark whether the registrant is a shell company (as defined in Rule 12b-2 of the Exchange Act).  Yes  ☐  No  </w:t>
      </w:r>
      <w:r>
        <w:rPr>
          <w:rFonts w:ascii="Arial Unicode MS" w:eastAsia="Arial Unicode MS" w:hAnsi="Arial Unicode MS" w:cs="Arial Unicode MS" w:hint="eastAsia"/>
          <w:color w:val="000000"/>
          <w:sz w:val="16"/>
          <w:szCs w:val="16"/>
        </w:rPr>
        <w:t>☒</w:t>
      </w:r>
    </w:p>
    <w:p w14:paraId="5EA1DB32" w14:textId="77777777" w:rsidR="003C66EB" w:rsidRDefault="00D96C4E">
      <w:pPr>
        <w:spacing w:before="50"/>
        <w:ind w:firstLine="450"/>
      </w:pPr>
      <w:r>
        <w:rPr>
          <w:rFonts w:ascii="Arial" w:eastAsia="宋体" w:hAnsi="Arial" w:cs="Arial"/>
          <w:color w:val="000000"/>
          <w:sz w:val="16"/>
          <w:szCs w:val="16"/>
        </w:rPr>
        <w:t>The number of shares of the registrant’s common stock outstanding as of April 21, 2021 was 347,768,272.</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3C66EB" w14:paraId="5EA1DB36" w14:textId="77777777">
        <w:tc>
          <w:tcPr>
            <w:tcW w:w="50" w:type="pct"/>
            <w:shd w:val="clear" w:color="auto" w:fill="auto"/>
          </w:tcPr>
          <w:p w14:paraId="5EA1DB33" w14:textId="77777777" w:rsidR="003C66EB" w:rsidRDefault="003C66EB">
            <w:pPr>
              <w:rPr>
                <w:rFonts w:ascii="宋体"/>
              </w:rPr>
            </w:pPr>
          </w:p>
        </w:tc>
        <w:tc>
          <w:tcPr>
            <w:tcW w:w="4945" w:type="pct"/>
            <w:shd w:val="clear" w:color="auto" w:fill="auto"/>
          </w:tcPr>
          <w:p w14:paraId="5EA1DB34" w14:textId="77777777" w:rsidR="003C66EB" w:rsidRDefault="003C66EB">
            <w:pPr>
              <w:rPr>
                <w:rFonts w:ascii="宋体"/>
              </w:rPr>
            </w:pPr>
          </w:p>
        </w:tc>
        <w:tc>
          <w:tcPr>
            <w:tcW w:w="5" w:type="pct"/>
            <w:shd w:val="clear" w:color="auto" w:fill="auto"/>
          </w:tcPr>
          <w:p w14:paraId="5EA1DB35" w14:textId="77777777" w:rsidR="003C66EB" w:rsidRDefault="003C66EB">
            <w:pPr>
              <w:rPr>
                <w:rFonts w:ascii="宋体"/>
              </w:rPr>
            </w:pPr>
          </w:p>
        </w:tc>
      </w:tr>
      <w:tr w:rsidR="003C66EB" w14:paraId="5EA1DB38"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5EA1DB37" w14:textId="77777777" w:rsidR="003C66EB" w:rsidRDefault="003C66EB">
            <w:pPr>
              <w:rPr>
                <w:rFonts w:ascii="宋体"/>
              </w:rPr>
            </w:pPr>
          </w:p>
        </w:tc>
      </w:tr>
    </w:tbl>
    <w:p w14:paraId="5EA1DB39" w14:textId="77777777" w:rsidR="003C66EB" w:rsidRDefault="003C66EB">
      <w:pPr>
        <w:spacing w:before="50"/>
        <w:ind w:firstLine="450"/>
      </w:pPr>
    </w:p>
    <w:p w14:paraId="5EA1DB3A" w14:textId="77777777" w:rsidR="003C66EB" w:rsidRDefault="003C66EB">
      <w:pPr>
        <w:ind w:firstLine="450"/>
      </w:pPr>
    </w:p>
    <w:p w14:paraId="5EA1DB3B" w14:textId="77777777" w:rsidR="003C66EB" w:rsidRDefault="00D96C4E">
      <w:r>
        <w:pict w14:anchorId="5EA287B1">
          <v:rect id="_x0000_i1025" style="width:415.3pt;height:1.5pt" o:hralign="center" o:hrstd="t" o:hr="t" fillcolor="#a0a0a0" stroked="f"/>
        </w:pict>
      </w:r>
    </w:p>
    <w:p w14:paraId="5EA1DB3C" w14:textId="77777777" w:rsidR="003C66EB" w:rsidRDefault="003C66EB">
      <w:pPr>
        <w:ind w:firstLine="450"/>
        <w:jc w:val="center"/>
      </w:pPr>
    </w:p>
    <w:p w14:paraId="5EA1DB3D" w14:textId="77777777" w:rsidR="003C66EB" w:rsidRDefault="00D96C4E">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5EA1DB3E" w14:textId="77777777" w:rsidR="003C66EB" w:rsidRDefault="00D96C4E">
      <w:pPr>
        <w:ind w:firstLine="450"/>
        <w:jc w:val="center"/>
      </w:pPr>
      <w:r>
        <w:rPr>
          <w:rFonts w:ascii="Arial" w:eastAsia="宋体" w:hAnsi="Arial" w:cs="Arial"/>
          <w:b/>
          <w:bCs/>
          <w:color w:val="000000"/>
          <w:sz w:val="20"/>
          <w:szCs w:val="20"/>
        </w:rPr>
        <w:t>QUARTERLY REPORT ON FORM 10-Q FOR THE QUARTERLY PERIOD ENDED</w:t>
      </w:r>
    </w:p>
    <w:p w14:paraId="5EA1DB3F" w14:textId="77777777" w:rsidR="003C66EB" w:rsidRDefault="00D96C4E">
      <w:pPr>
        <w:ind w:firstLine="450"/>
        <w:jc w:val="center"/>
      </w:pPr>
      <w:r>
        <w:rPr>
          <w:rFonts w:ascii="Arial" w:eastAsia="宋体" w:hAnsi="Arial" w:cs="Arial"/>
          <w:b/>
          <w:bCs/>
          <w:color w:val="000000"/>
          <w:sz w:val="20"/>
          <w:szCs w:val="20"/>
        </w:rPr>
        <w:t>March 31, 2021</w:t>
      </w:r>
    </w:p>
    <w:p w14:paraId="5EA1DB40" w14:textId="77777777" w:rsidR="003C66EB" w:rsidRDefault="003C66EB">
      <w:pPr>
        <w:ind w:firstLine="450"/>
        <w:jc w:val="center"/>
      </w:pPr>
    </w:p>
    <w:p w14:paraId="5EA1DB41" w14:textId="77777777" w:rsidR="003C66EB" w:rsidRDefault="00D96C4E">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6"/>
        <w:gridCol w:w="68"/>
        <w:gridCol w:w="5941"/>
        <w:gridCol w:w="39"/>
        <w:gridCol w:w="68"/>
        <w:gridCol w:w="626"/>
        <w:gridCol w:w="36"/>
      </w:tblGrid>
      <w:tr w:rsidR="003C66EB" w14:paraId="5EA1DB4B" w14:textId="77777777">
        <w:tc>
          <w:tcPr>
            <w:tcW w:w="50" w:type="pct"/>
            <w:shd w:val="clear" w:color="auto" w:fill="auto"/>
          </w:tcPr>
          <w:p w14:paraId="5EA1DB42" w14:textId="77777777" w:rsidR="003C66EB" w:rsidRDefault="003C66EB">
            <w:pPr>
              <w:rPr>
                <w:rFonts w:ascii="宋体"/>
              </w:rPr>
            </w:pPr>
          </w:p>
        </w:tc>
        <w:tc>
          <w:tcPr>
            <w:tcW w:w="808" w:type="pct"/>
            <w:shd w:val="clear" w:color="auto" w:fill="auto"/>
          </w:tcPr>
          <w:p w14:paraId="5EA1DB43" w14:textId="77777777" w:rsidR="003C66EB" w:rsidRDefault="003C66EB">
            <w:pPr>
              <w:rPr>
                <w:rFonts w:ascii="宋体"/>
              </w:rPr>
            </w:pPr>
          </w:p>
        </w:tc>
        <w:tc>
          <w:tcPr>
            <w:tcW w:w="5" w:type="pct"/>
            <w:shd w:val="clear" w:color="auto" w:fill="auto"/>
          </w:tcPr>
          <w:p w14:paraId="5EA1DB44" w14:textId="77777777" w:rsidR="003C66EB" w:rsidRDefault="003C66EB">
            <w:pPr>
              <w:rPr>
                <w:rFonts w:ascii="宋体"/>
              </w:rPr>
            </w:pPr>
          </w:p>
        </w:tc>
        <w:tc>
          <w:tcPr>
            <w:tcW w:w="50" w:type="pct"/>
            <w:shd w:val="clear" w:color="auto" w:fill="auto"/>
          </w:tcPr>
          <w:p w14:paraId="5EA1DB45" w14:textId="77777777" w:rsidR="003C66EB" w:rsidRDefault="003C66EB">
            <w:pPr>
              <w:rPr>
                <w:rFonts w:ascii="宋体"/>
              </w:rPr>
            </w:pPr>
          </w:p>
        </w:tc>
        <w:tc>
          <w:tcPr>
            <w:tcW w:w="3635" w:type="pct"/>
            <w:shd w:val="clear" w:color="auto" w:fill="auto"/>
          </w:tcPr>
          <w:p w14:paraId="5EA1DB46" w14:textId="77777777" w:rsidR="003C66EB" w:rsidRDefault="003C66EB">
            <w:pPr>
              <w:rPr>
                <w:rFonts w:ascii="宋体"/>
              </w:rPr>
            </w:pPr>
          </w:p>
        </w:tc>
        <w:tc>
          <w:tcPr>
            <w:tcW w:w="5" w:type="pct"/>
            <w:shd w:val="clear" w:color="auto" w:fill="auto"/>
          </w:tcPr>
          <w:p w14:paraId="5EA1DB47" w14:textId="77777777" w:rsidR="003C66EB" w:rsidRDefault="003C66EB">
            <w:pPr>
              <w:rPr>
                <w:rFonts w:ascii="宋体"/>
              </w:rPr>
            </w:pPr>
          </w:p>
        </w:tc>
        <w:tc>
          <w:tcPr>
            <w:tcW w:w="50" w:type="pct"/>
            <w:shd w:val="clear" w:color="auto" w:fill="auto"/>
          </w:tcPr>
          <w:p w14:paraId="5EA1DB48" w14:textId="77777777" w:rsidR="003C66EB" w:rsidRDefault="003C66EB">
            <w:pPr>
              <w:rPr>
                <w:rFonts w:ascii="宋体"/>
              </w:rPr>
            </w:pPr>
          </w:p>
        </w:tc>
        <w:tc>
          <w:tcPr>
            <w:tcW w:w="391" w:type="pct"/>
            <w:shd w:val="clear" w:color="auto" w:fill="auto"/>
          </w:tcPr>
          <w:p w14:paraId="5EA1DB49" w14:textId="77777777" w:rsidR="003C66EB" w:rsidRDefault="003C66EB">
            <w:pPr>
              <w:rPr>
                <w:rFonts w:ascii="宋体"/>
              </w:rPr>
            </w:pPr>
          </w:p>
        </w:tc>
        <w:tc>
          <w:tcPr>
            <w:tcW w:w="5" w:type="pct"/>
            <w:shd w:val="clear" w:color="auto" w:fill="auto"/>
          </w:tcPr>
          <w:p w14:paraId="5EA1DB4A" w14:textId="77777777" w:rsidR="003C66EB" w:rsidRDefault="003C66EB">
            <w:pPr>
              <w:rPr>
                <w:rFonts w:ascii="宋体"/>
              </w:rPr>
            </w:pPr>
          </w:p>
        </w:tc>
      </w:tr>
      <w:tr w:rsidR="003C66EB" w14:paraId="5EA1DB4F" w14:textId="77777777">
        <w:tc>
          <w:tcPr>
            <w:tcW w:w="0" w:type="auto"/>
            <w:gridSpan w:val="3"/>
            <w:shd w:val="clear" w:color="auto" w:fill="auto"/>
            <w:tcMar>
              <w:top w:w="0" w:type="dxa"/>
              <w:left w:w="20" w:type="dxa"/>
              <w:bottom w:w="0" w:type="dxa"/>
              <w:right w:w="20" w:type="dxa"/>
            </w:tcMar>
          </w:tcPr>
          <w:p w14:paraId="5EA1DB4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B4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1DB4E" w14:textId="77777777" w:rsidR="003C66EB" w:rsidRDefault="00D96C4E">
            <w:pPr>
              <w:jc w:val="right"/>
              <w:textAlignment w:val="center"/>
            </w:pPr>
            <w:r>
              <w:rPr>
                <w:rFonts w:ascii="Arial" w:eastAsia="宋体" w:hAnsi="Arial" w:cs="Arial"/>
                <w:color w:val="000000"/>
                <w:sz w:val="18"/>
                <w:szCs w:val="18"/>
                <w:u w:val="single"/>
              </w:rPr>
              <w:t>Page</w:t>
            </w:r>
          </w:p>
        </w:tc>
      </w:tr>
      <w:tr w:rsidR="003C66EB" w14:paraId="5EA1DB53" w14:textId="77777777">
        <w:trPr>
          <w:trHeight w:val="280"/>
        </w:trPr>
        <w:tc>
          <w:tcPr>
            <w:tcW w:w="0" w:type="auto"/>
            <w:gridSpan w:val="3"/>
            <w:shd w:val="clear" w:color="auto" w:fill="auto"/>
            <w:tcMar>
              <w:top w:w="0" w:type="dxa"/>
              <w:left w:w="20" w:type="dxa"/>
              <w:bottom w:w="0" w:type="dxa"/>
              <w:right w:w="20" w:type="dxa"/>
            </w:tcMar>
          </w:tcPr>
          <w:p w14:paraId="5EA1DB50" w14:textId="77777777" w:rsidR="003C66EB" w:rsidRDefault="003C66EB">
            <w:pPr>
              <w:rPr>
                <w:rFonts w:ascii="宋体"/>
              </w:rPr>
            </w:pPr>
          </w:p>
        </w:tc>
        <w:tc>
          <w:tcPr>
            <w:tcW w:w="0" w:type="auto"/>
            <w:gridSpan w:val="3"/>
            <w:shd w:val="clear" w:color="auto" w:fill="auto"/>
            <w:tcMar>
              <w:top w:w="0" w:type="dxa"/>
              <w:left w:w="155" w:type="dxa"/>
              <w:bottom w:w="0" w:type="dxa"/>
              <w:right w:w="20" w:type="dxa"/>
            </w:tcMar>
          </w:tcPr>
          <w:p w14:paraId="5EA1DB5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B52" w14:textId="77777777" w:rsidR="003C66EB" w:rsidRDefault="003C66EB">
            <w:pPr>
              <w:rPr>
                <w:rFonts w:ascii="宋体"/>
              </w:rPr>
            </w:pPr>
          </w:p>
        </w:tc>
      </w:tr>
      <w:tr w:rsidR="003C66EB" w14:paraId="5EA1DB57" w14:textId="77777777">
        <w:tc>
          <w:tcPr>
            <w:tcW w:w="0" w:type="auto"/>
            <w:gridSpan w:val="3"/>
            <w:shd w:val="clear" w:color="auto" w:fill="auto"/>
            <w:tcMar>
              <w:top w:w="40" w:type="dxa"/>
              <w:left w:w="155" w:type="dxa"/>
              <w:bottom w:w="40" w:type="dxa"/>
              <w:right w:w="20" w:type="dxa"/>
            </w:tcMar>
            <w:vAlign w:val="center"/>
          </w:tcPr>
          <w:p w14:paraId="5EA1DB54" w14:textId="77777777" w:rsidR="003C66EB" w:rsidRDefault="00D96C4E">
            <w:pPr>
              <w:textAlignment w:val="center"/>
            </w:pPr>
            <w:r>
              <w:rPr>
                <w:rFonts w:ascii="Arial" w:eastAsia="宋体" w:hAnsi="Arial" w:cs="Arial"/>
                <w:b/>
                <w:bCs/>
                <w:color w:val="000000"/>
                <w:sz w:val="18"/>
                <w:szCs w:val="18"/>
              </w:rPr>
              <w:t>PART I</w:t>
            </w:r>
          </w:p>
        </w:tc>
        <w:tc>
          <w:tcPr>
            <w:tcW w:w="0" w:type="auto"/>
            <w:gridSpan w:val="3"/>
            <w:shd w:val="clear" w:color="auto" w:fill="auto"/>
            <w:tcMar>
              <w:top w:w="40" w:type="dxa"/>
              <w:left w:w="20" w:type="dxa"/>
              <w:bottom w:w="40" w:type="dxa"/>
              <w:right w:w="20" w:type="dxa"/>
            </w:tcMar>
            <w:vAlign w:val="bottom"/>
          </w:tcPr>
          <w:p w14:paraId="5EA1DB55" w14:textId="77777777" w:rsidR="003C66EB" w:rsidRDefault="00D96C4E">
            <w:pPr>
              <w:textAlignment w:val="bottom"/>
            </w:pPr>
            <w:r>
              <w:rPr>
                <w:rFonts w:ascii="Arial" w:eastAsia="宋体" w:hAnsi="Arial" w:cs="Arial"/>
                <w:b/>
                <w:bCs/>
                <w:color w:val="000000"/>
                <w:sz w:val="18"/>
                <w:szCs w:val="18"/>
              </w:rPr>
              <w:t>FINANCIAL INFORMATION</w:t>
            </w:r>
          </w:p>
        </w:tc>
        <w:tc>
          <w:tcPr>
            <w:tcW w:w="0" w:type="auto"/>
            <w:gridSpan w:val="3"/>
            <w:shd w:val="clear" w:color="auto" w:fill="auto"/>
            <w:tcMar>
              <w:top w:w="0" w:type="dxa"/>
              <w:left w:w="20" w:type="dxa"/>
              <w:bottom w:w="0" w:type="dxa"/>
              <w:right w:w="20" w:type="dxa"/>
            </w:tcMar>
          </w:tcPr>
          <w:p w14:paraId="5EA1DB56" w14:textId="77777777" w:rsidR="003C66EB" w:rsidRDefault="003C66EB">
            <w:pPr>
              <w:rPr>
                <w:rFonts w:ascii="宋体"/>
              </w:rPr>
            </w:pPr>
          </w:p>
        </w:tc>
      </w:tr>
      <w:tr w:rsidR="003C66EB" w14:paraId="5EA1DB5B" w14:textId="77777777">
        <w:tc>
          <w:tcPr>
            <w:tcW w:w="0" w:type="auto"/>
            <w:gridSpan w:val="3"/>
            <w:shd w:val="clear" w:color="auto" w:fill="auto"/>
            <w:tcMar>
              <w:top w:w="0" w:type="dxa"/>
              <w:left w:w="155" w:type="dxa"/>
              <w:bottom w:w="0" w:type="dxa"/>
              <w:right w:w="20" w:type="dxa"/>
            </w:tcMar>
          </w:tcPr>
          <w:p w14:paraId="5EA1DB58" w14:textId="77777777" w:rsidR="003C66EB" w:rsidRDefault="003C66EB">
            <w:pPr>
              <w:rPr>
                <w:rFonts w:ascii="宋体"/>
              </w:rPr>
            </w:pPr>
          </w:p>
        </w:tc>
        <w:tc>
          <w:tcPr>
            <w:tcW w:w="0" w:type="auto"/>
            <w:gridSpan w:val="3"/>
            <w:shd w:val="clear" w:color="auto" w:fill="auto"/>
            <w:tcMar>
              <w:top w:w="40" w:type="dxa"/>
              <w:left w:w="155" w:type="dxa"/>
              <w:bottom w:w="40" w:type="dxa"/>
              <w:right w:w="20" w:type="dxa"/>
            </w:tcMar>
            <w:vAlign w:val="center"/>
          </w:tcPr>
          <w:p w14:paraId="5EA1DB59" w14:textId="77777777" w:rsidR="003C66EB" w:rsidRDefault="00D96C4E">
            <w:pPr>
              <w:textAlignment w:val="center"/>
            </w:pPr>
            <w:r>
              <w:rPr>
                <w:rFonts w:ascii="Arial" w:eastAsia="宋体" w:hAnsi="Arial" w:cs="Arial"/>
                <w:color w:val="000000"/>
                <w:sz w:val="18"/>
                <w:szCs w:val="18"/>
              </w:rPr>
              <w:t xml:space="preserve">Management's Discussion and Analysis of Financial Condition and Results of </w:t>
            </w:r>
            <w:r>
              <w:rPr>
                <w:rFonts w:ascii="Arial" w:eastAsia="宋体" w:hAnsi="Arial" w:cs="Arial"/>
                <w:color w:val="000000"/>
                <w:sz w:val="18"/>
                <w:szCs w:val="18"/>
              </w:rPr>
              <w:t>Operations</w:t>
            </w:r>
          </w:p>
        </w:tc>
        <w:tc>
          <w:tcPr>
            <w:tcW w:w="0" w:type="auto"/>
            <w:gridSpan w:val="3"/>
            <w:shd w:val="clear" w:color="auto" w:fill="auto"/>
            <w:tcMar>
              <w:top w:w="40" w:type="dxa"/>
              <w:left w:w="20" w:type="dxa"/>
              <w:bottom w:w="40" w:type="dxa"/>
              <w:right w:w="20" w:type="dxa"/>
            </w:tcMar>
            <w:vAlign w:val="center"/>
          </w:tcPr>
          <w:p w14:paraId="5EA1DB5A" w14:textId="77777777" w:rsidR="003C66EB" w:rsidRDefault="00D96C4E">
            <w:pPr>
              <w:jc w:val="right"/>
              <w:textAlignment w:val="center"/>
            </w:pPr>
            <w:hyperlink r:id="rId6" w:anchor="i0151134890c94d98be89f952da24d748_85" w:history="1">
              <w:r>
                <w:rPr>
                  <w:rStyle w:val="a5"/>
                  <w:rFonts w:ascii="Arial" w:eastAsia="宋体" w:hAnsi="Arial" w:cs="Arial"/>
                  <w:color w:val="000000"/>
                  <w:sz w:val="18"/>
                  <w:szCs w:val="18"/>
                  <w:u w:val="none"/>
                </w:rPr>
                <w:t>4</w:t>
              </w:r>
            </w:hyperlink>
          </w:p>
        </w:tc>
      </w:tr>
      <w:tr w:rsidR="003C66EB" w14:paraId="5EA1DB5F" w14:textId="77777777">
        <w:tc>
          <w:tcPr>
            <w:tcW w:w="0" w:type="auto"/>
            <w:gridSpan w:val="3"/>
            <w:shd w:val="clear" w:color="auto" w:fill="auto"/>
            <w:tcMar>
              <w:top w:w="0" w:type="dxa"/>
              <w:left w:w="20" w:type="dxa"/>
              <w:bottom w:w="0" w:type="dxa"/>
              <w:right w:w="20" w:type="dxa"/>
            </w:tcMar>
          </w:tcPr>
          <w:p w14:paraId="5EA1DB5C"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5D" w14:textId="77777777" w:rsidR="003C66EB" w:rsidRDefault="00D96C4E">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5EA1DB5E" w14:textId="77777777" w:rsidR="003C66EB" w:rsidRDefault="00D96C4E">
            <w:pPr>
              <w:jc w:val="right"/>
              <w:textAlignment w:val="center"/>
            </w:pPr>
            <w:hyperlink r:id="rId7" w:anchor="i0151134890c94d98be89f952da24d748_91" w:history="1">
              <w:r>
                <w:rPr>
                  <w:rStyle w:val="a5"/>
                  <w:rFonts w:ascii="Arial" w:eastAsia="宋体" w:hAnsi="Arial" w:cs="Arial"/>
                  <w:color w:val="000000"/>
                  <w:sz w:val="18"/>
                  <w:szCs w:val="18"/>
                  <w:u w:val="none"/>
                </w:rPr>
                <w:t>4</w:t>
              </w:r>
            </w:hyperlink>
          </w:p>
        </w:tc>
      </w:tr>
      <w:tr w:rsidR="003C66EB" w14:paraId="5EA1DB63" w14:textId="77777777">
        <w:tc>
          <w:tcPr>
            <w:tcW w:w="0" w:type="auto"/>
            <w:gridSpan w:val="3"/>
            <w:shd w:val="clear" w:color="auto" w:fill="auto"/>
            <w:tcMar>
              <w:top w:w="0" w:type="dxa"/>
              <w:left w:w="20" w:type="dxa"/>
              <w:bottom w:w="0" w:type="dxa"/>
              <w:right w:w="20" w:type="dxa"/>
            </w:tcMar>
          </w:tcPr>
          <w:p w14:paraId="5EA1DB60"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61" w14:textId="77777777" w:rsidR="003C66EB" w:rsidRDefault="00D96C4E">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5EA1DB62" w14:textId="77777777" w:rsidR="003C66EB" w:rsidRDefault="00D96C4E">
            <w:pPr>
              <w:jc w:val="right"/>
              <w:textAlignment w:val="center"/>
            </w:pPr>
            <w:hyperlink r:id="rId8" w:anchor="i0151134890c94d98be89f952da24d748_94" w:history="1">
              <w:r>
                <w:rPr>
                  <w:rStyle w:val="a5"/>
                  <w:rFonts w:ascii="Arial" w:eastAsia="宋体" w:hAnsi="Arial" w:cs="Arial"/>
                  <w:color w:val="000000"/>
                  <w:sz w:val="18"/>
                  <w:szCs w:val="18"/>
                  <w:u w:val="none"/>
                </w:rPr>
                <w:t>7</w:t>
              </w:r>
            </w:hyperlink>
          </w:p>
        </w:tc>
      </w:tr>
      <w:tr w:rsidR="003C66EB" w14:paraId="5EA1DB67" w14:textId="77777777">
        <w:tc>
          <w:tcPr>
            <w:tcW w:w="0" w:type="auto"/>
            <w:gridSpan w:val="3"/>
            <w:shd w:val="clear" w:color="auto" w:fill="auto"/>
            <w:tcMar>
              <w:top w:w="0" w:type="dxa"/>
              <w:left w:w="20" w:type="dxa"/>
              <w:bottom w:w="0" w:type="dxa"/>
              <w:right w:w="20" w:type="dxa"/>
            </w:tcMar>
          </w:tcPr>
          <w:p w14:paraId="5EA1DB64"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65" w14:textId="77777777" w:rsidR="003C66EB" w:rsidRDefault="00D96C4E">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5EA1DB66" w14:textId="77777777" w:rsidR="003C66EB" w:rsidRDefault="00D96C4E">
            <w:pPr>
              <w:jc w:val="right"/>
              <w:textAlignment w:val="center"/>
            </w:pPr>
            <w:hyperlink r:id="rId9" w:anchor="i0151134890c94d98be89f952da24d748_103" w:history="1">
              <w:r>
                <w:rPr>
                  <w:rStyle w:val="a5"/>
                  <w:rFonts w:ascii="Arial" w:eastAsia="宋体" w:hAnsi="Arial" w:cs="Arial"/>
                  <w:color w:val="000000"/>
                  <w:sz w:val="18"/>
                  <w:szCs w:val="18"/>
                  <w:u w:val="none"/>
                </w:rPr>
                <w:t>10</w:t>
              </w:r>
            </w:hyperlink>
          </w:p>
        </w:tc>
      </w:tr>
      <w:tr w:rsidR="003C66EB" w14:paraId="5EA1DB6B" w14:textId="77777777">
        <w:tc>
          <w:tcPr>
            <w:tcW w:w="0" w:type="auto"/>
            <w:gridSpan w:val="3"/>
            <w:shd w:val="clear" w:color="auto" w:fill="auto"/>
            <w:tcMar>
              <w:top w:w="0" w:type="dxa"/>
              <w:left w:w="20" w:type="dxa"/>
              <w:bottom w:w="0" w:type="dxa"/>
              <w:right w:w="20" w:type="dxa"/>
            </w:tcMar>
          </w:tcPr>
          <w:p w14:paraId="5EA1DB6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69" w14:textId="77777777" w:rsidR="003C66EB" w:rsidRDefault="00D96C4E">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5EA1DB6A" w14:textId="77777777" w:rsidR="003C66EB" w:rsidRDefault="00D96C4E">
            <w:pPr>
              <w:jc w:val="right"/>
              <w:textAlignment w:val="center"/>
            </w:pPr>
            <w:hyperlink r:id="rId10" w:anchor="i0151134890c94d98be89f952da24d748_106" w:history="1">
              <w:r>
                <w:rPr>
                  <w:rStyle w:val="a5"/>
                  <w:rFonts w:ascii="Arial" w:eastAsia="宋体" w:hAnsi="Arial" w:cs="Arial"/>
                  <w:color w:val="000000"/>
                  <w:sz w:val="18"/>
                  <w:szCs w:val="18"/>
                  <w:u w:val="none"/>
                </w:rPr>
                <w:t>10</w:t>
              </w:r>
            </w:hyperlink>
          </w:p>
        </w:tc>
      </w:tr>
      <w:tr w:rsidR="003C66EB" w14:paraId="5EA1DB6F" w14:textId="77777777">
        <w:tc>
          <w:tcPr>
            <w:tcW w:w="0" w:type="auto"/>
            <w:gridSpan w:val="3"/>
            <w:shd w:val="clear" w:color="auto" w:fill="auto"/>
            <w:tcMar>
              <w:top w:w="0" w:type="dxa"/>
              <w:left w:w="20" w:type="dxa"/>
              <w:bottom w:w="0" w:type="dxa"/>
              <w:right w:w="20" w:type="dxa"/>
            </w:tcMar>
          </w:tcPr>
          <w:p w14:paraId="5EA1DB6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6D" w14:textId="77777777" w:rsidR="003C66EB" w:rsidRDefault="00D96C4E">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5EA1DB6E" w14:textId="77777777" w:rsidR="003C66EB" w:rsidRDefault="00D96C4E">
            <w:pPr>
              <w:jc w:val="right"/>
              <w:textAlignment w:val="center"/>
            </w:pPr>
            <w:hyperlink r:id="rId11" w:anchor="i0151134890c94d98be89f952da24d748_112" w:history="1">
              <w:r>
                <w:rPr>
                  <w:rStyle w:val="a5"/>
                  <w:rFonts w:ascii="Arial" w:eastAsia="宋体" w:hAnsi="Arial" w:cs="Arial"/>
                  <w:color w:val="000000"/>
                  <w:sz w:val="18"/>
                  <w:szCs w:val="18"/>
                  <w:u w:val="none"/>
                </w:rPr>
                <w:t>13</w:t>
              </w:r>
            </w:hyperlink>
          </w:p>
        </w:tc>
      </w:tr>
      <w:tr w:rsidR="003C66EB" w14:paraId="5EA1DB73" w14:textId="77777777">
        <w:tc>
          <w:tcPr>
            <w:tcW w:w="0" w:type="auto"/>
            <w:gridSpan w:val="3"/>
            <w:shd w:val="clear" w:color="auto" w:fill="auto"/>
            <w:tcMar>
              <w:top w:w="0" w:type="dxa"/>
              <w:left w:w="20" w:type="dxa"/>
              <w:bottom w:w="0" w:type="dxa"/>
              <w:right w:w="20" w:type="dxa"/>
            </w:tcMar>
          </w:tcPr>
          <w:p w14:paraId="5EA1DB7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71" w14:textId="77777777" w:rsidR="003C66EB" w:rsidRDefault="00D96C4E">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5EA1DB72" w14:textId="77777777" w:rsidR="003C66EB" w:rsidRDefault="00D96C4E">
            <w:pPr>
              <w:jc w:val="right"/>
              <w:textAlignment w:val="center"/>
            </w:pPr>
            <w:hyperlink r:id="rId12" w:anchor="i0151134890c94d98be89f952da24d748_121" w:history="1">
              <w:r>
                <w:rPr>
                  <w:rStyle w:val="a5"/>
                  <w:rFonts w:ascii="Arial" w:eastAsia="宋体" w:hAnsi="Arial" w:cs="Arial"/>
                  <w:color w:val="000000"/>
                  <w:sz w:val="18"/>
                  <w:szCs w:val="18"/>
                  <w:u w:val="none"/>
                </w:rPr>
                <w:t>16</w:t>
              </w:r>
            </w:hyperlink>
          </w:p>
        </w:tc>
      </w:tr>
      <w:tr w:rsidR="003C66EB" w14:paraId="5EA1DB77" w14:textId="77777777">
        <w:tc>
          <w:tcPr>
            <w:tcW w:w="0" w:type="auto"/>
            <w:gridSpan w:val="3"/>
            <w:shd w:val="clear" w:color="auto" w:fill="auto"/>
            <w:tcMar>
              <w:top w:w="0" w:type="dxa"/>
              <w:left w:w="20" w:type="dxa"/>
              <w:bottom w:w="0" w:type="dxa"/>
              <w:right w:w="20" w:type="dxa"/>
            </w:tcMar>
          </w:tcPr>
          <w:p w14:paraId="5EA1DB74"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75" w14:textId="77777777" w:rsidR="003C66EB" w:rsidRDefault="00D96C4E">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5EA1DB76" w14:textId="77777777" w:rsidR="003C66EB" w:rsidRDefault="00D96C4E">
            <w:pPr>
              <w:jc w:val="right"/>
              <w:textAlignment w:val="center"/>
            </w:pPr>
            <w:hyperlink r:id="rId13" w:anchor="i0151134890c94d98be89f952da24d748_124" w:history="1">
              <w:r>
                <w:rPr>
                  <w:rStyle w:val="a5"/>
                  <w:rFonts w:ascii="Arial" w:eastAsia="宋体" w:hAnsi="Arial" w:cs="Arial"/>
                  <w:color w:val="000000"/>
                  <w:sz w:val="18"/>
                  <w:szCs w:val="18"/>
                  <w:u w:val="none"/>
                </w:rPr>
                <w:t>1</w:t>
              </w:r>
              <w:r>
                <w:rPr>
                  <w:rStyle w:val="a5"/>
                  <w:rFonts w:ascii="Arial" w:eastAsia="宋体" w:hAnsi="Arial" w:cs="Arial"/>
                  <w:color w:val="000000"/>
                  <w:sz w:val="18"/>
                  <w:szCs w:val="18"/>
                  <w:u w:val="none"/>
                </w:rPr>
                <w:t>6</w:t>
              </w:r>
            </w:hyperlink>
          </w:p>
        </w:tc>
      </w:tr>
      <w:tr w:rsidR="003C66EB" w14:paraId="5EA1DB7B" w14:textId="77777777">
        <w:tc>
          <w:tcPr>
            <w:tcW w:w="0" w:type="auto"/>
            <w:gridSpan w:val="3"/>
            <w:shd w:val="clear" w:color="auto" w:fill="auto"/>
            <w:tcMar>
              <w:top w:w="0" w:type="dxa"/>
              <w:left w:w="20" w:type="dxa"/>
              <w:bottom w:w="0" w:type="dxa"/>
              <w:right w:w="20" w:type="dxa"/>
            </w:tcMar>
          </w:tcPr>
          <w:p w14:paraId="5EA1DB78" w14:textId="77777777" w:rsidR="003C66EB" w:rsidRDefault="003C66EB">
            <w:pPr>
              <w:rPr>
                <w:rFonts w:ascii="宋体"/>
              </w:rPr>
            </w:pPr>
          </w:p>
        </w:tc>
        <w:tc>
          <w:tcPr>
            <w:tcW w:w="0" w:type="auto"/>
            <w:gridSpan w:val="3"/>
            <w:shd w:val="clear" w:color="auto" w:fill="auto"/>
            <w:tcMar>
              <w:top w:w="40" w:type="dxa"/>
              <w:left w:w="605" w:type="dxa"/>
              <w:bottom w:w="40" w:type="dxa"/>
              <w:right w:w="20" w:type="dxa"/>
            </w:tcMar>
            <w:vAlign w:val="center"/>
          </w:tcPr>
          <w:p w14:paraId="5EA1DB79" w14:textId="77777777" w:rsidR="003C66EB" w:rsidRDefault="00D96C4E">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5EA1DB7A" w14:textId="77777777" w:rsidR="003C66EB" w:rsidRDefault="00D96C4E">
            <w:pPr>
              <w:jc w:val="right"/>
              <w:textAlignment w:val="center"/>
            </w:pPr>
            <w:hyperlink r:id="rId14" w:anchor="i0151134890c94d98be89f952da24d748_124" w:history="1">
              <w:r>
                <w:rPr>
                  <w:rStyle w:val="a5"/>
                  <w:rFonts w:ascii="Arial" w:eastAsia="宋体" w:hAnsi="Arial" w:cs="Arial"/>
                  <w:color w:val="000000"/>
                  <w:sz w:val="18"/>
                  <w:szCs w:val="18"/>
                  <w:u w:val="none"/>
                </w:rPr>
                <w:t>16</w:t>
              </w:r>
            </w:hyperlink>
          </w:p>
        </w:tc>
      </w:tr>
      <w:tr w:rsidR="003C66EB" w14:paraId="5EA1DB7F" w14:textId="77777777">
        <w:tc>
          <w:tcPr>
            <w:tcW w:w="0" w:type="auto"/>
            <w:gridSpan w:val="3"/>
            <w:shd w:val="clear" w:color="auto" w:fill="auto"/>
            <w:tcMar>
              <w:top w:w="0" w:type="dxa"/>
              <w:left w:w="20" w:type="dxa"/>
              <w:bottom w:w="0" w:type="dxa"/>
              <w:right w:w="20" w:type="dxa"/>
            </w:tcMar>
          </w:tcPr>
          <w:p w14:paraId="5EA1DB7C" w14:textId="77777777" w:rsidR="003C66EB" w:rsidRDefault="003C66EB">
            <w:pPr>
              <w:rPr>
                <w:rFonts w:ascii="宋体"/>
              </w:rPr>
            </w:pPr>
          </w:p>
        </w:tc>
        <w:tc>
          <w:tcPr>
            <w:tcW w:w="0" w:type="auto"/>
            <w:gridSpan w:val="3"/>
            <w:shd w:val="clear" w:color="auto" w:fill="auto"/>
            <w:tcMar>
              <w:top w:w="40" w:type="dxa"/>
              <w:left w:w="605" w:type="dxa"/>
              <w:bottom w:w="40" w:type="dxa"/>
              <w:right w:w="20" w:type="dxa"/>
            </w:tcMar>
            <w:vAlign w:val="center"/>
          </w:tcPr>
          <w:p w14:paraId="5EA1DB7D" w14:textId="77777777" w:rsidR="003C66EB" w:rsidRDefault="00D96C4E">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5EA1DB7E" w14:textId="77777777" w:rsidR="003C66EB" w:rsidRDefault="00D96C4E">
            <w:pPr>
              <w:jc w:val="right"/>
              <w:textAlignment w:val="center"/>
            </w:pPr>
            <w:hyperlink r:id="rId15" w:anchor="i0151134890c94d98be89f952da24d748_124" w:history="1">
              <w:r>
                <w:rPr>
                  <w:rStyle w:val="a5"/>
                  <w:rFonts w:ascii="Arial" w:eastAsia="宋体" w:hAnsi="Arial" w:cs="Arial"/>
                  <w:color w:val="000000"/>
                  <w:sz w:val="18"/>
                  <w:szCs w:val="18"/>
                  <w:u w:val="none"/>
                </w:rPr>
                <w:t>16</w:t>
              </w:r>
            </w:hyperlink>
          </w:p>
        </w:tc>
      </w:tr>
      <w:tr w:rsidR="003C66EB" w14:paraId="5EA1DB83" w14:textId="77777777">
        <w:tc>
          <w:tcPr>
            <w:tcW w:w="0" w:type="auto"/>
            <w:gridSpan w:val="3"/>
            <w:shd w:val="clear" w:color="auto" w:fill="auto"/>
            <w:tcMar>
              <w:top w:w="0" w:type="dxa"/>
              <w:left w:w="20" w:type="dxa"/>
              <w:bottom w:w="0" w:type="dxa"/>
              <w:right w:w="20" w:type="dxa"/>
            </w:tcMar>
          </w:tcPr>
          <w:p w14:paraId="5EA1DB80"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81" w14:textId="77777777" w:rsidR="003C66EB" w:rsidRDefault="00D96C4E">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5EA1DB82" w14:textId="77777777" w:rsidR="003C66EB" w:rsidRDefault="00D96C4E">
            <w:pPr>
              <w:jc w:val="right"/>
              <w:textAlignment w:val="center"/>
            </w:pPr>
            <w:hyperlink r:id="rId16" w:anchor="i0151134890c94d98be89f952da24d748_127" w:history="1">
              <w:r>
                <w:rPr>
                  <w:rStyle w:val="a5"/>
                  <w:rFonts w:ascii="Arial" w:eastAsia="宋体" w:hAnsi="Arial" w:cs="Arial"/>
                  <w:color w:val="000000"/>
                  <w:sz w:val="18"/>
                  <w:szCs w:val="18"/>
                  <w:u w:val="none"/>
                </w:rPr>
                <w:t>17</w:t>
              </w:r>
            </w:hyperlink>
          </w:p>
        </w:tc>
      </w:tr>
      <w:tr w:rsidR="003C66EB" w14:paraId="5EA1DB87" w14:textId="77777777">
        <w:tc>
          <w:tcPr>
            <w:tcW w:w="0" w:type="auto"/>
            <w:gridSpan w:val="3"/>
            <w:shd w:val="clear" w:color="auto" w:fill="auto"/>
            <w:tcMar>
              <w:top w:w="0" w:type="dxa"/>
              <w:left w:w="20" w:type="dxa"/>
              <w:bottom w:w="0" w:type="dxa"/>
              <w:right w:w="20" w:type="dxa"/>
            </w:tcMar>
          </w:tcPr>
          <w:p w14:paraId="5EA1DB84"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85" w14:textId="77777777" w:rsidR="003C66EB" w:rsidRDefault="00D96C4E">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5EA1DB86" w14:textId="77777777" w:rsidR="003C66EB" w:rsidRDefault="00D96C4E">
            <w:pPr>
              <w:jc w:val="right"/>
              <w:textAlignment w:val="center"/>
            </w:pPr>
            <w:hyperlink r:id="rId17" w:anchor="i0151134890c94d98be89f952da24d748_133" w:history="1">
              <w:r>
                <w:rPr>
                  <w:rStyle w:val="a5"/>
                  <w:rFonts w:ascii="Arial" w:eastAsia="宋体" w:hAnsi="Arial" w:cs="Arial"/>
                  <w:color w:val="000000"/>
                  <w:sz w:val="18"/>
                  <w:szCs w:val="18"/>
                  <w:u w:val="none"/>
                </w:rPr>
                <w:t>17</w:t>
              </w:r>
            </w:hyperlink>
          </w:p>
        </w:tc>
      </w:tr>
      <w:tr w:rsidR="003C66EB" w14:paraId="5EA1DB8B" w14:textId="77777777">
        <w:tc>
          <w:tcPr>
            <w:tcW w:w="0" w:type="auto"/>
            <w:gridSpan w:val="3"/>
            <w:shd w:val="clear" w:color="auto" w:fill="auto"/>
            <w:tcMar>
              <w:top w:w="0" w:type="dxa"/>
              <w:left w:w="20" w:type="dxa"/>
              <w:bottom w:w="0" w:type="dxa"/>
              <w:right w:w="20" w:type="dxa"/>
            </w:tcMar>
          </w:tcPr>
          <w:p w14:paraId="5EA1DB8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89" w14:textId="77777777" w:rsidR="003C66EB" w:rsidRDefault="00D96C4E">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5EA1DB8A" w14:textId="77777777" w:rsidR="003C66EB" w:rsidRDefault="00D96C4E">
            <w:pPr>
              <w:jc w:val="right"/>
              <w:textAlignment w:val="center"/>
            </w:pPr>
            <w:hyperlink r:id="rId18" w:anchor="i0151134890c94d98be89f952da24d748_136" w:history="1">
              <w:r>
                <w:rPr>
                  <w:rStyle w:val="a5"/>
                  <w:rFonts w:ascii="Arial" w:eastAsia="宋体" w:hAnsi="Arial" w:cs="Arial"/>
                  <w:color w:val="000000"/>
                  <w:sz w:val="18"/>
                  <w:szCs w:val="18"/>
                  <w:u w:val="none"/>
                </w:rPr>
                <w:t>17</w:t>
              </w:r>
            </w:hyperlink>
          </w:p>
        </w:tc>
      </w:tr>
      <w:tr w:rsidR="003C66EB" w14:paraId="5EA1DB8F" w14:textId="77777777">
        <w:tc>
          <w:tcPr>
            <w:tcW w:w="0" w:type="auto"/>
            <w:gridSpan w:val="3"/>
            <w:shd w:val="clear" w:color="auto" w:fill="auto"/>
            <w:tcMar>
              <w:top w:w="0" w:type="dxa"/>
              <w:left w:w="20" w:type="dxa"/>
              <w:bottom w:w="0" w:type="dxa"/>
              <w:right w:w="20" w:type="dxa"/>
            </w:tcMar>
          </w:tcPr>
          <w:p w14:paraId="5EA1DB8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8D" w14:textId="77777777" w:rsidR="003C66EB" w:rsidRDefault="00D96C4E">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5EA1DB8E" w14:textId="77777777" w:rsidR="003C66EB" w:rsidRDefault="00D96C4E">
            <w:pPr>
              <w:jc w:val="right"/>
              <w:textAlignment w:val="center"/>
            </w:pPr>
            <w:hyperlink r:id="rId19" w:anchor="i0151134890c94d98be89f952da24d748_157" w:history="1">
              <w:r>
                <w:rPr>
                  <w:rStyle w:val="a5"/>
                  <w:rFonts w:ascii="Arial" w:eastAsia="宋体" w:hAnsi="Arial" w:cs="Arial"/>
                  <w:color w:val="000000"/>
                  <w:sz w:val="18"/>
                  <w:szCs w:val="18"/>
                  <w:u w:val="none"/>
                </w:rPr>
                <w:t>21</w:t>
              </w:r>
            </w:hyperlink>
          </w:p>
        </w:tc>
      </w:tr>
      <w:tr w:rsidR="003C66EB" w14:paraId="5EA1DB93" w14:textId="77777777">
        <w:tc>
          <w:tcPr>
            <w:tcW w:w="0" w:type="auto"/>
            <w:gridSpan w:val="3"/>
            <w:shd w:val="clear" w:color="auto" w:fill="auto"/>
            <w:tcMar>
              <w:top w:w="0" w:type="dxa"/>
              <w:left w:w="20" w:type="dxa"/>
              <w:bottom w:w="0" w:type="dxa"/>
              <w:right w:w="20" w:type="dxa"/>
            </w:tcMar>
          </w:tcPr>
          <w:p w14:paraId="5EA1DB90"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91" w14:textId="77777777" w:rsidR="003C66EB" w:rsidRDefault="00D96C4E">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5EA1DB92" w14:textId="77777777" w:rsidR="003C66EB" w:rsidRDefault="00D96C4E">
            <w:pPr>
              <w:jc w:val="right"/>
              <w:textAlignment w:val="center"/>
            </w:pPr>
            <w:hyperlink r:id="rId20" w:anchor="i0151134890c94d98be89f952da24d748_166" w:history="1">
              <w:r>
                <w:rPr>
                  <w:rStyle w:val="a5"/>
                  <w:rFonts w:ascii="Arial" w:eastAsia="宋体" w:hAnsi="Arial" w:cs="Arial"/>
                  <w:color w:val="000000"/>
                  <w:sz w:val="18"/>
                  <w:szCs w:val="18"/>
                  <w:u w:val="none"/>
                </w:rPr>
                <w:t>23</w:t>
              </w:r>
            </w:hyperlink>
          </w:p>
        </w:tc>
      </w:tr>
      <w:tr w:rsidR="003C66EB" w14:paraId="5EA1DB97" w14:textId="77777777">
        <w:tc>
          <w:tcPr>
            <w:tcW w:w="0" w:type="auto"/>
            <w:gridSpan w:val="3"/>
            <w:shd w:val="clear" w:color="auto" w:fill="auto"/>
            <w:tcMar>
              <w:top w:w="0" w:type="dxa"/>
              <w:left w:w="20" w:type="dxa"/>
              <w:bottom w:w="0" w:type="dxa"/>
              <w:right w:w="20" w:type="dxa"/>
            </w:tcMar>
          </w:tcPr>
          <w:p w14:paraId="5EA1DB94"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95" w14:textId="77777777" w:rsidR="003C66EB" w:rsidRDefault="00D96C4E">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5EA1DB96" w14:textId="77777777" w:rsidR="003C66EB" w:rsidRDefault="00D96C4E">
            <w:pPr>
              <w:jc w:val="right"/>
              <w:textAlignment w:val="center"/>
            </w:pPr>
            <w:hyperlink r:id="rId21" w:anchor="i0151134890c94d98be89f952da24d748_169" w:history="1">
              <w:r>
                <w:rPr>
                  <w:rStyle w:val="a5"/>
                  <w:rFonts w:ascii="Arial" w:eastAsia="宋体" w:hAnsi="Arial" w:cs="Arial"/>
                  <w:color w:val="000000"/>
                  <w:sz w:val="18"/>
                  <w:szCs w:val="18"/>
                  <w:u w:val="none"/>
                </w:rPr>
                <w:t>24</w:t>
              </w:r>
            </w:hyperlink>
          </w:p>
        </w:tc>
      </w:tr>
      <w:tr w:rsidR="003C66EB" w14:paraId="5EA1DB9B" w14:textId="77777777">
        <w:tc>
          <w:tcPr>
            <w:tcW w:w="0" w:type="auto"/>
            <w:gridSpan w:val="3"/>
            <w:shd w:val="clear" w:color="auto" w:fill="auto"/>
            <w:tcMar>
              <w:top w:w="0" w:type="dxa"/>
              <w:left w:w="20" w:type="dxa"/>
              <w:bottom w:w="0" w:type="dxa"/>
              <w:right w:w="20" w:type="dxa"/>
            </w:tcMar>
          </w:tcPr>
          <w:p w14:paraId="5EA1DB9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99" w14:textId="77777777" w:rsidR="003C66EB" w:rsidRDefault="00D96C4E">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5EA1DB9A" w14:textId="77777777" w:rsidR="003C66EB" w:rsidRDefault="00D96C4E">
            <w:pPr>
              <w:jc w:val="right"/>
              <w:textAlignment w:val="center"/>
            </w:pPr>
            <w:hyperlink r:id="rId22" w:anchor="i0151134890c94d98be89f952da24d748_178" w:history="1">
              <w:r>
                <w:rPr>
                  <w:rStyle w:val="a5"/>
                  <w:rFonts w:ascii="Arial" w:eastAsia="宋体" w:hAnsi="Arial" w:cs="Arial"/>
                  <w:color w:val="000000"/>
                  <w:sz w:val="18"/>
                  <w:szCs w:val="18"/>
                  <w:u w:val="none"/>
                </w:rPr>
                <w:t>26</w:t>
              </w:r>
            </w:hyperlink>
          </w:p>
        </w:tc>
      </w:tr>
      <w:tr w:rsidR="003C66EB" w14:paraId="5EA1DB9F" w14:textId="77777777">
        <w:tc>
          <w:tcPr>
            <w:tcW w:w="0" w:type="auto"/>
            <w:gridSpan w:val="3"/>
            <w:shd w:val="clear" w:color="auto" w:fill="auto"/>
            <w:tcMar>
              <w:top w:w="0" w:type="dxa"/>
              <w:left w:w="20" w:type="dxa"/>
              <w:bottom w:w="0" w:type="dxa"/>
              <w:right w:w="20" w:type="dxa"/>
            </w:tcMar>
          </w:tcPr>
          <w:p w14:paraId="5EA1DB9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9D" w14:textId="77777777" w:rsidR="003C66EB" w:rsidRDefault="00D96C4E">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5EA1DB9E" w14:textId="77777777" w:rsidR="003C66EB" w:rsidRDefault="00D96C4E">
            <w:pPr>
              <w:jc w:val="right"/>
              <w:textAlignment w:val="center"/>
            </w:pPr>
            <w:hyperlink r:id="rId23" w:anchor="i0151134890c94d98be89f952da24d748_181" w:history="1">
              <w:r>
                <w:rPr>
                  <w:rStyle w:val="a5"/>
                  <w:rFonts w:ascii="Arial" w:eastAsia="宋体" w:hAnsi="Arial" w:cs="Arial"/>
                  <w:color w:val="000000"/>
                  <w:sz w:val="18"/>
                  <w:szCs w:val="18"/>
                  <w:u w:val="none"/>
                </w:rPr>
                <w:t>27</w:t>
              </w:r>
            </w:hyperlink>
          </w:p>
        </w:tc>
      </w:tr>
      <w:tr w:rsidR="003C66EB" w14:paraId="5EA1DBA3" w14:textId="77777777">
        <w:tc>
          <w:tcPr>
            <w:tcW w:w="0" w:type="auto"/>
            <w:gridSpan w:val="3"/>
            <w:shd w:val="clear" w:color="auto" w:fill="auto"/>
            <w:tcMar>
              <w:top w:w="0" w:type="dxa"/>
              <w:left w:w="20" w:type="dxa"/>
              <w:bottom w:w="0" w:type="dxa"/>
              <w:right w:w="20" w:type="dxa"/>
            </w:tcMar>
          </w:tcPr>
          <w:p w14:paraId="5EA1DBA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A1" w14:textId="77777777" w:rsidR="003C66EB" w:rsidRDefault="00D96C4E">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5EA1DBA2" w14:textId="77777777" w:rsidR="003C66EB" w:rsidRDefault="00D96C4E">
            <w:pPr>
              <w:jc w:val="right"/>
              <w:textAlignment w:val="center"/>
            </w:pPr>
            <w:hyperlink r:id="rId24" w:anchor="i0151134890c94d98be89f952da24d748_562" w:history="1">
              <w:r>
                <w:rPr>
                  <w:rStyle w:val="a5"/>
                  <w:rFonts w:ascii="Arial" w:eastAsia="宋体" w:hAnsi="Arial" w:cs="Arial"/>
                  <w:color w:val="000000"/>
                  <w:sz w:val="18"/>
                  <w:szCs w:val="18"/>
                  <w:u w:val="none"/>
                </w:rPr>
                <w:t>27</w:t>
              </w:r>
            </w:hyperlink>
          </w:p>
        </w:tc>
      </w:tr>
      <w:tr w:rsidR="003C66EB" w14:paraId="5EA1DBA7" w14:textId="77777777">
        <w:tc>
          <w:tcPr>
            <w:tcW w:w="0" w:type="auto"/>
            <w:gridSpan w:val="3"/>
            <w:shd w:val="clear" w:color="auto" w:fill="auto"/>
            <w:tcMar>
              <w:top w:w="0" w:type="dxa"/>
              <w:left w:w="20" w:type="dxa"/>
              <w:bottom w:w="0" w:type="dxa"/>
              <w:right w:w="20" w:type="dxa"/>
            </w:tcMar>
          </w:tcPr>
          <w:p w14:paraId="5EA1DBA4"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A5" w14:textId="77777777" w:rsidR="003C66EB" w:rsidRDefault="00D96C4E">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5EA1DBA6" w14:textId="77777777" w:rsidR="003C66EB" w:rsidRDefault="00D96C4E">
            <w:pPr>
              <w:jc w:val="right"/>
              <w:textAlignment w:val="center"/>
            </w:pPr>
            <w:hyperlink r:id="rId25" w:anchor="i0151134890c94d98be89f952da24d748_565" w:history="1">
              <w:r>
                <w:rPr>
                  <w:rStyle w:val="a5"/>
                  <w:rFonts w:ascii="Arial" w:eastAsia="宋体" w:hAnsi="Arial" w:cs="Arial"/>
                  <w:color w:val="000000"/>
                  <w:sz w:val="18"/>
                  <w:szCs w:val="18"/>
                  <w:u w:val="none"/>
                </w:rPr>
                <w:t>28</w:t>
              </w:r>
            </w:hyperlink>
          </w:p>
        </w:tc>
      </w:tr>
      <w:tr w:rsidR="003C66EB" w14:paraId="5EA1DBAB" w14:textId="77777777">
        <w:tc>
          <w:tcPr>
            <w:tcW w:w="0" w:type="auto"/>
            <w:gridSpan w:val="3"/>
            <w:shd w:val="clear" w:color="auto" w:fill="auto"/>
            <w:tcMar>
              <w:top w:w="0" w:type="dxa"/>
              <w:left w:w="20" w:type="dxa"/>
              <w:bottom w:w="0" w:type="dxa"/>
              <w:right w:w="20" w:type="dxa"/>
            </w:tcMar>
          </w:tcPr>
          <w:p w14:paraId="5EA1DBA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A9" w14:textId="77777777" w:rsidR="003C66EB" w:rsidRDefault="00D96C4E">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5EA1DBAA" w14:textId="77777777" w:rsidR="003C66EB" w:rsidRDefault="00D96C4E">
            <w:pPr>
              <w:jc w:val="right"/>
              <w:textAlignment w:val="center"/>
            </w:pPr>
            <w:hyperlink r:id="rId26" w:anchor="i0151134890c94d98be89f952da24d748_226" w:history="1">
              <w:r>
                <w:rPr>
                  <w:rStyle w:val="a5"/>
                  <w:rFonts w:ascii="Arial" w:eastAsia="宋体" w:hAnsi="Arial" w:cs="Arial"/>
                  <w:color w:val="000000"/>
                  <w:sz w:val="18"/>
                  <w:szCs w:val="18"/>
                  <w:u w:val="none"/>
                </w:rPr>
                <w:t>28</w:t>
              </w:r>
            </w:hyperlink>
          </w:p>
        </w:tc>
      </w:tr>
      <w:tr w:rsidR="003C66EB" w14:paraId="5EA1DBAF" w14:textId="77777777">
        <w:tc>
          <w:tcPr>
            <w:tcW w:w="0" w:type="auto"/>
            <w:gridSpan w:val="3"/>
            <w:shd w:val="clear" w:color="auto" w:fill="auto"/>
            <w:tcMar>
              <w:top w:w="0" w:type="dxa"/>
              <w:left w:w="20" w:type="dxa"/>
              <w:bottom w:w="0" w:type="dxa"/>
              <w:right w:w="20" w:type="dxa"/>
            </w:tcMar>
          </w:tcPr>
          <w:p w14:paraId="5EA1DBA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AD" w14:textId="77777777" w:rsidR="003C66EB" w:rsidRDefault="00D96C4E">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5EA1DBAE" w14:textId="77777777" w:rsidR="003C66EB" w:rsidRDefault="00D96C4E">
            <w:pPr>
              <w:jc w:val="right"/>
              <w:textAlignment w:val="center"/>
            </w:pPr>
            <w:hyperlink r:id="rId27" w:anchor="i0151134890c94d98be89f952da24d748_589" w:history="1">
              <w:r>
                <w:rPr>
                  <w:rStyle w:val="a5"/>
                  <w:rFonts w:ascii="Arial" w:eastAsia="宋体" w:hAnsi="Arial" w:cs="Arial"/>
                  <w:color w:val="000000"/>
                  <w:sz w:val="18"/>
                  <w:szCs w:val="18"/>
                  <w:u w:val="none"/>
                </w:rPr>
                <w:t>32</w:t>
              </w:r>
            </w:hyperlink>
          </w:p>
        </w:tc>
      </w:tr>
      <w:tr w:rsidR="003C66EB" w14:paraId="5EA1DBB3" w14:textId="77777777">
        <w:tc>
          <w:tcPr>
            <w:tcW w:w="0" w:type="auto"/>
            <w:gridSpan w:val="3"/>
            <w:shd w:val="clear" w:color="auto" w:fill="auto"/>
            <w:tcMar>
              <w:top w:w="0" w:type="dxa"/>
              <w:left w:w="20" w:type="dxa"/>
              <w:bottom w:w="0" w:type="dxa"/>
              <w:right w:w="20" w:type="dxa"/>
            </w:tcMar>
          </w:tcPr>
          <w:p w14:paraId="5EA1DBB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B1" w14:textId="77777777" w:rsidR="003C66EB" w:rsidRDefault="00D96C4E">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5EA1DBB2" w14:textId="77777777" w:rsidR="003C66EB" w:rsidRDefault="00D96C4E">
            <w:pPr>
              <w:jc w:val="right"/>
              <w:textAlignment w:val="center"/>
            </w:pPr>
            <w:hyperlink r:id="rId28" w:anchor="i0151134890c94d98be89f952da24d748_595" w:history="1">
              <w:r>
                <w:rPr>
                  <w:rStyle w:val="a5"/>
                  <w:rFonts w:ascii="Arial" w:eastAsia="宋体" w:hAnsi="Arial" w:cs="Arial"/>
                  <w:color w:val="000000"/>
                  <w:sz w:val="18"/>
                  <w:szCs w:val="18"/>
                  <w:u w:val="none"/>
                </w:rPr>
                <w:t>33</w:t>
              </w:r>
            </w:hyperlink>
          </w:p>
        </w:tc>
      </w:tr>
      <w:tr w:rsidR="003C66EB" w14:paraId="5EA1DBB7" w14:textId="77777777">
        <w:tc>
          <w:tcPr>
            <w:tcW w:w="0" w:type="auto"/>
            <w:gridSpan w:val="3"/>
            <w:shd w:val="clear" w:color="auto" w:fill="auto"/>
            <w:tcMar>
              <w:top w:w="0" w:type="dxa"/>
              <w:left w:w="20" w:type="dxa"/>
              <w:bottom w:w="0" w:type="dxa"/>
              <w:right w:w="20" w:type="dxa"/>
            </w:tcMar>
          </w:tcPr>
          <w:p w14:paraId="5EA1DBB4"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B5" w14:textId="77777777" w:rsidR="003C66EB" w:rsidRDefault="00D96C4E">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5EA1DBB6" w14:textId="77777777" w:rsidR="003C66EB" w:rsidRDefault="00D96C4E">
            <w:pPr>
              <w:jc w:val="right"/>
              <w:textAlignment w:val="center"/>
            </w:pPr>
            <w:hyperlink r:id="rId29" w:anchor="i0151134890c94d98be89f952da24d748_268" w:history="1">
              <w:r>
                <w:rPr>
                  <w:rStyle w:val="a5"/>
                  <w:rFonts w:ascii="Arial" w:eastAsia="宋体" w:hAnsi="Arial" w:cs="Arial"/>
                  <w:color w:val="000000"/>
                  <w:sz w:val="18"/>
                  <w:szCs w:val="18"/>
                  <w:u w:val="none"/>
                </w:rPr>
                <w:t>33</w:t>
              </w:r>
            </w:hyperlink>
          </w:p>
        </w:tc>
      </w:tr>
      <w:tr w:rsidR="003C66EB" w14:paraId="5EA1DBBB" w14:textId="77777777">
        <w:tc>
          <w:tcPr>
            <w:tcW w:w="0" w:type="auto"/>
            <w:gridSpan w:val="3"/>
            <w:shd w:val="clear" w:color="auto" w:fill="auto"/>
            <w:tcMar>
              <w:top w:w="0" w:type="dxa"/>
              <w:left w:w="20" w:type="dxa"/>
              <w:bottom w:w="0" w:type="dxa"/>
              <w:right w:w="20" w:type="dxa"/>
            </w:tcMar>
          </w:tcPr>
          <w:p w14:paraId="5EA1DBB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B9" w14:textId="77777777" w:rsidR="003C66EB" w:rsidRDefault="00D96C4E">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5EA1DBBA" w14:textId="77777777" w:rsidR="003C66EB" w:rsidRDefault="00D96C4E">
            <w:pPr>
              <w:jc w:val="right"/>
              <w:textAlignment w:val="center"/>
            </w:pPr>
            <w:hyperlink r:id="rId30" w:anchor="i0151134890c94d98be89f952da24d748_5664" w:history="1">
              <w:r>
                <w:rPr>
                  <w:rStyle w:val="a5"/>
                  <w:rFonts w:ascii="Arial" w:eastAsia="宋体" w:hAnsi="Arial" w:cs="Arial"/>
                  <w:color w:val="000000"/>
                  <w:sz w:val="18"/>
                  <w:szCs w:val="18"/>
                  <w:u w:val="none"/>
                </w:rPr>
                <w:t>37</w:t>
              </w:r>
            </w:hyperlink>
          </w:p>
        </w:tc>
      </w:tr>
      <w:tr w:rsidR="003C66EB" w14:paraId="5EA1DBBF" w14:textId="77777777">
        <w:tc>
          <w:tcPr>
            <w:tcW w:w="0" w:type="auto"/>
            <w:gridSpan w:val="3"/>
            <w:shd w:val="clear" w:color="auto" w:fill="auto"/>
            <w:tcMar>
              <w:top w:w="0" w:type="dxa"/>
              <w:left w:w="20" w:type="dxa"/>
              <w:bottom w:w="0" w:type="dxa"/>
              <w:right w:w="20" w:type="dxa"/>
            </w:tcMar>
          </w:tcPr>
          <w:p w14:paraId="5EA1DBB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BD" w14:textId="77777777" w:rsidR="003C66EB" w:rsidRDefault="00D96C4E">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5EA1DBBE" w14:textId="77777777" w:rsidR="003C66EB" w:rsidRDefault="00D96C4E">
            <w:pPr>
              <w:jc w:val="right"/>
              <w:textAlignment w:val="center"/>
            </w:pPr>
            <w:hyperlink r:id="rId31" w:anchor="i0151134890c94d98be89f952da24d748_586" w:history="1">
              <w:r>
                <w:rPr>
                  <w:rStyle w:val="a5"/>
                  <w:rFonts w:ascii="Arial" w:eastAsia="宋体" w:hAnsi="Arial" w:cs="Arial"/>
                  <w:color w:val="000000"/>
                  <w:sz w:val="18"/>
                  <w:szCs w:val="18"/>
                  <w:u w:val="none"/>
                </w:rPr>
                <w:t>37</w:t>
              </w:r>
            </w:hyperlink>
          </w:p>
        </w:tc>
      </w:tr>
      <w:tr w:rsidR="003C66EB" w14:paraId="5EA1DBC3" w14:textId="77777777">
        <w:tc>
          <w:tcPr>
            <w:tcW w:w="0" w:type="auto"/>
            <w:gridSpan w:val="3"/>
            <w:shd w:val="clear" w:color="auto" w:fill="auto"/>
            <w:tcMar>
              <w:top w:w="0" w:type="dxa"/>
              <w:left w:w="20" w:type="dxa"/>
              <w:bottom w:w="0" w:type="dxa"/>
              <w:right w:w="20" w:type="dxa"/>
            </w:tcMar>
          </w:tcPr>
          <w:p w14:paraId="5EA1DBC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C1" w14:textId="77777777" w:rsidR="003C66EB" w:rsidRDefault="00D96C4E">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5EA1DBC2" w14:textId="77777777" w:rsidR="003C66EB" w:rsidRDefault="00D96C4E">
            <w:pPr>
              <w:jc w:val="right"/>
              <w:textAlignment w:val="center"/>
            </w:pPr>
            <w:hyperlink r:id="rId32" w:anchor="i0151134890c94d98be89f952da24d748_298" w:history="1">
              <w:r>
                <w:rPr>
                  <w:rStyle w:val="a5"/>
                  <w:rFonts w:ascii="Arial" w:eastAsia="宋体" w:hAnsi="Arial" w:cs="Arial"/>
                  <w:color w:val="000000"/>
                  <w:sz w:val="18"/>
                  <w:szCs w:val="18"/>
                  <w:u w:val="none"/>
                </w:rPr>
                <w:t>37</w:t>
              </w:r>
            </w:hyperlink>
          </w:p>
        </w:tc>
      </w:tr>
      <w:tr w:rsidR="003C66EB" w14:paraId="5EA1DBC7" w14:textId="77777777">
        <w:tc>
          <w:tcPr>
            <w:tcW w:w="0" w:type="auto"/>
            <w:gridSpan w:val="3"/>
            <w:shd w:val="clear" w:color="auto" w:fill="auto"/>
            <w:tcMar>
              <w:top w:w="0" w:type="dxa"/>
              <w:left w:w="20" w:type="dxa"/>
              <w:bottom w:w="0" w:type="dxa"/>
              <w:right w:w="20" w:type="dxa"/>
            </w:tcMar>
          </w:tcPr>
          <w:p w14:paraId="5EA1DBC4"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C5" w14:textId="77777777" w:rsidR="003C66EB" w:rsidRDefault="00D96C4E">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5EA1DBC6" w14:textId="77777777" w:rsidR="003C66EB" w:rsidRDefault="00D96C4E">
            <w:pPr>
              <w:jc w:val="right"/>
              <w:textAlignment w:val="center"/>
            </w:pPr>
            <w:hyperlink r:id="rId33" w:anchor="i0151134890c94d98be89f952da24d748_346" w:history="1">
              <w:r>
                <w:rPr>
                  <w:rStyle w:val="a5"/>
                  <w:rFonts w:ascii="Arial" w:eastAsia="宋体" w:hAnsi="Arial" w:cs="Arial"/>
                  <w:color w:val="000000"/>
                  <w:sz w:val="18"/>
                  <w:szCs w:val="18"/>
                  <w:u w:val="none"/>
                </w:rPr>
                <w:t>46</w:t>
              </w:r>
            </w:hyperlink>
          </w:p>
        </w:tc>
      </w:tr>
      <w:tr w:rsidR="003C66EB" w14:paraId="5EA1DBCB" w14:textId="77777777">
        <w:trPr>
          <w:hidden/>
        </w:trPr>
        <w:tc>
          <w:tcPr>
            <w:tcW w:w="0" w:type="auto"/>
            <w:gridSpan w:val="3"/>
            <w:shd w:val="clear" w:color="auto" w:fill="auto"/>
          </w:tcPr>
          <w:p w14:paraId="5EA1DBC8" w14:textId="77777777" w:rsidR="003C66EB" w:rsidRDefault="003C66EB">
            <w:pPr>
              <w:rPr>
                <w:rFonts w:ascii="宋体"/>
                <w:vanish/>
              </w:rPr>
            </w:pPr>
          </w:p>
        </w:tc>
        <w:tc>
          <w:tcPr>
            <w:tcW w:w="0" w:type="auto"/>
            <w:gridSpan w:val="3"/>
            <w:shd w:val="clear" w:color="auto" w:fill="auto"/>
          </w:tcPr>
          <w:p w14:paraId="5EA1DBC9" w14:textId="77777777" w:rsidR="003C66EB" w:rsidRDefault="003C66EB">
            <w:pPr>
              <w:rPr>
                <w:rFonts w:ascii="宋体"/>
                <w:vanish/>
              </w:rPr>
            </w:pPr>
          </w:p>
        </w:tc>
        <w:tc>
          <w:tcPr>
            <w:tcW w:w="0" w:type="auto"/>
            <w:gridSpan w:val="3"/>
            <w:shd w:val="clear" w:color="auto" w:fill="auto"/>
          </w:tcPr>
          <w:p w14:paraId="5EA1DBCA" w14:textId="77777777" w:rsidR="003C66EB" w:rsidRDefault="003C66EB">
            <w:pPr>
              <w:rPr>
                <w:rFonts w:ascii="宋体"/>
                <w:vanish/>
              </w:rPr>
            </w:pPr>
          </w:p>
        </w:tc>
      </w:tr>
      <w:tr w:rsidR="003C66EB" w14:paraId="5EA1DBCF" w14:textId="77777777">
        <w:tc>
          <w:tcPr>
            <w:tcW w:w="0" w:type="auto"/>
            <w:gridSpan w:val="3"/>
            <w:shd w:val="clear" w:color="auto" w:fill="auto"/>
            <w:tcMar>
              <w:top w:w="0" w:type="dxa"/>
              <w:left w:w="20" w:type="dxa"/>
              <w:bottom w:w="0" w:type="dxa"/>
              <w:right w:w="20" w:type="dxa"/>
            </w:tcMar>
          </w:tcPr>
          <w:p w14:paraId="5EA1DBCC" w14:textId="77777777" w:rsidR="003C66EB" w:rsidRDefault="003C66EB">
            <w:pPr>
              <w:rPr>
                <w:rFonts w:ascii="宋体"/>
              </w:rPr>
            </w:pPr>
          </w:p>
        </w:tc>
        <w:tc>
          <w:tcPr>
            <w:tcW w:w="0" w:type="auto"/>
            <w:gridSpan w:val="3"/>
            <w:shd w:val="clear" w:color="auto" w:fill="auto"/>
            <w:tcMar>
              <w:top w:w="40" w:type="dxa"/>
              <w:left w:w="380" w:type="dxa"/>
              <w:bottom w:w="40" w:type="dxa"/>
              <w:right w:w="20" w:type="dxa"/>
            </w:tcMar>
            <w:vAlign w:val="center"/>
          </w:tcPr>
          <w:p w14:paraId="5EA1DBCD" w14:textId="77777777" w:rsidR="003C66EB" w:rsidRDefault="00D96C4E">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5EA1DBCE" w14:textId="77777777" w:rsidR="003C66EB" w:rsidRDefault="00D96C4E">
            <w:pPr>
              <w:jc w:val="right"/>
              <w:textAlignment w:val="center"/>
            </w:pPr>
            <w:hyperlink r:id="rId34" w:anchor="i0151134890c94d98be89f952da24d748_352" w:history="1">
              <w:r>
                <w:rPr>
                  <w:rStyle w:val="a5"/>
                  <w:rFonts w:ascii="Arial" w:eastAsia="宋体" w:hAnsi="Arial" w:cs="Arial"/>
                  <w:color w:val="000000"/>
                  <w:sz w:val="18"/>
                  <w:szCs w:val="18"/>
                  <w:u w:val="none"/>
                </w:rPr>
                <w:t>46</w:t>
              </w:r>
            </w:hyperlink>
          </w:p>
        </w:tc>
      </w:tr>
      <w:tr w:rsidR="003C66EB" w14:paraId="5EA1DBD3" w14:textId="77777777">
        <w:tc>
          <w:tcPr>
            <w:tcW w:w="0" w:type="auto"/>
            <w:gridSpan w:val="3"/>
            <w:shd w:val="clear" w:color="auto" w:fill="auto"/>
            <w:tcMar>
              <w:top w:w="0" w:type="dxa"/>
              <w:left w:w="155" w:type="dxa"/>
              <w:bottom w:w="0" w:type="dxa"/>
              <w:right w:w="20" w:type="dxa"/>
            </w:tcMar>
          </w:tcPr>
          <w:p w14:paraId="5EA1DBD0" w14:textId="77777777" w:rsidR="003C66EB" w:rsidRDefault="003C66EB">
            <w:pPr>
              <w:rPr>
                <w:rFonts w:ascii="宋体"/>
              </w:rPr>
            </w:pPr>
          </w:p>
        </w:tc>
        <w:tc>
          <w:tcPr>
            <w:tcW w:w="0" w:type="auto"/>
            <w:gridSpan w:val="3"/>
            <w:shd w:val="clear" w:color="auto" w:fill="auto"/>
            <w:tcMar>
              <w:top w:w="40" w:type="dxa"/>
              <w:left w:w="155" w:type="dxa"/>
              <w:bottom w:w="40" w:type="dxa"/>
              <w:right w:w="20" w:type="dxa"/>
            </w:tcMar>
            <w:vAlign w:val="center"/>
          </w:tcPr>
          <w:p w14:paraId="5EA1DBD1" w14:textId="77777777" w:rsidR="003C66EB" w:rsidRDefault="00D96C4E">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5EA1DBD2" w14:textId="77777777" w:rsidR="003C66EB" w:rsidRDefault="00D96C4E">
            <w:pPr>
              <w:jc w:val="right"/>
              <w:textAlignment w:val="center"/>
            </w:pPr>
            <w:hyperlink r:id="rId35" w:anchor="i0151134890c94d98be89f952da24d748_355" w:history="1">
              <w:r>
                <w:rPr>
                  <w:rStyle w:val="a5"/>
                  <w:rFonts w:ascii="Arial" w:eastAsia="宋体" w:hAnsi="Arial" w:cs="Arial"/>
                  <w:color w:val="000000"/>
                  <w:sz w:val="18"/>
                  <w:szCs w:val="18"/>
                  <w:u w:val="none"/>
                </w:rPr>
                <w:t>47</w:t>
              </w:r>
            </w:hyperlink>
          </w:p>
        </w:tc>
      </w:tr>
      <w:tr w:rsidR="003C66EB" w14:paraId="5EA1DBD7" w14:textId="77777777">
        <w:tc>
          <w:tcPr>
            <w:tcW w:w="0" w:type="auto"/>
            <w:gridSpan w:val="3"/>
            <w:shd w:val="clear" w:color="auto" w:fill="auto"/>
            <w:tcMar>
              <w:top w:w="0" w:type="dxa"/>
              <w:left w:w="20" w:type="dxa"/>
              <w:bottom w:w="0" w:type="dxa"/>
              <w:right w:w="20" w:type="dxa"/>
            </w:tcMar>
          </w:tcPr>
          <w:p w14:paraId="5EA1DBD4" w14:textId="77777777" w:rsidR="003C66EB" w:rsidRDefault="003C66EB">
            <w:pPr>
              <w:rPr>
                <w:rFonts w:ascii="宋体"/>
              </w:rPr>
            </w:pPr>
          </w:p>
        </w:tc>
        <w:tc>
          <w:tcPr>
            <w:tcW w:w="0" w:type="auto"/>
            <w:gridSpan w:val="3"/>
            <w:shd w:val="clear" w:color="auto" w:fill="auto"/>
            <w:tcMar>
              <w:top w:w="40" w:type="dxa"/>
              <w:left w:w="155" w:type="dxa"/>
              <w:bottom w:w="40" w:type="dxa"/>
              <w:right w:w="20" w:type="dxa"/>
            </w:tcMar>
            <w:vAlign w:val="center"/>
          </w:tcPr>
          <w:p w14:paraId="5EA1DBD5" w14:textId="77777777" w:rsidR="003C66EB" w:rsidRDefault="00D96C4E">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5EA1DBD6" w14:textId="77777777" w:rsidR="003C66EB" w:rsidRDefault="00D96C4E">
            <w:pPr>
              <w:jc w:val="right"/>
              <w:textAlignment w:val="center"/>
            </w:pPr>
            <w:hyperlink r:id="rId36" w:anchor="i0151134890c94d98be89f952da24d748_637" w:history="1">
              <w:r>
                <w:rPr>
                  <w:rStyle w:val="a5"/>
                  <w:rFonts w:ascii="Arial" w:eastAsia="宋体" w:hAnsi="Arial" w:cs="Arial"/>
                  <w:color w:val="000000"/>
                  <w:sz w:val="18"/>
                  <w:szCs w:val="18"/>
                  <w:u w:val="none"/>
                </w:rPr>
                <w:t>47</w:t>
              </w:r>
            </w:hyperlink>
          </w:p>
        </w:tc>
      </w:tr>
      <w:tr w:rsidR="003C66EB" w14:paraId="5EA1DBDB" w14:textId="77777777">
        <w:tc>
          <w:tcPr>
            <w:tcW w:w="0" w:type="auto"/>
            <w:gridSpan w:val="3"/>
            <w:shd w:val="clear" w:color="auto" w:fill="auto"/>
            <w:tcMar>
              <w:top w:w="0" w:type="dxa"/>
              <w:left w:w="155" w:type="dxa"/>
              <w:bottom w:w="0" w:type="dxa"/>
              <w:right w:w="20" w:type="dxa"/>
            </w:tcMar>
          </w:tcPr>
          <w:p w14:paraId="5EA1DBD8" w14:textId="77777777" w:rsidR="003C66EB" w:rsidRDefault="003C66EB">
            <w:pPr>
              <w:rPr>
                <w:rFonts w:ascii="宋体"/>
              </w:rPr>
            </w:pPr>
          </w:p>
        </w:tc>
        <w:tc>
          <w:tcPr>
            <w:tcW w:w="0" w:type="auto"/>
            <w:gridSpan w:val="3"/>
            <w:shd w:val="clear" w:color="auto" w:fill="auto"/>
            <w:tcMar>
              <w:top w:w="40" w:type="dxa"/>
              <w:left w:w="155" w:type="dxa"/>
              <w:bottom w:w="40" w:type="dxa"/>
              <w:right w:w="20" w:type="dxa"/>
            </w:tcMar>
            <w:vAlign w:val="center"/>
          </w:tcPr>
          <w:p w14:paraId="5EA1DBD9" w14:textId="77777777" w:rsidR="003C66EB" w:rsidRDefault="00D96C4E">
            <w:pPr>
              <w:textAlignment w:val="center"/>
            </w:pPr>
            <w:r>
              <w:rPr>
                <w:rFonts w:ascii="Arial" w:eastAsia="宋体" w:hAnsi="Arial" w:cs="Arial"/>
                <w:b/>
                <w:bCs/>
                <w:color w:val="000000"/>
                <w:sz w:val="18"/>
                <w:szCs w:val="18"/>
              </w:rPr>
              <w:t>Consolidated Financial Statements</w:t>
            </w:r>
          </w:p>
        </w:tc>
        <w:tc>
          <w:tcPr>
            <w:tcW w:w="0" w:type="auto"/>
            <w:gridSpan w:val="3"/>
            <w:shd w:val="clear" w:color="auto" w:fill="auto"/>
            <w:tcMar>
              <w:top w:w="40" w:type="dxa"/>
              <w:left w:w="20" w:type="dxa"/>
              <w:bottom w:w="40" w:type="dxa"/>
              <w:right w:w="20" w:type="dxa"/>
            </w:tcMar>
            <w:vAlign w:val="center"/>
          </w:tcPr>
          <w:p w14:paraId="5EA1DBDA" w14:textId="77777777" w:rsidR="003C66EB" w:rsidRDefault="00D96C4E">
            <w:pPr>
              <w:jc w:val="right"/>
              <w:textAlignment w:val="center"/>
            </w:pPr>
            <w:hyperlink r:id="rId37" w:anchor="i0151134890c94d98be89f952da24d748_364" w:history="1">
              <w:r>
                <w:rPr>
                  <w:rStyle w:val="a5"/>
                  <w:rFonts w:ascii="Arial" w:eastAsia="宋体" w:hAnsi="Arial" w:cs="Arial"/>
                  <w:color w:val="000000"/>
                  <w:sz w:val="18"/>
                  <w:szCs w:val="18"/>
                  <w:u w:val="none"/>
                </w:rPr>
                <w:t>48</w:t>
              </w:r>
            </w:hyperlink>
          </w:p>
        </w:tc>
      </w:tr>
      <w:tr w:rsidR="003C66EB" w14:paraId="5EA1DBDF" w14:textId="77777777">
        <w:tc>
          <w:tcPr>
            <w:tcW w:w="0" w:type="auto"/>
            <w:gridSpan w:val="3"/>
            <w:shd w:val="clear" w:color="auto" w:fill="auto"/>
            <w:tcMar>
              <w:top w:w="0" w:type="dxa"/>
              <w:left w:w="20" w:type="dxa"/>
              <w:bottom w:w="0" w:type="dxa"/>
              <w:right w:w="20" w:type="dxa"/>
            </w:tcMar>
          </w:tcPr>
          <w:p w14:paraId="5EA1DBD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DD" w14:textId="77777777" w:rsidR="003C66EB" w:rsidRDefault="00D96C4E">
            <w:pPr>
              <w:textAlignment w:val="center"/>
            </w:pPr>
            <w:r>
              <w:rPr>
                <w:rFonts w:ascii="Arial" w:eastAsia="宋体" w:hAnsi="Arial" w:cs="Arial"/>
                <w:color w:val="000000"/>
                <w:sz w:val="18"/>
                <w:szCs w:val="18"/>
              </w:rPr>
              <w:t>Consolidated Statement of Income (unaudited)</w:t>
            </w:r>
          </w:p>
        </w:tc>
        <w:tc>
          <w:tcPr>
            <w:tcW w:w="0" w:type="auto"/>
            <w:gridSpan w:val="3"/>
            <w:shd w:val="clear" w:color="auto" w:fill="auto"/>
            <w:tcMar>
              <w:top w:w="40" w:type="dxa"/>
              <w:left w:w="20" w:type="dxa"/>
              <w:bottom w:w="40" w:type="dxa"/>
              <w:right w:w="20" w:type="dxa"/>
            </w:tcMar>
            <w:vAlign w:val="center"/>
          </w:tcPr>
          <w:p w14:paraId="5EA1DBDE" w14:textId="77777777" w:rsidR="003C66EB" w:rsidRDefault="00D96C4E">
            <w:pPr>
              <w:jc w:val="right"/>
              <w:textAlignment w:val="center"/>
            </w:pPr>
            <w:hyperlink r:id="rId38" w:anchor="i0151134890c94d98be89f952da24d748_364" w:history="1">
              <w:r>
                <w:rPr>
                  <w:rStyle w:val="a5"/>
                  <w:rFonts w:ascii="Arial" w:eastAsia="宋体" w:hAnsi="Arial" w:cs="Arial"/>
                  <w:color w:val="000000"/>
                  <w:sz w:val="18"/>
                  <w:szCs w:val="18"/>
                  <w:u w:val="none"/>
                </w:rPr>
                <w:t>48</w:t>
              </w:r>
            </w:hyperlink>
          </w:p>
        </w:tc>
      </w:tr>
      <w:tr w:rsidR="003C66EB" w14:paraId="5EA1DBE3" w14:textId="77777777">
        <w:tc>
          <w:tcPr>
            <w:tcW w:w="0" w:type="auto"/>
            <w:gridSpan w:val="3"/>
            <w:shd w:val="clear" w:color="auto" w:fill="auto"/>
            <w:tcMar>
              <w:top w:w="0" w:type="dxa"/>
              <w:left w:w="20" w:type="dxa"/>
              <w:bottom w:w="0" w:type="dxa"/>
              <w:right w:w="20" w:type="dxa"/>
            </w:tcMar>
          </w:tcPr>
          <w:p w14:paraId="5EA1DBE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E1" w14:textId="77777777" w:rsidR="003C66EB" w:rsidRDefault="00D96C4E">
            <w:pPr>
              <w:textAlignment w:val="center"/>
            </w:pPr>
            <w:r>
              <w:rPr>
                <w:rFonts w:ascii="Arial" w:eastAsia="宋体" w:hAnsi="Arial" w:cs="Arial"/>
                <w:color w:val="000000"/>
                <w:sz w:val="18"/>
                <w:szCs w:val="18"/>
              </w:rPr>
              <w:t>Consolidated Statement of Comprehensive Income (loss) (unaudited)</w:t>
            </w:r>
          </w:p>
        </w:tc>
        <w:tc>
          <w:tcPr>
            <w:tcW w:w="0" w:type="auto"/>
            <w:gridSpan w:val="3"/>
            <w:shd w:val="clear" w:color="auto" w:fill="auto"/>
            <w:tcMar>
              <w:top w:w="40" w:type="dxa"/>
              <w:left w:w="20" w:type="dxa"/>
              <w:bottom w:w="40" w:type="dxa"/>
              <w:right w:w="20" w:type="dxa"/>
            </w:tcMar>
            <w:vAlign w:val="center"/>
          </w:tcPr>
          <w:p w14:paraId="5EA1DBE2" w14:textId="77777777" w:rsidR="003C66EB" w:rsidRDefault="00D96C4E">
            <w:pPr>
              <w:jc w:val="right"/>
              <w:textAlignment w:val="center"/>
            </w:pPr>
            <w:hyperlink r:id="rId39" w:anchor="i0151134890c94d98be89f952da24d748_367" w:history="1">
              <w:r>
                <w:rPr>
                  <w:rStyle w:val="a5"/>
                  <w:rFonts w:ascii="Arial" w:eastAsia="宋体" w:hAnsi="Arial" w:cs="Arial"/>
                  <w:color w:val="000000"/>
                  <w:sz w:val="18"/>
                  <w:szCs w:val="18"/>
                  <w:u w:val="none"/>
                </w:rPr>
                <w:t>49</w:t>
              </w:r>
            </w:hyperlink>
          </w:p>
        </w:tc>
      </w:tr>
      <w:tr w:rsidR="003C66EB" w14:paraId="5EA1DBE7" w14:textId="77777777">
        <w:tc>
          <w:tcPr>
            <w:tcW w:w="0" w:type="auto"/>
            <w:gridSpan w:val="3"/>
            <w:shd w:val="clear" w:color="auto" w:fill="auto"/>
            <w:tcMar>
              <w:top w:w="0" w:type="dxa"/>
              <w:left w:w="20" w:type="dxa"/>
              <w:bottom w:w="0" w:type="dxa"/>
              <w:right w:w="20" w:type="dxa"/>
            </w:tcMar>
          </w:tcPr>
          <w:p w14:paraId="5EA1DBE4"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E5" w14:textId="77777777" w:rsidR="003C66EB" w:rsidRDefault="00D96C4E">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5EA1DBE6" w14:textId="77777777" w:rsidR="003C66EB" w:rsidRDefault="00D96C4E">
            <w:pPr>
              <w:jc w:val="right"/>
              <w:textAlignment w:val="center"/>
            </w:pPr>
            <w:hyperlink r:id="rId40" w:anchor="i0151134890c94d98be89f952da24d748_370" w:history="1">
              <w:r>
                <w:rPr>
                  <w:rStyle w:val="a5"/>
                  <w:rFonts w:ascii="Arial" w:eastAsia="宋体" w:hAnsi="Arial" w:cs="Arial"/>
                  <w:color w:val="000000"/>
                  <w:sz w:val="18"/>
                  <w:szCs w:val="18"/>
                  <w:u w:val="none"/>
                </w:rPr>
                <w:t>50</w:t>
              </w:r>
            </w:hyperlink>
          </w:p>
        </w:tc>
      </w:tr>
      <w:tr w:rsidR="003C66EB" w14:paraId="5EA1DBEB" w14:textId="77777777">
        <w:tc>
          <w:tcPr>
            <w:tcW w:w="0" w:type="auto"/>
            <w:gridSpan w:val="3"/>
            <w:shd w:val="clear" w:color="auto" w:fill="auto"/>
            <w:tcMar>
              <w:top w:w="0" w:type="dxa"/>
              <w:left w:w="20" w:type="dxa"/>
              <w:bottom w:w="0" w:type="dxa"/>
              <w:right w:w="20" w:type="dxa"/>
            </w:tcMar>
          </w:tcPr>
          <w:p w14:paraId="5EA1DBE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E9" w14:textId="77777777" w:rsidR="003C66EB" w:rsidRDefault="00D96C4E">
            <w:pPr>
              <w:textAlignment w:val="center"/>
            </w:pPr>
            <w:r>
              <w:rPr>
                <w:rFonts w:ascii="Arial" w:eastAsia="宋体" w:hAnsi="Arial" w:cs="Arial"/>
                <w:color w:val="000000"/>
                <w:sz w:val="18"/>
                <w:szCs w:val="18"/>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5EA1DBEA" w14:textId="77777777" w:rsidR="003C66EB" w:rsidRDefault="00D96C4E">
            <w:pPr>
              <w:jc w:val="right"/>
              <w:textAlignment w:val="center"/>
            </w:pPr>
            <w:hyperlink r:id="rId41" w:anchor="i0151134890c94d98be89f952da24d748_373" w:history="1">
              <w:r>
                <w:rPr>
                  <w:rStyle w:val="a5"/>
                  <w:rFonts w:ascii="Arial" w:eastAsia="宋体" w:hAnsi="Arial" w:cs="Arial"/>
                  <w:color w:val="000000"/>
                  <w:sz w:val="18"/>
                  <w:szCs w:val="18"/>
                  <w:u w:val="none"/>
                </w:rPr>
                <w:t>51</w:t>
              </w:r>
            </w:hyperlink>
          </w:p>
        </w:tc>
      </w:tr>
      <w:tr w:rsidR="003C66EB" w14:paraId="5EA1DBEF" w14:textId="77777777">
        <w:tc>
          <w:tcPr>
            <w:tcW w:w="0" w:type="auto"/>
            <w:gridSpan w:val="3"/>
            <w:shd w:val="clear" w:color="auto" w:fill="auto"/>
            <w:tcMar>
              <w:top w:w="0" w:type="dxa"/>
              <w:left w:w="20" w:type="dxa"/>
              <w:bottom w:w="0" w:type="dxa"/>
              <w:right w:w="20" w:type="dxa"/>
            </w:tcMar>
          </w:tcPr>
          <w:p w14:paraId="5EA1DBE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ED" w14:textId="77777777" w:rsidR="003C66EB" w:rsidRDefault="00D96C4E">
            <w:pPr>
              <w:textAlignment w:val="center"/>
            </w:pPr>
            <w:r>
              <w:rPr>
                <w:rFonts w:ascii="Arial" w:eastAsia="宋体" w:hAnsi="Arial" w:cs="Arial"/>
                <w:color w:val="000000"/>
                <w:sz w:val="18"/>
                <w:szCs w:val="18"/>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5EA1DBEE" w14:textId="77777777" w:rsidR="003C66EB" w:rsidRDefault="00D96C4E">
            <w:pPr>
              <w:jc w:val="right"/>
              <w:textAlignment w:val="center"/>
            </w:pPr>
            <w:hyperlink r:id="rId42" w:anchor="i0151134890c94d98be89f952da24d748_376" w:history="1">
              <w:r>
                <w:rPr>
                  <w:rStyle w:val="a5"/>
                  <w:rFonts w:ascii="Arial" w:eastAsia="宋体" w:hAnsi="Arial" w:cs="Arial"/>
                  <w:color w:val="000000"/>
                  <w:sz w:val="18"/>
                  <w:szCs w:val="18"/>
                  <w:u w:val="none"/>
                </w:rPr>
                <w:t>52</w:t>
              </w:r>
            </w:hyperlink>
          </w:p>
        </w:tc>
      </w:tr>
      <w:tr w:rsidR="003C66EB" w14:paraId="5EA1DBF3" w14:textId="77777777">
        <w:tc>
          <w:tcPr>
            <w:tcW w:w="0" w:type="auto"/>
            <w:gridSpan w:val="3"/>
            <w:shd w:val="clear" w:color="auto" w:fill="auto"/>
            <w:tcMar>
              <w:top w:w="0" w:type="dxa"/>
              <w:left w:w="20" w:type="dxa"/>
              <w:bottom w:w="0" w:type="dxa"/>
              <w:right w:w="20" w:type="dxa"/>
            </w:tcMar>
          </w:tcPr>
          <w:p w14:paraId="5EA1DBF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F1" w14:textId="77777777" w:rsidR="003C66EB" w:rsidRDefault="00D96C4E">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5EA1DBF2" w14:textId="77777777" w:rsidR="003C66EB" w:rsidRDefault="00D96C4E">
            <w:pPr>
              <w:jc w:val="right"/>
              <w:textAlignment w:val="center"/>
            </w:pPr>
            <w:hyperlink r:id="rId43" w:anchor="i0151134890c94d98be89f952da24d748_382" w:history="1">
              <w:r>
                <w:rPr>
                  <w:rStyle w:val="a5"/>
                  <w:rFonts w:ascii="Arial" w:eastAsia="宋体" w:hAnsi="Arial" w:cs="Arial"/>
                  <w:color w:val="000000"/>
                  <w:sz w:val="18"/>
                  <w:szCs w:val="18"/>
                  <w:u w:val="none"/>
                </w:rPr>
                <w:t>53</w:t>
              </w:r>
            </w:hyperlink>
          </w:p>
        </w:tc>
      </w:tr>
      <w:tr w:rsidR="003C66EB" w14:paraId="5EA1DBF7" w14:textId="77777777">
        <w:tc>
          <w:tcPr>
            <w:tcW w:w="0" w:type="auto"/>
            <w:gridSpan w:val="3"/>
            <w:shd w:val="clear" w:color="auto" w:fill="auto"/>
            <w:tcMar>
              <w:top w:w="0" w:type="dxa"/>
              <w:left w:w="20" w:type="dxa"/>
              <w:bottom w:w="0" w:type="dxa"/>
              <w:right w:w="20" w:type="dxa"/>
            </w:tcMar>
          </w:tcPr>
          <w:p w14:paraId="5EA1DBF4"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F5" w14:textId="77777777" w:rsidR="003C66EB" w:rsidRDefault="00D96C4E">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5EA1DBF6" w14:textId="77777777" w:rsidR="003C66EB" w:rsidRDefault="00D96C4E">
            <w:pPr>
              <w:jc w:val="right"/>
              <w:textAlignment w:val="center"/>
            </w:pPr>
            <w:hyperlink r:id="rId44" w:anchor="i0151134890c94d98be89f952da24d748_394" w:history="1">
              <w:r>
                <w:rPr>
                  <w:rStyle w:val="a5"/>
                  <w:rFonts w:ascii="Arial" w:eastAsia="宋体" w:hAnsi="Arial" w:cs="Arial"/>
                  <w:color w:val="000000"/>
                  <w:sz w:val="18"/>
                  <w:szCs w:val="18"/>
                  <w:u w:val="none"/>
                </w:rPr>
                <w:t>53</w:t>
              </w:r>
            </w:hyperlink>
          </w:p>
        </w:tc>
      </w:tr>
      <w:tr w:rsidR="003C66EB" w14:paraId="5EA1DBFB" w14:textId="77777777">
        <w:tc>
          <w:tcPr>
            <w:tcW w:w="0" w:type="auto"/>
            <w:gridSpan w:val="3"/>
            <w:shd w:val="clear" w:color="auto" w:fill="auto"/>
            <w:tcMar>
              <w:top w:w="0" w:type="dxa"/>
              <w:left w:w="20" w:type="dxa"/>
              <w:bottom w:w="0" w:type="dxa"/>
              <w:right w:w="20" w:type="dxa"/>
            </w:tcMar>
          </w:tcPr>
          <w:p w14:paraId="5EA1DBF8"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F9" w14:textId="77777777" w:rsidR="003C66EB" w:rsidRDefault="00D96C4E">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5EA1DBFA" w14:textId="77777777" w:rsidR="003C66EB" w:rsidRDefault="00D96C4E">
            <w:pPr>
              <w:jc w:val="right"/>
              <w:textAlignment w:val="center"/>
            </w:pPr>
            <w:hyperlink r:id="rId45" w:anchor="i0151134890c94d98be89f952da24d748_397" w:history="1">
              <w:r>
                <w:rPr>
                  <w:rStyle w:val="a5"/>
                  <w:rFonts w:ascii="Arial" w:eastAsia="宋体" w:hAnsi="Arial" w:cs="Arial"/>
                  <w:color w:val="000000"/>
                  <w:sz w:val="18"/>
                  <w:szCs w:val="18"/>
                  <w:u w:val="none"/>
                </w:rPr>
                <w:t>58</w:t>
              </w:r>
            </w:hyperlink>
          </w:p>
        </w:tc>
      </w:tr>
      <w:tr w:rsidR="003C66EB" w14:paraId="5EA1DBFF" w14:textId="77777777">
        <w:tc>
          <w:tcPr>
            <w:tcW w:w="0" w:type="auto"/>
            <w:gridSpan w:val="3"/>
            <w:shd w:val="clear" w:color="auto" w:fill="auto"/>
            <w:tcMar>
              <w:top w:w="0" w:type="dxa"/>
              <w:left w:w="20" w:type="dxa"/>
              <w:bottom w:w="0" w:type="dxa"/>
              <w:right w:w="20" w:type="dxa"/>
            </w:tcMar>
          </w:tcPr>
          <w:p w14:paraId="5EA1DBFC"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BFD" w14:textId="77777777" w:rsidR="003C66EB" w:rsidRDefault="00D96C4E">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5EA1DBFE" w14:textId="77777777" w:rsidR="003C66EB" w:rsidRDefault="00D96C4E">
            <w:pPr>
              <w:jc w:val="right"/>
              <w:textAlignment w:val="center"/>
            </w:pPr>
            <w:hyperlink r:id="rId46" w:anchor="i0151134890c94d98be89f952da24d748_403" w:history="1">
              <w:r>
                <w:rPr>
                  <w:rStyle w:val="a5"/>
                  <w:rFonts w:ascii="Arial" w:eastAsia="宋体" w:hAnsi="Arial" w:cs="Arial"/>
                  <w:color w:val="000000"/>
                  <w:sz w:val="18"/>
                  <w:szCs w:val="18"/>
                  <w:u w:val="none"/>
                </w:rPr>
                <w:t>62</w:t>
              </w:r>
            </w:hyperlink>
          </w:p>
        </w:tc>
      </w:tr>
      <w:tr w:rsidR="003C66EB" w14:paraId="5EA1DC03" w14:textId="77777777">
        <w:tc>
          <w:tcPr>
            <w:tcW w:w="0" w:type="auto"/>
            <w:gridSpan w:val="3"/>
            <w:shd w:val="clear" w:color="auto" w:fill="auto"/>
            <w:tcMar>
              <w:top w:w="0" w:type="dxa"/>
              <w:left w:w="20" w:type="dxa"/>
              <w:bottom w:w="0" w:type="dxa"/>
              <w:right w:w="20" w:type="dxa"/>
            </w:tcMar>
          </w:tcPr>
          <w:p w14:paraId="5EA1DC00"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01" w14:textId="77777777" w:rsidR="003C66EB" w:rsidRDefault="00D96C4E">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5EA1DC02" w14:textId="77777777" w:rsidR="003C66EB" w:rsidRDefault="00D96C4E">
            <w:pPr>
              <w:jc w:val="right"/>
              <w:textAlignment w:val="center"/>
            </w:pPr>
            <w:hyperlink r:id="rId47" w:anchor="i0151134890c94d98be89f952da24d748_406" w:history="1">
              <w:r>
                <w:rPr>
                  <w:rStyle w:val="a5"/>
                  <w:rFonts w:ascii="Arial" w:eastAsia="宋体" w:hAnsi="Arial" w:cs="Arial"/>
                  <w:color w:val="000000"/>
                  <w:sz w:val="18"/>
                  <w:szCs w:val="18"/>
                  <w:u w:val="none"/>
                </w:rPr>
                <w:t>67</w:t>
              </w:r>
            </w:hyperlink>
          </w:p>
        </w:tc>
      </w:tr>
    </w:tbl>
    <w:p w14:paraId="5EA1DC04" w14:textId="77777777" w:rsidR="003C66EB" w:rsidRDefault="00D96C4E">
      <w:pPr>
        <w:ind w:firstLine="450"/>
        <w:jc w:val="right"/>
      </w:pPr>
      <w:r>
        <w:rPr>
          <w:rFonts w:ascii="Arial" w:eastAsia="宋体" w:hAnsi="Arial" w:cs="Arial"/>
          <w:color w:val="000000"/>
          <w:sz w:val="18"/>
          <w:szCs w:val="18"/>
        </w:rPr>
        <w:t>State Street Corporation | 2</w:t>
      </w:r>
    </w:p>
    <w:p w14:paraId="5EA1DC05" w14:textId="77777777" w:rsidR="003C66EB" w:rsidRDefault="003C66EB">
      <w:pPr>
        <w:ind w:firstLine="450"/>
        <w:jc w:val="center"/>
      </w:pPr>
    </w:p>
    <w:p w14:paraId="5EA1DC06" w14:textId="77777777" w:rsidR="003C66EB" w:rsidRDefault="00D96C4E">
      <w:r>
        <w:pict w14:anchorId="5EA287B2">
          <v:rect id="_x0000_i1026" style="width:415.3pt;height:1.5pt" o:hralign="center" o:hrstd="t" o:hr="t" fillcolor="#a0a0a0" stroked="f"/>
        </w:pict>
      </w:r>
    </w:p>
    <w:p w14:paraId="5EA1DC07" w14:textId="77777777" w:rsidR="003C66EB" w:rsidRDefault="003C66EB">
      <w:pPr>
        <w:ind w:firstLine="450"/>
        <w:jc w:val="center"/>
      </w:pPr>
    </w:p>
    <w:tbl>
      <w:tblPr>
        <w:tblW w:w="4912" w:type="pct"/>
        <w:tblCellMar>
          <w:top w:w="15" w:type="dxa"/>
          <w:left w:w="15" w:type="dxa"/>
          <w:bottom w:w="15" w:type="dxa"/>
          <w:right w:w="15" w:type="dxa"/>
        </w:tblCellMar>
        <w:tblLook w:val="04A0" w:firstRow="1" w:lastRow="0" w:firstColumn="1" w:lastColumn="0" w:noHBand="0" w:noVBand="1"/>
      </w:tblPr>
      <w:tblGrid>
        <w:gridCol w:w="68"/>
        <w:gridCol w:w="1309"/>
        <w:gridCol w:w="36"/>
        <w:gridCol w:w="68"/>
        <w:gridCol w:w="5941"/>
        <w:gridCol w:w="37"/>
        <w:gridCol w:w="68"/>
        <w:gridCol w:w="626"/>
        <w:gridCol w:w="36"/>
      </w:tblGrid>
      <w:tr w:rsidR="003C66EB" w14:paraId="5EA1DC11" w14:textId="77777777">
        <w:tc>
          <w:tcPr>
            <w:tcW w:w="50" w:type="pct"/>
            <w:shd w:val="clear" w:color="auto" w:fill="auto"/>
          </w:tcPr>
          <w:p w14:paraId="5EA1DC08" w14:textId="77777777" w:rsidR="003C66EB" w:rsidRDefault="003C66EB">
            <w:pPr>
              <w:rPr>
                <w:rFonts w:ascii="宋体"/>
              </w:rPr>
            </w:pPr>
          </w:p>
        </w:tc>
        <w:tc>
          <w:tcPr>
            <w:tcW w:w="808" w:type="pct"/>
            <w:shd w:val="clear" w:color="auto" w:fill="auto"/>
          </w:tcPr>
          <w:p w14:paraId="5EA1DC09" w14:textId="77777777" w:rsidR="003C66EB" w:rsidRDefault="003C66EB">
            <w:pPr>
              <w:rPr>
                <w:rFonts w:ascii="宋体"/>
              </w:rPr>
            </w:pPr>
          </w:p>
        </w:tc>
        <w:tc>
          <w:tcPr>
            <w:tcW w:w="5" w:type="pct"/>
            <w:shd w:val="clear" w:color="auto" w:fill="auto"/>
          </w:tcPr>
          <w:p w14:paraId="5EA1DC0A" w14:textId="77777777" w:rsidR="003C66EB" w:rsidRDefault="003C66EB">
            <w:pPr>
              <w:rPr>
                <w:rFonts w:ascii="宋体"/>
              </w:rPr>
            </w:pPr>
          </w:p>
        </w:tc>
        <w:tc>
          <w:tcPr>
            <w:tcW w:w="50" w:type="pct"/>
            <w:shd w:val="clear" w:color="auto" w:fill="auto"/>
          </w:tcPr>
          <w:p w14:paraId="5EA1DC0B" w14:textId="77777777" w:rsidR="003C66EB" w:rsidRDefault="003C66EB">
            <w:pPr>
              <w:rPr>
                <w:rFonts w:ascii="宋体"/>
              </w:rPr>
            </w:pPr>
          </w:p>
        </w:tc>
        <w:tc>
          <w:tcPr>
            <w:tcW w:w="3635" w:type="pct"/>
            <w:shd w:val="clear" w:color="auto" w:fill="auto"/>
          </w:tcPr>
          <w:p w14:paraId="5EA1DC0C" w14:textId="77777777" w:rsidR="003C66EB" w:rsidRDefault="003C66EB">
            <w:pPr>
              <w:rPr>
                <w:rFonts w:ascii="宋体"/>
              </w:rPr>
            </w:pPr>
          </w:p>
        </w:tc>
        <w:tc>
          <w:tcPr>
            <w:tcW w:w="5" w:type="pct"/>
            <w:shd w:val="clear" w:color="auto" w:fill="auto"/>
          </w:tcPr>
          <w:p w14:paraId="5EA1DC0D" w14:textId="77777777" w:rsidR="003C66EB" w:rsidRDefault="003C66EB">
            <w:pPr>
              <w:rPr>
                <w:rFonts w:ascii="宋体"/>
              </w:rPr>
            </w:pPr>
          </w:p>
        </w:tc>
        <w:tc>
          <w:tcPr>
            <w:tcW w:w="50" w:type="pct"/>
            <w:shd w:val="clear" w:color="auto" w:fill="auto"/>
          </w:tcPr>
          <w:p w14:paraId="5EA1DC0E" w14:textId="77777777" w:rsidR="003C66EB" w:rsidRDefault="003C66EB">
            <w:pPr>
              <w:rPr>
                <w:rFonts w:ascii="宋体"/>
              </w:rPr>
            </w:pPr>
          </w:p>
        </w:tc>
        <w:tc>
          <w:tcPr>
            <w:tcW w:w="391" w:type="pct"/>
            <w:shd w:val="clear" w:color="auto" w:fill="auto"/>
          </w:tcPr>
          <w:p w14:paraId="5EA1DC0F" w14:textId="77777777" w:rsidR="003C66EB" w:rsidRDefault="003C66EB">
            <w:pPr>
              <w:rPr>
                <w:rFonts w:ascii="宋体"/>
              </w:rPr>
            </w:pPr>
          </w:p>
        </w:tc>
        <w:tc>
          <w:tcPr>
            <w:tcW w:w="5" w:type="pct"/>
            <w:shd w:val="clear" w:color="auto" w:fill="auto"/>
          </w:tcPr>
          <w:p w14:paraId="5EA1DC10" w14:textId="77777777" w:rsidR="003C66EB" w:rsidRDefault="003C66EB">
            <w:pPr>
              <w:rPr>
                <w:rFonts w:ascii="宋体"/>
              </w:rPr>
            </w:pPr>
          </w:p>
        </w:tc>
      </w:tr>
      <w:tr w:rsidR="003C66EB" w14:paraId="5EA1DC15" w14:textId="77777777">
        <w:tc>
          <w:tcPr>
            <w:tcW w:w="0" w:type="auto"/>
            <w:gridSpan w:val="3"/>
            <w:shd w:val="clear" w:color="auto" w:fill="auto"/>
            <w:tcMar>
              <w:top w:w="0" w:type="dxa"/>
              <w:left w:w="20" w:type="dxa"/>
              <w:bottom w:w="0" w:type="dxa"/>
              <w:right w:w="20" w:type="dxa"/>
            </w:tcMar>
          </w:tcPr>
          <w:p w14:paraId="5EA1DC12"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13" w14:textId="77777777" w:rsidR="003C66EB" w:rsidRDefault="00D96C4E">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5EA1DC14" w14:textId="77777777" w:rsidR="003C66EB" w:rsidRDefault="00D96C4E">
            <w:pPr>
              <w:jc w:val="right"/>
              <w:textAlignment w:val="center"/>
            </w:pPr>
            <w:hyperlink r:id="rId48" w:anchor="i0151134890c94d98be89f952da24d748_409" w:history="1">
              <w:r>
                <w:rPr>
                  <w:rStyle w:val="a5"/>
                  <w:rFonts w:ascii="Arial" w:eastAsia="宋体" w:hAnsi="Arial" w:cs="Arial"/>
                  <w:color w:val="000000"/>
                  <w:sz w:val="18"/>
                  <w:szCs w:val="18"/>
                  <w:u w:val="none"/>
                </w:rPr>
                <w:t>68</w:t>
              </w:r>
            </w:hyperlink>
          </w:p>
        </w:tc>
      </w:tr>
      <w:tr w:rsidR="003C66EB" w14:paraId="5EA1DC19" w14:textId="77777777">
        <w:tc>
          <w:tcPr>
            <w:tcW w:w="0" w:type="auto"/>
            <w:gridSpan w:val="3"/>
            <w:shd w:val="clear" w:color="auto" w:fill="auto"/>
            <w:tcMar>
              <w:top w:w="0" w:type="dxa"/>
              <w:left w:w="20" w:type="dxa"/>
              <w:bottom w:w="0" w:type="dxa"/>
              <w:right w:w="20" w:type="dxa"/>
            </w:tcMar>
          </w:tcPr>
          <w:p w14:paraId="5EA1DC16"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17" w14:textId="77777777" w:rsidR="003C66EB" w:rsidRDefault="00D96C4E">
            <w:pPr>
              <w:textAlignment w:val="center"/>
            </w:pPr>
            <w:r>
              <w:rPr>
                <w:rFonts w:ascii="Arial" w:eastAsia="宋体" w:hAnsi="Arial" w:cs="Arial"/>
                <w:color w:val="000000"/>
                <w:sz w:val="18"/>
                <w:szCs w:val="18"/>
              </w:rPr>
              <w:t>Note 7. Derivative Financial Instruments</w:t>
            </w:r>
          </w:p>
        </w:tc>
        <w:tc>
          <w:tcPr>
            <w:tcW w:w="0" w:type="auto"/>
            <w:gridSpan w:val="3"/>
            <w:shd w:val="clear" w:color="auto" w:fill="auto"/>
            <w:tcMar>
              <w:top w:w="40" w:type="dxa"/>
              <w:left w:w="20" w:type="dxa"/>
              <w:bottom w:w="40" w:type="dxa"/>
              <w:right w:w="20" w:type="dxa"/>
            </w:tcMar>
            <w:vAlign w:val="center"/>
          </w:tcPr>
          <w:p w14:paraId="5EA1DC18" w14:textId="77777777" w:rsidR="003C66EB" w:rsidRDefault="00D96C4E">
            <w:pPr>
              <w:jc w:val="right"/>
              <w:textAlignment w:val="center"/>
            </w:pPr>
            <w:hyperlink r:id="rId49" w:anchor="i0151134890c94d98be89f952da24d748_421" w:history="1">
              <w:r>
                <w:rPr>
                  <w:rStyle w:val="a5"/>
                  <w:rFonts w:ascii="Arial" w:eastAsia="宋体" w:hAnsi="Arial" w:cs="Arial"/>
                  <w:color w:val="000000"/>
                  <w:sz w:val="18"/>
                  <w:szCs w:val="18"/>
                  <w:u w:val="none"/>
                </w:rPr>
                <w:t>68</w:t>
              </w:r>
            </w:hyperlink>
          </w:p>
        </w:tc>
      </w:tr>
      <w:tr w:rsidR="003C66EB" w14:paraId="5EA1DC1D" w14:textId="77777777">
        <w:tc>
          <w:tcPr>
            <w:tcW w:w="0" w:type="auto"/>
            <w:gridSpan w:val="3"/>
            <w:shd w:val="clear" w:color="auto" w:fill="auto"/>
            <w:tcMar>
              <w:top w:w="0" w:type="dxa"/>
              <w:left w:w="20" w:type="dxa"/>
              <w:bottom w:w="0" w:type="dxa"/>
              <w:right w:w="20" w:type="dxa"/>
            </w:tcMar>
          </w:tcPr>
          <w:p w14:paraId="5EA1DC1A"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1B" w14:textId="77777777" w:rsidR="003C66EB" w:rsidRDefault="00D96C4E">
            <w:pPr>
              <w:textAlignment w:val="center"/>
            </w:pPr>
            <w:r>
              <w:rPr>
                <w:rFonts w:ascii="Arial" w:eastAsia="宋体" w:hAnsi="Arial" w:cs="Arial"/>
                <w:color w:val="000000"/>
                <w:sz w:val="18"/>
                <w:szCs w:val="18"/>
              </w:rPr>
              <w:t>Note 8. Offsetting Arrangements</w:t>
            </w:r>
          </w:p>
        </w:tc>
        <w:tc>
          <w:tcPr>
            <w:tcW w:w="0" w:type="auto"/>
            <w:gridSpan w:val="3"/>
            <w:shd w:val="clear" w:color="auto" w:fill="auto"/>
            <w:tcMar>
              <w:top w:w="40" w:type="dxa"/>
              <w:left w:w="20" w:type="dxa"/>
              <w:bottom w:w="40" w:type="dxa"/>
              <w:right w:w="20" w:type="dxa"/>
            </w:tcMar>
            <w:vAlign w:val="center"/>
          </w:tcPr>
          <w:p w14:paraId="5EA1DC1C" w14:textId="77777777" w:rsidR="003C66EB" w:rsidRDefault="00D96C4E">
            <w:pPr>
              <w:jc w:val="right"/>
              <w:textAlignment w:val="center"/>
            </w:pPr>
            <w:hyperlink r:id="rId50" w:anchor="i0151134890c94d98be89f952da24d748_424" w:history="1">
              <w:r>
                <w:rPr>
                  <w:rStyle w:val="a5"/>
                  <w:rFonts w:ascii="Arial" w:eastAsia="宋体" w:hAnsi="Arial" w:cs="Arial"/>
                  <w:color w:val="000000"/>
                  <w:sz w:val="18"/>
                  <w:szCs w:val="18"/>
                  <w:u w:val="none"/>
                </w:rPr>
                <w:t>72</w:t>
              </w:r>
            </w:hyperlink>
          </w:p>
        </w:tc>
      </w:tr>
      <w:tr w:rsidR="003C66EB" w14:paraId="5EA1DC21" w14:textId="77777777">
        <w:tc>
          <w:tcPr>
            <w:tcW w:w="0" w:type="auto"/>
            <w:gridSpan w:val="3"/>
            <w:shd w:val="clear" w:color="auto" w:fill="auto"/>
            <w:tcMar>
              <w:top w:w="0" w:type="dxa"/>
              <w:left w:w="20" w:type="dxa"/>
              <w:bottom w:w="0" w:type="dxa"/>
              <w:right w:w="20" w:type="dxa"/>
            </w:tcMar>
          </w:tcPr>
          <w:p w14:paraId="5EA1DC1E"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1F" w14:textId="77777777" w:rsidR="003C66EB" w:rsidRDefault="00D96C4E">
            <w:pPr>
              <w:textAlignment w:val="center"/>
            </w:pPr>
            <w:r>
              <w:rPr>
                <w:rFonts w:ascii="Arial" w:eastAsia="宋体" w:hAnsi="Arial" w:cs="Arial"/>
                <w:color w:val="000000"/>
                <w:sz w:val="18"/>
                <w:szCs w:val="18"/>
              </w:rPr>
              <w:t>Note 9. Commitments and Guarantees</w:t>
            </w:r>
          </w:p>
        </w:tc>
        <w:tc>
          <w:tcPr>
            <w:tcW w:w="0" w:type="auto"/>
            <w:gridSpan w:val="3"/>
            <w:shd w:val="clear" w:color="auto" w:fill="auto"/>
            <w:tcMar>
              <w:top w:w="40" w:type="dxa"/>
              <w:left w:w="20" w:type="dxa"/>
              <w:bottom w:w="40" w:type="dxa"/>
              <w:right w:w="20" w:type="dxa"/>
            </w:tcMar>
            <w:vAlign w:val="center"/>
          </w:tcPr>
          <w:p w14:paraId="5EA1DC20" w14:textId="77777777" w:rsidR="003C66EB" w:rsidRDefault="00D96C4E">
            <w:pPr>
              <w:jc w:val="right"/>
              <w:textAlignment w:val="center"/>
            </w:pPr>
            <w:hyperlink r:id="rId51" w:anchor="i0151134890c94d98be89f952da24d748_427" w:history="1">
              <w:r>
                <w:rPr>
                  <w:rStyle w:val="a5"/>
                  <w:rFonts w:ascii="Arial" w:eastAsia="宋体" w:hAnsi="Arial" w:cs="Arial"/>
                  <w:color w:val="000000"/>
                  <w:sz w:val="18"/>
                  <w:szCs w:val="18"/>
                  <w:u w:val="none"/>
                </w:rPr>
                <w:t>74</w:t>
              </w:r>
            </w:hyperlink>
          </w:p>
        </w:tc>
      </w:tr>
      <w:tr w:rsidR="003C66EB" w14:paraId="5EA1DC25" w14:textId="77777777">
        <w:tc>
          <w:tcPr>
            <w:tcW w:w="0" w:type="auto"/>
            <w:gridSpan w:val="3"/>
            <w:shd w:val="clear" w:color="auto" w:fill="auto"/>
            <w:tcMar>
              <w:top w:w="0" w:type="dxa"/>
              <w:left w:w="20" w:type="dxa"/>
              <w:bottom w:w="0" w:type="dxa"/>
              <w:right w:w="20" w:type="dxa"/>
            </w:tcMar>
          </w:tcPr>
          <w:p w14:paraId="5EA1DC22"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23" w14:textId="77777777" w:rsidR="003C66EB" w:rsidRDefault="00D96C4E">
            <w:pPr>
              <w:textAlignment w:val="center"/>
            </w:pPr>
            <w:r>
              <w:rPr>
                <w:rFonts w:ascii="Arial" w:eastAsia="宋体" w:hAnsi="Arial" w:cs="Arial"/>
                <w:color w:val="000000"/>
                <w:sz w:val="18"/>
                <w:szCs w:val="18"/>
              </w:rPr>
              <w:t>Note 10. Contingencies</w:t>
            </w:r>
          </w:p>
        </w:tc>
        <w:tc>
          <w:tcPr>
            <w:tcW w:w="0" w:type="auto"/>
            <w:gridSpan w:val="3"/>
            <w:shd w:val="clear" w:color="auto" w:fill="auto"/>
            <w:tcMar>
              <w:top w:w="40" w:type="dxa"/>
              <w:left w:w="20" w:type="dxa"/>
              <w:bottom w:w="40" w:type="dxa"/>
              <w:right w:w="20" w:type="dxa"/>
            </w:tcMar>
            <w:vAlign w:val="center"/>
          </w:tcPr>
          <w:p w14:paraId="5EA1DC24" w14:textId="77777777" w:rsidR="003C66EB" w:rsidRDefault="00D96C4E">
            <w:pPr>
              <w:jc w:val="right"/>
              <w:textAlignment w:val="center"/>
            </w:pPr>
            <w:hyperlink r:id="rId52" w:anchor="i0151134890c94d98be89f952da24d748_430" w:history="1">
              <w:r>
                <w:rPr>
                  <w:rStyle w:val="a5"/>
                  <w:rFonts w:ascii="Arial" w:eastAsia="宋体" w:hAnsi="Arial" w:cs="Arial"/>
                  <w:color w:val="000000"/>
                  <w:sz w:val="18"/>
                  <w:szCs w:val="18"/>
                  <w:u w:val="none"/>
                </w:rPr>
                <w:t>75</w:t>
              </w:r>
            </w:hyperlink>
          </w:p>
        </w:tc>
      </w:tr>
      <w:tr w:rsidR="003C66EB" w14:paraId="5EA1DC29" w14:textId="77777777">
        <w:tc>
          <w:tcPr>
            <w:tcW w:w="0" w:type="auto"/>
            <w:gridSpan w:val="3"/>
            <w:shd w:val="clear" w:color="auto" w:fill="auto"/>
            <w:tcMar>
              <w:top w:w="0" w:type="dxa"/>
              <w:left w:w="20" w:type="dxa"/>
              <w:bottom w:w="0" w:type="dxa"/>
              <w:right w:w="20" w:type="dxa"/>
            </w:tcMar>
          </w:tcPr>
          <w:p w14:paraId="5EA1DC26"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27" w14:textId="77777777" w:rsidR="003C66EB" w:rsidRDefault="00D96C4E">
            <w:pPr>
              <w:textAlignment w:val="center"/>
            </w:pPr>
            <w:r>
              <w:rPr>
                <w:rFonts w:ascii="Arial" w:eastAsia="宋体" w:hAnsi="Arial" w:cs="Arial"/>
                <w:color w:val="000000"/>
                <w:sz w:val="18"/>
                <w:szCs w:val="18"/>
              </w:rPr>
              <w:t>Note 11. Variable Interest Entities</w:t>
            </w:r>
          </w:p>
        </w:tc>
        <w:tc>
          <w:tcPr>
            <w:tcW w:w="0" w:type="auto"/>
            <w:gridSpan w:val="3"/>
            <w:shd w:val="clear" w:color="auto" w:fill="auto"/>
            <w:tcMar>
              <w:top w:w="40" w:type="dxa"/>
              <w:left w:w="20" w:type="dxa"/>
              <w:bottom w:w="40" w:type="dxa"/>
              <w:right w:w="20" w:type="dxa"/>
            </w:tcMar>
            <w:vAlign w:val="center"/>
          </w:tcPr>
          <w:p w14:paraId="5EA1DC28" w14:textId="77777777" w:rsidR="003C66EB" w:rsidRDefault="00D96C4E">
            <w:pPr>
              <w:jc w:val="right"/>
              <w:textAlignment w:val="center"/>
            </w:pPr>
            <w:hyperlink r:id="rId53" w:anchor="i0151134890c94d98be89f952da24d748_439" w:history="1">
              <w:r>
                <w:rPr>
                  <w:rStyle w:val="a5"/>
                  <w:rFonts w:ascii="Arial" w:eastAsia="宋体" w:hAnsi="Arial" w:cs="Arial"/>
                  <w:color w:val="000000"/>
                  <w:sz w:val="18"/>
                  <w:szCs w:val="18"/>
                  <w:u w:val="none"/>
                </w:rPr>
                <w:t>77</w:t>
              </w:r>
            </w:hyperlink>
          </w:p>
        </w:tc>
      </w:tr>
      <w:tr w:rsidR="003C66EB" w14:paraId="5EA1DC2D" w14:textId="77777777">
        <w:tc>
          <w:tcPr>
            <w:tcW w:w="0" w:type="auto"/>
            <w:gridSpan w:val="3"/>
            <w:shd w:val="clear" w:color="auto" w:fill="auto"/>
            <w:tcMar>
              <w:top w:w="0" w:type="dxa"/>
              <w:left w:w="20" w:type="dxa"/>
              <w:bottom w:w="0" w:type="dxa"/>
              <w:right w:w="20" w:type="dxa"/>
            </w:tcMar>
          </w:tcPr>
          <w:p w14:paraId="5EA1DC2A"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2B" w14:textId="77777777" w:rsidR="003C66EB" w:rsidRDefault="00D96C4E">
            <w:pPr>
              <w:textAlignment w:val="center"/>
            </w:pPr>
            <w:r>
              <w:rPr>
                <w:rFonts w:ascii="Arial" w:eastAsia="宋体" w:hAnsi="Arial" w:cs="Arial"/>
                <w:color w:val="000000"/>
                <w:sz w:val="18"/>
                <w:szCs w:val="18"/>
              </w:rPr>
              <w:t>Note 12. Shareholders' Equity</w:t>
            </w:r>
          </w:p>
        </w:tc>
        <w:tc>
          <w:tcPr>
            <w:tcW w:w="0" w:type="auto"/>
            <w:gridSpan w:val="3"/>
            <w:shd w:val="clear" w:color="auto" w:fill="auto"/>
            <w:tcMar>
              <w:top w:w="40" w:type="dxa"/>
              <w:left w:w="20" w:type="dxa"/>
              <w:bottom w:w="40" w:type="dxa"/>
              <w:right w:w="20" w:type="dxa"/>
            </w:tcMar>
            <w:vAlign w:val="center"/>
          </w:tcPr>
          <w:p w14:paraId="5EA1DC2C" w14:textId="77777777" w:rsidR="003C66EB" w:rsidRDefault="00D96C4E">
            <w:pPr>
              <w:jc w:val="right"/>
              <w:textAlignment w:val="center"/>
            </w:pPr>
            <w:hyperlink r:id="rId54" w:anchor="i0151134890c94d98be89f952da24d748_445" w:history="1">
              <w:r>
                <w:rPr>
                  <w:rStyle w:val="a5"/>
                  <w:rFonts w:ascii="Arial" w:eastAsia="宋体" w:hAnsi="Arial" w:cs="Arial"/>
                  <w:color w:val="000000"/>
                  <w:sz w:val="18"/>
                  <w:szCs w:val="18"/>
                  <w:u w:val="none"/>
                </w:rPr>
                <w:t>78</w:t>
              </w:r>
            </w:hyperlink>
          </w:p>
        </w:tc>
      </w:tr>
      <w:tr w:rsidR="003C66EB" w14:paraId="5EA1DC31" w14:textId="77777777">
        <w:tc>
          <w:tcPr>
            <w:tcW w:w="0" w:type="auto"/>
            <w:gridSpan w:val="3"/>
            <w:shd w:val="clear" w:color="auto" w:fill="auto"/>
            <w:tcMar>
              <w:top w:w="0" w:type="dxa"/>
              <w:left w:w="20" w:type="dxa"/>
              <w:bottom w:w="0" w:type="dxa"/>
              <w:right w:w="20" w:type="dxa"/>
            </w:tcMar>
          </w:tcPr>
          <w:p w14:paraId="5EA1DC2E"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2F" w14:textId="77777777" w:rsidR="003C66EB" w:rsidRDefault="00D96C4E">
            <w:pPr>
              <w:textAlignment w:val="center"/>
            </w:pPr>
            <w:r>
              <w:rPr>
                <w:rFonts w:ascii="Arial" w:eastAsia="宋体" w:hAnsi="Arial" w:cs="Arial"/>
                <w:color w:val="000000"/>
                <w:sz w:val="18"/>
                <w:szCs w:val="18"/>
              </w:rPr>
              <w:t>Note 13. Regulatory Capital</w:t>
            </w:r>
          </w:p>
        </w:tc>
        <w:tc>
          <w:tcPr>
            <w:tcW w:w="0" w:type="auto"/>
            <w:gridSpan w:val="3"/>
            <w:shd w:val="clear" w:color="auto" w:fill="auto"/>
            <w:tcMar>
              <w:top w:w="40" w:type="dxa"/>
              <w:left w:w="20" w:type="dxa"/>
              <w:bottom w:w="40" w:type="dxa"/>
              <w:right w:w="20" w:type="dxa"/>
            </w:tcMar>
            <w:vAlign w:val="center"/>
          </w:tcPr>
          <w:p w14:paraId="5EA1DC30" w14:textId="77777777" w:rsidR="003C66EB" w:rsidRDefault="00D96C4E">
            <w:pPr>
              <w:jc w:val="right"/>
              <w:textAlignment w:val="center"/>
            </w:pPr>
            <w:hyperlink r:id="rId55" w:anchor="i0151134890c94d98be89f952da24d748_451" w:history="1">
              <w:r>
                <w:rPr>
                  <w:rStyle w:val="a5"/>
                  <w:rFonts w:ascii="Arial" w:eastAsia="宋体" w:hAnsi="Arial" w:cs="Arial"/>
                  <w:color w:val="000000"/>
                  <w:sz w:val="18"/>
                  <w:szCs w:val="18"/>
                  <w:u w:val="none"/>
                </w:rPr>
                <w:t>80</w:t>
              </w:r>
            </w:hyperlink>
          </w:p>
        </w:tc>
      </w:tr>
      <w:tr w:rsidR="003C66EB" w14:paraId="5EA1DC35" w14:textId="77777777">
        <w:tc>
          <w:tcPr>
            <w:tcW w:w="0" w:type="auto"/>
            <w:gridSpan w:val="3"/>
            <w:shd w:val="clear" w:color="auto" w:fill="auto"/>
            <w:tcMar>
              <w:top w:w="0" w:type="dxa"/>
              <w:left w:w="20" w:type="dxa"/>
              <w:bottom w:w="0" w:type="dxa"/>
              <w:right w:w="20" w:type="dxa"/>
            </w:tcMar>
          </w:tcPr>
          <w:p w14:paraId="5EA1DC32"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33" w14:textId="77777777" w:rsidR="003C66EB" w:rsidRDefault="00D96C4E">
            <w:pPr>
              <w:textAlignment w:val="center"/>
            </w:pPr>
            <w:r>
              <w:rPr>
                <w:rFonts w:ascii="Arial" w:eastAsia="宋体" w:hAnsi="Arial" w:cs="Arial"/>
                <w:color w:val="000000"/>
                <w:sz w:val="18"/>
                <w:szCs w:val="18"/>
              </w:rPr>
              <w:t>Note 14. Net Interest Income</w:t>
            </w:r>
          </w:p>
        </w:tc>
        <w:tc>
          <w:tcPr>
            <w:tcW w:w="0" w:type="auto"/>
            <w:gridSpan w:val="3"/>
            <w:shd w:val="clear" w:color="auto" w:fill="auto"/>
            <w:tcMar>
              <w:top w:w="40" w:type="dxa"/>
              <w:left w:w="20" w:type="dxa"/>
              <w:bottom w:w="40" w:type="dxa"/>
              <w:right w:w="20" w:type="dxa"/>
            </w:tcMar>
            <w:vAlign w:val="center"/>
          </w:tcPr>
          <w:p w14:paraId="5EA1DC34" w14:textId="77777777" w:rsidR="003C66EB" w:rsidRDefault="00D96C4E">
            <w:pPr>
              <w:jc w:val="right"/>
              <w:textAlignment w:val="center"/>
            </w:pPr>
            <w:hyperlink r:id="rId56" w:anchor="i0151134890c94d98be89f952da24d748_454" w:history="1">
              <w:r>
                <w:rPr>
                  <w:rStyle w:val="a5"/>
                  <w:rFonts w:ascii="Arial" w:eastAsia="宋体" w:hAnsi="Arial" w:cs="Arial"/>
                  <w:color w:val="000000"/>
                  <w:sz w:val="18"/>
                  <w:szCs w:val="18"/>
                  <w:u w:val="none"/>
                </w:rPr>
                <w:t>82</w:t>
              </w:r>
            </w:hyperlink>
          </w:p>
        </w:tc>
      </w:tr>
      <w:tr w:rsidR="003C66EB" w14:paraId="5EA1DC39" w14:textId="77777777">
        <w:tc>
          <w:tcPr>
            <w:tcW w:w="0" w:type="auto"/>
            <w:gridSpan w:val="3"/>
            <w:shd w:val="clear" w:color="auto" w:fill="auto"/>
            <w:tcMar>
              <w:top w:w="0" w:type="dxa"/>
              <w:left w:w="20" w:type="dxa"/>
              <w:bottom w:w="0" w:type="dxa"/>
              <w:right w:w="20" w:type="dxa"/>
            </w:tcMar>
          </w:tcPr>
          <w:p w14:paraId="5EA1DC36"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37" w14:textId="77777777" w:rsidR="003C66EB" w:rsidRDefault="00D96C4E">
            <w:pPr>
              <w:textAlignment w:val="center"/>
            </w:pPr>
            <w:r>
              <w:rPr>
                <w:rFonts w:ascii="Arial" w:eastAsia="宋体" w:hAnsi="Arial" w:cs="Arial"/>
                <w:color w:val="000000"/>
                <w:sz w:val="18"/>
                <w:szCs w:val="18"/>
              </w:rPr>
              <w:t>Note 15. Expenses</w:t>
            </w:r>
          </w:p>
        </w:tc>
        <w:tc>
          <w:tcPr>
            <w:tcW w:w="0" w:type="auto"/>
            <w:gridSpan w:val="3"/>
            <w:shd w:val="clear" w:color="auto" w:fill="auto"/>
            <w:tcMar>
              <w:top w:w="40" w:type="dxa"/>
              <w:left w:w="20" w:type="dxa"/>
              <w:bottom w:w="40" w:type="dxa"/>
              <w:right w:w="20" w:type="dxa"/>
            </w:tcMar>
            <w:vAlign w:val="center"/>
          </w:tcPr>
          <w:p w14:paraId="5EA1DC38" w14:textId="77777777" w:rsidR="003C66EB" w:rsidRDefault="00D96C4E">
            <w:pPr>
              <w:jc w:val="right"/>
              <w:textAlignment w:val="center"/>
            </w:pPr>
            <w:hyperlink r:id="rId57" w:anchor="i0151134890c94d98be89f952da24d748_469" w:history="1">
              <w:r>
                <w:rPr>
                  <w:rStyle w:val="a5"/>
                  <w:rFonts w:ascii="Arial" w:eastAsia="宋体" w:hAnsi="Arial" w:cs="Arial"/>
                  <w:color w:val="000000"/>
                  <w:sz w:val="18"/>
                  <w:szCs w:val="18"/>
                  <w:u w:val="none"/>
                </w:rPr>
                <w:t>82</w:t>
              </w:r>
            </w:hyperlink>
          </w:p>
        </w:tc>
      </w:tr>
      <w:tr w:rsidR="003C66EB" w14:paraId="5EA1DC3D" w14:textId="77777777">
        <w:tc>
          <w:tcPr>
            <w:tcW w:w="0" w:type="auto"/>
            <w:gridSpan w:val="3"/>
            <w:shd w:val="clear" w:color="auto" w:fill="auto"/>
            <w:tcMar>
              <w:top w:w="0" w:type="dxa"/>
              <w:left w:w="20" w:type="dxa"/>
              <w:bottom w:w="0" w:type="dxa"/>
              <w:right w:w="20" w:type="dxa"/>
            </w:tcMar>
          </w:tcPr>
          <w:p w14:paraId="5EA1DC3A"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3B" w14:textId="77777777" w:rsidR="003C66EB" w:rsidRDefault="00D96C4E">
            <w:pPr>
              <w:textAlignment w:val="center"/>
            </w:pPr>
            <w:r>
              <w:rPr>
                <w:rFonts w:ascii="Arial" w:eastAsia="宋体" w:hAnsi="Arial" w:cs="Arial"/>
                <w:color w:val="000000"/>
                <w:sz w:val="18"/>
                <w:szCs w:val="18"/>
              </w:rPr>
              <w:t>Note 16. Earnings Per Common Share</w:t>
            </w:r>
          </w:p>
        </w:tc>
        <w:tc>
          <w:tcPr>
            <w:tcW w:w="0" w:type="auto"/>
            <w:gridSpan w:val="3"/>
            <w:shd w:val="clear" w:color="auto" w:fill="auto"/>
            <w:tcMar>
              <w:top w:w="40" w:type="dxa"/>
              <w:left w:w="20" w:type="dxa"/>
              <w:bottom w:w="40" w:type="dxa"/>
              <w:right w:w="20" w:type="dxa"/>
            </w:tcMar>
            <w:vAlign w:val="center"/>
          </w:tcPr>
          <w:p w14:paraId="5EA1DC3C" w14:textId="77777777" w:rsidR="003C66EB" w:rsidRDefault="00D96C4E">
            <w:pPr>
              <w:jc w:val="right"/>
              <w:textAlignment w:val="center"/>
            </w:pPr>
            <w:hyperlink r:id="rId58" w:anchor="i0151134890c94d98be89f952da24d748_475" w:history="1">
              <w:r>
                <w:rPr>
                  <w:rStyle w:val="a5"/>
                  <w:rFonts w:ascii="Arial" w:eastAsia="宋体" w:hAnsi="Arial" w:cs="Arial"/>
                  <w:color w:val="000000"/>
                  <w:sz w:val="18"/>
                  <w:szCs w:val="18"/>
                  <w:u w:val="none"/>
                </w:rPr>
                <w:t>82</w:t>
              </w:r>
            </w:hyperlink>
          </w:p>
        </w:tc>
      </w:tr>
      <w:tr w:rsidR="003C66EB" w14:paraId="5EA1DC41" w14:textId="77777777">
        <w:tc>
          <w:tcPr>
            <w:tcW w:w="0" w:type="auto"/>
            <w:gridSpan w:val="3"/>
            <w:shd w:val="clear" w:color="auto" w:fill="auto"/>
            <w:tcMar>
              <w:top w:w="0" w:type="dxa"/>
              <w:left w:w="20" w:type="dxa"/>
              <w:bottom w:w="0" w:type="dxa"/>
              <w:right w:w="20" w:type="dxa"/>
            </w:tcMar>
          </w:tcPr>
          <w:p w14:paraId="5EA1DC3E"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3F" w14:textId="77777777" w:rsidR="003C66EB" w:rsidRDefault="00D96C4E">
            <w:pPr>
              <w:textAlignment w:val="center"/>
            </w:pPr>
            <w:r>
              <w:rPr>
                <w:rFonts w:ascii="Arial" w:eastAsia="宋体" w:hAnsi="Arial" w:cs="Arial"/>
                <w:color w:val="000000"/>
                <w:sz w:val="18"/>
                <w:szCs w:val="18"/>
              </w:rPr>
              <w:t>Note 17. Line of Business Information</w:t>
            </w:r>
          </w:p>
        </w:tc>
        <w:tc>
          <w:tcPr>
            <w:tcW w:w="0" w:type="auto"/>
            <w:gridSpan w:val="3"/>
            <w:shd w:val="clear" w:color="auto" w:fill="auto"/>
            <w:tcMar>
              <w:top w:w="40" w:type="dxa"/>
              <w:left w:w="20" w:type="dxa"/>
              <w:bottom w:w="40" w:type="dxa"/>
              <w:right w:w="20" w:type="dxa"/>
            </w:tcMar>
            <w:vAlign w:val="center"/>
          </w:tcPr>
          <w:p w14:paraId="5EA1DC40" w14:textId="77777777" w:rsidR="003C66EB" w:rsidRDefault="00D96C4E">
            <w:pPr>
              <w:jc w:val="right"/>
              <w:textAlignment w:val="center"/>
            </w:pPr>
            <w:hyperlink r:id="rId59" w:anchor="i0151134890c94d98be89f952da24d748_478" w:history="1">
              <w:r>
                <w:rPr>
                  <w:rStyle w:val="a5"/>
                  <w:rFonts w:ascii="Arial" w:eastAsia="宋体" w:hAnsi="Arial" w:cs="Arial"/>
                  <w:color w:val="000000"/>
                  <w:sz w:val="18"/>
                  <w:szCs w:val="18"/>
                  <w:u w:val="none"/>
                </w:rPr>
                <w:t>83</w:t>
              </w:r>
            </w:hyperlink>
          </w:p>
        </w:tc>
      </w:tr>
      <w:tr w:rsidR="003C66EB" w14:paraId="5EA1DC45" w14:textId="77777777">
        <w:tc>
          <w:tcPr>
            <w:tcW w:w="0" w:type="auto"/>
            <w:gridSpan w:val="3"/>
            <w:shd w:val="clear" w:color="auto" w:fill="auto"/>
            <w:tcMar>
              <w:top w:w="0" w:type="dxa"/>
              <w:left w:w="20" w:type="dxa"/>
              <w:bottom w:w="0" w:type="dxa"/>
              <w:right w:w="20" w:type="dxa"/>
            </w:tcMar>
          </w:tcPr>
          <w:p w14:paraId="5EA1DC42"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43" w14:textId="77777777" w:rsidR="003C66EB" w:rsidRDefault="00D96C4E">
            <w:pPr>
              <w:textAlignment w:val="center"/>
            </w:pPr>
            <w:r>
              <w:rPr>
                <w:rFonts w:ascii="Arial" w:eastAsia="宋体" w:hAnsi="Arial" w:cs="Arial"/>
                <w:color w:val="000000"/>
                <w:sz w:val="18"/>
                <w:szCs w:val="18"/>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5EA1DC44" w14:textId="77777777" w:rsidR="003C66EB" w:rsidRDefault="00D96C4E">
            <w:pPr>
              <w:jc w:val="right"/>
              <w:textAlignment w:val="center"/>
            </w:pPr>
            <w:hyperlink r:id="rId60" w:anchor="i0151134890c94d98be89f952da24d748_484" w:history="1">
              <w:r>
                <w:rPr>
                  <w:rStyle w:val="a5"/>
                  <w:rFonts w:ascii="Arial" w:eastAsia="宋体" w:hAnsi="Arial" w:cs="Arial"/>
                  <w:color w:val="000000"/>
                  <w:sz w:val="18"/>
                  <w:szCs w:val="18"/>
                  <w:u w:val="none"/>
                </w:rPr>
                <w:t>84</w:t>
              </w:r>
            </w:hyperlink>
          </w:p>
        </w:tc>
      </w:tr>
      <w:tr w:rsidR="003C66EB" w14:paraId="5EA1DC49" w14:textId="77777777">
        <w:tc>
          <w:tcPr>
            <w:tcW w:w="0" w:type="auto"/>
            <w:gridSpan w:val="3"/>
            <w:shd w:val="clear" w:color="auto" w:fill="auto"/>
            <w:tcMar>
              <w:top w:w="0" w:type="dxa"/>
              <w:left w:w="20" w:type="dxa"/>
              <w:bottom w:w="0" w:type="dxa"/>
              <w:right w:w="20" w:type="dxa"/>
            </w:tcMar>
          </w:tcPr>
          <w:p w14:paraId="5EA1DC46" w14:textId="77777777" w:rsidR="003C66EB" w:rsidRDefault="003C66EB">
            <w:pPr>
              <w:rPr>
                <w:rFonts w:ascii="宋体"/>
              </w:rPr>
            </w:pPr>
          </w:p>
        </w:tc>
        <w:tc>
          <w:tcPr>
            <w:tcW w:w="0" w:type="auto"/>
            <w:gridSpan w:val="3"/>
            <w:shd w:val="clear" w:color="auto" w:fill="auto"/>
            <w:tcMar>
              <w:top w:w="40" w:type="dxa"/>
              <w:left w:w="515" w:type="dxa"/>
              <w:bottom w:w="40" w:type="dxa"/>
              <w:right w:w="20" w:type="dxa"/>
            </w:tcMar>
            <w:vAlign w:val="center"/>
          </w:tcPr>
          <w:p w14:paraId="5EA1DC47" w14:textId="77777777" w:rsidR="003C66EB" w:rsidRDefault="00D96C4E">
            <w:pPr>
              <w:textAlignment w:val="center"/>
            </w:pPr>
            <w:r>
              <w:rPr>
                <w:rFonts w:ascii="Arial" w:eastAsia="宋体" w:hAnsi="Arial" w:cs="Arial"/>
                <w:color w:val="000000"/>
                <w:sz w:val="18"/>
                <w:szCs w:val="18"/>
              </w:rPr>
              <w:t>Note 19. Non-U.S. Activities</w:t>
            </w:r>
          </w:p>
        </w:tc>
        <w:tc>
          <w:tcPr>
            <w:tcW w:w="0" w:type="auto"/>
            <w:gridSpan w:val="3"/>
            <w:shd w:val="clear" w:color="auto" w:fill="auto"/>
            <w:tcMar>
              <w:top w:w="40" w:type="dxa"/>
              <w:left w:w="20" w:type="dxa"/>
              <w:bottom w:w="40" w:type="dxa"/>
              <w:right w:w="20" w:type="dxa"/>
            </w:tcMar>
            <w:vAlign w:val="center"/>
          </w:tcPr>
          <w:p w14:paraId="5EA1DC48" w14:textId="77777777" w:rsidR="003C66EB" w:rsidRDefault="00D96C4E">
            <w:pPr>
              <w:jc w:val="right"/>
              <w:textAlignment w:val="center"/>
            </w:pPr>
            <w:hyperlink r:id="rId61" w:anchor="i0151134890c94d98be89f952da24d748_487" w:history="1">
              <w:r>
                <w:rPr>
                  <w:rStyle w:val="a5"/>
                  <w:rFonts w:ascii="Arial" w:eastAsia="宋体" w:hAnsi="Arial" w:cs="Arial"/>
                  <w:color w:val="000000"/>
                  <w:sz w:val="18"/>
                  <w:szCs w:val="18"/>
                  <w:u w:val="none"/>
                </w:rPr>
                <w:t>85</w:t>
              </w:r>
            </w:hyperlink>
          </w:p>
        </w:tc>
      </w:tr>
      <w:tr w:rsidR="003C66EB" w14:paraId="5EA1DC4D" w14:textId="77777777">
        <w:tc>
          <w:tcPr>
            <w:tcW w:w="0" w:type="auto"/>
            <w:gridSpan w:val="3"/>
            <w:shd w:val="clear" w:color="auto" w:fill="auto"/>
            <w:tcMar>
              <w:top w:w="0" w:type="dxa"/>
              <w:left w:w="20" w:type="dxa"/>
              <w:bottom w:w="0" w:type="dxa"/>
              <w:right w:w="20" w:type="dxa"/>
            </w:tcMar>
          </w:tcPr>
          <w:p w14:paraId="5EA1DC4A" w14:textId="77777777" w:rsidR="003C66EB" w:rsidRDefault="003C66EB">
            <w:pPr>
              <w:rPr>
                <w:rFonts w:ascii="宋体"/>
              </w:rPr>
            </w:pPr>
          </w:p>
        </w:tc>
        <w:tc>
          <w:tcPr>
            <w:tcW w:w="0" w:type="auto"/>
            <w:gridSpan w:val="3"/>
            <w:shd w:val="clear" w:color="auto" w:fill="auto"/>
            <w:tcMar>
              <w:top w:w="40" w:type="dxa"/>
              <w:left w:w="155" w:type="dxa"/>
              <w:bottom w:w="40" w:type="dxa"/>
              <w:right w:w="20" w:type="dxa"/>
            </w:tcMar>
            <w:vAlign w:val="center"/>
          </w:tcPr>
          <w:p w14:paraId="5EA1DC4B" w14:textId="77777777" w:rsidR="003C66EB" w:rsidRDefault="00D96C4E">
            <w:pPr>
              <w:textAlignment w:val="center"/>
            </w:pPr>
            <w:r>
              <w:rPr>
                <w:rFonts w:ascii="Arial" w:eastAsia="宋体" w:hAnsi="Arial" w:cs="Arial"/>
                <w:color w:val="000000"/>
                <w:sz w:val="18"/>
                <w:szCs w:val="18"/>
              </w:rPr>
              <w:t>Review Report of Independent Registered Public Accounting Firm</w:t>
            </w:r>
          </w:p>
        </w:tc>
        <w:tc>
          <w:tcPr>
            <w:tcW w:w="0" w:type="auto"/>
            <w:gridSpan w:val="3"/>
            <w:shd w:val="clear" w:color="auto" w:fill="auto"/>
            <w:tcMar>
              <w:top w:w="40" w:type="dxa"/>
              <w:left w:w="20" w:type="dxa"/>
              <w:bottom w:w="40" w:type="dxa"/>
              <w:right w:w="20" w:type="dxa"/>
            </w:tcMar>
            <w:vAlign w:val="center"/>
          </w:tcPr>
          <w:p w14:paraId="5EA1DC4C" w14:textId="77777777" w:rsidR="003C66EB" w:rsidRDefault="00D96C4E">
            <w:pPr>
              <w:jc w:val="right"/>
              <w:textAlignment w:val="center"/>
            </w:pPr>
            <w:r>
              <w:rPr>
                <w:rFonts w:ascii="Arial" w:eastAsia="宋体" w:hAnsi="Arial" w:cs="Arial"/>
                <w:color w:val="000000"/>
                <w:sz w:val="18"/>
                <w:szCs w:val="18"/>
              </w:rPr>
              <w:t>88</w:t>
            </w:r>
          </w:p>
        </w:tc>
      </w:tr>
      <w:tr w:rsidR="003C66EB" w14:paraId="5EA1DC51" w14:textId="77777777">
        <w:trPr>
          <w:trHeight w:val="280"/>
        </w:trPr>
        <w:tc>
          <w:tcPr>
            <w:tcW w:w="0" w:type="auto"/>
            <w:gridSpan w:val="3"/>
            <w:shd w:val="clear" w:color="auto" w:fill="auto"/>
            <w:tcMar>
              <w:top w:w="0" w:type="dxa"/>
              <w:left w:w="20" w:type="dxa"/>
              <w:bottom w:w="0" w:type="dxa"/>
              <w:right w:w="20" w:type="dxa"/>
            </w:tcMar>
          </w:tcPr>
          <w:p w14:paraId="5EA1DC4E" w14:textId="77777777" w:rsidR="003C66EB" w:rsidRDefault="003C66EB">
            <w:pPr>
              <w:rPr>
                <w:rFonts w:ascii="宋体"/>
              </w:rPr>
            </w:pPr>
          </w:p>
        </w:tc>
        <w:tc>
          <w:tcPr>
            <w:tcW w:w="0" w:type="auto"/>
            <w:gridSpan w:val="3"/>
            <w:shd w:val="clear" w:color="auto" w:fill="auto"/>
            <w:tcMar>
              <w:top w:w="0" w:type="dxa"/>
              <w:left w:w="515" w:type="dxa"/>
              <w:bottom w:w="0" w:type="dxa"/>
              <w:right w:w="20" w:type="dxa"/>
            </w:tcMar>
          </w:tcPr>
          <w:p w14:paraId="5EA1DC4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C50" w14:textId="77777777" w:rsidR="003C66EB" w:rsidRDefault="003C66EB">
            <w:pPr>
              <w:rPr>
                <w:rFonts w:ascii="宋体"/>
              </w:rPr>
            </w:pPr>
          </w:p>
        </w:tc>
      </w:tr>
      <w:tr w:rsidR="003C66EB" w14:paraId="5EA1DC55" w14:textId="77777777">
        <w:tc>
          <w:tcPr>
            <w:tcW w:w="0" w:type="auto"/>
            <w:gridSpan w:val="3"/>
            <w:shd w:val="clear" w:color="auto" w:fill="auto"/>
            <w:tcMar>
              <w:top w:w="40" w:type="dxa"/>
              <w:left w:w="155" w:type="dxa"/>
              <w:bottom w:w="40" w:type="dxa"/>
              <w:right w:w="20" w:type="dxa"/>
            </w:tcMar>
            <w:vAlign w:val="center"/>
          </w:tcPr>
          <w:p w14:paraId="5EA1DC52" w14:textId="77777777" w:rsidR="003C66EB" w:rsidRDefault="00D96C4E">
            <w:pPr>
              <w:textAlignment w:val="center"/>
            </w:pPr>
            <w:r>
              <w:rPr>
                <w:rFonts w:ascii="Arial" w:eastAsia="宋体" w:hAnsi="Arial" w:cs="Arial"/>
                <w:b/>
                <w:bCs/>
                <w:color w:val="000000"/>
                <w:sz w:val="18"/>
                <w:szCs w:val="18"/>
              </w:rPr>
              <w:t>PART II</w:t>
            </w:r>
          </w:p>
        </w:tc>
        <w:tc>
          <w:tcPr>
            <w:tcW w:w="0" w:type="auto"/>
            <w:gridSpan w:val="3"/>
            <w:shd w:val="clear" w:color="auto" w:fill="auto"/>
            <w:tcMar>
              <w:top w:w="40" w:type="dxa"/>
              <w:left w:w="20" w:type="dxa"/>
              <w:bottom w:w="40" w:type="dxa"/>
              <w:right w:w="20" w:type="dxa"/>
            </w:tcMar>
            <w:vAlign w:val="bottom"/>
          </w:tcPr>
          <w:p w14:paraId="5EA1DC53" w14:textId="77777777" w:rsidR="003C66EB" w:rsidRDefault="00D96C4E">
            <w:pPr>
              <w:textAlignment w:val="bottom"/>
            </w:pPr>
            <w:r>
              <w:rPr>
                <w:rFonts w:ascii="Arial" w:eastAsia="宋体" w:hAnsi="Arial" w:cs="Arial"/>
                <w:b/>
                <w:bCs/>
                <w:color w:val="000000"/>
                <w:sz w:val="18"/>
                <w:szCs w:val="18"/>
              </w:rPr>
              <w:t>OTHER INFORMATION</w:t>
            </w:r>
          </w:p>
        </w:tc>
        <w:tc>
          <w:tcPr>
            <w:tcW w:w="0" w:type="auto"/>
            <w:gridSpan w:val="3"/>
            <w:shd w:val="clear" w:color="auto" w:fill="auto"/>
            <w:tcMar>
              <w:top w:w="0" w:type="dxa"/>
              <w:left w:w="20" w:type="dxa"/>
              <w:bottom w:w="0" w:type="dxa"/>
              <w:right w:w="20" w:type="dxa"/>
            </w:tcMar>
          </w:tcPr>
          <w:p w14:paraId="5EA1DC54" w14:textId="77777777" w:rsidR="003C66EB" w:rsidRDefault="003C66EB">
            <w:pPr>
              <w:rPr>
                <w:rFonts w:ascii="宋体"/>
              </w:rPr>
            </w:pPr>
          </w:p>
        </w:tc>
      </w:tr>
      <w:tr w:rsidR="003C66EB" w14:paraId="5EA1DC59" w14:textId="77777777">
        <w:tc>
          <w:tcPr>
            <w:tcW w:w="0" w:type="auto"/>
            <w:gridSpan w:val="3"/>
            <w:shd w:val="clear" w:color="auto" w:fill="auto"/>
            <w:tcMar>
              <w:top w:w="40" w:type="dxa"/>
              <w:left w:w="155" w:type="dxa"/>
              <w:bottom w:w="40" w:type="dxa"/>
              <w:right w:w="20" w:type="dxa"/>
            </w:tcMar>
          </w:tcPr>
          <w:p w14:paraId="5EA1DC56" w14:textId="77777777" w:rsidR="003C66EB" w:rsidRDefault="00D96C4E">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5EA1DC57" w14:textId="77777777" w:rsidR="003C66EB" w:rsidRDefault="00D96C4E">
            <w:pPr>
              <w:textAlignment w:val="center"/>
            </w:pPr>
            <w:r>
              <w:rPr>
                <w:rFonts w:ascii="Arial" w:eastAsia="宋体" w:hAnsi="Arial" w:cs="Arial"/>
                <w:color w:val="000000"/>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5EA1DC58" w14:textId="77777777" w:rsidR="003C66EB" w:rsidRDefault="00D96C4E">
            <w:pPr>
              <w:jc w:val="right"/>
              <w:textAlignment w:val="center"/>
            </w:pPr>
            <w:hyperlink r:id="rId62" w:anchor="i0151134890c94d98be89f952da24d748_631" w:history="1">
              <w:r>
                <w:rPr>
                  <w:rStyle w:val="a5"/>
                  <w:rFonts w:ascii="Arial" w:eastAsia="宋体" w:hAnsi="Arial" w:cs="Arial"/>
                  <w:color w:val="000000"/>
                  <w:sz w:val="18"/>
                  <w:szCs w:val="18"/>
                  <w:u w:val="none"/>
                </w:rPr>
                <w:t>89</w:t>
              </w:r>
            </w:hyperlink>
          </w:p>
        </w:tc>
      </w:tr>
      <w:tr w:rsidR="003C66EB" w14:paraId="5EA1DC5D" w14:textId="77777777">
        <w:tc>
          <w:tcPr>
            <w:tcW w:w="0" w:type="auto"/>
            <w:gridSpan w:val="3"/>
            <w:shd w:val="clear" w:color="auto" w:fill="auto"/>
            <w:tcMar>
              <w:top w:w="40" w:type="dxa"/>
              <w:left w:w="155" w:type="dxa"/>
              <w:bottom w:w="40" w:type="dxa"/>
              <w:right w:w="20" w:type="dxa"/>
            </w:tcMar>
          </w:tcPr>
          <w:p w14:paraId="5EA1DC5A" w14:textId="77777777" w:rsidR="003C66EB" w:rsidRDefault="00D96C4E">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5EA1DC5B" w14:textId="77777777" w:rsidR="003C66EB" w:rsidRDefault="00D96C4E">
            <w:pPr>
              <w:textAlignment w:val="center"/>
            </w:pPr>
            <w:r>
              <w:rPr>
                <w:rFonts w:ascii="Arial" w:eastAsia="宋体" w:hAnsi="Arial" w:cs="Arial"/>
                <w:color w:val="000000"/>
                <w:sz w:val="18"/>
                <w:szCs w:val="18"/>
              </w:rPr>
              <w:t>Exhibits</w:t>
            </w:r>
          </w:p>
        </w:tc>
        <w:tc>
          <w:tcPr>
            <w:tcW w:w="0" w:type="auto"/>
            <w:gridSpan w:val="3"/>
            <w:shd w:val="clear" w:color="auto" w:fill="auto"/>
            <w:tcMar>
              <w:top w:w="40" w:type="dxa"/>
              <w:left w:w="20" w:type="dxa"/>
              <w:bottom w:w="40" w:type="dxa"/>
              <w:right w:w="20" w:type="dxa"/>
            </w:tcMar>
            <w:vAlign w:val="center"/>
          </w:tcPr>
          <w:p w14:paraId="5EA1DC5C" w14:textId="77777777" w:rsidR="003C66EB" w:rsidRDefault="00D96C4E">
            <w:pPr>
              <w:jc w:val="right"/>
              <w:textAlignment w:val="center"/>
            </w:pPr>
            <w:hyperlink r:id="rId63" w:anchor="i0151134890c94d98be89f952da24d748_628" w:history="1">
              <w:r>
                <w:rPr>
                  <w:rStyle w:val="a5"/>
                  <w:rFonts w:ascii="Arial" w:eastAsia="宋体" w:hAnsi="Arial" w:cs="Arial"/>
                  <w:color w:val="000000"/>
                  <w:sz w:val="18"/>
                  <w:szCs w:val="18"/>
                  <w:u w:val="none"/>
                </w:rPr>
                <w:t>90</w:t>
              </w:r>
            </w:hyperlink>
          </w:p>
        </w:tc>
      </w:tr>
      <w:tr w:rsidR="003C66EB" w14:paraId="5EA1DC61" w14:textId="77777777">
        <w:tc>
          <w:tcPr>
            <w:tcW w:w="0" w:type="auto"/>
            <w:gridSpan w:val="3"/>
            <w:shd w:val="clear" w:color="auto" w:fill="auto"/>
            <w:tcMar>
              <w:top w:w="40" w:type="dxa"/>
              <w:left w:w="155" w:type="dxa"/>
              <w:bottom w:w="40" w:type="dxa"/>
              <w:right w:w="20" w:type="dxa"/>
            </w:tcMar>
          </w:tcPr>
          <w:p w14:paraId="5EA1DC5E" w14:textId="77777777" w:rsidR="003C66EB" w:rsidRDefault="00D96C4E">
            <w:pPr>
              <w:textAlignment w:val="top"/>
            </w:pPr>
            <w:r>
              <w:rPr>
                <w:rFonts w:ascii="Arial" w:eastAsia="宋体" w:hAnsi="Arial" w:cs="Arial"/>
                <w:color w:val="000000"/>
                <w:sz w:val="18"/>
                <w:szCs w:val="18"/>
              </w:rPr>
              <w:t>Signatures</w:t>
            </w:r>
          </w:p>
        </w:tc>
        <w:tc>
          <w:tcPr>
            <w:tcW w:w="0" w:type="auto"/>
            <w:gridSpan w:val="3"/>
            <w:shd w:val="clear" w:color="auto" w:fill="auto"/>
            <w:tcMar>
              <w:top w:w="0" w:type="dxa"/>
              <w:left w:w="155" w:type="dxa"/>
              <w:bottom w:w="0" w:type="dxa"/>
              <w:right w:w="20" w:type="dxa"/>
            </w:tcMar>
          </w:tcPr>
          <w:p w14:paraId="5EA1DC5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1DC60" w14:textId="77777777" w:rsidR="003C66EB" w:rsidRDefault="00D96C4E">
            <w:pPr>
              <w:jc w:val="right"/>
              <w:textAlignment w:val="center"/>
            </w:pPr>
            <w:hyperlink r:id="rId64" w:anchor="i0151134890c94d98be89f952da24d748_634" w:history="1">
              <w:r>
                <w:rPr>
                  <w:rStyle w:val="a5"/>
                  <w:rFonts w:ascii="Arial" w:eastAsia="宋体" w:hAnsi="Arial" w:cs="Arial"/>
                  <w:color w:val="000000"/>
                  <w:sz w:val="18"/>
                  <w:szCs w:val="18"/>
                  <w:u w:val="none"/>
                </w:rPr>
                <w:t>91</w:t>
              </w:r>
            </w:hyperlink>
          </w:p>
        </w:tc>
      </w:tr>
      <w:tr w:rsidR="003C66EB" w14:paraId="5EA1DC65" w14:textId="77777777">
        <w:trPr>
          <w:hidden/>
        </w:trPr>
        <w:tc>
          <w:tcPr>
            <w:tcW w:w="0" w:type="auto"/>
            <w:gridSpan w:val="3"/>
            <w:shd w:val="clear" w:color="auto" w:fill="auto"/>
          </w:tcPr>
          <w:p w14:paraId="5EA1DC62" w14:textId="77777777" w:rsidR="003C66EB" w:rsidRDefault="003C66EB">
            <w:pPr>
              <w:rPr>
                <w:rFonts w:ascii="宋体"/>
                <w:vanish/>
              </w:rPr>
            </w:pPr>
          </w:p>
        </w:tc>
        <w:tc>
          <w:tcPr>
            <w:tcW w:w="0" w:type="auto"/>
            <w:gridSpan w:val="3"/>
            <w:shd w:val="clear" w:color="auto" w:fill="auto"/>
          </w:tcPr>
          <w:p w14:paraId="5EA1DC63" w14:textId="77777777" w:rsidR="003C66EB" w:rsidRDefault="003C66EB">
            <w:pPr>
              <w:rPr>
                <w:rFonts w:ascii="宋体"/>
                <w:vanish/>
              </w:rPr>
            </w:pPr>
          </w:p>
        </w:tc>
        <w:tc>
          <w:tcPr>
            <w:tcW w:w="0" w:type="auto"/>
            <w:gridSpan w:val="3"/>
            <w:shd w:val="clear" w:color="auto" w:fill="auto"/>
          </w:tcPr>
          <w:p w14:paraId="5EA1DC64" w14:textId="77777777" w:rsidR="003C66EB" w:rsidRDefault="003C66EB">
            <w:pPr>
              <w:rPr>
                <w:rFonts w:ascii="宋体"/>
                <w:vanish/>
              </w:rPr>
            </w:pPr>
          </w:p>
        </w:tc>
      </w:tr>
      <w:tr w:rsidR="003C66EB" w14:paraId="5EA1DC69" w14:textId="77777777">
        <w:trPr>
          <w:hidden/>
        </w:trPr>
        <w:tc>
          <w:tcPr>
            <w:tcW w:w="0" w:type="auto"/>
            <w:gridSpan w:val="3"/>
            <w:shd w:val="clear" w:color="auto" w:fill="auto"/>
          </w:tcPr>
          <w:p w14:paraId="5EA1DC66" w14:textId="77777777" w:rsidR="003C66EB" w:rsidRDefault="003C66EB">
            <w:pPr>
              <w:rPr>
                <w:rFonts w:ascii="宋体"/>
                <w:vanish/>
              </w:rPr>
            </w:pPr>
          </w:p>
        </w:tc>
        <w:tc>
          <w:tcPr>
            <w:tcW w:w="0" w:type="auto"/>
            <w:gridSpan w:val="3"/>
            <w:shd w:val="clear" w:color="auto" w:fill="auto"/>
          </w:tcPr>
          <w:p w14:paraId="5EA1DC67" w14:textId="77777777" w:rsidR="003C66EB" w:rsidRDefault="003C66EB">
            <w:pPr>
              <w:rPr>
                <w:rFonts w:ascii="宋体"/>
                <w:vanish/>
              </w:rPr>
            </w:pPr>
          </w:p>
        </w:tc>
        <w:tc>
          <w:tcPr>
            <w:tcW w:w="0" w:type="auto"/>
            <w:gridSpan w:val="3"/>
            <w:shd w:val="clear" w:color="auto" w:fill="auto"/>
          </w:tcPr>
          <w:p w14:paraId="5EA1DC68" w14:textId="77777777" w:rsidR="003C66EB" w:rsidRDefault="003C66EB">
            <w:pPr>
              <w:rPr>
                <w:rFonts w:ascii="宋体"/>
                <w:vanish/>
              </w:rPr>
            </w:pPr>
          </w:p>
        </w:tc>
      </w:tr>
      <w:tr w:rsidR="003C66EB" w14:paraId="5EA1DC6D" w14:textId="77777777">
        <w:trPr>
          <w:hidden/>
        </w:trPr>
        <w:tc>
          <w:tcPr>
            <w:tcW w:w="0" w:type="auto"/>
            <w:gridSpan w:val="3"/>
            <w:shd w:val="clear" w:color="auto" w:fill="auto"/>
          </w:tcPr>
          <w:p w14:paraId="5EA1DC6A" w14:textId="77777777" w:rsidR="003C66EB" w:rsidRDefault="003C66EB">
            <w:pPr>
              <w:rPr>
                <w:rFonts w:ascii="宋体"/>
                <w:vanish/>
              </w:rPr>
            </w:pPr>
          </w:p>
        </w:tc>
        <w:tc>
          <w:tcPr>
            <w:tcW w:w="0" w:type="auto"/>
            <w:gridSpan w:val="3"/>
            <w:shd w:val="clear" w:color="auto" w:fill="auto"/>
          </w:tcPr>
          <w:p w14:paraId="5EA1DC6B" w14:textId="77777777" w:rsidR="003C66EB" w:rsidRDefault="003C66EB">
            <w:pPr>
              <w:rPr>
                <w:rFonts w:ascii="宋体"/>
                <w:vanish/>
              </w:rPr>
            </w:pPr>
          </w:p>
        </w:tc>
        <w:tc>
          <w:tcPr>
            <w:tcW w:w="0" w:type="auto"/>
            <w:gridSpan w:val="3"/>
            <w:shd w:val="clear" w:color="auto" w:fill="auto"/>
          </w:tcPr>
          <w:p w14:paraId="5EA1DC6C" w14:textId="77777777" w:rsidR="003C66EB" w:rsidRDefault="003C66EB">
            <w:pPr>
              <w:rPr>
                <w:rFonts w:ascii="宋体"/>
                <w:vanish/>
              </w:rPr>
            </w:pPr>
          </w:p>
        </w:tc>
      </w:tr>
      <w:tr w:rsidR="003C66EB" w14:paraId="5EA1DC71" w14:textId="77777777">
        <w:trPr>
          <w:hidden/>
        </w:trPr>
        <w:tc>
          <w:tcPr>
            <w:tcW w:w="0" w:type="auto"/>
            <w:gridSpan w:val="3"/>
            <w:shd w:val="clear" w:color="auto" w:fill="auto"/>
          </w:tcPr>
          <w:p w14:paraId="5EA1DC6E" w14:textId="77777777" w:rsidR="003C66EB" w:rsidRDefault="003C66EB">
            <w:pPr>
              <w:rPr>
                <w:rFonts w:ascii="宋体"/>
                <w:vanish/>
              </w:rPr>
            </w:pPr>
          </w:p>
        </w:tc>
        <w:tc>
          <w:tcPr>
            <w:tcW w:w="0" w:type="auto"/>
            <w:gridSpan w:val="3"/>
            <w:shd w:val="clear" w:color="auto" w:fill="auto"/>
          </w:tcPr>
          <w:p w14:paraId="5EA1DC6F" w14:textId="77777777" w:rsidR="003C66EB" w:rsidRDefault="003C66EB">
            <w:pPr>
              <w:rPr>
                <w:rFonts w:ascii="宋体"/>
                <w:vanish/>
              </w:rPr>
            </w:pPr>
          </w:p>
        </w:tc>
        <w:tc>
          <w:tcPr>
            <w:tcW w:w="0" w:type="auto"/>
            <w:gridSpan w:val="3"/>
            <w:shd w:val="clear" w:color="auto" w:fill="auto"/>
          </w:tcPr>
          <w:p w14:paraId="5EA1DC70" w14:textId="77777777" w:rsidR="003C66EB" w:rsidRDefault="003C66EB">
            <w:pPr>
              <w:rPr>
                <w:rFonts w:ascii="宋体"/>
                <w:vanish/>
              </w:rPr>
            </w:pPr>
          </w:p>
        </w:tc>
      </w:tr>
      <w:tr w:rsidR="003C66EB" w14:paraId="5EA1DC75" w14:textId="77777777">
        <w:trPr>
          <w:hidden/>
        </w:trPr>
        <w:tc>
          <w:tcPr>
            <w:tcW w:w="0" w:type="auto"/>
            <w:gridSpan w:val="3"/>
            <w:shd w:val="clear" w:color="auto" w:fill="auto"/>
          </w:tcPr>
          <w:p w14:paraId="5EA1DC72" w14:textId="77777777" w:rsidR="003C66EB" w:rsidRDefault="003C66EB">
            <w:pPr>
              <w:rPr>
                <w:rFonts w:ascii="宋体"/>
                <w:vanish/>
              </w:rPr>
            </w:pPr>
          </w:p>
        </w:tc>
        <w:tc>
          <w:tcPr>
            <w:tcW w:w="0" w:type="auto"/>
            <w:gridSpan w:val="3"/>
            <w:shd w:val="clear" w:color="auto" w:fill="auto"/>
          </w:tcPr>
          <w:p w14:paraId="5EA1DC73" w14:textId="77777777" w:rsidR="003C66EB" w:rsidRDefault="003C66EB">
            <w:pPr>
              <w:rPr>
                <w:rFonts w:ascii="宋体"/>
                <w:vanish/>
              </w:rPr>
            </w:pPr>
          </w:p>
        </w:tc>
        <w:tc>
          <w:tcPr>
            <w:tcW w:w="0" w:type="auto"/>
            <w:gridSpan w:val="3"/>
            <w:shd w:val="clear" w:color="auto" w:fill="auto"/>
          </w:tcPr>
          <w:p w14:paraId="5EA1DC74" w14:textId="77777777" w:rsidR="003C66EB" w:rsidRDefault="003C66EB">
            <w:pPr>
              <w:rPr>
                <w:rFonts w:ascii="宋体"/>
                <w:vanish/>
              </w:rPr>
            </w:pPr>
          </w:p>
        </w:tc>
      </w:tr>
      <w:tr w:rsidR="003C66EB" w14:paraId="5EA1DC79" w14:textId="77777777">
        <w:trPr>
          <w:hidden/>
        </w:trPr>
        <w:tc>
          <w:tcPr>
            <w:tcW w:w="0" w:type="auto"/>
            <w:gridSpan w:val="3"/>
            <w:shd w:val="clear" w:color="auto" w:fill="auto"/>
          </w:tcPr>
          <w:p w14:paraId="5EA1DC76" w14:textId="77777777" w:rsidR="003C66EB" w:rsidRDefault="003C66EB">
            <w:pPr>
              <w:rPr>
                <w:rFonts w:ascii="宋体"/>
                <w:vanish/>
              </w:rPr>
            </w:pPr>
          </w:p>
        </w:tc>
        <w:tc>
          <w:tcPr>
            <w:tcW w:w="0" w:type="auto"/>
            <w:gridSpan w:val="3"/>
            <w:shd w:val="clear" w:color="auto" w:fill="auto"/>
          </w:tcPr>
          <w:p w14:paraId="5EA1DC77" w14:textId="77777777" w:rsidR="003C66EB" w:rsidRDefault="003C66EB">
            <w:pPr>
              <w:rPr>
                <w:rFonts w:ascii="宋体"/>
                <w:vanish/>
              </w:rPr>
            </w:pPr>
          </w:p>
        </w:tc>
        <w:tc>
          <w:tcPr>
            <w:tcW w:w="0" w:type="auto"/>
            <w:gridSpan w:val="3"/>
            <w:shd w:val="clear" w:color="auto" w:fill="auto"/>
          </w:tcPr>
          <w:p w14:paraId="5EA1DC78" w14:textId="77777777" w:rsidR="003C66EB" w:rsidRDefault="003C66EB">
            <w:pPr>
              <w:rPr>
                <w:rFonts w:ascii="宋体"/>
                <w:vanish/>
              </w:rPr>
            </w:pPr>
          </w:p>
        </w:tc>
      </w:tr>
      <w:tr w:rsidR="003C66EB" w14:paraId="5EA1DC7D" w14:textId="77777777">
        <w:trPr>
          <w:hidden/>
        </w:trPr>
        <w:tc>
          <w:tcPr>
            <w:tcW w:w="0" w:type="auto"/>
            <w:gridSpan w:val="3"/>
            <w:shd w:val="clear" w:color="auto" w:fill="auto"/>
          </w:tcPr>
          <w:p w14:paraId="5EA1DC7A" w14:textId="77777777" w:rsidR="003C66EB" w:rsidRDefault="003C66EB">
            <w:pPr>
              <w:rPr>
                <w:rFonts w:ascii="宋体"/>
                <w:vanish/>
              </w:rPr>
            </w:pPr>
          </w:p>
        </w:tc>
        <w:tc>
          <w:tcPr>
            <w:tcW w:w="0" w:type="auto"/>
            <w:gridSpan w:val="3"/>
            <w:shd w:val="clear" w:color="auto" w:fill="auto"/>
          </w:tcPr>
          <w:p w14:paraId="5EA1DC7B" w14:textId="77777777" w:rsidR="003C66EB" w:rsidRDefault="003C66EB">
            <w:pPr>
              <w:rPr>
                <w:rFonts w:ascii="宋体"/>
                <w:vanish/>
              </w:rPr>
            </w:pPr>
          </w:p>
        </w:tc>
        <w:tc>
          <w:tcPr>
            <w:tcW w:w="0" w:type="auto"/>
            <w:gridSpan w:val="3"/>
            <w:shd w:val="clear" w:color="auto" w:fill="auto"/>
          </w:tcPr>
          <w:p w14:paraId="5EA1DC7C" w14:textId="77777777" w:rsidR="003C66EB" w:rsidRDefault="003C66EB">
            <w:pPr>
              <w:rPr>
                <w:rFonts w:ascii="宋体"/>
                <w:vanish/>
              </w:rPr>
            </w:pPr>
          </w:p>
        </w:tc>
      </w:tr>
      <w:tr w:rsidR="003C66EB" w14:paraId="5EA1DC81" w14:textId="77777777">
        <w:trPr>
          <w:hidden/>
        </w:trPr>
        <w:tc>
          <w:tcPr>
            <w:tcW w:w="0" w:type="auto"/>
            <w:gridSpan w:val="3"/>
            <w:shd w:val="clear" w:color="auto" w:fill="auto"/>
          </w:tcPr>
          <w:p w14:paraId="5EA1DC7E" w14:textId="77777777" w:rsidR="003C66EB" w:rsidRDefault="003C66EB">
            <w:pPr>
              <w:rPr>
                <w:rFonts w:ascii="宋体"/>
                <w:vanish/>
              </w:rPr>
            </w:pPr>
          </w:p>
        </w:tc>
        <w:tc>
          <w:tcPr>
            <w:tcW w:w="0" w:type="auto"/>
            <w:gridSpan w:val="3"/>
            <w:shd w:val="clear" w:color="auto" w:fill="auto"/>
          </w:tcPr>
          <w:p w14:paraId="5EA1DC7F" w14:textId="77777777" w:rsidR="003C66EB" w:rsidRDefault="003C66EB">
            <w:pPr>
              <w:rPr>
                <w:rFonts w:ascii="宋体"/>
                <w:vanish/>
              </w:rPr>
            </w:pPr>
          </w:p>
        </w:tc>
        <w:tc>
          <w:tcPr>
            <w:tcW w:w="0" w:type="auto"/>
            <w:gridSpan w:val="3"/>
            <w:shd w:val="clear" w:color="auto" w:fill="auto"/>
          </w:tcPr>
          <w:p w14:paraId="5EA1DC80" w14:textId="77777777" w:rsidR="003C66EB" w:rsidRDefault="003C66EB">
            <w:pPr>
              <w:rPr>
                <w:rFonts w:ascii="宋体"/>
                <w:vanish/>
              </w:rPr>
            </w:pPr>
          </w:p>
        </w:tc>
      </w:tr>
    </w:tbl>
    <w:p w14:paraId="5EA1DC82" w14:textId="77777777" w:rsidR="003C66EB" w:rsidRDefault="003C66EB">
      <w:pPr>
        <w:ind w:firstLine="450"/>
      </w:pPr>
    </w:p>
    <w:p w14:paraId="5EA1DC83" w14:textId="77777777" w:rsidR="003C66EB" w:rsidRDefault="003C66EB">
      <w:pPr>
        <w:ind w:firstLine="450"/>
      </w:pPr>
    </w:p>
    <w:p w14:paraId="5EA1DC84" w14:textId="77777777" w:rsidR="003C66EB" w:rsidRDefault="003C66EB">
      <w:pPr>
        <w:ind w:firstLine="450"/>
      </w:pPr>
    </w:p>
    <w:p w14:paraId="5EA1DC85" w14:textId="77777777" w:rsidR="003C66EB" w:rsidRDefault="003C66EB">
      <w:pPr>
        <w:ind w:firstLine="450"/>
      </w:pPr>
    </w:p>
    <w:p w14:paraId="5EA1DC86" w14:textId="77777777" w:rsidR="003C66EB" w:rsidRDefault="003C66EB">
      <w:pPr>
        <w:ind w:firstLine="450"/>
      </w:pPr>
    </w:p>
    <w:p w14:paraId="5EA1DC87" w14:textId="77777777" w:rsidR="003C66EB" w:rsidRDefault="003C66EB">
      <w:pPr>
        <w:ind w:firstLine="450"/>
      </w:pPr>
    </w:p>
    <w:p w14:paraId="5EA1DC88" w14:textId="77777777" w:rsidR="003C66EB" w:rsidRDefault="003C66EB">
      <w:pPr>
        <w:ind w:firstLine="450"/>
      </w:pPr>
    </w:p>
    <w:p w14:paraId="5EA1DC89" w14:textId="77777777" w:rsidR="003C66EB" w:rsidRDefault="003C66EB">
      <w:pPr>
        <w:ind w:firstLine="450"/>
      </w:pPr>
    </w:p>
    <w:p w14:paraId="5EA1DC8A" w14:textId="77777777" w:rsidR="003C66EB" w:rsidRDefault="003C66EB">
      <w:pPr>
        <w:ind w:firstLine="450"/>
      </w:pPr>
    </w:p>
    <w:p w14:paraId="5EA1DC8B" w14:textId="77777777" w:rsidR="003C66EB" w:rsidRDefault="003C66EB">
      <w:pPr>
        <w:ind w:firstLine="450"/>
      </w:pPr>
    </w:p>
    <w:p w14:paraId="5EA1DC8C" w14:textId="77777777" w:rsidR="003C66EB" w:rsidRDefault="003C66EB">
      <w:pPr>
        <w:ind w:firstLine="450"/>
      </w:pPr>
    </w:p>
    <w:p w14:paraId="5EA1DC8D" w14:textId="77777777" w:rsidR="003C66EB" w:rsidRDefault="003C66EB">
      <w:pPr>
        <w:ind w:firstLine="450"/>
      </w:pPr>
    </w:p>
    <w:p w14:paraId="5EA1DC8E" w14:textId="77777777" w:rsidR="003C66EB" w:rsidRDefault="003C66EB">
      <w:pPr>
        <w:ind w:firstLine="450"/>
      </w:pPr>
    </w:p>
    <w:p w14:paraId="5EA1DC8F" w14:textId="77777777" w:rsidR="003C66EB" w:rsidRDefault="003C66EB">
      <w:pPr>
        <w:ind w:firstLine="450"/>
      </w:pPr>
    </w:p>
    <w:p w14:paraId="5EA1DC90" w14:textId="77777777" w:rsidR="003C66EB" w:rsidRDefault="003C66EB">
      <w:pPr>
        <w:ind w:firstLine="450"/>
      </w:pPr>
    </w:p>
    <w:p w14:paraId="5EA1DC91" w14:textId="77777777" w:rsidR="003C66EB" w:rsidRDefault="003C66EB">
      <w:pPr>
        <w:ind w:firstLine="450"/>
      </w:pPr>
    </w:p>
    <w:p w14:paraId="5EA1DC92" w14:textId="77777777" w:rsidR="003C66EB" w:rsidRDefault="003C66EB">
      <w:pPr>
        <w:ind w:firstLine="450"/>
      </w:pPr>
    </w:p>
    <w:p w14:paraId="5EA1DC93" w14:textId="77777777" w:rsidR="003C66EB" w:rsidRDefault="003C66EB">
      <w:pPr>
        <w:ind w:firstLine="450"/>
      </w:pPr>
    </w:p>
    <w:p w14:paraId="5EA1DC94" w14:textId="77777777" w:rsidR="003C66EB" w:rsidRDefault="003C66EB">
      <w:pPr>
        <w:ind w:firstLine="450"/>
      </w:pPr>
    </w:p>
    <w:p w14:paraId="5EA1DC95" w14:textId="77777777" w:rsidR="003C66EB" w:rsidRDefault="003C66EB">
      <w:pPr>
        <w:ind w:firstLine="450"/>
      </w:pPr>
    </w:p>
    <w:p w14:paraId="5EA1DC96" w14:textId="77777777" w:rsidR="003C66EB" w:rsidRDefault="003C66EB">
      <w:pPr>
        <w:ind w:firstLine="450"/>
      </w:pPr>
    </w:p>
    <w:p w14:paraId="5EA1DC97" w14:textId="77777777" w:rsidR="003C66EB" w:rsidRDefault="003C66EB">
      <w:pPr>
        <w:ind w:firstLine="450"/>
      </w:pPr>
    </w:p>
    <w:p w14:paraId="5EA1DC98" w14:textId="77777777" w:rsidR="003C66EB" w:rsidRDefault="003C66EB">
      <w:pPr>
        <w:ind w:firstLine="450"/>
      </w:pPr>
    </w:p>
    <w:p w14:paraId="5EA1DC99" w14:textId="77777777" w:rsidR="003C66EB" w:rsidRDefault="003C66EB">
      <w:pPr>
        <w:ind w:firstLine="450"/>
      </w:pPr>
    </w:p>
    <w:p w14:paraId="5EA1DC9A" w14:textId="77777777" w:rsidR="003C66EB" w:rsidRDefault="003C66EB">
      <w:pPr>
        <w:ind w:firstLine="450"/>
      </w:pPr>
    </w:p>
    <w:p w14:paraId="5EA1DC9B" w14:textId="77777777" w:rsidR="003C66EB" w:rsidRDefault="003C66EB">
      <w:pPr>
        <w:ind w:firstLine="450"/>
      </w:pPr>
    </w:p>
    <w:p w14:paraId="5EA1DC9C" w14:textId="77777777" w:rsidR="003C66EB" w:rsidRDefault="003C66EB">
      <w:pPr>
        <w:ind w:firstLine="450"/>
      </w:pPr>
    </w:p>
    <w:p w14:paraId="5EA1DC9D" w14:textId="77777777" w:rsidR="003C66EB" w:rsidRDefault="003C66EB">
      <w:pPr>
        <w:ind w:firstLine="450"/>
      </w:pPr>
    </w:p>
    <w:p w14:paraId="5EA1DC9E" w14:textId="77777777" w:rsidR="003C66EB" w:rsidRDefault="003C66EB">
      <w:pPr>
        <w:ind w:firstLine="450"/>
      </w:pPr>
    </w:p>
    <w:p w14:paraId="5EA1DC9F" w14:textId="77777777" w:rsidR="003C66EB" w:rsidRDefault="003C66EB">
      <w:pPr>
        <w:ind w:firstLine="450"/>
      </w:pPr>
    </w:p>
    <w:p w14:paraId="5EA1DCA0" w14:textId="77777777" w:rsidR="003C66EB" w:rsidRDefault="003C66EB">
      <w:pPr>
        <w:ind w:firstLine="450"/>
        <w:jc w:val="both"/>
      </w:pPr>
    </w:p>
    <w:p w14:paraId="5EA1DCA1" w14:textId="77777777" w:rsidR="003C66EB" w:rsidRDefault="00D96C4E">
      <w:pPr>
        <w:ind w:firstLine="450"/>
        <w:jc w:val="both"/>
      </w:pPr>
      <w:r>
        <w:rPr>
          <w:rFonts w:ascii="Arial" w:eastAsia="宋体" w:hAnsi="Arial" w:cs="Arial"/>
          <w:color w:val="000000"/>
          <w:sz w:val="20"/>
          <w:szCs w:val="20"/>
        </w:rPr>
        <w:t xml:space="preserve">We use acronyms and other defined terms for certain business terms and abbreviations, as defined in the acronyms list and </w:t>
      </w:r>
      <w:r>
        <w:rPr>
          <w:rFonts w:ascii="Arial" w:eastAsia="宋体" w:hAnsi="Arial" w:cs="Arial"/>
          <w:color w:val="000000"/>
          <w:sz w:val="20"/>
          <w:szCs w:val="20"/>
        </w:rPr>
        <w:t>glossary following the consolidated financial statements in this Form 10-Q.</w:t>
      </w:r>
    </w:p>
    <w:p w14:paraId="5EA1DCA2" w14:textId="77777777" w:rsidR="003C66EB" w:rsidRDefault="00D96C4E">
      <w:pPr>
        <w:ind w:firstLine="450"/>
        <w:jc w:val="right"/>
      </w:pPr>
      <w:r>
        <w:rPr>
          <w:rFonts w:ascii="Arial" w:eastAsia="宋体" w:hAnsi="Arial" w:cs="Arial"/>
          <w:color w:val="000000"/>
          <w:sz w:val="18"/>
          <w:szCs w:val="18"/>
        </w:rPr>
        <w:t>State Street Corporation | 3</w:t>
      </w:r>
    </w:p>
    <w:p w14:paraId="5EA1DCA3" w14:textId="77777777" w:rsidR="003C66EB" w:rsidRDefault="003C66EB">
      <w:pPr>
        <w:ind w:firstLine="450"/>
        <w:jc w:val="center"/>
      </w:pPr>
    </w:p>
    <w:p w14:paraId="5EA1DCA4" w14:textId="77777777" w:rsidR="003C66EB" w:rsidRDefault="00D96C4E">
      <w:r>
        <w:pict w14:anchorId="5EA287B3">
          <v:rect id="_x0000_i1027" style="width:415.3pt;height:1.5pt" o:hralign="center" o:hrstd="t" o:hr="t" fillcolor="#a0a0a0" stroked="f"/>
        </w:pict>
      </w:r>
    </w:p>
    <w:p w14:paraId="5EA1DCA5"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DCA6" w14:textId="77777777" w:rsidR="003C66EB" w:rsidRDefault="00D96C4E">
      <w:pPr>
        <w:ind w:firstLine="450"/>
        <w:jc w:val="center"/>
      </w:pPr>
      <w:r>
        <w:rPr>
          <w:rFonts w:ascii="Arial" w:eastAsia="宋体" w:hAnsi="Arial" w:cs="Arial"/>
          <w:b/>
          <w:bCs/>
          <w:color w:val="000000"/>
          <w:sz w:val="20"/>
          <w:szCs w:val="20"/>
        </w:rPr>
        <w:t>AND RESULTS OF OPERATIONS</w:t>
      </w:r>
    </w:p>
    <w:p w14:paraId="5EA1DCA7" w14:textId="77777777" w:rsidR="003C66EB" w:rsidRDefault="00D96C4E">
      <w:pPr>
        <w:spacing w:before="90"/>
        <w:textAlignment w:val="top"/>
      </w:pPr>
      <w:r>
        <w:rPr>
          <w:rFonts w:ascii="Arial" w:eastAsia="宋体" w:hAnsi="Arial" w:cs="Arial"/>
          <w:b/>
          <w:bCs/>
          <w:color w:val="000000"/>
          <w:sz w:val="20"/>
          <w:szCs w:val="20"/>
        </w:rPr>
        <w:t>PART I. FINANCIAL INFORMATION</w:t>
      </w:r>
    </w:p>
    <w:p w14:paraId="5EA1DCA8" w14:textId="77777777" w:rsidR="003C66EB" w:rsidRDefault="003C66EB">
      <w:pPr>
        <w:ind w:firstLine="450"/>
        <w:textAlignment w:val="top"/>
      </w:pPr>
    </w:p>
    <w:p w14:paraId="5EA1DCA9" w14:textId="77777777" w:rsidR="003C66EB" w:rsidRDefault="003C66EB">
      <w:pPr>
        <w:spacing w:before="90"/>
        <w:jc w:val="both"/>
        <w:textAlignment w:val="top"/>
      </w:pPr>
    </w:p>
    <w:p w14:paraId="5EA1DCAA" w14:textId="77777777" w:rsidR="003C66EB" w:rsidRDefault="00D96C4E">
      <w:pPr>
        <w:spacing w:before="90"/>
        <w:jc w:val="both"/>
      </w:pPr>
      <w:r>
        <w:rPr>
          <w:rFonts w:ascii="Arial" w:eastAsia="宋体" w:hAnsi="Arial" w:cs="Arial"/>
          <w:b/>
          <w:bCs/>
          <w:color w:val="000000"/>
          <w:sz w:val="20"/>
          <w:szCs w:val="20"/>
        </w:rPr>
        <w:t>GENERAL</w:t>
      </w:r>
    </w:p>
    <w:p w14:paraId="5EA1DCAB" w14:textId="77777777" w:rsidR="003C66EB" w:rsidRDefault="00D96C4E">
      <w:pPr>
        <w:spacing w:before="60"/>
        <w:ind w:firstLine="450"/>
        <w:jc w:val="both"/>
        <w:textAlignment w:val="top"/>
      </w:pPr>
      <w:r>
        <w:rPr>
          <w:rFonts w:ascii="Arial" w:eastAsia="宋体" w:hAnsi="Arial" w:cs="Arial"/>
          <w:color w:val="000000"/>
          <w:sz w:val="20"/>
          <w:szCs w:val="20"/>
        </w:rPr>
        <w:t xml:space="preserve">State Street </w:t>
      </w:r>
      <w:r>
        <w:rPr>
          <w:rFonts w:ascii="Arial" w:eastAsia="宋体" w:hAnsi="Arial" w:cs="Arial"/>
          <w:color w:val="000000"/>
          <w:sz w:val="20"/>
          <w:szCs w:val="20"/>
        </w:rPr>
        <w:t>Corporation, referred to as the Parent Company, is a financial holding company organized in 1969 under the laws of the Commonwealth of Massachusetts. Our executive offices are located at One Lincoln Street, Boston, Massachusetts 02111 (telephone (617) 786-</w:t>
      </w:r>
      <w:r>
        <w:rPr>
          <w:rFonts w:ascii="Arial" w:eastAsia="宋体" w:hAnsi="Arial" w:cs="Arial"/>
          <w:color w:val="000000"/>
          <w:sz w:val="20"/>
          <w:szCs w:val="20"/>
        </w:rPr>
        <w:t>3000). For purposes of this Quarterly Report on Form 10-Q for the quarter ended March 31, 2021 (Form 10-Q), unless the context requires otherwise, references to "State Street," "we," "us," "our" or similar terms mean State Street Corporation and its subsid</w:t>
      </w:r>
      <w:r>
        <w:rPr>
          <w:rFonts w:ascii="Arial" w:eastAsia="宋体" w:hAnsi="Arial" w:cs="Arial"/>
          <w:color w:val="000000"/>
          <w:sz w:val="20"/>
          <w:szCs w:val="20"/>
        </w:rPr>
        <w:t xml:space="preserve">iaries on a consolidated basis. The Parent Company is a source of financial and managerial strength to our subsidiaries. Through our subsidiaries, including our principal banking subsidiary, State Street Bank and Trust Company, referred to as State Street </w:t>
      </w:r>
      <w:r>
        <w:rPr>
          <w:rFonts w:ascii="Arial" w:eastAsia="宋体" w:hAnsi="Arial" w:cs="Arial"/>
          <w:color w:val="000000"/>
          <w:sz w:val="20"/>
          <w:szCs w:val="20"/>
        </w:rPr>
        <w:t>Bank, we provide a broad range of financial products and services to institutional investors worldwide, with $40.26 trillion of AUC/A and $3.59 trillion of AUM as of March 31, 2021.</w:t>
      </w:r>
    </w:p>
    <w:p w14:paraId="5EA1DCAC" w14:textId="77777777" w:rsidR="003C66EB" w:rsidRDefault="00D96C4E">
      <w:pPr>
        <w:spacing w:before="60"/>
        <w:ind w:firstLine="450"/>
        <w:jc w:val="both"/>
        <w:textAlignment w:val="top"/>
      </w:pPr>
      <w:r>
        <w:rPr>
          <w:rFonts w:ascii="Arial" w:eastAsia="宋体" w:hAnsi="Arial" w:cs="Arial"/>
          <w:color w:val="000000"/>
          <w:sz w:val="20"/>
          <w:szCs w:val="20"/>
        </w:rPr>
        <w:t>As of March 31, 2021, we had consolidated total assets of $316.89 billion,</w:t>
      </w:r>
      <w:r>
        <w:rPr>
          <w:rFonts w:ascii="Arial" w:eastAsia="宋体" w:hAnsi="Arial" w:cs="Arial"/>
          <w:color w:val="000000"/>
          <w:sz w:val="20"/>
          <w:szCs w:val="20"/>
        </w:rPr>
        <w:t xml:space="preserve"> consolidated total deposits of $244.89 billion, consolidated total shareholders' equity of $25.01 billion and 39,318 employees. We operate in more than 100 geographic markets worldwide, including in the U.S., Canada, Europe, the Middle East and Asia.</w:t>
      </w:r>
    </w:p>
    <w:p w14:paraId="5EA1DCAD" w14:textId="77777777" w:rsidR="003C66EB" w:rsidRDefault="00D96C4E">
      <w:pPr>
        <w:spacing w:before="60"/>
        <w:ind w:firstLine="450"/>
        <w:jc w:val="both"/>
        <w:textAlignment w:val="top"/>
      </w:pPr>
      <w:r>
        <w:rPr>
          <w:rFonts w:ascii="Arial" w:eastAsia="宋体" w:hAnsi="Arial" w:cs="Arial"/>
          <w:color w:val="000000"/>
          <w:sz w:val="20"/>
          <w:szCs w:val="20"/>
        </w:rPr>
        <w:t xml:space="preserve">Our </w:t>
      </w:r>
      <w:r>
        <w:rPr>
          <w:rFonts w:ascii="Arial" w:eastAsia="宋体" w:hAnsi="Arial" w:cs="Arial"/>
          <w:color w:val="000000"/>
          <w:sz w:val="20"/>
          <w:szCs w:val="20"/>
        </w:rPr>
        <w:t>operations are organized into two lines of business, Investment Servicing and Investment Management, which are defined based on products and services provided.</w:t>
      </w:r>
    </w:p>
    <w:p w14:paraId="5EA1DCAE" w14:textId="77777777" w:rsidR="003C66EB" w:rsidRDefault="00D96C4E">
      <w:pPr>
        <w:spacing w:before="60"/>
        <w:ind w:firstLine="450"/>
        <w:jc w:val="both"/>
        <w:textAlignment w:val="top"/>
      </w:pPr>
      <w:r>
        <w:rPr>
          <w:rFonts w:ascii="Arial" w:eastAsia="宋体" w:hAnsi="Arial" w:cs="Arial"/>
          <w:color w:val="000000"/>
          <w:sz w:val="20"/>
          <w:szCs w:val="20"/>
        </w:rPr>
        <w:t>Additional information about our lines of business is provided in Line of Business Information i</w:t>
      </w:r>
      <w:r>
        <w:rPr>
          <w:rFonts w:ascii="Arial" w:eastAsia="宋体" w:hAnsi="Arial" w:cs="Arial"/>
          <w:color w:val="000000"/>
          <w:sz w:val="20"/>
          <w:szCs w:val="20"/>
        </w:rPr>
        <w:t>n this Management's Discussion and Analysis and Note 17 to the consolidated financial statements in this Form 10-Q.</w:t>
      </w:r>
    </w:p>
    <w:p w14:paraId="5EA1DCAF" w14:textId="77777777" w:rsidR="003C66EB" w:rsidRDefault="00D96C4E">
      <w:pPr>
        <w:spacing w:before="60"/>
        <w:ind w:firstLine="450"/>
        <w:jc w:val="both"/>
        <w:textAlignment w:val="top"/>
      </w:pPr>
      <w:r>
        <w:rPr>
          <w:rFonts w:ascii="Arial" w:eastAsia="宋体" w:hAnsi="Arial" w:cs="Arial"/>
          <w:color w:val="000000"/>
          <w:sz w:val="20"/>
          <w:szCs w:val="20"/>
        </w:rPr>
        <w:t>This Management's Discussion and Analysis is part of the Form 10-Q and updates the Management's Discussion and Analysis in our 2020 Annual R</w:t>
      </w:r>
      <w:r>
        <w:rPr>
          <w:rFonts w:ascii="Arial" w:eastAsia="宋体" w:hAnsi="Arial" w:cs="Arial"/>
          <w:color w:val="000000"/>
          <w:sz w:val="20"/>
          <w:szCs w:val="20"/>
        </w:rPr>
        <w:t>eport on Form 10-K for the year ended December 31, 2020 previously filed with the SEC (2020 Form 10-K). You should read the financial information contained in this Management's Discussion and Analysis and elsewhere in this Form 10-Q in conjunction with the</w:t>
      </w:r>
      <w:r>
        <w:rPr>
          <w:rFonts w:ascii="Arial" w:eastAsia="宋体" w:hAnsi="Arial" w:cs="Arial"/>
          <w:color w:val="000000"/>
          <w:sz w:val="20"/>
          <w:szCs w:val="20"/>
        </w:rPr>
        <w:t xml:space="preserve"> financial and other information contained in our 2020 Form 10-K. Certain previously reported amounts presented in this Form 10-Q have been reclassified to conform to current-period presentation.</w:t>
      </w:r>
    </w:p>
    <w:p w14:paraId="5EA1DCB0" w14:textId="77777777" w:rsidR="003C66EB" w:rsidRDefault="00D96C4E">
      <w:pPr>
        <w:spacing w:before="60"/>
        <w:ind w:firstLine="450"/>
        <w:jc w:val="both"/>
        <w:textAlignment w:val="top"/>
      </w:pPr>
      <w:r>
        <w:rPr>
          <w:rFonts w:ascii="Arial" w:eastAsia="宋体" w:hAnsi="Arial" w:cs="Arial"/>
          <w:color w:val="000000"/>
          <w:sz w:val="20"/>
          <w:szCs w:val="20"/>
        </w:rPr>
        <w:t>We prepare our consolidated financial statements in conformi</w:t>
      </w:r>
      <w:r>
        <w:rPr>
          <w:rFonts w:ascii="Arial" w:eastAsia="宋体" w:hAnsi="Arial" w:cs="Arial"/>
          <w:color w:val="000000"/>
          <w:sz w:val="20"/>
          <w:szCs w:val="20"/>
        </w:rPr>
        <w:t xml:space="preserve">ty with U.S. GAAP. The preparation of financial statements in conformity with U.S. GAAP requires management to make estimates </w:t>
      </w:r>
    </w:p>
    <w:p w14:paraId="5EA1DCB1" w14:textId="77777777" w:rsidR="003C66EB" w:rsidRDefault="00D96C4E">
      <w:pPr>
        <w:spacing w:before="60"/>
        <w:jc w:val="both"/>
        <w:textAlignment w:val="top"/>
      </w:pPr>
      <w:r>
        <w:rPr>
          <w:rFonts w:ascii="Arial" w:eastAsia="宋体" w:hAnsi="Arial" w:cs="Arial"/>
          <w:color w:val="000000"/>
          <w:sz w:val="20"/>
          <w:szCs w:val="20"/>
        </w:rPr>
        <w:t>and assumptions in its application of certain accounting policies that materially affect the reported amounts of assets, liabilit</w:t>
      </w:r>
      <w:r>
        <w:rPr>
          <w:rFonts w:ascii="Arial" w:eastAsia="宋体" w:hAnsi="Arial" w:cs="Arial"/>
          <w:color w:val="000000"/>
          <w:sz w:val="20"/>
          <w:szCs w:val="20"/>
        </w:rPr>
        <w:t>ies, equity, revenue and expenses.</w:t>
      </w:r>
    </w:p>
    <w:p w14:paraId="5EA1DCB2" w14:textId="77777777" w:rsidR="003C66EB" w:rsidRDefault="00D96C4E">
      <w:pPr>
        <w:spacing w:before="60"/>
        <w:ind w:firstLine="450"/>
        <w:jc w:val="both"/>
        <w:textAlignment w:val="top"/>
      </w:pPr>
      <w:r>
        <w:rPr>
          <w:rFonts w:ascii="Arial" w:eastAsia="宋体" w:hAnsi="Arial" w:cs="Arial"/>
          <w:color w:val="000000"/>
          <w:sz w:val="20"/>
          <w:szCs w:val="20"/>
        </w:rPr>
        <w:t>The significant accounting policies that require us to make judgments, estimates and assumptions that are difficult, subjective or complex about matters that are uncertain and may change in subsequent periods include:</w:t>
      </w:r>
    </w:p>
    <w:p w14:paraId="5EA1DCB3" w14:textId="77777777" w:rsidR="003C66EB" w:rsidRDefault="00D96C4E">
      <w:pPr>
        <w:spacing w:before="60"/>
        <w:ind w:hanging="360"/>
        <w:textAlignment w:val="top"/>
      </w:pPr>
      <w:r>
        <w:rPr>
          <w:rFonts w:ascii="Arial" w:eastAsia="宋体" w:hAnsi="Arial" w:cs="Arial"/>
          <w:color w:val="000000"/>
          <w:sz w:val="20"/>
          <w:szCs w:val="20"/>
        </w:rPr>
        <w:t>•ac</w:t>
      </w:r>
      <w:r>
        <w:rPr>
          <w:rFonts w:ascii="Arial" w:eastAsia="宋体" w:hAnsi="Arial" w:cs="Arial"/>
          <w:color w:val="000000"/>
          <w:sz w:val="20"/>
          <w:szCs w:val="20"/>
        </w:rPr>
        <w:t>counting for fair value measurements;</w:t>
      </w:r>
    </w:p>
    <w:p w14:paraId="5EA1DCB4" w14:textId="77777777" w:rsidR="003C66EB" w:rsidRDefault="00D96C4E">
      <w:pPr>
        <w:spacing w:before="60"/>
        <w:ind w:hanging="360"/>
        <w:textAlignment w:val="top"/>
      </w:pPr>
      <w:r>
        <w:rPr>
          <w:rFonts w:ascii="Arial" w:eastAsia="宋体" w:hAnsi="Arial" w:cs="Arial"/>
          <w:color w:val="000000"/>
          <w:sz w:val="20"/>
          <w:szCs w:val="20"/>
        </w:rPr>
        <w:t xml:space="preserve">•impairment of goodwill and other intangible assets; </w:t>
      </w:r>
    </w:p>
    <w:p w14:paraId="5EA1DCB5" w14:textId="77777777" w:rsidR="003C66EB" w:rsidRDefault="00D96C4E">
      <w:pPr>
        <w:spacing w:before="60"/>
        <w:ind w:hanging="360"/>
        <w:textAlignment w:val="top"/>
      </w:pPr>
      <w:r>
        <w:rPr>
          <w:rFonts w:ascii="Arial" w:eastAsia="宋体" w:hAnsi="Arial" w:cs="Arial"/>
          <w:color w:val="000000"/>
          <w:sz w:val="20"/>
          <w:szCs w:val="20"/>
        </w:rPr>
        <w:t>•contingencies; and</w:t>
      </w:r>
    </w:p>
    <w:p w14:paraId="5EA1DCB6" w14:textId="77777777" w:rsidR="003C66EB" w:rsidRDefault="00D96C4E">
      <w:pPr>
        <w:spacing w:before="60"/>
        <w:ind w:hanging="360"/>
        <w:textAlignment w:val="top"/>
      </w:pPr>
      <w:r>
        <w:rPr>
          <w:rFonts w:ascii="Arial" w:eastAsia="宋体" w:hAnsi="Arial" w:cs="Arial"/>
          <w:color w:val="000000"/>
          <w:sz w:val="20"/>
          <w:szCs w:val="20"/>
        </w:rPr>
        <w:t>•allowance for credit losses.</w:t>
      </w:r>
    </w:p>
    <w:p w14:paraId="5EA1DCB7" w14:textId="77777777" w:rsidR="003C66EB" w:rsidRDefault="00D96C4E">
      <w:pPr>
        <w:spacing w:before="60"/>
        <w:ind w:firstLine="450"/>
        <w:jc w:val="both"/>
        <w:textAlignment w:val="top"/>
      </w:pPr>
      <w:r>
        <w:rPr>
          <w:rFonts w:ascii="Arial" w:eastAsia="宋体" w:hAnsi="Arial" w:cs="Arial"/>
          <w:color w:val="000000"/>
          <w:sz w:val="20"/>
          <w:szCs w:val="20"/>
        </w:rPr>
        <w:t>These significant accounting policies require the most subjective or complex judgments, and underlying estimates a</w:t>
      </w:r>
      <w:r>
        <w:rPr>
          <w:rFonts w:ascii="Arial" w:eastAsia="宋体" w:hAnsi="Arial" w:cs="Arial"/>
          <w:color w:val="000000"/>
          <w:sz w:val="20"/>
          <w:szCs w:val="20"/>
        </w:rPr>
        <w:t>nd assumptions could be subject to revision as new information becomes available. For additional information about these significant accounting policies refer to pages 123 to 125, “Significant Accounting Estimates” included under Item 7, Management's Discu</w:t>
      </w:r>
      <w:r>
        <w:rPr>
          <w:rFonts w:ascii="Arial" w:eastAsia="宋体" w:hAnsi="Arial" w:cs="Arial"/>
          <w:color w:val="000000"/>
          <w:sz w:val="20"/>
          <w:szCs w:val="20"/>
        </w:rPr>
        <w:t>ssion and Analysis of Financial Condition and Results of Operations, in our 2020 Form 10-K and Significant Accounting Estimates in Management's Discussion and Analysis of Financial Condition and Results of Operations in this Form 10-Q. We did not change th</w:t>
      </w:r>
      <w:r>
        <w:rPr>
          <w:rFonts w:ascii="Arial" w:eastAsia="宋体" w:hAnsi="Arial" w:cs="Arial"/>
          <w:color w:val="000000"/>
          <w:sz w:val="20"/>
          <w:szCs w:val="20"/>
        </w:rPr>
        <w:t>ese significant accounting policies in the first three months of 2021.</w:t>
      </w:r>
    </w:p>
    <w:p w14:paraId="5EA1DCB8" w14:textId="77777777" w:rsidR="003C66EB" w:rsidRDefault="00D96C4E">
      <w:pPr>
        <w:spacing w:before="60"/>
        <w:ind w:firstLine="450"/>
        <w:jc w:val="both"/>
        <w:textAlignment w:val="top"/>
      </w:pPr>
      <w:r>
        <w:rPr>
          <w:rFonts w:ascii="Arial" w:eastAsia="宋体" w:hAnsi="Arial" w:cs="Arial"/>
          <w:color w:val="000000"/>
          <w:sz w:val="20"/>
          <w:szCs w:val="20"/>
        </w:rPr>
        <w:t>Certain financial information provided in this Form 10-Q, including in this Management's Discussion and Analysis, is prepared on both a U.S. GAAP, or reported basis, and a non-GAAP basi</w:t>
      </w:r>
      <w:r>
        <w:rPr>
          <w:rFonts w:ascii="Arial" w:eastAsia="宋体" w:hAnsi="Arial" w:cs="Arial"/>
          <w:color w:val="000000"/>
          <w:sz w:val="20"/>
          <w:szCs w:val="20"/>
        </w:rPr>
        <w:t>s. We measure and compare certain financial information on a non-GAAP basis, including information that management uses in evaluating our business and activities.</w:t>
      </w:r>
    </w:p>
    <w:p w14:paraId="5EA1DCB9" w14:textId="77777777" w:rsidR="003C66EB" w:rsidRDefault="00D96C4E">
      <w:pPr>
        <w:spacing w:before="60"/>
        <w:ind w:firstLine="450"/>
        <w:jc w:val="both"/>
        <w:textAlignment w:val="top"/>
      </w:pPr>
      <w:r>
        <w:rPr>
          <w:rFonts w:ascii="Arial" w:eastAsia="宋体" w:hAnsi="Arial" w:cs="Arial"/>
          <w:color w:val="000000"/>
          <w:sz w:val="20"/>
          <w:szCs w:val="20"/>
        </w:rPr>
        <w:t>Non-GAAP financial information should be considered in addition to, and not as a substitute f</w:t>
      </w:r>
      <w:r>
        <w:rPr>
          <w:rFonts w:ascii="Arial" w:eastAsia="宋体" w:hAnsi="Arial" w:cs="Arial"/>
          <w:color w:val="000000"/>
          <w:sz w:val="20"/>
          <w:szCs w:val="20"/>
        </w:rPr>
        <w:t>or or superior to, financial information prepared in conformity with U.S. GAAP. Any non-GAAP financial information presented in this Form 10-Q, including this Management’s Discussion and Analysis, is reconciled to its most directly comparable U.S. GAAP-bas</w:t>
      </w:r>
      <w:r>
        <w:rPr>
          <w:rFonts w:ascii="Arial" w:eastAsia="宋体" w:hAnsi="Arial" w:cs="Arial"/>
          <w:color w:val="000000"/>
          <w:sz w:val="20"/>
          <w:szCs w:val="20"/>
        </w:rPr>
        <w:t>is measure.</w:t>
      </w:r>
    </w:p>
    <w:p w14:paraId="5EA1DCBA" w14:textId="77777777" w:rsidR="003C66EB" w:rsidRDefault="00D96C4E">
      <w:pPr>
        <w:spacing w:before="60"/>
        <w:ind w:firstLine="450"/>
        <w:jc w:val="both"/>
        <w:textAlignment w:val="top"/>
      </w:pPr>
      <w:r>
        <w:rPr>
          <w:rFonts w:ascii="Arial" w:eastAsia="宋体" w:hAnsi="Arial" w:cs="Arial"/>
          <w:color w:val="000000"/>
          <w:sz w:val="20"/>
          <w:szCs w:val="20"/>
        </w:rPr>
        <w:t>We further believe that our presentation of FTE NII, a non-GAAP measure, which reports non-taxable revenue, such as interest income associated with tax-exempt investment securities, on a FTE basis, facilitates an investor's understanding and an</w:t>
      </w:r>
      <w:r>
        <w:rPr>
          <w:rFonts w:ascii="Arial" w:eastAsia="宋体" w:hAnsi="Arial" w:cs="Arial"/>
          <w:color w:val="000000"/>
          <w:sz w:val="20"/>
          <w:szCs w:val="20"/>
        </w:rPr>
        <w:t>alysis of our underlying financial performance and trends.</w:t>
      </w:r>
    </w:p>
    <w:p w14:paraId="5EA1DCBB" w14:textId="77777777" w:rsidR="003C66EB" w:rsidRDefault="00D96C4E">
      <w:pPr>
        <w:spacing w:before="60"/>
        <w:ind w:firstLine="450"/>
        <w:jc w:val="both"/>
        <w:textAlignment w:val="top"/>
      </w:pPr>
      <w:r>
        <w:rPr>
          <w:rFonts w:ascii="Arial" w:eastAsia="宋体" w:hAnsi="Arial" w:cs="Arial"/>
          <w:color w:val="000000"/>
          <w:sz w:val="20"/>
          <w:szCs w:val="20"/>
        </w:rPr>
        <w:t xml:space="preserve">We provide additional disclosures required by applicable bank regulatory standards, including </w:t>
      </w:r>
    </w:p>
    <w:p w14:paraId="5EA1DCBC" w14:textId="77777777" w:rsidR="003C66EB" w:rsidRDefault="00D96C4E">
      <w:pPr>
        <w:ind w:firstLine="450"/>
        <w:jc w:val="right"/>
      </w:pPr>
      <w:r>
        <w:rPr>
          <w:rFonts w:ascii="Arial" w:eastAsia="宋体" w:hAnsi="Arial" w:cs="Arial"/>
          <w:color w:val="000000"/>
          <w:sz w:val="18"/>
          <w:szCs w:val="18"/>
        </w:rPr>
        <w:t>State Street Corporation | 4</w:t>
      </w:r>
    </w:p>
    <w:p w14:paraId="5EA1DCBD" w14:textId="77777777" w:rsidR="003C66EB" w:rsidRDefault="003C66EB">
      <w:pPr>
        <w:ind w:firstLine="450"/>
        <w:jc w:val="center"/>
      </w:pPr>
    </w:p>
    <w:p w14:paraId="5EA1DCBE" w14:textId="77777777" w:rsidR="003C66EB" w:rsidRDefault="00D96C4E">
      <w:r>
        <w:pict w14:anchorId="5EA287B4">
          <v:rect id="_x0000_i1028" style="width:415.3pt;height:1.5pt" o:hralign="center" o:hrstd="t" o:hr="t" fillcolor="#a0a0a0" stroked="f"/>
        </w:pict>
      </w:r>
    </w:p>
    <w:p w14:paraId="5EA1DCBF"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DCC0" w14:textId="77777777" w:rsidR="003C66EB" w:rsidRDefault="00D96C4E">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5EA1DCC1" w14:textId="77777777" w:rsidR="003C66EB" w:rsidRDefault="00D96C4E">
      <w:pPr>
        <w:spacing w:before="60"/>
        <w:jc w:val="both"/>
        <w:textAlignment w:val="top"/>
      </w:pPr>
      <w:r>
        <w:rPr>
          <w:rFonts w:ascii="Arial" w:eastAsia="宋体" w:hAnsi="Arial" w:cs="Arial"/>
          <w:color w:val="000000"/>
          <w:sz w:val="20"/>
          <w:szCs w:val="20"/>
        </w:rPr>
        <w:t>supplemental qualitative and quantitative information with respect to regulatory capital (including market risk associated with our trading activities) and the LCR, summary results of semi-annual State Street-run stress tests which we</w:t>
      </w:r>
      <w:r>
        <w:rPr>
          <w:rFonts w:ascii="Arial" w:eastAsia="宋体" w:hAnsi="Arial" w:cs="Arial"/>
          <w:color w:val="000000"/>
          <w:sz w:val="20"/>
          <w:szCs w:val="20"/>
        </w:rPr>
        <w:t xml:space="preserve"> conduct under the Dodd-Frank Act, and resolution plan disclosures required under the Dodd-Frank Act. These additional disclosures are accessible 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5EA1DCC2" w14:textId="77777777" w:rsidR="003C66EB" w:rsidRDefault="00D96C4E">
      <w:pPr>
        <w:spacing w:before="60"/>
        <w:ind w:firstLine="450"/>
        <w:jc w:val="both"/>
        <w:textAlignment w:val="top"/>
      </w:pPr>
      <w:r>
        <w:rPr>
          <w:rFonts w:ascii="Arial" w:eastAsia="宋体" w:hAnsi="Arial" w:cs="Arial"/>
          <w:color w:val="000000"/>
          <w:sz w:val="20"/>
          <w:szCs w:val="20"/>
        </w:rPr>
        <w:t>We have included our webs</w:t>
      </w:r>
      <w:r>
        <w:rPr>
          <w:rFonts w:ascii="Arial" w:eastAsia="宋体" w:hAnsi="Arial" w:cs="Arial"/>
          <w:color w:val="000000"/>
          <w:sz w:val="20"/>
          <w:szCs w:val="20"/>
        </w:rPr>
        <w:t>ite address in this report as an inactive textual reference only. Information on our website is not incorporated by reference into this Form 10-Q.</w:t>
      </w:r>
    </w:p>
    <w:p w14:paraId="5EA1DCC3" w14:textId="77777777" w:rsidR="003C66EB" w:rsidRDefault="00D96C4E">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abbreviations, as defined in the acron</w:t>
      </w:r>
      <w:r>
        <w:rPr>
          <w:rFonts w:ascii="Arial" w:eastAsia="宋体" w:hAnsi="Arial" w:cs="Arial"/>
          <w:color w:val="000000"/>
          <w:sz w:val="20"/>
          <w:szCs w:val="20"/>
        </w:rPr>
        <w:t>yms list and glossary following the consolidated financial statements in this Form 10-Q.</w:t>
      </w:r>
    </w:p>
    <w:p w14:paraId="5EA1DCC4" w14:textId="77777777" w:rsidR="003C66EB" w:rsidRDefault="00D96C4E">
      <w:pPr>
        <w:spacing w:before="90"/>
        <w:jc w:val="both"/>
        <w:textAlignment w:val="top"/>
      </w:pPr>
      <w:r>
        <w:rPr>
          <w:rFonts w:ascii="Arial" w:eastAsia="宋体" w:hAnsi="Arial" w:cs="Arial"/>
          <w:b/>
          <w:bCs/>
          <w:color w:val="000000"/>
          <w:sz w:val="20"/>
          <w:szCs w:val="20"/>
        </w:rPr>
        <w:t>Forward-Looking Statements</w:t>
      </w:r>
    </w:p>
    <w:p w14:paraId="5EA1DCC5" w14:textId="77777777" w:rsidR="003C66EB" w:rsidRDefault="00D96C4E">
      <w:pPr>
        <w:spacing w:before="60"/>
        <w:ind w:firstLine="450"/>
        <w:jc w:val="both"/>
        <w:textAlignment w:val="top"/>
      </w:pPr>
      <w:r>
        <w:rPr>
          <w:rFonts w:ascii="Arial" w:eastAsia="宋体" w:hAnsi="Arial" w:cs="Arial"/>
          <w:color w:val="000000"/>
          <w:sz w:val="20"/>
          <w:szCs w:val="20"/>
        </w:rPr>
        <w:t>This Form 10-Q, as well as other reports and proxy materials submitted by us under the Securities Exchange Act of 1934, registration stateme</w:t>
      </w:r>
      <w:r>
        <w:rPr>
          <w:rFonts w:ascii="Arial" w:eastAsia="宋体" w:hAnsi="Arial" w:cs="Arial"/>
          <w:color w:val="000000"/>
          <w:sz w:val="20"/>
          <w:szCs w:val="20"/>
        </w:rPr>
        <w:t>nts filed by us under the Securities Act of 1933, our annual report to shareholders and other public statements we may make, may contain statements (including statements in our Management's Discussion and Analysis included in such reports, as applicable) t</w:t>
      </w:r>
      <w:r>
        <w:rPr>
          <w:rFonts w:ascii="Arial" w:eastAsia="宋体" w:hAnsi="Arial" w:cs="Arial"/>
          <w:color w:val="000000"/>
          <w:sz w:val="20"/>
          <w:szCs w:val="20"/>
        </w:rPr>
        <w:t>hat are considered “forward-looking statements” within the meaning of U.S. securities laws, including statements about our goals and expectations regarding our business, financial and capital condition, results of operations, strategies, cost savings and t</w:t>
      </w:r>
      <w:r>
        <w:rPr>
          <w:rFonts w:ascii="Arial" w:eastAsia="宋体" w:hAnsi="Arial" w:cs="Arial"/>
          <w:color w:val="000000"/>
          <w:sz w:val="20"/>
          <w:szCs w:val="20"/>
        </w:rPr>
        <w:t xml:space="preserve">ransformation initiatives, investment portfolio performance, dividend and stock purchase programs, outcomes of legal proceedings, market growth, acquisitions, joint ventures and divestitures, client growth and new technologies, services and opportunities, </w:t>
      </w:r>
      <w:r>
        <w:rPr>
          <w:rFonts w:ascii="Arial" w:eastAsia="宋体" w:hAnsi="Arial" w:cs="Arial"/>
          <w:color w:val="000000"/>
          <w:sz w:val="20"/>
          <w:szCs w:val="20"/>
        </w:rPr>
        <w:t>as well as industry, governmental, regulatory, economic and market trends, initiatives and developments, the business environment and other matters that do not relate strictly to historical facts.</w:t>
      </w:r>
    </w:p>
    <w:p w14:paraId="5EA1DCC6" w14:textId="77777777" w:rsidR="003C66EB" w:rsidRDefault="00D96C4E">
      <w:pPr>
        <w:spacing w:before="60"/>
        <w:ind w:firstLine="450"/>
        <w:jc w:val="both"/>
        <w:textAlignment w:val="top"/>
      </w:pPr>
      <w:r>
        <w:rPr>
          <w:rFonts w:ascii="Arial" w:eastAsia="宋体" w:hAnsi="Arial" w:cs="Arial"/>
          <w:color w:val="000000"/>
          <w:sz w:val="20"/>
          <w:szCs w:val="20"/>
        </w:rPr>
        <w:t>Terminology such as “plan,” “expect,” “intend,” “objective,</w:t>
      </w:r>
      <w:r>
        <w:rPr>
          <w:rFonts w:ascii="Arial" w:eastAsia="宋体" w:hAnsi="Arial" w:cs="Arial"/>
          <w:color w:val="000000"/>
          <w:sz w:val="20"/>
          <w:szCs w:val="20"/>
        </w:rPr>
        <w:t xml:space="preserve">” “forecast,” “outlook,” “believe,” “priority,” “anticipate,” “estimate,” “seek,” “may,” “will,” “trend,” “target,” “strategy” and “goal,” or similar statements or variations of such terms, are intended to identify forward-looking statements, although not </w:t>
      </w:r>
      <w:r>
        <w:rPr>
          <w:rFonts w:ascii="Arial" w:eastAsia="宋体" w:hAnsi="Arial" w:cs="Arial"/>
          <w:color w:val="000000"/>
          <w:sz w:val="20"/>
          <w:szCs w:val="20"/>
        </w:rPr>
        <w:t>all forward-looking statements contain such terms.</w:t>
      </w:r>
    </w:p>
    <w:p w14:paraId="5EA1DCC7" w14:textId="77777777" w:rsidR="003C66EB" w:rsidRDefault="00D96C4E">
      <w:pPr>
        <w:spacing w:before="60"/>
        <w:ind w:firstLine="450"/>
        <w:jc w:val="both"/>
        <w:textAlignment w:val="top"/>
      </w:pPr>
      <w:r>
        <w:rPr>
          <w:rFonts w:ascii="Arial" w:eastAsia="宋体" w:hAnsi="Arial" w:cs="Arial"/>
          <w:color w:val="000000"/>
          <w:sz w:val="20"/>
          <w:szCs w:val="20"/>
        </w:rPr>
        <w:t>Forward-looking statements are subject to various risks and uncertainties, which change over time, are based on management's expectations and assumptions at the time the statements are made and are not gua</w:t>
      </w:r>
      <w:r>
        <w:rPr>
          <w:rFonts w:ascii="Arial" w:eastAsia="宋体" w:hAnsi="Arial" w:cs="Arial"/>
          <w:color w:val="000000"/>
          <w:sz w:val="20"/>
          <w:szCs w:val="20"/>
        </w:rPr>
        <w:t xml:space="preserve">rantees of future results. Management's expectations and assumptions, and the continued validity of the forward-looking statements, are subject </w:t>
      </w:r>
    </w:p>
    <w:p w14:paraId="5EA1DCC8" w14:textId="77777777" w:rsidR="003C66EB" w:rsidRDefault="00D96C4E">
      <w:pPr>
        <w:spacing w:before="60"/>
        <w:jc w:val="both"/>
        <w:textAlignment w:val="top"/>
      </w:pPr>
      <w:r>
        <w:rPr>
          <w:rFonts w:ascii="Arial" w:eastAsia="宋体" w:hAnsi="Arial" w:cs="Arial"/>
          <w:color w:val="000000"/>
          <w:sz w:val="20"/>
          <w:szCs w:val="20"/>
        </w:rPr>
        <w:t xml:space="preserve">to change due to a broad range of factors affecting the U.S. and global economies, regulatory </w:t>
      </w:r>
      <w:r>
        <w:rPr>
          <w:rFonts w:ascii="Arial" w:eastAsia="宋体" w:hAnsi="Arial" w:cs="Arial"/>
          <w:color w:val="000000"/>
          <w:sz w:val="20"/>
          <w:szCs w:val="20"/>
        </w:rPr>
        <w:t>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 as well as factors specific to State Street and its subsidiaries, including State Street Bank. Factors that could cause changes in the expectations or assumptions on which forward-look</w:t>
      </w:r>
      <w:r>
        <w:rPr>
          <w:rFonts w:ascii="Arial" w:eastAsia="宋体" w:hAnsi="Arial" w:cs="Arial"/>
          <w:color w:val="000000"/>
          <w:sz w:val="20"/>
          <w:szCs w:val="20"/>
        </w:rPr>
        <w:t>ing statements are based cannot be foreseen with certainty and include, but are not limited to:</w:t>
      </w:r>
    </w:p>
    <w:p w14:paraId="5EA1DCC9" w14:textId="77777777" w:rsidR="003C66EB" w:rsidRDefault="00D96C4E">
      <w:pPr>
        <w:spacing w:before="90"/>
        <w:textAlignment w:val="top"/>
      </w:pPr>
      <w:r>
        <w:rPr>
          <w:rFonts w:ascii="Arial" w:eastAsia="宋体" w:hAnsi="Arial" w:cs="Arial"/>
          <w:b/>
          <w:bCs/>
          <w:color w:val="000000"/>
          <w:sz w:val="20"/>
          <w:szCs w:val="20"/>
        </w:rPr>
        <w:t>Strategic Risks</w:t>
      </w:r>
    </w:p>
    <w:p w14:paraId="5EA1DCCA" w14:textId="77777777" w:rsidR="003C66EB" w:rsidRDefault="00D96C4E">
      <w:pPr>
        <w:spacing w:before="60"/>
        <w:ind w:hanging="360"/>
        <w:textAlignment w:val="top"/>
      </w:pPr>
      <w:r>
        <w:rPr>
          <w:rFonts w:ascii="Arial" w:eastAsia="宋体" w:hAnsi="Arial" w:cs="Arial"/>
          <w:color w:val="000000"/>
          <w:sz w:val="20"/>
          <w:szCs w:val="20"/>
        </w:rPr>
        <w:t>•We are subject to intense competition, which could negatively affect our profitability;</w:t>
      </w:r>
    </w:p>
    <w:p w14:paraId="5EA1DCCB" w14:textId="77777777" w:rsidR="003C66EB" w:rsidRDefault="00D96C4E">
      <w:pPr>
        <w:spacing w:before="60"/>
        <w:ind w:hanging="360"/>
        <w:textAlignment w:val="top"/>
      </w:pPr>
      <w:r>
        <w:rPr>
          <w:rFonts w:ascii="Arial" w:eastAsia="宋体" w:hAnsi="Arial" w:cs="Arial"/>
          <w:color w:val="000000"/>
          <w:sz w:val="20"/>
          <w:szCs w:val="20"/>
        </w:rPr>
        <w:t>•We are subject to significant pricing pressure and var</w:t>
      </w:r>
      <w:r>
        <w:rPr>
          <w:rFonts w:ascii="Arial" w:eastAsia="宋体" w:hAnsi="Arial" w:cs="Arial"/>
          <w:color w:val="000000"/>
          <w:sz w:val="20"/>
          <w:szCs w:val="20"/>
        </w:rPr>
        <w:t>iability in our financial results and our AUC/A and AUM;</w:t>
      </w:r>
    </w:p>
    <w:p w14:paraId="5EA1DCCC" w14:textId="77777777" w:rsidR="003C66EB" w:rsidRDefault="00D96C4E">
      <w:pPr>
        <w:spacing w:before="60"/>
        <w:ind w:hanging="360"/>
        <w:jc w:val="both"/>
        <w:textAlignment w:val="top"/>
      </w:pPr>
      <w:r>
        <w:rPr>
          <w:rFonts w:ascii="Arial" w:eastAsia="宋体" w:hAnsi="Arial" w:cs="Arial"/>
          <w:color w:val="000000"/>
          <w:sz w:val="20"/>
          <w:szCs w:val="20"/>
        </w:rPr>
        <w:t>•Our development and completion of new products and services, including State Street Alpha, and our enhancement of the capabilities of our existing products and services in light of changed client ne</w:t>
      </w:r>
      <w:r>
        <w:rPr>
          <w:rFonts w:ascii="Arial" w:eastAsia="宋体" w:hAnsi="Arial" w:cs="Arial"/>
          <w:color w:val="000000"/>
          <w:sz w:val="20"/>
          <w:szCs w:val="20"/>
        </w:rPr>
        <w:t>eds and competitive pressures, may involve costs and dependencies and expose us to increased risk;</w:t>
      </w:r>
    </w:p>
    <w:p w14:paraId="5EA1DCCD" w14:textId="77777777" w:rsidR="003C66EB" w:rsidRDefault="00D96C4E">
      <w:pPr>
        <w:spacing w:before="60"/>
        <w:ind w:hanging="360"/>
        <w:jc w:val="both"/>
        <w:textAlignment w:val="top"/>
      </w:pPr>
      <w:r>
        <w:rPr>
          <w:rFonts w:ascii="Arial" w:eastAsia="宋体" w:hAnsi="Arial" w:cs="Arial"/>
          <w:color w:val="000000"/>
          <w:sz w:val="20"/>
          <w:szCs w:val="20"/>
        </w:rPr>
        <w:t xml:space="preserve">•Our business may be negatively affected by our failure to update and maintain our technology infrastructure; </w:t>
      </w:r>
    </w:p>
    <w:p w14:paraId="5EA1DCCE" w14:textId="77777777" w:rsidR="003C66EB" w:rsidRDefault="00D96C4E">
      <w:pPr>
        <w:spacing w:before="60"/>
        <w:ind w:hanging="360"/>
        <w:jc w:val="both"/>
        <w:textAlignment w:val="top"/>
      </w:pPr>
      <w:r>
        <w:rPr>
          <w:rFonts w:ascii="Arial" w:eastAsia="宋体" w:hAnsi="Arial" w:cs="Arial"/>
          <w:color w:val="000000"/>
          <w:sz w:val="20"/>
          <w:szCs w:val="20"/>
        </w:rPr>
        <w:t>•The COVID-19 pandemic continues to create and</w:t>
      </w:r>
      <w:r>
        <w:rPr>
          <w:rFonts w:ascii="Arial" w:eastAsia="宋体" w:hAnsi="Arial" w:cs="Arial"/>
          <w:color w:val="000000"/>
          <w:sz w:val="20"/>
          <w:szCs w:val="20"/>
        </w:rPr>
        <w:t xml:space="preserve"> exacerbate significant risks and uncertainties for our business; </w:t>
      </w:r>
    </w:p>
    <w:p w14:paraId="5EA1DCCF" w14:textId="77777777" w:rsidR="003C66EB" w:rsidRDefault="00D96C4E">
      <w:pPr>
        <w:spacing w:before="60"/>
        <w:ind w:hanging="360"/>
        <w:jc w:val="both"/>
        <w:textAlignment w:val="top"/>
      </w:pPr>
      <w:r>
        <w:rPr>
          <w:rFonts w:ascii="Arial" w:eastAsia="宋体" w:hAnsi="Arial" w:cs="Arial"/>
          <w:color w:val="000000"/>
          <w:sz w:val="20"/>
          <w:szCs w:val="20"/>
        </w:rPr>
        <w:t>•Acquisitions, strategic alliances, joint ventures and divestitures, and the integration, retention and development of the benefits of our acquisitions, pose risks for our business; and</w:t>
      </w:r>
    </w:p>
    <w:p w14:paraId="5EA1DCD0" w14:textId="77777777" w:rsidR="003C66EB" w:rsidRDefault="00D96C4E">
      <w:pPr>
        <w:spacing w:before="60"/>
        <w:ind w:hanging="360"/>
        <w:jc w:val="both"/>
        <w:textAlignment w:val="top"/>
      </w:pPr>
      <w:r>
        <w:rPr>
          <w:rFonts w:ascii="Arial" w:eastAsia="宋体" w:hAnsi="Arial" w:cs="Arial"/>
          <w:color w:val="000000"/>
          <w:sz w:val="20"/>
          <w:szCs w:val="20"/>
        </w:rPr>
        <w:t>•Co</w:t>
      </w:r>
      <w:r>
        <w:rPr>
          <w:rFonts w:ascii="Arial" w:eastAsia="宋体" w:hAnsi="Arial" w:cs="Arial"/>
          <w:color w:val="000000"/>
          <w:sz w:val="20"/>
          <w:szCs w:val="20"/>
        </w:rPr>
        <w:t>mpetition for qualified members of our workforce is intense, and we may not be able to attract and retain the highly skilled people we need to support our business.</w:t>
      </w:r>
    </w:p>
    <w:p w14:paraId="5EA1DCD1" w14:textId="77777777" w:rsidR="003C66EB" w:rsidRDefault="00D96C4E">
      <w:pPr>
        <w:spacing w:before="90"/>
        <w:textAlignment w:val="top"/>
      </w:pPr>
      <w:r>
        <w:rPr>
          <w:rFonts w:ascii="Arial" w:eastAsia="宋体" w:hAnsi="Arial" w:cs="Arial"/>
          <w:b/>
          <w:bCs/>
          <w:color w:val="000000"/>
          <w:sz w:val="20"/>
          <w:szCs w:val="20"/>
        </w:rPr>
        <w:t>Financial Market Risks</w:t>
      </w:r>
    </w:p>
    <w:p w14:paraId="5EA1DCD2" w14:textId="77777777" w:rsidR="003C66EB" w:rsidRDefault="00D96C4E">
      <w:pPr>
        <w:spacing w:before="60"/>
        <w:ind w:hanging="360"/>
        <w:jc w:val="both"/>
        <w:textAlignment w:val="top"/>
      </w:pPr>
      <w:r>
        <w:rPr>
          <w:rFonts w:ascii="Arial" w:eastAsia="宋体" w:hAnsi="Arial" w:cs="Arial"/>
          <w:color w:val="000000"/>
          <w:sz w:val="20"/>
          <w:szCs w:val="20"/>
        </w:rPr>
        <w:t>•We could be adversely affected by geopolitical, economic and market</w:t>
      </w:r>
      <w:r>
        <w:rPr>
          <w:rFonts w:ascii="Arial" w:eastAsia="宋体" w:hAnsi="Arial" w:cs="Arial"/>
          <w:color w:val="000000"/>
          <w:sz w:val="20"/>
          <w:szCs w:val="20"/>
        </w:rPr>
        <w:t xml:space="preserve"> conditions;</w:t>
      </w:r>
    </w:p>
    <w:p w14:paraId="5EA1DCD3" w14:textId="77777777" w:rsidR="003C66EB" w:rsidRDefault="00D96C4E">
      <w:pPr>
        <w:spacing w:before="60"/>
        <w:ind w:hanging="360"/>
        <w:jc w:val="both"/>
        <w:textAlignment w:val="top"/>
      </w:pPr>
      <w:r>
        <w:rPr>
          <w:rFonts w:ascii="Arial" w:eastAsia="宋体" w:hAnsi="Arial" w:cs="Arial"/>
          <w:color w:val="000000"/>
          <w:sz w:val="20"/>
          <w:szCs w:val="20"/>
        </w:rPr>
        <w:t xml:space="preserve">•We have significant International operations, and disruptions in European and Asian economies could have an adverse effect on our consolidated results of operations or financial condition; </w:t>
      </w:r>
    </w:p>
    <w:p w14:paraId="5EA1DCD4" w14:textId="77777777" w:rsidR="003C66EB" w:rsidRDefault="00D96C4E">
      <w:pPr>
        <w:spacing w:before="60"/>
        <w:ind w:hanging="360"/>
        <w:jc w:val="both"/>
        <w:textAlignment w:val="top"/>
      </w:pPr>
      <w:r>
        <w:rPr>
          <w:rFonts w:ascii="Arial" w:eastAsia="宋体" w:hAnsi="Arial" w:cs="Arial"/>
          <w:color w:val="000000"/>
          <w:sz w:val="20"/>
          <w:szCs w:val="20"/>
        </w:rPr>
        <w:t>•Our investment securities portfolio, consolidated f</w:t>
      </w:r>
      <w:r>
        <w:rPr>
          <w:rFonts w:ascii="Arial" w:eastAsia="宋体" w:hAnsi="Arial" w:cs="Arial"/>
          <w:color w:val="000000"/>
          <w:sz w:val="20"/>
          <w:szCs w:val="20"/>
        </w:rPr>
        <w:t>inancial condition and consolidated results of operations could be adversely affected by changes in the financial markets;</w:t>
      </w:r>
    </w:p>
    <w:p w14:paraId="5EA1DCD5" w14:textId="77777777" w:rsidR="003C66EB" w:rsidRDefault="00D96C4E">
      <w:pPr>
        <w:spacing w:before="60"/>
        <w:ind w:hanging="360"/>
        <w:jc w:val="both"/>
        <w:textAlignment w:val="top"/>
      </w:pPr>
      <w:r>
        <w:rPr>
          <w:rFonts w:ascii="Arial" w:eastAsia="宋体" w:hAnsi="Arial" w:cs="Arial"/>
          <w:color w:val="000000"/>
          <w:sz w:val="20"/>
          <w:szCs w:val="20"/>
        </w:rPr>
        <w:t>•Our business activities expose us to interest rate risk;</w:t>
      </w:r>
    </w:p>
    <w:p w14:paraId="5EA1DCD6" w14:textId="77777777" w:rsidR="003C66EB" w:rsidRDefault="00D96C4E">
      <w:pPr>
        <w:spacing w:before="60"/>
        <w:ind w:hanging="360"/>
        <w:jc w:val="both"/>
        <w:textAlignment w:val="top"/>
      </w:pPr>
      <w:r>
        <w:rPr>
          <w:rFonts w:ascii="Arial" w:eastAsia="宋体" w:hAnsi="Arial" w:cs="Arial"/>
          <w:color w:val="000000"/>
          <w:sz w:val="20"/>
          <w:szCs w:val="20"/>
        </w:rPr>
        <w:t xml:space="preserve">•We assume significant credit risk to counterparties, who may also have </w:t>
      </w:r>
    </w:p>
    <w:p w14:paraId="5EA1DCD7" w14:textId="77777777" w:rsidR="003C66EB" w:rsidRDefault="00D96C4E">
      <w:pPr>
        <w:ind w:firstLine="450"/>
        <w:jc w:val="right"/>
      </w:pPr>
      <w:r>
        <w:rPr>
          <w:rFonts w:ascii="Arial" w:eastAsia="宋体" w:hAnsi="Arial" w:cs="Arial"/>
          <w:color w:val="000000"/>
          <w:sz w:val="18"/>
          <w:szCs w:val="18"/>
        </w:rPr>
        <w:t>State Street Corporation | 5</w:t>
      </w:r>
    </w:p>
    <w:p w14:paraId="5EA1DCD8" w14:textId="77777777" w:rsidR="003C66EB" w:rsidRDefault="003C66EB">
      <w:pPr>
        <w:ind w:firstLine="450"/>
        <w:jc w:val="center"/>
      </w:pPr>
    </w:p>
    <w:p w14:paraId="5EA1DCD9" w14:textId="77777777" w:rsidR="003C66EB" w:rsidRDefault="00D96C4E">
      <w:r>
        <w:pict w14:anchorId="5EA287B5">
          <v:rect id="_x0000_i1029" style="width:415.3pt;height:1.5pt" o:hralign="center" o:hrstd="t" o:hr="t" fillcolor="#a0a0a0" stroked="f"/>
        </w:pict>
      </w:r>
    </w:p>
    <w:p w14:paraId="5EA1DCDA"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DCDB" w14:textId="77777777" w:rsidR="003C66EB" w:rsidRDefault="00D96C4E">
      <w:pPr>
        <w:ind w:firstLine="450"/>
        <w:jc w:val="center"/>
      </w:pPr>
      <w:r>
        <w:rPr>
          <w:rFonts w:ascii="Arial" w:eastAsia="宋体" w:hAnsi="Arial" w:cs="Arial"/>
          <w:b/>
          <w:bCs/>
          <w:color w:val="000000"/>
          <w:sz w:val="20"/>
          <w:szCs w:val="20"/>
        </w:rPr>
        <w:t>AND RESULTS OF OPERATIONS</w:t>
      </w:r>
    </w:p>
    <w:p w14:paraId="5EA1DCDC" w14:textId="77777777" w:rsidR="003C66EB" w:rsidRDefault="00D96C4E">
      <w:pPr>
        <w:spacing w:before="60"/>
        <w:jc w:val="both"/>
        <w:textAlignment w:val="top"/>
      </w:pPr>
      <w:r>
        <w:rPr>
          <w:rFonts w:ascii="Arial" w:eastAsia="宋体" w:hAnsi="Arial" w:cs="Arial"/>
          <w:color w:val="000000"/>
          <w:sz w:val="20"/>
          <w:szCs w:val="20"/>
        </w:rPr>
        <w:t>substantial financial dependencies with other financial instituti</w:t>
      </w:r>
      <w:r>
        <w:rPr>
          <w:rFonts w:ascii="Arial" w:eastAsia="宋体" w:hAnsi="Arial" w:cs="Arial"/>
          <w:color w:val="000000"/>
          <w:sz w:val="20"/>
          <w:szCs w:val="20"/>
        </w:rPr>
        <w:t xml:space="preserve">ons, and these credit exposures and concentrations could expose us to financial loss; </w:t>
      </w:r>
    </w:p>
    <w:p w14:paraId="5EA1DCDD" w14:textId="77777777" w:rsidR="003C66EB" w:rsidRDefault="00D96C4E">
      <w:pPr>
        <w:spacing w:before="60"/>
        <w:ind w:hanging="360"/>
        <w:jc w:val="both"/>
        <w:textAlignment w:val="top"/>
      </w:pPr>
      <w:r>
        <w:rPr>
          <w:rFonts w:ascii="Arial" w:eastAsia="宋体" w:hAnsi="Arial" w:cs="Arial"/>
          <w:color w:val="000000"/>
          <w:sz w:val="20"/>
          <w:szCs w:val="20"/>
        </w:rPr>
        <w:t>•Our fee revenue represents a significant portion of our consolidated revenue and is subject to decline based on, among other factors, the investment activities of our c</w:t>
      </w:r>
      <w:r>
        <w:rPr>
          <w:rFonts w:ascii="Arial" w:eastAsia="宋体" w:hAnsi="Arial" w:cs="Arial"/>
          <w:color w:val="000000"/>
          <w:sz w:val="20"/>
          <w:szCs w:val="20"/>
        </w:rPr>
        <w:t>lients;</w:t>
      </w:r>
    </w:p>
    <w:p w14:paraId="5EA1DCDE" w14:textId="77777777" w:rsidR="003C66EB" w:rsidRDefault="00D96C4E">
      <w:pPr>
        <w:spacing w:before="60"/>
        <w:ind w:hanging="36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could be adversely affected;</w:t>
      </w:r>
    </w:p>
    <w:p w14:paraId="5EA1DCDF" w14:textId="77777777" w:rsidR="003C66EB" w:rsidRDefault="00D96C4E">
      <w:pPr>
        <w:spacing w:before="60"/>
        <w:ind w:hanging="360"/>
        <w:jc w:val="both"/>
        <w:textAlignment w:val="top"/>
      </w:pPr>
      <w:r>
        <w:rPr>
          <w:rFonts w:ascii="Arial" w:eastAsia="宋体" w:hAnsi="Arial" w:cs="Arial"/>
          <w:color w:val="000000"/>
          <w:sz w:val="20"/>
          <w:szCs w:val="20"/>
        </w:rPr>
        <w:t>•We may need to raise additional capital or debt in t</w:t>
      </w:r>
      <w:r>
        <w:rPr>
          <w:rFonts w:ascii="Arial" w:eastAsia="宋体" w:hAnsi="Arial" w:cs="Arial"/>
          <w:color w:val="000000"/>
          <w:sz w:val="20"/>
          <w:szCs w:val="20"/>
        </w:rPr>
        <w:t>he future, which may not be available to us or may only be available on unfavorable terms; and</w:t>
      </w:r>
    </w:p>
    <w:p w14:paraId="5EA1DCE0" w14:textId="77777777" w:rsidR="003C66EB" w:rsidRDefault="00D96C4E">
      <w:pPr>
        <w:spacing w:before="60"/>
        <w:ind w:hanging="360"/>
        <w:jc w:val="both"/>
        <w:textAlignment w:val="top"/>
      </w:pPr>
      <w:r>
        <w:rPr>
          <w:rFonts w:ascii="Arial" w:eastAsia="宋体" w:hAnsi="Arial" w:cs="Arial"/>
          <w:color w:val="000000"/>
          <w:sz w:val="20"/>
          <w:szCs w:val="20"/>
        </w:rPr>
        <w:t>•If we experience a downgrade in our credit ratings, or an actual or perceived reduction in our financial strength, our borrowing and capital costs, liquidity an</w:t>
      </w:r>
      <w:r>
        <w:rPr>
          <w:rFonts w:ascii="Arial" w:eastAsia="宋体" w:hAnsi="Arial" w:cs="Arial"/>
          <w:color w:val="000000"/>
          <w:sz w:val="20"/>
          <w:szCs w:val="20"/>
        </w:rPr>
        <w:t>d reputation could be adversely affected.</w:t>
      </w:r>
    </w:p>
    <w:p w14:paraId="5EA1DCE1" w14:textId="77777777" w:rsidR="003C66EB" w:rsidRDefault="00D96C4E">
      <w:pPr>
        <w:spacing w:before="90"/>
        <w:textAlignment w:val="top"/>
      </w:pPr>
      <w:r>
        <w:rPr>
          <w:rFonts w:ascii="Arial" w:eastAsia="宋体" w:hAnsi="Arial" w:cs="Arial"/>
          <w:b/>
          <w:bCs/>
          <w:color w:val="000000"/>
          <w:sz w:val="20"/>
          <w:szCs w:val="20"/>
        </w:rPr>
        <w:t>Compliance and Regulatory Risks</w:t>
      </w:r>
    </w:p>
    <w:p w14:paraId="5EA1DCE2" w14:textId="77777777" w:rsidR="003C66EB" w:rsidRDefault="00D96C4E">
      <w:pPr>
        <w:spacing w:before="60"/>
        <w:ind w:hanging="360"/>
        <w:jc w:val="both"/>
        <w:textAlignment w:val="top"/>
      </w:pPr>
      <w:r>
        <w:rPr>
          <w:rFonts w:ascii="Arial" w:eastAsia="宋体" w:hAnsi="Arial" w:cs="Arial"/>
          <w:color w:val="000000"/>
          <w:sz w:val="20"/>
          <w:szCs w:val="20"/>
        </w:rPr>
        <w:t xml:space="preserve">•Our business and capital-related activities, including common share repurchases, may be adversely affected by capital and liquidity standards required as a result of capital stress </w:t>
      </w:r>
      <w:r>
        <w:rPr>
          <w:rFonts w:ascii="Arial" w:eastAsia="宋体" w:hAnsi="Arial" w:cs="Arial"/>
          <w:color w:val="000000"/>
          <w:sz w:val="20"/>
          <w:szCs w:val="20"/>
        </w:rPr>
        <w:t>testing;</w:t>
      </w:r>
    </w:p>
    <w:p w14:paraId="5EA1DCE3" w14:textId="77777777" w:rsidR="003C66EB" w:rsidRDefault="00D96C4E">
      <w:pPr>
        <w:spacing w:before="60"/>
        <w:ind w:hanging="36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5EA1DCE4" w14:textId="77777777" w:rsidR="003C66EB" w:rsidRDefault="00D96C4E">
      <w:pPr>
        <w:spacing w:before="60"/>
        <w:ind w:hanging="360"/>
        <w:jc w:val="both"/>
        <w:textAlignment w:val="top"/>
      </w:pPr>
      <w:r>
        <w:rPr>
          <w:rFonts w:ascii="Arial" w:eastAsia="宋体" w:hAnsi="Arial" w:cs="Arial"/>
          <w:color w:val="000000"/>
          <w:sz w:val="20"/>
          <w:szCs w:val="20"/>
        </w:rPr>
        <w:t xml:space="preserve">•We are subject to enhanced external oversight as a result of the resolution of prior regulatory or </w:t>
      </w:r>
      <w:r>
        <w:rPr>
          <w:rFonts w:ascii="Arial" w:eastAsia="宋体" w:hAnsi="Arial" w:cs="Arial"/>
          <w:color w:val="000000"/>
          <w:sz w:val="20"/>
          <w:szCs w:val="20"/>
        </w:rPr>
        <w:t>governmental matters;</w:t>
      </w:r>
    </w:p>
    <w:p w14:paraId="5EA1DCE5" w14:textId="77777777" w:rsidR="003C66EB" w:rsidRDefault="00D96C4E">
      <w:pPr>
        <w:spacing w:before="60"/>
        <w:ind w:hanging="360"/>
        <w:jc w:val="both"/>
        <w:textAlignment w:val="top"/>
      </w:pPr>
      <w:r>
        <w:rPr>
          <w:rFonts w:ascii="Arial" w:eastAsia="宋体" w:hAnsi="Arial" w:cs="Arial"/>
          <w:color w:val="000000"/>
          <w:sz w:val="20"/>
          <w:szCs w:val="20"/>
        </w:rPr>
        <w:t>•Our businesses may be adversely affected by government enforcement and litigation;</w:t>
      </w:r>
    </w:p>
    <w:p w14:paraId="5EA1DCE6" w14:textId="77777777" w:rsidR="003C66EB" w:rsidRDefault="00D96C4E">
      <w:pPr>
        <w:spacing w:before="60"/>
        <w:ind w:hanging="360"/>
        <w:jc w:val="both"/>
        <w:textAlignment w:val="top"/>
      </w:pPr>
      <w:r>
        <w:rPr>
          <w:rFonts w:ascii="Arial" w:eastAsia="宋体" w:hAnsi="Arial" w:cs="Arial"/>
          <w:color w:val="000000"/>
          <w:sz w:val="20"/>
          <w:szCs w:val="20"/>
        </w:rPr>
        <w:t xml:space="preserve">•We are subject to various legal proceedings relating to the manner in which we have invoiced certain expenses, the outcome of which could materially </w:t>
      </w:r>
      <w:r>
        <w:rPr>
          <w:rFonts w:ascii="Arial" w:eastAsia="宋体" w:hAnsi="Arial" w:cs="Arial"/>
          <w:color w:val="000000"/>
          <w:sz w:val="20"/>
          <w:szCs w:val="20"/>
        </w:rPr>
        <w:t>adversely affect our results of operations or harm our business or reputation;</w:t>
      </w:r>
    </w:p>
    <w:p w14:paraId="5EA1DCE7" w14:textId="77777777" w:rsidR="003C66EB" w:rsidRDefault="00D96C4E">
      <w:pPr>
        <w:spacing w:before="60"/>
        <w:ind w:hanging="360"/>
        <w:jc w:val="both"/>
        <w:textAlignment w:val="top"/>
      </w:pPr>
      <w:r>
        <w:rPr>
          <w:rFonts w:ascii="Arial" w:eastAsia="宋体" w:hAnsi="Arial" w:cs="Arial"/>
          <w:color w:val="000000"/>
          <w:sz w:val="20"/>
          <w:szCs w:val="20"/>
        </w:rPr>
        <w:t>•Any misappropriation of the confidential information we possess could have an adverse impact on our business and could subject us to regulatory actions, litigation and other ad</w:t>
      </w:r>
      <w:r>
        <w:rPr>
          <w:rFonts w:ascii="Arial" w:eastAsia="宋体" w:hAnsi="Arial" w:cs="Arial"/>
          <w:color w:val="000000"/>
          <w:sz w:val="20"/>
          <w:szCs w:val="20"/>
        </w:rPr>
        <w:t xml:space="preserve">verse effects; </w:t>
      </w:r>
    </w:p>
    <w:p w14:paraId="5EA1DCE8" w14:textId="77777777" w:rsidR="003C66EB" w:rsidRDefault="00D96C4E">
      <w:pPr>
        <w:spacing w:before="60"/>
        <w:ind w:hanging="360"/>
        <w:jc w:val="both"/>
        <w:textAlignment w:val="top"/>
      </w:pPr>
      <w:r>
        <w:rPr>
          <w:rFonts w:ascii="Arial" w:eastAsia="宋体" w:hAnsi="Arial" w:cs="Arial"/>
          <w:color w:val="000000"/>
          <w:sz w:val="20"/>
          <w:szCs w:val="20"/>
        </w:rPr>
        <w:t xml:space="preserve">•Our calculations of risk exposures, total RWA and capital ratios depend on data inputs, formulae, models, correlations and assumptions that are subject to change, which could materially impact our risk exposures, our total RWA and our </w:t>
      </w:r>
      <w:r>
        <w:rPr>
          <w:rFonts w:ascii="Arial" w:eastAsia="宋体" w:hAnsi="Arial" w:cs="Arial"/>
          <w:color w:val="000000"/>
          <w:sz w:val="20"/>
          <w:szCs w:val="20"/>
        </w:rPr>
        <w:t>capital ratios from period to period;</w:t>
      </w:r>
    </w:p>
    <w:p w14:paraId="5EA1DCE9" w14:textId="77777777" w:rsidR="003C66EB" w:rsidRDefault="00D96C4E">
      <w:pPr>
        <w:spacing w:before="60"/>
        <w:ind w:hanging="360"/>
        <w:jc w:val="both"/>
        <w:textAlignment w:val="top"/>
      </w:pPr>
      <w:r>
        <w:rPr>
          <w:rFonts w:ascii="Arial" w:eastAsia="宋体" w:hAnsi="Arial" w:cs="Arial"/>
          <w:color w:val="000000"/>
          <w:sz w:val="20"/>
          <w:szCs w:val="20"/>
        </w:rPr>
        <w:t xml:space="preserve">•Changes in accounting standards may adversely affect our consolidated financial statements; </w:t>
      </w:r>
    </w:p>
    <w:p w14:paraId="5EA1DCEA" w14:textId="77777777" w:rsidR="003C66EB" w:rsidRDefault="00D96C4E">
      <w:pPr>
        <w:spacing w:before="60"/>
        <w:ind w:hanging="360"/>
        <w:jc w:val="both"/>
        <w:textAlignment w:val="top"/>
      </w:pPr>
      <w:r>
        <w:rPr>
          <w:rFonts w:ascii="Arial" w:eastAsia="宋体" w:hAnsi="Arial" w:cs="Arial"/>
          <w:color w:val="000000"/>
          <w:sz w:val="20"/>
          <w:szCs w:val="20"/>
        </w:rPr>
        <w:t>•Changes in tax laws, rules or regulations, challenges to our tax positions and changes in the composition of our pre-tax ea</w:t>
      </w:r>
      <w:r>
        <w:rPr>
          <w:rFonts w:ascii="Arial" w:eastAsia="宋体" w:hAnsi="Arial" w:cs="Arial"/>
          <w:color w:val="000000"/>
          <w:sz w:val="20"/>
          <w:szCs w:val="20"/>
        </w:rPr>
        <w:t>rnings may increase our effective tax rate; and</w:t>
      </w:r>
    </w:p>
    <w:p w14:paraId="5EA1DCEB" w14:textId="77777777" w:rsidR="003C66EB" w:rsidRDefault="00D96C4E">
      <w:pPr>
        <w:spacing w:before="60"/>
        <w:ind w:hanging="360"/>
        <w:jc w:val="both"/>
        <w:textAlignment w:val="top"/>
      </w:pPr>
      <w:r>
        <w:rPr>
          <w:rFonts w:ascii="Arial" w:eastAsia="宋体" w:hAnsi="Arial" w:cs="Arial"/>
          <w:color w:val="000000"/>
          <w:sz w:val="20"/>
          <w:szCs w:val="20"/>
        </w:rPr>
        <w:t>•The transition away from LIBOR may result in additional costs and increased risk exposure.</w:t>
      </w:r>
    </w:p>
    <w:p w14:paraId="5EA1DCEC" w14:textId="77777777" w:rsidR="003C66EB" w:rsidRDefault="00D96C4E">
      <w:pPr>
        <w:spacing w:before="90"/>
        <w:textAlignment w:val="top"/>
      </w:pPr>
      <w:r>
        <w:rPr>
          <w:rFonts w:ascii="Arial" w:eastAsia="宋体" w:hAnsi="Arial" w:cs="Arial"/>
          <w:b/>
          <w:bCs/>
          <w:color w:val="000000"/>
          <w:sz w:val="20"/>
          <w:szCs w:val="20"/>
        </w:rPr>
        <w:t>Operational Risks</w:t>
      </w:r>
    </w:p>
    <w:p w14:paraId="5EA1DCED" w14:textId="77777777" w:rsidR="003C66EB" w:rsidRDefault="00D96C4E">
      <w:pPr>
        <w:spacing w:before="60"/>
        <w:ind w:hanging="360"/>
        <w:jc w:val="both"/>
        <w:textAlignment w:val="top"/>
      </w:pPr>
      <w:r>
        <w:rPr>
          <w:rFonts w:ascii="Arial" w:eastAsia="宋体" w:hAnsi="Arial" w:cs="Arial"/>
          <w:color w:val="000000"/>
          <w:sz w:val="20"/>
          <w:szCs w:val="20"/>
        </w:rPr>
        <w:t xml:space="preserve">•Our control environment may be inadequate, fail or be circumvented, and operational risks </w:t>
      </w:r>
      <w:r>
        <w:rPr>
          <w:rFonts w:ascii="Arial" w:eastAsia="宋体" w:hAnsi="Arial" w:cs="Arial"/>
          <w:color w:val="000000"/>
          <w:sz w:val="20"/>
          <w:szCs w:val="20"/>
        </w:rPr>
        <w:t>could adversely affect our consolidated results of operations;</w:t>
      </w:r>
    </w:p>
    <w:p w14:paraId="5EA1DCEE" w14:textId="77777777" w:rsidR="003C66EB" w:rsidRDefault="00D96C4E">
      <w:pPr>
        <w:spacing w:before="60"/>
        <w:ind w:hanging="360"/>
        <w:jc w:val="both"/>
        <w:textAlignment w:val="top"/>
      </w:pPr>
      <w:r>
        <w:rPr>
          <w:rFonts w:ascii="Arial" w:eastAsia="宋体" w:hAnsi="Arial" w:cs="Arial"/>
          <w:color w:val="000000"/>
          <w:sz w:val="20"/>
          <w:szCs w:val="20"/>
        </w:rPr>
        <w:t>•Cost shifting to non-U.S. jurisdictions and outsourcing may expose us to increased operational risk and reputational harm and may not result in expected cost savings;</w:t>
      </w:r>
    </w:p>
    <w:p w14:paraId="5EA1DCEF" w14:textId="77777777" w:rsidR="003C66EB" w:rsidRDefault="00D96C4E">
      <w:pPr>
        <w:spacing w:before="60"/>
        <w:ind w:hanging="360"/>
        <w:jc w:val="both"/>
        <w:textAlignment w:val="top"/>
      </w:pPr>
      <w:r>
        <w:rPr>
          <w:rFonts w:ascii="Arial" w:eastAsia="宋体" w:hAnsi="Arial" w:cs="Arial"/>
          <w:color w:val="000000"/>
          <w:sz w:val="20"/>
          <w:szCs w:val="20"/>
        </w:rPr>
        <w:t xml:space="preserve">•Attacks or unauthorized </w:t>
      </w:r>
      <w:r>
        <w:rPr>
          <w:rFonts w:ascii="Arial" w:eastAsia="宋体" w:hAnsi="Arial" w:cs="Arial"/>
          <w:color w:val="000000"/>
          <w:sz w:val="20"/>
          <w:szCs w:val="20"/>
        </w:rPr>
        <w:t>access to our information technology systems or facilities, or those of the third parties with which we do business, or disruptions to our or their continuous operations, could result in significant costs, reputational damage and limits on our business act</w:t>
      </w:r>
      <w:r>
        <w:rPr>
          <w:rFonts w:ascii="Arial" w:eastAsia="宋体" w:hAnsi="Arial" w:cs="Arial"/>
          <w:color w:val="000000"/>
          <w:sz w:val="20"/>
          <w:szCs w:val="20"/>
        </w:rPr>
        <w:t xml:space="preserve">ivities; </w:t>
      </w:r>
    </w:p>
    <w:p w14:paraId="5EA1DCF0" w14:textId="77777777" w:rsidR="003C66EB" w:rsidRDefault="00D96C4E">
      <w:pPr>
        <w:spacing w:before="60"/>
        <w:ind w:hanging="360"/>
        <w:jc w:val="both"/>
        <w:textAlignment w:val="top"/>
      </w:pPr>
      <w:r>
        <w:rPr>
          <w:rFonts w:ascii="Arial" w:eastAsia="宋体" w:hAnsi="Arial" w:cs="Arial"/>
          <w:color w:val="000000"/>
          <w:sz w:val="20"/>
          <w:szCs w:val="20"/>
        </w:rPr>
        <w:t>•Long-term contracts expose us to pricing and performance risk;</w:t>
      </w:r>
    </w:p>
    <w:p w14:paraId="5EA1DCF1" w14:textId="77777777" w:rsidR="003C66EB" w:rsidRDefault="00D96C4E">
      <w:pPr>
        <w:spacing w:before="60"/>
        <w:ind w:hanging="360"/>
        <w:jc w:val="both"/>
        <w:textAlignment w:val="top"/>
      </w:pPr>
      <w:r>
        <w:rPr>
          <w:rFonts w:ascii="Arial" w:eastAsia="宋体" w:hAnsi="Arial" w:cs="Arial"/>
          <w:color w:val="000000"/>
          <w:sz w:val="20"/>
          <w:szCs w:val="20"/>
        </w:rPr>
        <w:t>•Our businesses may be negatively affected by adverse publicity or other reputational harm;</w:t>
      </w:r>
    </w:p>
    <w:p w14:paraId="5EA1DCF2" w14:textId="77777777" w:rsidR="003C66EB" w:rsidRDefault="00D96C4E">
      <w:pPr>
        <w:spacing w:before="60"/>
        <w:ind w:hanging="360"/>
        <w:jc w:val="both"/>
        <w:textAlignment w:val="top"/>
      </w:pPr>
      <w:r>
        <w:rPr>
          <w:rFonts w:ascii="Arial" w:eastAsia="宋体" w:hAnsi="Arial" w:cs="Arial"/>
          <w:color w:val="000000"/>
          <w:sz w:val="20"/>
          <w:szCs w:val="20"/>
        </w:rPr>
        <w:t>•We may not be able to protect our intellectual property;</w:t>
      </w:r>
    </w:p>
    <w:p w14:paraId="5EA1DCF3" w14:textId="77777777" w:rsidR="003C66EB" w:rsidRDefault="00D96C4E">
      <w:pPr>
        <w:spacing w:before="60"/>
        <w:ind w:hanging="360"/>
        <w:jc w:val="both"/>
        <w:textAlignment w:val="top"/>
      </w:pPr>
      <w:r>
        <w:rPr>
          <w:rFonts w:ascii="Arial" w:eastAsia="宋体" w:hAnsi="Arial" w:cs="Arial"/>
          <w:color w:val="000000"/>
          <w:sz w:val="20"/>
          <w:szCs w:val="20"/>
        </w:rPr>
        <w:t xml:space="preserve">•The quantitative models we use </w:t>
      </w:r>
      <w:r>
        <w:rPr>
          <w:rFonts w:ascii="Arial" w:eastAsia="宋体" w:hAnsi="Arial" w:cs="Arial"/>
          <w:color w:val="000000"/>
          <w:sz w:val="20"/>
          <w:szCs w:val="20"/>
        </w:rPr>
        <w:t>to manage our business may contain errors that could result in material harm;</w:t>
      </w:r>
    </w:p>
    <w:p w14:paraId="5EA1DCF4" w14:textId="77777777" w:rsidR="003C66EB" w:rsidRDefault="00D96C4E">
      <w:pPr>
        <w:spacing w:before="60"/>
        <w:ind w:hanging="360"/>
        <w:jc w:val="both"/>
        <w:textAlignment w:val="top"/>
      </w:pPr>
      <w:r>
        <w:rPr>
          <w:rFonts w:ascii="Arial" w:eastAsia="宋体" w:hAnsi="Arial" w:cs="Arial"/>
          <w:color w:val="000000"/>
          <w:sz w:val="20"/>
          <w:szCs w:val="20"/>
        </w:rPr>
        <w:t>•Our reputation and business prospects may be damaged if our clients incur substantial losses or are restricted in redeeming their interests in investment pools that we sponsor o</w:t>
      </w:r>
      <w:r>
        <w:rPr>
          <w:rFonts w:ascii="Arial" w:eastAsia="宋体" w:hAnsi="Arial" w:cs="Arial"/>
          <w:color w:val="000000"/>
          <w:sz w:val="20"/>
          <w:szCs w:val="20"/>
        </w:rPr>
        <w:t>r manage;</w:t>
      </w:r>
    </w:p>
    <w:p w14:paraId="5EA1DCF5" w14:textId="77777777" w:rsidR="003C66EB" w:rsidRDefault="00D96C4E">
      <w:pPr>
        <w:spacing w:before="60"/>
        <w:ind w:hanging="360"/>
        <w:jc w:val="both"/>
        <w:textAlignment w:val="top"/>
      </w:pPr>
      <w:r>
        <w:rPr>
          <w:rFonts w:ascii="Arial" w:eastAsia="宋体" w:hAnsi="Arial" w:cs="Arial"/>
          <w:color w:val="000000"/>
          <w:sz w:val="20"/>
          <w:szCs w:val="20"/>
        </w:rPr>
        <w:t>•The impacts of climate change could adversely affect our business operations; and</w:t>
      </w:r>
    </w:p>
    <w:p w14:paraId="5EA1DCF6" w14:textId="77777777" w:rsidR="003C66EB" w:rsidRDefault="00D96C4E">
      <w:pPr>
        <w:spacing w:before="60"/>
        <w:ind w:hanging="360"/>
        <w:jc w:val="both"/>
        <w:textAlignment w:val="top"/>
      </w:pPr>
      <w:r>
        <w:rPr>
          <w:rFonts w:ascii="Arial" w:eastAsia="宋体" w:hAnsi="Arial" w:cs="Arial"/>
          <w:color w:val="000000"/>
          <w:sz w:val="20"/>
          <w:szCs w:val="20"/>
        </w:rPr>
        <w:t>•We may incur losses as a result of unforeseen events including terrorist attacks, natural disasters, the emergence of a new pandemic or acts of embezzlement.</w:t>
      </w:r>
    </w:p>
    <w:p w14:paraId="5EA1DCF7" w14:textId="77777777" w:rsidR="003C66EB" w:rsidRDefault="00D96C4E">
      <w:pPr>
        <w:spacing w:before="60"/>
        <w:ind w:firstLine="450"/>
        <w:jc w:val="both"/>
        <w:textAlignment w:val="top"/>
      </w:pPr>
      <w:r>
        <w:rPr>
          <w:rFonts w:ascii="Arial" w:eastAsia="宋体" w:hAnsi="Arial" w:cs="Arial"/>
          <w:color w:val="000000"/>
          <w:sz w:val="20"/>
          <w:szCs w:val="20"/>
        </w:rPr>
        <w:t>Actu</w:t>
      </w:r>
      <w:r>
        <w:rPr>
          <w:rFonts w:ascii="Arial" w:eastAsia="宋体" w:hAnsi="Arial" w:cs="Arial"/>
          <w:color w:val="000000"/>
          <w:sz w:val="20"/>
          <w:szCs w:val="20"/>
        </w:rPr>
        <w:t>al outcomes and results may differ materially from what is expressed in our forward-looking statements and from our historical financial results due to the factors discussed in this section and elsewhere in this Form 10-Q or disclosed in our other SEC fili</w:t>
      </w:r>
      <w:r>
        <w:rPr>
          <w:rFonts w:ascii="Arial" w:eastAsia="宋体" w:hAnsi="Arial" w:cs="Arial"/>
          <w:color w:val="000000"/>
          <w:sz w:val="20"/>
          <w:szCs w:val="20"/>
        </w:rPr>
        <w:t xml:space="preserve">ngs. Forward-looking statements in this Form 10-Q should not be relied on as representing our expectations or assumptions as of any time subsequent to the time this Form 10-Q is filed with the SEC. We undertake no obligation to revise our </w:t>
      </w:r>
    </w:p>
    <w:p w14:paraId="5EA1DCF8" w14:textId="77777777" w:rsidR="003C66EB" w:rsidRDefault="00D96C4E">
      <w:pPr>
        <w:ind w:firstLine="450"/>
        <w:jc w:val="right"/>
      </w:pPr>
      <w:r>
        <w:rPr>
          <w:rFonts w:ascii="Arial" w:eastAsia="宋体" w:hAnsi="Arial" w:cs="Arial"/>
          <w:color w:val="000000"/>
          <w:sz w:val="18"/>
          <w:szCs w:val="18"/>
        </w:rPr>
        <w:t>State Street Cor</w:t>
      </w:r>
      <w:r>
        <w:rPr>
          <w:rFonts w:ascii="Arial" w:eastAsia="宋体" w:hAnsi="Arial" w:cs="Arial"/>
          <w:color w:val="000000"/>
          <w:sz w:val="18"/>
          <w:szCs w:val="18"/>
        </w:rPr>
        <w:t>poration | 6</w:t>
      </w:r>
    </w:p>
    <w:p w14:paraId="5EA1DCF9" w14:textId="77777777" w:rsidR="003C66EB" w:rsidRDefault="003C66EB">
      <w:pPr>
        <w:ind w:firstLine="450"/>
        <w:jc w:val="center"/>
      </w:pPr>
    </w:p>
    <w:p w14:paraId="5EA1DCFA" w14:textId="77777777" w:rsidR="003C66EB" w:rsidRDefault="00D96C4E">
      <w:r>
        <w:pict w14:anchorId="5EA287B6">
          <v:rect id="_x0000_i1030" style="width:415.3pt;height:1.5pt" o:hralign="center" o:hrstd="t" o:hr="t" fillcolor="#a0a0a0" stroked="f"/>
        </w:pict>
      </w:r>
    </w:p>
    <w:p w14:paraId="5EA1DCFB"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DCFC" w14:textId="77777777" w:rsidR="003C66EB" w:rsidRDefault="00D96C4E">
      <w:pPr>
        <w:ind w:firstLine="450"/>
        <w:jc w:val="center"/>
      </w:pPr>
      <w:r>
        <w:rPr>
          <w:rFonts w:ascii="Arial" w:eastAsia="宋体" w:hAnsi="Arial" w:cs="Arial"/>
          <w:b/>
          <w:bCs/>
          <w:color w:val="000000"/>
          <w:sz w:val="20"/>
          <w:szCs w:val="20"/>
        </w:rPr>
        <w:t>AND RESULTS OF OPERATIONS</w:t>
      </w:r>
    </w:p>
    <w:p w14:paraId="5EA1DCFD" w14:textId="77777777" w:rsidR="003C66EB" w:rsidRDefault="00D96C4E">
      <w:pPr>
        <w:spacing w:before="60"/>
        <w:jc w:val="both"/>
        <w:textAlignment w:val="top"/>
      </w:pPr>
      <w:r>
        <w:rPr>
          <w:rFonts w:ascii="Arial" w:eastAsia="宋体" w:hAnsi="Arial" w:cs="Arial"/>
          <w:color w:val="000000"/>
          <w:sz w:val="20"/>
          <w:szCs w:val="20"/>
        </w:rPr>
        <w:t>forward-looking statements after the time they are made. The factors discussed herein are not intended to be a complete statement of all risks and uncerta</w:t>
      </w:r>
      <w:r>
        <w:rPr>
          <w:rFonts w:ascii="Arial" w:eastAsia="宋体" w:hAnsi="Arial" w:cs="Arial"/>
          <w:color w:val="000000"/>
          <w:sz w:val="20"/>
          <w:szCs w:val="20"/>
        </w:rPr>
        <w:t xml:space="preserve">inties that may affect our businesses. We cannot anticipate all developments that may adversely affect our business or operations or our consolidated results of operations, financial condition or cash flows. </w:t>
      </w:r>
    </w:p>
    <w:p w14:paraId="5EA1DCFE" w14:textId="77777777" w:rsidR="003C66EB" w:rsidRDefault="00D96C4E">
      <w:pPr>
        <w:spacing w:before="60"/>
        <w:ind w:firstLine="450"/>
        <w:jc w:val="both"/>
        <w:textAlignment w:val="top"/>
      </w:pPr>
      <w:r>
        <w:rPr>
          <w:rFonts w:ascii="Arial" w:eastAsia="宋体" w:hAnsi="Arial" w:cs="Arial"/>
          <w:color w:val="000000"/>
          <w:sz w:val="20"/>
          <w:szCs w:val="20"/>
        </w:rPr>
        <w:t>Forward-looking statements should not be viewed</w:t>
      </w:r>
      <w:r>
        <w:rPr>
          <w:rFonts w:ascii="Arial" w:eastAsia="宋体" w:hAnsi="Arial" w:cs="Arial"/>
          <w:color w:val="000000"/>
          <w:sz w:val="20"/>
          <w:szCs w:val="20"/>
        </w:rPr>
        <w:t xml:space="preserve"> as predictions and should not be the primary basis on which investors evaluate State Street. Any investor in State Street should consider all risks and uncertainties disclosed in our SEC filings, including our filings under the Securities Exchange Act of </w:t>
      </w:r>
      <w:r>
        <w:rPr>
          <w:rFonts w:ascii="Arial" w:eastAsia="宋体" w:hAnsi="Arial" w:cs="Arial"/>
          <w:color w:val="000000"/>
          <w:sz w:val="20"/>
          <w:szCs w:val="20"/>
        </w:rPr>
        <w:t xml:space="preserve">1934, in particular our annual reports on Form 10-K, our quarterly reports on Form 10-Q and our current reports on Form 8-K, and our registration statements filed under the Securities Act of 1933, all of which are accessible on the SEC's website at </w:t>
      </w:r>
      <w:r>
        <w:rPr>
          <w:rFonts w:ascii="Arial" w:eastAsia="宋体" w:hAnsi="Arial" w:cs="Arial"/>
          <w:i/>
          <w:iCs/>
          <w:color w:val="000000"/>
          <w:sz w:val="20"/>
          <w:szCs w:val="20"/>
        </w:rPr>
        <w:t>www.sec</w:t>
      </w:r>
      <w:r>
        <w:rPr>
          <w:rFonts w:ascii="Arial" w:eastAsia="宋体" w:hAnsi="Arial" w:cs="Arial"/>
          <w:i/>
          <w:iCs/>
          <w:color w:val="000000"/>
          <w:sz w:val="20"/>
          <w:szCs w:val="20"/>
        </w:rPr>
        <w:t xml:space="preserve">.gov </w:t>
      </w:r>
      <w:r>
        <w:rPr>
          <w:rFonts w:ascii="Arial" w:eastAsia="宋体" w:hAnsi="Arial" w:cs="Arial"/>
          <w:color w:val="000000"/>
          <w:sz w:val="20"/>
          <w:szCs w:val="20"/>
        </w:rPr>
        <w:t xml:space="preserve">or on the “Investor Relations” section of our corporate website at </w:t>
      </w:r>
      <w:r>
        <w:rPr>
          <w:rFonts w:ascii="Arial" w:eastAsia="宋体" w:hAnsi="Arial" w:cs="Arial"/>
          <w:i/>
          <w:iCs/>
          <w:color w:val="000000"/>
          <w:sz w:val="20"/>
          <w:szCs w:val="20"/>
        </w:rPr>
        <w:t>www.statestreet.com</w:t>
      </w:r>
      <w:r>
        <w:rPr>
          <w:rFonts w:ascii="Times New Roman" w:eastAsia="宋体" w:hAnsi="Times New Roman"/>
          <w:color w:val="000000"/>
          <w:sz w:val="20"/>
          <w:szCs w:val="20"/>
        </w:rPr>
        <w:t xml:space="preserve">. </w:t>
      </w:r>
    </w:p>
    <w:p w14:paraId="5EA1DCFF" w14:textId="77777777" w:rsidR="003C66EB" w:rsidRDefault="00D96C4E">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886"/>
        <w:gridCol w:w="37"/>
        <w:gridCol w:w="94"/>
        <w:gridCol w:w="1020"/>
        <w:gridCol w:w="136"/>
        <w:gridCol w:w="36"/>
        <w:gridCol w:w="36"/>
        <w:gridCol w:w="36"/>
        <w:gridCol w:w="94"/>
        <w:gridCol w:w="996"/>
        <w:gridCol w:w="136"/>
        <w:gridCol w:w="36"/>
        <w:gridCol w:w="36"/>
        <w:gridCol w:w="36"/>
        <w:gridCol w:w="37"/>
        <w:gridCol w:w="970"/>
        <w:gridCol w:w="136"/>
        <w:gridCol w:w="36"/>
        <w:gridCol w:w="36"/>
        <w:gridCol w:w="36"/>
        <w:gridCol w:w="36"/>
        <w:gridCol w:w="36"/>
        <w:gridCol w:w="36"/>
        <w:gridCol w:w="36"/>
        <w:gridCol w:w="36"/>
        <w:gridCol w:w="36"/>
        <w:gridCol w:w="36"/>
        <w:gridCol w:w="36"/>
        <w:gridCol w:w="36"/>
        <w:gridCol w:w="36"/>
        <w:gridCol w:w="36"/>
        <w:gridCol w:w="36"/>
      </w:tblGrid>
      <w:tr w:rsidR="003C66EB" w14:paraId="5EA1DD17" w14:textId="77777777">
        <w:tc>
          <w:tcPr>
            <w:tcW w:w="50" w:type="pct"/>
            <w:shd w:val="clear" w:color="auto" w:fill="auto"/>
          </w:tcPr>
          <w:p w14:paraId="5EA1DD00" w14:textId="77777777" w:rsidR="003C66EB" w:rsidRDefault="003C66EB">
            <w:pPr>
              <w:rPr>
                <w:rFonts w:ascii="宋体"/>
              </w:rPr>
            </w:pPr>
          </w:p>
        </w:tc>
        <w:tc>
          <w:tcPr>
            <w:tcW w:w="2555" w:type="pct"/>
            <w:shd w:val="clear" w:color="auto" w:fill="auto"/>
          </w:tcPr>
          <w:p w14:paraId="5EA1DD01" w14:textId="77777777" w:rsidR="003C66EB" w:rsidRDefault="003C66EB">
            <w:pPr>
              <w:rPr>
                <w:rFonts w:ascii="宋体"/>
              </w:rPr>
            </w:pPr>
          </w:p>
        </w:tc>
        <w:tc>
          <w:tcPr>
            <w:tcW w:w="5" w:type="pct"/>
            <w:shd w:val="clear" w:color="auto" w:fill="auto"/>
          </w:tcPr>
          <w:p w14:paraId="5EA1DD02" w14:textId="77777777" w:rsidR="003C66EB" w:rsidRDefault="003C66EB">
            <w:pPr>
              <w:rPr>
                <w:rFonts w:ascii="宋体"/>
              </w:rPr>
            </w:pPr>
          </w:p>
        </w:tc>
        <w:tc>
          <w:tcPr>
            <w:tcW w:w="50" w:type="pct"/>
            <w:shd w:val="clear" w:color="auto" w:fill="auto"/>
          </w:tcPr>
          <w:p w14:paraId="5EA1DD03" w14:textId="77777777" w:rsidR="003C66EB" w:rsidRDefault="003C66EB">
            <w:pPr>
              <w:rPr>
                <w:rFonts w:ascii="宋体"/>
              </w:rPr>
            </w:pPr>
          </w:p>
        </w:tc>
        <w:tc>
          <w:tcPr>
            <w:tcW w:w="699" w:type="pct"/>
            <w:shd w:val="clear" w:color="auto" w:fill="auto"/>
          </w:tcPr>
          <w:p w14:paraId="5EA1DD04" w14:textId="77777777" w:rsidR="003C66EB" w:rsidRDefault="003C66EB">
            <w:pPr>
              <w:rPr>
                <w:rFonts w:ascii="宋体"/>
              </w:rPr>
            </w:pPr>
          </w:p>
        </w:tc>
        <w:tc>
          <w:tcPr>
            <w:tcW w:w="5" w:type="pct"/>
            <w:shd w:val="clear" w:color="auto" w:fill="auto"/>
          </w:tcPr>
          <w:p w14:paraId="5EA1DD05" w14:textId="77777777" w:rsidR="003C66EB" w:rsidRDefault="003C66EB">
            <w:pPr>
              <w:rPr>
                <w:rFonts w:ascii="宋体"/>
              </w:rPr>
            </w:pPr>
          </w:p>
        </w:tc>
        <w:tc>
          <w:tcPr>
            <w:tcW w:w="5" w:type="pct"/>
            <w:shd w:val="clear" w:color="auto" w:fill="auto"/>
          </w:tcPr>
          <w:p w14:paraId="5EA1DD06" w14:textId="77777777" w:rsidR="003C66EB" w:rsidRDefault="003C66EB">
            <w:pPr>
              <w:rPr>
                <w:rFonts w:ascii="宋体"/>
              </w:rPr>
            </w:pPr>
          </w:p>
        </w:tc>
        <w:tc>
          <w:tcPr>
            <w:tcW w:w="52" w:type="pct"/>
            <w:shd w:val="clear" w:color="auto" w:fill="auto"/>
          </w:tcPr>
          <w:p w14:paraId="5EA1DD07" w14:textId="77777777" w:rsidR="003C66EB" w:rsidRDefault="003C66EB">
            <w:pPr>
              <w:rPr>
                <w:rFonts w:ascii="宋体"/>
              </w:rPr>
            </w:pPr>
          </w:p>
        </w:tc>
        <w:tc>
          <w:tcPr>
            <w:tcW w:w="5" w:type="pct"/>
            <w:shd w:val="clear" w:color="auto" w:fill="auto"/>
          </w:tcPr>
          <w:p w14:paraId="5EA1DD08" w14:textId="77777777" w:rsidR="003C66EB" w:rsidRDefault="003C66EB">
            <w:pPr>
              <w:rPr>
                <w:rFonts w:ascii="宋体"/>
              </w:rPr>
            </w:pPr>
          </w:p>
        </w:tc>
        <w:tc>
          <w:tcPr>
            <w:tcW w:w="50" w:type="pct"/>
            <w:shd w:val="clear" w:color="auto" w:fill="auto"/>
          </w:tcPr>
          <w:p w14:paraId="5EA1DD09" w14:textId="77777777" w:rsidR="003C66EB" w:rsidRDefault="003C66EB">
            <w:pPr>
              <w:rPr>
                <w:rFonts w:ascii="宋体"/>
              </w:rPr>
            </w:pPr>
          </w:p>
        </w:tc>
        <w:tc>
          <w:tcPr>
            <w:tcW w:w="699" w:type="pct"/>
            <w:shd w:val="clear" w:color="auto" w:fill="auto"/>
          </w:tcPr>
          <w:p w14:paraId="5EA1DD0A" w14:textId="77777777" w:rsidR="003C66EB" w:rsidRDefault="003C66EB">
            <w:pPr>
              <w:rPr>
                <w:rFonts w:ascii="宋体"/>
              </w:rPr>
            </w:pPr>
          </w:p>
        </w:tc>
        <w:tc>
          <w:tcPr>
            <w:tcW w:w="5" w:type="pct"/>
            <w:shd w:val="clear" w:color="auto" w:fill="auto"/>
          </w:tcPr>
          <w:p w14:paraId="5EA1DD0B" w14:textId="77777777" w:rsidR="003C66EB" w:rsidRDefault="003C66EB">
            <w:pPr>
              <w:rPr>
                <w:rFonts w:ascii="宋体"/>
              </w:rPr>
            </w:pPr>
          </w:p>
        </w:tc>
        <w:tc>
          <w:tcPr>
            <w:tcW w:w="5" w:type="pct"/>
            <w:shd w:val="clear" w:color="auto" w:fill="auto"/>
          </w:tcPr>
          <w:p w14:paraId="5EA1DD0C" w14:textId="77777777" w:rsidR="003C66EB" w:rsidRDefault="003C66EB">
            <w:pPr>
              <w:rPr>
                <w:rFonts w:ascii="宋体"/>
              </w:rPr>
            </w:pPr>
          </w:p>
        </w:tc>
        <w:tc>
          <w:tcPr>
            <w:tcW w:w="52" w:type="pct"/>
            <w:shd w:val="clear" w:color="auto" w:fill="auto"/>
          </w:tcPr>
          <w:p w14:paraId="5EA1DD0D" w14:textId="77777777" w:rsidR="003C66EB" w:rsidRDefault="003C66EB">
            <w:pPr>
              <w:rPr>
                <w:rFonts w:ascii="宋体"/>
              </w:rPr>
            </w:pPr>
          </w:p>
        </w:tc>
        <w:tc>
          <w:tcPr>
            <w:tcW w:w="5" w:type="pct"/>
            <w:shd w:val="clear" w:color="auto" w:fill="auto"/>
          </w:tcPr>
          <w:p w14:paraId="5EA1DD0E" w14:textId="77777777" w:rsidR="003C66EB" w:rsidRDefault="003C66EB">
            <w:pPr>
              <w:rPr>
                <w:rFonts w:ascii="宋体"/>
              </w:rPr>
            </w:pPr>
          </w:p>
        </w:tc>
        <w:tc>
          <w:tcPr>
            <w:tcW w:w="50" w:type="pct"/>
            <w:shd w:val="clear" w:color="auto" w:fill="auto"/>
          </w:tcPr>
          <w:p w14:paraId="5EA1DD0F" w14:textId="77777777" w:rsidR="003C66EB" w:rsidRDefault="003C66EB">
            <w:pPr>
              <w:rPr>
                <w:rFonts w:ascii="宋体"/>
              </w:rPr>
            </w:pPr>
          </w:p>
        </w:tc>
        <w:tc>
          <w:tcPr>
            <w:tcW w:w="699" w:type="pct"/>
            <w:shd w:val="clear" w:color="auto" w:fill="auto"/>
          </w:tcPr>
          <w:p w14:paraId="5EA1DD10" w14:textId="77777777" w:rsidR="003C66EB" w:rsidRDefault="003C66EB">
            <w:pPr>
              <w:rPr>
                <w:rFonts w:ascii="宋体"/>
              </w:rPr>
            </w:pPr>
          </w:p>
        </w:tc>
        <w:tc>
          <w:tcPr>
            <w:tcW w:w="5" w:type="pct"/>
            <w:shd w:val="clear" w:color="auto" w:fill="auto"/>
          </w:tcPr>
          <w:p w14:paraId="5EA1DD11" w14:textId="77777777" w:rsidR="003C66EB" w:rsidRDefault="003C66EB">
            <w:pPr>
              <w:rPr>
                <w:rFonts w:ascii="宋体"/>
              </w:rPr>
            </w:pPr>
          </w:p>
        </w:tc>
        <w:tc>
          <w:tcPr>
            <w:tcW w:w="0" w:type="auto"/>
            <w:gridSpan w:val="3"/>
            <w:shd w:val="clear" w:color="auto" w:fill="auto"/>
          </w:tcPr>
          <w:p w14:paraId="5EA1DD12" w14:textId="77777777" w:rsidR="003C66EB" w:rsidRDefault="003C66EB">
            <w:pPr>
              <w:rPr>
                <w:rFonts w:ascii="宋体"/>
                <w:vanish/>
              </w:rPr>
            </w:pPr>
          </w:p>
        </w:tc>
        <w:tc>
          <w:tcPr>
            <w:tcW w:w="0" w:type="auto"/>
            <w:gridSpan w:val="3"/>
            <w:shd w:val="clear" w:color="auto" w:fill="auto"/>
          </w:tcPr>
          <w:p w14:paraId="5EA1DD13" w14:textId="77777777" w:rsidR="003C66EB" w:rsidRDefault="003C66EB">
            <w:pPr>
              <w:rPr>
                <w:rFonts w:ascii="宋体"/>
                <w:vanish/>
              </w:rPr>
            </w:pPr>
          </w:p>
        </w:tc>
        <w:tc>
          <w:tcPr>
            <w:tcW w:w="0" w:type="auto"/>
            <w:gridSpan w:val="3"/>
            <w:shd w:val="clear" w:color="auto" w:fill="auto"/>
          </w:tcPr>
          <w:p w14:paraId="5EA1DD14" w14:textId="77777777" w:rsidR="003C66EB" w:rsidRDefault="003C66EB">
            <w:pPr>
              <w:rPr>
                <w:rFonts w:ascii="宋体"/>
                <w:vanish/>
              </w:rPr>
            </w:pPr>
          </w:p>
        </w:tc>
        <w:tc>
          <w:tcPr>
            <w:tcW w:w="0" w:type="auto"/>
            <w:gridSpan w:val="3"/>
            <w:shd w:val="clear" w:color="auto" w:fill="auto"/>
          </w:tcPr>
          <w:p w14:paraId="5EA1DD15" w14:textId="77777777" w:rsidR="003C66EB" w:rsidRDefault="003C66EB">
            <w:pPr>
              <w:rPr>
                <w:rFonts w:ascii="宋体"/>
                <w:vanish/>
              </w:rPr>
            </w:pPr>
          </w:p>
        </w:tc>
        <w:tc>
          <w:tcPr>
            <w:tcW w:w="0" w:type="auto"/>
            <w:gridSpan w:val="3"/>
            <w:shd w:val="clear" w:color="auto" w:fill="auto"/>
          </w:tcPr>
          <w:p w14:paraId="5EA1DD16" w14:textId="77777777" w:rsidR="003C66EB" w:rsidRDefault="003C66EB">
            <w:pPr>
              <w:rPr>
                <w:rFonts w:ascii="宋体"/>
                <w:vanish/>
              </w:rPr>
            </w:pPr>
          </w:p>
        </w:tc>
      </w:tr>
      <w:tr w:rsidR="003C66EB" w14:paraId="5EA1DD28" w14:textId="77777777">
        <w:tc>
          <w:tcPr>
            <w:tcW w:w="0" w:type="auto"/>
            <w:gridSpan w:val="18"/>
            <w:shd w:val="clear" w:color="auto" w:fill="auto"/>
            <w:tcMar>
              <w:top w:w="40" w:type="dxa"/>
              <w:left w:w="20" w:type="dxa"/>
              <w:bottom w:w="40" w:type="dxa"/>
              <w:right w:w="20" w:type="dxa"/>
            </w:tcMar>
            <w:vAlign w:val="bottom"/>
          </w:tcPr>
          <w:p w14:paraId="5EA1DD18" w14:textId="77777777" w:rsidR="003C66EB" w:rsidRDefault="00D96C4E">
            <w:pPr>
              <w:textAlignment w:val="bottom"/>
            </w:pPr>
            <w:r>
              <w:rPr>
                <w:rFonts w:ascii="Arial" w:eastAsia="宋体" w:hAnsi="Arial" w:cs="Arial"/>
                <w:b/>
                <w:bCs/>
                <w:color w:val="000000"/>
                <w:sz w:val="16"/>
                <w:szCs w:val="16"/>
              </w:rPr>
              <w:t>TABLE 1: OVERVIEW OF FINANCIAL RESULTS</w:t>
            </w:r>
          </w:p>
        </w:tc>
        <w:tc>
          <w:tcPr>
            <w:tcW w:w="0" w:type="auto"/>
            <w:shd w:val="clear" w:color="auto" w:fill="auto"/>
          </w:tcPr>
          <w:p w14:paraId="5EA1DD19" w14:textId="77777777" w:rsidR="003C66EB" w:rsidRDefault="003C66EB">
            <w:pPr>
              <w:rPr>
                <w:rFonts w:ascii="宋体"/>
              </w:rPr>
            </w:pPr>
          </w:p>
        </w:tc>
        <w:tc>
          <w:tcPr>
            <w:tcW w:w="0" w:type="auto"/>
            <w:shd w:val="clear" w:color="auto" w:fill="auto"/>
          </w:tcPr>
          <w:p w14:paraId="5EA1DD1A" w14:textId="77777777" w:rsidR="003C66EB" w:rsidRDefault="003C66EB">
            <w:pPr>
              <w:rPr>
                <w:rFonts w:ascii="宋体"/>
              </w:rPr>
            </w:pPr>
          </w:p>
        </w:tc>
        <w:tc>
          <w:tcPr>
            <w:tcW w:w="0" w:type="auto"/>
            <w:shd w:val="clear" w:color="auto" w:fill="auto"/>
          </w:tcPr>
          <w:p w14:paraId="5EA1DD1B" w14:textId="77777777" w:rsidR="003C66EB" w:rsidRDefault="003C66EB">
            <w:pPr>
              <w:rPr>
                <w:rFonts w:ascii="宋体"/>
              </w:rPr>
            </w:pPr>
          </w:p>
        </w:tc>
        <w:tc>
          <w:tcPr>
            <w:tcW w:w="0" w:type="auto"/>
            <w:shd w:val="clear" w:color="auto" w:fill="auto"/>
          </w:tcPr>
          <w:p w14:paraId="5EA1DD1C" w14:textId="77777777" w:rsidR="003C66EB" w:rsidRDefault="003C66EB">
            <w:pPr>
              <w:rPr>
                <w:rFonts w:ascii="宋体"/>
              </w:rPr>
            </w:pPr>
          </w:p>
        </w:tc>
        <w:tc>
          <w:tcPr>
            <w:tcW w:w="0" w:type="auto"/>
            <w:shd w:val="clear" w:color="auto" w:fill="auto"/>
          </w:tcPr>
          <w:p w14:paraId="5EA1DD1D" w14:textId="77777777" w:rsidR="003C66EB" w:rsidRDefault="003C66EB">
            <w:pPr>
              <w:rPr>
                <w:rFonts w:ascii="宋体"/>
              </w:rPr>
            </w:pPr>
          </w:p>
        </w:tc>
        <w:tc>
          <w:tcPr>
            <w:tcW w:w="0" w:type="auto"/>
            <w:shd w:val="clear" w:color="auto" w:fill="auto"/>
          </w:tcPr>
          <w:p w14:paraId="5EA1DD1E" w14:textId="77777777" w:rsidR="003C66EB" w:rsidRDefault="003C66EB">
            <w:pPr>
              <w:rPr>
                <w:rFonts w:ascii="宋体"/>
              </w:rPr>
            </w:pPr>
          </w:p>
        </w:tc>
        <w:tc>
          <w:tcPr>
            <w:tcW w:w="0" w:type="auto"/>
            <w:shd w:val="clear" w:color="auto" w:fill="auto"/>
          </w:tcPr>
          <w:p w14:paraId="5EA1DD1F" w14:textId="77777777" w:rsidR="003C66EB" w:rsidRDefault="003C66EB">
            <w:pPr>
              <w:rPr>
                <w:rFonts w:ascii="宋体"/>
              </w:rPr>
            </w:pPr>
          </w:p>
        </w:tc>
        <w:tc>
          <w:tcPr>
            <w:tcW w:w="0" w:type="auto"/>
            <w:shd w:val="clear" w:color="auto" w:fill="auto"/>
          </w:tcPr>
          <w:p w14:paraId="5EA1DD20" w14:textId="77777777" w:rsidR="003C66EB" w:rsidRDefault="003C66EB">
            <w:pPr>
              <w:rPr>
                <w:rFonts w:ascii="宋体"/>
              </w:rPr>
            </w:pPr>
          </w:p>
        </w:tc>
        <w:tc>
          <w:tcPr>
            <w:tcW w:w="0" w:type="auto"/>
            <w:shd w:val="clear" w:color="auto" w:fill="auto"/>
          </w:tcPr>
          <w:p w14:paraId="5EA1DD21" w14:textId="77777777" w:rsidR="003C66EB" w:rsidRDefault="003C66EB">
            <w:pPr>
              <w:rPr>
                <w:rFonts w:ascii="宋体"/>
              </w:rPr>
            </w:pPr>
          </w:p>
        </w:tc>
        <w:tc>
          <w:tcPr>
            <w:tcW w:w="0" w:type="auto"/>
            <w:shd w:val="clear" w:color="auto" w:fill="auto"/>
          </w:tcPr>
          <w:p w14:paraId="5EA1DD22" w14:textId="77777777" w:rsidR="003C66EB" w:rsidRDefault="003C66EB">
            <w:pPr>
              <w:rPr>
                <w:rFonts w:ascii="宋体"/>
              </w:rPr>
            </w:pPr>
          </w:p>
        </w:tc>
        <w:tc>
          <w:tcPr>
            <w:tcW w:w="0" w:type="auto"/>
            <w:shd w:val="clear" w:color="auto" w:fill="auto"/>
          </w:tcPr>
          <w:p w14:paraId="5EA1DD23" w14:textId="77777777" w:rsidR="003C66EB" w:rsidRDefault="003C66EB">
            <w:pPr>
              <w:rPr>
                <w:rFonts w:ascii="宋体"/>
              </w:rPr>
            </w:pPr>
          </w:p>
        </w:tc>
        <w:tc>
          <w:tcPr>
            <w:tcW w:w="0" w:type="auto"/>
            <w:shd w:val="clear" w:color="auto" w:fill="auto"/>
          </w:tcPr>
          <w:p w14:paraId="5EA1DD24" w14:textId="77777777" w:rsidR="003C66EB" w:rsidRDefault="003C66EB">
            <w:pPr>
              <w:rPr>
                <w:rFonts w:ascii="宋体"/>
              </w:rPr>
            </w:pPr>
          </w:p>
        </w:tc>
        <w:tc>
          <w:tcPr>
            <w:tcW w:w="0" w:type="auto"/>
            <w:shd w:val="clear" w:color="auto" w:fill="auto"/>
          </w:tcPr>
          <w:p w14:paraId="5EA1DD25" w14:textId="77777777" w:rsidR="003C66EB" w:rsidRDefault="003C66EB">
            <w:pPr>
              <w:rPr>
                <w:rFonts w:ascii="宋体"/>
              </w:rPr>
            </w:pPr>
          </w:p>
        </w:tc>
        <w:tc>
          <w:tcPr>
            <w:tcW w:w="0" w:type="auto"/>
            <w:shd w:val="clear" w:color="auto" w:fill="auto"/>
          </w:tcPr>
          <w:p w14:paraId="5EA1DD26" w14:textId="77777777" w:rsidR="003C66EB" w:rsidRDefault="003C66EB">
            <w:pPr>
              <w:rPr>
                <w:rFonts w:ascii="宋体"/>
              </w:rPr>
            </w:pPr>
          </w:p>
        </w:tc>
        <w:tc>
          <w:tcPr>
            <w:tcW w:w="0" w:type="auto"/>
            <w:shd w:val="clear" w:color="auto" w:fill="auto"/>
          </w:tcPr>
          <w:p w14:paraId="5EA1DD27" w14:textId="77777777" w:rsidR="003C66EB" w:rsidRDefault="003C66EB">
            <w:pPr>
              <w:rPr>
                <w:rFonts w:ascii="宋体"/>
              </w:rPr>
            </w:pPr>
          </w:p>
        </w:tc>
      </w:tr>
      <w:tr w:rsidR="003C66EB" w14:paraId="5EA1DD32" w14:textId="77777777">
        <w:tc>
          <w:tcPr>
            <w:tcW w:w="0" w:type="auto"/>
            <w:gridSpan w:val="3"/>
            <w:shd w:val="clear" w:color="auto" w:fill="auto"/>
            <w:tcMar>
              <w:top w:w="0" w:type="dxa"/>
              <w:left w:w="20" w:type="dxa"/>
              <w:bottom w:w="0" w:type="dxa"/>
              <w:right w:w="20" w:type="dxa"/>
            </w:tcMar>
          </w:tcPr>
          <w:p w14:paraId="5EA1DD29"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1DD2A"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gridSpan w:val="3"/>
            <w:shd w:val="clear" w:color="auto" w:fill="auto"/>
            <w:tcMar>
              <w:top w:w="0" w:type="dxa"/>
              <w:left w:w="20" w:type="dxa"/>
              <w:bottom w:w="0" w:type="dxa"/>
              <w:right w:w="20" w:type="dxa"/>
            </w:tcMar>
          </w:tcPr>
          <w:p w14:paraId="5EA1DD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D2C" w14:textId="77777777" w:rsidR="003C66EB" w:rsidRDefault="003C66EB">
            <w:pPr>
              <w:rPr>
                <w:rFonts w:ascii="宋体"/>
              </w:rPr>
            </w:pPr>
          </w:p>
        </w:tc>
        <w:tc>
          <w:tcPr>
            <w:tcW w:w="0" w:type="auto"/>
            <w:gridSpan w:val="3"/>
            <w:shd w:val="clear" w:color="auto" w:fill="auto"/>
          </w:tcPr>
          <w:p w14:paraId="5EA1DD2D" w14:textId="77777777" w:rsidR="003C66EB" w:rsidRDefault="003C66EB">
            <w:pPr>
              <w:rPr>
                <w:rFonts w:ascii="宋体"/>
                <w:vanish/>
              </w:rPr>
            </w:pPr>
          </w:p>
        </w:tc>
        <w:tc>
          <w:tcPr>
            <w:tcW w:w="0" w:type="auto"/>
            <w:gridSpan w:val="3"/>
            <w:shd w:val="clear" w:color="auto" w:fill="auto"/>
          </w:tcPr>
          <w:p w14:paraId="5EA1DD2E" w14:textId="77777777" w:rsidR="003C66EB" w:rsidRDefault="003C66EB">
            <w:pPr>
              <w:rPr>
                <w:rFonts w:ascii="宋体"/>
                <w:vanish/>
              </w:rPr>
            </w:pPr>
          </w:p>
        </w:tc>
        <w:tc>
          <w:tcPr>
            <w:tcW w:w="0" w:type="auto"/>
            <w:gridSpan w:val="3"/>
            <w:shd w:val="clear" w:color="auto" w:fill="auto"/>
          </w:tcPr>
          <w:p w14:paraId="5EA1DD2F" w14:textId="77777777" w:rsidR="003C66EB" w:rsidRDefault="003C66EB">
            <w:pPr>
              <w:rPr>
                <w:rFonts w:ascii="宋体"/>
                <w:vanish/>
              </w:rPr>
            </w:pPr>
          </w:p>
        </w:tc>
        <w:tc>
          <w:tcPr>
            <w:tcW w:w="0" w:type="auto"/>
            <w:gridSpan w:val="3"/>
            <w:shd w:val="clear" w:color="auto" w:fill="auto"/>
          </w:tcPr>
          <w:p w14:paraId="5EA1DD30" w14:textId="77777777" w:rsidR="003C66EB" w:rsidRDefault="003C66EB">
            <w:pPr>
              <w:rPr>
                <w:rFonts w:ascii="宋体"/>
                <w:vanish/>
              </w:rPr>
            </w:pPr>
          </w:p>
        </w:tc>
        <w:tc>
          <w:tcPr>
            <w:tcW w:w="0" w:type="auto"/>
            <w:gridSpan w:val="3"/>
            <w:shd w:val="clear" w:color="auto" w:fill="auto"/>
          </w:tcPr>
          <w:p w14:paraId="5EA1DD31" w14:textId="77777777" w:rsidR="003C66EB" w:rsidRDefault="003C66EB">
            <w:pPr>
              <w:rPr>
                <w:rFonts w:ascii="宋体"/>
                <w:vanish/>
              </w:rPr>
            </w:pPr>
          </w:p>
        </w:tc>
      </w:tr>
      <w:tr w:rsidR="003C66EB" w14:paraId="5EA1DD3E" w14:textId="77777777">
        <w:tc>
          <w:tcPr>
            <w:tcW w:w="0" w:type="auto"/>
            <w:gridSpan w:val="3"/>
            <w:shd w:val="clear" w:color="auto" w:fill="auto"/>
            <w:tcMar>
              <w:top w:w="40" w:type="dxa"/>
              <w:left w:w="20" w:type="dxa"/>
              <w:bottom w:w="40" w:type="dxa"/>
              <w:right w:w="20" w:type="dxa"/>
            </w:tcMar>
            <w:vAlign w:val="bottom"/>
          </w:tcPr>
          <w:p w14:paraId="5EA1DD33" w14:textId="77777777" w:rsidR="003C66EB" w:rsidRDefault="00D96C4E">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DD34"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DD3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DD36" w14:textId="77777777" w:rsidR="003C66EB" w:rsidRDefault="00D96C4E">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tcPr>
          <w:p w14:paraId="5EA1DD3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DD38" w14:textId="77777777" w:rsidR="003C66EB" w:rsidRDefault="00D96C4E">
            <w:pPr>
              <w:jc w:val="center"/>
              <w:textAlignment w:val="bottom"/>
            </w:pPr>
            <w:r>
              <w:rPr>
                <w:rFonts w:ascii="Arial" w:eastAsia="宋体" w:hAnsi="Arial" w:cs="Arial"/>
                <w:b/>
                <w:bCs/>
                <w:color w:val="000000"/>
                <w:sz w:val="13"/>
                <w:szCs w:val="13"/>
              </w:rPr>
              <w:t>% Change</w:t>
            </w:r>
          </w:p>
        </w:tc>
        <w:tc>
          <w:tcPr>
            <w:tcW w:w="0" w:type="auto"/>
            <w:gridSpan w:val="3"/>
            <w:shd w:val="clear" w:color="auto" w:fill="auto"/>
          </w:tcPr>
          <w:p w14:paraId="5EA1DD39" w14:textId="77777777" w:rsidR="003C66EB" w:rsidRDefault="003C66EB">
            <w:pPr>
              <w:rPr>
                <w:rFonts w:ascii="宋体"/>
                <w:vanish/>
              </w:rPr>
            </w:pPr>
          </w:p>
        </w:tc>
        <w:tc>
          <w:tcPr>
            <w:tcW w:w="0" w:type="auto"/>
            <w:gridSpan w:val="3"/>
            <w:shd w:val="clear" w:color="auto" w:fill="auto"/>
          </w:tcPr>
          <w:p w14:paraId="5EA1DD3A" w14:textId="77777777" w:rsidR="003C66EB" w:rsidRDefault="003C66EB">
            <w:pPr>
              <w:rPr>
                <w:rFonts w:ascii="宋体"/>
                <w:vanish/>
              </w:rPr>
            </w:pPr>
          </w:p>
        </w:tc>
        <w:tc>
          <w:tcPr>
            <w:tcW w:w="0" w:type="auto"/>
            <w:gridSpan w:val="3"/>
            <w:shd w:val="clear" w:color="auto" w:fill="auto"/>
          </w:tcPr>
          <w:p w14:paraId="5EA1DD3B" w14:textId="77777777" w:rsidR="003C66EB" w:rsidRDefault="003C66EB">
            <w:pPr>
              <w:rPr>
                <w:rFonts w:ascii="宋体"/>
                <w:vanish/>
              </w:rPr>
            </w:pPr>
          </w:p>
        </w:tc>
        <w:tc>
          <w:tcPr>
            <w:tcW w:w="0" w:type="auto"/>
            <w:gridSpan w:val="3"/>
            <w:shd w:val="clear" w:color="auto" w:fill="auto"/>
          </w:tcPr>
          <w:p w14:paraId="5EA1DD3C" w14:textId="77777777" w:rsidR="003C66EB" w:rsidRDefault="003C66EB">
            <w:pPr>
              <w:rPr>
                <w:rFonts w:ascii="宋体"/>
                <w:vanish/>
              </w:rPr>
            </w:pPr>
          </w:p>
        </w:tc>
        <w:tc>
          <w:tcPr>
            <w:tcW w:w="0" w:type="auto"/>
            <w:gridSpan w:val="3"/>
            <w:shd w:val="clear" w:color="auto" w:fill="auto"/>
          </w:tcPr>
          <w:p w14:paraId="5EA1DD3D" w14:textId="77777777" w:rsidR="003C66EB" w:rsidRDefault="003C66EB">
            <w:pPr>
              <w:rPr>
                <w:rFonts w:ascii="宋体"/>
                <w:vanish/>
              </w:rPr>
            </w:pPr>
          </w:p>
        </w:tc>
      </w:tr>
      <w:tr w:rsidR="003C66EB" w14:paraId="5EA1DD4F" w14:textId="77777777">
        <w:tc>
          <w:tcPr>
            <w:tcW w:w="0" w:type="auto"/>
            <w:gridSpan w:val="3"/>
            <w:shd w:val="clear" w:color="auto" w:fill="CCEEFF"/>
            <w:tcMar>
              <w:top w:w="40" w:type="dxa"/>
              <w:left w:w="20" w:type="dxa"/>
              <w:bottom w:w="40" w:type="dxa"/>
              <w:right w:w="20" w:type="dxa"/>
            </w:tcMar>
            <w:vAlign w:val="bottom"/>
          </w:tcPr>
          <w:p w14:paraId="5EA1DD3F" w14:textId="77777777" w:rsidR="003C66EB" w:rsidRDefault="00D96C4E">
            <w:pPr>
              <w:textAlignment w:val="bottom"/>
            </w:pPr>
            <w:r>
              <w:rPr>
                <w:rFonts w:ascii="Arial" w:eastAsia="宋体" w:hAnsi="Arial" w:cs="Arial"/>
                <w:color w:val="000000"/>
                <w:sz w:val="13"/>
                <w:szCs w:val="13"/>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DD40"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DD41" w14:textId="77777777" w:rsidR="003C66EB" w:rsidRDefault="00D96C4E">
            <w:pPr>
              <w:jc w:val="right"/>
              <w:textAlignment w:val="bottom"/>
            </w:pPr>
            <w:r>
              <w:rPr>
                <w:rFonts w:ascii="Arial" w:eastAsia="宋体" w:hAnsi="Arial" w:cs="Arial"/>
                <w:b/>
                <w:bCs/>
                <w:color w:val="000000"/>
                <w:sz w:val="13"/>
                <w:szCs w:val="13"/>
              </w:rPr>
              <w:t>2,483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4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DD44"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DD45" w14:textId="77777777" w:rsidR="003C66EB" w:rsidRDefault="00D96C4E">
            <w:pPr>
              <w:jc w:val="right"/>
              <w:textAlignment w:val="bottom"/>
            </w:pPr>
            <w:r>
              <w:rPr>
                <w:rFonts w:ascii="Arial" w:eastAsia="宋体" w:hAnsi="Arial" w:cs="Arial"/>
                <w:color w:val="000000"/>
                <w:sz w:val="13"/>
                <w:szCs w:val="13"/>
              </w:rPr>
              <w:t>2,399 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4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4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DD48" w14:textId="77777777" w:rsidR="003C66EB" w:rsidRDefault="00D96C4E">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49" w14:textId="77777777" w:rsidR="003C66EB" w:rsidRDefault="00D96C4E">
            <w:pPr>
              <w:jc w:val="right"/>
              <w:textAlignment w:val="bottom"/>
            </w:pPr>
            <w:r>
              <w:rPr>
                <w:rFonts w:ascii="Arial" w:eastAsia="宋体" w:hAnsi="Arial" w:cs="Arial"/>
                <w:color w:val="000000"/>
                <w:sz w:val="13"/>
                <w:szCs w:val="13"/>
              </w:rPr>
              <w:t>%</w:t>
            </w:r>
          </w:p>
        </w:tc>
        <w:tc>
          <w:tcPr>
            <w:tcW w:w="0" w:type="auto"/>
            <w:gridSpan w:val="3"/>
            <w:shd w:val="clear" w:color="auto" w:fill="auto"/>
          </w:tcPr>
          <w:p w14:paraId="5EA1DD4A" w14:textId="77777777" w:rsidR="003C66EB" w:rsidRDefault="003C66EB">
            <w:pPr>
              <w:rPr>
                <w:rFonts w:ascii="宋体"/>
                <w:vanish/>
              </w:rPr>
            </w:pPr>
          </w:p>
        </w:tc>
        <w:tc>
          <w:tcPr>
            <w:tcW w:w="0" w:type="auto"/>
            <w:gridSpan w:val="3"/>
            <w:shd w:val="clear" w:color="auto" w:fill="auto"/>
          </w:tcPr>
          <w:p w14:paraId="5EA1DD4B" w14:textId="77777777" w:rsidR="003C66EB" w:rsidRDefault="003C66EB">
            <w:pPr>
              <w:rPr>
                <w:rFonts w:ascii="宋体"/>
                <w:vanish/>
              </w:rPr>
            </w:pPr>
          </w:p>
        </w:tc>
        <w:tc>
          <w:tcPr>
            <w:tcW w:w="0" w:type="auto"/>
            <w:gridSpan w:val="3"/>
            <w:shd w:val="clear" w:color="auto" w:fill="auto"/>
          </w:tcPr>
          <w:p w14:paraId="5EA1DD4C" w14:textId="77777777" w:rsidR="003C66EB" w:rsidRDefault="003C66EB">
            <w:pPr>
              <w:rPr>
                <w:rFonts w:ascii="宋体"/>
                <w:vanish/>
              </w:rPr>
            </w:pPr>
          </w:p>
        </w:tc>
        <w:tc>
          <w:tcPr>
            <w:tcW w:w="0" w:type="auto"/>
            <w:gridSpan w:val="3"/>
            <w:shd w:val="clear" w:color="auto" w:fill="auto"/>
          </w:tcPr>
          <w:p w14:paraId="5EA1DD4D" w14:textId="77777777" w:rsidR="003C66EB" w:rsidRDefault="003C66EB">
            <w:pPr>
              <w:rPr>
                <w:rFonts w:ascii="宋体"/>
                <w:vanish/>
              </w:rPr>
            </w:pPr>
          </w:p>
        </w:tc>
        <w:tc>
          <w:tcPr>
            <w:tcW w:w="0" w:type="auto"/>
            <w:gridSpan w:val="3"/>
            <w:shd w:val="clear" w:color="auto" w:fill="auto"/>
          </w:tcPr>
          <w:p w14:paraId="5EA1DD4E" w14:textId="77777777" w:rsidR="003C66EB" w:rsidRDefault="003C66EB">
            <w:pPr>
              <w:rPr>
                <w:rFonts w:ascii="宋体"/>
                <w:vanish/>
              </w:rPr>
            </w:pPr>
          </w:p>
        </w:tc>
      </w:tr>
      <w:tr w:rsidR="003C66EB" w14:paraId="5EA1DD5D" w14:textId="77777777">
        <w:tc>
          <w:tcPr>
            <w:tcW w:w="0" w:type="auto"/>
            <w:gridSpan w:val="3"/>
            <w:shd w:val="clear" w:color="auto" w:fill="FFFFFF"/>
            <w:tcMar>
              <w:top w:w="40" w:type="dxa"/>
              <w:left w:w="20" w:type="dxa"/>
              <w:bottom w:w="40" w:type="dxa"/>
              <w:right w:w="20" w:type="dxa"/>
            </w:tcMar>
            <w:vAlign w:val="bottom"/>
          </w:tcPr>
          <w:p w14:paraId="5EA1DD50" w14:textId="77777777" w:rsidR="003C66EB" w:rsidRDefault="00D96C4E">
            <w:pPr>
              <w:textAlignment w:val="bottom"/>
            </w:pPr>
            <w:r>
              <w:rPr>
                <w:rFonts w:ascii="Arial" w:eastAsia="宋体" w:hAnsi="Arial" w:cs="Arial"/>
                <w:color w:val="000000"/>
                <w:sz w:val="13"/>
                <w:szCs w:val="13"/>
              </w:rPr>
              <w:t>Net interest income</w:t>
            </w:r>
          </w:p>
        </w:tc>
        <w:tc>
          <w:tcPr>
            <w:tcW w:w="0" w:type="auto"/>
            <w:gridSpan w:val="2"/>
            <w:shd w:val="clear" w:color="auto" w:fill="FFFFFF"/>
            <w:tcMar>
              <w:top w:w="40" w:type="dxa"/>
              <w:left w:w="20" w:type="dxa"/>
              <w:bottom w:w="40" w:type="dxa"/>
              <w:right w:w="0" w:type="dxa"/>
            </w:tcMar>
            <w:vAlign w:val="bottom"/>
          </w:tcPr>
          <w:p w14:paraId="5EA1DD51" w14:textId="77777777" w:rsidR="003C66EB" w:rsidRDefault="00D96C4E">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D5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5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D54" w14:textId="77777777" w:rsidR="003C66EB" w:rsidRDefault="00D96C4E">
            <w:pPr>
              <w:jc w:val="right"/>
              <w:textAlignment w:val="bottom"/>
            </w:pPr>
            <w:r>
              <w:rPr>
                <w:rFonts w:ascii="Arial" w:eastAsia="宋体" w:hAnsi="Arial" w:cs="Arial"/>
                <w:color w:val="000000"/>
                <w:sz w:val="13"/>
                <w:szCs w:val="13"/>
              </w:rPr>
              <w:t>664 </w:t>
            </w:r>
          </w:p>
        </w:tc>
        <w:tc>
          <w:tcPr>
            <w:tcW w:w="0" w:type="auto"/>
            <w:shd w:val="clear" w:color="auto" w:fill="FFFFFF"/>
            <w:tcMar>
              <w:top w:w="40" w:type="dxa"/>
              <w:left w:w="0" w:type="dxa"/>
              <w:bottom w:w="40" w:type="dxa"/>
              <w:right w:w="20" w:type="dxa"/>
            </w:tcMar>
            <w:vAlign w:val="bottom"/>
          </w:tcPr>
          <w:p w14:paraId="5EA1DD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56" w14:textId="77777777" w:rsidR="003C66EB" w:rsidRDefault="003C66EB">
            <w:pPr>
              <w:rPr>
                <w:rFonts w:ascii="宋体"/>
              </w:rPr>
            </w:pPr>
          </w:p>
        </w:tc>
        <w:tc>
          <w:tcPr>
            <w:tcW w:w="0" w:type="auto"/>
            <w:gridSpan w:val="3"/>
            <w:shd w:val="clear" w:color="auto" w:fill="FFFFFF"/>
            <w:tcMar>
              <w:top w:w="40" w:type="dxa"/>
              <w:left w:w="20" w:type="dxa"/>
              <w:bottom w:w="40" w:type="dxa"/>
              <w:right w:w="140" w:type="dxa"/>
            </w:tcMar>
            <w:vAlign w:val="bottom"/>
          </w:tcPr>
          <w:p w14:paraId="5EA1DD57" w14:textId="77777777" w:rsidR="003C66EB" w:rsidRDefault="00D96C4E">
            <w:pPr>
              <w:jc w:val="right"/>
              <w:textAlignment w:val="bottom"/>
            </w:pPr>
            <w:r>
              <w:rPr>
                <w:rFonts w:ascii="Arial" w:eastAsia="宋体" w:hAnsi="Arial" w:cs="Arial"/>
                <w:color w:val="000000"/>
                <w:sz w:val="13"/>
                <w:szCs w:val="13"/>
              </w:rPr>
              <w:t>(30)</w:t>
            </w:r>
          </w:p>
        </w:tc>
        <w:tc>
          <w:tcPr>
            <w:tcW w:w="0" w:type="auto"/>
            <w:gridSpan w:val="3"/>
            <w:shd w:val="clear" w:color="auto" w:fill="auto"/>
          </w:tcPr>
          <w:p w14:paraId="5EA1DD58" w14:textId="77777777" w:rsidR="003C66EB" w:rsidRDefault="003C66EB">
            <w:pPr>
              <w:rPr>
                <w:rFonts w:ascii="宋体"/>
                <w:vanish/>
              </w:rPr>
            </w:pPr>
          </w:p>
        </w:tc>
        <w:tc>
          <w:tcPr>
            <w:tcW w:w="0" w:type="auto"/>
            <w:gridSpan w:val="3"/>
            <w:shd w:val="clear" w:color="auto" w:fill="auto"/>
          </w:tcPr>
          <w:p w14:paraId="5EA1DD59" w14:textId="77777777" w:rsidR="003C66EB" w:rsidRDefault="003C66EB">
            <w:pPr>
              <w:rPr>
                <w:rFonts w:ascii="宋体"/>
                <w:vanish/>
              </w:rPr>
            </w:pPr>
          </w:p>
        </w:tc>
        <w:tc>
          <w:tcPr>
            <w:tcW w:w="0" w:type="auto"/>
            <w:gridSpan w:val="3"/>
            <w:shd w:val="clear" w:color="auto" w:fill="auto"/>
          </w:tcPr>
          <w:p w14:paraId="5EA1DD5A" w14:textId="77777777" w:rsidR="003C66EB" w:rsidRDefault="003C66EB">
            <w:pPr>
              <w:rPr>
                <w:rFonts w:ascii="宋体"/>
                <w:vanish/>
              </w:rPr>
            </w:pPr>
          </w:p>
        </w:tc>
        <w:tc>
          <w:tcPr>
            <w:tcW w:w="0" w:type="auto"/>
            <w:gridSpan w:val="3"/>
            <w:shd w:val="clear" w:color="auto" w:fill="auto"/>
          </w:tcPr>
          <w:p w14:paraId="5EA1DD5B" w14:textId="77777777" w:rsidR="003C66EB" w:rsidRDefault="003C66EB">
            <w:pPr>
              <w:rPr>
                <w:rFonts w:ascii="宋体"/>
                <w:vanish/>
              </w:rPr>
            </w:pPr>
          </w:p>
        </w:tc>
        <w:tc>
          <w:tcPr>
            <w:tcW w:w="0" w:type="auto"/>
            <w:gridSpan w:val="3"/>
            <w:shd w:val="clear" w:color="auto" w:fill="auto"/>
          </w:tcPr>
          <w:p w14:paraId="5EA1DD5C" w14:textId="77777777" w:rsidR="003C66EB" w:rsidRDefault="003C66EB">
            <w:pPr>
              <w:rPr>
                <w:rFonts w:ascii="宋体"/>
                <w:vanish/>
              </w:rPr>
            </w:pPr>
          </w:p>
        </w:tc>
      </w:tr>
      <w:tr w:rsidR="003C66EB" w14:paraId="5EA1DD6B" w14:textId="77777777">
        <w:tc>
          <w:tcPr>
            <w:tcW w:w="0" w:type="auto"/>
            <w:gridSpan w:val="3"/>
            <w:shd w:val="clear" w:color="auto" w:fill="CCEEFF"/>
            <w:tcMar>
              <w:top w:w="40" w:type="dxa"/>
              <w:left w:w="20" w:type="dxa"/>
              <w:bottom w:w="40" w:type="dxa"/>
              <w:right w:w="20" w:type="dxa"/>
            </w:tcMar>
            <w:vAlign w:val="bottom"/>
          </w:tcPr>
          <w:p w14:paraId="5EA1DD5E" w14:textId="77777777" w:rsidR="003C66EB" w:rsidRDefault="00D96C4E">
            <w:pPr>
              <w:textAlignment w:val="bottom"/>
            </w:pPr>
            <w:r>
              <w:rPr>
                <w:rFonts w:ascii="Arial" w:eastAsia="宋体" w:hAnsi="Arial" w:cs="Arial"/>
                <w:color w:val="000000"/>
                <w:sz w:val="13"/>
                <w:szCs w:val="13"/>
              </w:rPr>
              <w:t>Total other income</w:t>
            </w:r>
          </w:p>
        </w:tc>
        <w:tc>
          <w:tcPr>
            <w:tcW w:w="0" w:type="auto"/>
            <w:gridSpan w:val="2"/>
            <w:shd w:val="clear" w:color="auto" w:fill="CCEEFF"/>
            <w:tcMar>
              <w:top w:w="40" w:type="dxa"/>
              <w:left w:w="20" w:type="dxa"/>
              <w:bottom w:w="40" w:type="dxa"/>
              <w:right w:w="0" w:type="dxa"/>
            </w:tcMar>
            <w:vAlign w:val="bottom"/>
          </w:tcPr>
          <w:p w14:paraId="5EA1DD5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DD6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6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D62" w14:textId="77777777" w:rsidR="003C66EB" w:rsidRDefault="00D96C4E">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5EA1DD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64"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1DD65" w14:textId="77777777" w:rsidR="003C66EB" w:rsidRDefault="00D96C4E">
            <w:pPr>
              <w:jc w:val="right"/>
              <w:textAlignment w:val="bottom"/>
            </w:pPr>
            <w:r>
              <w:rPr>
                <w:rFonts w:ascii="Arial" w:eastAsia="宋体" w:hAnsi="Arial" w:cs="Arial"/>
                <w:color w:val="000000"/>
                <w:sz w:val="13"/>
                <w:szCs w:val="13"/>
              </w:rPr>
              <w:t>nm</w:t>
            </w:r>
          </w:p>
        </w:tc>
        <w:tc>
          <w:tcPr>
            <w:tcW w:w="0" w:type="auto"/>
            <w:gridSpan w:val="3"/>
            <w:shd w:val="clear" w:color="auto" w:fill="auto"/>
          </w:tcPr>
          <w:p w14:paraId="5EA1DD66" w14:textId="77777777" w:rsidR="003C66EB" w:rsidRDefault="003C66EB">
            <w:pPr>
              <w:rPr>
                <w:rFonts w:ascii="宋体"/>
                <w:vanish/>
              </w:rPr>
            </w:pPr>
          </w:p>
        </w:tc>
        <w:tc>
          <w:tcPr>
            <w:tcW w:w="0" w:type="auto"/>
            <w:gridSpan w:val="3"/>
            <w:shd w:val="clear" w:color="auto" w:fill="auto"/>
          </w:tcPr>
          <w:p w14:paraId="5EA1DD67" w14:textId="77777777" w:rsidR="003C66EB" w:rsidRDefault="003C66EB">
            <w:pPr>
              <w:rPr>
                <w:rFonts w:ascii="宋体"/>
                <w:vanish/>
              </w:rPr>
            </w:pPr>
          </w:p>
        </w:tc>
        <w:tc>
          <w:tcPr>
            <w:tcW w:w="0" w:type="auto"/>
            <w:gridSpan w:val="3"/>
            <w:shd w:val="clear" w:color="auto" w:fill="auto"/>
          </w:tcPr>
          <w:p w14:paraId="5EA1DD68" w14:textId="77777777" w:rsidR="003C66EB" w:rsidRDefault="003C66EB">
            <w:pPr>
              <w:rPr>
                <w:rFonts w:ascii="宋体"/>
                <w:vanish/>
              </w:rPr>
            </w:pPr>
          </w:p>
        </w:tc>
        <w:tc>
          <w:tcPr>
            <w:tcW w:w="0" w:type="auto"/>
            <w:gridSpan w:val="3"/>
            <w:shd w:val="clear" w:color="auto" w:fill="auto"/>
          </w:tcPr>
          <w:p w14:paraId="5EA1DD69" w14:textId="77777777" w:rsidR="003C66EB" w:rsidRDefault="003C66EB">
            <w:pPr>
              <w:rPr>
                <w:rFonts w:ascii="宋体"/>
                <w:vanish/>
              </w:rPr>
            </w:pPr>
          </w:p>
        </w:tc>
        <w:tc>
          <w:tcPr>
            <w:tcW w:w="0" w:type="auto"/>
            <w:gridSpan w:val="3"/>
            <w:shd w:val="clear" w:color="auto" w:fill="auto"/>
          </w:tcPr>
          <w:p w14:paraId="5EA1DD6A" w14:textId="77777777" w:rsidR="003C66EB" w:rsidRDefault="003C66EB">
            <w:pPr>
              <w:rPr>
                <w:rFonts w:ascii="宋体"/>
                <w:vanish/>
              </w:rPr>
            </w:pPr>
          </w:p>
        </w:tc>
      </w:tr>
      <w:tr w:rsidR="003C66EB" w14:paraId="5EA1DD7A" w14:textId="77777777">
        <w:tc>
          <w:tcPr>
            <w:tcW w:w="0" w:type="auto"/>
            <w:gridSpan w:val="3"/>
            <w:shd w:val="clear" w:color="auto" w:fill="FFFFFF"/>
            <w:tcMar>
              <w:top w:w="40" w:type="dxa"/>
              <w:left w:w="20" w:type="dxa"/>
              <w:bottom w:w="40" w:type="dxa"/>
              <w:right w:w="20" w:type="dxa"/>
            </w:tcMar>
            <w:vAlign w:val="bottom"/>
          </w:tcPr>
          <w:p w14:paraId="5EA1DD6C" w14:textId="77777777" w:rsidR="003C66EB" w:rsidRDefault="00D96C4E">
            <w:pPr>
              <w:textAlignment w:val="bottom"/>
            </w:pPr>
            <w:r>
              <w:rPr>
                <w:rFonts w:ascii="Arial" w:eastAsia="宋体" w:hAnsi="Arial" w:cs="Arial"/>
                <w:color w:val="000000"/>
                <w:sz w:val="13"/>
                <w:szCs w:val="13"/>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DD6D" w14:textId="77777777" w:rsidR="003C66EB" w:rsidRDefault="00D96C4E">
            <w:pPr>
              <w:jc w:val="right"/>
              <w:textAlignment w:val="bottom"/>
            </w:pPr>
            <w:r>
              <w:rPr>
                <w:rFonts w:ascii="Arial" w:eastAsia="宋体" w:hAnsi="Arial" w:cs="Arial"/>
                <w:b/>
                <w:bCs/>
                <w:color w:val="000000"/>
                <w:sz w:val="13"/>
                <w:szCs w:val="13"/>
              </w:rPr>
              <w:t>2,950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DD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6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DD70" w14:textId="77777777" w:rsidR="003C66EB" w:rsidRDefault="00D96C4E">
            <w:pPr>
              <w:jc w:val="right"/>
              <w:textAlignment w:val="bottom"/>
            </w:pPr>
            <w:r>
              <w:rPr>
                <w:rFonts w:ascii="Arial" w:eastAsia="宋体" w:hAnsi="Arial" w:cs="Arial"/>
                <w:color w:val="000000"/>
                <w:sz w:val="13"/>
                <w:szCs w:val="13"/>
              </w:rPr>
              <w:t>3,065 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DD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7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DD73" w14:textId="77777777" w:rsidR="003C66EB" w:rsidRDefault="00D96C4E">
            <w:pPr>
              <w:jc w:val="right"/>
              <w:textAlignment w:val="bottom"/>
            </w:pPr>
            <w:r>
              <w:rPr>
                <w:rFonts w:ascii="Arial" w:eastAsia="宋体" w:hAnsi="Arial" w:cs="Arial"/>
                <w:color w:val="000000"/>
                <w:sz w:val="13"/>
                <w:szCs w:val="13"/>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DD74" w14:textId="77777777" w:rsidR="003C66EB" w:rsidRDefault="003C66EB">
            <w:pPr>
              <w:jc w:val="right"/>
              <w:rPr>
                <w:rFonts w:ascii="宋体"/>
              </w:rPr>
            </w:pPr>
          </w:p>
        </w:tc>
        <w:tc>
          <w:tcPr>
            <w:tcW w:w="0" w:type="auto"/>
            <w:gridSpan w:val="3"/>
            <w:shd w:val="clear" w:color="auto" w:fill="auto"/>
          </w:tcPr>
          <w:p w14:paraId="5EA1DD75" w14:textId="77777777" w:rsidR="003C66EB" w:rsidRDefault="003C66EB">
            <w:pPr>
              <w:rPr>
                <w:rFonts w:ascii="宋体"/>
                <w:vanish/>
              </w:rPr>
            </w:pPr>
          </w:p>
        </w:tc>
        <w:tc>
          <w:tcPr>
            <w:tcW w:w="0" w:type="auto"/>
            <w:gridSpan w:val="3"/>
            <w:shd w:val="clear" w:color="auto" w:fill="auto"/>
          </w:tcPr>
          <w:p w14:paraId="5EA1DD76" w14:textId="77777777" w:rsidR="003C66EB" w:rsidRDefault="003C66EB">
            <w:pPr>
              <w:rPr>
                <w:rFonts w:ascii="宋体"/>
                <w:vanish/>
              </w:rPr>
            </w:pPr>
          </w:p>
        </w:tc>
        <w:tc>
          <w:tcPr>
            <w:tcW w:w="0" w:type="auto"/>
            <w:gridSpan w:val="3"/>
            <w:shd w:val="clear" w:color="auto" w:fill="auto"/>
          </w:tcPr>
          <w:p w14:paraId="5EA1DD77" w14:textId="77777777" w:rsidR="003C66EB" w:rsidRDefault="003C66EB">
            <w:pPr>
              <w:rPr>
                <w:rFonts w:ascii="宋体"/>
                <w:vanish/>
              </w:rPr>
            </w:pPr>
          </w:p>
        </w:tc>
        <w:tc>
          <w:tcPr>
            <w:tcW w:w="0" w:type="auto"/>
            <w:gridSpan w:val="3"/>
            <w:shd w:val="clear" w:color="auto" w:fill="auto"/>
          </w:tcPr>
          <w:p w14:paraId="5EA1DD78" w14:textId="77777777" w:rsidR="003C66EB" w:rsidRDefault="003C66EB">
            <w:pPr>
              <w:rPr>
                <w:rFonts w:ascii="宋体"/>
                <w:vanish/>
              </w:rPr>
            </w:pPr>
          </w:p>
        </w:tc>
        <w:tc>
          <w:tcPr>
            <w:tcW w:w="0" w:type="auto"/>
            <w:gridSpan w:val="3"/>
            <w:shd w:val="clear" w:color="auto" w:fill="auto"/>
          </w:tcPr>
          <w:p w14:paraId="5EA1DD79" w14:textId="77777777" w:rsidR="003C66EB" w:rsidRDefault="003C66EB">
            <w:pPr>
              <w:rPr>
                <w:rFonts w:ascii="宋体"/>
                <w:vanish/>
              </w:rPr>
            </w:pPr>
          </w:p>
        </w:tc>
      </w:tr>
      <w:tr w:rsidR="003C66EB" w14:paraId="5EA1DD89" w14:textId="77777777">
        <w:tc>
          <w:tcPr>
            <w:tcW w:w="0" w:type="auto"/>
            <w:gridSpan w:val="3"/>
            <w:shd w:val="clear" w:color="auto" w:fill="CCEEFF"/>
            <w:tcMar>
              <w:top w:w="40" w:type="dxa"/>
              <w:left w:w="20" w:type="dxa"/>
              <w:bottom w:w="40" w:type="dxa"/>
              <w:right w:w="20" w:type="dxa"/>
            </w:tcMar>
            <w:vAlign w:val="bottom"/>
          </w:tcPr>
          <w:p w14:paraId="5EA1DD7B" w14:textId="77777777" w:rsidR="003C66EB" w:rsidRDefault="00D96C4E">
            <w:pPr>
              <w:textAlignment w:val="bottom"/>
            </w:pPr>
            <w:r>
              <w:rPr>
                <w:rFonts w:ascii="Arial" w:eastAsia="宋体" w:hAnsi="Arial" w:cs="Arial"/>
                <w:color w:val="000000"/>
                <w:sz w:val="13"/>
                <w:szCs w:val="13"/>
              </w:rPr>
              <w:t>Provision for credit losses</w:t>
            </w:r>
          </w:p>
        </w:tc>
        <w:tc>
          <w:tcPr>
            <w:tcW w:w="0" w:type="auto"/>
            <w:gridSpan w:val="2"/>
            <w:shd w:val="clear" w:color="auto" w:fill="CCEEFF"/>
            <w:tcMar>
              <w:top w:w="40" w:type="dxa"/>
              <w:left w:w="20" w:type="dxa"/>
              <w:bottom w:w="40" w:type="dxa"/>
              <w:right w:w="0" w:type="dxa"/>
            </w:tcMar>
            <w:vAlign w:val="bottom"/>
          </w:tcPr>
          <w:p w14:paraId="5EA1DD7C" w14:textId="77777777" w:rsidR="003C66EB" w:rsidRDefault="00D96C4E">
            <w:pPr>
              <w:jc w:val="right"/>
              <w:textAlignment w:val="bottom"/>
            </w:pPr>
            <w:r>
              <w:rPr>
                <w:rFonts w:ascii="Arial" w:eastAsia="宋体" w:hAnsi="Arial" w:cs="Arial"/>
                <w:b/>
                <w:bCs/>
                <w:color w:val="000000"/>
                <w:sz w:val="13"/>
                <w:szCs w:val="13"/>
              </w:rPr>
              <w:t>(9)</w:t>
            </w:r>
          </w:p>
        </w:tc>
        <w:tc>
          <w:tcPr>
            <w:tcW w:w="0" w:type="auto"/>
            <w:shd w:val="clear" w:color="auto" w:fill="CCEEFF"/>
            <w:tcMar>
              <w:top w:w="40" w:type="dxa"/>
              <w:left w:w="0" w:type="dxa"/>
              <w:bottom w:w="40" w:type="dxa"/>
              <w:right w:w="20" w:type="dxa"/>
            </w:tcMar>
            <w:vAlign w:val="bottom"/>
          </w:tcPr>
          <w:p w14:paraId="5EA1DD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7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D7F" w14:textId="77777777" w:rsidR="003C66EB" w:rsidRDefault="00D96C4E">
            <w:pPr>
              <w:jc w:val="right"/>
              <w:textAlignment w:val="bottom"/>
            </w:pPr>
            <w:r>
              <w:rPr>
                <w:rFonts w:ascii="Arial" w:eastAsia="宋体" w:hAnsi="Arial" w:cs="Arial"/>
                <w:color w:val="000000"/>
                <w:sz w:val="13"/>
                <w:szCs w:val="13"/>
              </w:rPr>
              <w:t>36 </w:t>
            </w:r>
          </w:p>
        </w:tc>
        <w:tc>
          <w:tcPr>
            <w:tcW w:w="0" w:type="auto"/>
            <w:shd w:val="clear" w:color="auto" w:fill="CCEEFF"/>
            <w:tcMar>
              <w:top w:w="40" w:type="dxa"/>
              <w:left w:w="0" w:type="dxa"/>
              <w:bottom w:w="40" w:type="dxa"/>
              <w:right w:w="20" w:type="dxa"/>
            </w:tcMar>
            <w:vAlign w:val="bottom"/>
          </w:tcPr>
          <w:p w14:paraId="5EA1DD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D82" w14:textId="77777777" w:rsidR="003C66EB" w:rsidRDefault="00D96C4E">
            <w:pPr>
              <w:jc w:val="right"/>
              <w:textAlignment w:val="bottom"/>
            </w:pPr>
            <w:r>
              <w:rPr>
                <w:rFonts w:ascii="Arial" w:eastAsia="宋体" w:hAnsi="Arial" w:cs="Arial"/>
                <w:color w:val="000000"/>
                <w:sz w:val="13"/>
                <w:szCs w:val="13"/>
              </w:rPr>
              <w:t>(125)</w:t>
            </w:r>
          </w:p>
        </w:tc>
        <w:tc>
          <w:tcPr>
            <w:tcW w:w="0" w:type="auto"/>
            <w:shd w:val="clear" w:color="auto" w:fill="CCEEFF"/>
            <w:tcMar>
              <w:top w:w="40" w:type="dxa"/>
              <w:left w:w="0" w:type="dxa"/>
              <w:bottom w:w="40" w:type="dxa"/>
              <w:right w:w="20" w:type="dxa"/>
            </w:tcMar>
            <w:vAlign w:val="bottom"/>
          </w:tcPr>
          <w:p w14:paraId="5EA1DD83" w14:textId="77777777" w:rsidR="003C66EB" w:rsidRDefault="003C66EB">
            <w:pPr>
              <w:jc w:val="right"/>
              <w:rPr>
                <w:rFonts w:ascii="宋体"/>
              </w:rPr>
            </w:pPr>
          </w:p>
        </w:tc>
        <w:tc>
          <w:tcPr>
            <w:tcW w:w="0" w:type="auto"/>
            <w:gridSpan w:val="3"/>
            <w:shd w:val="clear" w:color="auto" w:fill="auto"/>
          </w:tcPr>
          <w:p w14:paraId="5EA1DD84" w14:textId="77777777" w:rsidR="003C66EB" w:rsidRDefault="003C66EB">
            <w:pPr>
              <w:rPr>
                <w:rFonts w:ascii="宋体"/>
                <w:vanish/>
              </w:rPr>
            </w:pPr>
          </w:p>
        </w:tc>
        <w:tc>
          <w:tcPr>
            <w:tcW w:w="0" w:type="auto"/>
            <w:gridSpan w:val="3"/>
            <w:shd w:val="clear" w:color="auto" w:fill="auto"/>
          </w:tcPr>
          <w:p w14:paraId="5EA1DD85" w14:textId="77777777" w:rsidR="003C66EB" w:rsidRDefault="003C66EB">
            <w:pPr>
              <w:rPr>
                <w:rFonts w:ascii="宋体"/>
                <w:vanish/>
              </w:rPr>
            </w:pPr>
          </w:p>
        </w:tc>
        <w:tc>
          <w:tcPr>
            <w:tcW w:w="0" w:type="auto"/>
            <w:gridSpan w:val="3"/>
            <w:shd w:val="clear" w:color="auto" w:fill="auto"/>
          </w:tcPr>
          <w:p w14:paraId="5EA1DD86" w14:textId="77777777" w:rsidR="003C66EB" w:rsidRDefault="003C66EB">
            <w:pPr>
              <w:rPr>
                <w:rFonts w:ascii="宋体"/>
                <w:vanish/>
              </w:rPr>
            </w:pPr>
          </w:p>
        </w:tc>
        <w:tc>
          <w:tcPr>
            <w:tcW w:w="0" w:type="auto"/>
            <w:gridSpan w:val="3"/>
            <w:shd w:val="clear" w:color="auto" w:fill="auto"/>
          </w:tcPr>
          <w:p w14:paraId="5EA1DD87" w14:textId="77777777" w:rsidR="003C66EB" w:rsidRDefault="003C66EB">
            <w:pPr>
              <w:rPr>
                <w:rFonts w:ascii="宋体"/>
                <w:vanish/>
              </w:rPr>
            </w:pPr>
          </w:p>
        </w:tc>
        <w:tc>
          <w:tcPr>
            <w:tcW w:w="0" w:type="auto"/>
            <w:gridSpan w:val="3"/>
            <w:shd w:val="clear" w:color="auto" w:fill="auto"/>
          </w:tcPr>
          <w:p w14:paraId="5EA1DD88" w14:textId="77777777" w:rsidR="003C66EB" w:rsidRDefault="003C66EB">
            <w:pPr>
              <w:rPr>
                <w:rFonts w:ascii="宋体"/>
                <w:vanish/>
              </w:rPr>
            </w:pPr>
          </w:p>
        </w:tc>
      </w:tr>
      <w:tr w:rsidR="003C66EB" w14:paraId="5EA1DD98" w14:textId="77777777">
        <w:tc>
          <w:tcPr>
            <w:tcW w:w="0" w:type="auto"/>
            <w:gridSpan w:val="3"/>
            <w:shd w:val="clear" w:color="auto" w:fill="FFFFFF"/>
            <w:tcMar>
              <w:top w:w="40" w:type="dxa"/>
              <w:left w:w="20" w:type="dxa"/>
              <w:bottom w:w="40" w:type="dxa"/>
              <w:right w:w="20" w:type="dxa"/>
            </w:tcMar>
            <w:vAlign w:val="bottom"/>
          </w:tcPr>
          <w:p w14:paraId="5EA1DD8A" w14:textId="77777777" w:rsidR="003C66EB" w:rsidRDefault="00D96C4E">
            <w:pPr>
              <w:textAlignment w:val="bottom"/>
            </w:pPr>
            <w:r>
              <w:rPr>
                <w:rFonts w:ascii="Arial" w:eastAsia="宋体" w:hAnsi="Arial" w:cs="Arial"/>
                <w:color w:val="000000"/>
                <w:sz w:val="13"/>
                <w:szCs w:val="13"/>
              </w:rPr>
              <w:t>Total</w:t>
            </w:r>
            <w:r>
              <w:rPr>
                <w:rFonts w:ascii="Arial" w:eastAsia="宋体" w:hAnsi="Arial" w:cs="Arial"/>
                <w:color w:val="000000"/>
                <w:sz w:val="13"/>
                <w:szCs w:val="13"/>
              </w:rPr>
              <w:t xml:space="preserve"> expenses</w:t>
            </w:r>
          </w:p>
        </w:tc>
        <w:tc>
          <w:tcPr>
            <w:tcW w:w="0" w:type="auto"/>
            <w:gridSpan w:val="2"/>
            <w:shd w:val="clear" w:color="auto" w:fill="FFFFFF"/>
            <w:tcMar>
              <w:top w:w="40" w:type="dxa"/>
              <w:left w:w="20" w:type="dxa"/>
              <w:bottom w:w="40" w:type="dxa"/>
              <w:right w:w="0" w:type="dxa"/>
            </w:tcMar>
            <w:vAlign w:val="bottom"/>
          </w:tcPr>
          <w:p w14:paraId="5EA1DD8B" w14:textId="77777777" w:rsidR="003C66EB" w:rsidRDefault="00D96C4E">
            <w:pPr>
              <w:jc w:val="right"/>
              <w:textAlignment w:val="bottom"/>
            </w:pPr>
            <w:r>
              <w:rPr>
                <w:rFonts w:ascii="Arial" w:eastAsia="宋体" w:hAnsi="Arial" w:cs="Arial"/>
                <w:b/>
                <w:bCs/>
                <w:color w:val="000000"/>
                <w:sz w:val="13"/>
                <w:szCs w:val="13"/>
              </w:rPr>
              <w:t>2,332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D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D8E" w14:textId="77777777" w:rsidR="003C66EB" w:rsidRDefault="00D96C4E">
            <w:pPr>
              <w:jc w:val="right"/>
              <w:textAlignment w:val="bottom"/>
            </w:pPr>
            <w:r>
              <w:rPr>
                <w:rFonts w:ascii="Arial" w:eastAsia="宋体" w:hAnsi="Arial" w:cs="Arial"/>
                <w:color w:val="000000"/>
                <w:sz w:val="13"/>
                <w:szCs w:val="13"/>
              </w:rPr>
              <w:t>2,255 </w:t>
            </w:r>
          </w:p>
        </w:tc>
        <w:tc>
          <w:tcPr>
            <w:tcW w:w="0" w:type="auto"/>
            <w:shd w:val="clear" w:color="auto" w:fill="FFFFFF"/>
            <w:tcMar>
              <w:top w:w="40" w:type="dxa"/>
              <w:left w:w="0" w:type="dxa"/>
              <w:bottom w:w="40" w:type="dxa"/>
              <w:right w:w="20" w:type="dxa"/>
            </w:tcMar>
            <w:vAlign w:val="bottom"/>
          </w:tcPr>
          <w:p w14:paraId="5EA1DD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D91" w14:textId="77777777" w:rsidR="003C66EB" w:rsidRDefault="00D96C4E">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5EA1DD92" w14:textId="77777777" w:rsidR="003C66EB" w:rsidRDefault="003C66EB">
            <w:pPr>
              <w:jc w:val="right"/>
              <w:rPr>
                <w:rFonts w:ascii="宋体"/>
              </w:rPr>
            </w:pPr>
          </w:p>
        </w:tc>
        <w:tc>
          <w:tcPr>
            <w:tcW w:w="0" w:type="auto"/>
            <w:gridSpan w:val="3"/>
            <w:shd w:val="clear" w:color="auto" w:fill="auto"/>
          </w:tcPr>
          <w:p w14:paraId="5EA1DD93" w14:textId="77777777" w:rsidR="003C66EB" w:rsidRDefault="003C66EB">
            <w:pPr>
              <w:rPr>
                <w:rFonts w:ascii="宋体"/>
                <w:vanish/>
              </w:rPr>
            </w:pPr>
          </w:p>
        </w:tc>
        <w:tc>
          <w:tcPr>
            <w:tcW w:w="0" w:type="auto"/>
            <w:gridSpan w:val="3"/>
            <w:shd w:val="clear" w:color="auto" w:fill="auto"/>
          </w:tcPr>
          <w:p w14:paraId="5EA1DD94" w14:textId="77777777" w:rsidR="003C66EB" w:rsidRDefault="003C66EB">
            <w:pPr>
              <w:rPr>
                <w:rFonts w:ascii="宋体"/>
                <w:vanish/>
              </w:rPr>
            </w:pPr>
          </w:p>
        </w:tc>
        <w:tc>
          <w:tcPr>
            <w:tcW w:w="0" w:type="auto"/>
            <w:gridSpan w:val="3"/>
            <w:shd w:val="clear" w:color="auto" w:fill="auto"/>
          </w:tcPr>
          <w:p w14:paraId="5EA1DD95" w14:textId="77777777" w:rsidR="003C66EB" w:rsidRDefault="003C66EB">
            <w:pPr>
              <w:rPr>
                <w:rFonts w:ascii="宋体"/>
                <w:vanish/>
              </w:rPr>
            </w:pPr>
          </w:p>
        </w:tc>
        <w:tc>
          <w:tcPr>
            <w:tcW w:w="0" w:type="auto"/>
            <w:gridSpan w:val="3"/>
            <w:shd w:val="clear" w:color="auto" w:fill="auto"/>
          </w:tcPr>
          <w:p w14:paraId="5EA1DD96" w14:textId="77777777" w:rsidR="003C66EB" w:rsidRDefault="003C66EB">
            <w:pPr>
              <w:rPr>
                <w:rFonts w:ascii="宋体"/>
                <w:vanish/>
              </w:rPr>
            </w:pPr>
          </w:p>
        </w:tc>
        <w:tc>
          <w:tcPr>
            <w:tcW w:w="0" w:type="auto"/>
            <w:gridSpan w:val="3"/>
            <w:shd w:val="clear" w:color="auto" w:fill="auto"/>
          </w:tcPr>
          <w:p w14:paraId="5EA1DD97" w14:textId="77777777" w:rsidR="003C66EB" w:rsidRDefault="003C66EB">
            <w:pPr>
              <w:rPr>
                <w:rFonts w:ascii="宋体"/>
                <w:vanish/>
              </w:rPr>
            </w:pPr>
          </w:p>
        </w:tc>
      </w:tr>
      <w:tr w:rsidR="003C66EB" w14:paraId="5EA1DDA7" w14:textId="77777777">
        <w:tc>
          <w:tcPr>
            <w:tcW w:w="0" w:type="auto"/>
            <w:gridSpan w:val="3"/>
            <w:shd w:val="clear" w:color="auto" w:fill="CCEEFF"/>
            <w:tcMar>
              <w:top w:w="40" w:type="dxa"/>
              <w:left w:w="20" w:type="dxa"/>
              <w:bottom w:w="40" w:type="dxa"/>
              <w:right w:w="20" w:type="dxa"/>
            </w:tcMar>
            <w:vAlign w:val="bottom"/>
          </w:tcPr>
          <w:p w14:paraId="5EA1DD99" w14:textId="77777777" w:rsidR="003C66EB" w:rsidRDefault="00D96C4E">
            <w:pPr>
              <w:textAlignment w:val="bottom"/>
            </w:pPr>
            <w:r>
              <w:rPr>
                <w:rFonts w:ascii="Arial" w:eastAsia="宋体" w:hAnsi="Arial" w:cs="Arial"/>
                <w:color w:val="000000"/>
                <w:sz w:val="13"/>
                <w:szCs w:val="13"/>
              </w:rPr>
              <w:t>Income before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DD9A" w14:textId="77777777" w:rsidR="003C66EB" w:rsidRDefault="00D96C4E">
            <w:pPr>
              <w:jc w:val="right"/>
              <w:textAlignment w:val="bottom"/>
            </w:pPr>
            <w:r>
              <w:rPr>
                <w:rFonts w:ascii="Arial" w:eastAsia="宋体" w:hAnsi="Arial" w:cs="Arial"/>
                <w:b/>
                <w:bCs/>
                <w:color w:val="000000"/>
                <w:sz w:val="13"/>
                <w:szCs w:val="13"/>
              </w:rPr>
              <w:t>627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9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DD9D" w14:textId="77777777" w:rsidR="003C66EB" w:rsidRDefault="00D96C4E">
            <w:pPr>
              <w:jc w:val="right"/>
              <w:textAlignment w:val="bottom"/>
            </w:pPr>
            <w:r>
              <w:rPr>
                <w:rFonts w:ascii="Arial" w:eastAsia="宋体" w:hAnsi="Arial" w:cs="Arial"/>
                <w:color w:val="000000"/>
                <w:sz w:val="13"/>
                <w:szCs w:val="13"/>
              </w:rPr>
              <w:t>774 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9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DDA0" w14:textId="77777777" w:rsidR="003C66EB" w:rsidRDefault="00D96C4E">
            <w:pPr>
              <w:jc w:val="right"/>
              <w:textAlignment w:val="bottom"/>
            </w:pPr>
            <w:r>
              <w:rPr>
                <w:rFonts w:ascii="Arial" w:eastAsia="宋体" w:hAnsi="Arial" w:cs="Arial"/>
                <w:color w:val="000000"/>
                <w:sz w:val="13"/>
                <w:szCs w:val="13"/>
              </w:rPr>
              <w:t>(19)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A1" w14:textId="77777777" w:rsidR="003C66EB" w:rsidRDefault="003C66EB">
            <w:pPr>
              <w:jc w:val="right"/>
              <w:rPr>
                <w:rFonts w:ascii="宋体"/>
              </w:rPr>
            </w:pPr>
          </w:p>
        </w:tc>
        <w:tc>
          <w:tcPr>
            <w:tcW w:w="0" w:type="auto"/>
            <w:gridSpan w:val="3"/>
            <w:shd w:val="clear" w:color="auto" w:fill="auto"/>
          </w:tcPr>
          <w:p w14:paraId="5EA1DDA2" w14:textId="77777777" w:rsidR="003C66EB" w:rsidRDefault="003C66EB">
            <w:pPr>
              <w:rPr>
                <w:rFonts w:ascii="宋体"/>
                <w:vanish/>
              </w:rPr>
            </w:pPr>
          </w:p>
        </w:tc>
        <w:tc>
          <w:tcPr>
            <w:tcW w:w="0" w:type="auto"/>
            <w:gridSpan w:val="3"/>
            <w:shd w:val="clear" w:color="auto" w:fill="auto"/>
          </w:tcPr>
          <w:p w14:paraId="5EA1DDA3" w14:textId="77777777" w:rsidR="003C66EB" w:rsidRDefault="003C66EB">
            <w:pPr>
              <w:rPr>
                <w:rFonts w:ascii="宋体"/>
                <w:vanish/>
              </w:rPr>
            </w:pPr>
          </w:p>
        </w:tc>
        <w:tc>
          <w:tcPr>
            <w:tcW w:w="0" w:type="auto"/>
            <w:gridSpan w:val="3"/>
            <w:shd w:val="clear" w:color="auto" w:fill="auto"/>
          </w:tcPr>
          <w:p w14:paraId="5EA1DDA4" w14:textId="77777777" w:rsidR="003C66EB" w:rsidRDefault="003C66EB">
            <w:pPr>
              <w:rPr>
                <w:rFonts w:ascii="宋体"/>
                <w:vanish/>
              </w:rPr>
            </w:pPr>
          </w:p>
        </w:tc>
        <w:tc>
          <w:tcPr>
            <w:tcW w:w="0" w:type="auto"/>
            <w:gridSpan w:val="3"/>
            <w:shd w:val="clear" w:color="auto" w:fill="auto"/>
          </w:tcPr>
          <w:p w14:paraId="5EA1DDA5" w14:textId="77777777" w:rsidR="003C66EB" w:rsidRDefault="003C66EB">
            <w:pPr>
              <w:rPr>
                <w:rFonts w:ascii="宋体"/>
                <w:vanish/>
              </w:rPr>
            </w:pPr>
          </w:p>
        </w:tc>
        <w:tc>
          <w:tcPr>
            <w:tcW w:w="0" w:type="auto"/>
            <w:gridSpan w:val="3"/>
            <w:shd w:val="clear" w:color="auto" w:fill="auto"/>
          </w:tcPr>
          <w:p w14:paraId="5EA1DDA6" w14:textId="77777777" w:rsidR="003C66EB" w:rsidRDefault="003C66EB">
            <w:pPr>
              <w:rPr>
                <w:rFonts w:ascii="宋体"/>
                <w:vanish/>
              </w:rPr>
            </w:pPr>
          </w:p>
        </w:tc>
      </w:tr>
      <w:tr w:rsidR="003C66EB" w14:paraId="5EA1DDB6" w14:textId="77777777">
        <w:tc>
          <w:tcPr>
            <w:tcW w:w="0" w:type="auto"/>
            <w:gridSpan w:val="3"/>
            <w:shd w:val="clear" w:color="auto" w:fill="FFFFFF"/>
            <w:tcMar>
              <w:top w:w="40" w:type="dxa"/>
              <w:left w:w="20" w:type="dxa"/>
              <w:bottom w:w="40" w:type="dxa"/>
              <w:right w:w="20" w:type="dxa"/>
            </w:tcMar>
            <w:vAlign w:val="bottom"/>
          </w:tcPr>
          <w:p w14:paraId="5EA1DDA8" w14:textId="77777777" w:rsidR="003C66EB" w:rsidRDefault="00D96C4E">
            <w:pPr>
              <w:textAlignment w:val="bottom"/>
            </w:pPr>
            <w:r>
              <w:rPr>
                <w:rFonts w:ascii="Arial" w:eastAsia="宋体" w:hAnsi="Arial" w:cs="Arial"/>
                <w:color w:val="000000"/>
                <w:sz w:val="13"/>
                <w:szCs w:val="13"/>
              </w:rPr>
              <w:t xml:space="preserve">Income tax expense </w:t>
            </w:r>
          </w:p>
        </w:tc>
        <w:tc>
          <w:tcPr>
            <w:tcW w:w="0" w:type="auto"/>
            <w:gridSpan w:val="2"/>
            <w:shd w:val="clear" w:color="auto" w:fill="FFFFFF"/>
            <w:tcMar>
              <w:top w:w="40" w:type="dxa"/>
              <w:left w:w="20" w:type="dxa"/>
              <w:bottom w:w="40" w:type="dxa"/>
              <w:right w:w="0" w:type="dxa"/>
            </w:tcMar>
            <w:vAlign w:val="bottom"/>
          </w:tcPr>
          <w:p w14:paraId="5EA1DDA9" w14:textId="77777777" w:rsidR="003C66EB" w:rsidRDefault="00D96C4E">
            <w:pPr>
              <w:jc w:val="right"/>
              <w:textAlignment w:val="bottom"/>
            </w:pPr>
            <w:r>
              <w:rPr>
                <w:rFonts w:ascii="Arial" w:eastAsia="宋体" w:hAnsi="Arial" w:cs="Arial"/>
                <w:b/>
                <w:bCs/>
                <w:color w:val="000000"/>
                <w:sz w:val="13"/>
                <w:szCs w:val="13"/>
              </w:rPr>
              <w:t>108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DA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A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DAC" w14:textId="77777777" w:rsidR="003C66EB" w:rsidRDefault="00D96C4E">
            <w:pPr>
              <w:jc w:val="right"/>
              <w:textAlignment w:val="bottom"/>
            </w:pPr>
            <w:r>
              <w:rPr>
                <w:rFonts w:ascii="Arial" w:eastAsia="宋体" w:hAnsi="Arial" w:cs="Arial"/>
                <w:color w:val="000000"/>
                <w:sz w:val="13"/>
                <w:szCs w:val="13"/>
              </w:rPr>
              <w:t>140 </w:t>
            </w:r>
          </w:p>
        </w:tc>
        <w:tc>
          <w:tcPr>
            <w:tcW w:w="0" w:type="auto"/>
            <w:shd w:val="clear" w:color="auto" w:fill="FFFFFF"/>
            <w:tcMar>
              <w:top w:w="40" w:type="dxa"/>
              <w:left w:w="0" w:type="dxa"/>
              <w:bottom w:w="40" w:type="dxa"/>
              <w:right w:w="20" w:type="dxa"/>
            </w:tcMar>
            <w:vAlign w:val="bottom"/>
          </w:tcPr>
          <w:p w14:paraId="5EA1DD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A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DAF" w14:textId="77777777" w:rsidR="003C66EB" w:rsidRDefault="00D96C4E">
            <w:pPr>
              <w:jc w:val="right"/>
              <w:textAlignment w:val="bottom"/>
            </w:pPr>
            <w:r>
              <w:rPr>
                <w:rFonts w:ascii="Arial" w:eastAsia="宋体" w:hAnsi="Arial" w:cs="Arial"/>
                <w:color w:val="000000"/>
                <w:sz w:val="13"/>
                <w:szCs w:val="13"/>
              </w:rPr>
              <w:t>(23)</w:t>
            </w:r>
          </w:p>
        </w:tc>
        <w:tc>
          <w:tcPr>
            <w:tcW w:w="0" w:type="auto"/>
            <w:shd w:val="clear" w:color="auto" w:fill="FFFFFF"/>
            <w:tcMar>
              <w:top w:w="40" w:type="dxa"/>
              <w:left w:w="0" w:type="dxa"/>
              <w:bottom w:w="40" w:type="dxa"/>
              <w:right w:w="20" w:type="dxa"/>
            </w:tcMar>
            <w:vAlign w:val="bottom"/>
          </w:tcPr>
          <w:p w14:paraId="5EA1DDB0" w14:textId="77777777" w:rsidR="003C66EB" w:rsidRDefault="003C66EB">
            <w:pPr>
              <w:jc w:val="right"/>
              <w:rPr>
                <w:rFonts w:ascii="宋体"/>
              </w:rPr>
            </w:pPr>
          </w:p>
        </w:tc>
        <w:tc>
          <w:tcPr>
            <w:tcW w:w="0" w:type="auto"/>
            <w:gridSpan w:val="3"/>
            <w:shd w:val="clear" w:color="auto" w:fill="auto"/>
          </w:tcPr>
          <w:p w14:paraId="5EA1DDB1" w14:textId="77777777" w:rsidR="003C66EB" w:rsidRDefault="003C66EB">
            <w:pPr>
              <w:rPr>
                <w:rFonts w:ascii="宋体"/>
                <w:vanish/>
              </w:rPr>
            </w:pPr>
          </w:p>
        </w:tc>
        <w:tc>
          <w:tcPr>
            <w:tcW w:w="0" w:type="auto"/>
            <w:gridSpan w:val="3"/>
            <w:shd w:val="clear" w:color="auto" w:fill="auto"/>
          </w:tcPr>
          <w:p w14:paraId="5EA1DDB2" w14:textId="77777777" w:rsidR="003C66EB" w:rsidRDefault="003C66EB">
            <w:pPr>
              <w:rPr>
                <w:rFonts w:ascii="宋体"/>
                <w:vanish/>
              </w:rPr>
            </w:pPr>
          </w:p>
        </w:tc>
        <w:tc>
          <w:tcPr>
            <w:tcW w:w="0" w:type="auto"/>
            <w:gridSpan w:val="3"/>
            <w:shd w:val="clear" w:color="auto" w:fill="auto"/>
          </w:tcPr>
          <w:p w14:paraId="5EA1DDB3" w14:textId="77777777" w:rsidR="003C66EB" w:rsidRDefault="003C66EB">
            <w:pPr>
              <w:rPr>
                <w:rFonts w:ascii="宋体"/>
                <w:vanish/>
              </w:rPr>
            </w:pPr>
          </w:p>
        </w:tc>
        <w:tc>
          <w:tcPr>
            <w:tcW w:w="0" w:type="auto"/>
            <w:gridSpan w:val="3"/>
            <w:shd w:val="clear" w:color="auto" w:fill="auto"/>
          </w:tcPr>
          <w:p w14:paraId="5EA1DDB4" w14:textId="77777777" w:rsidR="003C66EB" w:rsidRDefault="003C66EB">
            <w:pPr>
              <w:rPr>
                <w:rFonts w:ascii="宋体"/>
                <w:vanish/>
              </w:rPr>
            </w:pPr>
          </w:p>
        </w:tc>
        <w:tc>
          <w:tcPr>
            <w:tcW w:w="0" w:type="auto"/>
            <w:gridSpan w:val="3"/>
            <w:shd w:val="clear" w:color="auto" w:fill="auto"/>
          </w:tcPr>
          <w:p w14:paraId="5EA1DDB5" w14:textId="77777777" w:rsidR="003C66EB" w:rsidRDefault="003C66EB">
            <w:pPr>
              <w:rPr>
                <w:rFonts w:ascii="宋体"/>
                <w:vanish/>
              </w:rPr>
            </w:pPr>
          </w:p>
        </w:tc>
      </w:tr>
      <w:tr w:rsidR="003C66EB" w14:paraId="5EA1DDC2" w14:textId="77777777">
        <w:trPr>
          <w:hidden/>
        </w:trPr>
        <w:tc>
          <w:tcPr>
            <w:tcW w:w="0" w:type="auto"/>
            <w:gridSpan w:val="3"/>
            <w:shd w:val="clear" w:color="auto" w:fill="auto"/>
          </w:tcPr>
          <w:p w14:paraId="5EA1DDB7" w14:textId="77777777" w:rsidR="003C66EB" w:rsidRDefault="003C66EB">
            <w:pPr>
              <w:rPr>
                <w:rFonts w:ascii="宋体"/>
                <w:vanish/>
              </w:rPr>
            </w:pPr>
          </w:p>
        </w:tc>
        <w:tc>
          <w:tcPr>
            <w:tcW w:w="0" w:type="auto"/>
            <w:gridSpan w:val="3"/>
            <w:shd w:val="clear" w:color="auto" w:fill="auto"/>
          </w:tcPr>
          <w:p w14:paraId="5EA1DDB8" w14:textId="77777777" w:rsidR="003C66EB" w:rsidRDefault="003C66EB">
            <w:pPr>
              <w:rPr>
                <w:rFonts w:ascii="宋体"/>
                <w:vanish/>
              </w:rPr>
            </w:pPr>
          </w:p>
        </w:tc>
        <w:tc>
          <w:tcPr>
            <w:tcW w:w="0" w:type="auto"/>
            <w:gridSpan w:val="3"/>
            <w:shd w:val="clear" w:color="auto" w:fill="auto"/>
          </w:tcPr>
          <w:p w14:paraId="5EA1DDB9" w14:textId="77777777" w:rsidR="003C66EB" w:rsidRDefault="003C66EB">
            <w:pPr>
              <w:rPr>
                <w:rFonts w:ascii="宋体"/>
                <w:vanish/>
              </w:rPr>
            </w:pPr>
          </w:p>
        </w:tc>
        <w:tc>
          <w:tcPr>
            <w:tcW w:w="0" w:type="auto"/>
            <w:gridSpan w:val="3"/>
            <w:shd w:val="clear" w:color="auto" w:fill="auto"/>
          </w:tcPr>
          <w:p w14:paraId="5EA1DDBA" w14:textId="77777777" w:rsidR="003C66EB" w:rsidRDefault="003C66EB">
            <w:pPr>
              <w:rPr>
                <w:rFonts w:ascii="宋体"/>
                <w:vanish/>
              </w:rPr>
            </w:pPr>
          </w:p>
        </w:tc>
        <w:tc>
          <w:tcPr>
            <w:tcW w:w="0" w:type="auto"/>
            <w:gridSpan w:val="3"/>
            <w:shd w:val="clear" w:color="auto" w:fill="auto"/>
          </w:tcPr>
          <w:p w14:paraId="5EA1DDBB" w14:textId="77777777" w:rsidR="003C66EB" w:rsidRDefault="003C66EB">
            <w:pPr>
              <w:rPr>
                <w:rFonts w:ascii="宋体"/>
                <w:vanish/>
              </w:rPr>
            </w:pPr>
          </w:p>
        </w:tc>
        <w:tc>
          <w:tcPr>
            <w:tcW w:w="0" w:type="auto"/>
            <w:gridSpan w:val="3"/>
            <w:shd w:val="clear" w:color="auto" w:fill="auto"/>
          </w:tcPr>
          <w:p w14:paraId="5EA1DDBC" w14:textId="77777777" w:rsidR="003C66EB" w:rsidRDefault="003C66EB">
            <w:pPr>
              <w:rPr>
                <w:rFonts w:ascii="宋体"/>
                <w:vanish/>
              </w:rPr>
            </w:pPr>
          </w:p>
        </w:tc>
        <w:tc>
          <w:tcPr>
            <w:tcW w:w="0" w:type="auto"/>
            <w:gridSpan w:val="3"/>
            <w:shd w:val="clear" w:color="auto" w:fill="auto"/>
          </w:tcPr>
          <w:p w14:paraId="5EA1DDBD" w14:textId="77777777" w:rsidR="003C66EB" w:rsidRDefault="003C66EB">
            <w:pPr>
              <w:rPr>
                <w:rFonts w:ascii="宋体"/>
                <w:vanish/>
              </w:rPr>
            </w:pPr>
          </w:p>
        </w:tc>
        <w:tc>
          <w:tcPr>
            <w:tcW w:w="0" w:type="auto"/>
            <w:gridSpan w:val="3"/>
            <w:shd w:val="clear" w:color="auto" w:fill="auto"/>
          </w:tcPr>
          <w:p w14:paraId="5EA1DDBE" w14:textId="77777777" w:rsidR="003C66EB" w:rsidRDefault="003C66EB">
            <w:pPr>
              <w:rPr>
                <w:rFonts w:ascii="宋体"/>
                <w:vanish/>
              </w:rPr>
            </w:pPr>
          </w:p>
        </w:tc>
        <w:tc>
          <w:tcPr>
            <w:tcW w:w="0" w:type="auto"/>
            <w:gridSpan w:val="3"/>
            <w:shd w:val="clear" w:color="auto" w:fill="auto"/>
          </w:tcPr>
          <w:p w14:paraId="5EA1DDBF" w14:textId="77777777" w:rsidR="003C66EB" w:rsidRDefault="003C66EB">
            <w:pPr>
              <w:rPr>
                <w:rFonts w:ascii="宋体"/>
                <w:vanish/>
              </w:rPr>
            </w:pPr>
          </w:p>
        </w:tc>
        <w:tc>
          <w:tcPr>
            <w:tcW w:w="0" w:type="auto"/>
            <w:gridSpan w:val="3"/>
            <w:shd w:val="clear" w:color="auto" w:fill="auto"/>
          </w:tcPr>
          <w:p w14:paraId="5EA1DDC0" w14:textId="77777777" w:rsidR="003C66EB" w:rsidRDefault="003C66EB">
            <w:pPr>
              <w:rPr>
                <w:rFonts w:ascii="宋体"/>
                <w:vanish/>
              </w:rPr>
            </w:pPr>
          </w:p>
        </w:tc>
        <w:tc>
          <w:tcPr>
            <w:tcW w:w="0" w:type="auto"/>
            <w:gridSpan w:val="3"/>
            <w:shd w:val="clear" w:color="auto" w:fill="auto"/>
          </w:tcPr>
          <w:p w14:paraId="5EA1DDC1" w14:textId="77777777" w:rsidR="003C66EB" w:rsidRDefault="003C66EB">
            <w:pPr>
              <w:rPr>
                <w:rFonts w:ascii="宋体"/>
                <w:vanish/>
              </w:rPr>
            </w:pPr>
          </w:p>
        </w:tc>
      </w:tr>
      <w:tr w:rsidR="003C66EB" w14:paraId="5EA1DDD3" w14:textId="77777777">
        <w:tc>
          <w:tcPr>
            <w:tcW w:w="0" w:type="auto"/>
            <w:gridSpan w:val="3"/>
            <w:shd w:val="clear" w:color="auto" w:fill="CCEEFF"/>
            <w:tcMar>
              <w:top w:w="40" w:type="dxa"/>
              <w:left w:w="20" w:type="dxa"/>
              <w:bottom w:w="40" w:type="dxa"/>
              <w:right w:w="20" w:type="dxa"/>
            </w:tcMar>
            <w:vAlign w:val="bottom"/>
          </w:tcPr>
          <w:p w14:paraId="5EA1DDC3" w14:textId="77777777" w:rsidR="003C66EB" w:rsidRDefault="00D96C4E">
            <w:pPr>
              <w:textAlignment w:val="bottom"/>
            </w:pPr>
            <w:r>
              <w:rPr>
                <w:rFonts w:ascii="Arial" w:eastAsia="宋体" w:hAnsi="Arial" w:cs="Arial"/>
                <w:color w:val="000000"/>
                <w:sz w:val="13"/>
                <w:szCs w:val="13"/>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DDC4"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DDC5" w14:textId="77777777" w:rsidR="003C66EB" w:rsidRDefault="00D96C4E">
            <w:pPr>
              <w:jc w:val="right"/>
              <w:textAlignment w:val="bottom"/>
            </w:pPr>
            <w:r>
              <w:rPr>
                <w:rFonts w:ascii="Arial" w:eastAsia="宋体" w:hAnsi="Arial" w:cs="Arial"/>
                <w:b/>
                <w:bCs/>
                <w:color w:val="000000"/>
                <w:sz w:val="13"/>
                <w:szCs w:val="13"/>
              </w:rPr>
              <w:t>519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C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DDC8"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DDC9" w14:textId="77777777" w:rsidR="003C66EB" w:rsidRDefault="00D96C4E">
            <w:pPr>
              <w:jc w:val="right"/>
              <w:textAlignment w:val="bottom"/>
            </w:pPr>
            <w:r>
              <w:rPr>
                <w:rFonts w:ascii="Arial" w:eastAsia="宋体" w:hAnsi="Arial" w:cs="Arial"/>
                <w:color w:val="000000"/>
                <w:sz w:val="13"/>
                <w:szCs w:val="13"/>
              </w:rPr>
              <w:t>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C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DDCC" w14:textId="77777777" w:rsidR="003C66EB" w:rsidRDefault="00D96C4E">
            <w:pPr>
              <w:jc w:val="right"/>
              <w:textAlignment w:val="bottom"/>
            </w:pPr>
            <w:r>
              <w:rPr>
                <w:rFonts w:ascii="Arial" w:eastAsia="宋体" w:hAnsi="Arial" w:cs="Arial"/>
                <w:color w:val="000000"/>
                <w:sz w:val="13"/>
                <w:szCs w:val="13"/>
              </w:rPr>
              <w:t>(18)</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DCD" w14:textId="77777777" w:rsidR="003C66EB" w:rsidRDefault="003C66EB">
            <w:pPr>
              <w:jc w:val="right"/>
              <w:rPr>
                <w:rFonts w:ascii="宋体"/>
              </w:rPr>
            </w:pPr>
          </w:p>
        </w:tc>
        <w:tc>
          <w:tcPr>
            <w:tcW w:w="0" w:type="auto"/>
            <w:gridSpan w:val="3"/>
            <w:shd w:val="clear" w:color="auto" w:fill="auto"/>
          </w:tcPr>
          <w:p w14:paraId="5EA1DDCE" w14:textId="77777777" w:rsidR="003C66EB" w:rsidRDefault="003C66EB">
            <w:pPr>
              <w:rPr>
                <w:rFonts w:ascii="宋体"/>
                <w:vanish/>
              </w:rPr>
            </w:pPr>
          </w:p>
        </w:tc>
        <w:tc>
          <w:tcPr>
            <w:tcW w:w="0" w:type="auto"/>
            <w:gridSpan w:val="3"/>
            <w:shd w:val="clear" w:color="auto" w:fill="auto"/>
          </w:tcPr>
          <w:p w14:paraId="5EA1DDCF" w14:textId="77777777" w:rsidR="003C66EB" w:rsidRDefault="003C66EB">
            <w:pPr>
              <w:rPr>
                <w:rFonts w:ascii="宋体"/>
                <w:vanish/>
              </w:rPr>
            </w:pPr>
          </w:p>
        </w:tc>
        <w:tc>
          <w:tcPr>
            <w:tcW w:w="0" w:type="auto"/>
            <w:gridSpan w:val="3"/>
            <w:shd w:val="clear" w:color="auto" w:fill="auto"/>
          </w:tcPr>
          <w:p w14:paraId="5EA1DDD0" w14:textId="77777777" w:rsidR="003C66EB" w:rsidRDefault="003C66EB">
            <w:pPr>
              <w:rPr>
                <w:rFonts w:ascii="宋体"/>
                <w:vanish/>
              </w:rPr>
            </w:pPr>
          </w:p>
        </w:tc>
        <w:tc>
          <w:tcPr>
            <w:tcW w:w="0" w:type="auto"/>
            <w:gridSpan w:val="3"/>
            <w:shd w:val="clear" w:color="auto" w:fill="auto"/>
          </w:tcPr>
          <w:p w14:paraId="5EA1DDD1" w14:textId="77777777" w:rsidR="003C66EB" w:rsidRDefault="003C66EB">
            <w:pPr>
              <w:rPr>
                <w:rFonts w:ascii="宋体"/>
                <w:vanish/>
              </w:rPr>
            </w:pPr>
          </w:p>
        </w:tc>
        <w:tc>
          <w:tcPr>
            <w:tcW w:w="0" w:type="auto"/>
            <w:gridSpan w:val="3"/>
            <w:shd w:val="clear" w:color="auto" w:fill="auto"/>
          </w:tcPr>
          <w:p w14:paraId="5EA1DDD2" w14:textId="77777777" w:rsidR="003C66EB" w:rsidRDefault="003C66EB">
            <w:pPr>
              <w:rPr>
                <w:rFonts w:ascii="宋体"/>
                <w:vanish/>
              </w:rPr>
            </w:pPr>
          </w:p>
        </w:tc>
      </w:tr>
      <w:tr w:rsidR="003C66EB" w14:paraId="5EA1DDDF" w14:textId="77777777">
        <w:tc>
          <w:tcPr>
            <w:tcW w:w="0" w:type="auto"/>
            <w:gridSpan w:val="3"/>
            <w:shd w:val="clear" w:color="auto" w:fill="FFFFFF"/>
            <w:tcMar>
              <w:top w:w="40" w:type="dxa"/>
              <w:left w:w="20" w:type="dxa"/>
              <w:bottom w:w="40" w:type="dxa"/>
              <w:right w:w="20" w:type="dxa"/>
            </w:tcMar>
            <w:vAlign w:val="bottom"/>
          </w:tcPr>
          <w:p w14:paraId="5EA1DDD4" w14:textId="77777777" w:rsidR="003C66EB" w:rsidRDefault="00D96C4E">
            <w:pPr>
              <w:textAlignment w:val="bottom"/>
            </w:pPr>
            <w:r>
              <w:rPr>
                <w:rFonts w:ascii="Arial" w:eastAsia="宋体" w:hAnsi="Arial" w:cs="Arial"/>
                <w:color w:val="000000"/>
                <w:sz w:val="13"/>
                <w:szCs w:val="13"/>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tcPr>
          <w:p w14:paraId="5EA1DDD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DDD6"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DDD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DDD8"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DDD9" w14:textId="77777777" w:rsidR="003C66EB" w:rsidRDefault="003C66EB">
            <w:pPr>
              <w:rPr>
                <w:rFonts w:ascii="宋体"/>
              </w:rPr>
            </w:pPr>
          </w:p>
        </w:tc>
        <w:tc>
          <w:tcPr>
            <w:tcW w:w="0" w:type="auto"/>
            <w:gridSpan w:val="3"/>
            <w:shd w:val="clear" w:color="auto" w:fill="auto"/>
          </w:tcPr>
          <w:p w14:paraId="5EA1DDDA" w14:textId="77777777" w:rsidR="003C66EB" w:rsidRDefault="003C66EB">
            <w:pPr>
              <w:rPr>
                <w:rFonts w:ascii="宋体"/>
                <w:vanish/>
              </w:rPr>
            </w:pPr>
          </w:p>
        </w:tc>
        <w:tc>
          <w:tcPr>
            <w:tcW w:w="0" w:type="auto"/>
            <w:gridSpan w:val="3"/>
            <w:shd w:val="clear" w:color="auto" w:fill="auto"/>
          </w:tcPr>
          <w:p w14:paraId="5EA1DDDB" w14:textId="77777777" w:rsidR="003C66EB" w:rsidRDefault="003C66EB">
            <w:pPr>
              <w:rPr>
                <w:rFonts w:ascii="宋体"/>
                <w:vanish/>
              </w:rPr>
            </w:pPr>
          </w:p>
        </w:tc>
        <w:tc>
          <w:tcPr>
            <w:tcW w:w="0" w:type="auto"/>
            <w:gridSpan w:val="3"/>
            <w:shd w:val="clear" w:color="auto" w:fill="auto"/>
          </w:tcPr>
          <w:p w14:paraId="5EA1DDDC" w14:textId="77777777" w:rsidR="003C66EB" w:rsidRDefault="003C66EB">
            <w:pPr>
              <w:rPr>
                <w:rFonts w:ascii="宋体"/>
                <w:vanish/>
              </w:rPr>
            </w:pPr>
          </w:p>
        </w:tc>
        <w:tc>
          <w:tcPr>
            <w:tcW w:w="0" w:type="auto"/>
            <w:gridSpan w:val="3"/>
            <w:shd w:val="clear" w:color="auto" w:fill="auto"/>
          </w:tcPr>
          <w:p w14:paraId="5EA1DDDD" w14:textId="77777777" w:rsidR="003C66EB" w:rsidRDefault="003C66EB">
            <w:pPr>
              <w:rPr>
                <w:rFonts w:ascii="宋体"/>
                <w:vanish/>
              </w:rPr>
            </w:pPr>
          </w:p>
        </w:tc>
        <w:tc>
          <w:tcPr>
            <w:tcW w:w="0" w:type="auto"/>
            <w:gridSpan w:val="3"/>
            <w:shd w:val="clear" w:color="auto" w:fill="auto"/>
          </w:tcPr>
          <w:p w14:paraId="5EA1DDDE" w14:textId="77777777" w:rsidR="003C66EB" w:rsidRDefault="003C66EB">
            <w:pPr>
              <w:rPr>
                <w:rFonts w:ascii="宋体"/>
                <w:vanish/>
              </w:rPr>
            </w:pPr>
          </w:p>
        </w:tc>
      </w:tr>
      <w:tr w:rsidR="003C66EB" w14:paraId="5EA1DDF0" w14:textId="77777777">
        <w:tc>
          <w:tcPr>
            <w:tcW w:w="0" w:type="auto"/>
            <w:gridSpan w:val="3"/>
            <w:shd w:val="clear" w:color="auto" w:fill="CCEEFF"/>
            <w:tcMar>
              <w:top w:w="40" w:type="dxa"/>
              <w:left w:w="20" w:type="dxa"/>
              <w:bottom w:w="40" w:type="dxa"/>
              <w:right w:w="20" w:type="dxa"/>
            </w:tcMar>
            <w:vAlign w:val="bottom"/>
          </w:tcPr>
          <w:p w14:paraId="5EA1DDE0" w14:textId="77777777" w:rsidR="003C66EB" w:rsidRDefault="00D96C4E">
            <w:pPr>
              <w:textAlignment w:val="bottom"/>
            </w:pPr>
            <w:r>
              <w:rPr>
                <w:rFonts w:ascii="Arial" w:eastAsia="宋体" w:hAnsi="Arial" w:cs="Arial"/>
                <w:color w:val="000000"/>
                <w:sz w:val="13"/>
                <w:szCs w:val="13"/>
              </w:rPr>
              <w:t>Dividends on preferred stock</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5EA1DDE1"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1DDE2" w14:textId="77777777" w:rsidR="003C66EB" w:rsidRDefault="00D96C4E">
            <w:pPr>
              <w:jc w:val="right"/>
              <w:textAlignment w:val="bottom"/>
            </w:pPr>
            <w:r>
              <w:rPr>
                <w:rFonts w:ascii="Arial" w:eastAsia="宋体" w:hAnsi="Arial" w:cs="Arial"/>
                <w:b/>
                <w:bCs/>
                <w:color w:val="000000"/>
                <w:sz w:val="13"/>
                <w:szCs w:val="13"/>
              </w:rPr>
              <w:t>(30)</w:t>
            </w:r>
          </w:p>
        </w:tc>
        <w:tc>
          <w:tcPr>
            <w:tcW w:w="0" w:type="auto"/>
            <w:shd w:val="clear" w:color="auto" w:fill="CCEEFF"/>
            <w:tcMar>
              <w:top w:w="40" w:type="dxa"/>
              <w:left w:w="0" w:type="dxa"/>
              <w:bottom w:w="40" w:type="dxa"/>
              <w:right w:w="20" w:type="dxa"/>
            </w:tcMar>
            <w:vAlign w:val="bottom"/>
          </w:tcPr>
          <w:p w14:paraId="5EA1DD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E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DDE5"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1DDE6" w14:textId="77777777" w:rsidR="003C66EB" w:rsidRDefault="00D96C4E">
            <w:pPr>
              <w:jc w:val="right"/>
              <w:textAlignment w:val="bottom"/>
            </w:pPr>
            <w:r>
              <w:rPr>
                <w:rFonts w:ascii="Arial" w:eastAsia="宋体" w:hAnsi="Arial" w:cs="Arial"/>
                <w:color w:val="000000"/>
                <w:sz w:val="13"/>
                <w:szCs w:val="13"/>
              </w:rPr>
              <w:t>(53)</w:t>
            </w:r>
          </w:p>
        </w:tc>
        <w:tc>
          <w:tcPr>
            <w:tcW w:w="0" w:type="auto"/>
            <w:shd w:val="clear" w:color="auto" w:fill="CCEEFF"/>
            <w:tcMar>
              <w:top w:w="40" w:type="dxa"/>
              <w:left w:w="0" w:type="dxa"/>
              <w:bottom w:w="40" w:type="dxa"/>
              <w:right w:w="20" w:type="dxa"/>
            </w:tcMar>
            <w:vAlign w:val="bottom"/>
          </w:tcPr>
          <w:p w14:paraId="5EA1DD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DE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DE9" w14:textId="77777777" w:rsidR="003C66EB" w:rsidRDefault="00D96C4E">
            <w:pPr>
              <w:jc w:val="right"/>
              <w:textAlignment w:val="bottom"/>
            </w:pPr>
            <w:r>
              <w:rPr>
                <w:rFonts w:ascii="Arial" w:eastAsia="宋体" w:hAnsi="Arial" w:cs="Arial"/>
                <w:color w:val="000000"/>
                <w:sz w:val="13"/>
                <w:szCs w:val="13"/>
              </w:rPr>
              <w:t>(43)</w:t>
            </w:r>
          </w:p>
        </w:tc>
        <w:tc>
          <w:tcPr>
            <w:tcW w:w="0" w:type="auto"/>
            <w:shd w:val="clear" w:color="auto" w:fill="CCEEFF"/>
            <w:tcMar>
              <w:top w:w="40" w:type="dxa"/>
              <w:left w:w="0" w:type="dxa"/>
              <w:bottom w:w="40" w:type="dxa"/>
              <w:right w:w="20" w:type="dxa"/>
            </w:tcMar>
            <w:vAlign w:val="bottom"/>
          </w:tcPr>
          <w:p w14:paraId="5EA1DDEA" w14:textId="77777777" w:rsidR="003C66EB" w:rsidRDefault="003C66EB">
            <w:pPr>
              <w:jc w:val="right"/>
              <w:rPr>
                <w:rFonts w:ascii="宋体"/>
              </w:rPr>
            </w:pPr>
          </w:p>
        </w:tc>
        <w:tc>
          <w:tcPr>
            <w:tcW w:w="0" w:type="auto"/>
            <w:gridSpan w:val="3"/>
            <w:shd w:val="clear" w:color="auto" w:fill="auto"/>
          </w:tcPr>
          <w:p w14:paraId="5EA1DDEB" w14:textId="77777777" w:rsidR="003C66EB" w:rsidRDefault="003C66EB">
            <w:pPr>
              <w:rPr>
                <w:rFonts w:ascii="宋体"/>
                <w:vanish/>
              </w:rPr>
            </w:pPr>
          </w:p>
        </w:tc>
        <w:tc>
          <w:tcPr>
            <w:tcW w:w="0" w:type="auto"/>
            <w:gridSpan w:val="3"/>
            <w:shd w:val="clear" w:color="auto" w:fill="auto"/>
          </w:tcPr>
          <w:p w14:paraId="5EA1DDEC" w14:textId="77777777" w:rsidR="003C66EB" w:rsidRDefault="003C66EB">
            <w:pPr>
              <w:rPr>
                <w:rFonts w:ascii="宋体"/>
                <w:vanish/>
              </w:rPr>
            </w:pPr>
          </w:p>
        </w:tc>
        <w:tc>
          <w:tcPr>
            <w:tcW w:w="0" w:type="auto"/>
            <w:gridSpan w:val="3"/>
            <w:shd w:val="clear" w:color="auto" w:fill="auto"/>
          </w:tcPr>
          <w:p w14:paraId="5EA1DDED" w14:textId="77777777" w:rsidR="003C66EB" w:rsidRDefault="003C66EB">
            <w:pPr>
              <w:rPr>
                <w:rFonts w:ascii="宋体"/>
                <w:vanish/>
              </w:rPr>
            </w:pPr>
          </w:p>
        </w:tc>
        <w:tc>
          <w:tcPr>
            <w:tcW w:w="0" w:type="auto"/>
            <w:gridSpan w:val="3"/>
            <w:shd w:val="clear" w:color="auto" w:fill="auto"/>
          </w:tcPr>
          <w:p w14:paraId="5EA1DDEE" w14:textId="77777777" w:rsidR="003C66EB" w:rsidRDefault="003C66EB">
            <w:pPr>
              <w:rPr>
                <w:rFonts w:ascii="宋体"/>
                <w:vanish/>
              </w:rPr>
            </w:pPr>
          </w:p>
        </w:tc>
        <w:tc>
          <w:tcPr>
            <w:tcW w:w="0" w:type="auto"/>
            <w:gridSpan w:val="3"/>
            <w:shd w:val="clear" w:color="auto" w:fill="auto"/>
          </w:tcPr>
          <w:p w14:paraId="5EA1DDEF" w14:textId="77777777" w:rsidR="003C66EB" w:rsidRDefault="003C66EB">
            <w:pPr>
              <w:rPr>
                <w:rFonts w:ascii="宋体"/>
                <w:vanish/>
              </w:rPr>
            </w:pPr>
          </w:p>
        </w:tc>
      </w:tr>
      <w:tr w:rsidR="003C66EB" w14:paraId="5EA1DDFE" w14:textId="77777777">
        <w:tc>
          <w:tcPr>
            <w:tcW w:w="0" w:type="auto"/>
            <w:gridSpan w:val="3"/>
            <w:shd w:val="clear" w:color="auto" w:fill="FFFFFF"/>
            <w:tcMar>
              <w:top w:w="40" w:type="dxa"/>
              <w:left w:w="20" w:type="dxa"/>
              <w:bottom w:w="40" w:type="dxa"/>
              <w:right w:w="20" w:type="dxa"/>
            </w:tcMar>
            <w:vAlign w:val="bottom"/>
          </w:tcPr>
          <w:p w14:paraId="5EA1DDF1" w14:textId="77777777" w:rsidR="003C66EB" w:rsidRDefault="00D96C4E">
            <w:pPr>
              <w:textAlignment w:val="bottom"/>
            </w:pPr>
            <w:r>
              <w:rPr>
                <w:rFonts w:ascii="Arial" w:eastAsia="宋体" w:hAnsi="Arial" w:cs="Arial"/>
                <w:color w:val="000000"/>
                <w:sz w:val="13"/>
                <w:szCs w:val="13"/>
              </w:rPr>
              <w:t>Earnings allocated to participating securities</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5EA1DDF2"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DF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F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DF5" w14:textId="77777777" w:rsidR="003C66EB" w:rsidRDefault="00D96C4E">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A1DDF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DF7" w14:textId="77777777" w:rsidR="003C66EB" w:rsidRDefault="003C66EB">
            <w:pPr>
              <w:rPr>
                <w:rFonts w:ascii="宋体"/>
              </w:rPr>
            </w:pPr>
          </w:p>
        </w:tc>
        <w:tc>
          <w:tcPr>
            <w:tcW w:w="0" w:type="auto"/>
            <w:gridSpan w:val="3"/>
            <w:shd w:val="clear" w:color="auto" w:fill="FFFFFF"/>
            <w:tcMar>
              <w:top w:w="40" w:type="dxa"/>
              <w:left w:w="20" w:type="dxa"/>
              <w:bottom w:w="40" w:type="dxa"/>
              <w:right w:w="140" w:type="dxa"/>
            </w:tcMar>
            <w:vAlign w:val="bottom"/>
          </w:tcPr>
          <w:p w14:paraId="5EA1DDF8" w14:textId="77777777" w:rsidR="003C66EB" w:rsidRDefault="00D96C4E">
            <w:pPr>
              <w:jc w:val="right"/>
              <w:textAlignment w:val="bottom"/>
            </w:pPr>
            <w:r>
              <w:rPr>
                <w:rFonts w:ascii="Arial" w:eastAsia="宋体" w:hAnsi="Arial" w:cs="Arial"/>
                <w:color w:val="000000"/>
                <w:sz w:val="13"/>
                <w:szCs w:val="13"/>
              </w:rPr>
              <w:t>nm</w:t>
            </w:r>
          </w:p>
        </w:tc>
        <w:tc>
          <w:tcPr>
            <w:tcW w:w="0" w:type="auto"/>
            <w:gridSpan w:val="3"/>
            <w:shd w:val="clear" w:color="auto" w:fill="auto"/>
          </w:tcPr>
          <w:p w14:paraId="5EA1DDF9" w14:textId="77777777" w:rsidR="003C66EB" w:rsidRDefault="003C66EB">
            <w:pPr>
              <w:rPr>
                <w:rFonts w:ascii="宋体"/>
                <w:vanish/>
              </w:rPr>
            </w:pPr>
          </w:p>
        </w:tc>
        <w:tc>
          <w:tcPr>
            <w:tcW w:w="0" w:type="auto"/>
            <w:gridSpan w:val="3"/>
            <w:shd w:val="clear" w:color="auto" w:fill="auto"/>
          </w:tcPr>
          <w:p w14:paraId="5EA1DDFA" w14:textId="77777777" w:rsidR="003C66EB" w:rsidRDefault="003C66EB">
            <w:pPr>
              <w:rPr>
                <w:rFonts w:ascii="宋体"/>
                <w:vanish/>
              </w:rPr>
            </w:pPr>
          </w:p>
        </w:tc>
        <w:tc>
          <w:tcPr>
            <w:tcW w:w="0" w:type="auto"/>
            <w:gridSpan w:val="3"/>
            <w:shd w:val="clear" w:color="auto" w:fill="auto"/>
          </w:tcPr>
          <w:p w14:paraId="5EA1DDFB" w14:textId="77777777" w:rsidR="003C66EB" w:rsidRDefault="003C66EB">
            <w:pPr>
              <w:rPr>
                <w:rFonts w:ascii="宋体"/>
                <w:vanish/>
              </w:rPr>
            </w:pPr>
          </w:p>
        </w:tc>
        <w:tc>
          <w:tcPr>
            <w:tcW w:w="0" w:type="auto"/>
            <w:gridSpan w:val="3"/>
            <w:shd w:val="clear" w:color="auto" w:fill="auto"/>
          </w:tcPr>
          <w:p w14:paraId="5EA1DDFC" w14:textId="77777777" w:rsidR="003C66EB" w:rsidRDefault="003C66EB">
            <w:pPr>
              <w:rPr>
                <w:rFonts w:ascii="宋体"/>
                <w:vanish/>
              </w:rPr>
            </w:pPr>
          </w:p>
        </w:tc>
        <w:tc>
          <w:tcPr>
            <w:tcW w:w="0" w:type="auto"/>
            <w:gridSpan w:val="3"/>
            <w:shd w:val="clear" w:color="auto" w:fill="auto"/>
          </w:tcPr>
          <w:p w14:paraId="5EA1DDFD" w14:textId="77777777" w:rsidR="003C66EB" w:rsidRDefault="003C66EB">
            <w:pPr>
              <w:rPr>
                <w:rFonts w:ascii="宋体"/>
                <w:vanish/>
              </w:rPr>
            </w:pPr>
          </w:p>
        </w:tc>
      </w:tr>
      <w:tr w:rsidR="003C66EB" w14:paraId="5EA1DE0F" w14:textId="77777777">
        <w:tc>
          <w:tcPr>
            <w:tcW w:w="0" w:type="auto"/>
            <w:gridSpan w:val="3"/>
            <w:shd w:val="clear" w:color="auto" w:fill="CCEEFF"/>
            <w:tcMar>
              <w:top w:w="40" w:type="dxa"/>
              <w:left w:w="20" w:type="dxa"/>
              <w:bottom w:w="40" w:type="dxa"/>
              <w:right w:w="20" w:type="dxa"/>
            </w:tcMar>
            <w:vAlign w:val="bottom"/>
          </w:tcPr>
          <w:p w14:paraId="5EA1DDFF" w14:textId="77777777" w:rsidR="003C66EB" w:rsidRDefault="00D96C4E">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DE00"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DE01" w14:textId="77777777" w:rsidR="003C66EB" w:rsidRDefault="00D96C4E">
            <w:pPr>
              <w:jc w:val="right"/>
              <w:textAlignment w:val="bottom"/>
            </w:pPr>
            <w:r>
              <w:rPr>
                <w:rFonts w:ascii="Arial" w:eastAsia="宋体" w:hAnsi="Arial" w:cs="Arial"/>
                <w:b/>
                <w:bCs/>
                <w:color w:val="000000"/>
                <w:sz w:val="13"/>
                <w:szCs w:val="13"/>
              </w:rPr>
              <w:t>489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E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E0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DE04"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DE05" w14:textId="77777777" w:rsidR="003C66EB" w:rsidRDefault="00D96C4E">
            <w:pPr>
              <w:jc w:val="right"/>
              <w:textAlignment w:val="bottom"/>
            </w:pPr>
            <w:r>
              <w:rPr>
                <w:rFonts w:ascii="Arial" w:eastAsia="宋体" w:hAnsi="Arial" w:cs="Arial"/>
                <w:color w:val="000000"/>
                <w:sz w:val="13"/>
                <w:szCs w:val="13"/>
              </w:rPr>
              <w:t>580 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E0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E0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DE08" w14:textId="77777777" w:rsidR="003C66EB" w:rsidRDefault="00D96C4E">
            <w:pPr>
              <w:jc w:val="right"/>
              <w:textAlignment w:val="bottom"/>
            </w:pPr>
            <w:r>
              <w:rPr>
                <w:rFonts w:ascii="Arial" w:eastAsia="宋体" w:hAnsi="Arial" w:cs="Arial"/>
                <w:color w:val="000000"/>
                <w:sz w:val="13"/>
                <w:szCs w:val="13"/>
              </w:rPr>
              <w:t>(16)</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DE09" w14:textId="77777777" w:rsidR="003C66EB" w:rsidRDefault="003C66EB">
            <w:pPr>
              <w:jc w:val="right"/>
              <w:rPr>
                <w:rFonts w:ascii="宋体"/>
              </w:rPr>
            </w:pPr>
          </w:p>
        </w:tc>
        <w:tc>
          <w:tcPr>
            <w:tcW w:w="0" w:type="auto"/>
            <w:gridSpan w:val="3"/>
            <w:shd w:val="clear" w:color="auto" w:fill="auto"/>
          </w:tcPr>
          <w:p w14:paraId="5EA1DE0A" w14:textId="77777777" w:rsidR="003C66EB" w:rsidRDefault="003C66EB">
            <w:pPr>
              <w:rPr>
                <w:rFonts w:ascii="宋体"/>
                <w:vanish/>
              </w:rPr>
            </w:pPr>
          </w:p>
        </w:tc>
        <w:tc>
          <w:tcPr>
            <w:tcW w:w="0" w:type="auto"/>
            <w:gridSpan w:val="3"/>
            <w:shd w:val="clear" w:color="auto" w:fill="auto"/>
          </w:tcPr>
          <w:p w14:paraId="5EA1DE0B" w14:textId="77777777" w:rsidR="003C66EB" w:rsidRDefault="003C66EB">
            <w:pPr>
              <w:rPr>
                <w:rFonts w:ascii="宋体"/>
                <w:vanish/>
              </w:rPr>
            </w:pPr>
          </w:p>
        </w:tc>
        <w:tc>
          <w:tcPr>
            <w:tcW w:w="0" w:type="auto"/>
            <w:gridSpan w:val="3"/>
            <w:shd w:val="clear" w:color="auto" w:fill="auto"/>
          </w:tcPr>
          <w:p w14:paraId="5EA1DE0C" w14:textId="77777777" w:rsidR="003C66EB" w:rsidRDefault="003C66EB">
            <w:pPr>
              <w:rPr>
                <w:rFonts w:ascii="宋体"/>
                <w:vanish/>
              </w:rPr>
            </w:pPr>
          </w:p>
        </w:tc>
        <w:tc>
          <w:tcPr>
            <w:tcW w:w="0" w:type="auto"/>
            <w:gridSpan w:val="3"/>
            <w:shd w:val="clear" w:color="auto" w:fill="auto"/>
          </w:tcPr>
          <w:p w14:paraId="5EA1DE0D" w14:textId="77777777" w:rsidR="003C66EB" w:rsidRDefault="003C66EB">
            <w:pPr>
              <w:rPr>
                <w:rFonts w:ascii="宋体"/>
                <w:vanish/>
              </w:rPr>
            </w:pPr>
          </w:p>
        </w:tc>
        <w:tc>
          <w:tcPr>
            <w:tcW w:w="0" w:type="auto"/>
            <w:gridSpan w:val="3"/>
            <w:shd w:val="clear" w:color="auto" w:fill="auto"/>
          </w:tcPr>
          <w:p w14:paraId="5EA1DE0E" w14:textId="77777777" w:rsidR="003C66EB" w:rsidRDefault="003C66EB">
            <w:pPr>
              <w:rPr>
                <w:rFonts w:ascii="宋体"/>
                <w:vanish/>
              </w:rPr>
            </w:pPr>
          </w:p>
        </w:tc>
      </w:tr>
      <w:tr w:rsidR="003C66EB" w14:paraId="5EA1DE1B" w14:textId="77777777">
        <w:tc>
          <w:tcPr>
            <w:tcW w:w="0" w:type="auto"/>
            <w:gridSpan w:val="3"/>
            <w:shd w:val="clear" w:color="auto" w:fill="FFFFFF"/>
            <w:tcMar>
              <w:top w:w="40" w:type="dxa"/>
              <w:left w:w="20" w:type="dxa"/>
              <w:bottom w:w="40" w:type="dxa"/>
              <w:right w:w="20" w:type="dxa"/>
            </w:tcMar>
            <w:vAlign w:val="bottom"/>
          </w:tcPr>
          <w:p w14:paraId="5EA1DE10" w14:textId="77777777" w:rsidR="003C66EB" w:rsidRDefault="00D96C4E">
            <w:pPr>
              <w:textAlignment w:val="bottom"/>
            </w:pPr>
            <w:r>
              <w:rPr>
                <w:rFonts w:ascii="Arial" w:eastAsia="宋体" w:hAnsi="Arial" w:cs="Arial"/>
                <w:color w:val="000000"/>
                <w:sz w:val="13"/>
                <w:szCs w:val="13"/>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tcPr>
          <w:p w14:paraId="5EA1DE1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DE12"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DE1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DE14"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DE15" w14:textId="77777777" w:rsidR="003C66EB" w:rsidRDefault="003C66EB">
            <w:pPr>
              <w:rPr>
                <w:rFonts w:ascii="宋体"/>
              </w:rPr>
            </w:pPr>
          </w:p>
        </w:tc>
        <w:tc>
          <w:tcPr>
            <w:tcW w:w="0" w:type="auto"/>
            <w:gridSpan w:val="3"/>
            <w:shd w:val="clear" w:color="auto" w:fill="auto"/>
          </w:tcPr>
          <w:p w14:paraId="5EA1DE16" w14:textId="77777777" w:rsidR="003C66EB" w:rsidRDefault="003C66EB">
            <w:pPr>
              <w:rPr>
                <w:rFonts w:ascii="宋体"/>
                <w:vanish/>
              </w:rPr>
            </w:pPr>
          </w:p>
        </w:tc>
        <w:tc>
          <w:tcPr>
            <w:tcW w:w="0" w:type="auto"/>
            <w:gridSpan w:val="3"/>
            <w:shd w:val="clear" w:color="auto" w:fill="auto"/>
          </w:tcPr>
          <w:p w14:paraId="5EA1DE17" w14:textId="77777777" w:rsidR="003C66EB" w:rsidRDefault="003C66EB">
            <w:pPr>
              <w:rPr>
                <w:rFonts w:ascii="宋体"/>
                <w:vanish/>
              </w:rPr>
            </w:pPr>
          </w:p>
        </w:tc>
        <w:tc>
          <w:tcPr>
            <w:tcW w:w="0" w:type="auto"/>
            <w:gridSpan w:val="3"/>
            <w:shd w:val="clear" w:color="auto" w:fill="auto"/>
          </w:tcPr>
          <w:p w14:paraId="5EA1DE18" w14:textId="77777777" w:rsidR="003C66EB" w:rsidRDefault="003C66EB">
            <w:pPr>
              <w:rPr>
                <w:rFonts w:ascii="宋体"/>
                <w:vanish/>
              </w:rPr>
            </w:pPr>
          </w:p>
        </w:tc>
        <w:tc>
          <w:tcPr>
            <w:tcW w:w="0" w:type="auto"/>
            <w:gridSpan w:val="3"/>
            <w:shd w:val="clear" w:color="auto" w:fill="auto"/>
          </w:tcPr>
          <w:p w14:paraId="5EA1DE19" w14:textId="77777777" w:rsidR="003C66EB" w:rsidRDefault="003C66EB">
            <w:pPr>
              <w:rPr>
                <w:rFonts w:ascii="宋体"/>
                <w:vanish/>
              </w:rPr>
            </w:pPr>
          </w:p>
        </w:tc>
        <w:tc>
          <w:tcPr>
            <w:tcW w:w="0" w:type="auto"/>
            <w:gridSpan w:val="3"/>
            <w:shd w:val="clear" w:color="auto" w:fill="auto"/>
          </w:tcPr>
          <w:p w14:paraId="5EA1DE1A" w14:textId="77777777" w:rsidR="003C66EB" w:rsidRDefault="003C66EB">
            <w:pPr>
              <w:rPr>
                <w:rFonts w:ascii="宋体"/>
                <w:vanish/>
              </w:rPr>
            </w:pPr>
          </w:p>
        </w:tc>
      </w:tr>
      <w:tr w:rsidR="003C66EB" w14:paraId="5EA1DE2C" w14:textId="77777777">
        <w:tc>
          <w:tcPr>
            <w:tcW w:w="0" w:type="auto"/>
            <w:gridSpan w:val="3"/>
            <w:shd w:val="clear" w:color="auto" w:fill="CCEEFF"/>
            <w:tcMar>
              <w:top w:w="40" w:type="dxa"/>
              <w:left w:w="245" w:type="dxa"/>
              <w:bottom w:w="40" w:type="dxa"/>
              <w:right w:w="20" w:type="dxa"/>
            </w:tcMar>
            <w:vAlign w:val="bottom"/>
          </w:tcPr>
          <w:p w14:paraId="5EA1DE1C" w14:textId="77777777" w:rsidR="003C66EB" w:rsidRDefault="00D96C4E">
            <w:pPr>
              <w:textAlignment w:val="bottom"/>
            </w:pPr>
            <w:r>
              <w:rPr>
                <w:rFonts w:ascii="Arial" w:eastAsia="宋体" w:hAnsi="Arial" w:cs="Arial"/>
                <w:color w:val="000000"/>
                <w:sz w:val="13"/>
                <w:szCs w:val="13"/>
              </w:rPr>
              <w:t>Basic</w:t>
            </w:r>
          </w:p>
        </w:tc>
        <w:tc>
          <w:tcPr>
            <w:tcW w:w="0" w:type="auto"/>
            <w:shd w:val="clear" w:color="auto" w:fill="CCEEFF"/>
            <w:tcMar>
              <w:top w:w="40" w:type="dxa"/>
              <w:left w:w="20" w:type="dxa"/>
              <w:bottom w:w="40" w:type="dxa"/>
              <w:right w:w="0" w:type="dxa"/>
            </w:tcMar>
            <w:vAlign w:val="bottom"/>
          </w:tcPr>
          <w:p w14:paraId="5EA1DE1D"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1DE1E" w14:textId="77777777" w:rsidR="003C66EB" w:rsidRDefault="00D96C4E">
            <w:pPr>
              <w:jc w:val="right"/>
              <w:textAlignment w:val="bottom"/>
            </w:pPr>
            <w:r>
              <w:rPr>
                <w:rFonts w:ascii="Arial" w:eastAsia="宋体" w:hAnsi="Arial" w:cs="Arial"/>
                <w:b/>
                <w:bCs/>
                <w:color w:val="000000"/>
                <w:sz w:val="13"/>
                <w:szCs w:val="13"/>
              </w:rPr>
              <w:t>1.39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DE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E2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DE21"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1DE22" w14:textId="77777777" w:rsidR="003C66EB" w:rsidRDefault="00D96C4E">
            <w:pPr>
              <w:jc w:val="right"/>
              <w:textAlignment w:val="bottom"/>
            </w:pPr>
            <w:r>
              <w:rPr>
                <w:rFonts w:ascii="Arial" w:eastAsia="宋体" w:hAnsi="Arial" w:cs="Arial"/>
                <w:color w:val="000000"/>
                <w:sz w:val="13"/>
                <w:szCs w:val="13"/>
              </w:rPr>
              <w:t>1.64 </w:t>
            </w:r>
          </w:p>
        </w:tc>
        <w:tc>
          <w:tcPr>
            <w:tcW w:w="0" w:type="auto"/>
            <w:shd w:val="clear" w:color="auto" w:fill="CCEEFF"/>
            <w:tcMar>
              <w:top w:w="40" w:type="dxa"/>
              <w:left w:w="0" w:type="dxa"/>
              <w:bottom w:w="40" w:type="dxa"/>
              <w:right w:w="20" w:type="dxa"/>
            </w:tcMar>
            <w:vAlign w:val="bottom"/>
          </w:tcPr>
          <w:p w14:paraId="5EA1DE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E2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E25" w14:textId="77777777" w:rsidR="003C66EB" w:rsidRDefault="00D96C4E">
            <w:pPr>
              <w:jc w:val="right"/>
              <w:textAlignment w:val="bottom"/>
            </w:pPr>
            <w:r>
              <w:rPr>
                <w:rFonts w:ascii="Arial" w:eastAsia="宋体" w:hAnsi="Arial" w:cs="Arial"/>
                <w:color w:val="000000"/>
                <w:sz w:val="13"/>
                <w:szCs w:val="13"/>
              </w:rPr>
              <w:t>(15)</w:t>
            </w:r>
          </w:p>
        </w:tc>
        <w:tc>
          <w:tcPr>
            <w:tcW w:w="0" w:type="auto"/>
            <w:shd w:val="clear" w:color="auto" w:fill="CCEEFF"/>
            <w:tcMar>
              <w:top w:w="40" w:type="dxa"/>
              <w:left w:w="0" w:type="dxa"/>
              <w:bottom w:w="40" w:type="dxa"/>
              <w:right w:w="20" w:type="dxa"/>
            </w:tcMar>
            <w:vAlign w:val="bottom"/>
          </w:tcPr>
          <w:p w14:paraId="5EA1DE26" w14:textId="77777777" w:rsidR="003C66EB" w:rsidRDefault="003C66EB">
            <w:pPr>
              <w:jc w:val="right"/>
              <w:rPr>
                <w:rFonts w:ascii="宋体"/>
              </w:rPr>
            </w:pPr>
          </w:p>
        </w:tc>
        <w:tc>
          <w:tcPr>
            <w:tcW w:w="0" w:type="auto"/>
            <w:gridSpan w:val="3"/>
            <w:shd w:val="clear" w:color="auto" w:fill="auto"/>
          </w:tcPr>
          <w:p w14:paraId="5EA1DE27" w14:textId="77777777" w:rsidR="003C66EB" w:rsidRDefault="003C66EB">
            <w:pPr>
              <w:rPr>
                <w:rFonts w:ascii="宋体"/>
                <w:vanish/>
              </w:rPr>
            </w:pPr>
          </w:p>
        </w:tc>
        <w:tc>
          <w:tcPr>
            <w:tcW w:w="0" w:type="auto"/>
            <w:gridSpan w:val="3"/>
            <w:shd w:val="clear" w:color="auto" w:fill="auto"/>
          </w:tcPr>
          <w:p w14:paraId="5EA1DE28" w14:textId="77777777" w:rsidR="003C66EB" w:rsidRDefault="003C66EB">
            <w:pPr>
              <w:rPr>
                <w:rFonts w:ascii="宋体"/>
                <w:vanish/>
              </w:rPr>
            </w:pPr>
          </w:p>
        </w:tc>
        <w:tc>
          <w:tcPr>
            <w:tcW w:w="0" w:type="auto"/>
            <w:gridSpan w:val="3"/>
            <w:shd w:val="clear" w:color="auto" w:fill="auto"/>
          </w:tcPr>
          <w:p w14:paraId="5EA1DE29" w14:textId="77777777" w:rsidR="003C66EB" w:rsidRDefault="003C66EB">
            <w:pPr>
              <w:rPr>
                <w:rFonts w:ascii="宋体"/>
                <w:vanish/>
              </w:rPr>
            </w:pPr>
          </w:p>
        </w:tc>
        <w:tc>
          <w:tcPr>
            <w:tcW w:w="0" w:type="auto"/>
            <w:gridSpan w:val="3"/>
            <w:shd w:val="clear" w:color="auto" w:fill="auto"/>
          </w:tcPr>
          <w:p w14:paraId="5EA1DE2A" w14:textId="77777777" w:rsidR="003C66EB" w:rsidRDefault="003C66EB">
            <w:pPr>
              <w:rPr>
                <w:rFonts w:ascii="宋体"/>
                <w:vanish/>
              </w:rPr>
            </w:pPr>
          </w:p>
        </w:tc>
        <w:tc>
          <w:tcPr>
            <w:tcW w:w="0" w:type="auto"/>
            <w:gridSpan w:val="3"/>
            <w:shd w:val="clear" w:color="auto" w:fill="auto"/>
          </w:tcPr>
          <w:p w14:paraId="5EA1DE2B" w14:textId="77777777" w:rsidR="003C66EB" w:rsidRDefault="003C66EB">
            <w:pPr>
              <w:rPr>
                <w:rFonts w:ascii="宋体"/>
                <w:vanish/>
              </w:rPr>
            </w:pPr>
          </w:p>
        </w:tc>
      </w:tr>
      <w:tr w:rsidR="003C66EB" w14:paraId="5EA1DE3B" w14:textId="77777777">
        <w:tc>
          <w:tcPr>
            <w:tcW w:w="0" w:type="auto"/>
            <w:gridSpan w:val="3"/>
            <w:shd w:val="clear" w:color="auto" w:fill="FFFFFF"/>
            <w:tcMar>
              <w:top w:w="40" w:type="dxa"/>
              <w:left w:w="245" w:type="dxa"/>
              <w:bottom w:w="40" w:type="dxa"/>
              <w:right w:w="20" w:type="dxa"/>
            </w:tcMar>
            <w:vAlign w:val="bottom"/>
          </w:tcPr>
          <w:p w14:paraId="5EA1DE2D" w14:textId="77777777" w:rsidR="003C66EB" w:rsidRDefault="00D96C4E">
            <w:pPr>
              <w:textAlignment w:val="bottom"/>
            </w:pPr>
            <w:r>
              <w:rPr>
                <w:rFonts w:ascii="Arial" w:eastAsia="宋体" w:hAnsi="Arial" w:cs="Arial"/>
                <w:color w:val="000000"/>
                <w:sz w:val="13"/>
                <w:szCs w:val="13"/>
              </w:rPr>
              <w:t>Diluted</w:t>
            </w:r>
          </w:p>
        </w:tc>
        <w:tc>
          <w:tcPr>
            <w:tcW w:w="0" w:type="auto"/>
            <w:gridSpan w:val="2"/>
            <w:shd w:val="clear" w:color="auto" w:fill="FFFFFF"/>
            <w:tcMar>
              <w:top w:w="40" w:type="dxa"/>
              <w:left w:w="20" w:type="dxa"/>
              <w:bottom w:w="40" w:type="dxa"/>
              <w:right w:w="0" w:type="dxa"/>
            </w:tcMar>
            <w:vAlign w:val="bottom"/>
          </w:tcPr>
          <w:p w14:paraId="5EA1DE2E" w14:textId="77777777" w:rsidR="003C66EB" w:rsidRDefault="00D96C4E">
            <w:pPr>
              <w:jc w:val="right"/>
              <w:textAlignment w:val="bottom"/>
            </w:pPr>
            <w:r>
              <w:rPr>
                <w:rFonts w:ascii="Arial" w:eastAsia="宋体" w:hAnsi="Arial" w:cs="Arial"/>
                <w:b/>
                <w:bCs/>
                <w:color w:val="000000"/>
                <w:sz w:val="13"/>
                <w:szCs w:val="13"/>
              </w:rPr>
              <w:t>1.37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E2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3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31" w14:textId="77777777" w:rsidR="003C66EB" w:rsidRDefault="00D96C4E">
            <w:pPr>
              <w:jc w:val="right"/>
              <w:textAlignment w:val="bottom"/>
            </w:pPr>
            <w:r>
              <w:rPr>
                <w:rFonts w:ascii="Arial" w:eastAsia="宋体" w:hAnsi="Arial" w:cs="Arial"/>
                <w:color w:val="000000"/>
                <w:sz w:val="13"/>
                <w:szCs w:val="13"/>
              </w:rPr>
              <w:t>1.62 </w:t>
            </w:r>
          </w:p>
        </w:tc>
        <w:tc>
          <w:tcPr>
            <w:tcW w:w="0" w:type="auto"/>
            <w:shd w:val="clear" w:color="auto" w:fill="FFFFFF"/>
            <w:tcMar>
              <w:top w:w="40" w:type="dxa"/>
              <w:left w:w="0" w:type="dxa"/>
              <w:bottom w:w="40" w:type="dxa"/>
              <w:right w:w="20" w:type="dxa"/>
            </w:tcMar>
            <w:vAlign w:val="bottom"/>
          </w:tcPr>
          <w:p w14:paraId="5EA1DE3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3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34" w14:textId="77777777" w:rsidR="003C66EB" w:rsidRDefault="00D96C4E">
            <w:pPr>
              <w:jc w:val="right"/>
              <w:textAlignment w:val="bottom"/>
            </w:pPr>
            <w:r>
              <w:rPr>
                <w:rFonts w:ascii="Arial" w:eastAsia="宋体" w:hAnsi="Arial" w:cs="Arial"/>
                <w:color w:val="000000"/>
                <w:sz w:val="13"/>
                <w:szCs w:val="13"/>
              </w:rPr>
              <w:t>(15)</w:t>
            </w:r>
          </w:p>
        </w:tc>
        <w:tc>
          <w:tcPr>
            <w:tcW w:w="0" w:type="auto"/>
            <w:shd w:val="clear" w:color="auto" w:fill="FFFFFF"/>
            <w:tcMar>
              <w:top w:w="40" w:type="dxa"/>
              <w:left w:w="0" w:type="dxa"/>
              <w:bottom w:w="40" w:type="dxa"/>
              <w:right w:w="20" w:type="dxa"/>
            </w:tcMar>
            <w:vAlign w:val="bottom"/>
          </w:tcPr>
          <w:p w14:paraId="5EA1DE35" w14:textId="77777777" w:rsidR="003C66EB" w:rsidRDefault="003C66EB">
            <w:pPr>
              <w:jc w:val="right"/>
              <w:rPr>
                <w:rFonts w:ascii="宋体"/>
              </w:rPr>
            </w:pPr>
          </w:p>
        </w:tc>
        <w:tc>
          <w:tcPr>
            <w:tcW w:w="0" w:type="auto"/>
            <w:gridSpan w:val="3"/>
            <w:shd w:val="clear" w:color="auto" w:fill="auto"/>
          </w:tcPr>
          <w:p w14:paraId="5EA1DE36" w14:textId="77777777" w:rsidR="003C66EB" w:rsidRDefault="003C66EB">
            <w:pPr>
              <w:rPr>
                <w:rFonts w:ascii="宋体"/>
                <w:vanish/>
              </w:rPr>
            </w:pPr>
          </w:p>
        </w:tc>
        <w:tc>
          <w:tcPr>
            <w:tcW w:w="0" w:type="auto"/>
            <w:gridSpan w:val="3"/>
            <w:shd w:val="clear" w:color="auto" w:fill="auto"/>
          </w:tcPr>
          <w:p w14:paraId="5EA1DE37" w14:textId="77777777" w:rsidR="003C66EB" w:rsidRDefault="003C66EB">
            <w:pPr>
              <w:rPr>
                <w:rFonts w:ascii="宋体"/>
                <w:vanish/>
              </w:rPr>
            </w:pPr>
          </w:p>
        </w:tc>
        <w:tc>
          <w:tcPr>
            <w:tcW w:w="0" w:type="auto"/>
            <w:gridSpan w:val="3"/>
            <w:shd w:val="clear" w:color="auto" w:fill="auto"/>
          </w:tcPr>
          <w:p w14:paraId="5EA1DE38" w14:textId="77777777" w:rsidR="003C66EB" w:rsidRDefault="003C66EB">
            <w:pPr>
              <w:rPr>
                <w:rFonts w:ascii="宋体"/>
                <w:vanish/>
              </w:rPr>
            </w:pPr>
          </w:p>
        </w:tc>
        <w:tc>
          <w:tcPr>
            <w:tcW w:w="0" w:type="auto"/>
            <w:gridSpan w:val="3"/>
            <w:shd w:val="clear" w:color="auto" w:fill="auto"/>
          </w:tcPr>
          <w:p w14:paraId="5EA1DE39" w14:textId="77777777" w:rsidR="003C66EB" w:rsidRDefault="003C66EB">
            <w:pPr>
              <w:rPr>
                <w:rFonts w:ascii="宋体"/>
                <w:vanish/>
              </w:rPr>
            </w:pPr>
          </w:p>
        </w:tc>
        <w:tc>
          <w:tcPr>
            <w:tcW w:w="0" w:type="auto"/>
            <w:gridSpan w:val="3"/>
            <w:shd w:val="clear" w:color="auto" w:fill="auto"/>
          </w:tcPr>
          <w:p w14:paraId="5EA1DE3A" w14:textId="77777777" w:rsidR="003C66EB" w:rsidRDefault="003C66EB">
            <w:pPr>
              <w:rPr>
                <w:rFonts w:ascii="宋体"/>
                <w:vanish/>
              </w:rPr>
            </w:pPr>
          </w:p>
        </w:tc>
      </w:tr>
      <w:tr w:rsidR="003C66EB" w14:paraId="5EA1DE47" w14:textId="77777777">
        <w:tc>
          <w:tcPr>
            <w:tcW w:w="0" w:type="auto"/>
            <w:gridSpan w:val="3"/>
            <w:shd w:val="clear" w:color="auto" w:fill="CCEEFF"/>
            <w:tcMar>
              <w:top w:w="40" w:type="dxa"/>
              <w:left w:w="20" w:type="dxa"/>
              <w:bottom w:w="40" w:type="dxa"/>
              <w:right w:w="20" w:type="dxa"/>
            </w:tcMar>
            <w:vAlign w:val="bottom"/>
          </w:tcPr>
          <w:p w14:paraId="5EA1DE3C" w14:textId="77777777" w:rsidR="003C66EB" w:rsidRDefault="00D96C4E">
            <w:pPr>
              <w:textAlignment w:val="bottom"/>
            </w:pPr>
            <w:r>
              <w:rPr>
                <w:rFonts w:ascii="Arial" w:eastAsia="宋体" w:hAnsi="Arial" w:cs="Arial"/>
                <w:color w:val="000000"/>
                <w:sz w:val="13"/>
                <w:szCs w:val="13"/>
              </w:rPr>
              <w:t>Average common shares outstanding (in thousands):</w:t>
            </w:r>
          </w:p>
        </w:tc>
        <w:tc>
          <w:tcPr>
            <w:tcW w:w="0" w:type="auto"/>
            <w:gridSpan w:val="3"/>
            <w:shd w:val="clear" w:color="auto" w:fill="CCEEFF"/>
            <w:tcMar>
              <w:top w:w="0" w:type="dxa"/>
              <w:left w:w="20" w:type="dxa"/>
              <w:bottom w:w="0" w:type="dxa"/>
              <w:right w:w="20" w:type="dxa"/>
            </w:tcMar>
          </w:tcPr>
          <w:p w14:paraId="5EA1DE3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DE3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DE3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DE4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DE41" w14:textId="77777777" w:rsidR="003C66EB" w:rsidRDefault="003C66EB">
            <w:pPr>
              <w:rPr>
                <w:rFonts w:ascii="宋体"/>
              </w:rPr>
            </w:pPr>
          </w:p>
        </w:tc>
        <w:tc>
          <w:tcPr>
            <w:tcW w:w="0" w:type="auto"/>
            <w:gridSpan w:val="3"/>
            <w:shd w:val="clear" w:color="auto" w:fill="auto"/>
          </w:tcPr>
          <w:p w14:paraId="5EA1DE42" w14:textId="77777777" w:rsidR="003C66EB" w:rsidRDefault="003C66EB">
            <w:pPr>
              <w:rPr>
                <w:rFonts w:ascii="宋体"/>
                <w:vanish/>
              </w:rPr>
            </w:pPr>
          </w:p>
        </w:tc>
        <w:tc>
          <w:tcPr>
            <w:tcW w:w="0" w:type="auto"/>
            <w:gridSpan w:val="3"/>
            <w:shd w:val="clear" w:color="auto" w:fill="auto"/>
          </w:tcPr>
          <w:p w14:paraId="5EA1DE43" w14:textId="77777777" w:rsidR="003C66EB" w:rsidRDefault="003C66EB">
            <w:pPr>
              <w:rPr>
                <w:rFonts w:ascii="宋体"/>
                <w:vanish/>
              </w:rPr>
            </w:pPr>
          </w:p>
        </w:tc>
        <w:tc>
          <w:tcPr>
            <w:tcW w:w="0" w:type="auto"/>
            <w:gridSpan w:val="3"/>
            <w:shd w:val="clear" w:color="auto" w:fill="auto"/>
          </w:tcPr>
          <w:p w14:paraId="5EA1DE44" w14:textId="77777777" w:rsidR="003C66EB" w:rsidRDefault="003C66EB">
            <w:pPr>
              <w:rPr>
                <w:rFonts w:ascii="宋体"/>
                <w:vanish/>
              </w:rPr>
            </w:pPr>
          </w:p>
        </w:tc>
        <w:tc>
          <w:tcPr>
            <w:tcW w:w="0" w:type="auto"/>
            <w:gridSpan w:val="3"/>
            <w:shd w:val="clear" w:color="auto" w:fill="auto"/>
          </w:tcPr>
          <w:p w14:paraId="5EA1DE45" w14:textId="77777777" w:rsidR="003C66EB" w:rsidRDefault="003C66EB">
            <w:pPr>
              <w:rPr>
                <w:rFonts w:ascii="宋体"/>
                <w:vanish/>
              </w:rPr>
            </w:pPr>
          </w:p>
        </w:tc>
        <w:tc>
          <w:tcPr>
            <w:tcW w:w="0" w:type="auto"/>
            <w:gridSpan w:val="3"/>
            <w:shd w:val="clear" w:color="auto" w:fill="auto"/>
          </w:tcPr>
          <w:p w14:paraId="5EA1DE46" w14:textId="77777777" w:rsidR="003C66EB" w:rsidRDefault="003C66EB">
            <w:pPr>
              <w:rPr>
                <w:rFonts w:ascii="宋体"/>
                <w:vanish/>
              </w:rPr>
            </w:pPr>
          </w:p>
        </w:tc>
      </w:tr>
      <w:tr w:rsidR="003C66EB" w14:paraId="5EA1DE56" w14:textId="77777777">
        <w:tc>
          <w:tcPr>
            <w:tcW w:w="0" w:type="auto"/>
            <w:gridSpan w:val="3"/>
            <w:shd w:val="clear" w:color="auto" w:fill="FFFFFF"/>
            <w:tcMar>
              <w:top w:w="40" w:type="dxa"/>
              <w:left w:w="245" w:type="dxa"/>
              <w:bottom w:w="40" w:type="dxa"/>
              <w:right w:w="20" w:type="dxa"/>
            </w:tcMar>
            <w:vAlign w:val="bottom"/>
          </w:tcPr>
          <w:p w14:paraId="5EA1DE48" w14:textId="77777777" w:rsidR="003C66EB" w:rsidRDefault="00D96C4E">
            <w:pPr>
              <w:textAlignment w:val="bottom"/>
            </w:pPr>
            <w:r>
              <w:rPr>
                <w:rFonts w:ascii="Arial" w:eastAsia="宋体" w:hAnsi="Arial" w:cs="Arial"/>
                <w:color w:val="000000"/>
                <w:sz w:val="13"/>
                <w:szCs w:val="13"/>
              </w:rPr>
              <w:t>Basic</w:t>
            </w:r>
          </w:p>
        </w:tc>
        <w:tc>
          <w:tcPr>
            <w:tcW w:w="0" w:type="auto"/>
            <w:gridSpan w:val="2"/>
            <w:shd w:val="clear" w:color="auto" w:fill="FFFFFF"/>
            <w:tcMar>
              <w:top w:w="40" w:type="dxa"/>
              <w:left w:w="20" w:type="dxa"/>
              <w:bottom w:w="40" w:type="dxa"/>
              <w:right w:w="0" w:type="dxa"/>
            </w:tcMar>
            <w:vAlign w:val="bottom"/>
          </w:tcPr>
          <w:p w14:paraId="5EA1DE49" w14:textId="77777777" w:rsidR="003C66EB" w:rsidRDefault="00D96C4E">
            <w:pPr>
              <w:jc w:val="right"/>
              <w:textAlignment w:val="bottom"/>
            </w:pPr>
            <w:r>
              <w:rPr>
                <w:rFonts w:ascii="Arial" w:eastAsia="宋体" w:hAnsi="Arial" w:cs="Arial"/>
                <w:b/>
                <w:bCs/>
                <w:color w:val="000000"/>
                <w:sz w:val="13"/>
                <w:szCs w:val="13"/>
              </w:rPr>
              <w:t>350,743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E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4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4C" w14:textId="77777777" w:rsidR="003C66EB" w:rsidRDefault="00D96C4E">
            <w:pPr>
              <w:jc w:val="right"/>
              <w:textAlignment w:val="bottom"/>
            </w:pPr>
            <w:r>
              <w:rPr>
                <w:rFonts w:ascii="Arial" w:eastAsia="宋体" w:hAnsi="Arial" w:cs="Arial"/>
                <w:color w:val="000000"/>
                <w:sz w:val="13"/>
                <w:szCs w:val="13"/>
              </w:rPr>
              <w:t>353,746 </w:t>
            </w:r>
          </w:p>
        </w:tc>
        <w:tc>
          <w:tcPr>
            <w:tcW w:w="0" w:type="auto"/>
            <w:shd w:val="clear" w:color="auto" w:fill="FFFFFF"/>
            <w:tcMar>
              <w:top w:w="40" w:type="dxa"/>
              <w:left w:w="0" w:type="dxa"/>
              <w:bottom w:w="40" w:type="dxa"/>
              <w:right w:w="20" w:type="dxa"/>
            </w:tcMar>
            <w:vAlign w:val="bottom"/>
          </w:tcPr>
          <w:p w14:paraId="5EA1DE4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4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4F" w14:textId="77777777" w:rsidR="003C66EB" w:rsidRDefault="00D96C4E">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A1DE50" w14:textId="77777777" w:rsidR="003C66EB" w:rsidRDefault="003C66EB">
            <w:pPr>
              <w:jc w:val="right"/>
              <w:rPr>
                <w:rFonts w:ascii="宋体"/>
              </w:rPr>
            </w:pPr>
          </w:p>
        </w:tc>
        <w:tc>
          <w:tcPr>
            <w:tcW w:w="0" w:type="auto"/>
            <w:gridSpan w:val="3"/>
            <w:shd w:val="clear" w:color="auto" w:fill="auto"/>
          </w:tcPr>
          <w:p w14:paraId="5EA1DE51" w14:textId="77777777" w:rsidR="003C66EB" w:rsidRDefault="003C66EB">
            <w:pPr>
              <w:rPr>
                <w:rFonts w:ascii="宋体"/>
                <w:vanish/>
              </w:rPr>
            </w:pPr>
          </w:p>
        </w:tc>
        <w:tc>
          <w:tcPr>
            <w:tcW w:w="0" w:type="auto"/>
            <w:gridSpan w:val="3"/>
            <w:shd w:val="clear" w:color="auto" w:fill="auto"/>
          </w:tcPr>
          <w:p w14:paraId="5EA1DE52" w14:textId="77777777" w:rsidR="003C66EB" w:rsidRDefault="003C66EB">
            <w:pPr>
              <w:rPr>
                <w:rFonts w:ascii="宋体"/>
                <w:vanish/>
              </w:rPr>
            </w:pPr>
          </w:p>
        </w:tc>
        <w:tc>
          <w:tcPr>
            <w:tcW w:w="0" w:type="auto"/>
            <w:gridSpan w:val="3"/>
            <w:shd w:val="clear" w:color="auto" w:fill="auto"/>
          </w:tcPr>
          <w:p w14:paraId="5EA1DE53" w14:textId="77777777" w:rsidR="003C66EB" w:rsidRDefault="003C66EB">
            <w:pPr>
              <w:rPr>
                <w:rFonts w:ascii="宋体"/>
                <w:vanish/>
              </w:rPr>
            </w:pPr>
          </w:p>
        </w:tc>
        <w:tc>
          <w:tcPr>
            <w:tcW w:w="0" w:type="auto"/>
            <w:gridSpan w:val="3"/>
            <w:shd w:val="clear" w:color="auto" w:fill="auto"/>
          </w:tcPr>
          <w:p w14:paraId="5EA1DE54" w14:textId="77777777" w:rsidR="003C66EB" w:rsidRDefault="003C66EB">
            <w:pPr>
              <w:rPr>
                <w:rFonts w:ascii="宋体"/>
                <w:vanish/>
              </w:rPr>
            </w:pPr>
          </w:p>
        </w:tc>
        <w:tc>
          <w:tcPr>
            <w:tcW w:w="0" w:type="auto"/>
            <w:gridSpan w:val="3"/>
            <w:shd w:val="clear" w:color="auto" w:fill="auto"/>
          </w:tcPr>
          <w:p w14:paraId="5EA1DE55" w14:textId="77777777" w:rsidR="003C66EB" w:rsidRDefault="003C66EB">
            <w:pPr>
              <w:rPr>
                <w:rFonts w:ascii="宋体"/>
                <w:vanish/>
              </w:rPr>
            </w:pPr>
          </w:p>
        </w:tc>
      </w:tr>
      <w:tr w:rsidR="003C66EB" w14:paraId="5EA1DE65" w14:textId="77777777">
        <w:tc>
          <w:tcPr>
            <w:tcW w:w="0" w:type="auto"/>
            <w:gridSpan w:val="3"/>
            <w:shd w:val="clear" w:color="auto" w:fill="CCEEFF"/>
            <w:tcMar>
              <w:top w:w="40" w:type="dxa"/>
              <w:left w:w="245" w:type="dxa"/>
              <w:bottom w:w="40" w:type="dxa"/>
              <w:right w:w="20" w:type="dxa"/>
            </w:tcMar>
            <w:vAlign w:val="bottom"/>
          </w:tcPr>
          <w:p w14:paraId="5EA1DE57" w14:textId="77777777" w:rsidR="003C66EB" w:rsidRDefault="00D96C4E">
            <w:pPr>
              <w:textAlignment w:val="bottom"/>
            </w:pPr>
            <w:r>
              <w:rPr>
                <w:rFonts w:ascii="Arial" w:eastAsia="宋体" w:hAnsi="Arial" w:cs="Arial"/>
                <w:color w:val="000000"/>
                <w:sz w:val="13"/>
                <w:szCs w:val="13"/>
              </w:rPr>
              <w:t>Diluted</w:t>
            </w:r>
          </w:p>
        </w:tc>
        <w:tc>
          <w:tcPr>
            <w:tcW w:w="0" w:type="auto"/>
            <w:gridSpan w:val="2"/>
            <w:shd w:val="clear" w:color="auto" w:fill="CCEEFF"/>
            <w:tcMar>
              <w:top w:w="40" w:type="dxa"/>
              <w:left w:w="20" w:type="dxa"/>
              <w:bottom w:w="40" w:type="dxa"/>
              <w:right w:w="0" w:type="dxa"/>
            </w:tcMar>
            <w:vAlign w:val="bottom"/>
          </w:tcPr>
          <w:p w14:paraId="5EA1DE58" w14:textId="77777777" w:rsidR="003C66EB" w:rsidRDefault="00D96C4E">
            <w:pPr>
              <w:jc w:val="right"/>
              <w:textAlignment w:val="bottom"/>
            </w:pPr>
            <w:r>
              <w:rPr>
                <w:rFonts w:ascii="Arial" w:eastAsia="宋体" w:hAnsi="Arial" w:cs="Arial"/>
                <w:b/>
                <w:bCs/>
                <w:color w:val="000000"/>
                <w:sz w:val="13"/>
                <w:szCs w:val="13"/>
              </w:rPr>
              <w:t>355,690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DE5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E5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E5B" w14:textId="77777777" w:rsidR="003C66EB" w:rsidRDefault="00D96C4E">
            <w:pPr>
              <w:jc w:val="right"/>
              <w:textAlignment w:val="bottom"/>
            </w:pPr>
            <w:r>
              <w:rPr>
                <w:rFonts w:ascii="Arial" w:eastAsia="宋体" w:hAnsi="Arial" w:cs="Arial"/>
                <w:color w:val="000000"/>
                <w:sz w:val="13"/>
                <w:szCs w:val="13"/>
              </w:rPr>
              <w:t>357,993 </w:t>
            </w:r>
          </w:p>
        </w:tc>
        <w:tc>
          <w:tcPr>
            <w:tcW w:w="0" w:type="auto"/>
            <w:shd w:val="clear" w:color="auto" w:fill="CCEEFF"/>
            <w:tcMar>
              <w:top w:w="40" w:type="dxa"/>
              <w:left w:w="0" w:type="dxa"/>
              <w:bottom w:w="40" w:type="dxa"/>
              <w:right w:w="20" w:type="dxa"/>
            </w:tcMar>
            <w:vAlign w:val="bottom"/>
          </w:tcPr>
          <w:p w14:paraId="5EA1DE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DE5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E5E" w14:textId="77777777" w:rsidR="003C66EB" w:rsidRDefault="00D96C4E">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A1DE5F" w14:textId="77777777" w:rsidR="003C66EB" w:rsidRDefault="003C66EB">
            <w:pPr>
              <w:jc w:val="right"/>
              <w:rPr>
                <w:rFonts w:ascii="宋体"/>
              </w:rPr>
            </w:pPr>
          </w:p>
        </w:tc>
        <w:tc>
          <w:tcPr>
            <w:tcW w:w="0" w:type="auto"/>
            <w:gridSpan w:val="3"/>
            <w:shd w:val="clear" w:color="auto" w:fill="auto"/>
          </w:tcPr>
          <w:p w14:paraId="5EA1DE60" w14:textId="77777777" w:rsidR="003C66EB" w:rsidRDefault="003C66EB">
            <w:pPr>
              <w:rPr>
                <w:rFonts w:ascii="宋体"/>
                <w:vanish/>
              </w:rPr>
            </w:pPr>
          </w:p>
        </w:tc>
        <w:tc>
          <w:tcPr>
            <w:tcW w:w="0" w:type="auto"/>
            <w:gridSpan w:val="3"/>
            <w:shd w:val="clear" w:color="auto" w:fill="auto"/>
          </w:tcPr>
          <w:p w14:paraId="5EA1DE61" w14:textId="77777777" w:rsidR="003C66EB" w:rsidRDefault="003C66EB">
            <w:pPr>
              <w:rPr>
                <w:rFonts w:ascii="宋体"/>
                <w:vanish/>
              </w:rPr>
            </w:pPr>
          </w:p>
        </w:tc>
        <w:tc>
          <w:tcPr>
            <w:tcW w:w="0" w:type="auto"/>
            <w:gridSpan w:val="3"/>
            <w:shd w:val="clear" w:color="auto" w:fill="auto"/>
          </w:tcPr>
          <w:p w14:paraId="5EA1DE62" w14:textId="77777777" w:rsidR="003C66EB" w:rsidRDefault="003C66EB">
            <w:pPr>
              <w:rPr>
                <w:rFonts w:ascii="宋体"/>
                <w:vanish/>
              </w:rPr>
            </w:pPr>
          </w:p>
        </w:tc>
        <w:tc>
          <w:tcPr>
            <w:tcW w:w="0" w:type="auto"/>
            <w:gridSpan w:val="3"/>
            <w:shd w:val="clear" w:color="auto" w:fill="auto"/>
          </w:tcPr>
          <w:p w14:paraId="5EA1DE63" w14:textId="77777777" w:rsidR="003C66EB" w:rsidRDefault="003C66EB">
            <w:pPr>
              <w:rPr>
                <w:rFonts w:ascii="宋体"/>
                <w:vanish/>
              </w:rPr>
            </w:pPr>
          </w:p>
        </w:tc>
        <w:tc>
          <w:tcPr>
            <w:tcW w:w="0" w:type="auto"/>
            <w:gridSpan w:val="3"/>
            <w:shd w:val="clear" w:color="auto" w:fill="auto"/>
          </w:tcPr>
          <w:p w14:paraId="5EA1DE64" w14:textId="77777777" w:rsidR="003C66EB" w:rsidRDefault="003C66EB">
            <w:pPr>
              <w:rPr>
                <w:rFonts w:ascii="宋体"/>
                <w:vanish/>
              </w:rPr>
            </w:pPr>
          </w:p>
        </w:tc>
      </w:tr>
      <w:tr w:rsidR="003C66EB" w14:paraId="5EA1DE76" w14:textId="77777777">
        <w:tc>
          <w:tcPr>
            <w:tcW w:w="0" w:type="auto"/>
            <w:gridSpan w:val="3"/>
            <w:shd w:val="clear" w:color="auto" w:fill="FFFFFF"/>
            <w:tcMar>
              <w:top w:w="40" w:type="dxa"/>
              <w:left w:w="20" w:type="dxa"/>
              <w:bottom w:w="40" w:type="dxa"/>
              <w:right w:w="20" w:type="dxa"/>
            </w:tcMar>
            <w:vAlign w:val="bottom"/>
          </w:tcPr>
          <w:p w14:paraId="5EA1DE66" w14:textId="77777777" w:rsidR="003C66EB" w:rsidRDefault="00D96C4E">
            <w:pPr>
              <w:textAlignment w:val="bottom"/>
            </w:pPr>
            <w:r>
              <w:rPr>
                <w:rFonts w:ascii="Arial" w:eastAsia="宋体" w:hAnsi="Arial" w:cs="Arial"/>
                <w:color w:val="000000"/>
                <w:sz w:val="13"/>
                <w:szCs w:val="13"/>
              </w:rPr>
              <w:t>Cash dividends declared per common share</w:t>
            </w:r>
          </w:p>
        </w:tc>
        <w:tc>
          <w:tcPr>
            <w:tcW w:w="0" w:type="auto"/>
            <w:shd w:val="clear" w:color="auto" w:fill="FFFFFF"/>
            <w:tcMar>
              <w:top w:w="40" w:type="dxa"/>
              <w:left w:w="20" w:type="dxa"/>
              <w:bottom w:w="40" w:type="dxa"/>
              <w:right w:w="0" w:type="dxa"/>
            </w:tcMar>
            <w:vAlign w:val="bottom"/>
          </w:tcPr>
          <w:p w14:paraId="5EA1DE67"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1DE68" w14:textId="77777777" w:rsidR="003C66EB" w:rsidRDefault="00D96C4E">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E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6A"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DE6B"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1DE6C" w14:textId="77777777" w:rsidR="003C66EB" w:rsidRDefault="00D96C4E">
            <w:pPr>
              <w:jc w:val="right"/>
              <w:textAlignment w:val="bottom"/>
            </w:pPr>
            <w:r>
              <w:rPr>
                <w:rFonts w:ascii="Arial" w:eastAsia="宋体" w:hAnsi="Arial" w:cs="Arial"/>
                <w:color w:val="000000"/>
                <w:sz w:val="13"/>
                <w:szCs w:val="13"/>
              </w:rPr>
              <w:t>.52 </w:t>
            </w:r>
          </w:p>
        </w:tc>
        <w:tc>
          <w:tcPr>
            <w:tcW w:w="0" w:type="auto"/>
            <w:shd w:val="clear" w:color="auto" w:fill="FFFFFF"/>
            <w:tcMar>
              <w:top w:w="40" w:type="dxa"/>
              <w:left w:w="0" w:type="dxa"/>
              <w:bottom w:w="40" w:type="dxa"/>
              <w:right w:w="20" w:type="dxa"/>
            </w:tcMar>
            <w:vAlign w:val="bottom"/>
          </w:tcPr>
          <w:p w14:paraId="5EA1DE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6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6F"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E70" w14:textId="77777777" w:rsidR="003C66EB" w:rsidRDefault="003C66EB">
            <w:pPr>
              <w:jc w:val="right"/>
              <w:rPr>
                <w:rFonts w:ascii="宋体"/>
              </w:rPr>
            </w:pPr>
          </w:p>
        </w:tc>
        <w:tc>
          <w:tcPr>
            <w:tcW w:w="0" w:type="auto"/>
            <w:gridSpan w:val="3"/>
            <w:shd w:val="clear" w:color="auto" w:fill="auto"/>
          </w:tcPr>
          <w:p w14:paraId="5EA1DE71" w14:textId="77777777" w:rsidR="003C66EB" w:rsidRDefault="003C66EB">
            <w:pPr>
              <w:rPr>
                <w:rFonts w:ascii="宋体"/>
                <w:vanish/>
              </w:rPr>
            </w:pPr>
          </w:p>
        </w:tc>
        <w:tc>
          <w:tcPr>
            <w:tcW w:w="0" w:type="auto"/>
            <w:gridSpan w:val="3"/>
            <w:shd w:val="clear" w:color="auto" w:fill="auto"/>
          </w:tcPr>
          <w:p w14:paraId="5EA1DE72" w14:textId="77777777" w:rsidR="003C66EB" w:rsidRDefault="003C66EB">
            <w:pPr>
              <w:rPr>
                <w:rFonts w:ascii="宋体"/>
                <w:vanish/>
              </w:rPr>
            </w:pPr>
          </w:p>
        </w:tc>
        <w:tc>
          <w:tcPr>
            <w:tcW w:w="0" w:type="auto"/>
            <w:gridSpan w:val="3"/>
            <w:shd w:val="clear" w:color="auto" w:fill="auto"/>
          </w:tcPr>
          <w:p w14:paraId="5EA1DE73" w14:textId="77777777" w:rsidR="003C66EB" w:rsidRDefault="003C66EB">
            <w:pPr>
              <w:rPr>
                <w:rFonts w:ascii="宋体"/>
                <w:vanish/>
              </w:rPr>
            </w:pPr>
          </w:p>
        </w:tc>
        <w:tc>
          <w:tcPr>
            <w:tcW w:w="0" w:type="auto"/>
            <w:gridSpan w:val="3"/>
            <w:shd w:val="clear" w:color="auto" w:fill="auto"/>
          </w:tcPr>
          <w:p w14:paraId="5EA1DE74" w14:textId="77777777" w:rsidR="003C66EB" w:rsidRDefault="003C66EB">
            <w:pPr>
              <w:rPr>
                <w:rFonts w:ascii="宋体"/>
                <w:vanish/>
              </w:rPr>
            </w:pPr>
          </w:p>
        </w:tc>
        <w:tc>
          <w:tcPr>
            <w:tcW w:w="0" w:type="auto"/>
            <w:gridSpan w:val="3"/>
            <w:shd w:val="clear" w:color="auto" w:fill="auto"/>
          </w:tcPr>
          <w:p w14:paraId="5EA1DE75" w14:textId="77777777" w:rsidR="003C66EB" w:rsidRDefault="003C66EB">
            <w:pPr>
              <w:rPr>
                <w:rFonts w:ascii="宋体"/>
                <w:vanish/>
              </w:rPr>
            </w:pPr>
          </w:p>
        </w:tc>
      </w:tr>
      <w:tr w:rsidR="003C66EB" w14:paraId="5EA1DE84" w14:textId="77777777">
        <w:tc>
          <w:tcPr>
            <w:tcW w:w="0" w:type="auto"/>
            <w:gridSpan w:val="3"/>
            <w:shd w:val="clear" w:color="auto" w:fill="CCEEFF"/>
            <w:tcMar>
              <w:top w:w="40" w:type="dxa"/>
              <w:left w:w="20" w:type="dxa"/>
              <w:bottom w:w="40" w:type="dxa"/>
              <w:right w:w="20" w:type="dxa"/>
            </w:tcMar>
            <w:vAlign w:val="bottom"/>
          </w:tcPr>
          <w:p w14:paraId="5EA1DE77" w14:textId="77777777" w:rsidR="003C66EB" w:rsidRDefault="00D96C4E">
            <w:pPr>
              <w:textAlignment w:val="bottom"/>
            </w:pPr>
            <w:r>
              <w:rPr>
                <w:rFonts w:ascii="Arial" w:eastAsia="宋体" w:hAnsi="Arial" w:cs="Arial"/>
                <w:color w:val="000000"/>
                <w:sz w:val="13"/>
                <w:szCs w:val="13"/>
              </w:rPr>
              <w:t>Return on average common equity</w:t>
            </w:r>
          </w:p>
        </w:tc>
        <w:tc>
          <w:tcPr>
            <w:tcW w:w="0" w:type="auto"/>
            <w:gridSpan w:val="2"/>
            <w:shd w:val="clear" w:color="auto" w:fill="CCEEFF"/>
            <w:tcMar>
              <w:top w:w="40" w:type="dxa"/>
              <w:left w:w="20" w:type="dxa"/>
              <w:bottom w:w="40" w:type="dxa"/>
              <w:right w:w="0" w:type="dxa"/>
            </w:tcMar>
            <w:vAlign w:val="bottom"/>
          </w:tcPr>
          <w:p w14:paraId="5EA1DE78" w14:textId="77777777" w:rsidR="003C66EB" w:rsidRDefault="00D96C4E">
            <w:pPr>
              <w:jc w:val="right"/>
              <w:textAlignment w:val="bottom"/>
            </w:pPr>
            <w:r>
              <w:rPr>
                <w:rFonts w:ascii="Arial" w:eastAsia="宋体" w:hAnsi="Arial" w:cs="Arial"/>
                <w:b/>
                <w:bCs/>
                <w:color w:val="000000"/>
                <w:sz w:val="13"/>
                <w:szCs w:val="13"/>
              </w:rPr>
              <w:t>8.4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DE79" w14:textId="77777777" w:rsidR="003C66EB" w:rsidRDefault="00D96C4E">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5EA1DE7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DE7B" w14:textId="77777777" w:rsidR="003C66EB" w:rsidRDefault="00D96C4E">
            <w:pPr>
              <w:jc w:val="right"/>
              <w:textAlignment w:val="bottom"/>
            </w:pPr>
            <w:r>
              <w:rPr>
                <w:rFonts w:ascii="Arial" w:eastAsia="宋体" w:hAnsi="Arial" w:cs="Arial"/>
                <w:color w:val="000000"/>
                <w:sz w:val="13"/>
                <w:szCs w:val="13"/>
              </w:rPr>
              <w:t>10.9 </w:t>
            </w:r>
          </w:p>
        </w:tc>
        <w:tc>
          <w:tcPr>
            <w:tcW w:w="0" w:type="auto"/>
            <w:shd w:val="clear" w:color="auto" w:fill="CCEEFF"/>
            <w:tcMar>
              <w:top w:w="40" w:type="dxa"/>
              <w:left w:w="0" w:type="dxa"/>
              <w:bottom w:w="40" w:type="dxa"/>
              <w:right w:w="20" w:type="dxa"/>
            </w:tcMar>
            <w:vAlign w:val="bottom"/>
          </w:tcPr>
          <w:p w14:paraId="5EA1DE7C" w14:textId="77777777" w:rsidR="003C66EB" w:rsidRDefault="00D96C4E">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5EA1DE7D"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1DE7E" w14:textId="77777777" w:rsidR="003C66EB" w:rsidRDefault="00D96C4E">
            <w:pPr>
              <w:jc w:val="right"/>
              <w:textAlignment w:val="bottom"/>
            </w:pPr>
            <w:r>
              <w:rPr>
                <w:rFonts w:ascii="Arial" w:eastAsia="宋体" w:hAnsi="Arial" w:cs="Arial"/>
                <w:color w:val="000000"/>
                <w:sz w:val="13"/>
                <w:szCs w:val="13"/>
              </w:rPr>
              <w:t>(250) bps</w:t>
            </w:r>
          </w:p>
        </w:tc>
        <w:tc>
          <w:tcPr>
            <w:tcW w:w="0" w:type="auto"/>
            <w:gridSpan w:val="3"/>
            <w:shd w:val="clear" w:color="auto" w:fill="auto"/>
          </w:tcPr>
          <w:p w14:paraId="5EA1DE7F" w14:textId="77777777" w:rsidR="003C66EB" w:rsidRDefault="003C66EB">
            <w:pPr>
              <w:rPr>
                <w:rFonts w:ascii="宋体"/>
                <w:vanish/>
              </w:rPr>
            </w:pPr>
          </w:p>
        </w:tc>
        <w:tc>
          <w:tcPr>
            <w:tcW w:w="0" w:type="auto"/>
            <w:gridSpan w:val="3"/>
            <w:shd w:val="clear" w:color="auto" w:fill="auto"/>
          </w:tcPr>
          <w:p w14:paraId="5EA1DE80" w14:textId="77777777" w:rsidR="003C66EB" w:rsidRDefault="003C66EB">
            <w:pPr>
              <w:rPr>
                <w:rFonts w:ascii="宋体"/>
                <w:vanish/>
              </w:rPr>
            </w:pPr>
          </w:p>
        </w:tc>
        <w:tc>
          <w:tcPr>
            <w:tcW w:w="0" w:type="auto"/>
            <w:gridSpan w:val="3"/>
            <w:shd w:val="clear" w:color="auto" w:fill="auto"/>
          </w:tcPr>
          <w:p w14:paraId="5EA1DE81" w14:textId="77777777" w:rsidR="003C66EB" w:rsidRDefault="003C66EB">
            <w:pPr>
              <w:rPr>
                <w:rFonts w:ascii="宋体"/>
                <w:vanish/>
              </w:rPr>
            </w:pPr>
          </w:p>
        </w:tc>
        <w:tc>
          <w:tcPr>
            <w:tcW w:w="0" w:type="auto"/>
            <w:gridSpan w:val="3"/>
            <w:shd w:val="clear" w:color="auto" w:fill="auto"/>
          </w:tcPr>
          <w:p w14:paraId="5EA1DE82" w14:textId="77777777" w:rsidR="003C66EB" w:rsidRDefault="003C66EB">
            <w:pPr>
              <w:rPr>
                <w:rFonts w:ascii="宋体"/>
                <w:vanish/>
              </w:rPr>
            </w:pPr>
          </w:p>
        </w:tc>
        <w:tc>
          <w:tcPr>
            <w:tcW w:w="0" w:type="auto"/>
            <w:gridSpan w:val="3"/>
            <w:shd w:val="clear" w:color="auto" w:fill="auto"/>
          </w:tcPr>
          <w:p w14:paraId="5EA1DE83" w14:textId="77777777" w:rsidR="003C66EB" w:rsidRDefault="003C66EB">
            <w:pPr>
              <w:rPr>
                <w:rFonts w:ascii="宋体"/>
                <w:vanish/>
              </w:rPr>
            </w:pPr>
          </w:p>
        </w:tc>
      </w:tr>
      <w:tr w:rsidR="003C66EB" w14:paraId="5EA1DE93" w14:textId="77777777">
        <w:tc>
          <w:tcPr>
            <w:tcW w:w="0" w:type="auto"/>
            <w:gridSpan w:val="3"/>
            <w:shd w:val="clear" w:color="auto" w:fill="FFFFFF"/>
            <w:tcMar>
              <w:top w:w="40" w:type="dxa"/>
              <w:left w:w="20" w:type="dxa"/>
              <w:bottom w:w="40" w:type="dxa"/>
              <w:right w:w="20" w:type="dxa"/>
            </w:tcMar>
            <w:vAlign w:val="bottom"/>
          </w:tcPr>
          <w:p w14:paraId="5EA1DE85" w14:textId="77777777" w:rsidR="003C66EB" w:rsidRDefault="00D96C4E">
            <w:pPr>
              <w:textAlignment w:val="bottom"/>
            </w:pPr>
            <w:r>
              <w:rPr>
                <w:rFonts w:ascii="Arial" w:eastAsia="宋体" w:hAnsi="Arial" w:cs="Arial"/>
                <w:color w:val="000000"/>
                <w:sz w:val="13"/>
                <w:szCs w:val="13"/>
              </w:rPr>
              <w:t>Pre-tax margin</w:t>
            </w:r>
          </w:p>
        </w:tc>
        <w:tc>
          <w:tcPr>
            <w:tcW w:w="0" w:type="auto"/>
            <w:gridSpan w:val="2"/>
            <w:shd w:val="clear" w:color="auto" w:fill="FFFFFF"/>
            <w:tcMar>
              <w:top w:w="40" w:type="dxa"/>
              <w:left w:w="20" w:type="dxa"/>
              <w:bottom w:w="40" w:type="dxa"/>
              <w:right w:w="0" w:type="dxa"/>
            </w:tcMar>
            <w:vAlign w:val="bottom"/>
          </w:tcPr>
          <w:p w14:paraId="5EA1DE86" w14:textId="77777777" w:rsidR="003C66EB" w:rsidRDefault="00D96C4E">
            <w:pPr>
              <w:jc w:val="right"/>
              <w:textAlignment w:val="bottom"/>
            </w:pPr>
            <w:r>
              <w:rPr>
                <w:rFonts w:ascii="Arial" w:eastAsia="宋体" w:hAnsi="Arial" w:cs="Arial"/>
                <w:b/>
                <w:bCs/>
                <w:color w:val="000000"/>
                <w:sz w:val="13"/>
                <w:szCs w:val="13"/>
              </w:rPr>
              <w:t>21.3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DE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8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89" w14:textId="77777777" w:rsidR="003C66EB" w:rsidRDefault="00D96C4E">
            <w:pPr>
              <w:jc w:val="right"/>
              <w:textAlignment w:val="bottom"/>
            </w:pPr>
            <w:r>
              <w:rPr>
                <w:rFonts w:ascii="Arial" w:eastAsia="宋体" w:hAnsi="Arial" w:cs="Arial"/>
                <w:color w:val="000000"/>
                <w:sz w:val="13"/>
                <w:szCs w:val="13"/>
              </w:rPr>
              <w:t>25.3 </w:t>
            </w:r>
          </w:p>
        </w:tc>
        <w:tc>
          <w:tcPr>
            <w:tcW w:w="0" w:type="auto"/>
            <w:shd w:val="clear" w:color="auto" w:fill="FFFFFF"/>
            <w:tcMar>
              <w:top w:w="40" w:type="dxa"/>
              <w:left w:w="0" w:type="dxa"/>
              <w:bottom w:w="40" w:type="dxa"/>
              <w:right w:w="20" w:type="dxa"/>
            </w:tcMar>
            <w:vAlign w:val="bottom"/>
          </w:tcPr>
          <w:p w14:paraId="5EA1DE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DE8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DE8C" w14:textId="77777777" w:rsidR="003C66EB" w:rsidRDefault="00D96C4E">
            <w:pPr>
              <w:jc w:val="right"/>
              <w:textAlignment w:val="bottom"/>
            </w:pPr>
            <w:r>
              <w:rPr>
                <w:rFonts w:ascii="Arial" w:eastAsia="宋体" w:hAnsi="Arial" w:cs="Arial"/>
                <w:color w:val="000000"/>
                <w:sz w:val="13"/>
                <w:szCs w:val="13"/>
              </w:rPr>
              <w:t>(400)</w:t>
            </w:r>
          </w:p>
        </w:tc>
        <w:tc>
          <w:tcPr>
            <w:tcW w:w="0" w:type="auto"/>
            <w:shd w:val="clear" w:color="auto" w:fill="FFFFFF"/>
            <w:tcMar>
              <w:top w:w="40" w:type="dxa"/>
              <w:left w:w="0" w:type="dxa"/>
              <w:bottom w:w="40" w:type="dxa"/>
              <w:right w:w="20" w:type="dxa"/>
            </w:tcMar>
            <w:vAlign w:val="bottom"/>
          </w:tcPr>
          <w:p w14:paraId="5EA1DE8D" w14:textId="77777777" w:rsidR="003C66EB" w:rsidRDefault="003C66EB">
            <w:pPr>
              <w:jc w:val="right"/>
              <w:rPr>
                <w:rFonts w:ascii="宋体"/>
              </w:rPr>
            </w:pPr>
          </w:p>
        </w:tc>
        <w:tc>
          <w:tcPr>
            <w:tcW w:w="0" w:type="auto"/>
            <w:gridSpan w:val="3"/>
            <w:shd w:val="clear" w:color="auto" w:fill="auto"/>
          </w:tcPr>
          <w:p w14:paraId="5EA1DE8E" w14:textId="77777777" w:rsidR="003C66EB" w:rsidRDefault="003C66EB">
            <w:pPr>
              <w:rPr>
                <w:rFonts w:ascii="宋体"/>
                <w:vanish/>
              </w:rPr>
            </w:pPr>
          </w:p>
        </w:tc>
        <w:tc>
          <w:tcPr>
            <w:tcW w:w="0" w:type="auto"/>
            <w:gridSpan w:val="3"/>
            <w:shd w:val="clear" w:color="auto" w:fill="auto"/>
          </w:tcPr>
          <w:p w14:paraId="5EA1DE8F" w14:textId="77777777" w:rsidR="003C66EB" w:rsidRDefault="003C66EB">
            <w:pPr>
              <w:rPr>
                <w:rFonts w:ascii="宋体"/>
                <w:vanish/>
              </w:rPr>
            </w:pPr>
          </w:p>
        </w:tc>
        <w:tc>
          <w:tcPr>
            <w:tcW w:w="0" w:type="auto"/>
            <w:gridSpan w:val="3"/>
            <w:shd w:val="clear" w:color="auto" w:fill="auto"/>
          </w:tcPr>
          <w:p w14:paraId="5EA1DE90" w14:textId="77777777" w:rsidR="003C66EB" w:rsidRDefault="003C66EB">
            <w:pPr>
              <w:rPr>
                <w:rFonts w:ascii="宋体"/>
                <w:vanish/>
              </w:rPr>
            </w:pPr>
          </w:p>
        </w:tc>
        <w:tc>
          <w:tcPr>
            <w:tcW w:w="0" w:type="auto"/>
            <w:gridSpan w:val="3"/>
            <w:shd w:val="clear" w:color="auto" w:fill="auto"/>
          </w:tcPr>
          <w:p w14:paraId="5EA1DE91" w14:textId="77777777" w:rsidR="003C66EB" w:rsidRDefault="003C66EB">
            <w:pPr>
              <w:rPr>
                <w:rFonts w:ascii="宋体"/>
                <w:vanish/>
              </w:rPr>
            </w:pPr>
          </w:p>
        </w:tc>
        <w:tc>
          <w:tcPr>
            <w:tcW w:w="0" w:type="auto"/>
            <w:gridSpan w:val="3"/>
            <w:shd w:val="clear" w:color="auto" w:fill="auto"/>
          </w:tcPr>
          <w:p w14:paraId="5EA1DE92" w14:textId="77777777" w:rsidR="003C66EB" w:rsidRDefault="003C66EB">
            <w:pPr>
              <w:rPr>
                <w:rFonts w:ascii="宋体"/>
                <w:vanish/>
              </w:rPr>
            </w:pPr>
          </w:p>
        </w:tc>
      </w:tr>
      <w:tr w:rsidR="003C66EB" w14:paraId="5EA1DE9F" w14:textId="77777777">
        <w:trPr>
          <w:hidden/>
        </w:trPr>
        <w:tc>
          <w:tcPr>
            <w:tcW w:w="0" w:type="auto"/>
            <w:gridSpan w:val="3"/>
            <w:shd w:val="clear" w:color="auto" w:fill="auto"/>
          </w:tcPr>
          <w:p w14:paraId="5EA1DE94" w14:textId="77777777" w:rsidR="003C66EB" w:rsidRDefault="003C66EB">
            <w:pPr>
              <w:rPr>
                <w:rFonts w:ascii="宋体"/>
                <w:vanish/>
              </w:rPr>
            </w:pPr>
          </w:p>
        </w:tc>
        <w:tc>
          <w:tcPr>
            <w:tcW w:w="0" w:type="auto"/>
            <w:gridSpan w:val="3"/>
            <w:shd w:val="clear" w:color="auto" w:fill="auto"/>
          </w:tcPr>
          <w:p w14:paraId="5EA1DE95" w14:textId="77777777" w:rsidR="003C66EB" w:rsidRDefault="003C66EB">
            <w:pPr>
              <w:rPr>
                <w:rFonts w:ascii="宋体"/>
                <w:vanish/>
              </w:rPr>
            </w:pPr>
          </w:p>
        </w:tc>
        <w:tc>
          <w:tcPr>
            <w:tcW w:w="0" w:type="auto"/>
            <w:gridSpan w:val="3"/>
            <w:shd w:val="clear" w:color="auto" w:fill="auto"/>
          </w:tcPr>
          <w:p w14:paraId="5EA1DE96" w14:textId="77777777" w:rsidR="003C66EB" w:rsidRDefault="003C66EB">
            <w:pPr>
              <w:rPr>
                <w:rFonts w:ascii="宋体"/>
                <w:vanish/>
              </w:rPr>
            </w:pPr>
          </w:p>
        </w:tc>
        <w:tc>
          <w:tcPr>
            <w:tcW w:w="0" w:type="auto"/>
            <w:gridSpan w:val="3"/>
            <w:shd w:val="clear" w:color="auto" w:fill="auto"/>
          </w:tcPr>
          <w:p w14:paraId="5EA1DE97" w14:textId="77777777" w:rsidR="003C66EB" w:rsidRDefault="003C66EB">
            <w:pPr>
              <w:rPr>
                <w:rFonts w:ascii="宋体"/>
                <w:vanish/>
              </w:rPr>
            </w:pPr>
          </w:p>
        </w:tc>
        <w:tc>
          <w:tcPr>
            <w:tcW w:w="0" w:type="auto"/>
            <w:gridSpan w:val="3"/>
            <w:shd w:val="clear" w:color="auto" w:fill="auto"/>
          </w:tcPr>
          <w:p w14:paraId="5EA1DE98" w14:textId="77777777" w:rsidR="003C66EB" w:rsidRDefault="003C66EB">
            <w:pPr>
              <w:rPr>
                <w:rFonts w:ascii="宋体"/>
                <w:vanish/>
              </w:rPr>
            </w:pPr>
          </w:p>
        </w:tc>
        <w:tc>
          <w:tcPr>
            <w:tcW w:w="0" w:type="auto"/>
            <w:gridSpan w:val="3"/>
            <w:shd w:val="clear" w:color="auto" w:fill="auto"/>
          </w:tcPr>
          <w:p w14:paraId="5EA1DE99" w14:textId="77777777" w:rsidR="003C66EB" w:rsidRDefault="003C66EB">
            <w:pPr>
              <w:rPr>
                <w:rFonts w:ascii="宋体"/>
                <w:vanish/>
              </w:rPr>
            </w:pPr>
          </w:p>
        </w:tc>
        <w:tc>
          <w:tcPr>
            <w:tcW w:w="0" w:type="auto"/>
            <w:gridSpan w:val="3"/>
            <w:shd w:val="clear" w:color="auto" w:fill="auto"/>
          </w:tcPr>
          <w:p w14:paraId="5EA1DE9A" w14:textId="77777777" w:rsidR="003C66EB" w:rsidRDefault="003C66EB">
            <w:pPr>
              <w:rPr>
                <w:rFonts w:ascii="宋体"/>
                <w:vanish/>
              </w:rPr>
            </w:pPr>
          </w:p>
        </w:tc>
        <w:tc>
          <w:tcPr>
            <w:tcW w:w="0" w:type="auto"/>
            <w:gridSpan w:val="3"/>
            <w:shd w:val="clear" w:color="auto" w:fill="auto"/>
          </w:tcPr>
          <w:p w14:paraId="5EA1DE9B" w14:textId="77777777" w:rsidR="003C66EB" w:rsidRDefault="003C66EB">
            <w:pPr>
              <w:rPr>
                <w:rFonts w:ascii="宋体"/>
                <w:vanish/>
              </w:rPr>
            </w:pPr>
          </w:p>
        </w:tc>
        <w:tc>
          <w:tcPr>
            <w:tcW w:w="0" w:type="auto"/>
            <w:gridSpan w:val="3"/>
            <w:shd w:val="clear" w:color="auto" w:fill="auto"/>
          </w:tcPr>
          <w:p w14:paraId="5EA1DE9C" w14:textId="77777777" w:rsidR="003C66EB" w:rsidRDefault="003C66EB">
            <w:pPr>
              <w:rPr>
                <w:rFonts w:ascii="宋体"/>
                <w:vanish/>
              </w:rPr>
            </w:pPr>
          </w:p>
        </w:tc>
        <w:tc>
          <w:tcPr>
            <w:tcW w:w="0" w:type="auto"/>
            <w:gridSpan w:val="3"/>
            <w:shd w:val="clear" w:color="auto" w:fill="auto"/>
          </w:tcPr>
          <w:p w14:paraId="5EA1DE9D" w14:textId="77777777" w:rsidR="003C66EB" w:rsidRDefault="003C66EB">
            <w:pPr>
              <w:rPr>
                <w:rFonts w:ascii="宋体"/>
                <w:vanish/>
              </w:rPr>
            </w:pPr>
          </w:p>
        </w:tc>
        <w:tc>
          <w:tcPr>
            <w:tcW w:w="0" w:type="auto"/>
            <w:gridSpan w:val="3"/>
            <w:shd w:val="clear" w:color="auto" w:fill="auto"/>
          </w:tcPr>
          <w:p w14:paraId="5EA1DE9E" w14:textId="77777777" w:rsidR="003C66EB" w:rsidRDefault="003C66EB">
            <w:pPr>
              <w:rPr>
                <w:rFonts w:ascii="宋体"/>
                <w:vanish/>
              </w:rPr>
            </w:pPr>
          </w:p>
        </w:tc>
      </w:tr>
      <w:tr w:rsidR="003C66EB" w14:paraId="5EA1DEAF" w14:textId="77777777">
        <w:trPr>
          <w:hidden/>
        </w:trPr>
        <w:tc>
          <w:tcPr>
            <w:tcW w:w="0" w:type="auto"/>
            <w:gridSpan w:val="3"/>
            <w:shd w:val="clear" w:color="auto" w:fill="auto"/>
          </w:tcPr>
          <w:p w14:paraId="5EA1DEA0" w14:textId="77777777" w:rsidR="003C66EB" w:rsidRDefault="003C66EB">
            <w:pPr>
              <w:rPr>
                <w:rFonts w:ascii="宋体"/>
                <w:vanish/>
              </w:rPr>
            </w:pPr>
          </w:p>
        </w:tc>
        <w:tc>
          <w:tcPr>
            <w:tcW w:w="0" w:type="auto"/>
            <w:gridSpan w:val="3"/>
            <w:shd w:val="clear" w:color="auto" w:fill="auto"/>
          </w:tcPr>
          <w:p w14:paraId="5EA1DEA1" w14:textId="77777777" w:rsidR="003C66EB" w:rsidRDefault="003C66EB">
            <w:pPr>
              <w:rPr>
                <w:rFonts w:ascii="宋体"/>
                <w:vanish/>
              </w:rPr>
            </w:pPr>
          </w:p>
        </w:tc>
        <w:tc>
          <w:tcPr>
            <w:tcW w:w="0" w:type="auto"/>
            <w:gridSpan w:val="3"/>
            <w:shd w:val="clear" w:color="auto" w:fill="auto"/>
          </w:tcPr>
          <w:p w14:paraId="5EA1DEA2" w14:textId="77777777" w:rsidR="003C66EB" w:rsidRDefault="003C66EB">
            <w:pPr>
              <w:rPr>
                <w:rFonts w:ascii="宋体"/>
                <w:vanish/>
              </w:rPr>
            </w:pPr>
          </w:p>
        </w:tc>
        <w:tc>
          <w:tcPr>
            <w:tcW w:w="0" w:type="auto"/>
            <w:gridSpan w:val="3"/>
            <w:shd w:val="clear" w:color="auto" w:fill="auto"/>
          </w:tcPr>
          <w:p w14:paraId="5EA1DEA3" w14:textId="77777777" w:rsidR="003C66EB" w:rsidRDefault="003C66EB">
            <w:pPr>
              <w:rPr>
                <w:rFonts w:ascii="宋体"/>
                <w:vanish/>
              </w:rPr>
            </w:pPr>
          </w:p>
        </w:tc>
        <w:tc>
          <w:tcPr>
            <w:tcW w:w="0" w:type="auto"/>
            <w:gridSpan w:val="3"/>
            <w:shd w:val="clear" w:color="auto" w:fill="auto"/>
          </w:tcPr>
          <w:p w14:paraId="5EA1DEA4" w14:textId="77777777" w:rsidR="003C66EB" w:rsidRDefault="003C66EB">
            <w:pPr>
              <w:rPr>
                <w:rFonts w:ascii="宋体"/>
                <w:vanish/>
              </w:rPr>
            </w:pPr>
          </w:p>
        </w:tc>
        <w:tc>
          <w:tcPr>
            <w:tcW w:w="0" w:type="auto"/>
            <w:gridSpan w:val="3"/>
            <w:shd w:val="clear" w:color="auto" w:fill="auto"/>
          </w:tcPr>
          <w:p w14:paraId="5EA1DEA5" w14:textId="77777777" w:rsidR="003C66EB" w:rsidRDefault="003C66EB">
            <w:pPr>
              <w:rPr>
                <w:rFonts w:ascii="宋体"/>
                <w:vanish/>
              </w:rPr>
            </w:pPr>
          </w:p>
        </w:tc>
        <w:tc>
          <w:tcPr>
            <w:tcW w:w="0" w:type="auto"/>
            <w:gridSpan w:val="3"/>
            <w:shd w:val="clear" w:color="auto" w:fill="auto"/>
          </w:tcPr>
          <w:p w14:paraId="5EA1DEA6" w14:textId="77777777" w:rsidR="003C66EB" w:rsidRDefault="003C66EB">
            <w:pPr>
              <w:rPr>
                <w:rFonts w:ascii="宋体"/>
                <w:vanish/>
              </w:rPr>
            </w:pPr>
          </w:p>
        </w:tc>
        <w:tc>
          <w:tcPr>
            <w:tcW w:w="0" w:type="auto"/>
            <w:gridSpan w:val="3"/>
            <w:shd w:val="clear" w:color="auto" w:fill="auto"/>
          </w:tcPr>
          <w:p w14:paraId="5EA1DEA7" w14:textId="77777777" w:rsidR="003C66EB" w:rsidRDefault="003C66EB">
            <w:pPr>
              <w:rPr>
                <w:rFonts w:ascii="宋体"/>
                <w:vanish/>
              </w:rPr>
            </w:pPr>
          </w:p>
        </w:tc>
        <w:tc>
          <w:tcPr>
            <w:tcW w:w="0" w:type="auto"/>
            <w:gridSpan w:val="3"/>
            <w:shd w:val="clear" w:color="auto" w:fill="auto"/>
          </w:tcPr>
          <w:p w14:paraId="5EA1DEA8" w14:textId="77777777" w:rsidR="003C66EB" w:rsidRDefault="003C66EB">
            <w:pPr>
              <w:rPr>
                <w:rFonts w:ascii="宋体"/>
                <w:vanish/>
              </w:rPr>
            </w:pPr>
          </w:p>
        </w:tc>
        <w:tc>
          <w:tcPr>
            <w:tcW w:w="0" w:type="auto"/>
            <w:shd w:val="clear" w:color="auto" w:fill="auto"/>
          </w:tcPr>
          <w:p w14:paraId="5EA1DEA9" w14:textId="77777777" w:rsidR="003C66EB" w:rsidRDefault="003C66EB">
            <w:pPr>
              <w:rPr>
                <w:rFonts w:ascii="宋体"/>
              </w:rPr>
            </w:pPr>
          </w:p>
        </w:tc>
        <w:tc>
          <w:tcPr>
            <w:tcW w:w="0" w:type="auto"/>
            <w:shd w:val="clear" w:color="auto" w:fill="auto"/>
          </w:tcPr>
          <w:p w14:paraId="5EA1DEAA" w14:textId="77777777" w:rsidR="003C66EB" w:rsidRDefault="003C66EB">
            <w:pPr>
              <w:rPr>
                <w:rFonts w:ascii="宋体"/>
              </w:rPr>
            </w:pPr>
          </w:p>
        </w:tc>
        <w:tc>
          <w:tcPr>
            <w:tcW w:w="0" w:type="auto"/>
            <w:shd w:val="clear" w:color="auto" w:fill="auto"/>
          </w:tcPr>
          <w:p w14:paraId="5EA1DEAB" w14:textId="77777777" w:rsidR="003C66EB" w:rsidRDefault="003C66EB">
            <w:pPr>
              <w:rPr>
                <w:rFonts w:ascii="宋体"/>
              </w:rPr>
            </w:pPr>
          </w:p>
        </w:tc>
        <w:tc>
          <w:tcPr>
            <w:tcW w:w="0" w:type="auto"/>
            <w:shd w:val="clear" w:color="auto" w:fill="auto"/>
          </w:tcPr>
          <w:p w14:paraId="5EA1DEAC" w14:textId="77777777" w:rsidR="003C66EB" w:rsidRDefault="003C66EB">
            <w:pPr>
              <w:rPr>
                <w:rFonts w:ascii="宋体"/>
              </w:rPr>
            </w:pPr>
          </w:p>
        </w:tc>
        <w:tc>
          <w:tcPr>
            <w:tcW w:w="0" w:type="auto"/>
            <w:shd w:val="clear" w:color="auto" w:fill="auto"/>
          </w:tcPr>
          <w:p w14:paraId="5EA1DEAD" w14:textId="77777777" w:rsidR="003C66EB" w:rsidRDefault="003C66EB">
            <w:pPr>
              <w:rPr>
                <w:rFonts w:ascii="宋体"/>
              </w:rPr>
            </w:pPr>
          </w:p>
        </w:tc>
        <w:tc>
          <w:tcPr>
            <w:tcW w:w="0" w:type="auto"/>
            <w:shd w:val="clear" w:color="auto" w:fill="auto"/>
          </w:tcPr>
          <w:p w14:paraId="5EA1DEAE" w14:textId="77777777" w:rsidR="003C66EB" w:rsidRDefault="003C66EB">
            <w:pPr>
              <w:rPr>
                <w:rFonts w:ascii="宋体"/>
              </w:rPr>
            </w:pPr>
          </w:p>
        </w:tc>
      </w:tr>
      <w:tr w:rsidR="003C66EB" w14:paraId="5EA1DEBB" w14:textId="77777777">
        <w:trPr>
          <w:hidden/>
        </w:trPr>
        <w:tc>
          <w:tcPr>
            <w:tcW w:w="0" w:type="auto"/>
            <w:gridSpan w:val="3"/>
            <w:shd w:val="clear" w:color="auto" w:fill="auto"/>
          </w:tcPr>
          <w:p w14:paraId="5EA1DEB0" w14:textId="77777777" w:rsidR="003C66EB" w:rsidRDefault="003C66EB">
            <w:pPr>
              <w:rPr>
                <w:rFonts w:ascii="宋体"/>
                <w:vanish/>
              </w:rPr>
            </w:pPr>
          </w:p>
        </w:tc>
        <w:tc>
          <w:tcPr>
            <w:tcW w:w="0" w:type="auto"/>
            <w:gridSpan w:val="3"/>
            <w:shd w:val="clear" w:color="auto" w:fill="auto"/>
          </w:tcPr>
          <w:p w14:paraId="5EA1DEB1" w14:textId="77777777" w:rsidR="003C66EB" w:rsidRDefault="003C66EB">
            <w:pPr>
              <w:rPr>
                <w:rFonts w:ascii="宋体"/>
                <w:vanish/>
              </w:rPr>
            </w:pPr>
          </w:p>
        </w:tc>
        <w:tc>
          <w:tcPr>
            <w:tcW w:w="0" w:type="auto"/>
            <w:gridSpan w:val="3"/>
            <w:shd w:val="clear" w:color="auto" w:fill="auto"/>
          </w:tcPr>
          <w:p w14:paraId="5EA1DEB2" w14:textId="77777777" w:rsidR="003C66EB" w:rsidRDefault="003C66EB">
            <w:pPr>
              <w:rPr>
                <w:rFonts w:ascii="宋体"/>
                <w:vanish/>
              </w:rPr>
            </w:pPr>
          </w:p>
        </w:tc>
        <w:tc>
          <w:tcPr>
            <w:tcW w:w="0" w:type="auto"/>
            <w:gridSpan w:val="3"/>
            <w:shd w:val="clear" w:color="auto" w:fill="auto"/>
          </w:tcPr>
          <w:p w14:paraId="5EA1DEB3" w14:textId="77777777" w:rsidR="003C66EB" w:rsidRDefault="003C66EB">
            <w:pPr>
              <w:rPr>
                <w:rFonts w:ascii="宋体"/>
                <w:vanish/>
              </w:rPr>
            </w:pPr>
          </w:p>
        </w:tc>
        <w:tc>
          <w:tcPr>
            <w:tcW w:w="0" w:type="auto"/>
            <w:gridSpan w:val="3"/>
            <w:shd w:val="clear" w:color="auto" w:fill="auto"/>
          </w:tcPr>
          <w:p w14:paraId="5EA1DEB4" w14:textId="77777777" w:rsidR="003C66EB" w:rsidRDefault="003C66EB">
            <w:pPr>
              <w:rPr>
                <w:rFonts w:ascii="宋体"/>
                <w:vanish/>
              </w:rPr>
            </w:pPr>
          </w:p>
        </w:tc>
        <w:tc>
          <w:tcPr>
            <w:tcW w:w="0" w:type="auto"/>
            <w:gridSpan w:val="3"/>
            <w:shd w:val="clear" w:color="auto" w:fill="auto"/>
          </w:tcPr>
          <w:p w14:paraId="5EA1DEB5" w14:textId="77777777" w:rsidR="003C66EB" w:rsidRDefault="003C66EB">
            <w:pPr>
              <w:rPr>
                <w:rFonts w:ascii="宋体"/>
                <w:vanish/>
              </w:rPr>
            </w:pPr>
          </w:p>
        </w:tc>
        <w:tc>
          <w:tcPr>
            <w:tcW w:w="0" w:type="auto"/>
            <w:gridSpan w:val="3"/>
            <w:shd w:val="clear" w:color="auto" w:fill="auto"/>
          </w:tcPr>
          <w:p w14:paraId="5EA1DEB6" w14:textId="77777777" w:rsidR="003C66EB" w:rsidRDefault="003C66EB">
            <w:pPr>
              <w:rPr>
                <w:rFonts w:ascii="宋体"/>
                <w:vanish/>
              </w:rPr>
            </w:pPr>
          </w:p>
        </w:tc>
        <w:tc>
          <w:tcPr>
            <w:tcW w:w="0" w:type="auto"/>
            <w:gridSpan w:val="3"/>
            <w:shd w:val="clear" w:color="auto" w:fill="auto"/>
          </w:tcPr>
          <w:p w14:paraId="5EA1DEB7" w14:textId="77777777" w:rsidR="003C66EB" w:rsidRDefault="003C66EB">
            <w:pPr>
              <w:rPr>
                <w:rFonts w:ascii="宋体"/>
                <w:vanish/>
              </w:rPr>
            </w:pPr>
          </w:p>
        </w:tc>
        <w:tc>
          <w:tcPr>
            <w:tcW w:w="0" w:type="auto"/>
            <w:gridSpan w:val="3"/>
            <w:shd w:val="clear" w:color="auto" w:fill="auto"/>
          </w:tcPr>
          <w:p w14:paraId="5EA1DEB8" w14:textId="77777777" w:rsidR="003C66EB" w:rsidRDefault="003C66EB">
            <w:pPr>
              <w:rPr>
                <w:rFonts w:ascii="宋体"/>
                <w:vanish/>
              </w:rPr>
            </w:pPr>
          </w:p>
        </w:tc>
        <w:tc>
          <w:tcPr>
            <w:tcW w:w="0" w:type="auto"/>
            <w:gridSpan w:val="3"/>
            <w:shd w:val="clear" w:color="auto" w:fill="auto"/>
          </w:tcPr>
          <w:p w14:paraId="5EA1DEB9" w14:textId="77777777" w:rsidR="003C66EB" w:rsidRDefault="003C66EB">
            <w:pPr>
              <w:rPr>
                <w:rFonts w:ascii="宋体"/>
                <w:vanish/>
              </w:rPr>
            </w:pPr>
          </w:p>
        </w:tc>
        <w:tc>
          <w:tcPr>
            <w:tcW w:w="0" w:type="auto"/>
            <w:gridSpan w:val="3"/>
            <w:shd w:val="clear" w:color="auto" w:fill="auto"/>
          </w:tcPr>
          <w:p w14:paraId="5EA1DEBA" w14:textId="77777777" w:rsidR="003C66EB" w:rsidRDefault="003C66EB">
            <w:pPr>
              <w:rPr>
                <w:rFonts w:ascii="宋体"/>
                <w:vanish/>
              </w:rPr>
            </w:pPr>
          </w:p>
        </w:tc>
      </w:tr>
      <w:tr w:rsidR="003C66EB" w14:paraId="5EA1DEC7" w14:textId="77777777">
        <w:trPr>
          <w:hidden/>
        </w:trPr>
        <w:tc>
          <w:tcPr>
            <w:tcW w:w="0" w:type="auto"/>
            <w:gridSpan w:val="3"/>
            <w:shd w:val="clear" w:color="auto" w:fill="auto"/>
          </w:tcPr>
          <w:p w14:paraId="5EA1DEBC" w14:textId="77777777" w:rsidR="003C66EB" w:rsidRDefault="003C66EB">
            <w:pPr>
              <w:rPr>
                <w:rFonts w:ascii="宋体"/>
                <w:vanish/>
              </w:rPr>
            </w:pPr>
          </w:p>
        </w:tc>
        <w:tc>
          <w:tcPr>
            <w:tcW w:w="0" w:type="auto"/>
            <w:gridSpan w:val="3"/>
            <w:shd w:val="clear" w:color="auto" w:fill="auto"/>
          </w:tcPr>
          <w:p w14:paraId="5EA1DEBD" w14:textId="77777777" w:rsidR="003C66EB" w:rsidRDefault="003C66EB">
            <w:pPr>
              <w:rPr>
                <w:rFonts w:ascii="宋体"/>
                <w:vanish/>
              </w:rPr>
            </w:pPr>
          </w:p>
        </w:tc>
        <w:tc>
          <w:tcPr>
            <w:tcW w:w="0" w:type="auto"/>
            <w:gridSpan w:val="3"/>
            <w:shd w:val="clear" w:color="auto" w:fill="auto"/>
          </w:tcPr>
          <w:p w14:paraId="5EA1DEBE" w14:textId="77777777" w:rsidR="003C66EB" w:rsidRDefault="003C66EB">
            <w:pPr>
              <w:rPr>
                <w:rFonts w:ascii="宋体"/>
                <w:vanish/>
              </w:rPr>
            </w:pPr>
          </w:p>
        </w:tc>
        <w:tc>
          <w:tcPr>
            <w:tcW w:w="0" w:type="auto"/>
            <w:gridSpan w:val="3"/>
            <w:shd w:val="clear" w:color="auto" w:fill="auto"/>
          </w:tcPr>
          <w:p w14:paraId="5EA1DEBF" w14:textId="77777777" w:rsidR="003C66EB" w:rsidRDefault="003C66EB">
            <w:pPr>
              <w:rPr>
                <w:rFonts w:ascii="宋体"/>
                <w:vanish/>
              </w:rPr>
            </w:pPr>
          </w:p>
        </w:tc>
        <w:tc>
          <w:tcPr>
            <w:tcW w:w="0" w:type="auto"/>
            <w:gridSpan w:val="3"/>
            <w:shd w:val="clear" w:color="auto" w:fill="auto"/>
          </w:tcPr>
          <w:p w14:paraId="5EA1DEC0" w14:textId="77777777" w:rsidR="003C66EB" w:rsidRDefault="003C66EB">
            <w:pPr>
              <w:rPr>
                <w:rFonts w:ascii="宋体"/>
                <w:vanish/>
              </w:rPr>
            </w:pPr>
          </w:p>
        </w:tc>
        <w:tc>
          <w:tcPr>
            <w:tcW w:w="0" w:type="auto"/>
            <w:gridSpan w:val="3"/>
            <w:shd w:val="clear" w:color="auto" w:fill="auto"/>
          </w:tcPr>
          <w:p w14:paraId="5EA1DEC1" w14:textId="77777777" w:rsidR="003C66EB" w:rsidRDefault="003C66EB">
            <w:pPr>
              <w:rPr>
                <w:rFonts w:ascii="宋体"/>
                <w:vanish/>
              </w:rPr>
            </w:pPr>
          </w:p>
        </w:tc>
        <w:tc>
          <w:tcPr>
            <w:tcW w:w="0" w:type="auto"/>
            <w:gridSpan w:val="3"/>
            <w:shd w:val="clear" w:color="auto" w:fill="auto"/>
          </w:tcPr>
          <w:p w14:paraId="5EA1DEC2" w14:textId="77777777" w:rsidR="003C66EB" w:rsidRDefault="003C66EB">
            <w:pPr>
              <w:rPr>
                <w:rFonts w:ascii="宋体"/>
                <w:vanish/>
              </w:rPr>
            </w:pPr>
          </w:p>
        </w:tc>
        <w:tc>
          <w:tcPr>
            <w:tcW w:w="0" w:type="auto"/>
            <w:gridSpan w:val="3"/>
            <w:shd w:val="clear" w:color="auto" w:fill="auto"/>
          </w:tcPr>
          <w:p w14:paraId="5EA1DEC3" w14:textId="77777777" w:rsidR="003C66EB" w:rsidRDefault="003C66EB">
            <w:pPr>
              <w:rPr>
                <w:rFonts w:ascii="宋体"/>
                <w:vanish/>
              </w:rPr>
            </w:pPr>
          </w:p>
        </w:tc>
        <w:tc>
          <w:tcPr>
            <w:tcW w:w="0" w:type="auto"/>
            <w:gridSpan w:val="3"/>
            <w:shd w:val="clear" w:color="auto" w:fill="auto"/>
          </w:tcPr>
          <w:p w14:paraId="5EA1DEC4" w14:textId="77777777" w:rsidR="003C66EB" w:rsidRDefault="003C66EB">
            <w:pPr>
              <w:rPr>
                <w:rFonts w:ascii="宋体"/>
                <w:vanish/>
              </w:rPr>
            </w:pPr>
          </w:p>
        </w:tc>
        <w:tc>
          <w:tcPr>
            <w:tcW w:w="0" w:type="auto"/>
            <w:gridSpan w:val="3"/>
            <w:shd w:val="clear" w:color="auto" w:fill="auto"/>
          </w:tcPr>
          <w:p w14:paraId="5EA1DEC5" w14:textId="77777777" w:rsidR="003C66EB" w:rsidRDefault="003C66EB">
            <w:pPr>
              <w:rPr>
                <w:rFonts w:ascii="宋体"/>
                <w:vanish/>
              </w:rPr>
            </w:pPr>
          </w:p>
        </w:tc>
        <w:tc>
          <w:tcPr>
            <w:tcW w:w="0" w:type="auto"/>
            <w:gridSpan w:val="3"/>
            <w:shd w:val="clear" w:color="auto" w:fill="auto"/>
          </w:tcPr>
          <w:p w14:paraId="5EA1DEC6" w14:textId="77777777" w:rsidR="003C66EB" w:rsidRDefault="003C66EB">
            <w:pPr>
              <w:rPr>
                <w:rFonts w:ascii="宋体"/>
                <w:vanish/>
              </w:rPr>
            </w:pPr>
          </w:p>
        </w:tc>
      </w:tr>
      <w:tr w:rsidR="003C66EB" w14:paraId="5EA1DED3" w14:textId="77777777">
        <w:trPr>
          <w:hidden/>
        </w:trPr>
        <w:tc>
          <w:tcPr>
            <w:tcW w:w="0" w:type="auto"/>
            <w:gridSpan w:val="3"/>
            <w:shd w:val="clear" w:color="auto" w:fill="auto"/>
          </w:tcPr>
          <w:p w14:paraId="5EA1DEC8" w14:textId="77777777" w:rsidR="003C66EB" w:rsidRDefault="003C66EB">
            <w:pPr>
              <w:rPr>
                <w:rFonts w:ascii="宋体"/>
                <w:vanish/>
              </w:rPr>
            </w:pPr>
          </w:p>
        </w:tc>
        <w:tc>
          <w:tcPr>
            <w:tcW w:w="0" w:type="auto"/>
            <w:gridSpan w:val="3"/>
            <w:shd w:val="clear" w:color="auto" w:fill="auto"/>
          </w:tcPr>
          <w:p w14:paraId="5EA1DEC9" w14:textId="77777777" w:rsidR="003C66EB" w:rsidRDefault="003C66EB">
            <w:pPr>
              <w:rPr>
                <w:rFonts w:ascii="宋体"/>
                <w:vanish/>
              </w:rPr>
            </w:pPr>
          </w:p>
        </w:tc>
        <w:tc>
          <w:tcPr>
            <w:tcW w:w="0" w:type="auto"/>
            <w:gridSpan w:val="3"/>
            <w:shd w:val="clear" w:color="auto" w:fill="auto"/>
          </w:tcPr>
          <w:p w14:paraId="5EA1DECA" w14:textId="77777777" w:rsidR="003C66EB" w:rsidRDefault="003C66EB">
            <w:pPr>
              <w:rPr>
                <w:rFonts w:ascii="宋体"/>
                <w:vanish/>
              </w:rPr>
            </w:pPr>
          </w:p>
        </w:tc>
        <w:tc>
          <w:tcPr>
            <w:tcW w:w="0" w:type="auto"/>
            <w:gridSpan w:val="3"/>
            <w:shd w:val="clear" w:color="auto" w:fill="auto"/>
          </w:tcPr>
          <w:p w14:paraId="5EA1DECB" w14:textId="77777777" w:rsidR="003C66EB" w:rsidRDefault="003C66EB">
            <w:pPr>
              <w:rPr>
                <w:rFonts w:ascii="宋体"/>
                <w:vanish/>
              </w:rPr>
            </w:pPr>
          </w:p>
        </w:tc>
        <w:tc>
          <w:tcPr>
            <w:tcW w:w="0" w:type="auto"/>
            <w:gridSpan w:val="3"/>
            <w:shd w:val="clear" w:color="auto" w:fill="auto"/>
          </w:tcPr>
          <w:p w14:paraId="5EA1DECC" w14:textId="77777777" w:rsidR="003C66EB" w:rsidRDefault="003C66EB">
            <w:pPr>
              <w:rPr>
                <w:rFonts w:ascii="宋体"/>
                <w:vanish/>
              </w:rPr>
            </w:pPr>
          </w:p>
        </w:tc>
        <w:tc>
          <w:tcPr>
            <w:tcW w:w="0" w:type="auto"/>
            <w:gridSpan w:val="3"/>
            <w:shd w:val="clear" w:color="auto" w:fill="auto"/>
          </w:tcPr>
          <w:p w14:paraId="5EA1DECD" w14:textId="77777777" w:rsidR="003C66EB" w:rsidRDefault="003C66EB">
            <w:pPr>
              <w:rPr>
                <w:rFonts w:ascii="宋体"/>
                <w:vanish/>
              </w:rPr>
            </w:pPr>
          </w:p>
        </w:tc>
        <w:tc>
          <w:tcPr>
            <w:tcW w:w="0" w:type="auto"/>
            <w:gridSpan w:val="3"/>
            <w:shd w:val="clear" w:color="auto" w:fill="auto"/>
          </w:tcPr>
          <w:p w14:paraId="5EA1DECE" w14:textId="77777777" w:rsidR="003C66EB" w:rsidRDefault="003C66EB">
            <w:pPr>
              <w:rPr>
                <w:rFonts w:ascii="宋体"/>
                <w:vanish/>
              </w:rPr>
            </w:pPr>
          </w:p>
        </w:tc>
        <w:tc>
          <w:tcPr>
            <w:tcW w:w="0" w:type="auto"/>
            <w:gridSpan w:val="3"/>
            <w:shd w:val="clear" w:color="auto" w:fill="auto"/>
          </w:tcPr>
          <w:p w14:paraId="5EA1DECF" w14:textId="77777777" w:rsidR="003C66EB" w:rsidRDefault="003C66EB">
            <w:pPr>
              <w:rPr>
                <w:rFonts w:ascii="宋体"/>
                <w:vanish/>
              </w:rPr>
            </w:pPr>
          </w:p>
        </w:tc>
        <w:tc>
          <w:tcPr>
            <w:tcW w:w="0" w:type="auto"/>
            <w:gridSpan w:val="3"/>
            <w:shd w:val="clear" w:color="auto" w:fill="auto"/>
          </w:tcPr>
          <w:p w14:paraId="5EA1DED0" w14:textId="77777777" w:rsidR="003C66EB" w:rsidRDefault="003C66EB">
            <w:pPr>
              <w:rPr>
                <w:rFonts w:ascii="宋体"/>
                <w:vanish/>
              </w:rPr>
            </w:pPr>
          </w:p>
        </w:tc>
        <w:tc>
          <w:tcPr>
            <w:tcW w:w="0" w:type="auto"/>
            <w:gridSpan w:val="3"/>
            <w:shd w:val="clear" w:color="auto" w:fill="auto"/>
          </w:tcPr>
          <w:p w14:paraId="5EA1DED1" w14:textId="77777777" w:rsidR="003C66EB" w:rsidRDefault="003C66EB">
            <w:pPr>
              <w:rPr>
                <w:rFonts w:ascii="宋体"/>
                <w:vanish/>
              </w:rPr>
            </w:pPr>
          </w:p>
        </w:tc>
        <w:tc>
          <w:tcPr>
            <w:tcW w:w="0" w:type="auto"/>
            <w:gridSpan w:val="3"/>
            <w:shd w:val="clear" w:color="auto" w:fill="auto"/>
          </w:tcPr>
          <w:p w14:paraId="5EA1DED2" w14:textId="77777777" w:rsidR="003C66EB" w:rsidRDefault="003C66EB">
            <w:pPr>
              <w:rPr>
                <w:rFonts w:ascii="宋体"/>
                <w:vanish/>
              </w:rPr>
            </w:pPr>
          </w:p>
        </w:tc>
      </w:tr>
      <w:tr w:rsidR="003C66EB" w14:paraId="5EA1DEDF" w14:textId="77777777">
        <w:trPr>
          <w:hidden/>
        </w:trPr>
        <w:tc>
          <w:tcPr>
            <w:tcW w:w="0" w:type="auto"/>
            <w:gridSpan w:val="3"/>
            <w:shd w:val="clear" w:color="auto" w:fill="auto"/>
          </w:tcPr>
          <w:p w14:paraId="5EA1DED4" w14:textId="77777777" w:rsidR="003C66EB" w:rsidRDefault="003C66EB">
            <w:pPr>
              <w:rPr>
                <w:rFonts w:ascii="宋体"/>
                <w:vanish/>
              </w:rPr>
            </w:pPr>
          </w:p>
        </w:tc>
        <w:tc>
          <w:tcPr>
            <w:tcW w:w="0" w:type="auto"/>
            <w:gridSpan w:val="3"/>
            <w:shd w:val="clear" w:color="auto" w:fill="auto"/>
          </w:tcPr>
          <w:p w14:paraId="5EA1DED5" w14:textId="77777777" w:rsidR="003C66EB" w:rsidRDefault="003C66EB">
            <w:pPr>
              <w:rPr>
                <w:rFonts w:ascii="宋体"/>
                <w:vanish/>
              </w:rPr>
            </w:pPr>
          </w:p>
        </w:tc>
        <w:tc>
          <w:tcPr>
            <w:tcW w:w="0" w:type="auto"/>
            <w:gridSpan w:val="3"/>
            <w:shd w:val="clear" w:color="auto" w:fill="auto"/>
          </w:tcPr>
          <w:p w14:paraId="5EA1DED6" w14:textId="77777777" w:rsidR="003C66EB" w:rsidRDefault="003C66EB">
            <w:pPr>
              <w:rPr>
                <w:rFonts w:ascii="宋体"/>
                <w:vanish/>
              </w:rPr>
            </w:pPr>
          </w:p>
        </w:tc>
        <w:tc>
          <w:tcPr>
            <w:tcW w:w="0" w:type="auto"/>
            <w:gridSpan w:val="3"/>
            <w:shd w:val="clear" w:color="auto" w:fill="auto"/>
          </w:tcPr>
          <w:p w14:paraId="5EA1DED7" w14:textId="77777777" w:rsidR="003C66EB" w:rsidRDefault="003C66EB">
            <w:pPr>
              <w:rPr>
                <w:rFonts w:ascii="宋体"/>
                <w:vanish/>
              </w:rPr>
            </w:pPr>
          </w:p>
        </w:tc>
        <w:tc>
          <w:tcPr>
            <w:tcW w:w="0" w:type="auto"/>
            <w:gridSpan w:val="3"/>
            <w:shd w:val="clear" w:color="auto" w:fill="auto"/>
          </w:tcPr>
          <w:p w14:paraId="5EA1DED8" w14:textId="77777777" w:rsidR="003C66EB" w:rsidRDefault="003C66EB">
            <w:pPr>
              <w:rPr>
                <w:rFonts w:ascii="宋体"/>
                <w:vanish/>
              </w:rPr>
            </w:pPr>
          </w:p>
        </w:tc>
        <w:tc>
          <w:tcPr>
            <w:tcW w:w="0" w:type="auto"/>
            <w:gridSpan w:val="3"/>
            <w:shd w:val="clear" w:color="auto" w:fill="auto"/>
          </w:tcPr>
          <w:p w14:paraId="5EA1DED9" w14:textId="77777777" w:rsidR="003C66EB" w:rsidRDefault="003C66EB">
            <w:pPr>
              <w:rPr>
                <w:rFonts w:ascii="宋体"/>
                <w:vanish/>
              </w:rPr>
            </w:pPr>
          </w:p>
        </w:tc>
        <w:tc>
          <w:tcPr>
            <w:tcW w:w="0" w:type="auto"/>
            <w:gridSpan w:val="3"/>
            <w:shd w:val="clear" w:color="auto" w:fill="auto"/>
          </w:tcPr>
          <w:p w14:paraId="5EA1DEDA" w14:textId="77777777" w:rsidR="003C66EB" w:rsidRDefault="003C66EB">
            <w:pPr>
              <w:rPr>
                <w:rFonts w:ascii="宋体"/>
                <w:vanish/>
              </w:rPr>
            </w:pPr>
          </w:p>
        </w:tc>
        <w:tc>
          <w:tcPr>
            <w:tcW w:w="0" w:type="auto"/>
            <w:gridSpan w:val="3"/>
            <w:shd w:val="clear" w:color="auto" w:fill="auto"/>
          </w:tcPr>
          <w:p w14:paraId="5EA1DEDB" w14:textId="77777777" w:rsidR="003C66EB" w:rsidRDefault="003C66EB">
            <w:pPr>
              <w:rPr>
                <w:rFonts w:ascii="宋体"/>
                <w:vanish/>
              </w:rPr>
            </w:pPr>
          </w:p>
        </w:tc>
        <w:tc>
          <w:tcPr>
            <w:tcW w:w="0" w:type="auto"/>
            <w:gridSpan w:val="3"/>
            <w:shd w:val="clear" w:color="auto" w:fill="auto"/>
          </w:tcPr>
          <w:p w14:paraId="5EA1DEDC" w14:textId="77777777" w:rsidR="003C66EB" w:rsidRDefault="003C66EB">
            <w:pPr>
              <w:rPr>
                <w:rFonts w:ascii="宋体"/>
                <w:vanish/>
              </w:rPr>
            </w:pPr>
          </w:p>
        </w:tc>
        <w:tc>
          <w:tcPr>
            <w:tcW w:w="0" w:type="auto"/>
            <w:gridSpan w:val="3"/>
            <w:shd w:val="clear" w:color="auto" w:fill="auto"/>
          </w:tcPr>
          <w:p w14:paraId="5EA1DEDD" w14:textId="77777777" w:rsidR="003C66EB" w:rsidRDefault="003C66EB">
            <w:pPr>
              <w:rPr>
                <w:rFonts w:ascii="宋体"/>
                <w:vanish/>
              </w:rPr>
            </w:pPr>
          </w:p>
        </w:tc>
        <w:tc>
          <w:tcPr>
            <w:tcW w:w="0" w:type="auto"/>
            <w:gridSpan w:val="3"/>
            <w:shd w:val="clear" w:color="auto" w:fill="auto"/>
          </w:tcPr>
          <w:p w14:paraId="5EA1DEDE" w14:textId="77777777" w:rsidR="003C66EB" w:rsidRDefault="003C66EB">
            <w:pPr>
              <w:rPr>
                <w:rFonts w:ascii="宋体"/>
                <w:vanish/>
              </w:rPr>
            </w:pPr>
          </w:p>
        </w:tc>
      </w:tr>
      <w:tr w:rsidR="003C66EB" w14:paraId="5EA1DEEB" w14:textId="77777777">
        <w:trPr>
          <w:hidden/>
        </w:trPr>
        <w:tc>
          <w:tcPr>
            <w:tcW w:w="0" w:type="auto"/>
            <w:gridSpan w:val="3"/>
            <w:shd w:val="clear" w:color="auto" w:fill="auto"/>
          </w:tcPr>
          <w:p w14:paraId="5EA1DEE0" w14:textId="77777777" w:rsidR="003C66EB" w:rsidRDefault="003C66EB">
            <w:pPr>
              <w:rPr>
                <w:rFonts w:ascii="宋体"/>
                <w:vanish/>
              </w:rPr>
            </w:pPr>
          </w:p>
        </w:tc>
        <w:tc>
          <w:tcPr>
            <w:tcW w:w="0" w:type="auto"/>
            <w:gridSpan w:val="3"/>
            <w:shd w:val="clear" w:color="auto" w:fill="auto"/>
          </w:tcPr>
          <w:p w14:paraId="5EA1DEE1" w14:textId="77777777" w:rsidR="003C66EB" w:rsidRDefault="003C66EB">
            <w:pPr>
              <w:rPr>
                <w:rFonts w:ascii="宋体"/>
                <w:vanish/>
              </w:rPr>
            </w:pPr>
          </w:p>
        </w:tc>
        <w:tc>
          <w:tcPr>
            <w:tcW w:w="0" w:type="auto"/>
            <w:gridSpan w:val="3"/>
            <w:shd w:val="clear" w:color="auto" w:fill="auto"/>
          </w:tcPr>
          <w:p w14:paraId="5EA1DEE2" w14:textId="77777777" w:rsidR="003C66EB" w:rsidRDefault="003C66EB">
            <w:pPr>
              <w:rPr>
                <w:rFonts w:ascii="宋体"/>
                <w:vanish/>
              </w:rPr>
            </w:pPr>
          </w:p>
        </w:tc>
        <w:tc>
          <w:tcPr>
            <w:tcW w:w="0" w:type="auto"/>
            <w:gridSpan w:val="3"/>
            <w:shd w:val="clear" w:color="auto" w:fill="auto"/>
          </w:tcPr>
          <w:p w14:paraId="5EA1DEE3" w14:textId="77777777" w:rsidR="003C66EB" w:rsidRDefault="003C66EB">
            <w:pPr>
              <w:rPr>
                <w:rFonts w:ascii="宋体"/>
                <w:vanish/>
              </w:rPr>
            </w:pPr>
          </w:p>
        </w:tc>
        <w:tc>
          <w:tcPr>
            <w:tcW w:w="0" w:type="auto"/>
            <w:gridSpan w:val="3"/>
            <w:shd w:val="clear" w:color="auto" w:fill="auto"/>
          </w:tcPr>
          <w:p w14:paraId="5EA1DEE4" w14:textId="77777777" w:rsidR="003C66EB" w:rsidRDefault="003C66EB">
            <w:pPr>
              <w:rPr>
                <w:rFonts w:ascii="宋体"/>
                <w:vanish/>
              </w:rPr>
            </w:pPr>
          </w:p>
        </w:tc>
        <w:tc>
          <w:tcPr>
            <w:tcW w:w="0" w:type="auto"/>
            <w:gridSpan w:val="3"/>
            <w:shd w:val="clear" w:color="auto" w:fill="auto"/>
          </w:tcPr>
          <w:p w14:paraId="5EA1DEE5" w14:textId="77777777" w:rsidR="003C66EB" w:rsidRDefault="003C66EB">
            <w:pPr>
              <w:rPr>
                <w:rFonts w:ascii="宋体"/>
                <w:vanish/>
              </w:rPr>
            </w:pPr>
          </w:p>
        </w:tc>
        <w:tc>
          <w:tcPr>
            <w:tcW w:w="0" w:type="auto"/>
            <w:gridSpan w:val="3"/>
            <w:shd w:val="clear" w:color="auto" w:fill="auto"/>
          </w:tcPr>
          <w:p w14:paraId="5EA1DEE6" w14:textId="77777777" w:rsidR="003C66EB" w:rsidRDefault="003C66EB">
            <w:pPr>
              <w:rPr>
                <w:rFonts w:ascii="宋体"/>
                <w:vanish/>
              </w:rPr>
            </w:pPr>
          </w:p>
        </w:tc>
        <w:tc>
          <w:tcPr>
            <w:tcW w:w="0" w:type="auto"/>
            <w:gridSpan w:val="3"/>
            <w:shd w:val="clear" w:color="auto" w:fill="auto"/>
          </w:tcPr>
          <w:p w14:paraId="5EA1DEE7" w14:textId="77777777" w:rsidR="003C66EB" w:rsidRDefault="003C66EB">
            <w:pPr>
              <w:rPr>
                <w:rFonts w:ascii="宋体"/>
                <w:vanish/>
              </w:rPr>
            </w:pPr>
          </w:p>
        </w:tc>
        <w:tc>
          <w:tcPr>
            <w:tcW w:w="0" w:type="auto"/>
            <w:gridSpan w:val="3"/>
            <w:shd w:val="clear" w:color="auto" w:fill="auto"/>
          </w:tcPr>
          <w:p w14:paraId="5EA1DEE8" w14:textId="77777777" w:rsidR="003C66EB" w:rsidRDefault="003C66EB">
            <w:pPr>
              <w:rPr>
                <w:rFonts w:ascii="宋体"/>
                <w:vanish/>
              </w:rPr>
            </w:pPr>
          </w:p>
        </w:tc>
        <w:tc>
          <w:tcPr>
            <w:tcW w:w="0" w:type="auto"/>
            <w:gridSpan w:val="3"/>
            <w:shd w:val="clear" w:color="auto" w:fill="auto"/>
          </w:tcPr>
          <w:p w14:paraId="5EA1DEE9" w14:textId="77777777" w:rsidR="003C66EB" w:rsidRDefault="003C66EB">
            <w:pPr>
              <w:rPr>
                <w:rFonts w:ascii="宋体"/>
                <w:vanish/>
              </w:rPr>
            </w:pPr>
          </w:p>
        </w:tc>
        <w:tc>
          <w:tcPr>
            <w:tcW w:w="0" w:type="auto"/>
            <w:gridSpan w:val="3"/>
            <w:shd w:val="clear" w:color="auto" w:fill="auto"/>
          </w:tcPr>
          <w:p w14:paraId="5EA1DEEA" w14:textId="77777777" w:rsidR="003C66EB" w:rsidRDefault="003C66EB">
            <w:pPr>
              <w:rPr>
                <w:rFonts w:ascii="宋体"/>
                <w:vanish/>
              </w:rPr>
            </w:pPr>
          </w:p>
        </w:tc>
      </w:tr>
      <w:tr w:rsidR="003C66EB" w14:paraId="5EA1DEF7" w14:textId="77777777">
        <w:trPr>
          <w:hidden/>
        </w:trPr>
        <w:tc>
          <w:tcPr>
            <w:tcW w:w="0" w:type="auto"/>
            <w:gridSpan w:val="3"/>
            <w:shd w:val="clear" w:color="auto" w:fill="auto"/>
          </w:tcPr>
          <w:p w14:paraId="5EA1DEEC" w14:textId="77777777" w:rsidR="003C66EB" w:rsidRDefault="003C66EB">
            <w:pPr>
              <w:rPr>
                <w:rFonts w:ascii="宋体"/>
                <w:vanish/>
              </w:rPr>
            </w:pPr>
          </w:p>
        </w:tc>
        <w:tc>
          <w:tcPr>
            <w:tcW w:w="0" w:type="auto"/>
            <w:gridSpan w:val="3"/>
            <w:shd w:val="clear" w:color="auto" w:fill="auto"/>
          </w:tcPr>
          <w:p w14:paraId="5EA1DEED" w14:textId="77777777" w:rsidR="003C66EB" w:rsidRDefault="003C66EB">
            <w:pPr>
              <w:rPr>
                <w:rFonts w:ascii="宋体"/>
                <w:vanish/>
              </w:rPr>
            </w:pPr>
          </w:p>
        </w:tc>
        <w:tc>
          <w:tcPr>
            <w:tcW w:w="0" w:type="auto"/>
            <w:gridSpan w:val="3"/>
            <w:shd w:val="clear" w:color="auto" w:fill="auto"/>
          </w:tcPr>
          <w:p w14:paraId="5EA1DEEE" w14:textId="77777777" w:rsidR="003C66EB" w:rsidRDefault="003C66EB">
            <w:pPr>
              <w:rPr>
                <w:rFonts w:ascii="宋体"/>
                <w:vanish/>
              </w:rPr>
            </w:pPr>
          </w:p>
        </w:tc>
        <w:tc>
          <w:tcPr>
            <w:tcW w:w="0" w:type="auto"/>
            <w:gridSpan w:val="3"/>
            <w:shd w:val="clear" w:color="auto" w:fill="auto"/>
          </w:tcPr>
          <w:p w14:paraId="5EA1DEEF" w14:textId="77777777" w:rsidR="003C66EB" w:rsidRDefault="003C66EB">
            <w:pPr>
              <w:rPr>
                <w:rFonts w:ascii="宋体"/>
                <w:vanish/>
              </w:rPr>
            </w:pPr>
          </w:p>
        </w:tc>
        <w:tc>
          <w:tcPr>
            <w:tcW w:w="0" w:type="auto"/>
            <w:gridSpan w:val="3"/>
            <w:shd w:val="clear" w:color="auto" w:fill="auto"/>
          </w:tcPr>
          <w:p w14:paraId="5EA1DEF0" w14:textId="77777777" w:rsidR="003C66EB" w:rsidRDefault="003C66EB">
            <w:pPr>
              <w:rPr>
                <w:rFonts w:ascii="宋体"/>
                <w:vanish/>
              </w:rPr>
            </w:pPr>
          </w:p>
        </w:tc>
        <w:tc>
          <w:tcPr>
            <w:tcW w:w="0" w:type="auto"/>
            <w:gridSpan w:val="3"/>
            <w:shd w:val="clear" w:color="auto" w:fill="auto"/>
          </w:tcPr>
          <w:p w14:paraId="5EA1DEF1" w14:textId="77777777" w:rsidR="003C66EB" w:rsidRDefault="003C66EB">
            <w:pPr>
              <w:rPr>
                <w:rFonts w:ascii="宋体"/>
                <w:vanish/>
              </w:rPr>
            </w:pPr>
          </w:p>
        </w:tc>
        <w:tc>
          <w:tcPr>
            <w:tcW w:w="0" w:type="auto"/>
            <w:gridSpan w:val="3"/>
            <w:shd w:val="clear" w:color="auto" w:fill="auto"/>
          </w:tcPr>
          <w:p w14:paraId="5EA1DEF2" w14:textId="77777777" w:rsidR="003C66EB" w:rsidRDefault="003C66EB">
            <w:pPr>
              <w:rPr>
                <w:rFonts w:ascii="宋体"/>
                <w:vanish/>
              </w:rPr>
            </w:pPr>
          </w:p>
        </w:tc>
        <w:tc>
          <w:tcPr>
            <w:tcW w:w="0" w:type="auto"/>
            <w:gridSpan w:val="3"/>
            <w:shd w:val="clear" w:color="auto" w:fill="auto"/>
          </w:tcPr>
          <w:p w14:paraId="5EA1DEF3" w14:textId="77777777" w:rsidR="003C66EB" w:rsidRDefault="003C66EB">
            <w:pPr>
              <w:rPr>
                <w:rFonts w:ascii="宋体"/>
                <w:vanish/>
              </w:rPr>
            </w:pPr>
          </w:p>
        </w:tc>
        <w:tc>
          <w:tcPr>
            <w:tcW w:w="0" w:type="auto"/>
            <w:gridSpan w:val="3"/>
            <w:shd w:val="clear" w:color="auto" w:fill="auto"/>
          </w:tcPr>
          <w:p w14:paraId="5EA1DEF4" w14:textId="77777777" w:rsidR="003C66EB" w:rsidRDefault="003C66EB">
            <w:pPr>
              <w:rPr>
                <w:rFonts w:ascii="宋体"/>
                <w:vanish/>
              </w:rPr>
            </w:pPr>
          </w:p>
        </w:tc>
        <w:tc>
          <w:tcPr>
            <w:tcW w:w="0" w:type="auto"/>
            <w:gridSpan w:val="3"/>
            <w:shd w:val="clear" w:color="auto" w:fill="auto"/>
          </w:tcPr>
          <w:p w14:paraId="5EA1DEF5" w14:textId="77777777" w:rsidR="003C66EB" w:rsidRDefault="003C66EB">
            <w:pPr>
              <w:rPr>
                <w:rFonts w:ascii="宋体"/>
                <w:vanish/>
              </w:rPr>
            </w:pPr>
          </w:p>
        </w:tc>
        <w:tc>
          <w:tcPr>
            <w:tcW w:w="0" w:type="auto"/>
            <w:gridSpan w:val="3"/>
            <w:shd w:val="clear" w:color="auto" w:fill="auto"/>
          </w:tcPr>
          <w:p w14:paraId="5EA1DEF6" w14:textId="77777777" w:rsidR="003C66EB" w:rsidRDefault="003C66EB">
            <w:pPr>
              <w:rPr>
                <w:rFonts w:ascii="宋体"/>
                <w:vanish/>
              </w:rPr>
            </w:pPr>
          </w:p>
        </w:tc>
      </w:tr>
      <w:tr w:rsidR="003C66EB" w14:paraId="5EA1DF03" w14:textId="77777777">
        <w:trPr>
          <w:hidden/>
        </w:trPr>
        <w:tc>
          <w:tcPr>
            <w:tcW w:w="0" w:type="auto"/>
            <w:gridSpan w:val="3"/>
            <w:shd w:val="clear" w:color="auto" w:fill="auto"/>
          </w:tcPr>
          <w:p w14:paraId="5EA1DEF8" w14:textId="77777777" w:rsidR="003C66EB" w:rsidRDefault="003C66EB">
            <w:pPr>
              <w:rPr>
                <w:rFonts w:ascii="宋体"/>
                <w:vanish/>
              </w:rPr>
            </w:pPr>
          </w:p>
        </w:tc>
        <w:tc>
          <w:tcPr>
            <w:tcW w:w="0" w:type="auto"/>
            <w:gridSpan w:val="3"/>
            <w:shd w:val="clear" w:color="auto" w:fill="auto"/>
          </w:tcPr>
          <w:p w14:paraId="5EA1DEF9" w14:textId="77777777" w:rsidR="003C66EB" w:rsidRDefault="003C66EB">
            <w:pPr>
              <w:rPr>
                <w:rFonts w:ascii="宋体"/>
                <w:vanish/>
              </w:rPr>
            </w:pPr>
          </w:p>
        </w:tc>
        <w:tc>
          <w:tcPr>
            <w:tcW w:w="0" w:type="auto"/>
            <w:gridSpan w:val="3"/>
            <w:shd w:val="clear" w:color="auto" w:fill="auto"/>
          </w:tcPr>
          <w:p w14:paraId="5EA1DEFA" w14:textId="77777777" w:rsidR="003C66EB" w:rsidRDefault="003C66EB">
            <w:pPr>
              <w:rPr>
                <w:rFonts w:ascii="宋体"/>
                <w:vanish/>
              </w:rPr>
            </w:pPr>
          </w:p>
        </w:tc>
        <w:tc>
          <w:tcPr>
            <w:tcW w:w="0" w:type="auto"/>
            <w:gridSpan w:val="3"/>
            <w:shd w:val="clear" w:color="auto" w:fill="auto"/>
          </w:tcPr>
          <w:p w14:paraId="5EA1DEFB" w14:textId="77777777" w:rsidR="003C66EB" w:rsidRDefault="003C66EB">
            <w:pPr>
              <w:rPr>
                <w:rFonts w:ascii="宋体"/>
                <w:vanish/>
              </w:rPr>
            </w:pPr>
          </w:p>
        </w:tc>
        <w:tc>
          <w:tcPr>
            <w:tcW w:w="0" w:type="auto"/>
            <w:gridSpan w:val="3"/>
            <w:shd w:val="clear" w:color="auto" w:fill="auto"/>
          </w:tcPr>
          <w:p w14:paraId="5EA1DEFC" w14:textId="77777777" w:rsidR="003C66EB" w:rsidRDefault="003C66EB">
            <w:pPr>
              <w:rPr>
                <w:rFonts w:ascii="宋体"/>
                <w:vanish/>
              </w:rPr>
            </w:pPr>
          </w:p>
        </w:tc>
        <w:tc>
          <w:tcPr>
            <w:tcW w:w="0" w:type="auto"/>
            <w:gridSpan w:val="3"/>
            <w:shd w:val="clear" w:color="auto" w:fill="auto"/>
          </w:tcPr>
          <w:p w14:paraId="5EA1DEFD" w14:textId="77777777" w:rsidR="003C66EB" w:rsidRDefault="003C66EB">
            <w:pPr>
              <w:rPr>
                <w:rFonts w:ascii="宋体"/>
                <w:vanish/>
              </w:rPr>
            </w:pPr>
          </w:p>
        </w:tc>
        <w:tc>
          <w:tcPr>
            <w:tcW w:w="0" w:type="auto"/>
            <w:gridSpan w:val="3"/>
            <w:shd w:val="clear" w:color="auto" w:fill="auto"/>
          </w:tcPr>
          <w:p w14:paraId="5EA1DEFE" w14:textId="77777777" w:rsidR="003C66EB" w:rsidRDefault="003C66EB">
            <w:pPr>
              <w:rPr>
                <w:rFonts w:ascii="宋体"/>
                <w:vanish/>
              </w:rPr>
            </w:pPr>
          </w:p>
        </w:tc>
        <w:tc>
          <w:tcPr>
            <w:tcW w:w="0" w:type="auto"/>
            <w:gridSpan w:val="3"/>
            <w:shd w:val="clear" w:color="auto" w:fill="auto"/>
          </w:tcPr>
          <w:p w14:paraId="5EA1DEFF" w14:textId="77777777" w:rsidR="003C66EB" w:rsidRDefault="003C66EB">
            <w:pPr>
              <w:rPr>
                <w:rFonts w:ascii="宋体"/>
                <w:vanish/>
              </w:rPr>
            </w:pPr>
          </w:p>
        </w:tc>
        <w:tc>
          <w:tcPr>
            <w:tcW w:w="0" w:type="auto"/>
            <w:gridSpan w:val="3"/>
            <w:shd w:val="clear" w:color="auto" w:fill="auto"/>
          </w:tcPr>
          <w:p w14:paraId="5EA1DF00" w14:textId="77777777" w:rsidR="003C66EB" w:rsidRDefault="003C66EB">
            <w:pPr>
              <w:rPr>
                <w:rFonts w:ascii="宋体"/>
                <w:vanish/>
              </w:rPr>
            </w:pPr>
          </w:p>
        </w:tc>
        <w:tc>
          <w:tcPr>
            <w:tcW w:w="0" w:type="auto"/>
            <w:gridSpan w:val="3"/>
            <w:shd w:val="clear" w:color="auto" w:fill="auto"/>
          </w:tcPr>
          <w:p w14:paraId="5EA1DF01" w14:textId="77777777" w:rsidR="003C66EB" w:rsidRDefault="003C66EB">
            <w:pPr>
              <w:rPr>
                <w:rFonts w:ascii="宋体"/>
                <w:vanish/>
              </w:rPr>
            </w:pPr>
          </w:p>
        </w:tc>
        <w:tc>
          <w:tcPr>
            <w:tcW w:w="0" w:type="auto"/>
            <w:gridSpan w:val="3"/>
            <w:shd w:val="clear" w:color="auto" w:fill="auto"/>
          </w:tcPr>
          <w:p w14:paraId="5EA1DF02" w14:textId="77777777" w:rsidR="003C66EB" w:rsidRDefault="003C66EB">
            <w:pPr>
              <w:rPr>
                <w:rFonts w:ascii="宋体"/>
                <w:vanish/>
              </w:rPr>
            </w:pPr>
          </w:p>
        </w:tc>
      </w:tr>
      <w:tr w:rsidR="003C66EB" w14:paraId="5EA1DF0F" w14:textId="77777777">
        <w:trPr>
          <w:hidden/>
        </w:trPr>
        <w:tc>
          <w:tcPr>
            <w:tcW w:w="0" w:type="auto"/>
            <w:gridSpan w:val="3"/>
            <w:shd w:val="clear" w:color="auto" w:fill="auto"/>
          </w:tcPr>
          <w:p w14:paraId="5EA1DF04" w14:textId="77777777" w:rsidR="003C66EB" w:rsidRDefault="003C66EB">
            <w:pPr>
              <w:rPr>
                <w:rFonts w:ascii="宋体"/>
                <w:vanish/>
              </w:rPr>
            </w:pPr>
          </w:p>
        </w:tc>
        <w:tc>
          <w:tcPr>
            <w:tcW w:w="0" w:type="auto"/>
            <w:gridSpan w:val="3"/>
            <w:shd w:val="clear" w:color="auto" w:fill="auto"/>
          </w:tcPr>
          <w:p w14:paraId="5EA1DF05" w14:textId="77777777" w:rsidR="003C66EB" w:rsidRDefault="003C66EB">
            <w:pPr>
              <w:rPr>
                <w:rFonts w:ascii="宋体"/>
                <w:vanish/>
              </w:rPr>
            </w:pPr>
          </w:p>
        </w:tc>
        <w:tc>
          <w:tcPr>
            <w:tcW w:w="0" w:type="auto"/>
            <w:gridSpan w:val="3"/>
            <w:shd w:val="clear" w:color="auto" w:fill="auto"/>
          </w:tcPr>
          <w:p w14:paraId="5EA1DF06" w14:textId="77777777" w:rsidR="003C66EB" w:rsidRDefault="003C66EB">
            <w:pPr>
              <w:rPr>
                <w:rFonts w:ascii="宋体"/>
                <w:vanish/>
              </w:rPr>
            </w:pPr>
          </w:p>
        </w:tc>
        <w:tc>
          <w:tcPr>
            <w:tcW w:w="0" w:type="auto"/>
            <w:gridSpan w:val="3"/>
            <w:shd w:val="clear" w:color="auto" w:fill="auto"/>
          </w:tcPr>
          <w:p w14:paraId="5EA1DF07" w14:textId="77777777" w:rsidR="003C66EB" w:rsidRDefault="003C66EB">
            <w:pPr>
              <w:rPr>
                <w:rFonts w:ascii="宋体"/>
                <w:vanish/>
              </w:rPr>
            </w:pPr>
          </w:p>
        </w:tc>
        <w:tc>
          <w:tcPr>
            <w:tcW w:w="0" w:type="auto"/>
            <w:gridSpan w:val="3"/>
            <w:shd w:val="clear" w:color="auto" w:fill="auto"/>
          </w:tcPr>
          <w:p w14:paraId="5EA1DF08" w14:textId="77777777" w:rsidR="003C66EB" w:rsidRDefault="003C66EB">
            <w:pPr>
              <w:rPr>
                <w:rFonts w:ascii="宋体"/>
                <w:vanish/>
              </w:rPr>
            </w:pPr>
          </w:p>
        </w:tc>
        <w:tc>
          <w:tcPr>
            <w:tcW w:w="0" w:type="auto"/>
            <w:gridSpan w:val="3"/>
            <w:shd w:val="clear" w:color="auto" w:fill="auto"/>
          </w:tcPr>
          <w:p w14:paraId="5EA1DF09" w14:textId="77777777" w:rsidR="003C66EB" w:rsidRDefault="003C66EB">
            <w:pPr>
              <w:rPr>
                <w:rFonts w:ascii="宋体"/>
                <w:vanish/>
              </w:rPr>
            </w:pPr>
          </w:p>
        </w:tc>
        <w:tc>
          <w:tcPr>
            <w:tcW w:w="0" w:type="auto"/>
            <w:gridSpan w:val="3"/>
            <w:shd w:val="clear" w:color="auto" w:fill="auto"/>
          </w:tcPr>
          <w:p w14:paraId="5EA1DF0A" w14:textId="77777777" w:rsidR="003C66EB" w:rsidRDefault="003C66EB">
            <w:pPr>
              <w:rPr>
                <w:rFonts w:ascii="宋体"/>
                <w:vanish/>
              </w:rPr>
            </w:pPr>
          </w:p>
        </w:tc>
        <w:tc>
          <w:tcPr>
            <w:tcW w:w="0" w:type="auto"/>
            <w:gridSpan w:val="3"/>
            <w:shd w:val="clear" w:color="auto" w:fill="auto"/>
          </w:tcPr>
          <w:p w14:paraId="5EA1DF0B" w14:textId="77777777" w:rsidR="003C66EB" w:rsidRDefault="003C66EB">
            <w:pPr>
              <w:rPr>
                <w:rFonts w:ascii="宋体"/>
                <w:vanish/>
              </w:rPr>
            </w:pPr>
          </w:p>
        </w:tc>
        <w:tc>
          <w:tcPr>
            <w:tcW w:w="0" w:type="auto"/>
            <w:gridSpan w:val="3"/>
            <w:shd w:val="clear" w:color="auto" w:fill="auto"/>
          </w:tcPr>
          <w:p w14:paraId="5EA1DF0C" w14:textId="77777777" w:rsidR="003C66EB" w:rsidRDefault="003C66EB">
            <w:pPr>
              <w:rPr>
                <w:rFonts w:ascii="宋体"/>
                <w:vanish/>
              </w:rPr>
            </w:pPr>
          </w:p>
        </w:tc>
        <w:tc>
          <w:tcPr>
            <w:tcW w:w="0" w:type="auto"/>
            <w:gridSpan w:val="3"/>
            <w:shd w:val="clear" w:color="auto" w:fill="auto"/>
          </w:tcPr>
          <w:p w14:paraId="5EA1DF0D" w14:textId="77777777" w:rsidR="003C66EB" w:rsidRDefault="003C66EB">
            <w:pPr>
              <w:rPr>
                <w:rFonts w:ascii="宋体"/>
                <w:vanish/>
              </w:rPr>
            </w:pPr>
          </w:p>
        </w:tc>
        <w:tc>
          <w:tcPr>
            <w:tcW w:w="0" w:type="auto"/>
            <w:gridSpan w:val="3"/>
            <w:shd w:val="clear" w:color="auto" w:fill="auto"/>
          </w:tcPr>
          <w:p w14:paraId="5EA1DF0E" w14:textId="77777777" w:rsidR="003C66EB" w:rsidRDefault="003C66EB">
            <w:pPr>
              <w:rPr>
                <w:rFonts w:ascii="宋体"/>
                <w:vanish/>
              </w:rPr>
            </w:pPr>
          </w:p>
        </w:tc>
      </w:tr>
      <w:tr w:rsidR="003C66EB" w14:paraId="5EA1DF1B" w14:textId="77777777">
        <w:trPr>
          <w:hidden/>
        </w:trPr>
        <w:tc>
          <w:tcPr>
            <w:tcW w:w="0" w:type="auto"/>
            <w:gridSpan w:val="3"/>
            <w:shd w:val="clear" w:color="auto" w:fill="auto"/>
          </w:tcPr>
          <w:p w14:paraId="5EA1DF10" w14:textId="77777777" w:rsidR="003C66EB" w:rsidRDefault="003C66EB">
            <w:pPr>
              <w:rPr>
                <w:rFonts w:ascii="宋体"/>
                <w:vanish/>
              </w:rPr>
            </w:pPr>
          </w:p>
        </w:tc>
        <w:tc>
          <w:tcPr>
            <w:tcW w:w="0" w:type="auto"/>
            <w:gridSpan w:val="3"/>
            <w:shd w:val="clear" w:color="auto" w:fill="auto"/>
          </w:tcPr>
          <w:p w14:paraId="5EA1DF11" w14:textId="77777777" w:rsidR="003C66EB" w:rsidRDefault="003C66EB">
            <w:pPr>
              <w:rPr>
                <w:rFonts w:ascii="宋体"/>
                <w:vanish/>
              </w:rPr>
            </w:pPr>
          </w:p>
        </w:tc>
        <w:tc>
          <w:tcPr>
            <w:tcW w:w="0" w:type="auto"/>
            <w:gridSpan w:val="3"/>
            <w:shd w:val="clear" w:color="auto" w:fill="auto"/>
          </w:tcPr>
          <w:p w14:paraId="5EA1DF12" w14:textId="77777777" w:rsidR="003C66EB" w:rsidRDefault="003C66EB">
            <w:pPr>
              <w:rPr>
                <w:rFonts w:ascii="宋体"/>
                <w:vanish/>
              </w:rPr>
            </w:pPr>
          </w:p>
        </w:tc>
        <w:tc>
          <w:tcPr>
            <w:tcW w:w="0" w:type="auto"/>
            <w:gridSpan w:val="3"/>
            <w:shd w:val="clear" w:color="auto" w:fill="auto"/>
          </w:tcPr>
          <w:p w14:paraId="5EA1DF13" w14:textId="77777777" w:rsidR="003C66EB" w:rsidRDefault="003C66EB">
            <w:pPr>
              <w:rPr>
                <w:rFonts w:ascii="宋体"/>
                <w:vanish/>
              </w:rPr>
            </w:pPr>
          </w:p>
        </w:tc>
        <w:tc>
          <w:tcPr>
            <w:tcW w:w="0" w:type="auto"/>
            <w:gridSpan w:val="3"/>
            <w:shd w:val="clear" w:color="auto" w:fill="auto"/>
          </w:tcPr>
          <w:p w14:paraId="5EA1DF14" w14:textId="77777777" w:rsidR="003C66EB" w:rsidRDefault="003C66EB">
            <w:pPr>
              <w:rPr>
                <w:rFonts w:ascii="宋体"/>
                <w:vanish/>
              </w:rPr>
            </w:pPr>
          </w:p>
        </w:tc>
        <w:tc>
          <w:tcPr>
            <w:tcW w:w="0" w:type="auto"/>
            <w:gridSpan w:val="3"/>
            <w:shd w:val="clear" w:color="auto" w:fill="auto"/>
          </w:tcPr>
          <w:p w14:paraId="5EA1DF15" w14:textId="77777777" w:rsidR="003C66EB" w:rsidRDefault="003C66EB">
            <w:pPr>
              <w:rPr>
                <w:rFonts w:ascii="宋体"/>
                <w:vanish/>
              </w:rPr>
            </w:pPr>
          </w:p>
        </w:tc>
        <w:tc>
          <w:tcPr>
            <w:tcW w:w="0" w:type="auto"/>
            <w:gridSpan w:val="3"/>
            <w:shd w:val="clear" w:color="auto" w:fill="auto"/>
          </w:tcPr>
          <w:p w14:paraId="5EA1DF16" w14:textId="77777777" w:rsidR="003C66EB" w:rsidRDefault="003C66EB">
            <w:pPr>
              <w:rPr>
                <w:rFonts w:ascii="宋体"/>
                <w:vanish/>
              </w:rPr>
            </w:pPr>
          </w:p>
        </w:tc>
        <w:tc>
          <w:tcPr>
            <w:tcW w:w="0" w:type="auto"/>
            <w:gridSpan w:val="3"/>
            <w:shd w:val="clear" w:color="auto" w:fill="auto"/>
          </w:tcPr>
          <w:p w14:paraId="5EA1DF17" w14:textId="77777777" w:rsidR="003C66EB" w:rsidRDefault="003C66EB">
            <w:pPr>
              <w:rPr>
                <w:rFonts w:ascii="宋体"/>
                <w:vanish/>
              </w:rPr>
            </w:pPr>
          </w:p>
        </w:tc>
        <w:tc>
          <w:tcPr>
            <w:tcW w:w="0" w:type="auto"/>
            <w:gridSpan w:val="3"/>
            <w:shd w:val="clear" w:color="auto" w:fill="auto"/>
          </w:tcPr>
          <w:p w14:paraId="5EA1DF18" w14:textId="77777777" w:rsidR="003C66EB" w:rsidRDefault="003C66EB">
            <w:pPr>
              <w:rPr>
                <w:rFonts w:ascii="宋体"/>
                <w:vanish/>
              </w:rPr>
            </w:pPr>
          </w:p>
        </w:tc>
        <w:tc>
          <w:tcPr>
            <w:tcW w:w="0" w:type="auto"/>
            <w:gridSpan w:val="3"/>
            <w:shd w:val="clear" w:color="auto" w:fill="auto"/>
          </w:tcPr>
          <w:p w14:paraId="5EA1DF19" w14:textId="77777777" w:rsidR="003C66EB" w:rsidRDefault="003C66EB">
            <w:pPr>
              <w:rPr>
                <w:rFonts w:ascii="宋体"/>
                <w:vanish/>
              </w:rPr>
            </w:pPr>
          </w:p>
        </w:tc>
        <w:tc>
          <w:tcPr>
            <w:tcW w:w="0" w:type="auto"/>
            <w:gridSpan w:val="3"/>
            <w:shd w:val="clear" w:color="auto" w:fill="auto"/>
          </w:tcPr>
          <w:p w14:paraId="5EA1DF1A" w14:textId="77777777" w:rsidR="003C66EB" w:rsidRDefault="003C66EB">
            <w:pPr>
              <w:rPr>
                <w:rFonts w:ascii="宋体"/>
                <w:vanish/>
              </w:rPr>
            </w:pPr>
          </w:p>
        </w:tc>
      </w:tr>
      <w:tr w:rsidR="003C66EB" w14:paraId="5EA1DF27" w14:textId="77777777">
        <w:trPr>
          <w:hidden/>
        </w:trPr>
        <w:tc>
          <w:tcPr>
            <w:tcW w:w="0" w:type="auto"/>
            <w:gridSpan w:val="3"/>
            <w:shd w:val="clear" w:color="auto" w:fill="auto"/>
          </w:tcPr>
          <w:p w14:paraId="5EA1DF1C" w14:textId="77777777" w:rsidR="003C66EB" w:rsidRDefault="003C66EB">
            <w:pPr>
              <w:rPr>
                <w:rFonts w:ascii="宋体"/>
                <w:vanish/>
              </w:rPr>
            </w:pPr>
          </w:p>
        </w:tc>
        <w:tc>
          <w:tcPr>
            <w:tcW w:w="0" w:type="auto"/>
            <w:gridSpan w:val="3"/>
            <w:shd w:val="clear" w:color="auto" w:fill="auto"/>
          </w:tcPr>
          <w:p w14:paraId="5EA1DF1D" w14:textId="77777777" w:rsidR="003C66EB" w:rsidRDefault="003C66EB">
            <w:pPr>
              <w:rPr>
                <w:rFonts w:ascii="宋体"/>
                <w:vanish/>
              </w:rPr>
            </w:pPr>
          </w:p>
        </w:tc>
        <w:tc>
          <w:tcPr>
            <w:tcW w:w="0" w:type="auto"/>
            <w:gridSpan w:val="3"/>
            <w:shd w:val="clear" w:color="auto" w:fill="auto"/>
          </w:tcPr>
          <w:p w14:paraId="5EA1DF1E" w14:textId="77777777" w:rsidR="003C66EB" w:rsidRDefault="003C66EB">
            <w:pPr>
              <w:rPr>
                <w:rFonts w:ascii="宋体"/>
                <w:vanish/>
              </w:rPr>
            </w:pPr>
          </w:p>
        </w:tc>
        <w:tc>
          <w:tcPr>
            <w:tcW w:w="0" w:type="auto"/>
            <w:gridSpan w:val="3"/>
            <w:shd w:val="clear" w:color="auto" w:fill="auto"/>
          </w:tcPr>
          <w:p w14:paraId="5EA1DF1F" w14:textId="77777777" w:rsidR="003C66EB" w:rsidRDefault="003C66EB">
            <w:pPr>
              <w:rPr>
                <w:rFonts w:ascii="宋体"/>
                <w:vanish/>
              </w:rPr>
            </w:pPr>
          </w:p>
        </w:tc>
        <w:tc>
          <w:tcPr>
            <w:tcW w:w="0" w:type="auto"/>
            <w:gridSpan w:val="3"/>
            <w:shd w:val="clear" w:color="auto" w:fill="auto"/>
          </w:tcPr>
          <w:p w14:paraId="5EA1DF20" w14:textId="77777777" w:rsidR="003C66EB" w:rsidRDefault="003C66EB">
            <w:pPr>
              <w:rPr>
                <w:rFonts w:ascii="宋体"/>
                <w:vanish/>
              </w:rPr>
            </w:pPr>
          </w:p>
        </w:tc>
        <w:tc>
          <w:tcPr>
            <w:tcW w:w="0" w:type="auto"/>
            <w:gridSpan w:val="3"/>
            <w:shd w:val="clear" w:color="auto" w:fill="auto"/>
          </w:tcPr>
          <w:p w14:paraId="5EA1DF21" w14:textId="77777777" w:rsidR="003C66EB" w:rsidRDefault="003C66EB">
            <w:pPr>
              <w:rPr>
                <w:rFonts w:ascii="宋体"/>
                <w:vanish/>
              </w:rPr>
            </w:pPr>
          </w:p>
        </w:tc>
        <w:tc>
          <w:tcPr>
            <w:tcW w:w="0" w:type="auto"/>
            <w:gridSpan w:val="3"/>
            <w:shd w:val="clear" w:color="auto" w:fill="auto"/>
          </w:tcPr>
          <w:p w14:paraId="5EA1DF22" w14:textId="77777777" w:rsidR="003C66EB" w:rsidRDefault="003C66EB">
            <w:pPr>
              <w:rPr>
                <w:rFonts w:ascii="宋体"/>
                <w:vanish/>
              </w:rPr>
            </w:pPr>
          </w:p>
        </w:tc>
        <w:tc>
          <w:tcPr>
            <w:tcW w:w="0" w:type="auto"/>
            <w:gridSpan w:val="3"/>
            <w:shd w:val="clear" w:color="auto" w:fill="auto"/>
          </w:tcPr>
          <w:p w14:paraId="5EA1DF23" w14:textId="77777777" w:rsidR="003C66EB" w:rsidRDefault="003C66EB">
            <w:pPr>
              <w:rPr>
                <w:rFonts w:ascii="宋体"/>
                <w:vanish/>
              </w:rPr>
            </w:pPr>
          </w:p>
        </w:tc>
        <w:tc>
          <w:tcPr>
            <w:tcW w:w="0" w:type="auto"/>
            <w:gridSpan w:val="3"/>
            <w:shd w:val="clear" w:color="auto" w:fill="auto"/>
          </w:tcPr>
          <w:p w14:paraId="5EA1DF24" w14:textId="77777777" w:rsidR="003C66EB" w:rsidRDefault="003C66EB">
            <w:pPr>
              <w:rPr>
                <w:rFonts w:ascii="宋体"/>
                <w:vanish/>
              </w:rPr>
            </w:pPr>
          </w:p>
        </w:tc>
        <w:tc>
          <w:tcPr>
            <w:tcW w:w="0" w:type="auto"/>
            <w:gridSpan w:val="3"/>
            <w:shd w:val="clear" w:color="auto" w:fill="auto"/>
          </w:tcPr>
          <w:p w14:paraId="5EA1DF25" w14:textId="77777777" w:rsidR="003C66EB" w:rsidRDefault="003C66EB">
            <w:pPr>
              <w:rPr>
                <w:rFonts w:ascii="宋体"/>
                <w:vanish/>
              </w:rPr>
            </w:pPr>
          </w:p>
        </w:tc>
        <w:tc>
          <w:tcPr>
            <w:tcW w:w="0" w:type="auto"/>
            <w:gridSpan w:val="3"/>
            <w:shd w:val="clear" w:color="auto" w:fill="auto"/>
          </w:tcPr>
          <w:p w14:paraId="5EA1DF26" w14:textId="77777777" w:rsidR="003C66EB" w:rsidRDefault="003C66EB">
            <w:pPr>
              <w:rPr>
                <w:rFonts w:ascii="宋体"/>
                <w:vanish/>
              </w:rPr>
            </w:pPr>
          </w:p>
        </w:tc>
      </w:tr>
      <w:tr w:rsidR="003C66EB" w14:paraId="5EA1DF33" w14:textId="77777777">
        <w:trPr>
          <w:hidden/>
        </w:trPr>
        <w:tc>
          <w:tcPr>
            <w:tcW w:w="0" w:type="auto"/>
            <w:gridSpan w:val="3"/>
            <w:shd w:val="clear" w:color="auto" w:fill="auto"/>
          </w:tcPr>
          <w:p w14:paraId="5EA1DF28" w14:textId="77777777" w:rsidR="003C66EB" w:rsidRDefault="003C66EB">
            <w:pPr>
              <w:rPr>
                <w:rFonts w:ascii="宋体"/>
                <w:vanish/>
              </w:rPr>
            </w:pPr>
          </w:p>
        </w:tc>
        <w:tc>
          <w:tcPr>
            <w:tcW w:w="0" w:type="auto"/>
            <w:gridSpan w:val="3"/>
            <w:shd w:val="clear" w:color="auto" w:fill="auto"/>
          </w:tcPr>
          <w:p w14:paraId="5EA1DF29" w14:textId="77777777" w:rsidR="003C66EB" w:rsidRDefault="003C66EB">
            <w:pPr>
              <w:rPr>
                <w:rFonts w:ascii="宋体"/>
                <w:vanish/>
              </w:rPr>
            </w:pPr>
          </w:p>
        </w:tc>
        <w:tc>
          <w:tcPr>
            <w:tcW w:w="0" w:type="auto"/>
            <w:gridSpan w:val="3"/>
            <w:shd w:val="clear" w:color="auto" w:fill="auto"/>
          </w:tcPr>
          <w:p w14:paraId="5EA1DF2A" w14:textId="77777777" w:rsidR="003C66EB" w:rsidRDefault="003C66EB">
            <w:pPr>
              <w:rPr>
                <w:rFonts w:ascii="宋体"/>
                <w:vanish/>
              </w:rPr>
            </w:pPr>
          </w:p>
        </w:tc>
        <w:tc>
          <w:tcPr>
            <w:tcW w:w="0" w:type="auto"/>
            <w:gridSpan w:val="3"/>
            <w:shd w:val="clear" w:color="auto" w:fill="auto"/>
          </w:tcPr>
          <w:p w14:paraId="5EA1DF2B" w14:textId="77777777" w:rsidR="003C66EB" w:rsidRDefault="003C66EB">
            <w:pPr>
              <w:rPr>
                <w:rFonts w:ascii="宋体"/>
                <w:vanish/>
              </w:rPr>
            </w:pPr>
          </w:p>
        </w:tc>
        <w:tc>
          <w:tcPr>
            <w:tcW w:w="0" w:type="auto"/>
            <w:gridSpan w:val="3"/>
            <w:shd w:val="clear" w:color="auto" w:fill="auto"/>
          </w:tcPr>
          <w:p w14:paraId="5EA1DF2C" w14:textId="77777777" w:rsidR="003C66EB" w:rsidRDefault="003C66EB">
            <w:pPr>
              <w:rPr>
                <w:rFonts w:ascii="宋体"/>
                <w:vanish/>
              </w:rPr>
            </w:pPr>
          </w:p>
        </w:tc>
        <w:tc>
          <w:tcPr>
            <w:tcW w:w="0" w:type="auto"/>
            <w:gridSpan w:val="3"/>
            <w:shd w:val="clear" w:color="auto" w:fill="auto"/>
          </w:tcPr>
          <w:p w14:paraId="5EA1DF2D" w14:textId="77777777" w:rsidR="003C66EB" w:rsidRDefault="003C66EB">
            <w:pPr>
              <w:rPr>
                <w:rFonts w:ascii="宋体"/>
                <w:vanish/>
              </w:rPr>
            </w:pPr>
          </w:p>
        </w:tc>
        <w:tc>
          <w:tcPr>
            <w:tcW w:w="0" w:type="auto"/>
            <w:gridSpan w:val="3"/>
            <w:shd w:val="clear" w:color="auto" w:fill="auto"/>
          </w:tcPr>
          <w:p w14:paraId="5EA1DF2E" w14:textId="77777777" w:rsidR="003C66EB" w:rsidRDefault="003C66EB">
            <w:pPr>
              <w:rPr>
                <w:rFonts w:ascii="宋体"/>
                <w:vanish/>
              </w:rPr>
            </w:pPr>
          </w:p>
        </w:tc>
        <w:tc>
          <w:tcPr>
            <w:tcW w:w="0" w:type="auto"/>
            <w:gridSpan w:val="3"/>
            <w:shd w:val="clear" w:color="auto" w:fill="auto"/>
          </w:tcPr>
          <w:p w14:paraId="5EA1DF2F" w14:textId="77777777" w:rsidR="003C66EB" w:rsidRDefault="003C66EB">
            <w:pPr>
              <w:rPr>
                <w:rFonts w:ascii="宋体"/>
                <w:vanish/>
              </w:rPr>
            </w:pPr>
          </w:p>
        </w:tc>
        <w:tc>
          <w:tcPr>
            <w:tcW w:w="0" w:type="auto"/>
            <w:gridSpan w:val="3"/>
            <w:shd w:val="clear" w:color="auto" w:fill="auto"/>
          </w:tcPr>
          <w:p w14:paraId="5EA1DF30" w14:textId="77777777" w:rsidR="003C66EB" w:rsidRDefault="003C66EB">
            <w:pPr>
              <w:rPr>
                <w:rFonts w:ascii="宋体"/>
                <w:vanish/>
              </w:rPr>
            </w:pPr>
          </w:p>
        </w:tc>
        <w:tc>
          <w:tcPr>
            <w:tcW w:w="0" w:type="auto"/>
            <w:gridSpan w:val="3"/>
            <w:shd w:val="clear" w:color="auto" w:fill="auto"/>
          </w:tcPr>
          <w:p w14:paraId="5EA1DF31" w14:textId="77777777" w:rsidR="003C66EB" w:rsidRDefault="003C66EB">
            <w:pPr>
              <w:rPr>
                <w:rFonts w:ascii="宋体"/>
                <w:vanish/>
              </w:rPr>
            </w:pPr>
          </w:p>
        </w:tc>
        <w:tc>
          <w:tcPr>
            <w:tcW w:w="0" w:type="auto"/>
            <w:gridSpan w:val="3"/>
            <w:shd w:val="clear" w:color="auto" w:fill="auto"/>
          </w:tcPr>
          <w:p w14:paraId="5EA1DF32" w14:textId="77777777" w:rsidR="003C66EB" w:rsidRDefault="003C66EB">
            <w:pPr>
              <w:rPr>
                <w:rFonts w:ascii="宋体"/>
                <w:vanish/>
              </w:rPr>
            </w:pPr>
          </w:p>
        </w:tc>
      </w:tr>
      <w:tr w:rsidR="003C66EB" w14:paraId="5EA1DF3F" w14:textId="77777777">
        <w:trPr>
          <w:hidden/>
        </w:trPr>
        <w:tc>
          <w:tcPr>
            <w:tcW w:w="0" w:type="auto"/>
            <w:gridSpan w:val="3"/>
            <w:shd w:val="clear" w:color="auto" w:fill="auto"/>
          </w:tcPr>
          <w:p w14:paraId="5EA1DF34" w14:textId="77777777" w:rsidR="003C66EB" w:rsidRDefault="003C66EB">
            <w:pPr>
              <w:rPr>
                <w:rFonts w:ascii="宋体"/>
                <w:vanish/>
              </w:rPr>
            </w:pPr>
          </w:p>
        </w:tc>
        <w:tc>
          <w:tcPr>
            <w:tcW w:w="0" w:type="auto"/>
            <w:gridSpan w:val="3"/>
            <w:shd w:val="clear" w:color="auto" w:fill="auto"/>
          </w:tcPr>
          <w:p w14:paraId="5EA1DF35" w14:textId="77777777" w:rsidR="003C66EB" w:rsidRDefault="003C66EB">
            <w:pPr>
              <w:rPr>
                <w:rFonts w:ascii="宋体"/>
                <w:vanish/>
              </w:rPr>
            </w:pPr>
          </w:p>
        </w:tc>
        <w:tc>
          <w:tcPr>
            <w:tcW w:w="0" w:type="auto"/>
            <w:gridSpan w:val="3"/>
            <w:shd w:val="clear" w:color="auto" w:fill="auto"/>
          </w:tcPr>
          <w:p w14:paraId="5EA1DF36" w14:textId="77777777" w:rsidR="003C66EB" w:rsidRDefault="003C66EB">
            <w:pPr>
              <w:rPr>
                <w:rFonts w:ascii="宋体"/>
                <w:vanish/>
              </w:rPr>
            </w:pPr>
          </w:p>
        </w:tc>
        <w:tc>
          <w:tcPr>
            <w:tcW w:w="0" w:type="auto"/>
            <w:gridSpan w:val="3"/>
            <w:shd w:val="clear" w:color="auto" w:fill="auto"/>
          </w:tcPr>
          <w:p w14:paraId="5EA1DF37" w14:textId="77777777" w:rsidR="003C66EB" w:rsidRDefault="003C66EB">
            <w:pPr>
              <w:rPr>
                <w:rFonts w:ascii="宋体"/>
                <w:vanish/>
              </w:rPr>
            </w:pPr>
          </w:p>
        </w:tc>
        <w:tc>
          <w:tcPr>
            <w:tcW w:w="0" w:type="auto"/>
            <w:gridSpan w:val="3"/>
            <w:shd w:val="clear" w:color="auto" w:fill="auto"/>
          </w:tcPr>
          <w:p w14:paraId="5EA1DF38" w14:textId="77777777" w:rsidR="003C66EB" w:rsidRDefault="003C66EB">
            <w:pPr>
              <w:rPr>
                <w:rFonts w:ascii="宋体"/>
                <w:vanish/>
              </w:rPr>
            </w:pPr>
          </w:p>
        </w:tc>
        <w:tc>
          <w:tcPr>
            <w:tcW w:w="0" w:type="auto"/>
            <w:gridSpan w:val="3"/>
            <w:shd w:val="clear" w:color="auto" w:fill="auto"/>
          </w:tcPr>
          <w:p w14:paraId="5EA1DF39" w14:textId="77777777" w:rsidR="003C66EB" w:rsidRDefault="003C66EB">
            <w:pPr>
              <w:rPr>
                <w:rFonts w:ascii="宋体"/>
                <w:vanish/>
              </w:rPr>
            </w:pPr>
          </w:p>
        </w:tc>
        <w:tc>
          <w:tcPr>
            <w:tcW w:w="0" w:type="auto"/>
            <w:gridSpan w:val="3"/>
            <w:shd w:val="clear" w:color="auto" w:fill="auto"/>
          </w:tcPr>
          <w:p w14:paraId="5EA1DF3A" w14:textId="77777777" w:rsidR="003C66EB" w:rsidRDefault="003C66EB">
            <w:pPr>
              <w:rPr>
                <w:rFonts w:ascii="宋体"/>
                <w:vanish/>
              </w:rPr>
            </w:pPr>
          </w:p>
        </w:tc>
        <w:tc>
          <w:tcPr>
            <w:tcW w:w="0" w:type="auto"/>
            <w:gridSpan w:val="3"/>
            <w:shd w:val="clear" w:color="auto" w:fill="auto"/>
          </w:tcPr>
          <w:p w14:paraId="5EA1DF3B" w14:textId="77777777" w:rsidR="003C66EB" w:rsidRDefault="003C66EB">
            <w:pPr>
              <w:rPr>
                <w:rFonts w:ascii="宋体"/>
                <w:vanish/>
              </w:rPr>
            </w:pPr>
          </w:p>
        </w:tc>
        <w:tc>
          <w:tcPr>
            <w:tcW w:w="0" w:type="auto"/>
            <w:gridSpan w:val="3"/>
            <w:shd w:val="clear" w:color="auto" w:fill="auto"/>
          </w:tcPr>
          <w:p w14:paraId="5EA1DF3C" w14:textId="77777777" w:rsidR="003C66EB" w:rsidRDefault="003C66EB">
            <w:pPr>
              <w:rPr>
                <w:rFonts w:ascii="宋体"/>
                <w:vanish/>
              </w:rPr>
            </w:pPr>
          </w:p>
        </w:tc>
        <w:tc>
          <w:tcPr>
            <w:tcW w:w="0" w:type="auto"/>
            <w:gridSpan w:val="3"/>
            <w:shd w:val="clear" w:color="auto" w:fill="auto"/>
          </w:tcPr>
          <w:p w14:paraId="5EA1DF3D" w14:textId="77777777" w:rsidR="003C66EB" w:rsidRDefault="003C66EB">
            <w:pPr>
              <w:rPr>
                <w:rFonts w:ascii="宋体"/>
                <w:vanish/>
              </w:rPr>
            </w:pPr>
          </w:p>
        </w:tc>
        <w:tc>
          <w:tcPr>
            <w:tcW w:w="0" w:type="auto"/>
            <w:gridSpan w:val="3"/>
            <w:shd w:val="clear" w:color="auto" w:fill="auto"/>
          </w:tcPr>
          <w:p w14:paraId="5EA1DF3E" w14:textId="77777777" w:rsidR="003C66EB" w:rsidRDefault="003C66EB">
            <w:pPr>
              <w:rPr>
                <w:rFonts w:ascii="宋体"/>
                <w:vanish/>
              </w:rPr>
            </w:pPr>
          </w:p>
        </w:tc>
      </w:tr>
      <w:tr w:rsidR="003C66EB" w14:paraId="5EA1DF4B" w14:textId="77777777">
        <w:trPr>
          <w:hidden/>
        </w:trPr>
        <w:tc>
          <w:tcPr>
            <w:tcW w:w="0" w:type="auto"/>
            <w:gridSpan w:val="3"/>
            <w:shd w:val="clear" w:color="auto" w:fill="auto"/>
          </w:tcPr>
          <w:p w14:paraId="5EA1DF40" w14:textId="77777777" w:rsidR="003C66EB" w:rsidRDefault="003C66EB">
            <w:pPr>
              <w:rPr>
                <w:rFonts w:ascii="宋体"/>
                <w:vanish/>
              </w:rPr>
            </w:pPr>
          </w:p>
        </w:tc>
        <w:tc>
          <w:tcPr>
            <w:tcW w:w="0" w:type="auto"/>
            <w:gridSpan w:val="3"/>
            <w:shd w:val="clear" w:color="auto" w:fill="auto"/>
          </w:tcPr>
          <w:p w14:paraId="5EA1DF41" w14:textId="77777777" w:rsidR="003C66EB" w:rsidRDefault="003C66EB">
            <w:pPr>
              <w:rPr>
                <w:rFonts w:ascii="宋体"/>
                <w:vanish/>
              </w:rPr>
            </w:pPr>
          </w:p>
        </w:tc>
        <w:tc>
          <w:tcPr>
            <w:tcW w:w="0" w:type="auto"/>
            <w:gridSpan w:val="3"/>
            <w:shd w:val="clear" w:color="auto" w:fill="auto"/>
          </w:tcPr>
          <w:p w14:paraId="5EA1DF42" w14:textId="77777777" w:rsidR="003C66EB" w:rsidRDefault="003C66EB">
            <w:pPr>
              <w:rPr>
                <w:rFonts w:ascii="宋体"/>
                <w:vanish/>
              </w:rPr>
            </w:pPr>
          </w:p>
        </w:tc>
        <w:tc>
          <w:tcPr>
            <w:tcW w:w="0" w:type="auto"/>
            <w:gridSpan w:val="3"/>
            <w:shd w:val="clear" w:color="auto" w:fill="auto"/>
          </w:tcPr>
          <w:p w14:paraId="5EA1DF43" w14:textId="77777777" w:rsidR="003C66EB" w:rsidRDefault="003C66EB">
            <w:pPr>
              <w:rPr>
                <w:rFonts w:ascii="宋体"/>
                <w:vanish/>
              </w:rPr>
            </w:pPr>
          </w:p>
        </w:tc>
        <w:tc>
          <w:tcPr>
            <w:tcW w:w="0" w:type="auto"/>
            <w:gridSpan w:val="3"/>
            <w:shd w:val="clear" w:color="auto" w:fill="auto"/>
          </w:tcPr>
          <w:p w14:paraId="5EA1DF44" w14:textId="77777777" w:rsidR="003C66EB" w:rsidRDefault="003C66EB">
            <w:pPr>
              <w:rPr>
                <w:rFonts w:ascii="宋体"/>
                <w:vanish/>
              </w:rPr>
            </w:pPr>
          </w:p>
        </w:tc>
        <w:tc>
          <w:tcPr>
            <w:tcW w:w="0" w:type="auto"/>
            <w:gridSpan w:val="3"/>
            <w:shd w:val="clear" w:color="auto" w:fill="auto"/>
          </w:tcPr>
          <w:p w14:paraId="5EA1DF45" w14:textId="77777777" w:rsidR="003C66EB" w:rsidRDefault="003C66EB">
            <w:pPr>
              <w:rPr>
                <w:rFonts w:ascii="宋体"/>
                <w:vanish/>
              </w:rPr>
            </w:pPr>
          </w:p>
        </w:tc>
        <w:tc>
          <w:tcPr>
            <w:tcW w:w="0" w:type="auto"/>
            <w:gridSpan w:val="3"/>
            <w:shd w:val="clear" w:color="auto" w:fill="auto"/>
          </w:tcPr>
          <w:p w14:paraId="5EA1DF46" w14:textId="77777777" w:rsidR="003C66EB" w:rsidRDefault="003C66EB">
            <w:pPr>
              <w:rPr>
                <w:rFonts w:ascii="宋体"/>
                <w:vanish/>
              </w:rPr>
            </w:pPr>
          </w:p>
        </w:tc>
        <w:tc>
          <w:tcPr>
            <w:tcW w:w="0" w:type="auto"/>
            <w:gridSpan w:val="3"/>
            <w:shd w:val="clear" w:color="auto" w:fill="auto"/>
          </w:tcPr>
          <w:p w14:paraId="5EA1DF47" w14:textId="77777777" w:rsidR="003C66EB" w:rsidRDefault="003C66EB">
            <w:pPr>
              <w:rPr>
                <w:rFonts w:ascii="宋体"/>
                <w:vanish/>
              </w:rPr>
            </w:pPr>
          </w:p>
        </w:tc>
        <w:tc>
          <w:tcPr>
            <w:tcW w:w="0" w:type="auto"/>
            <w:gridSpan w:val="3"/>
            <w:shd w:val="clear" w:color="auto" w:fill="auto"/>
          </w:tcPr>
          <w:p w14:paraId="5EA1DF48" w14:textId="77777777" w:rsidR="003C66EB" w:rsidRDefault="003C66EB">
            <w:pPr>
              <w:rPr>
                <w:rFonts w:ascii="宋体"/>
                <w:vanish/>
              </w:rPr>
            </w:pPr>
          </w:p>
        </w:tc>
        <w:tc>
          <w:tcPr>
            <w:tcW w:w="0" w:type="auto"/>
            <w:gridSpan w:val="3"/>
            <w:shd w:val="clear" w:color="auto" w:fill="auto"/>
          </w:tcPr>
          <w:p w14:paraId="5EA1DF49" w14:textId="77777777" w:rsidR="003C66EB" w:rsidRDefault="003C66EB">
            <w:pPr>
              <w:rPr>
                <w:rFonts w:ascii="宋体"/>
                <w:vanish/>
              </w:rPr>
            </w:pPr>
          </w:p>
        </w:tc>
        <w:tc>
          <w:tcPr>
            <w:tcW w:w="0" w:type="auto"/>
            <w:gridSpan w:val="3"/>
            <w:shd w:val="clear" w:color="auto" w:fill="auto"/>
          </w:tcPr>
          <w:p w14:paraId="5EA1DF4A" w14:textId="77777777" w:rsidR="003C66EB" w:rsidRDefault="003C66EB">
            <w:pPr>
              <w:rPr>
                <w:rFonts w:ascii="宋体"/>
                <w:vanish/>
              </w:rPr>
            </w:pPr>
          </w:p>
        </w:tc>
      </w:tr>
      <w:tr w:rsidR="003C66EB" w14:paraId="5EA1DF57" w14:textId="77777777">
        <w:trPr>
          <w:hidden/>
        </w:trPr>
        <w:tc>
          <w:tcPr>
            <w:tcW w:w="0" w:type="auto"/>
            <w:gridSpan w:val="3"/>
            <w:shd w:val="clear" w:color="auto" w:fill="auto"/>
          </w:tcPr>
          <w:p w14:paraId="5EA1DF4C" w14:textId="77777777" w:rsidR="003C66EB" w:rsidRDefault="003C66EB">
            <w:pPr>
              <w:rPr>
                <w:rFonts w:ascii="宋体"/>
                <w:vanish/>
              </w:rPr>
            </w:pPr>
          </w:p>
        </w:tc>
        <w:tc>
          <w:tcPr>
            <w:tcW w:w="0" w:type="auto"/>
            <w:gridSpan w:val="3"/>
            <w:shd w:val="clear" w:color="auto" w:fill="auto"/>
          </w:tcPr>
          <w:p w14:paraId="5EA1DF4D" w14:textId="77777777" w:rsidR="003C66EB" w:rsidRDefault="003C66EB">
            <w:pPr>
              <w:rPr>
                <w:rFonts w:ascii="宋体"/>
                <w:vanish/>
              </w:rPr>
            </w:pPr>
          </w:p>
        </w:tc>
        <w:tc>
          <w:tcPr>
            <w:tcW w:w="0" w:type="auto"/>
            <w:gridSpan w:val="3"/>
            <w:shd w:val="clear" w:color="auto" w:fill="auto"/>
          </w:tcPr>
          <w:p w14:paraId="5EA1DF4E" w14:textId="77777777" w:rsidR="003C66EB" w:rsidRDefault="003C66EB">
            <w:pPr>
              <w:rPr>
                <w:rFonts w:ascii="宋体"/>
                <w:vanish/>
              </w:rPr>
            </w:pPr>
          </w:p>
        </w:tc>
        <w:tc>
          <w:tcPr>
            <w:tcW w:w="0" w:type="auto"/>
            <w:gridSpan w:val="3"/>
            <w:shd w:val="clear" w:color="auto" w:fill="auto"/>
          </w:tcPr>
          <w:p w14:paraId="5EA1DF4F" w14:textId="77777777" w:rsidR="003C66EB" w:rsidRDefault="003C66EB">
            <w:pPr>
              <w:rPr>
                <w:rFonts w:ascii="宋体"/>
                <w:vanish/>
              </w:rPr>
            </w:pPr>
          </w:p>
        </w:tc>
        <w:tc>
          <w:tcPr>
            <w:tcW w:w="0" w:type="auto"/>
            <w:gridSpan w:val="3"/>
            <w:shd w:val="clear" w:color="auto" w:fill="auto"/>
          </w:tcPr>
          <w:p w14:paraId="5EA1DF50" w14:textId="77777777" w:rsidR="003C66EB" w:rsidRDefault="003C66EB">
            <w:pPr>
              <w:rPr>
                <w:rFonts w:ascii="宋体"/>
                <w:vanish/>
              </w:rPr>
            </w:pPr>
          </w:p>
        </w:tc>
        <w:tc>
          <w:tcPr>
            <w:tcW w:w="0" w:type="auto"/>
            <w:gridSpan w:val="3"/>
            <w:shd w:val="clear" w:color="auto" w:fill="auto"/>
          </w:tcPr>
          <w:p w14:paraId="5EA1DF51" w14:textId="77777777" w:rsidR="003C66EB" w:rsidRDefault="003C66EB">
            <w:pPr>
              <w:rPr>
                <w:rFonts w:ascii="宋体"/>
                <w:vanish/>
              </w:rPr>
            </w:pPr>
          </w:p>
        </w:tc>
        <w:tc>
          <w:tcPr>
            <w:tcW w:w="0" w:type="auto"/>
            <w:gridSpan w:val="3"/>
            <w:shd w:val="clear" w:color="auto" w:fill="auto"/>
          </w:tcPr>
          <w:p w14:paraId="5EA1DF52" w14:textId="77777777" w:rsidR="003C66EB" w:rsidRDefault="003C66EB">
            <w:pPr>
              <w:rPr>
                <w:rFonts w:ascii="宋体"/>
                <w:vanish/>
              </w:rPr>
            </w:pPr>
          </w:p>
        </w:tc>
        <w:tc>
          <w:tcPr>
            <w:tcW w:w="0" w:type="auto"/>
            <w:gridSpan w:val="3"/>
            <w:shd w:val="clear" w:color="auto" w:fill="auto"/>
          </w:tcPr>
          <w:p w14:paraId="5EA1DF53" w14:textId="77777777" w:rsidR="003C66EB" w:rsidRDefault="003C66EB">
            <w:pPr>
              <w:rPr>
                <w:rFonts w:ascii="宋体"/>
                <w:vanish/>
              </w:rPr>
            </w:pPr>
          </w:p>
        </w:tc>
        <w:tc>
          <w:tcPr>
            <w:tcW w:w="0" w:type="auto"/>
            <w:gridSpan w:val="3"/>
            <w:shd w:val="clear" w:color="auto" w:fill="auto"/>
          </w:tcPr>
          <w:p w14:paraId="5EA1DF54" w14:textId="77777777" w:rsidR="003C66EB" w:rsidRDefault="003C66EB">
            <w:pPr>
              <w:rPr>
                <w:rFonts w:ascii="宋体"/>
                <w:vanish/>
              </w:rPr>
            </w:pPr>
          </w:p>
        </w:tc>
        <w:tc>
          <w:tcPr>
            <w:tcW w:w="0" w:type="auto"/>
            <w:gridSpan w:val="3"/>
            <w:shd w:val="clear" w:color="auto" w:fill="auto"/>
          </w:tcPr>
          <w:p w14:paraId="5EA1DF55" w14:textId="77777777" w:rsidR="003C66EB" w:rsidRDefault="003C66EB">
            <w:pPr>
              <w:rPr>
                <w:rFonts w:ascii="宋体"/>
                <w:vanish/>
              </w:rPr>
            </w:pPr>
          </w:p>
        </w:tc>
        <w:tc>
          <w:tcPr>
            <w:tcW w:w="0" w:type="auto"/>
            <w:gridSpan w:val="3"/>
            <w:shd w:val="clear" w:color="auto" w:fill="auto"/>
          </w:tcPr>
          <w:p w14:paraId="5EA1DF56" w14:textId="77777777" w:rsidR="003C66EB" w:rsidRDefault="003C66EB">
            <w:pPr>
              <w:rPr>
                <w:rFonts w:ascii="宋体"/>
                <w:vanish/>
              </w:rPr>
            </w:pPr>
          </w:p>
        </w:tc>
      </w:tr>
      <w:tr w:rsidR="003C66EB" w14:paraId="5EA1DF63" w14:textId="77777777">
        <w:trPr>
          <w:hidden/>
        </w:trPr>
        <w:tc>
          <w:tcPr>
            <w:tcW w:w="0" w:type="auto"/>
            <w:gridSpan w:val="3"/>
            <w:shd w:val="clear" w:color="auto" w:fill="auto"/>
          </w:tcPr>
          <w:p w14:paraId="5EA1DF58" w14:textId="77777777" w:rsidR="003C66EB" w:rsidRDefault="003C66EB">
            <w:pPr>
              <w:rPr>
                <w:rFonts w:ascii="宋体"/>
                <w:vanish/>
              </w:rPr>
            </w:pPr>
          </w:p>
        </w:tc>
        <w:tc>
          <w:tcPr>
            <w:tcW w:w="0" w:type="auto"/>
            <w:gridSpan w:val="3"/>
            <w:shd w:val="clear" w:color="auto" w:fill="auto"/>
          </w:tcPr>
          <w:p w14:paraId="5EA1DF59" w14:textId="77777777" w:rsidR="003C66EB" w:rsidRDefault="003C66EB">
            <w:pPr>
              <w:rPr>
                <w:rFonts w:ascii="宋体"/>
                <w:vanish/>
              </w:rPr>
            </w:pPr>
          </w:p>
        </w:tc>
        <w:tc>
          <w:tcPr>
            <w:tcW w:w="0" w:type="auto"/>
            <w:gridSpan w:val="3"/>
            <w:shd w:val="clear" w:color="auto" w:fill="auto"/>
          </w:tcPr>
          <w:p w14:paraId="5EA1DF5A" w14:textId="77777777" w:rsidR="003C66EB" w:rsidRDefault="003C66EB">
            <w:pPr>
              <w:rPr>
                <w:rFonts w:ascii="宋体"/>
                <w:vanish/>
              </w:rPr>
            </w:pPr>
          </w:p>
        </w:tc>
        <w:tc>
          <w:tcPr>
            <w:tcW w:w="0" w:type="auto"/>
            <w:gridSpan w:val="3"/>
            <w:shd w:val="clear" w:color="auto" w:fill="auto"/>
          </w:tcPr>
          <w:p w14:paraId="5EA1DF5B" w14:textId="77777777" w:rsidR="003C66EB" w:rsidRDefault="003C66EB">
            <w:pPr>
              <w:rPr>
                <w:rFonts w:ascii="宋体"/>
                <w:vanish/>
              </w:rPr>
            </w:pPr>
          </w:p>
        </w:tc>
        <w:tc>
          <w:tcPr>
            <w:tcW w:w="0" w:type="auto"/>
            <w:gridSpan w:val="3"/>
            <w:shd w:val="clear" w:color="auto" w:fill="auto"/>
          </w:tcPr>
          <w:p w14:paraId="5EA1DF5C" w14:textId="77777777" w:rsidR="003C66EB" w:rsidRDefault="003C66EB">
            <w:pPr>
              <w:rPr>
                <w:rFonts w:ascii="宋体"/>
                <w:vanish/>
              </w:rPr>
            </w:pPr>
          </w:p>
        </w:tc>
        <w:tc>
          <w:tcPr>
            <w:tcW w:w="0" w:type="auto"/>
            <w:gridSpan w:val="3"/>
            <w:shd w:val="clear" w:color="auto" w:fill="auto"/>
          </w:tcPr>
          <w:p w14:paraId="5EA1DF5D" w14:textId="77777777" w:rsidR="003C66EB" w:rsidRDefault="003C66EB">
            <w:pPr>
              <w:rPr>
                <w:rFonts w:ascii="宋体"/>
                <w:vanish/>
              </w:rPr>
            </w:pPr>
          </w:p>
        </w:tc>
        <w:tc>
          <w:tcPr>
            <w:tcW w:w="0" w:type="auto"/>
            <w:gridSpan w:val="3"/>
            <w:shd w:val="clear" w:color="auto" w:fill="auto"/>
          </w:tcPr>
          <w:p w14:paraId="5EA1DF5E" w14:textId="77777777" w:rsidR="003C66EB" w:rsidRDefault="003C66EB">
            <w:pPr>
              <w:rPr>
                <w:rFonts w:ascii="宋体"/>
                <w:vanish/>
              </w:rPr>
            </w:pPr>
          </w:p>
        </w:tc>
        <w:tc>
          <w:tcPr>
            <w:tcW w:w="0" w:type="auto"/>
            <w:gridSpan w:val="3"/>
            <w:shd w:val="clear" w:color="auto" w:fill="auto"/>
          </w:tcPr>
          <w:p w14:paraId="5EA1DF5F" w14:textId="77777777" w:rsidR="003C66EB" w:rsidRDefault="003C66EB">
            <w:pPr>
              <w:rPr>
                <w:rFonts w:ascii="宋体"/>
                <w:vanish/>
              </w:rPr>
            </w:pPr>
          </w:p>
        </w:tc>
        <w:tc>
          <w:tcPr>
            <w:tcW w:w="0" w:type="auto"/>
            <w:gridSpan w:val="3"/>
            <w:shd w:val="clear" w:color="auto" w:fill="auto"/>
          </w:tcPr>
          <w:p w14:paraId="5EA1DF60" w14:textId="77777777" w:rsidR="003C66EB" w:rsidRDefault="003C66EB">
            <w:pPr>
              <w:rPr>
                <w:rFonts w:ascii="宋体"/>
                <w:vanish/>
              </w:rPr>
            </w:pPr>
          </w:p>
        </w:tc>
        <w:tc>
          <w:tcPr>
            <w:tcW w:w="0" w:type="auto"/>
            <w:gridSpan w:val="3"/>
            <w:shd w:val="clear" w:color="auto" w:fill="auto"/>
          </w:tcPr>
          <w:p w14:paraId="5EA1DF61" w14:textId="77777777" w:rsidR="003C66EB" w:rsidRDefault="003C66EB">
            <w:pPr>
              <w:rPr>
                <w:rFonts w:ascii="宋体"/>
                <w:vanish/>
              </w:rPr>
            </w:pPr>
          </w:p>
        </w:tc>
        <w:tc>
          <w:tcPr>
            <w:tcW w:w="0" w:type="auto"/>
            <w:gridSpan w:val="3"/>
            <w:shd w:val="clear" w:color="auto" w:fill="auto"/>
          </w:tcPr>
          <w:p w14:paraId="5EA1DF62" w14:textId="77777777" w:rsidR="003C66EB" w:rsidRDefault="003C66EB">
            <w:pPr>
              <w:rPr>
                <w:rFonts w:ascii="宋体"/>
                <w:vanish/>
              </w:rPr>
            </w:pPr>
          </w:p>
        </w:tc>
      </w:tr>
      <w:tr w:rsidR="003C66EB" w14:paraId="5EA1DF6F" w14:textId="77777777">
        <w:trPr>
          <w:hidden/>
        </w:trPr>
        <w:tc>
          <w:tcPr>
            <w:tcW w:w="0" w:type="auto"/>
            <w:gridSpan w:val="3"/>
            <w:shd w:val="clear" w:color="auto" w:fill="auto"/>
          </w:tcPr>
          <w:p w14:paraId="5EA1DF64" w14:textId="77777777" w:rsidR="003C66EB" w:rsidRDefault="003C66EB">
            <w:pPr>
              <w:rPr>
                <w:rFonts w:ascii="宋体"/>
                <w:vanish/>
              </w:rPr>
            </w:pPr>
          </w:p>
        </w:tc>
        <w:tc>
          <w:tcPr>
            <w:tcW w:w="0" w:type="auto"/>
            <w:gridSpan w:val="3"/>
            <w:shd w:val="clear" w:color="auto" w:fill="auto"/>
          </w:tcPr>
          <w:p w14:paraId="5EA1DF65" w14:textId="77777777" w:rsidR="003C66EB" w:rsidRDefault="003C66EB">
            <w:pPr>
              <w:rPr>
                <w:rFonts w:ascii="宋体"/>
                <w:vanish/>
              </w:rPr>
            </w:pPr>
          </w:p>
        </w:tc>
        <w:tc>
          <w:tcPr>
            <w:tcW w:w="0" w:type="auto"/>
            <w:gridSpan w:val="3"/>
            <w:shd w:val="clear" w:color="auto" w:fill="auto"/>
          </w:tcPr>
          <w:p w14:paraId="5EA1DF66" w14:textId="77777777" w:rsidR="003C66EB" w:rsidRDefault="003C66EB">
            <w:pPr>
              <w:rPr>
                <w:rFonts w:ascii="宋体"/>
                <w:vanish/>
              </w:rPr>
            </w:pPr>
          </w:p>
        </w:tc>
        <w:tc>
          <w:tcPr>
            <w:tcW w:w="0" w:type="auto"/>
            <w:gridSpan w:val="3"/>
            <w:shd w:val="clear" w:color="auto" w:fill="auto"/>
          </w:tcPr>
          <w:p w14:paraId="5EA1DF67" w14:textId="77777777" w:rsidR="003C66EB" w:rsidRDefault="003C66EB">
            <w:pPr>
              <w:rPr>
                <w:rFonts w:ascii="宋体"/>
                <w:vanish/>
              </w:rPr>
            </w:pPr>
          </w:p>
        </w:tc>
        <w:tc>
          <w:tcPr>
            <w:tcW w:w="0" w:type="auto"/>
            <w:gridSpan w:val="3"/>
            <w:shd w:val="clear" w:color="auto" w:fill="auto"/>
          </w:tcPr>
          <w:p w14:paraId="5EA1DF68" w14:textId="77777777" w:rsidR="003C66EB" w:rsidRDefault="003C66EB">
            <w:pPr>
              <w:rPr>
                <w:rFonts w:ascii="宋体"/>
                <w:vanish/>
              </w:rPr>
            </w:pPr>
          </w:p>
        </w:tc>
        <w:tc>
          <w:tcPr>
            <w:tcW w:w="0" w:type="auto"/>
            <w:gridSpan w:val="3"/>
            <w:shd w:val="clear" w:color="auto" w:fill="auto"/>
          </w:tcPr>
          <w:p w14:paraId="5EA1DF69" w14:textId="77777777" w:rsidR="003C66EB" w:rsidRDefault="003C66EB">
            <w:pPr>
              <w:rPr>
                <w:rFonts w:ascii="宋体"/>
                <w:vanish/>
              </w:rPr>
            </w:pPr>
          </w:p>
        </w:tc>
        <w:tc>
          <w:tcPr>
            <w:tcW w:w="0" w:type="auto"/>
            <w:gridSpan w:val="3"/>
            <w:shd w:val="clear" w:color="auto" w:fill="auto"/>
          </w:tcPr>
          <w:p w14:paraId="5EA1DF6A" w14:textId="77777777" w:rsidR="003C66EB" w:rsidRDefault="003C66EB">
            <w:pPr>
              <w:rPr>
                <w:rFonts w:ascii="宋体"/>
                <w:vanish/>
              </w:rPr>
            </w:pPr>
          </w:p>
        </w:tc>
        <w:tc>
          <w:tcPr>
            <w:tcW w:w="0" w:type="auto"/>
            <w:gridSpan w:val="3"/>
            <w:shd w:val="clear" w:color="auto" w:fill="auto"/>
          </w:tcPr>
          <w:p w14:paraId="5EA1DF6B" w14:textId="77777777" w:rsidR="003C66EB" w:rsidRDefault="003C66EB">
            <w:pPr>
              <w:rPr>
                <w:rFonts w:ascii="宋体"/>
                <w:vanish/>
              </w:rPr>
            </w:pPr>
          </w:p>
        </w:tc>
        <w:tc>
          <w:tcPr>
            <w:tcW w:w="0" w:type="auto"/>
            <w:gridSpan w:val="3"/>
            <w:shd w:val="clear" w:color="auto" w:fill="auto"/>
          </w:tcPr>
          <w:p w14:paraId="5EA1DF6C" w14:textId="77777777" w:rsidR="003C66EB" w:rsidRDefault="003C66EB">
            <w:pPr>
              <w:rPr>
                <w:rFonts w:ascii="宋体"/>
                <w:vanish/>
              </w:rPr>
            </w:pPr>
          </w:p>
        </w:tc>
        <w:tc>
          <w:tcPr>
            <w:tcW w:w="0" w:type="auto"/>
            <w:gridSpan w:val="3"/>
            <w:shd w:val="clear" w:color="auto" w:fill="auto"/>
          </w:tcPr>
          <w:p w14:paraId="5EA1DF6D" w14:textId="77777777" w:rsidR="003C66EB" w:rsidRDefault="003C66EB">
            <w:pPr>
              <w:rPr>
                <w:rFonts w:ascii="宋体"/>
                <w:vanish/>
              </w:rPr>
            </w:pPr>
          </w:p>
        </w:tc>
        <w:tc>
          <w:tcPr>
            <w:tcW w:w="0" w:type="auto"/>
            <w:gridSpan w:val="3"/>
            <w:shd w:val="clear" w:color="auto" w:fill="auto"/>
          </w:tcPr>
          <w:p w14:paraId="5EA1DF6E" w14:textId="77777777" w:rsidR="003C66EB" w:rsidRDefault="003C66EB">
            <w:pPr>
              <w:rPr>
                <w:rFonts w:ascii="宋体"/>
                <w:vanish/>
              </w:rPr>
            </w:pPr>
          </w:p>
        </w:tc>
      </w:tr>
      <w:tr w:rsidR="003C66EB" w14:paraId="5EA1DF7B" w14:textId="77777777">
        <w:trPr>
          <w:hidden/>
        </w:trPr>
        <w:tc>
          <w:tcPr>
            <w:tcW w:w="0" w:type="auto"/>
            <w:gridSpan w:val="3"/>
            <w:shd w:val="clear" w:color="auto" w:fill="auto"/>
          </w:tcPr>
          <w:p w14:paraId="5EA1DF70" w14:textId="77777777" w:rsidR="003C66EB" w:rsidRDefault="003C66EB">
            <w:pPr>
              <w:rPr>
                <w:rFonts w:ascii="宋体"/>
                <w:vanish/>
              </w:rPr>
            </w:pPr>
          </w:p>
        </w:tc>
        <w:tc>
          <w:tcPr>
            <w:tcW w:w="0" w:type="auto"/>
            <w:gridSpan w:val="3"/>
            <w:shd w:val="clear" w:color="auto" w:fill="auto"/>
          </w:tcPr>
          <w:p w14:paraId="5EA1DF71" w14:textId="77777777" w:rsidR="003C66EB" w:rsidRDefault="003C66EB">
            <w:pPr>
              <w:rPr>
                <w:rFonts w:ascii="宋体"/>
                <w:vanish/>
              </w:rPr>
            </w:pPr>
          </w:p>
        </w:tc>
        <w:tc>
          <w:tcPr>
            <w:tcW w:w="0" w:type="auto"/>
            <w:gridSpan w:val="3"/>
            <w:shd w:val="clear" w:color="auto" w:fill="auto"/>
          </w:tcPr>
          <w:p w14:paraId="5EA1DF72" w14:textId="77777777" w:rsidR="003C66EB" w:rsidRDefault="003C66EB">
            <w:pPr>
              <w:rPr>
                <w:rFonts w:ascii="宋体"/>
                <w:vanish/>
              </w:rPr>
            </w:pPr>
          </w:p>
        </w:tc>
        <w:tc>
          <w:tcPr>
            <w:tcW w:w="0" w:type="auto"/>
            <w:gridSpan w:val="3"/>
            <w:shd w:val="clear" w:color="auto" w:fill="auto"/>
          </w:tcPr>
          <w:p w14:paraId="5EA1DF73" w14:textId="77777777" w:rsidR="003C66EB" w:rsidRDefault="003C66EB">
            <w:pPr>
              <w:rPr>
                <w:rFonts w:ascii="宋体"/>
                <w:vanish/>
              </w:rPr>
            </w:pPr>
          </w:p>
        </w:tc>
        <w:tc>
          <w:tcPr>
            <w:tcW w:w="0" w:type="auto"/>
            <w:gridSpan w:val="3"/>
            <w:shd w:val="clear" w:color="auto" w:fill="auto"/>
          </w:tcPr>
          <w:p w14:paraId="5EA1DF74" w14:textId="77777777" w:rsidR="003C66EB" w:rsidRDefault="003C66EB">
            <w:pPr>
              <w:rPr>
                <w:rFonts w:ascii="宋体"/>
                <w:vanish/>
              </w:rPr>
            </w:pPr>
          </w:p>
        </w:tc>
        <w:tc>
          <w:tcPr>
            <w:tcW w:w="0" w:type="auto"/>
            <w:gridSpan w:val="3"/>
            <w:shd w:val="clear" w:color="auto" w:fill="auto"/>
          </w:tcPr>
          <w:p w14:paraId="5EA1DF75" w14:textId="77777777" w:rsidR="003C66EB" w:rsidRDefault="003C66EB">
            <w:pPr>
              <w:rPr>
                <w:rFonts w:ascii="宋体"/>
                <w:vanish/>
              </w:rPr>
            </w:pPr>
          </w:p>
        </w:tc>
        <w:tc>
          <w:tcPr>
            <w:tcW w:w="0" w:type="auto"/>
            <w:gridSpan w:val="3"/>
            <w:shd w:val="clear" w:color="auto" w:fill="auto"/>
          </w:tcPr>
          <w:p w14:paraId="5EA1DF76" w14:textId="77777777" w:rsidR="003C66EB" w:rsidRDefault="003C66EB">
            <w:pPr>
              <w:rPr>
                <w:rFonts w:ascii="宋体"/>
                <w:vanish/>
              </w:rPr>
            </w:pPr>
          </w:p>
        </w:tc>
        <w:tc>
          <w:tcPr>
            <w:tcW w:w="0" w:type="auto"/>
            <w:gridSpan w:val="3"/>
            <w:shd w:val="clear" w:color="auto" w:fill="auto"/>
          </w:tcPr>
          <w:p w14:paraId="5EA1DF77" w14:textId="77777777" w:rsidR="003C66EB" w:rsidRDefault="003C66EB">
            <w:pPr>
              <w:rPr>
                <w:rFonts w:ascii="宋体"/>
                <w:vanish/>
              </w:rPr>
            </w:pPr>
          </w:p>
        </w:tc>
        <w:tc>
          <w:tcPr>
            <w:tcW w:w="0" w:type="auto"/>
            <w:gridSpan w:val="3"/>
            <w:shd w:val="clear" w:color="auto" w:fill="auto"/>
          </w:tcPr>
          <w:p w14:paraId="5EA1DF78" w14:textId="77777777" w:rsidR="003C66EB" w:rsidRDefault="003C66EB">
            <w:pPr>
              <w:rPr>
                <w:rFonts w:ascii="宋体"/>
                <w:vanish/>
              </w:rPr>
            </w:pPr>
          </w:p>
        </w:tc>
        <w:tc>
          <w:tcPr>
            <w:tcW w:w="0" w:type="auto"/>
            <w:gridSpan w:val="3"/>
            <w:shd w:val="clear" w:color="auto" w:fill="auto"/>
          </w:tcPr>
          <w:p w14:paraId="5EA1DF79" w14:textId="77777777" w:rsidR="003C66EB" w:rsidRDefault="003C66EB">
            <w:pPr>
              <w:rPr>
                <w:rFonts w:ascii="宋体"/>
                <w:vanish/>
              </w:rPr>
            </w:pPr>
          </w:p>
        </w:tc>
        <w:tc>
          <w:tcPr>
            <w:tcW w:w="0" w:type="auto"/>
            <w:gridSpan w:val="3"/>
            <w:shd w:val="clear" w:color="auto" w:fill="auto"/>
          </w:tcPr>
          <w:p w14:paraId="5EA1DF7A" w14:textId="77777777" w:rsidR="003C66EB" w:rsidRDefault="003C66EB">
            <w:pPr>
              <w:rPr>
                <w:rFonts w:ascii="宋体"/>
                <w:vanish/>
              </w:rPr>
            </w:pPr>
          </w:p>
        </w:tc>
      </w:tr>
      <w:tr w:rsidR="003C66EB" w14:paraId="5EA1DF87" w14:textId="77777777">
        <w:trPr>
          <w:hidden/>
        </w:trPr>
        <w:tc>
          <w:tcPr>
            <w:tcW w:w="0" w:type="auto"/>
            <w:gridSpan w:val="3"/>
            <w:shd w:val="clear" w:color="auto" w:fill="auto"/>
          </w:tcPr>
          <w:p w14:paraId="5EA1DF7C" w14:textId="77777777" w:rsidR="003C66EB" w:rsidRDefault="003C66EB">
            <w:pPr>
              <w:rPr>
                <w:rFonts w:ascii="宋体"/>
                <w:vanish/>
              </w:rPr>
            </w:pPr>
          </w:p>
        </w:tc>
        <w:tc>
          <w:tcPr>
            <w:tcW w:w="0" w:type="auto"/>
            <w:gridSpan w:val="3"/>
            <w:shd w:val="clear" w:color="auto" w:fill="auto"/>
          </w:tcPr>
          <w:p w14:paraId="5EA1DF7D" w14:textId="77777777" w:rsidR="003C66EB" w:rsidRDefault="003C66EB">
            <w:pPr>
              <w:rPr>
                <w:rFonts w:ascii="宋体"/>
                <w:vanish/>
              </w:rPr>
            </w:pPr>
          </w:p>
        </w:tc>
        <w:tc>
          <w:tcPr>
            <w:tcW w:w="0" w:type="auto"/>
            <w:gridSpan w:val="3"/>
            <w:shd w:val="clear" w:color="auto" w:fill="auto"/>
          </w:tcPr>
          <w:p w14:paraId="5EA1DF7E" w14:textId="77777777" w:rsidR="003C66EB" w:rsidRDefault="003C66EB">
            <w:pPr>
              <w:rPr>
                <w:rFonts w:ascii="宋体"/>
                <w:vanish/>
              </w:rPr>
            </w:pPr>
          </w:p>
        </w:tc>
        <w:tc>
          <w:tcPr>
            <w:tcW w:w="0" w:type="auto"/>
            <w:gridSpan w:val="3"/>
            <w:shd w:val="clear" w:color="auto" w:fill="auto"/>
          </w:tcPr>
          <w:p w14:paraId="5EA1DF7F" w14:textId="77777777" w:rsidR="003C66EB" w:rsidRDefault="003C66EB">
            <w:pPr>
              <w:rPr>
                <w:rFonts w:ascii="宋体"/>
                <w:vanish/>
              </w:rPr>
            </w:pPr>
          </w:p>
        </w:tc>
        <w:tc>
          <w:tcPr>
            <w:tcW w:w="0" w:type="auto"/>
            <w:gridSpan w:val="3"/>
            <w:shd w:val="clear" w:color="auto" w:fill="auto"/>
          </w:tcPr>
          <w:p w14:paraId="5EA1DF80" w14:textId="77777777" w:rsidR="003C66EB" w:rsidRDefault="003C66EB">
            <w:pPr>
              <w:rPr>
                <w:rFonts w:ascii="宋体"/>
                <w:vanish/>
              </w:rPr>
            </w:pPr>
          </w:p>
        </w:tc>
        <w:tc>
          <w:tcPr>
            <w:tcW w:w="0" w:type="auto"/>
            <w:gridSpan w:val="3"/>
            <w:shd w:val="clear" w:color="auto" w:fill="auto"/>
          </w:tcPr>
          <w:p w14:paraId="5EA1DF81" w14:textId="77777777" w:rsidR="003C66EB" w:rsidRDefault="003C66EB">
            <w:pPr>
              <w:rPr>
                <w:rFonts w:ascii="宋体"/>
                <w:vanish/>
              </w:rPr>
            </w:pPr>
          </w:p>
        </w:tc>
        <w:tc>
          <w:tcPr>
            <w:tcW w:w="0" w:type="auto"/>
            <w:gridSpan w:val="3"/>
            <w:shd w:val="clear" w:color="auto" w:fill="auto"/>
          </w:tcPr>
          <w:p w14:paraId="5EA1DF82" w14:textId="77777777" w:rsidR="003C66EB" w:rsidRDefault="003C66EB">
            <w:pPr>
              <w:rPr>
                <w:rFonts w:ascii="宋体"/>
                <w:vanish/>
              </w:rPr>
            </w:pPr>
          </w:p>
        </w:tc>
        <w:tc>
          <w:tcPr>
            <w:tcW w:w="0" w:type="auto"/>
            <w:gridSpan w:val="3"/>
            <w:shd w:val="clear" w:color="auto" w:fill="auto"/>
          </w:tcPr>
          <w:p w14:paraId="5EA1DF83" w14:textId="77777777" w:rsidR="003C66EB" w:rsidRDefault="003C66EB">
            <w:pPr>
              <w:rPr>
                <w:rFonts w:ascii="宋体"/>
                <w:vanish/>
              </w:rPr>
            </w:pPr>
          </w:p>
        </w:tc>
        <w:tc>
          <w:tcPr>
            <w:tcW w:w="0" w:type="auto"/>
            <w:gridSpan w:val="3"/>
            <w:shd w:val="clear" w:color="auto" w:fill="auto"/>
          </w:tcPr>
          <w:p w14:paraId="5EA1DF84" w14:textId="77777777" w:rsidR="003C66EB" w:rsidRDefault="003C66EB">
            <w:pPr>
              <w:rPr>
                <w:rFonts w:ascii="宋体"/>
                <w:vanish/>
              </w:rPr>
            </w:pPr>
          </w:p>
        </w:tc>
        <w:tc>
          <w:tcPr>
            <w:tcW w:w="0" w:type="auto"/>
            <w:gridSpan w:val="3"/>
            <w:shd w:val="clear" w:color="auto" w:fill="auto"/>
          </w:tcPr>
          <w:p w14:paraId="5EA1DF85" w14:textId="77777777" w:rsidR="003C66EB" w:rsidRDefault="003C66EB">
            <w:pPr>
              <w:rPr>
                <w:rFonts w:ascii="宋体"/>
                <w:vanish/>
              </w:rPr>
            </w:pPr>
          </w:p>
        </w:tc>
        <w:tc>
          <w:tcPr>
            <w:tcW w:w="0" w:type="auto"/>
            <w:gridSpan w:val="3"/>
            <w:shd w:val="clear" w:color="auto" w:fill="auto"/>
          </w:tcPr>
          <w:p w14:paraId="5EA1DF86" w14:textId="77777777" w:rsidR="003C66EB" w:rsidRDefault="003C66EB">
            <w:pPr>
              <w:rPr>
                <w:rFonts w:ascii="宋体"/>
                <w:vanish/>
              </w:rPr>
            </w:pPr>
          </w:p>
        </w:tc>
      </w:tr>
      <w:tr w:rsidR="003C66EB" w14:paraId="5EA1DF93" w14:textId="77777777">
        <w:trPr>
          <w:hidden/>
        </w:trPr>
        <w:tc>
          <w:tcPr>
            <w:tcW w:w="0" w:type="auto"/>
            <w:gridSpan w:val="3"/>
            <w:shd w:val="clear" w:color="auto" w:fill="auto"/>
          </w:tcPr>
          <w:p w14:paraId="5EA1DF88" w14:textId="77777777" w:rsidR="003C66EB" w:rsidRDefault="003C66EB">
            <w:pPr>
              <w:rPr>
                <w:rFonts w:ascii="宋体"/>
                <w:vanish/>
              </w:rPr>
            </w:pPr>
          </w:p>
        </w:tc>
        <w:tc>
          <w:tcPr>
            <w:tcW w:w="0" w:type="auto"/>
            <w:gridSpan w:val="3"/>
            <w:shd w:val="clear" w:color="auto" w:fill="auto"/>
          </w:tcPr>
          <w:p w14:paraId="5EA1DF89" w14:textId="77777777" w:rsidR="003C66EB" w:rsidRDefault="003C66EB">
            <w:pPr>
              <w:rPr>
                <w:rFonts w:ascii="宋体"/>
                <w:vanish/>
              </w:rPr>
            </w:pPr>
          </w:p>
        </w:tc>
        <w:tc>
          <w:tcPr>
            <w:tcW w:w="0" w:type="auto"/>
            <w:gridSpan w:val="3"/>
            <w:shd w:val="clear" w:color="auto" w:fill="auto"/>
          </w:tcPr>
          <w:p w14:paraId="5EA1DF8A" w14:textId="77777777" w:rsidR="003C66EB" w:rsidRDefault="003C66EB">
            <w:pPr>
              <w:rPr>
                <w:rFonts w:ascii="宋体"/>
                <w:vanish/>
              </w:rPr>
            </w:pPr>
          </w:p>
        </w:tc>
        <w:tc>
          <w:tcPr>
            <w:tcW w:w="0" w:type="auto"/>
            <w:gridSpan w:val="3"/>
            <w:shd w:val="clear" w:color="auto" w:fill="auto"/>
          </w:tcPr>
          <w:p w14:paraId="5EA1DF8B" w14:textId="77777777" w:rsidR="003C66EB" w:rsidRDefault="003C66EB">
            <w:pPr>
              <w:rPr>
                <w:rFonts w:ascii="宋体"/>
                <w:vanish/>
              </w:rPr>
            </w:pPr>
          </w:p>
        </w:tc>
        <w:tc>
          <w:tcPr>
            <w:tcW w:w="0" w:type="auto"/>
            <w:gridSpan w:val="3"/>
            <w:shd w:val="clear" w:color="auto" w:fill="auto"/>
          </w:tcPr>
          <w:p w14:paraId="5EA1DF8C" w14:textId="77777777" w:rsidR="003C66EB" w:rsidRDefault="003C66EB">
            <w:pPr>
              <w:rPr>
                <w:rFonts w:ascii="宋体"/>
                <w:vanish/>
              </w:rPr>
            </w:pPr>
          </w:p>
        </w:tc>
        <w:tc>
          <w:tcPr>
            <w:tcW w:w="0" w:type="auto"/>
            <w:gridSpan w:val="3"/>
            <w:shd w:val="clear" w:color="auto" w:fill="auto"/>
          </w:tcPr>
          <w:p w14:paraId="5EA1DF8D" w14:textId="77777777" w:rsidR="003C66EB" w:rsidRDefault="003C66EB">
            <w:pPr>
              <w:rPr>
                <w:rFonts w:ascii="宋体"/>
                <w:vanish/>
              </w:rPr>
            </w:pPr>
          </w:p>
        </w:tc>
        <w:tc>
          <w:tcPr>
            <w:tcW w:w="0" w:type="auto"/>
            <w:gridSpan w:val="3"/>
            <w:shd w:val="clear" w:color="auto" w:fill="auto"/>
          </w:tcPr>
          <w:p w14:paraId="5EA1DF8E" w14:textId="77777777" w:rsidR="003C66EB" w:rsidRDefault="003C66EB">
            <w:pPr>
              <w:rPr>
                <w:rFonts w:ascii="宋体"/>
                <w:vanish/>
              </w:rPr>
            </w:pPr>
          </w:p>
        </w:tc>
        <w:tc>
          <w:tcPr>
            <w:tcW w:w="0" w:type="auto"/>
            <w:gridSpan w:val="3"/>
            <w:shd w:val="clear" w:color="auto" w:fill="auto"/>
          </w:tcPr>
          <w:p w14:paraId="5EA1DF8F" w14:textId="77777777" w:rsidR="003C66EB" w:rsidRDefault="003C66EB">
            <w:pPr>
              <w:rPr>
                <w:rFonts w:ascii="宋体"/>
                <w:vanish/>
              </w:rPr>
            </w:pPr>
          </w:p>
        </w:tc>
        <w:tc>
          <w:tcPr>
            <w:tcW w:w="0" w:type="auto"/>
            <w:gridSpan w:val="3"/>
            <w:shd w:val="clear" w:color="auto" w:fill="auto"/>
          </w:tcPr>
          <w:p w14:paraId="5EA1DF90" w14:textId="77777777" w:rsidR="003C66EB" w:rsidRDefault="003C66EB">
            <w:pPr>
              <w:rPr>
                <w:rFonts w:ascii="宋体"/>
                <w:vanish/>
              </w:rPr>
            </w:pPr>
          </w:p>
        </w:tc>
        <w:tc>
          <w:tcPr>
            <w:tcW w:w="0" w:type="auto"/>
            <w:gridSpan w:val="3"/>
            <w:shd w:val="clear" w:color="auto" w:fill="auto"/>
          </w:tcPr>
          <w:p w14:paraId="5EA1DF91" w14:textId="77777777" w:rsidR="003C66EB" w:rsidRDefault="003C66EB">
            <w:pPr>
              <w:rPr>
                <w:rFonts w:ascii="宋体"/>
                <w:vanish/>
              </w:rPr>
            </w:pPr>
          </w:p>
        </w:tc>
        <w:tc>
          <w:tcPr>
            <w:tcW w:w="0" w:type="auto"/>
            <w:gridSpan w:val="3"/>
            <w:shd w:val="clear" w:color="auto" w:fill="auto"/>
          </w:tcPr>
          <w:p w14:paraId="5EA1DF92" w14:textId="77777777" w:rsidR="003C66EB" w:rsidRDefault="003C66EB">
            <w:pPr>
              <w:rPr>
                <w:rFonts w:ascii="宋体"/>
                <w:vanish/>
              </w:rPr>
            </w:pPr>
          </w:p>
        </w:tc>
      </w:tr>
      <w:tr w:rsidR="003C66EB" w14:paraId="5EA1DF9F" w14:textId="77777777">
        <w:trPr>
          <w:hidden/>
        </w:trPr>
        <w:tc>
          <w:tcPr>
            <w:tcW w:w="0" w:type="auto"/>
            <w:gridSpan w:val="3"/>
            <w:shd w:val="clear" w:color="auto" w:fill="auto"/>
          </w:tcPr>
          <w:p w14:paraId="5EA1DF94" w14:textId="77777777" w:rsidR="003C66EB" w:rsidRDefault="003C66EB">
            <w:pPr>
              <w:rPr>
                <w:rFonts w:ascii="宋体"/>
                <w:vanish/>
              </w:rPr>
            </w:pPr>
          </w:p>
        </w:tc>
        <w:tc>
          <w:tcPr>
            <w:tcW w:w="0" w:type="auto"/>
            <w:gridSpan w:val="3"/>
            <w:shd w:val="clear" w:color="auto" w:fill="auto"/>
          </w:tcPr>
          <w:p w14:paraId="5EA1DF95" w14:textId="77777777" w:rsidR="003C66EB" w:rsidRDefault="003C66EB">
            <w:pPr>
              <w:rPr>
                <w:rFonts w:ascii="宋体"/>
                <w:vanish/>
              </w:rPr>
            </w:pPr>
          </w:p>
        </w:tc>
        <w:tc>
          <w:tcPr>
            <w:tcW w:w="0" w:type="auto"/>
            <w:gridSpan w:val="3"/>
            <w:shd w:val="clear" w:color="auto" w:fill="auto"/>
          </w:tcPr>
          <w:p w14:paraId="5EA1DF96" w14:textId="77777777" w:rsidR="003C66EB" w:rsidRDefault="003C66EB">
            <w:pPr>
              <w:rPr>
                <w:rFonts w:ascii="宋体"/>
                <w:vanish/>
              </w:rPr>
            </w:pPr>
          </w:p>
        </w:tc>
        <w:tc>
          <w:tcPr>
            <w:tcW w:w="0" w:type="auto"/>
            <w:gridSpan w:val="3"/>
            <w:shd w:val="clear" w:color="auto" w:fill="auto"/>
          </w:tcPr>
          <w:p w14:paraId="5EA1DF97" w14:textId="77777777" w:rsidR="003C66EB" w:rsidRDefault="003C66EB">
            <w:pPr>
              <w:rPr>
                <w:rFonts w:ascii="宋体"/>
                <w:vanish/>
              </w:rPr>
            </w:pPr>
          </w:p>
        </w:tc>
        <w:tc>
          <w:tcPr>
            <w:tcW w:w="0" w:type="auto"/>
            <w:gridSpan w:val="3"/>
            <w:shd w:val="clear" w:color="auto" w:fill="auto"/>
          </w:tcPr>
          <w:p w14:paraId="5EA1DF98" w14:textId="77777777" w:rsidR="003C66EB" w:rsidRDefault="003C66EB">
            <w:pPr>
              <w:rPr>
                <w:rFonts w:ascii="宋体"/>
                <w:vanish/>
              </w:rPr>
            </w:pPr>
          </w:p>
        </w:tc>
        <w:tc>
          <w:tcPr>
            <w:tcW w:w="0" w:type="auto"/>
            <w:gridSpan w:val="3"/>
            <w:shd w:val="clear" w:color="auto" w:fill="auto"/>
          </w:tcPr>
          <w:p w14:paraId="5EA1DF99" w14:textId="77777777" w:rsidR="003C66EB" w:rsidRDefault="003C66EB">
            <w:pPr>
              <w:rPr>
                <w:rFonts w:ascii="宋体"/>
                <w:vanish/>
              </w:rPr>
            </w:pPr>
          </w:p>
        </w:tc>
        <w:tc>
          <w:tcPr>
            <w:tcW w:w="0" w:type="auto"/>
            <w:gridSpan w:val="3"/>
            <w:shd w:val="clear" w:color="auto" w:fill="auto"/>
          </w:tcPr>
          <w:p w14:paraId="5EA1DF9A" w14:textId="77777777" w:rsidR="003C66EB" w:rsidRDefault="003C66EB">
            <w:pPr>
              <w:rPr>
                <w:rFonts w:ascii="宋体"/>
                <w:vanish/>
              </w:rPr>
            </w:pPr>
          </w:p>
        </w:tc>
        <w:tc>
          <w:tcPr>
            <w:tcW w:w="0" w:type="auto"/>
            <w:gridSpan w:val="3"/>
            <w:shd w:val="clear" w:color="auto" w:fill="auto"/>
          </w:tcPr>
          <w:p w14:paraId="5EA1DF9B" w14:textId="77777777" w:rsidR="003C66EB" w:rsidRDefault="003C66EB">
            <w:pPr>
              <w:rPr>
                <w:rFonts w:ascii="宋体"/>
                <w:vanish/>
              </w:rPr>
            </w:pPr>
          </w:p>
        </w:tc>
        <w:tc>
          <w:tcPr>
            <w:tcW w:w="0" w:type="auto"/>
            <w:gridSpan w:val="3"/>
            <w:shd w:val="clear" w:color="auto" w:fill="auto"/>
          </w:tcPr>
          <w:p w14:paraId="5EA1DF9C" w14:textId="77777777" w:rsidR="003C66EB" w:rsidRDefault="003C66EB">
            <w:pPr>
              <w:rPr>
                <w:rFonts w:ascii="宋体"/>
                <w:vanish/>
              </w:rPr>
            </w:pPr>
          </w:p>
        </w:tc>
        <w:tc>
          <w:tcPr>
            <w:tcW w:w="0" w:type="auto"/>
            <w:gridSpan w:val="3"/>
            <w:shd w:val="clear" w:color="auto" w:fill="auto"/>
          </w:tcPr>
          <w:p w14:paraId="5EA1DF9D" w14:textId="77777777" w:rsidR="003C66EB" w:rsidRDefault="003C66EB">
            <w:pPr>
              <w:rPr>
                <w:rFonts w:ascii="宋体"/>
                <w:vanish/>
              </w:rPr>
            </w:pPr>
          </w:p>
        </w:tc>
        <w:tc>
          <w:tcPr>
            <w:tcW w:w="0" w:type="auto"/>
            <w:gridSpan w:val="3"/>
            <w:shd w:val="clear" w:color="auto" w:fill="auto"/>
          </w:tcPr>
          <w:p w14:paraId="5EA1DF9E" w14:textId="77777777" w:rsidR="003C66EB" w:rsidRDefault="003C66EB">
            <w:pPr>
              <w:rPr>
                <w:rFonts w:ascii="宋体"/>
                <w:vanish/>
              </w:rPr>
            </w:pPr>
          </w:p>
        </w:tc>
      </w:tr>
      <w:tr w:rsidR="003C66EB" w14:paraId="5EA1DFAB" w14:textId="77777777">
        <w:trPr>
          <w:hidden/>
        </w:trPr>
        <w:tc>
          <w:tcPr>
            <w:tcW w:w="0" w:type="auto"/>
            <w:gridSpan w:val="3"/>
            <w:shd w:val="clear" w:color="auto" w:fill="auto"/>
          </w:tcPr>
          <w:p w14:paraId="5EA1DFA0" w14:textId="77777777" w:rsidR="003C66EB" w:rsidRDefault="003C66EB">
            <w:pPr>
              <w:rPr>
                <w:rFonts w:ascii="宋体"/>
                <w:vanish/>
              </w:rPr>
            </w:pPr>
          </w:p>
        </w:tc>
        <w:tc>
          <w:tcPr>
            <w:tcW w:w="0" w:type="auto"/>
            <w:gridSpan w:val="3"/>
            <w:shd w:val="clear" w:color="auto" w:fill="auto"/>
          </w:tcPr>
          <w:p w14:paraId="5EA1DFA1" w14:textId="77777777" w:rsidR="003C66EB" w:rsidRDefault="003C66EB">
            <w:pPr>
              <w:rPr>
                <w:rFonts w:ascii="宋体"/>
                <w:vanish/>
              </w:rPr>
            </w:pPr>
          </w:p>
        </w:tc>
        <w:tc>
          <w:tcPr>
            <w:tcW w:w="0" w:type="auto"/>
            <w:gridSpan w:val="3"/>
            <w:shd w:val="clear" w:color="auto" w:fill="auto"/>
          </w:tcPr>
          <w:p w14:paraId="5EA1DFA2" w14:textId="77777777" w:rsidR="003C66EB" w:rsidRDefault="003C66EB">
            <w:pPr>
              <w:rPr>
                <w:rFonts w:ascii="宋体"/>
                <w:vanish/>
              </w:rPr>
            </w:pPr>
          </w:p>
        </w:tc>
        <w:tc>
          <w:tcPr>
            <w:tcW w:w="0" w:type="auto"/>
            <w:gridSpan w:val="3"/>
            <w:shd w:val="clear" w:color="auto" w:fill="auto"/>
          </w:tcPr>
          <w:p w14:paraId="5EA1DFA3" w14:textId="77777777" w:rsidR="003C66EB" w:rsidRDefault="003C66EB">
            <w:pPr>
              <w:rPr>
                <w:rFonts w:ascii="宋体"/>
                <w:vanish/>
              </w:rPr>
            </w:pPr>
          </w:p>
        </w:tc>
        <w:tc>
          <w:tcPr>
            <w:tcW w:w="0" w:type="auto"/>
            <w:gridSpan w:val="3"/>
            <w:shd w:val="clear" w:color="auto" w:fill="auto"/>
          </w:tcPr>
          <w:p w14:paraId="5EA1DFA4" w14:textId="77777777" w:rsidR="003C66EB" w:rsidRDefault="003C66EB">
            <w:pPr>
              <w:rPr>
                <w:rFonts w:ascii="宋体"/>
                <w:vanish/>
              </w:rPr>
            </w:pPr>
          </w:p>
        </w:tc>
        <w:tc>
          <w:tcPr>
            <w:tcW w:w="0" w:type="auto"/>
            <w:gridSpan w:val="3"/>
            <w:shd w:val="clear" w:color="auto" w:fill="auto"/>
          </w:tcPr>
          <w:p w14:paraId="5EA1DFA5" w14:textId="77777777" w:rsidR="003C66EB" w:rsidRDefault="003C66EB">
            <w:pPr>
              <w:rPr>
                <w:rFonts w:ascii="宋体"/>
                <w:vanish/>
              </w:rPr>
            </w:pPr>
          </w:p>
        </w:tc>
        <w:tc>
          <w:tcPr>
            <w:tcW w:w="0" w:type="auto"/>
            <w:gridSpan w:val="3"/>
            <w:shd w:val="clear" w:color="auto" w:fill="auto"/>
          </w:tcPr>
          <w:p w14:paraId="5EA1DFA6" w14:textId="77777777" w:rsidR="003C66EB" w:rsidRDefault="003C66EB">
            <w:pPr>
              <w:rPr>
                <w:rFonts w:ascii="宋体"/>
                <w:vanish/>
              </w:rPr>
            </w:pPr>
          </w:p>
        </w:tc>
        <w:tc>
          <w:tcPr>
            <w:tcW w:w="0" w:type="auto"/>
            <w:gridSpan w:val="3"/>
            <w:shd w:val="clear" w:color="auto" w:fill="auto"/>
          </w:tcPr>
          <w:p w14:paraId="5EA1DFA7" w14:textId="77777777" w:rsidR="003C66EB" w:rsidRDefault="003C66EB">
            <w:pPr>
              <w:rPr>
                <w:rFonts w:ascii="宋体"/>
                <w:vanish/>
              </w:rPr>
            </w:pPr>
          </w:p>
        </w:tc>
        <w:tc>
          <w:tcPr>
            <w:tcW w:w="0" w:type="auto"/>
            <w:gridSpan w:val="3"/>
            <w:shd w:val="clear" w:color="auto" w:fill="auto"/>
          </w:tcPr>
          <w:p w14:paraId="5EA1DFA8" w14:textId="77777777" w:rsidR="003C66EB" w:rsidRDefault="003C66EB">
            <w:pPr>
              <w:rPr>
                <w:rFonts w:ascii="宋体"/>
                <w:vanish/>
              </w:rPr>
            </w:pPr>
          </w:p>
        </w:tc>
        <w:tc>
          <w:tcPr>
            <w:tcW w:w="0" w:type="auto"/>
            <w:gridSpan w:val="3"/>
            <w:shd w:val="clear" w:color="auto" w:fill="auto"/>
          </w:tcPr>
          <w:p w14:paraId="5EA1DFA9" w14:textId="77777777" w:rsidR="003C66EB" w:rsidRDefault="003C66EB">
            <w:pPr>
              <w:rPr>
                <w:rFonts w:ascii="宋体"/>
                <w:vanish/>
              </w:rPr>
            </w:pPr>
          </w:p>
        </w:tc>
        <w:tc>
          <w:tcPr>
            <w:tcW w:w="0" w:type="auto"/>
            <w:gridSpan w:val="3"/>
            <w:shd w:val="clear" w:color="auto" w:fill="auto"/>
          </w:tcPr>
          <w:p w14:paraId="5EA1DFAA" w14:textId="77777777" w:rsidR="003C66EB" w:rsidRDefault="003C66EB">
            <w:pPr>
              <w:rPr>
                <w:rFonts w:ascii="宋体"/>
                <w:vanish/>
              </w:rPr>
            </w:pPr>
          </w:p>
        </w:tc>
      </w:tr>
      <w:tr w:rsidR="003C66EB" w14:paraId="5EA1DFB7" w14:textId="77777777">
        <w:trPr>
          <w:hidden/>
        </w:trPr>
        <w:tc>
          <w:tcPr>
            <w:tcW w:w="0" w:type="auto"/>
            <w:gridSpan w:val="3"/>
            <w:shd w:val="clear" w:color="auto" w:fill="auto"/>
          </w:tcPr>
          <w:p w14:paraId="5EA1DFAC" w14:textId="77777777" w:rsidR="003C66EB" w:rsidRDefault="003C66EB">
            <w:pPr>
              <w:rPr>
                <w:rFonts w:ascii="宋体"/>
                <w:vanish/>
              </w:rPr>
            </w:pPr>
          </w:p>
        </w:tc>
        <w:tc>
          <w:tcPr>
            <w:tcW w:w="0" w:type="auto"/>
            <w:gridSpan w:val="3"/>
            <w:shd w:val="clear" w:color="auto" w:fill="auto"/>
          </w:tcPr>
          <w:p w14:paraId="5EA1DFAD" w14:textId="77777777" w:rsidR="003C66EB" w:rsidRDefault="003C66EB">
            <w:pPr>
              <w:rPr>
                <w:rFonts w:ascii="宋体"/>
                <w:vanish/>
              </w:rPr>
            </w:pPr>
          </w:p>
        </w:tc>
        <w:tc>
          <w:tcPr>
            <w:tcW w:w="0" w:type="auto"/>
            <w:gridSpan w:val="3"/>
            <w:shd w:val="clear" w:color="auto" w:fill="auto"/>
          </w:tcPr>
          <w:p w14:paraId="5EA1DFAE" w14:textId="77777777" w:rsidR="003C66EB" w:rsidRDefault="003C66EB">
            <w:pPr>
              <w:rPr>
                <w:rFonts w:ascii="宋体"/>
                <w:vanish/>
              </w:rPr>
            </w:pPr>
          </w:p>
        </w:tc>
        <w:tc>
          <w:tcPr>
            <w:tcW w:w="0" w:type="auto"/>
            <w:gridSpan w:val="3"/>
            <w:shd w:val="clear" w:color="auto" w:fill="auto"/>
          </w:tcPr>
          <w:p w14:paraId="5EA1DFAF" w14:textId="77777777" w:rsidR="003C66EB" w:rsidRDefault="003C66EB">
            <w:pPr>
              <w:rPr>
                <w:rFonts w:ascii="宋体"/>
                <w:vanish/>
              </w:rPr>
            </w:pPr>
          </w:p>
        </w:tc>
        <w:tc>
          <w:tcPr>
            <w:tcW w:w="0" w:type="auto"/>
            <w:gridSpan w:val="3"/>
            <w:shd w:val="clear" w:color="auto" w:fill="auto"/>
          </w:tcPr>
          <w:p w14:paraId="5EA1DFB0" w14:textId="77777777" w:rsidR="003C66EB" w:rsidRDefault="003C66EB">
            <w:pPr>
              <w:rPr>
                <w:rFonts w:ascii="宋体"/>
                <w:vanish/>
              </w:rPr>
            </w:pPr>
          </w:p>
        </w:tc>
        <w:tc>
          <w:tcPr>
            <w:tcW w:w="0" w:type="auto"/>
            <w:gridSpan w:val="3"/>
            <w:shd w:val="clear" w:color="auto" w:fill="auto"/>
          </w:tcPr>
          <w:p w14:paraId="5EA1DFB1" w14:textId="77777777" w:rsidR="003C66EB" w:rsidRDefault="003C66EB">
            <w:pPr>
              <w:rPr>
                <w:rFonts w:ascii="宋体"/>
                <w:vanish/>
              </w:rPr>
            </w:pPr>
          </w:p>
        </w:tc>
        <w:tc>
          <w:tcPr>
            <w:tcW w:w="0" w:type="auto"/>
            <w:gridSpan w:val="3"/>
            <w:shd w:val="clear" w:color="auto" w:fill="auto"/>
          </w:tcPr>
          <w:p w14:paraId="5EA1DFB2" w14:textId="77777777" w:rsidR="003C66EB" w:rsidRDefault="003C66EB">
            <w:pPr>
              <w:rPr>
                <w:rFonts w:ascii="宋体"/>
                <w:vanish/>
              </w:rPr>
            </w:pPr>
          </w:p>
        </w:tc>
        <w:tc>
          <w:tcPr>
            <w:tcW w:w="0" w:type="auto"/>
            <w:gridSpan w:val="3"/>
            <w:shd w:val="clear" w:color="auto" w:fill="auto"/>
          </w:tcPr>
          <w:p w14:paraId="5EA1DFB3" w14:textId="77777777" w:rsidR="003C66EB" w:rsidRDefault="003C66EB">
            <w:pPr>
              <w:rPr>
                <w:rFonts w:ascii="宋体"/>
                <w:vanish/>
              </w:rPr>
            </w:pPr>
          </w:p>
        </w:tc>
        <w:tc>
          <w:tcPr>
            <w:tcW w:w="0" w:type="auto"/>
            <w:gridSpan w:val="3"/>
            <w:shd w:val="clear" w:color="auto" w:fill="auto"/>
          </w:tcPr>
          <w:p w14:paraId="5EA1DFB4" w14:textId="77777777" w:rsidR="003C66EB" w:rsidRDefault="003C66EB">
            <w:pPr>
              <w:rPr>
                <w:rFonts w:ascii="宋体"/>
                <w:vanish/>
              </w:rPr>
            </w:pPr>
          </w:p>
        </w:tc>
        <w:tc>
          <w:tcPr>
            <w:tcW w:w="0" w:type="auto"/>
            <w:gridSpan w:val="3"/>
            <w:shd w:val="clear" w:color="auto" w:fill="auto"/>
          </w:tcPr>
          <w:p w14:paraId="5EA1DFB5" w14:textId="77777777" w:rsidR="003C66EB" w:rsidRDefault="003C66EB">
            <w:pPr>
              <w:rPr>
                <w:rFonts w:ascii="宋体"/>
                <w:vanish/>
              </w:rPr>
            </w:pPr>
          </w:p>
        </w:tc>
        <w:tc>
          <w:tcPr>
            <w:tcW w:w="0" w:type="auto"/>
            <w:gridSpan w:val="3"/>
            <w:shd w:val="clear" w:color="auto" w:fill="auto"/>
          </w:tcPr>
          <w:p w14:paraId="5EA1DFB6" w14:textId="77777777" w:rsidR="003C66EB" w:rsidRDefault="003C66EB">
            <w:pPr>
              <w:rPr>
                <w:rFonts w:ascii="宋体"/>
                <w:vanish/>
              </w:rPr>
            </w:pPr>
          </w:p>
        </w:tc>
      </w:tr>
      <w:tr w:rsidR="003C66EB" w14:paraId="5EA1DFC3" w14:textId="77777777">
        <w:trPr>
          <w:hidden/>
        </w:trPr>
        <w:tc>
          <w:tcPr>
            <w:tcW w:w="0" w:type="auto"/>
            <w:gridSpan w:val="3"/>
            <w:shd w:val="clear" w:color="auto" w:fill="auto"/>
          </w:tcPr>
          <w:p w14:paraId="5EA1DFB8" w14:textId="77777777" w:rsidR="003C66EB" w:rsidRDefault="003C66EB">
            <w:pPr>
              <w:rPr>
                <w:rFonts w:ascii="宋体"/>
                <w:vanish/>
              </w:rPr>
            </w:pPr>
          </w:p>
        </w:tc>
        <w:tc>
          <w:tcPr>
            <w:tcW w:w="0" w:type="auto"/>
            <w:gridSpan w:val="3"/>
            <w:shd w:val="clear" w:color="auto" w:fill="auto"/>
          </w:tcPr>
          <w:p w14:paraId="5EA1DFB9" w14:textId="77777777" w:rsidR="003C66EB" w:rsidRDefault="003C66EB">
            <w:pPr>
              <w:rPr>
                <w:rFonts w:ascii="宋体"/>
                <w:vanish/>
              </w:rPr>
            </w:pPr>
          </w:p>
        </w:tc>
        <w:tc>
          <w:tcPr>
            <w:tcW w:w="0" w:type="auto"/>
            <w:gridSpan w:val="3"/>
            <w:shd w:val="clear" w:color="auto" w:fill="auto"/>
          </w:tcPr>
          <w:p w14:paraId="5EA1DFBA" w14:textId="77777777" w:rsidR="003C66EB" w:rsidRDefault="003C66EB">
            <w:pPr>
              <w:rPr>
                <w:rFonts w:ascii="宋体"/>
                <w:vanish/>
              </w:rPr>
            </w:pPr>
          </w:p>
        </w:tc>
        <w:tc>
          <w:tcPr>
            <w:tcW w:w="0" w:type="auto"/>
            <w:gridSpan w:val="3"/>
            <w:shd w:val="clear" w:color="auto" w:fill="auto"/>
          </w:tcPr>
          <w:p w14:paraId="5EA1DFBB" w14:textId="77777777" w:rsidR="003C66EB" w:rsidRDefault="003C66EB">
            <w:pPr>
              <w:rPr>
                <w:rFonts w:ascii="宋体"/>
                <w:vanish/>
              </w:rPr>
            </w:pPr>
          </w:p>
        </w:tc>
        <w:tc>
          <w:tcPr>
            <w:tcW w:w="0" w:type="auto"/>
            <w:gridSpan w:val="3"/>
            <w:shd w:val="clear" w:color="auto" w:fill="auto"/>
          </w:tcPr>
          <w:p w14:paraId="5EA1DFBC" w14:textId="77777777" w:rsidR="003C66EB" w:rsidRDefault="003C66EB">
            <w:pPr>
              <w:rPr>
                <w:rFonts w:ascii="宋体"/>
                <w:vanish/>
              </w:rPr>
            </w:pPr>
          </w:p>
        </w:tc>
        <w:tc>
          <w:tcPr>
            <w:tcW w:w="0" w:type="auto"/>
            <w:gridSpan w:val="3"/>
            <w:shd w:val="clear" w:color="auto" w:fill="auto"/>
          </w:tcPr>
          <w:p w14:paraId="5EA1DFBD" w14:textId="77777777" w:rsidR="003C66EB" w:rsidRDefault="003C66EB">
            <w:pPr>
              <w:rPr>
                <w:rFonts w:ascii="宋体"/>
                <w:vanish/>
              </w:rPr>
            </w:pPr>
          </w:p>
        </w:tc>
        <w:tc>
          <w:tcPr>
            <w:tcW w:w="0" w:type="auto"/>
            <w:gridSpan w:val="3"/>
            <w:shd w:val="clear" w:color="auto" w:fill="auto"/>
          </w:tcPr>
          <w:p w14:paraId="5EA1DFBE" w14:textId="77777777" w:rsidR="003C66EB" w:rsidRDefault="003C66EB">
            <w:pPr>
              <w:rPr>
                <w:rFonts w:ascii="宋体"/>
                <w:vanish/>
              </w:rPr>
            </w:pPr>
          </w:p>
        </w:tc>
        <w:tc>
          <w:tcPr>
            <w:tcW w:w="0" w:type="auto"/>
            <w:gridSpan w:val="3"/>
            <w:shd w:val="clear" w:color="auto" w:fill="auto"/>
          </w:tcPr>
          <w:p w14:paraId="5EA1DFBF" w14:textId="77777777" w:rsidR="003C66EB" w:rsidRDefault="003C66EB">
            <w:pPr>
              <w:rPr>
                <w:rFonts w:ascii="宋体"/>
                <w:vanish/>
              </w:rPr>
            </w:pPr>
          </w:p>
        </w:tc>
        <w:tc>
          <w:tcPr>
            <w:tcW w:w="0" w:type="auto"/>
            <w:gridSpan w:val="3"/>
            <w:shd w:val="clear" w:color="auto" w:fill="auto"/>
          </w:tcPr>
          <w:p w14:paraId="5EA1DFC0" w14:textId="77777777" w:rsidR="003C66EB" w:rsidRDefault="003C66EB">
            <w:pPr>
              <w:rPr>
                <w:rFonts w:ascii="宋体"/>
                <w:vanish/>
              </w:rPr>
            </w:pPr>
          </w:p>
        </w:tc>
        <w:tc>
          <w:tcPr>
            <w:tcW w:w="0" w:type="auto"/>
            <w:gridSpan w:val="3"/>
            <w:shd w:val="clear" w:color="auto" w:fill="auto"/>
          </w:tcPr>
          <w:p w14:paraId="5EA1DFC1" w14:textId="77777777" w:rsidR="003C66EB" w:rsidRDefault="003C66EB">
            <w:pPr>
              <w:rPr>
                <w:rFonts w:ascii="宋体"/>
                <w:vanish/>
              </w:rPr>
            </w:pPr>
          </w:p>
        </w:tc>
        <w:tc>
          <w:tcPr>
            <w:tcW w:w="0" w:type="auto"/>
            <w:gridSpan w:val="3"/>
            <w:shd w:val="clear" w:color="auto" w:fill="auto"/>
          </w:tcPr>
          <w:p w14:paraId="5EA1DFC2" w14:textId="77777777" w:rsidR="003C66EB" w:rsidRDefault="003C66EB">
            <w:pPr>
              <w:rPr>
                <w:rFonts w:ascii="宋体"/>
                <w:vanish/>
              </w:rPr>
            </w:pPr>
          </w:p>
        </w:tc>
      </w:tr>
      <w:tr w:rsidR="003C66EB" w14:paraId="5EA1DFCF" w14:textId="77777777">
        <w:trPr>
          <w:hidden/>
        </w:trPr>
        <w:tc>
          <w:tcPr>
            <w:tcW w:w="0" w:type="auto"/>
            <w:gridSpan w:val="3"/>
            <w:shd w:val="clear" w:color="auto" w:fill="auto"/>
          </w:tcPr>
          <w:p w14:paraId="5EA1DFC4" w14:textId="77777777" w:rsidR="003C66EB" w:rsidRDefault="003C66EB">
            <w:pPr>
              <w:rPr>
                <w:rFonts w:ascii="宋体"/>
                <w:vanish/>
              </w:rPr>
            </w:pPr>
          </w:p>
        </w:tc>
        <w:tc>
          <w:tcPr>
            <w:tcW w:w="0" w:type="auto"/>
            <w:gridSpan w:val="3"/>
            <w:shd w:val="clear" w:color="auto" w:fill="auto"/>
          </w:tcPr>
          <w:p w14:paraId="5EA1DFC5" w14:textId="77777777" w:rsidR="003C66EB" w:rsidRDefault="003C66EB">
            <w:pPr>
              <w:rPr>
                <w:rFonts w:ascii="宋体"/>
                <w:vanish/>
              </w:rPr>
            </w:pPr>
          </w:p>
        </w:tc>
        <w:tc>
          <w:tcPr>
            <w:tcW w:w="0" w:type="auto"/>
            <w:gridSpan w:val="3"/>
            <w:shd w:val="clear" w:color="auto" w:fill="auto"/>
          </w:tcPr>
          <w:p w14:paraId="5EA1DFC6" w14:textId="77777777" w:rsidR="003C66EB" w:rsidRDefault="003C66EB">
            <w:pPr>
              <w:rPr>
                <w:rFonts w:ascii="宋体"/>
                <w:vanish/>
              </w:rPr>
            </w:pPr>
          </w:p>
        </w:tc>
        <w:tc>
          <w:tcPr>
            <w:tcW w:w="0" w:type="auto"/>
            <w:gridSpan w:val="3"/>
            <w:shd w:val="clear" w:color="auto" w:fill="auto"/>
          </w:tcPr>
          <w:p w14:paraId="5EA1DFC7" w14:textId="77777777" w:rsidR="003C66EB" w:rsidRDefault="003C66EB">
            <w:pPr>
              <w:rPr>
                <w:rFonts w:ascii="宋体"/>
                <w:vanish/>
              </w:rPr>
            </w:pPr>
          </w:p>
        </w:tc>
        <w:tc>
          <w:tcPr>
            <w:tcW w:w="0" w:type="auto"/>
            <w:gridSpan w:val="3"/>
            <w:shd w:val="clear" w:color="auto" w:fill="auto"/>
          </w:tcPr>
          <w:p w14:paraId="5EA1DFC8" w14:textId="77777777" w:rsidR="003C66EB" w:rsidRDefault="003C66EB">
            <w:pPr>
              <w:rPr>
                <w:rFonts w:ascii="宋体"/>
                <w:vanish/>
              </w:rPr>
            </w:pPr>
          </w:p>
        </w:tc>
        <w:tc>
          <w:tcPr>
            <w:tcW w:w="0" w:type="auto"/>
            <w:gridSpan w:val="3"/>
            <w:shd w:val="clear" w:color="auto" w:fill="auto"/>
          </w:tcPr>
          <w:p w14:paraId="5EA1DFC9" w14:textId="77777777" w:rsidR="003C66EB" w:rsidRDefault="003C66EB">
            <w:pPr>
              <w:rPr>
                <w:rFonts w:ascii="宋体"/>
                <w:vanish/>
              </w:rPr>
            </w:pPr>
          </w:p>
        </w:tc>
        <w:tc>
          <w:tcPr>
            <w:tcW w:w="0" w:type="auto"/>
            <w:gridSpan w:val="3"/>
            <w:shd w:val="clear" w:color="auto" w:fill="auto"/>
          </w:tcPr>
          <w:p w14:paraId="5EA1DFCA" w14:textId="77777777" w:rsidR="003C66EB" w:rsidRDefault="003C66EB">
            <w:pPr>
              <w:rPr>
                <w:rFonts w:ascii="宋体"/>
                <w:vanish/>
              </w:rPr>
            </w:pPr>
          </w:p>
        </w:tc>
        <w:tc>
          <w:tcPr>
            <w:tcW w:w="0" w:type="auto"/>
            <w:gridSpan w:val="3"/>
            <w:shd w:val="clear" w:color="auto" w:fill="auto"/>
          </w:tcPr>
          <w:p w14:paraId="5EA1DFCB" w14:textId="77777777" w:rsidR="003C66EB" w:rsidRDefault="003C66EB">
            <w:pPr>
              <w:rPr>
                <w:rFonts w:ascii="宋体"/>
                <w:vanish/>
              </w:rPr>
            </w:pPr>
          </w:p>
        </w:tc>
        <w:tc>
          <w:tcPr>
            <w:tcW w:w="0" w:type="auto"/>
            <w:gridSpan w:val="3"/>
            <w:shd w:val="clear" w:color="auto" w:fill="auto"/>
          </w:tcPr>
          <w:p w14:paraId="5EA1DFCC" w14:textId="77777777" w:rsidR="003C66EB" w:rsidRDefault="003C66EB">
            <w:pPr>
              <w:rPr>
                <w:rFonts w:ascii="宋体"/>
                <w:vanish/>
              </w:rPr>
            </w:pPr>
          </w:p>
        </w:tc>
        <w:tc>
          <w:tcPr>
            <w:tcW w:w="0" w:type="auto"/>
            <w:gridSpan w:val="3"/>
            <w:shd w:val="clear" w:color="auto" w:fill="auto"/>
          </w:tcPr>
          <w:p w14:paraId="5EA1DFCD" w14:textId="77777777" w:rsidR="003C66EB" w:rsidRDefault="003C66EB">
            <w:pPr>
              <w:rPr>
                <w:rFonts w:ascii="宋体"/>
                <w:vanish/>
              </w:rPr>
            </w:pPr>
          </w:p>
        </w:tc>
        <w:tc>
          <w:tcPr>
            <w:tcW w:w="0" w:type="auto"/>
            <w:gridSpan w:val="3"/>
            <w:shd w:val="clear" w:color="auto" w:fill="auto"/>
          </w:tcPr>
          <w:p w14:paraId="5EA1DFCE" w14:textId="77777777" w:rsidR="003C66EB" w:rsidRDefault="003C66EB">
            <w:pPr>
              <w:rPr>
                <w:rFonts w:ascii="宋体"/>
                <w:vanish/>
              </w:rPr>
            </w:pPr>
          </w:p>
        </w:tc>
      </w:tr>
    </w:tbl>
    <w:p w14:paraId="5EA1DFD0" w14:textId="77777777" w:rsidR="003C66EB" w:rsidRDefault="003C66EB">
      <w:pPr>
        <w:rPr>
          <w:vanish/>
        </w:rPr>
      </w:pPr>
    </w:p>
    <w:tbl>
      <w:tblPr>
        <w:tblW w:w="4009" w:type="pct"/>
        <w:tblCellMar>
          <w:top w:w="15" w:type="dxa"/>
          <w:left w:w="15" w:type="dxa"/>
          <w:bottom w:w="15" w:type="dxa"/>
          <w:right w:w="15" w:type="dxa"/>
        </w:tblCellMar>
        <w:tblLook w:val="04A0" w:firstRow="1" w:lastRow="0" w:firstColumn="1" w:lastColumn="0" w:noHBand="0" w:noVBand="1"/>
      </w:tblPr>
      <w:tblGrid>
        <w:gridCol w:w="52"/>
        <w:gridCol w:w="3975"/>
        <w:gridCol w:w="36"/>
        <w:gridCol w:w="52"/>
        <w:gridCol w:w="2533"/>
        <w:gridCol w:w="36"/>
      </w:tblGrid>
      <w:tr w:rsidR="003C66EB" w14:paraId="5EA1DFD7" w14:textId="77777777">
        <w:tc>
          <w:tcPr>
            <w:tcW w:w="50" w:type="pct"/>
            <w:shd w:val="clear" w:color="auto" w:fill="auto"/>
          </w:tcPr>
          <w:p w14:paraId="5EA1DFD1" w14:textId="77777777" w:rsidR="003C66EB" w:rsidRDefault="003C66EB">
            <w:pPr>
              <w:rPr>
                <w:rFonts w:ascii="宋体"/>
              </w:rPr>
            </w:pPr>
          </w:p>
        </w:tc>
        <w:tc>
          <w:tcPr>
            <w:tcW w:w="2984" w:type="pct"/>
            <w:shd w:val="clear" w:color="auto" w:fill="auto"/>
          </w:tcPr>
          <w:p w14:paraId="5EA1DFD2" w14:textId="77777777" w:rsidR="003C66EB" w:rsidRDefault="003C66EB">
            <w:pPr>
              <w:rPr>
                <w:rFonts w:ascii="宋体"/>
              </w:rPr>
            </w:pPr>
          </w:p>
        </w:tc>
        <w:tc>
          <w:tcPr>
            <w:tcW w:w="5" w:type="pct"/>
            <w:shd w:val="clear" w:color="auto" w:fill="auto"/>
          </w:tcPr>
          <w:p w14:paraId="5EA1DFD3" w14:textId="77777777" w:rsidR="003C66EB" w:rsidRDefault="003C66EB">
            <w:pPr>
              <w:rPr>
                <w:rFonts w:ascii="宋体"/>
              </w:rPr>
            </w:pPr>
          </w:p>
        </w:tc>
        <w:tc>
          <w:tcPr>
            <w:tcW w:w="50" w:type="pct"/>
            <w:shd w:val="clear" w:color="auto" w:fill="auto"/>
          </w:tcPr>
          <w:p w14:paraId="5EA1DFD4" w14:textId="77777777" w:rsidR="003C66EB" w:rsidRDefault="003C66EB">
            <w:pPr>
              <w:rPr>
                <w:rFonts w:ascii="宋体"/>
              </w:rPr>
            </w:pPr>
          </w:p>
        </w:tc>
        <w:tc>
          <w:tcPr>
            <w:tcW w:w="1905" w:type="pct"/>
            <w:shd w:val="clear" w:color="auto" w:fill="auto"/>
          </w:tcPr>
          <w:p w14:paraId="5EA1DFD5" w14:textId="77777777" w:rsidR="003C66EB" w:rsidRDefault="003C66EB">
            <w:pPr>
              <w:rPr>
                <w:rFonts w:ascii="宋体"/>
              </w:rPr>
            </w:pPr>
          </w:p>
        </w:tc>
        <w:tc>
          <w:tcPr>
            <w:tcW w:w="5" w:type="pct"/>
            <w:shd w:val="clear" w:color="auto" w:fill="auto"/>
          </w:tcPr>
          <w:p w14:paraId="5EA1DFD6" w14:textId="77777777" w:rsidR="003C66EB" w:rsidRDefault="003C66EB">
            <w:pPr>
              <w:rPr>
                <w:rFonts w:ascii="宋体"/>
              </w:rPr>
            </w:pPr>
          </w:p>
        </w:tc>
      </w:tr>
      <w:tr w:rsidR="003C66EB" w14:paraId="5EA1DFDA" w14:textId="77777777">
        <w:trPr>
          <w:trHeight w:val="60"/>
        </w:trPr>
        <w:tc>
          <w:tcPr>
            <w:tcW w:w="0" w:type="auto"/>
            <w:gridSpan w:val="3"/>
            <w:shd w:val="clear" w:color="auto" w:fill="auto"/>
            <w:tcMar>
              <w:top w:w="0" w:type="dxa"/>
              <w:left w:w="20" w:type="dxa"/>
              <w:bottom w:w="0" w:type="dxa"/>
              <w:right w:w="20" w:type="dxa"/>
            </w:tcMar>
          </w:tcPr>
          <w:p w14:paraId="5EA1DFD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FD9" w14:textId="77777777" w:rsidR="003C66EB" w:rsidRDefault="003C66EB">
            <w:pPr>
              <w:rPr>
                <w:rFonts w:ascii="宋体"/>
              </w:rPr>
            </w:pPr>
          </w:p>
        </w:tc>
      </w:tr>
      <w:tr w:rsidR="003C66EB" w14:paraId="5EA1DFDD"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5EA1DFD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DFDC" w14:textId="77777777" w:rsidR="003C66EB" w:rsidRDefault="003C66EB">
            <w:pPr>
              <w:rPr>
                <w:rFonts w:ascii="宋体"/>
              </w:rPr>
            </w:pPr>
          </w:p>
        </w:tc>
      </w:tr>
    </w:tbl>
    <w:p w14:paraId="5EA1DFDE" w14:textId="77777777" w:rsidR="003C66EB" w:rsidRDefault="00D96C4E">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Additional information about our preferred stock dividends is provided in Note 12 to the consolidated financial statements in this Form 10-Q.</w:t>
      </w:r>
    </w:p>
    <w:p w14:paraId="5EA1DFDF" w14:textId="77777777" w:rsidR="003C66EB" w:rsidRDefault="00D96C4E">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the portion of net </w:t>
      </w:r>
      <w:r>
        <w:rPr>
          <w:rFonts w:ascii="Arial" w:eastAsia="宋体" w:hAnsi="Arial" w:cs="Arial"/>
          <w:color w:val="000000"/>
          <w:sz w:val="12"/>
          <w:szCs w:val="12"/>
        </w:rPr>
        <w:t>income available to common equity allocated to participating securities, composed of unvested and fully vested SERP (Supplemental executive retirement plans) shares and fully vested deferred director stock awards, which are equity-based awards that contain</w:t>
      </w:r>
      <w:r>
        <w:rPr>
          <w:rFonts w:ascii="Arial" w:eastAsia="宋体" w:hAnsi="Arial" w:cs="Arial"/>
          <w:color w:val="000000"/>
          <w:sz w:val="12"/>
          <w:szCs w:val="12"/>
        </w:rPr>
        <w:t xml:space="preserve"> non-forfeitable rights to dividends, and are considered to participate with the common stock in undistributed earnings.</w:t>
      </w:r>
    </w:p>
    <w:p w14:paraId="5EA1DFE0" w14:textId="77777777" w:rsidR="003C66EB" w:rsidRDefault="00D96C4E">
      <w:pPr>
        <w:spacing w:before="60"/>
        <w:jc w:val="both"/>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5EA1DFE1" w14:textId="77777777" w:rsidR="003C66EB" w:rsidRDefault="00D96C4E">
      <w:pPr>
        <w:spacing w:before="60"/>
        <w:ind w:firstLine="450"/>
        <w:jc w:val="both"/>
        <w:textAlignment w:val="top"/>
      </w:pPr>
      <w:r>
        <w:rPr>
          <w:rFonts w:ascii="Arial" w:eastAsia="宋体" w:hAnsi="Arial" w:cs="Arial"/>
          <w:color w:val="000000"/>
          <w:sz w:val="20"/>
          <w:szCs w:val="20"/>
        </w:rPr>
        <w:t xml:space="preserve">The following “Financial Results and Highlights” section provides information related to significant events, as well </w:t>
      </w:r>
      <w:r>
        <w:rPr>
          <w:rFonts w:ascii="Arial" w:eastAsia="宋体" w:hAnsi="Arial" w:cs="Arial"/>
          <w:color w:val="000000"/>
          <w:sz w:val="20"/>
          <w:szCs w:val="20"/>
        </w:rPr>
        <w:t>as highlights of our consolidated financial results for the first quarter of 2021 presented in Table 1: Overview of Financial Results. More detailed information about our consolidated financial results, including the comparison of our financial results for</w:t>
      </w:r>
      <w:r>
        <w:rPr>
          <w:rFonts w:ascii="Arial" w:eastAsia="宋体" w:hAnsi="Arial" w:cs="Arial"/>
          <w:color w:val="000000"/>
          <w:sz w:val="20"/>
          <w:szCs w:val="20"/>
        </w:rPr>
        <w:t xml:space="preserve"> the first quarter of 2021 compared to the same period in 2020, is provided under “Consolidated Results of Operations”, "Line of Business Information" and "Capital" which follows these sections, as well as in our consolidated financial statements in this F</w:t>
      </w:r>
      <w:r>
        <w:rPr>
          <w:rFonts w:ascii="Arial" w:eastAsia="宋体" w:hAnsi="Arial" w:cs="Arial"/>
          <w:color w:val="000000"/>
          <w:sz w:val="20"/>
          <w:szCs w:val="20"/>
        </w:rPr>
        <w:t>orm 10-Q. In this Management’s Discussion and Analysis, where we describe the effects of changes in foreign currency translation, those effects are determined by applying applicable weighted average FX rates from the relevant 2020 period to the relevant 20</w:t>
      </w:r>
      <w:r>
        <w:rPr>
          <w:rFonts w:ascii="Arial" w:eastAsia="宋体" w:hAnsi="Arial" w:cs="Arial"/>
          <w:color w:val="000000"/>
          <w:sz w:val="20"/>
          <w:szCs w:val="20"/>
        </w:rPr>
        <w:t>21 period results.</w:t>
      </w:r>
    </w:p>
    <w:p w14:paraId="5EA1DFE2" w14:textId="77777777" w:rsidR="003C66EB" w:rsidRDefault="00D96C4E">
      <w:pPr>
        <w:spacing w:before="90"/>
        <w:jc w:val="both"/>
        <w:textAlignment w:val="top"/>
      </w:pPr>
      <w:r>
        <w:rPr>
          <w:rFonts w:ascii="Arial" w:eastAsia="宋体" w:hAnsi="Arial" w:cs="Arial"/>
          <w:b/>
          <w:bCs/>
          <w:color w:val="000000"/>
          <w:sz w:val="20"/>
          <w:szCs w:val="20"/>
        </w:rPr>
        <w:t>Financial Results and Highlights</w:t>
      </w:r>
    </w:p>
    <w:p w14:paraId="5EA1DFE3" w14:textId="77777777" w:rsidR="003C66EB" w:rsidRDefault="00D96C4E">
      <w:pPr>
        <w:spacing w:before="60"/>
        <w:ind w:hanging="360"/>
        <w:jc w:val="both"/>
        <w:textAlignment w:val="top"/>
      </w:pPr>
      <w:r>
        <w:rPr>
          <w:rFonts w:ascii="Arial" w:eastAsia="宋体" w:hAnsi="Arial" w:cs="Arial"/>
          <w:color w:val="000000"/>
          <w:sz w:val="20"/>
          <w:szCs w:val="20"/>
        </w:rPr>
        <w:t>•First quarter of 2021 financial performance:</w:t>
      </w:r>
    </w:p>
    <w:p w14:paraId="5EA1DFE4"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Total fee revenue was up 4% in the first quarter of 2021, compared to the same period in 2020, including 2% due to currency translation. </w:t>
      </w:r>
    </w:p>
    <w:p w14:paraId="5EA1DFE5"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Servicing fee reve</w:t>
      </w:r>
      <w:r>
        <w:rPr>
          <w:rFonts w:ascii="Arial" w:eastAsia="宋体" w:hAnsi="Arial" w:cs="Arial"/>
          <w:color w:val="000000"/>
          <w:sz w:val="20"/>
          <w:szCs w:val="20"/>
        </w:rPr>
        <w:t xml:space="preserve">nues were up 7% in the first quarter of 2021, compared to the same period in 2020, including 3% due to currency translation. Management fee revenues were up 6% in the first quarter of 2021, compared to the same period in 2020, including 2% due to currency </w:t>
      </w:r>
      <w:r>
        <w:rPr>
          <w:rFonts w:ascii="Arial" w:eastAsia="宋体" w:hAnsi="Arial" w:cs="Arial"/>
          <w:color w:val="000000"/>
          <w:sz w:val="20"/>
          <w:szCs w:val="20"/>
        </w:rPr>
        <w:t xml:space="preserve">translation. </w:t>
      </w:r>
    </w:p>
    <w:p w14:paraId="5EA1DFE6"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EPS of $1.37 in the first quarter of 2021 decreased 15% compared to $1.62 in the same period in 2020, driven by lower net interest income and higher expenses.</w:t>
      </w:r>
    </w:p>
    <w:p w14:paraId="5EA1DFE7"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the first quarter of 2021, return on equity of 8.4% decreased from 10.9% in th</w:t>
      </w:r>
      <w:r>
        <w:rPr>
          <w:rFonts w:ascii="Arial" w:eastAsia="宋体" w:hAnsi="Arial" w:cs="Arial"/>
          <w:color w:val="000000"/>
          <w:sz w:val="20"/>
          <w:szCs w:val="20"/>
        </w:rPr>
        <w:t>e same period in 2020, primarily due to a decrease in net income available to common shareholders. Pre-tax margin of 21.3% in the first quarter of 2021 decreased from 25.3% in the same period in 2020, primarily due to a decrease in total revenue and an inc</w:t>
      </w:r>
      <w:r>
        <w:rPr>
          <w:rFonts w:ascii="Arial" w:eastAsia="宋体" w:hAnsi="Arial" w:cs="Arial"/>
          <w:color w:val="000000"/>
          <w:sz w:val="20"/>
          <w:szCs w:val="20"/>
        </w:rPr>
        <w:t>rease in total expenses.</w:t>
      </w:r>
    </w:p>
    <w:p w14:paraId="5EA1DFE8"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Operating leverage was (7.2)% points in the first quarter of 2021. Operating leverage represents the difference between the percentage change in total revenue and the percentage change in total expenses, </w:t>
      </w:r>
    </w:p>
    <w:p w14:paraId="5EA1DFE9" w14:textId="77777777" w:rsidR="003C66EB" w:rsidRDefault="00D96C4E">
      <w:pPr>
        <w:ind w:firstLine="450"/>
        <w:jc w:val="right"/>
      </w:pPr>
      <w:r>
        <w:rPr>
          <w:rFonts w:ascii="Arial" w:eastAsia="宋体" w:hAnsi="Arial" w:cs="Arial"/>
          <w:color w:val="000000"/>
          <w:sz w:val="18"/>
          <w:szCs w:val="18"/>
        </w:rPr>
        <w:t xml:space="preserve">State Street Corporation </w:t>
      </w:r>
      <w:r>
        <w:rPr>
          <w:rFonts w:ascii="Arial" w:eastAsia="宋体" w:hAnsi="Arial" w:cs="Arial"/>
          <w:color w:val="000000"/>
          <w:sz w:val="18"/>
          <w:szCs w:val="18"/>
        </w:rPr>
        <w:t>| 7</w:t>
      </w:r>
    </w:p>
    <w:p w14:paraId="5EA1DFEA" w14:textId="77777777" w:rsidR="003C66EB" w:rsidRDefault="003C66EB">
      <w:pPr>
        <w:ind w:firstLine="450"/>
        <w:jc w:val="center"/>
      </w:pPr>
    </w:p>
    <w:p w14:paraId="5EA1DFEB" w14:textId="77777777" w:rsidR="003C66EB" w:rsidRDefault="00D96C4E">
      <w:r>
        <w:pict w14:anchorId="5EA287B7">
          <v:rect id="_x0000_i1031" style="width:415.3pt;height:1.5pt" o:hralign="center" o:hrstd="t" o:hr="t" fillcolor="#a0a0a0" stroked="f"/>
        </w:pict>
      </w:r>
    </w:p>
    <w:p w14:paraId="5EA1DFEC"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DFED" w14:textId="77777777" w:rsidR="003C66EB" w:rsidRDefault="00D96C4E">
      <w:pPr>
        <w:ind w:firstLine="450"/>
        <w:jc w:val="center"/>
      </w:pPr>
      <w:r>
        <w:rPr>
          <w:rFonts w:ascii="Arial" w:eastAsia="宋体" w:hAnsi="Arial" w:cs="Arial"/>
          <w:b/>
          <w:bCs/>
          <w:color w:val="000000"/>
          <w:sz w:val="20"/>
          <w:szCs w:val="20"/>
        </w:rPr>
        <w:t>AND RESULTS OF OPERATIONS</w:t>
      </w:r>
    </w:p>
    <w:p w14:paraId="5EA1DFEE" w14:textId="77777777" w:rsidR="003C66EB" w:rsidRDefault="00D96C4E">
      <w:pPr>
        <w:spacing w:before="60"/>
        <w:jc w:val="both"/>
        <w:textAlignment w:val="top"/>
      </w:pPr>
      <w:r>
        <w:rPr>
          <w:rFonts w:ascii="Arial" w:eastAsia="宋体" w:hAnsi="Arial" w:cs="Arial"/>
          <w:color w:val="000000"/>
          <w:sz w:val="20"/>
          <w:szCs w:val="20"/>
        </w:rPr>
        <w:t>in each case relative to the prior year period.</w:t>
      </w:r>
    </w:p>
    <w:p w14:paraId="5EA1DFEF" w14:textId="77777777" w:rsidR="003C66EB" w:rsidRDefault="00D96C4E">
      <w:pPr>
        <w:spacing w:before="60"/>
        <w:ind w:hanging="360"/>
        <w:jc w:val="both"/>
        <w:textAlignment w:val="top"/>
      </w:pPr>
      <w:r>
        <w:rPr>
          <w:rFonts w:ascii="Arial" w:eastAsia="宋体" w:hAnsi="Arial" w:cs="Arial"/>
          <w:color w:val="000000"/>
          <w:sz w:val="20"/>
          <w:szCs w:val="20"/>
        </w:rPr>
        <w:t xml:space="preserve">•During the first quarter of 2021, our business and financial results continued to reflect effects of the </w:t>
      </w:r>
      <w:r>
        <w:rPr>
          <w:rFonts w:ascii="Arial" w:eastAsia="宋体" w:hAnsi="Arial" w:cs="Arial"/>
          <w:color w:val="000000"/>
          <w:sz w:val="20"/>
          <w:szCs w:val="20"/>
        </w:rPr>
        <w:t>COVID-19 pandemic:</w:t>
      </w:r>
    </w:p>
    <w:p w14:paraId="5EA1DFF0"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Approximately 80% of our employees globally continue to work remotely as of March 31, 2021.</w:t>
      </w:r>
    </w:p>
    <w:p w14:paraId="5EA1DFF1"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The Federal Reserve Board announced in March 2021 that it will maintain the restrictions on capital distributions of bank holding companies unt</w:t>
      </w:r>
      <w:r>
        <w:rPr>
          <w:rFonts w:ascii="Arial" w:eastAsia="宋体" w:hAnsi="Arial" w:cs="Arial"/>
          <w:color w:val="000000"/>
          <w:sz w:val="20"/>
          <w:szCs w:val="20"/>
        </w:rPr>
        <w:t>il June 2021.</w:t>
      </w:r>
    </w:p>
    <w:p w14:paraId="5EA1DFF2"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continued to experience high levels of client deposits in the first quarter of 2021 amidst the Federal Reserve's expansionary monetary policy.</w:t>
      </w:r>
    </w:p>
    <w:p w14:paraId="5EA1DFF3" w14:textId="77777777" w:rsidR="003C66EB" w:rsidRDefault="00D96C4E">
      <w:pPr>
        <w:spacing w:before="60"/>
        <w:jc w:val="both"/>
        <w:textAlignment w:val="top"/>
      </w:pPr>
      <w:r>
        <w:rPr>
          <w:rFonts w:ascii="Arial" w:eastAsia="宋体" w:hAnsi="Arial" w:cs="Arial"/>
          <w:b/>
          <w:bCs/>
          <w:i/>
          <w:iCs/>
          <w:color w:val="000000"/>
          <w:sz w:val="20"/>
          <w:szCs w:val="20"/>
        </w:rPr>
        <w:t>Revenue</w:t>
      </w:r>
    </w:p>
    <w:p w14:paraId="5EA1DFF4" w14:textId="77777777" w:rsidR="003C66EB" w:rsidRDefault="00D96C4E">
      <w:pPr>
        <w:spacing w:before="60"/>
        <w:ind w:hanging="360"/>
        <w:jc w:val="both"/>
        <w:textAlignment w:val="top"/>
      </w:pPr>
      <w:r>
        <w:rPr>
          <w:rFonts w:ascii="Arial" w:eastAsia="宋体" w:hAnsi="Arial" w:cs="Arial"/>
          <w:color w:val="000000"/>
          <w:sz w:val="20"/>
          <w:szCs w:val="20"/>
        </w:rPr>
        <w:t>•Total revenue decreased 4% in the first quarter of 2021 compared to the same period in</w:t>
      </w:r>
      <w:r>
        <w:rPr>
          <w:rFonts w:ascii="Arial" w:eastAsia="宋体" w:hAnsi="Arial" w:cs="Arial"/>
          <w:color w:val="000000"/>
          <w:sz w:val="20"/>
          <w:szCs w:val="20"/>
        </w:rPr>
        <w:t xml:space="preserve"> 2020, including 2% due to currency translation, as the increase in total fee revenue was offset by a decline in NII. Total fee revenue increased 4% in the first quarter of 2021 compared to the same period in 2020, primarily driven by increases in servicin</w:t>
      </w:r>
      <w:r>
        <w:rPr>
          <w:rFonts w:ascii="Arial" w:eastAsia="宋体" w:hAnsi="Arial" w:cs="Arial"/>
          <w:color w:val="000000"/>
          <w:sz w:val="20"/>
          <w:szCs w:val="20"/>
        </w:rPr>
        <w:t xml:space="preserve">g fees, management fees, securities finance and software and processing fees, partially offset by lower foreign exchange trading services revenue. </w:t>
      </w:r>
    </w:p>
    <w:p w14:paraId="5EA1DFF5" w14:textId="77777777" w:rsidR="003C66EB" w:rsidRDefault="00D96C4E">
      <w:pPr>
        <w:spacing w:before="60"/>
        <w:ind w:hanging="360"/>
        <w:jc w:val="both"/>
        <w:textAlignment w:val="top"/>
      </w:pPr>
      <w:r>
        <w:rPr>
          <w:rFonts w:ascii="Arial" w:eastAsia="宋体" w:hAnsi="Arial" w:cs="Arial"/>
          <w:color w:val="000000"/>
          <w:sz w:val="20"/>
          <w:szCs w:val="20"/>
        </w:rPr>
        <w:t>•Servicing fee revenue increased 7% in the first quarter of 2021 compared to the same period in 2020, primar</w:t>
      </w:r>
      <w:r>
        <w:rPr>
          <w:rFonts w:ascii="Arial" w:eastAsia="宋体" w:hAnsi="Arial" w:cs="Arial"/>
          <w:color w:val="000000"/>
          <w:sz w:val="20"/>
          <w:szCs w:val="20"/>
        </w:rPr>
        <w:t>ily due to higher average equity market levels, partially offset by normal pricing headwinds. Currency translation increased servicing fees by 3% in the first quarter of 2021, relative to the same period in 2020.</w:t>
      </w:r>
    </w:p>
    <w:p w14:paraId="5EA1DFF6" w14:textId="77777777" w:rsidR="003C66EB" w:rsidRDefault="00D96C4E">
      <w:pPr>
        <w:spacing w:before="60"/>
        <w:ind w:hanging="360"/>
        <w:jc w:val="both"/>
        <w:textAlignment w:val="top"/>
      </w:pPr>
      <w:r>
        <w:rPr>
          <w:rFonts w:ascii="Arial" w:eastAsia="宋体" w:hAnsi="Arial" w:cs="Arial"/>
          <w:color w:val="000000"/>
          <w:sz w:val="20"/>
          <w:szCs w:val="20"/>
        </w:rPr>
        <w:t>•Management fee revenue increased 6% in the</w:t>
      </w:r>
      <w:r>
        <w:rPr>
          <w:rFonts w:ascii="Arial" w:eastAsia="宋体" w:hAnsi="Arial" w:cs="Arial"/>
          <w:color w:val="000000"/>
          <w:sz w:val="20"/>
          <w:szCs w:val="20"/>
        </w:rPr>
        <w:t xml:space="preserve"> first quarter of 2021, compared to the same period in 2020, primarily due to higher average equity market levels and net inflows from ETFs and cash, partially offset by an idiosyncratic institutional client asset reallocation from higher fee products as a</w:t>
      </w:r>
      <w:r>
        <w:rPr>
          <w:rFonts w:ascii="Arial" w:eastAsia="宋体" w:hAnsi="Arial" w:cs="Arial"/>
          <w:color w:val="000000"/>
          <w:sz w:val="20"/>
          <w:szCs w:val="20"/>
        </w:rPr>
        <w:t xml:space="preserve"> result of a change in their investment strategy and higher money market fee waivers. Currency translation increased management fees by 2% in the first quarter of 2021, relative to the same period in 2020.</w:t>
      </w:r>
    </w:p>
    <w:p w14:paraId="5EA1DFF7" w14:textId="77777777" w:rsidR="003C66EB" w:rsidRDefault="00D96C4E">
      <w:pPr>
        <w:spacing w:before="60"/>
        <w:ind w:hanging="360"/>
        <w:jc w:val="both"/>
        <w:textAlignment w:val="top"/>
      </w:pPr>
      <w:r>
        <w:rPr>
          <w:rFonts w:ascii="Arial" w:eastAsia="宋体" w:hAnsi="Arial" w:cs="Arial"/>
          <w:color w:val="000000"/>
          <w:sz w:val="20"/>
          <w:szCs w:val="20"/>
        </w:rPr>
        <w:t>•Foreign exchange trading services decreased 22% i</w:t>
      </w:r>
      <w:r>
        <w:rPr>
          <w:rFonts w:ascii="Arial" w:eastAsia="宋体" w:hAnsi="Arial" w:cs="Arial"/>
          <w:color w:val="000000"/>
          <w:sz w:val="20"/>
          <w:szCs w:val="20"/>
        </w:rPr>
        <w:t xml:space="preserve">n the first quarter of 2021 compared to the same period in 2020, primarily due to lower FX volatility as compared to the levels </w:t>
      </w:r>
    </w:p>
    <w:p w14:paraId="5EA1DFF8" w14:textId="77777777" w:rsidR="003C66EB" w:rsidRDefault="00D96C4E">
      <w:pPr>
        <w:spacing w:before="60"/>
        <w:jc w:val="both"/>
        <w:textAlignment w:val="top"/>
      </w:pPr>
      <w:r>
        <w:rPr>
          <w:rFonts w:ascii="Arial" w:eastAsia="宋体" w:hAnsi="Arial" w:cs="Arial"/>
          <w:color w:val="000000"/>
          <w:sz w:val="20"/>
          <w:szCs w:val="20"/>
        </w:rPr>
        <w:t>seen at the beginning of the COVID-19 pandemic in the first quarter of 2020, partially offset by higher client FX volumes.</w:t>
      </w:r>
    </w:p>
    <w:p w14:paraId="5EA1DFF9" w14:textId="77777777" w:rsidR="003C66EB" w:rsidRDefault="00D96C4E">
      <w:pPr>
        <w:spacing w:before="60"/>
        <w:ind w:hanging="360"/>
        <w:jc w:val="both"/>
        <w:textAlignment w:val="top"/>
      </w:pPr>
      <w:r>
        <w:rPr>
          <w:rFonts w:ascii="Arial" w:eastAsia="宋体" w:hAnsi="Arial" w:cs="Arial"/>
          <w:color w:val="000000"/>
          <w:sz w:val="20"/>
          <w:szCs w:val="20"/>
        </w:rPr>
        <w:t>•Sec</w:t>
      </w:r>
      <w:r>
        <w:rPr>
          <w:rFonts w:ascii="Arial" w:eastAsia="宋体" w:hAnsi="Arial" w:cs="Arial"/>
          <w:color w:val="000000"/>
          <w:sz w:val="20"/>
          <w:szCs w:val="20"/>
        </w:rPr>
        <w:t>urities finance revenue increased 8% in the first quarter of 2021 compared to the same period in 2020, reflecting higher agency lending and enhanced custody balances.</w:t>
      </w:r>
    </w:p>
    <w:p w14:paraId="5EA1DFFA" w14:textId="77777777" w:rsidR="003C66EB" w:rsidRDefault="00D96C4E">
      <w:pPr>
        <w:spacing w:before="60"/>
        <w:ind w:hanging="360"/>
        <w:jc w:val="both"/>
        <w:textAlignment w:val="top"/>
      </w:pPr>
      <w:r>
        <w:rPr>
          <w:rFonts w:ascii="Arial" w:eastAsia="宋体" w:hAnsi="Arial" w:cs="Arial"/>
          <w:color w:val="000000"/>
          <w:sz w:val="20"/>
          <w:szCs w:val="20"/>
        </w:rPr>
        <w:t>•Software and processing fees revenue increased 55% in the first quarter of 2021 compared</w:t>
      </w:r>
      <w:r>
        <w:rPr>
          <w:rFonts w:ascii="Arial" w:eastAsia="宋体" w:hAnsi="Arial" w:cs="Arial"/>
          <w:color w:val="000000"/>
          <w:sz w:val="20"/>
          <w:szCs w:val="20"/>
        </w:rPr>
        <w:t xml:space="preserve"> to the same period in 2020, primarily driven by higher market-related adjustments.</w:t>
      </w:r>
    </w:p>
    <w:p w14:paraId="5EA1DFFB" w14:textId="77777777" w:rsidR="003C66EB" w:rsidRDefault="00D96C4E">
      <w:pPr>
        <w:spacing w:before="60"/>
        <w:ind w:hanging="360"/>
        <w:jc w:val="both"/>
        <w:textAlignment w:val="top"/>
      </w:pPr>
      <w:r>
        <w:rPr>
          <w:rFonts w:ascii="Arial" w:eastAsia="宋体" w:hAnsi="Arial" w:cs="Arial"/>
          <w:color w:val="000000"/>
          <w:sz w:val="20"/>
          <w:szCs w:val="20"/>
        </w:rPr>
        <w:t>•NII decreased 30% in the first quarter of 2021 compared to the same period in 2020, primarily due to lower global interest rates and the absence of episodic market-related</w:t>
      </w:r>
      <w:r>
        <w:rPr>
          <w:rFonts w:ascii="Arial" w:eastAsia="宋体" w:hAnsi="Arial" w:cs="Arial"/>
          <w:color w:val="000000"/>
          <w:sz w:val="20"/>
          <w:szCs w:val="20"/>
        </w:rPr>
        <w:t xml:space="preserve"> benefits in the first quarter of 2020, partially offset by higher deposits reflecting the impact of the Federal Reserve’s expansionary monetary policy, and growth in the investment portfolio.</w:t>
      </w:r>
    </w:p>
    <w:p w14:paraId="5EA1DFFC" w14:textId="77777777" w:rsidR="003C66EB" w:rsidRDefault="00D96C4E">
      <w:pPr>
        <w:spacing w:before="60"/>
        <w:jc w:val="both"/>
        <w:textAlignment w:val="top"/>
      </w:pPr>
      <w:r>
        <w:rPr>
          <w:rFonts w:ascii="Arial" w:eastAsia="宋体" w:hAnsi="Arial" w:cs="Arial"/>
          <w:b/>
          <w:bCs/>
          <w:i/>
          <w:iCs/>
          <w:color w:val="000000"/>
          <w:sz w:val="20"/>
          <w:szCs w:val="20"/>
        </w:rPr>
        <w:t>Provision for Credit Losses</w:t>
      </w:r>
    </w:p>
    <w:p w14:paraId="5EA1DFFD" w14:textId="77777777" w:rsidR="003C66EB" w:rsidRDefault="00D96C4E">
      <w:pPr>
        <w:spacing w:before="120"/>
        <w:ind w:hanging="360"/>
        <w:jc w:val="both"/>
        <w:textAlignment w:val="top"/>
      </w:pPr>
      <w:r>
        <w:rPr>
          <w:rFonts w:ascii="Arial" w:eastAsia="宋体" w:hAnsi="Arial" w:cs="Arial"/>
          <w:color w:val="000000"/>
          <w:sz w:val="20"/>
          <w:szCs w:val="20"/>
        </w:rPr>
        <w:t>•The provision for credit losses wa</w:t>
      </w:r>
      <w:r>
        <w:rPr>
          <w:rFonts w:ascii="Arial" w:eastAsia="宋体" w:hAnsi="Arial" w:cs="Arial"/>
          <w:color w:val="000000"/>
          <w:sz w:val="20"/>
          <w:szCs w:val="20"/>
        </w:rPr>
        <w:t>s a $9 million reserve release in the first quarter of 2021, compared to an expense of $36 million in the same period in 2020, which reflects a shift in management’s economic outlook toward economic expansion and limited negative credit migration within ou</w:t>
      </w:r>
      <w:r>
        <w:rPr>
          <w:rFonts w:ascii="Arial" w:eastAsia="宋体" w:hAnsi="Arial" w:cs="Arial"/>
          <w:color w:val="000000"/>
          <w:sz w:val="20"/>
          <w:szCs w:val="20"/>
        </w:rPr>
        <w:t>r loan portfolio.</w:t>
      </w:r>
    </w:p>
    <w:p w14:paraId="5EA1DFFE" w14:textId="77777777" w:rsidR="003C66EB" w:rsidRDefault="00D96C4E">
      <w:pPr>
        <w:spacing w:before="60"/>
        <w:jc w:val="both"/>
        <w:textAlignment w:val="top"/>
      </w:pPr>
      <w:r>
        <w:rPr>
          <w:rFonts w:ascii="Arial" w:eastAsia="宋体" w:hAnsi="Arial" w:cs="Arial"/>
          <w:b/>
          <w:bCs/>
          <w:i/>
          <w:iCs/>
          <w:color w:val="000000"/>
          <w:sz w:val="20"/>
          <w:szCs w:val="20"/>
        </w:rPr>
        <w:t>Expenses</w:t>
      </w:r>
    </w:p>
    <w:p w14:paraId="5EA1DFFF" w14:textId="77777777" w:rsidR="003C66EB" w:rsidRDefault="00D96C4E">
      <w:pPr>
        <w:spacing w:before="60"/>
        <w:ind w:hanging="360"/>
        <w:jc w:val="both"/>
        <w:textAlignment w:val="top"/>
      </w:pPr>
      <w:r>
        <w:rPr>
          <w:rFonts w:ascii="Arial" w:eastAsia="宋体" w:hAnsi="Arial" w:cs="Arial"/>
          <w:color w:val="000000"/>
          <w:sz w:val="20"/>
          <w:szCs w:val="20"/>
        </w:rPr>
        <w:t>•Total expenses increased 3% in the first quarter of 2021 compared to the same period in 2020, primarily reflecting higher notable items. Currency translation increased expenses by 2% in the first quarter of 2021, relative to the</w:t>
      </w:r>
      <w:r>
        <w:rPr>
          <w:rFonts w:ascii="Arial" w:eastAsia="宋体" w:hAnsi="Arial" w:cs="Arial"/>
          <w:color w:val="000000"/>
          <w:sz w:val="20"/>
          <w:szCs w:val="20"/>
        </w:rPr>
        <w:t xml:space="preserve"> same period in 2020.</w:t>
      </w:r>
    </w:p>
    <w:p w14:paraId="5EA1E000" w14:textId="77777777" w:rsidR="003C66EB" w:rsidRDefault="00D96C4E">
      <w:pPr>
        <w:spacing w:before="60"/>
        <w:ind w:hanging="360"/>
        <w:jc w:val="both"/>
        <w:textAlignment w:val="top"/>
      </w:pPr>
      <w:r>
        <w:rPr>
          <w:rFonts w:ascii="Arial" w:eastAsia="宋体" w:hAnsi="Arial" w:cs="Arial"/>
          <w:color w:val="000000"/>
          <w:sz w:val="20"/>
          <w:szCs w:val="20"/>
        </w:rPr>
        <w:t>•The impact of notable items in the first quarter of 2021 includes:</w:t>
      </w:r>
    </w:p>
    <w:p w14:paraId="5EA1E001"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legal and other expenses of approximately $29 million, including $20 million in information systems and communications, $8 million in transaction processing services</w:t>
      </w:r>
      <w:r>
        <w:rPr>
          <w:rFonts w:ascii="Arial" w:eastAsia="宋体" w:hAnsi="Arial" w:cs="Arial"/>
          <w:color w:val="000000"/>
          <w:sz w:val="20"/>
          <w:szCs w:val="20"/>
        </w:rPr>
        <w:t xml:space="preserve"> and $1 million in other expenses.</w:t>
      </w:r>
    </w:p>
    <w:p w14:paraId="5EA1E002"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$10 million, primarily related to CRD; and</w:t>
      </w:r>
    </w:p>
    <w:p w14:paraId="5EA1E003"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costs of $5 million due to the partial redemption of outstanding Series F non-cumulative perpetual preferred stock </w:t>
      </w:r>
      <w:r>
        <w:rPr>
          <w:rFonts w:ascii="Arial" w:eastAsia="宋体" w:hAnsi="Arial" w:cs="Arial"/>
          <w:color w:val="000000"/>
          <w:sz w:val="20"/>
          <w:szCs w:val="20"/>
        </w:rPr>
        <w:t>representing the difference between the redemption value and the net carrying value of the preferred stock.</w:t>
      </w:r>
    </w:p>
    <w:p w14:paraId="5EA1E004" w14:textId="77777777" w:rsidR="003C66EB" w:rsidRDefault="00D96C4E">
      <w:pPr>
        <w:ind w:firstLine="450"/>
        <w:jc w:val="right"/>
      </w:pPr>
      <w:r>
        <w:rPr>
          <w:rFonts w:ascii="Arial" w:eastAsia="宋体" w:hAnsi="Arial" w:cs="Arial"/>
          <w:color w:val="000000"/>
          <w:sz w:val="18"/>
          <w:szCs w:val="18"/>
        </w:rPr>
        <w:t>State Street Corporation | 8</w:t>
      </w:r>
    </w:p>
    <w:p w14:paraId="5EA1E005" w14:textId="77777777" w:rsidR="003C66EB" w:rsidRDefault="003C66EB">
      <w:pPr>
        <w:ind w:firstLine="450"/>
        <w:jc w:val="center"/>
      </w:pPr>
    </w:p>
    <w:p w14:paraId="5EA1E006" w14:textId="77777777" w:rsidR="003C66EB" w:rsidRDefault="00D96C4E">
      <w:r>
        <w:pict w14:anchorId="5EA287B8">
          <v:rect id="_x0000_i1032" style="width:415.3pt;height:1.5pt" o:hralign="center" o:hrstd="t" o:hr="t" fillcolor="#a0a0a0" stroked="f"/>
        </w:pict>
      </w:r>
    </w:p>
    <w:p w14:paraId="5EA1E007"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008" w14:textId="77777777" w:rsidR="003C66EB" w:rsidRDefault="00D96C4E">
      <w:pPr>
        <w:ind w:firstLine="450"/>
        <w:jc w:val="center"/>
      </w:pPr>
      <w:r>
        <w:rPr>
          <w:rFonts w:ascii="Arial" w:eastAsia="宋体" w:hAnsi="Arial" w:cs="Arial"/>
          <w:b/>
          <w:bCs/>
          <w:color w:val="000000"/>
          <w:sz w:val="20"/>
          <w:szCs w:val="20"/>
        </w:rPr>
        <w:t>AND RESULTS OF OPERATIONS</w:t>
      </w:r>
    </w:p>
    <w:p w14:paraId="5EA1E009" w14:textId="77777777" w:rsidR="003C66EB" w:rsidRDefault="00D96C4E">
      <w:pPr>
        <w:spacing w:before="60"/>
        <w:ind w:hanging="360"/>
        <w:jc w:val="both"/>
        <w:textAlignment w:val="top"/>
      </w:pPr>
      <w:r>
        <w:rPr>
          <w:rFonts w:ascii="Arial" w:eastAsia="宋体" w:hAnsi="Arial" w:cs="Arial"/>
          <w:color w:val="000000"/>
          <w:sz w:val="20"/>
          <w:szCs w:val="20"/>
        </w:rPr>
        <w:t>•The impact of notable items i</w:t>
      </w:r>
      <w:r>
        <w:rPr>
          <w:rFonts w:ascii="Arial" w:eastAsia="宋体" w:hAnsi="Arial" w:cs="Arial"/>
          <w:color w:val="000000"/>
          <w:sz w:val="20"/>
          <w:szCs w:val="20"/>
        </w:rPr>
        <w:t>n the first quarter of 2020 includes:</w:t>
      </w:r>
    </w:p>
    <w:p w14:paraId="5EA1E00A"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$11 million, primarily related to CRD; and</w:t>
      </w:r>
    </w:p>
    <w:p w14:paraId="5EA1E00B"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costs of $9 million due to the redemption of all outstanding Series C non-cumulative perpetual preferred stock represent</w:t>
      </w:r>
      <w:r>
        <w:rPr>
          <w:rFonts w:ascii="Arial" w:eastAsia="宋体" w:hAnsi="Arial" w:cs="Arial"/>
          <w:color w:val="000000"/>
          <w:sz w:val="20"/>
          <w:szCs w:val="20"/>
        </w:rPr>
        <w:t>ing the difference between the redemption value and the net carrying value of the preferred stock.</w:t>
      </w:r>
    </w:p>
    <w:p w14:paraId="5EA1E00C" w14:textId="77777777" w:rsidR="003C66EB" w:rsidRDefault="00D96C4E">
      <w:pPr>
        <w:spacing w:before="60"/>
        <w:jc w:val="both"/>
        <w:textAlignment w:val="top"/>
      </w:pPr>
      <w:r>
        <w:rPr>
          <w:rFonts w:ascii="Arial" w:eastAsia="宋体" w:hAnsi="Arial" w:cs="Arial"/>
          <w:b/>
          <w:bCs/>
          <w:i/>
          <w:iCs/>
          <w:color w:val="000000"/>
          <w:sz w:val="20"/>
          <w:szCs w:val="20"/>
        </w:rPr>
        <w:t>AUC/A and AUM</w:t>
      </w:r>
    </w:p>
    <w:p w14:paraId="5EA1E00D" w14:textId="77777777" w:rsidR="003C66EB" w:rsidRDefault="00D96C4E">
      <w:pPr>
        <w:spacing w:before="60"/>
        <w:ind w:hanging="360"/>
        <w:jc w:val="both"/>
        <w:textAlignment w:val="top"/>
      </w:pPr>
      <w:r>
        <w:rPr>
          <w:rFonts w:ascii="Arial" w:eastAsia="宋体" w:hAnsi="Arial" w:cs="Arial"/>
          <w:color w:val="000000"/>
          <w:sz w:val="20"/>
          <w:szCs w:val="20"/>
        </w:rPr>
        <w:t xml:space="preserve">•AUC/A of $40.26 trillion increased 26% as of March 31, 2021 compared to March 31, 2020, primarily due to higher period-end market levels, net </w:t>
      </w:r>
      <w:r>
        <w:rPr>
          <w:rFonts w:ascii="Arial" w:eastAsia="宋体" w:hAnsi="Arial" w:cs="Arial"/>
          <w:color w:val="000000"/>
          <w:sz w:val="20"/>
          <w:szCs w:val="20"/>
        </w:rPr>
        <w:t>new business growth and client flows. In the first quarter of 2021, newly announced asset servicing mandates totaled approximately $343 billion. Servicing assets remaining to be installed in future periods totaled approximately $463 billion as of March 31,</w:t>
      </w:r>
      <w:r>
        <w:rPr>
          <w:rFonts w:ascii="Arial" w:eastAsia="宋体" w:hAnsi="Arial" w:cs="Arial"/>
          <w:color w:val="000000"/>
          <w:sz w:val="20"/>
          <w:szCs w:val="20"/>
        </w:rPr>
        <w:t xml:space="preserve"> 2021, of which approximately one-third is attributed to State Street Alpha.</w:t>
      </w:r>
    </w:p>
    <w:p w14:paraId="5EA1E00E" w14:textId="77777777" w:rsidR="003C66EB" w:rsidRDefault="00D96C4E">
      <w:pPr>
        <w:spacing w:before="60"/>
        <w:ind w:hanging="360"/>
        <w:jc w:val="both"/>
        <w:textAlignment w:val="top"/>
      </w:pPr>
      <w:r>
        <w:rPr>
          <w:rFonts w:ascii="Arial" w:eastAsia="宋体" w:hAnsi="Arial" w:cs="Arial"/>
          <w:color w:val="000000"/>
          <w:sz w:val="20"/>
          <w:szCs w:val="20"/>
        </w:rPr>
        <w:t xml:space="preserve">•AUM of $3.59 trillion increased 34% as of March 31, 2021 compared to March 31, 2020, primarily due to higher period-end market levels and net inflows from ETFs and cash, </w:t>
      </w:r>
      <w:r>
        <w:rPr>
          <w:rFonts w:ascii="Arial" w:eastAsia="宋体" w:hAnsi="Arial" w:cs="Arial"/>
          <w:color w:val="000000"/>
          <w:sz w:val="20"/>
          <w:szCs w:val="20"/>
        </w:rPr>
        <w:t>partially offset by institutional net outflows.</w:t>
      </w:r>
    </w:p>
    <w:p w14:paraId="5EA1E00F" w14:textId="77777777" w:rsidR="003C66EB" w:rsidRDefault="00D96C4E">
      <w:pPr>
        <w:spacing w:before="60"/>
        <w:jc w:val="both"/>
        <w:textAlignment w:val="top"/>
      </w:pPr>
      <w:r>
        <w:rPr>
          <w:rFonts w:ascii="Arial" w:eastAsia="宋体" w:hAnsi="Arial" w:cs="Arial"/>
          <w:b/>
          <w:bCs/>
          <w:i/>
          <w:iCs/>
          <w:color w:val="000000"/>
          <w:sz w:val="20"/>
          <w:szCs w:val="20"/>
        </w:rPr>
        <w:t xml:space="preserve">Capital </w:t>
      </w:r>
    </w:p>
    <w:p w14:paraId="5EA1E010" w14:textId="77777777" w:rsidR="003C66EB" w:rsidRDefault="00D96C4E">
      <w:pPr>
        <w:spacing w:before="60"/>
        <w:ind w:hanging="360"/>
        <w:jc w:val="both"/>
        <w:textAlignment w:val="top"/>
      </w:pPr>
      <w:r>
        <w:rPr>
          <w:rFonts w:ascii="Arial" w:eastAsia="宋体" w:hAnsi="Arial" w:cs="Arial"/>
          <w:color w:val="000000"/>
          <w:sz w:val="20"/>
          <w:szCs w:val="20"/>
        </w:rPr>
        <w:t xml:space="preserve">•In the first quarter of 2021, we returned a total of approximately $659 million to our shareholders in the form of common stock dividends and share repurchases. </w:t>
      </w:r>
    </w:p>
    <w:p w14:paraId="5EA1E011"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We declared common stock dividends </w:t>
      </w:r>
      <w:r>
        <w:rPr>
          <w:rFonts w:ascii="Arial" w:eastAsia="宋体" w:hAnsi="Arial" w:cs="Arial"/>
          <w:color w:val="000000"/>
          <w:sz w:val="20"/>
          <w:szCs w:val="20"/>
        </w:rPr>
        <w:t>of $0.52 per share, totaling $182 million in the first quarter of 2021, compared to $0.52 per share, totaling $183 million in the first quarter of 2020.</w:t>
      </w:r>
    </w:p>
    <w:p w14:paraId="5EA1E012"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the first quarter of 2021, we acquired 6.2 million shares of common stock, under a share repurchase</w:t>
      </w:r>
      <w:r>
        <w:rPr>
          <w:rFonts w:ascii="Arial" w:eastAsia="宋体" w:hAnsi="Arial" w:cs="Arial"/>
          <w:color w:val="000000"/>
          <w:sz w:val="20"/>
          <w:szCs w:val="20"/>
        </w:rPr>
        <w:t xml:space="preserve"> program approved by our Board in January 2021, at an average per share cost of $76.21 and an aggregate cost of approximately $475 million. In the first quarter of 2020, we acquired 6.5 million shares of common stock at an average per share cost of $77.35 </w:t>
      </w:r>
      <w:r>
        <w:rPr>
          <w:rFonts w:ascii="Arial" w:eastAsia="宋体" w:hAnsi="Arial" w:cs="Arial"/>
          <w:color w:val="000000"/>
          <w:sz w:val="20"/>
          <w:szCs w:val="20"/>
        </w:rPr>
        <w:t xml:space="preserve">and an aggregate cost of approximately $500 million. </w:t>
      </w:r>
    </w:p>
    <w:p w14:paraId="5EA1E013" w14:textId="77777777" w:rsidR="003C66EB" w:rsidRDefault="00D96C4E">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April 2021, our Board authorized a share repurchase program for the purchase of up to $425 million of our common stock through June 30, 2021, in compliance with the limit set by the Federal Reserve.</w:t>
      </w:r>
    </w:p>
    <w:p w14:paraId="5EA1E014" w14:textId="77777777" w:rsidR="003C66EB" w:rsidRDefault="00D96C4E">
      <w:pPr>
        <w:spacing w:before="60"/>
        <w:ind w:hanging="360"/>
        <w:jc w:val="both"/>
        <w:textAlignment w:val="top"/>
      </w:pPr>
      <w:r>
        <w:rPr>
          <w:rFonts w:ascii="Arial" w:eastAsia="宋体" w:hAnsi="Arial" w:cs="Arial"/>
          <w:color w:val="000000"/>
          <w:sz w:val="20"/>
          <w:szCs w:val="20"/>
        </w:rPr>
        <w:t>•Our CET1 capital ratio decreased to 10.8% as of March 31, 2021, compared to 12.3% as of December 31, 2020, primarily due to an episodic increase in risk-weighted assets related to FX trading and overdraft activity, as well as lower capital related to acc</w:t>
      </w:r>
      <w:r>
        <w:rPr>
          <w:rFonts w:ascii="Arial" w:eastAsia="宋体" w:hAnsi="Arial" w:cs="Arial"/>
          <w:color w:val="000000"/>
          <w:sz w:val="20"/>
          <w:szCs w:val="20"/>
        </w:rPr>
        <w:t>umulated other comprehensive income and intangible assets. Our Tier 1 leverage ratio decreased to 5.4% as of March 31, 2021 compared to 6.4% as of December 31, 2020, primarily due to an increase in adjusted average assets driven by higher deposits, partial</w:t>
      </w:r>
      <w:r>
        <w:rPr>
          <w:rFonts w:ascii="Arial" w:eastAsia="宋体" w:hAnsi="Arial" w:cs="Arial"/>
          <w:color w:val="000000"/>
          <w:sz w:val="20"/>
          <w:szCs w:val="20"/>
        </w:rPr>
        <w:t>ly offset by higher retained earnings. As of both March 31, 2021 and December 31, 2020, standardized capital ratios were binding.</w:t>
      </w:r>
    </w:p>
    <w:p w14:paraId="5EA1E015" w14:textId="77777777" w:rsidR="003C66EB" w:rsidRDefault="00D96C4E">
      <w:pPr>
        <w:spacing w:before="90"/>
        <w:textAlignment w:val="top"/>
      </w:pPr>
      <w:r>
        <w:rPr>
          <w:rFonts w:ascii="Arial" w:eastAsia="宋体" w:hAnsi="Arial" w:cs="Arial"/>
          <w:i/>
          <w:iCs/>
          <w:color w:val="000000"/>
          <w:sz w:val="20"/>
          <w:szCs w:val="20"/>
        </w:rPr>
        <w:t>Capital Redemptions</w:t>
      </w:r>
    </w:p>
    <w:p w14:paraId="5EA1E016" w14:textId="77777777" w:rsidR="003C66EB" w:rsidRDefault="00D96C4E">
      <w:pPr>
        <w:spacing w:before="60"/>
        <w:ind w:hanging="360"/>
        <w:jc w:val="both"/>
        <w:textAlignment w:val="top"/>
      </w:pPr>
      <w:r>
        <w:rPr>
          <w:rFonts w:ascii="Arial" w:eastAsia="宋体" w:hAnsi="Arial" w:cs="Arial"/>
          <w:color w:val="000000"/>
          <w:sz w:val="20"/>
          <w:szCs w:val="20"/>
        </w:rPr>
        <w:t xml:space="preserve">•On March 15, 2021, we redeemed an aggregate of $500 million, or 5,000 of the 7,500 outstanding shares of </w:t>
      </w:r>
      <w:r>
        <w:rPr>
          <w:rFonts w:ascii="Arial" w:eastAsia="宋体" w:hAnsi="Arial" w:cs="Arial"/>
          <w:color w:val="000000"/>
          <w:sz w:val="20"/>
          <w:szCs w:val="20"/>
        </w:rPr>
        <w:t>our non-cumulative perpetual preferred stock, Series F, for cash at a redemption price of $100,000 per share (equivalent to $1,000 per depositary share) plus all declared and unpaid dividends.</w:t>
      </w:r>
    </w:p>
    <w:p w14:paraId="5EA1E017" w14:textId="77777777" w:rsidR="003C66EB" w:rsidRDefault="00D96C4E">
      <w:pPr>
        <w:spacing w:before="60"/>
        <w:textAlignment w:val="top"/>
      </w:pPr>
      <w:r>
        <w:rPr>
          <w:rFonts w:ascii="Arial" w:eastAsia="宋体" w:hAnsi="Arial" w:cs="Arial"/>
          <w:b/>
          <w:bCs/>
          <w:i/>
          <w:iCs/>
          <w:color w:val="000000"/>
          <w:sz w:val="20"/>
          <w:szCs w:val="20"/>
        </w:rPr>
        <w:t xml:space="preserve">Debt Issuances </w:t>
      </w:r>
    </w:p>
    <w:p w14:paraId="5EA1E018" w14:textId="77777777" w:rsidR="003C66EB" w:rsidRDefault="00D96C4E">
      <w:pPr>
        <w:spacing w:before="60"/>
        <w:ind w:hanging="360"/>
        <w:jc w:val="both"/>
        <w:textAlignment w:val="top"/>
      </w:pPr>
      <w:r>
        <w:rPr>
          <w:rFonts w:ascii="Arial" w:eastAsia="宋体" w:hAnsi="Arial" w:cs="Arial"/>
          <w:color w:val="000000"/>
          <w:sz w:val="20"/>
          <w:szCs w:val="20"/>
        </w:rPr>
        <w:t>•On March 3, 2021, we issued $850 million aggre</w:t>
      </w:r>
      <w:r>
        <w:rPr>
          <w:rFonts w:ascii="Arial" w:eastAsia="宋体" w:hAnsi="Arial" w:cs="Arial"/>
          <w:color w:val="000000"/>
          <w:sz w:val="20"/>
          <w:szCs w:val="20"/>
        </w:rPr>
        <w:t>gate principal amount of 2.200% Senior Subordinated Notes due 2031. The offering was structured utilizing an underwriting syndicate substantially made up of Minority-, Women- or Veteran-owned Business Enterprises (MWVBE) as bookrunners and co-managers.</w:t>
      </w:r>
    </w:p>
    <w:p w14:paraId="5EA1E019" w14:textId="77777777" w:rsidR="003C66EB" w:rsidRDefault="00D96C4E">
      <w:pPr>
        <w:ind w:firstLine="450"/>
        <w:jc w:val="right"/>
      </w:pPr>
      <w:r>
        <w:rPr>
          <w:rFonts w:ascii="Arial" w:eastAsia="宋体" w:hAnsi="Arial" w:cs="Arial"/>
          <w:color w:val="000000"/>
          <w:sz w:val="18"/>
          <w:szCs w:val="18"/>
        </w:rPr>
        <w:t>State Street Corporation | 9</w:t>
      </w:r>
    </w:p>
    <w:p w14:paraId="5EA1E01A" w14:textId="77777777" w:rsidR="003C66EB" w:rsidRDefault="003C66EB">
      <w:pPr>
        <w:ind w:firstLine="450"/>
        <w:jc w:val="center"/>
      </w:pPr>
    </w:p>
    <w:p w14:paraId="5EA1E01B" w14:textId="77777777" w:rsidR="003C66EB" w:rsidRDefault="00D96C4E">
      <w:r>
        <w:pict w14:anchorId="5EA287B9">
          <v:rect id="_x0000_i1033" style="width:415.3pt;height:1.5pt" o:hralign="center" o:hrstd="t" o:hr="t" fillcolor="#a0a0a0" stroked="f"/>
        </w:pict>
      </w:r>
    </w:p>
    <w:p w14:paraId="5EA1E01C"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01D" w14:textId="77777777" w:rsidR="003C66EB" w:rsidRDefault="00D96C4E">
      <w:pPr>
        <w:ind w:firstLine="450"/>
        <w:jc w:val="center"/>
      </w:pPr>
      <w:r>
        <w:rPr>
          <w:rFonts w:ascii="Arial" w:eastAsia="宋体" w:hAnsi="Arial" w:cs="Arial"/>
          <w:b/>
          <w:bCs/>
          <w:color w:val="000000"/>
          <w:sz w:val="20"/>
          <w:szCs w:val="20"/>
        </w:rPr>
        <w:t>AND RESULTS OF OPERATIONS</w:t>
      </w:r>
    </w:p>
    <w:p w14:paraId="5EA1E01E" w14:textId="77777777" w:rsidR="003C66EB" w:rsidRDefault="00D96C4E">
      <w:pPr>
        <w:spacing w:before="90"/>
        <w:jc w:val="both"/>
        <w:textAlignment w:val="top"/>
      </w:pPr>
      <w:r>
        <w:rPr>
          <w:rFonts w:ascii="Arial" w:eastAsia="宋体" w:hAnsi="Arial" w:cs="Arial"/>
          <w:b/>
          <w:bCs/>
          <w:color w:val="000000"/>
          <w:sz w:val="20"/>
          <w:szCs w:val="20"/>
        </w:rPr>
        <w:t>CONSOLIDATED RESULTS OF OPERATIONS</w:t>
      </w:r>
    </w:p>
    <w:p w14:paraId="5EA1E01F" w14:textId="77777777" w:rsidR="003C66EB" w:rsidRDefault="00D96C4E">
      <w:pPr>
        <w:spacing w:before="60"/>
        <w:ind w:firstLine="450"/>
        <w:jc w:val="both"/>
        <w:textAlignment w:val="top"/>
      </w:pPr>
      <w:r>
        <w:rPr>
          <w:rFonts w:ascii="Arial" w:eastAsia="宋体" w:hAnsi="Arial" w:cs="Arial"/>
          <w:color w:val="000000"/>
          <w:sz w:val="20"/>
          <w:szCs w:val="20"/>
        </w:rPr>
        <w:t>This section discusses our consolidated results of operations for the first quarter of 2021 compared to</w:t>
      </w:r>
      <w:r>
        <w:rPr>
          <w:rFonts w:ascii="Arial" w:eastAsia="宋体" w:hAnsi="Arial" w:cs="Arial"/>
          <w:color w:val="000000"/>
          <w:sz w:val="20"/>
          <w:szCs w:val="20"/>
        </w:rPr>
        <w:t xml:space="preserve"> the same period in 2020 and should be read in conjunction with the consolidated financial statements and accompanying notes to the consolidated financial statements in this Form 10-Q.</w:t>
      </w:r>
    </w:p>
    <w:p w14:paraId="5EA1E020" w14:textId="77777777" w:rsidR="003C66EB" w:rsidRDefault="00D96C4E">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2975"/>
        <w:gridCol w:w="37"/>
        <w:gridCol w:w="104"/>
        <w:gridCol w:w="1471"/>
        <w:gridCol w:w="36"/>
        <w:gridCol w:w="36"/>
        <w:gridCol w:w="58"/>
        <w:gridCol w:w="36"/>
        <w:gridCol w:w="104"/>
        <w:gridCol w:w="1448"/>
        <w:gridCol w:w="36"/>
        <w:gridCol w:w="36"/>
        <w:gridCol w:w="58"/>
        <w:gridCol w:w="36"/>
        <w:gridCol w:w="36"/>
        <w:gridCol w:w="36"/>
        <w:gridCol w:w="36"/>
        <w:gridCol w:w="36"/>
        <w:gridCol w:w="37"/>
        <w:gridCol w:w="1168"/>
        <w:gridCol w:w="154"/>
        <w:gridCol w:w="36"/>
        <w:gridCol w:w="36"/>
        <w:gridCol w:w="36"/>
        <w:gridCol w:w="36"/>
        <w:gridCol w:w="36"/>
        <w:gridCol w:w="36"/>
        <w:gridCol w:w="36"/>
        <w:gridCol w:w="36"/>
        <w:gridCol w:w="36"/>
      </w:tblGrid>
      <w:tr w:rsidR="003C66EB" w14:paraId="5EA1E038" w14:textId="77777777">
        <w:tc>
          <w:tcPr>
            <w:tcW w:w="50" w:type="pct"/>
            <w:shd w:val="clear" w:color="auto" w:fill="auto"/>
          </w:tcPr>
          <w:p w14:paraId="5EA1E021" w14:textId="77777777" w:rsidR="003C66EB" w:rsidRDefault="003C66EB">
            <w:pPr>
              <w:rPr>
                <w:rFonts w:ascii="宋体"/>
              </w:rPr>
            </w:pPr>
          </w:p>
        </w:tc>
        <w:tc>
          <w:tcPr>
            <w:tcW w:w="1926" w:type="pct"/>
            <w:shd w:val="clear" w:color="auto" w:fill="auto"/>
          </w:tcPr>
          <w:p w14:paraId="5EA1E022" w14:textId="77777777" w:rsidR="003C66EB" w:rsidRDefault="003C66EB">
            <w:pPr>
              <w:rPr>
                <w:rFonts w:ascii="宋体"/>
              </w:rPr>
            </w:pPr>
          </w:p>
        </w:tc>
        <w:tc>
          <w:tcPr>
            <w:tcW w:w="5" w:type="pct"/>
            <w:shd w:val="clear" w:color="auto" w:fill="auto"/>
          </w:tcPr>
          <w:p w14:paraId="5EA1E023" w14:textId="77777777" w:rsidR="003C66EB" w:rsidRDefault="003C66EB">
            <w:pPr>
              <w:rPr>
                <w:rFonts w:ascii="宋体"/>
              </w:rPr>
            </w:pPr>
          </w:p>
        </w:tc>
        <w:tc>
          <w:tcPr>
            <w:tcW w:w="50" w:type="pct"/>
            <w:shd w:val="clear" w:color="auto" w:fill="auto"/>
          </w:tcPr>
          <w:p w14:paraId="5EA1E024" w14:textId="77777777" w:rsidR="003C66EB" w:rsidRDefault="003C66EB">
            <w:pPr>
              <w:rPr>
                <w:rFonts w:ascii="宋体"/>
              </w:rPr>
            </w:pPr>
          </w:p>
        </w:tc>
        <w:tc>
          <w:tcPr>
            <w:tcW w:w="966" w:type="pct"/>
            <w:shd w:val="clear" w:color="auto" w:fill="auto"/>
          </w:tcPr>
          <w:p w14:paraId="5EA1E025" w14:textId="77777777" w:rsidR="003C66EB" w:rsidRDefault="003C66EB">
            <w:pPr>
              <w:rPr>
                <w:rFonts w:ascii="宋体"/>
              </w:rPr>
            </w:pPr>
          </w:p>
        </w:tc>
        <w:tc>
          <w:tcPr>
            <w:tcW w:w="5" w:type="pct"/>
            <w:shd w:val="clear" w:color="auto" w:fill="auto"/>
          </w:tcPr>
          <w:p w14:paraId="5EA1E026" w14:textId="77777777" w:rsidR="003C66EB" w:rsidRDefault="003C66EB">
            <w:pPr>
              <w:rPr>
                <w:rFonts w:ascii="宋体"/>
              </w:rPr>
            </w:pPr>
          </w:p>
        </w:tc>
        <w:tc>
          <w:tcPr>
            <w:tcW w:w="5" w:type="pct"/>
            <w:shd w:val="clear" w:color="auto" w:fill="auto"/>
          </w:tcPr>
          <w:p w14:paraId="5EA1E027" w14:textId="77777777" w:rsidR="003C66EB" w:rsidRDefault="003C66EB">
            <w:pPr>
              <w:rPr>
                <w:rFonts w:ascii="宋体"/>
              </w:rPr>
            </w:pPr>
          </w:p>
        </w:tc>
        <w:tc>
          <w:tcPr>
            <w:tcW w:w="68" w:type="pct"/>
            <w:shd w:val="clear" w:color="auto" w:fill="auto"/>
          </w:tcPr>
          <w:p w14:paraId="5EA1E028" w14:textId="77777777" w:rsidR="003C66EB" w:rsidRDefault="003C66EB">
            <w:pPr>
              <w:rPr>
                <w:rFonts w:ascii="宋体"/>
              </w:rPr>
            </w:pPr>
          </w:p>
        </w:tc>
        <w:tc>
          <w:tcPr>
            <w:tcW w:w="5" w:type="pct"/>
            <w:shd w:val="clear" w:color="auto" w:fill="auto"/>
          </w:tcPr>
          <w:p w14:paraId="5EA1E029" w14:textId="77777777" w:rsidR="003C66EB" w:rsidRDefault="003C66EB">
            <w:pPr>
              <w:rPr>
                <w:rFonts w:ascii="宋体"/>
              </w:rPr>
            </w:pPr>
          </w:p>
        </w:tc>
        <w:tc>
          <w:tcPr>
            <w:tcW w:w="50" w:type="pct"/>
            <w:shd w:val="clear" w:color="auto" w:fill="auto"/>
          </w:tcPr>
          <w:p w14:paraId="5EA1E02A" w14:textId="77777777" w:rsidR="003C66EB" w:rsidRDefault="003C66EB">
            <w:pPr>
              <w:rPr>
                <w:rFonts w:ascii="宋体"/>
              </w:rPr>
            </w:pPr>
          </w:p>
        </w:tc>
        <w:tc>
          <w:tcPr>
            <w:tcW w:w="951" w:type="pct"/>
            <w:shd w:val="clear" w:color="auto" w:fill="auto"/>
          </w:tcPr>
          <w:p w14:paraId="5EA1E02B" w14:textId="77777777" w:rsidR="003C66EB" w:rsidRDefault="003C66EB">
            <w:pPr>
              <w:rPr>
                <w:rFonts w:ascii="宋体"/>
              </w:rPr>
            </w:pPr>
          </w:p>
        </w:tc>
        <w:tc>
          <w:tcPr>
            <w:tcW w:w="5" w:type="pct"/>
            <w:shd w:val="clear" w:color="auto" w:fill="auto"/>
          </w:tcPr>
          <w:p w14:paraId="5EA1E02C" w14:textId="77777777" w:rsidR="003C66EB" w:rsidRDefault="003C66EB">
            <w:pPr>
              <w:rPr>
                <w:rFonts w:ascii="宋体"/>
              </w:rPr>
            </w:pPr>
          </w:p>
        </w:tc>
        <w:tc>
          <w:tcPr>
            <w:tcW w:w="5" w:type="pct"/>
            <w:shd w:val="clear" w:color="auto" w:fill="auto"/>
          </w:tcPr>
          <w:p w14:paraId="5EA1E02D" w14:textId="77777777" w:rsidR="003C66EB" w:rsidRDefault="003C66EB">
            <w:pPr>
              <w:rPr>
                <w:rFonts w:ascii="宋体"/>
              </w:rPr>
            </w:pPr>
          </w:p>
        </w:tc>
        <w:tc>
          <w:tcPr>
            <w:tcW w:w="68" w:type="pct"/>
            <w:shd w:val="clear" w:color="auto" w:fill="auto"/>
          </w:tcPr>
          <w:p w14:paraId="5EA1E02E" w14:textId="77777777" w:rsidR="003C66EB" w:rsidRDefault="003C66EB">
            <w:pPr>
              <w:rPr>
                <w:rFonts w:ascii="宋体"/>
              </w:rPr>
            </w:pPr>
          </w:p>
        </w:tc>
        <w:tc>
          <w:tcPr>
            <w:tcW w:w="5" w:type="pct"/>
            <w:shd w:val="clear" w:color="auto" w:fill="auto"/>
          </w:tcPr>
          <w:p w14:paraId="5EA1E02F" w14:textId="77777777" w:rsidR="003C66EB" w:rsidRDefault="003C66EB">
            <w:pPr>
              <w:rPr>
                <w:rFonts w:ascii="宋体"/>
              </w:rPr>
            </w:pPr>
          </w:p>
        </w:tc>
        <w:tc>
          <w:tcPr>
            <w:tcW w:w="0" w:type="auto"/>
            <w:shd w:val="clear" w:color="auto" w:fill="auto"/>
          </w:tcPr>
          <w:p w14:paraId="5EA1E030" w14:textId="77777777" w:rsidR="003C66EB" w:rsidRDefault="003C66EB">
            <w:pPr>
              <w:rPr>
                <w:rFonts w:ascii="宋体"/>
                <w:vanish/>
              </w:rPr>
            </w:pPr>
          </w:p>
        </w:tc>
        <w:tc>
          <w:tcPr>
            <w:tcW w:w="0" w:type="auto"/>
            <w:gridSpan w:val="3"/>
            <w:shd w:val="clear" w:color="auto" w:fill="auto"/>
          </w:tcPr>
          <w:p w14:paraId="5EA1E031" w14:textId="77777777" w:rsidR="003C66EB" w:rsidRDefault="003C66EB">
            <w:pPr>
              <w:rPr>
                <w:rFonts w:ascii="宋体"/>
                <w:vanish/>
              </w:rPr>
            </w:pPr>
          </w:p>
        </w:tc>
        <w:tc>
          <w:tcPr>
            <w:tcW w:w="50" w:type="pct"/>
            <w:shd w:val="clear" w:color="auto" w:fill="auto"/>
          </w:tcPr>
          <w:p w14:paraId="5EA1E032" w14:textId="77777777" w:rsidR="003C66EB" w:rsidRDefault="003C66EB">
            <w:pPr>
              <w:rPr>
                <w:rFonts w:ascii="宋体"/>
              </w:rPr>
            </w:pPr>
          </w:p>
        </w:tc>
        <w:tc>
          <w:tcPr>
            <w:tcW w:w="778" w:type="pct"/>
            <w:shd w:val="clear" w:color="auto" w:fill="auto"/>
          </w:tcPr>
          <w:p w14:paraId="5EA1E033" w14:textId="77777777" w:rsidR="003C66EB" w:rsidRDefault="003C66EB">
            <w:pPr>
              <w:rPr>
                <w:rFonts w:ascii="宋体"/>
              </w:rPr>
            </w:pPr>
          </w:p>
        </w:tc>
        <w:tc>
          <w:tcPr>
            <w:tcW w:w="5" w:type="pct"/>
            <w:shd w:val="clear" w:color="auto" w:fill="auto"/>
          </w:tcPr>
          <w:p w14:paraId="5EA1E034" w14:textId="77777777" w:rsidR="003C66EB" w:rsidRDefault="003C66EB">
            <w:pPr>
              <w:rPr>
                <w:rFonts w:ascii="宋体"/>
              </w:rPr>
            </w:pPr>
          </w:p>
        </w:tc>
        <w:tc>
          <w:tcPr>
            <w:tcW w:w="0" w:type="auto"/>
            <w:gridSpan w:val="3"/>
            <w:shd w:val="clear" w:color="auto" w:fill="auto"/>
          </w:tcPr>
          <w:p w14:paraId="5EA1E035" w14:textId="77777777" w:rsidR="003C66EB" w:rsidRDefault="003C66EB">
            <w:pPr>
              <w:rPr>
                <w:rFonts w:ascii="宋体"/>
                <w:vanish/>
              </w:rPr>
            </w:pPr>
          </w:p>
        </w:tc>
        <w:tc>
          <w:tcPr>
            <w:tcW w:w="0" w:type="auto"/>
            <w:gridSpan w:val="3"/>
            <w:shd w:val="clear" w:color="auto" w:fill="auto"/>
          </w:tcPr>
          <w:p w14:paraId="5EA1E036" w14:textId="77777777" w:rsidR="003C66EB" w:rsidRDefault="003C66EB">
            <w:pPr>
              <w:rPr>
                <w:rFonts w:ascii="宋体"/>
                <w:vanish/>
              </w:rPr>
            </w:pPr>
          </w:p>
        </w:tc>
        <w:tc>
          <w:tcPr>
            <w:tcW w:w="0" w:type="auto"/>
            <w:gridSpan w:val="3"/>
            <w:shd w:val="clear" w:color="auto" w:fill="auto"/>
          </w:tcPr>
          <w:p w14:paraId="5EA1E037" w14:textId="77777777" w:rsidR="003C66EB" w:rsidRDefault="003C66EB">
            <w:pPr>
              <w:rPr>
                <w:rFonts w:ascii="宋体"/>
                <w:vanish/>
              </w:rPr>
            </w:pPr>
          </w:p>
        </w:tc>
      </w:tr>
      <w:tr w:rsidR="003C66EB" w14:paraId="5EA1E049" w14:textId="77777777">
        <w:tc>
          <w:tcPr>
            <w:tcW w:w="0" w:type="auto"/>
            <w:gridSpan w:val="16"/>
            <w:shd w:val="clear" w:color="auto" w:fill="auto"/>
            <w:tcMar>
              <w:top w:w="40" w:type="dxa"/>
              <w:left w:w="20" w:type="dxa"/>
              <w:bottom w:w="40" w:type="dxa"/>
              <w:right w:w="20" w:type="dxa"/>
            </w:tcMar>
            <w:vAlign w:val="bottom"/>
          </w:tcPr>
          <w:p w14:paraId="5EA1E039" w14:textId="77777777" w:rsidR="003C66EB" w:rsidRDefault="00D96C4E">
            <w:pPr>
              <w:textAlignment w:val="bottom"/>
            </w:pPr>
            <w:r>
              <w:rPr>
                <w:rFonts w:ascii="Arial" w:eastAsia="宋体" w:hAnsi="Arial" w:cs="Arial"/>
                <w:b/>
                <w:bCs/>
                <w:color w:val="000000"/>
                <w:sz w:val="16"/>
                <w:szCs w:val="16"/>
              </w:rPr>
              <w:t>TABLE 2: TOTAL REVENUE</w:t>
            </w:r>
          </w:p>
        </w:tc>
        <w:tc>
          <w:tcPr>
            <w:tcW w:w="0" w:type="auto"/>
            <w:shd w:val="clear" w:color="auto" w:fill="auto"/>
          </w:tcPr>
          <w:p w14:paraId="5EA1E03A" w14:textId="77777777" w:rsidR="003C66EB" w:rsidRDefault="003C66EB">
            <w:pPr>
              <w:rPr>
                <w:rFonts w:ascii="宋体"/>
              </w:rPr>
            </w:pPr>
          </w:p>
        </w:tc>
        <w:tc>
          <w:tcPr>
            <w:tcW w:w="0" w:type="auto"/>
            <w:shd w:val="clear" w:color="auto" w:fill="auto"/>
          </w:tcPr>
          <w:p w14:paraId="5EA1E03B" w14:textId="77777777" w:rsidR="003C66EB" w:rsidRDefault="003C66EB">
            <w:pPr>
              <w:rPr>
                <w:rFonts w:ascii="宋体"/>
              </w:rPr>
            </w:pPr>
          </w:p>
        </w:tc>
        <w:tc>
          <w:tcPr>
            <w:tcW w:w="0" w:type="auto"/>
            <w:shd w:val="clear" w:color="auto" w:fill="auto"/>
          </w:tcPr>
          <w:p w14:paraId="5EA1E03C" w14:textId="77777777" w:rsidR="003C66EB" w:rsidRDefault="003C66EB">
            <w:pPr>
              <w:rPr>
                <w:rFonts w:ascii="宋体"/>
              </w:rPr>
            </w:pPr>
          </w:p>
        </w:tc>
        <w:tc>
          <w:tcPr>
            <w:tcW w:w="0" w:type="auto"/>
            <w:shd w:val="clear" w:color="auto" w:fill="auto"/>
          </w:tcPr>
          <w:p w14:paraId="5EA1E03D" w14:textId="77777777" w:rsidR="003C66EB" w:rsidRDefault="003C66EB">
            <w:pPr>
              <w:rPr>
                <w:rFonts w:ascii="宋体"/>
              </w:rPr>
            </w:pPr>
          </w:p>
        </w:tc>
        <w:tc>
          <w:tcPr>
            <w:tcW w:w="0" w:type="auto"/>
            <w:shd w:val="clear" w:color="auto" w:fill="auto"/>
          </w:tcPr>
          <w:p w14:paraId="5EA1E03E" w14:textId="77777777" w:rsidR="003C66EB" w:rsidRDefault="003C66EB">
            <w:pPr>
              <w:rPr>
                <w:rFonts w:ascii="宋体"/>
              </w:rPr>
            </w:pPr>
          </w:p>
        </w:tc>
        <w:tc>
          <w:tcPr>
            <w:tcW w:w="0" w:type="auto"/>
            <w:shd w:val="clear" w:color="auto" w:fill="auto"/>
          </w:tcPr>
          <w:p w14:paraId="5EA1E03F" w14:textId="77777777" w:rsidR="003C66EB" w:rsidRDefault="003C66EB">
            <w:pPr>
              <w:rPr>
                <w:rFonts w:ascii="宋体"/>
              </w:rPr>
            </w:pPr>
          </w:p>
        </w:tc>
        <w:tc>
          <w:tcPr>
            <w:tcW w:w="0" w:type="auto"/>
            <w:shd w:val="clear" w:color="auto" w:fill="auto"/>
          </w:tcPr>
          <w:p w14:paraId="5EA1E040" w14:textId="77777777" w:rsidR="003C66EB" w:rsidRDefault="003C66EB">
            <w:pPr>
              <w:rPr>
                <w:rFonts w:ascii="宋体"/>
              </w:rPr>
            </w:pPr>
          </w:p>
        </w:tc>
        <w:tc>
          <w:tcPr>
            <w:tcW w:w="0" w:type="auto"/>
            <w:shd w:val="clear" w:color="auto" w:fill="auto"/>
          </w:tcPr>
          <w:p w14:paraId="5EA1E041" w14:textId="77777777" w:rsidR="003C66EB" w:rsidRDefault="003C66EB">
            <w:pPr>
              <w:rPr>
                <w:rFonts w:ascii="宋体"/>
              </w:rPr>
            </w:pPr>
          </w:p>
        </w:tc>
        <w:tc>
          <w:tcPr>
            <w:tcW w:w="0" w:type="auto"/>
            <w:shd w:val="clear" w:color="auto" w:fill="auto"/>
          </w:tcPr>
          <w:p w14:paraId="5EA1E042" w14:textId="77777777" w:rsidR="003C66EB" w:rsidRDefault="003C66EB">
            <w:pPr>
              <w:rPr>
                <w:rFonts w:ascii="宋体"/>
              </w:rPr>
            </w:pPr>
          </w:p>
        </w:tc>
        <w:tc>
          <w:tcPr>
            <w:tcW w:w="0" w:type="auto"/>
            <w:shd w:val="clear" w:color="auto" w:fill="auto"/>
          </w:tcPr>
          <w:p w14:paraId="5EA1E043" w14:textId="77777777" w:rsidR="003C66EB" w:rsidRDefault="003C66EB">
            <w:pPr>
              <w:rPr>
                <w:rFonts w:ascii="宋体"/>
              </w:rPr>
            </w:pPr>
          </w:p>
        </w:tc>
        <w:tc>
          <w:tcPr>
            <w:tcW w:w="0" w:type="auto"/>
            <w:shd w:val="clear" w:color="auto" w:fill="auto"/>
          </w:tcPr>
          <w:p w14:paraId="5EA1E044" w14:textId="77777777" w:rsidR="003C66EB" w:rsidRDefault="003C66EB">
            <w:pPr>
              <w:rPr>
                <w:rFonts w:ascii="宋体"/>
              </w:rPr>
            </w:pPr>
          </w:p>
        </w:tc>
        <w:tc>
          <w:tcPr>
            <w:tcW w:w="0" w:type="auto"/>
            <w:shd w:val="clear" w:color="auto" w:fill="auto"/>
          </w:tcPr>
          <w:p w14:paraId="5EA1E045" w14:textId="77777777" w:rsidR="003C66EB" w:rsidRDefault="003C66EB">
            <w:pPr>
              <w:rPr>
                <w:rFonts w:ascii="宋体"/>
              </w:rPr>
            </w:pPr>
          </w:p>
        </w:tc>
        <w:tc>
          <w:tcPr>
            <w:tcW w:w="0" w:type="auto"/>
            <w:shd w:val="clear" w:color="auto" w:fill="auto"/>
          </w:tcPr>
          <w:p w14:paraId="5EA1E046" w14:textId="77777777" w:rsidR="003C66EB" w:rsidRDefault="003C66EB">
            <w:pPr>
              <w:rPr>
                <w:rFonts w:ascii="宋体"/>
              </w:rPr>
            </w:pPr>
          </w:p>
        </w:tc>
        <w:tc>
          <w:tcPr>
            <w:tcW w:w="0" w:type="auto"/>
            <w:shd w:val="clear" w:color="auto" w:fill="auto"/>
          </w:tcPr>
          <w:p w14:paraId="5EA1E047" w14:textId="77777777" w:rsidR="003C66EB" w:rsidRDefault="003C66EB">
            <w:pPr>
              <w:rPr>
                <w:rFonts w:ascii="宋体"/>
              </w:rPr>
            </w:pPr>
          </w:p>
        </w:tc>
        <w:tc>
          <w:tcPr>
            <w:tcW w:w="0" w:type="auto"/>
            <w:shd w:val="clear" w:color="auto" w:fill="auto"/>
          </w:tcPr>
          <w:p w14:paraId="5EA1E048" w14:textId="77777777" w:rsidR="003C66EB" w:rsidRDefault="003C66EB">
            <w:pPr>
              <w:rPr>
                <w:rFonts w:ascii="宋体"/>
              </w:rPr>
            </w:pPr>
          </w:p>
        </w:tc>
      </w:tr>
      <w:tr w:rsidR="003C66EB" w14:paraId="5EA1E05D" w14:textId="77777777">
        <w:trPr>
          <w:hidden/>
        </w:trPr>
        <w:tc>
          <w:tcPr>
            <w:tcW w:w="0" w:type="auto"/>
            <w:gridSpan w:val="3"/>
            <w:shd w:val="clear" w:color="auto" w:fill="auto"/>
          </w:tcPr>
          <w:p w14:paraId="5EA1E04A" w14:textId="77777777" w:rsidR="003C66EB" w:rsidRDefault="003C66EB">
            <w:pPr>
              <w:rPr>
                <w:rFonts w:ascii="宋体"/>
                <w:vanish/>
              </w:rPr>
            </w:pPr>
          </w:p>
        </w:tc>
        <w:tc>
          <w:tcPr>
            <w:tcW w:w="0" w:type="auto"/>
            <w:gridSpan w:val="3"/>
            <w:shd w:val="clear" w:color="auto" w:fill="auto"/>
          </w:tcPr>
          <w:p w14:paraId="5EA1E04B" w14:textId="77777777" w:rsidR="003C66EB" w:rsidRDefault="003C66EB">
            <w:pPr>
              <w:rPr>
                <w:rFonts w:ascii="宋体"/>
                <w:vanish/>
              </w:rPr>
            </w:pPr>
          </w:p>
        </w:tc>
        <w:tc>
          <w:tcPr>
            <w:tcW w:w="0" w:type="auto"/>
            <w:gridSpan w:val="3"/>
            <w:shd w:val="clear" w:color="auto" w:fill="auto"/>
          </w:tcPr>
          <w:p w14:paraId="5EA1E04C" w14:textId="77777777" w:rsidR="003C66EB" w:rsidRDefault="003C66EB">
            <w:pPr>
              <w:rPr>
                <w:rFonts w:ascii="宋体"/>
                <w:vanish/>
              </w:rPr>
            </w:pPr>
          </w:p>
        </w:tc>
        <w:tc>
          <w:tcPr>
            <w:tcW w:w="0" w:type="auto"/>
            <w:gridSpan w:val="3"/>
            <w:shd w:val="clear" w:color="auto" w:fill="auto"/>
          </w:tcPr>
          <w:p w14:paraId="5EA1E04D" w14:textId="77777777" w:rsidR="003C66EB" w:rsidRDefault="003C66EB">
            <w:pPr>
              <w:rPr>
                <w:rFonts w:ascii="宋体"/>
                <w:vanish/>
              </w:rPr>
            </w:pPr>
          </w:p>
        </w:tc>
        <w:tc>
          <w:tcPr>
            <w:tcW w:w="0" w:type="auto"/>
            <w:gridSpan w:val="3"/>
            <w:shd w:val="clear" w:color="auto" w:fill="auto"/>
          </w:tcPr>
          <w:p w14:paraId="5EA1E04E" w14:textId="77777777" w:rsidR="003C66EB" w:rsidRDefault="003C66EB">
            <w:pPr>
              <w:rPr>
                <w:rFonts w:ascii="宋体"/>
                <w:vanish/>
              </w:rPr>
            </w:pPr>
          </w:p>
        </w:tc>
        <w:tc>
          <w:tcPr>
            <w:tcW w:w="0" w:type="auto"/>
            <w:shd w:val="clear" w:color="auto" w:fill="auto"/>
          </w:tcPr>
          <w:p w14:paraId="5EA1E04F" w14:textId="77777777" w:rsidR="003C66EB" w:rsidRDefault="003C66EB">
            <w:pPr>
              <w:rPr>
                <w:rFonts w:ascii="宋体"/>
                <w:vanish/>
              </w:rPr>
            </w:pPr>
          </w:p>
        </w:tc>
        <w:tc>
          <w:tcPr>
            <w:tcW w:w="0" w:type="auto"/>
            <w:gridSpan w:val="3"/>
            <w:shd w:val="clear" w:color="auto" w:fill="auto"/>
          </w:tcPr>
          <w:p w14:paraId="5EA1E050" w14:textId="77777777" w:rsidR="003C66EB" w:rsidRDefault="003C66EB">
            <w:pPr>
              <w:rPr>
                <w:rFonts w:ascii="宋体"/>
                <w:vanish/>
              </w:rPr>
            </w:pPr>
          </w:p>
        </w:tc>
        <w:tc>
          <w:tcPr>
            <w:tcW w:w="0" w:type="auto"/>
            <w:shd w:val="clear" w:color="auto" w:fill="auto"/>
          </w:tcPr>
          <w:p w14:paraId="5EA1E051" w14:textId="77777777" w:rsidR="003C66EB" w:rsidRDefault="003C66EB">
            <w:pPr>
              <w:rPr>
                <w:rFonts w:ascii="宋体"/>
              </w:rPr>
            </w:pPr>
          </w:p>
        </w:tc>
        <w:tc>
          <w:tcPr>
            <w:tcW w:w="0" w:type="auto"/>
            <w:shd w:val="clear" w:color="auto" w:fill="auto"/>
          </w:tcPr>
          <w:p w14:paraId="5EA1E052" w14:textId="77777777" w:rsidR="003C66EB" w:rsidRDefault="003C66EB">
            <w:pPr>
              <w:rPr>
                <w:rFonts w:ascii="宋体"/>
              </w:rPr>
            </w:pPr>
          </w:p>
        </w:tc>
        <w:tc>
          <w:tcPr>
            <w:tcW w:w="0" w:type="auto"/>
            <w:shd w:val="clear" w:color="auto" w:fill="auto"/>
          </w:tcPr>
          <w:p w14:paraId="5EA1E053" w14:textId="77777777" w:rsidR="003C66EB" w:rsidRDefault="003C66EB">
            <w:pPr>
              <w:rPr>
                <w:rFonts w:ascii="宋体"/>
              </w:rPr>
            </w:pPr>
          </w:p>
        </w:tc>
        <w:tc>
          <w:tcPr>
            <w:tcW w:w="0" w:type="auto"/>
            <w:shd w:val="clear" w:color="auto" w:fill="auto"/>
          </w:tcPr>
          <w:p w14:paraId="5EA1E054" w14:textId="77777777" w:rsidR="003C66EB" w:rsidRDefault="003C66EB">
            <w:pPr>
              <w:rPr>
                <w:rFonts w:ascii="宋体"/>
              </w:rPr>
            </w:pPr>
          </w:p>
        </w:tc>
        <w:tc>
          <w:tcPr>
            <w:tcW w:w="0" w:type="auto"/>
            <w:shd w:val="clear" w:color="auto" w:fill="auto"/>
          </w:tcPr>
          <w:p w14:paraId="5EA1E055" w14:textId="77777777" w:rsidR="003C66EB" w:rsidRDefault="003C66EB">
            <w:pPr>
              <w:rPr>
                <w:rFonts w:ascii="宋体"/>
              </w:rPr>
            </w:pPr>
          </w:p>
        </w:tc>
        <w:tc>
          <w:tcPr>
            <w:tcW w:w="0" w:type="auto"/>
            <w:shd w:val="clear" w:color="auto" w:fill="auto"/>
          </w:tcPr>
          <w:p w14:paraId="5EA1E056" w14:textId="77777777" w:rsidR="003C66EB" w:rsidRDefault="003C66EB">
            <w:pPr>
              <w:rPr>
                <w:rFonts w:ascii="宋体"/>
              </w:rPr>
            </w:pPr>
          </w:p>
        </w:tc>
        <w:tc>
          <w:tcPr>
            <w:tcW w:w="0" w:type="auto"/>
            <w:shd w:val="clear" w:color="auto" w:fill="auto"/>
          </w:tcPr>
          <w:p w14:paraId="5EA1E057" w14:textId="77777777" w:rsidR="003C66EB" w:rsidRDefault="003C66EB">
            <w:pPr>
              <w:rPr>
                <w:rFonts w:ascii="宋体"/>
              </w:rPr>
            </w:pPr>
          </w:p>
        </w:tc>
        <w:tc>
          <w:tcPr>
            <w:tcW w:w="0" w:type="auto"/>
            <w:shd w:val="clear" w:color="auto" w:fill="auto"/>
          </w:tcPr>
          <w:p w14:paraId="5EA1E058" w14:textId="77777777" w:rsidR="003C66EB" w:rsidRDefault="003C66EB">
            <w:pPr>
              <w:rPr>
                <w:rFonts w:ascii="宋体"/>
              </w:rPr>
            </w:pPr>
          </w:p>
        </w:tc>
        <w:tc>
          <w:tcPr>
            <w:tcW w:w="0" w:type="auto"/>
            <w:shd w:val="clear" w:color="auto" w:fill="auto"/>
          </w:tcPr>
          <w:p w14:paraId="5EA1E059" w14:textId="77777777" w:rsidR="003C66EB" w:rsidRDefault="003C66EB">
            <w:pPr>
              <w:rPr>
                <w:rFonts w:ascii="宋体"/>
              </w:rPr>
            </w:pPr>
          </w:p>
        </w:tc>
        <w:tc>
          <w:tcPr>
            <w:tcW w:w="0" w:type="auto"/>
            <w:shd w:val="clear" w:color="auto" w:fill="auto"/>
          </w:tcPr>
          <w:p w14:paraId="5EA1E05A" w14:textId="77777777" w:rsidR="003C66EB" w:rsidRDefault="003C66EB">
            <w:pPr>
              <w:rPr>
                <w:rFonts w:ascii="宋体"/>
              </w:rPr>
            </w:pPr>
          </w:p>
        </w:tc>
        <w:tc>
          <w:tcPr>
            <w:tcW w:w="0" w:type="auto"/>
            <w:shd w:val="clear" w:color="auto" w:fill="auto"/>
          </w:tcPr>
          <w:p w14:paraId="5EA1E05B" w14:textId="77777777" w:rsidR="003C66EB" w:rsidRDefault="003C66EB">
            <w:pPr>
              <w:rPr>
                <w:rFonts w:ascii="宋体"/>
              </w:rPr>
            </w:pPr>
          </w:p>
        </w:tc>
        <w:tc>
          <w:tcPr>
            <w:tcW w:w="0" w:type="auto"/>
            <w:shd w:val="clear" w:color="auto" w:fill="auto"/>
          </w:tcPr>
          <w:p w14:paraId="5EA1E05C" w14:textId="77777777" w:rsidR="003C66EB" w:rsidRDefault="003C66EB">
            <w:pPr>
              <w:rPr>
                <w:rFonts w:ascii="宋体"/>
              </w:rPr>
            </w:pPr>
          </w:p>
        </w:tc>
      </w:tr>
      <w:tr w:rsidR="003C66EB" w14:paraId="5EA1E069" w14:textId="77777777">
        <w:trPr>
          <w:hidden/>
        </w:trPr>
        <w:tc>
          <w:tcPr>
            <w:tcW w:w="0" w:type="auto"/>
            <w:gridSpan w:val="3"/>
            <w:shd w:val="clear" w:color="auto" w:fill="auto"/>
          </w:tcPr>
          <w:p w14:paraId="5EA1E05E" w14:textId="77777777" w:rsidR="003C66EB" w:rsidRDefault="003C66EB">
            <w:pPr>
              <w:rPr>
                <w:rFonts w:ascii="宋体"/>
                <w:vanish/>
              </w:rPr>
            </w:pPr>
          </w:p>
        </w:tc>
        <w:tc>
          <w:tcPr>
            <w:tcW w:w="0" w:type="auto"/>
            <w:gridSpan w:val="3"/>
            <w:shd w:val="clear" w:color="auto" w:fill="auto"/>
          </w:tcPr>
          <w:p w14:paraId="5EA1E05F" w14:textId="77777777" w:rsidR="003C66EB" w:rsidRDefault="003C66EB">
            <w:pPr>
              <w:rPr>
                <w:rFonts w:ascii="宋体"/>
                <w:vanish/>
              </w:rPr>
            </w:pPr>
          </w:p>
        </w:tc>
        <w:tc>
          <w:tcPr>
            <w:tcW w:w="0" w:type="auto"/>
            <w:gridSpan w:val="3"/>
            <w:shd w:val="clear" w:color="auto" w:fill="auto"/>
          </w:tcPr>
          <w:p w14:paraId="5EA1E060" w14:textId="77777777" w:rsidR="003C66EB" w:rsidRDefault="003C66EB">
            <w:pPr>
              <w:rPr>
                <w:rFonts w:ascii="宋体"/>
                <w:vanish/>
              </w:rPr>
            </w:pPr>
          </w:p>
        </w:tc>
        <w:tc>
          <w:tcPr>
            <w:tcW w:w="0" w:type="auto"/>
            <w:gridSpan w:val="3"/>
            <w:shd w:val="clear" w:color="auto" w:fill="auto"/>
          </w:tcPr>
          <w:p w14:paraId="5EA1E061" w14:textId="77777777" w:rsidR="003C66EB" w:rsidRDefault="003C66EB">
            <w:pPr>
              <w:rPr>
                <w:rFonts w:ascii="宋体"/>
                <w:vanish/>
              </w:rPr>
            </w:pPr>
          </w:p>
        </w:tc>
        <w:tc>
          <w:tcPr>
            <w:tcW w:w="0" w:type="auto"/>
            <w:gridSpan w:val="3"/>
            <w:shd w:val="clear" w:color="auto" w:fill="auto"/>
          </w:tcPr>
          <w:p w14:paraId="5EA1E062" w14:textId="77777777" w:rsidR="003C66EB" w:rsidRDefault="003C66EB">
            <w:pPr>
              <w:rPr>
                <w:rFonts w:ascii="宋体"/>
                <w:vanish/>
              </w:rPr>
            </w:pPr>
          </w:p>
        </w:tc>
        <w:tc>
          <w:tcPr>
            <w:tcW w:w="0" w:type="auto"/>
            <w:shd w:val="clear" w:color="auto" w:fill="auto"/>
          </w:tcPr>
          <w:p w14:paraId="5EA1E063" w14:textId="77777777" w:rsidR="003C66EB" w:rsidRDefault="003C66EB">
            <w:pPr>
              <w:rPr>
                <w:rFonts w:ascii="宋体"/>
                <w:vanish/>
              </w:rPr>
            </w:pPr>
          </w:p>
        </w:tc>
        <w:tc>
          <w:tcPr>
            <w:tcW w:w="0" w:type="auto"/>
            <w:gridSpan w:val="3"/>
            <w:shd w:val="clear" w:color="auto" w:fill="auto"/>
          </w:tcPr>
          <w:p w14:paraId="5EA1E064" w14:textId="77777777" w:rsidR="003C66EB" w:rsidRDefault="003C66EB">
            <w:pPr>
              <w:rPr>
                <w:rFonts w:ascii="宋体"/>
                <w:vanish/>
              </w:rPr>
            </w:pPr>
          </w:p>
        </w:tc>
        <w:tc>
          <w:tcPr>
            <w:tcW w:w="0" w:type="auto"/>
            <w:gridSpan w:val="3"/>
            <w:shd w:val="clear" w:color="auto" w:fill="auto"/>
          </w:tcPr>
          <w:p w14:paraId="5EA1E065" w14:textId="77777777" w:rsidR="003C66EB" w:rsidRDefault="003C66EB">
            <w:pPr>
              <w:rPr>
                <w:rFonts w:ascii="宋体"/>
                <w:vanish/>
              </w:rPr>
            </w:pPr>
          </w:p>
        </w:tc>
        <w:tc>
          <w:tcPr>
            <w:tcW w:w="0" w:type="auto"/>
            <w:gridSpan w:val="3"/>
            <w:shd w:val="clear" w:color="auto" w:fill="auto"/>
          </w:tcPr>
          <w:p w14:paraId="5EA1E066" w14:textId="77777777" w:rsidR="003C66EB" w:rsidRDefault="003C66EB">
            <w:pPr>
              <w:rPr>
                <w:rFonts w:ascii="宋体"/>
                <w:vanish/>
              </w:rPr>
            </w:pPr>
          </w:p>
        </w:tc>
        <w:tc>
          <w:tcPr>
            <w:tcW w:w="0" w:type="auto"/>
            <w:gridSpan w:val="3"/>
            <w:shd w:val="clear" w:color="auto" w:fill="auto"/>
          </w:tcPr>
          <w:p w14:paraId="5EA1E067" w14:textId="77777777" w:rsidR="003C66EB" w:rsidRDefault="003C66EB">
            <w:pPr>
              <w:rPr>
                <w:rFonts w:ascii="宋体"/>
                <w:vanish/>
              </w:rPr>
            </w:pPr>
          </w:p>
        </w:tc>
        <w:tc>
          <w:tcPr>
            <w:tcW w:w="0" w:type="auto"/>
            <w:gridSpan w:val="3"/>
            <w:shd w:val="clear" w:color="auto" w:fill="auto"/>
          </w:tcPr>
          <w:p w14:paraId="5EA1E068" w14:textId="77777777" w:rsidR="003C66EB" w:rsidRDefault="003C66EB">
            <w:pPr>
              <w:rPr>
                <w:rFonts w:ascii="宋体"/>
                <w:vanish/>
              </w:rPr>
            </w:pPr>
          </w:p>
        </w:tc>
      </w:tr>
      <w:tr w:rsidR="003C66EB" w14:paraId="5EA1E075" w14:textId="77777777">
        <w:trPr>
          <w:hidden/>
        </w:trPr>
        <w:tc>
          <w:tcPr>
            <w:tcW w:w="0" w:type="auto"/>
            <w:gridSpan w:val="3"/>
            <w:shd w:val="clear" w:color="auto" w:fill="auto"/>
          </w:tcPr>
          <w:p w14:paraId="5EA1E06A" w14:textId="77777777" w:rsidR="003C66EB" w:rsidRDefault="003C66EB">
            <w:pPr>
              <w:rPr>
                <w:rFonts w:ascii="宋体"/>
                <w:vanish/>
              </w:rPr>
            </w:pPr>
          </w:p>
        </w:tc>
        <w:tc>
          <w:tcPr>
            <w:tcW w:w="0" w:type="auto"/>
            <w:gridSpan w:val="3"/>
            <w:shd w:val="clear" w:color="auto" w:fill="auto"/>
          </w:tcPr>
          <w:p w14:paraId="5EA1E06B" w14:textId="77777777" w:rsidR="003C66EB" w:rsidRDefault="003C66EB">
            <w:pPr>
              <w:rPr>
                <w:rFonts w:ascii="宋体"/>
                <w:vanish/>
              </w:rPr>
            </w:pPr>
          </w:p>
        </w:tc>
        <w:tc>
          <w:tcPr>
            <w:tcW w:w="0" w:type="auto"/>
            <w:gridSpan w:val="3"/>
            <w:shd w:val="clear" w:color="auto" w:fill="auto"/>
          </w:tcPr>
          <w:p w14:paraId="5EA1E06C" w14:textId="77777777" w:rsidR="003C66EB" w:rsidRDefault="003C66EB">
            <w:pPr>
              <w:rPr>
                <w:rFonts w:ascii="宋体"/>
                <w:vanish/>
              </w:rPr>
            </w:pPr>
          </w:p>
        </w:tc>
        <w:tc>
          <w:tcPr>
            <w:tcW w:w="0" w:type="auto"/>
            <w:gridSpan w:val="3"/>
            <w:shd w:val="clear" w:color="auto" w:fill="auto"/>
          </w:tcPr>
          <w:p w14:paraId="5EA1E06D" w14:textId="77777777" w:rsidR="003C66EB" w:rsidRDefault="003C66EB">
            <w:pPr>
              <w:rPr>
                <w:rFonts w:ascii="宋体"/>
                <w:vanish/>
              </w:rPr>
            </w:pPr>
          </w:p>
        </w:tc>
        <w:tc>
          <w:tcPr>
            <w:tcW w:w="0" w:type="auto"/>
            <w:gridSpan w:val="3"/>
            <w:shd w:val="clear" w:color="auto" w:fill="auto"/>
          </w:tcPr>
          <w:p w14:paraId="5EA1E06E" w14:textId="77777777" w:rsidR="003C66EB" w:rsidRDefault="003C66EB">
            <w:pPr>
              <w:rPr>
                <w:rFonts w:ascii="宋体"/>
                <w:vanish/>
              </w:rPr>
            </w:pPr>
          </w:p>
        </w:tc>
        <w:tc>
          <w:tcPr>
            <w:tcW w:w="0" w:type="auto"/>
            <w:shd w:val="clear" w:color="auto" w:fill="auto"/>
          </w:tcPr>
          <w:p w14:paraId="5EA1E06F" w14:textId="77777777" w:rsidR="003C66EB" w:rsidRDefault="003C66EB">
            <w:pPr>
              <w:rPr>
                <w:rFonts w:ascii="宋体"/>
                <w:vanish/>
              </w:rPr>
            </w:pPr>
          </w:p>
        </w:tc>
        <w:tc>
          <w:tcPr>
            <w:tcW w:w="0" w:type="auto"/>
            <w:gridSpan w:val="3"/>
            <w:shd w:val="clear" w:color="auto" w:fill="auto"/>
          </w:tcPr>
          <w:p w14:paraId="5EA1E070" w14:textId="77777777" w:rsidR="003C66EB" w:rsidRDefault="003C66EB">
            <w:pPr>
              <w:rPr>
                <w:rFonts w:ascii="宋体"/>
                <w:vanish/>
              </w:rPr>
            </w:pPr>
          </w:p>
        </w:tc>
        <w:tc>
          <w:tcPr>
            <w:tcW w:w="0" w:type="auto"/>
            <w:gridSpan w:val="3"/>
            <w:shd w:val="clear" w:color="auto" w:fill="auto"/>
          </w:tcPr>
          <w:p w14:paraId="5EA1E071" w14:textId="77777777" w:rsidR="003C66EB" w:rsidRDefault="003C66EB">
            <w:pPr>
              <w:rPr>
                <w:rFonts w:ascii="宋体"/>
                <w:vanish/>
              </w:rPr>
            </w:pPr>
          </w:p>
        </w:tc>
        <w:tc>
          <w:tcPr>
            <w:tcW w:w="0" w:type="auto"/>
            <w:gridSpan w:val="3"/>
            <w:shd w:val="clear" w:color="auto" w:fill="auto"/>
          </w:tcPr>
          <w:p w14:paraId="5EA1E072" w14:textId="77777777" w:rsidR="003C66EB" w:rsidRDefault="003C66EB">
            <w:pPr>
              <w:rPr>
                <w:rFonts w:ascii="宋体"/>
                <w:vanish/>
              </w:rPr>
            </w:pPr>
          </w:p>
        </w:tc>
        <w:tc>
          <w:tcPr>
            <w:tcW w:w="0" w:type="auto"/>
            <w:gridSpan w:val="3"/>
            <w:shd w:val="clear" w:color="auto" w:fill="auto"/>
          </w:tcPr>
          <w:p w14:paraId="5EA1E073" w14:textId="77777777" w:rsidR="003C66EB" w:rsidRDefault="003C66EB">
            <w:pPr>
              <w:rPr>
                <w:rFonts w:ascii="宋体"/>
                <w:vanish/>
              </w:rPr>
            </w:pPr>
          </w:p>
        </w:tc>
        <w:tc>
          <w:tcPr>
            <w:tcW w:w="0" w:type="auto"/>
            <w:gridSpan w:val="3"/>
            <w:shd w:val="clear" w:color="auto" w:fill="auto"/>
          </w:tcPr>
          <w:p w14:paraId="5EA1E074" w14:textId="77777777" w:rsidR="003C66EB" w:rsidRDefault="003C66EB">
            <w:pPr>
              <w:rPr>
                <w:rFonts w:ascii="宋体"/>
                <w:vanish/>
              </w:rPr>
            </w:pPr>
          </w:p>
        </w:tc>
      </w:tr>
      <w:tr w:rsidR="003C66EB" w14:paraId="5EA1E081" w14:textId="77777777">
        <w:trPr>
          <w:hidden/>
        </w:trPr>
        <w:tc>
          <w:tcPr>
            <w:tcW w:w="0" w:type="auto"/>
            <w:gridSpan w:val="3"/>
            <w:shd w:val="clear" w:color="auto" w:fill="auto"/>
          </w:tcPr>
          <w:p w14:paraId="5EA1E076" w14:textId="77777777" w:rsidR="003C66EB" w:rsidRDefault="003C66EB">
            <w:pPr>
              <w:rPr>
                <w:rFonts w:ascii="宋体"/>
                <w:vanish/>
              </w:rPr>
            </w:pPr>
          </w:p>
        </w:tc>
        <w:tc>
          <w:tcPr>
            <w:tcW w:w="0" w:type="auto"/>
            <w:gridSpan w:val="3"/>
            <w:shd w:val="clear" w:color="auto" w:fill="auto"/>
          </w:tcPr>
          <w:p w14:paraId="5EA1E077" w14:textId="77777777" w:rsidR="003C66EB" w:rsidRDefault="003C66EB">
            <w:pPr>
              <w:rPr>
                <w:rFonts w:ascii="宋体"/>
                <w:vanish/>
              </w:rPr>
            </w:pPr>
          </w:p>
        </w:tc>
        <w:tc>
          <w:tcPr>
            <w:tcW w:w="0" w:type="auto"/>
            <w:gridSpan w:val="3"/>
            <w:shd w:val="clear" w:color="auto" w:fill="auto"/>
          </w:tcPr>
          <w:p w14:paraId="5EA1E078" w14:textId="77777777" w:rsidR="003C66EB" w:rsidRDefault="003C66EB">
            <w:pPr>
              <w:rPr>
                <w:rFonts w:ascii="宋体"/>
                <w:vanish/>
              </w:rPr>
            </w:pPr>
          </w:p>
        </w:tc>
        <w:tc>
          <w:tcPr>
            <w:tcW w:w="0" w:type="auto"/>
            <w:gridSpan w:val="3"/>
            <w:shd w:val="clear" w:color="auto" w:fill="auto"/>
          </w:tcPr>
          <w:p w14:paraId="5EA1E079" w14:textId="77777777" w:rsidR="003C66EB" w:rsidRDefault="003C66EB">
            <w:pPr>
              <w:rPr>
                <w:rFonts w:ascii="宋体"/>
                <w:vanish/>
              </w:rPr>
            </w:pPr>
          </w:p>
        </w:tc>
        <w:tc>
          <w:tcPr>
            <w:tcW w:w="0" w:type="auto"/>
            <w:gridSpan w:val="3"/>
            <w:shd w:val="clear" w:color="auto" w:fill="auto"/>
          </w:tcPr>
          <w:p w14:paraId="5EA1E07A" w14:textId="77777777" w:rsidR="003C66EB" w:rsidRDefault="003C66EB">
            <w:pPr>
              <w:rPr>
                <w:rFonts w:ascii="宋体"/>
                <w:vanish/>
              </w:rPr>
            </w:pPr>
          </w:p>
        </w:tc>
        <w:tc>
          <w:tcPr>
            <w:tcW w:w="0" w:type="auto"/>
            <w:shd w:val="clear" w:color="auto" w:fill="auto"/>
          </w:tcPr>
          <w:p w14:paraId="5EA1E07B" w14:textId="77777777" w:rsidR="003C66EB" w:rsidRDefault="003C66EB">
            <w:pPr>
              <w:rPr>
                <w:rFonts w:ascii="宋体"/>
                <w:vanish/>
              </w:rPr>
            </w:pPr>
          </w:p>
        </w:tc>
        <w:tc>
          <w:tcPr>
            <w:tcW w:w="0" w:type="auto"/>
            <w:gridSpan w:val="3"/>
            <w:shd w:val="clear" w:color="auto" w:fill="auto"/>
          </w:tcPr>
          <w:p w14:paraId="5EA1E07C" w14:textId="77777777" w:rsidR="003C66EB" w:rsidRDefault="003C66EB">
            <w:pPr>
              <w:rPr>
                <w:rFonts w:ascii="宋体"/>
                <w:vanish/>
              </w:rPr>
            </w:pPr>
          </w:p>
        </w:tc>
        <w:tc>
          <w:tcPr>
            <w:tcW w:w="0" w:type="auto"/>
            <w:gridSpan w:val="3"/>
            <w:shd w:val="clear" w:color="auto" w:fill="auto"/>
          </w:tcPr>
          <w:p w14:paraId="5EA1E07D" w14:textId="77777777" w:rsidR="003C66EB" w:rsidRDefault="003C66EB">
            <w:pPr>
              <w:rPr>
                <w:rFonts w:ascii="宋体"/>
                <w:vanish/>
              </w:rPr>
            </w:pPr>
          </w:p>
        </w:tc>
        <w:tc>
          <w:tcPr>
            <w:tcW w:w="0" w:type="auto"/>
            <w:gridSpan w:val="3"/>
            <w:shd w:val="clear" w:color="auto" w:fill="auto"/>
          </w:tcPr>
          <w:p w14:paraId="5EA1E07E" w14:textId="77777777" w:rsidR="003C66EB" w:rsidRDefault="003C66EB">
            <w:pPr>
              <w:rPr>
                <w:rFonts w:ascii="宋体"/>
                <w:vanish/>
              </w:rPr>
            </w:pPr>
          </w:p>
        </w:tc>
        <w:tc>
          <w:tcPr>
            <w:tcW w:w="0" w:type="auto"/>
            <w:gridSpan w:val="3"/>
            <w:shd w:val="clear" w:color="auto" w:fill="auto"/>
          </w:tcPr>
          <w:p w14:paraId="5EA1E07F" w14:textId="77777777" w:rsidR="003C66EB" w:rsidRDefault="003C66EB">
            <w:pPr>
              <w:rPr>
                <w:rFonts w:ascii="宋体"/>
                <w:vanish/>
              </w:rPr>
            </w:pPr>
          </w:p>
        </w:tc>
        <w:tc>
          <w:tcPr>
            <w:tcW w:w="0" w:type="auto"/>
            <w:gridSpan w:val="3"/>
            <w:shd w:val="clear" w:color="auto" w:fill="auto"/>
          </w:tcPr>
          <w:p w14:paraId="5EA1E080" w14:textId="77777777" w:rsidR="003C66EB" w:rsidRDefault="003C66EB">
            <w:pPr>
              <w:rPr>
                <w:rFonts w:ascii="宋体"/>
                <w:vanish/>
              </w:rPr>
            </w:pPr>
          </w:p>
        </w:tc>
      </w:tr>
      <w:tr w:rsidR="003C66EB" w14:paraId="5EA1E08D" w14:textId="77777777">
        <w:trPr>
          <w:hidden/>
        </w:trPr>
        <w:tc>
          <w:tcPr>
            <w:tcW w:w="0" w:type="auto"/>
            <w:gridSpan w:val="3"/>
            <w:shd w:val="clear" w:color="auto" w:fill="auto"/>
          </w:tcPr>
          <w:p w14:paraId="5EA1E082" w14:textId="77777777" w:rsidR="003C66EB" w:rsidRDefault="003C66EB">
            <w:pPr>
              <w:rPr>
                <w:rFonts w:ascii="宋体"/>
                <w:vanish/>
              </w:rPr>
            </w:pPr>
          </w:p>
        </w:tc>
        <w:tc>
          <w:tcPr>
            <w:tcW w:w="0" w:type="auto"/>
            <w:gridSpan w:val="3"/>
            <w:shd w:val="clear" w:color="auto" w:fill="auto"/>
          </w:tcPr>
          <w:p w14:paraId="5EA1E083" w14:textId="77777777" w:rsidR="003C66EB" w:rsidRDefault="003C66EB">
            <w:pPr>
              <w:rPr>
                <w:rFonts w:ascii="宋体"/>
                <w:vanish/>
              </w:rPr>
            </w:pPr>
          </w:p>
        </w:tc>
        <w:tc>
          <w:tcPr>
            <w:tcW w:w="0" w:type="auto"/>
            <w:gridSpan w:val="3"/>
            <w:shd w:val="clear" w:color="auto" w:fill="auto"/>
          </w:tcPr>
          <w:p w14:paraId="5EA1E084" w14:textId="77777777" w:rsidR="003C66EB" w:rsidRDefault="003C66EB">
            <w:pPr>
              <w:rPr>
                <w:rFonts w:ascii="宋体"/>
                <w:vanish/>
              </w:rPr>
            </w:pPr>
          </w:p>
        </w:tc>
        <w:tc>
          <w:tcPr>
            <w:tcW w:w="0" w:type="auto"/>
            <w:gridSpan w:val="3"/>
            <w:shd w:val="clear" w:color="auto" w:fill="auto"/>
          </w:tcPr>
          <w:p w14:paraId="5EA1E085" w14:textId="77777777" w:rsidR="003C66EB" w:rsidRDefault="003C66EB">
            <w:pPr>
              <w:rPr>
                <w:rFonts w:ascii="宋体"/>
                <w:vanish/>
              </w:rPr>
            </w:pPr>
          </w:p>
        </w:tc>
        <w:tc>
          <w:tcPr>
            <w:tcW w:w="0" w:type="auto"/>
            <w:gridSpan w:val="3"/>
            <w:shd w:val="clear" w:color="auto" w:fill="auto"/>
          </w:tcPr>
          <w:p w14:paraId="5EA1E086" w14:textId="77777777" w:rsidR="003C66EB" w:rsidRDefault="003C66EB">
            <w:pPr>
              <w:rPr>
                <w:rFonts w:ascii="宋体"/>
                <w:vanish/>
              </w:rPr>
            </w:pPr>
          </w:p>
        </w:tc>
        <w:tc>
          <w:tcPr>
            <w:tcW w:w="0" w:type="auto"/>
            <w:shd w:val="clear" w:color="auto" w:fill="auto"/>
          </w:tcPr>
          <w:p w14:paraId="5EA1E087" w14:textId="77777777" w:rsidR="003C66EB" w:rsidRDefault="003C66EB">
            <w:pPr>
              <w:rPr>
                <w:rFonts w:ascii="宋体"/>
                <w:vanish/>
              </w:rPr>
            </w:pPr>
          </w:p>
        </w:tc>
        <w:tc>
          <w:tcPr>
            <w:tcW w:w="0" w:type="auto"/>
            <w:gridSpan w:val="3"/>
            <w:shd w:val="clear" w:color="auto" w:fill="auto"/>
          </w:tcPr>
          <w:p w14:paraId="5EA1E088" w14:textId="77777777" w:rsidR="003C66EB" w:rsidRDefault="003C66EB">
            <w:pPr>
              <w:rPr>
                <w:rFonts w:ascii="宋体"/>
                <w:vanish/>
              </w:rPr>
            </w:pPr>
          </w:p>
        </w:tc>
        <w:tc>
          <w:tcPr>
            <w:tcW w:w="0" w:type="auto"/>
            <w:gridSpan w:val="3"/>
            <w:shd w:val="clear" w:color="auto" w:fill="auto"/>
          </w:tcPr>
          <w:p w14:paraId="5EA1E089" w14:textId="77777777" w:rsidR="003C66EB" w:rsidRDefault="003C66EB">
            <w:pPr>
              <w:rPr>
                <w:rFonts w:ascii="宋体"/>
                <w:vanish/>
              </w:rPr>
            </w:pPr>
          </w:p>
        </w:tc>
        <w:tc>
          <w:tcPr>
            <w:tcW w:w="0" w:type="auto"/>
            <w:gridSpan w:val="3"/>
            <w:shd w:val="clear" w:color="auto" w:fill="auto"/>
          </w:tcPr>
          <w:p w14:paraId="5EA1E08A" w14:textId="77777777" w:rsidR="003C66EB" w:rsidRDefault="003C66EB">
            <w:pPr>
              <w:rPr>
                <w:rFonts w:ascii="宋体"/>
                <w:vanish/>
              </w:rPr>
            </w:pPr>
          </w:p>
        </w:tc>
        <w:tc>
          <w:tcPr>
            <w:tcW w:w="0" w:type="auto"/>
            <w:gridSpan w:val="3"/>
            <w:shd w:val="clear" w:color="auto" w:fill="auto"/>
          </w:tcPr>
          <w:p w14:paraId="5EA1E08B" w14:textId="77777777" w:rsidR="003C66EB" w:rsidRDefault="003C66EB">
            <w:pPr>
              <w:rPr>
                <w:rFonts w:ascii="宋体"/>
                <w:vanish/>
              </w:rPr>
            </w:pPr>
          </w:p>
        </w:tc>
        <w:tc>
          <w:tcPr>
            <w:tcW w:w="0" w:type="auto"/>
            <w:gridSpan w:val="3"/>
            <w:shd w:val="clear" w:color="auto" w:fill="auto"/>
          </w:tcPr>
          <w:p w14:paraId="5EA1E08C" w14:textId="77777777" w:rsidR="003C66EB" w:rsidRDefault="003C66EB">
            <w:pPr>
              <w:rPr>
                <w:rFonts w:ascii="宋体"/>
                <w:vanish/>
              </w:rPr>
            </w:pPr>
          </w:p>
        </w:tc>
      </w:tr>
      <w:tr w:rsidR="003C66EB" w14:paraId="5EA1E099" w14:textId="77777777">
        <w:trPr>
          <w:hidden/>
        </w:trPr>
        <w:tc>
          <w:tcPr>
            <w:tcW w:w="0" w:type="auto"/>
            <w:gridSpan w:val="3"/>
            <w:shd w:val="clear" w:color="auto" w:fill="auto"/>
          </w:tcPr>
          <w:p w14:paraId="5EA1E08E" w14:textId="77777777" w:rsidR="003C66EB" w:rsidRDefault="003C66EB">
            <w:pPr>
              <w:rPr>
                <w:rFonts w:ascii="宋体"/>
                <w:vanish/>
              </w:rPr>
            </w:pPr>
          </w:p>
        </w:tc>
        <w:tc>
          <w:tcPr>
            <w:tcW w:w="0" w:type="auto"/>
            <w:gridSpan w:val="3"/>
            <w:shd w:val="clear" w:color="auto" w:fill="auto"/>
          </w:tcPr>
          <w:p w14:paraId="5EA1E08F" w14:textId="77777777" w:rsidR="003C66EB" w:rsidRDefault="003C66EB">
            <w:pPr>
              <w:rPr>
                <w:rFonts w:ascii="宋体"/>
                <w:vanish/>
              </w:rPr>
            </w:pPr>
          </w:p>
        </w:tc>
        <w:tc>
          <w:tcPr>
            <w:tcW w:w="0" w:type="auto"/>
            <w:gridSpan w:val="3"/>
            <w:shd w:val="clear" w:color="auto" w:fill="auto"/>
          </w:tcPr>
          <w:p w14:paraId="5EA1E090" w14:textId="77777777" w:rsidR="003C66EB" w:rsidRDefault="003C66EB">
            <w:pPr>
              <w:rPr>
                <w:rFonts w:ascii="宋体"/>
                <w:vanish/>
              </w:rPr>
            </w:pPr>
          </w:p>
        </w:tc>
        <w:tc>
          <w:tcPr>
            <w:tcW w:w="0" w:type="auto"/>
            <w:gridSpan w:val="3"/>
            <w:shd w:val="clear" w:color="auto" w:fill="auto"/>
          </w:tcPr>
          <w:p w14:paraId="5EA1E091" w14:textId="77777777" w:rsidR="003C66EB" w:rsidRDefault="003C66EB">
            <w:pPr>
              <w:rPr>
                <w:rFonts w:ascii="宋体"/>
                <w:vanish/>
              </w:rPr>
            </w:pPr>
          </w:p>
        </w:tc>
        <w:tc>
          <w:tcPr>
            <w:tcW w:w="0" w:type="auto"/>
            <w:gridSpan w:val="3"/>
            <w:shd w:val="clear" w:color="auto" w:fill="auto"/>
          </w:tcPr>
          <w:p w14:paraId="5EA1E092" w14:textId="77777777" w:rsidR="003C66EB" w:rsidRDefault="003C66EB">
            <w:pPr>
              <w:rPr>
                <w:rFonts w:ascii="宋体"/>
                <w:vanish/>
              </w:rPr>
            </w:pPr>
          </w:p>
        </w:tc>
        <w:tc>
          <w:tcPr>
            <w:tcW w:w="0" w:type="auto"/>
            <w:shd w:val="clear" w:color="auto" w:fill="auto"/>
          </w:tcPr>
          <w:p w14:paraId="5EA1E093" w14:textId="77777777" w:rsidR="003C66EB" w:rsidRDefault="003C66EB">
            <w:pPr>
              <w:rPr>
                <w:rFonts w:ascii="宋体"/>
                <w:vanish/>
              </w:rPr>
            </w:pPr>
          </w:p>
        </w:tc>
        <w:tc>
          <w:tcPr>
            <w:tcW w:w="0" w:type="auto"/>
            <w:gridSpan w:val="3"/>
            <w:shd w:val="clear" w:color="auto" w:fill="auto"/>
          </w:tcPr>
          <w:p w14:paraId="5EA1E094" w14:textId="77777777" w:rsidR="003C66EB" w:rsidRDefault="003C66EB">
            <w:pPr>
              <w:rPr>
                <w:rFonts w:ascii="宋体"/>
                <w:vanish/>
              </w:rPr>
            </w:pPr>
          </w:p>
        </w:tc>
        <w:tc>
          <w:tcPr>
            <w:tcW w:w="0" w:type="auto"/>
            <w:gridSpan w:val="3"/>
            <w:shd w:val="clear" w:color="auto" w:fill="auto"/>
          </w:tcPr>
          <w:p w14:paraId="5EA1E095" w14:textId="77777777" w:rsidR="003C66EB" w:rsidRDefault="003C66EB">
            <w:pPr>
              <w:rPr>
                <w:rFonts w:ascii="宋体"/>
                <w:vanish/>
              </w:rPr>
            </w:pPr>
          </w:p>
        </w:tc>
        <w:tc>
          <w:tcPr>
            <w:tcW w:w="0" w:type="auto"/>
            <w:gridSpan w:val="3"/>
            <w:shd w:val="clear" w:color="auto" w:fill="auto"/>
          </w:tcPr>
          <w:p w14:paraId="5EA1E096" w14:textId="77777777" w:rsidR="003C66EB" w:rsidRDefault="003C66EB">
            <w:pPr>
              <w:rPr>
                <w:rFonts w:ascii="宋体"/>
                <w:vanish/>
              </w:rPr>
            </w:pPr>
          </w:p>
        </w:tc>
        <w:tc>
          <w:tcPr>
            <w:tcW w:w="0" w:type="auto"/>
            <w:gridSpan w:val="3"/>
            <w:shd w:val="clear" w:color="auto" w:fill="auto"/>
          </w:tcPr>
          <w:p w14:paraId="5EA1E097" w14:textId="77777777" w:rsidR="003C66EB" w:rsidRDefault="003C66EB">
            <w:pPr>
              <w:rPr>
                <w:rFonts w:ascii="宋体"/>
                <w:vanish/>
              </w:rPr>
            </w:pPr>
          </w:p>
        </w:tc>
        <w:tc>
          <w:tcPr>
            <w:tcW w:w="0" w:type="auto"/>
            <w:gridSpan w:val="3"/>
            <w:shd w:val="clear" w:color="auto" w:fill="auto"/>
          </w:tcPr>
          <w:p w14:paraId="5EA1E098" w14:textId="77777777" w:rsidR="003C66EB" w:rsidRDefault="003C66EB">
            <w:pPr>
              <w:rPr>
                <w:rFonts w:ascii="宋体"/>
                <w:vanish/>
              </w:rPr>
            </w:pPr>
          </w:p>
        </w:tc>
      </w:tr>
      <w:tr w:rsidR="003C66EB" w14:paraId="5EA1E0A5" w14:textId="77777777">
        <w:trPr>
          <w:hidden/>
        </w:trPr>
        <w:tc>
          <w:tcPr>
            <w:tcW w:w="0" w:type="auto"/>
            <w:gridSpan w:val="3"/>
            <w:shd w:val="clear" w:color="auto" w:fill="auto"/>
          </w:tcPr>
          <w:p w14:paraId="5EA1E09A" w14:textId="77777777" w:rsidR="003C66EB" w:rsidRDefault="003C66EB">
            <w:pPr>
              <w:rPr>
                <w:rFonts w:ascii="宋体"/>
                <w:vanish/>
              </w:rPr>
            </w:pPr>
          </w:p>
        </w:tc>
        <w:tc>
          <w:tcPr>
            <w:tcW w:w="0" w:type="auto"/>
            <w:gridSpan w:val="3"/>
            <w:shd w:val="clear" w:color="auto" w:fill="auto"/>
          </w:tcPr>
          <w:p w14:paraId="5EA1E09B" w14:textId="77777777" w:rsidR="003C66EB" w:rsidRDefault="003C66EB">
            <w:pPr>
              <w:rPr>
                <w:rFonts w:ascii="宋体"/>
                <w:vanish/>
              </w:rPr>
            </w:pPr>
          </w:p>
        </w:tc>
        <w:tc>
          <w:tcPr>
            <w:tcW w:w="0" w:type="auto"/>
            <w:gridSpan w:val="3"/>
            <w:shd w:val="clear" w:color="auto" w:fill="auto"/>
          </w:tcPr>
          <w:p w14:paraId="5EA1E09C" w14:textId="77777777" w:rsidR="003C66EB" w:rsidRDefault="003C66EB">
            <w:pPr>
              <w:rPr>
                <w:rFonts w:ascii="宋体"/>
                <w:vanish/>
              </w:rPr>
            </w:pPr>
          </w:p>
        </w:tc>
        <w:tc>
          <w:tcPr>
            <w:tcW w:w="0" w:type="auto"/>
            <w:gridSpan w:val="3"/>
            <w:shd w:val="clear" w:color="auto" w:fill="auto"/>
          </w:tcPr>
          <w:p w14:paraId="5EA1E09D" w14:textId="77777777" w:rsidR="003C66EB" w:rsidRDefault="003C66EB">
            <w:pPr>
              <w:rPr>
                <w:rFonts w:ascii="宋体"/>
                <w:vanish/>
              </w:rPr>
            </w:pPr>
          </w:p>
        </w:tc>
        <w:tc>
          <w:tcPr>
            <w:tcW w:w="0" w:type="auto"/>
            <w:gridSpan w:val="3"/>
            <w:shd w:val="clear" w:color="auto" w:fill="auto"/>
          </w:tcPr>
          <w:p w14:paraId="5EA1E09E" w14:textId="77777777" w:rsidR="003C66EB" w:rsidRDefault="003C66EB">
            <w:pPr>
              <w:rPr>
                <w:rFonts w:ascii="宋体"/>
                <w:vanish/>
              </w:rPr>
            </w:pPr>
          </w:p>
        </w:tc>
        <w:tc>
          <w:tcPr>
            <w:tcW w:w="0" w:type="auto"/>
            <w:shd w:val="clear" w:color="auto" w:fill="auto"/>
          </w:tcPr>
          <w:p w14:paraId="5EA1E09F" w14:textId="77777777" w:rsidR="003C66EB" w:rsidRDefault="003C66EB">
            <w:pPr>
              <w:rPr>
                <w:rFonts w:ascii="宋体"/>
                <w:vanish/>
              </w:rPr>
            </w:pPr>
          </w:p>
        </w:tc>
        <w:tc>
          <w:tcPr>
            <w:tcW w:w="0" w:type="auto"/>
            <w:gridSpan w:val="3"/>
            <w:shd w:val="clear" w:color="auto" w:fill="auto"/>
          </w:tcPr>
          <w:p w14:paraId="5EA1E0A0" w14:textId="77777777" w:rsidR="003C66EB" w:rsidRDefault="003C66EB">
            <w:pPr>
              <w:rPr>
                <w:rFonts w:ascii="宋体"/>
                <w:vanish/>
              </w:rPr>
            </w:pPr>
          </w:p>
        </w:tc>
        <w:tc>
          <w:tcPr>
            <w:tcW w:w="0" w:type="auto"/>
            <w:gridSpan w:val="3"/>
            <w:shd w:val="clear" w:color="auto" w:fill="auto"/>
          </w:tcPr>
          <w:p w14:paraId="5EA1E0A1" w14:textId="77777777" w:rsidR="003C66EB" w:rsidRDefault="003C66EB">
            <w:pPr>
              <w:rPr>
                <w:rFonts w:ascii="宋体"/>
                <w:vanish/>
              </w:rPr>
            </w:pPr>
          </w:p>
        </w:tc>
        <w:tc>
          <w:tcPr>
            <w:tcW w:w="0" w:type="auto"/>
            <w:gridSpan w:val="3"/>
            <w:shd w:val="clear" w:color="auto" w:fill="auto"/>
          </w:tcPr>
          <w:p w14:paraId="5EA1E0A2" w14:textId="77777777" w:rsidR="003C66EB" w:rsidRDefault="003C66EB">
            <w:pPr>
              <w:rPr>
                <w:rFonts w:ascii="宋体"/>
                <w:vanish/>
              </w:rPr>
            </w:pPr>
          </w:p>
        </w:tc>
        <w:tc>
          <w:tcPr>
            <w:tcW w:w="0" w:type="auto"/>
            <w:gridSpan w:val="3"/>
            <w:shd w:val="clear" w:color="auto" w:fill="auto"/>
          </w:tcPr>
          <w:p w14:paraId="5EA1E0A3" w14:textId="77777777" w:rsidR="003C66EB" w:rsidRDefault="003C66EB">
            <w:pPr>
              <w:rPr>
                <w:rFonts w:ascii="宋体"/>
                <w:vanish/>
              </w:rPr>
            </w:pPr>
          </w:p>
        </w:tc>
        <w:tc>
          <w:tcPr>
            <w:tcW w:w="0" w:type="auto"/>
            <w:gridSpan w:val="3"/>
            <w:shd w:val="clear" w:color="auto" w:fill="auto"/>
          </w:tcPr>
          <w:p w14:paraId="5EA1E0A4" w14:textId="77777777" w:rsidR="003C66EB" w:rsidRDefault="003C66EB">
            <w:pPr>
              <w:rPr>
                <w:rFonts w:ascii="宋体"/>
                <w:vanish/>
              </w:rPr>
            </w:pPr>
          </w:p>
        </w:tc>
      </w:tr>
      <w:tr w:rsidR="003C66EB" w14:paraId="5EA1E0B1" w14:textId="77777777">
        <w:trPr>
          <w:hidden/>
        </w:trPr>
        <w:tc>
          <w:tcPr>
            <w:tcW w:w="0" w:type="auto"/>
            <w:gridSpan w:val="3"/>
            <w:shd w:val="clear" w:color="auto" w:fill="auto"/>
          </w:tcPr>
          <w:p w14:paraId="5EA1E0A6" w14:textId="77777777" w:rsidR="003C66EB" w:rsidRDefault="003C66EB">
            <w:pPr>
              <w:rPr>
                <w:rFonts w:ascii="宋体"/>
                <w:vanish/>
              </w:rPr>
            </w:pPr>
          </w:p>
        </w:tc>
        <w:tc>
          <w:tcPr>
            <w:tcW w:w="0" w:type="auto"/>
            <w:gridSpan w:val="3"/>
            <w:shd w:val="clear" w:color="auto" w:fill="auto"/>
          </w:tcPr>
          <w:p w14:paraId="5EA1E0A7" w14:textId="77777777" w:rsidR="003C66EB" w:rsidRDefault="003C66EB">
            <w:pPr>
              <w:rPr>
                <w:rFonts w:ascii="宋体"/>
                <w:vanish/>
              </w:rPr>
            </w:pPr>
          </w:p>
        </w:tc>
        <w:tc>
          <w:tcPr>
            <w:tcW w:w="0" w:type="auto"/>
            <w:gridSpan w:val="3"/>
            <w:shd w:val="clear" w:color="auto" w:fill="auto"/>
          </w:tcPr>
          <w:p w14:paraId="5EA1E0A8" w14:textId="77777777" w:rsidR="003C66EB" w:rsidRDefault="003C66EB">
            <w:pPr>
              <w:rPr>
                <w:rFonts w:ascii="宋体"/>
                <w:vanish/>
              </w:rPr>
            </w:pPr>
          </w:p>
        </w:tc>
        <w:tc>
          <w:tcPr>
            <w:tcW w:w="0" w:type="auto"/>
            <w:gridSpan w:val="3"/>
            <w:shd w:val="clear" w:color="auto" w:fill="auto"/>
          </w:tcPr>
          <w:p w14:paraId="5EA1E0A9" w14:textId="77777777" w:rsidR="003C66EB" w:rsidRDefault="003C66EB">
            <w:pPr>
              <w:rPr>
                <w:rFonts w:ascii="宋体"/>
                <w:vanish/>
              </w:rPr>
            </w:pPr>
          </w:p>
        </w:tc>
        <w:tc>
          <w:tcPr>
            <w:tcW w:w="0" w:type="auto"/>
            <w:gridSpan w:val="3"/>
            <w:shd w:val="clear" w:color="auto" w:fill="auto"/>
          </w:tcPr>
          <w:p w14:paraId="5EA1E0AA" w14:textId="77777777" w:rsidR="003C66EB" w:rsidRDefault="003C66EB">
            <w:pPr>
              <w:rPr>
                <w:rFonts w:ascii="宋体"/>
                <w:vanish/>
              </w:rPr>
            </w:pPr>
          </w:p>
        </w:tc>
        <w:tc>
          <w:tcPr>
            <w:tcW w:w="0" w:type="auto"/>
            <w:shd w:val="clear" w:color="auto" w:fill="auto"/>
          </w:tcPr>
          <w:p w14:paraId="5EA1E0AB" w14:textId="77777777" w:rsidR="003C66EB" w:rsidRDefault="003C66EB">
            <w:pPr>
              <w:rPr>
                <w:rFonts w:ascii="宋体"/>
                <w:vanish/>
              </w:rPr>
            </w:pPr>
          </w:p>
        </w:tc>
        <w:tc>
          <w:tcPr>
            <w:tcW w:w="0" w:type="auto"/>
            <w:gridSpan w:val="3"/>
            <w:shd w:val="clear" w:color="auto" w:fill="auto"/>
          </w:tcPr>
          <w:p w14:paraId="5EA1E0AC" w14:textId="77777777" w:rsidR="003C66EB" w:rsidRDefault="003C66EB">
            <w:pPr>
              <w:rPr>
                <w:rFonts w:ascii="宋体"/>
                <w:vanish/>
              </w:rPr>
            </w:pPr>
          </w:p>
        </w:tc>
        <w:tc>
          <w:tcPr>
            <w:tcW w:w="0" w:type="auto"/>
            <w:gridSpan w:val="3"/>
            <w:shd w:val="clear" w:color="auto" w:fill="auto"/>
          </w:tcPr>
          <w:p w14:paraId="5EA1E0AD" w14:textId="77777777" w:rsidR="003C66EB" w:rsidRDefault="003C66EB">
            <w:pPr>
              <w:rPr>
                <w:rFonts w:ascii="宋体"/>
                <w:vanish/>
              </w:rPr>
            </w:pPr>
          </w:p>
        </w:tc>
        <w:tc>
          <w:tcPr>
            <w:tcW w:w="0" w:type="auto"/>
            <w:gridSpan w:val="3"/>
            <w:shd w:val="clear" w:color="auto" w:fill="auto"/>
          </w:tcPr>
          <w:p w14:paraId="5EA1E0AE" w14:textId="77777777" w:rsidR="003C66EB" w:rsidRDefault="003C66EB">
            <w:pPr>
              <w:rPr>
                <w:rFonts w:ascii="宋体"/>
                <w:vanish/>
              </w:rPr>
            </w:pPr>
          </w:p>
        </w:tc>
        <w:tc>
          <w:tcPr>
            <w:tcW w:w="0" w:type="auto"/>
            <w:gridSpan w:val="3"/>
            <w:shd w:val="clear" w:color="auto" w:fill="auto"/>
          </w:tcPr>
          <w:p w14:paraId="5EA1E0AF" w14:textId="77777777" w:rsidR="003C66EB" w:rsidRDefault="003C66EB">
            <w:pPr>
              <w:rPr>
                <w:rFonts w:ascii="宋体"/>
                <w:vanish/>
              </w:rPr>
            </w:pPr>
          </w:p>
        </w:tc>
        <w:tc>
          <w:tcPr>
            <w:tcW w:w="0" w:type="auto"/>
            <w:gridSpan w:val="3"/>
            <w:shd w:val="clear" w:color="auto" w:fill="auto"/>
          </w:tcPr>
          <w:p w14:paraId="5EA1E0B0" w14:textId="77777777" w:rsidR="003C66EB" w:rsidRDefault="003C66EB">
            <w:pPr>
              <w:rPr>
                <w:rFonts w:ascii="宋体"/>
                <w:vanish/>
              </w:rPr>
            </w:pPr>
          </w:p>
        </w:tc>
      </w:tr>
      <w:tr w:rsidR="003C66EB" w14:paraId="5EA1E0BD" w14:textId="77777777">
        <w:trPr>
          <w:hidden/>
        </w:trPr>
        <w:tc>
          <w:tcPr>
            <w:tcW w:w="0" w:type="auto"/>
            <w:gridSpan w:val="3"/>
            <w:shd w:val="clear" w:color="auto" w:fill="auto"/>
          </w:tcPr>
          <w:p w14:paraId="5EA1E0B2" w14:textId="77777777" w:rsidR="003C66EB" w:rsidRDefault="003C66EB">
            <w:pPr>
              <w:rPr>
                <w:rFonts w:ascii="宋体"/>
                <w:vanish/>
              </w:rPr>
            </w:pPr>
          </w:p>
        </w:tc>
        <w:tc>
          <w:tcPr>
            <w:tcW w:w="0" w:type="auto"/>
            <w:gridSpan w:val="3"/>
            <w:shd w:val="clear" w:color="auto" w:fill="auto"/>
          </w:tcPr>
          <w:p w14:paraId="5EA1E0B3" w14:textId="77777777" w:rsidR="003C66EB" w:rsidRDefault="003C66EB">
            <w:pPr>
              <w:rPr>
                <w:rFonts w:ascii="宋体"/>
                <w:vanish/>
              </w:rPr>
            </w:pPr>
          </w:p>
        </w:tc>
        <w:tc>
          <w:tcPr>
            <w:tcW w:w="0" w:type="auto"/>
            <w:gridSpan w:val="3"/>
            <w:shd w:val="clear" w:color="auto" w:fill="auto"/>
          </w:tcPr>
          <w:p w14:paraId="5EA1E0B4" w14:textId="77777777" w:rsidR="003C66EB" w:rsidRDefault="003C66EB">
            <w:pPr>
              <w:rPr>
                <w:rFonts w:ascii="宋体"/>
                <w:vanish/>
              </w:rPr>
            </w:pPr>
          </w:p>
        </w:tc>
        <w:tc>
          <w:tcPr>
            <w:tcW w:w="0" w:type="auto"/>
            <w:gridSpan w:val="3"/>
            <w:shd w:val="clear" w:color="auto" w:fill="auto"/>
          </w:tcPr>
          <w:p w14:paraId="5EA1E0B5" w14:textId="77777777" w:rsidR="003C66EB" w:rsidRDefault="003C66EB">
            <w:pPr>
              <w:rPr>
                <w:rFonts w:ascii="宋体"/>
                <w:vanish/>
              </w:rPr>
            </w:pPr>
          </w:p>
        </w:tc>
        <w:tc>
          <w:tcPr>
            <w:tcW w:w="0" w:type="auto"/>
            <w:gridSpan w:val="3"/>
            <w:shd w:val="clear" w:color="auto" w:fill="auto"/>
          </w:tcPr>
          <w:p w14:paraId="5EA1E0B6" w14:textId="77777777" w:rsidR="003C66EB" w:rsidRDefault="003C66EB">
            <w:pPr>
              <w:rPr>
                <w:rFonts w:ascii="宋体"/>
                <w:vanish/>
              </w:rPr>
            </w:pPr>
          </w:p>
        </w:tc>
        <w:tc>
          <w:tcPr>
            <w:tcW w:w="0" w:type="auto"/>
            <w:shd w:val="clear" w:color="auto" w:fill="auto"/>
          </w:tcPr>
          <w:p w14:paraId="5EA1E0B7" w14:textId="77777777" w:rsidR="003C66EB" w:rsidRDefault="003C66EB">
            <w:pPr>
              <w:rPr>
                <w:rFonts w:ascii="宋体"/>
                <w:vanish/>
              </w:rPr>
            </w:pPr>
          </w:p>
        </w:tc>
        <w:tc>
          <w:tcPr>
            <w:tcW w:w="0" w:type="auto"/>
            <w:gridSpan w:val="3"/>
            <w:shd w:val="clear" w:color="auto" w:fill="auto"/>
          </w:tcPr>
          <w:p w14:paraId="5EA1E0B8" w14:textId="77777777" w:rsidR="003C66EB" w:rsidRDefault="003C66EB">
            <w:pPr>
              <w:rPr>
                <w:rFonts w:ascii="宋体"/>
                <w:vanish/>
              </w:rPr>
            </w:pPr>
          </w:p>
        </w:tc>
        <w:tc>
          <w:tcPr>
            <w:tcW w:w="0" w:type="auto"/>
            <w:gridSpan w:val="3"/>
            <w:shd w:val="clear" w:color="auto" w:fill="auto"/>
          </w:tcPr>
          <w:p w14:paraId="5EA1E0B9" w14:textId="77777777" w:rsidR="003C66EB" w:rsidRDefault="003C66EB">
            <w:pPr>
              <w:rPr>
                <w:rFonts w:ascii="宋体"/>
                <w:vanish/>
              </w:rPr>
            </w:pPr>
          </w:p>
        </w:tc>
        <w:tc>
          <w:tcPr>
            <w:tcW w:w="0" w:type="auto"/>
            <w:gridSpan w:val="3"/>
            <w:shd w:val="clear" w:color="auto" w:fill="auto"/>
          </w:tcPr>
          <w:p w14:paraId="5EA1E0BA" w14:textId="77777777" w:rsidR="003C66EB" w:rsidRDefault="003C66EB">
            <w:pPr>
              <w:rPr>
                <w:rFonts w:ascii="宋体"/>
                <w:vanish/>
              </w:rPr>
            </w:pPr>
          </w:p>
        </w:tc>
        <w:tc>
          <w:tcPr>
            <w:tcW w:w="0" w:type="auto"/>
            <w:gridSpan w:val="3"/>
            <w:shd w:val="clear" w:color="auto" w:fill="auto"/>
          </w:tcPr>
          <w:p w14:paraId="5EA1E0BB" w14:textId="77777777" w:rsidR="003C66EB" w:rsidRDefault="003C66EB">
            <w:pPr>
              <w:rPr>
                <w:rFonts w:ascii="宋体"/>
                <w:vanish/>
              </w:rPr>
            </w:pPr>
          </w:p>
        </w:tc>
        <w:tc>
          <w:tcPr>
            <w:tcW w:w="0" w:type="auto"/>
            <w:gridSpan w:val="3"/>
            <w:shd w:val="clear" w:color="auto" w:fill="auto"/>
          </w:tcPr>
          <w:p w14:paraId="5EA1E0BC" w14:textId="77777777" w:rsidR="003C66EB" w:rsidRDefault="003C66EB">
            <w:pPr>
              <w:rPr>
                <w:rFonts w:ascii="宋体"/>
                <w:vanish/>
              </w:rPr>
            </w:pPr>
          </w:p>
        </w:tc>
      </w:tr>
      <w:tr w:rsidR="003C66EB" w14:paraId="5EA1E0C9" w14:textId="77777777">
        <w:trPr>
          <w:hidden/>
        </w:trPr>
        <w:tc>
          <w:tcPr>
            <w:tcW w:w="0" w:type="auto"/>
            <w:gridSpan w:val="3"/>
            <w:shd w:val="clear" w:color="auto" w:fill="auto"/>
          </w:tcPr>
          <w:p w14:paraId="5EA1E0BE" w14:textId="77777777" w:rsidR="003C66EB" w:rsidRDefault="003C66EB">
            <w:pPr>
              <w:rPr>
                <w:rFonts w:ascii="宋体"/>
                <w:vanish/>
              </w:rPr>
            </w:pPr>
          </w:p>
        </w:tc>
        <w:tc>
          <w:tcPr>
            <w:tcW w:w="0" w:type="auto"/>
            <w:gridSpan w:val="3"/>
            <w:shd w:val="clear" w:color="auto" w:fill="auto"/>
          </w:tcPr>
          <w:p w14:paraId="5EA1E0BF" w14:textId="77777777" w:rsidR="003C66EB" w:rsidRDefault="003C66EB">
            <w:pPr>
              <w:rPr>
                <w:rFonts w:ascii="宋体"/>
                <w:vanish/>
              </w:rPr>
            </w:pPr>
          </w:p>
        </w:tc>
        <w:tc>
          <w:tcPr>
            <w:tcW w:w="0" w:type="auto"/>
            <w:gridSpan w:val="3"/>
            <w:shd w:val="clear" w:color="auto" w:fill="auto"/>
          </w:tcPr>
          <w:p w14:paraId="5EA1E0C0" w14:textId="77777777" w:rsidR="003C66EB" w:rsidRDefault="003C66EB">
            <w:pPr>
              <w:rPr>
                <w:rFonts w:ascii="宋体"/>
                <w:vanish/>
              </w:rPr>
            </w:pPr>
          </w:p>
        </w:tc>
        <w:tc>
          <w:tcPr>
            <w:tcW w:w="0" w:type="auto"/>
            <w:gridSpan w:val="3"/>
            <w:shd w:val="clear" w:color="auto" w:fill="auto"/>
          </w:tcPr>
          <w:p w14:paraId="5EA1E0C1" w14:textId="77777777" w:rsidR="003C66EB" w:rsidRDefault="003C66EB">
            <w:pPr>
              <w:rPr>
                <w:rFonts w:ascii="宋体"/>
                <w:vanish/>
              </w:rPr>
            </w:pPr>
          </w:p>
        </w:tc>
        <w:tc>
          <w:tcPr>
            <w:tcW w:w="0" w:type="auto"/>
            <w:gridSpan w:val="3"/>
            <w:shd w:val="clear" w:color="auto" w:fill="auto"/>
          </w:tcPr>
          <w:p w14:paraId="5EA1E0C2" w14:textId="77777777" w:rsidR="003C66EB" w:rsidRDefault="003C66EB">
            <w:pPr>
              <w:rPr>
                <w:rFonts w:ascii="宋体"/>
                <w:vanish/>
              </w:rPr>
            </w:pPr>
          </w:p>
        </w:tc>
        <w:tc>
          <w:tcPr>
            <w:tcW w:w="0" w:type="auto"/>
            <w:shd w:val="clear" w:color="auto" w:fill="auto"/>
          </w:tcPr>
          <w:p w14:paraId="5EA1E0C3" w14:textId="77777777" w:rsidR="003C66EB" w:rsidRDefault="003C66EB">
            <w:pPr>
              <w:rPr>
                <w:rFonts w:ascii="宋体"/>
                <w:vanish/>
              </w:rPr>
            </w:pPr>
          </w:p>
        </w:tc>
        <w:tc>
          <w:tcPr>
            <w:tcW w:w="0" w:type="auto"/>
            <w:gridSpan w:val="3"/>
            <w:shd w:val="clear" w:color="auto" w:fill="auto"/>
          </w:tcPr>
          <w:p w14:paraId="5EA1E0C4" w14:textId="77777777" w:rsidR="003C66EB" w:rsidRDefault="003C66EB">
            <w:pPr>
              <w:rPr>
                <w:rFonts w:ascii="宋体"/>
                <w:vanish/>
              </w:rPr>
            </w:pPr>
          </w:p>
        </w:tc>
        <w:tc>
          <w:tcPr>
            <w:tcW w:w="0" w:type="auto"/>
            <w:gridSpan w:val="3"/>
            <w:shd w:val="clear" w:color="auto" w:fill="auto"/>
          </w:tcPr>
          <w:p w14:paraId="5EA1E0C5" w14:textId="77777777" w:rsidR="003C66EB" w:rsidRDefault="003C66EB">
            <w:pPr>
              <w:rPr>
                <w:rFonts w:ascii="宋体"/>
                <w:vanish/>
              </w:rPr>
            </w:pPr>
          </w:p>
        </w:tc>
        <w:tc>
          <w:tcPr>
            <w:tcW w:w="0" w:type="auto"/>
            <w:gridSpan w:val="3"/>
            <w:shd w:val="clear" w:color="auto" w:fill="auto"/>
          </w:tcPr>
          <w:p w14:paraId="5EA1E0C6" w14:textId="77777777" w:rsidR="003C66EB" w:rsidRDefault="003C66EB">
            <w:pPr>
              <w:rPr>
                <w:rFonts w:ascii="宋体"/>
                <w:vanish/>
              </w:rPr>
            </w:pPr>
          </w:p>
        </w:tc>
        <w:tc>
          <w:tcPr>
            <w:tcW w:w="0" w:type="auto"/>
            <w:gridSpan w:val="3"/>
            <w:shd w:val="clear" w:color="auto" w:fill="auto"/>
          </w:tcPr>
          <w:p w14:paraId="5EA1E0C7" w14:textId="77777777" w:rsidR="003C66EB" w:rsidRDefault="003C66EB">
            <w:pPr>
              <w:rPr>
                <w:rFonts w:ascii="宋体"/>
                <w:vanish/>
              </w:rPr>
            </w:pPr>
          </w:p>
        </w:tc>
        <w:tc>
          <w:tcPr>
            <w:tcW w:w="0" w:type="auto"/>
            <w:gridSpan w:val="3"/>
            <w:shd w:val="clear" w:color="auto" w:fill="auto"/>
          </w:tcPr>
          <w:p w14:paraId="5EA1E0C8" w14:textId="77777777" w:rsidR="003C66EB" w:rsidRDefault="003C66EB">
            <w:pPr>
              <w:rPr>
                <w:rFonts w:ascii="宋体"/>
                <w:vanish/>
              </w:rPr>
            </w:pPr>
          </w:p>
        </w:tc>
      </w:tr>
      <w:tr w:rsidR="003C66EB" w14:paraId="5EA1E0D5" w14:textId="77777777">
        <w:trPr>
          <w:hidden/>
        </w:trPr>
        <w:tc>
          <w:tcPr>
            <w:tcW w:w="0" w:type="auto"/>
            <w:gridSpan w:val="3"/>
            <w:shd w:val="clear" w:color="auto" w:fill="auto"/>
          </w:tcPr>
          <w:p w14:paraId="5EA1E0CA" w14:textId="77777777" w:rsidR="003C66EB" w:rsidRDefault="003C66EB">
            <w:pPr>
              <w:rPr>
                <w:rFonts w:ascii="宋体"/>
                <w:vanish/>
              </w:rPr>
            </w:pPr>
          </w:p>
        </w:tc>
        <w:tc>
          <w:tcPr>
            <w:tcW w:w="0" w:type="auto"/>
            <w:gridSpan w:val="3"/>
            <w:shd w:val="clear" w:color="auto" w:fill="auto"/>
          </w:tcPr>
          <w:p w14:paraId="5EA1E0CB" w14:textId="77777777" w:rsidR="003C66EB" w:rsidRDefault="003C66EB">
            <w:pPr>
              <w:rPr>
                <w:rFonts w:ascii="宋体"/>
                <w:vanish/>
              </w:rPr>
            </w:pPr>
          </w:p>
        </w:tc>
        <w:tc>
          <w:tcPr>
            <w:tcW w:w="0" w:type="auto"/>
            <w:gridSpan w:val="3"/>
            <w:shd w:val="clear" w:color="auto" w:fill="auto"/>
          </w:tcPr>
          <w:p w14:paraId="5EA1E0CC" w14:textId="77777777" w:rsidR="003C66EB" w:rsidRDefault="003C66EB">
            <w:pPr>
              <w:rPr>
                <w:rFonts w:ascii="宋体"/>
                <w:vanish/>
              </w:rPr>
            </w:pPr>
          </w:p>
        </w:tc>
        <w:tc>
          <w:tcPr>
            <w:tcW w:w="0" w:type="auto"/>
            <w:gridSpan w:val="3"/>
            <w:shd w:val="clear" w:color="auto" w:fill="auto"/>
          </w:tcPr>
          <w:p w14:paraId="5EA1E0CD" w14:textId="77777777" w:rsidR="003C66EB" w:rsidRDefault="003C66EB">
            <w:pPr>
              <w:rPr>
                <w:rFonts w:ascii="宋体"/>
                <w:vanish/>
              </w:rPr>
            </w:pPr>
          </w:p>
        </w:tc>
        <w:tc>
          <w:tcPr>
            <w:tcW w:w="0" w:type="auto"/>
            <w:gridSpan w:val="3"/>
            <w:shd w:val="clear" w:color="auto" w:fill="auto"/>
          </w:tcPr>
          <w:p w14:paraId="5EA1E0CE" w14:textId="77777777" w:rsidR="003C66EB" w:rsidRDefault="003C66EB">
            <w:pPr>
              <w:rPr>
                <w:rFonts w:ascii="宋体"/>
                <w:vanish/>
              </w:rPr>
            </w:pPr>
          </w:p>
        </w:tc>
        <w:tc>
          <w:tcPr>
            <w:tcW w:w="0" w:type="auto"/>
            <w:shd w:val="clear" w:color="auto" w:fill="auto"/>
          </w:tcPr>
          <w:p w14:paraId="5EA1E0CF" w14:textId="77777777" w:rsidR="003C66EB" w:rsidRDefault="003C66EB">
            <w:pPr>
              <w:rPr>
                <w:rFonts w:ascii="宋体"/>
                <w:vanish/>
              </w:rPr>
            </w:pPr>
          </w:p>
        </w:tc>
        <w:tc>
          <w:tcPr>
            <w:tcW w:w="0" w:type="auto"/>
            <w:gridSpan w:val="3"/>
            <w:shd w:val="clear" w:color="auto" w:fill="auto"/>
          </w:tcPr>
          <w:p w14:paraId="5EA1E0D0" w14:textId="77777777" w:rsidR="003C66EB" w:rsidRDefault="003C66EB">
            <w:pPr>
              <w:rPr>
                <w:rFonts w:ascii="宋体"/>
                <w:vanish/>
              </w:rPr>
            </w:pPr>
          </w:p>
        </w:tc>
        <w:tc>
          <w:tcPr>
            <w:tcW w:w="0" w:type="auto"/>
            <w:gridSpan w:val="3"/>
            <w:shd w:val="clear" w:color="auto" w:fill="auto"/>
          </w:tcPr>
          <w:p w14:paraId="5EA1E0D1" w14:textId="77777777" w:rsidR="003C66EB" w:rsidRDefault="003C66EB">
            <w:pPr>
              <w:rPr>
                <w:rFonts w:ascii="宋体"/>
                <w:vanish/>
              </w:rPr>
            </w:pPr>
          </w:p>
        </w:tc>
        <w:tc>
          <w:tcPr>
            <w:tcW w:w="0" w:type="auto"/>
            <w:gridSpan w:val="3"/>
            <w:shd w:val="clear" w:color="auto" w:fill="auto"/>
          </w:tcPr>
          <w:p w14:paraId="5EA1E0D2" w14:textId="77777777" w:rsidR="003C66EB" w:rsidRDefault="003C66EB">
            <w:pPr>
              <w:rPr>
                <w:rFonts w:ascii="宋体"/>
                <w:vanish/>
              </w:rPr>
            </w:pPr>
          </w:p>
        </w:tc>
        <w:tc>
          <w:tcPr>
            <w:tcW w:w="0" w:type="auto"/>
            <w:gridSpan w:val="3"/>
            <w:shd w:val="clear" w:color="auto" w:fill="auto"/>
          </w:tcPr>
          <w:p w14:paraId="5EA1E0D3" w14:textId="77777777" w:rsidR="003C66EB" w:rsidRDefault="003C66EB">
            <w:pPr>
              <w:rPr>
                <w:rFonts w:ascii="宋体"/>
                <w:vanish/>
              </w:rPr>
            </w:pPr>
          </w:p>
        </w:tc>
        <w:tc>
          <w:tcPr>
            <w:tcW w:w="0" w:type="auto"/>
            <w:gridSpan w:val="3"/>
            <w:shd w:val="clear" w:color="auto" w:fill="auto"/>
          </w:tcPr>
          <w:p w14:paraId="5EA1E0D4" w14:textId="77777777" w:rsidR="003C66EB" w:rsidRDefault="003C66EB">
            <w:pPr>
              <w:rPr>
                <w:rFonts w:ascii="宋体"/>
                <w:vanish/>
              </w:rPr>
            </w:pPr>
          </w:p>
        </w:tc>
      </w:tr>
      <w:tr w:rsidR="003C66EB" w14:paraId="5EA1E0E1" w14:textId="77777777">
        <w:trPr>
          <w:hidden/>
        </w:trPr>
        <w:tc>
          <w:tcPr>
            <w:tcW w:w="0" w:type="auto"/>
            <w:gridSpan w:val="3"/>
            <w:shd w:val="clear" w:color="auto" w:fill="auto"/>
          </w:tcPr>
          <w:p w14:paraId="5EA1E0D6" w14:textId="77777777" w:rsidR="003C66EB" w:rsidRDefault="003C66EB">
            <w:pPr>
              <w:rPr>
                <w:rFonts w:ascii="宋体"/>
                <w:vanish/>
              </w:rPr>
            </w:pPr>
          </w:p>
        </w:tc>
        <w:tc>
          <w:tcPr>
            <w:tcW w:w="0" w:type="auto"/>
            <w:gridSpan w:val="3"/>
            <w:shd w:val="clear" w:color="auto" w:fill="auto"/>
          </w:tcPr>
          <w:p w14:paraId="5EA1E0D7" w14:textId="77777777" w:rsidR="003C66EB" w:rsidRDefault="003C66EB">
            <w:pPr>
              <w:rPr>
                <w:rFonts w:ascii="宋体"/>
                <w:vanish/>
              </w:rPr>
            </w:pPr>
          </w:p>
        </w:tc>
        <w:tc>
          <w:tcPr>
            <w:tcW w:w="0" w:type="auto"/>
            <w:gridSpan w:val="3"/>
            <w:shd w:val="clear" w:color="auto" w:fill="auto"/>
          </w:tcPr>
          <w:p w14:paraId="5EA1E0D8" w14:textId="77777777" w:rsidR="003C66EB" w:rsidRDefault="003C66EB">
            <w:pPr>
              <w:rPr>
                <w:rFonts w:ascii="宋体"/>
                <w:vanish/>
              </w:rPr>
            </w:pPr>
          </w:p>
        </w:tc>
        <w:tc>
          <w:tcPr>
            <w:tcW w:w="0" w:type="auto"/>
            <w:gridSpan w:val="3"/>
            <w:shd w:val="clear" w:color="auto" w:fill="auto"/>
          </w:tcPr>
          <w:p w14:paraId="5EA1E0D9" w14:textId="77777777" w:rsidR="003C66EB" w:rsidRDefault="003C66EB">
            <w:pPr>
              <w:rPr>
                <w:rFonts w:ascii="宋体"/>
                <w:vanish/>
              </w:rPr>
            </w:pPr>
          </w:p>
        </w:tc>
        <w:tc>
          <w:tcPr>
            <w:tcW w:w="0" w:type="auto"/>
            <w:gridSpan w:val="3"/>
            <w:shd w:val="clear" w:color="auto" w:fill="auto"/>
          </w:tcPr>
          <w:p w14:paraId="5EA1E0DA" w14:textId="77777777" w:rsidR="003C66EB" w:rsidRDefault="003C66EB">
            <w:pPr>
              <w:rPr>
                <w:rFonts w:ascii="宋体"/>
                <w:vanish/>
              </w:rPr>
            </w:pPr>
          </w:p>
        </w:tc>
        <w:tc>
          <w:tcPr>
            <w:tcW w:w="0" w:type="auto"/>
            <w:shd w:val="clear" w:color="auto" w:fill="auto"/>
          </w:tcPr>
          <w:p w14:paraId="5EA1E0DB" w14:textId="77777777" w:rsidR="003C66EB" w:rsidRDefault="003C66EB">
            <w:pPr>
              <w:rPr>
                <w:rFonts w:ascii="宋体"/>
                <w:vanish/>
              </w:rPr>
            </w:pPr>
          </w:p>
        </w:tc>
        <w:tc>
          <w:tcPr>
            <w:tcW w:w="0" w:type="auto"/>
            <w:gridSpan w:val="3"/>
            <w:shd w:val="clear" w:color="auto" w:fill="auto"/>
          </w:tcPr>
          <w:p w14:paraId="5EA1E0DC" w14:textId="77777777" w:rsidR="003C66EB" w:rsidRDefault="003C66EB">
            <w:pPr>
              <w:rPr>
                <w:rFonts w:ascii="宋体"/>
                <w:vanish/>
              </w:rPr>
            </w:pPr>
          </w:p>
        </w:tc>
        <w:tc>
          <w:tcPr>
            <w:tcW w:w="0" w:type="auto"/>
            <w:gridSpan w:val="3"/>
            <w:shd w:val="clear" w:color="auto" w:fill="auto"/>
          </w:tcPr>
          <w:p w14:paraId="5EA1E0DD" w14:textId="77777777" w:rsidR="003C66EB" w:rsidRDefault="003C66EB">
            <w:pPr>
              <w:rPr>
                <w:rFonts w:ascii="宋体"/>
                <w:vanish/>
              </w:rPr>
            </w:pPr>
          </w:p>
        </w:tc>
        <w:tc>
          <w:tcPr>
            <w:tcW w:w="0" w:type="auto"/>
            <w:gridSpan w:val="3"/>
            <w:shd w:val="clear" w:color="auto" w:fill="auto"/>
          </w:tcPr>
          <w:p w14:paraId="5EA1E0DE" w14:textId="77777777" w:rsidR="003C66EB" w:rsidRDefault="003C66EB">
            <w:pPr>
              <w:rPr>
                <w:rFonts w:ascii="宋体"/>
                <w:vanish/>
              </w:rPr>
            </w:pPr>
          </w:p>
        </w:tc>
        <w:tc>
          <w:tcPr>
            <w:tcW w:w="0" w:type="auto"/>
            <w:gridSpan w:val="3"/>
            <w:shd w:val="clear" w:color="auto" w:fill="auto"/>
          </w:tcPr>
          <w:p w14:paraId="5EA1E0DF" w14:textId="77777777" w:rsidR="003C66EB" w:rsidRDefault="003C66EB">
            <w:pPr>
              <w:rPr>
                <w:rFonts w:ascii="宋体"/>
                <w:vanish/>
              </w:rPr>
            </w:pPr>
          </w:p>
        </w:tc>
        <w:tc>
          <w:tcPr>
            <w:tcW w:w="0" w:type="auto"/>
            <w:gridSpan w:val="3"/>
            <w:shd w:val="clear" w:color="auto" w:fill="auto"/>
          </w:tcPr>
          <w:p w14:paraId="5EA1E0E0" w14:textId="77777777" w:rsidR="003C66EB" w:rsidRDefault="003C66EB">
            <w:pPr>
              <w:rPr>
                <w:rFonts w:ascii="宋体"/>
                <w:vanish/>
              </w:rPr>
            </w:pPr>
          </w:p>
        </w:tc>
      </w:tr>
      <w:tr w:rsidR="003C66EB" w14:paraId="5EA1E0ED" w14:textId="77777777">
        <w:trPr>
          <w:hidden/>
        </w:trPr>
        <w:tc>
          <w:tcPr>
            <w:tcW w:w="0" w:type="auto"/>
            <w:gridSpan w:val="3"/>
            <w:shd w:val="clear" w:color="auto" w:fill="auto"/>
          </w:tcPr>
          <w:p w14:paraId="5EA1E0E2" w14:textId="77777777" w:rsidR="003C66EB" w:rsidRDefault="003C66EB">
            <w:pPr>
              <w:rPr>
                <w:rFonts w:ascii="宋体"/>
                <w:vanish/>
              </w:rPr>
            </w:pPr>
          </w:p>
        </w:tc>
        <w:tc>
          <w:tcPr>
            <w:tcW w:w="0" w:type="auto"/>
            <w:gridSpan w:val="3"/>
            <w:shd w:val="clear" w:color="auto" w:fill="auto"/>
          </w:tcPr>
          <w:p w14:paraId="5EA1E0E3" w14:textId="77777777" w:rsidR="003C66EB" w:rsidRDefault="003C66EB">
            <w:pPr>
              <w:rPr>
                <w:rFonts w:ascii="宋体"/>
                <w:vanish/>
              </w:rPr>
            </w:pPr>
          </w:p>
        </w:tc>
        <w:tc>
          <w:tcPr>
            <w:tcW w:w="0" w:type="auto"/>
            <w:gridSpan w:val="3"/>
            <w:shd w:val="clear" w:color="auto" w:fill="auto"/>
          </w:tcPr>
          <w:p w14:paraId="5EA1E0E4" w14:textId="77777777" w:rsidR="003C66EB" w:rsidRDefault="003C66EB">
            <w:pPr>
              <w:rPr>
                <w:rFonts w:ascii="宋体"/>
                <w:vanish/>
              </w:rPr>
            </w:pPr>
          </w:p>
        </w:tc>
        <w:tc>
          <w:tcPr>
            <w:tcW w:w="0" w:type="auto"/>
            <w:gridSpan w:val="3"/>
            <w:shd w:val="clear" w:color="auto" w:fill="auto"/>
          </w:tcPr>
          <w:p w14:paraId="5EA1E0E5" w14:textId="77777777" w:rsidR="003C66EB" w:rsidRDefault="003C66EB">
            <w:pPr>
              <w:rPr>
                <w:rFonts w:ascii="宋体"/>
                <w:vanish/>
              </w:rPr>
            </w:pPr>
          </w:p>
        </w:tc>
        <w:tc>
          <w:tcPr>
            <w:tcW w:w="0" w:type="auto"/>
            <w:gridSpan w:val="3"/>
            <w:shd w:val="clear" w:color="auto" w:fill="auto"/>
          </w:tcPr>
          <w:p w14:paraId="5EA1E0E6" w14:textId="77777777" w:rsidR="003C66EB" w:rsidRDefault="003C66EB">
            <w:pPr>
              <w:rPr>
                <w:rFonts w:ascii="宋体"/>
                <w:vanish/>
              </w:rPr>
            </w:pPr>
          </w:p>
        </w:tc>
        <w:tc>
          <w:tcPr>
            <w:tcW w:w="0" w:type="auto"/>
            <w:shd w:val="clear" w:color="auto" w:fill="auto"/>
          </w:tcPr>
          <w:p w14:paraId="5EA1E0E7" w14:textId="77777777" w:rsidR="003C66EB" w:rsidRDefault="003C66EB">
            <w:pPr>
              <w:rPr>
                <w:rFonts w:ascii="宋体"/>
                <w:vanish/>
              </w:rPr>
            </w:pPr>
          </w:p>
        </w:tc>
        <w:tc>
          <w:tcPr>
            <w:tcW w:w="0" w:type="auto"/>
            <w:gridSpan w:val="3"/>
            <w:shd w:val="clear" w:color="auto" w:fill="auto"/>
          </w:tcPr>
          <w:p w14:paraId="5EA1E0E8" w14:textId="77777777" w:rsidR="003C66EB" w:rsidRDefault="003C66EB">
            <w:pPr>
              <w:rPr>
                <w:rFonts w:ascii="宋体"/>
                <w:vanish/>
              </w:rPr>
            </w:pPr>
          </w:p>
        </w:tc>
        <w:tc>
          <w:tcPr>
            <w:tcW w:w="0" w:type="auto"/>
            <w:gridSpan w:val="3"/>
            <w:shd w:val="clear" w:color="auto" w:fill="auto"/>
          </w:tcPr>
          <w:p w14:paraId="5EA1E0E9" w14:textId="77777777" w:rsidR="003C66EB" w:rsidRDefault="003C66EB">
            <w:pPr>
              <w:rPr>
                <w:rFonts w:ascii="宋体"/>
                <w:vanish/>
              </w:rPr>
            </w:pPr>
          </w:p>
        </w:tc>
        <w:tc>
          <w:tcPr>
            <w:tcW w:w="0" w:type="auto"/>
            <w:gridSpan w:val="3"/>
            <w:shd w:val="clear" w:color="auto" w:fill="auto"/>
          </w:tcPr>
          <w:p w14:paraId="5EA1E0EA" w14:textId="77777777" w:rsidR="003C66EB" w:rsidRDefault="003C66EB">
            <w:pPr>
              <w:rPr>
                <w:rFonts w:ascii="宋体"/>
                <w:vanish/>
              </w:rPr>
            </w:pPr>
          </w:p>
        </w:tc>
        <w:tc>
          <w:tcPr>
            <w:tcW w:w="0" w:type="auto"/>
            <w:gridSpan w:val="3"/>
            <w:shd w:val="clear" w:color="auto" w:fill="auto"/>
          </w:tcPr>
          <w:p w14:paraId="5EA1E0EB" w14:textId="77777777" w:rsidR="003C66EB" w:rsidRDefault="003C66EB">
            <w:pPr>
              <w:rPr>
                <w:rFonts w:ascii="宋体"/>
                <w:vanish/>
              </w:rPr>
            </w:pPr>
          </w:p>
        </w:tc>
        <w:tc>
          <w:tcPr>
            <w:tcW w:w="0" w:type="auto"/>
            <w:gridSpan w:val="3"/>
            <w:shd w:val="clear" w:color="auto" w:fill="auto"/>
          </w:tcPr>
          <w:p w14:paraId="5EA1E0EC" w14:textId="77777777" w:rsidR="003C66EB" w:rsidRDefault="003C66EB">
            <w:pPr>
              <w:rPr>
                <w:rFonts w:ascii="宋体"/>
                <w:vanish/>
              </w:rPr>
            </w:pPr>
          </w:p>
        </w:tc>
      </w:tr>
      <w:tr w:rsidR="003C66EB" w14:paraId="5EA1E0F9" w14:textId="77777777">
        <w:trPr>
          <w:hidden/>
        </w:trPr>
        <w:tc>
          <w:tcPr>
            <w:tcW w:w="0" w:type="auto"/>
            <w:gridSpan w:val="3"/>
            <w:shd w:val="clear" w:color="auto" w:fill="auto"/>
          </w:tcPr>
          <w:p w14:paraId="5EA1E0EE" w14:textId="77777777" w:rsidR="003C66EB" w:rsidRDefault="003C66EB">
            <w:pPr>
              <w:rPr>
                <w:rFonts w:ascii="宋体"/>
                <w:vanish/>
              </w:rPr>
            </w:pPr>
          </w:p>
        </w:tc>
        <w:tc>
          <w:tcPr>
            <w:tcW w:w="0" w:type="auto"/>
            <w:gridSpan w:val="3"/>
            <w:shd w:val="clear" w:color="auto" w:fill="auto"/>
          </w:tcPr>
          <w:p w14:paraId="5EA1E0EF" w14:textId="77777777" w:rsidR="003C66EB" w:rsidRDefault="003C66EB">
            <w:pPr>
              <w:rPr>
                <w:rFonts w:ascii="宋体"/>
                <w:vanish/>
              </w:rPr>
            </w:pPr>
          </w:p>
        </w:tc>
        <w:tc>
          <w:tcPr>
            <w:tcW w:w="0" w:type="auto"/>
            <w:gridSpan w:val="3"/>
            <w:shd w:val="clear" w:color="auto" w:fill="auto"/>
          </w:tcPr>
          <w:p w14:paraId="5EA1E0F0" w14:textId="77777777" w:rsidR="003C66EB" w:rsidRDefault="003C66EB">
            <w:pPr>
              <w:rPr>
                <w:rFonts w:ascii="宋体"/>
                <w:vanish/>
              </w:rPr>
            </w:pPr>
          </w:p>
        </w:tc>
        <w:tc>
          <w:tcPr>
            <w:tcW w:w="0" w:type="auto"/>
            <w:gridSpan w:val="3"/>
            <w:shd w:val="clear" w:color="auto" w:fill="auto"/>
          </w:tcPr>
          <w:p w14:paraId="5EA1E0F1" w14:textId="77777777" w:rsidR="003C66EB" w:rsidRDefault="003C66EB">
            <w:pPr>
              <w:rPr>
                <w:rFonts w:ascii="宋体"/>
                <w:vanish/>
              </w:rPr>
            </w:pPr>
          </w:p>
        </w:tc>
        <w:tc>
          <w:tcPr>
            <w:tcW w:w="0" w:type="auto"/>
            <w:gridSpan w:val="3"/>
            <w:shd w:val="clear" w:color="auto" w:fill="auto"/>
          </w:tcPr>
          <w:p w14:paraId="5EA1E0F2" w14:textId="77777777" w:rsidR="003C66EB" w:rsidRDefault="003C66EB">
            <w:pPr>
              <w:rPr>
                <w:rFonts w:ascii="宋体"/>
                <w:vanish/>
              </w:rPr>
            </w:pPr>
          </w:p>
        </w:tc>
        <w:tc>
          <w:tcPr>
            <w:tcW w:w="0" w:type="auto"/>
            <w:shd w:val="clear" w:color="auto" w:fill="auto"/>
          </w:tcPr>
          <w:p w14:paraId="5EA1E0F3" w14:textId="77777777" w:rsidR="003C66EB" w:rsidRDefault="003C66EB">
            <w:pPr>
              <w:rPr>
                <w:rFonts w:ascii="宋体"/>
                <w:vanish/>
              </w:rPr>
            </w:pPr>
          </w:p>
        </w:tc>
        <w:tc>
          <w:tcPr>
            <w:tcW w:w="0" w:type="auto"/>
            <w:gridSpan w:val="3"/>
            <w:shd w:val="clear" w:color="auto" w:fill="auto"/>
          </w:tcPr>
          <w:p w14:paraId="5EA1E0F4" w14:textId="77777777" w:rsidR="003C66EB" w:rsidRDefault="003C66EB">
            <w:pPr>
              <w:rPr>
                <w:rFonts w:ascii="宋体"/>
                <w:vanish/>
              </w:rPr>
            </w:pPr>
          </w:p>
        </w:tc>
        <w:tc>
          <w:tcPr>
            <w:tcW w:w="0" w:type="auto"/>
            <w:gridSpan w:val="3"/>
            <w:shd w:val="clear" w:color="auto" w:fill="auto"/>
          </w:tcPr>
          <w:p w14:paraId="5EA1E0F5" w14:textId="77777777" w:rsidR="003C66EB" w:rsidRDefault="003C66EB">
            <w:pPr>
              <w:rPr>
                <w:rFonts w:ascii="宋体"/>
                <w:vanish/>
              </w:rPr>
            </w:pPr>
          </w:p>
        </w:tc>
        <w:tc>
          <w:tcPr>
            <w:tcW w:w="0" w:type="auto"/>
            <w:gridSpan w:val="3"/>
            <w:shd w:val="clear" w:color="auto" w:fill="auto"/>
          </w:tcPr>
          <w:p w14:paraId="5EA1E0F6" w14:textId="77777777" w:rsidR="003C66EB" w:rsidRDefault="003C66EB">
            <w:pPr>
              <w:rPr>
                <w:rFonts w:ascii="宋体"/>
                <w:vanish/>
              </w:rPr>
            </w:pPr>
          </w:p>
        </w:tc>
        <w:tc>
          <w:tcPr>
            <w:tcW w:w="0" w:type="auto"/>
            <w:gridSpan w:val="3"/>
            <w:shd w:val="clear" w:color="auto" w:fill="auto"/>
          </w:tcPr>
          <w:p w14:paraId="5EA1E0F7" w14:textId="77777777" w:rsidR="003C66EB" w:rsidRDefault="003C66EB">
            <w:pPr>
              <w:rPr>
                <w:rFonts w:ascii="宋体"/>
                <w:vanish/>
              </w:rPr>
            </w:pPr>
          </w:p>
        </w:tc>
        <w:tc>
          <w:tcPr>
            <w:tcW w:w="0" w:type="auto"/>
            <w:gridSpan w:val="3"/>
            <w:shd w:val="clear" w:color="auto" w:fill="auto"/>
          </w:tcPr>
          <w:p w14:paraId="5EA1E0F8" w14:textId="77777777" w:rsidR="003C66EB" w:rsidRDefault="003C66EB">
            <w:pPr>
              <w:rPr>
                <w:rFonts w:ascii="宋体"/>
                <w:vanish/>
              </w:rPr>
            </w:pPr>
          </w:p>
        </w:tc>
      </w:tr>
      <w:tr w:rsidR="003C66EB" w14:paraId="5EA1E105" w14:textId="77777777">
        <w:trPr>
          <w:hidden/>
        </w:trPr>
        <w:tc>
          <w:tcPr>
            <w:tcW w:w="0" w:type="auto"/>
            <w:gridSpan w:val="3"/>
            <w:shd w:val="clear" w:color="auto" w:fill="auto"/>
          </w:tcPr>
          <w:p w14:paraId="5EA1E0FA" w14:textId="77777777" w:rsidR="003C66EB" w:rsidRDefault="003C66EB">
            <w:pPr>
              <w:rPr>
                <w:rFonts w:ascii="宋体"/>
                <w:vanish/>
              </w:rPr>
            </w:pPr>
          </w:p>
        </w:tc>
        <w:tc>
          <w:tcPr>
            <w:tcW w:w="0" w:type="auto"/>
            <w:gridSpan w:val="3"/>
            <w:shd w:val="clear" w:color="auto" w:fill="auto"/>
          </w:tcPr>
          <w:p w14:paraId="5EA1E0FB" w14:textId="77777777" w:rsidR="003C66EB" w:rsidRDefault="003C66EB">
            <w:pPr>
              <w:rPr>
                <w:rFonts w:ascii="宋体"/>
                <w:vanish/>
              </w:rPr>
            </w:pPr>
          </w:p>
        </w:tc>
        <w:tc>
          <w:tcPr>
            <w:tcW w:w="0" w:type="auto"/>
            <w:gridSpan w:val="3"/>
            <w:shd w:val="clear" w:color="auto" w:fill="auto"/>
          </w:tcPr>
          <w:p w14:paraId="5EA1E0FC" w14:textId="77777777" w:rsidR="003C66EB" w:rsidRDefault="003C66EB">
            <w:pPr>
              <w:rPr>
                <w:rFonts w:ascii="宋体"/>
                <w:vanish/>
              </w:rPr>
            </w:pPr>
          </w:p>
        </w:tc>
        <w:tc>
          <w:tcPr>
            <w:tcW w:w="0" w:type="auto"/>
            <w:gridSpan w:val="3"/>
            <w:shd w:val="clear" w:color="auto" w:fill="auto"/>
          </w:tcPr>
          <w:p w14:paraId="5EA1E0FD" w14:textId="77777777" w:rsidR="003C66EB" w:rsidRDefault="003C66EB">
            <w:pPr>
              <w:rPr>
                <w:rFonts w:ascii="宋体"/>
                <w:vanish/>
              </w:rPr>
            </w:pPr>
          </w:p>
        </w:tc>
        <w:tc>
          <w:tcPr>
            <w:tcW w:w="0" w:type="auto"/>
            <w:gridSpan w:val="3"/>
            <w:shd w:val="clear" w:color="auto" w:fill="auto"/>
          </w:tcPr>
          <w:p w14:paraId="5EA1E0FE" w14:textId="77777777" w:rsidR="003C66EB" w:rsidRDefault="003C66EB">
            <w:pPr>
              <w:rPr>
                <w:rFonts w:ascii="宋体"/>
                <w:vanish/>
              </w:rPr>
            </w:pPr>
          </w:p>
        </w:tc>
        <w:tc>
          <w:tcPr>
            <w:tcW w:w="0" w:type="auto"/>
            <w:shd w:val="clear" w:color="auto" w:fill="auto"/>
          </w:tcPr>
          <w:p w14:paraId="5EA1E0FF" w14:textId="77777777" w:rsidR="003C66EB" w:rsidRDefault="003C66EB">
            <w:pPr>
              <w:rPr>
                <w:rFonts w:ascii="宋体"/>
                <w:vanish/>
              </w:rPr>
            </w:pPr>
          </w:p>
        </w:tc>
        <w:tc>
          <w:tcPr>
            <w:tcW w:w="0" w:type="auto"/>
            <w:gridSpan w:val="3"/>
            <w:shd w:val="clear" w:color="auto" w:fill="auto"/>
          </w:tcPr>
          <w:p w14:paraId="5EA1E100" w14:textId="77777777" w:rsidR="003C66EB" w:rsidRDefault="003C66EB">
            <w:pPr>
              <w:rPr>
                <w:rFonts w:ascii="宋体"/>
                <w:vanish/>
              </w:rPr>
            </w:pPr>
          </w:p>
        </w:tc>
        <w:tc>
          <w:tcPr>
            <w:tcW w:w="0" w:type="auto"/>
            <w:gridSpan w:val="3"/>
            <w:shd w:val="clear" w:color="auto" w:fill="auto"/>
          </w:tcPr>
          <w:p w14:paraId="5EA1E101" w14:textId="77777777" w:rsidR="003C66EB" w:rsidRDefault="003C66EB">
            <w:pPr>
              <w:rPr>
                <w:rFonts w:ascii="宋体"/>
                <w:vanish/>
              </w:rPr>
            </w:pPr>
          </w:p>
        </w:tc>
        <w:tc>
          <w:tcPr>
            <w:tcW w:w="0" w:type="auto"/>
            <w:gridSpan w:val="3"/>
            <w:shd w:val="clear" w:color="auto" w:fill="auto"/>
          </w:tcPr>
          <w:p w14:paraId="5EA1E102" w14:textId="77777777" w:rsidR="003C66EB" w:rsidRDefault="003C66EB">
            <w:pPr>
              <w:rPr>
                <w:rFonts w:ascii="宋体"/>
                <w:vanish/>
              </w:rPr>
            </w:pPr>
          </w:p>
        </w:tc>
        <w:tc>
          <w:tcPr>
            <w:tcW w:w="0" w:type="auto"/>
            <w:gridSpan w:val="3"/>
            <w:shd w:val="clear" w:color="auto" w:fill="auto"/>
          </w:tcPr>
          <w:p w14:paraId="5EA1E103" w14:textId="77777777" w:rsidR="003C66EB" w:rsidRDefault="003C66EB">
            <w:pPr>
              <w:rPr>
                <w:rFonts w:ascii="宋体"/>
                <w:vanish/>
              </w:rPr>
            </w:pPr>
          </w:p>
        </w:tc>
        <w:tc>
          <w:tcPr>
            <w:tcW w:w="0" w:type="auto"/>
            <w:gridSpan w:val="3"/>
            <w:shd w:val="clear" w:color="auto" w:fill="auto"/>
          </w:tcPr>
          <w:p w14:paraId="5EA1E104" w14:textId="77777777" w:rsidR="003C66EB" w:rsidRDefault="003C66EB">
            <w:pPr>
              <w:rPr>
                <w:rFonts w:ascii="宋体"/>
                <w:vanish/>
              </w:rPr>
            </w:pPr>
          </w:p>
        </w:tc>
      </w:tr>
      <w:tr w:rsidR="003C66EB" w14:paraId="5EA1E10F" w14:textId="77777777">
        <w:trPr>
          <w:trHeight w:val="420"/>
        </w:trPr>
        <w:tc>
          <w:tcPr>
            <w:tcW w:w="0" w:type="auto"/>
            <w:gridSpan w:val="3"/>
            <w:shd w:val="clear" w:color="auto" w:fill="auto"/>
            <w:tcMar>
              <w:top w:w="0" w:type="dxa"/>
              <w:left w:w="20" w:type="dxa"/>
              <w:bottom w:w="0" w:type="dxa"/>
              <w:right w:w="20" w:type="dxa"/>
            </w:tcMar>
          </w:tcPr>
          <w:p w14:paraId="5EA1E106"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1E107" w14:textId="77777777" w:rsidR="003C66EB" w:rsidRDefault="00D96C4E">
            <w:pPr>
              <w:jc w:val="center"/>
              <w:textAlignment w:val="bottom"/>
            </w:pPr>
            <w:r>
              <w:rPr>
                <w:rFonts w:ascii="Arial" w:eastAsia="宋体" w:hAnsi="Arial" w:cs="Arial"/>
                <w:b/>
                <w:bCs/>
                <w:color w:val="000000"/>
                <w:sz w:val="15"/>
                <w:szCs w:val="15"/>
              </w:rPr>
              <w:t xml:space="preserve">Three </w:t>
            </w:r>
            <w:r>
              <w:rPr>
                <w:rFonts w:ascii="Arial" w:eastAsia="宋体" w:hAnsi="Arial" w:cs="Arial"/>
                <w:b/>
                <w:bCs/>
                <w:color w:val="000000"/>
                <w:sz w:val="15"/>
                <w:szCs w:val="15"/>
              </w:rPr>
              <w:t>Months Ended March 31,</w:t>
            </w:r>
          </w:p>
        </w:tc>
        <w:tc>
          <w:tcPr>
            <w:tcW w:w="0" w:type="auto"/>
            <w:gridSpan w:val="3"/>
            <w:shd w:val="clear" w:color="auto" w:fill="auto"/>
            <w:tcMar>
              <w:top w:w="0" w:type="dxa"/>
              <w:left w:w="20" w:type="dxa"/>
              <w:bottom w:w="0" w:type="dxa"/>
              <w:right w:w="20" w:type="dxa"/>
            </w:tcMar>
          </w:tcPr>
          <w:p w14:paraId="5EA1E108" w14:textId="77777777" w:rsidR="003C66EB" w:rsidRDefault="003C66EB">
            <w:pPr>
              <w:rPr>
                <w:rFonts w:ascii="宋体"/>
              </w:rPr>
            </w:pPr>
          </w:p>
        </w:tc>
        <w:tc>
          <w:tcPr>
            <w:tcW w:w="0" w:type="auto"/>
            <w:shd w:val="clear" w:color="auto" w:fill="auto"/>
          </w:tcPr>
          <w:p w14:paraId="5EA1E109" w14:textId="77777777" w:rsidR="003C66EB" w:rsidRDefault="003C66EB">
            <w:pPr>
              <w:rPr>
                <w:rFonts w:ascii="宋体"/>
                <w:vanish/>
              </w:rPr>
            </w:pPr>
          </w:p>
        </w:tc>
        <w:tc>
          <w:tcPr>
            <w:tcW w:w="0" w:type="auto"/>
            <w:gridSpan w:val="3"/>
            <w:shd w:val="clear" w:color="auto" w:fill="auto"/>
          </w:tcPr>
          <w:p w14:paraId="5EA1E10A" w14:textId="77777777" w:rsidR="003C66EB" w:rsidRDefault="003C66EB">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5EA1E10B" w14:textId="77777777" w:rsidR="003C66EB" w:rsidRDefault="00D96C4E">
            <w:pPr>
              <w:jc w:val="center"/>
              <w:textAlignment w:val="bottom"/>
            </w:pPr>
            <w:r>
              <w:rPr>
                <w:rFonts w:ascii="Arial" w:eastAsia="宋体" w:hAnsi="Arial" w:cs="Arial"/>
                <w:b/>
                <w:bCs/>
                <w:color w:val="000000"/>
                <w:sz w:val="15"/>
                <w:szCs w:val="15"/>
              </w:rPr>
              <w:t xml:space="preserve">% Change </w:t>
            </w:r>
          </w:p>
        </w:tc>
        <w:tc>
          <w:tcPr>
            <w:tcW w:w="0" w:type="auto"/>
            <w:gridSpan w:val="3"/>
            <w:shd w:val="clear" w:color="auto" w:fill="auto"/>
          </w:tcPr>
          <w:p w14:paraId="5EA1E10C" w14:textId="77777777" w:rsidR="003C66EB" w:rsidRDefault="003C66EB">
            <w:pPr>
              <w:rPr>
                <w:rFonts w:ascii="宋体"/>
                <w:vanish/>
              </w:rPr>
            </w:pPr>
          </w:p>
        </w:tc>
        <w:tc>
          <w:tcPr>
            <w:tcW w:w="0" w:type="auto"/>
            <w:gridSpan w:val="3"/>
            <w:shd w:val="clear" w:color="auto" w:fill="auto"/>
          </w:tcPr>
          <w:p w14:paraId="5EA1E10D" w14:textId="77777777" w:rsidR="003C66EB" w:rsidRDefault="003C66EB">
            <w:pPr>
              <w:rPr>
                <w:rFonts w:ascii="宋体"/>
                <w:vanish/>
              </w:rPr>
            </w:pPr>
          </w:p>
        </w:tc>
        <w:tc>
          <w:tcPr>
            <w:tcW w:w="0" w:type="auto"/>
            <w:gridSpan w:val="3"/>
            <w:shd w:val="clear" w:color="auto" w:fill="auto"/>
          </w:tcPr>
          <w:p w14:paraId="5EA1E10E" w14:textId="77777777" w:rsidR="003C66EB" w:rsidRDefault="003C66EB">
            <w:pPr>
              <w:rPr>
                <w:rFonts w:ascii="宋体"/>
                <w:vanish/>
              </w:rPr>
            </w:pPr>
          </w:p>
        </w:tc>
      </w:tr>
      <w:tr w:rsidR="003C66EB" w14:paraId="5EA1E11D" w14:textId="77777777">
        <w:trPr>
          <w:trHeight w:val="240"/>
        </w:trPr>
        <w:tc>
          <w:tcPr>
            <w:tcW w:w="0" w:type="auto"/>
            <w:gridSpan w:val="3"/>
            <w:shd w:val="clear" w:color="auto" w:fill="auto"/>
            <w:tcMar>
              <w:top w:w="40" w:type="dxa"/>
              <w:left w:w="20" w:type="dxa"/>
              <w:bottom w:w="40" w:type="dxa"/>
              <w:right w:w="20" w:type="dxa"/>
            </w:tcMar>
            <w:vAlign w:val="bottom"/>
          </w:tcPr>
          <w:p w14:paraId="5EA1E110" w14:textId="77777777" w:rsidR="003C66EB" w:rsidRDefault="00D96C4E">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111" w14:textId="77777777" w:rsidR="003C66EB" w:rsidRDefault="00D96C4E">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11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113" w14:textId="77777777" w:rsidR="003C66EB" w:rsidRDefault="00D96C4E">
            <w:pPr>
              <w:jc w:val="center"/>
              <w:textAlignment w:val="bottom"/>
            </w:pPr>
            <w:r>
              <w:rPr>
                <w:rFonts w:ascii="Arial" w:eastAsia="宋体" w:hAnsi="Arial" w:cs="Arial"/>
                <w:b/>
                <w:bCs/>
                <w:color w:val="000000"/>
                <w:sz w:val="15"/>
                <w:szCs w:val="15"/>
              </w:rPr>
              <w:t>2020</w:t>
            </w:r>
          </w:p>
        </w:tc>
        <w:tc>
          <w:tcPr>
            <w:tcW w:w="0" w:type="auto"/>
            <w:gridSpan w:val="3"/>
            <w:shd w:val="clear" w:color="auto" w:fill="auto"/>
            <w:tcMar>
              <w:top w:w="0" w:type="dxa"/>
              <w:left w:w="20" w:type="dxa"/>
              <w:bottom w:w="0" w:type="dxa"/>
              <w:right w:w="20" w:type="dxa"/>
            </w:tcMar>
          </w:tcPr>
          <w:p w14:paraId="5EA1E114" w14:textId="77777777" w:rsidR="003C66EB" w:rsidRDefault="003C66EB">
            <w:pPr>
              <w:rPr>
                <w:rFonts w:ascii="宋体"/>
              </w:rPr>
            </w:pPr>
          </w:p>
        </w:tc>
        <w:tc>
          <w:tcPr>
            <w:tcW w:w="0" w:type="auto"/>
            <w:shd w:val="clear" w:color="auto" w:fill="auto"/>
          </w:tcPr>
          <w:p w14:paraId="5EA1E115" w14:textId="77777777" w:rsidR="003C66EB" w:rsidRDefault="003C66EB">
            <w:pPr>
              <w:rPr>
                <w:rFonts w:ascii="宋体"/>
                <w:vanish/>
              </w:rPr>
            </w:pPr>
          </w:p>
        </w:tc>
        <w:tc>
          <w:tcPr>
            <w:tcW w:w="0" w:type="auto"/>
            <w:gridSpan w:val="3"/>
            <w:shd w:val="clear" w:color="auto" w:fill="auto"/>
          </w:tcPr>
          <w:p w14:paraId="5EA1E116" w14:textId="77777777" w:rsidR="003C66EB" w:rsidRDefault="003C66EB">
            <w:pPr>
              <w:rPr>
                <w:rFonts w:ascii="宋体"/>
                <w:vanish/>
              </w:rPr>
            </w:pPr>
          </w:p>
        </w:tc>
        <w:tc>
          <w:tcPr>
            <w:tcW w:w="0" w:type="auto"/>
            <w:gridSpan w:val="3"/>
            <w:vMerge/>
            <w:shd w:val="clear" w:color="auto" w:fill="auto"/>
            <w:tcMar>
              <w:top w:w="40" w:type="dxa"/>
              <w:left w:w="20" w:type="dxa"/>
              <w:bottom w:w="40" w:type="dxa"/>
              <w:right w:w="20" w:type="dxa"/>
            </w:tcMar>
            <w:vAlign w:val="bottom"/>
          </w:tcPr>
          <w:p w14:paraId="5EA1E117" w14:textId="77777777" w:rsidR="003C66EB" w:rsidRDefault="003C66EB">
            <w:pPr>
              <w:jc w:val="center"/>
              <w:rPr>
                <w:rFonts w:ascii="宋体"/>
              </w:rPr>
            </w:pPr>
          </w:p>
        </w:tc>
        <w:tc>
          <w:tcPr>
            <w:tcW w:w="0" w:type="auto"/>
            <w:gridSpan w:val="3"/>
            <w:shd w:val="clear" w:color="auto" w:fill="auto"/>
          </w:tcPr>
          <w:p w14:paraId="5EA1E118" w14:textId="77777777" w:rsidR="003C66EB" w:rsidRDefault="003C66EB">
            <w:pPr>
              <w:rPr>
                <w:rFonts w:ascii="宋体"/>
                <w:vanish/>
              </w:rPr>
            </w:pPr>
          </w:p>
        </w:tc>
        <w:tc>
          <w:tcPr>
            <w:tcW w:w="0" w:type="auto"/>
            <w:gridSpan w:val="3"/>
            <w:shd w:val="clear" w:color="auto" w:fill="auto"/>
          </w:tcPr>
          <w:p w14:paraId="5EA1E119" w14:textId="77777777" w:rsidR="003C66EB" w:rsidRDefault="003C66EB">
            <w:pPr>
              <w:rPr>
                <w:rFonts w:ascii="宋体"/>
                <w:vanish/>
              </w:rPr>
            </w:pPr>
          </w:p>
        </w:tc>
        <w:tc>
          <w:tcPr>
            <w:tcW w:w="0" w:type="auto"/>
            <w:shd w:val="clear" w:color="auto" w:fill="auto"/>
          </w:tcPr>
          <w:p w14:paraId="5EA1E11A" w14:textId="77777777" w:rsidR="003C66EB" w:rsidRDefault="003C66EB">
            <w:pPr>
              <w:rPr>
                <w:rFonts w:ascii="宋体"/>
              </w:rPr>
            </w:pPr>
          </w:p>
        </w:tc>
        <w:tc>
          <w:tcPr>
            <w:tcW w:w="0" w:type="auto"/>
            <w:shd w:val="clear" w:color="auto" w:fill="auto"/>
          </w:tcPr>
          <w:p w14:paraId="5EA1E11B" w14:textId="77777777" w:rsidR="003C66EB" w:rsidRDefault="003C66EB">
            <w:pPr>
              <w:rPr>
                <w:rFonts w:ascii="宋体"/>
              </w:rPr>
            </w:pPr>
          </w:p>
        </w:tc>
        <w:tc>
          <w:tcPr>
            <w:tcW w:w="0" w:type="auto"/>
            <w:shd w:val="clear" w:color="auto" w:fill="auto"/>
          </w:tcPr>
          <w:p w14:paraId="5EA1E11C" w14:textId="77777777" w:rsidR="003C66EB" w:rsidRDefault="003C66EB">
            <w:pPr>
              <w:rPr>
                <w:rFonts w:ascii="宋体"/>
              </w:rPr>
            </w:pPr>
          </w:p>
        </w:tc>
      </w:tr>
      <w:tr w:rsidR="003C66EB" w14:paraId="5EA1E129" w14:textId="77777777">
        <w:tc>
          <w:tcPr>
            <w:tcW w:w="0" w:type="auto"/>
            <w:gridSpan w:val="3"/>
            <w:shd w:val="clear" w:color="auto" w:fill="FFFFFF"/>
            <w:tcMar>
              <w:top w:w="40" w:type="dxa"/>
              <w:left w:w="20" w:type="dxa"/>
              <w:bottom w:w="40" w:type="dxa"/>
              <w:right w:w="20" w:type="dxa"/>
            </w:tcMar>
            <w:vAlign w:val="bottom"/>
          </w:tcPr>
          <w:p w14:paraId="5EA1E11E" w14:textId="77777777" w:rsidR="003C66EB" w:rsidRDefault="00D96C4E">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FFFFFF"/>
            <w:tcMar>
              <w:top w:w="0" w:type="dxa"/>
              <w:left w:w="20" w:type="dxa"/>
              <w:bottom w:w="0" w:type="dxa"/>
              <w:right w:w="20" w:type="dxa"/>
            </w:tcMar>
          </w:tcPr>
          <w:p w14:paraId="5EA1E11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120"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1E12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122" w14:textId="77777777" w:rsidR="003C66EB" w:rsidRDefault="003C66EB">
            <w:pPr>
              <w:rPr>
                <w:rFonts w:ascii="宋体"/>
              </w:rPr>
            </w:pPr>
          </w:p>
        </w:tc>
        <w:tc>
          <w:tcPr>
            <w:tcW w:w="0" w:type="auto"/>
            <w:shd w:val="clear" w:color="auto" w:fill="auto"/>
          </w:tcPr>
          <w:p w14:paraId="5EA1E123" w14:textId="77777777" w:rsidR="003C66EB" w:rsidRDefault="003C66EB">
            <w:pPr>
              <w:rPr>
                <w:rFonts w:ascii="宋体"/>
                <w:vanish/>
              </w:rPr>
            </w:pPr>
          </w:p>
        </w:tc>
        <w:tc>
          <w:tcPr>
            <w:tcW w:w="0" w:type="auto"/>
            <w:gridSpan w:val="3"/>
            <w:shd w:val="clear" w:color="auto" w:fill="auto"/>
          </w:tcPr>
          <w:p w14:paraId="5EA1E124" w14:textId="77777777" w:rsidR="003C66EB" w:rsidRDefault="003C66EB">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1E125" w14:textId="77777777" w:rsidR="003C66EB" w:rsidRDefault="003C66EB">
            <w:pPr>
              <w:rPr>
                <w:rFonts w:ascii="宋体"/>
              </w:rPr>
            </w:pPr>
          </w:p>
        </w:tc>
        <w:tc>
          <w:tcPr>
            <w:tcW w:w="0" w:type="auto"/>
            <w:gridSpan w:val="3"/>
            <w:shd w:val="clear" w:color="auto" w:fill="auto"/>
          </w:tcPr>
          <w:p w14:paraId="5EA1E126" w14:textId="77777777" w:rsidR="003C66EB" w:rsidRDefault="003C66EB">
            <w:pPr>
              <w:rPr>
                <w:rFonts w:ascii="宋体"/>
                <w:vanish/>
              </w:rPr>
            </w:pPr>
          </w:p>
        </w:tc>
        <w:tc>
          <w:tcPr>
            <w:tcW w:w="0" w:type="auto"/>
            <w:gridSpan w:val="3"/>
            <w:shd w:val="clear" w:color="auto" w:fill="auto"/>
          </w:tcPr>
          <w:p w14:paraId="5EA1E127" w14:textId="77777777" w:rsidR="003C66EB" w:rsidRDefault="003C66EB">
            <w:pPr>
              <w:rPr>
                <w:rFonts w:ascii="宋体"/>
                <w:vanish/>
              </w:rPr>
            </w:pPr>
          </w:p>
        </w:tc>
        <w:tc>
          <w:tcPr>
            <w:tcW w:w="0" w:type="auto"/>
            <w:gridSpan w:val="3"/>
            <w:shd w:val="clear" w:color="auto" w:fill="auto"/>
          </w:tcPr>
          <w:p w14:paraId="5EA1E128" w14:textId="77777777" w:rsidR="003C66EB" w:rsidRDefault="003C66EB">
            <w:pPr>
              <w:rPr>
                <w:rFonts w:ascii="宋体"/>
                <w:vanish/>
              </w:rPr>
            </w:pPr>
          </w:p>
        </w:tc>
      </w:tr>
      <w:tr w:rsidR="003C66EB" w14:paraId="5EA1E13A" w14:textId="77777777">
        <w:tc>
          <w:tcPr>
            <w:tcW w:w="0" w:type="auto"/>
            <w:gridSpan w:val="3"/>
            <w:shd w:val="clear" w:color="auto" w:fill="CCEEFF"/>
            <w:tcMar>
              <w:top w:w="40" w:type="dxa"/>
              <w:left w:w="20" w:type="dxa"/>
              <w:bottom w:w="40" w:type="dxa"/>
              <w:right w:w="20" w:type="dxa"/>
            </w:tcMar>
            <w:vAlign w:val="bottom"/>
          </w:tcPr>
          <w:p w14:paraId="5EA1E12A" w14:textId="77777777" w:rsidR="003C66EB" w:rsidRDefault="00D96C4E">
            <w:pPr>
              <w:textAlignment w:val="bottom"/>
            </w:pPr>
            <w:r>
              <w:rPr>
                <w:rFonts w:ascii="Arial" w:eastAsia="宋体" w:hAnsi="Arial" w:cs="Arial"/>
                <w:color w:val="000000"/>
                <w:sz w:val="15"/>
                <w:szCs w:val="15"/>
              </w:rPr>
              <w:t>Servicing fees</w:t>
            </w:r>
          </w:p>
        </w:tc>
        <w:tc>
          <w:tcPr>
            <w:tcW w:w="0" w:type="auto"/>
            <w:shd w:val="clear" w:color="auto" w:fill="CCEEFF"/>
            <w:tcMar>
              <w:top w:w="40" w:type="dxa"/>
              <w:left w:w="20" w:type="dxa"/>
              <w:bottom w:w="40" w:type="dxa"/>
              <w:right w:w="0" w:type="dxa"/>
            </w:tcMar>
            <w:vAlign w:val="bottom"/>
          </w:tcPr>
          <w:p w14:paraId="5EA1E12B"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1E12C" w14:textId="77777777" w:rsidR="003C66EB" w:rsidRDefault="00D96C4E">
            <w:pPr>
              <w:jc w:val="right"/>
              <w:textAlignment w:val="bottom"/>
            </w:pPr>
            <w:r>
              <w:rPr>
                <w:rFonts w:ascii="Arial" w:eastAsia="宋体" w:hAnsi="Arial" w:cs="Arial"/>
                <w:b/>
                <w:bCs/>
                <w:color w:val="000000"/>
                <w:sz w:val="15"/>
                <w:szCs w:val="15"/>
              </w:rPr>
              <w:t>1,371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E12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2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12F"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1E130" w14:textId="77777777" w:rsidR="003C66EB" w:rsidRDefault="00D96C4E">
            <w:pPr>
              <w:jc w:val="right"/>
              <w:textAlignment w:val="bottom"/>
            </w:pPr>
            <w:r>
              <w:rPr>
                <w:rFonts w:ascii="Arial" w:eastAsia="宋体" w:hAnsi="Arial" w:cs="Arial"/>
                <w:color w:val="000000"/>
                <w:sz w:val="15"/>
                <w:szCs w:val="15"/>
              </w:rPr>
              <w:t>1,287 </w:t>
            </w:r>
          </w:p>
        </w:tc>
        <w:tc>
          <w:tcPr>
            <w:tcW w:w="0" w:type="auto"/>
            <w:shd w:val="clear" w:color="auto" w:fill="CCEEFF"/>
            <w:tcMar>
              <w:top w:w="40" w:type="dxa"/>
              <w:left w:w="0" w:type="dxa"/>
              <w:bottom w:w="40" w:type="dxa"/>
              <w:right w:w="20" w:type="dxa"/>
            </w:tcMar>
            <w:vAlign w:val="bottom"/>
          </w:tcPr>
          <w:p w14:paraId="5EA1E1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32" w14:textId="77777777" w:rsidR="003C66EB" w:rsidRDefault="003C66EB">
            <w:pPr>
              <w:rPr>
                <w:rFonts w:ascii="宋体"/>
              </w:rPr>
            </w:pPr>
          </w:p>
        </w:tc>
        <w:tc>
          <w:tcPr>
            <w:tcW w:w="0" w:type="auto"/>
            <w:shd w:val="clear" w:color="auto" w:fill="auto"/>
          </w:tcPr>
          <w:p w14:paraId="5EA1E133" w14:textId="77777777" w:rsidR="003C66EB" w:rsidRDefault="003C66EB">
            <w:pPr>
              <w:rPr>
                <w:rFonts w:ascii="宋体"/>
                <w:vanish/>
              </w:rPr>
            </w:pPr>
          </w:p>
        </w:tc>
        <w:tc>
          <w:tcPr>
            <w:tcW w:w="0" w:type="auto"/>
            <w:gridSpan w:val="3"/>
            <w:shd w:val="clear" w:color="auto" w:fill="auto"/>
          </w:tcPr>
          <w:p w14:paraId="5EA1E134"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135" w14:textId="77777777" w:rsidR="003C66EB" w:rsidRDefault="00D96C4E">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5EA1E136" w14:textId="77777777" w:rsidR="003C66EB" w:rsidRDefault="00D96C4E">
            <w:pPr>
              <w:jc w:val="right"/>
              <w:textAlignment w:val="bottom"/>
            </w:pPr>
            <w:r>
              <w:rPr>
                <w:rFonts w:ascii="Arial" w:eastAsia="宋体" w:hAnsi="Arial" w:cs="Arial"/>
                <w:color w:val="000000"/>
                <w:sz w:val="15"/>
                <w:szCs w:val="15"/>
              </w:rPr>
              <w:t>%</w:t>
            </w:r>
          </w:p>
        </w:tc>
        <w:tc>
          <w:tcPr>
            <w:tcW w:w="0" w:type="auto"/>
            <w:gridSpan w:val="3"/>
            <w:shd w:val="clear" w:color="auto" w:fill="auto"/>
          </w:tcPr>
          <w:p w14:paraId="5EA1E137" w14:textId="77777777" w:rsidR="003C66EB" w:rsidRDefault="003C66EB">
            <w:pPr>
              <w:rPr>
                <w:rFonts w:ascii="宋体"/>
                <w:vanish/>
              </w:rPr>
            </w:pPr>
          </w:p>
        </w:tc>
        <w:tc>
          <w:tcPr>
            <w:tcW w:w="0" w:type="auto"/>
            <w:gridSpan w:val="3"/>
            <w:shd w:val="clear" w:color="auto" w:fill="auto"/>
          </w:tcPr>
          <w:p w14:paraId="5EA1E138" w14:textId="77777777" w:rsidR="003C66EB" w:rsidRDefault="003C66EB">
            <w:pPr>
              <w:rPr>
                <w:rFonts w:ascii="宋体"/>
                <w:vanish/>
              </w:rPr>
            </w:pPr>
          </w:p>
        </w:tc>
        <w:tc>
          <w:tcPr>
            <w:tcW w:w="0" w:type="auto"/>
            <w:gridSpan w:val="3"/>
            <w:shd w:val="clear" w:color="auto" w:fill="auto"/>
          </w:tcPr>
          <w:p w14:paraId="5EA1E139" w14:textId="77777777" w:rsidR="003C66EB" w:rsidRDefault="003C66EB">
            <w:pPr>
              <w:rPr>
                <w:rFonts w:ascii="宋体"/>
                <w:vanish/>
              </w:rPr>
            </w:pPr>
          </w:p>
        </w:tc>
      </w:tr>
      <w:tr w:rsidR="003C66EB" w14:paraId="5EA1E149" w14:textId="77777777">
        <w:tc>
          <w:tcPr>
            <w:tcW w:w="0" w:type="auto"/>
            <w:gridSpan w:val="3"/>
            <w:shd w:val="clear" w:color="auto" w:fill="FFFFFF"/>
            <w:tcMar>
              <w:top w:w="40" w:type="dxa"/>
              <w:left w:w="20" w:type="dxa"/>
              <w:bottom w:w="40" w:type="dxa"/>
              <w:right w:w="20" w:type="dxa"/>
            </w:tcMar>
            <w:vAlign w:val="bottom"/>
          </w:tcPr>
          <w:p w14:paraId="5EA1E13B" w14:textId="77777777" w:rsidR="003C66EB" w:rsidRDefault="00D96C4E">
            <w:pPr>
              <w:textAlignment w:val="bottom"/>
            </w:pPr>
            <w:r>
              <w:rPr>
                <w:rFonts w:ascii="Arial" w:eastAsia="宋体" w:hAnsi="Arial" w:cs="Arial"/>
                <w:color w:val="000000"/>
                <w:sz w:val="15"/>
                <w:szCs w:val="15"/>
              </w:rPr>
              <w:t>Management fees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A1E13C" w14:textId="77777777" w:rsidR="003C66EB" w:rsidRDefault="00D96C4E">
            <w:pPr>
              <w:jc w:val="right"/>
              <w:textAlignment w:val="bottom"/>
            </w:pPr>
            <w:r>
              <w:rPr>
                <w:rFonts w:ascii="Arial" w:eastAsia="宋体" w:hAnsi="Arial" w:cs="Arial"/>
                <w:b/>
                <w:bCs/>
                <w:color w:val="000000"/>
                <w:sz w:val="15"/>
                <w:szCs w:val="15"/>
              </w:rPr>
              <w:t>493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E1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13F" w14:textId="77777777" w:rsidR="003C66EB" w:rsidRDefault="00D96C4E">
            <w:pPr>
              <w:jc w:val="right"/>
              <w:textAlignment w:val="bottom"/>
            </w:pPr>
            <w:r>
              <w:rPr>
                <w:rFonts w:ascii="Arial" w:eastAsia="宋体" w:hAnsi="Arial" w:cs="Arial"/>
                <w:color w:val="000000"/>
                <w:sz w:val="15"/>
                <w:szCs w:val="15"/>
              </w:rPr>
              <w:t>464 </w:t>
            </w:r>
          </w:p>
        </w:tc>
        <w:tc>
          <w:tcPr>
            <w:tcW w:w="0" w:type="auto"/>
            <w:shd w:val="clear" w:color="auto" w:fill="FFFFFF"/>
            <w:tcMar>
              <w:top w:w="40" w:type="dxa"/>
              <w:left w:w="0" w:type="dxa"/>
              <w:bottom w:w="40" w:type="dxa"/>
              <w:right w:w="20" w:type="dxa"/>
            </w:tcMar>
            <w:vAlign w:val="bottom"/>
          </w:tcPr>
          <w:p w14:paraId="5EA1E1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41" w14:textId="77777777" w:rsidR="003C66EB" w:rsidRDefault="003C66EB">
            <w:pPr>
              <w:rPr>
                <w:rFonts w:ascii="宋体"/>
              </w:rPr>
            </w:pPr>
          </w:p>
        </w:tc>
        <w:tc>
          <w:tcPr>
            <w:tcW w:w="0" w:type="auto"/>
            <w:shd w:val="clear" w:color="auto" w:fill="auto"/>
          </w:tcPr>
          <w:p w14:paraId="5EA1E142" w14:textId="77777777" w:rsidR="003C66EB" w:rsidRDefault="003C66EB">
            <w:pPr>
              <w:rPr>
                <w:rFonts w:ascii="宋体"/>
                <w:vanish/>
              </w:rPr>
            </w:pPr>
          </w:p>
        </w:tc>
        <w:tc>
          <w:tcPr>
            <w:tcW w:w="0" w:type="auto"/>
            <w:gridSpan w:val="3"/>
            <w:shd w:val="clear" w:color="auto" w:fill="auto"/>
          </w:tcPr>
          <w:p w14:paraId="5EA1E143"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144" w14:textId="77777777" w:rsidR="003C66EB" w:rsidRDefault="00D96C4E">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5EA1E145" w14:textId="77777777" w:rsidR="003C66EB" w:rsidRDefault="003C66EB">
            <w:pPr>
              <w:jc w:val="right"/>
              <w:rPr>
                <w:rFonts w:ascii="宋体"/>
              </w:rPr>
            </w:pPr>
          </w:p>
        </w:tc>
        <w:tc>
          <w:tcPr>
            <w:tcW w:w="0" w:type="auto"/>
            <w:gridSpan w:val="3"/>
            <w:shd w:val="clear" w:color="auto" w:fill="auto"/>
          </w:tcPr>
          <w:p w14:paraId="5EA1E146" w14:textId="77777777" w:rsidR="003C66EB" w:rsidRDefault="003C66EB">
            <w:pPr>
              <w:rPr>
                <w:rFonts w:ascii="宋体"/>
                <w:vanish/>
              </w:rPr>
            </w:pPr>
          </w:p>
        </w:tc>
        <w:tc>
          <w:tcPr>
            <w:tcW w:w="0" w:type="auto"/>
            <w:gridSpan w:val="3"/>
            <w:shd w:val="clear" w:color="auto" w:fill="auto"/>
          </w:tcPr>
          <w:p w14:paraId="5EA1E147" w14:textId="77777777" w:rsidR="003C66EB" w:rsidRDefault="003C66EB">
            <w:pPr>
              <w:rPr>
                <w:rFonts w:ascii="宋体"/>
                <w:vanish/>
              </w:rPr>
            </w:pPr>
          </w:p>
        </w:tc>
        <w:tc>
          <w:tcPr>
            <w:tcW w:w="0" w:type="auto"/>
            <w:gridSpan w:val="3"/>
            <w:shd w:val="clear" w:color="auto" w:fill="auto"/>
          </w:tcPr>
          <w:p w14:paraId="5EA1E148" w14:textId="77777777" w:rsidR="003C66EB" w:rsidRDefault="003C66EB">
            <w:pPr>
              <w:rPr>
                <w:rFonts w:ascii="宋体"/>
                <w:vanish/>
              </w:rPr>
            </w:pPr>
          </w:p>
        </w:tc>
      </w:tr>
      <w:tr w:rsidR="003C66EB" w14:paraId="5EA1E158" w14:textId="77777777">
        <w:tc>
          <w:tcPr>
            <w:tcW w:w="0" w:type="auto"/>
            <w:gridSpan w:val="3"/>
            <w:shd w:val="clear" w:color="auto" w:fill="CCEEFF"/>
            <w:tcMar>
              <w:top w:w="40" w:type="dxa"/>
              <w:left w:w="20" w:type="dxa"/>
              <w:bottom w:w="40" w:type="dxa"/>
              <w:right w:w="20" w:type="dxa"/>
            </w:tcMar>
            <w:vAlign w:val="bottom"/>
          </w:tcPr>
          <w:p w14:paraId="5EA1E14A" w14:textId="77777777" w:rsidR="003C66EB" w:rsidRDefault="00D96C4E">
            <w:pPr>
              <w:textAlignment w:val="bottom"/>
            </w:pPr>
            <w:r>
              <w:rPr>
                <w:rFonts w:ascii="Arial" w:eastAsia="宋体" w:hAnsi="Arial" w:cs="Arial"/>
                <w:color w:val="000000"/>
                <w:sz w:val="15"/>
                <w:szCs w:val="15"/>
              </w:rPr>
              <w:t>Foreign exchange trading services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A1E14B" w14:textId="77777777" w:rsidR="003C66EB" w:rsidRDefault="00D96C4E">
            <w:pPr>
              <w:jc w:val="right"/>
              <w:textAlignment w:val="bottom"/>
            </w:pPr>
            <w:r>
              <w:rPr>
                <w:rFonts w:ascii="Arial" w:eastAsia="宋体" w:hAnsi="Arial" w:cs="Arial"/>
                <w:b/>
                <w:bCs/>
                <w:color w:val="000000"/>
                <w:sz w:val="15"/>
                <w:szCs w:val="15"/>
              </w:rPr>
              <w:t>346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E1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4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14E" w14:textId="77777777" w:rsidR="003C66EB" w:rsidRDefault="00D96C4E">
            <w:pPr>
              <w:jc w:val="right"/>
              <w:textAlignment w:val="bottom"/>
            </w:pPr>
            <w:r>
              <w:rPr>
                <w:rFonts w:ascii="Arial" w:eastAsia="宋体" w:hAnsi="Arial" w:cs="Arial"/>
                <w:color w:val="000000"/>
                <w:sz w:val="15"/>
                <w:szCs w:val="15"/>
              </w:rPr>
              <w:t>444 </w:t>
            </w:r>
          </w:p>
        </w:tc>
        <w:tc>
          <w:tcPr>
            <w:tcW w:w="0" w:type="auto"/>
            <w:shd w:val="clear" w:color="auto" w:fill="CCEEFF"/>
            <w:tcMar>
              <w:top w:w="40" w:type="dxa"/>
              <w:left w:w="0" w:type="dxa"/>
              <w:bottom w:w="40" w:type="dxa"/>
              <w:right w:w="20" w:type="dxa"/>
            </w:tcMar>
            <w:vAlign w:val="bottom"/>
          </w:tcPr>
          <w:p w14:paraId="5EA1E1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50" w14:textId="77777777" w:rsidR="003C66EB" w:rsidRDefault="003C66EB">
            <w:pPr>
              <w:rPr>
                <w:rFonts w:ascii="宋体"/>
              </w:rPr>
            </w:pPr>
          </w:p>
        </w:tc>
        <w:tc>
          <w:tcPr>
            <w:tcW w:w="0" w:type="auto"/>
            <w:shd w:val="clear" w:color="auto" w:fill="auto"/>
          </w:tcPr>
          <w:p w14:paraId="5EA1E151" w14:textId="77777777" w:rsidR="003C66EB" w:rsidRDefault="003C66EB">
            <w:pPr>
              <w:rPr>
                <w:rFonts w:ascii="宋体"/>
                <w:vanish/>
              </w:rPr>
            </w:pPr>
          </w:p>
        </w:tc>
        <w:tc>
          <w:tcPr>
            <w:tcW w:w="0" w:type="auto"/>
            <w:gridSpan w:val="3"/>
            <w:shd w:val="clear" w:color="auto" w:fill="auto"/>
          </w:tcPr>
          <w:p w14:paraId="5EA1E15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153" w14:textId="77777777" w:rsidR="003C66EB" w:rsidRDefault="00D96C4E">
            <w:pPr>
              <w:jc w:val="right"/>
              <w:textAlignment w:val="bottom"/>
            </w:pPr>
            <w:r>
              <w:rPr>
                <w:rFonts w:ascii="Arial" w:eastAsia="宋体" w:hAnsi="Arial" w:cs="Arial"/>
                <w:color w:val="000000"/>
                <w:sz w:val="15"/>
                <w:szCs w:val="15"/>
              </w:rPr>
              <w:t>(22)</w:t>
            </w:r>
          </w:p>
        </w:tc>
        <w:tc>
          <w:tcPr>
            <w:tcW w:w="0" w:type="auto"/>
            <w:shd w:val="clear" w:color="auto" w:fill="CCEEFF"/>
            <w:tcMar>
              <w:top w:w="40" w:type="dxa"/>
              <w:left w:w="0" w:type="dxa"/>
              <w:bottom w:w="40" w:type="dxa"/>
              <w:right w:w="20" w:type="dxa"/>
            </w:tcMar>
            <w:vAlign w:val="bottom"/>
          </w:tcPr>
          <w:p w14:paraId="5EA1E154" w14:textId="77777777" w:rsidR="003C66EB" w:rsidRDefault="003C66EB">
            <w:pPr>
              <w:jc w:val="right"/>
              <w:rPr>
                <w:rFonts w:ascii="宋体"/>
              </w:rPr>
            </w:pPr>
          </w:p>
        </w:tc>
        <w:tc>
          <w:tcPr>
            <w:tcW w:w="0" w:type="auto"/>
            <w:gridSpan w:val="3"/>
            <w:shd w:val="clear" w:color="auto" w:fill="auto"/>
          </w:tcPr>
          <w:p w14:paraId="5EA1E155" w14:textId="77777777" w:rsidR="003C66EB" w:rsidRDefault="003C66EB">
            <w:pPr>
              <w:rPr>
                <w:rFonts w:ascii="宋体"/>
                <w:vanish/>
              </w:rPr>
            </w:pPr>
          </w:p>
        </w:tc>
        <w:tc>
          <w:tcPr>
            <w:tcW w:w="0" w:type="auto"/>
            <w:gridSpan w:val="3"/>
            <w:shd w:val="clear" w:color="auto" w:fill="auto"/>
          </w:tcPr>
          <w:p w14:paraId="5EA1E156" w14:textId="77777777" w:rsidR="003C66EB" w:rsidRDefault="003C66EB">
            <w:pPr>
              <w:rPr>
                <w:rFonts w:ascii="宋体"/>
                <w:vanish/>
              </w:rPr>
            </w:pPr>
          </w:p>
        </w:tc>
        <w:tc>
          <w:tcPr>
            <w:tcW w:w="0" w:type="auto"/>
            <w:gridSpan w:val="3"/>
            <w:shd w:val="clear" w:color="auto" w:fill="auto"/>
          </w:tcPr>
          <w:p w14:paraId="5EA1E157" w14:textId="77777777" w:rsidR="003C66EB" w:rsidRDefault="003C66EB">
            <w:pPr>
              <w:rPr>
                <w:rFonts w:ascii="宋体"/>
                <w:vanish/>
              </w:rPr>
            </w:pPr>
          </w:p>
        </w:tc>
      </w:tr>
      <w:tr w:rsidR="003C66EB" w14:paraId="5EA1E167" w14:textId="77777777">
        <w:tc>
          <w:tcPr>
            <w:tcW w:w="0" w:type="auto"/>
            <w:gridSpan w:val="3"/>
            <w:shd w:val="clear" w:color="auto" w:fill="FFFFFF"/>
            <w:tcMar>
              <w:top w:w="40" w:type="dxa"/>
              <w:left w:w="20" w:type="dxa"/>
              <w:bottom w:w="40" w:type="dxa"/>
              <w:right w:w="20" w:type="dxa"/>
            </w:tcMar>
            <w:vAlign w:val="bottom"/>
          </w:tcPr>
          <w:p w14:paraId="5EA1E159" w14:textId="77777777" w:rsidR="003C66EB" w:rsidRDefault="00D96C4E">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5EA1E15A" w14:textId="77777777" w:rsidR="003C66EB" w:rsidRDefault="00D96C4E">
            <w:pPr>
              <w:jc w:val="right"/>
              <w:textAlignment w:val="bottom"/>
            </w:pPr>
            <w:r>
              <w:rPr>
                <w:rFonts w:ascii="Arial" w:eastAsia="宋体" w:hAnsi="Arial" w:cs="Arial"/>
                <w:b/>
                <w:bCs/>
                <w:color w:val="000000"/>
                <w:sz w:val="15"/>
                <w:szCs w:val="15"/>
              </w:rPr>
              <w:t>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E1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15D" w14:textId="77777777" w:rsidR="003C66EB" w:rsidRDefault="00D96C4E">
            <w:pPr>
              <w:jc w:val="right"/>
              <w:textAlignment w:val="bottom"/>
            </w:pPr>
            <w:r>
              <w:rPr>
                <w:rFonts w:ascii="Arial" w:eastAsia="宋体" w:hAnsi="Arial" w:cs="Arial"/>
                <w:color w:val="000000"/>
                <w:sz w:val="15"/>
                <w:szCs w:val="15"/>
              </w:rPr>
              <w:t>92 </w:t>
            </w:r>
          </w:p>
        </w:tc>
        <w:tc>
          <w:tcPr>
            <w:tcW w:w="0" w:type="auto"/>
            <w:shd w:val="clear" w:color="auto" w:fill="FFFFFF"/>
            <w:tcMar>
              <w:top w:w="40" w:type="dxa"/>
              <w:left w:w="0" w:type="dxa"/>
              <w:bottom w:w="40" w:type="dxa"/>
              <w:right w:w="20" w:type="dxa"/>
            </w:tcMar>
            <w:vAlign w:val="bottom"/>
          </w:tcPr>
          <w:p w14:paraId="5EA1E1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5F" w14:textId="77777777" w:rsidR="003C66EB" w:rsidRDefault="003C66EB">
            <w:pPr>
              <w:rPr>
                <w:rFonts w:ascii="宋体"/>
              </w:rPr>
            </w:pPr>
          </w:p>
        </w:tc>
        <w:tc>
          <w:tcPr>
            <w:tcW w:w="0" w:type="auto"/>
            <w:shd w:val="clear" w:color="auto" w:fill="auto"/>
          </w:tcPr>
          <w:p w14:paraId="5EA1E160" w14:textId="77777777" w:rsidR="003C66EB" w:rsidRDefault="003C66EB">
            <w:pPr>
              <w:rPr>
                <w:rFonts w:ascii="宋体"/>
                <w:vanish/>
              </w:rPr>
            </w:pPr>
          </w:p>
        </w:tc>
        <w:tc>
          <w:tcPr>
            <w:tcW w:w="0" w:type="auto"/>
            <w:gridSpan w:val="3"/>
            <w:shd w:val="clear" w:color="auto" w:fill="auto"/>
          </w:tcPr>
          <w:p w14:paraId="5EA1E161"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162" w14:textId="77777777" w:rsidR="003C66EB" w:rsidRDefault="00D96C4E">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5EA1E163" w14:textId="77777777" w:rsidR="003C66EB" w:rsidRDefault="003C66EB">
            <w:pPr>
              <w:jc w:val="right"/>
              <w:rPr>
                <w:rFonts w:ascii="宋体"/>
              </w:rPr>
            </w:pPr>
          </w:p>
        </w:tc>
        <w:tc>
          <w:tcPr>
            <w:tcW w:w="0" w:type="auto"/>
            <w:gridSpan w:val="3"/>
            <w:shd w:val="clear" w:color="auto" w:fill="auto"/>
          </w:tcPr>
          <w:p w14:paraId="5EA1E164" w14:textId="77777777" w:rsidR="003C66EB" w:rsidRDefault="003C66EB">
            <w:pPr>
              <w:rPr>
                <w:rFonts w:ascii="宋体"/>
                <w:vanish/>
              </w:rPr>
            </w:pPr>
          </w:p>
        </w:tc>
        <w:tc>
          <w:tcPr>
            <w:tcW w:w="0" w:type="auto"/>
            <w:gridSpan w:val="3"/>
            <w:shd w:val="clear" w:color="auto" w:fill="auto"/>
          </w:tcPr>
          <w:p w14:paraId="5EA1E165" w14:textId="77777777" w:rsidR="003C66EB" w:rsidRDefault="003C66EB">
            <w:pPr>
              <w:rPr>
                <w:rFonts w:ascii="宋体"/>
                <w:vanish/>
              </w:rPr>
            </w:pPr>
          </w:p>
        </w:tc>
        <w:tc>
          <w:tcPr>
            <w:tcW w:w="0" w:type="auto"/>
            <w:gridSpan w:val="3"/>
            <w:shd w:val="clear" w:color="auto" w:fill="auto"/>
          </w:tcPr>
          <w:p w14:paraId="5EA1E166" w14:textId="77777777" w:rsidR="003C66EB" w:rsidRDefault="003C66EB">
            <w:pPr>
              <w:rPr>
                <w:rFonts w:ascii="宋体"/>
                <w:vanish/>
              </w:rPr>
            </w:pPr>
          </w:p>
        </w:tc>
      </w:tr>
      <w:tr w:rsidR="003C66EB" w14:paraId="5EA1E176" w14:textId="77777777">
        <w:tc>
          <w:tcPr>
            <w:tcW w:w="0" w:type="auto"/>
            <w:gridSpan w:val="3"/>
            <w:shd w:val="clear" w:color="auto" w:fill="CCEEFF"/>
            <w:tcMar>
              <w:top w:w="40" w:type="dxa"/>
              <w:left w:w="20" w:type="dxa"/>
              <w:bottom w:w="40" w:type="dxa"/>
              <w:right w:w="20" w:type="dxa"/>
            </w:tcMar>
            <w:vAlign w:val="bottom"/>
          </w:tcPr>
          <w:p w14:paraId="5EA1E168" w14:textId="77777777" w:rsidR="003C66EB" w:rsidRDefault="00D96C4E">
            <w:pPr>
              <w:textAlignment w:val="bottom"/>
            </w:pPr>
            <w:r>
              <w:rPr>
                <w:rFonts w:ascii="Arial" w:eastAsia="宋体" w:hAnsi="Arial" w:cs="Arial"/>
                <w:color w:val="000000"/>
                <w:sz w:val="15"/>
                <w:szCs w:val="15"/>
              </w:rPr>
              <w:t>Software and processing fees</w:t>
            </w:r>
          </w:p>
        </w:tc>
        <w:tc>
          <w:tcPr>
            <w:tcW w:w="0" w:type="auto"/>
            <w:gridSpan w:val="2"/>
            <w:shd w:val="clear" w:color="auto" w:fill="CCEEFF"/>
            <w:tcMar>
              <w:top w:w="40" w:type="dxa"/>
              <w:left w:w="20" w:type="dxa"/>
              <w:bottom w:w="40" w:type="dxa"/>
              <w:right w:w="0" w:type="dxa"/>
            </w:tcMar>
            <w:vAlign w:val="bottom"/>
          </w:tcPr>
          <w:p w14:paraId="5EA1E169" w14:textId="77777777" w:rsidR="003C66EB" w:rsidRDefault="00D96C4E">
            <w:pPr>
              <w:jc w:val="right"/>
              <w:textAlignment w:val="bottom"/>
            </w:pPr>
            <w:r>
              <w:rPr>
                <w:rFonts w:ascii="Arial" w:eastAsia="宋体" w:hAnsi="Arial" w:cs="Arial"/>
                <w:b/>
                <w:bCs/>
                <w:color w:val="000000"/>
                <w:sz w:val="15"/>
                <w:szCs w:val="15"/>
              </w:rPr>
              <w:t>174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E1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16C" w14:textId="77777777" w:rsidR="003C66EB" w:rsidRDefault="00D96C4E">
            <w:pPr>
              <w:jc w:val="right"/>
              <w:textAlignment w:val="bottom"/>
            </w:pPr>
            <w:r>
              <w:rPr>
                <w:rFonts w:ascii="Arial" w:eastAsia="宋体" w:hAnsi="Arial" w:cs="Arial"/>
                <w:color w:val="000000"/>
                <w:sz w:val="15"/>
                <w:szCs w:val="15"/>
              </w:rPr>
              <w:t>112 </w:t>
            </w:r>
          </w:p>
        </w:tc>
        <w:tc>
          <w:tcPr>
            <w:tcW w:w="0" w:type="auto"/>
            <w:shd w:val="clear" w:color="auto" w:fill="CCEEFF"/>
            <w:tcMar>
              <w:top w:w="40" w:type="dxa"/>
              <w:left w:w="0" w:type="dxa"/>
              <w:bottom w:w="40" w:type="dxa"/>
              <w:right w:w="20" w:type="dxa"/>
            </w:tcMar>
            <w:vAlign w:val="bottom"/>
          </w:tcPr>
          <w:p w14:paraId="5EA1E1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6E" w14:textId="77777777" w:rsidR="003C66EB" w:rsidRDefault="003C66EB">
            <w:pPr>
              <w:rPr>
                <w:rFonts w:ascii="宋体"/>
              </w:rPr>
            </w:pPr>
          </w:p>
        </w:tc>
        <w:tc>
          <w:tcPr>
            <w:tcW w:w="0" w:type="auto"/>
            <w:shd w:val="clear" w:color="auto" w:fill="auto"/>
          </w:tcPr>
          <w:p w14:paraId="5EA1E16F" w14:textId="77777777" w:rsidR="003C66EB" w:rsidRDefault="003C66EB">
            <w:pPr>
              <w:rPr>
                <w:rFonts w:ascii="宋体"/>
                <w:vanish/>
              </w:rPr>
            </w:pPr>
          </w:p>
        </w:tc>
        <w:tc>
          <w:tcPr>
            <w:tcW w:w="0" w:type="auto"/>
            <w:gridSpan w:val="3"/>
            <w:shd w:val="clear" w:color="auto" w:fill="auto"/>
          </w:tcPr>
          <w:p w14:paraId="5EA1E170"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171" w14:textId="77777777" w:rsidR="003C66EB" w:rsidRDefault="00D96C4E">
            <w:pPr>
              <w:jc w:val="right"/>
              <w:textAlignment w:val="bottom"/>
            </w:pPr>
            <w:r>
              <w:rPr>
                <w:rFonts w:ascii="Arial" w:eastAsia="宋体" w:hAnsi="Arial" w:cs="Arial"/>
                <w:color w:val="000000"/>
                <w:sz w:val="15"/>
                <w:szCs w:val="15"/>
              </w:rPr>
              <w:t>55 </w:t>
            </w:r>
          </w:p>
        </w:tc>
        <w:tc>
          <w:tcPr>
            <w:tcW w:w="0" w:type="auto"/>
            <w:shd w:val="clear" w:color="auto" w:fill="CCEEFF"/>
            <w:tcMar>
              <w:top w:w="40" w:type="dxa"/>
              <w:left w:w="0" w:type="dxa"/>
              <w:bottom w:w="40" w:type="dxa"/>
              <w:right w:w="20" w:type="dxa"/>
            </w:tcMar>
            <w:vAlign w:val="bottom"/>
          </w:tcPr>
          <w:p w14:paraId="5EA1E172" w14:textId="77777777" w:rsidR="003C66EB" w:rsidRDefault="003C66EB">
            <w:pPr>
              <w:jc w:val="right"/>
              <w:rPr>
                <w:rFonts w:ascii="宋体"/>
              </w:rPr>
            </w:pPr>
          </w:p>
        </w:tc>
        <w:tc>
          <w:tcPr>
            <w:tcW w:w="0" w:type="auto"/>
            <w:gridSpan w:val="3"/>
            <w:shd w:val="clear" w:color="auto" w:fill="auto"/>
          </w:tcPr>
          <w:p w14:paraId="5EA1E173" w14:textId="77777777" w:rsidR="003C66EB" w:rsidRDefault="003C66EB">
            <w:pPr>
              <w:rPr>
                <w:rFonts w:ascii="宋体"/>
                <w:vanish/>
              </w:rPr>
            </w:pPr>
          </w:p>
        </w:tc>
        <w:tc>
          <w:tcPr>
            <w:tcW w:w="0" w:type="auto"/>
            <w:gridSpan w:val="3"/>
            <w:shd w:val="clear" w:color="auto" w:fill="auto"/>
          </w:tcPr>
          <w:p w14:paraId="5EA1E174" w14:textId="77777777" w:rsidR="003C66EB" w:rsidRDefault="003C66EB">
            <w:pPr>
              <w:rPr>
                <w:rFonts w:ascii="宋体"/>
                <w:vanish/>
              </w:rPr>
            </w:pPr>
          </w:p>
        </w:tc>
        <w:tc>
          <w:tcPr>
            <w:tcW w:w="0" w:type="auto"/>
            <w:gridSpan w:val="3"/>
            <w:shd w:val="clear" w:color="auto" w:fill="auto"/>
          </w:tcPr>
          <w:p w14:paraId="5EA1E175" w14:textId="77777777" w:rsidR="003C66EB" w:rsidRDefault="003C66EB">
            <w:pPr>
              <w:rPr>
                <w:rFonts w:ascii="宋体"/>
                <w:vanish/>
              </w:rPr>
            </w:pPr>
          </w:p>
        </w:tc>
      </w:tr>
      <w:tr w:rsidR="003C66EB" w14:paraId="5EA1E185" w14:textId="77777777">
        <w:tc>
          <w:tcPr>
            <w:tcW w:w="0" w:type="auto"/>
            <w:gridSpan w:val="3"/>
            <w:shd w:val="clear" w:color="auto" w:fill="FFFFFF"/>
            <w:tcMar>
              <w:top w:w="40" w:type="dxa"/>
              <w:left w:w="20" w:type="dxa"/>
              <w:bottom w:w="40" w:type="dxa"/>
              <w:right w:w="20" w:type="dxa"/>
            </w:tcMar>
            <w:vAlign w:val="bottom"/>
          </w:tcPr>
          <w:p w14:paraId="5EA1E177" w14:textId="77777777" w:rsidR="003C66EB" w:rsidRDefault="00D96C4E">
            <w:pPr>
              <w:textAlignment w:val="bottom"/>
            </w:pPr>
            <w:r>
              <w:rPr>
                <w:rFonts w:ascii="Arial" w:eastAsia="宋体" w:hAnsi="Arial" w:cs="Arial"/>
                <w:color w:val="000000"/>
                <w:sz w:val="15"/>
                <w:szCs w:val="15"/>
              </w:rPr>
              <w:t>Total fee revenue</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178" w14:textId="77777777" w:rsidR="003C66EB" w:rsidRDefault="00D96C4E">
            <w:pPr>
              <w:jc w:val="right"/>
              <w:textAlignment w:val="bottom"/>
            </w:pPr>
            <w:r>
              <w:rPr>
                <w:rFonts w:ascii="Arial" w:eastAsia="宋体" w:hAnsi="Arial" w:cs="Arial"/>
                <w:b/>
                <w:bCs/>
                <w:color w:val="000000"/>
                <w:sz w:val="15"/>
                <w:szCs w:val="15"/>
              </w:rPr>
              <w:t>2,483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1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7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17B" w14:textId="77777777" w:rsidR="003C66EB" w:rsidRDefault="00D96C4E">
            <w:pPr>
              <w:jc w:val="right"/>
              <w:textAlignment w:val="bottom"/>
            </w:pPr>
            <w:r>
              <w:rPr>
                <w:rFonts w:ascii="Arial" w:eastAsia="宋体" w:hAnsi="Arial" w:cs="Arial"/>
                <w:color w:val="000000"/>
                <w:sz w:val="15"/>
                <w:szCs w:val="15"/>
              </w:rPr>
              <w:t>2,399 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17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7D" w14:textId="77777777" w:rsidR="003C66EB" w:rsidRDefault="003C66EB">
            <w:pPr>
              <w:rPr>
                <w:rFonts w:ascii="宋体"/>
              </w:rPr>
            </w:pPr>
          </w:p>
        </w:tc>
        <w:tc>
          <w:tcPr>
            <w:tcW w:w="0" w:type="auto"/>
            <w:shd w:val="clear" w:color="auto" w:fill="auto"/>
          </w:tcPr>
          <w:p w14:paraId="5EA1E17E" w14:textId="77777777" w:rsidR="003C66EB" w:rsidRDefault="003C66EB">
            <w:pPr>
              <w:rPr>
                <w:rFonts w:ascii="宋体"/>
                <w:vanish/>
              </w:rPr>
            </w:pPr>
          </w:p>
        </w:tc>
        <w:tc>
          <w:tcPr>
            <w:tcW w:w="0" w:type="auto"/>
            <w:gridSpan w:val="3"/>
            <w:shd w:val="clear" w:color="auto" w:fill="auto"/>
          </w:tcPr>
          <w:p w14:paraId="5EA1E17F"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180"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A1E181" w14:textId="77777777" w:rsidR="003C66EB" w:rsidRDefault="003C66EB">
            <w:pPr>
              <w:jc w:val="right"/>
              <w:rPr>
                <w:rFonts w:ascii="宋体"/>
              </w:rPr>
            </w:pPr>
          </w:p>
        </w:tc>
        <w:tc>
          <w:tcPr>
            <w:tcW w:w="0" w:type="auto"/>
            <w:gridSpan w:val="3"/>
            <w:shd w:val="clear" w:color="auto" w:fill="auto"/>
          </w:tcPr>
          <w:p w14:paraId="5EA1E182" w14:textId="77777777" w:rsidR="003C66EB" w:rsidRDefault="003C66EB">
            <w:pPr>
              <w:rPr>
                <w:rFonts w:ascii="宋体"/>
                <w:vanish/>
              </w:rPr>
            </w:pPr>
          </w:p>
        </w:tc>
        <w:tc>
          <w:tcPr>
            <w:tcW w:w="0" w:type="auto"/>
            <w:gridSpan w:val="3"/>
            <w:shd w:val="clear" w:color="auto" w:fill="auto"/>
          </w:tcPr>
          <w:p w14:paraId="5EA1E183" w14:textId="77777777" w:rsidR="003C66EB" w:rsidRDefault="003C66EB">
            <w:pPr>
              <w:rPr>
                <w:rFonts w:ascii="宋体"/>
                <w:vanish/>
              </w:rPr>
            </w:pPr>
          </w:p>
        </w:tc>
        <w:tc>
          <w:tcPr>
            <w:tcW w:w="0" w:type="auto"/>
            <w:gridSpan w:val="3"/>
            <w:shd w:val="clear" w:color="auto" w:fill="auto"/>
          </w:tcPr>
          <w:p w14:paraId="5EA1E184" w14:textId="77777777" w:rsidR="003C66EB" w:rsidRDefault="003C66EB">
            <w:pPr>
              <w:rPr>
                <w:rFonts w:ascii="宋体"/>
                <w:vanish/>
              </w:rPr>
            </w:pPr>
          </w:p>
        </w:tc>
      </w:tr>
      <w:tr w:rsidR="003C66EB" w14:paraId="5EA1E191" w14:textId="77777777">
        <w:tc>
          <w:tcPr>
            <w:tcW w:w="0" w:type="auto"/>
            <w:gridSpan w:val="3"/>
            <w:shd w:val="clear" w:color="auto" w:fill="CCEEFF"/>
            <w:tcMar>
              <w:top w:w="40" w:type="dxa"/>
              <w:left w:w="20" w:type="dxa"/>
              <w:bottom w:w="40" w:type="dxa"/>
              <w:right w:w="20" w:type="dxa"/>
            </w:tcMar>
            <w:vAlign w:val="bottom"/>
          </w:tcPr>
          <w:p w14:paraId="5EA1E186" w14:textId="77777777" w:rsidR="003C66EB" w:rsidRDefault="00D96C4E">
            <w:pPr>
              <w:textAlignment w:val="bottom"/>
            </w:pPr>
            <w:r>
              <w:rPr>
                <w:rFonts w:ascii="Arial" w:eastAsia="宋体" w:hAnsi="Arial" w:cs="Arial"/>
                <w:color w:val="000000"/>
                <w:sz w:val="15"/>
                <w:szCs w:val="15"/>
              </w:rPr>
              <w:t>Net interest income:</w:t>
            </w:r>
          </w:p>
        </w:tc>
        <w:tc>
          <w:tcPr>
            <w:tcW w:w="0" w:type="auto"/>
            <w:gridSpan w:val="3"/>
            <w:shd w:val="clear" w:color="auto" w:fill="CCEEFF"/>
            <w:tcMar>
              <w:top w:w="0" w:type="dxa"/>
              <w:left w:w="20" w:type="dxa"/>
              <w:bottom w:w="0" w:type="dxa"/>
              <w:right w:w="20" w:type="dxa"/>
            </w:tcMar>
          </w:tcPr>
          <w:p w14:paraId="5EA1E18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18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18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18A" w14:textId="77777777" w:rsidR="003C66EB" w:rsidRDefault="003C66EB">
            <w:pPr>
              <w:rPr>
                <w:rFonts w:ascii="宋体"/>
              </w:rPr>
            </w:pPr>
          </w:p>
        </w:tc>
        <w:tc>
          <w:tcPr>
            <w:tcW w:w="0" w:type="auto"/>
            <w:shd w:val="clear" w:color="auto" w:fill="auto"/>
          </w:tcPr>
          <w:p w14:paraId="5EA1E18B" w14:textId="77777777" w:rsidR="003C66EB" w:rsidRDefault="003C66EB">
            <w:pPr>
              <w:rPr>
                <w:rFonts w:ascii="宋体"/>
                <w:vanish/>
              </w:rPr>
            </w:pPr>
          </w:p>
        </w:tc>
        <w:tc>
          <w:tcPr>
            <w:tcW w:w="0" w:type="auto"/>
            <w:gridSpan w:val="3"/>
            <w:shd w:val="clear" w:color="auto" w:fill="auto"/>
          </w:tcPr>
          <w:p w14:paraId="5EA1E18C"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18D" w14:textId="77777777" w:rsidR="003C66EB" w:rsidRDefault="003C66EB">
            <w:pPr>
              <w:rPr>
                <w:rFonts w:ascii="宋体"/>
              </w:rPr>
            </w:pPr>
          </w:p>
        </w:tc>
        <w:tc>
          <w:tcPr>
            <w:tcW w:w="0" w:type="auto"/>
            <w:gridSpan w:val="3"/>
            <w:shd w:val="clear" w:color="auto" w:fill="auto"/>
          </w:tcPr>
          <w:p w14:paraId="5EA1E18E" w14:textId="77777777" w:rsidR="003C66EB" w:rsidRDefault="003C66EB">
            <w:pPr>
              <w:rPr>
                <w:rFonts w:ascii="宋体"/>
                <w:vanish/>
              </w:rPr>
            </w:pPr>
          </w:p>
        </w:tc>
        <w:tc>
          <w:tcPr>
            <w:tcW w:w="0" w:type="auto"/>
            <w:gridSpan w:val="3"/>
            <w:shd w:val="clear" w:color="auto" w:fill="auto"/>
          </w:tcPr>
          <w:p w14:paraId="5EA1E18F" w14:textId="77777777" w:rsidR="003C66EB" w:rsidRDefault="003C66EB">
            <w:pPr>
              <w:rPr>
                <w:rFonts w:ascii="宋体"/>
                <w:vanish/>
              </w:rPr>
            </w:pPr>
          </w:p>
        </w:tc>
        <w:tc>
          <w:tcPr>
            <w:tcW w:w="0" w:type="auto"/>
            <w:gridSpan w:val="3"/>
            <w:shd w:val="clear" w:color="auto" w:fill="auto"/>
          </w:tcPr>
          <w:p w14:paraId="5EA1E190" w14:textId="77777777" w:rsidR="003C66EB" w:rsidRDefault="003C66EB">
            <w:pPr>
              <w:rPr>
                <w:rFonts w:ascii="宋体"/>
                <w:vanish/>
              </w:rPr>
            </w:pPr>
          </w:p>
        </w:tc>
      </w:tr>
      <w:tr w:rsidR="003C66EB" w14:paraId="5EA1E1A0" w14:textId="77777777">
        <w:tc>
          <w:tcPr>
            <w:tcW w:w="0" w:type="auto"/>
            <w:gridSpan w:val="3"/>
            <w:shd w:val="clear" w:color="auto" w:fill="FFFFFF"/>
            <w:tcMar>
              <w:top w:w="40" w:type="dxa"/>
              <w:left w:w="20" w:type="dxa"/>
              <w:bottom w:w="40" w:type="dxa"/>
              <w:right w:w="20" w:type="dxa"/>
            </w:tcMar>
            <w:vAlign w:val="bottom"/>
          </w:tcPr>
          <w:p w14:paraId="5EA1E192" w14:textId="77777777" w:rsidR="003C66EB" w:rsidRDefault="00D96C4E">
            <w:pPr>
              <w:textAlignment w:val="bottom"/>
            </w:pPr>
            <w:r>
              <w:rPr>
                <w:rFonts w:ascii="Arial" w:eastAsia="宋体" w:hAnsi="Arial" w:cs="Arial"/>
                <w:color w:val="000000"/>
                <w:sz w:val="15"/>
                <w:szCs w:val="15"/>
              </w:rPr>
              <w:t>Interest income</w:t>
            </w:r>
          </w:p>
        </w:tc>
        <w:tc>
          <w:tcPr>
            <w:tcW w:w="0" w:type="auto"/>
            <w:gridSpan w:val="2"/>
            <w:shd w:val="clear" w:color="auto" w:fill="FFFFFF"/>
            <w:tcMar>
              <w:top w:w="40" w:type="dxa"/>
              <w:left w:w="20" w:type="dxa"/>
              <w:bottom w:w="40" w:type="dxa"/>
              <w:right w:w="0" w:type="dxa"/>
            </w:tcMar>
            <w:vAlign w:val="bottom"/>
          </w:tcPr>
          <w:p w14:paraId="5EA1E193" w14:textId="77777777" w:rsidR="003C66EB" w:rsidRDefault="00D96C4E">
            <w:pPr>
              <w:jc w:val="right"/>
              <w:textAlignment w:val="bottom"/>
            </w:pPr>
            <w:r>
              <w:rPr>
                <w:rFonts w:ascii="Arial" w:eastAsia="宋体" w:hAnsi="Arial" w:cs="Arial"/>
                <w:b/>
                <w:bCs/>
                <w:color w:val="000000"/>
                <w:sz w:val="15"/>
                <w:szCs w:val="15"/>
              </w:rPr>
              <w:t>471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E19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9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196" w14:textId="77777777" w:rsidR="003C66EB" w:rsidRDefault="00D96C4E">
            <w:pPr>
              <w:jc w:val="right"/>
              <w:textAlignment w:val="bottom"/>
            </w:pPr>
            <w:r>
              <w:rPr>
                <w:rFonts w:ascii="Arial" w:eastAsia="宋体" w:hAnsi="Arial" w:cs="Arial"/>
                <w:color w:val="000000"/>
                <w:sz w:val="15"/>
                <w:szCs w:val="15"/>
              </w:rPr>
              <w:t>868 </w:t>
            </w:r>
          </w:p>
        </w:tc>
        <w:tc>
          <w:tcPr>
            <w:tcW w:w="0" w:type="auto"/>
            <w:shd w:val="clear" w:color="auto" w:fill="FFFFFF"/>
            <w:tcMar>
              <w:top w:w="40" w:type="dxa"/>
              <w:left w:w="0" w:type="dxa"/>
              <w:bottom w:w="40" w:type="dxa"/>
              <w:right w:w="20" w:type="dxa"/>
            </w:tcMar>
            <w:vAlign w:val="bottom"/>
          </w:tcPr>
          <w:p w14:paraId="5EA1E19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98" w14:textId="77777777" w:rsidR="003C66EB" w:rsidRDefault="003C66EB">
            <w:pPr>
              <w:rPr>
                <w:rFonts w:ascii="宋体"/>
              </w:rPr>
            </w:pPr>
          </w:p>
        </w:tc>
        <w:tc>
          <w:tcPr>
            <w:tcW w:w="0" w:type="auto"/>
            <w:shd w:val="clear" w:color="auto" w:fill="auto"/>
          </w:tcPr>
          <w:p w14:paraId="5EA1E199" w14:textId="77777777" w:rsidR="003C66EB" w:rsidRDefault="003C66EB">
            <w:pPr>
              <w:rPr>
                <w:rFonts w:ascii="宋体"/>
                <w:vanish/>
              </w:rPr>
            </w:pPr>
          </w:p>
        </w:tc>
        <w:tc>
          <w:tcPr>
            <w:tcW w:w="0" w:type="auto"/>
            <w:gridSpan w:val="3"/>
            <w:shd w:val="clear" w:color="auto" w:fill="auto"/>
          </w:tcPr>
          <w:p w14:paraId="5EA1E19A"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19B" w14:textId="77777777" w:rsidR="003C66EB" w:rsidRDefault="00D96C4E">
            <w:pPr>
              <w:jc w:val="right"/>
              <w:textAlignment w:val="bottom"/>
            </w:pPr>
            <w:r>
              <w:rPr>
                <w:rFonts w:ascii="Arial" w:eastAsia="宋体" w:hAnsi="Arial" w:cs="Arial"/>
                <w:color w:val="000000"/>
                <w:sz w:val="15"/>
                <w:szCs w:val="15"/>
              </w:rPr>
              <w:t>(46)</w:t>
            </w:r>
          </w:p>
        </w:tc>
        <w:tc>
          <w:tcPr>
            <w:tcW w:w="0" w:type="auto"/>
            <w:shd w:val="clear" w:color="auto" w:fill="FFFFFF"/>
            <w:tcMar>
              <w:top w:w="40" w:type="dxa"/>
              <w:left w:w="0" w:type="dxa"/>
              <w:bottom w:w="40" w:type="dxa"/>
              <w:right w:w="20" w:type="dxa"/>
            </w:tcMar>
            <w:vAlign w:val="bottom"/>
          </w:tcPr>
          <w:p w14:paraId="5EA1E19C" w14:textId="77777777" w:rsidR="003C66EB" w:rsidRDefault="003C66EB">
            <w:pPr>
              <w:jc w:val="right"/>
              <w:rPr>
                <w:rFonts w:ascii="宋体"/>
              </w:rPr>
            </w:pPr>
          </w:p>
        </w:tc>
        <w:tc>
          <w:tcPr>
            <w:tcW w:w="0" w:type="auto"/>
            <w:gridSpan w:val="3"/>
            <w:shd w:val="clear" w:color="auto" w:fill="auto"/>
          </w:tcPr>
          <w:p w14:paraId="5EA1E19D" w14:textId="77777777" w:rsidR="003C66EB" w:rsidRDefault="003C66EB">
            <w:pPr>
              <w:rPr>
                <w:rFonts w:ascii="宋体"/>
                <w:vanish/>
              </w:rPr>
            </w:pPr>
          </w:p>
        </w:tc>
        <w:tc>
          <w:tcPr>
            <w:tcW w:w="0" w:type="auto"/>
            <w:gridSpan w:val="3"/>
            <w:shd w:val="clear" w:color="auto" w:fill="auto"/>
          </w:tcPr>
          <w:p w14:paraId="5EA1E19E" w14:textId="77777777" w:rsidR="003C66EB" w:rsidRDefault="003C66EB">
            <w:pPr>
              <w:rPr>
                <w:rFonts w:ascii="宋体"/>
                <w:vanish/>
              </w:rPr>
            </w:pPr>
          </w:p>
        </w:tc>
        <w:tc>
          <w:tcPr>
            <w:tcW w:w="0" w:type="auto"/>
            <w:gridSpan w:val="3"/>
            <w:shd w:val="clear" w:color="auto" w:fill="auto"/>
          </w:tcPr>
          <w:p w14:paraId="5EA1E19F" w14:textId="77777777" w:rsidR="003C66EB" w:rsidRDefault="003C66EB">
            <w:pPr>
              <w:rPr>
                <w:rFonts w:ascii="宋体"/>
                <w:vanish/>
              </w:rPr>
            </w:pPr>
          </w:p>
        </w:tc>
      </w:tr>
      <w:tr w:rsidR="003C66EB" w14:paraId="5EA1E1AF" w14:textId="77777777">
        <w:tc>
          <w:tcPr>
            <w:tcW w:w="0" w:type="auto"/>
            <w:gridSpan w:val="3"/>
            <w:shd w:val="clear" w:color="auto" w:fill="CCEEFF"/>
            <w:tcMar>
              <w:top w:w="40" w:type="dxa"/>
              <w:left w:w="20" w:type="dxa"/>
              <w:bottom w:w="40" w:type="dxa"/>
              <w:right w:w="20" w:type="dxa"/>
            </w:tcMar>
            <w:vAlign w:val="bottom"/>
          </w:tcPr>
          <w:p w14:paraId="5EA1E1A1" w14:textId="77777777" w:rsidR="003C66EB" w:rsidRDefault="00D96C4E">
            <w:pPr>
              <w:textAlignment w:val="bottom"/>
            </w:pPr>
            <w:r>
              <w:rPr>
                <w:rFonts w:ascii="Arial" w:eastAsia="宋体" w:hAnsi="Arial" w:cs="Arial"/>
                <w:color w:val="000000"/>
                <w:sz w:val="15"/>
                <w:szCs w:val="15"/>
              </w:rPr>
              <w:t>Interest expense</w:t>
            </w:r>
          </w:p>
        </w:tc>
        <w:tc>
          <w:tcPr>
            <w:tcW w:w="0" w:type="auto"/>
            <w:gridSpan w:val="2"/>
            <w:shd w:val="clear" w:color="auto" w:fill="CCEEFF"/>
            <w:tcMar>
              <w:top w:w="40" w:type="dxa"/>
              <w:left w:w="20" w:type="dxa"/>
              <w:bottom w:w="40" w:type="dxa"/>
              <w:right w:w="0" w:type="dxa"/>
            </w:tcMar>
            <w:vAlign w:val="bottom"/>
          </w:tcPr>
          <w:p w14:paraId="5EA1E1A2" w14:textId="77777777" w:rsidR="003C66EB" w:rsidRDefault="00D96C4E">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E1A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A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1A5" w14:textId="77777777" w:rsidR="003C66EB" w:rsidRDefault="00D96C4E">
            <w:pPr>
              <w:jc w:val="right"/>
              <w:textAlignment w:val="bottom"/>
            </w:pPr>
            <w:r>
              <w:rPr>
                <w:rFonts w:ascii="Arial" w:eastAsia="宋体" w:hAnsi="Arial" w:cs="Arial"/>
                <w:color w:val="000000"/>
                <w:sz w:val="15"/>
                <w:szCs w:val="15"/>
              </w:rPr>
              <w:t>204 </w:t>
            </w:r>
          </w:p>
        </w:tc>
        <w:tc>
          <w:tcPr>
            <w:tcW w:w="0" w:type="auto"/>
            <w:shd w:val="clear" w:color="auto" w:fill="CCEEFF"/>
            <w:tcMar>
              <w:top w:w="40" w:type="dxa"/>
              <w:left w:w="0" w:type="dxa"/>
              <w:bottom w:w="40" w:type="dxa"/>
              <w:right w:w="20" w:type="dxa"/>
            </w:tcMar>
            <w:vAlign w:val="bottom"/>
          </w:tcPr>
          <w:p w14:paraId="5EA1E1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A7" w14:textId="77777777" w:rsidR="003C66EB" w:rsidRDefault="003C66EB">
            <w:pPr>
              <w:rPr>
                <w:rFonts w:ascii="宋体"/>
              </w:rPr>
            </w:pPr>
          </w:p>
        </w:tc>
        <w:tc>
          <w:tcPr>
            <w:tcW w:w="0" w:type="auto"/>
            <w:shd w:val="clear" w:color="auto" w:fill="auto"/>
          </w:tcPr>
          <w:p w14:paraId="5EA1E1A8" w14:textId="77777777" w:rsidR="003C66EB" w:rsidRDefault="003C66EB">
            <w:pPr>
              <w:rPr>
                <w:rFonts w:ascii="宋体"/>
                <w:vanish/>
              </w:rPr>
            </w:pPr>
          </w:p>
        </w:tc>
        <w:tc>
          <w:tcPr>
            <w:tcW w:w="0" w:type="auto"/>
            <w:gridSpan w:val="3"/>
            <w:shd w:val="clear" w:color="auto" w:fill="auto"/>
          </w:tcPr>
          <w:p w14:paraId="5EA1E1A9"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1AA" w14:textId="77777777" w:rsidR="003C66EB" w:rsidRDefault="00D96C4E">
            <w:pPr>
              <w:jc w:val="right"/>
              <w:textAlignment w:val="bottom"/>
            </w:pPr>
            <w:r>
              <w:rPr>
                <w:rFonts w:ascii="Arial" w:eastAsia="宋体" w:hAnsi="Arial" w:cs="Arial"/>
                <w:color w:val="000000"/>
                <w:sz w:val="15"/>
                <w:szCs w:val="15"/>
              </w:rPr>
              <w:t>(98)</w:t>
            </w:r>
          </w:p>
        </w:tc>
        <w:tc>
          <w:tcPr>
            <w:tcW w:w="0" w:type="auto"/>
            <w:shd w:val="clear" w:color="auto" w:fill="CCEEFF"/>
            <w:tcMar>
              <w:top w:w="40" w:type="dxa"/>
              <w:left w:w="0" w:type="dxa"/>
              <w:bottom w:w="40" w:type="dxa"/>
              <w:right w:w="20" w:type="dxa"/>
            </w:tcMar>
            <w:vAlign w:val="bottom"/>
          </w:tcPr>
          <w:p w14:paraId="5EA1E1AB" w14:textId="77777777" w:rsidR="003C66EB" w:rsidRDefault="003C66EB">
            <w:pPr>
              <w:jc w:val="right"/>
              <w:rPr>
                <w:rFonts w:ascii="宋体"/>
              </w:rPr>
            </w:pPr>
          </w:p>
        </w:tc>
        <w:tc>
          <w:tcPr>
            <w:tcW w:w="0" w:type="auto"/>
            <w:gridSpan w:val="3"/>
            <w:shd w:val="clear" w:color="auto" w:fill="auto"/>
          </w:tcPr>
          <w:p w14:paraId="5EA1E1AC" w14:textId="77777777" w:rsidR="003C66EB" w:rsidRDefault="003C66EB">
            <w:pPr>
              <w:rPr>
                <w:rFonts w:ascii="宋体"/>
                <w:vanish/>
              </w:rPr>
            </w:pPr>
          </w:p>
        </w:tc>
        <w:tc>
          <w:tcPr>
            <w:tcW w:w="0" w:type="auto"/>
            <w:gridSpan w:val="3"/>
            <w:shd w:val="clear" w:color="auto" w:fill="auto"/>
          </w:tcPr>
          <w:p w14:paraId="5EA1E1AD" w14:textId="77777777" w:rsidR="003C66EB" w:rsidRDefault="003C66EB">
            <w:pPr>
              <w:rPr>
                <w:rFonts w:ascii="宋体"/>
                <w:vanish/>
              </w:rPr>
            </w:pPr>
          </w:p>
        </w:tc>
        <w:tc>
          <w:tcPr>
            <w:tcW w:w="0" w:type="auto"/>
            <w:gridSpan w:val="3"/>
            <w:shd w:val="clear" w:color="auto" w:fill="auto"/>
          </w:tcPr>
          <w:p w14:paraId="5EA1E1AE" w14:textId="77777777" w:rsidR="003C66EB" w:rsidRDefault="003C66EB">
            <w:pPr>
              <w:rPr>
                <w:rFonts w:ascii="宋体"/>
                <w:vanish/>
              </w:rPr>
            </w:pPr>
          </w:p>
        </w:tc>
      </w:tr>
      <w:tr w:rsidR="003C66EB" w14:paraId="5EA1E1BE" w14:textId="77777777">
        <w:tc>
          <w:tcPr>
            <w:tcW w:w="0" w:type="auto"/>
            <w:gridSpan w:val="3"/>
            <w:shd w:val="clear" w:color="auto" w:fill="FFFFFF"/>
            <w:tcMar>
              <w:top w:w="40" w:type="dxa"/>
              <w:left w:w="20" w:type="dxa"/>
              <w:bottom w:w="40" w:type="dxa"/>
              <w:right w:w="20" w:type="dxa"/>
            </w:tcMar>
            <w:vAlign w:val="bottom"/>
          </w:tcPr>
          <w:p w14:paraId="5EA1E1B0" w14:textId="77777777" w:rsidR="003C66EB" w:rsidRDefault="00D96C4E">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1B1" w14:textId="77777777" w:rsidR="003C66EB" w:rsidRDefault="00D96C4E">
            <w:pPr>
              <w:jc w:val="right"/>
              <w:textAlignment w:val="bottom"/>
            </w:pPr>
            <w:r>
              <w:rPr>
                <w:rFonts w:ascii="Arial" w:eastAsia="宋体" w:hAnsi="Arial" w:cs="Arial"/>
                <w:b/>
                <w:bCs/>
                <w:color w:val="000000"/>
                <w:sz w:val="15"/>
                <w:szCs w:val="15"/>
              </w:rPr>
              <w:t>467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1B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B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1B4" w14:textId="77777777" w:rsidR="003C66EB" w:rsidRDefault="00D96C4E">
            <w:pPr>
              <w:jc w:val="right"/>
              <w:textAlignment w:val="bottom"/>
            </w:pPr>
            <w:r>
              <w:rPr>
                <w:rFonts w:ascii="Arial" w:eastAsia="宋体" w:hAnsi="Arial" w:cs="Arial"/>
                <w:color w:val="000000"/>
                <w:sz w:val="15"/>
                <w:szCs w:val="15"/>
              </w:rPr>
              <w:t>664 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1B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B6" w14:textId="77777777" w:rsidR="003C66EB" w:rsidRDefault="003C66EB">
            <w:pPr>
              <w:rPr>
                <w:rFonts w:ascii="宋体"/>
              </w:rPr>
            </w:pPr>
          </w:p>
        </w:tc>
        <w:tc>
          <w:tcPr>
            <w:tcW w:w="0" w:type="auto"/>
            <w:shd w:val="clear" w:color="auto" w:fill="auto"/>
          </w:tcPr>
          <w:p w14:paraId="5EA1E1B7" w14:textId="77777777" w:rsidR="003C66EB" w:rsidRDefault="003C66EB">
            <w:pPr>
              <w:rPr>
                <w:rFonts w:ascii="宋体"/>
                <w:vanish/>
              </w:rPr>
            </w:pPr>
          </w:p>
        </w:tc>
        <w:tc>
          <w:tcPr>
            <w:tcW w:w="0" w:type="auto"/>
            <w:gridSpan w:val="3"/>
            <w:shd w:val="clear" w:color="auto" w:fill="auto"/>
          </w:tcPr>
          <w:p w14:paraId="5EA1E1B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1B9" w14:textId="77777777" w:rsidR="003C66EB" w:rsidRDefault="00D96C4E">
            <w:pPr>
              <w:jc w:val="right"/>
              <w:textAlignment w:val="bottom"/>
            </w:pPr>
            <w:r>
              <w:rPr>
                <w:rFonts w:ascii="Arial" w:eastAsia="宋体" w:hAnsi="Arial" w:cs="Arial"/>
                <w:color w:val="000000"/>
                <w:sz w:val="15"/>
                <w:szCs w:val="15"/>
              </w:rPr>
              <w:t>(30)</w:t>
            </w:r>
          </w:p>
        </w:tc>
        <w:tc>
          <w:tcPr>
            <w:tcW w:w="0" w:type="auto"/>
            <w:shd w:val="clear" w:color="auto" w:fill="FFFFFF"/>
            <w:tcMar>
              <w:top w:w="40" w:type="dxa"/>
              <w:left w:w="0" w:type="dxa"/>
              <w:bottom w:w="40" w:type="dxa"/>
              <w:right w:w="20" w:type="dxa"/>
            </w:tcMar>
            <w:vAlign w:val="bottom"/>
          </w:tcPr>
          <w:p w14:paraId="5EA1E1BA" w14:textId="77777777" w:rsidR="003C66EB" w:rsidRDefault="003C66EB">
            <w:pPr>
              <w:jc w:val="right"/>
              <w:rPr>
                <w:rFonts w:ascii="宋体"/>
              </w:rPr>
            </w:pPr>
          </w:p>
        </w:tc>
        <w:tc>
          <w:tcPr>
            <w:tcW w:w="0" w:type="auto"/>
            <w:gridSpan w:val="3"/>
            <w:shd w:val="clear" w:color="auto" w:fill="auto"/>
          </w:tcPr>
          <w:p w14:paraId="5EA1E1BB" w14:textId="77777777" w:rsidR="003C66EB" w:rsidRDefault="003C66EB">
            <w:pPr>
              <w:rPr>
                <w:rFonts w:ascii="宋体"/>
                <w:vanish/>
              </w:rPr>
            </w:pPr>
          </w:p>
        </w:tc>
        <w:tc>
          <w:tcPr>
            <w:tcW w:w="0" w:type="auto"/>
            <w:gridSpan w:val="3"/>
            <w:shd w:val="clear" w:color="auto" w:fill="auto"/>
          </w:tcPr>
          <w:p w14:paraId="5EA1E1BC" w14:textId="77777777" w:rsidR="003C66EB" w:rsidRDefault="003C66EB">
            <w:pPr>
              <w:rPr>
                <w:rFonts w:ascii="宋体"/>
                <w:vanish/>
              </w:rPr>
            </w:pPr>
          </w:p>
        </w:tc>
        <w:tc>
          <w:tcPr>
            <w:tcW w:w="0" w:type="auto"/>
            <w:gridSpan w:val="3"/>
            <w:shd w:val="clear" w:color="auto" w:fill="auto"/>
          </w:tcPr>
          <w:p w14:paraId="5EA1E1BD" w14:textId="77777777" w:rsidR="003C66EB" w:rsidRDefault="003C66EB">
            <w:pPr>
              <w:rPr>
                <w:rFonts w:ascii="宋体"/>
                <w:vanish/>
              </w:rPr>
            </w:pPr>
          </w:p>
        </w:tc>
      </w:tr>
      <w:tr w:rsidR="003C66EB" w14:paraId="5EA1E1CA" w14:textId="77777777">
        <w:tc>
          <w:tcPr>
            <w:tcW w:w="0" w:type="auto"/>
            <w:gridSpan w:val="3"/>
            <w:shd w:val="clear" w:color="auto" w:fill="CCEEFF"/>
            <w:tcMar>
              <w:top w:w="40" w:type="dxa"/>
              <w:left w:w="20" w:type="dxa"/>
              <w:bottom w:w="40" w:type="dxa"/>
              <w:right w:w="20" w:type="dxa"/>
            </w:tcMar>
            <w:vAlign w:val="bottom"/>
          </w:tcPr>
          <w:p w14:paraId="5EA1E1BF" w14:textId="77777777" w:rsidR="003C66EB" w:rsidRDefault="00D96C4E">
            <w:pPr>
              <w:textAlignment w:val="bottom"/>
            </w:pPr>
            <w:r>
              <w:rPr>
                <w:rFonts w:ascii="Arial" w:eastAsia="宋体" w:hAnsi="Arial" w:cs="Arial"/>
                <w:color w:val="000000"/>
                <w:sz w:val="15"/>
                <w:szCs w:val="15"/>
              </w:rPr>
              <w:t>Other income:</w:t>
            </w:r>
          </w:p>
        </w:tc>
        <w:tc>
          <w:tcPr>
            <w:tcW w:w="0" w:type="auto"/>
            <w:gridSpan w:val="3"/>
            <w:shd w:val="clear" w:color="auto" w:fill="CCEEFF"/>
            <w:tcMar>
              <w:top w:w="0" w:type="dxa"/>
              <w:left w:w="20" w:type="dxa"/>
              <w:bottom w:w="0" w:type="dxa"/>
              <w:right w:w="20" w:type="dxa"/>
            </w:tcMar>
          </w:tcPr>
          <w:p w14:paraId="5EA1E1C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1C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1C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1C3" w14:textId="77777777" w:rsidR="003C66EB" w:rsidRDefault="003C66EB">
            <w:pPr>
              <w:rPr>
                <w:rFonts w:ascii="宋体"/>
              </w:rPr>
            </w:pPr>
          </w:p>
        </w:tc>
        <w:tc>
          <w:tcPr>
            <w:tcW w:w="0" w:type="auto"/>
            <w:shd w:val="clear" w:color="auto" w:fill="auto"/>
          </w:tcPr>
          <w:p w14:paraId="5EA1E1C4" w14:textId="77777777" w:rsidR="003C66EB" w:rsidRDefault="003C66EB">
            <w:pPr>
              <w:rPr>
                <w:rFonts w:ascii="宋体"/>
                <w:vanish/>
              </w:rPr>
            </w:pPr>
          </w:p>
        </w:tc>
        <w:tc>
          <w:tcPr>
            <w:tcW w:w="0" w:type="auto"/>
            <w:gridSpan w:val="3"/>
            <w:shd w:val="clear" w:color="auto" w:fill="auto"/>
          </w:tcPr>
          <w:p w14:paraId="5EA1E1C5"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1C6" w14:textId="77777777" w:rsidR="003C66EB" w:rsidRDefault="003C66EB">
            <w:pPr>
              <w:rPr>
                <w:rFonts w:ascii="宋体"/>
              </w:rPr>
            </w:pPr>
          </w:p>
        </w:tc>
        <w:tc>
          <w:tcPr>
            <w:tcW w:w="0" w:type="auto"/>
            <w:gridSpan w:val="3"/>
            <w:shd w:val="clear" w:color="auto" w:fill="auto"/>
          </w:tcPr>
          <w:p w14:paraId="5EA1E1C7" w14:textId="77777777" w:rsidR="003C66EB" w:rsidRDefault="003C66EB">
            <w:pPr>
              <w:rPr>
                <w:rFonts w:ascii="宋体"/>
                <w:vanish/>
              </w:rPr>
            </w:pPr>
          </w:p>
        </w:tc>
        <w:tc>
          <w:tcPr>
            <w:tcW w:w="0" w:type="auto"/>
            <w:gridSpan w:val="3"/>
            <w:shd w:val="clear" w:color="auto" w:fill="auto"/>
          </w:tcPr>
          <w:p w14:paraId="5EA1E1C8" w14:textId="77777777" w:rsidR="003C66EB" w:rsidRDefault="003C66EB">
            <w:pPr>
              <w:rPr>
                <w:rFonts w:ascii="宋体"/>
                <w:vanish/>
              </w:rPr>
            </w:pPr>
          </w:p>
        </w:tc>
        <w:tc>
          <w:tcPr>
            <w:tcW w:w="0" w:type="auto"/>
            <w:gridSpan w:val="3"/>
            <w:shd w:val="clear" w:color="auto" w:fill="auto"/>
          </w:tcPr>
          <w:p w14:paraId="5EA1E1C9" w14:textId="77777777" w:rsidR="003C66EB" w:rsidRDefault="003C66EB">
            <w:pPr>
              <w:rPr>
                <w:rFonts w:ascii="宋体"/>
                <w:vanish/>
              </w:rPr>
            </w:pPr>
          </w:p>
        </w:tc>
      </w:tr>
      <w:tr w:rsidR="003C66EB" w14:paraId="5EA1E1D8" w14:textId="77777777">
        <w:tc>
          <w:tcPr>
            <w:tcW w:w="0" w:type="auto"/>
            <w:gridSpan w:val="3"/>
            <w:shd w:val="clear" w:color="auto" w:fill="FFFFFF"/>
            <w:tcMar>
              <w:top w:w="40" w:type="dxa"/>
              <w:left w:w="20" w:type="dxa"/>
              <w:bottom w:w="40" w:type="dxa"/>
              <w:right w:w="20" w:type="dxa"/>
            </w:tcMar>
            <w:vAlign w:val="bottom"/>
          </w:tcPr>
          <w:p w14:paraId="5EA1E1CB" w14:textId="77777777" w:rsidR="003C66EB" w:rsidRDefault="00D96C4E">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5EA1E1C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E1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C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1CF" w14:textId="77777777" w:rsidR="003C66EB" w:rsidRDefault="00D96C4E">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5EA1E1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D1" w14:textId="77777777" w:rsidR="003C66EB" w:rsidRDefault="003C66EB">
            <w:pPr>
              <w:rPr>
                <w:rFonts w:ascii="宋体"/>
              </w:rPr>
            </w:pPr>
          </w:p>
        </w:tc>
        <w:tc>
          <w:tcPr>
            <w:tcW w:w="0" w:type="auto"/>
            <w:shd w:val="clear" w:color="auto" w:fill="auto"/>
          </w:tcPr>
          <w:p w14:paraId="5EA1E1D2" w14:textId="77777777" w:rsidR="003C66EB" w:rsidRDefault="003C66EB">
            <w:pPr>
              <w:rPr>
                <w:rFonts w:ascii="宋体"/>
                <w:vanish/>
              </w:rPr>
            </w:pPr>
          </w:p>
        </w:tc>
        <w:tc>
          <w:tcPr>
            <w:tcW w:w="0" w:type="auto"/>
            <w:gridSpan w:val="3"/>
            <w:shd w:val="clear" w:color="auto" w:fill="auto"/>
          </w:tcPr>
          <w:p w14:paraId="5EA1E1D3" w14:textId="77777777" w:rsidR="003C66EB" w:rsidRDefault="003C66EB">
            <w:pPr>
              <w:rPr>
                <w:rFonts w:ascii="宋体"/>
                <w:vanish/>
              </w:rPr>
            </w:pPr>
          </w:p>
        </w:tc>
        <w:tc>
          <w:tcPr>
            <w:tcW w:w="0" w:type="auto"/>
            <w:gridSpan w:val="3"/>
            <w:shd w:val="clear" w:color="auto" w:fill="FFFFFF"/>
            <w:tcMar>
              <w:top w:w="40" w:type="dxa"/>
              <w:left w:w="20" w:type="dxa"/>
              <w:bottom w:w="40" w:type="dxa"/>
              <w:right w:w="140" w:type="dxa"/>
            </w:tcMar>
            <w:vAlign w:val="bottom"/>
          </w:tcPr>
          <w:p w14:paraId="5EA1E1D4" w14:textId="77777777" w:rsidR="003C66EB" w:rsidRDefault="00D96C4E">
            <w:pPr>
              <w:jc w:val="right"/>
              <w:textAlignment w:val="bottom"/>
            </w:pPr>
            <w:r>
              <w:rPr>
                <w:rFonts w:ascii="Arial" w:eastAsia="宋体" w:hAnsi="Arial" w:cs="Arial"/>
                <w:color w:val="000000"/>
                <w:sz w:val="15"/>
                <w:szCs w:val="15"/>
              </w:rPr>
              <w:t>nm</w:t>
            </w:r>
          </w:p>
        </w:tc>
        <w:tc>
          <w:tcPr>
            <w:tcW w:w="0" w:type="auto"/>
            <w:gridSpan w:val="3"/>
            <w:shd w:val="clear" w:color="auto" w:fill="auto"/>
          </w:tcPr>
          <w:p w14:paraId="5EA1E1D5" w14:textId="77777777" w:rsidR="003C66EB" w:rsidRDefault="003C66EB">
            <w:pPr>
              <w:rPr>
                <w:rFonts w:ascii="宋体"/>
                <w:vanish/>
              </w:rPr>
            </w:pPr>
          </w:p>
        </w:tc>
        <w:tc>
          <w:tcPr>
            <w:tcW w:w="0" w:type="auto"/>
            <w:gridSpan w:val="3"/>
            <w:shd w:val="clear" w:color="auto" w:fill="auto"/>
          </w:tcPr>
          <w:p w14:paraId="5EA1E1D6" w14:textId="77777777" w:rsidR="003C66EB" w:rsidRDefault="003C66EB">
            <w:pPr>
              <w:rPr>
                <w:rFonts w:ascii="宋体"/>
                <w:vanish/>
              </w:rPr>
            </w:pPr>
          </w:p>
        </w:tc>
        <w:tc>
          <w:tcPr>
            <w:tcW w:w="0" w:type="auto"/>
            <w:gridSpan w:val="3"/>
            <w:shd w:val="clear" w:color="auto" w:fill="auto"/>
          </w:tcPr>
          <w:p w14:paraId="5EA1E1D7" w14:textId="77777777" w:rsidR="003C66EB" w:rsidRDefault="003C66EB">
            <w:pPr>
              <w:rPr>
                <w:rFonts w:ascii="宋体"/>
                <w:vanish/>
              </w:rPr>
            </w:pPr>
          </w:p>
        </w:tc>
      </w:tr>
      <w:tr w:rsidR="003C66EB" w14:paraId="5EA1E1E6" w14:textId="77777777">
        <w:tc>
          <w:tcPr>
            <w:tcW w:w="0" w:type="auto"/>
            <w:gridSpan w:val="3"/>
            <w:shd w:val="clear" w:color="auto" w:fill="CCEEFF"/>
            <w:tcMar>
              <w:top w:w="40" w:type="dxa"/>
              <w:left w:w="20" w:type="dxa"/>
              <w:bottom w:w="40" w:type="dxa"/>
              <w:right w:w="20" w:type="dxa"/>
            </w:tcMar>
            <w:vAlign w:val="bottom"/>
          </w:tcPr>
          <w:p w14:paraId="5EA1E1D9" w14:textId="77777777" w:rsidR="003C66EB" w:rsidRDefault="00D96C4E">
            <w:pPr>
              <w:textAlignment w:val="bottom"/>
            </w:pPr>
            <w:r>
              <w:rPr>
                <w:rFonts w:ascii="Arial" w:eastAsia="宋体" w:hAnsi="Arial" w:cs="Arial"/>
                <w:color w:val="000000"/>
                <w:sz w:val="15"/>
                <w:szCs w:val="15"/>
              </w:rPr>
              <w:t>Other income</w:t>
            </w:r>
          </w:p>
        </w:tc>
        <w:tc>
          <w:tcPr>
            <w:tcW w:w="0" w:type="auto"/>
            <w:gridSpan w:val="2"/>
            <w:shd w:val="clear" w:color="auto" w:fill="CCEEFF"/>
            <w:tcMar>
              <w:top w:w="40" w:type="dxa"/>
              <w:left w:w="20" w:type="dxa"/>
              <w:bottom w:w="40" w:type="dxa"/>
              <w:right w:w="0" w:type="dxa"/>
            </w:tcMar>
            <w:vAlign w:val="bottom"/>
          </w:tcPr>
          <w:p w14:paraId="5EA1E1DA"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E1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D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1DD"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E1D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DF" w14:textId="77777777" w:rsidR="003C66EB" w:rsidRDefault="003C66EB">
            <w:pPr>
              <w:rPr>
                <w:rFonts w:ascii="宋体"/>
              </w:rPr>
            </w:pPr>
          </w:p>
        </w:tc>
        <w:tc>
          <w:tcPr>
            <w:tcW w:w="0" w:type="auto"/>
            <w:shd w:val="clear" w:color="auto" w:fill="auto"/>
          </w:tcPr>
          <w:p w14:paraId="5EA1E1E0" w14:textId="77777777" w:rsidR="003C66EB" w:rsidRDefault="003C66EB">
            <w:pPr>
              <w:rPr>
                <w:rFonts w:ascii="宋体"/>
                <w:vanish/>
              </w:rPr>
            </w:pPr>
          </w:p>
        </w:tc>
        <w:tc>
          <w:tcPr>
            <w:tcW w:w="0" w:type="auto"/>
            <w:gridSpan w:val="3"/>
            <w:shd w:val="clear" w:color="auto" w:fill="auto"/>
          </w:tcPr>
          <w:p w14:paraId="5EA1E1E1" w14:textId="77777777" w:rsidR="003C66EB" w:rsidRDefault="003C66EB">
            <w:pPr>
              <w:rPr>
                <w:rFonts w:ascii="宋体"/>
                <w:vanish/>
              </w:rPr>
            </w:pPr>
          </w:p>
        </w:tc>
        <w:tc>
          <w:tcPr>
            <w:tcW w:w="0" w:type="auto"/>
            <w:gridSpan w:val="3"/>
            <w:shd w:val="clear" w:color="auto" w:fill="CCEEFF"/>
            <w:tcMar>
              <w:top w:w="40" w:type="dxa"/>
              <w:left w:w="20" w:type="dxa"/>
              <w:bottom w:w="40" w:type="dxa"/>
              <w:right w:w="140" w:type="dxa"/>
            </w:tcMar>
            <w:vAlign w:val="bottom"/>
          </w:tcPr>
          <w:p w14:paraId="5EA1E1E2" w14:textId="77777777" w:rsidR="003C66EB" w:rsidRDefault="00D96C4E">
            <w:pPr>
              <w:jc w:val="right"/>
              <w:textAlignment w:val="bottom"/>
            </w:pPr>
            <w:r>
              <w:rPr>
                <w:rFonts w:ascii="Arial" w:eastAsia="宋体" w:hAnsi="Arial" w:cs="Arial"/>
                <w:color w:val="000000"/>
                <w:sz w:val="15"/>
                <w:szCs w:val="15"/>
              </w:rPr>
              <w:t>nm</w:t>
            </w:r>
          </w:p>
        </w:tc>
        <w:tc>
          <w:tcPr>
            <w:tcW w:w="0" w:type="auto"/>
            <w:gridSpan w:val="3"/>
            <w:shd w:val="clear" w:color="auto" w:fill="auto"/>
          </w:tcPr>
          <w:p w14:paraId="5EA1E1E3" w14:textId="77777777" w:rsidR="003C66EB" w:rsidRDefault="003C66EB">
            <w:pPr>
              <w:rPr>
                <w:rFonts w:ascii="宋体"/>
                <w:vanish/>
              </w:rPr>
            </w:pPr>
          </w:p>
        </w:tc>
        <w:tc>
          <w:tcPr>
            <w:tcW w:w="0" w:type="auto"/>
            <w:gridSpan w:val="3"/>
            <w:shd w:val="clear" w:color="auto" w:fill="auto"/>
          </w:tcPr>
          <w:p w14:paraId="5EA1E1E4" w14:textId="77777777" w:rsidR="003C66EB" w:rsidRDefault="003C66EB">
            <w:pPr>
              <w:rPr>
                <w:rFonts w:ascii="宋体"/>
                <w:vanish/>
              </w:rPr>
            </w:pPr>
          </w:p>
        </w:tc>
        <w:tc>
          <w:tcPr>
            <w:tcW w:w="0" w:type="auto"/>
            <w:gridSpan w:val="3"/>
            <w:shd w:val="clear" w:color="auto" w:fill="auto"/>
          </w:tcPr>
          <w:p w14:paraId="5EA1E1E5" w14:textId="77777777" w:rsidR="003C66EB" w:rsidRDefault="003C66EB">
            <w:pPr>
              <w:rPr>
                <w:rFonts w:ascii="宋体"/>
                <w:vanish/>
              </w:rPr>
            </w:pPr>
          </w:p>
        </w:tc>
      </w:tr>
      <w:tr w:rsidR="003C66EB" w14:paraId="5EA1E1F4" w14:textId="77777777">
        <w:tc>
          <w:tcPr>
            <w:tcW w:w="0" w:type="auto"/>
            <w:gridSpan w:val="3"/>
            <w:shd w:val="clear" w:color="auto" w:fill="FFFFFF"/>
            <w:tcMar>
              <w:top w:w="40" w:type="dxa"/>
              <w:left w:w="20" w:type="dxa"/>
              <w:bottom w:w="40" w:type="dxa"/>
              <w:right w:w="20" w:type="dxa"/>
            </w:tcMar>
            <w:vAlign w:val="bottom"/>
          </w:tcPr>
          <w:p w14:paraId="5EA1E1E7" w14:textId="77777777" w:rsidR="003C66EB" w:rsidRDefault="00D96C4E">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1E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1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E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1EB" w14:textId="77777777" w:rsidR="003C66EB" w:rsidRDefault="00D96C4E">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1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1ED" w14:textId="77777777" w:rsidR="003C66EB" w:rsidRDefault="003C66EB">
            <w:pPr>
              <w:rPr>
                <w:rFonts w:ascii="宋体"/>
              </w:rPr>
            </w:pPr>
          </w:p>
        </w:tc>
        <w:tc>
          <w:tcPr>
            <w:tcW w:w="0" w:type="auto"/>
            <w:shd w:val="clear" w:color="auto" w:fill="auto"/>
          </w:tcPr>
          <w:p w14:paraId="5EA1E1EE" w14:textId="77777777" w:rsidR="003C66EB" w:rsidRDefault="003C66EB">
            <w:pPr>
              <w:rPr>
                <w:rFonts w:ascii="宋体"/>
                <w:vanish/>
              </w:rPr>
            </w:pPr>
          </w:p>
        </w:tc>
        <w:tc>
          <w:tcPr>
            <w:tcW w:w="0" w:type="auto"/>
            <w:gridSpan w:val="3"/>
            <w:shd w:val="clear" w:color="auto" w:fill="auto"/>
          </w:tcPr>
          <w:p w14:paraId="5EA1E1EF" w14:textId="77777777" w:rsidR="003C66EB" w:rsidRDefault="003C66EB">
            <w:pPr>
              <w:rPr>
                <w:rFonts w:ascii="宋体"/>
                <w:vanish/>
              </w:rPr>
            </w:pPr>
          </w:p>
        </w:tc>
        <w:tc>
          <w:tcPr>
            <w:tcW w:w="0" w:type="auto"/>
            <w:gridSpan w:val="3"/>
            <w:shd w:val="clear" w:color="auto" w:fill="FFFFFF"/>
            <w:tcMar>
              <w:top w:w="40" w:type="dxa"/>
              <w:left w:w="20" w:type="dxa"/>
              <w:bottom w:w="40" w:type="dxa"/>
              <w:right w:w="140" w:type="dxa"/>
            </w:tcMar>
            <w:vAlign w:val="bottom"/>
          </w:tcPr>
          <w:p w14:paraId="5EA1E1F0" w14:textId="77777777" w:rsidR="003C66EB" w:rsidRDefault="00D96C4E">
            <w:pPr>
              <w:jc w:val="right"/>
              <w:textAlignment w:val="bottom"/>
            </w:pPr>
            <w:r>
              <w:rPr>
                <w:rFonts w:ascii="Arial" w:eastAsia="宋体" w:hAnsi="Arial" w:cs="Arial"/>
                <w:color w:val="000000"/>
                <w:sz w:val="15"/>
                <w:szCs w:val="15"/>
              </w:rPr>
              <w:t>nm</w:t>
            </w:r>
          </w:p>
        </w:tc>
        <w:tc>
          <w:tcPr>
            <w:tcW w:w="0" w:type="auto"/>
            <w:gridSpan w:val="3"/>
            <w:shd w:val="clear" w:color="auto" w:fill="auto"/>
          </w:tcPr>
          <w:p w14:paraId="5EA1E1F1" w14:textId="77777777" w:rsidR="003C66EB" w:rsidRDefault="003C66EB">
            <w:pPr>
              <w:rPr>
                <w:rFonts w:ascii="宋体"/>
                <w:vanish/>
              </w:rPr>
            </w:pPr>
          </w:p>
        </w:tc>
        <w:tc>
          <w:tcPr>
            <w:tcW w:w="0" w:type="auto"/>
            <w:gridSpan w:val="3"/>
            <w:shd w:val="clear" w:color="auto" w:fill="auto"/>
          </w:tcPr>
          <w:p w14:paraId="5EA1E1F2" w14:textId="77777777" w:rsidR="003C66EB" w:rsidRDefault="003C66EB">
            <w:pPr>
              <w:rPr>
                <w:rFonts w:ascii="宋体"/>
                <w:vanish/>
              </w:rPr>
            </w:pPr>
          </w:p>
        </w:tc>
        <w:tc>
          <w:tcPr>
            <w:tcW w:w="0" w:type="auto"/>
            <w:gridSpan w:val="3"/>
            <w:shd w:val="clear" w:color="auto" w:fill="auto"/>
          </w:tcPr>
          <w:p w14:paraId="5EA1E1F3" w14:textId="77777777" w:rsidR="003C66EB" w:rsidRDefault="003C66EB">
            <w:pPr>
              <w:rPr>
                <w:rFonts w:ascii="宋体"/>
                <w:vanish/>
              </w:rPr>
            </w:pPr>
          </w:p>
        </w:tc>
      </w:tr>
      <w:tr w:rsidR="003C66EB" w14:paraId="5EA1E205" w14:textId="77777777">
        <w:tc>
          <w:tcPr>
            <w:tcW w:w="0" w:type="auto"/>
            <w:gridSpan w:val="3"/>
            <w:shd w:val="clear" w:color="auto" w:fill="CCEEFF"/>
            <w:tcMar>
              <w:top w:w="40" w:type="dxa"/>
              <w:left w:w="20" w:type="dxa"/>
              <w:bottom w:w="40" w:type="dxa"/>
              <w:right w:w="20" w:type="dxa"/>
            </w:tcMar>
            <w:vAlign w:val="bottom"/>
          </w:tcPr>
          <w:p w14:paraId="5EA1E1F5" w14:textId="77777777" w:rsidR="003C66EB" w:rsidRDefault="00D96C4E">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E1F6"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E1F7" w14:textId="77777777" w:rsidR="003C66EB" w:rsidRDefault="00D96C4E">
            <w:pPr>
              <w:jc w:val="right"/>
              <w:textAlignment w:val="bottom"/>
            </w:pPr>
            <w:r>
              <w:rPr>
                <w:rFonts w:ascii="Arial" w:eastAsia="宋体" w:hAnsi="Arial" w:cs="Arial"/>
                <w:b/>
                <w:bCs/>
                <w:color w:val="000000"/>
                <w:sz w:val="15"/>
                <w:szCs w:val="15"/>
              </w:rPr>
              <w:t>2,950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E1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F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E1F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E1FB" w14:textId="77777777" w:rsidR="003C66EB" w:rsidRDefault="00D96C4E">
            <w:pPr>
              <w:jc w:val="right"/>
              <w:textAlignment w:val="bottom"/>
            </w:pPr>
            <w:r>
              <w:rPr>
                <w:rFonts w:ascii="Arial" w:eastAsia="宋体" w:hAnsi="Arial" w:cs="Arial"/>
                <w:color w:val="000000"/>
                <w:sz w:val="15"/>
                <w:szCs w:val="15"/>
              </w:rPr>
              <w:t>3,065 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E1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1FD" w14:textId="77777777" w:rsidR="003C66EB" w:rsidRDefault="003C66EB">
            <w:pPr>
              <w:rPr>
                <w:rFonts w:ascii="宋体"/>
              </w:rPr>
            </w:pPr>
          </w:p>
        </w:tc>
        <w:tc>
          <w:tcPr>
            <w:tcW w:w="0" w:type="auto"/>
            <w:shd w:val="clear" w:color="auto" w:fill="auto"/>
          </w:tcPr>
          <w:p w14:paraId="5EA1E1FE" w14:textId="77777777" w:rsidR="003C66EB" w:rsidRDefault="003C66EB">
            <w:pPr>
              <w:rPr>
                <w:rFonts w:ascii="宋体"/>
                <w:vanish/>
              </w:rPr>
            </w:pPr>
          </w:p>
        </w:tc>
        <w:tc>
          <w:tcPr>
            <w:tcW w:w="0" w:type="auto"/>
            <w:gridSpan w:val="3"/>
            <w:shd w:val="clear" w:color="auto" w:fill="auto"/>
          </w:tcPr>
          <w:p w14:paraId="5EA1E1FF"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200" w14:textId="77777777" w:rsidR="003C66EB" w:rsidRDefault="00D96C4E">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5EA1E201" w14:textId="77777777" w:rsidR="003C66EB" w:rsidRDefault="003C66EB">
            <w:pPr>
              <w:jc w:val="right"/>
              <w:rPr>
                <w:rFonts w:ascii="宋体"/>
              </w:rPr>
            </w:pPr>
          </w:p>
        </w:tc>
        <w:tc>
          <w:tcPr>
            <w:tcW w:w="0" w:type="auto"/>
            <w:gridSpan w:val="3"/>
            <w:shd w:val="clear" w:color="auto" w:fill="auto"/>
          </w:tcPr>
          <w:p w14:paraId="5EA1E202" w14:textId="77777777" w:rsidR="003C66EB" w:rsidRDefault="003C66EB">
            <w:pPr>
              <w:rPr>
                <w:rFonts w:ascii="宋体"/>
                <w:vanish/>
              </w:rPr>
            </w:pPr>
          </w:p>
        </w:tc>
        <w:tc>
          <w:tcPr>
            <w:tcW w:w="0" w:type="auto"/>
            <w:gridSpan w:val="3"/>
            <w:shd w:val="clear" w:color="auto" w:fill="auto"/>
          </w:tcPr>
          <w:p w14:paraId="5EA1E203" w14:textId="77777777" w:rsidR="003C66EB" w:rsidRDefault="003C66EB">
            <w:pPr>
              <w:rPr>
                <w:rFonts w:ascii="宋体"/>
                <w:vanish/>
              </w:rPr>
            </w:pPr>
          </w:p>
        </w:tc>
        <w:tc>
          <w:tcPr>
            <w:tcW w:w="0" w:type="auto"/>
            <w:gridSpan w:val="3"/>
            <w:shd w:val="clear" w:color="auto" w:fill="auto"/>
          </w:tcPr>
          <w:p w14:paraId="5EA1E204" w14:textId="77777777" w:rsidR="003C66EB" w:rsidRDefault="003C66EB">
            <w:pPr>
              <w:rPr>
                <w:rFonts w:ascii="宋体"/>
                <w:vanish/>
              </w:rPr>
            </w:pPr>
          </w:p>
        </w:tc>
      </w:tr>
    </w:tbl>
    <w:p w14:paraId="5EA1E206"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E20D" w14:textId="77777777">
        <w:tc>
          <w:tcPr>
            <w:tcW w:w="50" w:type="pct"/>
            <w:shd w:val="clear" w:color="auto" w:fill="auto"/>
          </w:tcPr>
          <w:p w14:paraId="5EA1E207" w14:textId="77777777" w:rsidR="003C66EB" w:rsidRDefault="003C66EB">
            <w:pPr>
              <w:rPr>
                <w:rFonts w:ascii="宋体"/>
              </w:rPr>
            </w:pPr>
          </w:p>
        </w:tc>
        <w:tc>
          <w:tcPr>
            <w:tcW w:w="1348" w:type="pct"/>
            <w:shd w:val="clear" w:color="auto" w:fill="auto"/>
          </w:tcPr>
          <w:p w14:paraId="5EA1E208" w14:textId="77777777" w:rsidR="003C66EB" w:rsidRDefault="003C66EB">
            <w:pPr>
              <w:rPr>
                <w:rFonts w:ascii="宋体"/>
              </w:rPr>
            </w:pPr>
          </w:p>
        </w:tc>
        <w:tc>
          <w:tcPr>
            <w:tcW w:w="5" w:type="pct"/>
            <w:shd w:val="clear" w:color="auto" w:fill="auto"/>
          </w:tcPr>
          <w:p w14:paraId="5EA1E209" w14:textId="77777777" w:rsidR="003C66EB" w:rsidRDefault="003C66EB">
            <w:pPr>
              <w:rPr>
                <w:rFonts w:ascii="宋体"/>
              </w:rPr>
            </w:pPr>
          </w:p>
        </w:tc>
        <w:tc>
          <w:tcPr>
            <w:tcW w:w="50" w:type="pct"/>
            <w:shd w:val="clear" w:color="auto" w:fill="auto"/>
          </w:tcPr>
          <w:p w14:paraId="5EA1E20A" w14:textId="77777777" w:rsidR="003C66EB" w:rsidRDefault="003C66EB">
            <w:pPr>
              <w:rPr>
                <w:rFonts w:ascii="宋体"/>
              </w:rPr>
            </w:pPr>
          </w:p>
        </w:tc>
        <w:tc>
          <w:tcPr>
            <w:tcW w:w="3541" w:type="pct"/>
            <w:shd w:val="clear" w:color="auto" w:fill="auto"/>
          </w:tcPr>
          <w:p w14:paraId="5EA1E20B" w14:textId="77777777" w:rsidR="003C66EB" w:rsidRDefault="003C66EB">
            <w:pPr>
              <w:rPr>
                <w:rFonts w:ascii="宋体"/>
              </w:rPr>
            </w:pPr>
          </w:p>
        </w:tc>
        <w:tc>
          <w:tcPr>
            <w:tcW w:w="5" w:type="pct"/>
            <w:shd w:val="clear" w:color="auto" w:fill="auto"/>
          </w:tcPr>
          <w:p w14:paraId="5EA1E20C" w14:textId="77777777" w:rsidR="003C66EB" w:rsidRDefault="003C66EB">
            <w:pPr>
              <w:rPr>
                <w:rFonts w:ascii="宋体"/>
              </w:rPr>
            </w:pPr>
          </w:p>
        </w:tc>
      </w:tr>
      <w:tr w:rsidR="003C66EB" w14:paraId="5EA1E21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2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20F" w14:textId="77777777" w:rsidR="003C66EB" w:rsidRDefault="003C66EB">
            <w:pPr>
              <w:rPr>
                <w:rFonts w:ascii="宋体"/>
              </w:rPr>
            </w:pPr>
          </w:p>
        </w:tc>
      </w:tr>
    </w:tbl>
    <w:p w14:paraId="5EA1E211" w14:textId="77777777" w:rsidR="003C66EB" w:rsidRDefault="00D96C4E">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Certain fees associated with our GLD ETFs have been reclassified from foreign exchange trading services to management fees to better reflect the nature of those fees. Prior periods have been reclassified to conform to current-period presentation. These fe</w:t>
      </w:r>
      <w:r>
        <w:rPr>
          <w:rFonts w:ascii="Arial" w:eastAsia="宋体" w:hAnsi="Arial" w:cs="Arial"/>
          <w:color w:val="000000"/>
          <w:sz w:val="13"/>
          <w:szCs w:val="13"/>
        </w:rPr>
        <w:t>es were approximately $15 million in the first quarter of 2020.</w:t>
      </w:r>
    </w:p>
    <w:p w14:paraId="5EA1E212" w14:textId="77777777" w:rsidR="003C66EB" w:rsidRDefault="00D96C4E">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impact of State Street Global Advisors gross money market fund fee waivers on management fee revenue was approximately $15 million in the first quarter of 2021, with an additional appr</w:t>
      </w:r>
      <w:r>
        <w:rPr>
          <w:rFonts w:ascii="Arial" w:eastAsia="宋体" w:hAnsi="Arial" w:cs="Arial"/>
          <w:color w:val="000000"/>
          <w:sz w:val="13"/>
          <w:szCs w:val="13"/>
        </w:rPr>
        <w:t>oximately $10 million of gross money market fund fee waivers attributable to other fee revenue lines in the same period.</w:t>
      </w:r>
    </w:p>
    <w:p w14:paraId="5EA1E213" w14:textId="77777777" w:rsidR="003C66EB" w:rsidRDefault="00D96C4E">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5EA1E214" w14:textId="77777777" w:rsidR="003C66EB" w:rsidRDefault="00D96C4E">
      <w:pPr>
        <w:spacing w:before="60"/>
        <w:textAlignment w:val="top"/>
      </w:pPr>
      <w:r>
        <w:rPr>
          <w:rFonts w:ascii="Arial" w:eastAsia="宋体" w:hAnsi="Arial" w:cs="Arial"/>
          <w:b/>
          <w:bCs/>
          <w:i/>
          <w:iCs/>
          <w:color w:val="000000"/>
          <w:sz w:val="20"/>
          <w:szCs w:val="20"/>
        </w:rPr>
        <w:t>Fee Revenue</w:t>
      </w:r>
    </w:p>
    <w:p w14:paraId="5EA1E215" w14:textId="77777777" w:rsidR="003C66EB" w:rsidRDefault="00D96C4E">
      <w:pPr>
        <w:spacing w:before="20"/>
        <w:ind w:firstLine="450"/>
        <w:jc w:val="both"/>
        <w:textAlignment w:val="top"/>
      </w:pPr>
      <w:r>
        <w:rPr>
          <w:rFonts w:ascii="Arial" w:eastAsia="宋体" w:hAnsi="Arial" w:cs="Arial"/>
          <w:color w:val="000000"/>
          <w:sz w:val="20"/>
          <w:szCs w:val="20"/>
        </w:rPr>
        <w:t xml:space="preserve">Table 2: Total Revenue, provides the breakout of fee revenue for the first quarters of 2021 and </w:t>
      </w:r>
      <w:r>
        <w:rPr>
          <w:rFonts w:ascii="Arial" w:eastAsia="宋体" w:hAnsi="Arial" w:cs="Arial"/>
          <w:color w:val="000000"/>
          <w:sz w:val="20"/>
          <w:szCs w:val="20"/>
        </w:rPr>
        <w:t>2020. Servicing and management fees collectively made up approximately 75% and 73% of the total fee revenue in the first quarters of 2021 and 2020, respectively.</w:t>
      </w:r>
    </w:p>
    <w:p w14:paraId="5EA1E216" w14:textId="77777777" w:rsidR="003C66EB" w:rsidRDefault="00D96C4E">
      <w:pPr>
        <w:spacing w:before="60"/>
        <w:textAlignment w:val="top"/>
      </w:pPr>
      <w:r>
        <w:rPr>
          <w:rFonts w:ascii="Arial" w:eastAsia="宋体" w:hAnsi="Arial" w:cs="Arial"/>
          <w:b/>
          <w:bCs/>
          <w:i/>
          <w:iCs/>
          <w:color w:val="000000"/>
          <w:sz w:val="20"/>
          <w:szCs w:val="20"/>
        </w:rPr>
        <w:t>Servicing Fee Revenue</w:t>
      </w:r>
    </w:p>
    <w:p w14:paraId="5EA1E217" w14:textId="77777777" w:rsidR="003C66EB" w:rsidRDefault="00D96C4E">
      <w:pPr>
        <w:spacing w:before="20"/>
        <w:ind w:firstLine="450"/>
        <w:jc w:val="both"/>
        <w:textAlignment w:val="top"/>
      </w:pPr>
      <w:r>
        <w:rPr>
          <w:rFonts w:ascii="Arial" w:eastAsia="宋体" w:hAnsi="Arial" w:cs="Arial"/>
          <w:color w:val="000000"/>
          <w:sz w:val="20"/>
          <w:szCs w:val="20"/>
        </w:rPr>
        <w:t>Generally, our servicing fee revenues are affected by several factors in</w:t>
      </w:r>
      <w:r>
        <w:rPr>
          <w:rFonts w:ascii="Arial" w:eastAsia="宋体" w:hAnsi="Arial" w:cs="Arial"/>
          <w:color w:val="000000"/>
          <w:sz w:val="20"/>
          <w:szCs w:val="20"/>
        </w:rPr>
        <w:t xml:space="preserve">cluding changes in market valuations, client activity and asset flows, net new business and the manner in which we price our services. We provide a range of services to our clients, including core custody services, accounting, reporting and administration </w:t>
      </w:r>
      <w:r>
        <w:rPr>
          <w:rFonts w:ascii="Arial" w:eastAsia="宋体" w:hAnsi="Arial" w:cs="Arial"/>
          <w:color w:val="000000"/>
          <w:sz w:val="20"/>
          <w:szCs w:val="20"/>
        </w:rPr>
        <w:t xml:space="preserve">and middle office services, and the nature and mix of services provided affects our servicing fees. The basis for fees will differ across regions and clients. </w:t>
      </w:r>
    </w:p>
    <w:p w14:paraId="5EA1E218" w14:textId="77777777" w:rsidR="003C66EB" w:rsidRDefault="00D96C4E">
      <w:pPr>
        <w:spacing w:before="20"/>
        <w:textAlignment w:val="top"/>
      </w:pPr>
      <w:r>
        <w:rPr>
          <w:rFonts w:ascii="Arial" w:eastAsia="宋体" w:hAnsi="Arial" w:cs="Arial"/>
          <w:i/>
          <w:iCs/>
          <w:color w:val="000000"/>
          <w:sz w:val="20"/>
          <w:szCs w:val="20"/>
        </w:rPr>
        <w:t>Changes in Market Valuations</w:t>
      </w:r>
    </w:p>
    <w:p w14:paraId="5EA1E219" w14:textId="77777777" w:rsidR="003C66EB" w:rsidRDefault="00D96C4E">
      <w:pPr>
        <w:spacing w:before="20"/>
        <w:ind w:firstLine="450"/>
        <w:jc w:val="both"/>
        <w:textAlignment w:val="top"/>
      </w:pPr>
      <w:r>
        <w:rPr>
          <w:rFonts w:ascii="Arial" w:eastAsia="宋体" w:hAnsi="Arial" w:cs="Arial"/>
          <w:color w:val="000000"/>
          <w:sz w:val="20"/>
          <w:szCs w:val="20"/>
        </w:rPr>
        <w:t>Our servicing fee revenue is impacted by both our levels and the ge</w:t>
      </w:r>
      <w:r>
        <w:rPr>
          <w:rFonts w:ascii="Arial" w:eastAsia="宋体" w:hAnsi="Arial" w:cs="Arial"/>
          <w:color w:val="000000"/>
          <w:sz w:val="20"/>
          <w:szCs w:val="20"/>
        </w:rPr>
        <w:t>ographic and product mix of our AUC/A. Increases or decreases in market valuations have a corresponding impact on the level of our AUC/A and servicing fee revenues, though the degree of impact will vary depending on asset types and classes and geography of</w:t>
      </w:r>
      <w:r>
        <w:rPr>
          <w:rFonts w:ascii="Arial" w:eastAsia="宋体" w:hAnsi="Arial" w:cs="Arial"/>
          <w:color w:val="000000"/>
          <w:sz w:val="20"/>
          <w:szCs w:val="20"/>
        </w:rPr>
        <w:t xml:space="preserve"> assets held within our clients’ portfolios.</w:t>
      </w:r>
    </w:p>
    <w:p w14:paraId="5EA1E21A" w14:textId="77777777" w:rsidR="003C66EB" w:rsidRDefault="00D96C4E">
      <w:pPr>
        <w:spacing w:before="20"/>
        <w:ind w:firstLine="450"/>
        <w:jc w:val="both"/>
        <w:textAlignment w:val="top"/>
      </w:pPr>
      <w:r>
        <w:rPr>
          <w:rFonts w:ascii="Arial" w:eastAsia="宋体" w:hAnsi="Arial" w:cs="Arial"/>
          <w:color w:val="000000"/>
          <w:sz w:val="20"/>
          <w:szCs w:val="20"/>
        </w:rPr>
        <w:t>Over the five years ended December 31, 2020, we estimate that worldwide market valuations impacted our servicing fee revenues by approximately (1)% to 5% annually. See Table 3: Daily Averages, Month-End Averages</w:t>
      </w:r>
      <w:r>
        <w:rPr>
          <w:rFonts w:ascii="Arial" w:eastAsia="宋体" w:hAnsi="Arial" w:cs="Arial"/>
          <w:color w:val="000000"/>
          <w:sz w:val="20"/>
          <w:szCs w:val="20"/>
        </w:rPr>
        <w:t xml:space="preserve"> and Quarter-End Equity Indices for selected indices. While the specific indices presented are indicative of general market trends, the asset types and classes relevant to individual client portfolios can and do differ, and the performance of associated re</w:t>
      </w:r>
      <w:r>
        <w:rPr>
          <w:rFonts w:ascii="Arial" w:eastAsia="宋体" w:hAnsi="Arial" w:cs="Arial"/>
          <w:color w:val="000000"/>
          <w:sz w:val="20"/>
          <w:szCs w:val="20"/>
        </w:rPr>
        <w:t>levant indices and of client portfolios can therefore differ from the performance of the indices presented. In addition, our asset classifications may differ from those industry classifications presented.</w:t>
      </w:r>
    </w:p>
    <w:p w14:paraId="5EA1E21B" w14:textId="77777777" w:rsidR="003C66EB" w:rsidRDefault="00D96C4E">
      <w:pPr>
        <w:spacing w:before="20"/>
        <w:ind w:firstLine="450"/>
        <w:jc w:val="both"/>
        <w:textAlignment w:val="top"/>
      </w:pPr>
      <w:r>
        <w:rPr>
          <w:rFonts w:ascii="Arial" w:eastAsia="宋体" w:hAnsi="Arial" w:cs="Arial"/>
          <w:color w:val="000000"/>
          <w:sz w:val="20"/>
          <w:szCs w:val="20"/>
        </w:rPr>
        <w:t>Assuming that all other factors remain constant, in</w:t>
      </w:r>
      <w:r>
        <w:rPr>
          <w:rFonts w:ascii="Arial" w:eastAsia="宋体" w:hAnsi="Arial" w:cs="Arial"/>
          <w:color w:val="000000"/>
          <w:sz w:val="20"/>
          <w:szCs w:val="20"/>
        </w:rPr>
        <w:t>cluding client activity and asset flows and pricing, we estimate, using relevant information as of March 31, 2021 that a 10% increase or decrease in worldwide equity valuations, on a weighted average basis, over the relevant periods for which our servicing</w:t>
      </w:r>
      <w:r>
        <w:rPr>
          <w:rFonts w:ascii="Arial" w:eastAsia="宋体" w:hAnsi="Arial" w:cs="Arial"/>
          <w:color w:val="000000"/>
          <w:sz w:val="20"/>
          <w:szCs w:val="20"/>
        </w:rPr>
        <w:t xml:space="preserve"> fees are calculated, would result in a corresponding change in our total servicing fee revenues, on average and over multiple quarters, of approximately 3%. We estimate, similarly assuming all other factors constant and using relevant information as of Ma</w:t>
      </w:r>
      <w:r>
        <w:rPr>
          <w:rFonts w:ascii="Arial" w:eastAsia="宋体" w:hAnsi="Arial" w:cs="Arial"/>
          <w:color w:val="000000"/>
          <w:sz w:val="20"/>
          <w:szCs w:val="20"/>
        </w:rPr>
        <w:t>rch 31, 2021, that changes in worldwide fixed income markets, which on a weighted average basis and over time are typically less volatile than worldwide equity markets, have a smaller impact on our servicing fee revenues on average and over time.</w:t>
      </w:r>
    </w:p>
    <w:p w14:paraId="5EA1E21C" w14:textId="77777777" w:rsidR="003C66EB" w:rsidRDefault="00D96C4E">
      <w:pPr>
        <w:ind w:firstLine="450"/>
        <w:jc w:val="right"/>
      </w:pPr>
      <w:r>
        <w:rPr>
          <w:rFonts w:ascii="Arial" w:eastAsia="宋体" w:hAnsi="Arial" w:cs="Arial"/>
          <w:color w:val="000000"/>
          <w:sz w:val="18"/>
          <w:szCs w:val="18"/>
        </w:rPr>
        <w:t>State Str</w:t>
      </w:r>
      <w:r>
        <w:rPr>
          <w:rFonts w:ascii="Arial" w:eastAsia="宋体" w:hAnsi="Arial" w:cs="Arial"/>
          <w:color w:val="000000"/>
          <w:sz w:val="18"/>
          <w:szCs w:val="18"/>
        </w:rPr>
        <w:t>eet Corporation | 10</w:t>
      </w:r>
    </w:p>
    <w:p w14:paraId="5EA1E21D" w14:textId="77777777" w:rsidR="003C66EB" w:rsidRDefault="003C66EB">
      <w:pPr>
        <w:ind w:firstLine="450"/>
        <w:jc w:val="center"/>
      </w:pPr>
    </w:p>
    <w:p w14:paraId="5EA1E21E" w14:textId="77777777" w:rsidR="003C66EB" w:rsidRDefault="00D96C4E">
      <w:r>
        <w:pict w14:anchorId="5EA287BA">
          <v:rect id="_x0000_i1034" style="width:415.3pt;height:1.5pt" o:hralign="center" o:hrstd="t" o:hr="t" fillcolor="#a0a0a0" stroked="f"/>
        </w:pict>
      </w:r>
    </w:p>
    <w:p w14:paraId="5EA1E21F"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220" w14:textId="77777777" w:rsidR="003C66EB" w:rsidRDefault="00D96C4E">
      <w:pPr>
        <w:ind w:firstLine="450"/>
        <w:jc w:val="center"/>
      </w:pPr>
      <w:r>
        <w:rPr>
          <w:rFonts w:ascii="Arial" w:eastAsia="宋体" w:hAnsi="Arial" w:cs="Arial"/>
          <w:b/>
          <w:bCs/>
          <w:color w:val="000000"/>
          <w:sz w:val="20"/>
          <w:szCs w:val="20"/>
        </w:rPr>
        <w:t>AND RESULTS OF OPERATIONS</w:t>
      </w:r>
    </w:p>
    <w:tbl>
      <w:tblPr>
        <w:tblW w:w="4956" w:type="pct"/>
        <w:tblCellMar>
          <w:top w:w="15" w:type="dxa"/>
          <w:left w:w="15" w:type="dxa"/>
          <w:bottom w:w="15" w:type="dxa"/>
          <w:right w:w="15" w:type="dxa"/>
        </w:tblCellMar>
        <w:tblLook w:val="04A0" w:firstRow="1" w:lastRow="0" w:firstColumn="1" w:lastColumn="0" w:noHBand="0" w:noVBand="1"/>
      </w:tblPr>
      <w:tblGrid>
        <w:gridCol w:w="37"/>
        <w:gridCol w:w="1796"/>
        <w:gridCol w:w="36"/>
        <w:gridCol w:w="54"/>
        <w:gridCol w:w="458"/>
        <w:gridCol w:w="38"/>
        <w:gridCol w:w="37"/>
        <w:gridCol w:w="37"/>
        <w:gridCol w:w="37"/>
        <w:gridCol w:w="54"/>
        <w:gridCol w:w="405"/>
        <w:gridCol w:w="38"/>
        <w:gridCol w:w="37"/>
        <w:gridCol w:w="37"/>
        <w:gridCol w:w="37"/>
        <w:gridCol w:w="92"/>
        <w:gridCol w:w="615"/>
        <w:gridCol w:w="147"/>
        <w:gridCol w:w="36"/>
        <w:gridCol w:w="36"/>
        <w:gridCol w:w="36"/>
        <w:gridCol w:w="54"/>
        <w:gridCol w:w="358"/>
        <w:gridCol w:w="38"/>
        <w:gridCol w:w="37"/>
        <w:gridCol w:w="37"/>
        <w:gridCol w:w="37"/>
        <w:gridCol w:w="54"/>
        <w:gridCol w:w="409"/>
        <w:gridCol w:w="38"/>
        <w:gridCol w:w="37"/>
        <w:gridCol w:w="37"/>
        <w:gridCol w:w="37"/>
        <w:gridCol w:w="92"/>
        <w:gridCol w:w="615"/>
        <w:gridCol w:w="147"/>
        <w:gridCol w:w="36"/>
        <w:gridCol w:w="36"/>
        <w:gridCol w:w="36"/>
        <w:gridCol w:w="54"/>
        <w:gridCol w:w="358"/>
        <w:gridCol w:w="38"/>
        <w:gridCol w:w="37"/>
        <w:gridCol w:w="37"/>
        <w:gridCol w:w="37"/>
        <w:gridCol w:w="54"/>
        <w:gridCol w:w="409"/>
        <w:gridCol w:w="38"/>
        <w:gridCol w:w="37"/>
        <w:gridCol w:w="37"/>
        <w:gridCol w:w="37"/>
        <w:gridCol w:w="92"/>
        <w:gridCol w:w="616"/>
        <w:gridCol w:w="147"/>
      </w:tblGrid>
      <w:tr w:rsidR="003C66EB" w14:paraId="5EA1E257" w14:textId="77777777">
        <w:tc>
          <w:tcPr>
            <w:tcW w:w="50" w:type="pct"/>
            <w:shd w:val="clear" w:color="auto" w:fill="auto"/>
          </w:tcPr>
          <w:p w14:paraId="5EA1E221" w14:textId="77777777" w:rsidR="003C66EB" w:rsidRDefault="003C66EB">
            <w:pPr>
              <w:rPr>
                <w:rFonts w:ascii="宋体"/>
              </w:rPr>
            </w:pPr>
          </w:p>
        </w:tc>
        <w:tc>
          <w:tcPr>
            <w:tcW w:w="1132" w:type="pct"/>
            <w:shd w:val="clear" w:color="auto" w:fill="auto"/>
          </w:tcPr>
          <w:p w14:paraId="5EA1E222" w14:textId="77777777" w:rsidR="003C66EB" w:rsidRDefault="003C66EB">
            <w:pPr>
              <w:rPr>
                <w:rFonts w:ascii="宋体"/>
              </w:rPr>
            </w:pPr>
          </w:p>
        </w:tc>
        <w:tc>
          <w:tcPr>
            <w:tcW w:w="5" w:type="pct"/>
            <w:shd w:val="clear" w:color="auto" w:fill="auto"/>
          </w:tcPr>
          <w:p w14:paraId="5EA1E223" w14:textId="77777777" w:rsidR="003C66EB" w:rsidRDefault="003C66EB">
            <w:pPr>
              <w:rPr>
                <w:rFonts w:ascii="宋体"/>
              </w:rPr>
            </w:pPr>
          </w:p>
        </w:tc>
        <w:tc>
          <w:tcPr>
            <w:tcW w:w="50" w:type="pct"/>
            <w:shd w:val="clear" w:color="auto" w:fill="auto"/>
          </w:tcPr>
          <w:p w14:paraId="5EA1E224" w14:textId="77777777" w:rsidR="003C66EB" w:rsidRDefault="003C66EB">
            <w:pPr>
              <w:rPr>
                <w:rFonts w:ascii="宋体"/>
              </w:rPr>
            </w:pPr>
          </w:p>
        </w:tc>
        <w:tc>
          <w:tcPr>
            <w:tcW w:w="335" w:type="pct"/>
            <w:shd w:val="clear" w:color="auto" w:fill="auto"/>
          </w:tcPr>
          <w:p w14:paraId="5EA1E225" w14:textId="77777777" w:rsidR="003C66EB" w:rsidRDefault="003C66EB">
            <w:pPr>
              <w:rPr>
                <w:rFonts w:ascii="宋体"/>
              </w:rPr>
            </w:pPr>
          </w:p>
        </w:tc>
        <w:tc>
          <w:tcPr>
            <w:tcW w:w="5" w:type="pct"/>
            <w:shd w:val="clear" w:color="auto" w:fill="auto"/>
          </w:tcPr>
          <w:p w14:paraId="5EA1E226" w14:textId="77777777" w:rsidR="003C66EB" w:rsidRDefault="003C66EB">
            <w:pPr>
              <w:rPr>
                <w:rFonts w:ascii="宋体"/>
              </w:rPr>
            </w:pPr>
          </w:p>
        </w:tc>
        <w:tc>
          <w:tcPr>
            <w:tcW w:w="5" w:type="pct"/>
            <w:shd w:val="clear" w:color="auto" w:fill="auto"/>
          </w:tcPr>
          <w:p w14:paraId="5EA1E227" w14:textId="77777777" w:rsidR="003C66EB" w:rsidRDefault="003C66EB">
            <w:pPr>
              <w:rPr>
                <w:rFonts w:ascii="宋体"/>
              </w:rPr>
            </w:pPr>
          </w:p>
        </w:tc>
        <w:tc>
          <w:tcPr>
            <w:tcW w:w="26" w:type="pct"/>
            <w:shd w:val="clear" w:color="auto" w:fill="auto"/>
          </w:tcPr>
          <w:p w14:paraId="5EA1E228" w14:textId="77777777" w:rsidR="003C66EB" w:rsidRDefault="003C66EB">
            <w:pPr>
              <w:rPr>
                <w:rFonts w:ascii="宋体"/>
              </w:rPr>
            </w:pPr>
          </w:p>
        </w:tc>
        <w:tc>
          <w:tcPr>
            <w:tcW w:w="5" w:type="pct"/>
            <w:shd w:val="clear" w:color="auto" w:fill="auto"/>
          </w:tcPr>
          <w:p w14:paraId="5EA1E229" w14:textId="77777777" w:rsidR="003C66EB" w:rsidRDefault="003C66EB">
            <w:pPr>
              <w:rPr>
                <w:rFonts w:ascii="宋体"/>
              </w:rPr>
            </w:pPr>
          </w:p>
        </w:tc>
        <w:tc>
          <w:tcPr>
            <w:tcW w:w="50" w:type="pct"/>
            <w:shd w:val="clear" w:color="auto" w:fill="auto"/>
          </w:tcPr>
          <w:p w14:paraId="5EA1E22A" w14:textId="77777777" w:rsidR="003C66EB" w:rsidRDefault="003C66EB">
            <w:pPr>
              <w:rPr>
                <w:rFonts w:ascii="宋体"/>
              </w:rPr>
            </w:pPr>
          </w:p>
        </w:tc>
        <w:tc>
          <w:tcPr>
            <w:tcW w:w="335" w:type="pct"/>
            <w:shd w:val="clear" w:color="auto" w:fill="auto"/>
          </w:tcPr>
          <w:p w14:paraId="5EA1E22B" w14:textId="77777777" w:rsidR="003C66EB" w:rsidRDefault="003C66EB">
            <w:pPr>
              <w:rPr>
                <w:rFonts w:ascii="宋体"/>
              </w:rPr>
            </w:pPr>
          </w:p>
        </w:tc>
        <w:tc>
          <w:tcPr>
            <w:tcW w:w="5" w:type="pct"/>
            <w:shd w:val="clear" w:color="auto" w:fill="auto"/>
          </w:tcPr>
          <w:p w14:paraId="5EA1E22C" w14:textId="77777777" w:rsidR="003C66EB" w:rsidRDefault="003C66EB">
            <w:pPr>
              <w:rPr>
                <w:rFonts w:ascii="宋体"/>
              </w:rPr>
            </w:pPr>
          </w:p>
        </w:tc>
        <w:tc>
          <w:tcPr>
            <w:tcW w:w="5" w:type="pct"/>
            <w:shd w:val="clear" w:color="auto" w:fill="auto"/>
          </w:tcPr>
          <w:p w14:paraId="5EA1E22D" w14:textId="77777777" w:rsidR="003C66EB" w:rsidRDefault="003C66EB">
            <w:pPr>
              <w:rPr>
                <w:rFonts w:ascii="宋体"/>
              </w:rPr>
            </w:pPr>
          </w:p>
        </w:tc>
        <w:tc>
          <w:tcPr>
            <w:tcW w:w="26" w:type="pct"/>
            <w:shd w:val="clear" w:color="auto" w:fill="auto"/>
          </w:tcPr>
          <w:p w14:paraId="5EA1E22E" w14:textId="77777777" w:rsidR="003C66EB" w:rsidRDefault="003C66EB">
            <w:pPr>
              <w:rPr>
                <w:rFonts w:ascii="宋体"/>
              </w:rPr>
            </w:pPr>
          </w:p>
        </w:tc>
        <w:tc>
          <w:tcPr>
            <w:tcW w:w="5" w:type="pct"/>
            <w:shd w:val="clear" w:color="auto" w:fill="auto"/>
          </w:tcPr>
          <w:p w14:paraId="5EA1E22F" w14:textId="77777777" w:rsidR="003C66EB" w:rsidRDefault="003C66EB">
            <w:pPr>
              <w:rPr>
                <w:rFonts w:ascii="宋体"/>
              </w:rPr>
            </w:pPr>
          </w:p>
        </w:tc>
        <w:tc>
          <w:tcPr>
            <w:tcW w:w="50" w:type="pct"/>
            <w:shd w:val="clear" w:color="auto" w:fill="auto"/>
          </w:tcPr>
          <w:p w14:paraId="5EA1E230" w14:textId="77777777" w:rsidR="003C66EB" w:rsidRDefault="003C66EB">
            <w:pPr>
              <w:rPr>
                <w:rFonts w:ascii="宋体"/>
              </w:rPr>
            </w:pPr>
          </w:p>
        </w:tc>
        <w:tc>
          <w:tcPr>
            <w:tcW w:w="335" w:type="pct"/>
            <w:shd w:val="clear" w:color="auto" w:fill="auto"/>
          </w:tcPr>
          <w:p w14:paraId="5EA1E231" w14:textId="77777777" w:rsidR="003C66EB" w:rsidRDefault="003C66EB">
            <w:pPr>
              <w:rPr>
                <w:rFonts w:ascii="宋体"/>
              </w:rPr>
            </w:pPr>
          </w:p>
        </w:tc>
        <w:tc>
          <w:tcPr>
            <w:tcW w:w="5" w:type="pct"/>
            <w:shd w:val="clear" w:color="auto" w:fill="auto"/>
          </w:tcPr>
          <w:p w14:paraId="5EA1E232" w14:textId="77777777" w:rsidR="003C66EB" w:rsidRDefault="003C66EB">
            <w:pPr>
              <w:rPr>
                <w:rFonts w:ascii="宋体"/>
              </w:rPr>
            </w:pPr>
          </w:p>
        </w:tc>
        <w:tc>
          <w:tcPr>
            <w:tcW w:w="5" w:type="pct"/>
            <w:shd w:val="clear" w:color="auto" w:fill="auto"/>
          </w:tcPr>
          <w:p w14:paraId="5EA1E233" w14:textId="77777777" w:rsidR="003C66EB" w:rsidRDefault="003C66EB">
            <w:pPr>
              <w:rPr>
                <w:rFonts w:ascii="宋体"/>
              </w:rPr>
            </w:pPr>
          </w:p>
        </w:tc>
        <w:tc>
          <w:tcPr>
            <w:tcW w:w="26" w:type="pct"/>
            <w:shd w:val="clear" w:color="auto" w:fill="auto"/>
          </w:tcPr>
          <w:p w14:paraId="5EA1E234" w14:textId="77777777" w:rsidR="003C66EB" w:rsidRDefault="003C66EB">
            <w:pPr>
              <w:rPr>
                <w:rFonts w:ascii="宋体"/>
              </w:rPr>
            </w:pPr>
          </w:p>
        </w:tc>
        <w:tc>
          <w:tcPr>
            <w:tcW w:w="5" w:type="pct"/>
            <w:shd w:val="clear" w:color="auto" w:fill="auto"/>
          </w:tcPr>
          <w:p w14:paraId="5EA1E235" w14:textId="77777777" w:rsidR="003C66EB" w:rsidRDefault="003C66EB">
            <w:pPr>
              <w:rPr>
                <w:rFonts w:ascii="宋体"/>
              </w:rPr>
            </w:pPr>
          </w:p>
        </w:tc>
        <w:tc>
          <w:tcPr>
            <w:tcW w:w="50" w:type="pct"/>
            <w:shd w:val="clear" w:color="auto" w:fill="auto"/>
          </w:tcPr>
          <w:p w14:paraId="5EA1E236" w14:textId="77777777" w:rsidR="003C66EB" w:rsidRDefault="003C66EB">
            <w:pPr>
              <w:rPr>
                <w:rFonts w:ascii="宋体"/>
              </w:rPr>
            </w:pPr>
          </w:p>
        </w:tc>
        <w:tc>
          <w:tcPr>
            <w:tcW w:w="335" w:type="pct"/>
            <w:shd w:val="clear" w:color="auto" w:fill="auto"/>
          </w:tcPr>
          <w:p w14:paraId="5EA1E237" w14:textId="77777777" w:rsidR="003C66EB" w:rsidRDefault="003C66EB">
            <w:pPr>
              <w:rPr>
                <w:rFonts w:ascii="宋体"/>
              </w:rPr>
            </w:pPr>
          </w:p>
        </w:tc>
        <w:tc>
          <w:tcPr>
            <w:tcW w:w="5" w:type="pct"/>
            <w:shd w:val="clear" w:color="auto" w:fill="auto"/>
          </w:tcPr>
          <w:p w14:paraId="5EA1E238" w14:textId="77777777" w:rsidR="003C66EB" w:rsidRDefault="003C66EB">
            <w:pPr>
              <w:rPr>
                <w:rFonts w:ascii="宋体"/>
              </w:rPr>
            </w:pPr>
          </w:p>
        </w:tc>
        <w:tc>
          <w:tcPr>
            <w:tcW w:w="5" w:type="pct"/>
            <w:shd w:val="clear" w:color="auto" w:fill="auto"/>
          </w:tcPr>
          <w:p w14:paraId="5EA1E239" w14:textId="77777777" w:rsidR="003C66EB" w:rsidRDefault="003C66EB">
            <w:pPr>
              <w:rPr>
                <w:rFonts w:ascii="宋体"/>
              </w:rPr>
            </w:pPr>
          </w:p>
        </w:tc>
        <w:tc>
          <w:tcPr>
            <w:tcW w:w="26" w:type="pct"/>
            <w:shd w:val="clear" w:color="auto" w:fill="auto"/>
          </w:tcPr>
          <w:p w14:paraId="5EA1E23A" w14:textId="77777777" w:rsidR="003C66EB" w:rsidRDefault="003C66EB">
            <w:pPr>
              <w:rPr>
                <w:rFonts w:ascii="宋体"/>
              </w:rPr>
            </w:pPr>
          </w:p>
        </w:tc>
        <w:tc>
          <w:tcPr>
            <w:tcW w:w="5" w:type="pct"/>
            <w:shd w:val="clear" w:color="auto" w:fill="auto"/>
          </w:tcPr>
          <w:p w14:paraId="5EA1E23B" w14:textId="77777777" w:rsidR="003C66EB" w:rsidRDefault="003C66EB">
            <w:pPr>
              <w:rPr>
                <w:rFonts w:ascii="宋体"/>
              </w:rPr>
            </w:pPr>
          </w:p>
        </w:tc>
        <w:tc>
          <w:tcPr>
            <w:tcW w:w="50" w:type="pct"/>
            <w:shd w:val="clear" w:color="auto" w:fill="auto"/>
          </w:tcPr>
          <w:p w14:paraId="5EA1E23C" w14:textId="77777777" w:rsidR="003C66EB" w:rsidRDefault="003C66EB">
            <w:pPr>
              <w:rPr>
                <w:rFonts w:ascii="宋体"/>
              </w:rPr>
            </w:pPr>
          </w:p>
        </w:tc>
        <w:tc>
          <w:tcPr>
            <w:tcW w:w="335" w:type="pct"/>
            <w:shd w:val="clear" w:color="auto" w:fill="auto"/>
          </w:tcPr>
          <w:p w14:paraId="5EA1E23D" w14:textId="77777777" w:rsidR="003C66EB" w:rsidRDefault="003C66EB">
            <w:pPr>
              <w:rPr>
                <w:rFonts w:ascii="宋体"/>
              </w:rPr>
            </w:pPr>
          </w:p>
        </w:tc>
        <w:tc>
          <w:tcPr>
            <w:tcW w:w="5" w:type="pct"/>
            <w:shd w:val="clear" w:color="auto" w:fill="auto"/>
          </w:tcPr>
          <w:p w14:paraId="5EA1E23E" w14:textId="77777777" w:rsidR="003C66EB" w:rsidRDefault="003C66EB">
            <w:pPr>
              <w:rPr>
                <w:rFonts w:ascii="宋体"/>
              </w:rPr>
            </w:pPr>
          </w:p>
        </w:tc>
        <w:tc>
          <w:tcPr>
            <w:tcW w:w="5" w:type="pct"/>
            <w:shd w:val="clear" w:color="auto" w:fill="auto"/>
          </w:tcPr>
          <w:p w14:paraId="5EA1E23F" w14:textId="77777777" w:rsidR="003C66EB" w:rsidRDefault="003C66EB">
            <w:pPr>
              <w:rPr>
                <w:rFonts w:ascii="宋体"/>
              </w:rPr>
            </w:pPr>
          </w:p>
        </w:tc>
        <w:tc>
          <w:tcPr>
            <w:tcW w:w="26" w:type="pct"/>
            <w:shd w:val="clear" w:color="auto" w:fill="auto"/>
          </w:tcPr>
          <w:p w14:paraId="5EA1E240" w14:textId="77777777" w:rsidR="003C66EB" w:rsidRDefault="003C66EB">
            <w:pPr>
              <w:rPr>
                <w:rFonts w:ascii="宋体"/>
              </w:rPr>
            </w:pPr>
          </w:p>
        </w:tc>
        <w:tc>
          <w:tcPr>
            <w:tcW w:w="5" w:type="pct"/>
            <w:shd w:val="clear" w:color="auto" w:fill="auto"/>
          </w:tcPr>
          <w:p w14:paraId="5EA1E241" w14:textId="77777777" w:rsidR="003C66EB" w:rsidRDefault="003C66EB">
            <w:pPr>
              <w:rPr>
                <w:rFonts w:ascii="宋体"/>
              </w:rPr>
            </w:pPr>
          </w:p>
        </w:tc>
        <w:tc>
          <w:tcPr>
            <w:tcW w:w="50" w:type="pct"/>
            <w:shd w:val="clear" w:color="auto" w:fill="auto"/>
          </w:tcPr>
          <w:p w14:paraId="5EA1E242" w14:textId="77777777" w:rsidR="003C66EB" w:rsidRDefault="003C66EB">
            <w:pPr>
              <w:rPr>
                <w:rFonts w:ascii="宋体"/>
              </w:rPr>
            </w:pPr>
          </w:p>
        </w:tc>
        <w:tc>
          <w:tcPr>
            <w:tcW w:w="335" w:type="pct"/>
            <w:shd w:val="clear" w:color="auto" w:fill="auto"/>
          </w:tcPr>
          <w:p w14:paraId="5EA1E243" w14:textId="77777777" w:rsidR="003C66EB" w:rsidRDefault="003C66EB">
            <w:pPr>
              <w:rPr>
                <w:rFonts w:ascii="宋体"/>
              </w:rPr>
            </w:pPr>
          </w:p>
        </w:tc>
        <w:tc>
          <w:tcPr>
            <w:tcW w:w="5" w:type="pct"/>
            <w:shd w:val="clear" w:color="auto" w:fill="auto"/>
          </w:tcPr>
          <w:p w14:paraId="5EA1E244" w14:textId="77777777" w:rsidR="003C66EB" w:rsidRDefault="003C66EB">
            <w:pPr>
              <w:rPr>
                <w:rFonts w:ascii="宋体"/>
              </w:rPr>
            </w:pPr>
          </w:p>
        </w:tc>
        <w:tc>
          <w:tcPr>
            <w:tcW w:w="5" w:type="pct"/>
            <w:shd w:val="clear" w:color="auto" w:fill="auto"/>
          </w:tcPr>
          <w:p w14:paraId="5EA1E245" w14:textId="77777777" w:rsidR="003C66EB" w:rsidRDefault="003C66EB">
            <w:pPr>
              <w:rPr>
                <w:rFonts w:ascii="宋体"/>
              </w:rPr>
            </w:pPr>
          </w:p>
        </w:tc>
        <w:tc>
          <w:tcPr>
            <w:tcW w:w="26" w:type="pct"/>
            <w:shd w:val="clear" w:color="auto" w:fill="auto"/>
          </w:tcPr>
          <w:p w14:paraId="5EA1E246" w14:textId="77777777" w:rsidR="003C66EB" w:rsidRDefault="003C66EB">
            <w:pPr>
              <w:rPr>
                <w:rFonts w:ascii="宋体"/>
              </w:rPr>
            </w:pPr>
          </w:p>
        </w:tc>
        <w:tc>
          <w:tcPr>
            <w:tcW w:w="5" w:type="pct"/>
            <w:shd w:val="clear" w:color="auto" w:fill="auto"/>
          </w:tcPr>
          <w:p w14:paraId="5EA1E247" w14:textId="77777777" w:rsidR="003C66EB" w:rsidRDefault="003C66EB">
            <w:pPr>
              <w:rPr>
                <w:rFonts w:ascii="宋体"/>
              </w:rPr>
            </w:pPr>
          </w:p>
        </w:tc>
        <w:tc>
          <w:tcPr>
            <w:tcW w:w="50" w:type="pct"/>
            <w:shd w:val="clear" w:color="auto" w:fill="auto"/>
          </w:tcPr>
          <w:p w14:paraId="5EA1E248" w14:textId="77777777" w:rsidR="003C66EB" w:rsidRDefault="003C66EB">
            <w:pPr>
              <w:rPr>
                <w:rFonts w:ascii="宋体"/>
              </w:rPr>
            </w:pPr>
          </w:p>
        </w:tc>
        <w:tc>
          <w:tcPr>
            <w:tcW w:w="335" w:type="pct"/>
            <w:shd w:val="clear" w:color="auto" w:fill="auto"/>
          </w:tcPr>
          <w:p w14:paraId="5EA1E249" w14:textId="77777777" w:rsidR="003C66EB" w:rsidRDefault="003C66EB">
            <w:pPr>
              <w:rPr>
                <w:rFonts w:ascii="宋体"/>
              </w:rPr>
            </w:pPr>
          </w:p>
        </w:tc>
        <w:tc>
          <w:tcPr>
            <w:tcW w:w="5" w:type="pct"/>
            <w:shd w:val="clear" w:color="auto" w:fill="auto"/>
          </w:tcPr>
          <w:p w14:paraId="5EA1E24A" w14:textId="77777777" w:rsidR="003C66EB" w:rsidRDefault="003C66EB">
            <w:pPr>
              <w:rPr>
                <w:rFonts w:ascii="宋体"/>
              </w:rPr>
            </w:pPr>
          </w:p>
        </w:tc>
        <w:tc>
          <w:tcPr>
            <w:tcW w:w="5" w:type="pct"/>
            <w:shd w:val="clear" w:color="auto" w:fill="auto"/>
          </w:tcPr>
          <w:p w14:paraId="5EA1E24B" w14:textId="77777777" w:rsidR="003C66EB" w:rsidRDefault="003C66EB">
            <w:pPr>
              <w:rPr>
                <w:rFonts w:ascii="宋体"/>
              </w:rPr>
            </w:pPr>
          </w:p>
        </w:tc>
        <w:tc>
          <w:tcPr>
            <w:tcW w:w="26" w:type="pct"/>
            <w:shd w:val="clear" w:color="auto" w:fill="auto"/>
          </w:tcPr>
          <w:p w14:paraId="5EA1E24C" w14:textId="77777777" w:rsidR="003C66EB" w:rsidRDefault="003C66EB">
            <w:pPr>
              <w:rPr>
                <w:rFonts w:ascii="宋体"/>
              </w:rPr>
            </w:pPr>
          </w:p>
        </w:tc>
        <w:tc>
          <w:tcPr>
            <w:tcW w:w="5" w:type="pct"/>
            <w:shd w:val="clear" w:color="auto" w:fill="auto"/>
          </w:tcPr>
          <w:p w14:paraId="5EA1E24D" w14:textId="77777777" w:rsidR="003C66EB" w:rsidRDefault="003C66EB">
            <w:pPr>
              <w:rPr>
                <w:rFonts w:ascii="宋体"/>
              </w:rPr>
            </w:pPr>
          </w:p>
        </w:tc>
        <w:tc>
          <w:tcPr>
            <w:tcW w:w="50" w:type="pct"/>
            <w:shd w:val="clear" w:color="auto" w:fill="auto"/>
          </w:tcPr>
          <w:p w14:paraId="5EA1E24E" w14:textId="77777777" w:rsidR="003C66EB" w:rsidRDefault="003C66EB">
            <w:pPr>
              <w:rPr>
                <w:rFonts w:ascii="宋体"/>
              </w:rPr>
            </w:pPr>
          </w:p>
        </w:tc>
        <w:tc>
          <w:tcPr>
            <w:tcW w:w="335" w:type="pct"/>
            <w:shd w:val="clear" w:color="auto" w:fill="auto"/>
          </w:tcPr>
          <w:p w14:paraId="5EA1E24F" w14:textId="77777777" w:rsidR="003C66EB" w:rsidRDefault="003C66EB">
            <w:pPr>
              <w:rPr>
                <w:rFonts w:ascii="宋体"/>
              </w:rPr>
            </w:pPr>
          </w:p>
        </w:tc>
        <w:tc>
          <w:tcPr>
            <w:tcW w:w="5" w:type="pct"/>
            <w:shd w:val="clear" w:color="auto" w:fill="auto"/>
          </w:tcPr>
          <w:p w14:paraId="5EA1E250" w14:textId="77777777" w:rsidR="003C66EB" w:rsidRDefault="003C66EB">
            <w:pPr>
              <w:rPr>
                <w:rFonts w:ascii="宋体"/>
              </w:rPr>
            </w:pPr>
          </w:p>
        </w:tc>
        <w:tc>
          <w:tcPr>
            <w:tcW w:w="5" w:type="pct"/>
            <w:shd w:val="clear" w:color="auto" w:fill="auto"/>
          </w:tcPr>
          <w:p w14:paraId="5EA1E251" w14:textId="77777777" w:rsidR="003C66EB" w:rsidRDefault="003C66EB">
            <w:pPr>
              <w:rPr>
                <w:rFonts w:ascii="宋体"/>
              </w:rPr>
            </w:pPr>
          </w:p>
        </w:tc>
        <w:tc>
          <w:tcPr>
            <w:tcW w:w="26" w:type="pct"/>
            <w:shd w:val="clear" w:color="auto" w:fill="auto"/>
          </w:tcPr>
          <w:p w14:paraId="5EA1E252" w14:textId="77777777" w:rsidR="003C66EB" w:rsidRDefault="003C66EB">
            <w:pPr>
              <w:rPr>
                <w:rFonts w:ascii="宋体"/>
              </w:rPr>
            </w:pPr>
          </w:p>
        </w:tc>
        <w:tc>
          <w:tcPr>
            <w:tcW w:w="5" w:type="pct"/>
            <w:shd w:val="clear" w:color="auto" w:fill="auto"/>
          </w:tcPr>
          <w:p w14:paraId="5EA1E253" w14:textId="77777777" w:rsidR="003C66EB" w:rsidRDefault="003C66EB">
            <w:pPr>
              <w:rPr>
                <w:rFonts w:ascii="宋体"/>
              </w:rPr>
            </w:pPr>
          </w:p>
        </w:tc>
        <w:tc>
          <w:tcPr>
            <w:tcW w:w="50" w:type="pct"/>
            <w:shd w:val="clear" w:color="auto" w:fill="auto"/>
          </w:tcPr>
          <w:p w14:paraId="5EA1E254" w14:textId="77777777" w:rsidR="003C66EB" w:rsidRDefault="003C66EB">
            <w:pPr>
              <w:rPr>
                <w:rFonts w:ascii="宋体"/>
              </w:rPr>
            </w:pPr>
          </w:p>
        </w:tc>
        <w:tc>
          <w:tcPr>
            <w:tcW w:w="336" w:type="pct"/>
            <w:shd w:val="clear" w:color="auto" w:fill="auto"/>
          </w:tcPr>
          <w:p w14:paraId="5EA1E255" w14:textId="77777777" w:rsidR="003C66EB" w:rsidRDefault="003C66EB">
            <w:pPr>
              <w:rPr>
                <w:rFonts w:ascii="宋体"/>
              </w:rPr>
            </w:pPr>
          </w:p>
        </w:tc>
        <w:tc>
          <w:tcPr>
            <w:tcW w:w="5" w:type="pct"/>
            <w:shd w:val="clear" w:color="auto" w:fill="auto"/>
          </w:tcPr>
          <w:p w14:paraId="5EA1E256" w14:textId="77777777" w:rsidR="003C66EB" w:rsidRDefault="003C66EB">
            <w:pPr>
              <w:rPr>
                <w:rFonts w:ascii="宋体"/>
              </w:rPr>
            </w:pPr>
          </w:p>
        </w:tc>
      </w:tr>
      <w:tr w:rsidR="003C66EB" w14:paraId="5EA1E259" w14:textId="77777777">
        <w:tc>
          <w:tcPr>
            <w:tcW w:w="0" w:type="auto"/>
            <w:gridSpan w:val="54"/>
            <w:shd w:val="clear" w:color="auto" w:fill="auto"/>
            <w:tcMar>
              <w:top w:w="40" w:type="dxa"/>
              <w:left w:w="20" w:type="dxa"/>
              <w:bottom w:w="40" w:type="dxa"/>
              <w:right w:w="20" w:type="dxa"/>
            </w:tcMar>
            <w:vAlign w:val="bottom"/>
          </w:tcPr>
          <w:p w14:paraId="5EA1E258" w14:textId="77777777" w:rsidR="003C66EB" w:rsidRDefault="00D96C4E">
            <w:pP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r>
      <w:tr w:rsidR="003C66EB" w14:paraId="5EA1E260" w14:textId="77777777">
        <w:tc>
          <w:tcPr>
            <w:tcW w:w="0" w:type="auto"/>
            <w:gridSpan w:val="3"/>
            <w:shd w:val="clear" w:color="auto" w:fill="auto"/>
            <w:tcMar>
              <w:top w:w="0" w:type="dxa"/>
              <w:left w:w="20" w:type="dxa"/>
              <w:bottom w:w="0" w:type="dxa"/>
              <w:right w:w="20" w:type="dxa"/>
            </w:tcMar>
          </w:tcPr>
          <w:p w14:paraId="5EA1E25A" w14:textId="77777777" w:rsidR="003C66EB" w:rsidRDefault="003C66E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A1E25B" w14:textId="77777777" w:rsidR="003C66EB" w:rsidRDefault="00D96C4E">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tcPr>
          <w:p w14:paraId="5EA1E25C" w14:textId="77777777" w:rsidR="003C66EB" w:rsidRDefault="003C66E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A1E25D" w14:textId="77777777" w:rsidR="003C66EB" w:rsidRDefault="00D96C4E">
            <w:pPr>
              <w:jc w:val="center"/>
              <w:textAlignment w:val="bottom"/>
            </w:pPr>
            <w:r>
              <w:rPr>
                <w:rFonts w:ascii="Arial" w:eastAsia="宋体" w:hAnsi="Arial" w:cs="Arial"/>
                <w:b/>
                <w:bCs/>
                <w:color w:val="000000"/>
                <w:sz w:val="14"/>
                <w:szCs w:val="14"/>
              </w:rPr>
              <w:t>Month-End Averages of Indices</w:t>
            </w:r>
          </w:p>
        </w:tc>
        <w:tc>
          <w:tcPr>
            <w:tcW w:w="0" w:type="auto"/>
            <w:gridSpan w:val="3"/>
            <w:shd w:val="clear" w:color="auto" w:fill="auto"/>
            <w:tcMar>
              <w:top w:w="0" w:type="dxa"/>
              <w:left w:w="20" w:type="dxa"/>
              <w:bottom w:w="0" w:type="dxa"/>
              <w:right w:w="20" w:type="dxa"/>
            </w:tcMar>
          </w:tcPr>
          <w:p w14:paraId="5EA1E25E" w14:textId="77777777" w:rsidR="003C66EB" w:rsidRDefault="003C66E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A1E25F" w14:textId="77777777" w:rsidR="003C66EB" w:rsidRDefault="00D96C4E">
            <w:pPr>
              <w:jc w:val="center"/>
              <w:textAlignment w:val="bottom"/>
            </w:pPr>
            <w:r>
              <w:rPr>
                <w:rFonts w:ascii="Arial" w:eastAsia="宋体" w:hAnsi="Arial" w:cs="Arial"/>
                <w:b/>
                <w:bCs/>
                <w:color w:val="000000"/>
                <w:sz w:val="14"/>
                <w:szCs w:val="14"/>
              </w:rPr>
              <w:t>Quarter-End Indices</w:t>
            </w:r>
          </w:p>
        </w:tc>
      </w:tr>
      <w:tr w:rsidR="003C66EB" w14:paraId="5EA1E267" w14:textId="77777777">
        <w:tc>
          <w:tcPr>
            <w:tcW w:w="0" w:type="auto"/>
            <w:gridSpan w:val="3"/>
            <w:shd w:val="clear" w:color="auto" w:fill="auto"/>
            <w:tcMar>
              <w:top w:w="0" w:type="dxa"/>
              <w:left w:w="20" w:type="dxa"/>
              <w:bottom w:w="0" w:type="dxa"/>
              <w:right w:w="20" w:type="dxa"/>
            </w:tcMar>
          </w:tcPr>
          <w:p w14:paraId="5EA1E261"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262" w14:textId="77777777" w:rsidR="003C66EB" w:rsidRDefault="00D96C4E">
            <w:pPr>
              <w:jc w:val="center"/>
              <w:textAlignment w:val="bottom"/>
            </w:pPr>
            <w:r>
              <w:rPr>
                <w:rFonts w:ascii="Arial" w:eastAsia="宋体" w:hAnsi="Arial" w:cs="Arial"/>
                <w:b/>
                <w:bCs/>
                <w:color w:val="000000"/>
                <w:sz w:val="14"/>
                <w:szCs w:val="14"/>
              </w:rPr>
              <w:t xml:space="preserve">Three Months Ended </w:t>
            </w:r>
            <w:r>
              <w:rPr>
                <w:rFonts w:ascii="Arial" w:eastAsia="宋体" w:hAnsi="Arial" w:cs="Arial"/>
                <w:b/>
                <w:bCs/>
                <w:color w:val="000000"/>
                <w:sz w:val="14"/>
                <w:szCs w:val="14"/>
              </w:rPr>
              <w:t>March 31,</w:t>
            </w:r>
          </w:p>
        </w:tc>
        <w:tc>
          <w:tcPr>
            <w:tcW w:w="0" w:type="auto"/>
            <w:gridSpan w:val="3"/>
            <w:shd w:val="clear" w:color="auto" w:fill="auto"/>
            <w:tcMar>
              <w:top w:w="0" w:type="dxa"/>
              <w:left w:w="20" w:type="dxa"/>
              <w:bottom w:w="0" w:type="dxa"/>
              <w:right w:w="20" w:type="dxa"/>
            </w:tcMar>
          </w:tcPr>
          <w:p w14:paraId="5EA1E263"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264"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Mar>
              <w:top w:w="0" w:type="dxa"/>
              <w:left w:w="20" w:type="dxa"/>
              <w:bottom w:w="0" w:type="dxa"/>
              <w:right w:w="20" w:type="dxa"/>
            </w:tcMar>
          </w:tcPr>
          <w:p w14:paraId="5EA1E265"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266" w14:textId="77777777" w:rsidR="003C66EB" w:rsidRDefault="00D96C4E">
            <w:pPr>
              <w:jc w:val="center"/>
              <w:textAlignment w:val="bottom"/>
            </w:pPr>
            <w:r>
              <w:rPr>
                <w:rFonts w:ascii="Arial" w:eastAsia="宋体" w:hAnsi="Arial" w:cs="Arial"/>
                <w:b/>
                <w:bCs/>
                <w:color w:val="000000"/>
                <w:sz w:val="14"/>
                <w:szCs w:val="14"/>
              </w:rPr>
              <w:t>As of March 31,</w:t>
            </w:r>
          </w:p>
        </w:tc>
      </w:tr>
      <w:tr w:rsidR="003C66EB" w14:paraId="5EA1E27A" w14:textId="77777777">
        <w:tc>
          <w:tcPr>
            <w:tcW w:w="0" w:type="auto"/>
            <w:gridSpan w:val="3"/>
            <w:shd w:val="clear" w:color="auto" w:fill="auto"/>
            <w:tcMar>
              <w:top w:w="0" w:type="dxa"/>
              <w:left w:w="20" w:type="dxa"/>
              <w:bottom w:w="0" w:type="dxa"/>
              <w:right w:w="20" w:type="dxa"/>
            </w:tcMar>
          </w:tcPr>
          <w:p w14:paraId="5EA1E26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69"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26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6B"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5EA1E26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6D" w14:textId="77777777" w:rsidR="003C66EB" w:rsidRDefault="00D96C4E">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5EA1E26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6F"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27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71"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5EA1E27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73" w14:textId="77777777" w:rsidR="003C66EB" w:rsidRDefault="00D96C4E">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5EA1E27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75"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27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77"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5EA1E27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279" w14:textId="77777777" w:rsidR="003C66EB" w:rsidRDefault="00D96C4E">
            <w:pPr>
              <w:jc w:val="center"/>
              <w:textAlignment w:val="bottom"/>
            </w:pPr>
            <w:r>
              <w:rPr>
                <w:rFonts w:ascii="Arial" w:eastAsia="宋体" w:hAnsi="Arial" w:cs="Arial"/>
                <w:b/>
                <w:bCs/>
                <w:color w:val="000000"/>
                <w:sz w:val="14"/>
                <w:szCs w:val="14"/>
              </w:rPr>
              <w:t>% Change</w:t>
            </w:r>
          </w:p>
        </w:tc>
      </w:tr>
      <w:tr w:rsidR="00D96C4E" w14:paraId="5EA1E296" w14:textId="77777777">
        <w:tc>
          <w:tcPr>
            <w:tcW w:w="0" w:type="auto"/>
            <w:gridSpan w:val="3"/>
            <w:shd w:val="clear" w:color="auto" w:fill="CCEEFF"/>
            <w:tcMar>
              <w:top w:w="40" w:type="dxa"/>
              <w:left w:w="20" w:type="dxa"/>
              <w:bottom w:w="40" w:type="dxa"/>
              <w:right w:w="20" w:type="dxa"/>
            </w:tcMar>
            <w:vAlign w:val="center"/>
          </w:tcPr>
          <w:p w14:paraId="5EA1E27B" w14:textId="77777777" w:rsidR="003C66EB" w:rsidRDefault="00D96C4E">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7C" w14:textId="77777777" w:rsidR="003C66EB" w:rsidRDefault="00D96C4E">
            <w:pPr>
              <w:jc w:val="right"/>
              <w:textAlignment w:val="center"/>
            </w:pPr>
            <w:r>
              <w:rPr>
                <w:rFonts w:ascii="Arial" w:eastAsia="宋体" w:hAnsi="Arial" w:cs="Arial"/>
                <w:b/>
                <w:bCs/>
                <w:color w:val="000000"/>
                <w:sz w:val="14"/>
                <w:szCs w:val="14"/>
              </w:rPr>
              <w:t>3,866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7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7F" w14:textId="77777777" w:rsidR="003C66EB" w:rsidRDefault="00D96C4E">
            <w:pPr>
              <w:jc w:val="right"/>
              <w:textAlignment w:val="center"/>
            </w:pPr>
            <w:r>
              <w:rPr>
                <w:rFonts w:ascii="Arial" w:eastAsia="宋体" w:hAnsi="Arial" w:cs="Arial"/>
                <w:color w:val="000000"/>
                <w:sz w:val="14"/>
                <w:szCs w:val="14"/>
              </w:rPr>
              <w:t>3,056 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8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82" w14:textId="77777777" w:rsidR="003C66EB" w:rsidRDefault="00D96C4E">
            <w:pPr>
              <w:jc w:val="right"/>
              <w:textAlignment w:val="center"/>
            </w:pPr>
            <w:r>
              <w:rPr>
                <w:rFonts w:ascii="Arial" w:eastAsia="宋体" w:hAnsi="Arial" w:cs="Arial"/>
                <w:color w:val="000000"/>
                <w:sz w:val="14"/>
                <w:szCs w:val="14"/>
              </w:rPr>
              <w:t>27 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83" w14:textId="77777777" w:rsidR="003C66EB" w:rsidRDefault="00D96C4E">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5EA1E28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85" w14:textId="77777777" w:rsidR="003C66EB" w:rsidRDefault="00D96C4E">
            <w:pPr>
              <w:jc w:val="right"/>
              <w:textAlignment w:val="center"/>
            </w:pPr>
            <w:r>
              <w:rPr>
                <w:rFonts w:ascii="Arial" w:eastAsia="宋体" w:hAnsi="Arial" w:cs="Arial"/>
                <w:b/>
                <w:bCs/>
                <w:color w:val="000000"/>
                <w:sz w:val="14"/>
                <w:szCs w:val="14"/>
              </w:rPr>
              <w:t>3,833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8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88" w14:textId="77777777" w:rsidR="003C66EB" w:rsidRDefault="00D96C4E">
            <w:pPr>
              <w:jc w:val="right"/>
              <w:textAlignment w:val="center"/>
            </w:pPr>
            <w:r>
              <w:rPr>
                <w:rFonts w:ascii="Arial" w:eastAsia="宋体" w:hAnsi="Arial" w:cs="Arial"/>
                <w:color w:val="000000"/>
                <w:sz w:val="14"/>
                <w:szCs w:val="14"/>
              </w:rPr>
              <w:t>2,921 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8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8B" w14:textId="77777777" w:rsidR="003C66EB" w:rsidRDefault="00D96C4E">
            <w:pPr>
              <w:jc w:val="right"/>
              <w:textAlignment w:val="center"/>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8C" w14:textId="77777777" w:rsidR="003C66EB" w:rsidRDefault="00D96C4E">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5EA1E28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8E" w14:textId="77777777" w:rsidR="003C66EB" w:rsidRDefault="00D96C4E">
            <w:pPr>
              <w:jc w:val="right"/>
              <w:textAlignment w:val="center"/>
            </w:pPr>
            <w:r>
              <w:rPr>
                <w:rFonts w:ascii="Arial" w:eastAsia="宋体" w:hAnsi="Arial" w:cs="Arial"/>
                <w:b/>
                <w:bCs/>
                <w:color w:val="000000"/>
                <w:sz w:val="14"/>
                <w:szCs w:val="14"/>
              </w:rPr>
              <w:t>3,973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8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9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91" w14:textId="77777777" w:rsidR="003C66EB" w:rsidRDefault="00D96C4E">
            <w:pPr>
              <w:jc w:val="right"/>
              <w:textAlignment w:val="center"/>
            </w:pPr>
            <w:r>
              <w:rPr>
                <w:rFonts w:ascii="Arial" w:eastAsia="宋体" w:hAnsi="Arial" w:cs="Arial"/>
                <w:color w:val="000000"/>
                <w:sz w:val="14"/>
                <w:szCs w:val="14"/>
              </w:rPr>
              <w:t>2,585 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9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9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294" w14:textId="77777777" w:rsidR="003C66EB" w:rsidRDefault="00D96C4E">
            <w:pPr>
              <w:jc w:val="right"/>
              <w:textAlignment w:val="center"/>
            </w:pPr>
            <w:r>
              <w:rPr>
                <w:rFonts w:ascii="Arial" w:eastAsia="宋体" w:hAnsi="Arial" w:cs="Arial"/>
                <w:color w:val="000000"/>
                <w:sz w:val="14"/>
                <w:szCs w:val="14"/>
              </w:rPr>
              <w:t>54 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295" w14:textId="77777777" w:rsidR="003C66EB" w:rsidRDefault="00D96C4E">
            <w:pPr>
              <w:jc w:val="right"/>
              <w:textAlignment w:val="center"/>
            </w:pPr>
            <w:r>
              <w:rPr>
                <w:rFonts w:ascii="Arial" w:eastAsia="宋体" w:hAnsi="Arial" w:cs="Arial"/>
                <w:color w:val="000000"/>
                <w:sz w:val="14"/>
                <w:szCs w:val="14"/>
              </w:rPr>
              <w:t>%</w:t>
            </w:r>
          </w:p>
        </w:tc>
      </w:tr>
      <w:tr w:rsidR="00D96C4E" w14:paraId="5EA1E2B2" w14:textId="77777777">
        <w:tc>
          <w:tcPr>
            <w:tcW w:w="0" w:type="auto"/>
            <w:gridSpan w:val="3"/>
            <w:shd w:val="clear" w:color="auto" w:fill="FFFFFF"/>
            <w:tcMar>
              <w:top w:w="40" w:type="dxa"/>
              <w:left w:w="20" w:type="dxa"/>
              <w:bottom w:w="40" w:type="dxa"/>
              <w:right w:w="20" w:type="dxa"/>
            </w:tcMar>
            <w:vAlign w:val="center"/>
          </w:tcPr>
          <w:p w14:paraId="5EA1E297" w14:textId="77777777" w:rsidR="003C66EB" w:rsidRDefault="00D96C4E">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5EA1E298" w14:textId="77777777" w:rsidR="003C66EB" w:rsidRDefault="00D96C4E">
            <w:pPr>
              <w:jc w:val="right"/>
              <w:textAlignment w:val="center"/>
            </w:pPr>
            <w:r>
              <w:rPr>
                <w:rFonts w:ascii="Arial" w:eastAsia="宋体" w:hAnsi="Arial" w:cs="Arial"/>
                <w:b/>
                <w:bCs/>
                <w:color w:val="000000"/>
                <w:sz w:val="14"/>
                <w:szCs w:val="14"/>
              </w:rPr>
              <w:t>2,201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A1E29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9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9B" w14:textId="77777777" w:rsidR="003C66EB" w:rsidRDefault="00D96C4E">
            <w:pPr>
              <w:jc w:val="right"/>
              <w:textAlignment w:val="center"/>
            </w:pPr>
            <w:r>
              <w:rPr>
                <w:rFonts w:ascii="Arial" w:eastAsia="宋体" w:hAnsi="Arial" w:cs="Arial"/>
                <w:color w:val="000000"/>
                <w:sz w:val="14"/>
                <w:szCs w:val="14"/>
              </w:rPr>
              <w:t>1,868 </w:t>
            </w:r>
          </w:p>
        </w:tc>
        <w:tc>
          <w:tcPr>
            <w:tcW w:w="0" w:type="auto"/>
            <w:shd w:val="clear" w:color="auto" w:fill="FFFFFF"/>
            <w:tcMar>
              <w:top w:w="40" w:type="dxa"/>
              <w:left w:w="0" w:type="dxa"/>
              <w:bottom w:w="40" w:type="dxa"/>
              <w:right w:w="20" w:type="dxa"/>
            </w:tcMar>
            <w:vAlign w:val="center"/>
          </w:tcPr>
          <w:p w14:paraId="5EA1E2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9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9E" w14:textId="77777777" w:rsidR="003C66EB" w:rsidRDefault="00D96C4E">
            <w:pPr>
              <w:jc w:val="right"/>
              <w:textAlignment w:val="center"/>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center"/>
          </w:tcPr>
          <w:p w14:paraId="5EA1E2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A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A1" w14:textId="77777777" w:rsidR="003C66EB" w:rsidRDefault="00D96C4E">
            <w:pPr>
              <w:jc w:val="right"/>
              <w:textAlignment w:val="center"/>
            </w:pPr>
            <w:r>
              <w:rPr>
                <w:rFonts w:ascii="Arial" w:eastAsia="宋体" w:hAnsi="Arial" w:cs="Arial"/>
                <w:b/>
                <w:bCs/>
                <w:color w:val="000000"/>
                <w:sz w:val="14"/>
                <w:szCs w:val="14"/>
              </w:rPr>
              <w:t>2,167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A1E2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A4" w14:textId="77777777" w:rsidR="003C66EB" w:rsidRDefault="00D96C4E">
            <w:pPr>
              <w:jc w:val="right"/>
              <w:textAlignment w:val="center"/>
            </w:pPr>
            <w:r>
              <w:rPr>
                <w:rFonts w:ascii="Arial" w:eastAsia="宋体" w:hAnsi="Arial" w:cs="Arial"/>
                <w:color w:val="000000"/>
                <w:sz w:val="14"/>
                <w:szCs w:val="14"/>
              </w:rPr>
              <w:t>1,788 </w:t>
            </w:r>
          </w:p>
        </w:tc>
        <w:tc>
          <w:tcPr>
            <w:tcW w:w="0" w:type="auto"/>
            <w:shd w:val="clear" w:color="auto" w:fill="FFFFFF"/>
            <w:tcMar>
              <w:top w:w="40" w:type="dxa"/>
              <w:left w:w="0" w:type="dxa"/>
              <w:bottom w:w="40" w:type="dxa"/>
              <w:right w:w="20" w:type="dxa"/>
            </w:tcMar>
            <w:vAlign w:val="center"/>
          </w:tcPr>
          <w:p w14:paraId="5EA1E2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A7" w14:textId="77777777" w:rsidR="003C66EB" w:rsidRDefault="00D96C4E">
            <w:pPr>
              <w:jc w:val="right"/>
              <w:textAlignment w:val="center"/>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center"/>
          </w:tcPr>
          <w:p w14:paraId="5EA1E2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AA" w14:textId="77777777" w:rsidR="003C66EB" w:rsidRDefault="00D96C4E">
            <w:pPr>
              <w:jc w:val="right"/>
              <w:textAlignment w:val="center"/>
            </w:pPr>
            <w:r>
              <w:rPr>
                <w:rFonts w:ascii="Arial" w:eastAsia="宋体" w:hAnsi="Arial" w:cs="Arial"/>
                <w:b/>
                <w:bCs/>
                <w:color w:val="000000"/>
                <w:sz w:val="14"/>
                <w:szCs w:val="14"/>
              </w:rPr>
              <w:t>2,208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A1E2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A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AD" w14:textId="77777777" w:rsidR="003C66EB" w:rsidRDefault="00D96C4E">
            <w:pPr>
              <w:jc w:val="right"/>
              <w:textAlignment w:val="center"/>
            </w:pPr>
            <w:r>
              <w:rPr>
                <w:rFonts w:ascii="Arial" w:eastAsia="宋体" w:hAnsi="Arial" w:cs="Arial"/>
                <w:color w:val="000000"/>
                <w:sz w:val="14"/>
                <w:szCs w:val="14"/>
              </w:rPr>
              <w:t>1,560 </w:t>
            </w:r>
          </w:p>
        </w:tc>
        <w:tc>
          <w:tcPr>
            <w:tcW w:w="0" w:type="auto"/>
            <w:shd w:val="clear" w:color="auto" w:fill="FFFFFF"/>
            <w:tcMar>
              <w:top w:w="40" w:type="dxa"/>
              <w:left w:w="0" w:type="dxa"/>
              <w:bottom w:w="40" w:type="dxa"/>
              <w:right w:w="20" w:type="dxa"/>
            </w:tcMar>
            <w:vAlign w:val="center"/>
          </w:tcPr>
          <w:p w14:paraId="5EA1E2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2A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2B0" w14:textId="77777777" w:rsidR="003C66EB" w:rsidRDefault="00D96C4E">
            <w:pPr>
              <w:jc w:val="right"/>
              <w:textAlignment w:val="center"/>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center"/>
          </w:tcPr>
          <w:p w14:paraId="5EA1E2B1" w14:textId="77777777" w:rsidR="003C66EB" w:rsidRDefault="003C66EB">
            <w:pPr>
              <w:jc w:val="right"/>
              <w:rPr>
                <w:rFonts w:ascii="宋体"/>
              </w:rPr>
            </w:pPr>
          </w:p>
        </w:tc>
      </w:tr>
      <w:tr w:rsidR="00D96C4E" w14:paraId="5EA1E2CE" w14:textId="77777777">
        <w:tc>
          <w:tcPr>
            <w:tcW w:w="0" w:type="auto"/>
            <w:gridSpan w:val="3"/>
            <w:shd w:val="clear" w:color="auto" w:fill="CCEEFF"/>
            <w:tcMar>
              <w:top w:w="40" w:type="dxa"/>
              <w:left w:w="20" w:type="dxa"/>
              <w:bottom w:w="40" w:type="dxa"/>
              <w:right w:w="20" w:type="dxa"/>
            </w:tcMar>
            <w:vAlign w:val="center"/>
          </w:tcPr>
          <w:p w14:paraId="5EA1E2B3" w14:textId="77777777" w:rsidR="003C66EB" w:rsidRDefault="00D96C4E">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5EA1E2B4" w14:textId="77777777" w:rsidR="003C66EB" w:rsidRDefault="00D96C4E">
            <w:pPr>
              <w:jc w:val="right"/>
              <w:textAlignment w:val="center"/>
            </w:pPr>
            <w:r>
              <w:rPr>
                <w:rFonts w:ascii="Arial" w:eastAsia="宋体" w:hAnsi="Arial" w:cs="Arial"/>
                <w:b/>
                <w:bCs/>
                <w:color w:val="000000"/>
                <w:sz w:val="14"/>
                <w:szCs w:val="14"/>
              </w:rPr>
              <w:t>1,363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A1E2B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B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B7" w14:textId="77777777" w:rsidR="003C66EB" w:rsidRDefault="00D96C4E">
            <w:pPr>
              <w:jc w:val="right"/>
              <w:textAlignment w:val="center"/>
            </w:pPr>
            <w:r>
              <w:rPr>
                <w:rFonts w:ascii="Arial" w:eastAsia="宋体" w:hAnsi="Arial" w:cs="Arial"/>
                <w:color w:val="000000"/>
                <w:sz w:val="14"/>
                <w:szCs w:val="14"/>
              </w:rPr>
              <w:t>1,030 </w:t>
            </w:r>
          </w:p>
        </w:tc>
        <w:tc>
          <w:tcPr>
            <w:tcW w:w="0" w:type="auto"/>
            <w:shd w:val="clear" w:color="auto" w:fill="CCEEFF"/>
            <w:tcMar>
              <w:top w:w="40" w:type="dxa"/>
              <w:left w:w="0" w:type="dxa"/>
              <w:bottom w:w="40" w:type="dxa"/>
              <w:right w:w="20" w:type="dxa"/>
            </w:tcMar>
            <w:vAlign w:val="center"/>
          </w:tcPr>
          <w:p w14:paraId="5EA1E2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B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BA" w14:textId="77777777" w:rsidR="003C66EB" w:rsidRDefault="00D96C4E">
            <w:pPr>
              <w:jc w:val="right"/>
              <w:textAlignment w:val="center"/>
            </w:pPr>
            <w:r>
              <w:rPr>
                <w:rFonts w:ascii="Arial" w:eastAsia="宋体" w:hAnsi="Arial" w:cs="Arial"/>
                <w:color w:val="000000"/>
                <w:sz w:val="14"/>
                <w:szCs w:val="14"/>
              </w:rPr>
              <w:t>32 </w:t>
            </w:r>
          </w:p>
        </w:tc>
        <w:tc>
          <w:tcPr>
            <w:tcW w:w="0" w:type="auto"/>
            <w:shd w:val="clear" w:color="auto" w:fill="CCEEFF"/>
            <w:tcMar>
              <w:top w:w="40" w:type="dxa"/>
              <w:left w:w="0" w:type="dxa"/>
              <w:bottom w:w="40" w:type="dxa"/>
              <w:right w:w="20" w:type="dxa"/>
            </w:tcMar>
            <w:vAlign w:val="center"/>
          </w:tcPr>
          <w:p w14:paraId="5EA1E2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B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BD" w14:textId="77777777" w:rsidR="003C66EB" w:rsidRDefault="00D96C4E">
            <w:pPr>
              <w:jc w:val="right"/>
              <w:textAlignment w:val="center"/>
            </w:pPr>
            <w:r>
              <w:rPr>
                <w:rFonts w:ascii="Arial" w:eastAsia="宋体" w:hAnsi="Arial" w:cs="Arial"/>
                <w:b/>
                <w:bCs/>
                <w:color w:val="000000"/>
                <w:sz w:val="14"/>
                <w:szCs w:val="14"/>
              </w:rPr>
              <w:t>1,328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A1E2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B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C0" w14:textId="77777777" w:rsidR="003C66EB" w:rsidRDefault="00D96C4E">
            <w:pPr>
              <w:jc w:val="right"/>
              <w:textAlignment w:val="center"/>
            </w:pPr>
            <w:r>
              <w:rPr>
                <w:rFonts w:ascii="Arial" w:eastAsia="宋体" w:hAnsi="Arial" w:cs="Arial"/>
                <w:color w:val="000000"/>
                <w:sz w:val="14"/>
                <w:szCs w:val="14"/>
              </w:rPr>
              <w:t>972 </w:t>
            </w:r>
          </w:p>
        </w:tc>
        <w:tc>
          <w:tcPr>
            <w:tcW w:w="0" w:type="auto"/>
            <w:shd w:val="clear" w:color="auto" w:fill="CCEEFF"/>
            <w:tcMar>
              <w:top w:w="40" w:type="dxa"/>
              <w:left w:w="0" w:type="dxa"/>
              <w:bottom w:w="40" w:type="dxa"/>
              <w:right w:w="20" w:type="dxa"/>
            </w:tcMar>
            <w:vAlign w:val="center"/>
          </w:tcPr>
          <w:p w14:paraId="5EA1E2C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C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C3" w14:textId="77777777" w:rsidR="003C66EB" w:rsidRDefault="00D96C4E">
            <w:pPr>
              <w:jc w:val="right"/>
              <w:textAlignment w:val="center"/>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center"/>
          </w:tcPr>
          <w:p w14:paraId="5EA1E2C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C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C6" w14:textId="77777777" w:rsidR="003C66EB" w:rsidRDefault="00D96C4E">
            <w:pPr>
              <w:jc w:val="right"/>
              <w:textAlignment w:val="center"/>
            </w:pPr>
            <w:r>
              <w:rPr>
                <w:rFonts w:ascii="Arial" w:eastAsia="宋体" w:hAnsi="Arial" w:cs="Arial"/>
                <w:b/>
                <w:bCs/>
                <w:color w:val="000000"/>
                <w:sz w:val="14"/>
                <w:szCs w:val="14"/>
              </w:rPr>
              <w:t>1,316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A1E2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C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C9" w14:textId="77777777" w:rsidR="003C66EB" w:rsidRDefault="00D96C4E">
            <w:pPr>
              <w:jc w:val="right"/>
              <w:textAlignment w:val="center"/>
            </w:pPr>
            <w:r>
              <w:rPr>
                <w:rFonts w:ascii="Arial" w:eastAsia="宋体" w:hAnsi="Arial" w:cs="Arial"/>
                <w:color w:val="000000"/>
                <w:sz w:val="14"/>
                <w:szCs w:val="14"/>
              </w:rPr>
              <w:t>849 </w:t>
            </w:r>
          </w:p>
        </w:tc>
        <w:tc>
          <w:tcPr>
            <w:tcW w:w="0" w:type="auto"/>
            <w:shd w:val="clear" w:color="auto" w:fill="CCEEFF"/>
            <w:tcMar>
              <w:top w:w="40" w:type="dxa"/>
              <w:left w:w="0" w:type="dxa"/>
              <w:bottom w:w="40" w:type="dxa"/>
              <w:right w:w="20" w:type="dxa"/>
            </w:tcMar>
            <w:vAlign w:val="center"/>
          </w:tcPr>
          <w:p w14:paraId="5EA1E2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2C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1E2CC" w14:textId="77777777" w:rsidR="003C66EB" w:rsidRDefault="00D96C4E">
            <w:pPr>
              <w:jc w:val="right"/>
              <w:textAlignment w:val="center"/>
            </w:pPr>
            <w:r>
              <w:rPr>
                <w:rFonts w:ascii="Arial" w:eastAsia="宋体" w:hAnsi="Arial" w:cs="Arial"/>
                <w:color w:val="000000"/>
                <w:sz w:val="14"/>
                <w:szCs w:val="14"/>
              </w:rPr>
              <w:t>55 </w:t>
            </w:r>
          </w:p>
        </w:tc>
        <w:tc>
          <w:tcPr>
            <w:tcW w:w="0" w:type="auto"/>
            <w:shd w:val="clear" w:color="auto" w:fill="CCEEFF"/>
            <w:tcMar>
              <w:top w:w="40" w:type="dxa"/>
              <w:left w:w="0" w:type="dxa"/>
              <w:bottom w:w="40" w:type="dxa"/>
              <w:right w:w="20" w:type="dxa"/>
            </w:tcMar>
            <w:vAlign w:val="center"/>
          </w:tcPr>
          <w:p w14:paraId="5EA1E2CD" w14:textId="77777777" w:rsidR="003C66EB" w:rsidRDefault="003C66EB">
            <w:pPr>
              <w:jc w:val="right"/>
              <w:rPr>
                <w:rFonts w:ascii="宋体"/>
              </w:rPr>
            </w:pPr>
          </w:p>
        </w:tc>
      </w:tr>
      <w:tr w:rsidR="003C66EB" w14:paraId="5EA1E2E1" w14:textId="77777777">
        <w:trPr>
          <w:hidden/>
        </w:trPr>
        <w:tc>
          <w:tcPr>
            <w:tcW w:w="0" w:type="auto"/>
            <w:gridSpan w:val="3"/>
            <w:shd w:val="clear" w:color="auto" w:fill="auto"/>
          </w:tcPr>
          <w:p w14:paraId="5EA1E2CF" w14:textId="77777777" w:rsidR="003C66EB" w:rsidRDefault="003C66EB">
            <w:pPr>
              <w:rPr>
                <w:rFonts w:ascii="宋体"/>
                <w:vanish/>
              </w:rPr>
            </w:pPr>
          </w:p>
        </w:tc>
        <w:tc>
          <w:tcPr>
            <w:tcW w:w="0" w:type="auto"/>
            <w:gridSpan w:val="3"/>
            <w:shd w:val="clear" w:color="auto" w:fill="auto"/>
          </w:tcPr>
          <w:p w14:paraId="5EA1E2D0" w14:textId="77777777" w:rsidR="003C66EB" w:rsidRDefault="003C66EB">
            <w:pPr>
              <w:rPr>
                <w:rFonts w:ascii="宋体"/>
                <w:vanish/>
              </w:rPr>
            </w:pPr>
          </w:p>
        </w:tc>
        <w:tc>
          <w:tcPr>
            <w:tcW w:w="0" w:type="auto"/>
            <w:gridSpan w:val="3"/>
            <w:shd w:val="clear" w:color="auto" w:fill="auto"/>
          </w:tcPr>
          <w:p w14:paraId="5EA1E2D1" w14:textId="77777777" w:rsidR="003C66EB" w:rsidRDefault="003C66EB">
            <w:pPr>
              <w:rPr>
                <w:rFonts w:ascii="宋体"/>
                <w:vanish/>
              </w:rPr>
            </w:pPr>
          </w:p>
        </w:tc>
        <w:tc>
          <w:tcPr>
            <w:tcW w:w="0" w:type="auto"/>
            <w:gridSpan w:val="3"/>
            <w:shd w:val="clear" w:color="auto" w:fill="auto"/>
          </w:tcPr>
          <w:p w14:paraId="5EA1E2D2" w14:textId="77777777" w:rsidR="003C66EB" w:rsidRDefault="003C66EB">
            <w:pPr>
              <w:rPr>
                <w:rFonts w:ascii="宋体"/>
                <w:vanish/>
              </w:rPr>
            </w:pPr>
          </w:p>
        </w:tc>
        <w:tc>
          <w:tcPr>
            <w:tcW w:w="0" w:type="auto"/>
            <w:gridSpan w:val="3"/>
            <w:shd w:val="clear" w:color="auto" w:fill="auto"/>
          </w:tcPr>
          <w:p w14:paraId="5EA1E2D3" w14:textId="77777777" w:rsidR="003C66EB" w:rsidRDefault="003C66EB">
            <w:pPr>
              <w:rPr>
                <w:rFonts w:ascii="宋体"/>
                <w:vanish/>
              </w:rPr>
            </w:pPr>
          </w:p>
        </w:tc>
        <w:tc>
          <w:tcPr>
            <w:tcW w:w="0" w:type="auto"/>
            <w:gridSpan w:val="3"/>
            <w:shd w:val="clear" w:color="auto" w:fill="auto"/>
          </w:tcPr>
          <w:p w14:paraId="5EA1E2D4" w14:textId="77777777" w:rsidR="003C66EB" w:rsidRDefault="003C66EB">
            <w:pPr>
              <w:rPr>
                <w:rFonts w:ascii="宋体"/>
                <w:vanish/>
              </w:rPr>
            </w:pPr>
          </w:p>
        </w:tc>
        <w:tc>
          <w:tcPr>
            <w:tcW w:w="0" w:type="auto"/>
            <w:gridSpan w:val="3"/>
            <w:shd w:val="clear" w:color="auto" w:fill="auto"/>
          </w:tcPr>
          <w:p w14:paraId="5EA1E2D5" w14:textId="77777777" w:rsidR="003C66EB" w:rsidRDefault="003C66EB">
            <w:pPr>
              <w:rPr>
                <w:rFonts w:ascii="宋体"/>
                <w:vanish/>
              </w:rPr>
            </w:pPr>
          </w:p>
        </w:tc>
        <w:tc>
          <w:tcPr>
            <w:tcW w:w="0" w:type="auto"/>
            <w:gridSpan w:val="3"/>
            <w:shd w:val="clear" w:color="auto" w:fill="auto"/>
          </w:tcPr>
          <w:p w14:paraId="5EA1E2D6" w14:textId="77777777" w:rsidR="003C66EB" w:rsidRDefault="003C66EB">
            <w:pPr>
              <w:rPr>
                <w:rFonts w:ascii="宋体"/>
                <w:vanish/>
              </w:rPr>
            </w:pPr>
          </w:p>
        </w:tc>
        <w:tc>
          <w:tcPr>
            <w:tcW w:w="0" w:type="auto"/>
            <w:gridSpan w:val="3"/>
            <w:shd w:val="clear" w:color="auto" w:fill="auto"/>
          </w:tcPr>
          <w:p w14:paraId="5EA1E2D7" w14:textId="77777777" w:rsidR="003C66EB" w:rsidRDefault="003C66EB">
            <w:pPr>
              <w:rPr>
                <w:rFonts w:ascii="宋体"/>
                <w:vanish/>
              </w:rPr>
            </w:pPr>
          </w:p>
        </w:tc>
        <w:tc>
          <w:tcPr>
            <w:tcW w:w="0" w:type="auto"/>
            <w:gridSpan w:val="3"/>
            <w:shd w:val="clear" w:color="auto" w:fill="auto"/>
          </w:tcPr>
          <w:p w14:paraId="5EA1E2D8" w14:textId="77777777" w:rsidR="003C66EB" w:rsidRDefault="003C66EB">
            <w:pPr>
              <w:rPr>
                <w:rFonts w:ascii="宋体"/>
                <w:vanish/>
              </w:rPr>
            </w:pPr>
          </w:p>
        </w:tc>
        <w:tc>
          <w:tcPr>
            <w:tcW w:w="0" w:type="auto"/>
            <w:gridSpan w:val="3"/>
            <w:shd w:val="clear" w:color="auto" w:fill="auto"/>
          </w:tcPr>
          <w:p w14:paraId="5EA1E2D9" w14:textId="77777777" w:rsidR="003C66EB" w:rsidRDefault="003C66EB">
            <w:pPr>
              <w:rPr>
                <w:rFonts w:ascii="宋体"/>
                <w:vanish/>
              </w:rPr>
            </w:pPr>
          </w:p>
        </w:tc>
        <w:tc>
          <w:tcPr>
            <w:tcW w:w="0" w:type="auto"/>
            <w:gridSpan w:val="3"/>
            <w:shd w:val="clear" w:color="auto" w:fill="auto"/>
          </w:tcPr>
          <w:p w14:paraId="5EA1E2DA" w14:textId="77777777" w:rsidR="003C66EB" w:rsidRDefault="003C66EB">
            <w:pPr>
              <w:rPr>
                <w:rFonts w:ascii="宋体"/>
                <w:vanish/>
              </w:rPr>
            </w:pPr>
          </w:p>
        </w:tc>
        <w:tc>
          <w:tcPr>
            <w:tcW w:w="0" w:type="auto"/>
            <w:gridSpan w:val="3"/>
            <w:shd w:val="clear" w:color="auto" w:fill="auto"/>
          </w:tcPr>
          <w:p w14:paraId="5EA1E2DB" w14:textId="77777777" w:rsidR="003C66EB" w:rsidRDefault="003C66EB">
            <w:pPr>
              <w:rPr>
                <w:rFonts w:ascii="宋体"/>
                <w:vanish/>
              </w:rPr>
            </w:pPr>
          </w:p>
        </w:tc>
        <w:tc>
          <w:tcPr>
            <w:tcW w:w="0" w:type="auto"/>
            <w:gridSpan w:val="3"/>
            <w:shd w:val="clear" w:color="auto" w:fill="auto"/>
          </w:tcPr>
          <w:p w14:paraId="5EA1E2DC" w14:textId="77777777" w:rsidR="003C66EB" w:rsidRDefault="003C66EB">
            <w:pPr>
              <w:rPr>
                <w:rFonts w:ascii="宋体"/>
                <w:vanish/>
              </w:rPr>
            </w:pPr>
          </w:p>
        </w:tc>
        <w:tc>
          <w:tcPr>
            <w:tcW w:w="0" w:type="auto"/>
            <w:gridSpan w:val="3"/>
            <w:shd w:val="clear" w:color="auto" w:fill="auto"/>
          </w:tcPr>
          <w:p w14:paraId="5EA1E2DD" w14:textId="77777777" w:rsidR="003C66EB" w:rsidRDefault="003C66EB">
            <w:pPr>
              <w:rPr>
                <w:rFonts w:ascii="宋体"/>
                <w:vanish/>
              </w:rPr>
            </w:pPr>
          </w:p>
        </w:tc>
        <w:tc>
          <w:tcPr>
            <w:tcW w:w="0" w:type="auto"/>
            <w:gridSpan w:val="3"/>
            <w:shd w:val="clear" w:color="auto" w:fill="auto"/>
          </w:tcPr>
          <w:p w14:paraId="5EA1E2DE" w14:textId="77777777" w:rsidR="003C66EB" w:rsidRDefault="003C66EB">
            <w:pPr>
              <w:rPr>
                <w:rFonts w:ascii="宋体"/>
                <w:vanish/>
              </w:rPr>
            </w:pPr>
          </w:p>
        </w:tc>
        <w:tc>
          <w:tcPr>
            <w:tcW w:w="0" w:type="auto"/>
            <w:gridSpan w:val="3"/>
            <w:shd w:val="clear" w:color="auto" w:fill="auto"/>
          </w:tcPr>
          <w:p w14:paraId="5EA1E2DF" w14:textId="77777777" w:rsidR="003C66EB" w:rsidRDefault="003C66EB">
            <w:pPr>
              <w:rPr>
                <w:rFonts w:ascii="宋体"/>
                <w:vanish/>
              </w:rPr>
            </w:pPr>
          </w:p>
        </w:tc>
        <w:tc>
          <w:tcPr>
            <w:tcW w:w="0" w:type="auto"/>
            <w:gridSpan w:val="3"/>
            <w:shd w:val="clear" w:color="auto" w:fill="auto"/>
          </w:tcPr>
          <w:p w14:paraId="5EA1E2E0" w14:textId="77777777" w:rsidR="003C66EB" w:rsidRDefault="003C66EB">
            <w:pPr>
              <w:rPr>
                <w:rFonts w:ascii="宋体"/>
                <w:vanish/>
              </w:rPr>
            </w:pPr>
          </w:p>
        </w:tc>
      </w:tr>
    </w:tbl>
    <w:p w14:paraId="5EA1E2E2"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E2E9" w14:textId="77777777">
        <w:tc>
          <w:tcPr>
            <w:tcW w:w="50" w:type="pct"/>
            <w:shd w:val="clear" w:color="auto" w:fill="auto"/>
          </w:tcPr>
          <w:p w14:paraId="5EA1E2E3" w14:textId="77777777" w:rsidR="003C66EB" w:rsidRDefault="003C66EB">
            <w:pPr>
              <w:rPr>
                <w:rFonts w:ascii="宋体"/>
              </w:rPr>
            </w:pPr>
          </w:p>
        </w:tc>
        <w:tc>
          <w:tcPr>
            <w:tcW w:w="1348" w:type="pct"/>
            <w:shd w:val="clear" w:color="auto" w:fill="auto"/>
          </w:tcPr>
          <w:p w14:paraId="5EA1E2E4" w14:textId="77777777" w:rsidR="003C66EB" w:rsidRDefault="003C66EB">
            <w:pPr>
              <w:rPr>
                <w:rFonts w:ascii="宋体"/>
              </w:rPr>
            </w:pPr>
          </w:p>
        </w:tc>
        <w:tc>
          <w:tcPr>
            <w:tcW w:w="5" w:type="pct"/>
            <w:shd w:val="clear" w:color="auto" w:fill="auto"/>
          </w:tcPr>
          <w:p w14:paraId="5EA1E2E5" w14:textId="77777777" w:rsidR="003C66EB" w:rsidRDefault="003C66EB">
            <w:pPr>
              <w:rPr>
                <w:rFonts w:ascii="宋体"/>
              </w:rPr>
            </w:pPr>
          </w:p>
        </w:tc>
        <w:tc>
          <w:tcPr>
            <w:tcW w:w="50" w:type="pct"/>
            <w:shd w:val="clear" w:color="auto" w:fill="auto"/>
          </w:tcPr>
          <w:p w14:paraId="5EA1E2E6" w14:textId="77777777" w:rsidR="003C66EB" w:rsidRDefault="003C66EB">
            <w:pPr>
              <w:rPr>
                <w:rFonts w:ascii="宋体"/>
              </w:rPr>
            </w:pPr>
          </w:p>
        </w:tc>
        <w:tc>
          <w:tcPr>
            <w:tcW w:w="3541" w:type="pct"/>
            <w:shd w:val="clear" w:color="auto" w:fill="auto"/>
          </w:tcPr>
          <w:p w14:paraId="5EA1E2E7" w14:textId="77777777" w:rsidR="003C66EB" w:rsidRDefault="003C66EB">
            <w:pPr>
              <w:rPr>
                <w:rFonts w:ascii="宋体"/>
              </w:rPr>
            </w:pPr>
          </w:p>
        </w:tc>
        <w:tc>
          <w:tcPr>
            <w:tcW w:w="5" w:type="pct"/>
            <w:shd w:val="clear" w:color="auto" w:fill="auto"/>
          </w:tcPr>
          <w:p w14:paraId="5EA1E2E8" w14:textId="77777777" w:rsidR="003C66EB" w:rsidRDefault="003C66EB">
            <w:pPr>
              <w:rPr>
                <w:rFonts w:ascii="宋体"/>
              </w:rPr>
            </w:pPr>
          </w:p>
        </w:tc>
      </w:tr>
      <w:tr w:rsidR="003C66EB" w14:paraId="5EA1E2E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2E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2EB" w14:textId="77777777" w:rsidR="003C66EB" w:rsidRDefault="003C66EB">
            <w:pPr>
              <w:rPr>
                <w:rFonts w:ascii="宋体"/>
              </w:rPr>
            </w:pPr>
          </w:p>
        </w:tc>
      </w:tr>
    </w:tbl>
    <w:p w14:paraId="5EA1E2ED" w14:textId="77777777" w:rsidR="003C66EB" w:rsidRDefault="00D96C4E">
      <w:r>
        <w:rPr>
          <w:rFonts w:ascii="Arial" w:eastAsia="宋体" w:hAnsi="Arial" w:cs="Arial"/>
          <w:color w:val="000000"/>
          <w:sz w:val="9"/>
          <w:szCs w:val="9"/>
        </w:rPr>
        <w:t xml:space="preserve">(1) </w:t>
      </w:r>
      <w:r>
        <w:rPr>
          <w:rFonts w:ascii="Arial" w:eastAsia="宋体" w:hAnsi="Arial" w:cs="Arial"/>
          <w:color w:val="000000"/>
          <w:sz w:val="14"/>
          <w:szCs w:val="14"/>
        </w:rPr>
        <w:t>The index names listed in the table are 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9"/>
        <w:gridCol w:w="4178"/>
        <w:gridCol w:w="37"/>
        <w:gridCol w:w="50"/>
        <w:gridCol w:w="1179"/>
        <w:gridCol w:w="38"/>
        <w:gridCol w:w="37"/>
        <w:gridCol w:w="36"/>
        <w:gridCol w:w="36"/>
        <w:gridCol w:w="38"/>
        <w:gridCol w:w="1165"/>
        <w:gridCol w:w="37"/>
        <w:gridCol w:w="36"/>
        <w:gridCol w:w="36"/>
        <w:gridCol w:w="36"/>
        <w:gridCol w:w="46"/>
        <w:gridCol w:w="1157"/>
        <w:gridCol w:w="145"/>
      </w:tblGrid>
      <w:tr w:rsidR="003C66EB" w14:paraId="5EA1E300" w14:textId="77777777">
        <w:tc>
          <w:tcPr>
            <w:tcW w:w="50" w:type="pct"/>
            <w:shd w:val="clear" w:color="auto" w:fill="auto"/>
          </w:tcPr>
          <w:p w14:paraId="5EA1E2EE" w14:textId="77777777" w:rsidR="003C66EB" w:rsidRDefault="003C66EB">
            <w:pPr>
              <w:rPr>
                <w:rFonts w:ascii="宋体"/>
              </w:rPr>
            </w:pPr>
          </w:p>
        </w:tc>
        <w:tc>
          <w:tcPr>
            <w:tcW w:w="2525" w:type="pct"/>
            <w:shd w:val="clear" w:color="auto" w:fill="auto"/>
          </w:tcPr>
          <w:p w14:paraId="5EA1E2EF" w14:textId="77777777" w:rsidR="003C66EB" w:rsidRDefault="003C66EB">
            <w:pPr>
              <w:rPr>
                <w:rFonts w:ascii="宋体"/>
              </w:rPr>
            </w:pPr>
          </w:p>
        </w:tc>
        <w:tc>
          <w:tcPr>
            <w:tcW w:w="5" w:type="pct"/>
            <w:shd w:val="clear" w:color="auto" w:fill="auto"/>
          </w:tcPr>
          <w:p w14:paraId="5EA1E2F0" w14:textId="77777777" w:rsidR="003C66EB" w:rsidRDefault="003C66EB">
            <w:pPr>
              <w:rPr>
                <w:rFonts w:ascii="宋体"/>
              </w:rPr>
            </w:pPr>
          </w:p>
        </w:tc>
        <w:tc>
          <w:tcPr>
            <w:tcW w:w="50" w:type="pct"/>
            <w:shd w:val="clear" w:color="auto" w:fill="auto"/>
          </w:tcPr>
          <w:p w14:paraId="5EA1E2F1" w14:textId="77777777" w:rsidR="003C66EB" w:rsidRDefault="003C66EB">
            <w:pPr>
              <w:rPr>
                <w:rFonts w:ascii="宋体"/>
              </w:rPr>
            </w:pPr>
          </w:p>
        </w:tc>
        <w:tc>
          <w:tcPr>
            <w:tcW w:w="727" w:type="pct"/>
            <w:shd w:val="clear" w:color="auto" w:fill="auto"/>
          </w:tcPr>
          <w:p w14:paraId="5EA1E2F2" w14:textId="77777777" w:rsidR="003C66EB" w:rsidRDefault="003C66EB">
            <w:pPr>
              <w:rPr>
                <w:rFonts w:ascii="宋体"/>
              </w:rPr>
            </w:pPr>
          </w:p>
        </w:tc>
        <w:tc>
          <w:tcPr>
            <w:tcW w:w="5" w:type="pct"/>
            <w:shd w:val="clear" w:color="auto" w:fill="auto"/>
          </w:tcPr>
          <w:p w14:paraId="5EA1E2F3" w14:textId="77777777" w:rsidR="003C66EB" w:rsidRDefault="003C66EB">
            <w:pPr>
              <w:rPr>
                <w:rFonts w:ascii="宋体"/>
              </w:rPr>
            </w:pPr>
          </w:p>
        </w:tc>
        <w:tc>
          <w:tcPr>
            <w:tcW w:w="5" w:type="pct"/>
            <w:shd w:val="clear" w:color="auto" w:fill="auto"/>
          </w:tcPr>
          <w:p w14:paraId="5EA1E2F4" w14:textId="77777777" w:rsidR="003C66EB" w:rsidRDefault="003C66EB">
            <w:pPr>
              <w:rPr>
                <w:rFonts w:ascii="宋体"/>
              </w:rPr>
            </w:pPr>
          </w:p>
        </w:tc>
        <w:tc>
          <w:tcPr>
            <w:tcW w:w="26" w:type="pct"/>
            <w:shd w:val="clear" w:color="auto" w:fill="auto"/>
          </w:tcPr>
          <w:p w14:paraId="5EA1E2F5" w14:textId="77777777" w:rsidR="003C66EB" w:rsidRDefault="003C66EB">
            <w:pPr>
              <w:rPr>
                <w:rFonts w:ascii="宋体"/>
              </w:rPr>
            </w:pPr>
          </w:p>
        </w:tc>
        <w:tc>
          <w:tcPr>
            <w:tcW w:w="5" w:type="pct"/>
            <w:shd w:val="clear" w:color="auto" w:fill="auto"/>
          </w:tcPr>
          <w:p w14:paraId="5EA1E2F6" w14:textId="77777777" w:rsidR="003C66EB" w:rsidRDefault="003C66EB">
            <w:pPr>
              <w:rPr>
                <w:rFonts w:ascii="宋体"/>
              </w:rPr>
            </w:pPr>
          </w:p>
        </w:tc>
        <w:tc>
          <w:tcPr>
            <w:tcW w:w="50" w:type="pct"/>
            <w:shd w:val="clear" w:color="auto" w:fill="auto"/>
          </w:tcPr>
          <w:p w14:paraId="5EA1E2F7" w14:textId="77777777" w:rsidR="003C66EB" w:rsidRDefault="003C66EB">
            <w:pPr>
              <w:rPr>
                <w:rFonts w:ascii="宋体"/>
              </w:rPr>
            </w:pPr>
          </w:p>
        </w:tc>
        <w:tc>
          <w:tcPr>
            <w:tcW w:w="727" w:type="pct"/>
            <w:shd w:val="clear" w:color="auto" w:fill="auto"/>
          </w:tcPr>
          <w:p w14:paraId="5EA1E2F8" w14:textId="77777777" w:rsidR="003C66EB" w:rsidRDefault="003C66EB">
            <w:pPr>
              <w:rPr>
                <w:rFonts w:ascii="宋体"/>
              </w:rPr>
            </w:pPr>
          </w:p>
        </w:tc>
        <w:tc>
          <w:tcPr>
            <w:tcW w:w="5" w:type="pct"/>
            <w:shd w:val="clear" w:color="auto" w:fill="auto"/>
          </w:tcPr>
          <w:p w14:paraId="5EA1E2F9" w14:textId="77777777" w:rsidR="003C66EB" w:rsidRDefault="003C66EB">
            <w:pPr>
              <w:rPr>
                <w:rFonts w:ascii="宋体"/>
              </w:rPr>
            </w:pPr>
          </w:p>
        </w:tc>
        <w:tc>
          <w:tcPr>
            <w:tcW w:w="5" w:type="pct"/>
            <w:shd w:val="clear" w:color="auto" w:fill="auto"/>
          </w:tcPr>
          <w:p w14:paraId="5EA1E2FA" w14:textId="77777777" w:rsidR="003C66EB" w:rsidRDefault="003C66EB">
            <w:pPr>
              <w:rPr>
                <w:rFonts w:ascii="宋体"/>
              </w:rPr>
            </w:pPr>
          </w:p>
        </w:tc>
        <w:tc>
          <w:tcPr>
            <w:tcW w:w="26" w:type="pct"/>
            <w:shd w:val="clear" w:color="auto" w:fill="auto"/>
          </w:tcPr>
          <w:p w14:paraId="5EA1E2FB" w14:textId="77777777" w:rsidR="003C66EB" w:rsidRDefault="003C66EB">
            <w:pPr>
              <w:rPr>
                <w:rFonts w:ascii="宋体"/>
              </w:rPr>
            </w:pPr>
          </w:p>
        </w:tc>
        <w:tc>
          <w:tcPr>
            <w:tcW w:w="5" w:type="pct"/>
            <w:shd w:val="clear" w:color="auto" w:fill="auto"/>
          </w:tcPr>
          <w:p w14:paraId="5EA1E2FC" w14:textId="77777777" w:rsidR="003C66EB" w:rsidRDefault="003C66EB">
            <w:pPr>
              <w:rPr>
                <w:rFonts w:ascii="宋体"/>
              </w:rPr>
            </w:pPr>
          </w:p>
        </w:tc>
        <w:tc>
          <w:tcPr>
            <w:tcW w:w="50" w:type="pct"/>
            <w:shd w:val="clear" w:color="auto" w:fill="auto"/>
          </w:tcPr>
          <w:p w14:paraId="5EA1E2FD" w14:textId="77777777" w:rsidR="003C66EB" w:rsidRDefault="003C66EB">
            <w:pPr>
              <w:rPr>
                <w:rFonts w:ascii="宋体"/>
              </w:rPr>
            </w:pPr>
          </w:p>
        </w:tc>
        <w:tc>
          <w:tcPr>
            <w:tcW w:w="727" w:type="pct"/>
            <w:shd w:val="clear" w:color="auto" w:fill="auto"/>
          </w:tcPr>
          <w:p w14:paraId="5EA1E2FE" w14:textId="77777777" w:rsidR="003C66EB" w:rsidRDefault="003C66EB">
            <w:pPr>
              <w:rPr>
                <w:rFonts w:ascii="宋体"/>
              </w:rPr>
            </w:pPr>
          </w:p>
        </w:tc>
        <w:tc>
          <w:tcPr>
            <w:tcW w:w="5" w:type="pct"/>
            <w:shd w:val="clear" w:color="auto" w:fill="auto"/>
          </w:tcPr>
          <w:p w14:paraId="5EA1E2FF" w14:textId="77777777" w:rsidR="003C66EB" w:rsidRDefault="003C66EB">
            <w:pPr>
              <w:rPr>
                <w:rFonts w:ascii="宋体"/>
              </w:rPr>
            </w:pPr>
          </w:p>
        </w:tc>
      </w:tr>
      <w:tr w:rsidR="003C66EB" w14:paraId="5EA1E302" w14:textId="77777777">
        <w:tc>
          <w:tcPr>
            <w:tcW w:w="0" w:type="auto"/>
            <w:gridSpan w:val="18"/>
            <w:shd w:val="clear" w:color="auto" w:fill="auto"/>
            <w:tcMar>
              <w:top w:w="40" w:type="dxa"/>
              <w:left w:w="20" w:type="dxa"/>
              <w:bottom w:w="40" w:type="dxa"/>
              <w:right w:w="20" w:type="dxa"/>
            </w:tcMar>
            <w:vAlign w:val="bottom"/>
          </w:tcPr>
          <w:p w14:paraId="5EA1E301" w14:textId="77777777" w:rsidR="003C66EB" w:rsidRDefault="00D96C4E">
            <w:pPr>
              <w:textAlignment w:val="bottom"/>
            </w:pPr>
            <w:r>
              <w:rPr>
                <w:rFonts w:ascii="Arial" w:eastAsia="宋体" w:hAnsi="Arial" w:cs="Arial"/>
                <w:b/>
                <w:bCs/>
                <w:color w:val="000000"/>
                <w:sz w:val="16"/>
                <w:szCs w:val="16"/>
              </w:rPr>
              <w:t xml:space="preserve">TABLE 4: </w:t>
            </w:r>
            <w:r>
              <w:rPr>
                <w:rFonts w:ascii="Arial" w:eastAsia="宋体" w:hAnsi="Arial" w:cs="Arial"/>
                <w:b/>
                <w:bCs/>
                <w:color w:val="000000"/>
                <w:sz w:val="16"/>
                <w:szCs w:val="16"/>
              </w:rPr>
              <w:t>QUARTER-END DEBT INDICES</w:t>
            </w:r>
            <w:r>
              <w:rPr>
                <w:rFonts w:ascii="Arial" w:eastAsia="宋体" w:hAnsi="Arial" w:cs="Arial"/>
                <w:b/>
                <w:bCs/>
                <w:color w:val="000000"/>
                <w:sz w:val="10"/>
                <w:szCs w:val="10"/>
              </w:rPr>
              <w:t>(1)</w:t>
            </w:r>
          </w:p>
        </w:tc>
      </w:tr>
      <w:tr w:rsidR="003C66EB" w14:paraId="5EA1E305" w14:textId="77777777">
        <w:tc>
          <w:tcPr>
            <w:tcW w:w="0" w:type="auto"/>
            <w:gridSpan w:val="3"/>
            <w:shd w:val="clear" w:color="auto" w:fill="auto"/>
            <w:tcMar>
              <w:top w:w="0" w:type="dxa"/>
              <w:left w:w="20" w:type="dxa"/>
              <w:bottom w:w="0" w:type="dxa"/>
              <w:right w:w="20" w:type="dxa"/>
            </w:tcMar>
          </w:tcPr>
          <w:p w14:paraId="5EA1E303"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1E304" w14:textId="77777777" w:rsidR="003C66EB" w:rsidRDefault="00D96C4E">
            <w:pPr>
              <w:jc w:val="center"/>
              <w:textAlignment w:val="bottom"/>
            </w:pPr>
            <w:r>
              <w:rPr>
                <w:rFonts w:ascii="Arial" w:eastAsia="宋体" w:hAnsi="Arial" w:cs="Arial"/>
                <w:b/>
                <w:bCs/>
                <w:color w:val="000000"/>
                <w:sz w:val="14"/>
                <w:szCs w:val="14"/>
              </w:rPr>
              <w:t>As of March 31,</w:t>
            </w:r>
          </w:p>
        </w:tc>
      </w:tr>
      <w:tr w:rsidR="003C66EB" w14:paraId="5EA1E30C" w14:textId="77777777">
        <w:tc>
          <w:tcPr>
            <w:tcW w:w="0" w:type="auto"/>
            <w:gridSpan w:val="3"/>
            <w:shd w:val="clear" w:color="auto" w:fill="auto"/>
            <w:tcMar>
              <w:top w:w="0" w:type="dxa"/>
              <w:left w:w="20" w:type="dxa"/>
              <w:bottom w:w="0" w:type="dxa"/>
              <w:right w:w="20" w:type="dxa"/>
            </w:tcMar>
          </w:tcPr>
          <w:p w14:paraId="5EA1E30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307"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30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309"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5EA1E30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30B" w14:textId="77777777" w:rsidR="003C66EB" w:rsidRDefault="00D96C4E">
            <w:pPr>
              <w:jc w:val="center"/>
              <w:textAlignment w:val="bottom"/>
            </w:pPr>
            <w:r>
              <w:rPr>
                <w:rFonts w:ascii="Arial" w:eastAsia="宋体" w:hAnsi="Arial" w:cs="Arial"/>
                <w:b/>
                <w:bCs/>
                <w:color w:val="000000"/>
                <w:sz w:val="14"/>
                <w:szCs w:val="14"/>
              </w:rPr>
              <w:t>% Change</w:t>
            </w:r>
          </w:p>
        </w:tc>
      </w:tr>
      <w:tr w:rsidR="003C66EB" w14:paraId="5EA1E316" w14:textId="77777777">
        <w:tc>
          <w:tcPr>
            <w:tcW w:w="0" w:type="auto"/>
            <w:gridSpan w:val="3"/>
            <w:shd w:val="clear" w:color="auto" w:fill="CCEEFF"/>
            <w:tcMar>
              <w:top w:w="40" w:type="dxa"/>
              <w:left w:w="20" w:type="dxa"/>
              <w:bottom w:w="40" w:type="dxa"/>
              <w:right w:w="20" w:type="dxa"/>
            </w:tcMar>
            <w:vAlign w:val="center"/>
          </w:tcPr>
          <w:p w14:paraId="5EA1E30D" w14:textId="77777777" w:rsidR="003C66EB" w:rsidRDefault="00D96C4E">
            <w:pPr>
              <w:textAlignment w:val="center"/>
            </w:pPr>
            <w:r>
              <w:rPr>
                <w:rFonts w:ascii="Arial" w:eastAsia="宋体" w:hAnsi="Arial" w:cs="Arial"/>
                <w:color w:val="000000"/>
                <w:sz w:val="14"/>
                <w:szCs w:val="14"/>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30E" w14:textId="77777777" w:rsidR="003C66EB" w:rsidRDefault="00D96C4E">
            <w:pPr>
              <w:jc w:val="right"/>
              <w:textAlignment w:val="center"/>
            </w:pPr>
            <w:r>
              <w:rPr>
                <w:rFonts w:ascii="Arial" w:eastAsia="宋体" w:hAnsi="Arial" w:cs="Arial"/>
                <w:b/>
                <w:bCs/>
                <w:color w:val="000000"/>
                <w:sz w:val="14"/>
                <w:szCs w:val="14"/>
              </w:rPr>
              <w:t>2,311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3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31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311" w14:textId="77777777" w:rsidR="003C66EB" w:rsidRDefault="00D96C4E">
            <w:pPr>
              <w:jc w:val="right"/>
              <w:textAlignment w:val="center"/>
            </w:pPr>
            <w:r>
              <w:rPr>
                <w:rFonts w:ascii="Arial" w:eastAsia="宋体" w:hAnsi="Arial" w:cs="Arial"/>
                <w:color w:val="000000"/>
                <w:sz w:val="14"/>
                <w:szCs w:val="14"/>
              </w:rPr>
              <w:t>2,295 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3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31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1E314" w14:textId="77777777" w:rsidR="003C66EB" w:rsidRDefault="00D96C4E">
            <w:pPr>
              <w:jc w:val="right"/>
              <w:textAlignment w:val="center"/>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1E315" w14:textId="77777777" w:rsidR="003C66EB" w:rsidRDefault="00D96C4E">
            <w:pPr>
              <w:jc w:val="right"/>
              <w:textAlignment w:val="center"/>
            </w:pPr>
            <w:r>
              <w:rPr>
                <w:rFonts w:ascii="Arial" w:eastAsia="宋体" w:hAnsi="Arial" w:cs="Arial"/>
                <w:color w:val="000000"/>
                <w:sz w:val="14"/>
                <w:szCs w:val="14"/>
              </w:rPr>
              <w:t>%</w:t>
            </w:r>
          </w:p>
        </w:tc>
      </w:tr>
      <w:tr w:rsidR="003C66EB" w14:paraId="5EA1E320" w14:textId="77777777">
        <w:tc>
          <w:tcPr>
            <w:tcW w:w="0" w:type="auto"/>
            <w:gridSpan w:val="3"/>
            <w:shd w:val="clear" w:color="auto" w:fill="FFFFFF"/>
            <w:tcMar>
              <w:top w:w="40" w:type="dxa"/>
              <w:left w:w="20" w:type="dxa"/>
              <w:bottom w:w="40" w:type="dxa"/>
              <w:right w:w="20" w:type="dxa"/>
            </w:tcMar>
            <w:vAlign w:val="center"/>
          </w:tcPr>
          <w:p w14:paraId="5EA1E317" w14:textId="77777777" w:rsidR="003C66EB" w:rsidRDefault="00D96C4E">
            <w:pPr>
              <w:textAlignment w:val="center"/>
            </w:pPr>
            <w:r>
              <w:rPr>
                <w:rFonts w:ascii="Arial" w:eastAsia="宋体" w:hAnsi="Arial" w:cs="Arial"/>
                <w:color w:val="000000"/>
                <w:sz w:val="14"/>
                <w:szCs w:val="14"/>
              </w:rPr>
              <w:t>Barclays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5EA1E318" w14:textId="77777777" w:rsidR="003C66EB" w:rsidRDefault="00D96C4E">
            <w:pPr>
              <w:jc w:val="right"/>
              <w:textAlignment w:val="center"/>
            </w:pPr>
            <w:r>
              <w:rPr>
                <w:rFonts w:ascii="Arial" w:eastAsia="宋体" w:hAnsi="Arial" w:cs="Arial"/>
                <w:b/>
                <w:bCs/>
                <w:color w:val="000000"/>
                <w:sz w:val="14"/>
                <w:szCs w:val="14"/>
              </w:rPr>
              <w:t>534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A1E31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31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1E31B" w14:textId="77777777" w:rsidR="003C66EB" w:rsidRDefault="00D96C4E">
            <w:pPr>
              <w:jc w:val="right"/>
              <w:textAlignment w:val="center"/>
            </w:pPr>
            <w:r>
              <w:rPr>
                <w:rFonts w:ascii="Arial" w:eastAsia="宋体" w:hAnsi="Arial" w:cs="Arial"/>
                <w:color w:val="000000"/>
                <w:sz w:val="14"/>
                <w:szCs w:val="14"/>
              </w:rPr>
              <w:t>510 </w:t>
            </w:r>
          </w:p>
        </w:tc>
        <w:tc>
          <w:tcPr>
            <w:tcW w:w="0" w:type="auto"/>
            <w:shd w:val="clear" w:color="auto" w:fill="FFFFFF"/>
            <w:tcMar>
              <w:top w:w="40" w:type="dxa"/>
              <w:left w:w="0" w:type="dxa"/>
              <w:bottom w:w="40" w:type="dxa"/>
              <w:right w:w="20" w:type="dxa"/>
            </w:tcMar>
            <w:vAlign w:val="center"/>
          </w:tcPr>
          <w:p w14:paraId="5EA1E31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31D"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center"/>
          </w:tcPr>
          <w:p w14:paraId="5EA1E31E" w14:textId="77777777" w:rsidR="003C66EB" w:rsidRDefault="00D96C4E">
            <w:pPr>
              <w:jc w:val="right"/>
              <w:textAlignment w:val="center"/>
            </w:pPr>
            <w:r>
              <w:rPr>
                <w:rFonts w:ascii="Arial" w:eastAsia="宋体" w:hAnsi="Arial" w:cs="Arial"/>
                <w:color w:val="000000"/>
                <w:sz w:val="14"/>
                <w:szCs w:val="14"/>
              </w:rPr>
              <w:t>5 </w:t>
            </w:r>
          </w:p>
        </w:tc>
        <w:tc>
          <w:tcPr>
            <w:tcW w:w="0" w:type="auto"/>
            <w:shd w:val="clear" w:color="auto" w:fill="auto"/>
            <w:tcMar>
              <w:top w:w="40" w:type="dxa"/>
              <w:left w:w="0" w:type="dxa"/>
              <w:bottom w:w="40" w:type="dxa"/>
              <w:right w:w="20" w:type="dxa"/>
            </w:tcMar>
            <w:vAlign w:val="center"/>
          </w:tcPr>
          <w:p w14:paraId="5EA1E31F" w14:textId="77777777" w:rsidR="003C66EB" w:rsidRDefault="003C66EB">
            <w:pPr>
              <w:jc w:val="right"/>
              <w:rPr>
                <w:rFonts w:ascii="宋体"/>
              </w:rPr>
            </w:pPr>
          </w:p>
        </w:tc>
      </w:tr>
    </w:tbl>
    <w:p w14:paraId="5EA1E32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E328" w14:textId="77777777">
        <w:tc>
          <w:tcPr>
            <w:tcW w:w="50" w:type="pct"/>
            <w:shd w:val="clear" w:color="auto" w:fill="auto"/>
          </w:tcPr>
          <w:p w14:paraId="5EA1E322" w14:textId="77777777" w:rsidR="003C66EB" w:rsidRDefault="003C66EB">
            <w:pPr>
              <w:rPr>
                <w:rFonts w:ascii="宋体"/>
              </w:rPr>
            </w:pPr>
          </w:p>
        </w:tc>
        <w:tc>
          <w:tcPr>
            <w:tcW w:w="1348" w:type="pct"/>
            <w:shd w:val="clear" w:color="auto" w:fill="auto"/>
          </w:tcPr>
          <w:p w14:paraId="5EA1E323" w14:textId="77777777" w:rsidR="003C66EB" w:rsidRDefault="003C66EB">
            <w:pPr>
              <w:rPr>
                <w:rFonts w:ascii="宋体"/>
              </w:rPr>
            </w:pPr>
          </w:p>
        </w:tc>
        <w:tc>
          <w:tcPr>
            <w:tcW w:w="5" w:type="pct"/>
            <w:shd w:val="clear" w:color="auto" w:fill="auto"/>
          </w:tcPr>
          <w:p w14:paraId="5EA1E324" w14:textId="77777777" w:rsidR="003C66EB" w:rsidRDefault="003C66EB">
            <w:pPr>
              <w:rPr>
                <w:rFonts w:ascii="宋体"/>
              </w:rPr>
            </w:pPr>
          </w:p>
        </w:tc>
        <w:tc>
          <w:tcPr>
            <w:tcW w:w="50" w:type="pct"/>
            <w:shd w:val="clear" w:color="auto" w:fill="auto"/>
          </w:tcPr>
          <w:p w14:paraId="5EA1E325" w14:textId="77777777" w:rsidR="003C66EB" w:rsidRDefault="003C66EB">
            <w:pPr>
              <w:rPr>
                <w:rFonts w:ascii="宋体"/>
              </w:rPr>
            </w:pPr>
          </w:p>
        </w:tc>
        <w:tc>
          <w:tcPr>
            <w:tcW w:w="3541" w:type="pct"/>
            <w:shd w:val="clear" w:color="auto" w:fill="auto"/>
          </w:tcPr>
          <w:p w14:paraId="5EA1E326" w14:textId="77777777" w:rsidR="003C66EB" w:rsidRDefault="003C66EB">
            <w:pPr>
              <w:rPr>
                <w:rFonts w:ascii="宋体"/>
              </w:rPr>
            </w:pPr>
          </w:p>
        </w:tc>
        <w:tc>
          <w:tcPr>
            <w:tcW w:w="5" w:type="pct"/>
            <w:shd w:val="clear" w:color="auto" w:fill="auto"/>
          </w:tcPr>
          <w:p w14:paraId="5EA1E327" w14:textId="77777777" w:rsidR="003C66EB" w:rsidRDefault="003C66EB">
            <w:pPr>
              <w:rPr>
                <w:rFonts w:ascii="宋体"/>
              </w:rPr>
            </w:pPr>
          </w:p>
        </w:tc>
      </w:tr>
      <w:tr w:rsidR="003C66EB" w14:paraId="5EA1E32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32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32A" w14:textId="77777777" w:rsidR="003C66EB" w:rsidRDefault="003C66EB">
            <w:pPr>
              <w:rPr>
                <w:rFonts w:ascii="宋体"/>
              </w:rPr>
            </w:pPr>
          </w:p>
        </w:tc>
      </w:tr>
    </w:tbl>
    <w:p w14:paraId="5EA1E32C" w14:textId="77777777" w:rsidR="003C66EB" w:rsidRDefault="00D96C4E">
      <w:r>
        <w:rPr>
          <w:rFonts w:ascii="Arial" w:eastAsia="宋体" w:hAnsi="Arial" w:cs="Arial"/>
          <w:color w:val="000000"/>
          <w:sz w:val="9"/>
          <w:szCs w:val="9"/>
        </w:rPr>
        <w:t xml:space="preserve">(1) </w:t>
      </w:r>
      <w:r>
        <w:rPr>
          <w:rFonts w:ascii="Arial" w:eastAsia="宋体" w:hAnsi="Arial" w:cs="Arial"/>
          <w:color w:val="000000"/>
          <w:sz w:val="14"/>
          <w:szCs w:val="14"/>
        </w:rPr>
        <w:t xml:space="preserve">The index names listed in the </w:t>
      </w:r>
      <w:r>
        <w:rPr>
          <w:rFonts w:ascii="Arial" w:eastAsia="宋体" w:hAnsi="Arial" w:cs="Arial"/>
          <w:color w:val="000000"/>
          <w:sz w:val="14"/>
          <w:szCs w:val="14"/>
        </w:rPr>
        <w:t>table are service marks of their respective owners.</w:t>
      </w:r>
    </w:p>
    <w:p w14:paraId="5EA1E32D" w14:textId="77777777" w:rsidR="003C66EB" w:rsidRDefault="00D96C4E">
      <w:pPr>
        <w:spacing w:before="90"/>
      </w:pPr>
      <w:r>
        <w:rPr>
          <w:rFonts w:ascii="Arial" w:eastAsia="宋体" w:hAnsi="Arial" w:cs="Arial"/>
          <w:i/>
          <w:iCs/>
          <w:color w:val="000000"/>
          <w:sz w:val="20"/>
          <w:szCs w:val="20"/>
        </w:rPr>
        <w:t>Client Activity and Asset Flows</w:t>
      </w:r>
    </w:p>
    <w:p w14:paraId="5EA1E32E" w14:textId="77777777" w:rsidR="003C66EB" w:rsidRDefault="00D96C4E">
      <w:pPr>
        <w:ind w:firstLine="450"/>
        <w:jc w:val="both"/>
      </w:pPr>
      <w:r>
        <w:rPr>
          <w:rFonts w:ascii="Arial" w:eastAsia="宋体" w:hAnsi="Arial" w:cs="Arial"/>
          <w:color w:val="000000"/>
          <w:sz w:val="20"/>
          <w:szCs w:val="20"/>
        </w:rPr>
        <w:t xml:space="preserve">Client activity and asset flows are impacted by the number of transactions we execute on behalf of our clients, including FX settlements, equity and derivative trades, and </w:t>
      </w:r>
      <w:r>
        <w:rPr>
          <w:rFonts w:ascii="Arial" w:eastAsia="宋体" w:hAnsi="Arial" w:cs="Arial"/>
          <w:color w:val="000000"/>
          <w:sz w:val="20"/>
          <w:szCs w:val="20"/>
        </w:rPr>
        <w:t>wire transfer activity, as well as actions by our clients to change the asset class in which their assets are invested. Our servicing fee revenues are impacted by a number of factors, including transaction volumes, asset levels and asset classes in which f</w:t>
      </w:r>
      <w:r>
        <w:rPr>
          <w:rFonts w:ascii="Arial" w:eastAsia="宋体" w:hAnsi="Arial" w:cs="Arial"/>
          <w:color w:val="000000"/>
          <w:sz w:val="20"/>
          <w:szCs w:val="20"/>
        </w:rPr>
        <w:t>unds are invested, as well as industry trends associated with these client-related activities.</w:t>
      </w:r>
    </w:p>
    <w:p w14:paraId="5EA1E32F" w14:textId="77777777" w:rsidR="003C66EB" w:rsidRDefault="00D96C4E">
      <w:pPr>
        <w:spacing w:before="60"/>
        <w:ind w:firstLine="450"/>
        <w:jc w:val="both"/>
      </w:pPr>
      <w:r>
        <w:rPr>
          <w:rFonts w:ascii="Arial" w:eastAsia="宋体" w:hAnsi="Arial" w:cs="Arial"/>
          <w:color w:val="000000"/>
          <w:sz w:val="20"/>
          <w:szCs w:val="20"/>
        </w:rPr>
        <w:t>Our clients may change the asset classes in which their assets are invested, based on their market outlook, risk acceptance tolerance or other considerations. Ov</w:t>
      </w:r>
      <w:r>
        <w:rPr>
          <w:rFonts w:ascii="Arial" w:eastAsia="宋体" w:hAnsi="Arial" w:cs="Arial"/>
          <w:color w:val="000000"/>
          <w:sz w:val="20"/>
          <w:szCs w:val="20"/>
        </w:rPr>
        <w:t>er the five years ended December 31, 2020, we estimate that client activity and asset flows, together, impacted our servicing fee revenues by approximately (1)% to 2% annually. See Table 5: Industry Asset Flows for selected asset flow information. While th</w:t>
      </w:r>
      <w:r>
        <w:rPr>
          <w:rFonts w:ascii="Arial" w:eastAsia="宋体" w:hAnsi="Arial" w:cs="Arial"/>
          <w:color w:val="000000"/>
          <w:sz w:val="20"/>
          <w:szCs w:val="20"/>
        </w:rPr>
        <w:t>e asset flows presented are indicative of general market trends, the asset types and classes relevant to individual client portfolios can and do differ, and our flows may differ from those market trends. In addition, our asset classifications may differ fr</w:t>
      </w:r>
      <w:r>
        <w:rPr>
          <w:rFonts w:ascii="Arial" w:eastAsia="宋体" w:hAnsi="Arial" w:cs="Arial"/>
          <w:color w:val="000000"/>
          <w:sz w:val="20"/>
          <w:szCs w:val="20"/>
        </w:rPr>
        <w:t>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49"/>
        <w:gridCol w:w="4178"/>
        <w:gridCol w:w="37"/>
        <w:gridCol w:w="98"/>
        <w:gridCol w:w="1861"/>
        <w:gridCol w:w="36"/>
        <w:gridCol w:w="36"/>
        <w:gridCol w:w="36"/>
        <w:gridCol w:w="36"/>
        <w:gridCol w:w="98"/>
        <w:gridCol w:w="1835"/>
        <w:gridCol w:w="36"/>
      </w:tblGrid>
      <w:tr w:rsidR="003C66EB" w14:paraId="5EA1E33C" w14:textId="77777777">
        <w:tc>
          <w:tcPr>
            <w:tcW w:w="50" w:type="pct"/>
            <w:shd w:val="clear" w:color="auto" w:fill="auto"/>
          </w:tcPr>
          <w:p w14:paraId="5EA1E330" w14:textId="77777777" w:rsidR="003C66EB" w:rsidRDefault="003C66EB">
            <w:pPr>
              <w:rPr>
                <w:rFonts w:ascii="宋体"/>
              </w:rPr>
            </w:pPr>
          </w:p>
        </w:tc>
        <w:tc>
          <w:tcPr>
            <w:tcW w:w="2525" w:type="pct"/>
            <w:shd w:val="clear" w:color="auto" w:fill="auto"/>
          </w:tcPr>
          <w:p w14:paraId="5EA1E331" w14:textId="77777777" w:rsidR="003C66EB" w:rsidRDefault="003C66EB">
            <w:pPr>
              <w:rPr>
                <w:rFonts w:ascii="宋体"/>
              </w:rPr>
            </w:pPr>
          </w:p>
        </w:tc>
        <w:tc>
          <w:tcPr>
            <w:tcW w:w="5" w:type="pct"/>
            <w:shd w:val="clear" w:color="auto" w:fill="auto"/>
          </w:tcPr>
          <w:p w14:paraId="5EA1E332" w14:textId="77777777" w:rsidR="003C66EB" w:rsidRDefault="003C66EB">
            <w:pPr>
              <w:rPr>
                <w:rFonts w:ascii="宋体"/>
              </w:rPr>
            </w:pPr>
          </w:p>
        </w:tc>
        <w:tc>
          <w:tcPr>
            <w:tcW w:w="50" w:type="pct"/>
            <w:shd w:val="clear" w:color="auto" w:fill="auto"/>
          </w:tcPr>
          <w:p w14:paraId="5EA1E333" w14:textId="77777777" w:rsidR="003C66EB" w:rsidRDefault="003C66EB">
            <w:pPr>
              <w:rPr>
                <w:rFonts w:ascii="宋体"/>
              </w:rPr>
            </w:pPr>
          </w:p>
        </w:tc>
        <w:tc>
          <w:tcPr>
            <w:tcW w:w="1136" w:type="pct"/>
            <w:shd w:val="clear" w:color="auto" w:fill="auto"/>
          </w:tcPr>
          <w:p w14:paraId="5EA1E334" w14:textId="77777777" w:rsidR="003C66EB" w:rsidRDefault="003C66EB">
            <w:pPr>
              <w:rPr>
                <w:rFonts w:ascii="宋体"/>
              </w:rPr>
            </w:pPr>
          </w:p>
        </w:tc>
        <w:tc>
          <w:tcPr>
            <w:tcW w:w="5" w:type="pct"/>
            <w:shd w:val="clear" w:color="auto" w:fill="auto"/>
          </w:tcPr>
          <w:p w14:paraId="5EA1E335" w14:textId="77777777" w:rsidR="003C66EB" w:rsidRDefault="003C66EB">
            <w:pPr>
              <w:rPr>
                <w:rFonts w:ascii="宋体"/>
              </w:rPr>
            </w:pPr>
          </w:p>
        </w:tc>
        <w:tc>
          <w:tcPr>
            <w:tcW w:w="5" w:type="pct"/>
            <w:shd w:val="clear" w:color="auto" w:fill="auto"/>
          </w:tcPr>
          <w:p w14:paraId="5EA1E336" w14:textId="77777777" w:rsidR="003C66EB" w:rsidRDefault="003C66EB">
            <w:pPr>
              <w:rPr>
                <w:rFonts w:ascii="宋体"/>
              </w:rPr>
            </w:pPr>
          </w:p>
        </w:tc>
        <w:tc>
          <w:tcPr>
            <w:tcW w:w="26" w:type="pct"/>
            <w:shd w:val="clear" w:color="auto" w:fill="auto"/>
          </w:tcPr>
          <w:p w14:paraId="5EA1E337" w14:textId="77777777" w:rsidR="003C66EB" w:rsidRDefault="003C66EB">
            <w:pPr>
              <w:rPr>
                <w:rFonts w:ascii="宋体"/>
              </w:rPr>
            </w:pPr>
          </w:p>
        </w:tc>
        <w:tc>
          <w:tcPr>
            <w:tcW w:w="5" w:type="pct"/>
            <w:shd w:val="clear" w:color="auto" w:fill="auto"/>
          </w:tcPr>
          <w:p w14:paraId="5EA1E338" w14:textId="77777777" w:rsidR="003C66EB" w:rsidRDefault="003C66EB">
            <w:pPr>
              <w:rPr>
                <w:rFonts w:ascii="宋体"/>
              </w:rPr>
            </w:pPr>
          </w:p>
        </w:tc>
        <w:tc>
          <w:tcPr>
            <w:tcW w:w="50" w:type="pct"/>
            <w:shd w:val="clear" w:color="auto" w:fill="auto"/>
          </w:tcPr>
          <w:p w14:paraId="5EA1E339" w14:textId="77777777" w:rsidR="003C66EB" w:rsidRDefault="003C66EB">
            <w:pPr>
              <w:rPr>
                <w:rFonts w:ascii="宋体"/>
              </w:rPr>
            </w:pPr>
          </w:p>
        </w:tc>
        <w:tc>
          <w:tcPr>
            <w:tcW w:w="1136" w:type="pct"/>
            <w:shd w:val="clear" w:color="auto" w:fill="auto"/>
          </w:tcPr>
          <w:p w14:paraId="5EA1E33A" w14:textId="77777777" w:rsidR="003C66EB" w:rsidRDefault="003C66EB">
            <w:pPr>
              <w:rPr>
                <w:rFonts w:ascii="宋体"/>
              </w:rPr>
            </w:pPr>
          </w:p>
        </w:tc>
        <w:tc>
          <w:tcPr>
            <w:tcW w:w="5" w:type="pct"/>
            <w:shd w:val="clear" w:color="auto" w:fill="auto"/>
          </w:tcPr>
          <w:p w14:paraId="5EA1E33B" w14:textId="77777777" w:rsidR="003C66EB" w:rsidRDefault="003C66EB">
            <w:pPr>
              <w:rPr>
                <w:rFonts w:ascii="宋体"/>
              </w:rPr>
            </w:pPr>
          </w:p>
        </w:tc>
      </w:tr>
      <w:tr w:rsidR="003C66EB" w14:paraId="5EA1E33E" w14:textId="77777777">
        <w:tc>
          <w:tcPr>
            <w:tcW w:w="0" w:type="auto"/>
            <w:gridSpan w:val="12"/>
            <w:shd w:val="clear" w:color="auto" w:fill="auto"/>
            <w:tcMar>
              <w:top w:w="40" w:type="dxa"/>
              <w:left w:w="20" w:type="dxa"/>
              <w:bottom w:w="40" w:type="dxa"/>
              <w:right w:w="20" w:type="dxa"/>
            </w:tcMar>
            <w:vAlign w:val="bottom"/>
          </w:tcPr>
          <w:p w14:paraId="5EA1E33D" w14:textId="77777777" w:rsidR="003C66EB" w:rsidRDefault="00D96C4E">
            <w:pPr>
              <w:textAlignment w:val="bottom"/>
            </w:pPr>
            <w:r>
              <w:rPr>
                <w:rFonts w:ascii="Arial" w:eastAsia="宋体" w:hAnsi="Arial" w:cs="Arial"/>
                <w:b/>
                <w:bCs/>
                <w:color w:val="000000"/>
                <w:sz w:val="16"/>
                <w:szCs w:val="16"/>
              </w:rPr>
              <w:t>TABLE 5: INDUSTRY ASSET FLOWS</w:t>
            </w:r>
          </w:p>
        </w:tc>
      </w:tr>
      <w:tr w:rsidR="003C66EB" w14:paraId="5EA1E341" w14:textId="77777777">
        <w:tc>
          <w:tcPr>
            <w:tcW w:w="0" w:type="auto"/>
            <w:gridSpan w:val="3"/>
            <w:shd w:val="clear" w:color="auto" w:fill="auto"/>
            <w:tcMar>
              <w:top w:w="0" w:type="dxa"/>
              <w:left w:w="20" w:type="dxa"/>
              <w:bottom w:w="0" w:type="dxa"/>
              <w:right w:w="20" w:type="dxa"/>
            </w:tcMar>
          </w:tcPr>
          <w:p w14:paraId="5EA1E33F"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1E340" w14:textId="77777777" w:rsidR="003C66EB" w:rsidRDefault="00D96C4E">
            <w:pPr>
              <w:jc w:val="center"/>
              <w:textAlignment w:val="bottom"/>
            </w:pPr>
            <w:r>
              <w:rPr>
                <w:rFonts w:ascii="Arial" w:eastAsia="宋体" w:hAnsi="Arial" w:cs="Arial"/>
                <w:b/>
                <w:bCs/>
                <w:color w:val="000000"/>
                <w:sz w:val="14"/>
                <w:szCs w:val="14"/>
              </w:rPr>
              <w:t>Three Months Ended March 31,</w:t>
            </w:r>
          </w:p>
        </w:tc>
      </w:tr>
      <w:tr w:rsidR="003C66EB" w14:paraId="5EA1E346" w14:textId="77777777">
        <w:tc>
          <w:tcPr>
            <w:tcW w:w="0" w:type="auto"/>
            <w:gridSpan w:val="3"/>
            <w:shd w:val="clear" w:color="auto" w:fill="auto"/>
            <w:tcMar>
              <w:top w:w="40" w:type="dxa"/>
              <w:left w:w="20" w:type="dxa"/>
              <w:bottom w:w="40" w:type="dxa"/>
              <w:right w:w="20" w:type="dxa"/>
            </w:tcMar>
            <w:vAlign w:val="bottom"/>
          </w:tcPr>
          <w:p w14:paraId="5EA1E342" w14:textId="77777777" w:rsidR="003C66EB" w:rsidRDefault="00D96C4E">
            <w:pPr>
              <w:textAlignment w:val="bottom"/>
            </w:pPr>
            <w:r>
              <w:rPr>
                <w:rFonts w:ascii="Arial" w:eastAsia="宋体" w:hAnsi="Arial" w:cs="Arial"/>
                <w:b/>
                <w:bCs/>
                <w:color w:val="000000"/>
                <w:sz w:val="14"/>
                <w:szCs w:val="14"/>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343"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34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345" w14:textId="77777777" w:rsidR="003C66EB" w:rsidRDefault="00D96C4E">
            <w:pPr>
              <w:jc w:val="center"/>
              <w:textAlignment w:val="bottom"/>
            </w:pPr>
            <w:r>
              <w:rPr>
                <w:rFonts w:ascii="Arial" w:eastAsia="宋体" w:hAnsi="Arial" w:cs="Arial"/>
                <w:b/>
                <w:bCs/>
                <w:color w:val="000000"/>
                <w:sz w:val="14"/>
                <w:szCs w:val="14"/>
              </w:rPr>
              <w:t>2020</w:t>
            </w:r>
          </w:p>
        </w:tc>
      </w:tr>
      <w:tr w:rsidR="003C66EB" w14:paraId="5EA1E34B" w14:textId="77777777">
        <w:tc>
          <w:tcPr>
            <w:tcW w:w="0" w:type="auto"/>
            <w:gridSpan w:val="3"/>
            <w:shd w:val="clear" w:color="auto" w:fill="auto"/>
            <w:tcMar>
              <w:top w:w="40" w:type="dxa"/>
              <w:left w:w="20" w:type="dxa"/>
              <w:bottom w:w="40" w:type="dxa"/>
              <w:right w:w="20" w:type="dxa"/>
            </w:tcMar>
            <w:vAlign w:val="bottom"/>
          </w:tcPr>
          <w:p w14:paraId="5EA1E347" w14:textId="77777777" w:rsidR="003C66EB" w:rsidRDefault="00D96C4E">
            <w:pPr>
              <w:textAlignment w:val="bottom"/>
            </w:pPr>
            <w:r>
              <w:rPr>
                <w:rFonts w:ascii="Arial" w:eastAsia="宋体" w:hAnsi="Arial" w:cs="Arial"/>
                <w:b/>
                <w:bCs/>
                <w:color w:val="000000"/>
                <w:sz w:val="14"/>
                <w:szCs w:val="14"/>
              </w:rPr>
              <w:t>North America - (US 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tcPr>
          <w:p w14:paraId="5EA1E34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34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1E34A" w14:textId="77777777" w:rsidR="003C66EB" w:rsidRDefault="003C66EB">
            <w:pPr>
              <w:rPr>
                <w:rFonts w:ascii="宋体"/>
              </w:rPr>
            </w:pPr>
          </w:p>
        </w:tc>
      </w:tr>
      <w:tr w:rsidR="003C66EB" w14:paraId="5EA1E354" w14:textId="77777777">
        <w:tc>
          <w:tcPr>
            <w:tcW w:w="0" w:type="auto"/>
            <w:gridSpan w:val="3"/>
            <w:shd w:val="clear" w:color="auto" w:fill="CCEEFF"/>
            <w:tcMar>
              <w:top w:w="40" w:type="dxa"/>
              <w:left w:w="20" w:type="dxa"/>
              <w:bottom w:w="40" w:type="dxa"/>
              <w:right w:w="20" w:type="dxa"/>
            </w:tcMar>
            <w:vAlign w:val="bottom"/>
          </w:tcPr>
          <w:p w14:paraId="5EA1E34C" w14:textId="77777777" w:rsidR="003C66EB" w:rsidRDefault="00D96C4E">
            <w:pPr>
              <w:textAlignment w:val="bottom"/>
            </w:pPr>
            <w:r>
              <w:rPr>
                <w:rFonts w:ascii="Arial" w:eastAsia="宋体" w:hAnsi="Arial" w:cs="Arial"/>
                <w:color w:val="000000"/>
                <w:sz w:val="14"/>
                <w:szCs w:val="14"/>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5EA1E34D"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E34E" w14:textId="77777777" w:rsidR="003C66EB" w:rsidRDefault="00D96C4E">
            <w:pPr>
              <w:jc w:val="right"/>
              <w:textAlignment w:val="bottom"/>
            </w:pPr>
            <w:r>
              <w:rPr>
                <w:rFonts w:ascii="Arial" w:eastAsia="宋体" w:hAnsi="Arial" w:cs="Arial"/>
                <w:b/>
                <w:bCs/>
                <w:color w:val="000000"/>
                <w:sz w:val="14"/>
                <w:szCs w:val="14"/>
              </w:rPr>
              <w:t>142.0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3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35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35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E352" w14:textId="77777777" w:rsidR="003C66EB" w:rsidRDefault="00D96C4E">
            <w:pPr>
              <w:jc w:val="right"/>
              <w:textAlignment w:val="bottom"/>
            </w:pPr>
            <w:r>
              <w:rPr>
                <w:rFonts w:ascii="Arial" w:eastAsia="宋体" w:hAnsi="Arial" w:cs="Arial"/>
                <w:color w:val="000000"/>
                <w:sz w:val="14"/>
                <w:szCs w:val="14"/>
              </w:rPr>
              <w:t>(240.1)</w:t>
            </w:r>
          </w:p>
        </w:tc>
        <w:tc>
          <w:tcPr>
            <w:tcW w:w="0" w:type="auto"/>
            <w:shd w:val="clear" w:color="auto" w:fill="CCEEFF"/>
            <w:tcMar>
              <w:top w:w="40" w:type="dxa"/>
              <w:left w:w="0" w:type="dxa"/>
              <w:bottom w:w="40" w:type="dxa"/>
              <w:right w:w="20" w:type="dxa"/>
            </w:tcMar>
            <w:vAlign w:val="bottom"/>
          </w:tcPr>
          <w:p w14:paraId="5EA1E353" w14:textId="77777777" w:rsidR="003C66EB" w:rsidRDefault="003C66EB">
            <w:pPr>
              <w:jc w:val="right"/>
              <w:rPr>
                <w:rFonts w:ascii="宋体"/>
              </w:rPr>
            </w:pPr>
          </w:p>
        </w:tc>
      </w:tr>
      <w:tr w:rsidR="003C66EB" w14:paraId="5EA1E35B" w14:textId="77777777">
        <w:tc>
          <w:tcPr>
            <w:tcW w:w="0" w:type="auto"/>
            <w:gridSpan w:val="3"/>
            <w:shd w:val="clear" w:color="auto" w:fill="FFFFFF"/>
            <w:tcMar>
              <w:top w:w="40" w:type="dxa"/>
              <w:left w:w="155" w:type="dxa"/>
              <w:bottom w:w="40" w:type="dxa"/>
              <w:right w:w="20" w:type="dxa"/>
            </w:tcMar>
            <w:vAlign w:val="bottom"/>
          </w:tcPr>
          <w:p w14:paraId="5EA1E355" w14:textId="77777777" w:rsidR="003C66EB" w:rsidRDefault="00D96C4E">
            <w:pPr>
              <w:textAlignment w:val="bottom"/>
            </w:pPr>
            <w:r>
              <w:rPr>
                <w:rFonts w:ascii="Arial" w:eastAsia="宋体" w:hAnsi="Arial" w:cs="Arial"/>
                <w:color w:val="000000"/>
                <w:sz w:val="14"/>
                <w:szCs w:val="14"/>
              </w:rPr>
              <w:t>Money Market</w:t>
            </w:r>
          </w:p>
        </w:tc>
        <w:tc>
          <w:tcPr>
            <w:tcW w:w="0" w:type="auto"/>
            <w:gridSpan w:val="2"/>
            <w:shd w:val="clear" w:color="auto" w:fill="FFFFFF"/>
            <w:tcMar>
              <w:top w:w="40" w:type="dxa"/>
              <w:left w:w="20" w:type="dxa"/>
              <w:bottom w:w="40" w:type="dxa"/>
              <w:right w:w="0" w:type="dxa"/>
            </w:tcMar>
            <w:vAlign w:val="bottom"/>
          </w:tcPr>
          <w:p w14:paraId="5EA1E356" w14:textId="77777777" w:rsidR="003C66EB" w:rsidRDefault="00D96C4E">
            <w:pPr>
              <w:jc w:val="right"/>
              <w:textAlignment w:val="bottom"/>
            </w:pPr>
            <w:r>
              <w:rPr>
                <w:rFonts w:ascii="Arial" w:eastAsia="宋体" w:hAnsi="Arial" w:cs="Arial"/>
                <w:b/>
                <w:bCs/>
                <w:color w:val="000000"/>
                <w:sz w:val="14"/>
                <w:szCs w:val="14"/>
              </w:rPr>
              <w:t>176.2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3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35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359" w14:textId="77777777" w:rsidR="003C66EB" w:rsidRDefault="00D96C4E">
            <w:pPr>
              <w:jc w:val="right"/>
              <w:textAlignment w:val="bottom"/>
            </w:pPr>
            <w:r>
              <w:rPr>
                <w:rFonts w:ascii="Arial" w:eastAsia="宋体" w:hAnsi="Arial" w:cs="Arial"/>
                <w:color w:val="000000"/>
                <w:sz w:val="14"/>
                <w:szCs w:val="14"/>
              </w:rPr>
              <w:t>664.8 </w:t>
            </w:r>
          </w:p>
        </w:tc>
        <w:tc>
          <w:tcPr>
            <w:tcW w:w="0" w:type="auto"/>
            <w:shd w:val="clear" w:color="auto" w:fill="FFFFFF"/>
            <w:tcMar>
              <w:top w:w="40" w:type="dxa"/>
              <w:left w:w="0" w:type="dxa"/>
              <w:bottom w:w="40" w:type="dxa"/>
              <w:right w:w="20" w:type="dxa"/>
            </w:tcMar>
            <w:vAlign w:val="bottom"/>
          </w:tcPr>
          <w:p w14:paraId="5EA1E35A" w14:textId="77777777" w:rsidR="003C66EB" w:rsidRDefault="003C66EB">
            <w:pPr>
              <w:jc w:val="right"/>
              <w:rPr>
                <w:rFonts w:ascii="宋体"/>
              </w:rPr>
            </w:pPr>
          </w:p>
        </w:tc>
      </w:tr>
      <w:tr w:rsidR="003C66EB" w14:paraId="5EA1E362" w14:textId="77777777">
        <w:tc>
          <w:tcPr>
            <w:tcW w:w="0" w:type="auto"/>
            <w:gridSpan w:val="3"/>
            <w:shd w:val="clear" w:color="auto" w:fill="CCEEFF"/>
            <w:tcMar>
              <w:top w:w="40" w:type="dxa"/>
              <w:left w:w="155" w:type="dxa"/>
              <w:bottom w:w="40" w:type="dxa"/>
              <w:right w:w="20" w:type="dxa"/>
            </w:tcMar>
            <w:vAlign w:val="bottom"/>
          </w:tcPr>
          <w:p w14:paraId="5EA1E35C" w14:textId="77777777" w:rsidR="003C66EB" w:rsidRDefault="00D96C4E">
            <w:pPr>
              <w:textAlignment w:val="bottom"/>
            </w:pPr>
            <w:r>
              <w:rPr>
                <w:rFonts w:ascii="Arial" w:eastAsia="宋体" w:hAnsi="Arial" w:cs="Arial"/>
                <w:color w:val="000000"/>
                <w:sz w:val="14"/>
                <w:szCs w:val="14"/>
              </w:rPr>
              <w:t>Exchange-Traded Fund</w:t>
            </w:r>
          </w:p>
        </w:tc>
        <w:tc>
          <w:tcPr>
            <w:tcW w:w="0" w:type="auto"/>
            <w:gridSpan w:val="2"/>
            <w:shd w:val="clear" w:color="auto" w:fill="CCEEFF"/>
            <w:tcMar>
              <w:top w:w="40" w:type="dxa"/>
              <w:left w:w="20" w:type="dxa"/>
              <w:bottom w:w="40" w:type="dxa"/>
              <w:right w:w="0" w:type="dxa"/>
            </w:tcMar>
            <w:vAlign w:val="bottom"/>
          </w:tcPr>
          <w:p w14:paraId="5EA1E35D" w14:textId="77777777" w:rsidR="003C66EB" w:rsidRDefault="00D96C4E">
            <w:pPr>
              <w:jc w:val="right"/>
              <w:textAlignment w:val="bottom"/>
            </w:pPr>
            <w:r>
              <w:rPr>
                <w:rFonts w:ascii="Arial" w:eastAsia="宋体" w:hAnsi="Arial" w:cs="Arial"/>
                <w:b/>
                <w:bCs/>
                <w:color w:val="000000"/>
                <w:sz w:val="14"/>
                <w:szCs w:val="14"/>
              </w:rPr>
              <w:t>180.3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3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35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360" w14:textId="77777777" w:rsidR="003C66EB" w:rsidRDefault="00D96C4E">
            <w:pPr>
              <w:jc w:val="right"/>
              <w:textAlignment w:val="bottom"/>
            </w:pPr>
            <w:r>
              <w:rPr>
                <w:rFonts w:ascii="Arial" w:eastAsia="宋体" w:hAnsi="Arial" w:cs="Arial"/>
                <w:color w:val="000000"/>
                <w:sz w:val="14"/>
                <w:szCs w:val="14"/>
              </w:rPr>
              <w:t>22.1 </w:t>
            </w:r>
          </w:p>
        </w:tc>
        <w:tc>
          <w:tcPr>
            <w:tcW w:w="0" w:type="auto"/>
            <w:shd w:val="clear" w:color="auto" w:fill="CCEEFF"/>
            <w:tcMar>
              <w:top w:w="40" w:type="dxa"/>
              <w:left w:w="0" w:type="dxa"/>
              <w:bottom w:w="40" w:type="dxa"/>
              <w:right w:w="20" w:type="dxa"/>
            </w:tcMar>
            <w:vAlign w:val="bottom"/>
          </w:tcPr>
          <w:p w14:paraId="5EA1E361" w14:textId="77777777" w:rsidR="003C66EB" w:rsidRDefault="003C66EB">
            <w:pPr>
              <w:jc w:val="right"/>
              <w:rPr>
                <w:rFonts w:ascii="宋体"/>
              </w:rPr>
            </w:pPr>
          </w:p>
        </w:tc>
      </w:tr>
      <w:tr w:rsidR="003C66EB" w14:paraId="5EA1E36B" w14:textId="77777777">
        <w:tc>
          <w:tcPr>
            <w:tcW w:w="0" w:type="auto"/>
            <w:gridSpan w:val="3"/>
            <w:shd w:val="clear" w:color="auto" w:fill="FFFFFF"/>
            <w:tcMar>
              <w:top w:w="40" w:type="dxa"/>
              <w:left w:w="20" w:type="dxa"/>
              <w:bottom w:w="40" w:type="dxa"/>
              <w:right w:w="20" w:type="dxa"/>
            </w:tcMar>
            <w:vAlign w:val="bottom"/>
          </w:tcPr>
          <w:p w14:paraId="5EA1E363" w14:textId="77777777" w:rsidR="003C66EB" w:rsidRDefault="00D96C4E">
            <w:pPr>
              <w:textAlignment w:val="bottom"/>
            </w:pPr>
            <w:r>
              <w:rPr>
                <w:rFonts w:ascii="Arial" w:eastAsia="宋体" w:hAnsi="Arial" w:cs="Arial"/>
                <w:b/>
                <w:bCs/>
                <w:color w:val="000000"/>
                <w:sz w:val="14"/>
                <w:szCs w:val="14"/>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5EA1E36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E365" w14:textId="77777777" w:rsidR="003C66EB" w:rsidRDefault="00D96C4E">
            <w:pPr>
              <w:jc w:val="right"/>
              <w:textAlignment w:val="bottom"/>
            </w:pPr>
            <w:r>
              <w:rPr>
                <w:rFonts w:ascii="Arial" w:eastAsia="宋体" w:hAnsi="Arial" w:cs="Arial"/>
                <w:b/>
                <w:bCs/>
                <w:color w:val="000000"/>
                <w:sz w:val="14"/>
                <w:szCs w:val="14"/>
              </w:rPr>
              <w:t>498.5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3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367"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1E36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E369" w14:textId="77777777" w:rsidR="003C66EB" w:rsidRDefault="00D96C4E">
            <w:pPr>
              <w:jc w:val="right"/>
              <w:textAlignment w:val="bottom"/>
            </w:pPr>
            <w:r>
              <w:rPr>
                <w:rFonts w:ascii="Arial" w:eastAsia="宋体" w:hAnsi="Arial" w:cs="Arial"/>
                <w:color w:val="000000"/>
                <w:sz w:val="14"/>
                <w:szCs w:val="14"/>
              </w:rPr>
              <w:t>446.8 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36A" w14:textId="77777777" w:rsidR="003C66EB" w:rsidRDefault="003C66EB">
            <w:pPr>
              <w:jc w:val="right"/>
              <w:rPr>
                <w:rFonts w:ascii="宋体"/>
              </w:rPr>
            </w:pPr>
          </w:p>
        </w:tc>
      </w:tr>
      <w:tr w:rsidR="003C66EB" w14:paraId="5EA1E370" w14:textId="77777777">
        <w:trPr>
          <w:trHeight w:val="60"/>
        </w:trPr>
        <w:tc>
          <w:tcPr>
            <w:tcW w:w="0" w:type="auto"/>
            <w:gridSpan w:val="3"/>
            <w:shd w:val="clear" w:color="auto" w:fill="auto"/>
            <w:tcMar>
              <w:top w:w="0" w:type="dxa"/>
              <w:left w:w="20" w:type="dxa"/>
              <w:bottom w:w="0" w:type="dxa"/>
              <w:right w:w="20" w:type="dxa"/>
            </w:tcMar>
          </w:tcPr>
          <w:p w14:paraId="5EA1E36C"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1E36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36E"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1E36F" w14:textId="77777777" w:rsidR="003C66EB" w:rsidRDefault="003C66EB">
            <w:pPr>
              <w:rPr>
                <w:rFonts w:ascii="宋体"/>
              </w:rPr>
            </w:pPr>
          </w:p>
        </w:tc>
      </w:tr>
      <w:tr w:rsidR="003C66EB" w14:paraId="5EA1E375" w14:textId="77777777">
        <w:tc>
          <w:tcPr>
            <w:tcW w:w="0" w:type="auto"/>
            <w:gridSpan w:val="3"/>
            <w:shd w:val="clear" w:color="auto" w:fill="FFFFFF"/>
            <w:tcMar>
              <w:top w:w="40" w:type="dxa"/>
              <w:left w:w="20" w:type="dxa"/>
              <w:bottom w:w="40" w:type="dxa"/>
              <w:right w:w="20" w:type="dxa"/>
            </w:tcMar>
            <w:vAlign w:val="bottom"/>
          </w:tcPr>
          <w:p w14:paraId="5EA1E371" w14:textId="77777777" w:rsidR="003C66EB" w:rsidRDefault="00D96C4E">
            <w:pPr>
              <w:textAlignment w:val="bottom"/>
            </w:pPr>
            <w:r>
              <w:rPr>
                <w:rFonts w:ascii="Arial" w:eastAsia="宋体" w:hAnsi="Arial" w:cs="Arial"/>
                <w:b/>
                <w:bCs/>
                <w:color w:val="000000"/>
                <w:sz w:val="14"/>
                <w:szCs w:val="14"/>
              </w:rPr>
              <w:t>Europe - 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tcPr>
          <w:p w14:paraId="5EA1E37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37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374" w14:textId="77777777" w:rsidR="003C66EB" w:rsidRDefault="003C66EB">
            <w:pPr>
              <w:rPr>
                <w:rFonts w:ascii="宋体"/>
              </w:rPr>
            </w:pPr>
          </w:p>
        </w:tc>
      </w:tr>
      <w:tr w:rsidR="003C66EB" w14:paraId="5EA1E37E" w14:textId="77777777">
        <w:tc>
          <w:tcPr>
            <w:tcW w:w="0" w:type="auto"/>
            <w:gridSpan w:val="3"/>
            <w:shd w:val="clear" w:color="auto" w:fill="CCEEFF"/>
            <w:tcMar>
              <w:top w:w="40" w:type="dxa"/>
              <w:left w:w="20" w:type="dxa"/>
              <w:bottom w:w="40" w:type="dxa"/>
              <w:right w:w="20" w:type="dxa"/>
            </w:tcMar>
            <w:vAlign w:val="bottom"/>
          </w:tcPr>
          <w:p w14:paraId="5EA1E376" w14:textId="77777777" w:rsidR="003C66EB" w:rsidRDefault="00D96C4E">
            <w:pPr>
              <w:textAlignment w:val="bottom"/>
            </w:pPr>
            <w:r>
              <w:rPr>
                <w:rFonts w:ascii="Arial" w:eastAsia="宋体" w:hAnsi="Arial" w:cs="Arial"/>
                <w:color w:val="000000"/>
                <w:sz w:val="14"/>
                <w:szCs w:val="14"/>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5EA1E377"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E378" w14:textId="77777777" w:rsidR="003C66EB" w:rsidRDefault="00D96C4E">
            <w:pPr>
              <w:jc w:val="right"/>
              <w:textAlignment w:val="bottom"/>
            </w:pPr>
            <w:r>
              <w:rPr>
                <w:rFonts w:ascii="Arial" w:eastAsia="宋体" w:hAnsi="Arial" w:cs="Arial"/>
                <w:b/>
                <w:bCs/>
                <w:color w:val="000000"/>
                <w:sz w:val="14"/>
                <w:szCs w:val="14"/>
              </w:rPr>
              <w:t>290.1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3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37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37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E37C" w14:textId="77777777" w:rsidR="003C66EB" w:rsidRDefault="00D96C4E">
            <w:pPr>
              <w:jc w:val="right"/>
              <w:textAlignment w:val="bottom"/>
            </w:pPr>
            <w:r>
              <w:rPr>
                <w:rFonts w:ascii="Arial" w:eastAsia="宋体" w:hAnsi="Arial" w:cs="Arial"/>
                <w:color w:val="000000"/>
                <w:sz w:val="14"/>
                <w:szCs w:val="14"/>
              </w:rPr>
              <w:t>(137.6)</w:t>
            </w:r>
          </w:p>
        </w:tc>
        <w:tc>
          <w:tcPr>
            <w:tcW w:w="0" w:type="auto"/>
            <w:shd w:val="clear" w:color="auto" w:fill="CCEEFF"/>
            <w:tcMar>
              <w:top w:w="40" w:type="dxa"/>
              <w:left w:w="0" w:type="dxa"/>
              <w:bottom w:w="40" w:type="dxa"/>
              <w:right w:w="20" w:type="dxa"/>
            </w:tcMar>
            <w:vAlign w:val="bottom"/>
          </w:tcPr>
          <w:p w14:paraId="5EA1E37D" w14:textId="77777777" w:rsidR="003C66EB" w:rsidRDefault="003C66EB">
            <w:pPr>
              <w:jc w:val="right"/>
              <w:rPr>
                <w:rFonts w:ascii="宋体"/>
              </w:rPr>
            </w:pPr>
          </w:p>
        </w:tc>
      </w:tr>
      <w:tr w:rsidR="003C66EB" w14:paraId="5EA1E385" w14:textId="77777777">
        <w:tc>
          <w:tcPr>
            <w:tcW w:w="0" w:type="auto"/>
            <w:gridSpan w:val="3"/>
            <w:shd w:val="clear" w:color="auto" w:fill="FFFFFF"/>
            <w:tcMar>
              <w:top w:w="40" w:type="dxa"/>
              <w:left w:w="155" w:type="dxa"/>
              <w:bottom w:w="40" w:type="dxa"/>
              <w:right w:w="20" w:type="dxa"/>
            </w:tcMar>
            <w:vAlign w:val="bottom"/>
          </w:tcPr>
          <w:p w14:paraId="5EA1E37F" w14:textId="77777777" w:rsidR="003C66EB" w:rsidRDefault="00D96C4E">
            <w:pPr>
              <w:textAlignment w:val="bottom"/>
            </w:pPr>
            <w:r>
              <w:rPr>
                <w:rFonts w:ascii="Arial" w:eastAsia="宋体" w:hAnsi="Arial" w:cs="Arial"/>
                <w:color w:val="000000"/>
                <w:sz w:val="14"/>
                <w:szCs w:val="14"/>
              </w:rPr>
              <w:t>Money Market</w:t>
            </w:r>
          </w:p>
        </w:tc>
        <w:tc>
          <w:tcPr>
            <w:tcW w:w="0" w:type="auto"/>
            <w:gridSpan w:val="2"/>
            <w:shd w:val="clear" w:color="auto" w:fill="FFFFFF"/>
            <w:tcMar>
              <w:top w:w="40" w:type="dxa"/>
              <w:left w:w="20" w:type="dxa"/>
              <w:bottom w:w="40" w:type="dxa"/>
              <w:right w:w="0" w:type="dxa"/>
            </w:tcMar>
            <w:vAlign w:val="bottom"/>
          </w:tcPr>
          <w:p w14:paraId="5EA1E380" w14:textId="77777777" w:rsidR="003C66EB" w:rsidRDefault="00D96C4E">
            <w:pPr>
              <w:jc w:val="right"/>
              <w:textAlignment w:val="bottom"/>
            </w:pPr>
            <w:r>
              <w:rPr>
                <w:rFonts w:ascii="Arial" w:eastAsia="宋体" w:hAnsi="Arial" w:cs="Arial"/>
                <w:b/>
                <w:bCs/>
                <w:color w:val="000000"/>
                <w:sz w:val="14"/>
                <w:szCs w:val="14"/>
              </w:rPr>
              <w:t>(52.8)</w:t>
            </w:r>
          </w:p>
        </w:tc>
        <w:tc>
          <w:tcPr>
            <w:tcW w:w="0" w:type="auto"/>
            <w:shd w:val="clear" w:color="auto" w:fill="FFFFFF"/>
            <w:tcMar>
              <w:top w:w="40" w:type="dxa"/>
              <w:left w:w="0" w:type="dxa"/>
              <w:bottom w:w="40" w:type="dxa"/>
              <w:right w:w="20" w:type="dxa"/>
            </w:tcMar>
            <w:vAlign w:val="bottom"/>
          </w:tcPr>
          <w:p w14:paraId="5EA1E38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38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383" w14:textId="77777777" w:rsidR="003C66EB" w:rsidRDefault="00D96C4E">
            <w:pPr>
              <w:jc w:val="right"/>
              <w:textAlignment w:val="bottom"/>
            </w:pPr>
            <w:r>
              <w:rPr>
                <w:rFonts w:ascii="Arial" w:eastAsia="宋体" w:hAnsi="Arial" w:cs="Arial"/>
                <w:color w:val="000000"/>
                <w:sz w:val="14"/>
                <w:szCs w:val="14"/>
              </w:rPr>
              <w:t>11.6 </w:t>
            </w:r>
          </w:p>
        </w:tc>
        <w:tc>
          <w:tcPr>
            <w:tcW w:w="0" w:type="auto"/>
            <w:shd w:val="clear" w:color="auto" w:fill="FFFFFF"/>
            <w:tcMar>
              <w:top w:w="40" w:type="dxa"/>
              <w:left w:w="0" w:type="dxa"/>
              <w:bottom w:w="40" w:type="dxa"/>
              <w:right w:w="20" w:type="dxa"/>
            </w:tcMar>
            <w:vAlign w:val="bottom"/>
          </w:tcPr>
          <w:p w14:paraId="5EA1E384" w14:textId="77777777" w:rsidR="003C66EB" w:rsidRDefault="003C66EB">
            <w:pPr>
              <w:jc w:val="right"/>
              <w:rPr>
                <w:rFonts w:ascii="宋体"/>
              </w:rPr>
            </w:pPr>
          </w:p>
        </w:tc>
      </w:tr>
      <w:tr w:rsidR="003C66EB" w14:paraId="5EA1E38C" w14:textId="77777777">
        <w:tc>
          <w:tcPr>
            <w:tcW w:w="0" w:type="auto"/>
            <w:gridSpan w:val="3"/>
            <w:shd w:val="clear" w:color="auto" w:fill="CCEEFF"/>
            <w:tcMar>
              <w:top w:w="40" w:type="dxa"/>
              <w:left w:w="155" w:type="dxa"/>
              <w:bottom w:w="40" w:type="dxa"/>
              <w:right w:w="20" w:type="dxa"/>
            </w:tcMar>
            <w:vAlign w:val="bottom"/>
          </w:tcPr>
          <w:p w14:paraId="5EA1E386" w14:textId="77777777" w:rsidR="003C66EB" w:rsidRDefault="00D96C4E">
            <w:pPr>
              <w:textAlignment w:val="bottom"/>
            </w:pPr>
            <w:r>
              <w:rPr>
                <w:rFonts w:ascii="Arial" w:eastAsia="宋体" w:hAnsi="Arial" w:cs="Arial"/>
                <w:color w:val="000000"/>
                <w:sz w:val="14"/>
                <w:szCs w:val="14"/>
              </w:rPr>
              <w:t>Exchange-Traded Fund</w:t>
            </w:r>
          </w:p>
        </w:tc>
        <w:tc>
          <w:tcPr>
            <w:tcW w:w="0" w:type="auto"/>
            <w:gridSpan w:val="2"/>
            <w:shd w:val="clear" w:color="auto" w:fill="CCEEFF"/>
            <w:tcMar>
              <w:top w:w="40" w:type="dxa"/>
              <w:left w:w="20" w:type="dxa"/>
              <w:bottom w:w="40" w:type="dxa"/>
              <w:right w:w="0" w:type="dxa"/>
            </w:tcMar>
            <w:vAlign w:val="bottom"/>
          </w:tcPr>
          <w:p w14:paraId="5EA1E387" w14:textId="77777777" w:rsidR="003C66EB" w:rsidRDefault="00D96C4E">
            <w:pPr>
              <w:jc w:val="right"/>
              <w:textAlignment w:val="bottom"/>
            </w:pPr>
            <w:r>
              <w:rPr>
                <w:rFonts w:ascii="Arial" w:eastAsia="宋体" w:hAnsi="Arial" w:cs="Arial"/>
                <w:b/>
                <w:bCs/>
                <w:color w:val="000000"/>
                <w:sz w:val="14"/>
                <w:szCs w:val="14"/>
              </w:rPr>
              <w:t>61.7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3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38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38A" w14:textId="77777777" w:rsidR="003C66EB" w:rsidRDefault="00D96C4E">
            <w:pPr>
              <w:jc w:val="right"/>
              <w:textAlignment w:val="bottom"/>
            </w:pPr>
            <w:r>
              <w:rPr>
                <w:rFonts w:ascii="Arial" w:eastAsia="宋体" w:hAnsi="Arial" w:cs="Arial"/>
                <w:color w:val="000000"/>
                <w:sz w:val="14"/>
                <w:szCs w:val="14"/>
              </w:rPr>
              <w:t>(2.9)</w:t>
            </w:r>
          </w:p>
        </w:tc>
        <w:tc>
          <w:tcPr>
            <w:tcW w:w="0" w:type="auto"/>
            <w:shd w:val="clear" w:color="auto" w:fill="CCEEFF"/>
            <w:tcMar>
              <w:top w:w="40" w:type="dxa"/>
              <w:left w:w="0" w:type="dxa"/>
              <w:bottom w:w="40" w:type="dxa"/>
              <w:right w:w="20" w:type="dxa"/>
            </w:tcMar>
            <w:vAlign w:val="bottom"/>
          </w:tcPr>
          <w:p w14:paraId="5EA1E38B" w14:textId="77777777" w:rsidR="003C66EB" w:rsidRDefault="003C66EB">
            <w:pPr>
              <w:jc w:val="right"/>
              <w:rPr>
                <w:rFonts w:ascii="宋体"/>
              </w:rPr>
            </w:pPr>
          </w:p>
        </w:tc>
      </w:tr>
      <w:tr w:rsidR="003C66EB" w14:paraId="5EA1E391" w14:textId="77777777">
        <w:trPr>
          <w:hidden/>
        </w:trPr>
        <w:tc>
          <w:tcPr>
            <w:tcW w:w="0" w:type="auto"/>
            <w:gridSpan w:val="3"/>
            <w:shd w:val="clear" w:color="auto" w:fill="auto"/>
          </w:tcPr>
          <w:p w14:paraId="5EA1E38D" w14:textId="77777777" w:rsidR="003C66EB" w:rsidRDefault="003C66EB">
            <w:pPr>
              <w:rPr>
                <w:rFonts w:ascii="宋体"/>
                <w:vanish/>
              </w:rPr>
            </w:pPr>
          </w:p>
        </w:tc>
        <w:tc>
          <w:tcPr>
            <w:tcW w:w="0" w:type="auto"/>
            <w:gridSpan w:val="3"/>
            <w:shd w:val="clear" w:color="auto" w:fill="auto"/>
          </w:tcPr>
          <w:p w14:paraId="5EA1E38E" w14:textId="77777777" w:rsidR="003C66EB" w:rsidRDefault="003C66EB">
            <w:pPr>
              <w:rPr>
                <w:rFonts w:ascii="宋体"/>
                <w:vanish/>
              </w:rPr>
            </w:pPr>
          </w:p>
        </w:tc>
        <w:tc>
          <w:tcPr>
            <w:tcW w:w="0" w:type="auto"/>
            <w:gridSpan w:val="3"/>
            <w:shd w:val="clear" w:color="auto" w:fill="auto"/>
          </w:tcPr>
          <w:p w14:paraId="5EA1E38F" w14:textId="77777777" w:rsidR="003C66EB" w:rsidRDefault="003C66EB">
            <w:pPr>
              <w:rPr>
                <w:rFonts w:ascii="宋体"/>
                <w:vanish/>
              </w:rPr>
            </w:pPr>
          </w:p>
        </w:tc>
        <w:tc>
          <w:tcPr>
            <w:tcW w:w="0" w:type="auto"/>
            <w:gridSpan w:val="3"/>
            <w:shd w:val="clear" w:color="auto" w:fill="auto"/>
          </w:tcPr>
          <w:p w14:paraId="5EA1E390" w14:textId="77777777" w:rsidR="003C66EB" w:rsidRDefault="003C66EB">
            <w:pPr>
              <w:rPr>
                <w:rFonts w:ascii="宋体"/>
                <w:vanish/>
              </w:rPr>
            </w:pPr>
          </w:p>
        </w:tc>
      </w:tr>
      <w:tr w:rsidR="003C66EB" w14:paraId="5EA1E396" w14:textId="77777777">
        <w:trPr>
          <w:hidden/>
        </w:trPr>
        <w:tc>
          <w:tcPr>
            <w:tcW w:w="0" w:type="auto"/>
            <w:gridSpan w:val="3"/>
            <w:shd w:val="clear" w:color="auto" w:fill="auto"/>
          </w:tcPr>
          <w:p w14:paraId="5EA1E392" w14:textId="77777777" w:rsidR="003C66EB" w:rsidRDefault="003C66EB">
            <w:pPr>
              <w:rPr>
                <w:rFonts w:ascii="宋体"/>
                <w:vanish/>
              </w:rPr>
            </w:pPr>
          </w:p>
        </w:tc>
        <w:tc>
          <w:tcPr>
            <w:tcW w:w="0" w:type="auto"/>
            <w:gridSpan w:val="3"/>
            <w:shd w:val="clear" w:color="auto" w:fill="auto"/>
          </w:tcPr>
          <w:p w14:paraId="5EA1E393" w14:textId="77777777" w:rsidR="003C66EB" w:rsidRDefault="003C66EB">
            <w:pPr>
              <w:rPr>
                <w:rFonts w:ascii="宋体"/>
                <w:vanish/>
              </w:rPr>
            </w:pPr>
          </w:p>
        </w:tc>
        <w:tc>
          <w:tcPr>
            <w:tcW w:w="0" w:type="auto"/>
            <w:gridSpan w:val="3"/>
            <w:shd w:val="clear" w:color="auto" w:fill="auto"/>
          </w:tcPr>
          <w:p w14:paraId="5EA1E394" w14:textId="77777777" w:rsidR="003C66EB" w:rsidRDefault="003C66EB">
            <w:pPr>
              <w:rPr>
                <w:rFonts w:ascii="宋体"/>
                <w:vanish/>
              </w:rPr>
            </w:pPr>
          </w:p>
        </w:tc>
        <w:tc>
          <w:tcPr>
            <w:tcW w:w="0" w:type="auto"/>
            <w:gridSpan w:val="3"/>
            <w:shd w:val="clear" w:color="auto" w:fill="auto"/>
          </w:tcPr>
          <w:p w14:paraId="5EA1E395" w14:textId="77777777" w:rsidR="003C66EB" w:rsidRDefault="003C66EB">
            <w:pPr>
              <w:rPr>
                <w:rFonts w:ascii="宋体"/>
                <w:vanish/>
              </w:rPr>
            </w:pPr>
          </w:p>
        </w:tc>
      </w:tr>
      <w:tr w:rsidR="003C66EB" w14:paraId="5EA1E39F" w14:textId="77777777">
        <w:tc>
          <w:tcPr>
            <w:tcW w:w="0" w:type="auto"/>
            <w:gridSpan w:val="3"/>
            <w:shd w:val="clear" w:color="auto" w:fill="FFFFFF"/>
            <w:tcMar>
              <w:top w:w="40" w:type="dxa"/>
              <w:left w:w="20" w:type="dxa"/>
              <w:bottom w:w="40" w:type="dxa"/>
              <w:right w:w="20" w:type="dxa"/>
            </w:tcMar>
            <w:vAlign w:val="bottom"/>
          </w:tcPr>
          <w:p w14:paraId="5EA1E397" w14:textId="77777777" w:rsidR="003C66EB" w:rsidRDefault="00D96C4E">
            <w:pPr>
              <w:textAlignment w:val="bottom"/>
            </w:pPr>
            <w:r>
              <w:rPr>
                <w:rFonts w:ascii="Arial" w:eastAsia="宋体" w:hAnsi="Arial" w:cs="Arial"/>
                <w:b/>
                <w:bCs/>
                <w:color w:val="000000"/>
                <w:sz w:val="14"/>
                <w:szCs w:val="14"/>
              </w:rPr>
              <w:t>Total Flows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39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399" w14:textId="77777777" w:rsidR="003C66EB" w:rsidRDefault="00D96C4E">
            <w:pPr>
              <w:jc w:val="right"/>
              <w:textAlignment w:val="bottom"/>
            </w:pPr>
            <w:r>
              <w:rPr>
                <w:rFonts w:ascii="Arial" w:eastAsia="宋体" w:hAnsi="Arial" w:cs="Arial"/>
                <w:b/>
                <w:bCs/>
                <w:color w:val="000000"/>
                <w:sz w:val="14"/>
                <w:szCs w:val="14"/>
              </w:rPr>
              <w:t>299.0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39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39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39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39D" w14:textId="77777777" w:rsidR="003C66EB" w:rsidRDefault="00D96C4E">
            <w:pPr>
              <w:jc w:val="right"/>
              <w:textAlignment w:val="bottom"/>
            </w:pPr>
            <w:r>
              <w:rPr>
                <w:rFonts w:ascii="Arial" w:eastAsia="宋体" w:hAnsi="Arial" w:cs="Arial"/>
                <w:color w:val="000000"/>
                <w:sz w:val="14"/>
                <w:szCs w:val="14"/>
              </w:rPr>
              <w:t>(128.9)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39E" w14:textId="77777777" w:rsidR="003C66EB" w:rsidRDefault="003C66EB">
            <w:pPr>
              <w:jc w:val="right"/>
              <w:rPr>
                <w:rFonts w:ascii="宋体"/>
              </w:rPr>
            </w:pPr>
          </w:p>
        </w:tc>
      </w:tr>
    </w:tbl>
    <w:p w14:paraId="5EA1E3A0" w14:textId="77777777" w:rsidR="003C66EB" w:rsidRDefault="003C66EB">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3C66EB" w14:paraId="5EA1E3AA" w14:textId="77777777">
        <w:tc>
          <w:tcPr>
            <w:tcW w:w="50" w:type="pct"/>
            <w:shd w:val="clear" w:color="auto" w:fill="auto"/>
          </w:tcPr>
          <w:p w14:paraId="5EA1E3A1" w14:textId="77777777" w:rsidR="003C66EB" w:rsidRDefault="003C66EB">
            <w:pPr>
              <w:rPr>
                <w:rFonts w:ascii="宋体"/>
              </w:rPr>
            </w:pPr>
          </w:p>
        </w:tc>
        <w:tc>
          <w:tcPr>
            <w:tcW w:w="2963" w:type="pct"/>
            <w:shd w:val="clear" w:color="auto" w:fill="auto"/>
          </w:tcPr>
          <w:p w14:paraId="5EA1E3A2" w14:textId="77777777" w:rsidR="003C66EB" w:rsidRDefault="003C66EB">
            <w:pPr>
              <w:rPr>
                <w:rFonts w:ascii="宋体"/>
              </w:rPr>
            </w:pPr>
          </w:p>
        </w:tc>
        <w:tc>
          <w:tcPr>
            <w:tcW w:w="5" w:type="pct"/>
            <w:shd w:val="clear" w:color="auto" w:fill="auto"/>
          </w:tcPr>
          <w:p w14:paraId="5EA1E3A3" w14:textId="77777777" w:rsidR="003C66EB" w:rsidRDefault="003C66EB">
            <w:pPr>
              <w:rPr>
                <w:rFonts w:ascii="宋体"/>
              </w:rPr>
            </w:pPr>
          </w:p>
        </w:tc>
        <w:tc>
          <w:tcPr>
            <w:tcW w:w="5" w:type="pct"/>
            <w:shd w:val="clear" w:color="auto" w:fill="auto"/>
          </w:tcPr>
          <w:p w14:paraId="5EA1E3A4" w14:textId="77777777" w:rsidR="003C66EB" w:rsidRDefault="003C66EB">
            <w:pPr>
              <w:rPr>
                <w:rFonts w:ascii="宋体"/>
              </w:rPr>
            </w:pPr>
          </w:p>
        </w:tc>
        <w:tc>
          <w:tcPr>
            <w:tcW w:w="68" w:type="pct"/>
            <w:shd w:val="clear" w:color="auto" w:fill="auto"/>
          </w:tcPr>
          <w:p w14:paraId="5EA1E3A5" w14:textId="77777777" w:rsidR="003C66EB" w:rsidRDefault="003C66EB">
            <w:pPr>
              <w:rPr>
                <w:rFonts w:ascii="宋体"/>
              </w:rPr>
            </w:pPr>
          </w:p>
        </w:tc>
        <w:tc>
          <w:tcPr>
            <w:tcW w:w="5" w:type="pct"/>
            <w:shd w:val="clear" w:color="auto" w:fill="auto"/>
          </w:tcPr>
          <w:p w14:paraId="5EA1E3A6" w14:textId="77777777" w:rsidR="003C66EB" w:rsidRDefault="003C66EB">
            <w:pPr>
              <w:rPr>
                <w:rFonts w:ascii="宋体"/>
              </w:rPr>
            </w:pPr>
          </w:p>
        </w:tc>
        <w:tc>
          <w:tcPr>
            <w:tcW w:w="50" w:type="pct"/>
            <w:shd w:val="clear" w:color="auto" w:fill="auto"/>
          </w:tcPr>
          <w:p w14:paraId="5EA1E3A7" w14:textId="77777777" w:rsidR="003C66EB" w:rsidRDefault="003C66EB">
            <w:pPr>
              <w:rPr>
                <w:rFonts w:ascii="宋体"/>
              </w:rPr>
            </w:pPr>
          </w:p>
        </w:tc>
        <w:tc>
          <w:tcPr>
            <w:tcW w:w="1847" w:type="pct"/>
            <w:shd w:val="clear" w:color="auto" w:fill="auto"/>
          </w:tcPr>
          <w:p w14:paraId="5EA1E3A8" w14:textId="77777777" w:rsidR="003C66EB" w:rsidRDefault="003C66EB">
            <w:pPr>
              <w:rPr>
                <w:rFonts w:ascii="宋体"/>
              </w:rPr>
            </w:pPr>
          </w:p>
        </w:tc>
        <w:tc>
          <w:tcPr>
            <w:tcW w:w="5" w:type="pct"/>
            <w:shd w:val="clear" w:color="auto" w:fill="auto"/>
          </w:tcPr>
          <w:p w14:paraId="5EA1E3A9" w14:textId="77777777" w:rsidR="003C66EB" w:rsidRDefault="003C66EB">
            <w:pPr>
              <w:rPr>
                <w:rFonts w:ascii="宋体"/>
              </w:rPr>
            </w:pPr>
          </w:p>
        </w:tc>
      </w:tr>
      <w:tr w:rsidR="003C66EB" w14:paraId="5EA1E3A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3A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3A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3AD" w14:textId="77777777" w:rsidR="003C66EB" w:rsidRDefault="003C66EB">
            <w:pPr>
              <w:rPr>
                <w:rFonts w:ascii="宋体"/>
              </w:rPr>
            </w:pPr>
          </w:p>
        </w:tc>
      </w:tr>
    </w:tbl>
    <w:p w14:paraId="5EA1E3AF" w14:textId="77777777" w:rsidR="003C66EB" w:rsidRDefault="00D96C4E">
      <w:pPr>
        <w:spacing w:before="60"/>
        <w:jc w:val="both"/>
      </w:pPr>
      <w:r>
        <w:rPr>
          <w:rFonts w:ascii="Arial" w:eastAsia="宋体" w:hAnsi="Arial" w:cs="Arial"/>
          <w:color w:val="000000"/>
          <w:sz w:val="8"/>
          <w:szCs w:val="8"/>
        </w:rPr>
        <w:t xml:space="preserve">(1) </w:t>
      </w:r>
      <w:r>
        <w:rPr>
          <w:rFonts w:ascii="Arial" w:eastAsia="宋体" w:hAnsi="Arial" w:cs="Arial"/>
          <w:color w:val="000000"/>
          <w:sz w:val="12"/>
          <w:szCs w:val="12"/>
        </w:rPr>
        <w:t xml:space="preserve">Industry data is provided for illustrative purposes only. It is not intended to reflect our activity or our clients' activity and is indicative of only </w:t>
      </w:r>
      <w:r>
        <w:rPr>
          <w:rFonts w:ascii="Arial" w:eastAsia="宋体" w:hAnsi="Arial" w:cs="Arial"/>
          <w:color w:val="000000"/>
          <w:sz w:val="12"/>
          <w:szCs w:val="12"/>
        </w:rPr>
        <w:t>segments of the entire industry.</w:t>
      </w:r>
    </w:p>
    <w:p w14:paraId="5EA1E3B0" w14:textId="77777777" w:rsidR="003C66EB" w:rsidRDefault="00D96C4E">
      <w:pPr>
        <w:spacing w:before="60"/>
        <w:jc w:val="both"/>
      </w:pPr>
      <w:r>
        <w:rPr>
          <w:rFonts w:ascii="Arial" w:eastAsia="宋体" w:hAnsi="Arial" w:cs="Arial"/>
          <w:color w:val="000000"/>
          <w:sz w:val="8"/>
          <w:szCs w:val="8"/>
        </w:rPr>
        <w:t xml:space="preserve">(2) </w:t>
      </w:r>
      <w:r>
        <w:rPr>
          <w:rFonts w:ascii="Arial" w:eastAsia="宋体" w:hAnsi="Arial" w:cs="Arial"/>
          <w:color w:val="000000"/>
          <w:sz w:val="12"/>
          <w:szCs w:val="12"/>
        </w:rPr>
        <w:t>Source: Morningstar. The data includes long-term mutual funds, ETFs and money market funds. Mutual fund data represents estimates of net new cash flow, which is new sales minus redemptions combined with net exchanges, w</w:t>
      </w:r>
      <w:r>
        <w:rPr>
          <w:rFonts w:ascii="Arial" w:eastAsia="宋体" w:hAnsi="Arial" w:cs="Arial"/>
          <w:color w:val="000000"/>
          <w:sz w:val="12"/>
          <w:szCs w:val="12"/>
        </w:rPr>
        <w:t>hile ETF data represents net issuance, which is gross issuance less gross redemptions. Data for Fund of Funds, Feeder funds and Obsolete funds were excluded from the series to prevent double counting. Data is from the Morningstar Direct Asset Flows databas</w:t>
      </w:r>
      <w:r>
        <w:rPr>
          <w:rFonts w:ascii="Arial" w:eastAsia="宋体" w:hAnsi="Arial" w:cs="Arial"/>
          <w:color w:val="000000"/>
          <w:sz w:val="12"/>
          <w:szCs w:val="12"/>
        </w:rPr>
        <w:t>e.</w:t>
      </w:r>
    </w:p>
    <w:p w14:paraId="5EA1E3B1" w14:textId="77777777" w:rsidR="003C66EB" w:rsidRDefault="00D96C4E">
      <w:pPr>
        <w:spacing w:before="60"/>
        <w:jc w:val="both"/>
      </w:pPr>
      <w:r>
        <w:rPr>
          <w:rFonts w:ascii="Arial" w:eastAsia="宋体" w:hAnsi="Arial" w:cs="Arial"/>
          <w:color w:val="000000"/>
          <w:sz w:val="8"/>
          <w:szCs w:val="8"/>
        </w:rPr>
        <w:t>(3)</w:t>
      </w:r>
      <w:r>
        <w:rPr>
          <w:rFonts w:ascii="Arial" w:eastAsia="宋体" w:hAnsi="Arial" w:cs="Arial"/>
          <w:color w:val="000000"/>
          <w:sz w:val="12"/>
          <w:szCs w:val="12"/>
        </w:rPr>
        <w:t xml:space="preserve"> The first quarter of 2021 data for North America (US domiciled) includes Morningstar direct actuals for January and February 2021 and Morningstar direct estimates for March 2021. </w:t>
      </w:r>
    </w:p>
    <w:p w14:paraId="5EA1E3B2" w14:textId="77777777" w:rsidR="003C66EB" w:rsidRDefault="00D96C4E">
      <w:pPr>
        <w:spacing w:before="60"/>
        <w:jc w:val="both"/>
      </w:pPr>
      <w:r>
        <w:rPr>
          <w:rFonts w:ascii="Arial" w:eastAsia="宋体" w:hAnsi="Arial" w:cs="Arial"/>
          <w:color w:val="000000"/>
          <w:sz w:val="8"/>
          <w:szCs w:val="8"/>
        </w:rPr>
        <w:t xml:space="preserve">(4) </w:t>
      </w:r>
      <w:r>
        <w:rPr>
          <w:rFonts w:ascii="Arial" w:eastAsia="宋体" w:hAnsi="Arial" w:cs="Arial"/>
          <w:color w:val="000000"/>
          <w:sz w:val="12"/>
          <w:szCs w:val="12"/>
        </w:rPr>
        <w:t xml:space="preserve">The long-term fund flows reported by Morningstar direct in North </w:t>
      </w:r>
      <w:r>
        <w:rPr>
          <w:rFonts w:ascii="Arial" w:eastAsia="宋体" w:hAnsi="Arial" w:cs="Arial"/>
          <w:color w:val="000000"/>
          <w:sz w:val="12"/>
          <w:szCs w:val="12"/>
        </w:rPr>
        <w:t>America are composed of US domiciled market flows mainly in Equities, Allocation and Fixed-Income asset classes. The long-term fund flows reported by Morningstar direct in EMEA are composed of the European market flows mainly in Equities, Allocation and Fi</w:t>
      </w:r>
      <w:r>
        <w:rPr>
          <w:rFonts w:ascii="Arial" w:eastAsia="宋体" w:hAnsi="Arial" w:cs="Arial"/>
          <w:color w:val="000000"/>
          <w:sz w:val="12"/>
          <w:szCs w:val="12"/>
        </w:rPr>
        <w:t>xed-Income asset classes.</w:t>
      </w:r>
    </w:p>
    <w:p w14:paraId="5EA1E3B3" w14:textId="77777777" w:rsidR="003C66EB" w:rsidRDefault="00D96C4E">
      <w:pPr>
        <w:spacing w:before="60"/>
        <w:jc w:val="both"/>
      </w:pPr>
      <w:r>
        <w:rPr>
          <w:rFonts w:ascii="Arial" w:eastAsia="宋体" w:hAnsi="Arial" w:cs="Arial"/>
          <w:color w:val="000000"/>
          <w:sz w:val="8"/>
          <w:szCs w:val="8"/>
        </w:rPr>
        <w:t xml:space="preserve">(5) </w:t>
      </w:r>
      <w:r>
        <w:rPr>
          <w:rFonts w:ascii="Arial" w:eastAsia="宋体" w:hAnsi="Arial" w:cs="Arial"/>
          <w:color w:val="000000"/>
          <w:sz w:val="12"/>
          <w:szCs w:val="12"/>
        </w:rPr>
        <w:t>The first quarter of 2021 data is on a rolling three month basis for December 2020 through February 2021, sourced by Morningstar.</w:t>
      </w:r>
    </w:p>
    <w:p w14:paraId="5EA1E3B4" w14:textId="77777777" w:rsidR="003C66EB" w:rsidRDefault="00D96C4E">
      <w:pPr>
        <w:ind w:firstLine="450"/>
        <w:jc w:val="right"/>
      </w:pPr>
      <w:r>
        <w:rPr>
          <w:rFonts w:ascii="Arial" w:eastAsia="宋体" w:hAnsi="Arial" w:cs="Arial"/>
          <w:color w:val="000000"/>
          <w:sz w:val="18"/>
          <w:szCs w:val="18"/>
        </w:rPr>
        <w:t>State Street Corporation | 11</w:t>
      </w:r>
    </w:p>
    <w:p w14:paraId="5EA1E3B5" w14:textId="77777777" w:rsidR="003C66EB" w:rsidRDefault="003C66EB">
      <w:pPr>
        <w:ind w:firstLine="450"/>
        <w:jc w:val="center"/>
      </w:pPr>
    </w:p>
    <w:p w14:paraId="5EA1E3B6" w14:textId="77777777" w:rsidR="003C66EB" w:rsidRDefault="00D96C4E">
      <w:r>
        <w:pict w14:anchorId="5EA287BB">
          <v:rect id="_x0000_i1035" style="width:415.3pt;height:1.5pt" o:hralign="center" o:hrstd="t" o:hr="t" fillcolor="#a0a0a0" stroked="f"/>
        </w:pict>
      </w:r>
    </w:p>
    <w:p w14:paraId="5EA1E3B7"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3B8" w14:textId="77777777" w:rsidR="003C66EB" w:rsidRDefault="00D96C4E">
      <w:pPr>
        <w:ind w:firstLine="450"/>
        <w:jc w:val="center"/>
      </w:pPr>
      <w:r>
        <w:rPr>
          <w:rFonts w:ascii="Arial" w:eastAsia="宋体" w:hAnsi="Arial" w:cs="Arial"/>
          <w:b/>
          <w:bCs/>
          <w:color w:val="000000"/>
          <w:sz w:val="20"/>
          <w:szCs w:val="20"/>
        </w:rPr>
        <w:t>AND</w:t>
      </w:r>
      <w:r>
        <w:rPr>
          <w:rFonts w:ascii="Arial" w:eastAsia="宋体" w:hAnsi="Arial" w:cs="Arial"/>
          <w:b/>
          <w:bCs/>
          <w:color w:val="000000"/>
          <w:sz w:val="20"/>
          <w:szCs w:val="20"/>
        </w:rPr>
        <w:t xml:space="preserve"> RESULTS OF OPERATIONS</w:t>
      </w:r>
    </w:p>
    <w:p w14:paraId="5EA1E3B9" w14:textId="77777777" w:rsidR="003C66EB" w:rsidRDefault="00D96C4E">
      <w:pPr>
        <w:spacing w:before="60"/>
        <w:jc w:val="both"/>
        <w:textAlignment w:val="top"/>
      </w:pPr>
      <w:r>
        <w:rPr>
          <w:rFonts w:ascii="Arial" w:eastAsia="宋体" w:hAnsi="Arial" w:cs="Arial"/>
          <w:i/>
          <w:iCs/>
          <w:color w:val="000000"/>
          <w:sz w:val="20"/>
          <w:szCs w:val="20"/>
        </w:rPr>
        <w:t>Net New Business</w:t>
      </w:r>
    </w:p>
    <w:p w14:paraId="5EA1E3BA" w14:textId="77777777" w:rsidR="003C66EB" w:rsidRDefault="00D96C4E">
      <w:pPr>
        <w:spacing w:before="60"/>
        <w:ind w:firstLine="450"/>
        <w:jc w:val="both"/>
        <w:textAlignment w:val="top"/>
      </w:pPr>
      <w:r>
        <w:rPr>
          <w:rFonts w:ascii="Arial" w:eastAsia="宋体" w:hAnsi="Arial" w:cs="Arial"/>
          <w:color w:val="000000"/>
          <w:sz w:val="20"/>
          <w:szCs w:val="20"/>
        </w:rPr>
        <w:t>Over the five years ended December 31, 2020, net new business, which includes business both won and lost, has affected our servicing fee revenues by approximately 2% on average with a range of 0% to 3% annually. Gros</w:t>
      </w:r>
      <w:r>
        <w:rPr>
          <w:rFonts w:ascii="Arial" w:eastAsia="宋体" w:hAnsi="Arial" w:cs="Arial"/>
          <w:color w:val="000000"/>
          <w:sz w:val="20"/>
          <w:szCs w:val="20"/>
        </w:rPr>
        <w:t xml:space="preserve">s investment servicing mandates were $343 billion in the first quarter of 2021 and $1.3 trillion per year on average over the past five years. Over the five years ended December 31, 2020, gross annual investment servicing mandates ranged from $750 billion </w:t>
      </w:r>
      <w:r>
        <w:rPr>
          <w:rFonts w:ascii="Arial" w:eastAsia="宋体" w:hAnsi="Arial" w:cs="Arial"/>
          <w:color w:val="000000"/>
          <w:sz w:val="20"/>
          <w:szCs w:val="20"/>
        </w:rPr>
        <w:t xml:space="preserve">to nearly $2.0 trillion. </w:t>
      </w:r>
    </w:p>
    <w:p w14:paraId="5EA1E3BB" w14:textId="77777777" w:rsidR="003C66EB" w:rsidRDefault="00D96C4E">
      <w:pPr>
        <w:spacing w:before="60"/>
        <w:ind w:firstLine="450"/>
        <w:jc w:val="both"/>
        <w:textAlignment w:val="top"/>
      </w:pPr>
      <w:r>
        <w:rPr>
          <w:rFonts w:ascii="Arial" w:eastAsia="宋体" w:hAnsi="Arial" w:cs="Arial"/>
          <w:color w:val="000000"/>
          <w:sz w:val="20"/>
          <w:szCs w:val="20"/>
        </w:rPr>
        <w:t>New business impacting servicing fees can include: custody; product accounting; daily valuation and administration; record-keeping; cash management; and other services. Revenues associated with new servicing mandates may vary base</w:t>
      </w:r>
      <w:r>
        <w:rPr>
          <w:rFonts w:ascii="Arial" w:eastAsia="宋体" w:hAnsi="Arial" w:cs="Arial"/>
          <w:color w:val="000000"/>
          <w:sz w:val="20"/>
          <w:szCs w:val="20"/>
        </w:rPr>
        <w:t>d on the breadth of services provided, the time required to install the assets, and the types of assets installed.</w:t>
      </w:r>
    </w:p>
    <w:p w14:paraId="5EA1E3BC" w14:textId="77777777" w:rsidR="003C66EB" w:rsidRDefault="00D96C4E">
      <w:pPr>
        <w:spacing w:before="60"/>
        <w:ind w:firstLine="450"/>
        <w:jc w:val="both"/>
        <w:textAlignment w:val="top"/>
      </w:pPr>
      <w:r>
        <w:rPr>
          <w:rFonts w:ascii="Arial" w:eastAsia="宋体" w:hAnsi="Arial" w:cs="Arial"/>
          <w:color w:val="000000"/>
          <w:sz w:val="20"/>
          <w:szCs w:val="20"/>
        </w:rPr>
        <w:t xml:space="preserve">Revenues associated with new mandates are not reflected in our servicing fee revenue until the assets have been installed. Our </w:t>
      </w:r>
      <w:r>
        <w:rPr>
          <w:rFonts w:ascii="Arial" w:eastAsia="宋体" w:hAnsi="Arial" w:cs="Arial"/>
          <w:color w:val="000000"/>
          <w:sz w:val="20"/>
          <w:szCs w:val="20"/>
        </w:rPr>
        <w:t>installation timeline, in general, can range from 6 to 36 months, with the average installation timeline being approximately 9 to 12 months over the 2 years ended December 31, 2020. Our more complex installations, including new State Street Alpha mandates,</w:t>
      </w:r>
      <w:r>
        <w:rPr>
          <w:rFonts w:ascii="Arial" w:eastAsia="宋体" w:hAnsi="Arial" w:cs="Arial"/>
          <w:color w:val="000000"/>
          <w:sz w:val="20"/>
          <w:szCs w:val="20"/>
        </w:rPr>
        <w:t xml:space="preserve"> will generally be on the longer end of that range.</w:t>
      </w:r>
    </w:p>
    <w:p w14:paraId="5EA1E3BD" w14:textId="77777777" w:rsidR="003C66EB" w:rsidRDefault="00D96C4E">
      <w:pPr>
        <w:spacing w:before="60"/>
        <w:jc w:val="both"/>
        <w:textAlignment w:val="top"/>
      </w:pPr>
      <w:r>
        <w:rPr>
          <w:rFonts w:ascii="Arial" w:eastAsia="宋体" w:hAnsi="Arial" w:cs="Arial"/>
          <w:i/>
          <w:iCs/>
          <w:color w:val="000000"/>
          <w:sz w:val="20"/>
          <w:szCs w:val="20"/>
        </w:rPr>
        <w:t>Pricing</w:t>
      </w:r>
    </w:p>
    <w:p w14:paraId="5EA1E3BE" w14:textId="77777777" w:rsidR="003C66EB" w:rsidRDefault="00D96C4E">
      <w:pPr>
        <w:spacing w:before="60"/>
        <w:ind w:firstLine="450"/>
        <w:jc w:val="both"/>
        <w:textAlignment w:val="top"/>
      </w:pPr>
      <w:r>
        <w:rPr>
          <w:rFonts w:ascii="Arial" w:eastAsia="宋体" w:hAnsi="Arial" w:cs="Arial"/>
          <w:color w:val="000000"/>
          <w:sz w:val="20"/>
          <w:szCs w:val="20"/>
        </w:rPr>
        <w:t xml:space="preserve">The industry in which we operate has historically faced pricing pressure, and our servicing fee revenues are also affected by such pressures today. Consequently, no assumption should be drawn as </w:t>
      </w:r>
      <w:r>
        <w:rPr>
          <w:rFonts w:ascii="Arial" w:eastAsia="宋体" w:hAnsi="Arial" w:cs="Arial"/>
          <w:color w:val="000000"/>
          <w:sz w:val="20"/>
          <w:szCs w:val="20"/>
        </w:rPr>
        <w:t>to future revenue run rate from announced servicing wins, as the amount of revenue associated with AUC/A can vary materially. On average, over the five years ended December 31, 2020, we estimate that pricing pressure with respect to existing clients has im</w:t>
      </w:r>
      <w:r>
        <w:rPr>
          <w:rFonts w:ascii="Arial" w:eastAsia="宋体" w:hAnsi="Arial" w:cs="Arial"/>
          <w:color w:val="000000"/>
          <w:sz w:val="20"/>
          <w:szCs w:val="20"/>
        </w:rPr>
        <w:t>pacted our servicing fees by approximately (2)% annually, with the impact ranging from (1)% to (4)% in any given year. Pricing concessions can be a part of a contract renegotiation with a client including terms that may benefit us, such as extending the te</w:t>
      </w:r>
      <w:r>
        <w:rPr>
          <w:rFonts w:ascii="Arial" w:eastAsia="宋体" w:hAnsi="Arial" w:cs="Arial"/>
          <w:color w:val="000000"/>
          <w:sz w:val="20"/>
          <w:szCs w:val="20"/>
        </w:rPr>
        <w:t>rms of our relationship with the client, expanding the scope of services that we provide or reducing our dependency on manual processes through the standardization of the services we provide. The timing of the impact of additional revenue generated by anti</w:t>
      </w:r>
      <w:r>
        <w:rPr>
          <w:rFonts w:ascii="Arial" w:eastAsia="宋体" w:hAnsi="Arial" w:cs="Arial"/>
          <w:color w:val="000000"/>
          <w:sz w:val="20"/>
          <w:szCs w:val="20"/>
        </w:rPr>
        <w:t>cipated additional services, and the amount of revenue generated, may differ from the impact of pricing concessions on existing services due to the necessary time required to onboard those new services, the nature of those services and client investment pr</w:t>
      </w:r>
      <w:r>
        <w:rPr>
          <w:rFonts w:ascii="Arial" w:eastAsia="宋体" w:hAnsi="Arial" w:cs="Arial"/>
          <w:color w:val="000000"/>
          <w:sz w:val="20"/>
          <w:szCs w:val="20"/>
        </w:rPr>
        <w:t>actices. These same market pressures also impact the fees we negotiate when we win business from new clients.</w:t>
      </w:r>
    </w:p>
    <w:p w14:paraId="5EA1E3BF" w14:textId="77777777" w:rsidR="003C66EB" w:rsidRDefault="00D96C4E">
      <w:pPr>
        <w:spacing w:before="60"/>
        <w:ind w:firstLine="450"/>
        <w:jc w:val="both"/>
        <w:textAlignment w:val="top"/>
      </w:pPr>
      <w:r>
        <w:rPr>
          <w:rFonts w:ascii="Arial" w:eastAsia="宋体" w:hAnsi="Arial" w:cs="Arial"/>
          <w:color w:val="000000"/>
          <w:sz w:val="20"/>
          <w:szCs w:val="20"/>
        </w:rPr>
        <w:t>In order to offset the typical client attrition and normal pricing headwinds, we estimate that we need at least $1.5 trillion of new AUC/A per yea</w:t>
      </w:r>
      <w:r>
        <w:rPr>
          <w:rFonts w:ascii="Arial" w:eastAsia="宋体" w:hAnsi="Arial" w:cs="Arial"/>
          <w:color w:val="000000"/>
          <w:sz w:val="20"/>
          <w:szCs w:val="20"/>
        </w:rPr>
        <w:t>r; although, notwithstanding increases in AUC/A, servicing fees remain subject to several factors, including changes in market valuations, client activity and asset flows, the manner in which we price our services, the nature of the assets being serviced a</w:t>
      </w:r>
      <w:r>
        <w:rPr>
          <w:rFonts w:ascii="Arial" w:eastAsia="宋体" w:hAnsi="Arial" w:cs="Arial"/>
          <w:color w:val="000000"/>
          <w:sz w:val="20"/>
          <w:szCs w:val="20"/>
        </w:rPr>
        <w:t>nd the type of services and the other factors described in Item 1A, "Risk Factors", in our 2020 Form 10-K.</w:t>
      </w:r>
    </w:p>
    <w:p w14:paraId="5EA1E3C0" w14:textId="77777777" w:rsidR="003C66EB" w:rsidRDefault="00D96C4E">
      <w:pPr>
        <w:spacing w:before="60"/>
        <w:ind w:firstLine="450"/>
        <w:jc w:val="both"/>
        <w:textAlignment w:val="top"/>
      </w:pPr>
      <w:r>
        <w:rPr>
          <w:rFonts w:ascii="Arial" w:eastAsia="宋体" w:hAnsi="Arial" w:cs="Arial"/>
          <w:color w:val="000000"/>
          <w:sz w:val="20"/>
          <w:szCs w:val="20"/>
        </w:rPr>
        <w:t>Historically, and based on an indicative sample of revenue, we estimate that approximately 55%, on average, of our servicing fee revenues have been v</w:t>
      </w:r>
      <w:r>
        <w:rPr>
          <w:rFonts w:ascii="Arial" w:eastAsia="宋体" w:hAnsi="Arial" w:cs="Arial"/>
          <w:color w:val="000000"/>
          <w:sz w:val="20"/>
          <w:szCs w:val="20"/>
        </w:rPr>
        <w:t>ariable due to changes in asset valuations including changes in daily average valuations of AUC/A; another 15%, on average, of our servicing fees are impacted by the volume of activity in the funds we serve; and the remaining approximately 30% of our servi</w:t>
      </w:r>
      <w:r>
        <w:rPr>
          <w:rFonts w:ascii="Arial" w:eastAsia="宋体" w:hAnsi="Arial" w:cs="Arial"/>
          <w:color w:val="000000"/>
          <w:sz w:val="20"/>
          <w:szCs w:val="20"/>
        </w:rPr>
        <w:t xml:space="preserve">cing fees tend not to be variable in nature nor impacted by market fluctuations or values. </w:t>
      </w:r>
    </w:p>
    <w:p w14:paraId="5EA1E3C1" w14:textId="77777777" w:rsidR="003C66EB" w:rsidRDefault="00D96C4E">
      <w:pPr>
        <w:spacing w:before="60"/>
        <w:ind w:firstLine="450"/>
        <w:jc w:val="both"/>
        <w:textAlignment w:val="top"/>
      </w:pPr>
      <w:r>
        <w:rPr>
          <w:rFonts w:ascii="Arial" w:eastAsia="宋体" w:hAnsi="Arial" w:cs="Arial"/>
          <w:color w:val="000000"/>
          <w:sz w:val="20"/>
          <w:szCs w:val="20"/>
        </w:rPr>
        <w:t>The impact of the above, client activity and asset flows, net new business and pricing, noted drivers of our servicing fee revenue will vary depending on the mix of</w:t>
      </w:r>
      <w:r>
        <w:rPr>
          <w:rFonts w:ascii="Arial" w:eastAsia="宋体" w:hAnsi="Arial" w:cs="Arial"/>
          <w:color w:val="000000"/>
          <w:sz w:val="20"/>
          <w:szCs w:val="20"/>
        </w:rPr>
        <w:t xml:space="preserve"> products and services we provide to our clients. The full impact of changes in market valuations and the volume of activity in the funds may not be fully reflected in our servicing fee revenues in the periods in which the changes occur, particularly in pe</w:t>
      </w:r>
      <w:r>
        <w:rPr>
          <w:rFonts w:ascii="Arial" w:eastAsia="宋体" w:hAnsi="Arial" w:cs="Arial"/>
          <w:color w:val="000000"/>
          <w:sz w:val="20"/>
          <w:szCs w:val="20"/>
        </w:rPr>
        <w:t>riods of higher volatility.</w:t>
      </w:r>
    </w:p>
    <w:p w14:paraId="5EA1E3C2" w14:textId="77777777" w:rsidR="003C66EB" w:rsidRDefault="00D96C4E">
      <w:pPr>
        <w:spacing w:before="60"/>
        <w:jc w:val="both"/>
        <w:textAlignment w:val="top"/>
      </w:pPr>
      <w:r>
        <w:rPr>
          <w:rFonts w:ascii="Arial" w:eastAsia="宋体" w:hAnsi="Arial" w:cs="Arial"/>
          <w:b/>
          <w:bCs/>
          <w:i/>
          <w:iCs/>
          <w:color w:val="000000"/>
          <w:sz w:val="20"/>
          <w:szCs w:val="20"/>
        </w:rPr>
        <w:t>Management Fee Revenue</w:t>
      </w:r>
    </w:p>
    <w:p w14:paraId="5EA1E3C3" w14:textId="77777777" w:rsidR="003C66EB" w:rsidRDefault="00D96C4E">
      <w:pPr>
        <w:spacing w:before="20"/>
        <w:ind w:firstLine="450"/>
        <w:jc w:val="both"/>
        <w:textAlignment w:val="top"/>
      </w:pPr>
      <w:r>
        <w:rPr>
          <w:rFonts w:ascii="Arial" w:eastAsia="宋体" w:hAnsi="Arial" w:cs="Arial"/>
          <w:color w:val="000000"/>
          <w:sz w:val="20"/>
          <w:szCs w:val="20"/>
        </w:rPr>
        <w:t>Management fees generally are affected by our level of AUM, which we report based on month-end valuations. Management fees for certain components of managed assets, such as ETFs, mutual funds and UCITS, ar</w:t>
      </w:r>
      <w:r>
        <w:rPr>
          <w:rFonts w:ascii="Arial" w:eastAsia="宋体" w:hAnsi="Arial" w:cs="Arial"/>
          <w:color w:val="000000"/>
          <w:sz w:val="20"/>
          <w:szCs w:val="20"/>
        </w:rPr>
        <w:t>e affected by daily average valuations of AUM. Management fee revenue is more sensitive to market valuations than servicing fee revenue, as a higher proportion of the underlying services provided, and the associated management fees earned, are dependent on</w:t>
      </w:r>
      <w:r>
        <w:rPr>
          <w:rFonts w:ascii="Arial" w:eastAsia="宋体" w:hAnsi="Arial" w:cs="Arial"/>
          <w:color w:val="000000"/>
          <w:sz w:val="20"/>
          <w:szCs w:val="20"/>
        </w:rPr>
        <w:t xml:space="preserve"> equity and fixed-income security valuations. Additional factors, such as the relative mix of assets managed, may have a significant effect on our management fee revenue. While certain management fees are directly determined by the values of AUM and the in</w:t>
      </w:r>
      <w:r>
        <w:rPr>
          <w:rFonts w:ascii="Arial" w:eastAsia="宋体" w:hAnsi="Arial" w:cs="Arial"/>
          <w:color w:val="000000"/>
          <w:sz w:val="20"/>
          <w:szCs w:val="20"/>
        </w:rPr>
        <w:t>vestment strategies employed, management fees may reflect other factors, including performance fee arrangements, as well as our relationship pricing for clients. In addition, in a prolonged low-interest rate environment, such as we are currently experienci</w:t>
      </w:r>
      <w:r>
        <w:rPr>
          <w:rFonts w:ascii="Arial" w:eastAsia="宋体" w:hAnsi="Arial" w:cs="Arial"/>
          <w:color w:val="000000"/>
          <w:sz w:val="20"/>
          <w:szCs w:val="20"/>
        </w:rPr>
        <w:t>ng, we have waived and may in the future waive certain fees for our clients for money market products.</w:t>
      </w:r>
    </w:p>
    <w:p w14:paraId="5EA1E3C4" w14:textId="77777777" w:rsidR="003C66EB" w:rsidRDefault="00D96C4E">
      <w:pPr>
        <w:spacing w:before="20"/>
        <w:ind w:firstLine="450"/>
        <w:jc w:val="both"/>
        <w:textAlignment w:val="top"/>
      </w:pPr>
      <w:r>
        <w:rPr>
          <w:rFonts w:ascii="Arial" w:eastAsia="宋体" w:hAnsi="Arial" w:cs="Arial"/>
          <w:color w:val="000000"/>
          <w:sz w:val="20"/>
          <w:szCs w:val="20"/>
        </w:rPr>
        <w:t>The impact of State Street Global Advisors gross money market fund fee waivers on total management fee revenue was approximately $15 million in the first</w:t>
      </w:r>
      <w:r>
        <w:rPr>
          <w:rFonts w:ascii="Arial" w:eastAsia="宋体" w:hAnsi="Arial" w:cs="Arial"/>
          <w:color w:val="000000"/>
          <w:sz w:val="20"/>
          <w:szCs w:val="20"/>
        </w:rPr>
        <w:t xml:space="preserve"> quarter of 2021; however, we anticipate that gross money market fee waivers will </w:t>
      </w:r>
    </w:p>
    <w:p w14:paraId="5EA1E3C5" w14:textId="77777777" w:rsidR="003C66EB" w:rsidRDefault="00D96C4E">
      <w:pPr>
        <w:ind w:firstLine="450"/>
        <w:jc w:val="right"/>
      </w:pPr>
      <w:r>
        <w:rPr>
          <w:rFonts w:ascii="Arial" w:eastAsia="宋体" w:hAnsi="Arial" w:cs="Arial"/>
          <w:color w:val="000000"/>
          <w:sz w:val="18"/>
          <w:szCs w:val="18"/>
        </w:rPr>
        <w:t>State Street Corporation | 12</w:t>
      </w:r>
    </w:p>
    <w:p w14:paraId="5EA1E3C6" w14:textId="77777777" w:rsidR="003C66EB" w:rsidRDefault="003C66EB">
      <w:pPr>
        <w:ind w:firstLine="450"/>
        <w:jc w:val="center"/>
      </w:pPr>
    </w:p>
    <w:p w14:paraId="5EA1E3C7" w14:textId="77777777" w:rsidR="003C66EB" w:rsidRDefault="00D96C4E">
      <w:r>
        <w:pict w14:anchorId="5EA287BC">
          <v:rect id="_x0000_i1036" style="width:415.3pt;height:1.5pt" o:hralign="center" o:hrstd="t" o:hr="t" fillcolor="#a0a0a0" stroked="f"/>
        </w:pict>
      </w:r>
    </w:p>
    <w:p w14:paraId="5EA1E3C8"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3C9" w14:textId="77777777" w:rsidR="003C66EB" w:rsidRDefault="00D96C4E">
      <w:pPr>
        <w:ind w:firstLine="450"/>
        <w:jc w:val="center"/>
      </w:pPr>
      <w:r>
        <w:rPr>
          <w:rFonts w:ascii="Arial" w:eastAsia="宋体" w:hAnsi="Arial" w:cs="Arial"/>
          <w:b/>
          <w:bCs/>
          <w:color w:val="000000"/>
          <w:sz w:val="20"/>
          <w:szCs w:val="20"/>
        </w:rPr>
        <w:t>AND RESULTS OF OPERATIONS</w:t>
      </w:r>
    </w:p>
    <w:p w14:paraId="5EA1E3CA" w14:textId="77777777" w:rsidR="003C66EB" w:rsidRDefault="00D96C4E">
      <w:pPr>
        <w:spacing w:before="20"/>
        <w:jc w:val="both"/>
        <w:textAlignment w:val="top"/>
      </w:pPr>
      <w:r>
        <w:rPr>
          <w:rFonts w:ascii="Arial" w:eastAsia="宋体" w:hAnsi="Arial" w:cs="Arial"/>
          <w:color w:val="000000"/>
          <w:sz w:val="20"/>
          <w:szCs w:val="20"/>
        </w:rPr>
        <w:t xml:space="preserve">be higher in subsequent quarters of 2021. As of March </w:t>
      </w:r>
      <w:r>
        <w:rPr>
          <w:rFonts w:ascii="Arial" w:eastAsia="宋体" w:hAnsi="Arial" w:cs="Arial"/>
          <w:color w:val="000000"/>
          <w:sz w:val="20"/>
          <w:szCs w:val="20"/>
        </w:rPr>
        <w:t>31, 2021, and assuming short-term spot interest rates and the amount of money market fund assets remain constant, we estimate that the impact of gross money market fee waivers on our management fees would be approximately $35 million per quarter. We believ</w:t>
      </w:r>
      <w:r>
        <w:rPr>
          <w:rFonts w:ascii="Arial" w:eastAsia="宋体" w:hAnsi="Arial" w:cs="Arial"/>
          <w:color w:val="000000"/>
          <w:sz w:val="20"/>
          <w:szCs w:val="20"/>
        </w:rPr>
        <w:t>e that a further decline in short-term interest rates, primarily one- and three-month interest rates, to zero would not materially impact this estimate. Alternatively, if short-term interest rates were to rise by approximately 10bps, the impact of gross mo</w:t>
      </w:r>
      <w:r>
        <w:rPr>
          <w:rFonts w:ascii="Arial" w:eastAsia="宋体" w:hAnsi="Arial" w:cs="Arial"/>
          <w:color w:val="000000"/>
          <w:sz w:val="20"/>
          <w:szCs w:val="20"/>
        </w:rPr>
        <w:t xml:space="preserve">ney market fee waivers on our management fees would be largely mitigated in the subsequent quarterly periods. </w:t>
      </w:r>
    </w:p>
    <w:p w14:paraId="5EA1E3CB" w14:textId="77777777" w:rsidR="003C66EB" w:rsidRDefault="00D96C4E">
      <w:pPr>
        <w:spacing w:before="40"/>
        <w:ind w:firstLine="450"/>
        <w:jc w:val="both"/>
        <w:textAlignment w:val="top"/>
      </w:pPr>
      <w:r>
        <w:rPr>
          <w:rFonts w:ascii="Arial" w:eastAsia="宋体" w:hAnsi="Arial" w:cs="Arial"/>
          <w:color w:val="000000"/>
          <w:sz w:val="20"/>
          <w:szCs w:val="20"/>
        </w:rPr>
        <w:t>Asset-based management fees for passively managed products, to which our AUM is currently primarily weighted, are generally charged at a lower fe</w:t>
      </w:r>
      <w:r>
        <w:rPr>
          <w:rFonts w:ascii="Arial" w:eastAsia="宋体" w:hAnsi="Arial" w:cs="Arial"/>
          <w:color w:val="000000"/>
          <w:sz w:val="20"/>
          <w:szCs w:val="20"/>
        </w:rPr>
        <w:t xml:space="preserve">e on AUM than for actively managed products. Actively managed products may also include performance fee arrangements which are recorded when the fee is earned, based on predetermined benchmarks associated with the applicable account's performance. </w:t>
      </w:r>
    </w:p>
    <w:p w14:paraId="5EA1E3CC" w14:textId="77777777" w:rsidR="003C66EB" w:rsidRDefault="00D96C4E">
      <w:pPr>
        <w:spacing w:before="40"/>
        <w:ind w:firstLine="450"/>
        <w:jc w:val="both"/>
        <w:textAlignment w:val="top"/>
      </w:pPr>
      <w:r>
        <w:rPr>
          <w:rFonts w:ascii="Arial" w:eastAsia="宋体" w:hAnsi="Arial" w:cs="Arial"/>
          <w:color w:val="000000"/>
          <w:sz w:val="20"/>
          <w:szCs w:val="20"/>
        </w:rPr>
        <w:t>In ligh</w:t>
      </w:r>
      <w:r>
        <w:rPr>
          <w:rFonts w:ascii="Arial" w:eastAsia="宋体" w:hAnsi="Arial" w:cs="Arial"/>
          <w:color w:val="000000"/>
          <w:sz w:val="20"/>
          <w:szCs w:val="20"/>
        </w:rPr>
        <w:t>t of the above, we estimate, using relevant information as of March 31, 2021 and assuming that all other factors remain constant, including the impact of business won and lost and client flows, that:</w:t>
      </w:r>
    </w:p>
    <w:p w14:paraId="5EA1E3CD" w14:textId="77777777" w:rsidR="003C66EB" w:rsidRDefault="00D96C4E">
      <w:pPr>
        <w:spacing w:before="40"/>
        <w:ind w:hanging="360"/>
        <w:jc w:val="both"/>
        <w:textAlignment w:val="top"/>
      </w:pPr>
      <w:r>
        <w:rPr>
          <w:rFonts w:ascii="Arial" w:eastAsia="宋体" w:hAnsi="Arial" w:cs="Arial"/>
          <w:color w:val="000000"/>
          <w:sz w:val="20"/>
          <w:szCs w:val="20"/>
        </w:rPr>
        <w:t>•A 10% increase or decrease in worldwide equity valuatio</w:t>
      </w:r>
      <w:r>
        <w:rPr>
          <w:rFonts w:ascii="Arial" w:eastAsia="宋体" w:hAnsi="Arial" w:cs="Arial"/>
          <w:color w:val="000000"/>
          <w:sz w:val="20"/>
          <w:szCs w:val="20"/>
        </w:rPr>
        <w:t>ns, on a weighted average basis, over the relevant periods for which our management fees are calculated, would result in a corresponding change in our total management fee revenues, on average and over multiple quarters, of approximately 5%; and</w:t>
      </w:r>
    </w:p>
    <w:p w14:paraId="5EA1E3CE" w14:textId="77777777" w:rsidR="003C66EB" w:rsidRDefault="00D96C4E">
      <w:pPr>
        <w:spacing w:before="40"/>
        <w:ind w:hanging="360"/>
        <w:jc w:val="both"/>
        <w:textAlignment w:val="top"/>
      </w:pPr>
      <w:r>
        <w:rPr>
          <w:rFonts w:ascii="Arial" w:eastAsia="宋体" w:hAnsi="Arial" w:cs="Arial"/>
          <w:color w:val="000000"/>
          <w:sz w:val="20"/>
          <w:szCs w:val="20"/>
        </w:rPr>
        <w:t>•A 10% inc</w:t>
      </w:r>
      <w:r>
        <w:rPr>
          <w:rFonts w:ascii="Arial" w:eastAsia="宋体" w:hAnsi="Arial" w:cs="Arial"/>
          <w:color w:val="000000"/>
          <w:sz w:val="20"/>
          <w:szCs w:val="20"/>
        </w:rPr>
        <w:t>rease or decrease in worldwide fixed-income valuations, on a weighted average basis, over the relevant periods for which our management fees are calculated, would result in a corresponding change in our total management fee revenues, on average and over mu</w:t>
      </w:r>
      <w:r>
        <w:rPr>
          <w:rFonts w:ascii="Arial" w:eastAsia="宋体" w:hAnsi="Arial" w:cs="Arial"/>
          <w:color w:val="000000"/>
          <w:sz w:val="20"/>
          <w:szCs w:val="20"/>
        </w:rPr>
        <w:t>ltiple quarters, of approximately 4%.</w:t>
      </w:r>
    </w:p>
    <w:p w14:paraId="5EA1E3CF" w14:textId="77777777" w:rsidR="003C66EB" w:rsidRDefault="00D96C4E">
      <w:pPr>
        <w:spacing w:before="40"/>
        <w:ind w:firstLine="450"/>
        <w:jc w:val="both"/>
        <w:textAlignment w:val="top"/>
      </w:pPr>
      <w:r>
        <w:rPr>
          <w:rFonts w:ascii="Arial" w:eastAsia="宋体" w:hAnsi="Arial" w:cs="Arial"/>
          <w:color w:val="000000"/>
          <w:sz w:val="20"/>
          <w:szCs w:val="20"/>
        </w:rPr>
        <w:t>Daily averages, month-end averages and quarter-end indices demonstrate worldwide changes in equity and debt markets that affect our management fee revenue. Quarter-end indices affect the values of AUM as of those dates</w:t>
      </w:r>
      <w:r>
        <w:rPr>
          <w:rFonts w:ascii="Arial" w:eastAsia="宋体" w:hAnsi="Arial" w:cs="Arial"/>
          <w:color w:val="000000"/>
          <w:sz w:val="20"/>
          <w:szCs w:val="20"/>
        </w:rPr>
        <w:t>. See Table 3: Daily Averages, Month-End Averages and Quarter-End Equity Indices for selected indices.</w:t>
      </w:r>
    </w:p>
    <w:p w14:paraId="5EA1E3D0" w14:textId="77777777" w:rsidR="003C66EB" w:rsidRDefault="00D96C4E">
      <w:pPr>
        <w:spacing w:before="40"/>
        <w:ind w:firstLine="450"/>
        <w:jc w:val="both"/>
        <w:textAlignment w:val="top"/>
      </w:pPr>
      <w:r>
        <w:rPr>
          <w:rFonts w:ascii="Arial" w:eastAsia="宋体" w:hAnsi="Arial" w:cs="Arial"/>
          <w:color w:val="000000"/>
          <w:sz w:val="20"/>
          <w:szCs w:val="20"/>
        </w:rPr>
        <w:t>Additional information about fee revenue is provided under "Line of Business Information" included in this Management's Discussion and Analysis.</w:t>
      </w:r>
    </w:p>
    <w:p w14:paraId="5EA1E3D1" w14:textId="77777777" w:rsidR="003C66EB" w:rsidRDefault="00D96C4E">
      <w:pPr>
        <w:spacing w:before="60"/>
        <w:jc w:val="both"/>
        <w:textAlignment w:val="top"/>
      </w:pPr>
      <w:r>
        <w:rPr>
          <w:rFonts w:ascii="Arial" w:eastAsia="宋体" w:hAnsi="Arial" w:cs="Arial"/>
          <w:b/>
          <w:bCs/>
          <w:i/>
          <w:iCs/>
          <w:color w:val="000000"/>
          <w:sz w:val="20"/>
          <w:szCs w:val="20"/>
        </w:rPr>
        <w:t xml:space="preserve">Net </w:t>
      </w:r>
      <w:r>
        <w:rPr>
          <w:rFonts w:ascii="Arial" w:eastAsia="宋体" w:hAnsi="Arial" w:cs="Arial"/>
          <w:b/>
          <w:bCs/>
          <w:i/>
          <w:iCs/>
          <w:color w:val="000000"/>
          <w:sz w:val="20"/>
          <w:szCs w:val="20"/>
        </w:rPr>
        <w:t>Interest Income</w:t>
      </w:r>
    </w:p>
    <w:p w14:paraId="5EA1E3D2" w14:textId="77777777" w:rsidR="003C66EB" w:rsidRDefault="00D96C4E">
      <w:pPr>
        <w:spacing w:before="60"/>
        <w:ind w:firstLine="450"/>
        <w:jc w:val="both"/>
        <w:textAlignment w:val="top"/>
      </w:pPr>
      <w:r>
        <w:rPr>
          <w:rFonts w:ascii="Arial" w:eastAsia="宋体" w:hAnsi="Arial" w:cs="Arial"/>
          <w:color w:val="000000"/>
          <w:sz w:val="20"/>
          <w:szCs w:val="20"/>
        </w:rPr>
        <w:t xml:space="preserve">See Table 2: Total Revenue, for the breakout of </w:t>
      </w:r>
    </w:p>
    <w:p w14:paraId="5EA1E3D3" w14:textId="77777777" w:rsidR="003C66EB" w:rsidRDefault="00D96C4E">
      <w:pPr>
        <w:spacing w:before="60"/>
        <w:jc w:val="both"/>
        <w:textAlignment w:val="top"/>
      </w:pPr>
      <w:r>
        <w:rPr>
          <w:rFonts w:ascii="Arial" w:eastAsia="宋体" w:hAnsi="Arial" w:cs="Arial"/>
          <w:color w:val="000000"/>
          <w:sz w:val="20"/>
          <w:szCs w:val="20"/>
        </w:rPr>
        <w:t xml:space="preserve">interest income and interest expense for the first quarters of 2021 and 2020. </w:t>
      </w:r>
    </w:p>
    <w:p w14:paraId="5EA1E3D4" w14:textId="77777777" w:rsidR="003C66EB" w:rsidRDefault="00D96C4E">
      <w:pPr>
        <w:spacing w:before="60"/>
        <w:ind w:firstLine="450"/>
        <w:jc w:val="both"/>
        <w:textAlignment w:val="top"/>
      </w:pPr>
      <w:r>
        <w:rPr>
          <w:rFonts w:ascii="Arial" w:eastAsia="宋体" w:hAnsi="Arial" w:cs="Arial"/>
          <w:color w:val="000000"/>
          <w:sz w:val="20"/>
          <w:szCs w:val="20"/>
        </w:rPr>
        <w:t>NII is defined as interest income earned on interest-earning assets less interest expense incurred on interest-b</w:t>
      </w:r>
      <w:r>
        <w:rPr>
          <w:rFonts w:ascii="Arial" w:eastAsia="宋体" w:hAnsi="Arial" w:cs="Arial"/>
          <w:color w:val="000000"/>
          <w:sz w:val="20"/>
          <w:szCs w:val="20"/>
        </w:rPr>
        <w:t>earing liabilities. Interest-earning assets, which principally consist of investment securities, interest-bearing deposits with banks, loans, resale agreements and other liquid assets, are financed primarily by client deposits, short-term borrowings and lo</w:t>
      </w:r>
      <w:r>
        <w:rPr>
          <w:rFonts w:ascii="Arial" w:eastAsia="宋体" w:hAnsi="Arial" w:cs="Arial"/>
          <w:color w:val="000000"/>
          <w:sz w:val="20"/>
          <w:szCs w:val="20"/>
        </w:rPr>
        <w:t>ng-term debt.</w:t>
      </w:r>
    </w:p>
    <w:p w14:paraId="5EA1E3D5" w14:textId="77777777" w:rsidR="003C66EB" w:rsidRDefault="00D96C4E">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FTE NII by average interest-earning assets. Revenue that is exempt from income taxes, mainly ear</w:t>
      </w:r>
      <w:r>
        <w:rPr>
          <w:rFonts w:ascii="Arial" w:eastAsia="宋体" w:hAnsi="Arial" w:cs="Arial"/>
          <w:color w:val="000000"/>
          <w:sz w:val="20"/>
          <w:szCs w:val="20"/>
        </w:rPr>
        <w:t>ned from certain investment securities (state and political subdivisions), is adjusted to a FTE basis using the U.S. federal and state statutory income tax rates.</w:t>
      </w:r>
    </w:p>
    <w:p w14:paraId="5EA1E3D6" w14:textId="77777777" w:rsidR="003C66EB" w:rsidRDefault="00D96C4E">
      <w:pPr>
        <w:spacing w:before="60"/>
        <w:ind w:firstLine="450"/>
        <w:jc w:val="both"/>
        <w:textAlignment w:val="top"/>
      </w:pPr>
      <w:r>
        <w:rPr>
          <w:rFonts w:ascii="Arial" w:eastAsia="宋体" w:hAnsi="Arial" w:cs="Arial"/>
          <w:color w:val="000000"/>
          <w:sz w:val="20"/>
          <w:szCs w:val="20"/>
        </w:rPr>
        <w:t>NII on a FTE basis decreased in the first quarter of 2021 compared to the same period in 2020</w:t>
      </w:r>
      <w:r>
        <w:rPr>
          <w:rFonts w:ascii="Arial" w:eastAsia="宋体" w:hAnsi="Arial" w:cs="Arial"/>
          <w:color w:val="000000"/>
          <w:sz w:val="20"/>
          <w:szCs w:val="20"/>
        </w:rPr>
        <w:t xml:space="preserve">, primarily due to lower global interest rates and the absence of episodic market-related benefits in the first quarter of 2020, partially offset by growth in deposits and the investment portfolio. </w:t>
      </w:r>
    </w:p>
    <w:p w14:paraId="5EA1E3D7" w14:textId="77777777" w:rsidR="003C66EB" w:rsidRDefault="00D96C4E">
      <w:pPr>
        <w:spacing w:before="60"/>
        <w:ind w:firstLine="450"/>
        <w:jc w:val="both"/>
        <w:textAlignment w:val="top"/>
      </w:pPr>
      <w:r>
        <w:rPr>
          <w:rFonts w:ascii="Arial" w:eastAsia="宋体" w:hAnsi="Arial" w:cs="Arial"/>
          <w:color w:val="000000"/>
          <w:sz w:val="20"/>
          <w:szCs w:val="20"/>
        </w:rPr>
        <w:t xml:space="preserve">Investment securities net premium amortization, which is included in interest income, was $169 million in the first quarter of 2021 compared to $108 million in the same period in 2020. The increase is primarily driven by higher MBS premium amortization as </w:t>
      </w:r>
      <w:r>
        <w:rPr>
          <w:rFonts w:ascii="Arial" w:eastAsia="宋体" w:hAnsi="Arial" w:cs="Arial"/>
          <w:color w:val="000000"/>
          <w:sz w:val="20"/>
          <w:szCs w:val="20"/>
        </w:rPr>
        <w:t xml:space="preserve">a result of lower interest rates and faster prepayments. </w:t>
      </w:r>
    </w:p>
    <w:p w14:paraId="5EA1E3D8" w14:textId="77777777" w:rsidR="003C66EB" w:rsidRDefault="00D96C4E">
      <w:pPr>
        <w:spacing w:before="40"/>
        <w:ind w:firstLine="450"/>
        <w:jc w:val="both"/>
        <w:textAlignment w:val="top"/>
      </w:pPr>
      <w:r>
        <w:rPr>
          <w:rFonts w:ascii="Arial" w:eastAsia="宋体" w:hAnsi="Arial" w:cs="Arial"/>
          <w:color w:val="000000"/>
          <w:sz w:val="20"/>
          <w:szCs w:val="20"/>
        </w:rPr>
        <w:t>Interest income related to debt securities is recognized in our consolidated statement of income using the effective interest method, or on a basis approximating a level rate of return over the cont</w:t>
      </w:r>
      <w:r>
        <w:rPr>
          <w:rFonts w:ascii="Arial" w:eastAsia="宋体" w:hAnsi="Arial" w:cs="Arial"/>
          <w:color w:val="000000"/>
          <w:sz w:val="20"/>
          <w:szCs w:val="20"/>
        </w:rPr>
        <w:t>ractual or estimated life of the security. The rate of return considers any non-refundable fees or costs, as well as purchase premiums or discounts, resulting in amortization or accretion, accordingly. The amortization of premiums and accretion of discount</w:t>
      </w:r>
      <w:r>
        <w:rPr>
          <w:rFonts w:ascii="Arial" w:eastAsia="宋体" w:hAnsi="Arial" w:cs="Arial"/>
          <w:color w:val="000000"/>
          <w:sz w:val="20"/>
          <w:szCs w:val="20"/>
        </w:rPr>
        <w:t>s are adjusted for prepayments when they occur, which primarily impact mortgage-backed securities.</w:t>
      </w:r>
    </w:p>
    <w:p w14:paraId="5EA1E3D9" w14:textId="77777777" w:rsidR="003C66EB" w:rsidRDefault="00D96C4E">
      <w:pPr>
        <w:spacing w:before="40"/>
        <w:ind w:firstLine="450"/>
        <w:jc w:val="both"/>
        <w:textAlignment w:val="top"/>
      </w:pPr>
      <w:r>
        <w:rPr>
          <w:rFonts w:ascii="Arial" w:eastAsia="宋体" w:hAnsi="Arial" w:cs="Arial"/>
          <w:color w:val="000000"/>
          <w:sz w:val="20"/>
          <w:szCs w:val="20"/>
        </w:rPr>
        <w:t>The following table presents the investment securities amortizable purchase premium net of discount accretion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086"/>
        <w:gridCol w:w="38"/>
        <w:gridCol w:w="93"/>
        <w:gridCol w:w="660"/>
        <w:gridCol w:w="36"/>
        <w:gridCol w:w="36"/>
        <w:gridCol w:w="36"/>
        <w:gridCol w:w="36"/>
        <w:gridCol w:w="93"/>
        <w:gridCol w:w="631"/>
        <w:gridCol w:w="36"/>
        <w:gridCol w:w="36"/>
        <w:gridCol w:w="36"/>
        <w:gridCol w:w="36"/>
        <w:gridCol w:w="93"/>
        <w:gridCol w:w="677"/>
        <w:gridCol w:w="36"/>
        <w:gridCol w:w="36"/>
        <w:gridCol w:w="36"/>
        <w:gridCol w:w="36"/>
        <w:gridCol w:w="93"/>
        <w:gridCol w:w="607"/>
        <w:gridCol w:w="36"/>
        <w:gridCol w:w="36"/>
        <w:gridCol w:w="36"/>
        <w:gridCol w:w="36"/>
        <w:gridCol w:w="93"/>
        <w:gridCol w:w="633"/>
        <w:gridCol w:w="36"/>
        <w:gridCol w:w="36"/>
        <w:gridCol w:w="36"/>
        <w:gridCol w:w="36"/>
        <w:gridCol w:w="93"/>
        <w:gridCol w:w="67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E408" w14:textId="77777777">
        <w:tc>
          <w:tcPr>
            <w:tcW w:w="50" w:type="pct"/>
            <w:shd w:val="clear" w:color="auto" w:fill="auto"/>
          </w:tcPr>
          <w:p w14:paraId="5EA1E3DA" w14:textId="77777777" w:rsidR="003C66EB" w:rsidRDefault="003C66EB">
            <w:pPr>
              <w:rPr>
                <w:rFonts w:ascii="宋体"/>
              </w:rPr>
            </w:pPr>
          </w:p>
        </w:tc>
        <w:tc>
          <w:tcPr>
            <w:tcW w:w="1454" w:type="pct"/>
            <w:shd w:val="clear" w:color="auto" w:fill="auto"/>
          </w:tcPr>
          <w:p w14:paraId="5EA1E3DB" w14:textId="77777777" w:rsidR="003C66EB" w:rsidRDefault="003C66EB">
            <w:pPr>
              <w:rPr>
                <w:rFonts w:ascii="宋体"/>
              </w:rPr>
            </w:pPr>
          </w:p>
        </w:tc>
        <w:tc>
          <w:tcPr>
            <w:tcW w:w="5" w:type="pct"/>
            <w:shd w:val="clear" w:color="auto" w:fill="auto"/>
          </w:tcPr>
          <w:p w14:paraId="5EA1E3DC" w14:textId="77777777" w:rsidR="003C66EB" w:rsidRDefault="003C66EB">
            <w:pPr>
              <w:rPr>
                <w:rFonts w:ascii="宋体"/>
              </w:rPr>
            </w:pPr>
          </w:p>
        </w:tc>
        <w:tc>
          <w:tcPr>
            <w:tcW w:w="50" w:type="pct"/>
            <w:shd w:val="clear" w:color="auto" w:fill="auto"/>
          </w:tcPr>
          <w:p w14:paraId="5EA1E3DD" w14:textId="77777777" w:rsidR="003C66EB" w:rsidRDefault="003C66EB">
            <w:pPr>
              <w:rPr>
                <w:rFonts w:ascii="宋体"/>
              </w:rPr>
            </w:pPr>
          </w:p>
        </w:tc>
        <w:tc>
          <w:tcPr>
            <w:tcW w:w="479" w:type="pct"/>
            <w:shd w:val="clear" w:color="auto" w:fill="auto"/>
          </w:tcPr>
          <w:p w14:paraId="5EA1E3DE" w14:textId="77777777" w:rsidR="003C66EB" w:rsidRDefault="003C66EB">
            <w:pPr>
              <w:rPr>
                <w:rFonts w:ascii="宋体"/>
              </w:rPr>
            </w:pPr>
          </w:p>
        </w:tc>
        <w:tc>
          <w:tcPr>
            <w:tcW w:w="5" w:type="pct"/>
            <w:shd w:val="clear" w:color="auto" w:fill="auto"/>
          </w:tcPr>
          <w:p w14:paraId="5EA1E3DF" w14:textId="77777777" w:rsidR="003C66EB" w:rsidRDefault="003C66EB">
            <w:pPr>
              <w:rPr>
                <w:rFonts w:ascii="宋体"/>
              </w:rPr>
            </w:pPr>
          </w:p>
        </w:tc>
        <w:tc>
          <w:tcPr>
            <w:tcW w:w="5" w:type="pct"/>
            <w:shd w:val="clear" w:color="auto" w:fill="auto"/>
          </w:tcPr>
          <w:p w14:paraId="5EA1E3E0" w14:textId="77777777" w:rsidR="003C66EB" w:rsidRDefault="003C66EB">
            <w:pPr>
              <w:rPr>
                <w:rFonts w:ascii="宋体"/>
              </w:rPr>
            </w:pPr>
          </w:p>
        </w:tc>
        <w:tc>
          <w:tcPr>
            <w:tcW w:w="52" w:type="pct"/>
            <w:shd w:val="clear" w:color="auto" w:fill="auto"/>
          </w:tcPr>
          <w:p w14:paraId="5EA1E3E1" w14:textId="77777777" w:rsidR="003C66EB" w:rsidRDefault="003C66EB">
            <w:pPr>
              <w:rPr>
                <w:rFonts w:ascii="宋体"/>
              </w:rPr>
            </w:pPr>
          </w:p>
        </w:tc>
        <w:tc>
          <w:tcPr>
            <w:tcW w:w="5" w:type="pct"/>
            <w:shd w:val="clear" w:color="auto" w:fill="auto"/>
          </w:tcPr>
          <w:p w14:paraId="5EA1E3E2" w14:textId="77777777" w:rsidR="003C66EB" w:rsidRDefault="003C66EB">
            <w:pPr>
              <w:rPr>
                <w:rFonts w:ascii="宋体"/>
              </w:rPr>
            </w:pPr>
          </w:p>
        </w:tc>
        <w:tc>
          <w:tcPr>
            <w:tcW w:w="50" w:type="pct"/>
            <w:shd w:val="clear" w:color="auto" w:fill="auto"/>
          </w:tcPr>
          <w:p w14:paraId="5EA1E3E3" w14:textId="77777777" w:rsidR="003C66EB" w:rsidRDefault="003C66EB">
            <w:pPr>
              <w:rPr>
                <w:rFonts w:ascii="宋体"/>
              </w:rPr>
            </w:pPr>
          </w:p>
        </w:tc>
        <w:tc>
          <w:tcPr>
            <w:tcW w:w="463" w:type="pct"/>
            <w:shd w:val="clear" w:color="auto" w:fill="auto"/>
          </w:tcPr>
          <w:p w14:paraId="5EA1E3E4" w14:textId="77777777" w:rsidR="003C66EB" w:rsidRDefault="003C66EB">
            <w:pPr>
              <w:rPr>
                <w:rFonts w:ascii="宋体"/>
              </w:rPr>
            </w:pPr>
          </w:p>
        </w:tc>
        <w:tc>
          <w:tcPr>
            <w:tcW w:w="5" w:type="pct"/>
            <w:shd w:val="clear" w:color="auto" w:fill="auto"/>
          </w:tcPr>
          <w:p w14:paraId="5EA1E3E5" w14:textId="77777777" w:rsidR="003C66EB" w:rsidRDefault="003C66EB">
            <w:pPr>
              <w:rPr>
                <w:rFonts w:ascii="宋体"/>
              </w:rPr>
            </w:pPr>
          </w:p>
        </w:tc>
        <w:tc>
          <w:tcPr>
            <w:tcW w:w="5" w:type="pct"/>
            <w:shd w:val="clear" w:color="auto" w:fill="auto"/>
          </w:tcPr>
          <w:p w14:paraId="5EA1E3E6" w14:textId="77777777" w:rsidR="003C66EB" w:rsidRDefault="003C66EB">
            <w:pPr>
              <w:rPr>
                <w:rFonts w:ascii="宋体"/>
              </w:rPr>
            </w:pPr>
          </w:p>
        </w:tc>
        <w:tc>
          <w:tcPr>
            <w:tcW w:w="52" w:type="pct"/>
            <w:shd w:val="clear" w:color="auto" w:fill="auto"/>
          </w:tcPr>
          <w:p w14:paraId="5EA1E3E7" w14:textId="77777777" w:rsidR="003C66EB" w:rsidRDefault="003C66EB">
            <w:pPr>
              <w:rPr>
                <w:rFonts w:ascii="宋体"/>
              </w:rPr>
            </w:pPr>
          </w:p>
        </w:tc>
        <w:tc>
          <w:tcPr>
            <w:tcW w:w="5" w:type="pct"/>
            <w:shd w:val="clear" w:color="auto" w:fill="auto"/>
          </w:tcPr>
          <w:p w14:paraId="5EA1E3E8" w14:textId="77777777" w:rsidR="003C66EB" w:rsidRDefault="003C66EB">
            <w:pPr>
              <w:rPr>
                <w:rFonts w:ascii="宋体"/>
              </w:rPr>
            </w:pPr>
          </w:p>
        </w:tc>
        <w:tc>
          <w:tcPr>
            <w:tcW w:w="50" w:type="pct"/>
            <w:shd w:val="clear" w:color="auto" w:fill="auto"/>
          </w:tcPr>
          <w:p w14:paraId="5EA1E3E9" w14:textId="77777777" w:rsidR="003C66EB" w:rsidRDefault="003C66EB">
            <w:pPr>
              <w:rPr>
                <w:rFonts w:ascii="宋体"/>
              </w:rPr>
            </w:pPr>
          </w:p>
        </w:tc>
        <w:tc>
          <w:tcPr>
            <w:tcW w:w="495" w:type="pct"/>
            <w:shd w:val="clear" w:color="auto" w:fill="auto"/>
          </w:tcPr>
          <w:p w14:paraId="5EA1E3EA" w14:textId="77777777" w:rsidR="003C66EB" w:rsidRDefault="003C66EB">
            <w:pPr>
              <w:rPr>
                <w:rFonts w:ascii="宋体"/>
              </w:rPr>
            </w:pPr>
          </w:p>
        </w:tc>
        <w:tc>
          <w:tcPr>
            <w:tcW w:w="5" w:type="pct"/>
            <w:shd w:val="clear" w:color="auto" w:fill="auto"/>
          </w:tcPr>
          <w:p w14:paraId="5EA1E3EB" w14:textId="77777777" w:rsidR="003C66EB" w:rsidRDefault="003C66EB">
            <w:pPr>
              <w:rPr>
                <w:rFonts w:ascii="宋体"/>
              </w:rPr>
            </w:pPr>
          </w:p>
        </w:tc>
        <w:tc>
          <w:tcPr>
            <w:tcW w:w="5" w:type="pct"/>
            <w:shd w:val="clear" w:color="auto" w:fill="auto"/>
          </w:tcPr>
          <w:p w14:paraId="5EA1E3EC" w14:textId="77777777" w:rsidR="003C66EB" w:rsidRDefault="003C66EB">
            <w:pPr>
              <w:rPr>
                <w:rFonts w:ascii="宋体"/>
              </w:rPr>
            </w:pPr>
          </w:p>
        </w:tc>
        <w:tc>
          <w:tcPr>
            <w:tcW w:w="52" w:type="pct"/>
            <w:shd w:val="clear" w:color="auto" w:fill="auto"/>
          </w:tcPr>
          <w:p w14:paraId="5EA1E3ED" w14:textId="77777777" w:rsidR="003C66EB" w:rsidRDefault="003C66EB">
            <w:pPr>
              <w:rPr>
                <w:rFonts w:ascii="宋体"/>
              </w:rPr>
            </w:pPr>
          </w:p>
        </w:tc>
        <w:tc>
          <w:tcPr>
            <w:tcW w:w="5" w:type="pct"/>
            <w:shd w:val="clear" w:color="auto" w:fill="auto"/>
          </w:tcPr>
          <w:p w14:paraId="5EA1E3EE" w14:textId="77777777" w:rsidR="003C66EB" w:rsidRDefault="003C66EB">
            <w:pPr>
              <w:rPr>
                <w:rFonts w:ascii="宋体"/>
              </w:rPr>
            </w:pPr>
          </w:p>
        </w:tc>
        <w:tc>
          <w:tcPr>
            <w:tcW w:w="50" w:type="pct"/>
            <w:shd w:val="clear" w:color="auto" w:fill="auto"/>
          </w:tcPr>
          <w:p w14:paraId="5EA1E3EF" w14:textId="77777777" w:rsidR="003C66EB" w:rsidRDefault="003C66EB">
            <w:pPr>
              <w:rPr>
                <w:rFonts w:ascii="宋体"/>
              </w:rPr>
            </w:pPr>
          </w:p>
        </w:tc>
        <w:tc>
          <w:tcPr>
            <w:tcW w:w="448" w:type="pct"/>
            <w:shd w:val="clear" w:color="auto" w:fill="auto"/>
          </w:tcPr>
          <w:p w14:paraId="5EA1E3F0" w14:textId="77777777" w:rsidR="003C66EB" w:rsidRDefault="003C66EB">
            <w:pPr>
              <w:rPr>
                <w:rFonts w:ascii="宋体"/>
              </w:rPr>
            </w:pPr>
          </w:p>
        </w:tc>
        <w:tc>
          <w:tcPr>
            <w:tcW w:w="5" w:type="pct"/>
            <w:shd w:val="clear" w:color="auto" w:fill="auto"/>
          </w:tcPr>
          <w:p w14:paraId="5EA1E3F1" w14:textId="77777777" w:rsidR="003C66EB" w:rsidRDefault="003C66EB">
            <w:pPr>
              <w:rPr>
                <w:rFonts w:ascii="宋体"/>
              </w:rPr>
            </w:pPr>
          </w:p>
        </w:tc>
        <w:tc>
          <w:tcPr>
            <w:tcW w:w="5" w:type="pct"/>
            <w:shd w:val="clear" w:color="auto" w:fill="auto"/>
          </w:tcPr>
          <w:p w14:paraId="5EA1E3F2" w14:textId="77777777" w:rsidR="003C66EB" w:rsidRDefault="003C66EB">
            <w:pPr>
              <w:rPr>
                <w:rFonts w:ascii="宋体"/>
              </w:rPr>
            </w:pPr>
          </w:p>
        </w:tc>
        <w:tc>
          <w:tcPr>
            <w:tcW w:w="52" w:type="pct"/>
            <w:shd w:val="clear" w:color="auto" w:fill="auto"/>
          </w:tcPr>
          <w:p w14:paraId="5EA1E3F3" w14:textId="77777777" w:rsidR="003C66EB" w:rsidRDefault="003C66EB">
            <w:pPr>
              <w:rPr>
                <w:rFonts w:ascii="宋体"/>
              </w:rPr>
            </w:pPr>
          </w:p>
        </w:tc>
        <w:tc>
          <w:tcPr>
            <w:tcW w:w="5" w:type="pct"/>
            <w:shd w:val="clear" w:color="auto" w:fill="auto"/>
          </w:tcPr>
          <w:p w14:paraId="5EA1E3F4" w14:textId="77777777" w:rsidR="003C66EB" w:rsidRDefault="003C66EB">
            <w:pPr>
              <w:rPr>
                <w:rFonts w:ascii="宋体"/>
              </w:rPr>
            </w:pPr>
          </w:p>
        </w:tc>
        <w:tc>
          <w:tcPr>
            <w:tcW w:w="50" w:type="pct"/>
            <w:shd w:val="clear" w:color="auto" w:fill="auto"/>
          </w:tcPr>
          <w:p w14:paraId="5EA1E3F5" w14:textId="77777777" w:rsidR="003C66EB" w:rsidRDefault="003C66EB">
            <w:pPr>
              <w:rPr>
                <w:rFonts w:ascii="宋体"/>
              </w:rPr>
            </w:pPr>
          </w:p>
        </w:tc>
        <w:tc>
          <w:tcPr>
            <w:tcW w:w="463" w:type="pct"/>
            <w:shd w:val="clear" w:color="auto" w:fill="auto"/>
          </w:tcPr>
          <w:p w14:paraId="5EA1E3F6" w14:textId="77777777" w:rsidR="003C66EB" w:rsidRDefault="003C66EB">
            <w:pPr>
              <w:rPr>
                <w:rFonts w:ascii="宋体"/>
              </w:rPr>
            </w:pPr>
          </w:p>
        </w:tc>
        <w:tc>
          <w:tcPr>
            <w:tcW w:w="5" w:type="pct"/>
            <w:shd w:val="clear" w:color="auto" w:fill="auto"/>
          </w:tcPr>
          <w:p w14:paraId="5EA1E3F7" w14:textId="77777777" w:rsidR="003C66EB" w:rsidRDefault="003C66EB">
            <w:pPr>
              <w:rPr>
                <w:rFonts w:ascii="宋体"/>
              </w:rPr>
            </w:pPr>
          </w:p>
        </w:tc>
        <w:tc>
          <w:tcPr>
            <w:tcW w:w="5" w:type="pct"/>
            <w:shd w:val="clear" w:color="auto" w:fill="auto"/>
          </w:tcPr>
          <w:p w14:paraId="5EA1E3F8" w14:textId="77777777" w:rsidR="003C66EB" w:rsidRDefault="003C66EB">
            <w:pPr>
              <w:rPr>
                <w:rFonts w:ascii="宋体"/>
              </w:rPr>
            </w:pPr>
          </w:p>
        </w:tc>
        <w:tc>
          <w:tcPr>
            <w:tcW w:w="52" w:type="pct"/>
            <w:shd w:val="clear" w:color="auto" w:fill="auto"/>
          </w:tcPr>
          <w:p w14:paraId="5EA1E3F9" w14:textId="77777777" w:rsidR="003C66EB" w:rsidRDefault="003C66EB">
            <w:pPr>
              <w:rPr>
                <w:rFonts w:ascii="宋体"/>
              </w:rPr>
            </w:pPr>
          </w:p>
        </w:tc>
        <w:tc>
          <w:tcPr>
            <w:tcW w:w="5" w:type="pct"/>
            <w:shd w:val="clear" w:color="auto" w:fill="auto"/>
          </w:tcPr>
          <w:p w14:paraId="5EA1E3FA" w14:textId="77777777" w:rsidR="003C66EB" w:rsidRDefault="003C66EB">
            <w:pPr>
              <w:rPr>
                <w:rFonts w:ascii="宋体"/>
              </w:rPr>
            </w:pPr>
          </w:p>
        </w:tc>
        <w:tc>
          <w:tcPr>
            <w:tcW w:w="50" w:type="pct"/>
            <w:shd w:val="clear" w:color="auto" w:fill="auto"/>
          </w:tcPr>
          <w:p w14:paraId="5EA1E3FB" w14:textId="77777777" w:rsidR="003C66EB" w:rsidRDefault="003C66EB">
            <w:pPr>
              <w:rPr>
                <w:rFonts w:ascii="宋体"/>
              </w:rPr>
            </w:pPr>
          </w:p>
        </w:tc>
        <w:tc>
          <w:tcPr>
            <w:tcW w:w="495" w:type="pct"/>
            <w:shd w:val="clear" w:color="auto" w:fill="auto"/>
          </w:tcPr>
          <w:p w14:paraId="5EA1E3FC" w14:textId="77777777" w:rsidR="003C66EB" w:rsidRDefault="003C66EB">
            <w:pPr>
              <w:rPr>
                <w:rFonts w:ascii="宋体"/>
              </w:rPr>
            </w:pPr>
          </w:p>
        </w:tc>
        <w:tc>
          <w:tcPr>
            <w:tcW w:w="5" w:type="pct"/>
            <w:shd w:val="clear" w:color="auto" w:fill="auto"/>
          </w:tcPr>
          <w:p w14:paraId="5EA1E3FD" w14:textId="77777777" w:rsidR="003C66EB" w:rsidRDefault="003C66EB">
            <w:pPr>
              <w:rPr>
                <w:rFonts w:ascii="宋体"/>
              </w:rPr>
            </w:pPr>
          </w:p>
        </w:tc>
        <w:tc>
          <w:tcPr>
            <w:tcW w:w="0" w:type="auto"/>
            <w:gridSpan w:val="3"/>
            <w:shd w:val="clear" w:color="auto" w:fill="auto"/>
          </w:tcPr>
          <w:p w14:paraId="5EA1E3FE" w14:textId="77777777" w:rsidR="003C66EB" w:rsidRDefault="003C66EB">
            <w:pPr>
              <w:rPr>
                <w:rFonts w:ascii="宋体"/>
                <w:vanish/>
              </w:rPr>
            </w:pPr>
          </w:p>
        </w:tc>
        <w:tc>
          <w:tcPr>
            <w:tcW w:w="0" w:type="auto"/>
            <w:gridSpan w:val="3"/>
            <w:shd w:val="clear" w:color="auto" w:fill="auto"/>
          </w:tcPr>
          <w:p w14:paraId="5EA1E3FF" w14:textId="77777777" w:rsidR="003C66EB" w:rsidRDefault="003C66EB">
            <w:pPr>
              <w:rPr>
                <w:rFonts w:ascii="宋体"/>
                <w:vanish/>
              </w:rPr>
            </w:pPr>
          </w:p>
        </w:tc>
        <w:tc>
          <w:tcPr>
            <w:tcW w:w="0" w:type="auto"/>
            <w:gridSpan w:val="3"/>
            <w:shd w:val="clear" w:color="auto" w:fill="auto"/>
          </w:tcPr>
          <w:p w14:paraId="5EA1E400" w14:textId="77777777" w:rsidR="003C66EB" w:rsidRDefault="003C66EB">
            <w:pPr>
              <w:rPr>
                <w:rFonts w:ascii="宋体"/>
                <w:vanish/>
              </w:rPr>
            </w:pPr>
          </w:p>
        </w:tc>
        <w:tc>
          <w:tcPr>
            <w:tcW w:w="0" w:type="auto"/>
            <w:gridSpan w:val="3"/>
            <w:shd w:val="clear" w:color="auto" w:fill="auto"/>
          </w:tcPr>
          <w:p w14:paraId="5EA1E401" w14:textId="77777777" w:rsidR="003C66EB" w:rsidRDefault="003C66EB">
            <w:pPr>
              <w:rPr>
                <w:rFonts w:ascii="宋体"/>
                <w:vanish/>
              </w:rPr>
            </w:pPr>
          </w:p>
        </w:tc>
        <w:tc>
          <w:tcPr>
            <w:tcW w:w="0" w:type="auto"/>
            <w:gridSpan w:val="3"/>
            <w:shd w:val="clear" w:color="auto" w:fill="auto"/>
          </w:tcPr>
          <w:p w14:paraId="5EA1E402" w14:textId="77777777" w:rsidR="003C66EB" w:rsidRDefault="003C66EB">
            <w:pPr>
              <w:rPr>
                <w:rFonts w:ascii="宋体"/>
                <w:vanish/>
              </w:rPr>
            </w:pPr>
          </w:p>
        </w:tc>
        <w:tc>
          <w:tcPr>
            <w:tcW w:w="0" w:type="auto"/>
            <w:gridSpan w:val="3"/>
            <w:shd w:val="clear" w:color="auto" w:fill="auto"/>
          </w:tcPr>
          <w:p w14:paraId="5EA1E403" w14:textId="77777777" w:rsidR="003C66EB" w:rsidRDefault="003C66EB">
            <w:pPr>
              <w:rPr>
                <w:rFonts w:ascii="宋体"/>
                <w:vanish/>
              </w:rPr>
            </w:pPr>
          </w:p>
        </w:tc>
        <w:tc>
          <w:tcPr>
            <w:tcW w:w="0" w:type="auto"/>
            <w:gridSpan w:val="3"/>
            <w:shd w:val="clear" w:color="auto" w:fill="auto"/>
          </w:tcPr>
          <w:p w14:paraId="5EA1E404" w14:textId="77777777" w:rsidR="003C66EB" w:rsidRDefault="003C66EB">
            <w:pPr>
              <w:rPr>
                <w:rFonts w:ascii="宋体"/>
                <w:vanish/>
              </w:rPr>
            </w:pPr>
          </w:p>
        </w:tc>
        <w:tc>
          <w:tcPr>
            <w:tcW w:w="0" w:type="auto"/>
            <w:gridSpan w:val="3"/>
            <w:shd w:val="clear" w:color="auto" w:fill="auto"/>
          </w:tcPr>
          <w:p w14:paraId="5EA1E405" w14:textId="77777777" w:rsidR="003C66EB" w:rsidRDefault="003C66EB">
            <w:pPr>
              <w:rPr>
                <w:rFonts w:ascii="宋体"/>
                <w:vanish/>
              </w:rPr>
            </w:pPr>
          </w:p>
        </w:tc>
        <w:tc>
          <w:tcPr>
            <w:tcW w:w="0" w:type="auto"/>
            <w:gridSpan w:val="2"/>
            <w:shd w:val="clear" w:color="auto" w:fill="auto"/>
          </w:tcPr>
          <w:p w14:paraId="5EA1E406" w14:textId="77777777" w:rsidR="003C66EB" w:rsidRDefault="003C66EB">
            <w:pPr>
              <w:rPr>
                <w:rFonts w:ascii="宋体"/>
                <w:vanish/>
              </w:rPr>
            </w:pPr>
          </w:p>
        </w:tc>
        <w:tc>
          <w:tcPr>
            <w:tcW w:w="0" w:type="auto"/>
            <w:shd w:val="clear" w:color="auto" w:fill="auto"/>
          </w:tcPr>
          <w:p w14:paraId="5EA1E407" w14:textId="77777777" w:rsidR="003C66EB" w:rsidRDefault="003C66EB">
            <w:pPr>
              <w:rPr>
                <w:rFonts w:ascii="宋体"/>
                <w:vanish/>
              </w:rPr>
            </w:pPr>
          </w:p>
        </w:tc>
      </w:tr>
      <w:tr w:rsidR="003C66EB" w14:paraId="5EA1E414" w14:textId="77777777">
        <w:tc>
          <w:tcPr>
            <w:tcW w:w="0" w:type="auto"/>
            <w:gridSpan w:val="36"/>
            <w:shd w:val="clear" w:color="auto" w:fill="auto"/>
            <w:tcMar>
              <w:top w:w="40" w:type="dxa"/>
              <w:left w:w="20" w:type="dxa"/>
              <w:bottom w:w="40" w:type="dxa"/>
              <w:right w:w="20" w:type="dxa"/>
            </w:tcMar>
            <w:vAlign w:val="bottom"/>
          </w:tcPr>
          <w:p w14:paraId="5EA1E409" w14:textId="77777777" w:rsidR="003C66EB" w:rsidRDefault="00D96C4E">
            <w:pPr>
              <w:jc w:val="both"/>
              <w:textAlignment w:val="bottom"/>
            </w:pPr>
            <w:r>
              <w:rPr>
                <w:rFonts w:ascii="Arial" w:eastAsia="宋体" w:hAnsi="Arial" w:cs="Arial"/>
                <w:b/>
                <w:bCs/>
                <w:color w:val="000000"/>
                <w:sz w:val="16"/>
                <w:szCs w:val="16"/>
              </w:rPr>
              <w:t xml:space="preserve">TABLE 6: INVESTMENT SECURITIES NET PREMIUM </w:t>
            </w:r>
            <w:r>
              <w:rPr>
                <w:rFonts w:ascii="Arial" w:eastAsia="宋体" w:hAnsi="Arial" w:cs="Arial"/>
                <w:b/>
                <w:bCs/>
                <w:color w:val="000000"/>
                <w:sz w:val="16"/>
                <w:szCs w:val="16"/>
              </w:rPr>
              <w:t>AMORTIZATION</w:t>
            </w:r>
          </w:p>
        </w:tc>
        <w:tc>
          <w:tcPr>
            <w:tcW w:w="0" w:type="auto"/>
            <w:gridSpan w:val="3"/>
            <w:shd w:val="clear" w:color="auto" w:fill="auto"/>
          </w:tcPr>
          <w:p w14:paraId="5EA1E40A" w14:textId="77777777" w:rsidR="003C66EB" w:rsidRDefault="003C66EB">
            <w:pPr>
              <w:rPr>
                <w:rFonts w:ascii="宋体"/>
                <w:vanish/>
              </w:rPr>
            </w:pPr>
          </w:p>
        </w:tc>
        <w:tc>
          <w:tcPr>
            <w:tcW w:w="0" w:type="auto"/>
            <w:gridSpan w:val="3"/>
            <w:shd w:val="clear" w:color="auto" w:fill="auto"/>
          </w:tcPr>
          <w:p w14:paraId="5EA1E40B" w14:textId="77777777" w:rsidR="003C66EB" w:rsidRDefault="003C66EB">
            <w:pPr>
              <w:rPr>
                <w:rFonts w:ascii="宋体"/>
                <w:vanish/>
              </w:rPr>
            </w:pPr>
          </w:p>
        </w:tc>
        <w:tc>
          <w:tcPr>
            <w:tcW w:w="0" w:type="auto"/>
            <w:gridSpan w:val="3"/>
            <w:shd w:val="clear" w:color="auto" w:fill="auto"/>
          </w:tcPr>
          <w:p w14:paraId="5EA1E40C" w14:textId="77777777" w:rsidR="003C66EB" w:rsidRDefault="003C66EB">
            <w:pPr>
              <w:rPr>
                <w:rFonts w:ascii="宋体"/>
                <w:vanish/>
              </w:rPr>
            </w:pPr>
          </w:p>
        </w:tc>
        <w:tc>
          <w:tcPr>
            <w:tcW w:w="0" w:type="auto"/>
            <w:gridSpan w:val="3"/>
            <w:shd w:val="clear" w:color="auto" w:fill="auto"/>
          </w:tcPr>
          <w:p w14:paraId="5EA1E40D" w14:textId="77777777" w:rsidR="003C66EB" w:rsidRDefault="003C66EB">
            <w:pPr>
              <w:rPr>
                <w:rFonts w:ascii="宋体"/>
                <w:vanish/>
              </w:rPr>
            </w:pPr>
          </w:p>
        </w:tc>
        <w:tc>
          <w:tcPr>
            <w:tcW w:w="0" w:type="auto"/>
            <w:gridSpan w:val="3"/>
            <w:shd w:val="clear" w:color="auto" w:fill="auto"/>
          </w:tcPr>
          <w:p w14:paraId="5EA1E40E" w14:textId="77777777" w:rsidR="003C66EB" w:rsidRDefault="003C66EB">
            <w:pPr>
              <w:rPr>
                <w:rFonts w:ascii="宋体"/>
                <w:vanish/>
              </w:rPr>
            </w:pPr>
          </w:p>
        </w:tc>
        <w:tc>
          <w:tcPr>
            <w:tcW w:w="0" w:type="auto"/>
            <w:gridSpan w:val="3"/>
            <w:shd w:val="clear" w:color="auto" w:fill="auto"/>
          </w:tcPr>
          <w:p w14:paraId="5EA1E40F" w14:textId="77777777" w:rsidR="003C66EB" w:rsidRDefault="003C66EB">
            <w:pPr>
              <w:rPr>
                <w:rFonts w:ascii="宋体"/>
                <w:vanish/>
              </w:rPr>
            </w:pPr>
          </w:p>
        </w:tc>
        <w:tc>
          <w:tcPr>
            <w:tcW w:w="0" w:type="auto"/>
            <w:gridSpan w:val="3"/>
            <w:shd w:val="clear" w:color="auto" w:fill="auto"/>
          </w:tcPr>
          <w:p w14:paraId="5EA1E410" w14:textId="77777777" w:rsidR="003C66EB" w:rsidRDefault="003C66EB">
            <w:pPr>
              <w:rPr>
                <w:rFonts w:ascii="宋体"/>
                <w:vanish/>
              </w:rPr>
            </w:pPr>
          </w:p>
        </w:tc>
        <w:tc>
          <w:tcPr>
            <w:tcW w:w="0" w:type="auto"/>
            <w:gridSpan w:val="3"/>
            <w:shd w:val="clear" w:color="auto" w:fill="auto"/>
          </w:tcPr>
          <w:p w14:paraId="5EA1E411" w14:textId="77777777" w:rsidR="003C66EB" w:rsidRDefault="003C66EB">
            <w:pPr>
              <w:rPr>
                <w:rFonts w:ascii="宋体"/>
                <w:vanish/>
              </w:rPr>
            </w:pPr>
          </w:p>
        </w:tc>
        <w:tc>
          <w:tcPr>
            <w:tcW w:w="0" w:type="auto"/>
            <w:gridSpan w:val="2"/>
            <w:shd w:val="clear" w:color="auto" w:fill="auto"/>
          </w:tcPr>
          <w:p w14:paraId="5EA1E412" w14:textId="77777777" w:rsidR="003C66EB" w:rsidRDefault="003C66EB">
            <w:pPr>
              <w:rPr>
                <w:rFonts w:ascii="宋体"/>
                <w:vanish/>
              </w:rPr>
            </w:pPr>
          </w:p>
        </w:tc>
        <w:tc>
          <w:tcPr>
            <w:tcW w:w="0" w:type="auto"/>
            <w:shd w:val="clear" w:color="auto" w:fill="auto"/>
          </w:tcPr>
          <w:p w14:paraId="5EA1E413" w14:textId="77777777" w:rsidR="003C66EB" w:rsidRDefault="003C66EB">
            <w:pPr>
              <w:rPr>
                <w:rFonts w:ascii="宋体"/>
                <w:vanish/>
              </w:rPr>
            </w:pPr>
          </w:p>
        </w:tc>
      </w:tr>
      <w:tr w:rsidR="003C66EB" w14:paraId="5EA1E448" w14:textId="77777777">
        <w:trPr>
          <w:hidden/>
        </w:trPr>
        <w:tc>
          <w:tcPr>
            <w:tcW w:w="0" w:type="auto"/>
            <w:gridSpan w:val="3"/>
            <w:shd w:val="clear" w:color="auto" w:fill="auto"/>
          </w:tcPr>
          <w:p w14:paraId="5EA1E415" w14:textId="77777777" w:rsidR="003C66EB" w:rsidRDefault="003C66EB">
            <w:pPr>
              <w:rPr>
                <w:rFonts w:ascii="宋体"/>
                <w:vanish/>
              </w:rPr>
            </w:pPr>
          </w:p>
        </w:tc>
        <w:tc>
          <w:tcPr>
            <w:tcW w:w="0" w:type="auto"/>
            <w:gridSpan w:val="3"/>
            <w:shd w:val="clear" w:color="auto" w:fill="auto"/>
          </w:tcPr>
          <w:p w14:paraId="5EA1E416" w14:textId="77777777" w:rsidR="003C66EB" w:rsidRDefault="003C66EB">
            <w:pPr>
              <w:rPr>
                <w:rFonts w:ascii="宋体"/>
                <w:vanish/>
              </w:rPr>
            </w:pPr>
          </w:p>
        </w:tc>
        <w:tc>
          <w:tcPr>
            <w:tcW w:w="0" w:type="auto"/>
            <w:gridSpan w:val="3"/>
            <w:shd w:val="clear" w:color="auto" w:fill="auto"/>
          </w:tcPr>
          <w:p w14:paraId="5EA1E417" w14:textId="77777777" w:rsidR="003C66EB" w:rsidRDefault="003C66EB">
            <w:pPr>
              <w:rPr>
                <w:rFonts w:ascii="宋体"/>
                <w:vanish/>
              </w:rPr>
            </w:pPr>
          </w:p>
        </w:tc>
        <w:tc>
          <w:tcPr>
            <w:tcW w:w="0" w:type="auto"/>
            <w:gridSpan w:val="3"/>
            <w:shd w:val="clear" w:color="auto" w:fill="auto"/>
          </w:tcPr>
          <w:p w14:paraId="5EA1E418" w14:textId="77777777" w:rsidR="003C66EB" w:rsidRDefault="003C66EB">
            <w:pPr>
              <w:rPr>
                <w:rFonts w:ascii="宋体"/>
                <w:vanish/>
              </w:rPr>
            </w:pPr>
          </w:p>
        </w:tc>
        <w:tc>
          <w:tcPr>
            <w:tcW w:w="0" w:type="auto"/>
            <w:gridSpan w:val="3"/>
            <w:shd w:val="clear" w:color="auto" w:fill="auto"/>
          </w:tcPr>
          <w:p w14:paraId="5EA1E419" w14:textId="77777777" w:rsidR="003C66EB" w:rsidRDefault="003C66EB">
            <w:pPr>
              <w:rPr>
                <w:rFonts w:ascii="宋体"/>
                <w:vanish/>
              </w:rPr>
            </w:pPr>
          </w:p>
        </w:tc>
        <w:tc>
          <w:tcPr>
            <w:tcW w:w="0" w:type="auto"/>
            <w:gridSpan w:val="3"/>
            <w:shd w:val="clear" w:color="auto" w:fill="auto"/>
          </w:tcPr>
          <w:p w14:paraId="5EA1E41A" w14:textId="77777777" w:rsidR="003C66EB" w:rsidRDefault="003C66EB">
            <w:pPr>
              <w:rPr>
                <w:rFonts w:ascii="宋体"/>
                <w:vanish/>
              </w:rPr>
            </w:pPr>
          </w:p>
        </w:tc>
        <w:tc>
          <w:tcPr>
            <w:tcW w:w="0" w:type="auto"/>
            <w:shd w:val="clear" w:color="auto" w:fill="auto"/>
          </w:tcPr>
          <w:p w14:paraId="5EA1E41B" w14:textId="77777777" w:rsidR="003C66EB" w:rsidRDefault="003C66EB">
            <w:pPr>
              <w:rPr>
                <w:rFonts w:ascii="宋体"/>
              </w:rPr>
            </w:pPr>
          </w:p>
        </w:tc>
        <w:tc>
          <w:tcPr>
            <w:tcW w:w="0" w:type="auto"/>
            <w:shd w:val="clear" w:color="auto" w:fill="auto"/>
          </w:tcPr>
          <w:p w14:paraId="5EA1E41C" w14:textId="77777777" w:rsidR="003C66EB" w:rsidRDefault="003C66EB">
            <w:pPr>
              <w:rPr>
                <w:rFonts w:ascii="宋体"/>
              </w:rPr>
            </w:pPr>
          </w:p>
        </w:tc>
        <w:tc>
          <w:tcPr>
            <w:tcW w:w="0" w:type="auto"/>
            <w:shd w:val="clear" w:color="auto" w:fill="auto"/>
          </w:tcPr>
          <w:p w14:paraId="5EA1E41D" w14:textId="77777777" w:rsidR="003C66EB" w:rsidRDefault="003C66EB">
            <w:pPr>
              <w:rPr>
                <w:rFonts w:ascii="宋体"/>
              </w:rPr>
            </w:pPr>
          </w:p>
        </w:tc>
        <w:tc>
          <w:tcPr>
            <w:tcW w:w="0" w:type="auto"/>
            <w:shd w:val="clear" w:color="auto" w:fill="auto"/>
          </w:tcPr>
          <w:p w14:paraId="5EA1E41E" w14:textId="77777777" w:rsidR="003C66EB" w:rsidRDefault="003C66EB">
            <w:pPr>
              <w:rPr>
                <w:rFonts w:ascii="宋体"/>
              </w:rPr>
            </w:pPr>
          </w:p>
        </w:tc>
        <w:tc>
          <w:tcPr>
            <w:tcW w:w="0" w:type="auto"/>
            <w:shd w:val="clear" w:color="auto" w:fill="auto"/>
          </w:tcPr>
          <w:p w14:paraId="5EA1E41F" w14:textId="77777777" w:rsidR="003C66EB" w:rsidRDefault="003C66EB">
            <w:pPr>
              <w:rPr>
                <w:rFonts w:ascii="宋体"/>
              </w:rPr>
            </w:pPr>
          </w:p>
        </w:tc>
        <w:tc>
          <w:tcPr>
            <w:tcW w:w="0" w:type="auto"/>
            <w:shd w:val="clear" w:color="auto" w:fill="auto"/>
          </w:tcPr>
          <w:p w14:paraId="5EA1E420" w14:textId="77777777" w:rsidR="003C66EB" w:rsidRDefault="003C66EB">
            <w:pPr>
              <w:rPr>
                <w:rFonts w:ascii="宋体"/>
              </w:rPr>
            </w:pPr>
          </w:p>
        </w:tc>
        <w:tc>
          <w:tcPr>
            <w:tcW w:w="0" w:type="auto"/>
            <w:shd w:val="clear" w:color="auto" w:fill="auto"/>
          </w:tcPr>
          <w:p w14:paraId="5EA1E421" w14:textId="77777777" w:rsidR="003C66EB" w:rsidRDefault="003C66EB">
            <w:pPr>
              <w:rPr>
                <w:rFonts w:ascii="宋体"/>
              </w:rPr>
            </w:pPr>
          </w:p>
        </w:tc>
        <w:tc>
          <w:tcPr>
            <w:tcW w:w="0" w:type="auto"/>
            <w:shd w:val="clear" w:color="auto" w:fill="auto"/>
          </w:tcPr>
          <w:p w14:paraId="5EA1E422" w14:textId="77777777" w:rsidR="003C66EB" w:rsidRDefault="003C66EB">
            <w:pPr>
              <w:rPr>
                <w:rFonts w:ascii="宋体"/>
              </w:rPr>
            </w:pPr>
          </w:p>
        </w:tc>
        <w:tc>
          <w:tcPr>
            <w:tcW w:w="0" w:type="auto"/>
            <w:shd w:val="clear" w:color="auto" w:fill="auto"/>
          </w:tcPr>
          <w:p w14:paraId="5EA1E423" w14:textId="77777777" w:rsidR="003C66EB" w:rsidRDefault="003C66EB">
            <w:pPr>
              <w:rPr>
                <w:rFonts w:ascii="宋体"/>
              </w:rPr>
            </w:pPr>
          </w:p>
        </w:tc>
        <w:tc>
          <w:tcPr>
            <w:tcW w:w="0" w:type="auto"/>
            <w:shd w:val="clear" w:color="auto" w:fill="auto"/>
          </w:tcPr>
          <w:p w14:paraId="5EA1E424" w14:textId="77777777" w:rsidR="003C66EB" w:rsidRDefault="003C66EB">
            <w:pPr>
              <w:rPr>
                <w:rFonts w:ascii="宋体"/>
              </w:rPr>
            </w:pPr>
          </w:p>
        </w:tc>
        <w:tc>
          <w:tcPr>
            <w:tcW w:w="0" w:type="auto"/>
            <w:shd w:val="clear" w:color="auto" w:fill="auto"/>
          </w:tcPr>
          <w:p w14:paraId="5EA1E425" w14:textId="77777777" w:rsidR="003C66EB" w:rsidRDefault="003C66EB">
            <w:pPr>
              <w:rPr>
                <w:rFonts w:ascii="宋体"/>
              </w:rPr>
            </w:pPr>
          </w:p>
        </w:tc>
        <w:tc>
          <w:tcPr>
            <w:tcW w:w="0" w:type="auto"/>
            <w:shd w:val="clear" w:color="auto" w:fill="auto"/>
          </w:tcPr>
          <w:p w14:paraId="5EA1E426" w14:textId="77777777" w:rsidR="003C66EB" w:rsidRDefault="003C66EB">
            <w:pPr>
              <w:rPr>
                <w:rFonts w:ascii="宋体"/>
              </w:rPr>
            </w:pPr>
          </w:p>
        </w:tc>
        <w:tc>
          <w:tcPr>
            <w:tcW w:w="0" w:type="auto"/>
            <w:shd w:val="clear" w:color="auto" w:fill="auto"/>
          </w:tcPr>
          <w:p w14:paraId="5EA1E427" w14:textId="77777777" w:rsidR="003C66EB" w:rsidRDefault="003C66EB">
            <w:pPr>
              <w:rPr>
                <w:rFonts w:ascii="宋体"/>
              </w:rPr>
            </w:pPr>
          </w:p>
        </w:tc>
        <w:tc>
          <w:tcPr>
            <w:tcW w:w="0" w:type="auto"/>
            <w:shd w:val="clear" w:color="auto" w:fill="auto"/>
          </w:tcPr>
          <w:p w14:paraId="5EA1E428" w14:textId="77777777" w:rsidR="003C66EB" w:rsidRDefault="003C66EB">
            <w:pPr>
              <w:rPr>
                <w:rFonts w:ascii="宋体"/>
              </w:rPr>
            </w:pPr>
          </w:p>
        </w:tc>
        <w:tc>
          <w:tcPr>
            <w:tcW w:w="0" w:type="auto"/>
            <w:shd w:val="clear" w:color="auto" w:fill="auto"/>
          </w:tcPr>
          <w:p w14:paraId="5EA1E429" w14:textId="77777777" w:rsidR="003C66EB" w:rsidRDefault="003C66EB">
            <w:pPr>
              <w:rPr>
                <w:rFonts w:ascii="宋体"/>
              </w:rPr>
            </w:pPr>
          </w:p>
        </w:tc>
        <w:tc>
          <w:tcPr>
            <w:tcW w:w="0" w:type="auto"/>
            <w:shd w:val="clear" w:color="auto" w:fill="auto"/>
          </w:tcPr>
          <w:p w14:paraId="5EA1E42A" w14:textId="77777777" w:rsidR="003C66EB" w:rsidRDefault="003C66EB">
            <w:pPr>
              <w:rPr>
                <w:rFonts w:ascii="宋体"/>
              </w:rPr>
            </w:pPr>
          </w:p>
        </w:tc>
        <w:tc>
          <w:tcPr>
            <w:tcW w:w="0" w:type="auto"/>
            <w:shd w:val="clear" w:color="auto" w:fill="auto"/>
          </w:tcPr>
          <w:p w14:paraId="5EA1E42B" w14:textId="77777777" w:rsidR="003C66EB" w:rsidRDefault="003C66EB">
            <w:pPr>
              <w:rPr>
                <w:rFonts w:ascii="宋体"/>
              </w:rPr>
            </w:pPr>
          </w:p>
        </w:tc>
        <w:tc>
          <w:tcPr>
            <w:tcW w:w="0" w:type="auto"/>
            <w:shd w:val="clear" w:color="auto" w:fill="auto"/>
          </w:tcPr>
          <w:p w14:paraId="5EA1E42C" w14:textId="77777777" w:rsidR="003C66EB" w:rsidRDefault="003C66EB">
            <w:pPr>
              <w:rPr>
                <w:rFonts w:ascii="宋体"/>
              </w:rPr>
            </w:pPr>
          </w:p>
        </w:tc>
        <w:tc>
          <w:tcPr>
            <w:tcW w:w="0" w:type="auto"/>
            <w:shd w:val="clear" w:color="auto" w:fill="auto"/>
          </w:tcPr>
          <w:p w14:paraId="5EA1E42D" w14:textId="77777777" w:rsidR="003C66EB" w:rsidRDefault="003C66EB">
            <w:pPr>
              <w:rPr>
                <w:rFonts w:ascii="宋体"/>
              </w:rPr>
            </w:pPr>
          </w:p>
        </w:tc>
        <w:tc>
          <w:tcPr>
            <w:tcW w:w="0" w:type="auto"/>
            <w:shd w:val="clear" w:color="auto" w:fill="auto"/>
          </w:tcPr>
          <w:p w14:paraId="5EA1E42E" w14:textId="77777777" w:rsidR="003C66EB" w:rsidRDefault="003C66EB">
            <w:pPr>
              <w:rPr>
                <w:rFonts w:ascii="宋体"/>
              </w:rPr>
            </w:pPr>
          </w:p>
        </w:tc>
        <w:tc>
          <w:tcPr>
            <w:tcW w:w="0" w:type="auto"/>
            <w:shd w:val="clear" w:color="auto" w:fill="auto"/>
          </w:tcPr>
          <w:p w14:paraId="5EA1E42F" w14:textId="77777777" w:rsidR="003C66EB" w:rsidRDefault="003C66EB">
            <w:pPr>
              <w:rPr>
                <w:rFonts w:ascii="宋体"/>
              </w:rPr>
            </w:pPr>
          </w:p>
        </w:tc>
        <w:tc>
          <w:tcPr>
            <w:tcW w:w="0" w:type="auto"/>
            <w:shd w:val="clear" w:color="auto" w:fill="auto"/>
          </w:tcPr>
          <w:p w14:paraId="5EA1E430" w14:textId="77777777" w:rsidR="003C66EB" w:rsidRDefault="003C66EB">
            <w:pPr>
              <w:rPr>
                <w:rFonts w:ascii="宋体"/>
              </w:rPr>
            </w:pPr>
          </w:p>
        </w:tc>
        <w:tc>
          <w:tcPr>
            <w:tcW w:w="0" w:type="auto"/>
            <w:shd w:val="clear" w:color="auto" w:fill="auto"/>
          </w:tcPr>
          <w:p w14:paraId="5EA1E431" w14:textId="77777777" w:rsidR="003C66EB" w:rsidRDefault="003C66EB">
            <w:pPr>
              <w:rPr>
                <w:rFonts w:ascii="宋体"/>
              </w:rPr>
            </w:pPr>
          </w:p>
        </w:tc>
        <w:tc>
          <w:tcPr>
            <w:tcW w:w="0" w:type="auto"/>
            <w:shd w:val="clear" w:color="auto" w:fill="auto"/>
          </w:tcPr>
          <w:p w14:paraId="5EA1E432" w14:textId="77777777" w:rsidR="003C66EB" w:rsidRDefault="003C66EB">
            <w:pPr>
              <w:rPr>
                <w:rFonts w:ascii="宋体"/>
              </w:rPr>
            </w:pPr>
          </w:p>
        </w:tc>
        <w:tc>
          <w:tcPr>
            <w:tcW w:w="0" w:type="auto"/>
            <w:shd w:val="clear" w:color="auto" w:fill="auto"/>
          </w:tcPr>
          <w:p w14:paraId="5EA1E433" w14:textId="77777777" w:rsidR="003C66EB" w:rsidRDefault="003C66EB">
            <w:pPr>
              <w:rPr>
                <w:rFonts w:ascii="宋体"/>
              </w:rPr>
            </w:pPr>
          </w:p>
        </w:tc>
        <w:tc>
          <w:tcPr>
            <w:tcW w:w="0" w:type="auto"/>
            <w:shd w:val="clear" w:color="auto" w:fill="auto"/>
          </w:tcPr>
          <w:p w14:paraId="5EA1E434" w14:textId="77777777" w:rsidR="003C66EB" w:rsidRDefault="003C66EB">
            <w:pPr>
              <w:rPr>
                <w:rFonts w:ascii="宋体"/>
              </w:rPr>
            </w:pPr>
          </w:p>
        </w:tc>
        <w:tc>
          <w:tcPr>
            <w:tcW w:w="0" w:type="auto"/>
            <w:shd w:val="clear" w:color="auto" w:fill="auto"/>
          </w:tcPr>
          <w:p w14:paraId="5EA1E435" w14:textId="77777777" w:rsidR="003C66EB" w:rsidRDefault="003C66EB">
            <w:pPr>
              <w:rPr>
                <w:rFonts w:ascii="宋体"/>
              </w:rPr>
            </w:pPr>
          </w:p>
        </w:tc>
        <w:tc>
          <w:tcPr>
            <w:tcW w:w="0" w:type="auto"/>
            <w:shd w:val="clear" w:color="auto" w:fill="auto"/>
          </w:tcPr>
          <w:p w14:paraId="5EA1E436" w14:textId="77777777" w:rsidR="003C66EB" w:rsidRDefault="003C66EB">
            <w:pPr>
              <w:rPr>
                <w:rFonts w:ascii="宋体"/>
              </w:rPr>
            </w:pPr>
          </w:p>
        </w:tc>
        <w:tc>
          <w:tcPr>
            <w:tcW w:w="0" w:type="auto"/>
            <w:shd w:val="clear" w:color="auto" w:fill="auto"/>
          </w:tcPr>
          <w:p w14:paraId="5EA1E437" w14:textId="77777777" w:rsidR="003C66EB" w:rsidRDefault="003C66EB">
            <w:pPr>
              <w:rPr>
                <w:rFonts w:ascii="宋体"/>
              </w:rPr>
            </w:pPr>
          </w:p>
        </w:tc>
        <w:tc>
          <w:tcPr>
            <w:tcW w:w="0" w:type="auto"/>
            <w:shd w:val="clear" w:color="auto" w:fill="auto"/>
          </w:tcPr>
          <w:p w14:paraId="5EA1E438" w14:textId="77777777" w:rsidR="003C66EB" w:rsidRDefault="003C66EB">
            <w:pPr>
              <w:rPr>
                <w:rFonts w:ascii="宋体"/>
              </w:rPr>
            </w:pPr>
          </w:p>
        </w:tc>
        <w:tc>
          <w:tcPr>
            <w:tcW w:w="0" w:type="auto"/>
            <w:shd w:val="clear" w:color="auto" w:fill="auto"/>
          </w:tcPr>
          <w:p w14:paraId="5EA1E439" w14:textId="77777777" w:rsidR="003C66EB" w:rsidRDefault="003C66EB">
            <w:pPr>
              <w:rPr>
                <w:rFonts w:ascii="宋体"/>
              </w:rPr>
            </w:pPr>
          </w:p>
        </w:tc>
        <w:tc>
          <w:tcPr>
            <w:tcW w:w="0" w:type="auto"/>
            <w:shd w:val="clear" w:color="auto" w:fill="auto"/>
          </w:tcPr>
          <w:p w14:paraId="5EA1E43A" w14:textId="77777777" w:rsidR="003C66EB" w:rsidRDefault="003C66EB">
            <w:pPr>
              <w:rPr>
                <w:rFonts w:ascii="宋体"/>
              </w:rPr>
            </w:pPr>
          </w:p>
        </w:tc>
        <w:tc>
          <w:tcPr>
            <w:tcW w:w="0" w:type="auto"/>
            <w:shd w:val="clear" w:color="auto" w:fill="auto"/>
          </w:tcPr>
          <w:p w14:paraId="5EA1E43B" w14:textId="77777777" w:rsidR="003C66EB" w:rsidRDefault="003C66EB">
            <w:pPr>
              <w:rPr>
                <w:rFonts w:ascii="宋体"/>
              </w:rPr>
            </w:pPr>
          </w:p>
        </w:tc>
        <w:tc>
          <w:tcPr>
            <w:tcW w:w="0" w:type="auto"/>
            <w:shd w:val="clear" w:color="auto" w:fill="auto"/>
          </w:tcPr>
          <w:p w14:paraId="5EA1E43C" w14:textId="77777777" w:rsidR="003C66EB" w:rsidRDefault="003C66EB">
            <w:pPr>
              <w:rPr>
                <w:rFonts w:ascii="宋体"/>
              </w:rPr>
            </w:pPr>
          </w:p>
        </w:tc>
        <w:tc>
          <w:tcPr>
            <w:tcW w:w="0" w:type="auto"/>
            <w:shd w:val="clear" w:color="auto" w:fill="auto"/>
          </w:tcPr>
          <w:p w14:paraId="5EA1E43D" w14:textId="77777777" w:rsidR="003C66EB" w:rsidRDefault="003C66EB">
            <w:pPr>
              <w:rPr>
                <w:rFonts w:ascii="宋体"/>
              </w:rPr>
            </w:pPr>
          </w:p>
        </w:tc>
        <w:tc>
          <w:tcPr>
            <w:tcW w:w="0" w:type="auto"/>
            <w:shd w:val="clear" w:color="auto" w:fill="auto"/>
          </w:tcPr>
          <w:p w14:paraId="5EA1E43E" w14:textId="77777777" w:rsidR="003C66EB" w:rsidRDefault="003C66EB">
            <w:pPr>
              <w:rPr>
                <w:rFonts w:ascii="宋体"/>
              </w:rPr>
            </w:pPr>
          </w:p>
        </w:tc>
        <w:tc>
          <w:tcPr>
            <w:tcW w:w="0" w:type="auto"/>
            <w:shd w:val="clear" w:color="auto" w:fill="auto"/>
          </w:tcPr>
          <w:p w14:paraId="5EA1E43F" w14:textId="77777777" w:rsidR="003C66EB" w:rsidRDefault="003C66EB">
            <w:pPr>
              <w:rPr>
                <w:rFonts w:ascii="宋体"/>
              </w:rPr>
            </w:pPr>
          </w:p>
        </w:tc>
        <w:tc>
          <w:tcPr>
            <w:tcW w:w="0" w:type="auto"/>
            <w:shd w:val="clear" w:color="auto" w:fill="auto"/>
          </w:tcPr>
          <w:p w14:paraId="5EA1E440" w14:textId="77777777" w:rsidR="003C66EB" w:rsidRDefault="003C66EB">
            <w:pPr>
              <w:rPr>
                <w:rFonts w:ascii="宋体"/>
              </w:rPr>
            </w:pPr>
          </w:p>
        </w:tc>
        <w:tc>
          <w:tcPr>
            <w:tcW w:w="0" w:type="auto"/>
            <w:shd w:val="clear" w:color="auto" w:fill="auto"/>
          </w:tcPr>
          <w:p w14:paraId="5EA1E441" w14:textId="77777777" w:rsidR="003C66EB" w:rsidRDefault="003C66EB">
            <w:pPr>
              <w:rPr>
                <w:rFonts w:ascii="宋体"/>
              </w:rPr>
            </w:pPr>
          </w:p>
        </w:tc>
        <w:tc>
          <w:tcPr>
            <w:tcW w:w="0" w:type="auto"/>
            <w:shd w:val="clear" w:color="auto" w:fill="auto"/>
          </w:tcPr>
          <w:p w14:paraId="5EA1E442" w14:textId="77777777" w:rsidR="003C66EB" w:rsidRDefault="003C66EB">
            <w:pPr>
              <w:rPr>
                <w:rFonts w:ascii="宋体"/>
              </w:rPr>
            </w:pPr>
          </w:p>
        </w:tc>
        <w:tc>
          <w:tcPr>
            <w:tcW w:w="0" w:type="auto"/>
            <w:shd w:val="clear" w:color="auto" w:fill="auto"/>
          </w:tcPr>
          <w:p w14:paraId="5EA1E443" w14:textId="77777777" w:rsidR="003C66EB" w:rsidRDefault="003C66EB">
            <w:pPr>
              <w:rPr>
                <w:rFonts w:ascii="宋体"/>
              </w:rPr>
            </w:pPr>
          </w:p>
        </w:tc>
        <w:tc>
          <w:tcPr>
            <w:tcW w:w="0" w:type="auto"/>
            <w:shd w:val="clear" w:color="auto" w:fill="auto"/>
          </w:tcPr>
          <w:p w14:paraId="5EA1E444" w14:textId="77777777" w:rsidR="003C66EB" w:rsidRDefault="003C66EB">
            <w:pPr>
              <w:rPr>
                <w:rFonts w:ascii="宋体"/>
              </w:rPr>
            </w:pPr>
          </w:p>
        </w:tc>
        <w:tc>
          <w:tcPr>
            <w:tcW w:w="0" w:type="auto"/>
            <w:shd w:val="clear" w:color="auto" w:fill="auto"/>
          </w:tcPr>
          <w:p w14:paraId="5EA1E445" w14:textId="77777777" w:rsidR="003C66EB" w:rsidRDefault="003C66EB">
            <w:pPr>
              <w:rPr>
                <w:rFonts w:ascii="宋体"/>
              </w:rPr>
            </w:pPr>
          </w:p>
        </w:tc>
        <w:tc>
          <w:tcPr>
            <w:tcW w:w="0" w:type="auto"/>
            <w:shd w:val="clear" w:color="auto" w:fill="auto"/>
          </w:tcPr>
          <w:p w14:paraId="5EA1E446" w14:textId="77777777" w:rsidR="003C66EB" w:rsidRDefault="003C66EB">
            <w:pPr>
              <w:rPr>
                <w:rFonts w:ascii="宋体"/>
              </w:rPr>
            </w:pPr>
          </w:p>
        </w:tc>
        <w:tc>
          <w:tcPr>
            <w:tcW w:w="0" w:type="auto"/>
            <w:shd w:val="clear" w:color="auto" w:fill="auto"/>
          </w:tcPr>
          <w:p w14:paraId="5EA1E447" w14:textId="77777777" w:rsidR="003C66EB" w:rsidRDefault="003C66EB">
            <w:pPr>
              <w:rPr>
                <w:rFonts w:ascii="宋体"/>
              </w:rPr>
            </w:pPr>
          </w:p>
        </w:tc>
      </w:tr>
      <w:tr w:rsidR="003C66EB" w14:paraId="5EA1E45F" w14:textId="77777777">
        <w:trPr>
          <w:hidden/>
        </w:trPr>
        <w:tc>
          <w:tcPr>
            <w:tcW w:w="0" w:type="auto"/>
            <w:gridSpan w:val="3"/>
            <w:shd w:val="clear" w:color="auto" w:fill="auto"/>
          </w:tcPr>
          <w:p w14:paraId="5EA1E449" w14:textId="77777777" w:rsidR="003C66EB" w:rsidRDefault="003C66EB">
            <w:pPr>
              <w:rPr>
                <w:rFonts w:ascii="宋体"/>
                <w:vanish/>
              </w:rPr>
            </w:pPr>
          </w:p>
        </w:tc>
        <w:tc>
          <w:tcPr>
            <w:tcW w:w="0" w:type="auto"/>
            <w:gridSpan w:val="3"/>
            <w:shd w:val="clear" w:color="auto" w:fill="auto"/>
          </w:tcPr>
          <w:p w14:paraId="5EA1E44A" w14:textId="77777777" w:rsidR="003C66EB" w:rsidRDefault="003C66EB">
            <w:pPr>
              <w:rPr>
                <w:rFonts w:ascii="宋体"/>
                <w:vanish/>
              </w:rPr>
            </w:pPr>
          </w:p>
        </w:tc>
        <w:tc>
          <w:tcPr>
            <w:tcW w:w="0" w:type="auto"/>
            <w:gridSpan w:val="3"/>
            <w:shd w:val="clear" w:color="auto" w:fill="auto"/>
          </w:tcPr>
          <w:p w14:paraId="5EA1E44B" w14:textId="77777777" w:rsidR="003C66EB" w:rsidRDefault="003C66EB">
            <w:pPr>
              <w:rPr>
                <w:rFonts w:ascii="宋体"/>
                <w:vanish/>
              </w:rPr>
            </w:pPr>
          </w:p>
        </w:tc>
        <w:tc>
          <w:tcPr>
            <w:tcW w:w="0" w:type="auto"/>
            <w:gridSpan w:val="3"/>
            <w:shd w:val="clear" w:color="auto" w:fill="auto"/>
          </w:tcPr>
          <w:p w14:paraId="5EA1E44C" w14:textId="77777777" w:rsidR="003C66EB" w:rsidRDefault="003C66EB">
            <w:pPr>
              <w:rPr>
                <w:rFonts w:ascii="宋体"/>
                <w:vanish/>
              </w:rPr>
            </w:pPr>
          </w:p>
        </w:tc>
        <w:tc>
          <w:tcPr>
            <w:tcW w:w="0" w:type="auto"/>
            <w:gridSpan w:val="3"/>
            <w:shd w:val="clear" w:color="auto" w:fill="auto"/>
          </w:tcPr>
          <w:p w14:paraId="5EA1E44D" w14:textId="77777777" w:rsidR="003C66EB" w:rsidRDefault="003C66EB">
            <w:pPr>
              <w:rPr>
                <w:rFonts w:ascii="宋体"/>
                <w:vanish/>
              </w:rPr>
            </w:pPr>
          </w:p>
        </w:tc>
        <w:tc>
          <w:tcPr>
            <w:tcW w:w="0" w:type="auto"/>
            <w:gridSpan w:val="3"/>
            <w:shd w:val="clear" w:color="auto" w:fill="auto"/>
          </w:tcPr>
          <w:p w14:paraId="5EA1E44E" w14:textId="77777777" w:rsidR="003C66EB" w:rsidRDefault="003C66EB">
            <w:pPr>
              <w:rPr>
                <w:rFonts w:ascii="宋体"/>
                <w:vanish/>
              </w:rPr>
            </w:pPr>
          </w:p>
        </w:tc>
        <w:tc>
          <w:tcPr>
            <w:tcW w:w="0" w:type="auto"/>
            <w:gridSpan w:val="3"/>
            <w:shd w:val="clear" w:color="auto" w:fill="auto"/>
          </w:tcPr>
          <w:p w14:paraId="5EA1E44F" w14:textId="77777777" w:rsidR="003C66EB" w:rsidRDefault="003C66EB">
            <w:pPr>
              <w:rPr>
                <w:rFonts w:ascii="宋体"/>
                <w:vanish/>
              </w:rPr>
            </w:pPr>
          </w:p>
        </w:tc>
        <w:tc>
          <w:tcPr>
            <w:tcW w:w="0" w:type="auto"/>
            <w:gridSpan w:val="3"/>
            <w:shd w:val="clear" w:color="auto" w:fill="auto"/>
          </w:tcPr>
          <w:p w14:paraId="5EA1E450" w14:textId="77777777" w:rsidR="003C66EB" w:rsidRDefault="003C66EB">
            <w:pPr>
              <w:rPr>
                <w:rFonts w:ascii="宋体"/>
                <w:vanish/>
              </w:rPr>
            </w:pPr>
          </w:p>
        </w:tc>
        <w:tc>
          <w:tcPr>
            <w:tcW w:w="0" w:type="auto"/>
            <w:gridSpan w:val="3"/>
            <w:shd w:val="clear" w:color="auto" w:fill="auto"/>
          </w:tcPr>
          <w:p w14:paraId="5EA1E451" w14:textId="77777777" w:rsidR="003C66EB" w:rsidRDefault="003C66EB">
            <w:pPr>
              <w:rPr>
                <w:rFonts w:ascii="宋体"/>
                <w:vanish/>
              </w:rPr>
            </w:pPr>
          </w:p>
        </w:tc>
        <w:tc>
          <w:tcPr>
            <w:tcW w:w="0" w:type="auto"/>
            <w:gridSpan w:val="3"/>
            <w:shd w:val="clear" w:color="auto" w:fill="auto"/>
          </w:tcPr>
          <w:p w14:paraId="5EA1E452" w14:textId="77777777" w:rsidR="003C66EB" w:rsidRDefault="003C66EB">
            <w:pPr>
              <w:rPr>
                <w:rFonts w:ascii="宋体"/>
                <w:vanish/>
              </w:rPr>
            </w:pPr>
          </w:p>
        </w:tc>
        <w:tc>
          <w:tcPr>
            <w:tcW w:w="0" w:type="auto"/>
            <w:gridSpan w:val="3"/>
            <w:shd w:val="clear" w:color="auto" w:fill="auto"/>
          </w:tcPr>
          <w:p w14:paraId="5EA1E453" w14:textId="77777777" w:rsidR="003C66EB" w:rsidRDefault="003C66EB">
            <w:pPr>
              <w:rPr>
                <w:rFonts w:ascii="宋体"/>
                <w:vanish/>
              </w:rPr>
            </w:pPr>
          </w:p>
        </w:tc>
        <w:tc>
          <w:tcPr>
            <w:tcW w:w="0" w:type="auto"/>
            <w:gridSpan w:val="3"/>
            <w:shd w:val="clear" w:color="auto" w:fill="auto"/>
          </w:tcPr>
          <w:p w14:paraId="5EA1E454" w14:textId="77777777" w:rsidR="003C66EB" w:rsidRDefault="003C66EB">
            <w:pPr>
              <w:rPr>
                <w:rFonts w:ascii="宋体"/>
                <w:vanish/>
              </w:rPr>
            </w:pPr>
          </w:p>
        </w:tc>
        <w:tc>
          <w:tcPr>
            <w:tcW w:w="0" w:type="auto"/>
            <w:gridSpan w:val="3"/>
            <w:shd w:val="clear" w:color="auto" w:fill="auto"/>
          </w:tcPr>
          <w:p w14:paraId="5EA1E455" w14:textId="77777777" w:rsidR="003C66EB" w:rsidRDefault="003C66EB">
            <w:pPr>
              <w:rPr>
                <w:rFonts w:ascii="宋体"/>
                <w:vanish/>
              </w:rPr>
            </w:pPr>
          </w:p>
        </w:tc>
        <w:tc>
          <w:tcPr>
            <w:tcW w:w="0" w:type="auto"/>
            <w:gridSpan w:val="3"/>
            <w:shd w:val="clear" w:color="auto" w:fill="auto"/>
          </w:tcPr>
          <w:p w14:paraId="5EA1E456" w14:textId="77777777" w:rsidR="003C66EB" w:rsidRDefault="003C66EB">
            <w:pPr>
              <w:rPr>
                <w:rFonts w:ascii="宋体"/>
                <w:vanish/>
              </w:rPr>
            </w:pPr>
          </w:p>
        </w:tc>
        <w:tc>
          <w:tcPr>
            <w:tcW w:w="0" w:type="auto"/>
            <w:gridSpan w:val="3"/>
            <w:shd w:val="clear" w:color="auto" w:fill="auto"/>
          </w:tcPr>
          <w:p w14:paraId="5EA1E457" w14:textId="77777777" w:rsidR="003C66EB" w:rsidRDefault="003C66EB">
            <w:pPr>
              <w:rPr>
                <w:rFonts w:ascii="宋体"/>
                <w:vanish/>
              </w:rPr>
            </w:pPr>
          </w:p>
        </w:tc>
        <w:tc>
          <w:tcPr>
            <w:tcW w:w="0" w:type="auto"/>
            <w:gridSpan w:val="3"/>
            <w:shd w:val="clear" w:color="auto" w:fill="auto"/>
          </w:tcPr>
          <w:p w14:paraId="5EA1E458" w14:textId="77777777" w:rsidR="003C66EB" w:rsidRDefault="003C66EB">
            <w:pPr>
              <w:rPr>
                <w:rFonts w:ascii="宋体"/>
                <w:vanish/>
              </w:rPr>
            </w:pPr>
          </w:p>
        </w:tc>
        <w:tc>
          <w:tcPr>
            <w:tcW w:w="0" w:type="auto"/>
            <w:gridSpan w:val="3"/>
            <w:shd w:val="clear" w:color="auto" w:fill="auto"/>
          </w:tcPr>
          <w:p w14:paraId="5EA1E459" w14:textId="77777777" w:rsidR="003C66EB" w:rsidRDefault="003C66EB">
            <w:pPr>
              <w:rPr>
                <w:rFonts w:ascii="宋体"/>
                <w:vanish/>
              </w:rPr>
            </w:pPr>
          </w:p>
        </w:tc>
        <w:tc>
          <w:tcPr>
            <w:tcW w:w="0" w:type="auto"/>
            <w:gridSpan w:val="3"/>
            <w:shd w:val="clear" w:color="auto" w:fill="auto"/>
          </w:tcPr>
          <w:p w14:paraId="5EA1E45A" w14:textId="77777777" w:rsidR="003C66EB" w:rsidRDefault="003C66EB">
            <w:pPr>
              <w:rPr>
                <w:rFonts w:ascii="宋体"/>
                <w:vanish/>
              </w:rPr>
            </w:pPr>
          </w:p>
        </w:tc>
        <w:tc>
          <w:tcPr>
            <w:tcW w:w="0" w:type="auto"/>
            <w:gridSpan w:val="3"/>
            <w:shd w:val="clear" w:color="auto" w:fill="auto"/>
          </w:tcPr>
          <w:p w14:paraId="5EA1E45B" w14:textId="77777777" w:rsidR="003C66EB" w:rsidRDefault="003C66EB">
            <w:pPr>
              <w:rPr>
                <w:rFonts w:ascii="宋体"/>
                <w:vanish/>
              </w:rPr>
            </w:pPr>
          </w:p>
        </w:tc>
        <w:tc>
          <w:tcPr>
            <w:tcW w:w="0" w:type="auto"/>
            <w:gridSpan w:val="3"/>
            <w:shd w:val="clear" w:color="auto" w:fill="auto"/>
          </w:tcPr>
          <w:p w14:paraId="5EA1E45C" w14:textId="77777777" w:rsidR="003C66EB" w:rsidRDefault="003C66EB">
            <w:pPr>
              <w:rPr>
                <w:rFonts w:ascii="宋体"/>
                <w:vanish/>
              </w:rPr>
            </w:pPr>
          </w:p>
        </w:tc>
        <w:tc>
          <w:tcPr>
            <w:tcW w:w="0" w:type="auto"/>
            <w:gridSpan w:val="2"/>
            <w:shd w:val="clear" w:color="auto" w:fill="auto"/>
          </w:tcPr>
          <w:p w14:paraId="5EA1E45D" w14:textId="77777777" w:rsidR="003C66EB" w:rsidRDefault="003C66EB">
            <w:pPr>
              <w:rPr>
                <w:rFonts w:ascii="宋体"/>
                <w:vanish/>
              </w:rPr>
            </w:pPr>
          </w:p>
        </w:tc>
        <w:tc>
          <w:tcPr>
            <w:tcW w:w="0" w:type="auto"/>
            <w:shd w:val="clear" w:color="auto" w:fill="auto"/>
          </w:tcPr>
          <w:p w14:paraId="5EA1E45E" w14:textId="77777777" w:rsidR="003C66EB" w:rsidRDefault="003C66EB">
            <w:pPr>
              <w:rPr>
                <w:rFonts w:ascii="宋体"/>
                <w:vanish/>
              </w:rPr>
            </w:pPr>
          </w:p>
        </w:tc>
      </w:tr>
      <w:tr w:rsidR="003C66EB" w14:paraId="5EA1E476" w14:textId="77777777">
        <w:trPr>
          <w:hidden/>
        </w:trPr>
        <w:tc>
          <w:tcPr>
            <w:tcW w:w="0" w:type="auto"/>
            <w:gridSpan w:val="3"/>
            <w:shd w:val="clear" w:color="auto" w:fill="auto"/>
          </w:tcPr>
          <w:p w14:paraId="5EA1E460" w14:textId="77777777" w:rsidR="003C66EB" w:rsidRDefault="003C66EB">
            <w:pPr>
              <w:rPr>
                <w:rFonts w:ascii="宋体"/>
                <w:vanish/>
              </w:rPr>
            </w:pPr>
          </w:p>
        </w:tc>
        <w:tc>
          <w:tcPr>
            <w:tcW w:w="0" w:type="auto"/>
            <w:gridSpan w:val="3"/>
            <w:shd w:val="clear" w:color="auto" w:fill="auto"/>
          </w:tcPr>
          <w:p w14:paraId="5EA1E461" w14:textId="77777777" w:rsidR="003C66EB" w:rsidRDefault="003C66EB">
            <w:pPr>
              <w:rPr>
                <w:rFonts w:ascii="宋体"/>
                <w:vanish/>
              </w:rPr>
            </w:pPr>
          </w:p>
        </w:tc>
        <w:tc>
          <w:tcPr>
            <w:tcW w:w="0" w:type="auto"/>
            <w:gridSpan w:val="3"/>
            <w:shd w:val="clear" w:color="auto" w:fill="auto"/>
          </w:tcPr>
          <w:p w14:paraId="5EA1E462" w14:textId="77777777" w:rsidR="003C66EB" w:rsidRDefault="003C66EB">
            <w:pPr>
              <w:rPr>
                <w:rFonts w:ascii="宋体"/>
                <w:vanish/>
              </w:rPr>
            </w:pPr>
          </w:p>
        </w:tc>
        <w:tc>
          <w:tcPr>
            <w:tcW w:w="0" w:type="auto"/>
            <w:gridSpan w:val="3"/>
            <w:shd w:val="clear" w:color="auto" w:fill="auto"/>
          </w:tcPr>
          <w:p w14:paraId="5EA1E463" w14:textId="77777777" w:rsidR="003C66EB" w:rsidRDefault="003C66EB">
            <w:pPr>
              <w:rPr>
                <w:rFonts w:ascii="宋体"/>
                <w:vanish/>
              </w:rPr>
            </w:pPr>
          </w:p>
        </w:tc>
        <w:tc>
          <w:tcPr>
            <w:tcW w:w="0" w:type="auto"/>
            <w:gridSpan w:val="3"/>
            <w:shd w:val="clear" w:color="auto" w:fill="auto"/>
          </w:tcPr>
          <w:p w14:paraId="5EA1E464" w14:textId="77777777" w:rsidR="003C66EB" w:rsidRDefault="003C66EB">
            <w:pPr>
              <w:rPr>
                <w:rFonts w:ascii="宋体"/>
                <w:vanish/>
              </w:rPr>
            </w:pPr>
          </w:p>
        </w:tc>
        <w:tc>
          <w:tcPr>
            <w:tcW w:w="0" w:type="auto"/>
            <w:gridSpan w:val="3"/>
            <w:shd w:val="clear" w:color="auto" w:fill="auto"/>
          </w:tcPr>
          <w:p w14:paraId="5EA1E465" w14:textId="77777777" w:rsidR="003C66EB" w:rsidRDefault="003C66EB">
            <w:pPr>
              <w:rPr>
                <w:rFonts w:ascii="宋体"/>
                <w:vanish/>
              </w:rPr>
            </w:pPr>
          </w:p>
        </w:tc>
        <w:tc>
          <w:tcPr>
            <w:tcW w:w="0" w:type="auto"/>
            <w:gridSpan w:val="3"/>
            <w:shd w:val="clear" w:color="auto" w:fill="auto"/>
          </w:tcPr>
          <w:p w14:paraId="5EA1E466" w14:textId="77777777" w:rsidR="003C66EB" w:rsidRDefault="003C66EB">
            <w:pPr>
              <w:rPr>
                <w:rFonts w:ascii="宋体"/>
                <w:vanish/>
              </w:rPr>
            </w:pPr>
          </w:p>
        </w:tc>
        <w:tc>
          <w:tcPr>
            <w:tcW w:w="0" w:type="auto"/>
            <w:gridSpan w:val="3"/>
            <w:shd w:val="clear" w:color="auto" w:fill="auto"/>
          </w:tcPr>
          <w:p w14:paraId="5EA1E467" w14:textId="77777777" w:rsidR="003C66EB" w:rsidRDefault="003C66EB">
            <w:pPr>
              <w:rPr>
                <w:rFonts w:ascii="宋体"/>
                <w:vanish/>
              </w:rPr>
            </w:pPr>
          </w:p>
        </w:tc>
        <w:tc>
          <w:tcPr>
            <w:tcW w:w="0" w:type="auto"/>
            <w:gridSpan w:val="3"/>
            <w:shd w:val="clear" w:color="auto" w:fill="auto"/>
          </w:tcPr>
          <w:p w14:paraId="5EA1E468" w14:textId="77777777" w:rsidR="003C66EB" w:rsidRDefault="003C66EB">
            <w:pPr>
              <w:rPr>
                <w:rFonts w:ascii="宋体"/>
                <w:vanish/>
              </w:rPr>
            </w:pPr>
          </w:p>
        </w:tc>
        <w:tc>
          <w:tcPr>
            <w:tcW w:w="0" w:type="auto"/>
            <w:gridSpan w:val="3"/>
            <w:shd w:val="clear" w:color="auto" w:fill="auto"/>
          </w:tcPr>
          <w:p w14:paraId="5EA1E469" w14:textId="77777777" w:rsidR="003C66EB" w:rsidRDefault="003C66EB">
            <w:pPr>
              <w:rPr>
                <w:rFonts w:ascii="宋体"/>
                <w:vanish/>
              </w:rPr>
            </w:pPr>
          </w:p>
        </w:tc>
        <w:tc>
          <w:tcPr>
            <w:tcW w:w="0" w:type="auto"/>
            <w:gridSpan w:val="3"/>
            <w:shd w:val="clear" w:color="auto" w:fill="auto"/>
          </w:tcPr>
          <w:p w14:paraId="5EA1E46A" w14:textId="77777777" w:rsidR="003C66EB" w:rsidRDefault="003C66EB">
            <w:pPr>
              <w:rPr>
                <w:rFonts w:ascii="宋体"/>
                <w:vanish/>
              </w:rPr>
            </w:pPr>
          </w:p>
        </w:tc>
        <w:tc>
          <w:tcPr>
            <w:tcW w:w="0" w:type="auto"/>
            <w:gridSpan w:val="3"/>
            <w:shd w:val="clear" w:color="auto" w:fill="auto"/>
          </w:tcPr>
          <w:p w14:paraId="5EA1E46B" w14:textId="77777777" w:rsidR="003C66EB" w:rsidRDefault="003C66EB">
            <w:pPr>
              <w:rPr>
                <w:rFonts w:ascii="宋体"/>
                <w:vanish/>
              </w:rPr>
            </w:pPr>
          </w:p>
        </w:tc>
        <w:tc>
          <w:tcPr>
            <w:tcW w:w="0" w:type="auto"/>
            <w:gridSpan w:val="3"/>
            <w:shd w:val="clear" w:color="auto" w:fill="auto"/>
          </w:tcPr>
          <w:p w14:paraId="5EA1E46C" w14:textId="77777777" w:rsidR="003C66EB" w:rsidRDefault="003C66EB">
            <w:pPr>
              <w:rPr>
                <w:rFonts w:ascii="宋体"/>
                <w:vanish/>
              </w:rPr>
            </w:pPr>
          </w:p>
        </w:tc>
        <w:tc>
          <w:tcPr>
            <w:tcW w:w="0" w:type="auto"/>
            <w:gridSpan w:val="3"/>
            <w:shd w:val="clear" w:color="auto" w:fill="auto"/>
          </w:tcPr>
          <w:p w14:paraId="5EA1E46D" w14:textId="77777777" w:rsidR="003C66EB" w:rsidRDefault="003C66EB">
            <w:pPr>
              <w:rPr>
                <w:rFonts w:ascii="宋体"/>
                <w:vanish/>
              </w:rPr>
            </w:pPr>
          </w:p>
        </w:tc>
        <w:tc>
          <w:tcPr>
            <w:tcW w:w="0" w:type="auto"/>
            <w:gridSpan w:val="3"/>
            <w:shd w:val="clear" w:color="auto" w:fill="auto"/>
          </w:tcPr>
          <w:p w14:paraId="5EA1E46E" w14:textId="77777777" w:rsidR="003C66EB" w:rsidRDefault="003C66EB">
            <w:pPr>
              <w:rPr>
                <w:rFonts w:ascii="宋体"/>
                <w:vanish/>
              </w:rPr>
            </w:pPr>
          </w:p>
        </w:tc>
        <w:tc>
          <w:tcPr>
            <w:tcW w:w="0" w:type="auto"/>
            <w:gridSpan w:val="3"/>
            <w:shd w:val="clear" w:color="auto" w:fill="auto"/>
          </w:tcPr>
          <w:p w14:paraId="5EA1E46F" w14:textId="77777777" w:rsidR="003C66EB" w:rsidRDefault="003C66EB">
            <w:pPr>
              <w:rPr>
                <w:rFonts w:ascii="宋体"/>
                <w:vanish/>
              </w:rPr>
            </w:pPr>
          </w:p>
        </w:tc>
        <w:tc>
          <w:tcPr>
            <w:tcW w:w="0" w:type="auto"/>
            <w:gridSpan w:val="3"/>
            <w:shd w:val="clear" w:color="auto" w:fill="auto"/>
          </w:tcPr>
          <w:p w14:paraId="5EA1E470" w14:textId="77777777" w:rsidR="003C66EB" w:rsidRDefault="003C66EB">
            <w:pPr>
              <w:rPr>
                <w:rFonts w:ascii="宋体"/>
                <w:vanish/>
              </w:rPr>
            </w:pPr>
          </w:p>
        </w:tc>
        <w:tc>
          <w:tcPr>
            <w:tcW w:w="0" w:type="auto"/>
            <w:gridSpan w:val="3"/>
            <w:shd w:val="clear" w:color="auto" w:fill="auto"/>
          </w:tcPr>
          <w:p w14:paraId="5EA1E471" w14:textId="77777777" w:rsidR="003C66EB" w:rsidRDefault="003C66EB">
            <w:pPr>
              <w:rPr>
                <w:rFonts w:ascii="宋体"/>
                <w:vanish/>
              </w:rPr>
            </w:pPr>
          </w:p>
        </w:tc>
        <w:tc>
          <w:tcPr>
            <w:tcW w:w="0" w:type="auto"/>
            <w:gridSpan w:val="3"/>
            <w:shd w:val="clear" w:color="auto" w:fill="auto"/>
          </w:tcPr>
          <w:p w14:paraId="5EA1E472" w14:textId="77777777" w:rsidR="003C66EB" w:rsidRDefault="003C66EB">
            <w:pPr>
              <w:rPr>
                <w:rFonts w:ascii="宋体"/>
                <w:vanish/>
              </w:rPr>
            </w:pPr>
          </w:p>
        </w:tc>
        <w:tc>
          <w:tcPr>
            <w:tcW w:w="0" w:type="auto"/>
            <w:gridSpan w:val="3"/>
            <w:shd w:val="clear" w:color="auto" w:fill="auto"/>
          </w:tcPr>
          <w:p w14:paraId="5EA1E473" w14:textId="77777777" w:rsidR="003C66EB" w:rsidRDefault="003C66EB">
            <w:pPr>
              <w:rPr>
                <w:rFonts w:ascii="宋体"/>
                <w:vanish/>
              </w:rPr>
            </w:pPr>
          </w:p>
        </w:tc>
        <w:tc>
          <w:tcPr>
            <w:tcW w:w="0" w:type="auto"/>
            <w:gridSpan w:val="2"/>
            <w:shd w:val="clear" w:color="auto" w:fill="auto"/>
          </w:tcPr>
          <w:p w14:paraId="5EA1E474" w14:textId="77777777" w:rsidR="003C66EB" w:rsidRDefault="003C66EB">
            <w:pPr>
              <w:rPr>
                <w:rFonts w:ascii="宋体"/>
                <w:vanish/>
              </w:rPr>
            </w:pPr>
          </w:p>
        </w:tc>
        <w:tc>
          <w:tcPr>
            <w:tcW w:w="0" w:type="auto"/>
            <w:shd w:val="clear" w:color="auto" w:fill="auto"/>
          </w:tcPr>
          <w:p w14:paraId="5EA1E475" w14:textId="77777777" w:rsidR="003C66EB" w:rsidRDefault="003C66EB">
            <w:pPr>
              <w:rPr>
                <w:rFonts w:ascii="宋体"/>
                <w:vanish/>
              </w:rPr>
            </w:pPr>
          </w:p>
        </w:tc>
      </w:tr>
      <w:tr w:rsidR="003C66EB" w14:paraId="5EA1E48D" w14:textId="77777777">
        <w:trPr>
          <w:hidden/>
        </w:trPr>
        <w:tc>
          <w:tcPr>
            <w:tcW w:w="0" w:type="auto"/>
            <w:gridSpan w:val="3"/>
            <w:shd w:val="clear" w:color="auto" w:fill="auto"/>
          </w:tcPr>
          <w:p w14:paraId="5EA1E477" w14:textId="77777777" w:rsidR="003C66EB" w:rsidRDefault="003C66EB">
            <w:pPr>
              <w:rPr>
                <w:rFonts w:ascii="宋体"/>
                <w:vanish/>
              </w:rPr>
            </w:pPr>
          </w:p>
        </w:tc>
        <w:tc>
          <w:tcPr>
            <w:tcW w:w="0" w:type="auto"/>
            <w:gridSpan w:val="3"/>
            <w:shd w:val="clear" w:color="auto" w:fill="auto"/>
          </w:tcPr>
          <w:p w14:paraId="5EA1E478" w14:textId="77777777" w:rsidR="003C66EB" w:rsidRDefault="003C66EB">
            <w:pPr>
              <w:rPr>
                <w:rFonts w:ascii="宋体"/>
                <w:vanish/>
              </w:rPr>
            </w:pPr>
          </w:p>
        </w:tc>
        <w:tc>
          <w:tcPr>
            <w:tcW w:w="0" w:type="auto"/>
            <w:gridSpan w:val="3"/>
            <w:shd w:val="clear" w:color="auto" w:fill="auto"/>
          </w:tcPr>
          <w:p w14:paraId="5EA1E479" w14:textId="77777777" w:rsidR="003C66EB" w:rsidRDefault="003C66EB">
            <w:pPr>
              <w:rPr>
                <w:rFonts w:ascii="宋体"/>
                <w:vanish/>
              </w:rPr>
            </w:pPr>
          </w:p>
        </w:tc>
        <w:tc>
          <w:tcPr>
            <w:tcW w:w="0" w:type="auto"/>
            <w:gridSpan w:val="3"/>
            <w:shd w:val="clear" w:color="auto" w:fill="auto"/>
          </w:tcPr>
          <w:p w14:paraId="5EA1E47A" w14:textId="77777777" w:rsidR="003C66EB" w:rsidRDefault="003C66EB">
            <w:pPr>
              <w:rPr>
                <w:rFonts w:ascii="宋体"/>
                <w:vanish/>
              </w:rPr>
            </w:pPr>
          </w:p>
        </w:tc>
        <w:tc>
          <w:tcPr>
            <w:tcW w:w="0" w:type="auto"/>
            <w:gridSpan w:val="3"/>
            <w:shd w:val="clear" w:color="auto" w:fill="auto"/>
          </w:tcPr>
          <w:p w14:paraId="5EA1E47B" w14:textId="77777777" w:rsidR="003C66EB" w:rsidRDefault="003C66EB">
            <w:pPr>
              <w:rPr>
                <w:rFonts w:ascii="宋体"/>
                <w:vanish/>
              </w:rPr>
            </w:pPr>
          </w:p>
        </w:tc>
        <w:tc>
          <w:tcPr>
            <w:tcW w:w="0" w:type="auto"/>
            <w:gridSpan w:val="3"/>
            <w:shd w:val="clear" w:color="auto" w:fill="auto"/>
          </w:tcPr>
          <w:p w14:paraId="5EA1E47C" w14:textId="77777777" w:rsidR="003C66EB" w:rsidRDefault="003C66EB">
            <w:pPr>
              <w:rPr>
                <w:rFonts w:ascii="宋体"/>
                <w:vanish/>
              </w:rPr>
            </w:pPr>
          </w:p>
        </w:tc>
        <w:tc>
          <w:tcPr>
            <w:tcW w:w="0" w:type="auto"/>
            <w:gridSpan w:val="3"/>
            <w:shd w:val="clear" w:color="auto" w:fill="auto"/>
          </w:tcPr>
          <w:p w14:paraId="5EA1E47D" w14:textId="77777777" w:rsidR="003C66EB" w:rsidRDefault="003C66EB">
            <w:pPr>
              <w:rPr>
                <w:rFonts w:ascii="宋体"/>
                <w:vanish/>
              </w:rPr>
            </w:pPr>
          </w:p>
        </w:tc>
        <w:tc>
          <w:tcPr>
            <w:tcW w:w="0" w:type="auto"/>
            <w:gridSpan w:val="3"/>
            <w:shd w:val="clear" w:color="auto" w:fill="auto"/>
          </w:tcPr>
          <w:p w14:paraId="5EA1E47E" w14:textId="77777777" w:rsidR="003C66EB" w:rsidRDefault="003C66EB">
            <w:pPr>
              <w:rPr>
                <w:rFonts w:ascii="宋体"/>
                <w:vanish/>
              </w:rPr>
            </w:pPr>
          </w:p>
        </w:tc>
        <w:tc>
          <w:tcPr>
            <w:tcW w:w="0" w:type="auto"/>
            <w:gridSpan w:val="3"/>
            <w:shd w:val="clear" w:color="auto" w:fill="auto"/>
          </w:tcPr>
          <w:p w14:paraId="5EA1E47F" w14:textId="77777777" w:rsidR="003C66EB" w:rsidRDefault="003C66EB">
            <w:pPr>
              <w:rPr>
                <w:rFonts w:ascii="宋体"/>
                <w:vanish/>
              </w:rPr>
            </w:pPr>
          </w:p>
        </w:tc>
        <w:tc>
          <w:tcPr>
            <w:tcW w:w="0" w:type="auto"/>
            <w:gridSpan w:val="3"/>
            <w:shd w:val="clear" w:color="auto" w:fill="auto"/>
          </w:tcPr>
          <w:p w14:paraId="5EA1E480" w14:textId="77777777" w:rsidR="003C66EB" w:rsidRDefault="003C66EB">
            <w:pPr>
              <w:rPr>
                <w:rFonts w:ascii="宋体"/>
                <w:vanish/>
              </w:rPr>
            </w:pPr>
          </w:p>
        </w:tc>
        <w:tc>
          <w:tcPr>
            <w:tcW w:w="0" w:type="auto"/>
            <w:gridSpan w:val="3"/>
            <w:shd w:val="clear" w:color="auto" w:fill="auto"/>
          </w:tcPr>
          <w:p w14:paraId="5EA1E481" w14:textId="77777777" w:rsidR="003C66EB" w:rsidRDefault="003C66EB">
            <w:pPr>
              <w:rPr>
                <w:rFonts w:ascii="宋体"/>
                <w:vanish/>
              </w:rPr>
            </w:pPr>
          </w:p>
        </w:tc>
        <w:tc>
          <w:tcPr>
            <w:tcW w:w="0" w:type="auto"/>
            <w:gridSpan w:val="3"/>
            <w:shd w:val="clear" w:color="auto" w:fill="auto"/>
          </w:tcPr>
          <w:p w14:paraId="5EA1E482" w14:textId="77777777" w:rsidR="003C66EB" w:rsidRDefault="003C66EB">
            <w:pPr>
              <w:rPr>
                <w:rFonts w:ascii="宋体"/>
                <w:vanish/>
              </w:rPr>
            </w:pPr>
          </w:p>
        </w:tc>
        <w:tc>
          <w:tcPr>
            <w:tcW w:w="0" w:type="auto"/>
            <w:gridSpan w:val="3"/>
            <w:shd w:val="clear" w:color="auto" w:fill="auto"/>
          </w:tcPr>
          <w:p w14:paraId="5EA1E483" w14:textId="77777777" w:rsidR="003C66EB" w:rsidRDefault="003C66EB">
            <w:pPr>
              <w:rPr>
                <w:rFonts w:ascii="宋体"/>
                <w:vanish/>
              </w:rPr>
            </w:pPr>
          </w:p>
        </w:tc>
        <w:tc>
          <w:tcPr>
            <w:tcW w:w="0" w:type="auto"/>
            <w:gridSpan w:val="3"/>
            <w:shd w:val="clear" w:color="auto" w:fill="auto"/>
          </w:tcPr>
          <w:p w14:paraId="5EA1E484" w14:textId="77777777" w:rsidR="003C66EB" w:rsidRDefault="003C66EB">
            <w:pPr>
              <w:rPr>
                <w:rFonts w:ascii="宋体"/>
                <w:vanish/>
              </w:rPr>
            </w:pPr>
          </w:p>
        </w:tc>
        <w:tc>
          <w:tcPr>
            <w:tcW w:w="0" w:type="auto"/>
            <w:gridSpan w:val="3"/>
            <w:shd w:val="clear" w:color="auto" w:fill="auto"/>
          </w:tcPr>
          <w:p w14:paraId="5EA1E485" w14:textId="77777777" w:rsidR="003C66EB" w:rsidRDefault="003C66EB">
            <w:pPr>
              <w:rPr>
                <w:rFonts w:ascii="宋体"/>
                <w:vanish/>
              </w:rPr>
            </w:pPr>
          </w:p>
        </w:tc>
        <w:tc>
          <w:tcPr>
            <w:tcW w:w="0" w:type="auto"/>
            <w:gridSpan w:val="3"/>
            <w:shd w:val="clear" w:color="auto" w:fill="auto"/>
          </w:tcPr>
          <w:p w14:paraId="5EA1E486" w14:textId="77777777" w:rsidR="003C66EB" w:rsidRDefault="003C66EB">
            <w:pPr>
              <w:rPr>
                <w:rFonts w:ascii="宋体"/>
                <w:vanish/>
              </w:rPr>
            </w:pPr>
          </w:p>
        </w:tc>
        <w:tc>
          <w:tcPr>
            <w:tcW w:w="0" w:type="auto"/>
            <w:gridSpan w:val="3"/>
            <w:shd w:val="clear" w:color="auto" w:fill="auto"/>
          </w:tcPr>
          <w:p w14:paraId="5EA1E487" w14:textId="77777777" w:rsidR="003C66EB" w:rsidRDefault="003C66EB">
            <w:pPr>
              <w:rPr>
                <w:rFonts w:ascii="宋体"/>
                <w:vanish/>
              </w:rPr>
            </w:pPr>
          </w:p>
        </w:tc>
        <w:tc>
          <w:tcPr>
            <w:tcW w:w="0" w:type="auto"/>
            <w:gridSpan w:val="3"/>
            <w:shd w:val="clear" w:color="auto" w:fill="auto"/>
          </w:tcPr>
          <w:p w14:paraId="5EA1E488" w14:textId="77777777" w:rsidR="003C66EB" w:rsidRDefault="003C66EB">
            <w:pPr>
              <w:rPr>
                <w:rFonts w:ascii="宋体"/>
                <w:vanish/>
              </w:rPr>
            </w:pPr>
          </w:p>
        </w:tc>
        <w:tc>
          <w:tcPr>
            <w:tcW w:w="0" w:type="auto"/>
            <w:gridSpan w:val="3"/>
            <w:shd w:val="clear" w:color="auto" w:fill="auto"/>
          </w:tcPr>
          <w:p w14:paraId="5EA1E489" w14:textId="77777777" w:rsidR="003C66EB" w:rsidRDefault="003C66EB">
            <w:pPr>
              <w:rPr>
                <w:rFonts w:ascii="宋体"/>
                <w:vanish/>
              </w:rPr>
            </w:pPr>
          </w:p>
        </w:tc>
        <w:tc>
          <w:tcPr>
            <w:tcW w:w="0" w:type="auto"/>
            <w:gridSpan w:val="3"/>
            <w:shd w:val="clear" w:color="auto" w:fill="auto"/>
          </w:tcPr>
          <w:p w14:paraId="5EA1E48A" w14:textId="77777777" w:rsidR="003C66EB" w:rsidRDefault="003C66EB">
            <w:pPr>
              <w:rPr>
                <w:rFonts w:ascii="宋体"/>
                <w:vanish/>
              </w:rPr>
            </w:pPr>
          </w:p>
        </w:tc>
        <w:tc>
          <w:tcPr>
            <w:tcW w:w="0" w:type="auto"/>
            <w:gridSpan w:val="2"/>
            <w:shd w:val="clear" w:color="auto" w:fill="auto"/>
          </w:tcPr>
          <w:p w14:paraId="5EA1E48B" w14:textId="77777777" w:rsidR="003C66EB" w:rsidRDefault="003C66EB">
            <w:pPr>
              <w:rPr>
                <w:rFonts w:ascii="宋体"/>
                <w:vanish/>
              </w:rPr>
            </w:pPr>
          </w:p>
        </w:tc>
        <w:tc>
          <w:tcPr>
            <w:tcW w:w="0" w:type="auto"/>
            <w:shd w:val="clear" w:color="auto" w:fill="auto"/>
          </w:tcPr>
          <w:p w14:paraId="5EA1E48C" w14:textId="77777777" w:rsidR="003C66EB" w:rsidRDefault="003C66EB">
            <w:pPr>
              <w:rPr>
                <w:rFonts w:ascii="宋体"/>
                <w:vanish/>
              </w:rPr>
            </w:pPr>
          </w:p>
        </w:tc>
      </w:tr>
      <w:tr w:rsidR="003C66EB" w14:paraId="5EA1E4A4" w14:textId="77777777">
        <w:trPr>
          <w:hidden/>
        </w:trPr>
        <w:tc>
          <w:tcPr>
            <w:tcW w:w="0" w:type="auto"/>
            <w:gridSpan w:val="3"/>
            <w:shd w:val="clear" w:color="auto" w:fill="auto"/>
          </w:tcPr>
          <w:p w14:paraId="5EA1E48E" w14:textId="77777777" w:rsidR="003C66EB" w:rsidRDefault="003C66EB">
            <w:pPr>
              <w:rPr>
                <w:rFonts w:ascii="宋体"/>
                <w:vanish/>
              </w:rPr>
            </w:pPr>
          </w:p>
        </w:tc>
        <w:tc>
          <w:tcPr>
            <w:tcW w:w="0" w:type="auto"/>
            <w:gridSpan w:val="3"/>
            <w:shd w:val="clear" w:color="auto" w:fill="auto"/>
          </w:tcPr>
          <w:p w14:paraId="5EA1E48F" w14:textId="77777777" w:rsidR="003C66EB" w:rsidRDefault="003C66EB">
            <w:pPr>
              <w:rPr>
                <w:rFonts w:ascii="宋体"/>
                <w:vanish/>
              </w:rPr>
            </w:pPr>
          </w:p>
        </w:tc>
        <w:tc>
          <w:tcPr>
            <w:tcW w:w="0" w:type="auto"/>
            <w:gridSpan w:val="3"/>
            <w:shd w:val="clear" w:color="auto" w:fill="auto"/>
          </w:tcPr>
          <w:p w14:paraId="5EA1E490" w14:textId="77777777" w:rsidR="003C66EB" w:rsidRDefault="003C66EB">
            <w:pPr>
              <w:rPr>
                <w:rFonts w:ascii="宋体"/>
                <w:vanish/>
              </w:rPr>
            </w:pPr>
          </w:p>
        </w:tc>
        <w:tc>
          <w:tcPr>
            <w:tcW w:w="0" w:type="auto"/>
            <w:gridSpan w:val="3"/>
            <w:shd w:val="clear" w:color="auto" w:fill="auto"/>
          </w:tcPr>
          <w:p w14:paraId="5EA1E491" w14:textId="77777777" w:rsidR="003C66EB" w:rsidRDefault="003C66EB">
            <w:pPr>
              <w:rPr>
                <w:rFonts w:ascii="宋体"/>
                <w:vanish/>
              </w:rPr>
            </w:pPr>
          </w:p>
        </w:tc>
        <w:tc>
          <w:tcPr>
            <w:tcW w:w="0" w:type="auto"/>
            <w:gridSpan w:val="3"/>
            <w:shd w:val="clear" w:color="auto" w:fill="auto"/>
          </w:tcPr>
          <w:p w14:paraId="5EA1E492" w14:textId="77777777" w:rsidR="003C66EB" w:rsidRDefault="003C66EB">
            <w:pPr>
              <w:rPr>
                <w:rFonts w:ascii="宋体"/>
                <w:vanish/>
              </w:rPr>
            </w:pPr>
          </w:p>
        </w:tc>
        <w:tc>
          <w:tcPr>
            <w:tcW w:w="0" w:type="auto"/>
            <w:gridSpan w:val="3"/>
            <w:shd w:val="clear" w:color="auto" w:fill="auto"/>
          </w:tcPr>
          <w:p w14:paraId="5EA1E493" w14:textId="77777777" w:rsidR="003C66EB" w:rsidRDefault="003C66EB">
            <w:pPr>
              <w:rPr>
                <w:rFonts w:ascii="宋体"/>
                <w:vanish/>
              </w:rPr>
            </w:pPr>
          </w:p>
        </w:tc>
        <w:tc>
          <w:tcPr>
            <w:tcW w:w="0" w:type="auto"/>
            <w:gridSpan w:val="3"/>
            <w:shd w:val="clear" w:color="auto" w:fill="auto"/>
          </w:tcPr>
          <w:p w14:paraId="5EA1E494" w14:textId="77777777" w:rsidR="003C66EB" w:rsidRDefault="003C66EB">
            <w:pPr>
              <w:rPr>
                <w:rFonts w:ascii="宋体"/>
                <w:vanish/>
              </w:rPr>
            </w:pPr>
          </w:p>
        </w:tc>
        <w:tc>
          <w:tcPr>
            <w:tcW w:w="0" w:type="auto"/>
            <w:gridSpan w:val="3"/>
            <w:shd w:val="clear" w:color="auto" w:fill="auto"/>
          </w:tcPr>
          <w:p w14:paraId="5EA1E495" w14:textId="77777777" w:rsidR="003C66EB" w:rsidRDefault="003C66EB">
            <w:pPr>
              <w:rPr>
                <w:rFonts w:ascii="宋体"/>
                <w:vanish/>
              </w:rPr>
            </w:pPr>
          </w:p>
        </w:tc>
        <w:tc>
          <w:tcPr>
            <w:tcW w:w="0" w:type="auto"/>
            <w:gridSpan w:val="3"/>
            <w:shd w:val="clear" w:color="auto" w:fill="auto"/>
          </w:tcPr>
          <w:p w14:paraId="5EA1E496" w14:textId="77777777" w:rsidR="003C66EB" w:rsidRDefault="003C66EB">
            <w:pPr>
              <w:rPr>
                <w:rFonts w:ascii="宋体"/>
                <w:vanish/>
              </w:rPr>
            </w:pPr>
          </w:p>
        </w:tc>
        <w:tc>
          <w:tcPr>
            <w:tcW w:w="0" w:type="auto"/>
            <w:gridSpan w:val="3"/>
            <w:shd w:val="clear" w:color="auto" w:fill="auto"/>
          </w:tcPr>
          <w:p w14:paraId="5EA1E497" w14:textId="77777777" w:rsidR="003C66EB" w:rsidRDefault="003C66EB">
            <w:pPr>
              <w:rPr>
                <w:rFonts w:ascii="宋体"/>
                <w:vanish/>
              </w:rPr>
            </w:pPr>
          </w:p>
        </w:tc>
        <w:tc>
          <w:tcPr>
            <w:tcW w:w="0" w:type="auto"/>
            <w:gridSpan w:val="3"/>
            <w:shd w:val="clear" w:color="auto" w:fill="auto"/>
          </w:tcPr>
          <w:p w14:paraId="5EA1E498" w14:textId="77777777" w:rsidR="003C66EB" w:rsidRDefault="003C66EB">
            <w:pPr>
              <w:rPr>
                <w:rFonts w:ascii="宋体"/>
                <w:vanish/>
              </w:rPr>
            </w:pPr>
          </w:p>
        </w:tc>
        <w:tc>
          <w:tcPr>
            <w:tcW w:w="0" w:type="auto"/>
            <w:gridSpan w:val="3"/>
            <w:shd w:val="clear" w:color="auto" w:fill="auto"/>
          </w:tcPr>
          <w:p w14:paraId="5EA1E499" w14:textId="77777777" w:rsidR="003C66EB" w:rsidRDefault="003C66EB">
            <w:pPr>
              <w:rPr>
                <w:rFonts w:ascii="宋体"/>
                <w:vanish/>
              </w:rPr>
            </w:pPr>
          </w:p>
        </w:tc>
        <w:tc>
          <w:tcPr>
            <w:tcW w:w="0" w:type="auto"/>
            <w:gridSpan w:val="3"/>
            <w:shd w:val="clear" w:color="auto" w:fill="auto"/>
          </w:tcPr>
          <w:p w14:paraId="5EA1E49A" w14:textId="77777777" w:rsidR="003C66EB" w:rsidRDefault="003C66EB">
            <w:pPr>
              <w:rPr>
                <w:rFonts w:ascii="宋体"/>
                <w:vanish/>
              </w:rPr>
            </w:pPr>
          </w:p>
        </w:tc>
        <w:tc>
          <w:tcPr>
            <w:tcW w:w="0" w:type="auto"/>
            <w:gridSpan w:val="3"/>
            <w:shd w:val="clear" w:color="auto" w:fill="auto"/>
          </w:tcPr>
          <w:p w14:paraId="5EA1E49B" w14:textId="77777777" w:rsidR="003C66EB" w:rsidRDefault="003C66EB">
            <w:pPr>
              <w:rPr>
                <w:rFonts w:ascii="宋体"/>
                <w:vanish/>
              </w:rPr>
            </w:pPr>
          </w:p>
        </w:tc>
        <w:tc>
          <w:tcPr>
            <w:tcW w:w="0" w:type="auto"/>
            <w:gridSpan w:val="3"/>
            <w:shd w:val="clear" w:color="auto" w:fill="auto"/>
          </w:tcPr>
          <w:p w14:paraId="5EA1E49C" w14:textId="77777777" w:rsidR="003C66EB" w:rsidRDefault="003C66EB">
            <w:pPr>
              <w:rPr>
                <w:rFonts w:ascii="宋体"/>
                <w:vanish/>
              </w:rPr>
            </w:pPr>
          </w:p>
        </w:tc>
        <w:tc>
          <w:tcPr>
            <w:tcW w:w="0" w:type="auto"/>
            <w:gridSpan w:val="3"/>
            <w:shd w:val="clear" w:color="auto" w:fill="auto"/>
          </w:tcPr>
          <w:p w14:paraId="5EA1E49D" w14:textId="77777777" w:rsidR="003C66EB" w:rsidRDefault="003C66EB">
            <w:pPr>
              <w:rPr>
                <w:rFonts w:ascii="宋体"/>
                <w:vanish/>
              </w:rPr>
            </w:pPr>
          </w:p>
        </w:tc>
        <w:tc>
          <w:tcPr>
            <w:tcW w:w="0" w:type="auto"/>
            <w:gridSpan w:val="3"/>
            <w:shd w:val="clear" w:color="auto" w:fill="auto"/>
          </w:tcPr>
          <w:p w14:paraId="5EA1E49E" w14:textId="77777777" w:rsidR="003C66EB" w:rsidRDefault="003C66EB">
            <w:pPr>
              <w:rPr>
                <w:rFonts w:ascii="宋体"/>
                <w:vanish/>
              </w:rPr>
            </w:pPr>
          </w:p>
        </w:tc>
        <w:tc>
          <w:tcPr>
            <w:tcW w:w="0" w:type="auto"/>
            <w:gridSpan w:val="3"/>
            <w:shd w:val="clear" w:color="auto" w:fill="auto"/>
          </w:tcPr>
          <w:p w14:paraId="5EA1E49F" w14:textId="77777777" w:rsidR="003C66EB" w:rsidRDefault="003C66EB">
            <w:pPr>
              <w:rPr>
                <w:rFonts w:ascii="宋体"/>
                <w:vanish/>
              </w:rPr>
            </w:pPr>
          </w:p>
        </w:tc>
        <w:tc>
          <w:tcPr>
            <w:tcW w:w="0" w:type="auto"/>
            <w:gridSpan w:val="3"/>
            <w:shd w:val="clear" w:color="auto" w:fill="auto"/>
          </w:tcPr>
          <w:p w14:paraId="5EA1E4A0" w14:textId="77777777" w:rsidR="003C66EB" w:rsidRDefault="003C66EB">
            <w:pPr>
              <w:rPr>
                <w:rFonts w:ascii="宋体"/>
                <w:vanish/>
              </w:rPr>
            </w:pPr>
          </w:p>
        </w:tc>
        <w:tc>
          <w:tcPr>
            <w:tcW w:w="0" w:type="auto"/>
            <w:gridSpan w:val="3"/>
            <w:shd w:val="clear" w:color="auto" w:fill="auto"/>
          </w:tcPr>
          <w:p w14:paraId="5EA1E4A1" w14:textId="77777777" w:rsidR="003C66EB" w:rsidRDefault="003C66EB">
            <w:pPr>
              <w:rPr>
                <w:rFonts w:ascii="宋体"/>
                <w:vanish/>
              </w:rPr>
            </w:pPr>
          </w:p>
        </w:tc>
        <w:tc>
          <w:tcPr>
            <w:tcW w:w="0" w:type="auto"/>
            <w:gridSpan w:val="2"/>
            <w:shd w:val="clear" w:color="auto" w:fill="auto"/>
          </w:tcPr>
          <w:p w14:paraId="5EA1E4A2" w14:textId="77777777" w:rsidR="003C66EB" w:rsidRDefault="003C66EB">
            <w:pPr>
              <w:rPr>
                <w:rFonts w:ascii="宋体"/>
                <w:vanish/>
              </w:rPr>
            </w:pPr>
          </w:p>
        </w:tc>
        <w:tc>
          <w:tcPr>
            <w:tcW w:w="0" w:type="auto"/>
            <w:shd w:val="clear" w:color="auto" w:fill="auto"/>
          </w:tcPr>
          <w:p w14:paraId="5EA1E4A3" w14:textId="77777777" w:rsidR="003C66EB" w:rsidRDefault="003C66EB">
            <w:pPr>
              <w:rPr>
                <w:rFonts w:ascii="宋体"/>
                <w:vanish/>
              </w:rPr>
            </w:pPr>
          </w:p>
        </w:tc>
      </w:tr>
      <w:tr w:rsidR="003C66EB" w14:paraId="5EA1E4BB" w14:textId="77777777">
        <w:trPr>
          <w:hidden/>
        </w:trPr>
        <w:tc>
          <w:tcPr>
            <w:tcW w:w="0" w:type="auto"/>
            <w:gridSpan w:val="3"/>
            <w:shd w:val="clear" w:color="auto" w:fill="auto"/>
          </w:tcPr>
          <w:p w14:paraId="5EA1E4A5" w14:textId="77777777" w:rsidR="003C66EB" w:rsidRDefault="003C66EB">
            <w:pPr>
              <w:rPr>
                <w:rFonts w:ascii="宋体"/>
                <w:vanish/>
              </w:rPr>
            </w:pPr>
          </w:p>
        </w:tc>
        <w:tc>
          <w:tcPr>
            <w:tcW w:w="0" w:type="auto"/>
            <w:gridSpan w:val="3"/>
            <w:shd w:val="clear" w:color="auto" w:fill="auto"/>
          </w:tcPr>
          <w:p w14:paraId="5EA1E4A6" w14:textId="77777777" w:rsidR="003C66EB" w:rsidRDefault="003C66EB">
            <w:pPr>
              <w:rPr>
                <w:rFonts w:ascii="宋体"/>
                <w:vanish/>
              </w:rPr>
            </w:pPr>
          </w:p>
        </w:tc>
        <w:tc>
          <w:tcPr>
            <w:tcW w:w="0" w:type="auto"/>
            <w:gridSpan w:val="3"/>
            <w:shd w:val="clear" w:color="auto" w:fill="auto"/>
          </w:tcPr>
          <w:p w14:paraId="5EA1E4A7" w14:textId="77777777" w:rsidR="003C66EB" w:rsidRDefault="003C66EB">
            <w:pPr>
              <w:rPr>
                <w:rFonts w:ascii="宋体"/>
                <w:vanish/>
              </w:rPr>
            </w:pPr>
          </w:p>
        </w:tc>
        <w:tc>
          <w:tcPr>
            <w:tcW w:w="0" w:type="auto"/>
            <w:gridSpan w:val="3"/>
            <w:shd w:val="clear" w:color="auto" w:fill="auto"/>
          </w:tcPr>
          <w:p w14:paraId="5EA1E4A8" w14:textId="77777777" w:rsidR="003C66EB" w:rsidRDefault="003C66EB">
            <w:pPr>
              <w:rPr>
                <w:rFonts w:ascii="宋体"/>
                <w:vanish/>
              </w:rPr>
            </w:pPr>
          </w:p>
        </w:tc>
        <w:tc>
          <w:tcPr>
            <w:tcW w:w="0" w:type="auto"/>
            <w:gridSpan w:val="3"/>
            <w:shd w:val="clear" w:color="auto" w:fill="auto"/>
          </w:tcPr>
          <w:p w14:paraId="5EA1E4A9" w14:textId="77777777" w:rsidR="003C66EB" w:rsidRDefault="003C66EB">
            <w:pPr>
              <w:rPr>
                <w:rFonts w:ascii="宋体"/>
                <w:vanish/>
              </w:rPr>
            </w:pPr>
          </w:p>
        </w:tc>
        <w:tc>
          <w:tcPr>
            <w:tcW w:w="0" w:type="auto"/>
            <w:gridSpan w:val="3"/>
            <w:shd w:val="clear" w:color="auto" w:fill="auto"/>
          </w:tcPr>
          <w:p w14:paraId="5EA1E4AA" w14:textId="77777777" w:rsidR="003C66EB" w:rsidRDefault="003C66EB">
            <w:pPr>
              <w:rPr>
                <w:rFonts w:ascii="宋体"/>
                <w:vanish/>
              </w:rPr>
            </w:pPr>
          </w:p>
        </w:tc>
        <w:tc>
          <w:tcPr>
            <w:tcW w:w="0" w:type="auto"/>
            <w:gridSpan w:val="3"/>
            <w:shd w:val="clear" w:color="auto" w:fill="auto"/>
          </w:tcPr>
          <w:p w14:paraId="5EA1E4AB" w14:textId="77777777" w:rsidR="003C66EB" w:rsidRDefault="003C66EB">
            <w:pPr>
              <w:rPr>
                <w:rFonts w:ascii="宋体"/>
                <w:vanish/>
              </w:rPr>
            </w:pPr>
          </w:p>
        </w:tc>
        <w:tc>
          <w:tcPr>
            <w:tcW w:w="0" w:type="auto"/>
            <w:gridSpan w:val="3"/>
            <w:shd w:val="clear" w:color="auto" w:fill="auto"/>
          </w:tcPr>
          <w:p w14:paraId="5EA1E4AC" w14:textId="77777777" w:rsidR="003C66EB" w:rsidRDefault="003C66EB">
            <w:pPr>
              <w:rPr>
                <w:rFonts w:ascii="宋体"/>
                <w:vanish/>
              </w:rPr>
            </w:pPr>
          </w:p>
        </w:tc>
        <w:tc>
          <w:tcPr>
            <w:tcW w:w="0" w:type="auto"/>
            <w:gridSpan w:val="3"/>
            <w:shd w:val="clear" w:color="auto" w:fill="auto"/>
          </w:tcPr>
          <w:p w14:paraId="5EA1E4AD" w14:textId="77777777" w:rsidR="003C66EB" w:rsidRDefault="003C66EB">
            <w:pPr>
              <w:rPr>
                <w:rFonts w:ascii="宋体"/>
                <w:vanish/>
              </w:rPr>
            </w:pPr>
          </w:p>
        </w:tc>
        <w:tc>
          <w:tcPr>
            <w:tcW w:w="0" w:type="auto"/>
            <w:gridSpan w:val="3"/>
            <w:shd w:val="clear" w:color="auto" w:fill="auto"/>
          </w:tcPr>
          <w:p w14:paraId="5EA1E4AE" w14:textId="77777777" w:rsidR="003C66EB" w:rsidRDefault="003C66EB">
            <w:pPr>
              <w:rPr>
                <w:rFonts w:ascii="宋体"/>
                <w:vanish/>
              </w:rPr>
            </w:pPr>
          </w:p>
        </w:tc>
        <w:tc>
          <w:tcPr>
            <w:tcW w:w="0" w:type="auto"/>
            <w:gridSpan w:val="3"/>
            <w:shd w:val="clear" w:color="auto" w:fill="auto"/>
          </w:tcPr>
          <w:p w14:paraId="5EA1E4AF" w14:textId="77777777" w:rsidR="003C66EB" w:rsidRDefault="003C66EB">
            <w:pPr>
              <w:rPr>
                <w:rFonts w:ascii="宋体"/>
                <w:vanish/>
              </w:rPr>
            </w:pPr>
          </w:p>
        </w:tc>
        <w:tc>
          <w:tcPr>
            <w:tcW w:w="0" w:type="auto"/>
            <w:gridSpan w:val="3"/>
            <w:shd w:val="clear" w:color="auto" w:fill="auto"/>
          </w:tcPr>
          <w:p w14:paraId="5EA1E4B0" w14:textId="77777777" w:rsidR="003C66EB" w:rsidRDefault="003C66EB">
            <w:pPr>
              <w:rPr>
                <w:rFonts w:ascii="宋体"/>
                <w:vanish/>
              </w:rPr>
            </w:pPr>
          </w:p>
        </w:tc>
        <w:tc>
          <w:tcPr>
            <w:tcW w:w="0" w:type="auto"/>
            <w:gridSpan w:val="3"/>
            <w:shd w:val="clear" w:color="auto" w:fill="auto"/>
          </w:tcPr>
          <w:p w14:paraId="5EA1E4B1" w14:textId="77777777" w:rsidR="003C66EB" w:rsidRDefault="003C66EB">
            <w:pPr>
              <w:rPr>
                <w:rFonts w:ascii="宋体"/>
                <w:vanish/>
              </w:rPr>
            </w:pPr>
          </w:p>
        </w:tc>
        <w:tc>
          <w:tcPr>
            <w:tcW w:w="0" w:type="auto"/>
            <w:gridSpan w:val="3"/>
            <w:shd w:val="clear" w:color="auto" w:fill="auto"/>
          </w:tcPr>
          <w:p w14:paraId="5EA1E4B2" w14:textId="77777777" w:rsidR="003C66EB" w:rsidRDefault="003C66EB">
            <w:pPr>
              <w:rPr>
                <w:rFonts w:ascii="宋体"/>
                <w:vanish/>
              </w:rPr>
            </w:pPr>
          </w:p>
        </w:tc>
        <w:tc>
          <w:tcPr>
            <w:tcW w:w="0" w:type="auto"/>
            <w:gridSpan w:val="3"/>
            <w:shd w:val="clear" w:color="auto" w:fill="auto"/>
          </w:tcPr>
          <w:p w14:paraId="5EA1E4B3" w14:textId="77777777" w:rsidR="003C66EB" w:rsidRDefault="003C66EB">
            <w:pPr>
              <w:rPr>
                <w:rFonts w:ascii="宋体"/>
                <w:vanish/>
              </w:rPr>
            </w:pPr>
          </w:p>
        </w:tc>
        <w:tc>
          <w:tcPr>
            <w:tcW w:w="0" w:type="auto"/>
            <w:gridSpan w:val="3"/>
            <w:shd w:val="clear" w:color="auto" w:fill="auto"/>
          </w:tcPr>
          <w:p w14:paraId="5EA1E4B4" w14:textId="77777777" w:rsidR="003C66EB" w:rsidRDefault="003C66EB">
            <w:pPr>
              <w:rPr>
                <w:rFonts w:ascii="宋体"/>
                <w:vanish/>
              </w:rPr>
            </w:pPr>
          </w:p>
        </w:tc>
        <w:tc>
          <w:tcPr>
            <w:tcW w:w="0" w:type="auto"/>
            <w:gridSpan w:val="3"/>
            <w:shd w:val="clear" w:color="auto" w:fill="auto"/>
          </w:tcPr>
          <w:p w14:paraId="5EA1E4B5" w14:textId="77777777" w:rsidR="003C66EB" w:rsidRDefault="003C66EB">
            <w:pPr>
              <w:rPr>
                <w:rFonts w:ascii="宋体"/>
                <w:vanish/>
              </w:rPr>
            </w:pPr>
          </w:p>
        </w:tc>
        <w:tc>
          <w:tcPr>
            <w:tcW w:w="0" w:type="auto"/>
            <w:gridSpan w:val="3"/>
            <w:shd w:val="clear" w:color="auto" w:fill="auto"/>
          </w:tcPr>
          <w:p w14:paraId="5EA1E4B6" w14:textId="77777777" w:rsidR="003C66EB" w:rsidRDefault="003C66EB">
            <w:pPr>
              <w:rPr>
                <w:rFonts w:ascii="宋体"/>
                <w:vanish/>
              </w:rPr>
            </w:pPr>
          </w:p>
        </w:tc>
        <w:tc>
          <w:tcPr>
            <w:tcW w:w="0" w:type="auto"/>
            <w:gridSpan w:val="3"/>
            <w:shd w:val="clear" w:color="auto" w:fill="auto"/>
          </w:tcPr>
          <w:p w14:paraId="5EA1E4B7" w14:textId="77777777" w:rsidR="003C66EB" w:rsidRDefault="003C66EB">
            <w:pPr>
              <w:rPr>
                <w:rFonts w:ascii="宋体"/>
                <w:vanish/>
              </w:rPr>
            </w:pPr>
          </w:p>
        </w:tc>
        <w:tc>
          <w:tcPr>
            <w:tcW w:w="0" w:type="auto"/>
            <w:gridSpan w:val="3"/>
            <w:shd w:val="clear" w:color="auto" w:fill="auto"/>
          </w:tcPr>
          <w:p w14:paraId="5EA1E4B8" w14:textId="77777777" w:rsidR="003C66EB" w:rsidRDefault="003C66EB">
            <w:pPr>
              <w:rPr>
                <w:rFonts w:ascii="宋体"/>
                <w:vanish/>
              </w:rPr>
            </w:pPr>
          </w:p>
        </w:tc>
        <w:tc>
          <w:tcPr>
            <w:tcW w:w="0" w:type="auto"/>
            <w:gridSpan w:val="2"/>
            <w:shd w:val="clear" w:color="auto" w:fill="auto"/>
          </w:tcPr>
          <w:p w14:paraId="5EA1E4B9" w14:textId="77777777" w:rsidR="003C66EB" w:rsidRDefault="003C66EB">
            <w:pPr>
              <w:rPr>
                <w:rFonts w:ascii="宋体"/>
                <w:vanish/>
              </w:rPr>
            </w:pPr>
          </w:p>
        </w:tc>
        <w:tc>
          <w:tcPr>
            <w:tcW w:w="0" w:type="auto"/>
            <w:shd w:val="clear" w:color="auto" w:fill="auto"/>
          </w:tcPr>
          <w:p w14:paraId="5EA1E4BA" w14:textId="77777777" w:rsidR="003C66EB" w:rsidRDefault="003C66EB">
            <w:pPr>
              <w:rPr>
                <w:rFonts w:ascii="宋体"/>
                <w:vanish/>
              </w:rPr>
            </w:pPr>
          </w:p>
        </w:tc>
      </w:tr>
      <w:tr w:rsidR="003C66EB" w14:paraId="5EA1E4D2" w14:textId="77777777">
        <w:trPr>
          <w:hidden/>
        </w:trPr>
        <w:tc>
          <w:tcPr>
            <w:tcW w:w="0" w:type="auto"/>
            <w:gridSpan w:val="3"/>
            <w:shd w:val="clear" w:color="auto" w:fill="auto"/>
          </w:tcPr>
          <w:p w14:paraId="5EA1E4BC" w14:textId="77777777" w:rsidR="003C66EB" w:rsidRDefault="003C66EB">
            <w:pPr>
              <w:rPr>
                <w:rFonts w:ascii="宋体"/>
                <w:vanish/>
              </w:rPr>
            </w:pPr>
          </w:p>
        </w:tc>
        <w:tc>
          <w:tcPr>
            <w:tcW w:w="0" w:type="auto"/>
            <w:gridSpan w:val="3"/>
            <w:shd w:val="clear" w:color="auto" w:fill="auto"/>
          </w:tcPr>
          <w:p w14:paraId="5EA1E4BD" w14:textId="77777777" w:rsidR="003C66EB" w:rsidRDefault="003C66EB">
            <w:pPr>
              <w:rPr>
                <w:rFonts w:ascii="宋体"/>
                <w:vanish/>
              </w:rPr>
            </w:pPr>
          </w:p>
        </w:tc>
        <w:tc>
          <w:tcPr>
            <w:tcW w:w="0" w:type="auto"/>
            <w:gridSpan w:val="3"/>
            <w:shd w:val="clear" w:color="auto" w:fill="auto"/>
          </w:tcPr>
          <w:p w14:paraId="5EA1E4BE" w14:textId="77777777" w:rsidR="003C66EB" w:rsidRDefault="003C66EB">
            <w:pPr>
              <w:rPr>
                <w:rFonts w:ascii="宋体"/>
                <w:vanish/>
              </w:rPr>
            </w:pPr>
          </w:p>
        </w:tc>
        <w:tc>
          <w:tcPr>
            <w:tcW w:w="0" w:type="auto"/>
            <w:gridSpan w:val="3"/>
            <w:shd w:val="clear" w:color="auto" w:fill="auto"/>
          </w:tcPr>
          <w:p w14:paraId="5EA1E4BF" w14:textId="77777777" w:rsidR="003C66EB" w:rsidRDefault="003C66EB">
            <w:pPr>
              <w:rPr>
                <w:rFonts w:ascii="宋体"/>
                <w:vanish/>
              </w:rPr>
            </w:pPr>
          </w:p>
        </w:tc>
        <w:tc>
          <w:tcPr>
            <w:tcW w:w="0" w:type="auto"/>
            <w:gridSpan w:val="3"/>
            <w:shd w:val="clear" w:color="auto" w:fill="auto"/>
          </w:tcPr>
          <w:p w14:paraId="5EA1E4C0" w14:textId="77777777" w:rsidR="003C66EB" w:rsidRDefault="003C66EB">
            <w:pPr>
              <w:rPr>
                <w:rFonts w:ascii="宋体"/>
                <w:vanish/>
              </w:rPr>
            </w:pPr>
          </w:p>
        </w:tc>
        <w:tc>
          <w:tcPr>
            <w:tcW w:w="0" w:type="auto"/>
            <w:gridSpan w:val="3"/>
            <w:shd w:val="clear" w:color="auto" w:fill="auto"/>
          </w:tcPr>
          <w:p w14:paraId="5EA1E4C1" w14:textId="77777777" w:rsidR="003C66EB" w:rsidRDefault="003C66EB">
            <w:pPr>
              <w:rPr>
                <w:rFonts w:ascii="宋体"/>
                <w:vanish/>
              </w:rPr>
            </w:pPr>
          </w:p>
        </w:tc>
        <w:tc>
          <w:tcPr>
            <w:tcW w:w="0" w:type="auto"/>
            <w:gridSpan w:val="3"/>
            <w:shd w:val="clear" w:color="auto" w:fill="auto"/>
          </w:tcPr>
          <w:p w14:paraId="5EA1E4C2" w14:textId="77777777" w:rsidR="003C66EB" w:rsidRDefault="003C66EB">
            <w:pPr>
              <w:rPr>
                <w:rFonts w:ascii="宋体"/>
                <w:vanish/>
              </w:rPr>
            </w:pPr>
          </w:p>
        </w:tc>
        <w:tc>
          <w:tcPr>
            <w:tcW w:w="0" w:type="auto"/>
            <w:gridSpan w:val="3"/>
            <w:shd w:val="clear" w:color="auto" w:fill="auto"/>
          </w:tcPr>
          <w:p w14:paraId="5EA1E4C3" w14:textId="77777777" w:rsidR="003C66EB" w:rsidRDefault="003C66EB">
            <w:pPr>
              <w:rPr>
                <w:rFonts w:ascii="宋体"/>
                <w:vanish/>
              </w:rPr>
            </w:pPr>
          </w:p>
        </w:tc>
        <w:tc>
          <w:tcPr>
            <w:tcW w:w="0" w:type="auto"/>
            <w:gridSpan w:val="3"/>
            <w:shd w:val="clear" w:color="auto" w:fill="auto"/>
          </w:tcPr>
          <w:p w14:paraId="5EA1E4C4" w14:textId="77777777" w:rsidR="003C66EB" w:rsidRDefault="003C66EB">
            <w:pPr>
              <w:rPr>
                <w:rFonts w:ascii="宋体"/>
                <w:vanish/>
              </w:rPr>
            </w:pPr>
          </w:p>
        </w:tc>
        <w:tc>
          <w:tcPr>
            <w:tcW w:w="0" w:type="auto"/>
            <w:gridSpan w:val="3"/>
            <w:shd w:val="clear" w:color="auto" w:fill="auto"/>
          </w:tcPr>
          <w:p w14:paraId="5EA1E4C5" w14:textId="77777777" w:rsidR="003C66EB" w:rsidRDefault="003C66EB">
            <w:pPr>
              <w:rPr>
                <w:rFonts w:ascii="宋体"/>
                <w:vanish/>
              </w:rPr>
            </w:pPr>
          </w:p>
        </w:tc>
        <w:tc>
          <w:tcPr>
            <w:tcW w:w="0" w:type="auto"/>
            <w:gridSpan w:val="3"/>
            <w:shd w:val="clear" w:color="auto" w:fill="auto"/>
          </w:tcPr>
          <w:p w14:paraId="5EA1E4C6" w14:textId="77777777" w:rsidR="003C66EB" w:rsidRDefault="003C66EB">
            <w:pPr>
              <w:rPr>
                <w:rFonts w:ascii="宋体"/>
                <w:vanish/>
              </w:rPr>
            </w:pPr>
          </w:p>
        </w:tc>
        <w:tc>
          <w:tcPr>
            <w:tcW w:w="0" w:type="auto"/>
            <w:gridSpan w:val="3"/>
            <w:shd w:val="clear" w:color="auto" w:fill="auto"/>
          </w:tcPr>
          <w:p w14:paraId="5EA1E4C7" w14:textId="77777777" w:rsidR="003C66EB" w:rsidRDefault="003C66EB">
            <w:pPr>
              <w:rPr>
                <w:rFonts w:ascii="宋体"/>
                <w:vanish/>
              </w:rPr>
            </w:pPr>
          </w:p>
        </w:tc>
        <w:tc>
          <w:tcPr>
            <w:tcW w:w="0" w:type="auto"/>
            <w:gridSpan w:val="3"/>
            <w:shd w:val="clear" w:color="auto" w:fill="auto"/>
          </w:tcPr>
          <w:p w14:paraId="5EA1E4C8" w14:textId="77777777" w:rsidR="003C66EB" w:rsidRDefault="003C66EB">
            <w:pPr>
              <w:rPr>
                <w:rFonts w:ascii="宋体"/>
                <w:vanish/>
              </w:rPr>
            </w:pPr>
          </w:p>
        </w:tc>
        <w:tc>
          <w:tcPr>
            <w:tcW w:w="0" w:type="auto"/>
            <w:gridSpan w:val="3"/>
            <w:shd w:val="clear" w:color="auto" w:fill="auto"/>
          </w:tcPr>
          <w:p w14:paraId="5EA1E4C9" w14:textId="77777777" w:rsidR="003C66EB" w:rsidRDefault="003C66EB">
            <w:pPr>
              <w:rPr>
                <w:rFonts w:ascii="宋体"/>
                <w:vanish/>
              </w:rPr>
            </w:pPr>
          </w:p>
        </w:tc>
        <w:tc>
          <w:tcPr>
            <w:tcW w:w="0" w:type="auto"/>
            <w:gridSpan w:val="3"/>
            <w:shd w:val="clear" w:color="auto" w:fill="auto"/>
          </w:tcPr>
          <w:p w14:paraId="5EA1E4CA" w14:textId="77777777" w:rsidR="003C66EB" w:rsidRDefault="003C66EB">
            <w:pPr>
              <w:rPr>
                <w:rFonts w:ascii="宋体"/>
                <w:vanish/>
              </w:rPr>
            </w:pPr>
          </w:p>
        </w:tc>
        <w:tc>
          <w:tcPr>
            <w:tcW w:w="0" w:type="auto"/>
            <w:gridSpan w:val="3"/>
            <w:shd w:val="clear" w:color="auto" w:fill="auto"/>
          </w:tcPr>
          <w:p w14:paraId="5EA1E4CB" w14:textId="77777777" w:rsidR="003C66EB" w:rsidRDefault="003C66EB">
            <w:pPr>
              <w:rPr>
                <w:rFonts w:ascii="宋体"/>
                <w:vanish/>
              </w:rPr>
            </w:pPr>
          </w:p>
        </w:tc>
        <w:tc>
          <w:tcPr>
            <w:tcW w:w="0" w:type="auto"/>
            <w:gridSpan w:val="3"/>
            <w:shd w:val="clear" w:color="auto" w:fill="auto"/>
          </w:tcPr>
          <w:p w14:paraId="5EA1E4CC" w14:textId="77777777" w:rsidR="003C66EB" w:rsidRDefault="003C66EB">
            <w:pPr>
              <w:rPr>
                <w:rFonts w:ascii="宋体"/>
                <w:vanish/>
              </w:rPr>
            </w:pPr>
          </w:p>
        </w:tc>
        <w:tc>
          <w:tcPr>
            <w:tcW w:w="0" w:type="auto"/>
            <w:gridSpan w:val="3"/>
            <w:shd w:val="clear" w:color="auto" w:fill="auto"/>
          </w:tcPr>
          <w:p w14:paraId="5EA1E4CD" w14:textId="77777777" w:rsidR="003C66EB" w:rsidRDefault="003C66EB">
            <w:pPr>
              <w:rPr>
                <w:rFonts w:ascii="宋体"/>
                <w:vanish/>
              </w:rPr>
            </w:pPr>
          </w:p>
        </w:tc>
        <w:tc>
          <w:tcPr>
            <w:tcW w:w="0" w:type="auto"/>
            <w:gridSpan w:val="3"/>
            <w:shd w:val="clear" w:color="auto" w:fill="auto"/>
          </w:tcPr>
          <w:p w14:paraId="5EA1E4CE" w14:textId="77777777" w:rsidR="003C66EB" w:rsidRDefault="003C66EB">
            <w:pPr>
              <w:rPr>
                <w:rFonts w:ascii="宋体"/>
                <w:vanish/>
              </w:rPr>
            </w:pPr>
          </w:p>
        </w:tc>
        <w:tc>
          <w:tcPr>
            <w:tcW w:w="0" w:type="auto"/>
            <w:gridSpan w:val="3"/>
            <w:shd w:val="clear" w:color="auto" w:fill="auto"/>
          </w:tcPr>
          <w:p w14:paraId="5EA1E4CF" w14:textId="77777777" w:rsidR="003C66EB" w:rsidRDefault="003C66EB">
            <w:pPr>
              <w:rPr>
                <w:rFonts w:ascii="宋体"/>
                <w:vanish/>
              </w:rPr>
            </w:pPr>
          </w:p>
        </w:tc>
        <w:tc>
          <w:tcPr>
            <w:tcW w:w="0" w:type="auto"/>
            <w:gridSpan w:val="2"/>
            <w:shd w:val="clear" w:color="auto" w:fill="auto"/>
          </w:tcPr>
          <w:p w14:paraId="5EA1E4D0" w14:textId="77777777" w:rsidR="003C66EB" w:rsidRDefault="003C66EB">
            <w:pPr>
              <w:rPr>
                <w:rFonts w:ascii="宋体"/>
                <w:vanish/>
              </w:rPr>
            </w:pPr>
          </w:p>
        </w:tc>
        <w:tc>
          <w:tcPr>
            <w:tcW w:w="0" w:type="auto"/>
            <w:shd w:val="clear" w:color="auto" w:fill="auto"/>
          </w:tcPr>
          <w:p w14:paraId="5EA1E4D1" w14:textId="77777777" w:rsidR="003C66EB" w:rsidRDefault="003C66EB">
            <w:pPr>
              <w:rPr>
                <w:rFonts w:ascii="宋体"/>
                <w:vanish/>
              </w:rPr>
            </w:pPr>
          </w:p>
        </w:tc>
      </w:tr>
      <w:tr w:rsidR="003C66EB" w14:paraId="5EA1E4E9" w14:textId="77777777">
        <w:trPr>
          <w:hidden/>
        </w:trPr>
        <w:tc>
          <w:tcPr>
            <w:tcW w:w="0" w:type="auto"/>
            <w:gridSpan w:val="3"/>
            <w:shd w:val="clear" w:color="auto" w:fill="auto"/>
          </w:tcPr>
          <w:p w14:paraId="5EA1E4D3" w14:textId="77777777" w:rsidR="003C66EB" w:rsidRDefault="003C66EB">
            <w:pPr>
              <w:rPr>
                <w:rFonts w:ascii="宋体"/>
                <w:vanish/>
              </w:rPr>
            </w:pPr>
          </w:p>
        </w:tc>
        <w:tc>
          <w:tcPr>
            <w:tcW w:w="0" w:type="auto"/>
            <w:gridSpan w:val="3"/>
            <w:shd w:val="clear" w:color="auto" w:fill="auto"/>
          </w:tcPr>
          <w:p w14:paraId="5EA1E4D4" w14:textId="77777777" w:rsidR="003C66EB" w:rsidRDefault="003C66EB">
            <w:pPr>
              <w:rPr>
                <w:rFonts w:ascii="宋体"/>
                <w:vanish/>
              </w:rPr>
            </w:pPr>
          </w:p>
        </w:tc>
        <w:tc>
          <w:tcPr>
            <w:tcW w:w="0" w:type="auto"/>
            <w:gridSpan w:val="3"/>
            <w:shd w:val="clear" w:color="auto" w:fill="auto"/>
          </w:tcPr>
          <w:p w14:paraId="5EA1E4D5" w14:textId="77777777" w:rsidR="003C66EB" w:rsidRDefault="003C66EB">
            <w:pPr>
              <w:rPr>
                <w:rFonts w:ascii="宋体"/>
                <w:vanish/>
              </w:rPr>
            </w:pPr>
          </w:p>
        </w:tc>
        <w:tc>
          <w:tcPr>
            <w:tcW w:w="0" w:type="auto"/>
            <w:gridSpan w:val="3"/>
            <w:shd w:val="clear" w:color="auto" w:fill="auto"/>
          </w:tcPr>
          <w:p w14:paraId="5EA1E4D6" w14:textId="77777777" w:rsidR="003C66EB" w:rsidRDefault="003C66EB">
            <w:pPr>
              <w:rPr>
                <w:rFonts w:ascii="宋体"/>
                <w:vanish/>
              </w:rPr>
            </w:pPr>
          </w:p>
        </w:tc>
        <w:tc>
          <w:tcPr>
            <w:tcW w:w="0" w:type="auto"/>
            <w:gridSpan w:val="3"/>
            <w:shd w:val="clear" w:color="auto" w:fill="auto"/>
          </w:tcPr>
          <w:p w14:paraId="5EA1E4D7" w14:textId="77777777" w:rsidR="003C66EB" w:rsidRDefault="003C66EB">
            <w:pPr>
              <w:rPr>
                <w:rFonts w:ascii="宋体"/>
                <w:vanish/>
              </w:rPr>
            </w:pPr>
          </w:p>
        </w:tc>
        <w:tc>
          <w:tcPr>
            <w:tcW w:w="0" w:type="auto"/>
            <w:gridSpan w:val="3"/>
            <w:shd w:val="clear" w:color="auto" w:fill="auto"/>
          </w:tcPr>
          <w:p w14:paraId="5EA1E4D8" w14:textId="77777777" w:rsidR="003C66EB" w:rsidRDefault="003C66EB">
            <w:pPr>
              <w:rPr>
                <w:rFonts w:ascii="宋体"/>
                <w:vanish/>
              </w:rPr>
            </w:pPr>
          </w:p>
        </w:tc>
        <w:tc>
          <w:tcPr>
            <w:tcW w:w="0" w:type="auto"/>
            <w:gridSpan w:val="3"/>
            <w:shd w:val="clear" w:color="auto" w:fill="auto"/>
          </w:tcPr>
          <w:p w14:paraId="5EA1E4D9" w14:textId="77777777" w:rsidR="003C66EB" w:rsidRDefault="003C66EB">
            <w:pPr>
              <w:rPr>
                <w:rFonts w:ascii="宋体"/>
                <w:vanish/>
              </w:rPr>
            </w:pPr>
          </w:p>
        </w:tc>
        <w:tc>
          <w:tcPr>
            <w:tcW w:w="0" w:type="auto"/>
            <w:gridSpan w:val="3"/>
            <w:shd w:val="clear" w:color="auto" w:fill="auto"/>
          </w:tcPr>
          <w:p w14:paraId="5EA1E4DA" w14:textId="77777777" w:rsidR="003C66EB" w:rsidRDefault="003C66EB">
            <w:pPr>
              <w:rPr>
                <w:rFonts w:ascii="宋体"/>
                <w:vanish/>
              </w:rPr>
            </w:pPr>
          </w:p>
        </w:tc>
        <w:tc>
          <w:tcPr>
            <w:tcW w:w="0" w:type="auto"/>
            <w:gridSpan w:val="3"/>
            <w:shd w:val="clear" w:color="auto" w:fill="auto"/>
          </w:tcPr>
          <w:p w14:paraId="5EA1E4DB" w14:textId="77777777" w:rsidR="003C66EB" w:rsidRDefault="003C66EB">
            <w:pPr>
              <w:rPr>
                <w:rFonts w:ascii="宋体"/>
                <w:vanish/>
              </w:rPr>
            </w:pPr>
          </w:p>
        </w:tc>
        <w:tc>
          <w:tcPr>
            <w:tcW w:w="0" w:type="auto"/>
            <w:gridSpan w:val="3"/>
            <w:shd w:val="clear" w:color="auto" w:fill="auto"/>
          </w:tcPr>
          <w:p w14:paraId="5EA1E4DC" w14:textId="77777777" w:rsidR="003C66EB" w:rsidRDefault="003C66EB">
            <w:pPr>
              <w:rPr>
                <w:rFonts w:ascii="宋体"/>
                <w:vanish/>
              </w:rPr>
            </w:pPr>
          </w:p>
        </w:tc>
        <w:tc>
          <w:tcPr>
            <w:tcW w:w="0" w:type="auto"/>
            <w:gridSpan w:val="3"/>
            <w:shd w:val="clear" w:color="auto" w:fill="auto"/>
          </w:tcPr>
          <w:p w14:paraId="5EA1E4DD" w14:textId="77777777" w:rsidR="003C66EB" w:rsidRDefault="003C66EB">
            <w:pPr>
              <w:rPr>
                <w:rFonts w:ascii="宋体"/>
                <w:vanish/>
              </w:rPr>
            </w:pPr>
          </w:p>
        </w:tc>
        <w:tc>
          <w:tcPr>
            <w:tcW w:w="0" w:type="auto"/>
            <w:gridSpan w:val="3"/>
            <w:shd w:val="clear" w:color="auto" w:fill="auto"/>
          </w:tcPr>
          <w:p w14:paraId="5EA1E4DE" w14:textId="77777777" w:rsidR="003C66EB" w:rsidRDefault="003C66EB">
            <w:pPr>
              <w:rPr>
                <w:rFonts w:ascii="宋体"/>
                <w:vanish/>
              </w:rPr>
            </w:pPr>
          </w:p>
        </w:tc>
        <w:tc>
          <w:tcPr>
            <w:tcW w:w="0" w:type="auto"/>
            <w:gridSpan w:val="3"/>
            <w:shd w:val="clear" w:color="auto" w:fill="auto"/>
          </w:tcPr>
          <w:p w14:paraId="5EA1E4DF" w14:textId="77777777" w:rsidR="003C66EB" w:rsidRDefault="003C66EB">
            <w:pPr>
              <w:rPr>
                <w:rFonts w:ascii="宋体"/>
                <w:vanish/>
              </w:rPr>
            </w:pPr>
          </w:p>
        </w:tc>
        <w:tc>
          <w:tcPr>
            <w:tcW w:w="0" w:type="auto"/>
            <w:gridSpan w:val="3"/>
            <w:shd w:val="clear" w:color="auto" w:fill="auto"/>
          </w:tcPr>
          <w:p w14:paraId="5EA1E4E0" w14:textId="77777777" w:rsidR="003C66EB" w:rsidRDefault="003C66EB">
            <w:pPr>
              <w:rPr>
                <w:rFonts w:ascii="宋体"/>
                <w:vanish/>
              </w:rPr>
            </w:pPr>
          </w:p>
        </w:tc>
        <w:tc>
          <w:tcPr>
            <w:tcW w:w="0" w:type="auto"/>
            <w:gridSpan w:val="3"/>
            <w:shd w:val="clear" w:color="auto" w:fill="auto"/>
          </w:tcPr>
          <w:p w14:paraId="5EA1E4E1" w14:textId="77777777" w:rsidR="003C66EB" w:rsidRDefault="003C66EB">
            <w:pPr>
              <w:rPr>
                <w:rFonts w:ascii="宋体"/>
                <w:vanish/>
              </w:rPr>
            </w:pPr>
          </w:p>
        </w:tc>
        <w:tc>
          <w:tcPr>
            <w:tcW w:w="0" w:type="auto"/>
            <w:gridSpan w:val="3"/>
            <w:shd w:val="clear" w:color="auto" w:fill="auto"/>
          </w:tcPr>
          <w:p w14:paraId="5EA1E4E2" w14:textId="77777777" w:rsidR="003C66EB" w:rsidRDefault="003C66EB">
            <w:pPr>
              <w:rPr>
                <w:rFonts w:ascii="宋体"/>
                <w:vanish/>
              </w:rPr>
            </w:pPr>
          </w:p>
        </w:tc>
        <w:tc>
          <w:tcPr>
            <w:tcW w:w="0" w:type="auto"/>
            <w:gridSpan w:val="3"/>
            <w:shd w:val="clear" w:color="auto" w:fill="auto"/>
          </w:tcPr>
          <w:p w14:paraId="5EA1E4E3" w14:textId="77777777" w:rsidR="003C66EB" w:rsidRDefault="003C66EB">
            <w:pPr>
              <w:rPr>
                <w:rFonts w:ascii="宋体"/>
                <w:vanish/>
              </w:rPr>
            </w:pPr>
          </w:p>
        </w:tc>
        <w:tc>
          <w:tcPr>
            <w:tcW w:w="0" w:type="auto"/>
            <w:gridSpan w:val="3"/>
            <w:shd w:val="clear" w:color="auto" w:fill="auto"/>
          </w:tcPr>
          <w:p w14:paraId="5EA1E4E4" w14:textId="77777777" w:rsidR="003C66EB" w:rsidRDefault="003C66EB">
            <w:pPr>
              <w:rPr>
                <w:rFonts w:ascii="宋体"/>
                <w:vanish/>
              </w:rPr>
            </w:pPr>
          </w:p>
        </w:tc>
        <w:tc>
          <w:tcPr>
            <w:tcW w:w="0" w:type="auto"/>
            <w:gridSpan w:val="3"/>
            <w:shd w:val="clear" w:color="auto" w:fill="auto"/>
          </w:tcPr>
          <w:p w14:paraId="5EA1E4E5" w14:textId="77777777" w:rsidR="003C66EB" w:rsidRDefault="003C66EB">
            <w:pPr>
              <w:rPr>
                <w:rFonts w:ascii="宋体"/>
                <w:vanish/>
              </w:rPr>
            </w:pPr>
          </w:p>
        </w:tc>
        <w:tc>
          <w:tcPr>
            <w:tcW w:w="0" w:type="auto"/>
            <w:gridSpan w:val="3"/>
            <w:shd w:val="clear" w:color="auto" w:fill="auto"/>
          </w:tcPr>
          <w:p w14:paraId="5EA1E4E6" w14:textId="77777777" w:rsidR="003C66EB" w:rsidRDefault="003C66EB">
            <w:pPr>
              <w:rPr>
                <w:rFonts w:ascii="宋体"/>
                <w:vanish/>
              </w:rPr>
            </w:pPr>
          </w:p>
        </w:tc>
        <w:tc>
          <w:tcPr>
            <w:tcW w:w="0" w:type="auto"/>
            <w:gridSpan w:val="2"/>
            <w:shd w:val="clear" w:color="auto" w:fill="auto"/>
          </w:tcPr>
          <w:p w14:paraId="5EA1E4E7" w14:textId="77777777" w:rsidR="003C66EB" w:rsidRDefault="003C66EB">
            <w:pPr>
              <w:rPr>
                <w:rFonts w:ascii="宋体"/>
                <w:vanish/>
              </w:rPr>
            </w:pPr>
          </w:p>
        </w:tc>
        <w:tc>
          <w:tcPr>
            <w:tcW w:w="0" w:type="auto"/>
            <w:shd w:val="clear" w:color="auto" w:fill="auto"/>
          </w:tcPr>
          <w:p w14:paraId="5EA1E4E8" w14:textId="77777777" w:rsidR="003C66EB" w:rsidRDefault="003C66EB">
            <w:pPr>
              <w:rPr>
                <w:rFonts w:ascii="宋体"/>
                <w:vanish/>
              </w:rPr>
            </w:pPr>
          </w:p>
        </w:tc>
      </w:tr>
      <w:tr w:rsidR="003C66EB" w14:paraId="5EA1E4F6" w14:textId="77777777">
        <w:tc>
          <w:tcPr>
            <w:tcW w:w="0" w:type="auto"/>
            <w:gridSpan w:val="3"/>
            <w:shd w:val="clear" w:color="auto" w:fill="auto"/>
            <w:tcMar>
              <w:top w:w="0" w:type="dxa"/>
              <w:left w:w="20" w:type="dxa"/>
              <w:bottom w:w="0" w:type="dxa"/>
              <w:right w:w="20" w:type="dxa"/>
            </w:tcMar>
          </w:tcPr>
          <w:p w14:paraId="5EA1E4EA" w14:textId="77777777" w:rsidR="003C66EB" w:rsidRDefault="003C66EB">
            <w:pPr>
              <w:rPr>
                <w:rFonts w:ascii="宋体"/>
              </w:rPr>
            </w:pPr>
          </w:p>
        </w:tc>
        <w:tc>
          <w:tcPr>
            <w:tcW w:w="0" w:type="auto"/>
            <w:gridSpan w:val="33"/>
            <w:shd w:val="clear" w:color="auto" w:fill="auto"/>
            <w:tcMar>
              <w:top w:w="40" w:type="dxa"/>
              <w:left w:w="20" w:type="dxa"/>
              <w:bottom w:w="40" w:type="dxa"/>
              <w:right w:w="20" w:type="dxa"/>
            </w:tcMar>
            <w:vAlign w:val="bottom"/>
          </w:tcPr>
          <w:p w14:paraId="5EA1E4EB"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gridSpan w:val="3"/>
            <w:shd w:val="clear" w:color="auto" w:fill="auto"/>
          </w:tcPr>
          <w:p w14:paraId="5EA1E4EC" w14:textId="77777777" w:rsidR="003C66EB" w:rsidRDefault="003C66EB">
            <w:pPr>
              <w:rPr>
                <w:rFonts w:ascii="宋体"/>
                <w:vanish/>
              </w:rPr>
            </w:pPr>
          </w:p>
        </w:tc>
        <w:tc>
          <w:tcPr>
            <w:tcW w:w="0" w:type="auto"/>
            <w:gridSpan w:val="3"/>
            <w:shd w:val="clear" w:color="auto" w:fill="auto"/>
          </w:tcPr>
          <w:p w14:paraId="5EA1E4ED" w14:textId="77777777" w:rsidR="003C66EB" w:rsidRDefault="003C66EB">
            <w:pPr>
              <w:rPr>
                <w:rFonts w:ascii="宋体"/>
                <w:vanish/>
              </w:rPr>
            </w:pPr>
          </w:p>
        </w:tc>
        <w:tc>
          <w:tcPr>
            <w:tcW w:w="0" w:type="auto"/>
            <w:gridSpan w:val="3"/>
            <w:shd w:val="clear" w:color="auto" w:fill="auto"/>
          </w:tcPr>
          <w:p w14:paraId="5EA1E4EE" w14:textId="77777777" w:rsidR="003C66EB" w:rsidRDefault="003C66EB">
            <w:pPr>
              <w:rPr>
                <w:rFonts w:ascii="宋体"/>
                <w:vanish/>
              </w:rPr>
            </w:pPr>
          </w:p>
        </w:tc>
        <w:tc>
          <w:tcPr>
            <w:tcW w:w="0" w:type="auto"/>
            <w:gridSpan w:val="3"/>
            <w:shd w:val="clear" w:color="auto" w:fill="auto"/>
          </w:tcPr>
          <w:p w14:paraId="5EA1E4EF" w14:textId="77777777" w:rsidR="003C66EB" w:rsidRDefault="003C66EB">
            <w:pPr>
              <w:rPr>
                <w:rFonts w:ascii="宋体"/>
                <w:vanish/>
              </w:rPr>
            </w:pPr>
          </w:p>
        </w:tc>
        <w:tc>
          <w:tcPr>
            <w:tcW w:w="0" w:type="auto"/>
            <w:gridSpan w:val="3"/>
            <w:shd w:val="clear" w:color="auto" w:fill="auto"/>
          </w:tcPr>
          <w:p w14:paraId="5EA1E4F0" w14:textId="77777777" w:rsidR="003C66EB" w:rsidRDefault="003C66EB">
            <w:pPr>
              <w:rPr>
                <w:rFonts w:ascii="宋体"/>
                <w:vanish/>
              </w:rPr>
            </w:pPr>
          </w:p>
        </w:tc>
        <w:tc>
          <w:tcPr>
            <w:tcW w:w="0" w:type="auto"/>
            <w:gridSpan w:val="3"/>
            <w:shd w:val="clear" w:color="auto" w:fill="auto"/>
          </w:tcPr>
          <w:p w14:paraId="5EA1E4F1" w14:textId="77777777" w:rsidR="003C66EB" w:rsidRDefault="003C66EB">
            <w:pPr>
              <w:rPr>
                <w:rFonts w:ascii="宋体"/>
                <w:vanish/>
              </w:rPr>
            </w:pPr>
          </w:p>
        </w:tc>
        <w:tc>
          <w:tcPr>
            <w:tcW w:w="0" w:type="auto"/>
            <w:gridSpan w:val="3"/>
            <w:shd w:val="clear" w:color="auto" w:fill="auto"/>
          </w:tcPr>
          <w:p w14:paraId="5EA1E4F2" w14:textId="77777777" w:rsidR="003C66EB" w:rsidRDefault="003C66EB">
            <w:pPr>
              <w:rPr>
                <w:rFonts w:ascii="宋体"/>
                <w:vanish/>
              </w:rPr>
            </w:pPr>
          </w:p>
        </w:tc>
        <w:tc>
          <w:tcPr>
            <w:tcW w:w="0" w:type="auto"/>
            <w:gridSpan w:val="3"/>
            <w:shd w:val="clear" w:color="auto" w:fill="auto"/>
          </w:tcPr>
          <w:p w14:paraId="5EA1E4F3" w14:textId="77777777" w:rsidR="003C66EB" w:rsidRDefault="003C66EB">
            <w:pPr>
              <w:rPr>
                <w:rFonts w:ascii="宋体"/>
                <w:vanish/>
              </w:rPr>
            </w:pPr>
          </w:p>
        </w:tc>
        <w:tc>
          <w:tcPr>
            <w:tcW w:w="0" w:type="auto"/>
            <w:gridSpan w:val="2"/>
            <w:shd w:val="clear" w:color="auto" w:fill="auto"/>
          </w:tcPr>
          <w:p w14:paraId="5EA1E4F4" w14:textId="77777777" w:rsidR="003C66EB" w:rsidRDefault="003C66EB">
            <w:pPr>
              <w:rPr>
                <w:rFonts w:ascii="宋体"/>
                <w:vanish/>
              </w:rPr>
            </w:pPr>
          </w:p>
        </w:tc>
        <w:tc>
          <w:tcPr>
            <w:tcW w:w="0" w:type="auto"/>
            <w:shd w:val="clear" w:color="auto" w:fill="auto"/>
          </w:tcPr>
          <w:p w14:paraId="5EA1E4F5" w14:textId="77777777" w:rsidR="003C66EB" w:rsidRDefault="003C66EB">
            <w:pPr>
              <w:rPr>
                <w:rFonts w:ascii="宋体"/>
                <w:vanish/>
              </w:rPr>
            </w:pPr>
          </w:p>
        </w:tc>
      </w:tr>
      <w:tr w:rsidR="003C66EB" w14:paraId="5EA1E505" w14:textId="77777777">
        <w:tc>
          <w:tcPr>
            <w:tcW w:w="0" w:type="auto"/>
            <w:gridSpan w:val="3"/>
            <w:shd w:val="clear" w:color="auto" w:fill="auto"/>
            <w:tcMar>
              <w:top w:w="40" w:type="dxa"/>
              <w:left w:w="20" w:type="dxa"/>
              <w:bottom w:w="40" w:type="dxa"/>
              <w:right w:w="20" w:type="dxa"/>
            </w:tcMar>
            <w:vAlign w:val="bottom"/>
          </w:tcPr>
          <w:p w14:paraId="5EA1E4F7" w14:textId="77777777" w:rsidR="003C66EB" w:rsidRDefault="00D96C4E">
            <w:pPr>
              <w:textAlignment w:val="bottom"/>
            </w:pPr>
            <w:r>
              <w:rPr>
                <w:rFonts w:ascii="Arial" w:eastAsia="宋体" w:hAnsi="Arial" w:cs="Arial"/>
                <w:b/>
                <w:bCs/>
                <w:color w:val="000000"/>
                <w:sz w:val="13"/>
                <w:szCs w:val="13"/>
              </w:rPr>
              <w:t>(Dollars in millions)</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4F8"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4F9"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4FA" w14:textId="77777777" w:rsidR="003C66EB" w:rsidRDefault="00D96C4E">
            <w:pPr>
              <w:jc w:val="center"/>
              <w:textAlignment w:val="bottom"/>
            </w:pPr>
            <w:r>
              <w:rPr>
                <w:rFonts w:ascii="Arial" w:eastAsia="宋体" w:hAnsi="Arial" w:cs="Arial"/>
                <w:b/>
                <w:bCs/>
                <w:color w:val="000000"/>
                <w:sz w:val="13"/>
                <w:szCs w:val="13"/>
              </w:rPr>
              <w:t>2020</w:t>
            </w:r>
          </w:p>
        </w:tc>
        <w:tc>
          <w:tcPr>
            <w:tcW w:w="0" w:type="auto"/>
            <w:gridSpan w:val="3"/>
            <w:shd w:val="clear" w:color="auto" w:fill="auto"/>
          </w:tcPr>
          <w:p w14:paraId="5EA1E4FB" w14:textId="77777777" w:rsidR="003C66EB" w:rsidRDefault="003C66EB">
            <w:pPr>
              <w:rPr>
                <w:rFonts w:ascii="宋体"/>
                <w:vanish/>
              </w:rPr>
            </w:pPr>
          </w:p>
        </w:tc>
        <w:tc>
          <w:tcPr>
            <w:tcW w:w="0" w:type="auto"/>
            <w:gridSpan w:val="3"/>
            <w:shd w:val="clear" w:color="auto" w:fill="auto"/>
          </w:tcPr>
          <w:p w14:paraId="5EA1E4FC" w14:textId="77777777" w:rsidR="003C66EB" w:rsidRDefault="003C66EB">
            <w:pPr>
              <w:rPr>
                <w:rFonts w:ascii="宋体"/>
                <w:vanish/>
              </w:rPr>
            </w:pPr>
          </w:p>
        </w:tc>
        <w:tc>
          <w:tcPr>
            <w:tcW w:w="0" w:type="auto"/>
            <w:gridSpan w:val="3"/>
            <w:shd w:val="clear" w:color="auto" w:fill="auto"/>
          </w:tcPr>
          <w:p w14:paraId="5EA1E4FD" w14:textId="77777777" w:rsidR="003C66EB" w:rsidRDefault="003C66EB">
            <w:pPr>
              <w:rPr>
                <w:rFonts w:ascii="宋体"/>
                <w:vanish/>
              </w:rPr>
            </w:pPr>
          </w:p>
        </w:tc>
        <w:tc>
          <w:tcPr>
            <w:tcW w:w="0" w:type="auto"/>
            <w:gridSpan w:val="3"/>
            <w:shd w:val="clear" w:color="auto" w:fill="auto"/>
          </w:tcPr>
          <w:p w14:paraId="5EA1E4FE" w14:textId="77777777" w:rsidR="003C66EB" w:rsidRDefault="003C66EB">
            <w:pPr>
              <w:rPr>
                <w:rFonts w:ascii="宋体"/>
                <w:vanish/>
              </w:rPr>
            </w:pPr>
          </w:p>
        </w:tc>
        <w:tc>
          <w:tcPr>
            <w:tcW w:w="0" w:type="auto"/>
            <w:gridSpan w:val="3"/>
            <w:shd w:val="clear" w:color="auto" w:fill="auto"/>
          </w:tcPr>
          <w:p w14:paraId="5EA1E4FF" w14:textId="77777777" w:rsidR="003C66EB" w:rsidRDefault="003C66EB">
            <w:pPr>
              <w:rPr>
                <w:rFonts w:ascii="宋体"/>
                <w:vanish/>
              </w:rPr>
            </w:pPr>
          </w:p>
        </w:tc>
        <w:tc>
          <w:tcPr>
            <w:tcW w:w="0" w:type="auto"/>
            <w:gridSpan w:val="3"/>
            <w:shd w:val="clear" w:color="auto" w:fill="auto"/>
          </w:tcPr>
          <w:p w14:paraId="5EA1E500" w14:textId="77777777" w:rsidR="003C66EB" w:rsidRDefault="003C66EB">
            <w:pPr>
              <w:rPr>
                <w:rFonts w:ascii="宋体"/>
                <w:vanish/>
              </w:rPr>
            </w:pPr>
          </w:p>
        </w:tc>
        <w:tc>
          <w:tcPr>
            <w:tcW w:w="0" w:type="auto"/>
            <w:gridSpan w:val="3"/>
            <w:shd w:val="clear" w:color="auto" w:fill="auto"/>
          </w:tcPr>
          <w:p w14:paraId="5EA1E501" w14:textId="77777777" w:rsidR="003C66EB" w:rsidRDefault="003C66EB">
            <w:pPr>
              <w:rPr>
                <w:rFonts w:ascii="宋体"/>
                <w:vanish/>
              </w:rPr>
            </w:pPr>
          </w:p>
        </w:tc>
        <w:tc>
          <w:tcPr>
            <w:tcW w:w="0" w:type="auto"/>
            <w:gridSpan w:val="3"/>
            <w:shd w:val="clear" w:color="auto" w:fill="auto"/>
          </w:tcPr>
          <w:p w14:paraId="5EA1E502" w14:textId="77777777" w:rsidR="003C66EB" w:rsidRDefault="003C66EB">
            <w:pPr>
              <w:rPr>
                <w:rFonts w:ascii="宋体"/>
                <w:vanish/>
              </w:rPr>
            </w:pPr>
          </w:p>
        </w:tc>
        <w:tc>
          <w:tcPr>
            <w:tcW w:w="0" w:type="auto"/>
            <w:gridSpan w:val="2"/>
            <w:shd w:val="clear" w:color="auto" w:fill="auto"/>
          </w:tcPr>
          <w:p w14:paraId="5EA1E503" w14:textId="77777777" w:rsidR="003C66EB" w:rsidRDefault="003C66EB">
            <w:pPr>
              <w:rPr>
                <w:rFonts w:ascii="宋体"/>
                <w:vanish/>
              </w:rPr>
            </w:pPr>
          </w:p>
        </w:tc>
        <w:tc>
          <w:tcPr>
            <w:tcW w:w="0" w:type="auto"/>
            <w:shd w:val="clear" w:color="auto" w:fill="auto"/>
          </w:tcPr>
          <w:p w14:paraId="5EA1E504" w14:textId="77777777" w:rsidR="003C66EB" w:rsidRDefault="003C66EB">
            <w:pPr>
              <w:rPr>
                <w:rFonts w:ascii="宋体"/>
                <w:vanish/>
              </w:rPr>
            </w:pPr>
          </w:p>
        </w:tc>
      </w:tr>
      <w:tr w:rsidR="003C66EB" w14:paraId="5EA1E51C" w14:textId="77777777">
        <w:tc>
          <w:tcPr>
            <w:tcW w:w="0" w:type="auto"/>
            <w:gridSpan w:val="3"/>
            <w:shd w:val="clear" w:color="auto" w:fill="auto"/>
            <w:tcMar>
              <w:top w:w="0" w:type="dxa"/>
              <w:left w:w="20" w:type="dxa"/>
              <w:bottom w:w="0" w:type="dxa"/>
              <w:right w:w="20" w:type="dxa"/>
            </w:tcMar>
          </w:tcPr>
          <w:p w14:paraId="5EA1E50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507" w14:textId="77777777" w:rsidR="003C66EB" w:rsidRDefault="00D96C4E">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tcPr>
          <w:p w14:paraId="5EA1E50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509" w14:textId="77777777" w:rsidR="003C66EB" w:rsidRDefault="00D96C4E">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tcPr>
          <w:p w14:paraId="5EA1E50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50B" w14:textId="77777777" w:rsidR="003C66EB" w:rsidRDefault="00D96C4E">
            <w:pPr>
              <w:jc w:val="center"/>
              <w:textAlignment w:val="bottom"/>
            </w:pPr>
            <w:r>
              <w:rPr>
                <w:rFonts w:ascii="Arial" w:eastAsia="宋体" w:hAnsi="Arial" w:cs="Arial"/>
                <w:b/>
                <w:bCs/>
                <w:color w:val="000000"/>
                <w:sz w:val="13"/>
                <w:szCs w:val="13"/>
              </w:rPr>
              <w:t>Total</w:t>
            </w:r>
            <w:r>
              <w:rPr>
                <w:rFonts w:ascii="Arial" w:eastAsia="宋体" w:hAnsi="Arial" w:cs="Arial"/>
                <w:b/>
                <w:bCs/>
                <w:color w:val="000000"/>
                <w:sz w:val="8"/>
                <w:szCs w:val="8"/>
              </w:rPr>
              <w:t>(1)</w:t>
            </w:r>
          </w:p>
        </w:tc>
        <w:tc>
          <w:tcPr>
            <w:tcW w:w="0" w:type="auto"/>
            <w:gridSpan w:val="3"/>
            <w:shd w:val="clear" w:color="auto" w:fill="auto"/>
            <w:tcMar>
              <w:top w:w="0" w:type="dxa"/>
              <w:left w:w="20" w:type="dxa"/>
              <w:bottom w:w="0" w:type="dxa"/>
              <w:right w:w="20" w:type="dxa"/>
            </w:tcMar>
          </w:tcPr>
          <w:p w14:paraId="5EA1E50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50D" w14:textId="77777777" w:rsidR="003C66EB" w:rsidRDefault="00D96C4E">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tcPr>
          <w:p w14:paraId="5EA1E50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50F" w14:textId="77777777" w:rsidR="003C66EB" w:rsidRDefault="00D96C4E">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tcPr>
          <w:p w14:paraId="5EA1E51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511" w14:textId="77777777" w:rsidR="003C66EB" w:rsidRDefault="00D96C4E">
            <w:pPr>
              <w:jc w:val="center"/>
              <w:textAlignment w:val="bottom"/>
            </w:pPr>
            <w:r>
              <w:rPr>
                <w:rFonts w:ascii="Arial" w:eastAsia="宋体" w:hAnsi="Arial" w:cs="Arial"/>
                <w:b/>
                <w:bCs/>
                <w:color w:val="000000"/>
                <w:sz w:val="13"/>
                <w:szCs w:val="13"/>
              </w:rPr>
              <w:t>Total</w:t>
            </w:r>
          </w:p>
        </w:tc>
        <w:tc>
          <w:tcPr>
            <w:tcW w:w="0" w:type="auto"/>
            <w:gridSpan w:val="3"/>
            <w:shd w:val="clear" w:color="auto" w:fill="auto"/>
          </w:tcPr>
          <w:p w14:paraId="5EA1E512" w14:textId="77777777" w:rsidR="003C66EB" w:rsidRDefault="003C66EB">
            <w:pPr>
              <w:rPr>
                <w:rFonts w:ascii="宋体"/>
                <w:vanish/>
              </w:rPr>
            </w:pPr>
          </w:p>
        </w:tc>
        <w:tc>
          <w:tcPr>
            <w:tcW w:w="0" w:type="auto"/>
            <w:gridSpan w:val="3"/>
            <w:shd w:val="clear" w:color="auto" w:fill="auto"/>
          </w:tcPr>
          <w:p w14:paraId="5EA1E513" w14:textId="77777777" w:rsidR="003C66EB" w:rsidRDefault="003C66EB">
            <w:pPr>
              <w:rPr>
                <w:rFonts w:ascii="宋体"/>
                <w:vanish/>
              </w:rPr>
            </w:pPr>
          </w:p>
        </w:tc>
        <w:tc>
          <w:tcPr>
            <w:tcW w:w="0" w:type="auto"/>
            <w:gridSpan w:val="3"/>
            <w:shd w:val="clear" w:color="auto" w:fill="auto"/>
          </w:tcPr>
          <w:p w14:paraId="5EA1E514" w14:textId="77777777" w:rsidR="003C66EB" w:rsidRDefault="003C66EB">
            <w:pPr>
              <w:rPr>
                <w:rFonts w:ascii="宋体"/>
                <w:vanish/>
              </w:rPr>
            </w:pPr>
          </w:p>
        </w:tc>
        <w:tc>
          <w:tcPr>
            <w:tcW w:w="0" w:type="auto"/>
            <w:gridSpan w:val="3"/>
            <w:shd w:val="clear" w:color="auto" w:fill="auto"/>
          </w:tcPr>
          <w:p w14:paraId="5EA1E515" w14:textId="77777777" w:rsidR="003C66EB" w:rsidRDefault="003C66EB">
            <w:pPr>
              <w:rPr>
                <w:rFonts w:ascii="宋体"/>
                <w:vanish/>
              </w:rPr>
            </w:pPr>
          </w:p>
        </w:tc>
        <w:tc>
          <w:tcPr>
            <w:tcW w:w="0" w:type="auto"/>
            <w:gridSpan w:val="3"/>
            <w:shd w:val="clear" w:color="auto" w:fill="auto"/>
          </w:tcPr>
          <w:p w14:paraId="5EA1E516" w14:textId="77777777" w:rsidR="003C66EB" w:rsidRDefault="003C66EB">
            <w:pPr>
              <w:rPr>
                <w:rFonts w:ascii="宋体"/>
                <w:vanish/>
              </w:rPr>
            </w:pPr>
          </w:p>
        </w:tc>
        <w:tc>
          <w:tcPr>
            <w:tcW w:w="0" w:type="auto"/>
            <w:gridSpan w:val="3"/>
            <w:shd w:val="clear" w:color="auto" w:fill="auto"/>
          </w:tcPr>
          <w:p w14:paraId="5EA1E517" w14:textId="77777777" w:rsidR="003C66EB" w:rsidRDefault="003C66EB">
            <w:pPr>
              <w:rPr>
                <w:rFonts w:ascii="宋体"/>
                <w:vanish/>
              </w:rPr>
            </w:pPr>
          </w:p>
        </w:tc>
        <w:tc>
          <w:tcPr>
            <w:tcW w:w="0" w:type="auto"/>
            <w:gridSpan w:val="3"/>
            <w:shd w:val="clear" w:color="auto" w:fill="auto"/>
          </w:tcPr>
          <w:p w14:paraId="5EA1E518" w14:textId="77777777" w:rsidR="003C66EB" w:rsidRDefault="003C66EB">
            <w:pPr>
              <w:rPr>
                <w:rFonts w:ascii="宋体"/>
                <w:vanish/>
              </w:rPr>
            </w:pPr>
          </w:p>
        </w:tc>
        <w:tc>
          <w:tcPr>
            <w:tcW w:w="0" w:type="auto"/>
            <w:gridSpan w:val="3"/>
            <w:shd w:val="clear" w:color="auto" w:fill="auto"/>
          </w:tcPr>
          <w:p w14:paraId="5EA1E519" w14:textId="77777777" w:rsidR="003C66EB" w:rsidRDefault="003C66EB">
            <w:pPr>
              <w:rPr>
                <w:rFonts w:ascii="宋体"/>
                <w:vanish/>
              </w:rPr>
            </w:pPr>
          </w:p>
        </w:tc>
        <w:tc>
          <w:tcPr>
            <w:tcW w:w="0" w:type="auto"/>
            <w:gridSpan w:val="2"/>
            <w:shd w:val="clear" w:color="auto" w:fill="auto"/>
          </w:tcPr>
          <w:p w14:paraId="5EA1E51A" w14:textId="77777777" w:rsidR="003C66EB" w:rsidRDefault="003C66EB">
            <w:pPr>
              <w:rPr>
                <w:rFonts w:ascii="宋体"/>
                <w:vanish/>
              </w:rPr>
            </w:pPr>
          </w:p>
        </w:tc>
        <w:tc>
          <w:tcPr>
            <w:tcW w:w="0" w:type="auto"/>
            <w:shd w:val="clear" w:color="auto" w:fill="auto"/>
          </w:tcPr>
          <w:p w14:paraId="5EA1E51B" w14:textId="77777777" w:rsidR="003C66EB" w:rsidRDefault="003C66EB">
            <w:pPr>
              <w:rPr>
                <w:rFonts w:ascii="宋体"/>
                <w:vanish/>
              </w:rPr>
            </w:pPr>
          </w:p>
        </w:tc>
      </w:tr>
      <w:tr w:rsidR="003C66EB" w14:paraId="5EA1E53F" w14:textId="77777777">
        <w:tc>
          <w:tcPr>
            <w:tcW w:w="0" w:type="auto"/>
            <w:gridSpan w:val="3"/>
            <w:shd w:val="clear" w:color="auto" w:fill="CCEEFF"/>
            <w:tcMar>
              <w:top w:w="40" w:type="dxa"/>
              <w:left w:w="20" w:type="dxa"/>
              <w:bottom w:w="40" w:type="dxa"/>
              <w:right w:w="20" w:type="dxa"/>
            </w:tcMar>
            <w:vAlign w:val="bottom"/>
          </w:tcPr>
          <w:p w14:paraId="5EA1E51D" w14:textId="77777777" w:rsidR="003C66EB" w:rsidRDefault="00D96C4E">
            <w:pPr>
              <w:textAlignment w:val="bottom"/>
            </w:pPr>
            <w:r>
              <w:rPr>
                <w:rFonts w:ascii="Arial" w:eastAsia="宋体" w:hAnsi="Arial" w:cs="Arial"/>
                <w:color w:val="000000"/>
                <w:sz w:val="13"/>
                <w:szCs w:val="13"/>
              </w:rPr>
              <w:t>Unamortized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51E"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51F" w14:textId="77777777" w:rsidR="003C66EB" w:rsidRDefault="00D96C4E">
            <w:pPr>
              <w:jc w:val="right"/>
              <w:textAlignment w:val="bottom"/>
            </w:pPr>
            <w:r>
              <w:rPr>
                <w:rFonts w:ascii="Arial" w:eastAsia="宋体" w:hAnsi="Arial" w:cs="Arial"/>
                <w:b/>
                <w:bCs/>
                <w:color w:val="000000"/>
                <w:sz w:val="13"/>
                <w:szCs w:val="13"/>
              </w:rPr>
              <w:t>1,008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5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52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522"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523" w14:textId="77777777" w:rsidR="003C66EB" w:rsidRDefault="00D96C4E">
            <w:pPr>
              <w:jc w:val="right"/>
              <w:textAlignment w:val="bottom"/>
            </w:pPr>
            <w:r>
              <w:rPr>
                <w:rFonts w:ascii="Arial" w:eastAsia="宋体" w:hAnsi="Arial" w:cs="Arial"/>
                <w:b/>
                <w:bCs/>
                <w:color w:val="000000"/>
                <w:sz w:val="13"/>
                <w:szCs w:val="13"/>
              </w:rPr>
              <w:t>602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52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52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526"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527" w14:textId="77777777" w:rsidR="003C66EB" w:rsidRDefault="00D96C4E">
            <w:pPr>
              <w:jc w:val="right"/>
              <w:textAlignment w:val="bottom"/>
            </w:pPr>
            <w:r>
              <w:rPr>
                <w:rFonts w:ascii="Arial" w:eastAsia="宋体" w:hAnsi="Arial" w:cs="Arial"/>
                <w:b/>
                <w:bCs/>
                <w:color w:val="000000"/>
                <w:sz w:val="13"/>
                <w:szCs w:val="13"/>
              </w:rPr>
              <w:t>1,610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52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529"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52A"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52B" w14:textId="77777777" w:rsidR="003C66EB" w:rsidRDefault="00D96C4E">
            <w:pPr>
              <w:jc w:val="right"/>
              <w:textAlignment w:val="bottom"/>
            </w:pPr>
            <w:r>
              <w:rPr>
                <w:rFonts w:ascii="Arial" w:eastAsia="宋体" w:hAnsi="Arial" w:cs="Arial"/>
                <w:color w:val="000000"/>
                <w:sz w:val="13"/>
                <w:szCs w:val="13"/>
              </w:rPr>
              <w:t>983 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5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52D"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52E"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52F" w14:textId="77777777" w:rsidR="003C66EB" w:rsidRDefault="00D96C4E">
            <w:pPr>
              <w:jc w:val="right"/>
              <w:textAlignment w:val="bottom"/>
            </w:pPr>
            <w:r>
              <w:rPr>
                <w:rFonts w:ascii="Arial" w:eastAsia="宋体" w:hAnsi="Arial" w:cs="Arial"/>
                <w:color w:val="000000"/>
                <w:sz w:val="13"/>
                <w:szCs w:val="13"/>
              </w:rPr>
              <w:t>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53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53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532"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533" w14:textId="77777777" w:rsidR="003C66EB" w:rsidRDefault="00D96C4E">
            <w:pPr>
              <w:jc w:val="right"/>
              <w:textAlignment w:val="bottom"/>
            </w:pPr>
            <w:r>
              <w:rPr>
                <w:rFonts w:ascii="Arial" w:eastAsia="宋体" w:hAnsi="Arial" w:cs="Arial"/>
                <w:color w:val="000000"/>
                <w:sz w:val="13"/>
                <w:szCs w:val="13"/>
              </w:rPr>
              <w:t>1,653 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534" w14:textId="77777777" w:rsidR="003C66EB" w:rsidRDefault="003C66EB">
            <w:pPr>
              <w:jc w:val="right"/>
              <w:rPr>
                <w:rFonts w:ascii="宋体"/>
              </w:rPr>
            </w:pPr>
          </w:p>
        </w:tc>
        <w:tc>
          <w:tcPr>
            <w:tcW w:w="0" w:type="auto"/>
            <w:gridSpan w:val="3"/>
            <w:shd w:val="clear" w:color="auto" w:fill="auto"/>
          </w:tcPr>
          <w:p w14:paraId="5EA1E535" w14:textId="77777777" w:rsidR="003C66EB" w:rsidRDefault="003C66EB">
            <w:pPr>
              <w:rPr>
                <w:rFonts w:ascii="宋体"/>
                <w:vanish/>
              </w:rPr>
            </w:pPr>
          </w:p>
        </w:tc>
        <w:tc>
          <w:tcPr>
            <w:tcW w:w="0" w:type="auto"/>
            <w:gridSpan w:val="3"/>
            <w:shd w:val="clear" w:color="auto" w:fill="auto"/>
          </w:tcPr>
          <w:p w14:paraId="5EA1E536" w14:textId="77777777" w:rsidR="003C66EB" w:rsidRDefault="003C66EB">
            <w:pPr>
              <w:rPr>
                <w:rFonts w:ascii="宋体"/>
                <w:vanish/>
              </w:rPr>
            </w:pPr>
          </w:p>
        </w:tc>
        <w:tc>
          <w:tcPr>
            <w:tcW w:w="0" w:type="auto"/>
            <w:gridSpan w:val="3"/>
            <w:shd w:val="clear" w:color="auto" w:fill="auto"/>
          </w:tcPr>
          <w:p w14:paraId="5EA1E537" w14:textId="77777777" w:rsidR="003C66EB" w:rsidRDefault="003C66EB">
            <w:pPr>
              <w:rPr>
                <w:rFonts w:ascii="宋体"/>
                <w:vanish/>
              </w:rPr>
            </w:pPr>
          </w:p>
        </w:tc>
        <w:tc>
          <w:tcPr>
            <w:tcW w:w="0" w:type="auto"/>
            <w:gridSpan w:val="3"/>
            <w:shd w:val="clear" w:color="auto" w:fill="auto"/>
          </w:tcPr>
          <w:p w14:paraId="5EA1E538" w14:textId="77777777" w:rsidR="003C66EB" w:rsidRDefault="003C66EB">
            <w:pPr>
              <w:rPr>
                <w:rFonts w:ascii="宋体"/>
                <w:vanish/>
              </w:rPr>
            </w:pPr>
          </w:p>
        </w:tc>
        <w:tc>
          <w:tcPr>
            <w:tcW w:w="0" w:type="auto"/>
            <w:gridSpan w:val="3"/>
            <w:shd w:val="clear" w:color="auto" w:fill="auto"/>
          </w:tcPr>
          <w:p w14:paraId="5EA1E539" w14:textId="77777777" w:rsidR="003C66EB" w:rsidRDefault="003C66EB">
            <w:pPr>
              <w:rPr>
                <w:rFonts w:ascii="宋体"/>
                <w:vanish/>
              </w:rPr>
            </w:pPr>
          </w:p>
        </w:tc>
        <w:tc>
          <w:tcPr>
            <w:tcW w:w="0" w:type="auto"/>
            <w:gridSpan w:val="3"/>
            <w:shd w:val="clear" w:color="auto" w:fill="auto"/>
          </w:tcPr>
          <w:p w14:paraId="5EA1E53A" w14:textId="77777777" w:rsidR="003C66EB" w:rsidRDefault="003C66EB">
            <w:pPr>
              <w:rPr>
                <w:rFonts w:ascii="宋体"/>
                <w:vanish/>
              </w:rPr>
            </w:pPr>
          </w:p>
        </w:tc>
        <w:tc>
          <w:tcPr>
            <w:tcW w:w="0" w:type="auto"/>
            <w:gridSpan w:val="3"/>
            <w:shd w:val="clear" w:color="auto" w:fill="auto"/>
          </w:tcPr>
          <w:p w14:paraId="5EA1E53B" w14:textId="77777777" w:rsidR="003C66EB" w:rsidRDefault="003C66EB">
            <w:pPr>
              <w:rPr>
                <w:rFonts w:ascii="宋体"/>
                <w:vanish/>
              </w:rPr>
            </w:pPr>
          </w:p>
        </w:tc>
        <w:tc>
          <w:tcPr>
            <w:tcW w:w="0" w:type="auto"/>
            <w:gridSpan w:val="3"/>
            <w:shd w:val="clear" w:color="auto" w:fill="auto"/>
          </w:tcPr>
          <w:p w14:paraId="5EA1E53C" w14:textId="77777777" w:rsidR="003C66EB" w:rsidRDefault="003C66EB">
            <w:pPr>
              <w:rPr>
                <w:rFonts w:ascii="宋体"/>
                <w:vanish/>
              </w:rPr>
            </w:pPr>
          </w:p>
        </w:tc>
        <w:tc>
          <w:tcPr>
            <w:tcW w:w="0" w:type="auto"/>
            <w:gridSpan w:val="2"/>
            <w:shd w:val="clear" w:color="auto" w:fill="auto"/>
          </w:tcPr>
          <w:p w14:paraId="5EA1E53D" w14:textId="77777777" w:rsidR="003C66EB" w:rsidRDefault="003C66EB">
            <w:pPr>
              <w:rPr>
                <w:rFonts w:ascii="宋体"/>
                <w:vanish/>
              </w:rPr>
            </w:pPr>
          </w:p>
        </w:tc>
        <w:tc>
          <w:tcPr>
            <w:tcW w:w="0" w:type="auto"/>
            <w:shd w:val="clear" w:color="auto" w:fill="auto"/>
          </w:tcPr>
          <w:p w14:paraId="5EA1E53E" w14:textId="77777777" w:rsidR="003C66EB" w:rsidRDefault="003C66EB">
            <w:pPr>
              <w:rPr>
                <w:rFonts w:ascii="宋体"/>
                <w:vanish/>
              </w:rPr>
            </w:pPr>
          </w:p>
        </w:tc>
      </w:tr>
      <w:tr w:rsidR="003C66EB" w14:paraId="5EA1E55C" w14:textId="77777777">
        <w:tc>
          <w:tcPr>
            <w:tcW w:w="0" w:type="auto"/>
            <w:gridSpan w:val="3"/>
            <w:shd w:val="clear" w:color="auto" w:fill="FFFFFF"/>
            <w:tcMar>
              <w:top w:w="40" w:type="dxa"/>
              <w:left w:w="20" w:type="dxa"/>
              <w:bottom w:w="40" w:type="dxa"/>
              <w:right w:w="20" w:type="dxa"/>
            </w:tcMar>
            <w:vAlign w:val="bottom"/>
          </w:tcPr>
          <w:p w14:paraId="5EA1E540" w14:textId="77777777" w:rsidR="003C66EB" w:rsidRDefault="00D96C4E">
            <w:pPr>
              <w:textAlignment w:val="bottom"/>
            </w:pPr>
            <w:r>
              <w:rPr>
                <w:rFonts w:ascii="Arial" w:eastAsia="宋体" w:hAnsi="Arial" w:cs="Arial"/>
                <w:color w:val="000000"/>
                <w:sz w:val="13"/>
                <w:szCs w:val="13"/>
              </w:rPr>
              <w:t>Net premium amortization</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5EA1E541" w14:textId="77777777" w:rsidR="003C66EB" w:rsidRDefault="00D96C4E">
            <w:pPr>
              <w:jc w:val="right"/>
              <w:textAlignment w:val="bottom"/>
            </w:pPr>
            <w:r>
              <w:rPr>
                <w:rFonts w:ascii="Arial" w:eastAsia="宋体" w:hAnsi="Arial" w:cs="Arial"/>
                <w:b/>
                <w:bCs/>
                <w:color w:val="000000"/>
                <w:sz w:val="13"/>
                <w:szCs w:val="13"/>
              </w:rPr>
              <w:t>105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5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5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544" w14:textId="77777777" w:rsidR="003C66EB" w:rsidRDefault="00D96C4E">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5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5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547" w14:textId="77777777" w:rsidR="003C66EB" w:rsidRDefault="00D96C4E">
            <w:pPr>
              <w:jc w:val="right"/>
              <w:textAlignment w:val="bottom"/>
            </w:pPr>
            <w:r>
              <w:rPr>
                <w:rFonts w:ascii="Arial" w:eastAsia="宋体" w:hAnsi="Arial" w:cs="Arial"/>
                <w:b/>
                <w:bCs/>
                <w:color w:val="000000"/>
                <w:sz w:val="13"/>
                <w:szCs w:val="13"/>
              </w:rPr>
              <w:t>169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5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5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54A" w14:textId="77777777" w:rsidR="003C66EB" w:rsidRDefault="00D96C4E">
            <w:pPr>
              <w:jc w:val="right"/>
              <w:textAlignment w:val="bottom"/>
            </w:pPr>
            <w:r>
              <w:rPr>
                <w:rFonts w:ascii="Arial" w:eastAsia="宋体" w:hAnsi="Arial" w:cs="Arial"/>
                <w:color w:val="000000"/>
                <w:sz w:val="13"/>
                <w:szCs w:val="13"/>
              </w:rPr>
              <w:t>66 </w:t>
            </w:r>
          </w:p>
        </w:tc>
        <w:tc>
          <w:tcPr>
            <w:tcW w:w="0" w:type="auto"/>
            <w:shd w:val="clear" w:color="auto" w:fill="FFFFFF"/>
            <w:tcMar>
              <w:top w:w="40" w:type="dxa"/>
              <w:left w:w="0" w:type="dxa"/>
              <w:bottom w:w="40" w:type="dxa"/>
              <w:right w:w="20" w:type="dxa"/>
            </w:tcMar>
            <w:vAlign w:val="bottom"/>
          </w:tcPr>
          <w:p w14:paraId="5EA1E54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54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54D" w14:textId="77777777" w:rsidR="003C66EB" w:rsidRDefault="00D96C4E">
            <w:pPr>
              <w:jc w:val="right"/>
              <w:textAlignment w:val="bottom"/>
            </w:pPr>
            <w:r>
              <w:rPr>
                <w:rFonts w:ascii="Arial" w:eastAsia="宋体" w:hAnsi="Arial" w:cs="Arial"/>
                <w:color w:val="000000"/>
                <w:sz w:val="13"/>
                <w:szCs w:val="13"/>
              </w:rPr>
              <w:t>42 </w:t>
            </w:r>
          </w:p>
        </w:tc>
        <w:tc>
          <w:tcPr>
            <w:tcW w:w="0" w:type="auto"/>
            <w:shd w:val="clear" w:color="auto" w:fill="FFFFFF"/>
            <w:tcMar>
              <w:top w:w="40" w:type="dxa"/>
              <w:left w:w="0" w:type="dxa"/>
              <w:bottom w:w="40" w:type="dxa"/>
              <w:right w:w="20" w:type="dxa"/>
            </w:tcMar>
            <w:vAlign w:val="bottom"/>
          </w:tcPr>
          <w:p w14:paraId="5EA1E54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54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550" w14:textId="77777777" w:rsidR="003C66EB" w:rsidRDefault="00D96C4E">
            <w:pPr>
              <w:jc w:val="right"/>
              <w:textAlignment w:val="bottom"/>
            </w:pPr>
            <w:r>
              <w:rPr>
                <w:rFonts w:ascii="Arial" w:eastAsia="宋体" w:hAnsi="Arial" w:cs="Arial"/>
                <w:color w:val="000000"/>
                <w:sz w:val="13"/>
                <w:szCs w:val="13"/>
              </w:rPr>
              <w:t>108 </w:t>
            </w:r>
          </w:p>
        </w:tc>
        <w:tc>
          <w:tcPr>
            <w:tcW w:w="0" w:type="auto"/>
            <w:shd w:val="clear" w:color="auto" w:fill="FFFFFF"/>
            <w:tcMar>
              <w:top w:w="40" w:type="dxa"/>
              <w:left w:w="0" w:type="dxa"/>
              <w:bottom w:w="40" w:type="dxa"/>
              <w:right w:w="20" w:type="dxa"/>
            </w:tcMar>
            <w:vAlign w:val="bottom"/>
          </w:tcPr>
          <w:p w14:paraId="5EA1E551" w14:textId="77777777" w:rsidR="003C66EB" w:rsidRDefault="003C66EB">
            <w:pPr>
              <w:jc w:val="right"/>
              <w:rPr>
                <w:rFonts w:ascii="宋体"/>
              </w:rPr>
            </w:pPr>
          </w:p>
        </w:tc>
        <w:tc>
          <w:tcPr>
            <w:tcW w:w="0" w:type="auto"/>
            <w:gridSpan w:val="3"/>
            <w:shd w:val="clear" w:color="auto" w:fill="auto"/>
          </w:tcPr>
          <w:p w14:paraId="5EA1E552" w14:textId="77777777" w:rsidR="003C66EB" w:rsidRDefault="003C66EB">
            <w:pPr>
              <w:rPr>
                <w:rFonts w:ascii="宋体"/>
                <w:vanish/>
              </w:rPr>
            </w:pPr>
          </w:p>
        </w:tc>
        <w:tc>
          <w:tcPr>
            <w:tcW w:w="0" w:type="auto"/>
            <w:gridSpan w:val="3"/>
            <w:shd w:val="clear" w:color="auto" w:fill="auto"/>
          </w:tcPr>
          <w:p w14:paraId="5EA1E553" w14:textId="77777777" w:rsidR="003C66EB" w:rsidRDefault="003C66EB">
            <w:pPr>
              <w:rPr>
                <w:rFonts w:ascii="宋体"/>
                <w:vanish/>
              </w:rPr>
            </w:pPr>
          </w:p>
        </w:tc>
        <w:tc>
          <w:tcPr>
            <w:tcW w:w="0" w:type="auto"/>
            <w:gridSpan w:val="3"/>
            <w:shd w:val="clear" w:color="auto" w:fill="auto"/>
          </w:tcPr>
          <w:p w14:paraId="5EA1E554" w14:textId="77777777" w:rsidR="003C66EB" w:rsidRDefault="003C66EB">
            <w:pPr>
              <w:rPr>
                <w:rFonts w:ascii="宋体"/>
                <w:vanish/>
              </w:rPr>
            </w:pPr>
          </w:p>
        </w:tc>
        <w:tc>
          <w:tcPr>
            <w:tcW w:w="0" w:type="auto"/>
            <w:gridSpan w:val="3"/>
            <w:shd w:val="clear" w:color="auto" w:fill="auto"/>
          </w:tcPr>
          <w:p w14:paraId="5EA1E555" w14:textId="77777777" w:rsidR="003C66EB" w:rsidRDefault="003C66EB">
            <w:pPr>
              <w:rPr>
                <w:rFonts w:ascii="宋体"/>
                <w:vanish/>
              </w:rPr>
            </w:pPr>
          </w:p>
        </w:tc>
        <w:tc>
          <w:tcPr>
            <w:tcW w:w="0" w:type="auto"/>
            <w:gridSpan w:val="3"/>
            <w:shd w:val="clear" w:color="auto" w:fill="auto"/>
          </w:tcPr>
          <w:p w14:paraId="5EA1E556" w14:textId="77777777" w:rsidR="003C66EB" w:rsidRDefault="003C66EB">
            <w:pPr>
              <w:rPr>
                <w:rFonts w:ascii="宋体"/>
                <w:vanish/>
              </w:rPr>
            </w:pPr>
          </w:p>
        </w:tc>
        <w:tc>
          <w:tcPr>
            <w:tcW w:w="0" w:type="auto"/>
            <w:gridSpan w:val="3"/>
            <w:shd w:val="clear" w:color="auto" w:fill="auto"/>
          </w:tcPr>
          <w:p w14:paraId="5EA1E557" w14:textId="77777777" w:rsidR="003C66EB" w:rsidRDefault="003C66EB">
            <w:pPr>
              <w:rPr>
                <w:rFonts w:ascii="宋体"/>
                <w:vanish/>
              </w:rPr>
            </w:pPr>
          </w:p>
        </w:tc>
        <w:tc>
          <w:tcPr>
            <w:tcW w:w="0" w:type="auto"/>
            <w:gridSpan w:val="3"/>
            <w:shd w:val="clear" w:color="auto" w:fill="auto"/>
          </w:tcPr>
          <w:p w14:paraId="5EA1E558" w14:textId="77777777" w:rsidR="003C66EB" w:rsidRDefault="003C66EB">
            <w:pPr>
              <w:rPr>
                <w:rFonts w:ascii="宋体"/>
                <w:vanish/>
              </w:rPr>
            </w:pPr>
          </w:p>
        </w:tc>
        <w:tc>
          <w:tcPr>
            <w:tcW w:w="0" w:type="auto"/>
            <w:gridSpan w:val="3"/>
            <w:shd w:val="clear" w:color="auto" w:fill="auto"/>
          </w:tcPr>
          <w:p w14:paraId="5EA1E559" w14:textId="77777777" w:rsidR="003C66EB" w:rsidRDefault="003C66EB">
            <w:pPr>
              <w:rPr>
                <w:rFonts w:ascii="宋体"/>
                <w:vanish/>
              </w:rPr>
            </w:pPr>
          </w:p>
        </w:tc>
        <w:tc>
          <w:tcPr>
            <w:tcW w:w="0" w:type="auto"/>
            <w:gridSpan w:val="2"/>
            <w:shd w:val="clear" w:color="auto" w:fill="auto"/>
          </w:tcPr>
          <w:p w14:paraId="5EA1E55A" w14:textId="77777777" w:rsidR="003C66EB" w:rsidRDefault="003C66EB">
            <w:pPr>
              <w:rPr>
                <w:rFonts w:ascii="宋体"/>
                <w:vanish/>
              </w:rPr>
            </w:pPr>
          </w:p>
        </w:tc>
        <w:tc>
          <w:tcPr>
            <w:tcW w:w="0" w:type="auto"/>
            <w:shd w:val="clear" w:color="auto" w:fill="auto"/>
          </w:tcPr>
          <w:p w14:paraId="5EA1E55B" w14:textId="77777777" w:rsidR="003C66EB" w:rsidRDefault="003C66EB">
            <w:pPr>
              <w:rPr>
                <w:rFonts w:ascii="宋体"/>
                <w:vanish/>
              </w:rPr>
            </w:pPr>
          </w:p>
        </w:tc>
      </w:tr>
      <w:tr w:rsidR="003C66EB" w14:paraId="5EA1E573" w14:textId="77777777">
        <w:trPr>
          <w:hidden/>
        </w:trPr>
        <w:tc>
          <w:tcPr>
            <w:tcW w:w="0" w:type="auto"/>
            <w:gridSpan w:val="3"/>
            <w:shd w:val="clear" w:color="auto" w:fill="auto"/>
          </w:tcPr>
          <w:p w14:paraId="5EA1E55D" w14:textId="77777777" w:rsidR="003C66EB" w:rsidRDefault="003C66EB">
            <w:pPr>
              <w:rPr>
                <w:rFonts w:ascii="宋体"/>
                <w:vanish/>
              </w:rPr>
            </w:pPr>
          </w:p>
        </w:tc>
        <w:tc>
          <w:tcPr>
            <w:tcW w:w="0" w:type="auto"/>
            <w:gridSpan w:val="3"/>
            <w:shd w:val="clear" w:color="auto" w:fill="auto"/>
          </w:tcPr>
          <w:p w14:paraId="5EA1E55E" w14:textId="77777777" w:rsidR="003C66EB" w:rsidRDefault="003C66EB">
            <w:pPr>
              <w:rPr>
                <w:rFonts w:ascii="宋体"/>
                <w:vanish/>
              </w:rPr>
            </w:pPr>
          </w:p>
        </w:tc>
        <w:tc>
          <w:tcPr>
            <w:tcW w:w="0" w:type="auto"/>
            <w:gridSpan w:val="3"/>
            <w:shd w:val="clear" w:color="auto" w:fill="auto"/>
          </w:tcPr>
          <w:p w14:paraId="5EA1E55F" w14:textId="77777777" w:rsidR="003C66EB" w:rsidRDefault="003C66EB">
            <w:pPr>
              <w:rPr>
                <w:rFonts w:ascii="宋体"/>
                <w:vanish/>
              </w:rPr>
            </w:pPr>
          </w:p>
        </w:tc>
        <w:tc>
          <w:tcPr>
            <w:tcW w:w="0" w:type="auto"/>
            <w:gridSpan w:val="3"/>
            <w:shd w:val="clear" w:color="auto" w:fill="auto"/>
          </w:tcPr>
          <w:p w14:paraId="5EA1E560" w14:textId="77777777" w:rsidR="003C66EB" w:rsidRDefault="003C66EB">
            <w:pPr>
              <w:rPr>
                <w:rFonts w:ascii="宋体"/>
                <w:vanish/>
              </w:rPr>
            </w:pPr>
          </w:p>
        </w:tc>
        <w:tc>
          <w:tcPr>
            <w:tcW w:w="0" w:type="auto"/>
            <w:gridSpan w:val="3"/>
            <w:shd w:val="clear" w:color="auto" w:fill="auto"/>
          </w:tcPr>
          <w:p w14:paraId="5EA1E561" w14:textId="77777777" w:rsidR="003C66EB" w:rsidRDefault="003C66EB">
            <w:pPr>
              <w:rPr>
                <w:rFonts w:ascii="宋体"/>
                <w:vanish/>
              </w:rPr>
            </w:pPr>
          </w:p>
        </w:tc>
        <w:tc>
          <w:tcPr>
            <w:tcW w:w="0" w:type="auto"/>
            <w:gridSpan w:val="3"/>
            <w:shd w:val="clear" w:color="auto" w:fill="auto"/>
          </w:tcPr>
          <w:p w14:paraId="5EA1E562" w14:textId="77777777" w:rsidR="003C66EB" w:rsidRDefault="003C66EB">
            <w:pPr>
              <w:rPr>
                <w:rFonts w:ascii="宋体"/>
                <w:vanish/>
              </w:rPr>
            </w:pPr>
          </w:p>
        </w:tc>
        <w:tc>
          <w:tcPr>
            <w:tcW w:w="0" w:type="auto"/>
            <w:gridSpan w:val="3"/>
            <w:shd w:val="clear" w:color="auto" w:fill="auto"/>
          </w:tcPr>
          <w:p w14:paraId="5EA1E563" w14:textId="77777777" w:rsidR="003C66EB" w:rsidRDefault="003C66EB">
            <w:pPr>
              <w:rPr>
                <w:rFonts w:ascii="宋体"/>
                <w:vanish/>
              </w:rPr>
            </w:pPr>
          </w:p>
        </w:tc>
        <w:tc>
          <w:tcPr>
            <w:tcW w:w="0" w:type="auto"/>
            <w:gridSpan w:val="3"/>
            <w:shd w:val="clear" w:color="auto" w:fill="auto"/>
          </w:tcPr>
          <w:p w14:paraId="5EA1E564" w14:textId="77777777" w:rsidR="003C66EB" w:rsidRDefault="003C66EB">
            <w:pPr>
              <w:rPr>
                <w:rFonts w:ascii="宋体"/>
                <w:vanish/>
              </w:rPr>
            </w:pPr>
          </w:p>
        </w:tc>
        <w:tc>
          <w:tcPr>
            <w:tcW w:w="0" w:type="auto"/>
            <w:gridSpan w:val="3"/>
            <w:shd w:val="clear" w:color="auto" w:fill="auto"/>
          </w:tcPr>
          <w:p w14:paraId="5EA1E565" w14:textId="77777777" w:rsidR="003C66EB" w:rsidRDefault="003C66EB">
            <w:pPr>
              <w:rPr>
                <w:rFonts w:ascii="宋体"/>
                <w:vanish/>
              </w:rPr>
            </w:pPr>
          </w:p>
        </w:tc>
        <w:tc>
          <w:tcPr>
            <w:tcW w:w="0" w:type="auto"/>
            <w:gridSpan w:val="3"/>
            <w:shd w:val="clear" w:color="auto" w:fill="auto"/>
          </w:tcPr>
          <w:p w14:paraId="5EA1E566" w14:textId="77777777" w:rsidR="003C66EB" w:rsidRDefault="003C66EB">
            <w:pPr>
              <w:rPr>
                <w:rFonts w:ascii="宋体"/>
                <w:vanish/>
              </w:rPr>
            </w:pPr>
          </w:p>
        </w:tc>
        <w:tc>
          <w:tcPr>
            <w:tcW w:w="0" w:type="auto"/>
            <w:gridSpan w:val="3"/>
            <w:shd w:val="clear" w:color="auto" w:fill="auto"/>
          </w:tcPr>
          <w:p w14:paraId="5EA1E567" w14:textId="77777777" w:rsidR="003C66EB" w:rsidRDefault="003C66EB">
            <w:pPr>
              <w:rPr>
                <w:rFonts w:ascii="宋体"/>
                <w:vanish/>
              </w:rPr>
            </w:pPr>
          </w:p>
        </w:tc>
        <w:tc>
          <w:tcPr>
            <w:tcW w:w="0" w:type="auto"/>
            <w:gridSpan w:val="3"/>
            <w:shd w:val="clear" w:color="auto" w:fill="auto"/>
          </w:tcPr>
          <w:p w14:paraId="5EA1E568" w14:textId="77777777" w:rsidR="003C66EB" w:rsidRDefault="003C66EB">
            <w:pPr>
              <w:rPr>
                <w:rFonts w:ascii="宋体"/>
                <w:vanish/>
              </w:rPr>
            </w:pPr>
          </w:p>
        </w:tc>
        <w:tc>
          <w:tcPr>
            <w:tcW w:w="0" w:type="auto"/>
            <w:gridSpan w:val="3"/>
            <w:shd w:val="clear" w:color="auto" w:fill="auto"/>
          </w:tcPr>
          <w:p w14:paraId="5EA1E569" w14:textId="77777777" w:rsidR="003C66EB" w:rsidRDefault="003C66EB">
            <w:pPr>
              <w:rPr>
                <w:rFonts w:ascii="宋体"/>
                <w:vanish/>
              </w:rPr>
            </w:pPr>
          </w:p>
        </w:tc>
        <w:tc>
          <w:tcPr>
            <w:tcW w:w="0" w:type="auto"/>
            <w:gridSpan w:val="3"/>
            <w:shd w:val="clear" w:color="auto" w:fill="auto"/>
          </w:tcPr>
          <w:p w14:paraId="5EA1E56A" w14:textId="77777777" w:rsidR="003C66EB" w:rsidRDefault="003C66EB">
            <w:pPr>
              <w:rPr>
                <w:rFonts w:ascii="宋体"/>
                <w:vanish/>
              </w:rPr>
            </w:pPr>
          </w:p>
        </w:tc>
        <w:tc>
          <w:tcPr>
            <w:tcW w:w="0" w:type="auto"/>
            <w:gridSpan w:val="3"/>
            <w:shd w:val="clear" w:color="auto" w:fill="auto"/>
          </w:tcPr>
          <w:p w14:paraId="5EA1E56B" w14:textId="77777777" w:rsidR="003C66EB" w:rsidRDefault="003C66EB">
            <w:pPr>
              <w:rPr>
                <w:rFonts w:ascii="宋体"/>
                <w:vanish/>
              </w:rPr>
            </w:pPr>
          </w:p>
        </w:tc>
        <w:tc>
          <w:tcPr>
            <w:tcW w:w="0" w:type="auto"/>
            <w:gridSpan w:val="3"/>
            <w:shd w:val="clear" w:color="auto" w:fill="auto"/>
          </w:tcPr>
          <w:p w14:paraId="5EA1E56C" w14:textId="77777777" w:rsidR="003C66EB" w:rsidRDefault="003C66EB">
            <w:pPr>
              <w:rPr>
                <w:rFonts w:ascii="宋体"/>
                <w:vanish/>
              </w:rPr>
            </w:pPr>
          </w:p>
        </w:tc>
        <w:tc>
          <w:tcPr>
            <w:tcW w:w="0" w:type="auto"/>
            <w:gridSpan w:val="3"/>
            <w:shd w:val="clear" w:color="auto" w:fill="auto"/>
          </w:tcPr>
          <w:p w14:paraId="5EA1E56D" w14:textId="77777777" w:rsidR="003C66EB" w:rsidRDefault="003C66EB">
            <w:pPr>
              <w:rPr>
                <w:rFonts w:ascii="宋体"/>
                <w:vanish/>
              </w:rPr>
            </w:pPr>
          </w:p>
        </w:tc>
        <w:tc>
          <w:tcPr>
            <w:tcW w:w="0" w:type="auto"/>
            <w:gridSpan w:val="3"/>
            <w:shd w:val="clear" w:color="auto" w:fill="auto"/>
          </w:tcPr>
          <w:p w14:paraId="5EA1E56E" w14:textId="77777777" w:rsidR="003C66EB" w:rsidRDefault="003C66EB">
            <w:pPr>
              <w:rPr>
                <w:rFonts w:ascii="宋体"/>
                <w:vanish/>
              </w:rPr>
            </w:pPr>
          </w:p>
        </w:tc>
        <w:tc>
          <w:tcPr>
            <w:tcW w:w="0" w:type="auto"/>
            <w:gridSpan w:val="3"/>
            <w:shd w:val="clear" w:color="auto" w:fill="auto"/>
          </w:tcPr>
          <w:p w14:paraId="5EA1E56F" w14:textId="77777777" w:rsidR="003C66EB" w:rsidRDefault="003C66EB">
            <w:pPr>
              <w:rPr>
                <w:rFonts w:ascii="宋体"/>
                <w:vanish/>
              </w:rPr>
            </w:pPr>
          </w:p>
        </w:tc>
        <w:tc>
          <w:tcPr>
            <w:tcW w:w="0" w:type="auto"/>
            <w:gridSpan w:val="3"/>
            <w:shd w:val="clear" w:color="auto" w:fill="auto"/>
          </w:tcPr>
          <w:p w14:paraId="5EA1E570" w14:textId="77777777" w:rsidR="003C66EB" w:rsidRDefault="003C66EB">
            <w:pPr>
              <w:rPr>
                <w:rFonts w:ascii="宋体"/>
                <w:vanish/>
              </w:rPr>
            </w:pPr>
          </w:p>
        </w:tc>
        <w:tc>
          <w:tcPr>
            <w:tcW w:w="0" w:type="auto"/>
            <w:gridSpan w:val="2"/>
            <w:shd w:val="clear" w:color="auto" w:fill="auto"/>
          </w:tcPr>
          <w:p w14:paraId="5EA1E571" w14:textId="77777777" w:rsidR="003C66EB" w:rsidRDefault="003C66EB">
            <w:pPr>
              <w:rPr>
                <w:rFonts w:ascii="宋体"/>
                <w:vanish/>
              </w:rPr>
            </w:pPr>
          </w:p>
        </w:tc>
        <w:tc>
          <w:tcPr>
            <w:tcW w:w="0" w:type="auto"/>
            <w:shd w:val="clear" w:color="auto" w:fill="auto"/>
          </w:tcPr>
          <w:p w14:paraId="5EA1E572" w14:textId="77777777" w:rsidR="003C66EB" w:rsidRDefault="003C66EB">
            <w:pPr>
              <w:rPr>
                <w:rFonts w:ascii="宋体"/>
                <w:vanish/>
              </w:rPr>
            </w:pPr>
          </w:p>
        </w:tc>
      </w:tr>
    </w:tbl>
    <w:p w14:paraId="5EA1E574"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3C66EB" w14:paraId="5EA1E57B" w14:textId="77777777">
        <w:tc>
          <w:tcPr>
            <w:tcW w:w="50" w:type="pct"/>
            <w:shd w:val="clear" w:color="auto" w:fill="auto"/>
          </w:tcPr>
          <w:p w14:paraId="5EA1E575" w14:textId="77777777" w:rsidR="003C66EB" w:rsidRDefault="003C66EB">
            <w:pPr>
              <w:rPr>
                <w:rFonts w:ascii="宋体"/>
              </w:rPr>
            </w:pPr>
          </w:p>
        </w:tc>
        <w:tc>
          <w:tcPr>
            <w:tcW w:w="2907" w:type="pct"/>
            <w:shd w:val="clear" w:color="auto" w:fill="auto"/>
          </w:tcPr>
          <w:p w14:paraId="5EA1E576" w14:textId="77777777" w:rsidR="003C66EB" w:rsidRDefault="003C66EB">
            <w:pPr>
              <w:rPr>
                <w:rFonts w:ascii="宋体"/>
              </w:rPr>
            </w:pPr>
          </w:p>
        </w:tc>
        <w:tc>
          <w:tcPr>
            <w:tcW w:w="5" w:type="pct"/>
            <w:shd w:val="clear" w:color="auto" w:fill="auto"/>
          </w:tcPr>
          <w:p w14:paraId="5EA1E577" w14:textId="77777777" w:rsidR="003C66EB" w:rsidRDefault="003C66EB">
            <w:pPr>
              <w:rPr>
                <w:rFonts w:ascii="宋体"/>
              </w:rPr>
            </w:pPr>
          </w:p>
        </w:tc>
        <w:tc>
          <w:tcPr>
            <w:tcW w:w="50" w:type="pct"/>
            <w:shd w:val="clear" w:color="auto" w:fill="auto"/>
          </w:tcPr>
          <w:p w14:paraId="5EA1E578" w14:textId="77777777" w:rsidR="003C66EB" w:rsidRDefault="003C66EB">
            <w:pPr>
              <w:rPr>
                <w:rFonts w:ascii="宋体"/>
              </w:rPr>
            </w:pPr>
          </w:p>
        </w:tc>
        <w:tc>
          <w:tcPr>
            <w:tcW w:w="1982" w:type="pct"/>
            <w:shd w:val="clear" w:color="auto" w:fill="auto"/>
          </w:tcPr>
          <w:p w14:paraId="5EA1E579" w14:textId="77777777" w:rsidR="003C66EB" w:rsidRDefault="003C66EB">
            <w:pPr>
              <w:rPr>
                <w:rFonts w:ascii="宋体"/>
              </w:rPr>
            </w:pPr>
          </w:p>
        </w:tc>
        <w:tc>
          <w:tcPr>
            <w:tcW w:w="5" w:type="pct"/>
            <w:shd w:val="clear" w:color="auto" w:fill="auto"/>
          </w:tcPr>
          <w:p w14:paraId="5EA1E57A" w14:textId="77777777" w:rsidR="003C66EB" w:rsidRDefault="003C66EB">
            <w:pPr>
              <w:rPr>
                <w:rFonts w:ascii="宋体"/>
              </w:rPr>
            </w:pPr>
          </w:p>
        </w:tc>
      </w:tr>
      <w:tr w:rsidR="003C66EB" w14:paraId="5EA1E57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57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57D" w14:textId="77777777" w:rsidR="003C66EB" w:rsidRDefault="003C66EB">
            <w:pPr>
              <w:rPr>
                <w:rFonts w:ascii="宋体"/>
              </w:rPr>
            </w:pPr>
          </w:p>
        </w:tc>
      </w:tr>
    </w:tbl>
    <w:p w14:paraId="5EA1E57F" w14:textId="77777777" w:rsidR="003C66EB" w:rsidRDefault="00D96C4E">
      <w:pPr>
        <w:spacing w:before="2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The investment securities portfolio duration is 3.1 years as of March 31, 2021.</w:t>
      </w:r>
    </w:p>
    <w:p w14:paraId="5EA1E580" w14:textId="77777777" w:rsidR="003C66EB" w:rsidRDefault="00D96C4E">
      <w:pPr>
        <w:spacing w:before="2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Net of discount accretion on MMLF HTM securities.</w:t>
      </w:r>
    </w:p>
    <w:p w14:paraId="5EA1E581" w14:textId="77777777" w:rsidR="003C66EB" w:rsidRDefault="00D96C4E">
      <w:pPr>
        <w:ind w:firstLine="450"/>
        <w:jc w:val="right"/>
      </w:pPr>
      <w:r>
        <w:rPr>
          <w:rFonts w:ascii="Arial" w:eastAsia="宋体" w:hAnsi="Arial" w:cs="Arial"/>
          <w:color w:val="000000"/>
          <w:sz w:val="18"/>
          <w:szCs w:val="18"/>
        </w:rPr>
        <w:t>State Street Corporation | 13</w:t>
      </w:r>
    </w:p>
    <w:p w14:paraId="5EA1E582" w14:textId="77777777" w:rsidR="003C66EB" w:rsidRDefault="003C66EB">
      <w:pPr>
        <w:ind w:firstLine="450"/>
        <w:jc w:val="center"/>
      </w:pPr>
    </w:p>
    <w:p w14:paraId="5EA1E583" w14:textId="77777777" w:rsidR="003C66EB" w:rsidRDefault="00D96C4E">
      <w:r>
        <w:pict w14:anchorId="5EA287BD">
          <v:rect id="_x0000_i1037" style="width:415.3pt;height:1.5pt" o:hralign="center" o:hrstd="t" o:hr="t" fillcolor="#a0a0a0" stroked="f"/>
        </w:pict>
      </w:r>
    </w:p>
    <w:p w14:paraId="5EA1E584"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585" w14:textId="77777777" w:rsidR="003C66EB" w:rsidRDefault="00D96C4E">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5EA1E586" w14:textId="77777777" w:rsidR="003C66EB" w:rsidRDefault="003C66EB">
      <w:pPr>
        <w:spacing w:before="60"/>
        <w:jc w:val="both"/>
      </w:pPr>
    </w:p>
    <w:p w14:paraId="5EA1E587" w14:textId="77777777" w:rsidR="003C66EB" w:rsidRDefault="00D96C4E">
      <w:pPr>
        <w:spacing w:before="60"/>
        <w:ind w:firstLine="450"/>
        <w:jc w:val="both"/>
      </w:pPr>
      <w:r>
        <w:rPr>
          <w:rFonts w:ascii="Arial" w:eastAsia="宋体" w:hAnsi="Arial" w:cs="Arial"/>
          <w:color w:val="000000"/>
          <w:sz w:val="20"/>
          <w:szCs w:val="20"/>
        </w:rPr>
        <w:t>See Table 7: Average Balances and Interest Rates - Fully Taxable-Equivalent Basis, for the breakout of NII on a FTE basis for the first quarters of 2021 and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1833"/>
        <w:gridCol w:w="36"/>
        <w:gridCol w:w="98"/>
        <w:gridCol w:w="545"/>
        <w:gridCol w:w="36"/>
        <w:gridCol w:w="36"/>
        <w:gridCol w:w="36"/>
        <w:gridCol w:w="36"/>
        <w:gridCol w:w="152"/>
        <w:gridCol w:w="1072"/>
        <w:gridCol w:w="36"/>
        <w:gridCol w:w="36"/>
        <w:gridCol w:w="36"/>
        <w:gridCol w:w="36"/>
        <w:gridCol w:w="55"/>
        <w:gridCol w:w="283"/>
        <w:gridCol w:w="146"/>
        <w:gridCol w:w="36"/>
        <w:gridCol w:w="36"/>
        <w:gridCol w:w="36"/>
        <w:gridCol w:w="98"/>
        <w:gridCol w:w="545"/>
        <w:gridCol w:w="36"/>
        <w:gridCol w:w="36"/>
        <w:gridCol w:w="36"/>
        <w:gridCol w:w="36"/>
        <w:gridCol w:w="152"/>
        <w:gridCol w:w="1072"/>
        <w:gridCol w:w="36"/>
        <w:gridCol w:w="36"/>
        <w:gridCol w:w="36"/>
        <w:gridCol w:w="36"/>
        <w:gridCol w:w="67"/>
        <w:gridCol w:w="343"/>
        <w:gridCol w:w="14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E5B6" w14:textId="77777777">
        <w:tc>
          <w:tcPr>
            <w:tcW w:w="50" w:type="pct"/>
            <w:shd w:val="clear" w:color="auto" w:fill="auto"/>
          </w:tcPr>
          <w:p w14:paraId="5EA1E588" w14:textId="77777777" w:rsidR="003C66EB" w:rsidRDefault="003C66EB">
            <w:pPr>
              <w:rPr>
                <w:rFonts w:ascii="宋体"/>
              </w:rPr>
            </w:pPr>
          </w:p>
        </w:tc>
        <w:tc>
          <w:tcPr>
            <w:tcW w:w="2503" w:type="pct"/>
            <w:shd w:val="clear" w:color="auto" w:fill="auto"/>
          </w:tcPr>
          <w:p w14:paraId="5EA1E589" w14:textId="77777777" w:rsidR="003C66EB" w:rsidRDefault="003C66EB">
            <w:pPr>
              <w:rPr>
                <w:rFonts w:ascii="宋体"/>
              </w:rPr>
            </w:pPr>
          </w:p>
        </w:tc>
        <w:tc>
          <w:tcPr>
            <w:tcW w:w="5" w:type="pct"/>
            <w:shd w:val="clear" w:color="auto" w:fill="auto"/>
          </w:tcPr>
          <w:p w14:paraId="5EA1E58A" w14:textId="77777777" w:rsidR="003C66EB" w:rsidRDefault="003C66EB">
            <w:pPr>
              <w:rPr>
                <w:rFonts w:ascii="宋体"/>
              </w:rPr>
            </w:pPr>
          </w:p>
        </w:tc>
        <w:tc>
          <w:tcPr>
            <w:tcW w:w="50" w:type="pct"/>
            <w:shd w:val="clear" w:color="auto" w:fill="auto"/>
          </w:tcPr>
          <w:p w14:paraId="5EA1E58B" w14:textId="77777777" w:rsidR="003C66EB" w:rsidRDefault="003C66EB">
            <w:pPr>
              <w:rPr>
                <w:rFonts w:ascii="宋体"/>
              </w:rPr>
            </w:pPr>
          </w:p>
        </w:tc>
        <w:tc>
          <w:tcPr>
            <w:tcW w:w="347" w:type="pct"/>
            <w:shd w:val="clear" w:color="auto" w:fill="auto"/>
          </w:tcPr>
          <w:p w14:paraId="5EA1E58C" w14:textId="77777777" w:rsidR="003C66EB" w:rsidRDefault="003C66EB">
            <w:pPr>
              <w:rPr>
                <w:rFonts w:ascii="宋体"/>
              </w:rPr>
            </w:pPr>
          </w:p>
        </w:tc>
        <w:tc>
          <w:tcPr>
            <w:tcW w:w="5" w:type="pct"/>
            <w:shd w:val="clear" w:color="auto" w:fill="auto"/>
          </w:tcPr>
          <w:p w14:paraId="5EA1E58D" w14:textId="77777777" w:rsidR="003C66EB" w:rsidRDefault="003C66EB">
            <w:pPr>
              <w:rPr>
                <w:rFonts w:ascii="宋体"/>
              </w:rPr>
            </w:pPr>
          </w:p>
        </w:tc>
        <w:tc>
          <w:tcPr>
            <w:tcW w:w="5" w:type="pct"/>
            <w:shd w:val="clear" w:color="auto" w:fill="auto"/>
          </w:tcPr>
          <w:p w14:paraId="5EA1E58E" w14:textId="77777777" w:rsidR="003C66EB" w:rsidRDefault="003C66EB">
            <w:pPr>
              <w:rPr>
                <w:rFonts w:ascii="宋体"/>
              </w:rPr>
            </w:pPr>
          </w:p>
        </w:tc>
        <w:tc>
          <w:tcPr>
            <w:tcW w:w="26" w:type="pct"/>
            <w:shd w:val="clear" w:color="auto" w:fill="auto"/>
          </w:tcPr>
          <w:p w14:paraId="5EA1E58F" w14:textId="77777777" w:rsidR="003C66EB" w:rsidRDefault="003C66EB">
            <w:pPr>
              <w:rPr>
                <w:rFonts w:ascii="宋体"/>
              </w:rPr>
            </w:pPr>
          </w:p>
        </w:tc>
        <w:tc>
          <w:tcPr>
            <w:tcW w:w="5" w:type="pct"/>
            <w:shd w:val="clear" w:color="auto" w:fill="auto"/>
          </w:tcPr>
          <w:p w14:paraId="5EA1E590" w14:textId="77777777" w:rsidR="003C66EB" w:rsidRDefault="003C66EB">
            <w:pPr>
              <w:rPr>
                <w:rFonts w:ascii="宋体"/>
              </w:rPr>
            </w:pPr>
          </w:p>
        </w:tc>
        <w:tc>
          <w:tcPr>
            <w:tcW w:w="50" w:type="pct"/>
            <w:shd w:val="clear" w:color="auto" w:fill="auto"/>
          </w:tcPr>
          <w:p w14:paraId="5EA1E591" w14:textId="77777777" w:rsidR="003C66EB" w:rsidRDefault="003C66EB">
            <w:pPr>
              <w:rPr>
                <w:rFonts w:ascii="宋体"/>
              </w:rPr>
            </w:pPr>
          </w:p>
        </w:tc>
        <w:tc>
          <w:tcPr>
            <w:tcW w:w="354" w:type="pct"/>
            <w:shd w:val="clear" w:color="auto" w:fill="auto"/>
          </w:tcPr>
          <w:p w14:paraId="5EA1E592" w14:textId="77777777" w:rsidR="003C66EB" w:rsidRDefault="003C66EB">
            <w:pPr>
              <w:rPr>
                <w:rFonts w:ascii="宋体"/>
              </w:rPr>
            </w:pPr>
          </w:p>
        </w:tc>
        <w:tc>
          <w:tcPr>
            <w:tcW w:w="5" w:type="pct"/>
            <w:shd w:val="clear" w:color="auto" w:fill="auto"/>
          </w:tcPr>
          <w:p w14:paraId="5EA1E593" w14:textId="77777777" w:rsidR="003C66EB" w:rsidRDefault="003C66EB">
            <w:pPr>
              <w:rPr>
                <w:rFonts w:ascii="宋体"/>
              </w:rPr>
            </w:pPr>
          </w:p>
        </w:tc>
        <w:tc>
          <w:tcPr>
            <w:tcW w:w="5" w:type="pct"/>
            <w:shd w:val="clear" w:color="auto" w:fill="auto"/>
          </w:tcPr>
          <w:p w14:paraId="5EA1E594" w14:textId="77777777" w:rsidR="003C66EB" w:rsidRDefault="003C66EB">
            <w:pPr>
              <w:rPr>
                <w:rFonts w:ascii="宋体"/>
              </w:rPr>
            </w:pPr>
          </w:p>
        </w:tc>
        <w:tc>
          <w:tcPr>
            <w:tcW w:w="26" w:type="pct"/>
            <w:shd w:val="clear" w:color="auto" w:fill="auto"/>
          </w:tcPr>
          <w:p w14:paraId="5EA1E595" w14:textId="77777777" w:rsidR="003C66EB" w:rsidRDefault="003C66EB">
            <w:pPr>
              <w:rPr>
                <w:rFonts w:ascii="宋体"/>
              </w:rPr>
            </w:pPr>
          </w:p>
        </w:tc>
        <w:tc>
          <w:tcPr>
            <w:tcW w:w="5" w:type="pct"/>
            <w:shd w:val="clear" w:color="auto" w:fill="auto"/>
          </w:tcPr>
          <w:p w14:paraId="5EA1E596" w14:textId="77777777" w:rsidR="003C66EB" w:rsidRDefault="003C66EB">
            <w:pPr>
              <w:rPr>
                <w:rFonts w:ascii="宋体"/>
              </w:rPr>
            </w:pPr>
          </w:p>
        </w:tc>
        <w:tc>
          <w:tcPr>
            <w:tcW w:w="50" w:type="pct"/>
            <w:shd w:val="clear" w:color="auto" w:fill="auto"/>
          </w:tcPr>
          <w:p w14:paraId="5EA1E597" w14:textId="77777777" w:rsidR="003C66EB" w:rsidRDefault="003C66EB">
            <w:pPr>
              <w:rPr>
                <w:rFonts w:ascii="宋体"/>
              </w:rPr>
            </w:pPr>
          </w:p>
        </w:tc>
        <w:tc>
          <w:tcPr>
            <w:tcW w:w="259" w:type="pct"/>
            <w:shd w:val="clear" w:color="auto" w:fill="auto"/>
          </w:tcPr>
          <w:p w14:paraId="5EA1E598" w14:textId="77777777" w:rsidR="003C66EB" w:rsidRDefault="003C66EB">
            <w:pPr>
              <w:rPr>
                <w:rFonts w:ascii="宋体"/>
              </w:rPr>
            </w:pPr>
          </w:p>
        </w:tc>
        <w:tc>
          <w:tcPr>
            <w:tcW w:w="5" w:type="pct"/>
            <w:shd w:val="clear" w:color="auto" w:fill="auto"/>
          </w:tcPr>
          <w:p w14:paraId="5EA1E599" w14:textId="77777777" w:rsidR="003C66EB" w:rsidRDefault="003C66EB">
            <w:pPr>
              <w:rPr>
                <w:rFonts w:ascii="宋体"/>
              </w:rPr>
            </w:pPr>
          </w:p>
        </w:tc>
        <w:tc>
          <w:tcPr>
            <w:tcW w:w="5" w:type="pct"/>
            <w:shd w:val="clear" w:color="auto" w:fill="auto"/>
          </w:tcPr>
          <w:p w14:paraId="5EA1E59A" w14:textId="77777777" w:rsidR="003C66EB" w:rsidRDefault="003C66EB">
            <w:pPr>
              <w:rPr>
                <w:rFonts w:ascii="宋体"/>
              </w:rPr>
            </w:pPr>
          </w:p>
        </w:tc>
        <w:tc>
          <w:tcPr>
            <w:tcW w:w="26" w:type="pct"/>
            <w:shd w:val="clear" w:color="auto" w:fill="auto"/>
          </w:tcPr>
          <w:p w14:paraId="5EA1E59B" w14:textId="77777777" w:rsidR="003C66EB" w:rsidRDefault="003C66EB">
            <w:pPr>
              <w:rPr>
                <w:rFonts w:ascii="宋体"/>
              </w:rPr>
            </w:pPr>
          </w:p>
        </w:tc>
        <w:tc>
          <w:tcPr>
            <w:tcW w:w="5" w:type="pct"/>
            <w:shd w:val="clear" w:color="auto" w:fill="auto"/>
          </w:tcPr>
          <w:p w14:paraId="5EA1E59C" w14:textId="77777777" w:rsidR="003C66EB" w:rsidRDefault="003C66EB">
            <w:pPr>
              <w:rPr>
                <w:rFonts w:ascii="宋体"/>
              </w:rPr>
            </w:pPr>
          </w:p>
        </w:tc>
        <w:tc>
          <w:tcPr>
            <w:tcW w:w="50" w:type="pct"/>
            <w:shd w:val="clear" w:color="auto" w:fill="auto"/>
          </w:tcPr>
          <w:p w14:paraId="5EA1E59D" w14:textId="77777777" w:rsidR="003C66EB" w:rsidRDefault="003C66EB">
            <w:pPr>
              <w:rPr>
                <w:rFonts w:ascii="宋体"/>
              </w:rPr>
            </w:pPr>
          </w:p>
        </w:tc>
        <w:tc>
          <w:tcPr>
            <w:tcW w:w="354" w:type="pct"/>
            <w:shd w:val="clear" w:color="auto" w:fill="auto"/>
          </w:tcPr>
          <w:p w14:paraId="5EA1E59E" w14:textId="77777777" w:rsidR="003C66EB" w:rsidRDefault="003C66EB">
            <w:pPr>
              <w:rPr>
                <w:rFonts w:ascii="宋体"/>
              </w:rPr>
            </w:pPr>
          </w:p>
        </w:tc>
        <w:tc>
          <w:tcPr>
            <w:tcW w:w="5" w:type="pct"/>
            <w:shd w:val="clear" w:color="auto" w:fill="auto"/>
          </w:tcPr>
          <w:p w14:paraId="5EA1E59F" w14:textId="77777777" w:rsidR="003C66EB" w:rsidRDefault="003C66EB">
            <w:pPr>
              <w:rPr>
                <w:rFonts w:ascii="宋体"/>
              </w:rPr>
            </w:pPr>
          </w:p>
        </w:tc>
        <w:tc>
          <w:tcPr>
            <w:tcW w:w="5" w:type="pct"/>
            <w:shd w:val="clear" w:color="auto" w:fill="auto"/>
          </w:tcPr>
          <w:p w14:paraId="5EA1E5A0" w14:textId="77777777" w:rsidR="003C66EB" w:rsidRDefault="003C66EB">
            <w:pPr>
              <w:rPr>
                <w:rFonts w:ascii="宋体"/>
              </w:rPr>
            </w:pPr>
          </w:p>
        </w:tc>
        <w:tc>
          <w:tcPr>
            <w:tcW w:w="26" w:type="pct"/>
            <w:shd w:val="clear" w:color="auto" w:fill="auto"/>
          </w:tcPr>
          <w:p w14:paraId="5EA1E5A1" w14:textId="77777777" w:rsidR="003C66EB" w:rsidRDefault="003C66EB">
            <w:pPr>
              <w:rPr>
                <w:rFonts w:ascii="宋体"/>
              </w:rPr>
            </w:pPr>
          </w:p>
        </w:tc>
        <w:tc>
          <w:tcPr>
            <w:tcW w:w="5" w:type="pct"/>
            <w:shd w:val="clear" w:color="auto" w:fill="auto"/>
          </w:tcPr>
          <w:p w14:paraId="5EA1E5A2" w14:textId="77777777" w:rsidR="003C66EB" w:rsidRDefault="003C66EB">
            <w:pPr>
              <w:rPr>
                <w:rFonts w:ascii="宋体"/>
              </w:rPr>
            </w:pPr>
          </w:p>
        </w:tc>
        <w:tc>
          <w:tcPr>
            <w:tcW w:w="50" w:type="pct"/>
            <w:shd w:val="clear" w:color="auto" w:fill="auto"/>
          </w:tcPr>
          <w:p w14:paraId="5EA1E5A3" w14:textId="77777777" w:rsidR="003C66EB" w:rsidRDefault="003C66EB">
            <w:pPr>
              <w:rPr>
                <w:rFonts w:ascii="宋体"/>
              </w:rPr>
            </w:pPr>
          </w:p>
        </w:tc>
        <w:tc>
          <w:tcPr>
            <w:tcW w:w="354" w:type="pct"/>
            <w:shd w:val="clear" w:color="auto" w:fill="auto"/>
          </w:tcPr>
          <w:p w14:paraId="5EA1E5A4" w14:textId="77777777" w:rsidR="003C66EB" w:rsidRDefault="003C66EB">
            <w:pPr>
              <w:rPr>
                <w:rFonts w:ascii="宋体"/>
              </w:rPr>
            </w:pPr>
          </w:p>
        </w:tc>
        <w:tc>
          <w:tcPr>
            <w:tcW w:w="5" w:type="pct"/>
            <w:shd w:val="clear" w:color="auto" w:fill="auto"/>
          </w:tcPr>
          <w:p w14:paraId="5EA1E5A5" w14:textId="77777777" w:rsidR="003C66EB" w:rsidRDefault="003C66EB">
            <w:pPr>
              <w:rPr>
                <w:rFonts w:ascii="宋体"/>
              </w:rPr>
            </w:pPr>
          </w:p>
        </w:tc>
        <w:tc>
          <w:tcPr>
            <w:tcW w:w="5" w:type="pct"/>
            <w:shd w:val="clear" w:color="auto" w:fill="auto"/>
          </w:tcPr>
          <w:p w14:paraId="5EA1E5A6" w14:textId="77777777" w:rsidR="003C66EB" w:rsidRDefault="003C66EB">
            <w:pPr>
              <w:rPr>
                <w:rFonts w:ascii="宋体"/>
              </w:rPr>
            </w:pPr>
          </w:p>
        </w:tc>
        <w:tc>
          <w:tcPr>
            <w:tcW w:w="26" w:type="pct"/>
            <w:shd w:val="clear" w:color="auto" w:fill="auto"/>
          </w:tcPr>
          <w:p w14:paraId="5EA1E5A7" w14:textId="77777777" w:rsidR="003C66EB" w:rsidRDefault="003C66EB">
            <w:pPr>
              <w:rPr>
                <w:rFonts w:ascii="宋体"/>
              </w:rPr>
            </w:pPr>
          </w:p>
        </w:tc>
        <w:tc>
          <w:tcPr>
            <w:tcW w:w="5" w:type="pct"/>
            <w:shd w:val="clear" w:color="auto" w:fill="auto"/>
          </w:tcPr>
          <w:p w14:paraId="5EA1E5A8" w14:textId="77777777" w:rsidR="003C66EB" w:rsidRDefault="003C66EB">
            <w:pPr>
              <w:rPr>
                <w:rFonts w:ascii="宋体"/>
              </w:rPr>
            </w:pPr>
          </w:p>
        </w:tc>
        <w:tc>
          <w:tcPr>
            <w:tcW w:w="50" w:type="pct"/>
            <w:shd w:val="clear" w:color="auto" w:fill="auto"/>
          </w:tcPr>
          <w:p w14:paraId="5EA1E5A9" w14:textId="77777777" w:rsidR="003C66EB" w:rsidRDefault="003C66EB">
            <w:pPr>
              <w:rPr>
                <w:rFonts w:ascii="宋体"/>
              </w:rPr>
            </w:pPr>
          </w:p>
        </w:tc>
        <w:tc>
          <w:tcPr>
            <w:tcW w:w="259" w:type="pct"/>
            <w:shd w:val="clear" w:color="auto" w:fill="auto"/>
          </w:tcPr>
          <w:p w14:paraId="5EA1E5AA" w14:textId="77777777" w:rsidR="003C66EB" w:rsidRDefault="003C66EB">
            <w:pPr>
              <w:rPr>
                <w:rFonts w:ascii="宋体"/>
              </w:rPr>
            </w:pPr>
          </w:p>
        </w:tc>
        <w:tc>
          <w:tcPr>
            <w:tcW w:w="5" w:type="pct"/>
            <w:shd w:val="clear" w:color="auto" w:fill="auto"/>
          </w:tcPr>
          <w:p w14:paraId="5EA1E5AB" w14:textId="77777777" w:rsidR="003C66EB" w:rsidRDefault="003C66EB">
            <w:pPr>
              <w:rPr>
                <w:rFonts w:ascii="宋体"/>
              </w:rPr>
            </w:pPr>
          </w:p>
        </w:tc>
        <w:tc>
          <w:tcPr>
            <w:tcW w:w="0" w:type="auto"/>
            <w:gridSpan w:val="3"/>
            <w:shd w:val="clear" w:color="auto" w:fill="auto"/>
          </w:tcPr>
          <w:p w14:paraId="5EA1E5AC" w14:textId="77777777" w:rsidR="003C66EB" w:rsidRDefault="003C66EB">
            <w:pPr>
              <w:rPr>
                <w:rFonts w:ascii="宋体"/>
                <w:vanish/>
              </w:rPr>
            </w:pPr>
          </w:p>
        </w:tc>
        <w:tc>
          <w:tcPr>
            <w:tcW w:w="0" w:type="auto"/>
            <w:gridSpan w:val="3"/>
            <w:shd w:val="clear" w:color="auto" w:fill="auto"/>
          </w:tcPr>
          <w:p w14:paraId="5EA1E5AD" w14:textId="77777777" w:rsidR="003C66EB" w:rsidRDefault="003C66EB">
            <w:pPr>
              <w:rPr>
                <w:rFonts w:ascii="宋体"/>
                <w:vanish/>
              </w:rPr>
            </w:pPr>
          </w:p>
        </w:tc>
        <w:tc>
          <w:tcPr>
            <w:tcW w:w="0" w:type="auto"/>
            <w:gridSpan w:val="3"/>
            <w:shd w:val="clear" w:color="auto" w:fill="auto"/>
          </w:tcPr>
          <w:p w14:paraId="5EA1E5AE" w14:textId="77777777" w:rsidR="003C66EB" w:rsidRDefault="003C66EB">
            <w:pPr>
              <w:rPr>
                <w:rFonts w:ascii="宋体"/>
                <w:vanish/>
              </w:rPr>
            </w:pPr>
          </w:p>
        </w:tc>
        <w:tc>
          <w:tcPr>
            <w:tcW w:w="0" w:type="auto"/>
            <w:gridSpan w:val="3"/>
            <w:shd w:val="clear" w:color="auto" w:fill="auto"/>
          </w:tcPr>
          <w:p w14:paraId="5EA1E5AF" w14:textId="77777777" w:rsidR="003C66EB" w:rsidRDefault="003C66EB">
            <w:pPr>
              <w:rPr>
                <w:rFonts w:ascii="宋体"/>
                <w:vanish/>
              </w:rPr>
            </w:pPr>
          </w:p>
        </w:tc>
        <w:tc>
          <w:tcPr>
            <w:tcW w:w="0" w:type="auto"/>
            <w:gridSpan w:val="3"/>
            <w:shd w:val="clear" w:color="auto" w:fill="auto"/>
          </w:tcPr>
          <w:p w14:paraId="5EA1E5B0" w14:textId="77777777" w:rsidR="003C66EB" w:rsidRDefault="003C66EB">
            <w:pPr>
              <w:rPr>
                <w:rFonts w:ascii="宋体"/>
                <w:vanish/>
              </w:rPr>
            </w:pPr>
          </w:p>
        </w:tc>
        <w:tc>
          <w:tcPr>
            <w:tcW w:w="0" w:type="auto"/>
            <w:gridSpan w:val="3"/>
            <w:shd w:val="clear" w:color="auto" w:fill="auto"/>
          </w:tcPr>
          <w:p w14:paraId="5EA1E5B1" w14:textId="77777777" w:rsidR="003C66EB" w:rsidRDefault="003C66EB">
            <w:pPr>
              <w:rPr>
                <w:rFonts w:ascii="宋体"/>
                <w:vanish/>
              </w:rPr>
            </w:pPr>
          </w:p>
        </w:tc>
        <w:tc>
          <w:tcPr>
            <w:tcW w:w="0" w:type="auto"/>
            <w:gridSpan w:val="3"/>
            <w:shd w:val="clear" w:color="auto" w:fill="auto"/>
          </w:tcPr>
          <w:p w14:paraId="5EA1E5B2" w14:textId="77777777" w:rsidR="003C66EB" w:rsidRDefault="003C66EB">
            <w:pPr>
              <w:rPr>
                <w:rFonts w:ascii="宋体"/>
                <w:vanish/>
              </w:rPr>
            </w:pPr>
          </w:p>
        </w:tc>
        <w:tc>
          <w:tcPr>
            <w:tcW w:w="0" w:type="auto"/>
            <w:gridSpan w:val="3"/>
            <w:shd w:val="clear" w:color="auto" w:fill="auto"/>
          </w:tcPr>
          <w:p w14:paraId="5EA1E5B3" w14:textId="77777777" w:rsidR="003C66EB" w:rsidRDefault="003C66EB">
            <w:pPr>
              <w:rPr>
                <w:rFonts w:ascii="宋体"/>
                <w:vanish/>
              </w:rPr>
            </w:pPr>
          </w:p>
        </w:tc>
        <w:tc>
          <w:tcPr>
            <w:tcW w:w="0" w:type="auto"/>
            <w:gridSpan w:val="2"/>
            <w:shd w:val="clear" w:color="auto" w:fill="auto"/>
          </w:tcPr>
          <w:p w14:paraId="5EA1E5B4" w14:textId="77777777" w:rsidR="003C66EB" w:rsidRDefault="003C66EB">
            <w:pPr>
              <w:rPr>
                <w:rFonts w:ascii="宋体"/>
                <w:vanish/>
              </w:rPr>
            </w:pPr>
          </w:p>
        </w:tc>
        <w:tc>
          <w:tcPr>
            <w:tcW w:w="0" w:type="auto"/>
            <w:shd w:val="clear" w:color="auto" w:fill="auto"/>
          </w:tcPr>
          <w:p w14:paraId="5EA1E5B5" w14:textId="77777777" w:rsidR="003C66EB" w:rsidRDefault="003C66EB">
            <w:pPr>
              <w:rPr>
                <w:rFonts w:ascii="宋体"/>
                <w:vanish/>
              </w:rPr>
            </w:pPr>
          </w:p>
        </w:tc>
      </w:tr>
      <w:tr w:rsidR="003C66EB" w14:paraId="5EA1E5C7" w14:textId="77777777">
        <w:tc>
          <w:tcPr>
            <w:tcW w:w="0" w:type="auto"/>
            <w:gridSpan w:val="36"/>
            <w:shd w:val="clear" w:color="auto" w:fill="auto"/>
            <w:tcMar>
              <w:top w:w="40" w:type="dxa"/>
              <w:left w:w="20" w:type="dxa"/>
              <w:bottom w:w="40" w:type="dxa"/>
              <w:right w:w="20" w:type="dxa"/>
            </w:tcMar>
            <w:vAlign w:val="bottom"/>
          </w:tcPr>
          <w:p w14:paraId="5EA1E5B7" w14:textId="77777777" w:rsidR="003C66EB" w:rsidRDefault="00D96C4E">
            <w:pPr>
              <w:textAlignment w:val="bottom"/>
            </w:pPr>
            <w:r>
              <w:rPr>
                <w:rFonts w:ascii="Arial" w:eastAsia="宋体" w:hAnsi="Arial" w:cs="Arial"/>
                <w:b/>
                <w:bCs/>
                <w:color w:val="000000"/>
                <w:sz w:val="16"/>
                <w:szCs w:val="16"/>
              </w:rPr>
              <w:t>TABLE 7: AVERAGE BALANCES AND INTEREST RATE</w:t>
            </w:r>
            <w:r>
              <w:rPr>
                <w:rFonts w:ascii="Arial" w:eastAsia="宋体" w:hAnsi="Arial" w:cs="Arial"/>
                <w:b/>
                <w:bCs/>
                <w:color w:val="000000"/>
                <w:sz w:val="16"/>
                <w:szCs w:val="16"/>
              </w:rPr>
              <w:t>S - FULLY TAXABLE-EQUIVALENT BASIS</w:t>
            </w:r>
            <w:r>
              <w:rPr>
                <w:rFonts w:ascii="Arial" w:eastAsia="宋体" w:hAnsi="Arial" w:cs="Arial"/>
                <w:b/>
                <w:bCs/>
                <w:color w:val="000000"/>
                <w:sz w:val="10"/>
                <w:szCs w:val="10"/>
              </w:rPr>
              <w:t>(1)</w:t>
            </w:r>
          </w:p>
        </w:tc>
        <w:tc>
          <w:tcPr>
            <w:tcW w:w="0" w:type="auto"/>
            <w:gridSpan w:val="3"/>
            <w:shd w:val="clear" w:color="auto" w:fill="auto"/>
          </w:tcPr>
          <w:p w14:paraId="5EA1E5B8" w14:textId="77777777" w:rsidR="003C66EB" w:rsidRDefault="003C66EB">
            <w:pPr>
              <w:rPr>
                <w:rFonts w:ascii="宋体"/>
                <w:vanish/>
              </w:rPr>
            </w:pPr>
          </w:p>
        </w:tc>
        <w:tc>
          <w:tcPr>
            <w:tcW w:w="0" w:type="auto"/>
            <w:gridSpan w:val="3"/>
            <w:shd w:val="clear" w:color="auto" w:fill="auto"/>
          </w:tcPr>
          <w:p w14:paraId="5EA1E5B9" w14:textId="77777777" w:rsidR="003C66EB" w:rsidRDefault="003C66EB">
            <w:pPr>
              <w:rPr>
                <w:rFonts w:ascii="宋体"/>
                <w:vanish/>
              </w:rPr>
            </w:pPr>
          </w:p>
        </w:tc>
        <w:tc>
          <w:tcPr>
            <w:tcW w:w="0" w:type="auto"/>
            <w:gridSpan w:val="3"/>
            <w:shd w:val="clear" w:color="auto" w:fill="auto"/>
          </w:tcPr>
          <w:p w14:paraId="5EA1E5BA" w14:textId="77777777" w:rsidR="003C66EB" w:rsidRDefault="003C66EB">
            <w:pPr>
              <w:rPr>
                <w:rFonts w:ascii="宋体"/>
                <w:vanish/>
              </w:rPr>
            </w:pPr>
          </w:p>
        </w:tc>
        <w:tc>
          <w:tcPr>
            <w:tcW w:w="0" w:type="auto"/>
            <w:gridSpan w:val="3"/>
            <w:shd w:val="clear" w:color="auto" w:fill="auto"/>
          </w:tcPr>
          <w:p w14:paraId="5EA1E5BB" w14:textId="77777777" w:rsidR="003C66EB" w:rsidRDefault="003C66EB">
            <w:pPr>
              <w:rPr>
                <w:rFonts w:ascii="宋体"/>
                <w:vanish/>
              </w:rPr>
            </w:pPr>
          </w:p>
        </w:tc>
        <w:tc>
          <w:tcPr>
            <w:tcW w:w="0" w:type="auto"/>
            <w:gridSpan w:val="3"/>
            <w:shd w:val="clear" w:color="auto" w:fill="auto"/>
          </w:tcPr>
          <w:p w14:paraId="5EA1E5BC" w14:textId="77777777" w:rsidR="003C66EB" w:rsidRDefault="003C66EB">
            <w:pPr>
              <w:rPr>
                <w:rFonts w:ascii="宋体"/>
                <w:vanish/>
              </w:rPr>
            </w:pPr>
          </w:p>
        </w:tc>
        <w:tc>
          <w:tcPr>
            <w:tcW w:w="0" w:type="auto"/>
            <w:gridSpan w:val="3"/>
            <w:shd w:val="clear" w:color="auto" w:fill="auto"/>
          </w:tcPr>
          <w:p w14:paraId="5EA1E5BD" w14:textId="77777777" w:rsidR="003C66EB" w:rsidRDefault="003C66EB">
            <w:pPr>
              <w:rPr>
                <w:rFonts w:ascii="宋体"/>
                <w:vanish/>
              </w:rPr>
            </w:pPr>
          </w:p>
        </w:tc>
        <w:tc>
          <w:tcPr>
            <w:tcW w:w="0" w:type="auto"/>
            <w:shd w:val="clear" w:color="auto" w:fill="auto"/>
          </w:tcPr>
          <w:p w14:paraId="5EA1E5BE" w14:textId="77777777" w:rsidR="003C66EB" w:rsidRDefault="003C66EB">
            <w:pPr>
              <w:rPr>
                <w:rFonts w:ascii="宋体"/>
              </w:rPr>
            </w:pPr>
          </w:p>
        </w:tc>
        <w:tc>
          <w:tcPr>
            <w:tcW w:w="0" w:type="auto"/>
            <w:shd w:val="clear" w:color="auto" w:fill="auto"/>
          </w:tcPr>
          <w:p w14:paraId="5EA1E5BF" w14:textId="77777777" w:rsidR="003C66EB" w:rsidRDefault="003C66EB">
            <w:pPr>
              <w:rPr>
                <w:rFonts w:ascii="宋体"/>
              </w:rPr>
            </w:pPr>
          </w:p>
        </w:tc>
        <w:tc>
          <w:tcPr>
            <w:tcW w:w="0" w:type="auto"/>
            <w:shd w:val="clear" w:color="auto" w:fill="auto"/>
          </w:tcPr>
          <w:p w14:paraId="5EA1E5C0" w14:textId="77777777" w:rsidR="003C66EB" w:rsidRDefault="003C66EB">
            <w:pPr>
              <w:rPr>
                <w:rFonts w:ascii="宋体"/>
              </w:rPr>
            </w:pPr>
          </w:p>
        </w:tc>
        <w:tc>
          <w:tcPr>
            <w:tcW w:w="0" w:type="auto"/>
            <w:shd w:val="clear" w:color="auto" w:fill="auto"/>
          </w:tcPr>
          <w:p w14:paraId="5EA1E5C1" w14:textId="77777777" w:rsidR="003C66EB" w:rsidRDefault="003C66EB">
            <w:pPr>
              <w:rPr>
                <w:rFonts w:ascii="宋体"/>
              </w:rPr>
            </w:pPr>
          </w:p>
        </w:tc>
        <w:tc>
          <w:tcPr>
            <w:tcW w:w="0" w:type="auto"/>
            <w:shd w:val="clear" w:color="auto" w:fill="auto"/>
          </w:tcPr>
          <w:p w14:paraId="5EA1E5C2" w14:textId="77777777" w:rsidR="003C66EB" w:rsidRDefault="003C66EB">
            <w:pPr>
              <w:rPr>
                <w:rFonts w:ascii="宋体"/>
              </w:rPr>
            </w:pPr>
          </w:p>
        </w:tc>
        <w:tc>
          <w:tcPr>
            <w:tcW w:w="0" w:type="auto"/>
            <w:shd w:val="clear" w:color="auto" w:fill="auto"/>
          </w:tcPr>
          <w:p w14:paraId="5EA1E5C3" w14:textId="77777777" w:rsidR="003C66EB" w:rsidRDefault="003C66EB">
            <w:pPr>
              <w:rPr>
                <w:rFonts w:ascii="宋体"/>
              </w:rPr>
            </w:pPr>
          </w:p>
        </w:tc>
        <w:tc>
          <w:tcPr>
            <w:tcW w:w="0" w:type="auto"/>
            <w:shd w:val="clear" w:color="auto" w:fill="auto"/>
          </w:tcPr>
          <w:p w14:paraId="5EA1E5C4" w14:textId="77777777" w:rsidR="003C66EB" w:rsidRDefault="003C66EB">
            <w:pPr>
              <w:rPr>
                <w:rFonts w:ascii="宋体"/>
              </w:rPr>
            </w:pPr>
          </w:p>
        </w:tc>
        <w:tc>
          <w:tcPr>
            <w:tcW w:w="0" w:type="auto"/>
            <w:shd w:val="clear" w:color="auto" w:fill="auto"/>
          </w:tcPr>
          <w:p w14:paraId="5EA1E5C5" w14:textId="77777777" w:rsidR="003C66EB" w:rsidRDefault="003C66EB">
            <w:pPr>
              <w:rPr>
                <w:rFonts w:ascii="宋体"/>
              </w:rPr>
            </w:pPr>
          </w:p>
        </w:tc>
        <w:tc>
          <w:tcPr>
            <w:tcW w:w="0" w:type="auto"/>
            <w:shd w:val="clear" w:color="auto" w:fill="auto"/>
          </w:tcPr>
          <w:p w14:paraId="5EA1E5C6" w14:textId="77777777" w:rsidR="003C66EB" w:rsidRDefault="003C66EB">
            <w:pPr>
              <w:rPr>
                <w:rFonts w:ascii="宋体"/>
              </w:rPr>
            </w:pPr>
          </w:p>
        </w:tc>
      </w:tr>
      <w:tr w:rsidR="003C66EB" w14:paraId="5EA1E5EB" w14:textId="77777777">
        <w:trPr>
          <w:hidden/>
        </w:trPr>
        <w:tc>
          <w:tcPr>
            <w:tcW w:w="0" w:type="auto"/>
            <w:gridSpan w:val="3"/>
            <w:shd w:val="clear" w:color="auto" w:fill="auto"/>
          </w:tcPr>
          <w:p w14:paraId="5EA1E5C8" w14:textId="77777777" w:rsidR="003C66EB" w:rsidRDefault="003C66EB">
            <w:pPr>
              <w:rPr>
                <w:rFonts w:ascii="宋体"/>
                <w:vanish/>
              </w:rPr>
            </w:pPr>
          </w:p>
        </w:tc>
        <w:tc>
          <w:tcPr>
            <w:tcW w:w="0" w:type="auto"/>
            <w:gridSpan w:val="3"/>
            <w:shd w:val="clear" w:color="auto" w:fill="auto"/>
          </w:tcPr>
          <w:p w14:paraId="5EA1E5C9" w14:textId="77777777" w:rsidR="003C66EB" w:rsidRDefault="003C66EB">
            <w:pPr>
              <w:rPr>
                <w:rFonts w:ascii="宋体"/>
                <w:vanish/>
              </w:rPr>
            </w:pPr>
          </w:p>
        </w:tc>
        <w:tc>
          <w:tcPr>
            <w:tcW w:w="0" w:type="auto"/>
            <w:gridSpan w:val="3"/>
            <w:shd w:val="clear" w:color="auto" w:fill="auto"/>
          </w:tcPr>
          <w:p w14:paraId="5EA1E5CA" w14:textId="77777777" w:rsidR="003C66EB" w:rsidRDefault="003C66EB">
            <w:pPr>
              <w:rPr>
                <w:rFonts w:ascii="宋体"/>
                <w:vanish/>
              </w:rPr>
            </w:pPr>
          </w:p>
        </w:tc>
        <w:tc>
          <w:tcPr>
            <w:tcW w:w="0" w:type="auto"/>
            <w:gridSpan w:val="3"/>
            <w:shd w:val="clear" w:color="auto" w:fill="auto"/>
          </w:tcPr>
          <w:p w14:paraId="5EA1E5CB" w14:textId="77777777" w:rsidR="003C66EB" w:rsidRDefault="003C66EB">
            <w:pPr>
              <w:rPr>
                <w:rFonts w:ascii="宋体"/>
                <w:vanish/>
              </w:rPr>
            </w:pPr>
          </w:p>
        </w:tc>
        <w:tc>
          <w:tcPr>
            <w:tcW w:w="0" w:type="auto"/>
            <w:gridSpan w:val="3"/>
            <w:shd w:val="clear" w:color="auto" w:fill="auto"/>
          </w:tcPr>
          <w:p w14:paraId="5EA1E5CC" w14:textId="77777777" w:rsidR="003C66EB" w:rsidRDefault="003C66EB">
            <w:pPr>
              <w:rPr>
                <w:rFonts w:ascii="宋体"/>
                <w:vanish/>
              </w:rPr>
            </w:pPr>
          </w:p>
        </w:tc>
        <w:tc>
          <w:tcPr>
            <w:tcW w:w="0" w:type="auto"/>
            <w:gridSpan w:val="3"/>
            <w:shd w:val="clear" w:color="auto" w:fill="auto"/>
          </w:tcPr>
          <w:p w14:paraId="5EA1E5CD" w14:textId="77777777" w:rsidR="003C66EB" w:rsidRDefault="003C66EB">
            <w:pPr>
              <w:rPr>
                <w:rFonts w:ascii="宋体"/>
                <w:vanish/>
              </w:rPr>
            </w:pPr>
          </w:p>
        </w:tc>
        <w:tc>
          <w:tcPr>
            <w:tcW w:w="0" w:type="auto"/>
            <w:gridSpan w:val="3"/>
            <w:shd w:val="clear" w:color="auto" w:fill="auto"/>
          </w:tcPr>
          <w:p w14:paraId="5EA1E5CE" w14:textId="77777777" w:rsidR="003C66EB" w:rsidRDefault="003C66EB">
            <w:pPr>
              <w:rPr>
                <w:rFonts w:ascii="宋体"/>
                <w:vanish/>
              </w:rPr>
            </w:pPr>
          </w:p>
        </w:tc>
        <w:tc>
          <w:tcPr>
            <w:tcW w:w="0" w:type="auto"/>
            <w:gridSpan w:val="3"/>
            <w:shd w:val="clear" w:color="auto" w:fill="auto"/>
          </w:tcPr>
          <w:p w14:paraId="5EA1E5CF" w14:textId="77777777" w:rsidR="003C66EB" w:rsidRDefault="003C66EB">
            <w:pPr>
              <w:rPr>
                <w:rFonts w:ascii="宋体"/>
                <w:vanish/>
              </w:rPr>
            </w:pPr>
          </w:p>
        </w:tc>
        <w:tc>
          <w:tcPr>
            <w:tcW w:w="0" w:type="auto"/>
            <w:gridSpan w:val="3"/>
            <w:shd w:val="clear" w:color="auto" w:fill="auto"/>
          </w:tcPr>
          <w:p w14:paraId="5EA1E5D0" w14:textId="77777777" w:rsidR="003C66EB" w:rsidRDefault="003C66EB">
            <w:pPr>
              <w:rPr>
                <w:rFonts w:ascii="宋体"/>
                <w:vanish/>
              </w:rPr>
            </w:pPr>
          </w:p>
        </w:tc>
        <w:tc>
          <w:tcPr>
            <w:tcW w:w="0" w:type="auto"/>
            <w:gridSpan w:val="3"/>
            <w:shd w:val="clear" w:color="auto" w:fill="auto"/>
          </w:tcPr>
          <w:p w14:paraId="5EA1E5D1" w14:textId="77777777" w:rsidR="003C66EB" w:rsidRDefault="003C66EB">
            <w:pPr>
              <w:rPr>
                <w:rFonts w:ascii="宋体"/>
                <w:vanish/>
              </w:rPr>
            </w:pPr>
          </w:p>
        </w:tc>
        <w:tc>
          <w:tcPr>
            <w:tcW w:w="0" w:type="auto"/>
            <w:gridSpan w:val="3"/>
            <w:shd w:val="clear" w:color="auto" w:fill="auto"/>
          </w:tcPr>
          <w:p w14:paraId="5EA1E5D2" w14:textId="77777777" w:rsidR="003C66EB" w:rsidRDefault="003C66EB">
            <w:pPr>
              <w:rPr>
                <w:rFonts w:ascii="宋体"/>
                <w:vanish/>
              </w:rPr>
            </w:pPr>
          </w:p>
        </w:tc>
        <w:tc>
          <w:tcPr>
            <w:tcW w:w="0" w:type="auto"/>
            <w:gridSpan w:val="3"/>
            <w:shd w:val="clear" w:color="auto" w:fill="auto"/>
          </w:tcPr>
          <w:p w14:paraId="5EA1E5D3" w14:textId="77777777" w:rsidR="003C66EB" w:rsidRDefault="003C66EB">
            <w:pPr>
              <w:rPr>
                <w:rFonts w:ascii="宋体"/>
                <w:vanish/>
              </w:rPr>
            </w:pPr>
          </w:p>
        </w:tc>
        <w:tc>
          <w:tcPr>
            <w:tcW w:w="0" w:type="auto"/>
            <w:gridSpan w:val="3"/>
            <w:shd w:val="clear" w:color="auto" w:fill="auto"/>
          </w:tcPr>
          <w:p w14:paraId="5EA1E5D4" w14:textId="77777777" w:rsidR="003C66EB" w:rsidRDefault="003C66EB">
            <w:pPr>
              <w:rPr>
                <w:rFonts w:ascii="宋体"/>
                <w:vanish/>
              </w:rPr>
            </w:pPr>
          </w:p>
        </w:tc>
        <w:tc>
          <w:tcPr>
            <w:tcW w:w="0" w:type="auto"/>
            <w:gridSpan w:val="3"/>
            <w:shd w:val="clear" w:color="auto" w:fill="auto"/>
          </w:tcPr>
          <w:p w14:paraId="5EA1E5D5" w14:textId="77777777" w:rsidR="003C66EB" w:rsidRDefault="003C66EB">
            <w:pPr>
              <w:rPr>
                <w:rFonts w:ascii="宋体"/>
                <w:vanish/>
              </w:rPr>
            </w:pPr>
          </w:p>
        </w:tc>
        <w:tc>
          <w:tcPr>
            <w:tcW w:w="0" w:type="auto"/>
            <w:shd w:val="clear" w:color="auto" w:fill="auto"/>
          </w:tcPr>
          <w:p w14:paraId="5EA1E5D6" w14:textId="77777777" w:rsidR="003C66EB" w:rsidRDefault="003C66EB">
            <w:pPr>
              <w:rPr>
                <w:rFonts w:ascii="宋体"/>
              </w:rPr>
            </w:pPr>
          </w:p>
        </w:tc>
        <w:tc>
          <w:tcPr>
            <w:tcW w:w="0" w:type="auto"/>
            <w:shd w:val="clear" w:color="auto" w:fill="auto"/>
          </w:tcPr>
          <w:p w14:paraId="5EA1E5D7" w14:textId="77777777" w:rsidR="003C66EB" w:rsidRDefault="003C66EB">
            <w:pPr>
              <w:rPr>
                <w:rFonts w:ascii="宋体"/>
              </w:rPr>
            </w:pPr>
          </w:p>
        </w:tc>
        <w:tc>
          <w:tcPr>
            <w:tcW w:w="0" w:type="auto"/>
            <w:shd w:val="clear" w:color="auto" w:fill="auto"/>
          </w:tcPr>
          <w:p w14:paraId="5EA1E5D8" w14:textId="77777777" w:rsidR="003C66EB" w:rsidRDefault="003C66EB">
            <w:pPr>
              <w:rPr>
                <w:rFonts w:ascii="宋体"/>
              </w:rPr>
            </w:pPr>
          </w:p>
        </w:tc>
        <w:tc>
          <w:tcPr>
            <w:tcW w:w="0" w:type="auto"/>
            <w:shd w:val="clear" w:color="auto" w:fill="auto"/>
          </w:tcPr>
          <w:p w14:paraId="5EA1E5D9" w14:textId="77777777" w:rsidR="003C66EB" w:rsidRDefault="003C66EB">
            <w:pPr>
              <w:rPr>
                <w:rFonts w:ascii="宋体"/>
              </w:rPr>
            </w:pPr>
          </w:p>
        </w:tc>
        <w:tc>
          <w:tcPr>
            <w:tcW w:w="0" w:type="auto"/>
            <w:shd w:val="clear" w:color="auto" w:fill="auto"/>
          </w:tcPr>
          <w:p w14:paraId="5EA1E5DA" w14:textId="77777777" w:rsidR="003C66EB" w:rsidRDefault="003C66EB">
            <w:pPr>
              <w:rPr>
                <w:rFonts w:ascii="宋体"/>
              </w:rPr>
            </w:pPr>
          </w:p>
        </w:tc>
        <w:tc>
          <w:tcPr>
            <w:tcW w:w="0" w:type="auto"/>
            <w:shd w:val="clear" w:color="auto" w:fill="auto"/>
          </w:tcPr>
          <w:p w14:paraId="5EA1E5DB" w14:textId="77777777" w:rsidR="003C66EB" w:rsidRDefault="003C66EB">
            <w:pPr>
              <w:rPr>
                <w:rFonts w:ascii="宋体"/>
              </w:rPr>
            </w:pPr>
          </w:p>
        </w:tc>
        <w:tc>
          <w:tcPr>
            <w:tcW w:w="0" w:type="auto"/>
            <w:shd w:val="clear" w:color="auto" w:fill="auto"/>
          </w:tcPr>
          <w:p w14:paraId="5EA1E5DC" w14:textId="77777777" w:rsidR="003C66EB" w:rsidRDefault="003C66EB">
            <w:pPr>
              <w:rPr>
                <w:rFonts w:ascii="宋体"/>
              </w:rPr>
            </w:pPr>
          </w:p>
        </w:tc>
        <w:tc>
          <w:tcPr>
            <w:tcW w:w="0" w:type="auto"/>
            <w:shd w:val="clear" w:color="auto" w:fill="auto"/>
          </w:tcPr>
          <w:p w14:paraId="5EA1E5DD" w14:textId="77777777" w:rsidR="003C66EB" w:rsidRDefault="003C66EB">
            <w:pPr>
              <w:rPr>
                <w:rFonts w:ascii="宋体"/>
              </w:rPr>
            </w:pPr>
          </w:p>
        </w:tc>
        <w:tc>
          <w:tcPr>
            <w:tcW w:w="0" w:type="auto"/>
            <w:shd w:val="clear" w:color="auto" w:fill="auto"/>
          </w:tcPr>
          <w:p w14:paraId="5EA1E5DE" w14:textId="77777777" w:rsidR="003C66EB" w:rsidRDefault="003C66EB">
            <w:pPr>
              <w:rPr>
                <w:rFonts w:ascii="宋体"/>
              </w:rPr>
            </w:pPr>
          </w:p>
        </w:tc>
        <w:tc>
          <w:tcPr>
            <w:tcW w:w="0" w:type="auto"/>
            <w:shd w:val="clear" w:color="auto" w:fill="auto"/>
          </w:tcPr>
          <w:p w14:paraId="5EA1E5DF" w14:textId="77777777" w:rsidR="003C66EB" w:rsidRDefault="003C66EB">
            <w:pPr>
              <w:rPr>
                <w:rFonts w:ascii="宋体"/>
              </w:rPr>
            </w:pPr>
          </w:p>
        </w:tc>
        <w:tc>
          <w:tcPr>
            <w:tcW w:w="0" w:type="auto"/>
            <w:shd w:val="clear" w:color="auto" w:fill="auto"/>
          </w:tcPr>
          <w:p w14:paraId="5EA1E5E0" w14:textId="77777777" w:rsidR="003C66EB" w:rsidRDefault="003C66EB">
            <w:pPr>
              <w:rPr>
                <w:rFonts w:ascii="宋体"/>
              </w:rPr>
            </w:pPr>
          </w:p>
        </w:tc>
        <w:tc>
          <w:tcPr>
            <w:tcW w:w="0" w:type="auto"/>
            <w:shd w:val="clear" w:color="auto" w:fill="auto"/>
          </w:tcPr>
          <w:p w14:paraId="5EA1E5E1" w14:textId="77777777" w:rsidR="003C66EB" w:rsidRDefault="003C66EB">
            <w:pPr>
              <w:rPr>
                <w:rFonts w:ascii="宋体"/>
              </w:rPr>
            </w:pPr>
          </w:p>
        </w:tc>
        <w:tc>
          <w:tcPr>
            <w:tcW w:w="0" w:type="auto"/>
            <w:shd w:val="clear" w:color="auto" w:fill="auto"/>
          </w:tcPr>
          <w:p w14:paraId="5EA1E5E2" w14:textId="77777777" w:rsidR="003C66EB" w:rsidRDefault="003C66EB">
            <w:pPr>
              <w:rPr>
                <w:rFonts w:ascii="宋体"/>
              </w:rPr>
            </w:pPr>
          </w:p>
        </w:tc>
        <w:tc>
          <w:tcPr>
            <w:tcW w:w="0" w:type="auto"/>
            <w:shd w:val="clear" w:color="auto" w:fill="auto"/>
          </w:tcPr>
          <w:p w14:paraId="5EA1E5E3" w14:textId="77777777" w:rsidR="003C66EB" w:rsidRDefault="003C66EB">
            <w:pPr>
              <w:rPr>
                <w:rFonts w:ascii="宋体"/>
              </w:rPr>
            </w:pPr>
          </w:p>
        </w:tc>
        <w:tc>
          <w:tcPr>
            <w:tcW w:w="0" w:type="auto"/>
            <w:shd w:val="clear" w:color="auto" w:fill="auto"/>
          </w:tcPr>
          <w:p w14:paraId="5EA1E5E4" w14:textId="77777777" w:rsidR="003C66EB" w:rsidRDefault="003C66EB">
            <w:pPr>
              <w:rPr>
                <w:rFonts w:ascii="宋体"/>
              </w:rPr>
            </w:pPr>
          </w:p>
        </w:tc>
        <w:tc>
          <w:tcPr>
            <w:tcW w:w="0" w:type="auto"/>
            <w:shd w:val="clear" w:color="auto" w:fill="auto"/>
          </w:tcPr>
          <w:p w14:paraId="5EA1E5E5" w14:textId="77777777" w:rsidR="003C66EB" w:rsidRDefault="003C66EB">
            <w:pPr>
              <w:rPr>
                <w:rFonts w:ascii="宋体"/>
              </w:rPr>
            </w:pPr>
          </w:p>
        </w:tc>
        <w:tc>
          <w:tcPr>
            <w:tcW w:w="0" w:type="auto"/>
            <w:shd w:val="clear" w:color="auto" w:fill="auto"/>
          </w:tcPr>
          <w:p w14:paraId="5EA1E5E6" w14:textId="77777777" w:rsidR="003C66EB" w:rsidRDefault="003C66EB">
            <w:pPr>
              <w:rPr>
                <w:rFonts w:ascii="宋体"/>
              </w:rPr>
            </w:pPr>
          </w:p>
        </w:tc>
        <w:tc>
          <w:tcPr>
            <w:tcW w:w="0" w:type="auto"/>
            <w:shd w:val="clear" w:color="auto" w:fill="auto"/>
          </w:tcPr>
          <w:p w14:paraId="5EA1E5E7" w14:textId="77777777" w:rsidR="003C66EB" w:rsidRDefault="003C66EB">
            <w:pPr>
              <w:rPr>
                <w:rFonts w:ascii="宋体"/>
              </w:rPr>
            </w:pPr>
          </w:p>
        </w:tc>
        <w:tc>
          <w:tcPr>
            <w:tcW w:w="0" w:type="auto"/>
            <w:shd w:val="clear" w:color="auto" w:fill="auto"/>
          </w:tcPr>
          <w:p w14:paraId="5EA1E5E8" w14:textId="77777777" w:rsidR="003C66EB" w:rsidRDefault="003C66EB">
            <w:pPr>
              <w:rPr>
                <w:rFonts w:ascii="宋体"/>
              </w:rPr>
            </w:pPr>
          </w:p>
        </w:tc>
        <w:tc>
          <w:tcPr>
            <w:tcW w:w="0" w:type="auto"/>
            <w:shd w:val="clear" w:color="auto" w:fill="auto"/>
          </w:tcPr>
          <w:p w14:paraId="5EA1E5E9" w14:textId="77777777" w:rsidR="003C66EB" w:rsidRDefault="003C66EB">
            <w:pPr>
              <w:rPr>
                <w:rFonts w:ascii="宋体"/>
              </w:rPr>
            </w:pPr>
          </w:p>
        </w:tc>
        <w:tc>
          <w:tcPr>
            <w:tcW w:w="0" w:type="auto"/>
            <w:shd w:val="clear" w:color="auto" w:fill="auto"/>
          </w:tcPr>
          <w:p w14:paraId="5EA1E5EA" w14:textId="77777777" w:rsidR="003C66EB" w:rsidRDefault="003C66EB">
            <w:pPr>
              <w:rPr>
                <w:rFonts w:ascii="宋体"/>
              </w:rPr>
            </w:pPr>
          </w:p>
        </w:tc>
      </w:tr>
      <w:tr w:rsidR="003C66EB" w14:paraId="5EA1E613" w14:textId="77777777">
        <w:trPr>
          <w:hidden/>
        </w:trPr>
        <w:tc>
          <w:tcPr>
            <w:tcW w:w="0" w:type="auto"/>
            <w:gridSpan w:val="3"/>
            <w:shd w:val="clear" w:color="auto" w:fill="auto"/>
          </w:tcPr>
          <w:p w14:paraId="5EA1E5EC" w14:textId="77777777" w:rsidR="003C66EB" w:rsidRDefault="003C66EB">
            <w:pPr>
              <w:rPr>
                <w:rFonts w:ascii="宋体"/>
                <w:vanish/>
              </w:rPr>
            </w:pPr>
          </w:p>
        </w:tc>
        <w:tc>
          <w:tcPr>
            <w:tcW w:w="0" w:type="auto"/>
            <w:gridSpan w:val="3"/>
            <w:shd w:val="clear" w:color="auto" w:fill="auto"/>
          </w:tcPr>
          <w:p w14:paraId="5EA1E5ED" w14:textId="77777777" w:rsidR="003C66EB" w:rsidRDefault="003C66EB">
            <w:pPr>
              <w:rPr>
                <w:rFonts w:ascii="宋体"/>
                <w:vanish/>
              </w:rPr>
            </w:pPr>
          </w:p>
        </w:tc>
        <w:tc>
          <w:tcPr>
            <w:tcW w:w="0" w:type="auto"/>
            <w:gridSpan w:val="3"/>
            <w:shd w:val="clear" w:color="auto" w:fill="auto"/>
          </w:tcPr>
          <w:p w14:paraId="5EA1E5EE" w14:textId="77777777" w:rsidR="003C66EB" w:rsidRDefault="003C66EB">
            <w:pPr>
              <w:rPr>
                <w:rFonts w:ascii="宋体"/>
                <w:vanish/>
              </w:rPr>
            </w:pPr>
          </w:p>
        </w:tc>
        <w:tc>
          <w:tcPr>
            <w:tcW w:w="0" w:type="auto"/>
            <w:gridSpan w:val="3"/>
            <w:shd w:val="clear" w:color="auto" w:fill="auto"/>
          </w:tcPr>
          <w:p w14:paraId="5EA1E5EF" w14:textId="77777777" w:rsidR="003C66EB" w:rsidRDefault="003C66EB">
            <w:pPr>
              <w:rPr>
                <w:rFonts w:ascii="宋体"/>
                <w:vanish/>
              </w:rPr>
            </w:pPr>
          </w:p>
        </w:tc>
        <w:tc>
          <w:tcPr>
            <w:tcW w:w="0" w:type="auto"/>
            <w:gridSpan w:val="3"/>
            <w:shd w:val="clear" w:color="auto" w:fill="auto"/>
          </w:tcPr>
          <w:p w14:paraId="5EA1E5F0" w14:textId="77777777" w:rsidR="003C66EB" w:rsidRDefault="003C66EB">
            <w:pPr>
              <w:rPr>
                <w:rFonts w:ascii="宋体"/>
                <w:vanish/>
              </w:rPr>
            </w:pPr>
          </w:p>
        </w:tc>
        <w:tc>
          <w:tcPr>
            <w:tcW w:w="0" w:type="auto"/>
            <w:gridSpan w:val="3"/>
            <w:shd w:val="clear" w:color="auto" w:fill="auto"/>
          </w:tcPr>
          <w:p w14:paraId="5EA1E5F1" w14:textId="77777777" w:rsidR="003C66EB" w:rsidRDefault="003C66EB">
            <w:pPr>
              <w:rPr>
                <w:rFonts w:ascii="宋体"/>
                <w:vanish/>
              </w:rPr>
            </w:pPr>
          </w:p>
        </w:tc>
        <w:tc>
          <w:tcPr>
            <w:tcW w:w="0" w:type="auto"/>
            <w:gridSpan w:val="3"/>
            <w:shd w:val="clear" w:color="auto" w:fill="auto"/>
          </w:tcPr>
          <w:p w14:paraId="5EA1E5F2" w14:textId="77777777" w:rsidR="003C66EB" w:rsidRDefault="003C66EB">
            <w:pPr>
              <w:rPr>
                <w:rFonts w:ascii="宋体"/>
                <w:vanish/>
              </w:rPr>
            </w:pPr>
          </w:p>
        </w:tc>
        <w:tc>
          <w:tcPr>
            <w:tcW w:w="0" w:type="auto"/>
            <w:gridSpan w:val="3"/>
            <w:shd w:val="clear" w:color="auto" w:fill="auto"/>
          </w:tcPr>
          <w:p w14:paraId="5EA1E5F3" w14:textId="77777777" w:rsidR="003C66EB" w:rsidRDefault="003C66EB">
            <w:pPr>
              <w:rPr>
                <w:rFonts w:ascii="宋体"/>
                <w:vanish/>
              </w:rPr>
            </w:pPr>
          </w:p>
        </w:tc>
        <w:tc>
          <w:tcPr>
            <w:tcW w:w="0" w:type="auto"/>
            <w:gridSpan w:val="3"/>
            <w:shd w:val="clear" w:color="auto" w:fill="auto"/>
          </w:tcPr>
          <w:p w14:paraId="5EA1E5F4" w14:textId="77777777" w:rsidR="003C66EB" w:rsidRDefault="003C66EB">
            <w:pPr>
              <w:rPr>
                <w:rFonts w:ascii="宋体"/>
                <w:vanish/>
              </w:rPr>
            </w:pPr>
          </w:p>
        </w:tc>
        <w:tc>
          <w:tcPr>
            <w:tcW w:w="0" w:type="auto"/>
            <w:gridSpan w:val="3"/>
            <w:shd w:val="clear" w:color="auto" w:fill="auto"/>
          </w:tcPr>
          <w:p w14:paraId="5EA1E5F5" w14:textId="77777777" w:rsidR="003C66EB" w:rsidRDefault="003C66EB">
            <w:pPr>
              <w:rPr>
                <w:rFonts w:ascii="宋体"/>
                <w:vanish/>
              </w:rPr>
            </w:pPr>
          </w:p>
        </w:tc>
        <w:tc>
          <w:tcPr>
            <w:tcW w:w="0" w:type="auto"/>
            <w:gridSpan w:val="3"/>
            <w:shd w:val="clear" w:color="auto" w:fill="auto"/>
          </w:tcPr>
          <w:p w14:paraId="5EA1E5F6" w14:textId="77777777" w:rsidR="003C66EB" w:rsidRDefault="003C66EB">
            <w:pPr>
              <w:rPr>
                <w:rFonts w:ascii="宋体"/>
                <w:vanish/>
              </w:rPr>
            </w:pPr>
          </w:p>
        </w:tc>
        <w:tc>
          <w:tcPr>
            <w:tcW w:w="0" w:type="auto"/>
            <w:gridSpan w:val="3"/>
            <w:shd w:val="clear" w:color="auto" w:fill="auto"/>
          </w:tcPr>
          <w:p w14:paraId="5EA1E5F7" w14:textId="77777777" w:rsidR="003C66EB" w:rsidRDefault="003C66EB">
            <w:pPr>
              <w:rPr>
                <w:rFonts w:ascii="宋体"/>
                <w:vanish/>
              </w:rPr>
            </w:pPr>
          </w:p>
        </w:tc>
        <w:tc>
          <w:tcPr>
            <w:tcW w:w="0" w:type="auto"/>
            <w:shd w:val="clear" w:color="auto" w:fill="auto"/>
          </w:tcPr>
          <w:p w14:paraId="5EA1E5F8" w14:textId="77777777" w:rsidR="003C66EB" w:rsidRDefault="003C66EB">
            <w:pPr>
              <w:rPr>
                <w:rFonts w:ascii="宋体"/>
              </w:rPr>
            </w:pPr>
          </w:p>
        </w:tc>
        <w:tc>
          <w:tcPr>
            <w:tcW w:w="0" w:type="auto"/>
            <w:shd w:val="clear" w:color="auto" w:fill="auto"/>
          </w:tcPr>
          <w:p w14:paraId="5EA1E5F9" w14:textId="77777777" w:rsidR="003C66EB" w:rsidRDefault="003C66EB">
            <w:pPr>
              <w:rPr>
                <w:rFonts w:ascii="宋体"/>
              </w:rPr>
            </w:pPr>
          </w:p>
        </w:tc>
        <w:tc>
          <w:tcPr>
            <w:tcW w:w="0" w:type="auto"/>
            <w:shd w:val="clear" w:color="auto" w:fill="auto"/>
          </w:tcPr>
          <w:p w14:paraId="5EA1E5FA" w14:textId="77777777" w:rsidR="003C66EB" w:rsidRDefault="003C66EB">
            <w:pPr>
              <w:rPr>
                <w:rFonts w:ascii="宋体"/>
              </w:rPr>
            </w:pPr>
          </w:p>
        </w:tc>
        <w:tc>
          <w:tcPr>
            <w:tcW w:w="0" w:type="auto"/>
            <w:shd w:val="clear" w:color="auto" w:fill="auto"/>
          </w:tcPr>
          <w:p w14:paraId="5EA1E5FB" w14:textId="77777777" w:rsidR="003C66EB" w:rsidRDefault="003C66EB">
            <w:pPr>
              <w:rPr>
                <w:rFonts w:ascii="宋体"/>
              </w:rPr>
            </w:pPr>
          </w:p>
        </w:tc>
        <w:tc>
          <w:tcPr>
            <w:tcW w:w="0" w:type="auto"/>
            <w:shd w:val="clear" w:color="auto" w:fill="auto"/>
          </w:tcPr>
          <w:p w14:paraId="5EA1E5FC" w14:textId="77777777" w:rsidR="003C66EB" w:rsidRDefault="003C66EB">
            <w:pPr>
              <w:rPr>
                <w:rFonts w:ascii="宋体"/>
              </w:rPr>
            </w:pPr>
          </w:p>
        </w:tc>
        <w:tc>
          <w:tcPr>
            <w:tcW w:w="0" w:type="auto"/>
            <w:shd w:val="clear" w:color="auto" w:fill="auto"/>
          </w:tcPr>
          <w:p w14:paraId="5EA1E5FD" w14:textId="77777777" w:rsidR="003C66EB" w:rsidRDefault="003C66EB">
            <w:pPr>
              <w:rPr>
                <w:rFonts w:ascii="宋体"/>
              </w:rPr>
            </w:pPr>
          </w:p>
        </w:tc>
        <w:tc>
          <w:tcPr>
            <w:tcW w:w="0" w:type="auto"/>
            <w:shd w:val="clear" w:color="auto" w:fill="auto"/>
          </w:tcPr>
          <w:p w14:paraId="5EA1E5FE" w14:textId="77777777" w:rsidR="003C66EB" w:rsidRDefault="003C66EB">
            <w:pPr>
              <w:rPr>
                <w:rFonts w:ascii="宋体"/>
              </w:rPr>
            </w:pPr>
          </w:p>
        </w:tc>
        <w:tc>
          <w:tcPr>
            <w:tcW w:w="0" w:type="auto"/>
            <w:shd w:val="clear" w:color="auto" w:fill="auto"/>
          </w:tcPr>
          <w:p w14:paraId="5EA1E5FF" w14:textId="77777777" w:rsidR="003C66EB" w:rsidRDefault="003C66EB">
            <w:pPr>
              <w:rPr>
                <w:rFonts w:ascii="宋体"/>
              </w:rPr>
            </w:pPr>
          </w:p>
        </w:tc>
        <w:tc>
          <w:tcPr>
            <w:tcW w:w="0" w:type="auto"/>
            <w:shd w:val="clear" w:color="auto" w:fill="auto"/>
          </w:tcPr>
          <w:p w14:paraId="5EA1E600" w14:textId="77777777" w:rsidR="003C66EB" w:rsidRDefault="003C66EB">
            <w:pPr>
              <w:rPr>
                <w:rFonts w:ascii="宋体"/>
              </w:rPr>
            </w:pPr>
          </w:p>
        </w:tc>
        <w:tc>
          <w:tcPr>
            <w:tcW w:w="0" w:type="auto"/>
            <w:shd w:val="clear" w:color="auto" w:fill="auto"/>
          </w:tcPr>
          <w:p w14:paraId="5EA1E601" w14:textId="77777777" w:rsidR="003C66EB" w:rsidRDefault="003C66EB">
            <w:pPr>
              <w:rPr>
                <w:rFonts w:ascii="宋体"/>
              </w:rPr>
            </w:pPr>
          </w:p>
        </w:tc>
        <w:tc>
          <w:tcPr>
            <w:tcW w:w="0" w:type="auto"/>
            <w:shd w:val="clear" w:color="auto" w:fill="auto"/>
          </w:tcPr>
          <w:p w14:paraId="5EA1E602" w14:textId="77777777" w:rsidR="003C66EB" w:rsidRDefault="003C66EB">
            <w:pPr>
              <w:rPr>
                <w:rFonts w:ascii="宋体"/>
              </w:rPr>
            </w:pPr>
          </w:p>
        </w:tc>
        <w:tc>
          <w:tcPr>
            <w:tcW w:w="0" w:type="auto"/>
            <w:shd w:val="clear" w:color="auto" w:fill="auto"/>
          </w:tcPr>
          <w:p w14:paraId="5EA1E603" w14:textId="77777777" w:rsidR="003C66EB" w:rsidRDefault="003C66EB">
            <w:pPr>
              <w:rPr>
                <w:rFonts w:ascii="宋体"/>
              </w:rPr>
            </w:pPr>
          </w:p>
        </w:tc>
        <w:tc>
          <w:tcPr>
            <w:tcW w:w="0" w:type="auto"/>
            <w:shd w:val="clear" w:color="auto" w:fill="auto"/>
          </w:tcPr>
          <w:p w14:paraId="5EA1E604" w14:textId="77777777" w:rsidR="003C66EB" w:rsidRDefault="003C66EB">
            <w:pPr>
              <w:rPr>
                <w:rFonts w:ascii="宋体"/>
              </w:rPr>
            </w:pPr>
          </w:p>
        </w:tc>
        <w:tc>
          <w:tcPr>
            <w:tcW w:w="0" w:type="auto"/>
            <w:shd w:val="clear" w:color="auto" w:fill="auto"/>
          </w:tcPr>
          <w:p w14:paraId="5EA1E605" w14:textId="77777777" w:rsidR="003C66EB" w:rsidRDefault="003C66EB">
            <w:pPr>
              <w:rPr>
                <w:rFonts w:ascii="宋体"/>
              </w:rPr>
            </w:pPr>
          </w:p>
        </w:tc>
        <w:tc>
          <w:tcPr>
            <w:tcW w:w="0" w:type="auto"/>
            <w:shd w:val="clear" w:color="auto" w:fill="auto"/>
          </w:tcPr>
          <w:p w14:paraId="5EA1E606" w14:textId="77777777" w:rsidR="003C66EB" w:rsidRDefault="003C66EB">
            <w:pPr>
              <w:rPr>
                <w:rFonts w:ascii="宋体"/>
              </w:rPr>
            </w:pPr>
          </w:p>
        </w:tc>
        <w:tc>
          <w:tcPr>
            <w:tcW w:w="0" w:type="auto"/>
            <w:shd w:val="clear" w:color="auto" w:fill="auto"/>
          </w:tcPr>
          <w:p w14:paraId="5EA1E607" w14:textId="77777777" w:rsidR="003C66EB" w:rsidRDefault="003C66EB">
            <w:pPr>
              <w:rPr>
                <w:rFonts w:ascii="宋体"/>
              </w:rPr>
            </w:pPr>
          </w:p>
        </w:tc>
        <w:tc>
          <w:tcPr>
            <w:tcW w:w="0" w:type="auto"/>
            <w:shd w:val="clear" w:color="auto" w:fill="auto"/>
          </w:tcPr>
          <w:p w14:paraId="5EA1E608" w14:textId="77777777" w:rsidR="003C66EB" w:rsidRDefault="003C66EB">
            <w:pPr>
              <w:rPr>
                <w:rFonts w:ascii="宋体"/>
              </w:rPr>
            </w:pPr>
          </w:p>
        </w:tc>
        <w:tc>
          <w:tcPr>
            <w:tcW w:w="0" w:type="auto"/>
            <w:shd w:val="clear" w:color="auto" w:fill="auto"/>
          </w:tcPr>
          <w:p w14:paraId="5EA1E609" w14:textId="77777777" w:rsidR="003C66EB" w:rsidRDefault="003C66EB">
            <w:pPr>
              <w:rPr>
                <w:rFonts w:ascii="宋体"/>
              </w:rPr>
            </w:pPr>
          </w:p>
        </w:tc>
        <w:tc>
          <w:tcPr>
            <w:tcW w:w="0" w:type="auto"/>
            <w:shd w:val="clear" w:color="auto" w:fill="auto"/>
          </w:tcPr>
          <w:p w14:paraId="5EA1E60A" w14:textId="77777777" w:rsidR="003C66EB" w:rsidRDefault="003C66EB">
            <w:pPr>
              <w:rPr>
                <w:rFonts w:ascii="宋体"/>
              </w:rPr>
            </w:pPr>
          </w:p>
        </w:tc>
        <w:tc>
          <w:tcPr>
            <w:tcW w:w="0" w:type="auto"/>
            <w:shd w:val="clear" w:color="auto" w:fill="auto"/>
          </w:tcPr>
          <w:p w14:paraId="5EA1E60B" w14:textId="77777777" w:rsidR="003C66EB" w:rsidRDefault="003C66EB">
            <w:pPr>
              <w:rPr>
                <w:rFonts w:ascii="宋体"/>
              </w:rPr>
            </w:pPr>
          </w:p>
        </w:tc>
        <w:tc>
          <w:tcPr>
            <w:tcW w:w="0" w:type="auto"/>
            <w:shd w:val="clear" w:color="auto" w:fill="auto"/>
          </w:tcPr>
          <w:p w14:paraId="5EA1E60C" w14:textId="77777777" w:rsidR="003C66EB" w:rsidRDefault="003C66EB">
            <w:pPr>
              <w:rPr>
                <w:rFonts w:ascii="宋体"/>
              </w:rPr>
            </w:pPr>
          </w:p>
        </w:tc>
        <w:tc>
          <w:tcPr>
            <w:tcW w:w="0" w:type="auto"/>
            <w:shd w:val="clear" w:color="auto" w:fill="auto"/>
          </w:tcPr>
          <w:p w14:paraId="5EA1E60D" w14:textId="77777777" w:rsidR="003C66EB" w:rsidRDefault="003C66EB">
            <w:pPr>
              <w:rPr>
                <w:rFonts w:ascii="宋体"/>
              </w:rPr>
            </w:pPr>
          </w:p>
        </w:tc>
        <w:tc>
          <w:tcPr>
            <w:tcW w:w="0" w:type="auto"/>
            <w:shd w:val="clear" w:color="auto" w:fill="auto"/>
          </w:tcPr>
          <w:p w14:paraId="5EA1E60E" w14:textId="77777777" w:rsidR="003C66EB" w:rsidRDefault="003C66EB">
            <w:pPr>
              <w:rPr>
                <w:rFonts w:ascii="宋体"/>
              </w:rPr>
            </w:pPr>
          </w:p>
        </w:tc>
        <w:tc>
          <w:tcPr>
            <w:tcW w:w="0" w:type="auto"/>
            <w:shd w:val="clear" w:color="auto" w:fill="auto"/>
          </w:tcPr>
          <w:p w14:paraId="5EA1E60F" w14:textId="77777777" w:rsidR="003C66EB" w:rsidRDefault="003C66EB">
            <w:pPr>
              <w:rPr>
                <w:rFonts w:ascii="宋体"/>
              </w:rPr>
            </w:pPr>
          </w:p>
        </w:tc>
        <w:tc>
          <w:tcPr>
            <w:tcW w:w="0" w:type="auto"/>
            <w:shd w:val="clear" w:color="auto" w:fill="auto"/>
          </w:tcPr>
          <w:p w14:paraId="5EA1E610" w14:textId="77777777" w:rsidR="003C66EB" w:rsidRDefault="003C66EB">
            <w:pPr>
              <w:rPr>
                <w:rFonts w:ascii="宋体"/>
              </w:rPr>
            </w:pPr>
          </w:p>
        </w:tc>
        <w:tc>
          <w:tcPr>
            <w:tcW w:w="0" w:type="auto"/>
            <w:shd w:val="clear" w:color="auto" w:fill="auto"/>
          </w:tcPr>
          <w:p w14:paraId="5EA1E611" w14:textId="77777777" w:rsidR="003C66EB" w:rsidRDefault="003C66EB">
            <w:pPr>
              <w:rPr>
                <w:rFonts w:ascii="宋体"/>
              </w:rPr>
            </w:pPr>
          </w:p>
        </w:tc>
        <w:tc>
          <w:tcPr>
            <w:tcW w:w="0" w:type="auto"/>
            <w:shd w:val="clear" w:color="auto" w:fill="auto"/>
          </w:tcPr>
          <w:p w14:paraId="5EA1E612" w14:textId="77777777" w:rsidR="003C66EB" w:rsidRDefault="003C66EB">
            <w:pPr>
              <w:rPr>
                <w:rFonts w:ascii="宋体"/>
              </w:rPr>
            </w:pPr>
          </w:p>
        </w:tc>
      </w:tr>
      <w:tr w:rsidR="003C66EB" w14:paraId="5EA1E62A" w14:textId="77777777">
        <w:trPr>
          <w:hidden/>
        </w:trPr>
        <w:tc>
          <w:tcPr>
            <w:tcW w:w="0" w:type="auto"/>
            <w:gridSpan w:val="3"/>
            <w:shd w:val="clear" w:color="auto" w:fill="auto"/>
          </w:tcPr>
          <w:p w14:paraId="5EA1E614" w14:textId="77777777" w:rsidR="003C66EB" w:rsidRDefault="003C66EB">
            <w:pPr>
              <w:rPr>
                <w:rFonts w:ascii="宋体"/>
                <w:vanish/>
              </w:rPr>
            </w:pPr>
          </w:p>
        </w:tc>
        <w:tc>
          <w:tcPr>
            <w:tcW w:w="0" w:type="auto"/>
            <w:gridSpan w:val="3"/>
            <w:shd w:val="clear" w:color="auto" w:fill="auto"/>
          </w:tcPr>
          <w:p w14:paraId="5EA1E615" w14:textId="77777777" w:rsidR="003C66EB" w:rsidRDefault="003C66EB">
            <w:pPr>
              <w:rPr>
                <w:rFonts w:ascii="宋体"/>
                <w:vanish/>
              </w:rPr>
            </w:pPr>
          </w:p>
        </w:tc>
        <w:tc>
          <w:tcPr>
            <w:tcW w:w="0" w:type="auto"/>
            <w:gridSpan w:val="3"/>
            <w:shd w:val="clear" w:color="auto" w:fill="auto"/>
          </w:tcPr>
          <w:p w14:paraId="5EA1E616" w14:textId="77777777" w:rsidR="003C66EB" w:rsidRDefault="003C66EB">
            <w:pPr>
              <w:rPr>
                <w:rFonts w:ascii="宋体"/>
                <w:vanish/>
              </w:rPr>
            </w:pPr>
          </w:p>
        </w:tc>
        <w:tc>
          <w:tcPr>
            <w:tcW w:w="0" w:type="auto"/>
            <w:gridSpan w:val="3"/>
            <w:shd w:val="clear" w:color="auto" w:fill="auto"/>
          </w:tcPr>
          <w:p w14:paraId="5EA1E617" w14:textId="77777777" w:rsidR="003C66EB" w:rsidRDefault="003C66EB">
            <w:pPr>
              <w:rPr>
                <w:rFonts w:ascii="宋体"/>
                <w:vanish/>
              </w:rPr>
            </w:pPr>
          </w:p>
        </w:tc>
        <w:tc>
          <w:tcPr>
            <w:tcW w:w="0" w:type="auto"/>
            <w:gridSpan w:val="3"/>
            <w:shd w:val="clear" w:color="auto" w:fill="auto"/>
          </w:tcPr>
          <w:p w14:paraId="5EA1E618" w14:textId="77777777" w:rsidR="003C66EB" w:rsidRDefault="003C66EB">
            <w:pPr>
              <w:rPr>
                <w:rFonts w:ascii="宋体"/>
                <w:vanish/>
              </w:rPr>
            </w:pPr>
          </w:p>
        </w:tc>
        <w:tc>
          <w:tcPr>
            <w:tcW w:w="0" w:type="auto"/>
            <w:gridSpan w:val="3"/>
            <w:shd w:val="clear" w:color="auto" w:fill="auto"/>
          </w:tcPr>
          <w:p w14:paraId="5EA1E619" w14:textId="77777777" w:rsidR="003C66EB" w:rsidRDefault="003C66EB">
            <w:pPr>
              <w:rPr>
                <w:rFonts w:ascii="宋体"/>
                <w:vanish/>
              </w:rPr>
            </w:pPr>
          </w:p>
        </w:tc>
        <w:tc>
          <w:tcPr>
            <w:tcW w:w="0" w:type="auto"/>
            <w:gridSpan w:val="3"/>
            <w:shd w:val="clear" w:color="auto" w:fill="auto"/>
          </w:tcPr>
          <w:p w14:paraId="5EA1E61A" w14:textId="77777777" w:rsidR="003C66EB" w:rsidRDefault="003C66EB">
            <w:pPr>
              <w:rPr>
                <w:rFonts w:ascii="宋体"/>
                <w:vanish/>
              </w:rPr>
            </w:pPr>
          </w:p>
        </w:tc>
        <w:tc>
          <w:tcPr>
            <w:tcW w:w="0" w:type="auto"/>
            <w:gridSpan w:val="3"/>
            <w:shd w:val="clear" w:color="auto" w:fill="auto"/>
          </w:tcPr>
          <w:p w14:paraId="5EA1E61B" w14:textId="77777777" w:rsidR="003C66EB" w:rsidRDefault="003C66EB">
            <w:pPr>
              <w:rPr>
                <w:rFonts w:ascii="宋体"/>
                <w:vanish/>
              </w:rPr>
            </w:pPr>
          </w:p>
        </w:tc>
        <w:tc>
          <w:tcPr>
            <w:tcW w:w="0" w:type="auto"/>
            <w:gridSpan w:val="3"/>
            <w:shd w:val="clear" w:color="auto" w:fill="auto"/>
          </w:tcPr>
          <w:p w14:paraId="5EA1E61C" w14:textId="77777777" w:rsidR="003C66EB" w:rsidRDefault="003C66EB">
            <w:pPr>
              <w:rPr>
                <w:rFonts w:ascii="宋体"/>
                <w:vanish/>
              </w:rPr>
            </w:pPr>
          </w:p>
        </w:tc>
        <w:tc>
          <w:tcPr>
            <w:tcW w:w="0" w:type="auto"/>
            <w:gridSpan w:val="3"/>
            <w:shd w:val="clear" w:color="auto" w:fill="auto"/>
          </w:tcPr>
          <w:p w14:paraId="5EA1E61D" w14:textId="77777777" w:rsidR="003C66EB" w:rsidRDefault="003C66EB">
            <w:pPr>
              <w:rPr>
                <w:rFonts w:ascii="宋体"/>
                <w:vanish/>
              </w:rPr>
            </w:pPr>
          </w:p>
        </w:tc>
        <w:tc>
          <w:tcPr>
            <w:tcW w:w="0" w:type="auto"/>
            <w:gridSpan w:val="3"/>
            <w:shd w:val="clear" w:color="auto" w:fill="auto"/>
          </w:tcPr>
          <w:p w14:paraId="5EA1E61E" w14:textId="77777777" w:rsidR="003C66EB" w:rsidRDefault="003C66EB">
            <w:pPr>
              <w:rPr>
                <w:rFonts w:ascii="宋体"/>
                <w:vanish/>
              </w:rPr>
            </w:pPr>
          </w:p>
        </w:tc>
        <w:tc>
          <w:tcPr>
            <w:tcW w:w="0" w:type="auto"/>
            <w:gridSpan w:val="3"/>
            <w:shd w:val="clear" w:color="auto" w:fill="auto"/>
          </w:tcPr>
          <w:p w14:paraId="5EA1E61F" w14:textId="77777777" w:rsidR="003C66EB" w:rsidRDefault="003C66EB">
            <w:pPr>
              <w:rPr>
                <w:rFonts w:ascii="宋体"/>
                <w:vanish/>
              </w:rPr>
            </w:pPr>
          </w:p>
        </w:tc>
        <w:tc>
          <w:tcPr>
            <w:tcW w:w="0" w:type="auto"/>
            <w:gridSpan w:val="3"/>
            <w:shd w:val="clear" w:color="auto" w:fill="auto"/>
          </w:tcPr>
          <w:p w14:paraId="5EA1E620" w14:textId="77777777" w:rsidR="003C66EB" w:rsidRDefault="003C66EB">
            <w:pPr>
              <w:rPr>
                <w:rFonts w:ascii="宋体"/>
                <w:vanish/>
              </w:rPr>
            </w:pPr>
          </w:p>
        </w:tc>
        <w:tc>
          <w:tcPr>
            <w:tcW w:w="0" w:type="auto"/>
            <w:gridSpan w:val="3"/>
            <w:shd w:val="clear" w:color="auto" w:fill="auto"/>
          </w:tcPr>
          <w:p w14:paraId="5EA1E621" w14:textId="77777777" w:rsidR="003C66EB" w:rsidRDefault="003C66EB">
            <w:pPr>
              <w:rPr>
                <w:rFonts w:ascii="宋体"/>
                <w:vanish/>
              </w:rPr>
            </w:pPr>
          </w:p>
        </w:tc>
        <w:tc>
          <w:tcPr>
            <w:tcW w:w="0" w:type="auto"/>
            <w:gridSpan w:val="3"/>
            <w:shd w:val="clear" w:color="auto" w:fill="auto"/>
          </w:tcPr>
          <w:p w14:paraId="5EA1E622" w14:textId="77777777" w:rsidR="003C66EB" w:rsidRDefault="003C66EB">
            <w:pPr>
              <w:rPr>
                <w:rFonts w:ascii="宋体"/>
                <w:vanish/>
              </w:rPr>
            </w:pPr>
          </w:p>
        </w:tc>
        <w:tc>
          <w:tcPr>
            <w:tcW w:w="0" w:type="auto"/>
            <w:gridSpan w:val="3"/>
            <w:shd w:val="clear" w:color="auto" w:fill="auto"/>
          </w:tcPr>
          <w:p w14:paraId="5EA1E623" w14:textId="77777777" w:rsidR="003C66EB" w:rsidRDefault="003C66EB">
            <w:pPr>
              <w:rPr>
                <w:rFonts w:ascii="宋体"/>
                <w:vanish/>
              </w:rPr>
            </w:pPr>
          </w:p>
        </w:tc>
        <w:tc>
          <w:tcPr>
            <w:tcW w:w="0" w:type="auto"/>
            <w:gridSpan w:val="3"/>
            <w:shd w:val="clear" w:color="auto" w:fill="auto"/>
          </w:tcPr>
          <w:p w14:paraId="5EA1E624" w14:textId="77777777" w:rsidR="003C66EB" w:rsidRDefault="003C66EB">
            <w:pPr>
              <w:rPr>
                <w:rFonts w:ascii="宋体"/>
                <w:vanish/>
              </w:rPr>
            </w:pPr>
          </w:p>
        </w:tc>
        <w:tc>
          <w:tcPr>
            <w:tcW w:w="0" w:type="auto"/>
            <w:gridSpan w:val="3"/>
            <w:shd w:val="clear" w:color="auto" w:fill="auto"/>
          </w:tcPr>
          <w:p w14:paraId="5EA1E625" w14:textId="77777777" w:rsidR="003C66EB" w:rsidRDefault="003C66EB">
            <w:pPr>
              <w:rPr>
                <w:rFonts w:ascii="宋体"/>
                <w:vanish/>
              </w:rPr>
            </w:pPr>
          </w:p>
        </w:tc>
        <w:tc>
          <w:tcPr>
            <w:tcW w:w="0" w:type="auto"/>
            <w:gridSpan w:val="3"/>
            <w:shd w:val="clear" w:color="auto" w:fill="auto"/>
          </w:tcPr>
          <w:p w14:paraId="5EA1E626" w14:textId="77777777" w:rsidR="003C66EB" w:rsidRDefault="003C66EB">
            <w:pPr>
              <w:rPr>
                <w:rFonts w:ascii="宋体"/>
                <w:vanish/>
              </w:rPr>
            </w:pPr>
          </w:p>
        </w:tc>
        <w:tc>
          <w:tcPr>
            <w:tcW w:w="0" w:type="auto"/>
            <w:gridSpan w:val="3"/>
            <w:shd w:val="clear" w:color="auto" w:fill="auto"/>
          </w:tcPr>
          <w:p w14:paraId="5EA1E627" w14:textId="77777777" w:rsidR="003C66EB" w:rsidRDefault="003C66EB">
            <w:pPr>
              <w:rPr>
                <w:rFonts w:ascii="宋体"/>
                <w:vanish/>
              </w:rPr>
            </w:pPr>
          </w:p>
        </w:tc>
        <w:tc>
          <w:tcPr>
            <w:tcW w:w="0" w:type="auto"/>
            <w:gridSpan w:val="2"/>
            <w:shd w:val="clear" w:color="auto" w:fill="auto"/>
          </w:tcPr>
          <w:p w14:paraId="5EA1E628" w14:textId="77777777" w:rsidR="003C66EB" w:rsidRDefault="003C66EB">
            <w:pPr>
              <w:rPr>
                <w:rFonts w:ascii="宋体"/>
                <w:vanish/>
              </w:rPr>
            </w:pPr>
          </w:p>
        </w:tc>
        <w:tc>
          <w:tcPr>
            <w:tcW w:w="0" w:type="auto"/>
            <w:shd w:val="clear" w:color="auto" w:fill="auto"/>
          </w:tcPr>
          <w:p w14:paraId="5EA1E629" w14:textId="77777777" w:rsidR="003C66EB" w:rsidRDefault="003C66EB">
            <w:pPr>
              <w:rPr>
                <w:rFonts w:ascii="宋体"/>
                <w:vanish/>
              </w:rPr>
            </w:pPr>
          </w:p>
        </w:tc>
      </w:tr>
      <w:tr w:rsidR="003C66EB" w14:paraId="5EA1E641" w14:textId="77777777">
        <w:trPr>
          <w:hidden/>
        </w:trPr>
        <w:tc>
          <w:tcPr>
            <w:tcW w:w="0" w:type="auto"/>
            <w:gridSpan w:val="3"/>
            <w:shd w:val="clear" w:color="auto" w:fill="auto"/>
          </w:tcPr>
          <w:p w14:paraId="5EA1E62B" w14:textId="77777777" w:rsidR="003C66EB" w:rsidRDefault="003C66EB">
            <w:pPr>
              <w:rPr>
                <w:rFonts w:ascii="宋体"/>
                <w:vanish/>
              </w:rPr>
            </w:pPr>
          </w:p>
        </w:tc>
        <w:tc>
          <w:tcPr>
            <w:tcW w:w="0" w:type="auto"/>
            <w:gridSpan w:val="3"/>
            <w:shd w:val="clear" w:color="auto" w:fill="auto"/>
          </w:tcPr>
          <w:p w14:paraId="5EA1E62C" w14:textId="77777777" w:rsidR="003C66EB" w:rsidRDefault="003C66EB">
            <w:pPr>
              <w:rPr>
                <w:rFonts w:ascii="宋体"/>
                <w:vanish/>
              </w:rPr>
            </w:pPr>
          </w:p>
        </w:tc>
        <w:tc>
          <w:tcPr>
            <w:tcW w:w="0" w:type="auto"/>
            <w:gridSpan w:val="3"/>
            <w:shd w:val="clear" w:color="auto" w:fill="auto"/>
          </w:tcPr>
          <w:p w14:paraId="5EA1E62D" w14:textId="77777777" w:rsidR="003C66EB" w:rsidRDefault="003C66EB">
            <w:pPr>
              <w:rPr>
                <w:rFonts w:ascii="宋体"/>
                <w:vanish/>
              </w:rPr>
            </w:pPr>
          </w:p>
        </w:tc>
        <w:tc>
          <w:tcPr>
            <w:tcW w:w="0" w:type="auto"/>
            <w:gridSpan w:val="3"/>
            <w:shd w:val="clear" w:color="auto" w:fill="auto"/>
          </w:tcPr>
          <w:p w14:paraId="5EA1E62E" w14:textId="77777777" w:rsidR="003C66EB" w:rsidRDefault="003C66EB">
            <w:pPr>
              <w:rPr>
                <w:rFonts w:ascii="宋体"/>
                <w:vanish/>
              </w:rPr>
            </w:pPr>
          </w:p>
        </w:tc>
        <w:tc>
          <w:tcPr>
            <w:tcW w:w="0" w:type="auto"/>
            <w:gridSpan w:val="3"/>
            <w:shd w:val="clear" w:color="auto" w:fill="auto"/>
          </w:tcPr>
          <w:p w14:paraId="5EA1E62F" w14:textId="77777777" w:rsidR="003C66EB" w:rsidRDefault="003C66EB">
            <w:pPr>
              <w:rPr>
                <w:rFonts w:ascii="宋体"/>
                <w:vanish/>
              </w:rPr>
            </w:pPr>
          </w:p>
        </w:tc>
        <w:tc>
          <w:tcPr>
            <w:tcW w:w="0" w:type="auto"/>
            <w:gridSpan w:val="3"/>
            <w:shd w:val="clear" w:color="auto" w:fill="auto"/>
          </w:tcPr>
          <w:p w14:paraId="5EA1E630" w14:textId="77777777" w:rsidR="003C66EB" w:rsidRDefault="003C66EB">
            <w:pPr>
              <w:rPr>
                <w:rFonts w:ascii="宋体"/>
                <w:vanish/>
              </w:rPr>
            </w:pPr>
          </w:p>
        </w:tc>
        <w:tc>
          <w:tcPr>
            <w:tcW w:w="0" w:type="auto"/>
            <w:gridSpan w:val="3"/>
            <w:shd w:val="clear" w:color="auto" w:fill="auto"/>
          </w:tcPr>
          <w:p w14:paraId="5EA1E631" w14:textId="77777777" w:rsidR="003C66EB" w:rsidRDefault="003C66EB">
            <w:pPr>
              <w:rPr>
                <w:rFonts w:ascii="宋体"/>
                <w:vanish/>
              </w:rPr>
            </w:pPr>
          </w:p>
        </w:tc>
        <w:tc>
          <w:tcPr>
            <w:tcW w:w="0" w:type="auto"/>
            <w:gridSpan w:val="3"/>
            <w:shd w:val="clear" w:color="auto" w:fill="auto"/>
          </w:tcPr>
          <w:p w14:paraId="5EA1E632" w14:textId="77777777" w:rsidR="003C66EB" w:rsidRDefault="003C66EB">
            <w:pPr>
              <w:rPr>
                <w:rFonts w:ascii="宋体"/>
                <w:vanish/>
              </w:rPr>
            </w:pPr>
          </w:p>
        </w:tc>
        <w:tc>
          <w:tcPr>
            <w:tcW w:w="0" w:type="auto"/>
            <w:gridSpan w:val="3"/>
            <w:shd w:val="clear" w:color="auto" w:fill="auto"/>
          </w:tcPr>
          <w:p w14:paraId="5EA1E633" w14:textId="77777777" w:rsidR="003C66EB" w:rsidRDefault="003C66EB">
            <w:pPr>
              <w:rPr>
                <w:rFonts w:ascii="宋体"/>
                <w:vanish/>
              </w:rPr>
            </w:pPr>
          </w:p>
        </w:tc>
        <w:tc>
          <w:tcPr>
            <w:tcW w:w="0" w:type="auto"/>
            <w:gridSpan w:val="3"/>
            <w:shd w:val="clear" w:color="auto" w:fill="auto"/>
          </w:tcPr>
          <w:p w14:paraId="5EA1E634" w14:textId="77777777" w:rsidR="003C66EB" w:rsidRDefault="003C66EB">
            <w:pPr>
              <w:rPr>
                <w:rFonts w:ascii="宋体"/>
                <w:vanish/>
              </w:rPr>
            </w:pPr>
          </w:p>
        </w:tc>
        <w:tc>
          <w:tcPr>
            <w:tcW w:w="0" w:type="auto"/>
            <w:gridSpan w:val="3"/>
            <w:shd w:val="clear" w:color="auto" w:fill="auto"/>
          </w:tcPr>
          <w:p w14:paraId="5EA1E635" w14:textId="77777777" w:rsidR="003C66EB" w:rsidRDefault="003C66EB">
            <w:pPr>
              <w:rPr>
                <w:rFonts w:ascii="宋体"/>
                <w:vanish/>
              </w:rPr>
            </w:pPr>
          </w:p>
        </w:tc>
        <w:tc>
          <w:tcPr>
            <w:tcW w:w="0" w:type="auto"/>
            <w:gridSpan w:val="3"/>
            <w:shd w:val="clear" w:color="auto" w:fill="auto"/>
          </w:tcPr>
          <w:p w14:paraId="5EA1E636" w14:textId="77777777" w:rsidR="003C66EB" w:rsidRDefault="003C66EB">
            <w:pPr>
              <w:rPr>
                <w:rFonts w:ascii="宋体"/>
                <w:vanish/>
              </w:rPr>
            </w:pPr>
          </w:p>
        </w:tc>
        <w:tc>
          <w:tcPr>
            <w:tcW w:w="0" w:type="auto"/>
            <w:gridSpan w:val="3"/>
            <w:shd w:val="clear" w:color="auto" w:fill="auto"/>
          </w:tcPr>
          <w:p w14:paraId="5EA1E637" w14:textId="77777777" w:rsidR="003C66EB" w:rsidRDefault="003C66EB">
            <w:pPr>
              <w:rPr>
                <w:rFonts w:ascii="宋体"/>
                <w:vanish/>
              </w:rPr>
            </w:pPr>
          </w:p>
        </w:tc>
        <w:tc>
          <w:tcPr>
            <w:tcW w:w="0" w:type="auto"/>
            <w:gridSpan w:val="3"/>
            <w:shd w:val="clear" w:color="auto" w:fill="auto"/>
          </w:tcPr>
          <w:p w14:paraId="5EA1E638" w14:textId="77777777" w:rsidR="003C66EB" w:rsidRDefault="003C66EB">
            <w:pPr>
              <w:rPr>
                <w:rFonts w:ascii="宋体"/>
                <w:vanish/>
              </w:rPr>
            </w:pPr>
          </w:p>
        </w:tc>
        <w:tc>
          <w:tcPr>
            <w:tcW w:w="0" w:type="auto"/>
            <w:gridSpan w:val="3"/>
            <w:shd w:val="clear" w:color="auto" w:fill="auto"/>
          </w:tcPr>
          <w:p w14:paraId="5EA1E639" w14:textId="77777777" w:rsidR="003C66EB" w:rsidRDefault="003C66EB">
            <w:pPr>
              <w:rPr>
                <w:rFonts w:ascii="宋体"/>
                <w:vanish/>
              </w:rPr>
            </w:pPr>
          </w:p>
        </w:tc>
        <w:tc>
          <w:tcPr>
            <w:tcW w:w="0" w:type="auto"/>
            <w:gridSpan w:val="3"/>
            <w:shd w:val="clear" w:color="auto" w:fill="auto"/>
          </w:tcPr>
          <w:p w14:paraId="5EA1E63A" w14:textId="77777777" w:rsidR="003C66EB" w:rsidRDefault="003C66EB">
            <w:pPr>
              <w:rPr>
                <w:rFonts w:ascii="宋体"/>
                <w:vanish/>
              </w:rPr>
            </w:pPr>
          </w:p>
        </w:tc>
        <w:tc>
          <w:tcPr>
            <w:tcW w:w="0" w:type="auto"/>
            <w:gridSpan w:val="3"/>
            <w:shd w:val="clear" w:color="auto" w:fill="auto"/>
          </w:tcPr>
          <w:p w14:paraId="5EA1E63B" w14:textId="77777777" w:rsidR="003C66EB" w:rsidRDefault="003C66EB">
            <w:pPr>
              <w:rPr>
                <w:rFonts w:ascii="宋体"/>
                <w:vanish/>
              </w:rPr>
            </w:pPr>
          </w:p>
        </w:tc>
        <w:tc>
          <w:tcPr>
            <w:tcW w:w="0" w:type="auto"/>
            <w:gridSpan w:val="3"/>
            <w:shd w:val="clear" w:color="auto" w:fill="auto"/>
          </w:tcPr>
          <w:p w14:paraId="5EA1E63C" w14:textId="77777777" w:rsidR="003C66EB" w:rsidRDefault="003C66EB">
            <w:pPr>
              <w:rPr>
                <w:rFonts w:ascii="宋体"/>
                <w:vanish/>
              </w:rPr>
            </w:pPr>
          </w:p>
        </w:tc>
        <w:tc>
          <w:tcPr>
            <w:tcW w:w="0" w:type="auto"/>
            <w:gridSpan w:val="3"/>
            <w:shd w:val="clear" w:color="auto" w:fill="auto"/>
          </w:tcPr>
          <w:p w14:paraId="5EA1E63D" w14:textId="77777777" w:rsidR="003C66EB" w:rsidRDefault="003C66EB">
            <w:pPr>
              <w:rPr>
                <w:rFonts w:ascii="宋体"/>
                <w:vanish/>
              </w:rPr>
            </w:pPr>
          </w:p>
        </w:tc>
        <w:tc>
          <w:tcPr>
            <w:tcW w:w="0" w:type="auto"/>
            <w:gridSpan w:val="3"/>
            <w:shd w:val="clear" w:color="auto" w:fill="auto"/>
          </w:tcPr>
          <w:p w14:paraId="5EA1E63E" w14:textId="77777777" w:rsidR="003C66EB" w:rsidRDefault="003C66EB">
            <w:pPr>
              <w:rPr>
                <w:rFonts w:ascii="宋体"/>
                <w:vanish/>
              </w:rPr>
            </w:pPr>
          </w:p>
        </w:tc>
        <w:tc>
          <w:tcPr>
            <w:tcW w:w="0" w:type="auto"/>
            <w:gridSpan w:val="2"/>
            <w:shd w:val="clear" w:color="auto" w:fill="auto"/>
          </w:tcPr>
          <w:p w14:paraId="5EA1E63F" w14:textId="77777777" w:rsidR="003C66EB" w:rsidRDefault="003C66EB">
            <w:pPr>
              <w:rPr>
                <w:rFonts w:ascii="宋体"/>
                <w:vanish/>
              </w:rPr>
            </w:pPr>
          </w:p>
        </w:tc>
        <w:tc>
          <w:tcPr>
            <w:tcW w:w="0" w:type="auto"/>
            <w:shd w:val="clear" w:color="auto" w:fill="auto"/>
          </w:tcPr>
          <w:p w14:paraId="5EA1E640" w14:textId="77777777" w:rsidR="003C66EB" w:rsidRDefault="003C66EB">
            <w:pPr>
              <w:rPr>
                <w:rFonts w:ascii="宋体"/>
                <w:vanish/>
              </w:rPr>
            </w:pPr>
          </w:p>
        </w:tc>
      </w:tr>
      <w:tr w:rsidR="003C66EB" w14:paraId="5EA1E658" w14:textId="77777777">
        <w:trPr>
          <w:hidden/>
        </w:trPr>
        <w:tc>
          <w:tcPr>
            <w:tcW w:w="0" w:type="auto"/>
            <w:gridSpan w:val="3"/>
            <w:shd w:val="clear" w:color="auto" w:fill="auto"/>
          </w:tcPr>
          <w:p w14:paraId="5EA1E642" w14:textId="77777777" w:rsidR="003C66EB" w:rsidRDefault="003C66EB">
            <w:pPr>
              <w:rPr>
                <w:rFonts w:ascii="宋体"/>
                <w:vanish/>
              </w:rPr>
            </w:pPr>
          </w:p>
        </w:tc>
        <w:tc>
          <w:tcPr>
            <w:tcW w:w="0" w:type="auto"/>
            <w:gridSpan w:val="3"/>
            <w:shd w:val="clear" w:color="auto" w:fill="auto"/>
          </w:tcPr>
          <w:p w14:paraId="5EA1E643" w14:textId="77777777" w:rsidR="003C66EB" w:rsidRDefault="003C66EB">
            <w:pPr>
              <w:rPr>
                <w:rFonts w:ascii="宋体"/>
                <w:vanish/>
              </w:rPr>
            </w:pPr>
          </w:p>
        </w:tc>
        <w:tc>
          <w:tcPr>
            <w:tcW w:w="0" w:type="auto"/>
            <w:gridSpan w:val="3"/>
            <w:shd w:val="clear" w:color="auto" w:fill="auto"/>
          </w:tcPr>
          <w:p w14:paraId="5EA1E644" w14:textId="77777777" w:rsidR="003C66EB" w:rsidRDefault="003C66EB">
            <w:pPr>
              <w:rPr>
                <w:rFonts w:ascii="宋体"/>
                <w:vanish/>
              </w:rPr>
            </w:pPr>
          </w:p>
        </w:tc>
        <w:tc>
          <w:tcPr>
            <w:tcW w:w="0" w:type="auto"/>
            <w:gridSpan w:val="3"/>
            <w:shd w:val="clear" w:color="auto" w:fill="auto"/>
          </w:tcPr>
          <w:p w14:paraId="5EA1E645" w14:textId="77777777" w:rsidR="003C66EB" w:rsidRDefault="003C66EB">
            <w:pPr>
              <w:rPr>
                <w:rFonts w:ascii="宋体"/>
                <w:vanish/>
              </w:rPr>
            </w:pPr>
          </w:p>
        </w:tc>
        <w:tc>
          <w:tcPr>
            <w:tcW w:w="0" w:type="auto"/>
            <w:gridSpan w:val="3"/>
            <w:shd w:val="clear" w:color="auto" w:fill="auto"/>
          </w:tcPr>
          <w:p w14:paraId="5EA1E646" w14:textId="77777777" w:rsidR="003C66EB" w:rsidRDefault="003C66EB">
            <w:pPr>
              <w:rPr>
                <w:rFonts w:ascii="宋体"/>
                <w:vanish/>
              </w:rPr>
            </w:pPr>
          </w:p>
        </w:tc>
        <w:tc>
          <w:tcPr>
            <w:tcW w:w="0" w:type="auto"/>
            <w:gridSpan w:val="3"/>
            <w:shd w:val="clear" w:color="auto" w:fill="auto"/>
          </w:tcPr>
          <w:p w14:paraId="5EA1E647" w14:textId="77777777" w:rsidR="003C66EB" w:rsidRDefault="003C66EB">
            <w:pPr>
              <w:rPr>
                <w:rFonts w:ascii="宋体"/>
                <w:vanish/>
              </w:rPr>
            </w:pPr>
          </w:p>
        </w:tc>
        <w:tc>
          <w:tcPr>
            <w:tcW w:w="0" w:type="auto"/>
            <w:gridSpan w:val="3"/>
            <w:shd w:val="clear" w:color="auto" w:fill="auto"/>
          </w:tcPr>
          <w:p w14:paraId="5EA1E648" w14:textId="77777777" w:rsidR="003C66EB" w:rsidRDefault="003C66EB">
            <w:pPr>
              <w:rPr>
                <w:rFonts w:ascii="宋体"/>
                <w:vanish/>
              </w:rPr>
            </w:pPr>
          </w:p>
        </w:tc>
        <w:tc>
          <w:tcPr>
            <w:tcW w:w="0" w:type="auto"/>
            <w:gridSpan w:val="3"/>
            <w:shd w:val="clear" w:color="auto" w:fill="auto"/>
          </w:tcPr>
          <w:p w14:paraId="5EA1E649" w14:textId="77777777" w:rsidR="003C66EB" w:rsidRDefault="003C66EB">
            <w:pPr>
              <w:rPr>
                <w:rFonts w:ascii="宋体"/>
                <w:vanish/>
              </w:rPr>
            </w:pPr>
          </w:p>
        </w:tc>
        <w:tc>
          <w:tcPr>
            <w:tcW w:w="0" w:type="auto"/>
            <w:gridSpan w:val="3"/>
            <w:shd w:val="clear" w:color="auto" w:fill="auto"/>
          </w:tcPr>
          <w:p w14:paraId="5EA1E64A" w14:textId="77777777" w:rsidR="003C66EB" w:rsidRDefault="003C66EB">
            <w:pPr>
              <w:rPr>
                <w:rFonts w:ascii="宋体"/>
                <w:vanish/>
              </w:rPr>
            </w:pPr>
          </w:p>
        </w:tc>
        <w:tc>
          <w:tcPr>
            <w:tcW w:w="0" w:type="auto"/>
            <w:gridSpan w:val="3"/>
            <w:shd w:val="clear" w:color="auto" w:fill="auto"/>
          </w:tcPr>
          <w:p w14:paraId="5EA1E64B" w14:textId="77777777" w:rsidR="003C66EB" w:rsidRDefault="003C66EB">
            <w:pPr>
              <w:rPr>
                <w:rFonts w:ascii="宋体"/>
                <w:vanish/>
              </w:rPr>
            </w:pPr>
          </w:p>
        </w:tc>
        <w:tc>
          <w:tcPr>
            <w:tcW w:w="0" w:type="auto"/>
            <w:gridSpan w:val="3"/>
            <w:shd w:val="clear" w:color="auto" w:fill="auto"/>
          </w:tcPr>
          <w:p w14:paraId="5EA1E64C" w14:textId="77777777" w:rsidR="003C66EB" w:rsidRDefault="003C66EB">
            <w:pPr>
              <w:rPr>
                <w:rFonts w:ascii="宋体"/>
                <w:vanish/>
              </w:rPr>
            </w:pPr>
          </w:p>
        </w:tc>
        <w:tc>
          <w:tcPr>
            <w:tcW w:w="0" w:type="auto"/>
            <w:gridSpan w:val="3"/>
            <w:shd w:val="clear" w:color="auto" w:fill="auto"/>
          </w:tcPr>
          <w:p w14:paraId="5EA1E64D" w14:textId="77777777" w:rsidR="003C66EB" w:rsidRDefault="003C66EB">
            <w:pPr>
              <w:rPr>
                <w:rFonts w:ascii="宋体"/>
                <w:vanish/>
              </w:rPr>
            </w:pPr>
          </w:p>
        </w:tc>
        <w:tc>
          <w:tcPr>
            <w:tcW w:w="0" w:type="auto"/>
            <w:gridSpan w:val="3"/>
            <w:shd w:val="clear" w:color="auto" w:fill="auto"/>
          </w:tcPr>
          <w:p w14:paraId="5EA1E64E" w14:textId="77777777" w:rsidR="003C66EB" w:rsidRDefault="003C66EB">
            <w:pPr>
              <w:rPr>
                <w:rFonts w:ascii="宋体"/>
                <w:vanish/>
              </w:rPr>
            </w:pPr>
          </w:p>
        </w:tc>
        <w:tc>
          <w:tcPr>
            <w:tcW w:w="0" w:type="auto"/>
            <w:gridSpan w:val="3"/>
            <w:shd w:val="clear" w:color="auto" w:fill="auto"/>
          </w:tcPr>
          <w:p w14:paraId="5EA1E64F" w14:textId="77777777" w:rsidR="003C66EB" w:rsidRDefault="003C66EB">
            <w:pPr>
              <w:rPr>
                <w:rFonts w:ascii="宋体"/>
                <w:vanish/>
              </w:rPr>
            </w:pPr>
          </w:p>
        </w:tc>
        <w:tc>
          <w:tcPr>
            <w:tcW w:w="0" w:type="auto"/>
            <w:gridSpan w:val="3"/>
            <w:shd w:val="clear" w:color="auto" w:fill="auto"/>
          </w:tcPr>
          <w:p w14:paraId="5EA1E650" w14:textId="77777777" w:rsidR="003C66EB" w:rsidRDefault="003C66EB">
            <w:pPr>
              <w:rPr>
                <w:rFonts w:ascii="宋体"/>
                <w:vanish/>
              </w:rPr>
            </w:pPr>
          </w:p>
        </w:tc>
        <w:tc>
          <w:tcPr>
            <w:tcW w:w="0" w:type="auto"/>
            <w:gridSpan w:val="3"/>
            <w:shd w:val="clear" w:color="auto" w:fill="auto"/>
          </w:tcPr>
          <w:p w14:paraId="5EA1E651" w14:textId="77777777" w:rsidR="003C66EB" w:rsidRDefault="003C66EB">
            <w:pPr>
              <w:rPr>
                <w:rFonts w:ascii="宋体"/>
                <w:vanish/>
              </w:rPr>
            </w:pPr>
          </w:p>
        </w:tc>
        <w:tc>
          <w:tcPr>
            <w:tcW w:w="0" w:type="auto"/>
            <w:gridSpan w:val="3"/>
            <w:shd w:val="clear" w:color="auto" w:fill="auto"/>
          </w:tcPr>
          <w:p w14:paraId="5EA1E652" w14:textId="77777777" w:rsidR="003C66EB" w:rsidRDefault="003C66EB">
            <w:pPr>
              <w:rPr>
                <w:rFonts w:ascii="宋体"/>
                <w:vanish/>
              </w:rPr>
            </w:pPr>
          </w:p>
        </w:tc>
        <w:tc>
          <w:tcPr>
            <w:tcW w:w="0" w:type="auto"/>
            <w:gridSpan w:val="3"/>
            <w:shd w:val="clear" w:color="auto" w:fill="auto"/>
          </w:tcPr>
          <w:p w14:paraId="5EA1E653" w14:textId="77777777" w:rsidR="003C66EB" w:rsidRDefault="003C66EB">
            <w:pPr>
              <w:rPr>
                <w:rFonts w:ascii="宋体"/>
                <w:vanish/>
              </w:rPr>
            </w:pPr>
          </w:p>
        </w:tc>
        <w:tc>
          <w:tcPr>
            <w:tcW w:w="0" w:type="auto"/>
            <w:gridSpan w:val="3"/>
            <w:shd w:val="clear" w:color="auto" w:fill="auto"/>
          </w:tcPr>
          <w:p w14:paraId="5EA1E654" w14:textId="77777777" w:rsidR="003C66EB" w:rsidRDefault="003C66EB">
            <w:pPr>
              <w:rPr>
                <w:rFonts w:ascii="宋体"/>
                <w:vanish/>
              </w:rPr>
            </w:pPr>
          </w:p>
        </w:tc>
        <w:tc>
          <w:tcPr>
            <w:tcW w:w="0" w:type="auto"/>
            <w:gridSpan w:val="3"/>
            <w:shd w:val="clear" w:color="auto" w:fill="auto"/>
          </w:tcPr>
          <w:p w14:paraId="5EA1E655" w14:textId="77777777" w:rsidR="003C66EB" w:rsidRDefault="003C66EB">
            <w:pPr>
              <w:rPr>
                <w:rFonts w:ascii="宋体"/>
                <w:vanish/>
              </w:rPr>
            </w:pPr>
          </w:p>
        </w:tc>
        <w:tc>
          <w:tcPr>
            <w:tcW w:w="0" w:type="auto"/>
            <w:gridSpan w:val="2"/>
            <w:shd w:val="clear" w:color="auto" w:fill="auto"/>
          </w:tcPr>
          <w:p w14:paraId="5EA1E656" w14:textId="77777777" w:rsidR="003C66EB" w:rsidRDefault="003C66EB">
            <w:pPr>
              <w:rPr>
                <w:rFonts w:ascii="宋体"/>
                <w:vanish/>
              </w:rPr>
            </w:pPr>
          </w:p>
        </w:tc>
        <w:tc>
          <w:tcPr>
            <w:tcW w:w="0" w:type="auto"/>
            <w:shd w:val="clear" w:color="auto" w:fill="auto"/>
          </w:tcPr>
          <w:p w14:paraId="5EA1E657" w14:textId="77777777" w:rsidR="003C66EB" w:rsidRDefault="003C66EB">
            <w:pPr>
              <w:rPr>
                <w:rFonts w:ascii="宋体"/>
                <w:vanish/>
              </w:rPr>
            </w:pPr>
          </w:p>
        </w:tc>
      </w:tr>
      <w:tr w:rsidR="003C66EB" w14:paraId="5EA1E66F" w14:textId="77777777">
        <w:trPr>
          <w:hidden/>
        </w:trPr>
        <w:tc>
          <w:tcPr>
            <w:tcW w:w="0" w:type="auto"/>
            <w:gridSpan w:val="3"/>
            <w:shd w:val="clear" w:color="auto" w:fill="auto"/>
          </w:tcPr>
          <w:p w14:paraId="5EA1E659" w14:textId="77777777" w:rsidR="003C66EB" w:rsidRDefault="003C66EB">
            <w:pPr>
              <w:rPr>
                <w:rFonts w:ascii="宋体"/>
                <w:vanish/>
              </w:rPr>
            </w:pPr>
          </w:p>
        </w:tc>
        <w:tc>
          <w:tcPr>
            <w:tcW w:w="0" w:type="auto"/>
            <w:gridSpan w:val="3"/>
            <w:shd w:val="clear" w:color="auto" w:fill="auto"/>
          </w:tcPr>
          <w:p w14:paraId="5EA1E65A" w14:textId="77777777" w:rsidR="003C66EB" w:rsidRDefault="003C66EB">
            <w:pPr>
              <w:rPr>
                <w:rFonts w:ascii="宋体"/>
                <w:vanish/>
              </w:rPr>
            </w:pPr>
          </w:p>
        </w:tc>
        <w:tc>
          <w:tcPr>
            <w:tcW w:w="0" w:type="auto"/>
            <w:gridSpan w:val="3"/>
            <w:shd w:val="clear" w:color="auto" w:fill="auto"/>
          </w:tcPr>
          <w:p w14:paraId="5EA1E65B" w14:textId="77777777" w:rsidR="003C66EB" w:rsidRDefault="003C66EB">
            <w:pPr>
              <w:rPr>
                <w:rFonts w:ascii="宋体"/>
                <w:vanish/>
              </w:rPr>
            </w:pPr>
          </w:p>
        </w:tc>
        <w:tc>
          <w:tcPr>
            <w:tcW w:w="0" w:type="auto"/>
            <w:gridSpan w:val="3"/>
            <w:shd w:val="clear" w:color="auto" w:fill="auto"/>
          </w:tcPr>
          <w:p w14:paraId="5EA1E65C" w14:textId="77777777" w:rsidR="003C66EB" w:rsidRDefault="003C66EB">
            <w:pPr>
              <w:rPr>
                <w:rFonts w:ascii="宋体"/>
                <w:vanish/>
              </w:rPr>
            </w:pPr>
          </w:p>
        </w:tc>
        <w:tc>
          <w:tcPr>
            <w:tcW w:w="0" w:type="auto"/>
            <w:gridSpan w:val="3"/>
            <w:shd w:val="clear" w:color="auto" w:fill="auto"/>
          </w:tcPr>
          <w:p w14:paraId="5EA1E65D" w14:textId="77777777" w:rsidR="003C66EB" w:rsidRDefault="003C66EB">
            <w:pPr>
              <w:rPr>
                <w:rFonts w:ascii="宋体"/>
                <w:vanish/>
              </w:rPr>
            </w:pPr>
          </w:p>
        </w:tc>
        <w:tc>
          <w:tcPr>
            <w:tcW w:w="0" w:type="auto"/>
            <w:gridSpan w:val="3"/>
            <w:shd w:val="clear" w:color="auto" w:fill="auto"/>
          </w:tcPr>
          <w:p w14:paraId="5EA1E65E" w14:textId="77777777" w:rsidR="003C66EB" w:rsidRDefault="003C66EB">
            <w:pPr>
              <w:rPr>
                <w:rFonts w:ascii="宋体"/>
                <w:vanish/>
              </w:rPr>
            </w:pPr>
          </w:p>
        </w:tc>
        <w:tc>
          <w:tcPr>
            <w:tcW w:w="0" w:type="auto"/>
            <w:gridSpan w:val="3"/>
            <w:shd w:val="clear" w:color="auto" w:fill="auto"/>
          </w:tcPr>
          <w:p w14:paraId="5EA1E65F" w14:textId="77777777" w:rsidR="003C66EB" w:rsidRDefault="003C66EB">
            <w:pPr>
              <w:rPr>
                <w:rFonts w:ascii="宋体"/>
                <w:vanish/>
              </w:rPr>
            </w:pPr>
          </w:p>
        </w:tc>
        <w:tc>
          <w:tcPr>
            <w:tcW w:w="0" w:type="auto"/>
            <w:gridSpan w:val="3"/>
            <w:shd w:val="clear" w:color="auto" w:fill="auto"/>
          </w:tcPr>
          <w:p w14:paraId="5EA1E660" w14:textId="77777777" w:rsidR="003C66EB" w:rsidRDefault="003C66EB">
            <w:pPr>
              <w:rPr>
                <w:rFonts w:ascii="宋体"/>
                <w:vanish/>
              </w:rPr>
            </w:pPr>
          </w:p>
        </w:tc>
        <w:tc>
          <w:tcPr>
            <w:tcW w:w="0" w:type="auto"/>
            <w:gridSpan w:val="3"/>
            <w:shd w:val="clear" w:color="auto" w:fill="auto"/>
          </w:tcPr>
          <w:p w14:paraId="5EA1E661" w14:textId="77777777" w:rsidR="003C66EB" w:rsidRDefault="003C66EB">
            <w:pPr>
              <w:rPr>
                <w:rFonts w:ascii="宋体"/>
                <w:vanish/>
              </w:rPr>
            </w:pPr>
          </w:p>
        </w:tc>
        <w:tc>
          <w:tcPr>
            <w:tcW w:w="0" w:type="auto"/>
            <w:gridSpan w:val="3"/>
            <w:shd w:val="clear" w:color="auto" w:fill="auto"/>
          </w:tcPr>
          <w:p w14:paraId="5EA1E662" w14:textId="77777777" w:rsidR="003C66EB" w:rsidRDefault="003C66EB">
            <w:pPr>
              <w:rPr>
                <w:rFonts w:ascii="宋体"/>
                <w:vanish/>
              </w:rPr>
            </w:pPr>
          </w:p>
        </w:tc>
        <w:tc>
          <w:tcPr>
            <w:tcW w:w="0" w:type="auto"/>
            <w:gridSpan w:val="3"/>
            <w:shd w:val="clear" w:color="auto" w:fill="auto"/>
          </w:tcPr>
          <w:p w14:paraId="5EA1E663" w14:textId="77777777" w:rsidR="003C66EB" w:rsidRDefault="003C66EB">
            <w:pPr>
              <w:rPr>
                <w:rFonts w:ascii="宋体"/>
                <w:vanish/>
              </w:rPr>
            </w:pPr>
          </w:p>
        </w:tc>
        <w:tc>
          <w:tcPr>
            <w:tcW w:w="0" w:type="auto"/>
            <w:gridSpan w:val="3"/>
            <w:shd w:val="clear" w:color="auto" w:fill="auto"/>
          </w:tcPr>
          <w:p w14:paraId="5EA1E664" w14:textId="77777777" w:rsidR="003C66EB" w:rsidRDefault="003C66EB">
            <w:pPr>
              <w:rPr>
                <w:rFonts w:ascii="宋体"/>
                <w:vanish/>
              </w:rPr>
            </w:pPr>
          </w:p>
        </w:tc>
        <w:tc>
          <w:tcPr>
            <w:tcW w:w="0" w:type="auto"/>
            <w:gridSpan w:val="3"/>
            <w:shd w:val="clear" w:color="auto" w:fill="auto"/>
          </w:tcPr>
          <w:p w14:paraId="5EA1E665" w14:textId="77777777" w:rsidR="003C66EB" w:rsidRDefault="003C66EB">
            <w:pPr>
              <w:rPr>
                <w:rFonts w:ascii="宋体"/>
                <w:vanish/>
              </w:rPr>
            </w:pPr>
          </w:p>
        </w:tc>
        <w:tc>
          <w:tcPr>
            <w:tcW w:w="0" w:type="auto"/>
            <w:gridSpan w:val="3"/>
            <w:shd w:val="clear" w:color="auto" w:fill="auto"/>
          </w:tcPr>
          <w:p w14:paraId="5EA1E666" w14:textId="77777777" w:rsidR="003C66EB" w:rsidRDefault="003C66EB">
            <w:pPr>
              <w:rPr>
                <w:rFonts w:ascii="宋体"/>
                <w:vanish/>
              </w:rPr>
            </w:pPr>
          </w:p>
        </w:tc>
        <w:tc>
          <w:tcPr>
            <w:tcW w:w="0" w:type="auto"/>
            <w:gridSpan w:val="3"/>
            <w:shd w:val="clear" w:color="auto" w:fill="auto"/>
          </w:tcPr>
          <w:p w14:paraId="5EA1E667" w14:textId="77777777" w:rsidR="003C66EB" w:rsidRDefault="003C66EB">
            <w:pPr>
              <w:rPr>
                <w:rFonts w:ascii="宋体"/>
                <w:vanish/>
              </w:rPr>
            </w:pPr>
          </w:p>
        </w:tc>
        <w:tc>
          <w:tcPr>
            <w:tcW w:w="0" w:type="auto"/>
            <w:gridSpan w:val="3"/>
            <w:shd w:val="clear" w:color="auto" w:fill="auto"/>
          </w:tcPr>
          <w:p w14:paraId="5EA1E668" w14:textId="77777777" w:rsidR="003C66EB" w:rsidRDefault="003C66EB">
            <w:pPr>
              <w:rPr>
                <w:rFonts w:ascii="宋体"/>
                <w:vanish/>
              </w:rPr>
            </w:pPr>
          </w:p>
        </w:tc>
        <w:tc>
          <w:tcPr>
            <w:tcW w:w="0" w:type="auto"/>
            <w:gridSpan w:val="3"/>
            <w:shd w:val="clear" w:color="auto" w:fill="auto"/>
          </w:tcPr>
          <w:p w14:paraId="5EA1E669" w14:textId="77777777" w:rsidR="003C66EB" w:rsidRDefault="003C66EB">
            <w:pPr>
              <w:rPr>
                <w:rFonts w:ascii="宋体"/>
                <w:vanish/>
              </w:rPr>
            </w:pPr>
          </w:p>
        </w:tc>
        <w:tc>
          <w:tcPr>
            <w:tcW w:w="0" w:type="auto"/>
            <w:gridSpan w:val="3"/>
            <w:shd w:val="clear" w:color="auto" w:fill="auto"/>
          </w:tcPr>
          <w:p w14:paraId="5EA1E66A" w14:textId="77777777" w:rsidR="003C66EB" w:rsidRDefault="003C66EB">
            <w:pPr>
              <w:rPr>
                <w:rFonts w:ascii="宋体"/>
                <w:vanish/>
              </w:rPr>
            </w:pPr>
          </w:p>
        </w:tc>
        <w:tc>
          <w:tcPr>
            <w:tcW w:w="0" w:type="auto"/>
            <w:gridSpan w:val="3"/>
            <w:shd w:val="clear" w:color="auto" w:fill="auto"/>
          </w:tcPr>
          <w:p w14:paraId="5EA1E66B" w14:textId="77777777" w:rsidR="003C66EB" w:rsidRDefault="003C66EB">
            <w:pPr>
              <w:rPr>
                <w:rFonts w:ascii="宋体"/>
                <w:vanish/>
              </w:rPr>
            </w:pPr>
          </w:p>
        </w:tc>
        <w:tc>
          <w:tcPr>
            <w:tcW w:w="0" w:type="auto"/>
            <w:gridSpan w:val="3"/>
            <w:shd w:val="clear" w:color="auto" w:fill="auto"/>
          </w:tcPr>
          <w:p w14:paraId="5EA1E66C" w14:textId="77777777" w:rsidR="003C66EB" w:rsidRDefault="003C66EB">
            <w:pPr>
              <w:rPr>
                <w:rFonts w:ascii="宋体"/>
                <w:vanish/>
              </w:rPr>
            </w:pPr>
          </w:p>
        </w:tc>
        <w:tc>
          <w:tcPr>
            <w:tcW w:w="0" w:type="auto"/>
            <w:gridSpan w:val="2"/>
            <w:shd w:val="clear" w:color="auto" w:fill="auto"/>
          </w:tcPr>
          <w:p w14:paraId="5EA1E66D" w14:textId="77777777" w:rsidR="003C66EB" w:rsidRDefault="003C66EB">
            <w:pPr>
              <w:rPr>
                <w:rFonts w:ascii="宋体"/>
                <w:vanish/>
              </w:rPr>
            </w:pPr>
          </w:p>
        </w:tc>
        <w:tc>
          <w:tcPr>
            <w:tcW w:w="0" w:type="auto"/>
            <w:shd w:val="clear" w:color="auto" w:fill="auto"/>
          </w:tcPr>
          <w:p w14:paraId="5EA1E66E" w14:textId="77777777" w:rsidR="003C66EB" w:rsidRDefault="003C66EB">
            <w:pPr>
              <w:rPr>
                <w:rFonts w:ascii="宋体"/>
                <w:vanish/>
              </w:rPr>
            </w:pPr>
          </w:p>
        </w:tc>
      </w:tr>
      <w:tr w:rsidR="003C66EB" w14:paraId="5EA1E686" w14:textId="77777777">
        <w:trPr>
          <w:hidden/>
        </w:trPr>
        <w:tc>
          <w:tcPr>
            <w:tcW w:w="0" w:type="auto"/>
            <w:gridSpan w:val="3"/>
            <w:shd w:val="clear" w:color="auto" w:fill="auto"/>
          </w:tcPr>
          <w:p w14:paraId="5EA1E670" w14:textId="77777777" w:rsidR="003C66EB" w:rsidRDefault="003C66EB">
            <w:pPr>
              <w:rPr>
                <w:rFonts w:ascii="宋体"/>
                <w:vanish/>
              </w:rPr>
            </w:pPr>
          </w:p>
        </w:tc>
        <w:tc>
          <w:tcPr>
            <w:tcW w:w="0" w:type="auto"/>
            <w:gridSpan w:val="3"/>
            <w:shd w:val="clear" w:color="auto" w:fill="auto"/>
          </w:tcPr>
          <w:p w14:paraId="5EA1E671" w14:textId="77777777" w:rsidR="003C66EB" w:rsidRDefault="003C66EB">
            <w:pPr>
              <w:rPr>
                <w:rFonts w:ascii="宋体"/>
                <w:vanish/>
              </w:rPr>
            </w:pPr>
          </w:p>
        </w:tc>
        <w:tc>
          <w:tcPr>
            <w:tcW w:w="0" w:type="auto"/>
            <w:gridSpan w:val="3"/>
            <w:shd w:val="clear" w:color="auto" w:fill="auto"/>
          </w:tcPr>
          <w:p w14:paraId="5EA1E672" w14:textId="77777777" w:rsidR="003C66EB" w:rsidRDefault="003C66EB">
            <w:pPr>
              <w:rPr>
                <w:rFonts w:ascii="宋体"/>
                <w:vanish/>
              </w:rPr>
            </w:pPr>
          </w:p>
        </w:tc>
        <w:tc>
          <w:tcPr>
            <w:tcW w:w="0" w:type="auto"/>
            <w:gridSpan w:val="3"/>
            <w:shd w:val="clear" w:color="auto" w:fill="auto"/>
          </w:tcPr>
          <w:p w14:paraId="5EA1E673" w14:textId="77777777" w:rsidR="003C66EB" w:rsidRDefault="003C66EB">
            <w:pPr>
              <w:rPr>
                <w:rFonts w:ascii="宋体"/>
                <w:vanish/>
              </w:rPr>
            </w:pPr>
          </w:p>
        </w:tc>
        <w:tc>
          <w:tcPr>
            <w:tcW w:w="0" w:type="auto"/>
            <w:gridSpan w:val="3"/>
            <w:shd w:val="clear" w:color="auto" w:fill="auto"/>
          </w:tcPr>
          <w:p w14:paraId="5EA1E674" w14:textId="77777777" w:rsidR="003C66EB" w:rsidRDefault="003C66EB">
            <w:pPr>
              <w:rPr>
                <w:rFonts w:ascii="宋体"/>
                <w:vanish/>
              </w:rPr>
            </w:pPr>
          </w:p>
        </w:tc>
        <w:tc>
          <w:tcPr>
            <w:tcW w:w="0" w:type="auto"/>
            <w:gridSpan w:val="3"/>
            <w:shd w:val="clear" w:color="auto" w:fill="auto"/>
          </w:tcPr>
          <w:p w14:paraId="5EA1E675" w14:textId="77777777" w:rsidR="003C66EB" w:rsidRDefault="003C66EB">
            <w:pPr>
              <w:rPr>
                <w:rFonts w:ascii="宋体"/>
                <w:vanish/>
              </w:rPr>
            </w:pPr>
          </w:p>
        </w:tc>
        <w:tc>
          <w:tcPr>
            <w:tcW w:w="0" w:type="auto"/>
            <w:gridSpan w:val="3"/>
            <w:shd w:val="clear" w:color="auto" w:fill="auto"/>
          </w:tcPr>
          <w:p w14:paraId="5EA1E676" w14:textId="77777777" w:rsidR="003C66EB" w:rsidRDefault="003C66EB">
            <w:pPr>
              <w:rPr>
                <w:rFonts w:ascii="宋体"/>
                <w:vanish/>
              </w:rPr>
            </w:pPr>
          </w:p>
        </w:tc>
        <w:tc>
          <w:tcPr>
            <w:tcW w:w="0" w:type="auto"/>
            <w:gridSpan w:val="3"/>
            <w:shd w:val="clear" w:color="auto" w:fill="auto"/>
          </w:tcPr>
          <w:p w14:paraId="5EA1E677" w14:textId="77777777" w:rsidR="003C66EB" w:rsidRDefault="003C66EB">
            <w:pPr>
              <w:rPr>
                <w:rFonts w:ascii="宋体"/>
                <w:vanish/>
              </w:rPr>
            </w:pPr>
          </w:p>
        </w:tc>
        <w:tc>
          <w:tcPr>
            <w:tcW w:w="0" w:type="auto"/>
            <w:gridSpan w:val="3"/>
            <w:shd w:val="clear" w:color="auto" w:fill="auto"/>
          </w:tcPr>
          <w:p w14:paraId="5EA1E678" w14:textId="77777777" w:rsidR="003C66EB" w:rsidRDefault="003C66EB">
            <w:pPr>
              <w:rPr>
                <w:rFonts w:ascii="宋体"/>
                <w:vanish/>
              </w:rPr>
            </w:pPr>
          </w:p>
        </w:tc>
        <w:tc>
          <w:tcPr>
            <w:tcW w:w="0" w:type="auto"/>
            <w:gridSpan w:val="3"/>
            <w:shd w:val="clear" w:color="auto" w:fill="auto"/>
          </w:tcPr>
          <w:p w14:paraId="5EA1E679" w14:textId="77777777" w:rsidR="003C66EB" w:rsidRDefault="003C66EB">
            <w:pPr>
              <w:rPr>
                <w:rFonts w:ascii="宋体"/>
                <w:vanish/>
              </w:rPr>
            </w:pPr>
          </w:p>
        </w:tc>
        <w:tc>
          <w:tcPr>
            <w:tcW w:w="0" w:type="auto"/>
            <w:gridSpan w:val="3"/>
            <w:shd w:val="clear" w:color="auto" w:fill="auto"/>
          </w:tcPr>
          <w:p w14:paraId="5EA1E67A" w14:textId="77777777" w:rsidR="003C66EB" w:rsidRDefault="003C66EB">
            <w:pPr>
              <w:rPr>
                <w:rFonts w:ascii="宋体"/>
                <w:vanish/>
              </w:rPr>
            </w:pPr>
          </w:p>
        </w:tc>
        <w:tc>
          <w:tcPr>
            <w:tcW w:w="0" w:type="auto"/>
            <w:gridSpan w:val="3"/>
            <w:shd w:val="clear" w:color="auto" w:fill="auto"/>
          </w:tcPr>
          <w:p w14:paraId="5EA1E67B" w14:textId="77777777" w:rsidR="003C66EB" w:rsidRDefault="003C66EB">
            <w:pPr>
              <w:rPr>
                <w:rFonts w:ascii="宋体"/>
                <w:vanish/>
              </w:rPr>
            </w:pPr>
          </w:p>
        </w:tc>
        <w:tc>
          <w:tcPr>
            <w:tcW w:w="0" w:type="auto"/>
            <w:gridSpan w:val="3"/>
            <w:shd w:val="clear" w:color="auto" w:fill="auto"/>
          </w:tcPr>
          <w:p w14:paraId="5EA1E67C" w14:textId="77777777" w:rsidR="003C66EB" w:rsidRDefault="003C66EB">
            <w:pPr>
              <w:rPr>
                <w:rFonts w:ascii="宋体"/>
                <w:vanish/>
              </w:rPr>
            </w:pPr>
          </w:p>
        </w:tc>
        <w:tc>
          <w:tcPr>
            <w:tcW w:w="0" w:type="auto"/>
            <w:gridSpan w:val="3"/>
            <w:shd w:val="clear" w:color="auto" w:fill="auto"/>
          </w:tcPr>
          <w:p w14:paraId="5EA1E67D" w14:textId="77777777" w:rsidR="003C66EB" w:rsidRDefault="003C66EB">
            <w:pPr>
              <w:rPr>
                <w:rFonts w:ascii="宋体"/>
                <w:vanish/>
              </w:rPr>
            </w:pPr>
          </w:p>
        </w:tc>
        <w:tc>
          <w:tcPr>
            <w:tcW w:w="0" w:type="auto"/>
            <w:gridSpan w:val="3"/>
            <w:shd w:val="clear" w:color="auto" w:fill="auto"/>
          </w:tcPr>
          <w:p w14:paraId="5EA1E67E" w14:textId="77777777" w:rsidR="003C66EB" w:rsidRDefault="003C66EB">
            <w:pPr>
              <w:rPr>
                <w:rFonts w:ascii="宋体"/>
                <w:vanish/>
              </w:rPr>
            </w:pPr>
          </w:p>
        </w:tc>
        <w:tc>
          <w:tcPr>
            <w:tcW w:w="0" w:type="auto"/>
            <w:gridSpan w:val="3"/>
            <w:shd w:val="clear" w:color="auto" w:fill="auto"/>
          </w:tcPr>
          <w:p w14:paraId="5EA1E67F" w14:textId="77777777" w:rsidR="003C66EB" w:rsidRDefault="003C66EB">
            <w:pPr>
              <w:rPr>
                <w:rFonts w:ascii="宋体"/>
                <w:vanish/>
              </w:rPr>
            </w:pPr>
          </w:p>
        </w:tc>
        <w:tc>
          <w:tcPr>
            <w:tcW w:w="0" w:type="auto"/>
            <w:gridSpan w:val="3"/>
            <w:shd w:val="clear" w:color="auto" w:fill="auto"/>
          </w:tcPr>
          <w:p w14:paraId="5EA1E680" w14:textId="77777777" w:rsidR="003C66EB" w:rsidRDefault="003C66EB">
            <w:pPr>
              <w:rPr>
                <w:rFonts w:ascii="宋体"/>
                <w:vanish/>
              </w:rPr>
            </w:pPr>
          </w:p>
        </w:tc>
        <w:tc>
          <w:tcPr>
            <w:tcW w:w="0" w:type="auto"/>
            <w:gridSpan w:val="3"/>
            <w:shd w:val="clear" w:color="auto" w:fill="auto"/>
          </w:tcPr>
          <w:p w14:paraId="5EA1E681" w14:textId="77777777" w:rsidR="003C66EB" w:rsidRDefault="003C66EB">
            <w:pPr>
              <w:rPr>
                <w:rFonts w:ascii="宋体"/>
                <w:vanish/>
              </w:rPr>
            </w:pPr>
          </w:p>
        </w:tc>
        <w:tc>
          <w:tcPr>
            <w:tcW w:w="0" w:type="auto"/>
            <w:gridSpan w:val="3"/>
            <w:shd w:val="clear" w:color="auto" w:fill="auto"/>
          </w:tcPr>
          <w:p w14:paraId="5EA1E682" w14:textId="77777777" w:rsidR="003C66EB" w:rsidRDefault="003C66EB">
            <w:pPr>
              <w:rPr>
                <w:rFonts w:ascii="宋体"/>
                <w:vanish/>
              </w:rPr>
            </w:pPr>
          </w:p>
        </w:tc>
        <w:tc>
          <w:tcPr>
            <w:tcW w:w="0" w:type="auto"/>
            <w:gridSpan w:val="3"/>
            <w:shd w:val="clear" w:color="auto" w:fill="auto"/>
          </w:tcPr>
          <w:p w14:paraId="5EA1E683" w14:textId="77777777" w:rsidR="003C66EB" w:rsidRDefault="003C66EB">
            <w:pPr>
              <w:rPr>
                <w:rFonts w:ascii="宋体"/>
                <w:vanish/>
              </w:rPr>
            </w:pPr>
          </w:p>
        </w:tc>
        <w:tc>
          <w:tcPr>
            <w:tcW w:w="0" w:type="auto"/>
            <w:gridSpan w:val="2"/>
            <w:shd w:val="clear" w:color="auto" w:fill="auto"/>
          </w:tcPr>
          <w:p w14:paraId="5EA1E684" w14:textId="77777777" w:rsidR="003C66EB" w:rsidRDefault="003C66EB">
            <w:pPr>
              <w:rPr>
                <w:rFonts w:ascii="宋体"/>
                <w:vanish/>
              </w:rPr>
            </w:pPr>
          </w:p>
        </w:tc>
        <w:tc>
          <w:tcPr>
            <w:tcW w:w="0" w:type="auto"/>
            <w:shd w:val="clear" w:color="auto" w:fill="auto"/>
          </w:tcPr>
          <w:p w14:paraId="5EA1E685" w14:textId="77777777" w:rsidR="003C66EB" w:rsidRDefault="003C66EB">
            <w:pPr>
              <w:rPr>
                <w:rFonts w:ascii="宋体"/>
                <w:vanish/>
              </w:rPr>
            </w:pPr>
          </w:p>
        </w:tc>
      </w:tr>
      <w:tr w:rsidR="003C66EB" w14:paraId="5EA1E69D" w14:textId="77777777">
        <w:trPr>
          <w:hidden/>
        </w:trPr>
        <w:tc>
          <w:tcPr>
            <w:tcW w:w="0" w:type="auto"/>
            <w:gridSpan w:val="3"/>
            <w:shd w:val="clear" w:color="auto" w:fill="auto"/>
          </w:tcPr>
          <w:p w14:paraId="5EA1E687" w14:textId="77777777" w:rsidR="003C66EB" w:rsidRDefault="003C66EB">
            <w:pPr>
              <w:rPr>
                <w:rFonts w:ascii="宋体"/>
                <w:vanish/>
              </w:rPr>
            </w:pPr>
          </w:p>
        </w:tc>
        <w:tc>
          <w:tcPr>
            <w:tcW w:w="0" w:type="auto"/>
            <w:gridSpan w:val="3"/>
            <w:shd w:val="clear" w:color="auto" w:fill="auto"/>
          </w:tcPr>
          <w:p w14:paraId="5EA1E688" w14:textId="77777777" w:rsidR="003C66EB" w:rsidRDefault="003C66EB">
            <w:pPr>
              <w:rPr>
                <w:rFonts w:ascii="宋体"/>
                <w:vanish/>
              </w:rPr>
            </w:pPr>
          </w:p>
        </w:tc>
        <w:tc>
          <w:tcPr>
            <w:tcW w:w="0" w:type="auto"/>
            <w:gridSpan w:val="3"/>
            <w:shd w:val="clear" w:color="auto" w:fill="auto"/>
          </w:tcPr>
          <w:p w14:paraId="5EA1E689" w14:textId="77777777" w:rsidR="003C66EB" w:rsidRDefault="003C66EB">
            <w:pPr>
              <w:rPr>
                <w:rFonts w:ascii="宋体"/>
                <w:vanish/>
              </w:rPr>
            </w:pPr>
          </w:p>
        </w:tc>
        <w:tc>
          <w:tcPr>
            <w:tcW w:w="0" w:type="auto"/>
            <w:gridSpan w:val="3"/>
            <w:shd w:val="clear" w:color="auto" w:fill="auto"/>
          </w:tcPr>
          <w:p w14:paraId="5EA1E68A" w14:textId="77777777" w:rsidR="003C66EB" w:rsidRDefault="003C66EB">
            <w:pPr>
              <w:rPr>
                <w:rFonts w:ascii="宋体"/>
                <w:vanish/>
              </w:rPr>
            </w:pPr>
          </w:p>
        </w:tc>
        <w:tc>
          <w:tcPr>
            <w:tcW w:w="0" w:type="auto"/>
            <w:gridSpan w:val="3"/>
            <w:shd w:val="clear" w:color="auto" w:fill="auto"/>
          </w:tcPr>
          <w:p w14:paraId="5EA1E68B" w14:textId="77777777" w:rsidR="003C66EB" w:rsidRDefault="003C66EB">
            <w:pPr>
              <w:rPr>
                <w:rFonts w:ascii="宋体"/>
                <w:vanish/>
              </w:rPr>
            </w:pPr>
          </w:p>
        </w:tc>
        <w:tc>
          <w:tcPr>
            <w:tcW w:w="0" w:type="auto"/>
            <w:gridSpan w:val="3"/>
            <w:shd w:val="clear" w:color="auto" w:fill="auto"/>
          </w:tcPr>
          <w:p w14:paraId="5EA1E68C" w14:textId="77777777" w:rsidR="003C66EB" w:rsidRDefault="003C66EB">
            <w:pPr>
              <w:rPr>
                <w:rFonts w:ascii="宋体"/>
                <w:vanish/>
              </w:rPr>
            </w:pPr>
          </w:p>
        </w:tc>
        <w:tc>
          <w:tcPr>
            <w:tcW w:w="0" w:type="auto"/>
            <w:gridSpan w:val="3"/>
            <w:shd w:val="clear" w:color="auto" w:fill="auto"/>
          </w:tcPr>
          <w:p w14:paraId="5EA1E68D" w14:textId="77777777" w:rsidR="003C66EB" w:rsidRDefault="003C66EB">
            <w:pPr>
              <w:rPr>
                <w:rFonts w:ascii="宋体"/>
                <w:vanish/>
              </w:rPr>
            </w:pPr>
          </w:p>
        </w:tc>
        <w:tc>
          <w:tcPr>
            <w:tcW w:w="0" w:type="auto"/>
            <w:gridSpan w:val="3"/>
            <w:shd w:val="clear" w:color="auto" w:fill="auto"/>
          </w:tcPr>
          <w:p w14:paraId="5EA1E68E" w14:textId="77777777" w:rsidR="003C66EB" w:rsidRDefault="003C66EB">
            <w:pPr>
              <w:rPr>
                <w:rFonts w:ascii="宋体"/>
                <w:vanish/>
              </w:rPr>
            </w:pPr>
          </w:p>
        </w:tc>
        <w:tc>
          <w:tcPr>
            <w:tcW w:w="0" w:type="auto"/>
            <w:gridSpan w:val="3"/>
            <w:shd w:val="clear" w:color="auto" w:fill="auto"/>
          </w:tcPr>
          <w:p w14:paraId="5EA1E68F" w14:textId="77777777" w:rsidR="003C66EB" w:rsidRDefault="003C66EB">
            <w:pPr>
              <w:rPr>
                <w:rFonts w:ascii="宋体"/>
                <w:vanish/>
              </w:rPr>
            </w:pPr>
          </w:p>
        </w:tc>
        <w:tc>
          <w:tcPr>
            <w:tcW w:w="0" w:type="auto"/>
            <w:gridSpan w:val="3"/>
            <w:shd w:val="clear" w:color="auto" w:fill="auto"/>
          </w:tcPr>
          <w:p w14:paraId="5EA1E690" w14:textId="77777777" w:rsidR="003C66EB" w:rsidRDefault="003C66EB">
            <w:pPr>
              <w:rPr>
                <w:rFonts w:ascii="宋体"/>
                <w:vanish/>
              </w:rPr>
            </w:pPr>
          </w:p>
        </w:tc>
        <w:tc>
          <w:tcPr>
            <w:tcW w:w="0" w:type="auto"/>
            <w:gridSpan w:val="3"/>
            <w:shd w:val="clear" w:color="auto" w:fill="auto"/>
          </w:tcPr>
          <w:p w14:paraId="5EA1E691" w14:textId="77777777" w:rsidR="003C66EB" w:rsidRDefault="003C66EB">
            <w:pPr>
              <w:rPr>
                <w:rFonts w:ascii="宋体"/>
                <w:vanish/>
              </w:rPr>
            </w:pPr>
          </w:p>
        </w:tc>
        <w:tc>
          <w:tcPr>
            <w:tcW w:w="0" w:type="auto"/>
            <w:gridSpan w:val="3"/>
            <w:shd w:val="clear" w:color="auto" w:fill="auto"/>
          </w:tcPr>
          <w:p w14:paraId="5EA1E692" w14:textId="77777777" w:rsidR="003C66EB" w:rsidRDefault="003C66EB">
            <w:pPr>
              <w:rPr>
                <w:rFonts w:ascii="宋体"/>
                <w:vanish/>
              </w:rPr>
            </w:pPr>
          </w:p>
        </w:tc>
        <w:tc>
          <w:tcPr>
            <w:tcW w:w="0" w:type="auto"/>
            <w:gridSpan w:val="3"/>
            <w:shd w:val="clear" w:color="auto" w:fill="auto"/>
          </w:tcPr>
          <w:p w14:paraId="5EA1E693" w14:textId="77777777" w:rsidR="003C66EB" w:rsidRDefault="003C66EB">
            <w:pPr>
              <w:rPr>
                <w:rFonts w:ascii="宋体"/>
                <w:vanish/>
              </w:rPr>
            </w:pPr>
          </w:p>
        </w:tc>
        <w:tc>
          <w:tcPr>
            <w:tcW w:w="0" w:type="auto"/>
            <w:gridSpan w:val="3"/>
            <w:shd w:val="clear" w:color="auto" w:fill="auto"/>
          </w:tcPr>
          <w:p w14:paraId="5EA1E694" w14:textId="77777777" w:rsidR="003C66EB" w:rsidRDefault="003C66EB">
            <w:pPr>
              <w:rPr>
                <w:rFonts w:ascii="宋体"/>
                <w:vanish/>
              </w:rPr>
            </w:pPr>
          </w:p>
        </w:tc>
        <w:tc>
          <w:tcPr>
            <w:tcW w:w="0" w:type="auto"/>
            <w:gridSpan w:val="3"/>
            <w:shd w:val="clear" w:color="auto" w:fill="auto"/>
          </w:tcPr>
          <w:p w14:paraId="5EA1E695" w14:textId="77777777" w:rsidR="003C66EB" w:rsidRDefault="003C66EB">
            <w:pPr>
              <w:rPr>
                <w:rFonts w:ascii="宋体"/>
                <w:vanish/>
              </w:rPr>
            </w:pPr>
          </w:p>
        </w:tc>
        <w:tc>
          <w:tcPr>
            <w:tcW w:w="0" w:type="auto"/>
            <w:gridSpan w:val="3"/>
            <w:shd w:val="clear" w:color="auto" w:fill="auto"/>
          </w:tcPr>
          <w:p w14:paraId="5EA1E696" w14:textId="77777777" w:rsidR="003C66EB" w:rsidRDefault="003C66EB">
            <w:pPr>
              <w:rPr>
                <w:rFonts w:ascii="宋体"/>
                <w:vanish/>
              </w:rPr>
            </w:pPr>
          </w:p>
        </w:tc>
        <w:tc>
          <w:tcPr>
            <w:tcW w:w="0" w:type="auto"/>
            <w:gridSpan w:val="3"/>
            <w:shd w:val="clear" w:color="auto" w:fill="auto"/>
          </w:tcPr>
          <w:p w14:paraId="5EA1E697" w14:textId="77777777" w:rsidR="003C66EB" w:rsidRDefault="003C66EB">
            <w:pPr>
              <w:rPr>
                <w:rFonts w:ascii="宋体"/>
                <w:vanish/>
              </w:rPr>
            </w:pPr>
          </w:p>
        </w:tc>
        <w:tc>
          <w:tcPr>
            <w:tcW w:w="0" w:type="auto"/>
            <w:gridSpan w:val="3"/>
            <w:shd w:val="clear" w:color="auto" w:fill="auto"/>
          </w:tcPr>
          <w:p w14:paraId="5EA1E698" w14:textId="77777777" w:rsidR="003C66EB" w:rsidRDefault="003C66EB">
            <w:pPr>
              <w:rPr>
                <w:rFonts w:ascii="宋体"/>
                <w:vanish/>
              </w:rPr>
            </w:pPr>
          </w:p>
        </w:tc>
        <w:tc>
          <w:tcPr>
            <w:tcW w:w="0" w:type="auto"/>
            <w:gridSpan w:val="3"/>
            <w:shd w:val="clear" w:color="auto" w:fill="auto"/>
          </w:tcPr>
          <w:p w14:paraId="5EA1E699" w14:textId="77777777" w:rsidR="003C66EB" w:rsidRDefault="003C66EB">
            <w:pPr>
              <w:rPr>
                <w:rFonts w:ascii="宋体"/>
                <w:vanish/>
              </w:rPr>
            </w:pPr>
          </w:p>
        </w:tc>
        <w:tc>
          <w:tcPr>
            <w:tcW w:w="0" w:type="auto"/>
            <w:gridSpan w:val="3"/>
            <w:shd w:val="clear" w:color="auto" w:fill="auto"/>
          </w:tcPr>
          <w:p w14:paraId="5EA1E69A" w14:textId="77777777" w:rsidR="003C66EB" w:rsidRDefault="003C66EB">
            <w:pPr>
              <w:rPr>
                <w:rFonts w:ascii="宋体"/>
                <w:vanish/>
              </w:rPr>
            </w:pPr>
          </w:p>
        </w:tc>
        <w:tc>
          <w:tcPr>
            <w:tcW w:w="0" w:type="auto"/>
            <w:gridSpan w:val="2"/>
            <w:shd w:val="clear" w:color="auto" w:fill="auto"/>
          </w:tcPr>
          <w:p w14:paraId="5EA1E69B" w14:textId="77777777" w:rsidR="003C66EB" w:rsidRDefault="003C66EB">
            <w:pPr>
              <w:rPr>
                <w:rFonts w:ascii="宋体"/>
                <w:vanish/>
              </w:rPr>
            </w:pPr>
          </w:p>
        </w:tc>
        <w:tc>
          <w:tcPr>
            <w:tcW w:w="0" w:type="auto"/>
            <w:shd w:val="clear" w:color="auto" w:fill="auto"/>
          </w:tcPr>
          <w:p w14:paraId="5EA1E69C" w14:textId="77777777" w:rsidR="003C66EB" w:rsidRDefault="003C66EB">
            <w:pPr>
              <w:rPr>
                <w:rFonts w:ascii="宋体"/>
                <w:vanish/>
              </w:rPr>
            </w:pPr>
          </w:p>
        </w:tc>
      </w:tr>
      <w:tr w:rsidR="003C66EB" w14:paraId="5EA1E6B4" w14:textId="77777777">
        <w:trPr>
          <w:hidden/>
        </w:trPr>
        <w:tc>
          <w:tcPr>
            <w:tcW w:w="0" w:type="auto"/>
            <w:gridSpan w:val="3"/>
            <w:shd w:val="clear" w:color="auto" w:fill="auto"/>
          </w:tcPr>
          <w:p w14:paraId="5EA1E69E" w14:textId="77777777" w:rsidR="003C66EB" w:rsidRDefault="003C66EB">
            <w:pPr>
              <w:rPr>
                <w:rFonts w:ascii="宋体"/>
                <w:vanish/>
              </w:rPr>
            </w:pPr>
          </w:p>
        </w:tc>
        <w:tc>
          <w:tcPr>
            <w:tcW w:w="0" w:type="auto"/>
            <w:gridSpan w:val="3"/>
            <w:shd w:val="clear" w:color="auto" w:fill="auto"/>
          </w:tcPr>
          <w:p w14:paraId="5EA1E69F" w14:textId="77777777" w:rsidR="003C66EB" w:rsidRDefault="003C66EB">
            <w:pPr>
              <w:rPr>
                <w:rFonts w:ascii="宋体"/>
                <w:vanish/>
              </w:rPr>
            </w:pPr>
          </w:p>
        </w:tc>
        <w:tc>
          <w:tcPr>
            <w:tcW w:w="0" w:type="auto"/>
            <w:gridSpan w:val="3"/>
            <w:shd w:val="clear" w:color="auto" w:fill="auto"/>
          </w:tcPr>
          <w:p w14:paraId="5EA1E6A0" w14:textId="77777777" w:rsidR="003C66EB" w:rsidRDefault="003C66EB">
            <w:pPr>
              <w:rPr>
                <w:rFonts w:ascii="宋体"/>
                <w:vanish/>
              </w:rPr>
            </w:pPr>
          </w:p>
        </w:tc>
        <w:tc>
          <w:tcPr>
            <w:tcW w:w="0" w:type="auto"/>
            <w:gridSpan w:val="3"/>
            <w:shd w:val="clear" w:color="auto" w:fill="auto"/>
          </w:tcPr>
          <w:p w14:paraId="5EA1E6A1" w14:textId="77777777" w:rsidR="003C66EB" w:rsidRDefault="003C66EB">
            <w:pPr>
              <w:rPr>
                <w:rFonts w:ascii="宋体"/>
                <w:vanish/>
              </w:rPr>
            </w:pPr>
          </w:p>
        </w:tc>
        <w:tc>
          <w:tcPr>
            <w:tcW w:w="0" w:type="auto"/>
            <w:gridSpan w:val="3"/>
            <w:shd w:val="clear" w:color="auto" w:fill="auto"/>
          </w:tcPr>
          <w:p w14:paraId="5EA1E6A2" w14:textId="77777777" w:rsidR="003C66EB" w:rsidRDefault="003C66EB">
            <w:pPr>
              <w:rPr>
                <w:rFonts w:ascii="宋体"/>
                <w:vanish/>
              </w:rPr>
            </w:pPr>
          </w:p>
        </w:tc>
        <w:tc>
          <w:tcPr>
            <w:tcW w:w="0" w:type="auto"/>
            <w:gridSpan w:val="3"/>
            <w:shd w:val="clear" w:color="auto" w:fill="auto"/>
          </w:tcPr>
          <w:p w14:paraId="5EA1E6A3" w14:textId="77777777" w:rsidR="003C66EB" w:rsidRDefault="003C66EB">
            <w:pPr>
              <w:rPr>
                <w:rFonts w:ascii="宋体"/>
                <w:vanish/>
              </w:rPr>
            </w:pPr>
          </w:p>
        </w:tc>
        <w:tc>
          <w:tcPr>
            <w:tcW w:w="0" w:type="auto"/>
            <w:gridSpan w:val="3"/>
            <w:shd w:val="clear" w:color="auto" w:fill="auto"/>
          </w:tcPr>
          <w:p w14:paraId="5EA1E6A4" w14:textId="77777777" w:rsidR="003C66EB" w:rsidRDefault="003C66EB">
            <w:pPr>
              <w:rPr>
                <w:rFonts w:ascii="宋体"/>
                <w:vanish/>
              </w:rPr>
            </w:pPr>
          </w:p>
        </w:tc>
        <w:tc>
          <w:tcPr>
            <w:tcW w:w="0" w:type="auto"/>
            <w:gridSpan w:val="3"/>
            <w:shd w:val="clear" w:color="auto" w:fill="auto"/>
          </w:tcPr>
          <w:p w14:paraId="5EA1E6A5" w14:textId="77777777" w:rsidR="003C66EB" w:rsidRDefault="003C66EB">
            <w:pPr>
              <w:rPr>
                <w:rFonts w:ascii="宋体"/>
                <w:vanish/>
              </w:rPr>
            </w:pPr>
          </w:p>
        </w:tc>
        <w:tc>
          <w:tcPr>
            <w:tcW w:w="0" w:type="auto"/>
            <w:gridSpan w:val="3"/>
            <w:shd w:val="clear" w:color="auto" w:fill="auto"/>
          </w:tcPr>
          <w:p w14:paraId="5EA1E6A6" w14:textId="77777777" w:rsidR="003C66EB" w:rsidRDefault="003C66EB">
            <w:pPr>
              <w:rPr>
                <w:rFonts w:ascii="宋体"/>
                <w:vanish/>
              </w:rPr>
            </w:pPr>
          </w:p>
        </w:tc>
        <w:tc>
          <w:tcPr>
            <w:tcW w:w="0" w:type="auto"/>
            <w:gridSpan w:val="3"/>
            <w:shd w:val="clear" w:color="auto" w:fill="auto"/>
          </w:tcPr>
          <w:p w14:paraId="5EA1E6A7" w14:textId="77777777" w:rsidR="003C66EB" w:rsidRDefault="003C66EB">
            <w:pPr>
              <w:rPr>
                <w:rFonts w:ascii="宋体"/>
                <w:vanish/>
              </w:rPr>
            </w:pPr>
          </w:p>
        </w:tc>
        <w:tc>
          <w:tcPr>
            <w:tcW w:w="0" w:type="auto"/>
            <w:gridSpan w:val="3"/>
            <w:shd w:val="clear" w:color="auto" w:fill="auto"/>
          </w:tcPr>
          <w:p w14:paraId="5EA1E6A8" w14:textId="77777777" w:rsidR="003C66EB" w:rsidRDefault="003C66EB">
            <w:pPr>
              <w:rPr>
                <w:rFonts w:ascii="宋体"/>
                <w:vanish/>
              </w:rPr>
            </w:pPr>
          </w:p>
        </w:tc>
        <w:tc>
          <w:tcPr>
            <w:tcW w:w="0" w:type="auto"/>
            <w:gridSpan w:val="3"/>
            <w:shd w:val="clear" w:color="auto" w:fill="auto"/>
          </w:tcPr>
          <w:p w14:paraId="5EA1E6A9" w14:textId="77777777" w:rsidR="003C66EB" w:rsidRDefault="003C66EB">
            <w:pPr>
              <w:rPr>
                <w:rFonts w:ascii="宋体"/>
                <w:vanish/>
              </w:rPr>
            </w:pPr>
          </w:p>
        </w:tc>
        <w:tc>
          <w:tcPr>
            <w:tcW w:w="0" w:type="auto"/>
            <w:gridSpan w:val="3"/>
            <w:shd w:val="clear" w:color="auto" w:fill="auto"/>
          </w:tcPr>
          <w:p w14:paraId="5EA1E6AA" w14:textId="77777777" w:rsidR="003C66EB" w:rsidRDefault="003C66EB">
            <w:pPr>
              <w:rPr>
                <w:rFonts w:ascii="宋体"/>
                <w:vanish/>
              </w:rPr>
            </w:pPr>
          </w:p>
        </w:tc>
        <w:tc>
          <w:tcPr>
            <w:tcW w:w="0" w:type="auto"/>
            <w:gridSpan w:val="3"/>
            <w:shd w:val="clear" w:color="auto" w:fill="auto"/>
          </w:tcPr>
          <w:p w14:paraId="5EA1E6AB" w14:textId="77777777" w:rsidR="003C66EB" w:rsidRDefault="003C66EB">
            <w:pPr>
              <w:rPr>
                <w:rFonts w:ascii="宋体"/>
                <w:vanish/>
              </w:rPr>
            </w:pPr>
          </w:p>
        </w:tc>
        <w:tc>
          <w:tcPr>
            <w:tcW w:w="0" w:type="auto"/>
            <w:gridSpan w:val="3"/>
            <w:shd w:val="clear" w:color="auto" w:fill="auto"/>
          </w:tcPr>
          <w:p w14:paraId="5EA1E6AC" w14:textId="77777777" w:rsidR="003C66EB" w:rsidRDefault="003C66EB">
            <w:pPr>
              <w:rPr>
                <w:rFonts w:ascii="宋体"/>
                <w:vanish/>
              </w:rPr>
            </w:pPr>
          </w:p>
        </w:tc>
        <w:tc>
          <w:tcPr>
            <w:tcW w:w="0" w:type="auto"/>
            <w:gridSpan w:val="3"/>
            <w:shd w:val="clear" w:color="auto" w:fill="auto"/>
          </w:tcPr>
          <w:p w14:paraId="5EA1E6AD" w14:textId="77777777" w:rsidR="003C66EB" w:rsidRDefault="003C66EB">
            <w:pPr>
              <w:rPr>
                <w:rFonts w:ascii="宋体"/>
                <w:vanish/>
              </w:rPr>
            </w:pPr>
          </w:p>
        </w:tc>
        <w:tc>
          <w:tcPr>
            <w:tcW w:w="0" w:type="auto"/>
            <w:gridSpan w:val="3"/>
            <w:shd w:val="clear" w:color="auto" w:fill="auto"/>
          </w:tcPr>
          <w:p w14:paraId="5EA1E6AE" w14:textId="77777777" w:rsidR="003C66EB" w:rsidRDefault="003C66EB">
            <w:pPr>
              <w:rPr>
                <w:rFonts w:ascii="宋体"/>
                <w:vanish/>
              </w:rPr>
            </w:pPr>
          </w:p>
        </w:tc>
        <w:tc>
          <w:tcPr>
            <w:tcW w:w="0" w:type="auto"/>
            <w:gridSpan w:val="3"/>
            <w:shd w:val="clear" w:color="auto" w:fill="auto"/>
          </w:tcPr>
          <w:p w14:paraId="5EA1E6AF" w14:textId="77777777" w:rsidR="003C66EB" w:rsidRDefault="003C66EB">
            <w:pPr>
              <w:rPr>
                <w:rFonts w:ascii="宋体"/>
                <w:vanish/>
              </w:rPr>
            </w:pPr>
          </w:p>
        </w:tc>
        <w:tc>
          <w:tcPr>
            <w:tcW w:w="0" w:type="auto"/>
            <w:gridSpan w:val="3"/>
            <w:shd w:val="clear" w:color="auto" w:fill="auto"/>
          </w:tcPr>
          <w:p w14:paraId="5EA1E6B0" w14:textId="77777777" w:rsidR="003C66EB" w:rsidRDefault="003C66EB">
            <w:pPr>
              <w:rPr>
                <w:rFonts w:ascii="宋体"/>
                <w:vanish/>
              </w:rPr>
            </w:pPr>
          </w:p>
        </w:tc>
        <w:tc>
          <w:tcPr>
            <w:tcW w:w="0" w:type="auto"/>
            <w:gridSpan w:val="3"/>
            <w:shd w:val="clear" w:color="auto" w:fill="auto"/>
          </w:tcPr>
          <w:p w14:paraId="5EA1E6B1" w14:textId="77777777" w:rsidR="003C66EB" w:rsidRDefault="003C66EB">
            <w:pPr>
              <w:rPr>
                <w:rFonts w:ascii="宋体"/>
                <w:vanish/>
              </w:rPr>
            </w:pPr>
          </w:p>
        </w:tc>
        <w:tc>
          <w:tcPr>
            <w:tcW w:w="0" w:type="auto"/>
            <w:gridSpan w:val="2"/>
            <w:shd w:val="clear" w:color="auto" w:fill="auto"/>
          </w:tcPr>
          <w:p w14:paraId="5EA1E6B2" w14:textId="77777777" w:rsidR="003C66EB" w:rsidRDefault="003C66EB">
            <w:pPr>
              <w:rPr>
                <w:rFonts w:ascii="宋体"/>
                <w:vanish/>
              </w:rPr>
            </w:pPr>
          </w:p>
        </w:tc>
        <w:tc>
          <w:tcPr>
            <w:tcW w:w="0" w:type="auto"/>
            <w:shd w:val="clear" w:color="auto" w:fill="auto"/>
          </w:tcPr>
          <w:p w14:paraId="5EA1E6B3" w14:textId="77777777" w:rsidR="003C66EB" w:rsidRDefault="003C66EB">
            <w:pPr>
              <w:rPr>
                <w:rFonts w:ascii="宋体"/>
                <w:vanish/>
              </w:rPr>
            </w:pPr>
          </w:p>
        </w:tc>
      </w:tr>
      <w:tr w:rsidR="003C66EB" w14:paraId="5EA1E6CB" w14:textId="77777777">
        <w:trPr>
          <w:hidden/>
        </w:trPr>
        <w:tc>
          <w:tcPr>
            <w:tcW w:w="0" w:type="auto"/>
            <w:gridSpan w:val="3"/>
            <w:shd w:val="clear" w:color="auto" w:fill="auto"/>
          </w:tcPr>
          <w:p w14:paraId="5EA1E6B5" w14:textId="77777777" w:rsidR="003C66EB" w:rsidRDefault="003C66EB">
            <w:pPr>
              <w:rPr>
                <w:rFonts w:ascii="宋体"/>
                <w:vanish/>
              </w:rPr>
            </w:pPr>
          </w:p>
        </w:tc>
        <w:tc>
          <w:tcPr>
            <w:tcW w:w="0" w:type="auto"/>
            <w:gridSpan w:val="3"/>
            <w:shd w:val="clear" w:color="auto" w:fill="auto"/>
          </w:tcPr>
          <w:p w14:paraId="5EA1E6B6" w14:textId="77777777" w:rsidR="003C66EB" w:rsidRDefault="003C66EB">
            <w:pPr>
              <w:rPr>
                <w:rFonts w:ascii="宋体"/>
                <w:vanish/>
              </w:rPr>
            </w:pPr>
          </w:p>
        </w:tc>
        <w:tc>
          <w:tcPr>
            <w:tcW w:w="0" w:type="auto"/>
            <w:gridSpan w:val="3"/>
            <w:shd w:val="clear" w:color="auto" w:fill="auto"/>
          </w:tcPr>
          <w:p w14:paraId="5EA1E6B7" w14:textId="77777777" w:rsidR="003C66EB" w:rsidRDefault="003C66EB">
            <w:pPr>
              <w:rPr>
                <w:rFonts w:ascii="宋体"/>
                <w:vanish/>
              </w:rPr>
            </w:pPr>
          </w:p>
        </w:tc>
        <w:tc>
          <w:tcPr>
            <w:tcW w:w="0" w:type="auto"/>
            <w:gridSpan w:val="3"/>
            <w:shd w:val="clear" w:color="auto" w:fill="auto"/>
          </w:tcPr>
          <w:p w14:paraId="5EA1E6B8" w14:textId="77777777" w:rsidR="003C66EB" w:rsidRDefault="003C66EB">
            <w:pPr>
              <w:rPr>
                <w:rFonts w:ascii="宋体"/>
                <w:vanish/>
              </w:rPr>
            </w:pPr>
          </w:p>
        </w:tc>
        <w:tc>
          <w:tcPr>
            <w:tcW w:w="0" w:type="auto"/>
            <w:gridSpan w:val="3"/>
            <w:shd w:val="clear" w:color="auto" w:fill="auto"/>
          </w:tcPr>
          <w:p w14:paraId="5EA1E6B9" w14:textId="77777777" w:rsidR="003C66EB" w:rsidRDefault="003C66EB">
            <w:pPr>
              <w:rPr>
                <w:rFonts w:ascii="宋体"/>
                <w:vanish/>
              </w:rPr>
            </w:pPr>
          </w:p>
        </w:tc>
        <w:tc>
          <w:tcPr>
            <w:tcW w:w="0" w:type="auto"/>
            <w:gridSpan w:val="3"/>
            <w:shd w:val="clear" w:color="auto" w:fill="auto"/>
          </w:tcPr>
          <w:p w14:paraId="5EA1E6BA" w14:textId="77777777" w:rsidR="003C66EB" w:rsidRDefault="003C66EB">
            <w:pPr>
              <w:rPr>
                <w:rFonts w:ascii="宋体"/>
                <w:vanish/>
              </w:rPr>
            </w:pPr>
          </w:p>
        </w:tc>
        <w:tc>
          <w:tcPr>
            <w:tcW w:w="0" w:type="auto"/>
            <w:gridSpan w:val="3"/>
            <w:shd w:val="clear" w:color="auto" w:fill="auto"/>
          </w:tcPr>
          <w:p w14:paraId="5EA1E6BB" w14:textId="77777777" w:rsidR="003C66EB" w:rsidRDefault="003C66EB">
            <w:pPr>
              <w:rPr>
                <w:rFonts w:ascii="宋体"/>
                <w:vanish/>
              </w:rPr>
            </w:pPr>
          </w:p>
        </w:tc>
        <w:tc>
          <w:tcPr>
            <w:tcW w:w="0" w:type="auto"/>
            <w:gridSpan w:val="3"/>
            <w:shd w:val="clear" w:color="auto" w:fill="auto"/>
          </w:tcPr>
          <w:p w14:paraId="5EA1E6BC" w14:textId="77777777" w:rsidR="003C66EB" w:rsidRDefault="003C66EB">
            <w:pPr>
              <w:rPr>
                <w:rFonts w:ascii="宋体"/>
                <w:vanish/>
              </w:rPr>
            </w:pPr>
          </w:p>
        </w:tc>
        <w:tc>
          <w:tcPr>
            <w:tcW w:w="0" w:type="auto"/>
            <w:gridSpan w:val="3"/>
            <w:shd w:val="clear" w:color="auto" w:fill="auto"/>
          </w:tcPr>
          <w:p w14:paraId="5EA1E6BD" w14:textId="77777777" w:rsidR="003C66EB" w:rsidRDefault="003C66EB">
            <w:pPr>
              <w:rPr>
                <w:rFonts w:ascii="宋体"/>
                <w:vanish/>
              </w:rPr>
            </w:pPr>
          </w:p>
        </w:tc>
        <w:tc>
          <w:tcPr>
            <w:tcW w:w="0" w:type="auto"/>
            <w:gridSpan w:val="3"/>
            <w:shd w:val="clear" w:color="auto" w:fill="auto"/>
          </w:tcPr>
          <w:p w14:paraId="5EA1E6BE" w14:textId="77777777" w:rsidR="003C66EB" w:rsidRDefault="003C66EB">
            <w:pPr>
              <w:rPr>
                <w:rFonts w:ascii="宋体"/>
                <w:vanish/>
              </w:rPr>
            </w:pPr>
          </w:p>
        </w:tc>
        <w:tc>
          <w:tcPr>
            <w:tcW w:w="0" w:type="auto"/>
            <w:gridSpan w:val="3"/>
            <w:shd w:val="clear" w:color="auto" w:fill="auto"/>
          </w:tcPr>
          <w:p w14:paraId="5EA1E6BF" w14:textId="77777777" w:rsidR="003C66EB" w:rsidRDefault="003C66EB">
            <w:pPr>
              <w:rPr>
                <w:rFonts w:ascii="宋体"/>
                <w:vanish/>
              </w:rPr>
            </w:pPr>
          </w:p>
        </w:tc>
        <w:tc>
          <w:tcPr>
            <w:tcW w:w="0" w:type="auto"/>
            <w:gridSpan w:val="3"/>
            <w:shd w:val="clear" w:color="auto" w:fill="auto"/>
          </w:tcPr>
          <w:p w14:paraId="5EA1E6C0" w14:textId="77777777" w:rsidR="003C66EB" w:rsidRDefault="003C66EB">
            <w:pPr>
              <w:rPr>
                <w:rFonts w:ascii="宋体"/>
                <w:vanish/>
              </w:rPr>
            </w:pPr>
          </w:p>
        </w:tc>
        <w:tc>
          <w:tcPr>
            <w:tcW w:w="0" w:type="auto"/>
            <w:gridSpan w:val="3"/>
            <w:shd w:val="clear" w:color="auto" w:fill="auto"/>
          </w:tcPr>
          <w:p w14:paraId="5EA1E6C1" w14:textId="77777777" w:rsidR="003C66EB" w:rsidRDefault="003C66EB">
            <w:pPr>
              <w:rPr>
                <w:rFonts w:ascii="宋体"/>
                <w:vanish/>
              </w:rPr>
            </w:pPr>
          </w:p>
        </w:tc>
        <w:tc>
          <w:tcPr>
            <w:tcW w:w="0" w:type="auto"/>
            <w:gridSpan w:val="3"/>
            <w:shd w:val="clear" w:color="auto" w:fill="auto"/>
          </w:tcPr>
          <w:p w14:paraId="5EA1E6C2" w14:textId="77777777" w:rsidR="003C66EB" w:rsidRDefault="003C66EB">
            <w:pPr>
              <w:rPr>
                <w:rFonts w:ascii="宋体"/>
                <w:vanish/>
              </w:rPr>
            </w:pPr>
          </w:p>
        </w:tc>
        <w:tc>
          <w:tcPr>
            <w:tcW w:w="0" w:type="auto"/>
            <w:gridSpan w:val="3"/>
            <w:shd w:val="clear" w:color="auto" w:fill="auto"/>
          </w:tcPr>
          <w:p w14:paraId="5EA1E6C3" w14:textId="77777777" w:rsidR="003C66EB" w:rsidRDefault="003C66EB">
            <w:pPr>
              <w:rPr>
                <w:rFonts w:ascii="宋体"/>
                <w:vanish/>
              </w:rPr>
            </w:pPr>
          </w:p>
        </w:tc>
        <w:tc>
          <w:tcPr>
            <w:tcW w:w="0" w:type="auto"/>
            <w:gridSpan w:val="3"/>
            <w:shd w:val="clear" w:color="auto" w:fill="auto"/>
          </w:tcPr>
          <w:p w14:paraId="5EA1E6C4" w14:textId="77777777" w:rsidR="003C66EB" w:rsidRDefault="003C66EB">
            <w:pPr>
              <w:rPr>
                <w:rFonts w:ascii="宋体"/>
                <w:vanish/>
              </w:rPr>
            </w:pPr>
          </w:p>
        </w:tc>
        <w:tc>
          <w:tcPr>
            <w:tcW w:w="0" w:type="auto"/>
            <w:gridSpan w:val="3"/>
            <w:shd w:val="clear" w:color="auto" w:fill="auto"/>
          </w:tcPr>
          <w:p w14:paraId="5EA1E6C5" w14:textId="77777777" w:rsidR="003C66EB" w:rsidRDefault="003C66EB">
            <w:pPr>
              <w:rPr>
                <w:rFonts w:ascii="宋体"/>
                <w:vanish/>
              </w:rPr>
            </w:pPr>
          </w:p>
        </w:tc>
        <w:tc>
          <w:tcPr>
            <w:tcW w:w="0" w:type="auto"/>
            <w:gridSpan w:val="3"/>
            <w:shd w:val="clear" w:color="auto" w:fill="auto"/>
          </w:tcPr>
          <w:p w14:paraId="5EA1E6C6" w14:textId="77777777" w:rsidR="003C66EB" w:rsidRDefault="003C66EB">
            <w:pPr>
              <w:rPr>
                <w:rFonts w:ascii="宋体"/>
                <w:vanish/>
              </w:rPr>
            </w:pPr>
          </w:p>
        </w:tc>
        <w:tc>
          <w:tcPr>
            <w:tcW w:w="0" w:type="auto"/>
            <w:gridSpan w:val="3"/>
            <w:shd w:val="clear" w:color="auto" w:fill="auto"/>
          </w:tcPr>
          <w:p w14:paraId="5EA1E6C7" w14:textId="77777777" w:rsidR="003C66EB" w:rsidRDefault="003C66EB">
            <w:pPr>
              <w:rPr>
                <w:rFonts w:ascii="宋体"/>
                <w:vanish/>
              </w:rPr>
            </w:pPr>
          </w:p>
        </w:tc>
        <w:tc>
          <w:tcPr>
            <w:tcW w:w="0" w:type="auto"/>
            <w:gridSpan w:val="3"/>
            <w:shd w:val="clear" w:color="auto" w:fill="auto"/>
          </w:tcPr>
          <w:p w14:paraId="5EA1E6C8" w14:textId="77777777" w:rsidR="003C66EB" w:rsidRDefault="003C66EB">
            <w:pPr>
              <w:rPr>
                <w:rFonts w:ascii="宋体"/>
                <w:vanish/>
              </w:rPr>
            </w:pPr>
          </w:p>
        </w:tc>
        <w:tc>
          <w:tcPr>
            <w:tcW w:w="0" w:type="auto"/>
            <w:gridSpan w:val="2"/>
            <w:shd w:val="clear" w:color="auto" w:fill="auto"/>
          </w:tcPr>
          <w:p w14:paraId="5EA1E6C9" w14:textId="77777777" w:rsidR="003C66EB" w:rsidRDefault="003C66EB">
            <w:pPr>
              <w:rPr>
                <w:rFonts w:ascii="宋体"/>
                <w:vanish/>
              </w:rPr>
            </w:pPr>
          </w:p>
        </w:tc>
        <w:tc>
          <w:tcPr>
            <w:tcW w:w="0" w:type="auto"/>
            <w:shd w:val="clear" w:color="auto" w:fill="auto"/>
          </w:tcPr>
          <w:p w14:paraId="5EA1E6CA" w14:textId="77777777" w:rsidR="003C66EB" w:rsidRDefault="003C66EB">
            <w:pPr>
              <w:rPr>
                <w:rFonts w:ascii="宋体"/>
                <w:vanish/>
              </w:rPr>
            </w:pPr>
          </w:p>
        </w:tc>
      </w:tr>
      <w:tr w:rsidR="003C66EB" w14:paraId="5EA1E6E2" w14:textId="77777777">
        <w:trPr>
          <w:hidden/>
        </w:trPr>
        <w:tc>
          <w:tcPr>
            <w:tcW w:w="0" w:type="auto"/>
            <w:gridSpan w:val="3"/>
            <w:shd w:val="clear" w:color="auto" w:fill="auto"/>
          </w:tcPr>
          <w:p w14:paraId="5EA1E6CC" w14:textId="77777777" w:rsidR="003C66EB" w:rsidRDefault="003C66EB">
            <w:pPr>
              <w:rPr>
                <w:rFonts w:ascii="宋体"/>
                <w:vanish/>
              </w:rPr>
            </w:pPr>
          </w:p>
        </w:tc>
        <w:tc>
          <w:tcPr>
            <w:tcW w:w="0" w:type="auto"/>
            <w:gridSpan w:val="3"/>
            <w:shd w:val="clear" w:color="auto" w:fill="auto"/>
          </w:tcPr>
          <w:p w14:paraId="5EA1E6CD" w14:textId="77777777" w:rsidR="003C66EB" w:rsidRDefault="003C66EB">
            <w:pPr>
              <w:rPr>
                <w:rFonts w:ascii="宋体"/>
                <w:vanish/>
              </w:rPr>
            </w:pPr>
          </w:p>
        </w:tc>
        <w:tc>
          <w:tcPr>
            <w:tcW w:w="0" w:type="auto"/>
            <w:gridSpan w:val="3"/>
            <w:shd w:val="clear" w:color="auto" w:fill="auto"/>
          </w:tcPr>
          <w:p w14:paraId="5EA1E6CE" w14:textId="77777777" w:rsidR="003C66EB" w:rsidRDefault="003C66EB">
            <w:pPr>
              <w:rPr>
                <w:rFonts w:ascii="宋体"/>
                <w:vanish/>
              </w:rPr>
            </w:pPr>
          </w:p>
        </w:tc>
        <w:tc>
          <w:tcPr>
            <w:tcW w:w="0" w:type="auto"/>
            <w:gridSpan w:val="3"/>
            <w:shd w:val="clear" w:color="auto" w:fill="auto"/>
          </w:tcPr>
          <w:p w14:paraId="5EA1E6CF" w14:textId="77777777" w:rsidR="003C66EB" w:rsidRDefault="003C66EB">
            <w:pPr>
              <w:rPr>
                <w:rFonts w:ascii="宋体"/>
                <w:vanish/>
              </w:rPr>
            </w:pPr>
          </w:p>
        </w:tc>
        <w:tc>
          <w:tcPr>
            <w:tcW w:w="0" w:type="auto"/>
            <w:gridSpan w:val="3"/>
            <w:shd w:val="clear" w:color="auto" w:fill="auto"/>
          </w:tcPr>
          <w:p w14:paraId="5EA1E6D0" w14:textId="77777777" w:rsidR="003C66EB" w:rsidRDefault="003C66EB">
            <w:pPr>
              <w:rPr>
                <w:rFonts w:ascii="宋体"/>
                <w:vanish/>
              </w:rPr>
            </w:pPr>
          </w:p>
        </w:tc>
        <w:tc>
          <w:tcPr>
            <w:tcW w:w="0" w:type="auto"/>
            <w:gridSpan w:val="3"/>
            <w:shd w:val="clear" w:color="auto" w:fill="auto"/>
          </w:tcPr>
          <w:p w14:paraId="5EA1E6D1" w14:textId="77777777" w:rsidR="003C66EB" w:rsidRDefault="003C66EB">
            <w:pPr>
              <w:rPr>
                <w:rFonts w:ascii="宋体"/>
                <w:vanish/>
              </w:rPr>
            </w:pPr>
          </w:p>
        </w:tc>
        <w:tc>
          <w:tcPr>
            <w:tcW w:w="0" w:type="auto"/>
            <w:gridSpan w:val="3"/>
            <w:shd w:val="clear" w:color="auto" w:fill="auto"/>
          </w:tcPr>
          <w:p w14:paraId="5EA1E6D2" w14:textId="77777777" w:rsidR="003C66EB" w:rsidRDefault="003C66EB">
            <w:pPr>
              <w:rPr>
                <w:rFonts w:ascii="宋体"/>
                <w:vanish/>
              </w:rPr>
            </w:pPr>
          </w:p>
        </w:tc>
        <w:tc>
          <w:tcPr>
            <w:tcW w:w="0" w:type="auto"/>
            <w:gridSpan w:val="3"/>
            <w:shd w:val="clear" w:color="auto" w:fill="auto"/>
          </w:tcPr>
          <w:p w14:paraId="5EA1E6D3" w14:textId="77777777" w:rsidR="003C66EB" w:rsidRDefault="003C66EB">
            <w:pPr>
              <w:rPr>
                <w:rFonts w:ascii="宋体"/>
                <w:vanish/>
              </w:rPr>
            </w:pPr>
          </w:p>
        </w:tc>
        <w:tc>
          <w:tcPr>
            <w:tcW w:w="0" w:type="auto"/>
            <w:gridSpan w:val="3"/>
            <w:shd w:val="clear" w:color="auto" w:fill="auto"/>
          </w:tcPr>
          <w:p w14:paraId="5EA1E6D4" w14:textId="77777777" w:rsidR="003C66EB" w:rsidRDefault="003C66EB">
            <w:pPr>
              <w:rPr>
                <w:rFonts w:ascii="宋体"/>
                <w:vanish/>
              </w:rPr>
            </w:pPr>
          </w:p>
        </w:tc>
        <w:tc>
          <w:tcPr>
            <w:tcW w:w="0" w:type="auto"/>
            <w:gridSpan w:val="3"/>
            <w:shd w:val="clear" w:color="auto" w:fill="auto"/>
          </w:tcPr>
          <w:p w14:paraId="5EA1E6D5" w14:textId="77777777" w:rsidR="003C66EB" w:rsidRDefault="003C66EB">
            <w:pPr>
              <w:rPr>
                <w:rFonts w:ascii="宋体"/>
                <w:vanish/>
              </w:rPr>
            </w:pPr>
          </w:p>
        </w:tc>
        <w:tc>
          <w:tcPr>
            <w:tcW w:w="0" w:type="auto"/>
            <w:gridSpan w:val="3"/>
            <w:shd w:val="clear" w:color="auto" w:fill="auto"/>
          </w:tcPr>
          <w:p w14:paraId="5EA1E6D6" w14:textId="77777777" w:rsidR="003C66EB" w:rsidRDefault="003C66EB">
            <w:pPr>
              <w:rPr>
                <w:rFonts w:ascii="宋体"/>
                <w:vanish/>
              </w:rPr>
            </w:pPr>
          </w:p>
        </w:tc>
        <w:tc>
          <w:tcPr>
            <w:tcW w:w="0" w:type="auto"/>
            <w:gridSpan w:val="3"/>
            <w:shd w:val="clear" w:color="auto" w:fill="auto"/>
          </w:tcPr>
          <w:p w14:paraId="5EA1E6D7" w14:textId="77777777" w:rsidR="003C66EB" w:rsidRDefault="003C66EB">
            <w:pPr>
              <w:rPr>
                <w:rFonts w:ascii="宋体"/>
                <w:vanish/>
              </w:rPr>
            </w:pPr>
          </w:p>
        </w:tc>
        <w:tc>
          <w:tcPr>
            <w:tcW w:w="0" w:type="auto"/>
            <w:gridSpan w:val="3"/>
            <w:shd w:val="clear" w:color="auto" w:fill="auto"/>
          </w:tcPr>
          <w:p w14:paraId="5EA1E6D8" w14:textId="77777777" w:rsidR="003C66EB" w:rsidRDefault="003C66EB">
            <w:pPr>
              <w:rPr>
                <w:rFonts w:ascii="宋体"/>
                <w:vanish/>
              </w:rPr>
            </w:pPr>
          </w:p>
        </w:tc>
        <w:tc>
          <w:tcPr>
            <w:tcW w:w="0" w:type="auto"/>
            <w:gridSpan w:val="3"/>
            <w:shd w:val="clear" w:color="auto" w:fill="auto"/>
          </w:tcPr>
          <w:p w14:paraId="5EA1E6D9" w14:textId="77777777" w:rsidR="003C66EB" w:rsidRDefault="003C66EB">
            <w:pPr>
              <w:rPr>
                <w:rFonts w:ascii="宋体"/>
                <w:vanish/>
              </w:rPr>
            </w:pPr>
          </w:p>
        </w:tc>
        <w:tc>
          <w:tcPr>
            <w:tcW w:w="0" w:type="auto"/>
            <w:gridSpan w:val="3"/>
            <w:shd w:val="clear" w:color="auto" w:fill="auto"/>
          </w:tcPr>
          <w:p w14:paraId="5EA1E6DA" w14:textId="77777777" w:rsidR="003C66EB" w:rsidRDefault="003C66EB">
            <w:pPr>
              <w:rPr>
                <w:rFonts w:ascii="宋体"/>
                <w:vanish/>
              </w:rPr>
            </w:pPr>
          </w:p>
        </w:tc>
        <w:tc>
          <w:tcPr>
            <w:tcW w:w="0" w:type="auto"/>
            <w:gridSpan w:val="3"/>
            <w:shd w:val="clear" w:color="auto" w:fill="auto"/>
          </w:tcPr>
          <w:p w14:paraId="5EA1E6DB" w14:textId="77777777" w:rsidR="003C66EB" w:rsidRDefault="003C66EB">
            <w:pPr>
              <w:rPr>
                <w:rFonts w:ascii="宋体"/>
                <w:vanish/>
              </w:rPr>
            </w:pPr>
          </w:p>
        </w:tc>
        <w:tc>
          <w:tcPr>
            <w:tcW w:w="0" w:type="auto"/>
            <w:gridSpan w:val="3"/>
            <w:shd w:val="clear" w:color="auto" w:fill="auto"/>
          </w:tcPr>
          <w:p w14:paraId="5EA1E6DC" w14:textId="77777777" w:rsidR="003C66EB" w:rsidRDefault="003C66EB">
            <w:pPr>
              <w:rPr>
                <w:rFonts w:ascii="宋体"/>
                <w:vanish/>
              </w:rPr>
            </w:pPr>
          </w:p>
        </w:tc>
        <w:tc>
          <w:tcPr>
            <w:tcW w:w="0" w:type="auto"/>
            <w:gridSpan w:val="3"/>
            <w:shd w:val="clear" w:color="auto" w:fill="auto"/>
          </w:tcPr>
          <w:p w14:paraId="5EA1E6DD" w14:textId="77777777" w:rsidR="003C66EB" w:rsidRDefault="003C66EB">
            <w:pPr>
              <w:rPr>
                <w:rFonts w:ascii="宋体"/>
                <w:vanish/>
              </w:rPr>
            </w:pPr>
          </w:p>
        </w:tc>
        <w:tc>
          <w:tcPr>
            <w:tcW w:w="0" w:type="auto"/>
            <w:gridSpan w:val="3"/>
            <w:shd w:val="clear" w:color="auto" w:fill="auto"/>
          </w:tcPr>
          <w:p w14:paraId="5EA1E6DE" w14:textId="77777777" w:rsidR="003C66EB" w:rsidRDefault="003C66EB">
            <w:pPr>
              <w:rPr>
                <w:rFonts w:ascii="宋体"/>
                <w:vanish/>
              </w:rPr>
            </w:pPr>
          </w:p>
        </w:tc>
        <w:tc>
          <w:tcPr>
            <w:tcW w:w="0" w:type="auto"/>
            <w:gridSpan w:val="3"/>
            <w:shd w:val="clear" w:color="auto" w:fill="auto"/>
          </w:tcPr>
          <w:p w14:paraId="5EA1E6DF" w14:textId="77777777" w:rsidR="003C66EB" w:rsidRDefault="003C66EB">
            <w:pPr>
              <w:rPr>
                <w:rFonts w:ascii="宋体"/>
                <w:vanish/>
              </w:rPr>
            </w:pPr>
          </w:p>
        </w:tc>
        <w:tc>
          <w:tcPr>
            <w:tcW w:w="0" w:type="auto"/>
            <w:gridSpan w:val="2"/>
            <w:shd w:val="clear" w:color="auto" w:fill="auto"/>
          </w:tcPr>
          <w:p w14:paraId="5EA1E6E0" w14:textId="77777777" w:rsidR="003C66EB" w:rsidRDefault="003C66EB">
            <w:pPr>
              <w:rPr>
                <w:rFonts w:ascii="宋体"/>
                <w:vanish/>
              </w:rPr>
            </w:pPr>
          </w:p>
        </w:tc>
        <w:tc>
          <w:tcPr>
            <w:tcW w:w="0" w:type="auto"/>
            <w:shd w:val="clear" w:color="auto" w:fill="auto"/>
          </w:tcPr>
          <w:p w14:paraId="5EA1E6E1" w14:textId="77777777" w:rsidR="003C66EB" w:rsidRDefault="003C66EB">
            <w:pPr>
              <w:rPr>
                <w:rFonts w:ascii="宋体"/>
                <w:vanish/>
              </w:rPr>
            </w:pPr>
          </w:p>
        </w:tc>
      </w:tr>
      <w:tr w:rsidR="003C66EB" w14:paraId="5EA1E6F9" w14:textId="77777777">
        <w:trPr>
          <w:hidden/>
        </w:trPr>
        <w:tc>
          <w:tcPr>
            <w:tcW w:w="0" w:type="auto"/>
            <w:gridSpan w:val="3"/>
            <w:shd w:val="clear" w:color="auto" w:fill="auto"/>
          </w:tcPr>
          <w:p w14:paraId="5EA1E6E3" w14:textId="77777777" w:rsidR="003C66EB" w:rsidRDefault="003C66EB">
            <w:pPr>
              <w:rPr>
                <w:rFonts w:ascii="宋体"/>
                <w:vanish/>
              </w:rPr>
            </w:pPr>
          </w:p>
        </w:tc>
        <w:tc>
          <w:tcPr>
            <w:tcW w:w="0" w:type="auto"/>
            <w:gridSpan w:val="3"/>
            <w:shd w:val="clear" w:color="auto" w:fill="auto"/>
          </w:tcPr>
          <w:p w14:paraId="5EA1E6E4" w14:textId="77777777" w:rsidR="003C66EB" w:rsidRDefault="003C66EB">
            <w:pPr>
              <w:rPr>
                <w:rFonts w:ascii="宋体"/>
                <w:vanish/>
              </w:rPr>
            </w:pPr>
          </w:p>
        </w:tc>
        <w:tc>
          <w:tcPr>
            <w:tcW w:w="0" w:type="auto"/>
            <w:gridSpan w:val="3"/>
            <w:shd w:val="clear" w:color="auto" w:fill="auto"/>
          </w:tcPr>
          <w:p w14:paraId="5EA1E6E5" w14:textId="77777777" w:rsidR="003C66EB" w:rsidRDefault="003C66EB">
            <w:pPr>
              <w:rPr>
                <w:rFonts w:ascii="宋体"/>
                <w:vanish/>
              </w:rPr>
            </w:pPr>
          </w:p>
        </w:tc>
        <w:tc>
          <w:tcPr>
            <w:tcW w:w="0" w:type="auto"/>
            <w:gridSpan w:val="3"/>
            <w:shd w:val="clear" w:color="auto" w:fill="auto"/>
          </w:tcPr>
          <w:p w14:paraId="5EA1E6E6" w14:textId="77777777" w:rsidR="003C66EB" w:rsidRDefault="003C66EB">
            <w:pPr>
              <w:rPr>
                <w:rFonts w:ascii="宋体"/>
                <w:vanish/>
              </w:rPr>
            </w:pPr>
          </w:p>
        </w:tc>
        <w:tc>
          <w:tcPr>
            <w:tcW w:w="0" w:type="auto"/>
            <w:gridSpan w:val="3"/>
            <w:shd w:val="clear" w:color="auto" w:fill="auto"/>
          </w:tcPr>
          <w:p w14:paraId="5EA1E6E7" w14:textId="77777777" w:rsidR="003C66EB" w:rsidRDefault="003C66EB">
            <w:pPr>
              <w:rPr>
                <w:rFonts w:ascii="宋体"/>
                <w:vanish/>
              </w:rPr>
            </w:pPr>
          </w:p>
        </w:tc>
        <w:tc>
          <w:tcPr>
            <w:tcW w:w="0" w:type="auto"/>
            <w:gridSpan w:val="3"/>
            <w:shd w:val="clear" w:color="auto" w:fill="auto"/>
          </w:tcPr>
          <w:p w14:paraId="5EA1E6E8" w14:textId="77777777" w:rsidR="003C66EB" w:rsidRDefault="003C66EB">
            <w:pPr>
              <w:rPr>
                <w:rFonts w:ascii="宋体"/>
                <w:vanish/>
              </w:rPr>
            </w:pPr>
          </w:p>
        </w:tc>
        <w:tc>
          <w:tcPr>
            <w:tcW w:w="0" w:type="auto"/>
            <w:gridSpan w:val="3"/>
            <w:shd w:val="clear" w:color="auto" w:fill="auto"/>
          </w:tcPr>
          <w:p w14:paraId="5EA1E6E9" w14:textId="77777777" w:rsidR="003C66EB" w:rsidRDefault="003C66EB">
            <w:pPr>
              <w:rPr>
                <w:rFonts w:ascii="宋体"/>
                <w:vanish/>
              </w:rPr>
            </w:pPr>
          </w:p>
        </w:tc>
        <w:tc>
          <w:tcPr>
            <w:tcW w:w="0" w:type="auto"/>
            <w:gridSpan w:val="3"/>
            <w:shd w:val="clear" w:color="auto" w:fill="auto"/>
          </w:tcPr>
          <w:p w14:paraId="5EA1E6EA" w14:textId="77777777" w:rsidR="003C66EB" w:rsidRDefault="003C66EB">
            <w:pPr>
              <w:rPr>
                <w:rFonts w:ascii="宋体"/>
                <w:vanish/>
              </w:rPr>
            </w:pPr>
          </w:p>
        </w:tc>
        <w:tc>
          <w:tcPr>
            <w:tcW w:w="0" w:type="auto"/>
            <w:gridSpan w:val="3"/>
            <w:shd w:val="clear" w:color="auto" w:fill="auto"/>
          </w:tcPr>
          <w:p w14:paraId="5EA1E6EB" w14:textId="77777777" w:rsidR="003C66EB" w:rsidRDefault="003C66EB">
            <w:pPr>
              <w:rPr>
                <w:rFonts w:ascii="宋体"/>
                <w:vanish/>
              </w:rPr>
            </w:pPr>
          </w:p>
        </w:tc>
        <w:tc>
          <w:tcPr>
            <w:tcW w:w="0" w:type="auto"/>
            <w:gridSpan w:val="3"/>
            <w:shd w:val="clear" w:color="auto" w:fill="auto"/>
          </w:tcPr>
          <w:p w14:paraId="5EA1E6EC" w14:textId="77777777" w:rsidR="003C66EB" w:rsidRDefault="003C66EB">
            <w:pPr>
              <w:rPr>
                <w:rFonts w:ascii="宋体"/>
                <w:vanish/>
              </w:rPr>
            </w:pPr>
          </w:p>
        </w:tc>
        <w:tc>
          <w:tcPr>
            <w:tcW w:w="0" w:type="auto"/>
            <w:gridSpan w:val="3"/>
            <w:shd w:val="clear" w:color="auto" w:fill="auto"/>
          </w:tcPr>
          <w:p w14:paraId="5EA1E6ED" w14:textId="77777777" w:rsidR="003C66EB" w:rsidRDefault="003C66EB">
            <w:pPr>
              <w:rPr>
                <w:rFonts w:ascii="宋体"/>
                <w:vanish/>
              </w:rPr>
            </w:pPr>
          </w:p>
        </w:tc>
        <w:tc>
          <w:tcPr>
            <w:tcW w:w="0" w:type="auto"/>
            <w:gridSpan w:val="3"/>
            <w:shd w:val="clear" w:color="auto" w:fill="auto"/>
          </w:tcPr>
          <w:p w14:paraId="5EA1E6EE" w14:textId="77777777" w:rsidR="003C66EB" w:rsidRDefault="003C66EB">
            <w:pPr>
              <w:rPr>
                <w:rFonts w:ascii="宋体"/>
                <w:vanish/>
              </w:rPr>
            </w:pPr>
          </w:p>
        </w:tc>
        <w:tc>
          <w:tcPr>
            <w:tcW w:w="0" w:type="auto"/>
            <w:gridSpan w:val="3"/>
            <w:shd w:val="clear" w:color="auto" w:fill="auto"/>
          </w:tcPr>
          <w:p w14:paraId="5EA1E6EF" w14:textId="77777777" w:rsidR="003C66EB" w:rsidRDefault="003C66EB">
            <w:pPr>
              <w:rPr>
                <w:rFonts w:ascii="宋体"/>
                <w:vanish/>
              </w:rPr>
            </w:pPr>
          </w:p>
        </w:tc>
        <w:tc>
          <w:tcPr>
            <w:tcW w:w="0" w:type="auto"/>
            <w:gridSpan w:val="3"/>
            <w:shd w:val="clear" w:color="auto" w:fill="auto"/>
          </w:tcPr>
          <w:p w14:paraId="5EA1E6F0" w14:textId="77777777" w:rsidR="003C66EB" w:rsidRDefault="003C66EB">
            <w:pPr>
              <w:rPr>
                <w:rFonts w:ascii="宋体"/>
                <w:vanish/>
              </w:rPr>
            </w:pPr>
          </w:p>
        </w:tc>
        <w:tc>
          <w:tcPr>
            <w:tcW w:w="0" w:type="auto"/>
            <w:gridSpan w:val="3"/>
            <w:shd w:val="clear" w:color="auto" w:fill="auto"/>
          </w:tcPr>
          <w:p w14:paraId="5EA1E6F1" w14:textId="77777777" w:rsidR="003C66EB" w:rsidRDefault="003C66EB">
            <w:pPr>
              <w:rPr>
                <w:rFonts w:ascii="宋体"/>
                <w:vanish/>
              </w:rPr>
            </w:pPr>
          </w:p>
        </w:tc>
        <w:tc>
          <w:tcPr>
            <w:tcW w:w="0" w:type="auto"/>
            <w:gridSpan w:val="3"/>
            <w:shd w:val="clear" w:color="auto" w:fill="auto"/>
          </w:tcPr>
          <w:p w14:paraId="5EA1E6F2" w14:textId="77777777" w:rsidR="003C66EB" w:rsidRDefault="003C66EB">
            <w:pPr>
              <w:rPr>
                <w:rFonts w:ascii="宋体"/>
                <w:vanish/>
              </w:rPr>
            </w:pPr>
          </w:p>
        </w:tc>
        <w:tc>
          <w:tcPr>
            <w:tcW w:w="0" w:type="auto"/>
            <w:gridSpan w:val="3"/>
            <w:shd w:val="clear" w:color="auto" w:fill="auto"/>
          </w:tcPr>
          <w:p w14:paraId="5EA1E6F3" w14:textId="77777777" w:rsidR="003C66EB" w:rsidRDefault="003C66EB">
            <w:pPr>
              <w:rPr>
                <w:rFonts w:ascii="宋体"/>
                <w:vanish/>
              </w:rPr>
            </w:pPr>
          </w:p>
        </w:tc>
        <w:tc>
          <w:tcPr>
            <w:tcW w:w="0" w:type="auto"/>
            <w:gridSpan w:val="3"/>
            <w:shd w:val="clear" w:color="auto" w:fill="auto"/>
          </w:tcPr>
          <w:p w14:paraId="5EA1E6F4" w14:textId="77777777" w:rsidR="003C66EB" w:rsidRDefault="003C66EB">
            <w:pPr>
              <w:rPr>
                <w:rFonts w:ascii="宋体"/>
                <w:vanish/>
              </w:rPr>
            </w:pPr>
          </w:p>
        </w:tc>
        <w:tc>
          <w:tcPr>
            <w:tcW w:w="0" w:type="auto"/>
            <w:gridSpan w:val="3"/>
            <w:shd w:val="clear" w:color="auto" w:fill="auto"/>
          </w:tcPr>
          <w:p w14:paraId="5EA1E6F5" w14:textId="77777777" w:rsidR="003C66EB" w:rsidRDefault="003C66EB">
            <w:pPr>
              <w:rPr>
                <w:rFonts w:ascii="宋体"/>
                <w:vanish/>
              </w:rPr>
            </w:pPr>
          </w:p>
        </w:tc>
        <w:tc>
          <w:tcPr>
            <w:tcW w:w="0" w:type="auto"/>
            <w:gridSpan w:val="3"/>
            <w:shd w:val="clear" w:color="auto" w:fill="auto"/>
          </w:tcPr>
          <w:p w14:paraId="5EA1E6F6" w14:textId="77777777" w:rsidR="003C66EB" w:rsidRDefault="003C66EB">
            <w:pPr>
              <w:rPr>
                <w:rFonts w:ascii="宋体"/>
                <w:vanish/>
              </w:rPr>
            </w:pPr>
          </w:p>
        </w:tc>
        <w:tc>
          <w:tcPr>
            <w:tcW w:w="0" w:type="auto"/>
            <w:gridSpan w:val="2"/>
            <w:shd w:val="clear" w:color="auto" w:fill="auto"/>
          </w:tcPr>
          <w:p w14:paraId="5EA1E6F7" w14:textId="77777777" w:rsidR="003C66EB" w:rsidRDefault="003C66EB">
            <w:pPr>
              <w:rPr>
                <w:rFonts w:ascii="宋体"/>
                <w:vanish/>
              </w:rPr>
            </w:pPr>
          </w:p>
        </w:tc>
        <w:tc>
          <w:tcPr>
            <w:tcW w:w="0" w:type="auto"/>
            <w:shd w:val="clear" w:color="auto" w:fill="auto"/>
          </w:tcPr>
          <w:p w14:paraId="5EA1E6F8" w14:textId="77777777" w:rsidR="003C66EB" w:rsidRDefault="003C66EB">
            <w:pPr>
              <w:rPr>
                <w:rFonts w:ascii="宋体"/>
                <w:vanish/>
              </w:rPr>
            </w:pPr>
          </w:p>
        </w:tc>
      </w:tr>
      <w:tr w:rsidR="003C66EB" w14:paraId="5EA1E710" w14:textId="77777777">
        <w:trPr>
          <w:hidden/>
        </w:trPr>
        <w:tc>
          <w:tcPr>
            <w:tcW w:w="0" w:type="auto"/>
            <w:gridSpan w:val="3"/>
            <w:shd w:val="clear" w:color="auto" w:fill="auto"/>
          </w:tcPr>
          <w:p w14:paraId="5EA1E6FA" w14:textId="77777777" w:rsidR="003C66EB" w:rsidRDefault="003C66EB">
            <w:pPr>
              <w:rPr>
                <w:rFonts w:ascii="宋体"/>
                <w:vanish/>
              </w:rPr>
            </w:pPr>
          </w:p>
        </w:tc>
        <w:tc>
          <w:tcPr>
            <w:tcW w:w="0" w:type="auto"/>
            <w:gridSpan w:val="3"/>
            <w:shd w:val="clear" w:color="auto" w:fill="auto"/>
          </w:tcPr>
          <w:p w14:paraId="5EA1E6FB" w14:textId="77777777" w:rsidR="003C66EB" w:rsidRDefault="003C66EB">
            <w:pPr>
              <w:rPr>
                <w:rFonts w:ascii="宋体"/>
                <w:vanish/>
              </w:rPr>
            </w:pPr>
          </w:p>
        </w:tc>
        <w:tc>
          <w:tcPr>
            <w:tcW w:w="0" w:type="auto"/>
            <w:gridSpan w:val="3"/>
            <w:shd w:val="clear" w:color="auto" w:fill="auto"/>
          </w:tcPr>
          <w:p w14:paraId="5EA1E6FC" w14:textId="77777777" w:rsidR="003C66EB" w:rsidRDefault="003C66EB">
            <w:pPr>
              <w:rPr>
                <w:rFonts w:ascii="宋体"/>
                <w:vanish/>
              </w:rPr>
            </w:pPr>
          </w:p>
        </w:tc>
        <w:tc>
          <w:tcPr>
            <w:tcW w:w="0" w:type="auto"/>
            <w:gridSpan w:val="3"/>
            <w:shd w:val="clear" w:color="auto" w:fill="auto"/>
          </w:tcPr>
          <w:p w14:paraId="5EA1E6FD" w14:textId="77777777" w:rsidR="003C66EB" w:rsidRDefault="003C66EB">
            <w:pPr>
              <w:rPr>
                <w:rFonts w:ascii="宋体"/>
                <w:vanish/>
              </w:rPr>
            </w:pPr>
          </w:p>
        </w:tc>
        <w:tc>
          <w:tcPr>
            <w:tcW w:w="0" w:type="auto"/>
            <w:gridSpan w:val="3"/>
            <w:shd w:val="clear" w:color="auto" w:fill="auto"/>
          </w:tcPr>
          <w:p w14:paraId="5EA1E6FE" w14:textId="77777777" w:rsidR="003C66EB" w:rsidRDefault="003C66EB">
            <w:pPr>
              <w:rPr>
                <w:rFonts w:ascii="宋体"/>
                <w:vanish/>
              </w:rPr>
            </w:pPr>
          </w:p>
        </w:tc>
        <w:tc>
          <w:tcPr>
            <w:tcW w:w="0" w:type="auto"/>
            <w:gridSpan w:val="3"/>
            <w:shd w:val="clear" w:color="auto" w:fill="auto"/>
          </w:tcPr>
          <w:p w14:paraId="5EA1E6FF" w14:textId="77777777" w:rsidR="003C66EB" w:rsidRDefault="003C66EB">
            <w:pPr>
              <w:rPr>
                <w:rFonts w:ascii="宋体"/>
                <w:vanish/>
              </w:rPr>
            </w:pPr>
          </w:p>
        </w:tc>
        <w:tc>
          <w:tcPr>
            <w:tcW w:w="0" w:type="auto"/>
            <w:gridSpan w:val="3"/>
            <w:shd w:val="clear" w:color="auto" w:fill="auto"/>
          </w:tcPr>
          <w:p w14:paraId="5EA1E700" w14:textId="77777777" w:rsidR="003C66EB" w:rsidRDefault="003C66EB">
            <w:pPr>
              <w:rPr>
                <w:rFonts w:ascii="宋体"/>
                <w:vanish/>
              </w:rPr>
            </w:pPr>
          </w:p>
        </w:tc>
        <w:tc>
          <w:tcPr>
            <w:tcW w:w="0" w:type="auto"/>
            <w:gridSpan w:val="3"/>
            <w:shd w:val="clear" w:color="auto" w:fill="auto"/>
          </w:tcPr>
          <w:p w14:paraId="5EA1E701" w14:textId="77777777" w:rsidR="003C66EB" w:rsidRDefault="003C66EB">
            <w:pPr>
              <w:rPr>
                <w:rFonts w:ascii="宋体"/>
                <w:vanish/>
              </w:rPr>
            </w:pPr>
          </w:p>
        </w:tc>
        <w:tc>
          <w:tcPr>
            <w:tcW w:w="0" w:type="auto"/>
            <w:gridSpan w:val="3"/>
            <w:shd w:val="clear" w:color="auto" w:fill="auto"/>
          </w:tcPr>
          <w:p w14:paraId="5EA1E702" w14:textId="77777777" w:rsidR="003C66EB" w:rsidRDefault="003C66EB">
            <w:pPr>
              <w:rPr>
                <w:rFonts w:ascii="宋体"/>
                <w:vanish/>
              </w:rPr>
            </w:pPr>
          </w:p>
        </w:tc>
        <w:tc>
          <w:tcPr>
            <w:tcW w:w="0" w:type="auto"/>
            <w:gridSpan w:val="3"/>
            <w:shd w:val="clear" w:color="auto" w:fill="auto"/>
          </w:tcPr>
          <w:p w14:paraId="5EA1E703" w14:textId="77777777" w:rsidR="003C66EB" w:rsidRDefault="003C66EB">
            <w:pPr>
              <w:rPr>
                <w:rFonts w:ascii="宋体"/>
                <w:vanish/>
              </w:rPr>
            </w:pPr>
          </w:p>
        </w:tc>
        <w:tc>
          <w:tcPr>
            <w:tcW w:w="0" w:type="auto"/>
            <w:gridSpan w:val="3"/>
            <w:shd w:val="clear" w:color="auto" w:fill="auto"/>
          </w:tcPr>
          <w:p w14:paraId="5EA1E704" w14:textId="77777777" w:rsidR="003C66EB" w:rsidRDefault="003C66EB">
            <w:pPr>
              <w:rPr>
                <w:rFonts w:ascii="宋体"/>
                <w:vanish/>
              </w:rPr>
            </w:pPr>
          </w:p>
        </w:tc>
        <w:tc>
          <w:tcPr>
            <w:tcW w:w="0" w:type="auto"/>
            <w:gridSpan w:val="3"/>
            <w:shd w:val="clear" w:color="auto" w:fill="auto"/>
          </w:tcPr>
          <w:p w14:paraId="5EA1E705" w14:textId="77777777" w:rsidR="003C66EB" w:rsidRDefault="003C66EB">
            <w:pPr>
              <w:rPr>
                <w:rFonts w:ascii="宋体"/>
                <w:vanish/>
              </w:rPr>
            </w:pPr>
          </w:p>
        </w:tc>
        <w:tc>
          <w:tcPr>
            <w:tcW w:w="0" w:type="auto"/>
            <w:gridSpan w:val="3"/>
            <w:shd w:val="clear" w:color="auto" w:fill="auto"/>
          </w:tcPr>
          <w:p w14:paraId="5EA1E706" w14:textId="77777777" w:rsidR="003C66EB" w:rsidRDefault="003C66EB">
            <w:pPr>
              <w:rPr>
                <w:rFonts w:ascii="宋体"/>
                <w:vanish/>
              </w:rPr>
            </w:pPr>
          </w:p>
        </w:tc>
        <w:tc>
          <w:tcPr>
            <w:tcW w:w="0" w:type="auto"/>
            <w:gridSpan w:val="3"/>
            <w:shd w:val="clear" w:color="auto" w:fill="auto"/>
          </w:tcPr>
          <w:p w14:paraId="5EA1E707" w14:textId="77777777" w:rsidR="003C66EB" w:rsidRDefault="003C66EB">
            <w:pPr>
              <w:rPr>
                <w:rFonts w:ascii="宋体"/>
                <w:vanish/>
              </w:rPr>
            </w:pPr>
          </w:p>
        </w:tc>
        <w:tc>
          <w:tcPr>
            <w:tcW w:w="0" w:type="auto"/>
            <w:gridSpan w:val="3"/>
            <w:shd w:val="clear" w:color="auto" w:fill="auto"/>
          </w:tcPr>
          <w:p w14:paraId="5EA1E708" w14:textId="77777777" w:rsidR="003C66EB" w:rsidRDefault="003C66EB">
            <w:pPr>
              <w:rPr>
                <w:rFonts w:ascii="宋体"/>
                <w:vanish/>
              </w:rPr>
            </w:pPr>
          </w:p>
        </w:tc>
        <w:tc>
          <w:tcPr>
            <w:tcW w:w="0" w:type="auto"/>
            <w:gridSpan w:val="3"/>
            <w:shd w:val="clear" w:color="auto" w:fill="auto"/>
          </w:tcPr>
          <w:p w14:paraId="5EA1E709" w14:textId="77777777" w:rsidR="003C66EB" w:rsidRDefault="003C66EB">
            <w:pPr>
              <w:rPr>
                <w:rFonts w:ascii="宋体"/>
                <w:vanish/>
              </w:rPr>
            </w:pPr>
          </w:p>
        </w:tc>
        <w:tc>
          <w:tcPr>
            <w:tcW w:w="0" w:type="auto"/>
            <w:gridSpan w:val="3"/>
            <w:shd w:val="clear" w:color="auto" w:fill="auto"/>
          </w:tcPr>
          <w:p w14:paraId="5EA1E70A" w14:textId="77777777" w:rsidR="003C66EB" w:rsidRDefault="003C66EB">
            <w:pPr>
              <w:rPr>
                <w:rFonts w:ascii="宋体"/>
                <w:vanish/>
              </w:rPr>
            </w:pPr>
          </w:p>
        </w:tc>
        <w:tc>
          <w:tcPr>
            <w:tcW w:w="0" w:type="auto"/>
            <w:gridSpan w:val="3"/>
            <w:shd w:val="clear" w:color="auto" w:fill="auto"/>
          </w:tcPr>
          <w:p w14:paraId="5EA1E70B" w14:textId="77777777" w:rsidR="003C66EB" w:rsidRDefault="003C66EB">
            <w:pPr>
              <w:rPr>
                <w:rFonts w:ascii="宋体"/>
                <w:vanish/>
              </w:rPr>
            </w:pPr>
          </w:p>
        </w:tc>
        <w:tc>
          <w:tcPr>
            <w:tcW w:w="0" w:type="auto"/>
            <w:gridSpan w:val="3"/>
            <w:shd w:val="clear" w:color="auto" w:fill="auto"/>
          </w:tcPr>
          <w:p w14:paraId="5EA1E70C" w14:textId="77777777" w:rsidR="003C66EB" w:rsidRDefault="003C66EB">
            <w:pPr>
              <w:rPr>
                <w:rFonts w:ascii="宋体"/>
                <w:vanish/>
              </w:rPr>
            </w:pPr>
          </w:p>
        </w:tc>
        <w:tc>
          <w:tcPr>
            <w:tcW w:w="0" w:type="auto"/>
            <w:gridSpan w:val="3"/>
            <w:shd w:val="clear" w:color="auto" w:fill="auto"/>
          </w:tcPr>
          <w:p w14:paraId="5EA1E70D" w14:textId="77777777" w:rsidR="003C66EB" w:rsidRDefault="003C66EB">
            <w:pPr>
              <w:rPr>
                <w:rFonts w:ascii="宋体"/>
                <w:vanish/>
              </w:rPr>
            </w:pPr>
          </w:p>
        </w:tc>
        <w:tc>
          <w:tcPr>
            <w:tcW w:w="0" w:type="auto"/>
            <w:gridSpan w:val="2"/>
            <w:shd w:val="clear" w:color="auto" w:fill="auto"/>
          </w:tcPr>
          <w:p w14:paraId="5EA1E70E" w14:textId="77777777" w:rsidR="003C66EB" w:rsidRDefault="003C66EB">
            <w:pPr>
              <w:rPr>
                <w:rFonts w:ascii="宋体"/>
                <w:vanish/>
              </w:rPr>
            </w:pPr>
          </w:p>
        </w:tc>
        <w:tc>
          <w:tcPr>
            <w:tcW w:w="0" w:type="auto"/>
            <w:shd w:val="clear" w:color="auto" w:fill="auto"/>
          </w:tcPr>
          <w:p w14:paraId="5EA1E70F" w14:textId="77777777" w:rsidR="003C66EB" w:rsidRDefault="003C66EB">
            <w:pPr>
              <w:rPr>
                <w:rFonts w:ascii="宋体"/>
                <w:vanish/>
              </w:rPr>
            </w:pPr>
          </w:p>
        </w:tc>
      </w:tr>
      <w:tr w:rsidR="003C66EB" w14:paraId="5EA1E727" w14:textId="77777777">
        <w:trPr>
          <w:hidden/>
        </w:trPr>
        <w:tc>
          <w:tcPr>
            <w:tcW w:w="0" w:type="auto"/>
            <w:gridSpan w:val="3"/>
            <w:shd w:val="clear" w:color="auto" w:fill="auto"/>
          </w:tcPr>
          <w:p w14:paraId="5EA1E711" w14:textId="77777777" w:rsidR="003C66EB" w:rsidRDefault="003C66EB">
            <w:pPr>
              <w:rPr>
                <w:rFonts w:ascii="宋体"/>
                <w:vanish/>
              </w:rPr>
            </w:pPr>
          </w:p>
        </w:tc>
        <w:tc>
          <w:tcPr>
            <w:tcW w:w="0" w:type="auto"/>
            <w:gridSpan w:val="3"/>
            <w:shd w:val="clear" w:color="auto" w:fill="auto"/>
          </w:tcPr>
          <w:p w14:paraId="5EA1E712" w14:textId="77777777" w:rsidR="003C66EB" w:rsidRDefault="003C66EB">
            <w:pPr>
              <w:rPr>
                <w:rFonts w:ascii="宋体"/>
                <w:vanish/>
              </w:rPr>
            </w:pPr>
          </w:p>
        </w:tc>
        <w:tc>
          <w:tcPr>
            <w:tcW w:w="0" w:type="auto"/>
            <w:gridSpan w:val="3"/>
            <w:shd w:val="clear" w:color="auto" w:fill="auto"/>
          </w:tcPr>
          <w:p w14:paraId="5EA1E713" w14:textId="77777777" w:rsidR="003C66EB" w:rsidRDefault="003C66EB">
            <w:pPr>
              <w:rPr>
                <w:rFonts w:ascii="宋体"/>
                <w:vanish/>
              </w:rPr>
            </w:pPr>
          </w:p>
        </w:tc>
        <w:tc>
          <w:tcPr>
            <w:tcW w:w="0" w:type="auto"/>
            <w:gridSpan w:val="3"/>
            <w:shd w:val="clear" w:color="auto" w:fill="auto"/>
          </w:tcPr>
          <w:p w14:paraId="5EA1E714" w14:textId="77777777" w:rsidR="003C66EB" w:rsidRDefault="003C66EB">
            <w:pPr>
              <w:rPr>
                <w:rFonts w:ascii="宋体"/>
                <w:vanish/>
              </w:rPr>
            </w:pPr>
          </w:p>
        </w:tc>
        <w:tc>
          <w:tcPr>
            <w:tcW w:w="0" w:type="auto"/>
            <w:gridSpan w:val="3"/>
            <w:shd w:val="clear" w:color="auto" w:fill="auto"/>
          </w:tcPr>
          <w:p w14:paraId="5EA1E715" w14:textId="77777777" w:rsidR="003C66EB" w:rsidRDefault="003C66EB">
            <w:pPr>
              <w:rPr>
                <w:rFonts w:ascii="宋体"/>
                <w:vanish/>
              </w:rPr>
            </w:pPr>
          </w:p>
        </w:tc>
        <w:tc>
          <w:tcPr>
            <w:tcW w:w="0" w:type="auto"/>
            <w:gridSpan w:val="3"/>
            <w:shd w:val="clear" w:color="auto" w:fill="auto"/>
          </w:tcPr>
          <w:p w14:paraId="5EA1E716" w14:textId="77777777" w:rsidR="003C66EB" w:rsidRDefault="003C66EB">
            <w:pPr>
              <w:rPr>
                <w:rFonts w:ascii="宋体"/>
                <w:vanish/>
              </w:rPr>
            </w:pPr>
          </w:p>
        </w:tc>
        <w:tc>
          <w:tcPr>
            <w:tcW w:w="0" w:type="auto"/>
            <w:gridSpan w:val="3"/>
            <w:shd w:val="clear" w:color="auto" w:fill="auto"/>
          </w:tcPr>
          <w:p w14:paraId="5EA1E717" w14:textId="77777777" w:rsidR="003C66EB" w:rsidRDefault="003C66EB">
            <w:pPr>
              <w:rPr>
                <w:rFonts w:ascii="宋体"/>
                <w:vanish/>
              </w:rPr>
            </w:pPr>
          </w:p>
        </w:tc>
        <w:tc>
          <w:tcPr>
            <w:tcW w:w="0" w:type="auto"/>
            <w:gridSpan w:val="3"/>
            <w:shd w:val="clear" w:color="auto" w:fill="auto"/>
          </w:tcPr>
          <w:p w14:paraId="5EA1E718" w14:textId="77777777" w:rsidR="003C66EB" w:rsidRDefault="003C66EB">
            <w:pPr>
              <w:rPr>
                <w:rFonts w:ascii="宋体"/>
                <w:vanish/>
              </w:rPr>
            </w:pPr>
          </w:p>
        </w:tc>
        <w:tc>
          <w:tcPr>
            <w:tcW w:w="0" w:type="auto"/>
            <w:gridSpan w:val="3"/>
            <w:shd w:val="clear" w:color="auto" w:fill="auto"/>
          </w:tcPr>
          <w:p w14:paraId="5EA1E719" w14:textId="77777777" w:rsidR="003C66EB" w:rsidRDefault="003C66EB">
            <w:pPr>
              <w:rPr>
                <w:rFonts w:ascii="宋体"/>
                <w:vanish/>
              </w:rPr>
            </w:pPr>
          </w:p>
        </w:tc>
        <w:tc>
          <w:tcPr>
            <w:tcW w:w="0" w:type="auto"/>
            <w:gridSpan w:val="3"/>
            <w:shd w:val="clear" w:color="auto" w:fill="auto"/>
          </w:tcPr>
          <w:p w14:paraId="5EA1E71A" w14:textId="77777777" w:rsidR="003C66EB" w:rsidRDefault="003C66EB">
            <w:pPr>
              <w:rPr>
                <w:rFonts w:ascii="宋体"/>
                <w:vanish/>
              </w:rPr>
            </w:pPr>
          </w:p>
        </w:tc>
        <w:tc>
          <w:tcPr>
            <w:tcW w:w="0" w:type="auto"/>
            <w:gridSpan w:val="3"/>
            <w:shd w:val="clear" w:color="auto" w:fill="auto"/>
          </w:tcPr>
          <w:p w14:paraId="5EA1E71B" w14:textId="77777777" w:rsidR="003C66EB" w:rsidRDefault="003C66EB">
            <w:pPr>
              <w:rPr>
                <w:rFonts w:ascii="宋体"/>
                <w:vanish/>
              </w:rPr>
            </w:pPr>
          </w:p>
        </w:tc>
        <w:tc>
          <w:tcPr>
            <w:tcW w:w="0" w:type="auto"/>
            <w:gridSpan w:val="3"/>
            <w:shd w:val="clear" w:color="auto" w:fill="auto"/>
          </w:tcPr>
          <w:p w14:paraId="5EA1E71C" w14:textId="77777777" w:rsidR="003C66EB" w:rsidRDefault="003C66EB">
            <w:pPr>
              <w:rPr>
                <w:rFonts w:ascii="宋体"/>
                <w:vanish/>
              </w:rPr>
            </w:pPr>
          </w:p>
        </w:tc>
        <w:tc>
          <w:tcPr>
            <w:tcW w:w="0" w:type="auto"/>
            <w:gridSpan w:val="3"/>
            <w:shd w:val="clear" w:color="auto" w:fill="auto"/>
          </w:tcPr>
          <w:p w14:paraId="5EA1E71D" w14:textId="77777777" w:rsidR="003C66EB" w:rsidRDefault="003C66EB">
            <w:pPr>
              <w:rPr>
                <w:rFonts w:ascii="宋体"/>
                <w:vanish/>
              </w:rPr>
            </w:pPr>
          </w:p>
        </w:tc>
        <w:tc>
          <w:tcPr>
            <w:tcW w:w="0" w:type="auto"/>
            <w:gridSpan w:val="3"/>
            <w:shd w:val="clear" w:color="auto" w:fill="auto"/>
          </w:tcPr>
          <w:p w14:paraId="5EA1E71E" w14:textId="77777777" w:rsidR="003C66EB" w:rsidRDefault="003C66EB">
            <w:pPr>
              <w:rPr>
                <w:rFonts w:ascii="宋体"/>
                <w:vanish/>
              </w:rPr>
            </w:pPr>
          </w:p>
        </w:tc>
        <w:tc>
          <w:tcPr>
            <w:tcW w:w="0" w:type="auto"/>
            <w:gridSpan w:val="3"/>
            <w:shd w:val="clear" w:color="auto" w:fill="auto"/>
          </w:tcPr>
          <w:p w14:paraId="5EA1E71F" w14:textId="77777777" w:rsidR="003C66EB" w:rsidRDefault="003C66EB">
            <w:pPr>
              <w:rPr>
                <w:rFonts w:ascii="宋体"/>
                <w:vanish/>
              </w:rPr>
            </w:pPr>
          </w:p>
        </w:tc>
        <w:tc>
          <w:tcPr>
            <w:tcW w:w="0" w:type="auto"/>
            <w:gridSpan w:val="3"/>
            <w:shd w:val="clear" w:color="auto" w:fill="auto"/>
          </w:tcPr>
          <w:p w14:paraId="5EA1E720" w14:textId="77777777" w:rsidR="003C66EB" w:rsidRDefault="003C66EB">
            <w:pPr>
              <w:rPr>
                <w:rFonts w:ascii="宋体"/>
                <w:vanish/>
              </w:rPr>
            </w:pPr>
          </w:p>
        </w:tc>
        <w:tc>
          <w:tcPr>
            <w:tcW w:w="0" w:type="auto"/>
            <w:gridSpan w:val="3"/>
            <w:shd w:val="clear" w:color="auto" w:fill="auto"/>
          </w:tcPr>
          <w:p w14:paraId="5EA1E721" w14:textId="77777777" w:rsidR="003C66EB" w:rsidRDefault="003C66EB">
            <w:pPr>
              <w:rPr>
                <w:rFonts w:ascii="宋体"/>
                <w:vanish/>
              </w:rPr>
            </w:pPr>
          </w:p>
        </w:tc>
        <w:tc>
          <w:tcPr>
            <w:tcW w:w="0" w:type="auto"/>
            <w:gridSpan w:val="3"/>
            <w:shd w:val="clear" w:color="auto" w:fill="auto"/>
          </w:tcPr>
          <w:p w14:paraId="5EA1E722" w14:textId="77777777" w:rsidR="003C66EB" w:rsidRDefault="003C66EB">
            <w:pPr>
              <w:rPr>
                <w:rFonts w:ascii="宋体"/>
                <w:vanish/>
              </w:rPr>
            </w:pPr>
          </w:p>
        </w:tc>
        <w:tc>
          <w:tcPr>
            <w:tcW w:w="0" w:type="auto"/>
            <w:gridSpan w:val="3"/>
            <w:shd w:val="clear" w:color="auto" w:fill="auto"/>
          </w:tcPr>
          <w:p w14:paraId="5EA1E723" w14:textId="77777777" w:rsidR="003C66EB" w:rsidRDefault="003C66EB">
            <w:pPr>
              <w:rPr>
                <w:rFonts w:ascii="宋体"/>
                <w:vanish/>
              </w:rPr>
            </w:pPr>
          </w:p>
        </w:tc>
        <w:tc>
          <w:tcPr>
            <w:tcW w:w="0" w:type="auto"/>
            <w:gridSpan w:val="3"/>
            <w:shd w:val="clear" w:color="auto" w:fill="auto"/>
          </w:tcPr>
          <w:p w14:paraId="5EA1E724" w14:textId="77777777" w:rsidR="003C66EB" w:rsidRDefault="003C66EB">
            <w:pPr>
              <w:rPr>
                <w:rFonts w:ascii="宋体"/>
                <w:vanish/>
              </w:rPr>
            </w:pPr>
          </w:p>
        </w:tc>
        <w:tc>
          <w:tcPr>
            <w:tcW w:w="0" w:type="auto"/>
            <w:gridSpan w:val="2"/>
            <w:shd w:val="clear" w:color="auto" w:fill="auto"/>
          </w:tcPr>
          <w:p w14:paraId="5EA1E725" w14:textId="77777777" w:rsidR="003C66EB" w:rsidRDefault="003C66EB">
            <w:pPr>
              <w:rPr>
                <w:rFonts w:ascii="宋体"/>
                <w:vanish/>
              </w:rPr>
            </w:pPr>
          </w:p>
        </w:tc>
        <w:tc>
          <w:tcPr>
            <w:tcW w:w="0" w:type="auto"/>
            <w:shd w:val="clear" w:color="auto" w:fill="auto"/>
          </w:tcPr>
          <w:p w14:paraId="5EA1E726" w14:textId="77777777" w:rsidR="003C66EB" w:rsidRDefault="003C66EB">
            <w:pPr>
              <w:rPr>
                <w:rFonts w:ascii="宋体"/>
                <w:vanish/>
              </w:rPr>
            </w:pPr>
          </w:p>
        </w:tc>
      </w:tr>
      <w:tr w:rsidR="003C66EB" w14:paraId="5EA1E73E" w14:textId="77777777">
        <w:trPr>
          <w:hidden/>
        </w:trPr>
        <w:tc>
          <w:tcPr>
            <w:tcW w:w="0" w:type="auto"/>
            <w:gridSpan w:val="3"/>
            <w:shd w:val="clear" w:color="auto" w:fill="auto"/>
          </w:tcPr>
          <w:p w14:paraId="5EA1E728" w14:textId="77777777" w:rsidR="003C66EB" w:rsidRDefault="003C66EB">
            <w:pPr>
              <w:rPr>
                <w:rFonts w:ascii="宋体"/>
                <w:vanish/>
              </w:rPr>
            </w:pPr>
          </w:p>
        </w:tc>
        <w:tc>
          <w:tcPr>
            <w:tcW w:w="0" w:type="auto"/>
            <w:gridSpan w:val="3"/>
            <w:shd w:val="clear" w:color="auto" w:fill="auto"/>
          </w:tcPr>
          <w:p w14:paraId="5EA1E729" w14:textId="77777777" w:rsidR="003C66EB" w:rsidRDefault="003C66EB">
            <w:pPr>
              <w:rPr>
                <w:rFonts w:ascii="宋体"/>
                <w:vanish/>
              </w:rPr>
            </w:pPr>
          </w:p>
        </w:tc>
        <w:tc>
          <w:tcPr>
            <w:tcW w:w="0" w:type="auto"/>
            <w:gridSpan w:val="3"/>
            <w:shd w:val="clear" w:color="auto" w:fill="auto"/>
          </w:tcPr>
          <w:p w14:paraId="5EA1E72A" w14:textId="77777777" w:rsidR="003C66EB" w:rsidRDefault="003C66EB">
            <w:pPr>
              <w:rPr>
                <w:rFonts w:ascii="宋体"/>
                <w:vanish/>
              </w:rPr>
            </w:pPr>
          </w:p>
        </w:tc>
        <w:tc>
          <w:tcPr>
            <w:tcW w:w="0" w:type="auto"/>
            <w:gridSpan w:val="3"/>
            <w:shd w:val="clear" w:color="auto" w:fill="auto"/>
          </w:tcPr>
          <w:p w14:paraId="5EA1E72B" w14:textId="77777777" w:rsidR="003C66EB" w:rsidRDefault="003C66EB">
            <w:pPr>
              <w:rPr>
                <w:rFonts w:ascii="宋体"/>
                <w:vanish/>
              </w:rPr>
            </w:pPr>
          </w:p>
        </w:tc>
        <w:tc>
          <w:tcPr>
            <w:tcW w:w="0" w:type="auto"/>
            <w:gridSpan w:val="3"/>
            <w:shd w:val="clear" w:color="auto" w:fill="auto"/>
          </w:tcPr>
          <w:p w14:paraId="5EA1E72C" w14:textId="77777777" w:rsidR="003C66EB" w:rsidRDefault="003C66EB">
            <w:pPr>
              <w:rPr>
                <w:rFonts w:ascii="宋体"/>
                <w:vanish/>
              </w:rPr>
            </w:pPr>
          </w:p>
        </w:tc>
        <w:tc>
          <w:tcPr>
            <w:tcW w:w="0" w:type="auto"/>
            <w:gridSpan w:val="3"/>
            <w:shd w:val="clear" w:color="auto" w:fill="auto"/>
          </w:tcPr>
          <w:p w14:paraId="5EA1E72D" w14:textId="77777777" w:rsidR="003C66EB" w:rsidRDefault="003C66EB">
            <w:pPr>
              <w:rPr>
                <w:rFonts w:ascii="宋体"/>
                <w:vanish/>
              </w:rPr>
            </w:pPr>
          </w:p>
        </w:tc>
        <w:tc>
          <w:tcPr>
            <w:tcW w:w="0" w:type="auto"/>
            <w:gridSpan w:val="3"/>
            <w:shd w:val="clear" w:color="auto" w:fill="auto"/>
          </w:tcPr>
          <w:p w14:paraId="5EA1E72E" w14:textId="77777777" w:rsidR="003C66EB" w:rsidRDefault="003C66EB">
            <w:pPr>
              <w:rPr>
                <w:rFonts w:ascii="宋体"/>
                <w:vanish/>
              </w:rPr>
            </w:pPr>
          </w:p>
        </w:tc>
        <w:tc>
          <w:tcPr>
            <w:tcW w:w="0" w:type="auto"/>
            <w:gridSpan w:val="3"/>
            <w:shd w:val="clear" w:color="auto" w:fill="auto"/>
          </w:tcPr>
          <w:p w14:paraId="5EA1E72F" w14:textId="77777777" w:rsidR="003C66EB" w:rsidRDefault="003C66EB">
            <w:pPr>
              <w:rPr>
                <w:rFonts w:ascii="宋体"/>
                <w:vanish/>
              </w:rPr>
            </w:pPr>
          </w:p>
        </w:tc>
        <w:tc>
          <w:tcPr>
            <w:tcW w:w="0" w:type="auto"/>
            <w:gridSpan w:val="3"/>
            <w:shd w:val="clear" w:color="auto" w:fill="auto"/>
          </w:tcPr>
          <w:p w14:paraId="5EA1E730" w14:textId="77777777" w:rsidR="003C66EB" w:rsidRDefault="003C66EB">
            <w:pPr>
              <w:rPr>
                <w:rFonts w:ascii="宋体"/>
                <w:vanish/>
              </w:rPr>
            </w:pPr>
          </w:p>
        </w:tc>
        <w:tc>
          <w:tcPr>
            <w:tcW w:w="0" w:type="auto"/>
            <w:gridSpan w:val="3"/>
            <w:shd w:val="clear" w:color="auto" w:fill="auto"/>
          </w:tcPr>
          <w:p w14:paraId="5EA1E731" w14:textId="77777777" w:rsidR="003C66EB" w:rsidRDefault="003C66EB">
            <w:pPr>
              <w:rPr>
                <w:rFonts w:ascii="宋体"/>
                <w:vanish/>
              </w:rPr>
            </w:pPr>
          </w:p>
        </w:tc>
        <w:tc>
          <w:tcPr>
            <w:tcW w:w="0" w:type="auto"/>
            <w:gridSpan w:val="3"/>
            <w:shd w:val="clear" w:color="auto" w:fill="auto"/>
          </w:tcPr>
          <w:p w14:paraId="5EA1E732" w14:textId="77777777" w:rsidR="003C66EB" w:rsidRDefault="003C66EB">
            <w:pPr>
              <w:rPr>
                <w:rFonts w:ascii="宋体"/>
                <w:vanish/>
              </w:rPr>
            </w:pPr>
          </w:p>
        </w:tc>
        <w:tc>
          <w:tcPr>
            <w:tcW w:w="0" w:type="auto"/>
            <w:gridSpan w:val="3"/>
            <w:shd w:val="clear" w:color="auto" w:fill="auto"/>
          </w:tcPr>
          <w:p w14:paraId="5EA1E733" w14:textId="77777777" w:rsidR="003C66EB" w:rsidRDefault="003C66EB">
            <w:pPr>
              <w:rPr>
                <w:rFonts w:ascii="宋体"/>
                <w:vanish/>
              </w:rPr>
            </w:pPr>
          </w:p>
        </w:tc>
        <w:tc>
          <w:tcPr>
            <w:tcW w:w="0" w:type="auto"/>
            <w:gridSpan w:val="3"/>
            <w:shd w:val="clear" w:color="auto" w:fill="auto"/>
          </w:tcPr>
          <w:p w14:paraId="5EA1E734" w14:textId="77777777" w:rsidR="003C66EB" w:rsidRDefault="003C66EB">
            <w:pPr>
              <w:rPr>
                <w:rFonts w:ascii="宋体"/>
                <w:vanish/>
              </w:rPr>
            </w:pPr>
          </w:p>
        </w:tc>
        <w:tc>
          <w:tcPr>
            <w:tcW w:w="0" w:type="auto"/>
            <w:gridSpan w:val="3"/>
            <w:shd w:val="clear" w:color="auto" w:fill="auto"/>
          </w:tcPr>
          <w:p w14:paraId="5EA1E735" w14:textId="77777777" w:rsidR="003C66EB" w:rsidRDefault="003C66EB">
            <w:pPr>
              <w:rPr>
                <w:rFonts w:ascii="宋体"/>
                <w:vanish/>
              </w:rPr>
            </w:pPr>
          </w:p>
        </w:tc>
        <w:tc>
          <w:tcPr>
            <w:tcW w:w="0" w:type="auto"/>
            <w:gridSpan w:val="3"/>
            <w:shd w:val="clear" w:color="auto" w:fill="auto"/>
          </w:tcPr>
          <w:p w14:paraId="5EA1E736" w14:textId="77777777" w:rsidR="003C66EB" w:rsidRDefault="003C66EB">
            <w:pPr>
              <w:rPr>
                <w:rFonts w:ascii="宋体"/>
                <w:vanish/>
              </w:rPr>
            </w:pPr>
          </w:p>
        </w:tc>
        <w:tc>
          <w:tcPr>
            <w:tcW w:w="0" w:type="auto"/>
            <w:gridSpan w:val="3"/>
            <w:shd w:val="clear" w:color="auto" w:fill="auto"/>
          </w:tcPr>
          <w:p w14:paraId="5EA1E737" w14:textId="77777777" w:rsidR="003C66EB" w:rsidRDefault="003C66EB">
            <w:pPr>
              <w:rPr>
                <w:rFonts w:ascii="宋体"/>
                <w:vanish/>
              </w:rPr>
            </w:pPr>
          </w:p>
        </w:tc>
        <w:tc>
          <w:tcPr>
            <w:tcW w:w="0" w:type="auto"/>
            <w:gridSpan w:val="3"/>
            <w:shd w:val="clear" w:color="auto" w:fill="auto"/>
          </w:tcPr>
          <w:p w14:paraId="5EA1E738" w14:textId="77777777" w:rsidR="003C66EB" w:rsidRDefault="003C66EB">
            <w:pPr>
              <w:rPr>
                <w:rFonts w:ascii="宋体"/>
                <w:vanish/>
              </w:rPr>
            </w:pPr>
          </w:p>
        </w:tc>
        <w:tc>
          <w:tcPr>
            <w:tcW w:w="0" w:type="auto"/>
            <w:gridSpan w:val="3"/>
            <w:shd w:val="clear" w:color="auto" w:fill="auto"/>
          </w:tcPr>
          <w:p w14:paraId="5EA1E739" w14:textId="77777777" w:rsidR="003C66EB" w:rsidRDefault="003C66EB">
            <w:pPr>
              <w:rPr>
                <w:rFonts w:ascii="宋体"/>
                <w:vanish/>
              </w:rPr>
            </w:pPr>
          </w:p>
        </w:tc>
        <w:tc>
          <w:tcPr>
            <w:tcW w:w="0" w:type="auto"/>
            <w:gridSpan w:val="3"/>
            <w:shd w:val="clear" w:color="auto" w:fill="auto"/>
          </w:tcPr>
          <w:p w14:paraId="5EA1E73A" w14:textId="77777777" w:rsidR="003C66EB" w:rsidRDefault="003C66EB">
            <w:pPr>
              <w:rPr>
                <w:rFonts w:ascii="宋体"/>
                <w:vanish/>
              </w:rPr>
            </w:pPr>
          </w:p>
        </w:tc>
        <w:tc>
          <w:tcPr>
            <w:tcW w:w="0" w:type="auto"/>
            <w:gridSpan w:val="3"/>
            <w:shd w:val="clear" w:color="auto" w:fill="auto"/>
          </w:tcPr>
          <w:p w14:paraId="5EA1E73B" w14:textId="77777777" w:rsidR="003C66EB" w:rsidRDefault="003C66EB">
            <w:pPr>
              <w:rPr>
                <w:rFonts w:ascii="宋体"/>
                <w:vanish/>
              </w:rPr>
            </w:pPr>
          </w:p>
        </w:tc>
        <w:tc>
          <w:tcPr>
            <w:tcW w:w="0" w:type="auto"/>
            <w:gridSpan w:val="2"/>
            <w:shd w:val="clear" w:color="auto" w:fill="auto"/>
          </w:tcPr>
          <w:p w14:paraId="5EA1E73C" w14:textId="77777777" w:rsidR="003C66EB" w:rsidRDefault="003C66EB">
            <w:pPr>
              <w:rPr>
                <w:rFonts w:ascii="宋体"/>
                <w:vanish/>
              </w:rPr>
            </w:pPr>
          </w:p>
        </w:tc>
        <w:tc>
          <w:tcPr>
            <w:tcW w:w="0" w:type="auto"/>
            <w:shd w:val="clear" w:color="auto" w:fill="auto"/>
          </w:tcPr>
          <w:p w14:paraId="5EA1E73D" w14:textId="77777777" w:rsidR="003C66EB" w:rsidRDefault="003C66EB">
            <w:pPr>
              <w:rPr>
                <w:rFonts w:ascii="宋体"/>
                <w:vanish/>
              </w:rPr>
            </w:pPr>
          </w:p>
        </w:tc>
      </w:tr>
      <w:tr w:rsidR="003C66EB" w14:paraId="5EA1E755" w14:textId="77777777">
        <w:trPr>
          <w:hidden/>
        </w:trPr>
        <w:tc>
          <w:tcPr>
            <w:tcW w:w="0" w:type="auto"/>
            <w:gridSpan w:val="3"/>
            <w:shd w:val="clear" w:color="auto" w:fill="auto"/>
          </w:tcPr>
          <w:p w14:paraId="5EA1E73F" w14:textId="77777777" w:rsidR="003C66EB" w:rsidRDefault="003C66EB">
            <w:pPr>
              <w:rPr>
                <w:rFonts w:ascii="宋体"/>
                <w:vanish/>
              </w:rPr>
            </w:pPr>
          </w:p>
        </w:tc>
        <w:tc>
          <w:tcPr>
            <w:tcW w:w="0" w:type="auto"/>
            <w:gridSpan w:val="3"/>
            <w:shd w:val="clear" w:color="auto" w:fill="auto"/>
          </w:tcPr>
          <w:p w14:paraId="5EA1E740" w14:textId="77777777" w:rsidR="003C66EB" w:rsidRDefault="003C66EB">
            <w:pPr>
              <w:rPr>
                <w:rFonts w:ascii="宋体"/>
                <w:vanish/>
              </w:rPr>
            </w:pPr>
          </w:p>
        </w:tc>
        <w:tc>
          <w:tcPr>
            <w:tcW w:w="0" w:type="auto"/>
            <w:gridSpan w:val="3"/>
            <w:shd w:val="clear" w:color="auto" w:fill="auto"/>
          </w:tcPr>
          <w:p w14:paraId="5EA1E741" w14:textId="77777777" w:rsidR="003C66EB" w:rsidRDefault="003C66EB">
            <w:pPr>
              <w:rPr>
                <w:rFonts w:ascii="宋体"/>
                <w:vanish/>
              </w:rPr>
            </w:pPr>
          </w:p>
        </w:tc>
        <w:tc>
          <w:tcPr>
            <w:tcW w:w="0" w:type="auto"/>
            <w:gridSpan w:val="3"/>
            <w:shd w:val="clear" w:color="auto" w:fill="auto"/>
          </w:tcPr>
          <w:p w14:paraId="5EA1E742" w14:textId="77777777" w:rsidR="003C66EB" w:rsidRDefault="003C66EB">
            <w:pPr>
              <w:rPr>
                <w:rFonts w:ascii="宋体"/>
                <w:vanish/>
              </w:rPr>
            </w:pPr>
          </w:p>
        </w:tc>
        <w:tc>
          <w:tcPr>
            <w:tcW w:w="0" w:type="auto"/>
            <w:gridSpan w:val="3"/>
            <w:shd w:val="clear" w:color="auto" w:fill="auto"/>
          </w:tcPr>
          <w:p w14:paraId="5EA1E743" w14:textId="77777777" w:rsidR="003C66EB" w:rsidRDefault="003C66EB">
            <w:pPr>
              <w:rPr>
                <w:rFonts w:ascii="宋体"/>
                <w:vanish/>
              </w:rPr>
            </w:pPr>
          </w:p>
        </w:tc>
        <w:tc>
          <w:tcPr>
            <w:tcW w:w="0" w:type="auto"/>
            <w:gridSpan w:val="3"/>
            <w:shd w:val="clear" w:color="auto" w:fill="auto"/>
          </w:tcPr>
          <w:p w14:paraId="5EA1E744" w14:textId="77777777" w:rsidR="003C66EB" w:rsidRDefault="003C66EB">
            <w:pPr>
              <w:rPr>
                <w:rFonts w:ascii="宋体"/>
                <w:vanish/>
              </w:rPr>
            </w:pPr>
          </w:p>
        </w:tc>
        <w:tc>
          <w:tcPr>
            <w:tcW w:w="0" w:type="auto"/>
            <w:gridSpan w:val="3"/>
            <w:shd w:val="clear" w:color="auto" w:fill="auto"/>
          </w:tcPr>
          <w:p w14:paraId="5EA1E745" w14:textId="77777777" w:rsidR="003C66EB" w:rsidRDefault="003C66EB">
            <w:pPr>
              <w:rPr>
                <w:rFonts w:ascii="宋体"/>
                <w:vanish/>
              </w:rPr>
            </w:pPr>
          </w:p>
        </w:tc>
        <w:tc>
          <w:tcPr>
            <w:tcW w:w="0" w:type="auto"/>
            <w:gridSpan w:val="3"/>
            <w:shd w:val="clear" w:color="auto" w:fill="auto"/>
          </w:tcPr>
          <w:p w14:paraId="5EA1E746" w14:textId="77777777" w:rsidR="003C66EB" w:rsidRDefault="003C66EB">
            <w:pPr>
              <w:rPr>
                <w:rFonts w:ascii="宋体"/>
                <w:vanish/>
              </w:rPr>
            </w:pPr>
          </w:p>
        </w:tc>
        <w:tc>
          <w:tcPr>
            <w:tcW w:w="0" w:type="auto"/>
            <w:gridSpan w:val="3"/>
            <w:shd w:val="clear" w:color="auto" w:fill="auto"/>
          </w:tcPr>
          <w:p w14:paraId="5EA1E747" w14:textId="77777777" w:rsidR="003C66EB" w:rsidRDefault="003C66EB">
            <w:pPr>
              <w:rPr>
                <w:rFonts w:ascii="宋体"/>
                <w:vanish/>
              </w:rPr>
            </w:pPr>
          </w:p>
        </w:tc>
        <w:tc>
          <w:tcPr>
            <w:tcW w:w="0" w:type="auto"/>
            <w:gridSpan w:val="3"/>
            <w:shd w:val="clear" w:color="auto" w:fill="auto"/>
          </w:tcPr>
          <w:p w14:paraId="5EA1E748" w14:textId="77777777" w:rsidR="003C66EB" w:rsidRDefault="003C66EB">
            <w:pPr>
              <w:rPr>
                <w:rFonts w:ascii="宋体"/>
                <w:vanish/>
              </w:rPr>
            </w:pPr>
          </w:p>
        </w:tc>
        <w:tc>
          <w:tcPr>
            <w:tcW w:w="0" w:type="auto"/>
            <w:gridSpan w:val="3"/>
            <w:shd w:val="clear" w:color="auto" w:fill="auto"/>
          </w:tcPr>
          <w:p w14:paraId="5EA1E749" w14:textId="77777777" w:rsidR="003C66EB" w:rsidRDefault="003C66EB">
            <w:pPr>
              <w:rPr>
                <w:rFonts w:ascii="宋体"/>
                <w:vanish/>
              </w:rPr>
            </w:pPr>
          </w:p>
        </w:tc>
        <w:tc>
          <w:tcPr>
            <w:tcW w:w="0" w:type="auto"/>
            <w:gridSpan w:val="3"/>
            <w:shd w:val="clear" w:color="auto" w:fill="auto"/>
          </w:tcPr>
          <w:p w14:paraId="5EA1E74A" w14:textId="77777777" w:rsidR="003C66EB" w:rsidRDefault="003C66EB">
            <w:pPr>
              <w:rPr>
                <w:rFonts w:ascii="宋体"/>
                <w:vanish/>
              </w:rPr>
            </w:pPr>
          </w:p>
        </w:tc>
        <w:tc>
          <w:tcPr>
            <w:tcW w:w="0" w:type="auto"/>
            <w:gridSpan w:val="3"/>
            <w:shd w:val="clear" w:color="auto" w:fill="auto"/>
          </w:tcPr>
          <w:p w14:paraId="5EA1E74B" w14:textId="77777777" w:rsidR="003C66EB" w:rsidRDefault="003C66EB">
            <w:pPr>
              <w:rPr>
                <w:rFonts w:ascii="宋体"/>
                <w:vanish/>
              </w:rPr>
            </w:pPr>
          </w:p>
        </w:tc>
        <w:tc>
          <w:tcPr>
            <w:tcW w:w="0" w:type="auto"/>
            <w:gridSpan w:val="3"/>
            <w:shd w:val="clear" w:color="auto" w:fill="auto"/>
          </w:tcPr>
          <w:p w14:paraId="5EA1E74C" w14:textId="77777777" w:rsidR="003C66EB" w:rsidRDefault="003C66EB">
            <w:pPr>
              <w:rPr>
                <w:rFonts w:ascii="宋体"/>
                <w:vanish/>
              </w:rPr>
            </w:pPr>
          </w:p>
        </w:tc>
        <w:tc>
          <w:tcPr>
            <w:tcW w:w="0" w:type="auto"/>
            <w:gridSpan w:val="3"/>
            <w:shd w:val="clear" w:color="auto" w:fill="auto"/>
          </w:tcPr>
          <w:p w14:paraId="5EA1E74D" w14:textId="77777777" w:rsidR="003C66EB" w:rsidRDefault="003C66EB">
            <w:pPr>
              <w:rPr>
                <w:rFonts w:ascii="宋体"/>
                <w:vanish/>
              </w:rPr>
            </w:pPr>
          </w:p>
        </w:tc>
        <w:tc>
          <w:tcPr>
            <w:tcW w:w="0" w:type="auto"/>
            <w:gridSpan w:val="3"/>
            <w:shd w:val="clear" w:color="auto" w:fill="auto"/>
          </w:tcPr>
          <w:p w14:paraId="5EA1E74E" w14:textId="77777777" w:rsidR="003C66EB" w:rsidRDefault="003C66EB">
            <w:pPr>
              <w:rPr>
                <w:rFonts w:ascii="宋体"/>
                <w:vanish/>
              </w:rPr>
            </w:pPr>
          </w:p>
        </w:tc>
        <w:tc>
          <w:tcPr>
            <w:tcW w:w="0" w:type="auto"/>
            <w:gridSpan w:val="3"/>
            <w:shd w:val="clear" w:color="auto" w:fill="auto"/>
          </w:tcPr>
          <w:p w14:paraId="5EA1E74F" w14:textId="77777777" w:rsidR="003C66EB" w:rsidRDefault="003C66EB">
            <w:pPr>
              <w:rPr>
                <w:rFonts w:ascii="宋体"/>
                <w:vanish/>
              </w:rPr>
            </w:pPr>
          </w:p>
        </w:tc>
        <w:tc>
          <w:tcPr>
            <w:tcW w:w="0" w:type="auto"/>
            <w:gridSpan w:val="3"/>
            <w:shd w:val="clear" w:color="auto" w:fill="auto"/>
          </w:tcPr>
          <w:p w14:paraId="5EA1E750" w14:textId="77777777" w:rsidR="003C66EB" w:rsidRDefault="003C66EB">
            <w:pPr>
              <w:rPr>
                <w:rFonts w:ascii="宋体"/>
                <w:vanish/>
              </w:rPr>
            </w:pPr>
          </w:p>
        </w:tc>
        <w:tc>
          <w:tcPr>
            <w:tcW w:w="0" w:type="auto"/>
            <w:gridSpan w:val="3"/>
            <w:shd w:val="clear" w:color="auto" w:fill="auto"/>
          </w:tcPr>
          <w:p w14:paraId="5EA1E751" w14:textId="77777777" w:rsidR="003C66EB" w:rsidRDefault="003C66EB">
            <w:pPr>
              <w:rPr>
                <w:rFonts w:ascii="宋体"/>
                <w:vanish/>
              </w:rPr>
            </w:pPr>
          </w:p>
        </w:tc>
        <w:tc>
          <w:tcPr>
            <w:tcW w:w="0" w:type="auto"/>
            <w:gridSpan w:val="3"/>
            <w:shd w:val="clear" w:color="auto" w:fill="auto"/>
          </w:tcPr>
          <w:p w14:paraId="5EA1E752" w14:textId="77777777" w:rsidR="003C66EB" w:rsidRDefault="003C66EB">
            <w:pPr>
              <w:rPr>
                <w:rFonts w:ascii="宋体"/>
                <w:vanish/>
              </w:rPr>
            </w:pPr>
          </w:p>
        </w:tc>
        <w:tc>
          <w:tcPr>
            <w:tcW w:w="0" w:type="auto"/>
            <w:gridSpan w:val="2"/>
            <w:shd w:val="clear" w:color="auto" w:fill="auto"/>
          </w:tcPr>
          <w:p w14:paraId="5EA1E753" w14:textId="77777777" w:rsidR="003C66EB" w:rsidRDefault="003C66EB">
            <w:pPr>
              <w:rPr>
                <w:rFonts w:ascii="宋体"/>
                <w:vanish/>
              </w:rPr>
            </w:pPr>
          </w:p>
        </w:tc>
        <w:tc>
          <w:tcPr>
            <w:tcW w:w="0" w:type="auto"/>
            <w:shd w:val="clear" w:color="auto" w:fill="auto"/>
          </w:tcPr>
          <w:p w14:paraId="5EA1E754" w14:textId="77777777" w:rsidR="003C66EB" w:rsidRDefault="003C66EB">
            <w:pPr>
              <w:rPr>
                <w:rFonts w:ascii="宋体"/>
                <w:vanish/>
              </w:rPr>
            </w:pPr>
          </w:p>
        </w:tc>
      </w:tr>
      <w:tr w:rsidR="003C66EB" w14:paraId="5EA1E76C" w14:textId="77777777">
        <w:trPr>
          <w:hidden/>
        </w:trPr>
        <w:tc>
          <w:tcPr>
            <w:tcW w:w="0" w:type="auto"/>
            <w:gridSpan w:val="3"/>
            <w:shd w:val="clear" w:color="auto" w:fill="auto"/>
          </w:tcPr>
          <w:p w14:paraId="5EA1E756" w14:textId="77777777" w:rsidR="003C66EB" w:rsidRDefault="003C66EB">
            <w:pPr>
              <w:rPr>
                <w:rFonts w:ascii="宋体"/>
                <w:vanish/>
              </w:rPr>
            </w:pPr>
          </w:p>
        </w:tc>
        <w:tc>
          <w:tcPr>
            <w:tcW w:w="0" w:type="auto"/>
            <w:gridSpan w:val="3"/>
            <w:shd w:val="clear" w:color="auto" w:fill="auto"/>
          </w:tcPr>
          <w:p w14:paraId="5EA1E757" w14:textId="77777777" w:rsidR="003C66EB" w:rsidRDefault="003C66EB">
            <w:pPr>
              <w:rPr>
                <w:rFonts w:ascii="宋体"/>
                <w:vanish/>
              </w:rPr>
            </w:pPr>
          </w:p>
        </w:tc>
        <w:tc>
          <w:tcPr>
            <w:tcW w:w="0" w:type="auto"/>
            <w:gridSpan w:val="3"/>
            <w:shd w:val="clear" w:color="auto" w:fill="auto"/>
          </w:tcPr>
          <w:p w14:paraId="5EA1E758" w14:textId="77777777" w:rsidR="003C66EB" w:rsidRDefault="003C66EB">
            <w:pPr>
              <w:rPr>
                <w:rFonts w:ascii="宋体"/>
                <w:vanish/>
              </w:rPr>
            </w:pPr>
          </w:p>
        </w:tc>
        <w:tc>
          <w:tcPr>
            <w:tcW w:w="0" w:type="auto"/>
            <w:gridSpan w:val="3"/>
            <w:shd w:val="clear" w:color="auto" w:fill="auto"/>
          </w:tcPr>
          <w:p w14:paraId="5EA1E759" w14:textId="77777777" w:rsidR="003C66EB" w:rsidRDefault="003C66EB">
            <w:pPr>
              <w:rPr>
                <w:rFonts w:ascii="宋体"/>
                <w:vanish/>
              </w:rPr>
            </w:pPr>
          </w:p>
        </w:tc>
        <w:tc>
          <w:tcPr>
            <w:tcW w:w="0" w:type="auto"/>
            <w:gridSpan w:val="3"/>
            <w:shd w:val="clear" w:color="auto" w:fill="auto"/>
          </w:tcPr>
          <w:p w14:paraId="5EA1E75A" w14:textId="77777777" w:rsidR="003C66EB" w:rsidRDefault="003C66EB">
            <w:pPr>
              <w:rPr>
                <w:rFonts w:ascii="宋体"/>
                <w:vanish/>
              </w:rPr>
            </w:pPr>
          </w:p>
        </w:tc>
        <w:tc>
          <w:tcPr>
            <w:tcW w:w="0" w:type="auto"/>
            <w:gridSpan w:val="3"/>
            <w:shd w:val="clear" w:color="auto" w:fill="auto"/>
          </w:tcPr>
          <w:p w14:paraId="5EA1E75B" w14:textId="77777777" w:rsidR="003C66EB" w:rsidRDefault="003C66EB">
            <w:pPr>
              <w:rPr>
                <w:rFonts w:ascii="宋体"/>
                <w:vanish/>
              </w:rPr>
            </w:pPr>
          </w:p>
        </w:tc>
        <w:tc>
          <w:tcPr>
            <w:tcW w:w="0" w:type="auto"/>
            <w:gridSpan w:val="3"/>
            <w:shd w:val="clear" w:color="auto" w:fill="auto"/>
          </w:tcPr>
          <w:p w14:paraId="5EA1E75C" w14:textId="77777777" w:rsidR="003C66EB" w:rsidRDefault="003C66EB">
            <w:pPr>
              <w:rPr>
                <w:rFonts w:ascii="宋体"/>
                <w:vanish/>
              </w:rPr>
            </w:pPr>
          </w:p>
        </w:tc>
        <w:tc>
          <w:tcPr>
            <w:tcW w:w="0" w:type="auto"/>
            <w:gridSpan w:val="3"/>
            <w:shd w:val="clear" w:color="auto" w:fill="auto"/>
          </w:tcPr>
          <w:p w14:paraId="5EA1E75D" w14:textId="77777777" w:rsidR="003C66EB" w:rsidRDefault="003C66EB">
            <w:pPr>
              <w:rPr>
                <w:rFonts w:ascii="宋体"/>
                <w:vanish/>
              </w:rPr>
            </w:pPr>
          </w:p>
        </w:tc>
        <w:tc>
          <w:tcPr>
            <w:tcW w:w="0" w:type="auto"/>
            <w:gridSpan w:val="3"/>
            <w:shd w:val="clear" w:color="auto" w:fill="auto"/>
          </w:tcPr>
          <w:p w14:paraId="5EA1E75E" w14:textId="77777777" w:rsidR="003C66EB" w:rsidRDefault="003C66EB">
            <w:pPr>
              <w:rPr>
                <w:rFonts w:ascii="宋体"/>
                <w:vanish/>
              </w:rPr>
            </w:pPr>
          </w:p>
        </w:tc>
        <w:tc>
          <w:tcPr>
            <w:tcW w:w="0" w:type="auto"/>
            <w:gridSpan w:val="3"/>
            <w:shd w:val="clear" w:color="auto" w:fill="auto"/>
          </w:tcPr>
          <w:p w14:paraId="5EA1E75F" w14:textId="77777777" w:rsidR="003C66EB" w:rsidRDefault="003C66EB">
            <w:pPr>
              <w:rPr>
                <w:rFonts w:ascii="宋体"/>
                <w:vanish/>
              </w:rPr>
            </w:pPr>
          </w:p>
        </w:tc>
        <w:tc>
          <w:tcPr>
            <w:tcW w:w="0" w:type="auto"/>
            <w:gridSpan w:val="3"/>
            <w:shd w:val="clear" w:color="auto" w:fill="auto"/>
          </w:tcPr>
          <w:p w14:paraId="5EA1E760" w14:textId="77777777" w:rsidR="003C66EB" w:rsidRDefault="003C66EB">
            <w:pPr>
              <w:rPr>
                <w:rFonts w:ascii="宋体"/>
                <w:vanish/>
              </w:rPr>
            </w:pPr>
          </w:p>
        </w:tc>
        <w:tc>
          <w:tcPr>
            <w:tcW w:w="0" w:type="auto"/>
            <w:gridSpan w:val="3"/>
            <w:shd w:val="clear" w:color="auto" w:fill="auto"/>
          </w:tcPr>
          <w:p w14:paraId="5EA1E761" w14:textId="77777777" w:rsidR="003C66EB" w:rsidRDefault="003C66EB">
            <w:pPr>
              <w:rPr>
                <w:rFonts w:ascii="宋体"/>
                <w:vanish/>
              </w:rPr>
            </w:pPr>
          </w:p>
        </w:tc>
        <w:tc>
          <w:tcPr>
            <w:tcW w:w="0" w:type="auto"/>
            <w:gridSpan w:val="3"/>
            <w:shd w:val="clear" w:color="auto" w:fill="auto"/>
          </w:tcPr>
          <w:p w14:paraId="5EA1E762" w14:textId="77777777" w:rsidR="003C66EB" w:rsidRDefault="003C66EB">
            <w:pPr>
              <w:rPr>
                <w:rFonts w:ascii="宋体"/>
                <w:vanish/>
              </w:rPr>
            </w:pPr>
          </w:p>
        </w:tc>
        <w:tc>
          <w:tcPr>
            <w:tcW w:w="0" w:type="auto"/>
            <w:gridSpan w:val="3"/>
            <w:shd w:val="clear" w:color="auto" w:fill="auto"/>
          </w:tcPr>
          <w:p w14:paraId="5EA1E763" w14:textId="77777777" w:rsidR="003C66EB" w:rsidRDefault="003C66EB">
            <w:pPr>
              <w:rPr>
                <w:rFonts w:ascii="宋体"/>
                <w:vanish/>
              </w:rPr>
            </w:pPr>
          </w:p>
        </w:tc>
        <w:tc>
          <w:tcPr>
            <w:tcW w:w="0" w:type="auto"/>
            <w:gridSpan w:val="3"/>
            <w:shd w:val="clear" w:color="auto" w:fill="auto"/>
          </w:tcPr>
          <w:p w14:paraId="5EA1E764" w14:textId="77777777" w:rsidR="003C66EB" w:rsidRDefault="003C66EB">
            <w:pPr>
              <w:rPr>
                <w:rFonts w:ascii="宋体"/>
                <w:vanish/>
              </w:rPr>
            </w:pPr>
          </w:p>
        </w:tc>
        <w:tc>
          <w:tcPr>
            <w:tcW w:w="0" w:type="auto"/>
            <w:gridSpan w:val="3"/>
            <w:shd w:val="clear" w:color="auto" w:fill="auto"/>
          </w:tcPr>
          <w:p w14:paraId="5EA1E765" w14:textId="77777777" w:rsidR="003C66EB" w:rsidRDefault="003C66EB">
            <w:pPr>
              <w:rPr>
                <w:rFonts w:ascii="宋体"/>
                <w:vanish/>
              </w:rPr>
            </w:pPr>
          </w:p>
        </w:tc>
        <w:tc>
          <w:tcPr>
            <w:tcW w:w="0" w:type="auto"/>
            <w:gridSpan w:val="3"/>
            <w:shd w:val="clear" w:color="auto" w:fill="auto"/>
          </w:tcPr>
          <w:p w14:paraId="5EA1E766" w14:textId="77777777" w:rsidR="003C66EB" w:rsidRDefault="003C66EB">
            <w:pPr>
              <w:rPr>
                <w:rFonts w:ascii="宋体"/>
                <w:vanish/>
              </w:rPr>
            </w:pPr>
          </w:p>
        </w:tc>
        <w:tc>
          <w:tcPr>
            <w:tcW w:w="0" w:type="auto"/>
            <w:gridSpan w:val="3"/>
            <w:shd w:val="clear" w:color="auto" w:fill="auto"/>
          </w:tcPr>
          <w:p w14:paraId="5EA1E767" w14:textId="77777777" w:rsidR="003C66EB" w:rsidRDefault="003C66EB">
            <w:pPr>
              <w:rPr>
                <w:rFonts w:ascii="宋体"/>
                <w:vanish/>
              </w:rPr>
            </w:pPr>
          </w:p>
        </w:tc>
        <w:tc>
          <w:tcPr>
            <w:tcW w:w="0" w:type="auto"/>
            <w:gridSpan w:val="3"/>
            <w:shd w:val="clear" w:color="auto" w:fill="auto"/>
          </w:tcPr>
          <w:p w14:paraId="5EA1E768" w14:textId="77777777" w:rsidR="003C66EB" w:rsidRDefault="003C66EB">
            <w:pPr>
              <w:rPr>
                <w:rFonts w:ascii="宋体"/>
                <w:vanish/>
              </w:rPr>
            </w:pPr>
          </w:p>
        </w:tc>
        <w:tc>
          <w:tcPr>
            <w:tcW w:w="0" w:type="auto"/>
            <w:gridSpan w:val="3"/>
            <w:shd w:val="clear" w:color="auto" w:fill="auto"/>
          </w:tcPr>
          <w:p w14:paraId="5EA1E769" w14:textId="77777777" w:rsidR="003C66EB" w:rsidRDefault="003C66EB">
            <w:pPr>
              <w:rPr>
                <w:rFonts w:ascii="宋体"/>
                <w:vanish/>
              </w:rPr>
            </w:pPr>
          </w:p>
        </w:tc>
        <w:tc>
          <w:tcPr>
            <w:tcW w:w="0" w:type="auto"/>
            <w:gridSpan w:val="2"/>
            <w:shd w:val="clear" w:color="auto" w:fill="auto"/>
          </w:tcPr>
          <w:p w14:paraId="5EA1E76A" w14:textId="77777777" w:rsidR="003C66EB" w:rsidRDefault="003C66EB">
            <w:pPr>
              <w:rPr>
                <w:rFonts w:ascii="宋体"/>
                <w:vanish/>
              </w:rPr>
            </w:pPr>
          </w:p>
        </w:tc>
        <w:tc>
          <w:tcPr>
            <w:tcW w:w="0" w:type="auto"/>
            <w:shd w:val="clear" w:color="auto" w:fill="auto"/>
          </w:tcPr>
          <w:p w14:paraId="5EA1E76B" w14:textId="77777777" w:rsidR="003C66EB" w:rsidRDefault="003C66EB">
            <w:pPr>
              <w:rPr>
                <w:rFonts w:ascii="宋体"/>
                <w:vanish/>
              </w:rPr>
            </w:pPr>
          </w:p>
        </w:tc>
      </w:tr>
      <w:tr w:rsidR="003C66EB" w14:paraId="5EA1E783" w14:textId="77777777">
        <w:trPr>
          <w:hidden/>
        </w:trPr>
        <w:tc>
          <w:tcPr>
            <w:tcW w:w="0" w:type="auto"/>
            <w:gridSpan w:val="3"/>
            <w:shd w:val="clear" w:color="auto" w:fill="auto"/>
          </w:tcPr>
          <w:p w14:paraId="5EA1E76D" w14:textId="77777777" w:rsidR="003C66EB" w:rsidRDefault="003C66EB">
            <w:pPr>
              <w:rPr>
                <w:rFonts w:ascii="宋体"/>
                <w:vanish/>
              </w:rPr>
            </w:pPr>
          </w:p>
        </w:tc>
        <w:tc>
          <w:tcPr>
            <w:tcW w:w="0" w:type="auto"/>
            <w:gridSpan w:val="3"/>
            <w:shd w:val="clear" w:color="auto" w:fill="auto"/>
          </w:tcPr>
          <w:p w14:paraId="5EA1E76E" w14:textId="77777777" w:rsidR="003C66EB" w:rsidRDefault="003C66EB">
            <w:pPr>
              <w:rPr>
                <w:rFonts w:ascii="宋体"/>
                <w:vanish/>
              </w:rPr>
            </w:pPr>
          </w:p>
        </w:tc>
        <w:tc>
          <w:tcPr>
            <w:tcW w:w="0" w:type="auto"/>
            <w:gridSpan w:val="3"/>
            <w:shd w:val="clear" w:color="auto" w:fill="auto"/>
          </w:tcPr>
          <w:p w14:paraId="5EA1E76F" w14:textId="77777777" w:rsidR="003C66EB" w:rsidRDefault="003C66EB">
            <w:pPr>
              <w:rPr>
                <w:rFonts w:ascii="宋体"/>
                <w:vanish/>
              </w:rPr>
            </w:pPr>
          </w:p>
        </w:tc>
        <w:tc>
          <w:tcPr>
            <w:tcW w:w="0" w:type="auto"/>
            <w:gridSpan w:val="3"/>
            <w:shd w:val="clear" w:color="auto" w:fill="auto"/>
          </w:tcPr>
          <w:p w14:paraId="5EA1E770" w14:textId="77777777" w:rsidR="003C66EB" w:rsidRDefault="003C66EB">
            <w:pPr>
              <w:rPr>
                <w:rFonts w:ascii="宋体"/>
                <w:vanish/>
              </w:rPr>
            </w:pPr>
          </w:p>
        </w:tc>
        <w:tc>
          <w:tcPr>
            <w:tcW w:w="0" w:type="auto"/>
            <w:gridSpan w:val="3"/>
            <w:shd w:val="clear" w:color="auto" w:fill="auto"/>
          </w:tcPr>
          <w:p w14:paraId="5EA1E771" w14:textId="77777777" w:rsidR="003C66EB" w:rsidRDefault="003C66EB">
            <w:pPr>
              <w:rPr>
                <w:rFonts w:ascii="宋体"/>
                <w:vanish/>
              </w:rPr>
            </w:pPr>
          </w:p>
        </w:tc>
        <w:tc>
          <w:tcPr>
            <w:tcW w:w="0" w:type="auto"/>
            <w:gridSpan w:val="3"/>
            <w:shd w:val="clear" w:color="auto" w:fill="auto"/>
          </w:tcPr>
          <w:p w14:paraId="5EA1E772" w14:textId="77777777" w:rsidR="003C66EB" w:rsidRDefault="003C66EB">
            <w:pPr>
              <w:rPr>
                <w:rFonts w:ascii="宋体"/>
                <w:vanish/>
              </w:rPr>
            </w:pPr>
          </w:p>
        </w:tc>
        <w:tc>
          <w:tcPr>
            <w:tcW w:w="0" w:type="auto"/>
            <w:gridSpan w:val="3"/>
            <w:shd w:val="clear" w:color="auto" w:fill="auto"/>
          </w:tcPr>
          <w:p w14:paraId="5EA1E773" w14:textId="77777777" w:rsidR="003C66EB" w:rsidRDefault="003C66EB">
            <w:pPr>
              <w:rPr>
                <w:rFonts w:ascii="宋体"/>
                <w:vanish/>
              </w:rPr>
            </w:pPr>
          </w:p>
        </w:tc>
        <w:tc>
          <w:tcPr>
            <w:tcW w:w="0" w:type="auto"/>
            <w:gridSpan w:val="3"/>
            <w:shd w:val="clear" w:color="auto" w:fill="auto"/>
          </w:tcPr>
          <w:p w14:paraId="5EA1E774" w14:textId="77777777" w:rsidR="003C66EB" w:rsidRDefault="003C66EB">
            <w:pPr>
              <w:rPr>
                <w:rFonts w:ascii="宋体"/>
                <w:vanish/>
              </w:rPr>
            </w:pPr>
          </w:p>
        </w:tc>
        <w:tc>
          <w:tcPr>
            <w:tcW w:w="0" w:type="auto"/>
            <w:gridSpan w:val="3"/>
            <w:shd w:val="clear" w:color="auto" w:fill="auto"/>
          </w:tcPr>
          <w:p w14:paraId="5EA1E775" w14:textId="77777777" w:rsidR="003C66EB" w:rsidRDefault="003C66EB">
            <w:pPr>
              <w:rPr>
                <w:rFonts w:ascii="宋体"/>
                <w:vanish/>
              </w:rPr>
            </w:pPr>
          </w:p>
        </w:tc>
        <w:tc>
          <w:tcPr>
            <w:tcW w:w="0" w:type="auto"/>
            <w:gridSpan w:val="3"/>
            <w:shd w:val="clear" w:color="auto" w:fill="auto"/>
          </w:tcPr>
          <w:p w14:paraId="5EA1E776" w14:textId="77777777" w:rsidR="003C66EB" w:rsidRDefault="003C66EB">
            <w:pPr>
              <w:rPr>
                <w:rFonts w:ascii="宋体"/>
                <w:vanish/>
              </w:rPr>
            </w:pPr>
          </w:p>
        </w:tc>
        <w:tc>
          <w:tcPr>
            <w:tcW w:w="0" w:type="auto"/>
            <w:gridSpan w:val="3"/>
            <w:shd w:val="clear" w:color="auto" w:fill="auto"/>
          </w:tcPr>
          <w:p w14:paraId="5EA1E777" w14:textId="77777777" w:rsidR="003C66EB" w:rsidRDefault="003C66EB">
            <w:pPr>
              <w:rPr>
                <w:rFonts w:ascii="宋体"/>
                <w:vanish/>
              </w:rPr>
            </w:pPr>
          </w:p>
        </w:tc>
        <w:tc>
          <w:tcPr>
            <w:tcW w:w="0" w:type="auto"/>
            <w:gridSpan w:val="3"/>
            <w:shd w:val="clear" w:color="auto" w:fill="auto"/>
          </w:tcPr>
          <w:p w14:paraId="5EA1E778" w14:textId="77777777" w:rsidR="003C66EB" w:rsidRDefault="003C66EB">
            <w:pPr>
              <w:rPr>
                <w:rFonts w:ascii="宋体"/>
                <w:vanish/>
              </w:rPr>
            </w:pPr>
          </w:p>
        </w:tc>
        <w:tc>
          <w:tcPr>
            <w:tcW w:w="0" w:type="auto"/>
            <w:gridSpan w:val="3"/>
            <w:shd w:val="clear" w:color="auto" w:fill="auto"/>
          </w:tcPr>
          <w:p w14:paraId="5EA1E779" w14:textId="77777777" w:rsidR="003C66EB" w:rsidRDefault="003C66EB">
            <w:pPr>
              <w:rPr>
                <w:rFonts w:ascii="宋体"/>
                <w:vanish/>
              </w:rPr>
            </w:pPr>
          </w:p>
        </w:tc>
        <w:tc>
          <w:tcPr>
            <w:tcW w:w="0" w:type="auto"/>
            <w:gridSpan w:val="3"/>
            <w:shd w:val="clear" w:color="auto" w:fill="auto"/>
          </w:tcPr>
          <w:p w14:paraId="5EA1E77A" w14:textId="77777777" w:rsidR="003C66EB" w:rsidRDefault="003C66EB">
            <w:pPr>
              <w:rPr>
                <w:rFonts w:ascii="宋体"/>
                <w:vanish/>
              </w:rPr>
            </w:pPr>
          </w:p>
        </w:tc>
        <w:tc>
          <w:tcPr>
            <w:tcW w:w="0" w:type="auto"/>
            <w:gridSpan w:val="3"/>
            <w:shd w:val="clear" w:color="auto" w:fill="auto"/>
          </w:tcPr>
          <w:p w14:paraId="5EA1E77B" w14:textId="77777777" w:rsidR="003C66EB" w:rsidRDefault="003C66EB">
            <w:pPr>
              <w:rPr>
                <w:rFonts w:ascii="宋体"/>
                <w:vanish/>
              </w:rPr>
            </w:pPr>
          </w:p>
        </w:tc>
        <w:tc>
          <w:tcPr>
            <w:tcW w:w="0" w:type="auto"/>
            <w:gridSpan w:val="3"/>
            <w:shd w:val="clear" w:color="auto" w:fill="auto"/>
          </w:tcPr>
          <w:p w14:paraId="5EA1E77C" w14:textId="77777777" w:rsidR="003C66EB" w:rsidRDefault="003C66EB">
            <w:pPr>
              <w:rPr>
                <w:rFonts w:ascii="宋体"/>
                <w:vanish/>
              </w:rPr>
            </w:pPr>
          </w:p>
        </w:tc>
        <w:tc>
          <w:tcPr>
            <w:tcW w:w="0" w:type="auto"/>
            <w:gridSpan w:val="3"/>
            <w:shd w:val="clear" w:color="auto" w:fill="auto"/>
          </w:tcPr>
          <w:p w14:paraId="5EA1E77D" w14:textId="77777777" w:rsidR="003C66EB" w:rsidRDefault="003C66EB">
            <w:pPr>
              <w:rPr>
                <w:rFonts w:ascii="宋体"/>
                <w:vanish/>
              </w:rPr>
            </w:pPr>
          </w:p>
        </w:tc>
        <w:tc>
          <w:tcPr>
            <w:tcW w:w="0" w:type="auto"/>
            <w:gridSpan w:val="3"/>
            <w:shd w:val="clear" w:color="auto" w:fill="auto"/>
          </w:tcPr>
          <w:p w14:paraId="5EA1E77E" w14:textId="77777777" w:rsidR="003C66EB" w:rsidRDefault="003C66EB">
            <w:pPr>
              <w:rPr>
                <w:rFonts w:ascii="宋体"/>
                <w:vanish/>
              </w:rPr>
            </w:pPr>
          </w:p>
        </w:tc>
        <w:tc>
          <w:tcPr>
            <w:tcW w:w="0" w:type="auto"/>
            <w:gridSpan w:val="3"/>
            <w:shd w:val="clear" w:color="auto" w:fill="auto"/>
          </w:tcPr>
          <w:p w14:paraId="5EA1E77F" w14:textId="77777777" w:rsidR="003C66EB" w:rsidRDefault="003C66EB">
            <w:pPr>
              <w:rPr>
                <w:rFonts w:ascii="宋体"/>
                <w:vanish/>
              </w:rPr>
            </w:pPr>
          </w:p>
        </w:tc>
        <w:tc>
          <w:tcPr>
            <w:tcW w:w="0" w:type="auto"/>
            <w:gridSpan w:val="3"/>
            <w:shd w:val="clear" w:color="auto" w:fill="auto"/>
          </w:tcPr>
          <w:p w14:paraId="5EA1E780" w14:textId="77777777" w:rsidR="003C66EB" w:rsidRDefault="003C66EB">
            <w:pPr>
              <w:rPr>
                <w:rFonts w:ascii="宋体"/>
                <w:vanish/>
              </w:rPr>
            </w:pPr>
          </w:p>
        </w:tc>
        <w:tc>
          <w:tcPr>
            <w:tcW w:w="0" w:type="auto"/>
            <w:gridSpan w:val="2"/>
            <w:shd w:val="clear" w:color="auto" w:fill="auto"/>
          </w:tcPr>
          <w:p w14:paraId="5EA1E781" w14:textId="77777777" w:rsidR="003C66EB" w:rsidRDefault="003C66EB">
            <w:pPr>
              <w:rPr>
                <w:rFonts w:ascii="宋体"/>
                <w:vanish/>
              </w:rPr>
            </w:pPr>
          </w:p>
        </w:tc>
        <w:tc>
          <w:tcPr>
            <w:tcW w:w="0" w:type="auto"/>
            <w:shd w:val="clear" w:color="auto" w:fill="auto"/>
          </w:tcPr>
          <w:p w14:paraId="5EA1E782" w14:textId="77777777" w:rsidR="003C66EB" w:rsidRDefault="003C66EB">
            <w:pPr>
              <w:rPr>
                <w:rFonts w:ascii="宋体"/>
                <w:vanish/>
              </w:rPr>
            </w:pPr>
          </w:p>
        </w:tc>
      </w:tr>
      <w:tr w:rsidR="003C66EB" w14:paraId="5EA1E79A" w14:textId="77777777">
        <w:trPr>
          <w:hidden/>
        </w:trPr>
        <w:tc>
          <w:tcPr>
            <w:tcW w:w="0" w:type="auto"/>
            <w:gridSpan w:val="3"/>
            <w:shd w:val="clear" w:color="auto" w:fill="auto"/>
          </w:tcPr>
          <w:p w14:paraId="5EA1E784" w14:textId="77777777" w:rsidR="003C66EB" w:rsidRDefault="003C66EB">
            <w:pPr>
              <w:rPr>
                <w:rFonts w:ascii="宋体"/>
                <w:vanish/>
              </w:rPr>
            </w:pPr>
          </w:p>
        </w:tc>
        <w:tc>
          <w:tcPr>
            <w:tcW w:w="0" w:type="auto"/>
            <w:gridSpan w:val="3"/>
            <w:shd w:val="clear" w:color="auto" w:fill="auto"/>
          </w:tcPr>
          <w:p w14:paraId="5EA1E785" w14:textId="77777777" w:rsidR="003C66EB" w:rsidRDefault="003C66EB">
            <w:pPr>
              <w:rPr>
                <w:rFonts w:ascii="宋体"/>
                <w:vanish/>
              </w:rPr>
            </w:pPr>
          </w:p>
        </w:tc>
        <w:tc>
          <w:tcPr>
            <w:tcW w:w="0" w:type="auto"/>
            <w:gridSpan w:val="3"/>
            <w:shd w:val="clear" w:color="auto" w:fill="auto"/>
          </w:tcPr>
          <w:p w14:paraId="5EA1E786" w14:textId="77777777" w:rsidR="003C66EB" w:rsidRDefault="003C66EB">
            <w:pPr>
              <w:rPr>
                <w:rFonts w:ascii="宋体"/>
                <w:vanish/>
              </w:rPr>
            </w:pPr>
          </w:p>
        </w:tc>
        <w:tc>
          <w:tcPr>
            <w:tcW w:w="0" w:type="auto"/>
            <w:gridSpan w:val="3"/>
            <w:shd w:val="clear" w:color="auto" w:fill="auto"/>
          </w:tcPr>
          <w:p w14:paraId="5EA1E787" w14:textId="77777777" w:rsidR="003C66EB" w:rsidRDefault="003C66EB">
            <w:pPr>
              <w:rPr>
                <w:rFonts w:ascii="宋体"/>
                <w:vanish/>
              </w:rPr>
            </w:pPr>
          </w:p>
        </w:tc>
        <w:tc>
          <w:tcPr>
            <w:tcW w:w="0" w:type="auto"/>
            <w:gridSpan w:val="3"/>
            <w:shd w:val="clear" w:color="auto" w:fill="auto"/>
          </w:tcPr>
          <w:p w14:paraId="5EA1E788" w14:textId="77777777" w:rsidR="003C66EB" w:rsidRDefault="003C66EB">
            <w:pPr>
              <w:rPr>
                <w:rFonts w:ascii="宋体"/>
                <w:vanish/>
              </w:rPr>
            </w:pPr>
          </w:p>
        </w:tc>
        <w:tc>
          <w:tcPr>
            <w:tcW w:w="0" w:type="auto"/>
            <w:gridSpan w:val="3"/>
            <w:shd w:val="clear" w:color="auto" w:fill="auto"/>
          </w:tcPr>
          <w:p w14:paraId="5EA1E789" w14:textId="77777777" w:rsidR="003C66EB" w:rsidRDefault="003C66EB">
            <w:pPr>
              <w:rPr>
                <w:rFonts w:ascii="宋体"/>
                <w:vanish/>
              </w:rPr>
            </w:pPr>
          </w:p>
        </w:tc>
        <w:tc>
          <w:tcPr>
            <w:tcW w:w="0" w:type="auto"/>
            <w:gridSpan w:val="3"/>
            <w:shd w:val="clear" w:color="auto" w:fill="auto"/>
          </w:tcPr>
          <w:p w14:paraId="5EA1E78A" w14:textId="77777777" w:rsidR="003C66EB" w:rsidRDefault="003C66EB">
            <w:pPr>
              <w:rPr>
                <w:rFonts w:ascii="宋体"/>
                <w:vanish/>
              </w:rPr>
            </w:pPr>
          </w:p>
        </w:tc>
        <w:tc>
          <w:tcPr>
            <w:tcW w:w="0" w:type="auto"/>
            <w:gridSpan w:val="3"/>
            <w:shd w:val="clear" w:color="auto" w:fill="auto"/>
          </w:tcPr>
          <w:p w14:paraId="5EA1E78B" w14:textId="77777777" w:rsidR="003C66EB" w:rsidRDefault="003C66EB">
            <w:pPr>
              <w:rPr>
                <w:rFonts w:ascii="宋体"/>
                <w:vanish/>
              </w:rPr>
            </w:pPr>
          </w:p>
        </w:tc>
        <w:tc>
          <w:tcPr>
            <w:tcW w:w="0" w:type="auto"/>
            <w:gridSpan w:val="3"/>
            <w:shd w:val="clear" w:color="auto" w:fill="auto"/>
          </w:tcPr>
          <w:p w14:paraId="5EA1E78C" w14:textId="77777777" w:rsidR="003C66EB" w:rsidRDefault="003C66EB">
            <w:pPr>
              <w:rPr>
                <w:rFonts w:ascii="宋体"/>
                <w:vanish/>
              </w:rPr>
            </w:pPr>
          </w:p>
        </w:tc>
        <w:tc>
          <w:tcPr>
            <w:tcW w:w="0" w:type="auto"/>
            <w:gridSpan w:val="3"/>
            <w:shd w:val="clear" w:color="auto" w:fill="auto"/>
          </w:tcPr>
          <w:p w14:paraId="5EA1E78D" w14:textId="77777777" w:rsidR="003C66EB" w:rsidRDefault="003C66EB">
            <w:pPr>
              <w:rPr>
                <w:rFonts w:ascii="宋体"/>
                <w:vanish/>
              </w:rPr>
            </w:pPr>
          </w:p>
        </w:tc>
        <w:tc>
          <w:tcPr>
            <w:tcW w:w="0" w:type="auto"/>
            <w:gridSpan w:val="3"/>
            <w:shd w:val="clear" w:color="auto" w:fill="auto"/>
          </w:tcPr>
          <w:p w14:paraId="5EA1E78E" w14:textId="77777777" w:rsidR="003C66EB" w:rsidRDefault="003C66EB">
            <w:pPr>
              <w:rPr>
                <w:rFonts w:ascii="宋体"/>
                <w:vanish/>
              </w:rPr>
            </w:pPr>
          </w:p>
        </w:tc>
        <w:tc>
          <w:tcPr>
            <w:tcW w:w="0" w:type="auto"/>
            <w:gridSpan w:val="3"/>
            <w:shd w:val="clear" w:color="auto" w:fill="auto"/>
          </w:tcPr>
          <w:p w14:paraId="5EA1E78F" w14:textId="77777777" w:rsidR="003C66EB" w:rsidRDefault="003C66EB">
            <w:pPr>
              <w:rPr>
                <w:rFonts w:ascii="宋体"/>
                <w:vanish/>
              </w:rPr>
            </w:pPr>
          </w:p>
        </w:tc>
        <w:tc>
          <w:tcPr>
            <w:tcW w:w="0" w:type="auto"/>
            <w:gridSpan w:val="3"/>
            <w:shd w:val="clear" w:color="auto" w:fill="auto"/>
          </w:tcPr>
          <w:p w14:paraId="5EA1E790" w14:textId="77777777" w:rsidR="003C66EB" w:rsidRDefault="003C66EB">
            <w:pPr>
              <w:rPr>
                <w:rFonts w:ascii="宋体"/>
                <w:vanish/>
              </w:rPr>
            </w:pPr>
          </w:p>
        </w:tc>
        <w:tc>
          <w:tcPr>
            <w:tcW w:w="0" w:type="auto"/>
            <w:gridSpan w:val="3"/>
            <w:shd w:val="clear" w:color="auto" w:fill="auto"/>
          </w:tcPr>
          <w:p w14:paraId="5EA1E791" w14:textId="77777777" w:rsidR="003C66EB" w:rsidRDefault="003C66EB">
            <w:pPr>
              <w:rPr>
                <w:rFonts w:ascii="宋体"/>
                <w:vanish/>
              </w:rPr>
            </w:pPr>
          </w:p>
        </w:tc>
        <w:tc>
          <w:tcPr>
            <w:tcW w:w="0" w:type="auto"/>
            <w:gridSpan w:val="3"/>
            <w:shd w:val="clear" w:color="auto" w:fill="auto"/>
          </w:tcPr>
          <w:p w14:paraId="5EA1E792" w14:textId="77777777" w:rsidR="003C66EB" w:rsidRDefault="003C66EB">
            <w:pPr>
              <w:rPr>
                <w:rFonts w:ascii="宋体"/>
                <w:vanish/>
              </w:rPr>
            </w:pPr>
          </w:p>
        </w:tc>
        <w:tc>
          <w:tcPr>
            <w:tcW w:w="0" w:type="auto"/>
            <w:gridSpan w:val="3"/>
            <w:shd w:val="clear" w:color="auto" w:fill="auto"/>
          </w:tcPr>
          <w:p w14:paraId="5EA1E793" w14:textId="77777777" w:rsidR="003C66EB" w:rsidRDefault="003C66EB">
            <w:pPr>
              <w:rPr>
                <w:rFonts w:ascii="宋体"/>
                <w:vanish/>
              </w:rPr>
            </w:pPr>
          </w:p>
        </w:tc>
        <w:tc>
          <w:tcPr>
            <w:tcW w:w="0" w:type="auto"/>
            <w:gridSpan w:val="3"/>
            <w:shd w:val="clear" w:color="auto" w:fill="auto"/>
          </w:tcPr>
          <w:p w14:paraId="5EA1E794" w14:textId="77777777" w:rsidR="003C66EB" w:rsidRDefault="003C66EB">
            <w:pPr>
              <w:rPr>
                <w:rFonts w:ascii="宋体"/>
                <w:vanish/>
              </w:rPr>
            </w:pPr>
          </w:p>
        </w:tc>
        <w:tc>
          <w:tcPr>
            <w:tcW w:w="0" w:type="auto"/>
            <w:gridSpan w:val="3"/>
            <w:shd w:val="clear" w:color="auto" w:fill="auto"/>
          </w:tcPr>
          <w:p w14:paraId="5EA1E795" w14:textId="77777777" w:rsidR="003C66EB" w:rsidRDefault="003C66EB">
            <w:pPr>
              <w:rPr>
                <w:rFonts w:ascii="宋体"/>
                <w:vanish/>
              </w:rPr>
            </w:pPr>
          </w:p>
        </w:tc>
        <w:tc>
          <w:tcPr>
            <w:tcW w:w="0" w:type="auto"/>
            <w:gridSpan w:val="3"/>
            <w:shd w:val="clear" w:color="auto" w:fill="auto"/>
          </w:tcPr>
          <w:p w14:paraId="5EA1E796" w14:textId="77777777" w:rsidR="003C66EB" w:rsidRDefault="003C66EB">
            <w:pPr>
              <w:rPr>
                <w:rFonts w:ascii="宋体"/>
                <w:vanish/>
              </w:rPr>
            </w:pPr>
          </w:p>
        </w:tc>
        <w:tc>
          <w:tcPr>
            <w:tcW w:w="0" w:type="auto"/>
            <w:gridSpan w:val="3"/>
            <w:shd w:val="clear" w:color="auto" w:fill="auto"/>
          </w:tcPr>
          <w:p w14:paraId="5EA1E797" w14:textId="77777777" w:rsidR="003C66EB" w:rsidRDefault="003C66EB">
            <w:pPr>
              <w:rPr>
                <w:rFonts w:ascii="宋体"/>
                <w:vanish/>
              </w:rPr>
            </w:pPr>
          </w:p>
        </w:tc>
        <w:tc>
          <w:tcPr>
            <w:tcW w:w="0" w:type="auto"/>
            <w:gridSpan w:val="2"/>
            <w:shd w:val="clear" w:color="auto" w:fill="auto"/>
          </w:tcPr>
          <w:p w14:paraId="5EA1E798" w14:textId="77777777" w:rsidR="003C66EB" w:rsidRDefault="003C66EB">
            <w:pPr>
              <w:rPr>
                <w:rFonts w:ascii="宋体"/>
                <w:vanish/>
              </w:rPr>
            </w:pPr>
          </w:p>
        </w:tc>
        <w:tc>
          <w:tcPr>
            <w:tcW w:w="0" w:type="auto"/>
            <w:shd w:val="clear" w:color="auto" w:fill="auto"/>
          </w:tcPr>
          <w:p w14:paraId="5EA1E799" w14:textId="77777777" w:rsidR="003C66EB" w:rsidRDefault="003C66EB">
            <w:pPr>
              <w:rPr>
                <w:rFonts w:ascii="宋体"/>
                <w:vanish/>
              </w:rPr>
            </w:pPr>
          </w:p>
        </w:tc>
      </w:tr>
      <w:tr w:rsidR="003C66EB" w14:paraId="5EA1E7B1" w14:textId="77777777">
        <w:trPr>
          <w:hidden/>
        </w:trPr>
        <w:tc>
          <w:tcPr>
            <w:tcW w:w="0" w:type="auto"/>
            <w:gridSpan w:val="3"/>
            <w:shd w:val="clear" w:color="auto" w:fill="auto"/>
          </w:tcPr>
          <w:p w14:paraId="5EA1E79B" w14:textId="77777777" w:rsidR="003C66EB" w:rsidRDefault="003C66EB">
            <w:pPr>
              <w:rPr>
                <w:rFonts w:ascii="宋体"/>
                <w:vanish/>
              </w:rPr>
            </w:pPr>
          </w:p>
        </w:tc>
        <w:tc>
          <w:tcPr>
            <w:tcW w:w="0" w:type="auto"/>
            <w:gridSpan w:val="3"/>
            <w:shd w:val="clear" w:color="auto" w:fill="auto"/>
          </w:tcPr>
          <w:p w14:paraId="5EA1E79C" w14:textId="77777777" w:rsidR="003C66EB" w:rsidRDefault="003C66EB">
            <w:pPr>
              <w:rPr>
                <w:rFonts w:ascii="宋体"/>
                <w:vanish/>
              </w:rPr>
            </w:pPr>
          </w:p>
        </w:tc>
        <w:tc>
          <w:tcPr>
            <w:tcW w:w="0" w:type="auto"/>
            <w:gridSpan w:val="3"/>
            <w:shd w:val="clear" w:color="auto" w:fill="auto"/>
          </w:tcPr>
          <w:p w14:paraId="5EA1E79D" w14:textId="77777777" w:rsidR="003C66EB" w:rsidRDefault="003C66EB">
            <w:pPr>
              <w:rPr>
                <w:rFonts w:ascii="宋体"/>
                <w:vanish/>
              </w:rPr>
            </w:pPr>
          </w:p>
        </w:tc>
        <w:tc>
          <w:tcPr>
            <w:tcW w:w="0" w:type="auto"/>
            <w:gridSpan w:val="3"/>
            <w:shd w:val="clear" w:color="auto" w:fill="auto"/>
          </w:tcPr>
          <w:p w14:paraId="5EA1E79E" w14:textId="77777777" w:rsidR="003C66EB" w:rsidRDefault="003C66EB">
            <w:pPr>
              <w:rPr>
                <w:rFonts w:ascii="宋体"/>
                <w:vanish/>
              </w:rPr>
            </w:pPr>
          </w:p>
        </w:tc>
        <w:tc>
          <w:tcPr>
            <w:tcW w:w="0" w:type="auto"/>
            <w:gridSpan w:val="3"/>
            <w:shd w:val="clear" w:color="auto" w:fill="auto"/>
          </w:tcPr>
          <w:p w14:paraId="5EA1E79F" w14:textId="77777777" w:rsidR="003C66EB" w:rsidRDefault="003C66EB">
            <w:pPr>
              <w:rPr>
                <w:rFonts w:ascii="宋体"/>
                <w:vanish/>
              </w:rPr>
            </w:pPr>
          </w:p>
        </w:tc>
        <w:tc>
          <w:tcPr>
            <w:tcW w:w="0" w:type="auto"/>
            <w:gridSpan w:val="3"/>
            <w:shd w:val="clear" w:color="auto" w:fill="auto"/>
          </w:tcPr>
          <w:p w14:paraId="5EA1E7A0" w14:textId="77777777" w:rsidR="003C66EB" w:rsidRDefault="003C66EB">
            <w:pPr>
              <w:rPr>
                <w:rFonts w:ascii="宋体"/>
                <w:vanish/>
              </w:rPr>
            </w:pPr>
          </w:p>
        </w:tc>
        <w:tc>
          <w:tcPr>
            <w:tcW w:w="0" w:type="auto"/>
            <w:gridSpan w:val="3"/>
            <w:shd w:val="clear" w:color="auto" w:fill="auto"/>
          </w:tcPr>
          <w:p w14:paraId="5EA1E7A1" w14:textId="77777777" w:rsidR="003C66EB" w:rsidRDefault="003C66EB">
            <w:pPr>
              <w:rPr>
                <w:rFonts w:ascii="宋体"/>
                <w:vanish/>
              </w:rPr>
            </w:pPr>
          </w:p>
        </w:tc>
        <w:tc>
          <w:tcPr>
            <w:tcW w:w="0" w:type="auto"/>
            <w:gridSpan w:val="3"/>
            <w:shd w:val="clear" w:color="auto" w:fill="auto"/>
          </w:tcPr>
          <w:p w14:paraId="5EA1E7A2" w14:textId="77777777" w:rsidR="003C66EB" w:rsidRDefault="003C66EB">
            <w:pPr>
              <w:rPr>
                <w:rFonts w:ascii="宋体"/>
                <w:vanish/>
              </w:rPr>
            </w:pPr>
          </w:p>
        </w:tc>
        <w:tc>
          <w:tcPr>
            <w:tcW w:w="0" w:type="auto"/>
            <w:gridSpan w:val="3"/>
            <w:shd w:val="clear" w:color="auto" w:fill="auto"/>
          </w:tcPr>
          <w:p w14:paraId="5EA1E7A3" w14:textId="77777777" w:rsidR="003C66EB" w:rsidRDefault="003C66EB">
            <w:pPr>
              <w:rPr>
                <w:rFonts w:ascii="宋体"/>
                <w:vanish/>
              </w:rPr>
            </w:pPr>
          </w:p>
        </w:tc>
        <w:tc>
          <w:tcPr>
            <w:tcW w:w="0" w:type="auto"/>
            <w:gridSpan w:val="3"/>
            <w:shd w:val="clear" w:color="auto" w:fill="auto"/>
          </w:tcPr>
          <w:p w14:paraId="5EA1E7A4" w14:textId="77777777" w:rsidR="003C66EB" w:rsidRDefault="003C66EB">
            <w:pPr>
              <w:rPr>
                <w:rFonts w:ascii="宋体"/>
                <w:vanish/>
              </w:rPr>
            </w:pPr>
          </w:p>
        </w:tc>
        <w:tc>
          <w:tcPr>
            <w:tcW w:w="0" w:type="auto"/>
            <w:gridSpan w:val="3"/>
            <w:shd w:val="clear" w:color="auto" w:fill="auto"/>
          </w:tcPr>
          <w:p w14:paraId="5EA1E7A5" w14:textId="77777777" w:rsidR="003C66EB" w:rsidRDefault="003C66EB">
            <w:pPr>
              <w:rPr>
                <w:rFonts w:ascii="宋体"/>
                <w:vanish/>
              </w:rPr>
            </w:pPr>
          </w:p>
        </w:tc>
        <w:tc>
          <w:tcPr>
            <w:tcW w:w="0" w:type="auto"/>
            <w:gridSpan w:val="3"/>
            <w:shd w:val="clear" w:color="auto" w:fill="auto"/>
          </w:tcPr>
          <w:p w14:paraId="5EA1E7A6" w14:textId="77777777" w:rsidR="003C66EB" w:rsidRDefault="003C66EB">
            <w:pPr>
              <w:rPr>
                <w:rFonts w:ascii="宋体"/>
                <w:vanish/>
              </w:rPr>
            </w:pPr>
          </w:p>
        </w:tc>
        <w:tc>
          <w:tcPr>
            <w:tcW w:w="0" w:type="auto"/>
            <w:gridSpan w:val="3"/>
            <w:shd w:val="clear" w:color="auto" w:fill="auto"/>
          </w:tcPr>
          <w:p w14:paraId="5EA1E7A7" w14:textId="77777777" w:rsidR="003C66EB" w:rsidRDefault="003C66EB">
            <w:pPr>
              <w:rPr>
                <w:rFonts w:ascii="宋体"/>
                <w:vanish/>
              </w:rPr>
            </w:pPr>
          </w:p>
        </w:tc>
        <w:tc>
          <w:tcPr>
            <w:tcW w:w="0" w:type="auto"/>
            <w:gridSpan w:val="3"/>
            <w:shd w:val="clear" w:color="auto" w:fill="auto"/>
          </w:tcPr>
          <w:p w14:paraId="5EA1E7A8" w14:textId="77777777" w:rsidR="003C66EB" w:rsidRDefault="003C66EB">
            <w:pPr>
              <w:rPr>
                <w:rFonts w:ascii="宋体"/>
                <w:vanish/>
              </w:rPr>
            </w:pPr>
          </w:p>
        </w:tc>
        <w:tc>
          <w:tcPr>
            <w:tcW w:w="0" w:type="auto"/>
            <w:gridSpan w:val="3"/>
            <w:shd w:val="clear" w:color="auto" w:fill="auto"/>
          </w:tcPr>
          <w:p w14:paraId="5EA1E7A9" w14:textId="77777777" w:rsidR="003C66EB" w:rsidRDefault="003C66EB">
            <w:pPr>
              <w:rPr>
                <w:rFonts w:ascii="宋体"/>
                <w:vanish/>
              </w:rPr>
            </w:pPr>
          </w:p>
        </w:tc>
        <w:tc>
          <w:tcPr>
            <w:tcW w:w="0" w:type="auto"/>
            <w:gridSpan w:val="3"/>
            <w:shd w:val="clear" w:color="auto" w:fill="auto"/>
          </w:tcPr>
          <w:p w14:paraId="5EA1E7AA" w14:textId="77777777" w:rsidR="003C66EB" w:rsidRDefault="003C66EB">
            <w:pPr>
              <w:rPr>
                <w:rFonts w:ascii="宋体"/>
                <w:vanish/>
              </w:rPr>
            </w:pPr>
          </w:p>
        </w:tc>
        <w:tc>
          <w:tcPr>
            <w:tcW w:w="0" w:type="auto"/>
            <w:gridSpan w:val="3"/>
            <w:shd w:val="clear" w:color="auto" w:fill="auto"/>
          </w:tcPr>
          <w:p w14:paraId="5EA1E7AB" w14:textId="77777777" w:rsidR="003C66EB" w:rsidRDefault="003C66EB">
            <w:pPr>
              <w:rPr>
                <w:rFonts w:ascii="宋体"/>
                <w:vanish/>
              </w:rPr>
            </w:pPr>
          </w:p>
        </w:tc>
        <w:tc>
          <w:tcPr>
            <w:tcW w:w="0" w:type="auto"/>
            <w:gridSpan w:val="3"/>
            <w:shd w:val="clear" w:color="auto" w:fill="auto"/>
          </w:tcPr>
          <w:p w14:paraId="5EA1E7AC" w14:textId="77777777" w:rsidR="003C66EB" w:rsidRDefault="003C66EB">
            <w:pPr>
              <w:rPr>
                <w:rFonts w:ascii="宋体"/>
                <w:vanish/>
              </w:rPr>
            </w:pPr>
          </w:p>
        </w:tc>
        <w:tc>
          <w:tcPr>
            <w:tcW w:w="0" w:type="auto"/>
            <w:gridSpan w:val="3"/>
            <w:shd w:val="clear" w:color="auto" w:fill="auto"/>
          </w:tcPr>
          <w:p w14:paraId="5EA1E7AD" w14:textId="77777777" w:rsidR="003C66EB" w:rsidRDefault="003C66EB">
            <w:pPr>
              <w:rPr>
                <w:rFonts w:ascii="宋体"/>
                <w:vanish/>
              </w:rPr>
            </w:pPr>
          </w:p>
        </w:tc>
        <w:tc>
          <w:tcPr>
            <w:tcW w:w="0" w:type="auto"/>
            <w:gridSpan w:val="3"/>
            <w:shd w:val="clear" w:color="auto" w:fill="auto"/>
          </w:tcPr>
          <w:p w14:paraId="5EA1E7AE" w14:textId="77777777" w:rsidR="003C66EB" w:rsidRDefault="003C66EB">
            <w:pPr>
              <w:rPr>
                <w:rFonts w:ascii="宋体"/>
                <w:vanish/>
              </w:rPr>
            </w:pPr>
          </w:p>
        </w:tc>
        <w:tc>
          <w:tcPr>
            <w:tcW w:w="0" w:type="auto"/>
            <w:gridSpan w:val="2"/>
            <w:shd w:val="clear" w:color="auto" w:fill="auto"/>
          </w:tcPr>
          <w:p w14:paraId="5EA1E7AF" w14:textId="77777777" w:rsidR="003C66EB" w:rsidRDefault="003C66EB">
            <w:pPr>
              <w:rPr>
                <w:rFonts w:ascii="宋体"/>
                <w:vanish/>
              </w:rPr>
            </w:pPr>
          </w:p>
        </w:tc>
        <w:tc>
          <w:tcPr>
            <w:tcW w:w="0" w:type="auto"/>
            <w:shd w:val="clear" w:color="auto" w:fill="auto"/>
          </w:tcPr>
          <w:p w14:paraId="5EA1E7B0" w14:textId="77777777" w:rsidR="003C66EB" w:rsidRDefault="003C66EB">
            <w:pPr>
              <w:rPr>
                <w:rFonts w:ascii="宋体"/>
                <w:vanish/>
              </w:rPr>
            </w:pPr>
          </w:p>
        </w:tc>
      </w:tr>
      <w:tr w:rsidR="003C66EB" w14:paraId="5EA1E7C8" w14:textId="77777777">
        <w:trPr>
          <w:hidden/>
        </w:trPr>
        <w:tc>
          <w:tcPr>
            <w:tcW w:w="0" w:type="auto"/>
            <w:gridSpan w:val="3"/>
            <w:shd w:val="clear" w:color="auto" w:fill="auto"/>
          </w:tcPr>
          <w:p w14:paraId="5EA1E7B2" w14:textId="77777777" w:rsidR="003C66EB" w:rsidRDefault="003C66EB">
            <w:pPr>
              <w:rPr>
                <w:rFonts w:ascii="宋体"/>
                <w:vanish/>
              </w:rPr>
            </w:pPr>
          </w:p>
        </w:tc>
        <w:tc>
          <w:tcPr>
            <w:tcW w:w="0" w:type="auto"/>
            <w:gridSpan w:val="3"/>
            <w:shd w:val="clear" w:color="auto" w:fill="auto"/>
          </w:tcPr>
          <w:p w14:paraId="5EA1E7B3" w14:textId="77777777" w:rsidR="003C66EB" w:rsidRDefault="003C66EB">
            <w:pPr>
              <w:rPr>
                <w:rFonts w:ascii="宋体"/>
                <w:vanish/>
              </w:rPr>
            </w:pPr>
          </w:p>
        </w:tc>
        <w:tc>
          <w:tcPr>
            <w:tcW w:w="0" w:type="auto"/>
            <w:gridSpan w:val="3"/>
            <w:shd w:val="clear" w:color="auto" w:fill="auto"/>
          </w:tcPr>
          <w:p w14:paraId="5EA1E7B4" w14:textId="77777777" w:rsidR="003C66EB" w:rsidRDefault="003C66EB">
            <w:pPr>
              <w:rPr>
                <w:rFonts w:ascii="宋体"/>
                <w:vanish/>
              </w:rPr>
            </w:pPr>
          </w:p>
        </w:tc>
        <w:tc>
          <w:tcPr>
            <w:tcW w:w="0" w:type="auto"/>
            <w:gridSpan w:val="3"/>
            <w:shd w:val="clear" w:color="auto" w:fill="auto"/>
          </w:tcPr>
          <w:p w14:paraId="5EA1E7B5" w14:textId="77777777" w:rsidR="003C66EB" w:rsidRDefault="003C66EB">
            <w:pPr>
              <w:rPr>
                <w:rFonts w:ascii="宋体"/>
                <w:vanish/>
              </w:rPr>
            </w:pPr>
          </w:p>
        </w:tc>
        <w:tc>
          <w:tcPr>
            <w:tcW w:w="0" w:type="auto"/>
            <w:gridSpan w:val="3"/>
            <w:shd w:val="clear" w:color="auto" w:fill="auto"/>
          </w:tcPr>
          <w:p w14:paraId="5EA1E7B6" w14:textId="77777777" w:rsidR="003C66EB" w:rsidRDefault="003C66EB">
            <w:pPr>
              <w:rPr>
                <w:rFonts w:ascii="宋体"/>
                <w:vanish/>
              </w:rPr>
            </w:pPr>
          </w:p>
        </w:tc>
        <w:tc>
          <w:tcPr>
            <w:tcW w:w="0" w:type="auto"/>
            <w:gridSpan w:val="3"/>
            <w:shd w:val="clear" w:color="auto" w:fill="auto"/>
          </w:tcPr>
          <w:p w14:paraId="5EA1E7B7" w14:textId="77777777" w:rsidR="003C66EB" w:rsidRDefault="003C66EB">
            <w:pPr>
              <w:rPr>
                <w:rFonts w:ascii="宋体"/>
                <w:vanish/>
              </w:rPr>
            </w:pPr>
          </w:p>
        </w:tc>
        <w:tc>
          <w:tcPr>
            <w:tcW w:w="0" w:type="auto"/>
            <w:gridSpan w:val="3"/>
            <w:shd w:val="clear" w:color="auto" w:fill="auto"/>
          </w:tcPr>
          <w:p w14:paraId="5EA1E7B8" w14:textId="77777777" w:rsidR="003C66EB" w:rsidRDefault="003C66EB">
            <w:pPr>
              <w:rPr>
                <w:rFonts w:ascii="宋体"/>
                <w:vanish/>
              </w:rPr>
            </w:pPr>
          </w:p>
        </w:tc>
        <w:tc>
          <w:tcPr>
            <w:tcW w:w="0" w:type="auto"/>
            <w:gridSpan w:val="3"/>
            <w:shd w:val="clear" w:color="auto" w:fill="auto"/>
          </w:tcPr>
          <w:p w14:paraId="5EA1E7B9" w14:textId="77777777" w:rsidR="003C66EB" w:rsidRDefault="003C66EB">
            <w:pPr>
              <w:rPr>
                <w:rFonts w:ascii="宋体"/>
                <w:vanish/>
              </w:rPr>
            </w:pPr>
          </w:p>
        </w:tc>
        <w:tc>
          <w:tcPr>
            <w:tcW w:w="0" w:type="auto"/>
            <w:gridSpan w:val="3"/>
            <w:shd w:val="clear" w:color="auto" w:fill="auto"/>
          </w:tcPr>
          <w:p w14:paraId="5EA1E7BA" w14:textId="77777777" w:rsidR="003C66EB" w:rsidRDefault="003C66EB">
            <w:pPr>
              <w:rPr>
                <w:rFonts w:ascii="宋体"/>
                <w:vanish/>
              </w:rPr>
            </w:pPr>
          </w:p>
        </w:tc>
        <w:tc>
          <w:tcPr>
            <w:tcW w:w="0" w:type="auto"/>
            <w:gridSpan w:val="3"/>
            <w:shd w:val="clear" w:color="auto" w:fill="auto"/>
          </w:tcPr>
          <w:p w14:paraId="5EA1E7BB" w14:textId="77777777" w:rsidR="003C66EB" w:rsidRDefault="003C66EB">
            <w:pPr>
              <w:rPr>
                <w:rFonts w:ascii="宋体"/>
                <w:vanish/>
              </w:rPr>
            </w:pPr>
          </w:p>
        </w:tc>
        <w:tc>
          <w:tcPr>
            <w:tcW w:w="0" w:type="auto"/>
            <w:gridSpan w:val="3"/>
            <w:shd w:val="clear" w:color="auto" w:fill="auto"/>
          </w:tcPr>
          <w:p w14:paraId="5EA1E7BC" w14:textId="77777777" w:rsidR="003C66EB" w:rsidRDefault="003C66EB">
            <w:pPr>
              <w:rPr>
                <w:rFonts w:ascii="宋体"/>
                <w:vanish/>
              </w:rPr>
            </w:pPr>
          </w:p>
        </w:tc>
        <w:tc>
          <w:tcPr>
            <w:tcW w:w="0" w:type="auto"/>
            <w:gridSpan w:val="3"/>
            <w:shd w:val="clear" w:color="auto" w:fill="auto"/>
          </w:tcPr>
          <w:p w14:paraId="5EA1E7BD" w14:textId="77777777" w:rsidR="003C66EB" w:rsidRDefault="003C66EB">
            <w:pPr>
              <w:rPr>
                <w:rFonts w:ascii="宋体"/>
                <w:vanish/>
              </w:rPr>
            </w:pPr>
          </w:p>
        </w:tc>
        <w:tc>
          <w:tcPr>
            <w:tcW w:w="0" w:type="auto"/>
            <w:gridSpan w:val="3"/>
            <w:shd w:val="clear" w:color="auto" w:fill="auto"/>
          </w:tcPr>
          <w:p w14:paraId="5EA1E7BE" w14:textId="77777777" w:rsidR="003C66EB" w:rsidRDefault="003C66EB">
            <w:pPr>
              <w:rPr>
                <w:rFonts w:ascii="宋体"/>
                <w:vanish/>
              </w:rPr>
            </w:pPr>
          </w:p>
        </w:tc>
        <w:tc>
          <w:tcPr>
            <w:tcW w:w="0" w:type="auto"/>
            <w:gridSpan w:val="3"/>
            <w:shd w:val="clear" w:color="auto" w:fill="auto"/>
          </w:tcPr>
          <w:p w14:paraId="5EA1E7BF" w14:textId="77777777" w:rsidR="003C66EB" w:rsidRDefault="003C66EB">
            <w:pPr>
              <w:rPr>
                <w:rFonts w:ascii="宋体"/>
                <w:vanish/>
              </w:rPr>
            </w:pPr>
          </w:p>
        </w:tc>
        <w:tc>
          <w:tcPr>
            <w:tcW w:w="0" w:type="auto"/>
            <w:gridSpan w:val="3"/>
            <w:shd w:val="clear" w:color="auto" w:fill="auto"/>
          </w:tcPr>
          <w:p w14:paraId="5EA1E7C0" w14:textId="77777777" w:rsidR="003C66EB" w:rsidRDefault="003C66EB">
            <w:pPr>
              <w:rPr>
                <w:rFonts w:ascii="宋体"/>
                <w:vanish/>
              </w:rPr>
            </w:pPr>
          </w:p>
        </w:tc>
        <w:tc>
          <w:tcPr>
            <w:tcW w:w="0" w:type="auto"/>
            <w:gridSpan w:val="3"/>
            <w:shd w:val="clear" w:color="auto" w:fill="auto"/>
          </w:tcPr>
          <w:p w14:paraId="5EA1E7C1" w14:textId="77777777" w:rsidR="003C66EB" w:rsidRDefault="003C66EB">
            <w:pPr>
              <w:rPr>
                <w:rFonts w:ascii="宋体"/>
                <w:vanish/>
              </w:rPr>
            </w:pPr>
          </w:p>
        </w:tc>
        <w:tc>
          <w:tcPr>
            <w:tcW w:w="0" w:type="auto"/>
            <w:gridSpan w:val="3"/>
            <w:shd w:val="clear" w:color="auto" w:fill="auto"/>
          </w:tcPr>
          <w:p w14:paraId="5EA1E7C2" w14:textId="77777777" w:rsidR="003C66EB" w:rsidRDefault="003C66EB">
            <w:pPr>
              <w:rPr>
                <w:rFonts w:ascii="宋体"/>
                <w:vanish/>
              </w:rPr>
            </w:pPr>
          </w:p>
        </w:tc>
        <w:tc>
          <w:tcPr>
            <w:tcW w:w="0" w:type="auto"/>
            <w:gridSpan w:val="3"/>
            <w:shd w:val="clear" w:color="auto" w:fill="auto"/>
          </w:tcPr>
          <w:p w14:paraId="5EA1E7C3" w14:textId="77777777" w:rsidR="003C66EB" w:rsidRDefault="003C66EB">
            <w:pPr>
              <w:rPr>
                <w:rFonts w:ascii="宋体"/>
                <w:vanish/>
              </w:rPr>
            </w:pPr>
          </w:p>
        </w:tc>
        <w:tc>
          <w:tcPr>
            <w:tcW w:w="0" w:type="auto"/>
            <w:gridSpan w:val="3"/>
            <w:shd w:val="clear" w:color="auto" w:fill="auto"/>
          </w:tcPr>
          <w:p w14:paraId="5EA1E7C4" w14:textId="77777777" w:rsidR="003C66EB" w:rsidRDefault="003C66EB">
            <w:pPr>
              <w:rPr>
                <w:rFonts w:ascii="宋体"/>
                <w:vanish/>
              </w:rPr>
            </w:pPr>
          </w:p>
        </w:tc>
        <w:tc>
          <w:tcPr>
            <w:tcW w:w="0" w:type="auto"/>
            <w:gridSpan w:val="3"/>
            <w:shd w:val="clear" w:color="auto" w:fill="auto"/>
          </w:tcPr>
          <w:p w14:paraId="5EA1E7C5" w14:textId="77777777" w:rsidR="003C66EB" w:rsidRDefault="003C66EB">
            <w:pPr>
              <w:rPr>
                <w:rFonts w:ascii="宋体"/>
                <w:vanish/>
              </w:rPr>
            </w:pPr>
          </w:p>
        </w:tc>
        <w:tc>
          <w:tcPr>
            <w:tcW w:w="0" w:type="auto"/>
            <w:gridSpan w:val="2"/>
            <w:shd w:val="clear" w:color="auto" w:fill="auto"/>
          </w:tcPr>
          <w:p w14:paraId="5EA1E7C6" w14:textId="77777777" w:rsidR="003C66EB" w:rsidRDefault="003C66EB">
            <w:pPr>
              <w:rPr>
                <w:rFonts w:ascii="宋体"/>
                <w:vanish/>
              </w:rPr>
            </w:pPr>
          </w:p>
        </w:tc>
        <w:tc>
          <w:tcPr>
            <w:tcW w:w="0" w:type="auto"/>
            <w:shd w:val="clear" w:color="auto" w:fill="auto"/>
          </w:tcPr>
          <w:p w14:paraId="5EA1E7C7" w14:textId="77777777" w:rsidR="003C66EB" w:rsidRDefault="003C66EB">
            <w:pPr>
              <w:rPr>
                <w:rFonts w:ascii="宋体"/>
                <w:vanish/>
              </w:rPr>
            </w:pPr>
          </w:p>
        </w:tc>
      </w:tr>
      <w:tr w:rsidR="003C66EB" w14:paraId="5EA1E7DF" w14:textId="77777777">
        <w:trPr>
          <w:hidden/>
        </w:trPr>
        <w:tc>
          <w:tcPr>
            <w:tcW w:w="0" w:type="auto"/>
            <w:gridSpan w:val="3"/>
            <w:shd w:val="clear" w:color="auto" w:fill="auto"/>
          </w:tcPr>
          <w:p w14:paraId="5EA1E7C9" w14:textId="77777777" w:rsidR="003C66EB" w:rsidRDefault="003C66EB">
            <w:pPr>
              <w:rPr>
                <w:rFonts w:ascii="宋体"/>
                <w:vanish/>
              </w:rPr>
            </w:pPr>
          </w:p>
        </w:tc>
        <w:tc>
          <w:tcPr>
            <w:tcW w:w="0" w:type="auto"/>
            <w:gridSpan w:val="3"/>
            <w:shd w:val="clear" w:color="auto" w:fill="auto"/>
          </w:tcPr>
          <w:p w14:paraId="5EA1E7CA" w14:textId="77777777" w:rsidR="003C66EB" w:rsidRDefault="003C66EB">
            <w:pPr>
              <w:rPr>
                <w:rFonts w:ascii="宋体"/>
                <w:vanish/>
              </w:rPr>
            </w:pPr>
          </w:p>
        </w:tc>
        <w:tc>
          <w:tcPr>
            <w:tcW w:w="0" w:type="auto"/>
            <w:gridSpan w:val="3"/>
            <w:shd w:val="clear" w:color="auto" w:fill="auto"/>
          </w:tcPr>
          <w:p w14:paraId="5EA1E7CB" w14:textId="77777777" w:rsidR="003C66EB" w:rsidRDefault="003C66EB">
            <w:pPr>
              <w:rPr>
                <w:rFonts w:ascii="宋体"/>
                <w:vanish/>
              </w:rPr>
            </w:pPr>
          </w:p>
        </w:tc>
        <w:tc>
          <w:tcPr>
            <w:tcW w:w="0" w:type="auto"/>
            <w:gridSpan w:val="3"/>
            <w:shd w:val="clear" w:color="auto" w:fill="auto"/>
          </w:tcPr>
          <w:p w14:paraId="5EA1E7CC" w14:textId="77777777" w:rsidR="003C66EB" w:rsidRDefault="003C66EB">
            <w:pPr>
              <w:rPr>
                <w:rFonts w:ascii="宋体"/>
                <w:vanish/>
              </w:rPr>
            </w:pPr>
          </w:p>
        </w:tc>
        <w:tc>
          <w:tcPr>
            <w:tcW w:w="0" w:type="auto"/>
            <w:gridSpan w:val="3"/>
            <w:shd w:val="clear" w:color="auto" w:fill="auto"/>
          </w:tcPr>
          <w:p w14:paraId="5EA1E7CD" w14:textId="77777777" w:rsidR="003C66EB" w:rsidRDefault="003C66EB">
            <w:pPr>
              <w:rPr>
                <w:rFonts w:ascii="宋体"/>
                <w:vanish/>
              </w:rPr>
            </w:pPr>
          </w:p>
        </w:tc>
        <w:tc>
          <w:tcPr>
            <w:tcW w:w="0" w:type="auto"/>
            <w:gridSpan w:val="3"/>
            <w:shd w:val="clear" w:color="auto" w:fill="auto"/>
          </w:tcPr>
          <w:p w14:paraId="5EA1E7CE" w14:textId="77777777" w:rsidR="003C66EB" w:rsidRDefault="003C66EB">
            <w:pPr>
              <w:rPr>
                <w:rFonts w:ascii="宋体"/>
                <w:vanish/>
              </w:rPr>
            </w:pPr>
          </w:p>
        </w:tc>
        <w:tc>
          <w:tcPr>
            <w:tcW w:w="0" w:type="auto"/>
            <w:gridSpan w:val="3"/>
            <w:shd w:val="clear" w:color="auto" w:fill="auto"/>
          </w:tcPr>
          <w:p w14:paraId="5EA1E7CF" w14:textId="77777777" w:rsidR="003C66EB" w:rsidRDefault="003C66EB">
            <w:pPr>
              <w:rPr>
                <w:rFonts w:ascii="宋体"/>
                <w:vanish/>
              </w:rPr>
            </w:pPr>
          </w:p>
        </w:tc>
        <w:tc>
          <w:tcPr>
            <w:tcW w:w="0" w:type="auto"/>
            <w:gridSpan w:val="3"/>
            <w:shd w:val="clear" w:color="auto" w:fill="auto"/>
          </w:tcPr>
          <w:p w14:paraId="5EA1E7D0" w14:textId="77777777" w:rsidR="003C66EB" w:rsidRDefault="003C66EB">
            <w:pPr>
              <w:rPr>
                <w:rFonts w:ascii="宋体"/>
                <w:vanish/>
              </w:rPr>
            </w:pPr>
          </w:p>
        </w:tc>
        <w:tc>
          <w:tcPr>
            <w:tcW w:w="0" w:type="auto"/>
            <w:gridSpan w:val="3"/>
            <w:shd w:val="clear" w:color="auto" w:fill="auto"/>
          </w:tcPr>
          <w:p w14:paraId="5EA1E7D1" w14:textId="77777777" w:rsidR="003C66EB" w:rsidRDefault="003C66EB">
            <w:pPr>
              <w:rPr>
                <w:rFonts w:ascii="宋体"/>
                <w:vanish/>
              </w:rPr>
            </w:pPr>
          </w:p>
        </w:tc>
        <w:tc>
          <w:tcPr>
            <w:tcW w:w="0" w:type="auto"/>
            <w:gridSpan w:val="3"/>
            <w:shd w:val="clear" w:color="auto" w:fill="auto"/>
          </w:tcPr>
          <w:p w14:paraId="5EA1E7D2" w14:textId="77777777" w:rsidR="003C66EB" w:rsidRDefault="003C66EB">
            <w:pPr>
              <w:rPr>
                <w:rFonts w:ascii="宋体"/>
                <w:vanish/>
              </w:rPr>
            </w:pPr>
          </w:p>
        </w:tc>
        <w:tc>
          <w:tcPr>
            <w:tcW w:w="0" w:type="auto"/>
            <w:gridSpan w:val="3"/>
            <w:shd w:val="clear" w:color="auto" w:fill="auto"/>
          </w:tcPr>
          <w:p w14:paraId="5EA1E7D3" w14:textId="77777777" w:rsidR="003C66EB" w:rsidRDefault="003C66EB">
            <w:pPr>
              <w:rPr>
                <w:rFonts w:ascii="宋体"/>
                <w:vanish/>
              </w:rPr>
            </w:pPr>
          </w:p>
        </w:tc>
        <w:tc>
          <w:tcPr>
            <w:tcW w:w="0" w:type="auto"/>
            <w:gridSpan w:val="3"/>
            <w:shd w:val="clear" w:color="auto" w:fill="auto"/>
          </w:tcPr>
          <w:p w14:paraId="5EA1E7D4" w14:textId="77777777" w:rsidR="003C66EB" w:rsidRDefault="003C66EB">
            <w:pPr>
              <w:rPr>
                <w:rFonts w:ascii="宋体"/>
                <w:vanish/>
              </w:rPr>
            </w:pPr>
          </w:p>
        </w:tc>
        <w:tc>
          <w:tcPr>
            <w:tcW w:w="0" w:type="auto"/>
            <w:gridSpan w:val="3"/>
            <w:shd w:val="clear" w:color="auto" w:fill="auto"/>
          </w:tcPr>
          <w:p w14:paraId="5EA1E7D5" w14:textId="77777777" w:rsidR="003C66EB" w:rsidRDefault="003C66EB">
            <w:pPr>
              <w:rPr>
                <w:rFonts w:ascii="宋体"/>
                <w:vanish/>
              </w:rPr>
            </w:pPr>
          </w:p>
        </w:tc>
        <w:tc>
          <w:tcPr>
            <w:tcW w:w="0" w:type="auto"/>
            <w:gridSpan w:val="3"/>
            <w:shd w:val="clear" w:color="auto" w:fill="auto"/>
          </w:tcPr>
          <w:p w14:paraId="5EA1E7D6" w14:textId="77777777" w:rsidR="003C66EB" w:rsidRDefault="003C66EB">
            <w:pPr>
              <w:rPr>
                <w:rFonts w:ascii="宋体"/>
                <w:vanish/>
              </w:rPr>
            </w:pPr>
          </w:p>
        </w:tc>
        <w:tc>
          <w:tcPr>
            <w:tcW w:w="0" w:type="auto"/>
            <w:gridSpan w:val="3"/>
            <w:shd w:val="clear" w:color="auto" w:fill="auto"/>
          </w:tcPr>
          <w:p w14:paraId="5EA1E7D7" w14:textId="77777777" w:rsidR="003C66EB" w:rsidRDefault="003C66EB">
            <w:pPr>
              <w:rPr>
                <w:rFonts w:ascii="宋体"/>
                <w:vanish/>
              </w:rPr>
            </w:pPr>
          </w:p>
        </w:tc>
        <w:tc>
          <w:tcPr>
            <w:tcW w:w="0" w:type="auto"/>
            <w:gridSpan w:val="3"/>
            <w:shd w:val="clear" w:color="auto" w:fill="auto"/>
          </w:tcPr>
          <w:p w14:paraId="5EA1E7D8" w14:textId="77777777" w:rsidR="003C66EB" w:rsidRDefault="003C66EB">
            <w:pPr>
              <w:rPr>
                <w:rFonts w:ascii="宋体"/>
                <w:vanish/>
              </w:rPr>
            </w:pPr>
          </w:p>
        </w:tc>
        <w:tc>
          <w:tcPr>
            <w:tcW w:w="0" w:type="auto"/>
            <w:gridSpan w:val="3"/>
            <w:shd w:val="clear" w:color="auto" w:fill="auto"/>
          </w:tcPr>
          <w:p w14:paraId="5EA1E7D9" w14:textId="77777777" w:rsidR="003C66EB" w:rsidRDefault="003C66EB">
            <w:pPr>
              <w:rPr>
                <w:rFonts w:ascii="宋体"/>
                <w:vanish/>
              </w:rPr>
            </w:pPr>
          </w:p>
        </w:tc>
        <w:tc>
          <w:tcPr>
            <w:tcW w:w="0" w:type="auto"/>
            <w:gridSpan w:val="3"/>
            <w:shd w:val="clear" w:color="auto" w:fill="auto"/>
          </w:tcPr>
          <w:p w14:paraId="5EA1E7DA" w14:textId="77777777" w:rsidR="003C66EB" w:rsidRDefault="003C66EB">
            <w:pPr>
              <w:rPr>
                <w:rFonts w:ascii="宋体"/>
                <w:vanish/>
              </w:rPr>
            </w:pPr>
          </w:p>
        </w:tc>
        <w:tc>
          <w:tcPr>
            <w:tcW w:w="0" w:type="auto"/>
            <w:gridSpan w:val="3"/>
            <w:shd w:val="clear" w:color="auto" w:fill="auto"/>
          </w:tcPr>
          <w:p w14:paraId="5EA1E7DB" w14:textId="77777777" w:rsidR="003C66EB" w:rsidRDefault="003C66EB">
            <w:pPr>
              <w:rPr>
                <w:rFonts w:ascii="宋体"/>
                <w:vanish/>
              </w:rPr>
            </w:pPr>
          </w:p>
        </w:tc>
        <w:tc>
          <w:tcPr>
            <w:tcW w:w="0" w:type="auto"/>
            <w:gridSpan w:val="3"/>
            <w:shd w:val="clear" w:color="auto" w:fill="auto"/>
          </w:tcPr>
          <w:p w14:paraId="5EA1E7DC" w14:textId="77777777" w:rsidR="003C66EB" w:rsidRDefault="003C66EB">
            <w:pPr>
              <w:rPr>
                <w:rFonts w:ascii="宋体"/>
                <w:vanish/>
              </w:rPr>
            </w:pPr>
          </w:p>
        </w:tc>
        <w:tc>
          <w:tcPr>
            <w:tcW w:w="0" w:type="auto"/>
            <w:gridSpan w:val="2"/>
            <w:shd w:val="clear" w:color="auto" w:fill="auto"/>
          </w:tcPr>
          <w:p w14:paraId="5EA1E7DD" w14:textId="77777777" w:rsidR="003C66EB" w:rsidRDefault="003C66EB">
            <w:pPr>
              <w:rPr>
                <w:rFonts w:ascii="宋体"/>
                <w:vanish/>
              </w:rPr>
            </w:pPr>
          </w:p>
        </w:tc>
        <w:tc>
          <w:tcPr>
            <w:tcW w:w="0" w:type="auto"/>
            <w:shd w:val="clear" w:color="auto" w:fill="auto"/>
          </w:tcPr>
          <w:p w14:paraId="5EA1E7DE" w14:textId="77777777" w:rsidR="003C66EB" w:rsidRDefault="003C66EB">
            <w:pPr>
              <w:rPr>
                <w:rFonts w:ascii="宋体"/>
                <w:vanish/>
              </w:rPr>
            </w:pPr>
          </w:p>
        </w:tc>
      </w:tr>
      <w:tr w:rsidR="003C66EB" w14:paraId="5EA1E7F6" w14:textId="77777777">
        <w:trPr>
          <w:hidden/>
        </w:trPr>
        <w:tc>
          <w:tcPr>
            <w:tcW w:w="0" w:type="auto"/>
            <w:gridSpan w:val="3"/>
            <w:shd w:val="clear" w:color="auto" w:fill="auto"/>
          </w:tcPr>
          <w:p w14:paraId="5EA1E7E0" w14:textId="77777777" w:rsidR="003C66EB" w:rsidRDefault="003C66EB">
            <w:pPr>
              <w:rPr>
                <w:rFonts w:ascii="宋体"/>
                <w:vanish/>
              </w:rPr>
            </w:pPr>
          </w:p>
        </w:tc>
        <w:tc>
          <w:tcPr>
            <w:tcW w:w="0" w:type="auto"/>
            <w:gridSpan w:val="3"/>
            <w:shd w:val="clear" w:color="auto" w:fill="auto"/>
          </w:tcPr>
          <w:p w14:paraId="5EA1E7E1" w14:textId="77777777" w:rsidR="003C66EB" w:rsidRDefault="003C66EB">
            <w:pPr>
              <w:rPr>
                <w:rFonts w:ascii="宋体"/>
                <w:vanish/>
              </w:rPr>
            </w:pPr>
          </w:p>
        </w:tc>
        <w:tc>
          <w:tcPr>
            <w:tcW w:w="0" w:type="auto"/>
            <w:gridSpan w:val="3"/>
            <w:shd w:val="clear" w:color="auto" w:fill="auto"/>
          </w:tcPr>
          <w:p w14:paraId="5EA1E7E2" w14:textId="77777777" w:rsidR="003C66EB" w:rsidRDefault="003C66EB">
            <w:pPr>
              <w:rPr>
                <w:rFonts w:ascii="宋体"/>
                <w:vanish/>
              </w:rPr>
            </w:pPr>
          </w:p>
        </w:tc>
        <w:tc>
          <w:tcPr>
            <w:tcW w:w="0" w:type="auto"/>
            <w:gridSpan w:val="3"/>
            <w:shd w:val="clear" w:color="auto" w:fill="auto"/>
          </w:tcPr>
          <w:p w14:paraId="5EA1E7E3" w14:textId="77777777" w:rsidR="003C66EB" w:rsidRDefault="003C66EB">
            <w:pPr>
              <w:rPr>
                <w:rFonts w:ascii="宋体"/>
                <w:vanish/>
              </w:rPr>
            </w:pPr>
          </w:p>
        </w:tc>
        <w:tc>
          <w:tcPr>
            <w:tcW w:w="0" w:type="auto"/>
            <w:gridSpan w:val="3"/>
            <w:shd w:val="clear" w:color="auto" w:fill="auto"/>
          </w:tcPr>
          <w:p w14:paraId="5EA1E7E4" w14:textId="77777777" w:rsidR="003C66EB" w:rsidRDefault="003C66EB">
            <w:pPr>
              <w:rPr>
                <w:rFonts w:ascii="宋体"/>
                <w:vanish/>
              </w:rPr>
            </w:pPr>
          </w:p>
        </w:tc>
        <w:tc>
          <w:tcPr>
            <w:tcW w:w="0" w:type="auto"/>
            <w:gridSpan w:val="3"/>
            <w:shd w:val="clear" w:color="auto" w:fill="auto"/>
          </w:tcPr>
          <w:p w14:paraId="5EA1E7E5" w14:textId="77777777" w:rsidR="003C66EB" w:rsidRDefault="003C66EB">
            <w:pPr>
              <w:rPr>
                <w:rFonts w:ascii="宋体"/>
                <w:vanish/>
              </w:rPr>
            </w:pPr>
          </w:p>
        </w:tc>
        <w:tc>
          <w:tcPr>
            <w:tcW w:w="0" w:type="auto"/>
            <w:gridSpan w:val="3"/>
            <w:shd w:val="clear" w:color="auto" w:fill="auto"/>
          </w:tcPr>
          <w:p w14:paraId="5EA1E7E6" w14:textId="77777777" w:rsidR="003C66EB" w:rsidRDefault="003C66EB">
            <w:pPr>
              <w:rPr>
                <w:rFonts w:ascii="宋体"/>
                <w:vanish/>
              </w:rPr>
            </w:pPr>
          </w:p>
        </w:tc>
        <w:tc>
          <w:tcPr>
            <w:tcW w:w="0" w:type="auto"/>
            <w:gridSpan w:val="3"/>
            <w:shd w:val="clear" w:color="auto" w:fill="auto"/>
          </w:tcPr>
          <w:p w14:paraId="5EA1E7E7" w14:textId="77777777" w:rsidR="003C66EB" w:rsidRDefault="003C66EB">
            <w:pPr>
              <w:rPr>
                <w:rFonts w:ascii="宋体"/>
                <w:vanish/>
              </w:rPr>
            </w:pPr>
          </w:p>
        </w:tc>
        <w:tc>
          <w:tcPr>
            <w:tcW w:w="0" w:type="auto"/>
            <w:gridSpan w:val="3"/>
            <w:shd w:val="clear" w:color="auto" w:fill="auto"/>
          </w:tcPr>
          <w:p w14:paraId="5EA1E7E8" w14:textId="77777777" w:rsidR="003C66EB" w:rsidRDefault="003C66EB">
            <w:pPr>
              <w:rPr>
                <w:rFonts w:ascii="宋体"/>
                <w:vanish/>
              </w:rPr>
            </w:pPr>
          </w:p>
        </w:tc>
        <w:tc>
          <w:tcPr>
            <w:tcW w:w="0" w:type="auto"/>
            <w:gridSpan w:val="3"/>
            <w:shd w:val="clear" w:color="auto" w:fill="auto"/>
          </w:tcPr>
          <w:p w14:paraId="5EA1E7E9" w14:textId="77777777" w:rsidR="003C66EB" w:rsidRDefault="003C66EB">
            <w:pPr>
              <w:rPr>
                <w:rFonts w:ascii="宋体"/>
                <w:vanish/>
              </w:rPr>
            </w:pPr>
          </w:p>
        </w:tc>
        <w:tc>
          <w:tcPr>
            <w:tcW w:w="0" w:type="auto"/>
            <w:gridSpan w:val="3"/>
            <w:shd w:val="clear" w:color="auto" w:fill="auto"/>
          </w:tcPr>
          <w:p w14:paraId="5EA1E7EA" w14:textId="77777777" w:rsidR="003C66EB" w:rsidRDefault="003C66EB">
            <w:pPr>
              <w:rPr>
                <w:rFonts w:ascii="宋体"/>
                <w:vanish/>
              </w:rPr>
            </w:pPr>
          </w:p>
        </w:tc>
        <w:tc>
          <w:tcPr>
            <w:tcW w:w="0" w:type="auto"/>
            <w:gridSpan w:val="3"/>
            <w:shd w:val="clear" w:color="auto" w:fill="auto"/>
          </w:tcPr>
          <w:p w14:paraId="5EA1E7EB" w14:textId="77777777" w:rsidR="003C66EB" w:rsidRDefault="003C66EB">
            <w:pPr>
              <w:rPr>
                <w:rFonts w:ascii="宋体"/>
                <w:vanish/>
              </w:rPr>
            </w:pPr>
          </w:p>
        </w:tc>
        <w:tc>
          <w:tcPr>
            <w:tcW w:w="0" w:type="auto"/>
            <w:gridSpan w:val="3"/>
            <w:shd w:val="clear" w:color="auto" w:fill="auto"/>
          </w:tcPr>
          <w:p w14:paraId="5EA1E7EC" w14:textId="77777777" w:rsidR="003C66EB" w:rsidRDefault="003C66EB">
            <w:pPr>
              <w:rPr>
                <w:rFonts w:ascii="宋体"/>
                <w:vanish/>
              </w:rPr>
            </w:pPr>
          </w:p>
        </w:tc>
        <w:tc>
          <w:tcPr>
            <w:tcW w:w="0" w:type="auto"/>
            <w:gridSpan w:val="3"/>
            <w:shd w:val="clear" w:color="auto" w:fill="auto"/>
          </w:tcPr>
          <w:p w14:paraId="5EA1E7ED" w14:textId="77777777" w:rsidR="003C66EB" w:rsidRDefault="003C66EB">
            <w:pPr>
              <w:rPr>
                <w:rFonts w:ascii="宋体"/>
                <w:vanish/>
              </w:rPr>
            </w:pPr>
          </w:p>
        </w:tc>
        <w:tc>
          <w:tcPr>
            <w:tcW w:w="0" w:type="auto"/>
            <w:gridSpan w:val="3"/>
            <w:shd w:val="clear" w:color="auto" w:fill="auto"/>
          </w:tcPr>
          <w:p w14:paraId="5EA1E7EE" w14:textId="77777777" w:rsidR="003C66EB" w:rsidRDefault="003C66EB">
            <w:pPr>
              <w:rPr>
                <w:rFonts w:ascii="宋体"/>
                <w:vanish/>
              </w:rPr>
            </w:pPr>
          </w:p>
        </w:tc>
        <w:tc>
          <w:tcPr>
            <w:tcW w:w="0" w:type="auto"/>
            <w:gridSpan w:val="3"/>
            <w:shd w:val="clear" w:color="auto" w:fill="auto"/>
          </w:tcPr>
          <w:p w14:paraId="5EA1E7EF" w14:textId="77777777" w:rsidR="003C66EB" w:rsidRDefault="003C66EB">
            <w:pPr>
              <w:rPr>
                <w:rFonts w:ascii="宋体"/>
                <w:vanish/>
              </w:rPr>
            </w:pPr>
          </w:p>
        </w:tc>
        <w:tc>
          <w:tcPr>
            <w:tcW w:w="0" w:type="auto"/>
            <w:gridSpan w:val="3"/>
            <w:shd w:val="clear" w:color="auto" w:fill="auto"/>
          </w:tcPr>
          <w:p w14:paraId="5EA1E7F0" w14:textId="77777777" w:rsidR="003C66EB" w:rsidRDefault="003C66EB">
            <w:pPr>
              <w:rPr>
                <w:rFonts w:ascii="宋体"/>
                <w:vanish/>
              </w:rPr>
            </w:pPr>
          </w:p>
        </w:tc>
        <w:tc>
          <w:tcPr>
            <w:tcW w:w="0" w:type="auto"/>
            <w:gridSpan w:val="3"/>
            <w:shd w:val="clear" w:color="auto" w:fill="auto"/>
          </w:tcPr>
          <w:p w14:paraId="5EA1E7F1" w14:textId="77777777" w:rsidR="003C66EB" w:rsidRDefault="003C66EB">
            <w:pPr>
              <w:rPr>
                <w:rFonts w:ascii="宋体"/>
                <w:vanish/>
              </w:rPr>
            </w:pPr>
          </w:p>
        </w:tc>
        <w:tc>
          <w:tcPr>
            <w:tcW w:w="0" w:type="auto"/>
            <w:gridSpan w:val="3"/>
            <w:shd w:val="clear" w:color="auto" w:fill="auto"/>
          </w:tcPr>
          <w:p w14:paraId="5EA1E7F2" w14:textId="77777777" w:rsidR="003C66EB" w:rsidRDefault="003C66EB">
            <w:pPr>
              <w:rPr>
                <w:rFonts w:ascii="宋体"/>
                <w:vanish/>
              </w:rPr>
            </w:pPr>
          </w:p>
        </w:tc>
        <w:tc>
          <w:tcPr>
            <w:tcW w:w="0" w:type="auto"/>
            <w:gridSpan w:val="3"/>
            <w:shd w:val="clear" w:color="auto" w:fill="auto"/>
          </w:tcPr>
          <w:p w14:paraId="5EA1E7F3" w14:textId="77777777" w:rsidR="003C66EB" w:rsidRDefault="003C66EB">
            <w:pPr>
              <w:rPr>
                <w:rFonts w:ascii="宋体"/>
                <w:vanish/>
              </w:rPr>
            </w:pPr>
          </w:p>
        </w:tc>
        <w:tc>
          <w:tcPr>
            <w:tcW w:w="0" w:type="auto"/>
            <w:gridSpan w:val="2"/>
            <w:shd w:val="clear" w:color="auto" w:fill="auto"/>
          </w:tcPr>
          <w:p w14:paraId="5EA1E7F4" w14:textId="77777777" w:rsidR="003C66EB" w:rsidRDefault="003C66EB">
            <w:pPr>
              <w:rPr>
                <w:rFonts w:ascii="宋体"/>
                <w:vanish/>
              </w:rPr>
            </w:pPr>
          </w:p>
        </w:tc>
        <w:tc>
          <w:tcPr>
            <w:tcW w:w="0" w:type="auto"/>
            <w:shd w:val="clear" w:color="auto" w:fill="auto"/>
          </w:tcPr>
          <w:p w14:paraId="5EA1E7F5" w14:textId="77777777" w:rsidR="003C66EB" w:rsidRDefault="003C66EB">
            <w:pPr>
              <w:rPr>
                <w:rFonts w:ascii="宋体"/>
                <w:vanish/>
              </w:rPr>
            </w:pPr>
          </w:p>
        </w:tc>
      </w:tr>
      <w:tr w:rsidR="003C66EB" w14:paraId="5EA1E80D" w14:textId="77777777">
        <w:trPr>
          <w:hidden/>
        </w:trPr>
        <w:tc>
          <w:tcPr>
            <w:tcW w:w="0" w:type="auto"/>
            <w:gridSpan w:val="3"/>
            <w:shd w:val="clear" w:color="auto" w:fill="auto"/>
          </w:tcPr>
          <w:p w14:paraId="5EA1E7F7" w14:textId="77777777" w:rsidR="003C66EB" w:rsidRDefault="003C66EB">
            <w:pPr>
              <w:rPr>
                <w:rFonts w:ascii="宋体"/>
                <w:vanish/>
              </w:rPr>
            </w:pPr>
          </w:p>
        </w:tc>
        <w:tc>
          <w:tcPr>
            <w:tcW w:w="0" w:type="auto"/>
            <w:gridSpan w:val="3"/>
            <w:shd w:val="clear" w:color="auto" w:fill="auto"/>
          </w:tcPr>
          <w:p w14:paraId="5EA1E7F8" w14:textId="77777777" w:rsidR="003C66EB" w:rsidRDefault="003C66EB">
            <w:pPr>
              <w:rPr>
                <w:rFonts w:ascii="宋体"/>
                <w:vanish/>
              </w:rPr>
            </w:pPr>
          </w:p>
        </w:tc>
        <w:tc>
          <w:tcPr>
            <w:tcW w:w="0" w:type="auto"/>
            <w:gridSpan w:val="3"/>
            <w:shd w:val="clear" w:color="auto" w:fill="auto"/>
          </w:tcPr>
          <w:p w14:paraId="5EA1E7F9" w14:textId="77777777" w:rsidR="003C66EB" w:rsidRDefault="003C66EB">
            <w:pPr>
              <w:rPr>
                <w:rFonts w:ascii="宋体"/>
                <w:vanish/>
              </w:rPr>
            </w:pPr>
          </w:p>
        </w:tc>
        <w:tc>
          <w:tcPr>
            <w:tcW w:w="0" w:type="auto"/>
            <w:gridSpan w:val="3"/>
            <w:shd w:val="clear" w:color="auto" w:fill="auto"/>
          </w:tcPr>
          <w:p w14:paraId="5EA1E7FA" w14:textId="77777777" w:rsidR="003C66EB" w:rsidRDefault="003C66EB">
            <w:pPr>
              <w:rPr>
                <w:rFonts w:ascii="宋体"/>
                <w:vanish/>
              </w:rPr>
            </w:pPr>
          </w:p>
        </w:tc>
        <w:tc>
          <w:tcPr>
            <w:tcW w:w="0" w:type="auto"/>
            <w:gridSpan w:val="3"/>
            <w:shd w:val="clear" w:color="auto" w:fill="auto"/>
          </w:tcPr>
          <w:p w14:paraId="5EA1E7FB" w14:textId="77777777" w:rsidR="003C66EB" w:rsidRDefault="003C66EB">
            <w:pPr>
              <w:rPr>
                <w:rFonts w:ascii="宋体"/>
                <w:vanish/>
              </w:rPr>
            </w:pPr>
          </w:p>
        </w:tc>
        <w:tc>
          <w:tcPr>
            <w:tcW w:w="0" w:type="auto"/>
            <w:gridSpan w:val="3"/>
            <w:shd w:val="clear" w:color="auto" w:fill="auto"/>
          </w:tcPr>
          <w:p w14:paraId="5EA1E7FC" w14:textId="77777777" w:rsidR="003C66EB" w:rsidRDefault="003C66EB">
            <w:pPr>
              <w:rPr>
                <w:rFonts w:ascii="宋体"/>
                <w:vanish/>
              </w:rPr>
            </w:pPr>
          </w:p>
        </w:tc>
        <w:tc>
          <w:tcPr>
            <w:tcW w:w="0" w:type="auto"/>
            <w:gridSpan w:val="3"/>
            <w:shd w:val="clear" w:color="auto" w:fill="auto"/>
          </w:tcPr>
          <w:p w14:paraId="5EA1E7FD" w14:textId="77777777" w:rsidR="003C66EB" w:rsidRDefault="003C66EB">
            <w:pPr>
              <w:rPr>
                <w:rFonts w:ascii="宋体"/>
                <w:vanish/>
              </w:rPr>
            </w:pPr>
          </w:p>
        </w:tc>
        <w:tc>
          <w:tcPr>
            <w:tcW w:w="0" w:type="auto"/>
            <w:gridSpan w:val="3"/>
            <w:shd w:val="clear" w:color="auto" w:fill="auto"/>
          </w:tcPr>
          <w:p w14:paraId="5EA1E7FE" w14:textId="77777777" w:rsidR="003C66EB" w:rsidRDefault="003C66EB">
            <w:pPr>
              <w:rPr>
                <w:rFonts w:ascii="宋体"/>
                <w:vanish/>
              </w:rPr>
            </w:pPr>
          </w:p>
        </w:tc>
        <w:tc>
          <w:tcPr>
            <w:tcW w:w="0" w:type="auto"/>
            <w:gridSpan w:val="3"/>
            <w:shd w:val="clear" w:color="auto" w:fill="auto"/>
          </w:tcPr>
          <w:p w14:paraId="5EA1E7FF" w14:textId="77777777" w:rsidR="003C66EB" w:rsidRDefault="003C66EB">
            <w:pPr>
              <w:rPr>
                <w:rFonts w:ascii="宋体"/>
                <w:vanish/>
              </w:rPr>
            </w:pPr>
          </w:p>
        </w:tc>
        <w:tc>
          <w:tcPr>
            <w:tcW w:w="0" w:type="auto"/>
            <w:gridSpan w:val="3"/>
            <w:shd w:val="clear" w:color="auto" w:fill="auto"/>
          </w:tcPr>
          <w:p w14:paraId="5EA1E800" w14:textId="77777777" w:rsidR="003C66EB" w:rsidRDefault="003C66EB">
            <w:pPr>
              <w:rPr>
                <w:rFonts w:ascii="宋体"/>
                <w:vanish/>
              </w:rPr>
            </w:pPr>
          </w:p>
        </w:tc>
        <w:tc>
          <w:tcPr>
            <w:tcW w:w="0" w:type="auto"/>
            <w:gridSpan w:val="3"/>
            <w:shd w:val="clear" w:color="auto" w:fill="auto"/>
          </w:tcPr>
          <w:p w14:paraId="5EA1E801" w14:textId="77777777" w:rsidR="003C66EB" w:rsidRDefault="003C66EB">
            <w:pPr>
              <w:rPr>
                <w:rFonts w:ascii="宋体"/>
                <w:vanish/>
              </w:rPr>
            </w:pPr>
          </w:p>
        </w:tc>
        <w:tc>
          <w:tcPr>
            <w:tcW w:w="0" w:type="auto"/>
            <w:gridSpan w:val="3"/>
            <w:shd w:val="clear" w:color="auto" w:fill="auto"/>
          </w:tcPr>
          <w:p w14:paraId="5EA1E802" w14:textId="77777777" w:rsidR="003C66EB" w:rsidRDefault="003C66EB">
            <w:pPr>
              <w:rPr>
                <w:rFonts w:ascii="宋体"/>
                <w:vanish/>
              </w:rPr>
            </w:pPr>
          </w:p>
        </w:tc>
        <w:tc>
          <w:tcPr>
            <w:tcW w:w="0" w:type="auto"/>
            <w:gridSpan w:val="3"/>
            <w:shd w:val="clear" w:color="auto" w:fill="auto"/>
          </w:tcPr>
          <w:p w14:paraId="5EA1E803" w14:textId="77777777" w:rsidR="003C66EB" w:rsidRDefault="003C66EB">
            <w:pPr>
              <w:rPr>
                <w:rFonts w:ascii="宋体"/>
                <w:vanish/>
              </w:rPr>
            </w:pPr>
          </w:p>
        </w:tc>
        <w:tc>
          <w:tcPr>
            <w:tcW w:w="0" w:type="auto"/>
            <w:gridSpan w:val="3"/>
            <w:shd w:val="clear" w:color="auto" w:fill="auto"/>
          </w:tcPr>
          <w:p w14:paraId="5EA1E804" w14:textId="77777777" w:rsidR="003C66EB" w:rsidRDefault="003C66EB">
            <w:pPr>
              <w:rPr>
                <w:rFonts w:ascii="宋体"/>
                <w:vanish/>
              </w:rPr>
            </w:pPr>
          </w:p>
        </w:tc>
        <w:tc>
          <w:tcPr>
            <w:tcW w:w="0" w:type="auto"/>
            <w:gridSpan w:val="3"/>
            <w:shd w:val="clear" w:color="auto" w:fill="auto"/>
          </w:tcPr>
          <w:p w14:paraId="5EA1E805" w14:textId="77777777" w:rsidR="003C66EB" w:rsidRDefault="003C66EB">
            <w:pPr>
              <w:rPr>
                <w:rFonts w:ascii="宋体"/>
                <w:vanish/>
              </w:rPr>
            </w:pPr>
          </w:p>
        </w:tc>
        <w:tc>
          <w:tcPr>
            <w:tcW w:w="0" w:type="auto"/>
            <w:gridSpan w:val="3"/>
            <w:shd w:val="clear" w:color="auto" w:fill="auto"/>
          </w:tcPr>
          <w:p w14:paraId="5EA1E806" w14:textId="77777777" w:rsidR="003C66EB" w:rsidRDefault="003C66EB">
            <w:pPr>
              <w:rPr>
                <w:rFonts w:ascii="宋体"/>
                <w:vanish/>
              </w:rPr>
            </w:pPr>
          </w:p>
        </w:tc>
        <w:tc>
          <w:tcPr>
            <w:tcW w:w="0" w:type="auto"/>
            <w:gridSpan w:val="3"/>
            <w:shd w:val="clear" w:color="auto" w:fill="auto"/>
          </w:tcPr>
          <w:p w14:paraId="5EA1E807" w14:textId="77777777" w:rsidR="003C66EB" w:rsidRDefault="003C66EB">
            <w:pPr>
              <w:rPr>
                <w:rFonts w:ascii="宋体"/>
                <w:vanish/>
              </w:rPr>
            </w:pPr>
          </w:p>
        </w:tc>
        <w:tc>
          <w:tcPr>
            <w:tcW w:w="0" w:type="auto"/>
            <w:gridSpan w:val="3"/>
            <w:shd w:val="clear" w:color="auto" w:fill="auto"/>
          </w:tcPr>
          <w:p w14:paraId="5EA1E808" w14:textId="77777777" w:rsidR="003C66EB" w:rsidRDefault="003C66EB">
            <w:pPr>
              <w:rPr>
                <w:rFonts w:ascii="宋体"/>
                <w:vanish/>
              </w:rPr>
            </w:pPr>
          </w:p>
        </w:tc>
        <w:tc>
          <w:tcPr>
            <w:tcW w:w="0" w:type="auto"/>
            <w:gridSpan w:val="3"/>
            <w:shd w:val="clear" w:color="auto" w:fill="auto"/>
          </w:tcPr>
          <w:p w14:paraId="5EA1E809" w14:textId="77777777" w:rsidR="003C66EB" w:rsidRDefault="003C66EB">
            <w:pPr>
              <w:rPr>
                <w:rFonts w:ascii="宋体"/>
                <w:vanish/>
              </w:rPr>
            </w:pPr>
          </w:p>
        </w:tc>
        <w:tc>
          <w:tcPr>
            <w:tcW w:w="0" w:type="auto"/>
            <w:gridSpan w:val="3"/>
            <w:shd w:val="clear" w:color="auto" w:fill="auto"/>
          </w:tcPr>
          <w:p w14:paraId="5EA1E80A" w14:textId="77777777" w:rsidR="003C66EB" w:rsidRDefault="003C66EB">
            <w:pPr>
              <w:rPr>
                <w:rFonts w:ascii="宋体"/>
                <w:vanish/>
              </w:rPr>
            </w:pPr>
          </w:p>
        </w:tc>
        <w:tc>
          <w:tcPr>
            <w:tcW w:w="0" w:type="auto"/>
            <w:gridSpan w:val="2"/>
            <w:shd w:val="clear" w:color="auto" w:fill="auto"/>
          </w:tcPr>
          <w:p w14:paraId="5EA1E80B" w14:textId="77777777" w:rsidR="003C66EB" w:rsidRDefault="003C66EB">
            <w:pPr>
              <w:rPr>
                <w:rFonts w:ascii="宋体"/>
                <w:vanish/>
              </w:rPr>
            </w:pPr>
          </w:p>
        </w:tc>
        <w:tc>
          <w:tcPr>
            <w:tcW w:w="0" w:type="auto"/>
            <w:shd w:val="clear" w:color="auto" w:fill="auto"/>
          </w:tcPr>
          <w:p w14:paraId="5EA1E80C" w14:textId="77777777" w:rsidR="003C66EB" w:rsidRDefault="003C66EB">
            <w:pPr>
              <w:rPr>
                <w:rFonts w:ascii="宋体"/>
                <w:vanish/>
              </w:rPr>
            </w:pPr>
          </w:p>
        </w:tc>
      </w:tr>
      <w:tr w:rsidR="003C66EB" w14:paraId="5EA1E824" w14:textId="77777777">
        <w:trPr>
          <w:hidden/>
        </w:trPr>
        <w:tc>
          <w:tcPr>
            <w:tcW w:w="0" w:type="auto"/>
            <w:gridSpan w:val="3"/>
            <w:shd w:val="clear" w:color="auto" w:fill="auto"/>
          </w:tcPr>
          <w:p w14:paraId="5EA1E80E" w14:textId="77777777" w:rsidR="003C66EB" w:rsidRDefault="003C66EB">
            <w:pPr>
              <w:rPr>
                <w:rFonts w:ascii="宋体"/>
                <w:vanish/>
              </w:rPr>
            </w:pPr>
          </w:p>
        </w:tc>
        <w:tc>
          <w:tcPr>
            <w:tcW w:w="0" w:type="auto"/>
            <w:gridSpan w:val="3"/>
            <w:shd w:val="clear" w:color="auto" w:fill="auto"/>
          </w:tcPr>
          <w:p w14:paraId="5EA1E80F" w14:textId="77777777" w:rsidR="003C66EB" w:rsidRDefault="003C66EB">
            <w:pPr>
              <w:rPr>
                <w:rFonts w:ascii="宋体"/>
                <w:vanish/>
              </w:rPr>
            </w:pPr>
          </w:p>
        </w:tc>
        <w:tc>
          <w:tcPr>
            <w:tcW w:w="0" w:type="auto"/>
            <w:gridSpan w:val="3"/>
            <w:shd w:val="clear" w:color="auto" w:fill="auto"/>
          </w:tcPr>
          <w:p w14:paraId="5EA1E810" w14:textId="77777777" w:rsidR="003C66EB" w:rsidRDefault="003C66EB">
            <w:pPr>
              <w:rPr>
                <w:rFonts w:ascii="宋体"/>
                <w:vanish/>
              </w:rPr>
            </w:pPr>
          </w:p>
        </w:tc>
        <w:tc>
          <w:tcPr>
            <w:tcW w:w="0" w:type="auto"/>
            <w:gridSpan w:val="3"/>
            <w:shd w:val="clear" w:color="auto" w:fill="auto"/>
          </w:tcPr>
          <w:p w14:paraId="5EA1E811" w14:textId="77777777" w:rsidR="003C66EB" w:rsidRDefault="003C66EB">
            <w:pPr>
              <w:rPr>
                <w:rFonts w:ascii="宋体"/>
                <w:vanish/>
              </w:rPr>
            </w:pPr>
          </w:p>
        </w:tc>
        <w:tc>
          <w:tcPr>
            <w:tcW w:w="0" w:type="auto"/>
            <w:gridSpan w:val="3"/>
            <w:shd w:val="clear" w:color="auto" w:fill="auto"/>
          </w:tcPr>
          <w:p w14:paraId="5EA1E812" w14:textId="77777777" w:rsidR="003C66EB" w:rsidRDefault="003C66EB">
            <w:pPr>
              <w:rPr>
                <w:rFonts w:ascii="宋体"/>
                <w:vanish/>
              </w:rPr>
            </w:pPr>
          </w:p>
        </w:tc>
        <w:tc>
          <w:tcPr>
            <w:tcW w:w="0" w:type="auto"/>
            <w:gridSpan w:val="3"/>
            <w:shd w:val="clear" w:color="auto" w:fill="auto"/>
          </w:tcPr>
          <w:p w14:paraId="5EA1E813" w14:textId="77777777" w:rsidR="003C66EB" w:rsidRDefault="003C66EB">
            <w:pPr>
              <w:rPr>
                <w:rFonts w:ascii="宋体"/>
                <w:vanish/>
              </w:rPr>
            </w:pPr>
          </w:p>
        </w:tc>
        <w:tc>
          <w:tcPr>
            <w:tcW w:w="0" w:type="auto"/>
            <w:gridSpan w:val="3"/>
            <w:shd w:val="clear" w:color="auto" w:fill="auto"/>
          </w:tcPr>
          <w:p w14:paraId="5EA1E814" w14:textId="77777777" w:rsidR="003C66EB" w:rsidRDefault="003C66EB">
            <w:pPr>
              <w:rPr>
                <w:rFonts w:ascii="宋体"/>
                <w:vanish/>
              </w:rPr>
            </w:pPr>
          </w:p>
        </w:tc>
        <w:tc>
          <w:tcPr>
            <w:tcW w:w="0" w:type="auto"/>
            <w:gridSpan w:val="3"/>
            <w:shd w:val="clear" w:color="auto" w:fill="auto"/>
          </w:tcPr>
          <w:p w14:paraId="5EA1E815" w14:textId="77777777" w:rsidR="003C66EB" w:rsidRDefault="003C66EB">
            <w:pPr>
              <w:rPr>
                <w:rFonts w:ascii="宋体"/>
                <w:vanish/>
              </w:rPr>
            </w:pPr>
          </w:p>
        </w:tc>
        <w:tc>
          <w:tcPr>
            <w:tcW w:w="0" w:type="auto"/>
            <w:gridSpan w:val="3"/>
            <w:shd w:val="clear" w:color="auto" w:fill="auto"/>
          </w:tcPr>
          <w:p w14:paraId="5EA1E816" w14:textId="77777777" w:rsidR="003C66EB" w:rsidRDefault="003C66EB">
            <w:pPr>
              <w:rPr>
                <w:rFonts w:ascii="宋体"/>
                <w:vanish/>
              </w:rPr>
            </w:pPr>
          </w:p>
        </w:tc>
        <w:tc>
          <w:tcPr>
            <w:tcW w:w="0" w:type="auto"/>
            <w:gridSpan w:val="3"/>
            <w:shd w:val="clear" w:color="auto" w:fill="auto"/>
          </w:tcPr>
          <w:p w14:paraId="5EA1E817" w14:textId="77777777" w:rsidR="003C66EB" w:rsidRDefault="003C66EB">
            <w:pPr>
              <w:rPr>
                <w:rFonts w:ascii="宋体"/>
                <w:vanish/>
              </w:rPr>
            </w:pPr>
          </w:p>
        </w:tc>
        <w:tc>
          <w:tcPr>
            <w:tcW w:w="0" w:type="auto"/>
            <w:gridSpan w:val="3"/>
            <w:shd w:val="clear" w:color="auto" w:fill="auto"/>
          </w:tcPr>
          <w:p w14:paraId="5EA1E818" w14:textId="77777777" w:rsidR="003C66EB" w:rsidRDefault="003C66EB">
            <w:pPr>
              <w:rPr>
                <w:rFonts w:ascii="宋体"/>
                <w:vanish/>
              </w:rPr>
            </w:pPr>
          </w:p>
        </w:tc>
        <w:tc>
          <w:tcPr>
            <w:tcW w:w="0" w:type="auto"/>
            <w:gridSpan w:val="3"/>
            <w:shd w:val="clear" w:color="auto" w:fill="auto"/>
          </w:tcPr>
          <w:p w14:paraId="5EA1E819" w14:textId="77777777" w:rsidR="003C66EB" w:rsidRDefault="003C66EB">
            <w:pPr>
              <w:rPr>
                <w:rFonts w:ascii="宋体"/>
                <w:vanish/>
              </w:rPr>
            </w:pPr>
          </w:p>
        </w:tc>
        <w:tc>
          <w:tcPr>
            <w:tcW w:w="0" w:type="auto"/>
            <w:gridSpan w:val="3"/>
            <w:shd w:val="clear" w:color="auto" w:fill="auto"/>
          </w:tcPr>
          <w:p w14:paraId="5EA1E81A" w14:textId="77777777" w:rsidR="003C66EB" w:rsidRDefault="003C66EB">
            <w:pPr>
              <w:rPr>
                <w:rFonts w:ascii="宋体"/>
                <w:vanish/>
              </w:rPr>
            </w:pPr>
          </w:p>
        </w:tc>
        <w:tc>
          <w:tcPr>
            <w:tcW w:w="0" w:type="auto"/>
            <w:gridSpan w:val="3"/>
            <w:shd w:val="clear" w:color="auto" w:fill="auto"/>
          </w:tcPr>
          <w:p w14:paraId="5EA1E81B" w14:textId="77777777" w:rsidR="003C66EB" w:rsidRDefault="003C66EB">
            <w:pPr>
              <w:rPr>
                <w:rFonts w:ascii="宋体"/>
                <w:vanish/>
              </w:rPr>
            </w:pPr>
          </w:p>
        </w:tc>
        <w:tc>
          <w:tcPr>
            <w:tcW w:w="0" w:type="auto"/>
            <w:gridSpan w:val="3"/>
            <w:shd w:val="clear" w:color="auto" w:fill="auto"/>
          </w:tcPr>
          <w:p w14:paraId="5EA1E81C" w14:textId="77777777" w:rsidR="003C66EB" w:rsidRDefault="003C66EB">
            <w:pPr>
              <w:rPr>
                <w:rFonts w:ascii="宋体"/>
                <w:vanish/>
              </w:rPr>
            </w:pPr>
          </w:p>
        </w:tc>
        <w:tc>
          <w:tcPr>
            <w:tcW w:w="0" w:type="auto"/>
            <w:gridSpan w:val="3"/>
            <w:shd w:val="clear" w:color="auto" w:fill="auto"/>
          </w:tcPr>
          <w:p w14:paraId="5EA1E81D" w14:textId="77777777" w:rsidR="003C66EB" w:rsidRDefault="003C66EB">
            <w:pPr>
              <w:rPr>
                <w:rFonts w:ascii="宋体"/>
                <w:vanish/>
              </w:rPr>
            </w:pPr>
          </w:p>
        </w:tc>
        <w:tc>
          <w:tcPr>
            <w:tcW w:w="0" w:type="auto"/>
            <w:gridSpan w:val="3"/>
            <w:shd w:val="clear" w:color="auto" w:fill="auto"/>
          </w:tcPr>
          <w:p w14:paraId="5EA1E81E" w14:textId="77777777" w:rsidR="003C66EB" w:rsidRDefault="003C66EB">
            <w:pPr>
              <w:rPr>
                <w:rFonts w:ascii="宋体"/>
                <w:vanish/>
              </w:rPr>
            </w:pPr>
          </w:p>
        </w:tc>
        <w:tc>
          <w:tcPr>
            <w:tcW w:w="0" w:type="auto"/>
            <w:gridSpan w:val="3"/>
            <w:shd w:val="clear" w:color="auto" w:fill="auto"/>
          </w:tcPr>
          <w:p w14:paraId="5EA1E81F" w14:textId="77777777" w:rsidR="003C66EB" w:rsidRDefault="003C66EB">
            <w:pPr>
              <w:rPr>
                <w:rFonts w:ascii="宋体"/>
                <w:vanish/>
              </w:rPr>
            </w:pPr>
          </w:p>
        </w:tc>
        <w:tc>
          <w:tcPr>
            <w:tcW w:w="0" w:type="auto"/>
            <w:gridSpan w:val="3"/>
            <w:shd w:val="clear" w:color="auto" w:fill="auto"/>
          </w:tcPr>
          <w:p w14:paraId="5EA1E820" w14:textId="77777777" w:rsidR="003C66EB" w:rsidRDefault="003C66EB">
            <w:pPr>
              <w:rPr>
                <w:rFonts w:ascii="宋体"/>
                <w:vanish/>
              </w:rPr>
            </w:pPr>
          </w:p>
        </w:tc>
        <w:tc>
          <w:tcPr>
            <w:tcW w:w="0" w:type="auto"/>
            <w:gridSpan w:val="3"/>
            <w:shd w:val="clear" w:color="auto" w:fill="auto"/>
          </w:tcPr>
          <w:p w14:paraId="5EA1E821" w14:textId="77777777" w:rsidR="003C66EB" w:rsidRDefault="003C66EB">
            <w:pPr>
              <w:rPr>
                <w:rFonts w:ascii="宋体"/>
                <w:vanish/>
              </w:rPr>
            </w:pPr>
          </w:p>
        </w:tc>
        <w:tc>
          <w:tcPr>
            <w:tcW w:w="0" w:type="auto"/>
            <w:gridSpan w:val="2"/>
            <w:shd w:val="clear" w:color="auto" w:fill="auto"/>
          </w:tcPr>
          <w:p w14:paraId="5EA1E822" w14:textId="77777777" w:rsidR="003C66EB" w:rsidRDefault="003C66EB">
            <w:pPr>
              <w:rPr>
                <w:rFonts w:ascii="宋体"/>
                <w:vanish/>
              </w:rPr>
            </w:pPr>
          </w:p>
        </w:tc>
        <w:tc>
          <w:tcPr>
            <w:tcW w:w="0" w:type="auto"/>
            <w:shd w:val="clear" w:color="auto" w:fill="auto"/>
          </w:tcPr>
          <w:p w14:paraId="5EA1E823" w14:textId="77777777" w:rsidR="003C66EB" w:rsidRDefault="003C66EB">
            <w:pPr>
              <w:rPr>
                <w:rFonts w:ascii="宋体"/>
                <w:vanish/>
              </w:rPr>
            </w:pPr>
          </w:p>
        </w:tc>
      </w:tr>
      <w:tr w:rsidR="003C66EB" w14:paraId="5EA1E836" w14:textId="77777777">
        <w:tc>
          <w:tcPr>
            <w:tcW w:w="0" w:type="auto"/>
            <w:gridSpan w:val="3"/>
            <w:shd w:val="clear" w:color="auto" w:fill="auto"/>
            <w:tcMar>
              <w:top w:w="0" w:type="dxa"/>
              <w:left w:w="20" w:type="dxa"/>
              <w:bottom w:w="0" w:type="dxa"/>
              <w:right w:w="20" w:type="dxa"/>
            </w:tcMar>
          </w:tcPr>
          <w:p w14:paraId="5EA1E825" w14:textId="77777777" w:rsidR="003C66EB" w:rsidRDefault="003C66E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A1E826"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Pr>
          <w:p w14:paraId="5EA1E827" w14:textId="77777777" w:rsidR="003C66EB" w:rsidRDefault="003C66EB">
            <w:pPr>
              <w:rPr>
                <w:rFonts w:ascii="宋体"/>
                <w:vanish/>
              </w:rPr>
            </w:pPr>
          </w:p>
        </w:tc>
        <w:tc>
          <w:tcPr>
            <w:tcW w:w="0" w:type="auto"/>
            <w:gridSpan w:val="3"/>
            <w:shd w:val="clear" w:color="auto" w:fill="auto"/>
          </w:tcPr>
          <w:p w14:paraId="5EA1E828" w14:textId="77777777" w:rsidR="003C66EB" w:rsidRDefault="003C66EB">
            <w:pPr>
              <w:rPr>
                <w:rFonts w:ascii="宋体"/>
                <w:vanish/>
              </w:rPr>
            </w:pPr>
          </w:p>
        </w:tc>
        <w:tc>
          <w:tcPr>
            <w:tcW w:w="0" w:type="auto"/>
            <w:gridSpan w:val="3"/>
            <w:shd w:val="clear" w:color="auto" w:fill="auto"/>
          </w:tcPr>
          <w:p w14:paraId="5EA1E829" w14:textId="77777777" w:rsidR="003C66EB" w:rsidRDefault="003C66EB">
            <w:pPr>
              <w:rPr>
                <w:rFonts w:ascii="宋体"/>
                <w:vanish/>
              </w:rPr>
            </w:pPr>
          </w:p>
        </w:tc>
        <w:tc>
          <w:tcPr>
            <w:tcW w:w="0" w:type="auto"/>
            <w:gridSpan w:val="3"/>
            <w:shd w:val="clear" w:color="auto" w:fill="auto"/>
          </w:tcPr>
          <w:p w14:paraId="5EA1E82A" w14:textId="77777777" w:rsidR="003C66EB" w:rsidRDefault="003C66EB">
            <w:pPr>
              <w:rPr>
                <w:rFonts w:ascii="宋体"/>
                <w:vanish/>
              </w:rPr>
            </w:pPr>
          </w:p>
        </w:tc>
        <w:tc>
          <w:tcPr>
            <w:tcW w:w="0" w:type="auto"/>
            <w:gridSpan w:val="3"/>
            <w:shd w:val="clear" w:color="auto" w:fill="auto"/>
          </w:tcPr>
          <w:p w14:paraId="5EA1E82B" w14:textId="77777777" w:rsidR="003C66EB" w:rsidRDefault="003C66EB">
            <w:pPr>
              <w:rPr>
                <w:rFonts w:ascii="宋体"/>
                <w:vanish/>
              </w:rPr>
            </w:pPr>
          </w:p>
        </w:tc>
        <w:tc>
          <w:tcPr>
            <w:tcW w:w="0" w:type="auto"/>
            <w:gridSpan w:val="3"/>
            <w:shd w:val="clear" w:color="auto" w:fill="auto"/>
          </w:tcPr>
          <w:p w14:paraId="5EA1E82C" w14:textId="77777777" w:rsidR="003C66EB" w:rsidRDefault="003C66EB">
            <w:pPr>
              <w:rPr>
                <w:rFonts w:ascii="宋体"/>
                <w:vanish/>
              </w:rPr>
            </w:pPr>
          </w:p>
        </w:tc>
        <w:tc>
          <w:tcPr>
            <w:tcW w:w="0" w:type="auto"/>
            <w:shd w:val="clear" w:color="auto" w:fill="auto"/>
          </w:tcPr>
          <w:p w14:paraId="5EA1E82D" w14:textId="77777777" w:rsidR="003C66EB" w:rsidRDefault="003C66EB">
            <w:pPr>
              <w:rPr>
                <w:rFonts w:ascii="宋体"/>
              </w:rPr>
            </w:pPr>
          </w:p>
        </w:tc>
        <w:tc>
          <w:tcPr>
            <w:tcW w:w="0" w:type="auto"/>
            <w:shd w:val="clear" w:color="auto" w:fill="auto"/>
          </w:tcPr>
          <w:p w14:paraId="5EA1E82E" w14:textId="77777777" w:rsidR="003C66EB" w:rsidRDefault="003C66EB">
            <w:pPr>
              <w:rPr>
                <w:rFonts w:ascii="宋体"/>
              </w:rPr>
            </w:pPr>
          </w:p>
        </w:tc>
        <w:tc>
          <w:tcPr>
            <w:tcW w:w="0" w:type="auto"/>
            <w:shd w:val="clear" w:color="auto" w:fill="auto"/>
          </w:tcPr>
          <w:p w14:paraId="5EA1E82F" w14:textId="77777777" w:rsidR="003C66EB" w:rsidRDefault="003C66EB">
            <w:pPr>
              <w:rPr>
                <w:rFonts w:ascii="宋体"/>
              </w:rPr>
            </w:pPr>
          </w:p>
        </w:tc>
        <w:tc>
          <w:tcPr>
            <w:tcW w:w="0" w:type="auto"/>
            <w:shd w:val="clear" w:color="auto" w:fill="auto"/>
          </w:tcPr>
          <w:p w14:paraId="5EA1E830" w14:textId="77777777" w:rsidR="003C66EB" w:rsidRDefault="003C66EB">
            <w:pPr>
              <w:rPr>
                <w:rFonts w:ascii="宋体"/>
              </w:rPr>
            </w:pPr>
          </w:p>
        </w:tc>
        <w:tc>
          <w:tcPr>
            <w:tcW w:w="0" w:type="auto"/>
            <w:shd w:val="clear" w:color="auto" w:fill="auto"/>
          </w:tcPr>
          <w:p w14:paraId="5EA1E831" w14:textId="77777777" w:rsidR="003C66EB" w:rsidRDefault="003C66EB">
            <w:pPr>
              <w:rPr>
                <w:rFonts w:ascii="宋体"/>
              </w:rPr>
            </w:pPr>
          </w:p>
        </w:tc>
        <w:tc>
          <w:tcPr>
            <w:tcW w:w="0" w:type="auto"/>
            <w:shd w:val="clear" w:color="auto" w:fill="auto"/>
          </w:tcPr>
          <w:p w14:paraId="5EA1E832" w14:textId="77777777" w:rsidR="003C66EB" w:rsidRDefault="003C66EB">
            <w:pPr>
              <w:rPr>
                <w:rFonts w:ascii="宋体"/>
              </w:rPr>
            </w:pPr>
          </w:p>
        </w:tc>
        <w:tc>
          <w:tcPr>
            <w:tcW w:w="0" w:type="auto"/>
            <w:shd w:val="clear" w:color="auto" w:fill="auto"/>
          </w:tcPr>
          <w:p w14:paraId="5EA1E833" w14:textId="77777777" w:rsidR="003C66EB" w:rsidRDefault="003C66EB">
            <w:pPr>
              <w:rPr>
                <w:rFonts w:ascii="宋体"/>
              </w:rPr>
            </w:pPr>
          </w:p>
        </w:tc>
        <w:tc>
          <w:tcPr>
            <w:tcW w:w="0" w:type="auto"/>
            <w:shd w:val="clear" w:color="auto" w:fill="auto"/>
          </w:tcPr>
          <w:p w14:paraId="5EA1E834" w14:textId="77777777" w:rsidR="003C66EB" w:rsidRDefault="003C66EB">
            <w:pPr>
              <w:rPr>
                <w:rFonts w:ascii="宋体"/>
              </w:rPr>
            </w:pPr>
          </w:p>
        </w:tc>
        <w:tc>
          <w:tcPr>
            <w:tcW w:w="0" w:type="auto"/>
            <w:shd w:val="clear" w:color="auto" w:fill="auto"/>
          </w:tcPr>
          <w:p w14:paraId="5EA1E835" w14:textId="77777777" w:rsidR="003C66EB" w:rsidRDefault="003C66EB">
            <w:pPr>
              <w:rPr>
                <w:rFonts w:ascii="宋体"/>
              </w:rPr>
            </w:pPr>
          </w:p>
        </w:tc>
      </w:tr>
      <w:tr w:rsidR="003C66EB" w14:paraId="5EA1E84E" w14:textId="77777777">
        <w:tc>
          <w:tcPr>
            <w:tcW w:w="0" w:type="auto"/>
            <w:gridSpan w:val="3"/>
            <w:shd w:val="clear" w:color="auto" w:fill="auto"/>
            <w:tcMar>
              <w:top w:w="0" w:type="dxa"/>
              <w:left w:w="20" w:type="dxa"/>
              <w:bottom w:w="0" w:type="dxa"/>
              <w:right w:w="20" w:type="dxa"/>
            </w:tcMar>
          </w:tcPr>
          <w:p w14:paraId="5EA1E837"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838"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839"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1E83A"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5EA1E83B" w14:textId="77777777" w:rsidR="003C66EB" w:rsidRDefault="003C66EB">
            <w:pPr>
              <w:rPr>
                <w:rFonts w:ascii="宋体"/>
                <w:vanish/>
              </w:rPr>
            </w:pPr>
          </w:p>
        </w:tc>
        <w:tc>
          <w:tcPr>
            <w:tcW w:w="0" w:type="auto"/>
            <w:gridSpan w:val="3"/>
            <w:shd w:val="clear" w:color="auto" w:fill="auto"/>
          </w:tcPr>
          <w:p w14:paraId="5EA1E83C" w14:textId="77777777" w:rsidR="003C66EB" w:rsidRDefault="003C66EB">
            <w:pPr>
              <w:rPr>
                <w:rFonts w:ascii="宋体"/>
                <w:vanish/>
              </w:rPr>
            </w:pPr>
          </w:p>
        </w:tc>
        <w:tc>
          <w:tcPr>
            <w:tcW w:w="0" w:type="auto"/>
            <w:gridSpan w:val="3"/>
            <w:shd w:val="clear" w:color="auto" w:fill="auto"/>
          </w:tcPr>
          <w:p w14:paraId="5EA1E83D" w14:textId="77777777" w:rsidR="003C66EB" w:rsidRDefault="003C66EB">
            <w:pPr>
              <w:rPr>
                <w:rFonts w:ascii="宋体"/>
                <w:vanish/>
              </w:rPr>
            </w:pPr>
          </w:p>
        </w:tc>
        <w:tc>
          <w:tcPr>
            <w:tcW w:w="0" w:type="auto"/>
            <w:gridSpan w:val="3"/>
            <w:shd w:val="clear" w:color="auto" w:fill="auto"/>
          </w:tcPr>
          <w:p w14:paraId="5EA1E83E" w14:textId="77777777" w:rsidR="003C66EB" w:rsidRDefault="003C66EB">
            <w:pPr>
              <w:rPr>
                <w:rFonts w:ascii="宋体"/>
                <w:vanish/>
              </w:rPr>
            </w:pPr>
          </w:p>
        </w:tc>
        <w:tc>
          <w:tcPr>
            <w:tcW w:w="0" w:type="auto"/>
            <w:shd w:val="clear" w:color="auto" w:fill="auto"/>
          </w:tcPr>
          <w:p w14:paraId="5EA1E83F" w14:textId="77777777" w:rsidR="003C66EB" w:rsidRDefault="003C66EB">
            <w:pPr>
              <w:rPr>
                <w:rFonts w:ascii="宋体"/>
              </w:rPr>
            </w:pPr>
          </w:p>
        </w:tc>
        <w:tc>
          <w:tcPr>
            <w:tcW w:w="0" w:type="auto"/>
            <w:shd w:val="clear" w:color="auto" w:fill="auto"/>
          </w:tcPr>
          <w:p w14:paraId="5EA1E840" w14:textId="77777777" w:rsidR="003C66EB" w:rsidRDefault="003C66EB">
            <w:pPr>
              <w:rPr>
                <w:rFonts w:ascii="宋体"/>
              </w:rPr>
            </w:pPr>
          </w:p>
        </w:tc>
        <w:tc>
          <w:tcPr>
            <w:tcW w:w="0" w:type="auto"/>
            <w:shd w:val="clear" w:color="auto" w:fill="auto"/>
          </w:tcPr>
          <w:p w14:paraId="5EA1E841" w14:textId="77777777" w:rsidR="003C66EB" w:rsidRDefault="003C66EB">
            <w:pPr>
              <w:rPr>
                <w:rFonts w:ascii="宋体"/>
              </w:rPr>
            </w:pPr>
          </w:p>
        </w:tc>
        <w:tc>
          <w:tcPr>
            <w:tcW w:w="0" w:type="auto"/>
            <w:shd w:val="clear" w:color="auto" w:fill="auto"/>
          </w:tcPr>
          <w:p w14:paraId="5EA1E842" w14:textId="77777777" w:rsidR="003C66EB" w:rsidRDefault="003C66EB">
            <w:pPr>
              <w:rPr>
                <w:rFonts w:ascii="宋体"/>
              </w:rPr>
            </w:pPr>
          </w:p>
        </w:tc>
        <w:tc>
          <w:tcPr>
            <w:tcW w:w="0" w:type="auto"/>
            <w:shd w:val="clear" w:color="auto" w:fill="auto"/>
          </w:tcPr>
          <w:p w14:paraId="5EA1E843" w14:textId="77777777" w:rsidR="003C66EB" w:rsidRDefault="003C66EB">
            <w:pPr>
              <w:rPr>
                <w:rFonts w:ascii="宋体"/>
              </w:rPr>
            </w:pPr>
          </w:p>
        </w:tc>
        <w:tc>
          <w:tcPr>
            <w:tcW w:w="0" w:type="auto"/>
            <w:shd w:val="clear" w:color="auto" w:fill="auto"/>
          </w:tcPr>
          <w:p w14:paraId="5EA1E844" w14:textId="77777777" w:rsidR="003C66EB" w:rsidRDefault="003C66EB">
            <w:pPr>
              <w:rPr>
                <w:rFonts w:ascii="宋体"/>
              </w:rPr>
            </w:pPr>
          </w:p>
        </w:tc>
        <w:tc>
          <w:tcPr>
            <w:tcW w:w="0" w:type="auto"/>
            <w:shd w:val="clear" w:color="auto" w:fill="auto"/>
          </w:tcPr>
          <w:p w14:paraId="5EA1E845" w14:textId="77777777" w:rsidR="003C66EB" w:rsidRDefault="003C66EB">
            <w:pPr>
              <w:rPr>
                <w:rFonts w:ascii="宋体"/>
              </w:rPr>
            </w:pPr>
          </w:p>
        </w:tc>
        <w:tc>
          <w:tcPr>
            <w:tcW w:w="0" w:type="auto"/>
            <w:shd w:val="clear" w:color="auto" w:fill="auto"/>
          </w:tcPr>
          <w:p w14:paraId="5EA1E846" w14:textId="77777777" w:rsidR="003C66EB" w:rsidRDefault="003C66EB">
            <w:pPr>
              <w:rPr>
                <w:rFonts w:ascii="宋体"/>
              </w:rPr>
            </w:pPr>
          </w:p>
        </w:tc>
        <w:tc>
          <w:tcPr>
            <w:tcW w:w="0" w:type="auto"/>
            <w:shd w:val="clear" w:color="auto" w:fill="auto"/>
          </w:tcPr>
          <w:p w14:paraId="5EA1E847" w14:textId="77777777" w:rsidR="003C66EB" w:rsidRDefault="003C66EB">
            <w:pPr>
              <w:rPr>
                <w:rFonts w:ascii="宋体"/>
              </w:rPr>
            </w:pPr>
          </w:p>
        </w:tc>
        <w:tc>
          <w:tcPr>
            <w:tcW w:w="0" w:type="auto"/>
            <w:shd w:val="clear" w:color="auto" w:fill="auto"/>
          </w:tcPr>
          <w:p w14:paraId="5EA1E848" w14:textId="77777777" w:rsidR="003C66EB" w:rsidRDefault="003C66EB">
            <w:pPr>
              <w:rPr>
                <w:rFonts w:ascii="宋体"/>
              </w:rPr>
            </w:pPr>
          </w:p>
        </w:tc>
        <w:tc>
          <w:tcPr>
            <w:tcW w:w="0" w:type="auto"/>
            <w:shd w:val="clear" w:color="auto" w:fill="auto"/>
          </w:tcPr>
          <w:p w14:paraId="5EA1E849" w14:textId="77777777" w:rsidR="003C66EB" w:rsidRDefault="003C66EB">
            <w:pPr>
              <w:rPr>
                <w:rFonts w:ascii="宋体"/>
              </w:rPr>
            </w:pPr>
          </w:p>
        </w:tc>
        <w:tc>
          <w:tcPr>
            <w:tcW w:w="0" w:type="auto"/>
            <w:shd w:val="clear" w:color="auto" w:fill="auto"/>
          </w:tcPr>
          <w:p w14:paraId="5EA1E84A" w14:textId="77777777" w:rsidR="003C66EB" w:rsidRDefault="003C66EB">
            <w:pPr>
              <w:rPr>
                <w:rFonts w:ascii="宋体"/>
              </w:rPr>
            </w:pPr>
          </w:p>
        </w:tc>
        <w:tc>
          <w:tcPr>
            <w:tcW w:w="0" w:type="auto"/>
            <w:shd w:val="clear" w:color="auto" w:fill="auto"/>
          </w:tcPr>
          <w:p w14:paraId="5EA1E84B" w14:textId="77777777" w:rsidR="003C66EB" w:rsidRDefault="003C66EB">
            <w:pPr>
              <w:rPr>
                <w:rFonts w:ascii="宋体"/>
              </w:rPr>
            </w:pPr>
          </w:p>
        </w:tc>
        <w:tc>
          <w:tcPr>
            <w:tcW w:w="0" w:type="auto"/>
            <w:shd w:val="clear" w:color="auto" w:fill="auto"/>
          </w:tcPr>
          <w:p w14:paraId="5EA1E84C" w14:textId="77777777" w:rsidR="003C66EB" w:rsidRDefault="003C66EB">
            <w:pPr>
              <w:rPr>
                <w:rFonts w:ascii="宋体"/>
              </w:rPr>
            </w:pPr>
          </w:p>
        </w:tc>
        <w:tc>
          <w:tcPr>
            <w:tcW w:w="0" w:type="auto"/>
            <w:shd w:val="clear" w:color="auto" w:fill="auto"/>
          </w:tcPr>
          <w:p w14:paraId="5EA1E84D" w14:textId="77777777" w:rsidR="003C66EB" w:rsidRDefault="003C66EB">
            <w:pPr>
              <w:rPr>
                <w:rFonts w:ascii="宋体"/>
              </w:rPr>
            </w:pPr>
          </w:p>
        </w:tc>
      </w:tr>
      <w:tr w:rsidR="003C66EB" w14:paraId="5EA1E865" w14:textId="77777777">
        <w:tc>
          <w:tcPr>
            <w:tcW w:w="0" w:type="auto"/>
            <w:gridSpan w:val="3"/>
            <w:shd w:val="clear" w:color="auto" w:fill="FFFFFF"/>
            <w:tcMar>
              <w:top w:w="40" w:type="dxa"/>
              <w:left w:w="20" w:type="dxa"/>
              <w:bottom w:w="40" w:type="dxa"/>
              <w:right w:w="20" w:type="dxa"/>
            </w:tcMar>
            <w:vAlign w:val="bottom"/>
          </w:tcPr>
          <w:p w14:paraId="5EA1E84F" w14:textId="77777777" w:rsidR="003C66EB" w:rsidRDefault="00D96C4E">
            <w:pPr>
              <w:textAlignment w:val="bottom"/>
            </w:pPr>
            <w:r>
              <w:rPr>
                <w:rFonts w:ascii="Arial" w:eastAsia="宋体" w:hAnsi="Arial" w:cs="Arial"/>
                <w:b/>
                <w:bCs/>
                <w:color w:val="000000"/>
                <w:sz w:val="14"/>
                <w:szCs w:val="14"/>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1E850" w14:textId="77777777" w:rsidR="003C66EB" w:rsidRDefault="00D96C4E">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tcPr>
          <w:p w14:paraId="5EA1E851"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1E852" w14:textId="77777777" w:rsidR="003C66EB" w:rsidRDefault="00D96C4E">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tcPr>
          <w:p w14:paraId="5EA1E853"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1E854" w14:textId="77777777" w:rsidR="003C66EB" w:rsidRDefault="00D96C4E">
            <w:pPr>
              <w:jc w:val="center"/>
              <w:textAlignment w:val="bottom"/>
            </w:pPr>
            <w:r>
              <w:rPr>
                <w:rFonts w:ascii="Arial" w:eastAsia="宋体" w:hAnsi="Arial" w:cs="Arial"/>
                <w:b/>
                <w:bCs/>
                <w:color w:val="000000"/>
                <w:sz w:val="14"/>
                <w:szCs w:val="14"/>
              </w:rPr>
              <w:t>Rate</w:t>
            </w:r>
          </w:p>
        </w:tc>
        <w:tc>
          <w:tcPr>
            <w:tcW w:w="0" w:type="auto"/>
            <w:gridSpan w:val="3"/>
            <w:shd w:val="clear" w:color="auto" w:fill="FFFFFF"/>
            <w:tcMar>
              <w:top w:w="0" w:type="dxa"/>
              <w:left w:w="20" w:type="dxa"/>
              <w:bottom w:w="0" w:type="dxa"/>
              <w:right w:w="20" w:type="dxa"/>
            </w:tcMar>
          </w:tcPr>
          <w:p w14:paraId="5EA1E855"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1E856" w14:textId="77777777" w:rsidR="003C66EB" w:rsidRDefault="00D96C4E">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tcPr>
          <w:p w14:paraId="5EA1E857"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1E858" w14:textId="77777777" w:rsidR="003C66EB" w:rsidRDefault="00D96C4E">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r>
            <w:r>
              <w:rPr>
                <w:rFonts w:ascii="Arial" w:eastAsia="宋体" w:hAnsi="Arial" w:cs="Arial"/>
                <w:b/>
                <w:bCs/>
                <w:color w:val="000000"/>
                <w:sz w:val="14"/>
                <w:szCs w:val="14"/>
              </w:rPr>
              <w:t>Revenue/Expense</w:t>
            </w:r>
          </w:p>
        </w:tc>
        <w:tc>
          <w:tcPr>
            <w:tcW w:w="0" w:type="auto"/>
            <w:gridSpan w:val="3"/>
            <w:tcBorders>
              <w:top w:val="single" w:sz="8" w:space="0" w:color="000000"/>
            </w:tcBorders>
            <w:shd w:val="clear" w:color="auto" w:fill="FFFFFF"/>
            <w:tcMar>
              <w:top w:w="0" w:type="dxa"/>
              <w:left w:w="20" w:type="dxa"/>
              <w:bottom w:w="0" w:type="dxa"/>
              <w:right w:w="20" w:type="dxa"/>
            </w:tcMar>
          </w:tcPr>
          <w:p w14:paraId="5EA1E859"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1E85A" w14:textId="77777777" w:rsidR="003C66EB" w:rsidRDefault="00D96C4E">
            <w:pPr>
              <w:jc w:val="center"/>
              <w:textAlignment w:val="bottom"/>
            </w:pPr>
            <w:r>
              <w:rPr>
                <w:rFonts w:ascii="Arial" w:eastAsia="宋体" w:hAnsi="Arial" w:cs="Arial"/>
                <w:b/>
                <w:bCs/>
                <w:color w:val="000000"/>
                <w:sz w:val="14"/>
                <w:szCs w:val="14"/>
              </w:rPr>
              <w:t>Rate</w:t>
            </w:r>
          </w:p>
        </w:tc>
        <w:tc>
          <w:tcPr>
            <w:tcW w:w="0" w:type="auto"/>
            <w:gridSpan w:val="3"/>
            <w:shd w:val="clear" w:color="auto" w:fill="auto"/>
          </w:tcPr>
          <w:p w14:paraId="5EA1E85B" w14:textId="77777777" w:rsidR="003C66EB" w:rsidRDefault="003C66EB">
            <w:pPr>
              <w:rPr>
                <w:rFonts w:ascii="宋体"/>
                <w:vanish/>
              </w:rPr>
            </w:pPr>
          </w:p>
        </w:tc>
        <w:tc>
          <w:tcPr>
            <w:tcW w:w="0" w:type="auto"/>
            <w:gridSpan w:val="3"/>
            <w:shd w:val="clear" w:color="auto" w:fill="auto"/>
          </w:tcPr>
          <w:p w14:paraId="5EA1E85C" w14:textId="77777777" w:rsidR="003C66EB" w:rsidRDefault="003C66EB">
            <w:pPr>
              <w:rPr>
                <w:rFonts w:ascii="宋体"/>
                <w:vanish/>
              </w:rPr>
            </w:pPr>
          </w:p>
        </w:tc>
        <w:tc>
          <w:tcPr>
            <w:tcW w:w="0" w:type="auto"/>
            <w:gridSpan w:val="3"/>
            <w:shd w:val="clear" w:color="auto" w:fill="auto"/>
          </w:tcPr>
          <w:p w14:paraId="5EA1E85D" w14:textId="77777777" w:rsidR="003C66EB" w:rsidRDefault="003C66EB">
            <w:pPr>
              <w:rPr>
                <w:rFonts w:ascii="宋体"/>
                <w:vanish/>
              </w:rPr>
            </w:pPr>
          </w:p>
        </w:tc>
        <w:tc>
          <w:tcPr>
            <w:tcW w:w="0" w:type="auto"/>
            <w:gridSpan w:val="3"/>
            <w:shd w:val="clear" w:color="auto" w:fill="auto"/>
          </w:tcPr>
          <w:p w14:paraId="5EA1E85E" w14:textId="77777777" w:rsidR="003C66EB" w:rsidRDefault="003C66EB">
            <w:pPr>
              <w:rPr>
                <w:rFonts w:ascii="宋体"/>
                <w:vanish/>
              </w:rPr>
            </w:pPr>
          </w:p>
        </w:tc>
        <w:tc>
          <w:tcPr>
            <w:tcW w:w="0" w:type="auto"/>
            <w:gridSpan w:val="3"/>
            <w:shd w:val="clear" w:color="auto" w:fill="auto"/>
          </w:tcPr>
          <w:p w14:paraId="5EA1E85F" w14:textId="77777777" w:rsidR="003C66EB" w:rsidRDefault="003C66EB">
            <w:pPr>
              <w:rPr>
                <w:rFonts w:ascii="宋体"/>
                <w:vanish/>
              </w:rPr>
            </w:pPr>
          </w:p>
        </w:tc>
        <w:tc>
          <w:tcPr>
            <w:tcW w:w="0" w:type="auto"/>
            <w:gridSpan w:val="3"/>
            <w:shd w:val="clear" w:color="auto" w:fill="auto"/>
          </w:tcPr>
          <w:p w14:paraId="5EA1E860" w14:textId="77777777" w:rsidR="003C66EB" w:rsidRDefault="003C66EB">
            <w:pPr>
              <w:rPr>
                <w:rFonts w:ascii="宋体"/>
                <w:vanish/>
              </w:rPr>
            </w:pPr>
          </w:p>
        </w:tc>
        <w:tc>
          <w:tcPr>
            <w:tcW w:w="0" w:type="auto"/>
            <w:gridSpan w:val="3"/>
            <w:shd w:val="clear" w:color="auto" w:fill="auto"/>
          </w:tcPr>
          <w:p w14:paraId="5EA1E861" w14:textId="77777777" w:rsidR="003C66EB" w:rsidRDefault="003C66EB">
            <w:pPr>
              <w:rPr>
                <w:rFonts w:ascii="宋体"/>
                <w:vanish/>
              </w:rPr>
            </w:pPr>
          </w:p>
        </w:tc>
        <w:tc>
          <w:tcPr>
            <w:tcW w:w="0" w:type="auto"/>
            <w:gridSpan w:val="3"/>
            <w:shd w:val="clear" w:color="auto" w:fill="auto"/>
          </w:tcPr>
          <w:p w14:paraId="5EA1E862" w14:textId="77777777" w:rsidR="003C66EB" w:rsidRDefault="003C66EB">
            <w:pPr>
              <w:rPr>
                <w:rFonts w:ascii="宋体"/>
                <w:vanish/>
              </w:rPr>
            </w:pPr>
          </w:p>
        </w:tc>
        <w:tc>
          <w:tcPr>
            <w:tcW w:w="0" w:type="auto"/>
            <w:gridSpan w:val="2"/>
            <w:shd w:val="clear" w:color="auto" w:fill="auto"/>
          </w:tcPr>
          <w:p w14:paraId="5EA1E863" w14:textId="77777777" w:rsidR="003C66EB" w:rsidRDefault="003C66EB">
            <w:pPr>
              <w:rPr>
                <w:rFonts w:ascii="宋体"/>
                <w:vanish/>
              </w:rPr>
            </w:pPr>
          </w:p>
        </w:tc>
        <w:tc>
          <w:tcPr>
            <w:tcW w:w="0" w:type="auto"/>
            <w:shd w:val="clear" w:color="auto" w:fill="auto"/>
          </w:tcPr>
          <w:p w14:paraId="5EA1E864" w14:textId="77777777" w:rsidR="003C66EB" w:rsidRDefault="003C66EB">
            <w:pPr>
              <w:rPr>
                <w:rFonts w:ascii="宋体"/>
                <w:vanish/>
              </w:rPr>
            </w:pPr>
          </w:p>
        </w:tc>
      </w:tr>
      <w:tr w:rsidR="003C66EB" w14:paraId="5EA1E886" w14:textId="77777777">
        <w:tc>
          <w:tcPr>
            <w:tcW w:w="0" w:type="auto"/>
            <w:gridSpan w:val="3"/>
            <w:shd w:val="clear" w:color="auto" w:fill="CCEEFF"/>
            <w:tcMar>
              <w:top w:w="40" w:type="dxa"/>
              <w:left w:w="20" w:type="dxa"/>
              <w:bottom w:w="40" w:type="dxa"/>
              <w:right w:w="20" w:type="dxa"/>
            </w:tcMar>
            <w:vAlign w:val="bottom"/>
          </w:tcPr>
          <w:p w14:paraId="5EA1E866" w14:textId="77777777" w:rsidR="003C66EB" w:rsidRDefault="00D96C4E">
            <w:pPr>
              <w:textAlignment w:val="bottom"/>
            </w:pPr>
            <w:r>
              <w:rPr>
                <w:rFonts w:ascii="Arial" w:eastAsia="宋体" w:hAnsi="Arial" w:cs="Arial"/>
                <w:color w:val="000000"/>
                <w:sz w:val="14"/>
                <w:szCs w:val="14"/>
              </w:rPr>
              <w:t>Interest-bearing deposits with banks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86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868" w14:textId="77777777" w:rsidR="003C66EB" w:rsidRDefault="00D96C4E">
            <w:pPr>
              <w:jc w:val="right"/>
              <w:textAlignment w:val="bottom"/>
            </w:pPr>
            <w:r>
              <w:rPr>
                <w:rFonts w:ascii="Arial" w:eastAsia="宋体" w:hAnsi="Arial" w:cs="Arial"/>
                <w:b/>
                <w:bCs/>
                <w:color w:val="000000"/>
                <w:sz w:val="14"/>
                <w:szCs w:val="14"/>
              </w:rPr>
              <w:t>95,235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86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6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86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86C" w14:textId="77777777" w:rsidR="003C66EB" w:rsidRDefault="00D96C4E">
            <w:pPr>
              <w:jc w:val="right"/>
              <w:textAlignment w:val="bottom"/>
            </w:pPr>
            <w:r>
              <w:rPr>
                <w:rFonts w:ascii="Arial" w:eastAsia="宋体" w:hAnsi="Arial" w:cs="Arial"/>
                <w:b/>
                <w:bCs/>
                <w:color w:val="000000"/>
                <w:sz w:val="14"/>
                <w:szCs w:val="14"/>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8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6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86F" w14:textId="77777777" w:rsidR="003C66EB" w:rsidRDefault="00D96C4E">
            <w:pPr>
              <w:jc w:val="right"/>
              <w:textAlignment w:val="bottom"/>
            </w:pPr>
            <w:r>
              <w:rPr>
                <w:rFonts w:ascii="Arial" w:eastAsia="宋体" w:hAnsi="Arial" w:cs="Arial"/>
                <w:b/>
                <w:bCs/>
                <w:color w:val="000000"/>
                <w:sz w:val="14"/>
                <w:szCs w:val="14"/>
              </w:rPr>
              <w:t>(.04)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870" w14:textId="77777777" w:rsidR="003C66EB" w:rsidRDefault="00D96C4E">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5EA1E87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87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873" w14:textId="77777777" w:rsidR="003C66EB" w:rsidRDefault="00D96C4E">
            <w:pPr>
              <w:jc w:val="right"/>
              <w:textAlignment w:val="bottom"/>
            </w:pPr>
            <w:r>
              <w:rPr>
                <w:rFonts w:ascii="Arial" w:eastAsia="宋体" w:hAnsi="Arial" w:cs="Arial"/>
                <w:color w:val="000000"/>
                <w:sz w:val="14"/>
                <w:szCs w:val="14"/>
              </w:rPr>
              <w:t>67,120 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8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7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87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877" w14:textId="77777777" w:rsidR="003C66EB" w:rsidRDefault="00D96C4E">
            <w:pPr>
              <w:jc w:val="right"/>
              <w:textAlignment w:val="bottom"/>
            </w:pPr>
            <w:r>
              <w:rPr>
                <w:rFonts w:ascii="Arial" w:eastAsia="宋体" w:hAnsi="Arial" w:cs="Arial"/>
                <w:color w:val="000000"/>
                <w:sz w:val="14"/>
                <w:szCs w:val="14"/>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87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7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87A" w14:textId="77777777" w:rsidR="003C66EB" w:rsidRDefault="00D96C4E">
            <w:pPr>
              <w:jc w:val="right"/>
              <w:textAlignment w:val="bottom"/>
            </w:pPr>
            <w:r>
              <w:rPr>
                <w:rFonts w:ascii="Arial" w:eastAsia="宋体" w:hAnsi="Arial" w:cs="Arial"/>
                <w:color w:val="000000"/>
                <w:sz w:val="14"/>
                <w:szCs w:val="14"/>
              </w:rPr>
              <w:t>.49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87B"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Pr>
          <w:p w14:paraId="5EA1E87C" w14:textId="77777777" w:rsidR="003C66EB" w:rsidRDefault="003C66EB">
            <w:pPr>
              <w:rPr>
                <w:rFonts w:ascii="宋体"/>
                <w:vanish/>
              </w:rPr>
            </w:pPr>
          </w:p>
        </w:tc>
        <w:tc>
          <w:tcPr>
            <w:tcW w:w="0" w:type="auto"/>
            <w:gridSpan w:val="3"/>
            <w:shd w:val="clear" w:color="auto" w:fill="auto"/>
          </w:tcPr>
          <w:p w14:paraId="5EA1E87D" w14:textId="77777777" w:rsidR="003C66EB" w:rsidRDefault="003C66EB">
            <w:pPr>
              <w:rPr>
                <w:rFonts w:ascii="宋体"/>
                <w:vanish/>
              </w:rPr>
            </w:pPr>
          </w:p>
        </w:tc>
        <w:tc>
          <w:tcPr>
            <w:tcW w:w="0" w:type="auto"/>
            <w:gridSpan w:val="3"/>
            <w:shd w:val="clear" w:color="auto" w:fill="auto"/>
          </w:tcPr>
          <w:p w14:paraId="5EA1E87E" w14:textId="77777777" w:rsidR="003C66EB" w:rsidRDefault="003C66EB">
            <w:pPr>
              <w:rPr>
                <w:rFonts w:ascii="宋体"/>
                <w:vanish/>
              </w:rPr>
            </w:pPr>
          </w:p>
        </w:tc>
        <w:tc>
          <w:tcPr>
            <w:tcW w:w="0" w:type="auto"/>
            <w:gridSpan w:val="3"/>
            <w:shd w:val="clear" w:color="auto" w:fill="auto"/>
          </w:tcPr>
          <w:p w14:paraId="5EA1E87F" w14:textId="77777777" w:rsidR="003C66EB" w:rsidRDefault="003C66EB">
            <w:pPr>
              <w:rPr>
                <w:rFonts w:ascii="宋体"/>
                <w:vanish/>
              </w:rPr>
            </w:pPr>
          </w:p>
        </w:tc>
        <w:tc>
          <w:tcPr>
            <w:tcW w:w="0" w:type="auto"/>
            <w:gridSpan w:val="3"/>
            <w:shd w:val="clear" w:color="auto" w:fill="auto"/>
          </w:tcPr>
          <w:p w14:paraId="5EA1E880" w14:textId="77777777" w:rsidR="003C66EB" w:rsidRDefault="003C66EB">
            <w:pPr>
              <w:rPr>
                <w:rFonts w:ascii="宋体"/>
                <w:vanish/>
              </w:rPr>
            </w:pPr>
          </w:p>
        </w:tc>
        <w:tc>
          <w:tcPr>
            <w:tcW w:w="0" w:type="auto"/>
            <w:gridSpan w:val="3"/>
            <w:shd w:val="clear" w:color="auto" w:fill="auto"/>
          </w:tcPr>
          <w:p w14:paraId="5EA1E881" w14:textId="77777777" w:rsidR="003C66EB" w:rsidRDefault="003C66EB">
            <w:pPr>
              <w:rPr>
                <w:rFonts w:ascii="宋体"/>
                <w:vanish/>
              </w:rPr>
            </w:pPr>
          </w:p>
        </w:tc>
        <w:tc>
          <w:tcPr>
            <w:tcW w:w="0" w:type="auto"/>
            <w:gridSpan w:val="3"/>
            <w:shd w:val="clear" w:color="auto" w:fill="auto"/>
          </w:tcPr>
          <w:p w14:paraId="5EA1E882" w14:textId="77777777" w:rsidR="003C66EB" w:rsidRDefault="003C66EB">
            <w:pPr>
              <w:rPr>
                <w:rFonts w:ascii="宋体"/>
                <w:vanish/>
              </w:rPr>
            </w:pPr>
          </w:p>
        </w:tc>
        <w:tc>
          <w:tcPr>
            <w:tcW w:w="0" w:type="auto"/>
            <w:gridSpan w:val="3"/>
            <w:shd w:val="clear" w:color="auto" w:fill="auto"/>
          </w:tcPr>
          <w:p w14:paraId="5EA1E883" w14:textId="77777777" w:rsidR="003C66EB" w:rsidRDefault="003C66EB">
            <w:pPr>
              <w:rPr>
                <w:rFonts w:ascii="宋体"/>
                <w:vanish/>
              </w:rPr>
            </w:pPr>
          </w:p>
        </w:tc>
        <w:tc>
          <w:tcPr>
            <w:tcW w:w="0" w:type="auto"/>
            <w:gridSpan w:val="2"/>
            <w:shd w:val="clear" w:color="auto" w:fill="auto"/>
          </w:tcPr>
          <w:p w14:paraId="5EA1E884" w14:textId="77777777" w:rsidR="003C66EB" w:rsidRDefault="003C66EB">
            <w:pPr>
              <w:rPr>
                <w:rFonts w:ascii="宋体"/>
                <w:vanish/>
              </w:rPr>
            </w:pPr>
          </w:p>
        </w:tc>
        <w:tc>
          <w:tcPr>
            <w:tcW w:w="0" w:type="auto"/>
            <w:shd w:val="clear" w:color="auto" w:fill="auto"/>
          </w:tcPr>
          <w:p w14:paraId="5EA1E885" w14:textId="77777777" w:rsidR="003C66EB" w:rsidRDefault="003C66EB">
            <w:pPr>
              <w:rPr>
                <w:rFonts w:ascii="宋体"/>
                <w:vanish/>
              </w:rPr>
            </w:pPr>
          </w:p>
        </w:tc>
      </w:tr>
      <w:tr w:rsidR="003C66EB" w14:paraId="5EA1E8A3" w14:textId="77777777">
        <w:tc>
          <w:tcPr>
            <w:tcW w:w="0" w:type="auto"/>
            <w:gridSpan w:val="3"/>
            <w:shd w:val="clear" w:color="auto" w:fill="FFFFFF"/>
            <w:tcMar>
              <w:top w:w="40" w:type="dxa"/>
              <w:left w:w="20" w:type="dxa"/>
              <w:bottom w:w="40" w:type="dxa"/>
              <w:right w:w="20" w:type="dxa"/>
            </w:tcMar>
            <w:vAlign w:val="bottom"/>
          </w:tcPr>
          <w:p w14:paraId="5EA1E887" w14:textId="77777777" w:rsidR="003C66EB" w:rsidRDefault="00D96C4E">
            <w:pPr>
              <w:textAlignment w:val="bottom"/>
            </w:pPr>
            <w:r>
              <w:rPr>
                <w:rFonts w:ascii="Arial" w:eastAsia="宋体" w:hAnsi="Arial" w:cs="Arial"/>
                <w:color w:val="000000"/>
                <w:sz w:val="14"/>
                <w:szCs w:val="14"/>
              </w:rPr>
              <w:t>Securities purchased under resale agreements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1E888" w14:textId="77777777" w:rsidR="003C66EB" w:rsidRDefault="00D96C4E">
            <w:pPr>
              <w:jc w:val="right"/>
              <w:textAlignment w:val="bottom"/>
            </w:pPr>
            <w:r>
              <w:rPr>
                <w:rFonts w:ascii="Arial" w:eastAsia="宋体" w:hAnsi="Arial" w:cs="Arial"/>
                <w:b/>
                <w:bCs/>
                <w:color w:val="000000"/>
                <w:sz w:val="14"/>
                <w:szCs w:val="14"/>
              </w:rPr>
              <w:t>4,568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8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8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8B" w14:textId="77777777" w:rsidR="003C66EB" w:rsidRDefault="00D96C4E">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8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8E" w14:textId="77777777" w:rsidR="003C66EB" w:rsidRDefault="00D96C4E">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8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91" w14:textId="77777777" w:rsidR="003C66EB" w:rsidRDefault="00D96C4E">
            <w:pPr>
              <w:jc w:val="right"/>
              <w:textAlignment w:val="bottom"/>
            </w:pPr>
            <w:r>
              <w:rPr>
                <w:rFonts w:ascii="Arial" w:eastAsia="宋体" w:hAnsi="Arial" w:cs="Arial"/>
                <w:color w:val="000000"/>
                <w:sz w:val="14"/>
                <w:szCs w:val="14"/>
              </w:rPr>
              <w:t>1,805 </w:t>
            </w:r>
          </w:p>
        </w:tc>
        <w:tc>
          <w:tcPr>
            <w:tcW w:w="0" w:type="auto"/>
            <w:shd w:val="clear" w:color="auto" w:fill="FFFFFF"/>
            <w:tcMar>
              <w:top w:w="40" w:type="dxa"/>
              <w:left w:w="0" w:type="dxa"/>
              <w:bottom w:w="40" w:type="dxa"/>
              <w:right w:w="20" w:type="dxa"/>
            </w:tcMar>
            <w:vAlign w:val="bottom"/>
          </w:tcPr>
          <w:p w14:paraId="5EA1E8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94" w14:textId="77777777" w:rsidR="003C66EB" w:rsidRDefault="00D96C4E">
            <w:pPr>
              <w:jc w:val="right"/>
              <w:textAlignment w:val="bottom"/>
            </w:pPr>
            <w:r>
              <w:rPr>
                <w:rFonts w:ascii="Arial" w:eastAsia="宋体" w:hAnsi="Arial" w:cs="Arial"/>
                <w:color w:val="000000"/>
                <w:sz w:val="14"/>
                <w:szCs w:val="14"/>
              </w:rPr>
              <w:t>65 </w:t>
            </w:r>
          </w:p>
        </w:tc>
        <w:tc>
          <w:tcPr>
            <w:tcW w:w="0" w:type="auto"/>
            <w:shd w:val="clear" w:color="auto" w:fill="FFFFFF"/>
            <w:tcMar>
              <w:top w:w="40" w:type="dxa"/>
              <w:left w:w="0" w:type="dxa"/>
              <w:bottom w:w="40" w:type="dxa"/>
              <w:right w:w="20" w:type="dxa"/>
            </w:tcMar>
            <w:vAlign w:val="bottom"/>
          </w:tcPr>
          <w:p w14:paraId="5EA1E8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97" w14:textId="77777777" w:rsidR="003C66EB" w:rsidRDefault="00D96C4E">
            <w:pPr>
              <w:jc w:val="right"/>
              <w:textAlignment w:val="bottom"/>
            </w:pPr>
            <w:r>
              <w:rPr>
                <w:rFonts w:ascii="Arial" w:eastAsia="宋体" w:hAnsi="Arial" w:cs="Arial"/>
                <w:color w:val="000000"/>
                <w:sz w:val="14"/>
                <w:szCs w:val="14"/>
              </w:rPr>
              <w:t>14.38 </w:t>
            </w:r>
          </w:p>
        </w:tc>
        <w:tc>
          <w:tcPr>
            <w:tcW w:w="0" w:type="auto"/>
            <w:shd w:val="clear" w:color="auto" w:fill="FFFFFF"/>
            <w:tcMar>
              <w:top w:w="40" w:type="dxa"/>
              <w:left w:w="0" w:type="dxa"/>
              <w:bottom w:w="40" w:type="dxa"/>
              <w:right w:w="20" w:type="dxa"/>
            </w:tcMar>
            <w:vAlign w:val="bottom"/>
          </w:tcPr>
          <w:p w14:paraId="5EA1E898" w14:textId="77777777" w:rsidR="003C66EB" w:rsidRDefault="003C66EB">
            <w:pPr>
              <w:jc w:val="right"/>
              <w:rPr>
                <w:rFonts w:ascii="宋体"/>
              </w:rPr>
            </w:pPr>
          </w:p>
        </w:tc>
        <w:tc>
          <w:tcPr>
            <w:tcW w:w="0" w:type="auto"/>
            <w:gridSpan w:val="3"/>
            <w:shd w:val="clear" w:color="auto" w:fill="auto"/>
          </w:tcPr>
          <w:p w14:paraId="5EA1E899" w14:textId="77777777" w:rsidR="003C66EB" w:rsidRDefault="003C66EB">
            <w:pPr>
              <w:rPr>
                <w:rFonts w:ascii="宋体"/>
                <w:vanish/>
              </w:rPr>
            </w:pPr>
          </w:p>
        </w:tc>
        <w:tc>
          <w:tcPr>
            <w:tcW w:w="0" w:type="auto"/>
            <w:gridSpan w:val="3"/>
            <w:shd w:val="clear" w:color="auto" w:fill="auto"/>
          </w:tcPr>
          <w:p w14:paraId="5EA1E89A" w14:textId="77777777" w:rsidR="003C66EB" w:rsidRDefault="003C66EB">
            <w:pPr>
              <w:rPr>
                <w:rFonts w:ascii="宋体"/>
                <w:vanish/>
              </w:rPr>
            </w:pPr>
          </w:p>
        </w:tc>
        <w:tc>
          <w:tcPr>
            <w:tcW w:w="0" w:type="auto"/>
            <w:gridSpan w:val="3"/>
            <w:shd w:val="clear" w:color="auto" w:fill="auto"/>
          </w:tcPr>
          <w:p w14:paraId="5EA1E89B" w14:textId="77777777" w:rsidR="003C66EB" w:rsidRDefault="003C66EB">
            <w:pPr>
              <w:rPr>
                <w:rFonts w:ascii="宋体"/>
                <w:vanish/>
              </w:rPr>
            </w:pPr>
          </w:p>
        </w:tc>
        <w:tc>
          <w:tcPr>
            <w:tcW w:w="0" w:type="auto"/>
            <w:gridSpan w:val="3"/>
            <w:shd w:val="clear" w:color="auto" w:fill="auto"/>
          </w:tcPr>
          <w:p w14:paraId="5EA1E89C" w14:textId="77777777" w:rsidR="003C66EB" w:rsidRDefault="003C66EB">
            <w:pPr>
              <w:rPr>
                <w:rFonts w:ascii="宋体"/>
                <w:vanish/>
              </w:rPr>
            </w:pPr>
          </w:p>
        </w:tc>
        <w:tc>
          <w:tcPr>
            <w:tcW w:w="0" w:type="auto"/>
            <w:gridSpan w:val="3"/>
            <w:shd w:val="clear" w:color="auto" w:fill="auto"/>
          </w:tcPr>
          <w:p w14:paraId="5EA1E89D" w14:textId="77777777" w:rsidR="003C66EB" w:rsidRDefault="003C66EB">
            <w:pPr>
              <w:rPr>
                <w:rFonts w:ascii="宋体"/>
                <w:vanish/>
              </w:rPr>
            </w:pPr>
          </w:p>
        </w:tc>
        <w:tc>
          <w:tcPr>
            <w:tcW w:w="0" w:type="auto"/>
            <w:gridSpan w:val="3"/>
            <w:shd w:val="clear" w:color="auto" w:fill="auto"/>
          </w:tcPr>
          <w:p w14:paraId="5EA1E89E" w14:textId="77777777" w:rsidR="003C66EB" w:rsidRDefault="003C66EB">
            <w:pPr>
              <w:rPr>
                <w:rFonts w:ascii="宋体"/>
                <w:vanish/>
              </w:rPr>
            </w:pPr>
          </w:p>
        </w:tc>
        <w:tc>
          <w:tcPr>
            <w:tcW w:w="0" w:type="auto"/>
            <w:gridSpan w:val="3"/>
            <w:shd w:val="clear" w:color="auto" w:fill="auto"/>
          </w:tcPr>
          <w:p w14:paraId="5EA1E89F" w14:textId="77777777" w:rsidR="003C66EB" w:rsidRDefault="003C66EB">
            <w:pPr>
              <w:rPr>
                <w:rFonts w:ascii="宋体"/>
                <w:vanish/>
              </w:rPr>
            </w:pPr>
          </w:p>
        </w:tc>
        <w:tc>
          <w:tcPr>
            <w:tcW w:w="0" w:type="auto"/>
            <w:gridSpan w:val="3"/>
            <w:shd w:val="clear" w:color="auto" w:fill="auto"/>
          </w:tcPr>
          <w:p w14:paraId="5EA1E8A0" w14:textId="77777777" w:rsidR="003C66EB" w:rsidRDefault="003C66EB">
            <w:pPr>
              <w:rPr>
                <w:rFonts w:ascii="宋体"/>
                <w:vanish/>
              </w:rPr>
            </w:pPr>
          </w:p>
        </w:tc>
        <w:tc>
          <w:tcPr>
            <w:tcW w:w="0" w:type="auto"/>
            <w:gridSpan w:val="2"/>
            <w:shd w:val="clear" w:color="auto" w:fill="auto"/>
          </w:tcPr>
          <w:p w14:paraId="5EA1E8A1" w14:textId="77777777" w:rsidR="003C66EB" w:rsidRDefault="003C66EB">
            <w:pPr>
              <w:rPr>
                <w:rFonts w:ascii="宋体"/>
                <w:vanish/>
              </w:rPr>
            </w:pPr>
          </w:p>
        </w:tc>
        <w:tc>
          <w:tcPr>
            <w:tcW w:w="0" w:type="auto"/>
            <w:shd w:val="clear" w:color="auto" w:fill="auto"/>
          </w:tcPr>
          <w:p w14:paraId="5EA1E8A2" w14:textId="77777777" w:rsidR="003C66EB" w:rsidRDefault="003C66EB">
            <w:pPr>
              <w:rPr>
                <w:rFonts w:ascii="宋体"/>
                <w:vanish/>
              </w:rPr>
            </w:pPr>
          </w:p>
        </w:tc>
      </w:tr>
      <w:tr w:rsidR="003C66EB" w14:paraId="5EA1E8C0" w14:textId="77777777">
        <w:tc>
          <w:tcPr>
            <w:tcW w:w="0" w:type="auto"/>
            <w:gridSpan w:val="3"/>
            <w:shd w:val="clear" w:color="auto" w:fill="CCEEFF"/>
            <w:tcMar>
              <w:top w:w="40" w:type="dxa"/>
              <w:left w:w="20" w:type="dxa"/>
              <w:bottom w:w="40" w:type="dxa"/>
              <w:right w:w="20" w:type="dxa"/>
            </w:tcMar>
            <w:vAlign w:val="bottom"/>
          </w:tcPr>
          <w:p w14:paraId="5EA1E8A4" w14:textId="77777777" w:rsidR="003C66EB" w:rsidRDefault="00D96C4E">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5EA1E8A5" w14:textId="77777777" w:rsidR="003C66EB" w:rsidRDefault="00D96C4E">
            <w:pPr>
              <w:jc w:val="right"/>
              <w:textAlignment w:val="bottom"/>
            </w:pPr>
            <w:r>
              <w:rPr>
                <w:rFonts w:ascii="Arial" w:eastAsia="宋体" w:hAnsi="Arial" w:cs="Arial"/>
                <w:b/>
                <w:bCs/>
                <w:color w:val="000000"/>
                <w:sz w:val="14"/>
                <w:szCs w:val="14"/>
              </w:rPr>
              <w:t>800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A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A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A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A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AB"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A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AE" w14:textId="77777777" w:rsidR="003C66EB" w:rsidRDefault="00D96C4E">
            <w:pPr>
              <w:jc w:val="right"/>
              <w:textAlignment w:val="bottom"/>
            </w:pPr>
            <w:r>
              <w:rPr>
                <w:rFonts w:ascii="Arial" w:eastAsia="宋体" w:hAnsi="Arial" w:cs="Arial"/>
                <w:color w:val="000000"/>
                <w:sz w:val="14"/>
                <w:szCs w:val="14"/>
              </w:rPr>
              <w:t>915 </w:t>
            </w:r>
          </w:p>
        </w:tc>
        <w:tc>
          <w:tcPr>
            <w:tcW w:w="0" w:type="auto"/>
            <w:shd w:val="clear" w:color="auto" w:fill="CCEEFF"/>
            <w:tcMar>
              <w:top w:w="40" w:type="dxa"/>
              <w:left w:w="0" w:type="dxa"/>
              <w:bottom w:w="40" w:type="dxa"/>
              <w:right w:w="20" w:type="dxa"/>
            </w:tcMar>
            <w:vAlign w:val="bottom"/>
          </w:tcPr>
          <w:p w14:paraId="5EA1E8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B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B1"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B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B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B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B5" w14:textId="77777777" w:rsidR="003C66EB" w:rsidRDefault="003C66EB">
            <w:pPr>
              <w:jc w:val="right"/>
              <w:rPr>
                <w:rFonts w:ascii="宋体"/>
              </w:rPr>
            </w:pPr>
          </w:p>
        </w:tc>
        <w:tc>
          <w:tcPr>
            <w:tcW w:w="0" w:type="auto"/>
            <w:gridSpan w:val="3"/>
            <w:shd w:val="clear" w:color="auto" w:fill="auto"/>
          </w:tcPr>
          <w:p w14:paraId="5EA1E8B6" w14:textId="77777777" w:rsidR="003C66EB" w:rsidRDefault="003C66EB">
            <w:pPr>
              <w:rPr>
                <w:rFonts w:ascii="宋体"/>
                <w:vanish/>
              </w:rPr>
            </w:pPr>
          </w:p>
        </w:tc>
        <w:tc>
          <w:tcPr>
            <w:tcW w:w="0" w:type="auto"/>
            <w:gridSpan w:val="3"/>
            <w:shd w:val="clear" w:color="auto" w:fill="auto"/>
          </w:tcPr>
          <w:p w14:paraId="5EA1E8B7" w14:textId="77777777" w:rsidR="003C66EB" w:rsidRDefault="003C66EB">
            <w:pPr>
              <w:rPr>
                <w:rFonts w:ascii="宋体"/>
                <w:vanish/>
              </w:rPr>
            </w:pPr>
          </w:p>
        </w:tc>
        <w:tc>
          <w:tcPr>
            <w:tcW w:w="0" w:type="auto"/>
            <w:gridSpan w:val="3"/>
            <w:shd w:val="clear" w:color="auto" w:fill="auto"/>
          </w:tcPr>
          <w:p w14:paraId="5EA1E8B8" w14:textId="77777777" w:rsidR="003C66EB" w:rsidRDefault="003C66EB">
            <w:pPr>
              <w:rPr>
                <w:rFonts w:ascii="宋体"/>
                <w:vanish/>
              </w:rPr>
            </w:pPr>
          </w:p>
        </w:tc>
        <w:tc>
          <w:tcPr>
            <w:tcW w:w="0" w:type="auto"/>
            <w:gridSpan w:val="3"/>
            <w:shd w:val="clear" w:color="auto" w:fill="auto"/>
          </w:tcPr>
          <w:p w14:paraId="5EA1E8B9" w14:textId="77777777" w:rsidR="003C66EB" w:rsidRDefault="003C66EB">
            <w:pPr>
              <w:rPr>
                <w:rFonts w:ascii="宋体"/>
                <w:vanish/>
              </w:rPr>
            </w:pPr>
          </w:p>
        </w:tc>
        <w:tc>
          <w:tcPr>
            <w:tcW w:w="0" w:type="auto"/>
            <w:gridSpan w:val="3"/>
            <w:shd w:val="clear" w:color="auto" w:fill="auto"/>
          </w:tcPr>
          <w:p w14:paraId="5EA1E8BA" w14:textId="77777777" w:rsidR="003C66EB" w:rsidRDefault="003C66EB">
            <w:pPr>
              <w:rPr>
                <w:rFonts w:ascii="宋体"/>
                <w:vanish/>
              </w:rPr>
            </w:pPr>
          </w:p>
        </w:tc>
        <w:tc>
          <w:tcPr>
            <w:tcW w:w="0" w:type="auto"/>
            <w:gridSpan w:val="3"/>
            <w:shd w:val="clear" w:color="auto" w:fill="auto"/>
          </w:tcPr>
          <w:p w14:paraId="5EA1E8BB" w14:textId="77777777" w:rsidR="003C66EB" w:rsidRDefault="003C66EB">
            <w:pPr>
              <w:rPr>
                <w:rFonts w:ascii="宋体"/>
                <w:vanish/>
              </w:rPr>
            </w:pPr>
          </w:p>
        </w:tc>
        <w:tc>
          <w:tcPr>
            <w:tcW w:w="0" w:type="auto"/>
            <w:gridSpan w:val="3"/>
            <w:shd w:val="clear" w:color="auto" w:fill="auto"/>
          </w:tcPr>
          <w:p w14:paraId="5EA1E8BC" w14:textId="77777777" w:rsidR="003C66EB" w:rsidRDefault="003C66EB">
            <w:pPr>
              <w:rPr>
                <w:rFonts w:ascii="宋体"/>
                <w:vanish/>
              </w:rPr>
            </w:pPr>
          </w:p>
        </w:tc>
        <w:tc>
          <w:tcPr>
            <w:tcW w:w="0" w:type="auto"/>
            <w:gridSpan w:val="3"/>
            <w:shd w:val="clear" w:color="auto" w:fill="auto"/>
          </w:tcPr>
          <w:p w14:paraId="5EA1E8BD" w14:textId="77777777" w:rsidR="003C66EB" w:rsidRDefault="003C66EB">
            <w:pPr>
              <w:rPr>
                <w:rFonts w:ascii="宋体"/>
                <w:vanish/>
              </w:rPr>
            </w:pPr>
          </w:p>
        </w:tc>
        <w:tc>
          <w:tcPr>
            <w:tcW w:w="0" w:type="auto"/>
            <w:gridSpan w:val="2"/>
            <w:shd w:val="clear" w:color="auto" w:fill="auto"/>
          </w:tcPr>
          <w:p w14:paraId="5EA1E8BE" w14:textId="77777777" w:rsidR="003C66EB" w:rsidRDefault="003C66EB">
            <w:pPr>
              <w:rPr>
                <w:rFonts w:ascii="宋体"/>
                <w:vanish/>
              </w:rPr>
            </w:pPr>
          </w:p>
        </w:tc>
        <w:tc>
          <w:tcPr>
            <w:tcW w:w="0" w:type="auto"/>
            <w:shd w:val="clear" w:color="auto" w:fill="auto"/>
          </w:tcPr>
          <w:p w14:paraId="5EA1E8BF" w14:textId="77777777" w:rsidR="003C66EB" w:rsidRDefault="003C66EB">
            <w:pPr>
              <w:rPr>
                <w:rFonts w:ascii="宋体"/>
                <w:vanish/>
              </w:rPr>
            </w:pPr>
          </w:p>
        </w:tc>
      </w:tr>
      <w:tr w:rsidR="003C66EB" w14:paraId="5EA1E8D7" w14:textId="77777777">
        <w:tc>
          <w:tcPr>
            <w:tcW w:w="0" w:type="auto"/>
            <w:gridSpan w:val="3"/>
            <w:shd w:val="clear" w:color="auto" w:fill="FFFFFF"/>
            <w:tcMar>
              <w:top w:w="40" w:type="dxa"/>
              <w:left w:w="20" w:type="dxa"/>
              <w:bottom w:w="40" w:type="dxa"/>
              <w:right w:w="20" w:type="dxa"/>
            </w:tcMar>
            <w:vAlign w:val="bottom"/>
          </w:tcPr>
          <w:p w14:paraId="5EA1E8C1" w14:textId="77777777" w:rsidR="003C66EB" w:rsidRDefault="00D96C4E">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tcPr>
          <w:p w14:paraId="5EA1E8C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8CC" w14:textId="77777777" w:rsidR="003C66EB" w:rsidRDefault="003C66EB">
            <w:pPr>
              <w:rPr>
                <w:rFonts w:ascii="宋体"/>
              </w:rPr>
            </w:pPr>
          </w:p>
        </w:tc>
        <w:tc>
          <w:tcPr>
            <w:tcW w:w="0" w:type="auto"/>
            <w:gridSpan w:val="3"/>
            <w:shd w:val="clear" w:color="auto" w:fill="auto"/>
          </w:tcPr>
          <w:p w14:paraId="5EA1E8CD" w14:textId="77777777" w:rsidR="003C66EB" w:rsidRDefault="003C66EB">
            <w:pPr>
              <w:rPr>
                <w:rFonts w:ascii="宋体"/>
                <w:vanish/>
              </w:rPr>
            </w:pPr>
          </w:p>
        </w:tc>
        <w:tc>
          <w:tcPr>
            <w:tcW w:w="0" w:type="auto"/>
            <w:gridSpan w:val="3"/>
            <w:shd w:val="clear" w:color="auto" w:fill="auto"/>
          </w:tcPr>
          <w:p w14:paraId="5EA1E8CE" w14:textId="77777777" w:rsidR="003C66EB" w:rsidRDefault="003C66EB">
            <w:pPr>
              <w:rPr>
                <w:rFonts w:ascii="宋体"/>
                <w:vanish/>
              </w:rPr>
            </w:pPr>
          </w:p>
        </w:tc>
        <w:tc>
          <w:tcPr>
            <w:tcW w:w="0" w:type="auto"/>
            <w:gridSpan w:val="3"/>
            <w:shd w:val="clear" w:color="auto" w:fill="auto"/>
          </w:tcPr>
          <w:p w14:paraId="5EA1E8CF" w14:textId="77777777" w:rsidR="003C66EB" w:rsidRDefault="003C66EB">
            <w:pPr>
              <w:rPr>
                <w:rFonts w:ascii="宋体"/>
                <w:vanish/>
              </w:rPr>
            </w:pPr>
          </w:p>
        </w:tc>
        <w:tc>
          <w:tcPr>
            <w:tcW w:w="0" w:type="auto"/>
            <w:gridSpan w:val="3"/>
            <w:shd w:val="clear" w:color="auto" w:fill="auto"/>
          </w:tcPr>
          <w:p w14:paraId="5EA1E8D0" w14:textId="77777777" w:rsidR="003C66EB" w:rsidRDefault="003C66EB">
            <w:pPr>
              <w:rPr>
                <w:rFonts w:ascii="宋体"/>
                <w:vanish/>
              </w:rPr>
            </w:pPr>
          </w:p>
        </w:tc>
        <w:tc>
          <w:tcPr>
            <w:tcW w:w="0" w:type="auto"/>
            <w:gridSpan w:val="3"/>
            <w:shd w:val="clear" w:color="auto" w:fill="auto"/>
          </w:tcPr>
          <w:p w14:paraId="5EA1E8D1" w14:textId="77777777" w:rsidR="003C66EB" w:rsidRDefault="003C66EB">
            <w:pPr>
              <w:rPr>
                <w:rFonts w:ascii="宋体"/>
                <w:vanish/>
              </w:rPr>
            </w:pPr>
          </w:p>
        </w:tc>
        <w:tc>
          <w:tcPr>
            <w:tcW w:w="0" w:type="auto"/>
            <w:gridSpan w:val="3"/>
            <w:shd w:val="clear" w:color="auto" w:fill="auto"/>
          </w:tcPr>
          <w:p w14:paraId="5EA1E8D2" w14:textId="77777777" w:rsidR="003C66EB" w:rsidRDefault="003C66EB">
            <w:pPr>
              <w:rPr>
                <w:rFonts w:ascii="宋体"/>
                <w:vanish/>
              </w:rPr>
            </w:pPr>
          </w:p>
        </w:tc>
        <w:tc>
          <w:tcPr>
            <w:tcW w:w="0" w:type="auto"/>
            <w:gridSpan w:val="3"/>
            <w:shd w:val="clear" w:color="auto" w:fill="auto"/>
          </w:tcPr>
          <w:p w14:paraId="5EA1E8D3" w14:textId="77777777" w:rsidR="003C66EB" w:rsidRDefault="003C66EB">
            <w:pPr>
              <w:rPr>
                <w:rFonts w:ascii="宋体"/>
                <w:vanish/>
              </w:rPr>
            </w:pPr>
          </w:p>
        </w:tc>
        <w:tc>
          <w:tcPr>
            <w:tcW w:w="0" w:type="auto"/>
            <w:gridSpan w:val="3"/>
            <w:shd w:val="clear" w:color="auto" w:fill="auto"/>
          </w:tcPr>
          <w:p w14:paraId="5EA1E8D4" w14:textId="77777777" w:rsidR="003C66EB" w:rsidRDefault="003C66EB">
            <w:pPr>
              <w:rPr>
                <w:rFonts w:ascii="宋体"/>
                <w:vanish/>
              </w:rPr>
            </w:pPr>
          </w:p>
        </w:tc>
        <w:tc>
          <w:tcPr>
            <w:tcW w:w="0" w:type="auto"/>
            <w:gridSpan w:val="2"/>
            <w:shd w:val="clear" w:color="auto" w:fill="auto"/>
          </w:tcPr>
          <w:p w14:paraId="5EA1E8D5" w14:textId="77777777" w:rsidR="003C66EB" w:rsidRDefault="003C66EB">
            <w:pPr>
              <w:rPr>
                <w:rFonts w:ascii="宋体"/>
                <w:vanish/>
              </w:rPr>
            </w:pPr>
          </w:p>
        </w:tc>
        <w:tc>
          <w:tcPr>
            <w:tcW w:w="0" w:type="auto"/>
            <w:shd w:val="clear" w:color="auto" w:fill="auto"/>
          </w:tcPr>
          <w:p w14:paraId="5EA1E8D6" w14:textId="77777777" w:rsidR="003C66EB" w:rsidRDefault="003C66EB">
            <w:pPr>
              <w:rPr>
                <w:rFonts w:ascii="宋体"/>
                <w:vanish/>
              </w:rPr>
            </w:pPr>
          </w:p>
        </w:tc>
      </w:tr>
      <w:tr w:rsidR="003C66EB" w14:paraId="5EA1E8F4" w14:textId="77777777">
        <w:tc>
          <w:tcPr>
            <w:tcW w:w="0" w:type="auto"/>
            <w:gridSpan w:val="3"/>
            <w:shd w:val="clear" w:color="auto" w:fill="CCEEFF"/>
            <w:tcMar>
              <w:top w:w="40" w:type="dxa"/>
              <w:left w:w="140" w:type="dxa"/>
              <w:bottom w:w="40" w:type="dxa"/>
              <w:right w:w="20" w:type="dxa"/>
            </w:tcMar>
            <w:vAlign w:val="bottom"/>
          </w:tcPr>
          <w:p w14:paraId="5EA1E8D8" w14:textId="77777777" w:rsidR="003C66EB" w:rsidRDefault="00D96C4E">
            <w:pPr>
              <w:textAlignment w:val="bottom"/>
            </w:pPr>
            <w:r>
              <w:rPr>
                <w:rFonts w:ascii="Arial" w:eastAsia="宋体" w:hAnsi="Arial" w:cs="Arial"/>
                <w:color w:val="000000"/>
                <w:sz w:val="14"/>
                <w:szCs w:val="14"/>
              </w:rPr>
              <w:t>Investment securities available for sale</w:t>
            </w:r>
          </w:p>
        </w:tc>
        <w:tc>
          <w:tcPr>
            <w:tcW w:w="0" w:type="auto"/>
            <w:gridSpan w:val="2"/>
            <w:shd w:val="clear" w:color="auto" w:fill="CCEEFF"/>
            <w:tcMar>
              <w:top w:w="40" w:type="dxa"/>
              <w:left w:w="20" w:type="dxa"/>
              <w:bottom w:w="40" w:type="dxa"/>
              <w:right w:w="0" w:type="dxa"/>
            </w:tcMar>
            <w:vAlign w:val="bottom"/>
          </w:tcPr>
          <w:p w14:paraId="5EA1E8D9" w14:textId="77777777" w:rsidR="003C66EB" w:rsidRDefault="00D96C4E">
            <w:pPr>
              <w:jc w:val="right"/>
              <w:textAlignment w:val="bottom"/>
            </w:pPr>
            <w:r>
              <w:rPr>
                <w:rFonts w:ascii="Arial" w:eastAsia="宋体" w:hAnsi="Arial" w:cs="Arial"/>
                <w:b/>
                <w:bCs/>
                <w:color w:val="000000"/>
                <w:sz w:val="14"/>
                <w:szCs w:val="14"/>
              </w:rPr>
              <w:t>59,191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D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D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DC" w14:textId="77777777" w:rsidR="003C66EB" w:rsidRDefault="00D96C4E">
            <w:pPr>
              <w:jc w:val="right"/>
              <w:textAlignment w:val="bottom"/>
            </w:pPr>
            <w:r>
              <w:rPr>
                <w:rFonts w:ascii="Arial" w:eastAsia="宋体" w:hAnsi="Arial" w:cs="Arial"/>
                <w:b/>
                <w:bCs/>
                <w:color w:val="000000"/>
                <w:sz w:val="14"/>
                <w:szCs w:val="14"/>
              </w:rPr>
              <w:t>140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D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DF" w14:textId="77777777" w:rsidR="003C66EB" w:rsidRDefault="00D96C4E">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8E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E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E2" w14:textId="77777777" w:rsidR="003C66EB" w:rsidRDefault="00D96C4E">
            <w:pPr>
              <w:jc w:val="right"/>
              <w:textAlignment w:val="bottom"/>
            </w:pPr>
            <w:r>
              <w:rPr>
                <w:rFonts w:ascii="Arial" w:eastAsia="宋体" w:hAnsi="Arial" w:cs="Arial"/>
                <w:color w:val="000000"/>
                <w:sz w:val="14"/>
                <w:szCs w:val="14"/>
              </w:rPr>
              <w:t>54,242 </w:t>
            </w:r>
          </w:p>
        </w:tc>
        <w:tc>
          <w:tcPr>
            <w:tcW w:w="0" w:type="auto"/>
            <w:shd w:val="clear" w:color="auto" w:fill="CCEEFF"/>
            <w:tcMar>
              <w:top w:w="40" w:type="dxa"/>
              <w:left w:w="0" w:type="dxa"/>
              <w:bottom w:w="40" w:type="dxa"/>
              <w:right w:w="20" w:type="dxa"/>
            </w:tcMar>
            <w:vAlign w:val="bottom"/>
          </w:tcPr>
          <w:p w14:paraId="5EA1E8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E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E5" w14:textId="77777777" w:rsidR="003C66EB" w:rsidRDefault="00D96C4E">
            <w:pPr>
              <w:jc w:val="right"/>
              <w:textAlignment w:val="bottom"/>
            </w:pPr>
            <w:r>
              <w:rPr>
                <w:rFonts w:ascii="Arial" w:eastAsia="宋体" w:hAnsi="Arial" w:cs="Arial"/>
                <w:color w:val="000000"/>
                <w:sz w:val="14"/>
                <w:szCs w:val="14"/>
              </w:rPr>
              <w:t>216 </w:t>
            </w:r>
          </w:p>
        </w:tc>
        <w:tc>
          <w:tcPr>
            <w:tcW w:w="0" w:type="auto"/>
            <w:shd w:val="clear" w:color="auto" w:fill="CCEEFF"/>
            <w:tcMar>
              <w:top w:w="40" w:type="dxa"/>
              <w:left w:w="0" w:type="dxa"/>
              <w:bottom w:w="40" w:type="dxa"/>
              <w:right w:w="20" w:type="dxa"/>
            </w:tcMar>
            <w:vAlign w:val="bottom"/>
          </w:tcPr>
          <w:p w14:paraId="5EA1E8E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8E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8E8" w14:textId="77777777" w:rsidR="003C66EB" w:rsidRDefault="00D96C4E">
            <w:pPr>
              <w:jc w:val="right"/>
              <w:textAlignment w:val="bottom"/>
            </w:pPr>
            <w:r>
              <w:rPr>
                <w:rFonts w:ascii="Arial" w:eastAsia="宋体" w:hAnsi="Arial" w:cs="Arial"/>
                <w:color w:val="000000"/>
                <w:sz w:val="14"/>
                <w:szCs w:val="14"/>
              </w:rPr>
              <w:t>1.59 </w:t>
            </w:r>
          </w:p>
        </w:tc>
        <w:tc>
          <w:tcPr>
            <w:tcW w:w="0" w:type="auto"/>
            <w:shd w:val="clear" w:color="auto" w:fill="CCEEFF"/>
            <w:tcMar>
              <w:top w:w="40" w:type="dxa"/>
              <w:left w:w="0" w:type="dxa"/>
              <w:bottom w:w="40" w:type="dxa"/>
              <w:right w:w="20" w:type="dxa"/>
            </w:tcMar>
            <w:vAlign w:val="bottom"/>
          </w:tcPr>
          <w:p w14:paraId="5EA1E8E9" w14:textId="77777777" w:rsidR="003C66EB" w:rsidRDefault="003C66EB">
            <w:pPr>
              <w:jc w:val="right"/>
              <w:rPr>
                <w:rFonts w:ascii="宋体"/>
              </w:rPr>
            </w:pPr>
          </w:p>
        </w:tc>
        <w:tc>
          <w:tcPr>
            <w:tcW w:w="0" w:type="auto"/>
            <w:gridSpan w:val="3"/>
            <w:shd w:val="clear" w:color="auto" w:fill="auto"/>
          </w:tcPr>
          <w:p w14:paraId="5EA1E8EA" w14:textId="77777777" w:rsidR="003C66EB" w:rsidRDefault="003C66EB">
            <w:pPr>
              <w:rPr>
                <w:rFonts w:ascii="宋体"/>
                <w:vanish/>
              </w:rPr>
            </w:pPr>
          </w:p>
        </w:tc>
        <w:tc>
          <w:tcPr>
            <w:tcW w:w="0" w:type="auto"/>
            <w:gridSpan w:val="3"/>
            <w:shd w:val="clear" w:color="auto" w:fill="auto"/>
          </w:tcPr>
          <w:p w14:paraId="5EA1E8EB" w14:textId="77777777" w:rsidR="003C66EB" w:rsidRDefault="003C66EB">
            <w:pPr>
              <w:rPr>
                <w:rFonts w:ascii="宋体"/>
                <w:vanish/>
              </w:rPr>
            </w:pPr>
          </w:p>
        </w:tc>
        <w:tc>
          <w:tcPr>
            <w:tcW w:w="0" w:type="auto"/>
            <w:gridSpan w:val="3"/>
            <w:shd w:val="clear" w:color="auto" w:fill="auto"/>
          </w:tcPr>
          <w:p w14:paraId="5EA1E8EC" w14:textId="77777777" w:rsidR="003C66EB" w:rsidRDefault="003C66EB">
            <w:pPr>
              <w:rPr>
                <w:rFonts w:ascii="宋体"/>
                <w:vanish/>
              </w:rPr>
            </w:pPr>
          </w:p>
        </w:tc>
        <w:tc>
          <w:tcPr>
            <w:tcW w:w="0" w:type="auto"/>
            <w:gridSpan w:val="3"/>
            <w:shd w:val="clear" w:color="auto" w:fill="auto"/>
          </w:tcPr>
          <w:p w14:paraId="5EA1E8ED" w14:textId="77777777" w:rsidR="003C66EB" w:rsidRDefault="003C66EB">
            <w:pPr>
              <w:rPr>
                <w:rFonts w:ascii="宋体"/>
                <w:vanish/>
              </w:rPr>
            </w:pPr>
          </w:p>
        </w:tc>
        <w:tc>
          <w:tcPr>
            <w:tcW w:w="0" w:type="auto"/>
            <w:gridSpan w:val="3"/>
            <w:shd w:val="clear" w:color="auto" w:fill="auto"/>
          </w:tcPr>
          <w:p w14:paraId="5EA1E8EE" w14:textId="77777777" w:rsidR="003C66EB" w:rsidRDefault="003C66EB">
            <w:pPr>
              <w:rPr>
                <w:rFonts w:ascii="宋体"/>
                <w:vanish/>
              </w:rPr>
            </w:pPr>
          </w:p>
        </w:tc>
        <w:tc>
          <w:tcPr>
            <w:tcW w:w="0" w:type="auto"/>
            <w:gridSpan w:val="3"/>
            <w:shd w:val="clear" w:color="auto" w:fill="auto"/>
          </w:tcPr>
          <w:p w14:paraId="5EA1E8EF" w14:textId="77777777" w:rsidR="003C66EB" w:rsidRDefault="003C66EB">
            <w:pPr>
              <w:rPr>
                <w:rFonts w:ascii="宋体"/>
                <w:vanish/>
              </w:rPr>
            </w:pPr>
          </w:p>
        </w:tc>
        <w:tc>
          <w:tcPr>
            <w:tcW w:w="0" w:type="auto"/>
            <w:gridSpan w:val="3"/>
            <w:shd w:val="clear" w:color="auto" w:fill="auto"/>
          </w:tcPr>
          <w:p w14:paraId="5EA1E8F0" w14:textId="77777777" w:rsidR="003C66EB" w:rsidRDefault="003C66EB">
            <w:pPr>
              <w:rPr>
                <w:rFonts w:ascii="宋体"/>
                <w:vanish/>
              </w:rPr>
            </w:pPr>
          </w:p>
        </w:tc>
        <w:tc>
          <w:tcPr>
            <w:tcW w:w="0" w:type="auto"/>
            <w:gridSpan w:val="3"/>
            <w:shd w:val="clear" w:color="auto" w:fill="auto"/>
          </w:tcPr>
          <w:p w14:paraId="5EA1E8F1" w14:textId="77777777" w:rsidR="003C66EB" w:rsidRDefault="003C66EB">
            <w:pPr>
              <w:rPr>
                <w:rFonts w:ascii="宋体"/>
                <w:vanish/>
              </w:rPr>
            </w:pPr>
          </w:p>
        </w:tc>
        <w:tc>
          <w:tcPr>
            <w:tcW w:w="0" w:type="auto"/>
            <w:gridSpan w:val="2"/>
            <w:shd w:val="clear" w:color="auto" w:fill="auto"/>
          </w:tcPr>
          <w:p w14:paraId="5EA1E8F2" w14:textId="77777777" w:rsidR="003C66EB" w:rsidRDefault="003C66EB">
            <w:pPr>
              <w:rPr>
                <w:rFonts w:ascii="宋体"/>
                <w:vanish/>
              </w:rPr>
            </w:pPr>
          </w:p>
        </w:tc>
        <w:tc>
          <w:tcPr>
            <w:tcW w:w="0" w:type="auto"/>
            <w:shd w:val="clear" w:color="auto" w:fill="auto"/>
          </w:tcPr>
          <w:p w14:paraId="5EA1E8F3" w14:textId="77777777" w:rsidR="003C66EB" w:rsidRDefault="003C66EB">
            <w:pPr>
              <w:rPr>
                <w:rFonts w:ascii="宋体"/>
                <w:vanish/>
              </w:rPr>
            </w:pPr>
          </w:p>
        </w:tc>
      </w:tr>
      <w:tr w:rsidR="003C66EB" w14:paraId="5EA1E911" w14:textId="77777777">
        <w:tc>
          <w:tcPr>
            <w:tcW w:w="0" w:type="auto"/>
            <w:gridSpan w:val="3"/>
            <w:shd w:val="clear" w:color="auto" w:fill="FFFFFF"/>
            <w:tcMar>
              <w:top w:w="40" w:type="dxa"/>
              <w:left w:w="140" w:type="dxa"/>
              <w:bottom w:w="40" w:type="dxa"/>
              <w:right w:w="20" w:type="dxa"/>
            </w:tcMar>
            <w:vAlign w:val="bottom"/>
          </w:tcPr>
          <w:p w14:paraId="5EA1E8F5" w14:textId="77777777" w:rsidR="003C66EB" w:rsidRDefault="00D96C4E">
            <w:pPr>
              <w:textAlignment w:val="bottom"/>
            </w:pPr>
            <w:r>
              <w:rPr>
                <w:rFonts w:ascii="Arial" w:eastAsia="宋体" w:hAnsi="Arial" w:cs="Arial"/>
                <w:color w:val="000000"/>
                <w:sz w:val="14"/>
                <w:szCs w:val="14"/>
              </w:rPr>
              <w:t>Investment securities held-to-ma</w:t>
            </w:r>
            <w:r>
              <w:rPr>
                <w:rFonts w:ascii="Arial" w:eastAsia="宋体" w:hAnsi="Arial" w:cs="Arial"/>
                <w:color w:val="000000"/>
                <w:sz w:val="14"/>
                <w:szCs w:val="14"/>
              </w:rPr>
              <w:t>turity</w:t>
            </w:r>
          </w:p>
        </w:tc>
        <w:tc>
          <w:tcPr>
            <w:tcW w:w="0" w:type="auto"/>
            <w:gridSpan w:val="2"/>
            <w:shd w:val="clear" w:color="auto" w:fill="FFFFFF"/>
            <w:tcMar>
              <w:top w:w="40" w:type="dxa"/>
              <w:left w:w="20" w:type="dxa"/>
              <w:bottom w:w="40" w:type="dxa"/>
              <w:right w:w="0" w:type="dxa"/>
            </w:tcMar>
            <w:vAlign w:val="bottom"/>
          </w:tcPr>
          <w:p w14:paraId="5EA1E8F6" w14:textId="77777777" w:rsidR="003C66EB" w:rsidRDefault="00D96C4E">
            <w:pPr>
              <w:jc w:val="right"/>
              <w:textAlignment w:val="bottom"/>
            </w:pPr>
            <w:r>
              <w:rPr>
                <w:rFonts w:ascii="Arial" w:eastAsia="宋体" w:hAnsi="Arial" w:cs="Arial"/>
                <w:b/>
                <w:bCs/>
                <w:color w:val="000000"/>
                <w:sz w:val="14"/>
                <w:szCs w:val="14"/>
              </w:rPr>
              <w:t>47,356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8F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F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F9" w14:textId="77777777" w:rsidR="003C66EB" w:rsidRDefault="00D96C4E">
            <w:pPr>
              <w:jc w:val="right"/>
              <w:textAlignment w:val="bottom"/>
            </w:pPr>
            <w:r>
              <w:rPr>
                <w:rFonts w:ascii="Arial" w:eastAsia="宋体" w:hAnsi="Arial" w:cs="Arial"/>
                <w:b/>
                <w:bCs/>
                <w:color w:val="000000"/>
                <w:sz w:val="14"/>
                <w:szCs w:val="14"/>
              </w:rPr>
              <w:t>183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8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F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FC" w14:textId="77777777" w:rsidR="003C66EB" w:rsidRDefault="00D96C4E">
            <w:pPr>
              <w:jc w:val="right"/>
              <w:textAlignment w:val="bottom"/>
            </w:pPr>
            <w:r>
              <w:rPr>
                <w:rFonts w:ascii="Arial" w:eastAsia="宋体" w:hAnsi="Arial" w:cs="Arial"/>
                <w:b/>
                <w:bCs/>
                <w:color w:val="000000"/>
                <w:sz w:val="14"/>
                <w:szCs w:val="14"/>
              </w:rPr>
              <w:t>1.54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8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8F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8FF" w14:textId="77777777" w:rsidR="003C66EB" w:rsidRDefault="00D96C4E">
            <w:pPr>
              <w:jc w:val="right"/>
              <w:textAlignment w:val="bottom"/>
            </w:pPr>
            <w:r>
              <w:rPr>
                <w:rFonts w:ascii="Arial" w:eastAsia="宋体" w:hAnsi="Arial" w:cs="Arial"/>
                <w:color w:val="000000"/>
                <w:sz w:val="14"/>
                <w:szCs w:val="14"/>
              </w:rPr>
              <w:t>41,273 </w:t>
            </w:r>
          </w:p>
        </w:tc>
        <w:tc>
          <w:tcPr>
            <w:tcW w:w="0" w:type="auto"/>
            <w:shd w:val="clear" w:color="auto" w:fill="FFFFFF"/>
            <w:tcMar>
              <w:top w:w="40" w:type="dxa"/>
              <w:left w:w="0" w:type="dxa"/>
              <w:bottom w:w="40" w:type="dxa"/>
              <w:right w:w="20" w:type="dxa"/>
            </w:tcMar>
            <w:vAlign w:val="bottom"/>
          </w:tcPr>
          <w:p w14:paraId="5EA1E90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0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02" w14:textId="77777777" w:rsidR="003C66EB" w:rsidRDefault="00D96C4E">
            <w:pPr>
              <w:jc w:val="right"/>
              <w:textAlignment w:val="bottom"/>
            </w:pPr>
            <w:r>
              <w:rPr>
                <w:rFonts w:ascii="Arial" w:eastAsia="宋体" w:hAnsi="Arial" w:cs="Arial"/>
                <w:color w:val="000000"/>
                <w:sz w:val="14"/>
                <w:szCs w:val="14"/>
              </w:rPr>
              <w:t>271 </w:t>
            </w:r>
          </w:p>
        </w:tc>
        <w:tc>
          <w:tcPr>
            <w:tcW w:w="0" w:type="auto"/>
            <w:shd w:val="clear" w:color="auto" w:fill="FFFFFF"/>
            <w:tcMar>
              <w:top w:w="40" w:type="dxa"/>
              <w:left w:w="0" w:type="dxa"/>
              <w:bottom w:w="40" w:type="dxa"/>
              <w:right w:w="20" w:type="dxa"/>
            </w:tcMar>
            <w:vAlign w:val="bottom"/>
          </w:tcPr>
          <w:p w14:paraId="5EA1E9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0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05" w14:textId="77777777" w:rsidR="003C66EB" w:rsidRDefault="00D96C4E">
            <w:pPr>
              <w:jc w:val="right"/>
              <w:textAlignment w:val="bottom"/>
            </w:pPr>
            <w:r>
              <w:rPr>
                <w:rFonts w:ascii="Arial" w:eastAsia="宋体" w:hAnsi="Arial" w:cs="Arial"/>
                <w:color w:val="000000"/>
                <w:sz w:val="14"/>
                <w:szCs w:val="14"/>
              </w:rPr>
              <w:t>2.62 </w:t>
            </w:r>
          </w:p>
        </w:tc>
        <w:tc>
          <w:tcPr>
            <w:tcW w:w="0" w:type="auto"/>
            <w:shd w:val="clear" w:color="auto" w:fill="FFFFFF"/>
            <w:tcMar>
              <w:top w:w="40" w:type="dxa"/>
              <w:left w:w="0" w:type="dxa"/>
              <w:bottom w:w="40" w:type="dxa"/>
              <w:right w:w="20" w:type="dxa"/>
            </w:tcMar>
            <w:vAlign w:val="bottom"/>
          </w:tcPr>
          <w:p w14:paraId="5EA1E906" w14:textId="77777777" w:rsidR="003C66EB" w:rsidRDefault="003C66EB">
            <w:pPr>
              <w:jc w:val="right"/>
              <w:rPr>
                <w:rFonts w:ascii="宋体"/>
              </w:rPr>
            </w:pPr>
          </w:p>
        </w:tc>
        <w:tc>
          <w:tcPr>
            <w:tcW w:w="0" w:type="auto"/>
            <w:gridSpan w:val="3"/>
            <w:shd w:val="clear" w:color="auto" w:fill="auto"/>
          </w:tcPr>
          <w:p w14:paraId="5EA1E907" w14:textId="77777777" w:rsidR="003C66EB" w:rsidRDefault="003C66EB">
            <w:pPr>
              <w:rPr>
                <w:rFonts w:ascii="宋体"/>
                <w:vanish/>
              </w:rPr>
            </w:pPr>
          </w:p>
        </w:tc>
        <w:tc>
          <w:tcPr>
            <w:tcW w:w="0" w:type="auto"/>
            <w:gridSpan w:val="3"/>
            <w:shd w:val="clear" w:color="auto" w:fill="auto"/>
          </w:tcPr>
          <w:p w14:paraId="5EA1E908" w14:textId="77777777" w:rsidR="003C66EB" w:rsidRDefault="003C66EB">
            <w:pPr>
              <w:rPr>
                <w:rFonts w:ascii="宋体"/>
                <w:vanish/>
              </w:rPr>
            </w:pPr>
          </w:p>
        </w:tc>
        <w:tc>
          <w:tcPr>
            <w:tcW w:w="0" w:type="auto"/>
            <w:gridSpan w:val="3"/>
            <w:shd w:val="clear" w:color="auto" w:fill="auto"/>
          </w:tcPr>
          <w:p w14:paraId="5EA1E909" w14:textId="77777777" w:rsidR="003C66EB" w:rsidRDefault="003C66EB">
            <w:pPr>
              <w:rPr>
                <w:rFonts w:ascii="宋体"/>
                <w:vanish/>
              </w:rPr>
            </w:pPr>
          </w:p>
        </w:tc>
        <w:tc>
          <w:tcPr>
            <w:tcW w:w="0" w:type="auto"/>
            <w:gridSpan w:val="3"/>
            <w:shd w:val="clear" w:color="auto" w:fill="auto"/>
          </w:tcPr>
          <w:p w14:paraId="5EA1E90A" w14:textId="77777777" w:rsidR="003C66EB" w:rsidRDefault="003C66EB">
            <w:pPr>
              <w:rPr>
                <w:rFonts w:ascii="宋体"/>
                <w:vanish/>
              </w:rPr>
            </w:pPr>
          </w:p>
        </w:tc>
        <w:tc>
          <w:tcPr>
            <w:tcW w:w="0" w:type="auto"/>
            <w:gridSpan w:val="3"/>
            <w:shd w:val="clear" w:color="auto" w:fill="auto"/>
          </w:tcPr>
          <w:p w14:paraId="5EA1E90B" w14:textId="77777777" w:rsidR="003C66EB" w:rsidRDefault="003C66EB">
            <w:pPr>
              <w:rPr>
                <w:rFonts w:ascii="宋体"/>
                <w:vanish/>
              </w:rPr>
            </w:pPr>
          </w:p>
        </w:tc>
        <w:tc>
          <w:tcPr>
            <w:tcW w:w="0" w:type="auto"/>
            <w:gridSpan w:val="3"/>
            <w:shd w:val="clear" w:color="auto" w:fill="auto"/>
          </w:tcPr>
          <w:p w14:paraId="5EA1E90C" w14:textId="77777777" w:rsidR="003C66EB" w:rsidRDefault="003C66EB">
            <w:pPr>
              <w:rPr>
                <w:rFonts w:ascii="宋体"/>
                <w:vanish/>
              </w:rPr>
            </w:pPr>
          </w:p>
        </w:tc>
        <w:tc>
          <w:tcPr>
            <w:tcW w:w="0" w:type="auto"/>
            <w:gridSpan w:val="3"/>
            <w:shd w:val="clear" w:color="auto" w:fill="auto"/>
          </w:tcPr>
          <w:p w14:paraId="5EA1E90D" w14:textId="77777777" w:rsidR="003C66EB" w:rsidRDefault="003C66EB">
            <w:pPr>
              <w:rPr>
                <w:rFonts w:ascii="宋体"/>
                <w:vanish/>
              </w:rPr>
            </w:pPr>
          </w:p>
        </w:tc>
        <w:tc>
          <w:tcPr>
            <w:tcW w:w="0" w:type="auto"/>
            <w:gridSpan w:val="3"/>
            <w:shd w:val="clear" w:color="auto" w:fill="auto"/>
          </w:tcPr>
          <w:p w14:paraId="5EA1E90E" w14:textId="77777777" w:rsidR="003C66EB" w:rsidRDefault="003C66EB">
            <w:pPr>
              <w:rPr>
                <w:rFonts w:ascii="宋体"/>
                <w:vanish/>
              </w:rPr>
            </w:pPr>
          </w:p>
        </w:tc>
        <w:tc>
          <w:tcPr>
            <w:tcW w:w="0" w:type="auto"/>
            <w:gridSpan w:val="2"/>
            <w:shd w:val="clear" w:color="auto" w:fill="auto"/>
          </w:tcPr>
          <w:p w14:paraId="5EA1E90F" w14:textId="77777777" w:rsidR="003C66EB" w:rsidRDefault="003C66EB">
            <w:pPr>
              <w:rPr>
                <w:rFonts w:ascii="宋体"/>
                <w:vanish/>
              </w:rPr>
            </w:pPr>
          </w:p>
        </w:tc>
        <w:tc>
          <w:tcPr>
            <w:tcW w:w="0" w:type="auto"/>
            <w:shd w:val="clear" w:color="auto" w:fill="auto"/>
          </w:tcPr>
          <w:p w14:paraId="5EA1E910" w14:textId="77777777" w:rsidR="003C66EB" w:rsidRDefault="003C66EB">
            <w:pPr>
              <w:rPr>
                <w:rFonts w:ascii="宋体"/>
                <w:vanish/>
              </w:rPr>
            </w:pPr>
          </w:p>
        </w:tc>
      </w:tr>
      <w:tr w:rsidR="003C66EB" w14:paraId="5EA1E92E" w14:textId="77777777">
        <w:tc>
          <w:tcPr>
            <w:tcW w:w="0" w:type="auto"/>
            <w:gridSpan w:val="3"/>
            <w:shd w:val="clear" w:color="auto" w:fill="CCEEFF"/>
            <w:tcMar>
              <w:top w:w="40" w:type="dxa"/>
              <w:left w:w="140" w:type="dxa"/>
              <w:bottom w:w="40" w:type="dxa"/>
              <w:right w:w="20" w:type="dxa"/>
            </w:tcMar>
            <w:vAlign w:val="bottom"/>
          </w:tcPr>
          <w:p w14:paraId="5EA1E912" w14:textId="77777777" w:rsidR="003C66EB" w:rsidRDefault="00D96C4E">
            <w:pPr>
              <w:textAlignment w:val="bottom"/>
            </w:pPr>
            <w:r>
              <w:rPr>
                <w:rFonts w:ascii="Arial" w:eastAsia="宋体" w:hAnsi="Arial" w:cs="Arial"/>
                <w:color w:val="000000"/>
                <w:sz w:val="14"/>
                <w:szCs w:val="14"/>
              </w:rPr>
              <w:t>Investment securities held-to-ma</w:t>
            </w:r>
            <w:r>
              <w:rPr>
                <w:rFonts w:ascii="Arial" w:eastAsia="宋体" w:hAnsi="Arial" w:cs="Arial"/>
                <w:color w:val="000000"/>
                <w:sz w:val="14"/>
                <w:szCs w:val="14"/>
              </w:rPr>
              <w:t>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5EA1E913" w14:textId="77777777" w:rsidR="003C66EB" w:rsidRDefault="00D96C4E">
            <w:pPr>
              <w:jc w:val="right"/>
              <w:textAlignment w:val="bottom"/>
            </w:pPr>
            <w:r>
              <w:rPr>
                <w:rFonts w:ascii="Arial" w:eastAsia="宋体" w:hAnsi="Arial" w:cs="Arial"/>
                <w:b/>
                <w:bCs/>
                <w:color w:val="000000"/>
                <w:sz w:val="14"/>
                <w:szCs w:val="14"/>
              </w:rPr>
              <w:t>1,262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1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16"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19" w14:textId="77777777" w:rsidR="003C66EB" w:rsidRDefault="00D96C4E">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1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1C" w14:textId="77777777" w:rsidR="003C66EB" w:rsidRDefault="00D96C4E">
            <w:pPr>
              <w:jc w:val="right"/>
              <w:textAlignment w:val="bottom"/>
            </w:pPr>
            <w:r>
              <w:rPr>
                <w:rFonts w:ascii="Arial" w:eastAsia="宋体" w:hAnsi="Arial" w:cs="Arial"/>
                <w:color w:val="000000"/>
                <w:sz w:val="14"/>
                <w:szCs w:val="14"/>
              </w:rPr>
              <w:t>2,045 </w:t>
            </w:r>
          </w:p>
        </w:tc>
        <w:tc>
          <w:tcPr>
            <w:tcW w:w="0" w:type="auto"/>
            <w:shd w:val="clear" w:color="auto" w:fill="CCEEFF"/>
            <w:tcMar>
              <w:top w:w="40" w:type="dxa"/>
              <w:left w:w="0" w:type="dxa"/>
              <w:bottom w:w="40" w:type="dxa"/>
              <w:right w:w="20" w:type="dxa"/>
            </w:tcMar>
            <w:vAlign w:val="bottom"/>
          </w:tcPr>
          <w:p w14:paraId="5EA1E9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1F" w14:textId="77777777" w:rsidR="003C66EB" w:rsidRDefault="00D96C4E">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5EA1E9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2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22" w14:textId="77777777" w:rsidR="003C66EB" w:rsidRDefault="00D96C4E">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EA1E923" w14:textId="77777777" w:rsidR="003C66EB" w:rsidRDefault="003C66EB">
            <w:pPr>
              <w:jc w:val="right"/>
              <w:rPr>
                <w:rFonts w:ascii="宋体"/>
              </w:rPr>
            </w:pPr>
          </w:p>
        </w:tc>
        <w:tc>
          <w:tcPr>
            <w:tcW w:w="0" w:type="auto"/>
            <w:gridSpan w:val="3"/>
            <w:shd w:val="clear" w:color="auto" w:fill="auto"/>
          </w:tcPr>
          <w:p w14:paraId="5EA1E924" w14:textId="77777777" w:rsidR="003C66EB" w:rsidRDefault="003C66EB">
            <w:pPr>
              <w:rPr>
                <w:rFonts w:ascii="宋体"/>
                <w:vanish/>
              </w:rPr>
            </w:pPr>
          </w:p>
        </w:tc>
        <w:tc>
          <w:tcPr>
            <w:tcW w:w="0" w:type="auto"/>
            <w:gridSpan w:val="3"/>
            <w:shd w:val="clear" w:color="auto" w:fill="auto"/>
          </w:tcPr>
          <w:p w14:paraId="5EA1E925" w14:textId="77777777" w:rsidR="003C66EB" w:rsidRDefault="003C66EB">
            <w:pPr>
              <w:rPr>
                <w:rFonts w:ascii="宋体"/>
                <w:vanish/>
              </w:rPr>
            </w:pPr>
          </w:p>
        </w:tc>
        <w:tc>
          <w:tcPr>
            <w:tcW w:w="0" w:type="auto"/>
            <w:gridSpan w:val="3"/>
            <w:shd w:val="clear" w:color="auto" w:fill="auto"/>
          </w:tcPr>
          <w:p w14:paraId="5EA1E926" w14:textId="77777777" w:rsidR="003C66EB" w:rsidRDefault="003C66EB">
            <w:pPr>
              <w:rPr>
                <w:rFonts w:ascii="宋体"/>
                <w:vanish/>
              </w:rPr>
            </w:pPr>
          </w:p>
        </w:tc>
        <w:tc>
          <w:tcPr>
            <w:tcW w:w="0" w:type="auto"/>
            <w:gridSpan w:val="3"/>
            <w:shd w:val="clear" w:color="auto" w:fill="auto"/>
          </w:tcPr>
          <w:p w14:paraId="5EA1E927" w14:textId="77777777" w:rsidR="003C66EB" w:rsidRDefault="003C66EB">
            <w:pPr>
              <w:rPr>
                <w:rFonts w:ascii="宋体"/>
                <w:vanish/>
              </w:rPr>
            </w:pPr>
          </w:p>
        </w:tc>
        <w:tc>
          <w:tcPr>
            <w:tcW w:w="0" w:type="auto"/>
            <w:gridSpan w:val="3"/>
            <w:shd w:val="clear" w:color="auto" w:fill="auto"/>
          </w:tcPr>
          <w:p w14:paraId="5EA1E928" w14:textId="77777777" w:rsidR="003C66EB" w:rsidRDefault="003C66EB">
            <w:pPr>
              <w:rPr>
                <w:rFonts w:ascii="宋体"/>
                <w:vanish/>
              </w:rPr>
            </w:pPr>
          </w:p>
        </w:tc>
        <w:tc>
          <w:tcPr>
            <w:tcW w:w="0" w:type="auto"/>
            <w:gridSpan w:val="3"/>
            <w:shd w:val="clear" w:color="auto" w:fill="auto"/>
          </w:tcPr>
          <w:p w14:paraId="5EA1E929" w14:textId="77777777" w:rsidR="003C66EB" w:rsidRDefault="003C66EB">
            <w:pPr>
              <w:rPr>
                <w:rFonts w:ascii="宋体"/>
                <w:vanish/>
              </w:rPr>
            </w:pPr>
          </w:p>
        </w:tc>
        <w:tc>
          <w:tcPr>
            <w:tcW w:w="0" w:type="auto"/>
            <w:gridSpan w:val="3"/>
            <w:shd w:val="clear" w:color="auto" w:fill="auto"/>
          </w:tcPr>
          <w:p w14:paraId="5EA1E92A" w14:textId="77777777" w:rsidR="003C66EB" w:rsidRDefault="003C66EB">
            <w:pPr>
              <w:rPr>
                <w:rFonts w:ascii="宋体"/>
                <w:vanish/>
              </w:rPr>
            </w:pPr>
          </w:p>
        </w:tc>
        <w:tc>
          <w:tcPr>
            <w:tcW w:w="0" w:type="auto"/>
            <w:gridSpan w:val="3"/>
            <w:shd w:val="clear" w:color="auto" w:fill="auto"/>
          </w:tcPr>
          <w:p w14:paraId="5EA1E92B" w14:textId="77777777" w:rsidR="003C66EB" w:rsidRDefault="003C66EB">
            <w:pPr>
              <w:rPr>
                <w:rFonts w:ascii="宋体"/>
                <w:vanish/>
              </w:rPr>
            </w:pPr>
          </w:p>
        </w:tc>
        <w:tc>
          <w:tcPr>
            <w:tcW w:w="0" w:type="auto"/>
            <w:gridSpan w:val="2"/>
            <w:shd w:val="clear" w:color="auto" w:fill="auto"/>
          </w:tcPr>
          <w:p w14:paraId="5EA1E92C" w14:textId="77777777" w:rsidR="003C66EB" w:rsidRDefault="003C66EB">
            <w:pPr>
              <w:rPr>
                <w:rFonts w:ascii="宋体"/>
                <w:vanish/>
              </w:rPr>
            </w:pPr>
          </w:p>
        </w:tc>
        <w:tc>
          <w:tcPr>
            <w:tcW w:w="0" w:type="auto"/>
            <w:shd w:val="clear" w:color="auto" w:fill="auto"/>
          </w:tcPr>
          <w:p w14:paraId="5EA1E92D" w14:textId="77777777" w:rsidR="003C66EB" w:rsidRDefault="003C66EB">
            <w:pPr>
              <w:rPr>
                <w:rFonts w:ascii="宋体"/>
                <w:vanish/>
              </w:rPr>
            </w:pPr>
          </w:p>
        </w:tc>
      </w:tr>
      <w:tr w:rsidR="003C66EB" w14:paraId="5EA1E94B" w14:textId="77777777">
        <w:tc>
          <w:tcPr>
            <w:tcW w:w="0" w:type="auto"/>
            <w:gridSpan w:val="3"/>
            <w:shd w:val="clear" w:color="auto" w:fill="FFFFFF"/>
            <w:tcMar>
              <w:top w:w="40" w:type="dxa"/>
              <w:left w:w="20" w:type="dxa"/>
              <w:bottom w:w="40" w:type="dxa"/>
              <w:right w:w="20" w:type="dxa"/>
            </w:tcMar>
            <w:vAlign w:val="bottom"/>
          </w:tcPr>
          <w:p w14:paraId="5EA1E92F" w14:textId="77777777" w:rsidR="003C66EB" w:rsidRDefault="00D96C4E">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930" w14:textId="77777777" w:rsidR="003C66EB" w:rsidRDefault="00D96C4E">
            <w:pPr>
              <w:jc w:val="right"/>
              <w:textAlignment w:val="bottom"/>
            </w:pPr>
            <w:r>
              <w:rPr>
                <w:rFonts w:ascii="Arial" w:eastAsia="宋体" w:hAnsi="Arial" w:cs="Arial"/>
                <w:b/>
                <w:bCs/>
                <w:color w:val="000000"/>
                <w:sz w:val="14"/>
                <w:szCs w:val="14"/>
              </w:rPr>
              <w:t>107,</w:t>
            </w:r>
            <w:r>
              <w:rPr>
                <w:rFonts w:ascii="Arial" w:eastAsia="宋体" w:hAnsi="Arial" w:cs="Arial"/>
                <w:b/>
                <w:bCs/>
                <w:color w:val="000000"/>
                <w:sz w:val="14"/>
                <w:szCs w:val="14"/>
              </w:rPr>
              <w:t>809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9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3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933" w14:textId="77777777" w:rsidR="003C66EB" w:rsidRDefault="00D96C4E">
            <w:pPr>
              <w:jc w:val="right"/>
              <w:textAlignment w:val="bottom"/>
            </w:pPr>
            <w:r>
              <w:rPr>
                <w:rFonts w:ascii="Arial" w:eastAsia="宋体" w:hAnsi="Arial" w:cs="Arial"/>
                <w:b/>
                <w:bCs/>
                <w:color w:val="000000"/>
                <w:sz w:val="14"/>
                <w:szCs w:val="14"/>
              </w:rPr>
              <w:t>327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9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3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36" w14:textId="77777777" w:rsidR="003C66EB" w:rsidRDefault="00D96C4E">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9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3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939" w14:textId="77777777" w:rsidR="003C66EB" w:rsidRDefault="00D96C4E">
            <w:pPr>
              <w:jc w:val="right"/>
              <w:textAlignment w:val="bottom"/>
            </w:pPr>
            <w:r>
              <w:rPr>
                <w:rFonts w:ascii="Arial" w:eastAsia="宋体" w:hAnsi="Arial" w:cs="Arial"/>
                <w:color w:val="000000"/>
                <w:sz w:val="14"/>
                <w:szCs w:val="14"/>
              </w:rPr>
              <w:t>97,560 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9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3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93C" w14:textId="77777777" w:rsidR="003C66EB" w:rsidRDefault="00D96C4E">
            <w:pPr>
              <w:jc w:val="right"/>
              <w:textAlignment w:val="bottom"/>
            </w:pPr>
            <w:r>
              <w:rPr>
                <w:rFonts w:ascii="Arial" w:eastAsia="宋体" w:hAnsi="Arial" w:cs="Arial"/>
                <w:color w:val="000000"/>
                <w:sz w:val="14"/>
                <w:szCs w:val="14"/>
              </w:rPr>
              <w:t>495 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9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3F" w14:textId="77777777" w:rsidR="003C66EB" w:rsidRDefault="00D96C4E">
            <w:pPr>
              <w:jc w:val="right"/>
              <w:textAlignment w:val="bottom"/>
            </w:pPr>
            <w:r>
              <w:rPr>
                <w:rFonts w:ascii="Arial" w:eastAsia="宋体" w:hAnsi="Arial" w:cs="Arial"/>
                <w:color w:val="000000"/>
                <w:sz w:val="14"/>
                <w:szCs w:val="14"/>
              </w:rPr>
              <w:t>2.19 </w:t>
            </w:r>
          </w:p>
        </w:tc>
        <w:tc>
          <w:tcPr>
            <w:tcW w:w="0" w:type="auto"/>
            <w:shd w:val="clear" w:color="auto" w:fill="FFFFFF"/>
            <w:tcMar>
              <w:top w:w="40" w:type="dxa"/>
              <w:left w:w="0" w:type="dxa"/>
              <w:bottom w:w="40" w:type="dxa"/>
              <w:right w:w="20" w:type="dxa"/>
            </w:tcMar>
            <w:vAlign w:val="bottom"/>
          </w:tcPr>
          <w:p w14:paraId="5EA1E940" w14:textId="77777777" w:rsidR="003C66EB" w:rsidRDefault="003C66EB">
            <w:pPr>
              <w:jc w:val="right"/>
              <w:rPr>
                <w:rFonts w:ascii="宋体"/>
              </w:rPr>
            </w:pPr>
          </w:p>
        </w:tc>
        <w:tc>
          <w:tcPr>
            <w:tcW w:w="0" w:type="auto"/>
            <w:gridSpan w:val="3"/>
            <w:shd w:val="clear" w:color="auto" w:fill="auto"/>
          </w:tcPr>
          <w:p w14:paraId="5EA1E941" w14:textId="77777777" w:rsidR="003C66EB" w:rsidRDefault="003C66EB">
            <w:pPr>
              <w:rPr>
                <w:rFonts w:ascii="宋体"/>
                <w:vanish/>
              </w:rPr>
            </w:pPr>
          </w:p>
        </w:tc>
        <w:tc>
          <w:tcPr>
            <w:tcW w:w="0" w:type="auto"/>
            <w:gridSpan w:val="3"/>
            <w:shd w:val="clear" w:color="auto" w:fill="auto"/>
          </w:tcPr>
          <w:p w14:paraId="5EA1E942" w14:textId="77777777" w:rsidR="003C66EB" w:rsidRDefault="003C66EB">
            <w:pPr>
              <w:rPr>
                <w:rFonts w:ascii="宋体"/>
                <w:vanish/>
              </w:rPr>
            </w:pPr>
          </w:p>
        </w:tc>
        <w:tc>
          <w:tcPr>
            <w:tcW w:w="0" w:type="auto"/>
            <w:gridSpan w:val="3"/>
            <w:shd w:val="clear" w:color="auto" w:fill="auto"/>
          </w:tcPr>
          <w:p w14:paraId="5EA1E943" w14:textId="77777777" w:rsidR="003C66EB" w:rsidRDefault="003C66EB">
            <w:pPr>
              <w:rPr>
                <w:rFonts w:ascii="宋体"/>
                <w:vanish/>
              </w:rPr>
            </w:pPr>
          </w:p>
        </w:tc>
        <w:tc>
          <w:tcPr>
            <w:tcW w:w="0" w:type="auto"/>
            <w:gridSpan w:val="3"/>
            <w:shd w:val="clear" w:color="auto" w:fill="auto"/>
          </w:tcPr>
          <w:p w14:paraId="5EA1E944" w14:textId="77777777" w:rsidR="003C66EB" w:rsidRDefault="003C66EB">
            <w:pPr>
              <w:rPr>
                <w:rFonts w:ascii="宋体"/>
                <w:vanish/>
              </w:rPr>
            </w:pPr>
          </w:p>
        </w:tc>
        <w:tc>
          <w:tcPr>
            <w:tcW w:w="0" w:type="auto"/>
            <w:gridSpan w:val="3"/>
            <w:shd w:val="clear" w:color="auto" w:fill="auto"/>
          </w:tcPr>
          <w:p w14:paraId="5EA1E945" w14:textId="77777777" w:rsidR="003C66EB" w:rsidRDefault="003C66EB">
            <w:pPr>
              <w:rPr>
                <w:rFonts w:ascii="宋体"/>
                <w:vanish/>
              </w:rPr>
            </w:pPr>
          </w:p>
        </w:tc>
        <w:tc>
          <w:tcPr>
            <w:tcW w:w="0" w:type="auto"/>
            <w:gridSpan w:val="3"/>
            <w:shd w:val="clear" w:color="auto" w:fill="auto"/>
          </w:tcPr>
          <w:p w14:paraId="5EA1E946" w14:textId="77777777" w:rsidR="003C66EB" w:rsidRDefault="003C66EB">
            <w:pPr>
              <w:rPr>
                <w:rFonts w:ascii="宋体"/>
                <w:vanish/>
              </w:rPr>
            </w:pPr>
          </w:p>
        </w:tc>
        <w:tc>
          <w:tcPr>
            <w:tcW w:w="0" w:type="auto"/>
            <w:gridSpan w:val="3"/>
            <w:shd w:val="clear" w:color="auto" w:fill="auto"/>
          </w:tcPr>
          <w:p w14:paraId="5EA1E947" w14:textId="77777777" w:rsidR="003C66EB" w:rsidRDefault="003C66EB">
            <w:pPr>
              <w:rPr>
                <w:rFonts w:ascii="宋体"/>
                <w:vanish/>
              </w:rPr>
            </w:pPr>
          </w:p>
        </w:tc>
        <w:tc>
          <w:tcPr>
            <w:tcW w:w="0" w:type="auto"/>
            <w:gridSpan w:val="3"/>
            <w:shd w:val="clear" w:color="auto" w:fill="auto"/>
          </w:tcPr>
          <w:p w14:paraId="5EA1E948" w14:textId="77777777" w:rsidR="003C66EB" w:rsidRDefault="003C66EB">
            <w:pPr>
              <w:rPr>
                <w:rFonts w:ascii="宋体"/>
                <w:vanish/>
              </w:rPr>
            </w:pPr>
          </w:p>
        </w:tc>
        <w:tc>
          <w:tcPr>
            <w:tcW w:w="0" w:type="auto"/>
            <w:gridSpan w:val="2"/>
            <w:shd w:val="clear" w:color="auto" w:fill="auto"/>
          </w:tcPr>
          <w:p w14:paraId="5EA1E949" w14:textId="77777777" w:rsidR="003C66EB" w:rsidRDefault="003C66EB">
            <w:pPr>
              <w:rPr>
                <w:rFonts w:ascii="宋体"/>
                <w:vanish/>
              </w:rPr>
            </w:pPr>
          </w:p>
        </w:tc>
        <w:tc>
          <w:tcPr>
            <w:tcW w:w="0" w:type="auto"/>
            <w:shd w:val="clear" w:color="auto" w:fill="auto"/>
          </w:tcPr>
          <w:p w14:paraId="5EA1E94A" w14:textId="77777777" w:rsidR="003C66EB" w:rsidRDefault="003C66EB">
            <w:pPr>
              <w:rPr>
                <w:rFonts w:ascii="宋体"/>
                <w:vanish/>
              </w:rPr>
            </w:pPr>
          </w:p>
        </w:tc>
      </w:tr>
      <w:tr w:rsidR="003C66EB" w14:paraId="5EA1E968" w14:textId="77777777">
        <w:tc>
          <w:tcPr>
            <w:tcW w:w="0" w:type="auto"/>
            <w:gridSpan w:val="3"/>
            <w:shd w:val="clear" w:color="auto" w:fill="CCEEFF"/>
            <w:tcMar>
              <w:top w:w="40" w:type="dxa"/>
              <w:left w:w="20" w:type="dxa"/>
              <w:bottom w:w="40" w:type="dxa"/>
              <w:right w:w="20" w:type="dxa"/>
            </w:tcMar>
            <w:vAlign w:val="bottom"/>
          </w:tcPr>
          <w:p w14:paraId="5EA1E94C" w14:textId="77777777" w:rsidR="003C66EB" w:rsidRDefault="00D96C4E">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5EA1E94D" w14:textId="77777777" w:rsidR="003C66EB" w:rsidRDefault="00D96C4E">
            <w:pPr>
              <w:jc w:val="right"/>
              <w:textAlignment w:val="bottom"/>
            </w:pPr>
            <w:r>
              <w:rPr>
                <w:rFonts w:ascii="Arial" w:eastAsia="宋体" w:hAnsi="Arial" w:cs="Arial"/>
                <w:b/>
                <w:bCs/>
                <w:color w:val="000000"/>
                <w:sz w:val="14"/>
                <w:szCs w:val="14"/>
              </w:rPr>
              <w:t>28,025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4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50" w14:textId="77777777" w:rsidR="003C66EB" w:rsidRDefault="00D96C4E">
            <w:pPr>
              <w:jc w:val="right"/>
              <w:textAlignment w:val="bottom"/>
            </w:pPr>
            <w:r>
              <w:rPr>
                <w:rFonts w:ascii="Arial" w:eastAsia="宋体" w:hAnsi="Arial" w:cs="Arial"/>
                <w:b/>
                <w:bCs/>
                <w:color w:val="000000"/>
                <w:sz w:val="14"/>
                <w:szCs w:val="14"/>
              </w:rPr>
              <w:t>142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5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53" w14:textId="77777777" w:rsidR="003C66EB" w:rsidRDefault="00D96C4E">
            <w:pPr>
              <w:jc w:val="right"/>
              <w:textAlignment w:val="bottom"/>
            </w:pPr>
            <w:r>
              <w:rPr>
                <w:rFonts w:ascii="Arial" w:eastAsia="宋体" w:hAnsi="Arial" w:cs="Arial"/>
                <w:b/>
                <w:bCs/>
                <w:color w:val="000000"/>
                <w:sz w:val="14"/>
                <w:szCs w:val="14"/>
              </w:rPr>
              <w:t>2.05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5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56" w14:textId="77777777" w:rsidR="003C66EB" w:rsidRDefault="00D96C4E">
            <w:pPr>
              <w:jc w:val="right"/>
              <w:textAlignment w:val="bottom"/>
            </w:pPr>
            <w:r>
              <w:rPr>
                <w:rFonts w:ascii="Arial" w:eastAsia="宋体" w:hAnsi="Arial" w:cs="Arial"/>
                <w:color w:val="000000"/>
                <w:sz w:val="14"/>
                <w:szCs w:val="14"/>
              </w:rPr>
              <w:t>28,468 </w:t>
            </w:r>
          </w:p>
        </w:tc>
        <w:tc>
          <w:tcPr>
            <w:tcW w:w="0" w:type="auto"/>
            <w:shd w:val="clear" w:color="auto" w:fill="CCEEFF"/>
            <w:tcMar>
              <w:top w:w="40" w:type="dxa"/>
              <w:left w:w="0" w:type="dxa"/>
              <w:bottom w:w="40" w:type="dxa"/>
              <w:right w:w="20" w:type="dxa"/>
            </w:tcMar>
            <w:vAlign w:val="bottom"/>
          </w:tcPr>
          <w:p w14:paraId="5EA1E9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5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59" w14:textId="77777777" w:rsidR="003C66EB" w:rsidRDefault="00D96C4E">
            <w:pPr>
              <w:jc w:val="right"/>
              <w:textAlignment w:val="bottom"/>
            </w:pPr>
            <w:r>
              <w:rPr>
                <w:rFonts w:ascii="Arial" w:eastAsia="宋体" w:hAnsi="Arial" w:cs="Arial"/>
                <w:color w:val="000000"/>
                <w:sz w:val="14"/>
                <w:szCs w:val="14"/>
              </w:rPr>
              <w:t>185 </w:t>
            </w:r>
          </w:p>
        </w:tc>
        <w:tc>
          <w:tcPr>
            <w:tcW w:w="0" w:type="auto"/>
            <w:shd w:val="clear" w:color="auto" w:fill="CCEEFF"/>
            <w:tcMar>
              <w:top w:w="40" w:type="dxa"/>
              <w:left w:w="0" w:type="dxa"/>
              <w:bottom w:w="40" w:type="dxa"/>
              <w:right w:w="20" w:type="dxa"/>
            </w:tcMar>
            <w:vAlign w:val="bottom"/>
          </w:tcPr>
          <w:p w14:paraId="5EA1E9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5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5C" w14:textId="77777777" w:rsidR="003C66EB" w:rsidRDefault="00D96C4E">
            <w:pPr>
              <w:jc w:val="right"/>
              <w:textAlignment w:val="bottom"/>
            </w:pPr>
            <w:r>
              <w:rPr>
                <w:rFonts w:ascii="Arial" w:eastAsia="宋体" w:hAnsi="Arial" w:cs="Arial"/>
                <w:color w:val="000000"/>
                <w:sz w:val="14"/>
                <w:szCs w:val="14"/>
              </w:rPr>
              <w:t>2.62 </w:t>
            </w:r>
          </w:p>
        </w:tc>
        <w:tc>
          <w:tcPr>
            <w:tcW w:w="0" w:type="auto"/>
            <w:shd w:val="clear" w:color="auto" w:fill="CCEEFF"/>
            <w:tcMar>
              <w:top w:w="40" w:type="dxa"/>
              <w:left w:w="0" w:type="dxa"/>
              <w:bottom w:w="40" w:type="dxa"/>
              <w:right w:w="20" w:type="dxa"/>
            </w:tcMar>
            <w:vAlign w:val="bottom"/>
          </w:tcPr>
          <w:p w14:paraId="5EA1E95D" w14:textId="77777777" w:rsidR="003C66EB" w:rsidRDefault="003C66EB">
            <w:pPr>
              <w:jc w:val="right"/>
              <w:rPr>
                <w:rFonts w:ascii="宋体"/>
              </w:rPr>
            </w:pPr>
          </w:p>
        </w:tc>
        <w:tc>
          <w:tcPr>
            <w:tcW w:w="0" w:type="auto"/>
            <w:gridSpan w:val="3"/>
            <w:shd w:val="clear" w:color="auto" w:fill="auto"/>
          </w:tcPr>
          <w:p w14:paraId="5EA1E95E" w14:textId="77777777" w:rsidR="003C66EB" w:rsidRDefault="003C66EB">
            <w:pPr>
              <w:rPr>
                <w:rFonts w:ascii="宋体"/>
                <w:vanish/>
              </w:rPr>
            </w:pPr>
          </w:p>
        </w:tc>
        <w:tc>
          <w:tcPr>
            <w:tcW w:w="0" w:type="auto"/>
            <w:gridSpan w:val="3"/>
            <w:shd w:val="clear" w:color="auto" w:fill="auto"/>
          </w:tcPr>
          <w:p w14:paraId="5EA1E95F" w14:textId="77777777" w:rsidR="003C66EB" w:rsidRDefault="003C66EB">
            <w:pPr>
              <w:rPr>
                <w:rFonts w:ascii="宋体"/>
                <w:vanish/>
              </w:rPr>
            </w:pPr>
          </w:p>
        </w:tc>
        <w:tc>
          <w:tcPr>
            <w:tcW w:w="0" w:type="auto"/>
            <w:gridSpan w:val="3"/>
            <w:shd w:val="clear" w:color="auto" w:fill="auto"/>
          </w:tcPr>
          <w:p w14:paraId="5EA1E960" w14:textId="77777777" w:rsidR="003C66EB" w:rsidRDefault="003C66EB">
            <w:pPr>
              <w:rPr>
                <w:rFonts w:ascii="宋体"/>
                <w:vanish/>
              </w:rPr>
            </w:pPr>
          </w:p>
        </w:tc>
        <w:tc>
          <w:tcPr>
            <w:tcW w:w="0" w:type="auto"/>
            <w:gridSpan w:val="3"/>
            <w:shd w:val="clear" w:color="auto" w:fill="auto"/>
          </w:tcPr>
          <w:p w14:paraId="5EA1E961" w14:textId="77777777" w:rsidR="003C66EB" w:rsidRDefault="003C66EB">
            <w:pPr>
              <w:rPr>
                <w:rFonts w:ascii="宋体"/>
                <w:vanish/>
              </w:rPr>
            </w:pPr>
          </w:p>
        </w:tc>
        <w:tc>
          <w:tcPr>
            <w:tcW w:w="0" w:type="auto"/>
            <w:gridSpan w:val="3"/>
            <w:shd w:val="clear" w:color="auto" w:fill="auto"/>
          </w:tcPr>
          <w:p w14:paraId="5EA1E962" w14:textId="77777777" w:rsidR="003C66EB" w:rsidRDefault="003C66EB">
            <w:pPr>
              <w:rPr>
                <w:rFonts w:ascii="宋体"/>
                <w:vanish/>
              </w:rPr>
            </w:pPr>
          </w:p>
        </w:tc>
        <w:tc>
          <w:tcPr>
            <w:tcW w:w="0" w:type="auto"/>
            <w:gridSpan w:val="3"/>
            <w:shd w:val="clear" w:color="auto" w:fill="auto"/>
          </w:tcPr>
          <w:p w14:paraId="5EA1E963" w14:textId="77777777" w:rsidR="003C66EB" w:rsidRDefault="003C66EB">
            <w:pPr>
              <w:rPr>
                <w:rFonts w:ascii="宋体"/>
                <w:vanish/>
              </w:rPr>
            </w:pPr>
          </w:p>
        </w:tc>
        <w:tc>
          <w:tcPr>
            <w:tcW w:w="0" w:type="auto"/>
            <w:gridSpan w:val="3"/>
            <w:shd w:val="clear" w:color="auto" w:fill="auto"/>
          </w:tcPr>
          <w:p w14:paraId="5EA1E964" w14:textId="77777777" w:rsidR="003C66EB" w:rsidRDefault="003C66EB">
            <w:pPr>
              <w:rPr>
                <w:rFonts w:ascii="宋体"/>
                <w:vanish/>
              </w:rPr>
            </w:pPr>
          </w:p>
        </w:tc>
        <w:tc>
          <w:tcPr>
            <w:tcW w:w="0" w:type="auto"/>
            <w:gridSpan w:val="3"/>
            <w:shd w:val="clear" w:color="auto" w:fill="auto"/>
          </w:tcPr>
          <w:p w14:paraId="5EA1E965" w14:textId="77777777" w:rsidR="003C66EB" w:rsidRDefault="003C66EB">
            <w:pPr>
              <w:rPr>
                <w:rFonts w:ascii="宋体"/>
                <w:vanish/>
              </w:rPr>
            </w:pPr>
          </w:p>
        </w:tc>
        <w:tc>
          <w:tcPr>
            <w:tcW w:w="0" w:type="auto"/>
            <w:gridSpan w:val="2"/>
            <w:shd w:val="clear" w:color="auto" w:fill="auto"/>
          </w:tcPr>
          <w:p w14:paraId="5EA1E966" w14:textId="77777777" w:rsidR="003C66EB" w:rsidRDefault="003C66EB">
            <w:pPr>
              <w:rPr>
                <w:rFonts w:ascii="宋体"/>
                <w:vanish/>
              </w:rPr>
            </w:pPr>
          </w:p>
        </w:tc>
        <w:tc>
          <w:tcPr>
            <w:tcW w:w="0" w:type="auto"/>
            <w:shd w:val="clear" w:color="auto" w:fill="auto"/>
          </w:tcPr>
          <w:p w14:paraId="5EA1E967" w14:textId="77777777" w:rsidR="003C66EB" w:rsidRDefault="003C66EB">
            <w:pPr>
              <w:rPr>
                <w:rFonts w:ascii="宋体"/>
                <w:vanish/>
              </w:rPr>
            </w:pPr>
          </w:p>
        </w:tc>
      </w:tr>
      <w:tr w:rsidR="003C66EB" w14:paraId="5EA1E985" w14:textId="77777777">
        <w:tc>
          <w:tcPr>
            <w:tcW w:w="0" w:type="auto"/>
            <w:gridSpan w:val="3"/>
            <w:shd w:val="clear" w:color="auto" w:fill="FFFFFF"/>
            <w:tcMar>
              <w:top w:w="40" w:type="dxa"/>
              <w:left w:w="20" w:type="dxa"/>
              <w:bottom w:w="40" w:type="dxa"/>
              <w:right w:w="20" w:type="dxa"/>
            </w:tcMar>
            <w:vAlign w:val="bottom"/>
          </w:tcPr>
          <w:p w14:paraId="5EA1E969" w14:textId="77777777" w:rsidR="003C66EB" w:rsidRDefault="00D96C4E">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interest-earning assets</w:t>
            </w:r>
          </w:p>
        </w:tc>
        <w:tc>
          <w:tcPr>
            <w:tcW w:w="0" w:type="auto"/>
            <w:gridSpan w:val="2"/>
            <w:shd w:val="clear" w:color="auto" w:fill="FFFFFF"/>
            <w:tcMar>
              <w:top w:w="40" w:type="dxa"/>
              <w:left w:w="20" w:type="dxa"/>
              <w:bottom w:w="40" w:type="dxa"/>
              <w:right w:w="0" w:type="dxa"/>
            </w:tcMar>
            <w:vAlign w:val="bottom"/>
          </w:tcPr>
          <w:p w14:paraId="5EA1E96A" w14:textId="77777777" w:rsidR="003C66EB" w:rsidRDefault="00D96C4E">
            <w:pPr>
              <w:jc w:val="right"/>
              <w:textAlignment w:val="bottom"/>
            </w:pPr>
            <w:r>
              <w:rPr>
                <w:rFonts w:ascii="Arial" w:eastAsia="宋体" w:hAnsi="Arial" w:cs="Arial"/>
                <w:b/>
                <w:bCs/>
                <w:color w:val="000000"/>
                <w:sz w:val="14"/>
                <w:szCs w:val="14"/>
              </w:rPr>
              <w:t>18,296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96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6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6D" w14:textId="77777777" w:rsidR="003C66EB" w:rsidRDefault="00D96C4E">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9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6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70" w14:textId="77777777" w:rsidR="003C66EB" w:rsidRDefault="00D96C4E">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9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73" w14:textId="77777777" w:rsidR="003C66EB" w:rsidRDefault="00D96C4E">
            <w:pPr>
              <w:jc w:val="right"/>
              <w:textAlignment w:val="bottom"/>
            </w:pPr>
            <w:r>
              <w:rPr>
                <w:rFonts w:ascii="Arial" w:eastAsia="宋体" w:hAnsi="Arial" w:cs="Arial"/>
                <w:color w:val="000000"/>
                <w:sz w:val="14"/>
                <w:szCs w:val="14"/>
              </w:rPr>
              <w:t>10,764 </w:t>
            </w:r>
          </w:p>
        </w:tc>
        <w:tc>
          <w:tcPr>
            <w:tcW w:w="0" w:type="auto"/>
            <w:shd w:val="clear" w:color="auto" w:fill="FFFFFF"/>
            <w:tcMar>
              <w:top w:w="40" w:type="dxa"/>
              <w:left w:w="0" w:type="dxa"/>
              <w:bottom w:w="40" w:type="dxa"/>
              <w:right w:w="20" w:type="dxa"/>
            </w:tcMar>
            <w:vAlign w:val="bottom"/>
          </w:tcPr>
          <w:p w14:paraId="5EA1E9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76" w14:textId="77777777" w:rsidR="003C66EB" w:rsidRDefault="00D96C4E">
            <w:pPr>
              <w:jc w:val="right"/>
              <w:textAlignment w:val="bottom"/>
            </w:pPr>
            <w:r>
              <w:rPr>
                <w:rFonts w:ascii="Arial" w:eastAsia="宋体" w:hAnsi="Arial" w:cs="Arial"/>
                <w:color w:val="000000"/>
                <w:sz w:val="14"/>
                <w:szCs w:val="14"/>
              </w:rPr>
              <w:t>46 </w:t>
            </w:r>
          </w:p>
        </w:tc>
        <w:tc>
          <w:tcPr>
            <w:tcW w:w="0" w:type="auto"/>
            <w:shd w:val="clear" w:color="auto" w:fill="FFFFFF"/>
            <w:tcMar>
              <w:top w:w="40" w:type="dxa"/>
              <w:left w:w="0" w:type="dxa"/>
              <w:bottom w:w="40" w:type="dxa"/>
              <w:right w:w="20" w:type="dxa"/>
            </w:tcMar>
            <w:vAlign w:val="bottom"/>
          </w:tcPr>
          <w:p w14:paraId="5EA1E9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7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79" w14:textId="77777777" w:rsidR="003C66EB" w:rsidRDefault="00D96C4E">
            <w:pPr>
              <w:jc w:val="right"/>
              <w:textAlignment w:val="bottom"/>
            </w:pPr>
            <w:r>
              <w:rPr>
                <w:rFonts w:ascii="Arial" w:eastAsia="宋体" w:hAnsi="Arial" w:cs="Arial"/>
                <w:color w:val="000000"/>
                <w:sz w:val="14"/>
                <w:szCs w:val="14"/>
              </w:rPr>
              <w:t>1.70 </w:t>
            </w:r>
          </w:p>
        </w:tc>
        <w:tc>
          <w:tcPr>
            <w:tcW w:w="0" w:type="auto"/>
            <w:shd w:val="clear" w:color="auto" w:fill="FFFFFF"/>
            <w:tcMar>
              <w:top w:w="40" w:type="dxa"/>
              <w:left w:w="0" w:type="dxa"/>
              <w:bottom w:w="40" w:type="dxa"/>
              <w:right w:w="20" w:type="dxa"/>
            </w:tcMar>
            <w:vAlign w:val="bottom"/>
          </w:tcPr>
          <w:p w14:paraId="5EA1E97A" w14:textId="77777777" w:rsidR="003C66EB" w:rsidRDefault="003C66EB">
            <w:pPr>
              <w:jc w:val="right"/>
              <w:rPr>
                <w:rFonts w:ascii="宋体"/>
              </w:rPr>
            </w:pPr>
          </w:p>
        </w:tc>
        <w:tc>
          <w:tcPr>
            <w:tcW w:w="0" w:type="auto"/>
            <w:gridSpan w:val="3"/>
            <w:shd w:val="clear" w:color="auto" w:fill="auto"/>
          </w:tcPr>
          <w:p w14:paraId="5EA1E97B" w14:textId="77777777" w:rsidR="003C66EB" w:rsidRDefault="003C66EB">
            <w:pPr>
              <w:rPr>
                <w:rFonts w:ascii="宋体"/>
                <w:vanish/>
              </w:rPr>
            </w:pPr>
          </w:p>
        </w:tc>
        <w:tc>
          <w:tcPr>
            <w:tcW w:w="0" w:type="auto"/>
            <w:gridSpan w:val="3"/>
            <w:shd w:val="clear" w:color="auto" w:fill="auto"/>
          </w:tcPr>
          <w:p w14:paraId="5EA1E97C" w14:textId="77777777" w:rsidR="003C66EB" w:rsidRDefault="003C66EB">
            <w:pPr>
              <w:rPr>
                <w:rFonts w:ascii="宋体"/>
                <w:vanish/>
              </w:rPr>
            </w:pPr>
          </w:p>
        </w:tc>
        <w:tc>
          <w:tcPr>
            <w:tcW w:w="0" w:type="auto"/>
            <w:gridSpan w:val="3"/>
            <w:shd w:val="clear" w:color="auto" w:fill="auto"/>
          </w:tcPr>
          <w:p w14:paraId="5EA1E97D" w14:textId="77777777" w:rsidR="003C66EB" w:rsidRDefault="003C66EB">
            <w:pPr>
              <w:rPr>
                <w:rFonts w:ascii="宋体"/>
                <w:vanish/>
              </w:rPr>
            </w:pPr>
          </w:p>
        </w:tc>
        <w:tc>
          <w:tcPr>
            <w:tcW w:w="0" w:type="auto"/>
            <w:gridSpan w:val="3"/>
            <w:shd w:val="clear" w:color="auto" w:fill="auto"/>
          </w:tcPr>
          <w:p w14:paraId="5EA1E97E" w14:textId="77777777" w:rsidR="003C66EB" w:rsidRDefault="003C66EB">
            <w:pPr>
              <w:rPr>
                <w:rFonts w:ascii="宋体"/>
                <w:vanish/>
              </w:rPr>
            </w:pPr>
          </w:p>
        </w:tc>
        <w:tc>
          <w:tcPr>
            <w:tcW w:w="0" w:type="auto"/>
            <w:gridSpan w:val="3"/>
            <w:shd w:val="clear" w:color="auto" w:fill="auto"/>
          </w:tcPr>
          <w:p w14:paraId="5EA1E97F" w14:textId="77777777" w:rsidR="003C66EB" w:rsidRDefault="003C66EB">
            <w:pPr>
              <w:rPr>
                <w:rFonts w:ascii="宋体"/>
                <w:vanish/>
              </w:rPr>
            </w:pPr>
          </w:p>
        </w:tc>
        <w:tc>
          <w:tcPr>
            <w:tcW w:w="0" w:type="auto"/>
            <w:gridSpan w:val="3"/>
            <w:shd w:val="clear" w:color="auto" w:fill="auto"/>
          </w:tcPr>
          <w:p w14:paraId="5EA1E980" w14:textId="77777777" w:rsidR="003C66EB" w:rsidRDefault="003C66EB">
            <w:pPr>
              <w:rPr>
                <w:rFonts w:ascii="宋体"/>
                <w:vanish/>
              </w:rPr>
            </w:pPr>
          </w:p>
        </w:tc>
        <w:tc>
          <w:tcPr>
            <w:tcW w:w="0" w:type="auto"/>
            <w:gridSpan w:val="3"/>
            <w:shd w:val="clear" w:color="auto" w:fill="auto"/>
          </w:tcPr>
          <w:p w14:paraId="5EA1E981" w14:textId="77777777" w:rsidR="003C66EB" w:rsidRDefault="003C66EB">
            <w:pPr>
              <w:rPr>
                <w:rFonts w:ascii="宋体"/>
                <w:vanish/>
              </w:rPr>
            </w:pPr>
          </w:p>
        </w:tc>
        <w:tc>
          <w:tcPr>
            <w:tcW w:w="0" w:type="auto"/>
            <w:gridSpan w:val="3"/>
            <w:shd w:val="clear" w:color="auto" w:fill="auto"/>
          </w:tcPr>
          <w:p w14:paraId="5EA1E982" w14:textId="77777777" w:rsidR="003C66EB" w:rsidRDefault="003C66EB">
            <w:pPr>
              <w:rPr>
                <w:rFonts w:ascii="宋体"/>
                <w:vanish/>
              </w:rPr>
            </w:pPr>
          </w:p>
        </w:tc>
        <w:tc>
          <w:tcPr>
            <w:tcW w:w="0" w:type="auto"/>
            <w:gridSpan w:val="2"/>
            <w:shd w:val="clear" w:color="auto" w:fill="auto"/>
          </w:tcPr>
          <w:p w14:paraId="5EA1E983" w14:textId="77777777" w:rsidR="003C66EB" w:rsidRDefault="003C66EB">
            <w:pPr>
              <w:rPr>
                <w:rFonts w:ascii="宋体"/>
                <w:vanish/>
              </w:rPr>
            </w:pPr>
          </w:p>
        </w:tc>
        <w:tc>
          <w:tcPr>
            <w:tcW w:w="0" w:type="auto"/>
            <w:shd w:val="clear" w:color="auto" w:fill="auto"/>
          </w:tcPr>
          <w:p w14:paraId="5EA1E984" w14:textId="77777777" w:rsidR="003C66EB" w:rsidRDefault="003C66EB">
            <w:pPr>
              <w:rPr>
                <w:rFonts w:ascii="宋体"/>
                <w:vanish/>
              </w:rPr>
            </w:pPr>
          </w:p>
        </w:tc>
      </w:tr>
      <w:tr w:rsidR="003C66EB" w14:paraId="5EA1E9A6" w14:textId="77777777">
        <w:tc>
          <w:tcPr>
            <w:tcW w:w="0" w:type="auto"/>
            <w:gridSpan w:val="3"/>
            <w:shd w:val="clear" w:color="auto" w:fill="CCEEFF"/>
            <w:tcMar>
              <w:top w:w="40" w:type="dxa"/>
              <w:left w:w="20" w:type="dxa"/>
              <w:bottom w:w="40" w:type="dxa"/>
              <w:right w:w="20" w:type="dxa"/>
            </w:tcMar>
            <w:vAlign w:val="bottom"/>
          </w:tcPr>
          <w:p w14:paraId="5EA1E986" w14:textId="77777777" w:rsidR="003C66EB" w:rsidRDefault="00D96C4E">
            <w:pPr>
              <w:textAlignment w:val="bottom"/>
            </w:pPr>
            <w:r>
              <w:rPr>
                <w:rFonts w:ascii="Arial" w:eastAsia="宋体" w:hAnsi="Arial" w:cs="Arial"/>
                <w:color w:val="000000"/>
                <w:sz w:val="14"/>
                <w:szCs w:val="14"/>
              </w:rPr>
              <w:t>Average total interest-earning asset</w:t>
            </w:r>
            <w:r>
              <w:rPr>
                <w:rFonts w:ascii="Arial" w:eastAsia="宋体" w:hAnsi="Arial" w:cs="Arial"/>
                <w:color w:val="000000"/>
                <w:sz w:val="14"/>
                <w:szCs w:val="14"/>
              </w:rPr>
              <w: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98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988" w14:textId="77777777" w:rsidR="003C66EB" w:rsidRDefault="00D96C4E">
            <w:pPr>
              <w:jc w:val="right"/>
              <w:textAlignment w:val="bottom"/>
            </w:pPr>
            <w:r>
              <w:rPr>
                <w:rFonts w:ascii="Arial" w:eastAsia="宋体" w:hAnsi="Arial" w:cs="Arial"/>
                <w:b/>
                <w:bCs/>
                <w:color w:val="000000"/>
                <w:sz w:val="14"/>
                <w:szCs w:val="14"/>
              </w:rPr>
              <w:t>254,733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9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8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98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98C" w14:textId="77777777" w:rsidR="003C66EB" w:rsidRDefault="00D96C4E">
            <w:pPr>
              <w:jc w:val="right"/>
              <w:textAlignment w:val="bottom"/>
            </w:pPr>
            <w:r>
              <w:rPr>
                <w:rFonts w:ascii="Arial" w:eastAsia="宋体" w:hAnsi="Arial" w:cs="Arial"/>
                <w:b/>
                <w:bCs/>
                <w:color w:val="000000"/>
                <w:sz w:val="14"/>
                <w:szCs w:val="14"/>
              </w:rPr>
              <w:t>475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9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8F" w14:textId="77777777" w:rsidR="003C66EB" w:rsidRDefault="00D96C4E">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9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99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993" w14:textId="77777777" w:rsidR="003C66EB" w:rsidRDefault="00D96C4E">
            <w:pPr>
              <w:jc w:val="right"/>
              <w:textAlignment w:val="bottom"/>
            </w:pPr>
            <w:r>
              <w:rPr>
                <w:rFonts w:ascii="Arial" w:eastAsia="宋体" w:hAnsi="Arial" w:cs="Arial"/>
                <w:color w:val="000000"/>
                <w:sz w:val="14"/>
                <w:szCs w:val="14"/>
              </w:rPr>
              <w:t>206,632 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99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9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99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997" w14:textId="77777777" w:rsidR="003C66EB" w:rsidRDefault="00D96C4E">
            <w:pPr>
              <w:jc w:val="right"/>
              <w:textAlignment w:val="bottom"/>
            </w:pPr>
            <w:r>
              <w:rPr>
                <w:rFonts w:ascii="Arial" w:eastAsia="宋体" w:hAnsi="Arial" w:cs="Arial"/>
                <w:color w:val="000000"/>
                <w:sz w:val="14"/>
                <w:szCs w:val="14"/>
              </w:rPr>
              <w:t>872 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99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9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9A" w14:textId="77777777" w:rsidR="003C66EB" w:rsidRDefault="00D96C4E">
            <w:pPr>
              <w:jc w:val="right"/>
              <w:textAlignment w:val="bottom"/>
            </w:pPr>
            <w:r>
              <w:rPr>
                <w:rFonts w:ascii="Arial" w:eastAsia="宋体" w:hAnsi="Arial" w:cs="Arial"/>
                <w:color w:val="000000"/>
                <w:sz w:val="14"/>
                <w:szCs w:val="14"/>
              </w:rPr>
              <w:t>1.70 </w:t>
            </w:r>
          </w:p>
        </w:tc>
        <w:tc>
          <w:tcPr>
            <w:tcW w:w="0" w:type="auto"/>
            <w:shd w:val="clear" w:color="auto" w:fill="CCEEFF"/>
            <w:tcMar>
              <w:top w:w="40" w:type="dxa"/>
              <w:left w:w="0" w:type="dxa"/>
              <w:bottom w:w="40" w:type="dxa"/>
              <w:right w:w="20" w:type="dxa"/>
            </w:tcMar>
            <w:vAlign w:val="bottom"/>
          </w:tcPr>
          <w:p w14:paraId="5EA1E99B" w14:textId="77777777" w:rsidR="003C66EB" w:rsidRDefault="003C66EB">
            <w:pPr>
              <w:jc w:val="right"/>
              <w:rPr>
                <w:rFonts w:ascii="宋体"/>
              </w:rPr>
            </w:pPr>
          </w:p>
        </w:tc>
        <w:tc>
          <w:tcPr>
            <w:tcW w:w="0" w:type="auto"/>
            <w:gridSpan w:val="3"/>
            <w:shd w:val="clear" w:color="auto" w:fill="auto"/>
          </w:tcPr>
          <w:p w14:paraId="5EA1E99C" w14:textId="77777777" w:rsidR="003C66EB" w:rsidRDefault="003C66EB">
            <w:pPr>
              <w:rPr>
                <w:rFonts w:ascii="宋体"/>
                <w:vanish/>
              </w:rPr>
            </w:pPr>
          </w:p>
        </w:tc>
        <w:tc>
          <w:tcPr>
            <w:tcW w:w="0" w:type="auto"/>
            <w:gridSpan w:val="3"/>
            <w:shd w:val="clear" w:color="auto" w:fill="auto"/>
          </w:tcPr>
          <w:p w14:paraId="5EA1E99D" w14:textId="77777777" w:rsidR="003C66EB" w:rsidRDefault="003C66EB">
            <w:pPr>
              <w:rPr>
                <w:rFonts w:ascii="宋体"/>
                <w:vanish/>
              </w:rPr>
            </w:pPr>
          </w:p>
        </w:tc>
        <w:tc>
          <w:tcPr>
            <w:tcW w:w="0" w:type="auto"/>
            <w:gridSpan w:val="3"/>
            <w:shd w:val="clear" w:color="auto" w:fill="auto"/>
          </w:tcPr>
          <w:p w14:paraId="5EA1E99E" w14:textId="77777777" w:rsidR="003C66EB" w:rsidRDefault="003C66EB">
            <w:pPr>
              <w:rPr>
                <w:rFonts w:ascii="宋体"/>
                <w:vanish/>
              </w:rPr>
            </w:pPr>
          </w:p>
        </w:tc>
        <w:tc>
          <w:tcPr>
            <w:tcW w:w="0" w:type="auto"/>
            <w:gridSpan w:val="3"/>
            <w:shd w:val="clear" w:color="auto" w:fill="auto"/>
          </w:tcPr>
          <w:p w14:paraId="5EA1E99F" w14:textId="77777777" w:rsidR="003C66EB" w:rsidRDefault="003C66EB">
            <w:pPr>
              <w:rPr>
                <w:rFonts w:ascii="宋体"/>
                <w:vanish/>
              </w:rPr>
            </w:pPr>
          </w:p>
        </w:tc>
        <w:tc>
          <w:tcPr>
            <w:tcW w:w="0" w:type="auto"/>
            <w:gridSpan w:val="3"/>
            <w:shd w:val="clear" w:color="auto" w:fill="auto"/>
          </w:tcPr>
          <w:p w14:paraId="5EA1E9A0" w14:textId="77777777" w:rsidR="003C66EB" w:rsidRDefault="003C66EB">
            <w:pPr>
              <w:rPr>
                <w:rFonts w:ascii="宋体"/>
                <w:vanish/>
              </w:rPr>
            </w:pPr>
          </w:p>
        </w:tc>
        <w:tc>
          <w:tcPr>
            <w:tcW w:w="0" w:type="auto"/>
            <w:gridSpan w:val="3"/>
            <w:shd w:val="clear" w:color="auto" w:fill="auto"/>
          </w:tcPr>
          <w:p w14:paraId="5EA1E9A1" w14:textId="77777777" w:rsidR="003C66EB" w:rsidRDefault="003C66EB">
            <w:pPr>
              <w:rPr>
                <w:rFonts w:ascii="宋体"/>
                <w:vanish/>
              </w:rPr>
            </w:pPr>
          </w:p>
        </w:tc>
        <w:tc>
          <w:tcPr>
            <w:tcW w:w="0" w:type="auto"/>
            <w:gridSpan w:val="3"/>
            <w:shd w:val="clear" w:color="auto" w:fill="auto"/>
          </w:tcPr>
          <w:p w14:paraId="5EA1E9A2" w14:textId="77777777" w:rsidR="003C66EB" w:rsidRDefault="003C66EB">
            <w:pPr>
              <w:rPr>
                <w:rFonts w:ascii="宋体"/>
                <w:vanish/>
              </w:rPr>
            </w:pPr>
          </w:p>
        </w:tc>
        <w:tc>
          <w:tcPr>
            <w:tcW w:w="0" w:type="auto"/>
            <w:gridSpan w:val="3"/>
            <w:shd w:val="clear" w:color="auto" w:fill="auto"/>
          </w:tcPr>
          <w:p w14:paraId="5EA1E9A3" w14:textId="77777777" w:rsidR="003C66EB" w:rsidRDefault="003C66EB">
            <w:pPr>
              <w:rPr>
                <w:rFonts w:ascii="宋体"/>
                <w:vanish/>
              </w:rPr>
            </w:pPr>
          </w:p>
        </w:tc>
        <w:tc>
          <w:tcPr>
            <w:tcW w:w="0" w:type="auto"/>
            <w:gridSpan w:val="2"/>
            <w:shd w:val="clear" w:color="auto" w:fill="auto"/>
          </w:tcPr>
          <w:p w14:paraId="5EA1E9A4" w14:textId="77777777" w:rsidR="003C66EB" w:rsidRDefault="003C66EB">
            <w:pPr>
              <w:rPr>
                <w:rFonts w:ascii="宋体"/>
                <w:vanish/>
              </w:rPr>
            </w:pPr>
          </w:p>
        </w:tc>
        <w:tc>
          <w:tcPr>
            <w:tcW w:w="0" w:type="auto"/>
            <w:shd w:val="clear" w:color="auto" w:fill="auto"/>
          </w:tcPr>
          <w:p w14:paraId="5EA1E9A5" w14:textId="77777777" w:rsidR="003C66EB" w:rsidRDefault="003C66EB">
            <w:pPr>
              <w:rPr>
                <w:rFonts w:ascii="宋体"/>
                <w:vanish/>
              </w:rPr>
            </w:pPr>
          </w:p>
        </w:tc>
      </w:tr>
      <w:tr w:rsidR="003C66EB" w14:paraId="5EA1E9BD" w14:textId="77777777">
        <w:tc>
          <w:tcPr>
            <w:tcW w:w="0" w:type="auto"/>
            <w:gridSpan w:val="3"/>
            <w:shd w:val="clear" w:color="auto" w:fill="FFFFFF"/>
            <w:tcMar>
              <w:top w:w="40" w:type="dxa"/>
              <w:left w:w="20" w:type="dxa"/>
              <w:bottom w:w="40" w:type="dxa"/>
              <w:right w:w="20" w:type="dxa"/>
            </w:tcMar>
            <w:vAlign w:val="bottom"/>
          </w:tcPr>
          <w:p w14:paraId="5EA1E9A7" w14:textId="77777777" w:rsidR="003C66EB" w:rsidRDefault="00D96C4E">
            <w:pPr>
              <w:textAlignment w:val="bottom"/>
            </w:pPr>
            <w:r>
              <w:rPr>
                <w:rFonts w:ascii="Arial" w:eastAsia="宋体" w:hAnsi="Arial" w:cs="Arial"/>
                <w:color w:val="000000"/>
                <w:sz w:val="14"/>
                <w:szCs w:val="14"/>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tcPr>
          <w:p w14:paraId="5EA1E9A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A9"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E9A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A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A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AD"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E9A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AF"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E9B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B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9B2" w14:textId="77777777" w:rsidR="003C66EB" w:rsidRDefault="003C66EB">
            <w:pPr>
              <w:rPr>
                <w:rFonts w:ascii="宋体"/>
              </w:rPr>
            </w:pPr>
          </w:p>
        </w:tc>
        <w:tc>
          <w:tcPr>
            <w:tcW w:w="0" w:type="auto"/>
            <w:gridSpan w:val="3"/>
            <w:shd w:val="clear" w:color="auto" w:fill="auto"/>
          </w:tcPr>
          <w:p w14:paraId="5EA1E9B3" w14:textId="77777777" w:rsidR="003C66EB" w:rsidRDefault="003C66EB">
            <w:pPr>
              <w:rPr>
                <w:rFonts w:ascii="宋体"/>
                <w:vanish/>
              </w:rPr>
            </w:pPr>
          </w:p>
        </w:tc>
        <w:tc>
          <w:tcPr>
            <w:tcW w:w="0" w:type="auto"/>
            <w:gridSpan w:val="3"/>
            <w:shd w:val="clear" w:color="auto" w:fill="auto"/>
          </w:tcPr>
          <w:p w14:paraId="5EA1E9B4" w14:textId="77777777" w:rsidR="003C66EB" w:rsidRDefault="003C66EB">
            <w:pPr>
              <w:rPr>
                <w:rFonts w:ascii="宋体"/>
                <w:vanish/>
              </w:rPr>
            </w:pPr>
          </w:p>
        </w:tc>
        <w:tc>
          <w:tcPr>
            <w:tcW w:w="0" w:type="auto"/>
            <w:gridSpan w:val="3"/>
            <w:shd w:val="clear" w:color="auto" w:fill="auto"/>
          </w:tcPr>
          <w:p w14:paraId="5EA1E9B5" w14:textId="77777777" w:rsidR="003C66EB" w:rsidRDefault="003C66EB">
            <w:pPr>
              <w:rPr>
                <w:rFonts w:ascii="宋体"/>
                <w:vanish/>
              </w:rPr>
            </w:pPr>
          </w:p>
        </w:tc>
        <w:tc>
          <w:tcPr>
            <w:tcW w:w="0" w:type="auto"/>
            <w:gridSpan w:val="3"/>
            <w:shd w:val="clear" w:color="auto" w:fill="auto"/>
          </w:tcPr>
          <w:p w14:paraId="5EA1E9B6" w14:textId="77777777" w:rsidR="003C66EB" w:rsidRDefault="003C66EB">
            <w:pPr>
              <w:rPr>
                <w:rFonts w:ascii="宋体"/>
                <w:vanish/>
              </w:rPr>
            </w:pPr>
          </w:p>
        </w:tc>
        <w:tc>
          <w:tcPr>
            <w:tcW w:w="0" w:type="auto"/>
            <w:gridSpan w:val="3"/>
            <w:shd w:val="clear" w:color="auto" w:fill="auto"/>
          </w:tcPr>
          <w:p w14:paraId="5EA1E9B7" w14:textId="77777777" w:rsidR="003C66EB" w:rsidRDefault="003C66EB">
            <w:pPr>
              <w:rPr>
                <w:rFonts w:ascii="宋体"/>
                <w:vanish/>
              </w:rPr>
            </w:pPr>
          </w:p>
        </w:tc>
        <w:tc>
          <w:tcPr>
            <w:tcW w:w="0" w:type="auto"/>
            <w:gridSpan w:val="3"/>
            <w:shd w:val="clear" w:color="auto" w:fill="auto"/>
          </w:tcPr>
          <w:p w14:paraId="5EA1E9B8" w14:textId="77777777" w:rsidR="003C66EB" w:rsidRDefault="003C66EB">
            <w:pPr>
              <w:rPr>
                <w:rFonts w:ascii="宋体"/>
                <w:vanish/>
              </w:rPr>
            </w:pPr>
          </w:p>
        </w:tc>
        <w:tc>
          <w:tcPr>
            <w:tcW w:w="0" w:type="auto"/>
            <w:gridSpan w:val="3"/>
            <w:shd w:val="clear" w:color="auto" w:fill="auto"/>
          </w:tcPr>
          <w:p w14:paraId="5EA1E9B9" w14:textId="77777777" w:rsidR="003C66EB" w:rsidRDefault="003C66EB">
            <w:pPr>
              <w:rPr>
                <w:rFonts w:ascii="宋体"/>
                <w:vanish/>
              </w:rPr>
            </w:pPr>
          </w:p>
        </w:tc>
        <w:tc>
          <w:tcPr>
            <w:tcW w:w="0" w:type="auto"/>
            <w:gridSpan w:val="3"/>
            <w:shd w:val="clear" w:color="auto" w:fill="auto"/>
          </w:tcPr>
          <w:p w14:paraId="5EA1E9BA" w14:textId="77777777" w:rsidR="003C66EB" w:rsidRDefault="003C66EB">
            <w:pPr>
              <w:rPr>
                <w:rFonts w:ascii="宋体"/>
                <w:vanish/>
              </w:rPr>
            </w:pPr>
          </w:p>
        </w:tc>
        <w:tc>
          <w:tcPr>
            <w:tcW w:w="0" w:type="auto"/>
            <w:gridSpan w:val="2"/>
            <w:shd w:val="clear" w:color="auto" w:fill="auto"/>
          </w:tcPr>
          <w:p w14:paraId="5EA1E9BB" w14:textId="77777777" w:rsidR="003C66EB" w:rsidRDefault="003C66EB">
            <w:pPr>
              <w:rPr>
                <w:rFonts w:ascii="宋体"/>
                <w:vanish/>
              </w:rPr>
            </w:pPr>
          </w:p>
        </w:tc>
        <w:tc>
          <w:tcPr>
            <w:tcW w:w="0" w:type="auto"/>
            <w:shd w:val="clear" w:color="auto" w:fill="auto"/>
          </w:tcPr>
          <w:p w14:paraId="5EA1E9BC" w14:textId="77777777" w:rsidR="003C66EB" w:rsidRDefault="003C66EB">
            <w:pPr>
              <w:rPr>
                <w:rFonts w:ascii="宋体"/>
                <w:vanish/>
              </w:rPr>
            </w:pPr>
          </w:p>
        </w:tc>
      </w:tr>
      <w:tr w:rsidR="003C66EB" w14:paraId="5EA1E9DE" w14:textId="77777777">
        <w:tc>
          <w:tcPr>
            <w:tcW w:w="0" w:type="auto"/>
            <w:gridSpan w:val="3"/>
            <w:shd w:val="clear" w:color="auto" w:fill="CCEEFF"/>
            <w:tcMar>
              <w:top w:w="40" w:type="dxa"/>
              <w:left w:w="245" w:type="dxa"/>
              <w:bottom w:w="40" w:type="dxa"/>
              <w:right w:w="20" w:type="dxa"/>
            </w:tcMar>
            <w:vAlign w:val="bottom"/>
          </w:tcPr>
          <w:p w14:paraId="5EA1E9BE" w14:textId="77777777" w:rsidR="003C66EB" w:rsidRDefault="00D96C4E">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5EA1E9BF"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E9C0" w14:textId="77777777" w:rsidR="003C66EB" w:rsidRDefault="00D96C4E">
            <w:pPr>
              <w:jc w:val="right"/>
              <w:textAlignment w:val="bottom"/>
            </w:pPr>
            <w:r>
              <w:rPr>
                <w:rFonts w:ascii="Arial" w:eastAsia="宋体" w:hAnsi="Arial" w:cs="Arial"/>
                <w:b/>
                <w:bCs/>
                <w:color w:val="000000"/>
                <w:sz w:val="14"/>
                <w:szCs w:val="14"/>
              </w:rPr>
              <w:t>100,974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C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C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9C3"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E9C4" w14:textId="77777777" w:rsidR="003C66EB" w:rsidRDefault="00D96C4E">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C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C7" w14:textId="77777777" w:rsidR="003C66EB" w:rsidRDefault="00D96C4E">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9C8" w14:textId="77777777" w:rsidR="003C66EB" w:rsidRDefault="00D96C4E">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5EA1E9C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9CA"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E9CB" w14:textId="77777777" w:rsidR="003C66EB" w:rsidRDefault="00D96C4E">
            <w:pPr>
              <w:jc w:val="right"/>
              <w:textAlignment w:val="bottom"/>
            </w:pPr>
            <w:r>
              <w:rPr>
                <w:rFonts w:ascii="Arial" w:eastAsia="宋体" w:hAnsi="Arial" w:cs="Arial"/>
                <w:color w:val="000000"/>
                <w:sz w:val="14"/>
                <w:szCs w:val="14"/>
              </w:rPr>
              <w:t>80,247 </w:t>
            </w:r>
          </w:p>
        </w:tc>
        <w:tc>
          <w:tcPr>
            <w:tcW w:w="0" w:type="auto"/>
            <w:shd w:val="clear" w:color="auto" w:fill="CCEEFF"/>
            <w:tcMar>
              <w:top w:w="40" w:type="dxa"/>
              <w:left w:w="0" w:type="dxa"/>
              <w:bottom w:w="40" w:type="dxa"/>
              <w:right w:w="20" w:type="dxa"/>
            </w:tcMar>
            <w:vAlign w:val="bottom"/>
          </w:tcPr>
          <w:p w14:paraId="5EA1E9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C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9CE"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E9CF" w14:textId="77777777" w:rsidR="003C66EB" w:rsidRDefault="00D96C4E">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5EA1E9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D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9D2" w14:textId="77777777" w:rsidR="003C66EB" w:rsidRDefault="00D96C4E">
            <w:pPr>
              <w:jc w:val="right"/>
              <w:textAlignment w:val="bottom"/>
            </w:pPr>
            <w:r>
              <w:rPr>
                <w:rFonts w:ascii="Arial" w:eastAsia="宋体" w:hAnsi="Arial" w:cs="Arial"/>
                <w:color w:val="000000"/>
                <w:sz w:val="14"/>
                <w:szCs w:val="14"/>
              </w:rPr>
              <w:t>.50 </w:t>
            </w:r>
          </w:p>
        </w:tc>
        <w:tc>
          <w:tcPr>
            <w:tcW w:w="0" w:type="auto"/>
            <w:shd w:val="clear" w:color="auto" w:fill="CCEEFF"/>
            <w:tcMar>
              <w:top w:w="40" w:type="dxa"/>
              <w:left w:w="0" w:type="dxa"/>
              <w:bottom w:w="40" w:type="dxa"/>
              <w:right w:w="20" w:type="dxa"/>
            </w:tcMar>
            <w:vAlign w:val="bottom"/>
          </w:tcPr>
          <w:p w14:paraId="5EA1E9D3"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Pr>
          <w:p w14:paraId="5EA1E9D4" w14:textId="77777777" w:rsidR="003C66EB" w:rsidRDefault="003C66EB">
            <w:pPr>
              <w:rPr>
                <w:rFonts w:ascii="宋体"/>
                <w:vanish/>
              </w:rPr>
            </w:pPr>
          </w:p>
        </w:tc>
        <w:tc>
          <w:tcPr>
            <w:tcW w:w="0" w:type="auto"/>
            <w:gridSpan w:val="3"/>
            <w:shd w:val="clear" w:color="auto" w:fill="auto"/>
          </w:tcPr>
          <w:p w14:paraId="5EA1E9D5" w14:textId="77777777" w:rsidR="003C66EB" w:rsidRDefault="003C66EB">
            <w:pPr>
              <w:rPr>
                <w:rFonts w:ascii="宋体"/>
                <w:vanish/>
              </w:rPr>
            </w:pPr>
          </w:p>
        </w:tc>
        <w:tc>
          <w:tcPr>
            <w:tcW w:w="0" w:type="auto"/>
            <w:gridSpan w:val="3"/>
            <w:shd w:val="clear" w:color="auto" w:fill="auto"/>
          </w:tcPr>
          <w:p w14:paraId="5EA1E9D6" w14:textId="77777777" w:rsidR="003C66EB" w:rsidRDefault="003C66EB">
            <w:pPr>
              <w:rPr>
                <w:rFonts w:ascii="宋体"/>
                <w:vanish/>
              </w:rPr>
            </w:pPr>
          </w:p>
        </w:tc>
        <w:tc>
          <w:tcPr>
            <w:tcW w:w="0" w:type="auto"/>
            <w:gridSpan w:val="3"/>
            <w:shd w:val="clear" w:color="auto" w:fill="auto"/>
          </w:tcPr>
          <w:p w14:paraId="5EA1E9D7" w14:textId="77777777" w:rsidR="003C66EB" w:rsidRDefault="003C66EB">
            <w:pPr>
              <w:rPr>
                <w:rFonts w:ascii="宋体"/>
                <w:vanish/>
              </w:rPr>
            </w:pPr>
          </w:p>
        </w:tc>
        <w:tc>
          <w:tcPr>
            <w:tcW w:w="0" w:type="auto"/>
            <w:gridSpan w:val="3"/>
            <w:shd w:val="clear" w:color="auto" w:fill="auto"/>
          </w:tcPr>
          <w:p w14:paraId="5EA1E9D8" w14:textId="77777777" w:rsidR="003C66EB" w:rsidRDefault="003C66EB">
            <w:pPr>
              <w:rPr>
                <w:rFonts w:ascii="宋体"/>
                <w:vanish/>
              </w:rPr>
            </w:pPr>
          </w:p>
        </w:tc>
        <w:tc>
          <w:tcPr>
            <w:tcW w:w="0" w:type="auto"/>
            <w:gridSpan w:val="3"/>
            <w:shd w:val="clear" w:color="auto" w:fill="auto"/>
          </w:tcPr>
          <w:p w14:paraId="5EA1E9D9" w14:textId="77777777" w:rsidR="003C66EB" w:rsidRDefault="003C66EB">
            <w:pPr>
              <w:rPr>
                <w:rFonts w:ascii="宋体"/>
                <w:vanish/>
              </w:rPr>
            </w:pPr>
          </w:p>
        </w:tc>
        <w:tc>
          <w:tcPr>
            <w:tcW w:w="0" w:type="auto"/>
            <w:gridSpan w:val="3"/>
            <w:shd w:val="clear" w:color="auto" w:fill="auto"/>
          </w:tcPr>
          <w:p w14:paraId="5EA1E9DA" w14:textId="77777777" w:rsidR="003C66EB" w:rsidRDefault="003C66EB">
            <w:pPr>
              <w:rPr>
                <w:rFonts w:ascii="宋体"/>
                <w:vanish/>
              </w:rPr>
            </w:pPr>
          </w:p>
        </w:tc>
        <w:tc>
          <w:tcPr>
            <w:tcW w:w="0" w:type="auto"/>
            <w:gridSpan w:val="3"/>
            <w:shd w:val="clear" w:color="auto" w:fill="auto"/>
          </w:tcPr>
          <w:p w14:paraId="5EA1E9DB" w14:textId="77777777" w:rsidR="003C66EB" w:rsidRDefault="003C66EB">
            <w:pPr>
              <w:rPr>
                <w:rFonts w:ascii="宋体"/>
                <w:vanish/>
              </w:rPr>
            </w:pPr>
          </w:p>
        </w:tc>
        <w:tc>
          <w:tcPr>
            <w:tcW w:w="0" w:type="auto"/>
            <w:gridSpan w:val="2"/>
            <w:shd w:val="clear" w:color="auto" w:fill="auto"/>
          </w:tcPr>
          <w:p w14:paraId="5EA1E9DC" w14:textId="77777777" w:rsidR="003C66EB" w:rsidRDefault="003C66EB">
            <w:pPr>
              <w:rPr>
                <w:rFonts w:ascii="宋体"/>
                <w:vanish/>
              </w:rPr>
            </w:pPr>
          </w:p>
        </w:tc>
        <w:tc>
          <w:tcPr>
            <w:tcW w:w="0" w:type="auto"/>
            <w:shd w:val="clear" w:color="auto" w:fill="auto"/>
          </w:tcPr>
          <w:p w14:paraId="5EA1E9DD" w14:textId="77777777" w:rsidR="003C66EB" w:rsidRDefault="003C66EB">
            <w:pPr>
              <w:rPr>
                <w:rFonts w:ascii="宋体"/>
                <w:vanish/>
              </w:rPr>
            </w:pPr>
          </w:p>
        </w:tc>
      </w:tr>
      <w:tr w:rsidR="003C66EB" w14:paraId="5EA1E9FB" w14:textId="77777777">
        <w:tc>
          <w:tcPr>
            <w:tcW w:w="0" w:type="auto"/>
            <w:gridSpan w:val="3"/>
            <w:shd w:val="clear" w:color="auto" w:fill="FFFFFF"/>
            <w:tcMar>
              <w:top w:w="40" w:type="dxa"/>
              <w:left w:w="20" w:type="dxa"/>
              <w:bottom w:w="40" w:type="dxa"/>
              <w:right w:w="20" w:type="dxa"/>
            </w:tcMar>
            <w:vAlign w:val="bottom"/>
          </w:tcPr>
          <w:p w14:paraId="5EA1E9DF" w14:textId="77777777" w:rsidR="003C66EB" w:rsidRDefault="00D96C4E">
            <w:pPr>
              <w:textAlignment w:val="bottom"/>
            </w:pPr>
            <w:r>
              <w:rPr>
                <w:rFonts w:ascii="Arial" w:eastAsia="宋体" w:hAnsi="Arial" w:cs="Arial"/>
                <w:color w:val="000000"/>
                <w:sz w:val="14"/>
                <w:szCs w:val="14"/>
              </w:rPr>
              <w:t>Non-U.S.</w:t>
            </w:r>
            <w:r>
              <w:rPr>
                <w:rFonts w:ascii="Arial" w:eastAsia="宋体" w:hAnsi="Arial" w:cs="Arial"/>
                <w:color w:val="000000"/>
                <w:sz w:val="9"/>
                <w:szCs w:val="9"/>
              </w:rPr>
              <w:t>(2)(4)</w:t>
            </w:r>
          </w:p>
        </w:tc>
        <w:tc>
          <w:tcPr>
            <w:tcW w:w="0" w:type="auto"/>
            <w:gridSpan w:val="2"/>
            <w:shd w:val="clear" w:color="auto" w:fill="FFFFFF"/>
            <w:tcMar>
              <w:top w:w="40" w:type="dxa"/>
              <w:left w:w="20" w:type="dxa"/>
              <w:bottom w:w="40" w:type="dxa"/>
              <w:right w:w="0" w:type="dxa"/>
            </w:tcMar>
            <w:vAlign w:val="bottom"/>
          </w:tcPr>
          <w:p w14:paraId="5EA1E9E0" w14:textId="77777777" w:rsidR="003C66EB" w:rsidRDefault="00D96C4E">
            <w:pPr>
              <w:jc w:val="right"/>
              <w:textAlignment w:val="bottom"/>
            </w:pPr>
            <w:r>
              <w:rPr>
                <w:rFonts w:ascii="Arial" w:eastAsia="宋体" w:hAnsi="Arial" w:cs="Arial"/>
                <w:b/>
                <w:bCs/>
                <w:color w:val="000000"/>
                <w:sz w:val="14"/>
                <w:szCs w:val="14"/>
              </w:rPr>
              <w:t>78,433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9E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E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E3" w14:textId="77777777" w:rsidR="003C66EB" w:rsidRDefault="00D96C4E">
            <w:pPr>
              <w:jc w:val="right"/>
              <w:textAlignment w:val="bottom"/>
            </w:pPr>
            <w:r>
              <w:rPr>
                <w:rFonts w:ascii="Arial" w:eastAsia="宋体" w:hAnsi="Arial" w:cs="Arial"/>
                <w:b/>
                <w:bCs/>
                <w:color w:val="000000"/>
                <w:sz w:val="14"/>
                <w:szCs w:val="14"/>
              </w:rPr>
              <w:t>(72)</w:t>
            </w:r>
          </w:p>
        </w:tc>
        <w:tc>
          <w:tcPr>
            <w:tcW w:w="0" w:type="auto"/>
            <w:shd w:val="clear" w:color="auto" w:fill="FFFFFF"/>
            <w:tcMar>
              <w:top w:w="40" w:type="dxa"/>
              <w:left w:w="0" w:type="dxa"/>
              <w:bottom w:w="40" w:type="dxa"/>
              <w:right w:w="20" w:type="dxa"/>
            </w:tcMar>
            <w:vAlign w:val="bottom"/>
          </w:tcPr>
          <w:p w14:paraId="5EA1E9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E6" w14:textId="77777777" w:rsidR="003C66EB" w:rsidRDefault="00D96C4E">
            <w:pPr>
              <w:jc w:val="right"/>
              <w:textAlignment w:val="bottom"/>
            </w:pPr>
            <w:r>
              <w:rPr>
                <w:rFonts w:ascii="Arial" w:eastAsia="宋体" w:hAnsi="Arial" w:cs="Arial"/>
                <w:b/>
                <w:bCs/>
                <w:color w:val="000000"/>
                <w:sz w:val="14"/>
                <w:szCs w:val="14"/>
              </w:rPr>
              <w:t>(.37)</w:t>
            </w:r>
          </w:p>
        </w:tc>
        <w:tc>
          <w:tcPr>
            <w:tcW w:w="0" w:type="auto"/>
            <w:shd w:val="clear" w:color="auto" w:fill="FFFFFF"/>
            <w:tcMar>
              <w:top w:w="40" w:type="dxa"/>
              <w:left w:w="0" w:type="dxa"/>
              <w:bottom w:w="40" w:type="dxa"/>
              <w:right w:w="20" w:type="dxa"/>
            </w:tcMar>
            <w:vAlign w:val="bottom"/>
          </w:tcPr>
          <w:p w14:paraId="5EA1E9E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E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E9" w14:textId="77777777" w:rsidR="003C66EB" w:rsidRDefault="00D96C4E">
            <w:pPr>
              <w:jc w:val="right"/>
              <w:textAlignment w:val="bottom"/>
            </w:pPr>
            <w:r>
              <w:rPr>
                <w:rFonts w:ascii="Arial" w:eastAsia="宋体" w:hAnsi="Arial" w:cs="Arial"/>
                <w:color w:val="000000"/>
                <w:sz w:val="14"/>
                <w:szCs w:val="14"/>
              </w:rPr>
              <w:t>64,340 </w:t>
            </w:r>
          </w:p>
        </w:tc>
        <w:tc>
          <w:tcPr>
            <w:tcW w:w="0" w:type="auto"/>
            <w:shd w:val="clear" w:color="auto" w:fill="FFFFFF"/>
            <w:tcMar>
              <w:top w:w="40" w:type="dxa"/>
              <w:left w:w="0" w:type="dxa"/>
              <w:bottom w:w="40" w:type="dxa"/>
              <w:right w:w="20" w:type="dxa"/>
            </w:tcMar>
            <w:vAlign w:val="bottom"/>
          </w:tcPr>
          <w:p w14:paraId="5EA1E9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E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EC" w14:textId="77777777" w:rsidR="003C66EB" w:rsidRDefault="00D96C4E">
            <w:pPr>
              <w:jc w:val="right"/>
              <w:textAlignment w:val="bottom"/>
            </w:pPr>
            <w:r>
              <w:rPr>
                <w:rFonts w:ascii="Arial" w:eastAsia="宋体" w:hAnsi="Arial" w:cs="Arial"/>
                <w:color w:val="000000"/>
                <w:sz w:val="14"/>
                <w:szCs w:val="14"/>
              </w:rPr>
              <w:t>(32)</w:t>
            </w:r>
          </w:p>
        </w:tc>
        <w:tc>
          <w:tcPr>
            <w:tcW w:w="0" w:type="auto"/>
            <w:shd w:val="clear" w:color="auto" w:fill="FFFFFF"/>
            <w:tcMar>
              <w:top w:w="40" w:type="dxa"/>
              <w:left w:w="0" w:type="dxa"/>
              <w:bottom w:w="40" w:type="dxa"/>
              <w:right w:w="20" w:type="dxa"/>
            </w:tcMar>
            <w:vAlign w:val="bottom"/>
          </w:tcPr>
          <w:p w14:paraId="5EA1E9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9E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9EF" w14:textId="77777777" w:rsidR="003C66EB" w:rsidRDefault="00D96C4E">
            <w:pPr>
              <w:jc w:val="right"/>
              <w:textAlignment w:val="bottom"/>
            </w:pPr>
            <w:r>
              <w:rPr>
                <w:rFonts w:ascii="Arial" w:eastAsia="宋体" w:hAnsi="Arial" w:cs="Arial"/>
                <w:color w:val="000000"/>
                <w:sz w:val="14"/>
                <w:szCs w:val="14"/>
              </w:rPr>
              <w:t>(.20)</w:t>
            </w:r>
          </w:p>
        </w:tc>
        <w:tc>
          <w:tcPr>
            <w:tcW w:w="0" w:type="auto"/>
            <w:shd w:val="clear" w:color="auto" w:fill="FFFFFF"/>
            <w:tcMar>
              <w:top w:w="40" w:type="dxa"/>
              <w:left w:w="0" w:type="dxa"/>
              <w:bottom w:w="40" w:type="dxa"/>
              <w:right w:w="20" w:type="dxa"/>
            </w:tcMar>
            <w:vAlign w:val="bottom"/>
          </w:tcPr>
          <w:p w14:paraId="5EA1E9F0" w14:textId="77777777" w:rsidR="003C66EB" w:rsidRDefault="003C66EB">
            <w:pPr>
              <w:jc w:val="right"/>
              <w:rPr>
                <w:rFonts w:ascii="宋体"/>
              </w:rPr>
            </w:pPr>
          </w:p>
        </w:tc>
        <w:tc>
          <w:tcPr>
            <w:tcW w:w="0" w:type="auto"/>
            <w:gridSpan w:val="3"/>
            <w:shd w:val="clear" w:color="auto" w:fill="auto"/>
          </w:tcPr>
          <w:p w14:paraId="5EA1E9F1" w14:textId="77777777" w:rsidR="003C66EB" w:rsidRDefault="003C66EB">
            <w:pPr>
              <w:rPr>
                <w:rFonts w:ascii="宋体"/>
                <w:vanish/>
              </w:rPr>
            </w:pPr>
          </w:p>
        </w:tc>
        <w:tc>
          <w:tcPr>
            <w:tcW w:w="0" w:type="auto"/>
            <w:gridSpan w:val="3"/>
            <w:shd w:val="clear" w:color="auto" w:fill="auto"/>
          </w:tcPr>
          <w:p w14:paraId="5EA1E9F2" w14:textId="77777777" w:rsidR="003C66EB" w:rsidRDefault="003C66EB">
            <w:pPr>
              <w:rPr>
                <w:rFonts w:ascii="宋体"/>
                <w:vanish/>
              </w:rPr>
            </w:pPr>
          </w:p>
        </w:tc>
        <w:tc>
          <w:tcPr>
            <w:tcW w:w="0" w:type="auto"/>
            <w:gridSpan w:val="3"/>
            <w:shd w:val="clear" w:color="auto" w:fill="auto"/>
          </w:tcPr>
          <w:p w14:paraId="5EA1E9F3" w14:textId="77777777" w:rsidR="003C66EB" w:rsidRDefault="003C66EB">
            <w:pPr>
              <w:rPr>
                <w:rFonts w:ascii="宋体"/>
                <w:vanish/>
              </w:rPr>
            </w:pPr>
          </w:p>
        </w:tc>
        <w:tc>
          <w:tcPr>
            <w:tcW w:w="0" w:type="auto"/>
            <w:gridSpan w:val="3"/>
            <w:shd w:val="clear" w:color="auto" w:fill="auto"/>
          </w:tcPr>
          <w:p w14:paraId="5EA1E9F4" w14:textId="77777777" w:rsidR="003C66EB" w:rsidRDefault="003C66EB">
            <w:pPr>
              <w:rPr>
                <w:rFonts w:ascii="宋体"/>
                <w:vanish/>
              </w:rPr>
            </w:pPr>
          </w:p>
        </w:tc>
        <w:tc>
          <w:tcPr>
            <w:tcW w:w="0" w:type="auto"/>
            <w:gridSpan w:val="3"/>
            <w:shd w:val="clear" w:color="auto" w:fill="auto"/>
          </w:tcPr>
          <w:p w14:paraId="5EA1E9F5" w14:textId="77777777" w:rsidR="003C66EB" w:rsidRDefault="003C66EB">
            <w:pPr>
              <w:rPr>
                <w:rFonts w:ascii="宋体"/>
                <w:vanish/>
              </w:rPr>
            </w:pPr>
          </w:p>
        </w:tc>
        <w:tc>
          <w:tcPr>
            <w:tcW w:w="0" w:type="auto"/>
            <w:gridSpan w:val="3"/>
            <w:shd w:val="clear" w:color="auto" w:fill="auto"/>
          </w:tcPr>
          <w:p w14:paraId="5EA1E9F6" w14:textId="77777777" w:rsidR="003C66EB" w:rsidRDefault="003C66EB">
            <w:pPr>
              <w:rPr>
                <w:rFonts w:ascii="宋体"/>
                <w:vanish/>
              </w:rPr>
            </w:pPr>
          </w:p>
        </w:tc>
        <w:tc>
          <w:tcPr>
            <w:tcW w:w="0" w:type="auto"/>
            <w:gridSpan w:val="3"/>
            <w:shd w:val="clear" w:color="auto" w:fill="auto"/>
          </w:tcPr>
          <w:p w14:paraId="5EA1E9F7" w14:textId="77777777" w:rsidR="003C66EB" w:rsidRDefault="003C66EB">
            <w:pPr>
              <w:rPr>
                <w:rFonts w:ascii="宋体"/>
                <w:vanish/>
              </w:rPr>
            </w:pPr>
          </w:p>
        </w:tc>
        <w:tc>
          <w:tcPr>
            <w:tcW w:w="0" w:type="auto"/>
            <w:gridSpan w:val="3"/>
            <w:shd w:val="clear" w:color="auto" w:fill="auto"/>
          </w:tcPr>
          <w:p w14:paraId="5EA1E9F8" w14:textId="77777777" w:rsidR="003C66EB" w:rsidRDefault="003C66EB">
            <w:pPr>
              <w:rPr>
                <w:rFonts w:ascii="宋体"/>
                <w:vanish/>
              </w:rPr>
            </w:pPr>
          </w:p>
        </w:tc>
        <w:tc>
          <w:tcPr>
            <w:tcW w:w="0" w:type="auto"/>
            <w:gridSpan w:val="2"/>
            <w:shd w:val="clear" w:color="auto" w:fill="auto"/>
          </w:tcPr>
          <w:p w14:paraId="5EA1E9F9" w14:textId="77777777" w:rsidR="003C66EB" w:rsidRDefault="003C66EB">
            <w:pPr>
              <w:rPr>
                <w:rFonts w:ascii="宋体"/>
                <w:vanish/>
              </w:rPr>
            </w:pPr>
          </w:p>
        </w:tc>
        <w:tc>
          <w:tcPr>
            <w:tcW w:w="0" w:type="auto"/>
            <w:shd w:val="clear" w:color="auto" w:fill="auto"/>
          </w:tcPr>
          <w:p w14:paraId="5EA1E9FA" w14:textId="77777777" w:rsidR="003C66EB" w:rsidRDefault="003C66EB">
            <w:pPr>
              <w:rPr>
                <w:rFonts w:ascii="宋体"/>
                <w:vanish/>
              </w:rPr>
            </w:pPr>
          </w:p>
        </w:tc>
      </w:tr>
      <w:tr w:rsidR="003C66EB" w14:paraId="5EA1EA18" w14:textId="77777777">
        <w:tc>
          <w:tcPr>
            <w:tcW w:w="0" w:type="auto"/>
            <w:gridSpan w:val="3"/>
            <w:shd w:val="clear" w:color="auto" w:fill="CCEEFF"/>
            <w:tcMar>
              <w:top w:w="40" w:type="dxa"/>
              <w:left w:w="20" w:type="dxa"/>
              <w:bottom w:w="40" w:type="dxa"/>
              <w:right w:w="20" w:type="dxa"/>
            </w:tcMar>
            <w:vAlign w:val="bottom"/>
          </w:tcPr>
          <w:p w14:paraId="5EA1E9FC" w14:textId="77777777" w:rsidR="003C66EB" w:rsidRDefault="00D96C4E">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(4)(5</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9FD" w14:textId="77777777" w:rsidR="003C66EB" w:rsidRDefault="00D96C4E">
            <w:pPr>
              <w:jc w:val="right"/>
              <w:textAlignment w:val="bottom"/>
            </w:pPr>
            <w:r>
              <w:rPr>
                <w:rFonts w:ascii="Arial" w:eastAsia="宋体" w:hAnsi="Arial" w:cs="Arial"/>
                <w:b/>
                <w:bCs/>
                <w:color w:val="000000"/>
                <w:sz w:val="14"/>
                <w:szCs w:val="14"/>
              </w:rPr>
              <w:t>179,407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9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9F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A00" w14:textId="77777777" w:rsidR="003C66EB" w:rsidRDefault="00D96C4E">
            <w:pPr>
              <w:jc w:val="right"/>
              <w:textAlignment w:val="bottom"/>
            </w:pPr>
            <w:r>
              <w:rPr>
                <w:rFonts w:ascii="Arial" w:eastAsia="宋体" w:hAnsi="Arial" w:cs="Arial"/>
                <w:b/>
                <w:bCs/>
                <w:color w:val="000000"/>
                <w:sz w:val="14"/>
                <w:szCs w:val="14"/>
              </w:rPr>
              <w:t>(69)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0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0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03" w14:textId="77777777" w:rsidR="003C66EB" w:rsidRDefault="00D96C4E">
            <w:pPr>
              <w:jc w:val="right"/>
              <w:textAlignment w:val="bottom"/>
            </w:pPr>
            <w:r>
              <w:rPr>
                <w:rFonts w:ascii="Arial" w:eastAsia="宋体" w:hAnsi="Arial" w:cs="Arial"/>
                <w:b/>
                <w:bCs/>
                <w:color w:val="000000"/>
                <w:sz w:val="14"/>
                <w:szCs w:val="14"/>
              </w:rPr>
              <w:t>(.16)</w:t>
            </w:r>
          </w:p>
        </w:tc>
        <w:tc>
          <w:tcPr>
            <w:tcW w:w="0" w:type="auto"/>
            <w:shd w:val="clear" w:color="auto" w:fill="CCEEFF"/>
            <w:tcMar>
              <w:top w:w="40" w:type="dxa"/>
              <w:left w:w="0" w:type="dxa"/>
              <w:bottom w:w="40" w:type="dxa"/>
              <w:right w:w="20" w:type="dxa"/>
            </w:tcMar>
            <w:vAlign w:val="bottom"/>
          </w:tcPr>
          <w:p w14:paraId="5EA1EA0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0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A06" w14:textId="77777777" w:rsidR="003C66EB" w:rsidRDefault="00D96C4E">
            <w:pPr>
              <w:jc w:val="right"/>
              <w:textAlignment w:val="bottom"/>
            </w:pPr>
            <w:r>
              <w:rPr>
                <w:rFonts w:ascii="Arial" w:eastAsia="宋体" w:hAnsi="Arial" w:cs="Arial"/>
                <w:color w:val="000000"/>
                <w:sz w:val="14"/>
                <w:szCs w:val="14"/>
              </w:rPr>
              <w:t>144,587 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0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0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A09" w14:textId="77777777" w:rsidR="003C66EB" w:rsidRDefault="00D96C4E">
            <w:pPr>
              <w:jc w:val="right"/>
              <w:textAlignment w:val="bottom"/>
            </w:pPr>
            <w:r>
              <w:rPr>
                <w:rFonts w:ascii="Arial" w:eastAsia="宋体" w:hAnsi="Arial" w:cs="Arial"/>
                <w:color w:val="000000"/>
                <w:sz w:val="14"/>
                <w:szCs w:val="14"/>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0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0C" w14:textId="77777777" w:rsidR="003C66EB" w:rsidRDefault="00D96C4E">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5EA1EA0D" w14:textId="77777777" w:rsidR="003C66EB" w:rsidRDefault="003C66EB">
            <w:pPr>
              <w:jc w:val="right"/>
              <w:rPr>
                <w:rFonts w:ascii="宋体"/>
              </w:rPr>
            </w:pPr>
          </w:p>
        </w:tc>
        <w:tc>
          <w:tcPr>
            <w:tcW w:w="0" w:type="auto"/>
            <w:gridSpan w:val="3"/>
            <w:shd w:val="clear" w:color="auto" w:fill="auto"/>
          </w:tcPr>
          <w:p w14:paraId="5EA1EA0E" w14:textId="77777777" w:rsidR="003C66EB" w:rsidRDefault="003C66EB">
            <w:pPr>
              <w:rPr>
                <w:rFonts w:ascii="宋体"/>
                <w:vanish/>
              </w:rPr>
            </w:pPr>
          </w:p>
        </w:tc>
        <w:tc>
          <w:tcPr>
            <w:tcW w:w="0" w:type="auto"/>
            <w:gridSpan w:val="3"/>
            <w:shd w:val="clear" w:color="auto" w:fill="auto"/>
          </w:tcPr>
          <w:p w14:paraId="5EA1EA0F" w14:textId="77777777" w:rsidR="003C66EB" w:rsidRDefault="003C66EB">
            <w:pPr>
              <w:rPr>
                <w:rFonts w:ascii="宋体"/>
                <w:vanish/>
              </w:rPr>
            </w:pPr>
          </w:p>
        </w:tc>
        <w:tc>
          <w:tcPr>
            <w:tcW w:w="0" w:type="auto"/>
            <w:gridSpan w:val="3"/>
            <w:shd w:val="clear" w:color="auto" w:fill="auto"/>
          </w:tcPr>
          <w:p w14:paraId="5EA1EA10" w14:textId="77777777" w:rsidR="003C66EB" w:rsidRDefault="003C66EB">
            <w:pPr>
              <w:rPr>
                <w:rFonts w:ascii="宋体"/>
                <w:vanish/>
              </w:rPr>
            </w:pPr>
          </w:p>
        </w:tc>
        <w:tc>
          <w:tcPr>
            <w:tcW w:w="0" w:type="auto"/>
            <w:gridSpan w:val="3"/>
            <w:shd w:val="clear" w:color="auto" w:fill="auto"/>
          </w:tcPr>
          <w:p w14:paraId="5EA1EA11" w14:textId="77777777" w:rsidR="003C66EB" w:rsidRDefault="003C66EB">
            <w:pPr>
              <w:rPr>
                <w:rFonts w:ascii="宋体"/>
                <w:vanish/>
              </w:rPr>
            </w:pPr>
          </w:p>
        </w:tc>
        <w:tc>
          <w:tcPr>
            <w:tcW w:w="0" w:type="auto"/>
            <w:gridSpan w:val="3"/>
            <w:shd w:val="clear" w:color="auto" w:fill="auto"/>
          </w:tcPr>
          <w:p w14:paraId="5EA1EA12" w14:textId="77777777" w:rsidR="003C66EB" w:rsidRDefault="003C66EB">
            <w:pPr>
              <w:rPr>
                <w:rFonts w:ascii="宋体"/>
                <w:vanish/>
              </w:rPr>
            </w:pPr>
          </w:p>
        </w:tc>
        <w:tc>
          <w:tcPr>
            <w:tcW w:w="0" w:type="auto"/>
            <w:gridSpan w:val="3"/>
            <w:shd w:val="clear" w:color="auto" w:fill="auto"/>
          </w:tcPr>
          <w:p w14:paraId="5EA1EA13" w14:textId="77777777" w:rsidR="003C66EB" w:rsidRDefault="003C66EB">
            <w:pPr>
              <w:rPr>
                <w:rFonts w:ascii="宋体"/>
                <w:vanish/>
              </w:rPr>
            </w:pPr>
          </w:p>
        </w:tc>
        <w:tc>
          <w:tcPr>
            <w:tcW w:w="0" w:type="auto"/>
            <w:gridSpan w:val="3"/>
            <w:shd w:val="clear" w:color="auto" w:fill="auto"/>
          </w:tcPr>
          <w:p w14:paraId="5EA1EA14" w14:textId="77777777" w:rsidR="003C66EB" w:rsidRDefault="003C66EB">
            <w:pPr>
              <w:rPr>
                <w:rFonts w:ascii="宋体"/>
                <w:vanish/>
              </w:rPr>
            </w:pPr>
          </w:p>
        </w:tc>
        <w:tc>
          <w:tcPr>
            <w:tcW w:w="0" w:type="auto"/>
            <w:gridSpan w:val="3"/>
            <w:shd w:val="clear" w:color="auto" w:fill="auto"/>
          </w:tcPr>
          <w:p w14:paraId="5EA1EA15" w14:textId="77777777" w:rsidR="003C66EB" w:rsidRDefault="003C66EB">
            <w:pPr>
              <w:rPr>
                <w:rFonts w:ascii="宋体"/>
                <w:vanish/>
              </w:rPr>
            </w:pPr>
          </w:p>
        </w:tc>
        <w:tc>
          <w:tcPr>
            <w:tcW w:w="0" w:type="auto"/>
            <w:gridSpan w:val="2"/>
            <w:shd w:val="clear" w:color="auto" w:fill="auto"/>
          </w:tcPr>
          <w:p w14:paraId="5EA1EA16" w14:textId="77777777" w:rsidR="003C66EB" w:rsidRDefault="003C66EB">
            <w:pPr>
              <w:rPr>
                <w:rFonts w:ascii="宋体"/>
                <w:vanish/>
              </w:rPr>
            </w:pPr>
          </w:p>
        </w:tc>
        <w:tc>
          <w:tcPr>
            <w:tcW w:w="0" w:type="auto"/>
            <w:shd w:val="clear" w:color="auto" w:fill="auto"/>
          </w:tcPr>
          <w:p w14:paraId="5EA1EA17" w14:textId="77777777" w:rsidR="003C66EB" w:rsidRDefault="003C66EB">
            <w:pPr>
              <w:rPr>
                <w:rFonts w:ascii="宋体"/>
                <w:vanish/>
              </w:rPr>
            </w:pPr>
          </w:p>
        </w:tc>
      </w:tr>
      <w:tr w:rsidR="003C66EB" w14:paraId="5EA1EA35" w14:textId="77777777">
        <w:tc>
          <w:tcPr>
            <w:tcW w:w="0" w:type="auto"/>
            <w:gridSpan w:val="3"/>
            <w:shd w:val="clear" w:color="auto" w:fill="FFFFFF"/>
            <w:tcMar>
              <w:top w:w="40" w:type="dxa"/>
              <w:left w:w="20" w:type="dxa"/>
              <w:bottom w:w="40" w:type="dxa"/>
              <w:right w:w="20" w:type="dxa"/>
            </w:tcMar>
            <w:vAlign w:val="bottom"/>
          </w:tcPr>
          <w:p w14:paraId="5EA1EA19" w14:textId="77777777" w:rsidR="003C66EB" w:rsidRDefault="00D96C4E">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EA1EA1A" w14:textId="77777777" w:rsidR="003C66EB" w:rsidRDefault="00D96C4E">
            <w:pPr>
              <w:jc w:val="right"/>
              <w:textAlignment w:val="bottom"/>
            </w:pPr>
            <w:r>
              <w:rPr>
                <w:rFonts w:ascii="Arial" w:eastAsia="宋体" w:hAnsi="Arial" w:cs="Arial"/>
                <w:b/>
                <w:bCs/>
                <w:color w:val="000000"/>
                <w:sz w:val="14"/>
                <w:szCs w:val="14"/>
              </w:rPr>
              <w:t>1,017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1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1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1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1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1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20" w14:textId="77777777" w:rsidR="003C66EB" w:rsidRDefault="00D96C4E">
            <w:pPr>
              <w:jc w:val="right"/>
              <w:textAlignment w:val="bottom"/>
            </w:pPr>
            <w:r>
              <w:rPr>
                <w:rFonts w:ascii="Arial" w:eastAsia="宋体" w:hAnsi="Arial" w:cs="Arial"/>
                <w:b/>
                <w:bCs/>
                <w:color w:val="000000"/>
                <w:sz w:val="14"/>
                <w:szCs w:val="14"/>
              </w:rPr>
              <w:t>.05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2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23" w14:textId="77777777" w:rsidR="003C66EB" w:rsidRDefault="00D96C4E">
            <w:pPr>
              <w:jc w:val="right"/>
              <w:textAlignment w:val="bottom"/>
            </w:pPr>
            <w:r>
              <w:rPr>
                <w:rFonts w:ascii="Arial" w:eastAsia="宋体" w:hAnsi="Arial" w:cs="Arial"/>
                <w:color w:val="000000"/>
                <w:sz w:val="14"/>
                <w:szCs w:val="14"/>
              </w:rPr>
              <w:t>1,773 </w:t>
            </w:r>
          </w:p>
        </w:tc>
        <w:tc>
          <w:tcPr>
            <w:tcW w:w="0" w:type="auto"/>
            <w:shd w:val="clear" w:color="auto" w:fill="FFFFFF"/>
            <w:tcMar>
              <w:top w:w="40" w:type="dxa"/>
              <w:left w:w="0" w:type="dxa"/>
              <w:bottom w:w="40" w:type="dxa"/>
              <w:right w:w="20" w:type="dxa"/>
            </w:tcMar>
            <w:vAlign w:val="bottom"/>
          </w:tcPr>
          <w:p w14:paraId="5EA1EA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2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26"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A1EA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29" w14:textId="77777777" w:rsidR="003C66EB" w:rsidRDefault="00D96C4E">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5EA1EA2A" w14:textId="77777777" w:rsidR="003C66EB" w:rsidRDefault="003C66EB">
            <w:pPr>
              <w:jc w:val="right"/>
              <w:rPr>
                <w:rFonts w:ascii="宋体"/>
              </w:rPr>
            </w:pPr>
          </w:p>
        </w:tc>
        <w:tc>
          <w:tcPr>
            <w:tcW w:w="0" w:type="auto"/>
            <w:gridSpan w:val="3"/>
            <w:shd w:val="clear" w:color="auto" w:fill="auto"/>
          </w:tcPr>
          <w:p w14:paraId="5EA1EA2B" w14:textId="77777777" w:rsidR="003C66EB" w:rsidRDefault="003C66EB">
            <w:pPr>
              <w:rPr>
                <w:rFonts w:ascii="宋体"/>
                <w:vanish/>
              </w:rPr>
            </w:pPr>
          </w:p>
        </w:tc>
        <w:tc>
          <w:tcPr>
            <w:tcW w:w="0" w:type="auto"/>
            <w:gridSpan w:val="3"/>
            <w:shd w:val="clear" w:color="auto" w:fill="auto"/>
          </w:tcPr>
          <w:p w14:paraId="5EA1EA2C" w14:textId="77777777" w:rsidR="003C66EB" w:rsidRDefault="003C66EB">
            <w:pPr>
              <w:rPr>
                <w:rFonts w:ascii="宋体"/>
                <w:vanish/>
              </w:rPr>
            </w:pPr>
          </w:p>
        </w:tc>
        <w:tc>
          <w:tcPr>
            <w:tcW w:w="0" w:type="auto"/>
            <w:gridSpan w:val="3"/>
            <w:shd w:val="clear" w:color="auto" w:fill="auto"/>
          </w:tcPr>
          <w:p w14:paraId="5EA1EA2D" w14:textId="77777777" w:rsidR="003C66EB" w:rsidRDefault="003C66EB">
            <w:pPr>
              <w:rPr>
                <w:rFonts w:ascii="宋体"/>
                <w:vanish/>
              </w:rPr>
            </w:pPr>
          </w:p>
        </w:tc>
        <w:tc>
          <w:tcPr>
            <w:tcW w:w="0" w:type="auto"/>
            <w:gridSpan w:val="3"/>
            <w:shd w:val="clear" w:color="auto" w:fill="auto"/>
          </w:tcPr>
          <w:p w14:paraId="5EA1EA2E" w14:textId="77777777" w:rsidR="003C66EB" w:rsidRDefault="003C66EB">
            <w:pPr>
              <w:rPr>
                <w:rFonts w:ascii="宋体"/>
                <w:vanish/>
              </w:rPr>
            </w:pPr>
          </w:p>
        </w:tc>
        <w:tc>
          <w:tcPr>
            <w:tcW w:w="0" w:type="auto"/>
            <w:gridSpan w:val="3"/>
            <w:shd w:val="clear" w:color="auto" w:fill="auto"/>
          </w:tcPr>
          <w:p w14:paraId="5EA1EA2F" w14:textId="77777777" w:rsidR="003C66EB" w:rsidRDefault="003C66EB">
            <w:pPr>
              <w:rPr>
                <w:rFonts w:ascii="宋体"/>
                <w:vanish/>
              </w:rPr>
            </w:pPr>
          </w:p>
        </w:tc>
        <w:tc>
          <w:tcPr>
            <w:tcW w:w="0" w:type="auto"/>
            <w:gridSpan w:val="3"/>
            <w:shd w:val="clear" w:color="auto" w:fill="auto"/>
          </w:tcPr>
          <w:p w14:paraId="5EA1EA30" w14:textId="77777777" w:rsidR="003C66EB" w:rsidRDefault="003C66EB">
            <w:pPr>
              <w:rPr>
                <w:rFonts w:ascii="宋体"/>
                <w:vanish/>
              </w:rPr>
            </w:pPr>
          </w:p>
        </w:tc>
        <w:tc>
          <w:tcPr>
            <w:tcW w:w="0" w:type="auto"/>
            <w:gridSpan w:val="3"/>
            <w:shd w:val="clear" w:color="auto" w:fill="auto"/>
          </w:tcPr>
          <w:p w14:paraId="5EA1EA31" w14:textId="77777777" w:rsidR="003C66EB" w:rsidRDefault="003C66EB">
            <w:pPr>
              <w:rPr>
                <w:rFonts w:ascii="宋体"/>
                <w:vanish/>
              </w:rPr>
            </w:pPr>
          </w:p>
        </w:tc>
        <w:tc>
          <w:tcPr>
            <w:tcW w:w="0" w:type="auto"/>
            <w:gridSpan w:val="3"/>
            <w:shd w:val="clear" w:color="auto" w:fill="auto"/>
          </w:tcPr>
          <w:p w14:paraId="5EA1EA32" w14:textId="77777777" w:rsidR="003C66EB" w:rsidRDefault="003C66EB">
            <w:pPr>
              <w:rPr>
                <w:rFonts w:ascii="宋体"/>
                <w:vanish/>
              </w:rPr>
            </w:pPr>
          </w:p>
        </w:tc>
        <w:tc>
          <w:tcPr>
            <w:tcW w:w="0" w:type="auto"/>
            <w:gridSpan w:val="2"/>
            <w:shd w:val="clear" w:color="auto" w:fill="auto"/>
          </w:tcPr>
          <w:p w14:paraId="5EA1EA33" w14:textId="77777777" w:rsidR="003C66EB" w:rsidRDefault="003C66EB">
            <w:pPr>
              <w:rPr>
                <w:rFonts w:ascii="宋体"/>
                <w:vanish/>
              </w:rPr>
            </w:pPr>
          </w:p>
        </w:tc>
        <w:tc>
          <w:tcPr>
            <w:tcW w:w="0" w:type="auto"/>
            <w:shd w:val="clear" w:color="auto" w:fill="auto"/>
          </w:tcPr>
          <w:p w14:paraId="5EA1EA34" w14:textId="77777777" w:rsidR="003C66EB" w:rsidRDefault="003C66EB">
            <w:pPr>
              <w:rPr>
                <w:rFonts w:ascii="宋体"/>
                <w:vanish/>
              </w:rPr>
            </w:pPr>
          </w:p>
        </w:tc>
      </w:tr>
      <w:tr w:rsidR="003C66EB" w14:paraId="5EA1EA52" w14:textId="77777777">
        <w:tc>
          <w:tcPr>
            <w:tcW w:w="0" w:type="auto"/>
            <w:gridSpan w:val="3"/>
            <w:shd w:val="clear" w:color="auto" w:fill="CCEEFF"/>
            <w:tcMar>
              <w:top w:w="40" w:type="dxa"/>
              <w:left w:w="20" w:type="dxa"/>
              <w:bottom w:w="40" w:type="dxa"/>
              <w:right w:w="20" w:type="dxa"/>
            </w:tcMar>
            <w:vAlign w:val="bottom"/>
          </w:tcPr>
          <w:p w14:paraId="5EA1EA36" w14:textId="77777777" w:rsidR="003C66EB" w:rsidRDefault="00D96C4E">
            <w:pPr>
              <w:textAlignment w:val="bottom"/>
            </w:pPr>
            <w:r>
              <w:rPr>
                <w:rFonts w:ascii="Arial" w:eastAsia="宋体" w:hAnsi="Arial" w:cs="Arial"/>
                <w:color w:val="000000"/>
                <w:sz w:val="14"/>
                <w:szCs w:val="14"/>
              </w:rPr>
              <w:t>Short-term borrowings under money ma</w:t>
            </w:r>
            <w:r>
              <w:rPr>
                <w:rFonts w:ascii="Arial" w:eastAsia="宋体" w:hAnsi="Arial" w:cs="Arial"/>
                <w:color w:val="000000"/>
                <w:sz w:val="14"/>
                <w:szCs w:val="14"/>
              </w:rPr>
              <w:t>rket liquidity facility</w:t>
            </w:r>
          </w:p>
        </w:tc>
        <w:tc>
          <w:tcPr>
            <w:tcW w:w="0" w:type="auto"/>
            <w:gridSpan w:val="2"/>
            <w:shd w:val="clear" w:color="auto" w:fill="CCEEFF"/>
            <w:tcMar>
              <w:top w:w="40" w:type="dxa"/>
              <w:left w:w="20" w:type="dxa"/>
              <w:bottom w:w="40" w:type="dxa"/>
              <w:right w:w="0" w:type="dxa"/>
            </w:tcMar>
            <w:vAlign w:val="bottom"/>
          </w:tcPr>
          <w:p w14:paraId="5EA1EA37" w14:textId="77777777" w:rsidR="003C66EB" w:rsidRDefault="00D96C4E">
            <w:pPr>
              <w:jc w:val="right"/>
              <w:textAlignment w:val="bottom"/>
            </w:pPr>
            <w:r>
              <w:rPr>
                <w:rFonts w:ascii="Arial" w:eastAsia="宋体" w:hAnsi="Arial" w:cs="Arial"/>
                <w:b/>
                <w:bCs/>
                <w:color w:val="000000"/>
                <w:sz w:val="14"/>
                <w:szCs w:val="14"/>
              </w:rPr>
              <w:t>1,264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3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3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3A"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3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3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3D" w14:textId="77777777" w:rsidR="003C66EB" w:rsidRDefault="00D96C4E">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3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3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40" w14:textId="77777777" w:rsidR="003C66EB" w:rsidRDefault="00D96C4E">
            <w:pPr>
              <w:jc w:val="right"/>
              <w:textAlignment w:val="bottom"/>
            </w:pPr>
            <w:r>
              <w:rPr>
                <w:rFonts w:ascii="Arial" w:eastAsia="宋体" w:hAnsi="Arial" w:cs="Arial"/>
                <w:color w:val="000000"/>
                <w:sz w:val="14"/>
                <w:szCs w:val="14"/>
              </w:rPr>
              <w:t>2,187 </w:t>
            </w:r>
          </w:p>
        </w:tc>
        <w:tc>
          <w:tcPr>
            <w:tcW w:w="0" w:type="auto"/>
            <w:shd w:val="clear" w:color="auto" w:fill="CCEEFF"/>
            <w:tcMar>
              <w:top w:w="40" w:type="dxa"/>
              <w:left w:w="0" w:type="dxa"/>
              <w:bottom w:w="40" w:type="dxa"/>
              <w:right w:w="20" w:type="dxa"/>
            </w:tcMar>
            <w:vAlign w:val="bottom"/>
          </w:tcPr>
          <w:p w14:paraId="5EA1EA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4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43" w14:textId="77777777" w:rsidR="003C66EB" w:rsidRDefault="00D96C4E">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5EA1EA4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4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46" w14:textId="77777777" w:rsidR="003C66EB" w:rsidRDefault="00D96C4E">
            <w:pPr>
              <w:jc w:val="right"/>
              <w:textAlignment w:val="bottom"/>
            </w:pPr>
            <w:r>
              <w:rPr>
                <w:rFonts w:ascii="Arial" w:eastAsia="宋体" w:hAnsi="Arial" w:cs="Arial"/>
                <w:color w:val="000000"/>
                <w:sz w:val="14"/>
                <w:szCs w:val="14"/>
              </w:rPr>
              <w:t>1.11 </w:t>
            </w:r>
          </w:p>
        </w:tc>
        <w:tc>
          <w:tcPr>
            <w:tcW w:w="0" w:type="auto"/>
            <w:shd w:val="clear" w:color="auto" w:fill="CCEEFF"/>
            <w:tcMar>
              <w:top w:w="40" w:type="dxa"/>
              <w:left w:w="0" w:type="dxa"/>
              <w:bottom w:w="40" w:type="dxa"/>
              <w:right w:w="20" w:type="dxa"/>
            </w:tcMar>
            <w:vAlign w:val="bottom"/>
          </w:tcPr>
          <w:p w14:paraId="5EA1EA47" w14:textId="77777777" w:rsidR="003C66EB" w:rsidRDefault="003C66EB">
            <w:pPr>
              <w:jc w:val="right"/>
              <w:rPr>
                <w:rFonts w:ascii="宋体"/>
              </w:rPr>
            </w:pPr>
          </w:p>
        </w:tc>
        <w:tc>
          <w:tcPr>
            <w:tcW w:w="0" w:type="auto"/>
            <w:gridSpan w:val="3"/>
            <w:shd w:val="clear" w:color="auto" w:fill="auto"/>
          </w:tcPr>
          <w:p w14:paraId="5EA1EA48" w14:textId="77777777" w:rsidR="003C66EB" w:rsidRDefault="003C66EB">
            <w:pPr>
              <w:rPr>
                <w:rFonts w:ascii="宋体"/>
                <w:vanish/>
              </w:rPr>
            </w:pPr>
          </w:p>
        </w:tc>
        <w:tc>
          <w:tcPr>
            <w:tcW w:w="0" w:type="auto"/>
            <w:gridSpan w:val="3"/>
            <w:shd w:val="clear" w:color="auto" w:fill="auto"/>
          </w:tcPr>
          <w:p w14:paraId="5EA1EA49" w14:textId="77777777" w:rsidR="003C66EB" w:rsidRDefault="003C66EB">
            <w:pPr>
              <w:rPr>
                <w:rFonts w:ascii="宋体"/>
                <w:vanish/>
              </w:rPr>
            </w:pPr>
          </w:p>
        </w:tc>
        <w:tc>
          <w:tcPr>
            <w:tcW w:w="0" w:type="auto"/>
            <w:gridSpan w:val="3"/>
            <w:shd w:val="clear" w:color="auto" w:fill="auto"/>
          </w:tcPr>
          <w:p w14:paraId="5EA1EA4A" w14:textId="77777777" w:rsidR="003C66EB" w:rsidRDefault="003C66EB">
            <w:pPr>
              <w:rPr>
                <w:rFonts w:ascii="宋体"/>
                <w:vanish/>
              </w:rPr>
            </w:pPr>
          </w:p>
        </w:tc>
        <w:tc>
          <w:tcPr>
            <w:tcW w:w="0" w:type="auto"/>
            <w:gridSpan w:val="3"/>
            <w:shd w:val="clear" w:color="auto" w:fill="auto"/>
          </w:tcPr>
          <w:p w14:paraId="5EA1EA4B" w14:textId="77777777" w:rsidR="003C66EB" w:rsidRDefault="003C66EB">
            <w:pPr>
              <w:rPr>
                <w:rFonts w:ascii="宋体"/>
                <w:vanish/>
              </w:rPr>
            </w:pPr>
          </w:p>
        </w:tc>
        <w:tc>
          <w:tcPr>
            <w:tcW w:w="0" w:type="auto"/>
            <w:gridSpan w:val="3"/>
            <w:shd w:val="clear" w:color="auto" w:fill="auto"/>
          </w:tcPr>
          <w:p w14:paraId="5EA1EA4C" w14:textId="77777777" w:rsidR="003C66EB" w:rsidRDefault="003C66EB">
            <w:pPr>
              <w:rPr>
                <w:rFonts w:ascii="宋体"/>
                <w:vanish/>
              </w:rPr>
            </w:pPr>
          </w:p>
        </w:tc>
        <w:tc>
          <w:tcPr>
            <w:tcW w:w="0" w:type="auto"/>
            <w:gridSpan w:val="3"/>
            <w:shd w:val="clear" w:color="auto" w:fill="auto"/>
          </w:tcPr>
          <w:p w14:paraId="5EA1EA4D" w14:textId="77777777" w:rsidR="003C66EB" w:rsidRDefault="003C66EB">
            <w:pPr>
              <w:rPr>
                <w:rFonts w:ascii="宋体"/>
                <w:vanish/>
              </w:rPr>
            </w:pPr>
          </w:p>
        </w:tc>
        <w:tc>
          <w:tcPr>
            <w:tcW w:w="0" w:type="auto"/>
            <w:gridSpan w:val="3"/>
            <w:shd w:val="clear" w:color="auto" w:fill="auto"/>
          </w:tcPr>
          <w:p w14:paraId="5EA1EA4E" w14:textId="77777777" w:rsidR="003C66EB" w:rsidRDefault="003C66EB">
            <w:pPr>
              <w:rPr>
                <w:rFonts w:ascii="宋体"/>
                <w:vanish/>
              </w:rPr>
            </w:pPr>
          </w:p>
        </w:tc>
        <w:tc>
          <w:tcPr>
            <w:tcW w:w="0" w:type="auto"/>
            <w:gridSpan w:val="3"/>
            <w:shd w:val="clear" w:color="auto" w:fill="auto"/>
          </w:tcPr>
          <w:p w14:paraId="5EA1EA4F" w14:textId="77777777" w:rsidR="003C66EB" w:rsidRDefault="003C66EB">
            <w:pPr>
              <w:rPr>
                <w:rFonts w:ascii="宋体"/>
                <w:vanish/>
              </w:rPr>
            </w:pPr>
          </w:p>
        </w:tc>
        <w:tc>
          <w:tcPr>
            <w:tcW w:w="0" w:type="auto"/>
            <w:gridSpan w:val="2"/>
            <w:shd w:val="clear" w:color="auto" w:fill="auto"/>
          </w:tcPr>
          <w:p w14:paraId="5EA1EA50" w14:textId="77777777" w:rsidR="003C66EB" w:rsidRDefault="003C66EB">
            <w:pPr>
              <w:rPr>
                <w:rFonts w:ascii="宋体"/>
                <w:vanish/>
              </w:rPr>
            </w:pPr>
          </w:p>
        </w:tc>
        <w:tc>
          <w:tcPr>
            <w:tcW w:w="0" w:type="auto"/>
            <w:shd w:val="clear" w:color="auto" w:fill="auto"/>
          </w:tcPr>
          <w:p w14:paraId="5EA1EA51" w14:textId="77777777" w:rsidR="003C66EB" w:rsidRDefault="003C66EB">
            <w:pPr>
              <w:rPr>
                <w:rFonts w:ascii="宋体"/>
                <w:vanish/>
              </w:rPr>
            </w:pPr>
          </w:p>
        </w:tc>
      </w:tr>
      <w:tr w:rsidR="003C66EB" w14:paraId="5EA1EA6F" w14:textId="77777777">
        <w:tc>
          <w:tcPr>
            <w:tcW w:w="0" w:type="auto"/>
            <w:gridSpan w:val="3"/>
            <w:shd w:val="clear" w:color="auto" w:fill="FFFFFF"/>
            <w:tcMar>
              <w:top w:w="40" w:type="dxa"/>
              <w:left w:w="20" w:type="dxa"/>
              <w:bottom w:w="40" w:type="dxa"/>
              <w:right w:w="20" w:type="dxa"/>
            </w:tcMar>
            <w:vAlign w:val="bottom"/>
          </w:tcPr>
          <w:p w14:paraId="5EA1EA53" w14:textId="77777777" w:rsidR="003C66EB" w:rsidRDefault="00D96C4E">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5EA1EA54" w14:textId="77777777" w:rsidR="003C66EB" w:rsidRDefault="00D96C4E">
            <w:pPr>
              <w:jc w:val="right"/>
              <w:textAlignment w:val="bottom"/>
            </w:pPr>
            <w:r>
              <w:rPr>
                <w:rFonts w:ascii="Arial" w:eastAsia="宋体" w:hAnsi="Arial" w:cs="Arial"/>
                <w:b/>
                <w:bCs/>
                <w:color w:val="000000"/>
                <w:sz w:val="14"/>
                <w:szCs w:val="14"/>
              </w:rPr>
              <w:t>764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5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57"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5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5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5A" w14:textId="77777777" w:rsidR="003C66EB" w:rsidRDefault="00D96C4E">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5D" w14:textId="77777777" w:rsidR="003C66EB" w:rsidRDefault="00D96C4E">
            <w:pPr>
              <w:jc w:val="right"/>
              <w:textAlignment w:val="bottom"/>
            </w:pPr>
            <w:r>
              <w:rPr>
                <w:rFonts w:ascii="Arial" w:eastAsia="宋体" w:hAnsi="Arial" w:cs="Arial"/>
                <w:color w:val="000000"/>
                <w:sz w:val="14"/>
                <w:szCs w:val="14"/>
              </w:rPr>
              <w:t>2,960 </w:t>
            </w:r>
          </w:p>
        </w:tc>
        <w:tc>
          <w:tcPr>
            <w:tcW w:w="0" w:type="auto"/>
            <w:shd w:val="clear" w:color="auto" w:fill="FFFFFF"/>
            <w:tcMar>
              <w:top w:w="40" w:type="dxa"/>
              <w:left w:w="0" w:type="dxa"/>
              <w:bottom w:w="40" w:type="dxa"/>
              <w:right w:w="20" w:type="dxa"/>
            </w:tcMar>
            <w:vAlign w:val="bottom"/>
          </w:tcPr>
          <w:p w14:paraId="5EA1EA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60"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5EA1EA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6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63" w14:textId="77777777" w:rsidR="003C66EB" w:rsidRDefault="00D96C4E">
            <w:pPr>
              <w:jc w:val="right"/>
              <w:textAlignment w:val="bottom"/>
            </w:pPr>
            <w:r>
              <w:rPr>
                <w:rFonts w:ascii="Arial" w:eastAsia="宋体" w:hAnsi="Arial" w:cs="Arial"/>
                <w:color w:val="000000"/>
                <w:sz w:val="14"/>
                <w:szCs w:val="14"/>
              </w:rPr>
              <w:t>1.32 </w:t>
            </w:r>
          </w:p>
        </w:tc>
        <w:tc>
          <w:tcPr>
            <w:tcW w:w="0" w:type="auto"/>
            <w:shd w:val="clear" w:color="auto" w:fill="FFFFFF"/>
            <w:tcMar>
              <w:top w:w="40" w:type="dxa"/>
              <w:left w:w="0" w:type="dxa"/>
              <w:bottom w:w="40" w:type="dxa"/>
              <w:right w:w="20" w:type="dxa"/>
            </w:tcMar>
            <w:vAlign w:val="bottom"/>
          </w:tcPr>
          <w:p w14:paraId="5EA1EA64" w14:textId="77777777" w:rsidR="003C66EB" w:rsidRDefault="003C66EB">
            <w:pPr>
              <w:jc w:val="right"/>
              <w:rPr>
                <w:rFonts w:ascii="宋体"/>
              </w:rPr>
            </w:pPr>
          </w:p>
        </w:tc>
        <w:tc>
          <w:tcPr>
            <w:tcW w:w="0" w:type="auto"/>
            <w:gridSpan w:val="3"/>
            <w:shd w:val="clear" w:color="auto" w:fill="auto"/>
          </w:tcPr>
          <w:p w14:paraId="5EA1EA65" w14:textId="77777777" w:rsidR="003C66EB" w:rsidRDefault="003C66EB">
            <w:pPr>
              <w:rPr>
                <w:rFonts w:ascii="宋体"/>
                <w:vanish/>
              </w:rPr>
            </w:pPr>
          </w:p>
        </w:tc>
        <w:tc>
          <w:tcPr>
            <w:tcW w:w="0" w:type="auto"/>
            <w:gridSpan w:val="3"/>
            <w:shd w:val="clear" w:color="auto" w:fill="auto"/>
          </w:tcPr>
          <w:p w14:paraId="5EA1EA66" w14:textId="77777777" w:rsidR="003C66EB" w:rsidRDefault="003C66EB">
            <w:pPr>
              <w:rPr>
                <w:rFonts w:ascii="宋体"/>
                <w:vanish/>
              </w:rPr>
            </w:pPr>
          </w:p>
        </w:tc>
        <w:tc>
          <w:tcPr>
            <w:tcW w:w="0" w:type="auto"/>
            <w:gridSpan w:val="3"/>
            <w:shd w:val="clear" w:color="auto" w:fill="auto"/>
          </w:tcPr>
          <w:p w14:paraId="5EA1EA67" w14:textId="77777777" w:rsidR="003C66EB" w:rsidRDefault="003C66EB">
            <w:pPr>
              <w:rPr>
                <w:rFonts w:ascii="宋体"/>
                <w:vanish/>
              </w:rPr>
            </w:pPr>
          </w:p>
        </w:tc>
        <w:tc>
          <w:tcPr>
            <w:tcW w:w="0" w:type="auto"/>
            <w:gridSpan w:val="3"/>
            <w:shd w:val="clear" w:color="auto" w:fill="auto"/>
          </w:tcPr>
          <w:p w14:paraId="5EA1EA68" w14:textId="77777777" w:rsidR="003C66EB" w:rsidRDefault="003C66EB">
            <w:pPr>
              <w:rPr>
                <w:rFonts w:ascii="宋体"/>
                <w:vanish/>
              </w:rPr>
            </w:pPr>
          </w:p>
        </w:tc>
        <w:tc>
          <w:tcPr>
            <w:tcW w:w="0" w:type="auto"/>
            <w:gridSpan w:val="3"/>
            <w:shd w:val="clear" w:color="auto" w:fill="auto"/>
          </w:tcPr>
          <w:p w14:paraId="5EA1EA69" w14:textId="77777777" w:rsidR="003C66EB" w:rsidRDefault="003C66EB">
            <w:pPr>
              <w:rPr>
                <w:rFonts w:ascii="宋体"/>
                <w:vanish/>
              </w:rPr>
            </w:pPr>
          </w:p>
        </w:tc>
        <w:tc>
          <w:tcPr>
            <w:tcW w:w="0" w:type="auto"/>
            <w:gridSpan w:val="3"/>
            <w:shd w:val="clear" w:color="auto" w:fill="auto"/>
          </w:tcPr>
          <w:p w14:paraId="5EA1EA6A" w14:textId="77777777" w:rsidR="003C66EB" w:rsidRDefault="003C66EB">
            <w:pPr>
              <w:rPr>
                <w:rFonts w:ascii="宋体"/>
                <w:vanish/>
              </w:rPr>
            </w:pPr>
          </w:p>
        </w:tc>
        <w:tc>
          <w:tcPr>
            <w:tcW w:w="0" w:type="auto"/>
            <w:gridSpan w:val="3"/>
            <w:shd w:val="clear" w:color="auto" w:fill="auto"/>
          </w:tcPr>
          <w:p w14:paraId="5EA1EA6B" w14:textId="77777777" w:rsidR="003C66EB" w:rsidRDefault="003C66EB">
            <w:pPr>
              <w:rPr>
                <w:rFonts w:ascii="宋体"/>
                <w:vanish/>
              </w:rPr>
            </w:pPr>
          </w:p>
        </w:tc>
        <w:tc>
          <w:tcPr>
            <w:tcW w:w="0" w:type="auto"/>
            <w:gridSpan w:val="3"/>
            <w:shd w:val="clear" w:color="auto" w:fill="auto"/>
          </w:tcPr>
          <w:p w14:paraId="5EA1EA6C" w14:textId="77777777" w:rsidR="003C66EB" w:rsidRDefault="003C66EB">
            <w:pPr>
              <w:rPr>
                <w:rFonts w:ascii="宋体"/>
                <w:vanish/>
              </w:rPr>
            </w:pPr>
          </w:p>
        </w:tc>
        <w:tc>
          <w:tcPr>
            <w:tcW w:w="0" w:type="auto"/>
            <w:gridSpan w:val="2"/>
            <w:shd w:val="clear" w:color="auto" w:fill="auto"/>
          </w:tcPr>
          <w:p w14:paraId="5EA1EA6D" w14:textId="77777777" w:rsidR="003C66EB" w:rsidRDefault="003C66EB">
            <w:pPr>
              <w:rPr>
                <w:rFonts w:ascii="宋体"/>
                <w:vanish/>
              </w:rPr>
            </w:pPr>
          </w:p>
        </w:tc>
        <w:tc>
          <w:tcPr>
            <w:tcW w:w="0" w:type="auto"/>
            <w:shd w:val="clear" w:color="auto" w:fill="auto"/>
          </w:tcPr>
          <w:p w14:paraId="5EA1EA6E" w14:textId="77777777" w:rsidR="003C66EB" w:rsidRDefault="003C66EB">
            <w:pPr>
              <w:rPr>
                <w:rFonts w:ascii="宋体"/>
                <w:vanish/>
              </w:rPr>
            </w:pPr>
          </w:p>
        </w:tc>
      </w:tr>
      <w:tr w:rsidR="003C66EB" w14:paraId="5EA1EA8C" w14:textId="77777777">
        <w:tc>
          <w:tcPr>
            <w:tcW w:w="0" w:type="auto"/>
            <w:gridSpan w:val="3"/>
            <w:shd w:val="clear" w:color="auto" w:fill="CCEEFF"/>
            <w:tcMar>
              <w:top w:w="40" w:type="dxa"/>
              <w:left w:w="20" w:type="dxa"/>
              <w:bottom w:w="40" w:type="dxa"/>
              <w:right w:w="20" w:type="dxa"/>
            </w:tcMar>
            <w:vAlign w:val="bottom"/>
          </w:tcPr>
          <w:p w14:paraId="5EA1EA70" w14:textId="77777777" w:rsidR="003C66EB" w:rsidRDefault="00D96C4E">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5EA1EA71" w14:textId="77777777" w:rsidR="003C66EB" w:rsidRDefault="00D96C4E">
            <w:pPr>
              <w:jc w:val="right"/>
              <w:textAlignment w:val="bottom"/>
            </w:pPr>
            <w:r>
              <w:rPr>
                <w:rFonts w:ascii="Arial" w:eastAsia="宋体" w:hAnsi="Arial" w:cs="Arial"/>
                <w:b/>
                <w:bCs/>
                <w:color w:val="000000"/>
                <w:sz w:val="14"/>
                <w:szCs w:val="14"/>
              </w:rPr>
              <w:t>13,819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7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7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74" w14:textId="77777777" w:rsidR="003C66EB" w:rsidRDefault="00D96C4E">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7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7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77" w14:textId="77777777" w:rsidR="003C66EB" w:rsidRDefault="00D96C4E">
            <w:pPr>
              <w:jc w:val="right"/>
              <w:textAlignment w:val="bottom"/>
            </w:pPr>
            <w:r>
              <w:rPr>
                <w:rFonts w:ascii="Arial" w:eastAsia="宋体" w:hAnsi="Arial" w:cs="Arial"/>
                <w:b/>
                <w:bCs/>
                <w:color w:val="000000"/>
                <w:sz w:val="14"/>
                <w:szCs w:val="14"/>
              </w:rPr>
              <w:t>1.74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7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7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7A" w14:textId="77777777" w:rsidR="003C66EB" w:rsidRDefault="00D96C4E">
            <w:pPr>
              <w:jc w:val="right"/>
              <w:textAlignment w:val="bottom"/>
            </w:pPr>
            <w:r>
              <w:rPr>
                <w:rFonts w:ascii="Arial" w:eastAsia="宋体" w:hAnsi="Arial" w:cs="Arial"/>
                <w:color w:val="000000"/>
                <w:sz w:val="14"/>
                <w:szCs w:val="14"/>
              </w:rPr>
              <w:t>13,288 </w:t>
            </w:r>
          </w:p>
        </w:tc>
        <w:tc>
          <w:tcPr>
            <w:tcW w:w="0" w:type="auto"/>
            <w:shd w:val="clear" w:color="auto" w:fill="CCEEFF"/>
            <w:tcMar>
              <w:top w:w="40" w:type="dxa"/>
              <w:left w:w="0" w:type="dxa"/>
              <w:bottom w:w="40" w:type="dxa"/>
              <w:right w:w="20" w:type="dxa"/>
            </w:tcMar>
            <w:vAlign w:val="bottom"/>
          </w:tcPr>
          <w:p w14:paraId="5EA1EA7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7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7D" w14:textId="77777777" w:rsidR="003C66EB" w:rsidRDefault="00D96C4E">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EA1EA7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7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80" w14:textId="77777777" w:rsidR="003C66EB" w:rsidRDefault="00D96C4E">
            <w:pPr>
              <w:jc w:val="right"/>
              <w:textAlignment w:val="bottom"/>
            </w:pPr>
            <w:r>
              <w:rPr>
                <w:rFonts w:ascii="Arial" w:eastAsia="宋体" w:hAnsi="Arial" w:cs="Arial"/>
                <w:color w:val="000000"/>
                <w:sz w:val="14"/>
                <w:szCs w:val="14"/>
              </w:rPr>
              <w:t>2.64 </w:t>
            </w:r>
          </w:p>
        </w:tc>
        <w:tc>
          <w:tcPr>
            <w:tcW w:w="0" w:type="auto"/>
            <w:shd w:val="clear" w:color="auto" w:fill="CCEEFF"/>
            <w:tcMar>
              <w:top w:w="40" w:type="dxa"/>
              <w:left w:w="0" w:type="dxa"/>
              <w:bottom w:w="40" w:type="dxa"/>
              <w:right w:w="20" w:type="dxa"/>
            </w:tcMar>
            <w:vAlign w:val="bottom"/>
          </w:tcPr>
          <w:p w14:paraId="5EA1EA81" w14:textId="77777777" w:rsidR="003C66EB" w:rsidRDefault="003C66EB">
            <w:pPr>
              <w:jc w:val="right"/>
              <w:rPr>
                <w:rFonts w:ascii="宋体"/>
              </w:rPr>
            </w:pPr>
          </w:p>
        </w:tc>
        <w:tc>
          <w:tcPr>
            <w:tcW w:w="0" w:type="auto"/>
            <w:gridSpan w:val="3"/>
            <w:shd w:val="clear" w:color="auto" w:fill="auto"/>
          </w:tcPr>
          <w:p w14:paraId="5EA1EA82" w14:textId="77777777" w:rsidR="003C66EB" w:rsidRDefault="003C66EB">
            <w:pPr>
              <w:rPr>
                <w:rFonts w:ascii="宋体"/>
                <w:vanish/>
              </w:rPr>
            </w:pPr>
          </w:p>
        </w:tc>
        <w:tc>
          <w:tcPr>
            <w:tcW w:w="0" w:type="auto"/>
            <w:gridSpan w:val="3"/>
            <w:shd w:val="clear" w:color="auto" w:fill="auto"/>
          </w:tcPr>
          <w:p w14:paraId="5EA1EA83" w14:textId="77777777" w:rsidR="003C66EB" w:rsidRDefault="003C66EB">
            <w:pPr>
              <w:rPr>
                <w:rFonts w:ascii="宋体"/>
                <w:vanish/>
              </w:rPr>
            </w:pPr>
          </w:p>
        </w:tc>
        <w:tc>
          <w:tcPr>
            <w:tcW w:w="0" w:type="auto"/>
            <w:gridSpan w:val="3"/>
            <w:shd w:val="clear" w:color="auto" w:fill="auto"/>
          </w:tcPr>
          <w:p w14:paraId="5EA1EA84" w14:textId="77777777" w:rsidR="003C66EB" w:rsidRDefault="003C66EB">
            <w:pPr>
              <w:rPr>
                <w:rFonts w:ascii="宋体"/>
                <w:vanish/>
              </w:rPr>
            </w:pPr>
          </w:p>
        </w:tc>
        <w:tc>
          <w:tcPr>
            <w:tcW w:w="0" w:type="auto"/>
            <w:gridSpan w:val="3"/>
            <w:shd w:val="clear" w:color="auto" w:fill="auto"/>
          </w:tcPr>
          <w:p w14:paraId="5EA1EA85" w14:textId="77777777" w:rsidR="003C66EB" w:rsidRDefault="003C66EB">
            <w:pPr>
              <w:rPr>
                <w:rFonts w:ascii="宋体"/>
                <w:vanish/>
              </w:rPr>
            </w:pPr>
          </w:p>
        </w:tc>
        <w:tc>
          <w:tcPr>
            <w:tcW w:w="0" w:type="auto"/>
            <w:gridSpan w:val="3"/>
            <w:shd w:val="clear" w:color="auto" w:fill="auto"/>
          </w:tcPr>
          <w:p w14:paraId="5EA1EA86" w14:textId="77777777" w:rsidR="003C66EB" w:rsidRDefault="003C66EB">
            <w:pPr>
              <w:rPr>
                <w:rFonts w:ascii="宋体"/>
                <w:vanish/>
              </w:rPr>
            </w:pPr>
          </w:p>
        </w:tc>
        <w:tc>
          <w:tcPr>
            <w:tcW w:w="0" w:type="auto"/>
            <w:gridSpan w:val="3"/>
            <w:shd w:val="clear" w:color="auto" w:fill="auto"/>
          </w:tcPr>
          <w:p w14:paraId="5EA1EA87" w14:textId="77777777" w:rsidR="003C66EB" w:rsidRDefault="003C66EB">
            <w:pPr>
              <w:rPr>
                <w:rFonts w:ascii="宋体"/>
                <w:vanish/>
              </w:rPr>
            </w:pPr>
          </w:p>
        </w:tc>
        <w:tc>
          <w:tcPr>
            <w:tcW w:w="0" w:type="auto"/>
            <w:gridSpan w:val="3"/>
            <w:shd w:val="clear" w:color="auto" w:fill="auto"/>
          </w:tcPr>
          <w:p w14:paraId="5EA1EA88" w14:textId="77777777" w:rsidR="003C66EB" w:rsidRDefault="003C66EB">
            <w:pPr>
              <w:rPr>
                <w:rFonts w:ascii="宋体"/>
                <w:vanish/>
              </w:rPr>
            </w:pPr>
          </w:p>
        </w:tc>
        <w:tc>
          <w:tcPr>
            <w:tcW w:w="0" w:type="auto"/>
            <w:gridSpan w:val="3"/>
            <w:shd w:val="clear" w:color="auto" w:fill="auto"/>
          </w:tcPr>
          <w:p w14:paraId="5EA1EA89" w14:textId="77777777" w:rsidR="003C66EB" w:rsidRDefault="003C66EB">
            <w:pPr>
              <w:rPr>
                <w:rFonts w:ascii="宋体"/>
                <w:vanish/>
              </w:rPr>
            </w:pPr>
          </w:p>
        </w:tc>
        <w:tc>
          <w:tcPr>
            <w:tcW w:w="0" w:type="auto"/>
            <w:gridSpan w:val="2"/>
            <w:shd w:val="clear" w:color="auto" w:fill="auto"/>
          </w:tcPr>
          <w:p w14:paraId="5EA1EA8A" w14:textId="77777777" w:rsidR="003C66EB" w:rsidRDefault="003C66EB">
            <w:pPr>
              <w:rPr>
                <w:rFonts w:ascii="宋体"/>
                <w:vanish/>
              </w:rPr>
            </w:pPr>
          </w:p>
        </w:tc>
        <w:tc>
          <w:tcPr>
            <w:tcW w:w="0" w:type="auto"/>
            <w:shd w:val="clear" w:color="auto" w:fill="auto"/>
          </w:tcPr>
          <w:p w14:paraId="5EA1EA8B" w14:textId="77777777" w:rsidR="003C66EB" w:rsidRDefault="003C66EB">
            <w:pPr>
              <w:rPr>
                <w:rFonts w:ascii="宋体"/>
                <w:vanish/>
              </w:rPr>
            </w:pPr>
          </w:p>
        </w:tc>
      </w:tr>
      <w:tr w:rsidR="003C66EB" w14:paraId="5EA1EAA9" w14:textId="77777777">
        <w:tc>
          <w:tcPr>
            <w:tcW w:w="0" w:type="auto"/>
            <w:gridSpan w:val="3"/>
            <w:shd w:val="clear" w:color="auto" w:fill="FFFFFF"/>
            <w:tcMar>
              <w:top w:w="40" w:type="dxa"/>
              <w:left w:w="20" w:type="dxa"/>
              <w:bottom w:w="40" w:type="dxa"/>
              <w:right w:w="20" w:type="dxa"/>
            </w:tcMar>
            <w:vAlign w:val="bottom"/>
          </w:tcPr>
          <w:p w14:paraId="5EA1EA8D" w14:textId="77777777" w:rsidR="003C66EB" w:rsidRDefault="00D96C4E">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5EA1EA8E"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b/>
                <w:bCs/>
                <w:color w:val="000000"/>
                <w:sz w:val="14"/>
                <w:szCs w:val="14"/>
              </w:rPr>
              <w:t>,848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91" w14:textId="77777777" w:rsidR="003C66EB" w:rsidRDefault="00D96C4E">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94" w14:textId="77777777" w:rsidR="003C66EB" w:rsidRDefault="00D96C4E">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97" w14:textId="77777777" w:rsidR="003C66EB" w:rsidRDefault="00D96C4E">
            <w:pPr>
              <w:jc w:val="right"/>
              <w:textAlignment w:val="bottom"/>
            </w:pPr>
            <w:r>
              <w:rPr>
                <w:rFonts w:ascii="Arial" w:eastAsia="宋体" w:hAnsi="Arial" w:cs="Arial"/>
                <w:color w:val="000000"/>
                <w:sz w:val="14"/>
                <w:szCs w:val="14"/>
              </w:rPr>
              <w:t>3,434 </w:t>
            </w:r>
          </w:p>
        </w:tc>
        <w:tc>
          <w:tcPr>
            <w:tcW w:w="0" w:type="auto"/>
            <w:shd w:val="clear" w:color="auto" w:fill="FFFFFF"/>
            <w:tcMar>
              <w:top w:w="40" w:type="dxa"/>
              <w:left w:w="0" w:type="dxa"/>
              <w:bottom w:w="40" w:type="dxa"/>
              <w:right w:w="20" w:type="dxa"/>
            </w:tcMar>
            <w:vAlign w:val="bottom"/>
          </w:tcPr>
          <w:p w14:paraId="5EA1EA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9A" w14:textId="77777777" w:rsidR="003C66EB" w:rsidRDefault="00D96C4E">
            <w:pPr>
              <w:jc w:val="right"/>
              <w:textAlignment w:val="bottom"/>
            </w:pPr>
            <w:r>
              <w:rPr>
                <w:rFonts w:ascii="Arial" w:eastAsia="宋体" w:hAnsi="Arial" w:cs="Arial"/>
                <w:color w:val="000000"/>
                <w:sz w:val="14"/>
                <w:szCs w:val="14"/>
              </w:rPr>
              <w:t>30 </w:t>
            </w:r>
          </w:p>
        </w:tc>
        <w:tc>
          <w:tcPr>
            <w:tcW w:w="0" w:type="auto"/>
            <w:shd w:val="clear" w:color="auto" w:fill="FFFFFF"/>
            <w:tcMar>
              <w:top w:w="40" w:type="dxa"/>
              <w:left w:w="0" w:type="dxa"/>
              <w:bottom w:w="40" w:type="dxa"/>
              <w:right w:w="20" w:type="dxa"/>
            </w:tcMar>
            <w:vAlign w:val="bottom"/>
          </w:tcPr>
          <w:p w14:paraId="5EA1EA9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A9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9D" w14:textId="77777777" w:rsidR="003C66EB" w:rsidRDefault="00D96C4E">
            <w:pPr>
              <w:jc w:val="right"/>
              <w:textAlignment w:val="bottom"/>
            </w:pPr>
            <w:r>
              <w:rPr>
                <w:rFonts w:ascii="Arial" w:eastAsia="宋体" w:hAnsi="Arial" w:cs="Arial"/>
                <w:color w:val="000000"/>
                <w:sz w:val="14"/>
                <w:szCs w:val="14"/>
              </w:rPr>
              <w:t>3.55 </w:t>
            </w:r>
          </w:p>
        </w:tc>
        <w:tc>
          <w:tcPr>
            <w:tcW w:w="0" w:type="auto"/>
            <w:shd w:val="clear" w:color="auto" w:fill="FFFFFF"/>
            <w:tcMar>
              <w:top w:w="40" w:type="dxa"/>
              <w:left w:w="0" w:type="dxa"/>
              <w:bottom w:w="40" w:type="dxa"/>
              <w:right w:w="20" w:type="dxa"/>
            </w:tcMar>
            <w:vAlign w:val="bottom"/>
          </w:tcPr>
          <w:p w14:paraId="5EA1EA9E" w14:textId="77777777" w:rsidR="003C66EB" w:rsidRDefault="003C66EB">
            <w:pPr>
              <w:jc w:val="right"/>
              <w:rPr>
                <w:rFonts w:ascii="宋体"/>
              </w:rPr>
            </w:pPr>
          </w:p>
        </w:tc>
        <w:tc>
          <w:tcPr>
            <w:tcW w:w="0" w:type="auto"/>
            <w:gridSpan w:val="3"/>
            <w:shd w:val="clear" w:color="auto" w:fill="auto"/>
          </w:tcPr>
          <w:p w14:paraId="5EA1EA9F" w14:textId="77777777" w:rsidR="003C66EB" w:rsidRDefault="003C66EB">
            <w:pPr>
              <w:rPr>
                <w:rFonts w:ascii="宋体"/>
                <w:vanish/>
              </w:rPr>
            </w:pPr>
          </w:p>
        </w:tc>
        <w:tc>
          <w:tcPr>
            <w:tcW w:w="0" w:type="auto"/>
            <w:gridSpan w:val="3"/>
            <w:shd w:val="clear" w:color="auto" w:fill="auto"/>
          </w:tcPr>
          <w:p w14:paraId="5EA1EAA0" w14:textId="77777777" w:rsidR="003C66EB" w:rsidRDefault="003C66EB">
            <w:pPr>
              <w:rPr>
                <w:rFonts w:ascii="宋体"/>
                <w:vanish/>
              </w:rPr>
            </w:pPr>
          </w:p>
        </w:tc>
        <w:tc>
          <w:tcPr>
            <w:tcW w:w="0" w:type="auto"/>
            <w:gridSpan w:val="3"/>
            <w:shd w:val="clear" w:color="auto" w:fill="auto"/>
          </w:tcPr>
          <w:p w14:paraId="5EA1EAA1" w14:textId="77777777" w:rsidR="003C66EB" w:rsidRDefault="003C66EB">
            <w:pPr>
              <w:rPr>
                <w:rFonts w:ascii="宋体"/>
                <w:vanish/>
              </w:rPr>
            </w:pPr>
          </w:p>
        </w:tc>
        <w:tc>
          <w:tcPr>
            <w:tcW w:w="0" w:type="auto"/>
            <w:gridSpan w:val="3"/>
            <w:shd w:val="clear" w:color="auto" w:fill="auto"/>
          </w:tcPr>
          <w:p w14:paraId="5EA1EAA2" w14:textId="77777777" w:rsidR="003C66EB" w:rsidRDefault="003C66EB">
            <w:pPr>
              <w:rPr>
                <w:rFonts w:ascii="宋体"/>
                <w:vanish/>
              </w:rPr>
            </w:pPr>
          </w:p>
        </w:tc>
        <w:tc>
          <w:tcPr>
            <w:tcW w:w="0" w:type="auto"/>
            <w:gridSpan w:val="3"/>
            <w:shd w:val="clear" w:color="auto" w:fill="auto"/>
          </w:tcPr>
          <w:p w14:paraId="5EA1EAA3" w14:textId="77777777" w:rsidR="003C66EB" w:rsidRDefault="003C66EB">
            <w:pPr>
              <w:rPr>
                <w:rFonts w:ascii="宋体"/>
                <w:vanish/>
              </w:rPr>
            </w:pPr>
          </w:p>
        </w:tc>
        <w:tc>
          <w:tcPr>
            <w:tcW w:w="0" w:type="auto"/>
            <w:gridSpan w:val="3"/>
            <w:shd w:val="clear" w:color="auto" w:fill="auto"/>
          </w:tcPr>
          <w:p w14:paraId="5EA1EAA4" w14:textId="77777777" w:rsidR="003C66EB" w:rsidRDefault="003C66EB">
            <w:pPr>
              <w:rPr>
                <w:rFonts w:ascii="宋体"/>
                <w:vanish/>
              </w:rPr>
            </w:pPr>
          </w:p>
        </w:tc>
        <w:tc>
          <w:tcPr>
            <w:tcW w:w="0" w:type="auto"/>
            <w:gridSpan w:val="3"/>
            <w:shd w:val="clear" w:color="auto" w:fill="auto"/>
          </w:tcPr>
          <w:p w14:paraId="5EA1EAA5" w14:textId="77777777" w:rsidR="003C66EB" w:rsidRDefault="003C66EB">
            <w:pPr>
              <w:rPr>
                <w:rFonts w:ascii="宋体"/>
                <w:vanish/>
              </w:rPr>
            </w:pPr>
          </w:p>
        </w:tc>
        <w:tc>
          <w:tcPr>
            <w:tcW w:w="0" w:type="auto"/>
            <w:gridSpan w:val="3"/>
            <w:shd w:val="clear" w:color="auto" w:fill="auto"/>
          </w:tcPr>
          <w:p w14:paraId="5EA1EAA6" w14:textId="77777777" w:rsidR="003C66EB" w:rsidRDefault="003C66EB">
            <w:pPr>
              <w:rPr>
                <w:rFonts w:ascii="宋体"/>
                <w:vanish/>
              </w:rPr>
            </w:pPr>
          </w:p>
        </w:tc>
        <w:tc>
          <w:tcPr>
            <w:tcW w:w="0" w:type="auto"/>
            <w:gridSpan w:val="2"/>
            <w:shd w:val="clear" w:color="auto" w:fill="auto"/>
          </w:tcPr>
          <w:p w14:paraId="5EA1EAA7" w14:textId="77777777" w:rsidR="003C66EB" w:rsidRDefault="003C66EB">
            <w:pPr>
              <w:rPr>
                <w:rFonts w:ascii="宋体"/>
                <w:vanish/>
              </w:rPr>
            </w:pPr>
          </w:p>
        </w:tc>
        <w:tc>
          <w:tcPr>
            <w:tcW w:w="0" w:type="auto"/>
            <w:shd w:val="clear" w:color="auto" w:fill="auto"/>
          </w:tcPr>
          <w:p w14:paraId="5EA1EAA8" w14:textId="77777777" w:rsidR="003C66EB" w:rsidRDefault="003C66EB">
            <w:pPr>
              <w:rPr>
                <w:rFonts w:ascii="宋体"/>
                <w:vanish/>
              </w:rPr>
            </w:pPr>
          </w:p>
        </w:tc>
      </w:tr>
      <w:tr w:rsidR="003C66EB" w14:paraId="5EA1EACA" w14:textId="77777777">
        <w:tc>
          <w:tcPr>
            <w:tcW w:w="0" w:type="auto"/>
            <w:gridSpan w:val="3"/>
            <w:shd w:val="clear" w:color="auto" w:fill="CCEEFF"/>
            <w:tcMar>
              <w:top w:w="40" w:type="dxa"/>
              <w:left w:w="20" w:type="dxa"/>
              <w:bottom w:w="40" w:type="dxa"/>
              <w:right w:w="20" w:type="dxa"/>
            </w:tcMar>
            <w:vAlign w:val="bottom"/>
          </w:tcPr>
          <w:p w14:paraId="5EA1EAAA" w14:textId="77777777" w:rsidR="003C66EB" w:rsidRDefault="00D96C4E">
            <w:pPr>
              <w:textAlignment w:val="bottom"/>
            </w:pPr>
            <w:r>
              <w:rPr>
                <w:rFonts w:ascii="Arial" w:eastAsia="宋体" w:hAnsi="Arial" w:cs="Arial"/>
                <w:color w:val="000000"/>
                <w:sz w:val="14"/>
                <w:szCs w:val="14"/>
              </w:rPr>
              <w:t>Average total interest-bearing liabi</w:t>
            </w:r>
            <w:r>
              <w:rPr>
                <w:rFonts w:ascii="Arial" w:eastAsia="宋体" w:hAnsi="Arial" w:cs="Arial"/>
                <w:color w:val="000000"/>
                <w:sz w:val="14"/>
                <w:szCs w:val="14"/>
              </w:rPr>
              <w:t>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AA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AAC" w14:textId="77777777" w:rsidR="003C66EB" w:rsidRDefault="00D96C4E">
            <w:pPr>
              <w:jc w:val="right"/>
              <w:textAlignment w:val="bottom"/>
            </w:pPr>
            <w:r>
              <w:rPr>
                <w:rFonts w:ascii="Arial" w:eastAsia="宋体" w:hAnsi="Arial" w:cs="Arial"/>
                <w:b/>
                <w:bCs/>
                <w:color w:val="000000"/>
                <w:sz w:val="14"/>
                <w:szCs w:val="14"/>
              </w:rPr>
              <w:t>201,119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A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AA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AB0"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B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B3" w14:textId="77777777" w:rsidR="003C66EB" w:rsidRDefault="00D96C4E">
            <w:pPr>
              <w:jc w:val="right"/>
              <w:textAlignment w:val="bottom"/>
            </w:pPr>
            <w:r>
              <w:rPr>
                <w:rFonts w:ascii="Arial" w:eastAsia="宋体" w:hAnsi="Arial" w:cs="Arial"/>
                <w:b/>
                <w:bCs/>
                <w:color w:val="000000"/>
                <w:sz w:val="14"/>
                <w:szCs w:val="14"/>
              </w:rPr>
              <w:t>.01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B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AB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AB7" w14:textId="77777777" w:rsidR="003C66EB" w:rsidRDefault="00D96C4E">
            <w:pPr>
              <w:jc w:val="right"/>
              <w:textAlignment w:val="bottom"/>
            </w:pPr>
            <w:r>
              <w:rPr>
                <w:rFonts w:ascii="Arial" w:eastAsia="宋体" w:hAnsi="Arial" w:cs="Arial"/>
                <w:color w:val="000000"/>
                <w:sz w:val="14"/>
                <w:szCs w:val="14"/>
              </w:rPr>
              <w:t>168,229 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B9"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AB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ABB" w14:textId="77777777" w:rsidR="003C66EB" w:rsidRDefault="00D96C4E">
            <w:pPr>
              <w:jc w:val="right"/>
              <w:textAlignment w:val="bottom"/>
            </w:pPr>
            <w:r>
              <w:rPr>
                <w:rFonts w:ascii="Arial" w:eastAsia="宋体" w:hAnsi="Arial" w:cs="Arial"/>
                <w:color w:val="000000"/>
                <w:sz w:val="14"/>
                <w:szCs w:val="14"/>
              </w:rPr>
              <w:t>204 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A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B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ABE" w14:textId="77777777" w:rsidR="003C66EB" w:rsidRDefault="00D96C4E">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5EA1EABF" w14:textId="77777777" w:rsidR="003C66EB" w:rsidRDefault="003C66EB">
            <w:pPr>
              <w:jc w:val="right"/>
              <w:rPr>
                <w:rFonts w:ascii="宋体"/>
              </w:rPr>
            </w:pPr>
          </w:p>
        </w:tc>
        <w:tc>
          <w:tcPr>
            <w:tcW w:w="0" w:type="auto"/>
            <w:gridSpan w:val="3"/>
            <w:shd w:val="clear" w:color="auto" w:fill="auto"/>
          </w:tcPr>
          <w:p w14:paraId="5EA1EAC0" w14:textId="77777777" w:rsidR="003C66EB" w:rsidRDefault="003C66EB">
            <w:pPr>
              <w:rPr>
                <w:rFonts w:ascii="宋体"/>
                <w:vanish/>
              </w:rPr>
            </w:pPr>
          </w:p>
        </w:tc>
        <w:tc>
          <w:tcPr>
            <w:tcW w:w="0" w:type="auto"/>
            <w:gridSpan w:val="3"/>
            <w:shd w:val="clear" w:color="auto" w:fill="auto"/>
          </w:tcPr>
          <w:p w14:paraId="5EA1EAC1" w14:textId="77777777" w:rsidR="003C66EB" w:rsidRDefault="003C66EB">
            <w:pPr>
              <w:rPr>
                <w:rFonts w:ascii="宋体"/>
                <w:vanish/>
              </w:rPr>
            </w:pPr>
          </w:p>
        </w:tc>
        <w:tc>
          <w:tcPr>
            <w:tcW w:w="0" w:type="auto"/>
            <w:gridSpan w:val="3"/>
            <w:shd w:val="clear" w:color="auto" w:fill="auto"/>
          </w:tcPr>
          <w:p w14:paraId="5EA1EAC2" w14:textId="77777777" w:rsidR="003C66EB" w:rsidRDefault="003C66EB">
            <w:pPr>
              <w:rPr>
                <w:rFonts w:ascii="宋体"/>
                <w:vanish/>
              </w:rPr>
            </w:pPr>
          </w:p>
        </w:tc>
        <w:tc>
          <w:tcPr>
            <w:tcW w:w="0" w:type="auto"/>
            <w:gridSpan w:val="3"/>
            <w:shd w:val="clear" w:color="auto" w:fill="auto"/>
          </w:tcPr>
          <w:p w14:paraId="5EA1EAC3" w14:textId="77777777" w:rsidR="003C66EB" w:rsidRDefault="003C66EB">
            <w:pPr>
              <w:rPr>
                <w:rFonts w:ascii="宋体"/>
                <w:vanish/>
              </w:rPr>
            </w:pPr>
          </w:p>
        </w:tc>
        <w:tc>
          <w:tcPr>
            <w:tcW w:w="0" w:type="auto"/>
            <w:gridSpan w:val="3"/>
            <w:shd w:val="clear" w:color="auto" w:fill="auto"/>
          </w:tcPr>
          <w:p w14:paraId="5EA1EAC4" w14:textId="77777777" w:rsidR="003C66EB" w:rsidRDefault="003C66EB">
            <w:pPr>
              <w:rPr>
                <w:rFonts w:ascii="宋体"/>
                <w:vanish/>
              </w:rPr>
            </w:pPr>
          </w:p>
        </w:tc>
        <w:tc>
          <w:tcPr>
            <w:tcW w:w="0" w:type="auto"/>
            <w:gridSpan w:val="3"/>
            <w:shd w:val="clear" w:color="auto" w:fill="auto"/>
          </w:tcPr>
          <w:p w14:paraId="5EA1EAC5" w14:textId="77777777" w:rsidR="003C66EB" w:rsidRDefault="003C66EB">
            <w:pPr>
              <w:rPr>
                <w:rFonts w:ascii="宋体"/>
                <w:vanish/>
              </w:rPr>
            </w:pPr>
          </w:p>
        </w:tc>
        <w:tc>
          <w:tcPr>
            <w:tcW w:w="0" w:type="auto"/>
            <w:gridSpan w:val="3"/>
            <w:shd w:val="clear" w:color="auto" w:fill="auto"/>
          </w:tcPr>
          <w:p w14:paraId="5EA1EAC6" w14:textId="77777777" w:rsidR="003C66EB" w:rsidRDefault="003C66EB">
            <w:pPr>
              <w:rPr>
                <w:rFonts w:ascii="宋体"/>
                <w:vanish/>
              </w:rPr>
            </w:pPr>
          </w:p>
        </w:tc>
        <w:tc>
          <w:tcPr>
            <w:tcW w:w="0" w:type="auto"/>
            <w:gridSpan w:val="3"/>
            <w:shd w:val="clear" w:color="auto" w:fill="auto"/>
          </w:tcPr>
          <w:p w14:paraId="5EA1EAC7" w14:textId="77777777" w:rsidR="003C66EB" w:rsidRDefault="003C66EB">
            <w:pPr>
              <w:rPr>
                <w:rFonts w:ascii="宋体"/>
                <w:vanish/>
              </w:rPr>
            </w:pPr>
          </w:p>
        </w:tc>
        <w:tc>
          <w:tcPr>
            <w:tcW w:w="0" w:type="auto"/>
            <w:gridSpan w:val="2"/>
            <w:shd w:val="clear" w:color="auto" w:fill="auto"/>
          </w:tcPr>
          <w:p w14:paraId="5EA1EAC8" w14:textId="77777777" w:rsidR="003C66EB" w:rsidRDefault="003C66EB">
            <w:pPr>
              <w:rPr>
                <w:rFonts w:ascii="宋体"/>
                <w:vanish/>
              </w:rPr>
            </w:pPr>
          </w:p>
        </w:tc>
        <w:tc>
          <w:tcPr>
            <w:tcW w:w="0" w:type="auto"/>
            <w:shd w:val="clear" w:color="auto" w:fill="auto"/>
          </w:tcPr>
          <w:p w14:paraId="5EA1EAC9" w14:textId="77777777" w:rsidR="003C66EB" w:rsidRDefault="003C66EB">
            <w:pPr>
              <w:rPr>
                <w:rFonts w:ascii="宋体"/>
                <w:vanish/>
              </w:rPr>
            </w:pPr>
          </w:p>
        </w:tc>
      </w:tr>
      <w:tr w:rsidR="003C66EB" w14:paraId="5EA1EAE3" w14:textId="77777777">
        <w:tc>
          <w:tcPr>
            <w:tcW w:w="0" w:type="auto"/>
            <w:gridSpan w:val="3"/>
            <w:shd w:val="clear" w:color="auto" w:fill="FFFFFF"/>
            <w:tcMar>
              <w:top w:w="40" w:type="dxa"/>
              <w:left w:w="20" w:type="dxa"/>
              <w:bottom w:w="40" w:type="dxa"/>
              <w:right w:w="20" w:type="dxa"/>
            </w:tcMar>
            <w:vAlign w:val="bottom"/>
          </w:tcPr>
          <w:p w14:paraId="5EA1EACB" w14:textId="77777777" w:rsidR="003C66EB" w:rsidRDefault="00D96C4E">
            <w:pPr>
              <w:textAlignment w:val="bottom"/>
            </w:pPr>
            <w:r>
              <w:rPr>
                <w:rFonts w:ascii="Arial" w:eastAsia="宋体" w:hAnsi="Arial" w:cs="Arial"/>
                <w:color w:val="000000"/>
                <w:sz w:val="14"/>
                <w:szCs w:val="14"/>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tcPr>
          <w:p w14:paraId="5EA1EAC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ACD"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EAC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AC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D0" w14:textId="77777777" w:rsidR="003C66EB" w:rsidRDefault="00D96C4E">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AD1" w14:textId="77777777" w:rsidR="003C66EB" w:rsidRDefault="00D96C4E">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5EA1EAD2"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EAD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AD4"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1EAD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AD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AD7" w14:textId="77777777" w:rsidR="003C66EB" w:rsidRDefault="00D96C4E">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5EA1EAD8"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Pr>
          <w:p w14:paraId="5EA1EAD9" w14:textId="77777777" w:rsidR="003C66EB" w:rsidRDefault="003C66EB">
            <w:pPr>
              <w:rPr>
                <w:rFonts w:ascii="宋体"/>
                <w:vanish/>
              </w:rPr>
            </w:pPr>
          </w:p>
        </w:tc>
        <w:tc>
          <w:tcPr>
            <w:tcW w:w="0" w:type="auto"/>
            <w:gridSpan w:val="3"/>
            <w:shd w:val="clear" w:color="auto" w:fill="auto"/>
          </w:tcPr>
          <w:p w14:paraId="5EA1EADA" w14:textId="77777777" w:rsidR="003C66EB" w:rsidRDefault="003C66EB">
            <w:pPr>
              <w:rPr>
                <w:rFonts w:ascii="宋体"/>
                <w:vanish/>
              </w:rPr>
            </w:pPr>
          </w:p>
        </w:tc>
        <w:tc>
          <w:tcPr>
            <w:tcW w:w="0" w:type="auto"/>
            <w:gridSpan w:val="3"/>
            <w:shd w:val="clear" w:color="auto" w:fill="auto"/>
          </w:tcPr>
          <w:p w14:paraId="5EA1EADB" w14:textId="77777777" w:rsidR="003C66EB" w:rsidRDefault="003C66EB">
            <w:pPr>
              <w:rPr>
                <w:rFonts w:ascii="宋体"/>
                <w:vanish/>
              </w:rPr>
            </w:pPr>
          </w:p>
        </w:tc>
        <w:tc>
          <w:tcPr>
            <w:tcW w:w="0" w:type="auto"/>
            <w:gridSpan w:val="3"/>
            <w:shd w:val="clear" w:color="auto" w:fill="auto"/>
          </w:tcPr>
          <w:p w14:paraId="5EA1EADC" w14:textId="77777777" w:rsidR="003C66EB" w:rsidRDefault="003C66EB">
            <w:pPr>
              <w:rPr>
                <w:rFonts w:ascii="宋体"/>
                <w:vanish/>
              </w:rPr>
            </w:pPr>
          </w:p>
        </w:tc>
        <w:tc>
          <w:tcPr>
            <w:tcW w:w="0" w:type="auto"/>
            <w:gridSpan w:val="3"/>
            <w:shd w:val="clear" w:color="auto" w:fill="auto"/>
          </w:tcPr>
          <w:p w14:paraId="5EA1EADD" w14:textId="77777777" w:rsidR="003C66EB" w:rsidRDefault="003C66EB">
            <w:pPr>
              <w:rPr>
                <w:rFonts w:ascii="宋体"/>
                <w:vanish/>
              </w:rPr>
            </w:pPr>
          </w:p>
        </w:tc>
        <w:tc>
          <w:tcPr>
            <w:tcW w:w="0" w:type="auto"/>
            <w:gridSpan w:val="3"/>
            <w:shd w:val="clear" w:color="auto" w:fill="auto"/>
          </w:tcPr>
          <w:p w14:paraId="5EA1EADE" w14:textId="77777777" w:rsidR="003C66EB" w:rsidRDefault="003C66EB">
            <w:pPr>
              <w:rPr>
                <w:rFonts w:ascii="宋体"/>
                <w:vanish/>
              </w:rPr>
            </w:pPr>
          </w:p>
        </w:tc>
        <w:tc>
          <w:tcPr>
            <w:tcW w:w="0" w:type="auto"/>
            <w:gridSpan w:val="3"/>
            <w:shd w:val="clear" w:color="auto" w:fill="auto"/>
          </w:tcPr>
          <w:p w14:paraId="5EA1EADF" w14:textId="77777777" w:rsidR="003C66EB" w:rsidRDefault="003C66EB">
            <w:pPr>
              <w:rPr>
                <w:rFonts w:ascii="宋体"/>
                <w:vanish/>
              </w:rPr>
            </w:pPr>
          </w:p>
        </w:tc>
        <w:tc>
          <w:tcPr>
            <w:tcW w:w="0" w:type="auto"/>
            <w:gridSpan w:val="3"/>
            <w:shd w:val="clear" w:color="auto" w:fill="auto"/>
          </w:tcPr>
          <w:p w14:paraId="5EA1EAE0" w14:textId="77777777" w:rsidR="003C66EB" w:rsidRDefault="003C66EB">
            <w:pPr>
              <w:rPr>
                <w:rFonts w:ascii="宋体"/>
                <w:vanish/>
              </w:rPr>
            </w:pPr>
          </w:p>
        </w:tc>
        <w:tc>
          <w:tcPr>
            <w:tcW w:w="0" w:type="auto"/>
            <w:gridSpan w:val="2"/>
            <w:shd w:val="clear" w:color="auto" w:fill="auto"/>
          </w:tcPr>
          <w:p w14:paraId="5EA1EAE1" w14:textId="77777777" w:rsidR="003C66EB" w:rsidRDefault="003C66EB">
            <w:pPr>
              <w:rPr>
                <w:rFonts w:ascii="宋体"/>
                <w:vanish/>
              </w:rPr>
            </w:pPr>
          </w:p>
        </w:tc>
        <w:tc>
          <w:tcPr>
            <w:tcW w:w="0" w:type="auto"/>
            <w:shd w:val="clear" w:color="auto" w:fill="auto"/>
          </w:tcPr>
          <w:p w14:paraId="5EA1EAE2" w14:textId="77777777" w:rsidR="003C66EB" w:rsidRDefault="003C66EB">
            <w:pPr>
              <w:rPr>
                <w:rFonts w:ascii="宋体"/>
                <w:vanish/>
              </w:rPr>
            </w:pPr>
          </w:p>
        </w:tc>
      </w:tr>
      <w:tr w:rsidR="003C66EB" w14:paraId="5EA1EAFE" w14:textId="77777777">
        <w:tc>
          <w:tcPr>
            <w:tcW w:w="0" w:type="auto"/>
            <w:gridSpan w:val="3"/>
            <w:shd w:val="clear" w:color="auto" w:fill="CCEEFF"/>
            <w:tcMar>
              <w:top w:w="40" w:type="dxa"/>
              <w:left w:w="20" w:type="dxa"/>
              <w:bottom w:w="40" w:type="dxa"/>
              <w:right w:w="20" w:type="dxa"/>
            </w:tcMar>
            <w:vAlign w:val="bottom"/>
          </w:tcPr>
          <w:p w14:paraId="5EA1EAE4" w14:textId="77777777" w:rsidR="003C66EB" w:rsidRDefault="00D96C4E">
            <w:pPr>
              <w:textAlignment w:val="bottom"/>
            </w:pPr>
            <w:r>
              <w:rPr>
                <w:rFonts w:ascii="Arial" w:eastAsia="宋体" w:hAnsi="Arial" w:cs="Arial"/>
                <w:color w:val="000000"/>
                <w:sz w:val="14"/>
                <w:szCs w:val="14"/>
              </w:rPr>
              <w:t>Net interest income, fully taxable-equivalent basis</w:t>
            </w:r>
          </w:p>
        </w:tc>
        <w:tc>
          <w:tcPr>
            <w:tcW w:w="0" w:type="auto"/>
            <w:gridSpan w:val="3"/>
            <w:shd w:val="clear" w:color="auto" w:fill="CCEEFF"/>
            <w:tcMar>
              <w:top w:w="0" w:type="dxa"/>
              <w:left w:w="20" w:type="dxa"/>
              <w:bottom w:w="0" w:type="dxa"/>
              <w:right w:w="20" w:type="dxa"/>
            </w:tcMar>
          </w:tcPr>
          <w:p w14:paraId="5EA1EAE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AE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AE7"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EAE8" w14:textId="77777777" w:rsidR="003C66EB" w:rsidRDefault="00D96C4E">
            <w:pPr>
              <w:jc w:val="right"/>
              <w:textAlignment w:val="bottom"/>
            </w:pPr>
            <w:r>
              <w:rPr>
                <w:rFonts w:ascii="Arial" w:eastAsia="宋体" w:hAnsi="Arial" w:cs="Arial"/>
                <w:b/>
                <w:bCs/>
                <w:color w:val="000000"/>
                <w:sz w:val="14"/>
                <w:szCs w:val="14"/>
              </w:rPr>
              <w:t>471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A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E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AE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AE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AE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AE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EAE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EAF0" w14:textId="77777777" w:rsidR="003C66EB" w:rsidRDefault="00D96C4E">
            <w:pPr>
              <w:jc w:val="right"/>
              <w:textAlignment w:val="bottom"/>
            </w:pPr>
            <w:r>
              <w:rPr>
                <w:rFonts w:ascii="Arial" w:eastAsia="宋体" w:hAnsi="Arial" w:cs="Arial"/>
                <w:color w:val="000000"/>
                <w:sz w:val="14"/>
                <w:szCs w:val="14"/>
              </w:rPr>
              <w:t>668 </w:t>
            </w:r>
          </w:p>
        </w:tc>
        <w:tc>
          <w:tcPr>
            <w:tcW w:w="0" w:type="auto"/>
            <w:shd w:val="clear" w:color="auto" w:fill="CCEEFF"/>
            <w:tcMar>
              <w:top w:w="40" w:type="dxa"/>
              <w:left w:w="0" w:type="dxa"/>
              <w:bottom w:w="40" w:type="dxa"/>
              <w:right w:w="20" w:type="dxa"/>
            </w:tcMar>
            <w:vAlign w:val="bottom"/>
          </w:tcPr>
          <w:p w14:paraId="5EA1EA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AF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AF3" w14:textId="77777777" w:rsidR="003C66EB" w:rsidRDefault="003C66EB">
            <w:pPr>
              <w:rPr>
                <w:rFonts w:ascii="宋体"/>
              </w:rPr>
            </w:pPr>
          </w:p>
        </w:tc>
        <w:tc>
          <w:tcPr>
            <w:tcW w:w="0" w:type="auto"/>
            <w:gridSpan w:val="3"/>
            <w:shd w:val="clear" w:color="auto" w:fill="auto"/>
          </w:tcPr>
          <w:p w14:paraId="5EA1EAF4" w14:textId="77777777" w:rsidR="003C66EB" w:rsidRDefault="003C66EB">
            <w:pPr>
              <w:rPr>
                <w:rFonts w:ascii="宋体"/>
                <w:vanish/>
              </w:rPr>
            </w:pPr>
          </w:p>
        </w:tc>
        <w:tc>
          <w:tcPr>
            <w:tcW w:w="0" w:type="auto"/>
            <w:gridSpan w:val="3"/>
            <w:shd w:val="clear" w:color="auto" w:fill="auto"/>
          </w:tcPr>
          <w:p w14:paraId="5EA1EAF5" w14:textId="77777777" w:rsidR="003C66EB" w:rsidRDefault="003C66EB">
            <w:pPr>
              <w:rPr>
                <w:rFonts w:ascii="宋体"/>
                <w:vanish/>
              </w:rPr>
            </w:pPr>
          </w:p>
        </w:tc>
        <w:tc>
          <w:tcPr>
            <w:tcW w:w="0" w:type="auto"/>
            <w:gridSpan w:val="3"/>
            <w:shd w:val="clear" w:color="auto" w:fill="auto"/>
          </w:tcPr>
          <w:p w14:paraId="5EA1EAF6" w14:textId="77777777" w:rsidR="003C66EB" w:rsidRDefault="003C66EB">
            <w:pPr>
              <w:rPr>
                <w:rFonts w:ascii="宋体"/>
                <w:vanish/>
              </w:rPr>
            </w:pPr>
          </w:p>
        </w:tc>
        <w:tc>
          <w:tcPr>
            <w:tcW w:w="0" w:type="auto"/>
            <w:gridSpan w:val="3"/>
            <w:shd w:val="clear" w:color="auto" w:fill="auto"/>
          </w:tcPr>
          <w:p w14:paraId="5EA1EAF7" w14:textId="77777777" w:rsidR="003C66EB" w:rsidRDefault="003C66EB">
            <w:pPr>
              <w:rPr>
                <w:rFonts w:ascii="宋体"/>
                <w:vanish/>
              </w:rPr>
            </w:pPr>
          </w:p>
        </w:tc>
        <w:tc>
          <w:tcPr>
            <w:tcW w:w="0" w:type="auto"/>
            <w:gridSpan w:val="3"/>
            <w:shd w:val="clear" w:color="auto" w:fill="auto"/>
          </w:tcPr>
          <w:p w14:paraId="5EA1EAF8" w14:textId="77777777" w:rsidR="003C66EB" w:rsidRDefault="003C66EB">
            <w:pPr>
              <w:rPr>
                <w:rFonts w:ascii="宋体"/>
                <w:vanish/>
              </w:rPr>
            </w:pPr>
          </w:p>
        </w:tc>
        <w:tc>
          <w:tcPr>
            <w:tcW w:w="0" w:type="auto"/>
            <w:gridSpan w:val="3"/>
            <w:shd w:val="clear" w:color="auto" w:fill="auto"/>
          </w:tcPr>
          <w:p w14:paraId="5EA1EAF9" w14:textId="77777777" w:rsidR="003C66EB" w:rsidRDefault="003C66EB">
            <w:pPr>
              <w:rPr>
                <w:rFonts w:ascii="宋体"/>
                <w:vanish/>
              </w:rPr>
            </w:pPr>
          </w:p>
        </w:tc>
        <w:tc>
          <w:tcPr>
            <w:tcW w:w="0" w:type="auto"/>
            <w:gridSpan w:val="3"/>
            <w:shd w:val="clear" w:color="auto" w:fill="auto"/>
          </w:tcPr>
          <w:p w14:paraId="5EA1EAFA" w14:textId="77777777" w:rsidR="003C66EB" w:rsidRDefault="003C66EB">
            <w:pPr>
              <w:rPr>
                <w:rFonts w:ascii="宋体"/>
                <w:vanish/>
              </w:rPr>
            </w:pPr>
          </w:p>
        </w:tc>
        <w:tc>
          <w:tcPr>
            <w:tcW w:w="0" w:type="auto"/>
            <w:gridSpan w:val="3"/>
            <w:shd w:val="clear" w:color="auto" w:fill="auto"/>
          </w:tcPr>
          <w:p w14:paraId="5EA1EAFB" w14:textId="77777777" w:rsidR="003C66EB" w:rsidRDefault="003C66EB">
            <w:pPr>
              <w:rPr>
                <w:rFonts w:ascii="宋体"/>
                <w:vanish/>
              </w:rPr>
            </w:pPr>
          </w:p>
        </w:tc>
        <w:tc>
          <w:tcPr>
            <w:tcW w:w="0" w:type="auto"/>
            <w:gridSpan w:val="2"/>
            <w:shd w:val="clear" w:color="auto" w:fill="auto"/>
          </w:tcPr>
          <w:p w14:paraId="5EA1EAFC" w14:textId="77777777" w:rsidR="003C66EB" w:rsidRDefault="003C66EB">
            <w:pPr>
              <w:rPr>
                <w:rFonts w:ascii="宋体"/>
                <w:vanish/>
              </w:rPr>
            </w:pPr>
          </w:p>
        </w:tc>
        <w:tc>
          <w:tcPr>
            <w:tcW w:w="0" w:type="auto"/>
            <w:shd w:val="clear" w:color="auto" w:fill="auto"/>
          </w:tcPr>
          <w:p w14:paraId="5EA1EAFD" w14:textId="77777777" w:rsidR="003C66EB" w:rsidRDefault="003C66EB">
            <w:pPr>
              <w:rPr>
                <w:rFonts w:ascii="宋体"/>
                <w:vanish/>
              </w:rPr>
            </w:pPr>
          </w:p>
        </w:tc>
      </w:tr>
      <w:tr w:rsidR="003C66EB" w14:paraId="5EA1EB17" w14:textId="77777777">
        <w:tc>
          <w:tcPr>
            <w:tcW w:w="0" w:type="auto"/>
            <w:gridSpan w:val="3"/>
            <w:shd w:val="clear" w:color="auto" w:fill="FFFFFF"/>
            <w:tcMar>
              <w:top w:w="40" w:type="dxa"/>
              <w:left w:w="20" w:type="dxa"/>
              <w:bottom w:w="40" w:type="dxa"/>
              <w:right w:w="20" w:type="dxa"/>
            </w:tcMar>
            <w:vAlign w:val="bottom"/>
          </w:tcPr>
          <w:p w14:paraId="5EA1EAFF" w14:textId="77777777" w:rsidR="003C66EB" w:rsidRDefault="00D96C4E">
            <w:pPr>
              <w:textAlignment w:val="bottom"/>
            </w:pPr>
            <w:r>
              <w:rPr>
                <w:rFonts w:ascii="Arial" w:eastAsia="宋体" w:hAnsi="Arial" w:cs="Arial"/>
                <w:color w:val="000000"/>
                <w:sz w:val="14"/>
                <w:szCs w:val="14"/>
              </w:rPr>
              <w:t>Net interest margin, fully taxable-equivalent basis</w:t>
            </w:r>
          </w:p>
        </w:tc>
        <w:tc>
          <w:tcPr>
            <w:tcW w:w="0" w:type="auto"/>
            <w:gridSpan w:val="3"/>
            <w:shd w:val="clear" w:color="auto" w:fill="FFFFFF"/>
            <w:tcMar>
              <w:top w:w="0" w:type="dxa"/>
              <w:left w:w="20" w:type="dxa"/>
              <w:bottom w:w="0" w:type="dxa"/>
              <w:right w:w="20" w:type="dxa"/>
            </w:tcMar>
          </w:tcPr>
          <w:p w14:paraId="5EA1EB0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B04" w14:textId="77777777" w:rsidR="003C66EB" w:rsidRDefault="00D96C4E">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B05" w14:textId="77777777" w:rsidR="003C66EB" w:rsidRDefault="00D96C4E">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5EA1EB0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0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B0B" w14:textId="77777777" w:rsidR="003C66EB" w:rsidRDefault="00D96C4E">
            <w:pPr>
              <w:jc w:val="right"/>
              <w:textAlignment w:val="bottom"/>
            </w:pPr>
            <w:r>
              <w:rPr>
                <w:rFonts w:ascii="Arial" w:eastAsia="宋体" w:hAnsi="Arial" w:cs="Arial"/>
                <w:color w:val="000000"/>
                <w:sz w:val="14"/>
                <w:szCs w:val="14"/>
              </w:rPr>
              <w:t>1.30 </w:t>
            </w:r>
          </w:p>
        </w:tc>
        <w:tc>
          <w:tcPr>
            <w:tcW w:w="0" w:type="auto"/>
            <w:shd w:val="clear" w:color="auto" w:fill="FFFFFF"/>
            <w:tcMar>
              <w:top w:w="40" w:type="dxa"/>
              <w:left w:w="0" w:type="dxa"/>
              <w:bottom w:w="40" w:type="dxa"/>
              <w:right w:w="20" w:type="dxa"/>
            </w:tcMar>
            <w:vAlign w:val="bottom"/>
          </w:tcPr>
          <w:p w14:paraId="5EA1EB0C"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Pr>
          <w:p w14:paraId="5EA1EB0D" w14:textId="77777777" w:rsidR="003C66EB" w:rsidRDefault="003C66EB">
            <w:pPr>
              <w:rPr>
                <w:rFonts w:ascii="宋体"/>
                <w:vanish/>
              </w:rPr>
            </w:pPr>
          </w:p>
        </w:tc>
        <w:tc>
          <w:tcPr>
            <w:tcW w:w="0" w:type="auto"/>
            <w:gridSpan w:val="3"/>
            <w:shd w:val="clear" w:color="auto" w:fill="auto"/>
          </w:tcPr>
          <w:p w14:paraId="5EA1EB0E" w14:textId="77777777" w:rsidR="003C66EB" w:rsidRDefault="003C66EB">
            <w:pPr>
              <w:rPr>
                <w:rFonts w:ascii="宋体"/>
                <w:vanish/>
              </w:rPr>
            </w:pPr>
          </w:p>
        </w:tc>
        <w:tc>
          <w:tcPr>
            <w:tcW w:w="0" w:type="auto"/>
            <w:gridSpan w:val="3"/>
            <w:shd w:val="clear" w:color="auto" w:fill="auto"/>
          </w:tcPr>
          <w:p w14:paraId="5EA1EB0F" w14:textId="77777777" w:rsidR="003C66EB" w:rsidRDefault="003C66EB">
            <w:pPr>
              <w:rPr>
                <w:rFonts w:ascii="宋体"/>
                <w:vanish/>
              </w:rPr>
            </w:pPr>
          </w:p>
        </w:tc>
        <w:tc>
          <w:tcPr>
            <w:tcW w:w="0" w:type="auto"/>
            <w:gridSpan w:val="3"/>
            <w:shd w:val="clear" w:color="auto" w:fill="auto"/>
          </w:tcPr>
          <w:p w14:paraId="5EA1EB10" w14:textId="77777777" w:rsidR="003C66EB" w:rsidRDefault="003C66EB">
            <w:pPr>
              <w:rPr>
                <w:rFonts w:ascii="宋体"/>
                <w:vanish/>
              </w:rPr>
            </w:pPr>
          </w:p>
        </w:tc>
        <w:tc>
          <w:tcPr>
            <w:tcW w:w="0" w:type="auto"/>
            <w:gridSpan w:val="3"/>
            <w:shd w:val="clear" w:color="auto" w:fill="auto"/>
          </w:tcPr>
          <w:p w14:paraId="5EA1EB11" w14:textId="77777777" w:rsidR="003C66EB" w:rsidRDefault="003C66EB">
            <w:pPr>
              <w:rPr>
                <w:rFonts w:ascii="宋体"/>
                <w:vanish/>
              </w:rPr>
            </w:pPr>
          </w:p>
        </w:tc>
        <w:tc>
          <w:tcPr>
            <w:tcW w:w="0" w:type="auto"/>
            <w:gridSpan w:val="3"/>
            <w:shd w:val="clear" w:color="auto" w:fill="auto"/>
          </w:tcPr>
          <w:p w14:paraId="5EA1EB12" w14:textId="77777777" w:rsidR="003C66EB" w:rsidRDefault="003C66EB">
            <w:pPr>
              <w:rPr>
                <w:rFonts w:ascii="宋体"/>
                <w:vanish/>
              </w:rPr>
            </w:pPr>
          </w:p>
        </w:tc>
        <w:tc>
          <w:tcPr>
            <w:tcW w:w="0" w:type="auto"/>
            <w:gridSpan w:val="3"/>
            <w:shd w:val="clear" w:color="auto" w:fill="auto"/>
          </w:tcPr>
          <w:p w14:paraId="5EA1EB13" w14:textId="77777777" w:rsidR="003C66EB" w:rsidRDefault="003C66EB">
            <w:pPr>
              <w:rPr>
                <w:rFonts w:ascii="宋体"/>
                <w:vanish/>
              </w:rPr>
            </w:pPr>
          </w:p>
        </w:tc>
        <w:tc>
          <w:tcPr>
            <w:tcW w:w="0" w:type="auto"/>
            <w:gridSpan w:val="3"/>
            <w:shd w:val="clear" w:color="auto" w:fill="auto"/>
          </w:tcPr>
          <w:p w14:paraId="5EA1EB14" w14:textId="77777777" w:rsidR="003C66EB" w:rsidRDefault="003C66EB">
            <w:pPr>
              <w:rPr>
                <w:rFonts w:ascii="宋体"/>
                <w:vanish/>
              </w:rPr>
            </w:pPr>
          </w:p>
        </w:tc>
        <w:tc>
          <w:tcPr>
            <w:tcW w:w="0" w:type="auto"/>
            <w:gridSpan w:val="2"/>
            <w:shd w:val="clear" w:color="auto" w:fill="auto"/>
          </w:tcPr>
          <w:p w14:paraId="5EA1EB15" w14:textId="77777777" w:rsidR="003C66EB" w:rsidRDefault="003C66EB">
            <w:pPr>
              <w:rPr>
                <w:rFonts w:ascii="宋体"/>
                <w:vanish/>
              </w:rPr>
            </w:pPr>
          </w:p>
        </w:tc>
        <w:tc>
          <w:tcPr>
            <w:tcW w:w="0" w:type="auto"/>
            <w:shd w:val="clear" w:color="auto" w:fill="auto"/>
          </w:tcPr>
          <w:p w14:paraId="5EA1EB16" w14:textId="77777777" w:rsidR="003C66EB" w:rsidRDefault="003C66EB">
            <w:pPr>
              <w:rPr>
                <w:rFonts w:ascii="宋体"/>
                <w:vanish/>
              </w:rPr>
            </w:pPr>
          </w:p>
        </w:tc>
      </w:tr>
      <w:tr w:rsidR="003C66EB" w14:paraId="5EA1EB30" w14:textId="77777777">
        <w:tc>
          <w:tcPr>
            <w:tcW w:w="0" w:type="auto"/>
            <w:gridSpan w:val="3"/>
            <w:shd w:val="clear" w:color="auto" w:fill="CCEEFF"/>
            <w:tcMar>
              <w:top w:w="40" w:type="dxa"/>
              <w:left w:w="20" w:type="dxa"/>
              <w:bottom w:w="40" w:type="dxa"/>
              <w:right w:w="20" w:type="dxa"/>
            </w:tcMar>
            <w:vAlign w:val="bottom"/>
          </w:tcPr>
          <w:p w14:paraId="5EA1EB18" w14:textId="77777777" w:rsidR="003C66EB" w:rsidRDefault="00D96C4E">
            <w:pPr>
              <w:textAlignment w:val="bottom"/>
            </w:pPr>
            <w:r>
              <w:rPr>
                <w:rFonts w:ascii="Arial" w:eastAsia="宋体" w:hAnsi="Arial" w:cs="Arial"/>
                <w:color w:val="000000"/>
                <w:sz w:val="14"/>
                <w:szCs w:val="14"/>
              </w:rPr>
              <w:t>Tax-equivalent adjustment</w:t>
            </w:r>
          </w:p>
        </w:tc>
        <w:tc>
          <w:tcPr>
            <w:tcW w:w="0" w:type="auto"/>
            <w:gridSpan w:val="3"/>
            <w:shd w:val="clear" w:color="auto" w:fill="CCEEFF"/>
            <w:tcMar>
              <w:top w:w="0" w:type="dxa"/>
              <w:left w:w="20" w:type="dxa"/>
              <w:bottom w:w="0" w:type="dxa"/>
              <w:right w:w="20" w:type="dxa"/>
            </w:tcMar>
          </w:tcPr>
          <w:p w14:paraId="5EA1EB1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B1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B1B" w14:textId="77777777" w:rsidR="003C66EB" w:rsidRDefault="00D96C4E">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5EA1EB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B1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B1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B1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B2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B2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B22" w14:textId="77777777" w:rsidR="003C66EB" w:rsidRDefault="00D96C4E">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EA1EB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B2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EB25" w14:textId="77777777" w:rsidR="003C66EB" w:rsidRDefault="003C66EB">
            <w:pPr>
              <w:rPr>
                <w:rFonts w:ascii="宋体"/>
              </w:rPr>
            </w:pPr>
          </w:p>
        </w:tc>
        <w:tc>
          <w:tcPr>
            <w:tcW w:w="0" w:type="auto"/>
            <w:gridSpan w:val="3"/>
            <w:shd w:val="clear" w:color="auto" w:fill="auto"/>
          </w:tcPr>
          <w:p w14:paraId="5EA1EB26" w14:textId="77777777" w:rsidR="003C66EB" w:rsidRDefault="003C66EB">
            <w:pPr>
              <w:rPr>
                <w:rFonts w:ascii="宋体"/>
                <w:vanish/>
              </w:rPr>
            </w:pPr>
          </w:p>
        </w:tc>
        <w:tc>
          <w:tcPr>
            <w:tcW w:w="0" w:type="auto"/>
            <w:gridSpan w:val="3"/>
            <w:shd w:val="clear" w:color="auto" w:fill="auto"/>
          </w:tcPr>
          <w:p w14:paraId="5EA1EB27" w14:textId="77777777" w:rsidR="003C66EB" w:rsidRDefault="003C66EB">
            <w:pPr>
              <w:rPr>
                <w:rFonts w:ascii="宋体"/>
                <w:vanish/>
              </w:rPr>
            </w:pPr>
          </w:p>
        </w:tc>
        <w:tc>
          <w:tcPr>
            <w:tcW w:w="0" w:type="auto"/>
            <w:gridSpan w:val="3"/>
            <w:shd w:val="clear" w:color="auto" w:fill="auto"/>
          </w:tcPr>
          <w:p w14:paraId="5EA1EB28" w14:textId="77777777" w:rsidR="003C66EB" w:rsidRDefault="003C66EB">
            <w:pPr>
              <w:rPr>
                <w:rFonts w:ascii="宋体"/>
                <w:vanish/>
              </w:rPr>
            </w:pPr>
          </w:p>
        </w:tc>
        <w:tc>
          <w:tcPr>
            <w:tcW w:w="0" w:type="auto"/>
            <w:gridSpan w:val="3"/>
            <w:shd w:val="clear" w:color="auto" w:fill="auto"/>
          </w:tcPr>
          <w:p w14:paraId="5EA1EB29" w14:textId="77777777" w:rsidR="003C66EB" w:rsidRDefault="003C66EB">
            <w:pPr>
              <w:rPr>
                <w:rFonts w:ascii="宋体"/>
                <w:vanish/>
              </w:rPr>
            </w:pPr>
          </w:p>
        </w:tc>
        <w:tc>
          <w:tcPr>
            <w:tcW w:w="0" w:type="auto"/>
            <w:gridSpan w:val="3"/>
            <w:shd w:val="clear" w:color="auto" w:fill="auto"/>
          </w:tcPr>
          <w:p w14:paraId="5EA1EB2A" w14:textId="77777777" w:rsidR="003C66EB" w:rsidRDefault="003C66EB">
            <w:pPr>
              <w:rPr>
                <w:rFonts w:ascii="宋体"/>
                <w:vanish/>
              </w:rPr>
            </w:pPr>
          </w:p>
        </w:tc>
        <w:tc>
          <w:tcPr>
            <w:tcW w:w="0" w:type="auto"/>
            <w:gridSpan w:val="3"/>
            <w:shd w:val="clear" w:color="auto" w:fill="auto"/>
          </w:tcPr>
          <w:p w14:paraId="5EA1EB2B" w14:textId="77777777" w:rsidR="003C66EB" w:rsidRDefault="003C66EB">
            <w:pPr>
              <w:rPr>
                <w:rFonts w:ascii="宋体"/>
                <w:vanish/>
              </w:rPr>
            </w:pPr>
          </w:p>
        </w:tc>
        <w:tc>
          <w:tcPr>
            <w:tcW w:w="0" w:type="auto"/>
            <w:gridSpan w:val="3"/>
            <w:shd w:val="clear" w:color="auto" w:fill="auto"/>
          </w:tcPr>
          <w:p w14:paraId="5EA1EB2C" w14:textId="77777777" w:rsidR="003C66EB" w:rsidRDefault="003C66EB">
            <w:pPr>
              <w:rPr>
                <w:rFonts w:ascii="宋体"/>
                <w:vanish/>
              </w:rPr>
            </w:pPr>
          </w:p>
        </w:tc>
        <w:tc>
          <w:tcPr>
            <w:tcW w:w="0" w:type="auto"/>
            <w:gridSpan w:val="3"/>
            <w:shd w:val="clear" w:color="auto" w:fill="auto"/>
          </w:tcPr>
          <w:p w14:paraId="5EA1EB2D" w14:textId="77777777" w:rsidR="003C66EB" w:rsidRDefault="003C66EB">
            <w:pPr>
              <w:rPr>
                <w:rFonts w:ascii="宋体"/>
                <w:vanish/>
              </w:rPr>
            </w:pPr>
          </w:p>
        </w:tc>
        <w:tc>
          <w:tcPr>
            <w:tcW w:w="0" w:type="auto"/>
            <w:gridSpan w:val="2"/>
            <w:shd w:val="clear" w:color="auto" w:fill="auto"/>
          </w:tcPr>
          <w:p w14:paraId="5EA1EB2E" w14:textId="77777777" w:rsidR="003C66EB" w:rsidRDefault="003C66EB">
            <w:pPr>
              <w:rPr>
                <w:rFonts w:ascii="宋体"/>
                <w:vanish/>
              </w:rPr>
            </w:pPr>
          </w:p>
        </w:tc>
        <w:tc>
          <w:tcPr>
            <w:tcW w:w="0" w:type="auto"/>
            <w:shd w:val="clear" w:color="auto" w:fill="auto"/>
          </w:tcPr>
          <w:p w14:paraId="5EA1EB2F" w14:textId="77777777" w:rsidR="003C66EB" w:rsidRDefault="003C66EB">
            <w:pPr>
              <w:rPr>
                <w:rFonts w:ascii="宋体"/>
                <w:vanish/>
              </w:rPr>
            </w:pPr>
          </w:p>
        </w:tc>
      </w:tr>
      <w:tr w:rsidR="003C66EB" w14:paraId="5EA1EB4B" w14:textId="77777777">
        <w:tc>
          <w:tcPr>
            <w:tcW w:w="0" w:type="auto"/>
            <w:gridSpan w:val="3"/>
            <w:shd w:val="clear" w:color="auto" w:fill="FFFFFF"/>
            <w:tcMar>
              <w:top w:w="40" w:type="dxa"/>
              <w:left w:w="20" w:type="dxa"/>
              <w:bottom w:w="40" w:type="dxa"/>
              <w:right w:w="20" w:type="dxa"/>
            </w:tcMar>
            <w:vAlign w:val="bottom"/>
          </w:tcPr>
          <w:p w14:paraId="5EA1EB31" w14:textId="77777777" w:rsidR="003C66EB" w:rsidRDefault="00D96C4E">
            <w:pPr>
              <w:textAlignment w:val="bottom"/>
            </w:pPr>
            <w:r>
              <w:rPr>
                <w:rFonts w:ascii="Arial" w:eastAsia="宋体" w:hAnsi="Arial" w:cs="Arial"/>
                <w:color w:val="000000"/>
                <w:sz w:val="14"/>
                <w:szCs w:val="14"/>
              </w:rPr>
              <w:t xml:space="preserve">Net interest income, GAAP basis </w:t>
            </w:r>
          </w:p>
        </w:tc>
        <w:tc>
          <w:tcPr>
            <w:tcW w:w="0" w:type="auto"/>
            <w:gridSpan w:val="3"/>
            <w:shd w:val="clear" w:color="auto" w:fill="FFFFFF"/>
            <w:tcMar>
              <w:top w:w="0" w:type="dxa"/>
              <w:left w:w="20" w:type="dxa"/>
              <w:bottom w:w="0" w:type="dxa"/>
              <w:right w:w="20" w:type="dxa"/>
            </w:tcMar>
          </w:tcPr>
          <w:p w14:paraId="5EA1EB3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3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B3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B35" w14:textId="77777777" w:rsidR="003C66EB" w:rsidRDefault="00D96C4E">
            <w:pPr>
              <w:jc w:val="right"/>
              <w:textAlignment w:val="bottom"/>
            </w:pPr>
            <w:r>
              <w:rPr>
                <w:rFonts w:ascii="Arial" w:eastAsia="宋体" w:hAnsi="Arial" w:cs="Arial"/>
                <w:b/>
                <w:bCs/>
                <w:color w:val="000000"/>
                <w:sz w:val="14"/>
                <w:szCs w:val="14"/>
              </w:rPr>
              <w:t>467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B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B3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3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3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3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3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B3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B3D" w14:textId="77777777" w:rsidR="003C66EB" w:rsidRDefault="00D96C4E">
            <w:pPr>
              <w:jc w:val="right"/>
              <w:textAlignment w:val="bottom"/>
            </w:pPr>
            <w:r>
              <w:rPr>
                <w:rFonts w:ascii="Arial" w:eastAsia="宋体" w:hAnsi="Arial" w:cs="Arial"/>
                <w:color w:val="000000"/>
                <w:sz w:val="14"/>
                <w:szCs w:val="14"/>
              </w:rPr>
              <w:t>664 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B3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B3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B40" w14:textId="77777777" w:rsidR="003C66EB" w:rsidRDefault="003C66EB">
            <w:pPr>
              <w:rPr>
                <w:rFonts w:ascii="宋体"/>
              </w:rPr>
            </w:pPr>
          </w:p>
        </w:tc>
        <w:tc>
          <w:tcPr>
            <w:tcW w:w="0" w:type="auto"/>
            <w:gridSpan w:val="3"/>
            <w:shd w:val="clear" w:color="auto" w:fill="auto"/>
          </w:tcPr>
          <w:p w14:paraId="5EA1EB41" w14:textId="77777777" w:rsidR="003C66EB" w:rsidRDefault="003C66EB">
            <w:pPr>
              <w:rPr>
                <w:rFonts w:ascii="宋体"/>
                <w:vanish/>
              </w:rPr>
            </w:pPr>
          </w:p>
        </w:tc>
        <w:tc>
          <w:tcPr>
            <w:tcW w:w="0" w:type="auto"/>
            <w:gridSpan w:val="3"/>
            <w:shd w:val="clear" w:color="auto" w:fill="auto"/>
          </w:tcPr>
          <w:p w14:paraId="5EA1EB42" w14:textId="77777777" w:rsidR="003C66EB" w:rsidRDefault="003C66EB">
            <w:pPr>
              <w:rPr>
                <w:rFonts w:ascii="宋体"/>
                <w:vanish/>
              </w:rPr>
            </w:pPr>
          </w:p>
        </w:tc>
        <w:tc>
          <w:tcPr>
            <w:tcW w:w="0" w:type="auto"/>
            <w:gridSpan w:val="3"/>
            <w:shd w:val="clear" w:color="auto" w:fill="auto"/>
          </w:tcPr>
          <w:p w14:paraId="5EA1EB43" w14:textId="77777777" w:rsidR="003C66EB" w:rsidRDefault="003C66EB">
            <w:pPr>
              <w:rPr>
                <w:rFonts w:ascii="宋体"/>
                <w:vanish/>
              </w:rPr>
            </w:pPr>
          </w:p>
        </w:tc>
        <w:tc>
          <w:tcPr>
            <w:tcW w:w="0" w:type="auto"/>
            <w:gridSpan w:val="3"/>
            <w:shd w:val="clear" w:color="auto" w:fill="auto"/>
          </w:tcPr>
          <w:p w14:paraId="5EA1EB44" w14:textId="77777777" w:rsidR="003C66EB" w:rsidRDefault="003C66EB">
            <w:pPr>
              <w:rPr>
                <w:rFonts w:ascii="宋体"/>
                <w:vanish/>
              </w:rPr>
            </w:pPr>
          </w:p>
        </w:tc>
        <w:tc>
          <w:tcPr>
            <w:tcW w:w="0" w:type="auto"/>
            <w:gridSpan w:val="3"/>
            <w:shd w:val="clear" w:color="auto" w:fill="auto"/>
          </w:tcPr>
          <w:p w14:paraId="5EA1EB45" w14:textId="77777777" w:rsidR="003C66EB" w:rsidRDefault="003C66EB">
            <w:pPr>
              <w:rPr>
                <w:rFonts w:ascii="宋体"/>
                <w:vanish/>
              </w:rPr>
            </w:pPr>
          </w:p>
        </w:tc>
        <w:tc>
          <w:tcPr>
            <w:tcW w:w="0" w:type="auto"/>
            <w:gridSpan w:val="3"/>
            <w:shd w:val="clear" w:color="auto" w:fill="auto"/>
          </w:tcPr>
          <w:p w14:paraId="5EA1EB46" w14:textId="77777777" w:rsidR="003C66EB" w:rsidRDefault="003C66EB">
            <w:pPr>
              <w:rPr>
                <w:rFonts w:ascii="宋体"/>
                <w:vanish/>
              </w:rPr>
            </w:pPr>
          </w:p>
        </w:tc>
        <w:tc>
          <w:tcPr>
            <w:tcW w:w="0" w:type="auto"/>
            <w:gridSpan w:val="3"/>
            <w:shd w:val="clear" w:color="auto" w:fill="auto"/>
          </w:tcPr>
          <w:p w14:paraId="5EA1EB47" w14:textId="77777777" w:rsidR="003C66EB" w:rsidRDefault="003C66EB">
            <w:pPr>
              <w:rPr>
                <w:rFonts w:ascii="宋体"/>
                <w:vanish/>
              </w:rPr>
            </w:pPr>
          </w:p>
        </w:tc>
        <w:tc>
          <w:tcPr>
            <w:tcW w:w="0" w:type="auto"/>
            <w:gridSpan w:val="3"/>
            <w:shd w:val="clear" w:color="auto" w:fill="auto"/>
          </w:tcPr>
          <w:p w14:paraId="5EA1EB48" w14:textId="77777777" w:rsidR="003C66EB" w:rsidRDefault="003C66EB">
            <w:pPr>
              <w:rPr>
                <w:rFonts w:ascii="宋体"/>
                <w:vanish/>
              </w:rPr>
            </w:pPr>
          </w:p>
        </w:tc>
        <w:tc>
          <w:tcPr>
            <w:tcW w:w="0" w:type="auto"/>
            <w:gridSpan w:val="2"/>
            <w:shd w:val="clear" w:color="auto" w:fill="auto"/>
          </w:tcPr>
          <w:p w14:paraId="5EA1EB49" w14:textId="77777777" w:rsidR="003C66EB" w:rsidRDefault="003C66EB">
            <w:pPr>
              <w:rPr>
                <w:rFonts w:ascii="宋体"/>
                <w:vanish/>
              </w:rPr>
            </w:pPr>
          </w:p>
        </w:tc>
        <w:tc>
          <w:tcPr>
            <w:tcW w:w="0" w:type="auto"/>
            <w:shd w:val="clear" w:color="auto" w:fill="auto"/>
          </w:tcPr>
          <w:p w14:paraId="5EA1EB4A" w14:textId="77777777" w:rsidR="003C66EB" w:rsidRDefault="003C66EB">
            <w:pPr>
              <w:rPr>
                <w:rFonts w:ascii="宋体"/>
                <w:vanish/>
              </w:rPr>
            </w:pPr>
          </w:p>
        </w:tc>
      </w:tr>
    </w:tbl>
    <w:p w14:paraId="5EA1EB4C"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EB53" w14:textId="77777777">
        <w:tc>
          <w:tcPr>
            <w:tcW w:w="50" w:type="pct"/>
            <w:shd w:val="clear" w:color="auto" w:fill="auto"/>
          </w:tcPr>
          <w:p w14:paraId="5EA1EB4D" w14:textId="77777777" w:rsidR="003C66EB" w:rsidRDefault="003C66EB">
            <w:pPr>
              <w:rPr>
                <w:rFonts w:ascii="宋体"/>
              </w:rPr>
            </w:pPr>
          </w:p>
        </w:tc>
        <w:tc>
          <w:tcPr>
            <w:tcW w:w="1348" w:type="pct"/>
            <w:shd w:val="clear" w:color="auto" w:fill="auto"/>
          </w:tcPr>
          <w:p w14:paraId="5EA1EB4E" w14:textId="77777777" w:rsidR="003C66EB" w:rsidRDefault="003C66EB">
            <w:pPr>
              <w:rPr>
                <w:rFonts w:ascii="宋体"/>
              </w:rPr>
            </w:pPr>
          </w:p>
        </w:tc>
        <w:tc>
          <w:tcPr>
            <w:tcW w:w="5" w:type="pct"/>
            <w:shd w:val="clear" w:color="auto" w:fill="auto"/>
          </w:tcPr>
          <w:p w14:paraId="5EA1EB4F" w14:textId="77777777" w:rsidR="003C66EB" w:rsidRDefault="003C66EB">
            <w:pPr>
              <w:rPr>
                <w:rFonts w:ascii="宋体"/>
              </w:rPr>
            </w:pPr>
          </w:p>
        </w:tc>
        <w:tc>
          <w:tcPr>
            <w:tcW w:w="50" w:type="pct"/>
            <w:shd w:val="clear" w:color="auto" w:fill="auto"/>
          </w:tcPr>
          <w:p w14:paraId="5EA1EB50" w14:textId="77777777" w:rsidR="003C66EB" w:rsidRDefault="003C66EB">
            <w:pPr>
              <w:rPr>
                <w:rFonts w:ascii="宋体"/>
              </w:rPr>
            </w:pPr>
          </w:p>
        </w:tc>
        <w:tc>
          <w:tcPr>
            <w:tcW w:w="3541" w:type="pct"/>
            <w:shd w:val="clear" w:color="auto" w:fill="auto"/>
          </w:tcPr>
          <w:p w14:paraId="5EA1EB51" w14:textId="77777777" w:rsidR="003C66EB" w:rsidRDefault="003C66EB">
            <w:pPr>
              <w:rPr>
                <w:rFonts w:ascii="宋体"/>
              </w:rPr>
            </w:pPr>
          </w:p>
        </w:tc>
        <w:tc>
          <w:tcPr>
            <w:tcW w:w="5" w:type="pct"/>
            <w:shd w:val="clear" w:color="auto" w:fill="auto"/>
          </w:tcPr>
          <w:p w14:paraId="5EA1EB52" w14:textId="77777777" w:rsidR="003C66EB" w:rsidRDefault="003C66EB">
            <w:pPr>
              <w:rPr>
                <w:rFonts w:ascii="宋体"/>
              </w:rPr>
            </w:pPr>
          </w:p>
        </w:tc>
      </w:tr>
      <w:tr w:rsidR="003C66EB" w14:paraId="5EA1EB5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B5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B55" w14:textId="77777777" w:rsidR="003C66EB" w:rsidRDefault="003C66EB">
            <w:pPr>
              <w:rPr>
                <w:rFonts w:ascii="宋体"/>
              </w:rPr>
            </w:pPr>
          </w:p>
        </w:tc>
      </w:tr>
    </w:tbl>
    <w:p w14:paraId="5EA1EB57" w14:textId="77777777" w:rsidR="003C66EB" w:rsidRDefault="00D96C4E">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Rates earned/paid on interest-earning assets and interest-bearing liabilities include the impact of hedge activities associated with our asset and liability management activities where applicable.</w:t>
      </w:r>
    </w:p>
    <w:p w14:paraId="5EA1EB58" w14:textId="77777777" w:rsidR="003C66EB" w:rsidRDefault="00D96C4E">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Negative values reflect the interest rate environment </w:t>
      </w:r>
      <w:r>
        <w:rPr>
          <w:rFonts w:ascii="Arial" w:eastAsia="宋体" w:hAnsi="Arial" w:cs="Arial"/>
          <w:color w:val="000000"/>
          <w:sz w:val="14"/>
          <w:szCs w:val="14"/>
        </w:rPr>
        <w:t>outside of the U.S. where central bank rates are below zero for several major currencies.</w:t>
      </w:r>
    </w:p>
    <w:p w14:paraId="5EA1EB59" w14:textId="77777777" w:rsidR="003C66EB" w:rsidRDefault="00D96C4E">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Reflects the impact of balance sheet netting under enforceable netting agreements of approximately $87.37 billion for the first quarter of 2021 compared to $123.9</w:t>
      </w:r>
      <w:r>
        <w:rPr>
          <w:rFonts w:ascii="Arial" w:eastAsia="宋体" w:hAnsi="Arial" w:cs="Arial"/>
          <w:color w:val="000000"/>
          <w:sz w:val="14"/>
          <w:szCs w:val="14"/>
        </w:rPr>
        <w:t>6 billion in the same period in 2020. Excluding the impact of netting, the average interest rates would be approximately 0.04% in the first quarter of 2021 compared to 0.21% in the first quarter of 2020.</w:t>
      </w:r>
    </w:p>
    <w:p w14:paraId="5EA1EB5A" w14:textId="77777777" w:rsidR="003C66EB" w:rsidRDefault="00D96C4E">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Average rate includes the impact of FX swap costs of approximately ($21) million for the first quarter of 2021 compared to ($2) million for the same period in 2020. Average rates for total interest-bearing deposits excluding the impact of FX swap costs we</w:t>
      </w:r>
      <w:r>
        <w:rPr>
          <w:rFonts w:ascii="Arial" w:eastAsia="宋体" w:hAnsi="Arial" w:cs="Arial"/>
          <w:color w:val="000000"/>
          <w:sz w:val="14"/>
          <w:szCs w:val="14"/>
        </w:rPr>
        <w:t xml:space="preserve">re (0.11)% in the first quarter of 2021 compared to 0.19% in the same period in 2020. </w:t>
      </w:r>
    </w:p>
    <w:p w14:paraId="5EA1EB5B" w14:textId="77777777" w:rsidR="003C66EB" w:rsidRDefault="00D96C4E">
      <w:pPr>
        <w:spacing w:before="60"/>
        <w:jc w:val="both"/>
      </w:pPr>
      <w:r>
        <w:rPr>
          <w:rFonts w:ascii="Arial" w:eastAsia="宋体" w:hAnsi="Arial" w:cs="Arial"/>
          <w:color w:val="000000"/>
          <w:sz w:val="9"/>
          <w:szCs w:val="9"/>
        </w:rPr>
        <w:t>(5)</w:t>
      </w:r>
      <w:r>
        <w:rPr>
          <w:rFonts w:ascii="Arial" w:eastAsia="宋体" w:hAnsi="Arial" w:cs="Arial"/>
          <w:color w:val="000000"/>
          <w:sz w:val="14"/>
          <w:szCs w:val="14"/>
        </w:rPr>
        <w:t xml:space="preserve"> Total deposits averaged $226.23 billion in the first quarter of 2021 compared to $180.16 billion in the same period in 2020.</w:t>
      </w:r>
    </w:p>
    <w:p w14:paraId="5EA1EB5C" w14:textId="77777777" w:rsidR="003C66EB" w:rsidRDefault="00D96C4E">
      <w:pPr>
        <w:spacing w:before="120"/>
        <w:ind w:firstLine="450"/>
        <w:jc w:val="both"/>
      </w:pPr>
      <w:r>
        <w:rPr>
          <w:rFonts w:ascii="Arial" w:eastAsia="宋体" w:hAnsi="Arial" w:cs="Arial"/>
          <w:color w:val="000000"/>
          <w:sz w:val="20"/>
          <w:szCs w:val="20"/>
        </w:rPr>
        <w:t>Changes in the components of interest-ea</w:t>
      </w:r>
      <w:r>
        <w:rPr>
          <w:rFonts w:ascii="Arial" w:eastAsia="宋体" w:hAnsi="Arial" w:cs="Arial"/>
          <w:color w:val="000000"/>
          <w:sz w:val="20"/>
          <w:szCs w:val="20"/>
        </w:rPr>
        <w:t>rning assets and interest-bearing liabilities are discussed in more detail below. Additional information about the components of interest income and interest expense is provided in Note 14 to the consolidated financial statements in this Form 10-Q.</w:t>
      </w:r>
    </w:p>
    <w:p w14:paraId="5EA1EB5D" w14:textId="77777777" w:rsidR="003C66EB" w:rsidRDefault="00D96C4E">
      <w:pPr>
        <w:spacing w:before="60"/>
        <w:ind w:firstLine="450"/>
        <w:jc w:val="both"/>
      </w:pPr>
      <w:r>
        <w:rPr>
          <w:rFonts w:ascii="Arial" w:eastAsia="宋体" w:hAnsi="Arial" w:cs="Arial"/>
          <w:color w:val="000000"/>
          <w:sz w:val="20"/>
          <w:szCs w:val="20"/>
        </w:rPr>
        <w:t>Average</w:t>
      </w:r>
      <w:r>
        <w:rPr>
          <w:rFonts w:ascii="Arial" w:eastAsia="宋体" w:hAnsi="Arial" w:cs="Arial"/>
          <w:color w:val="000000"/>
          <w:sz w:val="20"/>
          <w:szCs w:val="20"/>
        </w:rPr>
        <w:t xml:space="preserve"> total interest-earning assets were $254.73 billion in the first quarter of 2021 compared to $206.63 billion in the same period in 2020. The increase is primarily due to higher interest-bearing deposits with banks and investment securities.</w:t>
      </w:r>
    </w:p>
    <w:p w14:paraId="5EA1EB5E" w14:textId="77777777" w:rsidR="003C66EB" w:rsidRDefault="00D96C4E">
      <w:pPr>
        <w:spacing w:before="60"/>
        <w:ind w:firstLine="450"/>
        <w:jc w:val="both"/>
      </w:pPr>
      <w:r>
        <w:rPr>
          <w:rFonts w:ascii="Arial" w:eastAsia="宋体" w:hAnsi="Arial" w:cs="Arial"/>
          <w:color w:val="000000"/>
          <w:sz w:val="20"/>
          <w:szCs w:val="20"/>
        </w:rPr>
        <w:t>Interest-bearin</w:t>
      </w:r>
      <w:r>
        <w:rPr>
          <w:rFonts w:ascii="Arial" w:eastAsia="宋体" w:hAnsi="Arial" w:cs="Arial"/>
          <w:color w:val="000000"/>
          <w:sz w:val="20"/>
          <w:szCs w:val="20"/>
        </w:rPr>
        <w:t xml:space="preserve">g deposits with banks averaged $95.24 billion in the first quarter of 2021 compared to $67.12 billion in the same period in 2020. These deposits primarily reflect our maintenance of cash balances at the Federal Reserve, the European Central Bank (ECB) and </w:t>
      </w:r>
      <w:r>
        <w:rPr>
          <w:rFonts w:ascii="Arial" w:eastAsia="宋体" w:hAnsi="Arial" w:cs="Arial"/>
          <w:color w:val="000000"/>
          <w:sz w:val="20"/>
          <w:szCs w:val="20"/>
        </w:rPr>
        <w:t>other non-U.S. central banks. The higher levels of average cash balances with central banks reflect higher levels of client deposits.</w:t>
      </w:r>
    </w:p>
    <w:p w14:paraId="5EA1EB5F" w14:textId="77777777" w:rsidR="003C66EB" w:rsidRDefault="00D96C4E">
      <w:pPr>
        <w:ind w:firstLine="450"/>
        <w:jc w:val="right"/>
      </w:pPr>
      <w:r>
        <w:rPr>
          <w:rFonts w:ascii="Arial" w:eastAsia="宋体" w:hAnsi="Arial" w:cs="Arial"/>
          <w:color w:val="000000"/>
          <w:sz w:val="18"/>
          <w:szCs w:val="18"/>
        </w:rPr>
        <w:t>State Street Corporation | 14</w:t>
      </w:r>
    </w:p>
    <w:p w14:paraId="5EA1EB60" w14:textId="77777777" w:rsidR="003C66EB" w:rsidRDefault="003C66EB">
      <w:pPr>
        <w:ind w:firstLine="450"/>
        <w:jc w:val="center"/>
      </w:pPr>
    </w:p>
    <w:p w14:paraId="5EA1EB61" w14:textId="77777777" w:rsidR="003C66EB" w:rsidRDefault="00D96C4E">
      <w:r>
        <w:pict w14:anchorId="5EA287BE">
          <v:rect id="_x0000_i1038" style="width:415.3pt;height:1.5pt" o:hralign="center" o:hrstd="t" o:hr="t" fillcolor="#a0a0a0" stroked="f"/>
        </w:pict>
      </w:r>
    </w:p>
    <w:p w14:paraId="5EA1EB62"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B63" w14:textId="77777777" w:rsidR="003C66EB" w:rsidRDefault="00D96C4E">
      <w:pPr>
        <w:ind w:firstLine="450"/>
        <w:jc w:val="center"/>
      </w:pPr>
      <w:r>
        <w:rPr>
          <w:rFonts w:ascii="Arial" w:eastAsia="宋体" w:hAnsi="Arial" w:cs="Arial"/>
          <w:b/>
          <w:bCs/>
          <w:color w:val="000000"/>
          <w:sz w:val="20"/>
          <w:szCs w:val="20"/>
        </w:rPr>
        <w:t>AND RESULTS OF OPERATIONS</w:t>
      </w:r>
    </w:p>
    <w:p w14:paraId="5EA1EB64" w14:textId="77777777" w:rsidR="003C66EB" w:rsidRDefault="00D96C4E">
      <w:pPr>
        <w:spacing w:before="60"/>
        <w:ind w:firstLine="450"/>
        <w:jc w:val="both"/>
        <w:textAlignment w:val="top"/>
      </w:pPr>
      <w:r>
        <w:rPr>
          <w:rFonts w:ascii="Arial" w:eastAsia="宋体" w:hAnsi="Arial" w:cs="Arial"/>
          <w:color w:val="000000"/>
          <w:sz w:val="20"/>
          <w:szCs w:val="20"/>
        </w:rPr>
        <w:t>Sec</w:t>
      </w:r>
      <w:r>
        <w:rPr>
          <w:rFonts w:ascii="Arial" w:eastAsia="宋体" w:hAnsi="Arial" w:cs="Arial"/>
          <w:color w:val="000000"/>
          <w:sz w:val="20"/>
          <w:szCs w:val="20"/>
        </w:rPr>
        <w:t>urities purchased under resale agreements averaged $4.57 billion in the first quarter of 2021 compared to $1.81 billion in the same period in 2020. The impact of balance sheet netting decreased to $87.37 billion on average in the first quarter of 2021</w:t>
      </w:r>
      <w:r>
        <w:rPr>
          <w:rFonts w:ascii="Arial" w:eastAsia="宋体" w:hAnsi="Arial" w:cs="Arial"/>
          <w:color w:val="000000"/>
          <w:sz w:val="13"/>
          <w:szCs w:val="13"/>
        </w:rPr>
        <w:t xml:space="preserve"> </w:t>
      </w:r>
      <w:r>
        <w:rPr>
          <w:rFonts w:ascii="Arial" w:eastAsia="宋体" w:hAnsi="Arial" w:cs="Arial"/>
          <w:color w:val="000000"/>
          <w:sz w:val="20"/>
          <w:szCs w:val="20"/>
        </w:rPr>
        <w:t>compared to $123.96 billion in the same period in 2020. We maintain an agreement with Fixed Income Clearing Corporation (FICC), a clearing organization that enables us to net all securities sold under repurchase agreements against those purchased under res</w:t>
      </w:r>
      <w:r>
        <w:rPr>
          <w:rFonts w:ascii="Arial" w:eastAsia="宋体" w:hAnsi="Arial" w:cs="Arial"/>
          <w:color w:val="000000"/>
          <w:sz w:val="20"/>
          <w:szCs w:val="20"/>
        </w:rPr>
        <w:t>ale agreements with counterparties that are also members of the clearing organization. The decrease in average balance sheet netting in the first quarter of 2021 compared to the same period in 2020 is primarily due to lower FICC repo volumes from an increa</w:t>
      </w:r>
      <w:r>
        <w:rPr>
          <w:rFonts w:ascii="Arial" w:eastAsia="宋体" w:hAnsi="Arial" w:cs="Arial"/>
          <w:color w:val="000000"/>
          <w:sz w:val="20"/>
          <w:szCs w:val="20"/>
        </w:rPr>
        <w:t>sed cash supply and lower short-term interest rates driven by the COVID-19 pandemic stimulus measures and Federal Reserve intervention.</w:t>
      </w:r>
    </w:p>
    <w:p w14:paraId="5EA1EB65" w14:textId="77777777" w:rsidR="003C66EB" w:rsidRDefault="00D96C4E">
      <w:pPr>
        <w:spacing w:before="60"/>
        <w:ind w:firstLine="450"/>
        <w:jc w:val="both"/>
        <w:textAlignment w:val="top"/>
      </w:pPr>
      <w:r>
        <w:rPr>
          <w:rFonts w:ascii="Arial" w:eastAsia="宋体" w:hAnsi="Arial" w:cs="Arial"/>
          <w:color w:val="000000"/>
          <w:sz w:val="20"/>
          <w:szCs w:val="20"/>
        </w:rPr>
        <w:t>We have been a sponsoring member within FICC since 2005 and continue to expand our client base as program eligibility pa</w:t>
      </w:r>
      <w:r>
        <w:rPr>
          <w:rFonts w:ascii="Arial" w:eastAsia="宋体" w:hAnsi="Arial" w:cs="Arial"/>
          <w:color w:val="000000"/>
          <w:sz w:val="20"/>
          <w:szCs w:val="20"/>
        </w:rPr>
        <w:t>rameters broaden. We enter into repurchase and resale transactions in eligible securities with sponsored clients and with other FICC members and, pursuant to FICC Government Securities Division rules, submit, novate and net the transactions. We may sponsor</w:t>
      </w:r>
      <w:r>
        <w:rPr>
          <w:rFonts w:ascii="Arial" w:eastAsia="宋体" w:hAnsi="Arial" w:cs="Arial"/>
          <w:color w:val="000000"/>
          <w:sz w:val="20"/>
          <w:szCs w:val="20"/>
        </w:rPr>
        <w:t xml:space="preserve"> clients to clear their eligible repurchase transactions with FICC, backed by our guarantee to FICC of the prompt and full payment and performance of our sponsored member clients’ respective obligations. We obtain a security interest from our sponsored cli</w:t>
      </w:r>
      <w:r>
        <w:rPr>
          <w:rFonts w:ascii="Arial" w:eastAsia="宋体" w:hAnsi="Arial" w:cs="Arial"/>
          <w:color w:val="000000"/>
          <w:sz w:val="20"/>
          <w:szCs w:val="20"/>
        </w:rPr>
        <w:t>ents in the high quality securities collateral that they receive, which is designed to mitigate our potential exposure to FICC.</w:t>
      </w:r>
    </w:p>
    <w:p w14:paraId="5EA1EB66" w14:textId="77777777" w:rsidR="003C66EB" w:rsidRDefault="00D96C4E">
      <w:pPr>
        <w:spacing w:before="60"/>
        <w:ind w:firstLine="450"/>
        <w:jc w:val="both"/>
        <w:textAlignment w:val="top"/>
      </w:pPr>
      <w:r>
        <w:rPr>
          <w:rFonts w:ascii="Arial" w:eastAsia="宋体" w:hAnsi="Arial" w:cs="Arial"/>
          <w:color w:val="000000"/>
          <w:sz w:val="20"/>
          <w:szCs w:val="20"/>
        </w:rPr>
        <w:t>Average investment securities increased to $107.81 billion in the first quarter of 2021 from $97.56 billion in the same period i</w:t>
      </w:r>
      <w:r>
        <w:rPr>
          <w:rFonts w:ascii="Arial" w:eastAsia="宋体" w:hAnsi="Arial" w:cs="Arial"/>
          <w:color w:val="000000"/>
          <w:sz w:val="20"/>
          <w:szCs w:val="20"/>
        </w:rPr>
        <w:t>n 2020 primarily driven by MBS balances and foreign government bonds. The growth reflects our deployment of higher structural deposit levels that resulted from the COVID-19 pandemic.</w:t>
      </w:r>
    </w:p>
    <w:p w14:paraId="5EA1EB67" w14:textId="77777777" w:rsidR="003C66EB" w:rsidRDefault="00D96C4E">
      <w:pPr>
        <w:spacing w:before="60"/>
        <w:ind w:firstLine="450"/>
        <w:jc w:val="both"/>
        <w:textAlignment w:val="top"/>
      </w:pPr>
      <w:r>
        <w:rPr>
          <w:rFonts w:ascii="Arial" w:eastAsia="宋体" w:hAnsi="Arial" w:cs="Arial"/>
          <w:color w:val="000000"/>
          <w:sz w:val="20"/>
          <w:szCs w:val="20"/>
        </w:rPr>
        <w:t>Loans averaged $28.03 billion in the first quarter of 2021 compared to $2</w:t>
      </w:r>
      <w:r>
        <w:rPr>
          <w:rFonts w:ascii="Arial" w:eastAsia="宋体" w:hAnsi="Arial" w:cs="Arial"/>
          <w:color w:val="000000"/>
          <w:sz w:val="20"/>
          <w:szCs w:val="20"/>
        </w:rPr>
        <w:t>8.47 billion in the same period in 2020. Average core loans, which exclude overdrafts and highlight our efforts to grow our lending portfolio, averaged $23.80 billion in the first quarter of 2021 compared to $22.18 billion in the same period in 2020.</w:t>
      </w:r>
    </w:p>
    <w:p w14:paraId="5EA1EB68" w14:textId="77777777" w:rsidR="003C66EB" w:rsidRDefault="00D96C4E">
      <w:pPr>
        <w:spacing w:before="60"/>
        <w:ind w:firstLine="450"/>
        <w:jc w:val="both"/>
        <w:textAlignment w:val="top"/>
      </w:pPr>
      <w:r>
        <w:rPr>
          <w:rFonts w:ascii="Arial" w:eastAsia="宋体" w:hAnsi="Arial" w:cs="Arial"/>
          <w:color w:val="000000"/>
          <w:sz w:val="20"/>
          <w:szCs w:val="20"/>
        </w:rPr>
        <w:t>Avera</w:t>
      </w:r>
      <w:r>
        <w:rPr>
          <w:rFonts w:ascii="Arial" w:eastAsia="宋体" w:hAnsi="Arial" w:cs="Arial"/>
          <w:color w:val="000000"/>
          <w:sz w:val="20"/>
          <w:szCs w:val="20"/>
        </w:rPr>
        <w:t>ge other interest-earning assets, largely associated with our enhanced custody business, increased to $18.30 billion in the first quarter of 2021 from $10.76 billion in the same period in 2020, primarily driven by an increase in the level of cash collatera</w:t>
      </w:r>
      <w:r>
        <w:rPr>
          <w:rFonts w:ascii="Arial" w:eastAsia="宋体" w:hAnsi="Arial" w:cs="Arial"/>
          <w:color w:val="000000"/>
          <w:sz w:val="20"/>
          <w:szCs w:val="20"/>
        </w:rPr>
        <w:t xml:space="preserve">l posted. Enhanced custody is our securities financing business where we act as principal with respect to our custody clients and generate securities finance revenue. The NII earned on these </w:t>
      </w:r>
    </w:p>
    <w:p w14:paraId="5EA1EB69" w14:textId="77777777" w:rsidR="003C66EB" w:rsidRDefault="00D96C4E">
      <w:pPr>
        <w:spacing w:before="60"/>
        <w:jc w:val="both"/>
        <w:textAlignment w:val="top"/>
      </w:pPr>
      <w:r>
        <w:rPr>
          <w:rFonts w:ascii="Arial" w:eastAsia="宋体" w:hAnsi="Arial" w:cs="Arial"/>
          <w:color w:val="000000"/>
          <w:sz w:val="20"/>
          <w:szCs w:val="20"/>
        </w:rPr>
        <w:t>transactions is generally lower than the interest earned on othe</w:t>
      </w:r>
      <w:r>
        <w:rPr>
          <w:rFonts w:ascii="Arial" w:eastAsia="宋体" w:hAnsi="Arial" w:cs="Arial"/>
          <w:color w:val="000000"/>
          <w:sz w:val="20"/>
          <w:szCs w:val="20"/>
        </w:rPr>
        <w:t>r alternative investments.</w:t>
      </w:r>
    </w:p>
    <w:p w14:paraId="5EA1EB6A" w14:textId="77777777" w:rsidR="003C66EB" w:rsidRDefault="00D96C4E">
      <w:pPr>
        <w:spacing w:before="60"/>
        <w:ind w:firstLine="450"/>
        <w:jc w:val="both"/>
        <w:textAlignment w:val="top"/>
      </w:pPr>
      <w:r>
        <w:rPr>
          <w:rFonts w:ascii="Arial" w:eastAsia="宋体" w:hAnsi="Arial" w:cs="Arial"/>
          <w:color w:val="000000"/>
          <w:sz w:val="20"/>
          <w:szCs w:val="20"/>
        </w:rPr>
        <w:t>Aggregate average total interest-bearing deposits increased to $179.41 billion in the first quarter of 2021 from $144.59 billion in the same period in 2020. Average U.S. interest-bearing deposits increased as a result of the mark</w:t>
      </w:r>
      <w:r>
        <w:rPr>
          <w:rFonts w:ascii="Arial" w:eastAsia="宋体" w:hAnsi="Arial" w:cs="Arial"/>
          <w:color w:val="000000"/>
          <w:sz w:val="20"/>
          <w:szCs w:val="20"/>
        </w:rPr>
        <w:t xml:space="preserve">et uncertainty due to the COVID-19 pandemic, U.S. monetary policy and the level of global interest rates. We expect deposits to remain elevated within the current environment of low-interest rates and continued expansion of the money supply by the Federal </w:t>
      </w:r>
      <w:r>
        <w:rPr>
          <w:rFonts w:ascii="Arial" w:eastAsia="宋体" w:hAnsi="Arial" w:cs="Arial"/>
          <w:color w:val="000000"/>
          <w:sz w:val="20"/>
          <w:szCs w:val="20"/>
        </w:rPr>
        <w:t>Reserve. Future deposit levels will be influenced by the underlying asset servicing business, client deposit</w:t>
      </w:r>
      <w:r>
        <w:rPr>
          <w:rFonts w:ascii="Times New Roman" w:eastAsia="宋体" w:hAnsi="Times New Roman"/>
          <w:color w:val="000000"/>
          <w:sz w:val="22"/>
          <w:szCs w:val="22"/>
        </w:rPr>
        <w:t xml:space="preserve"> </w:t>
      </w:r>
      <w:r>
        <w:rPr>
          <w:rFonts w:ascii="Arial" w:eastAsia="宋体" w:hAnsi="Arial" w:cs="Arial"/>
          <w:color w:val="000000"/>
          <w:sz w:val="20"/>
          <w:szCs w:val="20"/>
        </w:rPr>
        <w:t>behavior and market conditions, including the general levels of U.S. and non-U.S. interest rates.</w:t>
      </w:r>
    </w:p>
    <w:p w14:paraId="5EA1EB6B" w14:textId="77777777" w:rsidR="003C66EB" w:rsidRDefault="00D96C4E">
      <w:pPr>
        <w:spacing w:before="60"/>
        <w:ind w:firstLine="450"/>
        <w:jc w:val="both"/>
        <w:textAlignment w:val="top"/>
      </w:pPr>
      <w:r>
        <w:rPr>
          <w:rFonts w:ascii="Arial" w:eastAsia="宋体" w:hAnsi="Arial" w:cs="Arial"/>
          <w:color w:val="000000"/>
          <w:sz w:val="20"/>
          <w:szCs w:val="20"/>
        </w:rPr>
        <w:t>Average other short-term borrowings, typically as</w:t>
      </w:r>
      <w:r>
        <w:rPr>
          <w:rFonts w:ascii="Arial" w:eastAsia="宋体" w:hAnsi="Arial" w:cs="Arial"/>
          <w:color w:val="000000"/>
          <w:sz w:val="20"/>
          <w:szCs w:val="20"/>
        </w:rPr>
        <w:t>sociated with our tax-exempt investment program, decreased to $0.76 billion in the first quarter of 2021 from $2.96 billion in the same period in 2020.</w:t>
      </w:r>
    </w:p>
    <w:p w14:paraId="5EA1EB6C" w14:textId="77777777" w:rsidR="003C66EB" w:rsidRDefault="00D96C4E">
      <w:pPr>
        <w:spacing w:before="60"/>
        <w:ind w:firstLine="450"/>
        <w:jc w:val="both"/>
        <w:textAlignment w:val="top"/>
      </w:pPr>
      <w:r>
        <w:rPr>
          <w:rFonts w:ascii="Arial" w:eastAsia="宋体" w:hAnsi="Arial" w:cs="Arial"/>
          <w:color w:val="000000"/>
          <w:sz w:val="20"/>
          <w:szCs w:val="20"/>
        </w:rPr>
        <w:t>Average long-term debt was $13.82 billion in the first quarter of 2021 compared to $13.29 billion in the</w:t>
      </w:r>
      <w:r>
        <w:rPr>
          <w:rFonts w:ascii="Arial" w:eastAsia="宋体" w:hAnsi="Arial" w:cs="Arial"/>
          <w:color w:val="000000"/>
          <w:sz w:val="20"/>
          <w:szCs w:val="20"/>
        </w:rPr>
        <w:t xml:space="preserve"> same period in 2020. These amounts reflect issuances, redemptions and maturities of senior debt during the respective periods, including the issuance of $850 million aggregate principal amount of senior subordinated debt in March 2021. </w:t>
      </w:r>
    </w:p>
    <w:p w14:paraId="5EA1EB6D" w14:textId="77777777" w:rsidR="003C66EB" w:rsidRDefault="00D96C4E">
      <w:pPr>
        <w:spacing w:before="60"/>
        <w:ind w:firstLine="450"/>
        <w:jc w:val="both"/>
        <w:textAlignment w:val="top"/>
      </w:pPr>
      <w:r>
        <w:rPr>
          <w:rFonts w:ascii="Arial" w:eastAsia="宋体" w:hAnsi="Arial" w:cs="Arial"/>
          <w:color w:val="000000"/>
          <w:sz w:val="20"/>
          <w:szCs w:val="20"/>
        </w:rPr>
        <w:t>Average other inte</w:t>
      </w:r>
      <w:r>
        <w:rPr>
          <w:rFonts w:ascii="Arial" w:eastAsia="宋体" w:hAnsi="Arial" w:cs="Arial"/>
          <w:color w:val="000000"/>
          <w:sz w:val="20"/>
          <w:szCs w:val="20"/>
        </w:rPr>
        <w:t>rest-bearing liabilities were $4.85 billion in the first quarter of 2021 compared to $3.43 billion in the same period in 2020. Other interest-bearing liabilities primarily reflect our level of cash collateral received from clients in connection with our en</w:t>
      </w:r>
      <w:r>
        <w:rPr>
          <w:rFonts w:ascii="Arial" w:eastAsia="宋体" w:hAnsi="Arial" w:cs="Arial"/>
          <w:color w:val="000000"/>
          <w:sz w:val="20"/>
          <w:szCs w:val="20"/>
        </w:rPr>
        <w:t>hanced custody business, which is presented on a net basis where we have enforceable netting agreements.</w:t>
      </w:r>
    </w:p>
    <w:p w14:paraId="5EA1EB6E" w14:textId="77777777" w:rsidR="003C66EB" w:rsidRDefault="00D96C4E">
      <w:pPr>
        <w:spacing w:before="60"/>
        <w:ind w:firstLine="450"/>
        <w:jc w:val="both"/>
        <w:textAlignment w:val="top"/>
      </w:pPr>
      <w:r>
        <w:rPr>
          <w:rFonts w:ascii="Arial" w:eastAsia="宋体" w:hAnsi="Arial" w:cs="Arial"/>
          <w:color w:val="000000"/>
          <w:sz w:val="20"/>
          <w:szCs w:val="20"/>
        </w:rPr>
        <w:t>Several factors could affect future levels of NII and NIM, including the volume and mix of client deposits and funding sources; central bank actions; b</w:t>
      </w:r>
      <w:r>
        <w:rPr>
          <w:rFonts w:ascii="Arial" w:eastAsia="宋体" w:hAnsi="Arial" w:cs="Arial"/>
          <w:color w:val="000000"/>
          <w:sz w:val="20"/>
          <w:szCs w:val="20"/>
        </w:rPr>
        <w:t>alance sheet management activities; changes in the level and slope of U.S. and non-U.S. interest rates; revised or proposed regulatory capital or liquidity standards, or interpretations of those standards; the yields earned on securities purchased compared</w:t>
      </w:r>
      <w:r>
        <w:rPr>
          <w:rFonts w:ascii="Arial" w:eastAsia="宋体" w:hAnsi="Arial" w:cs="Arial"/>
          <w:color w:val="000000"/>
          <w:sz w:val="20"/>
          <w:szCs w:val="20"/>
        </w:rPr>
        <w:t xml:space="preserve"> to the yields earned on securities sold or matured; and changes in the type and amount of credit or other loans we extend.</w:t>
      </w:r>
    </w:p>
    <w:p w14:paraId="5EA1EB6F" w14:textId="77777777" w:rsidR="003C66EB" w:rsidRDefault="00D96C4E">
      <w:pPr>
        <w:spacing w:before="60"/>
        <w:ind w:firstLine="450"/>
        <w:jc w:val="both"/>
        <w:textAlignment w:val="top"/>
      </w:pPr>
      <w:r>
        <w:rPr>
          <w:rFonts w:ascii="Arial" w:eastAsia="宋体" w:hAnsi="Arial" w:cs="Arial"/>
          <w:color w:val="000000"/>
          <w:sz w:val="20"/>
          <w:szCs w:val="20"/>
        </w:rPr>
        <w:t>Based on market conditions and other factors, including regulatory standards, we continue to reinvest the majority of the proceeds from pay-downs and maturities of investment securities in highly-rated U.S. and non-U.S. securities, such as federal agency M</w:t>
      </w:r>
      <w:r>
        <w:rPr>
          <w:rFonts w:ascii="Arial" w:eastAsia="宋体" w:hAnsi="Arial" w:cs="Arial"/>
          <w:color w:val="000000"/>
          <w:sz w:val="20"/>
          <w:szCs w:val="20"/>
        </w:rPr>
        <w:t xml:space="preserve">BS, sovereign debt securities and U.S. Treasury and agency securities. The pace at which we reinvest and the types of investment securities purchased will depend on the impact of market conditions, the </w:t>
      </w:r>
    </w:p>
    <w:p w14:paraId="5EA1EB70" w14:textId="77777777" w:rsidR="003C66EB" w:rsidRDefault="00D96C4E">
      <w:pPr>
        <w:ind w:firstLine="450"/>
        <w:jc w:val="right"/>
      </w:pPr>
      <w:r>
        <w:rPr>
          <w:rFonts w:ascii="Arial" w:eastAsia="宋体" w:hAnsi="Arial" w:cs="Arial"/>
          <w:color w:val="000000"/>
          <w:sz w:val="18"/>
          <w:szCs w:val="18"/>
        </w:rPr>
        <w:t>State Street Corporation | 15</w:t>
      </w:r>
    </w:p>
    <w:p w14:paraId="5EA1EB71" w14:textId="77777777" w:rsidR="003C66EB" w:rsidRDefault="003C66EB">
      <w:pPr>
        <w:ind w:firstLine="450"/>
        <w:jc w:val="center"/>
      </w:pPr>
    </w:p>
    <w:p w14:paraId="5EA1EB72" w14:textId="77777777" w:rsidR="003C66EB" w:rsidRDefault="00D96C4E">
      <w:r>
        <w:pict w14:anchorId="5EA287BF">
          <v:rect id="_x0000_i1039" style="width:415.3pt;height:1.5pt" o:hralign="center" o:hrstd="t" o:hr="t" fillcolor="#a0a0a0" stroked="f"/>
        </w:pict>
      </w:r>
    </w:p>
    <w:p w14:paraId="5EA1EB73" w14:textId="77777777" w:rsidR="003C66EB" w:rsidRDefault="00D96C4E">
      <w:pPr>
        <w:ind w:firstLine="450"/>
        <w:jc w:val="center"/>
      </w:pPr>
      <w:r>
        <w:rPr>
          <w:rFonts w:ascii="Arial" w:eastAsia="宋体" w:hAnsi="Arial" w:cs="Arial"/>
          <w:b/>
          <w:bCs/>
          <w:color w:val="000000"/>
          <w:sz w:val="20"/>
          <w:szCs w:val="20"/>
        </w:rPr>
        <w:t>MANAGEMENT’S DISCUSS</w:t>
      </w:r>
      <w:r>
        <w:rPr>
          <w:rFonts w:ascii="Arial" w:eastAsia="宋体" w:hAnsi="Arial" w:cs="Arial"/>
          <w:b/>
          <w:bCs/>
          <w:color w:val="000000"/>
          <w:sz w:val="20"/>
          <w:szCs w:val="20"/>
        </w:rPr>
        <w:t>ION AND ANALYSIS OF FINANCIAL CONDITION</w:t>
      </w:r>
    </w:p>
    <w:p w14:paraId="5EA1EB74" w14:textId="77777777" w:rsidR="003C66EB" w:rsidRDefault="00D96C4E">
      <w:pPr>
        <w:ind w:firstLine="450"/>
        <w:jc w:val="center"/>
      </w:pPr>
      <w:r>
        <w:rPr>
          <w:rFonts w:ascii="Arial" w:eastAsia="宋体" w:hAnsi="Arial" w:cs="Arial"/>
          <w:b/>
          <w:bCs/>
          <w:color w:val="000000"/>
          <w:sz w:val="20"/>
          <w:szCs w:val="20"/>
        </w:rPr>
        <w:t>AND RESULTS OF OPERATIONS</w:t>
      </w:r>
    </w:p>
    <w:p w14:paraId="5EA1EB75" w14:textId="77777777" w:rsidR="003C66EB" w:rsidRDefault="00D96C4E">
      <w:pPr>
        <w:spacing w:before="60"/>
        <w:jc w:val="both"/>
        <w:textAlignment w:val="top"/>
      </w:pPr>
      <w:r>
        <w:rPr>
          <w:rFonts w:ascii="Arial" w:eastAsia="宋体" w:hAnsi="Arial" w:cs="Arial"/>
          <w:color w:val="000000"/>
          <w:sz w:val="20"/>
          <w:szCs w:val="20"/>
        </w:rPr>
        <w:t>implementation of regulatory standards, including interpretation of those standards and other factors over time. We expect these factors and the levels of global interest rates to impact our</w:t>
      </w:r>
      <w:r>
        <w:rPr>
          <w:rFonts w:ascii="Arial" w:eastAsia="宋体" w:hAnsi="Arial" w:cs="Arial"/>
          <w:color w:val="000000"/>
          <w:sz w:val="20"/>
          <w:szCs w:val="20"/>
        </w:rPr>
        <w:t xml:space="preserve"> reinvestment program and future levels of NII and NIM.</w:t>
      </w:r>
    </w:p>
    <w:p w14:paraId="5EA1EB76" w14:textId="77777777" w:rsidR="003C66EB" w:rsidRDefault="00D96C4E">
      <w:pPr>
        <w:spacing w:before="90"/>
        <w:textAlignment w:val="top"/>
      </w:pPr>
      <w:r>
        <w:rPr>
          <w:rFonts w:ascii="Arial" w:eastAsia="宋体" w:hAnsi="Arial" w:cs="Arial"/>
          <w:b/>
          <w:bCs/>
          <w:color w:val="000000"/>
          <w:sz w:val="20"/>
          <w:szCs w:val="20"/>
        </w:rPr>
        <w:t>Provision for Credit Losses</w:t>
      </w:r>
    </w:p>
    <w:p w14:paraId="5EA1EB77" w14:textId="77777777" w:rsidR="003C66EB" w:rsidRDefault="00D96C4E">
      <w:pPr>
        <w:spacing w:before="60"/>
        <w:ind w:firstLine="450"/>
        <w:jc w:val="both"/>
        <w:textAlignment w:val="top"/>
      </w:pPr>
      <w:r>
        <w:rPr>
          <w:rFonts w:ascii="Arial" w:eastAsia="宋体" w:hAnsi="Arial" w:cs="Arial"/>
          <w:color w:val="000000"/>
          <w:sz w:val="20"/>
          <w:szCs w:val="20"/>
        </w:rPr>
        <w:t>The provision for credit losses was a $9 million reserve release in the first quarter of 2021, which reflects a shift in management’s economic outlook toward economic expan</w:t>
      </w:r>
      <w:r>
        <w:rPr>
          <w:rFonts w:ascii="Arial" w:eastAsia="宋体" w:hAnsi="Arial" w:cs="Arial"/>
          <w:color w:val="000000"/>
          <w:sz w:val="20"/>
          <w:szCs w:val="20"/>
        </w:rPr>
        <w:t>sion and limited negative credit migration within our loan portfolio. This compares to a $36 million provision for credit losses in the first quarter of 2020.</w:t>
      </w:r>
    </w:p>
    <w:p w14:paraId="5EA1EB78" w14:textId="77777777" w:rsidR="003C66EB" w:rsidRDefault="00D96C4E">
      <w:pPr>
        <w:spacing w:before="60"/>
        <w:ind w:firstLine="450"/>
        <w:jc w:val="both"/>
        <w:textAlignment w:val="top"/>
      </w:pPr>
      <w:r>
        <w:rPr>
          <w:rFonts w:ascii="Arial" w:eastAsia="宋体" w:hAnsi="Arial" w:cs="Arial"/>
          <w:color w:val="000000"/>
          <w:sz w:val="20"/>
          <w:szCs w:val="20"/>
        </w:rPr>
        <w:t>Additional information is provided under “Loans” in "Financial Condition" in this Management's Di</w:t>
      </w:r>
      <w:r>
        <w:rPr>
          <w:rFonts w:ascii="Arial" w:eastAsia="宋体" w:hAnsi="Arial" w:cs="Arial"/>
          <w:color w:val="000000"/>
          <w:sz w:val="20"/>
          <w:szCs w:val="20"/>
        </w:rPr>
        <w:t>scussion and Analysis and in Note 4 to the consolidated financial statements in this Form 10-Q.</w:t>
      </w:r>
    </w:p>
    <w:p w14:paraId="5EA1EB79" w14:textId="77777777" w:rsidR="003C66EB" w:rsidRDefault="00D96C4E">
      <w:pPr>
        <w:spacing w:before="90"/>
        <w:textAlignment w:val="top"/>
      </w:pPr>
      <w:r>
        <w:rPr>
          <w:rFonts w:ascii="Arial" w:eastAsia="宋体" w:hAnsi="Arial" w:cs="Arial"/>
          <w:b/>
          <w:bCs/>
          <w:color w:val="000000"/>
          <w:sz w:val="20"/>
          <w:szCs w:val="20"/>
        </w:rPr>
        <w:t>Expenses</w:t>
      </w:r>
    </w:p>
    <w:p w14:paraId="5EA1EB7A" w14:textId="77777777" w:rsidR="003C66EB" w:rsidRDefault="00D96C4E">
      <w:pPr>
        <w:spacing w:before="60" w:after="60"/>
        <w:ind w:firstLine="450"/>
        <w:jc w:val="both"/>
        <w:textAlignment w:val="top"/>
      </w:pPr>
      <w:r>
        <w:rPr>
          <w:rFonts w:ascii="Arial" w:eastAsia="宋体" w:hAnsi="Arial" w:cs="Arial"/>
          <w:color w:val="000000"/>
          <w:sz w:val="20"/>
          <w:szCs w:val="20"/>
        </w:rPr>
        <w:t>Table 8: Expenses, provides the breakout of expenses for the first quarters of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2827"/>
        <w:gridCol w:w="38"/>
        <w:gridCol w:w="93"/>
        <w:gridCol w:w="1614"/>
        <w:gridCol w:w="36"/>
        <w:gridCol w:w="36"/>
        <w:gridCol w:w="40"/>
        <w:gridCol w:w="36"/>
        <w:gridCol w:w="93"/>
        <w:gridCol w:w="1614"/>
        <w:gridCol w:w="36"/>
        <w:gridCol w:w="36"/>
        <w:gridCol w:w="36"/>
        <w:gridCol w:w="36"/>
        <w:gridCol w:w="40"/>
        <w:gridCol w:w="36"/>
        <w:gridCol w:w="37"/>
        <w:gridCol w:w="1261"/>
        <w:gridCol w:w="136"/>
        <w:gridCol w:w="36"/>
        <w:gridCol w:w="36"/>
        <w:gridCol w:w="36"/>
        <w:gridCol w:w="36"/>
        <w:gridCol w:w="36"/>
        <w:gridCol w:w="36"/>
      </w:tblGrid>
      <w:tr w:rsidR="003C66EB" w14:paraId="5EA1EB91" w14:textId="77777777">
        <w:tc>
          <w:tcPr>
            <w:tcW w:w="50" w:type="pct"/>
            <w:shd w:val="clear" w:color="auto" w:fill="auto"/>
          </w:tcPr>
          <w:p w14:paraId="5EA1EB7B" w14:textId="77777777" w:rsidR="003C66EB" w:rsidRDefault="003C66EB">
            <w:pPr>
              <w:rPr>
                <w:rFonts w:ascii="宋体"/>
              </w:rPr>
            </w:pPr>
          </w:p>
        </w:tc>
        <w:tc>
          <w:tcPr>
            <w:tcW w:w="1784" w:type="pct"/>
            <w:shd w:val="clear" w:color="auto" w:fill="auto"/>
          </w:tcPr>
          <w:p w14:paraId="5EA1EB7C" w14:textId="77777777" w:rsidR="003C66EB" w:rsidRDefault="003C66EB">
            <w:pPr>
              <w:rPr>
                <w:rFonts w:ascii="宋体"/>
              </w:rPr>
            </w:pPr>
          </w:p>
        </w:tc>
        <w:tc>
          <w:tcPr>
            <w:tcW w:w="5" w:type="pct"/>
            <w:shd w:val="clear" w:color="auto" w:fill="auto"/>
          </w:tcPr>
          <w:p w14:paraId="5EA1EB7D" w14:textId="77777777" w:rsidR="003C66EB" w:rsidRDefault="003C66EB">
            <w:pPr>
              <w:rPr>
                <w:rFonts w:ascii="宋体"/>
              </w:rPr>
            </w:pPr>
          </w:p>
        </w:tc>
        <w:tc>
          <w:tcPr>
            <w:tcW w:w="50" w:type="pct"/>
            <w:shd w:val="clear" w:color="auto" w:fill="auto"/>
          </w:tcPr>
          <w:p w14:paraId="5EA1EB7E" w14:textId="77777777" w:rsidR="003C66EB" w:rsidRDefault="003C66EB">
            <w:pPr>
              <w:rPr>
                <w:rFonts w:ascii="宋体"/>
              </w:rPr>
            </w:pPr>
          </w:p>
        </w:tc>
        <w:tc>
          <w:tcPr>
            <w:tcW w:w="1029" w:type="pct"/>
            <w:shd w:val="clear" w:color="auto" w:fill="auto"/>
          </w:tcPr>
          <w:p w14:paraId="5EA1EB7F" w14:textId="77777777" w:rsidR="003C66EB" w:rsidRDefault="003C66EB">
            <w:pPr>
              <w:rPr>
                <w:rFonts w:ascii="宋体"/>
              </w:rPr>
            </w:pPr>
          </w:p>
        </w:tc>
        <w:tc>
          <w:tcPr>
            <w:tcW w:w="5" w:type="pct"/>
            <w:shd w:val="clear" w:color="auto" w:fill="auto"/>
          </w:tcPr>
          <w:p w14:paraId="5EA1EB80" w14:textId="77777777" w:rsidR="003C66EB" w:rsidRDefault="003C66EB">
            <w:pPr>
              <w:rPr>
                <w:rFonts w:ascii="宋体"/>
              </w:rPr>
            </w:pPr>
          </w:p>
        </w:tc>
        <w:tc>
          <w:tcPr>
            <w:tcW w:w="5" w:type="pct"/>
            <w:shd w:val="clear" w:color="auto" w:fill="auto"/>
          </w:tcPr>
          <w:p w14:paraId="5EA1EB81" w14:textId="77777777" w:rsidR="003C66EB" w:rsidRDefault="003C66EB">
            <w:pPr>
              <w:rPr>
                <w:rFonts w:ascii="宋体"/>
              </w:rPr>
            </w:pPr>
          </w:p>
        </w:tc>
        <w:tc>
          <w:tcPr>
            <w:tcW w:w="52" w:type="pct"/>
            <w:shd w:val="clear" w:color="auto" w:fill="auto"/>
          </w:tcPr>
          <w:p w14:paraId="5EA1EB82" w14:textId="77777777" w:rsidR="003C66EB" w:rsidRDefault="003C66EB">
            <w:pPr>
              <w:rPr>
                <w:rFonts w:ascii="宋体"/>
              </w:rPr>
            </w:pPr>
          </w:p>
        </w:tc>
        <w:tc>
          <w:tcPr>
            <w:tcW w:w="5" w:type="pct"/>
            <w:shd w:val="clear" w:color="auto" w:fill="auto"/>
          </w:tcPr>
          <w:p w14:paraId="5EA1EB83" w14:textId="77777777" w:rsidR="003C66EB" w:rsidRDefault="003C66EB">
            <w:pPr>
              <w:rPr>
                <w:rFonts w:ascii="宋体"/>
              </w:rPr>
            </w:pPr>
          </w:p>
        </w:tc>
        <w:tc>
          <w:tcPr>
            <w:tcW w:w="50" w:type="pct"/>
            <w:shd w:val="clear" w:color="auto" w:fill="auto"/>
          </w:tcPr>
          <w:p w14:paraId="5EA1EB84" w14:textId="77777777" w:rsidR="003C66EB" w:rsidRDefault="003C66EB">
            <w:pPr>
              <w:rPr>
                <w:rFonts w:ascii="宋体"/>
              </w:rPr>
            </w:pPr>
          </w:p>
        </w:tc>
        <w:tc>
          <w:tcPr>
            <w:tcW w:w="1029" w:type="pct"/>
            <w:shd w:val="clear" w:color="auto" w:fill="auto"/>
          </w:tcPr>
          <w:p w14:paraId="5EA1EB85" w14:textId="77777777" w:rsidR="003C66EB" w:rsidRDefault="003C66EB">
            <w:pPr>
              <w:rPr>
                <w:rFonts w:ascii="宋体"/>
              </w:rPr>
            </w:pPr>
          </w:p>
        </w:tc>
        <w:tc>
          <w:tcPr>
            <w:tcW w:w="5" w:type="pct"/>
            <w:shd w:val="clear" w:color="auto" w:fill="auto"/>
          </w:tcPr>
          <w:p w14:paraId="5EA1EB86" w14:textId="77777777" w:rsidR="003C66EB" w:rsidRDefault="003C66EB">
            <w:pPr>
              <w:rPr>
                <w:rFonts w:ascii="宋体"/>
              </w:rPr>
            </w:pPr>
          </w:p>
        </w:tc>
        <w:tc>
          <w:tcPr>
            <w:tcW w:w="0" w:type="auto"/>
            <w:shd w:val="clear" w:color="auto" w:fill="auto"/>
          </w:tcPr>
          <w:p w14:paraId="5EA1EB87" w14:textId="77777777" w:rsidR="003C66EB" w:rsidRDefault="003C66EB">
            <w:pPr>
              <w:rPr>
                <w:rFonts w:ascii="宋体"/>
                <w:vanish/>
              </w:rPr>
            </w:pPr>
          </w:p>
        </w:tc>
        <w:tc>
          <w:tcPr>
            <w:tcW w:w="0" w:type="auto"/>
            <w:shd w:val="clear" w:color="auto" w:fill="auto"/>
          </w:tcPr>
          <w:p w14:paraId="5EA1EB88" w14:textId="77777777" w:rsidR="003C66EB" w:rsidRDefault="003C66EB">
            <w:pPr>
              <w:rPr>
                <w:rFonts w:ascii="宋体"/>
                <w:vanish/>
              </w:rPr>
            </w:pPr>
          </w:p>
        </w:tc>
        <w:tc>
          <w:tcPr>
            <w:tcW w:w="5" w:type="pct"/>
            <w:shd w:val="clear" w:color="auto" w:fill="auto"/>
          </w:tcPr>
          <w:p w14:paraId="5EA1EB89" w14:textId="77777777" w:rsidR="003C66EB" w:rsidRDefault="003C66EB">
            <w:pPr>
              <w:rPr>
                <w:rFonts w:ascii="宋体"/>
              </w:rPr>
            </w:pPr>
          </w:p>
        </w:tc>
        <w:tc>
          <w:tcPr>
            <w:tcW w:w="52" w:type="pct"/>
            <w:shd w:val="clear" w:color="auto" w:fill="auto"/>
          </w:tcPr>
          <w:p w14:paraId="5EA1EB8A" w14:textId="77777777" w:rsidR="003C66EB" w:rsidRDefault="003C66EB">
            <w:pPr>
              <w:rPr>
                <w:rFonts w:ascii="宋体"/>
              </w:rPr>
            </w:pPr>
          </w:p>
        </w:tc>
        <w:tc>
          <w:tcPr>
            <w:tcW w:w="5" w:type="pct"/>
            <w:shd w:val="clear" w:color="auto" w:fill="auto"/>
          </w:tcPr>
          <w:p w14:paraId="5EA1EB8B" w14:textId="77777777" w:rsidR="003C66EB" w:rsidRDefault="003C66EB">
            <w:pPr>
              <w:rPr>
                <w:rFonts w:ascii="宋体"/>
              </w:rPr>
            </w:pPr>
          </w:p>
        </w:tc>
        <w:tc>
          <w:tcPr>
            <w:tcW w:w="50" w:type="pct"/>
            <w:shd w:val="clear" w:color="auto" w:fill="auto"/>
          </w:tcPr>
          <w:p w14:paraId="5EA1EB8C" w14:textId="77777777" w:rsidR="003C66EB" w:rsidRDefault="003C66EB">
            <w:pPr>
              <w:rPr>
                <w:rFonts w:ascii="宋体"/>
              </w:rPr>
            </w:pPr>
          </w:p>
        </w:tc>
        <w:tc>
          <w:tcPr>
            <w:tcW w:w="809" w:type="pct"/>
            <w:shd w:val="clear" w:color="auto" w:fill="auto"/>
          </w:tcPr>
          <w:p w14:paraId="5EA1EB8D" w14:textId="77777777" w:rsidR="003C66EB" w:rsidRDefault="003C66EB">
            <w:pPr>
              <w:rPr>
                <w:rFonts w:ascii="宋体"/>
              </w:rPr>
            </w:pPr>
          </w:p>
        </w:tc>
        <w:tc>
          <w:tcPr>
            <w:tcW w:w="5" w:type="pct"/>
            <w:shd w:val="clear" w:color="auto" w:fill="auto"/>
          </w:tcPr>
          <w:p w14:paraId="5EA1EB8E" w14:textId="77777777" w:rsidR="003C66EB" w:rsidRDefault="003C66EB">
            <w:pPr>
              <w:rPr>
                <w:rFonts w:ascii="宋体"/>
              </w:rPr>
            </w:pPr>
          </w:p>
        </w:tc>
        <w:tc>
          <w:tcPr>
            <w:tcW w:w="0" w:type="auto"/>
            <w:gridSpan w:val="3"/>
            <w:shd w:val="clear" w:color="auto" w:fill="auto"/>
          </w:tcPr>
          <w:p w14:paraId="5EA1EB8F" w14:textId="77777777" w:rsidR="003C66EB" w:rsidRDefault="003C66EB">
            <w:pPr>
              <w:rPr>
                <w:rFonts w:ascii="宋体"/>
                <w:vanish/>
              </w:rPr>
            </w:pPr>
          </w:p>
        </w:tc>
        <w:tc>
          <w:tcPr>
            <w:tcW w:w="0" w:type="auto"/>
            <w:gridSpan w:val="3"/>
            <w:shd w:val="clear" w:color="auto" w:fill="auto"/>
          </w:tcPr>
          <w:p w14:paraId="5EA1EB90" w14:textId="77777777" w:rsidR="003C66EB" w:rsidRDefault="003C66EB">
            <w:pPr>
              <w:rPr>
                <w:rFonts w:ascii="宋体"/>
                <w:vanish/>
              </w:rPr>
            </w:pPr>
          </w:p>
        </w:tc>
      </w:tr>
      <w:tr w:rsidR="003C66EB" w14:paraId="5EA1EB9F" w14:textId="77777777">
        <w:tc>
          <w:tcPr>
            <w:tcW w:w="0" w:type="auto"/>
            <w:gridSpan w:val="14"/>
            <w:shd w:val="clear" w:color="auto" w:fill="auto"/>
            <w:tcMar>
              <w:top w:w="40" w:type="dxa"/>
              <w:left w:w="20" w:type="dxa"/>
              <w:bottom w:w="40" w:type="dxa"/>
              <w:right w:w="20" w:type="dxa"/>
            </w:tcMar>
            <w:vAlign w:val="bottom"/>
          </w:tcPr>
          <w:p w14:paraId="5EA1EB92" w14:textId="77777777" w:rsidR="003C66EB" w:rsidRDefault="00D96C4E">
            <w:pPr>
              <w:textAlignment w:val="bottom"/>
            </w:pPr>
            <w:r>
              <w:rPr>
                <w:rFonts w:ascii="Arial" w:eastAsia="宋体" w:hAnsi="Arial" w:cs="Arial"/>
                <w:b/>
                <w:bCs/>
                <w:color w:val="000000"/>
                <w:sz w:val="16"/>
                <w:szCs w:val="16"/>
              </w:rPr>
              <w:t>TABLE 8: EXPENSES</w:t>
            </w:r>
          </w:p>
        </w:tc>
        <w:tc>
          <w:tcPr>
            <w:tcW w:w="0" w:type="auto"/>
            <w:shd w:val="clear" w:color="auto" w:fill="auto"/>
          </w:tcPr>
          <w:p w14:paraId="5EA1EB93" w14:textId="77777777" w:rsidR="003C66EB" w:rsidRDefault="003C66EB">
            <w:pPr>
              <w:rPr>
                <w:rFonts w:ascii="宋体"/>
              </w:rPr>
            </w:pPr>
          </w:p>
        </w:tc>
        <w:tc>
          <w:tcPr>
            <w:tcW w:w="0" w:type="auto"/>
            <w:shd w:val="clear" w:color="auto" w:fill="auto"/>
          </w:tcPr>
          <w:p w14:paraId="5EA1EB94" w14:textId="77777777" w:rsidR="003C66EB" w:rsidRDefault="003C66EB">
            <w:pPr>
              <w:rPr>
                <w:rFonts w:ascii="宋体"/>
              </w:rPr>
            </w:pPr>
          </w:p>
        </w:tc>
        <w:tc>
          <w:tcPr>
            <w:tcW w:w="0" w:type="auto"/>
            <w:shd w:val="clear" w:color="auto" w:fill="auto"/>
          </w:tcPr>
          <w:p w14:paraId="5EA1EB95" w14:textId="77777777" w:rsidR="003C66EB" w:rsidRDefault="003C66EB">
            <w:pPr>
              <w:rPr>
                <w:rFonts w:ascii="宋体"/>
              </w:rPr>
            </w:pPr>
          </w:p>
        </w:tc>
        <w:tc>
          <w:tcPr>
            <w:tcW w:w="0" w:type="auto"/>
            <w:shd w:val="clear" w:color="auto" w:fill="auto"/>
          </w:tcPr>
          <w:p w14:paraId="5EA1EB96" w14:textId="77777777" w:rsidR="003C66EB" w:rsidRDefault="003C66EB">
            <w:pPr>
              <w:rPr>
                <w:rFonts w:ascii="宋体"/>
              </w:rPr>
            </w:pPr>
          </w:p>
        </w:tc>
        <w:tc>
          <w:tcPr>
            <w:tcW w:w="0" w:type="auto"/>
            <w:shd w:val="clear" w:color="auto" w:fill="auto"/>
          </w:tcPr>
          <w:p w14:paraId="5EA1EB97" w14:textId="77777777" w:rsidR="003C66EB" w:rsidRDefault="003C66EB">
            <w:pPr>
              <w:rPr>
                <w:rFonts w:ascii="宋体"/>
              </w:rPr>
            </w:pPr>
          </w:p>
        </w:tc>
        <w:tc>
          <w:tcPr>
            <w:tcW w:w="0" w:type="auto"/>
            <w:shd w:val="clear" w:color="auto" w:fill="auto"/>
          </w:tcPr>
          <w:p w14:paraId="5EA1EB98" w14:textId="77777777" w:rsidR="003C66EB" w:rsidRDefault="003C66EB">
            <w:pPr>
              <w:rPr>
                <w:rFonts w:ascii="宋体"/>
              </w:rPr>
            </w:pPr>
          </w:p>
        </w:tc>
        <w:tc>
          <w:tcPr>
            <w:tcW w:w="0" w:type="auto"/>
            <w:shd w:val="clear" w:color="auto" w:fill="auto"/>
          </w:tcPr>
          <w:p w14:paraId="5EA1EB99" w14:textId="77777777" w:rsidR="003C66EB" w:rsidRDefault="003C66EB">
            <w:pPr>
              <w:rPr>
                <w:rFonts w:ascii="宋体"/>
              </w:rPr>
            </w:pPr>
          </w:p>
        </w:tc>
        <w:tc>
          <w:tcPr>
            <w:tcW w:w="0" w:type="auto"/>
            <w:shd w:val="clear" w:color="auto" w:fill="auto"/>
          </w:tcPr>
          <w:p w14:paraId="5EA1EB9A" w14:textId="77777777" w:rsidR="003C66EB" w:rsidRDefault="003C66EB">
            <w:pPr>
              <w:rPr>
                <w:rFonts w:ascii="宋体"/>
              </w:rPr>
            </w:pPr>
          </w:p>
        </w:tc>
        <w:tc>
          <w:tcPr>
            <w:tcW w:w="0" w:type="auto"/>
            <w:shd w:val="clear" w:color="auto" w:fill="auto"/>
          </w:tcPr>
          <w:p w14:paraId="5EA1EB9B" w14:textId="77777777" w:rsidR="003C66EB" w:rsidRDefault="003C66EB">
            <w:pPr>
              <w:rPr>
                <w:rFonts w:ascii="宋体"/>
              </w:rPr>
            </w:pPr>
          </w:p>
        </w:tc>
        <w:tc>
          <w:tcPr>
            <w:tcW w:w="0" w:type="auto"/>
            <w:shd w:val="clear" w:color="auto" w:fill="auto"/>
          </w:tcPr>
          <w:p w14:paraId="5EA1EB9C" w14:textId="77777777" w:rsidR="003C66EB" w:rsidRDefault="003C66EB">
            <w:pPr>
              <w:rPr>
                <w:rFonts w:ascii="宋体"/>
              </w:rPr>
            </w:pPr>
          </w:p>
        </w:tc>
        <w:tc>
          <w:tcPr>
            <w:tcW w:w="0" w:type="auto"/>
            <w:shd w:val="clear" w:color="auto" w:fill="auto"/>
          </w:tcPr>
          <w:p w14:paraId="5EA1EB9D" w14:textId="77777777" w:rsidR="003C66EB" w:rsidRDefault="003C66EB">
            <w:pPr>
              <w:rPr>
                <w:rFonts w:ascii="宋体"/>
              </w:rPr>
            </w:pPr>
          </w:p>
        </w:tc>
        <w:tc>
          <w:tcPr>
            <w:tcW w:w="0" w:type="auto"/>
            <w:shd w:val="clear" w:color="auto" w:fill="auto"/>
          </w:tcPr>
          <w:p w14:paraId="5EA1EB9E" w14:textId="77777777" w:rsidR="003C66EB" w:rsidRDefault="003C66EB">
            <w:pPr>
              <w:rPr>
                <w:rFonts w:ascii="宋体"/>
              </w:rPr>
            </w:pPr>
          </w:p>
        </w:tc>
      </w:tr>
      <w:tr w:rsidR="003C66EB" w14:paraId="5EA1EBA8" w14:textId="77777777">
        <w:trPr>
          <w:trHeight w:val="180"/>
        </w:trPr>
        <w:tc>
          <w:tcPr>
            <w:tcW w:w="0" w:type="auto"/>
            <w:gridSpan w:val="3"/>
            <w:shd w:val="clear" w:color="auto" w:fill="auto"/>
            <w:tcMar>
              <w:top w:w="0" w:type="dxa"/>
              <w:left w:w="20" w:type="dxa"/>
              <w:bottom w:w="0" w:type="dxa"/>
              <w:right w:w="20" w:type="dxa"/>
            </w:tcMar>
          </w:tcPr>
          <w:p w14:paraId="5EA1EBA0"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1EBA1"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Pr>
          <w:p w14:paraId="5EA1EBA2" w14:textId="77777777" w:rsidR="003C66EB" w:rsidRDefault="003C66EB">
            <w:pPr>
              <w:rPr>
                <w:rFonts w:ascii="宋体"/>
                <w:vanish/>
              </w:rPr>
            </w:pPr>
          </w:p>
        </w:tc>
        <w:tc>
          <w:tcPr>
            <w:tcW w:w="0" w:type="auto"/>
            <w:shd w:val="clear" w:color="auto" w:fill="auto"/>
          </w:tcPr>
          <w:p w14:paraId="5EA1EBA3"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1EBA4"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1EBA5" w14:textId="77777777" w:rsidR="003C66EB" w:rsidRDefault="00D96C4E">
            <w:pPr>
              <w:jc w:val="center"/>
              <w:textAlignment w:val="bottom"/>
            </w:pPr>
            <w:r>
              <w:rPr>
                <w:rFonts w:ascii="Arial" w:eastAsia="宋体" w:hAnsi="Arial" w:cs="Arial"/>
                <w:b/>
                <w:bCs/>
                <w:color w:val="000000"/>
                <w:sz w:val="13"/>
                <w:szCs w:val="13"/>
              </w:rPr>
              <w:t xml:space="preserve">% Change </w:t>
            </w:r>
          </w:p>
        </w:tc>
        <w:tc>
          <w:tcPr>
            <w:tcW w:w="0" w:type="auto"/>
            <w:gridSpan w:val="3"/>
            <w:shd w:val="clear" w:color="auto" w:fill="auto"/>
          </w:tcPr>
          <w:p w14:paraId="5EA1EBA6" w14:textId="77777777" w:rsidR="003C66EB" w:rsidRDefault="003C66EB">
            <w:pPr>
              <w:rPr>
                <w:rFonts w:ascii="宋体"/>
                <w:vanish/>
              </w:rPr>
            </w:pPr>
          </w:p>
        </w:tc>
        <w:tc>
          <w:tcPr>
            <w:tcW w:w="0" w:type="auto"/>
            <w:gridSpan w:val="3"/>
            <w:shd w:val="clear" w:color="auto" w:fill="auto"/>
          </w:tcPr>
          <w:p w14:paraId="5EA1EBA7" w14:textId="77777777" w:rsidR="003C66EB" w:rsidRDefault="003C66EB">
            <w:pPr>
              <w:rPr>
                <w:rFonts w:ascii="宋体"/>
                <w:vanish/>
              </w:rPr>
            </w:pPr>
          </w:p>
        </w:tc>
      </w:tr>
      <w:tr w:rsidR="003C66EB" w14:paraId="5EA1EBB5" w14:textId="77777777">
        <w:trPr>
          <w:trHeight w:val="180"/>
        </w:trPr>
        <w:tc>
          <w:tcPr>
            <w:tcW w:w="0" w:type="auto"/>
            <w:gridSpan w:val="3"/>
            <w:shd w:val="clear" w:color="auto" w:fill="auto"/>
            <w:tcMar>
              <w:top w:w="40" w:type="dxa"/>
              <w:left w:w="20" w:type="dxa"/>
              <w:bottom w:w="40" w:type="dxa"/>
              <w:right w:w="20" w:type="dxa"/>
            </w:tcMar>
            <w:vAlign w:val="bottom"/>
          </w:tcPr>
          <w:p w14:paraId="5EA1EBA9" w14:textId="77777777" w:rsidR="003C66EB" w:rsidRDefault="00D96C4E">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BAA"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BA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BAC" w14:textId="77777777" w:rsidR="003C66EB" w:rsidRDefault="00D96C4E">
            <w:pPr>
              <w:jc w:val="center"/>
              <w:textAlignment w:val="bottom"/>
            </w:pPr>
            <w:r>
              <w:rPr>
                <w:rFonts w:ascii="Arial" w:eastAsia="宋体" w:hAnsi="Arial" w:cs="Arial"/>
                <w:b/>
                <w:bCs/>
                <w:color w:val="000000"/>
                <w:sz w:val="13"/>
                <w:szCs w:val="13"/>
              </w:rPr>
              <w:t>2020</w:t>
            </w:r>
          </w:p>
        </w:tc>
        <w:tc>
          <w:tcPr>
            <w:tcW w:w="0" w:type="auto"/>
            <w:shd w:val="clear" w:color="auto" w:fill="auto"/>
          </w:tcPr>
          <w:p w14:paraId="5EA1EBAD" w14:textId="77777777" w:rsidR="003C66EB" w:rsidRDefault="003C66EB">
            <w:pPr>
              <w:rPr>
                <w:rFonts w:ascii="宋体"/>
                <w:vanish/>
              </w:rPr>
            </w:pPr>
          </w:p>
        </w:tc>
        <w:tc>
          <w:tcPr>
            <w:tcW w:w="0" w:type="auto"/>
            <w:shd w:val="clear" w:color="auto" w:fill="auto"/>
          </w:tcPr>
          <w:p w14:paraId="5EA1EBAE"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1EBAF"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1EBB0" w14:textId="77777777" w:rsidR="003C66EB" w:rsidRDefault="003C66EB">
            <w:pPr>
              <w:jc w:val="center"/>
              <w:rPr>
                <w:rFonts w:ascii="宋体"/>
              </w:rPr>
            </w:pPr>
          </w:p>
        </w:tc>
        <w:tc>
          <w:tcPr>
            <w:tcW w:w="0" w:type="auto"/>
            <w:gridSpan w:val="3"/>
            <w:shd w:val="clear" w:color="auto" w:fill="auto"/>
          </w:tcPr>
          <w:p w14:paraId="5EA1EBB1" w14:textId="77777777" w:rsidR="003C66EB" w:rsidRDefault="003C66EB">
            <w:pPr>
              <w:rPr>
                <w:rFonts w:ascii="宋体"/>
                <w:vanish/>
              </w:rPr>
            </w:pPr>
          </w:p>
        </w:tc>
        <w:tc>
          <w:tcPr>
            <w:tcW w:w="0" w:type="auto"/>
            <w:shd w:val="clear" w:color="auto" w:fill="auto"/>
          </w:tcPr>
          <w:p w14:paraId="5EA1EBB2" w14:textId="77777777" w:rsidR="003C66EB" w:rsidRDefault="003C66EB">
            <w:pPr>
              <w:rPr>
                <w:rFonts w:ascii="宋体"/>
              </w:rPr>
            </w:pPr>
          </w:p>
        </w:tc>
        <w:tc>
          <w:tcPr>
            <w:tcW w:w="0" w:type="auto"/>
            <w:shd w:val="clear" w:color="auto" w:fill="auto"/>
          </w:tcPr>
          <w:p w14:paraId="5EA1EBB3" w14:textId="77777777" w:rsidR="003C66EB" w:rsidRDefault="003C66EB">
            <w:pPr>
              <w:rPr>
                <w:rFonts w:ascii="宋体"/>
              </w:rPr>
            </w:pPr>
          </w:p>
        </w:tc>
        <w:tc>
          <w:tcPr>
            <w:tcW w:w="0" w:type="auto"/>
            <w:shd w:val="clear" w:color="auto" w:fill="auto"/>
          </w:tcPr>
          <w:p w14:paraId="5EA1EBB4" w14:textId="77777777" w:rsidR="003C66EB" w:rsidRDefault="003C66EB">
            <w:pPr>
              <w:rPr>
                <w:rFonts w:ascii="宋体"/>
              </w:rPr>
            </w:pPr>
          </w:p>
        </w:tc>
      </w:tr>
      <w:tr w:rsidR="003C66EB" w14:paraId="5EA1EBC5" w14:textId="77777777">
        <w:tc>
          <w:tcPr>
            <w:tcW w:w="0" w:type="auto"/>
            <w:gridSpan w:val="3"/>
            <w:shd w:val="clear" w:color="auto" w:fill="CCEEFF"/>
            <w:tcMar>
              <w:top w:w="40" w:type="dxa"/>
              <w:left w:w="20" w:type="dxa"/>
              <w:bottom w:w="40" w:type="dxa"/>
              <w:right w:w="20" w:type="dxa"/>
            </w:tcMar>
            <w:vAlign w:val="bottom"/>
          </w:tcPr>
          <w:p w14:paraId="5EA1EBB6" w14:textId="77777777" w:rsidR="003C66EB" w:rsidRDefault="00D96C4E">
            <w:pPr>
              <w:textAlignment w:val="bottom"/>
            </w:pPr>
            <w:r>
              <w:rPr>
                <w:rFonts w:ascii="Arial" w:eastAsia="宋体" w:hAnsi="Arial" w:cs="Arial"/>
                <w:color w:val="000000"/>
                <w:sz w:val="13"/>
                <w:szCs w:val="13"/>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BB7"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BB8" w14:textId="77777777" w:rsidR="003C66EB" w:rsidRDefault="00D96C4E">
            <w:pPr>
              <w:jc w:val="right"/>
              <w:textAlignment w:val="bottom"/>
            </w:pPr>
            <w:r>
              <w:rPr>
                <w:rFonts w:ascii="Arial" w:eastAsia="宋体" w:hAnsi="Arial" w:cs="Arial"/>
                <w:b/>
                <w:bCs/>
                <w:color w:val="000000"/>
                <w:sz w:val="13"/>
                <w:szCs w:val="13"/>
              </w:rPr>
              <w:t>1,242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B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BB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BBB"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BBC" w14:textId="77777777" w:rsidR="003C66EB" w:rsidRDefault="00D96C4E">
            <w:pPr>
              <w:jc w:val="right"/>
              <w:textAlignment w:val="bottom"/>
            </w:pPr>
            <w:r>
              <w:rPr>
                <w:rFonts w:ascii="Arial" w:eastAsia="宋体" w:hAnsi="Arial" w:cs="Arial"/>
                <w:color w:val="000000"/>
                <w:sz w:val="13"/>
                <w:szCs w:val="13"/>
              </w:rPr>
              <w:t>1,208 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BBD" w14:textId="77777777" w:rsidR="003C66EB" w:rsidRDefault="003C66EB">
            <w:pPr>
              <w:jc w:val="right"/>
              <w:rPr>
                <w:rFonts w:ascii="宋体"/>
              </w:rPr>
            </w:pPr>
          </w:p>
        </w:tc>
        <w:tc>
          <w:tcPr>
            <w:tcW w:w="0" w:type="auto"/>
            <w:shd w:val="clear" w:color="auto" w:fill="auto"/>
          </w:tcPr>
          <w:p w14:paraId="5EA1EBBE" w14:textId="77777777" w:rsidR="003C66EB" w:rsidRDefault="003C66EB">
            <w:pPr>
              <w:rPr>
                <w:rFonts w:ascii="宋体"/>
                <w:vanish/>
              </w:rPr>
            </w:pPr>
          </w:p>
        </w:tc>
        <w:tc>
          <w:tcPr>
            <w:tcW w:w="0" w:type="auto"/>
            <w:shd w:val="clear" w:color="auto" w:fill="auto"/>
          </w:tcPr>
          <w:p w14:paraId="5EA1EBBF"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BC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BC1" w14:textId="77777777" w:rsidR="003C66EB" w:rsidRDefault="00D96C4E">
            <w:pPr>
              <w:jc w:val="right"/>
              <w:textAlignment w:val="bottom"/>
            </w:pPr>
            <w:r>
              <w:rPr>
                <w:rFonts w:ascii="Arial" w:eastAsia="宋体" w:hAnsi="Arial" w:cs="Arial"/>
                <w:color w:val="000000"/>
                <w:sz w:val="13"/>
                <w:szCs w:val="13"/>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BC2" w14:textId="77777777" w:rsidR="003C66EB" w:rsidRDefault="00D96C4E">
            <w:pPr>
              <w:jc w:val="right"/>
              <w:textAlignment w:val="bottom"/>
            </w:pPr>
            <w:r>
              <w:rPr>
                <w:rFonts w:ascii="Arial" w:eastAsia="宋体" w:hAnsi="Arial" w:cs="Arial"/>
                <w:color w:val="000000"/>
                <w:sz w:val="13"/>
                <w:szCs w:val="13"/>
              </w:rPr>
              <w:t>%</w:t>
            </w:r>
          </w:p>
        </w:tc>
        <w:tc>
          <w:tcPr>
            <w:tcW w:w="0" w:type="auto"/>
            <w:gridSpan w:val="3"/>
            <w:shd w:val="clear" w:color="auto" w:fill="auto"/>
          </w:tcPr>
          <w:p w14:paraId="5EA1EBC3" w14:textId="77777777" w:rsidR="003C66EB" w:rsidRDefault="003C66EB">
            <w:pPr>
              <w:rPr>
                <w:rFonts w:ascii="宋体"/>
                <w:vanish/>
              </w:rPr>
            </w:pPr>
          </w:p>
        </w:tc>
        <w:tc>
          <w:tcPr>
            <w:tcW w:w="0" w:type="auto"/>
            <w:gridSpan w:val="3"/>
            <w:shd w:val="clear" w:color="auto" w:fill="auto"/>
          </w:tcPr>
          <w:p w14:paraId="5EA1EBC4" w14:textId="77777777" w:rsidR="003C66EB" w:rsidRDefault="003C66EB">
            <w:pPr>
              <w:rPr>
                <w:rFonts w:ascii="宋体"/>
                <w:vanish/>
              </w:rPr>
            </w:pPr>
          </w:p>
        </w:tc>
      </w:tr>
      <w:tr w:rsidR="003C66EB" w14:paraId="5EA1EBD3" w14:textId="77777777">
        <w:tc>
          <w:tcPr>
            <w:tcW w:w="0" w:type="auto"/>
            <w:gridSpan w:val="3"/>
            <w:shd w:val="clear" w:color="auto" w:fill="FFFFFF"/>
            <w:tcMar>
              <w:top w:w="40" w:type="dxa"/>
              <w:left w:w="20" w:type="dxa"/>
              <w:bottom w:w="40" w:type="dxa"/>
              <w:right w:w="20" w:type="dxa"/>
            </w:tcMar>
            <w:vAlign w:val="bottom"/>
          </w:tcPr>
          <w:p w14:paraId="5EA1EBC6" w14:textId="77777777" w:rsidR="003C66EB" w:rsidRDefault="00D96C4E">
            <w:pPr>
              <w:textAlignment w:val="bottom"/>
            </w:pPr>
            <w:r>
              <w:rPr>
                <w:rFonts w:ascii="Arial" w:eastAsia="宋体" w:hAnsi="Arial" w:cs="Arial"/>
                <w:color w:val="000000"/>
                <w:sz w:val="13"/>
                <w:szCs w:val="13"/>
              </w:rPr>
              <w:t>Information systems and communications</w:t>
            </w:r>
            <w:r>
              <w:rPr>
                <w:rFonts w:ascii="Arial" w:eastAsia="宋体" w:hAnsi="Arial" w:cs="Arial"/>
                <w:color w:val="000000"/>
                <w:sz w:val="8"/>
                <w:szCs w:val="8"/>
              </w:rPr>
              <w:t>(1)</w:t>
            </w:r>
          </w:p>
        </w:tc>
        <w:tc>
          <w:tcPr>
            <w:tcW w:w="0" w:type="auto"/>
            <w:gridSpan w:val="2"/>
            <w:shd w:val="clear" w:color="auto" w:fill="FFFFFF"/>
            <w:tcMar>
              <w:top w:w="40" w:type="dxa"/>
              <w:left w:w="20" w:type="dxa"/>
              <w:bottom w:w="40" w:type="dxa"/>
              <w:right w:w="0" w:type="dxa"/>
            </w:tcMar>
            <w:vAlign w:val="bottom"/>
          </w:tcPr>
          <w:p w14:paraId="5EA1EBC7" w14:textId="77777777" w:rsidR="003C66EB" w:rsidRDefault="00D96C4E">
            <w:pPr>
              <w:jc w:val="right"/>
              <w:textAlignment w:val="bottom"/>
            </w:pPr>
            <w:r>
              <w:rPr>
                <w:rFonts w:ascii="Arial" w:eastAsia="宋体" w:hAnsi="Arial" w:cs="Arial"/>
                <w:b/>
                <w:bCs/>
                <w:color w:val="000000"/>
                <w:sz w:val="13"/>
                <w:szCs w:val="13"/>
              </w:rPr>
              <w:t>421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B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B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BCA" w14:textId="77777777" w:rsidR="003C66EB" w:rsidRDefault="00D96C4E">
            <w:pPr>
              <w:jc w:val="right"/>
              <w:textAlignment w:val="bottom"/>
            </w:pPr>
            <w:r>
              <w:rPr>
                <w:rFonts w:ascii="Arial" w:eastAsia="宋体" w:hAnsi="Arial" w:cs="Arial"/>
                <w:color w:val="000000"/>
                <w:sz w:val="13"/>
                <w:szCs w:val="13"/>
              </w:rPr>
              <w:t>385 </w:t>
            </w:r>
          </w:p>
        </w:tc>
        <w:tc>
          <w:tcPr>
            <w:tcW w:w="0" w:type="auto"/>
            <w:shd w:val="clear" w:color="auto" w:fill="FFFFFF"/>
            <w:tcMar>
              <w:top w:w="40" w:type="dxa"/>
              <w:left w:w="0" w:type="dxa"/>
              <w:bottom w:w="40" w:type="dxa"/>
              <w:right w:w="20" w:type="dxa"/>
            </w:tcMar>
            <w:vAlign w:val="bottom"/>
          </w:tcPr>
          <w:p w14:paraId="5EA1EBCB" w14:textId="77777777" w:rsidR="003C66EB" w:rsidRDefault="003C66EB">
            <w:pPr>
              <w:jc w:val="right"/>
              <w:rPr>
                <w:rFonts w:ascii="宋体"/>
              </w:rPr>
            </w:pPr>
          </w:p>
        </w:tc>
        <w:tc>
          <w:tcPr>
            <w:tcW w:w="0" w:type="auto"/>
            <w:shd w:val="clear" w:color="auto" w:fill="auto"/>
          </w:tcPr>
          <w:p w14:paraId="5EA1EBCC" w14:textId="77777777" w:rsidR="003C66EB" w:rsidRDefault="003C66EB">
            <w:pPr>
              <w:rPr>
                <w:rFonts w:ascii="宋体"/>
                <w:vanish/>
              </w:rPr>
            </w:pPr>
          </w:p>
        </w:tc>
        <w:tc>
          <w:tcPr>
            <w:tcW w:w="0" w:type="auto"/>
            <w:shd w:val="clear" w:color="auto" w:fill="auto"/>
          </w:tcPr>
          <w:p w14:paraId="5EA1EBCD"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1EBC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BCF" w14:textId="77777777" w:rsidR="003C66EB" w:rsidRDefault="00D96C4E">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5EA1EBD0" w14:textId="77777777" w:rsidR="003C66EB" w:rsidRDefault="003C66EB">
            <w:pPr>
              <w:jc w:val="right"/>
              <w:rPr>
                <w:rFonts w:ascii="宋体"/>
              </w:rPr>
            </w:pPr>
          </w:p>
        </w:tc>
        <w:tc>
          <w:tcPr>
            <w:tcW w:w="0" w:type="auto"/>
            <w:gridSpan w:val="3"/>
            <w:shd w:val="clear" w:color="auto" w:fill="auto"/>
          </w:tcPr>
          <w:p w14:paraId="5EA1EBD1" w14:textId="77777777" w:rsidR="003C66EB" w:rsidRDefault="003C66EB">
            <w:pPr>
              <w:rPr>
                <w:rFonts w:ascii="宋体"/>
                <w:vanish/>
              </w:rPr>
            </w:pPr>
          </w:p>
        </w:tc>
        <w:tc>
          <w:tcPr>
            <w:tcW w:w="0" w:type="auto"/>
            <w:gridSpan w:val="3"/>
            <w:shd w:val="clear" w:color="auto" w:fill="auto"/>
          </w:tcPr>
          <w:p w14:paraId="5EA1EBD2" w14:textId="77777777" w:rsidR="003C66EB" w:rsidRDefault="003C66EB">
            <w:pPr>
              <w:rPr>
                <w:rFonts w:ascii="宋体"/>
                <w:vanish/>
              </w:rPr>
            </w:pPr>
          </w:p>
        </w:tc>
      </w:tr>
      <w:tr w:rsidR="003C66EB" w14:paraId="5EA1EBE1" w14:textId="77777777">
        <w:tc>
          <w:tcPr>
            <w:tcW w:w="0" w:type="auto"/>
            <w:gridSpan w:val="3"/>
            <w:shd w:val="clear" w:color="auto" w:fill="CCEEFF"/>
            <w:tcMar>
              <w:top w:w="40" w:type="dxa"/>
              <w:left w:w="20" w:type="dxa"/>
              <w:bottom w:w="40" w:type="dxa"/>
              <w:right w:w="20" w:type="dxa"/>
            </w:tcMar>
            <w:vAlign w:val="bottom"/>
          </w:tcPr>
          <w:p w14:paraId="5EA1EBD4" w14:textId="77777777" w:rsidR="003C66EB" w:rsidRDefault="00D96C4E">
            <w:pPr>
              <w:textAlignment w:val="bottom"/>
            </w:pPr>
            <w:r>
              <w:rPr>
                <w:rFonts w:ascii="Arial" w:eastAsia="宋体" w:hAnsi="Arial" w:cs="Arial"/>
                <w:color w:val="000000"/>
                <w:sz w:val="13"/>
                <w:szCs w:val="13"/>
              </w:rPr>
              <w:t>Transac</w:t>
            </w:r>
            <w:r>
              <w:rPr>
                <w:rFonts w:ascii="Arial" w:eastAsia="宋体" w:hAnsi="Arial" w:cs="Arial"/>
                <w:color w:val="000000"/>
                <w:sz w:val="13"/>
                <w:szCs w:val="13"/>
              </w:rPr>
              <w:t>tion processing services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A1EBD5" w14:textId="77777777" w:rsidR="003C66EB" w:rsidRDefault="00D96C4E">
            <w:pPr>
              <w:jc w:val="right"/>
              <w:textAlignment w:val="bottom"/>
            </w:pPr>
            <w:r>
              <w:rPr>
                <w:rFonts w:ascii="Arial" w:eastAsia="宋体" w:hAnsi="Arial" w:cs="Arial"/>
                <w:b/>
                <w:bCs/>
                <w:color w:val="000000"/>
                <w:sz w:val="13"/>
                <w:szCs w:val="13"/>
              </w:rPr>
              <w:t>270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BD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BD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BD8" w14:textId="77777777" w:rsidR="003C66EB" w:rsidRDefault="00D96C4E">
            <w:pPr>
              <w:jc w:val="right"/>
              <w:textAlignment w:val="bottom"/>
            </w:pPr>
            <w:r>
              <w:rPr>
                <w:rFonts w:ascii="Arial" w:eastAsia="宋体" w:hAnsi="Arial" w:cs="Arial"/>
                <w:color w:val="000000"/>
                <w:sz w:val="13"/>
                <w:szCs w:val="13"/>
              </w:rPr>
              <w:t>254 </w:t>
            </w:r>
          </w:p>
        </w:tc>
        <w:tc>
          <w:tcPr>
            <w:tcW w:w="0" w:type="auto"/>
            <w:shd w:val="clear" w:color="auto" w:fill="CCEEFF"/>
            <w:tcMar>
              <w:top w:w="40" w:type="dxa"/>
              <w:left w:w="0" w:type="dxa"/>
              <w:bottom w:w="40" w:type="dxa"/>
              <w:right w:w="20" w:type="dxa"/>
            </w:tcMar>
            <w:vAlign w:val="bottom"/>
          </w:tcPr>
          <w:p w14:paraId="5EA1EBD9" w14:textId="77777777" w:rsidR="003C66EB" w:rsidRDefault="003C66EB">
            <w:pPr>
              <w:jc w:val="right"/>
              <w:rPr>
                <w:rFonts w:ascii="宋体"/>
              </w:rPr>
            </w:pPr>
          </w:p>
        </w:tc>
        <w:tc>
          <w:tcPr>
            <w:tcW w:w="0" w:type="auto"/>
            <w:shd w:val="clear" w:color="auto" w:fill="auto"/>
          </w:tcPr>
          <w:p w14:paraId="5EA1EBDA" w14:textId="77777777" w:rsidR="003C66EB" w:rsidRDefault="003C66EB">
            <w:pPr>
              <w:rPr>
                <w:rFonts w:ascii="宋体"/>
                <w:vanish/>
              </w:rPr>
            </w:pPr>
          </w:p>
        </w:tc>
        <w:tc>
          <w:tcPr>
            <w:tcW w:w="0" w:type="auto"/>
            <w:shd w:val="clear" w:color="auto" w:fill="auto"/>
          </w:tcPr>
          <w:p w14:paraId="5EA1EBDB"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BD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BDD" w14:textId="77777777" w:rsidR="003C66EB" w:rsidRDefault="00D96C4E">
            <w:pPr>
              <w:jc w:val="right"/>
              <w:textAlignment w:val="bottom"/>
            </w:pPr>
            <w:r>
              <w:rPr>
                <w:rFonts w:ascii="Arial" w:eastAsia="宋体" w:hAnsi="Arial" w:cs="Arial"/>
                <w:color w:val="000000"/>
                <w:sz w:val="13"/>
                <w:szCs w:val="13"/>
              </w:rPr>
              <w:t>6 </w:t>
            </w:r>
          </w:p>
        </w:tc>
        <w:tc>
          <w:tcPr>
            <w:tcW w:w="0" w:type="auto"/>
            <w:shd w:val="clear" w:color="auto" w:fill="CCEEFF"/>
            <w:tcMar>
              <w:top w:w="40" w:type="dxa"/>
              <w:left w:w="0" w:type="dxa"/>
              <w:bottom w:w="40" w:type="dxa"/>
              <w:right w:w="20" w:type="dxa"/>
            </w:tcMar>
            <w:vAlign w:val="bottom"/>
          </w:tcPr>
          <w:p w14:paraId="5EA1EBDE" w14:textId="77777777" w:rsidR="003C66EB" w:rsidRDefault="003C66EB">
            <w:pPr>
              <w:jc w:val="right"/>
              <w:rPr>
                <w:rFonts w:ascii="宋体"/>
              </w:rPr>
            </w:pPr>
          </w:p>
        </w:tc>
        <w:tc>
          <w:tcPr>
            <w:tcW w:w="0" w:type="auto"/>
            <w:gridSpan w:val="3"/>
            <w:shd w:val="clear" w:color="auto" w:fill="auto"/>
          </w:tcPr>
          <w:p w14:paraId="5EA1EBDF" w14:textId="77777777" w:rsidR="003C66EB" w:rsidRDefault="003C66EB">
            <w:pPr>
              <w:rPr>
                <w:rFonts w:ascii="宋体"/>
                <w:vanish/>
              </w:rPr>
            </w:pPr>
          </w:p>
        </w:tc>
        <w:tc>
          <w:tcPr>
            <w:tcW w:w="0" w:type="auto"/>
            <w:gridSpan w:val="3"/>
            <w:shd w:val="clear" w:color="auto" w:fill="auto"/>
          </w:tcPr>
          <w:p w14:paraId="5EA1EBE0" w14:textId="77777777" w:rsidR="003C66EB" w:rsidRDefault="003C66EB">
            <w:pPr>
              <w:rPr>
                <w:rFonts w:ascii="宋体"/>
                <w:vanish/>
              </w:rPr>
            </w:pPr>
          </w:p>
        </w:tc>
      </w:tr>
      <w:tr w:rsidR="003C66EB" w14:paraId="5EA1EBEF" w14:textId="77777777">
        <w:tc>
          <w:tcPr>
            <w:tcW w:w="0" w:type="auto"/>
            <w:gridSpan w:val="3"/>
            <w:shd w:val="clear" w:color="auto" w:fill="FFFFFF"/>
            <w:tcMar>
              <w:top w:w="40" w:type="dxa"/>
              <w:left w:w="20" w:type="dxa"/>
              <w:bottom w:w="40" w:type="dxa"/>
              <w:right w:w="20" w:type="dxa"/>
            </w:tcMar>
            <w:vAlign w:val="bottom"/>
          </w:tcPr>
          <w:p w14:paraId="5EA1EBE2" w14:textId="77777777" w:rsidR="003C66EB" w:rsidRDefault="00D96C4E">
            <w:pPr>
              <w:textAlignment w:val="bottom"/>
            </w:pPr>
            <w:r>
              <w:rPr>
                <w:rFonts w:ascii="Arial" w:eastAsia="宋体" w:hAnsi="Arial" w:cs="Arial"/>
                <w:color w:val="000000"/>
                <w:sz w:val="13"/>
                <w:szCs w:val="13"/>
              </w:rPr>
              <w:t>Occupan</w:t>
            </w:r>
            <w:r>
              <w:rPr>
                <w:rFonts w:ascii="Arial" w:eastAsia="宋体" w:hAnsi="Arial" w:cs="Arial"/>
                <w:color w:val="000000"/>
                <w:sz w:val="13"/>
                <w:szCs w:val="13"/>
              </w:rPr>
              <w:t>cy</w:t>
            </w:r>
          </w:p>
        </w:tc>
        <w:tc>
          <w:tcPr>
            <w:tcW w:w="0" w:type="auto"/>
            <w:gridSpan w:val="2"/>
            <w:shd w:val="clear" w:color="auto" w:fill="FFFFFF"/>
            <w:tcMar>
              <w:top w:w="40" w:type="dxa"/>
              <w:left w:w="20" w:type="dxa"/>
              <w:bottom w:w="40" w:type="dxa"/>
              <w:right w:w="0" w:type="dxa"/>
            </w:tcMar>
            <w:vAlign w:val="bottom"/>
          </w:tcPr>
          <w:p w14:paraId="5EA1EBE3" w14:textId="77777777" w:rsidR="003C66EB" w:rsidRDefault="00D96C4E">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B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B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BE6" w14:textId="77777777" w:rsidR="003C66EB" w:rsidRDefault="00D96C4E">
            <w:pPr>
              <w:jc w:val="right"/>
              <w:textAlignment w:val="bottom"/>
            </w:pPr>
            <w:r>
              <w:rPr>
                <w:rFonts w:ascii="Arial" w:eastAsia="宋体" w:hAnsi="Arial" w:cs="Arial"/>
                <w:color w:val="000000"/>
                <w:sz w:val="13"/>
                <w:szCs w:val="13"/>
              </w:rPr>
              <w:t>109 </w:t>
            </w:r>
          </w:p>
        </w:tc>
        <w:tc>
          <w:tcPr>
            <w:tcW w:w="0" w:type="auto"/>
            <w:shd w:val="clear" w:color="auto" w:fill="FFFFFF"/>
            <w:tcMar>
              <w:top w:w="40" w:type="dxa"/>
              <w:left w:w="0" w:type="dxa"/>
              <w:bottom w:w="40" w:type="dxa"/>
              <w:right w:w="20" w:type="dxa"/>
            </w:tcMar>
            <w:vAlign w:val="bottom"/>
          </w:tcPr>
          <w:p w14:paraId="5EA1EBE7" w14:textId="77777777" w:rsidR="003C66EB" w:rsidRDefault="003C66EB">
            <w:pPr>
              <w:jc w:val="right"/>
              <w:rPr>
                <w:rFonts w:ascii="宋体"/>
              </w:rPr>
            </w:pPr>
          </w:p>
        </w:tc>
        <w:tc>
          <w:tcPr>
            <w:tcW w:w="0" w:type="auto"/>
            <w:shd w:val="clear" w:color="auto" w:fill="auto"/>
          </w:tcPr>
          <w:p w14:paraId="5EA1EBE8" w14:textId="77777777" w:rsidR="003C66EB" w:rsidRDefault="003C66EB">
            <w:pPr>
              <w:rPr>
                <w:rFonts w:ascii="宋体"/>
                <w:vanish/>
              </w:rPr>
            </w:pPr>
          </w:p>
        </w:tc>
        <w:tc>
          <w:tcPr>
            <w:tcW w:w="0" w:type="auto"/>
            <w:shd w:val="clear" w:color="auto" w:fill="auto"/>
          </w:tcPr>
          <w:p w14:paraId="5EA1EBE9"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1EBE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BEB"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BEC" w14:textId="77777777" w:rsidR="003C66EB" w:rsidRDefault="003C66EB">
            <w:pPr>
              <w:jc w:val="right"/>
              <w:rPr>
                <w:rFonts w:ascii="宋体"/>
              </w:rPr>
            </w:pPr>
          </w:p>
        </w:tc>
        <w:tc>
          <w:tcPr>
            <w:tcW w:w="0" w:type="auto"/>
            <w:gridSpan w:val="3"/>
            <w:shd w:val="clear" w:color="auto" w:fill="auto"/>
          </w:tcPr>
          <w:p w14:paraId="5EA1EBED" w14:textId="77777777" w:rsidR="003C66EB" w:rsidRDefault="003C66EB">
            <w:pPr>
              <w:rPr>
                <w:rFonts w:ascii="宋体"/>
                <w:vanish/>
              </w:rPr>
            </w:pPr>
          </w:p>
        </w:tc>
        <w:tc>
          <w:tcPr>
            <w:tcW w:w="0" w:type="auto"/>
            <w:gridSpan w:val="3"/>
            <w:shd w:val="clear" w:color="auto" w:fill="auto"/>
          </w:tcPr>
          <w:p w14:paraId="5EA1EBEE" w14:textId="77777777" w:rsidR="003C66EB" w:rsidRDefault="003C66EB">
            <w:pPr>
              <w:rPr>
                <w:rFonts w:ascii="宋体"/>
                <w:vanish/>
              </w:rPr>
            </w:pPr>
          </w:p>
        </w:tc>
      </w:tr>
      <w:tr w:rsidR="003C66EB" w14:paraId="5EA1EBFD" w14:textId="77777777">
        <w:tc>
          <w:tcPr>
            <w:tcW w:w="0" w:type="auto"/>
            <w:gridSpan w:val="3"/>
            <w:shd w:val="clear" w:color="auto" w:fill="CCEEFF"/>
            <w:tcMar>
              <w:top w:w="40" w:type="dxa"/>
              <w:left w:w="20" w:type="dxa"/>
              <w:bottom w:w="40" w:type="dxa"/>
              <w:right w:w="20" w:type="dxa"/>
            </w:tcMar>
          </w:tcPr>
          <w:p w14:paraId="5EA1EBF0" w14:textId="77777777" w:rsidR="003C66EB" w:rsidRDefault="00D96C4E">
            <w:pPr>
              <w:textAlignment w:val="top"/>
            </w:pPr>
            <w:r>
              <w:rPr>
                <w:rFonts w:ascii="Arial" w:eastAsia="宋体" w:hAnsi="Arial" w:cs="Arial"/>
                <w:color w:val="000000"/>
                <w:sz w:val="13"/>
                <w:szCs w:val="13"/>
              </w:rPr>
              <w:t>Amortiz</w:t>
            </w:r>
            <w:r>
              <w:rPr>
                <w:rFonts w:ascii="Arial" w:eastAsia="宋体" w:hAnsi="Arial" w:cs="Arial"/>
                <w:color w:val="000000"/>
                <w:sz w:val="13"/>
                <w:szCs w:val="13"/>
              </w:rPr>
              <w:t>ation of other intangible assets</w:t>
            </w:r>
          </w:p>
        </w:tc>
        <w:tc>
          <w:tcPr>
            <w:tcW w:w="0" w:type="auto"/>
            <w:gridSpan w:val="2"/>
            <w:shd w:val="clear" w:color="auto" w:fill="CCEEFF"/>
            <w:tcMar>
              <w:top w:w="40" w:type="dxa"/>
              <w:left w:w="20" w:type="dxa"/>
              <w:bottom w:w="40" w:type="dxa"/>
              <w:right w:w="0" w:type="dxa"/>
            </w:tcMar>
            <w:vAlign w:val="bottom"/>
          </w:tcPr>
          <w:p w14:paraId="5EA1EBF1" w14:textId="77777777" w:rsidR="003C66EB" w:rsidRDefault="00D96C4E">
            <w:pPr>
              <w:jc w:val="right"/>
              <w:textAlignment w:val="bottom"/>
            </w:pPr>
            <w:r>
              <w:rPr>
                <w:rFonts w:ascii="Arial" w:eastAsia="宋体" w:hAnsi="Arial" w:cs="Arial"/>
                <w:b/>
                <w:bCs/>
                <w:color w:val="000000"/>
                <w:sz w:val="13"/>
                <w:szCs w:val="13"/>
              </w:rPr>
              <w:t>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BF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BF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BF4" w14:textId="77777777" w:rsidR="003C66EB" w:rsidRDefault="00D96C4E">
            <w:pPr>
              <w:jc w:val="right"/>
              <w:textAlignment w:val="bottom"/>
            </w:pPr>
            <w:r>
              <w:rPr>
                <w:rFonts w:ascii="Arial" w:eastAsia="宋体" w:hAnsi="Arial" w:cs="Arial"/>
                <w:color w:val="000000"/>
                <w:sz w:val="13"/>
                <w:szCs w:val="13"/>
              </w:rPr>
              <w:t>58 </w:t>
            </w:r>
          </w:p>
        </w:tc>
        <w:tc>
          <w:tcPr>
            <w:tcW w:w="0" w:type="auto"/>
            <w:shd w:val="clear" w:color="auto" w:fill="CCEEFF"/>
            <w:tcMar>
              <w:top w:w="40" w:type="dxa"/>
              <w:left w:w="0" w:type="dxa"/>
              <w:bottom w:w="40" w:type="dxa"/>
              <w:right w:w="20" w:type="dxa"/>
            </w:tcMar>
            <w:vAlign w:val="bottom"/>
          </w:tcPr>
          <w:p w14:paraId="5EA1EBF5" w14:textId="77777777" w:rsidR="003C66EB" w:rsidRDefault="003C66EB">
            <w:pPr>
              <w:jc w:val="right"/>
              <w:rPr>
                <w:rFonts w:ascii="宋体"/>
              </w:rPr>
            </w:pPr>
          </w:p>
        </w:tc>
        <w:tc>
          <w:tcPr>
            <w:tcW w:w="0" w:type="auto"/>
            <w:shd w:val="clear" w:color="auto" w:fill="auto"/>
          </w:tcPr>
          <w:p w14:paraId="5EA1EBF6" w14:textId="77777777" w:rsidR="003C66EB" w:rsidRDefault="003C66EB">
            <w:pPr>
              <w:rPr>
                <w:rFonts w:ascii="宋体"/>
                <w:vanish/>
              </w:rPr>
            </w:pPr>
          </w:p>
        </w:tc>
        <w:tc>
          <w:tcPr>
            <w:tcW w:w="0" w:type="auto"/>
            <w:shd w:val="clear" w:color="auto" w:fill="auto"/>
          </w:tcPr>
          <w:p w14:paraId="5EA1EBF7"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BF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BF9"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BFA" w14:textId="77777777" w:rsidR="003C66EB" w:rsidRDefault="003C66EB">
            <w:pPr>
              <w:jc w:val="right"/>
              <w:rPr>
                <w:rFonts w:ascii="宋体"/>
              </w:rPr>
            </w:pPr>
          </w:p>
        </w:tc>
        <w:tc>
          <w:tcPr>
            <w:tcW w:w="0" w:type="auto"/>
            <w:gridSpan w:val="3"/>
            <w:shd w:val="clear" w:color="auto" w:fill="auto"/>
          </w:tcPr>
          <w:p w14:paraId="5EA1EBFB" w14:textId="77777777" w:rsidR="003C66EB" w:rsidRDefault="003C66EB">
            <w:pPr>
              <w:rPr>
                <w:rFonts w:ascii="宋体"/>
                <w:vanish/>
              </w:rPr>
            </w:pPr>
          </w:p>
        </w:tc>
        <w:tc>
          <w:tcPr>
            <w:tcW w:w="0" w:type="auto"/>
            <w:gridSpan w:val="3"/>
            <w:shd w:val="clear" w:color="auto" w:fill="auto"/>
          </w:tcPr>
          <w:p w14:paraId="5EA1EBFC" w14:textId="77777777" w:rsidR="003C66EB" w:rsidRDefault="003C66EB">
            <w:pPr>
              <w:rPr>
                <w:rFonts w:ascii="宋体"/>
                <w:vanish/>
              </w:rPr>
            </w:pPr>
          </w:p>
        </w:tc>
      </w:tr>
      <w:tr w:rsidR="003C66EB" w14:paraId="5EA1EC0B" w14:textId="77777777">
        <w:tc>
          <w:tcPr>
            <w:tcW w:w="0" w:type="auto"/>
            <w:gridSpan w:val="3"/>
            <w:shd w:val="clear" w:color="auto" w:fill="FFFFFF"/>
            <w:tcMar>
              <w:top w:w="40" w:type="dxa"/>
              <w:left w:w="20" w:type="dxa"/>
              <w:bottom w:w="40" w:type="dxa"/>
              <w:right w:w="20" w:type="dxa"/>
            </w:tcMar>
            <w:vAlign w:val="bottom"/>
          </w:tcPr>
          <w:p w14:paraId="5EA1EBFE" w14:textId="77777777" w:rsidR="003C66EB" w:rsidRDefault="00D96C4E">
            <w:pPr>
              <w:textAlignment w:val="bottom"/>
            </w:pPr>
            <w:r>
              <w:rPr>
                <w:rFonts w:ascii="Arial" w:eastAsia="宋体" w:hAnsi="Arial" w:cs="Arial"/>
                <w:color w:val="000000"/>
                <w:sz w:val="13"/>
                <w:szCs w:val="13"/>
              </w:rPr>
              <w:t>Acquisi</w:t>
            </w:r>
            <w:r>
              <w:rPr>
                <w:rFonts w:ascii="Arial" w:eastAsia="宋体" w:hAnsi="Arial" w:cs="Arial"/>
                <w:color w:val="000000"/>
                <w:sz w:val="13"/>
                <w:szCs w:val="13"/>
              </w:rPr>
              <w:t>tion costs</w:t>
            </w:r>
          </w:p>
        </w:tc>
        <w:tc>
          <w:tcPr>
            <w:tcW w:w="0" w:type="auto"/>
            <w:gridSpan w:val="2"/>
            <w:shd w:val="clear" w:color="auto" w:fill="FFFFFF"/>
            <w:tcMar>
              <w:top w:w="40" w:type="dxa"/>
              <w:left w:w="20" w:type="dxa"/>
              <w:bottom w:w="40" w:type="dxa"/>
              <w:right w:w="0" w:type="dxa"/>
            </w:tcMar>
            <w:vAlign w:val="bottom"/>
          </w:tcPr>
          <w:p w14:paraId="5EA1EBFF" w14:textId="77777777" w:rsidR="003C66EB" w:rsidRDefault="00D96C4E">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C0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C0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C02" w14:textId="77777777" w:rsidR="003C66EB" w:rsidRDefault="00D96C4E">
            <w:pPr>
              <w:jc w:val="right"/>
              <w:textAlignment w:val="bottom"/>
            </w:pPr>
            <w:r>
              <w:rPr>
                <w:rFonts w:ascii="Arial" w:eastAsia="宋体" w:hAnsi="Arial" w:cs="Arial"/>
                <w:color w:val="000000"/>
                <w:sz w:val="13"/>
                <w:szCs w:val="13"/>
              </w:rPr>
              <w:t>11 </w:t>
            </w:r>
          </w:p>
        </w:tc>
        <w:tc>
          <w:tcPr>
            <w:tcW w:w="0" w:type="auto"/>
            <w:shd w:val="clear" w:color="auto" w:fill="FFFFFF"/>
            <w:tcMar>
              <w:top w:w="40" w:type="dxa"/>
              <w:left w:w="0" w:type="dxa"/>
              <w:bottom w:w="40" w:type="dxa"/>
              <w:right w:w="20" w:type="dxa"/>
            </w:tcMar>
            <w:vAlign w:val="bottom"/>
          </w:tcPr>
          <w:p w14:paraId="5EA1EC03" w14:textId="77777777" w:rsidR="003C66EB" w:rsidRDefault="003C66EB">
            <w:pPr>
              <w:jc w:val="right"/>
              <w:rPr>
                <w:rFonts w:ascii="宋体"/>
              </w:rPr>
            </w:pPr>
          </w:p>
        </w:tc>
        <w:tc>
          <w:tcPr>
            <w:tcW w:w="0" w:type="auto"/>
            <w:shd w:val="clear" w:color="auto" w:fill="auto"/>
          </w:tcPr>
          <w:p w14:paraId="5EA1EC04" w14:textId="77777777" w:rsidR="003C66EB" w:rsidRDefault="003C66EB">
            <w:pPr>
              <w:rPr>
                <w:rFonts w:ascii="宋体"/>
                <w:vanish/>
              </w:rPr>
            </w:pPr>
          </w:p>
        </w:tc>
        <w:tc>
          <w:tcPr>
            <w:tcW w:w="0" w:type="auto"/>
            <w:shd w:val="clear" w:color="auto" w:fill="auto"/>
          </w:tcPr>
          <w:p w14:paraId="5EA1EC05"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1EC0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C0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C08" w14:textId="77777777" w:rsidR="003C66EB" w:rsidRDefault="003C66EB">
            <w:pPr>
              <w:jc w:val="right"/>
              <w:rPr>
                <w:rFonts w:ascii="宋体"/>
              </w:rPr>
            </w:pPr>
          </w:p>
        </w:tc>
        <w:tc>
          <w:tcPr>
            <w:tcW w:w="0" w:type="auto"/>
            <w:gridSpan w:val="3"/>
            <w:shd w:val="clear" w:color="auto" w:fill="auto"/>
          </w:tcPr>
          <w:p w14:paraId="5EA1EC09" w14:textId="77777777" w:rsidR="003C66EB" w:rsidRDefault="003C66EB">
            <w:pPr>
              <w:rPr>
                <w:rFonts w:ascii="宋体"/>
                <w:vanish/>
              </w:rPr>
            </w:pPr>
          </w:p>
        </w:tc>
        <w:tc>
          <w:tcPr>
            <w:tcW w:w="0" w:type="auto"/>
            <w:gridSpan w:val="3"/>
            <w:shd w:val="clear" w:color="auto" w:fill="auto"/>
          </w:tcPr>
          <w:p w14:paraId="5EA1EC0A" w14:textId="77777777" w:rsidR="003C66EB" w:rsidRDefault="003C66EB">
            <w:pPr>
              <w:rPr>
                <w:rFonts w:ascii="宋体"/>
                <w:vanish/>
              </w:rPr>
            </w:pPr>
          </w:p>
        </w:tc>
      </w:tr>
      <w:tr w:rsidR="003C66EB" w14:paraId="5EA1EC19" w14:textId="77777777">
        <w:tc>
          <w:tcPr>
            <w:tcW w:w="0" w:type="auto"/>
            <w:gridSpan w:val="3"/>
            <w:shd w:val="clear" w:color="auto" w:fill="CCEEFF"/>
            <w:tcMar>
              <w:top w:w="40" w:type="dxa"/>
              <w:left w:w="20" w:type="dxa"/>
              <w:bottom w:w="40" w:type="dxa"/>
              <w:right w:w="20" w:type="dxa"/>
            </w:tcMar>
            <w:vAlign w:val="bottom"/>
          </w:tcPr>
          <w:p w14:paraId="5EA1EC0C" w14:textId="77777777" w:rsidR="003C66EB" w:rsidRDefault="00D96C4E">
            <w:pPr>
              <w:textAlignment w:val="bottom"/>
            </w:pPr>
            <w:r>
              <w:rPr>
                <w:rFonts w:ascii="Arial" w:eastAsia="宋体" w:hAnsi="Arial" w:cs="Arial"/>
                <w:color w:val="000000"/>
                <w:sz w:val="13"/>
                <w:szCs w:val="13"/>
              </w:rPr>
              <w:t>Restructuring charges, net</w:t>
            </w:r>
          </w:p>
        </w:tc>
        <w:tc>
          <w:tcPr>
            <w:tcW w:w="0" w:type="auto"/>
            <w:gridSpan w:val="2"/>
            <w:shd w:val="clear" w:color="auto" w:fill="CCEEFF"/>
            <w:tcMar>
              <w:top w:w="40" w:type="dxa"/>
              <w:left w:w="20" w:type="dxa"/>
              <w:bottom w:w="40" w:type="dxa"/>
              <w:right w:w="0" w:type="dxa"/>
            </w:tcMar>
            <w:vAlign w:val="bottom"/>
          </w:tcPr>
          <w:p w14:paraId="5EA1EC0D" w14:textId="77777777" w:rsidR="003C66EB" w:rsidRDefault="00D96C4E">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5EA1EC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C0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C10"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C11" w14:textId="77777777" w:rsidR="003C66EB" w:rsidRDefault="003C66EB">
            <w:pPr>
              <w:jc w:val="right"/>
              <w:rPr>
                <w:rFonts w:ascii="宋体"/>
              </w:rPr>
            </w:pPr>
          </w:p>
        </w:tc>
        <w:tc>
          <w:tcPr>
            <w:tcW w:w="0" w:type="auto"/>
            <w:shd w:val="clear" w:color="auto" w:fill="auto"/>
          </w:tcPr>
          <w:p w14:paraId="5EA1EC12" w14:textId="77777777" w:rsidR="003C66EB" w:rsidRDefault="003C66EB">
            <w:pPr>
              <w:rPr>
                <w:rFonts w:ascii="宋体"/>
                <w:vanish/>
              </w:rPr>
            </w:pPr>
          </w:p>
        </w:tc>
        <w:tc>
          <w:tcPr>
            <w:tcW w:w="0" w:type="auto"/>
            <w:shd w:val="clear" w:color="auto" w:fill="auto"/>
          </w:tcPr>
          <w:p w14:paraId="5EA1EC13"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C1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C15"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C16" w14:textId="77777777" w:rsidR="003C66EB" w:rsidRDefault="003C66EB">
            <w:pPr>
              <w:jc w:val="right"/>
              <w:rPr>
                <w:rFonts w:ascii="宋体"/>
              </w:rPr>
            </w:pPr>
          </w:p>
        </w:tc>
        <w:tc>
          <w:tcPr>
            <w:tcW w:w="0" w:type="auto"/>
            <w:gridSpan w:val="3"/>
            <w:shd w:val="clear" w:color="auto" w:fill="auto"/>
          </w:tcPr>
          <w:p w14:paraId="5EA1EC17" w14:textId="77777777" w:rsidR="003C66EB" w:rsidRDefault="003C66EB">
            <w:pPr>
              <w:rPr>
                <w:rFonts w:ascii="宋体"/>
                <w:vanish/>
              </w:rPr>
            </w:pPr>
          </w:p>
        </w:tc>
        <w:tc>
          <w:tcPr>
            <w:tcW w:w="0" w:type="auto"/>
            <w:gridSpan w:val="3"/>
            <w:shd w:val="clear" w:color="auto" w:fill="auto"/>
          </w:tcPr>
          <w:p w14:paraId="5EA1EC18" w14:textId="77777777" w:rsidR="003C66EB" w:rsidRDefault="003C66EB">
            <w:pPr>
              <w:rPr>
                <w:rFonts w:ascii="宋体"/>
                <w:vanish/>
              </w:rPr>
            </w:pPr>
          </w:p>
        </w:tc>
      </w:tr>
      <w:tr w:rsidR="003C66EB" w14:paraId="5EA1EC24" w14:textId="77777777">
        <w:tc>
          <w:tcPr>
            <w:tcW w:w="0" w:type="auto"/>
            <w:gridSpan w:val="3"/>
            <w:shd w:val="clear" w:color="auto" w:fill="FFFFFF"/>
            <w:tcMar>
              <w:top w:w="40" w:type="dxa"/>
              <w:left w:w="20" w:type="dxa"/>
              <w:bottom w:w="40" w:type="dxa"/>
              <w:right w:w="20" w:type="dxa"/>
            </w:tcMar>
            <w:vAlign w:val="bottom"/>
          </w:tcPr>
          <w:p w14:paraId="5EA1EC1A" w14:textId="77777777" w:rsidR="003C66EB" w:rsidRDefault="00D96C4E">
            <w:pPr>
              <w:textAlignment w:val="bottom"/>
            </w:pPr>
            <w:r>
              <w:rPr>
                <w:rFonts w:ascii="Arial" w:eastAsia="宋体" w:hAnsi="Arial" w:cs="Arial"/>
                <w:color w:val="000000"/>
                <w:sz w:val="13"/>
                <w:szCs w:val="13"/>
              </w:rPr>
              <w:t>Other:</w:t>
            </w:r>
          </w:p>
        </w:tc>
        <w:tc>
          <w:tcPr>
            <w:tcW w:w="0" w:type="auto"/>
            <w:gridSpan w:val="3"/>
            <w:shd w:val="clear" w:color="auto" w:fill="FFFFFF"/>
            <w:tcMar>
              <w:top w:w="0" w:type="dxa"/>
              <w:left w:w="20" w:type="dxa"/>
              <w:bottom w:w="0" w:type="dxa"/>
              <w:right w:w="20" w:type="dxa"/>
            </w:tcMar>
          </w:tcPr>
          <w:p w14:paraId="5EA1EC1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C1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C1D" w14:textId="77777777" w:rsidR="003C66EB" w:rsidRDefault="003C66EB">
            <w:pPr>
              <w:rPr>
                <w:rFonts w:ascii="宋体"/>
              </w:rPr>
            </w:pPr>
          </w:p>
        </w:tc>
        <w:tc>
          <w:tcPr>
            <w:tcW w:w="0" w:type="auto"/>
            <w:shd w:val="clear" w:color="auto" w:fill="auto"/>
          </w:tcPr>
          <w:p w14:paraId="5EA1EC1E" w14:textId="77777777" w:rsidR="003C66EB" w:rsidRDefault="003C66EB">
            <w:pPr>
              <w:rPr>
                <w:rFonts w:ascii="宋体"/>
                <w:vanish/>
              </w:rPr>
            </w:pPr>
          </w:p>
        </w:tc>
        <w:tc>
          <w:tcPr>
            <w:tcW w:w="0" w:type="auto"/>
            <w:shd w:val="clear" w:color="auto" w:fill="auto"/>
          </w:tcPr>
          <w:p w14:paraId="5EA1EC1F"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1EC2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EC21" w14:textId="77777777" w:rsidR="003C66EB" w:rsidRDefault="003C66EB">
            <w:pPr>
              <w:rPr>
                <w:rFonts w:ascii="宋体"/>
              </w:rPr>
            </w:pPr>
          </w:p>
        </w:tc>
        <w:tc>
          <w:tcPr>
            <w:tcW w:w="0" w:type="auto"/>
            <w:gridSpan w:val="3"/>
            <w:shd w:val="clear" w:color="auto" w:fill="auto"/>
          </w:tcPr>
          <w:p w14:paraId="5EA1EC22" w14:textId="77777777" w:rsidR="003C66EB" w:rsidRDefault="003C66EB">
            <w:pPr>
              <w:rPr>
                <w:rFonts w:ascii="宋体"/>
                <w:vanish/>
              </w:rPr>
            </w:pPr>
          </w:p>
        </w:tc>
        <w:tc>
          <w:tcPr>
            <w:tcW w:w="0" w:type="auto"/>
            <w:gridSpan w:val="3"/>
            <w:shd w:val="clear" w:color="auto" w:fill="auto"/>
          </w:tcPr>
          <w:p w14:paraId="5EA1EC23" w14:textId="77777777" w:rsidR="003C66EB" w:rsidRDefault="003C66EB">
            <w:pPr>
              <w:rPr>
                <w:rFonts w:ascii="宋体"/>
                <w:vanish/>
              </w:rPr>
            </w:pPr>
          </w:p>
        </w:tc>
      </w:tr>
      <w:tr w:rsidR="003C66EB" w14:paraId="5EA1EC32" w14:textId="77777777">
        <w:tc>
          <w:tcPr>
            <w:tcW w:w="0" w:type="auto"/>
            <w:gridSpan w:val="3"/>
            <w:shd w:val="clear" w:color="auto" w:fill="CCEEFF"/>
            <w:tcMar>
              <w:top w:w="40" w:type="dxa"/>
              <w:left w:w="155" w:type="dxa"/>
              <w:bottom w:w="40" w:type="dxa"/>
              <w:right w:w="20" w:type="dxa"/>
            </w:tcMar>
            <w:vAlign w:val="bottom"/>
          </w:tcPr>
          <w:p w14:paraId="5EA1EC25" w14:textId="77777777" w:rsidR="003C66EB" w:rsidRDefault="00D96C4E">
            <w:pPr>
              <w:textAlignment w:val="bottom"/>
            </w:pPr>
            <w:r>
              <w:rPr>
                <w:rFonts w:ascii="Arial" w:eastAsia="宋体" w:hAnsi="Arial" w:cs="Arial"/>
                <w:color w:val="000000"/>
                <w:sz w:val="13"/>
                <w:szCs w:val="13"/>
              </w:rPr>
              <w:t>Professional services</w:t>
            </w:r>
          </w:p>
        </w:tc>
        <w:tc>
          <w:tcPr>
            <w:tcW w:w="0" w:type="auto"/>
            <w:gridSpan w:val="2"/>
            <w:shd w:val="clear" w:color="auto" w:fill="CCEEFF"/>
            <w:tcMar>
              <w:top w:w="40" w:type="dxa"/>
              <w:left w:w="20" w:type="dxa"/>
              <w:bottom w:w="40" w:type="dxa"/>
              <w:right w:w="0" w:type="dxa"/>
            </w:tcMar>
            <w:vAlign w:val="bottom"/>
          </w:tcPr>
          <w:p w14:paraId="5EA1EC26" w14:textId="77777777" w:rsidR="003C66EB" w:rsidRDefault="00D96C4E">
            <w:pPr>
              <w:jc w:val="right"/>
              <w:textAlignment w:val="bottom"/>
            </w:pPr>
            <w:r>
              <w:rPr>
                <w:rFonts w:ascii="Arial" w:eastAsia="宋体" w:hAnsi="Arial" w:cs="Arial"/>
                <w:b/>
                <w:bCs/>
                <w:color w:val="000000"/>
                <w:sz w:val="13"/>
                <w:szCs w:val="13"/>
              </w:rPr>
              <w:t>80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C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C2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C29" w14:textId="77777777" w:rsidR="003C66EB" w:rsidRDefault="00D96C4E">
            <w:pPr>
              <w:jc w:val="right"/>
              <w:textAlignment w:val="bottom"/>
            </w:pPr>
            <w:r>
              <w:rPr>
                <w:rFonts w:ascii="Arial" w:eastAsia="宋体" w:hAnsi="Arial" w:cs="Arial"/>
                <w:color w:val="000000"/>
                <w:sz w:val="13"/>
                <w:szCs w:val="13"/>
              </w:rPr>
              <w:t>81 </w:t>
            </w:r>
          </w:p>
        </w:tc>
        <w:tc>
          <w:tcPr>
            <w:tcW w:w="0" w:type="auto"/>
            <w:shd w:val="clear" w:color="auto" w:fill="CCEEFF"/>
            <w:tcMar>
              <w:top w:w="40" w:type="dxa"/>
              <w:left w:w="0" w:type="dxa"/>
              <w:bottom w:w="40" w:type="dxa"/>
              <w:right w:w="20" w:type="dxa"/>
            </w:tcMar>
            <w:vAlign w:val="bottom"/>
          </w:tcPr>
          <w:p w14:paraId="5EA1EC2A" w14:textId="77777777" w:rsidR="003C66EB" w:rsidRDefault="003C66EB">
            <w:pPr>
              <w:jc w:val="right"/>
              <w:rPr>
                <w:rFonts w:ascii="宋体"/>
              </w:rPr>
            </w:pPr>
          </w:p>
        </w:tc>
        <w:tc>
          <w:tcPr>
            <w:tcW w:w="0" w:type="auto"/>
            <w:shd w:val="clear" w:color="auto" w:fill="auto"/>
          </w:tcPr>
          <w:p w14:paraId="5EA1EC2B" w14:textId="77777777" w:rsidR="003C66EB" w:rsidRDefault="003C66EB">
            <w:pPr>
              <w:rPr>
                <w:rFonts w:ascii="宋体"/>
                <w:vanish/>
              </w:rPr>
            </w:pPr>
          </w:p>
        </w:tc>
        <w:tc>
          <w:tcPr>
            <w:tcW w:w="0" w:type="auto"/>
            <w:shd w:val="clear" w:color="auto" w:fill="auto"/>
          </w:tcPr>
          <w:p w14:paraId="5EA1EC2C"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C2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C2E" w14:textId="77777777" w:rsidR="003C66EB" w:rsidRDefault="00D96C4E">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A1EC2F" w14:textId="77777777" w:rsidR="003C66EB" w:rsidRDefault="003C66EB">
            <w:pPr>
              <w:jc w:val="right"/>
              <w:rPr>
                <w:rFonts w:ascii="宋体"/>
              </w:rPr>
            </w:pPr>
          </w:p>
        </w:tc>
        <w:tc>
          <w:tcPr>
            <w:tcW w:w="0" w:type="auto"/>
            <w:gridSpan w:val="3"/>
            <w:shd w:val="clear" w:color="auto" w:fill="auto"/>
          </w:tcPr>
          <w:p w14:paraId="5EA1EC30" w14:textId="77777777" w:rsidR="003C66EB" w:rsidRDefault="003C66EB">
            <w:pPr>
              <w:rPr>
                <w:rFonts w:ascii="宋体"/>
                <w:vanish/>
              </w:rPr>
            </w:pPr>
          </w:p>
        </w:tc>
        <w:tc>
          <w:tcPr>
            <w:tcW w:w="0" w:type="auto"/>
            <w:gridSpan w:val="3"/>
            <w:shd w:val="clear" w:color="auto" w:fill="auto"/>
          </w:tcPr>
          <w:p w14:paraId="5EA1EC31" w14:textId="77777777" w:rsidR="003C66EB" w:rsidRDefault="003C66EB">
            <w:pPr>
              <w:rPr>
                <w:rFonts w:ascii="宋体"/>
                <w:vanish/>
              </w:rPr>
            </w:pPr>
          </w:p>
        </w:tc>
      </w:tr>
      <w:tr w:rsidR="003C66EB" w14:paraId="5EA1EC40" w14:textId="77777777">
        <w:tc>
          <w:tcPr>
            <w:tcW w:w="0" w:type="auto"/>
            <w:gridSpan w:val="3"/>
            <w:shd w:val="clear" w:color="auto" w:fill="FFFFFF"/>
            <w:tcMar>
              <w:top w:w="40" w:type="dxa"/>
              <w:left w:w="20" w:type="dxa"/>
              <w:bottom w:w="40" w:type="dxa"/>
              <w:right w:w="20" w:type="dxa"/>
            </w:tcMar>
            <w:vAlign w:val="bottom"/>
          </w:tcPr>
          <w:p w14:paraId="5EA1EC33" w14:textId="77777777" w:rsidR="003C66EB" w:rsidRDefault="00D96C4E">
            <w:pPr>
              <w:textAlignment w:val="bottom"/>
            </w:pPr>
            <w:r>
              <w:rPr>
                <w:rFonts w:ascii="Arial" w:eastAsia="宋体" w:hAnsi="Arial" w:cs="Arial"/>
                <w:color w:val="000000"/>
                <w:sz w:val="13"/>
                <w:szCs w:val="13"/>
              </w:rPr>
              <w:t>Ot</w:t>
            </w:r>
            <w:r>
              <w:rPr>
                <w:rFonts w:ascii="Arial" w:eastAsia="宋体" w:hAnsi="Arial" w:cs="Arial"/>
                <w:color w:val="000000"/>
                <w:sz w:val="13"/>
                <w:szCs w:val="13"/>
              </w:rPr>
              <w:t>her</w:t>
            </w:r>
            <w:r>
              <w:rPr>
                <w:rFonts w:ascii="Arial" w:eastAsia="宋体" w:hAnsi="Arial" w:cs="Arial"/>
                <w:color w:val="000000"/>
                <w:sz w:val="8"/>
                <w:szCs w:val="8"/>
              </w:rPr>
              <w:t>(1)</w:t>
            </w:r>
          </w:p>
        </w:tc>
        <w:tc>
          <w:tcPr>
            <w:tcW w:w="0" w:type="auto"/>
            <w:gridSpan w:val="2"/>
            <w:shd w:val="clear" w:color="auto" w:fill="FFFFFF"/>
            <w:tcMar>
              <w:top w:w="40" w:type="dxa"/>
              <w:left w:w="20" w:type="dxa"/>
              <w:bottom w:w="40" w:type="dxa"/>
              <w:right w:w="0" w:type="dxa"/>
            </w:tcMar>
            <w:vAlign w:val="bottom"/>
          </w:tcPr>
          <w:p w14:paraId="5EA1EC34" w14:textId="77777777" w:rsidR="003C66EB" w:rsidRDefault="00D96C4E">
            <w:pPr>
              <w:jc w:val="right"/>
              <w:textAlignment w:val="bottom"/>
            </w:pPr>
            <w:r>
              <w:rPr>
                <w:rFonts w:ascii="Arial" w:eastAsia="宋体" w:hAnsi="Arial" w:cs="Arial"/>
                <w:b/>
                <w:bCs/>
                <w:color w:val="000000"/>
                <w:sz w:val="13"/>
                <w:szCs w:val="13"/>
              </w:rPr>
              <w:t>142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1EC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C3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C37" w14:textId="77777777" w:rsidR="003C66EB" w:rsidRDefault="00D96C4E">
            <w:pPr>
              <w:jc w:val="right"/>
              <w:textAlignment w:val="bottom"/>
            </w:pPr>
            <w:r>
              <w:rPr>
                <w:rFonts w:ascii="Arial" w:eastAsia="宋体" w:hAnsi="Arial" w:cs="Arial"/>
                <w:color w:val="000000"/>
                <w:sz w:val="13"/>
                <w:szCs w:val="13"/>
              </w:rPr>
              <w:t>149 </w:t>
            </w:r>
          </w:p>
        </w:tc>
        <w:tc>
          <w:tcPr>
            <w:tcW w:w="0" w:type="auto"/>
            <w:shd w:val="clear" w:color="auto" w:fill="FFFFFF"/>
            <w:tcMar>
              <w:top w:w="40" w:type="dxa"/>
              <w:left w:w="0" w:type="dxa"/>
              <w:bottom w:w="40" w:type="dxa"/>
              <w:right w:w="20" w:type="dxa"/>
            </w:tcMar>
            <w:vAlign w:val="bottom"/>
          </w:tcPr>
          <w:p w14:paraId="5EA1EC38" w14:textId="77777777" w:rsidR="003C66EB" w:rsidRDefault="003C66EB">
            <w:pPr>
              <w:jc w:val="right"/>
              <w:rPr>
                <w:rFonts w:ascii="宋体"/>
              </w:rPr>
            </w:pPr>
          </w:p>
        </w:tc>
        <w:tc>
          <w:tcPr>
            <w:tcW w:w="0" w:type="auto"/>
            <w:shd w:val="clear" w:color="auto" w:fill="auto"/>
          </w:tcPr>
          <w:p w14:paraId="5EA1EC39" w14:textId="77777777" w:rsidR="003C66EB" w:rsidRDefault="003C66EB">
            <w:pPr>
              <w:rPr>
                <w:rFonts w:ascii="宋体"/>
                <w:vanish/>
              </w:rPr>
            </w:pPr>
          </w:p>
        </w:tc>
        <w:tc>
          <w:tcPr>
            <w:tcW w:w="0" w:type="auto"/>
            <w:shd w:val="clear" w:color="auto" w:fill="auto"/>
          </w:tcPr>
          <w:p w14:paraId="5EA1EC3A"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1EC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C3C" w14:textId="77777777" w:rsidR="003C66EB" w:rsidRDefault="00D96C4E">
            <w:pPr>
              <w:jc w:val="right"/>
              <w:textAlignment w:val="bottom"/>
            </w:pPr>
            <w:r>
              <w:rPr>
                <w:rFonts w:ascii="Arial" w:eastAsia="宋体" w:hAnsi="Arial" w:cs="Arial"/>
                <w:color w:val="000000"/>
                <w:sz w:val="13"/>
                <w:szCs w:val="13"/>
              </w:rPr>
              <w:t>(5)</w:t>
            </w:r>
          </w:p>
        </w:tc>
        <w:tc>
          <w:tcPr>
            <w:tcW w:w="0" w:type="auto"/>
            <w:shd w:val="clear" w:color="auto" w:fill="FFFFFF"/>
            <w:tcMar>
              <w:top w:w="40" w:type="dxa"/>
              <w:left w:w="0" w:type="dxa"/>
              <w:bottom w:w="40" w:type="dxa"/>
              <w:right w:w="20" w:type="dxa"/>
            </w:tcMar>
            <w:vAlign w:val="bottom"/>
          </w:tcPr>
          <w:p w14:paraId="5EA1EC3D" w14:textId="77777777" w:rsidR="003C66EB" w:rsidRDefault="003C66EB">
            <w:pPr>
              <w:jc w:val="right"/>
              <w:rPr>
                <w:rFonts w:ascii="宋体"/>
              </w:rPr>
            </w:pPr>
          </w:p>
        </w:tc>
        <w:tc>
          <w:tcPr>
            <w:tcW w:w="0" w:type="auto"/>
            <w:gridSpan w:val="3"/>
            <w:shd w:val="clear" w:color="auto" w:fill="auto"/>
          </w:tcPr>
          <w:p w14:paraId="5EA1EC3E" w14:textId="77777777" w:rsidR="003C66EB" w:rsidRDefault="003C66EB">
            <w:pPr>
              <w:rPr>
                <w:rFonts w:ascii="宋体"/>
                <w:vanish/>
              </w:rPr>
            </w:pPr>
          </w:p>
        </w:tc>
        <w:tc>
          <w:tcPr>
            <w:tcW w:w="0" w:type="auto"/>
            <w:gridSpan w:val="3"/>
            <w:shd w:val="clear" w:color="auto" w:fill="auto"/>
          </w:tcPr>
          <w:p w14:paraId="5EA1EC3F" w14:textId="77777777" w:rsidR="003C66EB" w:rsidRDefault="003C66EB">
            <w:pPr>
              <w:rPr>
                <w:rFonts w:ascii="宋体"/>
                <w:vanish/>
              </w:rPr>
            </w:pPr>
          </w:p>
        </w:tc>
      </w:tr>
      <w:tr w:rsidR="003C66EB" w14:paraId="5EA1EC4E" w14:textId="77777777">
        <w:tc>
          <w:tcPr>
            <w:tcW w:w="0" w:type="auto"/>
            <w:gridSpan w:val="3"/>
            <w:shd w:val="clear" w:color="auto" w:fill="CCEEFF"/>
            <w:tcMar>
              <w:top w:w="40" w:type="dxa"/>
              <w:left w:w="20" w:type="dxa"/>
              <w:bottom w:w="40" w:type="dxa"/>
              <w:right w:w="20" w:type="dxa"/>
            </w:tcMar>
            <w:vAlign w:val="bottom"/>
          </w:tcPr>
          <w:p w14:paraId="5EA1EC41" w14:textId="77777777" w:rsidR="003C66EB" w:rsidRDefault="00D96C4E">
            <w:pPr>
              <w:textAlignment w:val="bottom"/>
            </w:pPr>
            <w:r>
              <w:rPr>
                <w:rFonts w:ascii="Arial" w:eastAsia="宋体" w:hAnsi="Arial" w:cs="Arial"/>
                <w:color w:val="000000"/>
                <w:sz w:val="13"/>
                <w:szCs w:val="13"/>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C42" w14:textId="77777777" w:rsidR="003C66EB" w:rsidRDefault="00D96C4E">
            <w:pPr>
              <w:jc w:val="right"/>
              <w:textAlignment w:val="bottom"/>
            </w:pPr>
            <w:r>
              <w:rPr>
                <w:rFonts w:ascii="Arial" w:eastAsia="宋体" w:hAnsi="Arial" w:cs="Arial"/>
                <w:b/>
                <w:bCs/>
                <w:color w:val="000000"/>
                <w:sz w:val="13"/>
                <w:szCs w:val="13"/>
              </w:rPr>
              <w:t>222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C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C4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C45" w14:textId="77777777" w:rsidR="003C66EB" w:rsidRDefault="00D96C4E">
            <w:pPr>
              <w:jc w:val="right"/>
              <w:textAlignment w:val="bottom"/>
            </w:pPr>
            <w:r>
              <w:rPr>
                <w:rFonts w:ascii="Arial" w:eastAsia="宋体" w:hAnsi="Arial" w:cs="Arial"/>
                <w:color w:val="000000"/>
                <w:sz w:val="13"/>
                <w:szCs w:val="13"/>
              </w:rPr>
              <w:t>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C46" w14:textId="77777777" w:rsidR="003C66EB" w:rsidRDefault="003C66EB">
            <w:pPr>
              <w:jc w:val="right"/>
              <w:rPr>
                <w:rFonts w:ascii="宋体"/>
              </w:rPr>
            </w:pPr>
          </w:p>
        </w:tc>
        <w:tc>
          <w:tcPr>
            <w:tcW w:w="0" w:type="auto"/>
            <w:shd w:val="clear" w:color="auto" w:fill="auto"/>
          </w:tcPr>
          <w:p w14:paraId="5EA1EC47" w14:textId="77777777" w:rsidR="003C66EB" w:rsidRDefault="003C66EB">
            <w:pPr>
              <w:rPr>
                <w:rFonts w:ascii="宋体"/>
                <w:vanish/>
              </w:rPr>
            </w:pPr>
          </w:p>
        </w:tc>
        <w:tc>
          <w:tcPr>
            <w:tcW w:w="0" w:type="auto"/>
            <w:shd w:val="clear" w:color="auto" w:fill="auto"/>
          </w:tcPr>
          <w:p w14:paraId="5EA1EC48"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C4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C4A" w14:textId="77777777" w:rsidR="003C66EB" w:rsidRDefault="00D96C4E">
            <w:pPr>
              <w:jc w:val="right"/>
              <w:textAlignment w:val="bottom"/>
            </w:pPr>
            <w:r>
              <w:rPr>
                <w:rFonts w:ascii="Arial" w:eastAsia="宋体" w:hAnsi="Arial" w:cs="Arial"/>
                <w:color w:val="000000"/>
                <w:sz w:val="13"/>
                <w:szCs w:val="13"/>
              </w:rPr>
              <w:t>(3)</w:t>
            </w:r>
          </w:p>
        </w:tc>
        <w:tc>
          <w:tcPr>
            <w:tcW w:w="0" w:type="auto"/>
            <w:shd w:val="clear" w:color="auto" w:fill="CCEEFF"/>
            <w:tcMar>
              <w:top w:w="40" w:type="dxa"/>
              <w:left w:w="0" w:type="dxa"/>
              <w:bottom w:w="40" w:type="dxa"/>
              <w:right w:w="20" w:type="dxa"/>
            </w:tcMar>
            <w:vAlign w:val="bottom"/>
          </w:tcPr>
          <w:p w14:paraId="5EA1EC4B" w14:textId="77777777" w:rsidR="003C66EB" w:rsidRDefault="003C66EB">
            <w:pPr>
              <w:jc w:val="right"/>
              <w:rPr>
                <w:rFonts w:ascii="宋体"/>
              </w:rPr>
            </w:pPr>
          </w:p>
        </w:tc>
        <w:tc>
          <w:tcPr>
            <w:tcW w:w="0" w:type="auto"/>
            <w:gridSpan w:val="3"/>
            <w:shd w:val="clear" w:color="auto" w:fill="auto"/>
          </w:tcPr>
          <w:p w14:paraId="5EA1EC4C" w14:textId="77777777" w:rsidR="003C66EB" w:rsidRDefault="003C66EB">
            <w:pPr>
              <w:rPr>
                <w:rFonts w:ascii="宋体"/>
                <w:vanish/>
              </w:rPr>
            </w:pPr>
          </w:p>
        </w:tc>
        <w:tc>
          <w:tcPr>
            <w:tcW w:w="0" w:type="auto"/>
            <w:gridSpan w:val="3"/>
            <w:shd w:val="clear" w:color="auto" w:fill="auto"/>
          </w:tcPr>
          <w:p w14:paraId="5EA1EC4D" w14:textId="77777777" w:rsidR="003C66EB" w:rsidRDefault="003C66EB">
            <w:pPr>
              <w:rPr>
                <w:rFonts w:ascii="宋体"/>
                <w:vanish/>
              </w:rPr>
            </w:pPr>
          </w:p>
        </w:tc>
      </w:tr>
      <w:tr w:rsidR="003C66EB" w14:paraId="5EA1EC5E" w14:textId="77777777">
        <w:tc>
          <w:tcPr>
            <w:tcW w:w="0" w:type="auto"/>
            <w:gridSpan w:val="3"/>
            <w:shd w:val="clear" w:color="auto" w:fill="FFFFFF"/>
            <w:tcMar>
              <w:top w:w="40" w:type="dxa"/>
              <w:left w:w="20" w:type="dxa"/>
              <w:bottom w:w="40" w:type="dxa"/>
              <w:right w:w="20" w:type="dxa"/>
            </w:tcMar>
            <w:vAlign w:val="bottom"/>
          </w:tcPr>
          <w:p w14:paraId="5EA1EC4F" w14:textId="77777777" w:rsidR="003C66EB" w:rsidRDefault="00D96C4E">
            <w:pPr>
              <w:textAlignment w:val="bottom"/>
            </w:pPr>
            <w:r>
              <w:rPr>
                <w:rFonts w:ascii="Arial" w:eastAsia="宋体" w:hAnsi="Arial" w:cs="Arial"/>
                <w:color w:val="000000"/>
                <w:sz w:val="13"/>
                <w:szCs w:val="13"/>
              </w:rPr>
              <w:t>Total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5EA1EC50"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EC51" w14:textId="77777777" w:rsidR="003C66EB" w:rsidRDefault="00D96C4E">
            <w:pPr>
              <w:jc w:val="right"/>
              <w:textAlignment w:val="bottom"/>
            </w:pPr>
            <w:r>
              <w:rPr>
                <w:rFonts w:ascii="Arial" w:eastAsia="宋体" w:hAnsi="Arial" w:cs="Arial"/>
                <w:b/>
                <w:bCs/>
                <w:color w:val="000000"/>
                <w:sz w:val="13"/>
                <w:szCs w:val="13"/>
              </w:rPr>
              <w:t>2,332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C5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C53"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1EC54"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EC55" w14:textId="77777777" w:rsidR="003C66EB" w:rsidRDefault="00D96C4E">
            <w:pPr>
              <w:jc w:val="right"/>
              <w:textAlignment w:val="bottom"/>
            </w:pPr>
            <w:r>
              <w:rPr>
                <w:rFonts w:ascii="Arial" w:eastAsia="宋体" w:hAnsi="Arial" w:cs="Arial"/>
                <w:color w:val="000000"/>
                <w:sz w:val="13"/>
                <w:szCs w:val="13"/>
              </w:rPr>
              <w:t>2,255 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C56" w14:textId="77777777" w:rsidR="003C66EB" w:rsidRDefault="003C66EB">
            <w:pPr>
              <w:jc w:val="right"/>
              <w:rPr>
                <w:rFonts w:ascii="宋体"/>
              </w:rPr>
            </w:pPr>
          </w:p>
        </w:tc>
        <w:tc>
          <w:tcPr>
            <w:tcW w:w="0" w:type="auto"/>
            <w:shd w:val="clear" w:color="auto" w:fill="auto"/>
          </w:tcPr>
          <w:p w14:paraId="5EA1EC57" w14:textId="77777777" w:rsidR="003C66EB" w:rsidRDefault="003C66EB">
            <w:pPr>
              <w:rPr>
                <w:rFonts w:ascii="宋体"/>
                <w:vanish/>
              </w:rPr>
            </w:pPr>
          </w:p>
        </w:tc>
        <w:tc>
          <w:tcPr>
            <w:tcW w:w="0" w:type="auto"/>
            <w:shd w:val="clear" w:color="auto" w:fill="auto"/>
          </w:tcPr>
          <w:p w14:paraId="5EA1EC58"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1EC5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C5A" w14:textId="77777777" w:rsidR="003C66EB" w:rsidRDefault="00D96C4E">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5EA1EC5B" w14:textId="77777777" w:rsidR="003C66EB" w:rsidRDefault="003C66EB">
            <w:pPr>
              <w:jc w:val="right"/>
              <w:rPr>
                <w:rFonts w:ascii="宋体"/>
              </w:rPr>
            </w:pPr>
          </w:p>
        </w:tc>
        <w:tc>
          <w:tcPr>
            <w:tcW w:w="0" w:type="auto"/>
            <w:gridSpan w:val="3"/>
            <w:shd w:val="clear" w:color="auto" w:fill="auto"/>
          </w:tcPr>
          <w:p w14:paraId="5EA1EC5C" w14:textId="77777777" w:rsidR="003C66EB" w:rsidRDefault="003C66EB">
            <w:pPr>
              <w:rPr>
                <w:rFonts w:ascii="宋体"/>
                <w:vanish/>
              </w:rPr>
            </w:pPr>
          </w:p>
        </w:tc>
        <w:tc>
          <w:tcPr>
            <w:tcW w:w="0" w:type="auto"/>
            <w:gridSpan w:val="3"/>
            <w:shd w:val="clear" w:color="auto" w:fill="auto"/>
          </w:tcPr>
          <w:p w14:paraId="5EA1EC5D" w14:textId="77777777" w:rsidR="003C66EB" w:rsidRDefault="003C66EB">
            <w:pPr>
              <w:rPr>
                <w:rFonts w:ascii="宋体"/>
                <w:vanish/>
              </w:rPr>
            </w:pPr>
          </w:p>
        </w:tc>
      </w:tr>
      <w:tr w:rsidR="003C66EB" w14:paraId="5EA1EC6C" w14:textId="77777777">
        <w:tc>
          <w:tcPr>
            <w:tcW w:w="0" w:type="auto"/>
            <w:gridSpan w:val="3"/>
            <w:shd w:val="clear" w:color="auto" w:fill="CCEEFF"/>
            <w:tcMar>
              <w:top w:w="40" w:type="dxa"/>
              <w:left w:w="20" w:type="dxa"/>
              <w:bottom w:w="40" w:type="dxa"/>
              <w:right w:w="20" w:type="dxa"/>
            </w:tcMar>
            <w:vAlign w:val="bottom"/>
          </w:tcPr>
          <w:p w14:paraId="5EA1EC5F" w14:textId="77777777" w:rsidR="003C66EB" w:rsidRDefault="00D96C4E">
            <w:pPr>
              <w:textAlignment w:val="bottom"/>
            </w:pPr>
            <w:r>
              <w:rPr>
                <w:rFonts w:ascii="Arial" w:eastAsia="宋体" w:hAnsi="Arial" w:cs="Arial"/>
                <w:color w:val="000000"/>
                <w:sz w:val="13"/>
                <w:szCs w:val="13"/>
              </w:rPr>
              <w:t>Number of employees at quarter-end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A1EC60" w14:textId="77777777" w:rsidR="003C66EB" w:rsidRDefault="00D96C4E">
            <w:pPr>
              <w:jc w:val="right"/>
              <w:textAlignment w:val="bottom"/>
            </w:pPr>
            <w:r>
              <w:rPr>
                <w:rFonts w:ascii="Arial" w:eastAsia="宋体" w:hAnsi="Arial" w:cs="Arial"/>
                <w:b/>
                <w:bCs/>
                <w:color w:val="000000"/>
                <w:sz w:val="13"/>
                <w:szCs w:val="13"/>
              </w:rPr>
              <w:t>39,318</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A1EC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C62" w14:textId="77777777" w:rsidR="003C66EB" w:rsidRDefault="003C66E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A1EC63" w14:textId="77777777" w:rsidR="003C66EB" w:rsidRDefault="00D96C4E">
            <w:pPr>
              <w:jc w:val="right"/>
              <w:textAlignment w:val="bottom"/>
            </w:pPr>
            <w:r>
              <w:rPr>
                <w:rFonts w:ascii="Arial" w:eastAsia="宋体" w:hAnsi="Arial" w:cs="Arial"/>
                <w:color w:val="000000"/>
                <w:sz w:val="13"/>
                <w:szCs w:val="13"/>
              </w:rPr>
              <w:t>39,318 </w:t>
            </w:r>
          </w:p>
        </w:tc>
        <w:tc>
          <w:tcPr>
            <w:tcW w:w="0" w:type="auto"/>
            <w:tcBorders>
              <w:top w:val="double" w:sz="6" w:space="0" w:color="000000"/>
            </w:tcBorders>
            <w:shd w:val="clear" w:color="auto" w:fill="CCEEFF"/>
            <w:tcMar>
              <w:top w:w="40" w:type="dxa"/>
              <w:left w:w="0" w:type="dxa"/>
              <w:bottom w:w="40" w:type="dxa"/>
              <w:right w:w="20" w:type="dxa"/>
            </w:tcMar>
            <w:vAlign w:val="bottom"/>
          </w:tcPr>
          <w:p w14:paraId="5EA1EC64" w14:textId="77777777" w:rsidR="003C66EB" w:rsidRDefault="003C66EB">
            <w:pPr>
              <w:jc w:val="right"/>
              <w:rPr>
                <w:rFonts w:ascii="宋体"/>
              </w:rPr>
            </w:pPr>
          </w:p>
        </w:tc>
        <w:tc>
          <w:tcPr>
            <w:tcW w:w="0" w:type="auto"/>
            <w:shd w:val="clear" w:color="auto" w:fill="auto"/>
          </w:tcPr>
          <w:p w14:paraId="5EA1EC65" w14:textId="77777777" w:rsidR="003C66EB" w:rsidRDefault="003C66EB">
            <w:pPr>
              <w:rPr>
                <w:rFonts w:ascii="宋体"/>
                <w:vanish/>
              </w:rPr>
            </w:pPr>
          </w:p>
        </w:tc>
        <w:tc>
          <w:tcPr>
            <w:tcW w:w="0" w:type="auto"/>
            <w:shd w:val="clear" w:color="auto" w:fill="auto"/>
          </w:tcPr>
          <w:p w14:paraId="5EA1EC66"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1EC6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C68"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1EC69" w14:textId="77777777" w:rsidR="003C66EB" w:rsidRDefault="003C66EB">
            <w:pPr>
              <w:jc w:val="right"/>
              <w:rPr>
                <w:rFonts w:ascii="宋体"/>
              </w:rPr>
            </w:pPr>
          </w:p>
        </w:tc>
        <w:tc>
          <w:tcPr>
            <w:tcW w:w="0" w:type="auto"/>
            <w:gridSpan w:val="3"/>
            <w:shd w:val="clear" w:color="auto" w:fill="auto"/>
          </w:tcPr>
          <w:p w14:paraId="5EA1EC6A" w14:textId="77777777" w:rsidR="003C66EB" w:rsidRDefault="003C66EB">
            <w:pPr>
              <w:rPr>
                <w:rFonts w:ascii="宋体"/>
                <w:vanish/>
              </w:rPr>
            </w:pPr>
          </w:p>
        </w:tc>
        <w:tc>
          <w:tcPr>
            <w:tcW w:w="0" w:type="auto"/>
            <w:gridSpan w:val="3"/>
            <w:shd w:val="clear" w:color="auto" w:fill="auto"/>
          </w:tcPr>
          <w:p w14:paraId="5EA1EC6B" w14:textId="77777777" w:rsidR="003C66EB" w:rsidRDefault="003C66EB">
            <w:pPr>
              <w:rPr>
                <w:rFonts w:ascii="宋体"/>
                <w:vanish/>
              </w:rPr>
            </w:pPr>
          </w:p>
        </w:tc>
      </w:tr>
    </w:tbl>
    <w:p w14:paraId="5EA1EC6D"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5269"/>
        <w:gridCol w:w="36"/>
        <w:gridCol w:w="70"/>
        <w:gridCol w:w="516"/>
        <w:gridCol w:w="36"/>
      </w:tblGrid>
      <w:tr w:rsidR="003C66EB" w14:paraId="5EA1EC77" w14:textId="77777777">
        <w:tc>
          <w:tcPr>
            <w:tcW w:w="50" w:type="pct"/>
            <w:shd w:val="clear" w:color="auto" w:fill="auto"/>
          </w:tcPr>
          <w:p w14:paraId="5EA1EC6E" w14:textId="77777777" w:rsidR="003C66EB" w:rsidRDefault="003C66EB">
            <w:pPr>
              <w:rPr>
                <w:rFonts w:ascii="宋体"/>
              </w:rPr>
            </w:pPr>
          </w:p>
        </w:tc>
        <w:tc>
          <w:tcPr>
            <w:tcW w:w="1348" w:type="pct"/>
            <w:shd w:val="clear" w:color="auto" w:fill="auto"/>
          </w:tcPr>
          <w:p w14:paraId="5EA1EC6F" w14:textId="77777777" w:rsidR="003C66EB" w:rsidRDefault="003C66EB">
            <w:pPr>
              <w:rPr>
                <w:rFonts w:ascii="宋体"/>
              </w:rPr>
            </w:pPr>
          </w:p>
        </w:tc>
        <w:tc>
          <w:tcPr>
            <w:tcW w:w="5" w:type="pct"/>
            <w:shd w:val="clear" w:color="auto" w:fill="auto"/>
          </w:tcPr>
          <w:p w14:paraId="5EA1EC70" w14:textId="77777777" w:rsidR="003C66EB" w:rsidRDefault="003C66EB">
            <w:pPr>
              <w:rPr>
                <w:rFonts w:ascii="宋体"/>
              </w:rPr>
            </w:pPr>
          </w:p>
        </w:tc>
        <w:tc>
          <w:tcPr>
            <w:tcW w:w="50" w:type="pct"/>
            <w:shd w:val="clear" w:color="auto" w:fill="auto"/>
          </w:tcPr>
          <w:p w14:paraId="5EA1EC71" w14:textId="77777777" w:rsidR="003C66EB" w:rsidRDefault="003C66EB">
            <w:pPr>
              <w:rPr>
                <w:rFonts w:ascii="宋体"/>
              </w:rPr>
            </w:pPr>
          </w:p>
        </w:tc>
        <w:tc>
          <w:tcPr>
            <w:tcW w:w="3168" w:type="pct"/>
            <w:shd w:val="clear" w:color="auto" w:fill="auto"/>
          </w:tcPr>
          <w:p w14:paraId="5EA1EC72" w14:textId="77777777" w:rsidR="003C66EB" w:rsidRDefault="003C66EB">
            <w:pPr>
              <w:rPr>
                <w:rFonts w:ascii="宋体"/>
              </w:rPr>
            </w:pPr>
          </w:p>
        </w:tc>
        <w:tc>
          <w:tcPr>
            <w:tcW w:w="5" w:type="pct"/>
            <w:shd w:val="clear" w:color="auto" w:fill="auto"/>
          </w:tcPr>
          <w:p w14:paraId="5EA1EC73" w14:textId="77777777" w:rsidR="003C66EB" w:rsidRDefault="003C66EB">
            <w:pPr>
              <w:rPr>
                <w:rFonts w:ascii="宋体"/>
              </w:rPr>
            </w:pPr>
          </w:p>
        </w:tc>
        <w:tc>
          <w:tcPr>
            <w:tcW w:w="50" w:type="pct"/>
            <w:shd w:val="clear" w:color="auto" w:fill="auto"/>
          </w:tcPr>
          <w:p w14:paraId="5EA1EC74" w14:textId="77777777" w:rsidR="003C66EB" w:rsidRDefault="003C66EB">
            <w:pPr>
              <w:rPr>
                <w:rFonts w:ascii="宋体"/>
              </w:rPr>
            </w:pPr>
          </w:p>
        </w:tc>
        <w:tc>
          <w:tcPr>
            <w:tcW w:w="317" w:type="pct"/>
            <w:shd w:val="clear" w:color="auto" w:fill="auto"/>
          </w:tcPr>
          <w:p w14:paraId="5EA1EC75" w14:textId="77777777" w:rsidR="003C66EB" w:rsidRDefault="003C66EB">
            <w:pPr>
              <w:rPr>
                <w:rFonts w:ascii="宋体"/>
              </w:rPr>
            </w:pPr>
          </w:p>
        </w:tc>
        <w:tc>
          <w:tcPr>
            <w:tcW w:w="5" w:type="pct"/>
            <w:shd w:val="clear" w:color="auto" w:fill="auto"/>
          </w:tcPr>
          <w:p w14:paraId="5EA1EC76" w14:textId="77777777" w:rsidR="003C66EB" w:rsidRDefault="003C66EB">
            <w:pPr>
              <w:rPr>
                <w:rFonts w:ascii="宋体"/>
              </w:rPr>
            </w:pPr>
          </w:p>
        </w:tc>
      </w:tr>
      <w:tr w:rsidR="003C66EB" w14:paraId="5EA1EC7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EC7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C7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EC7A" w14:textId="77777777" w:rsidR="003C66EB" w:rsidRDefault="003C66EB">
            <w:pPr>
              <w:rPr>
                <w:rFonts w:ascii="宋体"/>
              </w:rPr>
            </w:pPr>
          </w:p>
        </w:tc>
      </w:tr>
    </w:tbl>
    <w:p w14:paraId="5EA1EC7C" w14:textId="77777777" w:rsidR="003C66EB" w:rsidRDefault="00D96C4E">
      <w:pPr>
        <w:spacing w:before="2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Legal and other expenses notable item of $29 million in the first quarter of 2021 included $20 million in information systems and communications, $8 million in transaction processing services and $1 million in other expenses.</w:t>
      </w:r>
    </w:p>
    <w:p w14:paraId="5EA1EC7D" w14:textId="77777777" w:rsidR="003C66EB" w:rsidRDefault="003C66EB">
      <w:pPr>
        <w:spacing w:before="20"/>
        <w:ind w:firstLine="450"/>
        <w:jc w:val="both"/>
        <w:textAlignment w:val="top"/>
      </w:pPr>
    </w:p>
    <w:p w14:paraId="5EA1EC7E" w14:textId="77777777" w:rsidR="003C66EB" w:rsidRDefault="00D96C4E">
      <w:pPr>
        <w:ind w:firstLine="450"/>
        <w:jc w:val="both"/>
        <w:textAlignment w:val="top"/>
      </w:pPr>
      <w:r>
        <w:rPr>
          <w:rFonts w:ascii="Arial" w:eastAsia="宋体" w:hAnsi="Arial" w:cs="Arial"/>
          <w:color w:val="000000"/>
          <w:sz w:val="20"/>
          <w:szCs w:val="20"/>
        </w:rPr>
        <w:t>Compensation and employee be</w:t>
      </w:r>
      <w:r>
        <w:rPr>
          <w:rFonts w:ascii="Arial" w:eastAsia="宋体" w:hAnsi="Arial" w:cs="Arial"/>
          <w:color w:val="000000"/>
          <w:sz w:val="20"/>
          <w:szCs w:val="20"/>
        </w:rPr>
        <w:t>nefits expenses increased 3% in the first quarter of 2021 compared to the same period in 2020, primarily due to higher seasonal expenses, partially offset by lower headcount in high cost locations. Currency translation increased compensation and employee b</w:t>
      </w:r>
      <w:r>
        <w:rPr>
          <w:rFonts w:ascii="Arial" w:eastAsia="宋体" w:hAnsi="Arial" w:cs="Arial"/>
          <w:color w:val="000000"/>
          <w:sz w:val="20"/>
          <w:szCs w:val="20"/>
        </w:rPr>
        <w:t>enefits expenses by 2% in the first quarter of 2021, relative to the same period in 2020.</w:t>
      </w:r>
    </w:p>
    <w:p w14:paraId="5EA1EC7F" w14:textId="77777777" w:rsidR="003C66EB" w:rsidRDefault="00D96C4E">
      <w:pPr>
        <w:spacing w:before="60"/>
        <w:ind w:firstLine="450"/>
        <w:jc w:val="both"/>
        <w:textAlignment w:val="top"/>
      </w:pPr>
      <w:r>
        <w:rPr>
          <w:rFonts w:ascii="Arial" w:eastAsia="宋体" w:hAnsi="Arial" w:cs="Arial"/>
          <w:color w:val="000000"/>
          <w:sz w:val="20"/>
          <w:szCs w:val="20"/>
        </w:rPr>
        <w:t xml:space="preserve">Seasonal deferred incentive compensation expenses were $176 million in the first quarter of 2021 compared to $151 million in the same period in 2020. </w:t>
      </w:r>
    </w:p>
    <w:p w14:paraId="5EA1EC80" w14:textId="77777777" w:rsidR="003C66EB" w:rsidRDefault="00D96C4E">
      <w:pPr>
        <w:spacing w:before="60"/>
        <w:ind w:firstLine="450"/>
        <w:jc w:val="both"/>
        <w:textAlignment w:val="top"/>
      </w:pPr>
      <w:r>
        <w:rPr>
          <w:rFonts w:ascii="Arial" w:eastAsia="宋体" w:hAnsi="Arial" w:cs="Arial"/>
          <w:color w:val="000000"/>
          <w:sz w:val="20"/>
          <w:szCs w:val="20"/>
        </w:rPr>
        <w:t>Total headcount</w:t>
      </w:r>
      <w:r>
        <w:rPr>
          <w:rFonts w:ascii="Arial" w:eastAsia="宋体" w:hAnsi="Arial" w:cs="Arial"/>
          <w:color w:val="000000"/>
          <w:sz w:val="20"/>
          <w:szCs w:val="20"/>
        </w:rPr>
        <w:t xml:space="preserve"> was flat as of March 31, 2021 compared to March 31, 2020, primarily driven by hiring in global hubs, offset by a reduction in high cost locations.</w:t>
      </w:r>
    </w:p>
    <w:p w14:paraId="5EA1EC81" w14:textId="77777777" w:rsidR="003C66EB" w:rsidRDefault="00D96C4E">
      <w:pPr>
        <w:spacing w:before="60"/>
        <w:ind w:firstLine="450"/>
        <w:jc w:val="both"/>
        <w:textAlignment w:val="top"/>
      </w:pPr>
      <w:r>
        <w:rPr>
          <w:rFonts w:ascii="Arial" w:eastAsia="宋体" w:hAnsi="Arial" w:cs="Arial"/>
          <w:color w:val="000000"/>
          <w:sz w:val="20"/>
          <w:szCs w:val="20"/>
        </w:rPr>
        <w:t>Information systems and communications expenses increased 9% in the first quarter of 2021 compared to the sa</w:t>
      </w:r>
      <w:r>
        <w:rPr>
          <w:rFonts w:ascii="Arial" w:eastAsia="宋体" w:hAnsi="Arial" w:cs="Arial"/>
          <w:color w:val="000000"/>
          <w:sz w:val="20"/>
          <w:szCs w:val="20"/>
        </w:rPr>
        <w:t>me period in 2020. The increase was primarily related to higher software costs and technology infrastructure investments, as well as the impact of notable items. Currency translation increased information systems and communications expenses by 1% in the fi</w:t>
      </w:r>
      <w:r>
        <w:rPr>
          <w:rFonts w:ascii="Arial" w:eastAsia="宋体" w:hAnsi="Arial" w:cs="Arial"/>
          <w:color w:val="000000"/>
          <w:sz w:val="20"/>
          <w:szCs w:val="20"/>
        </w:rPr>
        <w:t>rst quarter of 2021, relative to the same period in 2020.</w:t>
      </w:r>
    </w:p>
    <w:p w14:paraId="5EA1EC82" w14:textId="77777777" w:rsidR="003C66EB" w:rsidRDefault="00D96C4E">
      <w:pPr>
        <w:spacing w:before="60"/>
        <w:ind w:firstLine="450"/>
        <w:jc w:val="both"/>
        <w:textAlignment w:val="top"/>
      </w:pPr>
      <w:r>
        <w:rPr>
          <w:rFonts w:ascii="Arial" w:eastAsia="宋体" w:hAnsi="Arial" w:cs="Arial"/>
          <w:color w:val="000000"/>
          <w:sz w:val="20"/>
          <w:szCs w:val="20"/>
        </w:rPr>
        <w:t>Transaction processing services expenses increased 6% in the first quarter of 2021 compared to the same period in 2020, primarily due to higher sub-custody costs and the impact of notable items, par</w:t>
      </w:r>
      <w:r>
        <w:rPr>
          <w:rFonts w:ascii="Arial" w:eastAsia="宋体" w:hAnsi="Arial" w:cs="Arial"/>
          <w:color w:val="000000"/>
          <w:sz w:val="20"/>
          <w:szCs w:val="20"/>
        </w:rPr>
        <w:t>tially offset by savings initiatives. Currency translation increased transaction processing services expenses by 2% in the first quarter of 2021, relative to the same period in 2020.</w:t>
      </w:r>
    </w:p>
    <w:p w14:paraId="5EA1EC83" w14:textId="77777777" w:rsidR="003C66EB" w:rsidRDefault="00D96C4E">
      <w:pPr>
        <w:spacing w:before="60"/>
        <w:ind w:firstLine="450"/>
        <w:jc w:val="both"/>
        <w:textAlignment w:val="top"/>
      </w:pPr>
      <w:r>
        <w:rPr>
          <w:rFonts w:ascii="Arial" w:eastAsia="宋体" w:hAnsi="Arial" w:cs="Arial"/>
          <w:color w:val="000000"/>
          <w:sz w:val="20"/>
          <w:szCs w:val="20"/>
        </w:rPr>
        <w:t>Occupancy expenses were flat in the first quarter of 2021 compared to the</w:t>
      </w:r>
      <w:r>
        <w:rPr>
          <w:rFonts w:ascii="Arial" w:eastAsia="宋体" w:hAnsi="Arial" w:cs="Arial"/>
          <w:color w:val="000000"/>
          <w:sz w:val="20"/>
          <w:szCs w:val="20"/>
        </w:rPr>
        <w:t xml:space="preserve"> same period in 2020.</w:t>
      </w:r>
    </w:p>
    <w:p w14:paraId="5EA1EC84" w14:textId="77777777" w:rsidR="003C66EB" w:rsidRDefault="00D96C4E">
      <w:pPr>
        <w:spacing w:before="60"/>
        <w:ind w:firstLine="450"/>
        <w:jc w:val="both"/>
        <w:textAlignment w:val="top"/>
      </w:pPr>
      <w:r>
        <w:rPr>
          <w:rFonts w:ascii="Arial" w:eastAsia="宋体" w:hAnsi="Arial" w:cs="Arial"/>
          <w:color w:val="000000"/>
          <w:sz w:val="20"/>
          <w:szCs w:val="20"/>
        </w:rPr>
        <w:t>Amortization of other intangible assets was flat in the first quarter of 2021 compared to the same period in 2020.</w:t>
      </w:r>
    </w:p>
    <w:p w14:paraId="5EA1EC85" w14:textId="77777777" w:rsidR="003C66EB" w:rsidRDefault="00D96C4E">
      <w:pPr>
        <w:spacing w:before="60"/>
        <w:ind w:firstLine="450"/>
        <w:jc w:val="both"/>
        <w:textAlignment w:val="top"/>
      </w:pPr>
      <w:r>
        <w:rPr>
          <w:rFonts w:ascii="Arial" w:eastAsia="宋体" w:hAnsi="Arial" w:cs="Arial"/>
          <w:color w:val="000000"/>
          <w:sz w:val="20"/>
          <w:szCs w:val="20"/>
        </w:rPr>
        <w:t>Other expenses decreased 3% in the first quarter of 2021 compared to the same period in 2020, primarily driven by lower</w:t>
      </w:r>
      <w:r>
        <w:rPr>
          <w:rFonts w:ascii="Arial" w:eastAsia="宋体" w:hAnsi="Arial" w:cs="Arial"/>
          <w:color w:val="000000"/>
          <w:sz w:val="20"/>
          <w:szCs w:val="20"/>
        </w:rPr>
        <w:t xml:space="preserve"> travel costs.</w:t>
      </w:r>
    </w:p>
    <w:p w14:paraId="5EA1EC86" w14:textId="77777777" w:rsidR="003C66EB" w:rsidRDefault="00D96C4E">
      <w:pPr>
        <w:spacing w:before="60"/>
        <w:jc w:val="both"/>
        <w:textAlignment w:val="top"/>
      </w:pPr>
      <w:r>
        <w:rPr>
          <w:rFonts w:ascii="Arial" w:eastAsia="宋体" w:hAnsi="Arial" w:cs="Arial"/>
          <w:b/>
          <w:bCs/>
          <w:i/>
          <w:iCs/>
          <w:color w:val="000000"/>
          <w:sz w:val="20"/>
          <w:szCs w:val="20"/>
        </w:rPr>
        <w:t>Acquisition Costs</w:t>
      </w:r>
    </w:p>
    <w:p w14:paraId="5EA1EC87" w14:textId="77777777" w:rsidR="003C66EB" w:rsidRDefault="00D96C4E">
      <w:pPr>
        <w:spacing w:before="60"/>
        <w:ind w:firstLine="450"/>
        <w:jc w:val="both"/>
        <w:textAlignment w:val="top"/>
      </w:pPr>
      <w:r>
        <w:rPr>
          <w:rFonts w:ascii="Arial" w:eastAsia="宋体" w:hAnsi="Arial" w:cs="Arial"/>
          <w:color w:val="000000"/>
          <w:sz w:val="20"/>
          <w:szCs w:val="20"/>
        </w:rPr>
        <w:t>We recorded approximately $11 million of acquisition costs in both the first quarters of 2021 and 2020, related to our acquisition of CRD. As we integrate CRD into our business, we expect to incur a total of approximately $</w:t>
      </w:r>
      <w:r>
        <w:rPr>
          <w:rFonts w:ascii="Arial" w:eastAsia="宋体" w:hAnsi="Arial" w:cs="Arial"/>
          <w:color w:val="000000"/>
          <w:sz w:val="20"/>
          <w:szCs w:val="20"/>
        </w:rPr>
        <w:t>225 million of acquisition costs through 2021, after which we will no longer distinguish certain CRD costs as acquisition costs. As of March 31, 2021, we have incurred $175 million of acquisition costs related to CRD. We expect to incur any remaining signi</w:t>
      </w:r>
      <w:r>
        <w:rPr>
          <w:rFonts w:ascii="Arial" w:eastAsia="宋体" w:hAnsi="Arial" w:cs="Arial"/>
          <w:color w:val="000000"/>
          <w:sz w:val="20"/>
          <w:szCs w:val="20"/>
        </w:rPr>
        <w:t>ficant acquisition costs related to CRD in 2021.</w:t>
      </w:r>
    </w:p>
    <w:p w14:paraId="5EA1EC88" w14:textId="77777777" w:rsidR="003C66EB" w:rsidRDefault="00D96C4E">
      <w:pPr>
        <w:spacing w:before="60"/>
        <w:jc w:val="both"/>
        <w:textAlignment w:val="top"/>
      </w:pPr>
      <w:r>
        <w:rPr>
          <w:rFonts w:ascii="Arial" w:eastAsia="宋体" w:hAnsi="Arial" w:cs="Arial"/>
          <w:b/>
          <w:bCs/>
          <w:i/>
          <w:iCs/>
          <w:color w:val="000000"/>
          <w:sz w:val="20"/>
          <w:szCs w:val="20"/>
        </w:rPr>
        <w:t>Restructuring and Repositioning Charges</w:t>
      </w:r>
    </w:p>
    <w:p w14:paraId="5EA1EC89"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aggregate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427"/>
        <w:gridCol w:w="40"/>
        <w:gridCol w:w="88"/>
        <w:gridCol w:w="1175"/>
        <w:gridCol w:w="37"/>
        <w:gridCol w:w="36"/>
        <w:gridCol w:w="67"/>
        <w:gridCol w:w="36"/>
        <w:gridCol w:w="88"/>
        <w:gridCol w:w="1150"/>
        <w:gridCol w:w="37"/>
        <w:gridCol w:w="36"/>
        <w:gridCol w:w="68"/>
        <w:gridCol w:w="36"/>
        <w:gridCol w:w="141"/>
        <w:gridCol w:w="141"/>
        <w:gridCol w:w="141"/>
        <w:gridCol w:w="36"/>
        <w:gridCol w:w="36"/>
        <w:gridCol w:w="36"/>
        <w:gridCol w:w="88"/>
        <w:gridCol w:w="1176"/>
        <w:gridCol w:w="36"/>
        <w:gridCol w:w="36"/>
        <w:gridCol w:w="68"/>
        <w:gridCol w:w="36"/>
        <w:gridCol w:w="87"/>
        <w:gridCol w:w="881"/>
        <w:gridCol w:w="36"/>
      </w:tblGrid>
      <w:tr w:rsidR="003C66EB" w14:paraId="5EA1ECA6" w14:textId="77777777">
        <w:tc>
          <w:tcPr>
            <w:tcW w:w="50" w:type="pct"/>
            <w:shd w:val="clear" w:color="auto" w:fill="auto"/>
          </w:tcPr>
          <w:p w14:paraId="5EA1EC8A" w14:textId="77777777" w:rsidR="003C66EB" w:rsidRDefault="003C66EB">
            <w:pPr>
              <w:rPr>
                <w:rFonts w:ascii="宋体"/>
              </w:rPr>
            </w:pPr>
          </w:p>
        </w:tc>
        <w:tc>
          <w:tcPr>
            <w:tcW w:w="1580" w:type="pct"/>
            <w:shd w:val="clear" w:color="auto" w:fill="auto"/>
          </w:tcPr>
          <w:p w14:paraId="5EA1EC8B" w14:textId="77777777" w:rsidR="003C66EB" w:rsidRDefault="003C66EB">
            <w:pPr>
              <w:rPr>
                <w:rFonts w:ascii="宋体"/>
              </w:rPr>
            </w:pPr>
          </w:p>
        </w:tc>
        <w:tc>
          <w:tcPr>
            <w:tcW w:w="5" w:type="pct"/>
            <w:shd w:val="clear" w:color="auto" w:fill="auto"/>
          </w:tcPr>
          <w:p w14:paraId="5EA1EC8C" w14:textId="77777777" w:rsidR="003C66EB" w:rsidRDefault="003C66EB">
            <w:pPr>
              <w:rPr>
                <w:rFonts w:ascii="宋体"/>
              </w:rPr>
            </w:pPr>
          </w:p>
        </w:tc>
        <w:tc>
          <w:tcPr>
            <w:tcW w:w="50" w:type="pct"/>
            <w:shd w:val="clear" w:color="auto" w:fill="auto"/>
          </w:tcPr>
          <w:p w14:paraId="5EA1EC8D" w14:textId="77777777" w:rsidR="003C66EB" w:rsidRDefault="003C66EB">
            <w:pPr>
              <w:rPr>
                <w:rFonts w:ascii="宋体"/>
              </w:rPr>
            </w:pPr>
          </w:p>
        </w:tc>
        <w:tc>
          <w:tcPr>
            <w:tcW w:w="778" w:type="pct"/>
            <w:shd w:val="clear" w:color="auto" w:fill="auto"/>
          </w:tcPr>
          <w:p w14:paraId="5EA1EC8E" w14:textId="77777777" w:rsidR="003C66EB" w:rsidRDefault="003C66EB">
            <w:pPr>
              <w:rPr>
                <w:rFonts w:ascii="宋体"/>
              </w:rPr>
            </w:pPr>
          </w:p>
        </w:tc>
        <w:tc>
          <w:tcPr>
            <w:tcW w:w="5" w:type="pct"/>
            <w:shd w:val="clear" w:color="auto" w:fill="auto"/>
          </w:tcPr>
          <w:p w14:paraId="5EA1EC8F" w14:textId="77777777" w:rsidR="003C66EB" w:rsidRDefault="003C66EB">
            <w:pPr>
              <w:rPr>
                <w:rFonts w:ascii="宋体"/>
              </w:rPr>
            </w:pPr>
          </w:p>
        </w:tc>
        <w:tc>
          <w:tcPr>
            <w:tcW w:w="5" w:type="pct"/>
            <w:shd w:val="clear" w:color="auto" w:fill="auto"/>
          </w:tcPr>
          <w:p w14:paraId="5EA1EC90" w14:textId="77777777" w:rsidR="003C66EB" w:rsidRDefault="003C66EB">
            <w:pPr>
              <w:rPr>
                <w:rFonts w:ascii="宋体"/>
              </w:rPr>
            </w:pPr>
          </w:p>
        </w:tc>
        <w:tc>
          <w:tcPr>
            <w:tcW w:w="68" w:type="pct"/>
            <w:shd w:val="clear" w:color="auto" w:fill="auto"/>
          </w:tcPr>
          <w:p w14:paraId="5EA1EC91" w14:textId="77777777" w:rsidR="003C66EB" w:rsidRDefault="003C66EB">
            <w:pPr>
              <w:rPr>
                <w:rFonts w:ascii="宋体"/>
              </w:rPr>
            </w:pPr>
          </w:p>
        </w:tc>
        <w:tc>
          <w:tcPr>
            <w:tcW w:w="5" w:type="pct"/>
            <w:shd w:val="clear" w:color="auto" w:fill="auto"/>
          </w:tcPr>
          <w:p w14:paraId="5EA1EC92" w14:textId="77777777" w:rsidR="003C66EB" w:rsidRDefault="003C66EB">
            <w:pPr>
              <w:rPr>
                <w:rFonts w:ascii="宋体"/>
              </w:rPr>
            </w:pPr>
          </w:p>
        </w:tc>
        <w:tc>
          <w:tcPr>
            <w:tcW w:w="50" w:type="pct"/>
            <w:shd w:val="clear" w:color="auto" w:fill="auto"/>
          </w:tcPr>
          <w:p w14:paraId="5EA1EC93" w14:textId="77777777" w:rsidR="003C66EB" w:rsidRDefault="003C66EB">
            <w:pPr>
              <w:rPr>
                <w:rFonts w:ascii="宋体"/>
              </w:rPr>
            </w:pPr>
          </w:p>
        </w:tc>
        <w:tc>
          <w:tcPr>
            <w:tcW w:w="762" w:type="pct"/>
            <w:shd w:val="clear" w:color="auto" w:fill="auto"/>
          </w:tcPr>
          <w:p w14:paraId="5EA1EC94" w14:textId="77777777" w:rsidR="003C66EB" w:rsidRDefault="003C66EB">
            <w:pPr>
              <w:rPr>
                <w:rFonts w:ascii="宋体"/>
              </w:rPr>
            </w:pPr>
          </w:p>
        </w:tc>
        <w:tc>
          <w:tcPr>
            <w:tcW w:w="5" w:type="pct"/>
            <w:shd w:val="clear" w:color="auto" w:fill="auto"/>
          </w:tcPr>
          <w:p w14:paraId="5EA1EC95" w14:textId="77777777" w:rsidR="003C66EB" w:rsidRDefault="003C66EB">
            <w:pPr>
              <w:rPr>
                <w:rFonts w:ascii="宋体"/>
              </w:rPr>
            </w:pPr>
          </w:p>
        </w:tc>
        <w:tc>
          <w:tcPr>
            <w:tcW w:w="5" w:type="pct"/>
            <w:shd w:val="clear" w:color="auto" w:fill="auto"/>
          </w:tcPr>
          <w:p w14:paraId="5EA1EC96" w14:textId="77777777" w:rsidR="003C66EB" w:rsidRDefault="003C66EB">
            <w:pPr>
              <w:rPr>
                <w:rFonts w:ascii="宋体"/>
              </w:rPr>
            </w:pPr>
          </w:p>
        </w:tc>
        <w:tc>
          <w:tcPr>
            <w:tcW w:w="68" w:type="pct"/>
            <w:shd w:val="clear" w:color="auto" w:fill="auto"/>
          </w:tcPr>
          <w:p w14:paraId="5EA1EC97" w14:textId="77777777" w:rsidR="003C66EB" w:rsidRDefault="003C66EB">
            <w:pPr>
              <w:rPr>
                <w:rFonts w:ascii="宋体"/>
              </w:rPr>
            </w:pPr>
          </w:p>
        </w:tc>
        <w:tc>
          <w:tcPr>
            <w:tcW w:w="5" w:type="pct"/>
            <w:shd w:val="clear" w:color="auto" w:fill="auto"/>
          </w:tcPr>
          <w:p w14:paraId="5EA1EC98" w14:textId="77777777" w:rsidR="003C66EB" w:rsidRDefault="003C66EB">
            <w:pPr>
              <w:rPr>
                <w:rFonts w:ascii="宋体"/>
              </w:rPr>
            </w:pPr>
          </w:p>
        </w:tc>
        <w:tc>
          <w:tcPr>
            <w:tcW w:w="0" w:type="auto"/>
            <w:shd w:val="clear" w:color="auto" w:fill="auto"/>
          </w:tcPr>
          <w:p w14:paraId="5EA1EC99" w14:textId="77777777" w:rsidR="003C66EB" w:rsidRDefault="003C66EB">
            <w:pPr>
              <w:rPr>
                <w:rFonts w:ascii="宋体"/>
                <w:vanish/>
              </w:rPr>
            </w:pPr>
          </w:p>
        </w:tc>
        <w:tc>
          <w:tcPr>
            <w:tcW w:w="0" w:type="auto"/>
            <w:shd w:val="clear" w:color="auto" w:fill="auto"/>
          </w:tcPr>
          <w:p w14:paraId="5EA1EC9A" w14:textId="77777777" w:rsidR="003C66EB" w:rsidRDefault="003C66EB">
            <w:pPr>
              <w:rPr>
                <w:rFonts w:ascii="宋体"/>
                <w:vanish/>
              </w:rPr>
            </w:pPr>
          </w:p>
        </w:tc>
        <w:tc>
          <w:tcPr>
            <w:tcW w:w="0" w:type="auto"/>
            <w:shd w:val="clear" w:color="auto" w:fill="auto"/>
          </w:tcPr>
          <w:p w14:paraId="5EA1EC9B" w14:textId="77777777" w:rsidR="003C66EB" w:rsidRDefault="003C66EB">
            <w:pPr>
              <w:rPr>
                <w:rFonts w:ascii="宋体"/>
                <w:vanish/>
              </w:rPr>
            </w:pPr>
          </w:p>
        </w:tc>
        <w:tc>
          <w:tcPr>
            <w:tcW w:w="0" w:type="auto"/>
            <w:gridSpan w:val="3"/>
            <w:shd w:val="clear" w:color="auto" w:fill="auto"/>
          </w:tcPr>
          <w:p w14:paraId="5EA1EC9C" w14:textId="77777777" w:rsidR="003C66EB" w:rsidRDefault="003C66EB">
            <w:pPr>
              <w:rPr>
                <w:rFonts w:ascii="宋体"/>
                <w:vanish/>
              </w:rPr>
            </w:pPr>
          </w:p>
        </w:tc>
        <w:tc>
          <w:tcPr>
            <w:tcW w:w="50" w:type="pct"/>
            <w:shd w:val="clear" w:color="auto" w:fill="auto"/>
          </w:tcPr>
          <w:p w14:paraId="5EA1EC9D" w14:textId="77777777" w:rsidR="003C66EB" w:rsidRDefault="003C66EB">
            <w:pPr>
              <w:rPr>
                <w:rFonts w:ascii="宋体"/>
              </w:rPr>
            </w:pPr>
          </w:p>
        </w:tc>
        <w:tc>
          <w:tcPr>
            <w:tcW w:w="778" w:type="pct"/>
            <w:shd w:val="clear" w:color="auto" w:fill="auto"/>
          </w:tcPr>
          <w:p w14:paraId="5EA1EC9E" w14:textId="77777777" w:rsidR="003C66EB" w:rsidRDefault="003C66EB">
            <w:pPr>
              <w:rPr>
                <w:rFonts w:ascii="宋体"/>
              </w:rPr>
            </w:pPr>
          </w:p>
        </w:tc>
        <w:tc>
          <w:tcPr>
            <w:tcW w:w="5" w:type="pct"/>
            <w:shd w:val="clear" w:color="auto" w:fill="auto"/>
          </w:tcPr>
          <w:p w14:paraId="5EA1EC9F" w14:textId="77777777" w:rsidR="003C66EB" w:rsidRDefault="003C66EB">
            <w:pPr>
              <w:rPr>
                <w:rFonts w:ascii="宋体"/>
              </w:rPr>
            </w:pPr>
          </w:p>
        </w:tc>
        <w:tc>
          <w:tcPr>
            <w:tcW w:w="5" w:type="pct"/>
            <w:shd w:val="clear" w:color="auto" w:fill="auto"/>
          </w:tcPr>
          <w:p w14:paraId="5EA1ECA0" w14:textId="77777777" w:rsidR="003C66EB" w:rsidRDefault="003C66EB">
            <w:pPr>
              <w:rPr>
                <w:rFonts w:ascii="宋体"/>
              </w:rPr>
            </w:pPr>
          </w:p>
        </w:tc>
        <w:tc>
          <w:tcPr>
            <w:tcW w:w="68" w:type="pct"/>
            <w:shd w:val="clear" w:color="auto" w:fill="auto"/>
          </w:tcPr>
          <w:p w14:paraId="5EA1ECA1" w14:textId="77777777" w:rsidR="003C66EB" w:rsidRDefault="003C66EB">
            <w:pPr>
              <w:rPr>
                <w:rFonts w:ascii="宋体"/>
              </w:rPr>
            </w:pPr>
          </w:p>
        </w:tc>
        <w:tc>
          <w:tcPr>
            <w:tcW w:w="5" w:type="pct"/>
            <w:shd w:val="clear" w:color="auto" w:fill="auto"/>
          </w:tcPr>
          <w:p w14:paraId="5EA1ECA2" w14:textId="77777777" w:rsidR="003C66EB" w:rsidRDefault="003C66EB">
            <w:pPr>
              <w:rPr>
                <w:rFonts w:ascii="宋体"/>
              </w:rPr>
            </w:pPr>
          </w:p>
        </w:tc>
        <w:tc>
          <w:tcPr>
            <w:tcW w:w="50" w:type="pct"/>
            <w:shd w:val="clear" w:color="auto" w:fill="auto"/>
          </w:tcPr>
          <w:p w14:paraId="5EA1ECA3" w14:textId="77777777" w:rsidR="003C66EB" w:rsidRDefault="003C66EB">
            <w:pPr>
              <w:rPr>
                <w:rFonts w:ascii="宋体"/>
              </w:rPr>
            </w:pPr>
          </w:p>
        </w:tc>
        <w:tc>
          <w:tcPr>
            <w:tcW w:w="589" w:type="pct"/>
            <w:shd w:val="clear" w:color="auto" w:fill="auto"/>
          </w:tcPr>
          <w:p w14:paraId="5EA1ECA4" w14:textId="77777777" w:rsidR="003C66EB" w:rsidRDefault="003C66EB">
            <w:pPr>
              <w:rPr>
                <w:rFonts w:ascii="宋体"/>
              </w:rPr>
            </w:pPr>
          </w:p>
        </w:tc>
        <w:tc>
          <w:tcPr>
            <w:tcW w:w="5" w:type="pct"/>
            <w:shd w:val="clear" w:color="auto" w:fill="auto"/>
          </w:tcPr>
          <w:p w14:paraId="5EA1ECA5" w14:textId="77777777" w:rsidR="003C66EB" w:rsidRDefault="003C66EB">
            <w:pPr>
              <w:rPr>
                <w:rFonts w:ascii="宋体"/>
              </w:rPr>
            </w:pPr>
          </w:p>
        </w:tc>
      </w:tr>
      <w:tr w:rsidR="003C66EB" w14:paraId="5EA1ECB4" w14:textId="77777777">
        <w:tc>
          <w:tcPr>
            <w:tcW w:w="0" w:type="auto"/>
            <w:gridSpan w:val="18"/>
            <w:shd w:val="clear" w:color="auto" w:fill="auto"/>
            <w:tcMar>
              <w:top w:w="40" w:type="dxa"/>
              <w:left w:w="20" w:type="dxa"/>
              <w:bottom w:w="40" w:type="dxa"/>
              <w:right w:w="20" w:type="dxa"/>
            </w:tcMar>
            <w:vAlign w:val="bottom"/>
          </w:tcPr>
          <w:p w14:paraId="5EA1ECA7" w14:textId="77777777" w:rsidR="003C66EB" w:rsidRDefault="00D96C4E">
            <w:pPr>
              <w:jc w:val="both"/>
              <w:textAlignment w:val="bottom"/>
            </w:pPr>
            <w:r>
              <w:rPr>
                <w:rFonts w:ascii="Arial" w:eastAsia="宋体" w:hAnsi="Arial" w:cs="Arial"/>
                <w:b/>
                <w:bCs/>
                <w:color w:val="000000"/>
                <w:sz w:val="15"/>
                <w:szCs w:val="15"/>
              </w:rPr>
              <w:t>TABLE 9: RESTRUCTURING AND REPOSITIONING CHARGES</w:t>
            </w:r>
          </w:p>
        </w:tc>
        <w:tc>
          <w:tcPr>
            <w:tcW w:w="0" w:type="auto"/>
            <w:shd w:val="clear" w:color="auto" w:fill="auto"/>
          </w:tcPr>
          <w:p w14:paraId="5EA1ECA8" w14:textId="77777777" w:rsidR="003C66EB" w:rsidRDefault="003C66EB">
            <w:pPr>
              <w:rPr>
                <w:rFonts w:ascii="宋体"/>
              </w:rPr>
            </w:pPr>
          </w:p>
        </w:tc>
        <w:tc>
          <w:tcPr>
            <w:tcW w:w="0" w:type="auto"/>
            <w:shd w:val="clear" w:color="auto" w:fill="auto"/>
          </w:tcPr>
          <w:p w14:paraId="5EA1ECA9" w14:textId="77777777" w:rsidR="003C66EB" w:rsidRDefault="003C66EB">
            <w:pPr>
              <w:rPr>
                <w:rFonts w:ascii="宋体"/>
              </w:rPr>
            </w:pPr>
          </w:p>
        </w:tc>
        <w:tc>
          <w:tcPr>
            <w:tcW w:w="0" w:type="auto"/>
            <w:shd w:val="clear" w:color="auto" w:fill="auto"/>
          </w:tcPr>
          <w:p w14:paraId="5EA1ECAA" w14:textId="77777777" w:rsidR="003C66EB" w:rsidRDefault="003C66EB">
            <w:pPr>
              <w:rPr>
                <w:rFonts w:ascii="宋体"/>
              </w:rPr>
            </w:pPr>
          </w:p>
        </w:tc>
        <w:tc>
          <w:tcPr>
            <w:tcW w:w="0" w:type="auto"/>
            <w:shd w:val="clear" w:color="auto" w:fill="auto"/>
          </w:tcPr>
          <w:p w14:paraId="5EA1ECAB" w14:textId="77777777" w:rsidR="003C66EB" w:rsidRDefault="003C66EB">
            <w:pPr>
              <w:rPr>
                <w:rFonts w:ascii="宋体"/>
              </w:rPr>
            </w:pPr>
          </w:p>
        </w:tc>
        <w:tc>
          <w:tcPr>
            <w:tcW w:w="0" w:type="auto"/>
            <w:shd w:val="clear" w:color="auto" w:fill="auto"/>
          </w:tcPr>
          <w:p w14:paraId="5EA1ECAC" w14:textId="77777777" w:rsidR="003C66EB" w:rsidRDefault="003C66EB">
            <w:pPr>
              <w:rPr>
                <w:rFonts w:ascii="宋体"/>
              </w:rPr>
            </w:pPr>
          </w:p>
        </w:tc>
        <w:tc>
          <w:tcPr>
            <w:tcW w:w="0" w:type="auto"/>
            <w:shd w:val="clear" w:color="auto" w:fill="auto"/>
          </w:tcPr>
          <w:p w14:paraId="5EA1ECAD" w14:textId="77777777" w:rsidR="003C66EB" w:rsidRDefault="003C66EB">
            <w:pPr>
              <w:rPr>
                <w:rFonts w:ascii="宋体"/>
              </w:rPr>
            </w:pPr>
          </w:p>
        </w:tc>
        <w:tc>
          <w:tcPr>
            <w:tcW w:w="0" w:type="auto"/>
            <w:shd w:val="clear" w:color="auto" w:fill="auto"/>
          </w:tcPr>
          <w:p w14:paraId="5EA1ECAE" w14:textId="77777777" w:rsidR="003C66EB" w:rsidRDefault="003C66EB">
            <w:pPr>
              <w:rPr>
                <w:rFonts w:ascii="宋体"/>
              </w:rPr>
            </w:pPr>
          </w:p>
        </w:tc>
        <w:tc>
          <w:tcPr>
            <w:tcW w:w="0" w:type="auto"/>
            <w:shd w:val="clear" w:color="auto" w:fill="auto"/>
          </w:tcPr>
          <w:p w14:paraId="5EA1ECAF" w14:textId="77777777" w:rsidR="003C66EB" w:rsidRDefault="003C66EB">
            <w:pPr>
              <w:rPr>
                <w:rFonts w:ascii="宋体"/>
              </w:rPr>
            </w:pPr>
          </w:p>
        </w:tc>
        <w:tc>
          <w:tcPr>
            <w:tcW w:w="0" w:type="auto"/>
            <w:shd w:val="clear" w:color="auto" w:fill="auto"/>
          </w:tcPr>
          <w:p w14:paraId="5EA1ECB0" w14:textId="77777777" w:rsidR="003C66EB" w:rsidRDefault="003C66EB">
            <w:pPr>
              <w:rPr>
                <w:rFonts w:ascii="宋体"/>
              </w:rPr>
            </w:pPr>
          </w:p>
        </w:tc>
        <w:tc>
          <w:tcPr>
            <w:tcW w:w="0" w:type="auto"/>
            <w:shd w:val="clear" w:color="auto" w:fill="auto"/>
          </w:tcPr>
          <w:p w14:paraId="5EA1ECB1" w14:textId="77777777" w:rsidR="003C66EB" w:rsidRDefault="003C66EB">
            <w:pPr>
              <w:rPr>
                <w:rFonts w:ascii="宋体"/>
              </w:rPr>
            </w:pPr>
          </w:p>
        </w:tc>
        <w:tc>
          <w:tcPr>
            <w:tcW w:w="0" w:type="auto"/>
            <w:shd w:val="clear" w:color="auto" w:fill="auto"/>
          </w:tcPr>
          <w:p w14:paraId="5EA1ECB2" w14:textId="77777777" w:rsidR="003C66EB" w:rsidRDefault="003C66EB">
            <w:pPr>
              <w:rPr>
                <w:rFonts w:ascii="宋体"/>
              </w:rPr>
            </w:pPr>
          </w:p>
        </w:tc>
        <w:tc>
          <w:tcPr>
            <w:tcW w:w="0" w:type="auto"/>
            <w:shd w:val="clear" w:color="auto" w:fill="auto"/>
          </w:tcPr>
          <w:p w14:paraId="5EA1ECB3" w14:textId="77777777" w:rsidR="003C66EB" w:rsidRDefault="003C66EB">
            <w:pPr>
              <w:rPr>
                <w:rFonts w:ascii="宋体"/>
              </w:rPr>
            </w:pPr>
          </w:p>
        </w:tc>
      </w:tr>
      <w:tr w:rsidR="003C66EB" w14:paraId="5EA1ECC1" w14:textId="77777777">
        <w:tc>
          <w:tcPr>
            <w:tcW w:w="0" w:type="auto"/>
            <w:gridSpan w:val="3"/>
            <w:shd w:val="clear" w:color="auto" w:fill="auto"/>
            <w:tcMar>
              <w:top w:w="40" w:type="dxa"/>
              <w:left w:w="20" w:type="dxa"/>
              <w:bottom w:w="40" w:type="dxa"/>
              <w:right w:w="20" w:type="dxa"/>
            </w:tcMar>
            <w:vAlign w:val="bottom"/>
          </w:tcPr>
          <w:p w14:paraId="5EA1ECB5" w14:textId="77777777" w:rsidR="003C66EB" w:rsidRDefault="00D96C4E">
            <w:pPr>
              <w:textAlignment w:val="bottom"/>
            </w:pPr>
            <w:r>
              <w:rPr>
                <w:rFonts w:ascii="Arial" w:eastAsia="宋体" w:hAnsi="Arial" w:cs="Arial"/>
                <w:b/>
                <w:bCs/>
                <w:color w:val="000000"/>
                <w:sz w:val="12"/>
                <w:szCs w:val="12"/>
              </w:rPr>
              <w:t>(In millions)</w:t>
            </w:r>
          </w:p>
        </w:tc>
        <w:tc>
          <w:tcPr>
            <w:tcW w:w="0" w:type="auto"/>
            <w:gridSpan w:val="3"/>
            <w:shd w:val="clear" w:color="auto" w:fill="auto"/>
            <w:tcMar>
              <w:top w:w="40" w:type="dxa"/>
              <w:left w:w="20" w:type="dxa"/>
              <w:bottom w:w="40" w:type="dxa"/>
              <w:right w:w="20" w:type="dxa"/>
            </w:tcMar>
            <w:vAlign w:val="bottom"/>
          </w:tcPr>
          <w:p w14:paraId="5EA1ECB6" w14:textId="77777777" w:rsidR="003C66EB" w:rsidRDefault="00D96C4E">
            <w:pPr>
              <w:jc w:val="center"/>
              <w:textAlignment w:val="bottom"/>
            </w:pPr>
            <w:r>
              <w:rPr>
                <w:rFonts w:ascii="Arial" w:eastAsia="宋体" w:hAnsi="Arial" w:cs="Arial"/>
                <w:b/>
                <w:bCs/>
                <w:color w:val="000000"/>
                <w:sz w:val="12"/>
                <w:szCs w:val="12"/>
              </w:rPr>
              <w:t>Employee</w:t>
            </w:r>
            <w:r>
              <w:rPr>
                <w:rFonts w:ascii="Arial" w:eastAsia="宋体" w:hAnsi="Arial" w:cs="Arial"/>
                <w:b/>
                <w:bCs/>
                <w:color w:val="000000"/>
                <w:sz w:val="12"/>
                <w:szCs w:val="12"/>
              </w:rPr>
              <w:br/>
              <w:t>Related Costs</w:t>
            </w:r>
          </w:p>
        </w:tc>
        <w:tc>
          <w:tcPr>
            <w:tcW w:w="0" w:type="auto"/>
            <w:gridSpan w:val="3"/>
            <w:shd w:val="clear" w:color="auto" w:fill="auto"/>
            <w:tcMar>
              <w:top w:w="0" w:type="dxa"/>
              <w:left w:w="20" w:type="dxa"/>
              <w:bottom w:w="0" w:type="dxa"/>
              <w:right w:w="20" w:type="dxa"/>
            </w:tcMar>
          </w:tcPr>
          <w:p w14:paraId="5EA1ECB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ECB8" w14:textId="77777777" w:rsidR="003C66EB" w:rsidRDefault="00D96C4E">
            <w:pPr>
              <w:jc w:val="center"/>
              <w:textAlignment w:val="bottom"/>
            </w:pPr>
            <w:r>
              <w:rPr>
                <w:rFonts w:ascii="Arial" w:eastAsia="宋体" w:hAnsi="Arial" w:cs="Arial"/>
                <w:b/>
                <w:bCs/>
                <w:color w:val="000000"/>
                <w:sz w:val="12"/>
                <w:szCs w:val="12"/>
              </w:rPr>
              <w:t>Real Estate</w:t>
            </w:r>
            <w:r>
              <w:rPr>
                <w:rFonts w:ascii="Arial" w:eastAsia="宋体" w:hAnsi="Arial" w:cs="Arial"/>
                <w:b/>
                <w:bCs/>
                <w:color w:val="000000"/>
                <w:sz w:val="12"/>
                <w:szCs w:val="12"/>
              </w:rPr>
              <w:br/>
              <w:t>Actions</w:t>
            </w:r>
          </w:p>
        </w:tc>
        <w:tc>
          <w:tcPr>
            <w:tcW w:w="0" w:type="auto"/>
            <w:gridSpan w:val="3"/>
            <w:shd w:val="clear" w:color="auto" w:fill="auto"/>
            <w:tcMar>
              <w:top w:w="0" w:type="dxa"/>
              <w:left w:w="20" w:type="dxa"/>
              <w:bottom w:w="0" w:type="dxa"/>
              <w:right w:w="20" w:type="dxa"/>
            </w:tcMar>
          </w:tcPr>
          <w:p w14:paraId="5EA1ECB9" w14:textId="77777777" w:rsidR="003C66EB" w:rsidRDefault="003C66EB">
            <w:pPr>
              <w:rPr>
                <w:rFonts w:ascii="宋体"/>
              </w:rPr>
            </w:pPr>
          </w:p>
        </w:tc>
        <w:tc>
          <w:tcPr>
            <w:tcW w:w="0" w:type="auto"/>
            <w:shd w:val="clear" w:color="auto" w:fill="auto"/>
          </w:tcPr>
          <w:p w14:paraId="5EA1ECBA" w14:textId="77777777" w:rsidR="003C66EB" w:rsidRDefault="003C66EB">
            <w:pPr>
              <w:rPr>
                <w:rFonts w:ascii="宋体"/>
                <w:vanish/>
              </w:rPr>
            </w:pPr>
          </w:p>
        </w:tc>
        <w:tc>
          <w:tcPr>
            <w:tcW w:w="0" w:type="auto"/>
            <w:shd w:val="clear" w:color="auto" w:fill="auto"/>
          </w:tcPr>
          <w:p w14:paraId="5EA1ECBB" w14:textId="77777777" w:rsidR="003C66EB" w:rsidRDefault="003C66EB">
            <w:pPr>
              <w:rPr>
                <w:rFonts w:ascii="宋体"/>
                <w:vanish/>
              </w:rPr>
            </w:pPr>
          </w:p>
        </w:tc>
        <w:tc>
          <w:tcPr>
            <w:tcW w:w="0" w:type="auto"/>
            <w:shd w:val="clear" w:color="auto" w:fill="auto"/>
          </w:tcPr>
          <w:p w14:paraId="5EA1ECBC" w14:textId="77777777" w:rsidR="003C66EB" w:rsidRDefault="003C66EB">
            <w:pPr>
              <w:rPr>
                <w:rFonts w:ascii="宋体"/>
                <w:vanish/>
              </w:rPr>
            </w:pPr>
          </w:p>
        </w:tc>
        <w:tc>
          <w:tcPr>
            <w:tcW w:w="0" w:type="auto"/>
            <w:gridSpan w:val="3"/>
            <w:shd w:val="clear" w:color="auto" w:fill="auto"/>
          </w:tcPr>
          <w:p w14:paraId="5EA1ECBD" w14:textId="77777777" w:rsidR="003C66EB" w:rsidRDefault="003C66EB">
            <w:pPr>
              <w:rPr>
                <w:rFonts w:ascii="宋体"/>
                <w:vanish/>
              </w:rPr>
            </w:pPr>
          </w:p>
        </w:tc>
        <w:tc>
          <w:tcPr>
            <w:tcW w:w="0" w:type="auto"/>
            <w:gridSpan w:val="3"/>
            <w:shd w:val="clear" w:color="auto" w:fill="auto"/>
            <w:tcMar>
              <w:top w:w="40" w:type="dxa"/>
              <w:left w:w="20" w:type="dxa"/>
              <w:bottom w:w="40" w:type="dxa"/>
              <w:right w:w="20" w:type="dxa"/>
            </w:tcMar>
            <w:vAlign w:val="bottom"/>
          </w:tcPr>
          <w:p w14:paraId="5EA1ECBE" w14:textId="77777777" w:rsidR="003C66EB" w:rsidRDefault="00D96C4E">
            <w:pPr>
              <w:jc w:val="center"/>
              <w:textAlignment w:val="bottom"/>
            </w:pPr>
            <w:r>
              <w:rPr>
                <w:rFonts w:ascii="Arial" w:eastAsia="宋体" w:hAnsi="Arial" w:cs="Arial"/>
                <w:b/>
                <w:bCs/>
                <w:color w:val="000000"/>
                <w:sz w:val="12"/>
                <w:szCs w:val="12"/>
              </w:rPr>
              <w:t>Asset and Other Write-offs</w:t>
            </w:r>
          </w:p>
        </w:tc>
        <w:tc>
          <w:tcPr>
            <w:tcW w:w="0" w:type="auto"/>
            <w:gridSpan w:val="3"/>
            <w:shd w:val="clear" w:color="auto" w:fill="auto"/>
            <w:tcMar>
              <w:top w:w="0" w:type="dxa"/>
              <w:left w:w="20" w:type="dxa"/>
              <w:bottom w:w="0" w:type="dxa"/>
              <w:right w:w="20" w:type="dxa"/>
            </w:tcMar>
          </w:tcPr>
          <w:p w14:paraId="5EA1ECB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ECC0" w14:textId="77777777" w:rsidR="003C66EB" w:rsidRDefault="00D96C4E">
            <w:pPr>
              <w:jc w:val="center"/>
              <w:textAlignment w:val="bottom"/>
            </w:pPr>
            <w:r>
              <w:rPr>
                <w:rFonts w:ascii="Arial" w:eastAsia="宋体" w:hAnsi="Arial" w:cs="Arial"/>
                <w:b/>
                <w:bCs/>
                <w:color w:val="000000"/>
                <w:sz w:val="12"/>
                <w:szCs w:val="12"/>
              </w:rPr>
              <w:t>Total</w:t>
            </w:r>
          </w:p>
        </w:tc>
      </w:tr>
      <w:tr w:rsidR="003C66EB" w14:paraId="5EA1ECCE" w14:textId="77777777">
        <w:trPr>
          <w:hidden/>
        </w:trPr>
        <w:tc>
          <w:tcPr>
            <w:tcW w:w="0" w:type="auto"/>
            <w:gridSpan w:val="3"/>
            <w:shd w:val="clear" w:color="auto" w:fill="auto"/>
          </w:tcPr>
          <w:p w14:paraId="5EA1ECC2" w14:textId="77777777" w:rsidR="003C66EB" w:rsidRDefault="003C66EB">
            <w:pPr>
              <w:rPr>
                <w:rFonts w:ascii="宋体"/>
                <w:vanish/>
              </w:rPr>
            </w:pPr>
          </w:p>
        </w:tc>
        <w:tc>
          <w:tcPr>
            <w:tcW w:w="0" w:type="auto"/>
            <w:gridSpan w:val="3"/>
            <w:shd w:val="clear" w:color="auto" w:fill="auto"/>
          </w:tcPr>
          <w:p w14:paraId="5EA1ECC3" w14:textId="77777777" w:rsidR="003C66EB" w:rsidRDefault="003C66EB">
            <w:pPr>
              <w:rPr>
                <w:rFonts w:ascii="宋体"/>
                <w:vanish/>
              </w:rPr>
            </w:pPr>
          </w:p>
        </w:tc>
        <w:tc>
          <w:tcPr>
            <w:tcW w:w="0" w:type="auto"/>
            <w:gridSpan w:val="3"/>
            <w:shd w:val="clear" w:color="auto" w:fill="auto"/>
          </w:tcPr>
          <w:p w14:paraId="5EA1ECC4" w14:textId="77777777" w:rsidR="003C66EB" w:rsidRDefault="003C66EB">
            <w:pPr>
              <w:rPr>
                <w:rFonts w:ascii="宋体"/>
                <w:vanish/>
              </w:rPr>
            </w:pPr>
          </w:p>
        </w:tc>
        <w:tc>
          <w:tcPr>
            <w:tcW w:w="0" w:type="auto"/>
            <w:gridSpan w:val="3"/>
            <w:shd w:val="clear" w:color="auto" w:fill="auto"/>
          </w:tcPr>
          <w:p w14:paraId="5EA1ECC5" w14:textId="77777777" w:rsidR="003C66EB" w:rsidRDefault="003C66EB">
            <w:pPr>
              <w:rPr>
                <w:rFonts w:ascii="宋体"/>
                <w:vanish/>
              </w:rPr>
            </w:pPr>
          </w:p>
        </w:tc>
        <w:tc>
          <w:tcPr>
            <w:tcW w:w="0" w:type="auto"/>
            <w:gridSpan w:val="3"/>
            <w:shd w:val="clear" w:color="auto" w:fill="auto"/>
          </w:tcPr>
          <w:p w14:paraId="5EA1ECC6" w14:textId="77777777" w:rsidR="003C66EB" w:rsidRDefault="003C66EB">
            <w:pPr>
              <w:rPr>
                <w:rFonts w:ascii="宋体"/>
                <w:vanish/>
              </w:rPr>
            </w:pPr>
          </w:p>
        </w:tc>
        <w:tc>
          <w:tcPr>
            <w:tcW w:w="0" w:type="auto"/>
            <w:shd w:val="clear" w:color="auto" w:fill="auto"/>
          </w:tcPr>
          <w:p w14:paraId="5EA1ECC7" w14:textId="77777777" w:rsidR="003C66EB" w:rsidRDefault="003C66EB">
            <w:pPr>
              <w:rPr>
                <w:rFonts w:ascii="宋体"/>
                <w:vanish/>
              </w:rPr>
            </w:pPr>
          </w:p>
        </w:tc>
        <w:tc>
          <w:tcPr>
            <w:tcW w:w="0" w:type="auto"/>
            <w:shd w:val="clear" w:color="auto" w:fill="auto"/>
          </w:tcPr>
          <w:p w14:paraId="5EA1ECC8" w14:textId="77777777" w:rsidR="003C66EB" w:rsidRDefault="003C66EB">
            <w:pPr>
              <w:rPr>
                <w:rFonts w:ascii="宋体"/>
                <w:vanish/>
              </w:rPr>
            </w:pPr>
          </w:p>
        </w:tc>
        <w:tc>
          <w:tcPr>
            <w:tcW w:w="0" w:type="auto"/>
            <w:shd w:val="clear" w:color="auto" w:fill="auto"/>
          </w:tcPr>
          <w:p w14:paraId="5EA1ECC9" w14:textId="77777777" w:rsidR="003C66EB" w:rsidRDefault="003C66EB">
            <w:pPr>
              <w:rPr>
                <w:rFonts w:ascii="宋体"/>
                <w:vanish/>
              </w:rPr>
            </w:pPr>
          </w:p>
        </w:tc>
        <w:tc>
          <w:tcPr>
            <w:tcW w:w="0" w:type="auto"/>
            <w:gridSpan w:val="3"/>
            <w:shd w:val="clear" w:color="auto" w:fill="auto"/>
          </w:tcPr>
          <w:p w14:paraId="5EA1ECCA" w14:textId="77777777" w:rsidR="003C66EB" w:rsidRDefault="003C66EB">
            <w:pPr>
              <w:rPr>
                <w:rFonts w:ascii="宋体"/>
                <w:vanish/>
              </w:rPr>
            </w:pPr>
          </w:p>
        </w:tc>
        <w:tc>
          <w:tcPr>
            <w:tcW w:w="0" w:type="auto"/>
            <w:gridSpan w:val="3"/>
            <w:shd w:val="clear" w:color="auto" w:fill="auto"/>
          </w:tcPr>
          <w:p w14:paraId="5EA1ECCB" w14:textId="77777777" w:rsidR="003C66EB" w:rsidRDefault="003C66EB">
            <w:pPr>
              <w:rPr>
                <w:rFonts w:ascii="宋体"/>
                <w:vanish/>
              </w:rPr>
            </w:pPr>
          </w:p>
        </w:tc>
        <w:tc>
          <w:tcPr>
            <w:tcW w:w="0" w:type="auto"/>
            <w:gridSpan w:val="3"/>
            <w:shd w:val="clear" w:color="auto" w:fill="auto"/>
          </w:tcPr>
          <w:p w14:paraId="5EA1ECCC" w14:textId="77777777" w:rsidR="003C66EB" w:rsidRDefault="003C66EB">
            <w:pPr>
              <w:rPr>
                <w:rFonts w:ascii="宋体"/>
                <w:vanish/>
              </w:rPr>
            </w:pPr>
          </w:p>
        </w:tc>
        <w:tc>
          <w:tcPr>
            <w:tcW w:w="0" w:type="auto"/>
            <w:gridSpan w:val="3"/>
            <w:shd w:val="clear" w:color="auto" w:fill="auto"/>
          </w:tcPr>
          <w:p w14:paraId="5EA1ECCD" w14:textId="77777777" w:rsidR="003C66EB" w:rsidRDefault="003C66EB">
            <w:pPr>
              <w:rPr>
                <w:rFonts w:ascii="宋体"/>
                <w:vanish/>
              </w:rPr>
            </w:pPr>
          </w:p>
        </w:tc>
      </w:tr>
      <w:tr w:rsidR="003C66EB" w14:paraId="5EA1ECDB" w14:textId="77777777">
        <w:trPr>
          <w:hidden/>
        </w:trPr>
        <w:tc>
          <w:tcPr>
            <w:tcW w:w="0" w:type="auto"/>
            <w:gridSpan w:val="3"/>
            <w:shd w:val="clear" w:color="auto" w:fill="auto"/>
          </w:tcPr>
          <w:p w14:paraId="5EA1ECCF" w14:textId="77777777" w:rsidR="003C66EB" w:rsidRDefault="003C66EB">
            <w:pPr>
              <w:rPr>
                <w:rFonts w:ascii="宋体"/>
                <w:vanish/>
              </w:rPr>
            </w:pPr>
          </w:p>
        </w:tc>
        <w:tc>
          <w:tcPr>
            <w:tcW w:w="0" w:type="auto"/>
            <w:gridSpan w:val="3"/>
            <w:shd w:val="clear" w:color="auto" w:fill="auto"/>
          </w:tcPr>
          <w:p w14:paraId="5EA1ECD0" w14:textId="77777777" w:rsidR="003C66EB" w:rsidRDefault="003C66EB">
            <w:pPr>
              <w:rPr>
                <w:rFonts w:ascii="宋体"/>
                <w:vanish/>
              </w:rPr>
            </w:pPr>
          </w:p>
        </w:tc>
        <w:tc>
          <w:tcPr>
            <w:tcW w:w="0" w:type="auto"/>
            <w:gridSpan w:val="3"/>
            <w:shd w:val="clear" w:color="auto" w:fill="auto"/>
          </w:tcPr>
          <w:p w14:paraId="5EA1ECD1" w14:textId="77777777" w:rsidR="003C66EB" w:rsidRDefault="003C66EB">
            <w:pPr>
              <w:rPr>
                <w:rFonts w:ascii="宋体"/>
                <w:vanish/>
              </w:rPr>
            </w:pPr>
          </w:p>
        </w:tc>
        <w:tc>
          <w:tcPr>
            <w:tcW w:w="0" w:type="auto"/>
            <w:gridSpan w:val="3"/>
            <w:shd w:val="clear" w:color="auto" w:fill="auto"/>
          </w:tcPr>
          <w:p w14:paraId="5EA1ECD2" w14:textId="77777777" w:rsidR="003C66EB" w:rsidRDefault="003C66EB">
            <w:pPr>
              <w:rPr>
                <w:rFonts w:ascii="宋体"/>
                <w:vanish/>
              </w:rPr>
            </w:pPr>
          </w:p>
        </w:tc>
        <w:tc>
          <w:tcPr>
            <w:tcW w:w="0" w:type="auto"/>
            <w:gridSpan w:val="3"/>
            <w:shd w:val="clear" w:color="auto" w:fill="auto"/>
          </w:tcPr>
          <w:p w14:paraId="5EA1ECD3" w14:textId="77777777" w:rsidR="003C66EB" w:rsidRDefault="003C66EB">
            <w:pPr>
              <w:rPr>
                <w:rFonts w:ascii="宋体"/>
                <w:vanish/>
              </w:rPr>
            </w:pPr>
          </w:p>
        </w:tc>
        <w:tc>
          <w:tcPr>
            <w:tcW w:w="0" w:type="auto"/>
            <w:shd w:val="clear" w:color="auto" w:fill="auto"/>
          </w:tcPr>
          <w:p w14:paraId="5EA1ECD4" w14:textId="77777777" w:rsidR="003C66EB" w:rsidRDefault="003C66EB">
            <w:pPr>
              <w:rPr>
                <w:rFonts w:ascii="宋体"/>
                <w:vanish/>
              </w:rPr>
            </w:pPr>
          </w:p>
        </w:tc>
        <w:tc>
          <w:tcPr>
            <w:tcW w:w="0" w:type="auto"/>
            <w:shd w:val="clear" w:color="auto" w:fill="auto"/>
          </w:tcPr>
          <w:p w14:paraId="5EA1ECD5" w14:textId="77777777" w:rsidR="003C66EB" w:rsidRDefault="003C66EB">
            <w:pPr>
              <w:rPr>
                <w:rFonts w:ascii="宋体"/>
                <w:vanish/>
              </w:rPr>
            </w:pPr>
          </w:p>
        </w:tc>
        <w:tc>
          <w:tcPr>
            <w:tcW w:w="0" w:type="auto"/>
            <w:shd w:val="clear" w:color="auto" w:fill="auto"/>
          </w:tcPr>
          <w:p w14:paraId="5EA1ECD6" w14:textId="77777777" w:rsidR="003C66EB" w:rsidRDefault="003C66EB">
            <w:pPr>
              <w:rPr>
                <w:rFonts w:ascii="宋体"/>
                <w:vanish/>
              </w:rPr>
            </w:pPr>
          </w:p>
        </w:tc>
        <w:tc>
          <w:tcPr>
            <w:tcW w:w="0" w:type="auto"/>
            <w:gridSpan w:val="3"/>
            <w:shd w:val="clear" w:color="auto" w:fill="auto"/>
          </w:tcPr>
          <w:p w14:paraId="5EA1ECD7" w14:textId="77777777" w:rsidR="003C66EB" w:rsidRDefault="003C66EB">
            <w:pPr>
              <w:rPr>
                <w:rFonts w:ascii="宋体"/>
                <w:vanish/>
              </w:rPr>
            </w:pPr>
          </w:p>
        </w:tc>
        <w:tc>
          <w:tcPr>
            <w:tcW w:w="0" w:type="auto"/>
            <w:gridSpan w:val="3"/>
            <w:shd w:val="clear" w:color="auto" w:fill="auto"/>
          </w:tcPr>
          <w:p w14:paraId="5EA1ECD8" w14:textId="77777777" w:rsidR="003C66EB" w:rsidRDefault="003C66EB">
            <w:pPr>
              <w:rPr>
                <w:rFonts w:ascii="宋体"/>
                <w:vanish/>
              </w:rPr>
            </w:pPr>
          </w:p>
        </w:tc>
        <w:tc>
          <w:tcPr>
            <w:tcW w:w="0" w:type="auto"/>
            <w:gridSpan w:val="3"/>
            <w:shd w:val="clear" w:color="auto" w:fill="auto"/>
          </w:tcPr>
          <w:p w14:paraId="5EA1ECD9" w14:textId="77777777" w:rsidR="003C66EB" w:rsidRDefault="003C66EB">
            <w:pPr>
              <w:rPr>
                <w:rFonts w:ascii="宋体"/>
                <w:vanish/>
              </w:rPr>
            </w:pPr>
          </w:p>
        </w:tc>
        <w:tc>
          <w:tcPr>
            <w:tcW w:w="0" w:type="auto"/>
            <w:gridSpan w:val="3"/>
            <w:shd w:val="clear" w:color="auto" w:fill="auto"/>
          </w:tcPr>
          <w:p w14:paraId="5EA1ECDA" w14:textId="77777777" w:rsidR="003C66EB" w:rsidRDefault="003C66EB">
            <w:pPr>
              <w:rPr>
                <w:rFonts w:ascii="宋体"/>
                <w:vanish/>
              </w:rPr>
            </w:pPr>
          </w:p>
        </w:tc>
      </w:tr>
      <w:tr w:rsidR="003C66EB" w14:paraId="5EA1ECE8" w14:textId="77777777">
        <w:trPr>
          <w:hidden/>
        </w:trPr>
        <w:tc>
          <w:tcPr>
            <w:tcW w:w="0" w:type="auto"/>
            <w:gridSpan w:val="3"/>
            <w:shd w:val="clear" w:color="auto" w:fill="auto"/>
          </w:tcPr>
          <w:p w14:paraId="5EA1ECDC" w14:textId="77777777" w:rsidR="003C66EB" w:rsidRDefault="003C66EB">
            <w:pPr>
              <w:rPr>
                <w:rFonts w:ascii="宋体"/>
                <w:vanish/>
              </w:rPr>
            </w:pPr>
          </w:p>
        </w:tc>
        <w:tc>
          <w:tcPr>
            <w:tcW w:w="0" w:type="auto"/>
            <w:gridSpan w:val="3"/>
            <w:shd w:val="clear" w:color="auto" w:fill="auto"/>
          </w:tcPr>
          <w:p w14:paraId="5EA1ECDD" w14:textId="77777777" w:rsidR="003C66EB" w:rsidRDefault="003C66EB">
            <w:pPr>
              <w:rPr>
                <w:rFonts w:ascii="宋体"/>
                <w:vanish/>
              </w:rPr>
            </w:pPr>
          </w:p>
        </w:tc>
        <w:tc>
          <w:tcPr>
            <w:tcW w:w="0" w:type="auto"/>
            <w:gridSpan w:val="3"/>
            <w:shd w:val="clear" w:color="auto" w:fill="auto"/>
          </w:tcPr>
          <w:p w14:paraId="5EA1ECDE" w14:textId="77777777" w:rsidR="003C66EB" w:rsidRDefault="003C66EB">
            <w:pPr>
              <w:rPr>
                <w:rFonts w:ascii="宋体"/>
                <w:vanish/>
              </w:rPr>
            </w:pPr>
          </w:p>
        </w:tc>
        <w:tc>
          <w:tcPr>
            <w:tcW w:w="0" w:type="auto"/>
            <w:gridSpan w:val="3"/>
            <w:shd w:val="clear" w:color="auto" w:fill="auto"/>
          </w:tcPr>
          <w:p w14:paraId="5EA1ECDF" w14:textId="77777777" w:rsidR="003C66EB" w:rsidRDefault="003C66EB">
            <w:pPr>
              <w:rPr>
                <w:rFonts w:ascii="宋体"/>
                <w:vanish/>
              </w:rPr>
            </w:pPr>
          </w:p>
        </w:tc>
        <w:tc>
          <w:tcPr>
            <w:tcW w:w="0" w:type="auto"/>
            <w:gridSpan w:val="3"/>
            <w:shd w:val="clear" w:color="auto" w:fill="auto"/>
          </w:tcPr>
          <w:p w14:paraId="5EA1ECE0" w14:textId="77777777" w:rsidR="003C66EB" w:rsidRDefault="003C66EB">
            <w:pPr>
              <w:rPr>
                <w:rFonts w:ascii="宋体"/>
                <w:vanish/>
              </w:rPr>
            </w:pPr>
          </w:p>
        </w:tc>
        <w:tc>
          <w:tcPr>
            <w:tcW w:w="0" w:type="auto"/>
            <w:shd w:val="clear" w:color="auto" w:fill="auto"/>
          </w:tcPr>
          <w:p w14:paraId="5EA1ECE1" w14:textId="77777777" w:rsidR="003C66EB" w:rsidRDefault="003C66EB">
            <w:pPr>
              <w:rPr>
                <w:rFonts w:ascii="宋体"/>
                <w:vanish/>
              </w:rPr>
            </w:pPr>
          </w:p>
        </w:tc>
        <w:tc>
          <w:tcPr>
            <w:tcW w:w="0" w:type="auto"/>
            <w:shd w:val="clear" w:color="auto" w:fill="auto"/>
          </w:tcPr>
          <w:p w14:paraId="5EA1ECE2" w14:textId="77777777" w:rsidR="003C66EB" w:rsidRDefault="003C66EB">
            <w:pPr>
              <w:rPr>
                <w:rFonts w:ascii="宋体"/>
                <w:vanish/>
              </w:rPr>
            </w:pPr>
          </w:p>
        </w:tc>
        <w:tc>
          <w:tcPr>
            <w:tcW w:w="0" w:type="auto"/>
            <w:shd w:val="clear" w:color="auto" w:fill="auto"/>
          </w:tcPr>
          <w:p w14:paraId="5EA1ECE3" w14:textId="77777777" w:rsidR="003C66EB" w:rsidRDefault="003C66EB">
            <w:pPr>
              <w:rPr>
                <w:rFonts w:ascii="宋体"/>
                <w:vanish/>
              </w:rPr>
            </w:pPr>
          </w:p>
        </w:tc>
        <w:tc>
          <w:tcPr>
            <w:tcW w:w="0" w:type="auto"/>
            <w:gridSpan w:val="3"/>
            <w:shd w:val="clear" w:color="auto" w:fill="auto"/>
          </w:tcPr>
          <w:p w14:paraId="5EA1ECE4" w14:textId="77777777" w:rsidR="003C66EB" w:rsidRDefault="003C66EB">
            <w:pPr>
              <w:rPr>
                <w:rFonts w:ascii="宋体"/>
                <w:vanish/>
              </w:rPr>
            </w:pPr>
          </w:p>
        </w:tc>
        <w:tc>
          <w:tcPr>
            <w:tcW w:w="0" w:type="auto"/>
            <w:gridSpan w:val="3"/>
            <w:shd w:val="clear" w:color="auto" w:fill="auto"/>
          </w:tcPr>
          <w:p w14:paraId="5EA1ECE5" w14:textId="77777777" w:rsidR="003C66EB" w:rsidRDefault="003C66EB">
            <w:pPr>
              <w:rPr>
                <w:rFonts w:ascii="宋体"/>
                <w:vanish/>
              </w:rPr>
            </w:pPr>
          </w:p>
        </w:tc>
        <w:tc>
          <w:tcPr>
            <w:tcW w:w="0" w:type="auto"/>
            <w:gridSpan w:val="3"/>
            <w:shd w:val="clear" w:color="auto" w:fill="auto"/>
          </w:tcPr>
          <w:p w14:paraId="5EA1ECE6" w14:textId="77777777" w:rsidR="003C66EB" w:rsidRDefault="003C66EB">
            <w:pPr>
              <w:rPr>
                <w:rFonts w:ascii="宋体"/>
                <w:vanish/>
              </w:rPr>
            </w:pPr>
          </w:p>
        </w:tc>
        <w:tc>
          <w:tcPr>
            <w:tcW w:w="0" w:type="auto"/>
            <w:gridSpan w:val="3"/>
            <w:shd w:val="clear" w:color="auto" w:fill="auto"/>
          </w:tcPr>
          <w:p w14:paraId="5EA1ECE7" w14:textId="77777777" w:rsidR="003C66EB" w:rsidRDefault="003C66EB">
            <w:pPr>
              <w:rPr>
                <w:rFonts w:ascii="宋体"/>
                <w:vanish/>
              </w:rPr>
            </w:pPr>
          </w:p>
        </w:tc>
      </w:tr>
      <w:tr w:rsidR="003C66EB" w14:paraId="5EA1ECF5" w14:textId="77777777">
        <w:trPr>
          <w:hidden/>
        </w:trPr>
        <w:tc>
          <w:tcPr>
            <w:tcW w:w="0" w:type="auto"/>
            <w:gridSpan w:val="3"/>
            <w:shd w:val="clear" w:color="auto" w:fill="auto"/>
          </w:tcPr>
          <w:p w14:paraId="5EA1ECE9" w14:textId="77777777" w:rsidR="003C66EB" w:rsidRDefault="003C66EB">
            <w:pPr>
              <w:rPr>
                <w:rFonts w:ascii="宋体"/>
                <w:vanish/>
              </w:rPr>
            </w:pPr>
          </w:p>
        </w:tc>
        <w:tc>
          <w:tcPr>
            <w:tcW w:w="0" w:type="auto"/>
            <w:gridSpan w:val="3"/>
            <w:shd w:val="clear" w:color="auto" w:fill="auto"/>
          </w:tcPr>
          <w:p w14:paraId="5EA1ECEA" w14:textId="77777777" w:rsidR="003C66EB" w:rsidRDefault="003C66EB">
            <w:pPr>
              <w:rPr>
                <w:rFonts w:ascii="宋体"/>
                <w:vanish/>
              </w:rPr>
            </w:pPr>
          </w:p>
        </w:tc>
        <w:tc>
          <w:tcPr>
            <w:tcW w:w="0" w:type="auto"/>
            <w:gridSpan w:val="3"/>
            <w:shd w:val="clear" w:color="auto" w:fill="auto"/>
          </w:tcPr>
          <w:p w14:paraId="5EA1ECEB" w14:textId="77777777" w:rsidR="003C66EB" w:rsidRDefault="003C66EB">
            <w:pPr>
              <w:rPr>
                <w:rFonts w:ascii="宋体"/>
                <w:vanish/>
              </w:rPr>
            </w:pPr>
          </w:p>
        </w:tc>
        <w:tc>
          <w:tcPr>
            <w:tcW w:w="0" w:type="auto"/>
            <w:gridSpan w:val="3"/>
            <w:shd w:val="clear" w:color="auto" w:fill="auto"/>
          </w:tcPr>
          <w:p w14:paraId="5EA1ECEC" w14:textId="77777777" w:rsidR="003C66EB" w:rsidRDefault="003C66EB">
            <w:pPr>
              <w:rPr>
                <w:rFonts w:ascii="宋体"/>
                <w:vanish/>
              </w:rPr>
            </w:pPr>
          </w:p>
        </w:tc>
        <w:tc>
          <w:tcPr>
            <w:tcW w:w="0" w:type="auto"/>
            <w:gridSpan w:val="3"/>
            <w:shd w:val="clear" w:color="auto" w:fill="auto"/>
          </w:tcPr>
          <w:p w14:paraId="5EA1ECED" w14:textId="77777777" w:rsidR="003C66EB" w:rsidRDefault="003C66EB">
            <w:pPr>
              <w:rPr>
                <w:rFonts w:ascii="宋体"/>
                <w:vanish/>
              </w:rPr>
            </w:pPr>
          </w:p>
        </w:tc>
        <w:tc>
          <w:tcPr>
            <w:tcW w:w="0" w:type="auto"/>
            <w:shd w:val="clear" w:color="auto" w:fill="auto"/>
          </w:tcPr>
          <w:p w14:paraId="5EA1ECEE" w14:textId="77777777" w:rsidR="003C66EB" w:rsidRDefault="003C66EB">
            <w:pPr>
              <w:rPr>
                <w:rFonts w:ascii="宋体"/>
                <w:vanish/>
              </w:rPr>
            </w:pPr>
          </w:p>
        </w:tc>
        <w:tc>
          <w:tcPr>
            <w:tcW w:w="0" w:type="auto"/>
            <w:shd w:val="clear" w:color="auto" w:fill="auto"/>
          </w:tcPr>
          <w:p w14:paraId="5EA1ECEF" w14:textId="77777777" w:rsidR="003C66EB" w:rsidRDefault="003C66EB">
            <w:pPr>
              <w:rPr>
                <w:rFonts w:ascii="宋体"/>
                <w:vanish/>
              </w:rPr>
            </w:pPr>
          </w:p>
        </w:tc>
        <w:tc>
          <w:tcPr>
            <w:tcW w:w="0" w:type="auto"/>
            <w:shd w:val="clear" w:color="auto" w:fill="auto"/>
          </w:tcPr>
          <w:p w14:paraId="5EA1ECF0" w14:textId="77777777" w:rsidR="003C66EB" w:rsidRDefault="003C66EB">
            <w:pPr>
              <w:rPr>
                <w:rFonts w:ascii="宋体"/>
                <w:vanish/>
              </w:rPr>
            </w:pPr>
          </w:p>
        </w:tc>
        <w:tc>
          <w:tcPr>
            <w:tcW w:w="0" w:type="auto"/>
            <w:gridSpan w:val="3"/>
            <w:shd w:val="clear" w:color="auto" w:fill="auto"/>
          </w:tcPr>
          <w:p w14:paraId="5EA1ECF1" w14:textId="77777777" w:rsidR="003C66EB" w:rsidRDefault="003C66EB">
            <w:pPr>
              <w:rPr>
                <w:rFonts w:ascii="宋体"/>
                <w:vanish/>
              </w:rPr>
            </w:pPr>
          </w:p>
        </w:tc>
        <w:tc>
          <w:tcPr>
            <w:tcW w:w="0" w:type="auto"/>
            <w:gridSpan w:val="3"/>
            <w:shd w:val="clear" w:color="auto" w:fill="auto"/>
          </w:tcPr>
          <w:p w14:paraId="5EA1ECF2" w14:textId="77777777" w:rsidR="003C66EB" w:rsidRDefault="003C66EB">
            <w:pPr>
              <w:rPr>
                <w:rFonts w:ascii="宋体"/>
                <w:vanish/>
              </w:rPr>
            </w:pPr>
          </w:p>
        </w:tc>
        <w:tc>
          <w:tcPr>
            <w:tcW w:w="0" w:type="auto"/>
            <w:gridSpan w:val="3"/>
            <w:shd w:val="clear" w:color="auto" w:fill="auto"/>
          </w:tcPr>
          <w:p w14:paraId="5EA1ECF3" w14:textId="77777777" w:rsidR="003C66EB" w:rsidRDefault="003C66EB">
            <w:pPr>
              <w:rPr>
                <w:rFonts w:ascii="宋体"/>
                <w:vanish/>
              </w:rPr>
            </w:pPr>
          </w:p>
        </w:tc>
        <w:tc>
          <w:tcPr>
            <w:tcW w:w="0" w:type="auto"/>
            <w:gridSpan w:val="3"/>
            <w:shd w:val="clear" w:color="auto" w:fill="auto"/>
          </w:tcPr>
          <w:p w14:paraId="5EA1ECF4" w14:textId="77777777" w:rsidR="003C66EB" w:rsidRDefault="003C66EB">
            <w:pPr>
              <w:rPr>
                <w:rFonts w:ascii="宋体"/>
                <w:vanish/>
              </w:rPr>
            </w:pPr>
          </w:p>
        </w:tc>
      </w:tr>
      <w:tr w:rsidR="003C66EB" w14:paraId="5EA1ED02" w14:textId="77777777">
        <w:trPr>
          <w:hidden/>
        </w:trPr>
        <w:tc>
          <w:tcPr>
            <w:tcW w:w="0" w:type="auto"/>
            <w:gridSpan w:val="3"/>
            <w:shd w:val="clear" w:color="auto" w:fill="auto"/>
          </w:tcPr>
          <w:p w14:paraId="5EA1ECF6" w14:textId="77777777" w:rsidR="003C66EB" w:rsidRDefault="003C66EB">
            <w:pPr>
              <w:rPr>
                <w:rFonts w:ascii="宋体"/>
                <w:vanish/>
              </w:rPr>
            </w:pPr>
          </w:p>
        </w:tc>
        <w:tc>
          <w:tcPr>
            <w:tcW w:w="0" w:type="auto"/>
            <w:gridSpan w:val="3"/>
            <w:shd w:val="clear" w:color="auto" w:fill="auto"/>
          </w:tcPr>
          <w:p w14:paraId="5EA1ECF7" w14:textId="77777777" w:rsidR="003C66EB" w:rsidRDefault="003C66EB">
            <w:pPr>
              <w:rPr>
                <w:rFonts w:ascii="宋体"/>
                <w:vanish/>
              </w:rPr>
            </w:pPr>
          </w:p>
        </w:tc>
        <w:tc>
          <w:tcPr>
            <w:tcW w:w="0" w:type="auto"/>
            <w:gridSpan w:val="3"/>
            <w:shd w:val="clear" w:color="auto" w:fill="auto"/>
          </w:tcPr>
          <w:p w14:paraId="5EA1ECF8" w14:textId="77777777" w:rsidR="003C66EB" w:rsidRDefault="003C66EB">
            <w:pPr>
              <w:rPr>
                <w:rFonts w:ascii="宋体"/>
                <w:vanish/>
              </w:rPr>
            </w:pPr>
          </w:p>
        </w:tc>
        <w:tc>
          <w:tcPr>
            <w:tcW w:w="0" w:type="auto"/>
            <w:gridSpan w:val="3"/>
            <w:shd w:val="clear" w:color="auto" w:fill="auto"/>
          </w:tcPr>
          <w:p w14:paraId="5EA1ECF9" w14:textId="77777777" w:rsidR="003C66EB" w:rsidRDefault="003C66EB">
            <w:pPr>
              <w:rPr>
                <w:rFonts w:ascii="宋体"/>
                <w:vanish/>
              </w:rPr>
            </w:pPr>
          </w:p>
        </w:tc>
        <w:tc>
          <w:tcPr>
            <w:tcW w:w="0" w:type="auto"/>
            <w:gridSpan w:val="3"/>
            <w:shd w:val="clear" w:color="auto" w:fill="auto"/>
          </w:tcPr>
          <w:p w14:paraId="5EA1ECFA" w14:textId="77777777" w:rsidR="003C66EB" w:rsidRDefault="003C66EB">
            <w:pPr>
              <w:rPr>
                <w:rFonts w:ascii="宋体"/>
                <w:vanish/>
              </w:rPr>
            </w:pPr>
          </w:p>
        </w:tc>
        <w:tc>
          <w:tcPr>
            <w:tcW w:w="0" w:type="auto"/>
            <w:shd w:val="clear" w:color="auto" w:fill="auto"/>
          </w:tcPr>
          <w:p w14:paraId="5EA1ECFB" w14:textId="77777777" w:rsidR="003C66EB" w:rsidRDefault="003C66EB">
            <w:pPr>
              <w:rPr>
                <w:rFonts w:ascii="宋体"/>
                <w:vanish/>
              </w:rPr>
            </w:pPr>
          </w:p>
        </w:tc>
        <w:tc>
          <w:tcPr>
            <w:tcW w:w="0" w:type="auto"/>
            <w:shd w:val="clear" w:color="auto" w:fill="auto"/>
          </w:tcPr>
          <w:p w14:paraId="5EA1ECFC" w14:textId="77777777" w:rsidR="003C66EB" w:rsidRDefault="003C66EB">
            <w:pPr>
              <w:rPr>
                <w:rFonts w:ascii="宋体"/>
                <w:vanish/>
              </w:rPr>
            </w:pPr>
          </w:p>
        </w:tc>
        <w:tc>
          <w:tcPr>
            <w:tcW w:w="0" w:type="auto"/>
            <w:shd w:val="clear" w:color="auto" w:fill="auto"/>
          </w:tcPr>
          <w:p w14:paraId="5EA1ECFD" w14:textId="77777777" w:rsidR="003C66EB" w:rsidRDefault="003C66EB">
            <w:pPr>
              <w:rPr>
                <w:rFonts w:ascii="宋体"/>
                <w:vanish/>
              </w:rPr>
            </w:pPr>
          </w:p>
        </w:tc>
        <w:tc>
          <w:tcPr>
            <w:tcW w:w="0" w:type="auto"/>
            <w:gridSpan w:val="3"/>
            <w:shd w:val="clear" w:color="auto" w:fill="auto"/>
          </w:tcPr>
          <w:p w14:paraId="5EA1ECFE" w14:textId="77777777" w:rsidR="003C66EB" w:rsidRDefault="003C66EB">
            <w:pPr>
              <w:rPr>
                <w:rFonts w:ascii="宋体"/>
                <w:vanish/>
              </w:rPr>
            </w:pPr>
          </w:p>
        </w:tc>
        <w:tc>
          <w:tcPr>
            <w:tcW w:w="0" w:type="auto"/>
            <w:gridSpan w:val="3"/>
            <w:shd w:val="clear" w:color="auto" w:fill="auto"/>
          </w:tcPr>
          <w:p w14:paraId="5EA1ECFF" w14:textId="77777777" w:rsidR="003C66EB" w:rsidRDefault="003C66EB">
            <w:pPr>
              <w:rPr>
                <w:rFonts w:ascii="宋体"/>
                <w:vanish/>
              </w:rPr>
            </w:pPr>
          </w:p>
        </w:tc>
        <w:tc>
          <w:tcPr>
            <w:tcW w:w="0" w:type="auto"/>
            <w:gridSpan w:val="3"/>
            <w:shd w:val="clear" w:color="auto" w:fill="auto"/>
          </w:tcPr>
          <w:p w14:paraId="5EA1ED00" w14:textId="77777777" w:rsidR="003C66EB" w:rsidRDefault="003C66EB">
            <w:pPr>
              <w:rPr>
                <w:rFonts w:ascii="宋体"/>
                <w:vanish/>
              </w:rPr>
            </w:pPr>
          </w:p>
        </w:tc>
        <w:tc>
          <w:tcPr>
            <w:tcW w:w="0" w:type="auto"/>
            <w:gridSpan w:val="3"/>
            <w:shd w:val="clear" w:color="auto" w:fill="auto"/>
          </w:tcPr>
          <w:p w14:paraId="5EA1ED01" w14:textId="77777777" w:rsidR="003C66EB" w:rsidRDefault="003C66EB">
            <w:pPr>
              <w:rPr>
                <w:rFonts w:ascii="宋体"/>
                <w:vanish/>
              </w:rPr>
            </w:pPr>
          </w:p>
        </w:tc>
      </w:tr>
      <w:tr w:rsidR="003C66EB" w14:paraId="5EA1ED0F" w14:textId="77777777">
        <w:trPr>
          <w:hidden/>
        </w:trPr>
        <w:tc>
          <w:tcPr>
            <w:tcW w:w="0" w:type="auto"/>
            <w:gridSpan w:val="3"/>
            <w:shd w:val="clear" w:color="auto" w:fill="auto"/>
          </w:tcPr>
          <w:p w14:paraId="5EA1ED03" w14:textId="77777777" w:rsidR="003C66EB" w:rsidRDefault="003C66EB">
            <w:pPr>
              <w:rPr>
                <w:rFonts w:ascii="宋体"/>
                <w:vanish/>
              </w:rPr>
            </w:pPr>
          </w:p>
        </w:tc>
        <w:tc>
          <w:tcPr>
            <w:tcW w:w="0" w:type="auto"/>
            <w:gridSpan w:val="3"/>
            <w:shd w:val="clear" w:color="auto" w:fill="auto"/>
          </w:tcPr>
          <w:p w14:paraId="5EA1ED04" w14:textId="77777777" w:rsidR="003C66EB" w:rsidRDefault="003C66EB">
            <w:pPr>
              <w:rPr>
                <w:rFonts w:ascii="宋体"/>
                <w:vanish/>
              </w:rPr>
            </w:pPr>
          </w:p>
        </w:tc>
        <w:tc>
          <w:tcPr>
            <w:tcW w:w="0" w:type="auto"/>
            <w:gridSpan w:val="3"/>
            <w:shd w:val="clear" w:color="auto" w:fill="auto"/>
          </w:tcPr>
          <w:p w14:paraId="5EA1ED05" w14:textId="77777777" w:rsidR="003C66EB" w:rsidRDefault="003C66EB">
            <w:pPr>
              <w:rPr>
                <w:rFonts w:ascii="宋体"/>
                <w:vanish/>
              </w:rPr>
            </w:pPr>
          </w:p>
        </w:tc>
        <w:tc>
          <w:tcPr>
            <w:tcW w:w="0" w:type="auto"/>
            <w:gridSpan w:val="3"/>
            <w:shd w:val="clear" w:color="auto" w:fill="auto"/>
          </w:tcPr>
          <w:p w14:paraId="5EA1ED06" w14:textId="77777777" w:rsidR="003C66EB" w:rsidRDefault="003C66EB">
            <w:pPr>
              <w:rPr>
                <w:rFonts w:ascii="宋体"/>
                <w:vanish/>
              </w:rPr>
            </w:pPr>
          </w:p>
        </w:tc>
        <w:tc>
          <w:tcPr>
            <w:tcW w:w="0" w:type="auto"/>
            <w:gridSpan w:val="3"/>
            <w:shd w:val="clear" w:color="auto" w:fill="auto"/>
          </w:tcPr>
          <w:p w14:paraId="5EA1ED07" w14:textId="77777777" w:rsidR="003C66EB" w:rsidRDefault="003C66EB">
            <w:pPr>
              <w:rPr>
                <w:rFonts w:ascii="宋体"/>
                <w:vanish/>
              </w:rPr>
            </w:pPr>
          </w:p>
        </w:tc>
        <w:tc>
          <w:tcPr>
            <w:tcW w:w="0" w:type="auto"/>
            <w:shd w:val="clear" w:color="auto" w:fill="auto"/>
          </w:tcPr>
          <w:p w14:paraId="5EA1ED08" w14:textId="77777777" w:rsidR="003C66EB" w:rsidRDefault="003C66EB">
            <w:pPr>
              <w:rPr>
                <w:rFonts w:ascii="宋体"/>
                <w:vanish/>
              </w:rPr>
            </w:pPr>
          </w:p>
        </w:tc>
        <w:tc>
          <w:tcPr>
            <w:tcW w:w="0" w:type="auto"/>
            <w:shd w:val="clear" w:color="auto" w:fill="auto"/>
          </w:tcPr>
          <w:p w14:paraId="5EA1ED09" w14:textId="77777777" w:rsidR="003C66EB" w:rsidRDefault="003C66EB">
            <w:pPr>
              <w:rPr>
                <w:rFonts w:ascii="宋体"/>
                <w:vanish/>
              </w:rPr>
            </w:pPr>
          </w:p>
        </w:tc>
        <w:tc>
          <w:tcPr>
            <w:tcW w:w="0" w:type="auto"/>
            <w:shd w:val="clear" w:color="auto" w:fill="auto"/>
          </w:tcPr>
          <w:p w14:paraId="5EA1ED0A" w14:textId="77777777" w:rsidR="003C66EB" w:rsidRDefault="003C66EB">
            <w:pPr>
              <w:rPr>
                <w:rFonts w:ascii="宋体"/>
                <w:vanish/>
              </w:rPr>
            </w:pPr>
          </w:p>
        </w:tc>
        <w:tc>
          <w:tcPr>
            <w:tcW w:w="0" w:type="auto"/>
            <w:gridSpan w:val="3"/>
            <w:shd w:val="clear" w:color="auto" w:fill="auto"/>
          </w:tcPr>
          <w:p w14:paraId="5EA1ED0B" w14:textId="77777777" w:rsidR="003C66EB" w:rsidRDefault="003C66EB">
            <w:pPr>
              <w:rPr>
                <w:rFonts w:ascii="宋体"/>
                <w:vanish/>
              </w:rPr>
            </w:pPr>
          </w:p>
        </w:tc>
        <w:tc>
          <w:tcPr>
            <w:tcW w:w="0" w:type="auto"/>
            <w:gridSpan w:val="3"/>
            <w:shd w:val="clear" w:color="auto" w:fill="auto"/>
          </w:tcPr>
          <w:p w14:paraId="5EA1ED0C" w14:textId="77777777" w:rsidR="003C66EB" w:rsidRDefault="003C66EB">
            <w:pPr>
              <w:rPr>
                <w:rFonts w:ascii="宋体"/>
                <w:vanish/>
              </w:rPr>
            </w:pPr>
          </w:p>
        </w:tc>
        <w:tc>
          <w:tcPr>
            <w:tcW w:w="0" w:type="auto"/>
            <w:gridSpan w:val="3"/>
            <w:shd w:val="clear" w:color="auto" w:fill="auto"/>
          </w:tcPr>
          <w:p w14:paraId="5EA1ED0D" w14:textId="77777777" w:rsidR="003C66EB" w:rsidRDefault="003C66EB">
            <w:pPr>
              <w:rPr>
                <w:rFonts w:ascii="宋体"/>
                <w:vanish/>
              </w:rPr>
            </w:pPr>
          </w:p>
        </w:tc>
        <w:tc>
          <w:tcPr>
            <w:tcW w:w="0" w:type="auto"/>
            <w:gridSpan w:val="3"/>
            <w:shd w:val="clear" w:color="auto" w:fill="auto"/>
          </w:tcPr>
          <w:p w14:paraId="5EA1ED0E" w14:textId="77777777" w:rsidR="003C66EB" w:rsidRDefault="003C66EB">
            <w:pPr>
              <w:rPr>
                <w:rFonts w:ascii="宋体"/>
                <w:vanish/>
              </w:rPr>
            </w:pPr>
          </w:p>
        </w:tc>
      </w:tr>
      <w:tr w:rsidR="003C66EB" w14:paraId="5EA1ED1C" w14:textId="77777777">
        <w:trPr>
          <w:hidden/>
        </w:trPr>
        <w:tc>
          <w:tcPr>
            <w:tcW w:w="0" w:type="auto"/>
            <w:gridSpan w:val="3"/>
            <w:shd w:val="clear" w:color="auto" w:fill="auto"/>
          </w:tcPr>
          <w:p w14:paraId="5EA1ED10" w14:textId="77777777" w:rsidR="003C66EB" w:rsidRDefault="003C66EB">
            <w:pPr>
              <w:rPr>
                <w:rFonts w:ascii="宋体"/>
                <w:vanish/>
              </w:rPr>
            </w:pPr>
          </w:p>
        </w:tc>
        <w:tc>
          <w:tcPr>
            <w:tcW w:w="0" w:type="auto"/>
            <w:gridSpan w:val="3"/>
            <w:shd w:val="clear" w:color="auto" w:fill="auto"/>
          </w:tcPr>
          <w:p w14:paraId="5EA1ED11" w14:textId="77777777" w:rsidR="003C66EB" w:rsidRDefault="003C66EB">
            <w:pPr>
              <w:rPr>
                <w:rFonts w:ascii="宋体"/>
                <w:vanish/>
              </w:rPr>
            </w:pPr>
          </w:p>
        </w:tc>
        <w:tc>
          <w:tcPr>
            <w:tcW w:w="0" w:type="auto"/>
            <w:gridSpan w:val="3"/>
            <w:shd w:val="clear" w:color="auto" w:fill="auto"/>
          </w:tcPr>
          <w:p w14:paraId="5EA1ED12" w14:textId="77777777" w:rsidR="003C66EB" w:rsidRDefault="003C66EB">
            <w:pPr>
              <w:rPr>
                <w:rFonts w:ascii="宋体"/>
                <w:vanish/>
              </w:rPr>
            </w:pPr>
          </w:p>
        </w:tc>
        <w:tc>
          <w:tcPr>
            <w:tcW w:w="0" w:type="auto"/>
            <w:gridSpan w:val="3"/>
            <w:shd w:val="clear" w:color="auto" w:fill="auto"/>
          </w:tcPr>
          <w:p w14:paraId="5EA1ED13" w14:textId="77777777" w:rsidR="003C66EB" w:rsidRDefault="003C66EB">
            <w:pPr>
              <w:rPr>
                <w:rFonts w:ascii="宋体"/>
                <w:vanish/>
              </w:rPr>
            </w:pPr>
          </w:p>
        </w:tc>
        <w:tc>
          <w:tcPr>
            <w:tcW w:w="0" w:type="auto"/>
            <w:gridSpan w:val="3"/>
            <w:shd w:val="clear" w:color="auto" w:fill="auto"/>
          </w:tcPr>
          <w:p w14:paraId="5EA1ED14" w14:textId="77777777" w:rsidR="003C66EB" w:rsidRDefault="003C66EB">
            <w:pPr>
              <w:rPr>
                <w:rFonts w:ascii="宋体"/>
                <w:vanish/>
              </w:rPr>
            </w:pPr>
          </w:p>
        </w:tc>
        <w:tc>
          <w:tcPr>
            <w:tcW w:w="0" w:type="auto"/>
            <w:shd w:val="clear" w:color="auto" w:fill="auto"/>
          </w:tcPr>
          <w:p w14:paraId="5EA1ED15" w14:textId="77777777" w:rsidR="003C66EB" w:rsidRDefault="003C66EB">
            <w:pPr>
              <w:rPr>
                <w:rFonts w:ascii="宋体"/>
                <w:vanish/>
              </w:rPr>
            </w:pPr>
          </w:p>
        </w:tc>
        <w:tc>
          <w:tcPr>
            <w:tcW w:w="0" w:type="auto"/>
            <w:shd w:val="clear" w:color="auto" w:fill="auto"/>
          </w:tcPr>
          <w:p w14:paraId="5EA1ED16" w14:textId="77777777" w:rsidR="003C66EB" w:rsidRDefault="003C66EB">
            <w:pPr>
              <w:rPr>
                <w:rFonts w:ascii="宋体"/>
                <w:vanish/>
              </w:rPr>
            </w:pPr>
          </w:p>
        </w:tc>
        <w:tc>
          <w:tcPr>
            <w:tcW w:w="0" w:type="auto"/>
            <w:shd w:val="clear" w:color="auto" w:fill="auto"/>
          </w:tcPr>
          <w:p w14:paraId="5EA1ED17" w14:textId="77777777" w:rsidR="003C66EB" w:rsidRDefault="003C66EB">
            <w:pPr>
              <w:rPr>
                <w:rFonts w:ascii="宋体"/>
                <w:vanish/>
              </w:rPr>
            </w:pPr>
          </w:p>
        </w:tc>
        <w:tc>
          <w:tcPr>
            <w:tcW w:w="0" w:type="auto"/>
            <w:gridSpan w:val="3"/>
            <w:shd w:val="clear" w:color="auto" w:fill="auto"/>
          </w:tcPr>
          <w:p w14:paraId="5EA1ED18" w14:textId="77777777" w:rsidR="003C66EB" w:rsidRDefault="003C66EB">
            <w:pPr>
              <w:rPr>
                <w:rFonts w:ascii="宋体"/>
                <w:vanish/>
              </w:rPr>
            </w:pPr>
          </w:p>
        </w:tc>
        <w:tc>
          <w:tcPr>
            <w:tcW w:w="0" w:type="auto"/>
            <w:gridSpan w:val="3"/>
            <w:shd w:val="clear" w:color="auto" w:fill="auto"/>
          </w:tcPr>
          <w:p w14:paraId="5EA1ED19" w14:textId="77777777" w:rsidR="003C66EB" w:rsidRDefault="003C66EB">
            <w:pPr>
              <w:rPr>
                <w:rFonts w:ascii="宋体"/>
                <w:vanish/>
              </w:rPr>
            </w:pPr>
          </w:p>
        </w:tc>
        <w:tc>
          <w:tcPr>
            <w:tcW w:w="0" w:type="auto"/>
            <w:gridSpan w:val="3"/>
            <w:shd w:val="clear" w:color="auto" w:fill="auto"/>
          </w:tcPr>
          <w:p w14:paraId="5EA1ED1A" w14:textId="77777777" w:rsidR="003C66EB" w:rsidRDefault="003C66EB">
            <w:pPr>
              <w:rPr>
                <w:rFonts w:ascii="宋体"/>
                <w:vanish/>
              </w:rPr>
            </w:pPr>
          </w:p>
        </w:tc>
        <w:tc>
          <w:tcPr>
            <w:tcW w:w="0" w:type="auto"/>
            <w:gridSpan w:val="3"/>
            <w:shd w:val="clear" w:color="auto" w:fill="auto"/>
          </w:tcPr>
          <w:p w14:paraId="5EA1ED1B" w14:textId="77777777" w:rsidR="003C66EB" w:rsidRDefault="003C66EB">
            <w:pPr>
              <w:rPr>
                <w:rFonts w:ascii="宋体"/>
                <w:vanish/>
              </w:rPr>
            </w:pPr>
          </w:p>
        </w:tc>
      </w:tr>
      <w:tr w:rsidR="003C66EB" w14:paraId="5EA1ED29" w14:textId="77777777">
        <w:trPr>
          <w:hidden/>
        </w:trPr>
        <w:tc>
          <w:tcPr>
            <w:tcW w:w="0" w:type="auto"/>
            <w:gridSpan w:val="3"/>
            <w:shd w:val="clear" w:color="auto" w:fill="auto"/>
          </w:tcPr>
          <w:p w14:paraId="5EA1ED1D" w14:textId="77777777" w:rsidR="003C66EB" w:rsidRDefault="003C66EB">
            <w:pPr>
              <w:rPr>
                <w:rFonts w:ascii="宋体"/>
                <w:vanish/>
              </w:rPr>
            </w:pPr>
          </w:p>
        </w:tc>
        <w:tc>
          <w:tcPr>
            <w:tcW w:w="0" w:type="auto"/>
            <w:gridSpan w:val="3"/>
            <w:shd w:val="clear" w:color="auto" w:fill="auto"/>
          </w:tcPr>
          <w:p w14:paraId="5EA1ED1E" w14:textId="77777777" w:rsidR="003C66EB" w:rsidRDefault="003C66EB">
            <w:pPr>
              <w:rPr>
                <w:rFonts w:ascii="宋体"/>
                <w:vanish/>
              </w:rPr>
            </w:pPr>
          </w:p>
        </w:tc>
        <w:tc>
          <w:tcPr>
            <w:tcW w:w="0" w:type="auto"/>
            <w:gridSpan w:val="3"/>
            <w:shd w:val="clear" w:color="auto" w:fill="auto"/>
          </w:tcPr>
          <w:p w14:paraId="5EA1ED1F" w14:textId="77777777" w:rsidR="003C66EB" w:rsidRDefault="003C66EB">
            <w:pPr>
              <w:rPr>
                <w:rFonts w:ascii="宋体"/>
                <w:vanish/>
              </w:rPr>
            </w:pPr>
          </w:p>
        </w:tc>
        <w:tc>
          <w:tcPr>
            <w:tcW w:w="0" w:type="auto"/>
            <w:gridSpan w:val="3"/>
            <w:shd w:val="clear" w:color="auto" w:fill="auto"/>
          </w:tcPr>
          <w:p w14:paraId="5EA1ED20" w14:textId="77777777" w:rsidR="003C66EB" w:rsidRDefault="003C66EB">
            <w:pPr>
              <w:rPr>
                <w:rFonts w:ascii="宋体"/>
                <w:vanish/>
              </w:rPr>
            </w:pPr>
          </w:p>
        </w:tc>
        <w:tc>
          <w:tcPr>
            <w:tcW w:w="0" w:type="auto"/>
            <w:gridSpan w:val="3"/>
            <w:shd w:val="clear" w:color="auto" w:fill="auto"/>
          </w:tcPr>
          <w:p w14:paraId="5EA1ED21" w14:textId="77777777" w:rsidR="003C66EB" w:rsidRDefault="003C66EB">
            <w:pPr>
              <w:rPr>
                <w:rFonts w:ascii="宋体"/>
                <w:vanish/>
              </w:rPr>
            </w:pPr>
          </w:p>
        </w:tc>
        <w:tc>
          <w:tcPr>
            <w:tcW w:w="0" w:type="auto"/>
            <w:shd w:val="clear" w:color="auto" w:fill="auto"/>
          </w:tcPr>
          <w:p w14:paraId="5EA1ED22" w14:textId="77777777" w:rsidR="003C66EB" w:rsidRDefault="003C66EB">
            <w:pPr>
              <w:rPr>
                <w:rFonts w:ascii="宋体"/>
                <w:vanish/>
              </w:rPr>
            </w:pPr>
          </w:p>
        </w:tc>
        <w:tc>
          <w:tcPr>
            <w:tcW w:w="0" w:type="auto"/>
            <w:shd w:val="clear" w:color="auto" w:fill="auto"/>
          </w:tcPr>
          <w:p w14:paraId="5EA1ED23" w14:textId="77777777" w:rsidR="003C66EB" w:rsidRDefault="003C66EB">
            <w:pPr>
              <w:rPr>
                <w:rFonts w:ascii="宋体"/>
                <w:vanish/>
              </w:rPr>
            </w:pPr>
          </w:p>
        </w:tc>
        <w:tc>
          <w:tcPr>
            <w:tcW w:w="0" w:type="auto"/>
            <w:shd w:val="clear" w:color="auto" w:fill="auto"/>
          </w:tcPr>
          <w:p w14:paraId="5EA1ED24" w14:textId="77777777" w:rsidR="003C66EB" w:rsidRDefault="003C66EB">
            <w:pPr>
              <w:rPr>
                <w:rFonts w:ascii="宋体"/>
                <w:vanish/>
              </w:rPr>
            </w:pPr>
          </w:p>
        </w:tc>
        <w:tc>
          <w:tcPr>
            <w:tcW w:w="0" w:type="auto"/>
            <w:gridSpan w:val="3"/>
            <w:shd w:val="clear" w:color="auto" w:fill="auto"/>
          </w:tcPr>
          <w:p w14:paraId="5EA1ED25" w14:textId="77777777" w:rsidR="003C66EB" w:rsidRDefault="003C66EB">
            <w:pPr>
              <w:rPr>
                <w:rFonts w:ascii="宋体"/>
                <w:vanish/>
              </w:rPr>
            </w:pPr>
          </w:p>
        </w:tc>
        <w:tc>
          <w:tcPr>
            <w:tcW w:w="0" w:type="auto"/>
            <w:gridSpan w:val="3"/>
            <w:shd w:val="clear" w:color="auto" w:fill="auto"/>
          </w:tcPr>
          <w:p w14:paraId="5EA1ED26" w14:textId="77777777" w:rsidR="003C66EB" w:rsidRDefault="003C66EB">
            <w:pPr>
              <w:rPr>
                <w:rFonts w:ascii="宋体"/>
                <w:vanish/>
              </w:rPr>
            </w:pPr>
          </w:p>
        </w:tc>
        <w:tc>
          <w:tcPr>
            <w:tcW w:w="0" w:type="auto"/>
            <w:gridSpan w:val="3"/>
            <w:shd w:val="clear" w:color="auto" w:fill="auto"/>
          </w:tcPr>
          <w:p w14:paraId="5EA1ED27" w14:textId="77777777" w:rsidR="003C66EB" w:rsidRDefault="003C66EB">
            <w:pPr>
              <w:rPr>
                <w:rFonts w:ascii="宋体"/>
                <w:vanish/>
              </w:rPr>
            </w:pPr>
          </w:p>
        </w:tc>
        <w:tc>
          <w:tcPr>
            <w:tcW w:w="0" w:type="auto"/>
            <w:gridSpan w:val="3"/>
            <w:shd w:val="clear" w:color="auto" w:fill="auto"/>
          </w:tcPr>
          <w:p w14:paraId="5EA1ED28" w14:textId="77777777" w:rsidR="003C66EB" w:rsidRDefault="003C66EB">
            <w:pPr>
              <w:rPr>
                <w:rFonts w:ascii="宋体"/>
                <w:vanish/>
              </w:rPr>
            </w:pPr>
          </w:p>
        </w:tc>
      </w:tr>
      <w:tr w:rsidR="003C66EB" w14:paraId="5EA1ED36" w14:textId="77777777">
        <w:trPr>
          <w:hidden/>
        </w:trPr>
        <w:tc>
          <w:tcPr>
            <w:tcW w:w="0" w:type="auto"/>
            <w:gridSpan w:val="3"/>
            <w:shd w:val="clear" w:color="auto" w:fill="auto"/>
          </w:tcPr>
          <w:p w14:paraId="5EA1ED2A" w14:textId="77777777" w:rsidR="003C66EB" w:rsidRDefault="003C66EB">
            <w:pPr>
              <w:rPr>
                <w:rFonts w:ascii="宋体"/>
                <w:vanish/>
              </w:rPr>
            </w:pPr>
          </w:p>
        </w:tc>
        <w:tc>
          <w:tcPr>
            <w:tcW w:w="0" w:type="auto"/>
            <w:gridSpan w:val="3"/>
            <w:shd w:val="clear" w:color="auto" w:fill="auto"/>
          </w:tcPr>
          <w:p w14:paraId="5EA1ED2B" w14:textId="77777777" w:rsidR="003C66EB" w:rsidRDefault="003C66EB">
            <w:pPr>
              <w:rPr>
                <w:rFonts w:ascii="宋体"/>
                <w:vanish/>
              </w:rPr>
            </w:pPr>
          </w:p>
        </w:tc>
        <w:tc>
          <w:tcPr>
            <w:tcW w:w="0" w:type="auto"/>
            <w:gridSpan w:val="3"/>
            <w:shd w:val="clear" w:color="auto" w:fill="auto"/>
          </w:tcPr>
          <w:p w14:paraId="5EA1ED2C" w14:textId="77777777" w:rsidR="003C66EB" w:rsidRDefault="003C66EB">
            <w:pPr>
              <w:rPr>
                <w:rFonts w:ascii="宋体"/>
                <w:vanish/>
              </w:rPr>
            </w:pPr>
          </w:p>
        </w:tc>
        <w:tc>
          <w:tcPr>
            <w:tcW w:w="0" w:type="auto"/>
            <w:gridSpan w:val="3"/>
            <w:shd w:val="clear" w:color="auto" w:fill="auto"/>
          </w:tcPr>
          <w:p w14:paraId="5EA1ED2D" w14:textId="77777777" w:rsidR="003C66EB" w:rsidRDefault="003C66EB">
            <w:pPr>
              <w:rPr>
                <w:rFonts w:ascii="宋体"/>
                <w:vanish/>
              </w:rPr>
            </w:pPr>
          </w:p>
        </w:tc>
        <w:tc>
          <w:tcPr>
            <w:tcW w:w="0" w:type="auto"/>
            <w:gridSpan w:val="3"/>
            <w:shd w:val="clear" w:color="auto" w:fill="auto"/>
          </w:tcPr>
          <w:p w14:paraId="5EA1ED2E" w14:textId="77777777" w:rsidR="003C66EB" w:rsidRDefault="003C66EB">
            <w:pPr>
              <w:rPr>
                <w:rFonts w:ascii="宋体"/>
                <w:vanish/>
              </w:rPr>
            </w:pPr>
          </w:p>
        </w:tc>
        <w:tc>
          <w:tcPr>
            <w:tcW w:w="0" w:type="auto"/>
            <w:shd w:val="clear" w:color="auto" w:fill="auto"/>
          </w:tcPr>
          <w:p w14:paraId="5EA1ED2F" w14:textId="77777777" w:rsidR="003C66EB" w:rsidRDefault="003C66EB">
            <w:pPr>
              <w:rPr>
                <w:rFonts w:ascii="宋体"/>
                <w:vanish/>
              </w:rPr>
            </w:pPr>
          </w:p>
        </w:tc>
        <w:tc>
          <w:tcPr>
            <w:tcW w:w="0" w:type="auto"/>
            <w:shd w:val="clear" w:color="auto" w:fill="auto"/>
          </w:tcPr>
          <w:p w14:paraId="5EA1ED30" w14:textId="77777777" w:rsidR="003C66EB" w:rsidRDefault="003C66EB">
            <w:pPr>
              <w:rPr>
                <w:rFonts w:ascii="宋体"/>
                <w:vanish/>
              </w:rPr>
            </w:pPr>
          </w:p>
        </w:tc>
        <w:tc>
          <w:tcPr>
            <w:tcW w:w="0" w:type="auto"/>
            <w:shd w:val="clear" w:color="auto" w:fill="auto"/>
          </w:tcPr>
          <w:p w14:paraId="5EA1ED31" w14:textId="77777777" w:rsidR="003C66EB" w:rsidRDefault="003C66EB">
            <w:pPr>
              <w:rPr>
                <w:rFonts w:ascii="宋体"/>
                <w:vanish/>
              </w:rPr>
            </w:pPr>
          </w:p>
        </w:tc>
        <w:tc>
          <w:tcPr>
            <w:tcW w:w="0" w:type="auto"/>
            <w:gridSpan w:val="3"/>
            <w:shd w:val="clear" w:color="auto" w:fill="auto"/>
          </w:tcPr>
          <w:p w14:paraId="5EA1ED32" w14:textId="77777777" w:rsidR="003C66EB" w:rsidRDefault="003C66EB">
            <w:pPr>
              <w:rPr>
                <w:rFonts w:ascii="宋体"/>
                <w:vanish/>
              </w:rPr>
            </w:pPr>
          </w:p>
        </w:tc>
        <w:tc>
          <w:tcPr>
            <w:tcW w:w="0" w:type="auto"/>
            <w:gridSpan w:val="3"/>
            <w:shd w:val="clear" w:color="auto" w:fill="auto"/>
          </w:tcPr>
          <w:p w14:paraId="5EA1ED33" w14:textId="77777777" w:rsidR="003C66EB" w:rsidRDefault="003C66EB">
            <w:pPr>
              <w:rPr>
                <w:rFonts w:ascii="宋体"/>
                <w:vanish/>
              </w:rPr>
            </w:pPr>
          </w:p>
        </w:tc>
        <w:tc>
          <w:tcPr>
            <w:tcW w:w="0" w:type="auto"/>
            <w:gridSpan w:val="3"/>
            <w:shd w:val="clear" w:color="auto" w:fill="auto"/>
          </w:tcPr>
          <w:p w14:paraId="5EA1ED34" w14:textId="77777777" w:rsidR="003C66EB" w:rsidRDefault="003C66EB">
            <w:pPr>
              <w:rPr>
                <w:rFonts w:ascii="宋体"/>
                <w:vanish/>
              </w:rPr>
            </w:pPr>
          </w:p>
        </w:tc>
        <w:tc>
          <w:tcPr>
            <w:tcW w:w="0" w:type="auto"/>
            <w:gridSpan w:val="3"/>
            <w:shd w:val="clear" w:color="auto" w:fill="auto"/>
          </w:tcPr>
          <w:p w14:paraId="5EA1ED35" w14:textId="77777777" w:rsidR="003C66EB" w:rsidRDefault="003C66EB">
            <w:pPr>
              <w:rPr>
                <w:rFonts w:ascii="宋体"/>
                <w:vanish/>
              </w:rPr>
            </w:pPr>
          </w:p>
        </w:tc>
      </w:tr>
      <w:tr w:rsidR="003C66EB" w14:paraId="5EA1ED43" w14:textId="77777777">
        <w:trPr>
          <w:hidden/>
        </w:trPr>
        <w:tc>
          <w:tcPr>
            <w:tcW w:w="0" w:type="auto"/>
            <w:gridSpan w:val="3"/>
            <w:shd w:val="clear" w:color="auto" w:fill="auto"/>
          </w:tcPr>
          <w:p w14:paraId="5EA1ED37" w14:textId="77777777" w:rsidR="003C66EB" w:rsidRDefault="003C66EB">
            <w:pPr>
              <w:rPr>
                <w:rFonts w:ascii="宋体"/>
                <w:vanish/>
              </w:rPr>
            </w:pPr>
          </w:p>
        </w:tc>
        <w:tc>
          <w:tcPr>
            <w:tcW w:w="0" w:type="auto"/>
            <w:gridSpan w:val="3"/>
            <w:shd w:val="clear" w:color="auto" w:fill="auto"/>
          </w:tcPr>
          <w:p w14:paraId="5EA1ED38" w14:textId="77777777" w:rsidR="003C66EB" w:rsidRDefault="003C66EB">
            <w:pPr>
              <w:rPr>
                <w:rFonts w:ascii="宋体"/>
                <w:vanish/>
              </w:rPr>
            </w:pPr>
          </w:p>
        </w:tc>
        <w:tc>
          <w:tcPr>
            <w:tcW w:w="0" w:type="auto"/>
            <w:gridSpan w:val="3"/>
            <w:shd w:val="clear" w:color="auto" w:fill="auto"/>
          </w:tcPr>
          <w:p w14:paraId="5EA1ED39" w14:textId="77777777" w:rsidR="003C66EB" w:rsidRDefault="003C66EB">
            <w:pPr>
              <w:rPr>
                <w:rFonts w:ascii="宋体"/>
                <w:vanish/>
              </w:rPr>
            </w:pPr>
          </w:p>
        </w:tc>
        <w:tc>
          <w:tcPr>
            <w:tcW w:w="0" w:type="auto"/>
            <w:gridSpan w:val="3"/>
            <w:shd w:val="clear" w:color="auto" w:fill="auto"/>
          </w:tcPr>
          <w:p w14:paraId="5EA1ED3A" w14:textId="77777777" w:rsidR="003C66EB" w:rsidRDefault="003C66EB">
            <w:pPr>
              <w:rPr>
                <w:rFonts w:ascii="宋体"/>
                <w:vanish/>
              </w:rPr>
            </w:pPr>
          </w:p>
        </w:tc>
        <w:tc>
          <w:tcPr>
            <w:tcW w:w="0" w:type="auto"/>
            <w:gridSpan w:val="3"/>
            <w:shd w:val="clear" w:color="auto" w:fill="auto"/>
          </w:tcPr>
          <w:p w14:paraId="5EA1ED3B" w14:textId="77777777" w:rsidR="003C66EB" w:rsidRDefault="003C66EB">
            <w:pPr>
              <w:rPr>
                <w:rFonts w:ascii="宋体"/>
                <w:vanish/>
              </w:rPr>
            </w:pPr>
          </w:p>
        </w:tc>
        <w:tc>
          <w:tcPr>
            <w:tcW w:w="0" w:type="auto"/>
            <w:shd w:val="clear" w:color="auto" w:fill="auto"/>
          </w:tcPr>
          <w:p w14:paraId="5EA1ED3C" w14:textId="77777777" w:rsidR="003C66EB" w:rsidRDefault="003C66EB">
            <w:pPr>
              <w:rPr>
                <w:rFonts w:ascii="宋体"/>
                <w:vanish/>
              </w:rPr>
            </w:pPr>
          </w:p>
        </w:tc>
        <w:tc>
          <w:tcPr>
            <w:tcW w:w="0" w:type="auto"/>
            <w:shd w:val="clear" w:color="auto" w:fill="auto"/>
          </w:tcPr>
          <w:p w14:paraId="5EA1ED3D" w14:textId="77777777" w:rsidR="003C66EB" w:rsidRDefault="003C66EB">
            <w:pPr>
              <w:rPr>
                <w:rFonts w:ascii="宋体"/>
                <w:vanish/>
              </w:rPr>
            </w:pPr>
          </w:p>
        </w:tc>
        <w:tc>
          <w:tcPr>
            <w:tcW w:w="0" w:type="auto"/>
            <w:shd w:val="clear" w:color="auto" w:fill="auto"/>
          </w:tcPr>
          <w:p w14:paraId="5EA1ED3E" w14:textId="77777777" w:rsidR="003C66EB" w:rsidRDefault="003C66EB">
            <w:pPr>
              <w:rPr>
                <w:rFonts w:ascii="宋体"/>
                <w:vanish/>
              </w:rPr>
            </w:pPr>
          </w:p>
        </w:tc>
        <w:tc>
          <w:tcPr>
            <w:tcW w:w="0" w:type="auto"/>
            <w:gridSpan w:val="3"/>
            <w:shd w:val="clear" w:color="auto" w:fill="auto"/>
          </w:tcPr>
          <w:p w14:paraId="5EA1ED3F" w14:textId="77777777" w:rsidR="003C66EB" w:rsidRDefault="003C66EB">
            <w:pPr>
              <w:rPr>
                <w:rFonts w:ascii="宋体"/>
                <w:vanish/>
              </w:rPr>
            </w:pPr>
          </w:p>
        </w:tc>
        <w:tc>
          <w:tcPr>
            <w:tcW w:w="0" w:type="auto"/>
            <w:gridSpan w:val="3"/>
            <w:shd w:val="clear" w:color="auto" w:fill="auto"/>
          </w:tcPr>
          <w:p w14:paraId="5EA1ED40" w14:textId="77777777" w:rsidR="003C66EB" w:rsidRDefault="003C66EB">
            <w:pPr>
              <w:rPr>
                <w:rFonts w:ascii="宋体"/>
                <w:vanish/>
              </w:rPr>
            </w:pPr>
          </w:p>
        </w:tc>
        <w:tc>
          <w:tcPr>
            <w:tcW w:w="0" w:type="auto"/>
            <w:gridSpan w:val="3"/>
            <w:shd w:val="clear" w:color="auto" w:fill="auto"/>
          </w:tcPr>
          <w:p w14:paraId="5EA1ED41" w14:textId="77777777" w:rsidR="003C66EB" w:rsidRDefault="003C66EB">
            <w:pPr>
              <w:rPr>
                <w:rFonts w:ascii="宋体"/>
                <w:vanish/>
              </w:rPr>
            </w:pPr>
          </w:p>
        </w:tc>
        <w:tc>
          <w:tcPr>
            <w:tcW w:w="0" w:type="auto"/>
            <w:gridSpan w:val="3"/>
            <w:shd w:val="clear" w:color="auto" w:fill="auto"/>
          </w:tcPr>
          <w:p w14:paraId="5EA1ED42" w14:textId="77777777" w:rsidR="003C66EB" w:rsidRDefault="003C66EB">
            <w:pPr>
              <w:rPr>
                <w:rFonts w:ascii="宋体"/>
                <w:vanish/>
              </w:rPr>
            </w:pPr>
          </w:p>
        </w:tc>
      </w:tr>
      <w:tr w:rsidR="003C66EB" w14:paraId="5EA1ED50" w14:textId="77777777">
        <w:trPr>
          <w:hidden/>
        </w:trPr>
        <w:tc>
          <w:tcPr>
            <w:tcW w:w="0" w:type="auto"/>
            <w:gridSpan w:val="3"/>
            <w:shd w:val="clear" w:color="auto" w:fill="auto"/>
          </w:tcPr>
          <w:p w14:paraId="5EA1ED44" w14:textId="77777777" w:rsidR="003C66EB" w:rsidRDefault="003C66EB">
            <w:pPr>
              <w:rPr>
                <w:rFonts w:ascii="宋体"/>
                <w:vanish/>
              </w:rPr>
            </w:pPr>
          </w:p>
        </w:tc>
        <w:tc>
          <w:tcPr>
            <w:tcW w:w="0" w:type="auto"/>
            <w:gridSpan w:val="3"/>
            <w:shd w:val="clear" w:color="auto" w:fill="auto"/>
          </w:tcPr>
          <w:p w14:paraId="5EA1ED45" w14:textId="77777777" w:rsidR="003C66EB" w:rsidRDefault="003C66EB">
            <w:pPr>
              <w:rPr>
                <w:rFonts w:ascii="宋体"/>
                <w:vanish/>
              </w:rPr>
            </w:pPr>
          </w:p>
        </w:tc>
        <w:tc>
          <w:tcPr>
            <w:tcW w:w="0" w:type="auto"/>
            <w:gridSpan w:val="3"/>
            <w:shd w:val="clear" w:color="auto" w:fill="auto"/>
          </w:tcPr>
          <w:p w14:paraId="5EA1ED46" w14:textId="77777777" w:rsidR="003C66EB" w:rsidRDefault="003C66EB">
            <w:pPr>
              <w:rPr>
                <w:rFonts w:ascii="宋体"/>
                <w:vanish/>
              </w:rPr>
            </w:pPr>
          </w:p>
        </w:tc>
        <w:tc>
          <w:tcPr>
            <w:tcW w:w="0" w:type="auto"/>
            <w:gridSpan w:val="3"/>
            <w:shd w:val="clear" w:color="auto" w:fill="auto"/>
          </w:tcPr>
          <w:p w14:paraId="5EA1ED47" w14:textId="77777777" w:rsidR="003C66EB" w:rsidRDefault="003C66EB">
            <w:pPr>
              <w:rPr>
                <w:rFonts w:ascii="宋体"/>
                <w:vanish/>
              </w:rPr>
            </w:pPr>
          </w:p>
        </w:tc>
        <w:tc>
          <w:tcPr>
            <w:tcW w:w="0" w:type="auto"/>
            <w:gridSpan w:val="3"/>
            <w:shd w:val="clear" w:color="auto" w:fill="auto"/>
          </w:tcPr>
          <w:p w14:paraId="5EA1ED48" w14:textId="77777777" w:rsidR="003C66EB" w:rsidRDefault="003C66EB">
            <w:pPr>
              <w:rPr>
                <w:rFonts w:ascii="宋体"/>
                <w:vanish/>
              </w:rPr>
            </w:pPr>
          </w:p>
        </w:tc>
        <w:tc>
          <w:tcPr>
            <w:tcW w:w="0" w:type="auto"/>
            <w:shd w:val="clear" w:color="auto" w:fill="auto"/>
          </w:tcPr>
          <w:p w14:paraId="5EA1ED49" w14:textId="77777777" w:rsidR="003C66EB" w:rsidRDefault="003C66EB">
            <w:pPr>
              <w:rPr>
                <w:rFonts w:ascii="宋体"/>
                <w:vanish/>
              </w:rPr>
            </w:pPr>
          </w:p>
        </w:tc>
        <w:tc>
          <w:tcPr>
            <w:tcW w:w="0" w:type="auto"/>
            <w:shd w:val="clear" w:color="auto" w:fill="auto"/>
          </w:tcPr>
          <w:p w14:paraId="5EA1ED4A" w14:textId="77777777" w:rsidR="003C66EB" w:rsidRDefault="003C66EB">
            <w:pPr>
              <w:rPr>
                <w:rFonts w:ascii="宋体"/>
                <w:vanish/>
              </w:rPr>
            </w:pPr>
          </w:p>
        </w:tc>
        <w:tc>
          <w:tcPr>
            <w:tcW w:w="0" w:type="auto"/>
            <w:shd w:val="clear" w:color="auto" w:fill="auto"/>
          </w:tcPr>
          <w:p w14:paraId="5EA1ED4B" w14:textId="77777777" w:rsidR="003C66EB" w:rsidRDefault="003C66EB">
            <w:pPr>
              <w:rPr>
                <w:rFonts w:ascii="宋体"/>
                <w:vanish/>
              </w:rPr>
            </w:pPr>
          </w:p>
        </w:tc>
        <w:tc>
          <w:tcPr>
            <w:tcW w:w="0" w:type="auto"/>
            <w:gridSpan w:val="3"/>
            <w:shd w:val="clear" w:color="auto" w:fill="auto"/>
          </w:tcPr>
          <w:p w14:paraId="5EA1ED4C" w14:textId="77777777" w:rsidR="003C66EB" w:rsidRDefault="003C66EB">
            <w:pPr>
              <w:rPr>
                <w:rFonts w:ascii="宋体"/>
                <w:vanish/>
              </w:rPr>
            </w:pPr>
          </w:p>
        </w:tc>
        <w:tc>
          <w:tcPr>
            <w:tcW w:w="0" w:type="auto"/>
            <w:gridSpan w:val="3"/>
            <w:shd w:val="clear" w:color="auto" w:fill="auto"/>
          </w:tcPr>
          <w:p w14:paraId="5EA1ED4D" w14:textId="77777777" w:rsidR="003C66EB" w:rsidRDefault="003C66EB">
            <w:pPr>
              <w:rPr>
                <w:rFonts w:ascii="宋体"/>
                <w:vanish/>
              </w:rPr>
            </w:pPr>
          </w:p>
        </w:tc>
        <w:tc>
          <w:tcPr>
            <w:tcW w:w="0" w:type="auto"/>
            <w:gridSpan w:val="3"/>
            <w:shd w:val="clear" w:color="auto" w:fill="auto"/>
          </w:tcPr>
          <w:p w14:paraId="5EA1ED4E" w14:textId="77777777" w:rsidR="003C66EB" w:rsidRDefault="003C66EB">
            <w:pPr>
              <w:rPr>
                <w:rFonts w:ascii="宋体"/>
                <w:vanish/>
              </w:rPr>
            </w:pPr>
          </w:p>
        </w:tc>
        <w:tc>
          <w:tcPr>
            <w:tcW w:w="0" w:type="auto"/>
            <w:gridSpan w:val="3"/>
            <w:shd w:val="clear" w:color="auto" w:fill="auto"/>
          </w:tcPr>
          <w:p w14:paraId="5EA1ED4F" w14:textId="77777777" w:rsidR="003C66EB" w:rsidRDefault="003C66EB">
            <w:pPr>
              <w:rPr>
                <w:rFonts w:ascii="宋体"/>
                <w:vanish/>
              </w:rPr>
            </w:pPr>
          </w:p>
        </w:tc>
      </w:tr>
      <w:tr w:rsidR="003C66EB" w14:paraId="5EA1ED65" w14:textId="77777777">
        <w:tc>
          <w:tcPr>
            <w:tcW w:w="0" w:type="auto"/>
            <w:gridSpan w:val="3"/>
            <w:shd w:val="clear" w:color="auto" w:fill="CCEEFF"/>
            <w:tcMar>
              <w:top w:w="40" w:type="dxa"/>
              <w:left w:w="20" w:type="dxa"/>
              <w:bottom w:w="40" w:type="dxa"/>
              <w:right w:w="20" w:type="dxa"/>
            </w:tcMar>
            <w:vAlign w:val="bottom"/>
          </w:tcPr>
          <w:p w14:paraId="5EA1ED51" w14:textId="77777777" w:rsidR="003C66EB" w:rsidRDefault="00D96C4E">
            <w:pPr>
              <w:textAlignment w:val="bottom"/>
            </w:pPr>
            <w:r>
              <w:rPr>
                <w:rFonts w:ascii="Arial" w:eastAsia="宋体" w:hAnsi="Arial" w:cs="Arial"/>
                <w:b/>
                <w:bCs/>
                <w:color w:val="000000"/>
                <w:sz w:val="12"/>
                <w:szCs w:val="12"/>
              </w:rPr>
              <w:t>Accrual 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D52"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53" w14:textId="77777777" w:rsidR="003C66EB" w:rsidRDefault="00D96C4E">
            <w:pPr>
              <w:jc w:val="right"/>
              <w:textAlignment w:val="bottom"/>
            </w:pPr>
            <w:r>
              <w:rPr>
                <w:rFonts w:ascii="Arial" w:eastAsia="宋体" w:hAnsi="Arial" w:cs="Arial"/>
                <w:color w:val="000000"/>
                <w:sz w:val="12"/>
                <w:szCs w:val="12"/>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5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D56"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57" w14:textId="77777777" w:rsidR="003C66EB" w:rsidRDefault="00D96C4E">
            <w:pPr>
              <w:jc w:val="right"/>
              <w:textAlignment w:val="bottom"/>
            </w:pPr>
            <w:r>
              <w:rPr>
                <w:rFonts w:ascii="Arial" w:eastAsia="宋体" w:hAnsi="Arial" w:cs="Arial"/>
                <w:color w:val="000000"/>
                <w:sz w:val="12"/>
                <w:szCs w:val="12"/>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5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59" w14:textId="77777777" w:rsidR="003C66EB" w:rsidRDefault="003C66EB">
            <w:pPr>
              <w:rPr>
                <w:rFonts w:ascii="宋体"/>
              </w:rPr>
            </w:pPr>
          </w:p>
        </w:tc>
        <w:tc>
          <w:tcPr>
            <w:tcW w:w="0" w:type="auto"/>
            <w:shd w:val="clear" w:color="auto" w:fill="auto"/>
          </w:tcPr>
          <w:p w14:paraId="5EA1ED5A" w14:textId="77777777" w:rsidR="003C66EB" w:rsidRDefault="003C66EB">
            <w:pPr>
              <w:rPr>
                <w:rFonts w:ascii="宋体"/>
                <w:vanish/>
              </w:rPr>
            </w:pPr>
          </w:p>
        </w:tc>
        <w:tc>
          <w:tcPr>
            <w:tcW w:w="0" w:type="auto"/>
            <w:shd w:val="clear" w:color="auto" w:fill="auto"/>
          </w:tcPr>
          <w:p w14:paraId="5EA1ED5B" w14:textId="77777777" w:rsidR="003C66EB" w:rsidRDefault="003C66EB">
            <w:pPr>
              <w:rPr>
                <w:rFonts w:ascii="宋体"/>
                <w:vanish/>
              </w:rPr>
            </w:pPr>
          </w:p>
        </w:tc>
        <w:tc>
          <w:tcPr>
            <w:tcW w:w="0" w:type="auto"/>
            <w:shd w:val="clear" w:color="auto" w:fill="auto"/>
          </w:tcPr>
          <w:p w14:paraId="5EA1ED5C" w14:textId="77777777" w:rsidR="003C66EB" w:rsidRDefault="003C66EB">
            <w:pPr>
              <w:rPr>
                <w:rFonts w:ascii="宋体"/>
                <w:vanish/>
              </w:rPr>
            </w:pPr>
          </w:p>
        </w:tc>
        <w:tc>
          <w:tcPr>
            <w:tcW w:w="0" w:type="auto"/>
            <w:gridSpan w:val="3"/>
            <w:shd w:val="clear" w:color="auto" w:fill="auto"/>
          </w:tcPr>
          <w:p w14:paraId="5EA1ED5D"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D5E"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5F" w14:textId="77777777" w:rsidR="003C66EB" w:rsidRDefault="00D96C4E">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6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6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D62"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63" w14:textId="77777777" w:rsidR="003C66EB" w:rsidRDefault="00D96C4E">
            <w:pPr>
              <w:jc w:val="right"/>
              <w:textAlignment w:val="bottom"/>
            </w:pPr>
            <w:r>
              <w:rPr>
                <w:rFonts w:ascii="Arial" w:eastAsia="宋体" w:hAnsi="Arial" w:cs="Arial"/>
                <w:color w:val="000000"/>
                <w:sz w:val="12"/>
                <w:szCs w:val="12"/>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64" w14:textId="77777777" w:rsidR="003C66EB" w:rsidRDefault="003C66EB">
            <w:pPr>
              <w:jc w:val="right"/>
              <w:rPr>
                <w:rFonts w:ascii="宋体"/>
              </w:rPr>
            </w:pPr>
          </w:p>
        </w:tc>
      </w:tr>
      <w:tr w:rsidR="003C66EB" w14:paraId="5EA1ED72" w14:textId="77777777">
        <w:trPr>
          <w:hidden/>
        </w:trPr>
        <w:tc>
          <w:tcPr>
            <w:tcW w:w="0" w:type="auto"/>
            <w:gridSpan w:val="3"/>
            <w:shd w:val="clear" w:color="auto" w:fill="auto"/>
          </w:tcPr>
          <w:p w14:paraId="5EA1ED66" w14:textId="77777777" w:rsidR="003C66EB" w:rsidRDefault="003C66EB">
            <w:pPr>
              <w:rPr>
                <w:rFonts w:ascii="宋体"/>
                <w:vanish/>
              </w:rPr>
            </w:pPr>
          </w:p>
        </w:tc>
        <w:tc>
          <w:tcPr>
            <w:tcW w:w="0" w:type="auto"/>
            <w:gridSpan w:val="3"/>
            <w:shd w:val="clear" w:color="auto" w:fill="auto"/>
          </w:tcPr>
          <w:p w14:paraId="5EA1ED67" w14:textId="77777777" w:rsidR="003C66EB" w:rsidRDefault="003C66EB">
            <w:pPr>
              <w:rPr>
                <w:rFonts w:ascii="宋体"/>
                <w:vanish/>
              </w:rPr>
            </w:pPr>
          </w:p>
        </w:tc>
        <w:tc>
          <w:tcPr>
            <w:tcW w:w="0" w:type="auto"/>
            <w:gridSpan w:val="3"/>
            <w:shd w:val="clear" w:color="auto" w:fill="auto"/>
          </w:tcPr>
          <w:p w14:paraId="5EA1ED68" w14:textId="77777777" w:rsidR="003C66EB" w:rsidRDefault="003C66EB">
            <w:pPr>
              <w:rPr>
                <w:rFonts w:ascii="宋体"/>
                <w:vanish/>
              </w:rPr>
            </w:pPr>
          </w:p>
        </w:tc>
        <w:tc>
          <w:tcPr>
            <w:tcW w:w="0" w:type="auto"/>
            <w:gridSpan w:val="3"/>
            <w:shd w:val="clear" w:color="auto" w:fill="auto"/>
          </w:tcPr>
          <w:p w14:paraId="5EA1ED69" w14:textId="77777777" w:rsidR="003C66EB" w:rsidRDefault="003C66EB">
            <w:pPr>
              <w:rPr>
                <w:rFonts w:ascii="宋体"/>
                <w:vanish/>
              </w:rPr>
            </w:pPr>
          </w:p>
        </w:tc>
        <w:tc>
          <w:tcPr>
            <w:tcW w:w="0" w:type="auto"/>
            <w:gridSpan w:val="3"/>
            <w:shd w:val="clear" w:color="auto" w:fill="auto"/>
          </w:tcPr>
          <w:p w14:paraId="5EA1ED6A" w14:textId="77777777" w:rsidR="003C66EB" w:rsidRDefault="003C66EB">
            <w:pPr>
              <w:rPr>
                <w:rFonts w:ascii="宋体"/>
                <w:vanish/>
              </w:rPr>
            </w:pPr>
          </w:p>
        </w:tc>
        <w:tc>
          <w:tcPr>
            <w:tcW w:w="0" w:type="auto"/>
            <w:shd w:val="clear" w:color="auto" w:fill="auto"/>
          </w:tcPr>
          <w:p w14:paraId="5EA1ED6B" w14:textId="77777777" w:rsidR="003C66EB" w:rsidRDefault="003C66EB">
            <w:pPr>
              <w:rPr>
                <w:rFonts w:ascii="宋体"/>
                <w:vanish/>
              </w:rPr>
            </w:pPr>
          </w:p>
        </w:tc>
        <w:tc>
          <w:tcPr>
            <w:tcW w:w="0" w:type="auto"/>
            <w:shd w:val="clear" w:color="auto" w:fill="auto"/>
          </w:tcPr>
          <w:p w14:paraId="5EA1ED6C" w14:textId="77777777" w:rsidR="003C66EB" w:rsidRDefault="003C66EB">
            <w:pPr>
              <w:rPr>
                <w:rFonts w:ascii="宋体"/>
                <w:vanish/>
              </w:rPr>
            </w:pPr>
          </w:p>
        </w:tc>
        <w:tc>
          <w:tcPr>
            <w:tcW w:w="0" w:type="auto"/>
            <w:shd w:val="clear" w:color="auto" w:fill="auto"/>
          </w:tcPr>
          <w:p w14:paraId="5EA1ED6D" w14:textId="77777777" w:rsidR="003C66EB" w:rsidRDefault="003C66EB">
            <w:pPr>
              <w:rPr>
                <w:rFonts w:ascii="宋体"/>
                <w:vanish/>
              </w:rPr>
            </w:pPr>
          </w:p>
        </w:tc>
        <w:tc>
          <w:tcPr>
            <w:tcW w:w="0" w:type="auto"/>
            <w:gridSpan w:val="3"/>
            <w:shd w:val="clear" w:color="auto" w:fill="auto"/>
          </w:tcPr>
          <w:p w14:paraId="5EA1ED6E" w14:textId="77777777" w:rsidR="003C66EB" w:rsidRDefault="003C66EB">
            <w:pPr>
              <w:rPr>
                <w:rFonts w:ascii="宋体"/>
                <w:vanish/>
              </w:rPr>
            </w:pPr>
          </w:p>
        </w:tc>
        <w:tc>
          <w:tcPr>
            <w:tcW w:w="0" w:type="auto"/>
            <w:gridSpan w:val="3"/>
            <w:shd w:val="clear" w:color="auto" w:fill="auto"/>
          </w:tcPr>
          <w:p w14:paraId="5EA1ED6F" w14:textId="77777777" w:rsidR="003C66EB" w:rsidRDefault="003C66EB">
            <w:pPr>
              <w:rPr>
                <w:rFonts w:ascii="宋体"/>
                <w:vanish/>
              </w:rPr>
            </w:pPr>
          </w:p>
        </w:tc>
        <w:tc>
          <w:tcPr>
            <w:tcW w:w="0" w:type="auto"/>
            <w:gridSpan w:val="3"/>
            <w:shd w:val="clear" w:color="auto" w:fill="auto"/>
          </w:tcPr>
          <w:p w14:paraId="5EA1ED70" w14:textId="77777777" w:rsidR="003C66EB" w:rsidRDefault="003C66EB">
            <w:pPr>
              <w:rPr>
                <w:rFonts w:ascii="宋体"/>
                <w:vanish/>
              </w:rPr>
            </w:pPr>
          </w:p>
        </w:tc>
        <w:tc>
          <w:tcPr>
            <w:tcW w:w="0" w:type="auto"/>
            <w:gridSpan w:val="3"/>
            <w:shd w:val="clear" w:color="auto" w:fill="auto"/>
          </w:tcPr>
          <w:p w14:paraId="5EA1ED71" w14:textId="77777777" w:rsidR="003C66EB" w:rsidRDefault="003C66EB">
            <w:pPr>
              <w:rPr>
                <w:rFonts w:ascii="宋体"/>
                <w:vanish/>
              </w:rPr>
            </w:pPr>
          </w:p>
        </w:tc>
      </w:tr>
      <w:tr w:rsidR="003C66EB" w14:paraId="5EA1ED7F" w14:textId="77777777">
        <w:trPr>
          <w:hidden/>
        </w:trPr>
        <w:tc>
          <w:tcPr>
            <w:tcW w:w="0" w:type="auto"/>
            <w:gridSpan w:val="3"/>
            <w:shd w:val="clear" w:color="auto" w:fill="auto"/>
          </w:tcPr>
          <w:p w14:paraId="5EA1ED73" w14:textId="77777777" w:rsidR="003C66EB" w:rsidRDefault="003C66EB">
            <w:pPr>
              <w:rPr>
                <w:rFonts w:ascii="宋体"/>
                <w:vanish/>
              </w:rPr>
            </w:pPr>
          </w:p>
        </w:tc>
        <w:tc>
          <w:tcPr>
            <w:tcW w:w="0" w:type="auto"/>
            <w:gridSpan w:val="3"/>
            <w:shd w:val="clear" w:color="auto" w:fill="auto"/>
          </w:tcPr>
          <w:p w14:paraId="5EA1ED74" w14:textId="77777777" w:rsidR="003C66EB" w:rsidRDefault="003C66EB">
            <w:pPr>
              <w:rPr>
                <w:rFonts w:ascii="宋体"/>
                <w:vanish/>
              </w:rPr>
            </w:pPr>
          </w:p>
        </w:tc>
        <w:tc>
          <w:tcPr>
            <w:tcW w:w="0" w:type="auto"/>
            <w:gridSpan w:val="3"/>
            <w:shd w:val="clear" w:color="auto" w:fill="auto"/>
          </w:tcPr>
          <w:p w14:paraId="5EA1ED75" w14:textId="77777777" w:rsidR="003C66EB" w:rsidRDefault="003C66EB">
            <w:pPr>
              <w:rPr>
                <w:rFonts w:ascii="宋体"/>
                <w:vanish/>
              </w:rPr>
            </w:pPr>
          </w:p>
        </w:tc>
        <w:tc>
          <w:tcPr>
            <w:tcW w:w="0" w:type="auto"/>
            <w:gridSpan w:val="3"/>
            <w:shd w:val="clear" w:color="auto" w:fill="auto"/>
          </w:tcPr>
          <w:p w14:paraId="5EA1ED76" w14:textId="77777777" w:rsidR="003C66EB" w:rsidRDefault="003C66EB">
            <w:pPr>
              <w:rPr>
                <w:rFonts w:ascii="宋体"/>
                <w:vanish/>
              </w:rPr>
            </w:pPr>
          </w:p>
        </w:tc>
        <w:tc>
          <w:tcPr>
            <w:tcW w:w="0" w:type="auto"/>
            <w:gridSpan w:val="3"/>
            <w:shd w:val="clear" w:color="auto" w:fill="auto"/>
          </w:tcPr>
          <w:p w14:paraId="5EA1ED77" w14:textId="77777777" w:rsidR="003C66EB" w:rsidRDefault="003C66EB">
            <w:pPr>
              <w:rPr>
                <w:rFonts w:ascii="宋体"/>
                <w:vanish/>
              </w:rPr>
            </w:pPr>
          </w:p>
        </w:tc>
        <w:tc>
          <w:tcPr>
            <w:tcW w:w="0" w:type="auto"/>
            <w:shd w:val="clear" w:color="auto" w:fill="auto"/>
          </w:tcPr>
          <w:p w14:paraId="5EA1ED78" w14:textId="77777777" w:rsidR="003C66EB" w:rsidRDefault="003C66EB">
            <w:pPr>
              <w:rPr>
                <w:rFonts w:ascii="宋体"/>
                <w:vanish/>
              </w:rPr>
            </w:pPr>
          </w:p>
        </w:tc>
        <w:tc>
          <w:tcPr>
            <w:tcW w:w="0" w:type="auto"/>
            <w:shd w:val="clear" w:color="auto" w:fill="auto"/>
          </w:tcPr>
          <w:p w14:paraId="5EA1ED79" w14:textId="77777777" w:rsidR="003C66EB" w:rsidRDefault="003C66EB">
            <w:pPr>
              <w:rPr>
                <w:rFonts w:ascii="宋体"/>
                <w:vanish/>
              </w:rPr>
            </w:pPr>
          </w:p>
        </w:tc>
        <w:tc>
          <w:tcPr>
            <w:tcW w:w="0" w:type="auto"/>
            <w:shd w:val="clear" w:color="auto" w:fill="auto"/>
          </w:tcPr>
          <w:p w14:paraId="5EA1ED7A" w14:textId="77777777" w:rsidR="003C66EB" w:rsidRDefault="003C66EB">
            <w:pPr>
              <w:rPr>
                <w:rFonts w:ascii="宋体"/>
                <w:vanish/>
              </w:rPr>
            </w:pPr>
          </w:p>
        </w:tc>
        <w:tc>
          <w:tcPr>
            <w:tcW w:w="0" w:type="auto"/>
            <w:gridSpan w:val="3"/>
            <w:shd w:val="clear" w:color="auto" w:fill="auto"/>
          </w:tcPr>
          <w:p w14:paraId="5EA1ED7B" w14:textId="77777777" w:rsidR="003C66EB" w:rsidRDefault="003C66EB">
            <w:pPr>
              <w:rPr>
                <w:rFonts w:ascii="宋体"/>
                <w:vanish/>
              </w:rPr>
            </w:pPr>
          </w:p>
        </w:tc>
        <w:tc>
          <w:tcPr>
            <w:tcW w:w="0" w:type="auto"/>
            <w:gridSpan w:val="3"/>
            <w:shd w:val="clear" w:color="auto" w:fill="auto"/>
          </w:tcPr>
          <w:p w14:paraId="5EA1ED7C" w14:textId="77777777" w:rsidR="003C66EB" w:rsidRDefault="003C66EB">
            <w:pPr>
              <w:rPr>
                <w:rFonts w:ascii="宋体"/>
                <w:vanish/>
              </w:rPr>
            </w:pPr>
          </w:p>
        </w:tc>
        <w:tc>
          <w:tcPr>
            <w:tcW w:w="0" w:type="auto"/>
            <w:gridSpan w:val="3"/>
            <w:shd w:val="clear" w:color="auto" w:fill="auto"/>
          </w:tcPr>
          <w:p w14:paraId="5EA1ED7D" w14:textId="77777777" w:rsidR="003C66EB" w:rsidRDefault="003C66EB">
            <w:pPr>
              <w:rPr>
                <w:rFonts w:ascii="宋体"/>
                <w:vanish/>
              </w:rPr>
            </w:pPr>
          </w:p>
        </w:tc>
        <w:tc>
          <w:tcPr>
            <w:tcW w:w="0" w:type="auto"/>
            <w:gridSpan w:val="3"/>
            <w:shd w:val="clear" w:color="auto" w:fill="auto"/>
          </w:tcPr>
          <w:p w14:paraId="5EA1ED7E" w14:textId="77777777" w:rsidR="003C66EB" w:rsidRDefault="003C66EB">
            <w:pPr>
              <w:rPr>
                <w:rFonts w:ascii="宋体"/>
                <w:vanish/>
              </w:rPr>
            </w:pPr>
          </w:p>
        </w:tc>
      </w:tr>
      <w:tr w:rsidR="003C66EB" w14:paraId="5EA1ED90" w14:textId="77777777">
        <w:tc>
          <w:tcPr>
            <w:tcW w:w="0" w:type="auto"/>
            <w:gridSpan w:val="3"/>
            <w:shd w:val="clear" w:color="auto" w:fill="FFFFFF"/>
            <w:tcMar>
              <w:top w:w="40" w:type="dxa"/>
              <w:left w:w="20" w:type="dxa"/>
              <w:bottom w:w="40" w:type="dxa"/>
              <w:right w:w="20" w:type="dxa"/>
            </w:tcMar>
            <w:vAlign w:val="bottom"/>
          </w:tcPr>
          <w:p w14:paraId="5EA1ED80" w14:textId="77777777" w:rsidR="003C66EB" w:rsidRDefault="00D96C4E">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5EA1ED81" w14:textId="77777777" w:rsidR="003C66EB" w:rsidRDefault="00D96C4E">
            <w:pPr>
              <w:jc w:val="right"/>
              <w:textAlignment w:val="bottom"/>
            </w:pPr>
            <w:r>
              <w:rPr>
                <w:rFonts w:ascii="Arial" w:eastAsia="宋体" w:hAnsi="Arial" w:cs="Arial"/>
                <w:color w:val="000000"/>
                <w:sz w:val="12"/>
                <w:szCs w:val="12"/>
              </w:rPr>
              <w:t>(33)</w:t>
            </w:r>
          </w:p>
        </w:tc>
        <w:tc>
          <w:tcPr>
            <w:tcW w:w="0" w:type="auto"/>
            <w:shd w:val="clear" w:color="auto" w:fill="FFFFFF"/>
            <w:tcMar>
              <w:top w:w="40" w:type="dxa"/>
              <w:left w:w="0" w:type="dxa"/>
              <w:bottom w:w="40" w:type="dxa"/>
              <w:right w:w="20" w:type="dxa"/>
            </w:tcMar>
            <w:vAlign w:val="bottom"/>
          </w:tcPr>
          <w:p w14:paraId="5EA1ED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8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D84" w14:textId="77777777" w:rsidR="003C66EB" w:rsidRDefault="00D96C4E">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5EA1ED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86" w14:textId="77777777" w:rsidR="003C66EB" w:rsidRDefault="003C66EB">
            <w:pPr>
              <w:rPr>
                <w:rFonts w:ascii="宋体"/>
              </w:rPr>
            </w:pPr>
          </w:p>
        </w:tc>
        <w:tc>
          <w:tcPr>
            <w:tcW w:w="0" w:type="auto"/>
            <w:shd w:val="clear" w:color="auto" w:fill="auto"/>
          </w:tcPr>
          <w:p w14:paraId="5EA1ED87" w14:textId="77777777" w:rsidR="003C66EB" w:rsidRDefault="003C66EB">
            <w:pPr>
              <w:rPr>
                <w:rFonts w:ascii="宋体"/>
                <w:vanish/>
              </w:rPr>
            </w:pPr>
          </w:p>
        </w:tc>
        <w:tc>
          <w:tcPr>
            <w:tcW w:w="0" w:type="auto"/>
            <w:shd w:val="clear" w:color="auto" w:fill="auto"/>
          </w:tcPr>
          <w:p w14:paraId="5EA1ED88" w14:textId="77777777" w:rsidR="003C66EB" w:rsidRDefault="003C66EB">
            <w:pPr>
              <w:rPr>
                <w:rFonts w:ascii="宋体"/>
                <w:vanish/>
              </w:rPr>
            </w:pPr>
          </w:p>
        </w:tc>
        <w:tc>
          <w:tcPr>
            <w:tcW w:w="0" w:type="auto"/>
            <w:shd w:val="clear" w:color="auto" w:fill="auto"/>
          </w:tcPr>
          <w:p w14:paraId="5EA1ED89" w14:textId="77777777" w:rsidR="003C66EB" w:rsidRDefault="003C66EB">
            <w:pPr>
              <w:rPr>
                <w:rFonts w:ascii="宋体"/>
                <w:vanish/>
              </w:rPr>
            </w:pPr>
          </w:p>
        </w:tc>
        <w:tc>
          <w:tcPr>
            <w:tcW w:w="0" w:type="auto"/>
            <w:gridSpan w:val="3"/>
            <w:shd w:val="clear" w:color="auto" w:fill="auto"/>
          </w:tcPr>
          <w:p w14:paraId="5EA1ED8A"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D8B"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1ED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D8E" w14:textId="77777777" w:rsidR="003C66EB" w:rsidRDefault="00D96C4E">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5EA1ED8F" w14:textId="77777777" w:rsidR="003C66EB" w:rsidRDefault="003C66EB">
            <w:pPr>
              <w:jc w:val="right"/>
              <w:rPr>
                <w:rFonts w:ascii="宋体"/>
              </w:rPr>
            </w:pPr>
          </w:p>
        </w:tc>
      </w:tr>
      <w:tr w:rsidR="003C66EB" w14:paraId="5EA1EDA5" w14:textId="77777777">
        <w:tc>
          <w:tcPr>
            <w:tcW w:w="0" w:type="auto"/>
            <w:gridSpan w:val="3"/>
            <w:shd w:val="clear" w:color="auto" w:fill="CCEEFF"/>
            <w:tcMar>
              <w:top w:w="40" w:type="dxa"/>
              <w:left w:w="20" w:type="dxa"/>
              <w:bottom w:w="40" w:type="dxa"/>
              <w:right w:w="20" w:type="dxa"/>
            </w:tcMar>
            <w:vAlign w:val="bottom"/>
          </w:tcPr>
          <w:p w14:paraId="5EA1ED91" w14:textId="77777777" w:rsidR="003C66EB" w:rsidRDefault="00D96C4E">
            <w:pPr>
              <w:textAlignment w:val="bottom"/>
            </w:pPr>
            <w:r>
              <w:rPr>
                <w:rFonts w:ascii="Arial" w:eastAsia="宋体" w:hAnsi="Arial" w:cs="Arial"/>
                <w:b/>
                <w:bCs/>
                <w:color w:val="000000"/>
                <w:sz w:val="12"/>
                <w:szCs w:val="12"/>
              </w:rPr>
              <w:t>Accrual Balance at March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ED92"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93" w14:textId="77777777" w:rsidR="003C66EB" w:rsidRDefault="00D96C4E">
            <w:pPr>
              <w:jc w:val="right"/>
              <w:textAlignment w:val="bottom"/>
            </w:pPr>
            <w:r>
              <w:rPr>
                <w:rFonts w:ascii="Arial" w:eastAsia="宋体" w:hAnsi="Arial" w:cs="Arial"/>
                <w:color w:val="000000"/>
                <w:sz w:val="12"/>
                <w:szCs w:val="12"/>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9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9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D96"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97" w14:textId="77777777" w:rsidR="003C66EB" w:rsidRDefault="00D96C4E">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9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99" w14:textId="77777777" w:rsidR="003C66EB" w:rsidRDefault="003C66EB">
            <w:pPr>
              <w:rPr>
                <w:rFonts w:ascii="宋体"/>
              </w:rPr>
            </w:pPr>
          </w:p>
        </w:tc>
        <w:tc>
          <w:tcPr>
            <w:tcW w:w="0" w:type="auto"/>
            <w:shd w:val="clear" w:color="auto" w:fill="auto"/>
          </w:tcPr>
          <w:p w14:paraId="5EA1ED9A" w14:textId="77777777" w:rsidR="003C66EB" w:rsidRDefault="003C66EB">
            <w:pPr>
              <w:rPr>
                <w:rFonts w:ascii="宋体"/>
                <w:vanish/>
              </w:rPr>
            </w:pPr>
          </w:p>
        </w:tc>
        <w:tc>
          <w:tcPr>
            <w:tcW w:w="0" w:type="auto"/>
            <w:shd w:val="clear" w:color="auto" w:fill="auto"/>
          </w:tcPr>
          <w:p w14:paraId="5EA1ED9B" w14:textId="77777777" w:rsidR="003C66EB" w:rsidRDefault="003C66EB">
            <w:pPr>
              <w:rPr>
                <w:rFonts w:ascii="宋体"/>
                <w:vanish/>
              </w:rPr>
            </w:pPr>
          </w:p>
        </w:tc>
        <w:tc>
          <w:tcPr>
            <w:tcW w:w="0" w:type="auto"/>
            <w:shd w:val="clear" w:color="auto" w:fill="auto"/>
          </w:tcPr>
          <w:p w14:paraId="5EA1ED9C" w14:textId="77777777" w:rsidR="003C66EB" w:rsidRDefault="003C66EB">
            <w:pPr>
              <w:rPr>
                <w:rFonts w:ascii="宋体"/>
                <w:vanish/>
              </w:rPr>
            </w:pPr>
          </w:p>
        </w:tc>
        <w:tc>
          <w:tcPr>
            <w:tcW w:w="0" w:type="auto"/>
            <w:gridSpan w:val="3"/>
            <w:shd w:val="clear" w:color="auto" w:fill="auto"/>
          </w:tcPr>
          <w:p w14:paraId="5EA1ED9D"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D9E"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9F" w14:textId="77777777" w:rsidR="003C66EB" w:rsidRDefault="00D96C4E">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A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DA2"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DA3" w14:textId="77777777" w:rsidR="003C66EB" w:rsidRDefault="00D96C4E">
            <w:pPr>
              <w:jc w:val="right"/>
              <w:textAlignment w:val="bottom"/>
            </w:pPr>
            <w:r>
              <w:rPr>
                <w:rFonts w:ascii="Arial" w:eastAsia="宋体" w:hAnsi="Arial" w:cs="Arial"/>
                <w:color w:val="000000"/>
                <w:sz w:val="12"/>
                <w:szCs w:val="12"/>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DA4" w14:textId="77777777" w:rsidR="003C66EB" w:rsidRDefault="003C66EB">
            <w:pPr>
              <w:jc w:val="right"/>
              <w:rPr>
                <w:rFonts w:ascii="宋体"/>
              </w:rPr>
            </w:pPr>
          </w:p>
        </w:tc>
      </w:tr>
      <w:tr w:rsidR="003C66EB" w14:paraId="5EA1EDBA" w14:textId="77777777">
        <w:tc>
          <w:tcPr>
            <w:tcW w:w="0" w:type="auto"/>
            <w:gridSpan w:val="3"/>
            <w:shd w:val="clear" w:color="auto" w:fill="FFFFFF"/>
            <w:tcMar>
              <w:top w:w="40" w:type="dxa"/>
              <w:left w:w="20" w:type="dxa"/>
              <w:bottom w:w="40" w:type="dxa"/>
              <w:right w:w="20" w:type="dxa"/>
            </w:tcMar>
            <w:vAlign w:val="bottom"/>
          </w:tcPr>
          <w:p w14:paraId="5EA1EDA6" w14:textId="77777777" w:rsidR="003C66EB" w:rsidRDefault="00D96C4E">
            <w:pPr>
              <w:textAlignment w:val="bottom"/>
            </w:pPr>
            <w:r>
              <w:rPr>
                <w:rFonts w:ascii="Arial" w:eastAsia="宋体" w:hAnsi="Arial" w:cs="Arial"/>
                <w:b/>
                <w:bCs/>
                <w:color w:val="000000"/>
                <w:sz w:val="12"/>
                <w:szCs w:val="12"/>
              </w:rPr>
              <w:t>Accrual Balance at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5EA1EDA7" w14:textId="77777777" w:rsidR="003C66EB" w:rsidRDefault="00D96C4E">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1EDA8" w14:textId="77777777" w:rsidR="003C66EB" w:rsidRDefault="00D96C4E">
            <w:pPr>
              <w:jc w:val="right"/>
              <w:textAlignment w:val="bottom"/>
            </w:pPr>
            <w:r>
              <w:rPr>
                <w:rFonts w:ascii="Arial" w:eastAsia="宋体" w:hAnsi="Arial" w:cs="Arial"/>
                <w:color w:val="000000"/>
                <w:sz w:val="12"/>
                <w:szCs w:val="12"/>
              </w:rPr>
              <w:t>190 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1ED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AA"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1EDAB" w14:textId="77777777" w:rsidR="003C66EB" w:rsidRDefault="00D96C4E">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1EDAC" w14:textId="77777777" w:rsidR="003C66EB" w:rsidRDefault="00D96C4E">
            <w:pPr>
              <w:jc w:val="right"/>
              <w:textAlignment w:val="bottom"/>
            </w:pPr>
            <w:r>
              <w:rPr>
                <w:rFonts w:ascii="Arial" w:eastAsia="宋体" w:hAnsi="Arial" w:cs="Arial"/>
                <w:color w:val="000000"/>
                <w:sz w:val="12"/>
                <w:szCs w:val="12"/>
              </w:rPr>
              <w:t>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1ED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AE" w14:textId="77777777" w:rsidR="003C66EB" w:rsidRDefault="003C66EB">
            <w:pPr>
              <w:rPr>
                <w:rFonts w:ascii="宋体"/>
              </w:rPr>
            </w:pPr>
          </w:p>
        </w:tc>
        <w:tc>
          <w:tcPr>
            <w:tcW w:w="0" w:type="auto"/>
            <w:shd w:val="clear" w:color="auto" w:fill="auto"/>
          </w:tcPr>
          <w:p w14:paraId="5EA1EDAF" w14:textId="77777777" w:rsidR="003C66EB" w:rsidRDefault="003C66EB">
            <w:pPr>
              <w:rPr>
                <w:rFonts w:ascii="宋体"/>
                <w:vanish/>
              </w:rPr>
            </w:pPr>
          </w:p>
        </w:tc>
        <w:tc>
          <w:tcPr>
            <w:tcW w:w="0" w:type="auto"/>
            <w:shd w:val="clear" w:color="auto" w:fill="auto"/>
          </w:tcPr>
          <w:p w14:paraId="5EA1EDB0" w14:textId="77777777" w:rsidR="003C66EB" w:rsidRDefault="003C66EB">
            <w:pPr>
              <w:rPr>
                <w:rFonts w:ascii="宋体"/>
                <w:vanish/>
              </w:rPr>
            </w:pPr>
          </w:p>
        </w:tc>
        <w:tc>
          <w:tcPr>
            <w:tcW w:w="0" w:type="auto"/>
            <w:shd w:val="clear" w:color="auto" w:fill="auto"/>
          </w:tcPr>
          <w:p w14:paraId="5EA1EDB1" w14:textId="77777777" w:rsidR="003C66EB" w:rsidRDefault="003C66EB">
            <w:pPr>
              <w:rPr>
                <w:rFonts w:ascii="宋体"/>
                <w:vanish/>
              </w:rPr>
            </w:pPr>
          </w:p>
        </w:tc>
        <w:tc>
          <w:tcPr>
            <w:tcW w:w="0" w:type="auto"/>
            <w:gridSpan w:val="3"/>
            <w:shd w:val="clear" w:color="auto" w:fill="auto"/>
          </w:tcPr>
          <w:p w14:paraId="5EA1EDB2" w14:textId="77777777" w:rsidR="003C66EB" w:rsidRDefault="003C66EB">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1EDB3" w14:textId="77777777" w:rsidR="003C66EB" w:rsidRDefault="00D96C4E">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1EDB4" w14:textId="77777777" w:rsidR="003C66EB" w:rsidRDefault="00D96C4E">
            <w:pPr>
              <w:jc w:val="right"/>
              <w:textAlignment w:val="bottom"/>
            </w:pP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1EDB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B6"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1EDB7" w14:textId="77777777" w:rsidR="003C66EB" w:rsidRDefault="00D96C4E">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1EDB8" w14:textId="77777777" w:rsidR="003C66EB" w:rsidRDefault="00D96C4E">
            <w:pPr>
              <w:jc w:val="right"/>
              <w:textAlignment w:val="bottom"/>
            </w:pPr>
            <w:r>
              <w:rPr>
                <w:rFonts w:ascii="Arial" w:eastAsia="宋体" w:hAnsi="Arial" w:cs="Arial"/>
                <w:color w:val="000000"/>
                <w:sz w:val="12"/>
                <w:szCs w:val="12"/>
              </w:rPr>
              <w:t>196 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1EDB9" w14:textId="77777777" w:rsidR="003C66EB" w:rsidRDefault="003C66EB">
            <w:pPr>
              <w:jc w:val="right"/>
              <w:rPr>
                <w:rFonts w:ascii="宋体"/>
              </w:rPr>
            </w:pPr>
          </w:p>
        </w:tc>
      </w:tr>
      <w:tr w:rsidR="003C66EB" w14:paraId="5EA1EDCB" w14:textId="77777777">
        <w:tc>
          <w:tcPr>
            <w:tcW w:w="0" w:type="auto"/>
            <w:gridSpan w:val="3"/>
            <w:shd w:val="clear" w:color="auto" w:fill="CCEEFF"/>
            <w:tcMar>
              <w:top w:w="40" w:type="dxa"/>
              <w:left w:w="20" w:type="dxa"/>
              <w:bottom w:w="40" w:type="dxa"/>
              <w:right w:w="20" w:type="dxa"/>
            </w:tcMar>
            <w:vAlign w:val="bottom"/>
          </w:tcPr>
          <w:p w14:paraId="5EA1EDBB" w14:textId="77777777" w:rsidR="003C66EB" w:rsidRDefault="00D96C4E">
            <w:pPr>
              <w:textAlignment w:val="bottom"/>
            </w:pPr>
            <w:r>
              <w:rPr>
                <w:rFonts w:ascii="Arial" w:eastAsia="宋体" w:hAnsi="Arial" w:cs="Arial"/>
                <w:color w:val="000000"/>
                <w:sz w:val="12"/>
                <w:szCs w:val="12"/>
              </w:rPr>
              <w:t>Accruals for Beacon</w:t>
            </w:r>
          </w:p>
        </w:tc>
        <w:tc>
          <w:tcPr>
            <w:tcW w:w="0" w:type="auto"/>
            <w:gridSpan w:val="2"/>
            <w:shd w:val="clear" w:color="auto" w:fill="CCEEFF"/>
            <w:tcMar>
              <w:top w:w="40" w:type="dxa"/>
              <w:left w:w="20" w:type="dxa"/>
              <w:bottom w:w="40" w:type="dxa"/>
              <w:right w:w="0" w:type="dxa"/>
            </w:tcMar>
            <w:vAlign w:val="bottom"/>
          </w:tcPr>
          <w:p w14:paraId="5EA1EDBC" w14:textId="77777777" w:rsidR="003C66EB" w:rsidRDefault="00D96C4E">
            <w:pPr>
              <w:jc w:val="right"/>
              <w:textAlignment w:val="bottom"/>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bottom"/>
          </w:tcPr>
          <w:p w14:paraId="5EA1EDB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B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DBF"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1EDC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C1" w14:textId="77777777" w:rsidR="003C66EB" w:rsidRDefault="003C66EB">
            <w:pPr>
              <w:rPr>
                <w:rFonts w:ascii="宋体"/>
              </w:rPr>
            </w:pPr>
          </w:p>
        </w:tc>
        <w:tc>
          <w:tcPr>
            <w:tcW w:w="0" w:type="auto"/>
            <w:shd w:val="clear" w:color="auto" w:fill="auto"/>
          </w:tcPr>
          <w:p w14:paraId="5EA1EDC2" w14:textId="77777777" w:rsidR="003C66EB" w:rsidRDefault="003C66EB">
            <w:pPr>
              <w:rPr>
                <w:rFonts w:ascii="宋体"/>
                <w:vanish/>
              </w:rPr>
            </w:pPr>
          </w:p>
        </w:tc>
        <w:tc>
          <w:tcPr>
            <w:tcW w:w="0" w:type="auto"/>
            <w:shd w:val="clear" w:color="auto" w:fill="auto"/>
          </w:tcPr>
          <w:p w14:paraId="5EA1EDC3" w14:textId="77777777" w:rsidR="003C66EB" w:rsidRDefault="003C66EB">
            <w:pPr>
              <w:rPr>
                <w:rFonts w:ascii="宋体"/>
                <w:vanish/>
              </w:rPr>
            </w:pPr>
          </w:p>
        </w:tc>
        <w:tc>
          <w:tcPr>
            <w:tcW w:w="0" w:type="auto"/>
            <w:shd w:val="clear" w:color="auto" w:fill="auto"/>
          </w:tcPr>
          <w:p w14:paraId="5EA1EDC4" w14:textId="77777777" w:rsidR="003C66EB" w:rsidRDefault="003C66EB">
            <w:pPr>
              <w:rPr>
                <w:rFonts w:ascii="宋体"/>
                <w:vanish/>
              </w:rPr>
            </w:pPr>
          </w:p>
        </w:tc>
        <w:tc>
          <w:tcPr>
            <w:tcW w:w="0" w:type="auto"/>
            <w:gridSpan w:val="3"/>
            <w:shd w:val="clear" w:color="auto" w:fill="auto"/>
          </w:tcPr>
          <w:p w14:paraId="5EA1EDC5"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DC6"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1ED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C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DC9" w14:textId="77777777" w:rsidR="003C66EB" w:rsidRDefault="00D96C4E">
            <w:pPr>
              <w:jc w:val="right"/>
              <w:textAlignment w:val="bottom"/>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bottom"/>
          </w:tcPr>
          <w:p w14:paraId="5EA1EDCA" w14:textId="77777777" w:rsidR="003C66EB" w:rsidRDefault="003C66EB">
            <w:pPr>
              <w:jc w:val="right"/>
              <w:rPr>
                <w:rFonts w:ascii="宋体"/>
              </w:rPr>
            </w:pPr>
          </w:p>
        </w:tc>
      </w:tr>
      <w:tr w:rsidR="003C66EB" w14:paraId="5EA1EDDC" w14:textId="77777777">
        <w:tc>
          <w:tcPr>
            <w:tcW w:w="0" w:type="auto"/>
            <w:gridSpan w:val="3"/>
            <w:shd w:val="clear" w:color="auto" w:fill="FFFFFF"/>
            <w:tcMar>
              <w:top w:w="40" w:type="dxa"/>
              <w:left w:w="20" w:type="dxa"/>
              <w:bottom w:w="40" w:type="dxa"/>
              <w:right w:w="20" w:type="dxa"/>
            </w:tcMar>
            <w:vAlign w:val="bottom"/>
          </w:tcPr>
          <w:p w14:paraId="5EA1EDCC" w14:textId="77777777" w:rsidR="003C66EB" w:rsidRDefault="00D96C4E">
            <w:pPr>
              <w:textAlignment w:val="bottom"/>
            </w:pPr>
            <w:r>
              <w:rPr>
                <w:rFonts w:ascii="Arial" w:eastAsia="宋体" w:hAnsi="Arial" w:cs="Arial"/>
                <w:color w:val="000000"/>
                <w:sz w:val="12"/>
                <w:szCs w:val="12"/>
              </w:rPr>
              <w:t>Accruals for Repositioning Charges</w:t>
            </w:r>
          </w:p>
        </w:tc>
        <w:tc>
          <w:tcPr>
            <w:tcW w:w="0" w:type="auto"/>
            <w:gridSpan w:val="2"/>
            <w:shd w:val="clear" w:color="auto" w:fill="FFFFFF"/>
            <w:tcMar>
              <w:top w:w="40" w:type="dxa"/>
              <w:left w:w="20" w:type="dxa"/>
              <w:bottom w:w="40" w:type="dxa"/>
              <w:right w:w="0" w:type="dxa"/>
            </w:tcMar>
            <w:vAlign w:val="bottom"/>
          </w:tcPr>
          <w:p w14:paraId="5EA1EDCD"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1EDC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C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DD0" w14:textId="77777777" w:rsidR="003C66EB" w:rsidRDefault="00D96C4E">
            <w:pPr>
              <w:jc w:val="right"/>
              <w:textAlignment w:val="bottom"/>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1EDD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D2" w14:textId="77777777" w:rsidR="003C66EB" w:rsidRDefault="003C66EB">
            <w:pPr>
              <w:rPr>
                <w:rFonts w:ascii="宋体"/>
              </w:rPr>
            </w:pPr>
          </w:p>
        </w:tc>
        <w:tc>
          <w:tcPr>
            <w:tcW w:w="0" w:type="auto"/>
            <w:shd w:val="clear" w:color="auto" w:fill="auto"/>
          </w:tcPr>
          <w:p w14:paraId="5EA1EDD3" w14:textId="77777777" w:rsidR="003C66EB" w:rsidRDefault="003C66EB">
            <w:pPr>
              <w:rPr>
                <w:rFonts w:ascii="宋体"/>
                <w:vanish/>
              </w:rPr>
            </w:pPr>
          </w:p>
        </w:tc>
        <w:tc>
          <w:tcPr>
            <w:tcW w:w="0" w:type="auto"/>
            <w:shd w:val="clear" w:color="auto" w:fill="auto"/>
          </w:tcPr>
          <w:p w14:paraId="5EA1EDD4" w14:textId="77777777" w:rsidR="003C66EB" w:rsidRDefault="003C66EB">
            <w:pPr>
              <w:rPr>
                <w:rFonts w:ascii="宋体"/>
                <w:vanish/>
              </w:rPr>
            </w:pPr>
          </w:p>
        </w:tc>
        <w:tc>
          <w:tcPr>
            <w:tcW w:w="0" w:type="auto"/>
            <w:shd w:val="clear" w:color="auto" w:fill="auto"/>
          </w:tcPr>
          <w:p w14:paraId="5EA1EDD5" w14:textId="77777777" w:rsidR="003C66EB" w:rsidRDefault="003C66EB">
            <w:pPr>
              <w:rPr>
                <w:rFonts w:ascii="宋体"/>
                <w:vanish/>
              </w:rPr>
            </w:pPr>
          </w:p>
        </w:tc>
        <w:tc>
          <w:tcPr>
            <w:tcW w:w="0" w:type="auto"/>
            <w:gridSpan w:val="3"/>
            <w:shd w:val="clear" w:color="auto" w:fill="auto"/>
          </w:tcPr>
          <w:p w14:paraId="5EA1EDD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DD7"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1ED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EDDA" w14:textId="77777777" w:rsidR="003C66EB" w:rsidRDefault="00D96C4E">
            <w:pPr>
              <w:jc w:val="right"/>
              <w:textAlignment w:val="bottom"/>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1EDDB" w14:textId="77777777" w:rsidR="003C66EB" w:rsidRDefault="003C66EB">
            <w:pPr>
              <w:jc w:val="right"/>
              <w:rPr>
                <w:rFonts w:ascii="宋体"/>
              </w:rPr>
            </w:pPr>
          </w:p>
        </w:tc>
      </w:tr>
      <w:tr w:rsidR="003C66EB" w14:paraId="5EA1EDED" w14:textId="77777777">
        <w:tc>
          <w:tcPr>
            <w:tcW w:w="0" w:type="auto"/>
            <w:gridSpan w:val="3"/>
            <w:shd w:val="clear" w:color="auto" w:fill="CCEEFF"/>
            <w:tcMar>
              <w:top w:w="40" w:type="dxa"/>
              <w:left w:w="20" w:type="dxa"/>
              <w:bottom w:w="40" w:type="dxa"/>
              <w:right w:w="20" w:type="dxa"/>
            </w:tcMar>
            <w:vAlign w:val="bottom"/>
          </w:tcPr>
          <w:p w14:paraId="5EA1EDDD" w14:textId="77777777" w:rsidR="003C66EB" w:rsidRDefault="00D96C4E">
            <w:pPr>
              <w:textAlignment w:val="bottom"/>
            </w:pPr>
            <w:r>
              <w:rPr>
                <w:rFonts w:ascii="Arial" w:eastAsia="宋体" w:hAnsi="Arial" w:cs="Arial"/>
                <w:color w:val="000000"/>
                <w:sz w:val="12"/>
                <w:szCs w:val="12"/>
              </w:rPr>
              <w:t>Payments and Other Adjustments</w:t>
            </w:r>
          </w:p>
        </w:tc>
        <w:tc>
          <w:tcPr>
            <w:tcW w:w="0" w:type="auto"/>
            <w:gridSpan w:val="2"/>
            <w:shd w:val="clear" w:color="auto" w:fill="CCEEFF"/>
            <w:tcMar>
              <w:top w:w="40" w:type="dxa"/>
              <w:left w:w="20" w:type="dxa"/>
              <w:bottom w:w="40" w:type="dxa"/>
              <w:right w:w="0" w:type="dxa"/>
            </w:tcMar>
            <w:vAlign w:val="bottom"/>
          </w:tcPr>
          <w:p w14:paraId="5EA1EDDE" w14:textId="77777777" w:rsidR="003C66EB" w:rsidRDefault="00D96C4E">
            <w:pPr>
              <w:jc w:val="right"/>
              <w:textAlignment w:val="bottom"/>
            </w:pPr>
            <w:r>
              <w:rPr>
                <w:rFonts w:ascii="Arial" w:eastAsia="宋体" w:hAnsi="Arial" w:cs="Arial"/>
                <w:b/>
                <w:bCs/>
                <w:color w:val="000000"/>
                <w:sz w:val="12"/>
                <w:szCs w:val="12"/>
              </w:rPr>
              <w:t>(9)</w:t>
            </w:r>
          </w:p>
        </w:tc>
        <w:tc>
          <w:tcPr>
            <w:tcW w:w="0" w:type="auto"/>
            <w:shd w:val="clear" w:color="auto" w:fill="CCEEFF"/>
            <w:tcMar>
              <w:top w:w="40" w:type="dxa"/>
              <w:left w:w="0" w:type="dxa"/>
              <w:bottom w:w="40" w:type="dxa"/>
              <w:right w:w="20" w:type="dxa"/>
            </w:tcMar>
            <w:vAlign w:val="bottom"/>
          </w:tcPr>
          <w:p w14:paraId="5EA1ED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E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DE1" w14:textId="77777777" w:rsidR="003C66EB" w:rsidRDefault="00D96C4E">
            <w:pPr>
              <w:jc w:val="right"/>
              <w:textAlignment w:val="bottom"/>
            </w:pPr>
            <w:r>
              <w:rPr>
                <w:rFonts w:ascii="Arial" w:eastAsia="宋体" w:hAnsi="Arial" w:cs="Arial"/>
                <w:b/>
                <w:bCs/>
                <w:color w:val="000000"/>
                <w:sz w:val="12"/>
                <w:szCs w:val="12"/>
              </w:rPr>
              <w:t>(2)</w:t>
            </w:r>
          </w:p>
        </w:tc>
        <w:tc>
          <w:tcPr>
            <w:tcW w:w="0" w:type="auto"/>
            <w:shd w:val="clear" w:color="auto" w:fill="CCEEFF"/>
            <w:tcMar>
              <w:top w:w="40" w:type="dxa"/>
              <w:left w:w="0" w:type="dxa"/>
              <w:bottom w:w="40" w:type="dxa"/>
              <w:right w:w="20" w:type="dxa"/>
            </w:tcMar>
            <w:vAlign w:val="bottom"/>
          </w:tcPr>
          <w:p w14:paraId="5EA1ED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E3" w14:textId="77777777" w:rsidR="003C66EB" w:rsidRDefault="003C66EB">
            <w:pPr>
              <w:rPr>
                <w:rFonts w:ascii="宋体"/>
              </w:rPr>
            </w:pPr>
          </w:p>
        </w:tc>
        <w:tc>
          <w:tcPr>
            <w:tcW w:w="0" w:type="auto"/>
            <w:shd w:val="clear" w:color="auto" w:fill="auto"/>
          </w:tcPr>
          <w:p w14:paraId="5EA1EDE4" w14:textId="77777777" w:rsidR="003C66EB" w:rsidRDefault="003C66EB">
            <w:pPr>
              <w:rPr>
                <w:rFonts w:ascii="宋体"/>
                <w:vanish/>
              </w:rPr>
            </w:pPr>
          </w:p>
        </w:tc>
        <w:tc>
          <w:tcPr>
            <w:tcW w:w="0" w:type="auto"/>
            <w:shd w:val="clear" w:color="auto" w:fill="auto"/>
          </w:tcPr>
          <w:p w14:paraId="5EA1EDE5" w14:textId="77777777" w:rsidR="003C66EB" w:rsidRDefault="003C66EB">
            <w:pPr>
              <w:rPr>
                <w:rFonts w:ascii="宋体"/>
                <w:vanish/>
              </w:rPr>
            </w:pPr>
          </w:p>
        </w:tc>
        <w:tc>
          <w:tcPr>
            <w:tcW w:w="0" w:type="auto"/>
            <w:shd w:val="clear" w:color="auto" w:fill="auto"/>
          </w:tcPr>
          <w:p w14:paraId="5EA1EDE6" w14:textId="77777777" w:rsidR="003C66EB" w:rsidRDefault="003C66EB">
            <w:pPr>
              <w:rPr>
                <w:rFonts w:ascii="宋体"/>
                <w:vanish/>
              </w:rPr>
            </w:pPr>
          </w:p>
        </w:tc>
        <w:tc>
          <w:tcPr>
            <w:tcW w:w="0" w:type="auto"/>
            <w:gridSpan w:val="3"/>
            <w:shd w:val="clear" w:color="auto" w:fill="auto"/>
          </w:tcPr>
          <w:p w14:paraId="5EA1EDE7"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DE8"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1ED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DE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DEB" w14:textId="77777777" w:rsidR="003C66EB" w:rsidRDefault="00D96C4E">
            <w:pPr>
              <w:jc w:val="right"/>
              <w:textAlignment w:val="bottom"/>
            </w:pPr>
            <w:r>
              <w:rPr>
                <w:rFonts w:ascii="Arial" w:eastAsia="宋体" w:hAnsi="Arial" w:cs="Arial"/>
                <w:b/>
                <w:bCs/>
                <w:color w:val="000000"/>
                <w:sz w:val="12"/>
                <w:szCs w:val="12"/>
              </w:rPr>
              <w:t>(11)</w:t>
            </w:r>
          </w:p>
        </w:tc>
        <w:tc>
          <w:tcPr>
            <w:tcW w:w="0" w:type="auto"/>
            <w:shd w:val="clear" w:color="auto" w:fill="CCEEFF"/>
            <w:tcMar>
              <w:top w:w="40" w:type="dxa"/>
              <w:left w:w="0" w:type="dxa"/>
              <w:bottom w:w="40" w:type="dxa"/>
              <w:right w:w="20" w:type="dxa"/>
            </w:tcMar>
            <w:vAlign w:val="bottom"/>
          </w:tcPr>
          <w:p w14:paraId="5EA1EDEC" w14:textId="77777777" w:rsidR="003C66EB" w:rsidRDefault="003C66EB">
            <w:pPr>
              <w:jc w:val="right"/>
              <w:rPr>
                <w:rFonts w:ascii="宋体"/>
              </w:rPr>
            </w:pPr>
          </w:p>
        </w:tc>
      </w:tr>
      <w:tr w:rsidR="003C66EB" w14:paraId="5EA1EE02" w14:textId="77777777">
        <w:tc>
          <w:tcPr>
            <w:tcW w:w="0" w:type="auto"/>
            <w:gridSpan w:val="3"/>
            <w:shd w:val="clear" w:color="auto" w:fill="FFFFFF"/>
            <w:tcMar>
              <w:top w:w="40" w:type="dxa"/>
              <w:left w:w="20" w:type="dxa"/>
              <w:bottom w:w="40" w:type="dxa"/>
              <w:right w:w="20" w:type="dxa"/>
            </w:tcMar>
            <w:vAlign w:val="bottom"/>
          </w:tcPr>
          <w:p w14:paraId="5EA1EDEE" w14:textId="77777777" w:rsidR="003C66EB" w:rsidRDefault="00D96C4E">
            <w:pPr>
              <w:textAlignment w:val="bottom"/>
            </w:pPr>
            <w:r>
              <w:rPr>
                <w:rFonts w:ascii="Arial" w:eastAsia="宋体" w:hAnsi="Arial" w:cs="Arial"/>
                <w:b/>
                <w:bCs/>
                <w:color w:val="000000"/>
                <w:sz w:val="12"/>
                <w:szCs w:val="12"/>
              </w:rPr>
              <w:t>Accrual Balance at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DEF"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DF0" w14:textId="77777777" w:rsidR="003C66EB" w:rsidRDefault="00D96C4E">
            <w:pPr>
              <w:jc w:val="right"/>
              <w:textAlignment w:val="bottom"/>
            </w:pPr>
            <w:r>
              <w:rPr>
                <w:rFonts w:ascii="Arial" w:eastAsia="宋体" w:hAnsi="Arial" w:cs="Arial"/>
                <w:b/>
                <w:bCs/>
                <w:color w:val="000000"/>
                <w:sz w:val="12"/>
                <w:szCs w:val="12"/>
              </w:rPr>
              <w:t>180</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DF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F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DF3"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DF4" w14:textId="77777777" w:rsidR="003C66EB" w:rsidRDefault="00D96C4E">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D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F6" w14:textId="77777777" w:rsidR="003C66EB" w:rsidRDefault="003C66EB">
            <w:pPr>
              <w:rPr>
                <w:rFonts w:ascii="宋体"/>
              </w:rPr>
            </w:pPr>
          </w:p>
        </w:tc>
        <w:tc>
          <w:tcPr>
            <w:tcW w:w="0" w:type="auto"/>
            <w:shd w:val="clear" w:color="auto" w:fill="auto"/>
          </w:tcPr>
          <w:p w14:paraId="5EA1EDF7" w14:textId="77777777" w:rsidR="003C66EB" w:rsidRDefault="003C66EB">
            <w:pPr>
              <w:rPr>
                <w:rFonts w:ascii="宋体"/>
                <w:vanish/>
              </w:rPr>
            </w:pPr>
          </w:p>
        </w:tc>
        <w:tc>
          <w:tcPr>
            <w:tcW w:w="0" w:type="auto"/>
            <w:shd w:val="clear" w:color="auto" w:fill="auto"/>
          </w:tcPr>
          <w:p w14:paraId="5EA1EDF8" w14:textId="77777777" w:rsidR="003C66EB" w:rsidRDefault="003C66EB">
            <w:pPr>
              <w:rPr>
                <w:rFonts w:ascii="宋体"/>
                <w:vanish/>
              </w:rPr>
            </w:pPr>
          </w:p>
        </w:tc>
        <w:tc>
          <w:tcPr>
            <w:tcW w:w="0" w:type="auto"/>
            <w:shd w:val="clear" w:color="auto" w:fill="auto"/>
          </w:tcPr>
          <w:p w14:paraId="5EA1EDF9" w14:textId="77777777" w:rsidR="003C66EB" w:rsidRDefault="003C66EB">
            <w:pPr>
              <w:rPr>
                <w:rFonts w:ascii="宋体"/>
                <w:vanish/>
              </w:rPr>
            </w:pPr>
          </w:p>
        </w:tc>
        <w:tc>
          <w:tcPr>
            <w:tcW w:w="0" w:type="auto"/>
            <w:gridSpan w:val="3"/>
            <w:shd w:val="clear" w:color="auto" w:fill="auto"/>
          </w:tcPr>
          <w:p w14:paraId="5EA1EDFA" w14:textId="77777777" w:rsidR="003C66EB" w:rsidRDefault="003C66EB">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DFB"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DFC"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D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DF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EDFF"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EE00" w14:textId="77777777" w:rsidR="003C66EB" w:rsidRDefault="00D96C4E">
            <w:pPr>
              <w:jc w:val="right"/>
              <w:textAlignment w:val="bottom"/>
            </w:pPr>
            <w:r>
              <w:rPr>
                <w:rFonts w:ascii="Arial" w:eastAsia="宋体" w:hAnsi="Arial" w:cs="Arial"/>
                <w:b/>
                <w:bCs/>
                <w:color w:val="000000"/>
                <w:sz w:val="12"/>
                <w:szCs w:val="12"/>
              </w:rPr>
              <w:t>186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EE01" w14:textId="77777777" w:rsidR="003C66EB" w:rsidRDefault="003C66EB">
            <w:pPr>
              <w:jc w:val="right"/>
              <w:rPr>
                <w:rFonts w:ascii="宋体"/>
              </w:rPr>
            </w:pPr>
          </w:p>
        </w:tc>
      </w:tr>
      <w:tr w:rsidR="003C66EB" w14:paraId="5EA1EE0F" w14:textId="77777777">
        <w:trPr>
          <w:hidden/>
        </w:trPr>
        <w:tc>
          <w:tcPr>
            <w:tcW w:w="0" w:type="auto"/>
            <w:gridSpan w:val="3"/>
            <w:shd w:val="clear" w:color="auto" w:fill="auto"/>
          </w:tcPr>
          <w:p w14:paraId="5EA1EE03" w14:textId="77777777" w:rsidR="003C66EB" w:rsidRDefault="003C66EB">
            <w:pPr>
              <w:rPr>
                <w:rFonts w:ascii="宋体"/>
                <w:vanish/>
              </w:rPr>
            </w:pPr>
          </w:p>
        </w:tc>
        <w:tc>
          <w:tcPr>
            <w:tcW w:w="0" w:type="auto"/>
            <w:gridSpan w:val="3"/>
            <w:shd w:val="clear" w:color="auto" w:fill="auto"/>
          </w:tcPr>
          <w:p w14:paraId="5EA1EE04" w14:textId="77777777" w:rsidR="003C66EB" w:rsidRDefault="003C66EB">
            <w:pPr>
              <w:rPr>
                <w:rFonts w:ascii="宋体"/>
                <w:vanish/>
              </w:rPr>
            </w:pPr>
          </w:p>
        </w:tc>
        <w:tc>
          <w:tcPr>
            <w:tcW w:w="0" w:type="auto"/>
            <w:gridSpan w:val="3"/>
            <w:shd w:val="clear" w:color="auto" w:fill="auto"/>
          </w:tcPr>
          <w:p w14:paraId="5EA1EE05" w14:textId="77777777" w:rsidR="003C66EB" w:rsidRDefault="003C66EB">
            <w:pPr>
              <w:rPr>
                <w:rFonts w:ascii="宋体"/>
                <w:vanish/>
              </w:rPr>
            </w:pPr>
          </w:p>
        </w:tc>
        <w:tc>
          <w:tcPr>
            <w:tcW w:w="0" w:type="auto"/>
            <w:gridSpan w:val="3"/>
            <w:shd w:val="clear" w:color="auto" w:fill="auto"/>
          </w:tcPr>
          <w:p w14:paraId="5EA1EE06" w14:textId="77777777" w:rsidR="003C66EB" w:rsidRDefault="003C66EB">
            <w:pPr>
              <w:rPr>
                <w:rFonts w:ascii="宋体"/>
                <w:vanish/>
              </w:rPr>
            </w:pPr>
          </w:p>
        </w:tc>
        <w:tc>
          <w:tcPr>
            <w:tcW w:w="0" w:type="auto"/>
            <w:gridSpan w:val="3"/>
            <w:shd w:val="clear" w:color="auto" w:fill="auto"/>
          </w:tcPr>
          <w:p w14:paraId="5EA1EE07" w14:textId="77777777" w:rsidR="003C66EB" w:rsidRDefault="003C66EB">
            <w:pPr>
              <w:rPr>
                <w:rFonts w:ascii="宋体"/>
                <w:vanish/>
              </w:rPr>
            </w:pPr>
          </w:p>
        </w:tc>
        <w:tc>
          <w:tcPr>
            <w:tcW w:w="0" w:type="auto"/>
            <w:shd w:val="clear" w:color="auto" w:fill="auto"/>
          </w:tcPr>
          <w:p w14:paraId="5EA1EE08" w14:textId="77777777" w:rsidR="003C66EB" w:rsidRDefault="003C66EB">
            <w:pPr>
              <w:rPr>
                <w:rFonts w:ascii="宋体"/>
                <w:vanish/>
              </w:rPr>
            </w:pPr>
          </w:p>
        </w:tc>
        <w:tc>
          <w:tcPr>
            <w:tcW w:w="0" w:type="auto"/>
            <w:shd w:val="clear" w:color="auto" w:fill="auto"/>
          </w:tcPr>
          <w:p w14:paraId="5EA1EE09" w14:textId="77777777" w:rsidR="003C66EB" w:rsidRDefault="003C66EB">
            <w:pPr>
              <w:rPr>
                <w:rFonts w:ascii="宋体"/>
                <w:vanish/>
              </w:rPr>
            </w:pPr>
          </w:p>
        </w:tc>
        <w:tc>
          <w:tcPr>
            <w:tcW w:w="0" w:type="auto"/>
            <w:shd w:val="clear" w:color="auto" w:fill="auto"/>
          </w:tcPr>
          <w:p w14:paraId="5EA1EE0A" w14:textId="77777777" w:rsidR="003C66EB" w:rsidRDefault="003C66EB">
            <w:pPr>
              <w:rPr>
                <w:rFonts w:ascii="宋体"/>
                <w:vanish/>
              </w:rPr>
            </w:pPr>
          </w:p>
        </w:tc>
        <w:tc>
          <w:tcPr>
            <w:tcW w:w="0" w:type="auto"/>
            <w:gridSpan w:val="3"/>
            <w:shd w:val="clear" w:color="auto" w:fill="auto"/>
          </w:tcPr>
          <w:p w14:paraId="5EA1EE0B" w14:textId="77777777" w:rsidR="003C66EB" w:rsidRDefault="003C66EB">
            <w:pPr>
              <w:rPr>
                <w:rFonts w:ascii="宋体"/>
                <w:vanish/>
              </w:rPr>
            </w:pPr>
          </w:p>
        </w:tc>
        <w:tc>
          <w:tcPr>
            <w:tcW w:w="0" w:type="auto"/>
            <w:gridSpan w:val="3"/>
            <w:shd w:val="clear" w:color="auto" w:fill="auto"/>
          </w:tcPr>
          <w:p w14:paraId="5EA1EE0C" w14:textId="77777777" w:rsidR="003C66EB" w:rsidRDefault="003C66EB">
            <w:pPr>
              <w:rPr>
                <w:rFonts w:ascii="宋体"/>
                <w:vanish/>
              </w:rPr>
            </w:pPr>
          </w:p>
        </w:tc>
        <w:tc>
          <w:tcPr>
            <w:tcW w:w="0" w:type="auto"/>
            <w:gridSpan w:val="3"/>
            <w:shd w:val="clear" w:color="auto" w:fill="auto"/>
          </w:tcPr>
          <w:p w14:paraId="5EA1EE0D" w14:textId="77777777" w:rsidR="003C66EB" w:rsidRDefault="003C66EB">
            <w:pPr>
              <w:rPr>
                <w:rFonts w:ascii="宋体"/>
                <w:vanish/>
              </w:rPr>
            </w:pPr>
          </w:p>
        </w:tc>
        <w:tc>
          <w:tcPr>
            <w:tcW w:w="0" w:type="auto"/>
            <w:gridSpan w:val="3"/>
            <w:shd w:val="clear" w:color="auto" w:fill="auto"/>
          </w:tcPr>
          <w:p w14:paraId="5EA1EE0E" w14:textId="77777777" w:rsidR="003C66EB" w:rsidRDefault="003C66EB">
            <w:pPr>
              <w:rPr>
                <w:rFonts w:ascii="宋体"/>
                <w:vanish/>
              </w:rPr>
            </w:pPr>
          </w:p>
        </w:tc>
      </w:tr>
      <w:tr w:rsidR="003C66EB" w14:paraId="5EA1EE1C" w14:textId="77777777">
        <w:trPr>
          <w:hidden/>
        </w:trPr>
        <w:tc>
          <w:tcPr>
            <w:tcW w:w="0" w:type="auto"/>
            <w:gridSpan w:val="3"/>
            <w:shd w:val="clear" w:color="auto" w:fill="auto"/>
          </w:tcPr>
          <w:p w14:paraId="5EA1EE10" w14:textId="77777777" w:rsidR="003C66EB" w:rsidRDefault="003C66EB">
            <w:pPr>
              <w:rPr>
                <w:rFonts w:ascii="宋体"/>
                <w:vanish/>
              </w:rPr>
            </w:pPr>
          </w:p>
        </w:tc>
        <w:tc>
          <w:tcPr>
            <w:tcW w:w="0" w:type="auto"/>
            <w:gridSpan w:val="3"/>
            <w:shd w:val="clear" w:color="auto" w:fill="auto"/>
          </w:tcPr>
          <w:p w14:paraId="5EA1EE11" w14:textId="77777777" w:rsidR="003C66EB" w:rsidRDefault="003C66EB">
            <w:pPr>
              <w:rPr>
                <w:rFonts w:ascii="宋体"/>
                <w:vanish/>
              </w:rPr>
            </w:pPr>
          </w:p>
        </w:tc>
        <w:tc>
          <w:tcPr>
            <w:tcW w:w="0" w:type="auto"/>
            <w:gridSpan w:val="3"/>
            <w:shd w:val="clear" w:color="auto" w:fill="auto"/>
          </w:tcPr>
          <w:p w14:paraId="5EA1EE12" w14:textId="77777777" w:rsidR="003C66EB" w:rsidRDefault="003C66EB">
            <w:pPr>
              <w:rPr>
                <w:rFonts w:ascii="宋体"/>
                <w:vanish/>
              </w:rPr>
            </w:pPr>
          </w:p>
        </w:tc>
        <w:tc>
          <w:tcPr>
            <w:tcW w:w="0" w:type="auto"/>
            <w:gridSpan w:val="3"/>
            <w:shd w:val="clear" w:color="auto" w:fill="auto"/>
          </w:tcPr>
          <w:p w14:paraId="5EA1EE13" w14:textId="77777777" w:rsidR="003C66EB" w:rsidRDefault="003C66EB">
            <w:pPr>
              <w:rPr>
                <w:rFonts w:ascii="宋体"/>
                <w:vanish/>
              </w:rPr>
            </w:pPr>
          </w:p>
        </w:tc>
        <w:tc>
          <w:tcPr>
            <w:tcW w:w="0" w:type="auto"/>
            <w:gridSpan w:val="3"/>
            <w:shd w:val="clear" w:color="auto" w:fill="auto"/>
          </w:tcPr>
          <w:p w14:paraId="5EA1EE14" w14:textId="77777777" w:rsidR="003C66EB" w:rsidRDefault="003C66EB">
            <w:pPr>
              <w:rPr>
                <w:rFonts w:ascii="宋体"/>
                <w:vanish/>
              </w:rPr>
            </w:pPr>
          </w:p>
        </w:tc>
        <w:tc>
          <w:tcPr>
            <w:tcW w:w="0" w:type="auto"/>
            <w:shd w:val="clear" w:color="auto" w:fill="auto"/>
          </w:tcPr>
          <w:p w14:paraId="5EA1EE15" w14:textId="77777777" w:rsidR="003C66EB" w:rsidRDefault="003C66EB">
            <w:pPr>
              <w:rPr>
                <w:rFonts w:ascii="宋体"/>
                <w:vanish/>
              </w:rPr>
            </w:pPr>
          </w:p>
        </w:tc>
        <w:tc>
          <w:tcPr>
            <w:tcW w:w="0" w:type="auto"/>
            <w:shd w:val="clear" w:color="auto" w:fill="auto"/>
          </w:tcPr>
          <w:p w14:paraId="5EA1EE16" w14:textId="77777777" w:rsidR="003C66EB" w:rsidRDefault="003C66EB">
            <w:pPr>
              <w:rPr>
                <w:rFonts w:ascii="宋体"/>
                <w:vanish/>
              </w:rPr>
            </w:pPr>
          </w:p>
        </w:tc>
        <w:tc>
          <w:tcPr>
            <w:tcW w:w="0" w:type="auto"/>
            <w:shd w:val="clear" w:color="auto" w:fill="auto"/>
          </w:tcPr>
          <w:p w14:paraId="5EA1EE17" w14:textId="77777777" w:rsidR="003C66EB" w:rsidRDefault="003C66EB">
            <w:pPr>
              <w:rPr>
                <w:rFonts w:ascii="宋体"/>
                <w:vanish/>
              </w:rPr>
            </w:pPr>
          </w:p>
        </w:tc>
        <w:tc>
          <w:tcPr>
            <w:tcW w:w="0" w:type="auto"/>
            <w:gridSpan w:val="3"/>
            <w:shd w:val="clear" w:color="auto" w:fill="auto"/>
          </w:tcPr>
          <w:p w14:paraId="5EA1EE18" w14:textId="77777777" w:rsidR="003C66EB" w:rsidRDefault="003C66EB">
            <w:pPr>
              <w:rPr>
                <w:rFonts w:ascii="宋体"/>
                <w:vanish/>
              </w:rPr>
            </w:pPr>
          </w:p>
        </w:tc>
        <w:tc>
          <w:tcPr>
            <w:tcW w:w="0" w:type="auto"/>
            <w:gridSpan w:val="3"/>
            <w:shd w:val="clear" w:color="auto" w:fill="auto"/>
          </w:tcPr>
          <w:p w14:paraId="5EA1EE19" w14:textId="77777777" w:rsidR="003C66EB" w:rsidRDefault="003C66EB">
            <w:pPr>
              <w:rPr>
                <w:rFonts w:ascii="宋体"/>
                <w:vanish/>
              </w:rPr>
            </w:pPr>
          </w:p>
        </w:tc>
        <w:tc>
          <w:tcPr>
            <w:tcW w:w="0" w:type="auto"/>
            <w:gridSpan w:val="3"/>
            <w:shd w:val="clear" w:color="auto" w:fill="auto"/>
          </w:tcPr>
          <w:p w14:paraId="5EA1EE1A" w14:textId="77777777" w:rsidR="003C66EB" w:rsidRDefault="003C66EB">
            <w:pPr>
              <w:rPr>
                <w:rFonts w:ascii="宋体"/>
                <w:vanish/>
              </w:rPr>
            </w:pPr>
          </w:p>
        </w:tc>
        <w:tc>
          <w:tcPr>
            <w:tcW w:w="0" w:type="auto"/>
            <w:gridSpan w:val="3"/>
            <w:shd w:val="clear" w:color="auto" w:fill="auto"/>
          </w:tcPr>
          <w:p w14:paraId="5EA1EE1B" w14:textId="77777777" w:rsidR="003C66EB" w:rsidRDefault="003C66EB">
            <w:pPr>
              <w:rPr>
                <w:rFonts w:ascii="宋体"/>
                <w:vanish/>
              </w:rPr>
            </w:pPr>
          </w:p>
        </w:tc>
      </w:tr>
      <w:tr w:rsidR="003C66EB" w14:paraId="5EA1EE29" w14:textId="77777777">
        <w:trPr>
          <w:hidden/>
        </w:trPr>
        <w:tc>
          <w:tcPr>
            <w:tcW w:w="0" w:type="auto"/>
            <w:gridSpan w:val="3"/>
            <w:shd w:val="clear" w:color="auto" w:fill="auto"/>
          </w:tcPr>
          <w:p w14:paraId="5EA1EE1D" w14:textId="77777777" w:rsidR="003C66EB" w:rsidRDefault="003C66EB">
            <w:pPr>
              <w:rPr>
                <w:rFonts w:ascii="宋体"/>
                <w:vanish/>
              </w:rPr>
            </w:pPr>
          </w:p>
        </w:tc>
        <w:tc>
          <w:tcPr>
            <w:tcW w:w="0" w:type="auto"/>
            <w:gridSpan w:val="3"/>
            <w:shd w:val="clear" w:color="auto" w:fill="auto"/>
          </w:tcPr>
          <w:p w14:paraId="5EA1EE1E" w14:textId="77777777" w:rsidR="003C66EB" w:rsidRDefault="003C66EB">
            <w:pPr>
              <w:rPr>
                <w:rFonts w:ascii="宋体"/>
                <w:vanish/>
              </w:rPr>
            </w:pPr>
          </w:p>
        </w:tc>
        <w:tc>
          <w:tcPr>
            <w:tcW w:w="0" w:type="auto"/>
            <w:gridSpan w:val="3"/>
            <w:shd w:val="clear" w:color="auto" w:fill="auto"/>
          </w:tcPr>
          <w:p w14:paraId="5EA1EE1F" w14:textId="77777777" w:rsidR="003C66EB" w:rsidRDefault="003C66EB">
            <w:pPr>
              <w:rPr>
                <w:rFonts w:ascii="宋体"/>
                <w:vanish/>
              </w:rPr>
            </w:pPr>
          </w:p>
        </w:tc>
        <w:tc>
          <w:tcPr>
            <w:tcW w:w="0" w:type="auto"/>
            <w:gridSpan w:val="3"/>
            <w:shd w:val="clear" w:color="auto" w:fill="auto"/>
          </w:tcPr>
          <w:p w14:paraId="5EA1EE20" w14:textId="77777777" w:rsidR="003C66EB" w:rsidRDefault="003C66EB">
            <w:pPr>
              <w:rPr>
                <w:rFonts w:ascii="宋体"/>
                <w:vanish/>
              </w:rPr>
            </w:pPr>
          </w:p>
        </w:tc>
        <w:tc>
          <w:tcPr>
            <w:tcW w:w="0" w:type="auto"/>
            <w:gridSpan w:val="3"/>
            <w:shd w:val="clear" w:color="auto" w:fill="auto"/>
          </w:tcPr>
          <w:p w14:paraId="5EA1EE21" w14:textId="77777777" w:rsidR="003C66EB" w:rsidRDefault="003C66EB">
            <w:pPr>
              <w:rPr>
                <w:rFonts w:ascii="宋体"/>
                <w:vanish/>
              </w:rPr>
            </w:pPr>
          </w:p>
        </w:tc>
        <w:tc>
          <w:tcPr>
            <w:tcW w:w="0" w:type="auto"/>
            <w:shd w:val="clear" w:color="auto" w:fill="auto"/>
          </w:tcPr>
          <w:p w14:paraId="5EA1EE22" w14:textId="77777777" w:rsidR="003C66EB" w:rsidRDefault="003C66EB">
            <w:pPr>
              <w:rPr>
                <w:rFonts w:ascii="宋体"/>
                <w:vanish/>
              </w:rPr>
            </w:pPr>
          </w:p>
        </w:tc>
        <w:tc>
          <w:tcPr>
            <w:tcW w:w="0" w:type="auto"/>
            <w:shd w:val="clear" w:color="auto" w:fill="auto"/>
          </w:tcPr>
          <w:p w14:paraId="5EA1EE23" w14:textId="77777777" w:rsidR="003C66EB" w:rsidRDefault="003C66EB">
            <w:pPr>
              <w:rPr>
                <w:rFonts w:ascii="宋体"/>
                <w:vanish/>
              </w:rPr>
            </w:pPr>
          </w:p>
        </w:tc>
        <w:tc>
          <w:tcPr>
            <w:tcW w:w="0" w:type="auto"/>
            <w:shd w:val="clear" w:color="auto" w:fill="auto"/>
          </w:tcPr>
          <w:p w14:paraId="5EA1EE24" w14:textId="77777777" w:rsidR="003C66EB" w:rsidRDefault="003C66EB">
            <w:pPr>
              <w:rPr>
                <w:rFonts w:ascii="宋体"/>
                <w:vanish/>
              </w:rPr>
            </w:pPr>
          </w:p>
        </w:tc>
        <w:tc>
          <w:tcPr>
            <w:tcW w:w="0" w:type="auto"/>
            <w:gridSpan w:val="3"/>
            <w:shd w:val="clear" w:color="auto" w:fill="auto"/>
          </w:tcPr>
          <w:p w14:paraId="5EA1EE25" w14:textId="77777777" w:rsidR="003C66EB" w:rsidRDefault="003C66EB">
            <w:pPr>
              <w:rPr>
                <w:rFonts w:ascii="宋体"/>
                <w:vanish/>
              </w:rPr>
            </w:pPr>
          </w:p>
        </w:tc>
        <w:tc>
          <w:tcPr>
            <w:tcW w:w="0" w:type="auto"/>
            <w:gridSpan w:val="3"/>
            <w:shd w:val="clear" w:color="auto" w:fill="auto"/>
          </w:tcPr>
          <w:p w14:paraId="5EA1EE26" w14:textId="77777777" w:rsidR="003C66EB" w:rsidRDefault="003C66EB">
            <w:pPr>
              <w:rPr>
                <w:rFonts w:ascii="宋体"/>
                <w:vanish/>
              </w:rPr>
            </w:pPr>
          </w:p>
        </w:tc>
        <w:tc>
          <w:tcPr>
            <w:tcW w:w="0" w:type="auto"/>
            <w:gridSpan w:val="3"/>
            <w:shd w:val="clear" w:color="auto" w:fill="auto"/>
          </w:tcPr>
          <w:p w14:paraId="5EA1EE27" w14:textId="77777777" w:rsidR="003C66EB" w:rsidRDefault="003C66EB">
            <w:pPr>
              <w:rPr>
                <w:rFonts w:ascii="宋体"/>
                <w:vanish/>
              </w:rPr>
            </w:pPr>
          </w:p>
        </w:tc>
        <w:tc>
          <w:tcPr>
            <w:tcW w:w="0" w:type="auto"/>
            <w:gridSpan w:val="3"/>
            <w:shd w:val="clear" w:color="auto" w:fill="auto"/>
          </w:tcPr>
          <w:p w14:paraId="5EA1EE28" w14:textId="77777777" w:rsidR="003C66EB" w:rsidRDefault="003C66EB">
            <w:pPr>
              <w:rPr>
                <w:rFonts w:ascii="宋体"/>
                <w:vanish/>
              </w:rPr>
            </w:pPr>
          </w:p>
        </w:tc>
      </w:tr>
    </w:tbl>
    <w:p w14:paraId="5EA1EE2A" w14:textId="77777777" w:rsidR="003C66EB" w:rsidRDefault="00D96C4E">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16</w:t>
      </w:r>
    </w:p>
    <w:p w14:paraId="5EA1EE2B" w14:textId="77777777" w:rsidR="003C66EB" w:rsidRDefault="003C66EB">
      <w:pPr>
        <w:ind w:firstLine="450"/>
        <w:jc w:val="center"/>
      </w:pPr>
    </w:p>
    <w:p w14:paraId="5EA1EE2C" w14:textId="77777777" w:rsidR="003C66EB" w:rsidRDefault="00D96C4E">
      <w:r>
        <w:pict w14:anchorId="5EA287C0">
          <v:rect id="_x0000_i1040" style="width:415.3pt;height:1.5pt" o:hralign="center" o:hrstd="t" o:hr="t" fillcolor="#a0a0a0" stroked="f"/>
        </w:pict>
      </w:r>
    </w:p>
    <w:p w14:paraId="5EA1EE2D"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EE2E" w14:textId="77777777" w:rsidR="003C66EB" w:rsidRDefault="00D96C4E">
      <w:pPr>
        <w:ind w:firstLine="450"/>
        <w:jc w:val="center"/>
      </w:pPr>
      <w:r>
        <w:rPr>
          <w:rFonts w:ascii="Arial" w:eastAsia="宋体" w:hAnsi="Arial" w:cs="Arial"/>
          <w:b/>
          <w:bCs/>
          <w:color w:val="000000"/>
          <w:sz w:val="20"/>
          <w:szCs w:val="20"/>
        </w:rPr>
        <w:t>AND RESULTS OF OPERATIONS</w:t>
      </w:r>
    </w:p>
    <w:p w14:paraId="5EA1EE2F" w14:textId="77777777" w:rsidR="003C66EB" w:rsidRDefault="00D96C4E">
      <w:pPr>
        <w:spacing w:before="90"/>
        <w:textAlignment w:val="top"/>
      </w:pPr>
      <w:r>
        <w:rPr>
          <w:rFonts w:ascii="Arial" w:eastAsia="宋体" w:hAnsi="Arial" w:cs="Arial"/>
          <w:b/>
          <w:bCs/>
          <w:color w:val="000000"/>
          <w:sz w:val="20"/>
          <w:szCs w:val="20"/>
        </w:rPr>
        <w:t>Income Tax Expense</w:t>
      </w:r>
    </w:p>
    <w:p w14:paraId="5EA1EE30" w14:textId="77777777" w:rsidR="003C66EB" w:rsidRDefault="00D96C4E">
      <w:pPr>
        <w:spacing w:before="60"/>
        <w:ind w:firstLine="450"/>
        <w:jc w:val="both"/>
        <w:textAlignment w:val="top"/>
      </w:pPr>
      <w:r>
        <w:rPr>
          <w:rFonts w:ascii="Arial" w:eastAsia="宋体" w:hAnsi="Arial" w:cs="Arial"/>
          <w:color w:val="000000"/>
          <w:sz w:val="20"/>
          <w:szCs w:val="20"/>
        </w:rPr>
        <w:t>Income tax expense was $108 million in the first quarter of 2021 compared to $140 million in the same period in 2020. Our effective tax rate was 17.2% in the first quarter of 2021, compared to 18.1% in the same period in 2020. The effective tax rate for 20</w:t>
      </w:r>
      <w:r>
        <w:rPr>
          <w:rFonts w:ascii="Arial" w:eastAsia="宋体" w:hAnsi="Arial" w:cs="Arial"/>
          <w:color w:val="000000"/>
          <w:sz w:val="20"/>
          <w:szCs w:val="20"/>
        </w:rPr>
        <w:t xml:space="preserve">21 includes an increase of foreign tax credits. </w:t>
      </w:r>
    </w:p>
    <w:p w14:paraId="5EA1EE31" w14:textId="77777777" w:rsidR="003C66EB" w:rsidRDefault="00D96C4E">
      <w:pPr>
        <w:spacing w:before="90"/>
        <w:jc w:val="both"/>
        <w:textAlignment w:val="top"/>
      </w:pPr>
      <w:r>
        <w:rPr>
          <w:rFonts w:ascii="Arial" w:eastAsia="宋体" w:hAnsi="Arial" w:cs="Arial"/>
          <w:b/>
          <w:bCs/>
          <w:color w:val="000000"/>
          <w:sz w:val="20"/>
          <w:szCs w:val="20"/>
        </w:rPr>
        <w:t>LINE OF BUSINESS INFORMATION</w:t>
      </w:r>
    </w:p>
    <w:p w14:paraId="5EA1EE32" w14:textId="77777777" w:rsidR="003C66EB" w:rsidRDefault="00D96C4E">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w:t>
      </w:r>
      <w:r>
        <w:rPr>
          <w:rFonts w:ascii="Arial" w:eastAsia="宋体" w:hAnsi="Arial" w:cs="Arial"/>
          <w:color w:val="000000"/>
          <w:sz w:val="20"/>
          <w:szCs w:val="20"/>
        </w:rPr>
        <w:t xml:space="preserve"> operations for these lines of business are not necessarily comparable with those of other companies, including companies in the financial services industry.</w:t>
      </w:r>
    </w:p>
    <w:p w14:paraId="5EA1EE33" w14:textId="77777777" w:rsidR="003C66EB" w:rsidRDefault="00D96C4E">
      <w:pPr>
        <w:spacing w:before="20"/>
        <w:ind w:firstLine="450"/>
        <w:jc w:val="both"/>
        <w:textAlignment w:val="top"/>
      </w:pPr>
      <w:r>
        <w:rPr>
          <w:rFonts w:ascii="Arial" w:eastAsia="宋体" w:hAnsi="Arial" w:cs="Arial"/>
          <w:i/>
          <w:iCs/>
          <w:color w:val="000000"/>
          <w:sz w:val="20"/>
          <w:szCs w:val="20"/>
        </w:rPr>
        <w:t xml:space="preserve">Investment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State Street Institutional Services, State Street Global Markets, St</w:t>
      </w:r>
      <w:r>
        <w:rPr>
          <w:rFonts w:ascii="Arial" w:eastAsia="宋体" w:hAnsi="Arial" w:cs="Arial"/>
          <w:color w:val="000000"/>
          <w:sz w:val="20"/>
          <w:szCs w:val="20"/>
        </w:rPr>
        <w:t>ate Street Global Exchange and CRD, provides services for institutional clients, including mutual funds, collective investment funds and other investment pools, corporate and public retirement plans, insurance companies, investment managers, foundations an</w:t>
      </w:r>
      <w:r>
        <w:rPr>
          <w:rFonts w:ascii="Arial" w:eastAsia="宋体" w:hAnsi="Arial" w:cs="Arial"/>
          <w:color w:val="000000"/>
          <w:sz w:val="20"/>
          <w:szCs w:val="20"/>
        </w:rPr>
        <w:t>d endowments worldwide. Products include: custody; product accounting; daily pricing and administration; master trust and master custody; depotbank services (a fund oversight role created by non-U.S. regulation); record-keeping; cash management; foreign ex</w:t>
      </w:r>
      <w:r>
        <w:rPr>
          <w:rFonts w:ascii="Arial" w:eastAsia="宋体" w:hAnsi="Arial" w:cs="Arial"/>
          <w:color w:val="000000"/>
          <w:sz w:val="20"/>
          <w:szCs w:val="20"/>
        </w:rPr>
        <w:t>change, brokerage and other trading services; securities finance and enhanced custody products; deposit and short-term investment facilities; loans and lease financing; investment manager and alternative investment manager operations outsourcing; performan</w:t>
      </w:r>
      <w:r>
        <w:rPr>
          <w:rFonts w:ascii="Arial" w:eastAsia="宋体" w:hAnsi="Arial" w:cs="Arial"/>
          <w:color w:val="000000"/>
          <w:sz w:val="20"/>
          <w:szCs w:val="20"/>
        </w:rPr>
        <w:t>ce, risk and compliance analytics; and financial data management to support institutional investors.</w:t>
      </w:r>
    </w:p>
    <w:p w14:paraId="5EA1EE34" w14:textId="77777777" w:rsidR="003C66EB" w:rsidRDefault="00D96C4E">
      <w:pPr>
        <w:spacing w:before="20"/>
        <w:ind w:firstLine="450"/>
        <w:jc w:val="both"/>
        <w:textAlignment w:val="top"/>
      </w:pPr>
      <w:r>
        <w:rPr>
          <w:rFonts w:ascii="Arial" w:eastAsia="宋体" w:hAnsi="Arial" w:cs="Arial"/>
          <w:color w:val="000000"/>
          <w:sz w:val="20"/>
          <w:szCs w:val="20"/>
        </w:rPr>
        <w:t xml:space="preserve">Included within our Investment Servicing line of business is CRD, which we acquired in October 2018. The Charles River Investment Management solution is a </w:t>
      </w:r>
      <w:r>
        <w:rPr>
          <w:rFonts w:ascii="Arial" w:eastAsia="宋体" w:hAnsi="Arial" w:cs="Arial"/>
          <w:color w:val="000000"/>
          <w:sz w:val="20"/>
          <w:szCs w:val="20"/>
        </w:rPr>
        <w:t>technology offering which is designed to automate and simplify the institutional investment process across asset classes, from portfolio management and risk analytics through trading and post-trade settlement, with integrated compliance and managed data th</w:t>
      </w:r>
      <w:r>
        <w:rPr>
          <w:rFonts w:ascii="Arial" w:eastAsia="宋体" w:hAnsi="Arial" w:cs="Arial"/>
          <w:color w:val="000000"/>
          <w:sz w:val="20"/>
          <w:szCs w:val="20"/>
        </w:rPr>
        <w:t>roughout. With the acquisition of CRD, we took the first step in building our front-to-back platform, State Street Alpha. Today our State Street Alpha platform combines portfolio management, trading and execution, advanced data aggregation, analytics and c</w:t>
      </w:r>
      <w:r>
        <w:rPr>
          <w:rFonts w:ascii="Arial" w:eastAsia="宋体" w:hAnsi="Arial" w:cs="Arial"/>
          <w:color w:val="000000"/>
          <w:sz w:val="20"/>
          <w:szCs w:val="20"/>
        </w:rPr>
        <w:t xml:space="preserve">ompliance tools, and integration with other industry platforms and providers. </w:t>
      </w:r>
    </w:p>
    <w:p w14:paraId="5EA1EE35" w14:textId="77777777" w:rsidR="003C66EB" w:rsidRDefault="00D96C4E">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through State Street Global Advisors, provides a broad range of investment management strategies and products for our clients. Our investment management s</w:t>
      </w:r>
      <w:r>
        <w:rPr>
          <w:rFonts w:ascii="Arial" w:eastAsia="宋体" w:hAnsi="Arial" w:cs="Arial"/>
          <w:color w:val="000000"/>
          <w:sz w:val="20"/>
          <w:szCs w:val="20"/>
        </w:rPr>
        <w:t xml:space="preserve">trategies and products span the risk/reward spectrum for equity, fixed income and cash assets, including core </w:t>
      </w:r>
    </w:p>
    <w:p w14:paraId="5EA1EE36" w14:textId="77777777" w:rsidR="003C66EB" w:rsidRDefault="00D96C4E">
      <w:pPr>
        <w:spacing w:before="60"/>
        <w:jc w:val="both"/>
        <w:textAlignment w:val="top"/>
      </w:pPr>
      <w:r>
        <w:rPr>
          <w:rFonts w:ascii="Arial" w:eastAsia="宋体" w:hAnsi="Arial" w:cs="Arial"/>
          <w:color w:val="000000"/>
          <w:sz w:val="20"/>
          <w:szCs w:val="20"/>
        </w:rPr>
        <w:t>and enhanced indexing, multi-asset strategies, active quantitative and fundamental active capabilities and alternative investment strategies. Our</w:t>
      </w:r>
      <w:r>
        <w:rPr>
          <w:rFonts w:ascii="Arial" w:eastAsia="宋体" w:hAnsi="Arial" w:cs="Arial"/>
          <w:color w:val="000000"/>
          <w:sz w:val="20"/>
          <w:szCs w:val="20"/>
        </w:rPr>
        <w:t xml:space="preserve"> AUM is currently primarily weighted to indexed strategies. In addition, we provide a breadth of services and solutions, including environmental, social and governance investing, defined benefit and defined contribution and Global Fiduciary Solutions (form</w:t>
      </w:r>
      <w:r>
        <w:rPr>
          <w:rFonts w:ascii="Arial" w:eastAsia="宋体" w:hAnsi="Arial" w:cs="Arial"/>
          <w:color w:val="000000"/>
          <w:sz w:val="20"/>
          <w:szCs w:val="20"/>
        </w:rPr>
        <w:t>erly Outsourced Chief Investment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management fees are primarily determined by the values of AUM and the investment strategies employed, management fees r</w:t>
      </w:r>
      <w:r>
        <w:rPr>
          <w:rFonts w:ascii="Arial" w:eastAsia="宋体" w:hAnsi="Arial" w:cs="Arial"/>
          <w:color w:val="000000"/>
          <w:sz w:val="20"/>
          <w:szCs w:val="20"/>
        </w:rPr>
        <w:t>eflect other factors as well, including the benchmarks specified in the respective management agreements related to performance fees.</w:t>
      </w:r>
    </w:p>
    <w:p w14:paraId="5EA1EE37" w14:textId="77777777" w:rsidR="003C66EB" w:rsidRDefault="00D96C4E">
      <w:pPr>
        <w:spacing w:before="60"/>
        <w:ind w:firstLine="450"/>
        <w:jc w:val="both"/>
        <w:textAlignment w:val="top"/>
      </w:pPr>
      <w:r>
        <w:rPr>
          <w:rFonts w:ascii="Arial" w:eastAsia="宋体" w:hAnsi="Arial" w:cs="Arial"/>
          <w:color w:val="000000"/>
          <w:sz w:val="20"/>
          <w:szCs w:val="20"/>
        </w:rPr>
        <w:t>For information about our two lines of business, as well as the revenues, expenses and capital allocation methodologies as</w:t>
      </w:r>
      <w:r>
        <w:rPr>
          <w:rFonts w:ascii="Arial" w:eastAsia="宋体" w:hAnsi="Arial" w:cs="Arial"/>
          <w:color w:val="000000"/>
          <w:sz w:val="20"/>
          <w:szCs w:val="20"/>
        </w:rPr>
        <w:t>sociated with them, refer to Note 17 to the consolidated financial statements in this Form 10-Q.</w:t>
      </w:r>
    </w:p>
    <w:p w14:paraId="5EA1EE38" w14:textId="77777777" w:rsidR="003C66EB" w:rsidRDefault="00D96C4E">
      <w:pPr>
        <w:spacing w:before="90"/>
        <w:textAlignment w:val="top"/>
      </w:pPr>
      <w:r>
        <w:rPr>
          <w:rFonts w:ascii="Arial" w:eastAsia="宋体" w:hAnsi="Arial" w:cs="Arial"/>
          <w:b/>
          <w:bCs/>
          <w:color w:val="000000"/>
          <w:sz w:val="20"/>
          <w:szCs w:val="20"/>
        </w:rPr>
        <w:t>Investment Servicing</w:t>
      </w:r>
    </w:p>
    <w:tbl>
      <w:tblPr>
        <w:tblW w:w="4984" w:type="pct"/>
        <w:tblCellMar>
          <w:top w:w="15" w:type="dxa"/>
          <w:left w:w="15" w:type="dxa"/>
          <w:bottom w:w="15" w:type="dxa"/>
          <w:right w:w="15" w:type="dxa"/>
        </w:tblCellMar>
        <w:tblLook w:val="04A0" w:firstRow="1" w:lastRow="0" w:firstColumn="1" w:lastColumn="0" w:noHBand="0" w:noVBand="1"/>
      </w:tblPr>
      <w:tblGrid>
        <w:gridCol w:w="37"/>
        <w:gridCol w:w="1667"/>
        <w:gridCol w:w="37"/>
        <w:gridCol w:w="150"/>
        <w:gridCol w:w="150"/>
        <w:gridCol w:w="150"/>
        <w:gridCol w:w="150"/>
        <w:gridCol w:w="150"/>
        <w:gridCol w:w="36"/>
        <w:gridCol w:w="98"/>
        <w:gridCol w:w="1256"/>
        <w:gridCol w:w="145"/>
        <w:gridCol w:w="36"/>
        <w:gridCol w:w="36"/>
        <w:gridCol w:w="36"/>
        <w:gridCol w:w="98"/>
        <w:gridCol w:w="1225"/>
        <w:gridCol w:w="145"/>
        <w:gridCol w:w="36"/>
        <w:gridCol w:w="36"/>
        <w:gridCol w:w="36"/>
        <w:gridCol w:w="554"/>
        <w:gridCol w:w="36"/>
        <w:gridCol w:w="38"/>
        <w:gridCol w:w="1070"/>
        <w:gridCol w:w="14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EE5B" w14:textId="77777777">
        <w:tc>
          <w:tcPr>
            <w:tcW w:w="50" w:type="pct"/>
            <w:shd w:val="clear" w:color="auto" w:fill="auto"/>
          </w:tcPr>
          <w:p w14:paraId="5EA1EE39" w14:textId="77777777" w:rsidR="003C66EB" w:rsidRDefault="003C66EB">
            <w:pPr>
              <w:rPr>
                <w:rFonts w:ascii="宋体"/>
              </w:rPr>
            </w:pPr>
          </w:p>
        </w:tc>
        <w:tc>
          <w:tcPr>
            <w:tcW w:w="1459" w:type="pct"/>
            <w:shd w:val="clear" w:color="auto" w:fill="auto"/>
          </w:tcPr>
          <w:p w14:paraId="5EA1EE3A" w14:textId="77777777" w:rsidR="003C66EB" w:rsidRDefault="003C66EB">
            <w:pPr>
              <w:rPr>
                <w:rFonts w:ascii="宋体"/>
              </w:rPr>
            </w:pPr>
          </w:p>
        </w:tc>
        <w:tc>
          <w:tcPr>
            <w:tcW w:w="5" w:type="pct"/>
            <w:shd w:val="clear" w:color="auto" w:fill="auto"/>
          </w:tcPr>
          <w:p w14:paraId="5EA1EE3B" w14:textId="77777777" w:rsidR="003C66EB" w:rsidRDefault="003C66EB">
            <w:pPr>
              <w:rPr>
                <w:rFonts w:ascii="宋体"/>
              </w:rPr>
            </w:pPr>
          </w:p>
        </w:tc>
        <w:tc>
          <w:tcPr>
            <w:tcW w:w="0" w:type="auto"/>
            <w:shd w:val="clear" w:color="auto" w:fill="auto"/>
          </w:tcPr>
          <w:p w14:paraId="5EA1EE3C" w14:textId="77777777" w:rsidR="003C66EB" w:rsidRDefault="003C66EB">
            <w:pPr>
              <w:rPr>
                <w:rFonts w:ascii="宋体"/>
                <w:vanish/>
              </w:rPr>
            </w:pPr>
          </w:p>
        </w:tc>
        <w:tc>
          <w:tcPr>
            <w:tcW w:w="0" w:type="auto"/>
            <w:shd w:val="clear" w:color="auto" w:fill="auto"/>
          </w:tcPr>
          <w:p w14:paraId="5EA1EE3D" w14:textId="77777777" w:rsidR="003C66EB" w:rsidRDefault="003C66EB">
            <w:pPr>
              <w:rPr>
                <w:rFonts w:ascii="宋体"/>
                <w:vanish/>
              </w:rPr>
            </w:pPr>
          </w:p>
        </w:tc>
        <w:tc>
          <w:tcPr>
            <w:tcW w:w="0" w:type="auto"/>
            <w:shd w:val="clear" w:color="auto" w:fill="auto"/>
          </w:tcPr>
          <w:p w14:paraId="5EA1EE3E" w14:textId="77777777" w:rsidR="003C66EB" w:rsidRDefault="003C66EB">
            <w:pPr>
              <w:rPr>
                <w:rFonts w:ascii="宋体"/>
                <w:vanish/>
              </w:rPr>
            </w:pPr>
          </w:p>
        </w:tc>
        <w:tc>
          <w:tcPr>
            <w:tcW w:w="0" w:type="auto"/>
            <w:shd w:val="clear" w:color="auto" w:fill="auto"/>
          </w:tcPr>
          <w:p w14:paraId="5EA1EE3F" w14:textId="77777777" w:rsidR="003C66EB" w:rsidRDefault="003C66EB">
            <w:pPr>
              <w:rPr>
                <w:rFonts w:ascii="宋体"/>
                <w:vanish/>
              </w:rPr>
            </w:pPr>
          </w:p>
        </w:tc>
        <w:tc>
          <w:tcPr>
            <w:tcW w:w="0" w:type="auto"/>
            <w:shd w:val="clear" w:color="auto" w:fill="auto"/>
          </w:tcPr>
          <w:p w14:paraId="5EA1EE40" w14:textId="77777777" w:rsidR="003C66EB" w:rsidRDefault="003C66EB">
            <w:pPr>
              <w:rPr>
                <w:rFonts w:ascii="宋体"/>
                <w:vanish/>
              </w:rPr>
            </w:pPr>
          </w:p>
        </w:tc>
        <w:tc>
          <w:tcPr>
            <w:tcW w:w="0" w:type="auto"/>
            <w:shd w:val="clear" w:color="auto" w:fill="auto"/>
          </w:tcPr>
          <w:p w14:paraId="5EA1EE41" w14:textId="77777777" w:rsidR="003C66EB" w:rsidRDefault="003C66EB">
            <w:pPr>
              <w:rPr>
                <w:rFonts w:ascii="宋体"/>
                <w:vanish/>
              </w:rPr>
            </w:pPr>
          </w:p>
        </w:tc>
        <w:tc>
          <w:tcPr>
            <w:tcW w:w="50" w:type="pct"/>
            <w:shd w:val="clear" w:color="auto" w:fill="auto"/>
          </w:tcPr>
          <w:p w14:paraId="5EA1EE42" w14:textId="77777777" w:rsidR="003C66EB" w:rsidRDefault="003C66EB">
            <w:pPr>
              <w:rPr>
                <w:rFonts w:ascii="宋体"/>
              </w:rPr>
            </w:pPr>
          </w:p>
        </w:tc>
        <w:tc>
          <w:tcPr>
            <w:tcW w:w="1080" w:type="pct"/>
            <w:shd w:val="clear" w:color="auto" w:fill="auto"/>
          </w:tcPr>
          <w:p w14:paraId="5EA1EE43" w14:textId="77777777" w:rsidR="003C66EB" w:rsidRDefault="003C66EB">
            <w:pPr>
              <w:rPr>
                <w:rFonts w:ascii="宋体"/>
              </w:rPr>
            </w:pPr>
          </w:p>
        </w:tc>
        <w:tc>
          <w:tcPr>
            <w:tcW w:w="5" w:type="pct"/>
            <w:shd w:val="clear" w:color="auto" w:fill="auto"/>
          </w:tcPr>
          <w:p w14:paraId="5EA1EE44" w14:textId="77777777" w:rsidR="003C66EB" w:rsidRDefault="003C66EB">
            <w:pPr>
              <w:rPr>
                <w:rFonts w:ascii="宋体"/>
              </w:rPr>
            </w:pPr>
          </w:p>
        </w:tc>
        <w:tc>
          <w:tcPr>
            <w:tcW w:w="5" w:type="pct"/>
            <w:shd w:val="clear" w:color="auto" w:fill="auto"/>
          </w:tcPr>
          <w:p w14:paraId="5EA1EE45" w14:textId="77777777" w:rsidR="003C66EB" w:rsidRDefault="003C66EB">
            <w:pPr>
              <w:rPr>
                <w:rFonts w:ascii="宋体"/>
              </w:rPr>
            </w:pPr>
          </w:p>
        </w:tc>
        <w:tc>
          <w:tcPr>
            <w:tcW w:w="68" w:type="pct"/>
            <w:shd w:val="clear" w:color="auto" w:fill="auto"/>
          </w:tcPr>
          <w:p w14:paraId="5EA1EE46" w14:textId="77777777" w:rsidR="003C66EB" w:rsidRDefault="003C66EB">
            <w:pPr>
              <w:rPr>
                <w:rFonts w:ascii="宋体"/>
              </w:rPr>
            </w:pPr>
          </w:p>
        </w:tc>
        <w:tc>
          <w:tcPr>
            <w:tcW w:w="5" w:type="pct"/>
            <w:shd w:val="clear" w:color="auto" w:fill="auto"/>
          </w:tcPr>
          <w:p w14:paraId="5EA1EE47" w14:textId="77777777" w:rsidR="003C66EB" w:rsidRDefault="003C66EB">
            <w:pPr>
              <w:rPr>
                <w:rFonts w:ascii="宋体"/>
              </w:rPr>
            </w:pPr>
          </w:p>
        </w:tc>
        <w:tc>
          <w:tcPr>
            <w:tcW w:w="50" w:type="pct"/>
            <w:shd w:val="clear" w:color="auto" w:fill="auto"/>
          </w:tcPr>
          <w:p w14:paraId="5EA1EE48" w14:textId="77777777" w:rsidR="003C66EB" w:rsidRDefault="003C66EB">
            <w:pPr>
              <w:rPr>
                <w:rFonts w:ascii="宋体"/>
              </w:rPr>
            </w:pPr>
          </w:p>
        </w:tc>
        <w:tc>
          <w:tcPr>
            <w:tcW w:w="1080" w:type="pct"/>
            <w:shd w:val="clear" w:color="auto" w:fill="auto"/>
          </w:tcPr>
          <w:p w14:paraId="5EA1EE49" w14:textId="77777777" w:rsidR="003C66EB" w:rsidRDefault="003C66EB">
            <w:pPr>
              <w:rPr>
                <w:rFonts w:ascii="宋体"/>
              </w:rPr>
            </w:pPr>
          </w:p>
        </w:tc>
        <w:tc>
          <w:tcPr>
            <w:tcW w:w="5" w:type="pct"/>
            <w:shd w:val="clear" w:color="auto" w:fill="auto"/>
          </w:tcPr>
          <w:p w14:paraId="5EA1EE4A" w14:textId="77777777" w:rsidR="003C66EB" w:rsidRDefault="003C66EB">
            <w:pPr>
              <w:rPr>
                <w:rFonts w:ascii="宋体"/>
              </w:rPr>
            </w:pPr>
          </w:p>
        </w:tc>
        <w:tc>
          <w:tcPr>
            <w:tcW w:w="5" w:type="pct"/>
            <w:shd w:val="clear" w:color="auto" w:fill="auto"/>
          </w:tcPr>
          <w:p w14:paraId="5EA1EE4B" w14:textId="77777777" w:rsidR="003C66EB" w:rsidRDefault="003C66EB">
            <w:pPr>
              <w:rPr>
                <w:rFonts w:ascii="宋体"/>
              </w:rPr>
            </w:pPr>
          </w:p>
        </w:tc>
        <w:tc>
          <w:tcPr>
            <w:tcW w:w="68" w:type="pct"/>
            <w:shd w:val="clear" w:color="auto" w:fill="auto"/>
          </w:tcPr>
          <w:p w14:paraId="5EA1EE4C" w14:textId="77777777" w:rsidR="003C66EB" w:rsidRDefault="003C66EB">
            <w:pPr>
              <w:rPr>
                <w:rFonts w:ascii="宋体"/>
              </w:rPr>
            </w:pPr>
          </w:p>
        </w:tc>
        <w:tc>
          <w:tcPr>
            <w:tcW w:w="5" w:type="pct"/>
            <w:shd w:val="clear" w:color="auto" w:fill="auto"/>
          </w:tcPr>
          <w:p w14:paraId="5EA1EE4D" w14:textId="77777777" w:rsidR="003C66EB" w:rsidRDefault="003C66EB">
            <w:pPr>
              <w:rPr>
                <w:rFonts w:ascii="宋体"/>
              </w:rPr>
            </w:pPr>
          </w:p>
        </w:tc>
        <w:tc>
          <w:tcPr>
            <w:tcW w:w="0" w:type="auto"/>
            <w:shd w:val="clear" w:color="auto" w:fill="auto"/>
          </w:tcPr>
          <w:p w14:paraId="5EA1EE4E" w14:textId="77777777" w:rsidR="003C66EB" w:rsidRDefault="003C66EB">
            <w:pPr>
              <w:rPr>
                <w:rFonts w:ascii="宋体"/>
                <w:vanish/>
              </w:rPr>
            </w:pPr>
          </w:p>
        </w:tc>
        <w:tc>
          <w:tcPr>
            <w:tcW w:w="0" w:type="auto"/>
            <w:shd w:val="clear" w:color="auto" w:fill="auto"/>
          </w:tcPr>
          <w:p w14:paraId="5EA1EE4F" w14:textId="77777777" w:rsidR="003C66EB" w:rsidRDefault="003C66EB">
            <w:pPr>
              <w:rPr>
                <w:rFonts w:ascii="宋体"/>
                <w:vanish/>
              </w:rPr>
            </w:pPr>
          </w:p>
        </w:tc>
        <w:tc>
          <w:tcPr>
            <w:tcW w:w="50" w:type="pct"/>
            <w:shd w:val="clear" w:color="auto" w:fill="auto"/>
          </w:tcPr>
          <w:p w14:paraId="5EA1EE50" w14:textId="77777777" w:rsidR="003C66EB" w:rsidRDefault="003C66EB">
            <w:pPr>
              <w:rPr>
                <w:rFonts w:ascii="宋体"/>
              </w:rPr>
            </w:pPr>
          </w:p>
        </w:tc>
        <w:tc>
          <w:tcPr>
            <w:tcW w:w="1001" w:type="pct"/>
            <w:shd w:val="clear" w:color="auto" w:fill="auto"/>
          </w:tcPr>
          <w:p w14:paraId="5EA1EE51" w14:textId="77777777" w:rsidR="003C66EB" w:rsidRDefault="003C66EB">
            <w:pPr>
              <w:rPr>
                <w:rFonts w:ascii="宋体"/>
              </w:rPr>
            </w:pPr>
          </w:p>
        </w:tc>
        <w:tc>
          <w:tcPr>
            <w:tcW w:w="5" w:type="pct"/>
            <w:shd w:val="clear" w:color="auto" w:fill="auto"/>
          </w:tcPr>
          <w:p w14:paraId="5EA1EE52" w14:textId="77777777" w:rsidR="003C66EB" w:rsidRDefault="003C66EB">
            <w:pPr>
              <w:rPr>
                <w:rFonts w:ascii="宋体"/>
              </w:rPr>
            </w:pPr>
          </w:p>
        </w:tc>
        <w:tc>
          <w:tcPr>
            <w:tcW w:w="0" w:type="auto"/>
            <w:gridSpan w:val="3"/>
            <w:shd w:val="clear" w:color="auto" w:fill="auto"/>
          </w:tcPr>
          <w:p w14:paraId="5EA1EE53" w14:textId="77777777" w:rsidR="003C66EB" w:rsidRDefault="003C66EB">
            <w:pPr>
              <w:rPr>
                <w:rFonts w:ascii="宋体"/>
                <w:vanish/>
              </w:rPr>
            </w:pPr>
          </w:p>
        </w:tc>
        <w:tc>
          <w:tcPr>
            <w:tcW w:w="0" w:type="auto"/>
            <w:gridSpan w:val="3"/>
            <w:shd w:val="clear" w:color="auto" w:fill="auto"/>
          </w:tcPr>
          <w:p w14:paraId="5EA1EE54" w14:textId="77777777" w:rsidR="003C66EB" w:rsidRDefault="003C66EB">
            <w:pPr>
              <w:rPr>
                <w:rFonts w:ascii="宋体"/>
                <w:vanish/>
              </w:rPr>
            </w:pPr>
          </w:p>
        </w:tc>
        <w:tc>
          <w:tcPr>
            <w:tcW w:w="0" w:type="auto"/>
            <w:gridSpan w:val="3"/>
            <w:shd w:val="clear" w:color="auto" w:fill="auto"/>
          </w:tcPr>
          <w:p w14:paraId="5EA1EE55" w14:textId="77777777" w:rsidR="003C66EB" w:rsidRDefault="003C66EB">
            <w:pPr>
              <w:rPr>
                <w:rFonts w:ascii="宋体"/>
                <w:vanish/>
              </w:rPr>
            </w:pPr>
          </w:p>
        </w:tc>
        <w:tc>
          <w:tcPr>
            <w:tcW w:w="0" w:type="auto"/>
            <w:gridSpan w:val="3"/>
            <w:shd w:val="clear" w:color="auto" w:fill="auto"/>
          </w:tcPr>
          <w:p w14:paraId="5EA1EE56" w14:textId="77777777" w:rsidR="003C66EB" w:rsidRDefault="003C66EB">
            <w:pPr>
              <w:rPr>
                <w:rFonts w:ascii="宋体"/>
                <w:vanish/>
              </w:rPr>
            </w:pPr>
          </w:p>
        </w:tc>
        <w:tc>
          <w:tcPr>
            <w:tcW w:w="0" w:type="auto"/>
            <w:gridSpan w:val="3"/>
            <w:shd w:val="clear" w:color="auto" w:fill="auto"/>
          </w:tcPr>
          <w:p w14:paraId="5EA1EE57" w14:textId="77777777" w:rsidR="003C66EB" w:rsidRDefault="003C66EB">
            <w:pPr>
              <w:rPr>
                <w:rFonts w:ascii="宋体"/>
                <w:vanish/>
              </w:rPr>
            </w:pPr>
          </w:p>
        </w:tc>
        <w:tc>
          <w:tcPr>
            <w:tcW w:w="0" w:type="auto"/>
            <w:gridSpan w:val="3"/>
            <w:shd w:val="clear" w:color="auto" w:fill="auto"/>
          </w:tcPr>
          <w:p w14:paraId="5EA1EE58" w14:textId="77777777" w:rsidR="003C66EB" w:rsidRDefault="003C66EB">
            <w:pPr>
              <w:rPr>
                <w:rFonts w:ascii="宋体"/>
                <w:vanish/>
              </w:rPr>
            </w:pPr>
          </w:p>
        </w:tc>
        <w:tc>
          <w:tcPr>
            <w:tcW w:w="0" w:type="auto"/>
            <w:gridSpan w:val="2"/>
            <w:shd w:val="clear" w:color="auto" w:fill="auto"/>
          </w:tcPr>
          <w:p w14:paraId="5EA1EE59" w14:textId="77777777" w:rsidR="003C66EB" w:rsidRDefault="003C66EB">
            <w:pPr>
              <w:rPr>
                <w:rFonts w:ascii="宋体"/>
                <w:vanish/>
              </w:rPr>
            </w:pPr>
          </w:p>
        </w:tc>
        <w:tc>
          <w:tcPr>
            <w:tcW w:w="0" w:type="auto"/>
            <w:shd w:val="clear" w:color="auto" w:fill="auto"/>
          </w:tcPr>
          <w:p w14:paraId="5EA1EE5A" w14:textId="77777777" w:rsidR="003C66EB" w:rsidRDefault="003C66EB">
            <w:pPr>
              <w:rPr>
                <w:rFonts w:ascii="宋体"/>
                <w:vanish/>
              </w:rPr>
            </w:pPr>
          </w:p>
        </w:tc>
      </w:tr>
      <w:tr w:rsidR="003C66EB" w14:paraId="5EA1EE7A" w14:textId="77777777">
        <w:tc>
          <w:tcPr>
            <w:tcW w:w="0" w:type="auto"/>
            <w:gridSpan w:val="8"/>
            <w:shd w:val="clear" w:color="auto" w:fill="auto"/>
            <w:tcMar>
              <w:top w:w="40" w:type="dxa"/>
              <w:left w:w="20" w:type="dxa"/>
              <w:bottom w:w="40" w:type="dxa"/>
              <w:right w:w="20" w:type="dxa"/>
            </w:tcMar>
            <w:vAlign w:val="bottom"/>
          </w:tcPr>
          <w:p w14:paraId="5EA1EE5C" w14:textId="77777777" w:rsidR="003C66EB" w:rsidRDefault="00D96C4E">
            <w:pPr>
              <w:textAlignment w:val="bottom"/>
            </w:pPr>
            <w:r>
              <w:rPr>
                <w:rFonts w:ascii="Arial" w:eastAsia="宋体" w:hAnsi="Arial" w:cs="Arial"/>
                <w:b/>
                <w:bCs/>
                <w:color w:val="000000"/>
                <w:sz w:val="16"/>
                <w:szCs w:val="16"/>
              </w:rPr>
              <w:t>TABLE 10: INVESTMENT SERVICING LINE OF BUSINESS RESULTS</w:t>
            </w:r>
          </w:p>
        </w:tc>
        <w:tc>
          <w:tcPr>
            <w:tcW w:w="0" w:type="auto"/>
            <w:shd w:val="clear" w:color="auto" w:fill="auto"/>
          </w:tcPr>
          <w:p w14:paraId="5EA1EE5D" w14:textId="77777777" w:rsidR="003C66EB" w:rsidRDefault="003C66EB">
            <w:pPr>
              <w:rPr>
                <w:rFonts w:ascii="宋体"/>
                <w:vanish/>
              </w:rPr>
            </w:pPr>
          </w:p>
        </w:tc>
        <w:tc>
          <w:tcPr>
            <w:tcW w:w="0" w:type="auto"/>
            <w:gridSpan w:val="3"/>
            <w:shd w:val="clear" w:color="auto" w:fill="auto"/>
          </w:tcPr>
          <w:p w14:paraId="5EA1EE5E" w14:textId="77777777" w:rsidR="003C66EB" w:rsidRDefault="003C66EB">
            <w:pPr>
              <w:rPr>
                <w:rFonts w:ascii="宋体"/>
                <w:vanish/>
              </w:rPr>
            </w:pPr>
          </w:p>
        </w:tc>
        <w:tc>
          <w:tcPr>
            <w:tcW w:w="0" w:type="auto"/>
            <w:gridSpan w:val="3"/>
            <w:shd w:val="clear" w:color="auto" w:fill="auto"/>
          </w:tcPr>
          <w:p w14:paraId="5EA1EE5F" w14:textId="77777777" w:rsidR="003C66EB" w:rsidRDefault="003C66EB">
            <w:pPr>
              <w:rPr>
                <w:rFonts w:ascii="宋体"/>
                <w:vanish/>
              </w:rPr>
            </w:pPr>
          </w:p>
        </w:tc>
        <w:tc>
          <w:tcPr>
            <w:tcW w:w="0" w:type="auto"/>
            <w:gridSpan w:val="3"/>
            <w:shd w:val="clear" w:color="auto" w:fill="auto"/>
          </w:tcPr>
          <w:p w14:paraId="5EA1EE60" w14:textId="77777777" w:rsidR="003C66EB" w:rsidRDefault="003C66EB">
            <w:pPr>
              <w:rPr>
                <w:rFonts w:ascii="宋体"/>
                <w:vanish/>
              </w:rPr>
            </w:pPr>
          </w:p>
        </w:tc>
        <w:tc>
          <w:tcPr>
            <w:tcW w:w="0" w:type="auto"/>
            <w:gridSpan w:val="3"/>
            <w:shd w:val="clear" w:color="auto" w:fill="auto"/>
          </w:tcPr>
          <w:p w14:paraId="5EA1EE61" w14:textId="77777777" w:rsidR="003C66EB" w:rsidRDefault="003C66EB">
            <w:pPr>
              <w:rPr>
                <w:rFonts w:ascii="宋体"/>
                <w:vanish/>
              </w:rPr>
            </w:pPr>
          </w:p>
        </w:tc>
        <w:tc>
          <w:tcPr>
            <w:tcW w:w="0" w:type="auto"/>
            <w:shd w:val="clear" w:color="auto" w:fill="auto"/>
          </w:tcPr>
          <w:p w14:paraId="5EA1EE62" w14:textId="77777777" w:rsidR="003C66EB" w:rsidRDefault="003C66EB">
            <w:pPr>
              <w:rPr>
                <w:rFonts w:ascii="宋体"/>
                <w:vanish/>
              </w:rPr>
            </w:pPr>
          </w:p>
        </w:tc>
        <w:tc>
          <w:tcPr>
            <w:tcW w:w="0" w:type="auto"/>
            <w:shd w:val="clear" w:color="auto" w:fill="auto"/>
          </w:tcPr>
          <w:p w14:paraId="5EA1EE63" w14:textId="77777777" w:rsidR="003C66EB" w:rsidRDefault="003C66EB">
            <w:pPr>
              <w:rPr>
                <w:rFonts w:ascii="宋体"/>
                <w:vanish/>
              </w:rPr>
            </w:pPr>
          </w:p>
        </w:tc>
        <w:tc>
          <w:tcPr>
            <w:tcW w:w="0" w:type="auto"/>
            <w:gridSpan w:val="3"/>
            <w:shd w:val="clear" w:color="auto" w:fill="auto"/>
          </w:tcPr>
          <w:p w14:paraId="5EA1EE64" w14:textId="77777777" w:rsidR="003C66EB" w:rsidRDefault="003C66EB">
            <w:pPr>
              <w:rPr>
                <w:rFonts w:ascii="宋体"/>
                <w:vanish/>
              </w:rPr>
            </w:pPr>
          </w:p>
        </w:tc>
        <w:tc>
          <w:tcPr>
            <w:tcW w:w="0" w:type="auto"/>
            <w:shd w:val="clear" w:color="auto" w:fill="auto"/>
          </w:tcPr>
          <w:p w14:paraId="5EA1EE65" w14:textId="77777777" w:rsidR="003C66EB" w:rsidRDefault="003C66EB">
            <w:pPr>
              <w:rPr>
                <w:rFonts w:ascii="宋体"/>
              </w:rPr>
            </w:pPr>
          </w:p>
        </w:tc>
        <w:tc>
          <w:tcPr>
            <w:tcW w:w="0" w:type="auto"/>
            <w:shd w:val="clear" w:color="auto" w:fill="auto"/>
          </w:tcPr>
          <w:p w14:paraId="5EA1EE66" w14:textId="77777777" w:rsidR="003C66EB" w:rsidRDefault="003C66EB">
            <w:pPr>
              <w:rPr>
                <w:rFonts w:ascii="宋体"/>
              </w:rPr>
            </w:pPr>
          </w:p>
        </w:tc>
        <w:tc>
          <w:tcPr>
            <w:tcW w:w="0" w:type="auto"/>
            <w:shd w:val="clear" w:color="auto" w:fill="auto"/>
          </w:tcPr>
          <w:p w14:paraId="5EA1EE67" w14:textId="77777777" w:rsidR="003C66EB" w:rsidRDefault="003C66EB">
            <w:pPr>
              <w:rPr>
                <w:rFonts w:ascii="宋体"/>
              </w:rPr>
            </w:pPr>
          </w:p>
        </w:tc>
        <w:tc>
          <w:tcPr>
            <w:tcW w:w="0" w:type="auto"/>
            <w:shd w:val="clear" w:color="auto" w:fill="auto"/>
          </w:tcPr>
          <w:p w14:paraId="5EA1EE68" w14:textId="77777777" w:rsidR="003C66EB" w:rsidRDefault="003C66EB">
            <w:pPr>
              <w:rPr>
                <w:rFonts w:ascii="宋体"/>
              </w:rPr>
            </w:pPr>
          </w:p>
        </w:tc>
        <w:tc>
          <w:tcPr>
            <w:tcW w:w="0" w:type="auto"/>
            <w:shd w:val="clear" w:color="auto" w:fill="auto"/>
          </w:tcPr>
          <w:p w14:paraId="5EA1EE69" w14:textId="77777777" w:rsidR="003C66EB" w:rsidRDefault="003C66EB">
            <w:pPr>
              <w:rPr>
                <w:rFonts w:ascii="宋体"/>
              </w:rPr>
            </w:pPr>
          </w:p>
        </w:tc>
        <w:tc>
          <w:tcPr>
            <w:tcW w:w="0" w:type="auto"/>
            <w:shd w:val="clear" w:color="auto" w:fill="auto"/>
          </w:tcPr>
          <w:p w14:paraId="5EA1EE6A" w14:textId="77777777" w:rsidR="003C66EB" w:rsidRDefault="003C66EB">
            <w:pPr>
              <w:rPr>
                <w:rFonts w:ascii="宋体"/>
              </w:rPr>
            </w:pPr>
          </w:p>
        </w:tc>
        <w:tc>
          <w:tcPr>
            <w:tcW w:w="0" w:type="auto"/>
            <w:shd w:val="clear" w:color="auto" w:fill="auto"/>
          </w:tcPr>
          <w:p w14:paraId="5EA1EE6B" w14:textId="77777777" w:rsidR="003C66EB" w:rsidRDefault="003C66EB">
            <w:pPr>
              <w:rPr>
                <w:rFonts w:ascii="宋体"/>
              </w:rPr>
            </w:pPr>
          </w:p>
        </w:tc>
        <w:tc>
          <w:tcPr>
            <w:tcW w:w="0" w:type="auto"/>
            <w:shd w:val="clear" w:color="auto" w:fill="auto"/>
          </w:tcPr>
          <w:p w14:paraId="5EA1EE6C" w14:textId="77777777" w:rsidR="003C66EB" w:rsidRDefault="003C66EB">
            <w:pPr>
              <w:rPr>
                <w:rFonts w:ascii="宋体"/>
              </w:rPr>
            </w:pPr>
          </w:p>
        </w:tc>
        <w:tc>
          <w:tcPr>
            <w:tcW w:w="0" w:type="auto"/>
            <w:shd w:val="clear" w:color="auto" w:fill="auto"/>
          </w:tcPr>
          <w:p w14:paraId="5EA1EE6D" w14:textId="77777777" w:rsidR="003C66EB" w:rsidRDefault="003C66EB">
            <w:pPr>
              <w:rPr>
                <w:rFonts w:ascii="宋体"/>
              </w:rPr>
            </w:pPr>
          </w:p>
        </w:tc>
        <w:tc>
          <w:tcPr>
            <w:tcW w:w="0" w:type="auto"/>
            <w:shd w:val="clear" w:color="auto" w:fill="auto"/>
          </w:tcPr>
          <w:p w14:paraId="5EA1EE6E" w14:textId="77777777" w:rsidR="003C66EB" w:rsidRDefault="003C66EB">
            <w:pPr>
              <w:rPr>
                <w:rFonts w:ascii="宋体"/>
              </w:rPr>
            </w:pPr>
          </w:p>
        </w:tc>
        <w:tc>
          <w:tcPr>
            <w:tcW w:w="0" w:type="auto"/>
            <w:shd w:val="clear" w:color="auto" w:fill="auto"/>
          </w:tcPr>
          <w:p w14:paraId="5EA1EE6F" w14:textId="77777777" w:rsidR="003C66EB" w:rsidRDefault="003C66EB">
            <w:pPr>
              <w:rPr>
                <w:rFonts w:ascii="宋体"/>
              </w:rPr>
            </w:pPr>
          </w:p>
        </w:tc>
        <w:tc>
          <w:tcPr>
            <w:tcW w:w="0" w:type="auto"/>
            <w:shd w:val="clear" w:color="auto" w:fill="auto"/>
          </w:tcPr>
          <w:p w14:paraId="5EA1EE70" w14:textId="77777777" w:rsidR="003C66EB" w:rsidRDefault="003C66EB">
            <w:pPr>
              <w:rPr>
                <w:rFonts w:ascii="宋体"/>
              </w:rPr>
            </w:pPr>
          </w:p>
        </w:tc>
        <w:tc>
          <w:tcPr>
            <w:tcW w:w="0" w:type="auto"/>
            <w:shd w:val="clear" w:color="auto" w:fill="auto"/>
          </w:tcPr>
          <w:p w14:paraId="5EA1EE71" w14:textId="77777777" w:rsidR="003C66EB" w:rsidRDefault="003C66EB">
            <w:pPr>
              <w:rPr>
                <w:rFonts w:ascii="宋体"/>
              </w:rPr>
            </w:pPr>
          </w:p>
        </w:tc>
        <w:tc>
          <w:tcPr>
            <w:tcW w:w="0" w:type="auto"/>
            <w:shd w:val="clear" w:color="auto" w:fill="auto"/>
          </w:tcPr>
          <w:p w14:paraId="5EA1EE72" w14:textId="77777777" w:rsidR="003C66EB" w:rsidRDefault="003C66EB">
            <w:pPr>
              <w:rPr>
                <w:rFonts w:ascii="宋体"/>
              </w:rPr>
            </w:pPr>
          </w:p>
        </w:tc>
        <w:tc>
          <w:tcPr>
            <w:tcW w:w="0" w:type="auto"/>
            <w:shd w:val="clear" w:color="auto" w:fill="auto"/>
          </w:tcPr>
          <w:p w14:paraId="5EA1EE73" w14:textId="77777777" w:rsidR="003C66EB" w:rsidRDefault="003C66EB">
            <w:pPr>
              <w:rPr>
                <w:rFonts w:ascii="宋体"/>
              </w:rPr>
            </w:pPr>
          </w:p>
        </w:tc>
        <w:tc>
          <w:tcPr>
            <w:tcW w:w="0" w:type="auto"/>
            <w:shd w:val="clear" w:color="auto" w:fill="auto"/>
          </w:tcPr>
          <w:p w14:paraId="5EA1EE74" w14:textId="77777777" w:rsidR="003C66EB" w:rsidRDefault="003C66EB">
            <w:pPr>
              <w:rPr>
                <w:rFonts w:ascii="宋体"/>
              </w:rPr>
            </w:pPr>
          </w:p>
        </w:tc>
        <w:tc>
          <w:tcPr>
            <w:tcW w:w="0" w:type="auto"/>
            <w:shd w:val="clear" w:color="auto" w:fill="auto"/>
          </w:tcPr>
          <w:p w14:paraId="5EA1EE75" w14:textId="77777777" w:rsidR="003C66EB" w:rsidRDefault="003C66EB">
            <w:pPr>
              <w:rPr>
                <w:rFonts w:ascii="宋体"/>
              </w:rPr>
            </w:pPr>
          </w:p>
        </w:tc>
        <w:tc>
          <w:tcPr>
            <w:tcW w:w="0" w:type="auto"/>
            <w:shd w:val="clear" w:color="auto" w:fill="auto"/>
          </w:tcPr>
          <w:p w14:paraId="5EA1EE76" w14:textId="77777777" w:rsidR="003C66EB" w:rsidRDefault="003C66EB">
            <w:pPr>
              <w:rPr>
                <w:rFonts w:ascii="宋体"/>
              </w:rPr>
            </w:pPr>
          </w:p>
        </w:tc>
        <w:tc>
          <w:tcPr>
            <w:tcW w:w="0" w:type="auto"/>
            <w:shd w:val="clear" w:color="auto" w:fill="auto"/>
          </w:tcPr>
          <w:p w14:paraId="5EA1EE77" w14:textId="77777777" w:rsidR="003C66EB" w:rsidRDefault="003C66EB">
            <w:pPr>
              <w:rPr>
                <w:rFonts w:ascii="宋体"/>
              </w:rPr>
            </w:pPr>
          </w:p>
        </w:tc>
        <w:tc>
          <w:tcPr>
            <w:tcW w:w="0" w:type="auto"/>
            <w:shd w:val="clear" w:color="auto" w:fill="auto"/>
          </w:tcPr>
          <w:p w14:paraId="5EA1EE78" w14:textId="77777777" w:rsidR="003C66EB" w:rsidRDefault="003C66EB">
            <w:pPr>
              <w:rPr>
                <w:rFonts w:ascii="宋体"/>
              </w:rPr>
            </w:pPr>
          </w:p>
        </w:tc>
        <w:tc>
          <w:tcPr>
            <w:tcW w:w="0" w:type="auto"/>
            <w:shd w:val="clear" w:color="auto" w:fill="auto"/>
          </w:tcPr>
          <w:p w14:paraId="5EA1EE79" w14:textId="77777777" w:rsidR="003C66EB" w:rsidRDefault="003C66EB">
            <w:pPr>
              <w:rPr>
                <w:rFonts w:ascii="宋体"/>
              </w:rPr>
            </w:pPr>
          </w:p>
        </w:tc>
      </w:tr>
      <w:tr w:rsidR="003C66EB" w14:paraId="5EA1EE90" w14:textId="77777777">
        <w:trPr>
          <w:trHeight w:val="280"/>
        </w:trPr>
        <w:tc>
          <w:tcPr>
            <w:tcW w:w="0" w:type="auto"/>
            <w:gridSpan w:val="3"/>
            <w:vMerge w:val="restart"/>
            <w:shd w:val="clear" w:color="auto" w:fill="auto"/>
            <w:tcMar>
              <w:top w:w="40" w:type="dxa"/>
              <w:left w:w="20" w:type="dxa"/>
              <w:bottom w:w="40" w:type="dxa"/>
              <w:right w:w="20" w:type="dxa"/>
            </w:tcMar>
            <w:vAlign w:val="bottom"/>
          </w:tcPr>
          <w:p w14:paraId="5EA1EE7B" w14:textId="77777777" w:rsidR="003C66EB" w:rsidRDefault="00D96C4E">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tcPr>
          <w:p w14:paraId="5EA1EE7C" w14:textId="77777777" w:rsidR="003C66EB" w:rsidRDefault="003C66EB">
            <w:pPr>
              <w:rPr>
                <w:rFonts w:ascii="宋体"/>
                <w:vanish/>
              </w:rPr>
            </w:pPr>
          </w:p>
        </w:tc>
        <w:tc>
          <w:tcPr>
            <w:tcW w:w="0" w:type="auto"/>
            <w:shd w:val="clear" w:color="auto" w:fill="auto"/>
          </w:tcPr>
          <w:p w14:paraId="5EA1EE7D" w14:textId="77777777" w:rsidR="003C66EB" w:rsidRDefault="003C66EB">
            <w:pPr>
              <w:rPr>
                <w:rFonts w:ascii="宋体"/>
                <w:vanish/>
              </w:rPr>
            </w:pPr>
          </w:p>
        </w:tc>
        <w:tc>
          <w:tcPr>
            <w:tcW w:w="0" w:type="auto"/>
            <w:shd w:val="clear" w:color="auto" w:fill="auto"/>
          </w:tcPr>
          <w:p w14:paraId="5EA1EE7E" w14:textId="77777777" w:rsidR="003C66EB" w:rsidRDefault="003C66EB">
            <w:pPr>
              <w:rPr>
                <w:rFonts w:ascii="宋体"/>
                <w:vanish/>
              </w:rPr>
            </w:pPr>
          </w:p>
        </w:tc>
        <w:tc>
          <w:tcPr>
            <w:tcW w:w="0" w:type="auto"/>
            <w:shd w:val="clear" w:color="auto" w:fill="auto"/>
          </w:tcPr>
          <w:p w14:paraId="5EA1EE7F" w14:textId="77777777" w:rsidR="003C66EB" w:rsidRDefault="003C66EB">
            <w:pPr>
              <w:rPr>
                <w:rFonts w:ascii="宋体"/>
                <w:vanish/>
              </w:rPr>
            </w:pPr>
          </w:p>
        </w:tc>
        <w:tc>
          <w:tcPr>
            <w:tcW w:w="0" w:type="auto"/>
            <w:gridSpan w:val="5"/>
            <w:shd w:val="clear" w:color="auto" w:fill="auto"/>
            <w:tcMar>
              <w:top w:w="40" w:type="dxa"/>
              <w:left w:w="20" w:type="dxa"/>
              <w:bottom w:w="40" w:type="dxa"/>
              <w:right w:w="20" w:type="dxa"/>
            </w:tcMar>
            <w:vAlign w:val="bottom"/>
          </w:tcPr>
          <w:p w14:paraId="5EA1EE80" w14:textId="77777777" w:rsidR="003C66EB" w:rsidRDefault="00D96C4E">
            <w:pPr>
              <w:jc w:val="center"/>
              <w:textAlignment w:val="bottom"/>
            </w:pPr>
            <w:r>
              <w:rPr>
                <w:rFonts w:ascii="Arial" w:eastAsia="宋体" w:hAnsi="Arial" w:cs="Arial"/>
                <w:b/>
                <w:bCs/>
                <w:color w:val="000000"/>
                <w:sz w:val="14"/>
                <w:szCs w:val="14"/>
              </w:rPr>
              <w:t xml:space="preserve">Three Months Ended March </w:t>
            </w:r>
            <w:r>
              <w:rPr>
                <w:rFonts w:ascii="Arial" w:eastAsia="宋体" w:hAnsi="Arial" w:cs="Arial"/>
                <w:b/>
                <w:bCs/>
                <w:color w:val="000000"/>
                <w:sz w:val="14"/>
                <w:szCs w:val="14"/>
              </w:rPr>
              <w:t>31,</w:t>
            </w:r>
          </w:p>
        </w:tc>
        <w:tc>
          <w:tcPr>
            <w:tcW w:w="0" w:type="auto"/>
            <w:gridSpan w:val="3"/>
            <w:shd w:val="clear" w:color="auto" w:fill="auto"/>
            <w:tcMar>
              <w:top w:w="0" w:type="dxa"/>
              <w:left w:w="20" w:type="dxa"/>
              <w:bottom w:w="0" w:type="dxa"/>
              <w:right w:w="20" w:type="dxa"/>
            </w:tcMar>
          </w:tcPr>
          <w:p w14:paraId="5EA1EE81" w14:textId="77777777" w:rsidR="003C66EB" w:rsidRDefault="003C66EB">
            <w:pPr>
              <w:rPr>
                <w:rFonts w:ascii="宋体"/>
              </w:rPr>
            </w:pPr>
          </w:p>
        </w:tc>
        <w:tc>
          <w:tcPr>
            <w:tcW w:w="0" w:type="auto"/>
            <w:gridSpan w:val="3"/>
            <w:shd w:val="clear" w:color="auto" w:fill="auto"/>
          </w:tcPr>
          <w:p w14:paraId="5EA1EE82" w14:textId="77777777" w:rsidR="003C66EB" w:rsidRDefault="003C66EB">
            <w:pPr>
              <w:rPr>
                <w:rFonts w:ascii="宋体"/>
                <w:vanish/>
              </w:rPr>
            </w:pPr>
          </w:p>
        </w:tc>
        <w:tc>
          <w:tcPr>
            <w:tcW w:w="0" w:type="auto"/>
            <w:gridSpan w:val="3"/>
            <w:shd w:val="clear" w:color="auto" w:fill="auto"/>
          </w:tcPr>
          <w:p w14:paraId="5EA1EE83" w14:textId="77777777" w:rsidR="003C66EB" w:rsidRDefault="003C66EB">
            <w:pPr>
              <w:rPr>
                <w:rFonts w:ascii="宋体"/>
                <w:vanish/>
              </w:rPr>
            </w:pPr>
          </w:p>
        </w:tc>
        <w:tc>
          <w:tcPr>
            <w:tcW w:w="0" w:type="auto"/>
            <w:vMerge w:val="restart"/>
            <w:shd w:val="clear" w:color="auto" w:fill="auto"/>
            <w:tcMar>
              <w:top w:w="40" w:type="dxa"/>
              <w:left w:w="20" w:type="dxa"/>
              <w:bottom w:w="40" w:type="dxa"/>
              <w:right w:w="20" w:type="dxa"/>
            </w:tcMar>
            <w:vAlign w:val="bottom"/>
          </w:tcPr>
          <w:p w14:paraId="5EA1EE84" w14:textId="77777777" w:rsidR="003C66EB" w:rsidRDefault="00D96C4E">
            <w:pPr>
              <w:jc w:val="center"/>
              <w:textAlignment w:val="bottom"/>
            </w:pPr>
            <w:r>
              <w:rPr>
                <w:rFonts w:ascii="Arial" w:eastAsia="宋体" w:hAnsi="Arial" w:cs="Arial"/>
                <w:b/>
                <w:bCs/>
                <w:color w:val="000000"/>
                <w:sz w:val="14"/>
                <w:szCs w:val="14"/>
              </w:rPr>
              <w:t>% Change 2021 vs. 2020</w:t>
            </w:r>
          </w:p>
        </w:tc>
        <w:tc>
          <w:tcPr>
            <w:tcW w:w="0" w:type="auto"/>
            <w:shd w:val="clear" w:color="auto" w:fill="auto"/>
          </w:tcPr>
          <w:p w14:paraId="5EA1EE85" w14:textId="77777777" w:rsidR="003C66EB" w:rsidRDefault="003C66EB">
            <w:pPr>
              <w:rPr>
                <w:rFonts w:ascii="宋体"/>
                <w:vanish/>
              </w:rPr>
            </w:pPr>
          </w:p>
        </w:tc>
        <w:tc>
          <w:tcPr>
            <w:tcW w:w="0" w:type="auto"/>
            <w:gridSpan w:val="3"/>
            <w:shd w:val="clear" w:color="auto" w:fill="auto"/>
          </w:tcPr>
          <w:p w14:paraId="5EA1EE86" w14:textId="77777777" w:rsidR="003C66EB" w:rsidRDefault="003C66EB">
            <w:pPr>
              <w:rPr>
                <w:rFonts w:ascii="宋体"/>
                <w:vanish/>
              </w:rPr>
            </w:pPr>
          </w:p>
        </w:tc>
        <w:tc>
          <w:tcPr>
            <w:tcW w:w="0" w:type="auto"/>
            <w:gridSpan w:val="3"/>
            <w:shd w:val="clear" w:color="auto" w:fill="auto"/>
          </w:tcPr>
          <w:p w14:paraId="5EA1EE87" w14:textId="77777777" w:rsidR="003C66EB" w:rsidRDefault="003C66EB">
            <w:pPr>
              <w:rPr>
                <w:rFonts w:ascii="宋体"/>
                <w:vanish/>
              </w:rPr>
            </w:pPr>
          </w:p>
        </w:tc>
        <w:tc>
          <w:tcPr>
            <w:tcW w:w="0" w:type="auto"/>
            <w:gridSpan w:val="3"/>
            <w:shd w:val="clear" w:color="auto" w:fill="auto"/>
          </w:tcPr>
          <w:p w14:paraId="5EA1EE88" w14:textId="77777777" w:rsidR="003C66EB" w:rsidRDefault="003C66EB">
            <w:pPr>
              <w:rPr>
                <w:rFonts w:ascii="宋体"/>
                <w:vanish/>
              </w:rPr>
            </w:pPr>
          </w:p>
        </w:tc>
        <w:tc>
          <w:tcPr>
            <w:tcW w:w="0" w:type="auto"/>
            <w:gridSpan w:val="3"/>
            <w:shd w:val="clear" w:color="auto" w:fill="auto"/>
          </w:tcPr>
          <w:p w14:paraId="5EA1EE89" w14:textId="77777777" w:rsidR="003C66EB" w:rsidRDefault="003C66EB">
            <w:pPr>
              <w:rPr>
                <w:rFonts w:ascii="宋体"/>
                <w:vanish/>
              </w:rPr>
            </w:pPr>
          </w:p>
        </w:tc>
        <w:tc>
          <w:tcPr>
            <w:tcW w:w="0" w:type="auto"/>
            <w:gridSpan w:val="3"/>
            <w:shd w:val="clear" w:color="auto" w:fill="auto"/>
          </w:tcPr>
          <w:p w14:paraId="5EA1EE8A" w14:textId="77777777" w:rsidR="003C66EB" w:rsidRDefault="003C66EB">
            <w:pPr>
              <w:rPr>
                <w:rFonts w:ascii="宋体"/>
                <w:vanish/>
              </w:rPr>
            </w:pPr>
          </w:p>
        </w:tc>
        <w:tc>
          <w:tcPr>
            <w:tcW w:w="0" w:type="auto"/>
            <w:gridSpan w:val="3"/>
            <w:shd w:val="clear" w:color="auto" w:fill="auto"/>
          </w:tcPr>
          <w:p w14:paraId="5EA1EE8B" w14:textId="77777777" w:rsidR="003C66EB" w:rsidRDefault="003C66EB">
            <w:pPr>
              <w:rPr>
                <w:rFonts w:ascii="宋体"/>
                <w:vanish/>
              </w:rPr>
            </w:pPr>
          </w:p>
        </w:tc>
        <w:tc>
          <w:tcPr>
            <w:tcW w:w="0" w:type="auto"/>
            <w:gridSpan w:val="3"/>
            <w:shd w:val="clear" w:color="auto" w:fill="auto"/>
          </w:tcPr>
          <w:p w14:paraId="5EA1EE8C" w14:textId="77777777" w:rsidR="003C66EB" w:rsidRDefault="003C66EB">
            <w:pPr>
              <w:rPr>
                <w:rFonts w:ascii="宋体"/>
                <w:vanish/>
              </w:rPr>
            </w:pPr>
          </w:p>
        </w:tc>
        <w:tc>
          <w:tcPr>
            <w:tcW w:w="0" w:type="auto"/>
            <w:shd w:val="clear" w:color="auto" w:fill="auto"/>
          </w:tcPr>
          <w:p w14:paraId="5EA1EE8D" w14:textId="77777777" w:rsidR="003C66EB" w:rsidRDefault="003C66EB">
            <w:pPr>
              <w:rPr>
                <w:rFonts w:ascii="宋体"/>
              </w:rPr>
            </w:pPr>
          </w:p>
        </w:tc>
        <w:tc>
          <w:tcPr>
            <w:tcW w:w="0" w:type="auto"/>
            <w:shd w:val="clear" w:color="auto" w:fill="auto"/>
          </w:tcPr>
          <w:p w14:paraId="5EA1EE8E" w14:textId="77777777" w:rsidR="003C66EB" w:rsidRDefault="003C66EB">
            <w:pPr>
              <w:rPr>
                <w:rFonts w:ascii="宋体"/>
              </w:rPr>
            </w:pPr>
          </w:p>
        </w:tc>
        <w:tc>
          <w:tcPr>
            <w:tcW w:w="0" w:type="auto"/>
            <w:shd w:val="clear" w:color="auto" w:fill="auto"/>
          </w:tcPr>
          <w:p w14:paraId="5EA1EE8F" w14:textId="77777777" w:rsidR="003C66EB" w:rsidRDefault="003C66EB">
            <w:pPr>
              <w:rPr>
                <w:rFonts w:ascii="宋体"/>
              </w:rPr>
            </w:pPr>
          </w:p>
        </w:tc>
      </w:tr>
      <w:tr w:rsidR="003C66EB" w14:paraId="5EA1EEAA" w14:textId="77777777">
        <w:trPr>
          <w:trHeight w:val="220"/>
        </w:trPr>
        <w:tc>
          <w:tcPr>
            <w:tcW w:w="0" w:type="auto"/>
            <w:gridSpan w:val="3"/>
            <w:vMerge/>
            <w:shd w:val="clear" w:color="auto" w:fill="auto"/>
            <w:tcMar>
              <w:top w:w="40" w:type="dxa"/>
              <w:left w:w="20" w:type="dxa"/>
              <w:bottom w:w="40" w:type="dxa"/>
              <w:right w:w="20" w:type="dxa"/>
            </w:tcMar>
            <w:vAlign w:val="bottom"/>
          </w:tcPr>
          <w:p w14:paraId="5EA1EE91" w14:textId="77777777" w:rsidR="003C66EB" w:rsidRDefault="003C66EB">
            <w:pPr>
              <w:rPr>
                <w:rFonts w:ascii="宋体"/>
              </w:rPr>
            </w:pPr>
          </w:p>
        </w:tc>
        <w:tc>
          <w:tcPr>
            <w:tcW w:w="0" w:type="auto"/>
            <w:shd w:val="clear" w:color="auto" w:fill="auto"/>
          </w:tcPr>
          <w:p w14:paraId="5EA1EE92" w14:textId="77777777" w:rsidR="003C66EB" w:rsidRDefault="003C66EB">
            <w:pPr>
              <w:rPr>
                <w:rFonts w:ascii="宋体"/>
                <w:vanish/>
              </w:rPr>
            </w:pPr>
          </w:p>
        </w:tc>
        <w:tc>
          <w:tcPr>
            <w:tcW w:w="0" w:type="auto"/>
            <w:shd w:val="clear" w:color="auto" w:fill="auto"/>
          </w:tcPr>
          <w:p w14:paraId="5EA1EE93" w14:textId="77777777" w:rsidR="003C66EB" w:rsidRDefault="003C66EB">
            <w:pPr>
              <w:rPr>
                <w:rFonts w:ascii="宋体"/>
                <w:vanish/>
              </w:rPr>
            </w:pPr>
          </w:p>
        </w:tc>
        <w:tc>
          <w:tcPr>
            <w:tcW w:w="0" w:type="auto"/>
            <w:shd w:val="clear" w:color="auto" w:fill="auto"/>
          </w:tcPr>
          <w:p w14:paraId="5EA1EE94" w14:textId="77777777" w:rsidR="003C66EB" w:rsidRDefault="003C66EB">
            <w:pPr>
              <w:rPr>
                <w:rFonts w:ascii="宋体"/>
                <w:vanish/>
              </w:rPr>
            </w:pPr>
          </w:p>
        </w:tc>
        <w:tc>
          <w:tcPr>
            <w:tcW w:w="0" w:type="auto"/>
            <w:shd w:val="clear" w:color="auto" w:fill="auto"/>
          </w:tcPr>
          <w:p w14:paraId="5EA1EE95" w14:textId="77777777" w:rsidR="003C66EB" w:rsidRDefault="003C66EB">
            <w:pPr>
              <w:rPr>
                <w:rFonts w:ascii="宋体"/>
                <w:vanish/>
              </w:rPr>
            </w:pPr>
          </w:p>
        </w:tc>
        <w:tc>
          <w:tcPr>
            <w:tcW w:w="0" w:type="auto"/>
            <w:shd w:val="clear" w:color="auto" w:fill="auto"/>
          </w:tcPr>
          <w:p w14:paraId="5EA1EE96" w14:textId="77777777" w:rsidR="003C66EB" w:rsidRDefault="003C66EB">
            <w:pPr>
              <w:rPr>
                <w:rFonts w:ascii="宋体"/>
                <w:vanish/>
              </w:rPr>
            </w:pPr>
          </w:p>
        </w:tc>
        <w:tc>
          <w:tcPr>
            <w:tcW w:w="0" w:type="auto"/>
            <w:shd w:val="clear" w:color="auto" w:fill="auto"/>
          </w:tcPr>
          <w:p w14:paraId="5EA1EE97"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E98"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EE9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EE9A"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5EA1EE9B" w14:textId="77777777" w:rsidR="003C66EB" w:rsidRDefault="003C66EB">
            <w:pPr>
              <w:rPr>
                <w:rFonts w:ascii="宋体"/>
              </w:rPr>
            </w:pPr>
          </w:p>
        </w:tc>
        <w:tc>
          <w:tcPr>
            <w:tcW w:w="0" w:type="auto"/>
            <w:vMerge/>
            <w:shd w:val="clear" w:color="auto" w:fill="auto"/>
            <w:tcMar>
              <w:top w:w="40" w:type="dxa"/>
              <w:left w:w="20" w:type="dxa"/>
              <w:bottom w:w="40" w:type="dxa"/>
              <w:right w:w="20" w:type="dxa"/>
            </w:tcMar>
            <w:vAlign w:val="bottom"/>
          </w:tcPr>
          <w:p w14:paraId="5EA1EE9C" w14:textId="77777777" w:rsidR="003C66EB" w:rsidRDefault="003C66EB">
            <w:pPr>
              <w:jc w:val="center"/>
              <w:rPr>
                <w:rFonts w:ascii="宋体"/>
              </w:rPr>
            </w:pPr>
          </w:p>
        </w:tc>
        <w:tc>
          <w:tcPr>
            <w:tcW w:w="0" w:type="auto"/>
            <w:shd w:val="clear" w:color="auto" w:fill="auto"/>
          </w:tcPr>
          <w:p w14:paraId="5EA1EE9D" w14:textId="77777777" w:rsidR="003C66EB" w:rsidRDefault="003C66EB">
            <w:pPr>
              <w:rPr>
                <w:rFonts w:ascii="宋体"/>
                <w:vanish/>
              </w:rPr>
            </w:pPr>
          </w:p>
        </w:tc>
        <w:tc>
          <w:tcPr>
            <w:tcW w:w="0" w:type="auto"/>
            <w:gridSpan w:val="3"/>
            <w:shd w:val="clear" w:color="auto" w:fill="auto"/>
          </w:tcPr>
          <w:p w14:paraId="5EA1EE9E" w14:textId="77777777" w:rsidR="003C66EB" w:rsidRDefault="003C66EB">
            <w:pPr>
              <w:rPr>
                <w:rFonts w:ascii="宋体"/>
                <w:vanish/>
              </w:rPr>
            </w:pPr>
          </w:p>
        </w:tc>
        <w:tc>
          <w:tcPr>
            <w:tcW w:w="0" w:type="auto"/>
            <w:gridSpan w:val="3"/>
            <w:shd w:val="clear" w:color="auto" w:fill="auto"/>
          </w:tcPr>
          <w:p w14:paraId="5EA1EE9F" w14:textId="77777777" w:rsidR="003C66EB" w:rsidRDefault="003C66EB">
            <w:pPr>
              <w:rPr>
                <w:rFonts w:ascii="宋体"/>
                <w:vanish/>
              </w:rPr>
            </w:pPr>
          </w:p>
        </w:tc>
        <w:tc>
          <w:tcPr>
            <w:tcW w:w="0" w:type="auto"/>
            <w:gridSpan w:val="3"/>
            <w:shd w:val="clear" w:color="auto" w:fill="auto"/>
          </w:tcPr>
          <w:p w14:paraId="5EA1EEA0" w14:textId="77777777" w:rsidR="003C66EB" w:rsidRDefault="003C66EB">
            <w:pPr>
              <w:rPr>
                <w:rFonts w:ascii="宋体"/>
                <w:vanish/>
              </w:rPr>
            </w:pPr>
          </w:p>
        </w:tc>
        <w:tc>
          <w:tcPr>
            <w:tcW w:w="0" w:type="auto"/>
            <w:gridSpan w:val="3"/>
            <w:shd w:val="clear" w:color="auto" w:fill="auto"/>
          </w:tcPr>
          <w:p w14:paraId="5EA1EEA1" w14:textId="77777777" w:rsidR="003C66EB" w:rsidRDefault="003C66EB">
            <w:pPr>
              <w:rPr>
                <w:rFonts w:ascii="宋体"/>
                <w:vanish/>
              </w:rPr>
            </w:pPr>
          </w:p>
        </w:tc>
        <w:tc>
          <w:tcPr>
            <w:tcW w:w="0" w:type="auto"/>
            <w:gridSpan w:val="3"/>
            <w:shd w:val="clear" w:color="auto" w:fill="auto"/>
          </w:tcPr>
          <w:p w14:paraId="5EA1EEA2" w14:textId="77777777" w:rsidR="003C66EB" w:rsidRDefault="003C66EB">
            <w:pPr>
              <w:rPr>
                <w:rFonts w:ascii="宋体"/>
                <w:vanish/>
              </w:rPr>
            </w:pPr>
          </w:p>
        </w:tc>
        <w:tc>
          <w:tcPr>
            <w:tcW w:w="0" w:type="auto"/>
            <w:gridSpan w:val="3"/>
            <w:shd w:val="clear" w:color="auto" w:fill="auto"/>
          </w:tcPr>
          <w:p w14:paraId="5EA1EEA3" w14:textId="77777777" w:rsidR="003C66EB" w:rsidRDefault="003C66EB">
            <w:pPr>
              <w:rPr>
                <w:rFonts w:ascii="宋体"/>
                <w:vanish/>
              </w:rPr>
            </w:pPr>
          </w:p>
        </w:tc>
        <w:tc>
          <w:tcPr>
            <w:tcW w:w="0" w:type="auto"/>
            <w:shd w:val="clear" w:color="auto" w:fill="auto"/>
          </w:tcPr>
          <w:p w14:paraId="5EA1EEA4" w14:textId="77777777" w:rsidR="003C66EB" w:rsidRDefault="003C66EB">
            <w:pPr>
              <w:rPr>
                <w:rFonts w:ascii="宋体"/>
              </w:rPr>
            </w:pPr>
          </w:p>
        </w:tc>
        <w:tc>
          <w:tcPr>
            <w:tcW w:w="0" w:type="auto"/>
            <w:shd w:val="clear" w:color="auto" w:fill="auto"/>
          </w:tcPr>
          <w:p w14:paraId="5EA1EEA5" w14:textId="77777777" w:rsidR="003C66EB" w:rsidRDefault="003C66EB">
            <w:pPr>
              <w:rPr>
                <w:rFonts w:ascii="宋体"/>
              </w:rPr>
            </w:pPr>
          </w:p>
        </w:tc>
        <w:tc>
          <w:tcPr>
            <w:tcW w:w="0" w:type="auto"/>
            <w:shd w:val="clear" w:color="auto" w:fill="auto"/>
          </w:tcPr>
          <w:p w14:paraId="5EA1EEA6" w14:textId="77777777" w:rsidR="003C66EB" w:rsidRDefault="003C66EB">
            <w:pPr>
              <w:rPr>
                <w:rFonts w:ascii="宋体"/>
              </w:rPr>
            </w:pPr>
          </w:p>
        </w:tc>
        <w:tc>
          <w:tcPr>
            <w:tcW w:w="0" w:type="auto"/>
            <w:shd w:val="clear" w:color="auto" w:fill="auto"/>
          </w:tcPr>
          <w:p w14:paraId="5EA1EEA7" w14:textId="77777777" w:rsidR="003C66EB" w:rsidRDefault="003C66EB">
            <w:pPr>
              <w:rPr>
                <w:rFonts w:ascii="宋体"/>
              </w:rPr>
            </w:pPr>
          </w:p>
        </w:tc>
        <w:tc>
          <w:tcPr>
            <w:tcW w:w="0" w:type="auto"/>
            <w:shd w:val="clear" w:color="auto" w:fill="auto"/>
          </w:tcPr>
          <w:p w14:paraId="5EA1EEA8" w14:textId="77777777" w:rsidR="003C66EB" w:rsidRDefault="003C66EB">
            <w:pPr>
              <w:rPr>
                <w:rFonts w:ascii="宋体"/>
              </w:rPr>
            </w:pPr>
          </w:p>
        </w:tc>
        <w:tc>
          <w:tcPr>
            <w:tcW w:w="0" w:type="auto"/>
            <w:shd w:val="clear" w:color="auto" w:fill="auto"/>
          </w:tcPr>
          <w:p w14:paraId="5EA1EEA9" w14:textId="77777777" w:rsidR="003C66EB" w:rsidRDefault="003C66EB">
            <w:pPr>
              <w:rPr>
                <w:rFonts w:ascii="宋体"/>
              </w:rPr>
            </w:pPr>
          </w:p>
        </w:tc>
      </w:tr>
      <w:tr w:rsidR="003C66EB" w14:paraId="5EA1EEC6" w14:textId="77777777">
        <w:tc>
          <w:tcPr>
            <w:tcW w:w="0" w:type="auto"/>
            <w:gridSpan w:val="3"/>
            <w:shd w:val="clear" w:color="auto" w:fill="CCEEFF"/>
            <w:tcMar>
              <w:top w:w="40" w:type="dxa"/>
              <w:left w:w="20" w:type="dxa"/>
              <w:bottom w:w="40" w:type="dxa"/>
              <w:right w:w="20" w:type="dxa"/>
            </w:tcMar>
            <w:vAlign w:val="bottom"/>
          </w:tcPr>
          <w:p w14:paraId="5EA1EEAB" w14:textId="77777777" w:rsidR="003C66EB" w:rsidRDefault="00D96C4E">
            <w:pPr>
              <w:textAlignment w:val="bottom"/>
            </w:pPr>
            <w:r>
              <w:rPr>
                <w:rFonts w:ascii="Arial" w:eastAsia="宋体" w:hAnsi="Arial" w:cs="Arial"/>
                <w:color w:val="000000"/>
                <w:sz w:val="14"/>
                <w:szCs w:val="14"/>
              </w:rPr>
              <w:t>Servicing fees</w:t>
            </w:r>
          </w:p>
        </w:tc>
        <w:tc>
          <w:tcPr>
            <w:tcW w:w="0" w:type="auto"/>
            <w:shd w:val="clear" w:color="auto" w:fill="auto"/>
          </w:tcPr>
          <w:p w14:paraId="5EA1EEAC" w14:textId="77777777" w:rsidR="003C66EB" w:rsidRDefault="003C66EB">
            <w:pPr>
              <w:rPr>
                <w:rFonts w:ascii="宋体"/>
                <w:vanish/>
              </w:rPr>
            </w:pPr>
          </w:p>
        </w:tc>
        <w:tc>
          <w:tcPr>
            <w:tcW w:w="0" w:type="auto"/>
            <w:shd w:val="clear" w:color="auto" w:fill="auto"/>
          </w:tcPr>
          <w:p w14:paraId="5EA1EEAD" w14:textId="77777777" w:rsidR="003C66EB" w:rsidRDefault="003C66EB">
            <w:pPr>
              <w:rPr>
                <w:rFonts w:ascii="宋体"/>
                <w:vanish/>
              </w:rPr>
            </w:pPr>
          </w:p>
        </w:tc>
        <w:tc>
          <w:tcPr>
            <w:tcW w:w="0" w:type="auto"/>
            <w:shd w:val="clear" w:color="auto" w:fill="auto"/>
          </w:tcPr>
          <w:p w14:paraId="5EA1EEAE" w14:textId="77777777" w:rsidR="003C66EB" w:rsidRDefault="003C66EB">
            <w:pPr>
              <w:rPr>
                <w:rFonts w:ascii="宋体"/>
                <w:vanish/>
              </w:rPr>
            </w:pPr>
          </w:p>
        </w:tc>
        <w:tc>
          <w:tcPr>
            <w:tcW w:w="0" w:type="auto"/>
            <w:shd w:val="clear" w:color="auto" w:fill="auto"/>
          </w:tcPr>
          <w:p w14:paraId="5EA1EEAF" w14:textId="77777777" w:rsidR="003C66EB" w:rsidRDefault="003C66EB">
            <w:pPr>
              <w:rPr>
                <w:rFonts w:ascii="宋体"/>
                <w:vanish/>
              </w:rPr>
            </w:pPr>
          </w:p>
        </w:tc>
        <w:tc>
          <w:tcPr>
            <w:tcW w:w="0" w:type="auto"/>
            <w:shd w:val="clear" w:color="auto" w:fill="auto"/>
          </w:tcPr>
          <w:p w14:paraId="5EA1EEB0" w14:textId="77777777" w:rsidR="003C66EB" w:rsidRDefault="003C66EB">
            <w:pPr>
              <w:rPr>
                <w:rFonts w:ascii="宋体"/>
                <w:vanish/>
              </w:rPr>
            </w:pPr>
          </w:p>
        </w:tc>
        <w:tc>
          <w:tcPr>
            <w:tcW w:w="0" w:type="auto"/>
            <w:shd w:val="clear" w:color="auto" w:fill="auto"/>
          </w:tcPr>
          <w:p w14:paraId="5EA1EEB1"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EB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EB3" w14:textId="77777777" w:rsidR="003C66EB" w:rsidRDefault="00D96C4E">
            <w:pPr>
              <w:jc w:val="right"/>
              <w:textAlignment w:val="bottom"/>
            </w:pPr>
            <w:r>
              <w:rPr>
                <w:rFonts w:ascii="Arial" w:eastAsia="宋体" w:hAnsi="Arial" w:cs="Arial"/>
                <w:b/>
                <w:bCs/>
                <w:color w:val="000000"/>
                <w:sz w:val="14"/>
                <w:szCs w:val="14"/>
              </w:rPr>
              <w:t>1,371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E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EB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EB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EB7" w14:textId="77777777" w:rsidR="003C66EB" w:rsidRDefault="00D96C4E">
            <w:pPr>
              <w:jc w:val="right"/>
              <w:textAlignment w:val="bottom"/>
            </w:pPr>
            <w:r>
              <w:rPr>
                <w:rFonts w:ascii="Arial" w:eastAsia="宋体" w:hAnsi="Arial" w:cs="Arial"/>
                <w:color w:val="000000"/>
                <w:sz w:val="14"/>
                <w:szCs w:val="14"/>
              </w:rPr>
              <w:t>1,287 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E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EB9" w14:textId="77777777" w:rsidR="003C66EB" w:rsidRDefault="003C66EB">
            <w:pPr>
              <w:rPr>
                <w:rFonts w:ascii="宋体"/>
              </w:rPr>
            </w:pPr>
          </w:p>
        </w:tc>
        <w:tc>
          <w:tcPr>
            <w:tcW w:w="0" w:type="auto"/>
            <w:shd w:val="clear" w:color="auto" w:fill="auto"/>
          </w:tcPr>
          <w:p w14:paraId="5EA1EEBA" w14:textId="77777777" w:rsidR="003C66EB" w:rsidRDefault="003C66EB">
            <w:pPr>
              <w:rPr>
                <w:rFonts w:ascii="宋体"/>
                <w:vanish/>
              </w:rPr>
            </w:pPr>
          </w:p>
        </w:tc>
        <w:tc>
          <w:tcPr>
            <w:tcW w:w="0" w:type="auto"/>
            <w:shd w:val="clear" w:color="auto" w:fill="auto"/>
          </w:tcPr>
          <w:p w14:paraId="5EA1EEBB"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EBC" w14:textId="77777777" w:rsidR="003C66EB" w:rsidRDefault="00D96C4E">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EBD"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Pr>
          <w:p w14:paraId="5EA1EEBE" w14:textId="77777777" w:rsidR="003C66EB" w:rsidRDefault="003C66EB">
            <w:pPr>
              <w:rPr>
                <w:rFonts w:ascii="宋体"/>
                <w:vanish/>
              </w:rPr>
            </w:pPr>
          </w:p>
        </w:tc>
        <w:tc>
          <w:tcPr>
            <w:tcW w:w="0" w:type="auto"/>
            <w:gridSpan w:val="3"/>
            <w:shd w:val="clear" w:color="auto" w:fill="auto"/>
          </w:tcPr>
          <w:p w14:paraId="5EA1EEBF" w14:textId="77777777" w:rsidR="003C66EB" w:rsidRDefault="003C66EB">
            <w:pPr>
              <w:rPr>
                <w:rFonts w:ascii="宋体"/>
                <w:vanish/>
              </w:rPr>
            </w:pPr>
          </w:p>
        </w:tc>
        <w:tc>
          <w:tcPr>
            <w:tcW w:w="0" w:type="auto"/>
            <w:gridSpan w:val="3"/>
            <w:shd w:val="clear" w:color="auto" w:fill="auto"/>
          </w:tcPr>
          <w:p w14:paraId="5EA1EEC0" w14:textId="77777777" w:rsidR="003C66EB" w:rsidRDefault="003C66EB">
            <w:pPr>
              <w:rPr>
                <w:rFonts w:ascii="宋体"/>
                <w:vanish/>
              </w:rPr>
            </w:pPr>
          </w:p>
        </w:tc>
        <w:tc>
          <w:tcPr>
            <w:tcW w:w="0" w:type="auto"/>
            <w:gridSpan w:val="3"/>
            <w:shd w:val="clear" w:color="auto" w:fill="auto"/>
          </w:tcPr>
          <w:p w14:paraId="5EA1EEC1" w14:textId="77777777" w:rsidR="003C66EB" w:rsidRDefault="003C66EB">
            <w:pPr>
              <w:rPr>
                <w:rFonts w:ascii="宋体"/>
                <w:vanish/>
              </w:rPr>
            </w:pPr>
          </w:p>
        </w:tc>
        <w:tc>
          <w:tcPr>
            <w:tcW w:w="0" w:type="auto"/>
            <w:gridSpan w:val="3"/>
            <w:shd w:val="clear" w:color="auto" w:fill="auto"/>
          </w:tcPr>
          <w:p w14:paraId="5EA1EEC2" w14:textId="77777777" w:rsidR="003C66EB" w:rsidRDefault="003C66EB">
            <w:pPr>
              <w:rPr>
                <w:rFonts w:ascii="宋体"/>
                <w:vanish/>
              </w:rPr>
            </w:pPr>
          </w:p>
        </w:tc>
        <w:tc>
          <w:tcPr>
            <w:tcW w:w="0" w:type="auto"/>
            <w:gridSpan w:val="3"/>
            <w:shd w:val="clear" w:color="auto" w:fill="auto"/>
          </w:tcPr>
          <w:p w14:paraId="5EA1EEC3" w14:textId="77777777" w:rsidR="003C66EB" w:rsidRDefault="003C66EB">
            <w:pPr>
              <w:rPr>
                <w:rFonts w:ascii="宋体"/>
                <w:vanish/>
              </w:rPr>
            </w:pPr>
          </w:p>
        </w:tc>
        <w:tc>
          <w:tcPr>
            <w:tcW w:w="0" w:type="auto"/>
            <w:gridSpan w:val="2"/>
            <w:shd w:val="clear" w:color="auto" w:fill="auto"/>
          </w:tcPr>
          <w:p w14:paraId="5EA1EEC4" w14:textId="77777777" w:rsidR="003C66EB" w:rsidRDefault="003C66EB">
            <w:pPr>
              <w:rPr>
                <w:rFonts w:ascii="宋体"/>
                <w:vanish/>
              </w:rPr>
            </w:pPr>
          </w:p>
        </w:tc>
        <w:tc>
          <w:tcPr>
            <w:tcW w:w="0" w:type="auto"/>
            <w:shd w:val="clear" w:color="auto" w:fill="auto"/>
          </w:tcPr>
          <w:p w14:paraId="5EA1EEC5" w14:textId="77777777" w:rsidR="003C66EB" w:rsidRDefault="003C66EB">
            <w:pPr>
              <w:rPr>
                <w:rFonts w:ascii="宋体"/>
                <w:vanish/>
              </w:rPr>
            </w:pPr>
          </w:p>
        </w:tc>
      </w:tr>
      <w:tr w:rsidR="003C66EB" w14:paraId="5EA1EEE0" w14:textId="77777777">
        <w:tc>
          <w:tcPr>
            <w:tcW w:w="0" w:type="auto"/>
            <w:gridSpan w:val="3"/>
            <w:shd w:val="clear" w:color="auto" w:fill="FFFFFF"/>
            <w:tcMar>
              <w:top w:w="40" w:type="dxa"/>
              <w:left w:w="20" w:type="dxa"/>
              <w:bottom w:w="40" w:type="dxa"/>
              <w:right w:w="20" w:type="dxa"/>
            </w:tcMar>
            <w:vAlign w:val="bottom"/>
          </w:tcPr>
          <w:p w14:paraId="5EA1EEC7" w14:textId="77777777" w:rsidR="003C66EB" w:rsidRDefault="00D96C4E">
            <w:pPr>
              <w:textAlignment w:val="bottom"/>
            </w:pPr>
            <w:r>
              <w:rPr>
                <w:rFonts w:ascii="Arial" w:eastAsia="宋体" w:hAnsi="Arial" w:cs="Arial"/>
                <w:color w:val="000000"/>
                <w:sz w:val="14"/>
                <w:szCs w:val="14"/>
              </w:rPr>
              <w:t>Foreign exchange trading services</w:t>
            </w:r>
          </w:p>
        </w:tc>
        <w:tc>
          <w:tcPr>
            <w:tcW w:w="0" w:type="auto"/>
            <w:shd w:val="clear" w:color="auto" w:fill="auto"/>
          </w:tcPr>
          <w:p w14:paraId="5EA1EEC8" w14:textId="77777777" w:rsidR="003C66EB" w:rsidRDefault="003C66EB">
            <w:pPr>
              <w:rPr>
                <w:rFonts w:ascii="宋体"/>
                <w:vanish/>
              </w:rPr>
            </w:pPr>
          </w:p>
        </w:tc>
        <w:tc>
          <w:tcPr>
            <w:tcW w:w="0" w:type="auto"/>
            <w:shd w:val="clear" w:color="auto" w:fill="auto"/>
          </w:tcPr>
          <w:p w14:paraId="5EA1EEC9" w14:textId="77777777" w:rsidR="003C66EB" w:rsidRDefault="003C66EB">
            <w:pPr>
              <w:rPr>
                <w:rFonts w:ascii="宋体"/>
                <w:vanish/>
              </w:rPr>
            </w:pPr>
          </w:p>
        </w:tc>
        <w:tc>
          <w:tcPr>
            <w:tcW w:w="0" w:type="auto"/>
            <w:shd w:val="clear" w:color="auto" w:fill="auto"/>
          </w:tcPr>
          <w:p w14:paraId="5EA1EECA" w14:textId="77777777" w:rsidR="003C66EB" w:rsidRDefault="003C66EB">
            <w:pPr>
              <w:rPr>
                <w:rFonts w:ascii="宋体"/>
                <w:vanish/>
              </w:rPr>
            </w:pPr>
          </w:p>
        </w:tc>
        <w:tc>
          <w:tcPr>
            <w:tcW w:w="0" w:type="auto"/>
            <w:shd w:val="clear" w:color="auto" w:fill="auto"/>
          </w:tcPr>
          <w:p w14:paraId="5EA1EECB" w14:textId="77777777" w:rsidR="003C66EB" w:rsidRDefault="003C66EB">
            <w:pPr>
              <w:rPr>
                <w:rFonts w:ascii="宋体"/>
                <w:vanish/>
              </w:rPr>
            </w:pPr>
          </w:p>
        </w:tc>
        <w:tc>
          <w:tcPr>
            <w:tcW w:w="0" w:type="auto"/>
            <w:shd w:val="clear" w:color="auto" w:fill="auto"/>
          </w:tcPr>
          <w:p w14:paraId="5EA1EECC" w14:textId="77777777" w:rsidR="003C66EB" w:rsidRDefault="003C66EB">
            <w:pPr>
              <w:rPr>
                <w:rFonts w:ascii="宋体"/>
                <w:vanish/>
              </w:rPr>
            </w:pPr>
          </w:p>
        </w:tc>
        <w:tc>
          <w:tcPr>
            <w:tcW w:w="0" w:type="auto"/>
            <w:shd w:val="clear" w:color="auto" w:fill="auto"/>
          </w:tcPr>
          <w:p w14:paraId="5EA1EECD"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ECE" w14:textId="77777777" w:rsidR="003C66EB" w:rsidRDefault="00D96C4E">
            <w:pPr>
              <w:jc w:val="right"/>
              <w:textAlignment w:val="bottom"/>
            </w:pPr>
            <w:r>
              <w:rPr>
                <w:rFonts w:ascii="Arial" w:eastAsia="宋体" w:hAnsi="Arial" w:cs="Arial"/>
                <w:b/>
                <w:bCs/>
                <w:color w:val="000000"/>
                <w:sz w:val="14"/>
                <w:szCs w:val="14"/>
              </w:rPr>
              <w:t>333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EC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ED0"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EED1" w14:textId="77777777" w:rsidR="003C66EB" w:rsidRDefault="00D96C4E">
            <w:pPr>
              <w:jc w:val="right"/>
              <w:textAlignment w:val="bottom"/>
            </w:pPr>
            <w:r>
              <w:rPr>
                <w:rFonts w:ascii="Arial" w:eastAsia="宋体" w:hAnsi="Arial" w:cs="Arial"/>
                <w:color w:val="000000"/>
                <w:sz w:val="14"/>
                <w:szCs w:val="14"/>
              </w:rPr>
              <w:t>434 </w:t>
            </w:r>
          </w:p>
        </w:tc>
        <w:tc>
          <w:tcPr>
            <w:tcW w:w="0" w:type="auto"/>
            <w:shd w:val="clear" w:color="auto" w:fill="auto"/>
            <w:tcMar>
              <w:top w:w="40" w:type="dxa"/>
              <w:left w:w="0" w:type="dxa"/>
              <w:bottom w:w="40" w:type="dxa"/>
              <w:right w:w="20" w:type="dxa"/>
            </w:tcMar>
            <w:vAlign w:val="bottom"/>
          </w:tcPr>
          <w:p w14:paraId="5EA1EED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ED3" w14:textId="77777777" w:rsidR="003C66EB" w:rsidRDefault="003C66EB">
            <w:pPr>
              <w:rPr>
                <w:rFonts w:ascii="宋体"/>
              </w:rPr>
            </w:pPr>
          </w:p>
        </w:tc>
        <w:tc>
          <w:tcPr>
            <w:tcW w:w="0" w:type="auto"/>
            <w:shd w:val="clear" w:color="auto" w:fill="auto"/>
          </w:tcPr>
          <w:p w14:paraId="5EA1EED4" w14:textId="77777777" w:rsidR="003C66EB" w:rsidRDefault="003C66EB">
            <w:pPr>
              <w:rPr>
                <w:rFonts w:ascii="宋体"/>
                <w:vanish/>
              </w:rPr>
            </w:pPr>
          </w:p>
        </w:tc>
        <w:tc>
          <w:tcPr>
            <w:tcW w:w="0" w:type="auto"/>
            <w:shd w:val="clear" w:color="auto" w:fill="auto"/>
          </w:tcPr>
          <w:p w14:paraId="5EA1EED5"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ED6" w14:textId="77777777" w:rsidR="003C66EB" w:rsidRDefault="00D96C4E">
            <w:pPr>
              <w:jc w:val="right"/>
              <w:textAlignment w:val="bottom"/>
            </w:pPr>
            <w:r>
              <w:rPr>
                <w:rFonts w:ascii="Arial" w:eastAsia="宋体" w:hAnsi="Arial" w:cs="Arial"/>
                <w:color w:val="000000"/>
                <w:sz w:val="14"/>
                <w:szCs w:val="14"/>
              </w:rPr>
              <w:t>(23)</w:t>
            </w:r>
          </w:p>
        </w:tc>
        <w:tc>
          <w:tcPr>
            <w:tcW w:w="0" w:type="auto"/>
            <w:shd w:val="clear" w:color="auto" w:fill="FFFFFF"/>
            <w:tcMar>
              <w:top w:w="40" w:type="dxa"/>
              <w:left w:w="0" w:type="dxa"/>
              <w:bottom w:w="40" w:type="dxa"/>
              <w:right w:w="20" w:type="dxa"/>
            </w:tcMar>
            <w:vAlign w:val="bottom"/>
          </w:tcPr>
          <w:p w14:paraId="5EA1EED7" w14:textId="77777777" w:rsidR="003C66EB" w:rsidRDefault="003C66EB">
            <w:pPr>
              <w:jc w:val="right"/>
              <w:rPr>
                <w:rFonts w:ascii="宋体"/>
              </w:rPr>
            </w:pPr>
          </w:p>
        </w:tc>
        <w:tc>
          <w:tcPr>
            <w:tcW w:w="0" w:type="auto"/>
            <w:gridSpan w:val="3"/>
            <w:shd w:val="clear" w:color="auto" w:fill="auto"/>
          </w:tcPr>
          <w:p w14:paraId="5EA1EED8" w14:textId="77777777" w:rsidR="003C66EB" w:rsidRDefault="003C66EB">
            <w:pPr>
              <w:rPr>
                <w:rFonts w:ascii="宋体"/>
                <w:vanish/>
              </w:rPr>
            </w:pPr>
          </w:p>
        </w:tc>
        <w:tc>
          <w:tcPr>
            <w:tcW w:w="0" w:type="auto"/>
            <w:gridSpan w:val="3"/>
            <w:shd w:val="clear" w:color="auto" w:fill="auto"/>
          </w:tcPr>
          <w:p w14:paraId="5EA1EED9" w14:textId="77777777" w:rsidR="003C66EB" w:rsidRDefault="003C66EB">
            <w:pPr>
              <w:rPr>
                <w:rFonts w:ascii="宋体"/>
                <w:vanish/>
              </w:rPr>
            </w:pPr>
          </w:p>
        </w:tc>
        <w:tc>
          <w:tcPr>
            <w:tcW w:w="0" w:type="auto"/>
            <w:gridSpan w:val="3"/>
            <w:shd w:val="clear" w:color="auto" w:fill="auto"/>
          </w:tcPr>
          <w:p w14:paraId="5EA1EEDA" w14:textId="77777777" w:rsidR="003C66EB" w:rsidRDefault="003C66EB">
            <w:pPr>
              <w:rPr>
                <w:rFonts w:ascii="宋体"/>
                <w:vanish/>
              </w:rPr>
            </w:pPr>
          </w:p>
        </w:tc>
        <w:tc>
          <w:tcPr>
            <w:tcW w:w="0" w:type="auto"/>
            <w:gridSpan w:val="3"/>
            <w:shd w:val="clear" w:color="auto" w:fill="auto"/>
          </w:tcPr>
          <w:p w14:paraId="5EA1EEDB" w14:textId="77777777" w:rsidR="003C66EB" w:rsidRDefault="003C66EB">
            <w:pPr>
              <w:rPr>
                <w:rFonts w:ascii="宋体"/>
                <w:vanish/>
              </w:rPr>
            </w:pPr>
          </w:p>
        </w:tc>
        <w:tc>
          <w:tcPr>
            <w:tcW w:w="0" w:type="auto"/>
            <w:gridSpan w:val="3"/>
            <w:shd w:val="clear" w:color="auto" w:fill="auto"/>
          </w:tcPr>
          <w:p w14:paraId="5EA1EEDC" w14:textId="77777777" w:rsidR="003C66EB" w:rsidRDefault="003C66EB">
            <w:pPr>
              <w:rPr>
                <w:rFonts w:ascii="宋体"/>
                <w:vanish/>
              </w:rPr>
            </w:pPr>
          </w:p>
        </w:tc>
        <w:tc>
          <w:tcPr>
            <w:tcW w:w="0" w:type="auto"/>
            <w:gridSpan w:val="3"/>
            <w:shd w:val="clear" w:color="auto" w:fill="auto"/>
          </w:tcPr>
          <w:p w14:paraId="5EA1EEDD" w14:textId="77777777" w:rsidR="003C66EB" w:rsidRDefault="003C66EB">
            <w:pPr>
              <w:rPr>
                <w:rFonts w:ascii="宋体"/>
                <w:vanish/>
              </w:rPr>
            </w:pPr>
          </w:p>
        </w:tc>
        <w:tc>
          <w:tcPr>
            <w:tcW w:w="0" w:type="auto"/>
            <w:gridSpan w:val="2"/>
            <w:shd w:val="clear" w:color="auto" w:fill="auto"/>
          </w:tcPr>
          <w:p w14:paraId="5EA1EEDE" w14:textId="77777777" w:rsidR="003C66EB" w:rsidRDefault="003C66EB">
            <w:pPr>
              <w:rPr>
                <w:rFonts w:ascii="宋体"/>
                <w:vanish/>
              </w:rPr>
            </w:pPr>
          </w:p>
        </w:tc>
        <w:tc>
          <w:tcPr>
            <w:tcW w:w="0" w:type="auto"/>
            <w:shd w:val="clear" w:color="auto" w:fill="auto"/>
          </w:tcPr>
          <w:p w14:paraId="5EA1EEDF" w14:textId="77777777" w:rsidR="003C66EB" w:rsidRDefault="003C66EB">
            <w:pPr>
              <w:rPr>
                <w:rFonts w:ascii="宋体"/>
                <w:vanish/>
              </w:rPr>
            </w:pPr>
          </w:p>
        </w:tc>
      </w:tr>
      <w:tr w:rsidR="003C66EB" w14:paraId="5EA1EEFA" w14:textId="77777777">
        <w:tc>
          <w:tcPr>
            <w:tcW w:w="0" w:type="auto"/>
            <w:gridSpan w:val="3"/>
            <w:shd w:val="clear" w:color="auto" w:fill="CCEEFF"/>
            <w:tcMar>
              <w:top w:w="40" w:type="dxa"/>
              <w:left w:w="20" w:type="dxa"/>
              <w:bottom w:w="40" w:type="dxa"/>
              <w:right w:w="20" w:type="dxa"/>
            </w:tcMar>
            <w:vAlign w:val="bottom"/>
          </w:tcPr>
          <w:p w14:paraId="5EA1EEE1" w14:textId="77777777" w:rsidR="003C66EB" w:rsidRDefault="00D96C4E">
            <w:pPr>
              <w:textAlignment w:val="bottom"/>
            </w:pPr>
            <w:r>
              <w:rPr>
                <w:rFonts w:ascii="Arial" w:eastAsia="宋体" w:hAnsi="Arial" w:cs="Arial"/>
                <w:color w:val="000000"/>
                <w:sz w:val="14"/>
                <w:szCs w:val="14"/>
              </w:rPr>
              <w:t>Securities finance</w:t>
            </w:r>
          </w:p>
        </w:tc>
        <w:tc>
          <w:tcPr>
            <w:tcW w:w="0" w:type="auto"/>
            <w:shd w:val="clear" w:color="auto" w:fill="auto"/>
          </w:tcPr>
          <w:p w14:paraId="5EA1EEE2" w14:textId="77777777" w:rsidR="003C66EB" w:rsidRDefault="003C66EB">
            <w:pPr>
              <w:rPr>
                <w:rFonts w:ascii="宋体"/>
                <w:vanish/>
              </w:rPr>
            </w:pPr>
          </w:p>
        </w:tc>
        <w:tc>
          <w:tcPr>
            <w:tcW w:w="0" w:type="auto"/>
            <w:shd w:val="clear" w:color="auto" w:fill="auto"/>
          </w:tcPr>
          <w:p w14:paraId="5EA1EEE3" w14:textId="77777777" w:rsidR="003C66EB" w:rsidRDefault="003C66EB">
            <w:pPr>
              <w:rPr>
                <w:rFonts w:ascii="宋体"/>
                <w:vanish/>
              </w:rPr>
            </w:pPr>
          </w:p>
        </w:tc>
        <w:tc>
          <w:tcPr>
            <w:tcW w:w="0" w:type="auto"/>
            <w:shd w:val="clear" w:color="auto" w:fill="auto"/>
          </w:tcPr>
          <w:p w14:paraId="5EA1EEE4" w14:textId="77777777" w:rsidR="003C66EB" w:rsidRDefault="003C66EB">
            <w:pPr>
              <w:rPr>
                <w:rFonts w:ascii="宋体"/>
                <w:vanish/>
              </w:rPr>
            </w:pPr>
          </w:p>
        </w:tc>
        <w:tc>
          <w:tcPr>
            <w:tcW w:w="0" w:type="auto"/>
            <w:shd w:val="clear" w:color="auto" w:fill="auto"/>
          </w:tcPr>
          <w:p w14:paraId="5EA1EEE5" w14:textId="77777777" w:rsidR="003C66EB" w:rsidRDefault="003C66EB">
            <w:pPr>
              <w:rPr>
                <w:rFonts w:ascii="宋体"/>
                <w:vanish/>
              </w:rPr>
            </w:pPr>
          </w:p>
        </w:tc>
        <w:tc>
          <w:tcPr>
            <w:tcW w:w="0" w:type="auto"/>
            <w:shd w:val="clear" w:color="auto" w:fill="auto"/>
          </w:tcPr>
          <w:p w14:paraId="5EA1EEE6" w14:textId="77777777" w:rsidR="003C66EB" w:rsidRDefault="003C66EB">
            <w:pPr>
              <w:rPr>
                <w:rFonts w:ascii="宋体"/>
                <w:vanish/>
              </w:rPr>
            </w:pPr>
          </w:p>
        </w:tc>
        <w:tc>
          <w:tcPr>
            <w:tcW w:w="0" w:type="auto"/>
            <w:shd w:val="clear" w:color="auto" w:fill="auto"/>
          </w:tcPr>
          <w:p w14:paraId="5EA1EEE7"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EE8" w14:textId="77777777" w:rsidR="003C66EB" w:rsidRDefault="00D96C4E">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E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EE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EEB" w14:textId="77777777" w:rsidR="003C66EB" w:rsidRDefault="00D96C4E">
            <w:pPr>
              <w:jc w:val="right"/>
              <w:textAlignment w:val="bottom"/>
            </w:pPr>
            <w:r>
              <w:rPr>
                <w:rFonts w:ascii="Arial" w:eastAsia="宋体" w:hAnsi="Arial" w:cs="Arial"/>
                <w:color w:val="000000"/>
                <w:sz w:val="14"/>
                <w:szCs w:val="14"/>
              </w:rPr>
              <w:t>89 </w:t>
            </w:r>
          </w:p>
        </w:tc>
        <w:tc>
          <w:tcPr>
            <w:tcW w:w="0" w:type="auto"/>
            <w:shd w:val="clear" w:color="auto" w:fill="CCEEFF"/>
            <w:tcMar>
              <w:top w:w="40" w:type="dxa"/>
              <w:left w:w="0" w:type="dxa"/>
              <w:bottom w:w="40" w:type="dxa"/>
              <w:right w:w="20" w:type="dxa"/>
            </w:tcMar>
            <w:vAlign w:val="bottom"/>
          </w:tcPr>
          <w:p w14:paraId="5EA1EEE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EED" w14:textId="77777777" w:rsidR="003C66EB" w:rsidRDefault="003C66EB">
            <w:pPr>
              <w:rPr>
                <w:rFonts w:ascii="宋体"/>
              </w:rPr>
            </w:pPr>
          </w:p>
        </w:tc>
        <w:tc>
          <w:tcPr>
            <w:tcW w:w="0" w:type="auto"/>
            <w:shd w:val="clear" w:color="auto" w:fill="auto"/>
          </w:tcPr>
          <w:p w14:paraId="5EA1EEEE" w14:textId="77777777" w:rsidR="003C66EB" w:rsidRDefault="003C66EB">
            <w:pPr>
              <w:rPr>
                <w:rFonts w:ascii="宋体"/>
                <w:vanish/>
              </w:rPr>
            </w:pPr>
          </w:p>
        </w:tc>
        <w:tc>
          <w:tcPr>
            <w:tcW w:w="0" w:type="auto"/>
            <w:shd w:val="clear" w:color="auto" w:fill="auto"/>
          </w:tcPr>
          <w:p w14:paraId="5EA1EEEF"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EF0" w14:textId="77777777" w:rsidR="003C66EB" w:rsidRDefault="00D96C4E">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5EA1EEF1" w14:textId="77777777" w:rsidR="003C66EB" w:rsidRDefault="003C66EB">
            <w:pPr>
              <w:jc w:val="right"/>
              <w:rPr>
                <w:rFonts w:ascii="宋体"/>
              </w:rPr>
            </w:pPr>
          </w:p>
        </w:tc>
        <w:tc>
          <w:tcPr>
            <w:tcW w:w="0" w:type="auto"/>
            <w:gridSpan w:val="3"/>
            <w:shd w:val="clear" w:color="auto" w:fill="auto"/>
          </w:tcPr>
          <w:p w14:paraId="5EA1EEF2" w14:textId="77777777" w:rsidR="003C66EB" w:rsidRDefault="003C66EB">
            <w:pPr>
              <w:rPr>
                <w:rFonts w:ascii="宋体"/>
                <w:vanish/>
              </w:rPr>
            </w:pPr>
          </w:p>
        </w:tc>
        <w:tc>
          <w:tcPr>
            <w:tcW w:w="0" w:type="auto"/>
            <w:gridSpan w:val="3"/>
            <w:shd w:val="clear" w:color="auto" w:fill="auto"/>
          </w:tcPr>
          <w:p w14:paraId="5EA1EEF3" w14:textId="77777777" w:rsidR="003C66EB" w:rsidRDefault="003C66EB">
            <w:pPr>
              <w:rPr>
                <w:rFonts w:ascii="宋体"/>
                <w:vanish/>
              </w:rPr>
            </w:pPr>
          </w:p>
        </w:tc>
        <w:tc>
          <w:tcPr>
            <w:tcW w:w="0" w:type="auto"/>
            <w:gridSpan w:val="3"/>
            <w:shd w:val="clear" w:color="auto" w:fill="auto"/>
          </w:tcPr>
          <w:p w14:paraId="5EA1EEF4" w14:textId="77777777" w:rsidR="003C66EB" w:rsidRDefault="003C66EB">
            <w:pPr>
              <w:rPr>
                <w:rFonts w:ascii="宋体"/>
                <w:vanish/>
              </w:rPr>
            </w:pPr>
          </w:p>
        </w:tc>
        <w:tc>
          <w:tcPr>
            <w:tcW w:w="0" w:type="auto"/>
            <w:gridSpan w:val="3"/>
            <w:shd w:val="clear" w:color="auto" w:fill="auto"/>
          </w:tcPr>
          <w:p w14:paraId="5EA1EEF5" w14:textId="77777777" w:rsidR="003C66EB" w:rsidRDefault="003C66EB">
            <w:pPr>
              <w:rPr>
                <w:rFonts w:ascii="宋体"/>
                <w:vanish/>
              </w:rPr>
            </w:pPr>
          </w:p>
        </w:tc>
        <w:tc>
          <w:tcPr>
            <w:tcW w:w="0" w:type="auto"/>
            <w:gridSpan w:val="3"/>
            <w:shd w:val="clear" w:color="auto" w:fill="auto"/>
          </w:tcPr>
          <w:p w14:paraId="5EA1EEF6" w14:textId="77777777" w:rsidR="003C66EB" w:rsidRDefault="003C66EB">
            <w:pPr>
              <w:rPr>
                <w:rFonts w:ascii="宋体"/>
                <w:vanish/>
              </w:rPr>
            </w:pPr>
          </w:p>
        </w:tc>
        <w:tc>
          <w:tcPr>
            <w:tcW w:w="0" w:type="auto"/>
            <w:gridSpan w:val="3"/>
            <w:shd w:val="clear" w:color="auto" w:fill="auto"/>
          </w:tcPr>
          <w:p w14:paraId="5EA1EEF7" w14:textId="77777777" w:rsidR="003C66EB" w:rsidRDefault="003C66EB">
            <w:pPr>
              <w:rPr>
                <w:rFonts w:ascii="宋体"/>
                <w:vanish/>
              </w:rPr>
            </w:pPr>
          </w:p>
        </w:tc>
        <w:tc>
          <w:tcPr>
            <w:tcW w:w="0" w:type="auto"/>
            <w:gridSpan w:val="2"/>
            <w:shd w:val="clear" w:color="auto" w:fill="auto"/>
          </w:tcPr>
          <w:p w14:paraId="5EA1EEF8" w14:textId="77777777" w:rsidR="003C66EB" w:rsidRDefault="003C66EB">
            <w:pPr>
              <w:rPr>
                <w:rFonts w:ascii="宋体"/>
                <w:vanish/>
              </w:rPr>
            </w:pPr>
          </w:p>
        </w:tc>
        <w:tc>
          <w:tcPr>
            <w:tcW w:w="0" w:type="auto"/>
            <w:shd w:val="clear" w:color="auto" w:fill="auto"/>
          </w:tcPr>
          <w:p w14:paraId="5EA1EEF9" w14:textId="77777777" w:rsidR="003C66EB" w:rsidRDefault="003C66EB">
            <w:pPr>
              <w:rPr>
                <w:rFonts w:ascii="宋体"/>
                <w:vanish/>
              </w:rPr>
            </w:pPr>
          </w:p>
        </w:tc>
      </w:tr>
      <w:tr w:rsidR="003C66EB" w14:paraId="5EA1EF14" w14:textId="77777777">
        <w:tc>
          <w:tcPr>
            <w:tcW w:w="0" w:type="auto"/>
            <w:gridSpan w:val="3"/>
            <w:shd w:val="clear" w:color="auto" w:fill="FFFFFF"/>
            <w:tcMar>
              <w:top w:w="40" w:type="dxa"/>
              <w:left w:w="20" w:type="dxa"/>
              <w:bottom w:w="40" w:type="dxa"/>
              <w:right w:w="20" w:type="dxa"/>
            </w:tcMar>
            <w:vAlign w:val="bottom"/>
          </w:tcPr>
          <w:p w14:paraId="5EA1EEFB" w14:textId="77777777" w:rsidR="003C66EB" w:rsidRDefault="00D96C4E">
            <w:pPr>
              <w:textAlignment w:val="bottom"/>
            </w:pPr>
            <w:r>
              <w:rPr>
                <w:rFonts w:ascii="Arial" w:eastAsia="宋体" w:hAnsi="Arial" w:cs="Arial"/>
                <w:color w:val="000000"/>
                <w:sz w:val="14"/>
                <w:szCs w:val="14"/>
              </w:rPr>
              <w:t>Software and processing fees</w:t>
            </w:r>
          </w:p>
        </w:tc>
        <w:tc>
          <w:tcPr>
            <w:tcW w:w="0" w:type="auto"/>
            <w:shd w:val="clear" w:color="auto" w:fill="auto"/>
          </w:tcPr>
          <w:p w14:paraId="5EA1EEFC" w14:textId="77777777" w:rsidR="003C66EB" w:rsidRDefault="003C66EB">
            <w:pPr>
              <w:rPr>
                <w:rFonts w:ascii="宋体"/>
                <w:vanish/>
              </w:rPr>
            </w:pPr>
          </w:p>
        </w:tc>
        <w:tc>
          <w:tcPr>
            <w:tcW w:w="0" w:type="auto"/>
            <w:shd w:val="clear" w:color="auto" w:fill="auto"/>
          </w:tcPr>
          <w:p w14:paraId="5EA1EEFD" w14:textId="77777777" w:rsidR="003C66EB" w:rsidRDefault="003C66EB">
            <w:pPr>
              <w:rPr>
                <w:rFonts w:ascii="宋体"/>
                <w:vanish/>
              </w:rPr>
            </w:pPr>
          </w:p>
        </w:tc>
        <w:tc>
          <w:tcPr>
            <w:tcW w:w="0" w:type="auto"/>
            <w:shd w:val="clear" w:color="auto" w:fill="auto"/>
          </w:tcPr>
          <w:p w14:paraId="5EA1EEFE" w14:textId="77777777" w:rsidR="003C66EB" w:rsidRDefault="003C66EB">
            <w:pPr>
              <w:rPr>
                <w:rFonts w:ascii="宋体"/>
                <w:vanish/>
              </w:rPr>
            </w:pPr>
          </w:p>
        </w:tc>
        <w:tc>
          <w:tcPr>
            <w:tcW w:w="0" w:type="auto"/>
            <w:shd w:val="clear" w:color="auto" w:fill="auto"/>
          </w:tcPr>
          <w:p w14:paraId="5EA1EEFF" w14:textId="77777777" w:rsidR="003C66EB" w:rsidRDefault="003C66EB">
            <w:pPr>
              <w:rPr>
                <w:rFonts w:ascii="宋体"/>
                <w:vanish/>
              </w:rPr>
            </w:pPr>
          </w:p>
        </w:tc>
        <w:tc>
          <w:tcPr>
            <w:tcW w:w="0" w:type="auto"/>
            <w:shd w:val="clear" w:color="auto" w:fill="auto"/>
          </w:tcPr>
          <w:p w14:paraId="5EA1EF00" w14:textId="77777777" w:rsidR="003C66EB" w:rsidRDefault="003C66EB">
            <w:pPr>
              <w:rPr>
                <w:rFonts w:ascii="宋体"/>
                <w:vanish/>
              </w:rPr>
            </w:pPr>
          </w:p>
        </w:tc>
        <w:tc>
          <w:tcPr>
            <w:tcW w:w="0" w:type="auto"/>
            <w:shd w:val="clear" w:color="auto" w:fill="auto"/>
          </w:tcPr>
          <w:p w14:paraId="5EA1EF01"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02" w14:textId="77777777" w:rsidR="003C66EB" w:rsidRDefault="00D96C4E">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F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04"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EF05" w14:textId="77777777" w:rsidR="003C66EB" w:rsidRDefault="00D96C4E">
            <w:pPr>
              <w:jc w:val="right"/>
              <w:textAlignment w:val="bottom"/>
            </w:pPr>
            <w:r>
              <w:rPr>
                <w:rFonts w:ascii="Arial" w:eastAsia="宋体" w:hAnsi="Arial" w:cs="Arial"/>
                <w:color w:val="000000"/>
                <w:sz w:val="14"/>
                <w:szCs w:val="14"/>
              </w:rPr>
              <w:t>137 </w:t>
            </w:r>
          </w:p>
        </w:tc>
        <w:tc>
          <w:tcPr>
            <w:tcW w:w="0" w:type="auto"/>
            <w:shd w:val="clear" w:color="auto" w:fill="auto"/>
            <w:tcMar>
              <w:top w:w="40" w:type="dxa"/>
              <w:left w:w="0" w:type="dxa"/>
              <w:bottom w:w="40" w:type="dxa"/>
              <w:right w:w="20" w:type="dxa"/>
            </w:tcMar>
            <w:vAlign w:val="bottom"/>
          </w:tcPr>
          <w:p w14:paraId="5EA1EF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07" w14:textId="77777777" w:rsidR="003C66EB" w:rsidRDefault="003C66EB">
            <w:pPr>
              <w:rPr>
                <w:rFonts w:ascii="宋体"/>
              </w:rPr>
            </w:pPr>
          </w:p>
        </w:tc>
        <w:tc>
          <w:tcPr>
            <w:tcW w:w="0" w:type="auto"/>
            <w:shd w:val="clear" w:color="auto" w:fill="auto"/>
          </w:tcPr>
          <w:p w14:paraId="5EA1EF08" w14:textId="77777777" w:rsidR="003C66EB" w:rsidRDefault="003C66EB">
            <w:pPr>
              <w:rPr>
                <w:rFonts w:ascii="宋体"/>
                <w:vanish/>
              </w:rPr>
            </w:pPr>
          </w:p>
        </w:tc>
        <w:tc>
          <w:tcPr>
            <w:tcW w:w="0" w:type="auto"/>
            <w:shd w:val="clear" w:color="auto" w:fill="auto"/>
          </w:tcPr>
          <w:p w14:paraId="5EA1EF09"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0A" w14:textId="77777777" w:rsidR="003C66EB" w:rsidRDefault="00D96C4E">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EA1EF0B" w14:textId="77777777" w:rsidR="003C66EB" w:rsidRDefault="003C66EB">
            <w:pPr>
              <w:jc w:val="right"/>
              <w:rPr>
                <w:rFonts w:ascii="宋体"/>
              </w:rPr>
            </w:pPr>
          </w:p>
        </w:tc>
        <w:tc>
          <w:tcPr>
            <w:tcW w:w="0" w:type="auto"/>
            <w:gridSpan w:val="3"/>
            <w:shd w:val="clear" w:color="auto" w:fill="auto"/>
          </w:tcPr>
          <w:p w14:paraId="5EA1EF0C" w14:textId="77777777" w:rsidR="003C66EB" w:rsidRDefault="003C66EB">
            <w:pPr>
              <w:rPr>
                <w:rFonts w:ascii="宋体"/>
                <w:vanish/>
              </w:rPr>
            </w:pPr>
          </w:p>
        </w:tc>
        <w:tc>
          <w:tcPr>
            <w:tcW w:w="0" w:type="auto"/>
            <w:gridSpan w:val="3"/>
            <w:shd w:val="clear" w:color="auto" w:fill="auto"/>
          </w:tcPr>
          <w:p w14:paraId="5EA1EF0D" w14:textId="77777777" w:rsidR="003C66EB" w:rsidRDefault="003C66EB">
            <w:pPr>
              <w:rPr>
                <w:rFonts w:ascii="宋体"/>
                <w:vanish/>
              </w:rPr>
            </w:pPr>
          </w:p>
        </w:tc>
        <w:tc>
          <w:tcPr>
            <w:tcW w:w="0" w:type="auto"/>
            <w:gridSpan w:val="3"/>
            <w:shd w:val="clear" w:color="auto" w:fill="auto"/>
          </w:tcPr>
          <w:p w14:paraId="5EA1EF0E" w14:textId="77777777" w:rsidR="003C66EB" w:rsidRDefault="003C66EB">
            <w:pPr>
              <w:rPr>
                <w:rFonts w:ascii="宋体"/>
                <w:vanish/>
              </w:rPr>
            </w:pPr>
          </w:p>
        </w:tc>
        <w:tc>
          <w:tcPr>
            <w:tcW w:w="0" w:type="auto"/>
            <w:gridSpan w:val="3"/>
            <w:shd w:val="clear" w:color="auto" w:fill="auto"/>
          </w:tcPr>
          <w:p w14:paraId="5EA1EF0F" w14:textId="77777777" w:rsidR="003C66EB" w:rsidRDefault="003C66EB">
            <w:pPr>
              <w:rPr>
                <w:rFonts w:ascii="宋体"/>
                <w:vanish/>
              </w:rPr>
            </w:pPr>
          </w:p>
        </w:tc>
        <w:tc>
          <w:tcPr>
            <w:tcW w:w="0" w:type="auto"/>
            <w:gridSpan w:val="3"/>
            <w:shd w:val="clear" w:color="auto" w:fill="auto"/>
          </w:tcPr>
          <w:p w14:paraId="5EA1EF10" w14:textId="77777777" w:rsidR="003C66EB" w:rsidRDefault="003C66EB">
            <w:pPr>
              <w:rPr>
                <w:rFonts w:ascii="宋体"/>
                <w:vanish/>
              </w:rPr>
            </w:pPr>
          </w:p>
        </w:tc>
        <w:tc>
          <w:tcPr>
            <w:tcW w:w="0" w:type="auto"/>
            <w:gridSpan w:val="3"/>
            <w:shd w:val="clear" w:color="auto" w:fill="auto"/>
          </w:tcPr>
          <w:p w14:paraId="5EA1EF11" w14:textId="77777777" w:rsidR="003C66EB" w:rsidRDefault="003C66EB">
            <w:pPr>
              <w:rPr>
                <w:rFonts w:ascii="宋体"/>
                <w:vanish/>
              </w:rPr>
            </w:pPr>
          </w:p>
        </w:tc>
        <w:tc>
          <w:tcPr>
            <w:tcW w:w="0" w:type="auto"/>
            <w:gridSpan w:val="2"/>
            <w:shd w:val="clear" w:color="auto" w:fill="auto"/>
          </w:tcPr>
          <w:p w14:paraId="5EA1EF12" w14:textId="77777777" w:rsidR="003C66EB" w:rsidRDefault="003C66EB">
            <w:pPr>
              <w:rPr>
                <w:rFonts w:ascii="宋体"/>
                <w:vanish/>
              </w:rPr>
            </w:pPr>
          </w:p>
        </w:tc>
        <w:tc>
          <w:tcPr>
            <w:tcW w:w="0" w:type="auto"/>
            <w:shd w:val="clear" w:color="auto" w:fill="auto"/>
          </w:tcPr>
          <w:p w14:paraId="5EA1EF13" w14:textId="77777777" w:rsidR="003C66EB" w:rsidRDefault="003C66EB">
            <w:pPr>
              <w:rPr>
                <w:rFonts w:ascii="宋体"/>
                <w:vanish/>
              </w:rPr>
            </w:pPr>
          </w:p>
        </w:tc>
      </w:tr>
      <w:tr w:rsidR="003C66EB" w14:paraId="5EA1EF2E" w14:textId="77777777">
        <w:tc>
          <w:tcPr>
            <w:tcW w:w="0" w:type="auto"/>
            <w:gridSpan w:val="3"/>
            <w:shd w:val="clear" w:color="auto" w:fill="CCEEFF"/>
            <w:tcMar>
              <w:top w:w="40" w:type="dxa"/>
              <w:left w:w="20" w:type="dxa"/>
              <w:bottom w:w="40" w:type="dxa"/>
              <w:right w:w="20" w:type="dxa"/>
            </w:tcMar>
            <w:vAlign w:val="bottom"/>
          </w:tcPr>
          <w:p w14:paraId="5EA1EF15" w14:textId="77777777" w:rsidR="003C66EB" w:rsidRDefault="00D96C4E">
            <w:pPr>
              <w:textAlignment w:val="bottom"/>
            </w:pPr>
            <w:r>
              <w:rPr>
                <w:rFonts w:ascii="Arial" w:eastAsia="宋体" w:hAnsi="Arial" w:cs="Arial"/>
                <w:color w:val="000000"/>
                <w:sz w:val="14"/>
                <w:szCs w:val="14"/>
              </w:rPr>
              <w:t>Total fee revenue</w:t>
            </w:r>
          </w:p>
        </w:tc>
        <w:tc>
          <w:tcPr>
            <w:tcW w:w="0" w:type="auto"/>
            <w:shd w:val="clear" w:color="auto" w:fill="auto"/>
          </w:tcPr>
          <w:p w14:paraId="5EA1EF16" w14:textId="77777777" w:rsidR="003C66EB" w:rsidRDefault="003C66EB">
            <w:pPr>
              <w:rPr>
                <w:rFonts w:ascii="宋体"/>
                <w:vanish/>
              </w:rPr>
            </w:pPr>
          </w:p>
        </w:tc>
        <w:tc>
          <w:tcPr>
            <w:tcW w:w="0" w:type="auto"/>
            <w:shd w:val="clear" w:color="auto" w:fill="auto"/>
          </w:tcPr>
          <w:p w14:paraId="5EA1EF17" w14:textId="77777777" w:rsidR="003C66EB" w:rsidRDefault="003C66EB">
            <w:pPr>
              <w:rPr>
                <w:rFonts w:ascii="宋体"/>
                <w:vanish/>
              </w:rPr>
            </w:pPr>
          </w:p>
        </w:tc>
        <w:tc>
          <w:tcPr>
            <w:tcW w:w="0" w:type="auto"/>
            <w:shd w:val="clear" w:color="auto" w:fill="auto"/>
          </w:tcPr>
          <w:p w14:paraId="5EA1EF18" w14:textId="77777777" w:rsidR="003C66EB" w:rsidRDefault="003C66EB">
            <w:pPr>
              <w:rPr>
                <w:rFonts w:ascii="宋体"/>
                <w:vanish/>
              </w:rPr>
            </w:pPr>
          </w:p>
        </w:tc>
        <w:tc>
          <w:tcPr>
            <w:tcW w:w="0" w:type="auto"/>
            <w:shd w:val="clear" w:color="auto" w:fill="auto"/>
          </w:tcPr>
          <w:p w14:paraId="5EA1EF19" w14:textId="77777777" w:rsidR="003C66EB" w:rsidRDefault="003C66EB">
            <w:pPr>
              <w:rPr>
                <w:rFonts w:ascii="宋体"/>
                <w:vanish/>
              </w:rPr>
            </w:pPr>
          </w:p>
        </w:tc>
        <w:tc>
          <w:tcPr>
            <w:tcW w:w="0" w:type="auto"/>
            <w:shd w:val="clear" w:color="auto" w:fill="auto"/>
          </w:tcPr>
          <w:p w14:paraId="5EA1EF1A" w14:textId="77777777" w:rsidR="003C66EB" w:rsidRDefault="003C66EB">
            <w:pPr>
              <w:rPr>
                <w:rFonts w:ascii="宋体"/>
                <w:vanish/>
              </w:rPr>
            </w:pPr>
          </w:p>
        </w:tc>
        <w:tc>
          <w:tcPr>
            <w:tcW w:w="0" w:type="auto"/>
            <w:shd w:val="clear" w:color="auto" w:fill="auto"/>
          </w:tcPr>
          <w:p w14:paraId="5EA1EF1B"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F1C" w14:textId="77777777" w:rsidR="003C66EB" w:rsidRDefault="00D96C4E">
            <w:pPr>
              <w:jc w:val="right"/>
              <w:textAlignment w:val="bottom"/>
            </w:pPr>
            <w:r>
              <w:rPr>
                <w:rFonts w:ascii="Arial" w:eastAsia="宋体" w:hAnsi="Arial" w:cs="Arial"/>
                <w:b/>
                <w:bCs/>
                <w:color w:val="000000"/>
                <w:sz w:val="14"/>
                <w:szCs w:val="14"/>
              </w:rPr>
              <w:t>1,971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F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1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EF1F" w14:textId="77777777" w:rsidR="003C66EB" w:rsidRDefault="00D96C4E">
            <w:pPr>
              <w:jc w:val="right"/>
              <w:textAlignment w:val="bottom"/>
            </w:pPr>
            <w:r>
              <w:rPr>
                <w:rFonts w:ascii="Arial" w:eastAsia="宋体" w:hAnsi="Arial" w:cs="Arial"/>
                <w:color w:val="000000"/>
                <w:sz w:val="14"/>
                <w:szCs w:val="14"/>
              </w:rPr>
              <w:t>1,947 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F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21" w14:textId="77777777" w:rsidR="003C66EB" w:rsidRDefault="003C66EB">
            <w:pPr>
              <w:rPr>
                <w:rFonts w:ascii="宋体"/>
              </w:rPr>
            </w:pPr>
          </w:p>
        </w:tc>
        <w:tc>
          <w:tcPr>
            <w:tcW w:w="0" w:type="auto"/>
            <w:shd w:val="clear" w:color="auto" w:fill="auto"/>
          </w:tcPr>
          <w:p w14:paraId="5EA1EF22" w14:textId="77777777" w:rsidR="003C66EB" w:rsidRDefault="003C66EB">
            <w:pPr>
              <w:rPr>
                <w:rFonts w:ascii="宋体"/>
                <w:vanish/>
              </w:rPr>
            </w:pPr>
          </w:p>
        </w:tc>
        <w:tc>
          <w:tcPr>
            <w:tcW w:w="0" w:type="auto"/>
            <w:shd w:val="clear" w:color="auto" w:fill="auto"/>
          </w:tcPr>
          <w:p w14:paraId="5EA1EF23"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F24"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1EF25" w14:textId="77777777" w:rsidR="003C66EB" w:rsidRDefault="003C66EB">
            <w:pPr>
              <w:jc w:val="right"/>
              <w:rPr>
                <w:rFonts w:ascii="宋体"/>
              </w:rPr>
            </w:pPr>
          </w:p>
        </w:tc>
        <w:tc>
          <w:tcPr>
            <w:tcW w:w="0" w:type="auto"/>
            <w:gridSpan w:val="3"/>
            <w:shd w:val="clear" w:color="auto" w:fill="auto"/>
          </w:tcPr>
          <w:p w14:paraId="5EA1EF26" w14:textId="77777777" w:rsidR="003C66EB" w:rsidRDefault="003C66EB">
            <w:pPr>
              <w:rPr>
                <w:rFonts w:ascii="宋体"/>
                <w:vanish/>
              </w:rPr>
            </w:pPr>
          </w:p>
        </w:tc>
        <w:tc>
          <w:tcPr>
            <w:tcW w:w="0" w:type="auto"/>
            <w:gridSpan w:val="3"/>
            <w:shd w:val="clear" w:color="auto" w:fill="auto"/>
          </w:tcPr>
          <w:p w14:paraId="5EA1EF27" w14:textId="77777777" w:rsidR="003C66EB" w:rsidRDefault="003C66EB">
            <w:pPr>
              <w:rPr>
                <w:rFonts w:ascii="宋体"/>
                <w:vanish/>
              </w:rPr>
            </w:pPr>
          </w:p>
        </w:tc>
        <w:tc>
          <w:tcPr>
            <w:tcW w:w="0" w:type="auto"/>
            <w:gridSpan w:val="3"/>
            <w:shd w:val="clear" w:color="auto" w:fill="auto"/>
          </w:tcPr>
          <w:p w14:paraId="5EA1EF28" w14:textId="77777777" w:rsidR="003C66EB" w:rsidRDefault="003C66EB">
            <w:pPr>
              <w:rPr>
                <w:rFonts w:ascii="宋体"/>
                <w:vanish/>
              </w:rPr>
            </w:pPr>
          </w:p>
        </w:tc>
        <w:tc>
          <w:tcPr>
            <w:tcW w:w="0" w:type="auto"/>
            <w:gridSpan w:val="3"/>
            <w:shd w:val="clear" w:color="auto" w:fill="auto"/>
          </w:tcPr>
          <w:p w14:paraId="5EA1EF29" w14:textId="77777777" w:rsidR="003C66EB" w:rsidRDefault="003C66EB">
            <w:pPr>
              <w:rPr>
                <w:rFonts w:ascii="宋体"/>
                <w:vanish/>
              </w:rPr>
            </w:pPr>
          </w:p>
        </w:tc>
        <w:tc>
          <w:tcPr>
            <w:tcW w:w="0" w:type="auto"/>
            <w:gridSpan w:val="3"/>
            <w:shd w:val="clear" w:color="auto" w:fill="auto"/>
          </w:tcPr>
          <w:p w14:paraId="5EA1EF2A" w14:textId="77777777" w:rsidR="003C66EB" w:rsidRDefault="003C66EB">
            <w:pPr>
              <w:rPr>
                <w:rFonts w:ascii="宋体"/>
                <w:vanish/>
              </w:rPr>
            </w:pPr>
          </w:p>
        </w:tc>
        <w:tc>
          <w:tcPr>
            <w:tcW w:w="0" w:type="auto"/>
            <w:gridSpan w:val="3"/>
            <w:shd w:val="clear" w:color="auto" w:fill="auto"/>
          </w:tcPr>
          <w:p w14:paraId="5EA1EF2B" w14:textId="77777777" w:rsidR="003C66EB" w:rsidRDefault="003C66EB">
            <w:pPr>
              <w:rPr>
                <w:rFonts w:ascii="宋体"/>
                <w:vanish/>
              </w:rPr>
            </w:pPr>
          </w:p>
        </w:tc>
        <w:tc>
          <w:tcPr>
            <w:tcW w:w="0" w:type="auto"/>
            <w:gridSpan w:val="2"/>
            <w:shd w:val="clear" w:color="auto" w:fill="auto"/>
          </w:tcPr>
          <w:p w14:paraId="5EA1EF2C" w14:textId="77777777" w:rsidR="003C66EB" w:rsidRDefault="003C66EB">
            <w:pPr>
              <w:rPr>
                <w:rFonts w:ascii="宋体"/>
                <w:vanish/>
              </w:rPr>
            </w:pPr>
          </w:p>
        </w:tc>
        <w:tc>
          <w:tcPr>
            <w:tcW w:w="0" w:type="auto"/>
            <w:shd w:val="clear" w:color="auto" w:fill="auto"/>
          </w:tcPr>
          <w:p w14:paraId="5EA1EF2D" w14:textId="77777777" w:rsidR="003C66EB" w:rsidRDefault="003C66EB">
            <w:pPr>
              <w:rPr>
                <w:rFonts w:ascii="宋体"/>
                <w:vanish/>
              </w:rPr>
            </w:pPr>
          </w:p>
        </w:tc>
      </w:tr>
      <w:tr w:rsidR="003C66EB" w14:paraId="5EA1EF48" w14:textId="77777777">
        <w:tc>
          <w:tcPr>
            <w:tcW w:w="0" w:type="auto"/>
            <w:gridSpan w:val="3"/>
            <w:shd w:val="clear" w:color="auto" w:fill="FFFFFF"/>
            <w:tcMar>
              <w:top w:w="40" w:type="dxa"/>
              <w:left w:w="20" w:type="dxa"/>
              <w:bottom w:w="40" w:type="dxa"/>
              <w:right w:w="20" w:type="dxa"/>
            </w:tcMar>
            <w:vAlign w:val="bottom"/>
          </w:tcPr>
          <w:p w14:paraId="5EA1EF2F" w14:textId="77777777" w:rsidR="003C66EB" w:rsidRDefault="00D96C4E">
            <w:pPr>
              <w:textAlignment w:val="bottom"/>
            </w:pPr>
            <w:r>
              <w:rPr>
                <w:rFonts w:ascii="Arial" w:eastAsia="宋体" w:hAnsi="Arial" w:cs="Arial"/>
                <w:color w:val="000000"/>
                <w:sz w:val="14"/>
                <w:szCs w:val="14"/>
              </w:rPr>
              <w:t>Net interest income</w:t>
            </w:r>
          </w:p>
        </w:tc>
        <w:tc>
          <w:tcPr>
            <w:tcW w:w="0" w:type="auto"/>
            <w:shd w:val="clear" w:color="auto" w:fill="auto"/>
          </w:tcPr>
          <w:p w14:paraId="5EA1EF30" w14:textId="77777777" w:rsidR="003C66EB" w:rsidRDefault="003C66EB">
            <w:pPr>
              <w:rPr>
                <w:rFonts w:ascii="宋体"/>
                <w:vanish/>
              </w:rPr>
            </w:pPr>
          </w:p>
        </w:tc>
        <w:tc>
          <w:tcPr>
            <w:tcW w:w="0" w:type="auto"/>
            <w:shd w:val="clear" w:color="auto" w:fill="auto"/>
          </w:tcPr>
          <w:p w14:paraId="5EA1EF31" w14:textId="77777777" w:rsidR="003C66EB" w:rsidRDefault="003C66EB">
            <w:pPr>
              <w:rPr>
                <w:rFonts w:ascii="宋体"/>
                <w:vanish/>
              </w:rPr>
            </w:pPr>
          </w:p>
        </w:tc>
        <w:tc>
          <w:tcPr>
            <w:tcW w:w="0" w:type="auto"/>
            <w:shd w:val="clear" w:color="auto" w:fill="auto"/>
          </w:tcPr>
          <w:p w14:paraId="5EA1EF32" w14:textId="77777777" w:rsidR="003C66EB" w:rsidRDefault="003C66EB">
            <w:pPr>
              <w:rPr>
                <w:rFonts w:ascii="宋体"/>
                <w:vanish/>
              </w:rPr>
            </w:pPr>
          </w:p>
        </w:tc>
        <w:tc>
          <w:tcPr>
            <w:tcW w:w="0" w:type="auto"/>
            <w:shd w:val="clear" w:color="auto" w:fill="auto"/>
          </w:tcPr>
          <w:p w14:paraId="5EA1EF33" w14:textId="77777777" w:rsidR="003C66EB" w:rsidRDefault="003C66EB">
            <w:pPr>
              <w:rPr>
                <w:rFonts w:ascii="宋体"/>
                <w:vanish/>
              </w:rPr>
            </w:pPr>
          </w:p>
        </w:tc>
        <w:tc>
          <w:tcPr>
            <w:tcW w:w="0" w:type="auto"/>
            <w:shd w:val="clear" w:color="auto" w:fill="auto"/>
          </w:tcPr>
          <w:p w14:paraId="5EA1EF34" w14:textId="77777777" w:rsidR="003C66EB" w:rsidRDefault="003C66EB">
            <w:pPr>
              <w:rPr>
                <w:rFonts w:ascii="宋体"/>
                <w:vanish/>
              </w:rPr>
            </w:pPr>
          </w:p>
        </w:tc>
        <w:tc>
          <w:tcPr>
            <w:tcW w:w="0" w:type="auto"/>
            <w:shd w:val="clear" w:color="auto" w:fill="auto"/>
          </w:tcPr>
          <w:p w14:paraId="5EA1EF35"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36" w14:textId="77777777" w:rsidR="003C66EB" w:rsidRDefault="00D96C4E">
            <w:pPr>
              <w:jc w:val="right"/>
              <w:textAlignment w:val="bottom"/>
            </w:pPr>
            <w:r>
              <w:rPr>
                <w:rFonts w:ascii="Arial" w:eastAsia="宋体" w:hAnsi="Arial" w:cs="Arial"/>
                <w:b/>
                <w:bCs/>
                <w:color w:val="000000"/>
                <w:sz w:val="14"/>
                <w:szCs w:val="14"/>
              </w:rPr>
              <w:t>473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F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38"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EF39" w14:textId="77777777" w:rsidR="003C66EB" w:rsidRDefault="00D96C4E">
            <w:pPr>
              <w:jc w:val="right"/>
              <w:textAlignment w:val="bottom"/>
            </w:pPr>
            <w:r>
              <w:rPr>
                <w:rFonts w:ascii="Arial" w:eastAsia="宋体" w:hAnsi="Arial" w:cs="Arial"/>
                <w:color w:val="000000"/>
                <w:sz w:val="14"/>
                <w:szCs w:val="14"/>
              </w:rPr>
              <w:t>663 </w:t>
            </w:r>
          </w:p>
        </w:tc>
        <w:tc>
          <w:tcPr>
            <w:tcW w:w="0" w:type="auto"/>
            <w:shd w:val="clear" w:color="auto" w:fill="auto"/>
            <w:tcMar>
              <w:top w:w="40" w:type="dxa"/>
              <w:left w:w="0" w:type="dxa"/>
              <w:bottom w:w="40" w:type="dxa"/>
              <w:right w:w="20" w:type="dxa"/>
            </w:tcMar>
            <w:vAlign w:val="bottom"/>
          </w:tcPr>
          <w:p w14:paraId="5EA1EF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3B" w14:textId="77777777" w:rsidR="003C66EB" w:rsidRDefault="003C66EB">
            <w:pPr>
              <w:rPr>
                <w:rFonts w:ascii="宋体"/>
              </w:rPr>
            </w:pPr>
          </w:p>
        </w:tc>
        <w:tc>
          <w:tcPr>
            <w:tcW w:w="0" w:type="auto"/>
            <w:shd w:val="clear" w:color="auto" w:fill="auto"/>
          </w:tcPr>
          <w:p w14:paraId="5EA1EF3C" w14:textId="77777777" w:rsidR="003C66EB" w:rsidRDefault="003C66EB">
            <w:pPr>
              <w:rPr>
                <w:rFonts w:ascii="宋体"/>
                <w:vanish/>
              </w:rPr>
            </w:pPr>
          </w:p>
        </w:tc>
        <w:tc>
          <w:tcPr>
            <w:tcW w:w="0" w:type="auto"/>
            <w:shd w:val="clear" w:color="auto" w:fill="auto"/>
          </w:tcPr>
          <w:p w14:paraId="5EA1EF3D"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3E" w14:textId="77777777" w:rsidR="003C66EB" w:rsidRDefault="00D96C4E">
            <w:pPr>
              <w:jc w:val="right"/>
              <w:textAlignment w:val="bottom"/>
            </w:pPr>
            <w:r>
              <w:rPr>
                <w:rFonts w:ascii="Arial" w:eastAsia="宋体" w:hAnsi="Arial" w:cs="Arial"/>
                <w:color w:val="000000"/>
                <w:sz w:val="14"/>
                <w:szCs w:val="14"/>
              </w:rPr>
              <w:t>(29)</w:t>
            </w:r>
          </w:p>
        </w:tc>
        <w:tc>
          <w:tcPr>
            <w:tcW w:w="0" w:type="auto"/>
            <w:shd w:val="clear" w:color="auto" w:fill="FFFFFF"/>
            <w:tcMar>
              <w:top w:w="40" w:type="dxa"/>
              <w:left w:w="0" w:type="dxa"/>
              <w:bottom w:w="40" w:type="dxa"/>
              <w:right w:w="20" w:type="dxa"/>
            </w:tcMar>
            <w:vAlign w:val="bottom"/>
          </w:tcPr>
          <w:p w14:paraId="5EA1EF3F" w14:textId="77777777" w:rsidR="003C66EB" w:rsidRDefault="003C66EB">
            <w:pPr>
              <w:jc w:val="right"/>
              <w:rPr>
                <w:rFonts w:ascii="宋体"/>
              </w:rPr>
            </w:pPr>
          </w:p>
        </w:tc>
        <w:tc>
          <w:tcPr>
            <w:tcW w:w="0" w:type="auto"/>
            <w:gridSpan w:val="3"/>
            <w:shd w:val="clear" w:color="auto" w:fill="auto"/>
          </w:tcPr>
          <w:p w14:paraId="5EA1EF40" w14:textId="77777777" w:rsidR="003C66EB" w:rsidRDefault="003C66EB">
            <w:pPr>
              <w:rPr>
                <w:rFonts w:ascii="宋体"/>
                <w:vanish/>
              </w:rPr>
            </w:pPr>
          </w:p>
        </w:tc>
        <w:tc>
          <w:tcPr>
            <w:tcW w:w="0" w:type="auto"/>
            <w:gridSpan w:val="3"/>
            <w:shd w:val="clear" w:color="auto" w:fill="auto"/>
          </w:tcPr>
          <w:p w14:paraId="5EA1EF41" w14:textId="77777777" w:rsidR="003C66EB" w:rsidRDefault="003C66EB">
            <w:pPr>
              <w:rPr>
                <w:rFonts w:ascii="宋体"/>
                <w:vanish/>
              </w:rPr>
            </w:pPr>
          </w:p>
        </w:tc>
        <w:tc>
          <w:tcPr>
            <w:tcW w:w="0" w:type="auto"/>
            <w:gridSpan w:val="3"/>
            <w:shd w:val="clear" w:color="auto" w:fill="auto"/>
          </w:tcPr>
          <w:p w14:paraId="5EA1EF42" w14:textId="77777777" w:rsidR="003C66EB" w:rsidRDefault="003C66EB">
            <w:pPr>
              <w:rPr>
                <w:rFonts w:ascii="宋体"/>
                <w:vanish/>
              </w:rPr>
            </w:pPr>
          </w:p>
        </w:tc>
        <w:tc>
          <w:tcPr>
            <w:tcW w:w="0" w:type="auto"/>
            <w:gridSpan w:val="3"/>
            <w:shd w:val="clear" w:color="auto" w:fill="auto"/>
          </w:tcPr>
          <w:p w14:paraId="5EA1EF43" w14:textId="77777777" w:rsidR="003C66EB" w:rsidRDefault="003C66EB">
            <w:pPr>
              <w:rPr>
                <w:rFonts w:ascii="宋体"/>
                <w:vanish/>
              </w:rPr>
            </w:pPr>
          </w:p>
        </w:tc>
        <w:tc>
          <w:tcPr>
            <w:tcW w:w="0" w:type="auto"/>
            <w:gridSpan w:val="3"/>
            <w:shd w:val="clear" w:color="auto" w:fill="auto"/>
          </w:tcPr>
          <w:p w14:paraId="5EA1EF44" w14:textId="77777777" w:rsidR="003C66EB" w:rsidRDefault="003C66EB">
            <w:pPr>
              <w:rPr>
                <w:rFonts w:ascii="宋体"/>
                <w:vanish/>
              </w:rPr>
            </w:pPr>
          </w:p>
        </w:tc>
        <w:tc>
          <w:tcPr>
            <w:tcW w:w="0" w:type="auto"/>
            <w:gridSpan w:val="3"/>
            <w:shd w:val="clear" w:color="auto" w:fill="auto"/>
          </w:tcPr>
          <w:p w14:paraId="5EA1EF45" w14:textId="77777777" w:rsidR="003C66EB" w:rsidRDefault="003C66EB">
            <w:pPr>
              <w:rPr>
                <w:rFonts w:ascii="宋体"/>
                <w:vanish/>
              </w:rPr>
            </w:pPr>
          </w:p>
        </w:tc>
        <w:tc>
          <w:tcPr>
            <w:tcW w:w="0" w:type="auto"/>
            <w:gridSpan w:val="2"/>
            <w:shd w:val="clear" w:color="auto" w:fill="auto"/>
          </w:tcPr>
          <w:p w14:paraId="5EA1EF46" w14:textId="77777777" w:rsidR="003C66EB" w:rsidRDefault="003C66EB">
            <w:pPr>
              <w:rPr>
                <w:rFonts w:ascii="宋体"/>
                <w:vanish/>
              </w:rPr>
            </w:pPr>
          </w:p>
        </w:tc>
        <w:tc>
          <w:tcPr>
            <w:tcW w:w="0" w:type="auto"/>
            <w:shd w:val="clear" w:color="auto" w:fill="auto"/>
          </w:tcPr>
          <w:p w14:paraId="5EA1EF47" w14:textId="77777777" w:rsidR="003C66EB" w:rsidRDefault="003C66EB">
            <w:pPr>
              <w:rPr>
                <w:rFonts w:ascii="宋体"/>
                <w:vanish/>
              </w:rPr>
            </w:pPr>
          </w:p>
        </w:tc>
      </w:tr>
      <w:tr w:rsidR="003C66EB" w14:paraId="5EA1EF61" w14:textId="77777777">
        <w:tc>
          <w:tcPr>
            <w:tcW w:w="0" w:type="auto"/>
            <w:gridSpan w:val="3"/>
            <w:shd w:val="clear" w:color="auto" w:fill="CCEEFF"/>
            <w:tcMar>
              <w:top w:w="40" w:type="dxa"/>
              <w:left w:w="20" w:type="dxa"/>
              <w:bottom w:w="40" w:type="dxa"/>
              <w:right w:w="20" w:type="dxa"/>
            </w:tcMar>
            <w:vAlign w:val="bottom"/>
          </w:tcPr>
          <w:p w14:paraId="5EA1EF49" w14:textId="77777777" w:rsidR="003C66EB" w:rsidRDefault="00D96C4E">
            <w:pPr>
              <w:textAlignment w:val="bottom"/>
            </w:pPr>
            <w:r>
              <w:rPr>
                <w:rFonts w:ascii="Arial" w:eastAsia="宋体" w:hAnsi="Arial" w:cs="Arial"/>
                <w:color w:val="000000"/>
                <w:sz w:val="14"/>
                <w:szCs w:val="14"/>
              </w:rPr>
              <w:t>Total other income</w:t>
            </w:r>
          </w:p>
        </w:tc>
        <w:tc>
          <w:tcPr>
            <w:tcW w:w="0" w:type="auto"/>
            <w:shd w:val="clear" w:color="auto" w:fill="auto"/>
          </w:tcPr>
          <w:p w14:paraId="5EA1EF4A" w14:textId="77777777" w:rsidR="003C66EB" w:rsidRDefault="003C66EB">
            <w:pPr>
              <w:rPr>
                <w:rFonts w:ascii="宋体"/>
                <w:vanish/>
              </w:rPr>
            </w:pPr>
          </w:p>
        </w:tc>
        <w:tc>
          <w:tcPr>
            <w:tcW w:w="0" w:type="auto"/>
            <w:shd w:val="clear" w:color="auto" w:fill="auto"/>
          </w:tcPr>
          <w:p w14:paraId="5EA1EF4B" w14:textId="77777777" w:rsidR="003C66EB" w:rsidRDefault="003C66EB">
            <w:pPr>
              <w:rPr>
                <w:rFonts w:ascii="宋体"/>
                <w:vanish/>
              </w:rPr>
            </w:pPr>
          </w:p>
        </w:tc>
        <w:tc>
          <w:tcPr>
            <w:tcW w:w="0" w:type="auto"/>
            <w:shd w:val="clear" w:color="auto" w:fill="auto"/>
          </w:tcPr>
          <w:p w14:paraId="5EA1EF4C" w14:textId="77777777" w:rsidR="003C66EB" w:rsidRDefault="003C66EB">
            <w:pPr>
              <w:rPr>
                <w:rFonts w:ascii="宋体"/>
                <w:vanish/>
              </w:rPr>
            </w:pPr>
          </w:p>
        </w:tc>
        <w:tc>
          <w:tcPr>
            <w:tcW w:w="0" w:type="auto"/>
            <w:shd w:val="clear" w:color="auto" w:fill="auto"/>
          </w:tcPr>
          <w:p w14:paraId="5EA1EF4D" w14:textId="77777777" w:rsidR="003C66EB" w:rsidRDefault="003C66EB">
            <w:pPr>
              <w:rPr>
                <w:rFonts w:ascii="宋体"/>
                <w:vanish/>
              </w:rPr>
            </w:pPr>
          </w:p>
        </w:tc>
        <w:tc>
          <w:tcPr>
            <w:tcW w:w="0" w:type="auto"/>
            <w:shd w:val="clear" w:color="auto" w:fill="auto"/>
          </w:tcPr>
          <w:p w14:paraId="5EA1EF4E" w14:textId="77777777" w:rsidR="003C66EB" w:rsidRDefault="003C66EB">
            <w:pPr>
              <w:rPr>
                <w:rFonts w:ascii="宋体"/>
                <w:vanish/>
              </w:rPr>
            </w:pPr>
          </w:p>
        </w:tc>
        <w:tc>
          <w:tcPr>
            <w:tcW w:w="0" w:type="auto"/>
            <w:shd w:val="clear" w:color="auto" w:fill="auto"/>
          </w:tcPr>
          <w:p w14:paraId="5EA1EF4F"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F50"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EF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5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F53"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A1EF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55" w14:textId="77777777" w:rsidR="003C66EB" w:rsidRDefault="003C66EB">
            <w:pPr>
              <w:rPr>
                <w:rFonts w:ascii="宋体"/>
              </w:rPr>
            </w:pPr>
          </w:p>
        </w:tc>
        <w:tc>
          <w:tcPr>
            <w:tcW w:w="0" w:type="auto"/>
            <w:shd w:val="clear" w:color="auto" w:fill="auto"/>
          </w:tcPr>
          <w:p w14:paraId="5EA1EF56" w14:textId="77777777" w:rsidR="003C66EB" w:rsidRDefault="003C66EB">
            <w:pPr>
              <w:rPr>
                <w:rFonts w:ascii="宋体"/>
                <w:vanish/>
              </w:rPr>
            </w:pPr>
          </w:p>
        </w:tc>
        <w:tc>
          <w:tcPr>
            <w:tcW w:w="0" w:type="auto"/>
            <w:shd w:val="clear" w:color="auto" w:fill="auto"/>
          </w:tcPr>
          <w:p w14:paraId="5EA1EF57" w14:textId="77777777" w:rsidR="003C66EB" w:rsidRDefault="003C66EB">
            <w:pPr>
              <w:rPr>
                <w:rFonts w:ascii="宋体"/>
                <w:vanish/>
              </w:rPr>
            </w:pPr>
          </w:p>
        </w:tc>
        <w:tc>
          <w:tcPr>
            <w:tcW w:w="0" w:type="auto"/>
            <w:gridSpan w:val="3"/>
            <w:shd w:val="clear" w:color="auto" w:fill="CCEEFF"/>
            <w:tcMar>
              <w:top w:w="40" w:type="dxa"/>
              <w:left w:w="20" w:type="dxa"/>
              <w:bottom w:w="40" w:type="dxa"/>
              <w:right w:w="140" w:type="dxa"/>
            </w:tcMar>
            <w:vAlign w:val="bottom"/>
          </w:tcPr>
          <w:p w14:paraId="5EA1EF58" w14:textId="77777777" w:rsidR="003C66EB" w:rsidRDefault="00D96C4E">
            <w:pPr>
              <w:jc w:val="right"/>
              <w:textAlignment w:val="bottom"/>
            </w:pPr>
            <w:r>
              <w:rPr>
                <w:rFonts w:ascii="Arial" w:eastAsia="宋体" w:hAnsi="Arial" w:cs="Arial"/>
                <w:color w:val="000000"/>
                <w:sz w:val="14"/>
                <w:szCs w:val="14"/>
              </w:rPr>
              <w:t>nm</w:t>
            </w:r>
          </w:p>
        </w:tc>
        <w:tc>
          <w:tcPr>
            <w:tcW w:w="0" w:type="auto"/>
            <w:gridSpan w:val="3"/>
            <w:shd w:val="clear" w:color="auto" w:fill="auto"/>
          </w:tcPr>
          <w:p w14:paraId="5EA1EF59" w14:textId="77777777" w:rsidR="003C66EB" w:rsidRDefault="003C66EB">
            <w:pPr>
              <w:rPr>
                <w:rFonts w:ascii="宋体"/>
                <w:vanish/>
              </w:rPr>
            </w:pPr>
          </w:p>
        </w:tc>
        <w:tc>
          <w:tcPr>
            <w:tcW w:w="0" w:type="auto"/>
            <w:gridSpan w:val="3"/>
            <w:shd w:val="clear" w:color="auto" w:fill="auto"/>
          </w:tcPr>
          <w:p w14:paraId="5EA1EF5A" w14:textId="77777777" w:rsidR="003C66EB" w:rsidRDefault="003C66EB">
            <w:pPr>
              <w:rPr>
                <w:rFonts w:ascii="宋体"/>
                <w:vanish/>
              </w:rPr>
            </w:pPr>
          </w:p>
        </w:tc>
        <w:tc>
          <w:tcPr>
            <w:tcW w:w="0" w:type="auto"/>
            <w:gridSpan w:val="3"/>
            <w:shd w:val="clear" w:color="auto" w:fill="auto"/>
          </w:tcPr>
          <w:p w14:paraId="5EA1EF5B" w14:textId="77777777" w:rsidR="003C66EB" w:rsidRDefault="003C66EB">
            <w:pPr>
              <w:rPr>
                <w:rFonts w:ascii="宋体"/>
                <w:vanish/>
              </w:rPr>
            </w:pPr>
          </w:p>
        </w:tc>
        <w:tc>
          <w:tcPr>
            <w:tcW w:w="0" w:type="auto"/>
            <w:gridSpan w:val="3"/>
            <w:shd w:val="clear" w:color="auto" w:fill="auto"/>
          </w:tcPr>
          <w:p w14:paraId="5EA1EF5C" w14:textId="77777777" w:rsidR="003C66EB" w:rsidRDefault="003C66EB">
            <w:pPr>
              <w:rPr>
                <w:rFonts w:ascii="宋体"/>
                <w:vanish/>
              </w:rPr>
            </w:pPr>
          </w:p>
        </w:tc>
        <w:tc>
          <w:tcPr>
            <w:tcW w:w="0" w:type="auto"/>
            <w:gridSpan w:val="3"/>
            <w:shd w:val="clear" w:color="auto" w:fill="auto"/>
          </w:tcPr>
          <w:p w14:paraId="5EA1EF5D" w14:textId="77777777" w:rsidR="003C66EB" w:rsidRDefault="003C66EB">
            <w:pPr>
              <w:rPr>
                <w:rFonts w:ascii="宋体"/>
                <w:vanish/>
              </w:rPr>
            </w:pPr>
          </w:p>
        </w:tc>
        <w:tc>
          <w:tcPr>
            <w:tcW w:w="0" w:type="auto"/>
            <w:gridSpan w:val="3"/>
            <w:shd w:val="clear" w:color="auto" w:fill="auto"/>
          </w:tcPr>
          <w:p w14:paraId="5EA1EF5E" w14:textId="77777777" w:rsidR="003C66EB" w:rsidRDefault="003C66EB">
            <w:pPr>
              <w:rPr>
                <w:rFonts w:ascii="宋体"/>
                <w:vanish/>
              </w:rPr>
            </w:pPr>
          </w:p>
        </w:tc>
        <w:tc>
          <w:tcPr>
            <w:tcW w:w="0" w:type="auto"/>
            <w:gridSpan w:val="2"/>
            <w:shd w:val="clear" w:color="auto" w:fill="auto"/>
          </w:tcPr>
          <w:p w14:paraId="5EA1EF5F" w14:textId="77777777" w:rsidR="003C66EB" w:rsidRDefault="003C66EB">
            <w:pPr>
              <w:rPr>
                <w:rFonts w:ascii="宋体"/>
                <w:vanish/>
              </w:rPr>
            </w:pPr>
          </w:p>
        </w:tc>
        <w:tc>
          <w:tcPr>
            <w:tcW w:w="0" w:type="auto"/>
            <w:shd w:val="clear" w:color="auto" w:fill="auto"/>
          </w:tcPr>
          <w:p w14:paraId="5EA1EF60" w14:textId="77777777" w:rsidR="003C66EB" w:rsidRDefault="003C66EB">
            <w:pPr>
              <w:rPr>
                <w:rFonts w:ascii="宋体"/>
                <w:vanish/>
              </w:rPr>
            </w:pPr>
          </w:p>
        </w:tc>
      </w:tr>
      <w:tr w:rsidR="003C66EB" w14:paraId="5EA1EF7B" w14:textId="77777777">
        <w:tc>
          <w:tcPr>
            <w:tcW w:w="0" w:type="auto"/>
            <w:gridSpan w:val="3"/>
            <w:shd w:val="clear" w:color="auto" w:fill="FFFFFF"/>
            <w:tcMar>
              <w:top w:w="40" w:type="dxa"/>
              <w:left w:w="20" w:type="dxa"/>
              <w:bottom w:w="40" w:type="dxa"/>
              <w:right w:w="20" w:type="dxa"/>
            </w:tcMar>
            <w:vAlign w:val="bottom"/>
          </w:tcPr>
          <w:p w14:paraId="5EA1EF62" w14:textId="77777777" w:rsidR="003C66EB" w:rsidRDefault="00D96C4E">
            <w:pPr>
              <w:textAlignment w:val="bottom"/>
            </w:pPr>
            <w:r>
              <w:rPr>
                <w:rFonts w:ascii="Arial" w:eastAsia="宋体" w:hAnsi="Arial" w:cs="Arial"/>
                <w:b/>
                <w:bCs/>
                <w:color w:val="000000"/>
                <w:sz w:val="14"/>
                <w:szCs w:val="14"/>
              </w:rPr>
              <w:t>Total revenue</w:t>
            </w:r>
          </w:p>
        </w:tc>
        <w:tc>
          <w:tcPr>
            <w:tcW w:w="0" w:type="auto"/>
            <w:shd w:val="clear" w:color="auto" w:fill="auto"/>
          </w:tcPr>
          <w:p w14:paraId="5EA1EF63" w14:textId="77777777" w:rsidR="003C66EB" w:rsidRDefault="003C66EB">
            <w:pPr>
              <w:rPr>
                <w:rFonts w:ascii="宋体"/>
                <w:vanish/>
              </w:rPr>
            </w:pPr>
          </w:p>
        </w:tc>
        <w:tc>
          <w:tcPr>
            <w:tcW w:w="0" w:type="auto"/>
            <w:shd w:val="clear" w:color="auto" w:fill="auto"/>
          </w:tcPr>
          <w:p w14:paraId="5EA1EF64" w14:textId="77777777" w:rsidR="003C66EB" w:rsidRDefault="003C66EB">
            <w:pPr>
              <w:rPr>
                <w:rFonts w:ascii="宋体"/>
                <w:vanish/>
              </w:rPr>
            </w:pPr>
          </w:p>
        </w:tc>
        <w:tc>
          <w:tcPr>
            <w:tcW w:w="0" w:type="auto"/>
            <w:shd w:val="clear" w:color="auto" w:fill="auto"/>
          </w:tcPr>
          <w:p w14:paraId="5EA1EF65" w14:textId="77777777" w:rsidR="003C66EB" w:rsidRDefault="003C66EB">
            <w:pPr>
              <w:rPr>
                <w:rFonts w:ascii="宋体"/>
                <w:vanish/>
              </w:rPr>
            </w:pPr>
          </w:p>
        </w:tc>
        <w:tc>
          <w:tcPr>
            <w:tcW w:w="0" w:type="auto"/>
            <w:shd w:val="clear" w:color="auto" w:fill="auto"/>
          </w:tcPr>
          <w:p w14:paraId="5EA1EF66" w14:textId="77777777" w:rsidR="003C66EB" w:rsidRDefault="003C66EB">
            <w:pPr>
              <w:rPr>
                <w:rFonts w:ascii="宋体"/>
                <w:vanish/>
              </w:rPr>
            </w:pPr>
          </w:p>
        </w:tc>
        <w:tc>
          <w:tcPr>
            <w:tcW w:w="0" w:type="auto"/>
            <w:shd w:val="clear" w:color="auto" w:fill="auto"/>
          </w:tcPr>
          <w:p w14:paraId="5EA1EF67" w14:textId="77777777" w:rsidR="003C66EB" w:rsidRDefault="003C66EB">
            <w:pPr>
              <w:rPr>
                <w:rFonts w:ascii="宋体"/>
                <w:vanish/>
              </w:rPr>
            </w:pPr>
          </w:p>
        </w:tc>
        <w:tc>
          <w:tcPr>
            <w:tcW w:w="0" w:type="auto"/>
            <w:shd w:val="clear" w:color="auto" w:fill="auto"/>
          </w:tcPr>
          <w:p w14:paraId="5EA1EF68"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F69" w14:textId="77777777" w:rsidR="003C66EB" w:rsidRDefault="00D96C4E">
            <w:pPr>
              <w:jc w:val="right"/>
              <w:textAlignment w:val="bottom"/>
            </w:pPr>
            <w:r>
              <w:rPr>
                <w:rFonts w:ascii="Arial" w:eastAsia="宋体" w:hAnsi="Arial" w:cs="Arial"/>
                <w:b/>
                <w:bCs/>
                <w:color w:val="000000"/>
                <w:sz w:val="14"/>
                <w:szCs w:val="14"/>
              </w:rPr>
              <w:t>2,444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F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6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EF6C" w14:textId="77777777" w:rsidR="003C66EB" w:rsidRDefault="00D96C4E">
            <w:pPr>
              <w:jc w:val="right"/>
              <w:textAlignment w:val="bottom"/>
            </w:pPr>
            <w:r>
              <w:rPr>
                <w:rFonts w:ascii="Arial" w:eastAsia="宋体" w:hAnsi="Arial" w:cs="Arial"/>
                <w:color w:val="000000"/>
                <w:sz w:val="14"/>
                <w:szCs w:val="14"/>
              </w:rPr>
              <w:t>2,612 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EF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6E" w14:textId="77777777" w:rsidR="003C66EB" w:rsidRDefault="003C66EB">
            <w:pPr>
              <w:rPr>
                <w:rFonts w:ascii="宋体"/>
              </w:rPr>
            </w:pPr>
          </w:p>
        </w:tc>
        <w:tc>
          <w:tcPr>
            <w:tcW w:w="0" w:type="auto"/>
            <w:shd w:val="clear" w:color="auto" w:fill="auto"/>
          </w:tcPr>
          <w:p w14:paraId="5EA1EF6F" w14:textId="77777777" w:rsidR="003C66EB" w:rsidRDefault="003C66EB">
            <w:pPr>
              <w:rPr>
                <w:rFonts w:ascii="宋体"/>
                <w:vanish/>
              </w:rPr>
            </w:pPr>
          </w:p>
        </w:tc>
        <w:tc>
          <w:tcPr>
            <w:tcW w:w="0" w:type="auto"/>
            <w:shd w:val="clear" w:color="auto" w:fill="auto"/>
          </w:tcPr>
          <w:p w14:paraId="5EA1EF7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71" w14:textId="77777777" w:rsidR="003C66EB" w:rsidRDefault="00D96C4E">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5EA1EF72" w14:textId="77777777" w:rsidR="003C66EB" w:rsidRDefault="003C66EB">
            <w:pPr>
              <w:jc w:val="right"/>
              <w:rPr>
                <w:rFonts w:ascii="宋体"/>
              </w:rPr>
            </w:pPr>
          </w:p>
        </w:tc>
        <w:tc>
          <w:tcPr>
            <w:tcW w:w="0" w:type="auto"/>
            <w:gridSpan w:val="3"/>
            <w:shd w:val="clear" w:color="auto" w:fill="auto"/>
          </w:tcPr>
          <w:p w14:paraId="5EA1EF73" w14:textId="77777777" w:rsidR="003C66EB" w:rsidRDefault="003C66EB">
            <w:pPr>
              <w:rPr>
                <w:rFonts w:ascii="宋体"/>
                <w:vanish/>
              </w:rPr>
            </w:pPr>
          </w:p>
        </w:tc>
        <w:tc>
          <w:tcPr>
            <w:tcW w:w="0" w:type="auto"/>
            <w:gridSpan w:val="3"/>
            <w:shd w:val="clear" w:color="auto" w:fill="auto"/>
          </w:tcPr>
          <w:p w14:paraId="5EA1EF74" w14:textId="77777777" w:rsidR="003C66EB" w:rsidRDefault="003C66EB">
            <w:pPr>
              <w:rPr>
                <w:rFonts w:ascii="宋体"/>
                <w:vanish/>
              </w:rPr>
            </w:pPr>
          </w:p>
        </w:tc>
        <w:tc>
          <w:tcPr>
            <w:tcW w:w="0" w:type="auto"/>
            <w:gridSpan w:val="3"/>
            <w:shd w:val="clear" w:color="auto" w:fill="auto"/>
          </w:tcPr>
          <w:p w14:paraId="5EA1EF75" w14:textId="77777777" w:rsidR="003C66EB" w:rsidRDefault="003C66EB">
            <w:pPr>
              <w:rPr>
                <w:rFonts w:ascii="宋体"/>
                <w:vanish/>
              </w:rPr>
            </w:pPr>
          </w:p>
        </w:tc>
        <w:tc>
          <w:tcPr>
            <w:tcW w:w="0" w:type="auto"/>
            <w:gridSpan w:val="3"/>
            <w:shd w:val="clear" w:color="auto" w:fill="auto"/>
          </w:tcPr>
          <w:p w14:paraId="5EA1EF76" w14:textId="77777777" w:rsidR="003C66EB" w:rsidRDefault="003C66EB">
            <w:pPr>
              <w:rPr>
                <w:rFonts w:ascii="宋体"/>
                <w:vanish/>
              </w:rPr>
            </w:pPr>
          </w:p>
        </w:tc>
        <w:tc>
          <w:tcPr>
            <w:tcW w:w="0" w:type="auto"/>
            <w:gridSpan w:val="3"/>
            <w:shd w:val="clear" w:color="auto" w:fill="auto"/>
          </w:tcPr>
          <w:p w14:paraId="5EA1EF77" w14:textId="77777777" w:rsidR="003C66EB" w:rsidRDefault="003C66EB">
            <w:pPr>
              <w:rPr>
                <w:rFonts w:ascii="宋体"/>
                <w:vanish/>
              </w:rPr>
            </w:pPr>
          </w:p>
        </w:tc>
        <w:tc>
          <w:tcPr>
            <w:tcW w:w="0" w:type="auto"/>
            <w:gridSpan w:val="3"/>
            <w:shd w:val="clear" w:color="auto" w:fill="auto"/>
          </w:tcPr>
          <w:p w14:paraId="5EA1EF78" w14:textId="77777777" w:rsidR="003C66EB" w:rsidRDefault="003C66EB">
            <w:pPr>
              <w:rPr>
                <w:rFonts w:ascii="宋体"/>
                <w:vanish/>
              </w:rPr>
            </w:pPr>
          </w:p>
        </w:tc>
        <w:tc>
          <w:tcPr>
            <w:tcW w:w="0" w:type="auto"/>
            <w:gridSpan w:val="2"/>
            <w:shd w:val="clear" w:color="auto" w:fill="auto"/>
          </w:tcPr>
          <w:p w14:paraId="5EA1EF79" w14:textId="77777777" w:rsidR="003C66EB" w:rsidRDefault="003C66EB">
            <w:pPr>
              <w:rPr>
                <w:rFonts w:ascii="宋体"/>
                <w:vanish/>
              </w:rPr>
            </w:pPr>
          </w:p>
        </w:tc>
        <w:tc>
          <w:tcPr>
            <w:tcW w:w="0" w:type="auto"/>
            <w:shd w:val="clear" w:color="auto" w:fill="auto"/>
          </w:tcPr>
          <w:p w14:paraId="5EA1EF7A" w14:textId="77777777" w:rsidR="003C66EB" w:rsidRDefault="003C66EB">
            <w:pPr>
              <w:rPr>
                <w:rFonts w:ascii="宋体"/>
                <w:vanish/>
              </w:rPr>
            </w:pPr>
          </w:p>
        </w:tc>
      </w:tr>
      <w:tr w:rsidR="003C66EB" w14:paraId="5EA1EF94" w14:textId="77777777">
        <w:tc>
          <w:tcPr>
            <w:tcW w:w="0" w:type="auto"/>
            <w:gridSpan w:val="3"/>
            <w:shd w:val="clear" w:color="auto" w:fill="CCEEFF"/>
            <w:tcMar>
              <w:top w:w="40" w:type="dxa"/>
              <w:left w:w="20" w:type="dxa"/>
              <w:bottom w:w="40" w:type="dxa"/>
              <w:right w:w="20" w:type="dxa"/>
            </w:tcMar>
            <w:vAlign w:val="bottom"/>
          </w:tcPr>
          <w:p w14:paraId="5EA1EF7C" w14:textId="77777777" w:rsidR="003C66EB" w:rsidRDefault="00D96C4E">
            <w:pPr>
              <w:textAlignment w:val="bottom"/>
            </w:pPr>
            <w:r>
              <w:rPr>
                <w:rFonts w:ascii="Arial" w:eastAsia="宋体" w:hAnsi="Arial" w:cs="Arial"/>
                <w:color w:val="000000"/>
                <w:sz w:val="14"/>
                <w:szCs w:val="14"/>
              </w:rPr>
              <w:t>Provision for credit losses</w:t>
            </w:r>
          </w:p>
        </w:tc>
        <w:tc>
          <w:tcPr>
            <w:tcW w:w="0" w:type="auto"/>
            <w:shd w:val="clear" w:color="auto" w:fill="auto"/>
          </w:tcPr>
          <w:p w14:paraId="5EA1EF7D" w14:textId="77777777" w:rsidR="003C66EB" w:rsidRDefault="003C66EB">
            <w:pPr>
              <w:rPr>
                <w:rFonts w:ascii="宋体"/>
                <w:vanish/>
              </w:rPr>
            </w:pPr>
          </w:p>
        </w:tc>
        <w:tc>
          <w:tcPr>
            <w:tcW w:w="0" w:type="auto"/>
            <w:shd w:val="clear" w:color="auto" w:fill="auto"/>
          </w:tcPr>
          <w:p w14:paraId="5EA1EF7E" w14:textId="77777777" w:rsidR="003C66EB" w:rsidRDefault="003C66EB">
            <w:pPr>
              <w:rPr>
                <w:rFonts w:ascii="宋体"/>
                <w:vanish/>
              </w:rPr>
            </w:pPr>
          </w:p>
        </w:tc>
        <w:tc>
          <w:tcPr>
            <w:tcW w:w="0" w:type="auto"/>
            <w:shd w:val="clear" w:color="auto" w:fill="auto"/>
          </w:tcPr>
          <w:p w14:paraId="5EA1EF7F" w14:textId="77777777" w:rsidR="003C66EB" w:rsidRDefault="003C66EB">
            <w:pPr>
              <w:rPr>
                <w:rFonts w:ascii="宋体"/>
                <w:vanish/>
              </w:rPr>
            </w:pPr>
          </w:p>
        </w:tc>
        <w:tc>
          <w:tcPr>
            <w:tcW w:w="0" w:type="auto"/>
            <w:shd w:val="clear" w:color="auto" w:fill="auto"/>
          </w:tcPr>
          <w:p w14:paraId="5EA1EF80" w14:textId="77777777" w:rsidR="003C66EB" w:rsidRDefault="003C66EB">
            <w:pPr>
              <w:rPr>
                <w:rFonts w:ascii="宋体"/>
                <w:vanish/>
              </w:rPr>
            </w:pPr>
          </w:p>
        </w:tc>
        <w:tc>
          <w:tcPr>
            <w:tcW w:w="0" w:type="auto"/>
            <w:shd w:val="clear" w:color="auto" w:fill="auto"/>
          </w:tcPr>
          <w:p w14:paraId="5EA1EF81" w14:textId="77777777" w:rsidR="003C66EB" w:rsidRDefault="003C66EB">
            <w:pPr>
              <w:rPr>
                <w:rFonts w:ascii="宋体"/>
                <w:vanish/>
              </w:rPr>
            </w:pPr>
          </w:p>
        </w:tc>
        <w:tc>
          <w:tcPr>
            <w:tcW w:w="0" w:type="auto"/>
            <w:shd w:val="clear" w:color="auto" w:fill="auto"/>
          </w:tcPr>
          <w:p w14:paraId="5EA1EF8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F83" w14:textId="77777777" w:rsidR="003C66EB" w:rsidRDefault="00D96C4E">
            <w:pPr>
              <w:jc w:val="right"/>
              <w:textAlignment w:val="bottom"/>
            </w:pPr>
            <w:r>
              <w:rPr>
                <w:rFonts w:ascii="Arial" w:eastAsia="宋体" w:hAnsi="Arial" w:cs="Arial"/>
                <w:b/>
                <w:bCs/>
                <w:color w:val="000000"/>
                <w:sz w:val="14"/>
                <w:szCs w:val="14"/>
              </w:rPr>
              <w:t>(9)</w:t>
            </w:r>
          </w:p>
        </w:tc>
        <w:tc>
          <w:tcPr>
            <w:tcW w:w="0" w:type="auto"/>
            <w:shd w:val="clear" w:color="auto" w:fill="CCEEFF"/>
            <w:tcMar>
              <w:top w:w="40" w:type="dxa"/>
              <w:left w:w="0" w:type="dxa"/>
              <w:bottom w:w="40" w:type="dxa"/>
              <w:right w:w="20" w:type="dxa"/>
            </w:tcMar>
            <w:vAlign w:val="bottom"/>
          </w:tcPr>
          <w:p w14:paraId="5EA1EF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EF86" w14:textId="77777777" w:rsidR="003C66EB" w:rsidRDefault="00D96C4E">
            <w:pPr>
              <w:jc w:val="right"/>
              <w:textAlignment w:val="bottom"/>
            </w:pPr>
            <w:r>
              <w:rPr>
                <w:rFonts w:ascii="Arial" w:eastAsia="宋体" w:hAnsi="Arial" w:cs="Arial"/>
                <w:color w:val="000000"/>
                <w:sz w:val="14"/>
                <w:szCs w:val="14"/>
              </w:rPr>
              <w:t>36 </w:t>
            </w:r>
          </w:p>
        </w:tc>
        <w:tc>
          <w:tcPr>
            <w:tcW w:w="0" w:type="auto"/>
            <w:shd w:val="clear" w:color="auto" w:fill="CCEEFF"/>
            <w:tcMar>
              <w:top w:w="40" w:type="dxa"/>
              <w:left w:w="0" w:type="dxa"/>
              <w:bottom w:w="40" w:type="dxa"/>
              <w:right w:w="20" w:type="dxa"/>
            </w:tcMar>
            <w:vAlign w:val="bottom"/>
          </w:tcPr>
          <w:p w14:paraId="5EA1EF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88" w14:textId="77777777" w:rsidR="003C66EB" w:rsidRDefault="003C66EB">
            <w:pPr>
              <w:rPr>
                <w:rFonts w:ascii="宋体"/>
              </w:rPr>
            </w:pPr>
          </w:p>
        </w:tc>
        <w:tc>
          <w:tcPr>
            <w:tcW w:w="0" w:type="auto"/>
            <w:shd w:val="clear" w:color="auto" w:fill="auto"/>
          </w:tcPr>
          <w:p w14:paraId="5EA1EF89" w14:textId="77777777" w:rsidR="003C66EB" w:rsidRDefault="003C66EB">
            <w:pPr>
              <w:rPr>
                <w:rFonts w:ascii="宋体"/>
                <w:vanish/>
              </w:rPr>
            </w:pPr>
          </w:p>
        </w:tc>
        <w:tc>
          <w:tcPr>
            <w:tcW w:w="0" w:type="auto"/>
            <w:shd w:val="clear" w:color="auto" w:fill="auto"/>
          </w:tcPr>
          <w:p w14:paraId="5EA1EF8A" w14:textId="77777777" w:rsidR="003C66EB" w:rsidRDefault="003C66EB">
            <w:pPr>
              <w:rPr>
                <w:rFonts w:ascii="宋体"/>
                <w:vanish/>
              </w:rPr>
            </w:pPr>
          </w:p>
        </w:tc>
        <w:tc>
          <w:tcPr>
            <w:tcW w:w="0" w:type="auto"/>
            <w:gridSpan w:val="3"/>
            <w:shd w:val="clear" w:color="auto" w:fill="CCEEFF"/>
            <w:tcMar>
              <w:top w:w="40" w:type="dxa"/>
              <w:left w:w="20" w:type="dxa"/>
              <w:bottom w:w="40" w:type="dxa"/>
              <w:right w:w="140" w:type="dxa"/>
            </w:tcMar>
            <w:vAlign w:val="bottom"/>
          </w:tcPr>
          <w:p w14:paraId="5EA1EF8B" w14:textId="77777777" w:rsidR="003C66EB" w:rsidRDefault="00D96C4E">
            <w:pPr>
              <w:jc w:val="right"/>
              <w:textAlignment w:val="bottom"/>
            </w:pPr>
            <w:r>
              <w:rPr>
                <w:rFonts w:ascii="Arial" w:eastAsia="宋体" w:hAnsi="Arial" w:cs="Arial"/>
                <w:color w:val="000000"/>
                <w:sz w:val="14"/>
                <w:szCs w:val="14"/>
              </w:rPr>
              <w:t>nm</w:t>
            </w:r>
          </w:p>
        </w:tc>
        <w:tc>
          <w:tcPr>
            <w:tcW w:w="0" w:type="auto"/>
            <w:gridSpan w:val="3"/>
            <w:shd w:val="clear" w:color="auto" w:fill="auto"/>
          </w:tcPr>
          <w:p w14:paraId="5EA1EF8C" w14:textId="77777777" w:rsidR="003C66EB" w:rsidRDefault="003C66EB">
            <w:pPr>
              <w:rPr>
                <w:rFonts w:ascii="宋体"/>
                <w:vanish/>
              </w:rPr>
            </w:pPr>
          </w:p>
        </w:tc>
        <w:tc>
          <w:tcPr>
            <w:tcW w:w="0" w:type="auto"/>
            <w:gridSpan w:val="3"/>
            <w:shd w:val="clear" w:color="auto" w:fill="auto"/>
          </w:tcPr>
          <w:p w14:paraId="5EA1EF8D" w14:textId="77777777" w:rsidR="003C66EB" w:rsidRDefault="003C66EB">
            <w:pPr>
              <w:rPr>
                <w:rFonts w:ascii="宋体"/>
                <w:vanish/>
              </w:rPr>
            </w:pPr>
          </w:p>
        </w:tc>
        <w:tc>
          <w:tcPr>
            <w:tcW w:w="0" w:type="auto"/>
            <w:gridSpan w:val="3"/>
            <w:shd w:val="clear" w:color="auto" w:fill="auto"/>
          </w:tcPr>
          <w:p w14:paraId="5EA1EF8E" w14:textId="77777777" w:rsidR="003C66EB" w:rsidRDefault="003C66EB">
            <w:pPr>
              <w:rPr>
                <w:rFonts w:ascii="宋体"/>
                <w:vanish/>
              </w:rPr>
            </w:pPr>
          </w:p>
        </w:tc>
        <w:tc>
          <w:tcPr>
            <w:tcW w:w="0" w:type="auto"/>
            <w:gridSpan w:val="3"/>
            <w:shd w:val="clear" w:color="auto" w:fill="auto"/>
          </w:tcPr>
          <w:p w14:paraId="5EA1EF8F" w14:textId="77777777" w:rsidR="003C66EB" w:rsidRDefault="003C66EB">
            <w:pPr>
              <w:rPr>
                <w:rFonts w:ascii="宋体"/>
                <w:vanish/>
              </w:rPr>
            </w:pPr>
          </w:p>
        </w:tc>
        <w:tc>
          <w:tcPr>
            <w:tcW w:w="0" w:type="auto"/>
            <w:gridSpan w:val="3"/>
            <w:shd w:val="clear" w:color="auto" w:fill="auto"/>
          </w:tcPr>
          <w:p w14:paraId="5EA1EF90" w14:textId="77777777" w:rsidR="003C66EB" w:rsidRDefault="003C66EB">
            <w:pPr>
              <w:rPr>
                <w:rFonts w:ascii="宋体"/>
                <w:vanish/>
              </w:rPr>
            </w:pPr>
          </w:p>
        </w:tc>
        <w:tc>
          <w:tcPr>
            <w:tcW w:w="0" w:type="auto"/>
            <w:gridSpan w:val="3"/>
            <w:shd w:val="clear" w:color="auto" w:fill="auto"/>
          </w:tcPr>
          <w:p w14:paraId="5EA1EF91" w14:textId="77777777" w:rsidR="003C66EB" w:rsidRDefault="003C66EB">
            <w:pPr>
              <w:rPr>
                <w:rFonts w:ascii="宋体"/>
                <w:vanish/>
              </w:rPr>
            </w:pPr>
          </w:p>
        </w:tc>
        <w:tc>
          <w:tcPr>
            <w:tcW w:w="0" w:type="auto"/>
            <w:gridSpan w:val="2"/>
            <w:shd w:val="clear" w:color="auto" w:fill="auto"/>
          </w:tcPr>
          <w:p w14:paraId="5EA1EF92" w14:textId="77777777" w:rsidR="003C66EB" w:rsidRDefault="003C66EB">
            <w:pPr>
              <w:rPr>
                <w:rFonts w:ascii="宋体"/>
                <w:vanish/>
              </w:rPr>
            </w:pPr>
          </w:p>
        </w:tc>
        <w:tc>
          <w:tcPr>
            <w:tcW w:w="0" w:type="auto"/>
            <w:shd w:val="clear" w:color="auto" w:fill="auto"/>
          </w:tcPr>
          <w:p w14:paraId="5EA1EF93" w14:textId="77777777" w:rsidR="003C66EB" w:rsidRDefault="003C66EB">
            <w:pPr>
              <w:rPr>
                <w:rFonts w:ascii="宋体"/>
                <w:vanish/>
              </w:rPr>
            </w:pPr>
          </w:p>
        </w:tc>
      </w:tr>
      <w:tr w:rsidR="003C66EB" w14:paraId="5EA1EFAE" w14:textId="77777777">
        <w:tc>
          <w:tcPr>
            <w:tcW w:w="0" w:type="auto"/>
            <w:gridSpan w:val="3"/>
            <w:shd w:val="clear" w:color="auto" w:fill="FFFFFF"/>
            <w:tcMar>
              <w:top w:w="40" w:type="dxa"/>
              <w:left w:w="20" w:type="dxa"/>
              <w:bottom w:w="40" w:type="dxa"/>
              <w:right w:w="20" w:type="dxa"/>
            </w:tcMar>
            <w:vAlign w:val="bottom"/>
          </w:tcPr>
          <w:p w14:paraId="5EA1EF95" w14:textId="77777777" w:rsidR="003C66EB" w:rsidRDefault="00D96C4E">
            <w:pPr>
              <w:textAlignment w:val="bottom"/>
            </w:pPr>
            <w:r>
              <w:rPr>
                <w:rFonts w:ascii="Arial" w:eastAsia="宋体" w:hAnsi="Arial" w:cs="Arial"/>
                <w:b/>
                <w:bCs/>
                <w:color w:val="000000"/>
                <w:sz w:val="14"/>
                <w:szCs w:val="14"/>
              </w:rPr>
              <w:t>Total expenses</w:t>
            </w:r>
          </w:p>
        </w:tc>
        <w:tc>
          <w:tcPr>
            <w:tcW w:w="0" w:type="auto"/>
            <w:shd w:val="clear" w:color="auto" w:fill="auto"/>
          </w:tcPr>
          <w:p w14:paraId="5EA1EF96" w14:textId="77777777" w:rsidR="003C66EB" w:rsidRDefault="003C66EB">
            <w:pPr>
              <w:rPr>
                <w:rFonts w:ascii="宋体"/>
                <w:vanish/>
              </w:rPr>
            </w:pPr>
          </w:p>
        </w:tc>
        <w:tc>
          <w:tcPr>
            <w:tcW w:w="0" w:type="auto"/>
            <w:shd w:val="clear" w:color="auto" w:fill="auto"/>
          </w:tcPr>
          <w:p w14:paraId="5EA1EF97" w14:textId="77777777" w:rsidR="003C66EB" w:rsidRDefault="003C66EB">
            <w:pPr>
              <w:rPr>
                <w:rFonts w:ascii="宋体"/>
                <w:vanish/>
              </w:rPr>
            </w:pPr>
          </w:p>
        </w:tc>
        <w:tc>
          <w:tcPr>
            <w:tcW w:w="0" w:type="auto"/>
            <w:shd w:val="clear" w:color="auto" w:fill="auto"/>
          </w:tcPr>
          <w:p w14:paraId="5EA1EF98" w14:textId="77777777" w:rsidR="003C66EB" w:rsidRDefault="003C66EB">
            <w:pPr>
              <w:rPr>
                <w:rFonts w:ascii="宋体"/>
                <w:vanish/>
              </w:rPr>
            </w:pPr>
          </w:p>
        </w:tc>
        <w:tc>
          <w:tcPr>
            <w:tcW w:w="0" w:type="auto"/>
            <w:shd w:val="clear" w:color="auto" w:fill="auto"/>
          </w:tcPr>
          <w:p w14:paraId="5EA1EF99" w14:textId="77777777" w:rsidR="003C66EB" w:rsidRDefault="003C66EB">
            <w:pPr>
              <w:rPr>
                <w:rFonts w:ascii="宋体"/>
                <w:vanish/>
              </w:rPr>
            </w:pPr>
          </w:p>
        </w:tc>
        <w:tc>
          <w:tcPr>
            <w:tcW w:w="0" w:type="auto"/>
            <w:shd w:val="clear" w:color="auto" w:fill="auto"/>
          </w:tcPr>
          <w:p w14:paraId="5EA1EF9A" w14:textId="77777777" w:rsidR="003C66EB" w:rsidRDefault="003C66EB">
            <w:pPr>
              <w:rPr>
                <w:rFonts w:ascii="宋体"/>
                <w:vanish/>
              </w:rPr>
            </w:pPr>
          </w:p>
        </w:tc>
        <w:tc>
          <w:tcPr>
            <w:tcW w:w="0" w:type="auto"/>
            <w:shd w:val="clear" w:color="auto" w:fill="auto"/>
          </w:tcPr>
          <w:p w14:paraId="5EA1EF9B"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9C" w14:textId="77777777" w:rsidR="003C66EB" w:rsidRDefault="00D96C4E">
            <w:pPr>
              <w:jc w:val="right"/>
              <w:textAlignment w:val="bottom"/>
            </w:pPr>
            <w:r>
              <w:rPr>
                <w:rFonts w:ascii="Arial" w:eastAsia="宋体" w:hAnsi="Arial" w:cs="Arial"/>
                <w:b/>
                <w:bCs/>
                <w:color w:val="000000"/>
                <w:sz w:val="14"/>
                <w:szCs w:val="14"/>
              </w:rPr>
              <w:t>1,879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EF9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9E"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EF9F" w14:textId="77777777" w:rsidR="003C66EB" w:rsidRDefault="00D96C4E">
            <w:pPr>
              <w:jc w:val="right"/>
              <w:textAlignment w:val="bottom"/>
            </w:pPr>
            <w:r>
              <w:rPr>
                <w:rFonts w:ascii="Arial" w:eastAsia="宋体" w:hAnsi="Arial" w:cs="Arial"/>
                <w:color w:val="000000"/>
                <w:sz w:val="14"/>
                <w:szCs w:val="14"/>
              </w:rPr>
              <w:t>1,859 </w:t>
            </w:r>
          </w:p>
        </w:tc>
        <w:tc>
          <w:tcPr>
            <w:tcW w:w="0" w:type="auto"/>
            <w:shd w:val="clear" w:color="auto" w:fill="auto"/>
            <w:tcMar>
              <w:top w:w="40" w:type="dxa"/>
              <w:left w:w="0" w:type="dxa"/>
              <w:bottom w:w="40" w:type="dxa"/>
              <w:right w:w="20" w:type="dxa"/>
            </w:tcMar>
            <w:vAlign w:val="bottom"/>
          </w:tcPr>
          <w:p w14:paraId="5EA1EF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EFA1" w14:textId="77777777" w:rsidR="003C66EB" w:rsidRDefault="003C66EB">
            <w:pPr>
              <w:rPr>
                <w:rFonts w:ascii="宋体"/>
              </w:rPr>
            </w:pPr>
          </w:p>
        </w:tc>
        <w:tc>
          <w:tcPr>
            <w:tcW w:w="0" w:type="auto"/>
            <w:shd w:val="clear" w:color="auto" w:fill="auto"/>
          </w:tcPr>
          <w:p w14:paraId="5EA1EFA2" w14:textId="77777777" w:rsidR="003C66EB" w:rsidRDefault="003C66EB">
            <w:pPr>
              <w:rPr>
                <w:rFonts w:ascii="宋体"/>
                <w:vanish/>
              </w:rPr>
            </w:pPr>
          </w:p>
        </w:tc>
        <w:tc>
          <w:tcPr>
            <w:tcW w:w="0" w:type="auto"/>
            <w:shd w:val="clear" w:color="auto" w:fill="auto"/>
          </w:tcPr>
          <w:p w14:paraId="5EA1EFA3"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EFA4"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A1EFA5" w14:textId="77777777" w:rsidR="003C66EB" w:rsidRDefault="003C66EB">
            <w:pPr>
              <w:jc w:val="right"/>
              <w:rPr>
                <w:rFonts w:ascii="宋体"/>
              </w:rPr>
            </w:pPr>
          </w:p>
        </w:tc>
        <w:tc>
          <w:tcPr>
            <w:tcW w:w="0" w:type="auto"/>
            <w:gridSpan w:val="3"/>
            <w:shd w:val="clear" w:color="auto" w:fill="auto"/>
          </w:tcPr>
          <w:p w14:paraId="5EA1EFA6" w14:textId="77777777" w:rsidR="003C66EB" w:rsidRDefault="003C66EB">
            <w:pPr>
              <w:rPr>
                <w:rFonts w:ascii="宋体"/>
                <w:vanish/>
              </w:rPr>
            </w:pPr>
          </w:p>
        </w:tc>
        <w:tc>
          <w:tcPr>
            <w:tcW w:w="0" w:type="auto"/>
            <w:gridSpan w:val="3"/>
            <w:shd w:val="clear" w:color="auto" w:fill="auto"/>
          </w:tcPr>
          <w:p w14:paraId="5EA1EFA7" w14:textId="77777777" w:rsidR="003C66EB" w:rsidRDefault="003C66EB">
            <w:pPr>
              <w:rPr>
                <w:rFonts w:ascii="宋体"/>
                <w:vanish/>
              </w:rPr>
            </w:pPr>
          </w:p>
        </w:tc>
        <w:tc>
          <w:tcPr>
            <w:tcW w:w="0" w:type="auto"/>
            <w:gridSpan w:val="3"/>
            <w:shd w:val="clear" w:color="auto" w:fill="auto"/>
          </w:tcPr>
          <w:p w14:paraId="5EA1EFA8" w14:textId="77777777" w:rsidR="003C66EB" w:rsidRDefault="003C66EB">
            <w:pPr>
              <w:rPr>
                <w:rFonts w:ascii="宋体"/>
                <w:vanish/>
              </w:rPr>
            </w:pPr>
          </w:p>
        </w:tc>
        <w:tc>
          <w:tcPr>
            <w:tcW w:w="0" w:type="auto"/>
            <w:gridSpan w:val="3"/>
            <w:shd w:val="clear" w:color="auto" w:fill="auto"/>
          </w:tcPr>
          <w:p w14:paraId="5EA1EFA9" w14:textId="77777777" w:rsidR="003C66EB" w:rsidRDefault="003C66EB">
            <w:pPr>
              <w:rPr>
                <w:rFonts w:ascii="宋体"/>
                <w:vanish/>
              </w:rPr>
            </w:pPr>
          </w:p>
        </w:tc>
        <w:tc>
          <w:tcPr>
            <w:tcW w:w="0" w:type="auto"/>
            <w:gridSpan w:val="3"/>
            <w:shd w:val="clear" w:color="auto" w:fill="auto"/>
          </w:tcPr>
          <w:p w14:paraId="5EA1EFAA" w14:textId="77777777" w:rsidR="003C66EB" w:rsidRDefault="003C66EB">
            <w:pPr>
              <w:rPr>
                <w:rFonts w:ascii="宋体"/>
                <w:vanish/>
              </w:rPr>
            </w:pPr>
          </w:p>
        </w:tc>
        <w:tc>
          <w:tcPr>
            <w:tcW w:w="0" w:type="auto"/>
            <w:gridSpan w:val="3"/>
            <w:shd w:val="clear" w:color="auto" w:fill="auto"/>
          </w:tcPr>
          <w:p w14:paraId="5EA1EFAB" w14:textId="77777777" w:rsidR="003C66EB" w:rsidRDefault="003C66EB">
            <w:pPr>
              <w:rPr>
                <w:rFonts w:ascii="宋体"/>
                <w:vanish/>
              </w:rPr>
            </w:pPr>
          </w:p>
        </w:tc>
        <w:tc>
          <w:tcPr>
            <w:tcW w:w="0" w:type="auto"/>
            <w:gridSpan w:val="2"/>
            <w:shd w:val="clear" w:color="auto" w:fill="auto"/>
          </w:tcPr>
          <w:p w14:paraId="5EA1EFAC" w14:textId="77777777" w:rsidR="003C66EB" w:rsidRDefault="003C66EB">
            <w:pPr>
              <w:rPr>
                <w:rFonts w:ascii="宋体"/>
                <w:vanish/>
              </w:rPr>
            </w:pPr>
          </w:p>
        </w:tc>
        <w:tc>
          <w:tcPr>
            <w:tcW w:w="0" w:type="auto"/>
            <w:shd w:val="clear" w:color="auto" w:fill="auto"/>
          </w:tcPr>
          <w:p w14:paraId="5EA1EFAD" w14:textId="77777777" w:rsidR="003C66EB" w:rsidRDefault="003C66EB">
            <w:pPr>
              <w:rPr>
                <w:rFonts w:ascii="宋体"/>
                <w:vanish/>
              </w:rPr>
            </w:pPr>
          </w:p>
        </w:tc>
      </w:tr>
      <w:tr w:rsidR="003C66EB" w14:paraId="5EA1EFCA" w14:textId="77777777">
        <w:tc>
          <w:tcPr>
            <w:tcW w:w="0" w:type="auto"/>
            <w:gridSpan w:val="3"/>
            <w:shd w:val="clear" w:color="auto" w:fill="CCEEFF"/>
            <w:tcMar>
              <w:top w:w="40" w:type="dxa"/>
              <w:left w:w="20" w:type="dxa"/>
              <w:bottom w:w="40" w:type="dxa"/>
              <w:right w:w="20" w:type="dxa"/>
            </w:tcMar>
            <w:vAlign w:val="bottom"/>
          </w:tcPr>
          <w:p w14:paraId="5EA1EFAF" w14:textId="77777777" w:rsidR="003C66EB" w:rsidRDefault="00D96C4E">
            <w:pPr>
              <w:textAlignment w:val="bottom"/>
            </w:pPr>
            <w:r>
              <w:rPr>
                <w:rFonts w:ascii="Arial" w:eastAsia="宋体" w:hAnsi="Arial" w:cs="Arial"/>
                <w:b/>
                <w:bCs/>
                <w:color w:val="000000"/>
                <w:sz w:val="14"/>
                <w:szCs w:val="14"/>
              </w:rPr>
              <w:t>Income before income tax expense</w:t>
            </w:r>
          </w:p>
        </w:tc>
        <w:tc>
          <w:tcPr>
            <w:tcW w:w="0" w:type="auto"/>
            <w:shd w:val="clear" w:color="auto" w:fill="auto"/>
          </w:tcPr>
          <w:p w14:paraId="5EA1EFB0" w14:textId="77777777" w:rsidR="003C66EB" w:rsidRDefault="003C66EB">
            <w:pPr>
              <w:rPr>
                <w:rFonts w:ascii="宋体"/>
                <w:vanish/>
              </w:rPr>
            </w:pPr>
          </w:p>
        </w:tc>
        <w:tc>
          <w:tcPr>
            <w:tcW w:w="0" w:type="auto"/>
            <w:shd w:val="clear" w:color="auto" w:fill="auto"/>
          </w:tcPr>
          <w:p w14:paraId="5EA1EFB1" w14:textId="77777777" w:rsidR="003C66EB" w:rsidRDefault="003C66EB">
            <w:pPr>
              <w:rPr>
                <w:rFonts w:ascii="宋体"/>
                <w:vanish/>
              </w:rPr>
            </w:pPr>
          </w:p>
        </w:tc>
        <w:tc>
          <w:tcPr>
            <w:tcW w:w="0" w:type="auto"/>
            <w:shd w:val="clear" w:color="auto" w:fill="auto"/>
          </w:tcPr>
          <w:p w14:paraId="5EA1EFB2" w14:textId="77777777" w:rsidR="003C66EB" w:rsidRDefault="003C66EB">
            <w:pPr>
              <w:rPr>
                <w:rFonts w:ascii="宋体"/>
                <w:vanish/>
              </w:rPr>
            </w:pPr>
          </w:p>
        </w:tc>
        <w:tc>
          <w:tcPr>
            <w:tcW w:w="0" w:type="auto"/>
            <w:shd w:val="clear" w:color="auto" w:fill="auto"/>
          </w:tcPr>
          <w:p w14:paraId="5EA1EFB3" w14:textId="77777777" w:rsidR="003C66EB" w:rsidRDefault="003C66EB">
            <w:pPr>
              <w:rPr>
                <w:rFonts w:ascii="宋体"/>
                <w:vanish/>
              </w:rPr>
            </w:pPr>
          </w:p>
        </w:tc>
        <w:tc>
          <w:tcPr>
            <w:tcW w:w="0" w:type="auto"/>
            <w:shd w:val="clear" w:color="auto" w:fill="auto"/>
          </w:tcPr>
          <w:p w14:paraId="5EA1EFB4" w14:textId="77777777" w:rsidR="003C66EB" w:rsidRDefault="003C66EB">
            <w:pPr>
              <w:rPr>
                <w:rFonts w:ascii="宋体"/>
                <w:vanish/>
              </w:rPr>
            </w:pPr>
          </w:p>
        </w:tc>
        <w:tc>
          <w:tcPr>
            <w:tcW w:w="0" w:type="auto"/>
            <w:shd w:val="clear" w:color="auto" w:fill="auto"/>
          </w:tcPr>
          <w:p w14:paraId="5EA1EFB5"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FB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FB7" w14:textId="77777777" w:rsidR="003C66EB" w:rsidRDefault="00D96C4E">
            <w:pPr>
              <w:jc w:val="right"/>
              <w:textAlignment w:val="bottom"/>
            </w:pPr>
            <w:r>
              <w:rPr>
                <w:rFonts w:ascii="Arial" w:eastAsia="宋体" w:hAnsi="Arial" w:cs="Arial"/>
                <w:b/>
                <w:bCs/>
                <w:color w:val="000000"/>
                <w:sz w:val="14"/>
                <w:szCs w:val="14"/>
              </w:rPr>
              <w:t>574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F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B9"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EFB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EFBB" w14:textId="77777777" w:rsidR="003C66EB" w:rsidRDefault="00D96C4E">
            <w:pPr>
              <w:jc w:val="right"/>
              <w:textAlignment w:val="bottom"/>
            </w:pPr>
            <w:r>
              <w:rPr>
                <w:rFonts w:ascii="Arial" w:eastAsia="宋体" w:hAnsi="Arial" w:cs="Arial"/>
                <w:color w:val="000000"/>
                <w:sz w:val="14"/>
                <w:szCs w:val="14"/>
              </w:rPr>
              <w:t>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EF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EFBD" w14:textId="77777777" w:rsidR="003C66EB" w:rsidRDefault="003C66EB">
            <w:pPr>
              <w:rPr>
                <w:rFonts w:ascii="宋体"/>
              </w:rPr>
            </w:pPr>
          </w:p>
        </w:tc>
        <w:tc>
          <w:tcPr>
            <w:tcW w:w="0" w:type="auto"/>
            <w:shd w:val="clear" w:color="auto" w:fill="auto"/>
          </w:tcPr>
          <w:p w14:paraId="5EA1EFBE" w14:textId="77777777" w:rsidR="003C66EB" w:rsidRDefault="003C66EB">
            <w:pPr>
              <w:rPr>
                <w:rFonts w:ascii="宋体"/>
                <w:vanish/>
              </w:rPr>
            </w:pPr>
          </w:p>
        </w:tc>
        <w:tc>
          <w:tcPr>
            <w:tcW w:w="0" w:type="auto"/>
            <w:shd w:val="clear" w:color="auto" w:fill="auto"/>
          </w:tcPr>
          <w:p w14:paraId="5EA1EFBF"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EFC0" w14:textId="77777777" w:rsidR="003C66EB" w:rsidRDefault="00D96C4E">
            <w:pPr>
              <w:jc w:val="right"/>
              <w:textAlignment w:val="bottom"/>
            </w:pPr>
            <w:r>
              <w:rPr>
                <w:rFonts w:ascii="Arial" w:eastAsia="宋体" w:hAnsi="Arial" w:cs="Arial"/>
                <w:color w:val="000000"/>
                <w:sz w:val="14"/>
                <w:szCs w:val="14"/>
              </w:rPr>
              <w:t>(20)</w:t>
            </w:r>
          </w:p>
        </w:tc>
        <w:tc>
          <w:tcPr>
            <w:tcW w:w="0" w:type="auto"/>
            <w:shd w:val="clear" w:color="auto" w:fill="CCEEFF"/>
            <w:tcMar>
              <w:top w:w="40" w:type="dxa"/>
              <w:left w:w="0" w:type="dxa"/>
              <w:bottom w:w="40" w:type="dxa"/>
              <w:right w:w="20" w:type="dxa"/>
            </w:tcMar>
            <w:vAlign w:val="bottom"/>
          </w:tcPr>
          <w:p w14:paraId="5EA1EFC1" w14:textId="77777777" w:rsidR="003C66EB" w:rsidRDefault="003C66EB">
            <w:pPr>
              <w:jc w:val="right"/>
              <w:rPr>
                <w:rFonts w:ascii="宋体"/>
              </w:rPr>
            </w:pPr>
          </w:p>
        </w:tc>
        <w:tc>
          <w:tcPr>
            <w:tcW w:w="0" w:type="auto"/>
            <w:gridSpan w:val="3"/>
            <w:shd w:val="clear" w:color="auto" w:fill="auto"/>
          </w:tcPr>
          <w:p w14:paraId="5EA1EFC2" w14:textId="77777777" w:rsidR="003C66EB" w:rsidRDefault="003C66EB">
            <w:pPr>
              <w:rPr>
                <w:rFonts w:ascii="宋体"/>
                <w:vanish/>
              </w:rPr>
            </w:pPr>
          </w:p>
        </w:tc>
        <w:tc>
          <w:tcPr>
            <w:tcW w:w="0" w:type="auto"/>
            <w:gridSpan w:val="3"/>
            <w:shd w:val="clear" w:color="auto" w:fill="auto"/>
          </w:tcPr>
          <w:p w14:paraId="5EA1EFC3" w14:textId="77777777" w:rsidR="003C66EB" w:rsidRDefault="003C66EB">
            <w:pPr>
              <w:rPr>
                <w:rFonts w:ascii="宋体"/>
                <w:vanish/>
              </w:rPr>
            </w:pPr>
          </w:p>
        </w:tc>
        <w:tc>
          <w:tcPr>
            <w:tcW w:w="0" w:type="auto"/>
            <w:gridSpan w:val="3"/>
            <w:shd w:val="clear" w:color="auto" w:fill="auto"/>
          </w:tcPr>
          <w:p w14:paraId="5EA1EFC4" w14:textId="77777777" w:rsidR="003C66EB" w:rsidRDefault="003C66EB">
            <w:pPr>
              <w:rPr>
                <w:rFonts w:ascii="宋体"/>
                <w:vanish/>
              </w:rPr>
            </w:pPr>
          </w:p>
        </w:tc>
        <w:tc>
          <w:tcPr>
            <w:tcW w:w="0" w:type="auto"/>
            <w:gridSpan w:val="3"/>
            <w:shd w:val="clear" w:color="auto" w:fill="auto"/>
          </w:tcPr>
          <w:p w14:paraId="5EA1EFC5" w14:textId="77777777" w:rsidR="003C66EB" w:rsidRDefault="003C66EB">
            <w:pPr>
              <w:rPr>
                <w:rFonts w:ascii="宋体"/>
                <w:vanish/>
              </w:rPr>
            </w:pPr>
          </w:p>
        </w:tc>
        <w:tc>
          <w:tcPr>
            <w:tcW w:w="0" w:type="auto"/>
            <w:gridSpan w:val="3"/>
            <w:shd w:val="clear" w:color="auto" w:fill="auto"/>
          </w:tcPr>
          <w:p w14:paraId="5EA1EFC6" w14:textId="77777777" w:rsidR="003C66EB" w:rsidRDefault="003C66EB">
            <w:pPr>
              <w:rPr>
                <w:rFonts w:ascii="宋体"/>
                <w:vanish/>
              </w:rPr>
            </w:pPr>
          </w:p>
        </w:tc>
        <w:tc>
          <w:tcPr>
            <w:tcW w:w="0" w:type="auto"/>
            <w:gridSpan w:val="3"/>
            <w:shd w:val="clear" w:color="auto" w:fill="auto"/>
          </w:tcPr>
          <w:p w14:paraId="5EA1EFC7" w14:textId="77777777" w:rsidR="003C66EB" w:rsidRDefault="003C66EB">
            <w:pPr>
              <w:rPr>
                <w:rFonts w:ascii="宋体"/>
                <w:vanish/>
              </w:rPr>
            </w:pPr>
          </w:p>
        </w:tc>
        <w:tc>
          <w:tcPr>
            <w:tcW w:w="0" w:type="auto"/>
            <w:gridSpan w:val="2"/>
            <w:shd w:val="clear" w:color="auto" w:fill="auto"/>
          </w:tcPr>
          <w:p w14:paraId="5EA1EFC8" w14:textId="77777777" w:rsidR="003C66EB" w:rsidRDefault="003C66EB">
            <w:pPr>
              <w:rPr>
                <w:rFonts w:ascii="宋体"/>
                <w:vanish/>
              </w:rPr>
            </w:pPr>
          </w:p>
        </w:tc>
        <w:tc>
          <w:tcPr>
            <w:tcW w:w="0" w:type="auto"/>
            <w:shd w:val="clear" w:color="auto" w:fill="auto"/>
          </w:tcPr>
          <w:p w14:paraId="5EA1EFC9" w14:textId="77777777" w:rsidR="003C66EB" w:rsidRDefault="003C66EB">
            <w:pPr>
              <w:rPr>
                <w:rFonts w:ascii="宋体"/>
                <w:vanish/>
              </w:rPr>
            </w:pPr>
          </w:p>
        </w:tc>
      </w:tr>
      <w:tr w:rsidR="003C66EB" w14:paraId="5EA1EFE3" w14:textId="77777777">
        <w:tc>
          <w:tcPr>
            <w:tcW w:w="0" w:type="auto"/>
            <w:gridSpan w:val="3"/>
            <w:shd w:val="clear" w:color="auto" w:fill="FFFFFF"/>
            <w:tcMar>
              <w:top w:w="40" w:type="dxa"/>
              <w:left w:w="20" w:type="dxa"/>
              <w:bottom w:w="40" w:type="dxa"/>
              <w:right w:w="20" w:type="dxa"/>
            </w:tcMar>
            <w:vAlign w:val="bottom"/>
          </w:tcPr>
          <w:p w14:paraId="5EA1EFCB" w14:textId="77777777" w:rsidR="003C66EB" w:rsidRDefault="00D96C4E">
            <w:pPr>
              <w:textAlignment w:val="bottom"/>
            </w:pPr>
            <w:r>
              <w:rPr>
                <w:rFonts w:ascii="Arial" w:eastAsia="宋体" w:hAnsi="Arial" w:cs="Arial"/>
                <w:color w:val="000000"/>
                <w:sz w:val="14"/>
                <w:szCs w:val="14"/>
              </w:rPr>
              <w:t>Pre-tax margin</w:t>
            </w:r>
          </w:p>
        </w:tc>
        <w:tc>
          <w:tcPr>
            <w:tcW w:w="0" w:type="auto"/>
            <w:shd w:val="clear" w:color="auto" w:fill="auto"/>
          </w:tcPr>
          <w:p w14:paraId="5EA1EFCC" w14:textId="77777777" w:rsidR="003C66EB" w:rsidRDefault="003C66EB">
            <w:pPr>
              <w:rPr>
                <w:rFonts w:ascii="宋体"/>
                <w:vanish/>
              </w:rPr>
            </w:pPr>
          </w:p>
        </w:tc>
        <w:tc>
          <w:tcPr>
            <w:tcW w:w="0" w:type="auto"/>
            <w:shd w:val="clear" w:color="auto" w:fill="auto"/>
          </w:tcPr>
          <w:p w14:paraId="5EA1EFCD" w14:textId="77777777" w:rsidR="003C66EB" w:rsidRDefault="003C66EB">
            <w:pPr>
              <w:rPr>
                <w:rFonts w:ascii="宋体"/>
                <w:vanish/>
              </w:rPr>
            </w:pPr>
          </w:p>
        </w:tc>
        <w:tc>
          <w:tcPr>
            <w:tcW w:w="0" w:type="auto"/>
            <w:shd w:val="clear" w:color="auto" w:fill="auto"/>
          </w:tcPr>
          <w:p w14:paraId="5EA1EFCE" w14:textId="77777777" w:rsidR="003C66EB" w:rsidRDefault="003C66EB">
            <w:pPr>
              <w:rPr>
                <w:rFonts w:ascii="宋体"/>
                <w:vanish/>
              </w:rPr>
            </w:pPr>
          </w:p>
        </w:tc>
        <w:tc>
          <w:tcPr>
            <w:tcW w:w="0" w:type="auto"/>
            <w:shd w:val="clear" w:color="auto" w:fill="auto"/>
          </w:tcPr>
          <w:p w14:paraId="5EA1EFCF" w14:textId="77777777" w:rsidR="003C66EB" w:rsidRDefault="003C66EB">
            <w:pPr>
              <w:rPr>
                <w:rFonts w:ascii="宋体"/>
                <w:vanish/>
              </w:rPr>
            </w:pPr>
          </w:p>
        </w:tc>
        <w:tc>
          <w:tcPr>
            <w:tcW w:w="0" w:type="auto"/>
            <w:shd w:val="clear" w:color="auto" w:fill="auto"/>
          </w:tcPr>
          <w:p w14:paraId="5EA1EFD0" w14:textId="77777777" w:rsidR="003C66EB" w:rsidRDefault="003C66EB">
            <w:pPr>
              <w:rPr>
                <w:rFonts w:ascii="宋体"/>
                <w:vanish/>
              </w:rPr>
            </w:pPr>
          </w:p>
        </w:tc>
        <w:tc>
          <w:tcPr>
            <w:tcW w:w="0" w:type="auto"/>
            <w:shd w:val="clear" w:color="auto" w:fill="auto"/>
          </w:tcPr>
          <w:p w14:paraId="5EA1EFD1" w14:textId="77777777" w:rsidR="003C66EB" w:rsidRDefault="003C66EB">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1EFD2" w14:textId="77777777" w:rsidR="003C66EB" w:rsidRDefault="00D96C4E">
            <w:pPr>
              <w:jc w:val="right"/>
              <w:textAlignment w:val="bottom"/>
            </w:pPr>
            <w:r>
              <w:rPr>
                <w:rFonts w:ascii="Arial" w:eastAsia="宋体" w:hAnsi="Arial" w:cs="Arial"/>
                <w:b/>
                <w:bCs/>
                <w:color w:val="000000"/>
                <w:sz w:val="14"/>
                <w:szCs w:val="14"/>
              </w:rPr>
              <w:t>23.5</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1EFD3" w14:textId="77777777" w:rsidR="003C66EB" w:rsidRDefault="00D96C4E">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5EA1EFD4" w14:textId="77777777" w:rsidR="003C66EB" w:rsidRDefault="003C66E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A1EFD5" w14:textId="77777777" w:rsidR="003C66EB" w:rsidRDefault="00D96C4E">
            <w:pPr>
              <w:jc w:val="right"/>
              <w:textAlignment w:val="bottom"/>
            </w:pPr>
            <w:r>
              <w:rPr>
                <w:rFonts w:ascii="Arial" w:eastAsia="宋体" w:hAnsi="Arial" w:cs="Arial"/>
                <w:color w:val="000000"/>
                <w:sz w:val="14"/>
                <w:szCs w:val="14"/>
              </w:rPr>
              <w:t>27.5 </w:t>
            </w:r>
          </w:p>
        </w:tc>
        <w:tc>
          <w:tcPr>
            <w:tcW w:w="0" w:type="auto"/>
            <w:tcBorders>
              <w:top w:val="double" w:sz="6" w:space="0" w:color="000000"/>
            </w:tcBorders>
            <w:shd w:val="clear" w:color="auto" w:fill="auto"/>
            <w:tcMar>
              <w:top w:w="40" w:type="dxa"/>
              <w:left w:w="0" w:type="dxa"/>
              <w:bottom w:w="40" w:type="dxa"/>
              <w:right w:w="20" w:type="dxa"/>
            </w:tcMar>
            <w:vAlign w:val="bottom"/>
          </w:tcPr>
          <w:p w14:paraId="5EA1EFD6"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5EA1EFD7" w14:textId="77777777" w:rsidR="003C66EB" w:rsidRDefault="003C66EB">
            <w:pPr>
              <w:rPr>
                <w:rFonts w:ascii="宋体"/>
              </w:rPr>
            </w:pPr>
          </w:p>
        </w:tc>
        <w:tc>
          <w:tcPr>
            <w:tcW w:w="0" w:type="auto"/>
            <w:shd w:val="clear" w:color="auto" w:fill="auto"/>
          </w:tcPr>
          <w:p w14:paraId="5EA1EFD8" w14:textId="77777777" w:rsidR="003C66EB" w:rsidRDefault="003C66EB">
            <w:pPr>
              <w:rPr>
                <w:rFonts w:ascii="宋体"/>
                <w:vanish/>
              </w:rPr>
            </w:pPr>
          </w:p>
        </w:tc>
        <w:tc>
          <w:tcPr>
            <w:tcW w:w="0" w:type="auto"/>
            <w:shd w:val="clear" w:color="auto" w:fill="auto"/>
          </w:tcPr>
          <w:p w14:paraId="5EA1EFD9" w14:textId="77777777" w:rsidR="003C66EB" w:rsidRDefault="003C66EB">
            <w:pPr>
              <w:rPr>
                <w:rFonts w:ascii="宋体"/>
                <w:vanish/>
              </w:rPr>
            </w:pPr>
          </w:p>
        </w:tc>
        <w:tc>
          <w:tcPr>
            <w:tcW w:w="0" w:type="auto"/>
            <w:gridSpan w:val="3"/>
            <w:shd w:val="clear" w:color="auto" w:fill="auto"/>
            <w:tcMar>
              <w:top w:w="40" w:type="dxa"/>
              <w:left w:w="20" w:type="dxa"/>
              <w:bottom w:w="40" w:type="dxa"/>
              <w:right w:w="20" w:type="dxa"/>
            </w:tcMar>
            <w:vAlign w:val="bottom"/>
          </w:tcPr>
          <w:p w14:paraId="5EA1EFDA" w14:textId="77777777" w:rsidR="003C66EB" w:rsidRDefault="00D96C4E">
            <w:pPr>
              <w:jc w:val="right"/>
              <w:textAlignment w:val="bottom"/>
            </w:pPr>
            <w:r>
              <w:rPr>
                <w:rFonts w:ascii="Arial" w:eastAsia="宋体" w:hAnsi="Arial" w:cs="Arial"/>
                <w:color w:val="000000"/>
                <w:sz w:val="14"/>
                <w:szCs w:val="14"/>
              </w:rPr>
              <w:t>(400) bps</w:t>
            </w:r>
          </w:p>
        </w:tc>
        <w:tc>
          <w:tcPr>
            <w:tcW w:w="0" w:type="auto"/>
            <w:gridSpan w:val="3"/>
            <w:shd w:val="clear" w:color="auto" w:fill="auto"/>
          </w:tcPr>
          <w:p w14:paraId="5EA1EFDB" w14:textId="77777777" w:rsidR="003C66EB" w:rsidRDefault="003C66EB">
            <w:pPr>
              <w:rPr>
                <w:rFonts w:ascii="宋体"/>
                <w:vanish/>
              </w:rPr>
            </w:pPr>
          </w:p>
        </w:tc>
        <w:tc>
          <w:tcPr>
            <w:tcW w:w="0" w:type="auto"/>
            <w:gridSpan w:val="3"/>
            <w:shd w:val="clear" w:color="auto" w:fill="auto"/>
          </w:tcPr>
          <w:p w14:paraId="5EA1EFDC" w14:textId="77777777" w:rsidR="003C66EB" w:rsidRDefault="003C66EB">
            <w:pPr>
              <w:rPr>
                <w:rFonts w:ascii="宋体"/>
                <w:vanish/>
              </w:rPr>
            </w:pPr>
          </w:p>
        </w:tc>
        <w:tc>
          <w:tcPr>
            <w:tcW w:w="0" w:type="auto"/>
            <w:gridSpan w:val="3"/>
            <w:shd w:val="clear" w:color="auto" w:fill="auto"/>
          </w:tcPr>
          <w:p w14:paraId="5EA1EFDD" w14:textId="77777777" w:rsidR="003C66EB" w:rsidRDefault="003C66EB">
            <w:pPr>
              <w:rPr>
                <w:rFonts w:ascii="宋体"/>
                <w:vanish/>
              </w:rPr>
            </w:pPr>
          </w:p>
        </w:tc>
        <w:tc>
          <w:tcPr>
            <w:tcW w:w="0" w:type="auto"/>
            <w:gridSpan w:val="3"/>
            <w:shd w:val="clear" w:color="auto" w:fill="auto"/>
          </w:tcPr>
          <w:p w14:paraId="5EA1EFDE" w14:textId="77777777" w:rsidR="003C66EB" w:rsidRDefault="003C66EB">
            <w:pPr>
              <w:rPr>
                <w:rFonts w:ascii="宋体"/>
                <w:vanish/>
              </w:rPr>
            </w:pPr>
          </w:p>
        </w:tc>
        <w:tc>
          <w:tcPr>
            <w:tcW w:w="0" w:type="auto"/>
            <w:gridSpan w:val="3"/>
            <w:shd w:val="clear" w:color="auto" w:fill="auto"/>
          </w:tcPr>
          <w:p w14:paraId="5EA1EFDF" w14:textId="77777777" w:rsidR="003C66EB" w:rsidRDefault="003C66EB">
            <w:pPr>
              <w:rPr>
                <w:rFonts w:ascii="宋体"/>
                <w:vanish/>
              </w:rPr>
            </w:pPr>
          </w:p>
        </w:tc>
        <w:tc>
          <w:tcPr>
            <w:tcW w:w="0" w:type="auto"/>
            <w:gridSpan w:val="3"/>
            <w:shd w:val="clear" w:color="auto" w:fill="auto"/>
          </w:tcPr>
          <w:p w14:paraId="5EA1EFE0" w14:textId="77777777" w:rsidR="003C66EB" w:rsidRDefault="003C66EB">
            <w:pPr>
              <w:rPr>
                <w:rFonts w:ascii="宋体"/>
                <w:vanish/>
              </w:rPr>
            </w:pPr>
          </w:p>
        </w:tc>
        <w:tc>
          <w:tcPr>
            <w:tcW w:w="0" w:type="auto"/>
            <w:gridSpan w:val="2"/>
            <w:shd w:val="clear" w:color="auto" w:fill="auto"/>
          </w:tcPr>
          <w:p w14:paraId="5EA1EFE1" w14:textId="77777777" w:rsidR="003C66EB" w:rsidRDefault="003C66EB">
            <w:pPr>
              <w:rPr>
                <w:rFonts w:ascii="宋体"/>
                <w:vanish/>
              </w:rPr>
            </w:pPr>
          </w:p>
        </w:tc>
        <w:tc>
          <w:tcPr>
            <w:tcW w:w="0" w:type="auto"/>
            <w:shd w:val="clear" w:color="auto" w:fill="auto"/>
          </w:tcPr>
          <w:p w14:paraId="5EA1EFE2" w14:textId="77777777" w:rsidR="003C66EB" w:rsidRDefault="003C66EB">
            <w:pPr>
              <w:rPr>
                <w:rFonts w:ascii="宋体"/>
                <w:vanish/>
              </w:rPr>
            </w:pPr>
          </w:p>
        </w:tc>
      </w:tr>
      <w:tr w:rsidR="003C66EB" w14:paraId="5EA1EFFA" w14:textId="77777777">
        <w:trPr>
          <w:hidden/>
        </w:trPr>
        <w:tc>
          <w:tcPr>
            <w:tcW w:w="0" w:type="auto"/>
            <w:gridSpan w:val="3"/>
            <w:shd w:val="clear" w:color="auto" w:fill="auto"/>
          </w:tcPr>
          <w:p w14:paraId="5EA1EFE4" w14:textId="77777777" w:rsidR="003C66EB" w:rsidRDefault="003C66EB">
            <w:pPr>
              <w:rPr>
                <w:rFonts w:ascii="宋体"/>
                <w:vanish/>
              </w:rPr>
            </w:pPr>
          </w:p>
        </w:tc>
        <w:tc>
          <w:tcPr>
            <w:tcW w:w="0" w:type="auto"/>
            <w:shd w:val="clear" w:color="auto" w:fill="auto"/>
          </w:tcPr>
          <w:p w14:paraId="5EA1EFE5" w14:textId="77777777" w:rsidR="003C66EB" w:rsidRDefault="003C66EB">
            <w:pPr>
              <w:rPr>
                <w:rFonts w:ascii="宋体"/>
                <w:vanish/>
              </w:rPr>
            </w:pPr>
          </w:p>
        </w:tc>
        <w:tc>
          <w:tcPr>
            <w:tcW w:w="0" w:type="auto"/>
            <w:shd w:val="clear" w:color="auto" w:fill="auto"/>
          </w:tcPr>
          <w:p w14:paraId="5EA1EFE6" w14:textId="77777777" w:rsidR="003C66EB" w:rsidRDefault="003C66EB">
            <w:pPr>
              <w:rPr>
                <w:rFonts w:ascii="宋体"/>
                <w:vanish/>
              </w:rPr>
            </w:pPr>
          </w:p>
        </w:tc>
        <w:tc>
          <w:tcPr>
            <w:tcW w:w="0" w:type="auto"/>
            <w:shd w:val="clear" w:color="auto" w:fill="auto"/>
          </w:tcPr>
          <w:p w14:paraId="5EA1EFE7" w14:textId="77777777" w:rsidR="003C66EB" w:rsidRDefault="003C66EB">
            <w:pPr>
              <w:rPr>
                <w:rFonts w:ascii="宋体"/>
                <w:vanish/>
              </w:rPr>
            </w:pPr>
          </w:p>
        </w:tc>
        <w:tc>
          <w:tcPr>
            <w:tcW w:w="0" w:type="auto"/>
            <w:shd w:val="clear" w:color="auto" w:fill="auto"/>
          </w:tcPr>
          <w:p w14:paraId="5EA1EFE8" w14:textId="77777777" w:rsidR="003C66EB" w:rsidRDefault="003C66EB">
            <w:pPr>
              <w:rPr>
                <w:rFonts w:ascii="宋体"/>
                <w:vanish/>
              </w:rPr>
            </w:pPr>
          </w:p>
        </w:tc>
        <w:tc>
          <w:tcPr>
            <w:tcW w:w="0" w:type="auto"/>
            <w:shd w:val="clear" w:color="auto" w:fill="auto"/>
          </w:tcPr>
          <w:p w14:paraId="5EA1EFE9" w14:textId="77777777" w:rsidR="003C66EB" w:rsidRDefault="003C66EB">
            <w:pPr>
              <w:rPr>
                <w:rFonts w:ascii="宋体"/>
                <w:vanish/>
              </w:rPr>
            </w:pPr>
          </w:p>
        </w:tc>
        <w:tc>
          <w:tcPr>
            <w:tcW w:w="0" w:type="auto"/>
            <w:shd w:val="clear" w:color="auto" w:fill="auto"/>
          </w:tcPr>
          <w:p w14:paraId="5EA1EFEA" w14:textId="77777777" w:rsidR="003C66EB" w:rsidRDefault="003C66EB">
            <w:pPr>
              <w:rPr>
                <w:rFonts w:ascii="宋体"/>
                <w:vanish/>
              </w:rPr>
            </w:pPr>
          </w:p>
        </w:tc>
        <w:tc>
          <w:tcPr>
            <w:tcW w:w="0" w:type="auto"/>
            <w:gridSpan w:val="3"/>
            <w:shd w:val="clear" w:color="auto" w:fill="auto"/>
          </w:tcPr>
          <w:p w14:paraId="5EA1EFEB" w14:textId="77777777" w:rsidR="003C66EB" w:rsidRDefault="003C66EB">
            <w:pPr>
              <w:rPr>
                <w:rFonts w:ascii="宋体"/>
                <w:vanish/>
              </w:rPr>
            </w:pPr>
          </w:p>
        </w:tc>
        <w:tc>
          <w:tcPr>
            <w:tcW w:w="0" w:type="auto"/>
            <w:gridSpan w:val="3"/>
            <w:shd w:val="clear" w:color="auto" w:fill="auto"/>
          </w:tcPr>
          <w:p w14:paraId="5EA1EFEC" w14:textId="77777777" w:rsidR="003C66EB" w:rsidRDefault="003C66EB">
            <w:pPr>
              <w:rPr>
                <w:rFonts w:ascii="宋体"/>
                <w:vanish/>
              </w:rPr>
            </w:pPr>
          </w:p>
        </w:tc>
        <w:tc>
          <w:tcPr>
            <w:tcW w:w="0" w:type="auto"/>
            <w:gridSpan w:val="3"/>
            <w:shd w:val="clear" w:color="auto" w:fill="auto"/>
          </w:tcPr>
          <w:p w14:paraId="5EA1EFED" w14:textId="77777777" w:rsidR="003C66EB" w:rsidRDefault="003C66EB">
            <w:pPr>
              <w:rPr>
                <w:rFonts w:ascii="宋体"/>
                <w:vanish/>
              </w:rPr>
            </w:pPr>
          </w:p>
        </w:tc>
        <w:tc>
          <w:tcPr>
            <w:tcW w:w="0" w:type="auto"/>
            <w:gridSpan w:val="3"/>
            <w:shd w:val="clear" w:color="auto" w:fill="auto"/>
          </w:tcPr>
          <w:p w14:paraId="5EA1EFEE" w14:textId="77777777" w:rsidR="003C66EB" w:rsidRDefault="003C66EB">
            <w:pPr>
              <w:rPr>
                <w:rFonts w:ascii="宋体"/>
                <w:vanish/>
              </w:rPr>
            </w:pPr>
          </w:p>
        </w:tc>
        <w:tc>
          <w:tcPr>
            <w:tcW w:w="0" w:type="auto"/>
            <w:shd w:val="clear" w:color="auto" w:fill="auto"/>
          </w:tcPr>
          <w:p w14:paraId="5EA1EFEF" w14:textId="77777777" w:rsidR="003C66EB" w:rsidRDefault="003C66EB">
            <w:pPr>
              <w:rPr>
                <w:rFonts w:ascii="宋体"/>
                <w:vanish/>
              </w:rPr>
            </w:pPr>
          </w:p>
        </w:tc>
        <w:tc>
          <w:tcPr>
            <w:tcW w:w="0" w:type="auto"/>
            <w:shd w:val="clear" w:color="auto" w:fill="auto"/>
          </w:tcPr>
          <w:p w14:paraId="5EA1EFF0" w14:textId="77777777" w:rsidR="003C66EB" w:rsidRDefault="003C66EB">
            <w:pPr>
              <w:rPr>
                <w:rFonts w:ascii="宋体"/>
                <w:vanish/>
              </w:rPr>
            </w:pPr>
          </w:p>
        </w:tc>
        <w:tc>
          <w:tcPr>
            <w:tcW w:w="0" w:type="auto"/>
            <w:gridSpan w:val="3"/>
            <w:shd w:val="clear" w:color="auto" w:fill="auto"/>
          </w:tcPr>
          <w:p w14:paraId="5EA1EFF1" w14:textId="77777777" w:rsidR="003C66EB" w:rsidRDefault="003C66EB">
            <w:pPr>
              <w:rPr>
                <w:rFonts w:ascii="宋体"/>
                <w:vanish/>
              </w:rPr>
            </w:pPr>
          </w:p>
        </w:tc>
        <w:tc>
          <w:tcPr>
            <w:tcW w:w="0" w:type="auto"/>
            <w:gridSpan w:val="3"/>
            <w:shd w:val="clear" w:color="auto" w:fill="auto"/>
          </w:tcPr>
          <w:p w14:paraId="5EA1EFF2" w14:textId="77777777" w:rsidR="003C66EB" w:rsidRDefault="003C66EB">
            <w:pPr>
              <w:rPr>
                <w:rFonts w:ascii="宋体"/>
                <w:vanish/>
              </w:rPr>
            </w:pPr>
          </w:p>
        </w:tc>
        <w:tc>
          <w:tcPr>
            <w:tcW w:w="0" w:type="auto"/>
            <w:gridSpan w:val="3"/>
            <w:shd w:val="clear" w:color="auto" w:fill="auto"/>
          </w:tcPr>
          <w:p w14:paraId="5EA1EFF3" w14:textId="77777777" w:rsidR="003C66EB" w:rsidRDefault="003C66EB">
            <w:pPr>
              <w:rPr>
                <w:rFonts w:ascii="宋体"/>
                <w:vanish/>
              </w:rPr>
            </w:pPr>
          </w:p>
        </w:tc>
        <w:tc>
          <w:tcPr>
            <w:tcW w:w="0" w:type="auto"/>
            <w:gridSpan w:val="3"/>
            <w:shd w:val="clear" w:color="auto" w:fill="auto"/>
          </w:tcPr>
          <w:p w14:paraId="5EA1EFF4" w14:textId="77777777" w:rsidR="003C66EB" w:rsidRDefault="003C66EB">
            <w:pPr>
              <w:rPr>
                <w:rFonts w:ascii="宋体"/>
                <w:vanish/>
              </w:rPr>
            </w:pPr>
          </w:p>
        </w:tc>
        <w:tc>
          <w:tcPr>
            <w:tcW w:w="0" w:type="auto"/>
            <w:gridSpan w:val="3"/>
            <w:shd w:val="clear" w:color="auto" w:fill="auto"/>
          </w:tcPr>
          <w:p w14:paraId="5EA1EFF5" w14:textId="77777777" w:rsidR="003C66EB" w:rsidRDefault="003C66EB">
            <w:pPr>
              <w:rPr>
                <w:rFonts w:ascii="宋体"/>
                <w:vanish/>
              </w:rPr>
            </w:pPr>
          </w:p>
        </w:tc>
        <w:tc>
          <w:tcPr>
            <w:tcW w:w="0" w:type="auto"/>
            <w:gridSpan w:val="3"/>
            <w:shd w:val="clear" w:color="auto" w:fill="auto"/>
          </w:tcPr>
          <w:p w14:paraId="5EA1EFF6" w14:textId="77777777" w:rsidR="003C66EB" w:rsidRDefault="003C66EB">
            <w:pPr>
              <w:rPr>
                <w:rFonts w:ascii="宋体"/>
                <w:vanish/>
              </w:rPr>
            </w:pPr>
          </w:p>
        </w:tc>
        <w:tc>
          <w:tcPr>
            <w:tcW w:w="0" w:type="auto"/>
            <w:gridSpan w:val="3"/>
            <w:shd w:val="clear" w:color="auto" w:fill="auto"/>
          </w:tcPr>
          <w:p w14:paraId="5EA1EFF7" w14:textId="77777777" w:rsidR="003C66EB" w:rsidRDefault="003C66EB">
            <w:pPr>
              <w:rPr>
                <w:rFonts w:ascii="宋体"/>
                <w:vanish/>
              </w:rPr>
            </w:pPr>
          </w:p>
        </w:tc>
        <w:tc>
          <w:tcPr>
            <w:tcW w:w="0" w:type="auto"/>
            <w:gridSpan w:val="2"/>
            <w:shd w:val="clear" w:color="auto" w:fill="auto"/>
          </w:tcPr>
          <w:p w14:paraId="5EA1EFF8" w14:textId="77777777" w:rsidR="003C66EB" w:rsidRDefault="003C66EB">
            <w:pPr>
              <w:rPr>
                <w:rFonts w:ascii="宋体"/>
                <w:vanish/>
              </w:rPr>
            </w:pPr>
          </w:p>
        </w:tc>
        <w:tc>
          <w:tcPr>
            <w:tcW w:w="0" w:type="auto"/>
            <w:shd w:val="clear" w:color="auto" w:fill="auto"/>
          </w:tcPr>
          <w:p w14:paraId="5EA1EFF9" w14:textId="77777777" w:rsidR="003C66EB" w:rsidRDefault="003C66EB">
            <w:pPr>
              <w:rPr>
                <w:rFonts w:ascii="宋体"/>
                <w:vanish/>
              </w:rPr>
            </w:pPr>
          </w:p>
        </w:tc>
      </w:tr>
    </w:tbl>
    <w:p w14:paraId="5EA1EFFB"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5269"/>
        <w:gridCol w:w="36"/>
        <w:gridCol w:w="70"/>
        <w:gridCol w:w="516"/>
        <w:gridCol w:w="36"/>
      </w:tblGrid>
      <w:tr w:rsidR="003C66EB" w14:paraId="5EA1F005" w14:textId="77777777">
        <w:tc>
          <w:tcPr>
            <w:tcW w:w="50" w:type="pct"/>
            <w:shd w:val="clear" w:color="auto" w:fill="auto"/>
          </w:tcPr>
          <w:p w14:paraId="5EA1EFFC" w14:textId="77777777" w:rsidR="003C66EB" w:rsidRDefault="003C66EB">
            <w:pPr>
              <w:rPr>
                <w:rFonts w:ascii="宋体"/>
              </w:rPr>
            </w:pPr>
          </w:p>
        </w:tc>
        <w:tc>
          <w:tcPr>
            <w:tcW w:w="1348" w:type="pct"/>
            <w:shd w:val="clear" w:color="auto" w:fill="auto"/>
          </w:tcPr>
          <w:p w14:paraId="5EA1EFFD" w14:textId="77777777" w:rsidR="003C66EB" w:rsidRDefault="003C66EB">
            <w:pPr>
              <w:rPr>
                <w:rFonts w:ascii="宋体"/>
              </w:rPr>
            </w:pPr>
          </w:p>
        </w:tc>
        <w:tc>
          <w:tcPr>
            <w:tcW w:w="5" w:type="pct"/>
            <w:shd w:val="clear" w:color="auto" w:fill="auto"/>
          </w:tcPr>
          <w:p w14:paraId="5EA1EFFE" w14:textId="77777777" w:rsidR="003C66EB" w:rsidRDefault="003C66EB">
            <w:pPr>
              <w:rPr>
                <w:rFonts w:ascii="宋体"/>
              </w:rPr>
            </w:pPr>
          </w:p>
        </w:tc>
        <w:tc>
          <w:tcPr>
            <w:tcW w:w="50" w:type="pct"/>
            <w:shd w:val="clear" w:color="auto" w:fill="auto"/>
          </w:tcPr>
          <w:p w14:paraId="5EA1EFFF" w14:textId="77777777" w:rsidR="003C66EB" w:rsidRDefault="003C66EB">
            <w:pPr>
              <w:rPr>
                <w:rFonts w:ascii="宋体"/>
              </w:rPr>
            </w:pPr>
          </w:p>
        </w:tc>
        <w:tc>
          <w:tcPr>
            <w:tcW w:w="3168" w:type="pct"/>
            <w:shd w:val="clear" w:color="auto" w:fill="auto"/>
          </w:tcPr>
          <w:p w14:paraId="5EA1F000" w14:textId="77777777" w:rsidR="003C66EB" w:rsidRDefault="003C66EB">
            <w:pPr>
              <w:rPr>
                <w:rFonts w:ascii="宋体"/>
              </w:rPr>
            </w:pPr>
          </w:p>
        </w:tc>
        <w:tc>
          <w:tcPr>
            <w:tcW w:w="5" w:type="pct"/>
            <w:shd w:val="clear" w:color="auto" w:fill="auto"/>
          </w:tcPr>
          <w:p w14:paraId="5EA1F001" w14:textId="77777777" w:rsidR="003C66EB" w:rsidRDefault="003C66EB">
            <w:pPr>
              <w:rPr>
                <w:rFonts w:ascii="宋体"/>
              </w:rPr>
            </w:pPr>
          </w:p>
        </w:tc>
        <w:tc>
          <w:tcPr>
            <w:tcW w:w="50" w:type="pct"/>
            <w:shd w:val="clear" w:color="auto" w:fill="auto"/>
          </w:tcPr>
          <w:p w14:paraId="5EA1F002" w14:textId="77777777" w:rsidR="003C66EB" w:rsidRDefault="003C66EB">
            <w:pPr>
              <w:rPr>
                <w:rFonts w:ascii="宋体"/>
              </w:rPr>
            </w:pPr>
          </w:p>
        </w:tc>
        <w:tc>
          <w:tcPr>
            <w:tcW w:w="317" w:type="pct"/>
            <w:shd w:val="clear" w:color="auto" w:fill="auto"/>
          </w:tcPr>
          <w:p w14:paraId="5EA1F003" w14:textId="77777777" w:rsidR="003C66EB" w:rsidRDefault="003C66EB">
            <w:pPr>
              <w:rPr>
                <w:rFonts w:ascii="宋体"/>
              </w:rPr>
            </w:pPr>
          </w:p>
        </w:tc>
        <w:tc>
          <w:tcPr>
            <w:tcW w:w="5" w:type="pct"/>
            <w:shd w:val="clear" w:color="auto" w:fill="auto"/>
          </w:tcPr>
          <w:p w14:paraId="5EA1F004" w14:textId="77777777" w:rsidR="003C66EB" w:rsidRDefault="003C66EB">
            <w:pPr>
              <w:rPr>
                <w:rFonts w:ascii="宋体"/>
              </w:rPr>
            </w:pPr>
          </w:p>
        </w:tc>
      </w:tr>
      <w:tr w:rsidR="003C66EB" w14:paraId="5EA1F00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00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0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008" w14:textId="77777777" w:rsidR="003C66EB" w:rsidRDefault="003C66EB">
            <w:pPr>
              <w:rPr>
                <w:rFonts w:ascii="宋体"/>
              </w:rPr>
            </w:pPr>
          </w:p>
        </w:tc>
      </w:tr>
    </w:tbl>
    <w:p w14:paraId="5EA1F00A" w14:textId="77777777" w:rsidR="003C66EB" w:rsidRDefault="00D96C4E">
      <w:pPr>
        <w:spacing w:before="20"/>
        <w:jc w:val="both"/>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5EA1F00B" w14:textId="77777777" w:rsidR="003C66EB" w:rsidRDefault="00D96C4E">
      <w:pPr>
        <w:spacing w:before="60"/>
        <w:jc w:val="both"/>
        <w:textAlignment w:val="top"/>
      </w:pPr>
      <w:r>
        <w:rPr>
          <w:rFonts w:ascii="Arial" w:eastAsia="宋体" w:hAnsi="Arial" w:cs="Arial"/>
          <w:b/>
          <w:bCs/>
          <w:i/>
          <w:iCs/>
          <w:color w:val="000000"/>
          <w:sz w:val="20"/>
          <w:szCs w:val="20"/>
        </w:rPr>
        <w:t>Servicing Fees</w:t>
      </w:r>
    </w:p>
    <w:p w14:paraId="5EA1F00C" w14:textId="77777777" w:rsidR="003C66EB" w:rsidRDefault="00D96C4E">
      <w:pPr>
        <w:spacing w:before="60"/>
        <w:ind w:firstLine="450"/>
        <w:jc w:val="both"/>
        <w:textAlignment w:val="top"/>
      </w:pPr>
      <w:r>
        <w:rPr>
          <w:rFonts w:ascii="Arial" w:eastAsia="宋体" w:hAnsi="Arial" w:cs="Arial"/>
          <w:color w:val="000000"/>
          <w:sz w:val="20"/>
          <w:szCs w:val="20"/>
        </w:rPr>
        <w:t xml:space="preserve">Servicing fees, as presented in Table 10: Investment Servicing Line of Business Results, increased 7% in the first </w:t>
      </w:r>
      <w:r>
        <w:rPr>
          <w:rFonts w:ascii="Arial" w:eastAsia="宋体" w:hAnsi="Arial" w:cs="Arial"/>
          <w:color w:val="000000"/>
          <w:sz w:val="20"/>
          <w:szCs w:val="20"/>
        </w:rPr>
        <w:t>quarter of 2021 compared to the same period in 2020 primarily due to higher average equity market levels, partially offset by normal pricing headwinds. Currency translation increased servicing fees by 3% and 1% in the first quarters of 2021 and 2020, respe</w:t>
      </w:r>
      <w:r>
        <w:rPr>
          <w:rFonts w:ascii="Arial" w:eastAsia="宋体" w:hAnsi="Arial" w:cs="Arial"/>
          <w:color w:val="000000"/>
          <w:sz w:val="20"/>
          <w:szCs w:val="20"/>
        </w:rPr>
        <w:t>ctively.</w:t>
      </w:r>
    </w:p>
    <w:p w14:paraId="5EA1F00D" w14:textId="77777777" w:rsidR="003C66EB" w:rsidRDefault="00D96C4E">
      <w:pPr>
        <w:spacing w:before="60"/>
        <w:ind w:firstLine="450"/>
        <w:jc w:val="both"/>
        <w:textAlignment w:val="top"/>
      </w:pPr>
      <w:r>
        <w:rPr>
          <w:rFonts w:ascii="Arial" w:eastAsia="宋体" w:hAnsi="Arial" w:cs="Arial"/>
          <w:color w:val="000000"/>
          <w:sz w:val="20"/>
          <w:szCs w:val="20"/>
        </w:rPr>
        <w:t>Servicing fees generated outside the U.S. were approximately 47% of total servicing fees in the first quarter of 2021 compared to approximately 45% in the same period in 2020.</w:t>
      </w:r>
    </w:p>
    <w:p w14:paraId="5EA1F00E" w14:textId="77777777" w:rsidR="003C66EB" w:rsidRDefault="00D96C4E">
      <w:pPr>
        <w:ind w:firstLine="450"/>
        <w:jc w:val="right"/>
      </w:pPr>
      <w:r>
        <w:rPr>
          <w:rFonts w:ascii="Arial" w:eastAsia="宋体" w:hAnsi="Arial" w:cs="Arial"/>
          <w:color w:val="000000"/>
          <w:sz w:val="18"/>
          <w:szCs w:val="18"/>
        </w:rPr>
        <w:t>State Street Corporation | 17</w:t>
      </w:r>
    </w:p>
    <w:p w14:paraId="5EA1F00F" w14:textId="77777777" w:rsidR="003C66EB" w:rsidRDefault="003C66EB">
      <w:pPr>
        <w:ind w:firstLine="450"/>
        <w:jc w:val="center"/>
      </w:pPr>
    </w:p>
    <w:p w14:paraId="5EA1F010" w14:textId="77777777" w:rsidR="003C66EB" w:rsidRDefault="00D96C4E">
      <w:r>
        <w:pict w14:anchorId="5EA287C1">
          <v:rect id="_x0000_i1041" style="width:415.3pt;height:1.5pt" o:hralign="center" o:hrstd="t" o:hr="t" fillcolor="#a0a0a0" stroked="f"/>
        </w:pict>
      </w:r>
    </w:p>
    <w:p w14:paraId="5EA1F011" w14:textId="77777777" w:rsidR="003C66EB" w:rsidRDefault="00D96C4E">
      <w:pPr>
        <w:ind w:firstLine="450"/>
        <w:jc w:val="center"/>
      </w:pPr>
      <w:r>
        <w:rPr>
          <w:rFonts w:ascii="Arial" w:eastAsia="宋体" w:hAnsi="Arial" w:cs="Arial"/>
          <w:b/>
          <w:bCs/>
          <w:color w:val="000000"/>
          <w:sz w:val="20"/>
          <w:szCs w:val="20"/>
        </w:rPr>
        <w:t>MANAGEMENT’S DISCUSSION AND ANALYSIS O</w:t>
      </w:r>
      <w:r>
        <w:rPr>
          <w:rFonts w:ascii="Arial" w:eastAsia="宋体" w:hAnsi="Arial" w:cs="Arial"/>
          <w:b/>
          <w:bCs/>
          <w:color w:val="000000"/>
          <w:sz w:val="20"/>
          <w:szCs w:val="20"/>
        </w:rPr>
        <w:t>F FINANCIAL CONDITION</w:t>
      </w:r>
    </w:p>
    <w:p w14:paraId="5EA1F012" w14:textId="77777777" w:rsidR="003C66EB" w:rsidRDefault="00D96C4E">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914"/>
        <w:gridCol w:w="37"/>
        <w:gridCol w:w="104"/>
        <w:gridCol w:w="1289"/>
        <w:gridCol w:w="36"/>
        <w:gridCol w:w="36"/>
        <w:gridCol w:w="36"/>
        <w:gridCol w:w="36"/>
        <w:gridCol w:w="105"/>
        <w:gridCol w:w="1237"/>
        <w:gridCol w:w="37"/>
        <w:gridCol w:w="36"/>
        <w:gridCol w:w="36"/>
        <w:gridCol w:w="36"/>
        <w:gridCol w:w="104"/>
        <w:gridCol w:w="124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F02F" w14:textId="77777777">
        <w:tc>
          <w:tcPr>
            <w:tcW w:w="50" w:type="pct"/>
            <w:shd w:val="clear" w:color="auto" w:fill="auto"/>
          </w:tcPr>
          <w:p w14:paraId="5EA1F013" w14:textId="77777777" w:rsidR="003C66EB" w:rsidRDefault="003C66EB">
            <w:pPr>
              <w:rPr>
                <w:rFonts w:ascii="宋体"/>
              </w:rPr>
            </w:pPr>
          </w:p>
        </w:tc>
        <w:tc>
          <w:tcPr>
            <w:tcW w:w="2006" w:type="pct"/>
            <w:shd w:val="clear" w:color="auto" w:fill="auto"/>
          </w:tcPr>
          <w:p w14:paraId="5EA1F014" w14:textId="77777777" w:rsidR="003C66EB" w:rsidRDefault="003C66EB">
            <w:pPr>
              <w:rPr>
                <w:rFonts w:ascii="宋体"/>
              </w:rPr>
            </w:pPr>
          </w:p>
        </w:tc>
        <w:tc>
          <w:tcPr>
            <w:tcW w:w="5" w:type="pct"/>
            <w:shd w:val="clear" w:color="auto" w:fill="auto"/>
          </w:tcPr>
          <w:p w14:paraId="5EA1F015" w14:textId="77777777" w:rsidR="003C66EB" w:rsidRDefault="003C66EB">
            <w:pPr>
              <w:rPr>
                <w:rFonts w:ascii="宋体"/>
              </w:rPr>
            </w:pPr>
          </w:p>
        </w:tc>
        <w:tc>
          <w:tcPr>
            <w:tcW w:w="50" w:type="pct"/>
            <w:shd w:val="clear" w:color="auto" w:fill="auto"/>
          </w:tcPr>
          <w:p w14:paraId="5EA1F016" w14:textId="77777777" w:rsidR="003C66EB" w:rsidRDefault="003C66EB">
            <w:pPr>
              <w:rPr>
                <w:rFonts w:ascii="宋体"/>
              </w:rPr>
            </w:pPr>
          </w:p>
        </w:tc>
        <w:tc>
          <w:tcPr>
            <w:tcW w:w="902" w:type="pct"/>
            <w:shd w:val="clear" w:color="auto" w:fill="auto"/>
          </w:tcPr>
          <w:p w14:paraId="5EA1F017" w14:textId="77777777" w:rsidR="003C66EB" w:rsidRDefault="003C66EB">
            <w:pPr>
              <w:rPr>
                <w:rFonts w:ascii="宋体"/>
              </w:rPr>
            </w:pPr>
          </w:p>
        </w:tc>
        <w:tc>
          <w:tcPr>
            <w:tcW w:w="5" w:type="pct"/>
            <w:shd w:val="clear" w:color="auto" w:fill="auto"/>
          </w:tcPr>
          <w:p w14:paraId="5EA1F018" w14:textId="77777777" w:rsidR="003C66EB" w:rsidRDefault="003C66EB">
            <w:pPr>
              <w:rPr>
                <w:rFonts w:ascii="宋体"/>
              </w:rPr>
            </w:pPr>
          </w:p>
        </w:tc>
        <w:tc>
          <w:tcPr>
            <w:tcW w:w="5" w:type="pct"/>
            <w:shd w:val="clear" w:color="auto" w:fill="auto"/>
          </w:tcPr>
          <w:p w14:paraId="5EA1F019" w14:textId="77777777" w:rsidR="003C66EB" w:rsidRDefault="003C66EB">
            <w:pPr>
              <w:rPr>
                <w:rFonts w:ascii="宋体"/>
              </w:rPr>
            </w:pPr>
          </w:p>
        </w:tc>
        <w:tc>
          <w:tcPr>
            <w:tcW w:w="26" w:type="pct"/>
            <w:shd w:val="clear" w:color="auto" w:fill="auto"/>
          </w:tcPr>
          <w:p w14:paraId="5EA1F01A" w14:textId="77777777" w:rsidR="003C66EB" w:rsidRDefault="003C66EB">
            <w:pPr>
              <w:rPr>
                <w:rFonts w:ascii="宋体"/>
              </w:rPr>
            </w:pPr>
          </w:p>
        </w:tc>
        <w:tc>
          <w:tcPr>
            <w:tcW w:w="5" w:type="pct"/>
            <w:shd w:val="clear" w:color="auto" w:fill="auto"/>
          </w:tcPr>
          <w:p w14:paraId="5EA1F01B" w14:textId="77777777" w:rsidR="003C66EB" w:rsidRDefault="003C66EB">
            <w:pPr>
              <w:rPr>
                <w:rFonts w:ascii="宋体"/>
              </w:rPr>
            </w:pPr>
          </w:p>
        </w:tc>
        <w:tc>
          <w:tcPr>
            <w:tcW w:w="50" w:type="pct"/>
            <w:shd w:val="clear" w:color="auto" w:fill="auto"/>
          </w:tcPr>
          <w:p w14:paraId="5EA1F01C" w14:textId="77777777" w:rsidR="003C66EB" w:rsidRDefault="003C66EB">
            <w:pPr>
              <w:rPr>
                <w:rFonts w:ascii="宋体"/>
              </w:rPr>
            </w:pPr>
          </w:p>
        </w:tc>
        <w:tc>
          <w:tcPr>
            <w:tcW w:w="895" w:type="pct"/>
            <w:shd w:val="clear" w:color="auto" w:fill="auto"/>
          </w:tcPr>
          <w:p w14:paraId="5EA1F01D" w14:textId="77777777" w:rsidR="003C66EB" w:rsidRDefault="003C66EB">
            <w:pPr>
              <w:rPr>
                <w:rFonts w:ascii="宋体"/>
              </w:rPr>
            </w:pPr>
          </w:p>
        </w:tc>
        <w:tc>
          <w:tcPr>
            <w:tcW w:w="5" w:type="pct"/>
            <w:shd w:val="clear" w:color="auto" w:fill="auto"/>
          </w:tcPr>
          <w:p w14:paraId="5EA1F01E" w14:textId="77777777" w:rsidR="003C66EB" w:rsidRDefault="003C66EB">
            <w:pPr>
              <w:rPr>
                <w:rFonts w:ascii="宋体"/>
              </w:rPr>
            </w:pPr>
          </w:p>
        </w:tc>
        <w:tc>
          <w:tcPr>
            <w:tcW w:w="5" w:type="pct"/>
            <w:shd w:val="clear" w:color="auto" w:fill="auto"/>
          </w:tcPr>
          <w:p w14:paraId="5EA1F01F" w14:textId="77777777" w:rsidR="003C66EB" w:rsidRDefault="003C66EB">
            <w:pPr>
              <w:rPr>
                <w:rFonts w:ascii="宋体"/>
              </w:rPr>
            </w:pPr>
          </w:p>
        </w:tc>
        <w:tc>
          <w:tcPr>
            <w:tcW w:w="26" w:type="pct"/>
            <w:shd w:val="clear" w:color="auto" w:fill="auto"/>
          </w:tcPr>
          <w:p w14:paraId="5EA1F020" w14:textId="77777777" w:rsidR="003C66EB" w:rsidRDefault="003C66EB">
            <w:pPr>
              <w:rPr>
                <w:rFonts w:ascii="宋体"/>
              </w:rPr>
            </w:pPr>
          </w:p>
        </w:tc>
        <w:tc>
          <w:tcPr>
            <w:tcW w:w="5" w:type="pct"/>
            <w:shd w:val="clear" w:color="auto" w:fill="auto"/>
          </w:tcPr>
          <w:p w14:paraId="5EA1F021" w14:textId="77777777" w:rsidR="003C66EB" w:rsidRDefault="003C66EB">
            <w:pPr>
              <w:rPr>
                <w:rFonts w:ascii="宋体"/>
              </w:rPr>
            </w:pPr>
          </w:p>
        </w:tc>
        <w:tc>
          <w:tcPr>
            <w:tcW w:w="50" w:type="pct"/>
            <w:shd w:val="clear" w:color="auto" w:fill="auto"/>
          </w:tcPr>
          <w:p w14:paraId="5EA1F022" w14:textId="77777777" w:rsidR="003C66EB" w:rsidRDefault="003C66EB">
            <w:pPr>
              <w:rPr>
                <w:rFonts w:ascii="宋体"/>
              </w:rPr>
            </w:pPr>
          </w:p>
        </w:tc>
        <w:tc>
          <w:tcPr>
            <w:tcW w:w="902" w:type="pct"/>
            <w:shd w:val="clear" w:color="auto" w:fill="auto"/>
          </w:tcPr>
          <w:p w14:paraId="5EA1F023" w14:textId="77777777" w:rsidR="003C66EB" w:rsidRDefault="003C66EB">
            <w:pPr>
              <w:rPr>
                <w:rFonts w:ascii="宋体"/>
              </w:rPr>
            </w:pPr>
          </w:p>
        </w:tc>
        <w:tc>
          <w:tcPr>
            <w:tcW w:w="5" w:type="pct"/>
            <w:shd w:val="clear" w:color="auto" w:fill="auto"/>
          </w:tcPr>
          <w:p w14:paraId="5EA1F024" w14:textId="77777777" w:rsidR="003C66EB" w:rsidRDefault="003C66EB">
            <w:pPr>
              <w:rPr>
                <w:rFonts w:ascii="宋体"/>
              </w:rPr>
            </w:pPr>
          </w:p>
        </w:tc>
        <w:tc>
          <w:tcPr>
            <w:tcW w:w="0" w:type="auto"/>
            <w:shd w:val="clear" w:color="auto" w:fill="auto"/>
          </w:tcPr>
          <w:p w14:paraId="5EA1F025" w14:textId="77777777" w:rsidR="003C66EB" w:rsidRDefault="003C66EB">
            <w:pPr>
              <w:rPr>
                <w:rFonts w:ascii="宋体"/>
                <w:vanish/>
              </w:rPr>
            </w:pPr>
          </w:p>
        </w:tc>
        <w:tc>
          <w:tcPr>
            <w:tcW w:w="0" w:type="auto"/>
            <w:shd w:val="clear" w:color="auto" w:fill="auto"/>
          </w:tcPr>
          <w:p w14:paraId="5EA1F026" w14:textId="77777777" w:rsidR="003C66EB" w:rsidRDefault="003C66EB">
            <w:pPr>
              <w:rPr>
                <w:rFonts w:ascii="宋体"/>
                <w:vanish/>
              </w:rPr>
            </w:pPr>
          </w:p>
        </w:tc>
        <w:tc>
          <w:tcPr>
            <w:tcW w:w="0" w:type="auto"/>
            <w:gridSpan w:val="3"/>
            <w:shd w:val="clear" w:color="auto" w:fill="auto"/>
          </w:tcPr>
          <w:p w14:paraId="5EA1F027" w14:textId="77777777" w:rsidR="003C66EB" w:rsidRDefault="003C66EB">
            <w:pPr>
              <w:rPr>
                <w:rFonts w:ascii="宋体"/>
                <w:vanish/>
              </w:rPr>
            </w:pPr>
          </w:p>
        </w:tc>
        <w:tc>
          <w:tcPr>
            <w:tcW w:w="0" w:type="auto"/>
            <w:gridSpan w:val="3"/>
            <w:shd w:val="clear" w:color="auto" w:fill="auto"/>
          </w:tcPr>
          <w:p w14:paraId="5EA1F028" w14:textId="77777777" w:rsidR="003C66EB" w:rsidRDefault="003C66EB">
            <w:pPr>
              <w:rPr>
                <w:rFonts w:ascii="宋体"/>
                <w:vanish/>
              </w:rPr>
            </w:pPr>
          </w:p>
        </w:tc>
        <w:tc>
          <w:tcPr>
            <w:tcW w:w="0" w:type="auto"/>
            <w:gridSpan w:val="3"/>
            <w:shd w:val="clear" w:color="auto" w:fill="auto"/>
          </w:tcPr>
          <w:p w14:paraId="5EA1F029" w14:textId="77777777" w:rsidR="003C66EB" w:rsidRDefault="003C66EB">
            <w:pPr>
              <w:rPr>
                <w:rFonts w:ascii="宋体"/>
                <w:vanish/>
              </w:rPr>
            </w:pPr>
          </w:p>
        </w:tc>
        <w:tc>
          <w:tcPr>
            <w:tcW w:w="0" w:type="auto"/>
            <w:gridSpan w:val="3"/>
            <w:shd w:val="clear" w:color="auto" w:fill="auto"/>
          </w:tcPr>
          <w:p w14:paraId="5EA1F02A" w14:textId="77777777" w:rsidR="003C66EB" w:rsidRDefault="003C66EB">
            <w:pPr>
              <w:rPr>
                <w:rFonts w:ascii="宋体"/>
                <w:vanish/>
              </w:rPr>
            </w:pPr>
          </w:p>
        </w:tc>
        <w:tc>
          <w:tcPr>
            <w:tcW w:w="0" w:type="auto"/>
            <w:gridSpan w:val="3"/>
            <w:shd w:val="clear" w:color="auto" w:fill="auto"/>
          </w:tcPr>
          <w:p w14:paraId="5EA1F02B" w14:textId="77777777" w:rsidR="003C66EB" w:rsidRDefault="003C66EB">
            <w:pPr>
              <w:rPr>
                <w:rFonts w:ascii="宋体"/>
                <w:vanish/>
              </w:rPr>
            </w:pPr>
          </w:p>
        </w:tc>
        <w:tc>
          <w:tcPr>
            <w:tcW w:w="0" w:type="auto"/>
            <w:gridSpan w:val="3"/>
            <w:shd w:val="clear" w:color="auto" w:fill="auto"/>
          </w:tcPr>
          <w:p w14:paraId="5EA1F02C" w14:textId="77777777" w:rsidR="003C66EB" w:rsidRDefault="003C66EB">
            <w:pPr>
              <w:rPr>
                <w:rFonts w:ascii="宋体"/>
                <w:vanish/>
              </w:rPr>
            </w:pPr>
          </w:p>
        </w:tc>
        <w:tc>
          <w:tcPr>
            <w:tcW w:w="0" w:type="auto"/>
            <w:gridSpan w:val="3"/>
            <w:shd w:val="clear" w:color="auto" w:fill="auto"/>
          </w:tcPr>
          <w:p w14:paraId="5EA1F02D" w14:textId="77777777" w:rsidR="003C66EB" w:rsidRDefault="003C66EB">
            <w:pPr>
              <w:rPr>
                <w:rFonts w:ascii="宋体"/>
                <w:vanish/>
              </w:rPr>
            </w:pPr>
          </w:p>
        </w:tc>
        <w:tc>
          <w:tcPr>
            <w:tcW w:w="0" w:type="auto"/>
            <w:gridSpan w:val="3"/>
            <w:shd w:val="clear" w:color="auto" w:fill="auto"/>
          </w:tcPr>
          <w:p w14:paraId="5EA1F02E" w14:textId="77777777" w:rsidR="003C66EB" w:rsidRDefault="003C66EB">
            <w:pPr>
              <w:rPr>
                <w:rFonts w:ascii="宋体"/>
                <w:vanish/>
              </w:rPr>
            </w:pPr>
          </w:p>
        </w:tc>
      </w:tr>
      <w:tr w:rsidR="003C66EB" w14:paraId="5EA1F04B" w14:textId="77777777">
        <w:tc>
          <w:tcPr>
            <w:tcW w:w="0" w:type="auto"/>
            <w:gridSpan w:val="18"/>
            <w:shd w:val="clear" w:color="auto" w:fill="auto"/>
            <w:tcMar>
              <w:top w:w="40" w:type="dxa"/>
              <w:left w:w="20" w:type="dxa"/>
              <w:bottom w:w="40" w:type="dxa"/>
              <w:right w:w="20" w:type="dxa"/>
            </w:tcMar>
            <w:vAlign w:val="bottom"/>
          </w:tcPr>
          <w:p w14:paraId="5EA1F030" w14:textId="77777777" w:rsidR="003C66EB" w:rsidRDefault="00D96C4E">
            <w:pPr>
              <w:textAlignment w:val="bottom"/>
            </w:pPr>
            <w:r>
              <w:rPr>
                <w:rFonts w:ascii="Arial" w:eastAsia="宋体" w:hAnsi="Arial" w:cs="Arial"/>
                <w:b/>
                <w:bCs/>
                <w:color w:val="000000"/>
                <w:sz w:val="16"/>
                <w:szCs w:val="16"/>
              </w:rPr>
              <w:t>TABLE 11: ASSETS UNDER CUSTODY AND/OR ADMINISTRATION BY PRODUCT</w:t>
            </w:r>
            <w:r>
              <w:rPr>
                <w:rFonts w:ascii="Arial" w:eastAsia="宋体" w:hAnsi="Arial" w:cs="Arial"/>
                <w:b/>
                <w:bCs/>
                <w:color w:val="000000"/>
                <w:sz w:val="10"/>
                <w:szCs w:val="10"/>
              </w:rPr>
              <w:t>(1)</w:t>
            </w:r>
          </w:p>
        </w:tc>
        <w:tc>
          <w:tcPr>
            <w:tcW w:w="0" w:type="auto"/>
            <w:shd w:val="clear" w:color="auto" w:fill="auto"/>
          </w:tcPr>
          <w:p w14:paraId="5EA1F031" w14:textId="77777777" w:rsidR="003C66EB" w:rsidRDefault="003C66EB">
            <w:pPr>
              <w:rPr>
                <w:rFonts w:ascii="宋体"/>
                <w:vanish/>
              </w:rPr>
            </w:pPr>
          </w:p>
        </w:tc>
        <w:tc>
          <w:tcPr>
            <w:tcW w:w="0" w:type="auto"/>
            <w:shd w:val="clear" w:color="auto" w:fill="auto"/>
          </w:tcPr>
          <w:p w14:paraId="5EA1F032" w14:textId="77777777" w:rsidR="003C66EB" w:rsidRDefault="003C66EB">
            <w:pPr>
              <w:rPr>
                <w:rFonts w:ascii="宋体"/>
                <w:vanish/>
              </w:rPr>
            </w:pPr>
          </w:p>
        </w:tc>
        <w:tc>
          <w:tcPr>
            <w:tcW w:w="0" w:type="auto"/>
            <w:shd w:val="clear" w:color="auto" w:fill="auto"/>
          </w:tcPr>
          <w:p w14:paraId="5EA1F033" w14:textId="77777777" w:rsidR="003C66EB" w:rsidRDefault="003C66EB">
            <w:pPr>
              <w:rPr>
                <w:rFonts w:ascii="宋体"/>
              </w:rPr>
            </w:pPr>
          </w:p>
        </w:tc>
        <w:tc>
          <w:tcPr>
            <w:tcW w:w="0" w:type="auto"/>
            <w:shd w:val="clear" w:color="auto" w:fill="auto"/>
          </w:tcPr>
          <w:p w14:paraId="5EA1F034" w14:textId="77777777" w:rsidR="003C66EB" w:rsidRDefault="003C66EB">
            <w:pPr>
              <w:rPr>
                <w:rFonts w:ascii="宋体"/>
              </w:rPr>
            </w:pPr>
          </w:p>
        </w:tc>
        <w:tc>
          <w:tcPr>
            <w:tcW w:w="0" w:type="auto"/>
            <w:shd w:val="clear" w:color="auto" w:fill="auto"/>
          </w:tcPr>
          <w:p w14:paraId="5EA1F035" w14:textId="77777777" w:rsidR="003C66EB" w:rsidRDefault="003C66EB">
            <w:pPr>
              <w:rPr>
                <w:rFonts w:ascii="宋体"/>
              </w:rPr>
            </w:pPr>
          </w:p>
        </w:tc>
        <w:tc>
          <w:tcPr>
            <w:tcW w:w="0" w:type="auto"/>
            <w:shd w:val="clear" w:color="auto" w:fill="auto"/>
          </w:tcPr>
          <w:p w14:paraId="5EA1F036" w14:textId="77777777" w:rsidR="003C66EB" w:rsidRDefault="003C66EB">
            <w:pPr>
              <w:rPr>
                <w:rFonts w:ascii="宋体"/>
              </w:rPr>
            </w:pPr>
          </w:p>
        </w:tc>
        <w:tc>
          <w:tcPr>
            <w:tcW w:w="0" w:type="auto"/>
            <w:shd w:val="clear" w:color="auto" w:fill="auto"/>
          </w:tcPr>
          <w:p w14:paraId="5EA1F037" w14:textId="77777777" w:rsidR="003C66EB" w:rsidRDefault="003C66EB">
            <w:pPr>
              <w:rPr>
                <w:rFonts w:ascii="宋体"/>
              </w:rPr>
            </w:pPr>
          </w:p>
        </w:tc>
        <w:tc>
          <w:tcPr>
            <w:tcW w:w="0" w:type="auto"/>
            <w:shd w:val="clear" w:color="auto" w:fill="auto"/>
          </w:tcPr>
          <w:p w14:paraId="5EA1F038" w14:textId="77777777" w:rsidR="003C66EB" w:rsidRDefault="003C66EB">
            <w:pPr>
              <w:rPr>
                <w:rFonts w:ascii="宋体"/>
              </w:rPr>
            </w:pPr>
          </w:p>
        </w:tc>
        <w:tc>
          <w:tcPr>
            <w:tcW w:w="0" w:type="auto"/>
            <w:shd w:val="clear" w:color="auto" w:fill="auto"/>
          </w:tcPr>
          <w:p w14:paraId="5EA1F039" w14:textId="77777777" w:rsidR="003C66EB" w:rsidRDefault="003C66EB">
            <w:pPr>
              <w:rPr>
                <w:rFonts w:ascii="宋体"/>
              </w:rPr>
            </w:pPr>
          </w:p>
        </w:tc>
        <w:tc>
          <w:tcPr>
            <w:tcW w:w="0" w:type="auto"/>
            <w:shd w:val="clear" w:color="auto" w:fill="auto"/>
          </w:tcPr>
          <w:p w14:paraId="5EA1F03A" w14:textId="77777777" w:rsidR="003C66EB" w:rsidRDefault="003C66EB">
            <w:pPr>
              <w:rPr>
                <w:rFonts w:ascii="宋体"/>
              </w:rPr>
            </w:pPr>
          </w:p>
        </w:tc>
        <w:tc>
          <w:tcPr>
            <w:tcW w:w="0" w:type="auto"/>
            <w:shd w:val="clear" w:color="auto" w:fill="auto"/>
          </w:tcPr>
          <w:p w14:paraId="5EA1F03B" w14:textId="77777777" w:rsidR="003C66EB" w:rsidRDefault="003C66EB">
            <w:pPr>
              <w:rPr>
                <w:rFonts w:ascii="宋体"/>
              </w:rPr>
            </w:pPr>
          </w:p>
        </w:tc>
        <w:tc>
          <w:tcPr>
            <w:tcW w:w="0" w:type="auto"/>
            <w:shd w:val="clear" w:color="auto" w:fill="auto"/>
          </w:tcPr>
          <w:p w14:paraId="5EA1F03C" w14:textId="77777777" w:rsidR="003C66EB" w:rsidRDefault="003C66EB">
            <w:pPr>
              <w:rPr>
                <w:rFonts w:ascii="宋体"/>
              </w:rPr>
            </w:pPr>
          </w:p>
        </w:tc>
        <w:tc>
          <w:tcPr>
            <w:tcW w:w="0" w:type="auto"/>
            <w:shd w:val="clear" w:color="auto" w:fill="auto"/>
          </w:tcPr>
          <w:p w14:paraId="5EA1F03D" w14:textId="77777777" w:rsidR="003C66EB" w:rsidRDefault="003C66EB">
            <w:pPr>
              <w:rPr>
                <w:rFonts w:ascii="宋体"/>
              </w:rPr>
            </w:pPr>
          </w:p>
        </w:tc>
        <w:tc>
          <w:tcPr>
            <w:tcW w:w="0" w:type="auto"/>
            <w:shd w:val="clear" w:color="auto" w:fill="auto"/>
          </w:tcPr>
          <w:p w14:paraId="5EA1F03E" w14:textId="77777777" w:rsidR="003C66EB" w:rsidRDefault="003C66EB">
            <w:pPr>
              <w:rPr>
                <w:rFonts w:ascii="宋体"/>
              </w:rPr>
            </w:pPr>
          </w:p>
        </w:tc>
        <w:tc>
          <w:tcPr>
            <w:tcW w:w="0" w:type="auto"/>
            <w:shd w:val="clear" w:color="auto" w:fill="auto"/>
          </w:tcPr>
          <w:p w14:paraId="5EA1F03F" w14:textId="77777777" w:rsidR="003C66EB" w:rsidRDefault="003C66EB">
            <w:pPr>
              <w:rPr>
                <w:rFonts w:ascii="宋体"/>
              </w:rPr>
            </w:pPr>
          </w:p>
        </w:tc>
        <w:tc>
          <w:tcPr>
            <w:tcW w:w="0" w:type="auto"/>
            <w:shd w:val="clear" w:color="auto" w:fill="auto"/>
          </w:tcPr>
          <w:p w14:paraId="5EA1F040" w14:textId="77777777" w:rsidR="003C66EB" w:rsidRDefault="003C66EB">
            <w:pPr>
              <w:rPr>
                <w:rFonts w:ascii="宋体"/>
              </w:rPr>
            </w:pPr>
          </w:p>
        </w:tc>
        <w:tc>
          <w:tcPr>
            <w:tcW w:w="0" w:type="auto"/>
            <w:shd w:val="clear" w:color="auto" w:fill="auto"/>
          </w:tcPr>
          <w:p w14:paraId="5EA1F041" w14:textId="77777777" w:rsidR="003C66EB" w:rsidRDefault="003C66EB">
            <w:pPr>
              <w:rPr>
                <w:rFonts w:ascii="宋体"/>
              </w:rPr>
            </w:pPr>
          </w:p>
        </w:tc>
        <w:tc>
          <w:tcPr>
            <w:tcW w:w="0" w:type="auto"/>
            <w:shd w:val="clear" w:color="auto" w:fill="auto"/>
          </w:tcPr>
          <w:p w14:paraId="5EA1F042" w14:textId="77777777" w:rsidR="003C66EB" w:rsidRDefault="003C66EB">
            <w:pPr>
              <w:rPr>
                <w:rFonts w:ascii="宋体"/>
              </w:rPr>
            </w:pPr>
          </w:p>
        </w:tc>
        <w:tc>
          <w:tcPr>
            <w:tcW w:w="0" w:type="auto"/>
            <w:shd w:val="clear" w:color="auto" w:fill="auto"/>
          </w:tcPr>
          <w:p w14:paraId="5EA1F043" w14:textId="77777777" w:rsidR="003C66EB" w:rsidRDefault="003C66EB">
            <w:pPr>
              <w:rPr>
                <w:rFonts w:ascii="宋体"/>
              </w:rPr>
            </w:pPr>
          </w:p>
        </w:tc>
        <w:tc>
          <w:tcPr>
            <w:tcW w:w="0" w:type="auto"/>
            <w:shd w:val="clear" w:color="auto" w:fill="auto"/>
          </w:tcPr>
          <w:p w14:paraId="5EA1F044" w14:textId="77777777" w:rsidR="003C66EB" w:rsidRDefault="003C66EB">
            <w:pPr>
              <w:rPr>
                <w:rFonts w:ascii="宋体"/>
              </w:rPr>
            </w:pPr>
          </w:p>
        </w:tc>
        <w:tc>
          <w:tcPr>
            <w:tcW w:w="0" w:type="auto"/>
            <w:shd w:val="clear" w:color="auto" w:fill="auto"/>
          </w:tcPr>
          <w:p w14:paraId="5EA1F045" w14:textId="77777777" w:rsidR="003C66EB" w:rsidRDefault="003C66EB">
            <w:pPr>
              <w:rPr>
                <w:rFonts w:ascii="宋体"/>
              </w:rPr>
            </w:pPr>
          </w:p>
        </w:tc>
        <w:tc>
          <w:tcPr>
            <w:tcW w:w="0" w:type="auto"/>
            <w:shd w:val="clear" w:color="auto" w:fill="auto"/>
          </w:tcPr>
          <w:p w14:paraId="5EA1F046" w14:textId="77777777" w:rsidR="003C66EB" w:rsidRDefault="003C66EB">
            <w:pPr>
              <w:rPr>
                <w:rFonts w:ascii="宋体"/>
              </w:rPr>
            </w:pPr>
          </w:p>
        </w:tc>
        <w:tc>
          <w:tcPr>
            <w:tcW w:w="0" w:type="auto"/>
            <w:shd w:val="clear" w:color="auto" w:fill="auto"/>
          </w:tcPr>
          <w:p w14:paraId="5EA1F047" w14:textId="77777777" w:rsidR="003C66EB" w:rsidRDefault="003C66EB">
            <w:pPr>
              <w:rPr>
                <w:rFonts w:ascii="宋体"/>
              </w:rPr>
            </w:pPr>
          </w:p>
        </w:tc>
        <w:tc>
          <w:tcPr>
            <w:tcW w:w="0" w:type="auto"/>
            <w:shd w:val="clear" w:color="auto" w:fill="auto"/>
          </w:tcPr>
          <w:p w14:paraId="5EA1F048" w14:textId="77777777" w:rsidR="003C66EB" w:rsidRDefault="003C66EB">
            <w:pPr>
              <w:rPr>
                <w:rFonts w:ascii="宋体"/>
              </w:rPr>
            </w:pPr>
          </w:p>
        </w:tc>
        <w:tc>
          <w:tcPr>
            <w:tcW w:w="0" w:type="auto"/>
            <w:shd w:val="clear" w:color="auto" w:fill="auto"/>
          </w:tcPr>
          <w:p w14:paraId="5EA1F049" w14:textId="77777777" w:rsidR="003C66EB" w:rsidRDefault="003C66EB">
            <w:pPr>
              <w:rPr>
                <w:rFonts w:ascii="宋体"/>
              </w:rPr>
            </w:pPr>
          </w:p>
        </w:tc>
        <w:tc>
          <w:tcPr>
            <w:tcW w:w="0" w:type="auto"/>
            <w:shd w:val="clear" w:color="auto" w:fill="auto"/>
          </w:tcPr>
          <w:p w14:paraId="5EA1F04A" w14:textId="77777777" w:rsidR="003C66EB" w:rsidRDefault="003C66EB">
            <w:pPr>
              <w:rPr>
                <w:rFonts w:ascii="宋体"/>
              </w:rPr>
            </w:pPr>
          </w:p>
        </w:tc>
      </w:tr>
      <w:tr w:rsidR="003C66EB" w14:paraId="5EA1F05C" w14:textId="77777777">
        <w:tc>
          <w:tcPr>
            <w:tcW w:w="0" w:type="auto"/>
            <w:gridSpan w:val="3"/>
            <w:shd w:val="clear" w:color="auto" w:fill="auto"/>
            <w:tcMar>
              <w:top w:w="40" w:type="dxa"/>
              <w:left w:w="20" w:type="dxa"/>
              <w:bottom w:w="40" w:type="dxa"/>
              <w:right w:w="20" w:type="dxa"/>
            </w:tcMar>
            <w:vAlign w:val="bottom"/>
          </w:tcPr>
          <w:p w14:paraId="5EA1F04C" w14:textId="77777777" w:rsidR="003C66EB" w:rsidRDefault="00D96C4E">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A1F04D"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04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04F"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1F05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051"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Pr>
          <w:p w14:paraId="5EA1F052" w14:textId="77777777" w:rsidR="003C66EB" w:rsidRDefault="003C66EB">
            <w:pPr>
              <w:rPr>
                <w:rFonts w:ascii="宋体"/>
                <w:vanish/>
              </w:rPr>
            </w:pPr>
          </w:p>
        </w:tc>
        <w:tc>
          <w:tcPr>
            <w:tcW w:w="0" w:type="auto"/>
            <w:shd w:val="clear" w:color="auto" w:fill="auto"/>
          </w:tcPr>
          <w:p w14:paraId="5EA1F053" w14:textId="77777777" w:rsidR="003C66EB" w:rsidRDefault="003C66EB">
            <w:pPr>
              <w:rPr>
                <w:rFonts w:ascii="宋体"/>
                <w:vanish/>
              </w:rPr>
            </w:pPr>
          </w:p>
        </w:tc>
        <w:tc>
          <w:tcPr>
            <w:tcW w:w="0" w:type="auto"/>
            <w:gridSpan w:val="3"/>
            <w:shd w:val="clear" w:color="auto" w:fill="auto"/>
          </w:tcPr>
          <w:p w14:paraId="5EA1F054" w14:textId="77777777" w:rsidR="003C66EB" w:rsidRDefault="003C66EB">
            <w:pPr>
              <w:rPr>
                <w:rFonts w:ascii="宋体"/>
                <w:vanish/>
              </w:rPr>
            </w:pPr>
          </w:p>
        </w:tc>
        <w:tc>
          <w:tcPr>
            <w:tcW w:w="0" w:type="auto"/>
            <w:gridSpan w:val="3"/>
            <w:shd w:val="clear" w:color="auto" w:fill="auto"/>
          </w:tcPr>
          <w:p w14:paraId="5EA1F055" w14:textId="77777777" w:rsidR="003C66EB" w:rsidRDefault="003C66EB">
            <w:pPr>
              <w:rPr>
                <w:rFonts w:ascii="宋体"/>
                <w:vanish/>
              </w:rPr>
            </w:pPr>
          </w:p>
        </w:tc>
        <w:tc>
          <w:tcPr>
            <w:tcW w:w="0" w:type="auto"/>
            <w:gridSpan w:val="3"/>
            <w:shd w:val="clear" w:color="auto" w:fill="auto"/>
          </w:tcPr>
          <w:p w14:paraId="5EA1F056" w14:textId="77777777" w:rsidR="003C66EB" w:rsidRDefault="003C66EB">
            <w:pPr>
              <w:rPr>
                <w:rFonts w:ascii="宋体"/>
                <w:vanish/>
              </w:rPr>
            </w:pPr>
          </w:p>
        </w:tc>
        <w:tc>
          <w:tcPr>
            <w:tcW w:w="0" w:type="auto"/>
            <w:gridSpan w:val="3"/>
            <w:shd w:val="clear" w:color="auto" w:fill="auto"/>
          </w:tcPr>
          <w:p w14:paraId="5EA1F057" w14:textId="77777777" w:rsidR="003C66EB" w:rsidRDefault="003C66EB">
            <w:pPr>
              <w:rPr>
                <w:rFonts w:ascii="宋体"/>
                <w:vanish/>
              </w:rPr>
            </w:pPr>
          </w:p>
        </w:tc>
        <w:tc>
          <w:tcPr>
            <w:tcW w:w="0" w:type="auto"/>
            <w:gridSpan w:val="3"/>
            <w:shd w:val="clear" w:color="auto" w:fill="auto"/>
          </w:tcPr>
          <w:p w14:paraId="5EA1F058" w14:textId="77777777" w:rsidR="003C66EB" w:rsidRDefault="003C66EB">
            <w:pPr>
              <w:rPr>
                <w:rFonts w:ascii="宋体"/>
                <w:vanish/>
              </w:rPr>
            </w:pPr>
          </w:p>
        </w:tc>
        <w:tc>
          <w:tcPr>
            <w:tcW w:w="0" w:type="auto"/>
            <w:gridSpan w:val="3"/>
            <w:shd w:val="clear" w:color="auto" w:fill="auto"/>
          </w:tcPr>
          <w:p w14:paraId="5EA1F059" w14:textId="77777777" w:rsidR="003C66EB" w:rsidRDefault="003C66EB">
            <w:pPr>
              <w:rPr>
                <w:rFonts w:ascii="宋体"/>
                <w:vanish/>
              </w:rPr>
            </w:pPr>
          </w:p>
        </w:tc>
        <w:tc>
          <w:tcPr>
            <w:tcW w:w="0" w:type="auto"/>
            <w:gridSpan w:val="3"/>
            <w:shd w:val="clear" w:color="auto" w:fill="auto"/>
          </w:tcPr>
          <w:p w14:paraId="5EA1F05A" w14:textId="77777777" w:rsidR="003C66EB" w:rsidRDefault="003C66EB">
            <w:pPr>
              <w:rPr>
                <w:rFonts w:ascii="宋体"/>
                <w:vanish/>
              </w:rPr>
            </w:pPr>
          </w:p>
        </w:tc>
        <w:tc>
          <w:tcPr>
            <w:tcW w:w="0" w:type="auto"/>
            <w:gridSpan w:val="3"/>
            <w:shd w:val="clear" w:color="auto" w:fill="auto"/>
          </w:tcPr>
          <w:p w14:paraId="5EA1F05B" w14:textId="77777777" w:rsidR="003C66EB" w:rsidRDefault="003C66EB">
            <w:pPr>
              <w:rPr>
                <w:rFonts w:ascii="宋体"/>
                <w:vanish/>
              </w:rPr>
            </w:pPr>
          </w:p>
        </w:tc>
      </w:tr>
      <w:tr w:rsidR="003C66EB" w14:paraId="5EA1F073" w14:textId="77777777">
        <w:tc>
          <w:tcPr>
            <w:tcW w:w="0" w:type="auto"/>
            <w:gridSpan w:val="3"/>
            <w:shd w:val="clear" w:color="auto" w:fill="CCEEFF"/>
            <w:tcMar>
              <w:top w:w="40" w:type="dxa"/>
              <w:left w:w="20" w:type="dxa"/>
              <w:bottom w:w="40" w:type="dxa"/>
              <w:right w:w="20" w:type="dxa"/>
            </w:tcMar>
            <w:vAlign w:val="bottom"/>
          </w:tcPr>
          <w:p w14:paraId="5EA1F05D" w14:textId="77777777" w:rsidR="003C66EB" w:rsidRDefault="00D96C4E">
            <w:pPr>
              <w:textAlignment w:val="bottom"/>
            </w:pPr>
            <w:r>
              <w:rPr>
                <w:rFonts w:ascii="Arial" w:eastAsia="宋体" w:hAnsi="Arial" w:cs="Arial"/>
                <w:color w:val="000000"/>
                <w:sz w:val="15"/>
                <w:szCs w:val="15"/>
              </w:rPr>
              <w:t>Collective funds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05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05F" w14:textId="77777777" w:rsidR="003C66EB" w:rsidRDefault="00D96C4E">
            <w:pPr>
              <w:jc w:val="right"/>
              <w:textAlignment w:val="bottom"/>
            </w:pPr>
            <w:r>
              <w:rPr>
                <w:rFonts w:ascii="Arial" w:eastAsia="宋体" w:hAnsi="Arial" w:cs="Arial"/>
                <w:b/>
                <w:bCs/>
                <w:color w:val="000000"/>
                <w:sz w:val="15"/>
                <w:szCs w:val="15"/>
              </w:rPr>
              <w:t>14,052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06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06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06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063" w14:textId="77777777" w:rsidR="003C66EB" w:rsidRDefault="00D96C4E">
            <w:pPr>
              <w:jc w:val="right"/>
              <w:textAlignment w:val="bottom"/>
            </w:pPr>
            <w:r>
              <w:rPr>
                <w:rFonts w:ascii="Arial" w:eastAsia="宋体" w:hAnsi="Arial" w:cs="Arial"/>
                <w:color w:val="000000"/>
                <w:sz w:val="15"/>
                <w:szCs w:val="15"/>
              </w:rPr>
              <w:t>13,387 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0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06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066"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067" w14:textId="77777777" w:rsidR="003C66EB" w:rsidRDefault="00D96C4E">
            <w:pPr>
              <w:jc w:val="right"/>
              <w:textAlignment w:val="bottom"/>
            </w:pPr>
            <w:r>
              <w:rPr>
                <w:rFonts w:ascii="Arial" w:eastAsia="宋体" w:hAnsi="Arial" w:cs="Arial"/>
                <w:color w:val="000000"/>
                <w:sz w:val="15"/>
                <w:szCs w:val="15"/>
              </w:rPr>
              <w:t>10,529 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068" w14:textId="77777777" w:rsidR="003C66EB" w:rsidRDefault="003C66EB">
            <w:pPr>
              <w:jc w:val="right"/>
              <w:rPr>
                <w:rFonts w:ascii="宋体"/>
              </w:rPr>
            </w:pPr>
          </w:p>
        </w:tc>
        <w:tc>
          <w:tcPr>
            <w:tcW w:w="0" w:type="auto"/>
            <w:shd w:val="clear" w:color="auto" w:fill="auto"/>
          </w:tcPr>
          <w:p w14:paraId="5EA1F069" w14:textId="77777777" w:rsidR="003C66EB" w:rsidRDefault="003C66EB">
            <w:pPr>
              <w:rPr>
                <w:rFonts w:ascii="宋体"/>
                <w:vanish/>
              </w:rPr>
            </w:pPr>
          </w:p>
        </w:tc>
        <w:tc>
          <w:tcPr>
            <w:tcW w:w="0" w:type="auto"/>
            <w:shd w:val="clear" w:color="auto" w:fill="auto"/>
          </w:tcPr>
          <w:p w14:paraId="5EA1F06A" w14:textId="77777777" w:rsidR="003C66EB" w:rsidRDefault="003C66EB">
            <w:pPr>
              <w:rPr>
                <w:rFonts w:ascii="宋体"/>
                <w:vanish/>
              </w:rPr>
            </w:pPr>
          </w:p>
        </w:tc>
        <w:tc>
          <w:tcPr>
            <w:tcW w:w="0" w:type="auto"/>
            <w:gridSpan w:val="3"/>
            <w:shd w:val="clear" w:color="auto" w:fill="auto"/>
          </w:tcPr>
          <w:p w14:paraId="5EA1F06B" w14:textId="77777777" w:rsidR="003C66EB" w:rsidRDefault="003C66EB">
            <w:pPr>
              <w:rPr>
                <w:rFonts w:ascii="宋体"/>
                <w:vanish/>
              </w:rPr>
            </w:pPr>
          </w:p>
        </w:tc>
        <w:tc>
          <w:tcPr>
            <w:tcW w:w="0" w:type="auto"/>
            <w:gridSpan w:val="3"/>
            <w:shd w:val="clear" w:color="auto" w:fill="auto"/>
          </w:tcPr>
          <w:p w14:paraId="5EA1F06C" w14:textId="77777777" w:rsidR="003C66EB" w:rsidRDefault="003C66EB">
            <w:pPr>
              <w:rPr>
                <w:rFonts w:ascii="宋体"/>
                <w:vanish/>
              </w:rPr>
            </w:pPr>
          </w:p>
        </w:tc>
        <w:tc>
          <w:tcPr>
            <w:tcW w:w="0" w:type="auto"/>
            <w:gridSpan w:val="3"/>
            <w:shd w:val="clear" w:color="auto" w:fill="auto"/>
          </w:tcPr>
          <w:p w14:paraId="5EA1F06D" w14:textId="77777777" w:rsidR="003C66EB" w:rsidRDefault="003C66EB">
            <w:pPr>
              <w:rPr>
                <w:rFonts w:ascii="宋体"/>
                <w:vanish/>
              </w:rPr>
            </w:pPr>
          </w:p>
        </w:tc>
        <w:tc>
          <w:tcPr>
            <w:tcW w:w="0" w:type="auto"/>
            <w:gridSpan w:val="3"/>
            <w:shd w:val="clear" w:color="auto" w:fill="auto"/>
          </w:tcPr>
          <w:p w14:paraId="5EA1F06E" w14:textId="77777777" w:rsidR="003C66EB" w:rsidRDefault="003C66EB">
            <w:pPr>
              <w:rPr>
                <w:rFonts w:ascii="宋体"/>
                <w:vanish/>
              </w:rPr>
            </w:pPr>
          </w:p>
        </w:tc>
        <w:tc>
          <w:tcPr>
            <w:tcW w:w="0" w:type="auto"/>
            <w:gridSpan w:val="3"/>
            <w:shd w:val="clear" w:color="auto" w:fill="auto"/>
          </w:tcPr>
          <w:p w14:paraId="5EA1F06F" w14:textId="77777777" w:rsidR="003C66EB" w:rsidRDefault="003C66EB">
            <w:pPr>
              <w:rPr>
                <w:rFonts w:ascii="宋体"/>
                <w:vanish/>
              </w:rPr>
            </w:pPr>
          </w:p>
        </w:tc>
        <w:tc>
          <w:tcPr>
            <w:tcW w:w="0" w:type="auto"/>
            <w:gridSpan w:val="3"/>
            <w:shd w:val="clear" w:color="auto" w:fill="auto"/>
          </w:tcPr>
          <w:p w14:paraId="5EA1F070" w14:textId="77777777" w:rsidR="003C66EB" w:rsidRDefault="003C66EB">
            <w:pPr>
              <w:rPr>
                <w:rFonts w:ascii="宋体"/>
                <w:vanish/>
              </w:rPr>
            </w:pPr>
          </w:p>
        </w:tc>
        <w:tc>
          <w:tcPr>
            <w:tcW w:w="0" w:type="auto"/>
            <w:gridSpan w:val="3"/>
            <w:shd w:val="clear" w:color="auto" w:fill="auto"/>
          </w:tcPr>
          <w:p w14:paraId="5EA1F071" w14:textId="77777777" w:rsidR="003C66EB" w:rsidRDefault="003C66EB">
            <w:pPr>
              <w:rPr>
                <w:rFonts w:ascii="宋体"/>
                <w:vanish/>
              </w:rPr>
            </w:pPr>
          </w:p>
        </w:tc>
        <w:tc>
          <w:tcPr>
            <w:tcW w:w="0" w:type="auto"/>
            <w:gridSpan w:val="3"/>
            <w:shd w:val="clear" w:color="auto" w:fill="auto"/>
          </w:tcPr>
          <w:p w14:paraId="5EA1F072" w14:textId="77777777" w:rsidR="003C66EB" w:rsidRDefault="003C66EB">
            <w:pPr>
              <w:rPr>
                <w:rFonts w:ascii="宋体"/>
                <w:vanish/>
              </w:rPr>
            </w:pPr>
          </w:p>
        </w:tc>
      </w:tr>
      <w:tr w:rsidR="003C66EB" w14:paraId="5EA1F087" w14:textId="77777777">
        <w:tc>
          <w:tcPr>
            <w:tcW w:w="0" w:type="auto"/>
            <w:gridSpan w:val="3"/>
            <w:shd w:val="clear" w:color="auto" w:fill="FFFFFF"/>
            <w:tcMar>
              <w:top w:w="40" w:type="dxa"/>
              <w:left w:w="20" w:type="dxa"/>
              <w:bottom w:w="40" w:type="dxa"/>
              <w:right w:w="20" w:type="dxa"/>
            </w:tcMar>
            <w:vAlign w:val="bottom"/>
          </w:tcPr>
          <w:p w14:paraId="5EA1F074" w14:textId="77777777" w:rsidR="003C66EB" w:rsidRDefault="00D96C4E">
            <w:pPr>
              <w:textAlignment w:val="bottom"/>
            </w:pPr>
            <w:r>
              <w:rPr>
                <w:rFonts w:ascii="Arial" w:eastAsia="宋体" w:hAnsi="Arial" w:cs="Arial"/>
                <w:color w:val="000000"/>
                <w:sz w:val="15"/>
                <w:szCs w:val="15"/>
              </w:rPr>
              <w:t>Mutual funds</w:t>
            </w:r>
          </w:p>
        </w:tc>
        <w:tc>
          <w:tcPr>
            <w:tcW w:w="0" w:type="auto"/>
            <w:gridSpan w:val="2"/>
            <w:shd w:val="clear" w:color="auto" w:fill="FFFFFF"/>
            <w:tcMar>
              <w:top w:w="40" w:type="dxa"/>
              <w:left w:w="20" w:type="dxa"/>
              <w:bottom w:w="40" w:type="dxa"/>
              <w:right w:w="0" w:type="dxa"/>
            </w:tcMar>
            <w:vAlign w:val="bottom"/>
          </w:tcPr>
          <w:p w14:paraId="5EA1F075" w14:textId="77777777" w:rsidR="003C66EB" w:rsidRDefault="00D96C4E">
            <w:pPr>
              <w:jc w:val="right"/>
              <w:textAlignment w:val="bottom"/>
            </w:pPr>
            <w:r>
              <w:rPr>
                <w:rFonts w:ascii="Arial" w:eastAsia="宋体" w:hAnsi="Arial" w:cs="Arial"/>
                <w:b/>
                <w:bCs/>
                <w:color w:val="000000"/>
                <w:sz w:val="15"/>
                <w:szCs w:val="15"/>
              </w:rPr>
              <w:t>10,439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07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07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078" w14:textId="77777777" w:rsidR="003C66EB" w:rsidRDefault="00D96C4E">
            <w:pPr>
              <w:jc w:val="right"/>
              <w:textAlignment w:val="bottom"/>
            </w:pPr>
            <w:r>
              <w:rPr>
                <w:rFonts w:ascii="Arial" w:eastAsia="宋体" w:hAnsi="Arial" w:cs="Arial"/>
                <w:color w:val="000000"/>
                <w:sz w:val="15"/>
                <w:szCs w:val="15"/>
              </w:rPr>
              <w:t>9,810 </w:t>
            </w:r>
          </w:p>
        </w:tc>
        <w:tc>
          <w:tcPr>
            <w:tcW w:w="0" w:type="auto"/>
            <w:shd w:val="clear" w:color="auto" w:fill="FFFFFF"/>
            <w:tcMar>
              <w:top w:w="40" w:type="dxa"/>
              <w:left w:w="0" w:type="dxa"/>
              <w:bottom w:w="40" w:type="dxa"/>
              <w:right w:w="20" w:type="dxa"/>
            </w:tcMar>
            <w:vAlign w:val="bottom"/>
          </w:tcPr>
          <w:p w14:paraId="5EA1F0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07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07B" w14:textId="77777777" w:rsidR="003C66EB" w:rsidRDefault="00D96C4E">
            <w:pPr>
              <w:jc w:val="right"/>
              <w:textAlignment w:val="bottom"/>
            </w:pPr>
            <w:r>
              <w:rPr>
                <w:rFonts w:ascii="Arial" w:eastAsia="宋体" w:hAnsi="Arial" w:cs="Arial"/>
                <w:color w:val="000000"/>
                <w:sz w:val="15"/>
                <w:szCs w:val="15"/>
              </w:rPr>
              <w:t>7,301 </w:t>
            </w:r>
          </w:p>
        </w:tc>
        <w:tc>
          <w:tcPr>
            <w:tcW w:w="0" w:type="auto"/>
            <w:shd w:val="clear" w:color="auto" w:fill="FFFFFF"/>
            <w:tcMar>
              <w:top w:w="40" w:type="dxa"/>
              <w:left w:w="0" w:type="dxa"/>
              <w:bottom w:w="40" w:type="dxa"/>
              <w:right w:w="20" w:type="dxa"/>
            </w:tcMar>
            <w:vAlign w:val="bottom"/>
          </w:tcPr>
          <w:p w14:paraId="5EA1F07C" w14:textId="77777777" w:rsidR="003C66EB" w:rsidRDefault="003C66EB">
            <w:pPr>
              <w:jc w:val="right"/>
              <w:rPr>
                <w:rFonts w:ascii="宋体"/>
              </w:rPr>
            </w:pPr>
          </w:p>
        </w:tc>
        <w:tc>
          <w:tcPr>
            <w:tcW w:w="0" w:type="auto"/>
            <w:shd w:val="clear" w:color="auto" w:fill="auto"/>
          </w:tcPr>
          <w:p w14:paraId="5EA1F07D" w14:textId="77777777" w:rsidR="003C66EB" w:rsidRDefault="003C66EB">
            <w:pPr>
              <w:rPr>
                <w:rFonts w:ascii="宋体"/>
                <w:vanish/>
              </w:rPr>
            </w:pPr>
          </w:p>
        </w:tc>
        <w:tc>
          <w:tcPr>
            <w:tcW w:w="0" w:type="auto"/>
            <w:shd w:val="clear" w:color="auto" w:fill="auto"/>
          </w:tcPr>
          <w:p w14:paraId="5EA1F07E" w14:textId="77777777" w:rsidR="003C66EB" w:rsidRDefault="003C66EB">
            <w:pPr>
              <w:rPr>
                <w:rFonts w:ascii="宋体"/>
                <w:vanish/>
              </w:rPr>
            </w:pPr>
          </w:p>
        </w:tc>
        <w:tc>
          <w:tcPr>
            <w:tcW w:w="0" w:type="auto"/>
            <w:gridSpan w:val="3"/>
            <w:shd w:val="clear" w:color="auto" w:fill="auto"/>
          </w:tcPr>
          <w:p w14:paraId="5EA1F07F" w14:textId="77777777" w:rsidR="003C66EB" w:rsidRDefault="003C66EB">
            <w:pPr>
              <w:rPr>
                <w:rFonts w:ascii="宋体"/>
                <w:vanish/>
              </w:rPr>
            </w:pPr>
          </w:p>
        </w:tc>
        <w:tc>
          <w:tcPr>
            <w:tcW w:w="0" w:type="auto"/>
            <w:gridSpan w:val="3"/>
            <w:shd w:val="clear" w:color="auto" w:fill="auto"/>
          </w:tcPr>
          <w:p w14:paraId="5EA1F080" w14:textId="77777777" w:rsidR="003C66EB" w:rsidRDefault="003C66EB">
            <w:pPr>
              <w:rPr>
                <w:rFonts w:ascii="宋体"/>
                <w:vanish/>
              </w:rPr>
            </w:pPr>
          </w:p>
        </w:tc>
        <w:tc>
          <w:tcPr>
            <w:tcW w:w="0" w:type="auto"/>
            <w:gridSpan w:val="3"/>
            <w:shd w:val="clear" w:color="auto" w:fill="auto"/>
          </w:tcPr>
          <w:p w14:paraId="5EA1F081" w14:textId="77777777" w:rsidR="003C66EB" w:rsidRDefault="003C66EB">
            <w:pPr>
              <w:rPr>
                <w:rFonts w:ascii="宋体"/>
                <w:vanish/>
              </w:rPr>
            </w:pPr>
          </w:p>
        </w:tc>
        <w:tc>
          <w:tcPr>
            <w:tcW w:w="0" w:type="auto"/>
            <w:gridSpan w:val="3"/>
            <w:shd w:val="clear" w:color="auto" w:fill="auto"/>
          </w:tcPr>
          <w:p w14:paraId="5EA1F082" w14:textId="77777777" w:rsidR="003C66EB" w:rsidRDefault="003C66EB">
            <w:pPr>
              <w:rPr>
                <w:rFonts w:ascii="宋体"/>
                <w:vanish/>
              </w:rPr>
            </w:pPr>
          </w:p>
        </w:tc>
        <w:tc>
          <w:tcPr>
            <w:tcW w:w="0" w:type="auto"/>
            <w:gridSpan w:val="3"/>
            <w:shd w:val="clear" w:color="auto" w:fill="auto"/>
          </w:tcPr>
          <w:p w14:paraId="5EA1F083" w14:textId="77777777" w:rsidR="003C66EB" w:rsidRDefault="003C66EB">
            <w:pPr>
              <w:rPr>
                <w:rFonts w:ascii="宋体"/>
                <w:vanish/>
              </w:rPr>
            </w:pPr>
          </w:p>
        </w:tc>
        <w:tc>
          <w:tcPr>
            <w:tcW w:w="0" w:type="auto"/>
            <w:gridSpan w:val="3"/>
            <w:shd w:val="clear" w:color="auto" w:fill="auto"/>
          </w:tcPr>
          <w:p w14:paraId="5EA1F084" w14:textId="77777777" w:rsidR="003C66EB" w:rsidRDefault="003C66EB">
            <w:pPr>
              <w:rPr>
                <w:rFonts w:ascii="宋体"/>
                <w:vanish/>
              </w:rPr>
            </w:pPr>
          </w:p>
        </w:tc>
        <w:tc>
          <w:tcPr>
            <w:tcW w:w="0" w:type="auto"/>
            <w:gridSpan w:val="3"/>
            <w:shd w:val="clear" w:color="auto" w:fill="auto"/>
          </w:tcPr>
          <w:p w14:paraId="5EA1F085" w14:textId="77777777" w:rsidR="003C66EB" w:rsidRDefault="003C66EB">
            <w:pPr>
              <w:rPr>
                <w:rFonts w:ascii="宋体"/>
                <w:vanish/>
              </w:rPr>
            </w:pPr>
          </w:p>
        </w:tc>
        <w:tc>
          <w:tcPr>
            <w:tcW w:w="0" w:type="auto"/>
            <w:gridSpan w:val="3"/>
            <w:shd w:val="clear" w:color="auto" w:fill="auto"/>
          </w:tcPr>
          <w:p w14:paraId="5EA1F086" w14:textId="77777777" w:rsidR="003C66EB" w:rsidRDefault="003C66EB">
            <w:pPr>
              <w:rPr>
                <w:rFonts w:ascii="宋体"/>
                <w:vanish/>
              </w:rPr>
            </w:pPr>
          </w:p>
        </w:tc>
      </w:tr>
      <w:tr w:rsidR="003C66EB" w14:paraId="5EA1F09B" w14:textId="77777777">
        <w:tc>
          <w:tcPr>
            <w:tcW w:w="0" w:type="auto"/>
            <w:gridSpan w:val="3"/>
            <w:shd w:val="clear" w:color="auto" w:fill="CCEEFF"/>
            <w:tcMar>
              <w:top w:w="40" w:type="dxa"/>
              <w:left w:w="20" w:type="dxa"/>
              <w:bottom w:w="40" w:type="dxa"/>
              <w:right w:w="20" w:type="dxa"/>
            </w:tcMar>
            <w:vAlign w:val="bottom"/>
          </w:tcPr>
          <w:p w14:paraId="5EA1F088" w14:textId="77777777" w:rsidR="003C66EB" w:rsidRDefault="00D96C4E">
            <w:pPr>
              <w:textAlignment w:val="bottom"/>
            </w:pPr>
            <w:r>
              <w:rPr>
                <w:rFonts w:ascii="Arial" w:eastAsia="宋体" w:hAnsi="Arial" w:cs="Arial"/>
                <w:color w:val="000000"/>
                <w:sz w:val="15"/>
                <w:szCs w:val="15"/>
              </w:rPr>
              <w:t>Insurance and other products</w:t>
            </w:r>
          </w:p>
        </w:tc>
        <w:tc>
          <w:tcPr>
            <w:tcW w:w="0" w:type="auto"/>
            <w:gridSpan w:val="2"/>
            <w:shd w:val="clear" w:color="auto" w:fill="CCEEFF"/>
            <w:tcMar>
              <w:top w:w="40" w:type="dxa"/>
              <w:left w:w="20" w:type="dxa"/>
              <w:bottom w:w="40" w:type="dxa"/>
              <w:right w:w="0" w:type="dxa"/>
            </w:tcMar>
            <w:vAlign w:val="bottom"/>
          </w:tcPr>
          <w:p w14:paraId="5EA1F089" w14:textId="77777777" w:rsidR="003C66EB" w:rsidRDefault="00D96C4E">
            <w:pPr>
              <w:jc w:val="right"/>
              <w:textAlignment w:val="bottom"/>
            </w:pPr>
            <w:r>
              <w:rPr>
                <w:rFonts w:ascii="Arial" w:eastAsia="宋体" w:hAnsi="Arial" w:cs="Arial"/>
                <w:b/>
                <w:bCs/>
                <w:color w:val="000000"/>
                <w:sz w:val="15"/>
                <w:szCs w:val="15"/>
              </w:rPr>
              <w:t>7,929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0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0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08C" w14:textId="77777777" w:rsidR="003C66EB" w:rsidRDefault="00D96C4E">
            <w:pPr>
              <w:jc w:val="right"/>
              <w:textAlignment w:val="bottom"/>
            </w:pPr>
            <w:r>
              <w:rPr>
                <w:rFonts w:ascii="Arial" w:eastAsia="宋体" w:hAnsi="Arial" w:cs="Arial"/>
                <w:color w:val="000000"/>
                <w:sz w:val="15"/>
                <w:szCs w:val="15"/>
              </w:rPr>
              <w:t>8,000 </w:t>
            </w:r>
          </w:p>
        </w:tc>
        <w:tc>
          <w:tcPr>
            <w:tcW w:w="0" w:type="auto"/>
            <w:shd w:val="clear" w:color="auto" w:fill="CCEEFF"/>
            <w:tcMar>
              <w:top w:w="40" w:type="dxa"/>
              <w:left w:w="0" w:type="dxa"/>
              <w:bottom w:w="40" w:type="dxa"/>
              <w:right w:w="20" w:type="dxa"/>
            </w:tcMar>
            <w:vAlign w:val="bottom"/>
          </w:tcPr>
          <w:p w14:paraId="5EA1F0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0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08F" w14:textId="77777777" w:rsidR="003C66EB" w:rsidRDefault="00D96C4E">
            <w:pPr>
              <w:jc w:val="right"/>
              <w:textAlignment w:val="bottom"/>
            </w:pPr>
            <w:r>
              <w:rPr>
                <w:rFonts w:ascii="Arial" w:eastAsia="宋体" w:hAnsi="Arial" w:cs="Arial"/>
                <w:color w:val="000000"/>
                <w:sz w:val="15"/>
                <w:szCs w:val="15"/>
              </w:rPr>
              <w:t>7,311 </w:t>
            </w:r>
          </w:p>
        </w:tc>
        <w:tc>
          <w:tcPr>
            <w:tcW w:w="0" w:type="auto"/>
            <w:shd w:val="clear" w:color="auto" w:fill="CCEEFF"/>
            <w:tcMar>
              <w:top w:w="40" w:type="dxa"/>
              <w:left w:w="0" w:type="dxa"/>
              <w:bottom w:w="40" w:type="dxa"/>
              <w:right w:w="20" w:type="dxa"/>
            </w:tcMar>
            <w:vAlign w:val="bottom"/>
          </w:tcPr>
          <w:p w14:paraId="5EA1F090" w14:textId="77777777" w:rsidR="003C66EB" w:rsidRDefault="003C66EB">
            <w:pPr>
              <w:jc w:val="right"/>
              <w:rPr>
                <w:rFonts w:ascii="宋体"/>
              </w:rPr>
            </w:pPr>
          </w:p>
        </w:tc>
        <w:tc>
          <w:tcPr>
            <w:tcW w:w="0" w:type="auto"/>
            <w:shd w:val="clear" w:color="auto" w:fill="auto"/>
          </w:tcPr>
          <w:p w14:paraId="5EA1F091" w14:textId="77777777" w:rsidR="003C66EB" w:rsidRDefault="003C66EB">
            <w:pPr>
              <w:rPr>
                <w:rFonts w:ascii="宋体"/>
                <w:vanish/>
              </w:rPr>
            </w:pPr>
          </w:p>
        </w:tc>
        <w:tc>
          <w:tcPr>
            <w:tcW w:w="0" w:type="auto"/>
            <w:shd w:val="clear" w:color="auto" w:fill="auto"/>
          </w:tcPr>
          <w:p w14:paraId="5EA1F092" w14:textId="77777777" w:rsidR="003C66EB" w:rsidRDefault="003C66EB">
            <w:pPr>
              <w:rPr>
                <w:rFonts w:ascii="宋体"/>
                <w:vanish/>
              </w:rPr>
            </w:pPr>
          </w:p>
        </w:tc>
        <w:tc>
          <w:tcPr>
            <w:tcW w:w="0" w:type="auto"/>
            <w:gridSpan w:val="3"/>
            <w:shd w:val="clear" w:color="auto" w:fill="auto"/>
          </w:tcPr>
          <w:p w14:paraId="5EA1F093" w14:textId="77777777" w:rsidR="003C66EB" w:rsidRDefault="003C66EB">
            <w:pPr>
              <w:rPr>
                <w:rFonts w:ascii="宋体"/>
                <w:vanish/>
              </w:rPr>
            </w:pPr>
          </w:p>
        </w:tc>
        <w:tc>
          <w:tcPr>
            <w:tcW w:w="0" w:type="auto"/>
            <w:gridSpan w:val="3"/>
            <w:shd w:val="clear" w:color="auto" w:fill="auto"/>
          </w:tcPr>
          <w:p w14:paraId="5EA1F094" w14:textId="77777777" w:rsidR="003C66EB" w:rsidRDefault="003C66EB">
            <w:pPr>
              <w:rPr>
                <w:rFonts w:ascii="宋体"/>
                <w:vanish/>
              </w:rPr>
            </w:pPr>
          </w:p>
        </w:tc>
        <w:tc>
          <w:tcPr>
            <w:tcW w:w="0" w:type="auto"/>
            <w:gridSpan w:val="3"/>
            <w:shd w:val="clear" w:color="auto" w:fill="auto"/>
          </w:tcPr>
          <w:p w14:paraId="5EA1F095" w14:textId="77777777" w:rsidR="003C66EB" w:rsidRDefault="003C66EB">
            <w:pPr>
              <w:rPr>
                <w:rFonts w:ascii="宋体"/>
                <w:vanish/>
              </w:rPr>
            </w:pPr>
          </w:p>
        </w:tc>
        <w:tc>
          <w:tcPr>
            <w:tcW w:w="0" w:type="auto"/>
            <w:gridSpan w:val="3"/>
            <w:shd w:val="clear" w:color="auto" w:fill="auto"/>
          </w:tcPr>
          <w:p w14:paraId="5EA1F096" w14:textId="77777777" w:rsidR="003C66EB" w:rsidRDefault="003C66EB">
            <w:pPr>
              <w:rPr>
                <w:rFonts w:ascii="宋体"/>
                <w:vanish/>
              </w:rPr>
            </w:pPr>
          </w:p>
        </w:tc>
        <w:tc>
          <w:tcPr>
            <w:tcW w:w="0" w:type="auto"/>
            <w:gridSpan w:val="3"/>
            <w:shd w:val="clear" w:color="auto" w:fill="auto"/>
          </w:tcPr>
          <w:p w14:paraId="5EA1F097" w14:textId="77777777" w:rsidR="003C66EB" w:rsidRDefault="003C66EB">
            <w:pPr>
              <w:rPr>
                <w:rFonts w:ascii="宋体"/>
                <w:vanish/>
              </w:rPr>
            </w:pPr>
          </w:p>
        </w:tc>
        <w:tc>
          <w:tcPr>
            <w:tcW w:w="0" w:type="auto"/>
            <w:gridSpan w:val="3"/>
            <w:shd w:val="clear" w:color="auto" w:fill="auto"/>
          </w:tcPr>
          <w:p w14:paraId="5EA1F098" w14:textId="77777777" w:rsidR="003C66EB" w:rsidRDefault="003C66EB">
            <w:pPr>
              <w:rPr>
                <w:rFonts w:ascii="宋体"/>
                <w:vanish/>
              </w:rPr>
            </w:pPr>
          </w:p>
        </w:tc>
        <w:tc>
          <w:tcPr>
            <w:tcW w:w="0" w:type="auto"/>
            <w:gridSpan w:val="3"/>
            <w:shd w:val="clear" w:color="auto" w:fill="auto"/>
          </w:tcPr>
          <w:p w14:paraId="5EA1F099" w14:textId="77777777" w:rsidR="003C66EB" w:rsidRDefault="003C66EB">
            <w:pPr>
              <w:rPr>
                <w:rFonts w:ascii="宋体"/>
                <w:vanish/>
              </w:rPr>
            </w:pPr>
          </w:p>
        </w:tc>
        <w:tc>
          <w:tcPr>
            <w:tcW w:w="0" w:type="auto"/>
            <w:gridSpan w:val="3"/>
            <w:shd w:val="clear" w:color="auto" w:fill="auto"/>
          </w:tcPr>
          <w:p w14:paraId="5EA1F09A" w14:textId="77777777" w:rsidR="003C66EB" w:rsidRDefault="003C66EB">
            <w:pPr>
              <w:rPr>
                <w:rFonts w:ascii="宋体"/>
                <w:vanish/>
              </w:rPr>
            </w:pPr>
          </w:p>
        </w:tc>
      </w:tr>
      <w:tr w:rsidR="003C66EB" w14:paraId="5EA1F0AF" w14:textId="77777777">
        <w:tc>
          <w:tcPr>
            <w:tcW w:w="0" w:type="auto"/>
            <w:gridSpan w:val="3"/>
            <w:shd w:val="clear" w:color="auto" w:fill="FFFFFF"/>
            <w:tcMar>
              <w:top w:w="40" w:type="dxa"/>
              <w:left w:w="20" w:type="dxa"/>
              <w:bottom w:w="40" w:type="dxa"/>
              <w:right w:w="20" w:type="dxa"/>
            </w:tcMar>
            <w:vAlign w:val="bottom"/>
          </w:tcPr>
          <w:p w14:paraId="5EA1F09C" w14:textId="77777777" w:rsidR="003C66EB" w:rsidRDefault="00D96C4E">
            <w:pPr>
              <w:textAlignment w:val="bottom"/>
            </w:pPr>
            <w:r>
              <w:rPr>
                <w:rFonts w:ascii="Arial" w:eastAsia="宋体" w:hAnsi="Arial" w:cs="Arial"/>
                <w:color w:val="000000"/>
                <w:sz w:val="15"/>
                <w:szCs w:val="15"/>
              </w:rPr>
              <w:t>Pension products</w:t>
            </w:r>
          </w:p>
        </w:tc>
        <w:tc>
          <w:tcPr>
            <w:tcW w:w="0" w:type="auto"/>
            <w:gridSpan w:val="2"/>
            <w:shd w:val="clear" w:color="auto" w:fill="FFFFFF"/>
            <w:tcMar>
              <w:top w:w="40" w:type="dxa"/>
              <w:left w:w="20" w:type="dxa"/>
              <w:bottom w:w="40" w:type="dxa"/>
              <w:right w:w="0" w:type="dxa"/>
            </w:tcMar>
            <w:vAlign w:val="bottom"/>
          </w:tcPr>
          <w:p w14:paraId="5EA1F09D" w14:textId="77777777" w:rsidR="003C66EB" w:rsidRDefault="00D96C4E">
            <w:pPr>
              <w:jc w:val="right"/>
              <w:textAlignment w:val="bottom"/>
            </w:pPr>
            <w:r>
              <w:rPr>
                <w:rFonts w:ascii="Arial" w:eastAsia="宋体" w:hAnsi="Arial" w:cs="Arial"/>
                <w:b/>
                <w:bCs/>
                <w:color w:val="000000"/>
                <w:sz w:val="15"/>
                <w:szCs w:val="15"/>
              </w:rPr>
              <w:t>7,843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09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09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0A0" w14:textId="77777777" w:rsidR="003C66EB" w:rsidRDefault="00D96C4E">
            <w:pPr>
              <w:jc w:val="right"/>
              <w:textAlignment w:val="bottom"/>
            </w:pPr>
            <w:r>
              <w:rPr>
                <w:rFonts w:ascii="Arial" w:eastAsia="宋体" w:hAnsi="Arial" w:cs="Arial"/>
                <w:color w:val="000000"/>
                <w:sz w:val="15"/>
                <w:szCs w:val="15"/>
              </w:rPr>
              <w:t>7,594 </w:t>
            </w:r>
          </w:p>
        </w:tc>
        <w:tc>
          <w:tcPr>
            <w:tcW w:w="0" w:type="auto"/>
            <w:shd w:val="clear" w:color="auto" w:fill="FFFFFF"/>
            <w:tcMar>
              <w:top w:w="40" w:type="dxa"/>
              <w:left w:w="0" w:type="dxa"/>
              <w:bottom w:w="40" w:type="dxa"/>
              <w:right w:w="20" w:type="dxa"/>
            </w:tcMar>
            <w:vAlign w:val="bottom"/>
          </w:tcPr>
          <w:p w14:paraId="5EA1F0A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0A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0A3" w14:textId="77777777" w:rsidR="003C66EB" w:rsidRDefault="00D96C4E">
            <w:pPr>
              <w:jc w:val="right"/>
              <w:textAlignment w:val="bottom"/>
            </w:pPr>
            <w:r>
              <w:rPr>
                <w:rFonts w:ascii="Arial" w:eastAsia="宋体" w:hAnsi="Arial" w:cs="Arial"/>
                <w:color w:val="000000"/>
                <w:sz w:val="15"/>
                <w:szCs w:val="15"/>
              </w:rPr>
              <w:t>6,723 </w:t>
            </w:r>
          </w:p>
        </w:tc>
        <w:tc>
          <w:tcPr>
            <w:tcW w:w="0" w:type="auto"/>
            <w:shd w:val="clear" w:color="auto" w:fill="FFFFFF"/>
            <w:tcMar>
              <w:top w:w="40" w:type="dxa"/>
              <w:left w:w="0" w:type="dxa"/>
              <w:bottom w:w="40" w:type="dxa"/>
              <w:right w:w="20" w:type="dxa"/>
            </w:tcMar>
            <w:vAlign w:val="bottom"/>
          </w:tcPr>
          <w:p w14:paraId="5EA1F0A4" w14:textId="77777777" w:rsidR="003C66EB" w:rsidRDefault="003C66EB">
            <w:pPr>
              <w:jc w:val="right"/>
              <w:rPr>
                <w:rFonts w:ascii="宋体"/>
              </w:rPr>
            </w:pPr>
          </w:p>
        </w:tc>
        <w:tc>
          <w:tcPr>
            <w:tcW w:w="0" w:type="auto"/>
            <w:shd w:val="clear" w:color="auto" w:fill="auto"/>
          </w:tcPr>
          <w:p w14:paraId="5EA1F0A5" w14:textId="77777777" w:rsidR="003C66EB" w:rsidRDefault="003C66EB">
            <w:pPr>
              <w:rPr>
                <w:rFonts w:ascii="宋体"/>
                <w:vanish/>
              </w:rPr>
            </w:pPr>
          </w:p>
        </w:tc>
        <w:tc>
          <w:tcPr>
            <w:tcW w:w="0" w:type="auto"/>
            <w:shd w:val="clear" w:color="auto" w:fill="auto"/>
          </w:tcPr>
          <w:p w14:paraId="5EA1F0A6" w14:textId="77777777" w:rsidR="003C66EB" w:rsidRDefault="003C66EB">
            <w:pPr>
              <w:rPr>
                <w:rFonts w:ascii="宋体"/>
                <w:vanish/>
              </w:rPr>
            </w:pPr>
          </w:p>
        </w:tc>
        <w:tc>
          <w:tcPr>
            <w:tcW w:w="0" w:type="auto"/>
            <w:gridSpan w:val="3"/>
            <w:shd w:val="clear" w:color="auto" w:fill="auto"/>
          </w:tcPr>
          <w:p w14:paraId="5EA1F0A7" w14:textId="77777777" w:rsidR="003C66EB" w:rsidRDefault="003C66EB">
            <w:pPr>
              <w:rPr>
                <w:rFonts w:ascii="宋体"/>
                <w:vanish/>
              </w:rPr>
            </w:pPr>
          </w:p>
        </w:tc>
        <w:tc>
          <w:tcPr>
            <w:tcW w:w="0" w:type="auto"/>
            <w:gridSpan w:val="3"/>
            <w:shd w:val="clear" w:color="auto" w:fill="auto"/>
          </w:tcPr>
          <w:p w14:paraId="5EA1F0A8" w14:textId="77777777" w:rsidR="003C66EB" w:rsidRDefault="003C66EB">
            <w:pPr>
              <w:rPr>
                <w:rFonts w:ascii="宋体"/>
                <w:vanish/>
              </w:rPr>
            </w:pPr>
          </w:p>
        </w:tc>
        <w:tc>
          <w:tcPr>
            <w:tcW w:w="0" w:type="auto"/>
            <w:gridSpan w:val="3"/>
            <w:shd w:val="clear" w:color="auto" w:fill="auto"/>
          </w:tcPr>
          <w:p w14:paraId="5EA1F0A9" w14:textId="77777777" w:rsidR="003C66EB" w:rsidRDefault="003C66EB">
            <w:pPr>
              <w:rPr>
                <w:rFonts w:ascii="宋体"/>
                <w:vanish/>
              </w:rPr>
            </w:pPr>
          </w:p>
        </w:tc>
        <w:tc>
          <w:tcPr>
            <w:tcW w:w="0" w:type="auto"/>
            <w:gridSpan w:val="3"/>
            <w:shd w:val="clear" w:color="auto" w:fill="auto"/>
          </w:tcPr>
          <w:p w14:paraId="5EA1F0AA" w14:textId="77777777" w:rsidR="003C66EB" w:rsidRDefault="003C66EB">
            <w:pPr>
              <w:rPr>
                <w:rFonts w:ascii="宋体"/>
                <w:vanish/>
              </w:rPr>
            </w:pPr>
          </w:p>
        </w:tc>
        <w:tc>
          <w:tcPr>
            <w:tcW w:w="0" w:type="auto"/>
            <w:gridSpan w:val="3"/>
            <w:shd w:val="clear" w:color="auto" w:fill="auto"/>
          </w:tcPr>
          <w:p w14:paraId="5EA1F0AB" w14:textId="77777777" w:rsidR="003C66EB" w:rsidRDefault="003C66EB">
            <w:pPr>
              <w:rPr>
                <w:rFonts w:ascii="宋体"/>
                <w:vanish/>
              </w:rPr>
            </w:pPr>
          </w:p>
        </w:tc>
        <w:tc>
          <w:tcPr>
            <w:tcW w:w="0" w:type="auto"/>
            <w:gridSpan w:val="3"/>
            <w:shd w:val="clear" w:color="auto" w:fill="auto"/>
          </w:tcPr>
          <w:p w14:paraId="5EA1F0AC" w14:textId="77777777" w:rsidR="003C66EB" w:rsidRDefault="003C66EB">
            <w:pPr>
              <w:rPr>
                <w:rFonts w:ascii="宋体"/>
                <w:vanish/>
              </w:rPr>
            </w:pPr>
          </w:p>
        </w:tc>
        <w:tc>
          <w:tcPr>
            <w:tcW w:w="0" w:type="auto"/>
            <w:gridSpan w:val="3"/>
            <w:shd w:val="clear" w:color="auto" w:fill="auto"/>
          </w:tcPr>
          <w:p w14:paraId="5EA1F0AD" w14:textId="77777777" w:rsidR="003C66EB" w:rsidRDefault="003C66EB">
            <w:pPr>
              <w:rPr>
                <w:rFonts w:ascii="宋体"/>
                <w:vanish/>
              </w:rPr>
            </w:pPr>
          </w:p>
        </w:tc>
        <w:tc>
          <w:tcPr>
            <w:tcW w:w="0" w:type="auto"/>
            <w:gridSpan w:val="3"/>
            <w:shd w:val="clear" w:color="auto" w:fill="auto"/>
          </w:tcPr>
          <w:p w14:paraId="5EA1F0AE" w14:textId="77777777" w:rsidR="003C66EB" w:rsidRDefault="003C66EB">
            <w:pPr>
              <w:rPr>
                <w:rFonts w:ascii="宋体"/>
                <w:vanish/>
              </w:rPr>
            </w:pPr>
          </w:p>
        </w:tc>
      </w:tr>
      <w:tr w:rsidR="003C66EB" w14:paraId="5EA1F0C6" w14:textId="77777777">
        <w:tc>
          <w:tcPr>
            <w:tcW w:w="0" w:type="auto"/>
            <w:gridSpan w:val="3"/>
            <w:shd w:val="clear" w:color="auto" w:fill="CCEEFF"/>
            <w:tcMar>
              <w:top w:w="40" w:type="dxa"/>
              <w:left w:w="20" w:type="dxa"/>
              <w:bottom w:w="40" w:type="dxa"/>
              <w:right w:w="20" w:type="dxa"/>
            </w:tcMar>
            <w:vAlign w:val="bottom"/>
          </w:tcPr>
          <w:p w14:paraId="5EA1F0B0" w14:textId="77777777" w:rsidR="003C66EB" w:rsidRDefault="00D96C4E">
            <w:pPr>
              <w:textAlignment w:val="bottom"/>
            </w:pPr>
            <w:r>
              <w:rPr>
                <w:rFonts w:ascii="Arial" w:eastAsia="宋体" w:hAnsi="Arial" w:cs="Arial"/>
                <w:b/>
                <w:bCs/>
                <w:color w:val="000000"/>
                <w:sz w:val="15"/>
                <w:szCs w:val="15"/>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0B1"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0B2" w14:textId="77777777" w:rsidR="003C66EB" w:rsidRDefault="00D96C4E">
            <w:pPr>
              <w:jc w:val="right"/>
              <w:textAlignment w:val="bottom"/>
            </w:pPr>
            <w:r>
              <w:rPr>
                <w:rFonts w:ascii="Arial" w:eastAsia="宋体" w:hAnsi="Arial" w:cs="Arial"/>
                <w:b/>
                <w:bCs/>
                <w:color w:val="000000"/>
                <w:sz w:val="15"/>
                <w:szCs w:val="15"/>
              </w:rPr>
              <w:t>40,263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0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0B4"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0B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0B6" w14:textId="77777777" w:rsidR="003C66EB" w:rsidRDefault="00D96C4E">
            <w:pPr>
              <w:jc w:val="right"/>
              <w:textAlignment w:val="bottom"/>
            </w:pPr>
            <w:r>
              <w:rPr>
                <w:rFonts w:ascii="Arial" w:eastAsia="宋体" w:hAnsi="Arial" w:cs="Arial"/>
                <w:color w:val="000000"/>
                <w:sz w:val="15"/>
                <w:szCs w:val="15"/>
              </w:rPr>
              <w:t>38,791 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0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0B8"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0B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0BA" w14:textId="77777777" w:rsidR="003C66EB" w:rsidRDefault="00D96C4E">
            <w:pPr>
              <w:jc w:val="right"/>
              <w:textAlignment w:val="bottom"/>
            </w:pPr>
            <w:r>
              <w:rPr>
                <w:rFonts w:ascii="Arial" w:eastAsia="宋体" w:hAnsi="Arial" w:cs="Arial"/>
                <w:color w:val="000000"/>
                <w:sz w:val="15"/>
                <w:szCs w:val="15"/>
              </w:rPr>
              <w:t>31,864 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0BB" w14:textId="77777777" w:rsidR="003C66EB" w:rsidRDefault="003C66EB">
            <w:pPr>
              <w:jc w:val="right"/>
              <w:rPr>
                <w:rFonts w:ascii="宋体"/>
              </w:rPr>
            </w:pPr>
          </w:p>
        </w:tc>
        <w:tc>
          <w:tcPr>
            <w:tcW w:w="0" w:type="auto"/>
            <w:shd w:val="clear" w:color="auto" w:fill="auto"/>
          </w:tcPr>
          <w:p w14:paraId="5EA1F0BC" w14:textId="77777777" w:rsidR="003C66EB" w:rsidRDefault="003C66EB">
            <w:pPr>
              <w:rPr>
                <w:rFonts w:ascii="宋体"/>
                <w:vanish/>
              </w:rPr>
            </w:pPr>
          </w:p>
        </w:tc>
        <w:tc>
          <w:tcPr>
            <w:tcW w:w="0" w:type="auto"/>
            <w:shd w:val="clear" w:color="auto" w:fill="auto"/>
          </w:tcPr>
          <w:p w14:paraId="5EA1F0BD" w14:textId="77777777" w:rsidR="003C66EB" w:rsidRDefault="003C66EB">
            <w:pPr>
              <w:rPr>
                <w:rFonts w:ascii="宋体"/>
                <w:vanish/>
              </w:rPr>
            </w:pPr>
          </w:p>
        </w:tc>
        <w:tc>
          <w:tcPr>
            <w:tcW w:w="0" w:type="auto"/>
            <w:gridSpan w:val="3"/>
            <w:shd w:val="clear" w:color="auto" w:fill="auto"/>
          </w:tcPr>
          <w:p w14:paraId="5EA1F0BE" w14:textId="77777777" w:rsidR="003C66EB" w:rsidRDefault="003C66EB">
            <w:pPr>
              <w:rPr>
                <w:rFonts w:ascii="宋体"/>
                <w:vanish/>
              </w:rPr>
            </w:pPr>
          </w:p>
        </w:tc>
        <w:tc>
          <w:tcPr>
            <w:tcW w:w="0" w:type="auto"/>
            <w:gridSpan w:val="3"/>
            <w:shd w:val="clear" w:color="auto" w:fill="auto"/>
          </w:tcPr>
          <w:p w14:paraId="5EA1F0BF" w14:textId="77777777" w:rsidR="003C66EB" w:rsidRDefault="003C66EB">
            <w:pPr>
              <w:rPr>
                <w:rFonts w:ascii="宋体"/>
                <w:vanish/>
              </w:rPr>
            </w:pPr>
          </w:p>
        </w:tc>
        <w:tc>
          <w:tcPr>
            <w:tcW w:w="0" w:type="auto"/>
            <w:gridSpan w:val="3"/>
            <w:shd w:val="clear" w:color="auto" w:fill="auto"/>
          </w:tcPr>
          <w:p w14:paraId="5EA1F0C0" w14:textId="77777777" w:rsidR="003C66EB" w:rsidRDefault="003C66EB">
            <w:pPr>
              <w:rPr>
                <w:rFonts w:ascii="宋体"/>
                <w:vanish/>
              </w:rPr>
            </w:pPr>
          </w:p>
        </w:tc>
        <w:tc>
          <w:tcPr>
            <w:tcW w:w="0" w:type="auto"/>
            <w:gridSpan w:val="3"/>
            <w:shd w:val="clear" w:color="auto" w:fill="auto"/>
          </w:tcPr>
          <w:p w14:paraId="5EA1F0C1" w14:textId="77777777" w:rsidR="003C66EB" w:rsidRDefault="003C66EB">
            <w:pPr>
              <w:rPr>
                <w:rFonts w:ascii="宋体"/>
                <w:vanish/>
              </w:rPr>
            </w:pPr>
          </w:p>
        </w:tc>
        <w:tc>
          <w:tcPr>
            <w:tcW w:w="0" w:type="auto"/>
            <w:gridSpan w:val="3"/>
            <w:shd w:val="clear" w:color="auto" w:fill="auto"/>
          </w:tcPr>
          <w:p w14:paraId="5EA1F0C2" w14:textId="77777777" w:rsidR="003C66EB" w:rsidRDefault="003C66EB">
            <w:pPr>
              <w:rPr>
                <w:rFonts w:ascii="宋体"/>
                <w:vanish/>
              </w:rPr>
            </w:pPr>
          </w:p>
        </w:tc>
        <w:tc>
          <w:tcPr>
            <w:tcW w:w="0" w:type="auto"/>
            <w:gridSpan w:val="3"/>
            <w:shd w:val="clear" w:color="auto" w:fill="auto"/>
          </w:tcPr>
          <w:p w14:paraId="5EA1F0C3" w14:textId="77777777" w:rsidR="003C66EB" w:rsidRDefault="003C66EB">
            <w:pPr>
              <w:rPr>
                <w:rFonts w:ascii="宋体"/>
                <w:vanish/>
              </w:rPr>
            </w:pPr>
          </w:p>
        </w:tc>
        <w:tc>
          <w:tcPr>
            <w:tcW w:w="0" w:type="auto"/>
            <w:gridSpan w:val="3"/>
            <w:shd w:val="clear" w:color="auto" w:fill="auto"/>
          </w:tcPr>
          <w:p w14:paraId="5EA1F0C4" w14:textId="77777777" w:rsidR="003C66EB" w:rsidRDefault="003C66EB">
            <w:pPr>
              <w:rPr>
                <w:rFonts w:ascii="宋体"/>
                <w:vanish/>
              </w:rPr>
            </w:pPr>
          </w:p>
        </w:tc>
        <w:tc>
          <w:tcPr>
            <w:tcW w:w="0" w:type="auto"/>
            <w:gridSpan w:val="3"/>
            <w:shd w:val="clear" w:color="auto" w:fill="auto"/>
          </w:tcPr>
          <w:p w14:paraId="5EA1F0C5" w14:textId="77777777" w:rsidR="003C66EB" w:rsidRDefault="003C66EB">
            <w:pPr>
              <w:rPr>
                <w:rFonts w:ascii="宋体"/>
                <w:vanish/>
              </w:rPr>
            </w:pPr>
          </w:p>
        </w:tc>
      </w:tr>
    </w:tbl>
    <w:p w14:paraId="5EA1F0C7"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14"/>
        <w:gridCol w:w="36"/>
        <w:gridCol w:w="104"/>
        <w:gridCol w:w="1250"/>
        <w:gridCol w:w="36"/>
        <w:gridCol w:w="36"/>
        <w:gridCol w:w="36"/>
        <w:gridCol w:w="36"/>
        <w:gridCol w:w="105"/>
        <w:gridCol w:w="1204"/>
        <w:gridCol w:w="37"/>
        <w:gridCol w:w="36"/>
        <w:gridCol w:w="36"/>
        <w:gridCol w:w="36"/>
        <w:gridCol w:w="104"/>
        <w:gridCol w:w="120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F0E6" w14:textId="77777777">
        <w:tc>
          <w:tcPr>
            <w:tcW w:w="50" w:type="pct"/>
            <w:shd w:val="clear" w:color="auto" w:fill="auto"/>
          </w:tcPr>
          <w:p w14:paraId="5EA1F0C8" w14:textId="77777777" w:rsidR="003C66EB" w:rsidRDefault="003C66EB">
            <w:pPr>
              <w:rPr>
                <w:rFonts w:ascii="宋体"/>
              </w:rPr>
            </w:pPr>
          </w:p>
        </w:tc>
        <w:tc>
          <w:tcPr>
            <w:tcW w:w="1999" w:type="pct"/>
            <w:shd w:val="clear" w:color="auto" w:fill="auto"/>
          </w:tcPr>
          <w:p w14:paraId="5EA1F0C9" w14:textId="77777777" w:rsidR="003C66EB" w:rsidRDefault="003C66EB">
            <w:pPr>
              <w:rPr>
                <w:rFonts w:ascii="宋体"/>
              </w:rPr>
            </w:pPr>
          </w:p>
        </w:tc>
        <w:tc>
          <w:tcPr>
            <w:tcW w:w="5" w:type="pct"/>
            <w:shd w:val="clear" w:color="auto" w:fill="auto"/>
          </w:tcPr>
          <w:p w14:paraId="5EA1F0CA" w14:textId="77777777" w:rsidR="003C66EB" w:rsidRDefault="003C66EB">
            <w:pPr>
              <w:rPr>
                <w:rFonts w:ascii="宋体"/>
              </w:rPr>
            </w:pPr>
          </w:p>
        </w:tc>
        <w:tc>
          <w:tcPr>
            <w:tcW w:w="50" w:type="pct"/>
            <w:shd w:val="clear" w:color="auto" w:fill="auto"/>
          </w:tcPr>
          <w:p w14:paraId="5EA1F0CB" w14:textId="77777777" w:rsidR="003C66EB" w:rsidRDefault="003C66EB">
            <w:pPr>
              <w:rPr>
                <w:rFonts w:ascii="宋体"/>
              </w:rPr>
            </w:pPr>
          </w:p>
        </w:tc>
        <w:tc>
          <w:tcPr>
            <w:tcW w:w="902" w:type="pct"/>
            <w:shd w:val="clear" w:color="auto" w:fill="auto"/>
          </w:tcPr>
          <w:p w14:paraId="5EA1F0CC" w14:textId="77777777" w:rsidR="003C66EB" w:rsidRDefault="003C66EB">
            <w:pPr>
              <w:rPr>
                <w:rFonts w:ascii="宋体"/>
              </w:rPr>
            </w:pPr>
          </w:p>
        </w:tc>
        <w:tc>
          <w:tcPr>
            <w:tcW w:w="5" w:type="pct"/>
            <w:shd w:val="clear" w:color="auto" w:fill="auto"/>
          </w:tcPr>
          <w:p w14:paraId="5EA1F0CD" w14:textId="77777777" w:rsidR="003C66EB" w:rsidRDefault="003C66EB">
            <w:pPr>
              <w:rPr>
                <w:rFonts w:ascii="宋体"/>
              </w:rPr>
            </w:pPr>
          </w:p>
        </w:tc>
        <w:tc>
          <w:tcPr>
            <w:tcW w:w="5" w:type="pct"/>
            <w:shd w:val="clear" w:color="auto" w:fill="auto"/>
          </w:tcPr>
          <w:p w14:paraId="5EA1F0CE" w14:textId="77777777" w:rsidR="003C66EB" w:rsidRDefault="003C66EB">
            <w:pPr>
              <w:rPr>
                <w:rFonts w:ascii="宋体"/>
              </w:rPr>
            </w:pPr>
          </w:p>
        </w:tc>
        <w:tc>
          <w:tcPr>
            <w:tcW w:w="26" w:type="pct"/>
            <w:shd w:val="clear" w:color="auto" w:fill="auto"/>
          </w:tcPr>
          <w:p w14:paraId="5EA1F0CF" w14:textId="77777777" w:rsidR="003C66EB" w:rsidRDefault="003C66EB">
            <w:pPr>
              <w:rPr>
                <w:rFonts w:ascii="宋体"/>
              </w:rPr>
            </w:pPr>
          </w:p>
        </w:tc>
        <w:tc>
          <w:tcPr>
            <w:tcW w:w="5" w:type="pct"/>
            <w:shd w:val="clear" w:color="auto" w:fill="auto"/>
          </w:tcPr>
          <w:p w14:paraId="5EA1F0D0" w14:textId="77777777" w:rsidR="003C66EB" w:rsidRDefault="003C66EB">
            <w:pPr>
              <w:rPr>
                <w:rFonts w:ascii="宋体"/>
              </w:rPr>
            </w:pPr>
          </w:p>
        </w:tc>
        <w:tc>
          <w:tcPr>
            <w:tcW w:w="50" w:type="pct"/>
            <w:shd w:val="clear" w:color="auto" w:fill="auto"/>
          </w:tcPr>
          <w:p w14:paraId="5EA1F0D1" w14:textId="77777777" w:rsidR="003C66EB" w:rsidRDefault="003C66EB">
            <w:pPr>
              <w:rPr>
                <w:rFonts w:ascii="宋体"/>
              </w:rPr>
            </w:pPr>
          </w:p>
        </w:tc>
        <w:tc>
          <w:tcPr>
            <w:tcW w:w="902" w:type="pct"/>
            <w:shd w:val="clear" w:color="auto" w:fill="auto"/>
          </w:tcPr>
          <w:p w14:paraId="5EA1F0D2" w14:textId="77777777" w:rsidR="003C66EB" w:rsidRDefault="003C66EB">
            <w:pPr>
              <w:rPr>
                <w:rFonts w:ascii="宋体"/>
              </w:rPr>
            </w:pPr>
          </w:p>
        </w:tc>
        <w:tc>
          <w:tcPr>
            <w:tcW w:w="5" w:type="pct"/>
            <w:shd w:val="clear" w:color="auto" w:fill="auto"/>
          </w:tcPr>
          <w:p w14:paraId="5EA1F0D3" w14:textId="77777777" w:rsidR="003C66EB" w:rsidRDefault="003C66EB">
            <w:pPr>
              <w:rPr>
                <w:rFonts w:ascii="宋体"/>
              </w:rPr>
            </w:pPr>
          </w:p>
        </w:tc>
        <w:tc>
          <w:tcPr>
            <w:tcW w:w="5" w:type="pct"/>
            <w:shd w:val="clear" w:color="auto" w:fill="auto"/>
          </w:tcPr>
          <w:p w14:paraId="5EA1F0D4" w14:textId="77777777" w:rsidR="003C66EB" w:rsidRDefault="003C66EB">
            <w:pPr>
              <w:rPr>
                <w:rFonts w:ascii="宋体"/>
              </w:rPr>
            </w:pPr>
          </w:p>
        </w:tc>
        <w:tc>
          <w:tcPr>
            <w:tcW w:w="26" w:type="pct"/>
            <w:shd w:val="clear" w:color="auto" w:fill="auto"/>
          </w:tcPr>
          <w:p w14:paraId="5EA1F0D5" w14:textId="77777777" w:rsidR="003C66EB" w:rsidRDefault="003C66EB">
            <w:pPr>
              <w:rPr>
                <w:rFonts w:ascii="宋体"/>
              </w:rPr>
            </w:pPr>
          </w:p>
        </w:tc>
        <w:tc>
          <w:tcPr>
            <w:tcW w:w="5" w:type="pct"/>
            <w:shd w:val="clear" w:color="auto" w:fill="auto"/>
          </w:tcPr>
          <w:p w14:paraId="5EA1F0D6" w14:textId="77777777" w:rsidR="003C66EB" w:rsidRDefault="003C66EB">
            <w:pPr>
              <w:rPr>
                <w:rFonts w:ascii="宋体"/>
              </w:rPr>
            </w:pPr>
          </w:p>
        </w:tc>
        <w:tc>
          <w:tcPr>
            <w:tcW w:w="50" w:type="pct"/>
            <w:shd w:val="clear" w:color="auto" w:fill="auto"/>
          </w:tcPr>
          <w:p w14:paraId="5EA1F0D7" w14:textId="77777777" w:rsidR="003C66EB" w:rsidRDefault="003C66EB">
            <w:pPr>
              <w:rPr>
                <w:rFonts w:ascii="宋体"/>
              </w:rPr>
            </w:pPr>
          </w:p>
        </w:tc>
        <w:tc>
          <w:tcPr>
            <w:tcW w:w="902" w:type="pct"/>
            <w:shd w:val="clear" w:color="auto" w:fill="auto"/>
          </w:tcPr>
          <w:p w14:paraId="5EA1F0D8" w14:textId="77777777" w:rsidR="003C66EB" w:rsidRDefault="003C66EB">
            <w:pPr>
              <w:rPr>
                <w:rFonts w:ascii="宋体"/>
              </w:rPr>
            </w:pPr>
          </w:p>
        </w:tc>
        <w:tc>
          <w:tcPr>
            <w:tcW w:w="5" w:type="pct"/>
            <w:shd w:val="clear" w:color="auto" w:fill="auto"/>
          </w:tcPr>
          <w:p w14:paraId="5EA1F0D9" w14:textId="77777777" w:rsidR="003C66EB" w:rsidRDefault="003C66EB">
            <w:pPr>
              <w:rPr>
                <w:rFonts w:ascii="宋体"/>
              </w:rPr>
            </w:pPr>
          </w:p>
        </w:tc>
        <w:tc>
          <w:tcPr>
            <w:tcW w:w="0" w:type="auto"/>
            <w:shd w:val="clear" w:color="auto" w:fill="auto"/>
          </w:tcPr>
          <w:p w14:paraId="5EA1F0DA" w14:textId="77777777" w:rsidR="003C66EB" w:rsidRDefault="003C66EB">
            <w:pPr>
              <w:rPr>
                <w:rFonts w:ascii="宋体"/>
                <w:vanish/>
              </w:rPr>
            </w:pPr>
          </w:p>
        </w:tc>
        <w:tc>
          <w:tcPr>
            <w:tcW w:w="0" w:type="auto"/>
            <w:shd w:val="clear" w:color="auto" w:fill="auto"/>
          </w:tcPr>
          <w:p w14:paraId="5EA1F0DB" w14:textId="77777777" w:rsidR="003C66EB" w:rsidRDefault="003C66EB">
            <w:pPr>
              <w:rPr>
                <w:rFonts w:ascii="宋体"/>
                <w:vanish/>
              </w:rPr>
            </w:pPr>
          </w:p>
        </w:tc>
        <w:tc>
          <w:tcPr>
            <w:tcW w:w="0" w:type="auto"/>
            <w:gridSpan w:val="3"/>
            <w:shd w:val="clear" w:color="auto" w:fill="auto"/>
          </w:tcPr>
          <w:p w14:paraId="5EA1F0DC" w14:textId="77777777" w:rsidR="003C66EB" w:rsidRDefault="003C66EB">
            <w:pPr>
              <w:rPr>
                <w:rFonts w:ascii="宋体"/>
                <w:vanish/>
              </w:rPr>
            </w:pPr>
          </w:p>
        </w:tc>
        <w:tc>
          <w:tcPr>
            <w:tcW w:w="0" w:type="auto"/>
            <w:gridSpan w:val="3"/>
            <w:shd w:val="clear" w:color="auto" w:fill="auto"/>
          </w:tcPr>
          <w:p w14:paraId="5EA1F0DD" w14:textId="77777777" w:rsidR="003C66EB" w:rsidRDefault="003C66EB">
            <w:pPr>
              <w:rPr>
                <w:rFonts w:ascii="宋体"/>
                <w:vanish/>
              </w:rPr>
            </w:pPr>
          </w:p>
        </w:tc>
        <w:tc>
          <w:tcPr>
            <w:tcW w:w="0" w:type="auto"/>
            <w:gridSpan w:val="3"/>
            <w:shd w:val="clear" w:color="auto" w:fill="auto"/>
          </w:tcPr>
          <w:p w14:paraId="5EA1F0DE" w14:textId="77777777" w:rsidR="003C66EB" w:rsidRDefault="003C66EB">
            <w:pPr>
              <w:rPr>
                <w:rFonts w:ascii="宋体"/>
                <w:vanish/>
              </w:rPr>
            </w:pPr>
          </w:p>
        </w:tc>
        <w:tc>
          <w:tcPr>
            <w:tcW w:w="0" w:type="auto"/>
            <w:gridSpan w:val="3"/>
            <w:shd w:val="clear" w:color="auto" w:fill="auto"/>
          </w:tcPr>
          <w:p w14:paraId="5EA1F0DF" w14:textId="77777777" w:rsidR="003C66EB" w:rsidRDefault="003C66EB">
            <w:pPr>
              <w:rPr>
                <w:rFonts w:ascii="宋体"/>
                <w:vanish/>
              </w:rPr>
            </w:pPr>
          </w:p>
        </w:tc>
        <w:tc>
          <w:tcPr>
            <w:tcW w:w="0" w:type="auto"/>
            <w:gridSpan w:val="3"/>
            <w:shd w:val="clear" w:color="auto" w:fill="auto"/>
          </w:tcPr>
          <w:p w14:paraId="5EA1F0E0" w14:textId="77777777" w:rsidR="003C66EB" w:rsidRDefault="003C66EB">
            <w:pPr>
              <w:rPr>
                <w:rFonts w:ascii="宋体"/>
                <w:vanish/>
              </w:rPr>
            </w:pPr>
          </w:p>
        </w:tc>
        <w:tc>
          <w:tcPr>
            <w:tcW w:w="0" w:type="auto"/>
            <w:gridSpan w:val="3"/>
            <w:shd w:val="clear" w:color="auto" w:fill="auto"/>
          </w:tcPr>
          <w:p w14:paraId="5EA1F0E1" w14:textId="77777777" w:rsidR="003C66EB" w:rsidRDefault="003C66EB">
            <w:pPr>
              <w:rPr>
                <w:rFonts w:ascii="宋体"/>
                <w:vanish/>
              </w:rPr>
            </w:pPr>
          </w:p>
        </w:tc>
        <w:tc>
          <w:tcPr>
            <w:tcW w:w="0" w:type="auto"/>
            <w:gridSpan w:val="3"/>
            <w:shd w:val="clear" w:color="auto" w:fill="auto"/>
          </w:tcPr>
          <w:p w14:paraId="5EA1F0E2" w14:textId="77777777" w:rsidR="003C66EB" w:rsidRDefault="003C66EB">
            <w:pPr>
              <w:rPr>
                <w:rFonts w:ascii="宋体"/>
                <w:vanish/>
              </w:rPr>
            </w:pPr>
          </w:p>
        </w:tc>
        <w:tc>
          <w:tcPr>
            <w:tcW w:w="0" w:type="auto"/>
            <w:gridSpan w:val="3"/>
            <w:shd w:val="clear" w:color="auto" w:fill="auto"/>
          </w:tcPr>
          <w:p w14:paraId="5EA1F0E3" w14:textId="77777777" w:rsidR="003C66EB" w:rsidRDefault="003C66EB">
            <w:pPr>
              <w:rPr>
                <w:rFonts w:ascii="宋体"/>
                <w:vanish/>
              </w:rPr>
            </w:pPr>
          </w:p>
        </w:tc>
        <w:tc>
          <w:tcPr>
            <w:tcW w:w="0" w:type="auto"/>
            <w:gridSpan w:val="3"/>
            <w:shd w:val="clear" w:color="auto" w:fill="auto"/>
          </w:tcPr>
          <w:p w14:paraId="5EA1F0E4" w14:textId="77777777" w:rsidR="003C66EB" w:rsidRDefault="003C66EB">
            <w:pPr>
              <w:rPr>
                <w:rFonts w:ascii="宋体"/>
                <w:vanish/>
              </w:rPr>
            </w:pPr>
          </w:p>
        </w:tc>
        <w:tc>
          <w:tcPr>
            <w:tcW w:w="0" w:type="auto"/>
            <w:gridSpan w:val="3"/>
            <w:shd w:val="clear" w:color="auto" w:fill="auto"/>
          </w:tcPr>
          <w:p w14:paraId="5EA1F0E5" w14:textId="77777777" w:rsidR="003C66EB" w:rsidRDefault="003C66EB">
            <w:pPr>
              <w:rPr>
                <w:rFonts w:ascii="宋体"/>
                <w:vanish/>
              </w:rPr>
            </w:pPr>
          </w:p>
        </w:tc>
      </w:tr>
      <w:tr w:rsidR="003C66EB" w14:paraId="5EA1F108" w14:textId="77777777">
        <w:tc>
          <w:tcPr>
            <w:tcW w:w="0" w:type="auto"/>
            <w:gridSpan w:val="18"/>
            <w:shd w:val="clear" w:color="auto" w:fill="auto"/>
            <w:tcMar>
              <w:top w:w="40" w:type="dxa"/>
              <w:left w:w="20" w:type="dxa"/>
              <w:bottom w:w="40" w:type="dxa"/>
              <w:right w:w="20" w:type="dxa"/>
            </w:tcMar>
            <w:vAlign w:val="bottom"/>
          </w:tcPr>
          <w:p w14:paraId="5EA1F0E7" w14:textId="77777777" w:rsidR="003C66EB" w:rsidRDefault="00D96C4E">
            <w:pPr>
              <w:textAlignment w:val="bottom"/>
            </w:pPr>
            <w:r>
              <w:rPr>
                <w:rFonts w:ascii="Arial" w:eastAsia="宋体" w:hAnsi="Arial" w:cs="Arial"/>
                <w:b/>
                <w:bCs/>
                <w:color w:val="000000"/>
                <w:sz w:val="16"/>
                <w:szCs w:val="16"/>
              </w:rPr>
              <w:t>TABLE 12: ASSETS UNDER CUSTODY AND/OR ADMINISTRATION BY ASSET CLASS</w:t>
            </w:r>
          </w:p>
        </w:tc>
        <w:tc>
          <w:tcPr>
            <w:tcW w:w="0" w:type="auto"/>
            <w:shd w:val="clear" w:color="auto" w:fill="auto"/>
          </w:tcPr>
          <w:p w14:paraId="5EA1F0E8" w14:textId="77777777" w:rsidR="003C66EB" w:rsidRDefault="003C66EB">
            <w:pPr>
              <w:rPr>
                <w:rFonts w:ascii="宋体"/>
                <w:vanish/>
              </w:rPr>
            </w:pPr>
          </w:p>
        </w:tc>
        <w:tc>
          <w:tcPr>
            <w:tcW w:w="0" w:type="auto"/>
            <w:shd w:val="clear" w:color="auto" w:fill="auto"/>
          </w:tcPr>
          <w:p w14:paraId="5EA1F0E9" w14:textId="77777777" w:rsidR="003C66EB" w:rsidRDefault="003C66EB">
            <w:pPr>
              <w:rPr>
                <w:rFonts w:ascii="宋体"/>
                <w:vanish/>
              </w:rPr>
            </w:pPr>
          </w:p>
        </w:tc>
        <w:tc>
          <w:tcPr>
            <w:tcW w:w="0" w:type="auto"/>
            <w:shd w:val="clear" w:color="auto" w:fill="auto"/>
          </w:tcPr>
          <w:p w14:paraId="5EA1F0EA" w14:textId="77777777" w:rsidR="003C66EB" w:rsidRDefault="003C66EB">
            <w:pPr>
              <w:rPr>
                <w:rFonts w:ascii="宋体"/>
              </w:rPr>
            </w:pPr>
          </w:p>
        </w:tc>
        <w:tc>
          <w:tcPr>
            <w:tcW w:w="0" w:type="auto"/>
            <w:shd w:val="clear" w:color="auto" w:fill="auto"/>
          </w:tcPr>
          <w:p w14:paraId="5EA1F0EB" w14:textId="77777777" w:rsidR="003C66EB" w:rsidRDefault="003C66EB">
            <w:pPr>
              <w:rPr>
                <w:rFonts w:ascii="宋体"/>
              </w:rPr>
            </w:pPr>
          </w:p>
        </w:tc>
        <w:tc>
          <w:tcPr>
            <w:tcW w:w="0" w:type="auto"/>
            <w:shd w:val="clear" w:color="auto" w:fill="auto"/>
          </w:tcPr>
          <w:p w14:paraId="5EA1F0EC" w14:textId="77777777" w:rsidR="003C66EB" w:rsidRDefault="003C66EB">
            <w:pPr>
              <w:rPr>
                <w:rFonts w:ascii="宋体"/>
              </w:rPr>
            </w:pPr>
          </w:p>
        </w:tc>
        <w:tc>
          <w:tcPr>
            <w:tcW w:w="0" w:type="auto"/>
            <w:shd w:val="clear" w:color="auto" w:fill="auto"/>
          </w:tcPr>
          <w:p w14:paraId="5EA1F0ED" w14:textId="77777777" w:rsidR="003C66EB" w:rsidRDefault="003C66EB">
            <w:pPr>
              <w:rPr>
                <w:rFonts w:ascii="宋体"/>
              </w:rPr>
            </w:pPr>
          </w:p>
        </w:tc>
        <w:tc>
          <w:tcPr>
            <w:tcW w:w="0" w:type="auto"/>
            <w:shd w:val="clear" w:color="auto" w:fill="auto"/>
          </w:tcPr>
          <w:p w14:paraId="5EA1F0EE" w14:textId="77777777" w:rsidR="003C66EB" w:rsidRDefault="003C66EB">
            <w:pPr>
              <w:rPr>
                <w:rFonts w:ascii="宋体"/>
              </w:rPr>
            </w:pPr>
          </w:p>
        </w:tc>
        <w:tc>
          <w:tcPr>
            <w:tcW w:w="0" w:type="auto"/>
            <w:shd w:val="clear" w:color="auto" w:fill="auto"/>
          </w:tcPr>
          <w:p w14:paraId="5EA1F0EF" w14:textId="77777777" w:rsidR="003C66EB" w:rsidRDefault="003C66EB">
            <w:pPr>
              <w:rPr>
                <w:rFonts w:ascii="宋体"/>
              </w:rPr>
            </w:pPr>
          </w:p>
        </w:tc>
        <w:tc>
          <w:tcPr>
            <w:tcW w:w="0" w:type="auto"/>
            <w:shd w:val="clear" w:color="auto" w:fill="auto"/>
          </w:tcPr>
          <w:p w14:paraId="5EA1F0F0" w14:textId="77777777" w:rsidR="003C66EB" w:rsidRDefault="003C66EB">
            <w:pPr>
              <w:rPr>
                <w:rFonts w:ascii="宋体"/>
              </w:rPr>
            </w:pPr>
          </w:p>
        </w:tc>
        <w:tc>
          <w:tcPr>
            <w:tcW w:w="0" w:type="auto"/>
            <w:shd w:val="clear" w:color="auto" w:fill="auto"/>
          </w:tcPr>
          <w:p w14:paraId="5EA1F0F1" w14:textId="77777777" w:rsidR="003C66EB" w:rsidRDefault="003C66EB">
            <w:pPr>
              <w:rPr>
                <w:rFonts w:ascii="宋体"/>
              </w:rPr>
            </w:pPr>
          </w:p>
        </w:tc>
        <w:tc>
          <w:tcPr>
            <w:tcW w:w="0" w:type="auto"/>
            <w:shd w:val="clear" w:color="auto" w:fill="auto"/>
          </w:tcPr>
          <w:p w14:paraId="5EA1F0F2" w14:textId="77777777" w:rsidR="003C66EB" w:rsidRDefault="003C66EB">
            <w:pPr>
              <w:rPr>
                <w:rFonts w:ascii="宋体"/>
              </w:rPr>
            </w:pPr>
          </w:p>
        </w:tc>
        <w:tc>
          <w:tcPr>
            <w:tcW w:w="0" w:type="auto"/>
            <w:shd w:val="clear" w:color="auto" w:fill="auto"/>
          </w:tcPr>
          <w:p w14:paraId="5EA1F0F3" w14:textId="77777777" w:rsidR="003C66EB" w:rsidRDefault="003C66EB">
            <w:pPr>
              <w:rPr>
                <w:rFonts w:ascii="宋体"/>
              </w:rPr>
            </w:pPr>
          </w:p>
        </w:tc>
        <w:tc>
          <w:tcPr>
            <w:tcW w:w="0" w:type="auto"/>
            <w:shd w:val="clear" w:color="auto" w:fill="auto"/>
          </w:tcPr>
          <w:p w14:paraId="5EA1F0F4" w14:textId="77777777" w:rsidR="003C66EB" w:rsidRDefault="003C66EB">
            <w:pPr>
              <w:rPr>
                <w:rFonts w:ascii="宋体"/>
              </w:rPr>
            </w:pPr>
          </w:p>
        </w:tc>
        <w:tc>
          <w:tcPr>
            <w:tcW w:w="0" w:type="auto"/>
            <w:shd w:val="clear" w:color="auto" w:fill="auto"/>
          </w:tcPr>
          <w:p w14:paraId="5EA1F0F5" w14:textId="77777777" w:rsidR="003C66EB" w:rsidRDefault="003C66EB">
            <w:pPr>
              <w:rPr>
                <w:rFonts w:ascii="宋体"/>
              </w:rPr>
            </w:pPr>
          </w:p>
        </w:tc>
        <w:tc>
          <w:tcPr>
            <w:tcW w:w="0" w:type="auto"/>
            <w:shd w:val="clear" w:color="auto" w:fill="auto"/>
          </w:tcPr>
          <w:p w14:paraId="5EA1F0F6" w14:textId="77777777" w:rsidR="003C66EB" w:rsidRDefault="003C66EB">
            <w:pPr>
              <w:rPr>
                <w:rFonts w:ascii="宋体"/>
              </w:rPr>
            </w:pPr>
          </w:p>
        </w:tc>
        <w:tc>
          <w:tcPr>
            <w:tcW w:w="0" w:type="auto"/>
            <w:shd w:val="clear" w:color="auto" w:fill="auto"/>
          </w:tcPr>
          <w:p w14:paraId="5EA1F0F7" w14:textId="77777777" w:rsidR="003C66EB" w:rsidRDefault="003C66EB">
            <w:pPr>
              <w:rPr>
                <w:rFonts w:ascii="宋体"/>
              </w:rPr>
            </w:pPr>
          </w:p>
        </w:tc>
        <w:tc>
          <w:tcPr>
            <w:tcW w:w="0" w:type="auto"/>
            <w:shd w:val="clear" w:color="auto" w:fill="auto"/>
          </w:tcPr>
          <w:p w14:paraId="5EA1F0F8" w14:textId="77777777" w:rsidR="003C66EB" w:rsidRDefault="003C66EB">
            <w:pPr>
              <w:rPr>
                <w:rFonts w:ascii="宋体"/>
              </w:rPr>
            </w:pPr>
          </w:p>
        </w:tc>
        <w:tc>
          <w:tcPr>
            <w:tcW w:w="0" w:type="auto"/>
            <w:shd w:val="clear" w:color="auto" w:fill="auto"/>
          </w:tcPr>
          <w:p w14:paraId="5EA1F0F9" w14:textId="77777777" w:rsidR="003C66EB" w:rsidRDefault="003C66EB">
            <w:pPr>
              <w:rPr>
                <w:rFonts w:ascii="宋体"/>
              </w:rPr>
            </w:pPr>
          </w:p>
        </w:tc>
        <w:tc>
          <w:tcPr>
            <w:tcW w:w="0" w:type="auto"/>
            <w:shd w:val="clear" w:color="auto" w:fill="auto"/>
          </w:tcPr>
          <w:p w14:paraId="5EA1F0FA" w14:textId="77777777" w:rsidR="003C66EB" w:rsidRDefault="003C66EB">
            <w:pPr>
              <w:rPr>
                <w:rFonts w:ascii="宋体"/>
              </w:rPr>
            </w:pPr>
          </w:p>
        </w:tc>
        <w:tc>
          <w:tcPr>
            <w:tcW w:w="0" w:type="auto"/>
            <w:shd w:val="clear" w:color="auto" w:fill="auto"/>
          </w:tcPr>
          <w:p w14:paraId="5EA1F0FB" w14:textId="77777777" w:rsidR="003C66EB" w:rsidRDefault="003C66EB">
            <w:pPr>
              <w:rPr>
                <w:rFonts w:ascii="宋体"/>
              </w:rPr>
            </w:pPr>
          </w:p>
        </w:tc>
        <w:tc>
          <w:tcPr>
            <w:tcW w:w="0" w:type="auto"/>
            <w:shd w:val="clear" w:color="auto" w:fill="auto"/>
          </w:tcPr>
          <w:p w14:paraId="5EA1F0FC" w14:textId="77777777" w:rsidR="003C66EB" w:rsidRDefault="003C66EB">
            <w:pPr>
              <w:rPr>
                <w:rFonts w:ascii="宋体"/>
              </w:rPr>
            </w:pPr>
          </w:p>
        </w:tc>
        <w:tc>
          <w:tcPr>
            <w:tcW w:w="0" w:type="auto"/>
            <w:shd w:val="clear" w:color="auto" w:fill="auto"/>
          </w:tcPr>
          <w:p w14:paraId="5EA1F0FD" w14:textId="77777777" w:rsidR="003C66EB" w:rsidRDefault="003C66EB">
            <w:pPr>
              <w:rPr>
                <w:rFonts w:ascii="宋体"/>
              </w:rPr>
            </w:pPr>
          </w:p>
        </w:tc>
        <w:tc>
          <w:tcPr>
            <w:tcW w:w="0" w:type="auto"/>
            <w:shd w:val="clear" w:color="auto" w:fill="auto"/>
          </w:tcPr>
          <w:p w14:paraId="5EA1F0FE" w14:textId="77777777" w:rsidR="003C66EB" w:rsidRDefault="003C66EB">
            <w:pPr>
              <w:rPr>
                <w:rFonts w:ascii="宋体"/>
              </w:rPr>
            </w:pPr>
          </w:p>
        </w:tc>
        <w:tc>
          <w:tcPr>
            <w:tcW w:w="0" w:type="auto"/>
            <w:shd w:val="clear" w:color="auto" w:fill="auto"/>
          </w:tcPr>
          <w:p w14:paraId="5EA1F0FF" w14:textId="77777777" w:rsidR="003C66EB" w:rsidRDefault="003C66EB">
            <w:pPr>
              <w:rPr>
                <w:rFonts w:ascii="宋体"/>
              </w:rPr>
            </w:pPr>
          </w:p>
        </w:tc>
        <w:tc>
          <w:tcPr>
            <w:tcW w:w="0" w:type="auto"/>
            <w:shd w:val="clear" w:color="auto" w:fill="auto"/>
          </w:tcPr>
          <w:p w14:paraId="5EA1F100" w14:textId="77777777" w:rsidR="003C66EB" w:rsidRDefault="003C66EB">
            <w:pPr>
              <w:rPr>
                <w:rFonts w:ascii="宋体"/>
              </w:rPr>
            </w:pPr>
          </w:p>
        </w:tc>
        <w:tc>
          <w:tcPr>
            <w:tcW w:w="0" w:type="auto"/>
            <w:shd w:val="clear" w:color="auto" w:fill="auto"/>
          </w:tcPr>
          <w:p w14:paraId="5EA1F101" w14:textId="77777777" w:rsidR="003C66EB" w:rsidRDefault="003C66EB">
            <w:pPr>
              <w:rPr>
                <w:rFonts w:ascii="宋体"/>
              </w:rPr>
            </w:pPr>
          </w:p>
        </w:tc>
        <w:tc>
          <w:tcPr>
            <w:tcW w:w="0" w:type="auto"/>
            <w:shd w:val="clear" w:color="auto" w:fill="auto"/>
          </w:tcPr>
          <w:p w14:paraId="5EA1F102" w14:textId="77777777" w:rsidR="003C66EB" w:rsidRDefault="003C66EB">
            <w:pPr>
              <w:rPr>
                <w:rFonts w:ascii="宋体"/>
              </w:rPr>
            </w:pPr>
          </w:p>
        </w:tc>
        <w:tc>
          <w:tcPr>
            <w:tcW w:w="0" w:type="auto"/>
            <w:shd w:val="clear" w:color="auto" w:fill="auto"/>
          </w:tcPr>
          <w:p w14:paraId="5EA1F103" w14:textId="77777777" w:rsidR="003C66EB" w:rsidRDefault="003C66EB">
            <w:pPr>
              <w:rPr>
                <w:rFonts w:ascii="宋体"/>
              </w:rPr>
            </w:pPr>
          </w:p>
        </w:tc>
        <w:tc>
          <w:tcPr>
            <w:tcW w:w="0" w:type="auto"/>
            <w:shd w:val="clear" w:color="auto" w:fill="auto"/>
          </w:tcPr>
          <w:p w14:paraId="5EA1F104" w14:textId="77777777" w:rsidR="003C66EB" w:rsidRDefault="003C66EB">
            <w:pPr>
              <w:rPr>
                <w:rFonts w:ascii="宋体"/>
              </w:rPr>
            </w:pPr>
          </w:p>
        </w:tc>
        <w:tc>
          <w:tcPr>
            <w:tcW w:w="0" w:type="auto"/>
            <w:shd w:val="clear" w:color="auto" w:fill="auto"/>
          </w:tcPr>
          <w:p w14:paraId="5EA1F105" w14:textId="77777777" w:rsidR="003C66EB" w:rsidRDefault="003C66EB">
            <w:pPr>
              <w:rPr>
                <w:rFonts w:ascii="宋体"/>
              </w:rPr>
            </w:pPr>
          </w:p>
        </w:tc>
        <w:tc>
          <w:tcPr>
            <w:tcW w:w="0" w:type="auto"/>
            <w:shd w:val="clear" w:color="auto" w:fill="auto"/>
          </w:tcPr>
          <w:p w14:paraId="5EA1F106" w14:textId="77777777" w:rsidR="003C66EB" w:rsidRDefault="003C66EB">
            <w:pPr>
              <w:rPr>
                <w:rFonts w:ascii="宋体"/>
              </w:rPr>
            </w:pPr>
          </w:p>
        </w:tc>
        <w:tc>
          <w:tcPr>
            <w:tcW w:w="0" w:type="auto"/>
            <w:shd w:val="clear" w:color="auto" w:fill="auto"/>
          </w:tcPr>
          <w:p w14:paraId="5EA1F107" w14:textId="77777777" w:rsidR="003C66EB" w:rsidRDefault="003C66EB">
            <w:pPr>
              <w:rPr>
                <w:rFonts w:ascii="宋体"/>
              </w:rPr>
            </w:pPr>
          </w:p>
        </w:tc>
      </w:tr>
      <w:tr w:rsidR="003C66EB" w14:paraId="5EA1F11B" w14:textId="77777777">
        <w:tc>
          <w:tcPr>
            <w:tcW w:w="0" w:type="auto"/>
            <w:gridSpan w:val="3"/>
            <w:shd w:val="clear" w:color="auto" w:fill="auto"/>
            <w:tcMar>
              <w:top w:w="40" w:type="dxa"/>
              <w:left w:w="20" w:type="dxa"/>
              <w:bottom w:w="40" w:type="dxa"/>
              <w:right w:w="20" w:type="dxa"/>
            </w:tcMar>
            <w:vAlign w:val="bottom"/>
          </w:tcPr>
          <w:p w14:paraId="5EA1F109" w14:textId="77777777" w:rsidR="003C66EB" w:rsidRDefault="00D96C4E">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A1F10A"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10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10C"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1F10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10E"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Pr>
          <w:p w14:paraId="5EA1F10F" w14:textId="77777777" w:rsidR="003C66EB" w:rsidRDefault="003C66EB">
            <w:pPr>
              <w:rPr>
                <w:rFonts w:ascii="宋体"/>
                <w:vanish/>
              </w:rPr>
            </w:pPr>
          </w:p>
        </w:tc>
        <w:tc>
          <w:tcPr>
            <w:tcW w:w="0" w:type="auto"/>
            <w:shd w:val="clear" w:color="auto" w:fill="auto"/>
          </w:tcPr>
          <w:p w14:paraId="5EA1F110" w14:textId="77777777" w:rsidR="003C66EB" w:rsidRDefault="003C66EB">
            <w:pPr>
              <w:rPr>
                <w:rFonts w:ascii="宋体"/>
                <w:vanish/>
              </w:rPr>
            </w:pPr>
          </w:p>
        </w:tc>
        <w:tc>
          <w:tcPr>
            <w:tcW w:w="0" w:type="auto"/>
            <w:gridSpan w:val="3"/>
            <w:shd w:val="clear" w:color="auto" w:fill="auto"/>
          </w:tcPr>
          <w:p w14:paraId="5EA1F111" w14:textId="77777777" w:rsidR="003C66EB" w:rsidRDefault="003C66EB">
            <w:pPr>
              <w:rPr>
                <w:rFonts w:ascii="宋体"/>
                <w:vanish/>
              </w:rPr>
            </w:pPr>
          </w:p>
        </w:tc>
        <w:tc>
          <w:tcPr>
            <w:tcW w:w="0" w:type="auto"/>
            <w:gridSpan w:val="3"/>
            <w:shd w:val="clear" w:color="auto" w:fill="auto"/>
          </w:tcPr>
          <w:p w14:paraId="5EA1F112" w14:textId="77777777" w:rsidR="003C66EB" w:rsidRDefault="003C66EB">
            <w:pPr>
              <w:rPr>
                <w:rFonts w:ascii="宋体"/>
                <w:vanish/>
              </w:rPr>
            </w:pPr>
          </w:p>
        </w:tc>
        <w:tc>
          <w:tcPr>
            <w:tcW w:w="0" w:type="auto"/>
            <w:gridSpan w:val="3"/>
            <w:shd w:val="clear" w:color="auto" w:fill="auto"/>
          </w:tcPr>
          <w:p w14:paraId="5EA1F113" w14:textId="77777777" w:rsidR="003C66EB" w:rsidRDefault="003C66EB">
            <w:pPr>
              <w:rPr>
                <w:rFonts w:ascii="宋体"/>
                <w:vanish/>
              </w:rPr>
            </w:pPr>
          </w:p>
        </w:tc>
        <w:tc>
          <w:tcPr>
            <w:tcW w:w="0" w:type="auto"/>
            <w:gridSpan w:val="3"/>
            <w:shd w:val="clear" w:color="auto" w:fill="auto"/>
          </w:tcPr>
          <w:p w14:paraId="5EA1F114" w14:textId="77777777" w:rsidR="003C66EB" w:rsidRDefault="003C66EB">
            <w:pPr>
              <w:rPr>
                <w:rFonts w:ascii="宋体"/>
                <w:vanish/>
              </w:rPr>
            </w:pPr>
          </w:p>
        </w:tc>
        <w:tc>
          <w:tcPr>
            <w:tcW w:w="0" w:type="auto"/>
            <w:gridSpan w:val="3"/>
            <w:shd w:val="clear" w:color="auto" w:fill="auto"/>
          </w:tcPr>
          <w:p w14:paraId="5EA1F115" w14:textId="77777777" w:rsidR="003C66EB" w:rsidRDefault="003C66EB">
            <w:pPr>
              <w:rPr>
                <w:rFonts w:ascii="宋体"/>
                <w:vanish/>
              </w:rPr>
            </w:pPr>
          </w:p>
        </w:tc>
        <w:tc>
          <w:tcPr>
            <w:tcW w:w="0" w:type="auto"/>
            <w:gridSpan w:val="3"/>
            <w:shd w:val="clear" w:color="auto" w:fill="auto"/>
          </w:tcPr>
          <w:p w14:paraId="5EA1F116" w14:textId="77777777" w:rsidR="003C66EB" w:rsidRDefault="003C66EB">
            <w:pPr>
              <w:rPr>
                <w:rFonts w:ascii="宋体"/>
                <w:vanish/>
              </w:rPr>
            </w:pPr>
          </w:p>
        </w:tc>
        <w:tc>
          <w:tcPr>
            <w:tcW w:w="0" w:type="auto"/>
            <w:gridSpan w:val="3"/>
            <w:shd w:val="clear" w:color="auto" w:fill="auto"/>
          </w:tcPr>
          <w:p w14:paraId="5EA1F117" w14:textId="77777777" w:rsidR="003C66EB" w:rsidRDefault="003C66EB">
            <w:pPr>
              <w:rPr>
                <w:rFonts w:ascii="宋体"/>
                <w:vanish/>
              </w:rPr>
            </w:pPr>
          </w:p>
        </w:tc>
        <w:tc>
          <w:tcPr>
            <w:tcW w:w="0" w:type="auto"/>
            <w:gridSpan w:val="3"/>
            <w:shd w:val="clear" w:color="auto" w:fill="auto"/>
          </w:tcPr>
          <w:p w14:paraId="5EA1F118" w14:textId="77777777" w:rsidR="003C66EB" w:rsidRDefault="003C66EB">
            <w:pPr>
              <w:rPr>
                <w:rFonts w:ascii="宋体"/>
                <w:vanish/>
              </w:rPr>
            </w:pPr>
          </w:p>
        </w:tc>
        <w:tc>
          <w:tcPr>
            <w:tcW w:w="0" w:type="auto"/>
            <w:gridSpan w:val="3"/>
            <w:shd w:val="clear" w:color="auto" w:fill="auto"/>
          </w:tcPr>
          <w:p w14:paraId="5EA1F119" w14:textId="77777777" w:rsidR="003C66EB" w:rsidRDefault="003C66EB">
            <w:pPr>
              <w:rPr>
                <w:rFonts w:ascii="宋体"/>
                <w:vanish/>
              </w:rPr>
            </w:pPr>
          </w:p>
        </w:tc>
        <w:tc>
          <w:tcPr>
            <w:tcW w:w="0" w:type="auto"/>
            <w:gridSpan w:val="3"/>
            <w:shd w:val="clear" w:color="auto" w:fill="auto"/>
          </w:tcPr>
          <w:p w14:paraId="5EA1F11A" w14:textId="77777777" w:rsidR="003C66EB" w:rsidRDefault="003C66EB">
            <w:pPr>
              <w:rPr>
                <w:rFonts w:ascii="宋体"/>
                <w:vanish/>
              </w:rPr>
            </w:pPr>
          </w:p>
        </w:tc>
      </w:tr>
      <w:tr w:rsidR="003C66EB" w14:paraId="5EA1F134" w14:textId="77777777">
        <w:tc>
          <w:tcPr>
            <w:tcW w:w="0" w:type="auto"/>
            <w:gridSpan w:val="3"/>
            <w:shd w:val="clear" w:color="auto" w:fill="CCEEFF"/>
            <w:tcMar>
              <w:top w:w="40" w:type="dxa"/>
              <w:left w:w="20" w:type="dxa"/>
              <w:bottom w:w="40" w:type="dxa"/>
              <w:right w:w="20" w:type="dxa"/>
            </w:tcMar>
            <w:vAlign w:val="bottom"/>
          </w:tcPr>
          <w:p w14:paraId="5EA1F11C" w14:textId="77777777" w:rsidR="003C66EB" w:rsidRDefault="00D96C4E">
            <w:pPr>
              <w:textAlignment w:val="bottom"/>
            </w:pPr>
            <w:r>
              <w:rPr>
                <w:rFonts w:ascii="Arial" w:eastAsia="宋体" w:hAnsi="Arial" w:cs="Arial"/>
                <w:color w:val="000000"/>
                <w:sz w:val="15"/>
                <w:szCs w:val="15"/>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11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11E" w14:textId="77777777" w:rsidR="003C66EB" w:rsidRDefault="00D96C4E">
            <w:pPr>
              <w:jc w:val="right"/>
              <w:textAlignment w:val="bottom"/>
            </w:pPr>
            <w:r>
              <w:rPr>
                <w:rFonts w:ascii="Arial" w:eastAsia="宋体" w:hAnsi="Arial" w:cs="Arial"/>
                <w:b/>
                <w:bCs/>
                <w:color w:val="000000"/>
                <w:sz w:val="15"/>
                <w:szCs w:val="15"/>
              </w:rPr>
              <w:t>22,825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1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2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12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122" w14:textId="77777777" w:rsidR="003C66EB" w:rsidRDefault="00D96C4E">
            <w:pPr>
              <w:jc w:val="right"/>
              <w:textAlignment w:val="bottom"/>
            </w:pPr>
            <w:r>
              <w:rPr>
                <w:rFonts w:ascii="Arial" w:eastAsia="宋体" w:hAnsi="Arial" w:cs="Arial"/>
                <w:color w:val="000000"/>
                <w:sz w:val="15"/>
                <w:szCs w:val="15"/>
              </w:rPr>
              <w:t>21,626 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1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2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12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126" w14:textId="77777777" w:rsidR="003C66EB" w:rsidRDefault="00D96C4E">
            <w:pPr>
              <w:jc w:val="right"/>
              <w:textAlignment w:val="bottom"/>
            </w:pPr>
            <w:r>
              <w:rPr>
                <w:rFonts w:ascii="Arial" w:eastAsia="宋体" w:hAnsi="Arial" w:cs="Arial"/>
                <w:color w:val="000000"/>
                <w:sz w:val="15"/>
                <w:szCs w:val="15"/>
              </w:rPr>
              <w:t>16,267 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127" w14:textId="77777777" w:rsidR="003C66EB" w:rsidRDefault="003C66EB">
            <w:pPr>
              <w:jc w:val="right"/>
              <w:rPr>
                <w:rFonts w:ascii="宋体"/>
              </w:rPr>
            </w:pPr>
          </w:p>
        </w:tc>
        <w:tc>
          <w:tcPr>
            <w:tcW w:w="0" w:type="auto"/>
            <w:shd w:val="clear" w:color="auto" w:fill="auto"/>
          </w:tcPr>
          <w:p w14:paraId="5EA1F128" w14:textId="77777777" w:rsidR="003C66EB" w:rsidRDefault="003C66EB">
            <w:pPr>
              <w:rPr>
                <w:rFonts w:ascii="宋体"/>
                <w:vanish/>
              </w:rPr>
            </w:pPr>
          </w:p>
        </w:tc>
        <w:tc>
          <w:tcPr>
            <w:tcW w:w="0" w:type="auto"/>
            <w:shd w:val="clear" w:color="auto" w:fill="auto"/>
          </w:tcPr>
          <w:p w14:paraId="5EA1F129" w14:textId="77777777" w:rsidR="003C66EB" w:rsidRDefault="003C66EB">
            <w:pPr>
              <w:rPr>
                <w:rFonts w:ascii="宋体"/>
                <w:vanish/>
              </w:rPr>
            </w:pPr>
          </w:p>
        </w:tc>
        <w:tc>
          <w:tcPr>
            <w:tcW w:w="0" w:type="auto"/>
            <w:gridSpan w:val="3"/>
            <w:shd w:val="clear" w:color="auto" w:fill="auto"/>
          </w:tcPr>
          <w:p w14:paraId="5EA1F12A" w14:textId="77777777" w:rsidR="003C66EB" w:rsidRDefault="003C66EB">
            <w:pPr>
              <w:rPr>
                <w:rFonts w:ascii="宋体"/>
                <w:vanish/>
              </w:rPr>
            </w:pPr>
          </w:p>
        </w:tc>
        <w:tc>
          <w:tcPr>
            <w:tcW w:w="0" w:type="auto"/>
            <w:gridSpan w:val="3"/>
            <w:shd w:val="clear" w:color="auto" w:fill="auto"/>
          </w:tcPr>
          <w:p w14:paraId="5EA1F12B" w14:textId="77777777" w:rsidR="003C66EB" w:rsidRDefault="003C66EB">
            <w:pPr>
              <w:rPr>
                <w:rFonts w:ascii="宋体"/>
                <w:vanish/>
              </w:rPr>
            </w:pPr>
          </w:p>
        </w:tc>
        <w:tc>
          <w:tcPr>
            <w:tcW w:w="0" w:type="auto"/>
            <w:gridSpan w:val="3"/>
            <w:shd w:val="clear" w:color="auto" w:fill="auto"/>
          </w:tcPr>
          <w:p w14:paraId="5EA1F12C" w14:textId="77777777" w:rsidR="003C66EB" w:rsidRDefault="003C66EB">
            <w:pPr>
              <w:rPr>
                <w:rFonts w:ascii="宋体"/>
                <w:vanish/>
              </w:rPr>
            </w:pPr>
          </w:p>
        </w:tc>
        <w:tc>
          <w:tcPr>
            <w:tcW w:w="0" w:type="auto"/>
            <w:gridSpan w:val="3"/>
            <w:shd w:val="clear" w:color="auto" w:fill="auto"/>
          </w:tcPr>
          <w:p w14:paraId="5EA1F12D" w14:textId="77777777" w:rsidR="003C66EB" w:rsidRDefault="003C66EB">
            <w:pPr>
              <w:rPr>
                <w:rFonts w:ascii="宋体"/>
                <w:vanish/>
              </w:rPr>
            </w:pPr>
          </w:p>
        </w:tc>
        <w:tc>
          <w:tcPr>
            <w:tcW w:w="0" w:type="auto"/>
            <w:gridSpan w:val="3"/>
            <w:shd w:val="clear" w:color="auto" w:fill="auto"/>
          </w:tcPr>
          <w:p w14:paraId="5EA1F12E" w14:textId="77777777" w:rsidR="003C66EB" w:rsidRDefault="003C66EB">
            <w:pPr>
              <w:rPr>
                <w:rFonts w:ascii="宋体"/>
                <w:vanish/>
              </w:rPr>
            </w:pPr>
          </w:p>
        </w:tc>
        <w:tc>
          <w:tcPr>
            <w:tcW w:w="0" w:type="auto"/>
            <w:gridSpan w:val="3"/>
            <w:shd w:val="clear" w:color="auto" w:fill="auto"/>
          </w:tcPr>
          <w:p w14:paraId="5EA1F12F" w14:textId="77777777" w:rsidR="003C66EB" w:rsidRDefault="003C66EB">
            <w:pPr>
              <w:rPr>
                <w:rFonts w:ascii="宋体"/>
                <w:vanish/>
              </w:rPr>
            </w:pPr>
          </w:p>
        </w:tc>
        <w:tc>
          <w:tcPr>
            <w:tcW w:w="0" w:type="auto"/>
            <w:gridSpan w:val="3"/>
            <w:shd w:val="clear" w:color="auto" w:fill="auto"/>
          </w:tcPr>
          <w:p w14:paraId="5EA1F130" w14:textId="77777777" w:rsidR="003C66EB" w:rsidRDefault="003C66EB">
            <w:pPr>
              <w:rPr>
                <w:rFonts w:ascii="宋体"/>
                <w:vanish/>
              </w:rPr>
            </w:pPr>
          </w:p>
        </w:tc>
        <w:tc>
          <w:tcPr>
            <w:tcW w:w="0" w:type="auto"/>
            <w:gridSpan w:val="3"/>
            <w:shd w:val="clear" w:color="auto" w:fill="auto"/>
          </w:tcPr>
          <w:p w14:paraId="5EA1F131" w14:textId="77777777" w:rsidR="003C66EB" w:rsidRDefault="003C66EB">
            <w:pPr>
              <w:rPr>
                <w:rFonts w:ascii="宋体"/>
                <w:vanish/>
              </w:rPr>
            </w:pPr>
          </w:p>
        </w:tc>
        <w:tc>
          <w:tcPr>
            <w:tcW w:w="0" w:type="auto"/>
            <w:gridSpan w:val="3"/>
            <w:shd w:val="clear" w:color="auto" w:fill="auto"/>
          </w:tcPr>
          <w:p w14:paraId="5EA1F132" w14:textId="77777777" w:rsidR="003C66EB" w:rsidRDefault="003C66EB">
            <w:pPr>
              <w:rPr>
                <w:rFonts w:ascii="宋体"/>
                <w:vanish/>
              </w:rPr>
            </w:pPr>
          </w:p>
        </w:tc>
        <w:tc>
          <w:tcPr>
            <w:tcW w:w="0" w:type="auto"/>
            <w:gridSpan w:val="3"/>
            <w:shd w:val="clear" w:color="auto" w:fill="auto"/>
          </w:tcPr>
          <w:p w14:paraId="5EA1F133" w14:textId="77777777" w:rsidR="003C66EB" w:rsidRDefault="003C66EB">
            <w:pPr>
              <w:rPr>
                <w:rFonts w:ascii="宋体"/>
                <w:vanish/>
              </w:rPr>
            </w:pPr>
          </w:p>
        </w:tc>
      </w:tr>
      <w:tr w:rsidR="003C66EB" w14:paraId="5EA1F14A" w14:textId="77777777">
        <w:tc>
          <w:tcPr>
            <w:tcW w:w="0" w:type="auto"/>
            <w:gridSpan w:val="3"/>
            <w:shd w:val="clear" w:color="auto" w:fill="FFFFFF"/>
            <w:tcMar>
              <w:top w:w="40" w:type="dxa"/>
              <w:left w:w="20" w:type="dxa"/>
              <w:bottom w:w="40" w:type="dxa"/>
              <w:right w:w="20" w:type="dxa"/>
            </w:tcMar>
            <w:vAlign w:val="bottom"/>
          </w:tcPr>
          <w:p w14:paraId="5EA1F135" w14:textId="77777777" w:rsidR="003C66EB" w:rsidRDefault="00D96C4E">
            <w:pPr>
              <w:textAlignment w:val="bottom"/>
            </w:pPr>
            <w:r>
              <w:rPr>
                <w:rFonts w:ascii="Arial" w:eastAsia="宋体" w:hAnsi="Arial" w:cs="Arial"/>
                <w:color w:val="000000"/>
                <w:sz w:val="15"/>
                <w:szCs w:val="15"/>
              </w:rPr>
              <w:t>Fixed-income</w:t>
            </w:r>
          </w:p>
        </w:tc>
        <w:tc>
          <w:tcPr>
            <w:tcW w:w="0" w:type="auto"/>
            <w:gridSpan w:val="2"/>
            <w:shd w:val="clear" w:color="auto" w:fill="FFFFFF"/>
            <w:tcMar>
              <w:top w:w="40" w:type="dxa"/>
              <w:left w:w="20" w:type="dxa"/>
              <w:bottom w:w="40" w:type="dxa"/>
              <w:right w:w="0" w:type="dxa"/>
            </w:tcMar>
            <w:vAlign w:val="bottom"/>
          </w:tcPr>
          <w:p w14:paraId="5EA1F136" w14:textId="77777777" w:rsidR="003C66EB" w:rsidRDefault="00D96C4E">
            <w:pPr>
              <w:jc w:val="right"/>
              <w:textAlignment w:val="bottom"/>
            </w:pPr>
            <w:r>
              <w:rPr>
                <w:rFonts w:ascii="Arial" w:eastAsia="宋体" w:hAnsi="Arial" w:cs="Arial"/>
                <w:b/>
                <w:bCs/>
                <w:color w:val="000000"/>
                <w:sz w:val="15"/>
                <w:szCs w:val="15"/>
              </w:rPr>
              <w:t>13,022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1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139" w14:textId="77777777" w:rsidR="003C66EB" w:rsidRDefault="00D96C4E">
            <w:pPr>
              <w:jc w:val="right"/>
              <w:textAlignment w:val="bottom"/>
            </w:pPr>
            <w:r>
              <w:rPr>
                <w:rFonts w:ascii="Arial" w:eastAsia="宋体" w:hAnsi="Arial" w:cs="Arial"/>
                <w:color w:val="000000"/>
                <w:sz w:val="15"/>
                <w:szCs w:val="15"/>
              </w:rPr>
              <w:t>12,834 </w:t>
            </w:r>
          </w:p>
        </w:tc>
        <w:tc>
          <w:tcPr>
            <w:tcW w:w="0" w:type="auto"/>
            <w:shd w:val="clear" w:color="auto" w:fill="FFFFFF"/>
            <w:tcMar>
              <w:top w:w="40" w:type="dxa"/>
              <w:left w:w="0" w:type="dxa"/>
              <w:bottom w:w="40" w:type="dxa"/>
              <w:right w:w="20" w:type="dxa"/>
            </w:tcMar>
            <w:vAlign w:val="bottom"/>
          </w:tcPr>
          <w:p w14:paraId="5EA1F1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13C" w14:textId="77777777" w:rsidR="003C66EB" w:rsidRDefault="00D96C4E">
            <w:pPr>
              <w:jc w:val="right"/>
              <w:textAlignment w:val="bottom"/>
            </w:pPr>
            <w:r>
              <w:rPr>
                <w:rFonts w:ascii="Arial" w:eastAsia="宋体" w:hAnsi="Arial" w:cs="Arial"/>
                <w:color w:val="000000"/>
                <w:sz w:val="15"/>
                <w:szCs w:val="15"/>
              </w:rPr>
              <w:t>11,096 </w:t>
            </w:r>
          </w:p>
        </w:tc>
        <w:tc>
          <w:tcPr>
            <w:tcW w:w="0" w:type="auto"/>
            <w:shd w:val="clear" w:color="auto" w:fill="FFFFFF"/>
            <w:tcMar>
              <w:top w:w="40" w:type="dxa"/>
              <w:left w:w="0" w:type="dxa"/>
              <w:bottom w:w="40" w:type="dxa"/>
              <w:right w:w="20" w:type="dxa"/>
            </w:tcMar>
            <w:vAlign w:val="bottom"/>
          </w:tcPr>
          <w:p w14:paraId="5EA1F13D" w14:textId="77777777" w:rsidR="003C66EB" w:rsidRDefault="003C66EB">
            <w:pPr>
              <w:jc w:val="right"/>
              <w:rPr>
                <w:rFonts w:ascii="宋体"/>
              </w:rPr>
            </w:pPr>
          </w:p>
        </w:tc>
        <w:tc>
          <w:tcPr>
            <w:tcW w:w="0" w:type="auto"/>
            <w:shd w:val="clear" w:color="auto" w:fill="auto"/>
          </w:tcPr>
          <w:p w14:paraId="5EA1F13E" w14:textId="77777777" w:rsidR="003C66EB" w:rsidRDefault="003C66EB">
            <w:pPr>
              <w:rPr>
                <w:rFonts w:ascii="宋体"/>
                <w:vanish/>
              </w:rPr>
            </w:pPr>
          </w:p>
        </w:tc>
        <w:tc>
          <w:tcPr>
            <w:tcW w:w="0" w:type="auto"/>
            <w:shd w:val="clear" w:color="auto" w:fill="auto"/>
          </w:tcPr>
          <w:p w14:paraId="5EA1F13F" w14:textId="77777777" w:rsidR="003C66EB" w:rsidRDefault="003C66EB">
            <w:pPr>
              <w:rPr>
                <w:rFonts w:ascii="宋体"/>
                <w:vanish/>
              </w:rPr>
            </w:pPr>
          </w:p>
        </w:tc>
        <w:tc>
          <w:tcPr>
            <w:tcW w:w="0" w:type="auto"/>
            <w:gridSpan w:val="3"/>
            <w:shd w:val="clear" w:color="auto" w:fill="auto"/>
          </w:tcPr>
          <w:p w14:paraId="5EA1F140" w14:textId="77777777" w:rsidR="003C66EB" w:rsidRDefault="003C66EB">
            <w:pPr>
              <w:rPr>
                <w:rFonts w:ascii="宋体"/>
                <w:vanish/>
              </w:rPr>
            </w:pPr>
          </w:p>
        </w:tc>
        <w:tc>
          <w:tcPr>
            <w:tcW w:w="0" w:type="auto"/>
            <w:gridSpan w:val="3"/>
            <w:shd w:val="clear" w:color="auto" w:fill="auto"/>
          </w:tcPr>
          <w:p w14:paraId="5EA1F141" w14:textId="77777777" w:rsidR="003C66EB" w:rsidRDefault="003C66EB">
            <w:pPr>
              <w:rPr>
                <w:rFonts w:ascii="宋体"/>
                <w:vanish/>
              </w:rPr>
            </w:pPr>
          </w:p>
        </w:tc>
        <w:tc>
          <w:tcPr>
            <w:tcW w:w="0" w:type="auto"/>
            <w:gridSpan w:val="3"/>
            <w:shd w:val="clear" w:color="auto" w:fill="auto"/>
          </w:tcPr>
          <w:p w14:paraId="5EA1F142" w14:textId="77777777" w:rsidR="003C66EB" w:rsidRDefault="003C66EB">
            <w:pPr>
              <w:rPr>
                <w:rFonts w:ascii="宋体"/>
                <w:vanish/>
              </w:rPr>
            </w:pPr>
          </w:p>
        </w:tc>
        <w:tc>
          <w:tcPr>
            <w:tcW w:w="0" w:type="auto"/>
            <w:gridSpan w:val="3"/>
            <w:shd w:val="clear" w:color="auto" w:fill="auto"/>
          </w:tcPr>
          <w:p w14:paraId="5EA1F143" w14:textId="77777777" w:rsidR="003C66EB" w:rsidRDefault="003C66EB">
            <w:pPr>
              <w:rPr>
                <w:rFonts w:ascii="宋体"/>
                <w:vanish/>
              </w:rPr>
            </w:pPr>
          </w:p>
        </w:tc>
        <w:tc>
          <w:tcPr>
            <w:tcW w:w="0" w:type="auto"/>
            <w:gridSpan w:val="3"/>
            <w:shd w:val="clear" w:color="auto" w:fill="auto"/>
          </w:tcPr>
          <w:p w14:paraId="5EA1F144" w14:textId="77777777" w:rsidR="003C66EB" w:rsidRDefault="003C66EB">
            <w:pPr>
              <w:rPr>
                <w:rFonts w:ascii="宋体"/>
                <w:vanish/>
              </w:rPr>
            </w:pPr>
          </w:p>
        </w:tc>
        <w:tc>
          <w:tcPr>
            <w:tcW w:w="0" w:type="auto"/>
            <w:gridSpan w:val="3"/>
            <w:shd w:val="clear" w:color="auto" w:fill="auto"/>
          </w:tcPr>
          <w:p w14:paraId="5EA1F145" w14:textId="77777777" w:rsidR="003C66EB" w:rsidRDefault="003C66EB">
            <w:pPr>
              <w:rPr>
                <w:rFonts w:ascii="宋体"/>
                <w:vanish/>
              </w:rPr>
            </w:pPr>
          </w:p>
        </w:tc>
        <w:tc>
          <w:tcPr>
            <w:tcW w:w="0" w:type="auto"/>
            <w:gridSpan w:val="3"/>
            <w:shd w:val="clear" w:color="auto" w:fill="auto"/>
          </w:tcPr>
          <w:p w14:paraId="5EA1F146" w14:textId="77777777" w:rsidR="003C66EB" w:rsidRDefault="003C66EB">
            <w:pPr>
              <w:rPr>
                <w:rFonts w:ascii="宋体"/>
                <w:vanish/>
              </w:rPr>
            </w:pPr>
          </w:p>
        </w:tc>
        <w:tc>
          <w:tcPr>
            <w:tcW w:w="0" w:type="auto"/>
            <w:gridSpan w:val="3"/>
            <w:shd w:val="clear" w:color="auto" w:fill="auto"/>
          </w:tcPr>
          <w:p w14:paraId="5EA1F147" w14:textId="77777777" w:rsidR="003C66EB" w:rsidRDefault="003C66EB">
            <w:pPr>
              <w:rPr>
                <w:rFonts w:ascii="宋体"/>
                <w:vanish/>
              </w:rPr>
            </w:pPr>
          </w:p>
        </w:tc>
        <w:tc>
          <w:tcPr>
            <w:tcW w:w="0" w:type="auto"/>
            <w:gridSpan w:val="3"/>
            <w:shd w:val="clear" w:color="auto" w:fill="auto"/>
          </w:tcPr>
          <w:p w14:paraId="5EA1F148" w14:textId="77777777" w:rsidR="003C66EB" w:rsidRDefault="003C66EB">
            <w:pPr>
              <w:rPr>
                <w:rFonts w:ascii="宋体"/>
                <w:vanish/>
              </w:rPr>
            </w:pPr>
          </w:p>
        </w:tc>
        <w:tc>
          <w:tcPr>
            <w:tcW w:w="0" w:type="auto"/>
            <w:gridSpan w:val="3"/>
            <w:shd w:val="clear" w:color="auto" w:fill="auto"/>
          </w:tcPr>
          <w:p w14:paraId="5EA1F149" w14:textId="77777777" w:rsidR="003C66EB" w:rsidRDefault="003C66EB">
            <w:pPr>
              <w:rPr>
                <w:rFonts w:ascii="宋体"/>
                <w:vanish/>
              </w:rPr>
            </w:pPr>
          </w:p>
        </w:tc>
      </w:tr>
      <w:tr w:rsidR="003C66EB" w14:paraId="5EA1F160" w14:textId="77777777">
        <w:tc>
          <w:tcPr>
            <w:tcW w:w="0" w:type="auto"/>
            <w:gridSpan w:val="3"/>
            <w:shd w:val="clear" w:color="auto" w:fill="CCEEFF"/>
            <w:tcMar>
              <w:top w:w="40" w:type="dxa"/>
              <w:left w:w="20" w:type="dxa"/>
              <w:bottom w:w="40" w:type="dxa"/>
              <w:right w:w="20" w:type="dxa"/>
            </w:tcMar>
            <w:vAlign w:val="bottom"/>
          </w:tcPr>
          <w:p w14:paraId="5EA1F14B" w14:textId="77777777" w:rsidR="003C66EB" w:rsidRDefault="00D96C4E">
            <w:pPr>
              <w:textAlignment w:val="bottom"/>
            </w:pPr>
            <w:r>
              <w:rPr>
                <w:rFonts w:ascii="Arial" w:eastAsia="宋体" w:hAnsi="Arial" w:cs="Arial"/>
                <w:color w:val="000000"/>
                <w:sz w:val="15"/>
                <w:szCs w:val="15"/>
              </w:rPr>
              <w:t>Short-term and other investments</w:t>
            </w:r>
          </w:p>
        </w:tc>
        <w:tc>
          <w:tcPr>
            <w:tcW w:w="0" w:type="auto"/>
            <w:gridSpan w:val="2"/>
            <w:shd w:val="clear" w:color="auto" w:fill="CCEEFF"/>
            <w:tcMar>
              <w:top w:w="40" w:type="dxa"/>
              <w:left w:w="20" w:type="dxa"/>
              <w:bottom w:w="40" w:type="dxa"/>
              <w:right w:w="0" w:type="dxa"/>
            </w:tcMar>
            <w:vAlign w:val="bottom"/>
          </w:tcPr>
          <w:p w14:paraId="5EA1F14C" w14:textId="77777777" w:rsidR="003C66EB" w:rsidRDefault="00D96C4E">
            <w:pPr>
              <w:jc w:val="right"/>
              <w:textAlignment w:val="bottom"/>
            </w:pPr>
            <w:r>
              <w:rPr>
                <w:rFonts w:ascii="Arial" w:eastAsia="宋体" w:hAnsi="Arial" w:cs="Arial"/>
                <w:b/>
                <w:bCs/>
                <w:color w:val="000000"/>
                <w:sz w:val="15"/>
                <w:szCs w:val="15"/>
              </w:rPr>
              <w:t>4,416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1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14F" w14:textId="77777777" w:rsidR="003C66EB" w:rsidRDefault="00D96C4E">
            <w:pPr>
              <w:jc w:val="right"/>
              <w:textAlignment w:val="bottom"/>
            </w:pPr>
            <w:r>
              <w:rPr>
                <w:rFonts w:ascii="Arial" w:eastAsia="宋体" w:hAnsi="Arial" w:cs="Arial"/>
                <w:color w:val="000000"/>
                <w:sz w:val="15"/>
                <w:szCs w:val="15"/>
              </w:rPr>
              <w:t>4,331 </w:t>
            </w:r>
          </w:p>
        </w:tc>
        <w:tc>
          <w:tcPr>
            <w:tcW w:w="0" w:type="auto"/>
            <w:shd w:val="clear" w:color="auto" w:fill="CCEEFF"/>
            <w:tcMar>
              <w:top w:w="40" w:type="dxa"/>
              <w:left w:w="0" w:type="dxa"/>
              <w:bottom w:w="40" w:type="dxa"/>
              <w:right w:w="20" w:type="dxa"/>
            </w:tcMar>
            <w:vAlign w:val="bottom"/>
          </w:tcPr>
          <w:p w14:paraId="5EA1F15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5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152" w14:textId="77777777" w:rsidR="003C66EB" w:rsidRDefault="00D96C4E">
            <w:pPr>
              <w:jc w:val="right"/>
              <w:textAlignment w:val="bottom"/>
            </w:pPr>
            <w:r>
              <w:rPr>
                <w:rFonts w:ascii="Arial" w:eastAsia="宋体" w:hAnsi="Arial" w:cs="Arial"/>
                <w:color w:val="000000"/>
                <w:sz w:val="15"/>
                <w:szCs w:val="15"/>
              </w:rPr>
              <w:t>4,501 </w:t>
            </w:r>
          </w:p>
        </w:tc>
        <w:tc>
          <w:tcPr>
            <w:tcW w:w="0" w:type="auto"/>
            <w:shd w:val="clear" w:color="auto" w:fill="CCEEFF"/>
            <w:tcMar>
              <w:top w:w="40" w:type="dxa"/>
              <w:left w:w="0" w:type="dxa"/>
              <w:bottom w:w="40" w:type="dxa"/>
              <w:right w:w="20" w:type="dxa"/>
            </w:tcMar>
            <w:vAlign w:val="bottom"/>
          </w:tcPr>
          <w:p w14:paraId="5EA1F153" w14:textId="77777777" w:rsidR="003C66EB" w:rsidRDefault="003C66EB">
            <w:pPr>
              <w:jc w:val="right"/>
              <w:rPr>
                <w:rFonts w:ascii="宋体"/>
              </w:rPr>
            </w:pPr>
          </w:p>
        </w:tc>
        <w:tc>
          <w:tcPr>
            <w:tcW w:w="0" w:type="auto"/>
            <w:shd w:val="clear" w:color="auto" w:fill="auto"/>
          </w:tcPr>
          <w:p w14:paraId="5EA1F154" w14:textId="77777777" w:rsidR="003C66EB" w:rsidRDefault="003C66EB">
            <w:pPr>
              <w:rPr>
                <w:rFonts w:ascii="宋体"/>
                <w:vanish/>
              </w:rPr>
            </w:pPr>
          </w:p>
        </w:tc>
        <w:tc>
          <w:tcPr>
            <w:tcW w:w="0" w:type="auto"/>
            <w:shd w:val="clear" w:color="auto" w:fill="auto"/>
          </w:tcPr>
          <w:p w14:paraId="5EA1F155" w14:textId="77777777" w:rsidR="003C66EB" w:rsidRDefault="003C66EB">
            <w:pPr>
              <w:rPr>
                <w:rFonts w:ascii="宋体"/>
                <w:vanish/>
              </w:rPr>
            </w:pPr>
          </w:p>
        </w:tc>
        <w:tc>
          <w:tcPr>
            <w:tcW w:w="0" w:type="auto"/>
            <w:gridSpan w:val="3"/>
            <w:shd w:val="clear" w:color="auto" w:fill="auto"/>
          </w:tcPr>
          <w:p w14:paraId="5EA1F156" w14:textId="77777777" w:rsidR="003C66EB" w:rsidRDefault="003C66EB">
            <w:pPr>
              <w:rPr>
                <w:rFonts w:ascii="宋体"/>
                <w:vanish/>
              </w:rPr>
            </w:pPr>
          </w:p>
        </w:tc>
        <w:tc>
          <w:tcPr>
            <w:tcW w:w="0" w:type="auto"/>
            <w:gridSpan w:val="3"/>
            <w:shd w:val="clear" w:color="auto" w:fill="auto"/>
          </w:tcPr>
          <w:p w14:paraId="5EA1F157" w14:textId="77777777" w:rsidR="003C66EB" w:rsidRDefault="003C66EB">
            <w:pPr>
              <w:rPr>
                <w:rFonts w:ascii="宋体"/>
                <w:vanish/>
              </w:rPr>
            </w:pPr>
          </w:p>
        </w:tc>
        <w:tc>
          <w:tcPr>
            <w:tcW w:w="0" w:type="auto"/>
            <w:gridSpan w:val="3"/>
            <w:shd w:val="clear" w:color="auto" w:fill="auto"/>
          </w:tcPr>
          <w:p w14:paraId="5EA1F158" w14:textId="77777777" w:rsidR="003C66EB" w:rsidRDefault="003C66EB">
            <w:pPr>
              <w:rPr>
                <w:rFonts w:ascii="宋体"/>
                <w:vanish/>
              </w:rPr>
            </w:pPr>
          </w:p>
        </w:tc>
        <w:tc>
          <w:tcPr>
            <w:tcW w:w="0" w:type="auto"/>
            <w:gridSpan w:val="3"/>
            <w:shd w:val="clear" w:color="auto" w:fill="auto"/>
          </w:tcPr>
          <w:p w14:paraId="5EA1F159" w14:textId="77777777" w:rsidR="003C66EB" w:rsidRDefault="003C66EB">
            <w:pPr>
              <w:rPr>
                <w:rFonts w:ascii="宋体"/>
                <w:vanish/>
              </w:rPr>
            </w:pPr>
          </w:p>
        </w:tc>
        <w:tc>
          <w:tcPr>
            <w:tcW w:w="0" w:type="auto"/>
            <w:gridSpan w:val="3"/>
            <w:shd w:val="clear" w:color="auto" w:fill="auto"/>
          </w:tcPr>
          <w:p w14:paraId="5EA1F15A" w14:textId="77777777" w:rsidR="003C66EB" w:rsidRDefault="003C66EB">
            <w:pPr>
              <w:rPr>
                <w:rFonts w:ascii="宋体"/>
                <w:vanish/>
              </w:rPr>
            </w:pPr>
          </w:p>
        </w:tc>
        <w:tc>
          <w:tcPr>
            <w:tcW w:w="0" w:type="auto"/>
            <w:gridSpan w:val="3"/>
            <w:shd w:val="clear" w:color="auto" w:fill="auto"/>
          </w:tcPr>
          <w:p w14:paraId="5EA1F15B" w14:textId="77777777" w:rsidR="003C66EB" w:rsidRDefault="003C66EB">
            <w:pPr>
              <w:rPr>
                <w:rFonts w:ascii="宋体"/>
                <w:vanish/>
              </w:rPr>
            </w:pPr>
          </w:p>
        </w:tc>
        <w:tc>
          <w:tcPr>
            <w:tcW w:w="0" w:type="auto"/>
            <w:gridSpan w:val="3"/>
            <w:shd w:val="clear" w:color="auto" w:fill="auto"/>
          </w:tcPr>
          <w:p w14:paraId="5EA1F15C" w14:textId="77777777" w:rsidR="003C66EB" w:rsidRDefault="003C66EB">
            <w:pPr>
              <w:rPr>
                <w:rFonts w:ascii="宋体"/>
                <w:vanish/>
              </w:rPr>
            </w:pPr>
          </w:p>
        </w:tc>
        <w:tc>
          <w:tcPr>
            <w:tcW w:w="0" w:type="auto"/>
            <w:gridSpan w:val="3"/>
            <w:shd w:val="clear" w:color="auto" w:fill="auto"/>
          </w:tcPr>
          <w:p w14:paraId="5EA1F15D" w14:textId="77777777" w:rsidR="003C66EB" w:rsidRDefault="003C66EB">
            <w:pPr>
              <w:rPr>
                <w:rFonts w:ascii="宋体"/>
                <w:vanish/>
              </w:rPr>
            </w:pPr>
          </w:p>
        </w:tc>
        <w:tc>
          <w:tcPr>
            <w:tcW w:w="0" w:type="auto"/>
            <w:gridSpan w:val="3"/>
            <w:shd w:val="clear" w:color="auto" w:fill="auto"/>
          </w:tcPr>
          <w:p w14:paraId="5EA1F15E" w14:textId="77777777" w:rsidR="003C66EB" w:rsidRDefault="003C66EB">
            <w:pPr>
              <w:rPr>
                <w:rFonts w:ascii="宋体"/>
                <w:vanish/>
              </w:rPr>
            </w:pPr>
          </w:p>
        </w:tc>
        <w:tc>
          <w:tcPr>
            <w:tcW w:w="0" w:type="auto"/>
            <w:gridSpan w:val="3"/>
            <w:shd w:val="clear" w:color="auto" w:fill="auto"/>
          </w:tcPr>
          <w:p w14:paraId="5EA1F15F" w14:textId="77777777" w:rsidR="003C66EB" w:rsidRDefault="003C66EB">
            <w:pPr>
              <w:rPr>
                <w:rFonts w:ascii="宋体"/>
                <w:vanish/>
              </w:rPr>
            </w:pPr>
          </w:p>
        </w:tc>
      </w:tr>
      <w:tr w:rsidR="003C66EB" w14:paraId="5EA1F179" w14:textId="77777777">
        <w:tc>
          <w:tcPr>
            <w:tcW w:w="0" w:type="auto"/>
            <w:gridSpan w:val="3"/>
            <w:shd w:val="clear" w:color="auto" w:fill="FFFFFF"/>
            <w:tcMar>
              <w:top w:w="40" w:type="dxa"/>
              <w:left w:w="20" w:type="dxa"/>
              <w:bottom w:w="40" w:type="dxa"/>
              <w:right w:w="20" w:type="dxa"/>
            </w:tcMar>
            <w:vAlign w:val="bottom"/>
          </w:tcPr>
          <w:p w14:paraId="5EA1F161" w14:textId="77777777" w:rsidR="003C66EB" w:rsidRDefault="00D96C4E">
            <w:pPr>
              <w:textAlignment w:val="bottom"/>
            </w:pPr>
            <w:r>
              <w:rPr>
                <w:rFonts w:ascii="Arial" w:eastAsia="宋体" w:hAnsi="Arial" w:cs="Arial"/>
                <w:b/>
                <w:bCs/>
                <w:color w:val="000000"/>
                <w:sz w:val="15"/>
                <w:szCs w:val="15"/>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162"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163" w14:textId="77777777" w:rsidR="003C66EB" w:rsidRDefault="00D96C4E">
            <w:pPr>
              <w:jc w:val="right"/>
              <w:textAlignment w:val="bottom"/>
            </w:pPr>
            <w:r>
              <w:rPr>
                <w:rFonts w:ascii="Arial" w:eastAsia="宋体" w:hAnsi="Arial" w:cs="Arial"/>
                <w:b/>
                <w:bCs/>
                <w:color w:val="000000"/>
                <w:sz w:val="15"/>
                <w:szCs w:val="15"/>
              </w:rPr>
              <w:t>40,263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1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65"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166"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167" w14:textId="77777777" w:rsidR="003C66EB" w:rsidRDefault="00D96C4E">
            <w:pPr>
              <w:jc w:val="right"/>
              <w:textAlignment w:val="bottom"/>
            </w:pPr>
            <w:r>
              <w:rPr>
                <w:rFonts w:ascii="Arial" w:eastAsia="宋体" w:hAnsi="Arial" w:cs="Arial"/>
                <w:color w:val="000000"/>
                <w:sz w:val="15"/>
                <w:szCs w:val="15"/>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16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6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16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16B" w14:textId="77777777" w:rsidR="003C66EB" w:rsidRDefault="00D96C4E">
            <w:pPr>
              <w:jc w:val="right"/>
              <w:textAlignment w:val="bottom"/>
            </w:pPr>
            <w:r>
              <w:rPr>
                <w:rFonts w:ascii="Arial" w:eastAsia="宋体" w:hAnsi="Arial" w:cs="Arial"/>
                <w:color w:val="000000"/>
                <w:sz w:val="15"/>
                <w:szCs w:val="15"/>
              </w:rPr>
              <w:t>31,864 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16C" w14:textId="77777777" w:rsidR="003C66EB" w:rsidRDefault="003C66EB">
            <w:pPr>
              <w:jc w:val="right"/>
              <w:rPr>
                <w:rFonts w:ascii="宋体"/>
              </w:rPr>
            </w:pPr>
          </w:p>
        </w:tc>
        <w:tc>
          <w:tcPr>
            <w:tcW w:w="0" w:type="auto"/>
            <w:shd w:val="clear" w:color="auto" w:fill="auto"/>
          </w:tcPr>
          <w:p w14:paraId="5EA1F16D" w14:textId="77777777" w:rsidR="003C66EB" w:rsidRDefault="003C66EB">
            <w:pPr>
              <w:rPr>
                <w:rFonts w:ascii="宋体"/>
                <w:vanish/>
              </w:rPr>
            </w:pPr>
          </w:p>
        </w:tc>
        <w:tc>
          <w:tcPr>
            <w:tcW w:w="0" w:type="auto"/>
            <w:shd w:val="clear" w:color="auto" w:fill="auto"/>
          </w:tcPr>
          <w:p w14:paraId="5EA1F16E" w14:textId="77777777" w:rsidR="003C66EB" w:rsidRDefault="003C66EB">
            <w:pPr>
              <w:rPr>
                <w:rFonts w:ascii="宋体"/>
                <w:vanish/>
              </w:rPr>
            </w:pPr>
          </w:p>
        </w:tc>
        <w:tc>
          <w:tcPr>
            <w:tcW w:w="0" w:type="auto"/>
            <w:gridSpan w:val="3"/>
            <w:shd w:val="clear" w:color="auto" w:fill="auto"/>
          </w:tcPr>
          <w:p w14:paraId="5EA1F16F" w14:textId="77777777" w:rsidR="003C66EB" w:rsidRDefault="003C66EB">
            <w:pPr>
              <w:rPr>
                <w:rFonts w:ascii="宋体"/>
                <w:vanish/>
              </w:rPr>
            </w:pPr>
          </w:p>
        </w:tc>
        <w:tc>
          <w:tcPr>
            <w:tcW w:w="0" w:type="auto"/>
            <w:gridSpan w:val="3"/>
            <w:shd w:val="clear" w:color="auto" w:fill="auto"/>
          </w:tcPr>
          <w:p w14:paraId="5EA1F170" w14:textId="77777777" w:rsidR="003C66EB" w:rsidRDefault="003C66EB">
            <w:pPr>
              <w:rPr>
                <w:rFonts w:ascii="宋体"/>
                <w:vanish/>
              </w:rPr>
            </w:pPr>
          </w:p>
        </w:tc>
        <w:tc>
          <w:tcPr>
            <w:tcW w:w="0" w:type="auto"/>
            <w:gridSpan w:val="3"/>
            <w:shd w:val="clear" w:color="auto" w:fill="auto"/>
          </w:tcPr>
          <w:p w14:paraId="5EA1F171" w14:textId="77777777" w:rsidR="003C66EB" w:rsidRDefault="003C66EB">
            <w:pPr>
              <w:rPr>
                <w:rFonts w:ascii="宋体"/>
                <w:vanish/>
              </w:rPr>
            </w:pPr>
          </w:p>
        </w:tc>
        <w:tc>
          <w:tcPr>
            <w:tcW w:w="0" w:type="auto"/>
            <w:gridSpan w:val="3"/>
            <w:shd w:val="clear" w:color="auto" w:fill="auto"/>
          </w:tcPr>
          <w:p w14:paraId="5EA1F172" w14:textId="77777777" w:rsidR="003C66EB" w:rsidRDefault="003C66EB">
            <w:pPr>
              <w:rPr>
                <w:rFonts w:ascii="宋体"/>
                <w:vanish/>
              </w:rPr>
            </w:pPr>
          </w:p>
        </w:tc>
        <w:tc>
          <w:tcPr>
            <w:tcW w:w="0" w:type="auto"/>
            <w:gridSpan w:val="3"/>
            <w:shd w:val="clear" w:color="auto" w:fill="auto"/>
          </w:tcPr>
          <w:p w14:paraId="5EA1F173" w14:textId="77777777" w:rsidR="003C66EB" w:rsidRDefault="003C66EB">
            <w:pPr>
              <w:rPr>
                <w:rFonts w:ascii="宋体"/>
                <w:vanish/>
              </w:rPr>
            </w:pPr>
          </w:p>
        </w:tc>
        <w:tc>
          <w:tcPr>
            <w:tcW w:w="0" w:type="auto"/>
            <w:gridSpan w:val="3"/>
            <w:shd w:val="clear" w:color="auto" w:fill="auto"/>
          </w:tcPr>
          <w:p w14:paraId="5EA1F174" w14:textId="77777777" w:rsidR="003C66EB" w:rsidRDefault="003C66EB">
            <w:pPr>
              <w:rPr>
                <w:rFonts w:ascii="宋体"/>
                <w:vanish/>
              </w:rPr>
            </w:pPr>
          </w:p>
        </w:tc>
        <w:tc>
          <w:tcPr>
            <w:tcW w:w="0" w:type="auto"/>
            <w:gridSpan w:val="3"/>
            <w:shd w:val="clear" w:color="auto" w:fill="auto"/>
          </w:tcPr>
          <w:p w14:paraId="5EA1F175" w14:textId="77777777" w:rsidR="003C66EB" w:rsidRDefault="003C66EB">
            <w:pPr>
              <w:rPr>
                <w:rFonts w:ascii="宋体"/>
                <w:vanish/>
              </w:rPr>
            </w:pPr>
          </w:p>
        </w:tc>
        <w:tc>
          <w:tcPr>
            <w:tcW w:w="0" w:type="auto"/>
            <w:gridSpan w:val="3"/>
            <w:shd w:val="clear" w:color="auto" w:fill="auto"/>
          </w:tcPr>
          <w:p w14:paraId="5EA1F176" w14:textId="77777777" w:rsidR="003C66EB" w:rsidRDefault="003C66EB">
            <w:pPr>
              <w:rPr>
                <w:rFonts w:ascii="宋体"/>
                <w:vanish/>
              </w:rPr>
            </w:pPr>
          </w:p>
        </w:tc>
        <w:tc>
          <w:tcPr>
            <w:tcW w:w="0" w:type="auto"/>
            <w:gridSpan w:val="3"/>
            <w:shd w:val="clear" w:color="auto" w:fill="auto"/>
          </w:tcPr>
          <w:p w14:paraId="5EA1F177" w14:textId="77777777" w:rsidR="003C66EB" w:rsidRDefault="003C66EB">
            <w:pPr>
              <w:rPr>
                <w:rFonts w:ascii="宋体"/>
                <w:vanish/>
              </w:rPr>
            </w:pPr>
          </w:p>
        </w:tc>
        <w:tc>
          <w:tcPr>
            <w:tcW w:w="0" w:type="auto"/>
            <w:gridSpan w:val="3"/>
            <w:shd w:val="clear" w:color="auto" w:fill="auto"/>
          </w:tcPr>
          <w:p w14:paraId="5EA1F178" w14:textId="77777777" w:rsidR="003C66EB" w:rsidRDefault="003C66EB">
            <w:pPr>
              <w:rPr>
                <w:rFonts w:ascii="宋体"/>
                <w:vanish/>
              </w:rPr>
            </w:pPr>
          </w:p>
        </w:tc>
      </w:tr>
    </w:tbl>
    <w:p w14:paraId="5EA1F17A"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056"/>
        <w:gridCol w:w="36"/>
        <w:gridCol w:w="104"/>
        <w:gridCol w:w="1356"/>
        <w:gridCol w:w="36"/>
        <w:gridCol w:w="36"/>
        <w:gridCol w:w="36"/>
        <w:gridCol w:w="36"/>
        <w:gridCol w:w="105"/>
        <w:gridCol w:w="1318"/>
        <w:gridCol w:w="37"/>
        <w:gridCol w:w="36"/>
        <w:gridCol w:w="36"/>
        <w:gridCol w:w="36"/>
        <w:gridCol w:w="104"/>
        <w:gridCol w:w="1318"/>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F195" w14:textId="77777777">
        <w:tc>
          <w:tcPr>
            <w:tcW w:w="50" w:type="pct"/>
            <w:shd w:val="clear" w:color="auto" w:fill="auto"/>
          </w:tcPr>
          <w:p w14:paraId="5EA1F17B" w14:textId="77777777" w:rsidR="003C66EB" w:rsidRDefault="003C66EB">
            <w:pPr>
              <w:rPr>
                <w:rFonts w:ascii="宋体"/>
              </w:rPr>
            </w:pPr>
          </w:p>
        </w:tc>
        <w:tc>
          <w:tcPr>
            <w:tcW w:w="1999" w:type="pct"/>
            <w:shd w:val="clear" w:color="auto" w:fill="auto"/>
          </w:tcPr>
          <w:p w14:paraId="5EA1F17C" w14:textId="77777777" w:rsidR="003C66EB" w:rsidRDefault="003C66EB">
            <w:pPr>
              <w:rPr>
                <w:rFonts w:ascii="宋体"/>
              </w:rPr>
            </w:pPr>
          </w:p>
        </w:tc>
        <w:tc>
          <w:tcPr>
            <w:tcW w:w="5" w:type="pct"/>
            <w:shd w:val="clear" w:color="auto" w:fill="auto"/>
          </w:tcPr>
          <w:p w14:paraId="5EA1F17D" w14:textId="77777777" w:rsidR="003C66EB" w:rsidRDefault="003C66EB">
            <w:pPr>
              <w:rPr>
                <w:rFonts w:ascii="宋体"/>
              </w:rPr>
            </w:pPr>
          </w:p>
        </w:tc>
        <w:tc>
          <w:tcPr>
            <w:tcW w:w="50" w:type="pct"/>
            <w:shd w:val="clear" w:color="auto" w:fill="auto"/>
          </w:tcPr>
          <w:p w14:paraId="5EA1F17E" w14:textId="77777777" w:rsidR="003C66EB" w:rsidRDefault="003C66EB">
            <w:pPr>
              <w:rPr>
                <w:rFonts w:ascii="宋体"/>
              </w:rPr>
            </w:pPr>
          </w:p>
        </w:tc>
        <w:tc>
          <w:tcPr>
            <w:tcW w:w="902" w:type="pct"/>
            <w:shd w:val="clear" w:color="auto" w:fill="auto"/>
          </w:tcPr>
          <w:p w14:paraId="5EA1F17F" w14:textId="77777777" w:rsidR="003C66EB" w:rsidRDefault="003C66EB">
            <w:pPr>
              <w:rPr>
                <w:rFonts w:ascii="宋体"/>
              </w:rPr>
            </w:pPr>
          </w:p>
        </w:tc>
        <w:tc>
          <w:tcPr>
            <w:tcW w:w="5" w:type="pct"/>
            <w:shd w:val="clear" w:color="auto" w:fill="auto"/>
          </w:tcPr>
          <w:p w14:paraId="5EA1F180" w14:textId="77777777" w:rsidR="003C66EB" w:rsidRDefault="003C66EB">
            <w:pPr>
              <w:rPr>
                <w:rFonts w:ascii="宋体"/>
              </w:rPr>
            </w:pPr>
          </w:p>
        </w:tc>
        <w:tc>
          <w:tcPr>
            <w:tcW w:w="5" w:type="pct"/>
            <w:shd w:val="clear" w:color="auto" w:fill="auto"/>
          </w:tcPr>
          <w:p w14:paraId="5EA1F181" w14:textId="77777777" w:rsidR="003C66EB" w:rsidRDefault="003C66EB">
            <w:pPr>
              <w:rPr>
                <w:rFonts w:ascii="宋体"/>
              </w:rPr>
            </w:pPr>
          </w:p>
        </w:tc>
        <w:tc>
          <w:tcPr>
            <w:tcW w:w="26" w:type="pct"/>
            <w:shd w:val="clear" w:color="auto" w:fill="auto"/>
          </w:tcPr>
          <w:p w14:paraId="5EA1F182" w14:textId="77777777" w:rsidR="003C66EB" w:rsidRDefault="003C66EB">
            <w:pPr>
              <w:rPr>
                <w:rFonts w:ascii="宋体"/>
              </w:rPr>
            </w:pPr>
          </w:p>
        </w:tc>
        <w:tc>
          <w:tcPr>
            <w:tcW w:w="5" w:type="pct"/>
            <w:shd w:val="clear" w:color="auto" w:fill="auto"/>
          </w:tcPr>
          <w:p w14:paraId="5EA1F183" w14:textId="77777777" w:rsidR="003C66EB" w:rsidRDefault="003C66EB">
            <w:pPr>
              <w:rPr>
                <w:rFonts w:ascii="宋体"/>
              </w:rPr>
            </w:pPr>
          </w:p>
        </w:tc>
        <w:tc>
          <w:tcPr>
            <w:tcW w:w="50" w:type="pct"/>
            <w:shd w:val="clear" w:color="auto" w:fill="auto"/>
          </w:tcPr>
          <w:p w14:paraId="5EA1F184" w14:textId="77777777" w:rsidR="003C66EB" w:rsidRDefault="003C66EB">
            <w:pPr>
              <w:rPr>
                <w:rFonts w:ascii="宋体"/>
              </w:rPr>
            </w:pPr>
          </w:p>
        </w:tc>
        <w:tc>
          <w:tcPr>
            <w:tcW w:w="902" w:type="pct"/>
            <w:shd w:val="clear" w:color="auto" w:fill="auto"/>
          </w:tcPr>
          <w:p w14:paraId="5EA1F185" w14:textId="77777777" w:rsidR="003C66EB" w:rsidRDefault="003C66EB">
            <w:pPr>
              <w:rPr>
                <w:rFonts w:ascii="宋体"/>
              </w:rPr>
            </w:pPr>
          </w:p>
        </w:tc>
        <w:tc>
          <w:tcPr>
            <w:tcW w:w="5" w:type="pct"/>
            <w:shd w:val="clear" w:color="auto" w:fill="auto"/>
          </w:tcPr>
          <w:p w14:paraId="5EA1F186" w14:textId="77777777" w:rsidR="003C66EB" w:rsidRDefault="003C66EB">
            <w:pPr>
              <w:rPr>
                <w:rFonts w:ascii="宋体"/>
              </w:rPr>
            </w:pPr>
          </w:p>
        </w:tc>
        <w:tc>
          <w:tcPr>
            <w:tcW w:w="5" w:type="pct"/>
            <w:shd w:val="clear" w:color="auto" w:fill="auto"/>
          </w:tcPr>
          <w:p w14:paraId="5EA1F187" w14:textId="77777777" w:rsidR="003C66EB" w:rsidRDefault="003C66EB">
            <w:pPr>
              <w:rPr>
                <w:rFonts w:ascii="宋体"/>
              </w:rPr>
            </w:pPr>
          </w:p>
        </w:tc>
        <w:tc>
          <w:tcPr>
            <w:tcW w:w="26" w:type="pct"/>
            <w:shd w:val="clear" w:color="auto" w:fill="auto"/>
          </w:tcPr>
          <w:p w14:paraId="5EA1F188" w14:textId="77777777" w:rsidR="003C66EB" w:rsidRDefault="003C66EB">
            <w:pPr>
              <w:rPr>
                <w:rFonts w:ascii="宋体"/>
              </w:rPr>
            </w:pPr>
          </w:p>
        </w:tc>
        <w:tc>
          <w:tcPr>
            <w:tcW w:w="5" w:type="pct"/>
            <w:shd w:val="clear" w:color="auto" w:fill="auto"/>
          </w:tcPr>
          <w:p w14:paraId="5EA1F189" w14:textId="77777777" w:rsidR="003C66EB" w:rsidRDefault="003C66EB">
            <w:pPr>
              <w:rPr>
                <w:rFonts w:ascii="宋体"/>
              </w:rPr>
            </w:pPr>
          </w:p>
        </w:tc>
        <w:tc>
          <w:tcPr>
            <w:tcW w:w="50" w:type="pct"/>
            <w:shd w:val="clear" w:color="auto" w:fill="auto"/>
          </w:tcPr>
          <w:p w14:paraId="5EA1F18A" w14:textId="77777777" w:rsidR="003C66EB" w:rsidRDefault="003C66EB">
            <w:pPr>
              <w:rPr>
                <w:rFonts w:ascii="宋体"/>
              </w:rPr>
            </w:pPr>
          </w:p>
        </w:tc>
        <w:tc>
          <w:tcPr>
            <w:tcW w:w="902" w:type="pct"/>
            <w:shd w:val="clear" w:color="auto" w:fill="auto"/>
          </w:tcPr>
          <w:p w14:paraId="5EA1F18B" w14:textId="77777777" w:rsidR="003C66EB" w:rsidRDefault="003C66EB">
            <w:pPr>
              <w:rPr>
                <w:rFonts w:ascii="宋体"/>
              </w:rPr>
            </w:pPr>
          </w:p>
        </w:tc>
        <w:tc>
          <w:tcPr>
            <w:tcW w:w="5" w:type="pct"/>
            <w:shd w:val="clear" w:color="auto" w:fill="auto"/>
          </w:tcPr>
          <w:p w14:paraId="5EA1F18C" w14:textId="77777777" w:rsidR="003C66EB" w:rsidRDefault="003C66EB">
            <w:pPr>
              <w:rPr>
                <w:rFonts w:ascii="宋体"/>
              </w:rPr>
            </w:pPr>
          </w:p>
        </w:tc>
        <w:tc>
          <w:tcPr>
            <w:tcW w:w="0" w:type="auto"/>
            <w:shd w:val="clear" w:color="auto" w:fill="auto"/>
          </w:tcPr>
          <w:p w14:paraId="5EA1F18D" w14:textId="77777777" w:rsidR="003C66EB" w:rsidRDefault="003C66EB">
            <w:pPr>
              <w:rPr>
                <w:rFonts w:ascii="宋体"/>
                <w:vanish/>
              </w:rPr>
            </w:pPr>
          </w:p>
        </w:tc>
        <w:tc>
          <w:tcPr>
            <w:tcW w:w="0" w:type="auto"/>
            <w:shd w:val="clear" w:color="auto" w:fill="auto"/>
          </w:tcPr>
          <w:p w14:paraId="5EA1F18E" w14:textId="77777777" w:rsidR="003C66EB" w:rsidRDefault="003C66EB">
            <w:pPr>
              <w:rPr>
                <w:rFonts w:ascii="宋体"/>
                <w:vanish/>
              </w:rPr>
            </w:pPr>
          </w:p>
        </w:tc>
        <w:tc>
          <w:tcPr>
            <w:tcW w:w="0" w:type="auto"/>
            <w:shd w:val="clear" w:color="auto" w:fill="auto"/>
          </w:tcPr>
          <w:p w14:paraId="5EA1F18F" w14:textId="77777777" w:rsidR="003C66EB" w:rsidRDefault="003C66EB">
            <w:pPr>
              <w:rPr>
                <w:rFonts w:ascii="宋体"/>
                <w:vanish/>
              </w:rPr>
            </w:pPr>
          </w:p>
        </w:tc>
        <w:tc>
          <w:tcPr>
            <w:tcW w:w="0" w:type="auto"/>
            <w:shd w:val="clear" w:color="auto" w:fill="auto"/>
          </w:tcPr>
          <w:p w14:paraId="5EA1F190" w14:textId="77777777" w:rsidR="003C66EB" w:rsidRDefault="003C66EB">
            <w:pPr>
              <w:rPr>
                <w:rFonts w:ascii="宋体"/>
                <w:vanish/>
              </w:rPr>
            </w:pPr>
          </w:p>
        </w:tc>
        <w:tc>
          <w:tcPr>
            <w:tcW w:w="0" w:type="auto"/>
            <w:gridSpan w:val="3"/>
            <w:shd w:val="clear" w:color="auto" w:fill="auto"/>
          </w:tcPr>
          <w:p w14:paraId="5EA1F191" w14:textId="77777777" w:rsidR="003C66EB" w:rsidRDefault="003C66EB">
            <w:pPr>
              <w:rPr>
                <w:rFonts w:ascii="宋体"/>
                <w:vanish/>
              </w:rPr>
            </w:pPr>
          </w:p>
        </w:tc>
        <w:tc>
          <w:tcPr>
            <w:tcW w:w="0" w:type="auto"/>
            <w:gridSpan w:val="3"/>
            <w:shd w:val="clear" w:color="auto" w:fill="auto"/>
          </w:tcPr>
          <w:p w14:paraId="5EA1F192" w14:textId="77777777" w:rsidR="003C66EB" w:rsidRDefault="003C66EB">
            <w:pPr>
              <w:rPr>
                <w:rFonts w:ascii="宋体"/>
                <w:vanish/>
              </w:rPr>
            </w:pPr>
          </w:p>
        </w:tc>
        <w:tc>
          <w:tcPr>
            <w:tcW w:w="0" w:type="auto"/>
            <w:gridSpan w:val="3"/>
            <w:shd w:val="clear" w:color="auto" w:fill="auto"/>
          </w:tcPr>
          <w:p w14:paraId="5EA1F193" w14:textId="77777777" w:rsidR="003C66EB" w:rsidRDefault="003C66EB">
            <w:pPr>
              <w:rPr>
                <w:rFonts w:ascii="宋体"/>
                <w:vanish/>
              </w:rPr>
            </w:pPr>
          </w:p>
        </w:tc>
        <w:tc>
          <w:tcPr>
            <w:tcW w:w="0" w:type="auto"/>
            <w:gridSpan w:val="3"/>
            <w:shd w:val="clear" w:color="auto" w:fill="auto"/>
          </w:tcPr>
          <w:p w14:paraId="5EA1F194" w14:textId="77777777" w:rsidR="003C66EB" w:rsidRDefault="003C66EB">
            <w:pPr>
              <w:rPr>
                <w:rFonts w:ascii="宋体"/>
                <w:vanish/>
              </w:rPr>
            </w:pPr>
          </w:p>
        </w:tc>
      </w:tr>
      <w:tr w:rsidR="003C66EB" w14:paraId="5EA1F1A7" w14:textId="77777777">
        <w:tc>
          <w:tcPr>
            <w:tcW w:w="0" w:type="auto"/>
            <w:gridSpan w:val="18"/>
            <w:shd w:val="clear" w:color="auto" w:fill="auto"/>
            <w:tcMar>
              <w:top w:w="40" w:type="dxa"/>
              <w:left w:w="20" w:type="dxa"/>
              <w:bottom w:w="40" w:type="dxa"/>
              <w:right w:w="20" w:type="dxa"/>
            </w:tcMar>
            <w:vAlign w:val="bottom"/>
          </w:tcPr>
          <w:p w14:paraId="5EA1F196" w14:textId="77777777" w:rsidR="003C66EB" w:rsidRDefault="00D96C4E">
            <w:pPr>
              <w:textAlignment w:val="bottom"/>
            </w:pPr>
            <w:r>
              <w:rPr>
                <w:rFonts w:ascii="Arial" w:eastAsia="宋体" w:hAnsi="Arial" w:cs="Arial"/>
                <w:b/>
                <w:bCs/>
                <w:color w:val="000000"/>
                <w:sz w:val="16"/>
                <w:szCs w:val="16"/>
              </w:rPr>
              <w:t>TABLE 13: ASSETS UNDER CUSTODY AND/OR ADMINISTRATION BY GEOGRAPHY</w:t>
            </w:r>
            <w:r>
              <w:rPr>
                <w:rFonts w:ascii="Arial" w:eastAsia="宋体" w:hAnsi="Arial" w:cs="Arial"/>
                <w:b/>
                <w:bCs/>
                <w:color w:val="000000"/>
                <w:sz w:val="10"/>
                <w:szCs w:val="10"/>
              </w:rPr>
              <w:t>(2)</w:t>
            </w:r>
          </w:p>
        </w:tc>
        <w:tc>
          <w:tcPr>
            <w:tcW w:w="0" w:type="auto"/>
            <w:shd w:val="clear" w:color="auto" w:fill="auto"/>
          </w:tcPr>
          <w:p w14:paraId="5EA1F197" w14:textId="77777777" w:rsidR="003C66EB" w:rsidRDefault="003C66EB">
            <w:pPr>
              <w:rPr>
                <w:rFonts w:ascii="宋体"/>
                <w:vanish/>
              </w:rPr>
            </w:pPr>
          </w:p>
        </w:tc>
        <w:tc>
          <w:tcPr>
            <w:tcW w:w="0" w:type="auto"/>
            <w:shd w:val="clear" w:color="auto" w:fill="auto"/>
          </w:tcPr>
          <w:p w14:paraId="5EA1F198" w14:textId="77777777" w:rsidR="003C66EB" w:rsidRDefault="003C66EB">
            <w:pPr>
              <w:rPr>
                <w:rFonts w:ascii="宋体"/>
                <w:vanish/>
              </w:rPr>
            </w:pPr>
          </w:p>
        </w:tc>
        <w:tc>
          <w:tcPr>
            <w:tcW w:w="0" w:type="auto"/>
            <w:shd w:val="clear" w:color="auto" w:fill="auto"/>
          </w:tcPr>
          <w:p w14:paraId="5EA1F199" w14:textId="77777777" w:rsidR="003C66EB" w:rsidRDefault="003C66EB">
            <w:pPr>
              <w:rPr>
                <w:rFonts w:ascii="宋体"/>
                <w:vanish/>
              </w:rPr>
            </w:pPr>
          </w:p>
        </w:tc>
        <w:tc>
          <w:tcPr>
            <w:tcW w:w="0" w:type="auto"/>
            <w:shd w:val="clear" w:color="auto" w:fill="auto"/>
          </w:tcPr>
          <w:p w14:paraId="5EA1F19A" w14:textId="77777777" w:rsidR="003C66EB" w:rsidRDefault="003C66EB">
            <w:pPr>
              <w:rPr>
                <w:rFonts w:ascii="宋体"/>
                <w:vanish/>
              </w:rPr>
            </w:pPr>
          </w:p>
        </w:tc>
        <w:tc>
          <w:tcPr>
            <w:tcW w:w="0" w:type="auto"/>
            <w:shd w:val="clear" w:color="auto" w:fill="auto"/>
          </w:tcPr>
          <w:p w14:paraId="5EA1F19B" w14:textId="77777777" w:rsidR="003C66EB" w:rsidRDefault="003C66EB">
            <w:pPr>
              <w:rPr>
                <w:rFonts w:ascii="宋体"/>
              </w:rPr>
            </w:pPr>
          </w:p>
        </w:tc>
        <w:tc>
          <w:tcPr>
            <w:tcW w:w="0" w:type="auto"/>
            <w:shd w:val="clear" w:color="auto" w:fill="auto"/>
          </w:tcPr>
          <w:p w14:paraId="5EA1F19C" w14:textId="77777777" w:rsidR="003C66EB" w:rsidRDefault="003C66EB">
            <w:pPr>
              <w:rPr>
                <w:rFonts w:ascii="宋体"/>
              </w:rPr>
            </w:pPr>
          </w:p>
        </w:tc>
        <w:tc>
          <w:tcPr>
            <w:tcW w:w="0" w:type="auto"/>
            <w:shd w:val="clear" w:color="auto" w:fill="auto"/>
          </w:tcPr>
          <w:p w14:paraId="5EA1F19D" w14:textId="77777777" w:rsidR="003C66EB" w:rsidRDefault="003C66EB">
            <w:pPr>
              <w:rPr>
                <w:rFonts w:ascii="宋体"/>
              </w:rPr>
            </w:pPr>
          </w:p>
        </w:tc>
        <w:tc>
          <w:tcPr>
            <w:tcW w:w="0" w:type="auto"/>
            <w:shd w:val="clear" w:color="auto" w:fill="auto"/>
          </w:tcPr>
          <w:p w14:paraId="5EA1F19E" w14:textId="77777777" w:rsidR="003C66EB" w:rsidRDefault="003C66EB">
            <w:pPr>
              <w:rPr>
                <w:rFonts w:ascii="宋体"/>
              </w:rPr>
            </w:pPr>
          </w:p>
        </w:tc>
        <w:tc>
          <w:tcPr>
            <w:tcW w:w="0" w:type="auto"/>
            <w:shd w:val="clear" w:color="auto" w:fill="auto"/>
          </w:tcPr>
          <w:p w14:paraId="5EA1F19F" w14:textId="77777777" w:rsidR="003C66EB" w:rsidRDefault="003C66EB">
            <w:pPr>
              <w:rPr>
                <w:rFonts w:ascii="宋体"/>
              </w:rPr>
            </w:pPr>
          </w:p>
        </w:tc>
        <w:tc>
          <w:tcPr>
            <w:tcW w:w="0" w:type="auto"/>
            <w:shd w:val="clear" w:color="auto" w:fill="auto"/>
          </w:tcPr>
          <w:p w14:paraId="5EA1F1A0" w14:textId="77777777" w:rsidR="003C66EB" w:rsidRDefault="003C66EB">
            <w:pPr>
              <w:rPr>
                <w:rFonts w:ascii="宋体"/>
              </w:rPr>
            </w:pPr>
          </w:p>
        </w:tc>
        <w:tc>
          <w:tcPr>
            <w:tcW w:w="0" w:type="auto"/>
            <w:shd w:val="clear" w:color="auto" w:fill="auto"/>
          </w:tcPr>
          <w:p w14:paraId="5EA1F1A1" w14:textId="77777777" w:rsidR="003C66EB" w:rsidRDefault="003C66EB">
            <w:pPr>
              <w:rPr>
                <w:rFonts w:ascii="宋体"/>
              </w:rPr>
            </w:pPr>
          </w:p>
        </w:tc>
        <w:tc>
          <w:tcPr>
            <w:tcW w:w="0" w:type="auto"/>
            <w:shd w:val="clear" w:color="auto" w:fill="auto"/>
          </w:tcPr>
          <w:p w14:paraId="5EA1F1A2" w14:textId="77777777" w:rsidR="003C66EB" w:rsidRDefault="003C66EB">
            <w:pPr>
              <w:rPr>
                <w:rFonts w:ascii="宋体"/>
              </w:rPr>
            </w:pPr>
          </w:p>
        </w:tc>
        <w:tc>
          <w:tcPr>
            <w:tcW w:w="0" w:type="auto"/>
            <w:shd w:val="clear" w:color="auto" w:fill="auto"/>
          </w:tcPr>
          <w:p w14:paraId="5EA1F1A3" w14:textId="77777777" w:rsidR="003C66EB" w:rsidRDefault="003C66EB">
            <w:pPr>
              <w:rPr>
                <w:rFonts w:ascii="宋体"/>
              </w:rPr>
            </w:pPr>
          </w:p>
        </w:tc>
        <w:tc>
          <w:tcPr>
            <w:tcW w:w="0" w:type="auto"/>
            <w:shd w:val="clear" w:color="auto" w:fill="auto"/>
          </w:tcPr>
          <w:p w14:paraId="5EA1F1A4" w14:textId="77777777" w:rsidR="003C66EB" w:rsidRDefault="003C66EB">
            <w:pPr>
              <w:rPr>
                <w:rFonts w:ascii="宋体"/>
              </w:rPr>
            </w:pPr>
          </w:p>
        </w:tc>
        <w:tc>
          <w:tcPr>
            <w:tcW w:w="0" w:type="auto"/>
            <w:shd w:val="clear" w:color="auto" w:fill="auto"/>
          </w:tcPr>
          <w:p w14:paraId="5EA1F1A5" w14:textId="77777777" w:rsidR="003C66EB" w:rsidRDefault="003C66EB">
            <w:pPr>
              <w:rPr>
                <w:rFonts w:ascii="宋体"/>
              </w:rPr>
            </w:pPr>
          </w:p>
        </w:tc>
        <w:tc>
          <w:tcPr>
            <w:tcW w:w="0" w:type="auto"/>
            <w:shd w:val="clear" w:color="auto" w:fill="auto"/>
          </w:tcPr>
          <w:p w14:paraId="5EA1F1A6" w14:textId="77777777" w:rsidR="003C66EB" w:rsidRDefault="003C66EB">
            <w:pPr>
              <w:rPr>
                <w:rFonts w:ascii="宋体"/>
              </w:rPr>
            </w:pPr>
          </w:p>
        </w:tc>
      </w:tr>
      <w:tr w:rsidR="003C66EB" w14:paraId="5EA1F1B6" w14:textId="77777777">
        <w:tc>
          <w:tcPr>
            <w:tcW w:w="0" w:type="auto"/>
            <w:gridSpan w:val="3"/>
            <w:shd w:val="clear" w:color="auto" w:fill="auto"/>
            <w:tcMar>
              <w:top w:w="40" w:type="dxa"/>
              <w:left w:w="20" w:type="dxa"/>
              <w:bottom w:w="40" w:type="dxa"/>
              <w:right w:w="20" w:type="dxa"/>
            </w:tcMar>
            <w:vAlign w:val="bottom"/>
          </w:tcPr>
          <w:p w14:paraId="5EA1F1A8" w14:textId="77777777" w:rsidR="003C66EB" w:rsidRDefault="00D96C4E">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A1F1A9"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1A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1AB"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1F1A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1AD"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Pr>
          <w:p w14:paraId="5EA1F1AE" w14:textId="77777777" w:rsidR="003C66EB" w:rsidRDefault="003C66EB">
            <w:pPr>
              <w:rPr>
                <w:rFonts w:ascii="宋体"/>
                <w:vanish/>
              </w:rPr>
            </w:pPr>
          </w:p>
        </w:tc>
        <w:tc>
          <w:tcPr>
            <w:tcW w:w="0" w:type="auto"/>
            <w:shd w:val="clear" w:color="auto" w:fill="auto"/>
          </w:tcPr>
          <w:p w14:paraId="5EA1F1AF" w14:textId="77777777" w:rsidR="003C66EB" w:rsidRDefault="003C66EB">
            <w:pPr>
              <w:rPr>
                <w:rFonts w:ascii="宋体"/>
                <w:vanish/>
              </w:rPr>
            </w:pPr>
          </w:p>
        </w:tc>
        <w:tc>
          <w:tcPr>
            <w:tcW w:w="0" w:type="auto"/>
            <w:shd w:val="clear" w:color="auto" w:fill="auto"/>
          </w:tcPr>
          <w:p w14:paraId="5EA1F1B0" w14:textId="77777777" w:rsidR="003C66EB" w:rsidRDefault="003C66EB">
            <w:pPr>
              <w:rPr>
                <w:rFonts w:ascii="宋体"/>
                <w:vanish/>
              </w:rPr>
            </w:pPr>
          </w:p>
        </w:tc>
        <w:tc>
          <w:tcPr>
            <w:tcW w:w="0" w:type="auto"/>
            <w:shd w:val="clear" w:color="auto" w:fill="auto"/>
          </w:tcPr>
          <w:p w14:paraId="5EA1F1B1" w14:textId="77777777" w:rsidR="003C66EB" w:rsidRDefault="003C66EB">
            <w:pPr>
              <w:rPr>
                <w:rFonts w:ascii="宋体"/>
                <w:vanish/>
              </w:rPr>
            </w:pPr>
          </w:p>
        </w:tc>
        <w:tc>
          <w:tcPr>
            <w:tcW w:w="0" w:type="auto"/>
            <w:gridSpan w:val="3"/>
            <w:shd w:val="clear" w:color="auto" w:fill="auto"/>
          </w:tcPr>
          <w:p w14:paraId="5EA1F1B2" w14:textId="77777777" w:rsidR="003C66EB" w:rsidRDefault="003C66EB">
            <w:pPr>
              <w:rPr>
                <w:rFonts w:ascii="宋体"/>
                <w:vanish/>
              </w:rPr>
            </w:pPr>
          </w:p>
        </w:tc>
        <w:tc>
          <w:tcPr>
            <w:tcW w:w="0" w:type="auto"/>
            <w:gridSpan w:val="3"/>
            <w:shd w:val="clear" w:color="auto" w:fill="auto"/>
          </w:tcPr>
          <w:p w14:paraId="5EA1F1B3" w14:textId="77777777" w:rsidR="003C66EB" w:rsidRDefault="003C66EB">
            <w:pPr>
              <w:rPr>
                <w:rFonts w:ascii="宋体"/>
                <w:vanish/>
              </w:rPr>
            </w:pPr>
          </w:p>
        </w:tc>
        <w:tc>
          <w:tcPr>
            <w:tcW w:w="0" w:type="auto"/>
            <w:gridSpan w:val="3"/>
            <w:shd w:val="clear" w:color="auto" w:fill="auto"/>
          </w:tcPr>
          <w:p w14:paraId="5EA1F1B4" w14:textId="77777777" w:rsidR="003C66EB" w:rsidRDefault="003C66EB">
            <w:pPr>
              <w:rPr>
                <w:rFonts w:ascii="宋体"/>
                <w:vanish/>
              </w:rPr>
            </w:pPr>
          </w:p>
        </w:tc>
        <w:tc>
          <w:tcPr>
            <w:tcW w:w="0" w:type="auto"/>
            <w:gridSpan w:val="3"/>
            <w:shd w:val="clear" w:color="auto" w:fill="auto"/>
          </w:tcPr>
          <w:p w14:paraId="5EA1F1B5" w14:textId="77777777" w:rsidR="003C66EB" w:rsidRDefault="003C66EB">
            <w:pPr>
              <w:rPr>
                <w:rFonts w:ascii="宋体"/>
                <w:vanish/>
              </w:rPr>
            </w:pPr>
          </w:p>
        </w:tc>
      </w:tr>
      <w:tr w:rsidR="003C66EB" w14:paraId="5EA1F1CB" w14:textId="77777777">
        <w:tc>
          <w:tcPr>
            <w:tcW w:w="0" w:type="auto"/>
            <w:gridSpan w:val="3"/>
            <w:shd w:val="clear" w:color="auto" w:fill="CCEEFF"/>
            <w:tcMar>
              <w:top w:w="40" w:type="dxa"/>
              <w:left w:w="20" w:type="dxa"/>
              <w:bottom w:w="40" w:type="dxa"/>
              <w:right w:w="20" w:type="dxa"/>
            </w:tcMar>
            <w:vAlign w:val="bottom"/>
          </w:tcPr>
          <w:p w14:paraId="5EA1F1B7" w14:textId="77777777" w:rsidR="003C66EB" w:rsidRDefault="00D96C4E">
            <w:pPr>
              <w:textAlignment w:val="bottom"/>
            </w:pPr>
            <w:r>
              <w:rPr>
                <w:rFonts w:ascii="Arial" w:eastAsia="宋体" w:hAnsi="Arial" w:cs="Arial"/>
                <w:color w:val="000000"/>
                <w:sz w:val="15"/>
                <w:szCs w:val="15"/>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1B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1B9" w14:textId="77777777" w:rsidR="003C66EB" w:rsidRDefault="00D96C4E">
            <w:pPr>
              <w:jc w:val="right"/>
              <w:textAlignment w:val="bottom"/>
            </w:pPr>
            <w:r>
              <w:rPr>
                <w:rFonts w:ascii="Arial" w:eastAsia="宋体" w:hAnsi="Arial" w:cs="Arial"/>
                <w:b/>
                <w:bCs/>
                <w:color w:val="000000"/>
                <w:sz w:val="15"/>
                <w:szCs w:val="15"/>
              </w:rPr>
              <w:t>29,530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1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B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1BC"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1BD" w14:textId="77777777" w:rsidR="003C66EB" w:rsidRDefault="00D96C4E">
            <w:pPr>
              <w:jc w:val="right"/>
              <w:textAlignment w:val="bottom"/>
            </w:pPr>
            <w:r>
              <w:rPr>
                <w:rFonts w:ascii="Arial" w:eastAsia="宋体" w:hAnsi="Arial" w:cs="Arial"/>
                <w:color w:val="000000"/>
                <w:sz w:val="15"/>
                <w:szCs w:val="15"/>
              </w:rPr>
              <w:t>28,245 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1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B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1C0"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1C1" w14:textId="77777777" w:rsidR="003C66EB" w:rsidRDefault="00D96C4E">
            <w:pPr>
              <w:jc w:val="right"/>
              <w:textAlignment w:val="bottom"/>
            </w:pPr>
            <w:r>
              <w:rPr>
                <w:rFonts w:ascii="Arial" w:eastAsia="宋体" w:hAnsi="Arial" w:cs="Arial"/>
                <w:color w:val="000000"/>
                <w:sz w:val="15"/>
                <w:szCs w:val="15"/>
              </w:rPr>
              <w:t>22,787 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1C2" w14:textId="77777777" w:rsidR="003C66EB" w:rsidRDefault="003C66EB">
            <w:pPr>
              <w:jc w:val="right"/>
              <w:rPr>
                <w:rFonts w:ascii="宋体"/>
              </w:rPr>
            </w:pPr>
          </w:p>
        </w:tc>
        <w:tc>
          <w:tcPr>
            <w:tcW w:w="0" w:type="auto"/>
            <w:shd w:val="clear" w:color="auto" w:fill="auto"/>
          </w:tcPr>
          <w:p w14:paraId="5EA1F1C3" w14:textId="77777777" w:rsidR="003C66EB" w:rsidRDefault="003C66EB">
            <w:pPr>
              <w:rPr>
                <w:rFonts w:ascii="宋体"/>
                <w:vanish/>
              </w:rPr>
            </w:pPr>
          </w:p>
        </w:tc>
        <w:tc>
          <w:tcPr>
            <w:tcW w:w="0" w:type="auto"/>
            <w:shd w:val="clear" w:color="auto" w:fill="auto"/>
          </w:tcPr>
          <w:p w14:paraId="5EA1F1C4" w14:textId="77777777" w:rsidR="003C66EB" w:rsidRDefault="003C66EB">
            <w:pPr>
              <w:rPr>
                <w:rFonts w:ascii="宋体"/>
                <w:vanish/>
              </w:rPr>
            </w:pPr>
          </w:p>
        </w:tc>
        <w:tc>
          <w:tcPr>
            <w:tcW w:w="0" w:type="auto"/>
            <w:shd w:val="clear" w:color="auto" w:fill="auto"/>
          </w:tcPr>
          <w:p w14:paraId="5EA1F1C5" w14:textId="77777777" w:rsidR="003C66EB" w:rsidRDefault="003C66EB">
            <w:pPr>
              <w:rPr>
                <w:rFonts w:ascii="宋体"/>
                <w:vanish/>
              </w:rPr>
            </w:pPr>
          </w:p>
        </w:tc>
        <w:tc>
          <w:tcPr>
            <w:tcW w:w="0" w:type="auto"/>
            <w:shd w:val="clear" w:color="auto" w:fill="auto"/>
          </w:tcPr>
          <w:p w14:paraId="5EA1F1C6" w14:textId="77777777" w:rsidR="003C66EB" w:rsidRDefault="003C66EB">
            <w:pPr>
              <w:rPr>
                <w:rFonts w:ascii="宋体"/>
                <w:vanish/>
              </w:rPr>
            </w:pPr>
          </w:p>
        </w:tc>
        <w:tc>
          <w:tcPr>
            <w:tcW w:w="0" w:type="auto"/>
            <w:gridSpan w:val="3"/>
            <w:shd w:val="clear" w:color="auto" w:fill="auto"/>
          </w:tcPr>
          <w:p w14:paraId="5EA1F1C7" w14:textId="77777777" w:rsidR="003C66EB" w:rsidRDefault="003C66EB">
            <w:pPr>
              <w:rPr>
                <w:rFonts w:ascii="宋体"/>
                <w:vanish/>
              </w:rPr>
            </w:pPr>
          </w:p>
        </w:tc>
        <w:tc>
          <w:tcPr>
            <w:tcW w:w="0" w:type="auto"/>
            <w:gridSpan w:val="3"/>
            <w:shd w:val="clear" w:color="auto" w:fill="auto"/>
          </w:tcPr>
          <w:p w14:paraId="5EA1F1C8" w14:textId="77777777" w:rsidR="003C66EB" w:rsidRDefault="003C66EB">
            <w:pPr>
              <w:rPr>
                <w:rFonts w:ascii="宋体"/>
                <w:vanish/>
              </w:rPr>
            </w:pPr>
          </w:p>
        </w:tc>
        <w:tc>
          <w:tcPr>
            <w:tcW w:w="0" w:type="auto"/>
            <w:gridSpan w:val="3"/>
            <w:shd w:val="clear" w:color="auto" w:fill="auto"/>
          </w:tcPr>
          <w:p w14:paraId="5EA1F1C9" w14:textId="77777777" w:rsidR="003C66EB" w:rsidRDefault="003C66EB">
            <w:pPr>
              <w:rPr>
                <w:rFonts w:ascii="宋体"/>
                <w:vanish/>
              </w:rPr>
            </w:pPr>
          </w:p>
        </w:tc>
        <w:tc>
          <w:tcPr>
            <w:tcW w:w="0" w:type="auto"/>
            <w:gridSpan w:val="3"/>
            <w:shd w:val="clear" w:color="auto" w:fill="auto"/>
          </w:tcPr>
          <w:p w14:paraId="5EA1F1CA" w14:textId="77777777" w:rsidR="003C66EB" w:rsidRDefault="003C66EB">
            <w:pPr>
              <w:rPr>
                <w:rFonts w:ascii="宋体"/>
                <w:vanish/>
              </w:rPr>
            </w:pPr>
          </w:p>
        </w:tc>
      </w:tr>
      <w:tr w:rsidR="003C66EB" w14:paraId="5EA1F1DD" w14:textId="77777777">
        <w:tc>
          <w:tcPr>
            <w:tcW w:w="0" w:type="auto"/>
            <w:gridSpan w:val="3"/>
            <w:shd w:val="clear" w:color="auto" w:fill="FFFFFF"/>
            <w:tcMar>
              <w:top w:w="40" w:type="dxa"/>
              <w:left w:w="20" w:type="dxa"/>
              <w:bottom w:w="40" w:type="dxa"/>
              <w:right w:w="20" w:type="dxa"/>
            </w:tcMar>
            <w:vAlign w:val="bottom"/>
          </w:tcPr>
          <w:p w14:paraId="5EA1F1CC" w14:textId="77777777" w:rsidR="003C66EB" w:rsidRDefault="00D96C4E">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5EA1F1CD" w14:textId="77777777" w:rsidR="003C66EB" w:rsidRDefault="00D96C4E">
            <w:pPr>
              <w:jc w:val="right"/>
              <w:textAlignment w:val="bottom"/>
            </w:pPr>
            <w:r>
              <w:rPr>
                <w:rFonts w:ascii="Arial" w:eastAsia="宋体" w:hAnsi="Arial" w:cs="Arial"/>
                <w:b/>
                <w:bCs/>
                <w:color w:val="000000"/>
                <w:sz w:val="15"/>
                <w:szCs w:val="15"/>
              </w:rPr>
              <w:t>8,256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1C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C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1D0" w14:textId="77777777" w:rsidR="003C66EB" w:rsidRDefault="00D96C4E">
            <w:pPr>
              <w:jc w:val="right"/>
              <w:textAlignment w:val="bottom"/>
            </w:pPr>
            <w:r>
              <w:rPr>
                <w:rFonts w:ascii="Arial" w:eastAsia="宋体" w:hAnsi="Arial" w:cs="Arial"/>
                <w:color w:val="000000"/>
                <w:sz w:val="15"/>
                <w:szCs w:val="15"/>
              </w:rPr>
              <w:t>8,101 </w:t>
            </w:r>
          </w:p>
        </w:tc>
        <w:tc>
          <w:tcPr>
            <w:tcW w:w="0" w:type="auto"/>
            <w:shd w:val="clear" w:color="auto" w:fill="FFFFFF"/>
            <w:tcMar>
              <w:top w:w="40" w:type="dxa"/>
              <w:left w:w="0" w:type="dxa"/>
              <w:bottom w:w="40" w:type="dxa"/>
              <w:right w:w="20" w:type="dxa"/>
            </w:tcMar>
            <w:vAlign w:val="bottom"/>
          </w:tcPr>
          <w:p w14:paraId="5EA1F1D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D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1D3" w14:textId="77777777" w:rsidR="003C66EB" w:rsidRDefault="00D96C4E">
            <w:pPr>
              <w:jc w:val="right"/>
              <w:textAlignment w:val="bottom"/>
            </w:pPr>
            <w:r>
              <w:rPr>
                <w:rFonts w:ascii="Arial" w:eastAsia="宋体" w:hAnsi="Arial" w:cs="Arial"/>
                <w:color w:val="000000"/>
                <w:sz w:val="15"/>
                <w:szCs w:val="15"/>
              </w:rPr>
              <w:t>7,112 </w:t>
            </w:r>
          </w:p>
        </w:tc>
        <w:tc>
          <w:tcPr>
            <w:tcW w:w="0" w:type="auto"/>
            <w:shd w:val="clear" w:color="auto" w:fill="FFFFFF"/>
            <w:tcMar>
              <w:top w:w="40" w:type="dxa"/>
              <w:left w:w="0" w:type="dxa"/>
              <w:bottom w:w="40" w:type="dxa"/>
              <w:right w:w="20" w:type="dxa"/>
            </w:tcMar>
            <w:vAlign w:val="bottom"/>
          </w:tcPr>
          <w:p w14:paraId="5EA1F1D4" w14:textId="77777777" w:rsidR="003C66EB" w:rsidRDefault="003C66EB">
            <w:pPr>
              <w:jc w:val="right"/>
              <w:rPr>
                <w:rFonts w:ascii="宋体"/>
              </w:rPr>
            </w:pPr>
          </w:p>
        </w:tc>
        <w:tc>
          <w:tcPr>
            <w:tcW w:w="0" w:type="auto"/>
            <w:shd w:val="clear" w:color="auto" w:fill="auto"/>
          </w:tcPr>
          <w:p w14:paraId="5EA1F1D5" w14:textId="77777777" w:rsidR="003C66EB" w:rsidRDefault="003C66EB">
            <w:pPr>
              <w:rPr>
                <w:rFonts w:ascii="宋体"/>
                <w:vanish/>
              </w:rPr>
            </w:pPr>
          </w:p>
        </w:tc>
        <w:tc>
          <w:tcPr>
            <w:tcW w:w="0" w:type="auto"/>
            <w:shd w:val="clear" w:color="auto" w:fill="auto"/>
          </w:tcPr>
          <w:p w14:paraId="5EA1F1D6" w14:textId="77777777" w:rsidR="003C66EB" w:rsidRDefault="003C66EB">
            <w:pPr>
              <w:rPr>
                <w:rFonts w:ascii="宋体"/>
                <w:vanish/>
              </w:rPr>
            </w:pPr>
          </w:p>
        </w:tc>
        <w:tc>
          <w:tcPr>
            <w:tcW w:w="0" w:type="auto"/>
            <w:shd w:val="clear" w:color="auto" w:fill="auto"/>
          </w:tcPr>
          <w:p w14:paraId="5EA1F1D7" w14:textId="77777777" w:rsidR="003C66EB" w:rsidRDefault="003C66EB">
            <w:pPr>
              <w:rPr>
                <w:rFonts w:ascii="宋体"/>
                <w:vanish/>
              </w:rPr>
            </w:pPr>
          </w:p>
        </w:tc>
        <w:tc>
          <w:tcPr>
            <w:tcW w:w="0" w:type="auto"/>
            <w:shd w:val="clear" w:color="auto" w:fill="auto"/>
          </w:tcPr>
          <w:p w14:paraId="5EA1F1D8" w14:textId="77777777" w:rsidR="003C66EB" w:rsidRDefault="003C66EB">
            <w:pPr>
              <w:rPr>
                <w:rFonts w:ascii="宋体"/>
                <w:vanish/>
              </w:rPr>
            </w:pPr>
          </w:p>
        </w:tc>
        <w:tc>
          <w:tcPr>
            <w:tcW w:w="0" w:type="auto"/>
            <w:gridSpan w:val="3"/>
            <w:shd w:val="clear" w:color="auto" w:fill="auto"/>
          </w:tcPr>
          <w:p w14:paraId="5EA1F1D9" w14:textId="77777777" w:rsidR="003C66EB" w:rsidRDefault="003C66EB">
            <w:pPr>
              <w:rPr>
                <w:rFonts w:ascii="宋体"/>
                <w:vanish/>
              </w:rPr>
            </w:pPr>
          </w:p>
        </w:tc>
        <w:tc>
          <w:tcPr>
            <w:tcW w:w="0" w:type="auto"/>
            <w:gridSpan w:val="3"/>
            <w:shd w:val="clear" w:color="auto" w:fill="auto"/>
          </w:tcPr>
          <w:p w14:paraId="5EA1F1DA" w14:textId="77777777" w:rsidR="003C66EB" w:rsidRDefault="003C66EB">
            <w:pPr>
              <w:rPr>
                <w:rFonts w:ascii="宋体"/>
                <w:vanish/>
              </w:rPr>
            </w:pPr>
          </w:p>
        </w:tc>
        <w:tc>
          <w:tcPr>
            <w:tcW w:w="0" w:type="auto"/>
            <w:gridSpan w:val="3"/>
            <w:shd w:val="clear" w:color="auto" w:fill="auto"/>
          </w:tcPr>
          <w:p w14:paraId="5EA1F1DB" w14:textId="77777777" w:rsidR="003C66EB" w:rsidRDefault="003C66EB">
            <w:pPr>
              <w:rPr>
                <w:rFonts w:ascii="宋体"/>
                <w:vanish/>
              </w:rPr>
            </w:pPr>
          </w:p>
        </w:tc>
        <w:tc>
          <w:tcPr>
            <w:tcW w:w="0" w:type="auto"/>
            <w:gridSpan w:val="3"/>
            <w:shd w:val="clear" w:color="auto" w:fill="auto"/>
          </w:tcPr>
          <w:p w14:paraId="5EA1F1DC" w14:textId="77777777" w:rsidR="003C66EB" w:rsidRDefault="003C66EB">
            <w:pPr>
              <w:rPr>
                <w:rFonts w:ascii="宋体"/>
                <w:vanish/>
              </w:rPr>
            </w:pPr>
          </w:p>
        </w:tc>
      </w:tr>
      <w:tr w:rsidR="003C66EB" w14:paraId="5EA1F1EF" w14:textId="77777777">
        <w:tc>
          <w:tcPr>
            <w:tcW w:w="0" w:type="auto"/>
            <w:gridSpan w:val="3"/>
            <w:shd w:val="clear" w:color="auto" w:fill="CCEEFF"/>
            <w:tcMar>
              <w:top w:w="40" w:type="dxa"/>
              <w:left w:w="20" w:type="dxa"/>
              <w:bottom w:w="40" w:type="dxa"/>
              <w:right w:w="20" w:type="dxa"/>
            </w:tcMar>
            <w:vAlign w:val="bottom"/>
          </w:tcPr>
          <w:p w14:paraId="5EA1F1DE" w14:textId="77777777" w:rsidR="003C66EB" w:rsidRDefault="00D96C4E">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5EA1F1DF" w14:textId="77777777" w:rsidR="003C66EB" w:rsidRDefault="00D96C4E">
            <w:pPr>
              <w:jc w:val="right"/>
              <w:textAlignment w:val="bottom"/>
            </w:pPr>
            <w:r>
              <w:rPr>
                <w:rFonts w:ascii="Arial" w:eastAsia="宋体" w:hAnsi="Arial" w:cs="Arial"/>
                <w:b/>
                <w:bCs/>
                <w:color w:val="000000"/>
                <w:sz w:val="15"/>
                <w:szCs w:val="15"/>
              </w:rPr>
              <w:t>2,477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1E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E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1E2" w14:textId="77777777" w:rsidR="003C66EB" w:rsidRDefault="00D96C4E">
            <w:pPr>
              <w:jc w:val="right"/>
              <w:textAlignment w:val="bottom"/>
            </w:pPr>
            <w:r>
              <w:rPr>
                <w:rFonts w:ascii="Arial" w:eastAsia="宋体" w:hAnsi="Arial" w:cs="Arial"/>
                <w:color w:val="000000"/>
                <w:sz w:val="15"/>
                <w:szCs w:val="15"/>
              </w:rPr>
              <w:t>2,445 </w:t>
            </w:r>
          </w:p>
        </w:tc>
        <w:tc>
          <w:tcPr>
            <w:tcW w:w="0" w:type="auto"/>
            <w:shd w:val="clear" w:color="auto" w:fill="CCEEFF"/>
            <w:tcMar>
              <w:top w:w="40" w:type="dxa"/>
              <w:left w:w="0" w:type="dxa"/>
              <w:bottom w:w="40" w:type="dxa"/>
              <w:right w:w="20" w:type="dxa"/>
            </w:tcMar>
            <w:vAlign w:val="bottom"/>
          </w:tcPr>
          <w:p w14:paraId="5EA1F1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1E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1E5" w14:textId="77777777" w:rsidR="003C66EB" w:rsidRDefault="00D96C4E">
            <w:pPr>
              <w:jc w:val="right"/>
              <w:textAlignment w:val="bottom"/>
            </w:pPr>
            <w:r>
              <w:rPr>
                <w:rFonts w:ascii="Arial" w:eastAsia="宋体" w:hAnsi="Arial" w:cs="Arial"/>
                <w:color w:val="000000"/>
                <w:sz w:val="15"/>
                <w:szCs w:val="15"/>
              </w:rPr>
              <w:t>1,965 </w:t>
            </w:r>
          </w:p>
        </w:tc>
        <w:tc>
          <w:tcPr>
            <w:tcW w:w="0" w:type="auto"/>
            <w:shd w:val="clear" w:color="auto" w:fill="CCEEFF"/>
            <w:tcMar>
              <w:top w:w="40" w:type="dxa"/>
              <w:left w:w="0" w:type="dxa"/>
              <w:bottom w:w="40" w:type="dxa"/>
              <w:right w:w="20" w:type="dxa"/>
            </w:tcMar>
            <w:vAlign w:val="bottom"/>
          </w:tcPr>
          <w:p w14:paraId="5EA1F1E6" w14:textId="77777777" w:rsidR="003C66EB" w:rsidRDefault="003C66EB">
            <w:pPr>
              <w:jc w:val="right"/>
              <w:rPr>
                <w:rFonts w:ascii="宋体"/>
              </w:rPr>
            </w:pPr>
          </w:p>
        </w:tc>
        <w:tc>
          <w:tcPr>
            <w:tcW w:w="0" w:type="auto"/>
            <w:shd w:val="clear" w:color="auto" w:fill="auto"/>
          </w:tcPr>
          <w:p w14:paraId="5EA1F1E7" w14:textId="77777777" w:rsidR="003C66EB" w:rsidRDefault="003C66EB">
            <w:pPr>
              <w:rPr>
                <w:rFonts w:ascii="宋体"/>
                <w:vanish/>
              </w:rPr>
            </w:pPr>
          </w:p>
        </w:tc>
        <w:tc>
          <w:tcPr>
            <w:tcW w:w="0" w:type="auto"/>
            <w:shd w:val="clear" w:color="auto" w:fill="auto"/>
          </w:tcPr>
          <w:p w14:paraId="5EA1F1E8" w14:textId="77777777" w:rsidR="003C66EB" w:rsidRDefault="003C66EB">
            <w:pPr>
              <w:rPr>
                <w:rFonts w:ascii="宋体"/>
                <w:vanish/>
              </w:rPr>
            </w:pPr>
          </w:p>
        </w:tc>
        <w:tc>
          <w:tcPr>
            <w:tcW w:w="0" w:type="auto"/>
            <w:shd w:val="clear" w:color="auto" w:fill="auto"/>
          </w:tcPr>
          <w:p w14:paraId="5EA1F1E9" w14:textId="77777777" w:rsidR="003C66EB" w:rsidRDefault="003C66EB">
            <w:pPr>
              <w:rPr>
                <w:rFonts w:ascii="宋体"/>
                <w:vanish/>
              </w:rPr>
            </w:pPr>
          </w:p>
        </w:tc>
        <w:tc>
          <w:tcPr>
            <w:tcW w:w="0" w:type="auto"/>
            <w:shd w:val="clear" w:color="auto" w:fill="auto"/>
          </w:tcPr>
          <w:p w14:paraId="5EA1F1EA" w14:textId="77777777" w:rsidR="003C66EB" w:rsidRDefault="003C66EB">
            <w:pPr>
              <w:rPr>
                <w:rFonts w:ascii="宋体"/>
                <w:vanish/>
              </w:rPr>
            </w:pPr>
          </w:p>
        </w:tc>
        <w:tc>
          <w:tcPr>
            <w:tcW w:w="0" w:type="auto"/>
            <w:gridSpan w:val="3"/>
            <w:shd w:val="clear" w:color="auto" w:fill="auto"/>
          </w:tcPr>
          <w:p w14:paraId="5EA1F1EB" w14:textId="77777777" w:rsidR="003C66EB" w:rsidRDefault="003C66EB">
            <w:pPr>
              <w:rPr>
                <w:rFonts w:ascii="宋体"/>
                <w:vanish/>
              </w:rPr>
            </w:pPr>
          </w:p>
        </w:tc>
        <w:tc>
          <w:tcPr>
            <w:tcW w:w="0" w:type="auto"/>
            <w:gridSpan w:val="3"/>
            <w:shd w:val="clear" w:color="auto" w:fill="auto"/>
          </w:tcPr>
          <w:p w14:paraId="5EA1F1EC" w14:textId="77777777" w:rsidR="003C66EB" w:rsidRDefault="003C66EB">
            <w:pPr>
              <w:rPr>
                <w:rFonts w:ascii="宋体"/>
                <w:vanish/>
              </w:rPr>
            </w:pPr>
          </w:p>
        </w:tc>
        <w:tc>
          <w:tcPr>
            <w:tcW w:w="0" w:type="auto"/>
            <w:gridSpan w:val="3"/>
            <w:shd w:val="clear" w:color="auto" w:fill="auto"/>
          </w:tcPr>
          <w:p w14:paraId="5EA1F1ED" w14:textId="77777777" w:rsidR="003C66EB" w:rsidRDefault="003C66EB">
            <w:pPr>
              <w:rPr>
                <w:rFonts w:ascii="宋体"/>
                <w:vanish/>
              </w:rPr>
            </w:pPr>
          </w:p>
        </w:tc>
        <w:tc>
          <w:tcPr>
            <w:tcW w:w="0" w:type="auto"/>
            <w:gridSpan w:val="3"/>
            <w:shd w:val="clear" w:color="auto" w:fill="auto"/>
          </w:tcPr>
          <w:p w14:paraId="5EA1F1EE" w14:textId="77777777" w:rsidR="003C66EB" w:rsidRDefault="003C66EB">
            <w:pPr>
              <w:rPr>
                <w:rFonts w:ascii="宋体"/>
                <w:vanish/>
              </w:rPr>
            </w:pPr>
          </w:p>
        </w:tc>
      </w:tr>
      <w:tr w:rsidR="003C66EB" w14:paraId="5EA1F204" w14:textId="77777777">
        <w:tc>
          <w:tcPr>
            <w:tcW w:w="0" w:type="auto"/>
            <w:gridSpan w:val="3"/>
            <w:shd w:val="clear" w:color="auto" w:fill="FFFFFF"/>
            <w:tcMar>
              <w:top w:w="40" w:type="dxa"/>
              <w:left w:w="20" w:type="dxa"/>
              <w:bottom w:w="40" w:type="dxa"/>
              <w:right w:w="20" w:type="dxa"/>
            </w:tcMar>
            <w:vAlign w:val="bottom"/>
          </w:tcPr>
          <w:p w14:paraId="5EA1F1F0" w14:textId="77777777" w:rsidR="003C66EB" w:rsidRDefault="00D96C4E">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1F1"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1F2" w14:textId="77777777" w:rsidR="003C66EB" w:rsidRDefault="00D96C4E">
            <w:pPr>
              <w:jc w:val="right"/>
              <w:textAlignment w:val="bottom"/>
            </w:pPr>
            <w:r>
              <w:rPr>
                <w:rFonts w:ascii="Arial" w:eastAsia="宋体" w:hAnsi="Arial" w:cs="Arial"/>
                <w:b/>
                <w:bCs/>
                <w:color w:val="000000"/>
                <w:sz w:val="15"/>
                <w:szCs w:val="15"/>
              </w:rPr>
              <w:t>40,263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1F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F4"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1F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1F6" w14:textId="77777777" w:rsidR="003C66EB" w:rsidRDefault="00D96C4E">
            <w:pPr>
              <w:jc w:val="right"/>
              <w:textAlignment w:val="bottom"/>
            </w:pPr>
            <w:r>
              <w:rPr>
                <w:rFonts w:ascii="Arial" w:eastAsia="宋体" w:hAnsi="Arial" w:cs="Arial"/>
                <w:color w:val="000000"/>
                <w:sz w:val="15"/>
                <w:szCs w:val="15"/>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1F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1F8"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1F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1FA" w14:textId="77777777" w:rsidR="003C66EB" w:rsidRDefault="00D96C4E">
            <w:pPr>
              <w:jc w:val="right"/>
              <w:textAlignment w:val="bottom"/>
            </w:pPr>
            <w:r>
              <w:rPr>
                <w:rFonts w:ascii="Arial" w:eastAsia="宋体" w:hAnsi="Arial" w:cs="Arial"/>
                <w:color w:val="000000"/>
                <w:sz w:val="15"/>
                <w:szCs w:val="15"/>
              </w:rPr>
              <w:t>31,864 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1FB" w14:textId="77777777" w:rsidR="003C66EB" w:rsidRDefault="003C66EB">
            <w:pPr>
              <w:jc w:val="right"/>
              <w:rPr>
                <w:rFonts w:ascii="宋体"/>
              </w:rPr>
            </w:pPr>
          </w:p>
        </w:tc>
        <w:tc>
          <w:tcPr>
            <w:tcW w:w="0" w:type="auto"/>
            <w:shd w:val="clear" w:color="auto" w:fill="auto"/>
          </w:tcPr>
          <w:p w14:paraId="5EA1F1FC" w14:textId="77777777" w:rsidR="003C66EB" w:rsidRDefault="003C66EB">
            <w:pPr>
              <w:rPr>
                <w:rFonts w:ascii="宋体"/>
                <w:vanish/>
              </w:rPr>
            </w:pPr>
          </w:p>
        </w:tc>
        <w:tc>
          <w:tcPr>
            <w:tcW w:w="0" w:type="auto"/>
            <w:shd w:val="clear" w:color="auto" w:fill="auto"/>
          </w:tcPr>
          <w:p w14:paraId="5EA1F1FD" w14:textId="77777777" w:rsidR="003C66EB" w:rsidRDefault="003C66EB">
            <w:pPr>
              <w:rPr>
                <w:rFonts w:ascii="宋体"/>
                <w:vanish/>
              </w:rPr>
            </w:pPr>
          </w:p>
        </w:tc>
        <w:tc>
          <w:tcPr>
            <w:tcW w:w="0" w:type="auto"/>
            <w:shd w:val="clear" w:color="auto" w:fill="auto"/>
          </w:tcPr>
          <w:p w14:paraId="5EA1F1FE" w14:textId="77777777" w:rsidR="003C66EB" w:rsidRDefault="003C66EB">
            <w:pPr>
              <w:rPr>
                <w:rFonts w:ascii="宋体"/>
                <w:vanish/>
              </w:rPr>
            </w:pPr>
          </w:p>
        </w:tc>
        <w:tc>
          <w:tcPr>
            <w:tcW w:w="0" w:type="auto"/>
            <w:shd w:val="clear" w:color="auto" w:fill="auto"/>
          </w:tcPr>
          <w:p w14:paraId="5EA1F1FF" w14:textId="77777777" w:rsidR="003C66EB" w:rsidRDefault="003C66EB">
            <w:pPr>
              <w:rPr>
                <w:rFonts w:ascii="宋体"/>
                <w:vanish/>
              </w:rPr>
            </w:pPr>
          </w:p>
        </w:tc>
        <w:tc>
          <w:tcPr>
            <w:tcW w:w="0" w:type="auto"/>
            <w:gridSpan w:val="3"/>
            <w:shd w:val="clear" w:color="auto" w:fill="auto"/>
          </w:tcPr>
          <w:p w14:paraId="5EA1F200" w14:textId="77777777" w:rsidR="003C66EB" w:rsidRDefault="003C66EB">
            <w:pPr>
              <w:rPr>
                <w:rFonts w:ascii="宋体"/>
                <w:vanish/>
              </w:rPr>
            </w:pPr>
          </w:p>
        </w:tc>
        <w:tc>
          <w:tcPr>
            <w:tcW w:w="0" w:type="auto"/>
            <w:gridSpan w:val="3"/>
            <w:shd w:val="clear" w:color="auto" w:fill="auto"/>
          </w:tcPr>
          <w:p w14:paraId="5EA1F201" w14:textId="77777777" w:rsidR="003C66EB" w:rsidRDefault="003C66EB">
            <w:pPr>
              <w:rPr>
                <w:rFonts w:ascii="宋体"/>
                <w:vanish/>
              </w:rPr>
            </w:pPr>
          </w:p>
        </w:tc>
        <w:tc>
          <w:tcPr>
            <w:tcW w:w="0" w:type="auto"/>
            <w:gridSpan w:val="3"/>
            <w:shd w:val="clear" w:color="auto" w:fill="auto"/>
          </w:tcPr>
          <w:p w14:paraId="5EA1F202" w14:textId="77777777" w:rsidR="003C66EB" w:rsidRDefault="003C66EB">
            <w:pPr>
              <w:rPr>
                <w:rFonts w:ascii="宋体"/>
                <w:vanish/>
              </w:rPr>
            </w:pPr>
          </w:p>
        </w:tc>
        <w:tc>
          <w:tcPr>
            <w:tcW w:w="0" w:type="auto"/>
            <w:gridSpan w:val="3"/>
            <w:shd w:val="clear" w:color="auto" w:fill="auto"/>
          </w:tcPr>
          <w:p w14:paraId="5EA1F203" w14:textId="77777777" w:rsidR="003C66EB" w:rsidRDefault="003C66EB">
            <w:pPr>
              <w:rPr>
                <w:rFonts w:ascii="宋体"/>
                <w:vanish/>
              </w:rPr>
            </w:pPr>
          </w:p>
        </w:tc>
      </w:tr>
    </w:tbl>
    <w:p w14:paraId="5EA1F205"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F20C" w14:textId="77777777">
        <w:tc>
          <w:tcPr>
            <w:tcW w:w="50" w:type="pct"/>
            <w:shd w:val="clear" w:color="auto" w:fill="auto"/>
          </w:tcPr>
          <w:p w14:paraId="5EA1F206" w14:textId="77777777" w:rsidR="003C66EB" w:rsidRDefault="003C66EB">
            <w:pPr>
              <w:rPr>
                <w:rFonts w:ascii="宋体"/>
              </w:rPr>
            </w:pPr>
          </w:p>
        </w:tc>
        <w:tc>
          <w:tcPr>
            <w:tcW w:w="1348" w:type="pct"/>
            <w:shd w:val="clear" w:color="auto" w:fill="auto"/>
          </w:tcPr>
          <w:p w14:paraId="5EA1F207" w14:textId="77777777" w:rsidR="003C66EB" w:rsidRDefault="003C66EB">
            <w:pPr>
              <w:rPr>
                <w:rFonts w:ascii="宋体"/>
              </w:rPr>
            </w:pPr>
          </w:p>
        </w:tc>
        <w:tc>
          <w:tcPr>
            <w:tcW w:w="5" w:type="pct"/>
            <w:shd w:val="clear" w:color="auto" w:fill="auto"/>
          </w:tcPr>
          <w:p w14:paraId="5EA1F208" w14:textId="77777777" w:rsidR="003C66EB" w:rsidRDefault="003C66EB">
            <w:pPr>
              <w:rPr>
                <w:rFonts w:ascii="宋体"/>
              </w:rPr>
            </w:pPr>
          </w:p>
        </w:tc>
        <w:tc>
          <w:tcPr>
            <w:tcW w:w="50" w:type="pct"/>
            <w:shd w:val="clear" w:color="auto" w:fill="auto"/>
          </w:tcPr>
          <w:p w14:paraId="5EA1F209" w14:textId="77777777" w:rsidR="003C66EB" w:rsidRDefault="003C66EB">
            <w:pPr>
              <w:rPr>
                <w:rFonts w:ascii="宋体"/>
              </w:rPr>
            </w:pPr>
          </w:p>
        </w:tc>
        <w:tc>
          <w:tcPr>
            <w:tcW w:w="3541" w:type="pct"/>
            <w:shd w:val="clear" w:color="auto" w:fill="auto"/>
          </w:tcPr>
          <w:p w14:paraId="5EA1F20A" w14:textId="77777777" w:rsidR="003C66EB" w:rsidRDefault="003C66EB">
            <w:pPr>
              <w:rPr>
                <w:rFonts w:ascii="宋体"/>
              </w:rPr>
            </w:pPr>
          </w:p>
        </w:tc>
        <w:tc>
          <w:tcPr>
            <w:tcW w:w="5" w:type="pct"/>
            <w:shd w:val="clear" w:color="auto" w:fill="auto"/>
          </w:tcPr>
          <w:p w14:paraId="5EA1F20B" w14:textId="77777777" w:rsidR="003C66EB" w:rsidRDefault="003C66EB">
            <w:pPr>
              <w:rPr>
                <w:rFonts w:ascii="宋体"/>
              </w:rPr>
            </w:pPr>
          </w:p>
        </w:tc>
      </w:tr>
      <w:tr w:rsidR="003C66EB" w14:paraId="5EA1F20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20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20E" w14:textId="77777777" w:rsidR="003C66EB" w:rsidRDefault="003C66EB">
            <w:pPr>
              <w:rPr>
                <w:rFonts w:ascii="宋体"/>
              </w:rPr>
            </w:pPr>
          </w:p>
        </w:tc>
      </w:tr>
    </w:tbl>
    <w:p w14:paraId="5EA1F210" w14:textId="77777777" w:rsidR="003C66EB" w:rsidRDefault="00D96C4E">
      <w:pPr>
        <w:spacing w:after="60"/>
        <w:jc w:val="both"/>
      </w:pPr>
      <w:r>
        <w:rPr>
          <w:rFonts w:ascii="Arial" w:eastAsia="宋体" w:hAnsi="Arial" w:cs="Arial"/>
          <w:color w:val="000000"/>
          <w:sz w:val="8"/>
          <w:szCs w:val="8"/>
        </w:rPr>
        <w:t xml:space="preserve">(1) </w:t>
      </w:r>
      <w:r>
        <w:rPr>
          <w:rFonts w:ascii="Arial" w:eastAsia="宋体" w:hAnsi="Arial" w:cs="Arial"/>
          <w:color w:val="000000"/>
          <w:sz w:val="13"/>
          <w:szCs w:val="13"/>
        </w:rPr>
        <w:t>Certain previously reported amounts presented have been reclassified to conform to current-period presentation.</w:t>
      </w:r>
    </w:p>
    <w:p w14:paraId="5EA1F211" w14:textId="77777777" w:rsidR="003C66EB" w:rsidRDefault="00D96C4E">
      <w:pPr>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Geographic mix is </w:t>
      </w:r>
      <w:r>
        <w:rPr>
          <w:rFonts w:ascii="Arial" w:eastAsia="宋体" w:hAnsi="Arial" w:cs="Arial"/>
          <w:color w:val="000000"/>
          <w:sz w:val="13"/>
          <w:szCs w:val="13"/>
        </w:rPr>
        <w:t>generally based on the domicile of the entity servicing the funds and is not necessarily representative of the underlying asset mix.</w:t>
      </w:r>
    </w:p>
    <w:p w14:paraId="5EA1F212" w14:textId="77777777" w:rsidR="003C66EB" w:rsidRDefault="00D96C4E">
      <w:pPr>
        <w:spacing w:before="60"/>
        <w:ind w:firstLine="450"/>
        <w:jc w:val="both"/>
      </w:pPr>
      <w:r>
        <w:rPr>
          <w:rFonts w:ascii="Arial" w:eastAsia="宋体" w:hAnsi="Arial" w:cs="Arial"/>
          <w:color w:val="000000"/>
          <w:sz w:val="20"/>
          <w:szCs w:val="20"/>
        </w:rPr>
        <w:t xml:space="preserve">Asset servicing mandates newly announced in the first quarter of 2021 totaled approximately $343 billion. </w:t>
      </w:r>
      <w:r>
        <w:rPr>
          <w:rFonts w:ascii="Arial" w:eastAsia="宋体" w:hAnsi="Arial" w:cs="Arial"/>
          <w:color w:val="000000"/>
          <w:sz w:val="20"/>
          <w:szCs w:val="20"/>
        </w:rPr>
        <w:t>Servicing assets remaining to be installed in future periods totaled approximately $463 billion as of March 31, 2021, which will be reflected in AUC/A in future periods after installation and will generate servicing fee revenue in subsequent periods. Appro</w:t>
      </w:r>
      <w:r>
        <w:rPr>
          <w:rFonts w:ascii="Arial" w:eastAsia="宋体" w:hAnsi="Arial" w:cs="Arial"/>
          <w:color w:val="000000"/>
          <w:sz w:val="20"/>
          <w:szCs w:val="20"/>
        </w:rPr>
        <w:t>ximately one-third of servicing assets to be installed as of March 31, 2021 were attributed to State Street Alpha. The full revenue impact of such mandates will be realized over several quarters as the assets are installed and additional services are added</w:t>
      </w:r>
      <w:r>
        <w:rPr>
          <w:rFonts w:ascii="Arial" w:eastAsia="宋体" w:hAnsi="Arial" w:cs="Arial"/>
          <w:color w:val="000000"/>
          <w:sz w:val="20"/>
          <w:szCs w:val="20"/>
        </w:rPr>
        <w:t xml:space="preserve"> over that period.</w:t>
      </w:r>
    </w:p>
    <w:p w14:paraId="5EA1F213" w14:textId="77777777" w:rsidR="003C66EB" w:rsidRDefault="00D96C4E">
      <w:pPr>
        <w:spacing w:before="60"/>
        <w:ind w:firstLine="450"/>
        <w:jc w:val="both"/>
      </w:pPr>
      <w:r>
        <w:rPr>
          <w:rFonts w:ascii="Arial" w:eastAsia="宋体" w:hAnsi="Arial" w:cs="Arial"/>
          <w:color w:val="000000"/>
          <w:sz w:val="20"/>
          <w:szCs w:val="20"/>
        </w:rPr>
        <w:t>New asset servicing mandates may be subject to completion of definitive agreements, approval of applicable boards and shareholders and customary regulatory approvals. New asset servicing mandates and servicing assets remaining to be inst</w:t>
      </w:r>
      <w:r>
        <w:rPr>
          <w:rFonts w:ascii="Arial" w:eastAsia="宋体" w:hAnsi="Arial" w:cs="Arial"/>
          <w:color w:val="000000"/>
          <w:sz w:val="20"/>
          <w:szCs w:val="20"/>
        </w:rPr>
        <w:t>alled in future periods exclude certain new business which has been contracted, but for which the client has not yet provided permission to publicly disclose and the expected installation date extends beyond one quarter. These excluded assets, which from t</w:t>
      </w:r>
      <w:r>
        <w:rPr>
          <w:rFonts w:ascii="Arial" w:eastAsia="宋体" w:hAnsi="Arial" w:cs="Arial"/>
          <w:color w:val="000000"/>
          <w:sz w:val="20"/>
          <w:szCs w:val="20"/>
        </w:rPr>
        <w:t xml:space="preserve">ime to time may be significant, will be included in new asset servicing mandates and reflected in servicing assets remaining to be installed in the period in which the client provides its permission. Servicing mandates and servicing assets remaining to be </w:t>
      </w:r>
      <w:r>
        <w:rPr>
          <w:rFonts w:ascii="Arial" w:eastAsia="宋体" w:hAnsi="Arial" w:cs="Arial"/>
          <w:color w:val="000000"/>
          <w:sz w:val="20"/>
          <w:szCs w:val="20"/>
        </w:rPr>
        <w:t>installed in future periods are presented on a gross basis and therefore also do not include the impact of clients who have notified us during the period of their intent to terminate or reduce their relationship with us, which may from time to time be sign</w:t>
      </w:r>
      <w:r>
        <w:rPr>
          <w:rFonts w:ascii="Arial" w:eastAsia="宋体" w:hAnsi="Arial" w:cs="Arial"/>
          <w:color w:val="000000"/>
          <w:sz w:val="20"/>
          <w:szCs w:val="20"/>
        </w:rPr>
        <w:t>ificant.</w:t>
      </w:r>
    </w:p>
    <w:p w14:paraId="5EA1F214" w14:textId="77777777" w:rsidR="003C66EB" w:rsidRDefault="00D96C4E">
      <w:pPr>
        <w:spacing w:before="60"/>
        <w:ind w:firstLine="450"/>
        <w:jc w:val="both"/>
      </w:pPr>
      <w:r>
        <w:rPr>
          <w:rFonts w:ascii="Arial" w:eastAsia="宋体" w:hAnsi="Arial" w:cs="Arial"/>
          <w:color w:val="000000"/>
          <w:sz w:val="20"/>
          <w:szCs w:val="20"/>
        </w:rPr>
        <w:t>With respect to these new servicing mandates, once installed we may provide various services, including accounting, bank loan servicing, compliance reporting and monitoring, custody, depository banking services, FX, fund administration, hedge fund</w:t>
      </w:r>
      <w:r>
        <w:rPr>
          <w:rFonts w:ascii="Arial" w:eastAsia="宋体" w:hAnsi="Arial" w:cs="Arial"/>
          <w:color w:val="000000"/>
          <w:sz w:val="20"/>
          <w:szCs w:val="20"/>
        </w:rPr>
        <w:t xml:space="preserve"> servicing, middle office outsourcing, performance and analytics, private equity administration, real estate administration, securities finance, transfer agency and wealth management services. Revenues associated with new servicing mandates may vary based </w:t>
      </w:r>
      <w:r>
        <w:rPr>
          <w:rFonts w:ascii="Arial" w:eastAsia="宋体" w:hAnsi="Arial" w:cs="Arial"/>
          <w:color w:val="000000"/>
          <w:sz w:val="20"/>
          <w:szCs w:val="20"/>
        </w:rPr>
        <w:t>on the breadth of services provided and the timing of installation, and the types of assets.</w:t>
      </w:r>
    </w:p>
    <w:p w14:paraId="5EA1F215" w14:textId="77777777" w:rsidR="003C66EB" w:rsidRDefault="00D96C4E">
      <w:pPr>
        <w:spacing w:before="60"/>
        <w:ind w:firstLine="450"/>
        <w:jc w:val="both"/>
      </w:pPr>
      <w:r>
        <w:rPr>
          <w:rFonts w:ascii="Arial" w:eastAsia="宋体" w:hAnsi="Arial" w:cs="Arial"/>
          <w:color w:val="000000"/>
          <w:sz w:val="20"/>
          <w:szCs w:val="20"/>
        </w:rPr>
        <w:t>As a result of a decision to diversify providers, one of our large asset servicing clients has advised us it expects to move a significant portion of its ETF asset</w:t>
      </w:r>
      <w:r>
        <w:rPr>
          <w:rFonts w:ascii="Arial" w:eastAsia="宋体" w:hAnsi="Arial" w:cs="Arial"/>
          <w:color w:val="000000"/>
          <w:sz w:val="20"/>
          <w:szCs w:val="20"/>
        </w:rPr>
        <w:t>s currently with State Street to one or more other providers, pending necessary approvals. We expect to continue as a significant service provider for this client after this transition and for the client to continue to be meaningful to our business. The tr</w:t>
      </w:r>
      <w:r>
        <w:rPr>
          <w:rFonts w:ascii="Arial" w:eastAsia="宋体" w:hAnsi="Arial" w:cs="Arial"/>
          <w:color w:val="000000"/>
          <w:sz w:val="20"/>
          <w:szCs w:val="20"/>
        </w:rPr>
        <w:t>ansition is expected to begin in 2022 but will principally occur in 2023. For the year ended December 31, 2020, the fee revenue associated with the transitioning assets represented approximately 1.5% of our total fee revenue. The total revenue and income i</w:t>
      </w:r>
      <w:r>
        <w:rPr>
          <w:rFonts w:ascii="Arial" w:eastAsia="宋体" w:hAnsi="Arial" w:cs="Arial"/>
          <w:color w:val="000000"/>
          <w:sz w:val="20"/>
          <w:szCs w:val="20"/>
        </w:rPr>
        <w:t>mpact of this transition will depend upon a range of factors, including potential growth in our continuing business with the client and expense reductions associated with the transition.</w:t>
      </w:r>
    </w:p>
    <w:p w14:paraId="5EA1F216" w14:textId="77777777" w:rsidR="003C66EB" w:rsidRDefault="00D96C4E">
      <w:pPr>
        <w:ind w:firstLine="450"/>
        <w:jc w:val="right"/>
      </w:pPr>
      <w:r>
        <w:rPr>
          <w:rFonts w:ascii="Arial" w:eastAsia="宋体" w:hAnsi="Arial" w:cs="Arial"/>
          <w:color w:val="000000"/>
          <w:sz w:val="18"/>
          <w:szCs w:val="18"/>
        </w:rPr>
        <w:t>State Street Corporation | 18</w:t>
      </w:r>
    </w:p>
    <w:p w14:paraId="5EA1F217" w14:textId="77777777" w:rsidR="003C66EB" w:rsidRDefault="003C66EB">
      <w:pPr>
        <w:ind w:firstLine="450"/>
        <w:jc w:val="center"/>
      </w:pPr>
    </w:p>
    <w:p w14:paraId="5EA1F218" w14:textId="77777777" w:rsidR="003C66EB" w:rsidRDefault="00D96C4E">
      <w:r>
        <w:pict w14:anchorId="5EA287C2">
          <v:rect id="_x0000_i1042" style="width:415.3pt;height:1.5pt" o:hralign="center" o:hrstd="t" o:hr="t" fillcolor="#a0a0a0" stroked="f"/>
        </w:pict>
      </w:r>
    </w:p>
    <w:p w14:paraId="5EA1F219" w14:textId="77777777" w:rsidR="003C66EB" w:rsidRDefault="00D96C4E">
      <w:pPr>
        <w:ind w:firstLine="450"/>
        <w:jc w:val="center"/>
      </w:pPr>
      <w:r>
        <w:rPr>
          <w:rFonts w:ascii="Arial" w:eastAsia="宋体" w:hAnsi="Arial" w:cs="Arial"/>
          <w:b/>
          <w:bCs/>
          <w:color w:val="000000"/>
          <w:sz w:val="20"/>
          <w:szCs w:val="20"/>
        </w:rPr>
        <w:t>MANAGEMENT’S DISCUSSION AND ANALYSIS</w:t>
      </w:r>
      <w:r>
        <w:rPr>
          <w:rFonts w:ascii="Arial" w:eastAsia="宋体" w:hAnsi="Arial" w:cs="Arial"/>
          <w:b/>
          <w:bCs/>
          <w:color w:val="000000"/>
          <w:sz w:val="20"/>
          <w:szCs w:val="20"/>
        </w:rPr>
        <w:t xml:space="preserve"> OF FINANCIAL CONDITION</w:t>
      </w:r>
    </w:p>
    <w:p w14:paraId="5EA1F21A" w14:textId="77777777" w:rsidR="003C66EB" w:rsidRDefault="00D96C4E">
      <w:pPr>
        <w:ind w:firstLine="450"/>
        <w:jc w:val="center"/>
      </w:pPr>
      <w:r>
        <w:rPr>
          <w:rFonts w:ascii="Arial" w:eastAsia="宋体" w:hAnsi="Arial" w:cs="Arial"/>
          <w:b/>
          <w:bCs/>
          <w:color w:val="000000"/>
          <w:sz w:val="20"/>
          <w:szCs w:val="20"/>
        </w:rPr>
        <w:t>AND RESULTS OF OPERATIONS</w:t>
      </w:r>
    </w:p>
    <w:p w14:paraId="5EA1F21B"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about the impact of worldwide equity and fixed-income valuations on our fee revenue, as well as other key drivers of our servicing fee revenue, refer to "Fee Revenue" in "Consolid</w:t>
      </w:r>
      <w:r>
        <w:rPr>
          <w:rFonts w:ascii="Arial" w:eastAsia="宋体" w:hAnsi="Arial" w:cs="Arial"/>
          <w:color w:val="000000"/>
          <w:sz w:val="20"/>
          <w:szCs w:val="20"/>
        </w:rPr>
        <w:t>ated Results of Operations" included in this Management's Discussion and Analysis.</w:t>
      </w:r>
    </w:p>
    <w:p w14:paraId="5EA1F21C" w14:textId="77777777" w:rsidR="003C66EB" w:rsidRDefault="00D96C4E">
      <w:pPr>
        <w:spacing w:before="60"/>
        <w:jc w:val="both"/>
        <w:textAlignment w:val="top"/>
      </w:pPr>
      <w:r>
        <w:rPr>
          <w:rFonts w:ascii="Arial" w:eastAsia="宋体" w:hAnsi="Arial" w:cs="Arial"/>
          <w:b/>
          <w:bCs/>
          <w:i/>
          <w:iCs/>
          <w:color w:val="000000"/>
          <w:sz w:val="20"/>
          <w:szCs w:val="20"/>
        </w:rPr>
        <w:t>Foreign Exchange Trading Services</w:t>
      </w:r>
    </w:p>
    <w:p w14:paraId="5EA1F21D" w14:textId="77777777" w:rsidR="003C66EB" w:rsidRDefault="00D96C4E">
      <w:pPr>
        <w:spacing w:before="60"/>
        <w:ind w:firstLine="450"/>
        <w:jc w:val="both"/>
        <w:textAlignment w:val="top"/>
      </w:pPr>
      <w:r>
        <w:rPr>
          <w:rFonts w:ascii="Arial" w:eastAsia="宋体" w:hAnsi="Arial" w:cs="Arial"/>
          <w:color w:val="000000"/>
          <w:sz w:val="20"/>
          <w:szCs w:val="20"/>
        </w:rPr>
        <w:t>Foreign exchange trading services revenue, as presented in Table 10: Investment Servicing Line of Business Results, decreased 23% in the fi</w:t>
      </w:r>
      <w:r>
        <w:rPr>
          <w:rFonts w:ascii="Arial" w:eastAsia="宋体" w:hAnsi="Arial" w:cs="Arial"/>
          <w:color w:val="000000"/>
          <w:sz w:val="20"/>
          <w:szCs w:val="20"/>
        </w:rPr>
        <w:t>rst quarter of 2021 compared to the same period in 2020, primarily due to lower FX volatility as compared to the levels seen at the beginning of the COVID-19 pandemic in the first quarter of 2020, partially offset by higher client FX volumes. Foreign excha</w:t>
      </w:r>
      <w:r>
        <w:rPr>
          <w:rFonts w:ascii="Arial" w:eastAsia="宋体" w:hAnsi="Arial" w:cs="Arial"/>
          <w:color w:val="000000"/>
          <w:sz w:val="20"/>
          <w:szCs w:val="20"/>
        </w:rPr>
        <w:t xml:space="preserve">nge trading services is composed of revenue generated by FX trading and revenue generated by brokerage and other trading services, which made up 70% and 30%, respectively, of foreign exchange trading services revenue in the first quarter of 2021, compared </w:t>
      </w:r>
      <w:r>
        <w:rPr>
          <w:rFonts w:ascii="Arial" w:eastAsia="宋体" w:hAnsi="Arial" w:cs="Arial"/>
          <w:color w:val="000000"/>
          <w:sz w:val="20"/>
          <w:szCs w:val="20"/>
        </w:rPr>
        <w:t>to 76% and 24%, respectively, in the same period in 2020.</w:t>
      </w:r>
    </w:p>
    <w:p w14:paraId="5EA1F21E" w14:textId="77777777" w:rsidR="003C66EB" w:rsidRDefault="00D96C4E">
      <w:pPr>
        <w:spacing w:before="60"/>
        <w:ind w:firstLine="450"/>
        <w:jc w:val="both"/>
        <w:textAlignment w:val="top"/>
      </w:pPr>
      <w:r>
        <w:rPr>
          <w:rFonts w:ascii="Arial" w:eastAsia="宋体" w:hAnsi="Arial" w:cs="Arial"/>
          <w:color w:val="000000"/>
          <w:sz w:val="20"/>
          <w:szCs w:val="20"/>
        </w:rPr>
        <w:t>We primarily earn FX trading revenue by acting as a principal market-maker through both "direct sales and trading” and “indirect FX trading.”</w:t>
      </w:r>
    </w:p>
    <w:p w14:paraId="5EA1F21F" w14:textId="77777777" w:rsidR="003C66EB" w:rsidRDefault="00D96C4E">
      <w:pPr>
        <w:spacing w:before="60"/>
        <w:ind w:hanging="360"/>
        <w:jc w:val="both"/>
        <w:textAlignment w:val="top"/>
      </w:pPr>
      <w:r>
        <w:rPr>
          <w:rFonts w:ascii="Arial" w:eastAsia="宋体" w:hAnsi="Arial" w:cs="Arial"/>
          <w:color w:val="000000"/>
          <w:sz w:val="20"/>
          <w:szCs w:val="20"/>
        </w:rPr>
        <w:t xml:space="preserve">•Direct sales and trading: Represent FX transactions at </w:t>
      </w:r>
      <w:r>
        <w:rPr>
          <w:rFonts w:ascii="Arial" w:eastAsia="宋体" w:hAnsi="Arial" w:cs="Arial"/>
          <w:color w:val="000000"/>
          <w:sz w:val="20"/>
          <w:szCs w:val="20"/>
        </w:rPr>
        <w:t xml:space="preserve">negotiated rates with clients and investment managers that contact our trading desk directly. These principal market-making activities include transactions for funds serviced by third party custodians or prime brokers, as well as those funds under custody </w:t>
      </w:r>
      <w:r>
        <w:rPr>
          <w:rFonts w:ascii="Arial" w:eastAsia="宋体" w:hAnsi="Arial" w:cs="Arial"/>
          <w:color w:val="000000"/>
          <w:sz w:val="20"/>
          <w:szCs w:val="20"/>
        </w:rPr>
        <w:t>with us.</w:t>
      </w:r>
    </w:p>
    <w:p w14:paraId="5EA1F220" w14:textId="77777777" w:rsidR="003C66EB" w:rsidRDefault="00D96C4E">
      <w:pPr>
        <w:spacing w:before="60"/>
        <w:ind w:hanging="360"/>
        <w:jc w:val="both"/>
        <w:textAlignment w:val="top"/>
      </w:pPr>
      <w:r>
        <w:rPr>
          <w:rFonts w:ascii="Arial" w:eastAsia="宋体" w:hAnsi="Arial" w:cs="Arial"/>
          <w:color w:val="000000"/>
          <w:sz w:val="20"/>
          <w:szCs w:val="20"/>
        </w:rPr>
        <w:t xml:space="preserve">•Indirect FX trading: Represents FX transactions with clients, for which we are the funds' custodian, or their investment managers, routed to our FX desk through our asset-servicing operation. We execute indirect FX trades as a principal at rates </w:t>
      </w:r>
      <w:r>
        <w:rPr>
          <w:rFonts w:ascii="Arial" w:eastAsia="宋体" w:hAnsi="Arial" w:cs="Arial"/>
          <w:color w:val="000000"/>
          <w:sz w:val="20"/>
          <w:szCs w:val="20"/>
        </w:rPr>
        <w:t>disclosed to our clients.</w:t>
      </w:r>
    </w:p>
    <w:p w14:paraId="5EA1F221" w14:textId="77777777" w:rsidR="003C66EB" w:rsidRDefault="00D96C4E">
      <w:pPr>
        <w:spacing w:before="60"/>
        <w:ind w:firstLine="450"/>
        <w:jc w:val="both"/>
        <w:textAlignment w:val="top"/>
      </w:pPr>
      <w:r>
        <w:rPr>
          <w:rFonts w:ascii="Arial" w:eastAsia="宋体" w:hAnsi="Arial" w:cs="Arial"/>
          <w:color w:val="000000"/>
          <w:sz w:val="20"/>
          <w:szCs w:val="20"/>
        </w:rPr>
        <w:t>Our FX trading revenue is influenced by multiple factors, including: the volume and type of client FX transactions and related spreads; currency volatility, reflecting market conditions; and our management of exchange rate, intere</w:t>
      </w:r>
      <w:r>
        <w:rPr>
          <w:rFonts w:ascii="Arial" w:eastAsia="宋体" w:hAnsi="Arial" w:cs="Arial"/>
          <w:color w:val="000000"/>
          <w:sz w:val="20"/>
          <w:szCs w:val="20"/>
        </w:rPr>
        <w:t xml:space="preserve">st rate and other market risks associated with our FX activities. The relative impact of these factors on our total FX trading revenues often differs from period to period. For example, assuming all other factors remain constant, increases or decreases in </w:t>
      </w:r>
      <w:r>
        <w:rPr>
          <w:rFonts w:ascii="Arial" w:eastAsia="宋体" w:hAnsi="Arial" w:cs="Arial"/>
          <w:color w:val="000000"/>
          <w:sz w:val="20"/>
          <w:szCs w:val="20"/>
        </w:rPr>
        <w:t xml:space="preserve">volumes or bid-offer spreads across product mix tend to result in increases or decreases, as the case may be, in client-related FX revenue. </w:t>
      </w:r>
    </w:p>
    <w:p w14:paraId="5EA1F222" w14:textId="77777777" w:rsidR="003C66EB" w:rsidRDefault="00D96C4E">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w:t>
      </w:r>
      <w:r>
        <w:rPr>
          <w:rFonts w:ascii="Arial" w:eastAsia="宋体" w:hAnsi="Arial" w:cs="Arial"/>
          <w:color w:val="000000"/>
          <w:sz w:val="20"/>
          <w:szCs w:val="20"/>
        </w:rPr>
        <w:t xml:space="preserve">t affiliated with us, transition from indirect FX trading to either direct sales and trading </w:t>
      </w:r>
    </w:p>
    <w:p w14:paraId="5EA1F223" w14:textId="77777777" w:rsidR="003C66EB" w:rsidRDefault="00D96C4E">
      <w:pPr>
        <w:spacing w:before="60"/>
        <w:jc w:val="both"/>
        <w:textAlignment w:val="top"/>
      </w:pPr>
      <w:r>
        <w:rPr>
          <w:rFonts w:ascii="Arial" w:eastAsia="宋体" w:hAnsi="Arial" w:cs="Arial"/>
          <w:color w:val="000000"/>
          <w:sz w:val="20"/>
          <w:szCs w:val="20"/>
        </w:rPr>
        <w:t>execution, including our “Street FX” service, or to one of our electronic trading platforms. Street FX, in which we continue to act as a principal market-maker, e</w:t>
      </w:r>
      <w:r>
        <w:rPr>
          <w:rFonts w:ascii="Arial" w:eastAsia="宋体" w:hAnsi="Arial" w:cs="Arial"/>
          <w:color w:val="000000"/>
          <w:sz w:val="20"/>
          <w:szCs w:val="20"/>
        </w:rPr>
        <w:t>nables our clients to define their FX execution strategy and automate the FX trade execution process, both for funds under custody with us as well as those under custody at another bank.</w:t>
      </w:r>
    </w:p>
    <w:p w14:paraId="5EA1F224" w14:textId="77777777" w:rsidR="003C66EB" w:rsidRDefault="00D96C4E">
      <w:pPr>
        <w:spacing w:before="60"/>
        <w:ind w:firstLine="450"/>
        <w:jc w:val="both"/>
        <w:textAlignment w:val="top"/>
      </w:pPr>
      <w:r>
        <w:rPr>
          <w:rFonts w:ascii="Arial" w:eastAsia="宋体" w:hAnsi="Arial" w:cs="Arial"/>
          <w:color w:val="000000"/>
          <w:sz w:val="20"/>
          <w:szCs w:val="20"/>
        </w:rPr>
        <w:t>We also earn foreign exchange trading services revenue through "elect</w:t>
      </w:r>
      <w:r>
        <w:rPr>
          <w:rFonts w:ascii="Arial" w:eastAsia="宋体" w:hAnsi="Arial" w:cs="Arial"/>
          <w:color w:val="000000"/>
          <w:sz w:val="20"/>
          <w:szCs w:val="20"/>
        </w:rPr>
        <w:t xml:space="preserve">ronic FX services" and "other trading, transition management and brokerage revenue." </w:t>
      </w:r>
    </w:p>
    <w:p w14:paraId="5EA1F225" w14:textId="77777777" w:rsidR="003C66EB" w:rsidRDefault="00D96C4E">
      <w:pPr>
        <w:spacing w:before="60"/>
        <w:ind w:hanging="360"/>
        <w:jc w:val="both"/>
        <w:textAlignment w:val="top"/>
      </w:pPr>
      <w:r>
        <w:rPr>
          <w:rFonts w:ascii="Arial" w:eastAsia="宋体" w:hAnsi="Arial" w:cs="Arial"/>
          <w:color w:val="000000"/>
          <w:sz w:val="20"/>
          <w:szCs w:val="20"/>
        </w:rPr>
        <w:t xml:space="preserve">•Electronic FX services: Our clients may choose to execute FX transactions through one of our electronic trading platforms. These transactions generate revenue through a </w:t>
      </w:r>
      <w:r>
        <w:rPr>
          <w:rFonts w:ascii="Arial" w:eastAsia="宋体" w:hAnsi="Arial" w:cs="Arial"/>
          <w:color w:val="000000"/>
          <w:sz w:val="20"/>
          <w:szCs w:val="20"/>
        </w:rPr>
        <w:t>“click” fee.</w:t>
      </w:r>
    </w:p>
    <w:p w14:paraId="5EA1F226" w14:textId="77777777" w:rsidR="003C66EB" w:rsidRDefault="00D96C4E">
      <w:pPr>
        <w:spacing w:before="60" w:after="60"/>
        <w:ind w:hanging="360"/>
        <w:jc w:val="both"/>
        <w:textAlignment w:val="top"/>
      </w:pPr>
      <w:r>
        <w:rPr>
          <w:rFonts w:ascii="Arial" w:eastAsia="宋体" w:hAnsi="Arial" w:cs="Arial"/>
          <w:color w:val="000000"/>
          <w:sz w:val="20"/>
          <w:szCs w:val="20"/>
        </w:rPr>
        <w:t xml:space="preserve">•Other trading, transition management and brokerage revenue: As our clients look to us to enhance and preserve portfolio values, they may choose to utilize our Transition or Currency Management capabilities or transact with our Equity </w:t>
      </w:r>
      <w:r>
        <w:rPr>
          <w:rFonts w:ascii="Arial" w:eastAsia="宋体" w:hAnsi="Arial" w:cs="Arial"/>
          <w:color w:val="000000"/>
          <w:sz w:val="20"/>
          <w:szCs w:val="20"/>
        </w:rPr>
        <w:t>Trade execution group. These transactions, which are not limited to foreign exchange, generate revenue via commissions charged for trades transacted during the management of these portfolios.</w:t>
      </w:r>
    </w:p>
    <w:p w14:paraId="5EA1F227" w14:textId="77777777" w:rsidR="003C66EB" w:rsidRDefault="00D96C4E">
      <w:pPr>
        <w:spacing w:before="60"/>
        <w:jc w:val="both"/>
        <w:textAlignment w:val="top"/>
      </w:pPr>
      <w:r>
        <w:rPr>
          <w:rFonts w:ascii="Arial" w:eastAsia="宋体" w:hAnsi="Arial" w:cs="Arial"/>
          <w:b/>
          <w:bCs/>
          <w:i/>
          <w:iCs/>
          <w:color w:val="000000"/>
          <w:sz w:val="20"/>
          <w:szCs w:val="20"/>
        </w:rPr>
        <w:t>Securities Finance</w:t>
      </w:r>
    </w:p>
    <w:p w14:paraId="5EA1F228" w14:textId="77777777" w:rsidR="003C66EB" w:rsidRDefault="00D96C4E">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5EA1F229" w14:textId="77777777" w:rsidR="003C66EB" w:rsidRDefault="00D96C4E">
      <w:pPr>
        <w:spacing w:before="60"/>
        <w:ind w:hanging="360"/>
        <w:jc w:val="both"/>
        <w:textAlignment w:val="top"/>
      </w:pPr>
      <w:r>
        <w:rPr>
          <w:rFonts w:ascii="Arial" w:eastAsia="宋体" w:hAnsi="Arial" w:cs="Arial"/>
          <w:color w:val="000000"/>
          <w:sz w:val="20"/>
          <w:szCs w:val="20"/>
        </w:rPr>
        <w:t>(1) an agency lending program for State Street Global Advisors managed investment funds with a broad range of investment objectives, which we refer to as the State Street Global Advisors lendin</w:t>
      </w:r>
      <w:r>
        <w:rPr>
          <w:rFonts w:ascii="Arial" w:eastAsia="宋体" w:hAnsi="Arial" w:cs="Arial"/>
          <w:color w:val="000000"/>
          <w:sz w:val="20"/>
          <w:szCs w:val="20"/>
        </w:rPr>
        <w:t xml:space="preserve">g funds; </w:t>
      </w:r>
    </w:p>
    <w:p w14:paraId="5EA1F22A" w14:textId="77777777" w:rsidR="003C66EB" w:rsidRDefault="00D96C4E">
      <w:pPr>
        <w:spacing w:before="60"/>
        <w:ind w:hanging="360"/>
        <w:jc w:val="both"/>
        <w:textAlignment w:val="top"/>
      </w:pPr>
      <w:r>
        <w:rPr>
          <w:rFonts w:ascii="Arial" w:eastAsia="宋体" w:hAnsi="Arial" w:cs="Arial"/>
          <w:color w:val="000000"/>
          <w:sz w:val="20"/>
          <w:szCs w:val="20"/>
        </w:rPr>
        <w:t xml:space="preserve">(2) an agency lending program for third-party investment managers and asset owners, which we refer to as the agency lending funds; and </w:t>
      </w:r>
    </w:p>
    <w:p w14:paraId="5EA1F22B" w14:textId="77777777" w:rsidR="003C66EB" w:rsidRDefault="00D96C4E">
      <w:pPr>
        <w:spacing w:before="60"/>
        <w:ind w:hanging="360"/>
        <w:jc w:val="both"/>
        <w:textAlignment w:val="top"/>
      </w:pPr>
      <w:r>
        <w:rPr>
          <w:rFonts w:ascii="Arial" w:eastAsia="宋体" w:hAnsi="Arial" w:cs="Arial"/>
          <w:color w:val="000000"/>
          <w:sz w:val="20"/>
          <w:szCs w:val="20"/>
        </w:rPr>
        <w:t xml:space="preserve">(3) security lending transactions which we enter into as principal, which we refer to as our enhanced custody </w:t>
      </w:r>
      <w:r>
        <w:rPr>
          <w:rFonts w:ascii="Arial" w:eastAsia="宋体" w:hAnsi="Arial" w:cs="Arial"/>
          <w:color w:val="000000"/>
          <w:sz w:val="20"/>
          <w:szCs w:val="20"/>
        </w:rPr>
        <w:t>business.</w:t>
      </w:r>
    </w:p>
    <w:p w14:paraId="5EA1F22C" w14:textId="77777777" w:rsidR="003C66EB" w:rsidRDefault="00D96C4E">
      <w:pPr>
        <w:spacing w:before="60"/>
        <w:ind w:firstLine="450"/>
        <w:jc w:val="both"/>
        <w:textAlignment w:val="top"/>
      </w:pPr>
      <w:r>
        <w:rPr>
          <w:rFonts w:ascii="Arial" w:eastAsia="宋体" w:hAnsi="Arial" w:cs="Arial"/>
          <w:color w:val="000000"/>
          <w:sz w:val="20"/>
          <w:szCs w:val="20"/>
        </w:rPr>
        <w:t>Securities finance revenue earned from our agency lending activities, which is composed of our split of both the spreads related to cash collateral and the fees related to non-cash collateral, is principally a function of the volume of securities</w:t>
      </w:r>
      <w:r>
        <w:rPr>
          <w:rFonts w:ascii="Arial" w:eastAsia="宋体" w:hAnsi="Arial" w:cs="Arial"/>
          <w:color w:val="000000"/>
          <w:sz w:val="20"/>
          <w:szCs w:val="20"/>
        </w:rPr>
        <w:t xml:space="preserve"> on loan, the interest rate spreads and fees earned on the underlying collateral and our share of the fee split.</w:t>
      </w:r>
    </w:p>
    <w:p w14:paraId="5EA1F22D" w14:textId="77777777" w:rsidR="003C66EB" w:rsidRDefault="00D96C4E">
      <w:pPr>
        <w:spacing w:before="60"/>
        <w:ind w:firstLine="450"/>
        <w:jc w:val="both"/>
        <w:textAlignment w:val="top"/>
      </w:pPr>
      <w:r>
        <w:rPr>
          <w:rFonts w:ascii="Arial" w:eastAsia="宋体" w:hAnsi="Arial" w:cs="Arial"/>
          <w:color w:val="000000"/>
          <w:sz w:val="20"/>
          <w:szCs w:val="20"/>
        </w:rPr>
        <w:t>As principal, our enhanced custody business borrows securities from the lending client or other market participants and then lends such securit</w:t>
      </w:r>
      <w:r>
        <w:rPr>
          <w:rFonts w:ascii="Arial" w:eastAsia="宋体" w:hAnsi="Arial" w:cs="Arial"/>
          <w:color w:val="000000"/>
          <w:sz w:val="20"/>
          <w:szCs w:val="20"/>
        </w:rPr>
        <w:t xml:space="preserve">ies to the subsequent borrower, either our client or a broker/dealer. We act as principal when the lending client is unable to, or elects not to, transact directly with the </w:t>
      </w:r>
    </w:p>
    <w:p w14:paraId="5EA1F22E" w14:textId="77777777" w:rsidR="003C66EB" w:rsidRDefault="00D96C4E">
      <w:pPr>
        <w:ind w:firstLine="450"/>
        <w:jc w:val="right"/>
      </w:pPr>
      <w:r>
        <w:rPr>
          <w:rFonts w:ascii="Arial" w:eastAsia="宋体" w:hAnsi="Arial" w:cs="Arial"/>
          <w:color w:val="000000"/>
          <w:sz w:val="18"/>
          <w:szCs w:val="18"/>
        </w:rPr>
        <w:t>State Street Corporation | 19</w:t>
      </w:r>
    </w:p>
    <w:p w14:paraId="5EA1F22F" w14:textId="77777777" w:rsidR="003C66EB" w:rsidRDefault="003C66EB">
      <w:pPr>
        <w:ind w:firstLine="450"/>
        <w:jc w:val="center"/>
      </w:pPr>
    </w:p>
    <w:p w14:paraId="5EA1F230" w14:textId="77777777" w:rsidR="003C66EB" w:rsidRDefault="00D96C4E">
      <w:r>
        <w:pict w14:anchorId="5EA287C3">
          <v:rect id="_x0000_i1043" style="width:415.3pt;height:1.5pt" o:hralign="center" o:hrstd="t" o:hr="t" fillcolor="#a0a0a0" stroked="f"/>
        </w:pict>
      </w:r>
    </w:p>
    <w:p w14:paraId="5EA1F231" w14:textId="77777777" w:rsidR="003C66EB" w:rsidRDefault="00D96C4E">
      <w:pPr>
        <w:ind w:firstLine="450"/>
        <w:jc w:val="center"/>
      </w:pPr>
      <w:r>
        <w:rPr>
          <w:rFonts w:ascii="Arial" w:eastAsia="宋体" w:hAnsi="Arial" w:cs="Arial"/>
          <w:b/>
          <w:bCs/>
          <w:color w:val="000000"/>
          <w:sz w:val="20"/>
          <w:szCs w:val="20"/>
        </w:rPr>
        <w:t>MANAGEMENT’S DISCUSSION AND ANALYSIS OF FINANCIAL</w:t>
      </w:r>
      <w:r>
        <w:rPr>
          <w:rFonts w:ascii="Arial" w:eastAsia="宋体" w:hAnsi="Arial" w:cs="Arial"/>
          <w:b/>
          <w:bCs/>
          <w:color w:val="000000"/>
          <w:sz w:val="20"/>
          <w:szCs w:val="20"/>
        </w:rPr>
        <w:t xml:space="preserve"> CONDITION</w:t>
      </w:r>
    </w:p>
    <w:p w14:paraId="5EA1F232" w14:textId="77777777" w:rsidR="003C66EB" w:rsidRDefault="00D96C4E">
      <w:pPr>
        <w:ind w:firstLine="450"/>
        <w:jc w:val="center"/>
      </w:pPr>
      <w:r>
        <w:rPr>
          <w:rFonts w:ascii="Arial" w:eastAsia="宋体" w:hAnsi="Arial" w:cs="Arial"/>
          <w:b/>
          <w:bCs/>
          <w:color w:val="000000"/>
          <w:sz w:val="20"/>
          <w:szCs w:val="20"/>
        </w:rPr>
        <w:t>AND RESULTS OF OPERATIONS</w:t>
      </w:r>
    </w:p>
    <w:p w14:paraId="5EA1F233" w14:textId="77777777" w:rsidR="003C66EB" w:rsidRDefault="00D96C4E">
      <w:pPr>
        <w:spacing w:before="60"/>
        <w:jc w:val="both"/>
        <w:textAlignment w:val="top"/>
      </w:pPr>
      <w:r>
        <w:rPr>
          <w:rFonts w:ascii="Arial" w:eastAsia="宋体" w:hAnsi="Arial" w:cs="Arial"/>
          <w:color w:val="000000"/>
          <w:sz w:val="20"/>
          <w:szCs w:val="20"/>
        </w:rPr>
        <w:t>market and execute the transaction and furnish the securities. In our role as principal, we provide support to the transaction through our credit rating. While we source a significant proportion of the securities furnis</w:t>
      </w:r>
      <w:r>
        <w:rPr>
          <w:rFonts w:ascii="Arial" w:eastAsia="宋体" w:hAnsi="Arial" w:cs="Arial"/>
          <w:color w:val="000000"/>
          <w:sz w:val="20"/>
          <w:szCs w:val="20"/>
        </w:rPr>
        <w:t>hed by us in our role as principal from third parties, we have the ability to source securities through assets under custody from clients who have designated us as an eligible borrower.</w:t>
      </w:r>
    </w:p>
    <w:p w14:paraId="5EA1F234" w14:textId="77777777" w:rsidR="003C66EB" w:rsidRDefault="00D96C4E">
      <w:pPr>
        <w:spacing w:before="60"/>
        <w:ind w:firstLine="450"/>
        <w:jc w:val="both"/>
        <w:textAlignment w:val="top"/>
      </w:pPr>
      <w:r>
        <w:rPr>
          <w:rFonts w:ascii="Arial" w:eastAsia="宋体" w:hAnsi="Arial" w:cs="Arial"/>
          <w:color w:val="000000"/>
          <w:sz w:val="20"/>
          <w:szCs w:val="20"/>
        </w:rPr>
        <w:t>Securities finance revenue, as presented in Table 10: Investment Servi</w:t>
      </w:r>
      <w:r>
        <w:rPr>
          <w:rFonts w:ascii="Arial" w:eastAsia="宋体" w:hAnsi="Arial" w:cs="Arial"/>
          <w:color w:val="000000"/>
          <w:sz w:val="20"/>
          <w:szCs w:val="20"/>
        </w:rPr>
        <w:t>cing Line of Business Results, increased 7% in the first quarter of 2021 compared to the same period in 2020, driven by higher agency lending and enhanced custody balances.</w:t>
      </w:r>
    </w:p>
    <w:p w14:paraId="5EA1F235" w14:textId="77777777" w:rsidR="003C66EB" w:rsidRDefault="00D96C4E">
      <w:pPr>
        <w:spacing w:before="60"/>
        <w:ind w:firstLine="450"/>
        <w:jc w:val="both"/>
        <w:textAlignment w:val="top"/>
      </w:pPr>
      <w:r>
        <w:rPr>
          <w:rFonts w:ascii="Arial" w:eastAsia="宋体" w:hAnsi="Arial" w:cs="Arial"/>
          <w:color w:val="000000"/>
          <w:sz w:val="20"/>
          <w:szCs w:val="20"/>
        </w:rPr>
        <w:t xml:space="preserve">Market influences may continue to affect client demand for securities finance, and </w:t>
      </w:r>
      <w:r>
        <w:rPr>
          <w:rFonts w:ascii="Arial" w:eastAsia="宋体" w:hAnsi="Arial" w:cs="Arial"/>
          <w:color w:val="000000"/>
          <w:sz w:val="20"/>
          <w:szCs w:val="20"/>
        </w:rPr>
        <w:t>as a result our revenue from, and the profitability of, our securities lending activities in future periods. In addition, the constantly evolving regulatory environment, including revised or proposed capital and liquidity standards, interpretations of thos</w:t>
      </w:r>
      <w:r>
        <w:rPr>
          <w:rFonts w:ascii="Arial" w:eastAsia="宋体" w:hAnsi="Arial" w:cs="Arial"/>
          <w:color w:val="000000"/>
          <w:sz w:val="20"/>
          <w:szCs w:val="20"/>
        </w:rPr>
        <w:t xml:space="preserve">e standards, and our own balance sheet management activities, may influence modifications to the way in which we deliver our agency lending or enhanced custody businesses, the volume of our securities lending activity and related revenue and profitability </w:t>
      </w:r>
      <w:r>
        <w:rPr>
          <w:rFonts w:ascii="Arial" w:eastAsia="宋体" w:hAnsi="Arial" w:cs="Arial"/>
          <w:color w:val="000000"/>
          <w:sz w:val="20"/>
          <w:szCs w:val="20"/>
        </w:rPr>
        <w:t>in future periods.</w:t>
      </w:r>
    </w:p>
    <w:p w14:paraId="5EA1F236" w14:textId="77777777" w:rsidR="003C66EB" w:rsidRDefault="00D96C4E">
      <w:pPr>
        <w:spacing w:before="60"/>
        <w:jc w:val="both"/>
        <w:textAlignment w:val="top"/>
      </w:pPr>
      <w:r>
        <w:rPr>
          <w:rFonts w:ascii="Arial" w:eastAsia="宋体" w:hAnsi="Arial" w:cs="Arial"/>
          <w:b/>
          <w:bCs/>
          <w:i/>
          <w:iCs/>
          <w:color w:val="000000"/>
          <w:sz w:val="20"/>
          <w:szCs w:val="20"/>
        </w:rPr>
        <w:t>Software and Processing Fees</w:t>
      </w:r>
    </w:p>
    <w:p w14:paraId="5EA1F237" w14:textId="77777777" w:rsidR="003C66EB" w:rsidRDefault="00D96C4E">
      <w:pPr>
        <w:spacing w:before="60"/>
        <w:ind w:firstLine="450"/>
        <w:jc w:val="both"/>
        <w:textAlignment w:val="top"/>
      </w:pPr>
      <w:r>
        <w:rPr>
          <w:rFonts w:ascii="Arial" w:eastAsia="宋体" w:hAnsi="Arial" w:cs="Arial"/>
          <w:color w:val="000000"/>
          <w:sz w:val="20"/>
          <w:szCs w:val="20"/>
        </w:rPr>
        <w:t xml:space="preserve">Software and processing fees revenue includes diverse types of fees and revenue, including fees from software licensing and maintenance, fees from our structured products business and other revenue including </w:t>
      </w:r>
      <w:r>
        <w:rPr>
          <w:rFonts w:ascii="Arial" w:eastAsia="宋体" w:hAnsi="Arial" w:cs="Arial"/>
          <w:color w:val="000000"/>
          <w:sz w:val="20"/>
          <w:szCs w:val="20"/>
        </w:rPr>
        <w:t>equity income from our joint venture investments, gains and losses on sales of other assets, market-related adjustments and income associated with certain tax-advantaged investments.</w:t>
      </w:r>
    </w:p>
    <w:p w14:paraId="5EA1F238" w14:textId="77777777" w:rsidR="003C66EB" w:rsidRDefault="00D96C4E">
      <w:pPr>
        <w:spacing w:before="60"/>
        <w:ind w:firstLine="450"/>
        <w:jc w:val="both"/>
        <w:textAlignment w:val="top"/>
      </w:pPr>
      <w:r>
        <w:rPr>
          <w:rFonts w:ascii="Arial" w:eastAsia="宋体" w:hAnsi="Arial" w:cs="Arial"/>
          <w:color w:val="000000"/>
          <w:sz w:val="20"/>
          <w:szCs w:val="20"/>
        </w:rPr>
        <w:t>Software and processing fees revenue, presented in Table 10: Investment S</w:t>
      </w:r>
      <w:r>
        <w:rPr>
          <w:rFonts w:ascii="Arial" w:eastAsia="宋体" w:hAnsi="Arial" w:cs="Arial"/>
          <w:color w:val="000000"/>
          <w:sz w:val="20"/>
          <w:szCs w:val="20"/>
        </w:rPr>
        <w:t>ervicing Line of Business Results, increased 26% in the first quarter of 2021 compared to the same period in 2020 and reflects approximately $87 million from CRD in the first quarter of 2021, compared to approximately $91 million from CRD in the same perio</w:t>
      </w:r>
      <w:r>
        <w:rPr>
          <w:rFonts w:ascii="Arial" w:eastAsia="宋体" w:hAnsi="Arial" w:cs="Arial"/>
          <w:color w:val="000000"/>
          <w:sz w:val="20"/>
          <w:szCs w:val="20"/>
        </w:rPr>
        <w:t>d in 2020. Revenue related to the front office solutions provided by CRD is primarily driven by the sale of term software licenses and software as service arrangements, including professional services such as consulting and implementation services, softwar</w:t>
      </w:r>
      <w:r>
        <w:rPr>
          <w:rFonts w:ascii="Arial" w:eastAsia="宋体" w:hAnsi="Arial" w:cs="Arial"/>
          <w:color w:val="000000"/>
          <w:sz w:val="20"/>
          <w:szCs w:val="20"/>
        </w:rPr>
        <w:t>e support and maintenance. Approximately 50%-70% of revenue associated with a sale of software to be installed on-premises is recognized at a point in time when the customer benefits from obtaining access to and use of the software license, with the percen</w:t>
      </w:r>
      <w:r>
        <w:rPr>
          <w:rFonts w:ascii="Arial" w:eastAsia="宋体" w:hAnsi="Arial" w:cs="Arial"/>
          <w:color w:val="000000"/>
          <w:sz w:val="20"/>
          <w:szCs w:val="20"/>
        </w:rPr>
        <w:t xml:space="preserve">tage </w:t>
      </w:r>
    </w:p>
    <w:p w14:paraId="5EA1F239" w14:textId="77777777" w:rsidR="003C66EB" w:rsidRDefault="00D96C4E">
      <w:pPr>
        <w:spacing w:before="60"/>
        <w:jc w:val="both"/>
        <w:textAlignment w:val="top"/>
      </w:pPr>
      <w:r>
        <w:rPr>
          <w:rFonts w:ascii="Arial" w:eastAsia="宋体" w:hAnsi="Arial" w:cs="Arial"/>
          <w:color w:val="000000"/>
          <w:sz w:val="20"/>
          <w:szCs w:val="20"/>
        </w:rPr>
        <w:t>varying based on the length of the contract and other contractual terms. The remainder of revenue for on-premise installations is recognized over the length of the contract as maintenance and other services are provided. Upon renewal of an on-premise</w:t>
      </w:r>
      <w:r>
        <w:rPr>
          <w:rFonts w:ascii="Arial" w:eastAsia="宋体" w:hAnsi="Arial" w:cs="Arial"/>
          <w:color w:val="000000"/>
          <w:sz w:val="20"/>
          <w:szCs w:val="20"/>
        </w:rPr>
        <w:t xml:space="preserve">s software contract, the same pattern of revenue recognition is followed with 50%-70% recognized upon renewal and the balance recognized over the term of the contract. Revenue for a Software as a Service (SaaS) related arrangement, where the customer does </w:t>
      </w:r>
      <w:r>
        <w:rPr>
          <w:rFonts w:ascii="Arial" w:eastAsia="宋体" w:hAnsi="Arial" w:cs="Arial"/>
          <w:color w:val="000000"/>
          <w:sz w:val="20"/>
          <w:szCs w:val="20"/>
        </w:rPr>
        <w:t>not take possession of the software, is recognized over the term of the contract as services are provided. Upon renewal of a SaaS arrangement, revenue continues to be recognized as services are provided under the new contract. As a result of these differen</w:t>
      </w:r>
      <w:r>
        <w:rPr>
          <w:rFonts w:ascii="Arial" w:eastAsia="宋体" w:hAnsi="Arial" w:cs="Arial"/>
          <w:color w:val="000000"/>
          <w:sz w:val="20"/>
          <w:szCs w:val="20"/>
        </w:rPr>
        <w:t>ces in how portions of CRD revenue are accounted for, CRD revenue may vary more than other business units quarter to quarter. CRD contributed approximately $90 million in total revenue in the first quarter of 2021, compared to approximately $95 million the</w:t>
      </w:r>
      <w:r>
        <w:rPr>
          <w:rFonts w:ascii="Arial" w:eastAsia="宋体" w:hAnsi="Arial" w:cs="Arial"/>
          <w:color w:val="000000"/>
          <w:sz w:val="20"/>
          <w:szCs w:val="20"/>
        </w:rPr>
        <w:t xml:space="preserve"> same period in 2020, which included in 2021 approximately $91 million in software and processing fees and $4 million in brokerage and other trading services within foreign exchange trading services. </w:t>
      </w:r>
    </w:p>
    <w:p w14:paraId="5EA1F23A" w14:textId="77777777" w:rsidR="003C66EB" w:rsidRDefault="00D96C4E">
      <w:pPr>
        <w:spacing w:before="60"/>
        <w:ind w:firstLine="450"/>
        <w:jc w:val="both"/>
        <w:textAlignment w:val="top"/>
      </w:pPr>
      <w:r>
        <w:rPr>
          <w:rFonts w:ascii="Arial" w:eastAsia="宋体" w:hAnsi="Arial" w:cs="Arial"/>
          <w:color w:val="000000"/>
          <w:sz w:val="20"/>
          <w:szCs w:val="20"/>
        </w:rPr>
        <w:t>Amortization of tax advantage investments negatively im</w:t>
      </w:r>
      <w:r>
        <w:rPr>
          <w:rFonts w:ascii="Arial" w:eastAsia="宋体" w:hAnsi="Arial" w:cs="Arial"/>
          <w:color w:val="000000"/>
          <w:sz w:val="20"/>
          <w:szCs w:val="20"/>
        </w:rPr>
        <w:t>pacted software and processing fees by approximately $26 million and $23 million in the first quarters of 2021and 2020, respectively.</w:t>
      </w:r>
    </w:p>
    <w:p w14:paraId="5EA1F23B" w14:textId="77777777" w:rsidR="003C66EB" w:rsidRDefault="00D96C4E">
      <w:pPr>
        <w:spacing w:before="60"/>
        <w:ind w:firstLine="450"/>
        <w:jc w:val="both"/>
        <w:textAlignment w:val="top"/>
      </w:pPr>
      <w:r>
        <w:rPr>
          <w:rFonts w:ascii="Arial" w:eastAsia="宋体" w:hAnsi="Arial" w:cs="Arial"/>
          <w:color w:val="000000"/>
          <w:sz w:val="20"/>
          <w:szCs w:val="20"/>
        </w:rPr>
        <w:t xml:space="preserve">In addition, FX and market-related adjustments, which also includes certain fair value adjustments, negatively impacted software and processing fees by approximately $4 million and $21 million in the first quarters of 2021 and 2020, respectively. </w:t>
      </w:r>
    </w:p>
    <w:p w14:paraId="5EA1F23C" w14:textId="77777777" w:rsidR="003C66EB" w:rsidRDefault="00D96C4E">
      <w:pPr>
        <w:spacing w:before="60"/>
        <w:jc w:val="both"/>
        <w:textAlignment w:val="top"/>
      </w:pPr>
      <w:r>
        <w:rPr>
          <w:rFonts w:ascii="Arial" w:eastAsia="宋体" w:hAnsi="Arial" w:cs="Arial"/>
          <w:b/>
          <w:bCs/>
          <w:i/>
          <w:iCs/>
          <w:color w:val="000000"/>
          <w:sz w:val="20"/>
          <w:szCs w:val="20"/>
        </w:rPr>
        <w:t>Expenses</w:t>
      </w:r>
    </w:p>
    <w:p w14:paraId="5EA1F23D" w14:textId="77777777" w:rsidR="003C66EB" w:rsidRDefault="00D96C4E">
      <w:pPr>
        <w:spacing w:before="60"/>
        <w:ind w:firstLine="450"/>
        <w:jc w:val="both"/>
        <w:textAlignment w:val="top"/>
      </w:pPr>
      <w:r>
        <w:rPr>
          <w:rFonts w:ascii="Arial" w:eastAsia="宋体" w:hAnsi="Arial" w:cs="Arial"/>
          <w:color w:val="000000"/>
          <w:sz w:val="20"/>
          <w:szCs w:val="20"/>
        </w:rPr>
        <w:t>Total expenses for Investment Servicing increased 1% in the first quarter of 2021 compared to the same period in 2020, primarily due to higher notable items and seasonal expenses. Currency translation increased expenses for Investment Servicing by 2% in t</w:t>
      </w:r>
      <w:r>
        <w:rPr>
          <w:rFonts w:ascii="Arial" w:eastAsia="宋体" w:hAnsi="Arial" w:cs="Arial"/>
          <w:color w:val="000000"/>
          <w:sz w:val="20"/>
          <w:szCs w:val="20"/>
        </w:rPr>
        <w:t>he first quarter of 2021, relative to the same period in 2020. Seasonal deferred incentive compensation expense and payroll taxes were $141 million in the first quarter of 2021 compared to $125 million in the same period in 2020. Total expenses contributed</w:t>
      </w:r>
      <w:r>
        <w:rPr>
          <w:rFonts w:ascii="Arial" w:eastAsia="宋体" w:hAnsi="Arial" w:cs="Arial"/>
          <w:color w:val="000000"/>
          <w:sz w:val="20"/>
          <w:szCs w:val="20"/>
        </w:rPr>
        <w:t xml:space="preserve"> by CRD in the first quarter of 2021 were approximately $67 million, compared to $58 million to the same period in 2020. Additional information about expenses is provided under "Expenses" in "Consolidated Results of Operations" included in this Management'</w:t>
      </w:r>
      <w:r>
        <w:rPr>
          <w:rFonts w:ascii="Arial" w:eastAsia="宋体" w:hAnsi="Arial" w:cs="Arial"/>
          <w:color w:val="000000"/>
          <w:sz w:val="20"/>
          <w:szCs w:val="20"/>
        </w:rPr>
        <w:t>s Discussion and Analysis.</w:t>
      </w:r>
    </w:p>
    <w:p w14:paraId="5EA1F23E" w14:textId="77777777" w:rsidR="003C66EB" w:rsidRDefault="00D96C4E">
      <w:pPr>
        <w:ind w:firstLine="450"/>
        <w:jc w:val="right"/>
      </w:pPr>
      <w:r>
        <w:rPr>
          <w:rFonts w:ascii="Arial" w:eastAsia="宋体" w:hAnsi="Arial" w:cs="Arial"/>
          <w:color w:val="000000"/>
          <w:sz w:val="18"/>
          <w:szCs w:val="18"/>
        </w:rPr>
        <w:t>State Street Corporation | 20</w:t>
      </w:r>
    </w:p>
    <w:p w14:paraId="5EA1F23F" w14:textId="77777777" w:rsidR="003C66EB" w:rsidRDefault="003C66EB">
      <w:pPr>
        <w:ind w:firstLine="450"/>
        <w:jc w:val="center"/>
      </w:pPr>
    </w:p>
    <w:p w14:paraId="5EA1F240" w14:textId="77777777" w:rsidR="003C66EB" w:rsidRDefault="00D96C4E">
      <w:r>
        <w:pict w14:anchorId="5EA287C4">
          <v:rect id="_x0000_i1044" style="width:415.3pt;height:1.5pt" o:hralign="center" o:hrstd="t" o:hr="t" fillcolor="#a0a0a0" stroked="f"/>
        </w:pict>
      </w:r>
    </w:p>
    <w:p w14:paraId="5EA1F241"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F242" w14:textId="77777777" w:rsidR="003C66EB" w:rsidRDefault="00D96C4E">
      <w:pPr>
        <w:ind w:firstLine="450"/>
        <w:jc w:val="center"/>
      </w:pPr>
      <w:r>
        <w:rPr>
          <w:rFonts w:ascii="Arial" w:eastAsia="宋体" w:hAnsi="Arial" w:cs="Arial"/>
          <w:b/>
          <w:bCs/>
          <w:color w:val="000000"/>
          <w:sz w:val="20"/>
          <w:szCs w:val="20"/>
        </w:rPr>
        <w:t>AND RESULTS OF OPERATIONS</w:t>
      </w:r>
    </w:p>
    <w:p w14:paraId="5EA1F243" w14:textId="77777777" w:rsidR="003C66EB" w:rsidRDefault="00D96C4E">
      <w:pPr>
        <w:spacing w:before="90"/>
        <w:jc w:val="both"/>
      </w:pPr>
      <w:r>
        <w:rPr>
          <w:rFonts w:ascii="Arial" w:eastAsia="宋体" w:hAnsi="Arial" w:cs="Arial"/>
          <w:b/>
          <w:bCs/>
          <w:color w:val="000000"/>
          <w:sz w:val="20"/>
          <w:szCs w:val="20"/>
        </w:rPr>
        <w:t>Investment Management</w:t>
      </w:r>
    </w:p>
    <w:tbl>
      <w:tblPr>
        <w:tblW w:w="4963" w:type="pct"/>
        <w:tblCellMar>
          <w:top w:w="15" w:type="dxa"/>
          <w:left w:w="15" w:type="dxa"/>
          <w:bottom w:w="15" w:type="dxa"/>
          <w:right w:w="15" w:type="dxa"/>
        </w:tblCellMar>
        <w:tblLook w:val="04A0" w:firstRow="1" w:lastRow="0" w:firstColumn="1" w:lastColumn="0" w:noHBand="0" w:noVBand="1"/>
      </w:tblPr>
      <w:tblGrid>
        <w:gridCol w:w="38"/>
        <w:gridCol w:w="2845"/>
        <w:gridCol w:w="38"/>
        <w:gridCol w:w="132"/>
        <w:gridCol w:w="132"/>
        <w:gridCol w:w="132"/>
        <w:gridCol w:w="132"/>
        <w:gridCol w:w="132"/>
        <w:gridCol w:w="36"/>
        <w:gridCol w:w="98"/>
        <w:gridCol w:w="997"/>
        <w:gridCol w:w="145"/>
        <w:gridCol w:w="36"/>
        <w:gridCol w:w="36"/>
        <w:gridCol w:w="36"/>
        <w:gridCol w:w="98"/>
        <w:gridCol w:w="1041"/>
        <w:gridCol w:w="145"/>
        <w:gridCol w:w="77"/>
        <w:gridCol w:w="401"/>
        <w:gridCol w:w="76"/>
        <w:gridCol w:w="36"/>
        <w:gridCol w:w="36"/>
        <w:gridCol w:w="36"/>
        <w:gridCol w:w="36"/>
        <w:gridCol w:w="36"/>
        <w:gridCol w:w="36"/>
        <w:gridCol w:w="38"/>
        <w:gridCol w:w="856"/>
        <w:gridCol w:w="145"/>
        <w:gridCol w:w="36"/>
        <w:gridCol w:w="36"/>
        <w:gridCol w:w="36"/>
        <w:gridCol w:w="36"/>
        <w:gridCol w:w="36"/>
        <w:gridCol w:w="36"/>
      </w:tblGrid>
      <w:tr w:rsidR="003C66EB" w14:paraId="5EA1F260" w14:textId="77777777">
        <w:tc>
          <w:tcPr>
            <w:tcW w:w="50" w:type="pct"/>
            <w:shd w:val="clear" w:color="auto" w:fill="auto"/>
          </w:tcPr>
          <w:p w14:paraId="5EA1F244" w14:textId="77777777" w:rsidR="003C66EB" w:rsidRDefault="003C66EB">
            <w:pPr>
              <w:rPr>
                <w:rFonts w:ascii="宋体"/>
              </w:rPr>
            </w:pPr>
          </w:p>
        </w:tc>
        <w:tc>
          <w:tcPr>
            <w:tcW w:w="2213" w:type="pct"/>
            <w:shd w:val="clear" w:color="auto" w:fill="auto"/>
          </w:tcPr>
          <w:p w14:paraId="5EA1F245" w14:textId="77777777" w:rsidR="003C66EB" w:rsidRDefault="003C66EB">
            <w:pPr>
              <w:rPr>
                <w:rFonts w:ascii="宋体"/>
              </w:rPr>
            </w:pPr>
          </w:p>
        </w:tc>
        <w:tc>
          <w:tcPr>
            <w:tcW w:w="5" w:type="pct"/>
            <w:shd w:val="clear" w:color="auto" w:fill="auto"/>
          </w:tcPr>
          <w:p w14:paraId="5EA1F246" w14:textId="77777777" w:rsidR="003C66EB" w:rsidRDefault="003C66EB">
            <w:pPr>
              <w:rPr>
                <w:rFonts w:ascii="宋体"/>
              </w:rPr>
            </w:pPr>
          </w:p>
        </w:tc>
        <w:tc>
          <w:tcPr>
            <w:tcW w:w="0" w:type="auto"/>
            <w:shd w:val="clear" w:color="auto" w:fill="auto"/>
          </w:tcPr>
          <w:p w14:paraId="5EA1F247" w14:textId="77777777" w:rsidR="003C66EB" w:rsidRDefault="003C66EB">
            <w:pPr>
              <w:rPr>
                <w:rFonts w:ascii="宋体"/>
                <w:vanish/>
              </w:rPr>
            </w:pPr>
          </w:p>
        </w:tc>
        <w:tc>
          <w:tcPr>
            <w:tcW w:w="0" w:type="auto"/>
            <w:shd w:val="clear" w:color="auto" w:fill="auto"/>
          </w:tcPr>
          <w:p w14:paraId="5EA1F248" w14:textId="77777777" w:rsidR="003C66EB" w:rsidRDefault="003C66EB">
            <w:pPr>
              <w:rPr>
                <w:rFonts w:ascii="宋体"/>
                <w:vanish/>
              </w:rPr>
            </w:pPr>
          </w:p>
        </w:tc>
        <w:tc>
          <w:tcPr>
            <w:tcW w:w="0" w:type="auto"/>
            <w:shd w:val="clear" w:color="auto" w:fill="auto"/>
          </w:tcPr>
          <w:p w14:paraId="5EA1F249" w14:textId="77777777" w:rsidR="003C66EB" w:rsidRDefault="003C66EB">
            <w:pPr>
              <w:rPr>
                <w:rFonts w:ascii="宋体"/>
                <w:vanish/>
              </w:rPr>
            </w:pPr>
          </w:p>
        </w:tc>
        <w:tc>
          <w:tcPr>
            <w:tcW w:w="0" w:type="auto"/>
            <w:shd w:val="clear" w:color="auto" w:fill="auto"/>
          </w:tcPr>
          <w:p w14:paraId="5EA1F24A" w14:textId="77777777" w:rsidR="003C66EB" w:rsidRDefault="003C66EB">
            <w:pPr>
              <w:rPr>
                <w:rFonts w:ascii="宋体"/>
                <w:vanish/>
              </w:rPr>
            </w:pPr>
          </w:p>
        </w:tc>
        <w:tc>
          <w:tcPr>
            <w:tcW w:w="0" w:type="auto"/>
            <w:shd w:val="clear" w:color="auto" w:fill="auto"/>
          </w:tcPr>
          <w:p w14:paraId="5EA1F24B" w14:textId="77777777" w:rsidR="003C66EB" w:rsidRDefault="003C66EB">
            <w:pPr>
              <w:rPr>
                <w:rFonts w:ascii="宋体"/>
                <w:vanish/>
              </w:rPr>
            </w:pPr>
          </w:p>
        </w:tc>
        <w:tc>
          <w:tcPr>
            <w:tcW w:w="0" w:type="auto"/>
            <w:shd w:val="clear" w:color="auto" w:fill="auto"/>
          </w:tcPr>
          <w:p w14:paraId="5EA1F24C" w14:textId="77777777" w:rsidR="003C66EB" w:rsidRDefault="003C66EB">
            <w:pPr>
              <w:rPr>
                <w:rFonts w:ascii="宋体"/>
                <w:vanish/>
              </w:rPr>
            </w:pPr>
          </w:p>
        </w:tc>
        <w:tc>
          <w:tcPr>
            <w:tcW w:w="50" w:type="pct"/>
            <w:shd w:val="clear" w:color="auto" w:fill="auto"/>
          </w:tcPr>
          <w:p w14:paraId="5EA1F24D" w14:textId="77777777" w:rsidR="003C66EB" w:rsidRDefault="003C66EB">
            <w:pPr>
              <w:rPr>
                <w:rFonts w:ascii="宋体"/>
              </w:rPr>
            </w:pPr>
          </w:p>
        </w:tc>
        <w:tc>
          <w:tcPr>
            <w:tcW w:w="821" w:type="pct"/>
            <w:shd w:val="clear" w:color="auto" w:fill="auto"/>
          </w:tcPr>
          <w:p w14:paraId="5EA1F24E" w14:textId="77777777" w:rsidR="003C66EB" w:rsidRDefault="003C66EB">
            <w:pPr>
              <w:rPr>
                <w:rFonts w:ascii="宋体"/>
              </w:rPr>
            </w:pPr>
          </w:p>
        </w:tc>
        <w:tc>
          <w:tcPr>
            <w:tcW w:w="5" w:type="pct"/>
            <w:shd w:val="clear" w:color="auto" w:fill="auto"/>
          </w:tcPr>
          <w:p w14:paraId="5EA1F24F" w14:textId="77777777" w:rsidR="003C66EB" w:rsidRDefault="003C66EB">
            <w:pPr>
              <w:rPr>
                <w:rFonts w:ascii="宋体"/>
              </w:rPr>
            </w:pPr>
          </w:p>
        </w:tc>
        <w:tc>
          <w:tcPr>
            <w:tcW w:w="5" w:type="pct"/>
            <w:shd w:val="clear" w:color="auto" w:fill="auto"/>
          </w:tcPr>
          <w:p w14:paraId="5EA1F250" w14:textId="77777777" w:rsidR="003C66EB" w:rsidRDefault="003C66EB">
            <w:pPr>
              <w:rPr>
                <w:rFonts w:ascii="宋体"/>
              </w:rPr>
            </w:pPr>
          </w:p>
        </w:tc>
        <w:tc>
          <w:tcPr>
            <w:tcW w:w="26" w:type="pct"/>
            <w:shd w:val="clear" w:color="auto" w:fill="auto"/>
          </w:tcPr>
          <w:p w14:paraId="5EA1F251" w14:textId="77777777" w:rsidR="003C66EB" w:rsidRDefault="003C66EB">
            <w:pPr>
              <w:rPr>
                <w:rFonts w:ascii="宋体"/>
              </w:rPr>
            </w:pPr>
          </w:p>
        </w:tc>
        <w:tc>
          <w:tcPr>
            <w:tcW w:w="5" w:type="pct"/>
            <w:shd w:val="clear" w:color="auto" w:fill="auto"/>
          </w:tcPr>
          <w:p w14:paraId="5EA1F252" w14:textId="77777777" w:rsidR="003C66EB" w:rsidRDefault="003C66EB">
            <w:pPr>
              <w:rPr>
                <w:rFonts w:ascii="宋体"/>
              </w:rPr>
            </w:pPr>
          </w:p>
        </w:tc>
        <w:tc>
          <w:tcPr>
            <w:tcW w:w="50" w:type="pct"/>
            <w:shd w:val="clear" w:color="auto" w:fill="auto"/>
          </w:tcPr>
          <w:p w14:paraId="5EA1F253" w14:textId="77777777" w:rsidR="003C66EB" w:rsidRDefault="003C66EB">
            <w:pPr>
              <w:rPr>
                <w:rFonts w:ascii="宋体"/>
              </w:rPr>
            </w:pPr>
          </w:p>
        </w:tc>
        <w:tc>
          <w:tcPr>
            <w:tcW w:w="850" w:type="pct"/>
            <w:shd w:val="clear" w:color="auto" w:fill="auto"/>
          </w:tcPr>
          <w:p w14:paraId="5EA1F254" w14:textId="77777777" w:rsidR="003C66EB" w:rsidRDefault="003C66EB">
            <w:pPr>
              <w:rPr>
                <w:rFonts w:ascii="宋体"/>
              </w:rPr>
            </w:pPr>
          </w:p>
        </w:tc>
        <w:tc>
          <w:tcPr>
            <w:tcW w:w="5" w:type="pct"/>
            <w:shd w:val="clear" w:color="auto" w:fill="auto"/>
          </w:tcPr>
          <w:p w14:paraId="5EA1F255" w14:textId="77777777" w:rsidR="003C66EB" w:rsidRDefault="003C66EB">
            <w:pPr>
              <w:rPr>
                <w:rFonts w:ascii="宋体"/>
              </w:rPr>
            </w:pPr>
          </w:p>
        </w:tc>
        <w:tc>
          <w:tcPr>
            <w:tcW w:w="5" w:type="pct"/>
            <w:shd w:val="clear" w:color="auto" w:fill="auto"/>
          </w:tcPr>
          <w:p w14:paraId="5EA1F256" w14:textId="77777777" w:rsidR="003C66EB" w:rsidRDefault="003C66EB">
            <w:pPr>
              <w:rPr>
                <w:rFonts w:ascii="宋体"/>
              </w:rPr>
            </w:pPr>
          </w:p>
        </w:tc>
        <w:tc>
          <w:tcPr>
            <w:tcW w:w="26" w:type="pct"/>
            <w:shd w:val="clear" w:color="auto" w:fill="auto"/>
          </w:tcPr>
          <w:p w14:paraId="5EA1F257" w14:textId="77777777" w:rsidR="003C66EB" w:rsidRDefault="003C66EB">
            <w:pPr>
              <w:rPr>
                <w:rFonts w:ascii="宋体"/>
              </w:rPr>
            </w:pPr>
          </w:p>
        </w:tc>
        <w:tc>
          <w:tcPr>
            <w:tcW w:w="5" w:type="pct"/>
            <w:shd w:val="clear" w:color="auto" w:fill="auto"/>
          </w:tcPr>
          <w:p w14:paraId="5EA1F258" w14:textId="77777777" w:rsidR="003C66EB" w:rsidRDefault="003C66EB">
            <w:pPr>
              <w:rPr>
                <w:rFonts w:ascii="宋体"/>
              </w:rPr>
            </w:pPr>
          </w:p>
        </w:tc>
        <w:tc>
          <w:tcPr>
            <w:tcW w:w="0" w:type="auto"/>
            <w:gridSpan w:val="3"/>
            <w:shd w:val="clear" w:color="auto" w:fill="auto"/>
          </w:tcPr>
          <w:p w14:paraId="5EA1F259" w14:textId="77777777" w:rsidR="003C66EB" w:rsidRDefault="003C66EB">
            <w:pPr>
              <w:rPr>
                <w:rFonts w:ascii="宋体"/>
                <w:vanish/>
              </w:rPr>
            </w:pPr>
          </w:p>
        </w:tc>
        <w:tc>
          <w:tcPr>
            <w:tcW w:w="0" w:type="auto"/>
            <w:gridSpan w:val="3"/>
            <w:shd w:val="clear" w:color="auto" w:fill="auto"/>
          </w:tcPr>
          <w:p w14:paraId="5EA1F25A" w14:textId="77777777" w:rsidR="003C66EB" w:rsidRDefault="003C66EB">
            <w:pPr>
              <w:rPr>
                <w:rFonts w:ascii="宋体"/>
                <w:vanish/>
              </w:rPr>
            </w:pPr>
          </w:p>
        </w:tc>
        <w:tc>
          <w:tcPr>
            <w:tcW w:w="50" w:type="pct"/>
            <w:shd w:val="clear" w:color="auto" w:fill="auto"/>
          </w:tcPr>
          <w:p w14:paraId="5EA1F25B" w14:textId="77777777" w:rsidR="003C66EB" w:rsidRDefault="003C66EB">
            <w:pPr>
              <w:rPr>
                <w:rFonts w:ascii="宋体"/>
              </w:rPr>
            </w:pPr>
          </w:p>
        </w:tc>
        <w:tc>
          <w:tcPr>
            <w:tcW w:w="821" w:type="pct"/>
            <w:shd w:val="clear" w:color="auto" w:fill="auto"/>
          </w:tcPr>
          <w:p w14:paraId="5EA1F25C" w14:textId="77777777" w:rsidR="003C66EB" w:rsidRDefault="003C66EB">
            <w:pPr>
              <w:rPr>
                <w:rFonts w:ascii="宋体"/>
              </w:rPr>
            </w:pPr>
          </w:p>
        </w:tc>
        <w:tc>
          <w:tcPr>
            <w:tcW w:w="5" w:type="pct"/>
            <w:shd w:val="clear" w:color="auto" w:fill="auto"/>
          </w:tcPr>
          <w:p w14:paraId="5EA1F25D" w14:textId="77777777" w:rsidR="003C66EB" w:rsidRDefault="003C66EB">
            <w:pPr>
              <w:rPr>
                <w:rFonts w:ascii="宋体"/>
              </w:rPr>
            </w:pPr>
          </w:p>
        </w:tc>
        <w:tc>
          <w:tcPr>
            <w:tcW w:w="0" w:type="auto"/>
            <w:gridSpan w:val="3"/>
            <w:shd w:val="clear" w:color="auto" w:fill="auto"/>
          </w:tcPr>
          <w:p w14:paraId="5EA1F25E" w14:textId="77777777" w:rsidR="003C66EB" w:rsidRDefault="003C66EB">
            <w:pPr>
              <w:rPr>
                <w:rFonts w:ascii="宋体"/>
                <w:vanish/>
              </w:rPr>
            </w:pPr>
          </w:p>
        </w:tc>
        <w:tc>
          <w:tcPr>
            <w:tcW w:w="0" w:type="auto"/>
            <w:gridSpan w:val="3"/>
            <w:shd w:val="clear" w:color="auto" w:fill="auto"/>
          </w:tcPr>
          <w:p w14:paraId="5EA1F25F" w14:textId="77777777" w:rsidR="003C66EB" w:rsidRDefault="003C66EB">
            <w:pPr>
              <w:rPr>
                <w:rFonts w:ascii="宋体"/>
                <w:vanish/>
              </w:rPr>
            </w:pPr>
          </w:p>
        </w:tc>
      </w:tr>
      <w:tr w:rsidR="003C66EB" w14:paraId="5EA1F27C" w14:textId="77777777">
        <w:tc>
          <w:tcPr>
            <w:tcW w:w="0" w:type="auto"/>
            <w:gridSpan w:val="8"/>
            <w:shd w:val="clear" w:color="auto" w:fill="auto"/>
            <w:tcMar>
              <w:top w:w="40" w:type="dxa"/>
              <w:left w:w="20" w:type="dxa"/>
              <w:bottom w:w="40" w:type="dxa"/>
              <w:right w:w="20" w:type="dxa"/>
            </w:tcMar>
            <w:vAlign w:val="bottom"/>
          </w:tcPr>
          <w:p w14:paraId="5EA1F261" w14:textId="77777777" w:rsidR="003C66EB" w:rsidRDefault="00D96C4E">
            <w:pPr>
              <w:textAlignment w:val="bottom"/>
            </w:pPr>
            <w:r>
              <w:rPr>
                <w:rFonts w:ascii="Arial" w:eastAsia="宋体" w:hAnsi="Arial" w:cs="Arial"/>
                <w:b/>
                <w:bCs/>
                <w:color w:val="000000"/>
                <w:sz w:val="16"/>
                <w:szCs w:val="16"/>
              </w:rPr>
              <w:t>TABLE 14: INVESTMENT MANAGEMENT LINE OF BUSINESS RESULTS</w:t>
            </w:r>
          </w:p>
        </w:tc>
        <w:tc>
          <w:tcPr>
            <w:tcW w:w="0" w:type="auto"/>
            <w:shd w:val="clear" w:color="auto" w:fill="auto"/>
          </w:tcPr>
          <w:p w14:paraId="5EA1F262" w14:textId="77777777" w:rsidR="003C66EB" w:rsidRDefault="003C66EB">
            <w:pPr>
              <w:rPr>
                <w:rFonts w:ascii="宋体"/>
                <w:vanish/>
              </w:rPr>
            </w:pPr>
          </w:p>
        </w:tc>
        <w:tc>
          <w:tcPr>
            <w:tcW w:w="0" w:type="auto"/>
            <w:gridSpan w:val="3"/>
            <w:shd w:val="clear" w:color="auto" w:fill="auto"/>
          </w:tcPr>
          <w:p w14:paraId="5EA1F263" w14:textId="77777777" w:rsidR="003C66EB" w:rsidRDefault="003C66EB">
            <w:pPr>
              <w:rPr>
                <w:rFonts w:ascii="宋体"/>
                <w:vanish/>
              </w:rPr>
            </w:pPr>
          </w:p>
        </w:tc>
        <w:tc>
          <w:tcPr>
            <w:tcW w:w="0" w:type="auto"/>
            <w:shd w:val="clear" w:color="auto" w:fill="auto"/>
          </w:tcPr>
          <w:p w14:paraId="5EA1F264" w14:textId="77777777" w:rsidR="003C66EB" w:rsidRDefault="003C66EB">
            <w:pPr>
              <w:rPr>
                <w:rFonts w:ascii="宋体"/>
              </w:rPr>
            </w:pPr>
          </w:p>
        </w:tc>
        <w:tc>
          <w:tcPr>
            <w:tcW w:w="0" w:type="auto"/>
            <w:shd w:val="clear" w:color="auto" w:fill="auto"/>
          </w:tcPr>
          <w:p w14:paraId="5EA1F265" w14:textId="77777777" w:rsidR="003C66EB" w:rsidRDefault="003C66EB">
            <w:pPr>
              <w:rPr>
                <w:rFonts w:ascii="宋体"/>
              </w:rPr>
            </w:pPr>
          </w:p>
        </w:tc>
        <w:tc>
          <w:tcPr>
            <w:tcW w:w="0" w:type="auto"/>
            <w:shd w:val="clear" w:color="auto" w:fill="auto"/>
          </w:tcPr>
          <w:p w14:paraId="5EA1F266" w14:textId="77777777" w:rsidR="003C66EB" w:rsidRDefault="003C66EB">
            <w:pPr>
              <w:rPr>
                <w:rFonts w:ascii="宋体"/>
              </w:rPr>
            </w:pPr>
          </w:p>
        </w:tc>
        <w:tc>
          <w:tcPr>
            <w:tcW w:w="0" w:type="auto"/>
            <w:shd w:val="clear" w:color="auto" w:fill="auto"/>
          </w:tcPr>
          <w:p w14:paraId="5EA1F267" w14:textId="77777777" w:rsidR="003C66EB" w:rsidRDefault="003C66EB">
            <w:pPr>
              <w:rPr>
                <w:rFonts w:ascii="宋体"/>
              </w:rPr>
            </w:pPr>
          </w:p>
        </w:tc>
        <w:tc>
          <w:tcPr>
            <w:tcW w:w="0" w:type="auto"/>
            <w:shd w:val="clear" w:color="auto" w:fill="auto"/>
          </w:tcPr>
          <w:p w14:paraId="5EA1F268" w14:textId="77777777" w:rsidR="003C66EB" w:rsidRDefault="003C66EB">
            <w:pPr>
              <w:rPr>
                <w:rFonts w:ascii="宋体"/>
              </w:rPr>
            </w:pPr>
          </w:p>
        </w:tc>
        <w:tc>
          <w:tcPr>
            <w:tcW w:w="0" w:type="auto"/>
            <w:shd w:val="clear" w:color="auto" w:fill="auto"/>
          </w:tcPr>
          <w:p w14:paraId="5EA1F269" w14:textId="77777777" w:rsidR="003C66EB" w:rsidRDefault="003C66EB">
            <w:pPr>
              <w:rPr>
                <w:rFonts w:ascii="宋体"/>
              </w:rPr>
            </w:pPr>
          </w:p>
        </w:tc>
        <w:tc>
          <w:tcPr>
            <w:tcW w:w="0" w:type="auto"/>
            <w:shd w:val="clear" w:color="auto" w:fill="auto"/>
          </w:tcPr>
          <w:p w14:paraId="5EA1F26A" w14:textId="77777777" w:rsidR="003C66EB" w:rsidRDefault="003C66EB">
            <w:pPr>
              <w:rPr>
                <w:rFonts w:ascii="宋体"/>
              </w:rPr>
            </w:pPr>
          </w:p>
        </w:tc>
        <w:tc>
          <w:tcPr>
            <w:tcW w:w="0" w:type="auto"/>
            <w:shd w:val="clear" w:color="auto" w:fill="auto"/>
          </w:tcPr>
          <w:p w14:paraId="5EA1F26B" w14:textId="77777777" w:rsidR="003C66EB" w:rsidRDefault="003C66EB">
            <w:pPr>
              <w:rPr>
                <w:rFonts w:ascii="宋体"/>
              </w:rPr>
            </w:pPr>
          </w:p>
        </w:tc>
        <w:tc>
          <w:tcPr>
            <w:tcW w:w="0" w:type="auto"/>
            <w:shd w:val="clear" w:color="auto" w:fill="auto"/>
          </w:tcPr>
          <w:p w14:paraId="5EA1F26C" w14:textId="77777777" w:rsidR="003C66EB" w:rsidRDefault="003C66EB">
            <w:pPr>
              <w:rPr>
                <w:rFonts w:ascii="宋体"/>
              </w:rPr>
            </w:pPr>
          </w:p>
        </w:tc>
        <w:tc>
          <w:tcPr>
            <w:tcW w:w="0" w:type="auto"/>
            <w:shd w:val="clear" w:color="auto" w:fill="auto"/>
          </w:tcPr>
          <w:p w14:paraId="5EA1F26D" w14:textId="77777777" w:rsidR="003C66EB" w:rsidRDefault="003C66EB">
            <w:pPr>
              <w:rPr>
                <w:rFonts w:ascii="宋体"/>
              </w:rPr>
            </w:pPr>
          </w:p>
        </w:tc>
        <w:tc>
          <w:tcPr>
            <w:tcW w:w="0" w:type="auto"/>
            <w:shd w:val="clear" w:color="auto" w:fill="auto"/>
          </w:tcPr>
          <w:p w14:paraId="5EA1F26E" w14:textId="77777777" w:rsidR="003C66EB" w:rsidRDefault="003C66EB">
            <w:pPr>
              <w:rPr>
                <w:rFonts w:ascii="宋体"/>
              </w:rPr>
            </w:pPr>
          </w:p>
        </w:tc>
        <w:tc>
          <w:tcPr>
            <w:tcW w:w="0" w:type="auto"/>
            <w:shd w:val="clear" w:color="auto" w:fill="auto"/>
          </w:tcPr>
          <w:p w14:paraId="5EA1F26F" w14:textId="77777777" w:rsidR="003C66EB" w:rsidRDefault="003C66EB">
            <w:pPr>
              <w:rPr>
                <w:rFonts w:ascii="宋体"/>
              </w:rPr>
            </w:pPr>
          </w:p>
        </w:tc>
        <w:tc>
          <w:tcPr>
            <w:tcW w:w="0" w:type="auto"/>
            <w:shd w:val="clear" w:color="auto" w:fill="auto"/>
          </w:tcPr>
          <w:p w14:paraId="5EA1F270" w14:textId="77777777" w:rsidR="003C66EB" w:rsidRDefault="003C66EB">
            <w:pPr>
              <w:rPr>
                <w:rFonts w:ascii="宋体"/>
              </w:rPr>
            </w:pPr>
          </w:p>
        </w:tc>
        <w:tc>
          <w:tcPr>
            <w:tcW w:w="0" w:type="auto"/>
            <w:shd w:val="clear" w:color="auto" w:fill="auto"/>
          </w:tcPr>
          <w:p w14:paraId="5EA1F271" w14:textId="77777777" w:rsidR="003C66EB" w:rsidRDefault="003C66EB">
            <w:pPr>
              <w:rPr>
                <w:rFonts w:ascii="宋体"/>
              </w:rPr>
            </w:pPr>
          </w:p>
        </w:tc>
        <w:tc>
          <w:tcPr>
            <w:tcW w:w="0" w:type="auto"/>
            <w:shd w:val="clear" w:color="auto" w:fill="auto"/>
          </w:tcPr>
          <w:p w14:paraId="5EA1F272" w14:textId="77777777" w:rsidR="003C66EB" w:rsidRDefault="003C66EB">
            <w:pPr>
              <w:rPr>
                <w:rFonts w:ascii="宋体"/>
              </w:rPr>
            </w:pPr>
          </w:p>
        </w:tc>
        <w:tc>
          <w:tcPr>
            <w:tcW w:w="0" w:type="auto"/>
            <w:shd w:val="clear" w:color="auto" w:fill="auto"/>
          </w:tcPr>
          <w:p w14:paraId="5EA1F273" w14:textId="77777777" w:rsidR="003C66EB" w:rsidRDefault="003C66EB">
            <w:pPr>
              <w:rPr>
                <w:rFonts w:ascii="宋体"/>
              </w:rPr>
            </w:pPr>
          </w:p>
        </w:tc>
        <w:tc>
          <w:tcPr>
            <w:tcW w:w="0" w:type="auto"/>
            <w:shd w:val="clear" w:color="auto" w:fill="auto"/>
          </w:tcPr>
          <w:p w14:paraId="5EA1F274" w14:textId="77777777" w:rsidR="003C66EB" w:rsidRDefault="003C66EB">
            <w:pPr>
              <w:rPr>
                <w:rFonts w:ascii="宋体"/>
              </w:rPr>
            </w:pPr>
          </w:p>
        </w:tc>
        <w:tc>
          <w:tcPr>
            <w:tcW w:w="0" w:type="auto"/>
            <w:shd w:val="clear" w:color="auto" w:fill="auto"/>
          </w:tcPr>
          <w:p w14:paraId="5EA1F275" w14:textId="77777777" w:rsidR="003C66EB" w:rsidRDefault="003C66EB">
            <w:pPr>
              <w:rPr>
                <w:rFonts w:ascii="宋体"/>
              </w:rPr>
            </w:pPr>
          </w:p>
        </w:tc>
        <w:tc>
          <w:tcPr>
            <w:tcW w:w="0" w:type="auto"/>
            <w:shd w:val="clear" w:color="auto" w:fill="auto"/>
          </w:tcPr>
          <w:p w14:paraId="5EA1F276" w14:textId="77777777" w:rsidR="003C66EB" w:rsidRDefault="003C66EB">
            <w:pPr>
              <w:rPr>
                <w:rFonts w:ascii="宋体"/>
              </w:rPr>
            </w:pPr>
          </w:p>
        </w:tc>
        <w:tc>
          <w:tcPr>
            <w:tcW w:w="0" w:type="auto"/>
            <w:shd w:val="clear" w:color="auto" w:fill="auto"/>
          </w:tcPr>
          <w:p w14:paraId="5EA1F277" w14:textId="77777777" w:rsidR="003C66EB" w:rsidRDefault="003C66EB">
            <w:pPr>
              <w:rPr>
                <w:rFonts w:ascii="宋体"/>
              </w:rPr>
            </w:pPr>
          </w:p>
        </w:tc>
        <w:tc>
          <w:tcPr>
            <w:tcW w:w="0" w:type="auto"/>
            <w:shd w:val="clear" w:color="auto" w:fill="auto"/>
          </w:tcPr>
          <w:p w14:paraId="5EA1F278" w14:textId="77777777" w:rsidR="003C66EB" w:rsidRDefault="003C66EB">
            <w:pPr>
              <w:rPr>
                <w:rFonts w:ascii="宋体"/>
              </w:rPr>
            </w:pPr>
          </w:p>
        </w:tc>
        <w:tc>
          <w:tcPr>
            <w:tcW w:w="0" w:type="auto"/>
            <w:shd w:val="clear" w:color="auto" w:fill="auto"/>
          </w:tcPr>
          <w:p w14:paraId="5EA1F279" w14:textId="77777777" w:rsidR="003C66EB" w:rsidRDefault="003C66EB">
            <w:pPr>
              <w:rPr>
                <w:rFonts w:ascii="宋体"/>
              </w:rPr>
            </w:pPr>
          </w:p>
        </w:tc>
        <w:tc>
          <w:tcPr>
            <w:tcW w:w="0" w:type="auto"/>
            <w:shd w:val="clear" w:color="auto" w:fill="auto"/>
          </w:tcPr>
          <w:p w14:paraId="5EA1F27A" w14:textId="77777777" w:rsidR="003C66EB" w:rsidRDefault="003C66EB">
            <w:pPr>
              <w:rPr>
                <w:rFonts w:ascii="宋体"/>
              </w:rPr>
            </w:pPr>
          </w:p>
        </w:tc>
        <w:tc>
          <w:tcPr>
            <w:tcW w:w="0" w:type="auto"/>
            <w:shd w:val="clear" w:color="auto" w:fill="auto"/>
          </w:tcPr>
          <w:p w14:paraId="5EA1F27B" w14:textId="77777777" w:rsidR="003C66EB" w:rsidRDefault="003C66EB">
            <w:pPr>
              <w:rPr>
                <w:rFonts w:ascii="宋体"/>
              </w:rPr>
            </w:pPr>
          </w:p>
        </w:tc>
      </w:tr>
      <w:tr w:rsidR="003C66EB" w14:paraId="5EA1F290"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5EA1F27D" w14:textId="77777777" w:rsidR="003C66EB" w:rsidRDefault="00D96C4E">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tcPr>
          <w:p w14:paraId="5EA1F27E" w14:textId="77777777" w:rsidR="003C66EB" w:rsidRDefault="003C66EB">
            <w:pPr>
              <w:rPr>
                <w:rFonts w:ascii="宋体"/>
                <w:vanish/>
              </w:rPr>
            </w:pPr>
          </w:p>
        </w:tc>
        <w:tc>
          <w:tcPr>
            <w:tcW w:w="0" w:type="auto"/>
            <w:shd w:val="clear" w:color="auto" w:fill="auto"/>
          </w:tcPr>
          <w:p w14:paraId="5EA1F27F" w14:textId="77777777" w:rsidR="003C66EB" w:rsidRDefault="003C66EB">
            <w:pPr>
              <w:rPr>
                <w:rFonts w:ascii="宋体"/>
                <w:vanish/>
              </w:rPr>
            </w:pPr>
          </w:p>
        </w:tc>
        <w:tc>
          <w:tcPr>
            <w:tcW w:w="0" w:type="auto"/>
            <w:shd w:val="clear" w:color="auto" w:fill="auto"/>
          </w:tcPr>
          <w:p w14:paraId="5EA1F280" w14:textId="77777777" w:rsidR="003C66EB" w:rsidRDefault="003C66EB">
            <w:pPr>
              <w:rPr>
                <w:rFonts w:ascii="宋体"/>
                <w:vanish/>
              </w:rPr>
            </w:pPr>
          </w:p>
        </w:tc>
        <w:tc>
          <w:tcPr>
            <w:tcW w:w="0" w:type="auto"/>
            <w:shd w:val="clear" w:color="auto" w:fill="auto"/>
          </w:tcPr>
          <w:p w14:paraId="5EA1F281" w14:textId="77777777" w:rsidR="003C66EB" w:rsidRDefault="003C66EB">
            <w:pPr>
              <w:rPr>
                <w:rFonts w:ascii="宋体"/>
                <w:vanish/>
              </w:rPr>
            </w:pPr>
          </w:p>
        </w:tc>
        <w:tc>
          <w:tcPr>
            <w:tcW w:w="0" w:type="auto"/>
            <w:gridSpan w:val="8"/>
            <w:shd w:val="clear" w:color="auto" w:fill="auto"/>
            <w:tcMar>
              <w:top w:w="40" w:type="dxa"/>
              <w:left w:w="20" w:type="dxa"/>
              <w:bottom w:w="40" w:type="dxa"/>
              <w:right w:w="20" w:type="dxa"/>
            </w:tcMar>
            <w:vAlign w:val="bottom"/>
          </w:tcPr>
          <w:p w14:paraId="5EA1F282"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Pr>
          <w:p w14:paraId="5EA1F283" w14:textId="77777777" w:rsidR="003C66EB" w:rsidRDefault="003C66EB">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5EA1F284" w14:textId="77777777" w:rsidR="003C66EB" w:rsidRDefault="00D96C4E">
            <w:pPr>
              <w:jc w:val="center"/>
              <w:textAlignment w:val="bottom"/>
            </w:pPr>
            <w:r>
              <w:rPr>
                <w:rFonts w:ascii="Arial" w:eastAsia="宋体" w:hAnsi="Arial" w:cs="Arial"/>
                <w:b/>
                <w:bCs/>
                <w:color w:val="000000"/>
                <w:sz w:val="14"/>
                <w:szCs w:val="14"/>
              </w:rPr>
              <w:t>% Change 2021 vs. 2020</w:t>
            </w:r>
          </w:p>
        </w:tc>
        <w:tc>
          <w:tcPr>
            <w:tcW w:w="0" w:type="auto"/>
            <w:gridSpan w:val="3"/>
            <w:shd w:val="clear" w:color="auto" w:fill="auto"/>
          </w:tcPr>
          <w:p w14:paraId="5EA1F285" w14:textId="77777777" w:rsidR="003C66EB" w:rsidRDefault="003C66EB">
            <w:pPr>
              <w:rPr>
                <w:rFonts w:ascii="宋体"/>
                <w:vanish/>
              </w:rPr>
            </w:pPr>
          </w:p>
        </w:tc>
        <w:tc>
          <w:tcPr>
            <w:tcW w:w="0" w:type="auto"/>
            <w:gridSpan w:val="3"/>
            <w:shd w:val="clear" w:color="auto" w:fill="auto"/>
          </w:tcPr>
          <w:p w14:paraId="5EA1F286" w14:textId="77777777" w:rsidR="003C66EB" w:rsidRDefault="003C66EB">
            <w:pPr>
              <w:rPr>
                <w:rFonts w:ascii="宋体"/>
                <w:vanish/>
              </w:rPr>
            </w:pPr>
          </w:p>
        </w:tc>
        <w:tc>
          <w:tcPr>
            <w:tcW w:w="0" w:type="auto"/>
            <w:shd w:val="clear" w:color="auto" w:fill="auto"/>
          </w:tcPr>
          <w:p w14:paraId="5EA1F287" w14:textId="77777777" w:rsidR="003C66EB" w:rsidRDefault="003C66EB">
            <w:pPr>
              <w:rPr>
                <w:rFonts w:ascii="宋体"/>
              </w:rPr>
            </w:pPr>
          </w:p>
        </w:tc>
        <w:tc>
          <w:tcPr>
            <w:tcW w:w="0" w:type="auto"/>
            <w:shd w:val="clear" w:color="auto" w:fill="auto"/>
          </w:tcPr>
          <w:p w14:paraId="5EA1F288" w14:textId="77777777" w:rsidR="003C66EB" w:rsidRDefault="003C66EB">
            <w:pPr>
              <w:rPr>
                <w:rFonts w:ascii="宋体"/>
              </w:rPr>
            </w:pPr>
          </w:p>
        </w:tc>
        <w:tc>
          <w:tcPr>
            <w:tcW w:w="0" w:type="auto"/>
            <w:shd w:val="clear" w:color="auto" w:fill="auto"/>
          </w:tcPr>
          <w:p w14:paraId="5EA1F289" w14:textId="77777777" w:rsidR="003C66EB" w:rsidRDefault="003C66EB">
            <w:pPr>
              <w:rPr>
                <w:rFonts w:ascii="宋体"/>
              </w:rPr>
            </w:pPr>
          </w:p>
        </w:tc>
        <w:tc>
          <w:tcPr>
            <w:tcW w:w="0" w:type="auto"/>
            <w:shd w:val="clear" w:color="auto" w:fill="auto"/>
          </w:tcPr>
          <w:p w14:paraId="5EA1F28A" w14:textId="77777777" w:rsidR="003C66EB" w:rsidRDefault="003C66EB">
            <w:pPr>
              <w:rPr>
                <w:rFonts w:ascii="宋体"/>
              </w:rPr>
            </w:pPr>
          </w:p>
        </w:tc>
        <w:tc>
          <w:tcPr>
            <w:tcW w:w="0" w:type="auto"/>
            <w:shd w:val="clear" w:color="auto" w:fill="auto"/>
          </w:tcPr>
          <w:p w14:paraId="5EA1F28B" w14:textId="77777777" w:rsidR="003C66EB" w:rsidRDefault="003C66EB">
            <w:pPr>
              <w:rPr>
                <w:rFonts w:ascii="宋体"/>
              </w:rPr>
            </w:pPr>
          </w:p>
        </w:tc>
        <w:tc>
          <w:tcPr>
            <w:tcW w:w="0" w:type="auto"/>
            <w:shd w:val="clear" w:color="auto" w:fill="auto"/>
          </w:tcPr>
          <w:p w14:paraId="5EA1F28C" w14:textId="77777777" w:rsidR="003C66EB" w:rsidRDefault="003C66EB">
            <w:pPr>
              <w:rPr>
                <w:rFonts w:ascii="宋体"/>
              </w:rPr>
            </w:pPr>
          </w:p>
        </w:tc>
        <w:tc>
          <w:tcPr>
            <w:tcW w:w="0" w:type="auto"/>
            <w:shd w:val="clear" w:color="auto" w:fill="auto"/>
          </w:tcPr>
          <w:p w14:paraId="5EA1F28D" w14:textId="77777777" w:rsidR="003C66EB" w:rsidRDefault="003C66EB">
            <w:pPr>
              <w:rPr>
                <w:rFonts w:ascii="宋体"/>
              </w:rPr>
            </w:pPr>
          </w:p>
        </w:tc>
        <w:tc>
          <w:tcPr>
            <w:tcW w:w="0" w:type="auto"/>
            <w:shd w:val="clear" w:color="auto" w:fill="auto"/>
          </w:tcPr>
          <w:p w14:paraId="5EA1F28E" w14:textId="77777777" w:rsidR="003C66EB" w:rsidRDefault="003C66EB">
            <w:pPr>
              <w:rPr>
                <w:rFonts w:ascii="宋体"/>
              </w:rPr>
            </w:pPr>
          </w:p>
        </w:tc>
        <w:tc>
          <w:tcPr>
            <w:tcW w:w="0" w:type="auto"/>
            <w:shd w:val="clear" w:color="auto" w:fill="auto"/>
          </w:tcPr>
          <w:p w14:paraId="5EA1F28F" w14:textId="77777777" w:rsidR="003C66EB" w:rsidRDefault="003C66EB">
            <w:pPr>
              <w:rPr>
                <w:rFonts w:ascii="宋体"/>
              </w:rPr>
            </w:pPr>
          </w:p>
        </w:tc>
      </w:tr>
      <w:tr w:rsidR="003C66EB" w14:paraId="5EA1F2A5" w14:textId="77777777">
        <w:trPr>
          <w:trHeight w:val="220"/>
        </w:trPr>
        <w:tc>
          <w:tcPr>
            <w:tcW w:w="0" w:type="auto"/>
            <w:gridSpan w:val="3"/>
            <w:vMerge/>
            <w:shd w:val="clear" w:color="auto" w:fill="auto"/>
            <w:tcMar>
              <w:top w:w="40" w:type="dxa"/>
              <w:left w:w="20" w:type="dxa"/>
              <w:bottom w:w="40" w:type="dxa"/>
              <w:right w:w="20" w:type="dxa"/>
            </w:tcMar>
            <w:vAlign w:val="bottom"/>
          </w:tcPr>
          <w:p w14:paraId="5EA1F291" w14:textId="77777777" w:rsidR="003C66EB" w:rsidRDefault="003C66EB">
            <w:pPr>
              <w:rPr>
                <w:rFonts w:ascii="宋体"/>
              </w:rPr>
            </w:pPr>
          </w:p>
        </w:tc>
        <w:tc>
          <w:tcPr>
            <w:tcW w:w="0" w:type="auto"/>
            <w:shd w:val="clear" w:color="auto" w:fill="auto"/>
          </w:tcPr>
          <w:p w14:paraId="5EA1F292" w14:textId="77777777" w:rsidR="003C66EB" w:rsidRDefault="003C66EB">
            <w:pPr>
              <w:rPr>
                <w:rFonts w:ascii="宋体"/>
                <w:vanish/>
              </w:rPr>
            </w:pPr>
          </w:p>
        </w:tc>
        <w:tc>
          <w:tcPr>
            <w:tcW w:w="0" w:type="auto"/>
            <w:shd w:val="clear" w:color="auto" w:fill="auto"/>
          </w:tcPr>
          <w:p w14:paraId="5EA1F293" w14:textId="77777777" w:rsidR="003C66EB" w:rsidRDefault="003C66EB">
            <w:pPr>
              <w:rPr>
                <w:rFonts w:ascii="宋体"/>
                <w:vanish/>
              </w:rPr>
            </w:pPr>
          </w:p>
        </w:tc>
        <w:tc>
          <w:tcPr>
            <w:tcW w:w="0" w:type="auto"/>
            <w:shd w:val="clear" w:color="auto" w:fill="auto"/>
          </w:tcPr>
          <w:p w14:paraId="5EA1F294" w14:textId="77777777" w:rsidR="003C66EB" w:rsidRDefault="003C66EB">
            <w:pPr>
              <w:rPr>
                <w:rFonts w:ascii="宋体"/>
                <w:vanish/>
              </w:rPr>
            </w:pPr>
          </w:p>
        </w:tc>
        <w:tc>
          <w:tcPr>
            <w:tcW w:w="0" w:type="auto"/>
            <w:shd w:val="clear" w:color="auto" w:fill="auto"/>
          </w:tcPr>
          <w:p w14:paraId="5EA1F295" w14:textId="77777777" w:rsidR="003C66EB" w:rsidRDefault="003C66EB">
            <w:pPr>
              <w:rPr>
                <w:rFonts w:ascii="宋体"/>
                <w:vanish/>
              </w:rPr>
            </w:pPr>
          </w:p>
        </w:tc>
        <w:tc>
          <w:tcPr>
            <w:tcW w:w="0" w:type="auto"/>
            <w:shd w:val="clear" w:color="auto" w:fill="auto"/>
          </w:tcPr>
          <w:p w14:paraId="5EA1F296" w14:textId="77777777" w:rsidR="003C66EB" w:rsidRDefault="003C66EB">
            <w:pPr>
              <w:rPr>
                <w:rFonts w:ascii="宋体"/>
                <w:vanish/>
              </w:rPr>
            </w:pPr>
          </w:p>
        </w:tc>
        <w:tc>
          <w:tcPr>
            <w:tcW w:w="0" w:type="auto"/>
            <w:shd w:val="clear" w:color="auto" w:fill="auto"/>
          </w:tcPr>
          <w:p w14:paraId="5EA1F297"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F298"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F29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F29A"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vMerge/>
            <w:shd w:val="clear" w:color="auto" w:fill="auto"/>
            <w:tcMar>
              <w:top w:w="40" w:type="dxa"/>
              <w:left w:w="20" w:type="dxa"/>
              <w:bottom w:w="40" w:type="dxa"/>
              <w:right w:w="20" w:type="dxa"/>
            </w:tcMar>
            <w:vAlign w:val="bottom"/>
          </w:tcPr>
          <w:p w14:paraId="5EA1F29B" w14:textId="77777777" w:rsidR="003C66EB" w:rsidRDefault="003C66EB">
            <w:pPr>
              <w:jc w:val="cente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1F29C" w14:textId="77777777" w:rsidR="003C66EB" w:rsidRDefault="003C66EB">
            <w:pPr>
              <w:rPr>
                <w:rFonts w:ascii="宋体"/>
              </w:rPr>
            </w:pPr>
          </w:p>
        </w:tc>
        <w:tc>
          <w:tcPr>
            <w:tcW w:w="0" w:type="auto"/>
            <w:gridSpan w:val="3"/>
            <w:shd w:val="clear" w:color="auto" w:fill="auto"/>
          </w:tcPr>
          <w:p w14:paraId="5EA1F29D" w14:textId="77777777" w:rsidR="003C66EB" w:rsidRDefault="003C66EB">
            <w:pPr>
              <w:rPr>
                <w:rFonts w:ascii="宋体"/>
                <w:vanish/>
              </w:rPr>
            </w:pPr>
          </w:p>
        </w:tc>
        <w:tc>
          <w:tcPr>
            <w:tcW w:w="0" w:type="auto"/>
            <w:gridSpan w:val="3"/>
            <w:shd w:val="clear" w:color="auto" w:fill="auto"/>
          </w:tcPr>
          <w:p w14:paraId="5EA1F29E" w14:textId="77777777" w:rsidR="003C66EB" w:rsidRDefault="003C66EB">
            <w:pPr>
              <w:rPr>
                <w:rFonts w:ascii="宋体"/>
                <w:vanish/>
              </w:rPr>
            </w:pPr>
          </w:p>
        </w:tc>
        <w:tc>
          <w:tcPr>
            <w:tcW w:w="0" w:type="auto"/>
            <w:shd w:val="clear" w:color="auto" w:fill="auto"/>
          </w:tcPr>
          <w:p w14:paraId="5EA1F29F" w14:textId="77777777" w:rsidR="003C66EB" w:rsidRDefault="003C66EB">
            <w:pPr>
              <w:rPr>
                <w:rFonts w:ascii="宋体"/>
              </w:rPr>
            </w:pPr>
          </w:p>
        </w:tc>
        <w:tc>
          <w:tcPr>
            <w:tcW w:w="0" w:type="auto"/>
            <w:shd w:val="clear" w:color="auto" w:fill="auto"/>
          </w:tcPr>
          <w:p w14:paraId="5EA1F2A0" w14:textId="77777777" w:rsidR="003C66EB" w:rsidRDefault="003C66EB">
            <w:pPr>
              <w:rPr>
                <w:rFonts w:ascii="宋体"/>
              </w:rPr>
            </w:pPr>
          </w:p>
        </w:tc>
        <w:tc>
          <w:tcPr>
            <w:tcW w:w="0" w:type="auto"/>
            <w:shd w:val="clear" w:color="auto" w:fill="auto"/>
          </w:tcPr>
          <w:p w14:paraId="5EA1F2A1" w14:textId="77777777" w:rsidR="003C66EB" w:rsidRDefault="003C66EB">
            <w:pPr>
              <w:rPr>
                <w:rFonts w:ascii="宋体"/>
              </w:rPr>
            </w:pPr>
          </w:p>
        </w:tc>
        <w:tc>
          <w:tcPr>
            <w:tcW w:w="0" w:type="auto"/>
            <w:shd w:val="clear" w:color="auto" w:fill="auto"/>
          </w:tcPr>
          <w:p w14:paraId="5EA1F2A2" w14:textId="77777777" w:rsidR="003C66EB" w:rsidRDefault="003C66EB">
            <w:pPr>
              <w:rPr>
                <w:rFonts w:ascii="宋体"/>
              </w:rPr>
            </w:pPr>
          </w:p>
        </w:tc>
        <w:tc>
          <w:tcPr>
            <w:tcW w:w="0" w:type="auto"/>
            <w:shd w:val="clear" w:color="auto" w:fill="auto"/>
          </w:tcPr>
          <w:p w14:paraId="5EA1F2A3" w14:textId="77777777" w:rsidR="003C66EB" w:rsidRDefault="003C66EB">
            <w:pPr>
              <w:rPr>
                <w:rFonts w:ascii="宋体"/>
              </w:rPr>
            </w:pPr>
          </w:p>
        </w:tc>
        <w:tc>
          <w:tcPr>
            <w:tcW w:w="0" w:type="auto"/>
            <w:shd w:val="clear" w:color="auto" w:fill="auto"/>
          </w:tcPr>
          <w:p w14:paraId="5EA1F2A4" w14:textId="77777777" w:rsidR="003C66EB" w:rsidRDefault="003C66EB">
            <w:pPr>
              <w:rPr>
                <w:rFonts w:ascii="宋体"/>
              </w:rPr>
            </w:pPr>
          </w:p>
        </w:tc>
      </w:tr>
      <w:tr w:rsidR="003C66EB" w14:paraId="5EA1F2BB" w14:textId="77777777">
        <w:tc>
          <w:tcPr>
            <w:tcW w:w="0" w:type="auto"/>
            <w:gridSpan w:val="3"/>
            <w:shd w:val="clear" w:color="auto" w:fill="CCEEFF"/>
            <w:tcMar>
              <w:top w:w="40" w:type="dxa"/>
              <w:left w:w="20" w:type="dxa"/>
              <w:bottom w:w="40" w:type="dxa"/>
              <w:right w:w="20" w:type="dxa"/>
            </w:tcMar>
            <w:vAlign w:val="bottom"/>
          </w:tcPr>
          <w:p w14:paraId="5EA1F2A6" w14:textId="77777777" w:rsidR="003C66EB" w:rsidRDefault="00D96C4E">
            <w:pPr>
              <w:textAlignment w:val="bottom"/>
            </w:pPr>
            <w:r>
              <w:rPr>
                <w:rFonts w:ascii="Arial" w:eastAsia="宋体" w:hAnsi="Arial" w:cs="Arial"/>
                <w:color w:val="000000"/>
                <w:sz w:val="14"/>
                <w:szCs w:val="14"/>
              </w:rPr>
              <w:t>Managemen</w:t>
            </w:r>
            <w:r>
              <w:rPr>
                <w:rFonts w:ascii="Arial" w:eastAsia="宋体" w:hAnsi="Arial" w:cs="Arial"/>
                <w:color w:val="000000"/>
                <w:sz w:val="14"/>
                <w:szCs w:val="14"/>
              </w:rPr>
              <w:t>t fees</w:t>
            </w:r>
            <w:r>
              <w:rPr>
                <w:rFonts w:ascii="Arial" w:eastAsia="宋体" w:hAnsi="Arial" w:cs="Arial"/>
                <w:color w:val="000000"/>
                <w:sz w:val="9"/>
                <w:szCs w:val="9"/>
              </w:rPr>
              <w:t>(1)(2)</w:t>
            </w:r>
          </w:p>
        </w:tc>
        <w:tc>
          <w:tcPr>
            <w:tcW w:w="0" w:type="auto"/>
            <w:shd w:val="clear" w:color="auto" w:fill="auto"/>
          </w:tcPr>
          <w:p w14:paraId="5EA1F2A7" w14:textId="77777777" w:rsidR="003C66EB" w:rsidRDefault="003C66EB">
            <w:pPr>
              <w:rPr>
                <w:rFonts w:ascii="宋体"/>
                <w:vanish/>
              </w:rPr>
            </w:pPr>
          </w:p>
        </w:tc>
        <w:tc>
          <w:tcPr>
            <w:tcW w:w="0" w:type="auto"/>
            <w:shd w:val="clear" w:color="auto" w:fill="auto"/>
          </w:tcPr>
          <w:p w14:paraId="5EA1F2A8" w14:textId="77777777" w:rsidR="003C66EB" w:rsidRDefault="003C66EB">
            <w:pPr>
              <w:rPr>
                <w:rFonts w:ascii="宋体"/>
                <w:vanish/>
              </w:rPr>
            </w:pPr>
          </w:p>
        </w:tc>
        <w:tc>
          <w:tcPr>
            <w:tcW w:w="0" w:type="auto"/>
            <w:shd w:val="clear" w:color="auto" w:fill="auto"/>
          </w:tcPr>
          <w:p w14:paraId="5EA1F2A9" w14:textId="77777777" w:rsidR="003C66EB" w:rsidRDefault="003C66EB">
            <w:pPr>
              <w:rPr>
                <w:rFonts w:ascii="宋体"/>
                <w:vanish/>
              </w:rPr>
            </w:pPr>
          </w:p>
        </w:tc>
        <w:tc>
          <w:tcPr>
            <w:tcW w:w="0" w:type="auto"/>
            <w:shd w:val="clear" w:color="auto" w:fill="auto"/>
          </w:tcPr>
          <w:p w14:paraId="5EA1F2AA" w14:textId="77777777" w:rsidR="003C66EB" w:rsidRDefault="003C66EB">
            <w:pPr>
              <w:rPr>
                <w:rFonts w:ascii="宋体"/>
                <w:vanish/>
              </w:rPr>
            </w:pPr>
          </w:p>
        </w:tc>
        <w:tc>
          <w:tcPr>
            <w:tcW w:w="0" w:type="auto"/>
            <w:shd w:val="clear" w:color="auto" w:fill="auto"/>
          </w:tcPr>
          <w:p w14:paraId="5EA1F2AB" w14:textId="77777777" w:rsidR="003C66EB" w:rsidRDefault="003C66EB">
            <w:pPr>
              <w:rPr>
                <w:rFonts w:ascii="宋体"/>
                <w:vanish/>
              </w:rPr>
            </w:pPr>
          </w:p>
        </w:tc>
        <w:tc>
          <w:tcPr>
            <w:tcW w:w="0" w:type="auto"/>
            <w:shd w:val="clear" w:color="auto" w:fill="auto"/>
          </w:tcPr>
          <w:p w14:paraId="5EA1F2AC"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2AD"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2AE" w14:textId="77777777" w:rsidR="003C66EB" w:rsidRDefault="00D96C4E">
            <w:pPr>
              <w:jc w:val="right"/>
              <w:textAlignment w:val="bottom"/>
            </w:pPr>
            <w:r>
              <w:rPr>
                <w:rFonts w:ascii="Arial" w:eastAsia="宋体" w:hAnsi="Arial" w:cs="Arial"/>
                <w:b/>
                <w:bCs/>
                <w:color w:val="000000"/>
                <w:sz w:val="14"/>
                <w:szCs w:val="14"/>
              </w:rPr>
              <w:t>493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2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2B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2B1"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2B2" w14:textId="77777777" w:rsidR="003C66EB" w:rsidRDefault="00D96C4E">
            <w:pPr>
              <w:jc w:val="right"/>
              <w:textAlignment w:val="bottom"/>
            </w:pPr>
            <w:r>
              <w:rPr>
                <w:rFonts w:ascii="Arial" w:eastAsia="宋体" w:hAnsi="Arial" w:cs="Arial"/>
                <w:color w:val="000000"/>
                <w:sz w:val="14"/>
                <w:szCs w:val="14"/>
              </w:rPr>
              <w:t>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2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2B4" w14:textId="77777777" w:rsidR="003C66EB" w:rsidRDefault="003C66EB">
            <w:pPr>
              <w:rPr>
                <w:rFonts w:ascii="宋体"/>
              </w:rPr>
            </w:pPr>
          </w:p>
        </w:tc>
        <w:tc>
          <w:tcPr>
            <w:tcW w:w="0" w:type="auto"/>
            <w:gridSpan w:val="3"/>
            <w:shd w:val="clear" w:color="auto" w:fill="auto"/>
          </w:tcPr>
          <w:p w14:paraId="5EA1F2B5" w14:textId="77777777" w:rsidR="003C66EB" w:rsidRDefault="003C66EB">
            <w:pPr>
              <w:rPr>
                <w:rFonts w:ascii="宋体"/>
                <w:vanish/>
              </w:rPr>
            </w:pPr>
          </w:p>
        </w:tc>
        <w:tc>
          <w:tcPr>
            <w:tcW w:w="0" w:type="auto"/>
            <w:gridSpan w:val="3"/>
            <w:shd w:val="clear" w:color="auto" w:fill="auto"/>
          </w:tcPr>
          <w:p w14:paraId="5EA1F2B6"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2B7" w14:textId="77777777" w:rsidR="003C66EB" w:rsidRDefault="00D96C4E">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2B8"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Pr>
          <w:p w14:paraId="5EA1F2B9" w14:textId="77777777" w:rsidR="003C66EB" w:rsidRDefault="003C66EB">
            <w:pPr>
              <w:rPr>
                <w:rFonts w:ascii="宋体"/>
                <w:vanish/>
              </w:rPr>
            </w:pPr>
          </w:p>
        </w:tc>
        <w:tc>
          <w:tcPr>
            <w:tcW w:w="0" w:type="auto"/>
            <w:gridSpan w:val="3"/>
            <w:shd w:val="clear" w:color="auto" w:fill="auto"/>
          </w:tcPr>
          <w:p w14:paraId="5EA1F2BA" w14:textId="77777777" w:rsidR="003C66EB" w:rsidRDefault="003C66EB">
            <w:pPr>
              <w:rPr>
                <w:rFonts w:ascii="宋体"/>
                <w:vanish/>
              </w:rPr>
            </w:pPr>
          </w:p>
        </w:tc>
      </w:tr>
      <w:tr w:rsidR="003C66EB" w14:paraId="5EA1F2CF" w14:textId="77777777">
        <w:tc>
          <w:tcPr>
            <w:tcW w:w="0" w:type="auto"/>
            <w:gridSpan w:val="3"/>
            <w:shd w:val="clear" w:color="auto" w:fill="FFFFFF"/>
            <w:tcMar>
              <w:top w:w="40" w:type="dxa"/>
              <w:left w:w="20" w:type="dxa"/>
              <w:bottom w:w="40" w:type="dxa"/>
              <w:right w:w="20" w:type="dxa"/>
            </w:tcMar>
            <w:vAlign w:val="bottom"/>
          </w:tcPr>
          <w:p w14:paraId="5EA1F2BC" w14:textId="77777777" w:rsidR="003C66EB" w:rsidRDefault="00D96C4E">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(1)(3)</w:t>
            </w:r>
          </w:p>
        </w:tc>
        <w:tc>
          <w:tcPr>
            <w:tcW w:w="0" w:type="auto"/>
            <w:shd w:val="clear" w:color="auto" w:fill="auto"/>
          </w:tcPr>
          <w:p w14:paraId="5EA1F2BD" w14:textId="77777777" w:rsidR="003C66EB" w:rsidRDefault="003C66EB">
            <w:pPr>
              <w:rPr>
                <w:rFonts w:ascii="宋体"/>
                <w:vanish/>
              </w:rPr>
            </w:pPr>
          </w:p>
        </w:tc>
        <w:tc>
          <w:tcPr>
            <w:tcW w:w="0" w:type="auto"/>
            <w:shd w:val="clear" w:color="auto" w:fill="auto"/>
          </w:tcPr>
          <w:p w14:paraId="5EA1F2BE" w14:textId="77777777" w:rsidR="003C66EB" w:rsidRDefault="003C66EB">
            <w:pPr>
              <w:rPr>
                <w:rFonts w:ascii="宋体"/>
                <w:vanish/>
              </w:rPr>
            </w:pPr>
          </w:p>
        </w:tc>
        <w:tc>
          <w:tcPr>
            <w:tcW w:w="0" w:type="auto"/>
            <w:shd w:val="clear" w:color="auto" w:fill="auto"/>
          </w:tcPr>
          <w:p w14:paraId="5EA1F2BF" w14:textId="77777777" w:rsidR="003C66EB" w:rsidRDefault="003C66EB">
            <w:pPr>
              <w:rPr>
                <w:rFonts w:ascii="宋体"/>
                <w:vanish/>
              </w:rPr>
            </w:pPr>
          </w:p>
        </w:tc>
        <w:tc>
          <w:tcPr>
            <w:tcW w:w="0" w:type="auto"/>
            <w:shd w:val="clear" w:color="auto" w:fill="auto"/>
          </w:tcPr>
          <w:p w14:paraId="5EA1F2C0" w14:textId="77777777" w:rsidR="003C66EB" w:rsidRDefault="003C66EB">
            <w:pPr>
              <w:rPr>
                <w:rFonts w:ascii="宋体"/>
                <w:vanish/>
              </w:rPr>
            </w:pPr>
          </w:p>
        </w:tc>
        <w:tc>
          <w:tcPr>
            <w:tcW w:w="0" w:type="auto"/>
            <w:shd w:val="clear" w:color="auto" w:fill="auto"/>
          </w:tcPr>
          <w:p w14:paraId="5EA1F2C1" w14:textId="77777777" w:rsidR="003C66EB" w:rsidRDefault="003C66EB">
            <w:pPr>
              <w:rPr>
                <w:rFonts w:ascii="宋体"/>
                <w:vanish/>
              </w:rPr>
            </w:pPr>
          </w:p>
        </w:tc>
        <w:tc>
          <w:tcPr>
            <w:tcW w:w="0" w:type="auto"/>
            <w:shd w:val="clear" w:color="auto" w:fill="auto"/>
          </w:tcPr>
          <w:p w14:paraId="5EA1F2C2"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F2C3" w14:textId="77777777" w:rsidR="003C66EB" w:rsidRDefault="00D96C4E">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2C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2C5"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F2C6"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auto"/>
            <w:tcMar>
              <w:top w:w="40" w:type="dxa"/>
              <w:left w:w="0" w:type="dxa"/>
              <w:bottom w:w="40" w:type="dxa"/>
              <w:right w:w="20" w:type="dxa"/>
            </w:tcMar>
            <w:vAlign w:val="bottom"/>
          </w:tcPr>
          <w:p w14:paraId="5EA1F2C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2C8" w14:textId="77777777" w:rsidR="003C66EB" w:rsidRDefault="003C66EB">
            <w:pPr>
              <w:rPr>
                <w:rFonts w:ascii="宋体"/>
              </w:rPr>
            </w:pPr>
          </w:p>
        </w:tc>
        <w:tc>
          <w:tcPr>
            <w:tcW w:w="0" w:type="auto"/>
            <w:gridSpan w:val="3"/>
            <w:shd w:val="clear" w:color="auto" w:fill="auto"/>
          </w:tcPr>
          <w:p w14:paraId="5EA1F2C9" w14:textId="77777777" w:rsidR="003C66EB" w:rsidRDefault="003C66EB">
            <w:pPr>
              <w:rPr>
                <w:rFonts w:ascii="宋体"/>
                <w:vanish/>
              </w:rPr>
            </w:pPr>
          </w:p>
        </w:tc>
        <w:tc>
          <w:tcPr>
            <w:tcW w:w="0" w:type="auto"/>
            <w:gridSpan w:val="3"/>
            <w:shd w:val="clear" w:color="auto" w:fill="auto"/>
          </w:tcPr>
          <w:p w14:paraId="5EA1F2CA" w14:textId="77777777" w:rsidR="003C66EB" w:rsidRDefault="003C66EB">
            <w:pPr>
              <w:rPr>
                <w:rFonts w:ascii="宋体"/>
                <w:vanish/>
              </w:rPr>
            </w:pPr>
          </w:p>
        </w:tc>
        <w:tc>
          <w:tcPr>
            <w:tcW w:w="0" w:type="auto"/>
            <w:gridSpan w:val="2"/>
            <w:shd w:val="clear" w:color="auto" w:fill="auto"/>
            <w:tcMar>
              <w:top w:w="40" w:type="dxa"/>
              <w:left w:w="20" w:type="dxa"/>
              <w:bottom w:w="40" w:type="dxa"/>
              <w:right w:w="0" w:type="dxa"/>
            </w:tcMar>
            <w:vAlign w:val="bottom"/>
          </w:tcPr>
          <w:p w14:paraId="5EA1F2CB" w14:textId="77777777" w:rsidR="003C66EB" w:rsidRDefault="00D96C4E">
            <w:pPr>
              <w:jc w:val="right"/>
              <w:textAlignment w:val="bottom"/>
            </w:pPr>
            <w:r>
              <w:rPr>
                <w:rFonts w:ascii="Arial" w:eastAsia="宋体" w:hAnsi="Arial" w:cs="Arial"/>
                <w:color w:val="000000"/>
                <w:sz w:val="14"/>
                <w:szCs w:val="14"/>
              </w:rPr>
              <w:t>30 </w:t>
            </w:r>
          </w:p>
        </w:tc>
        <w:tc>
          <w:tcPr>
            <w:tcW w:w="0" w:type="auto"/>
            <w:shd w:val="clear" w:color="auto" w:fill="auto"/>
            <w:tcMar>
              <w:top w:w="40" w:type="dxa"/>
              <w:left w:w="0" w:type="dxa"/>
              <w:bottom w:w="40" w:type="dxa"/>
              <w:right w:w="20" w:type="dxa"/>
            </w:tcMar>
            <w:vAlign w:val="bottom"/>
          </w:tcPr>
          <w:p w14:paraId="5EA1F2CC" w14:textId="77777777" w:rsidR="003C66EB" w:rsidRDefault="003C66EB">
            <w:pPr>
              <w:jc w:val="right"/>
              <w:rPr>
                <w:rFonts w:ascii="宋体"/>
              </w:rPr>
            </w:pPr>
          </w:p>
        </w:tc>
        <w:tc>
          <w:tcPr>
            <w:tcW w:w="0" w:type="auto"/>
            <w:gridSpan w:val="3"/>
            <w:shd w:val="clear" w:color="auto" w:fill="auto"/>
          </w:tcPr>
          <w:p w14:paraId="5EA1F2CD" w14:textId="77777777" w:rsidR="003C66EB" w:rsidRDefault="003C66EB">
            <w:pPr>
              <w:rPr>
                <w:rFonts w:ascii="宋体"/>
                <w:vanish/>
              </w:rPr>
            </w:pPr>
          </w:p>
        </w:tc>
        <w:tc>
          <w:tcPr>
            <w:tcW w:w="0" w:type="auto"/>
            <w:gridSpan w:val="3"/>
            <w:shd w:val="clear" w:color="auto" w:fill="auto"/>
          </w:tcPr>
          <w:p w14:paraId="5EA1F2CE" w14:textId="77777777" w:rsidR="003C66EB" w:rsidRDefault="003C66EB">
            <w:pPr>
              <w:rPr>
                <w:rFonts w:ascii="宋体"/>
                <w:vanish/>
              </w:rPr>
            </w:pPr>
          </w:p>
        </w:tc>
      </w:tr>
      <w:tr w:rsidR="003C66EB" w14:paraId="5EA1F2E3" w14:textId="77777777">
        <w:tc>
          <w:tcPr>
            <w:tcW w:w="0" w:type="auto"/>
            <w:gridSpan w:val="3"/>
            <w:shd w:val="clear" w:color="auto" w:fill="CCEEFF"/>
            <w:tcMar>
              <w:top w:w="40" w:type="dxa"/>
              <w:left w:w="20" w:type="dxa"/>
              <w:bottom w:w="40" w:type="dxa"/>
              <w:right w:w="20" w:type="dxa"/>
            </w:tcMar>
            <w:vAlign w:val="bottom"/>
          </w:tcPr>
          <w:p w14:paraId="5EA1F2D0" w14:textId="77777777" w:rsidR="003C66EB" w:rsidRDefault="00D96C4E">
            <w:pPr>
              <w:textAlignment w:val="bottom"/>
            </w:pPr>
            <w:r>
              <w:rPr>
                <w:rFonts w:ascii="Arial" w:eastAsia="宋体" w:hAnsi="Arial" w:cs="Arial"/>
                <w:color w:val="000000"/>
                <w:sz w:val="14"/>
                <w:szCs w:val="14"/>
              </w:rPr>
              <w:t>Securities finance</w:t>
            </w:r>
          </w:p>
        </w:tc>
        <w:tc>
          <w:tcPr>
            <w:tcW w:w="0" w:type="auto"/>
            <w:shd w:val="clear" w:color="auto" w:fill="auto"/>
          </w:tcPr>
          <w:p w14:paraId="5EA1F2D1" w14:textId="77777777" w:rsidR="003C66EB" w:rsidRDefault="003C66EB">
            <w:pPr>
              <w:rPr>
                <w:rFonts w:ascii="宋体"/>
                <w:vanish/>
              </w:rPr>
            </w:pPr>
          </w:p>
        </w:tc>
        <w:tc>
          <w:tcPr>
            <w:tcW w:w="0" w:type="auto"/>
            <w:shd w:val="clear" w:color="auto" w:fill="auto"/>
          </w:tcPr>
          <w:p w14:paraId="5EA1F2D2" w14:textId="77777777" w:rsidR="003C66EB" w:rsidRDefault="003C66EB">
            <w:pPr>
              <w:rPr>
                <w:rFonts w:ascii="宋体"/>
                <w:vanish/>
              </w:rPr>
            </w:pPr>
          </w:p>
        </w:tc>
        <w:tc>
          <w:tcPr>
            <w:tcW w:w="0" w:type="auto"/>
            <w:shd w:val="clear" w:color="auto" w:fill="auto"/>
          </w:tcPr>
          <w:p w14:paraId="5EA1F2D3" w14:textId="77777777" w:rsidR="003C66EB" w:rsidRDefault="003C66EB">
            <w:pPr>
              <w:rPr>
                <w:rFonts w:ascii="宋体"/>
                <w:vanish/>
              </w:rPr>
            </w:pPr>
          </w:p>
        </w:tc>
        <w:tc>
          <w:tcPr>
            <w:tcW w:w="0" w:type="auto"/>
            <w:shd w:val="clear" w:color="auto" w:fill="auto"/>
          </w:tcPr>
          <w:p w14:paraId="5EA1F2D4" w14:textId="77777777" w:rsidR="003C66EB" w:rsidRDefault="003C66EB">
            <w:pPr>
              <w:rPr>
                <w:rFonts w:ascii="宋体"/>
                <w:vanish/>
              </w:rPr>
            </w:pPr>
          </w:p>
        </w:tc>
        <w:tc>
          <w:tcPr>
            <w:tcW w:w="0" w:type="auto"/>
            <w:shd w:val="clear" w:color="auto" w:fill="auto"/>
          </w:tcPr>
          <w:p w14:paraId="5EA1F2D5" w14:textId="77777777" w:rsidR="003C66EB" w:rsidRDefault="003C66EB">
            <w:pPr>
              <w:rPr>
                <w:rFonts w:ascii="宋体"/>
                <w:vanish/>
              </w:rPr>
            </w:pPr>
          </w:p>
        </w:tc>
        <w:tc>
          <w:tcPr>
            <w:tcW w:w="0" w:type="auto"/>
            <w:shd w:val="clear" w:color="auto" w:fill="auto"/>
          </w:tcPr>
          <w:p w14:paraId="5EA1F2D6"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F2D7"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2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2D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2DA"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EA1F2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2DC" w14:textId="77777777" w:rsidR="003C66EB" w:rsidRDefault="003C66EB">
            <w:pPr>
              <w:rPr>
                <w:rFonts w:ascii="宋体"/>
              </w:rPr>
            </w:pPr>
          </w:p>
        </w:tc>
        <w:tc>
          <w:tcPr>
            <w:tcW w:w="0" w:type="auto"/>
            <w:gridSpan w:val="3"/>
            <w:shd w:val="clear" w:color="auto" w:fill="auto"/>
          </w:tcPr>
          <w:p w14:paraId="5EA1F2DD" w14:textId="77777777" w:rsidR="003C66EB" w:rsidRDefault="003C66EB">
            <w:pPr>
              <w:rPr>
                <w:rFonts w:ascii="宋体"/>
                <w:vanish/>
              </w:rPr>
            </w:pPr>
          </w:p>
        </w:tc>
        <w:tc>
          <w:tcPr>
            <w:tcW w:w="0" w:type="auto"/>
            <w:gridSpan w:val="3"/>
            <w:shd w:val="clear" w:color="auto" w:fill="auto"/>
          </w:tcPr>
          <w:p w14:paraId="5EA1F2DE"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F2DF" w14:textId="77777777" w:rsidR="003C66EB" w:rsidRDefault="00D96C4E">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5EA1F2E0" w14:textId="77777777" w:rsidR="003C66EB" w:rsidRDefault="003C66EB">
            <w:pPr>
              <w:jc w:val="right"/>
              <w:rPr>
                <w:rFonts w:ascii="宋体"/>
              </w:rPr>
            </w:pPr>
          </w:p>
        </w:tc>
        <w:tc>
          <w:tcPr>
            <w:tcW w:w="0" w:type="auto"/>
            <w:gridSpan w:val="3"/>
            <w:shd w:val="clear" w:color="auto" w:fill="auto"/>
          </w:tcPr>
          <w:p w14:paraId="5EA1F2E1" w14:textId="77777777" w:rsidR="003C66EB" w:rsidRDefault="003C66EB">
            <w:pPr>
              <w:rPr>
                <w:rFonts w:ascii="宋体"/>
                <w:vanish/>
              </w:rPr>
            </w:pPr>
          </w:p>
        </w:tc>
        <w:tc>
          <w:tcPr>
            <w:tcW w:w="0" w:type="auto"/>
            <w:gridSpan w:val="3"/>
            <w:shd w:val="clear" w:color="auto" w:fill="auto"/>
          </w:tcPr>
          <w:p w14:paraId="5EA1F2E2" w14:textId="77777777" w:rsidR="003C66EB" w:rsidRDefault="003C66EB">
            <w:pPr>
              <w:rPr>
                <w:rFonts w:ascii="宋体"/>
                <w:vanish/>
              </w:rPr>
            </w:pPr>
          </w:p>
        </w:tc>
      </w:tr>
      <w:tr w:rsidR="003C66EB" w14:paraId="5EA1F2F6" w14:textId="77777777">
        <w:tc>
          <w:tcPr>
            <w:tcW w:w="0" w:type="auto"/>
            <w:gridSpan w:val="3"/>
            <w:shd w:val="clear" w:color="auto" w:fill="auto"/>
            <w:tcMar>
              <w:top w:w="40" w:type="dxa"/>
              <w:left w:w="20" w:type="dxa"/>
              <w:bottom w:w="40" w:type="dxa"/>
              <w:right w:w="20" w:type="dxa"/>
            </w:tcMar>
            <w:vAlign w:val="bottom"/>
          </w:tcPr>
          <w:p w14:paraId="5EA1F2E4" w14:textId="77777777" w:rsidR="003C66EB" w:rsidRDefault="00D96C4E">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(4)</w:t>
            </w:r>
          </w:p>
        </w:tc>
        <w:tc>
          <w:tcPr>
            <w:tcW w:w="0" w:type="auto"/>
            <w:shd w:val="clear" w:color="auto" w:fill="auto"/>
          </w:tcPr>
          <w:p w14:paraId="5EA1F2E5" w14:textId="77777777" w:rsidR="003C66EB" w:rsidRDefault="003C66EB">
            <w:pPr>
              <w:rPr>
                <w:rFonts w:ascii="宋体"/>
                <w:vanish/>
              </w:rPr>
            </w:pPr>
          </w:p>
        </w:tc>
        <w:tc>
          <w:tcPr>
            <w:tcW w:w="0" w:type="auto"/>
            <w:shd w:val="clear" w:color="auto" w:fill="auto"/>
          </w:tcPr>
          <w:p w14:paraId="5EA1F2E6" w14:textId="77777777" w:rsidR="003C66EB" w:rsidRDefault="003C66EB">
            <w:pPr>
              <w:rPr>
                <w:rFonts w:ascii="宋体"/>
                <w:vanish/>
              </w:rPr>
            </w:pPr>
          </w:p>
        </w:tc>
        <w:tc>
          <w:tcPr>
            <w:tcW w:w="0" w:type="auto"/>
            <w:shd w:val="clear" w:color="auto" w:fill="auto"/>
          </w:tcPr>
          <w:p w14:paraId="5EA1F2E7" w14:textId="77777777" w:rsidR="003C66EB" w:rsidRDefault="003C66EB">
            <w:pPr>
              <w:rPr>
                <w:rFonts w:ascii="宋体"/>
                <w:vanish/>
              </w:rPr>
            </w:pPr>
          </w:p>
        </w:tc>
        <w:tc>
          <w:tcPr>
            <w:tcW w:w="0" w:type="auto"/>
            <w:shd w:val="clear" w:color="auto" w:fill="auto"/>
          </w:tcPr>
          <w:p w14:paraId="5EA1F2E8" w14:textId="77777777" w:rsidR="003C66EB" w:rsidRDefault="003C66EB">
            <w:pPr>
              <w:rPr>
                <w:rFonts w:ascii="宋体"/>
                <w:vanish/>
              </w:rPr>
            </w:pPr>
          </w:p>
        </w:tc>
        <w:tc>
          <w:tcPr>
            <w:tcW w:w="0" w:type="auto"/>
            <w:shd w:val="clear" w:color="auto" w:fill="auto"/>
          </w:tcPr>
          <w:p w14:paraId="5EA1F2E9" w14:textId="77777777" w:rsidR="003C66EB" w:rsidRDefault="003C66EB">
            <w:pPr>
              <w:rPr>
                <w:rFonts w:ascii="宋体"/>
                <w:vanish/>
              </w:rPr>
            </w:pPr>
          </w:p>
        </w:tc>
        <w:tc>
          <w:tcPr>
            <w:tcW w:w="0" w:type="auto"/>
            <w:shd w:val="clear" w:color="auto" w:fill="auto"/>
          </w:tcPr>
          <w:p w14:paraId="5EA1F2EA"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F2EB"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2EC"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1F2ED"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F2EE" w14:textId="77777777" w:rsidR="003C66EB" w:rsidRDefault="00D96C4E">
            <w:pPr>
              <w:jc w:val="right"/>
              <w:textAlignment w:val="bottom"/>
            </w:pPr>
            <w:r>
              <w:rPr>
                <w:rFonts w:ascii="Arial" w:eastAsia="宋体" w:hAnsi="Arial" w:cs="Arial"/>
                <w:color w:val="000000"/>
                <w:sz w:val="14"/>
                <w:szCs w:val="14"/>
              </w:rPr>
              <w:t>(25)</w:t>
            </w:r>
          </w:p>
        </w:tc>
        <w:tc>
          <w:tcPr>
            <w:tcW w:w="0" w:type="auto"/>
            <w:shd w:val="clear" w:color="auto" w:fill="auto"/>
            <w:tcMar>
              <w:top w:w="40" w:type="dxa"/>
              <w:left w:w="0" w:type="dxa"/>
              <w:bottom w:w="40" w:type="dxa"/>
              <w:right w:w="20" w:type="dxa"/>
            </w:tcMar>
            <w:vAlign w:val="bottom"/>
          </w:tcPr>
          <w:p w14:paraId="5EA1F2EF"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1F2F0" w14:textId="77777777" w:rsidR="003C66EB" w:rsidRDefault="003C66EB">
            <w:pPr>
              <w:rPr>
                <w:rFonts w:ascii="宋体"/>
              </w:rPr>
            </w:pPr>
          </w:p>
        </w:tc>
        <w:tc>
          <w:tcPr>
            <w:tcW w:w="0" w:type="auto"/>
            <w:gridSpan w:val="3"/>
            <w:shd w:val="clear" w:color="auto" w:fill="auto"/>
          </w:tcPr>
          <w:p w14:paraId="5EA1F2F1" w14:textId="77777777" w:rsidR="003C66EB" w:rsidRDefault="003C66EB">
            <w:pPr>
              <w:rPr>
                <w:rFonts w:ascii="宋体"/>
                <w:vanish/>
              </w:rPr>
            </w:pPr>
          </w:p>
        </w:tc>
        <w:tc>
          <w:tcPr>
            <w:tcW w:w="0" w:type="auto"/>
            <w:gridSpan w:val="3"/>
            <w:shd w:val="clear" w:color="auto" w:fill="auto"/>
          </w:tcPr>
          <w:p w14:paraId="5EA1F2F2" w14:textId="77777777" w:rsidR="003C66EB" w:rsidRDefault="003C66EB">
            <w:pPr>
              <w:rPr>
                <w:rFonts w:ascii="宋体"/>
                <w:vanish/>
              </w:rPr>
            </w:pPr>
          </w:p>
        </w:tc>
        <w:tc>
          <w:tcPr>
            <w:tcW w:w="0" w:type="auto"/>
            <w:gridSpan w:val="3"/>
            <w:shd w:val="clear" w:color="auto" w:fill="auto"/>
            <w:tcMar>
              <w:top w:w="40" w:type="dxa"/>
              <w:left w:w="20" w:type="dxa"/>
              <w:bottom w:w="40" w:type="dxa"/>
              <w:right w:w="140" w:type="dxa"/>
            </w:tcMar>
            <w:vAlign w:val="bottom"/>
          </w:tcPr>
          <w:p w14:paraId="5EA1F2F3" w14:textId="77777777" w:rsidR="003C66EB" w:rsidRDefault="00D96C4E">
            <w:pPr>
              <w:jc w:val="right"/>
              <w:textAlignment w:val="bottom"/>
            </w:pPr>
            <w:r>
              <w:rPr>
                <w:rFonts w:ascii="Arial" w:eastAsia="宋体" w:hAnsi="Arial" w:cs="Arial"/>
                <w:color w:val="000000"/>
                <w:sz w:val="14"/>
                <w:szCs w:val="14"/>
              </w:rPr>
              <w:t>nm</w:t>
            </w:r>
          </w:p>
        </w:tc>
        <w:tc>
          <w:tcPr>
            <w:tcW w:w="0" w:type="auto"/>
            <w:gridSpan w:val="3"/>
            <w:shd w:val="clear" w:color="auto" w:fill="auto"/>
          </w:tcPr>
          <w:p w14:paraId="5EA1F2F4" w14:textId="77777777" w:rsidR="003C66EB" w:rsidRDefault="003C66EB">
            <w:pPr>
              <w:rPr>
                <w:rFonts w:ascii="宋体"/>
                <w:vanish/>
              </w:rPr>
            </w:pPr>
          </w:p>
        </w:tc>
        <w:tc>
          <w:tcPr>
            <w:tcW w:w="0" w:type="auto"/>
            <w:gridSpan w:val="3"/>
            <w:shd w:val="clear" w:color="auto" w:fill="auto"/>
          </w:tcPr>
          <w:p w14:paraId="5EA1F2F5" w14:textId="77777777" w:rsidR="003C66EB" w:rsidRDefault="003C66EB">
            <w:pPr>
              <w:rPr>
                <w:rFonts w:ascii="宋体"/>
                <w:vanish/>
              </w:rPr>
            </w:pPr>
          </w:p>
        </w:tc>
      </w:tr>
      <w:tr w:rsidR="003C66EB" w14:paraId="5EA1F30A" w14:textId="77777777">
        <w:tc>
          <w:tcPr>
            <w:tcW w:w="0" w:type="auto"/>
            <w:gridSpan w:val="3"/>
            <w:shd w:val="clear" w:color="auto" w:fill="CCEEFF"/>
            <w:tcMar>
              <w:top w:w="40" w:type="dxa"/>
              <w:left w:w="20" w:type="dxa"/>
              <w:bottom w:w="40" w:type="dxa"/>
              <w:right w:w="20" w:type="dxa"/>
            </w:tcMar>
            <w:vAlign w:val="bottom"/>
          </w:tcPr>
          <w:p w14:paraId="5EA1F2F7" w14:textId="77777777" w:rsidR="003C66EB" w:rsidRDefault="00D96C4E">
            <w:pPr>
              <w:textAlignment w:val="bottom"/>
            </w:pPr>
            <w:r>
              <w:rPr>
                <w:rFonts w:ascii="Arial" w:eastAsia="宋体" w:hAnsi="Arial" w:cs="Arial"/>
                <w:color w:val="000000"/>
                <w:sz w:val="14"/>
                <w:szCs w:val="14"/>
              </w:rPr>
              <w:t>Total fee revenue</w:t>
            </w:r>
          </w:p>
        </w:tc>
        <w:tc>
          <w:tcPr>
            <w:tcW w:w="0" w:type="auto"/>
            <w:shd w:val="clear" w:color="auto" w:fill="auto"/>
          </w:tcPr>
          <w:p w14:paraId="5EA1F2F8" w14:textId="77777777" w:rsidR="003C66EB" w:rsidRDefault="003C66EB">
            <w:pPr>
              <w:rPr>
                <w:rFonts w:ascii="宋体"/>
                <w:vanish/>
              </w:rPr>
            </w:pPr>
          </w:p>
        </w:tc>
        <w:tc>
          <w:tcPr>
            <w:tcW w:w="0" w:type="auto"/>
            <w:shd w:val="clear" w:color="auto" w:fill="auto"/>
          </w:tcPr>
          <w:p w14:paraId="5EA1F2F9" w14:textId="77777777" w:rsidR="003C66EB" w:rsidRDefault="003C66EB">
            <w:pPr>
              <w:rPr>
                <w:rFonts w:ascii="宋体"/>
                <w:vanish/>
              </w:rPr>
            </w:pPr>
          </w:p>
        </w:tc>
        <w:tc>
          <w:tcPr>
            <w:tcW w:w="0" w:type="auto"/>
            <w:shd w:val="clear" w:color="auto" w:fill="auto"/>
          </w:tcPr>
          <w:p w14:paraId="5EA1F2FA" w14:textId="77777777" w:rsidR="003C66EB" w:rsidRDefault="003C66EB">
            <w:pPr>
              <w:rPr>
                <w:rFonts w:ascii="宋体"/>
                <w:vanish/>
              </w:rPr>
            </w:pPr>
          </w:p>
        </w:tc>
        <w:tc>
          <w:tcPr>
            <w:tcW w:w="0" w:type="auto"/>
            <w:shd w:val="clear" w:color="auto" w:fill="auto"/>
          </w:tcPr>
          <w:p w14:paraId="5EA1F2FB" w14:textId="77777777" w:rsidR="003C66EB" w:rsidRDefault="003C66EB">
            <w:pPr>
              <w:rPr>
                <w:rFonts w:ascii="宋体"/>
                <w:vanish/>
              </w:rPr>
            </w:pPr>
          </w:p>
        </w:tc>
        <w:tc>
          <w:tcPr>
            <w:tcW w:w="0" w:type="auto"/>
            <w:shd w:val="clear" w:color="auto" w:fill="auto"/>
          </w:tcPr>
          <w:p w14:paraId="5EA1F2FC" w14:textId="77777777" w:rsidR="003C66EB" w:rsidRDefault="003C66EB">
            <w:pPr>
              <w:rPr>
                <w:rFonts w:ascii="宋体"/>
                <w:vanish/>
              </w:rPr>
            </w:pPr>
          </w:p>
        </w:tc>
        <w:tc>
          <w:tcPr>
            <w:tcW w:w="0" w:type="auto"/>
            <w:shd w:val="clear" w:color="auto" w:fill="auto"/>
          </w:tcPr>
          <w:p w14:paraId="5EA1F2FD"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2FE" w14:textId="77777777" w:rsidR="003C66EB" w:rsidRDefault="00D96C4E">
            <w:pPr>
              <w:jc w:val="right"/>
              <w:textAlignment w:val="bottom"/>
            </w:pPr>
            <w:r>
              <w:rPr>
                <w:rFonts w:ascii="Arial" w:eastAsia="宋体" w:hAnsi="Arial" w:cs="Arial"/>
                <w:b/>
                <w:bCs/>
                <w:color w:val="000000"/>
                <w:sz w:val="14"/>
                <w:szCs w:val="14"/>
              </w:rPr>
              <w:t>512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2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0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301" w14:textId="77777777" w:rsidR="003C66EB" w:rsidRDefault="00D96C4E">
            <w:pPr>
              <w:jc w:val="right"/>
              <w:textAlignment w:val="bottom"/>
            </w:pPr>
            <w:r>
              <w:rPr>
                <w:rFonts w:ascii="Arial" w:eastAsia="宋体" w:hAnsi="Arial" w:cs="Arial"/>
                <w:color w:val="000000"/>
                <w:sz w:val="14"/>
                <w:szCs w:val="14"/>
              </w:rPr>
              <w:t>452 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3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03" w14:textId="77777777" w:rsidR="003C66EB" w:rsidRDefault="003C66EB">
            <w:pPr>
              <w:rPr>
                <w:rFonts w:ascii="宋体"/>
              </w:rPr>
            </w:pPr>
          </w:p>
        </w:tc>
        <w:tc>
          <w:tcPr>
            <w:tcW w:w="0" w:type="auto"/>
            <w:gridSpan w:val="3"/>
            <w:shd w:val="clear" w:color="auto" w:fill="auto"/>
          </w:tcPr>
          <w:p w14:paraId="5EA1F304" w14:textId="77777777" w:rsidR="003C66EB" w:rsidRDefault="003C66EB">
            <w:pPr>
              <w:rPr>
                <w:rFonts w:ascii="宋体"/>
                <w:vanish/>
              </w:rPr>
            </w:pPr>
          </w:p>
        </w:tc>
        <w:tc>
          <w:tcPr>
            <w:tcW w:w="0" w:type="auto"/>
            <w:gridSpan w:val="3"/>
            <w:shd w:val="clear" w:color="auto" w:fill="auto"/>
          </w:tcPr>
          <w:p w14:paraId="5EA1F305"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F306" w14:textId="77777777" w:rsidR="003C66EB" w:rsidRDefault="00D96C4E">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EA1F307" w14:textId="77777777" w:rsidR="003C66EB" w:rsidRDefault="003C66EB">
            <w:pPr>
              <w:jc w:val="right"/>
              <w:rPr>
                <w:rFonts w:ascii="宋体"/>
              </w:rPr>
            </w:pPr>
          </w:p>
        </w:tc>
        <w:tc>
          <w:tcPr>
            <w:tcW w:w="0" w:type="auto"/>
            <w:gridSpan w:val="3"/>
            <w:shd w:val="clear" w:color="auto" w:fill="auto"/>
          </w:tcPr>
          <w:p w14:paraId="5EA1F308" w14:textId="77777777" w:rsidR="003C66EB" w:rsidRDefault="003C66EB">
            <w:pPr>
              <w:rPr>
                <w:rFonts w:ascii="宋体"/>
                <w:vanish/>
              </w:rPr>
            </w:pPr>
          </w:p>
        </w:tc>
        <w:tc>
          <w:tcPr>
            <w:tcW w:w="0" w:type="auto"/>
            <w:gridSpan w:val="3"/>
            <w:shd w:val="clear" w:color="auto" w:fill="auto"/>
          </w:tcPr>
          <w:p w14:paraId="5EA1F309" w14:textId="77777777" w:rsidR="003C66EB" w:rsidRDefault="003C66EB">
            <w:pPr>
              <w:rPr>
                <w:rFonts w:ascii="宋体"/>
                <w:vanish/>
              </w:rPr>
            </w:pPr>
          </w:p>
        </w:tc>
      </w:tr>
      <w:tr w:rsidR="003C66EB" w14:paraId="5EA1F31D" w14:textId="77777777">
        <w:tc>
          <w:tcPr>
            <w:tcW w:w="0" w:type="auto"/>
            <w:gridSpan w:val="3"/>
            <w:shd w:val="clear" w:color="auto" w:fill="auto"/>
            <w:tcMar>
              <w:top w:w="40" w:type="dxa"/>
              <w:left w:w="20" w:type="dxa"/>
              <w:bottom w:w="40" w:type="dxa"/>
              <w:right w:w="20" w:type="dxa"/>
            </w:tcMar>
            <w:vAlign w:val="bottom"/>
          </w:tcPr>
          <w:p w14:paraId="5EA1F30B" w14:textId="77777777" w:rsidR="003C66EB" w:rsidRDefault="00D96C4E">
            <w:pPr>
              <w:textAlignment w:val="bottom"/>
            </w:pPr>
            <w:r>
              <w:rPr>
                <w:rFonts w:ascii="Arial" w:eastAsia="宋体" w:hAnsi="Arial" w:cs="Arial"/>
                <w:color w:val="000000"/>
                <w:sz w:val="14"/>
                <w:szCs w:val="14"/>
              </w:rPr>
              <w:t>Net interest income</w:t>
            </w:r>
          </w:p>
        </w:tc>
        <w:tc>
          <w:tcPr>
            <w:tcW w:w="0" w:type="auto"/>
            <w:shd w:val="clear" w:color="auto" w:fill="auto"/>
          </w:tcPr>
          <w:p w14:paraId="5EA1F30C" w14:textId="77777777" w:rsidR="003C66EB" w:rsidRDefault="003C66EB">
            <w:pPr>
              <w:rPr>
                <w:rFonts w:ascii="宋体"/>
                <w:vanish/>
              </w:rPr>
            </w:pPr>
          </w:p>
        </w:tc>
        <w:tc>
          <w:tcPr>
            <w:tcW w:w="0" w:type="auto"/>
            <w:shd w:val="clear" w:color="auto" w:fill="auto"/>
          </w:tcPr>
          <w:p w14:paraId="5EA1F30D" w14:textId="77777777" w:rsidR="003C66EB" w:rsidRDefault="003C66EB">
            <w:pPr>
              <w:rPr>
                <w:rFonts w:ascii="宋体"/>
                <w:vanish/>
              </w:rPr>
            </w:pPr>
          </w:p>
        </w:tc>
        <w:tc>
          <w:tcPr>
            <w:tcW w:w="0" w:type="auto"/>
            <w:shd w:val="clear" w:color="auto" w:fill="auto"/>
          </w:tcPr>
          <w:p w14:paraId="5EA1F30E" w14:textId="77777777" w:rsidR="003C66EB" w:rsidRDefault="003C66EB">
            <w:pPr>
              <w:rPr>
                <w:rFonts w:ascii="宋体"/>
                <w:vanish/>
              </w:rPr>
            </w:pPr>
          </w:p>
        </w:tc>
        <w:tc>
          <w:tcPr>
            <w:tcW w:w="0" w:type="auto"/>
            <w:shd w:val="clear" w:color="auto" w:fill="auto"/>
          </w:tcPr>
          <w:p w14:paraId="5EA1F30F" w14:textId="77777777" w:rsidR="003C66EB" w:rsidRDefault="003C66EB">
            <w:pPr>
              <w:rPr>
                <w:rFonts w:ascii="宋体"/>
                <w:vanish/>
              </w:rPr>
            </w:pPr>
          </w:p>
        </w:tc>
        <w:tc>
          <w:tcPr>
            <w:tcW w:w="0" w:type="auto"/>
            <w:shd w:val="clear" w:color="auto" w:fill="auto"/>
          </w:tcPr>
          <w:p w14:paraId="5EA1F310" w14:textId="77777777" w:rsidR="003C66EB" w:rsidRDefault="003C66EB">
            <w:pPr>
              <w:rPr>
                <w:rFonts w:ascii="宋体"/>
                <w:vanish/>
              </w:rPr>
            </w:pPr>
          </w:p>
        </w:tc>
        <w:tc>
          <w:tcPr>
            <w:tcW w:w="0" w:type="auto"/>
            <w:shd w:val="clear" w:color="auto" w:fill="auto"/>
          </w:tcPr>
          <w:p w14:paraId="5EA1F311"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F312" w14:textId="77777777" w:rsidR="003C66EB" w:rsidRDefault="00D96C4E">
            <w:pPr>
              <w:jc w:val="right"/>
              <w:textAlignment w:val="bottom"/>
            </w:pPr>
            <w:r>
              <w:rPr>
                <w:rFonts w:ascii="Arial" w:eastAsia="宋体" w:hAnsi="Arial" w:cs="Arial"/>
                <w:b/>
                <w:bCs/>
                <w:color w:val="000000"/>
                <w:sz w:val="14"/>
                <w:szCs w:val="14"/>
              </w:rPr>
              <w:t>(6)</w:t>
            </w:r>
          </w:p>
        </w:tc>
        <w:tc>
          <w:tcPr>
            <w:tcW w:w="0" w:type="auto"/>
            <w:shd w:val="clear" w:color="auto" w:fill="FFFFFF"/>
            <w:tcMar>
              <w:top w:w="40" w:type="dxa"/>
              <w:left w:w="0" w:type="dxa"/>
              <w:bottom w:w="40" w:type="dxa"/>
              <w:right w:w="20" w:type="dxa"/>
            </w:tcMar>
            <w:vAlign w:val="bottom"/>
          </w:tcPr>
          <w:p w14:paraId="5EA1F313"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1F314"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F315"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auto"/>
            <w:tcMar>
              <w:top w:w="40" w:type="dxa"/>
              <w:left w:w="0" w:type="dxa"/>
              <w:bottom w:w="40" w:type="dxa"/>
              <w:right w:w="20" w:type="dxa"/>
            </w:tcMar>
            <w:vAlign w:val="bottom"/>
          </w:tcPr>
          <w:p w14:paraId="5EA1F316"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1F317" w14:textId="77777777" w:rsidR="003C66EB" w:rsidRDefault="003C66EB">
            <w:pPr>
              <w:rPr>
                <w:rFonts w:ascii="宋体"/>
              </w:rPr>
            </w:pPr>
          </w:p>
        </w:tc>
        <w:tc>
          <w:tcPr>
            <w:tcW w:w="0" w:type="auto"/>
            <w:gridSpan w:val="3"/>
            <w:shd w:val="clear" w:color="auto" w:fill="auto"/>
          </w:tcPr>
          <w:p w14:paraId="5EA1F318" w14:textId="77777777" w:rsidR="003C66EB" w:rsidRDefault="003C66EB">
            <w:pPr>
              <w:rPr>
                <w:rFonts w:ascii="宋体"/>
                <w:vanish/>
              </w:rPr>
            </w:pPr>
          </w:p>
        </w:tc>
        <w:tc>
          <w:tcPr>
            <w:tcW w:w="0" w:type="auto"/>
            <w:gridSpan w:val="3"/>
            <w:shd w:val="clear" w:color="auto" w:fill="auto"/>
          </w:tcPr>
          <w:p w14:paraId="5EA1F319" w14:textId="77777777" w:rsidR="003C66EB" w:rsidRDefault="003C66EB">
            <w:pPr>
              <w:rPr>
                <w:rFonts w:ascii="宋体"/>
                <w:vanish/>
              </w:rPr>
            </w:pPr>
          </w:p>
        </w:tc>
        <w:tc>
          <w:tcPr>
            <w:tcW w:w="0" w:type="auto"/>
            <w:gridSpan w:val="3"/>
            <w:shd w:val="clear" w:color="auto" w:fill="auto"/>
            <w:tcMar>
              <w:top w:w="40" w:type="dxa"/>
              <w:left w:w="20" w:type="dxa"/>
              <w:bottom w:w="40" w:type="dxa"/>
              <w:right w:w="140" w:type="dxa"/>
            </w:tcMar>
            <w:vAlign w:val="bottom"/>
          </w:tcPr>
          <w:p w14:paraId="5EA1F31A" w14:textId="77777777" w:rsidR="003C66EB" w:rsidRDefault="00D96C4E">
            <w:pPr>
              <w:jc w:val="right"/>
              <w:textAlignment w:val="bottom"/>
            </w:pPr>
            <w:r>
              <w:rPr>
                <w:rFonts w:ascii="Arial" w:eastAsia="宋体" w:hAnsi="Arial" w:cs="Arial"/>
                <w:color w:val="000000"/>
                <w:sz w:val="14"/>
                <w:szCs w:val="14"/>
              </w:rPr>
              <w:t>nm</w:t>
            </w:r>
          </w:p>
        </w:tc>
        <w:tc>
          <w:tcPr>
            <w:tcW w:w="0" w:type="auto"/>
            <w:gridSpan w:val="3"/>
            <w:shd w:val="clear" w:color="auto" w:fill="auto"/>
          </w:tcPr>
          <w:p w14:paraId="5EA1F31B" w14:textId="77777777" w:rsidR="003C66EB" w:rsidRDefault="003C66EB">
            <w:pPr>
              <w:rPr>
                <w:rFonts w:ascii="宋体"/>
                <w:vanish/>
              </w:rPr>
            </w:pPr>
          </w:p>
        </w:tc>
        <w:tc>
          <w:tcPr>
            <w:tcW w:w="0" w:type="auto"/>
            <w:gridSpan w:val="3"/>
            <w:shd w:val="clear" w:color="auto" w:fill="auto"/>
          </w:tcPr>
          <w:p w14:paraId="5EA1F31C" w14:textId="77777777" w:rsidR="003C66EB" w:rsidRDefault="003C66EB">
            <w:pPr>
              <w:rPr>
                <w:rFonts w:ascii="宋体"/>
                <w:vanish/>
              </w:rPr>
            </w:pPr>
          </w:p>
        </w:tc>
      </w:tr>
      <w:tr w:rsidR="003C66EB" w14:paraId="5EA1F331" w14:textId="77777777">
        <w:tc>
          <w:tcPr>
            <w:tcW w:w="0" w:type="auto"/>
            <w:gridSpan w:val="3"/>
            <w:shd w:val="clear" w:color="auto" w:fill="CCEEFF"/>
            <w:tcMar>
              <w:top w:w="40" w:type="dxa"/>
              <w:left w:w="20" w:type="dxa"/>
              <w:bottom w:w="40" w:type="dxa"/>
              <w:right w:w="20" w:type="dxa"/>
            </w:tcMar>
            <w:vAlign w:val="bottom"/>
          </w:tcPr>
          <w:p w14:paraId="5EA1F31E" w14:textId="77777777" w:rsidR="003C66EB" w:rsidRDefault="00D96C4E">
            <w:pPr>
              <w:textAlignment w:val="bottom"/>
            </w:pPr>
            <w:r>
              <w:rPr>
                <w:rFonts w:ascii="Arial" w:eastAsia="宋体" w:hAnsi="Arial" w:cs="Arial"/>
                <w:b/>
                <w:bCs/>
                <w:color w:val="000000"/>
                <w:sz w:val="14"/>
                <w:szCs w:val="14"/>
              </w:rPr>
              <w:t>Total revenue</w:t>
            </w:r>
          </w:p>
        </w:tc>
        <w:tc>
          <w:tcPr>
            <w:tcW w:w="0" w:type="auto"/>
            <w:shd w:val="clear" w:color="auto" w:fill="auto"/>
          </w:tcPr>
          <w:p w14:paraId="5EA1F31F" w14:textId="77777777" w:rsidR="003C66EB" w:rsidRDefault="003C66EB">
            <w:pPr>
              <w:rPr>
                <w:rFonts w:ascii="宋体"/>
                <w:vanish/>
              </w:rPr>
            </w:pPr>
          </w:p>
        </w:tc>
        <w:tc>
          <w:tcPr>
            <w:tcW w:w="0" w:type="auto"/>
            <w:shd w:val="clear" w:color="auto" w:fill="auto"/>
          </w:tcPr>
          <w:p w14:paraId="5EA1F320" w14:textId="77777777" w:rsidR="003C66EB" w:rsidRDefault="003C66EB">
            <w:pPr>
              <w:rPr>
                <w:rFonts w:ascii="宋体"/>
                <w:vanish/>
              </w:rPr>
            </w:pPr>
          </w:p>
        </w:tc>
        <w:tc>
          <w:tcPr>
            <w:tcW w:w="0" w:type="auto"/>
            <w:shd w:val="clear" w:color="auto" w:fill="auto"/>
          </w:tcPr>
          <w:p w14:paraId="5EA1F321" w14:textId="77777777" w:rsidR="003C66EB" w:rsidRDefault="003C66EB">
            <w:pPr>
              <w:rPr>
                <w:rFonts w:ascii="宋体"/>
                <w:vanish/>
              </w:rPr>
            </w:pPr>
          </w:p>
        </w:tc>
        <w:tc>
          <w:tcPr>
            <w:tcW w:w="0" w:type="auto"/>
            <w:shd w:val="clear" w:color="auto" w:fill="auto"/>
          </w:tcPr>
          <w:p w14:paraId="5EA1F322" w14:textId="77777777" w:rsidR="003C66EB" w:rsidRDefault="003C66EB">
            <w:pPr>
              <w:rPr>
                <w:rFonts w:ascii="宋体"/>
                <w:vanish/>
              </w:rPr>
            </w:pPr>
          </w:p>
        </w:tc>
        <w:tc>
          <w:tcPr>
            <w:tcW w:w="0" w:type="auto"/>
            <w:shd w:val="clear" w:color="auto" w:fill="auto"/>
          </w:tcPr>
          <w:p w14:paraId="5EA1F323" w14:textId="77777777" w:rsidR="003C66EB" w:rsidRDefault="003C66EB">
            <w:pPr>
              <w:rPr>
                <w:rFonts w:ascii="宋体"/>
                <w:vanish/>
              </w:rPr>
            </w:pPr>
          </w:p>
        </w:tc>
        <w:tc>
          <w:tcPr>
            <w:tcW w:w="0" w:type="auto"/>
            <w:shd w:val="clear" w:color="auto" w:fill="auto"/>
          </w:tcPr>
          <w:p w14:paraId="5EA1F324"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325" w14:textId="77777777" w:rsidR="003C66EB" w:rsidRDefault="00D96C4E">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3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2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328" w14:textId="77777777" w:rsidR="003C66EB" w:rsidRDefault="00D96C4E">
            <w:pPr>
              <w:jc w:val="right"/>
              <w:textAlignment w:val="bottom"/>
            </w:pPr>
            <w:r>
              <w:rPr>
                <w:rFonts w:ascii="Arial" w:eastAsia="宋体" w:hAnsi="Arial" w:cs="Arial"/>
                <w:color w:val="000000"/>
                <w:sz w:val="14"/>
                <w:szCs w:val="14"/>
              </w:rPr>
              <w:t>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32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2A" w14:textId="77777777" w:rsidR="003C66EB" w:rsidRDefault="003C66EB">
            <w:pPr>
              <w:rPr>
                <w:rFonts w:ascii="宋体"/>
              </w:rPr>
            </w:pPr>
          </w:p>
        </w:tc>
        <w:tc>
          <w:tcPr>
            <w:tcW w:w="0" w:type="auto"/>
            <w:gridSpan w:val="3"/>
            <w:shd w:val="clear" w:color="auto" w:fill="auto"/>
          </w:tcPr>
          <w:p w14:paraId="5EA1F32B" w14:textId="77777777" w:rsidR="003C66EB" w:rsidRDefault="003C66EB">
            <w:pPr>
              <w:rPr>
                <w:rFonts w:ascii="宋体"/>
                <w:vanish/>
              </w:rPr>
            </w:pPr>
          </w:p>
        </w:tc>
        <w:tc>
          <w:tcPr>
            <w:tcW w:w="0" w:type="auto"/>
            <w:gridSpan w:val="3"/>
            <w:shd w:val="clear" w:color="auto" w:fill="auto"/>
          </w:tcPr>
          <w:p w14:paraId="5EA1F32C"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F32D" w14:textId="77777777" w:rsidR="003C66EB" w:rsidRDefault="00D96C4E">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EA1F32E" w14:textId="77777777" w:rsidR="003C66EB" w:rsidRDefault="003C66EB">
            <w:pPr>
              <w:jc w:val="right"/>
              <w:rPr>
                <w:rFonts w:ascii="宋体"/>
              </w:rPr>
            </w:pPr>
          </w:p>
        </w:tc>
        <w:tc>
          <w:tcPr>
            <w:tcW w:w="0" w:type="auto"/>
            <w:gridSpan w:val="3"/>
            <w:shd w:val="clear" w:color="auto" w:fill="auto"/>
          </w:tcPr>
          <w:p w14:paraId="5EA1F32F" w14:textId="77777777" w:rsidR="003C66EB" w:rsidRDefault="003C66EB">
            <w:pPr>
              <w:rPr>
                <w:rFonts w:ascii="宋体"/>
                <w:vanish/>
              </w:rPr>
            </w:pPr>
          </w:p>
        </w:tc>
        <w:tc>
          <w:tcPr>
            <w:tcW w:w="0" w:type="auto"/>
            <w:gridSpan w:val="3"/>
            <w:shd w:val="clear" w:color="auto" w:fill="auto"/>
          </w:tcPr>
          <w:p w14:paraId="5EA1F330" w14:textId="77777777" w:rsidR="003C66EB" w:rsidRDefault="003C66EB">
            <w:pPr>
              <w:rPr>
                <w:rFonts w:ascii="宋体"/>
                <w:vanish/>
              </w:rPr>
            </w:pPr>
          </w:p>
        </w:tc>
      </w:tr>
      <w:tr w:rsidR="003C66EB" w14:paraId="5EA1F345" w14:textId="77777777">
        <w:tc>
          <w:tcPr>
            <w:tcW w:w="0" w:type="auto"/>
            <w:gridSpan w:val="3"/>
            <w:shd w:val="clear" w:color="auto" w:fill="auto"/>
            <w:tcMar>
              <w:top w:w="40" w:type="dxa"/>
              <w:left w:w="20" w:type="dxa"/>
              <w:bottom w:w="40" w:type="dxa"/>
              <w:right w:w="20" w:type="dxa"/>
            </w:tcMar>
            <w:vAlign w:val="bottom"/>
          </w:tcPr>
          <w:p w14:paraId="5EA1F332" w14:textId="77777777" w:rsidR="003C66EB" w:rsidRDefault="00D96C4E">
            <w:pPr>
              <w:textAlignment w:val="bottom"/>
            </w:pPr>
            <w:r>
              <w:rPr>
                <w:rFonts w:ascii="Arial" w:eastAsia="宋体" w:hAnsi="Arial" w:cs="Arial"/>
                <w:b/>
                <w:bCs/>
                <w:color w:val="000000"/>
                <w:sz w:val="14"/>
                <w:szCs w:val="14"/>
              </w:rPr>
              <w:t>Total expenses</w:t>
            </w:r>
          </w:p>
        </w:tc>
        <w:tc>
          <w:tcPr>
            <w:tcW w:w="0" w:type="auto"/>
            <w:shd w:val="clear" w:color="auto" w:fill="auto"/>
          </w:tcPr>
          <w:p w14:paraId="5EA1F333" w14:textId="77777777" w:rsidR="003C66EB" w:rsidRDefault="003C66EB">
            <w:pPr>
              <w:rPr>
                <w:rFonts w:ascii="宋体"/>
                <w:vanish/>
              </w:rPr>
            </w:pPr>
          </w:p>
        </w:tc>
        <w:tc>
          <w:tcPr>
            <w:tcW w:w="0" w:type="auto"/>
            <w:shd w:val="clear" w:color="auto" w:fill="auto"/>
          </w:tcPr>
          <w:p w14:paraId="5EA1F334" w14:textId="77777777" w:rsidR="003C66EB" w:rsidRDefault="003C66EB">
            <w:pPr>
              <w:rPr>
                <w:rFonts w:ascii="宋体"/>
                <w:vanish/>
              </w:rPr>
            </w:pPr>
          </w:p>
        </w:tc>
        <w:tc>
          <w:tcPr>
            <w:tcW w:w="0" w:type="auto"/>
            <w:shd w:val="clear" w:color="auto" w:fill="auto"/>
          </w:tcPr>
          <w:p w14:paraId="5EA1F335" w14:textId="77777777" w:rsidR="003C66EB" w:rsidRDefault="003C66EB">
            <w:pPr>
              <w:rPr>
                <w:rFonts w:ascii="宋体"/>
                <w:vanish/>
              </w:rPr>
            </w:pPr>
          </w:p>
        </w:tc>
        <w:tc>
          <w:tcPr>
            <w:tcW w:w="0" w:type="auto"/>
            <w:shd w:val="clear" w:color="auto" w:fill="auto"/>
          </w:tcPr>
          <w:p w14:paraId="5EA1F336" w14:textId="77777777" w:rsidR="003C66EB" w:rsidRDefault="003C66EB">
            <w:pPr>
              <w:rPr>
                <w:rFonts w:ascii="宋体"/>
                <w:vanish/>
              </w:rPr>
            </w:pPr>
          </w:p>
        </w:tc>
        <w:tc>
          <w:tcPr>
            <w:tcW w:w="0" w:type="auto"/>
            <w:shd w:val="clear" w:color="auto" w:fill="auto"/>
          </w:tcPr>
          <w:p w14:paraId="5EA1F337" w14:textId="77777777" w:rsidR="003C66EB" w:rsidRDefault="003C66EB">
            <w:pPr>
              <w:rPr>
                <w:rFonts w:ascii="宋体"/>
                <w:vanish/>
              </w:rPr>
            </w:pPr>
          </w:p>
        </w:tc>
        <w:tc>
          <w:tcPr>
            <w:tcW w:w="0" w:type="auto"/>
            <w:shd w:val="clear" w:color="auto" w:fill="auto"/>
          </w:tcPr>
          <w:p w14:paraId="5EA1F33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1F339" w14:textId="77777777" w:rsidR="003C66EB" w:rsidRDefault="00D96C4E">
            <w:pPr>
              <w:jc w:val="right"/>
              <w:textAlignment w:val="bottom"/>
            </w:pPr>
            <w:r>
              <w:rPr>
                <w:rFonts w:ascii="Arial" w:eastAsia="宋体" w:hAnsi="Arial" w:cs="Arial"/>
                <w:b/>
                <w:bCs/>
                <w:color w:val="000000"/>
                <w:sz w:val="14"/>
                <w:szCs w:val="14"/>
              </w:rPr>
              <w:t>397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33A"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1F33B"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1F33C" w14:textId="77777777" w:rsidR="003C66EB" w:rsidRDefault="00D96C4E">
            <w:pPr>
              <w:jc w:val="right"/>
              <w:textAlignment w:val="bottom"/>
            </w:pPr>
            <w:r>
              <w:rPr>
                <w:rFonts w:ascii="Arial" w:eastAsia="宋体" w:hAnsi="Arial" w:cs="Arial"/>
                <w:color w:val="000000"/>
                <w:sz w:val="14"/>
                <w:szCs w:val="14"/>
              </w:rPr>
              <w:t>385 </w:t>
            </w:r>
          </w:p>
        </w:tc>
        <w:tc>
          <w:tcPr>
            <w:tcW w:w="0" w:type="auto"/>
            <w:shd w:val="clear" w:color="auto" w:fill="auto"/>
            <w:tcMar>
              <w:top w:w="40" w:type="dxa"/>
              <w:left w:w="0" w:type="dxa"/>
              <w:bottom w:w="40" w:type="dxa"/>
              <w:right w:w="20" w:type="dxa"/>
            </w:tcMar>
            <w:vAlign w:val="bottom"/>
          </w:tcPr>
          <w:p w14:paraId="5EA1F33D"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1F33E" w14:textId="77777777" w:rsidR="003C66EB" w:rsidRDefault="003C66EB">
            <w:pPr>
              <w:rPr>
                <w:rFonts w:ascii="宋体"/>
              </w:rPr>
            </w:pPr>
          </w:p>
        </w:tc>
        <w:tc>
          <w:tcPr>
            <w:tcW w:w="0" w:type="auto"/>
            <w:gridSpan w:val="3"/>
            <w:shd w:val="clear" w:color="auto" w:fill="auto"/>
          </w:tcPr>
          <w:p w14:paraId="5EA1F33F" w14:textId="77777777" w:rsidR="003C66EB" w:rsidRDefault="003C66EB">
            <w:pPr>
              <w:rPr>
                <w:rFonts w:ascii="宋体"/>
                <w:vanish/>
              </w:rPr>
            </w:pPr>
          </w:p>
        </w:tc>
        <w:tc>
          <w:tcPr>
            <w:tcW w:w="0" w:type="auto"/>
            <w:gridSpan w:val="3"/>
            <w:shd w:val="clear" w:color="auto" w:fill="auto"/>
          </w:tcPr>
          <w:p w14:paraId="5EA1F340" w14:textId="77777777" w:rsidR="003C66EB" w:rsidRDefault="003C66EB">
            <w:pPr>
              <w:rPr>
                <w:rFonts w:ascii="宋体"/>
                <w:vanish/>
              </w:rPr>
            </w:pPr>
          </w:p>
        </w:tc>
        <w:tc>
          <w:tcPr>
            <w:tcW w:w="0" w:type="auto"/>
            <w:gridSpan w:val="2"/>
            <w:shd w:val="clear" w:color="auto" w:fill="auto"/>
            <w:tcMar>
              <w:top w:w="40" w:type="dxa"/>
              <w:left w:w="20" w:type="dxa"/>
              <w:bottom w:w="40" w:type="dxa"/>
              <w:right w:w="0" w:type="dxa"/>
            </w:tcMar>
            <w:vAlign w:val="bottom"/>
          </w:tcPr>
          <w:p w14:paraId="5EA1F341"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auto"/>
            <w:tcMar>
              <w:top w:w="40" w:type="dxa"/>
              <w:left w:w="0" w:type="dxa"/>
              <w:bottom w:w="40" w:type="dxa"/>
              <w:right w:w="20" w:type="dxa"/>
            </w:tcMar>
            <w:vAlign w:val="bottom"/>
          </w:tcPr>
          <w:p w14:paraId="5EA1F342" w14:textId="77777777" w:rsidR="003C66EB" w:rsidRDefault="003C66EB">
            <w:pPr>
              <w:jc w:val="right"/>
              <w:rPr>
                <w:rFonts w:ascii="宋体"/>
              </w:rPr>
            </w:pPr>
          </w:p>
        </w:tc>
        <w:tc>
          <w:tcPr>
            <w:tcW w:w="0" w:type="auto"/>
            <w:gridSpan w:val="3"/>
            <w:shd w:val="clear" w:color="auto" w:fill="auto"/>
          </w:tcPr>
          <w:p w14:paraId="5EA1F343" w14:textId="77777777" w:rsidR="003C66EB" w:rsidRDefault="003C66EB">
            <w:pPr>
              <w:rPr>
                <w:rFonts w:ascii="宋体"/>
                <w:vanish/>
              </w:rPr>
            </w:pPr>
          </w:p>
        </w:tc>
        <w:tc>
          <w:tcPr>
            <w:tcW w:w="0" w:type="auto"/>
            <w:gridSpan w:val="3"/>
            <w:shd w:val="clear" w:color="auto" w:fill="auto"/>
          </w:tcPr>
          <w:p w14:paraId="5EA1F344" w14:textId="77777777" w:rsidR="003C66EB" w:rsidRDefault="003C66EB">
            <w:pPr>
              <w:rPr>
                <w:rFonts w:ascii="宋体"/>
                <w:vanish/>
              </w:rPr>
            </w:pPr>
          </w:p>
        </w:tc>
      </w:tr>
      <w:tr w:rsidR="003C66EB" w14:paraId="5EA1F35B" w14:textId="77777777">
        <w:tc>
          <w:tcPr>
            <w:tcW w:w="0" w:type="auto"/>
            <w:gridSpan w:val="3"/>
            <w:shd w:val="clear" w:color="auto" w:fill="CCEEFF"/>
            <w:tcMar>
              <w:top w:w="40" w:type="dxa"/>
              <w:left w:w="20" w:type="dxa"/>
              <w:bottom w:w="40" w:type="dxa"/>
              <w:right w:w="20" w:type="dxa"/>
            </w:tcMar>
            <w:vAlign w:val="bottom"/>
          </w:tcPr>
          <w:p w14:paraId="5EA1F346" w14:textId="77777777" w:rsidR="003C66EB" w:rsidRDefault="00D96C4E">
            <w:pPr>
              <w:textAlignment w:val="bottom"/>
            </w:pPr>
            <w:r>
              <w:rPr>
                <w:rFonts w:ascii="Arial" w:eastAsia="宋体" w:hAnsi="Arial" w:cs="Arial"/>
                <w:b/>
                <w:bCs/>
                <w:color w:val="000000"/>
                <w:sz w:val="14"/>
                <w:szCs w:val="14"/>
              </w:rPr>
              <w:t>Income before income tax expense</w:t>
            </w:r>
          </w:p>
        </w:tc>
        <w:tc>
          <w:tcPr>
            <w:tcW w:w="0" w:type="auto"/>
            <w:shd w:val="clear" w:color="auto" w:fill="auto"/>
          </w:tcPr>
          <w:p w14:paraId="5EA1F347" w14:textId="77777777" w:rsidR="003C66EB" w:rsidRDefault="003C66EB">
            <w:pPr>
              <w:rPr>
                <w:rFonts w:ascii="宋体"/>
                <w:vanish/>
              </w:rPr>
            </w:pPr>
          </w:p>
        </w:tc>
        <w:tc>
          <w:tcPr>
            <w:tcW w:w="0" w:type="auto"/>
            <w:shd w:val="clear" w:color="auto" w:fill="auto"/>
          </w:tcPr>
          <w:p w14:paraId="5EA1F348" w14:textId="77777777" w:rsidR="003C66EB" w:rsidRDefault="003C66EB">
            <w:pPr>
              <w:rPr>
                <w:rFonts w:ascii="宋体"/>
                <w:vanish/>
              </w:rPr>
            </w:pPr>
          </w:p>
        </w:tc>
        <w:tc>
          <w:tcPr>
            <w:tcW w:w="0" w:type="auto"/>
            <w:shd w:val="clear" w:color="auto" w:fill="auto"/>
          </w:tcPr>
          <w:p w14:paraId="5EA1F349" w14:textId="77777777" w:rsidR="003C66EB" w:rsidRDefault="003C66EB">
            <w:pPr>
              <w:rPr>
                <w:rFonts w:ascii="宋体"/>
                <w:vanish/>
              </w:rPr>
            </w:pPr>
          </w:p>
        </w:tc>
        <w:tc>
          <w:tcPr>
            <w:tcW w:w="0" w:type="auto"/>
            <w:shd w:val="clear" w:color="auto" w:fill="auto"/>
          </w:tcPr>
          <w:p w14:paraId="5EA1F34A" w14:textId="77777777" w:rsidR="003C66EB" w:rsidRDefault="003C66EB">
            <w:pPr>
              <w:rPr>
                <w:rFonts w:ascii="宋体"/>
                <w:vanish/>
              </w:rPr>
            </w:pPr>
          </w:p>
        </w:tc>
        <w:tc>
          <w:tcPr>
            <w:tcW w:w="0" w:type="auto"/>
            <w:shd w:val="clear" w:color="auto" w:fill="auto"/>
          </w:tcPr>
          <w:p w14:paraId="5EA1F34B" w14:textId="77777777" w:rsidR="003C66EB" w:rsidRDefault="003C66EB">
            <w:pPr>
              <w:rPr>
                <w:rFonts w:ascii="宋体"/>
                <w:vanish/>
              </w:rPr>
            </w:pPr>
          </w:p>
        </w:tc>
        <w:tc>
          <w:tcPr>
            <w:tcW w:w="0" w:type="auto"/>
            <w:shd w:val="clear" w:color="auto" w:fill="auto"/>
          </w:tcPr>
          <w:p w14:paraId="5EA1F34C"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34D"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34E" w14:textId="77777777" w:rsidR="003C66EB" w:rsidRDefault="00D96C4E">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3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5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351"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352" w14:textId="77777777" w:rsidR="003C66EB" w:rsidRDefault="00D96C4E">
            <w:pPr>
              <w:jc w:val="right"/>
              <w:textAlignment w:val="bottom"/>
            </w:pPr>
            <w:r>
              <w:rPr>
                <w:rFonts w:ascii="Arial" w:eastAsia="宋体" w:hAnsi="Arial" w:cs="Arial"/>
                <w:color w:val="000000"/>
                <w:sz w:val="14"/>
                <w:szCs w:val="14"/>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3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54" w14:textId="77777777" w:rsidR="003C66EB" w:rsidRDefault="003C66EB">
            <w:pPr>
              <w:rPr>
                <w:rFonts w:ascii="宋体"/>
              </w:rPr>
            </w:pPr>
          </w:p>
        </w:tc>
        <w:tc>
          <w:tcPr>
            <w:tcW w:w="0" w:type="auto"/>
            <w:gridSpan w:val="3"/>
            <w:shd w:val="clear" w:color="auto" w:fill="auto"/>
          </w:tcPr>
          <w:p w14:paraId="5EA1F355" w14:textId="77777777" w:rsidR="003C66EB" w:rsidRDefault="003C66EB">
            <w:pPr>
              <w:rPr>
                <w:rFonts w:ascii="宋体"/>
                <w:vanish/>
              </w:rPr>
            </w:pPr>
          </w:p>
        </w:tc>
        <w:tc>
          <w:tcPr>
            <w:tcW w:w="0" w:type="auto"/>
            <w:gridSpan w:val="3"/>
            <w:shd w:val="clear" w:color="auto" w:fill="auto"/>
          </w:tcPr>
          <w:p w14:paraId="5EA1F356"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1F357" w14:textId="77777777" w:rsidR="003C66EB" w:rsidRDefault="00D96C4E">
            <w:pPr>
              <w:jc w:val="right"/>
              <w:textAlignment w:val="bottom"/>
            </w:pPr>
            <w:r>
              <w:rPr>
                <w:rFonts w:ascii="Arial" w:eastAsia="宋体" w:hAnsi="Arial" w:cs="Arial"/>
                <w:color w:val="000000"/>
                <w:sz w:val="14"/>
                <w:szCs w:val="14"/>
              </w:rPr>
              <w:t>60 </w:t>
            </w:r>
          </w:p>
        </w:tc>
        <w:tc>
          <w:tcPr>
            <w:tcW w:w="0" w:type="auto"/>
            <w:shd w:val="clear" w:color="auto" w:fill="CCEEFF"/>
            <w:tcMar>
              <w:top w:w="40" w:type="dxa"/>
              <w:left w:w="0" w:type="dxa"/>
              <w:bottom w:w="40" w:type="dxa"/>
              <w:right w:w="20" w:type="dxa"/>
            </w:tcMar>
            <w:vAlign w:val="bottom"/>
          </w:tcPr>
          <w:p w14:paraId="5EA1F358" w14:textId="77777777" w:rsidR="003C66EB" w:rsidRDefault="003C66EB">
            <w:pPr>
              <w:jc w:val="right"/>
              <w:rPr>
                <w:rFonts w:ascii="宋体"/>
              </w:rPr>
            </w:pPr>
          </w:p>
        </w:tc>
        <w:tc>
          <w:tcPr>
            <w:tcW w:w="0" w:type="auto"/>
            <w:gridSpan w:val="3"/>
            <w:shd w:val="clear" w:color="auto" w:fill="auto"/>
          </w:tcPr>
          <w:p w14:paraId="5EA1F359" w14:textId="77777777" w:rsidR="003C66EB" w:rsidRDefault="003C66EB">
            <w:pPr>
              <w:rPr>
                <w:rFonts w:ascii="宋体"/>
                <w:vanish/>
              </w:rPr>
            </w:pPr>
          </w:p>
        </w:tc>
        <w:tc>
          <w:tcPr>
            <w:tcW w:w="0" w:type="auto"/>
            <w:gridSpan w:val="3"/>
            <w:shd w:val="clear" w:color="auto" w:fill="auto"/>
          </w:tcPr>
          <w:p w14:paraId="5EA1F35A" w14:textId="77777777" w:rsidR="003C66EB" w:rsidRDefault="003C66EB">
            <w:pPr>
              <w:rPr>
                <w:rFonts w:ascii="宋体"/>
                <w:vanish/>
              </w:rPr>
            </w:pPr>
          </w:p>
        </w:tc>
      </w:tr>
      <w:tr w:rsidR="003C66EB" w14:paraId="5EA1F36E" w14:textId="77777777">
        <w:tc>
          <w:tcPr>
            <w:tcW w:w="0" w:type="auto"/>
            <w:gridSpan w:val="3"/>
            <w:shd w:val="clear" w:color="auto" w:fill="auto"/>
            <w:tcMar>
              <w:top w:w="40" w:type="dxa"/>
              <w:left w:w="20" w:type="dxa"/>
              <w:bottom w:w="40" w:type="dxa"/>
              <w:right w:w="20" w:type="dxa"/>
            </w:tcMar>
            <w:vAlign w:val="bottom"/>
          </w:tcPr>
          <w:p w14:paraId="5EA1F35C" w14:textId="77777777" w:rsidR="003C66EB" w:rsidRDefault="00D96C4E">
            <w:pPr>
              <w:textAlignment w:val="bottom"/>
            </w:pPr>
            <w:r>
              <w:rPr>
                <w:rFonts w:ascii="Arial" w:eastAsia="宋体" w:hAnsi="Arial" w:cs="Arial"/>
                <w:color w:val="000000"/>
                <w:sz w:val="14"/>
                <w:szCs w:val="14"/>
              </w:rPr>
              <w:t>Pre-tax margin</w:t>
            </w:r>
          </w:p>
        </w:tc>
        <w:tc>
          <w:tcPr>
            <w:tcW w:w="0" w:type="auto"/>
            <w:shd w:val="clear" w:color="auto" w:fill="auto"/>
          </w:tcPr>
          <w:p w14:paraId="5EA1F35D" w14:textId="77777777" w:rsidR="003C66EB" w:rsidRDefault="003C66EB">
            <w:pPr>
              <w:rPr>
                <w:rFonts w:ascii="宋体"/>
                <w:vanish/>
              </w:rPr>
            </w:pPr>
          </w:p>
        </w:tc>
        <w:tc>
          <w:tcPr>
            <w:tcW w:w="0" w:type="auto"/>
            <w:shd w:val="clear" w:color="auto" w:fill="auto"/>
          </w:tcPr>
          <w:p w14:paraId="5EA1F35E" w14:textId="77777777" w:rsidR="003C66EB" w:rsidRDefault="003C66EB">
            <w:pPr>
              <w:rPr>
                <w:rFonts w:ascii="宋体"/>
                <w:vanish/>
              </w:rPr>
            </w:pPr>
          </w:p>
        </w:tc>
        <w:tc>
          <w:tcPr>
            <w:tcW w:w="0" w:type="auto"/>
            <w:shd w:val="clear" w:color="auto" w:fill="auto"/>
          </w:tcPr>
          <w:p w14:paraId="5EA1F35F" w14:textId="77777777" w:rsidR="003C66EB" w:rsidRDefault="003C66EB">
            <w:pPr>
              <w:rPr>
                <w:rFonts w:ascii="宋体"/>
                <w:vanish/>
              </w:rPr>
            </w:pPr>
          </w:p>
        </w:tc>
        <w:tc>
          <w:tcPr>
            <w:tcW w:w="0" w:type="auto"/>
            <w:shd w:val="clear" w:color="auto" w:fill="auto"/>
          </w:tcPr>
          <w:p w14:paraId="5EA1F360" w14:textId="77777777" w:rsidR="003C66EB" w:rsidRDefault="003C66EB">
            <w:pPr>
              <w:rPr>
                <w:rFonts w:ascii="宋体"/>
                <w:vanish/>
              </w:rPr>
            </w:pPr>
          </w:p>
        </w:tc>
        <w:tc>
          <w:tcPr>
            <w:tcW w:w="0" w:type="auto"/>
            <w:shd w:val="clear" w:color="auto" w:fill="auto"/>
          </w:tcPr>
          <w:p w14:paraId="5EA1F361" w14:textId="77777777" w:rsidR="003C66EB" w:rsidRDefault="003C66EB">
            <w:pPr>
              <w:rPr>
                <w:rFonts w:ascii="宋体"/>
                <w:vanish/>
              </w:rPr>
            </w:pPr>
          </w:p>
        </w:tc>
        <w:tc>
          <w:tcPr>
            <w:tcW w:w="0" w:type="auto"/>
            <w:shd w:val="clear" w:color="auto" w:fill="auto"/>
          </w:tcPr>
          <w:p w14:paraId="5EA1F362" w14:textId="77777777" w:rsidR="003C66EB" w:rsidRDefault="003C66EB">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1F363" w14:textId="77777777" w:rsidR="003C66EB" w:rsidRDefault="00D96C4E">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1F364" w14:textId="77777777" w:rsidR="003C66EB" w:rsidRDefault="00D96C4E">
            <w:pPr>
              <w:jc w:val="right"/>
              <w:textAlignment w:val="bottom"/>
            </w:pPr>
            <w:r>
              <w:rPr>
                <w:rFonts w:ascii="Arial" w:eastAsia="宋体" w:hAnsi="Arial" w:cs="Arial"/>
                <w:b/>
                <w:bCs/>
                <w:color w:val="000000"/>
                <w:sz w:val="14"/>
                <w:szCs w:val="14"/>
              </w:rPr>
              <w:t>%</w:t>
            </w:r>
          </w:p>
        </w:tc>
        <w:tc>
          <w:tcPr>
            <w:tcW w:w="0" w:type="auto"/>
            <w:gridSpan w:val="3"/>
            <w:shd w:val="clear" w:color="auto" w:fill="auto"/>
            <w:tcMar>
              <w:top w:w="0" w:type="dxa"/>
              <w:left w:w="20" w:type="dxa"/>
              <w:bottom w:w="0" w:type="dxa"/>
              <w:right w:w="20" w:type="dxa"/>
            </w:tcMar>
          </w:tcPr>
          <w:p w14:paraId="5EA1F365" w14:textId="77777777" w:rsidR="003C66EB" w:rsidRDefault="003C66E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A1F366" w14:textId="77777777" w:rsidR="003C66EB" w:rsidRDefault="00D96C4E">
            <w:pPr>
              <w:jc w:val="right"/>
              <w:textAlignment w:val="bottom"/>
            </w:pPr>
            <w:r>
              <w:rPr>
                <w:rFonts w:ascii="Arial" w:eastAsia="宋体" w:hAnsi="Arial" w:cs="Arial"/>
                <w:color w:val="000000"/>
                <w:sz w:val="14"/>
                <w:szCs w:val="14"/>
              </w:rPr>
              <w:t>15.0 </w:t>
            </w:r>
          </w:p>
        </w:tc>
        <w:tc>
          <w:tcPr>
            <w:tcW w:w="0" w:type="auto"/>
            <w:tcBorders>
              <w:top w:val="double" w:sz="6" w:space="0" w:color="000000"/>
            </w:tcBorders>
            <w:shd w:val="clear" w:color="auto" w:fill="auto"/>
            <w:tcMar>
              <w:top w:w="40" w:type="dxa"/>
              <w:left w:w="0" w:type="dxa"/>
              <w:bottom w:w="40" w:type="dxa"/>
              <w:right w:w="20" w:type="dxa"/>
            </w:tcMar>
            <w:vAlign w:val="bottom"/>
          </w:tcPr>
          <w:p w14:paraId="5EA1F367" w14:textId="77777777" w:rsidR="003C66EB" w:rsidRDefault="00D96C4E">
            <w:pPr>
              <w:jc w:val="right"/>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tcPr>
          <w:p w14:paraId="5EA1F368" w14:textId="77777777" w:rsidR="003C66EB" w:rsidRDefault="003C66EB">
            <w:pPr>
              <w:rPr>
                <w:rFonts w:ascii="宋体"/>
              </w:rPr>
            </w:pPr>
          </w:p>
        </w:tc>
        <w:tc>
          <w:tcPr>
            <w:tcW w:w="0" w:type="auto"/>
            <w:gridSpan w:val="3"/>
            <w:shd w:val="clear" w:color="auto" w:fill="auto"/>
          </w:tcPr>
          <w:p w14:paraId="5EA1F369" w14:textId="77777777" w:rsidR="003C66EB" w:rsidRDefault="003C66EB">
            <w:pPr>
              <w:rPr>
                <w:rFonts w:ascii="宋体"/>
                <w:vanish/>
              </w:rPr>
            </w:pPr>
          </w:p>
        </w:tc>
        <w:tc>
          <w:tcPr>
            <w:tcW w:w="0" w:type="auto"/>
            <w:gridSpan w:val="3"/>
            <w:shd w:val="clear" w:color="auto" w:fill="auto"/>
          </w:tcPr>
          <w:p w14:paraId="5EA1F36A" w14:textId="77777777" w:rsidR="003C66EB" w:rsidRDefault="003C66EB">
            <w:pPr>
              <w:rPr>
                <w:rFonts w:ascii="宋体"/>
                <w:vanish/>
              </w:rPr>
            </w:pPr>
          </w:p>
        </w:tc>
        <w:tc>
          <w:tcPr>
            <w:tcW w:w="0" w:type="auto"/>
            <w:gridSpan w:val="3"/>
            <w:shd w:val="clear" w:color="auto" w:fill="auto"/>
            <w:tcMar>
              <w:top w:w="40" w:type="dxa"/>
              <w:left w:w="20" w:type="dxa"/>
              <w:bottom w:w="40" w:type="dxa"/>
              <w:right w:w="20" w:type="dxa"/>
            </w:tcMar>
            <w:vAlign w:val="bottom"/>
          </w:tcPr>
          <w:p w14:paraId="5EA1F36B" w14:textId="77777777" w:rsidR="003C66EB" w:rsidRDefault="00D96C4E">
            <w:pPr>
              <w:jc w:val="right"/>
              <w:textAlignment w:val="bottom"/>
            </w:pPr>
            <w:r>
              <w:rPr>
                <w:rFonts w:ascii="Arial" w:eastAsia="宋体" w:hAnsi="Arial" w:cs="Arial"/>
                <w:color w:val="000000"/>
                <w:sz w:val="14"/>
                <w:szCs w:val="14"/>
              </w:rPr>
              <w:t>650 bps</w:t>
            </w:r>
          </w:p>
        </w:tc>
        <w:tc>
          <w:tcPr>
            <w:tcW w:w="0" w:type="auto"/>
            <w:gridSpan w:val="3"/>
            <w:shd w:val="clear" w:color="auto" w:fill="auto"/>
          </w:tcPr>
          <w:p w14:paraId="5EA1F36C" w14:textId="77777777" w:rsidR="003C66EB" w:rsidRDefault="003C66EB">
            <w:pPr>
              <w:rPr>
                <w:rFonts w:ascii="宋体"/>
                <w:vanish/>
              </w:rPr>
            </w:pPr>
          </w:p>
        </w:tc>
        <w:tc>
          <w:tcPr>
            <w:tcW w:w="0" w:type="auto"/>
            <w:gridSpan w:val="3"/>
            <w:shd w:val="clear" w:color="auto" w:fill="auto"/>
          </w:tcPr>
          <w:p w14:paraId="5EA1F36D" w14:textId="77777777" w:rsidR="003C66EB" w:rsidRDefault="003C66EB">
            <w:pPr>
              <w:rPr>
                <w:rFonts w:ascii="宋体"/>
                <w:vanish/>
              </w:rPr>
            </w:pPr>
          </w:p>
        </w:tc>
      </w:tr>
      <w:tr w:rsidR="003C66EB" w14:paraId="5EA1F37F" w14:textId="77777777">
        <w:trPr>
          <w:hidden/>
        </w:trPr>
        <w:tc>
          <w:tcPr>
            <w:tcW w:w="0" w:type="auto"/>
            <w:gridSpan w:val="3"/>
            <w:shd w:val="clear" w:color="auto" w:fill="auto"/>
          </w:tcPr>
          <w:p w14:paraId="5EA1F36F" w14:textId="77777777" w:rsidR="003C66EB" w:rsidRDefault="003C66EB">
            <w:pPr>
              <w:rPr>
                <w:rFonts w:ascii="宋体"/>
                <w:vanish/>
              </w:rPr>
            </w:pPr>
          </w:p>
        </w:tc>
        <w:tc>
          <w:tcPr>
            <w:tcW w:w="0" w:type="auto"/>
            <w:shd w:val="clear" w:color="auto" w:fill="auto"/>
          </w:tcPr>
          <w:p w14:paraId="5EA1F370" w14:textId="77777777" w:rsidR="003C66EB" w:rsidRDefault="003C66EB">
            <w:pPr>
              <w:rPr>
                <w:rFonts w:ascii="宋体"/>
                <w:vanish/>
              </w:rPr>
            </w:pPr>
          </w:p>
        </w:tc>
        <w:tc>
          <w:tcPr>
            <w:tcW w:w="0" w:type="auto"/>
            <w:shd w:val="clear" w:color="auto" w:fill="auto"/>
          </w:tcPr>
          <w:p w14:paraId="5EA1F371" w14:textId="77777777" w:rsidR="003C66EB" w:rsidRDefault="003C66EB">
            <w:pPr>
              <w:rPr>
                <w:rFonts w:ascii="宋体"/>
                <w:vanish/>
              </w:rPr>
            </w:pPr>
          </w:p>
        </w:tc>
        <w:tc>
          <w:tcPr>
            <w:tcW w:w="0" w:type="auto"/>
            <w:shd w:val="clear" w:color="auto" w:fill="auto"/>
          </w:tcPr>
          <w:p w14:paraId="5EA1F372" w14:textId="77777777" w:rsidR="003C66EB" w:rsidRDefault="003C66EB">
            <w:pPr>
              <w:rPr>
                <w:rFonts w:ascii="宋体"/>
                <w:vanish/>
              </w:rPr>
            </w:pPr>
          </w:p>
        </w:tc>
        <w:tc>
          <w:tcPr>
            <w:tcW w:w="0" w:type="auto"/>
            <w:shd w:val="clear" w:color="auto" w:fill="auto"/>
          </w:tcPr>
          <w:p w14:paraId="5EA1F373" w14:textId="77777777" w:rsidR="003C66EB" w:rsidRDefault="003C66EB">
            <w:pPr>
              <w:rPr>
                <w:rFonts w:ascii="宋体"/>
                <w:vanish/>
              </w:rPr>
            </w:pPr>
          </w:p>
        </w:tc>
        <w:tc>
          <w:tcPr>
            <w:tcW w:w="0" w:type="auto"/>
            <w:shd w:val="clear" w:color="auto" w:fill="auto"/>
          </w:tcPr>
          <w:p w14:paraId="5EA1F374" w14:textId="77777777" w:rsidR="003C66EB" w:rsidRDefault="003C66EB">
            <w:pPr>
              <w:rPr>
                <w:rFonts w:ascii="宋体"/>
                <w:vanish/>
              </w:rPr>
            </w:pPr>
          </w:p>
        </w:tc>
        <w:tc>
          <w:tcPr>
            <w:tcW w:w="0" w:type="auto"/>
            <w:shd w:val="clear" w:color="auto" w:fill="auto"/>
          </w:tcPr>
          <w:p w14:paraId="5EA1F375" w14:textId="77777777" w:rsidR="003C66EB" w:rsidRDefault="003C66EB">
            <w:pPr>
              <w:rPr>
                <w:rFonts w:ascii="宋体"/>
                <w:vanish/>
              </w:rPr>
            </w:pPr>
          </w:p>
        </w:tc>
        <w:tc>
          <w:tcPr>
            <w:tcW w:w="0" w:type="auto"/>
            <w:gridSpan w:val="3"/>
            <w:shd w:val="clear" w:color="auto" w:fill="auto"/>
          </w:tcPr>
          <w:p w14:paraId="5EA1F376" w14:textId="77777777" w:rsidR="003C66EB" w:rsidRDefault="003C66EB">
            <w:pPr>
              <w:rPr>
                <w:rFonts w:ascii="宋体"/>
                <w:vanish/>
              </w:rPr>
            </w:pPr>
          </w:p>
        </w:tc>
        <w:tc>
          <w:tcPr>
            <w:tcW w:w="0" w:type="auto"/>
            <w:gridSpan w:val="3"/>
            <w:shd w:val="clear" w:color="auto" w:fill="auto"/>
          </w:tcPr>
          <w:p w14:paraId="5EA1F377" w14:textId="77777777" w:rsidR="003C66EB" w:rsidRDefault="003C66EB">
            <w:pPr>
              <w:rPr>
                <w:rFonts w:ascii="宋体"/>
                <w:vanish/>
              </w:rPr>
            </w:pPr>
          </w:p>
        </w:tc>
        <w:tc>
          <w:tcPr>
            <w:tcW w:w="0" w:type="auto"/>
            <w:gridSpan w:val="3"/>
            <w:shd w:val="clear" w:color="auto" w:fill="auto"/>
          </w:tcPr>
          <w:p w14:paraId="5EA1F378" w14:textId="77777777" w:rsidR="003C66EB" w:rsidRDefault="003C66EB">
            <w:pPr>
              <w:rPr>
                <w:rFonts w:ascii="宋体"/>
                <w:vanish/>
              </w:rPr>
            </w:pPr>
          </w:p>
        </w:tc>
        <w:tc>
          <w:tcPr>
            <w:tcW w:w="0" w:type="auto"/>
            <w:gridSpan w:val="3"/>
            <w:shd w:val="clear" w:color="auto" w:fill="auto"/>
          </w:tcPr>
          <w:p w14:paraId="5EA1F379" w14:textId="77777777" w:rsidR="003C66EB" w:rsidRDefault="003C66EB">
            <w:pPr>
              <w:rPr>
                <w:rFonts w:ascii="宋体"/>
                <w:vanish/>
              </w:rPr>
            </w:pPr>
          </w:p>
        </w:tc>
        <w:tc>
          <w:tcPr>
            <w:tcW w:w="0" w:type="auto"/>
            <w:gridSpan w:val="3"/>
            <w:shd w:val="clear" w:color="auto" w:fill="auto"/>
          </w:tcPr>
          <w:p w14:paraId="5EA1F37A" w14:textId="77777777" w:rsidR="003C66EB" w:rsidRDefault="003C66EB">
            <w:pPr>
              <w:rPr>
                <w:rFonts w:ascii="宋体"/>
                <w:vanish/>
              </w:rPr>
            </w:pPr>
          </w:p>
        </w:tc>
        <w:tc>
          <w:tcPr>
            <w:tcW w:w="0" w:type="auto"/>
            <w:gridSpan w:val="3"/>
            <w:shd w:val="clear" w:color="auto" w:fill="auto"/>
          </w:tcPr>
          <w:p w14:paraId="5EA1F37B" w14:textId="77777777" w:rsidR="003C66EB" w:rsidRDefault="003C66EB">
            <w:pPr>
              <w:rPr>
                <w:rFonts w:ascii="宋体"/>
                <w:vanish/>
              </w:rPr>
            </w:pPr>
          </w:p>
        </w:tc>
        <w:tc>
          <w:tcPr>
            <w:tcW w:w="0" w:type="auto"/>
            <w:gridSpan w:val="3"/>
            <w:shd w:val="clear" w:color="auto" w:fill="auto"/>
          </w:tcPr>
          <w:p w14:paraId="5EA1F37C" w14:textId="77777777" w:rsidR="003C66EB" w:rsidRDefault="003C66EB">
            <w:pPr>
              <w:rPr>
                <w:rFonts w:ascii="宋体"/>
                <w:vanish/>
              </w:rPr>
            </w:pPr>
          </w:p>
        </w:tc>
        <w:tc>
          <w:tcPr>
            <w:tcW w:w="0" w:type="auto"/>
            <w:gridSpan w:val="3"/>
            <w:shd w:val="clear" w:color="auto" w:fill="auto"/>
          </w:tcPr>
          <w:p w14:paraId="5EA1F37D" w14:textId="77777777" w:rsidR="003C66EB" w:rsidRDefault="003C66EB">
            <w:pPr>
              <w:rPr>
                <w:rFonts w:ascii="宋体"/>
                <w:vanish/>
              </w:rPr>
            </w:pPr>
          </w:p>
        </w:tc>
        <w:tc>
          <w:tcPr>
            <w:tcW w:w="0" w:type="auto"/>
            <w:gridSpan w:val="3"/>
            <w:shd w:val="clear" w:color="auto" w:fill="auto"/>
          </w:tcPr>
          <w:p w14:paraId="5EA1F37E" w14:textId="77777777" w:rsidR="003C66EB" w:rsidRDefault="003C66EB">
            <w:pPr>
              <w:rPr>
                <w:rFonts w:ascii="宋体"/>
                <w:vanish/>
              </w:rPr>
            </w:pPr>
          </w:p>
        </w:tc>
      </w:tr>
    </w:tbl>
    <w:p w14:paraId="5EA1F380"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F387" w14:textId="77777777">
        <w:tc>
          <w:tcPr>
            <w:tcW w:w="50" w:type="pct"/>
            <w:shd w:val="clear" w:color="auto" w:fill="auto"/>
          </w:tcPr>
          <w:p w14:paraId="5EA1F381" w14:textId="77777777" w:rsidR="003C66EB" w:rsidRDefault="003C66EB">
            <w:pPr>
              <w:rPr>
                <w:rFonts w:ascii="宋体"/>
              </w:rPr>
            </w:pPr>
          </w:p>
        </w:tc>
        <w:tc>
          <w:tcPr>
            <w:tcW w:w="1348" w:type="pct"/>
            <w:shd w:val="clear" w:color="auto" w:fill="auto"/>
          </w:tcPr>
          <w:p w14:paraId="5EA1F382" w14:textId="77777777" w:rsidR="003C66EB" w:rsidRDefault="003C66EB">
            <w:pPr>
              <w:rPr>
                <w:rFonts w:ascii="宋体"/>
              </w:rPr>
            </w:pPr>
          </w:p>
        </w:tc>
        <w:tc>
          <w:tcPr>
            <w:tcW w:w="5" w:type="pct"/>
            <w:shd w:val="clear" w:color="auto" w:fill="auto"/>
          </w:tcPr>
          <w:p w14:paraId="5EA1F383" w14:textId="77777777" w:rsidR="003C66EB" w:rsidRDefault="003C66EB">
            <w:pPr>
              <w:rPr>
                <w:rFonts w:ascii="宋体"/>
              </w:rPr>
            </w:pPr>
          </w:p>
        </w:tc>
        <w:tc>
          <w:tcPr>
            <w:tcW w:w="50" w:type="pct"/>
            <w:shd w:val="clear" w:color="auto" w:fill="auto"/>
          </w:tcPr>
          <w:p w14:paraId="5EA1F384" w14:textId="77777777" w:rsidR="003C66EB" w:rsidRDefault="003C66EB">
            <w:pPr>
              <w:rPr>
                <w:rFonts w:ascii="宋体"/>
              </w:rPr>
            </w:pPr>
          </w:p>
        </w:tc>
        <w:tc>
          <w:tcPr>
            <w:tcW w:w="3541" w:type="pct"/>
            <w:shd w:val="clear" w:color="auto" w:fill="auto"/>
          </w:tcPr>
          <w:p w14:paraId="5EA1F385" w14:textId="77777777" w:rsidR="003C66EB" w:rsidRDefault="003C66EB">
            <w:pPr>
              <w:rPr>
                <w:rFonts w:ascii="宋体"/>
              </w:rPr>
            </w:pPr>
          </w:p>
        </w:tc>
        <w:tc>
          <w:tcPr>
            <w:tcW w:w="5" w:type="pct"/>
            <w:shd w:val="clear" w:color="auto" w:fill="auto"/>
          </w:tcPr>
          <w:p w14:paraId="5EA1F386" w14:textId="77777777" w:rsidR="003C66EB" w:rsidRDefault="003C66EB">
            <w:pPr>
              <w:rPr>
                <w:rFonts w:ascii="宋体"/>
              </w:rPr>
            </w:pPr>
          </w:p>
        </w:tc>
      </w:tr>
      <w:tr w:rsidR="003C66EB" w14:paraId="5EA1F38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38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389" w14:textId="77777777" w:rsidR="003C66EB" w:rsidRDefault="003C66EB">
            <w:pPr>
              <w:rPr>
                <w:rFonts w:ascii="宋体"/>
              </w:rPr>
            </w:pPr>
          </w:p>
        </w:tc>
      </w:tr>
    </w:tbl>
    <w:p w14:paraId="5EA1F38B" w14:textId="77777777" w:rsidR="003C66EB" w:rsidRDefault="00D96C4E">
      <w:pPr>
        <w:spacing w:before="40"/>
      </w:pPr>
      <w:r>
        <w:rPr>
          <w:rFonts w:ascii="Arial" w:eastAsia="宋体" w:hAnsi="Arial" w:cs="Arial"/>
          <w:color w:val="000000"/>
          <w:sz w:val="8"/>
          <w:szCs w:val="8"/>
        </w:rPr>
        <w:t>(1)</w:t>
      </w:r>
      <w:r>
        <w:rPr>
          <w:rFonts w:ascii="Arial" w:eastAsia="宋体" w:hAnsi="Arial" w:cs="Arial"/>
          <w:color w:val="000000"/>
          <w:sz w:val="13"/>
          <w:szCs w:val="13"/>
        </w:rPr>
        <w:t xml:space="preserve"> Certain fees associated with our GLD ETFs have been reclassified from Foreign exchange trading services to Management fees to better reflect the nature of those fees. Prior periods have been reclassified to conform to current-period presentation. These fe</w:t>
      </w:r>
      <w:r>
        <w:rPr>
          <w:rFonts w:ascii="Arial" w:eastAsia="宋体" w:hAnsi="Arial" w:cs="Arial"/>
          <w:color w:val="000000"/>
          <w:sz w:val="13"/>
          <w:szCs w:val="13"/>
        </w:rPr>
        <w:t xml:space="preserve">es were approximately $15 million in the first quarter of 2020. </w:t>
      </w:r>
    </w:p>
    <w:p w14:paraId="5EA1F38C" w14:textId="77777777" w:rsidR="003C66EB" w:rsidRDefault="00D96C4E">
      <w:pPr>
        <w:spacing w:before="40"/>
      </w:pPr>
      <w:r>
        <w:rPr>
          <w:rFonts w:ascii="Arial" w:eastAsia="宋体" w:hAnsi="Arial" w:cs="Arial"/>
          <w:color w:val="000000"/>
          <w:sz w:val="8"/>
          <w:szCs w:val="8"/>
        </w:rPr>
        <w:t>(2)</w:t>
      </w:r>
      <w:r>
        <w:rPr>
          <w:rFonts w:ascii="Arial" w:eastAsia="宋体" w:hAnsi="Arial" w:cs="Arial"/>
          <w:color w:val="000000"/>
          <w:sz w:val="13"/>
          <w:szCs w:val="13"/>
        </w:rPr>
        <w:t xml:space="preserve"> Includes revenues from SPDR® Gold Shares and SPDR® Gold MiniShares</w:t>
      </w:r>
      <w:r>
        <w:rPr>
          <w:rFonts w:ascii="Arial" w:eastAsia="宋体" w:hAnsi="Arial" w:cs="Arial"/>
          <w:color w:val="000000"/>
          <w:sz w:val="8"/>
          <w:szCs w:val="8"/>
        </w:rPr>
        <w:t>SM</w:t>
      </w:r>
      <w:r>
        <w:rPr>
          <w:rFonts w:ascii="Arial" w:eastAsia="宋体" w:hAnsi="Arial" w:cs="Arial"/>
          <w:color w:val="000000"/>
          <w:sz w:val="13"/>
          <w:szCs w:val="13"/>
        </w:rPr>
        <w:t xml:space="preserve"> Trust AUM where we are not the investment manager but act as the marketing agent.</w:t>
      </w:r>
    </w:p>
    <w:p w14:paraId="5EA1F38D" w14:textId="77777777" w:rsidR="003C66EB" w:rsidRDefault="00D96C4E">
      <w:pPr>
        <w:spacing w:before="40"/>
      </w:pPr>
      <w:r>
        <w:rPr>
          <w:rFonts w:ascii="Arial" w:eastAsia="宋体" w:hAnsi="Arial" w:cs="Arial"/>
          <w:color w:val="000000"/>
          <w:sz w:val="8"/>
          <w:szCs w:val="8"/>
        </w:rPr>
        <w:t>(3)</w:t>
      </w:r>
      <w:r>
        <w:rPr>
          <w:rFonts w:ascii="Arial" w:eastAsia="宋体" w:hAnsi="Arial" w:cs="Arial"/>
          <w:color w:val="000000"/>
          <w:sz w:val="13"/>
          <w:szCs w:val="13"/>
        </w:rPr>
        <w:t xml:space="preserve"> Includes revenue for reimbursements received for certain ETFs associated with State Street Global Advisors where we act as the distribution and marketing agent.</w:t>
      </w:r>
      <w:r>
        <w:rPr>
          <w:rFonts w:ascii="sans-serif" w:eastAsia="宋体" w:hAnsi="sans-serif" w:cs="sans-serif"/>
          <w:color w:val="000000"/>
          <w:sz w:val="13"/>
          <w:szCs w:val="13"/>
        </w:rPr>
        <w:t xml:space="preserve"> </w:t>
      </w:r>
    </w:p>
    <w:p w14:paraId="5EA1F38E" w14:textId="77777777" w:rsidR="003C66EB" w:rsidRDefault="00D96C4E">
      <w:pPr>
        <w:spacing w:before="40"/>
      </w:pPr>
      <w:r>
        <w:rPr>
          <w:rFonts w:ascii="Arial" w:eastAsia="宋体" w:hAnsi="Arial" w:cs="Arial"/>
          <w:color w:val="000000"/>
          <w:sz w:val="8"/>
          <w:szCs w:val="8"/>
        </w:rPr>
        <w:t>(4)</w:t>
      </w:r>
      <w:r>
        <w:rPr>
          <w:rFonts w:ascii="Arial" w:eastAsia="宋体" w:hAnsi="Arial" w:cs="Arial"/>
          <w:color w:val="000000"/>
          <w:sz w:val="13"/>
          <w:szCs w:val="13"/>
        </w:rPr>
        <w:t xml:space="preserve"> Inc</w:t>
      </w:r>
      <w:r>
        <w:rPr>
          <w:rFonts w:ascii="Arial" w:eastAsia="宋体" w:hAnsi="Arial" w:cs="Arial"/>
          <w:color w:val="000000"/>
          <w:sz w:val="13"/>
          <w:szCs w:val="13"/>
        </w:rPr>
        <w:t>ludes other revenue items that are primarily driven by equity market movements.</w:t>
      </w:r>
    </w:p>
    <w:p w14:paraId="5EA1F38F" w14:textId="77777777" w:rsidR="003C66EB" w:rsidRDefault="00D96C4E">
      <w:pPr>
        <w:spacing w:before="40"/>
      </w:pPr>
      <w:r>
        <w:rPr>
          <w:rFonts w:ascii="Arial" w:eastAsia="宋体" w:hAnsi="Arial" w:cs="Arial"/>
          <w:color w:val="000000"/>
          <w:sz w:val="8"/>
          <w:szCs w:val="8"/>
        </w:rPr>
        <w:t>nm</w:t>
      </w:r>
      <w:r>
        <w:rPr>
          <w:rFonts w:ascii="Arial" w:eastAsia="宋体" w:hAnsi="Arial" w:cs="Arial"/>
          <w:color w:val="000000"/>
          <w:sz w:val="13"/>
          <w:szCs w:val="13"/>
        </w:rPr>
        <w:t xml:space="preserve"> Not meaningful </w:t>
      </w:r>
    </w:p>
    <w:p w14:paraId="5EA1F390" w14:textId="77777777" w:rsidR="003C66EB" w:rsidRDefault="00D96C4E">
      <w:pPr>
        <w:spacing w:before="60"/>
        <w:ind w:firstLine="450"/>
        <w:jc w:val="both"/>
      </w:pPr>
      <w:r>
        <w:rPr>
          <w:rFonts w:ascii="Arial" w:eastAsia="宋体" w:hAnsi="Arial" w:cs="Arial"/>
          <w:color w:val="000000"/>
          <w:sz w:val="20"/>
          <w:szCs w:val="20"/>
        </w:rPr>
        <w:t>Investment Management total revenue increased 12% in the first quarter of 2021 compared to the same period in 2020.</w:t>
      </w:r>
      <w:r>
        <w:rPr>
          <w:rFonts w:ascii="Arial" w:eastAsia="宋体" w:hAnsi="Arial" w:cs="Arial"/>
          <w:color w:val="FF0000"/>
        </w:rPr>
        <w:t xml:space="preserve"> </w:t>
      </w:r>
    </w:p>
    <w:p w14:paraId="5EA1F391" w14:textId="77777777" w:rsidR="003C66EB" w:rsidRDefault="00D96C4E">
      <w:pPr>
        <w:spacing w:before="60"/>
        <w:jc w:val="both"/>
      </w:pPr>
      <w:r>
        <w:rPr>
          <w:rFonts w:ascii="Arial" w:eastAsia="宋体" w:hAnsi="Arial" w:cs="Arial"/>
          <w:b/>
          <w:bCs/>
          <w:i/>
          <w:iCs/>
          <w:color w:val="000000"/>
          <w:sz w:val="20"/>
          <w:szCs w:val="20"/>
        </w:rPr>
        <w:t>Management Fees</w:t>
      </w:r>
    </w:p>
    <w:p w14:paraId="5EA1F392" w14:textId="77777777" w:rsidR="003C66EB" w:rsidRDefault="00D96C4E">
      <w:pPr>
        <w:spacing w:before="60"/>
        <w:ind w:firstLine="450"/>
        <w:jc w:val="both"/>
      </w:pPr>
      <w:r>
        <w:rPr>
          <w:rFonts w:ascii="Arial" w:eastAsia="宋体" w:hAnsi="Arial" w:cs="Arial"/>
          <w:color w:val="000000"/>
          <w:sz w:val="20"/>
          <w:szCs w:val="20"/>
        </w:rPr>
        <w:t xml:space="preserve">Management fees </w:t>
      </w:r>
      <w:r>
        <w:rPr>
          <w:rFonts w:ascii="Arial" w:eastAsia="宋体" w:hAnsi="Arial" w:cs="Arial"/>
          <w:color w:val="000000"/>
          <w:sz w:val="20"/>
          <w:szCs w:val="20"/>
        </w:rPr>
        <w:t>increased 6% in the first quarter of 2021 compared to the same period in 2020, primarily due to higher average equity market levels and net inflows from ETFs and cash, partially offset by an idiosyncratic institutional client asset reallocation from higher</w:t>
      </w:r>
      <w:r>
        <w:rPr>
          <w:rFonts w:ascii="Arial" w:eastAsia="宋体" w:hAnsi="Arial" w:cs="Arial"/>
          <w:color w:val="000000"/>
          <w:sz w:val="20"/>
          <w:szCs w:val="20"/>
        </w:rPr>
        <w:t xml:space="preserve"> fee products as a result of a change in their investment strategy and higher money market fee waivers. Currency translation increased management fees by 2% in the first quarter of 2021, relative to the same period in 2020.</w:t>
      </w:r>
    </w:p>
    <w:p w14:paraId="5EA1F393" w14:textId="77777777" w:rsidR="003C66EB" w:rsidRDefault="00D96C4E">
      <w:pPr>
        <w:spacing w:before="60"/>
        <w:ind w:firstLine="450"/>
        <w:jc w:val="both"/>
      </w:pPr>
      <w:r>
        <w:rPr>
          <w:rFonts w:ascii="Arial" w:eastAsia="宋体" w:hAnsi="Arial" w:cs="Arial"/>
          <w:color w:val="000000"/>
          <w:sz w:val="20"/>
          <w:szCs w:val="20"/>
        </w:rPr>
        <w:t>Management fees generated outsid</w:t>
      </w:r>
      <w:r>
        <w:rPr>
          <w:rFonts w:ascii="Arial" w:eastAsia="宋体" w:hAnsi="Arial" w:cs="Arial"/>
          <w:color w:val="000000"/>
          <w:sz w:val="20"/>
          <w:szCs w:val="20"/>
        </w:rPr>
        <w:t>e the U.S. were approximately 27% of total management fees in the first quarter of 2021 compared to approximately 28% in the same period in 2020.</w:t>
      </w:r>
    </w:p>
    <w:tbl>
      <w:tblPr>
        <w:tblW w:w="4993" w:type="pct"/>
        <w:jc w:val="right"/>
        <w:tblCellMar>
          <w:top w:w="15" w:type="dxa"/>
          <w:left w:w="15" w:type="dxa"/>
          <w:bottom w:w="15" w:type="dxa"/>
          <w:right w:w="15" w:type="dxa"/>
        </w:tblCellMar>
        <w:tblLook w:val="04A0" w:firstRow="1" w:lastRow="0" w:firstColumn="1" w:lastColumn="0" w:noHBand="0" w:noVBand="1"/>
      </w:tblPr>
      <w:tblGrid>
        <w:gridCol w:w="39"/>
        <w:gridCol w:w="3226"/>
        <w:gridCol w:w="37"/>
        <w:gridCol w:w="104"/>
        <w:gridCol w:w="1149"/>
        <w:gridCol w:w="36"/>
        <w:gridCol w:w="36"/>
        <w:gridCol w:w="36"/>
        <w:gridCol w:w="36"/>
        <w:gridCol w:w="105"/>
        <w:gridCol w:w="1149"/>
        <w:gridCol w:w="37"/>
        <w:gridCol w:w="36"/>
        <w:gridCol w:w="36"/>
        <w:gridCol w:w="36"/>
        <w:gridCol w:w="104"/>
        <w:gridCol w:w="115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1F3B0" w14:textId="77777777">
        <w:trPr>
          <w:jc w:val="right"/>
        </w:trPr>
        <w:tc>
          <w:tcPr>
            <w:tcW w:w="50" w:type="pct"/>
            <w:shd w:val="clear" w:color="auto" w:fill="auto"/>
          </w:tcPr>
          <w:p w14:paraId="5EA1F394" w14:textId="77777777" w:rsidR="003C66EB" w:rsidRDefault="003C66EB">
            <w:pPr>
              <w:rPr>
                <w:rFonts w:ascii="宋体"/>
              </w:rPr>
            </w:pPr>
          </w:p>
        </w:tc>
        <w:tc>
          <w:tcPr>
            <w:tcW w:w="2251" w:type="pct"/>
            <w:shd w:val="clear" w:color="auto" w:fill="auto"/>
          </w:tcPr>
          <w:p w14:paraId="5EA1F395" w14:textId="77777777" w:rsidR="003C66EB" w:rsidRDefault="003C66EB">
            <w:pPr>
              <w:rPr>
                <w:rFonts w:ascii="宋体"/>
              </w:rPr>
            </w:pPr>
          </w:p>
        </w:tc>
        <w:tc>
          <w:tcPr>
            <w:tcW w:w="5" w:type="pct"/>
            <w:shd w:val="clear" w:color="auto" w:fill="auto"/>
          </w:tcPr>
          <w:p w14:paraId="5EA1F396" w14:textId="77777777" w:rsidR="003C66EB" w:rsidRDefault="003C66EB">
            <w:pPr>
              <w:rPr>
                <w:rFonts w:ascii="宋体"/>
              </w:rPr>
            </w:pPr>
          </w:p>
        </w:tc>
        <w:tc>
          <w:tcPr>
            <w:tcW w:w="50" w:type="pct"/>
            <w:shd w:val="clear" w:color="auto" w:fill="auto"/>
          </w:tcPr>
          <w:p w14:paraId="5EA1F397" w14:textId="77777777" w:rsidR="003C66EB" w:rsidRDefault="003C66EB">
            <w:pPr>
              <w:rPr>
                <w:rFonts w:ascii="宋体"/>
              </w:rPr>
            </w:pPr>
          </w:p>
        </w:tc>
        <w:tc>
          <w:tcPr>
            <w:tcW w:w="823" w:type="pct"/>
            <w:shd w:val="clear" w:color="auto" w:fill="auto"/>
          </w:tcPr>
          <w:p w14:paraId="5EA1F398" w14:textId="77777777" w:rsidR="003C66EB" w:rsidRDefault="003C66EB">
            <w:pPr>
              <w:rPr>
                <w:rFonts w:ascii="宋体"/>
              </w:rPr>
            </w:pPr>
          </w:p>
        </w:tc>
        <w:tc>
          <w:tcPr>
            <w:tcW w:w="5" w:type="pct"/>
            <w:shd w:val="clear" w:color="auto" w:fill="auto"/>
          </w:tcPr>
          <w:p w14:paraId="5EA1F399" w14:textId="77777777" w:rsidR="003C66EB" w:rsidRDefault="003C66EB">
            <w:pPr>
              <w:rPr>
                <w:rFonts w:ascii="宋体"/>
              </w:rPr>
            </w:pPr>
          </w:p>
        </w:tc>
        <w:tc>
          <w:tcPr>
            <w:tcW w:w="5" w:type="pct"/>
            <w:shd w:val="clear" w:color="auto" w:fill="auto"/>
          </w:tcPr>
          <w:p w14:paraId="5EA1F39A" w14:textId="77777777" w:rsidR="003C66EB" w:rsidRDefault="003C66EB">
            <w:pPr>
              <w:rPr>
                <w:rFonts w:ascii="宋体"/>
              </w:rPr>
            </w:pPr>
          </w:p>
        </w:tc>
        <w:tc>
          <w:tcPr>
            <w:tcW w:w="19" w:type="pct"/>
            <w:shd w:val="clear" w:color="auto" w:fill="auto"/>
          </w:tcPr>
          <w:p w14:paraId="5EA1F39B" w14:textId="77777777" w:rsidR="003C66EB" w:rsidRDefault="003C66EB">
            <w:pPr>
              <w:rPr>
                <w:rFonts w:ascii="宋体"/>
              </w:rPr>
            </w:pPr>
          </w:p>
        </w:tc>
        <w:tc>
          <w:tcPr>
            <w:tcW w:w="5" w:type="pct"/>
            <w:shd w:val="clear" w:color="auto" w:fill="auto"/>
          </w:tcPr>
          <w:p w14:paraId="5EA1F39C" w14:textId="77777777" w:rsidR="003C66EB" w:rsidRDefault="003C66EB">
            <w:pPr>
              <w:rPr>
                <w:rFonts w:ascii="宋体"/>
              </w:rPr>
            </w:pPr>
          </w:p>
        </w:tc>
        <w:tc>
          <w:tcPr>
            <w:tcW w:w="50" w:type="pct"/>
            <w:shd w:val="clear" w:color="auto" w:fill="auto"/>
          </w:tcPr>
          <w:p w14:paraId="5EA1F39D" w14:textId="77777777" w:rsidR="003C66EB" w:rsidRDefault="003C66EB">
            <w:pPr>
              <w:rPr>
                <w:rFonts w:ascii="宋体"/>
              </w:rPr>
            </w:pPr>
          </w:p>
        </w:tc>
        <w:tc>
          <w:tcPr>
            <w:tcW w:w="823" w:type="pct"/>
            <w:shd w:val="clear" w:color="auto" w:fill="auto"/>
          </w:tcPr>
          <w:p w14:paraId="5EA1F39E" w14:textId="77777777" w:rsidR="003C66EB" w:rsidRDefault="003C66EB">
            <w:pPr>
              <w:rPr>
                <w:rFonts w:ascii="宋体"/>
              </w:rPr>
            </w:pPr>
          </w:p>
        </w:tc>
        <w:tc>
          <w:tcPr>
            <w:tcW w:w="5" w:type="pct"/>
            <w:shd w:val="clear" w:color="auto" w:fill="auto"/>
          </w:tcPr>
          <w:p w14:paraId="5EA1F39F" w14:textId="77777777" w:rsidR="003C66EB" w:rsidRDefault="003C66EB">
            <w:pPr>
              <w:rPr>
                <w:rFonts w:ascii="宋体"/>
              </w:rPr>
            </w:pPr>
          </w:p>
        </w:tc>
        <w:tc>
          <w:tcPr>
            <w:tcW w:w="5" w:type="pct"/>
            <w:shd w:val="clear" w:color="auto" w:fill="auto"/>
          </w:tcPr>
          <w:p w14:paraId="5EA1F3A0" w14:textId="77777777" w:rsidR="003C66EB" w:rsidRDefault="003C66EB">
            <w:pPr>
              <w:rPr>
                <w:rFonts w:ascii="宋体"/>
              </w:rPr>
            </w:pPr>
          </w:p>
        </w:tc>
        <w:tc>
          <w:tcPr>
            <w:tcW w:w="19" w:type="pct"/>
            <w:shd w:val="clear" w:color="auto" w:fill="auto"/>
          </w:tcPr>
          <w:p w14:paraId="5EA1F3A1" w14:textId="77777777" w:rsidR="003C66EB" w:rsidRDefault="003C66EB">
            <w:pPr>
              <w:rPr>
                <w:rFonts w:ascii="宋体"/>
              </w:rPr>
            </w:pPr>
          </w:p>
        </w:tc>
        <w:tc>
          <w:tcPr>
            <w:tcW w:w="5" w:type="pct"/>
            <w:shd w:val="clear" w:color="auto" w:fill="auto"/>
          </w:tcPr>
          <w:p w14:paraId="5EA1F3A2" w14:textId="77777777" w:rsidR="003C66EB" w:rsidRDefault="003C66EB">
            <w:pPr>
              <w:rPr>
                <w:rFonts w:ascii="宋体"/>
              </w:rPr>
            </w:pPr>
          </w:p>
        </w:tc>
        <w:tc>
          <w:tcPr>
            <w:tcW w:w="50" w:type="pct"/>
            <w:shd w:val="clear" w:color="auto" w:fill="auto"/>
          </w:tcPr>
          <w:p w14:paraId="5EA1F3A3" w14:textId="77777777" w:rsidR="003C66EB" w:rsidRDefault="003C66EB">
            <w:pPr>
              <w:rPr>
                <w:rFonts w:ascii="宋体"/>
              </w:rPr>
            </w:pPr>
          </w:p>
        </w:tc>
        <w:tc>
          <w:tcPr>
            <w:tcW w:w="823" w:type="pct"/>
            <w:shd w:val="clear" w:color="auto" w:fill="auto"/>
          </w:tcPr>
          <w:p w14:paraId="5EA1F3A4" w14:textId="77777777" w:rsidR="003C66EB" w:rsidRDefault="003C66EB">
            <w:pPr>
              <w:rPr>
                <w:rFonts w:ascii="宋体"/>
              </w:rPr>
            </w:pPr>
          </w:p>
        </w:tc>
        <w:tc>
          <w:tcPr>
            <w:tcW w:w="5" w:type="pct"/>
            <w:shd w:val="clear" w:color="auto" w:fill="auto"/>
          </w:tcPr>
          <w:p w14:paraId="5EA1F3A5" w14:textId="77777777" w:rsidR="003C66EB" w:rsidRDefault="003C66EB">
            <w:pPr>
              <w:rPr>
                <w:rFonts w:ascii="宋体"/>
              </w:rPr>
            </w:pPr>
          </w:p>
        </w:tc>
        <w:tc>
          <w:tcPr>
            <w:tcW w:w="0" w:type="auto"/>
            <w:shd w:val="clear" w:color="auto" w:fill="auto"/>
          </w:tcPr>
          <w:p w14:paraId="5EA1F3A6" w14:textId="77777777" w:rsidR="003C66EB" w:rsidRDefault="003C66EB">
            <w:pPr>
              <w:rPr>
                <w:rFonts w:ascii="宋体"/>
                <w:vanish/>
              </w:rPr>
            </w:pPr>
          </w:p>
        </w:tc>
        <w:tc>
          <w:tcPr>
            <w:tcW w:w="0" w:type="auto"/>
            <w:shd w:val="clear" w:color="auto" w:fill="auto"/>
          </w:tcPr>
          <w:p w14:paraId="5EA1F3A7" w14:textId="77777777" w:rsidR="003C66EB" w:rsidRDefault="003C66EB">
            <w:pPr>
              <w:rPr>
                <w:rFonts w:ascii="宋体"/>
                <w:vanish/>
              </w:rPr>
            </w:pPr>
          </w:p>
        </w:tc>
        <w:tc>
          <w:tcPr>
            <w:tcW w:w="0" w:type="auto"/>
            <w:gridSpan w:val="3"/>
            <w:shd w:val="clear" w:color="auto" w:fill="auto"/>
          </w:tcPr>
          <w:p w14:paraId="5EA1F3A8" w14:textId="77777777" w:rsidR="003C66EB" w:rsidRDefault="003C66EB">
            <w:pPr>
              <w:rPr>
                <w:rFonts w:ascii="宋体"/>
                <w:vanish/>
              </w:rPr>
            </w:pPr>
          </w:p>
        </w:tc>
        <w:tc>
          <w:tcPr>
            <w:tcW w:w="0" w:type="auto"/>
            <w:gridSpan w:val="3"/>
            <w:shd w:val="clear" w:color="auto" w:fill="auto"/>
          </w:tcPr>
          <w:p w14:paraId="5EA1F3A9" w14:textId="77777777" w:rsidR="003C66EB" w:rsidRDefault="003C66EB">
            <w:pPr>
              <w:rPr>
                <w:rFonts w:ascii="宋体"/>
                <w:vanish/>
              </w:rPr>
            </w:pPr>
          </w:p>
        </w:tc>
        <w:tc>
          <w:tcPr>
            <w:tcW w:w="0" w:type="auto"/>
            <w:gridSpan w:val="3"/>
            <w:shd w:val="clear" w:color="auto" w:fill="auto"/>
          </w:tcPr>
          <w:p w14:paraId="5EA1F3AA" w14:textId="77777777" w:rsidR="003C66EB" w:rsidRDefault="003C66EB">
            <w:pPr>
              <w:rPr>
                <w:rFonts w:ascii="宋体"/>
                <w:vanish/>
              </w:rPr>
            </w:pPr>
          </w:p>
        </w:tc>
        <w:tc>
          <w:tcPr>
            <w:tcW w:w="0" w:type="auto"/>
            <w:gridSpan w:val="3"/>
            <w:shd w:val="clear" w:color="auto" w:fill="auto"/>
          </w:tcPr>
          <w:p w14:paraId="5EA1F3AB" w14:textId="77777777" w:rsidR="003C66EB" w:rsidRDefault="003C66EB">
            <w:pPr>
              <w:rPr>
                <w:rFonts w:ascii="宋体"/>
                <w:vanish/>
              </w:rPr>
            </w:pPr>
          </w:p>
        </w:tc>
        <w:tc>
          <w:tcPr>
            <w:tcW w:w="0" w:type="auto"/>
            <w:gridSpan w:val="3"/>
            <w:shd w:val="clear" w:color="auto" w:fill="auto"/>
          </w:tcPr>
          <w:p w14:paraId="5EA1F3AC" w14:textId="77777777" w:rsidR="003C66EB" w:rsidRDefault="003C66EB">
            <w:pPr>
              <w:rPr>
                <w:rFonts w:ascii="宋体"/>
                <w:vanish/>
              </w:rPr>
            </w:pPr>
          </w:p>
        </w:tc>
        <w:tc>
          <w:tcPr>
            <w:tcW w:w="0" w:type="auto"/>
            <w:gridSpan w:val="3"/>
            <w:shd w:val="clear" w:color="auto" w:fill="auto"/>
          </w:tcPr>
          <w:p w14:paraId="5EA1F3AD" w14:textId="77777777" w:rsidR="003C66EB" w:rsidRDefault="003C66EB">
            <w:pPr>
              <w:rPr>
                <w:rFonts w:ascii="宋体"/>
                <w:vanish/>
              </w:rPr>
            </w:pPr>
          </w:p>
        </w:tc>
        <w:tc>
          <w:tcPr>
            <w:tcW w:w="0" w:type="auto"/>
            <w:gridSpan w:val="3"/>
            <w:shd w:val="clear" w:color="auto" w:fill="auto"/>
          </w:tcPr>
          <w:p w14:paraId="5EA1F3AE" w14:textId="77777777" w:rsidR="003C66EB" w:rsidRDefault="003C66EB">
            <w:pPr>
              <w:rPr>
                <w:rFonts w:ascii="宋体"/>
                <w:vanish/>
              </w:rPr>
            </w:pPr>
          </w:p>
        </w:tc>
        <w:tc>
          <w:tcPr>
            <w:tcW w:w="0" w:type="auto"/>
            <w:gridSpan w:val="3"/>
            <w:shd w:val="clear" w:color="auto" w:fill="auto"/>
          </w:tcPr>
          <w:p w14:paraId="5EA1F3AF" w14:textId="77777777" w:rsidR="003C66EB" w:rsidRDefault="003C66EB">
            <w:pPr>
              <w:rPr>
                <w:rFonts w:ascii="宋体"/>
                <w:vanish/>
              </w:rPr>
            </w:pPr>
          </w:p>
        </w:tc>
      </w:tr>
      <w:tr w:rsidR="003C66EB" w14:paraId="5EA1F3BC" w14:textId="77777777">
        <w:trPr>
          <w:jc w:val="right"/>
        </w:trPr>
        <w:tc>
          <w:tcPr>
            <w:tcW w:w="0" w:type="auto"/>
            <w:gridSpan w:val="18"/>
            <w:shd w:val="clear" w:color="auto" w:fill="auto"/>
            <w:tcMar>
              <w:top w:w="40" w:type="dxa"/>
              <w:left w:w="20" w:type="dxa"/>
              <w:bottom w:w="40" w:type="dxa"/>
              <w:right w:w="20" w:type="dxa"/>
            </w:tcMar>
            <w:vAlign w:val="bottom"/>
          </w:tcPr>
          <w:p w14:paraId="5EA1F3B1" w14:textId="77777777" w:rsidR="003C66EB" w:rsidRDefault="00D96C4E">
            <w:pPr>
              <w:textAlignment w:val="bottom"/>
            </w:pPr>
            <w:r>
              <w:rPr>
                <w:rFonts w:ascii="Arial" w:eastAsia="宋体" w:hAnsi="Arial" w:cs="Arial"/>
                <w:b/>
                <w:bCs/>
                <w:color w:val="000000"/>
                <w:sz w:val="16"/>
                <w:szCs w:val="16"/>
              </w:rPr>
              <w:t>TABLE 15: ASSETS UNDER MANAGEMENT BY ASSET CLASS AND INVESTMENT APPROACH</w:t>
            </w:r>
          </w:p>
        </w:tc>
        <w:tc>
          <w:tcPr>
            <w:tcW w:w="0" w:type="auto"/>
            <w:shd w:val="clear" w:color="auto" w:fill="auto"/>
          </w:tcPr>
          <w:p w14:paraId="5EA1F3B2" w14:textId="77777777" w:rsidR="003C66EB" w:rsidRDefault="003C66EB">
            <w:pPr>
              <w:rPr>
                <w:rFonts w:ascii="宋体"/>
                <w:vanish/>
              </w:rPr>
            </w:pPr>
          </w:p>
        </w:tc>
        <w:tc>
          <w:tcPr>
            <w:tcW w:w="0" w:type="auto"/>
            <w:shd w:val="clear" w:color="auto" w:fill="auto"/>
          </w:tcPr>
          <w:p w14:paraId="5EA1F3B3" w14:textId="77777777" w:rsidR="003C66EB" w:rsidRDefault="003C66EB">
            <w:pPr>
              <w:rPr>
                <w:rFonts w:ascii="宋体"/>
                <w:vanish/>
              </w:rPr>
            </w:pPr>
          </w:p>
        </w:tc>
        <w:tc>
          <w:tcPr>
            <w:tcW w:w="0" w:type="auto"/>
            <w:gridSpan w:val="3"/>
            <w:shd w:val="clear" w:color="auto" w:fill="auto"/>
          </w:tcPr>
          <w:p w14:paraId="5EA1F3B4" w14:textId="77777777" w:rsidR="003C66EB" w:rsidRDefault="003C66EB">
            <w:pPr>
              <w:rPr>
                <w:rFonts w:ascii="宋体"/>
                <w:vanish/>
              </w:rPr>
            </w:pPr>
          </w:p>
        </w:tc>
        <w:tc>
          <w:tcPr>
            <w:tcW w:w="0" w:type="auto"/>
            <w:gridSpan w:val="3"/>
            <w:shd w:val="clear" w:color="auto" w:fill="auto"/>
          </w:tcPr>
          <w:p w14:paraId="5EA1F3B5" w14:textId="77777777" w:rsidR="003C66EB" w:rsidRDefault="003C66EB">
            <w:pPr>
              <w:rPr>
                <w:rFonts w:ascii="宋体"/>
                <w:vanish/>
              </w:rPr>
            </w:pPr>
          </w:p>
        </w:tc>
        <w:tc>
          <w:tcPr>
            <w:tcW w:w="0" w:type="auto"/>
            <w:gridSpan w:val="3"/>
            <w:shd w:val="clear" w:color="auto" w:fill="auto"/>
          </w:tcPr>
          <w:p w14:paraId="5EA1F3B6" w14:textId="77777777" w:rsidR="003C66EB" w:rsidRDefault="003C66EB">
            <w:pPr>
              <w:rPr>
                <w:rFonts w:ascii="宋体"/>
                <w:vanish/>
              </w:rPr>
            </w:pPr>
          </w:p>
        </w:tc>
        <w:tc>
          <w:tcPr>
            <w:tcW w:w="0" w:type="auto"/>
            <w:gridSpan w:val="3"/>
            <w:shd w:val="clear" w:color="auto" w:fill="auto"/>
          </w:tcPr>
          <w:p w14:paraId="5EA1F3B7" w14:textId="77777777" w:rsidR="003C66EB" w:rsidRDefault="003C66EB">
            <w:pPr>
              <w:rPr>
                <w:rFonts w:ascii="宋体"/>
                <w:vanish/>
              </w:rPr>
            </w:pPr>
          </w:p>
        </w:tc>
        <w:tc>
          <w:tcPr>
            <w:tcW w:w="0" w:type="auto"/>
            <w:gridSpan w:val="3"/>
            <w:shd w:val="clear" w:color="auto" w:fill="auto"/>
          </w:tcPr>
          <w:p w14:paraId="5EA1F3B8" w14:textId="77777777" w:rsidR="003C66EB" w:rsidRDefault="003C66EB">
            <w:pPr>
              <w:rPr>
                <w:rFonts w:ascii="宋体"/>
                <w:vanish/>
              </w:rPr>
            </w:pPr>
          </w:p>
        </w:tc>
        <w:tc>
          <w:tcPr>
            <w:tcW w:w="0" w:type="auto"/>
            <w:gridSpan w:val="3"/>
            <w:shd w:val="clear" w:color="auto" w:fill="auto"/>
          </w:tcPr>
          <w:p w14:paraId="5EA1F3B9" w14:textId="77777777" w:rsidR="003C66EB" w:rsidRDefault="003C66EB">
            <w:pPr>
              <w:rPr>
                <w:rFonts w:ascii="宋体"/>
                <w:vanish/>
              </w:rPr>
            </w:pPr>
          </w:p>
        </w:tc>
        <w:tc>
          <w:tcPr>
            <w:tcW w:w="0" w:type="auto"/>
            <w:gridSpan w:val="3"/>
            <w:shd w:val="clear" w:color="auto" w:fill="auto"/>
          </w:tcPr>
          <w:p w14:paraId="5EA1F3BA" w14:textId="77777777" w:rsidR="003C66EB" w:rsidRDefault="003C66EB">
            <w:pPr>
              <w:rPr>
                <w:rFonts w:ascii="宋体"/>
                <w:vanish/>
              </w:rPr>
            </w:pPr>
          </w:p>
        </w:tc>
        <w:tc>
          <w:tcPr>
            <w:tcW w:w="0" w:type="auto"/>
            <w:gridSpan w:val="3"/>
            <w:shd w:val="clear" w:color="auto" w:fill="auto"/>
          </w:tcPr>
          <w:p w14:paraId="5EA1F3BB" w14:textId="77777777" w:rsidR="003C66EB" w:rsidRDefault="003C66EB">
            <w:pPr>
              <w:rPr>
                <w:rFonts w:ascii="宋体"/>
                <w:vanish/>
              </w:rPr>
            </w:pPr>
          </w:p>
        </w:tc>
      </w:tr>
      <w:tr w:rsidR="003C66EB" w14:paraId="5EA1F3CD" w14:textId="77777777">
        <w:trPr>
          <w:jc w:val="right"/>
        </w:trPr>
        <w:tc>
          <w:tcPr>
            <w:tcW w:w="0" w:type="auto"/>
            <w:gridSpan w:val="3"/>
            <w:shd w:val="clear" w:color="auto" w:fill="auto"/>
            <w:tcMar>
              <w:top w:w="40" w:type="dxa"/>
              <w:left w:w="20" w:type="dxa"/>
              <w:bottom w:w="40" w:type="dxa"/>
              <w:right w:w="20" w:type="dxa"/>
            </w:tcMar>
            <w:vAlign w:val="bottom"/>
          </w:tcPr>
          <w:p w14:paraId="5EA1F3BD" w14:textId="77777777" w:rsidR="003C66EB" w:rsidRDefault="00D96C4E">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A1F3BE"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3BF" w14:textId="77777777" w:rsidR="003C66EB" w:rsidRDefault="003C66E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A1F3C0"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1F3C1" w14:textId="77777777" w:rsidR="003C66EB" w:rsidRDefault="003C66E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A1F3C2"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Pr>
          <w:p w14:paraId="5EA1F3C3" w14:textId="77777777" w:rsidR="003C66EB" w:rsidRDefault="003C66EB">
            <w:pPr>
              <w:rPr>
                <w:rFonts w:ascii="宋体"/>
                <w:vanish/>
              </w:rPr>
            </w:pPr>
          </w:p>
        </w:tc>
        <w:tc>
          <w:tcPr>
            <w:tcW w:w="0" w:type="auto"/>
            <w:shd w:val="clear" w:color="auto" w:fill="auto"/>
          </w:tcPr>
          <w:p w14:paraId="5EA1F3C4" w14:textId="77777777" w:rsidR="003C66EB" w:rsidRDefault="003C66EB">
            <w:pPr>
              <w:rPr>
                <w:rFonts w:ascii="宋体"/>
                <w:vanish/>
              </w:rPr>
            </w:pPr>
          </w:p>
        </w:tc>
        <w:tc>
          <w:tcPr>
            <w:tcW w:w="0" w:type="auto"/>
            <w:gridSpan w:val="3"/>
            <w:shd w:val="clear" w:color="auto" w:fill="auto"/>
          </w:tcPr>
          <w:p w14:paraId="5EA1F3C5" w14:textId="77777777" w:rsidR="003C66EB" w:rsidRDefault="003C66EB">
            <w:pPr>
              <w:rPr>
                <w:rFonts w:ascii="宋体"/>
                <w:vanish/>
              </w:rPr>
            </w:pPr>
          </w:p>
        </w:tc>
        <w:tc>
          <w:tcPr>
            <w:tcW w:w="0" w:type="auto"/>
            <w:gridSpan w:val="3"/>
            <w:shd w:val="clear" w:color="auto" w:fill="auto"/>
          </w:tcPr>
          <w:p w14:paraId="5EA1F3C6" w14:textId="77777777" w:rsidR="003C66EB" w:rsidRDefault="003C66EB">
            <w:pPr>
              <w:rPr>
                <w:rFonts w:ascii="宋体"/>
                <w:vanish/>
              </w:rPr>
            </w:pPr>
          </w:p>
        </w:tc>
        <w:tc>
          <w:tcPr>
            <w:tcW w:w="0" w:type="auto"/>
            <w:gridSpan w:val="3"/>
            <w:shd w:val="clear" w:color="auto" w:fill="auto"/>
          </w:tcPr>
          <w:p w14:paraId="5EA1F3C7" w14:textId="77777777" w:rsidR="003C66EB" w:rsidRDefault="003C66EB">
            <w:pPr>
              <w:rPr>
                <w:rFonts w:ascii="宋体"/>
                <w:vanish/>
              </w:rPr>
            </w:pPr>
          </w:p>
        </w:tc>
        <w:tc>
          <w:tcPr>
            <w:tcW w:w="0" w:type="auto"/>
            <w:gridSpan w:val="3"/>
            <w:shd w:val="clear" w:color="auto" w:fill="auto"/>
          </w:tcPr>
          <w:p w14:paraId="5EA1F3C8" w14:textId="77777777" w:rsidR="003C66EB" w:rsidRDefault="003C66EB">
            <w:pPr>
              <w:rPr>
                <w:rFonts w:ascii="宋体"/>
                <w:vanish/>
              </w:rPr>
            </w:pPr>
          </w:p>
        </w:tc>
        <w:tc>
          <w:tcPr>
            <w:tcW w:w="0" w:type="auto"/>
            <w:gridSpan w:val="3"/>
            <w:shd w:val="clear" w:color="auto" w:fill="auto"/>
          </w:tcPr>
          <w:p w14:paraId="5EA1F3C9" w14:textId="77777777" w:rsidR="003C66EB" w:rsidRDefault="003C66EB">
            <w:pPr>
              <w:rPr>
                <w:rFonts w:ascii="宋体"/>
                <w:vanish/>
              </w:rPr>
            </w:pPr>
          </w:p>
        </w:tc>
        <w:tc>
          <w:tcPr>
            <w:tcW w:w="0" w:type="auto"/>
            <w:gridSpan w:val="3"/>
            <w:shd w:val="clear" w:color="auto" w:fill="auto"/>
          </w:tcPr>
          <w:p w14:paraId="5EA1F3CA" w14:textId="77777777" w:rsidR="003C66EB" w:rsidRDefault="003C66EB">
            <w:pPr>
              <w:rPr>
                <w:rFonts w:ascii="宋体"/>
                <w:vanish/>
              </w:rPr>
            </w:pPr>
          </w:p>
        </w:tc>
        <w:tc>
          <w:tcPr>
            <w:tcW w:w="0" w:type="auto"/>
            <w:gridSpan w:val="3"/>
            <w:shd w:val="clear" w:color="auto" w:fill="auto"/>
          </w:tcPr>
          <w:p w14:paraId="5EA1F3CB" w14:textId="77777777" w:rsidR="003C66EB" w:rsidRDefault="003C66EB">
            <w:pPr>
              <w:rPr>
                <w:rFonts w:ascii="宋体"/>
                <w:vanish/>
              </w:rPr>
            </w:pPr>
          </w:p>
        </w:tc>
        <w:tc>
          <w:tcPr>
            <w:tcW w:w="0" w:type="auto"/>
            <w:gridSpan w:val="3"/>
            <w:shd w:val="clear" w:color="auto" w:fill="auto"/>
          </w:tcPr>
          <w:p w14:paraId="5EA1F3CC" w14:textId="77777777" w:rsidR="003C66EB" w:rsidRDefault="003C66EB">
            <w:pPr>
              <w:rPr>
                <w:rFonts w:ascii="宋体"/>
                <w:vanish/>
              </w:rPr>
            </w:pPr>
          </w:p>
        </w:tc>
      </w:tr>
      <w:tr w:rsidR="003C66EB" w14:paraId="5EA1F3E9" w14:textId="77777777">
        <w:trPr>
          <w:jc w:val="right"/>
        </w:trPr>
        <w:tc>
          <w:tcPr>
            <w:tcW w:w="0" w:type="auto"/>
            <w:gridSpan w:val="18"/>
            <w:shd w:val="clear" w:color="auto" w:fill="auto"/>
            <w:tcMar>
              <w:top w:w="40" w:type="dxa"/>
              <w:left w:w="20" w:type="dxa"/>
              <w:bottom w:w="40" w:type="dxa"/>
              <w:right w:w="20" w:type="dxa"/>
            </w:tcMar>
            <w:vAlign w:val="bottom"/>
          </w:tcPr>
          <w:p w14:paraId="5EA1F3CE" w14:textId="77777777" w:rsidR="003C66EB" w:rsidRDefault="00D96C4E">
            <w:pPr>
              <w:textAlignment w:val="bottom"/>
            </w:pPr>
            <w:r>
              <w:rPr>
                <w:rFonts w:ascii="Arial" w:eastAsia="宋体" w:hAnsi="Arial" w:cs="Arial"/>
                <w:color w:val="000000"/>
                <w:sz w:val="15"/>
                <w:szCs w:val="15"/>
              </w:rPr>
              <w:t>Equity:</w:t>
            </w:r>
          </w:p>
        </w:tc>
        <w:tc>
          <w:tcPr>
            <w:tcW w:w="0" w:type="auto"/>
            <w:shd w:val="clear" w:color="auto" w:fill="auto"/>
          </w:tcPr>
          <w:p w14:paraId="5EA1F3CF" w14:textId="77777777" w:rsidR="003C66EB" w:rsidRDefault="003C66EB">
            <w:pPr>
              <w:rPr>
                <w:rFonts w:ascii="宋体"/>
                <w:vanish/>
              </w:rPr>
            </w:pPr>
          </w:p>
        </w:tc>
        <w:tc>
          <w:tcPr>
            <w:tcW w:w="0" w:type="auto"/>
            <w:shd w:val="clear" w:color="auto" w:fill="auto"/>
          </w:tcPr>
          <w:p w14:paraId="5EA1F3D0" w14:textId="77777777" w:rsidR="003C66EB" w:rsidRDefault="003C66EB">
            <w:pPr>
              <w:rPr>
                <w:rFonts w:ascii="宋体"/>
                <w:vanish/>
              </w:rPr>
            </w:pPr>
          </w:p>
        </w:tc>
        <w:tc>
          <w:tcPr>
            <w:tcW w:w="0" w:type="auto"/>
            <w:shd w:val="clear" w:color="auto" w:fill="auto"/>
          </w:tcPr>
          <w:p w14:paraId="5EA1F3D1" w14:textId="77777777" w:rsidR="003C66EB" w:rsidRDefault="003C66EB">
            <w:pPr>
              <w:rPr>
                <w:rFonts w:ascii="宋体"/>
              </w:rPr>
            </w:pPr>
          </w:p>
        </w:tc>
        <w:tc>
          <w:tcPr>
            <w:tcW w:w="0" w:type="auto"/>
            <w:shd w:val="clear" w:color="auto" w:fill="auto"/>
          </w:tcPr>
          <w:p w14:paraId="5EA1F3D2" w14:textId="77777777" w:rsidR="003C66EB" w:rsidRDefault="003C66EB">
            <w:pPr>
              <w:rPr>
                <w:rFonts w:ascii="宋体"/>
              </w:rPr>
            </w:pPr>
          </w:p>
        </w:tc>
        <w:tc>
          <w:tcPr>
            <w:tcW w:w="0" w:type="auto"/>
            <w:shd w:val="clear" w:color="auto" w:fill="auto"/>
          </w:tcPr>
          <w:p w14:paraId="5EA1F3D3" w14:textId="77777777" w:rsidR="003C66EB" w:rsidRDefault="003C66EB">
            <w:pPr>
              <w:rPr>
                <w:rFonts w:ascii="宋体"/>
              </w:rPr>
            </w:pPr>
          </w:p>
        </w:tc>
        <w:tc>
          <w:tcPr>
            <w:tcW w:w="0" w:type="auto"/>
            <w:shd w:val="clear" w:color="auto" w:fill="auto"/>
          </w:tcPr>
          <w:p w14:paraId="5EA1F3D4" w14:textId="77777777" w:rsidR="003C66EB" w:rsidRDefault="003C66EB">
            <w:pPr>
              <w:rPr>
                <w:rFonts w:ascii="宋体"/>
              </w:rPr>
            </w:pPr>
          </w:p>
        </w:tc>
        <w:tc>
          <w:tcPr>
            <w:tcW w:w="0" w:type="auto"/>
            <w:shd w:val="clear" w:color="auto" w:fill="auto"/>
          </w:tcPr>
          <w:p w14:paraId="5EA1F3D5" w14:textId="77777777" w:rsidR="003C66EB" w:rsidRDefault="003C66EB">
            <w:pPr>
              <w:rPr>
                <w:rFonts w:ascii="宋体"/>
              </w:rPr>
            </w:pPr>
          </w:p>
        </w:tc>
        <w:tc>
          <w:tcPr>
            <w:tcW w:w="0" w:type="auto"/>
            <w:shd w:val="clear" w:color="auto" w:fill="auto"/>
          </w:tcPr>
          <w:p w14:paraId="5EA1F3D6" w14:textId="77777777" w:rsidR="003C66EB" w:rsidRDefault="003C66EB">
            <w:pPr>
              <w:rPr>
                <w:rFonts w:ascii="宋体"/>
              </w:rPr>
            </w:pPr>
          </w:p>
        </w:tc>
        <w:tc>
          <w:tcPr>
            <w:tcW w:w="0" w:type="auto"/>
            <w:shd w:val="clear" w:color="auto" w:fill="auto"/>
          </w:tcPr>
          <w:p w14:paraId="5EA1F3D7" w14:textId="77777777" w:rsidR="003C66EB" w:rsidRDefault="003C66EB">
            <w:pPr>
              <w:rPr>
                <w:rFonts w:ascii="宋体"/>
              </w:rPr>
            </w:pPr>
          </w:p>
        </w:tc>
        <w:tc>
          <w:tcPr>
            <w:tcW w:w="0" w:type="auto"/>
            <w:shd w:val="clear" w:color="auto" w:fill="auto"/>
          </w:tcPr>
          <w:p w14:paraId="5EA1F3D8" w14:textId="77777777" w:rsidR="003C66EB" w:rsidRDefault="003C66EB">
            <w:pPr>
              <w:rPr>
                <w:rFonts w:ascii="宋体"/>
              </w:rPr>
            </w:pPr>
          </w:p>
        </w:tc>
        <w:tc>
          <w:tcPr>
            <w:tcW w:w="0" w:type="auto"/>
            <w:shd w:val="clear" w:color="auto" w:fill="auto"/>
          </w:tcPr>
          <w:p w14:paraId="5EA1F3D9" w14:textId="77777777" w:rsidR="003C66EB" w:rsidRDefault="003C66EB">
            <w:pPr>
              <w:rPr>
                <w:rFonts w:ascii="宋体"/>
              </w:rPr>
            </w:pPr>
          </w:p>
        </w:tc>
        <w:tc>
          <w:tcPr>
            <w:tcW w:w="0" w:type="auto"/>
            <w:shd w:val="clear" w:color="auto" w:fill="auto"/>
          </w:tcPr>
          <w:p w14:paraId="5EA1F3DA" w14:textId="77777777" w:rsidR="003C66EB" w:rsidRDefault="003C66EB">
            <w:pPr>
              <w:rPr>
                <w:rFonts w:ascii="宋体"/>
              </w:rPr>
            </w:pPr>
          </w:p>
        </w:tc>
        <w:tc>
          <w:tcPr>
            <w:tcW w:w="0" w:type="auto"/>
            <w:shd w:val="clear" w:color="auto" w:fill="auto"/>
          </w:tcPr>
          <w:p w14:paraId="5EA1F3DB" w14:textId="77777777" w:rsidR="003C66EB" w:rsidRDefault="003C66EB">
            <w:pPr>
              <w:rPr>
                <w:rFonts w:ascii="宋体"/>
              </w:rPr>
            </w:pPr>
          </w:p>
        </w:tc>
        <w:tc>
          <w:tcPr>
            <w:tcW w:w="0" w:type="auto"/>
            <w:shd w:val="clear" w:color="auto" w:fill="auto"/>
          </w:tcPr>
          <w:p w14:paraId="5EA1F3DC" w14:textId="77777777" w:rsidR="003C66EB" w:rsidRDefault="003C66EB">
            <w:pPr>
              <w:rPr>
                <w:rFonts w:ascii="宋体"/>
              </w:rPr>
            </w:pPr>
          </w:p>
        </w:tc>
        <w:tc>
          <w:tcPr>
            <w:tcW w:w="0" w:type="auto"/>
            <w:shd w:val="clear" w:color="auto" w:fill="auto"/>
          </w:tcPr>
          <w:p w14:paraId="5EA1F3DD" w14:textId="77777777" w:rsidR="003C66EB" w:rsidRDefault="003C66EB">
            <w:pPr>
              <w:rPr>
                <w:rFonts w:ascii="宋体"/>
              </w:rPr>
            </w:pPr>
          </w:p>
        </w:tc>
        <w:tc>
          <w:tcPr>
            <w:tcW w:w="0" w:type="auto"/>
            <w:shd w:val="clear" w:color="auto" w:fill="auto"/>
          </w:tcPr>
          <w:p w14:paraId="5EA1F3DE" w14:textId="77777777" w:rsidR="003C66EB" w:rsidRDefault="003C66EB">
            <w:pPr>
              <w:rPr>
                <w:rFonts w:ascii="宋体"/>
              </w:rPr>
            </w:pPr>
          </w:p>
        </w:tc>
        <w:tc>
          <w:tcPr>
            <w:tcW w:w="0" w:type="auto"/>
            <w:shd w:val="clear" w:color="auto" w:fill="auto"/>
          </w:tcPr>
          <w:p w14:paraId="5EA1F3DF" w14:textId="77777777" w:rsidR="003C66EB" w:rsidRDefault="003C66EB">
            <w:pPr>
              <w:rPr>
                <w:rFonts w:ascii="宋体"/>
              </w:rPr>
            </w:pPr>
          </w:p>
        </w:tc>
        <w:tc>
          <w:tcPr>
            <w:tcW w:w="0" w:type="auto"/>
            <w:shd w:val="clear" w:color="auto" w:fill="auto"/>
          </w:tcPr>
          <w:p w14:paraId="5EA1F3E0" w14:textId="77777777" w:rsidR="003C66EB" w:rsidRDefault="003C66EB">
            <w:pPr>
              <w:rPr>
                <w:rFonts w:ascii="宋体"/>
              </w:rPr>
            </w:pPr>
          </w:p>
        </w:tc>
        <w:tc>
          <w:tcPr>
            <w:tcW w:w="0" w:type="auto"/>
            <w:shd w:val="clear" w:color="auto" w:fill="auto"/>
          </w:tcPr>
          <w:p w14:paraId="5EA1F3E1" w14:textId="77777777" w:rsidR="003C66EB" w:rsidRDefault="003C66EB">
            <w:pPr>
              <w:rPr>
                <w:rFonts w:ascii="宋体"/>
              </w:rPr>
            </w:pPr>
          </w:p>
        </w:tc>
        <w:tc>
          <w:tcPr>
            <w:tcW w:w="0" w:type="auto"/>
            <w:shd w:val="clear" w:color="auto" w:fill="auto"/>
          </w:tcPr>
          <w:p w14:paraId="5EA1F3E2" w14:textId="77777777" w:rsidR="003C66EB" w:rsidRDefault="003C66EB">
            <w:pPr>
              <w:rPr>
                <w:rFonts w:ascii="宋体"/>
              </w:rPr>
            </w:pPr>
          </w:p>
        </w:tc>
        <w:tc>
          <w:tcPr>
            <w:tcW w:w="0" w:type="auto"/>
            <w:shd w:val="clear" w:color="auto" w:fill="auto"/>
          </w:tcPr>
          <w:p w14:paraId="5EA1F3E3" w14:textId="77777777" w:rsidR="003C66EB" w:rsidRDefault="003C66EB">
            <w:pPr>
              <w:rPr>
                <w:rFonts w:ascii="宋体"/>
              </w:rPr>
            </w:pPr>
          </w:p>
        </w:tc>
        <w:tc>
          <w:tcPr>
            <w:tcW w:w="0" w:type="auto"/>
            <w:shd w:val="clear" w:color="auto" w:fill="auto"/>
          </w:tcPr>
          <w:p w14:paraId="5EA1F3E4" w14:textId="77777777" w:rsidR="003C66EB" w:rsidRDefault="003C66EB">
            <w:pPr>
              <w:rPr>
                <w:rFonts w:ascii="宋体"/>
              </w:rPr>
            </w:pPr>
          </w:p>
        </w:tc>
        <w:tc>
          <w:tcPr>
            <w:tcW w:w="0" w:type="auto"/>
            <w:shd w:val="clear" w:color="auto" w:fill="auto"/>
          </w:tcPr>
          <w:p w14:paraId="5EA1F3E5" w14:textId="77777777" w:rsidR="003C66EB" w:rsidRDefault="003C66EB">
            <w:pPr>
              <w:rPr>
                <w:rFonts w:ascii="宋体"/>
              </w:rPr>
            </w:pPr>
          </w:p>
        </w:tc>
        <w:tc>
          <w:tcPr>
            <w:tcW w:w="0" w:type="auto"/>
            <w:shd w:val="clear" w:color="auto" w:fill="auto"/>
          </w:tcPr>
          <w:p w14:paraId="5EA1F3E6" w14:textId="77777777" w:rsidR="003C66EB" w:rsidRDefault="003C66EB">
            <w:pPr>
              <w:rPr>
                <w:rFonts w:ascii="宋体"/>
              </w:rPr>
            </w:pPr>
          </w:p>
        </w:tc>
        <w:tc>
          <w:tcPr>
            <w:tcW w:w="0" w:type="auto"/>
            <w:shd w:val="clear" w:color="auto" w:fill="auto"/>
          </w:tcPr>
          <w:p w14:paraId="5EA1F3E7" w14:textId="77777777" w:rsidR="003C66EB" w:rsidRDefault="003C66EB">
            <w:pPr>
              <w:rPr>
                <w:rFonts w:ascii="宋体"/>
              </w:rPr>
            </w:pPr>
          </w:p>
        </w:tc>
        <w:tc>
          <w:tcPr>
            <w:tcW w:w="0" w:type="auto"/>
            <w:shd w:val="clear" w:color="auto" w:fill="auto"/>
          </w:tcPr>
          <w:p w14:paraId="5EA1F3E8" w14:textId="77777777" w:rsidR="003C66EB" w:rsidRDefault="003C66EB">
            <w:pPr>
              <w:rPr>
                <w:rFonts w:ascii="宋体"/>
              </w:rPr>
            </w:pPr>
          </w:p>
        </w:tc>
      </w:tr>
      <w:tr w:rsidR="003C66EB" w14:paraId="5EA1F400" w14:textId="77777777">
        <w:trPr>
          <w:jc w:val="right"/>
        </w:trPr>
        <w:tc>
          <w:tcPr>
            <w:tcW w:w="0" w:type="auto"/>
            <w:gridSpan w:val="3"/>
            <w:shd w:val="clear" w:color="auto" w:fill="CCEEFF"/>
            <w:tcMar>
              <w:top w:w="40" w:type="dxa"/>
              <w:left w:w="20" w:type="dxa"/>
              <w:bottom w:w="40" w:type="dxa"/>
              <w:right w:w="20" w:type="dxa"/>
            </w:tcMar>
            <w:vAlign w:val="bottom"/>
          </w:tcPr>
          <w:p w14:paraId="5EA1F3EA" w14:textId="77777777" w:rsidR="003C66EB" w:rsidRDefault="00D96C4E">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5EA1F3EB"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1F3EC" w14:textId="77777777" w:rsidR="003C66EB" w:rsidRDefault="00D96C4E">
            <w:pPr>
              <w:jc w:val="right"/>
              <w:textAlignment w:val="bottom"/>
            </w:pPr>
            <w:r>
              <w:rPr>
                <w:rFonts w:ascii="Arial" w:eastAsia="宋体" w:hAnsi="Arial" w:cs="Arial"/>
                <w:b/>
                <w:bCs/>
                <w:color w:val="000000"/>
                <w:sz w:val="15"/>
                <w:szCs w:val="15"/>
              </w:rPr>
              <w:t>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3E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E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F3EF"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1F3F0" w14:textId="77777777" w:rsidR="003C66EB" w:rsidRDefault="00D96C4E">
            <w:pPr>
              <w:jc w:val="right"/>
              <w:textAlignment w:val="bottom"/>
            </w:pPr>
            <w:r>
              <w:rPr>
                <w:rFonts w:ascii="Arial" w:eastAsia="宋体" w:hAnsi="Arial" w:cs="Arial"/>
                <w:color w:val="000000"/>
                <w:sz w:val="15"/>
                <w:szCs w:val="15"/>
              </w:rPr>
              <w:t>85 </w:t>
            </w:r>
          </w:p>
        </w:tc>
        <w:tc>
          <w:tcPr>
            <w:tcW w:w="0" w:type="auto"/>
            <w:shd w:val="clear" w:color="auto" w:fill="CCEEFF"/>
            <w:tcMar>
              <w:top w:w="40" w:type="dxa"/>
              <w:left w:w="0" w:type="dxa"/>
              <w:bottom w:w="40" w:type="dxa"/>
              <w:right w:w="20" w:type="dxa"/>
            </w:tcMar>
            <w:vAlign w:val="bottom"/>
          </w:tcPr>
          <w:p w14:paraId="5EA1F3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3F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F3F3"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1F3F4" w14:textId="77777777" w:rsidR="003C66EB" w:rsidRDefault="00D96C4E">
            <w:pPr>
              <w:jc w:val="right"/>
              <w:textAlignment w:val="bottom"/>
            </w:pPr>
            <w:r>
              <w:rPr>
                <w:rFonts w:ascii="Arial" w:eastAsia="宋体" w:hAnsi="Arial" w:cs="Arial"/>
                <w:color w:val="000000"/>
                <w:sz w:val="15"/>
                <w:szCs w:val="15"/>
              </w:rPr>
              <w:t>69 </w:t>
            </w:r>
          </w:p>
        </w:tc>
        <w:tc>
          <w:tcPr>
            <w:tcW w:w="0" w:type="auto"/>
            <w:shd w:val="clear" w:color="auto" w:fill="CCEEFF"/>
            <w:tcMar>
              <w:top w:w="40" w:type="dxa"/>
              <w:left w:w="0" w:type="dxa"/>
              <w:bottom w:w="40" w:type="dxa"/>
              <w:right w:w="20" w:type="dxa"/>
            </w:tcMar>
            <w:vAlign w:val="bottom"/>
          </w:tcPr>
          <w:p w14:paraId="5EA1F3F5" w14:textId="77777777" w:rsidR="003C66EB" w:rsidRDefault="003C66EB">
            <w:pPr>
              <w:jc w:val="right"/>
              <w:rPr>
                <w:rFonts w:ascii="宋体"/>
              </w:rPr>
            </w:pPr>
          </w:p>
        </w:tc>
        <w:tc>
          <w:tcPr>
            <w:tcW w:w="0" w:type="auto"/>
            <w:shd w:val="clear" w:color="auto" w:fill="auto"/>
          </w:tcPr>
          <w:p w14:paraId="5EA1F3F6" w14:textId="77777777" w:rsidR="003C66EB" w:rsidRDefault="003C66EB">
            <w:pPr>
              <w:rPr>
                <w:rFonts w:ascii="宋体"/>
                <w:vanish/>
              </w:rPr>
            </w:pPr>
          </w:p>
        </w:tc>
        <w:tc>
          <w:tcPr>
            <w:tcW w:w="0" w:type="auto"/>
            <w:shd w:val="clear" w:color="auto" w:fill="auto"/>
          </w:tcPr>
          <w:p w14:paraId="5EA1F3F7" w14:textId="77777777" w:rsidR="003C66EB" w:rsidRDefault="003C66EB">
            <w:pPr>
              <w:rPr>
                <w:rFonts w:ascii="宋体"/>
                <w:vanish/>
              </w:rPr>
            </w:pPr>
          </w:p>
        </w:tc>
        <w:tc>
          <w:tcPr>
            <w:tcW w:w="0" w:type="auto"/>
            <w:gridSpan w:val="3"/>
            <w:shd w:val="clear" w:color="auto" w:fill="auto"/>
          </w:tcPr>
          <w:p w14:paraId="5EA1F3F8" w14:textId="77777777" w:rsidR="003C66EB" w:rsidRDefault="003C66EB">
            <w:pPr>
              <w:rPr>
                <w:rFonts w:ascii="宋体"/>
                <w:vanish/>
              </w:rPr>
            </w:pPr>
          </w:p>
        </w:tc>
        <w:tc>
          <w:tcPr>
            <w:tcW w:w="0" w:type="auto"/>
            <w:gridSpan w:val="3"/>
            <w:shd w:val="clear" w:color="auto" w:fill="auto"/>
          </w:tcPr>
          <w:p w14:paraId="5EA1F3F9" w14:textId="77777777" w:rsidR="003C66EB" w:rsidRDefault="003C66EB">
            <w:pPr>
              <w:rPr>
                <w:rFonts w:ascii="宋体"/>
                <w:vanish/>
              </w:rPr>
            </w:pPr>
          </w:p>
        </w:tc>
        <w:tc>
          <w:tcPr>
            <w:tcW w:w="0" w:type="auto"/>
            <w:gridSpan w:val="3"/>
            <w:shd w:val="clear" w:color="auto" w:fill="auto"/>
          </w:tcPr>
          <w:p w14:paraId="5EA1F3FA" w14:textId="77777777" w:rsidR="003C66EB" w:rsidRDefault="003C66EB">
            <w:pPr>
              <w:rPr>
                <w:rFonts w:ascii="宋体"/>
                <w:vanish/>
              </w:rPr>
            </w:pPr>
          </w:p>
        </w:tc>
        <w:tc>
          <w:tcPr>
            <w:tcW w:w="0" w:type="auto"/>
            <w:gridSpan w:val="3"/>
            <w:shd w:val="clear" w:color="auto" w:fill="auto"/>
          </w:tcPr>
          <w:p w14:paraId="5EA1F3FB" w14:textId="77777777" w:rsidR="003C66EB" w:rsidRDefault="003C66EB">
            <w:pPr>
              <w:rPr>
                <w:rFonts w:ascii="宋体"/>
                <w:vanish/>
              </w:rPr>
            </w:pPr>
          </w:p>
        </w:tc>
        <w:tc>
          <w:tcPr>
            <w:tcW w:w="0" w:type="auto"/>
            <w:gridSpan w:val="3"/>
            <w:shd w:val="clear" w:color="auto" w:fill="auto"/>
          </w:tcPr>
          <w:p w14:paraId="5EA1F3FC" w14:textId="77777777" w:rsidR="003C66EB" w:rsidRDefault="003C66EB">
            <w:pPr>
              <w:rPr>
                <w:rFonts w:ascii="宋体"/>
                <w:vanish/>
              </w:rPr>
            </w:pPr>
          </w:p>
        </w:tc>
        <w:tc>
          <w:tcPr>
            <w:tcW w:w="0" w:type="auto"/>
            <w:gridSpan w:val="3"/>
            <w:shd w:val="clear" w:color="auto" w:fill="auto"/>
          </w:tcPr>
          <w:p w14:paraId="5EA1F3FD" w14:textId="77777777" w:rsidR="003C66EB" w:rsidRDefault="003C66EB">
            <w:pPr>
              <w:rPr>
                <w:rFonts w:ascii="宋体"/>
                <w:vanish/>
              </w:rPr>
            </w:pPr>
          </w:p>
        </w:tc>
        <w:tc>
          <w:tcPr>
            <w:tcW w:w="0" w:type="auto"/>
            <w:gridSpan w:val="3"/>
            <w:shd w:val="clear" w:color="auto" w:fill="auto"/>
          </w:tcPr>
          <w:p w14:paraId="5EA1F3FE" w14:textId="77777777" w:rsidR="003C66EB" w:rsidRDefault="003C66EB">
            <w:pPr>
              <w:rPr>
                <w:rFonts w:ascii="宋体"/>
                <w:vanish/>
              </w:rPr>
            </w:pPr>
          </w:p>
        </w:tc>
        <w:tc>
          <w:tcPr>
            <w:tcW w:w="0" w:type="auto"/>
            <w:gridSpan w:val="3"/>
            <w:shd w:val="clear" w:color="auto" w:fill="auto"/>
          </w:tcPr>
          <w:p w14:paraId="5EA1F3FF" w14:textId="77777777" w:rsidR="003C66EB" w:rsidRDefault="003C66EB">
            <w:pPr>
              <w:rPr>
                <w:rFonts w:ascii="宋体"/>
                <w:vanish/>
              </w:rPr>
            </w:pPr>
          </w:p>
        </w:tc>
      </w:tr>
      <w:tr w:rsidR="003C66EB" w14:paraId="5EA1F414" w14:textId="77777777">
        <w:trPr>
          <w:jc w:val="right"/>
        </w:trPr>
        <w:tc>
          <w:tcPr>
            <w:tcW w:w="0" w:type="auto"/>
            <w:gridSpan w:val="3"/>
            <w:shd w:val="clear" w:color="auto" w:fill="FFFFFF"/>
            <w:tcMar>
              <w:top w:w="40" w:type="dxa"/>
              <w:left w:w="20" w:type="dxa"/>
              <w:bottom w:w="40" w:type="dxa"/>
              <w:right w:w="20" w:type="dxa"/>
            </w:tcMar>
            <w:vAlign w:val="bottom"/>
          </w:tcPr>
          <w:p w14:paraId="5EA1F401" w14:textId="77777777" w:rsidR="003C66EB" w:rsidRDefault="00D96C4E">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5EA1F402" w14:textId="77777777" w:rsidR="003C66EB" w:rsidRDefault="00D96C4E">
            <w:pPr>
              <w:jc w:val="right"/>
              <w:textAlignment w:val="bottom"/>
            </w:pPr>
            <w:r>
              <w:rPr>
                <w:rFonts w:ascii="Arial" w:eastAsia="宋体" w:hAnsi="Arial" w:cs="Arial"/>
                <w:b/>
                <w:bCs/>
                <w:color w:val="000000"/>
                <w:sz w:val="15"/>
                <w:szCs w:val="15"/>
              </w:rPr>
              <w:t>2,198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4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0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05" w14:textId="77777777" w:rsidR="003C66EB" w:rsidRDefault="00D96C4E">
            <w:pPr>
              <w:jc w:val="right"/>
              <w:textAlignment w:val="bottom"/>
            </w:pPr>
            <w:r>
              <w:rPr>
                <w:rFonts w:ascii="Arial" w:eastAsia="宋体" w:hAnsi="Arial" w:cs="Arial"/>
                <w:color w:val="000000"/>
                <w:sz w:val="15"/>
                <w:szCs w:val="15"/>
              </w:rPr>
              <w:t>2,086 </w:t>
            </w:r>
          </w:p>
        </w:tc>
        <w:tc>
          <w:tcPr>
            <w:tcW w:w="0" w:type="auto"/>
            <w:shd w:val="clear" w:color="auto" w:fill="FFFFFF"/>
            <w:tcMar>
              <w:top w:w="40" w:type="dxa"/>
              <w:left w:w="0" w:type="dxa"/>
              <w:bottom w:w="40" w:type="dxa"/>
              <w:right w:w="20" w:type="dxa"/>
            </w:tcMar>
            <w:vAlign w:val="bottom"/>
          </w:tcPr>
          <w:p w14:paraId="5EA1F4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0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08" w14:textId="77777777" w:rsidR="003C66EB" w:rsidRDefault="00D96C4E">
            <w:pPr>
              <w:jc w:val="right"/>
              <w:textAlignment w:val="bottom"/>
            </w:pPr>
            <w:r>
              <w:rPr>
                <w:rFonts w:ascii="Arial" w:eastAsia="宋体" w:hAnsi="Arial" w:cs="Arial"/>
                <w:color w:val="000000"/>
                <w:sz w:val="15"/>
                <w:szCs w:val="15"/>
              </w:rPr>
              <w:t>1,492 </w:t>
            </w:r>
          </w:p>
        </w:tc>
        <w:tc>
          <w:tcPr>
            <w:tcW w:w="0" w:type="auto"/>
            <w:shd w:val="clear" w:color="auto" w:fill="FFFFFF"/>
            <w:tcMar>
              <w:top w:w="40" w:type="dxa"/>
              <w:left w:w="0" w:type="dxa"/>
              <w:bottom w:w="40" w:type="dxa"/>
              <w:right w:w="20" w:type="dxa"/>
            </w:tcMar>
            <w:vAlign w:val="bottom"/>
          </w:tcPr>
          <w:p w14:paraId="5EA1F409" w14:textId="77777777" w:rsidR="003C66EB" w:rsidRDefault="003C66EB">
            <w:pPr>
              <w:jc w:val="right"/>
              <w:rPr>
                <w:rFonts w:ascii="宋体"/>
              </w:rPr>
            </w:pPr>
          </w:p>
        </w:tc>
        <w:tc>
          <w:tcPr>
            <w:tcW w:w="0" w:type="auto"/>
            <w:shd w:val="clear" w:color="auto" w:fill="auto"/>
          </w:tcPr>
          <w:p w14:paraId="5EA1F40A" w14:textId="77777777" w:rsidR="003C66EB" w:rsidRDefault="003C66EB">
            <w:pPr>
              <w:rPr>
                <w:rFonts w:ascii="宋体"/>
                <w:vanish/>
              </w:rPr>
            </w:pPr>
          </w:p>
        </w:tc>
        <w:tc>
          <w:tcPr>
            <w:tcW w:w="0" w:type="auto"/>
            <w:shd w:val="clear" w:color="auto" w:fill="auto"/>
          </w:tcPr>
          <w:p w14:paraId="5EA1F40B" w14:textId="77777777" w:rsidR="003C66EB" w:rsidRDefault="003C66EB">
            <w:pPr>
              <w:rPr>
                <w:rFonts w:ascii="宋体"/>
                <w:vanish/>
              </w:rPr>
            </w:pPr>
          </w:p>
        </w:tc>
        <w:tc>
          <w:tcPr>
            <w:tcW w:w="0" w:type="auto"/>
            <w:gridSpan w:val="3"/>
            <w:shd w:val="clear" w:color="auto" w:fill="auto"/>
          </w:tcPr>
          <w:p w14:paraId="5EA1F40C" w14:textId="77777777" w:rsidR="003C66EB" w:rsidRDefault="003C66EB">
            <w:pPr>
              <w:rPr>
                <w:rFonts w:ascii="宋体"/>
                <w:vanish/>
              </w:rPr>
            </w:pPr>
          </w:p>
        </w:tc>
        <w:tc>
          <w:tcPr>
            <w:tcW w:w="0" w:type="auto"/>
            <w:gridSpan w:val="3"/>
            <w:shd w:val="clear" w:color="auto" w:fill="auto"/>
          </w:tcPr>
          <w:p w14:paraId="5EA1F40D" w14:textId="77777777" w:rsidR="003C66EB" w:rsidRDefault="003C66EB">
            <w:pPr>
              <w:rPr>
                <w:rFonts w:ascii="宋体"/>
                <w:vanish/>
              </w:rPr>
            </w:pPr>
          </w:p>
        </w:tc>
        <w:tc>
          <w:tcPr>
            <w:tcW w:w="0" w:type="auto"/>
            <w:gridSpan w:val="3"/>
            <w:shd w:val="clear" w:color="auto" w:fill="auto"/>
          </w:tcPr>
          <w:p w14:paraId="5EA1F40E" w14:textId="77777777" w:rsidR="003C66EB" w:rsidRDefault="003C66EB">
            <w:pPr>
              <w:rPr>
                <w:rFonts w:ascii="宋体"/>
                <w:vanish/>
              </w:rPr>
            </w:pPr>
          </w:p>
        </w:tc>
        <w:tc>
          <w:tcPr>
            <w:tcW w:w="0" w:type="auto"/>
            <w:gridSpan w:val="3"/>
            <w:shd w:val="clear" w:color="auto" w:fill="auto"/>
          </w:tcPr>
          <w:p w14:paraId="5EA1F40F" w14:textId="77777777" w:rsidR="003C66EB" w:rsidRDefault="003C66EB">
            <w:pPr>
              <w:rPr>
                <w:rFonts w:ascii="宋体"/>
                <w:vanish/>
              </w:rPr>
            </w:pPr>
          </w:p>
        </w:tc>
        <w:tc>
          <w:tcPr>
            <w:tcW w:w="0" w:type="auto"/>
            <w:gridSpan w:val="3"/>
            <w:shd w:val="clear" w:color="auto" w:fill="auto"/>
          </w:tcPr>
          <w:p w14:paraId="5EA1F410" w14:textId="77777777" w:rsidR="003C66EB" w:rsidRDefault="003C66EB">
            <w:pPr>
              <w:rPr>
                <w:rFonts w:ascii="宋体"/>
                <w:vanish/>
              </w:rPr>
            </w:pPr>
          </w:p>
        </w:tc>
        <w:tc>
          <w:tcPr>
            <w:tcW w:w="0" w:type="auto"/>
            <w:gridSpan w:val="3"/>
            <w:shd w:val="clear" w:color="auto" w:fill="auto"/>
          </w:tcPr>
          <w:p w14:paraId="5EA1F411" w14:textId="77777777" w:rsidR="003C66EB" w:rsidRDefault="003C66EB">
            <w:pPr>
              <w:rPr>
                <w:rFonts w:ascii="宋体"/>
                <w:vanish/>
              </w:rPr>
            </w:pPr>
          </w:p>
        </w:tc>
        <w:tc>
          <w:tcPr>
            <w:tcW w:w="0" w:type="auto"/>
            <w:gridSpan w:val="3"/>
            <w:shd w:val="clear" w:color="auto" w:fill="auto"/>
          </w:tcPr>
          <w:p w14:paraId="5EA1F412" w14:textId="77777777" w:rsidR="003C66EB" w:rsidRDefault="003C66EB">
            <w:pPr>
              <w:rPr>
                <w:rFonts w:ascii="宋体"/>
                <w:vanish/>
              </w:rPr>
            </w:pPr>
          </w:p>
        </w:tc>
        <w:tc>
          <w:tcPr>
            <w:tcW w:w="0" w:type="auto"/>
            <w:gridSpan w:val="3"/>
            <w:shd w:val="clear" w:color="auto" w:fill="auto"/>
          </w:tcPr>
          <w:p w14:paraId="5EA1F413" w14:textId="77777777" w:rsidR="003C66EB" w:rsidRDefault="003C66EB">
            <w:pPr>
              <w:rPr>
                <w:rFonts w:ascii="宋体"/>
                <w:vanish/>
              </w:rPr>
            </w:pPr>
          </w:p>
        </w:tc>
      </w:tr>
      <w:tr w:rsidR="003C66EB" w14:paraId="5EA1F428" w14:textId="77777777">
        <w:trPr>
          <w:jc w:val="right"/>
        </w:trPr>
        <w:tc>
          <w:tcPr>
            <w:tcW w:w="0" w:type="auto"/>
            <w:gridSpan w:val="3"/>
            <w:shd w:val="clear" w:color="auto" w:fill="CCEEFF"/>
            <w:tcMar>
              <w:top w:w="40" w:type="dxa"/>
              <w:left w:w="20" w:type="dxa"/>
              <w:bottom w:w="40" w:type="dxa"/>
              <w:right w:w="20" w:type="dxa"/>
            </w:tcMar>
            <w:vAlign w:val="bottom"/>
          </w:tcPr>
          <w:p w14:paraId="5EA1F415" w14:textId="77777777" w:rsidR="003C66EB" w:rsidRDefault="00D96C4E">
            <w:pPr>
              <w:textAlignment w:val="bottom"/>
            </w:pPr>
            <w:r>
              <w:rPr>
                <w:rFonts w:ascii="Arial" w:eastAsia="宋体" w:hAnsi="Arial" w:cs="Arial"/>
                <w:color w:val="000000"/>
                <w:sz w:val="15"/>
                <w:szCs w:val="15"/>
              </w:rPr>
              <w:t>Total equity</w:t>
            </w:r>
            <w:r>
              <w:rPr>
                <w:rFonts w:ascii="Arial" w:eastAsia="宋体" w:hAnsi="Arial" w:cs="Arial"/>
                <w:color w:val="000000"/>
                <w:sz w:val="9"/>
                <w:szCs w:val="9"/>
              </w:rPr>
              <w:t xml:space="preserve">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416" w14:textId="77777777" w:rsidR="003C66EB" w:rsidRDefault="00D96C4E">
            <w:pPr>
              <w:jc w:val="right"/>
              <w:textAlignment w:val="bottom"/>
            </w:pPr>
            <w:r>
              <w:rPr>
                <w:rFonts w:ascii="Arial" w:eastAsia="宋体" w:hAnsi="Arial" w:cs="Arial"/>
                <w:b/>
                <w:bCs/>
                <w:color w:val="000000"/>
                <w:sz w:val="15"/>
                <w:szCs w:val="15"/>
              </w:rPr>
              <w:t>2,282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4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1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419" w14:textId="77777777" w:rsidR="003C66EB" w:rsidRDefault="00D96C4E">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4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1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41C" w14:textId="77777777" w:rsidR="003C66EB" w:rsidRDefault="00D96C4E">
            <w:pPr>
              <w:jc w:val="right"/>
              <w:textAlignment w:val="bottom"/>
            </w:pPr>
            <w:r>
              <w:rPr>
                <w:rFonts w:ascii="Arial" w:eastAsia="宋体" w:hAnsi="Arial" w:cs="Arial"/>
                <w:color w:val="000000"/>
                <w:sz w:val="15"/>
                <w:szCs w:val="15"/>
              </w:rPr>
              <w:t>1,561 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41D" w14:textId="77777777" w:rsidR="003C66EB" w:rsidRDefault="003C66EB">
            <w:pPr>
              <w:jc w:val="right"/>
              <w:rPr>
                <w:rFonts w:ascii="宋体"/>
              </w:rPr>
            </w:pPr>
          </w:p>
        </w:tc>
        <w:tc>
          <w:tcPr>
            <w:tcW w:w="0" w:type="auto"/>
            <w:shd w:val="clear" w:color="auto" w:fill="auto"/>
          </w:tcPr>
          <w:p w14:paraId="5EA1F41E" w14:textId="77777777" w:rsidR="003C66EB" w:rsidRDefault="003C66EB">
            <w:pPr>
              <w:rPr>
                <w:rFonts w:ascii="宋体"/>
                <w:vanish/>
              </w:rPr>
            </w:pPr>
          </w:p>
        </w:tc>
        <w:tc>
          <w:tcPr>
            <w:tcW w:w="0" w:type="auto"/>
            <w:shd w:val="clear" w:color="auto" w:fill="auto"/>
          </w:tcPr>
          <w:p w14:paraId="5EA1F41F" w14:textId="77777777" w:rsidR="003C66EB" w:rsidRDefault="003C66EB">
            <w:pPr>
              <w:rPr>
                <w:rFonts w:ascii="宋体"/>
                <w:vanish/>
              </w:rPr>
            </w:pPr>
          </w:p>
        </w:tc>
        <w:tc>
          <w:tcPr>
            <w:tcW w:w="0" w:type="auto"/>
            <w:gridSpan w:val="3"/>
            <w:shd w:val="clear" w:color="auto" w:fill="auto"/>
          </w:tcPr>
          <w:p w14:paraId="5EA1F420" w14:textId="77777777" w:rsidR="003C66EB" w:rsidRDefault="003C66EB">
            <w:pPr>
              <w:rPr>
                <w:rFonts w:ascii="宋体"/>
                <w:vanish/>
              </w:rPr>
            </w:pPr>
          </w:p>
        </w:tc>
        <w:tc>
          <w:tcPr>
            <w:tcW w:w="0" w:type="auto"/>
            <w:gridSpan w:val="3"/>
            <w:shd w:val="clear" w:color="auto" w:fill="auto"/>
          </w:tcPr>
          <w:p w14:paraId="5EA1F421" w14:textId="77777777" w:rsidR="003C66EB" w:rsidRDefault="003C66EB">
            <w:pPr>
              <w:rPr>
                <w:rFonts w:ascii="宋体"/>
                <w:vanish/>
              </w:rPr>
            </w:pPr>
          </w:p>
        </w:tc>
        <w:tc>
          <w:tcPr>
            <w:tcW w:w="0" w:type="auto"/>
            <w:gridSpan w:val="3"/>
            <w:shd w:val="clear" w:color="auto" w:fill="auto"/>
          </w:tcPr>
          <w:p w14:paraId="5EA1F422" w14:textId="77777777" w:rsidR="003C66EB" w:rsidRDefault="003C66EB">
            <w:pPr>
              <w:rPr>
                <w:rFonts w:ascii="宋体"/>
                <w:vanish/>
              </w:rPr>
            </w:pPr>
          </w:p>
        </w:tc>
        <w:tc>
          <w:tcPr>
            <w:tcW w:w="0" w:type="auto"/>
            <w:gridSpan w:val="3"/>
            <w:shd w:val="clear" w:color="auto" w:fill="auto"/>
          </w:tcPr>
          <w:p w14:paraId="5EA1F423" w14:textId="77777777" w:rsidR="003C66EB" w:rsidRDefault="003C66EB">
            <w:pPr>
              <w:rPr>
                <w:rFonts w:ascii="宋体"/>
                <w:vanish/>
              </w:rPr>
            </w:pPr>
          </w:p>
        </w:tc>
        <w:tc>
          <w:tcPr>
            <w:tcW w:w="0" w:type="auto"/>
            <w:gridSpan w:val="3"/>
            <w:shd w:val="clear" w:color="auto" w:fill="auto"/>
          </w:tcPr>
          <w:p w14:paraId="5EA1F424" w14:textId="77777777" w:rsidR="003C66EB" w:rsidRDefault="003C66EB">
            <w:pPr>
              <w:rPr>
                <w:rFonts w:ascii="宋体"/>
                <w:vanish/>
              </w:rPr>
            </w:pPr>
          </w:p>
        </w:tc>
        <w:tc>
          <w:tcPr>
            <w:tcW w:w="0" w:type="auto"/>
            <w:gridSpan w:val="3"/>
            <w:shd w:val="clear" w:color="auto" w:fill="auto"/>
          </w:tcPr>
          <w:p w14:paraId="5EA1F425" w14:textId="77777777" w:rsidR="003C66EB" w:rsidRDefault="003C66EB">
            <w:pPr>
              <w:rPr>
                <w:rFonts w:ascii="宋体"/>
                <w:vanish/>
              </w:rPr>
            </w:pPr>
          </w:p>
        </w:tc>
        <w:tc>
          <w:tcPr>
            <w:tcW w:w="0" w:type="auto"/>
            <w:gridSpan w:val="3"/>
            <w:shd w:val="clear" w:color="auto" w:fill="auto"/>
          </w:tcPr>
          <w:p w14:paraId="5EA1F426" w14:textId="77777777" w:rsidR="003C66EB" w:rsidRDefault="003C66EB">
            <w:pPr>
              <w:rPr>
                <w:rFonts w:ascii="宋体"/>
                <w:vanish/>
              </w:rPr>
            </w:pPr>
          </w:p>
        </w:tc>
        <w:tc>
          <w:tcPr>
            <w:tcW w:w="0" w:type="auto"/>
            <w:gridSpan w:val="3"/>
            <w:shd w:val="clear" w:color="auto" w:fill="auto"/>
          </w:tcPr>
          <w:p w14:paraId="5EA1F427" w14:textId="77777777" w:rsidR="003C66EB" w:rsidRDefault="003C66EB">
            <w:pPr>
              <w:rPr>
                <w:rFonts w:ascii="宋体"/>
                <w:vanish/>
              </w:rPr>
            </w:pPr>
          </w:p>
        </w:tc>
      </w:tr>
      <w:tr w:rsidR="003C66EB" w14:paraId="5EA1F444" w14:textId="77777777">
        <w:trPr>
          <w:jc w:val="right"/>
        </w:trPr>
        <w:tc>
          <w:tcPr>
            <w:tcW w:w="0" w:type="auto"/>
            <w:gridSpan w:val="18"/>
            <w:shd w:val="clear" w:color="auto" w:fill="FFFFFF"/>
            <w:tcMar>
              <w:top w:w="40" w:type="dxa"/>
              <w:left w:w="20" w:type="dxa"/>
              <w:bottom w:w="40" w:type="dxa"/>
              <w:right w:w="20" w:type="dxa"/>
            </w:tcMar>
            <w:vAlign w:val="bottom"/>
          </w:tcPr>
          <w:p w14:paraId="5EA1F429" w14:textId="77777777" w:rsidR="003C66EB" w:rsidRDefault="00D96C4E">
            <w:pPr>
              <w:textAlignment w:val="bottom"/>
            </w:pPr>
            <w:r>
              <w:rPr>
                <w:rFonts w:ascii="Arial" w:eastAsia="宋体" w:hAnsi="Arial" w:cs="Arial"/>
                <w:color w:val="000000"/>
                <w:sz w:val="15"/>
                <w:szCs w:val="15"/>
              </w:rPr>
              <w:t>Fixed-income:</w:t>
            </w:r>
          </w:p>
        </w:tc>
        <w:tc>
          <w:tcPr>
            <w:tcW w:w="0" w:type="auto"/>
            <w:shd w:val="clear" w:color="auto" w:fill="auto"/>
          </w:tcPr>
          <w:p w14:paraId="5EA1F42A" w14:textId="77777777" w:rsidR="003C66EB" w:rsidRDefault="003C66EB">
            <w:pPr>
              <w:rPr>
                <w:rFonts w:ascii="宋体"/>
                <w:vanish/>
              </w:rPr>
            </w:pPr>
          </w:p>
        </w:tc>
        <w:tc>
          <w:tcPr>
            <w:tcW w:w="0" w:type="auto"/>
            <w:shd w:val="clear" w:color="auto" w:fill="auto"/>
          </w:tcPr>
          <w:p w14:paraId="5EA1F42B" w14:textId="77777777" w:rsidR="003C66EB" w:rsidRDefault="003C66EB">
            <w:pPr>
              <w:rPr>
                <w:rFonts w:ascii="宋体"/>
                <w:vanish/>
              </w:rPr>
            </w:pPr>
          </w:p>
        </w:tc>
        <w:tc>
          <w:tcPr>
            <w:tcW w:w="0" w:type="auto"/>
            <w:shd w:val="clear" w:color="auto" w:fill="auto"/>
          </w:tcPr>
          <w:p w14:paraId="5EA1F42C" w14:textId="77777777" w:rsidR="003C66EB" w:rsidRDefault="003C66EB">
            <w:pPr>
              <w:rPr>
                <w:rFonts w:ascii="宋体"/>
              </w:rPr>
            </w:pPr>
          </w:p>
        </w:tc>
        <w:tc>
          <w:tcPr>
            <w:tcW w:w="0" w:type="auto"/>
            <w:shd w:val="clear" w:color="auto" w:fill="auto"/>
          </w:tcPr>
          <w:p w14:paraId="5EA1F42D" w14:textId="77777777" w:rsidR="003C66EB" w:rsidRDefault="003C66EB">
            <w:pPr>
              <w:rPr>
                <w:rFonts w:ascii="宋体"/>
              </w:rPr>
            </w:pPr>
          </w:p>
        </w:tc>
        <w:tc>
          <w:tcPr>
            <w:tcW w:w="0" w:type="auto"/>
            <w:shd w:val="clear" w:color="auto" w:fill="auto"/>
          </w:tcPr>
          <w:p w14:paraId="5EA1F42E" w14:textId="77777777" w:rsidR="003C66EB" w:rsidRDefault="003C66EB">
            <w:pPr>
              <w:rPr>
                <w:rFonts w:ascii="宋体"/>
              </w:rPr>
            </w:pPr>
          </w:p>
        </w:tc>
        <w:tc>
          <w:tcPr>
            <w:tcW w:w="0" w:type="auto"/>
            <w:shd w:val="clear" w:color="auto" w:fill="auto"/>
          </w:tcPr>
          <w:p w14:paraId="5EA1F42F" w14:textId="77777777" w:rsidR="003C66EB" w:rsidRDefault="003C66EB">
            <w:pPr>
              <w:rPr>
                <w:rFonts w:ascii="宋体"/>
              </w:rPr>
            </w:pPr>
          </w:p>
        </w:tc>
        <w:tc>
          <w:tcPr>
            <w:tcW w:w="0" w:type="auto"/>
            <w:shd w:val="clear" w:color="auto" w:fill="auto"/>
          </w:tcPr>
          <w:p w14:paraId="5EA1F430" w14:textId="77777777" w:rsidR="003C66EB" w:rsidRDefault="003C66EB">
            <w:pPr>
              <w:rPr>
                <w:rFonts w:ascii="宋体"/>
              </w:rPr>
            </w:pPr>
          </w:p>
        </w:tc>
        <w:tc>
          <w:tcPr>
            <w:tcW w:w="0" w:type="auto"/>
            <w:shd w:val="clear" w:color="auto" w:fill="auto"/>
          </w:tcPr>
          <w:p w14:paraId="5EA1F431" w14:textId="77777777" w:rsidR="003C66EB" w:rsidRDefault="003C66EB">
            <w:pPr>
              <w:rPr>
                <w:rFonts w:ascii="宋体"/>
              </w:rPr>
            </w:pPr>
          </w:p>
        </w:tc>
        <w:tc>
          <w:tcPr>
            <w:tcW w:w="0" w:type="auto"/>
            <w:shd w:val="clear" w:color="auto" w:fill="auto"/>
          </w:tcPr>
          <w:p w14:paraId="5EA1F432" w14:textId="77777777" w:rsidR="003C66EB" w:rsidRDefault="003C66EB">
            <w:pPr>
              <w:rPr>
                <w:rFonts w:ascii="宋体"/>
              </w:rPr>
            </w:pPr>
          </w:p>
        </w:tc>
        <w:tc>
          <w:tcPr>
            <w:tcW w:w="0" w:type="auto"/>
            <w:shd w:val="clear" w:color="auto" w:fill="auto"/>
          </w:tcPr>
          <w:p w14:paraId="5EA1F433" w14:textId="77777777" w:rsidR="003C66EB" w:rsidRDefault="003C66EB">
            <w:pPr>
              <w:rPr>
                <w:rFonts w:ascii="宋体"/>
              </w:rPr>
            </w:pPr>
          </w:p>
        </w:tc>
        <w:tc>
          <w:tcPr>
            <w:tcW w:w="0" w:type="auto"/>
            <w:shd w:val="clear" w:color="auto" w:fill="auto"/>
          </w:tcPr>
          <w:p w14:paraId="5EA1F434" w14:textId="77777777" w:rsidR="003C66EB" w:rsidRDefault="003C66EB">
            <w:pPr>
              <w:rPr>
                <w:rFonts w:ascii="宋体"/>
              </w:rPr>
            </w:pPr>
          </w:p>
        </w:tc>
        <w:tc>
          <w:tcPr>
            <w:tcW w:w="0" w:type="auto"/>
            <w:shd w:val="clear" w:color="auto" w:fill="auto"/>
          </w:tcPr>
          <w:p w14:paraId="5EA1F435" w14:textId="77777777" w:rsidR="003C66EB" w:rsidRDefault="003C66EB">
            <w:pPr>
              <w:rPr>
                <w:rFonts w:ascii="宋体"/>
              </w:rPr>
            </w:pPr>
          </w:p>
        </w:tc>
        <w:tc>
          <w:tcPr>
            <w:tcW w:w="0" w:type="auto"/>
            <w:shd w:val="clear" w:color="auto" w:fill="auto"/>
          </w:tcPr>
          <w:p w14:paraId="5EA1F436" w14:textId="77777777" w:rsidR="003C66EB" w:rsidRDefault="003C66EB">
            <w:pPr>
              <w:rPr>
                <w:rFonts w:ascii="宋体"/>
              </w:rPr>
            </w:pPr>
          </w:p>
        </w:tc>
        <w:tc>
          <w:tcPr>
            <w:tcW w:w="0" w:type="auto"/>
            <w:shd w:val="clear" w:color="auto" w:fill="auto"/>
          </w:tcPr>
          <w:p w14:paraId="5EA1F437" w14:textId="77777777" w:rsidR="003C66EB" w:rsidRDefault="003C66EB">
            <w:pPr>
              <w:rPr>
                <w:rFonts w:ascii="宋体"/>
              </w:rPr>
            </w:pPr>
          </w:p>
        </w:tc>
        <w:tc>
          <w:tcPr>
            <w:tcW w:w="0" w:type="auto"/>
            <w:shd w:val="clear" w:color="auto" w:fill="auto"/>
          </w:tcPr>
          <w:p w14:paraId="5EA1F438" w14:textId="77777777" w:rsidR="003C66EB" w:rsidRDefault="003C66EB">
            <w:pPr>
              <w:rPr>
                <w:rFonts w:ascii="宋体"/>
              </w:rPr>
            </w:pPr>
          </w:p>
        </w:tc>
        <w:tc>
          <w:tcPr>
            <w:tcW w:w="0" w:type="auto"/>
            <w:shd w:val="clear" w:color="auto" w:fill="auto"/>
          </w:tcPr>
          <w:p w14:paraId="5EA1F439" w14:textId="77777777" w:rsidR="003C66EB" w:rsidRDefault="003C66EB">
            <w:pPr>
              <w:rPr>
                <w:rFonts w:ascii="宋体"/>
              </w:rPr>
            </w:pPr>
          </w:p>
        </w:tc>
        <w:tc>
          <w:tcPr>
            <w:tcW w:w="0" w:type="auto"/>
            <w:shd w:val="clear" w:color="auto" w:fill="auto"/>
          </w:tcPr>
          <w:p w14:paraId="5EA1F43A" w14:textId="77777777" w:rsidR="003C66EB" w:rsidRDefault="003C66EB">
            <w:pPr>
              <w:rPr>
                <w:rFonts w:ascii="宋体"/>
              </w:rPr>
            </w:pPr>
          </w:p>
        </w:tc>
        <w:tc>
          <w:tcPr>
            <w:tcW w:w="0" w:type="auto"/>
            <w:shd w:val="clear" w:color="auto" w:fill="auto"/>
          </w:tcPr>
          <w:p w14:paraId="5EA1F43B" w14:textId="77777777" w:rsidR="003C66EB" w:rsidRDefault="003C66EB">
            <w:pPr>
              <w:rPr>
                <w:rFonts w:ascii="宋体"/>
              </w:rPr>
            </w:pPr>
          </w:p>
        </w:tc>
        <w:tc>
          <w:tcPr>
            <w:tcW w:w="0" w:type="auto"/>
            <w:shd w:val="clear" w:color="auto" w:fill="auto"/>
          </w:tcPr>
          <w:p w14:paraId="5EA1F43C" w14:textId="77777777" w:rsidR="003C66EB" w:rsidRDefault="003C66EB">
            <w:pPr>
              <w:rPr>
                <w:rFonts w:ascii="宋体"/>
              </w:rPr>
            </w:pPr>
          </w:p>
        </w:tc>
        <w:tc>
          <w:tcPr>
            <w:tcW w:w="0" w:type="auto"/>
            <w:shd w:val="clear" w:color="auto" w:fill="auto"/>
          </w:tcPr>
          <w:p w14:paraId="5EA1F43D" w14:textId="77777777" w:rsidR="003C66EB" w:rsidRDefault="003C66EB">
            <w:pPr>
              <w:rPr>
                <w:rFonts w:ascii="宋体"/>
              </w:rPr>
            </w:pPr>
          </w:p>
        </w:tc>
        <w:tc>
          <w:tcPr>
            <w:tcW w:w="0" w:type="auto"/>
            <w:shd w:val="clear" w:color="auto" w:fill="auto"/>
          </w:tcPr>
          <w:p w14:paraId="5EA1F43E" w14:textId="77777777" w:rsidR="003C66EB" w:rsidRDefault="003C66EB">
            <w:pPr>
              <w:rPr>
                <w:rFonts w:ascii="宋体"/>
              </w:rPr>
            </w:pPr>
          </w:p>
        </w:tc>
        <w:tc>
          <w:tcPr>
            <w:tcW w:w="0" w:type="auto"/>
            <w:shd w:val="clear" w:color="auto" w:fill="auto"/>
          </w:tcPr>
          <w:p w14:paraId="5EA1F43F" w14:textId="77777777" w:rsidR="003C66EB" w:rsidRDefault="003C66EB">
            <w:pPr>
              <w:rPr>
                <w:rFonts w:ascii="宋体"/>
              </w:rPr>
            </w:pPr>
          </w:p>
        </w:tc>
        <w:tc>
          <w:tcPr>
            <w:tcW w:w="0" w:type="auto"/>
            <w:shd w:val="clear" w:color="auto" w:fill="auto"/>
          </w:tcPr>
          <w:p w14:paraId="5EA1F440" w14:textId="77777777" w:rsidR="003C66EB" w:rsidRDefault="003C66EB">
            <w:pPr>
              <w:rPr>
                <w:rFonts w:ascii="宋体"/>
              </w:rPr>
            </w:pPr>
          </w:p>
        </w:tc>
        <w:tc>
          <w:tcPr>
            <w:tcW w:w="0" w:type="auto"/>
            <w:shd w:val="clear" w:color="auto" w:fill="auto"/>
          </w:tcPr>
          <w:p w14:paraId="5EA1F441" w14:textId="77777777" w:rsidR="003C66EB" w:rsidRDefault="003C66EB">
            <w:pPr>
              <w:rPr>
                <w:rFonts w:ascii="宋体"/>
              </w:rPr>
            </w:pPr>
          </w:p>
        </w:tc>
        <w:tc>
          <w:tcPr>
            <w:tcW w:w="0" w:type="auto"/>
            <w:shd w:val="clear" w:color="auto" w:fill="auto"/>
          </w:tcPr>
          <w:p w14:paraId="5EA1F442" w14:textId="77777777" w:rsidR="003C66EB" w:rsidRDefault="003C66EB">
            <w:pPr>
              <w:rPr>
                <w:rFonts w:ascii="宋体"/>
              </w:rPr>
            </w:pPr>
          </w:p>
        </w:tc>
        <w:tc>
          <w:tcPr>
            <w:tcW w:w="0" w:type="auto"/>
            <w:shd w:val="clear" w:color="auto" w:fill="auto"/>
          </w:tcPr>
          <w:p w14:paraId="5EA1F443" w14:textId="77777777" w:rsidR="003C66EB" w:rsidRDefault="003C66EB">
            <w:pPr>
              <w:rPr>
                <w:rFonts w:ascii="宋体"/>
              </w:rPr>
            </w:pPr>
          </w:p>
        </w:tc>
      </w:tr>
      <w:tr w:rsidR="003C66EB" w14:paraId="5EA1F458" w14:textId="77777777">
        <w:trPr>
          <w:jc w:val="right"/>
        </w:trPr>
        <w:tc>
          <w:tcPr>
            <w:tcW w:w="0" w:type="auto"/>
            <w:gridSpan w:val="3"/>
            <w:shd w:val="clear" w:color="auto" w:fill="CCEEFF"/>
            <w:tcMar>
              <w:top w:w="40" w:type="dxa"/>
              <w:left w:w="20" w:type="dxa"/>
              <w:bottom w:w="40" w:type="dxa"/>
              <w:right w:w="20" w:type="dxa"/>
            </w:tcMar>
            <w:vAlign w:val="bottom"/>
          </w:tcPr>
          <w:p w14:paraId="5EA1F445" w14:textId="77777777" w:rsidR="003C66EB" w:rsidRDefault="00D96C4E">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5EA1F446" w14:textId="77777777" w:rsidR="003C66EB" w:rsidRDefault="00D96C4E">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4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4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449" w14:textId="77777777" w:rsidR="003C66EB" w:rsidRDefault="00D96C4E">
            <w:pPr>
              <w:jc w:val="right"/>
              <w:textAlignment w:val="bottom"/>
            </w:pPr>
            <w:r>
              <w:rPr>
                <w:rFonts w:ascii="Arial" w:eastAsia="宋体" w:hAnsi="Arial" w:cs="Arial"/>
                <w:color w:val="000000"/>
                <w:sz w:val="15"/>
                <w:szCs w:val="15"/>
              </w:rPr>
              <w:t>90 </w:t>
            </w:r>
          </w:p>
        </w:tc>
        <w:tc>
          <w:tcPr>
            <w:tcW w:w="0" w:type="auto"/>
            <w:shd w:val="clear" w:color="auto" w:fill="CCEEFF"/>
            <w:tcMar>
              <w:top w:w="40" w:type="dxa"/>
              <w:left w:w="0" w:type="dxa"/>
              <w:bottom w:w="40" w:type="dxa"/>
              <w:right w:w="20" w:type="dxa"/>
            </w:tcMar>
            <w:vAlign w:val="bottom"/>
          </w:tcPr>
          <w:p w14:paraId="5EA1F4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4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44C" w14:textId="77777777" w:rsidR="003C66EB" w:rsidRDefault="00D96C4E">
            <w:pPr>
              <w:jc w:val="right"/>
              <w:textAlignment w:val="bottom"/>
            </w:pPr>
            <w:r>
              <w:rPr>
                <w:rFonts w:ascii="Arial" w:eastAsia="宋体" w:hAnsi="Arial" w:cs="Arial"/>
                <w:color w:val="000000"/>
                <w:sz w:val="15"/>
                <w:szCs w:val="15"/>
              </w:rPr>
              <w:t>86 </w:t>
            </w:r>
          </w:p>
        </w:tc>
        <w:tc>
          <w:tcPr>
            <w:tcW w:w="0" w:type="auto"/>
            <w:shd w:val="clear" w:color="auto" w:fill="CCEEFF"/>
            <w:tcMar>
              <w:top w:w="40" w:type="dxa"/>
              <w:left w:w="0" w:type="dxa"/>
              <w:bottom w:w="40" w:type="dxa"/>
              <w:right w:w="20" w:type="dxa"/>
            </w:tcMar>
            <w:vAlign w:val="bottom"/>
          </w:tcPr>
          <w:p w14:paraId="5EA1F44D" w14:textId="77777777" w:rsidR="003C66EB" w:rsidRDefault="003C66EB">
            <w:pPr>
              <w:jc w:val="right"/>
              <w:rPr>
                <w:rFonts w:ascii="宋体"/>
              </w:rPr>
            </w:pPr>
          </w:p>
        </w:tc>
        <w:tc>
          <w:tcPr>
            <w:tcW w:w="0" w:type="auto"/>
            <w:shd w:val="clear" w:color="auto" w:fill="auto"/>
          </w:tcPr>
          <w:p w14:paraId="5EA1F44E" w14:textId="77777777" w:rsidR="003C66EB" w:rsidRDefault="003C66EB">
            <w:pPr>
              <w:rPr>
                <w:rFonts w:ascii="宋体"/>
                <w:vanish/>
              </w:rPr>
            </w:pPr>
          </w:p>
        </w:tc>
        <w:tc>
          <w:tcPr>
            <w:tcW w:w="0" w:type="auto"/>
            <w:shd w:val="clear" w:color="auto" w:fill="auto"/>
          </w:tcPr>
          <w:p w14:paraId="5EA1F44F" w14:textId="77777777" w:rsidR="003C66EB" w:rsidRDefault="003C66EB">
            <w:pPr>
              <w:rPr>
                <w:rFonts w:ascii="宋体"/>
                <w:vanish/>
              </w:rPr>
            </w:pPr>
          </w:p>
        </w:tc>
        <w:tc>
          <w:tcPr>
            <w:tcW w:w="0" w:type="auto"/>
            <w:gridSpan w:val="3"/>
            <w:shd w:val="clear" w:color="auto" w:fill="auto"/>
          </w:tcPr>
          <w:p w14:paraId="5EA1F450" w14:textId="77777777" w:rsidR="003C66EB" w:rsidRDefault="003C66EB">
            <w:pPr>
              <w:rPr>
                <w:rFonts w:ascii="宋体"/>
                <w:vanish/>
              </w:rPr>
            </w:pPr>
          </w:p>
        </w:tc>
        <w:tc>
          <w:tcPr>
            <w:tcW w:w="0" w:type="auto"/>
            <w:gridSpan w:val="3"/>
            <w:shd w:val="clear" w:color="auto" w:fill="auto"/>
          </w:tcPr>
          <w:p w14:paraId="5EA1F451" w14:textId="77777777" w:rsidR="003C66EB" w:rsidRDefault="003C66EB">
            <w:pPr>
              <w:rPr>
                <w:rFonts w:ascii="宋体"/>
                <w:vanish/>
              </w:rPr>
            </w:pPr>
          </w:p>
        </w:tc>
        <w:tc>
          <w:tcPr>
            <w:tcW w:w="0" w:type="auto"/>
            <w:gridSpan w:val="3"/>
            <w:shd w:val="clear" w:color="auto" w:fill="auto"/>
          </w:tcPr>
          <w:p w14:paraId="5EA1F452" w14:textId="77777777" w:rsidR="003C66EB" w:rsidRDefault="003C66EB">
            <w:pPr>
              <w:rPr>
                <w:rFonts w:ascii="宋体"/>
                <w:vanish/>
              </w:rPr>
            </w:pPr>
          </w:p>
        </w:tc>
        <w:tc>
          <w:tcPr>
            <w:tcW w:w="0" w:type="auto"/>
            <w:gridSpan w:val="3"/>
            <w:shd w:val="clear" w:color="auto" w:fill="auto"/>
          </w:tcPr>
          <w:p w14:paraId="5EA1F453" w14:textId="77777777" w:rsidR="003C66EB" w:rsidRDefault="003C66EB">
            <w:pPr>
              <w:rPr>
                <w:rFonts w:ascii="宋体"/>
                <w:vanish/>
              </w:rPr>
            </w:pPr>
          </w:p>
        </w:tc>
        <w:tc>
          <w:tcPr>
            <w:tcW w:w="0" w:type="auto"/>
            <w:gridSpan w:val="3"/>
            <w:shd w:val="clear" w:color="auto" w:fill="auto"/>
          </w:tcPr>
          <w:p w14:paraId="5EA1F454" w14:textId="77777777" w:rsidR="003C66EB" w:rsidRDefault="003C66EB">
            <w:pPr>
              <w:rPr>
                <w:rFonts w:ascii="宋体"/>
                <w:vanish/>
              </w:rPr>
            </w:pPr>
          </w:p>
        </w:tc>
        <w:tc>
          <w:tcPr>
            <w:tcW w:w="0" w:type="auto"/>
            <w:gridSpan w:val="3"/>
            <w:shd w:val="clear" w:color="auto" w:fill="auto"/>
          </w:tcPr>
          <w:p w14:paraId="5EA1F455" w14:textId="77777777" w:rsidR="003C66EB" w:rsidRDefault="003C66EB">
            <w:pPr>
              <w:rPr>
                <w:rFonts w:ascii="宋体"/>
                <w:vanish/>
              </w:rPr>
            </w:pPr>
          </w:p>
        </w:tc>
        <w:tc>
          <w:tcPr>
            <w:tcW w:w="0" w:type="auto"/>
            <w:gridSpan w:val="3"/>
            <w:shd w:val="clear" w:color="auto" w:fill="auto"/>
          </w:tcPr>
          <w:p w14:paraId="5EA1F456" w14:textId="77777777" w:rsidR="003C66EB" w:rsidRDefault="003C66EB">
            <w:pPr>
              <w:rPr>
                <w:rFonts w:ascii="宋体"/>
                <w:vanish/>
              </w:rPr>
            </w:pPr>
          </w:p>
        </w:tc>
        <w:tc>
          <w:tcPr>
            <w:tcW w:w="0" w:type="auto"/>
            <w:gridSpan w:val="3"/>
            <w:shd w:val="clear" w:color="auto" w:fill="auto"/>
          </w:tcPr>
          <w:p w14:paraId="5EA1F457" w14:textId="77777777" w:rsidR="003C66EB" w:rsidRDefault="003C66EB">
            <w:pPr>
              <w:rPr>
                <w:rFonts w:ascii="宋体"/>
                <w:vanish/>
              </w:rPr>
            </w:pPr>
          </w:p>
        </w:tc>
      </w:tr>
      <w:tr w:rsidR="003C66EB" w14:paraId="5EA1F46C" w14:textId="77777777">
        <w:trPr>
          <w:jc w:val="right"/>
        </w:trPr>
        <w:tc>
          <w:tcPr>
            <w:tcW w:w="0" w:type="auto"/>
            <w:gridSpan w:val="3"/>
            <w:shd w:val="clear" w:color="auto" w:fill="FFFFFF"/>
            <w:tcMar>
              <w:top w:w="40" w:type="dxa"/>
              <w:left w:w="20" w:type="dxa"/>
              <w:bottom w:w="40" w:type="dxa"/>
              <w:right w:w="20" w:type="dxa"/>
            </w:tcMar>
            <w:vAlign w:val="bottom"/>
          </w:tcPr>
          <w:p w14:paraId="5EA1F459" w14:textId="77777777" w:rsidR="003C66EB" w:rsidRDefault="00D96C4E">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5EA1F45A" w14:textId="77777777" w:rsidR="003C66EB" w:rsidRDefault="00D96C4E">
            <w:pPr>
              <w:jc w:val="right"/>
              <w:textAlignment w:val="bottom"/>
            </w:pPr>
            <w:r>
              <w:rPr>
                <w:rFonts w:ascii="Arial" w:eastAsia="宋体" w:hAnsi="Arial" w:cs="Arial"/>
                <w:b/>
                <w:bCs/>
                <w:color w:val="000000"/>
                <w:sz w:val="15"/>
                <w:szCs w:val="15"/>
              </w:rPr>
              <w:t>463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4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5D" w14:textId="77777777" w:rsidR="003C66EB" w:rsidRDefault="00D96C4E">
            <w:pPr>
              <w:jc w:val="right"/>
              <w:textAlignment w:val="bottom"/>
            </w:pPr>
            <w:r>
              <w:rPr>
                <w:rFonts w:ascii="Arial" w:eastAsia="宋体" w:hAnsi="Arial" w:cs="Arial"/>
                <w:color w:val="000000"/>
                <w:sz w:val="15"/>
                <w:szCs w:val="15"/>
              </w:rPr>
              <w:t>459 </w:t>
            </w:r>
          </w:p>
        </w:tc>
        <w:tc>
          <w:tcPr>
            <w:tcW w:w="0" w:type="auto"/>
            <w:shd w:val="clear" w:color="auto" w:fill="FFFFFF"/>
            <w:tcMar>
              <w:top w:w="40" w:type="dxa"/>
              <w:left w:w="0" w:type="dxa"/>
              <w:bottom w:w="40" w:type="dxa"/>
              <w:right w:w="20" w:type="dxa"/>
            </w:tcMar>
            <w:vAlign w:val="bottom"/>
          </w:tcPr>
          <w:p w14:paraId="5EA1F4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60" w14:textId="77777777" w:rsidR="003C66EB" w:rsidRDefault="00D96C4E">
            <w:pPr>
              <w:jc w:val="right"/>
              <w:textAlignment w:val="bottom"/>
            </w:pPr>
            <w:r>
              <w:rPr>
                <w:rFonts w:ascii="Arial" w:eastAsia="宋体" w:hAnsi="Arial" w:cs="Arial"/>
                <w:color w:val="000000"/>
                <w:sz w:val="15"/>
                <w:szCs w:val="15"/>
              </w:rPr>
              <w:t>392 </w:t>
            </w:r>
          </w:p>
        </w:tc>
        <w:tc>
          <w:tcPr>
            <w:tcW w:w="0" w:type="auto"/>
            <w:shd w:val="clear" w:color="auto" w:fill="FFFFFF"/>
            <w:tcMar>
              <w:top w:w="40" w:type="dxa"/>
              <w:left w:w="0" w:type="dxa"/>
              <w:bottom w:w="40" w:type="dxa"/>
              <w:right w:w="20" w:type="dxa"/>
            </w:tcMar>
            <w:vAlign w:val="bottom"/>
          </w:tcPr>
          <w:p w14:paraId="5EA1F461" w14:textId="77777777" w:rsidR="003C66EB" w:rsidRDefault="003C66EB">
            <w:pPr>
              <w:jc w:val="right"/>
              <w:rPr>
                <w:rFonts w:ascii="宋体"/>
              </w:rPr>
            </w:pPr>
          </w:p>
        </w:tc>
        <w:tc>
          <w:tcPr>
            <w:tcW w:w="0" w:type="auto"/>
            <w:shd w:val="clear" w:color="auto" w:fill="auto"/>
          </w:tcPr>
          <w:p w14:paraId="5EA1F462" w14:textId="77777777" w:rsidR="003C66EB" w:rsidRDefault="003C66EB">
            <w:pPr>
              <w:rPr>
                <w:rFonts w:ascii="宋体"/>
                <w:vanish/>
              </w:rPr>
            </w:pPr>
          </w:p>
        </w:tc>
        <w:tc>
          <w:tcPr>
            <w:tcW w:w="0" w:type="auto"/>
            <w:shd w:val="clear" w:color="auto" w:fill="auto"/>
          </w:tcPr>
          <w:p w14:paraId="5EA1F463" w14:textId="77777777" w:rsidR="003C66EB" w:rsidRDefault="003C66EB">
            <w:pPr>
              <w:rPr>
                <w:rFonts w:ascii="宋体"/>
                <w:vanish/>
              </w:rPr>
            </w:pPr>
          </w:p>
        </w:tc>
        <w:tc>
          <w:tcPr>
            <w:tcW w:w="0" w:type="auto"/>
            <w:gridSpan w:val="3"/>
            <w:shd w:val="clear" w:color="auto" w:fill="auto"/>
          </w:tcPr>
          <w:p w14:paraId="5EA1F464" w14:textId="77777777" w:rsidR="003C66EB" w:rsidRDefault="003C66EB">
            <w:pPr>
              <w:rPr>
                <w:rFonts w:ascii="宋体"/>
                <w:vanish/>
              </w:rPr>
            </w:pPr>
          </w:p>
        </w:tc>
        <w:tc>
          <w:tcPr>
            <w:tcW w:w="0" w:type="auto"/>
            <w:gridSpan w:val="3"/>
            <w:shd w:val="clear" w:color="auto" w:fill="auto"/>
          </w:tcPr>
          <w:p w14:paraId="5EA1F465" w14:textId="77777777" w:rsidR="003C66EB" w:rsidRDefault="003C66EB">
            <w:pPr>
              <w:rPr>
                <w:rFonts w:ascii="宋体"/>
                <w:vanish/>
              </w:rPr>
            </w:pPr>
          </w:p>
        </w:tc>
        <w:tc>
          <w:tcPr>
            <w:tcW w:w="0" w:type="auto"/>
            <w:gridSpan w:val="3"/>
            <w:shd w:val="clear" w:color="auto" w:fill="auto"/>
          </w:tcPr>
          <w:p w14:paraId="5EA1F466" w14:textId="77777777" w:rsidR="003C66EB" w:rsidRDefault="003C66EB">
            <w:pPr>
              <w:rPr>
                <w:rFonts w:ascii="宋体"/>
                <w:vanish/>
              </w:rPr>
            </w:pPr>
          </w:p>
        </w:tc>
        <w:tc>
          <w:tcPr>
            <w:tcW w:w="0" w:type="auto"/>
            <w:gridSpan w:val="3"/>
            <w:shd w:val="clear" w:color="auto" w:fill="auto"/>
          </w:tcPr>
          <w:p w14:paraId="5EA1F467" w14:textId="77777777" w:rsidR="003C66EB" w:rsidRDefault="003C66EB">
            <w:pPr>
              <w:rPr>
                <w:rFonts w:ascii="宋体"/>
                <w:vanish/>
              </w:rPr>
            </w:pPr>
          </w:p>
        </w:tc>
        <w:tc>
          <w:tcPr>
            <w:tcW w:w="0" w:type="auto"/>
            <w:gridSpan w:val="3"/>
            <w:shd w:val="clear" w:color="auto" w:fill="auto"/>
          </w:tcPr>
          <w:p w14:paraId="5EA1F468" w14:textId="77777777" w:rsidR="003C66EB" w:rsidRDefault="003C66EB">
            <w:pPr>
              <w:rPr>
                <w:rFonts w:ascii="宋体"/>
                <w:vanish/>
              </w:rPr>
            </w:pPr>
          </w:p>
        </w:tc>
        <w:tc>
          <w:tcPr>
            <w:tcW w:w="0" w:type="auto"/>
            <w:gridSpan w:val="3"/>
            <w:shd w:val="clear" w:color="auto" w:fill="auto"/>
          </w:tcPr>
          <w:p w14:paraId="5EA1F469" w14:textId="77777777" w:rsidR="003C66EB" w:rsidRDefault="003C66EB">
            <w:pPr>
              <w:rPr>
                <w:rFonts w:ascii="宋体"/>
                <w:vanish/>
              </w:rPr>
            </w:pPr>
          </w:p>
        </w:tc>
        <w:tc>
          <w:tcPr>
            <w:tcW w:w="0" w:type="auto"/>
            <w:gridSpan w:val="3"/>
            <w:shd w:val="clear" w:color="auto" w:fill="auto"/>
          </w:tcPr>
          <w:p w14:paraId="5EA1F46A" w14:textId="77777777" w:rsidR="003C66EB" w:rsidRDefault="003C66EB">
            <w:pPr>
              <w:rPr>
                <w:rFonts w:ascii="宋体"/>
                <w:vanish/>
              </w:rPr>
            </w:pPr>
          </w:p>
        </w:tc>
        <w:tc>
          <w:tcPr>
            <w:tcW w:w="0" w:type="auto"/>
            <w:gridSpan w:val="3"/>
            <w:shd w:val="clear" w:color="auto" w:fill="auto"/>
          </w:tcPr>
          <w:p w14:paraId="5EA1F46B" w14:textId="77777777" w:rsidR="003C66EB" w:rsidRDefault="003C66EB">
            <w:pPr>
              <w:rPr>
                <w:rFonts w:ascii="宋体"/>
                <w:vanish/>
              </w:rPr>
            </w:pPr>
          </w:p>
        </w:tc>
      </w:tr>
      <w:tr w:rsidR="003C66EB" w14:paraId="5EA1F480" w14:textId="77777777">
        <w:trPr>
          <w:jc w:val="right"/>
        </w:trPr>
        <w:tc>
          <w:tcPr>
            <w:tcW w:w="0" w:type="auto"/>
            <w:gridSpan w:val="3"/>
            <w:shd w:val="clear" w:color="auto" w:fill="CCEEFF"/>
            <w:tcMar>
              <w:top w:w="40" w:type="dxa"/>
              <w:left w:w="20" w:type="dxa"/>
              <w:bottom w:w="40" w:type="dxa"/>
              <w:right w:w="20" w:type="dxa"/>
            </w:tcMar>
            <w:vAlign w:val="bottom"/>
          </w:tcPr>
          <w:p w14:paraId="5EA1F46D" w14:textId="77777777" w:rsidR="003C66EB" w:rsidRDefault="00D96C4E">
            <w:pPr>
              <w:textAlignment w:val="bottom"/>
            </w:pPr>
            <w:r>
              <w:rPr>
                <w:rFonts w:ascii="Arial" w:eastAsia="宋体" w:hAnsi="Arial" w:cs="Arial"/>
                <w:color w:val="000000"/>
                <w:sz w:val="15"/>
                <w:szCs w:val="15"/>
              </w:rPr>
              <w:t>Total fixed-income</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46E" w14:textId="77777777" w:rsidR="003C66EB" w:rsidRDefault="00D96C4E">
            <w:pPr>
              <w:jc w:val="right"/>
              <w:textAlignment w:val="bottom"/>
            </w:pPr>
            <w:r>
              <w:rPr>
                <w:rFonts w:ascii="Arial" w:eastAsia="宋体" w:hAnsi="Arial" w:cs="Arial"/>
                <w:b/>
                <w:bCs/>
                <w:color w:val="000000"/>
                <w:sz w:val="15"/>
                <w:szCs w:val="15"/>
              </w:rPr>
              <w:t>554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46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7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471" w14:textId="77777777" w:rsidR="003C66EB" w:rsidRDefault="00D96C4E">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47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7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474" w14:textId="77777777" w:rsidR="003C66EB" w:rsidRDefault="00D96C4E">
            <w:pPr>
              <w:jc w:val="right"/>
              <w:textAlignment w:val="bottom"/>
            </w:pPr>
            <w:r>
              <w:rPr>
                <w:rFonts w:ascii="Arial" w:eastAsia="宋体" w:hAnsi="Arial" w:cs="Arial"/>
                <w:color w:val="000000"/>
                <w:sz w:val="15"/>
                <w:szCs w:val="15"/>
              </w:rPr>
              <w:t>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475" w14:textId="77777777" w:rsidR="003C66EB" w:rsidRDefault="003C66EB">
            <w:pPr>
              <w:jc w:val="right"/>
              <w:rPr>
                <w:rFonts w:ascii="宋体"/>
              </w:rPr>
            </w:pPr>
          </w:p>
        </w:tc>
        <w:tc>
          <w:tcPr>
            <w:tcW w:w="0" w:type="auto"/>
            <w:shd w:val="clear" w:color="auto" w:fill="auto"/>
          </w:tcPr>
          <w:p w14:paraId="5EA1F476" w14:textId="77777777" w:rsidR="003C66EB" w:rsidRDefault="003C66EB">
            <w:pPr>
              <w:rPr>
                <w:rFonts w:ascii="宋体"/>
                <w:vanish/>
              </w:rPr>
            </w:pPr>
          </w:p>
        </w:tc>
        <w:tc>
          <w:tcPr>
            <w:tcW w:w="0" w:type="auto"/>
            <w:shd w:val="clear" w:color="auto" w:fill="auto"/>
          </w:tcPr>
          <w:p w14:paraId="5EA1F477" w14:textId="77777777" w:rsidR="003C66EB" w:rsidRDefault="003C66EB">
            <w:pPr>
              <w:rPr>
                <w:rFonts w:ascii="宋体"/>
                <w:vanish/>
              </w:rPr>
            </w:pPr>
          </w:p>
        </w:tc>
        <w:tc>
          <w:tcPr>
            <w:tcW w:w="0" w:type="auto"/>
            <w:gridSpan w:val="3"/>
            <w:shd w:val="clear" w:color="auto" w:fill="auto"/>
          </w:tcPr>
          <w:p w14:paraId="5EA1F478" w14:textId="77777777" w:rsidR="003C66EB" w:rsidRDefault="003C66EB">
            <w:pPr>
              <w:rPr>
                <w:rFonts w:ascii="宋体"/>
                <w:vanish/>
              </w:rPr>
            </w:pPr>
          </w:p>
        </w:tc>
        <w:tc>
          <w:tcPr>
            <w:tcW w:w="0" w:type="auto"/>
            <w:gridSpan w:val="3"/>
            <w:shd w:val="clear" w:color="auto" w:fill="auto"/>
          </w:tcPr>
          <w:p w14:paraId="5EA1F479" w14:textId="77777777" w:rsidR="003C66EB" w:rsidRDefault="003C66EB">
            <w:pPr>
              <w:rPr>
                <w:rFonts w:ascii="宋体"/>
                <w:vanish/>
              </w:rPr>
            </w:pPr>
          </w:p>
        </w:tc>
        <w:tc>
          <w:tcPr>
            <w:tcW w:w="0" w:type="auto"/>
            <w:gridSpan w:val="3"/>
            <w:shd w:val="clear" w:color="auto" w:fill="auto"/>
          </w:tcPr>
          <w:p w14:paraId="5EA1F47A" w14:textId="77777777" w:rsidR="003C66EB" w:rsidRDefault="003C66EB">
            <w:pPr>
              <w:rPr>
                <w:rFonts w:ascii="宋体"/>
                <w:vanish/>
              </w:rPr>
            </w:pPr>
          </w:p>
        </w:tc>
        <w:tc>
          <w:tcPr>
            <w:tcW w:w="0" w:type="auto"/>
            <w:gridSpan w:val="3"/>
            <w:shd w:val="clear" w:color="auto" w:fill="auto"/>
          </w:tcPr>
          <w:p w14:paraId="5EA1F47B" w14:textId="77777777" w:rsidR="003C66EB" w:rsidRDefault="003C66EB">
            <w:pPr>
              <w:rPr>
                <w:rFonts w:ascii="宋体"/>
                <w:vanish/>
              </w:rPr>
            </w:pPr>
          </w:p>
        </w:tc>
        <w:tc>
          <w:tcPr>
            <w:tcW w:w="0" w:type="auto"/>
            <w:gridSpan w:val="3"/>
            <w:shd w:val="clear" w:color="auto" w:fill="auto"/>
          </w:tcPr>
          <w:p w14:paraId="5EA1F47C" w14:textId="77777777" w:rsidR="003C66EB" w:rsidRDefault="003C66EB">
            <w:pPr>
              <w:rPr>
                <w:rFonts w:ascii="宋体"/>
                <w:vanish/>
              </w:rPr>
            </w:pPr>
          </w:p>
        </w:tc>
        <w:tc>
          <w:tcPr>
            <w:tcW w:w="0" w:type="auto"/>
            <w:gridSpan w:val="3"/>
            <w:shd w:val="clear" w:color="auto" w:fill="auto"/>
          </w:tcPr>
          <w:p w14:paraId="5EA1F47D" w14:textId="77777777" w:rsidR="003C66EB" w:rsidRDefault="003C66EB">
            <w:pPr>
              <w:rPr>
                <w:rFonts w:ascii="宋体"/>
                <w:vanish/>
              </w:rPr>
            </w:pPr>
          </w:p>
        </w:tc>
        <w:tc>
          <w:tcPr>
            <w:tcW w:w="0" w:type="auto"/>
            <w:gridSpan w:val="3"/>
            <w:shd w:val="clear" w:color="auto" w:fill="auto"/>
          </w:tcPr>
          <w:p w14:paraId="5EA1F47E" w14:textId="77777777" w:rsidR="003C66EB" w:rsidRDefault="003C66EB">
            <w:pPr>
              <w:rPr>
                <w:rFonts w:ascii="宋体"/>
                <w:vanish/>
              </w:rPr>
            </w:pPr>
          </w:p>
        </w:tc>
        <w:tc>
          <w:tcPr>
            <w:tcW w:w="0" w:type="auto"/>
            <w:gridSpan w:val="3"/>
            <w:shd w:val="clear" w:color="auto" w:fill="auto"/>
          </w:tcPr>
          <w:p w14:paraId="5EA1F47F" w14:textId="77777777" w:rsidR="003C66EB" w:rsidRDefault="003C66EB">
            <w:pPr>
              <w:rPr>
                <w:rFonts w:ascii="宋体"/>
                <w:vanish/>
              </w:rPr>
            </w:pPr>
          </w:p>
        </w:tc>
      </w:tr>
      <w:tr w:rsidR="003C66EB" w14:paraId="5EA1F494" w14:textId="77777777">
        <w:trPr>
          <w:jc w:val="right"/>
        </w:trPr>
        <w:tc>
          <w:tcPr>
            <w:tcW w:w="0" w:type="auto"/>
            <w:gridSpan w:val="3"/>
            <w:shd w:val="clear" w:color="auto" w:fill="FFFFFF"/>
            <w:tcMar>
              <w:top w:w="40" w:type="dxa"/>
              <w:left w:w="20" w:type="dxa"/>
              <w:bottom w:w="40" w:type="dxa"/>
              <w:right w:w="20" w:type="dxa"/>
            </w:tcMar>
            <w:vAlign w:val="bottom"/>
          </w:tcPr>
          <w:p w14:paraId="5EA1F481" w14:textId="77777777" w:rsidR="003C66EB" w:rsidRDefault="00D96C4E">
            <w:pPr>
              <w:textAlignment w:val="bottom"/>
            </w:pPr>
            <w:r>
              <w:rPr>
                <w:rFonts w:ascii="Arial" w:eastAsia="宋体" w:hAnsi="Arial" w:cs="Arial"/>
                <w:color w:val="000000"/>
                <w:sz w:val="15"/>
                <w:szCs w:val="15"/>
              </w:rPr>
              <w:t>Cash</w:t>
            </w:r>
            <w:r>
              <w:rPr>
                <w:rFonts w:ascii="Arial" w:eastAsia="宋体" w:hAnsi="Arial" w:cs="Arial"/>
                <w:color w:val="000000"/>
                <w:sz w:val="9"/>
                <w:szCs w:val="9"/>
              </w:rPr>
              <w:t>(1)(2)</w:t>
            </w:r>
          </w:p>
        </w:tc>
        <w:tc>
          <w:tcPr>
            <w:tcW w:w="0" w:type="auto"/>
            <w:gridSpan w:val="2"/>
            <w:shd w:val="clear" w:color="auto" w:fill="FFFFFF"/>
            <w:tcMar>
              <w:top w:w="40" w:type="dxa"/>
              <w:left w:w="20" w:type="dxa"/>
              <w:bottom w:w="40" w:type="dxa"/>
              <w:right w:w="0" w:type="dxa"/>
            </w:tcMar>
            <w:vAlign w:val="bottom"/>
          </w:tcPr>
          <w:p w14:paraId="5EA1F482" w14:textId="77777777" w:rsidR="003C66EB" w:rsidRDefault="00D96C4E">
            <w:pPr>
              <w:jc w:val="right"/>
              <w:textAlignment w:val="bottom"/>
            </w:pPr>
            <w:r>
              <w:rPr>
                <w:rFonts w:ascii="Arial" w:eastAsia="宋体" w:hAnsi="Arial" w:cs="Arial"/>
                <w:b/>
                <w:bCs/>
                <w:color w:val="000000"/>
                <w:sz w:val="15"/>
                <w:szCs w:val="15"/>
              </w:rPr>
              <w:t>372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4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8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85" w14:textId="77777777" w:rsidR="003C66EB" w:rsidRDefault="00D96C4E">
            <w:pPr>
              <w:jc w:val="right"/>
              <w:textAlignment w:val="bottom"/>
            </w:pPr>
            <w:r>
              <w:rPr>
                <w:rFonts w:ascii="Arial" w:eastAsia="宋体" w:hAnsi="Arial" w:cs="Arial"/>
                <w:color w:val="000000"/>
                <w:sz w:val="15"/>
                <w:szCs w:val="15"/>
              </w:rPr>
              <w:t>349 </w:t>
            </w:r>
          </w:p>
        </w:tc>
        <w:tc>
          <w:tcPr>
            <w:tcW w:w="0" w:type="auto"/>
            <w:shd w:val="clear" w:color="auto" w:fill="FFFFFF"/>
            <w:tcMar>
              <w:top w:w="40" w:type="dxa"/>
              <w:left w:w="0" w:type="dxa"/>
              <w:bottom w:w="40" w:type="dxa"/>
              <w:right w:w="20" w:type="dxa"/>
            </w:tcMar>
            <w:vAlign w:val="bottom"/>
          </w:tcPr>
          <w:p w14:paraId="5EA1F4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88" w14:textId="77777777" w:rsidR="003C66EB" w:rsidRDefault="00D96C4E">
            <w:pPr>
              <w:jc w:val="right"/>
              <w:textAlignment w:val="bottom"/>
            </w:pPr>
            <w:r>
              <w:rPr>
                <w:rFonts w:ascii="Arial" w:eastAsia="宋体" w:hAnsi="Arial" w:cs="Arial"/>
                <w:color w:val="000000"/>
                <w:sz w:val="15"/>
                <w:szCs w:val="15"/>
              </w:rPr>
              <w:t>348 </w:t>
            </w:r>
          </w:p>
        </w:tc>
        <w:tc>
          <w:tcPr>
            <w:tcW w:w="0" w:type="auto"/>
            <w:shd w:val="clear" w:color="auto" w:fill="FFFFFF"/>
            <w:tcMar>
              <w:top w:w="40" w:type="dxa"/>
              <w:left w:w="0" w:type="dxa"/>
              <w:bottom w:w="40" w:type="dxa"/>
              <w:right w:w="20" w:type="dxa"/>
            </w:tcMar>
            <w:vAlign w:val="bottom"/>
          </w:tcPr>
          <w:p w14:paraId="5EA1F489" w14:textId="77777777" w:rsidR="003C66EB" w:rsidRDefault="003C66EB">
            <w:pPr>
              <w:jc w:val="right"/>
              <w:rPr>
                <w:rFonts w:ascii="宋体"/>
              </w:rPr>
            </w:pPr>
          </w:p>
        </w:tc>
        <w:tc>
          <w:tcPr>
            <w:tcW w:w="0" w:type="auto"/>
            <w:shd w:val="clear" w:color="auto" w:fill="auto"/>
          </w:tcPr>
          <w:p w14:paraId="5EA1F48A" w14:textId="77777777" w:rsidR="003C66EB" w:rsidRDefault="003C66EB">
            <w:pPr>
              <w:rPr>
                <w:rFonts w:ascii="宋体"/>
                <w:vanish/>
              </w:rPr>
            </w:pPr>
          </w:p>
        </w:tc>
        <w:tc>
          <w:tcPr>
            <w:tcW w:w="0" w:type="auto"/>
            <w:shd w:val="clear" w:color="auto" w:fill="auto"/>
          </w:tcPr>
          <w:p w14:paraId="5EA1F48B" w14:textId="77777777" w:rsidR="003C66EB" w:rsidRDefault="003C66EB">
            <w:pPr>
              <w:rPr>
                <w:rFonts w:ascii="宋体"/>
                <w:vanish/>
              </w:rPr>
            </w:pPr>
          </w:p>
        </w:tc>
        <w:tc>
          <w:tcPr>
            <w:tcW w:w="0" w:type="auto"/>
            <w:gridSpan w:val="3"/>
            <w:shd w:val="clear" w:color="auto" w:fill="auto"/>
          </w:tcPr>
          <w:p w14:paraId="5EA1F48C" w14:textId="77777777" w:rsidR="003C66EB" w:rsidRDefault="003C66EB">
            <w:pPr>
              <w:rPr>
                <w:rFonts w:ascii="宋体"/>
                <w:vanish/>
              </w:rPr>
            </w:pPr>
          </w:p>
        </w:tc>
        <w:tc>
          <w:tcPr>
            <w:tcW w:w="0" w:type="auto"/>
            <w:gridSpan w:val="3"/>
            <w:shd w:val="clear" w:color="auto" w:fill="auto"/>
          </w:tcPr>
          <w:p w14:paraId="5EA1F48D" w14:textId="77777777" w:rsidR="003C66EB" w:rsidRDefault="003C66EB">
            <w:pPr>
              <w:rPr>
                <w:rFonts w:ascii="宋体"/>
                <w:vanish/>
              </w:rPr>
            </w:pPr>
          </w:p>
        </w:tc>
        <w:tc>
          <w:tcPr>
            <w:tcW w:w="0" w:type="auto"/>
            <w:gridSpan w:val="3"/>
            <w:shd w:val="clear" w:color="auto" w:fill="auto"/>
          </w:tcPr>
          <w:p w14:paraId="5EA1F48E" w14:textId="77777777" w:rsidR="003C66EB" w:rsidRDefault="003C66EB">
            <w:pPr>
              <w:rPr>
                <w:rFonts w:ascii="宋体"/>
                <w:vanish/>
              </w:rPr>
            </w:pPr>
          </w:p>
        </w:tc>
        <w:tc>
          <w:tcPr>
            <w:tcW w:w="0" w:type="auto"/>
            <w:gridSpan w:val="3"/>
            <w:shd w:val="clear" w:color="auto" w:fill="auto"/>
          </w:tcPr>
          <w:p w14:paraId="5EA1F48F" w14:textId="77777777" w:rsidR="003C66EB" w:rsidRDefault="003C66EB">
            <w:pPr>
              <w:rPr>
                <w:rFonts w:ascii="宋体"/>
                <w:vanish/>
              </w:rPr>
            </w:pPr>
          </w:p>
        </w:tc>
        <w:tc>
          <w:tcPr>
            <w:tcW w:w="0" w:type="auto"/>
            <w:gridSpan w:val="3"/>
            <w:shd w:val="clear" w:color="auto" w:fill="auto"/>
          </w:tcPr>
          <w:p w14:paraId="5EA1F490" w14:textId="77777777" w:rsidR="003C66EB" w:rsidRDefault="003C66EB">
            <w:pPr>
              <w:rPr>
                <w:rFonts w:ascii="宋体"/>
                <w:vanish/>
              </w:rPr>
            </w:pPr>
          </w:p>
        </w:tc>
        <w:tc>
          <w:tcPr>
            <w:tcW w:w="0" w:type="auto"/>
            <w:gridSpan w:val="3"/>
            <w:shd w:val="clear" w:color="auto" w:fill="auto"/>
          </w:tcPr>
          <w:p w14:paraId="5EA1F491" w14:textId="77777777" w:rsidR="003C66EB" w:rsidRDefault="003C66EB">
            <w:pPr>
              <w:rPr>
                <w:rFonts w:ascii="宋体"/>
                <w:vanish/>
              </w:rPr>
            </w:pPr>
          </w:p>
        </w:tc>
        <w:tc>
          <w:tcPr>
            <w:tcW w:w="0" w:type="auto"/>
            <w:gridSpan w:val="3"/>
            <w:shd w:val="clear" w:color="auto" w:fill="auto"/>
          </w:tcPr>
          <w:p w14:paraId="5EA1F492" w14:textId="77777777" w:rsidR="003C66EB" w:rsidRDefault="003C66EB">
            <w:pPr>
              <w:rPr>
                <w:rFonts w:ascii="宋体"/>
                <w:vanish/>
              </w:rPr>
            </w:pPr>
          </w:p>
        </w:tc>
        <w:tc>
          <w:tcPr>
            <w:tcW w:w="0" w:type="auto"/>
            <w:gridSpan w:val="3"/>
            <w:shd w:val="clear" w:color="auto" w:fill="auto"/>
          </w:tcPr>
          <w:p w14:paraId="5EA1F493" w14:textId="77777777" w:rsidR="003C66EB" w:rsidRDefault="003C66EB">
            <w:pPr>
              <w:rPr>
                <w:rFonts w:ascii="宋体"/>
                <w:vanish/>
              </w:rPr>
            </w:pPr>
          </w:p>
        </w:tc>
      </w:tr>
      <w:tr w:rsidR="003C66EB" w14:paraId="5EA1F4B0" w14:textId="77777777">
        <w:trPr>
          <w:jc w:val="right"/>
        </w:trPr>
        <w:tc>
          <w:tcPr>
            <w:tcW w:w="0" w:type="auto"/>
            <w:gridSpan w:val="18"/>
            <w:shd w:val="clear" w:color="auto" w:fill="CCEEFF"/>
            <w:tcMar>
              <w:top w:w="40" w:type="dxa"/>
              <w:left w:w="20" w:type="dxa"/>
              <w:bottom w:w="40" w:type="dxa"/>
              <w:right w:w="20" w:type="dxa"/>
            </w:tcMar>
            <w:vAlign w:val="bottom"/>
          </w:tcPr>
          <w:p w14:paraId="5EA1F495" w14:textId="77777777" w:rsidR="003C66EB" w:rsidRDefault="00D96C4E">
            <w:pPr>
              <w:textAlignment w:val="bottom"/>
            </w:pPr>
            <w:r>
              <w:rPr>
                <w:rFonts w:ascii="Arial" w:eastAsia="宋体" w:hAnsi="Arial" w:cs="Arial"/>
                <w:color w:val="000000"/>
                <w:sz w:val="15"/>
                <w:szCs w:val="15"/>
              </w:rPr>
              <w:t>Multi-asset-class solutions:</w:t>
            </w:r>
          </w:p>
        </w:tc>
        <w:tc>
          <w:tcPr>
            <w:tcW w:w="0" w:type="auto"/>
            <w:shd w:val="clear" w:color="auto" w:fill="auto"/>
          </w:tcPr>
          <w:p w14:paraId="5EA1F496" w14:textId="77777777" w:rsidR="003C66EB" w:rsidRDefault="003C66EB">
            <w:pPr>
              <w:rPr>
                <w:rFonts w:ascii="宋体"/>
                <w:vanish/>
              </w:rPr>
            </w:pPr>
          </w:p>
        </w:tc>
        <w:tc>
          <w:tcPr>
            <w:tcW w:w="0" w:type="auto"/>
            <w:shd w:val="clear" w:color="auto" w:fill="auto"/>
          </w:tcPr>
          <w:p w14:paraId="5EA1F497" w14:textId="77777777" w:rsidR="003C66EB" w:rsidRDefault="003C66EB">
            <w:pPr>
              <w:rPr>
                <w:rFonts w:ascii="宋体"/>
                <w:vanish/>
              </w:rPr>
            </w:pPr>
          </w:p>
        </w:tc>
        <w:tc>
          <w:tcPr>
            <w:tcW w:w="0" w:type="auto"/>
            <w:shd w:val="clear" w:color="auto" w:fill="auto"/>
          </w:tcPr>
          <w:p w14:paraId="5EA1F498" w14:textId="77777777" w:rsidR="003C66EB" w:rsidRDefault="003C66EB">
            <w:pPr>
              <w:rPr>
                <w:rFonts w:ascii="宋体"/>
              </w:rPr>
            </w:pPr>
          </w:p>
        </w:tc>
        <w:tc>
          <w:tcPr>
            <w:tcW w:w="0" w:type="auto"/>
            <w:shd w:val="clear" w:color="auto" w:fill="auto"/>
          </w:tcPr>
          <w:p w14:paraId="5EA1F499" w14:textId="77777777" w:rsidR="003C66EB" w:rsidRDefault="003C66EB">
            <w:pPr>
              <w:rPr>
                <w:rFonts w:ascii="宋体"/>
              </w:rPr>
            </w:pPr>
          </w:p>
        </w:tc>
        <w:tc>
          <w:tcPr>
            <w:tcW w:w="0" w:type="auto"/>
            <w:shd w:val="clear" w:color="auto" w:fill="auto"/>
          </w:tcPr>
          <w:p w14:paraId="5EA1F49A" w14:textId="77777777" w:rsidR="003C66EB" w:rsidRDefault="003C66EB">
            <w:pPr>
              <w:rPr>
                <w:rFonts w:ascii="宋体"/>
              </w:rPr>
            </w:pPr>
          </w:p>
        </w:tc>
        <w:tc>
          <w:tcPr>
            <w:tcW w:w="0" w:type="auto"/>
            <w:shd w:val="clear" w:color="auto" w:fill="auto"/>
          </w:tcPr>
          <w:p w14:paraId="5EA1F49B" w14:textId="77777777" w:rsidR="003C66EB" w:rsidRDefault="003C66EB">
            <w:pPr>
              <w:rPr>
                <w:rFonts w:ascii="宋体"/>
              </w:rPr>
            </w:pPr>
          </w:p>
        </w:tc>
        <w:tc>
          <w:tcPr>
            <w:tcW w:w="0" w:type="auto"/>
            <w:shd w:val="clear" w:color="auto" w:fill="auto"/>
          </w:tcPr>
          <w:p w14:paraId="5EA1F49C" w14:textId="77777777" w:rsidR="003C66EB" w:rsidRDefault="003C66EB">
            <w:pPr>
              <w:rPr>
                <w:rFonts w:ascii="宋体"/>
              </w:rPr>
            </w:pPr>
          </w:p>
        </w:tc>
        <w:tc>
          <w:tcPr>
            <w:tcW w:w="0" w:type="auto"/>
            <w:shd w:val="clear" w:color="auto" w:fill="auto"/>
          </w:tcPr>
          <w:p w14:paraId="5EA1F49D" w14:textId="77777777" w:rsidR="003C66EB" w:rsidRDefault="003C66EB">
            <w:pPr>
              <w:rPr>
                <w:rFonts w:ascii="宋体"/>
              </w:rPr>
            </w:pPr>
          </w:p>
        </w:tc>
        <w:tc>
          <w:tcPr>
            <w:tcW w:w="0" w:type="auto"/>
            <w:shd w:val="clear" w:color="auto" w:fill="auto"/>
          </w:tcPr>
          <w:p w14:paraId="5EA1F49E" w14:textId="77777777" w:rsidR="003C66EB" w:rsidRDefault="003C66EB">
            <w:pPr>
              <w:rPr>
                <w:rFonts w:ascii="宋体"/>
              </w:rPr>
            </w:pPr>
          </w:p>
        </w:tc>
        <w:tc>
          <w:tcPr>
            <w:tcW w:w="0" w:type="auto"/>
            <w:shd w:val="clear" w:color="auto" w:fill="auto"/>
          </w:tcPr>
          <w:p w14:paraId="5EA1F49F" w14:textId="77777777" w:rsidR="003C66EB" w:rsidRDefault="003C66EB">
            <w:pPr>
              <w:rPr>
                <w:rFonts w:ascii="宋体"/>
              </w:rPr>
            </w:pPr>
          </w:p>
        </w:tc>
        <w:tc>
          <w:tcPr>
            <w:tcW w:w="0" w:type="auto"/>
            <w:shd w:val="clear" w:color="auto" w:fill="auto"/>
          </w:tcPr>
          <w:p w14:paraId="5EA1F4A0" w14:textId="77777777" w:rsidR="003C66EB" w:rsidRDefault="003C66EB">
            <w:pPr>
              <w:rPr>
                <w:rFonts w:ascii="宋体"/>
              </w:rPr>
            </w:pPr>
          </w:p>
        </w:tc>
        <w:tc>
          <w:tcPr>
            <w:tcW w:w="0" w:type="auto"/>
            <w:shd w:val="clear" w:color="auto" w:fill="auto"/>
          </w:tcPr>
          <w:p w14:paraId="5EA1F4A1" w14:textId="77777777" w:rsidR="003C66EB" w:rsidRDefault="003C66EB">
            <w:pPr>
              <w:rPr>
                <w:rFonts w:ascii="宋体"/>
              </w:rPr>
            </w:pPr>
          </w:p>
        </w:tc>
        <w:tc>
          <w:tcPr>
            <w:tcW w:w="0" w:type="auto"/>
            <w:shd w:val="clear" w:color="auto" w:fill="auto"/>
          </w:tcPr>
          <w:p w14:paraId="5EA1F4A2" w14:textId="77777777" w:rsidR="003C66EB" w:rsidRDefault="003C66EB">
            <w:pPr>
              <w:rPr>
                <w:rFonts w:ascii="宋体"/>
              </w:rPr>
            </w:pPr>
          </w:p>
        </w:tc>
        <w:tc>
          <w:tcPr>
            <w:tcW w:w="0" w:type="auto"/>
            <w:shd w:val="clear" w:color="auto" w:fill="auto"/>
          </w:tcPr>
          <w:p w14:paraId="5EA1F4A3" w14:textId="77777777" w:rsidR="003C66EB" w:rsidRDefault="003C66EB">
            <w:pPr>
              <w:rPr>
                <w:rFonts w:ascii="宋体"/>
              </w:rPr>
            </w:pPr>
          </w:p>
        </w:tc>
        <w:tc>
          <w:tcPr>
            <w:tcW w:w="0" w:type="auto"/>
            <w:shd w:val="clear" w:color="auto" w:fill="auto"/>
          </w:tcPr>
          <w:p w14:paraId="5EA1F4A4" w14:textId="77777777" w:rsidR="003C66EB" w:rsidRDefault="003C66EB">
            <w:pPr>
              <w:rPr>
                <w:rFonts w:ascii="宋体"/>
              </w:rPr>
            </w:pPr>
          </w:p>
        </w:tc>
        <w:tc>
          <w:tcPr>
            <w:tcW w:w="0" w:type="auto"/>
            <w:shd w:val="clear" w:color="auto" w:fill="auto"/>
          </w:tcPr>
          <w:p w14:paraId="5EA1F4A5" w14:textId="77777777" w:rsidR="003C66EB" w:rsidRDefault="003C66EB">
            <w:pPr>
              <w:rPr>
                <w:rFonts w:ascii="宋体"/>
              </w:rPr>
            </w:pPr>
          </w:p>
        </w:tc>
        <w:tc>
          <w:tcPr>
            <w:tcW w:w="0" w:type="auto"/>
            <w:shd w:val="clear" w:color="auto" w:fill="auto"/>
          </w:tcPr>
          <w:p w14:paraId="5EA1F4A6" w14:textId="77777777" w:rsidR="003C66EB" w:rsidRDefault="003C66EB">
            <w:pPr>
              <w:rPr>
                <w:rFonts w:ascii="宋体"/>
              </w:rPr>
            </w:pPr>
          </w:p>
        </w:tc>
        <w:tc>
          <w:tcPr>
            <w:tcW w:w="0" w:type="auto"/>
            <w:shd w:val="clear" w:color="auto" w:fill="auto"/>
          </w:tcPr>
          <w:p w14:paraId="5EA1F4A7" w14:textId="77777777" w:rsidR="003C66EB" w:rsidRDefault="003C66EB">
            <w:pPr>
              <w:rPr>
                <w:rFonts w:ascii="宋体"/>
              </w:rPr>
            </w:pPr>
          </w:p>
        </w:tc>
        <w:tc>
          <w:tcPr>
            <w:tcW w:w="0" w:type="auto"/>
            <w:shd w:val="clear" w:color="auto" w:fill="auto"/>
          </w:tcPr>
          <w:p w14:paraId="5EA1F4A8" w14:textId="77777777" w:rsidR="003C66EB" w:rsidRDefault="003C66EB">
            <w:pPr>
              <w:rPr>
                <w:rFonts w:ascii="宋体"/>
              </w:rPr>
            </w:pPr>
          </w:p>
        </w:tc>
        <w:tc>
          <w:tcPr>
            <w:tcW w:w="0" w:type="auto"/>
            <w:shd w:val="clear" w:color="auto" w:fill="auto"/>
          </w:tcPr>
          <w:p w14:paraId="5EA1F4A9" w14:textId="77777777" w:rsidR="003C66EB" w:rsidRDefault="003C66EB">
            <w:pPr>
              <w:rPr>
                <w:rFonts w:ascii="宋体"/>
              </w:rPr>
            </w:pPr>
          </w:p>
        </w:tc>
        <w:tc>
          <w:tcPr>
            <w:tcW w:w="0" w:type="auto"/>
            <w:shd w:val="clear" w:color="auto" w:fill="auto"/>
          </w:tcPr>
          <w:p w14:paraId="5EA1F4AA" w14:textId="77777777" w:rsidR="003C66EB" w:rsidRDefault="003C66EB">
            <w:pPr>
              <w:rPr>
                <w:rFonts w:ascii="宋体"/>
              </w:rPr>
            </w:pPr>
          </w:p>
        </w:tc>
        <w:tc>
          <w:tcPr>
            <w:tcW w:w="0" w:type="auto"/>
            <w:shd w:val="clear" w:color="auto" w:fill="auto"/>
          </w:tcPr>
          <w:p w14:paraId="5EA1F4AB" w14:textId="77777777" w:rsidR="003C66EB" w:rsidRDefault="003C66EB">
            <w:pPr>
              <w:rPr>
                <w:rFonts w:ascii="宋体"/>
              </w:rPr>
            </w:pPr>
          </w:p>
        </w:tc>
        <w:tc>
          <w:tcPr>
            <w:tcW w:w="0" w:type="auto"/>
            <w:shd w:val="clear" w:color="auto" w:fill="auto"/>
          </w:tcPr>
          <w:p w14:paraId="5EA1F4AC" w14:textId="77777777" w:rsidR="003C66EB" w:rsidRDefault="003C66EB">
            <w:pPr>
              <w:rPr>
                <w:rFonts w:ascii="宋体"/>
              </w:rPr>
            </w:pPr>
          </w:p>
        </w:tc>
        <w:tc>
          <w:tcPr>
            <w:tcW w:w="0" w:type="auto"/>
            <w:shd w:val="clear" w:color="auto" w:fill="auto"/>
          </w:tcPr>
          <w:p w14:paraId="5EA1F4AD" w14:textId="77777777" w:rsidR="003C66EB" w:rsidRDefault="003C66EB">
            <w:pPr>
              <w:rPr>
                <w:rFonts w:ascii="宋体"/>
              </w:rPr>
            </w:pPr>
          </w:p>
        </w:tc>
        <w:tc>
          <w:tcPr>
            <w:tcW w:w="0" w:type="auto"/>
            <w:shd w:val="clear" w:color="auto" w:fill="auto"/>
          </w:tcPr>
          <w:p w14:paraId="5EA1F4AE" w14:textId="77777777" w:rsidR="003C66EB" w:rsidRDefault="003C66EB">
            <w:pPr>
              <w:rPr>
                <w:rFonts w:ascii="宋体"/>
              </w:rPr>
            </w:pPr>
          </w:p>
        </w:tc>
        <w:tc>
          <w:tcPr>
            <w:tcW w:w="0" w:type="auto"/>
            <w:shd w:val="clear" w:color="auto" w:fill="auto"/>
          </w:tcPr>
          <w:p w14:paraId="5EA1F4AF" w14:textId="77777777" w:rsidR="003C66EB" w:rsidRDefault="003C66EB">
            <w:pPr>
              <w:rPr>
                <w:rFonts w:ascii="宋体"/>
              </w:rPr>
            </w:pPr>
          </w:p>
        </w:tc>
      </w:tr>
      <w:tr w:rsidR="003C66EB" w14:paraId="5EA1F4C4" w14:textId="77777777">
        <w:trPr>
          <w:jc w:val="right"/>
        </w:trPr>
        <w:tc>
          <w:tcPr>
            <w:tcW w:w="0" w:type="auto"/>
            <w:gridSpan w:val="3"/>
            <w:shd w:val="clear" w:color="auto" w:fill="FFFFFF"/>
            <w:tcMar>
              <w:top w:w="40" w:type="dxa"/>
              <w:left w:w="20" w:type="dxa"/>
              <w:bottom w:w="40" w:type="dxa"/>
              <w:right w:w="20" w:type="dxa"/>
            </w:tcMar>
            <w:vAlign w:val="bottom"/>
          </w:tcPr>
          <w:p w14:paraId="5EA1F4B1" w14:textId="77777777" w:rsidR="003C66EB" w:rsidRDefault="00D96C4E">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5EA1F4B2" w14:textId="77777777" w:rsidR="003C66EB" w:rsidRDefault="00D96C4E">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4B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B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B5" w14:textId="77777777" w:rsidR="003C66EB" w:rsidRDefault="00D96C4E">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5EA1F4B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B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4B8" w14:textId="77777777" w:rsidR="003C66EB" w:rsidRDefault="00D96C4E">
            <w:pPr>
              <w:jc w:val="right"/>
              <w:textAlignment w:val="bottom"/>
            </w:pPr>
            <w:r>
              <w:rPr>
                <w:rFonts w:ascii="Arial" w:eastAsia="宋体" w:hAnsi="Arial" w:cs="Arial"/>
                <w:color w:val="000000"/>
                <w:sz w:val="15"/>
                <w:szCs w:val="15"/>
              </w:rPr>
              <w:t>39 </w:t>
            </w:r>
          </w:p>
        </w:tc>
        <w:tc>
          <w:tcPr>
            <w:tcW w:w="0" w:type="auto"/>
            <w:shd w:val="clear" w:color="auto" w:fill="FFFFFF"/>
            <w:tcMar>
              <w:top w:w="40" w:type="dxa"/>
              <w:left w:w="0" w:type="dxa"/>
              <w:bottom w:w="40" w:type="dxa"/>
              <w:right w:w="20" w:type="dxa"/>
            </w:tcMar>
            <w:vAlign w:val="bottom"/>
          </w:tcPr>
          <w:p w14:paraId="5EA1F4B9" w14:textId="77777777" w:rsidR="003C66EB" w:rsidRDefault="003C66EB">
            <w:pPr>
              <w:jc w:val="right"/>
              <w:rPr>
                <w:rFonts w:ascii="宋体"/>
              </w:rPr>
            </w:pPr>
          </w:p>
        </w:tc>
        <w:tc>
          <w:tcPr>
            <w:tcW w:w="0" w:type="auto"/>
            <w:shd w:val="clear" w:color="auto" w:fill="auto"/>
          </w:tcPr>
          <w:p w14:paraId="5EA1F4BA" w14:textId="77777777" w:rsidR="003C66EB" w:rsidRDefault="003C66EB">
            <w:pPr>
              <w:rPr>
                <w:rFonts w:ascii="宋体"/>
                <w:vanish/>
              </w:rPr>
            </w:pPr>
          </w:p>
        </w:tc>
        <w:tc>
          <w:tcPr>
            <w:tcW w:w="0" w:type="auto"/>
            <w:shd w:val="clear" w:color="auto" w:fill="auto"/>
          </w:tcPr>
          <w:p w14:paraId="5EA1F4BB" w14:textId="77777777" w:rsidR="003C66EB" w:rsidRDefault="003C66EB">
            <w:pPr>
              <w:rPr>
                <w:rFonts w:ascii="宋体"/>
                <w:vanish/>
              </w:rPr>
            </w:pPr>
          </w:p>
        </w:tc>
        <w:tc>
          <w:tcPr>
            <w:tcW w:w="0" w:type="auto"/>
            <w:gridSpan w:val="3"/>
            <w:shd w:val="clear" w:color="auto" w:fill="auto"/>
          </w:tcPr>
          <w:p w14:paraId="5EA1F4BC" w14:textId="77777777" w:rsidR="003C66EB" w:rsidRDefault="003C66EB">
            <w:pPr>
              <w:rPr>
                <w:rFonts w:ascii="宋体"/>
                <w:vanish/>
              </w:rPr>
            </w:pPr>
          </w:p>
        </w:tc>
        <w:tc>
          <w:tcPr>
            <w:tcW w:w="0" w:type="auto"/>
            <w:gridSpan w:val="3"/>
            <w:shd w:val="clear" w:color="auto" w:fill="auto"/>
          </w:tcPr>
          <w:p w14:paraId="5EA1F4BD" w14:textId="77777777" w:rsidR="003C66EB" w:rsidRDefault="003C66EB">
            <w:pPr>
              <w:rPr>
                <w:rFonts w:ascii="宋体"/>
                <w:vanish/>
              </w:rPr>
            </w:pPr>
          </w:p>
        </w:tc>
        <w:tc>
          <w:tcPr>
            <w:tcW w:w="0" w:type="auto"/>
            <w:gridSpan w:val="3"/>
            <w:shd w:val="clear" w:color="auto" w:fill="auto"/>
          </w:tcPr>
          <w:p w14:paraId="5EA1F4BE" w14:textId="77777777" w:rsidR="003C66EB" w:rsidRDefault="003C66EB">
            <w:pPr>
              <w:rPr>
                <w:rFonts w:ascii="宋体"/>
                <w:vanish/>
              </w:rPr>
            </w:pPr>
          </w:p>
        </w:tc>
        <w:tc>
          <w:tcPr>
            <w:tcW w:w="0" w:type="auto"/>
            <w:gridSpan w:val="3"/>
            <w:shd w:val="clear" w:color="auto" w:fill="auto"/>
          </w:tcPr>
          <w:p w14:paraId="5EA1F4BF" w14:textId="77777777" w:rsidR="003C66EB" w:rsidRDefault="003C66EB">
            <w:pPr>
              <w:rPr>
                <w:rFonts w:ascii="宋体"/>
                <w:vanish/>
              </w:rPr>
            </w:pPr>
          </w:p>
        </w:tc>
        <w:tc>
          <w:tcPr>
            <w:tcW w:w="0" w:type="auto"/>
            <w:gridSpan w:val="3"/>
            <w:shd w:val="clear" w:color="auto" w:fill="auto"/>
          </w:tcPr>
          <w:p w14:paraId="5EA1F4C0" w14:textId="77777777" w:rsidR="003C66EB" w:rsidRDefault="003C66EB">
            <w:pPr>
              <w:rPr>
                <w:rFonts w:ascii="宋体"/>
                <w:vanish/>
              </w:rPr>
            </w:pPr>
          </w:p>
        </w:tc>
        <w:tc>
          <w:tcPr>
            <w:tcW w:w="0" w:type="auto"/>
            <w:gridSpan w:val="3"/>
            <w:shd w:val="clear" w:color="auto" w:fill="auto"/>
          </w:tcPr>
          <w:p w14:paraId="5EA1F4C1" w14:textId="77777777" w:rsidR="003C66EB" w:rsidRDefault="003C66EB">
            <w:pPr>
              <w:rPr>
                <w:rFonts w:ascii="宋体"/>
                <w:vanish/>
              </w:rPr>
            </w:pPr>
          </w:p>
        </w:tc>
        <w:tc>
          <w:tcPr>
            <w:tcW w:w="0" w:type="auto"/>
            <w:gridSpan w:val="3"/>
            <w:shd w:val="clear" w:color="auto" w:fill="auto"/>
          </w:tcPr>
          <w:p w14:paraId="5EA1F4C2" w14:textId="77777777" w:rsidR="003C66EB" w:rsidRDefault="003C66EB">
            <w:pPr>
              <w:rPr>
                <w:rFonts w:ascii="宋体"/>
                <w:vanish/>
              </w:rPr>
            </w:pPr>
          </w:p>
        </w:tc>
        <w:tc>
          <w:tcPr>
            <w:tcW w:w="0" w:type="auto"/>
            <w:gridSpan w:val="3"/>
            <w:shd w:val="clear" w:color="auto" w:fill="auto"/>
          </w:tcPr>
          <w:p w14:paraId="5EA1F4C3" w14:textId="77777777" w:rsidR="003C66EB" w:rsidRDefault="003C66EB">
            <w:pPr>
              <w:rPr>
                <w:rFonts w:ascii="宋体"/>
                <w:vanish/>
              </w:rPr>
            </w:pPr>
          </w:p>
        </w:tc>
      </w:tr>
      <w:tr w:rsidR="003C66EB" w14:paraId="5EA1F4D8" w14:textId="77777777">
        <w:trPr>
          <w:jc w:val="right"/>
        </w:trPr>
        <w:tc>
          <w:tcPr>
            <w:tcW w:w="0" w:type="auto"/>
            <w:gridSpan w:val="3"/>
            <w:shd w:val="clear" w:color="auto" w:fill="CCEEFF"/>
            <w:tcMar>
              <w:top w:w="40" w:type="dxa"/>
              <w:left w:w="20" w:type="dxa"/>
              <w:bottom w:w="40" w:type="dxa"/>
              <w:right w:w="20" w:type="dxa"/>
            </w:tcMar>
            <w:vAlign w:val="bottom"/>
          </w:tcPr>
          <w:p w14:paraId="5EA1F4C5" w14:textId="77777777" w:rsidR="003C66EB" w:rsidRDefault="00D96C4E">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5EA1F4C6" w14:textId="77777777" w:rsidR="003C66EB" w:rsidRDefault="00D96C4E">
            <w:pPr>
              <w:jc w:val="right"/>
              <w:textAlignment w:val="bottom"/>
            </w:pPr>
            <w:r>
              <w:rPr>
                <w:rFonts w:ascii="Arial" w:eastAsia="宋体" w:hAnsi="Arial" w:cs="Arial"/>
                <w:b/>
                <w:bCs/>
                <w:color w:val="000000"/>
                <w:sz w:val="15"/>
                <w:szCs w:val="15"/>
              </w:rPr>
              <w:t>155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4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C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4C9" w14:textId="77777777" w:rsidR="003C66EB" w:rsidRDefault="00D96C4E">
            <w:pPr>
              <w:jc w:val="right"/>
              <w:textAlignment w:val="bottom"/>
            </w:pPr>
            <w:r>
              <w:rPr>
                <w:rFonts w:ascii="Arial" w:eastAsia="宋体" w:hAnsi="Arial" w:cs="Arial"/>
                <w:color w:val="000000"/>
                <w:sz w:val="15"/>
                <w:szCs w:val="15"/>
              </w:rPr>
              <w:t>146 </w:t>
            </w:r>
          </w:p>
        </w:tc>
        <w:tc>
          <w:tcPr>
            <w:tcW w:w="0" w:type="auto"/>
            <w:shd w:val="clear" w:color="auto" w:fill="CCEEFF"/>
            <w:tcMar>
              <w:top w:w="40" w:type="dxa"/>
              <w:left w:w="0" w:type="dxa"/>
              <w:bottom w:w="40" w:type="dxa"/>
              <w:right w:w="20" w:type="dxa"/>
            </w:tcMar>
            <w:vAlign w:val="bottom"/>
          </w:tcPr>
          <w:p w14:paraId="5EA1F4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4C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4CC" w14:textId="77777777" w:rsidR="003C66EB" w:rsidRDefault="00D96C4E">
            <w:pPr>
              <w:jc w:val="right"/>
              <w:textAlignment w:val="bottom"/>
            </w:pPr>
            <w:r>
              <w:rPr>
                <w:rFonts w:ascii="Arial" w:eastAsia="宋体" w:hAnsi="Arial" w:cs="Arial"/>
                <w:color w:val="000000"/>
                <w:sz w:val="15"/>
                <w:szCs w:val="15"/>
              </w:rPr>
              <w:t>101 </w:t>
            </w:r>
          </w:p>
        </w:tc>
        <w:tc>
          <w:tcPr>
            <w:tcW w:w="0" w:type="auto"/>
            <w:shd w:val="clear" w:color="auto" w:fill="CCEEFF"/>
            <w:tcMar>
              <w:top w:w="40" w:type="dxa"/>
              <w:left w:w="0" w:type="dxa"/>
              <w:bottom w:w="40" w:type="dxa"/>
              <w:right w:w="20" w:type="dxa"/>
            </w:tcMar>
            <w:vAlign w:val="bottom"/>
          </w:tcPr>
          <w:p w14:paraId="5EA1F4CD" w14:textId="77777777" w:rsidR="003C66EB" w:rsidRDefault="003C66EB">
            <w:pPr>
              <w:jc w:val="right"/>
              <w:rPr>
                <w:rFonts w:ascii="宋体"/>
              </w:rPr>
            </w:pPr>
          </w:p>
        </w:tc>
        <w:tc>
          <w:tcPr>
            <w:tcW w:w="0" w:type="auto"/>
            <w:shd w:val="clear" w:color="auto" w:fill="auto"/>
          </w:tcPr>
          <w:p w14:paraId="5EA1F4CE" w14:textId="77777777" w:rsidR="003C66EB" w:rsidRDefault="003C66EB">
            <w:pPr>
              <w:rPr>
                <w:rFonts w:ascii="宋体"/>
                <w:vanish/>
              </w:rPr>
            </w:pPr>
          </w:p>
        </w:tc>
        <w:tc>
          <w:tcPr>
            <w:tcW w:w="0" w:type="auto"/>
            <w:shd w:val="clear" w:color="auto" w:fill="auto"/>
          </w:tcPr>
          <w:p w14:paraId="5EA1F4CF" w14:textId="77777777" w:rsidR="003C66EB" w:rsidRDefault="003C66EB">
            <w:pPr>
              <w:rPr>
                <w:rFonts w:ascii="宋体"/>
                <w:vanish/>
              </w:rPr>
            </w:pPr>
          </w:p>
        </w:tc>
        <w:tc>
          <w:tcPr>
            <w:tcW w:w="0" w:type="auto"/>
            <w:gridSpan w:val="3"/>
            <w:shd w:val="clear" w:color="auto" w:fill="auto"/>
          </w:tcPr>
          <w:p w14:paraId="5EA1F4D0" w14:textId="77777777" w:rsidR="003C66EB" w:rsidRDefault="003C66EB">
            <w:pPr>
              <w:rPr>
                <w:rFonts w:ascii="宋体"/>
                <w:vanish/>
              </w:rPr>
            </w:pPr>
          </w:p>
        </w:tc>
        <w:tc>
          <w:tcPr>
            <w:tcW w:w="0" w:type="auto"/>
            <w:gridSpan w:val="3"/>
            <w:shd w:val="clear" w:color="auto" w:fill="auto"/>
          </w:tcPr>
          <w:p w14:paraId="5EA1F4D1" w14:textId="77777777" w:rsidR="003C66EB" w:rsidRDefault="003C66EB">
            <w:pPr>
              <w:rPr>
                <w:rFonts w:ascii="宋体"/>
                <w:vanish/>
              </w:rPr>
            </w:pPr>
          </w:p>
        </w:tc>
        <w:tc>
          <w:tcPr>
            <w:tcW w:w="0" w:type="auto"/>
            <w:gridSpan w:val="3"/>
            <w:shd w:val="clear" w:color="auto" w:fill="auto"/>
          </w:tcPr>
          <w:p w14:paraId="5EA1F4D2" w14:textId="77777777" w:rsidR="003C66EB" w:rsidRDefault="003C66EB">
            <w:pPr>
              <w:rPr>
                <w:rFonts w:ascii="宋体"/>
                <w:vanish/>
              </w:rPr>
            </w:pPr>
          </w:p>
        </w:tc>
        <w:tc>
          <w:tcPr>
            <w:tcW w:w="0" w:type="auto"/>
            <w:gridSpan w:val="3"/>
            <w:shd w:val="clear" w:color="auto" w:fill="auto"/>
          </w:tcPr>
          <w:p w14:paraId="5EA1F4D3" w14:textId="77777777" w:rsidR="003C66EB" w:rsidRDefault="003C66EB">
            <w:pPr>
              <w:rPr>
                <w:rFonts w:ascii="宋体"/>
                <w:vanish/>
              </w:rPr>
            </w:pPr>
          </w:p>
        </w:tc>
        <w:tc>
          <w:tcPr>
            <w:tcW w:w="0" w:type="auto"/>
            <w:gridSpan w:val="3"/>
            <w:shd w:val="clear" w:color="auto" w:fill="auto"/>
          </w:tcPr>
          <w:p w14:paraId="5EA1F4D4" w14:textId="77777777" w:rsidR="003C66EB" w:rsidRDefault="003C66EB">
            <w:pPr>
              <w:rPr>
                <w:rFonts w:ascii="宋体"/>
                <w:vanish/>
              </w:rPr>
            </w:pPr>
          </w:p>
        </w:tc>
        <w:tc>
          <w:tcPr>
            <w:tcW w:w="0" w:type="auto"/>
            <w:gridSpan w:val="3"/>
            <w:shd w:val="clear" w:color="auto" w:fill="auto"/>
          </w:tcPr>
          <w:p w14:paraId="5EA1F4D5" w14:textId="77777777" w:rsidR="003C66EB" w:rsidRDefault="003C66EB">
            <w:pPr>
              <w:rPr>
                <w:rFonts w:ascii="宋体"/>
                <w:vanish/>
              </w:rPr>
            </w:pPr>
          </w:p>
        </w:tc>
        <w:tc>
          <w:tcPr>
            <w:tcW w:w="0" w:type="auto"/>
            <w:gridSpan w:val="3"/>
            <w:shd w:val="clear" w:color="auto" w:fill="auto"/>
          </w:tcPr>
          <w:p w14:paraId="5EA1F4D6" w14:textId="77777777" w:rsidR="003C66EB" w:rsidRDefault="003C66EB">
            <w:pPr>
              <w:rPr>
                <w:rFonts w:ascii="宋体"/>
                <w:vanish/>
              </w:rPr>
            </w:pPr>
          </w:p>
        </w:tc>
        <w:tc>
          <w:tcPr>
            <w:tcW w:w="0" w:type="auto"/>
            <w:gridSpan w:val="3"/>
            <w:shd w:val="clear" w:color="auto" w:fill="auto"/>
          </w:tcPr>
          <w:p w14:paraId="5EA1F4D7" w14:textId="77777777" w:rsidR="003C66EB" w:rsidRDefault="003C66EB">
            <w:pPr>
              <w:rPr>
                <w:rFonts w:ascii="宋体"/>
                <w:vanish/>
              </w:rPr>
            </w:pPr>
          </w:p>
        </w:tc>
      </w:tr>
      <w:tr w:rsidR="003C66EB" w14:paraId="5EA1F4EC" w14:textId="77777777">
        <w:trPr>
          <w:jc w:val="right"/>
        </w:trPr>
        <w:tc>
          <w:tcPr>
            <w:tcW w:w="0" w:type="auto"/>
            <w:gridSpan w:val="3"/>
            <w:shd w:val="clear" w:color="auto" w:fill="FFFFFF"/>
            <w:tcMar>
              <w:top w:w="40" w:type="dxa"/>
              <w:left w:w="20" w:type="dxa"/>
              <w:bottom w:w="40" w:type="dxa"/>
              <w:right w:w="20" w:type="dxa"/>
            </w:tcMar>
            <w:vAlign w:val="bottom"/>
          </w:tcPr>
          <w:p w14:paraId="5EA1F4D9" w14:textId="77777777" w:rsidR="003C66EB" w:rsidRDefault="00D96C4E">
            <w:pPr>
              <w:textAlignment w:val="bottom"/>
            </w:pPr>
            <w:r>
              <w:rPr>
                <w:rFonts w:ascii="Arial" w:eastAsia="宋体" w:hAnsi="Arial" w:cs="Arial"/>
                <w:color w:val="000000"/>
                <w:sz w:val="15"/>
                <w:szCs w:val="15"/>
              </w:rPr>
              <w:t>Total multi-asset-class solutions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4DA" w14:textId="77777777" w:rsidR="003C66EB" w:rsidRDefault="00D96C4E">
            <w:pPr>
              <w:jc w:val="right"/>
              <w:textAlignment w:val="bottom"/>
            </w:pPr>
            <w:r>
              <w:rPr>
                <w:rFonts w:ascii="Arial" w:eastAsia="宋体" w:hAnsi="Arial" w:cs="Arial"/>
                <w:b/>
                <w:bCs/>
                <w:color w:val="000000"/>
                <w:sz w:val="15"/>
                <w:szCs w:val="15"/>
              </w:rPr>
              <w:t>189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4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D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4DD" w14:textId="77777777" w:rsidR="003C66EB" w:rsidRDefault="00D96C4E">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4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4D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4E0" w14:textId="77777777" w:rsidR="003C66EB" w:rsidRDefault="00D96C4E">
            <w:pPr>
              <w:jc w:val="right"/>
              <w:textAlignment w:val="bottom"/>
            </w:pPr>
            <w:r>
              <w:rPr>
                <w:rFonts w:ascii="Arial" w:eastAsia="宋体" w:hAnsi="Arial" w:cs="Arial"/>
                <w:color w:val="000000"/>
                <w:sz w:val="15"/>
                <w:szCs w:val="15"/>
              </w:rPr>
              <w:t>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4E1" w14:textId="77777777" w:rsidR="003C66EB" w:rsidRDefault="003C66EB">
            <w:pPr>
              <w:jc w:val="right"/>
              <w:rPr>
                <w:rFonts w:ascii="宋体"/>
              </w:rPr>
            </w:pPr>
          </w:p>
        </w:tc>
        <w:tc>
          <w:tcPr>
            <w:tcW w:w="0" w:type="auto"/>
            <w:shd w:val="clear" w:color="auto" w:fill="auto"/>
          </w:tcPr>
          <w:p w14:paraId="5EA1F4E2" w14:textId="77777777" w:rsidR="003C66EB" w:rsidRDefault="003C66EB">
            <w:pPr>
              <w:rPr>
                <w:rFonts w:ascii="宋体"/>
                <w:vanish/>
              </w:rPr>
            </w:pPr>
          </w:p>
        </w:tc>
        <w:tc>
          <w:tcPr>
            <w:tcW w:w="0" w:type="auto"/>
            <w:shd w:val="clear" w:color="auto" w:fill="auto"/>
          </w:tcPr>
          <w:p w14:paraId="5EA1F4E3" w14:textId="77777777" w:rsidR="003C66EB" w:rsidRDefault="003C66EB">
            <w:pPr>
              <w:rPr>
                <w:rFonts w:ascii="宋体"/>
                <w:vanish/>
              </w:rPr>
            </w:pPr>
          </w:p>
        </w:tc>
        <w:tc>
          <w:tcPr>
            <w:tcW w:w="0" w:type="auto"/>
            <w:gridSpan w:val="3"/>
            <w:shd w:val="clear" w:color="auto" w:fill="auto"/>
          </w:tcPr>
          <w:p w14:paraId="5EA1F4E4" w14:textId="77777777" w:rsidR="003C66EB" w:rsidRDefault="003C66EB">
            <w:pPr>
              <w:rPr>
                <w:rFonts w:ascii="宋体"/>
                <w:vanish/>
              </w:rPr>
            </w:pPr>
          </w:p>
        </w:tc>
        <w:tc>
          <w:tcPr>
            <w:tcW w:w="0" w:type="auto"/>
            <w:gridSpan w:val="3"/>
            <w:shd w:val="clear" w:color="auto" w:fill="auto"/>
          </w:tcPr>
          <w:p w14:paraId="5EA1F4E5" w14:textId="77777777" w:rsidR="003C66EB" w:rsidRDefault="003C66EB">
            <w:pPr>
              <w:rPr>
                <w:rFonts w:ascii="宋体"/>
                <w:vanish/>
              </w:rPr>
            </w:pPr>
          </w:p>
        </w:tc>
        <w:tc>
          <w:tcPr>
            <w:tcW w:w="0" w:type="auto"/>
            <w:gridSpan w:val="3"/>
            <w:shd w:val="clear" w:color="auto" w:fill="auto"/>
          </w:tcPr>
          <w:p w14:paraId="5EA1F4E6" w14:textId="77777777" w:rsidR="003C66EB" w:rsidRDefault="003C66EB">
            <w:pPr>
              <w:rPr>
                <w:rFonts w:ascii="宋体"/>
                <w:vanish/>
              </w:rPr>
            </w:pPr>
          </w:p>
        </w:tc>
        <w:tc>
          <w:tcPr>
            <w:tcW w:w="0" w:type="auto"/>
            <w:gridSpan w:val="3"/>
            <w:shd w:val="clear" w:color="auto" w:fill="auto"/>
          </w:tcPr>
          <w:p w14:paraId="5EA1F4E7" w14:textId="77777777" w:rsidR="003C66EB" w:rsidRDefault="003C66EB">
            <w:pPr>
              <w:rPr>
                <w:rFonts w:ascii="宋体"/>
                <w:vanish/>
              </w:rPr>
            </w:pPr>
          </w:p>
        </w:tc>
        <w:tc>
          <w:tcPr>
            <w:tcW w:w="0" w:type="auto"/>
            <w:gridSpan w:val="3"/>
            <w:shd w:val="clear" w:color="auto" w:fill="auto"/>
          </w:tcPr>
          <w:p w14:paraId="5EA1F4E8" w14:textId="77777777" w:rsidR="003C66EB" w:rsidRDefault="003C66EB">
            <w:pPr>
              <w:rPr>
                <w:rFonts w:ascii="宋体"/>
                <w:vanish/>
              </w:rPr>
            </w:pPr>
          </w:p>
        </w:tc>
        <w:tc>
          <w:tcPr>
            <w:tcW w:w="0" w:type="auto"/>
            <w:gridSpan w:val="3"/>
            <w:shd w:val="clear" w:color="auto" w:fill="auto"/>
          </w:tcPr>
          <w:p w14:paraId="5EA1F4E9" w14:textId="77777777" w:rsidR="003C66EB" w:rsidRDefault="003C66EB">
            <w:pPr>
              <w:rPr>
                <w:rFonts w:ascii="宋体"/>
                <w:vanish/>
              </w:rPr>
            </w:pPr>
          </w:p>
        </w:tc>
        <w:tc>
          <w:tcPr>
            <w:tcW w:w="0" w:type="auto"/>
            <w:gridSpan w:val="3"/>
            <w:shd w:val="clear" w:color="auto" w:fill="auto"/>
          </w:tcPr>
          <w:p w14:paraId="5EA1F4EA" w14:textId="77777777" w:rsidR="003C66EB" w:rsidRDefault="003C66EB">
            <w:pPr>
              <w:rPr>
                <w:rFonts w:ascii="宋体"/>
                <w:vanish/>
              </w:rPr>
            </w:pPr>
          </w:p>
        </w:tc>
        <w:tc>
          <w:tcPr>
            <w:tcW w:w="0" w:type="auto"/>
            <w:gridSpan w:val="3"/>
            <w:shd w:val="clear" w:color="auto" w:fill="auto"/>
          </w:tcPr>
          <w:p w14:paraId="5EA1F4EB" w14:textId="77777777" w:rsidR="003C66EB" w:rsidRDefault="003C66EB">
            <w:pPr>
              <w:rPr>
                <w:rFonts w:ascii="宋体"/>
                <w:vanish/>
              </w:rPr>
            </w:pPr>
          </w:p>
        </w:tc>
      </w:tr>
      <w:tr w:rsidR="003C66EB" w14:paraId="5EA1F508" w14:textId="77777777">
        <w:trPr>
          <w:jc w:val="right"/>
        </w:trPr>
        <w:tc>
          <w:tcPr>
            <w:tcW w:w="0" w:type="auto"/>
            <w:gridSpan w:val="18"/>
            <w:shd w:val="clear" w:color="auto" w:fill="CCEEFF"/>
            <w:tcMar>
              <w:top w:w="40" w:type="dxa"/>
              <w:left w:w="20" w:type="dxa"/>
              <w:bottom w:w="40" w:type="dxa"/>
              <w:right w:w="20" w:type="dxa"/>
            </w:tcMar>
            <w:vAlign w:val="bottom"/>
          </w:tcPr>
          <w:p w14:paraId="5EA1F4ED" w14:textId="77777777" w:rsidR="003C66EB" w:rsidRDefault="00D96C4E">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(3)</w:t>
            </w:r>
            <w:r>
              <w:rPr>
                <w:rFonts w:ascii="Arial" w:eastAsia="宋体" w:hAnsi="Arial" w:cs="Arial"/>
                <w:color w:val="000000"/>
                <w:sz w:val="15"/>
                <w:szCs w:val="15"/>
              </w:rPr>
              <w:t>:</w:t>
            </w:r>
          </w:p>
        </w:tc>
        <w:tc>
          <w:tcPr>
            <w:tcW w:w="0" w:type="auto"/>
            <w:shd w:val="clear" w:color="auto" w:fill="auto"/>
          </w:tcPr>
          <w:p w14:paraId="5EA1F4EE" w14:textId="77777777" w:rsidR="003C66EB" w:rsidRDefault="003C66EB">
            <w:pPr>
              <w:rPr>
                <w:rFonts w:ascii="宋体"/>
                <w:vanish/>
              </w:rPr>
            </w:pPr>
          </w:p>
        </w:tc>
        <w:tc>
          <w:tcPr>
            <w:tcW w:w="0" w:type="auto"/>
            <w:shd w:val="clear" w:color="auto" w:fill="auto"/>
          </w:tcPr>
          <w:p w14:paraId="5EA1F4EF" w14:textId="77777777" w:rsidR="003C66EB" w:rsidRDefault="003C66EB">
            <w:pPr>
              <w:rPr>
                <w:rFonts w:ascii="宋体"/>
                <w:vanish/>
              </w:rPr>
            </w:pPr>
          </w:p>
        </w:tc>
        <w:tc>
          <w:tcPr>
            <w:tcW w:w="0" w:type="auto"/>
            <w:shd w:val="clear" w:color="auto" w:fill="auto"/>
          </w:tcPr>
          <w:p w14:paraId="5EA1F4F0" w14:textId="77777777" w:rsidR="003C66EB" w:rsidRDefault="003C66EB">
            <w:pPr>
              <w:rPr>
                <w:rFonts w:ascii="宋体"/>
              </w:rPr>
            </w:pPr>
          </w:p>
        </w:tc>
        <w:tc>
          <w:tcPr>
            <w:tcW w:w="0" w:type="auto"/>
            <w:shd w:val="clear" w:color="auto" w:fill="auto"/>
          </w:tcPr>
          <w:p w14:paraId="5EA1F4F1" w14:textId="77777777" w:rsidR="003C66EB" w:rsidRDefault="003C66EB">
            <w:pPr>
              <w:rPr>
                <w:rFonts w:ascii="宋体"/>
              </w:rPr>
            </w:pPr>
          </w:p>
        </w:tc>
        <w:tc>
          <w:tcPr>
            <w:tcW w:w="0" w:type="auto"/>
            <w:shd w:val="clear" w:color="auto" w:fill="auto"/>
          </w:tcPr>
          <w:p w14:paraId="5EA1F4F2" w14:textId="77777777" w:rsidR="003C66EB" w:rsidRDefault="003C66EB">
            <w:pPr>
              <w:rPr>
                <w:rFonts w:ascii="宋体"/>
              </w:rPr>
            </w:pPr>
          </w:p>
        </w:tc>
        <w:tc>
          <w:tcPr>
            <w:tcW w:w="0" w:type="auto"/>
            <w:shd w:val="clear" w:color="auto" w:fill="auto"/>
          </w:tcPr>
          <w:p w14:paraId="5EA1F4F3" w14:textId="77777777" w:rsidR="003C66EB" w:rsidRDefault="003C66EB">
            <w:pPr>
              <w:rPr>
                <w:rFonts w:ascii="宋体"/>
              </w:rPr>
            </w:pPr>
          </w:p>
        </w:tc>
        <w:tc>
          <w:tcPr>
            <w:tcW w:w="0" w:type="auto"/>
            <w:shd w:val="clear" w:color="auto" w:fill="auto"/>
          </w:tcPr>
          <w:p w14:paraId="5EA1F4F4" w14:textId="77777777" w:rsidR="003C66EB" w:rsidRDefault="003C66EB">
            <w:pPr>
              <w:rPr>
                <w:rFonts w:ascii="宋体"/>
              </w:rPr>
            </w:pPr>
          </w:p>
        </w:tc>
        <w:tc>
          <w:tcPr>
            <w:tcW w:w="0" w:type="auto"/>
            <w:shd w:val="clear" w:color="auto" w:fill="auto"/>
          </w:tcPr>
          <w:p w14:paraId="5EA1F4F5" w14:textId="77777777" w:rsidR="003C66EB" w:rsidRDefault="003C66EB">
            <w:pPr>
              <w:rPr>
                <w:rFonts w:ascii="宋体"/>
              </w:rPr>
            </w:pPr>
          </w:p>
        </w:tc>
        <w:tc>
          <w:tcPr>
            <w:tcW w:w="0" w:type="auto"/>
            <w:shd w:val="clear" w:color="auto" w:fill="auto"/>
          </w:tcPr>
          <w:p w14:paraId="5EA1F4F6" w14:textId="77777777" w:rsidR="003C66EB" w:rsidRDefault="003C66EB">
            <w:pPr>
              <w:rPr>
                <w:rFonts w:ascii="宋体"/>
              </w:rPr>
            </w:pPr>
          </w:p>
        </w:tc>
        <w:tc>
          <w:tcPr>
            <w:tcW w:w="0" w:type="auto"/>
            <w:shd w:val="clear" w:color="auto" w:fill="auto"/>
          </w:tcPr>
          <w:p w14:paraId="5EA1F4F7" w14:textId="77777777" w:rsidR="003C66EB" w:rsidRDefault="003C66EB">
            <w:pPr>
              <w:rPr>
                <w:rFonts w:ascii="宋体"/>
              </w:rPr>
            </w:pPr>
          </w:p>
        </w:tc>
        <w:tc>
          <w:tcPr>
            <w:tcW w:w="0" w:type="auto"/>
            <w:shd w:val="clear" w:color="auto" w:fill="auto"/>
          </w:tcPr>
          <w:p w14:paraId="5EA1F4F8" w14:textId="77777777" w:rsidR="003C66EB" w:rsidRDefault="003C66EB">
            <w:pPr>
              <w:rPr>
                <w:rFonts w:ascii="宋体"/>
              </w:rPr>
            </w:pPr>
          </w:p>
        </w:tc>
        <w:tc>
          <w:tcPr>
            <w:tcW w:w="0" w:type="auto"/>
            <w:shd w:val="clear" w:color="auto" w:fill="auto"/>
          </w:tcPr>
          <w:p w14:paraId="5EA1F4F9" w14:textId="77777777" w:rsidR="003C66EB" w:rsidRDefault="003C66EB">
            <w:pPr>
              <w:rPr>
                <w:rFonts w:ascii="宋体"/>
              </w:rPr>
            </w:pPr>
          </w:p>
        </w:tc>
        <w:tc>
          <w:tcPr>
            <w:tcW w:w="0" w:type="auto"/>
            <w:shd w:val="clear" w:color="auto" w:fill="auto"/>
          </w:tcPr>
          <w:p w14:paraId="5EA1F4FA" w14:textId="77777777" w:rsidR="003C66EB" w:rsidRDefault="003C66EB">
            <w:pPr>
              <w:rPr>
                <w:rFonts w:ascii="宋体"/>
              </w:rPr>
            </w:pPr>
          </w:p>
        </w:tc>
        <w:tc>
          <w:tcPr>
            <w:tcW w:w="0" w:type="auto"/>
            <w:shd w:val="clear" w:color="auto" w:fill="auto"/>
          </w:tcPr>
          <w:p w14:paraId="5EA1F4FB" w14:textId="77777777" w:rsidR="003C66EB" w:rsidRDefault="003C66EB">
            <w:pPr>
              <w:rPr>
                <w:rFonts w:ascii="宋体"/>
              </w:rPr>
            </w:pPr>
          </w:p>
        </w:tc>
        <w:tc>
          <w:tcPr>
            <w:tcW w:w="0" w:type="auto"/>
            <w:shd w:val="clear" w:color="auto" w:fill="auto"/>
          </w:tcPr>
          <w:p w14:paraId="5EA1F4FC" w14:textId="77777777" w:rsidR="003C66EB" w:rsidRDefault="003C66EB">
            <w:pPr>
              <w:rPr>
                <w:rFonts w:ascii="宋体"/>
              </w:rPr>
            </w:pPr>
          </w:p>
        </w:tc>
        <w:tc>
          <w:tcPr>
            <w:tcW w:w="0" w:type="auto"/>
            <w:shd w:val="clear" w:color="auto" w:fill="auto"/>
          </w:tcPr>
          <w:p w14:paraId="5EA1F4FD" w14:textId="77777777" w:rsidR="003C66EB" w:rsidRDefault="003C66EB">
            <w:pPr>
              <w:rPr>
                <w:rFonts w:ascii="宋体"/>
              </w:rPr>
            </w:pPr>
          </w:p>
        </w:tc>
        <w:tc>
          <w:tcPr>
            <w:tcW w:w="0" w:type="auto"/>
            <w:shd w:val="clear" w:color="auto" w:fill="auto"/>
          </w:tcPr>
          <w:p w14:paraId="5EA1F4FE" w14:textId="77777777" w:rsidR="003C66EB" w:rsidRDefault="003C66EB">
            <w:pPr>
              <w:rPr>
                <w:rFonts w:ascii="宋体"/>
              </w:rPr>
            </w:pPr>
          </w:p>
        </w:tc>
        <w:tc>
          <w:tcPr>
            <w:tcW w:w="0" w:type="auto"/>
            <w:shd w:val="clear" w:color="auto" w:fill="auto"/>
          </w:tcPr>
          <w:p w14:paraId="5EA1F4FF" w14:textId="77777777" w:rsidR="003C66EB" w:rsidRDefault="003C66EB">
            <w:pPr>
              <w:rPr>
                <w:rFonts w:ascii="宋体"/>
              </w:rPr>
            </w:pPr>
          </w:p>
        </w:tc>
        <w:tc>
          <w:tcPr>
            <w:tcW w:w="0" w:type="auto"/>
            <w:shd w:val="clear" w:color="auto" w:fill="auto"/>
          </w:tcPr>
          <w:p w14:paraId="5EA1F500" w14:textId="77777777" w:rsidR="003C66EB" w:rsidRDefault="003C66EB">
            <w:pPr>
              <w:rPr>
                <w:rFonts w:ascii="宋体"/>
              </w:rPr>
            </w:pPr>
          </w:p>
        </w:tc>
        <w:tc>
          <w:tcPr>
            <w:tcW w:w="0" w:type="auto"/>
            <w:shd w:val="clear" w:color="auto" w:fill="auto"/>
          </w:tcPr>
          <w:p w14:paraId="5EA1F501" w14:textId="77777777" w:rsidR="003C66EB" w:rsidRDefault="003C66EB">
            <w:pPr>
              <w:rPr>
                <w:rFonts w:ascii="宋体"/>
              </w:rPr>
            </w:pPr>
          </w:p>
        </w:tc>
        <w:tc>
          <w:tcPr>
            <w:tcW w:w="0" w:type="auto"/>
            <w:shd w:val="clear" w:color="auto" w:fill="auto"/>
          </w:tcPr>
          <w:p w14:paraId="5EA1F502" w14:textId="77777777" w:rsidR="003C66EB" w:rsidRDefault="003C66EB">
            <w:pPr>
              <w:rPr>
                <w:rFonts w:ascii="宋体"/>
              </w:rPr>
            </w:pPr>
          </w:p>
        </w:tc>
        <w:tc>
          <w:tcPr>
            <w:tcW w:w="0" w:type="auto"/>
            <w:shd w:val="clear" w:color="auto" w:fill="auto"/>
          </w:tcPr>
          <w:p w14:paraId="5EA1F503" w14:textId="77777777" w:rsidR="003C66EB" w:rsidRDefault="003C66EB">
            <w:pPr>
              <w:rPr>
                <w:rFonts w:ascii="宋体"/>
              </w:rPr>
            </w:pPr>
          </w:p>
        </w:tc>
        <w:tc>
          <w:tcPr>
            <w:tcW w:w="0" w:type="auto"/>
            <w:shd w:val="clear" w:color="auto" w:fill="auto"/>
          </w:tcPr>
          <w:p w14:paraId="5EA1F504" w14:textId="77777777" w:rsidR="003C66EB" w:rsidRDefault="003C66EB">
            <w:pPr>
              <w:rPr>
                <w:rFonts w:ascii="宋体"/>
              </w:rPr>
            </w:pPr>
          </w:p>
        </w:tc>
        <w:tc>
          <w:tcPr>
            <w:tcW w:w="0" w:type="auto"/>
            <w:shd w:val="clear" w:color="auto" w:fill="auto"/>
          </w:tcPr>
          <w:p w14:paraId="5EA1F505" w14:textId="77777777" w:rsidR="003C66EB" w:rsidRDefault="003C66EB">
            <w:pPr>
              <w:rPr>
                <w:rFonts w:ascii="宋体"/>
              </w:rPr>
            </w:pPr>
          </w:p>
        </w:tc>
        <w:tc>
          <w:tcPr>
            <w:tcW w:w="0" w:type="auto"/>
            <w:shd w:val="clear" w:color="auto" w:fill="auto"/>
          </w:tcPr>
          <w:p w14:paraId="5EA1F506" w14:textId="77777777" w:rsidR="003C66EB" w:rsidRDefault="003C66EB">
            <w:pPr>
              <w:rPr>
                <w:rFonts w:ascii="宋体"/>
              </w:rPr>
            </w:pPr>
          </w:p>
        </w:tc>
        <w:tc>
          <w:tcPr>
            <w:tcW w:w="0" w:type="auto"/>
            <w:shd w:val="clear" w:color="auto" w:fill="auto"/>
          </w:tcPr>
          <w:p w14:paraId="5EA1F507" w14:textId="77777777" w:rsidR="003C66EB" w:rsidRDefault="003C66EB">
            <w:pPr>
              <w:rPr>
                <w:rFonts w:ascii="宋体"/>
              </w:rPr>
            </w:pPr>
          </w:p>
        </w:tc>
      </w:tr>
      <w:tr w:rsidR="003C66EB" w14:paraId="5EA1F51C" w14:textId="77777777">
        <w:trPr>
          <w:jc w:val="right"/>
        </w:trPr>
        <w:tc>
          <w:tcPr>
            <w:tcW w:w="0" w:type="auto"/>
            <w:gridSpan w:val="3"/>
            <w:shd w:val="clear" w:color="auto" w:fill="FFFFFF"/>
            <w:tcMar>
              <w:top w:w="40" w:type="dxa"/>
              <w:left w:w="20" w:type="dxa"/>
              <w:bottom w:w="40" w:type="dxa"/>
              <w:right w:w="20" w:type="dxa"/>
            </w:tcMar>
            <w:vAlign w:val="bottom"/>
          </w:tcPr>
          <w:p w14:paraId="5EA1F509" w14:textId="77777777" w:rsidR="003C66EB" w:rsidRDefault="00D96C4E">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5EA1F50A" w14:textId="77777777" w:rsidR="003C66EB" w:rsidRDefault="00D96C4E">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5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50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50D" w14:textId="77777777" w:rsidR="003C66EB" w:rsidRDefault="00D96C4E">
            <w:pPr>
              <w:jc w:val="right"/>
              <w:textAlignment w:val="bottom"/>
            </w:pPr>
            <w:r>
              <w:rPr>
                <w:rFonts w:ascii="Arial" w:eastAsia="宋体" w:hAnsi="Arial" w:cs="Arial"/>
                <w:color w:val="000000"/>
                <w:sz w:val="15"/>
                <w:szCs w:val="15"/>
              </w:rPr>
              <w:t>39 </w:t>
            </w:r>
          </w:p>
        </w:tc>
        <w:tc>
          <w:tcPr>
            <w:tcW w:w="0" w:type="auto"/>
            <w:shd w:val="clear" w:color="auto" w:fill="FFFFFF"/>
            <w:tcMar>
              <w:top w:w="40" w:type="dxa"/>
              <w:left w:w="0" w:type="dxa"/>
              <w:bottom w:w="40" w:type="dxa"/>
              <w:right w:w="20" w:type="dxa"/>
            </w:tcMar>
            <w:vAlign w:val="bottom"/>
          </w:tcPr>
          <w:p w14:paraId="5EA1F50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50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510" w14:textId="77777777" w:rsidR="003C66EB" w:rsidRDefault="00D96C4E">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EA1F511" w14:textId="77777777" w:rsidR="003C66EB" w:rsidRDefault="003C66EB">
            <w:pPr>
              <w:jc w:val="right"/>
              <w:rPr>
                <w:rFonts w:ascii="宋体"/>
              </w:rPr>
            </w:pPr>
          </w:p>
        </w:tc>
        <w:tc>
          <w:tcPr>
            <w:tcW w:w="0" w:type="auto"/>
            <w:shd w:val="clear" w:color="auto" w:fill="auto"/>
          </w:tcPr>
          <w:p w14:paraId="5EA1F512" w14:textId="77777777" w:rsidR="003C66EB" w:rsidRDefault="003C66EB">
            <w:pPr>
              <w:rPr>
                <w:rFonts w:ascii="宋体"/>
                <w:vanish/>
              </w:rPr>
            </w:pPr>
          </w:p>
        </w:tc>
        <w:tc>
          <w:tcPr>
            <w:tcW w:w="0" w:type="auto"/>
            <w:shd w:val="clear" w:color="auto" w:fill="auto"/>
          </w:tcPr>
          <w:p w14:paraId="5EA1F513" w14:textId="77777777" w:rsidR="003C66EB" w:rsidRDefault="003C66EB">
            <w:pPr>
              <w:rPr>
                <w:rFonts w:ascii="宋体"/>
                <w:vanish/>
              </w:rPr>
            </w:pPr>
          </w:p>
        </w:tc>
        <w:tc>
          <w:tcPr>
            <w:tcW w:w="0" w:type="auto"/>
            <w:gridSpan w:val="3"/>
            <w:shd w:val="clear" w:color="auto" w:fill="auto"/>
          </w:tcPr>
          <w:p w14:paraId="5EA1F514" w14:textId="77777777" w:rsidR="003C66EB" w:rsidRDefault="003C66EB">
            <w:pPr>
              <w:rPr>
                <w:rFonts w:ascii="宋体"/>
                <w:vanish/>
              </w:rPr>
            </w:pPr>
          </w:p>
        </w:tc>
        <w:tc>
          <w:tcPr>
            <w:tcW w:w="0" w:type="auto"/>
            <w:gridSpan w:val="3"/>
            <w:shd w:val="clear" w:color="auto" w:fill="auto"/>
          </w:tcPr>
          <w:p w14:paraId="5EA1F515" w14:textId="77777777" w:rsidR="003C66EB" w:rsidRDefault="003C66EB">
            <w:pPr>
              <w:rPr>
                <w:rFonts w:ascii="宋体"/>
                <w:vanish/>
              </w:rPr>
            </w:pPr>
          </w:p>
        </w:tc>
        <w:tc>
          <w:tcPr>
            <w:tcW w:w="0" w:type="auto"/>
            <w:gridSpan w:val="3"/>
            <w:shd w:val="clear" w:color="auto" w:fill="auto"/>
          </w:tcPr>
          <w:p w14:paraId="5EA1F516" w14:textId="77777777" w:rsidR="003C66EB" w:rsidRDefault="003C66EB">
            <w:pPr>
              <w:rPr>
                <w:rFonts w:ascii="宋体"/>
                <w:vanish/>
              </w:rPr>
            </w:pPr>
          </w:p>
        </w:tc>
        <w:tc>
          <w:tcPr>
            <w:tcW w:w="0" w:type="auto"/>
            <w:gridSpan w:val="3"/>
            <w:shd w:val="clear" w:color="auto" w:fill="auto"/>
          </w:tcPr>
          <w:p w14:paraId="5EA1F517" w14:textId="77777777" w:rsidR="003C66EB" w:rsidRDefault="003C66EB">
            <w:pPr>
              <w:rPr>
                <w:rFonts w:ascii="宋体"/>
                <w:vanish/>
              </w:rPr>
            </w:pPr>
          </w:p>
        </w:tc>
        <w:tc>
          <w:tcPr>
            <w:tcW w:w="0" w:type="auto"/>
            <w:gridSpan w:val="3"/>
            <w:shd w:val="clear" w:color="auto" w:fill="auto"/>
          </w:tcPr>
          <w:p w14:paraId="5EA1F518" w14:textId="77777777" w:rsidR="003C66EB" w:rsidRDefault="003C66EB">
            <w:pPr>
              <w:rPr>
                <w:rFonts w:ascii="宋体"/>
                <w:vanish/>
              </w:rPr>
            </w:pPr>
          </w:p>
        </w:tc>
        <w:tc>
          <w:tcPr>
            <w:tcW w:w="0" w:type="auto"/>
            <w:gridSpan w:val="3"/>
            <w:shd w:val="clear" w:color="auto" w:fill="auto"/>
          </w:tcPr>
          <w:p w14:paraId="5EA1F519" w14:textId="77777777" w:rsidR="003C66EB" w:rsidRDefault="003C66EB">
            <w:pPr>
              <w:rPr>
                <w:rFonts w:ascii="宋体"/>
                <w:vanish/>
              </w:rPr>
            </w:pPr>
          </w:p>
        </w:tc>
        <w:tc>
          <w:tcPr>
            <w:tcW w:w="0" w:type="auto"/>
            <w:gridSpan w:val="3"/>
            <w:shd w:val="clear" w:color="auto" w:fill="auto"/>
          </w:tcPr>
          <w:p w14:paraId="5EA1F51A" w14:textId="77777777" w:rsidR="003C66EB" w:rsidRDefault="003C66EB">
            <w:pPr>
              <w:rPr>
                <w:rFonts w:ascii="宋体"/>
                <w:vanish/>
              </w:rPr>
            </w:pPr>
          </w:p>
        </w:tc>
        <w:tc>
          <w:tcPr>
            <w:tcW w:w="0" w:type="auto"/>
            <w:gridSpan w:val="3"/>
            <w:shd w:val="clear" w:color="auto" w:fill="auto"/>
          </w:tcPr>
          <w:p w14:paraId="5EA1F51B" w14:textId="77777777" w:rsidR="003C66EB" w:rsidRDefault="003C66EB">
            <w:pPr>
              <w:rPr>
                <w:rFonts w:ascii="宋体"/>
                <w:vanish/>
              </w:rPr>
            </w:pPr>
          </w:p>
        </w:tc>
      </w:tr>
      <w:tr w:rsidR="003C66EB" w14:paraId="5EA1F530" w14:textId="77777777">
        <w:trPr>
          <w:jc w:val="right"/>
        </w:trPr>
        <w:tc>
          <w:tcPr>
            <w:tcW w:w="0" w:type="auto"/>
            <w:gridSpan w:val="3"/>
            <w:shd w:val="clear" w:color="auto" w:fill="CCEEFF"/>
            <w:tcMar>
              <w:top w:w="40" w:type="dxa"/>
              <w:left w:w="20" w:type="dxa"/>
              <w:bottom w:w="40" w:type="dxa"/>
              <w:right w:w="20" w:type="dxa"/>
            </w:tcMar>
            <w:vAlign w:val="bottom"/>
          </w:tcPr>
          <w:p w14:paraId="5EA1F51D" w14:textId="77777777" w:rsidR="003C66EB" w:rsidRDefault="00D96C4E">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5EA1F51E" w14:textId="77777777" w:rsidR="003C66EB" w:rsidRDefault="00D96C4E">
            <w:pPr>
              <w:jc w:val="right"/>
              <w:textAlignment w:val="bottom"/>
            </w:pPr>
            <w:r>
              <w:rPr>
                <w:rFonts w:ascii="Arial" w:eastAsia="宋体" w:hAnsi="Arial" w:cs="Arial"/>
                <w:b/>
                <w:bCs/>
                <w:color w:val="000000"/>
                <w:sz w:val="15"/>
                <w:szCs w:val="15"/>
              </w:rPr>
              <w:t>167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5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2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521" w14:textId="77777777" w:rsidR="003C66EB" w:rsidRDefault="00D96C4E">
            <w:pPr>
              <w:jc w:val="right"/>
              <w:textAlignment w:val="bottom"/>
            </w:pPr>
            <w:r>
              <w:rPr>
                <w:rFonts w:ascii="Arial" w:eastAsia="宋体" w:hAnsi="Arial" w:cs="Arial"/>
                <w:color w:val="000000"/>
                <w:sz w:val="15"/>
                <w:szCs w:val="15"/>
              </w:rPr>
              <w:t>173 </w:t>
            </w:r>
          </w:p>
        </w:tc>
        <w:tc>
          <w:tcPr>
            <w:tcW w:w="0" w:type="auto"/>
            <w:shd w:val="clear" w:color="auto" w:fill="CCEEFF"/>
            <w:tcMar>
              <w:top w:w="40" w:type="dxa"/>
              <w:left w:w="0" w:type="dxa"/>
              <w:bottom w:w="40" w:type="dxa"/>
              <w:right w:w="20" w:type="dxa"/>
            </w:tcMar>
            <w:vAlign w:val="bottom"/>
          </w:tcPr>
          <w:p w14:paraId="5EA1F52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2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524" w14:textId="77777777" w:rsidR="003C66EB" w:rsidRDefault="00D96C4E">
            <w:pPr>
              <w:jc w:val="right"/>
              <w:textAlignment w:val="bottom"/>
            </w:pPr>
            <w:r>
              <w:rPr>
                <w:rFonts w:ascii="Arial" w:eastAsia="宋体" w:hAnsi="Arial" w:cs="Arial"/>
                <w:color w:val="000000"/>
                <w:sz w:val="15"/>
                <w:szCs w:val="15"/>
              </w:rPr>
              <w:t>134 </w:t>
            </w:r>
          </w:p>
        </w:tc>
        <w:tc>
          <w:tcPr>
            <w:tcW w:w="0" w:type="auto"/>
            <w:shd w:val="clear" w:color="auto" w:fill="CCEEFF"/>
            <w:tcMar>
              <w:top w:w="40" w:type="dxa"/>
              <w:left w:w="0" w:type="dxa"/>
              <w:bottom w:w="40" w:type="dxa"/>
              <w:right w:w="20" w:type="dxa"/>
            </w:tcMar>
            <w:vAlign w:val="bottom"/>
          </w:tcPr>
          <w:p w14:paraId="5EA1F525" w14:textId="77777777" w:rsidR="003C66EB" w:rsidRDefault="003C66EB">
            <w:pPr>
              <w:jc w:val="right"/>
              <w:rPr>
                <w:rFonts w:ascii="宋体"/>
              </w:rPr>
            </w:pPr>
          </w:p>
        </w:tc>
        <w:tc>
          <w:tcPr>
            <w:tcW w:w="0" w:type="auto"/>
            <w:shd w:val="clear" w:color="auto" w:fill="auto"/>
          </w:tcPr>
          <w:p w14:paraId="5EA1F526" w14:textId="77777777" w:rsidR="003C66EB" w:rsidRDefault="003C66EB">
            <w:pPr>
              <w:rPr>
                <w:rFonts w:ascii="宋体"/>
                <w:vanish/>
              </w:rPr>
            </w:pPr>
          </w:p>
        </w:tc>
        <w:tc>
          <w:tcPr>
            <w:tcW w:w="0" w:type="auto"/>
            <w:shd w:val="clear" w:color="auto" w:fill="auto"/>
          </w:tcPr>
          <w:p w14:paraId="5EA1F527" w14:textId="77777777" w:rsidR="003C66EB" w:rsidRDefault="003C66EB">
            <w:pPr>
              <w:rPr>
                <w:rFonts w:ascii="宋体"/>
                <w:vanish/>
              </w:rPr>
            </w:pPr>
          </w:p>
        </w:tc>
        <w:tc>
          <w:tcPr>
            <w:tcW w:w="0" w:type="auto"/>
            <w:gridSpan w:val="3"/>
            <w:shd w:val="clear" w:color="auto" w:fill="auto"/>
          </w:tcPr>
          <w:p w14:paraId="5EA1F528" w14:textId="77777777" w:rsidR="003C66EB" w:rsidRDefault="003C66EB">
            <w:pPr>
              <w:rPr>
                <w:rFonts w:ascii="宋体"/>
                <w:vanish/>
              </w:rPr>
            </w:pPr>
          </w:p>
        </w:tc>
        <w:tc>
          <w:tcPr>
            <w:tcW w:w="0" w:type="auto"/>
            <w:gridSpan w:val="3"/>
            <w:shd w:val="clear" w:color="auto" w:fill="auto"/>
          </w:tcPr>
          <w:p w14:paraId="5EA1F529" w14:textId="77777777" w:rsidR="003C66EB" w:rsidRDefault="003C66EB">
            <w:pPr>
              <w:rPr>
                <w:rFonts w:ascii="宋体"/>
                <w:vanish/>
              </w:rPr>
            </w:pPr>
          </w:p>
        </w:tc>
        <w:tc>
          <w:tcPr>
            <w:tcW w:w="0" w:type="auto"/>
            <w:gridSpan w:val="3"/>
            <w:shd w:val="clear" w:color="auto" w:fill="auto"/>
          </w:tcPr>
          <w:p w14:paraId="5EA1F52A" w14:textId="77777777" w:rsidR="003C66EB" w:rsidRDefault="003C66EB">
            <w:pPr>
              <w:rPr>
                <w:rFonts w:ascii="宋体"/>
                <w:vanish/>
              </w:rPr>
            </w:pPr>
          </w:p>
        </w:tc>
        <w:tc>
          <w:tcPr>
            <w:tcW w:w="0" w:type="auto"/>
            <w:gridSpan w:val="3"/>
            <w:shd w:val="clear" w:color="auto" w:fill="auto"/>
          </w:tcPr>
          <w:p w14:paraId="5EA1F52B" w14:textId="77777777" w:rsidR="003C66EB" w:rsidRDefault="003C66EB">
            <w:pPr>
              <w:rPr>
                <w:rFonts w:ascii="宋体"/>
                <w:vanish/>
              </w:rPr>
            </w:pPr>
          </w:p>
        </w:tc>
        <w:tc>
          <w:tcPr>
            <w:tcW w:w="0" w:type="auto"/>
            <w:gridSpan w:val="3"/>
            <w:shd w:val="clear" w:color="auto" w:fill="auto"/>
          </w:tcPr>
          <w:p w14:paraId="5EA1F52C" w14:textId="77777777" w:rsidR="003C66EB" w:rsidRDefault="003C66EB">
            <w:pPr>
              <w:rPr>
                <w:rFonts w:ascii="宋体"/>
                <w:vanish/>
              </w:rPr>
            </w:pPr>
          </w:p>
        </w:tc>
        <w:tc>
          <w:tcPr>
            <w:tcW w:w="0" w:type="auto"/>
            <w:gridSpan w:val="3"/>
            <w:shd w:val="clear" w:color="auto" w:fill="auto"/>
          </w:tcPr>
          <w:p w14:paraId="5EA1F52D" w14:textId="77777777" w:rsidR="003C66EB" w:rsidRDefault="003C66EB">
            <w:pPr>
              <w:rPr>
                <w:rFonts w:ascii="宋体"/>
                <w:vanish/>
              </w:rPr>
            </w:pPr>
          </w:p>
        </w:tc>
        <w:tc>
          <w:tcPr>
            <w:tcW w:w="0" w:type="auto"/>
            <w:gridSpan w:val="3"/>
            <w:shd w:val="clear" w:color="auto" w:fill="auto"/>
          </w:tcPr>
          <w:p w14:paraId="5EA1F52E" w14:textId="77777777" w:rsidR="003C66EB" w:rsidRDefault="003C66EB">
            <w:pPr>
              <w:rPr>
                <w:rFonts w:ascii="宋体"/>
                <w:vanish/>
              </w:rPr>
            </w:pPr>
          </w:p>
        </w:tc>
        <w:tc>
          <w:tcPr>
            <w:tcW w:w="0" w:type="auto"/>
            <w:gridSpan w:val="3"/>
            <w:shd w:val="clear" w:color="auto" w:fill="auto"/>
          </w:tcPr>
          <w:p w14:paraId="5EA1F52F" w14:textId="77777777" w:rsidR="003C66EB" w:rsidRDefault="003C66EB">
            <w:pPr>
              <w:rPr>
                <w:rFonts w:ascii="宋体"/>
                <w:vanish/>
              </w:rPr>
            </w:pPr>
          </w:p>
        </w:tc>
      </w:tr>
      <w:tr w:rsidR="003C66EB" w14:paraId="5EA1F544" w14:textId="77777777">
        <w:trPr>
          <w:jc w:val="right"/>
        </w:trPr>
        <w:tc>
          <w:tcPr>
            <w:tcW w:w="0" w:type="auto"/>
            <w:gridSpan w:val="3"/>
            <w:shd w:val="clear" w:color="auto" w:fill="FFFFFF"/>
            <w:tcMar>
              <w:top w:w="40" w:type="dxa"/>
              <w:left w:w="20" w:type="dxa"/>
              <w:bottom w:w="40" w:type="dxa"/>
              <w:right w:w="20" w:type="dxa"/>
            </w:tcMar>
            <w:vAlign w:val="bottom"/>
          </w:tcPr>
          <w:p w14:paraId="5EA1F531" w14:textId="77777777" w:rsidR="003C66EB" w:rsidRDefault="00D96C4E">
            <w:pPr>
              <w:textAlignment w:val="bottom"/>
            </w:pPr>
            <w:r>
              <w:rPr>
                <w:rFonts w:ascii="Arial" w:eastAsia="宋体" w:hAnsi="Arial" w:cs="Arial"/>
                <w:color w:val="000000"/>
                <w:sz w:val="15"/>
                <w:szCs w:val="15"/>
              </w:rPr>
              <w:t>Total alternative investments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532" w14:textId="77777777" w:rsidR="003C66EB" w:rsidRDefault="00D96C4E">
            <w:pPr>
              <w:jc w:val="right"/>
              <w:textAlignment w:val="bottom"/>
            </w:pPr>
            <w:r>
              <w:rPr>
                <w:rFonts w:ascii="Arial" w:eastAsia="宋体" w:hAnsi="Arial" w:cs="Arial"/>
                <w:b/>
                <w:bCs/>
                <w:color w:val="000000"/>
                <w:sz w:val="15"/>
                <w:szCs w:val="15"/>
              </w:rPr>
              <w:t>194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5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53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535" w14:textId="77777777" w:rsidR="003C66EB" w:rsidRDefault="00D96C4E">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5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53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538" w14:textId="77777777" w:rsidR="003C66EB" w:rsidRDefault="00D96C4E">
            <w:pPr>
              <w:jc w:val="right"/>
              <w:textAlignment w:val="bottom"/>
            </w:pPr>
            <w:r>
              <w:rPr>
                <w:rFonts w:ascii="Arial" w:eastAsia="宋体" w:hAnsi="Arial" w:cs="Arial"/>
                <w:color w:val="000000"/>
                <w:sz w:val="15"/>
                <w:szCs w:val="15"/>
              </w:rPr>
              <w:t>162 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539" w14:textId="77777777" w:rsidR="003C66EB" w:rsidRDefault="003C66EB">
            <w:pPr>
              <w:jc w:val="right"/>
              <w:rPr>
                <w:rFonts w:ascii="宋体"/>
              </w:rPr>
            </w:pPr>
          </w:p>
        </w:tc>
        <w:tc>
          <w:tcPr>
            <w:tcW w:w="0" w:type="auto"/>
            <w:shd w:val="clear" w:color="auto" w:fill="auto"/>
          </w:tcPr>
          <w:p w14:paraId="5EA1F53A" w14:textId="77777777" w:rsidR="003C66EB" w:rsidRDefault="003C66EB">
            <w:pPr>
              <w:rPr>
                <w:rFonts w:ascii="宋体"/>
                <w:vanish/>
              </w:rPr>
            </w:pPr>
          </w:p>
        </w:tc>
        <w:tc>
          <w:tcPr>
            <w:tcW w:w="0" w:type="auto"/>
            <w:shd w:val="clear" w:color="auto" w:fill="auto"/>
          </w:tcPr>
          <w:p w14:paraId="5EA1F53B" w14:textId="77777777" w:rsidR="003C66EB" w:rsidRDefault="003C66EB">
            <w:pPr>
              <w:rPr>
                <w:rFonts w:ascii="宋体"/>
                <w:vanish/>
              </w:rPr>
            </w:pPr>
          </w:p>
        </w:tc>
        <w:tc>
          <w:tcPr>
            <w:tcW w:w="0" w:type="auto"/>
            <w:gridSpan w:val="3"/>
            <w:shd w:val="clear" w:color="auto" w:fill="auto"/>
          </w:tcPr>
          <w:p w14:paraId="5EA1F53C" w14:textId="77777777" w:rsidR="003C66EB" w:rsidRDefault="003C66EB">
            <w:pPr>
              <w:rPr>
                <w:rFonts w:ascii="宋体"/>
                <w:vanish/>
              </w:rPr>
            </w:pPr>
          </w:p>
        </w:tc>
        <w:tc>
          <w:tcPr>
            <w:tcW w:w="0" w:type="auto"/>
            <w:gridSpan w:val="3"/>
            <w:shd w:val="clear" w:color="auto" w:fill="auto"/>
          </w:tcPr>
          <w:p w14:paraId="5EA1F53D" w14:textId="77777777" w:rsidR="003C66EB" w:rsidRDefault="003C66EB">
            <w:pPr>
              <w:rPr>
                <w:rFonts w:ascii="宋体"/>
                <w:vanish/>
              </w:rPr>
            </w:pPr>
          </w:p>
        </w:tc>
        <w:tc>
          <w:tcPr>
            <w:tcW w:w="0" w:type="auto"/>
            <w:gridSpan w:val="3"/>
            <w:shd w:val="clear" w:color="auto" w:fill="auto"/>
          </w:tcPr>
          <w:p w14:paraId="5EA1F53E" w14:textId="77777777" w:rsidR="003C66EB" w:rsidRDefault="003C66EB">
            <w:pPr>
              <w:rPr>
                <w:rFonts w:ascii="宋体"/>
                <w:vanish/>
              </w:rPr>
            </w:pPr>
          </w:p>
        </w:tc>
        <w:tc>
          <w:tcPr>
            <w:tcW w:w="0" w:type="auto"/>
            <w:gridSpan w:val="3"/>
            <w:shd w:val="clear" w:color="auto" w:fill="auto"/>
          </w:tcPr>
          <w:p w14:paraId="5EA1F53F" w14:textId="77777777" w:rsidR="003C66EB" w:rsidRDefault="003C66EB">
            <w:pPr>
              <w:rPr>
                <w:rFonts w:ascii="宋体"/>
                <w:vanish/>
              </w:rPr>
            </w:pPr>
          </w:p>
        </w:tc>
        <w:tc>
          <w:tcPr>
            <w:tcW w:w="0" w:type="auto"/>
            <w:gridSpan w:val="3"/>
            <w:shd w:val="clear" w:color="auto" w:fill="auto"/>
          </w:tcPr>
          <w:p w14:paraId="5EA1F540" w14:textId="77777777" w:rsidR="003C66EB" w:rsidRDefault="003C66EB">
            <w:pPr>
              <w:rPr>
                <w:rFonts w:ascii="宋体"/>
                <w:vanish/>
              </w:rPr>
            </w:pPr>
          </w:p>
        </w:tc>
        <w:tc>
          <w:tcPr>
            <w:tcW w:w="0" w:type="auto"/>
            <w:gridSpan w:val="3"/>
            <w:shd w:val="clear" w:color="auto" w:fill="auto"/>
          </w:tcPr>
          <w:p w14:paraId="5EA1F541" w14:textId="77777777" w:rsidR="003C66EB" w:rsidRDefault="003C66EB">
            <w:pPr>
              <w:rPr>
                <w:rFonts w:ascii="宋体"/>
                <w:vanish/>
              </w:rPr>
            </w:pPr>
          </w:p>
        </w:tc>
        <w:tc>
          <w:tcPr>
            <w:tcW w:w="0" w:type="auto"/>
            <w:gridSpan w:val="3"/>
            <w:shd w:val="clear" w:color="auto" w:fill="auto"/>
          </w:tcPr>
          <w:p w14:paraId="5EA1F542" w14:textId="77777777" w:rsidR="003C66EB" w:rsidRDefault="003C66EB">
            <w:pPr>
              <w:rPr>
                <w:rFonts w:ascii="宋体"/>
                <w:vanish/>
              </w:rPr>
            </w:pPr>
          </w:p>
        </w:tc>
        <w:tc>
          <w:tcPr>
            <w:tcW w:w="0" w:type="auto"/>
            <w:gridSpan w:val="3"/>
            <w:shd w:val="clear" w:color="auto" w:fill="auto"/>
          </w:tcPr>
          <w:p w14:paraId="5EA1F543" w14:textId="77777777" w:rsidR="003C66EB" w:rsidRDefault="003C66EB">
            <w:pPr>
              <w:rPr>
                <w:rFonts w:ascii="宋体"/>
                <w:vanish/>
              </w:rPr>
            </w:pPr>
          </w:p>
        </w:tc>
      </w:tr>
      <w:tr w:rsidR="003C66EB" w14:paraId="5EA1F55B" w14:textId="77777777">
        <w:trPr>
          <w:jc w:val="right"/>
        </w:trPr>
        <w:tc>
          <w:tcPr>
            <w:tcW w:w="0" w:type="auto"/>
            <w:gridSpan w:val="3"/>
            <w:shd w:val="clear" w:color="auto" w:fill="CCEEFF"/>
            <w:tcMar>
              <w:top w:w="40" w:type="dxa"/>
              <w:left w:w="20" w:type="dxa"/>
              <w:bottom w:w="40" w:type="dxa"/>
              <w:right w:w="20" w:type="dxa"/>
            </w:tcMar>
            <w:vAlign w:val="bottom"/>
          </w:tcPr>
          <w:p w14:paraId="5EA1F545" w14:textId="77777777" w:rsidR="003C66EB" w:rsidRDefault="00D96C4E">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546"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547" w14:textId="77777777" w:rsidR="003C66EB" w:rsidRDefault="00D96C4E">
            <w:pPr>
              <w:jc w:val="right"/>
              <w:textAlignment w:val="bottom"/>
            </w:pPr>
            <w:r>
              <w:rPr>
                <w:rFonts w:ascii="Arial" w:eastAsia="宋体" w:hAnsi="Arial" w:cs="Arial"/>
                <w:b/>
                <w:bCs/>
                <w:color w:val="000000"/>
                <w:sz w:val="15"/>
                <w:szCs w:val="15"/>
              </w:rPr>
              <w:t>3,591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54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4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54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54B" w14:textId="77777777" w:rsidR="003C66EB" w:rsidRDefault="00D96C4E">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5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4D"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54E"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54F" w14:textId="77777777" w:rsidR="003C66EB" w:rsidRDefault="00D96C4E">
            <w:pPr>
              <w:jc w:val="right"/>
              <w:textAlignment w:val="bottom"/>
            </w:pPr>
            <w:r>
              <w:rPr>
                <w:rFonts w:ascii="Arial" w:eastAsia="宋体" w:hAnsi="Arial" w:cs="Arial"/>
                <w:color w:val="000000"/>
                <w:sz w:val="15"/>
                <w:szCs w:val="15"/>
              </w:rPr>
              <w:t>2,689 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550" w14:textId="77777777" w:rsidR="003C66EB" w:rsidRDefault="003C66EB">
            <w:pPr>
              <w:jc w:val="right"/>
              <w:rPr>
                <w:rFonts w:ascii="宋体"/>
              </w:rPr>
            </w:pPr>
          </w:p>
        </w:tc>
        <w:tc>
          <w:tcPr>
            <w:tcW w:w="0" w:type="auto"/>
            <w:shd w:val="clear" w:color="auto" w:fill="auto"/>
          </w:tcPr>
          <w:p w14:paraId="5EA1F551" w14:textId="77777777" w:rsidR="003C66EB" w:rsidRDefault="003C66EB">
            <w:pPr>
              <w:rPr>
                <w:rFonts w:ascii="宋体"/>
                <w:vanish/>
              </w:rPr>
            </w:pPr>
          </w:p>
        </w:tc>
        <w:tc>
          <w:tcPr>
            <w:tcW w:w="0" w:type="auto"/>
            <w:shd w:val="clear" w:color="auto" w:fill="auto"/>
          </w:tcPr>
          <w:p w14:paraId="5EA1F552" w14:textId="77777777" w:rsidR="003C66EB" w:rsidRDefault="003C66EB">
            <w:pPr>
              <w:rPr>
                <w:rFonts w:ascii="宋体"/>
                <w:vanish/>
              </w:rPr>
            </w:pPr>
          </w:p>
        </w:tc>
        <w:tc>
          <w:tcPr>
            <w:tcW w:w="0" w:type="auto"/>
            <w:gridSpan w:val="3"/>
            <w:shd w:val="clear" w:color="auto" w:fill="auto"/>
          </w:tcPr>
          <w:p w14:paraId="5EA1F553" w14:textId="77777777" w:rsidR="003C66EB" w:rsidRDefault="003C66EB">
            <w:pPr>
              <w:rPr>
                <w:rFonts w:ascii="宋体"/>
                <w:vanish/>
              </w:rPr>
            </w:pPr>
          </w:p>
        </w:tc>
        <w:tc>
          <w:tcPr>
            <w:tcW w:w="0" w:type="auto"/>
            <w:gridSpan w:val="3"/>
            <w:shd w:val="clear" w:color="auto" w:fill="auto"/>
          </w:tcPr>
          <w:p w14:paraId="5EA1F554" w14:textId="77777777" w:rsidR="003C66EB" w:rsidRDefault="003C66EB">
            <w:pPr>
              <w:rPr>
                <w:rFonts w:ascii="宋体"/>
                <w:vanish/>
              </w:rPr>
            </w:pPr>
          </w:p>
        </w:tc>
        <w:tc>
          <w:tcPr>
            <w:tcW w:w="0" w:type="auto"/>
            <w:gridSpan w:val="3"/>
            <w:shd w:val="clear" w:color="auto" w:fill="auto"/>
          </w:tcPr>
          <w:p w14:paraId="5EA1F555" w14:textId="77777777" w:rsidR="003C66EB" w:rsidRDefault="003C66EB">
            <w:pPr>
              <w:rPr>
                <w:rFonts w:ascii="宋体"/>
                <w:vanish/>
              </w:rPr>
            </w:pPr>
          </w:p>
        </w:tc>
        <w:tc>
          <w:tcPr>
            <w:tcW w:w="0" w:type="auto"/>
            <w:gridSpan w:val="3"/>
            <w:shd w:val="clear" w:color="auto" w:fill="auto"/>
          </w:tcPr>
          <w:p w14:paraId="5EA1F556" w14:textId="77777777" w:rsidR="003C66EB" w:rsidRDefault="003C66EB">
            <w:pPr>
              <w:rPr>
                <w:rFonts w:ascii="宋体"/>
                <w:vanish/>
              </w:rPr>
            </w:pPr>
          </w:p>
        </w:tc>
        <w:tc>
          <w:tcPr>
            <w:tcW w:w="0" w:type="auto"/>
            <w:gridSpan w:val="3"/>
            <w:shd w:val="clear" w:color="auto" w:fill="auto"/>
          </w:tcPr>
          <w:p w14:paraId="5EA1F557" w14:textId="77777777" w:rsidR="003C66EB" w:rsidRDefault="003C66EB">
            <w:pPr>
              <w:rPr>
                <w:rFonts w:ascii="宋体"/>
                <w:vanish/>
              </w:rPr>
            </w:pPr>
          </w:p>
        </w:tc>
        <w:tc>
          <w:tcPr>
            <w:tcW w:w="0" w:type="auto"/>
            <w:gridSpan w:val="3"/>
            <w:shd w:val="clear" w:color="auto" w:fill="auto"/>
          </w:tcPr>
          <w:p w14:paraId="5EA1F558" w14:textId="77777777" w:rsidR="003C66EB" w:rsidRDefault="003C66EB">
            <w:pPr>
              <w:rPr>
                <w:rFonts w:ascii="宋体"/>
                <w:vanish/>
              </w:rPr>
            </w:pPr>
          </w:p>
        </w:tc>
        <w:tc>
          <w:tcPr>
            <w:tcW w:w="0" w:type="auto"/>
            <w:gridSpan w:val="3"/>
            <w:shd w:val="clear" w:color="auto" w:fill="auto"/>
          </w:tcPr>
          <w:p w14:paraId="5EA1F559" w14:textId="77777777" w:rsidR="003C66EB" w:rsidRDefault="003C66EB">
            <w:pPr>
              <w:rPr>
                <w:rFonts w:ascii="宋体"/>
                <w:vanish/>
              </w:rPr>
            </w:pPr>
          </w:p>
        </w:tc>
        <w:tc>
          <w:tcPr>
            <w:tcW w:w="0" w:type="auto"/>
            <w:gridSpan w:val="3"/>
            <w:shd w:val="clear" w:color="auto" w:fill="auto"/>
          </w:tcPr>
          <w:p w14:paraId="5EA1F55A" w14:textId="77777777" w:rsidR="003C66EB" w:rsidRDefault="003C66EB">
            <w:pPr>
              <w:rPr>
                <w:rFonts w:ascii="宋体"/>
                <w:vanish/>
              </w:rPr>
            </w:pPr>
          </w:p>
        </w:tc>
      </w:tr>
    </w:tbl>
    <w:p w14:paraId="5EA1F55C" w14:textId="77777777" w:rsidR="003C66EB" w:rsidRDefault="003C66EB">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F563" w14:textId="77777777">
        <w:trPr>
          <w:jc w:val="right"/>
        </w:trPr>
        <w:tc>
          <w:tcPr>
            <w:tcW w:w="50" w:type="pct"/>
            <w:shd w:val="clear" w:color="auto" w:fill="auto"/>
          </w:tcPr>
          <w:p w14:paraId="5EA1F55D" w14:textId="77777777" w:rsidR="003C66EB" w:rsidRDefault="003C66EB">
            <w:pPr>
              <w:rPr>
                <w:rFonts w:ascii="宋体"/>
              </w:rPr>
            </w:pPr>
          </w:p>
        </w:tc>
        <w:tc>
          <w:tcPr>
            <w:tcW w:w="1348" w:type="pct"/>
            <w:shd w:val="clear" w:color="auto" w:fill="auto"/>
          </w:tcPr>
          <w:p w14:paraId="5EA1F55E" w14:textId="77777777" w:rsidR="003C66EB" w:rsidRDefault="003C66EB">
            <w:pPr>
              <w:rPr>
                <w:rFonts w:ascii="宋体"/>
              </w:rPr>
            </w:pPr>
          </w:p>
        </w:tc>
        <w:tc>
          <w:tcPr>
            <w:tcW w:w="5" w:type="pct"/>
            <w:shd w:val="clear" w:color="auto" w:fill="auto"/>
          </w:tcPr>
          <w:p w14:paraId="5EA1F55F" w14:textId="77777777" w:rsidR="003C66EB" w:rsidRDefault="003C66EB">
            <w:pPr>
              <w:rPr>
                <w:rFonts w:ascii="宋体"/>
              </w:rPr>
            </w:pPr>
          </w:p>
        </w:tc>
        <w:tc>
          <w:tcPr>
            <w:tcW w:w="50" w:type="pct"/>
            <w:shd w:val="clear" w:color="auto" w:fill="auto"/>
          </w:tcPr>
          <w:p w14:paraId="5EA1F560" w14:textId="77777777" w:rsidR="003C66EB" w:rsidRDefault="003C66EB">
            <w:pPr>
              <w:rPr>
                <w:rFonts w:ascii="宋体"/>
              </w:rPr>
            </w:pPr>
          </w:p>
        </w:tc>
        <w:tc>
          <w:tcPr>
            <w:tcW w:w="3541" w:type="pct"/>
            <w:shd w:val="clear" w:color="auto" w:fill="auto"/>
          </w:tcPr>
          <w:p w14:paraId="5EA1F561" w14:textId="77777777" w:rsidR="003C66EB" w:rsidRDefault="003C66EB">
            <w:pPr>
              <w:rPr>
                <w:rFonts w:ascii="宋体"/>
              </w:rPr>
            </w:pPr>
          </w:p>
        </w:tc>
        <w:tc>
          <w:tcPr>
            <w:tcW w:w="5" w:type="pct"/>
            <w:shd w:val="clear" w:color="auto" w:fill="auto"/>
          </w:tcPr>
          <w:p w14:paraId="5EA1F562" w14:textId="77777777" w:rsidR="003C66EB" w:rsidRDefault="003C66EB">
            <w:pPr>
              <w:rPr>
                <w:rFonts w:ascii="宋体"/>
              </w:rPr>
            </w:pPr>
          </w:p>
        </w:tc>
      </w:tr>
      <w:tr w:rsidR="003C66EB" w14:paraId="5EA1F566" w14:textId="77777777">
        <w:trPr>
          <w:trHeight w:val="60"/>
          <w:jc w:val="right"/>
        </w:trPr>
        <w:tc>
          <w:tcPr>
            <w:tcW w:w="0" w:type="auto"/>
            <w:gridSpan w:val="3"/>
            <w:tcBorders>
              <w:bottom w:val="single" w:sz="8" w:space="0" w:color="000000"/>
            </w:tcBorders>
            <w:shd w:val="clear" w:color="auto" w:fill="auto"/>
            <w:tcMar>
              <w:top w:w="0" w:type="dxa"/>
              <w:left w:w="20" w:type="dxa"/>
              <w:bottom w:w="0" w:type="dxa"/>
              <w:right w:w="20" w:type="dxa"/>
            </w:tcMar>
          </w:tcPr>
          <w:p w14:paraId="5EA1F5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565" w14:textId="77777777" w:rsidR="003C66EB" w:rsidRDefault="003C66EB">
            <w:pPr>
              <w:rPr>
                <w:rFonts w:ascii="宋体"/>
              </w:rPr>
            </w:pPr>
          </w:p>
        </w:tc>
      </w:tr>
    </w:tbl>
    <w:p w14:paraId="5EA1F567" w14:textId="77777777" w:rsidR="003C66EB" w:rsidRDefault="00D96C4E">
      <w:pPr>
        <w:spacing w:before="40"/>
        <w:jc w:val="both"/>
      </w:pPr>
      <w:r>
        <w:rPr>
          <w:rFonts w:ascii="Arial" w:eastAsia="宋体" w:hAnsi="Arial" w:cs="Arial"/>
          <w:color w:val="000000"/>
          <w:sz w:val="8"/>
          <w:szCs w:val="8"/>
        </w:rPr>
        <w:t xml:space="preserve">(1) </w:t>
      </w:r>
      <w:r>
        <w:rPr>
          <w:rFonts w:ascii="Arial" w:eastAsia="宋体" w:hAnsi="Arial" w:cs="Arial"/>
          <w:color w:val="000000"/>
          <w:sz w:val="13"/>
          <w:szCs w:val="13"/>
        </w:rPr>
        <w:t>The implementation of an improved internal data management system for product level data in the first quarter of 2021 resulted in some AUM reclassifications between the categories presented for prior periods to align with the current presentation. There wa</w:t>
      </w:r>
      <w:r>
        <w:rPr>
          <w:rFonts w:ascii="Arial" w:eastAsia="宋体" w:hAnsi="Arial" w:cs="Arial"/>
          <w:color w:val="000000"/>
          <w:sz w:val="13"/>
          <w:szCs w:val="13"/>
        </w:rPr>
        <w:t xml:space="preserve">s no impact to the total level of reported AUM. </w:t>
      </w:r>
    </w:p>
    <w:p w14:paraId="5EA1F568" w14:textId="77777777" w:rsidR="003C66EB" w:rsidRDefault="00D96C4E">
      <w:pPr>
        <w:spacing w:before="4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5EA1F569" w14:textId="77777777" w:rsidR="003C66EB" w:rsidRDefault="00D96C4E">
      <w:pPr>
        <w:spacing w:before="40"/>
        <w:jc w:val="both"/>
      </w:pPr>
      <w:r>
        <w:rPr>
          <w:rFonts w:ascii="Arial" w:eastAsia="宋体" w:hAnsi="Arial" w:cs="Arial"/>
          <w:color w:val="000000"/>
          <w:sz w:val="8"/>
          <w:szCs w:val="8"/>
        </w:rPr>
        <w:t xml:space="preserve">(3)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w:t>
      </w:r>
      <w:r>
        <w:rPr>
          <w:rFonts w:ascii="Arial" w:eastAsia="宋体" w:hAnsi="Arial" w:cs="Arial"/>
          <w:color w:val="000000"/>
          <w:sz w:val="13"/>
          <w:szCs w:val="13"/>
        </w:rPr>
        <w:t>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5EA1F56A" w14:textId="77777777" w:rsidR="003C66EB" w:rsidRDefault="003C66EB">
      <w:pPr>
        <w:spacing w:before="20"/>
        <w:jc w:val="both"/>
      </w:pPr>
    </w:p>
    <w:p w14:paraId="5EA1F56B" w14:textId="77777777" w:rsidR="003C66EB" w:rsidRDefault="00D96C4E">
      <w:pPr>
        <w:ind w:firstLine="450"/>
        <w:jc w:val="right"/>
      </w:pPr>
      <w:r>
        <w:rPr>
          <w:rFonts w:ascii="Arial" w:eastAsia="宋体" w:hAnsi="Arial" w:cs="Arial"/>
          <w:color w:val="000000"/>
          <w:sz w:val="18"/>
          <w:szCs w:val="18"/>
        </w:rPr>
        <w:t>State Street Corporation | 21</w:t>
      </w:r>
    </w:p>
    <w:p w14:paraId="5EA1F56C" w14:textId="77777777" w:rsidR="003C66EB" w:rsidRDefault="003C66EB">
      <w:pPr>
        <w:ind w:firstLine="450"/>
        <w:jc w:val="center"/>
      </w:pPr>
    </w:p>
    <w:p w14:paraId="5EA1F56D" w14:textId="77777777" w:rsidR="003C66EB" w:rsidRDefault="00D96C4E">
      <w:r>
        <w:pict w14:anchorId="5EA287C5">
          <v:rect id="_x0000_i1045" style="width:415.3pt;height:1.5pt" o:hralign="center" o:hrstd="t" o:hr="t" fillcolor="#a0a0a0" stroked="f"/>
        </w:pict>
      </w:r>
    </w:p>
    <w:p w14:paraId="5EA1F56E" w14:textId="77777777" w:rsidR="003C66EB" w:rsidRDefault="00D96C4E">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5EA1F56F" w14:textId="77777777" w:rsidR="003C66EB" w:rsidRDefault="00D96C4E">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070"/>
        <w:gridCol w:w="39"/>
        <w:gridCol w:w="106"/>
        <w:gridCol w:w="1419"/>
        <w:gridCol w:w="38"/>
        <w:gridCol w:w="37"/>
        <w:gridCol w:w="37"/>
        <w:gridCol w:w="37"/>
        <w:gridCol w:w="106"/>
        <w:gridCol w:w="1379"/>
        <w:gridCol w:w="38"/>
        <w:gridCol w:w="36"/>
        <w:gridCol w:w="36"/>
        <w:gridCol w:w="36"/>
        <w:gridCol w:w="105"/>
        <w:gridCol w:w="1381"/>
        <w:gridCol w:w="37"/>
        <w:gridCol w:w="36"/>
        <w:gridCol w:w="36"/>
        <w:gridCol w:w="36"/>
        <w:gridCol w:w="36"/>
        <w:gridCol w:w="36"/>
        <w:gridCol w:w="36"/>
        <w:gridCol w:w="36"/>
        <w:gridCol w:w="36"/>
        <w:gridCol w:w="36"/>
        <w:gridCol w:w="36"/>
      </w:tblGrid>
      <w:tr w:rsidR="003C66EB" w14:paraId="5EA1F58C" w14:textId="77777777">
        <w:tc>
          <w:tcPr>
            <w:tcW w:w="50" w:type="pct"/>
            <w:shd w:val="clear" w:color="auto" w:fill="auto"/>
          </w:tcPr>
          <w:p w14:paraId="5EA1F570" w14:textId="77777777" w:rsidR="003C66EB" w:rsidRDefault="003C66EB">
            <w:pPr>
              <w:rPr>
                <w:rFonts w:ascii="宋体"/>
              </w:rPr>
            </w:pPr>
          </w:p>
        </w:tc>
        <w:tc>
          <w:tcPr>
            <w:tcW w:w="1955" w:type="pct"/>
            <w:shd w:val="clear" w:color="auto" w:fill="auto"/>
          </w:tcPr>
          <w:p w14:paraId="5EA1F571" w14:textId="77777777" w:rsidR="003C66EB" w:rsidRDefault="003C66EB">
            <w:pPr>
              <w:rPr>
                <w:rFonts w:ascii="宋体"/>
              </w:rPr>
            </w:pPr>
          </w:p>
        </w:tc>
        <w:tc>
          <w:tcPr>
            <w:tcW w:w="5" w:type="pct"/>
            <w:shd w:val="clear" w:color="auto" w:fill="auto"/>
          </w:tcPr>
          <w:p w14:paraId="5EA1F572" w14:textId="77777777" w:rsidR="003C66EB" w:rsidRDefault="003C66EB">
            <w:pPr>
              <w:rPr>
                <w:rFonts w:ascii="宋体"/>
              </w:rPr>
            </w:pPr>
          </w:p>
        </w:tc>
        <w:tc>
          <w:tcPr>
            <w:tcW w:w="50" w:type="pct"/>
            <w:shd w:val="clear" w:color="auto" w:fill="auto"/>
          </w:tcPr>
          <w:p w14:paraId="5EA1F573" w14:textId="77777777" w:rsidR="003C66EB" w:rsidRDefault="003C66EB">
            <w:pPr>
              <w:rPr>
                <w:rFonts w:ascii="宋体"/>
              </w:rPr>
            </w:pPr>
          </w:p>
        </w:tc>
        <w:tc>
          <w:tcPr>
            <w:tcW w:w="917" w:type="pct"/>
            <w:shd w:val="clear" w:color="auto" w:fill="auto"/>
          </w:tcPr>
          <w:p w14:paraId="5EA1F574" w14:textId="77777777" w:rsidR="003C66EB" w:rsidRDefault="003C66EB">
            <w:pPr>
              <w:rPr>
                <w:rFonts w:ascii="宋体"/>
              </w:rPr>
            </w:pPr>
          </w:p>
        </w:tc>
        <w:tc>
          <w:tcPr>
            <w:tcW w:w="5" w:type="pct"/>
            <w:shd w:val="clear" w:color="auto" w:fill="auto"/>
          </w:tcPr>
          <w:p w14:paraId="5EA1F575" w14:textId="77777777" w:rsidR="003C66EB" w:rsidRDefault="003C66EB">
            <w:pPr>
              <w:rPr>
                <w:rFonts w:ascii="宋体"/>
              </w:rPr>
            </w:pPr>
          </w:p>
        </w:tc>
        <w:tc>
          <w:tcPr>
            <w:tcW w:w="5" w:type="pct"/>
            <w:shd w:val="clear" w:color="auto" w:fill="auto"/>
          </w:tcPr>
          <w:p w14:paraId="5EA1F576" w14:textId="77777777" w:rsidR="003C66EB" w:rsidRDefault="003C66EB">
            <w:pPr>
              <w:rPr>
                <w:rFonts w:ascii="宋体"/>
              </w:rPr>
            </w:pPr>
          </w:p>
        </w:tc>
        <w:tc>
          <w:tcPr>
            <w:tcW w:w="26" w:type="pct"/>
            <w:shd w:val="clear" w:color="auto" w:fill="auto"/>
          </w:tcPr>
          <w:p w14:paraId="5EA1F577" w14:textId="77777777" w:rsidR="003C66EB" w:rsidRDefault="003C66EB">
            <w:pPr>
              <w:rPr>
                <w:rFonts w:ascii="宋体"/>
              </w:rPr>
            </w:pPr>
          </w:p>
        </w:tc>
        <w:tc>
          <w:tcPr>
            <w:tcW w:w="5" w:type="pct"/>
            <w:shd w:val="clear" w:color="auto" w:fill="auto"/>
          </w:tcPr>
          <w:p w14:paraId="5EA1F578" w14:textId="77777777" w:rsidR="003C66EB" w:rsidRDefault="003C66EB">
            <w:pPr>
              <w:rPr>
                <w:rFonts w:ascii="宋体"/>
              </w:rPr>
            </w:pPr>
          </w:p>
        </w:tc>
        <w:tc>
          <w:tcPr>
            <w:tcW w:w="50" w:type="pct"/>
            <w:shd w:val="clear" w:color="auto" w:fill="auto"/>
          </w:tcPr>
          <w:p w14:paraId="5EA1F579" w14:textId="77777777" w:rsidR="003C66EB" w:rsidRDefault="003C66EB">
            <w:pPr>
              <w:rPr>
                <w:rFonts w:ascii="宋体"/>
              </w:rPr>
            </w:pPr>
          </w:p>
        </w:tc>
        <w:tc>
          <w:tcPr>
            <w:tcW w:w="917" w:type="pct"/>
            <w:shd w:val="clear" w:color="auto" w:fill="auto"/>
          </w:tcPr>
          <w:p w14:paraId="5EA1F57A" w14:textId="77777777" w:rsidR="003C66EB" w:rsidRDefault="003C66EB">
            <w:pPr>
              <w:rPr>
                <w:rFonts w:ascii="宋体"/>
              </w:rPr>
            </w:pPr>
          </w:p>
        </w:tc>
        <w:tc>
          <w:tcPr>
            <w:tcW w:w="5" w:type="pct"/>
            <w:shd w:val="clear" w:color="auto" w:fill="auto"/>
          </w:tcPr>
          <w:p w14:paraId="5EA1F57B" w14:textId="77777777" w:rsidR="003C66EB" w:rsidRDefault="003C66EB">
            <w:pPr>
              <w:rPr>
                <w:rFonts w:ascii="宋体"/>
              </w:rPr>
            </w:pPr>
          </w:p>
        </w:tc>
        <w:tc>
          <w:tcPr>
            <w:tcW w:w="5" w:type="pct"/>
            <w:shd w:val="clear" w:color="auto" w:fill="auto"/>
          </w:tcPr>
          <w:p w14:paraId="5EA1F57C" w14:textId="77777777" w:rsidR="003C66EB" w:rsidRDefault="003C66EB">
            <w:pPr>
              <w:rPr>
                <w:rFonts w:ascii="宋体"/>
              </w:rPr>
            </w:pPr>
          </w:p>
        </w:tc>
        <w:tc>
          <w:tcPr>
            <w:tcW w:w="26" w:type="pct"/>
            <w:shd w:val="clear" w:color="auto" w:fill="auto"/>
          </w:tcPr>
          <w:p w14:paraId="5EA1F57D" w14:textId="77777777" w:rsidR="003C66EB" w:rsidRDefault="003C66EB">
            <w:pPr>
              <w:rPr>
                <w:rFonts w:ascii="宋体"/>
              </w:rPr>
            </w:pPr>
          </w:p>
        </w:tc>
        <w:tc>
          <w:tcPr>
            <w:tcW w:w="5" w:type="pct"/>
            <w:shd w:val="clear" w:color="auto" w:fill="auto"/>
          </w:tcPr>
          <w:p w14:paraId="5EA1F57E" w14:textId="77777777" w:rsidR="003C66EB" w:rsidRDefault="003C66EB">
            <w:pPr>
              <w:rPr>
                <w:rFonts w:ascii="宋体"/>
              </w:rPr>
            </w:pPr>
          </w:p>
        </w:tc>
        <w:tc>
          <w:tcPr>
            <w:tcW w:w="50" w:type="pct"/>
            <w:shd w:val="clear" w:color="auto" w:fill="auto"/>
          </w:tcPr>
          <w:p w14:paraId="5EA1F57F" w14:textId="77777777" w:rsidR="003C66EB" w:rsidRDefault="003C66EB">
            <w:pPr>
              <w:rPr>
                <w:rFonts w:ascii="宋体"/>
              </w:rPr>
            </w:pPr>
          </w:p>
        </w:tc>
        <w:tc>
          <w:tcPr>
            <w:tcW w:w="917" w:type="pct"/>
            <w:shd w:val="clear" w:color="auto" w:fill="auto"/>
          </w:tcPr>
          <w:p w14:paraId="5EA1F580" w14:textId="77777777" w:rsidR="003C66EB" w:rsidRDefault="003C66EB">
            <w:pPr>
              <w:rPr>
                <w:rFonts w:ascii="宋体"/>
              </w:rPr>
            </w:pPr>
          </w:p>
        </w:tc>
        <w:tc>
          <w:tcPr>
            <w:tcW w:w="5" w:type="pct"/>
            <w:shd w:val="clear" w:color="auto" w:fill="auto"/>
          </w:tcPr>
          <w:p w14:paraId="5EA1F581" w14:textId="77777777" w:rsidR="003C66EB" w:rsidRDefault="003C66EB">
            <w:pPr>
              <w:rPr>
                <w:rFonts w:ascii="宋体"/>
              </w:rPr>
            </w:pPr>
          </w:p>
        </w:tc>
        <w:tc>
          <w:tcPr>
            <w:tcW w:w="0" w:type="auto"/>
            <w:shd w:val="clear" w:color="auto" w:fill="auto"/>
          </w:tcPr>
          <w:p w14:paraId="5EA1F582" w14:textId="77777777" w:rsidR="003C66EB" w:rsidRDefault="003C66EB">
            <w:pPr>
              <w:rPr>
                <w:rFonts w:ascii="宋体"/>
                <w:vanish/>
              </w:rPr>
            </w:pPr>
          </w:p>
        </w:tc>
        <w:tc>
          <w:tcPr>
            <w:tcW w:w="0" w:type="auto"/>
            <w:shd w:val="clear" w:color="auto" w:fill="auto"/>
          </w:tcPr>
          <w:p w14:paraId="5EA1F583" w14:textId="77777777" w:rsidR="003C66EB" w:rsidRDefault="003C66EB">
            <w:pPr>
              <w:rPr>
                <w:rFonts w:ascii="宋体"/>
                <w:vanish/>
              </w:rPr>
            </w:pPr>
          </w:p>
        </w:tc>
        <w:tc>
          <w:tcPr>
            <w:tcW w:w="0" w:type="auto"/>
            <w:shd w:val="clear" w:color="auto" w:fill="auto"/>
          </w:tcPr>
          <w:p w14:paraId="5EA1F584" w14:textId="77777777" w:rsidR="003C66EB" w:rsidRDefault="003C66EB">
            <w:pPr>
              <w:rPr>
                <w:rFonts w:ascii="宋体"/>
                <w:vanish/>
              </w:rPr>
            </w:pPr>
          </w:p>
        </w:tc>
        <w:tc>
          <w:tcPr>
            <w:tcW w:w="0" w:type="auto"/>
            <w:shd w:val="clear" w:color="auto" w:fill="auto"/>
          </w:tcPr>
          <w:p w14:paraId="5EA1F585" w14:textId="77777777" w:rsidR="003C66EB" w:rsidRDefault="003C66EB">
            <w:pPr>
              <w:rPr>
                <w:rFonts w:ascii="宋体"/>
                <w:vanish/>
              </w:rPr>
            </w:pPr>
          </w:p>
        </w:tc>
        <w:tc>
          <w:tcPr>
            <w:tcW w:w="0" w:type="auto"/>
            <w:shd w:val="clear" w:color="auto" w:fill="auto"/>
          </w:tcPr>
          <w:p w14:paraId="5EA1F586" w14:textId="77777777" w:rsidR="003C66EB" w:rsidRDefault="003C66EB">
            <w:pPr>
              <w:rPr>
                <w:rFonts w:ascii="宋体"/>
                <w:vanish/>
              </w:rPr>
            </w:pPr>
          </w:p>
        </w:tc>
        <w:tc>
          <w:tcPr>
            <w:tcW w:w="0" w:type="auto"/>
            <w:shd w:val="clear" w:color="auto" w:fill="auto"/>
          </w:tcPr>
          <w:p w14:paraId="5EA1F587" w14:textId="77777777" w:rsidR="003C66EB" w:rsidRDefault="003C66EB">
            <w:pPr>
              <w:rPr>
                <w:rFonts w:ascii="宋体"/>
                <w:vanish/>
              </w:rPr>
            </w:pPr>
          </w:p>
        </w:tc>
        <w:tc>
          <w:tcPr>
            <w:tcW w:w="0" w:type="auto"/>
            <w:shd w:val="clear" w:color="auto" w:fill="auto"/>
          </w:tcPr>
          <w:p w14:paraId="5EA1F588" w14:textId="77777777" w:rsidR="003C66EB" w:rsidRDefault="003C66EB">
            <w:pPr>
              <w:rPr>
                <w:rFonts w:ascii="宋体"/>
                <w:vanish/>
              </w:rPr>
            </w:pPr>
          </w:p>
        </w:tc>
        <w:tc>
          <w:tcPr>
            <w:tcW w:w="0" w:type="auto"/>
            <w:shd w:val="clear" w:color="auto" w:fill="auto"/>
          </w:tcPr>
          <w:p w14:paraId="5EA1F589" w14:textId="77777777" w:rsidR="003C66EB" w:rsidRDefault="003C66EB">
            <w:pPr>
              <w:rPr>
                <w:rFonts w:ascii="宋体"/>
                <w:vanish/>
              </w:rPr>
            </w:pPr>
          </w:p>
        </w:tc>
        <w:tc>
          <w:tcPr>
            <w:tcW w:w="0" w:type="auto"/>
            <w:shd w:val="clear" w:color="auto" w:fill="auto"/>
          </w:tcPr>
          <w:p w14:paraId="5EA1F58A" w14:textId="77777777" w:rsidR="003C66EB" w:rsidRDefault="003C66EB">
            <w:pPr>
              <w:rPr>
                <w:rFonts w:ascii="宋体"/>
                <w:vanish/>
              </w:rPr>
            </w:pPr>
          </w:p>
        </w:tc>
        <w:tc>
          <w:tcPr>
            <w:tcW w:w="0" w:type="auto"/>
            <w:shd w:val="clear" w:color="auto" w:fill="auto"/>
          </w:tcPr>
          <w:p w14:paraId="5EA1F58B" w14:textId="77777777" w:rsidR="003C66EB" w:rsidRDefault="003C66EB">
            <w:pPr>
              <w:rPr>
                <w:rFonts w:ascii="宋体"/>
                <w:vanish/>
              </w:rPr>
            </w:pPr>
          </w:p>
        </w:tc>
      </w:tr>
      <w:tr w:rsidR="003C66EB" w14:paraId="5EA1F598" w14:textId="77777777">
        <w:tc>
          <w:tcPr>
            <w:tcW w:w="0" w:type="auto"/>
            <w:gridSpan w:val="18"/>
            <w:shd w:val="clear" w:color="auto" w:fill="auto"/>
            <w:tcMar>
              <w:top w:w="40" w:type="dxa"/>
              <w:left w:w="20" w:type="dxa"/>
              <w:bottom w:w="40" w:type="dxa"/>
              <w:right w:w="20" w:type="dxa"/>
            </w:tcMar>
            <w:vAlign w:val="center"/>
          </w:tcPr>
          <w:p w14:paraId="5EA1F58D" w14:textId="77777777" w:rsidR="003C66EB" w:rsidRDefault="00D96C4E">
            <w:pPr>
              <w:textAlignment w:val="center"/>
            </w:pPr>
            <w:r>
              <w:rPr>
                <w:rFonts w:ascii="Arial" w:eastAsia="宋体" w:hAnsi="Arial" w:cs="Arial"/>
                <w:b/>
                <w:bCs/>
                <w:color w:val="000000"/>
                <w:sz w:val="16"/>
                <w:szCs w:val="16"/>
              </w:rPr>
              <w:t>TABLE 16: EXCHANGE-TRADED FUNDS BY ASSET CLASS</w:t>
            </w:r>
            <w:r>
              <w:rPr>
                <w:rFonts w:ascii="Arial" w:eastAsia="宋体" w:hAnsi="Arial" w:cs="Arial"/>
                <w:b/>
                <w:bCs/>
                <w:color w:val="000000"/>
                <w:sz w:val="10"/>
                <w:szCs w:val="10"/>
              </w:rPr>
              <w:t>(1)</w:t>
            </w:r>
          </w:p>
        </w:tc>
        <w:tc>
          <w:tcPr>
            <w:tcW w:w="0" w:type="auto"/>
            <w:shd w:val="clear" w:color="auto" w:fill="auto"/>
          </w:tcPr>
          <w:p w14:paraId="5EA1F58E" w14:textId="77777777" w:rsidR="003C66EB" w:rsidRDefault="003C66EB">
            <w:pPr>
              <w:rPr>
                <w:rFonts w:ascii="宋体"/>
                <w:vanish/>
              </w:rPr>
            </w:pPr>
          </w:p>
        </w:tc>
        <w:tc>
          <w:tcPr>
            <w:tcW w:w="0" w:type="auto"/>
            <w:shd w:val="clear" w:color="auto" w:fill="auto"/>
          </w:tcPr>
          <w:p w14:paraId="5EA1F58F" w14:textId="77777777" w:rsidR="003C66EB" w:rsidRDefault="003C66EB">
            <w:pPr>
              <w:rPr>
                <w:rFonts w:ascii="宋体"/>
                <w:vanish/>
              </w:rPr>
            </w:pPr>
          </w:p>
        </w:tc>
        <w:tc>
          <w:tcPr>
            <w:tcW w:w="0" w:type="auto"/>
            <w:shd w:val="clear" w:color="auto" w:fill="auto"/>
          </w:tcPr>
          <w:p w14:paraId="5EA1F590" w14:textId="77777777" w:rsidR="003C66EB" w:rsidRDefault="003C66EB">
            <w:pPr>
              <w:rPr>
                <w:rFonts w:ascii="宋体"/>
                <w:vanish/>
              </w:rPr>
            </w:pPr>
          </w:p>
        </w:tc>
        <w:tc>
          <w:tcPr>
            <w:tcW w:w="0" w:type="auto"/>
            <w:shd w:val="clear" w:color="auto" w:fill="auto"/>
          </w:tcPr>
          <w:p w14:paraId="5EA1F591" w14:textId="77777777" w:rsidR="003C66EB" w:rsidRDefault="003C66EB">
            <w:pPr>
              <w:rPr>
                <w:rFonts w:ascii="宋体"/>
                <w:vanish/>
              </w:rPr>
            </w:pPr>
          </w:p>
        </w:tc>
        <w:tc>
          <w:tcPr>
            <w:tcW w:w="0" w:type="auto"/>
            <w:shd w:val="clear" w:color="auto" w:fill="auto"/>
          </w:tcPr>
          <w:p w14:paraId="5EA1F592" w14:textId="77777777" w:rsidR="003C66EB" w:rsidRDefault="003C66EB">
            <w:pPr>
              <w:rPr>
                <w:rFonts w:ascii="宋体"/>
                <w:vanish/>
              </w:rPr>
            </w:pPr>
          </w:p>
        </w:tc>
        <w:tc>
          <w:tcPr>
            <w:tcW w:w="0" w:type="auto"/>
            <w:shd w:val="clear" w:color="auto" w:fill="auto"/>
          </w:tcPr>
          <w:p w14:paraId="5EA1F593" w14:textId="77777777" w:rsidR="003C66EB" w:rsidRDefault="003C66EB">
            <w:pPr>
              <w:rPr>
                <w:rFonts w:ascii="宋体"/>
                <w:vanish/>
              </w:rPr>
            </w:pPr>
          </w:p>
        </w:tc>
        <w:tc>
          <w:tcPr>
            <w:tcW w:w="0" w:type="auto"/>
            <w:shd w:val="clear" w:color="auto" w:fill="auto"/>
          </w:tcPr>
          <w:p w14:paraId="5EA1F594" w14:textId="77777777" w:rsidR="003C66EB" w:rsidRDefault="003C66EB">
            <w:pPr>
              <w:rPr>
                <w:rFonts w:ascii="宋体"/>
                <w:vanish/>
              </w:rPr>
            </w:pPr>
          </w:p>
        </w:tc>
        <w:tc>
          <w:tcPr>
            <w:tcW w:w="0" w:type="auto"/>
            <w:shd w:val="clear" w:color="auto" w:fill="auto"/>
          </w:tcPr>
          <w:p w14:paraId="5EA1F595" w14:textId="77777777" w:rsidR="003C66EB" w:rsidRDefault="003C66EB">
            <w:pPr>
              <w:rPr>
                <w:rFonts w:ascii="宋体"/>
                <w:vanish/>
              </w:rPr>
            </w:pPr>
          </w:p>
        </w:tc>
        <w:tc>
          <w:tcPr>
            <w:tcW w:w="0" w:type="auto"/>
            <w:shd w:val="clear" w:color="auto" w:fill="auto"/>
          </w:tcPr>
          <w:p w14:paraId="5EA1F596" w14:textId="77777777" w:rsidR="003C66EB" w:rsidRDefault="003C66EB">
            <w:pPr>
              <w:rPr>
                <w:rFonts w:ascii="宋体"/>
                <w:vanish/>
              </w:rPr>
            </w:pPr>
          </w:p>
        </w:tc>
        <w:tc>
          <w:tcPr>
            <w:tcW w:w="0" w:type="auto"/>
            <w:shd w:val="clear" w:color="auto" w:fill="auto"/>
          </w:tcPr>
          <w:p w14:paraId="5EA1F597" w14:textId="77777777" w:rsidR="003C66EB" w:rsidRDefault="003C66EB">
            <w:pPr>
              <w:rPr>
                <w:rFonts w:ascii="宋体"/>
                <w:vanish/>
              </w:rPr>
            </w:pPr>
          </w:p>
        </w:tc>
      </w:tr>
      <w:tr w:rsidR="003C66EB" w14:paraId="5EA1F5A9" w14:textId="77777777">
        <w:tc>
          <w:tcPr>
            <w:tcW w:w="0" w:type="auto"/>
            <w:gridSpan w:val="3"/>
            <w:shd w:val="clear" w:color="auto" w:fill="auto"/>
            <w:tcMar>
              <w:top w:w="40" w:type="dxa"/>
              <w:left w:w="20" w:type="dxa"/>
              <w:bottom w:w="40" w:type="dxa"/>
              <w:right w:w="20" w:type="dxa"/>
            </w:tcMar>
            <w:vAlign w:val="bottom"/>
          </w:tcPr>
          <w:p w14:paraId="5EA1F599" w14:textId="77777777" w:rsidR="003C66EB" w:rsidRDefault="00D96C4E">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A1F59A"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59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59C"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1F59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59E"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Pr>
          <w:p w14:paraId="5EA1F59F" w14:textId="77777777" w:rsidR="003C66EB" w:rsidRDefault="003C66EB">
            <w:pPr>
              <w:rPr>
                <w:rFonts w:ascii="宋体"/>
                <w:vanish/>
              </w:rPr>
            </w:pPr>
          </w:p>
        </w:tc>
        <w:tc>
          <w:tcPr>
            <w:tcW w:w="0" w:type="auto"/>
            <w:shd w:val="clear" w:color="auto" w:fill="auto"/>
          </w:tcPr>
          <w:p w14:paraId="5EA1F5A0" w14:textId="77777777" w:rsidR="003C66EB" w:rsidRDefault="003C66EB">
            <w:pPr>
              <w:rPr>
                <w:rFonts w:ascii="宋体"/>
                <w:vanish/>
              </w:rPr>
            </w:pPr>
          </w:p>
        </w:tc>
        <w:tc>
          <w:tcPr>
            <w:tcW w:w="0" w:type="auto"/>
            <w:shd w:val="clear" w:color="auto" w:fill="auto"/>
          </w:tcPr>
          <w:p w14:paraId="5EA1F5A1" w14:textId="77777777" w:rsidR="003C66EB" w:rsidRDefault="003C66EB">
            <w:pPr>
              <w:rPr>
                <w:rFonts w:ascii="宋体"/>
                <w:vanish/>
              </w:rPr>
            </w:pPr>
          </w:p>
        </w:tc>
        <w:tc>
          <w:tcPr>
            <w:tcW w:w="0" w:type="auto"/>
            <w:shd w:val="clear" w:color="auto" w:fill="auto"/>
          </w:tcPr>
          <w:p w14:paraId="5EA1F5A2" w14:textId="77777777" w:rsidR="003C66EB" w:rsidRDefault="003C66EB">
            <w:pPr>
              <w:rPr>
                <w:rFonts w:ascii="宋体"/>
                <w:vanish/>
              </w:rPr>
            </w:pPr>
          </w:p>
        </w:tc>
        <w:tc>
          <w:tcPr>
            <w:tcW w:w="0" w:type="auto"/>
            <w:shd w:val="clear" w:color="auto" w:fill="auto"/>
          </w:tcPr>
          <w:p w14:paraId="5EA1F5A3" w14:textId="77777777" w:rsidR="003C66EB" w:rsidRDefault="003C66EB">
            <w:pPr>
              <w:rPr>
                <w:rFonts w:ascii="宋体"/>
                <w:vanish/>
              </w:rPr>
            </w:pPr>
          </w:p>
        </w:tc>
        <w:tc>
          <w:tcPr>
            <w:tcW w:w="0" w:type="auto"/>
            <w:shd w:val="clear" w:color="auto" w:fill="auto"/>
          </w:tcPr>
          <w:p w14:paraId="5EA1F5A4" w14:textId="77777777" w:rsidR="003C66EB" w:rsidRDefault="003C66EB">
            <w:pPr>
              <w:rPr>
                <w:rFonts w:ascii="宋体"/>
                <w:vanish/>
              </w:rPr>
            </w:pPr>
          </w:p>
        </w:tc>
        <w:tc>
          <w:tcPr>
            <w:tcW w:w="0" w:type="auto"/>
            <w:shd w:val="clear" w:color="auto" w:fill="auto"/>
          </w:tcPr>
          <w:p w14:paraId="5EA1F5A5" w14:textId="77777777" w:rsidR="003C66EB" w:rsidRDefault="003C66EB">
            <w:pPr>
              <w:rPr>
                <w:rFonts w:ascii="宋体"/>
                <w:vanish/>
              </w:rPr>
            </w:pPr>
          </w:p>
        </w:tc>
        <w:tc>
          <w:tcPr>
            <w:tcW w:w="0" w:type="auto"/>
            <w:shd w:val="clear" w:color="auto" w:fill="auto"/>
          </w:tcPr>
          <w:p w14:paraId="5EA1F5A6" w14:textId="77777777" w:rsidR="003C66EB" w:rsidRDefault="003C66EB">
            <w:pPr>
              <w:rPr>
                <w:rFonts w:ascii="宋体"/>
                <w:vanish/>
              </w:rPr>
            </w:pPr>
          </w:p>
        </w:tc>
        <w:tc>
          <w:tcPr>
            <w:tcW w:w="0" w:type="auto"/>
            <w:shd w:val="clear" w:color="auto" w:fill="auto"/>
          </w:tcPr>
          <w:p w14:paraId="5EA1F5A7" w14:textId="77777777" w:rsidR="003C66EB" w:rsidRDefault="003C66EB">
            <w:pPr>
              <w:rPr>
                <w:rFonts w:ascii="宋体"/>
                <w:vanish/>
              </w:rPr>
            </w:pPr>
          </w:p>
        </w:tc>
        <w:tc>
          <w:tcPr>
            <w:tcW w:w="0" w:type="auto"/>
            <w:shd w:val="clear" w:color="auto" w:fill="auto"/>
          </w:tcPr>
          <w:p w14:paraId="5EA1F5A8" w14:textId="77777777" w:rsidR="003C66EB" w:rsidRDefault="003C66EB">
            <w:pPr>
              <w:rPr>
                <w:rFonts w:ascii="宋体"/>
                <w:vanish/>
              </w:rPr>
            </w:pPr>
          </w:p>
        </w:tc>
      </w:tr>
      <w:tr w:rsidR="003C66EB" w14:paraId="5EA1F5C0" w14:textId="77777777">
        <w:tc>
          <w:tcPr>
            <w:tcW w:w="0" w:type="auto"/>
            <w:gridSpan w:val="3"/>
            <w:shd w:val="clear" w:color="auto" w:fill="CCEEFF"/>
            <w:tcMar>
              <w:top w:w="40" w:type="dxa"/>
              <w:left w:w="20" w:type="dxa"/>
              <w:bottom w:w="40" w:type="dxa"/>
              <w:right w:w="20" w:type="dxa"/>
            </w:tcMar>
            <w:vAlign w:val="bottom"/>
          </w:tcPr>
          <w:p w14:paraId="5EA1F5AA" w14:textId="77777777" w:rsidR="003C66EB" w:rsidRDefault="00D96C4E">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(2)(3)</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5AB"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5AC" w14:textId="77777777" w:rsidR="003C66EB" w:rsidRDefault="00D96C4E">
            <w:pPr>
              <w:jc w:val="right"/>
              <w:textAlignment w:val="bottom"/>
            </w:pPr>
            <w:r>
              <w:rPr>
                <w:rFonts w:ascii="Arial" w:eastAsia="宋体" w:hAnsi="Arial" w:cs="Arial"/>
                <w:b/>
                <w:bCs/>
                <w:color w:val="000000"/>
                <w:sz w:val="15"/>
                <w:szCs w:val="15"/>
              </w:rPr>
              <w:t>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5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A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5AF"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5B0" w14:textId="77777777" w:rsidR="003C66EB" w:rsidRDefault="00D96C4E">
            <w:pPr>
              <w:jc w:val="right"/>
              <w:textAlignment w:val="bottom"/>
            </w:pPr>
            <w:r>
              <w:rPr>
                <w:rFonts w:ascii="Arial" w:eastAsia="宋体" w:hAnsi="Arial" w:cs="Arial"/>
                <w:color w:val="000000"/>
                <w:sz w:val="15"/>
                <w:szCs w:val="15"/>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5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B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5B3"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5B4" w14:textId="77777777" w:rsidR="003C66EB" w:rsidRDefault="00D96C4E">
            <w:pPr>
              <w:jc w:val="right"/>
              <w:textAlignment w:val="bottom"/>
            </w:pPr>
            <w:r>
              <w:rPr>
                <w:rFonts w:ascii="Arial" w:eastAsia="宋体" w:hAnsi="Arial" w:cs="Arial"/>
                <w:color w:val="000000"/>
                <w:sz w:val="15"/>
                <w:szCs w:val="15"/>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5B5" w14:textId="77777777" w:rsidR="003C66EB" w:rsidRDefault="003C66EB">
            <w:pPr>
              <w:jc w:val="right"/>
              <w:rPr>
                <w:rFonts w:ascii="宋体"/>
              </w:rPr>
            </w:pPr>
          </w:p>
        </w:tc>
        <w:tc>
          <w:tcPr>
            <w:tcW w:w="0" w:type="auto"/>
            <w:shd w:val="clear" w:color="auto" w:fill="auto"/>
          </w:tcPr>
          <w:p w14:paraId="5EA1F5B6" w14:textId="77777777" w:rsidR="003C66EB" w:rsidRDefault="003C66EB">
            <w:pPr>
              <w:rPr>
                <w:rFonts w:ascii="宋体"/>
                <w:vanish/>
              </w:rPr>
            </w:pPr>
          </w:p>
        </w:tc>
        <w:tc>
          <w:tcPr>
            <w:tcW w:w="0" w:type="auto"/>
            <w:shd w:val="clear" w:color="auto" w:fill="auto"/>
          </w:tcPr>
          <w:p w14:paraId="5EA1F5B7" w14:textId="77777777" w:rsidR="003C66EB" w:rsidRDefault="003C66EB">
            <w:pPr>
              <w:rPr>
                <w:rFonts w:ascii="宋体"/>
                <w:vanish/>
              </w:rPr>
            </w:pPr>
          </w:p>
        </w:tc>
        <w:tc>
          <w:tcPr>
            <w:tcW w:w="0" w:type="auto"/>
            <w:shd w:val="clear" w:color="auto" w:fill="auto"/>
          </w:tcPr>
          <w:p w14:paraId="5EA1F5B8" w14:textId="77777777" w:rsidR="003C66EB" w:rsidRDefault="003C66EB">
            <w:pPr>
              <w:rPr>
                <w:rFonts w:ascii="宋体"/>
                <w:vanish/>
              </w:rPr>
            </w:pPr>
          </w:p>
        </w:tc>
        <w:tc>
          <w:tcPr>
            <w:tcW w:w="0" w:type="auto"/>
            <w:shd w:val="clear" w:color="auto" w:fill="auto"/>
          </w:tcPr>
          <w:p w14:paraId="5EA1F5B9" w14:textId="77777777" w:rsidR="003C66EB" w:rsidRDefault="003C66EB">
            <w:pPr>
              <w:rPr>
                <w:rFonts w:ascii="宋体"/>
                <w:vanish/>
              </w:rPr>
            </w:pPr>
          </w:p>
        </w:tc>
        <w:tc>
          <w:tcPr>
            <w:tcW w:w="0" w:type="auto"/>
            <w:shd w:val="clear" w:color="auto" w:fill="auto"/>
          </w:tcPr>
          <w:p w14:paraId="5EA1F5BA" w14:textId="77777777" w:rsidR="003C66EB" w:rsidRDefault="003C66EB">
            <w:pPr>
              <w:rPr>
                <w:rFonts w:ascii="宋体"/>
                <w:vanish/>
              </w:rPr>
            </w:pPr>
          </w:p>
        </w:tc>
        <w:tc>
          <w:tcPr>
            <w:tcW w:w="0" w:type="auto"/>
            <w:shd w:val="clear" w:color="auto" w:fill="auto"/>
          </w:tcPr>
          <w:p w14:paraId="5EA1F5BB" w14:textId="77777777" w:rsidR="003C66EB" w:rsidRDefault="003C66EB">
            <w:pPr>
              <w:rPr>
                <w:rFonts w:ascii="宋体"/>
                <w:vanish/>
              </w:rPr>
            </w:pPr>
          </w:p>
        </w:tc>
        <w:tc>
          <w:tcPr>
            <w:tcW w:w="0" w:type="auto"/>
            <w:shd w:val="clear" w:color="auto" w:fill="auto"/>
          </w:tcPr>
          <w:p w14:paraId="5EA1F5BC" w14:textId="77777777" w:rsidR="003C66EB" w:rsidRDefault="003C66EB">
            <w:pPr>
              <w:rPr>
                <w:rFonts w:ascii="宋体"/>
                <w:vanish/>
              </w:rPr>
            </w:pPr>
          </w:p>
        </w:tc>
        <w:tc>
          <w:tcPr>
            <w:tcW w:w="0" w:type="auto"/>
            <w:shd w:val="clear" w:color="auto" w:fill="auto"/>
          </w:tcPr>
          <w:p w14:paraId="5EA1F5BD" w14:textId="77777777" w:rsidR="003C66EB" w:rsidRDefault="003C66EB">
            <w:pPr>
              <w:rPr>
                <w:rFonts w:ascii="宋体"/>
                <w:vanish/>
              </w:rPr>
            </w:pPr>
          </w:p>
        </w:tc>
        <w:tc>
          <w:tcPr>
            <w:tcW w:w="0" w:type="auto"/>
            <w:shd w:val="clear" w:color="auto" w:fill="auto"/>
          </w:tcPr>
          <w:p w14:paraId="5EA1F5BE" w14:textId="77777777" w:rsidR="003C66EB" w:rsidRDefault="003C66EB">
            <w:pPr>
              <w:rPr>
                <w:rFonts w:ascii="宋体"/>
                <w:vanish/>
              </w:rPr>
            </w:pPr>
          </w:p>
        </w:tc>
        <w:tc>
          <w:tcPr>
            <w:tcW w:w="0" w:type="auto"/>
            <w:shd w:val="clear" w:color="auto" w:fill="auto"/>
          </w:tcPr>
          <w:p w14:paraId="5EA1F5BF" w14:textId="77777777" w:rsidR="003C66EB" w:rsidRDefault="003C66EB">
            <w:pPr>
              <w:rPr>
                <w:rFonts w:ascii="宋体"/>
                <w:vanish/>
              </w:rPr>
            </w:pPr>
          </w:p>
        </w:tc>
      </w:tr>
      <w:tr w:rsidR="003C66EB" w14:paraId="5EA1F5D1" w14:textId="77777777">
        <w:trPr>
          <w:hidden/>
        </w:trPr>
        <w:tc>
          <w:tcPr>
            <w:tcW w:w="0" w:type="auto"/>
            <w:gridSpan w:val="3"/>
            <w:shd w:val="clear" w:color="auto" w:fill="auto"/>
          </w:tcPr>
          <w:p w14:paraId="5EA1F5C1" w14:textId="77777777" w:rsidR="003C66EB" w:rsidRDefault="003C66EB">
            <w:pPr>
              <w:rPr>
                <w:rFonts w:ascii="宋体"/>
                <w:vanish/>
              </w:rPr>
            </w:pPr>
          </w:p>
        </w:tc>
        <w:tc>
          <w:tcPr>
            <w:tcW w:w="0" w:type="auto"/>
            <w:gridSpan w:val="3"/>
            <w:shd w:val="clear" w:color="auto" w:fill="auto"/>
          </w:tcPr>
          <w:p w14:paraId="5EA1F5C2" w14:textId="77777777" w:rsidR="003C66EB" w:rsidRDefault="003C66EB">
            <w:pPr>
              <w:rPr>
                <w:rFonts w:ascii="宋体"/>
                <w:vanish/>
              </w:rPr>
            </w:pPr>
          </w:p>
        </w:tc>
        <w:tc>
          <w:tcPr>
            <w:tcW w:w="0" w:type="auto"/>
            <w:gridSpan w:val="3"/>
            <w:shd w:val="clear" w:color="auto" w:fill="auto"/>
          </w:tcPr>
          <w:p w14:paraId="5EA1F5C3" w14:textId="77777777" w:rsidR="003C66EB" w:rsidRDefault="003C66EB">
            <w:pPr>
              <w:rPr>
                <w:rFonts w:ascii="宋体"/>
                <w:vanish/>
              </w:rPr>
            </w:pPr>
          </w:p>
        </w:tc>
        <w:tc>
          <w:tcPr>
            <w:tcW w:w="0" w:type="auto"/>
            <w:gridSpan w:val="3"/>
            <w:shd w:val="clear" w:color="auto" w:fill="auto"/>
          </w:tcPr>
          <w:p w14:paraId="5EA1F5C4" w14:textId="77777777" w:rsidR="003C66EB" w:rsidRDefault="003C66EB">
            <w:pPr>
              <w:rPr>
                <w:rFonts w:ascii="宋体"/>
                <w:vanish/>
              </w:rPr>
            </w:pPr>
          </w:p>
        </w:tc>
        <w:tc>
          <w:tcPr>
            <w:tcW w:w="0" w:type="auto"/>
            <w:gridSpan w:val="3"/>
            <w:shd w:val="clear" w:color="auto" w:fill="auto"/>
          </w:tcPr>
          <w:p w14:paraId="5EA1F5C5" w14:textId="77777777" w:rsidR="003C66EB" w:rsidRDefault="003C66EB">
            <w:pPr>
              <w:rPr>
                <w:rFonts w:ascii="宋体"/>
                <w:vanish/>
              </w:rPr>
            </w:pPr>
          </w:p>
        </w:tc>
        <w:tc>
          <w:tcPr>
            <w:tcW w:w="0" w:type="auto"/>
            <w:gridSpan w:val="3"/>
            <w:shd w:val="clear" w:color="auto" w:fill="auto"/>
          </w:tcPr>
          <w:p w14:paraId="5EA1F5C6" w14:textId="77777777" w:rsidR="003C66EB" w:rsidRDefault="003C66EB">
            <w:pPr>
              <w:rPr>
                <w:rFonts w:ascii="宋体"/>
                <w:vanish/>
              </w:rPr>
            </w:pPr>
          </w:p>
        </w:tc>
        <w:tc>
          <w:tcPr>
            <w:tcW w:w="0" w:type="auto"/>
            <w:shd w:val="clear" w:color="auto" w:fill="auto"/>
          </w:tcPr>
          <w:p w14:paraId="5EA1F5C7" w14:textId="77777777" w:rsidR="003C66EB" w:rsidRDefault="003C66EB">
            <w:pPr>
              <w:rPr>
                <w:rFonts w:ascii="宋体"/>
                <w:vanish/>
              </w:rPr>
            </w:pPr>
          </w:p>
        </w:tc>
        <w:tc>
          <w:tcPr>
            <w:tcW w:w="0" w:type="auto"/>
            <w:shd w:val="clear" w:color="auto" w:fill="auto"/>
          </w:tcPr>
          <w:p w14:paraId="5EA1F5C8" w14:textId="77777777" w:rsidR="003C66EB" w:rsidRDefault="003C66EB">
            <w:pPr>
              <w:rPr>
                <w:rFonts w:ascii="宋体"/>
                <w:vanish/>
              </w:rPr>
            </w:pPr>
          </w:p>
        </w:tc>
        <w:tc>
          <w:tcPr>
            <w:tcW w:w="0" w:type="auto"/>
            <w:shd w:val="clear" w:color="auto" w:fill="auto"/>
          </w:tcPr>
          <w:p w14:paraId="5EA1F5C9" w14:textId="77777777" w:rsidR="003C66EB" w:rsidRDefault="003C66EB">
            <w:pPr>
              <w:rPr>
                <w:rFonts w:ascii="宋体"/>
                <w:vanish/>
              </w:rPr>
            </w:pPr>
          </w:p>
        </w:tc>
        <w:tc>
          <w:tcPr>
            <w:tcW w:w="0" w:type="auto"/>
            <w:shd w:val="clear" w:color="auto" w:fill="auto"/>
          </w:tcPr>
          <w:p w14:paraId="5EA1F5CA" w14:textId="77777777" w:rsidR="003C66EB" w:rsidRDefault="003C66EB">
            <w:pPr>
              <w:rPr>
                <w:rFonts w:ascii="宋体"/>
                <w:vanish/>
              </w:rPr>
            </w:pPr>
          </w:p>
        </w:tc>
        <w:tc>
          <w:tcPr>
            <w:tcW w:w="0" w:type="auto"/>
            <w:shd w:val="clear" w:color="auto" w:fill="auto"/>
          </w:tcPr>
          <w:p w14:paraId="5EA1F5CB" w14:textId="77777777" w:rsidR="003C66EB" w:rsidRDefault="003C66EB">
            <w:pPr>
              <w:rPr>
                <w:rFonts w:ascii="宋体"/>
                <w:vanish/>
              </w:rPr>
            </w:pPr>
          </w:p>
        </w:tc>
        <w:tc>
          <w:tcPr>
            <w:tcW w:w="0" w:type="auto"/>
            <w:shd w:val="clear" w:color="auto" w:fill="auto"/>
          </w:tcPr>
          <w:p w14:paraId="5EA1F5CC" w14:textId="77777777" w:rsidR="003C66EB" w:rsidRDefault="003C66EB">
            <w:pPr>
              <w:rPr>
                <w:rFonts w:ascii="宋体"/>
                <w:vanish/>
              </w:rPr>
            </w:pPr>
          </w:p>
        </w:tc>
        <w:tc>
          <w:tcPr>
            <w:tcW w:w="0" w:type="auto"/>
            <w:shd w:val="clear" w:color="auto" w:fill="auto"/>
          </w:tcPr>
          <w:p w14:paraId="5EA1F5CD" w14:textId="77777777" w:rsidR="003C66EB" w:rsidRDefault="003C66EB">
            <w:pPr>
              <w:rPr>
                <w:rFonts w:ascii="宋体"/>
                <w:vanish/>
              </w:rPr>
            </w:pPr>
          </w:p>
        </w:tc>
        <w:tc>
          <w:tcPr>
            <w:tcW w:w="0" w:type="auto"/>
            <w:shd w:val="clear" w:color="auto" w:fill="auto"/>
          </w:tcPr>
          <w:p w14:paraId="5EA1F5CE" w14:textId="77777777" w:rsidR="003C66EB" w:rsidRDefault="003C66EB">
            <w:pPr>
              <w:rPr>
                <w:rFonts w:ascii="宋体"/>
                <w:vanish/>
              </w:rPr>
            </w:pPr>
          </w:p>
        </w:tc>
        <w:tc>
          <w:tcPr>
            <w:tcW w:w="0" w:type="auto"/>
            <w:shd w:val="clear" w:color="auto" w:fill="auto"/>
          </w:tcPr>
          <w:p w14:paraId="5EA1F5CF" w14:textId="77777777" w:rsidR="003C66EB" w:rsidRDefault="003C66EB">
            <w:pPr>
              <w:rPr>
                <w:rFonts w:ascii="宋体"/>
                <w:vanish/>
              </w:rPr>
            </w:pPr>
          </w:p>
        </w:tc>
        <w:tc>
          <w:tcPr>
            <w:tcW w:w="0" w:type="auto"/>
            <w:shd w:val="clear" w:color="auto" w:fill="auto"/>
          </w:tcPr>
          <w:p w14:paraId="5EA1F5D0" w14:textId="77777777" w:rsidR="003C66EB" w:rsidRDefault="003C66EB">
            <w:pPr>
              <w:rPr>
                <w:rFonts w:ascii="宋体"/>
                <w:vanish/>
              </w:rPr>
            </w:pPr>
          </w:p>
        </w:tc>
      </w:tr>
      <w:tr w:rsidR="003C66EB" w14:paraId="5EA1F5E5" w14:textId="77777777">
        <w:tc>
          <w:tcPr>
            <w:tcW w:w="0" w:type="auto"/>
            <w:gridSpan w:val="3"/>
            <w:shd w:val="clear" w:color="auto" w:fill="FFFFFF"/>
            <w:tcMar>
              <w:top w:w="40" w:type="dxa"/>
              <w:left w:w="20" w:type="dxa"/>
              <w:bottom w:w="40" w:type="dxa"/>
              <w:right w:w="20" w:type="dxa"/>
            </w:tcMar>
            <w:vAlign w:val="bottom"/>
          </w:tcPr>
          <w:p w14:paraId="5EA1F5D2" w14:textId="77777777" w:rsidR="003C66EB" w:rsidRDefault="00D96C4E">
            <w:pPr>
              <w:textAlignment w:val="bottom"/>
            </w:pPr>
            <w:r>
              <w:rPr>
                <w:rFonts w:ascii="Arial" w:eastAsia="宋体" w:hAnsi="Arial" w:cs="Arial"/>
                <w:color w:val="000000"/>
                <w:sz w:val="15"/>
                <w:szCs w:val="15"/>
              </w:rPr>
              <w:t>Equity</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1F5D3" w14:textId="77777777" w:rsidR="003C66EB" w:rsidRDefault="00D96C4E">
            <w:pPr>
              <w:jc w:val="right"/>
              <w:textAlignment w:val="bottom"/>
            </w:pPr>
            <w:r>
              <w:rPr>
                <w:rFonts w:ascii="Arial" w:eastAsia="宋体" w:hAnsi="Arial" w:cs="Arial"/>
                <w:b/>
                <w:bCs/>
                <w:color w:val="000000"/>
                <w:sz w:val="15"/>
                <w:szCs w:val="15"/>
              </w:rPr>
              <w:t>777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5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5D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5D6" w14:textId="77777777" w:rsidR="003C66EB" w:rsidRDefault="00D96C4E">
            <w:pPr>
              <w:jc w:val="right"/>
              <w:textAlignment w:val="bottom"/>
            </w:pPr>
            <w:r>
              <w:rPr>
                <w:rFonts w:ascii="Arial" w:eastAsia="宋体" w:hAnsi="Arial" w:cs="Arial"/>
                <w:color w:val="000000"/>
                <w:sz w:val="15"/>
                <w:szCs w:val="15"/>
              </w:rPr>
              <w:t>708 </w:t>
            </w:r>
          </w:p>
        </w:tc>
        <w:tc>
          <w:tcPr>
            <w:tcW w:w="0" w:type="auto"/>
            <w:shd w:val="clear" w:color="auto" w:fill="FFFFFF"/>
            <w:tcMar>
              <w:top w:w="40" w:type="dxa"/>
              <w:left w:w="0" w:type="dxa"/>
              <w:bottom w:w="40" w:type="dxa"/>
              <w:right w:w="20" w:type="dxa"/>
            </w:tcMar>
            <w:vAlign w:val="bottom"/>
          </w:tcPr>
          <w:p w14:paraId="5EA1F5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5D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5D9" w14:textId="77777777" w:rsidR="003C66EB" w:rsidRDefault="00D96C4E">
            <w:pPr>
              <w:jc w:val="right"/>
              <w:textAlignment w:val="bottom"/>
            </w:pPr>
            <w:r>
              <w:rPr>
                <w:rFonts w:ascii="Arial" w:eastAsia="宋体" w:hAnsi="Arial" w:cs="Arial"/>
                <w:color w:val="000000"/>
                <w:sz w:val="15"/>
                <w:szCs w:val="15"/>
              </w:rPr>
              <w:t>473 </w:t>
            </w:r>
          </w:p>
        </w:tc>
        <w:tc>
          <w:tcPr>
            <w:tcW w:w="0" w:type="auto"/>
            <w:shd w:val="clear" w:color="auto" w:fill="FFFFFF"/>
            <w:tcMar>
              <w:top w:w="40" w:type="dxa"/>
              <w:left w:w="0" w:type="dxa"/>
              <w:bottom w:w="40" w:type="dxa"/>
              <w:right w:w="20" w:type="dxa"/>
            </w:tcMar>
            <w:vAlign w:val="bottom"/>
          </w:tcPr>
          <w:p w14:paraId="5EA1F5DA" w14:textId="77777777" w:rsidR="003C66EB" w:rsidRDefault="003C66EB">
            <w:pPr>
              <w:jc w:val="right"/>
              <w:rPr>
                <w:rFonts w:ascii="宋体"/>
              </w:rPr>
            </w:pPr>
          </w:p>
        </w:tc>
        <w:tc>
          <w:tcPr>
            <w:tcW w:w="0" w:type="auto"/>
            <w:shd w:val="clear" w:color="auto" w:fill="auto"/>
          </w:tcPr>
          <w:p w14:paraId="5EA1F5DB" w14:textId="77777777" w:rsidR="003C66EB" w:rsidRDefault="003C66EB">
            <w:pPr>
              <w:rPr>
                <w:rFonts w:ascii="宋体"/>
                <w:vanish/>
              </w:rPr>
            </w:pPr>
          </w:p>
        </w:tc>
        <w:tc>
          <w:tcPr>
            <w:tcW w:w="0" w:type="auto"/>
            <w:shd w:val="clear" w:color="auto" w:fill="auto"/>
          </w:tcPr>
          <w:p w14:paraId="5EA1F5DC" w14:textId="77777777" w:rsidR="003C66EB" w:rsidRDefault="003C66EB">
            <w:pPr>
              <w:rPr>
                <w:rFonts w:ascii="宋体"/>
                <w:vanish/>
              </w:rPr>
            </w:pPr>
          </w:p>
        </w:tc>
        <w:tc>
          <w:tcPr>
            <w:tcW w:w="0" w:type="auto"/>
            <w:shd w:val="clear" w:color="auto" w:fill="auto"/>
          </w:tcPr>
          <w:p w14:paraId="5EA1F5DD" w14:textId="77777777" w:rsidR="003C66EB" w:rsidRDefault="003C66EB">
            <w:pPr>
              <w:rPr>
                <w:rFonts w:ascii="宋体"/>
                <w:vanish/>
              </w:rPr>
            </w:pPr>
          </w:p>
        </w:tc>
        <w:tc>
          <w:tcPr>
            <w:tcW w:w="0" w:type="auto"/>
            <w:shd w:val="clear" w:color="auto" w:fill="auto"/>
          </w:tcPr>
          <w:p w14:paraId="5EA1F5DE" w14:textId="77777777" w:rsidR="003C66EB" w:rsidRDefault="003C66EB">
            <w:pPr>
              <w:rPr>
                <w:rFonts w:ascii="宋体"/>
                <w:vanish/>
              </w:rPr>
            </w:pPr>
          </w:p>
        </w:tc>
        <w:tc>
          <w:tcPr>
            <w:tcW w:w="0" w:type="auto"/>
            <w:shd w:val="clear" w:color="auto" w:fill="auto"/>
          </w:tcPr>
          <w:p w14:paraId="5EA1F5DF" w14:textId="77777777" w:rsidR="003C66EB" w:rsidRDefault="003C66EB">
            <w:pPr>
              <w:rPr>
                <w:rFonts w:ascii="宋体"/>
                <w:vanish/>
              </w:rPr>
            </w:pPr>
          </w:p>
        </w:tc>
        <w:tc>
          <w:tcPr>
            <w:tcW w:w="0" w:type="auto"/>
            <w:shd w:val="clear" w:color="auto" w:fill="auto"/>
          </w:tcPr>
          <w:p w14:paraId="5EA1F5E0" w14:textId="77777777" w:rsidR="003C66EB" w:rsidRDefault="003C66EB">
            <w:pPr>
              <w:rPr>
                <w:rFonts w:ascii="宋体"/>
                <w:vanish/>
              </w:rPr>
            </w:pPr>
          </w:p>
        </w:tc>
        <w:tc>
          <w:tcPr>
            <w:tcW w:w="0" w:type="auto"/>
            <w:shd w:val="clear" w:color="auto" w:fill="auto"/>
          </w:tcPr>
          <w:p w14:paraId="5EA1F5E1" w14:textId="77777777" w:rsidR="003C66EB" w:rsidRDefault="003C66EB">
            <w:pPr>
              <w:rPr>
                <w:rFonts w:ascii="宋体"/>
                <w:vanish/>
              </w:rPr>
            </w:pPr>
          </w:p>
        </w:tc>
        <w:tc>
          <w:tcPr>
            <w:tcW w:w="0" w:type="auto"/>
            <w:shd w:val="clear" w:color="auto" w:fill="auto"/>
          </w:tcPr>
          <w:p w14:paraId="5EA1F5E2" w14:textId="77777777" w:rsidR="003C66EB" w:rsidRDefault="003C66EB">
            <w:pPr>
              <w:rPr>
                <w:rFonts w:ascii="宋体"/>
                <w:vanish/>
              </w:rPr>
            </w:pPr>
          </w:p>
        </w:tc>
        <w:tc>
          <w:tcPr>
            <w:tcW w:w="0" w:type="auto"/>
            <w:shd w:val="clear" w:color="auto" w:fill="auto"/>
          </w:tcPr>
          <w:p w14:paraId="5EA1F5E3" w14:textId="77777777" w:rsidR="003C66EB" w:rsidRDefault="003C66EB">
            <w:pPr>
              <w:rPr>
                <w:rFonts w:ascii="宋体"/>
                <w:vanish/>
              </w:rPr>
            </w:pPr>
          </w:p>
        </w:tc>
        <w:tc>
          <w:tcPr>
            <w:tcW w:w="0" w:type="auto"/>
            <w:shd w:val="clear" w:color="auto" w:fill="auto"/>
          </w:tcPr>
          <w:p w14:paraId="5EA1F5E4" w14:textId="77777777" w:rsidR="003C66EB" w:rsidRDefault="003C66EB">
            <w:pPr>
              <w:rPr>
                <w:rFonts w:ascii="宋体"/>
                <w:vanish/>
              </w:rPr>
            </w:pPr>
          </w:p>
        </w:tc>
      </w:tr>
      <w:tr w:rsidR="003C66EB" w14:paraId="5EA1F5F6" w14:textId="77777777">
        <w:trPr>
          <w:hidden/>
        </w:trPr>
        <w:tc>
          <w:tcPr>
            <w:tcW w:w="0" w:type="auto"/>
            <w:gridSpan w:val="3"/>
            <w:shd w:val="clear" w:color="auto" w:fill="auto"/>
          </w:tcPr>
          <w:p w14:paraId="5EA1F5E6" w14:textId="77777777" w:rsidR="003C66EB" w:rsidRDefault="003C66EB">
            <w:pPr>
              <w:rPr>
                <w:rFonts w:ascii="宋体"/>
                <w:vanish/>
              </w:rPr>
            </w:pPr>
          </w:p>
        </w:tc>
        <w:tc>
          <w:tcPr>
            <w:tcW w:w="0" w:type="auto"/>
            <w:gridSpan w:val="3"/>
            <w:shd w:val="clear" w:color="auto" w:fill="auto"/>
          </w:tcPr>
          <w:p w14:paraId="5EA1F5E7" w14:textId="77777777" w:rsidR="003C66EB" w:rsidRDefault="003C66EB">
            <w:pPr>
              <w:rPr>
                <w:rFonts w:ascii="宋体"/>
                <w:vanish/>
              </w:rPr>
            </w:pPr>
          </w:p>
        </w:tc>
        <w:tc>
          <w:tcPr>
            <w:tcW w:w="0" w:type="auto"/>
            <w:gridSpan w:val="3"/>
            <w:shd w:val="clear" w:color="auto" w:fill="auto"/>
          </w:tcPr>
          <w:p w14:paraId="5EA1F5E8" w14:textId="77777777" w:rsidR="003C66EB" w:rsidRDefault="003C66EB">
            <w:pPr>
              <w:rPr>
                <w:rFonts w:ascii="宋体"/>
                <w:vanish/>
              </w:rPr>
            </w:pPr>
          </w:p>
        </w:tc>
        <w:tc>
          <w:tcPr>
            <w:tcW w:w="0" w:type="auto"/>
            <w:gridSpan w:val="3"/>
            <w:shd w:val="clear" w:color="auto" w:fill="auto"/>
          </w:tcPr>
          <w:p w14:paraId="5EA1F5E9" w14:textId="77777777" w:rsidR="003C66EB" w:rsidRDefault="003C66EB">
            <w:pPr>
              <w:rPr>
                <w:rFonts w:ascii="宋体"/>
                <w:vanish/>
              </w:rPr>
            </w:pPr>
          </w:p>
        </w:tc>
        <w:tc>
          <w:tcPr>
            <w:tcW w:w="0" w:type="auto"/>
            <w:gridSpan w:val="3"/>
            <w:shd w:val="clear" w:color="auto" w:fill="auto"/>
          </w:tcPr>
          <w:p w14:paraId="5EA1F5EA" w14:textId="77777777" w:rsidR="003C66EB" w:rsidRDefault="003C66EB">
            <w:pPr>
              <w:rPr>
                <w:rFonts w:ascii="宋体"/>
                <w:vanish/>
              </w:rPr>
            </w:pPr>
          </w:p>
        </w:tc>
        <w:tc>
          <w:tcPr>
            <w:tcW w:w="0" w:type="auto"/>
            <w:gridSpan w:val="3"/>
            <w:shd w:val="clear" w:color="auto" w:fill="auto"/>
          </w:tcPr>
          <w:p w14:paraId="5EA1F5EB" w14:textId="77777777" w:rsidR="003C66EB" w:rsidRDefault="003C66EB">
            <w:pPr>
              <w:rPr>
                <w:rFonts w:ascii="宋体"/>
                <w:vanish/>
              </w:rPr>
            </w:pPr>
          </w:p>
        </w:tc>
        <w:tc>
          <w:tcPr>
            <w:tcW w:w="0" w:type="auto"/>
            <w:shd w:val="clear" w:color="auto" w:fill="auto"/>
          </w:tcPr>
          <w:p w14:paraId="5EA1F5EC" w14:textId="77777777" w:rsidR="003C66EB" w:rsidRDefault="003C66EB">
            <w:pPr>
              <w:rPr>
                <w:rFonts w:ascii="宋体"/>
                <w:vanish/>
              </w:rPr>
            </w:pPr>
          </w:p>
        </w:tc>
        <w:tc>
          <w:tcPr>
            <w:tcW w:w="0" w:type="auto"/>
            <w:shd w:val="clear" w:color="auto" w:fill="auto"/>
          </w:tcPr>
          <w:p w14:paraId="5EA1F5ED" w14:textId="77777777" w:rsidR="003C66EB" w:rsidRDefault="003C66EB">
            <w:pPr>
              <w:rPr>
                <w:rFonts w:ascii="宋体"/>
                <w:vanish/>
              </w:rPr>
            </w:pPr>
          </w:p>
        </w:tc>
        <w:tc>
          <w:tcPr>
            <w:tcW w:w="0" w:type="auto"/>
            <w:shd w:val="clear" w:color="auto" w:fill="auto"/>
          </w:tcPr>
          <w:p w14:paraId="5EA1F5EE" w14:textId="77777777" w:rsidR="003C66EB" w:rsidRDefault="003C66EB">
            <w:pPr>
              <w:rPr>
                <w:rFonts w:ascii="宋体"/>
                <w:vanish/>
              </w:rPr>
            </w:pPr>
          </w:p>
        </w:tc>
        <w:tc>
          <w:tcPr>
            <w:tcW w:w="0" w:type="auto"/>
            <w:shd w:val="clear" w:color="auto" w:fill="auto"/>
          </w:tcPr>
          <w:p w14:paraId="5EA1F5EF" w14:textId="77777777" w:rsidR="003C66EB" w:rsidRDefault="003C66EB">
            <w:pPr>
              <w:rPr>
                <w:rFonts w:ascii="宋体"/>
                <w:vanish/>
              </w:rPr>
            </w:pPr>
          </w:p>
        </w:tc>
        <w:tc>
          <w:tcPr>
            <w:tcW w:w="0" w:type="auto"/>
            <w:shd w:val="clear" w:color="auto" w:fill="auto"/>
          </w:tcPr>
          <w:p w14:paraId="5EA1F5F0" w14:textId="77777777" w:rsidR="003C66EB" w:rsidRDefault="003C66EB">
            <w:pPr>
              <w:rPr>
                <w:rFonts w:ascii="宋体"/>
                <w:vanish/>
              </w:rPr>
            </w:pPr>
          </w:p>
        </w:tc>
        <w:tc>
          <w:tcPr>
            <w:tcW w:w="0" w:type="auto"/>
            <w:shd w:val="clear" w:color="auto" w:fill="auto"/>
          </w:tcPr>
          <w:p w14:paraId="5EA1F5F1" w14:textId="77777777" w:rsidR="003C66EB" w:rsidRDefault="003C66EB">
            <w:pPr>
              <w:rPr>
                <w:rFonts w:ascii="宋体"/>
                <w:vanish/>
              </w:rPr>
            </w:pPr>
          </w:p>
        </w:tc>
        <w:tc>
          <w:tcPr>
            <w:tcW w:w="0" w:type="auto"/>
            <w:shd w:val="clear" w:color="auto" w:fill="auto"/>
          </w:tcPr>
          <w:p w14:paraId="5EA1F5F2" w14:textId="77777777" w:rsidR="003C66EB" w:rsidRDefault="003C66EB">
            <w:pPr>
              <w:rPr>
                <w:rFonts w:ascii="宋体"/>
                <w:vanish/>
              </w:rPr>
            </w:pPr>
          </w:p>
        </w:tc>
        <w:tc>
          <w:tcPr>
            <w:tcW w:w="0" w:type="auto"/>
            <w:shd w:val="clear" w:color="auto" w:fill="auto"/>
          </w:tcPr>
          <w:p w14:paraId="5EA1F5F3" w14:textId="77777777" w:rsidR="003C66EB" w:rsidRDefault="003C66EB">
            <w:pPr>
              <w:rPr>
                <w:rFonts w:ascii="宋体"/>
                <w:vanish/>
              </w:rPr>
            </w:pPr>
          </w:p>
        </w:tc>
        <w:tc>
          <w:tcPr>
            <w:tcW w:w="0" w:type="auto"/>
            <w:shd w:val="clear" w:color="auto" w:fill="auto"/>
          </w:tcPr>
          <w:p w14:paraId="5EA1F5F4" w14:textId="77777777" w:rsidR="003C66EB" w:rsidRDefault="003C66EB">
            <w:pPr>
              <w:rPr>
                <w:rFonts w:ascii="宋体"/>
                <w:vanish/>
              </w:rPr>
            </w:pPr>
          </w:p>
        </w:tc>
        <w:tc>
          <w:tcPr>
            <w:tcW w:w="0" w:type="auto"/>
            <w:shd w:val="clear" w:color="auto" w:fill="auto"/>
          </w:tcPr>
          <w:p w14:paraId="5EA1F5F5" w14:textId="77777777" w:rsidR="003C66EB" w:rsidRDefault="003C66EB">
            <w:pPr>
              <w:rPr>
                <w:rFonts w:ascii="宋体"/>
                <w:vanish/>
              </w:rPr>
            </w:pPr>
          </w:p>
        </w:tc>
      </w:tr>
      <w:tr w:rsidR="003C66EB" w14:paraId="5EA1F60A" w14:textId="77777777">
        <w:tc>
          <w:tcPr>
            <w:tcW w:w="0" w:type="auto"/>
            <w:gridSpan w:val="3"/>
            <w:shd w:val="clear" w:color="auto" w:fill="CCEEFF"/>
            <w:tcMar>
              <w:top w:w="40" w:type="dxa"/>
              <w:left w:w="20" w:type="dxa"/>
              <w:bottom w:w="40" w:type="dxa"/>
              <w:right w:w="20" w:type="dxa"/>
            </w:tcMar>
            <w:vAlign w:val="bottom"/>
          </w:tcPr>
          <w:p w14:paraId="5EA1F5F7" w14:textId="77777777" w:rsidR="003C66EB" w:rsidRDefault="00D96C4E">
            <w:pPr>
              <w:textAlignment w:val="bottom"/>
            </w:pPr>
            <w:r>
              <w:rPr>
                <w:rFonts w:ascii="Arial" w:eastAsia="宋体" w:hAnsi="Arial" w:cs="Arial"/>
                <w:color w:val="000000"/>
                <w:sz w:val="15"/>
                <w:szCs w:val="15"/>
              </w:rPr>
              <w:t>Fixed-Income</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EA1F5F8" w14:textId="77777777" w:rsidR="003C66EB" w:rsidRDefault="00D96C4E">
            <w:pPr>
              <w:jc w:val="right"/>
              <w:textAlignment w:val="bottom"/>
            </w:pPr>
            <w:r>
              <w:rPr>
                <w:rFonts w:ascii="Arial" w:eastAsia="宋体" w:hAnsi="Arial" w:cs="Arial"/>
                <w:b/>
                <w:bCs/>
                <w:color w:val="000000"/>
                <w:sz w:val="15"/>
                <w:szCs w:val="15"/>
              </w:rPr>
              <w:t>122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5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F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5FB" w14:textId="77777777" w:rsidR="003C66EB" w:rsidRDefault="00D96C4E">
            <w:pPr>
              <w:jc w:val="right"/>
              <w:textAlignment w:val="bottom"/>
            </w:pPr>
            <w:r>
              <w:rPr>
                <w:rFonts w:ascii="Arial" w:eastAsia="宋体" w:hAnsi="Arial" w:cs="Arial"/>
                <w:color w:val="000000"/>
                <w:sz w:val="15"/>
                <w:szCs w:val="15"/>
              </w:rPr>
              <w:t>115 </w:t>
            </w:r>
          </w:p>
        </w:tc>
        <w:tc>
          <w:tcPr>
            <w:tcW w:w="0" w:type="auto"/>
            <w:shd w:val="clear" w:color="auto" w:fill="CCEEFF"/>
            <w:tcMar>
              <w:top w:w="40" w:type="dxa"/>
              <w:left w:w="0" w:type="dxa"/>
              <w:bottom w:w="40" w:type="dxa"/>
              <w:right w:w="20" w:type="dxa"/>
            </w:tcMar>
            <w:vAlign w:val="bottom"/>
          </w:tcPr>
          <w:p w14:paraId="5EA1F5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5F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5FE" w14:textId="77777777" w:rsidR="003C66EB" w:rsidRDefault="00D96C4E">
            <w:pPr>
              <w:jc w:val="right"/>
              <w:textAlignment w:val="bottom"/>
            </w:pPr>
            <w:r>
              <w:rPr>
                <w:rFonts w:ascii="Arial" w:eastAsia="宋体" w:hAnsi="Arial" w:cs="Arial"/>
                <w:color w:val="000000"/>
                <w:sz w:val="15"/>
                <w:szCs w:val="15"/>
              </w:rPr>
              <w:t>98 </w:t>
            </w:r>
          </w:p>
        </w:tc>
        <w:tc>
          <w:tcPr>
            <w:tcW w:w="0" w:type="auto"/>
            <w:shd w:val="clear" w:color="auto" w:fill="CCEEFF"/>
            <w:tcMar>
              <w:top w:w="40" w:type="dxa"/>
              <w:left w:w="0" w:type="dxa"/>
              <w:bottom w:w="40" w:type="dxa"/>
              <w:right w:w="20" w:type="dxa"/>
            </w:tcMar>
            <w:vAlign w:val="bottom"/>
          </w:tcPr>
          <w:p w14:paraId="5EA1F5FF" w14:textId="77777777" w:rsidR="003C66EB" w:rsidRDefault="003C66EB">
            <w:pPr>
              <w:jc w:val="right"/>
              <w:rPr>
                <w:rFonts w:ascii="宋体"/>
              </w:rPr>
            </w:pPr>
          </w:p>
        </w:tc>
        <w:tc>
          <w:tcPr>
            <w:tcW w:w="0" w:type="auto"/>
            <w:shd w:val="clear" w:color="auto" w:fill="auto"/>
          </w:tcPr>
          <w:p w14:paraId="5EA1F600" w14:textId="77777777" w:rsidR="003C66EB" w:rsidRDefault="003C66EB">
            <w:pPr>
              <w:rPr>
                <w:rFonts w:ascii="宋体"/>
                <w:vanish/>
              </w:rPr>
            </w:pPr>
          </w:p>
        </w:tc>
        <w:tc>
          <w:tcPr>
            <w:tcW w:w="0" w:type="auto"/>
            <w:shd w:val="clear" w:color="auto" w:fill="auto"/>
          </w:tcPr>
          <w:p w14:paraId="5EA1F601" w14:textId="77777777" w:rsidR="003C66EB" w:rsidRDefault="003C66EB">
            <w:pPr>
              <w:rPr>
                <w:rFonts w:ascii="宋体"/>
                <w:vanish/>
              </w:rPr>
            </w:pPr>
          </w:p>
        </w:tc>
        <w:tc>
          <w:tcPr>
            <w:tcW w:w="0" w:type="auto"/>
            <w:shd w:val="clear" w:color="auto" w:fill="auto"/>
          </w:tcPr>
          <w:p w14:paraId="5EA1F602" w14:textId="77777777" w:rsidR="003C66EB" w:rsidRDefault="003C66EB">
            <w:pPr>
              <w:rPr>
                <w:rFonts w:ascii="宋体"/>
                <w:vanish/>
              </w:rPr>
            </w:pPr>
          </w:p>
        </w:tc>
        <w:tc>
          <w:tcPr>
            <w:tcW w:w="0" w:type="auto"/>
            <w:shd w:val="clear" w:color="auto" w:fill="auto"/>
          </w:tcPr>
          <w:p w14:paraId="5EA1F603" w14:textId="77777777" w:rsidR="003C66EB" w:rsidRDefault="003C66EB">
            <w:pPr>
              <w:rPr>
                <w:rFonts w:ascii="宋体"/>
                <w:vanish/>
              </w:rPr>
            </w:pPr>
          </w:p>
        </w:tc>
        <w:tc>
          <w:tcPr>
            <w:tcW w:w="0" w:type="auto"/>
            <w:shd w:val="clear" w:color="auto" w:fill="auto"/>
          </w:tcPr>
          <w:p w14:paraId="5EA1F604" w14:textId="77777777" w:rsidR="003C66EB" w:rsidRDefault="003C66EB">
            <w:pPr>
              <w:rPr>
                <w:rFonts w:ascii="宋体"/>
                <w:vanish/>
              </w:rPr>
            </w:pPr>
          </w:p>
        </w:tc>
        <w:tc>
          <w:tcPr>
            <w:tcW w:w="0" w:type="auto"/>
            <w:shd w:val="clear" w:color="auto" w:fill="auto"/>
          </w:tcPr>
          <w:p w14:paraId="5EA1F605" w14:textId="77777777" w:rsidR="003C66EB" w:rsidRDefault="003C66EB">
            <w:pPr>
              <w:rPr>
                <w:rFonts w:ascii="宋体"/>
                <w:vanish/>
              </w:rPr>
            </w:pPr>
          </w:p>
        </w:tc>
        <w:tc>
          <w:tcPr>
            <w:tcW w:w="0" w:type="auto"/>
            <w:shd w:val="clear" w:color="auto" w:fill="auto"/>
          </w:tcPr>
          <w:p w14:paraId="5EA1F606" w14:textId="77777777" w:rsidR="003C66EB" w:rsidRDefault="003C66EB">
            <w:pPr>
              <w:rPr>
                <w:rFonts w:ascii="宋体"/>
                <w:vanish/>
              </w:rPr>
            </w:pPr>
          </w:p>
        </w:tc>
        <w:tc>
          <w:tcPr>
            <w:tcW w:w="0" w:type="auto"/>
            <w:shd w:val="clear" w:color="auto" w:fill="auto"/>
          </w:tcPr>
          <w:p w14:paraId="5EA1F607" w14:textId="77777777" w:rsidR="003C66EB" w:rsidRDefault="003C66EB">
            <w:pPr>
              <w:rPr>
                <w:rFonts w:ascii="宋体"/>
                <w:vanish/>
              </w:rPr>
            </w:pPr>
          </w:p>
        </w:tc>
        <w:tc>
          <w:tcPr>
            <w:tcW w:w="0" w:type="auto"/>
            <w:shd w:val="clear" w:color="auto" w:fill="auto"/>
          </w:tcPr>
          <w:p w14:paraId="5EA1F608" w14:textId="77777777" w:rsidR="003C66EB" w:rsidRDefault="003C66EB">
            <w:pPr>
              <w:rPr>
                <w:rFonts w:ascii="宋体"/>
                <w:vanish/>
              </w:rPr>
            </w:pPr>
          </w:p>
        </w:tc>
        <w:tc>
          <w:tcPr>
            <w:tcW w:w="0" w:type="auto"/>
            <w:shd w:val="clear" w:color="auto" w:fill="auto"/>
          </w:tcPr>
          <w:p w14:paraId="5EA1F609" w14:textId="77777777" w:rsidR="003C66EB" w:rsidRDefault="003C66EB">
            <w:pPr>
              <w:rPr>
                <w:rFonts w:ascii="宋体"/>
                <w:vanish/>
              </w:rPr>
            </w:pPr>
          </w:p>
        </w:tc>
      </w:tr>
      <w:tr w:rsidR="003C66EB" w14:paraId="5EA1F621" w14:textId="77777777">
        <w:tc>
          <w:tcPr>
            <w:tcW w:w="0" w:type="auto"/>
            <w:gridSpan w:val="3"/>
            <w:shd w:val="clear" w:color="auto" w:fill="FFFFFF"/>
            <w:tcMar>
              <w:top w:w="40" w:type="dxa"/>
              <w:left w:w="20" w:type="dxa"/>
              <w:bottom w:w="40" w:type="dxa"/>
              <w:right w:w="20" w:type="dxa"/>
            </w:tcMar>
            <w:vAlign w:val="bottom"/>
          </w:tcPr>
          <w:p w14:paraId="5EA1F60B" w14:textId="77777777" w:rsidR="003C66EB" w:rsidRDefault="00D96C4E">
            <w:pPr>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60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60D" w14:textId="77777777" w:rsidR="003C66EB" w:rsidRDefault="00D96C4E">
            <w:pPr>
              <w:jc w:val="right"/>
              <w:textAlignment w:val="bottom"/>
            </w:pPr>
            <w:r>
              <w:rPr>
                <w:rFonts w:ascii="Arial" w:eastAsia="宋体" w:hAnsi="Arial" w:cs="Arial"/>
                <w:b/>
                <w:bCs/>
                <w:color w:val="000000"/>
                <w:sz w:val="15"/>
                <w:szCs w:val="15"/>
              </w:rPr>
              <w:t>968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60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60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610"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611" w14:textId="77777777" w:rsidR="003C66EB" w:rsidRDefault="00D96C4E">
            <w:pPr>
              <w:jc w:val="right"/>
              <w:textAlignment w:val="bottom"/>
            </w:pPr>
            <w:r>
              <w:rPr>
                <w:rFonts w:ascii="Arial" w:eastAsia="宋体" w:hAnsi="Arial" w:cs="Arial"/>
                <w:color w:val="000000"/>
                <w:sz w:val="15"/>
                <w:szCs w:val="15"/>
              </w:rPr>
              <w:t>906 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61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61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614"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615" w14:textId="77777777" w:rsidR="003C66EB" w:rsidRDefault="00D96C4E">
            <w:pPr>
              <w:jc w:val="right"/>
              <w:textAlignment w:val="bottom"/>
            </w:pPr>
            <w:r>
              <w:rPr>
                <w:rFonts w:ascii="Arial" w:eastAsia="宋体" w:hAnsi="Arial" w:cs="Arial"/>
                <w:color w:val="000000"/>
                <w:sz w:val="15"/>
                <w:szCs w:val="15"/>
              </w:rPr>
              <w:t>629 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616" w14:textId="77777777" w:rsidR="003C66EB" w:rsidRDefault="003C66EB">
            <w:pPr>
              <w:jc w:val="right"/>
              <w:rPr>
                <w:rFonts w:ascii="宋体"/>
              </w:rPr>
            </w:pPr>
          </w:p>
        </w:tc>
        <w:tc>
          <w:tcPr>
            <w:tcW w:w="0" w:type="auto"/>
            <w:shd w:val="clear" w:color="auto" w:fill="auto"/>
          </w:tcPr>
          <w:p w14:paraId="5EA1F617" w14:textId="77777777" w:rsidR="003C66EB" w:rsidRDefault="003C66EB">
            <w:pPr>
              <w:rPr>
                <w:rFonts w:ascii="宋体"/>
                <w:vanish/>
              </w:rPr>
            </w:pPr>
          </w:p>
        </w:tc>
        <w:tc>
          <w:tcPr>
            <w:tcW w:w="0" w:type="auto"/>
            <w:shd w:val="clear" w:color="auto" w:fill="auto"/>
          </w:tcPr>
          <w:p w14:paraId="5EA1F618" w14:textId="77777777" w:rsidR="003C66EB" w:rsidRDefault="003C66EB">
            <w:pPr>
              <w:rPr>
                <w:rFonts w:ascii="宋体"/>
                <w:vanish/>
              </w:rPr>
            </w:pPr>
          </w:p>
        </w:tc>
        <w:tc>
          <w:tcPr>
            <w:tcW w:w="0" w:type="auto"/>
            <w:shd w:val="clear" w:color="auto" w:fill="auto"/>
          </w:tcPr>
          <w:p w14:paraId="5EA1F619" w14:textId="77777777" w:rsidR="003C66EB" w:rsidRDefault="003C66EB">
            <w:pPr>
              <w:rPr>
                <w:rFonts w:ascii="宋体"/>
                <w:vanish/>
              </w:rPr>
            </w:pPr>
          </w:p>
        </w:tc>
        <w:tc>
          <w:tcPr>
            <w:tcW w:w="0" w:type="auto"/>
            <w:shd w:val="clear" w:color="auto" w:fill="auto"/>
          </w:tcPr>
          <w:p w14:paraId="5EA1F61A" w14:textId="77777777" w:rsidR="003C66EB" w:rsidRDefault="003C66EB">
            <w:pPr>
              <w:rPr>
                <w:rFonts w:ascii="宋体"/>
                <w:vanish/>
              </w:rPr>
            </w:pPr>
          </w:p>
        </w:tc>
        <w:tc>
          <w:tcPr>
            <w:tcW w:w="0" w:type="auto"/>
            <w:shd w:val="clear" w:color="auto" w:fill="auto"/>
          </w:tcPr>
          <w:p w14:paraId="5EA1F61B" w14:textId="77777777" w:rsidR="003C66EB" w:rsidRDefault="003C66EB">
            <w:pPr>
              <w:rPr>
                <w:rFonts w:ascii="宋体"/>
                <w:vanish/>
              </w:rPr>
            </w:pPr>
          </w:p>
        </w:tc>
        <w:tc>
          <w:tcPr>
            <w:tcW w:w="0" w:type="auto"/>
            <w:shd w:val="clear" w:color="auto" w:fill="auto"/>
          </w:tcPr>
          <w:p w14:paraId="5EA1F61C" w14:textId="77777777" w:rsidR="003C66EB" w:rsidRDefault="003C66EB">
            <w:pPr>
              <w:rPr>
                <w:rFonts w:ascii="宋体"/>
                <w:vanish/>
              </w:rPr>
            </w:pPr>
          </w:p>
        </w:tc>
        <w:tc>
          <w:tcPr>
            <w:tcW w:w="0" w:type="auto"/>
            <w:shd w:val="clear" w:color="auto" w:fill="auto"/>
          </w:tcPr>
          <w:p w14:paraId="5EA1F61D" w14:textId="77777777" w:rsidR="003C66EB" w:rsidRDefault="003C66EB">
            <w:pPr>
              <w:rPr>
                <w:rFonts w:ascii="宋体"/>
                <w:vanish/>
              </w:rPr>
            </w:pPr>
          </w:p>
        </w:tc>
        <w:tc>
          <w:tcPr>
            <w:tcW w:w="0" w:type="auto"/>
            <w:shd w:val="clear" w:color="auto" w:fill="auto"/>
          </w:tcPr>
          <w:p w14:paraId="5EA1F61E" w14:textId="77777777" w:rsidR="003C66EB" w:rsidRDefault="003C66EB">
            <w:pPr>
              <w:rPr>
                <w:rFonts w:ascii="宋体"/>
                <w:vanish/>
              </w:rPr>
            </w:pPr>
          </w:p>
        </w:tc>
        <w:tc>
          <w:tcPr>
            <w:tcW w:w="0" w:type="auto"/>
            <w:shd w:val="clear" w:color="auto" w:fill="auto"/>
          </w:tcPr>
          <w:p w14:paraId="5EA1F61F" w14:textId="77777777" w:rsidR="003C66EB" w:rsidRDefault="003C66EB">
            <w:pPr>
              <w:rPr>
                <w:rFonts w:ascii="宋体"/>
                <w:vanish/>
              </w:rPr>
            </w:pPr>
          </w:p>
        </w:tc>
        <w:tc>
          <w:tcPr>
            <w:tcW w:w="0" w:type="auto"/>
            <w:shd w:val="clear" w:color="auto" w:fill="auto"/>
          </w:tcPr>
          <w:p w14:paraId="5EA1F620" w14:textId="77777777" w:rsidR="003C66EB" w:rsidRDefault="003C66EB">
            <w:pPr>
              <w:rPr>
                <w:rFonts w:ascii="宋体"/>
                <w:vanish/>
              </w:rPr>
            </w:pPr>
          </w:p>
        </w:tc>
      </w:tr>
    </w:tbl>
    <w:p w14:paraId="5EA1F622"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F629" w14:textId="77777777">
        <w:tc>
          <w:tcPr>
            <w:tcW w:w="50" w:type="pct"/>
            <w:shd w:val="clear" w:color="auto" w:fill="auto"/>
          </w:tcPr>
          <w:p w14:paraId="5EA1F623" w14:textId="77777777" w:rsidR="003C66EB" w:rsidRDefault="003C66EB">
            <w:pPr>
              <w:rPr>
                <w:rFonts w:ascii="宋体"/>
              </w:rPr>
            </w:pPr>
          </w:p>
        </w:tc>
        <w:tc>
          <w:tcPr>
            <w:tcW w:w="1348" w:type="pct"/>
            <w:shd w:val="clear" w:color="auto" w:fill="auto"/>
          </w:tcPr>
          <w:p w14:paraId="5EA1F624" w14:textId="77777777" w:rsidR="003C66EB" w:rsidRDefault="003C66EB">
            <w:pPr>
              <w:rPr>
                <w:rFonts w:ascii="宋体"/>
              </w:rPr>
            </w:pPr>
          </w:p>
        </w:tc>
        <w:tc>
          <w:tcPr>
            <w:tcW w:w="5" w:type="pct"/>
            <w:shd w:val="clear" w:color="auto" w:fill="auto"/>
          </w:tcPr>
          <w:p w14:paraId="5EA1F625" w14:textId="77777777" w:rsidR="003C66EB" w:rsidRDefault="003C66EB">
            <w:pPr>
              <w:rPr>
                <w:rFonts w:ascii="宋体"/>
              </w:rPr>
            </w:pPr>
          </w:p>
        </w:tc>
        <w:tc>
          <w:tcPr>
            <w:tcW w:w="50" w:type="pct"/>
            <w:shd w:val="clear" w:color="auto" w:fill="auto"/>
          </w:tcPr>
          <w:p w14:paraId="5EA1F626" w14:textId="77777777" w:rsidR="003C66EB" w:rsidRDefault="003C66EB">
            <w:pPr>
              <w:rPr>
                <w:rFonts w:ascii="宋体"/>
              </w:rPr>
            </w:pPr>
          </w:p>
        </w:tc>
        <w:tc>
          <w:tcPr>
            <w:tcW w:w="3541" w:type="pct"/>
            <w:shd w:val="clear" w:color="auto" w:fill="auto"/>
          </w:tcPr>
          <w:p w14:paraId="5EA1F627" w14:textId="77777777" w:rsidR="003C66EB" w:rsidRDefault="003C66EB">
            <w:pPr>
              <w:rPr>
                <w:rFonts w:ascii="宋体"/>
              </w:rPr>
            </w:pPr>
          </w:p>
        </w:tc>
        <w:tc>
          <w:tcPr>
            <w:tcW w:w="5" w:type="pct"/>
            <w:shd w:val="clear" w:color="auto" w:fill="auto"/>
          </w:tcPr>
          <w:p w14:paraId="5EA1F628" w14:textId="77777777" w:rsidR="003C66EB" w:rsidRDefault="003C66EB">
            <w:pPr>
              <w:rPr>
                <w:rFonts w:ascii="宋体"/>
              </w:rPr>
            </w:pPr>
          </w:p>
        </w:tc>
      </w:tr>
      <w:tr w:rsidR="003C66EB" w14:paraId="5EA1F62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62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62B" w14:textId="77777777" w:rsidR="003C66EB" w:rsidRDefault="003C66EB">
            <w:pPr>
              <w:rPr>
                <w:rFonts w:ascii="宋体"/>
              </w:rPr>
            </w:pPr>
          </w:p>
        </w:tc>
      </w:tr>
    </w:tbl>
    <w:p w14:paraId="5EA1F62D" w14:textId="77777777" w:rsidR="003C66EB" w:rsidRDefault="00D96C4E">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ETFs are a component of AUM presented in the preceding table.</w:t>
      </w:r>
    </w:p>
    <w:p w14:paraId="5EA1F62E" w14:textId="77777777" w:rsidR="003C66EB" w:rsidRDefault="00D96C4E">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Includes real estate investment trusts, currency and </w:t>
      </w:r>
      <w:r>
        <w:rPr>
          <w:rFonts w:ascii="Arial" w:eastAsia="宋体" w:hAnsi="Arial" w:cs="Arial"/>
          <w:color w:val="000000"/>
          <w:sz w:val="13"/>
          <w:szCs w:val="13"/>
        </w:rPr>
        <w:t>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5EA1F62F" w14:textId="77777777" w:rsidR="003C66EB" w:rsidRDefault="00D96C4E">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The implementation of an improved internal data m</w:t>
      </w:r>
      <w:r>
        <w:rPr>
          <w:rFonts w:ascii="Arial" w:eastAsia="宋体" w:hAnsi="Arial" w:cs="Arial"/>
          <w:color w:val="000000"/>
          <w:sz w:val="13"/>
          <w:szCs w:val="13"/>
        </w:rPr>
        <w:t xml:space="preserve">anagement system for product level data in the first quarter of 2021 resulted in some AUM reclassifications between the categories presented for prior periods to align with the current presentation. There was no impact to the total level of reported AUM. </w:t>
      </w:r>
    </w:p>
    <w:tbl>
      <w:tblPr>
        <w:tblW w:w="5000" w:type="pct"/>
        <w:tblCellMar>
          <w:top w:w="15" w:type="dxa"/>
          <w:left w:w="15" w:type="dxa"/>
          <w:bottom w:w="15" w:type="dxa"/>
          <w:right w:w="15" w:type="dxa"/>
        </w:tblCellMar>
        <w:tblLook w:val="04A0" w:firstRow="1" w:lastRow="0" w:firstColumn="1" w:lastColumn="0" w:noHBand="0" w:noVBand="1"/>
      </w:tblPr>
      <w:tblGrid>
        <w:gridCol w:w="38"/>
        <w:gridCol w:w="3104"/>
        <w:gridCol w:w="36"/>
        <w:gridCol w:w="104"/>
        <w:gridCol w:w="1434"/>
        <w:gridCol w:w="36"/>
        <w:gridCol w:w="36"/>
        <w:gridCol w:w="36"/>
        <w:gridCol w:w="36"/>
        <w:gridCol w:w="105"/>
        <w:gridCol w:w="1399"/>
        <w:gridCol w:w="37"/>
        <w:gridCol w:w="36"/>
        <w:gridCol w:w="36"/>
        <w:gridCol w:w="36"/>
        <w:gridCol w:w="104"/>
        <w:gridCol w:w="1399"/>
        <w:gridCol w:w="36"/>
        <w:gridCol w:w="36"/>
        <w:gridCol w:w="36"/>
        <w:gridCol w:w="36"/>
        <w:gridCol w:w="36"/>
        <w:gridCol w:w="36"/>
        <w:gridCol w:w="36"/>
        <w:gridCol w:w="36"/>
        <w:gridCol w:w="36"/>
      </w:tblGrid>
      <w:tr w:rsidR="003C66EB" w14:paraId="5EA1F64A" w14:textId="77777777">
        <w:tc>
          <w:tcPr>
            <w:tcW w:w="50" w:type="pct"/>
            <w:shd w:val="clear" w:color="auto" w:fill="auto"/>
          </w:tcPr>
          <w:p w14:paraId="5EA1F630" w14:textId="77777777" w:rsidR="003C66EB" w:rsidRDefault="003C66EB">
            <w:pPr>
              <w:rPr>
                <w:rFonts w:ascii="宋体"/>
              </w:rPr>
            </w:pPr>
          </w:p>
        </w:tc>
        <w:tc>
          <w:tcPr>
            <w:tcW w:w="1955" w:type="pct"/>
            <w:shd w:val="clear" w:color="auto" w:fill="auto"/>
          </w:tcPr>
          <w:p w14:paraId="5EA1F631" w14:textId="77777777" w:rsidR="003C66EB" w:rsidRDefault="003C66EB">
            <w:pPr>
              <w:rPr>
                <w:rFonts w:ascii="宋体"/>
              </w:rPr>
            </w:pPr>
          </w:p>
        </w:tc>
        <w:tc>
          <w:tcPr>
            <w:tcW w:w="5" w:type="pct"/>
            <w:shd w:val="clear" w:color="auto" w:fill="auto"/>
          </w:tcPr>
          <w:p w14:paraId="5EA1F632" w14:textId="77777777" w:rsidR="003C66EB" w:rsidRDefault="003C66EB">
            <w:pPr>
              <w:rPr>
                <w:rFonts w:ascii="宋体"/>
              </w:rPr>
            </w:pPr>
          </w:p>
        </w:tc>
        <w:tc>
          <w:tcPr>
            <w:tcW w:w="50" w:type="pct"/>
            <w:shd w:val="clear" w:color="auto" w:fill="auto"/>
          </w:tcPr>
          <w:p w14:paraId="5EA1F633" w14:textId="77777777" w:rsidR="003C66EB" w:rsidRDefault="003C66EB">
            <w:pPr>
              <w:rPr>
                <w:rFonts w:ascii="宋体"/>
              </w:rPr>
            </w:pPr>
          </w:p>
        </w:tc>
        <w:tc>
          <w:tcPr>
            <w:tcW w:w="917" w:type="pct"/>
            <w:shd w:val="clear" w:color="auto" w:fill="auto"/>
          </w:tcPr>
          <w:p w14:paraId="5EA1F634" w14:textId="77777777" w:rsidR="003C66EB" w:rsidRDefault="003C66EB">
            <w:pPr>
              <w:rPr>
                <w:rFonts w:ascii="宋体"/>
              </w:rPr>
            </w:pPr>
          </w:p>
        </w:tc>
        <w:tc>
          <w:tcPr>
            <w:tcW w:w="5" w:type="pct"/>
            <w:shd w:val="clear" w:color="auto" w:fill="auto"/>
          </w:tcPr>
          <w:p w14:paraId="5EA1F635" w14:textId="77777777" w:rsidR="003C66EB" w:rsidRDefault="003C66EB">
            <w:pPr>
              <w:rPr>
                <w:rFonts w:ascii="宋体"/>
              </w:rPr>
            </w:pPr>
          </w:p>
        </w:tc>
        <w:tc>
          <w:tcPr>
            <w:tcW w:w="5" w:type="pct"/>
            <w:shd w:val="clear" w:color="auto" w:fill="auto"/>
          </w:tcPr>
          <w:p w14:paraId="5EA1F636" w14:textId="77777777" w:rsidR="003C66EB" w:rsidRDefault="003C66EB">
            <w:pPr>
              <w:rPr>
                <w:rFonts w:ascii="宋体"/>
              </w:rPr>
            </w:pPr>
          </w:p>
        </w:tc>
        <w:tc>
          <w:tcPr>
            <w:tcW w:w="26" w:type="pct"/>
            <w:shd w:val="clear" w:color="auto" w:fill="auto"/>
          </w:tcPr>
          <w:p w14:paraId="5EA1F637" w14:textId="77777777" w:rsidR="003C66EB" w:rsidRDefault="003C66EB">
            <w:pPr>
              <w:rPr>
                <w:rFonts w:ascii="宋体"/>
              </w:rPr>
            </w:pPr>
          </w:p>
        </w:tc>
        <w:tc>
          <w:tcPr>
            <w:tcW w:w="5" w:type="pct"/>
            <w:shd w:val="clear" w:color="auto" w:fill="auto"/>
          </w:tcPr>
          <w:p w14:paraId="5EA1F638" w14:textId="77777777" w:rsidR="003C66EB" w:rsidRDefault="003C66EB">
            <w:pPr>
              <w:rPr>
                <w:rFonts w:ascii="宋体"/>
              </w:rPr>
            </w:pPr>
          </w:p>
        </w:tc>
        <w:tc>
          <w:tcPr>
            <w:tcW w:w="50" w:type="pct"/>
            <w:shd w:val="clear" w:color="auto" w:fill="auto"/>
          </w:tcPr>
          <w:p w14:paraId="5EA1F639" w14:textId="77777777" w:rsidR="003C66EB" w:rsidRDefault="003C66EB">
            <w:pPr>
              <w:rPr>
                <w:rFonts w:ascii="宋体"/>
              </w:rPr>
            </w:pPr>
          </w:p>
        </w:tc>
        <w:tc>
          <w:tcPr>
            <w:tcW w:w="917" w:type="pct"/>
            <w:shd w:val="clear" w:color="auto" w:fill="auto"/>
          </w:tcPr>
          <w:p w14:paraId="5EA1F63A" w14:textId="77777777" w:rsidR="003C66EB" w:rsidRDefault="003C66EB">
            <w:pPr>
              <w:rPr>
                <w:rFonts w:ascii="宋体"/>
              </w:rPr>
            </w:pPr>
          </w:p>
        </w:tc>
        <w:tc>
          <w:tcPr>
            <w:tcW w:w="5" w:type="pct"/>
            <w:shd w:val="clear" w:color="auto" w:fill="auto"/>
          </w:tcPr>
          <w:p w14:paraId="5EA1F63B" w14:textId="77777777" w:rsidR="003C66EB" w:rsidRDefault="003C66EB">
            <w:pPr>
              <w:rPr>
                <w:rFonts w:ascii="宋体"/>
              </w:rPr>
            </w:pPr>
          </w:p>
        </w:tc>
        <w:tc>
          <w:tcPr>
            <w:tcW w:w="5" w:type="pct"/>
            <w:shd w:val="clear" w:color="auto" w:fill="auto"/>
          </w:tcPr>
          <w:p w14:paraId="5EA1F63C" w14:textId="77777777" w:rsidR="003C66EB" w:rsidRDefault="003C66EB">
            <w:pPr>
              <w:rPr>
                <w:rFonts w:ascii="宋体"/>
              </w:rPr>
            </w:pPr>
          </w:p>
        </w:tc>
        <w:tc>
          <w:tcPr>
            <w:tcW w:w="26" w:type="pct"/>
            <w:shd w:val="clear" w:color="auto" w:fill="auto"/>
          </w:tcPr>
          <w:p w14:paraId="5EA1F63D" w14:textId="77777777" w:rsidR="003C66EB" w:rsidRDefault="003C66EB">
            <w:pPr>
              <w:rPr>
                <w:rFonts w:ascii="宋体"/>
              </w:rPr>
            </w:pPr>
          </w:p>
        </w:tc>
        <w:tc>
          <w:tcPr>
            <w:tcW w:w="5" w:type="pct"/>
            <w:shd w:val="clear" w:color="auto" w:fill="auto"/>
          </w:tcPr>
          <w:p w14:paraId="5EA1F63E" w14:textId="77777777" w:rsidR="003C66EB" w:rsidRDefault="003C66EB">
            <w:pPr>
              <w:rPr>
                <w:rFonts w:ascii="宋体"/>
              </w:rPr>
            </w:pPr>
          </w:p>
        </w:tc>
        <w:tc>
          <w:tcPr>
            <w:tcW w:w="50" w:type="pct"/>
            <w:shd w:val="clear" w:color="auto" w:fill="auto"/>
          </w:tcPr>
          <w:p w14:paraId="5EA1F63F" w14:textId="77777777" w:rsidR="003C66EB" w:rsidRDefault="003C66EB">
            <w:pPr>
              <w:rPr>
                <w:rFonts w:ascii="宋体"/>
              </w:rPr>
            </w:pPr>
          </w:p>
        </w:tc>
        <w:tc>
          <w:tcPr>
            <w:tcW w:w="917" w:type="pct"/>
            <w:shd w:val="clear" w:color="auto" w:fill="auto"/>
          </w:tcPr>
          <w:p w14:paraId="5EA1F640" w14:textId="77777777" w:rsidR="003C66EB" w:rsidRDefault="003C66EB">
            <w:pPr>
              <w:rPr>
                <w:rFonts w:ascii="宋体"/>
              </w:rPr>
            </w:pPr>
          </w:p>
        </w:tc>
        <w:tc>
          <w:tcPr>
            <w:tcW w:w="5" w:type="pct"/>
            <w:shd w:val="clear" w:color="auto" w:fill="auto"/>
          </w:tcPr>
          <w:p w14:paraId="5EA1F641" w14:textId="77777777" w:rsidR="003C66EB" w:rsidRDefault="003C66EB">
            <w:pPr>
              <w:rPr>
                <w:rFonts w:ascii="宋体"/>
              </w:rPr>
            </w:pPr>
          </w:p>
        </w:tc>
        <w:tc>
          <w:tcPr>
            <w:tcW w:w="0" w:type="auto"/>
            <w:shd w:val="clear" w:color="auto" w:fill="auto"/>
          </w:tcPr>
          <w:p w14:paraId="5EA1F642" w14:textId="77777777" w:rsidR="003C66EB" w:rsidRDefault="003C66EB">
            <w:pPr>
              <w:rPr>
                <w:rFonts w:ascii="宋体"/>
                <w:vanish/>
              </w:rPr>
            </w:pPr>
          </w:p>
        </w:tc>
        <w:tc>
          <w:tcPr>
            <w:tcW w:w="0" w:type="auto"/>
            <w:shd w:val="clear" w:color="auto" w:fill="auto"/>
          </w:tcPr>
          <w:p w14:paraId="5EA1F643" w14:textId="77777777" w:rsidR="003C66EB" w:rsidRDefault="003C66EB">
            <w:pPr>
              <w:rPr>
                <w:rFonts w:ascii="宋体"/>
                <w:vanish/>
              </w:rPr>
            </w:pPr>
          </w:p>
        </w:tc>
        <w:tc>
          <w:tcPr>
            <w:tcW w:w="0" w:type="auto"/>
            <w:shd w:val="clear" w:color="auto" w:fill="auto"/>
          </w:tcPr>
          <w:p w14:paraId="5EA1F644" w14:textId="77777777" w:rsidR="003C66EB" w:rsidRDefault="003C66EB">
            <w:pPr>
              <w:rPr>
                <w:rFonts w:ascii="宋体"/>
                <w:vanish/>
              </w:rPr>
            </w:pPr>
          </w:p>
        </w:tc>
        <w:tc>
          <w:tcPr>
            <w:tcW w:w="0" w:type="auto"/>
            <w:shd w:val="clear" w:color="auto" w:fill="auto"/>
          </w:tcPr>
          <w:p w14:paraId="5EA1F645" w14:textId="77777777" w:rsidR="003C66EB" w:rsidRDefault="003C66EB">
            <w:pPr>
              <w:rPr>
                <w:rFonts w:ascii="宋体"/>
                <w:vanish/>
              </w:rPr>
            </w:pPr>
          </w:p>
        </w:tc>
        <w:tc>
          <w:tcPr>
            <w:tcW w:w="0" w:type="auto"/>
            <w:shd w:val="clear" w:color="auto" w:fill="auto"/>
          </w:tcPr>
          <w:p w14:paraId="5EA1F646" w14:textId="77777777" w:rsidR="003C66EB" w:rsidRDefault="003C66EB">
            <w:pPr>
              <w:rPr>
                <w:rFonts w:ascii="宋体"/>
                <w:vanish/>
              </w:rPr>
            </w:pPr>
          </w:p>
        </w:tc>
        <w:tc>
          <w:tcPr>
            <w:tcW w:w="0" w:type="auto"/>
            <w:shd w:val="clear" w:color="auto" w:fill="auto"/>
          </w:tcPr>
          <w:p w14:paraId="5EA1F647" w14:textId="77777777" w:rsidR="003C66EB" w:rsidRDefault="003C66EB">
            <w:pPr>
              <w:rPr>
                <w:rFonts w:ascii="宋体"/>
                <w:vanish/>
              </w:rPr>
            </w:pPr>
          </w:p>
        </w:tc>
        <w:tc>
          <w:tcPr>
            <w:tcW w:w="0" w:type="auto"/>
            <w:shd w:val="clear" w:color="auto" w:fill="auto"/>
          </w:tcPr>
          <w:p w14:paraId="5EA1F648" w14:textId="77777777" w:rsidR="003C66EB" w:rsidRDefault="003C66EB">
            <w:pPr>
              <w:rPr>
                <w:rFonts w:ascii="宋体"/>
                <w:vanish/>
              </w:rPr>
            </w:pPr>
          </w:p>
        </w:tc>
        <w:tc>
          <w:tcPr>
            <w:tcW w:w="0" w:type="auto"/>
            <w:shd w:val="clear" w:color="auto" w:fill="auto"/>
          </w:tcPr>
          <w:p w14:paraId="5EA1F649" w14:textId="77777777" w:rsidR="003C66EB" w:rsidRDefault="003C66EB">
            <w:pPr>
              <w:rPr>
                <w:rFonts w:ascii="宋体"/>
                <w:vanish/>
              </w:rPr>
            </w:pPr>
          </w:p>
        </w:tc>
      </w:tr>
      <w:tr w:rsidR="003C66EB" w14:paraId="5EA1F654" w14:textId="77777777">
        <w:tc>
          <w:tcPr>
            <w:tcW w:w="0" w:type="auto"/>
            <w:gridSpan w:val="18"/>
            <w:shd w:val="clear" w:color="auto" w:fill="auto"/>
            <w:tcMar>
              <w:top w:w="40" w:type="dxa"/>
              <w:left w:w="20" w:type="dxa"/>
              <w:bottom w:w="40" w:type="dxa"/>
              <w:right w:w="20" w:type="dxa"/>
            </w:tcMar>
            <w:vAlign w:val="center"/>
          </w:tcPr>
          <w:p w14:paraId="5EA1F64B" w14:textId="77777777" w:rsidR="003C66EB" w:rsidRDefault="00D96C4E">
            <w:pPr>
              <w:textAlignment w:val="center"/>
            </w:pPr>
            <w:r>
              <w:rPr>
                <w:rFonts w:ascii="Arial" w:eastAsia="宋体" w:hAnsi="Arial" w:cs="Arial"/>
                <w:b/>
                <w:bCs/>
                <w:color w:val="000000"/>
                <w:sz w:val="16"/>
                <w:szCs w:val="16"/>
              </w:rPr>
              <w:t>TABLE 17: GEOGRAPHIC MIX OF ASSETS UNDER MANAGEMENT</w:t>
            </w:r>
            <w:r>
              <w:rPr>
                <w:rFonts w:ascii="Arial" w:eastAsia="宋体" w:hAnsi="Arial" w:cs="Arial"/>
                <w:b/>
                <w:bCs/>
                <w:color w:val="000000"/>
                <w:sz w:val="10"/>
                <w:szCs w:val="10"/>
              </w:rPr>
              <w:t>(1)</w:t>
            </w:r>
          </w:p>
        </w:tc>
        <w:tc>
          <w:tcPr>
            <w:tcW w:w="0" w:type="auto"/>
            <w:shd w:val="clear" w:color="auto" w:fill="auto"/>
          </w:tcPr>
          <w:p w14:paraId="5EA1F64C" w14:textId="77777777" w:rsidR="003C66EB" w:rsidRDefault="003C66EB">
            <w:pPr>
              <w:rPr>
                <w:rFonts w:ascii="宋体"/>
                <w:vanish/>
              </w:rPr>
            </w:pPr>
          </w:p>
        </w:tc>
        <w:tc>
          <w:tcPr>
            <w:tcW w:w="0" w:type="auto"/>
            <w:shd w:val="clear" w:color="auto" w:fill="auto"/>
          </w:tcPr>
          <w:p w14:paraId="5EA1F64D" w14:textId="77777777" w:rsidR="003C66EB" w:rsidRDefault="003C66EB">
            <w:pPr>
              <w:rPr>
                <w:rFonts w:ascii="宋体"/>
                <w:vanish/>
              </w:rPr>
            </w:pPr>
          </w:p>
        </w:tc>
        <w:tc>
          <w:tcPr>
            <w:tcW w:w="0" w:type="auto"/>
            <w:shd w:val="clear" w:color="auto" w:fill="auto"/>
          </w:tcPr>
          <w:p w14:paraId="5EA1F64E" w14:textId="77777777" w:rsidR="003C66EB" w:rsidRDefault="003C66EB">
            <w:pPr>
              <w:rPr>
                <w:rFonts w:ascii="宋体"/>
                <w:vanish/>
              </w:rPr>
            </w:pPr>
          </w:p>
        </w:tc>
        <w:tc>
          <w:tcPr>
            <w:tcW w:w="0" w:type="auto"/>
            <w:shd w:val="clear" w:color="auto" w:fill="auto"/>
          </w:tcPr>
          <w:p w14:paraId="5EA1F64F" w14:textId="77777777" w:rsidR="003C66EB" w:rsidRDefault="003C66EB">
            <w:pPr>
              <w:rPr>
                <w:rFonts w:ascii="宋体"/>
                <w:vanish/>
              </w:rPr>
            </w:pPr>
          </w:p>
        </w:tc>
        <w:tc>
          <w:tcPr>
            <w:tcW w:w="0" w:type="auto"/>
            <w:shd w:val="clear" w:color="auto" w:fill="auto"/>
          </w:tcPr>
          <w:p w14:paraId="5EA1F650" w14:textId="77777777" w:rsidR="003C66EB" w:rsidRDefault="003C66EB">
            <w:pPr>
              <w:rPr>
                <w:rFonts w:ascii="宋体"/>
                <w:vanish/>
              </w:rPr>
            </w:pPr>
          </w:p>
        </w:tc>
        <w:tc>
          <w:tcPr>
            <w:tcW w:w="0" w:type="auto"/>
            <w:shd w:val="clear" w:color="auto" w:fill="auto"/>
          </w:tcPr>
          <w:p w14:paraId="5EA1F651" w14:textId="77777777" w:rsidR="003C66EB" w:rsidRDefault="003C66EB">
            <w:pPr>
              <w:rPr>
                <w:rFonts w:ascii="宋体"/>
                <w:vanish/>
              </w:rPr>
            </w:pPr>
          </w:p>
        </w:tc>
        <w:tc>
          <w:tcPr>
            <w:tcW w:w="0" w:type="auto"/>
            <w:shd w:val="clear" w:color="auto" w:fill="auto"/>
          </w:tcPr>
          <w:p w14:paraId="5EA1F652" w14:textId="77777777" w:rsidR="003C66EB" w:rsidRDefault="003C66EB">
            <w:pPr>
              <w:rPr>
                <w:rFonts w:ascii="宋体"/>
                <w:vanish/>
              </w:rPr>
            </w:pPr>
          </w:p>
        </w:tc>
        <w:tc>
          <w:tcPr>
            <w:tcW w:w="0" w:type="auto"/>
            <w:shd w:val="clear" w:color="auto" w:fill="auto"/>
          </w:tcPr>
          <w:p w14:paraId="5EA1F653" w14:textId="77777777" w:rsidR="003C66EB" w:rsidRDefault="003C66EB">
            <w:pPr>
              <w:rPr>
                <w:rFonts w:ascii="宋体"/>
                <w:vanish/>
              </w:rPr>
            </w:pPr>
          </w:p>
        </w:tc>
      </w:tr>
      <w:tr w:rsidR="003C66EB" w14:paraId="5EA1F663" w14:textId="77777777">
        <w:tc>
          <w:tcPr>
            <w:tcW w:w="0" w:type="auto"/>
            <w:gridSpan w:val="3"/>
            <w:shd w:val="clear" w:color="auto" w:fill="auto"/>
            <w:tcMar>
              <w:top w:w="40" w:type="dxa"/>
              <w:left w:w="20" w:type="dxa"/>
              <w:bottom w:w="40" w:type="dxa"/>
              <w:right w:w="20" w:type="dxa"/>
            </w:tcMar>
            <w:vAlign w:val="bottom"/>
          </w:tcPr>
          <w:p w14:paraId="5EA1F655" w14:textId="77777777" w:rsidR="003C66EB" w:rsidRDefault="00D96C4E">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A1F656"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65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58"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1F65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5A"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Pr>
          <w:p w14:paraId="5EA1F65B" w14:textId="77777777" w:rsidR="003C66EB" w:rsidRDefault="003C66EB">
            <w:pPr>
              <w:rPr>
                <w:rFonts w:ascii="宋体"/>
                <w:vanish/>
              </w:rPr>
            </w:pPr>
          </w:p>
        </w:tc>
        <w:tc>
          <w:tcPr>
            <w:tcW w:w="0" w:type="auto"/>
            <w:shd w:val="clear" w:color="auto" w:fill="auto"/>
          </w:tcPr>
          <w:p w14:paraId="5EA1F65C" w14:textId="77777777" w:rsidR="003C66EB" w:rsidRDefault="003C66EB">
            <w:pPr>
              <w:rPr>
                <w:rFonts w:ascii="宋体"/>
                <w:vanish/>
              </w:rPr>
            </w:pPr>
          </w:p>
        </w:tc>
        <w:tc>
          <w:tcPr>
            <w:tcW w:w="0" w:type="auto"/>
            <w:shd w:val="clear" w:color="auto" w:fill="auto"/>
          </w:tcPr>
          <w:p w14:paraId="5EA1F65D" w14:textId="77777777" w:rsidR="003C66EB" w:rsidRDefault="003C66EB">
            <w:pPr>
              <w:rPr>
                <w:rFonts w:ascii="宋体"/>
                <w:vanish/>
              </w:rPr>
            </w:pPr>
          </w:p>
        </w:tc>
        <w:tc>
          <w:tcPr>
            <w:tcW w:w="0" w:type="auto"/>
            <w:shd w:val="clear" w:color="auto" w:fill="auto"/>
          </w:tcPr>
          <w:p w14:paraId="5EA1F65E" w14:textId="77777777" w:rsidR="003C66EB" w:rsidRDefault="003C66EB">
            <w:pPr>
              <w:rPr>
                <w:rFonts w:ascii="宋体"/>
                <w:vanish/>
              </w:rPr>
            </w:pPr>
          </w:p>
        </w:tc>
        <w:tc>
          <w:tcPr>
            <w:tcW w:w="0" w:type="auto"/>
            <w:shd w:val="clear" w:color="auto" w:fill="auto"/>
          </w:tcPr>
          <w:p w14:paraId="5EA1F65F" w14:textId="77777777" w:rsidR="003C66EB" w:rsidRDefault="003C66EB">
            <w:pPr>
              <w:rPr>
                <w:rFonts w:ascii="宋体"/>
                <w:vanish/>
              </w:rPr>
            </w:pPr>
          </w:p>
        </w:tc>
        <w:tc>
          <w:tcPr>
            <w:tcW w:w="0" w:type="auto"/>
            <w:shd w:val="clear" w:color="auto" w:fill="auto"/>
          </w:tcPr>
          <w:p w14:paraId="5EA1F660" w14:textId="77777777" w:rsidR="003C66EB" w:rsidRDefault="003C66EB">
            <w:pPr>
              <w:rPr>
                <w:rFonts w:ascii="宋体"/>
                <w:vanish/>
              </w:rPr>
            </w:pPr>
          </w:p>
        </w:tc>
        <w:tc>
          <w:tcPr>
            <w:tcW w:w="0" w:type="auto"/>
            <w:shd w:val="clear" w:color="auto" w:fill="auto"/>
          </w:tcPr>
          <w:p w14:paraId="5EA1F661" w14:textId="77777777" w:rsidR="003C66EB" w:rsidRDefault="003C66EB">
            <w:pPr>
              <w:rPr>
                <w:rFonts w:ascii="宋体"/>
                <w:vanish/>
              </w:rPr>
            </w:pPr>
          </w:p>
        </w:tc>
        <w:tc>
          <w:tcPr>
            <w:tcW w:w="0" w:type="auto"/>
            <w:shd w:val="clear" w:color="auto" w:fill="auto"/>
          </w:tcPr>
          <w:p w14:paraId="5EA1F662" w14:textId="77777777" w:rsidR="003C66EB" w:rsidRDefault="003C66EB">
            <w:pPr>
              <w:rPr>
                <w:rFonts w:ascii="宋体"/>
                <w:vanish/>
              </w:rPr>
            </w:pPr>
          </w:p>
        </w:tc>
      </w:tr>
      <w:tr w:rsidR="003C66EB" w14:paraId="5EA1F678" w14:textId="77777777">
        <w:tc>
          <w:tcPr>
            <w:tcW w:w="0" w:type="auto"/>
            <w:gridSpan w:val="3"/>
            <w:shd w:val="clear" w:color="auto" w:fill="CCEEFF"/>
            <w:tcMar>
              <w:top w:w="40" w:type="dxa"/>
              <w:left w:w="20" w:type="dxa"/>
              <w:bottom w:w="40" w:type="dxa"/>
              <w:right w:w="20" w:type="dxa"/>
            </w:tcMar>
            <w:vAlign w:val="bottom"/>
          </w:tcPr>
          <w:p w14:paraId="5EA1F664" w14:textId="77777777" w:rsidR="003C66EB" w:rsidRDefault="00D96C4E">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665"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666" w14:textId="77777777" w:rsidR="003C66EB" w:rsidRDefault="00D96C4E">
            <w:pPr>
              <w:jc w:val="right"/>
              <w:textAlignment w:val="bottom"/>
            </w:pPr>
            <w:r>
              <w:rPr>
                <w:rFonts w:ascii="Arial" w:eastAsia="宋体" w:hAnsi="Arial" w:cs="Arial"/>
                <w:b/>
                <w:bCs/>
                <w:color w:val="000000"/>
                <w:sz w:val="15"/>
                <w:szCs w:val="15"/>
              </w:rPr>
              <w:t>2,512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6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66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66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66A" w14:textId="77777777" w:rsidR="003C66EB" w:rsidRDefault="00D96C4E">
            <w:pPr>
              <w:jc w:val="right"/>
              <w:textAlignment w:val="bottom"/>
            </w:pPr>
            <w:r>
              <w:rPr>
                <w:rFonts w:ascii="Arial" w:eastAsia="宋体" w:hAnsi="Arial" w:cs="Arial"/>
                <w:color w:val="000000"/>
                <w:sz w:val="15"/>
                <w:szCs w:val="15"/>
              </w:rPr>
              <w:t>2,411 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6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66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66D"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66E" w14:textId="77777777" w:rsidR="003C66EB" w:rsidRDefault="00D96C4E">
            <w:pPr>
              <w:jc w:val="right"/>
              <w:textAlignment w:val="bottom"/>
            </w:pPr>
            <w:r>
              <w:rPr>
                <w:rFonts w:ascii="Arial" w:eastAsia="宋体" w:hAnsi="Arial" w:cs="Arial"/>
                <w:color w:val="000000"/>
                <w:sz w:val="15"/>
                <w:szCs w:val="15"/>
              </w:rPr>
              <w:t>1,843 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66F" w14:textId="77777777" w:rsidR="003C66EB" w:rsidRDefault="003C66EB">
            <w:pPr>
              <w:jc w:val="right"/>
              <w:rPr>
                <w:rFonts w:ascii="宋体"/>
              </w:rPr>
            </w:pPr>
          </w:p>
        </w:tc>
        <w:tc>
          <w:tcPr>
            <w:tcW w:w="0" w:type="auto"/>
            <w:shd w:val="clear" w:color="auto" w:fill="auto"/>
          </w:tcPr>
          <w:p w14:paraId="5EA1F670" w14:textId="77777777" w:rsidR="003C66EB" w:rsidRDefault="003C66EB">
            <w:pPr>
              <w:rPr>
                <w:rFonts w:ascii="宋体"/>
                <w:vanish/>
              </w:rPr>
            </w:pPr>
          </w:p>
        </w:tc>
        <w:tc>
          <w:tcPr>
            <w:tcW w:w="0" w:type="auto"/>
            <w:shd w:val="clear" w:color="auto" w:fill="auto"/>
          </w:tcPr>
          <w:p w14:paraId="5EA1F671" w14:textId="77777777" w:rsidR="003C66EB" w:rsidRDefault="003C66EB">
            <w:pPr>
              <w:rPr>
                <w:rFonts w:ascii="宋体"/>
                <w:vanish/>
              </w:rPr>
            </w:pPr>
          </w:p>
        </w:tc>
        <w:tc>
          <w:tcPr>
            <w:tcW w:w="0" w:type="auto"/>
            <w:shd w:val="clear" w:color="auto" w:fill="auto"/>
          </w:tcPr>
          <w:p w14:paraId="5EA1F672" w14:textId="77777777" w:rsidR="003C66EB" w:rsidRDefault="003C66EB">
            <w:pPr>
              <w:rPr>
                <w:rFonts w:ascii="宋体"/>
                <w:vanish/>
              </w:rPr>
            </w:pPr>
          </w:p>
        </w:tc>
        <w:tc>
          <w:tcPr>
            <w:tcW w:w="0" w:type="auto"/>
            <w:shd w:val="clear" w:color="auto" w:fill="auto"/>
          </w:tcPr>
          <w:p w14:paraId="5EA1F673" w14:textId="77777777" w:rsidR="003C66EB" w:rsidRDefault="003C66EB">
            <w:pPr>
              <w:rPr>
                <w:rFonts w:ascii="宋体"/>
                <w:vanish/>
              </w:rPr>
            </w:pPr>
          </w:p>
        </w:tc>
        <w:tc>
          <w:tcPr>
            <w:tcW w:w="0" w:type="auto"/>
            <w:shd w:val="clear" w:color="auto" w:fill="auto"/>
          </w:tcPr>
          <w:p w14:paraId="5EA1F674" w14:textId="77777777" w:rsidR="003C66EB" w:rsidRDefault="003C66EB">
            <w:pPr>
              <w:rPr>
                <w:rFonts w:ascii="宋体"/>
                <w:vanish/>
              </w:rPr>
            </w:pPr>
          </w:p>
        </w:tc>
        <w:tc>
          <w:tcPr>
            <w:tcW w:w="0" w:type="auto"/>
            <w:shd w:val="clear" w:color="auto" w:fill="auto"/>
          </w:tcPr>
          <w:p w14:paraId="5EA1F675" w14:textId="77777777" w:rsidR="003C66EB" w:rsidRDefault="003C66EB">
            <w:pPr>
              <w:rPr>
                <w:rFonts w:ascii="宋体"/>
                <w:vanish/>
              </w:rPr>
            </w:pPr>
          </w:p>
        </w:tc>
        <w:tc>
          <w:tcPr>
            <w:tcW w:w="0" w:type="auto"/>
            <w:shd w:val="clear" w:color="auto" w:fill="auto"/>
          </w:tcPr>
          <w:p w14:paraId="5EA1F676" w14:textId="77777777" w:rsidR="003C66EB" w:rsidRDefault="003C66EB">
            <w:pPr>
              <w:rPr>
                <w:rFonts w:ascii="宋体"/>
                <w:vanish/>
              </w:rPr>
            </w:pPr>
          </w:p>
        </w:tc>
        <w:tc>
          <w:tcPr>
            <w:tcW w:w="0" w:type="auto"/>
            <w:shd w:val="clear" w:color="auto" w:fill="auto"/>
          </w:tcPr>
          <w:p w14:paraId="5EA1F677" w14:textId="77777777" w:rsidR="003C66EB" w:rsidRDefault="003C66EB">
            <w:pPr>
              <w:rPr>
                <w:rFonts w:ascii="宋体"/>
                <w:vanish/>
              </w:rPr>
            </w:pPr>
          </w:p>
        </w:tc>
      </w:tr>
      <w:tr w:rsidR="003C66EB" w14:paraId="5EA1F68A" w14:textId="77777777">
        <w:tc>
          <w:tcPr>
            <w:tcW w:w="0" w:type="auto"/>
            <w:gridSpan w:val="3"/>
            <w:shd w:val="clear" w:color="auto" w:fill="FFFFFF"/>
            <w:tcMar>
              <w:top w:w="40" w:type="dxa"/>
              <w:left w:w="20" w:type="dxa"/>
              <w:bottom w:w="40" w:type="dxa"/>
              <w:right w:w="20" w:type="dxa"/>
            </w:tcMar>
            <w:vAlign w:val="bottom"/>
          </w:tcPr>
          <w:p w14:paraId="5EA1F679" w14:textId="77777777" w:rsidR="003C66EB" w:rsidRDefault="00D96C4E">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5EA1F67A" w14:textId="77777777" w:rsidR="003C66EB" w:rsidRDefault="00D96C4E">
            <w:pPr>
              <w:jc w:val="right"/>
              <w:textAlignment w:val="bottom"/>
            </w:pPr>
            <w:r>
              <w:rPr>
                <w:rFonts w:ascii="Arial" w:eastAsia="宋体" w:hAnsi="Arial" w:cs="Arial"/>
                <w:b/>
                <w:bCs/>
                <w:color w:val="000000"/>
                <w:sz w:val="15"/>
                <w:szCs w:val="15"/>
              </w:rPr>
              <w:t>530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67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67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67D" w14:textId="77777777" w:rsidR="003C66EB" w:rsidRDefault="00D96C4E">
            <w:pPr>
              <w:jc w:val="right"/>
              <w:textAlignment w:val="bottom"/>
            </w:pPr>
            <w:r>
              <w:rPr>
                <w:rFonts w:ascii="Arial" w:eastAsia="宋体" w:hAnsi="Arial" w:cs="Arial"/>
                <w:color w:val="000000"/>
                <w:sz w:val="15"/>
                <w:szCs w:val="15"/>
              </w:rPr>
              <w:t>512 </w:t>
            </w:r>
          </w:p>
        </w:tc>
        <w:tc>
          <w:tcPr>
            <w:tcW w:w="0" w:type="auto"/>
            <w:shd w:val="clear" w:color="auto" w:fill="FFFFFF"/>
            <w:tcMar>
              <w:top w:w="40" w:type="dxa"/>
              <w:left w:w="0" w:type="dxa"/>
              <w:bottom w:w="40" w:type="dxa"/>
              <w:right w:w="20" w:type="dxa"/>
            </w:tcMar>
            <w:vAlign w:val="bottom"/>
          </w:tcPr>
          <w:p w14:paraId="5EA1F67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67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680" w14:textId="77777777" w:rsidR="003C66EB" w:rsidRDefault="00D96C4E">
            <w:pPr>
              <w:jc w:val="right"/>
              <w:textAlignment w:val="bottom"/>
            </w:pPr>
            <w:r>
              <w:rPr>
                <w:rFonts w:ascii="Arial" w:eastAsia="宋体" w:hAnsi="Arial" w:cs="Arial"/>
                <w:color w:val="000000"/>
                <w:sz w:val="15"/>
                <w:szCs w:val="15"/>
              </w:rPr>
              <w:t>418 </w:t>
            </w:r>
          </w:p>
        </w:tc>
        <w:tc>
          <w:tcPr>
            <w:tcW w:w="0" w:type="auto"/>
            <w:shd w:val="clear" w:color="auto" w:fill="FFFFFF"/>
            <w:tcMar>
              <w:top w:w="40" w:type="dxa"/>
              <w:left w:w="0" w:type="dxa"/>
              <w:bottom w:w="40" w:type="dxa"/>
              <w:right w:w="20" w:type="dxa"/>
            </w:tcMar>
            <w:vAlign w:val="bottom"/>
          </w:tcPr>
          <w:p w14:paraId="5EA1F681" w14:textId="77777777" w:rsidR="003C66EB" w:rsidRDefault="003C66EB">
            <w:pPr>
              <w:jc w:val="right"/>
              <w:rPr>
                <w:rFonts w:ascii="宋体"/>
              </w:rPr>
            </w:pPr>
          </w:p>
        </w:tc>
        <w:tc>
          <w:tcPr>
            <w:tcW w:w="0" w:type="auto"/>
            <w:shd w:val="clear" w:color="auto" w:fill="auto"/>
          </w:tcPr>
          <w:p w14:paraId="5EA1F682" w14:textId="77777777" w:rsidR="003C66EB" w:rsidRDefault="003C66EB">
            <w:pPr>
              <w:rPr>
                <w:rFonts w:ascii="宋体"/>
                <w:vanish/>
              </w:rPr>
            </w:pPr>
          </w:p>
        </w:tc>
        <w:tc>
          <w:tcPr>
            <w:tcW w:w="0" w:type="auto"/>
            <w:shd w:val="clear" w:color="auto" w:fill="auto"/>
          </w:tcPr>
          <w:p w14:paraId="5EA1F683" w14:textId="77777777" w:rsidR="003C66EB" w:rsidRDefault="003C66EB">
            <w:pPr>
              <w:rPr>
                <w:rFonts w:ascii="宋体"/>
                <w:vanish/>
              </w:rPr>
            </w:pPr>
          </w:p>
        </w:tc>
        <w:tc>
          <w:tcPr>
            <w:tcW w:w="0" w:type="auto"/>
            <w:shd w:val="clear" w:color="auto" w:fill="auto"/>
          </w:tcPr>
          <w:p w14:paraId="5EA1F684" w14:textId="77777777" w:rsidR="003C66EB" w:rsidRDefault="003C66EB">
            <w:pPr>
              <w:rPr>
                <w:rFonts w:ascii="宋体"/>
                <w:vanish/>
              </w:rPr>
            </w:pPr>
          </w:p>
        </w:tc>
        <w:tc>
          <w:tcPr>
            <w:tcW w:w="0" w:type="auto"/>
            <w:shd w:val="clear" w:color="auto" w:fill="auto"/>
          </w:tcPr>
          <w:p w14:paraId="5EA1F685" w14:textId="77777777" w:rsidR="003C66EB" w:rsidRDefault="003C66EB">
            <w:pPr>
              <w:rPr>
                <w:rFonts w:ascii="宋体"/>
                <w:vanish/>
              </w:rPr>
            </w:pPr>
          </w:p>
        </w:tc>
        <w:tc>
          <w:tcPr>
            <w:tcW w:w="0" w:type="auto"/>
            <w:shd w:val="clear" w:color="auto" w:fill="auto"/>
          </w:tcPr>
          <w:p w14:paraId="5EA1F686" w14:textId="77777777" w:rsidR="003C66EB" w:rsidRDefault="003C66EB">
            <w:pPr>
              <w:rPr>
                <w:rFonts w:ascii="宋体"/>
                <w:vanish/>
              </w:rPr>
            </w:pPr>
          </w:p>
        </w:tc>
        <w:tc>
          <w:tcPr>
            <w:tcW w:w="0" w:type="auto"/>
            <w:shd w:val="clear" w:color="auto" w:fill="auto"/>
          </w:tcPr>
          <w:p w14:paraId="5EA1F687" w14:textId="77777777" w:rsidR="003C66EB" w:rsidRDefault="003C66EB">
            <w:pPr>
              <w:rPr>
                <w:rFonts w:ascii="宋体"/>
                <w:vanish/>
              </w:rPr>
            </w:pPr>
          </w:p>
        </w:tc>
        <w:tc>
          <w:tcPr>
            <w:tcW w:w="0" w:type="auto"/>
            <w:shd w:val="clear" w:color="auto" w:fill="auto"/>
          </w:tcPr>
          <w:p w14:paraId="5EA1F688" w14:textId="77777777" w:rsidR="003C66EB" w:rsidRDefault="003C66EB">
            <w:pPr>
              <w:rPr>
                <w:rFonts w:ascii="宋体"/>
                <w:vanish/>
              </w:rPr>
            </w:pPr>
          </w:p>
        </w:tc>
        <w:tc>
          <w:tcPr>
            <w:tcW w:w="0" w:type="auto"/>
            <w:shd w:val="clear" w:color="auto" w:fill="auto"/>
          </w:tcPr>
          <w:p w14:paraId="5EA1F689" w14:textId="77777777" w:rsidR="003C66EB" w:rsidRDefault="003C66EB">
            <w:pPr>
              <w:rPr>
                <w:rFonts w:ascii="宋体"/>
                <w:vanish/>
              </w:rPr>
            </w:pPr>
          </w:p>
        </w:tc>
      </w:tr>
      <w:tr w:rsidR="003C66EB" w14:paraId="5EA1F69C" w14:textId="77777777">
        <w:tc>
          <w:tcPr>
            <w:tcW w:w="0" w:type="auto"/>
            <w:gridSpan w:val="3"/>
            <w:shd w:val="clear" w:color="auto" w:fill="CCEEFF"/>
            <w:tcMar>
              <w:top w:w="40" w:type="dxa"/>
              <w:left w:w="20" w:type="dxa"/>
              <w:bottom w:w="40" w:type="dxa"/>
              <w:right w:w="20" w:type="dxa"/>
            </w:tcMar>
            <w:vAlign w:val="bottom"/>
          </w:tcPr>
          <w:p w14:paraId="5EA1F68B" w14:textId="77777777" w:rsidR="003C66EB" w:rsidRDefault="00D96C4E">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5EA1F68C" w14:textId="77777777" w:rsidR="003C66EB" w:rsidRDefault="00D96C4E">
            <w:pPr>
              <w:jc w:val="right"/>
              <w:textAlignment w:val="bottom"/>
            </w:pPr>
            <w:r>
              <w:rPr>
                <w:rFonts w:ascii="Arial" w:eastAsia="宋体" w:hAnsi="Arial" w:cs="Arial"/>
                <w:b/>
                <w:bCs/>
                <w:color w:val="000000"/>
                <w:sz w:val="15"/>
                <w:szCs w:val="15"/>
              </w:rPr>
              <w:t>549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6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6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68F" w14:textId="77777777" w:rsidR="003C66EB" w:rsidRDefault="00D96C4E">
            <w:pPr>
              <w:jc w:val="right"/>
              <w:textAlignment w:val="bottom"/>
            </w:pPr>
            <w:r>
              <w:rPr>
                <w:rFonts w:ascii="Arial" w:eastAsia="宋体" w:hAnsi="Arial" w:cs="Arial"/>
                <w:color w:val="000000"/>
                <w:sz w:val="15"/>
                <w:szCs w:val="15"/>
              </w:rPr>
              <w:t>544 </w:t>
            </w:r>
          </w:p>
        </w:tc>
        <w:tc>
          <w:tcPr>
            <w:tcW w:w="0" w:type="auto"/>
            <w:shd w:val="clear" w:color="auto" w:fill="CCEEFF"/>
            <w:tcMar>
              <w:top w:w="40" w:type="dxa"/>
              <w:left w:w="0" w:type="dxa"/>
              <w:bottom w:w="40" w:type="dxa"/>
              <w:right w:w="20" w:type="dxa"/>
            </w:tcMar>
            <w:vAlign w:val="bottom"/>
          </w:tcPr>
          <w:p w14:paraId="5EA1F6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69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692" w14:textId="77777777" w:rsidR="003C66EB" w:rsidRDefault="00D96C4E">
            <w:pPr>
              <w:jc w:val="right"/>
              <w:textAlignment w:val="bottom"/>
            </w:pPr>
            <w:r>
              <w:rPr>
                <w:rFonts w:ascii="Arial" w:eastAsia="宋体" w:hAnsi="Arial" w:cs="Arial"/>
                <w:color w:val="000000"/>
                <w:sz w:val="15"/>
                <w:szCs w:val="15"/>
              </w:rPr>
              <w:t>428 </w:t>
            </w:r>
          </w:p>
        </w:tc>
        <w:tc>
          <w:tcPr>
            <w:tcW w:w="0" w:type="auto"/>
            <w:shd w:val="clear" w:color="auto" w:fill="CCEEFF"/>
            <w:tcMar>
              <w:top w:w="40" w:type="dxa"/>
              <w:left w:w="0" w:type="dxa"/>
              <w:bottom w:w="40" w:type="dxa"/>
              <w:right w:w="20" w:type="dxa"/>
            </w:tcMar>
            <w:vAlign w:val="bottom"/>
          </w:tcPr>
          <w:p w14:paraId="5EA1F693" w14:textId="77777777" w:rsidR="003C66EB" w:rsidRDefault="003C66EB">
            <w:pPr>
              <w:jc w:val="right"/>
              <w:rPr>
                <w:rFonts w:ascii="宋体"/>
              </w:rPr>
            </w:pPr>
          </w:p>
        </w:tc>
        <w:tc>
          <w:tcPr>
            <w:tcW w:w="0" w:type="auto"/>
            <w:shd w:val="clear" w:color="auto" w:fill="auto"/>
          </w:tcPr>
          <w:p w14:paraId="5EA1F694" w14:textId="77777777" w:rsidR="003C66EB" w:rsidRDefault="003C66EB">
            <w:pPr>
              <w:rPr>
                <w:rFonts w:ascii="宋体"/>
                <w:vanish/>
              </w:rPr>
            </w:pPr>
          </w:p>
        </w:tc>
        <w:tc>
          <w:tcPr>
            <w:tcW w:w="0" w:type="auto"/>
            <w:shd w:val="clear" w:color="auto" w:fill="auto"/>
          </w:tcPr>
          <w:p w14:paraId="5EA1F695" w14:textId="77777777" w:rsidR="003C66EB" w:rsidRDefault="003C66EB">
            <w:pPr>
              <w:rPr>
                <w:rFonts w:ascii="宋体"/>
                <w:vanish/>
              </w:rPr>
            </w:pPr>
          </w:p>
        </w:tc>
        <w:tc>
          <w:tcPr>
            <w:tcW w:w="0" w:type="auto"/>
            <w:shd w:val="clear" w:color="auto" w:fill="auto"/>
          </w:tcPr>
          <w:p w14:paraId="5EA1F696" w14:textId="77777777" w:rsidR="003C66EB" w:rsidRDefault="003C66EB">
            <w:pPr>
              <w:rPr>
                <w:rFonts w:ascii="宋体"/>
                <w:vanish/>
              </w:rPr>
            </w:pPr>
          </w:p>
        </w:tc>
        <w:tc>
          <w:tcPr>
            <w:tcW w:w="0" w:type="auto"/>
            <w:shd w:val="clear" w:color="auto" w:fill="auto"/>
          </w:tcPr>
          <w:p w14:paraId="5EA1F697" w14:textId="77777777" w:rsidR="003C66EB" w:rsidRDefault="003C66EB">
            <w:pPr>
              <w:rPr>
                <w:rFonts w:ascii="宋体"/>
                <w:vanish/>
              </w:rPr>
            </w:pPr>
          </w:p>
        </w:tc>
        <w:tc>
          <w:tcPr>
            <w:tcW w:w="0" w:type="auto"/>
            <w:shd w:val="clear" w:color="auto" w:fill="auto"/>
          </w:tcPr>
          <w:p w14:paraId="5EA1F698" w14:textId="77777777" w:rsidR="003C66EB" w:rsidRDefault="003C66EB">
            <w:pPr>
              <w:rPr>
                <w:rFonts w:ascii="宋体"/>
                <w:vanish/>
              </w:rPr>
            </w:pPr>
          </w:p>
        </w:tc>
        <w:tc>
          <w:tcPr>
            <w:tcW w:w="0" w:type="auto"/>
            <w:shd w:val="clear" w:color="auto" w:fill="auto"/>
          </w:tcPr>
          <w:p w14:paraId="5EA1F699" w14:textId="77777777" w:rsidR="003C66EB" w:rsidRDefault="003C66EB">
            <w:pPr>
              <w:rPr>
                <w:rFonts w:ascii="宋体"/>
                <w:vanish/>
              </w:rPr>
            </w:pPr>
          </w:p>
        </w:tc>
        <w:tc>
          <w:tcPr>
            <w:tcW w:w="0" w:type="auto"/>
            <w:shd w:val="clear" w:color="auto" w:fill="auto"/>
          </w:tcPr>
          <w:p w14:paraId="5EA1F69A" w14:textId="77777777" w:rsidR="003C66EB" w:rsidRDefault="003C66EB">
            <w:pPr>
              <w:rPr>
                <w:rFonts w:ascii="宋体"/>
                <w:vanish/>
              </w:rPr>
            </w:pPr>
          </w:p>
        </w:tc>
        <w:tc>
          <w:tcPr>
            <w:tcW w:w="0" w:type="auto"/>
            <w:shd w:val="clear" w:color="auto" w:fill="auto"/>
          </w:tcPr>
          <w:p w14:paraId="5EA1F69B" w14:textId="77777777" w:rsidR="003C66EB" w:rsidRDefault="003C66EB">
            <w:pPr>
              <w:rPr>
                <w:rFonts w:ascii="宋体"/>
                <w:vanish/>
              </w:rPr>
            </w:pPr>
          </w:p>
        </w:tc>
      </w:tr>
      <w:tr w:rsidR="003C66EB" w14:paraId="5EA1F6B1" w14:textId="77777777">
        <w:tc>
          <w:tcPr>
            <w:tcW w:w="0" w:type="auto"/>
            <w:gridSpan w:val="3"/>
            <w:shd w:val="clear" w:color="auto" w:fill="FFFFFF"/>
            <w:tcMar>
              <w:top w:w="40" w:type="dxa"/>
              <w:left w:w="20" w:type="dxa"/>
              <w:bottom w:w="40" w:type="dxa"/>
              <w:right w:w="20" w:type="dxa"/>
            </w:tcMar>
            <w:vAlign w:val="bottom"/>
          </w:tcPr>
          <w:p w14:paraId="5EA1F69D" w14:textId="77777777" w:rsidR="003C66EB" w:rsidRDefault="00D96C4E">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69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69F" w14:textId="77777777" w:rsidR="003C66EB" w:rsidRDefault="00D96C4E">
            <w:pPr>
              <w:jc w:val="right"/>
              <w:textAlignment w:val="bottom"/>
            </w:pPr>
            <w:r>
              <w:rPr>
                <w:rFonts w:ascii="Arial" w:eastAsia="宋体" w:hAnsi="Arial" w:cs="Arial"/>
                <w:b/>
                <w:bCs/>
                <w:color w:val="000000"/>
                <w:sz w:val="15"/>
                <w:szCs w:val="15"/>
              </w:rPr>
              <w:t>3,591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6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6A1"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6A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6A3" w14:textId="77777777" w:rsidR="003C66EB" w:rsidRDefault="00D96C4E">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6A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6A5"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6A6"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6A7" w14:textId="77777777" w:rsidR="003C66EB" w:rsidRDefault="00D96C4E">
            <w:pPr>
              <w:jc w:val="right"/>
              <w:textAlignment w:val="bottom"/>
            </w:pPr>
            <w:r>
              <w:rPr>
                <w:rFonts w:ascii="Arial" w:eastAsia="宋体" w:hAnsi="Arial" w:cs="Arial"/>
                <w:color w:val="000000"/>
                <w:sz w:val="15"/>
                <w:szCs w:val="15"/>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6A8" w14:textId="77777777" w:rsidR="003C66EB" w:rsidRDefault="003C66EB">
            <w:pPr>
              <w:jc w:val="right"/>
              <w:rPr>
                <w:rFonts w:ascii="宋体"/>
              </w:rPr>
            </w:pPr>
          </w:p>
        </w:tc>
        <w:tc>
          <w:tcPr>
            <w:tcW w:w="0" w:type="auto"/>
            <w:shd w:val="clear" w:color="auto" w:fill="auto"/>
          </w:tcPr>
          <w:p w14:paraId="5EA1F6A9" w14:textId="77777777" w:rsidR="003C66EB" w:rsidRDefault="003C66EB">
            <w:pPr>
              <w:rPr>
                <w:rFonts w:ascii="宋体"/>
                <w:vanish/>
              </w:rPr>
            </w:pPr>
          </w:p>
        </w:tc>
        <w:tc>
          <w:tcPr>
            <w:tcW w:w="0" w:type="auto"/>
            <w:shd w:val="clear" w:color="auto" w:fill="auto"/>
          </w:tcPr>
          <w:p w14:paraId="5EA1F6AA" w14:textId="77777777" w:rsidR="003C66EB" w:rsidRDefault="003C66EB">
            <w:pPr>
              <w:rPr>
                <w:rFonts w:ascii="宋体"/>
                <w:vanish/>
              </w:rPr>
            </w:pPr>
          </w:p>
        </w:tc>
        <w:tc>
          <w:tcPr>
            <w:tcW w:w="0" w:type="auto"/>
            <w:shd w:val="clear" w:color="auto" w:fill="auto"/>
          </w:tcPr>
          <w:p w14:paraId="5EA1F6AB" w14:textId="77777777" w:rsidR="003C66EB" w:rsidRDefault="003C66EB">
            <w:pPr>
              <w:rPr>
                <w:rFonts w:ascii="宋体"/>
                <w:vanish/>
              </w:rPr>
            </w:pPr>
          </w:p>
        </w:tc>
        <w:tc>
          <w:tcPr>
            <w:tcW w:w="0" w:type="auto"/>
            <w:shd w:val="clear" w:color="auto" w:fill="auto"/>
          </w:tcPr>
          <w:p w14:paraId="5EA1F6AC" w14:textId="77777777" w:rsidR="003C66EB" w:rsidRDefault="003C66EB">
            <w:pPr>
              <w:rPr>
                <w:rFonts w:ascii="宋体"/>
                <w:vanish/>
              </w:rPr>
            </w:pPr>
          </w:p>
        </w:tc>
        <w:tc>
          <w:tcPr>
            <w:tcW w:w="0" w:type="auto"/>
            <w:shd w:val="clear" w:color="auto" w:fill="auto"/>
          </w:tcPr>
          <w:p w14:paraId="5EA1F6AD" w14:textId="77777777" w:rsidR="003C66EB" w:rsidRDefault="003C66EB">
            <w:pPr>
              <w:rPr>
                <w:rFonts w:ascii="宋体"/>
                <w:vanish/>
              </w:rPr>
            </w:pPr>
          </w:p>
        </w:tc>
        <w:tc>
          <w:tcPr>
            <w:tcW w:w="0" w:type="auto"/>
            <w:shd w:val="clear" w:color="auto" w:fill="auto"/>
          </w:tcPr>
          <w:p w14:paraId="5EA1F6AE" w14:textId="77777777" w:rsidR="003C66EB" w:rsidRDefault="003C66EB">
            <w:pPr>
              <w:rPr>
                <w:rFonts w:ascii="宋体"/>
                <w:vanish/>
              </w:rPr>
            </w:pPr>
          </w:p>
        </w:tc>
        <w:tc>
          <w:tcPr>
            <w:tcW w:w="0" w:type="auto"/>
            <w:shd w:val="clear" w:color="auto" w:fill="auto"/>
          </w:tcPr>
          <w:p w14:paraId="5EA1F6AF" w14:textId="77777777" w:rsidR="003C66EB" w:rsidRDefault="003C66EB">
            <w:pPr>
              <w:rPr>
                <w:rFonts w:ascii="宋体"/>
                <w:vanish/>
              </w:rPr>
            </w:pPr>
          </w:p>
        </w:tc>
        <w:tc>
          <w:tcPr>
            <w:tcW w:w="0" w:type="auto"/>
            <w:shd w:val="clear" w:color="auto" w:fill="auto"/>
          </w:tcPr>
          <w:p w14:paraId="5EA1F6B0" w14:textId="77777777" w:rsidR="003C66EB" w:rsidRDefault="003C66EB">
            <w:pPr>
              <w:rPr>
                <w:rFonts w:ascii="宋体"/>
                <w:vanish/>
              </w:rPr>
            </w:pPr>
          </w:p>
        </w:tc>
      </w:tr>
    </w:tbl>
    <w:p w14:paraId="5EA1F6B2"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1F6B9" w14:textId="77777777">
        <w:tc>
          <w:tcPr>
            <w:tcW w:w="50" w:type="pct"/>
            <w:shd w:val="clear" w:color="auto" w:fill="auto"/>
          </w:tcPr>
          <w:p w14:paraId="5EA1F6B3" w14:textId="77777777" w:rsidR="003C66EB" w:rsidRDefault="003C66EB">
            <w:pPr>
              <w:rPr>
                <w:rFonts w:ascii="宋体"/>
              </w:rPr>
            </w:pPr>
          </w:p>
        </w:tc>
        <w:tc>
          <w:tcPr>
            <w:tcW w:w="1348" w:type="pct"/>
            <w:shd w:val="clear" w:color="auto" w:fill="auto"/>
          </w:tcPr>
          <w:p w14:paraId="5EA1F6B4" w14:textId="77777777" w:rsidR="003C66EB" w:rsidRDefault="003C66EB">
            <w:pPr>
              <w:rPr>
                <w:rFonts w:ascii="宋体"/>
              </w:rPr>
            </w:pPr>
          </w:p>
        </w:tc>
        <w:tc>
          <w:tcPr>
            <w:tcW w:w="5" w:type="pct"/>
            <w:shd w:val="clear" w:color="auto" w:fill="auto"/>
          </w:tcPr>
          <w:p w14:paraId="5EA1F6B5" w14:textId="77777777" w:rsidR="003C66EB" w:rsidRDefault="003C66EB">
            <w:pPr>
              <w:rPr>
                <w:rFonts w:ascii="宋体"/>
              </w:rPr>
            </w:pPr>
          </w:p>
        </w:tc>
        <w:tc>
          <w:tcPr>
            <w:tcW w:w="50" w:type="pct"/>
            <w:shd w:val="clear" w:color="auto" w:fill="auto"/>
          </w:tcPr>
          <w:p w14:paraId="5EA1F6B6" w14:textId="77777777" w:rsidR="003C66EB" w:rsidRDefault="003C66EB">
            <w:pPr>
              <w:rPr>
                <w:rFonts w:ascii="宋体"/>
              </w:rPr>
            </w:pPr>
          </w:p>
        </w:tc>
        <w:tc>
          <w:tcPr>
            <w:tcW w:w="3541" w:type="pct"/>
            <w:shd w:val="clear" w:color="auto" w:fill="auto"/>
          </w:tcPr>
          <w:p w14:paraId="5EA1F6B7" w14:textId="77777777" w:rsidR="003C66EB" w:rsidRDefault="003C66EB">
            <w:pPr>
              <w:rPr>
                <w:rFonts w:ascii="宋体"/>
              </w:rPr>
            </w:pPr>
          </w:p>
        </w:tc>
        <w:tc>
          <w:tcPr>
            <w:tcW w:w="5" w:type="pct"/>
            <w:shd w:val="clear" w:color="auto" w:fill="auto"/>
          </w:tcPr>
          <w:p w14:paraId="5EA1F6B8" w14:textId="77777777" w:rsidR="003C66EB" w:rsidRDefault="003C66EB">
            <w:pPr>
              <w:rPr>
                <w:rFonts w:ascii="宋体"/>
              </w:rPr>
            </w:pPr>
          </w:p>
        </w:tc>
      </w:tr>
      <w:tr w:rsidR="003C66EB" w14:paraId="5EA1F6B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6B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6BB" w14:textId="77777777" w:rsidR="003C66EB" w:rsidRDefault="003C66EB">
            <w:pPr>
              <w:rPr>
                <w:rFonts w:ascii="宋体"/>
              </w:rPr>
            </w:pPr>
          </w:p>
        </w:tc>
      </w:tr>
    </w:tbl>
    <w:p w14:paraId="5EA1F6BD" w14:textId="77777777" w:rsidR="003C66EB" w:rsidRDefault="00D96C4E">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Geographic mix is based on client location or fund management location.</w:t>
      </w:r>
    </w:p>
    <w:tbl>
      <w:tblPr>
        <w:tblW w:w="4985" w:type="pct"/>
        <w:tblCellMar>
          <w:top w:w="15" w:type="dxa"/>
          <w:left w:w="15" w:type="dxa"/>
          <w:bottom w:w="15" w:type="dxa"/>
          <w:right w:w="15" w:type="dxa"/>
        </w:tblCellMar>
        <w:tblLook w:val="04A0" w:firstRow="1" w:lastRow="0" w:firstColumn="1" w:lastColumn="0" w:noHBand="0" w:noVBand="1"/>
      </w:tblPr>
      <w:tblGrid>
        <w:gridCol w:w="39"/>
        <w:gridCol w:w="2093"/>
        <w:gridCol w:w="38"/>
        <w:gridCol w:w="105"/>
        <w:gridCol w:w="545"/>
        <w:gridCol w:w="37"/>
        <w:gridCol w:w="36"/>
        <w:gridCol w:w="36"/>
        <w:gridCol w:w="36"/>
        <w:gridCol w:w="128"/>
        <w:gridCol w:w="977"/>
        <w:gridCol w:w="36"/>
        <w:gridCol w:w="36"/>
        <w:gridCol w:w="36"/>
        <w:gridCol w:w="36"/>
        <w:gridCol w:w="105"/>
        <w:gridCol w:w="538"/>
        <w:gridCol w:w="37"/>
        <w:gridCol w:w="36"/>
        <w:gridCol w:w="36"/>
        <w:gridCol w:w="36"/>
        <w:gridCol w:w="113"/>
        <w:gridCol w:w="1175"/>
        <w:gridCol w:w="36"/>
        <w:gridCol w:w="36"/>
        <w:gridCol w:w="36"/>
        <w:gridCol w:w="36"/>
        <w:gridCol w:w="105"/>
        <w:gridCol w:w="1034"/>
        <w:gridCol w:w="36"/>
        <w:gridCol w:w="36"/>
        <w:gridCol w:w="36"/>
        <w:gridCol w:w="36"/>
        <w:gridCol w:w="104"/>
        <w:gridCol w:w="418"/>
        <w:gridCol w:w="36"/>
        <w:gridCol w:w="36"/>
      </w:tblGrid>
      <w:tr w:rsidR="003C66EB" w14:paraId="5EA1F6E3" w14:textId="77777777">
        <w:tc>
          <w:tcPr>
            <w:tcW w:w="50" w:type="pct"/>
            <w:shd w:val="clear" w:color="auto" w:fill="auto"/>
          </w:tcPr>
          <w:p w14:paraId="5EA1F6BE" w14:textId="77777777" w:rsidR="003C66EB" w:rsidRDefault="003C66EB">
            <w:pPr>
              <w:rPr>
                <w:rFonts w:ascii="宋体"/>
              </w:rPr>
            </w:pPr>
          </w:p>
        </w:tc>
        <w:tc>
          <w:tcPr>
            <w:tcW w:w="1829" w:type="pct"/>
            <w:shd w:val="clear" w:color="auto" w:fill="auto"/>
          </w:tcPr>
          <w:p w14:paraId="5EA1F6BF" w14:textId="77777777" w:rsidR="003C66EB" w:rsidRDefault="003C66EB">
            <w:pPr>
              <w:rPr>
                <w:rFonts w:ascii="宋体"/>
              </w:rPr>
            </w:pPr>
          </w:p>
        </w:tc>
        <w:tc>
          <w:tcPr>
            <w:tcW w:w="5" w:type="pct"/>
            <w:shd w:val="clear" w:color="auto" w:fill="auto"/>
          </w:tcPr>
          <w:p w14:paraId="5EA1F6C0" w14:textId="77777777" w:rsidR="003C66EB" w:rsidRDefault="003C66EB">
            <w:pPr>
              <w:rPr>
                <w:rFonts w:ascii="宋体"/>
              </w:rPr>
            </w:pPr>
          </w:p>
        </w:tc>
        <w:tc>
          <w:tcPr>
            <w:tcW w:w="50" w:type="pct"/>
            <w:shd w:val="clear" w:color="auto" w:fill="auto"/>
          </w:tcPr>
          <w:p w14:paraId="5EA1F6C1" w14:textId="77777777" w:rsidR="003C66EB" w:rsidRDefault="003C66EB">
            <w:pPr>
              <w:rPr>
                <w:rFonts w:ascii="宋体"/>
              </w:rPr>
            </w:pPr>
          </w:p>
        </w:tc>
        <w:tc>
          <w:tcPr>
            <w:tcW w:w="465" w:type="pct"/>
            <w:shd w:val="clear" w:color="auto" w:fill="auto"/>
          </w:tcPr>
          <w:p w14:paraId="5EA1F6C2" w14:textId="77777777" w:rsidR="003C66EB" w:rsidRDefault="003C66EB">
            <w:pPr>
              <w:rPr>
                <w:rFonts w:ascii="宋体"/>
              </w:rPr>
            </w:pPr>
          </w:p>
        </w:tc>
        <w:tc>
          <w:tcPr>
            <w:tcW w:w="5" w:type="pct"/>
            <w:shd w:val="clear" w:color="auto" w:fill="auto"/>
          </w:tcPr>
          <w:p w14:paraId="5EA1F6C3" w14:textId="77777777" w:rsidR="003C66EB" w:rsidRDefault="003C66EB">
            <w:pPr>
              <w:rPr>
                <w:rFonts w:ascii="宋体"/>
              </w:rPr>
            </w:pPr>
          </w:p>
        </w:tc>
        <w:tc>
          <w:tcPr>
            <w:tcW w:w="5" w:type="pct"/>
            <w:shd w:val="clear" w:color="auto" w:fill="auto"/>
          </w:tcPr>
          <w:p w14:paraId="5EA1F6C4" w14:textId="77777777" w:rsidR="003C66EB" w:rsidRDefault="003C66EB">
            <w:pPr>
              <w:rPr>
                <w:rFonts w:ascii="宋体"/>
              </w:rPr>
            </w:pPr>
          </w:p>
        </w:tc>
        <w:tc>
          <w:tcPr>
            <w:tcW w:w="26" w:type="pct"/>
            <w:shd w:val="clear" w:color="auto" w:fill="auto"/>
          </w:tcPr>
          <w:p w14:paraId="5EA1F6C5" w14:textId="77777777" w:rsidR="003C66EB" w:rsidRDefault="003C66EB">
            <w:pPr>
              <w:rPr>
                <w:rFonts w:ascii="宋体"/>
              </w:rPr>
            </w:pPr>
          </w:p>
        </w:tc>
        <w:tc>
          <w:tcPr>
            <w:tcW w:w="5" w:type="pct"/>
            <w:shd w:val="clear" w:color="auto" w:fill="auto"/>
          </w:tcPr>
          <w:p w14:paraId="5EA1F6C6" w14:textId="77777777" w:rsidR="003C66EB" w:rsidRDefault="003C66EB">
            <w:pPr>
              <w:rPr>
                <w:rFonts w:ascii="宋体"/>
              </w:rPr>
            </w:pPr>
          </w:p>
        </w:tc>
        <w:tc>
          <w:tcPr>
            <w:tcW w:w="50" w:type="pct"/>
            <w:shd w:val="clear" w:color="auto" w:fill="auto"/>
          </w:tcPr>
          <w:p w14:paraId="5EA1F6C7" w14:textId="77777777" w:rsidR="003C66EB" w:rsidRDefault="003C66EB">
            <w:pPr>
              <w:rPr>
                <w:rFonts w:ascii="宋体"/>
              </w:rPr>
            </w:pPr>
          </w:p>
        </w:tc>
        <w:tc>
          <w:tcPr>
            <w:tcW w:w="384" w:type="pct"/>
            <w:shd w:val="clear" w:color="auto" w:fill="auto"/>
          </w:tcPr>
          <w:p w14:paraId="5EA1F6C8" w14:textId="77777777" w:rsidR="003C66EB" w:rsidRDefault="003C66EB">
            <w:pPr>
              <w:rPr>
                <w:rFonts w:ascii="宋体"/>
              </w:rPr>
            </w:pPr>
          </w:p>
        </w:tc>
        <w:tc>
          <w:tcPr>
            <w:tcW w:w="5" w:type="pct"/>
            <w:shd w:val="clear" w:color="auto" w:fill="auto"/>
          </w:tcPr>
          <w:p w14:paraId="5EA1F6C9" w14:textId="77777777" w:rsidR="003C66EB" w:rsidRDefault="003C66EB">
            <w:pPr>
              <w:rPr>
                <w:rFonts w:ascii="宋体"/>
              </w:rPr>
            </w:pPr>
          </w:p>
        </w:tc>
        <w:tc>
          <w:tcPr>
            <w:tcW w:w="5" w:type="pct"/>
            <w:shd w:val="clear" w:color="auto" w:fill="auto"/>
          </w:tcPr>
          <w:p w14:paraId="5EA1F6CA" w14:textId="77777777" w:rsidR="003C66EB" w:rsidRDefault="003C66EB">
            <w:pPr>
              <w:rPr>
                <w:rFonts w:ascii="宋体"/>
              </w:rPr>
            </w:pPr>
          </w:p>
        </w:tc>
        <w:tc>
          <w:tcPr>
            <w:tcW w:w="26" w:type="pct"/>
            <w:shd w:val="clear" w:color="auto" w:fill="auto"/>
          </w:tcPr>
          <w:p w14:paraId="5EA1F6CB" w14:textId="77777777" w:rsidR="003C66EB" w:rsidRDefault="003C66EB">
            <w:pPr>
              <w:rPr>
                <w:rFonts w:ascii="宋体"/>
              </w:rPr>
            </w:pPr>
          </w:p>
        </w:tc>
        <w:tc>
          <w:tcPr>
            <w:tcW w:w="5" w:type="pct"/>
            <w:shd w:val="clear" w:color="auto" w:fill="auto"/>
          </w:tcPr>
          <w:p w14:paraId="5EA1F6CC" w14:textId="77777777" w:rsidR="003C66EB" w:rsidRDefault="003C66EB">
            <w:pPr>
              <w:rPr>
                <w:rFonts w:ascii="宋体"/>
              </w:rPr>
            </w:pPr>
          </w:p>
        </w:tc>
        <w:tc>
          <w:tcPr>
            <w:tcW w:w="50" w:type="pct"/>
            <w:shd w:val="clear" w:color="auto" w:fill="auto"/>
          </w:tcPr>
          <w:p w14:paraId="5EA1F6CD" w14:textId="77777777" w:rsidR="003C66EB" w:rsidRDefault="003C66EB">
            <w:pPr>
              <w:rPr>
                <w:rFonts w:ascii="宋体"/>
              </w:rPr>
            </w:pPr>
          </w:p>
        </w:tc>
        <w:tc>
          <w:tcPr>
            <w:tcW w:w="333" w:type="pct"/>
            <w:shd w:val="clear" w:color="auto" w:fill="auto"/>
          </w:tcPr>
          <w:p w14:paraId="5EA1F6CE" w14:textId="77777777" w:rsidR="003C66EB" w:rsidRDefault="003C66EB">
            <w:pPr>
              <w:rPr>
                <w:rFonts w:ascii="宋体"/>
              </w:rPr>
            </w:pPr>
          </w:p>
        </w:tc>
        <w:tc>
          <w:tcPr>
            <w:tcW w:w="5" w:type="pct"/>
            <w:shd w:val="clear" w:color="auto" w:fill="auto"/>
          </w:tcPr>
          <w:p w14:paraId="5EA1F6CF" w14:textId="77777777" w:rsidR="003C66EB" w:rsidRDefault="003C66EB">
            <w:pPr>
              <w:rPr>
                <w:rFonts w:ascii="宋体"/>
              </w:rPr>
            </w:pPr>
          </w:p>
        </w:tc>
        <w:tc>
          <w:tcPr>
            <w:tcW w:w="5" w:type="pct"/>
            <w:shd w:val="clear" w:color="auto" w:fill="auto"/>
          </w:tcPr>
          <w:p w14:paraId="5EA1F6D0" w14:textId="77777777" w:rsidR="003C66EB" w:rsidRDefault="003C66EB">
            <w:pPr>
              <w:rPr>
                <w:rFonts w:ascii="宋体"/>
              </w:rPr>
            </w:pPr>
          </w:p>
        </w:tc>
        <w:tc>
          <w:tcPr>
            <w:tcW w:w="26" w:type="pct"/>
            <w:shd w:val="clear" w:color="auto" w:fill="auto"/>
          </w:tcPr>
          <w:p w14:paraId="5EA1F6D1" w14:textId="77777777" w:rsidR="003C66EB" w:rsidRDefault="003C66EB">
            <w:pPr>
              <w:rPr>
                <w:rFonts w:ascii="宋体"/>
              </w:rPr>
            </w:pPr>
          </w:p>
        </w:tc>
        <w:tc>
          <w:tcPr>
            <w:tcW w:w="5" w:type="pct"/>
            <w:shd w:val="clear" w:color="auto" w:fill="auto"/>
          </w:tcPr>
          <w:p w14:paraId="5EA1F6D2" w14:textId="77777777" w:rsidR="003C66EB" w:rsidRDefault="003C66EB">
            <w:pPr>
              <w:rPr>
                <w:rFonts w:ascii="宋体"/>
              </w:rPr>
            </w:pPr>
          </w:p>
        </w:tc>
        <w:tc>
          <w:tcPr>
            <w:tcW w:w="50" w:type="pct"/>
            <w:shd w:val="clear" w:color="auto" w:fill="auto"/>
          </w:tcPr>
          <w:p w14:paraId="5EA1F6D3" w14:textId="77777777" w:rsidR="003C66EB" w:rsidRDefault="003C66EB">
            <w:pPr>
              <w:rPr>
                <w:rFonts w:ascii="宋体"/>
              </w:rPr>
            </w:pPr>
          </w:p>
        </w:tc>
        <w:tc>
          <w:tcPr>
            <w:tcW w:w="524" w:type="pct"/>
            <w:shd w:val="clear" w:color="auto" w:fill="auto"/>
          </w:tcPr>
          <w:p w14:paraId="5EA1F6D4" w14:textId="77777777" w:rsidR="003C66EB" w:rsidRDefault="003C66EB">
            <w:pPr>
              <w:rPr>
                <w:rFonts w:ascii="宋体"/>
              </w:rPr>
            </w:pPr>
          </w:p>
        </w:tc>
        <w:tc>
          <w:tcPr>
            <w:tcW w:w="5" w:type="pct"/>
            <w:shd w:val="clear" w:color="auto" w:fill="auto"/>
          </w:tcPr>
          <w:p w14:paraId="5EA1F6D5" w14:textId="77777777" w:rsidR="003C66EB" w:rsidRDefault="003C66EB">
            <w:pPr>
              <w:rPr>
                <w:rFonts w:ascii="宋体"/>
              </w:rPr>
            </w:pPr>
          </w:p>
        </w:tc>
        <w:tc>
          <w:tcPr>
            <w:tcW w:w="5" w:type="pct"/>
            <w:shd w:val="clear" w:color="auto" w:fill="auto"/>
          </w:tcPr>
          <w:p w14:paraId="5EA1F6D6" w14:textId="77777777" w:rsidR="003C66EB" w:rsidRDefault="003C66EB">
            <w:pPr>
              <w:rPr>
                <w:rFonts w:ascii="宋体"/>
              </w:rPr>
            </w:pPr>
          </w:p>
        </w:tc>
        <w:tc>
          <w:tcPr>
            <w:tcW w:w="26" w:type="pct"/>
            <w:shd w:val="clear" w:color="auto" w:fill="auto"/>
          </w:tcPr>
          <w:p w14:paraId="5EA1F6D7" w14:textId="77777777" w:rsidR="003C66EB" w:rsidRDefault="003C66EB">
            <w:pPr>
              <w:rPr>
                <w:rFonts w:ascii="宋体"/>
              </w:rPr>
            </w:pPr>
          </w:p>
        </w:tc>
        <w:tc>
          <w:tcPr>
            <w:tcW w:w="5" w:type="pct"/>
            <w:shd w:val="clear" w:color="auto" w:fill="auto"/>
          </w:tcPr>
          <w:p w14:paraId="5EA1F6D8" w14:textId="77777777" w:rsidR="003C66EB" w:rsidRDefault="003C66EB">
            <w:pPr>
              <w:rPr>
                <w:rFonts w:ascii="宋体"/>
              </w:rPr>
            </w:pPr>
          </w:p>
        </w:tc>
        <w:tc>
          <w:tcPr>
            <w:tcW w:w="50" w:type="pct"/>
            <w:shd w:val="clear" w:color="auto" w:fill="auto"/>
          </w:tcPr>
          <w:p w14:paraId="5EA1F6D9" w14:textId="77777777" w:rsidR="003C66EB" w:rsidRDefault="003C66EB">
            <w:pPr>
              <w:rPr>
                <w:rFonts w:ascii="宋体"/>
              </w:rPr>
            </w:pPr>
          </w:p>
        </w:tc>
        <w:tc>
          <w:tcPr>
            <w:tcW w:w="560" w:type="pct"/>
            <w:shd w:val="clear" w:color="auto" w:fill="auto"/>
          </w:tcPr>
          <w:p w14:paraId="5EA1F6DA" w14:textId="77777777" w:rsidR="003C66EB" w:rsidRDefault="003C66EB">
            <w:pPr>
              <w:rPr>
                <w:rFonts w:ascii="宋体"/>
              </w:rPr>
            </w:pPr>
          </w:p>
        </w:tc>
        <w:tc>
          <w:tcPr>
            <w:tcW w:w="5" w:type="pct"/>
            <w:shd w:val="clear" w:color="auto" w:fill="auto"/>
          </w:tcPr>
          <w:p w14:paraId="5EA1F6DB" w14:textId="77777777" w:rsidR="003C66EB" w:rsidRDefault="003C66EB">
            <w:pPr>
              <w:rPr>
                <w:rFonts w:ascii="宋体"/>
              </w:rPr>
            </w:pPr>
          </w:p>
        </w:tc>
        <w:tc>
          <w:tcPr>
            <w:tcW w:w="5" w:type="pct"/>
            <w:shd w:val="clear" w:color="auto" w:fill="auto"/>
          </w:tcPr>
          <w:p w14:paraId="5EA1F6DC" w14:textId="77777777" w:rsidR="003C66EB" w:rsidRDefault="003C66EB">
            <w:pPr>
              <w:rPr>
                <w:rFonts w:ascii="宋体"/>
              </w:rPr>
            </w:pPr>
          </w:p>
        </w:tc>
        <w:tc>
          <w:tcPr>
            <w:tcW w:w="26" w:type="pct"/>
            <w:shd w:val="clear" w:color="auto" w:fill="auto"/>
          </w:tcPr>
          <w:p w14:paraId="5EA1F6DD" w14:textId="77777777" w:rsidR="003C66EB" w:rsidRDefault="003C66EB">
            <w:pPr>
              <w:rPr>
                <w:rFonts w:ascii="宋体"/>
              </w:rPr>
            </w:pPr>
          </w:p>
        </w:tc>
        <w:tc>
          <w:tcPr>
            <w:tcW w:w="5" w:type="pct"/>
            <w:shd w:val="clear" w:color="auto" w:fill="auto"/>
          </w:tcPr>
          <w:p w14:paraId="5EA1F6DE" w14:textId="77777777" w:rsidR="003C66EB" w:rsidRDefault="003C66EB">
            <w:pPr>
              <w:rPr>
                <w:rFonts w:ascii="宋体"/>
              </w:rPr>
            </w:pPr>
          </w:p>
        </w:tc>
        <w:tc>
          <w:tcPr>
            <w:tcW w:w="50" w:type="pct"/>
            <w:shd w:val="clear" w:color="auto" w:fill="auto"/>
          </w:tcPr>
          <w:p w14:paraId="5EA1F6DF" w14:textId="77777777" w:rsidR="003C66EB" w:rsidRDefault="003C66EB">
            <w:pPr>
              <w:rPr>
                <w:rFonts w:ascii="宋体"/>
              </w:rPr>
            </w:pPr>
          </w:p>
        </w:tc>
        <w:tc>
          <w:tcPr>
            <w:tcW w:w="333" w:type="pct"/>
            <w:shd w:val="clear" w:color="auto" w:fill="auto"/>
          </w:tcPr>
          <w:p w14:paraId="5EA1F6E0" w14:textId="77777777" w:rsidR="003C66EB" w:rsidRDefault="003C66EB">
            <w:pPr>
              <w:rPr>
                <w:rFonts w:ascii="宋体"/>
              </w:rPr>
            </w:pPr>
          </w:p>
        </w:tc>
        <w:tc>
          <w:tcPr>
            <w:tcW w:w="5" w:type="pct"/>
            <w:shd w:val="clear" w:color="auto" w:fill="auto"/>
          </w:tcPr>
          <w:p w14:paraId="5EA1F6E1" w14:textId="77777777" w:rsidR="003C66EB" w:rsidRDefault="003C66EB">
            <w:pPr>
              <w:rPr>
                <w:rFonts w:ascii="宋体"/>
              </w:rPr>
            </w:pPr>
          </w:p>
        </w:tc>
        <w:tc>
          <w:tcPr>
            <w:tcW w:w="0" w:type="auto"/>
            <w:shd w:val="clear" w:color="auto" w:fill="auto"/>
          </w:tcPr>
          <w:p w14:paraId="5EA1F6E2" w14:textId="77777777" w:rsidR="003C66EB" w:rsidRDefault="003C66EB">
            <w:pPr>
              <w:rPr>
                <w:rFonts w:ascii="宋体"/>
                <w:vanish/>
              </w:rPr>
            </w:pPr>
          </w:p>
        </w:tc>
      </w:tr>
      <w:tr w:rsidR="003C66EB" w14:paraId="5EA1F6E6" w14:textId="77777777">
        <w:tc>
          <w:tcPr>
            <w:tcW w:w="0" w:type="auto"/>
            <w:gridSpan w:val="36"/>
            <w:shd w:val="clear" w:color="auto" w:fill="auto"/>
            <w:tcMar>
              <w:top w:w="40" w:type="dxa"/>
              <w:left w:w="20" w:type="dxa"/>
              <w:bottom w:w="40" w:type="dxa"/>
              <w:right w:w="20" w:type="dxa"/>
            </w:tcMar>
            <w:vAlign w:val="bottom"/>
          </w:tcPr>
          <w:p w14:paraId="5EA1F6E4" w14:textId="77777777" w:rsidR="003C66EB" w:rsidRDefault="00D96C4E">
            <w:pPr>
              <w:textAlignment w:val="bottom"/>
            </w:pPr>
            <w:r>
              <w:rPr>
                <w:rFonts w:ascii="Arial" w:eastAsia="宋体" w:hAnsi="Arial" w:cs="Arial"/>
                <w:b/>
                <w:bCs/>
                <w:color w:val="000000"/>
                <w:sz w:val="16"/>
                <w:szCs w:val="16"/>
              </w:rPr>
              <w:t>TABLE 18: ACTIVITY IN ASSETS UNDER MANAGEMENT BY PRODUCT CATEGORY</w:t>
            </w:r>
          </w:p>
        </w:tc>
        <w:tc>
          <w:tcPr>
            <w:tcW w:w="0" w:type="auto"/>
            <w:shd w:val="clear" w:color="auto" w:fill="auto"/>
          </w:tcPr>
          <w:p w14:paraId="5EA1F6E5" w14:textId="77777777" w:rsidR="003C66EB" w:rsidRDefault="003C66EB">
            <w:pPr>
              <w:rPr>
                <w:rFonts w:ascii="宋体"/>
                <w:vanish/>
              </w:rPr>
            </w:pPr>
          </w:p>
        </w:tc>
      </w:tr>
      <w:tr w:rsidR="003C66EB" w14:paraId="5EA1F6F4" w14:textId="77777777">
        <w:tc>
          <w:tcPr>
            <w:tcW w:w="0" w:type="auto"/>
            <w:gridSpan w:val="3"/>
            <w:shd w:val="clear" w:color="auto" w:fill="auto"/>
            <w:tcMar>
              <w:top w:w="40" w:type="dxa"/>
              <w:left w:w="20" w:type="dxa"/>
              <w:bottom w:w="40" w:type="dxa"/>
              <w:right w:w="20" w:type="dxa"/>
            </w:tcMar>
            <w:vAlign w:val="bottom"/>
          </w:tcPr>
          <w:p w14:paraId="5EA1F6E7" w14:textId="77777777" w:rsidR="003C66EB" w:rsidRDefault="00D96C4E">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5EA1F6E8" w14:textId="77777777" w:rsidR="003C66EB" w:rsidRDefault="00D96C4E">
            <w:pPr>
              <w:jc w:val="center"/>
              <w:textAlignment w:val="bottom"/>
            </w:pPr>
            <w:r>
              <w:rPr>
                <w:rFonts w:ascii="Arial" w:eastAsia="宋体" w:hAnsi="Arial" w:cs="Arial"/>
                <w:b/>
                <w:bCs/>
                <w:color w:val="000000"/>
                <w:sz w:val="15"/>
                <w:szCs w:val="15"/>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1F6E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EA" w14:textId="77777777" w:rsidR="003C66EB" w:rsidRDefault="00D96C4E">
            <w:pPr>
              <w:jc w:val="center"/>
              <w:textAlignment w:val="bottom"/>
            </w:pPr>
            <w:r>
              <w:rPr>
                <w:rFonts w:ascii="Arial" w:eastAsia="宋体" w:hAnsi="Arial" w:cs="Arial"/>
                <w:b/>
                <w:bCs/>
                <w:color w:val="000000"/>
                <w:sz w:val="15"/>
                <w:szCs w:val="15"/>
              </w:rPr>
              <w:t>Fixed-In</w:t>
            </w:r>
            <w:r>
              <w:rPr>
                <w:rFonts w:ascii="Arial" w:eastAsia="宋体" w:hAnsi="Arial" w:cs="Arial"/>
                <w:b/>
                <w:bCs/>
                <w:color w:val="000000"/>
                <w:sz w:val="15"/>
                <w:szCs w:val="15"/>
              </w:rPr>
              <w:t>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1F6E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EC" w14:textId="77777777" w:rsidR="003C66EB" w:rsidRDefault="00D96C4E">
            <w:pPr>
              <w:jc w:val="center"/>
              <w:textAlignment w:val="bottom"/>
            </w:pPr>
            <w:r>
              <w:rPr>
                <w:rFonts w:ascii="Arial" w:eastAsia="宋体" w:hAnsi="Arial" w:cs="Arial"/>
                <w:b/>
                <w:bCs/>
                <w:color w:val="000000"/>
                <w:sz w:val="15"/>
                <w:szCs w:val="15"/>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tcPr>
          <w:p w14:paraId="5EA1F6E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EE" w14:textId="77777777" w:rsidR="003C66EB" w:rsidRDefault="00D96C4E">
            <w:pPr>
              <w:jc w:val="center"/>
              <w:textAlignment w:val="bottom"/>
            </w:pPr>
            <w:r>
              <w:rPr>
                <w:rFonts w:ascii="Arial" w:eastAsia="宋体" w:hAnsi="Arial" w:cs="Arial"/>
                <w:b/>
                <w:bCs/>
                <w:color w:val="000000"/>
                <w:sz w:val="15"/>
                <w:szCs w:val="15"/>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1F6E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F0" w14:textId="77777777" w:rsidR="003C66EB" w:rsidRDefault="00D96C4E">
            <w:pPr>
              <w:jc w:val="center"/>
              <w:textAlignment w:val="bottom"/>
            </w:pPr>
            <w:r>
              <w:rPr>
                <w:rFonts w:ascii="Arial" w:eastAsia="宋体" w:hAnsi="Arial" w:cs="Arial"/>
                <w:b/>
                <w:bCs/>
                <w:color w:val="000000"/>
                <w:sz w:val="15"/>
                <w:szCs w:val="15"/>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tcPr>
          <w:p w14:paraId="5EA1F6F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6F2" w14:textId="77777777" w:rsidR="003C66EB" w:rsidRDefault="00D96C4E">
            <w:pPr>
              <w:jc w:val="center"/>
              <w:textAlignment w:val="bottom"/>
            </w:pPr>
            <w:r>
              <w:rPr>
                <w:rFonts w:ascii="Arial" w:eastAsia="宋体" w:hAnsi="Arial" w:cs="Arial"/>
                <w:b/>
                <w:bCs/>
                <w:color w:val="000000"/>
                <w:sz w:val="15"/>
                <w:szCs w:val="15"/>
              </w:rPr>
              <w:t>Total</w:t>
            </w:r>
          </w:p>
        </w:tc>
        <w:tc>
          <w:tcPr>
            <w:tcW w:w="0" w:type="auto"/>
            <w:shd w:val="clear" w:color="auto" w:fill="auto"/>
          </w:tcPr>
          <w:p w14:paraId="5EA1F6F3" w14:textId="77777777" w:rsidR="003C66EB" w:rsidRDefault="003C66EB">
            <w:pPr>
              <w:rPr>
                <w:rFonts w:ascii="宋体"/>
                <w:vanish/>
              </w:rPr>
            </w:pPr>
          </w:p>
        </w:tc>
      </w:tr>
      <w:tr w:rsidR="003C66EB" w14:paraId="5EA1F702" w14:textId="77777777">
        <w:trPr>
          <w:hidden/>
        </w:trPr>
        <w:tc>
          <w:tcPr>
            <w:tcW w:w="0" w:type="auto"/>
            <w:gridSpan w:val="3"/>
            <w:shd w:val="clear" w:color="auto" w:fill="auto"/>
          </w:tcPr>
          <w:p w14:paraId="5EA1F6F5" w14:textId="77777777" w:rsidR="003C66EB" w:rsidRDefault="003C66EB">
            <w:pPr>
              <w:rPr>
                <w:rFonts w:ascii="宋体"/>
                <w:vanish/>
              </w:rPr>
            </w:pPr>
          </w:p>
        </w:tc>
        <w:tc>
          <w:tcPr>
            <w:tcW w:w="0" w:type="auto"/>
            <w:gridSpan w:val="3"/>
            <w:shd w:val="clear" w:color="auto" w:fill="auto"/>
          </w:tcPr>
          <w:p w14:paraId="5EA1F6F6" w14:textId="77777777" w:rsidR="003C66EB" w:rsidRDefault="003C66EB">
            <w:pPr>
              <w:rPr>
                <w:rFonts w:ascii="宋体"/>
                <w:vanish/>
              </w:rPr>
            </w:pPr>
          </w:p>
        </w:tc>
        <w:tc>
          <w:tcPr>
            <w:tcW w:w="0" w:type="auto"/>
            <w:gridSpan w:val="3"/>
            <w:shd w:val="clear" w:color="auto" w:fill="auto"/>
          </w:tcPr>
          <w:p w14:paraId="5EA1F6F7" w14:textId="77777777" w:rsidR="003C66EB" w:rsidRDefault="003C66EB">
            <w:pPr>
              <w:rPr>
                <w:rFonts w:ascii="宋体"/>
                <w:vanish/>
              </w:rPr>
            </w:pPr>
          </w:p>
        </w:tc>
        <w:tc>
          <w:tcPr>
            <w:tcW w:w="0" w:type="auto"/>
            <w:gridSpan w:val="3"/>
            <w:shd w:val="clear" w:color="auto" w:fill="auto"/>
          </w:tcPr>
          <w:p w14:paraId="5EA1F6F8" w14:textId="77777777" w:rsidR="003C66EB" w:rsidRDefault="003C66EB">
            <w:pPr>
              <w:rPr>
                <w:rFonts w:ascii="宋体"/>
                <w:vanish/>
              </w:rPr>
            </w:pPr>
          </w:p>
        </w:tc>
        <w:tc>
          <w:tcPr>
            <w:tcW w:w="0" w:type="auto"/>
            <w:gridSpan w:val="3"/>
            <w:shd w:val="clear" w:color="auto" w:fill="auto"/>
          </w:tcPr>
          <w:p w14:paraId="5EA1F6F9" w14:textId="77777777" w:rsidR="003C66EB" w:rsidRDefault="003C66EB">
            <w:pPr>
              <w:rPr>
                <w:rFonts w:ascii="宋体"/>
                <w:vanish/>
              </w:rPr>
            </w:pPr>
          </w:p>
        </w:tc>
        <w:tc>
          <w:tcPr>
            <w:tcW w:w="0" w:type="auto"/>
            <w:gridSpan w:val="3"/>
            <w:shd w:val="clear" w:color="auto" w:fill="auto"/>
          </w:tcPr>
          <w:p w14:paraId="5EA1F6FA" w14:textId="77777777" w:rsidR="003C66EB" w:rsidRDefault="003C66EB">
            <w:pPr>
              <w:rPr>
                <w:rFonts w:ascii="宋体"/>
                <w:vanish/>
              </w:rPr>
            </w:pPr>
          </w:p>
        </w:tc>
        <w:tc>
          <w:tcPr>
            <w:tcW w:w="0" w:type="auto"/>
            <w:gridSpan w:val="3"/>
            <w:shd w:val="clear" w:color="auto" w:fill="auto"/>
          </w:tcPr>
          <w:p w14:paraId="5EA1F6FB" w14:textId="77777777" w:rsidR="003C66EB" w:rsidRDefault="003C66EB">
            <w:pPr>
              <w:rPr>
                <w:rFonts w:ascii="宋体"/>
                <w:vanish/>
              </w:rPr>
            </w:pPr>
          </w:p>
        </w:tc>
        <w:tc>
          <w:tcPr>
            <w:tcW w:w="0" w:type="auto"/>
            <w:gridSpan w:val="3"/>
            <w:shd w:val="clear" w:color="auto" w:fill="auto"/>
          </w:tcPr>
          <w:p w14:paraId="5EA1F6FC" w14:textId="77777777" w:rsidR="003C66EB" w:rsidRDefault="003C66EB">
            <w:pPr>
              <w:rPr>
                <w:rFonts w:ascii="宋体"/>
                <w:vanish/>
              </w:rPr>
            </w:pPr>
          </w:p>
        </w:tc>
        <w:tc>
          <w:tcPr>
            <w:tcW w:w="0" w:type="auto"/>
            <w:gridSpan w:val="3"/>
            <w:shd w:val="clear" w:color="auto" w:fill="auto"/>
          </w:tcPr>
          <w:p w14:paraId="5EA1F6FD" w14:textId="77777777" w:rsidR="003C66EB" w:rsidRDefault="003C66EB">
            <w:pPr>
              <w:rPr>
                <w:rFonts w:ascii="宋体"/>
                <w:vanish/>
              </w:rPr>
            </w:pPr>
          </w:p>
        </w:tc>
        <w:tc>
          <w:tcPr>
            <w:tcW w:w="0" w:type="auto"/>
            <w:gridSpan w:val="3"/>
            <w:shd w:val="clear" w:color="auto" w:fill="auto"/>
          </w:tcPr>
          <w:p w14:paraId="5EA1F6FE" w14:textId="77777777" w:rsidR="003C66EB" w:rsidRDefault="003C66EB">
            <w:pPr>
              <w:rPr>
                <w:rFonts w:ascii="宋体"/>
                <w:vanish/>
              </w:rPr>
            </w:pPr>
          </w:p>
        </w:tc>
        <w:tc>
          <w:tcPr>
            <w:tcW w:w="0" w:type="auto"/>
            <w:gridSpan w:val="3"/>
            <w:shd w:val="clear" w:color="auto" w:fill="auto"/>
          </w:tcPr>
          <w:p w14:paraId="5EA1F6FF" w14:textId="77777777" w:rsidR="003C66EB" w:rsidRDefault="003C66EB">
            <w:pPr>
              <w:rPr>
                <w:rFonts w:ascii="宋体"/>
                <w:vanish/>
              </w:rPr>
            </w:pPr>
          </w:p>
        </w:tc>
        <w:tc>
          <w:tcPr>
            <w:tcW w:w="0" w:type="auto"/>
            <w:gridSpan w:val="3"/>
            <w:shd w:val="clear" w:color="auto" w:fill="auto"/>
          </w:tcPr>
          <w:p w14:paraId="5EA1F700" w14:textId="77777777" w:rsidR="003C66EB" w:rsidRDefault="003C66EB">
            <w:pPr>
              <w:rPr>
                <w:rFonts w:ascii="宋体"/>
                <w:vanish/>
              </w:rPr>
            </w:pPr>
          </w:p>
        </w:tc>
        <w:tc>
          <w:tcPr>
            <w:tcW w:w="0" w:type="auto"/>
            <w:shd w:val="clear" w:color="auto" w:fill="auto"/>
          </w:tcPr>
          <w:p w14:paraId="5EA1F701" w14:textId="77777777" w:rsidR="003C66EB" w:rsidRDefault="003C66EB">
            <w:pPr>
              <w:rPr>
                <w:rFonts w:ascii="宋体"/>
                <w:vanish/>
              </w:rPr>
            </w:pPr>
          </w:p>
        </w:tc>
      </w:tr>
      <w:tr w:rsidR="003C66EB" w14:paraId="5EA1F710" w14:textId="77777777">
        <w:trPr>
          <w:hidden/>
        </w:trPr>
        <w:tc>
          <w:tcPr>
            <w:tcW w:w="0" w:type="auto"/>
            <w:gridSpan w:val="3"/>
            <w:shd w:val="clear" w:color="auto" w:fill="auto"/>
          </w:tcPr>
          <w:p w14:paraId="5EA1F703" w14:textId="77777777" w:rsidR="003C66EB" w:rsidRDefault="003C66EB">
            <w:pPr>
              <w:rPr>
                <w:rFonts w:ascii="宋体"/>
                <w:vanish/>
              </w:rPr>
            </w:pPr>
          </w:p>
        </w:tc>
        <w:tc>
          <w:tcPr>
            <w:tcW w:w="0" w:type="auto"/>
            <w:gridSpan w:val="3"/>
            <w:shd w:val="clear" w:color="auto" w:fill="auto"/>
          </w:tcPr>
          <w:p w14:paraId="5EA1F704" w14:textId="77777777" w:rsidR="003C66EB" w:rsidRDefault="003C66EB">
            <w:pPr>
              <w:rPr>
                <w:rFonts w:ascii="宋体"/>
                <w:vanish/>
              </w:rPr>
            </w:pPr>
          </w:p>
        </w:tc>
        <w:tc>
          <w:tcPr>
            <w:tcW w:w="0" w:type="auto"/>
            <w:gridSpan w:val="3"/>
            <w:shd w:val="clear" w:color="auto" w:fill="auto"/>
          </w:tcPr>
          <w:p w14:paraId="5EA1F705" w14:textId="77777777" w:rsidR="003C66EB" w:rsidRDefault="003C66EB">
            <w:pPr>
              <w:rPr>
                <w:rFonts w:ascii="宋体"/>
                <w:vanish/>
              </w:rPr>
            </w:pPr>
          </w:p>
        </w:tc>
        <w:tc>
          <w:tcPr>
            <w:tcW w:w="0" w:type="auto"/>
            <w:gridSpan w:val="3"/>
            <w:shd w:val="clear" w:color="auto" w:fill="auto"/>
          </w:tcPr>
          <w:p w14:paraId="5EA1F706" w14:textId="77777777" w:rsidR="003C66EB" w:rsidRDefault="003C66EB">
            <w:pPr>
              <w:rPr>
                <w:rFonts w:ascii="宋体"/>
                <w:vanish/>
              </w:rPr>
            </w:pPr>
          </w:p>
        </w:tc>
        <w:tc>
          <w:tcPr>
            <w:tcW w:w="0" w:type="auto"/>
            <w:gridSpan w:val="3"/>
            <w:shd w:val="clear" w:color="auto" w:fill="auto"/>
          </w:tcPr>
          <w:p w14:paraId="5EA1F707" w14:textId="77777777" w:rsidR="003C66EB" w:rsidRDefault="003C66EB">
            <w:pPr>
              <w:rPr>
                <w:rFonts w:ascii="宋体"/>
                <w:vanish/>
              </w:rPr>
            </w:pPr>
          </w:p>
        </w:tc>
        <w:tc>
          <w:tcPr>
            <w:tcW w:w="0" w:type="auto"/>
            <w:gridSpan w:val="3"/>
            <w:shd w:val="clear" w:color="auto" w:fill="auto"/>
          </w:tcPr>
          <w:p w14:paraId="5EA1F708" w14:textId="77777777" w:rsidR="003C66EB" w:rsidRDefault="003C66EB">
            <w:pPr>
              <w:rPr>
                <w:rFonts w:ascii="宋体"/>
                <w:vanish/>
              </w:rPr>
            </w:pPr>
          </w:p>
        </w:tc>
        <w:tc>
          <w:tcPr>
            <w:tcW w:w="0" w:type="auto"/>
            <w:gridSpan w:val="3"/>
            <w:shd w:val="clear" w:color="auto" w:fill="auto"/>
          </w:tcPr>
          <w:p w14:paraId="5EA1F709" w14:textId="77777777" w:rsidR="003C66EB" w:rsidRDefault="003C66EB">
            <w:pPr>
              <w:rPr>
                <w:rFonts w:ascii="宋体"/>
                <w:vanish/>
              </w:rPr>
            </w:pPr>
          </w:p>
        </w:tc>
        <w:tc>
          <w:tcPr>
            <w:tcW w:w="0" w:type="auto"/>
            <w:gridSpan w:val="3"/>
            <w:shd w:val="clear" w:color="auto" w:fill="auto"/>
          </w:tcPr>
          <w:p w14:paraId="5EA1F70A" w14:textId="77777777" w:rsidR="003C66EB" w:rsidRDefault="003C66EB">
            <w:pPr>
              <w:rPr>
                <w:rFonts w:ascii="宋体"/>
                <w:vanish/>
              </w:rPr>
            </w:pPr>
          </w:p>
        </w:tc>
        <w:tc>
          <w:tcPr>
            <w:tcW w:w="0" w:type="auto"/>
            <w:gridSpan w:val="3"/>
            <w:shd w:val="clear" w:color="auto" w:fill="auto"/>
          </w:tcPr>
          <w:p w14:paraId="5EA1F70B" w14:textId="77777777" w:rsidR="003C66EB" w:rsidRDefault="003C66EB">
            <w:pPr>
              <w:rPr>
                <w:rFonts w:ascii="宋体"/>
                <w:vanish/>
              </w:rPr>
            </w:pPr>
          </w:p>
        </w:tc>
        <w:tc>
          <w:tcPr>
            <w:tcW w:w="0" w:type="auto"/>
            <w:gridSpan w:val="3"/>
            <w:shd w:val="clear" w:color="auto" w:fill="auto"/>
          </w:tcPr>
          <w:p w14:paraId="5EA1F70C" w14:textId="77777777" w:rsidR="003C66EB" w:rsidRDefault="003C66EB">
            <w:pPr>
              <w:rPr>
                <w:rFonts w:ascii="宋体"/>
                <w:vanish/>
              </w:rPr>
            </w:pPr>
          </w:p>
        </w:tc>
        <w:tc>
          <w:tcPr>
            <w:tcW w:w="0" w:type="auto"/>
            <w:gridSpan w:val="3"/>
            <w:shd w:val="clear" w:color="auto" w:fill="auto"/>
          </w:tcPr>
          <w:p w14:paraId="5EA1F70D" w14:textId="77777777" w:rsidR="003C66EB" w:rsidRDefault="003C66EB">
            <w:pPr>
              <w:rPr>
                <w:rFonts w:ascii="宋体"/>
                <w:vanish/>
              </w:rPr>
            </w:pPr>
          </w:p>
        </w:tc>
        <w:tc>
          <w:tcPr>
            <w:tcW w:w="0" w:type="auto"/>
            <w:gridSpan w:val="3"/>
            <w:shd w:val="clear" w:color="auto" w:fill="auto"/>
          </w:tcPr>
          <w:p w14:paraId="5EA1F70E" w14:textId="77777777" w:rsidR="003C66EB" w:rsidRDefault="003C66EB">
            <w:pPr>
              <w:rPr>
                <w:rFonts w:ascii="宋体"/>
                <w:vanish/>
              </w:rPr>
            </w:pPr>
          </w:p>
        </w:tc>
        <w:tc>
          <w:tcPr>
            <w:tcW w:w="0" w:type="auto"/>
            <w:shd w:val="clear" w:color="auto" w:fill="auto"/>
          </w:tcPr>
          <w:p w14:paraId="5EA1F70F" w14:textId="77777777" w:rsidR="003C66EB" w:rsidRDefault="003C66EB">
            <w:pPr>
              <w:rPr>
                <w:rFonts w:ascii="宋体"/>
                <w:vanish/>
              </w:rPr>
            </w:pPr>
          </w:p>
        </w:tc>
      </w:tr>
      <w:tr w:rsidR="003C66EB" w14:paraId="5EA1F71E" w14:textId="77777777">
        <w:trPr>
          <w:hidden/>
        </w:trPr>
        <w:tc>
          <w:tcPr>
            <w:tcW w:w="0" w:type="auto"/>
            <w:gridSpan w:val="3"/>
            <w:shd w:val="clear" w:color="auto" w:fill="auto"/>
          </w:tcPr>
          <w:p w14:paraId="5EA1F711" w14:textId="77777777" w:rsidR="003C66EB" w:rsidRDefault="003C66EB">
            <w:pPr>
              <w:rPr>
                <w:rFonts w:ascii="宋体"/>
                <w:vanish/>
              </w:rPr>
            </w:pPr>
          </w:p>
        </w:tc>
        <w:tc>
          <w:tcPr>
            <w:tcW w:w="0" w:type="auto"/>
            <w:gridSpan w:val="3"/>
            <w:shd w:val="clear" w:color="auto" w:fill="auto"/>
          </w:tcPr>
          <w:p w14:paraId="5EA1F712" w14:textId="77777777" w:rsidR="003C66EB" w:rsidRDefault="003C66EB">
            <w:pPr>
              <w:rPr>
                <w:rFonts w:ascii="宋体"/>
                <w:vanish/>
              </w:rPr>
            </w:pPr>
          </w:p>
        </w:tc>
        <w:tc>
          <w:tcPr>
            <w:tcW w:w="0" w:type="auto"/>
            <w:gridSpan w:val="3"/>
            <w:shd w:val="clear" w:color="auto" w:fill="auto"/>
          </w:tcPr>
          <w:p w14:paraId="5EA1F713" w14:textId="77777777" w:rsidR="003C66EB" w:rsidRDefault="003C66EB">
            <w:pPr>
              <w:rPr>
                <w:rFonts w:ascii="宋体"/>
                <w:vanish/>
              </w:rPr>
            </w:pPr>
          </w:p>
        </w:tc>
        <w:tc>
          <w:tcPr>
            <w:tcW w:w="0" w:type="auto"/>
            <w:gridSpan w:val="3"/>
            <w:shd w:val="clear" w:color="auto" w:fill="auto"/>
          </w:tcPr>
          <w:p w14:paraId="5EA1F714" w14:textId="77777777" w:rsidR="003C66EB" w:rsidRDefault="003C66EB">
            <w:pPr>
              <w:rPr>
                <w:rFonts w:ascii="宋体"/>
                <w:vanish/>
              </w:rPr>
            </w:pPr>
          </w:p>
        </w:tc>
        <w:tc>
          <w:tcPr>
            <w:tcW w:w="0" w:type="auto"/>
            <w:gridSpan w:val="3"/>
            <w:shd w:val="clear" w:color="auto" w:fill="auto"/>
          </w:tcPr>
          <w:p w14:paraId="5EA1F715" w14:textId="77777777" w:rsidR="003C66EB" w:rsidRDefault="003C66EB">
            <w:pPr>
              <w:rPr>
                <w:rFonts w:ascii="宋体"/>
                <w:vanish/>
              </w:rPr>
            </w:pPr>
          </w:p>
        </w:tc>
        <w:tc>
          <w:tcPr>
            <w:tcW w:w="0" w:type="auto"/>
            <w:gridSpan w:val="3"/>
            <w:shd w:val="clear" w:color="auto" w:fill="auto"/>
          </w:tcPr>
          <w:p w14:paraId="5EA1F716" w14:textId="77777777" w:rsidR="003C66EB" w:rsidRDefault="003C66EB">
            <w:pPr>
              <w:rPr>
                <w:rFonts w:ascii="宋体"/>
                <w:vanish/>
              </w:rPr>
            </w:pPr>
          </w:p>
        </w:tc>
        <w:tc>
          <w:tcPr>
            <w:tcW w:w="0" w:type="auto"/>
            <w:gridSpan w:val="3"/>
            <w:shd w:val="clear" w:color="auto" w:fill="auto"/>
          </w:tcPr>
          <w:p w14:paraId="5EA1F717" w14:textId="77777777" w:rsidR="003C66EB" w:rsidRDefault="003C66EB">
            <w:pPr>
              <w:rPr>
                <w:rFonts w:ascii="宋体"/>
                <w:vanish/>
              </w:rPr>
            </w:pPr>
          </w:p>
        </w:tc>
        <w:tc>
          <w:tcPr>
            <w:tcW w:w="0" w:type="auto"/>
            <w:gridSpan w:val="3"/>
            <w:shd w:val="clear" w:color="auto" w:fill="auto"/>
          </w:tcPr>
          <w:p w14:paraId="5EA1F718" w14:textId="77777777" w:rsidR="003C66EB" w:rsidRDefault="003C66EB">
            <w:pPr>
              <w:rPr>
                <w:rFonts w:ascii="宋体"/>
                <w:vanish/>
              </w:rPr>
            </w:pPr>
          </w:p>
        </w:tc>
        <w:tc>
          <w:tcPr>
            <w:tcW w:w="0" w:type="auto"/>
            <w:gridSpan w:val="3"/>
            <w:shd w:val="clear" w:color="auto" w:fill="auto"/>
          </w:tcPr>
          <w:p w14:paraId="5EA1F719" w14:textId="77777777" w:rsidR="003C66EB" w:rsidRDefault="003C66EB">
            <w:pPr>
              <w:rPr>
                <w:rFonts w:ascii="宋体"/>
                <w:vanish/>
              </w:rPr>
            </w:pPr>
          </w:p>
        </w:tc>
        <w:tc>
          <w:tcPr>
            <w:tcW w:w="0" w:type="auto"/>
            <w:gridSpan w:val="3"/>
            <w:shd w:val="clear" w:color="auto" w:fill="auto"/>
          </w:tcPr>
          <w:p w14:paraId="5EA1F71A" w14:textId="77777777" w:rsidR="003C66EB" w:rsidRDefault="003C66EB">
            <w:pPr>
              <w:rPr>
                <w:rFonts w:ascii="宋体"/>
                <w:vanish/>
              </w:rPr>
            </w:pPr>
          </w:p>
        </w:tc>
        <w:tc>
          <w:tcPr>
            <w:tcW w:w="0" w:type="auto"/>
            <w:gridSpan w:val="3"/>
            <w:shd w:val="clear" w:color="auto" w:fill="auto"/>
          </w:tcPr>
          <w:p w14:paraId="5EA1F71B" w14:textId="77777777" w:rsidR="003C66EB" w:rsidRDefault="003C66EB">
            <w:pPr>
              <w:rPr>
                <w:rFonts w:ascii="宋体"/>
                <w:vanish/>
              </w:rPr>
            </w:pPr>
          </w:p>
        </w:tc>
        <w:tc>
          <w:tcPr>
            <w:tcW w:w="0" w:type="auto"/>
            <w:gridSpan w:val="3"/>
            <w:shd w:val="clear" w:color="auto" w:fill="auto"/>
          </w:tcPr>
          <w:p w14:paraId="5EA1F71C" w14:textId="77777777" w:rsidR="003C66EB" w:rsidRDefault="003C66EB">
            <w:pPr>
              <w:rPr>
                <w:rFonts w:ascii="宋体"/>
                <w:vanish/>
              </w:rPr>
            </w:pPr>
          </w:p>
        </w:tc>
        <w:tc>
          <w:tcPr>
            <w:tcW w:w="0" w:type="auto"/>
            <w:shd w:val="clear" w:color="auto" w:fill="auto"/>
          </w:tcPr>
          <w:p w14:paraId="5EA1F71D" w14:textId="77777777" w:rsidR="003C66EB" w:rsidRDefault="003C66EB">
            <w:pPr>
              <w:rPr>
                <w:rFonts w:ascii="宋体"/>
                <w:vanish/>
              </w:rPr>
            </w:pPr>
          </w:p>
        </w:tc>
      </w:tr>
      <w:tr w:rsidR="003C66EB" w14:paraId="5EA1F72C" w14:textId="77777777">
        <w:trPr>
          <w:hidden/>
        </w:trPr>
        <w:tc>
          <w:tcPr>
            <w:tcW w:w="0" w:type="auto"/>
            <w:gridSpan w:val="3"/>
            <w:shd w:val="clear" w:color="auto" w:fill="auto"/>
          </w:tcPr>
          <w:p w14:paraId="5EA1F71F" w14:textId="77777777" w:rsidR="003C66EB" w:rsidRDefault="003C66EB">
            <w:pPr>
              <w:rPr>
                <w:rFonts w:ascii="宋体"/>
                <w:vanish/>
              </w:rPr>
            </w:pPr>
          </w:p>
        </w:tc>
        <w:tc>
          <w:tcPr>
            <w:tcW w:w="0" w:type="auto"/>
            <w:gridSpan w:val="3"/>
            <w:shd w:val="clear" w:color="auto" w:fill="auto"/>
          </w:tcPr>
          <w:p w14:paraId="5EA1F720" w14:textId="77777777" w:rsidR="003C66EB" w:rsidRDefault="003C66EB">
            <w:pPr>
              <w:rPr>
                <w:rFonts w:ascii="宋体"/>
                <w:vanish/>
              </w:rPr>
            </w:pPr>
          </w:p>
        </w:tc>
        <w:tc>
          <w:tcPr>
            <w:tcW w:w="0" w:type="auto"/>
            <w:gridSpan w:val="3"/>
            <w:shd w:val="clear" w:color="auto" w:fill="auto"/>
          </w:tcPr>
          <w:p w14:paraId="5EA1F721" w14:textId="77777777" w:rsidR="003C66EB" w:rsidRDefault="003C66EB">
            <w:pPr>
              <w:rPr>
                <w:rFonts w:ascii="宋体"/>
                <w:vanish/>
              </w:rPr>
            </w:pPr>
          </w:p>
        </w:tc>
        <w:tc>
          <w:tcPr>
            <w:tcW w:w="0" w:type="auto"/>
            <w:gridSpan w:val="3"/>
            <w:shd w:val="clear" w:color="auto" w:fill="auto"/>
          </w:tcPr>
          <w:p w14:paraId="5EA1F722" w14:textId="77777777" w:rsidR="003C66EB" w:rsidRDefault="003C66EB">
            <w:pPr>
              <w:rPr>
                <w:rFonts w:ascii="宋体"/>
                <w:vanish/>
              </w:rPr>
            </w:pPr>
          </w:p>
        </w:tc>
        <w:tc>
          <w:tcPr>
            <w:tcW w:w="0" w:type="auto"/>
            <w:gridSpan w:val="3"/>
            <w:shd w:val="clear" w:color="auto" w:fill="auto"/>
          </w:tcPr>
          <w:p w14:paraId="5EA1F723" w14:textId="77777777" w:rsidR="003C66EB" w:rsidRDefault="003C66EB">
            <w:pPr>
              <w:rPr>
                <w:rFonts w:ascii="宋体"/>
                <w:vanish/>
              </w:rPr>
            </w:pPr>
          </w:p>
        </w:tc>
        <w:tc>
          <w:tcPr>
            <w:tcW w:w="0" w:type="auto"/>
            <w:gridSpan w:val="3"/>
            <w:shd w:val="clear" w:color="auto" w:fill="auto"/>
          </w:tcPr>
          <w:p w14:paraId="5EA1F724" w14:textId="77777777" w:rsidR="003C66EB" w:rsidRDefault="003C66EB">
            <w:pPr>
              <w:rPr>
                <w:rFonts w:ascii="宋体"/>
                <w:vanish/>
              </w:rPr>
            </w:pPr>
          </w:p>
        </w:tc>
        <w:tc>
          <w:tcPr>
            <w:tcW w:w="0" w:type="auto"/>
            <w:gridSpan w:val="3"/>
            <w:shd w:val="clear" w:color="auto" w:fill="auto"/>
          </w:tcPr>
          <w:p w14:paraId="5EA1F725" w14:textId="77777777" w:rsidR="003C66EB" w:rsidRDefault="003C66EB">
            <w:pPr>
              <w:rPr>
                <w:rFonts w:ascii="宋体"/>
                <w:vanish/>
              </w:rPr>
            </w:pPr>
          </w:p>
        </w:tc>
        <w:tc>
          <w:tcPr>
            <w:tcW w:w="0" w:type="auto"/>
            <w:gridSpan w:val="3"/>
            <w:shd w:val="clear" w:color="auto" w:fill="auto"/>
          </w:tcPr>
          <w:p w14:paraId="5EA1F726" w14:textId="77777777" w:rsidR="003C66EB" w:rsidRDefault="003C66EB">
            <w:pPr>
              <w:rPr>
                <w:rFonts w:ascii="宋体"/>
                <w:vanish/>
              </w:rPr>
            </w:pPr>
          </w:p>
        </w:tc>
        <w:tc>
          <w:tcPr>
            <w:tcW w:w="0" w:type="auto"/>
            <w:gridSpan w:val="3"/>
            <w:shd w:val="clear" w:color="auto" w:fill="auto"/>
          </w:tcPr>
          <w:p w14:paraId="5EA1F727" w14:textId="77777777" w:rsidR="003C66EB" w:rsidRDefault="003C66EB">
            <w:pPr>
              <w:rPr>
                <w:rFonts w:ascii="宋体"/>
                <w:vanish/>
              </w:rPr>
            </w:pPr>
          </w:p>
        </w:tc>
        <w:tc>
          <w:tcPr>
            <w:tcW w:w="0" w:type="auto"/>
            <w:gridSpan w:val="3"/>
            <w:shd w:val="clear" w:color="auto" w:fill="auto"/>
          </w:tcPr>
          <w:p w14:paraId="5EA1F728" w14:textId="77777777" w:rsidR="003C66EB" w:rsidRDefault="003C66EB">
            <w:pPr>
              <w:rPr>
                <w:rFonts w:ascii="宋体"/>
                <w:vanish/>
              </w:rPr>
            </w:pPr>
          </w:p>
        </w:tc>
        <w:tc>
          <w:tcPr>
            <w:tcW w:w="0" w:type="auto"/>
            <w:gridSpan w:val="3"/>
            <w:shd w:val="clear" w:color="auto" w:fill="auto"/>
          </w:tcPr>
          <w:p w14:paraId="5EA1F729" w14:textId="77777777" w:rsidR="003C66EB" w:rsidRDefault="003C66EB">
            <w:pPr>
              <w:rPr>
                <w:rFonts w:ascii="宋体"/>
                <w:vanish/>
              </w:rPr>
            </w:pPr>
          </w:p>
        </w:tc>
        <w:tc>
          <w:tcPr>
            <w:tcW w:w="0" w:type="auto"/>
            <w:gridSpan w:val="3"/>
            <w:shd w:val="clear" w:color="auto" w:fill="auto"/>
          </w:tcPr>
          <w:p w14:paraId="5EA1F72A" w14:textId="77777777" w:rsidR="003C66EB" w:rsidRDefault="003C66EB">
            <w:pPr>
              <w:rPr>
                <w:rFonts w:ascii="宋体"/>
                <w:vanish/>
              </w:rPr>
            </w:pPr>
          </w:p>
        </w:tc>
        <w:tc>
          <w:tcPr>
            <w:tcW w:w="0" w:type="auto"/>
            <w:shd w:val="clear" w:color="auto" w:fill="auto"/>
          </w:tcPr>
          <w:p w14:paraId="5EA1F72B" w14:textId="77777777" w:rsidR="003C66EB" w:rsidRDefault="003C66EB">
            <w:pPr>
              <w:rPr>
                <w:rFonts w:ascii="宋体"/>
                <w:vanish/>
              </w:rPr>
            </w:pPr>
          </w:p>
        </w:tc>
      </w:tr>
      <w:tr w:rsidR="003C66EB" w14:paraId="5EA1F73A" w14:textId="77777777">
        <w:trPr>
          <w:hidden/>
        </w:trPr>
        <w:tc>
          <w:tcPr>
            <w:tcW w:w="0" w:type="auto"/>
            <w:gridSpan w:val="3"/>
            <w:shd w:val="clear" w:color="auto" w:fill="auto"/>
          </w:tcPr>
          <w:p w14:paraId="5EA1F72D" w14:textId="77777777" w:rsidR="003C66EB" w:rsidRDefault="003C66EB">
            <w:pPr>
              <w:rPr>
                <w:rFonts w:ascii="宋体"/>
                <w:vanish/>
              </w:rPr>
            </w:pPr>
          </w:p>
        </w:tc>
        <w:tc>
          <w:tcPr>
            <w:tcW w:w="0" w:type="auto"/>
            <w:gridSpan w:val="3"/>
            <w:shd w:val="clear" w:color="auto" w:fill="auto"/>
          </w:tcPr>
          <w:p w14:paraId="5EA1F72E" w14:textId="77777777" w:rsidR="003C66EB" w:rsidRDefault="003C66EB">
            <w:pPr>
              <w:rPr>
                <w:rFonts w:ascii="宋体"/>
                <w:vanish/>
              </w:rPr>
            </w:pPr>
          </w:p>
        </w:tc>
        <w:tc>
          <w:tcPr>
            <w:tcW w:w="0" w:type="auto"/>
            <w:gridSpan w:val="3"/>
            <w:shd w:val="clear" w:color="auto" w:fill="auto"/>
          </w:tcPr>
          <w:p w14:paraId="5EA1F72F" w14:textId="77777777" w:rsidR="003C66EB" w:rsidRDefault="003C66EB">
            <w:pPr>
              <w:rPr>
                <w:rFonts w:ascii="宋体"/>
                <w:vanish/>
              </w:rPr>
            </w:pPr>
          </w:p>
        </w:tc>
        <w:tc>
          <w:tcPr>
            <w:tcW w:w="0" w:type="auto"/>
            <w:gridSpan w:val="3"/>
            <w:shd w:val="clear" w:color="auto" w:fill="auto"/>
          </w:tcPr>
          <w:p w14:paraId="5EA1F730" w14:textId="77777777" w:rsidR="003C66EB" w:rsidRDefault="003C66EB">
            <w:pPr>
              <w:rPr>
                <w:rFonts w:ascii="宋体"/>
                <w:vanish/>
              </w:rPr>
            </w:pPr>
          </w:p>
        </w:tc>
        <w:tc>
          <w:tcPr>
            <w:tcW w:w="0" w:type="auto"/>
            <w:gridSpan w:val="3"/>
            <w:shd w:val="clear" w:color="auto" w:fill="auto"/>
          </w:tcPr>
          <w:p w14:paraId="5EA1F731" w14:textId="77777777" w:rsidR="003C66EB" w:rsidRDefault="003C66EB">
            <w:pPr>
              <w:rPr>
                <w:rFonts w:ascii="宋体"/>
                <w:vanish/>
              </w:rPr>
            </w:pPr>
          </w:p>
        </w:tc>
        <w:tc>
          <w:tcPr>
            <w:tcW w:w="0" w:type="auto"/>
            <w:gridSpan w:val="3"/>
            <w:shd w:val="clear" w:color="auto" w:fill="auto"/>
          </w:tcPr>
          <w:p w14:paraId="5EA1F732" w14:textId="77777777" w:rsidR="003C66EB" w:rsidRDefault="003C66EB">
            <w:pPr>
              <w:rPr>
                <w:rFonts w:ascii="宋体"/>
                <w:vanish/>
              </w:rPr>
            </w:pPr>
          </w:p>
        </w:tc>
        <w:tc>
          <w:tcPr>
            <w:tcW w:w="0" w:type="auto"/>
            <w:gridSpan w:val="3"/>
            <w:shd w:val="clear" w:color="auto" w:fill="auto"/>
          </w:tcPr>
          <w:p w14:paraId="5EA1F733" w14:textId="77777777" w:rsidR="003C66EB" w:rsidRDefault="003C66EB">
            <w:pPr>
              <w:rPr>
                <w:rFonts w:ascii="宋体"/>
                <w:vanish/>
              </w:rPr>
            </w:pPr>
          </w:p>
        </w:tc>
        <w:tc>
          <w:tcPr>
            <w:tcW w:w="0" w:type="auto"/>
            <w:gridSpan w:val="3"/>
            <w:shd w:val="clear" w:color="auto" w:fill="auto"/>
          </w:tcPr>
          <w:p w14:paraId="5EA1F734" w14:textId="77777777" w:rsidR="003C66EB" w:rsidRDefault="003C66EB">
            <w:pPr>
              <w:rPr>
                <w:rFonts w:ascii="宋体"/>
                <w:vanish/>
              </w:rPr>
            </w:pPr>
          </w:p>
        </w:tc>
        <w:tc>
          <w:tcPr>
            <w:tcW w:w="0" w:type="auto"/>
            <w:gridSpan w:val="3"/>
            <w:shd w:val="clear" w:color="auto" w:fill="auto"/>
          </w:tcPr>
          <w:p w14:paraId="5EA1F735" w14:textId="77777777" w:rsidR="003C66EB" w:rsidRDefault="003C66EB">
            <w:pPr>
              <w:rPr>
                <w:rFonts w:ascii="宋体"/>
                <w:vanish/>
              </w:rPr>
            </w:pPr>
          </w:p>
        </w:tc>
        <w:tc>
          <w:tcPr>
            <w:tcW w:w="0" w:type="auto"/>
            <w:gridSpan w:val="3"/>
            <w:shd w:val="clear" w:color="auto" w:fill="auto"/>
          </w:tcPr>
          <w:p w14:paraId="5EA1F736" w14:textId="77777777" w:rsidR="003C66EB" w:rsidRDefault="003C66EB">
            <w:pPr>
              <w:rPr>
                <w:rFonts w:ascii="宋体"/>
                <w:vanish/>
              </w:rPr>
            </w:pPr>
          </w:p>
        </w:tc>
        <w:tc>
          <w:tcPr>
            <w:tcW w:w="0" w:type="auto"/>
            <w:gridSpan w:val="3"/>
            <w:shd w:val="clear" w:color="auto" w:fill="auto"/>
          </w:tcPr>
          <w:p w14:paraId="5EA1F737" w14:textId="77777777" w:rsidR="003C66EB" w:rsidRDefault="003C66EB">
            <w:pPr>
              <w:rPr>
                <w:rFonts w:ascii="宋体"/>
                <w:vanish/>
              </w:rPr>
            </w:pPr>
          </w:p>
        </w:tc>
        <w:tc>
          <w:tcPr>
            <w:tcW w:w="0" w:type="auto"/>
            <w:gridSpan w:val="3"/>
            <w:shd w:val="clear" w:color="auto" w:fill="auto"/>
          </w:tcPr>
          <w:p w14:paraId="5EA1F738" w14:textId="77777777" w:rsidR="003C66EB" w:rsidRDefault="003C66EB">
            <w:pPr>
              <w:rPr>
                <w:rFonts w:ascii="宋体"/>
                <w:vanish/>
              </w:rPr>
            </w:pPr>
          </w:p>
        </w:tc>
        <w:tc>
          <w:tcPr>
            <w:tcW w:w="0" w:type="auto"/>
            <w:shd w:val="clear" w:color="auto" w:fill="auto"/>
          </w:tcPr>
          <w:p w14:paraId="5EA1F739" w14:textId="77777777" w:rsidR="003C66EB" w:rsidRDefault="003C66EB">
            <w:pPr>
              <w:rPr>
                <w:rFonts w:ascii="宋体"/>
                <w:vanish/>
              </w:rPr>
            </w:pPr>
          </w:p>
        </w:tc>
      </w:tr>
      <w:tr w:rsidR="003C66EB" w14:paraId="5EA1F748" w14:textId="77777777">
        <w:trPr>
          <w:hidden/>
        </w:trPr>
        <w:tc>
          <w:tcPr>
            <w:tcW w:w="0" w:type="auto"/>
            <w:gridSpan w:val="3"/>
            <w:shd w:val="clear" w:color="auto" w:fill="auto"/>
          </w:tcPr>
          <w:p w14:paraId="5EA1F73B" w14:textId="77777777" w:rsidR="003C66EB" w:rsidRDefault="003C66EB">
            <w:pPr>
              <w:rPr>
                <w:rFonts w:ascii="宋体"/>
                <w:vanish/>
              </w:rPr>
            </w:pPr>
          </w:p>
        </w:tc>
        <w:tc>
          <w:tcPr>
            <w:tcW w:w="0" w:type="auto"/>
            <w:gridSpan w:val="3"/>
            <w:shd w:val="clear" w:color="auto" w:fill="auto"/>
          </w:tcPr>
          <w:p w14:paraId="5EA1F73C" w14:textId="77777777" w:rsidR="003C66EB" w:rsidRDefault="003C66EB">
            <w:pPr>
              <w:rPr>
                <w:rFonts w:ascii="宋体"/>
                <w:vanish/>
              </w:rPr>
            </w:pPr>
          </w:p>
        </w:tc>
        <w:tc>
          <w:tcPr>
            <w:tcW w:w="0" w:type="auto"/>
            <w:gridSpan w:val="3"/>
            <w:shd w:val="clear" w:color="auto" w:fill="auto"/>
          </w:tcPr>
          <w:p w14:paraId="5EA1F73D" w14:textId="77777777" w:rsidR="003C66EB" w:rsidRDefault="003C66EB">
            <w:pPr>
              <w:rPr>
                <w:rFonts w:ascii="宋体"/>
                <w:vanish/>
              </w:rPr>
            </w:pPr>
          </w:p>
        </w:tc>
        <w:tc>
          <w:tcPr>
            <w:tcW w:w="0" w:type="auto"/>
            <w:gridSpan w:val="3"/>
            <w:shd w:val="clear" w:color="auto" w:fill="auto"/>
          </w:tcPr>
          <w:p w14:paraId="5EA1F73E" w14:textId="77777777" w:rsidR="003C66EB" w:rsidRDefault="003C66EB">
            <w:pPr>
              <w:rPr>
                <w:rFonts w:ascii="宋体"/>
                <w:vanish/>
              </w:rPr>
            </w:pPr>
          </w:p>
        </w:tc>
        <w:tc>
          <w:tcPr>
            <w:tcW w:w="0" w:type="auto"/>
            <w:gridSpan w:val="3"/>
            <w:shd w:val="clear" w:color="auto" w:fill="auto"/>
          </w:tcPr>
          <w:p w14:paraId="5EA1F73F" w14:textId="77777777" w:rsidR="003C66EB" w:rsidRDefault="003C66EB">
            <w:pPr>
              <w:rPr>
                <w:rFonts w:ascii="宋体"/>
                <w:vanish/>
              </w:rPr>
            </w:pPr>
          </w:p>
        </w:tc>
        <w:tc>
          <w:tcPr>
            <w:tcW w:w="0" w:type="auto"/>
            <w:gridSpan w:val="3"/>
            <w:shd w:val="clear" w:color="auto" w:fill="auto"/>
          </w:tcPr>
          <w:p w14:paraId="5EA1F740" w14:textId="77777777" w:rsidR="003C66EB" w:rsidRDefault="003C66EB">
            <w:pPr>
              <w:rPr>
                <w:rFonts w:ascii="宋体"/>
                <w:vanish/>
              </w:rPr>
            </w:pPr>
          </w:p>
        </w:tc>
        <w:tc>
          <w:tcPr>
            <w:tcW w:w="0" w:type="auto"/>
            <w:gridSpan w:val="3"/>
            <w:shd w:val="clear" w:color="auto" w:fill="auto"/>
          </w:tcPr>
          <w:p w14:paraId="5EA1F741" w14:textId="77777777" w:rsidR="003C66EB" w:rsidRDefault="003C66EB">
            <w:pPr>
              <w:rPr>
                <w:rFonts w:ascii="宋体"/>
                <w:vanish/>
              </w:rPr>
            </w:pPr>
          </w:p>
        </w:tc>
        <w:tc>
          <w:tcPr>
            <w:tcW w:w="0" w:type="auto"/>
            <w:gridSpan w:val="3"/>
            <w:shd w:val="clear" w:color="auto" w:fill="auto"/>
          </w:tcPr>
          <w:p w14:paraId="5EA1F742" w14:textId="77777777" w:rsidR="003C66EB" w:rsidRDefault="003C66EB">
            <w:pPr>
              <w:rPr>
                <w:rFonts w:ascii="宋体"/>
                <w:vanish/>
              </w:rPr>
            </w:pPr>
          </w:p>
        </w:tc>
        <w:tc>
          <w:tcPr>
            <w:tcW w:w="0" w:type="auto"/>
            <w:gridSpan w:val="3"/>
            <w:shd w:val="clear" w:color="auto" w:fill="auto"/>
          </w:tcPr>
          <w:p w14:paraId="5EA1F743" w14:textId="77777777" w:rsidR="003C66EB" w:rsidRDefault="003C66EB">
            <w:pPr>
              <w:rPr>
                <w:rFonts w:ascii="宋体"/>
                <w:vanish/>
              </w:rPr>
            </w:pPr>
          </w:p>
        </w:tc>
        <w:tc>
          <w:tcPr>
            <w:tcW w:w="0" w:type="auto"/>
            <w:gridSpan w:val="3"/>
            <w:shd w:val="clear" w:color="auto" w:fill="auto"/>
          </w:tcPr>
          <w:p w14:paraId="5EA1F744" w14:textId="77777777" w:rsidR="003C66EB" w:rsidRDefault="003C66EB">
            <w:pPr>
              <w:rPr>
                <w:rFonts w:ascii="宋体"/>
                <w:vanish/>
              </w:rPr>
            </w:pPr>
          </w:p>
        </w:tc>
        <w:tc>
          <w:tcPr>
            <w:tcW w:w="0" w:type="auto"/>
            <w:gridSpan w:val="3"/>
            <w:shd w:val="clear" w:color="auto" w:fill="auto"/>
          </w:tcPr>
          <w:p w14:paraId="5EA1F745" w14:textId="77777777" w:rsidR="003C66EB" w:rsidRDefault="003C66EB">
            <w:pPr>
              <w:rPr>
                <w:rFonts w:ascii="宋体"/>
                <w:vanish/>
              </w:rPr>
            </w:pPr>
          </w:p>
        </w:tc>
        <w:tc>
          <w:tcPr>
            <w:tcW w:w="0" w:type="auto"/>
            <w:gridSpan w:val="3"/>
            <w:shd w:val="clear" w:color="auto" w:fill="auto"/>
          </w:tcPr>
          <w:p w14:paraId="5EA1F746" w14:textId="77777777" w:rsidR="003C66EB" w:rsidRDefault="003C66EB">
            <w:pPr>
              <w:rPr>
                <w:rFonts w:ascii="宋体"/>
                <w:vanish/>
              </w:rPr>
            </w:pPr>
          </w:p>
        </w:tc>
        <w:tc>
          <w:tcPr>
            <w:tcW w:w="0" w:type="auto"/>
            <w:shd w:val="clear" w:color="auto" w:fill="auto"/>
          </w:tcPr>
          <w:p w14:paraId="5EA1F747" w14:textId="77777777" w:rsidR="003C66EB" w:rsidRDefault="003C66EB">
            <w:pPr>
              <w:rPr>
                <w:rFonts w:ascii="宋体"/>
                <w:vanish/>
              </w:rPr>
            </w:pPr>
          </w:p>
        </w:tc>
      </w:tr>
      <w:tr w:rsidR="003C66EB" w14:paraId="5EA1F756" w14:textId="77777777">
        <w:trPr>
          <w:hidden/>
        </w:trPr>
        <w:tc>
          <w:tcPr>
            <w:tcW w:w="0" w:type="auto"/>
            <w:gridSpan w:val="3"/>
            <w:shd w:val="clear" w:color="auto" w:fill="auto"/>
          </w:tcPr>
          <w:p w14:paraId="5EA1F749" w14:textId="77777777" w:rsidR="003C66EB" w:rsidRDefault="003C66EB">
            <w:pPr>
              <w:rPr>
                <w:rFonts w:ascii="宋体"/>
                <w:vanish/>
              </w:rPr>
            </w:pPr>
          </w:p>
        </w:tc>
        <w:tc>
          <w:tcPr>
            <w:tcW w:w="0" w:type="auto"/>
            <w:gridSpan w:val="3"/>
            <w:shd w:val="clear" w:color="auto" w:fill="auto"/>
          </w:tcPr>
          <w:p w14:paraId="5EA1F74A" w14:textId="77777777" w:rsidR="003C66EB" w:rsidRDefault="003C66EB">
            <w:pPr>
              <w:rPr>
                <w:rFonts w:ascii="宋体"/>
                <w:vanish/>
              </w:rPr>
            </w:pPr>
          </w:p>
        </w:tc>
        <w:tc>
          <w:tcPr>
            <w:tcW w:w="0" w:type="auto"/>
            <w:gridSpan w:val="3"/>
            <w:shd w:val="clear" w:color="auto" w:fill="auto"/>
          </w:tcPr>
          <w:p w14:paraId="5EA1F74B" w14:textId="77777777" w:rsidR="003C66EB" w:rsidRDefault="003C66EB">
            <w:pPr>
              <w:rPr>
                <w:rFonts w:ascii="宋体"/>
                <w:vanish/>
              </w:rPr>
            </w:pPr>
          </w:p>
        </w:tc>
        <w:tc>
          <w:tcPr>
            <w:tcW w:w="0" w:type="auto"/>
            <w:gridSpan w:val="3"/>
            <w:shd w:val="clear" w:color="auto" w:fill="auto"/>
          </w:tcPr>
          <w:p w14:paraId="5EA1F74C" w14:textId="77777777" w:rsidR="003C66EB" w:rsidRDefault="003C66EB">
            <w:pPr>
              <w:rPr>
                <w:rFonts w:ascii="宋体"/>
                <w:vanish/>
              </w:rPr>
            </w:pPr>
          </w:p>
        </w:tc>
        <w:tc>
          <w:tcPr>
            <w:tcW w:w="0" w:type="auto"/>
            <w:gridSpan w:val="3"/>
            <w:shd w:val="clear" w:color="auto" w:fill="auto"/>
          </w:tcPr>
          <w:p w14:paraId="5EA1F74D" w14:textId="77777777" w:rsidR="003C66EB" w:rsidRDefault="003C66EB">
            <w:pPr>
              <w:rPr>
                <w:rFonts w:ascii="宋体"/>
                <w:vanish/>
              </w:rPr>
            </w:pPr>
          </w:p>
        </w:tc>
        <w:tc>
          <w:tcPr>
            <w:tcW w:w="0" w:type="auto"/>
            <w:gridSpan w:val="3"/>
            <w:shd w:val="clear" w:color="auto" w:fill="auto"/>
          </w:tcPr>
          <w:p w14:paraId="5EA1F74E" w14:textId="77777777" w:rsidR="003C66EB" w:rsidRDefault="003C66EB">
            <w:pPr>
              <w:rPr>
                <w:rFonts w:ascii="宋体"/>
                <w:vanish/>
              </w:rPr>
            </w:pPr>
          </w:p>
        </w:tc>
        <w:tc>
          <w:tcPr>
            <w:tcW w:w="0" w:type="auto"/>
            <w:gridSpan w:val="3"/>
            <w:shd w:val="clear" w:color="auto" w:fill="auto"/>
          </w:tcPr>
          <w:p w14:paraId="5EA1F74F" w14:textId="77777777" w:rsidR="003C66EB" w:rsidRDefault="003C66EB">
            <w:pPr>
              <w:rPr>
                <w:rFonts w:ascii="宋体"/>
                <w:vanish/>
              </w:rPr>
            </w:pPr>
          </w:p>
        </w:tc>
        <w:tc>
          <w:tcPr>
            <w:tcW w:w="0" w:type="auto"/>
            <w:gridSpan w:val="3"/>
            <w:shd w:val="clear" w:color="auto" w:fill="auto"/>
          </w:tcPr>
          <w:p w14:paraId="5EA1F750" w14:textId="77777777" w:rsidR="003C66EB" w:rsidRDefault="003C66EB">
            <w:pPr>
              <w:rPr>
                <w:rFonts w:ascii="宋体"/>
                <w:vanish/>
              </w:rPr>
            </w:pPr>
          </w:p>
        </w:tc>
        <w:tc>
          <w:tcPr>
            <w:tcW w:w="0" w:type="auto"/>
            <w:gridSpan w:val="3"/>
            <w:shd w:val="clear" w:color="auto" w:fill="auto"/>
          </w:tcPr>
          <w:p w14:paraId="5EA1F751" w14:textId="77777777" w:rsidR="003C66EB" w:rsidRDefault="003C66EB">
            <w:pPr>
              <w:rPr>
                <w:rFonts w:ascii="宋体"/>
                <w:vanish/>
              </w:rPr>
            </w:pPr>
          </w:p>
        </w:tc>
        <w:tc>
          <w:tcPr>
            <w:tcW w:w="0" w:type="auto"/>
            <w:gridSpan w:val="3"/>
            <w:shd w:val="clear" w:color="auto" w:fill="auto"/>
          </w:tcPr>
          <w:p w14:paraId="5EA1F752" w14:textId="77777777" w:rsidR="003C66EB" w:rsidRDefault="003C66EB">
            <w:pPr>
              <w:rPr>
                <w:rFonts w:ascii="宋体"/>
                <w:vanish/>
              </w:rPr>
            </w:pPr>
          </w:p>
        </w:tc>
        <w:tc>
          <w:tcPr>
            <w:tcW w:w="0" w:type="auto"/>
            <w:gridSpan w:val="3"/>
            <w:shd w:val="clear" w:color="auto" w:fill="auto"/>
          </w:tcPr>
          <w:p w14:paraId="5EA1F753" w14:textId="77777777" w:rsidR="003C66EB" w:rsidRDefault="003C66EB">
            <w:pPr>
              <w:rPr>
                <w:rFonts w:ascii="宋体"/>
                <w:vanish/>
              </w:rPr>
            </w:pPr>
          </w:p>
        </w:tc>
        <w:tc>
          <w:tcPr>
            <w:tcW w:w="0" w:type="auto"/>
            <w:gridSpan w:val="3"/>
            <w:shd w:val="clear" w:color="auto" w:fill="auto"/>
          </w:tcPr>
          <w:p w14:paraId="5EA1F754" w14:textId="77777777" w:rsidR="003C66EB" w:rsidRDefault="003C66EB">
            <w:pPr>
              <w:rPr>
                <w:rFonts w:ascii="宋体"/>
                <w:vanish/>
              </w:rPr>
            </w:pPr>
          </w:p>
        </w:tc>
        <w:tc>
          <w:tcPr>
            <w:tcW w:w="0" w:type="auto"/>
            <w:shd w:val="clear" w:color="auto" w:fill="auto"/>
          </w:tcPr>
          <w:p w14:paraId="5EA1F755" w14:textId="77777777" w:rsidR="003C66EB" w:rsidRDefault="003C66EB">
            <w:pPr>
              <w:rPr>
                <w:rFonts w:ascii="宋体"/>
                <w:vanish/>
              </w:rPr>
            </w:pPr>
          </w:p>
        </w:tc>
      </w:tr>
      <w:tr w:rsidR="003C66EB" w14:paraId="5EA1F764" w14:textId="77777777">
        <w:trPr>
          <w:hidden/>
        </w:trPr>
        <w:tc>
          <w:tcPr>
            <w:tcW w:w="0" w:type="auto"/>
            <w:gridSpan w:val="3"/>
            <w:shd w:val="clear" w:color="auto" w:fill="auto"/>
          </w:tcPr>
          <w:p w14:paraId="5EA1F757" w14:textId="77777777" w:rsidR="003C66EB" w:rsidRDefault="003C66EB">
            <w:pPr>
              <w:rPr>
                <w:rFonts w:ascii="宋体"/>
                <w:vanish/>
              </w:rPr>
            </w:pPr>
          </w:p>
        </w:tc>
        <w:tc>
          <w:tcPr>
            <w:tcW w:w="0" w:type="auto"/>
            <w:gridSpan w:val="3"/>
            <w:shd w:val="clear" w:color="auto" w:fill="auto"/>
          </w:tcPr>
          <w:p w14:paraId="5EA1F758" w14:textId="77777777" w:rsidR="003C66EB" w:rsidRDefault="003C66EB">
            <w:pPr>
              <w:rPr>
                <w:rFonts w:ascii="宋体"/>
                <w:vanish/>
              </w:rPr>
            </w:pPr>
          </w:p>
        </w:tc>
        <w:tc>
          <w:tcPr>
            <w:tcW w:w="0" w:type="auto"/>
            <w:gridSpan w:val="3"/>
            <w:shd w:val="clear" w:color="auto" w:fill="auto"/>
          </w:tcPr>
          <w:p w14:paraId="5EA1F759" w14:textId="77777777" w:rsidR="003C66EB" w:rsidRDefault="003C66EB">
            <w:pPr>
              <w:rPr>
                <w:rFonts w:ascii="宋体"/>
                <w:vanish/>
              </w:rPr>
            </w:pPr>
          </w:p>
        </w:tc>
        <w:tc>
          <w:tcPr>
            <w:tcW w:w="0" w:type="auto"/>
            <w:gridSpan w:val="3"/>
            <w:shd w:val="clear" w:color="auto" w:fill="auto"/>
          </w:tcPr>
          <w:p w14:paraId="5EA1F75A" w14:textId="77777777" w:rsidR="003C66EB" w:rsidRDefault="003C66EB">
            <w:pPr>
              <w:rPr>
                <w:rFonts w:ascii="宋体"/>
                <w:vanish/>
              </w:rPr>
            </w:pPr>
          </w:p>
        </w:tc>
        <w:tc>
          <w:tcPr>
            <w:tcW w:w="0" w:type="auto"/>
            <w:gridSpan w:val="3"/>
            <w:shd w:val="clear" w:color="auto" w:fill="auto"/>
          </w:tcPr>
          <w:p w14:paraId="5EA1F75B" w14:textId="77777777" w:rsidR="003C66EB" w:rsidRDefault="003C66EB">
            <w:pPr>
              <w:rPr>
                <w:rFonts w:ascii="宋体"/>
                <w:vanish/>
              </w:rPr>
            </w:pPr>
          </w:p>
        </w:tc>
        <w:tc>
          <w:tcPr>
            <w:tcW w:w="0" w:type="auto"/>
            <w:gridSpan w:val="3"/>
            <w:shd w:val="clear" w:color="auto" w:fill="auto"/>
          </w:tcPr>
          <w:p w14:paraId="5EA1F75C" w14:textId="77777777" w:rsidR="003C66EB" w:rsidRDefault="003C66EB">
            <w:pPr>
              <w:rPr>
                <w:rFonts w:ascii="宋体"/>
                <w:vanish/>
              </w:rPr>
            </w:pPr>
          </w:p>
        </w:tc>
        <w:tc>
          <w:tcPr>
            <w:tcW w:w="0" w:type="auto"/>
            <w:gridSpan w:val="3"/>
            <w:shd w:val="clear" w:color="auto" w:fill="auto"/>
          </w:tcPr>
          <w:p w14:paraId="5EA1F75D" w14:textId="77777777" w:rsidR="003C66EB" w:rsidRDefault="003C66EB">
            <w:pPr>
              <w:rPr>
                <w:rFonts w:ascii="宋体"/>
                <w:vanish/>
              </w:rPr>
            </w:pPr>
          </w:p>
        </w:tc>
        <w:tc>
          <w:tcPr>
            <w:tcW w:w="0" w:type="auto"/>
            <w:gridSpan w:val="3"/>
            <w:shd w:val="clear" w:color="auto" w:fill="auto"/>
          </w:tcPr>
          <w:p w14:paraId="5EA1F75E" w14:textId="77777777" w:rsidR="003C66EB" w:rsidRDefault="003C66EB">
            <w:pPr>
              <w:rPr>
                <w:rFonts w:ascii="宋体"/>
                <w:vanish/>
              </w:rPr>
            </w:pPr>
          </w:p>
        </w:tc>
        <w:tc>
          <w:tcPr>
            <w:tcW w:w="0" w:type="auto"/>
            <w:gridSpan w:val="3"/>
            <w:shd w:val="clear" w:color="auto" w:fill="auto"/>
          </w:tcPr>
          <w:p w14:paraId="5EA1F75F" w14:textId="77777777" w:rsidR="003C66EB" w:rsidRDefault="003C66EB">
            <w:pPr>
              <w:rPr>
                <w:rFonts w:ascii="宋体"/>
                <w:vanish/>
              </w:rPr>
            </w:pPr>
          </w:p>
        </w:tc>
        <w:tc>
          <w:tcPr>
            <w:tcW w:w="0" w:type="auto"/>
            <w:gridSpan w:val="3"/>
            <w:shd w:val="clear" w:color="auto" w:fill="auto"/>
          </w:tcPr>
          <w:p w14:paraId="5EA1F760" w14:textId="77777777" w:rsidR="003C66EB" w:rsidRDefault="003C66EB">
            <w:pPr>
              <w:rPr>
                <w:rFonts w:ascii="宋体"/>
                <w:vanish/>
              </w:rPr>
            </w:pPr>
          </w:p>
        </w:tc>
        <w:tc>
          <w:tcPr>
            <w:tcW w:w="0" w:type="auto"/>
            <w:gridSpan w:val="3"/>
            <w:shd w:val="clear" w:color="auto" w:fill="auto"/>
          </w:tcPr>
          <w:p w14:paraId="5EA1F761" w14:textId="77777777" w:rsidR="003C66EB" w:rsidRDefault="003C66EB">
            <w:pPr>
              <w:rPr>
                <w:rFonts w:ascii="宋体"/>
                <w:vanish/>
              </w:rPr>
            </w:pPr>
          </w:p>
        </w:tc>
        <w:tc>
          <w:tcPr>
            <w:tcW w:w="0" w:type="auto"/>
            <w:gridSpan w:val="3"/>
            <w:shd w:val="clear" w:color="auto" w:fill="auto"/>
          </w:tcPr>
          <w:p w14:paraId="5EA1F762" w14:textId="77777777" w:rsidR="003C66EB" w:rsidRDefault="003C66EB">
            <w:pPr>
              <w:rPr>
                <w:rFonts w:ascii="宋体"/>
                <w:vanish/>
              </w:rPr>
            </w:pPr>
          </w:p>
        </w:tc>
        <w:tc>
          <w:tcPr>
            <w:tcW w:w="0" w:type="auto"/>
            <w:shd w:val="clear" w:color="auto" w:fill="auto"/>
          </w:tcPr>
          <w:p w14:paraId="5EA1F763" w14:textId="77777777" w:rsidR="003C66EB" w:rsidRDefault="003C66EB">
            <w:pPr>
              <w:rPr>
                <w:rFonts w:ascii="宋体"/>
                <w:vanish/>
              </w:rPr>
            </w:pPr>
          </w:p>
        </w:tc>
      </w:tr>
      <w:tr w:rsidR="003C66EB" w14:paraId="5EA1F772" w14:textId="77777777">
        <w:trPr>
          <w:hidden/>
        </w:trPr>
        <w:tc>
          <w:tcPr>
            <w:tcW w:w="0" w:type="auto"/>
            <w:gridSpan w:val="3"/>
            <w:shd w:val="clear" w:color="auto" w:fill="auto"/>
          </w:tcPr>
          <w:p w14:paraId="5EA1F765" w14:textId="77777777" w:rsidR="003C66EB" w:rsidRDefault="003C66EB">
            <w:pPr>
              <w:rPr>
                <w:rFonts w:ascii="宋体"/>
                <w:vanish/>
              </w:rPr>
            </w:pPr>
          </w:p>
        </w:tc>
        <w:tc>
          <w:tcPr>
            <w:tcW w:w="0" w:type="auto"/>
            <w:gridSpan w:val="3"/>
            <w:shd w:val="clear" w:color="auto" w:fill="auto"/>
          </w:tcPr>
          <w:p w14:paraId="5EA1F766" w14:textId="77777777" w:rsidR="003C66EB" w:rsidRDefault="003C66EB">
            <w:pPr>
              <w:rPr>
                <w:rFonts w:ascii="宋体"/>
                <w:vanish/>
              </w:rPr>
            </w:pPr>
          </w:p>
        </w:tc>
        <w:tc>
          <w:tcPr>
            <w:tcW w:w="0" w:type="auto"/>
            <w:gridSpan w:val="3"/>
            <w:shd w:val="clear" w:color="auto" w:fill="auto"/>
          </w:tcPr>
          <w:p w14:paraId="5EA1F767" w14:textId="77777777" w:rsidR="003C66EB" w:rsidRDefault="003C66EB">
            <w:pPr>
              <w:rPr>
                <w:rFonts w:ascii="宋体"/>
                <w:vanish/>
              </w:rPr>
            </w:pPr>
          </w:p>
        </w:tc>
        <w:tc>
          <w:tcPr>
            <w:tcW w:w="0" w:type="auto"/>
            <w:gridSpan w:val="3"/>
            <w:shd w:val="clear" w:color="auto" w:fill="auto"/>
          </w:tcPr>
          <w:p w14:paraId="5EA1F768" w14:textId="77777777" w:rsidR="003C66EB" w:rsidRDefault="003C66EB">
            <w:pPr>
              <w:rPr>
                <w:rFonts w:ascii="宋体"/>
                <w:vanish/>
              </w:rPr>
            </w:pPr>
          </w:p>
        </w:tc>
        <w:tc>
          <w:tcPr>
            <w:tcW w:w="0" w:type="auto"/>
            <w:gridSpan w:val="3"/>
            <w:shd w:val="clear" w:color="auto" w:fill="auto"/>
          </w:tcPr>
          <w:p w14:paraId="5EA1F769" w14:textId="77777777" w:rsidR="003C66EB" w:rsidRDefault="003C66EB">
            <w:pPr>
              <w:rPr>
                <w:rFonts w:ascii="宋体"/>
                <w:vanish/>
              </w:rPr>
            </w:pPr>
          </w:p>
        </w:tc>
        <w:tc>
          <w:tcPr>
            <w:tcW w:w="0" w:type="auto"/>
            <w:gridSpan w:val="3"/>
            <w:shd w:val="clear" w:color="auto" w:fill="auto"/>
          </w:tcPr>
          <w:p w14:paraId="5EA1F76A" w14:textId="77777777" w:rsidR="003C66EB" w:rsidRDefault="003C66EB">
            <w:pPr>
              <w:rPr>
                <w:rFonts w:ascii="宋体"/>
                <w:vanish/>
              </w:rPr>
            </w:pPr>
          </w:p>
        </w:tc>
        <w:tc>
          <w:tcPr>
            <w:tcW w:w="0" w:type="auto"/>
            <w:gridSpan w:val="3"/>
            <w:shd w:val="clear" w:color="auto" w:fill="auto"/>
          </w:tcPr>
          <w:p w14:paraId="5EA1F76B" w14:textId="77777777" w:rsidR="003C66EB" w:rsidRDefault="003C66EB">
            <w:pPr>
              <w:rPr>
                <w:rFonts w:ascii="宋体"/>
                <w:vanish/>
              </w:rPr>
            </w:pPr>
          </w:p>
        </w:tc>
        <w:tc>
          <w:tcPr>
            <w:tcW w:w="0" w:type="auto"/>
            <w:gridSpan w:val="3"/>
            <w:shd w:val="clear" w:color="auto" w:fill="auto"/>
          </w:tcPr>
          <w:p w14:paraId="5EA1F76C" w14:textId="77777777" w:rsidR="003C66EB" w:rsidRDefault="003C66EB">
            <w:pPr>
              <w:rPr>
                <w:rFonts w:ascii="宋体"/>
                <w:vanish/>
              </w:rPr>
            </w:pPr>
          </w:p>
        </w:tc>
        <w:tc>
          <w:tcPr>
            <w:tcW w:w="0" w:type="auto"/>
            <w:gridSpan w:val="3"/>
            <w:shd w:val="clear" w:color="auto" w:fill="auto"/>
          </w:tcPr>
          <w:p w14:paraId="5EA1F76D" w14:textId="77777777" w:rsidR="003C66EB" w:rsidRDefault="003C66EB">
            <w:pPr>
              <w:rPr>
                <w:rFonts w:ascii="宋体"/>
                <w:vanish/>
              </w:rPr>
            </w:pPr>
          </w:p>
        </w:tc>
        <w:tc>
          <w:tcPr>
            <w:tcW w:w="0" w:type="auto"/>
            <w:gridSpan w:val="3"/>
            <w:shd w:val="clear" w:color="auto" w:fill="auto"/>
          </w:tcPr>
          <w:p w14:paraId="5EA1F76E" w14:textId="77777777" w:rsidR="003C66EB" w:rsidRDefault="003C66EB">
            <w:pPr>
              <w:rPr>
                <w:rFonts w:ascii="宋体"/>
                <w:vanish/>
              </w:rPr>
            </w:pPr>
          </w:p>
        </w:tc>
        <w:tc>
          <w:tcPr>
            <w:tcW w:w="0" w:type="auto"/>
            <w:gridSpan w:val="3"/>
            <w:shd w:val="clear" w:color="auto" w:fill="auto"/>
          </w:tcPr>
          <w:p w14:paraId="5EA1F76F" w14:textId="77777777" w:rsidR="003C66EB" w:rsidRDefault="003C66EB">
            <w:pPr>
              <w:rPr>
                <w:rFonts w:ascii="宋体"/>
                <w:vanish/>
              </w:rPr>
            </w:pPr>
          </w:p>
        </w:tc>
        <w:tc>
          <w:tcPr>
            <w:tcW w:w="0" w:type="auto"/>
            <w:gridSpan w:val="3"/>
            <w:shd w:val="clear" w:color="auto" w:fill="auto"/>
          </w:tcPr>
          <w:p w14:paraId="5EA1F770" w14:textId="77777777" w:rsidR="003C66EB" w:rsidRDefault="003C66EB">
            <w:pPr>
              <w:rPr>
                <w:rFonts w:ascii="宋体"/>
                <w:vanish/>
              </w:rPr>
            </w:pPr>
          </w:p>
        </w:tc>
        <w:tc>
          <w:tcPr>
            <w:tcW w:w="0" w:type="auto"/>
            <w:shd w:val="clear" w:color="auto" w:fill="auto"/>
          </w:tcPr>
          <w:p w14:paraId="5EA1F771" w14:textId="77777777" w:rsidR="003C66EB" w:rsidRDefault="003C66EB">
            <w:pPr>
              <w:rPr>
                <w:rFonts w:ascii="宋体"/>
                <w:vanish/>
              </w:rPr>
            </w:pPr>
          </w:p>
        </w:tc>
      </w:tr>
      <w:tr w:rsidR="003C66EB" w14:paraId="5EA1F780" w14:textId="77777777">
        <w:trPr>
          <w:hidden/>
        </w:trPr>
        <w:tc>
          <w:tcPr>
            <w:tcW w:w="0" w:type="auto"/>
            <w:gridSpan w:val="3"/>
            <w:shd w:val="clear" w:color="auto" w:fill="auto"/>
          </w:tcPr>
          <w:p w14:paraId="5EA1F773" w14:textId="77777777" w:rsidR="003C66EB" w:rsidRDefault="003C66EB">
            <w:pPr>
              <w:rPr>
                <w:rFonts w:ascii="宋体"/>
                <w:vanish/>
              </w:rPr>
            </w:pPr>
          </w:p>
        </w:tc>
        <w:tc>
          <w:tcPr>
            <w:tcW w:w="0" w:type="auto"/>
            <w:gridSpan w:val="3"/>
            <w:shd w:val="clear" w:color="auto" w:fill="auto"/>
          </w:tcPr>
          <w:p w14:paraId="5EA1F774" w14:textId="77777777" w:rsidR="003C66EB" w:rsidRDefault="003C66EB">
            <w:pPr>
              <w:rPr>
                <w:rFonts w:ascii="宋体"/>
                <w:vanish/>
              </w:rPr>
            </w:pPr>
          </w:p>
        </w:tc>
        <w:tc>
          <w:tcPr>
            <w:tcW w:w="0" w:type="auto"/>
            <w:gridSpan w:val="3"/>
            <w:shd w:val="clear" w:color="auto" w:fill="auto"/>
          </w:tcPr>
          <w:p w14:paraId="5EA1F775" w14:textId="77777777" w:rsidR="003C66EB" w:rsidRDefault="003C66EB">
            <w:pPr>
              <w:rPr>
                <w:rFonts w:ascii="宋体"/>
                <w:vanish/>
              </w:rPr>
            </w:pPr>
          </w:p>
        </w:tc>
        <w:tc>
          <w:tcPr>
            <w:tcW w:w="0" w:type="auto"/>
            <w:gridSpan w:val="3"/>
            <w:shd w:val="clear" w:color="auto" w:fill="auto"/>
          </w:tcPr>
          <w:p w14:paraId="5EA1F776" w14:textId="77777777" w:rsidR="003C66EB" w:rsidRDefault="003C66EB">
            <w:pPr>
              <w:rPr>
                <w:rFonts w:ascii="宋体"/>
                <w:vanish/>
              </w:rPr>
            </w:pPr>
          </w:p>
        </w:tc>
        <w:tc>
          <w:tcPr>
            <w:tcW w:w="0" w:type="auto"/>
            <w:gridSpan w:val="3"/>
            <w:shd w:val="clear" w:color="auto" w:fill="auto"/>
          </w:tcPr>
          <w:p w14:paraId="5EA1F777" w14:textId="77777777" w:rsidR="003C66EB" w:rsidRDefault="003C66EB">
            <w:pPr>
              <w:rPr>
                <w:rFonts w:ascii="宋体"/>
                <w:vanish/>
              </w:rPr>
            </w:pPr>
          </w:p>
        </w:tc>
        <w:tc>
          <w:tcPr>
            <w:tcW w:w="0" w:type="auto"/>
            <w:gridSpan w:val="3"/>
            <w:shd w:val="clear" w:color="auto" w:fill="auto"/>
          </w:tcPr>
          <w:p w14:paraId="5EA1F778" w14:textId="77777777" w:rsidR="003C66EB" w:rsidRDefault="003C66EB">
            <w:pPr>
              <w:rPr>
                <w:rFonts w:ascii="宋体"/>
                <w:vanish/>
              </w:rPr>
            </w:pPr>
          </w:p>
        </w:tc>
        <w:tc>
          <w:tcPr>
            <w:tcW w:w="0" w:type="auto"/>
            <w:gridSpan w:val="3"/>
            <w:shd w:val="clear" w:color="auto" w:fill="auto"/>
          </w:tcPr>
          <w:p w14:paraId="5EA1F779" w14:textId="77777777" w:rsidR="003C66EB" w:rsidRDefault="003C66EB">
            <w:pPr>
              <w:rPr>
                <w:rFonts w:ascii="宋体"/>
                <w:vanish/>
              </w:rPr>
            </w:pPr>
          </w:p>
        </w:tc>
        <w:tc>
          <w:tcPr>
            <w:tcW w:w="0" w:type="auto"/>
            <w:gridSpan w:val="3"/>
            <w:shd w:val="clear" w:color="auto" w:fill="auto"/>
          </w:tcPr>
          <w:p w14:paraId="5EA1F77A" w14:textId="77777777" w:rsidR="003C66EB" w:rsidRDefault="003C66EB">
            <w:pPr>
              <w:rPr>
                <w:rFonts w:ascii="宋体"/>
                <w:vanish/>
              </w:rPr>
            </w:pPr>
          </w:p>
        </w:tc>
        <w:tc>
          <w:tcPr>
            <w:tcW w:w="0" w:type="auto"/>
            <w:gridSpan w:val="3"/>
            <w:shd w:val="clear" w:color="auto" w:fill="auto"/>
          </w:tcPr>
          <w:p w14:paraId="5EA1F77B" w14:textId="77777777" w:rsidR="003C66EB" w:rsidRDefault="003C66EB">
            <w:pPr>
              <w:rPr>
                <w:rFonts w:ascii="宋体"/>
                <w:vanish/>
              </w:rPr>
            </w:pPr>
          </w:p>
        </w:tc>
        <w:tc>
          <w:tcPr>
            <w:tcW w:w="0" w:type="auto"/>
            <w:gridSpan w:val="3"/>
            <w:shd w:val="clear" w:color="auto" w:fill="auto"/>
          </w:tcPr>
          <w:p w14:paraId="5EA1F77C" w14:textId="77777777" w:rsidR="003C66EB" w:rsidRDefault="003C66EB">
            <w:pPr>
              <w:rPr>
                <w:rFonts w:ascii="宋体"/>
                <w:vanish/>
              </w:rPr>
            </w:pPr>
          </w:p>
        </w:tc>
        <w:tc>
          <w:tcPr>
            <w:tcW w:w="0" w:type="auto"/>
            <w:gridSpan w:val="3"/>
            <w:shd w:val="clear" w:color="auto" w:fill="auto"/>
          </w:tcPr>
          <w:p w14:paraId="5EA1F77D" w14:textId="77777777" w:rsidR="003C66EB" w:rsidRDefault="003C66EB">
            <w:pPr>
              <w:rPr>
                <w:rFonts w:ascii="宋体"/>
                <w:vanish/>
              </w:rPr>
            </w:pPr>
          </w:p>
        </w:tc>
        <w:tc>
          <w:tcPr>
            <w:tcW w:w="0" w:type="auto"/>
            <w:gridSpan w:val="3"/>
            <w:shd w:val="clear" w:color="auto" w:fill="auto"/>
          </w:tcPr>
          <w:p w14:paraId="5EA1F77E" w14:textId="77777777" w:rsidR="003C66EB" w:rsidRDefault="003C66EB">
            <w:pPr>
              <w:rPr>
                <w:rFonts w:ascii="宋体"/>
                <w:vanish/>
              </w:rPr>
            </w:pPr>
          </w:p>
        </w:tc>
        <w:tc>
          <w:tcPr>
            <w:tcW w:w="0" w:type="auto"/>
            <w:shd w:val="clear" w:color="auto" w:fill="auto"/>
          </w:tcPr>
          <w:p w14:paraId="5EA1F77F" w14:textId="77777777" w:rsidR="003C66EB" w:rsidRDefault="003C66EB">
            <w:pPr>
              <w:rPr>
                <w:rFonts w:ascii="宋体"/>
                <w:vanish/>
              </w:rPr>
            </w:pPr>
          </w:p>
        </w:tc>
      </w:tr>
      <w:tr w:rsidR="003C66EB" w14:paraId="5EA1F78E" w14:textId="77777777">
        <w:trPr>
          <w:hidden/>
        </w:trPr>
        <w:tc>
          <w:tcPr>
            <w:tcW w:w="0" w:type="auto"/>
            <w:gridSpan w:val="3"/>
            <w:shd w:val="clear" w:color="auto" w:fill="auto"/>
          </w:tcPr>
          <w:p w14:paraId="5EA1F781" w14:textId="77777777" w:rsidR="003C66EB" w:rsidRDefault="003C66EB">
            <w:pPr>
              <w:rPr>
                <w:rFonts w:ascii="宋体"/>
                <w:vanish/>
              </w:rPr>
            </w:pPr>
          </w:p>
        </w:tc>
        <w:tc>
          <w:tcPr>
            <w:tcW w:w="0" w:type="auto"/>
            <w:gridSpan w:val="3"/>
            <w:shd w:val="clear" w:color="auto" w:fill="auto"/>
          </w:tcPr>
          <w:p w14:paraId="5EA1F782" w14:textId="77777777" w:rsidR="003C66EB" w:rsidRDefault="003C66EB">
            <w:pPr>
              <w:rPr>
                <w:rFonts w:ascii="宋体"/>
                <w:vanish/>
              </w:rPr>
            </w:pPr>
          </w:p>
        </w:tc>
        <w:tc>
          <w:tcPr>
            <w:tcW w:w="0" w:type="auto"/>
            <w:gridSpan w:val="3"/>
            <w:shd w:val="clear" w:color="auto" w:fill="auto"/>
          </w:tcPr>
          <w:p w14:paraId="5EA1F783" w14:textId="77777777" w:rsidR="003C66EB" w:rsidRDefault="003C66EB">
            <w:pPr>
              <w:rPr>
                <w:rFonts w:ascii="宋体"/>
                <w:vanish/>
              </w:rPr>
            </w:pPr>
          </w:p>
        </w:tc>
        <w:tc>
          <w:tcPr>
            <w:tcW w:w="0" w:type="auto"/>
            <w:gridSpan w:val="3"/>
            <w:shd w:val="clear" w:color="auto" w:fill="auto"/>
          </w:tcPr>
          <w:p w14:paraId="5EA1F784" w14:textId="77777777" w:rsidR="003C66EB" w:rsidRDefault="003C66EB">
            <w:pPr>
              <w:rPr>
                <w:rFonts w:ascii="宋体"/>
                <w:vanish/>
              </w:rPr>
            </w:pPr>
          </w:p>
        </w:tc>
        <w:tc>
          <w:tcPr>
            <w:tcW w:w="0" w:type="auto"/>
            <w:gridSpan w:val="3"/>
            <w:shd w:val="clear" w:color="auto" w:fill="auto"/>
          </w:tcPr>
          <w:p w14:paraId="5EA1F785" w14:textId="77777777" w:rsidR="003C66EB" w:rsidRDefault="003C66EB">
            <w:pPr>
              <w:rPr>
                <w:rFonts w:ascii="宋体"/>
                <w:vanish/>
              </w:rPr>
            </w:pPr>
          </w:p>
        </w:tc>
        <w:tc>
          <w:tcPr>
            <w:tcW w:w="0" w:type="auto"/>
            <w:gridSpan w:val="3"/>
            <w:shd w:val="clear" w:color="auto" w:fill="auto"/>
          </w:tcPr>
          <w:p w14:paraId="5EA1F786" w14:textId="77777777" w:rsidR="003C66EB" w:rsidRDefault="003C66EB">
            <w:pPr>
              <w:rPr>
                <w:rFonts w:ascii="宋体"/>
                <w:vanish/>
              </w:rPr>
            </w:pPr>
          </w:p>
        </w:tc>
        <w:tc>
          <w:tcPr>
            <w:tcW w:w="0" w:type="auto"/>
            <w:gridSpan w:val="3"/>
            <w:shd w:val="clear" w:color="auto" w:fill="auto"/>
          </w:tcPr>
          <w:p w14:paraId="5EA1F787" w14:textId="77777777" w:rsidR="003C66EB" w:rsidRDefault="003C66EB">
            <w:pPr>
              <w:rPr>
                <w:rFonts w:ascii="宋体"/>
                <w:vanish/>
              </w:rPr>
            </w:pPr>
          </w:p>
        </w:tc>
        <w:tc>
          <w:tcPr>
            <w:tcW w:w="0" w:type="auto"/>
            <w:gridSpan w:val="3"/>
            <w:shd w:val="clear" w:color="auto" w:fill="auto"/>
          </w:tcPr>
          <w:p w14:paraId="5EA1F788" w14:textId="77777777" w:rsidR="003C66EB" w:rsidRDefault="003C66EB">
            <w:pPr>
              <w:rPr>
                <w:rFonts w:ascii="宋体"/>
                <w:vanish/>
              </w:rPr>
            </w:pPr>
          </w:p>
        </w:tc>
        <w:tc>
          <w:tcPr>
            <w:tcW w:w="0" w:type="auto"/>
            <w:gridSpan w:val="3"/>
            <w:shd w:val="clear" w:color="auto" w:fill="auto"/>
          </w:tcPr>
          <w:p w14:paraId="5EA1F789" w14:textId="77777777" w:rsidR="003C66EB" w:rsidRDefault="003C66EB">
            <w:pPr>
              <w:rPr>
                <w:rFonts w:ascii="宋体"/>
                <w:vanish/>
              </w:rPr>
            </w:pPr>
          </w:p>
        </w:tc>
        <w:tc>
          <w:tcPr>
            <w:tcW w:w="0" w:type="auto"/>
            <w:gridSpan w:val="3"/>
            <w:shd w:val="clear" w:color="auto" w:fill="auto"/>
          </w:tcPr>
          <w:p w14:paraId="5EA1F78A" w14:textId="77777777" w:rsidR="003C66EB" w:rsidRDefault="003C66EB">
            <w:pPr>
              <w:rPr>
                <w:rFonts w:ascii="宋体"/>
                <w:vanish/>
              </w:rPr>
            </w:pPr>
          </w:p>
        </w:tc>
        <w:tc>
          <w:tcPr>
            <w:tcW w:w="0" w:type="auto"/>
            <w:gridSpan w:val="3"/>
            <w:shd w:val="clear" w:color="auto" w:fill="auto"/>
          </w:tcPr>
          <w:p w14:paraId="5EA1F78B" w14:textId="77777777" w:rsidR="003C66EB" w:rsidRDefault="003C66EB">
            <w:pPr>
              <w:rPr>
                <w:rFonts w:ascii="宋体"/>
                <w:vanish/>
              </w:rPr>
            </w:pPr>
          </w:p>
        </w:tc>
        <w:tc>
          <w:tcPr>
            <w:tcW w:w="0" w:type="auto"/>
            <w:gridSpan w:val="3"/>
            <w:shd w:val="clear" w:color="auto" w:fill="auto"/>
          </w:tcPr>
          <w:p w14:paraId="5EA1F78C" w14:textId="77777777" w:rsidR="003C66EB" w:rsidRDefault="003C66EB">
            <w:pPr>
              <w:rPr>
                <w:rFonts w:ascii="宋体"/>
                <w:vanish/>
              </w:rPr>
            </w:pPr>
          </w:p>
        </w:tc>
        <w:tc>
          <w:tcPr>
            <w:tcW w:w="0" w:type="auto"/>
            <w:shd w:val="clear" w:color="auto" w:fill="auto"/>
          </w:tcPr>
          <w:p w14:paraId="5EA1F78D" w14:textId="77777777" w:rsidR="003C66EB" w:rsidRDefault="003C66EB">
            <w:pPr>
              <w:rPr>
                <w:rFonts w:ascii="宋体"/>
                <w:vanish/>
              </w:rPr>
            </w:pPr>
          </w:p>
        </w:tc>
      </w:tr>
      <w:tr w:rsidR="003C66EB" w14:paraId="5EA1F79C" w14:textId="77777777">
        <w:trPr>
          <w:hidden/>
        </w:trPr>
        <w:tc>
          <w:tcPr>
            <w:tcW w:w="0" w:type="auto"/>
            <w:gridSpan w:val="3"/>
            <w:shd w:val="clear" w:color="auto" w:fill="auto"/>
          </w:tcPr>
          <w:p w14:paraId="5EA1F78F" w14:textId="77777777" w:rsidR="003C66EB" w:rsidRDefault="003C66EB">
            <w:pPr>
              <w:rPr>
                <w:rFonts w:ascii="宋体"/>
                <w:vanish/>
              </w:rPr>
            </w:pPr>
          </w:p>
        </w:tc>
        <w:tc>
          <w:tcPr>
            <w:tcW w:w="0" w:type="auto"/>
            <w:gridSpan w:val="3"/>
            <w:shd w:val="clear" w:color="auto" w:fill="auto"/>
          </w:tcPr>
          <w:p w14:paraId="5EA1F790" w14:textId="77777777" w:rsidR="003C66EB" w:rsidRDefault="003C66EB">
            <w:pPr>
              <w:rPr>
                <w:rFonts w:ascii="宋体"/>
                <w:vanish/>
              </w:rPr>
            </w:pPr>
          </w:p>
        </w:tc>
        <w:tc>
          <w:tcPr>
            <w:tcW w:w="0" w:type="auto"/>
            <w:gridSpan w:val="3"/>
            <w:shd w:val="clear" w:color="auto" w:fill="auto"/>
          </w:tcPr>
          <w:p w14:paraId="5EA1F791" w14:textId="77777777" w:rsidR="003C66EB" w:rsidRDefault="003C66EB">
            <w:pPr>
              <w:rPr>
                <w:rFonts w:ascii="宋体"/>
                <w:vanish/>
              </w:rPr>
            </w:pPr>
          </w:p>
        </w:tc>
        <w:tc>
          <w:tcPr>
            <w:tcW w:w="0" w:type="auto"/>
            <w:gridSpan w:val="3"/>
            <w:shd w:val="clear" w:color="auto" w:fill="auto"/>
          </w:tcPr>
          <w:p w14:paraId="5EA1F792" w14:textId="77777777" w:rsidR="003C66EB" w:rsidRDefault="003C66EB">
            <w:pPr>
              <w:rPr>
                <w:rFonts w:ascii="宋体"/>
                <w:vanish/>
              </w:rPr>
            </w:pPr>
          </w:p>
        </w:tc>
        <w:tc>
          <w:tcPr>
            <w:tcW w:w="0" w:type="auto"/>
            <w:gridSpan w:val="3"/>
            <w:shd w:val="clear" w:color="auto" w:fill="auto"/>
          </w:tcPr>
          <w:p w14:paraId="5EA1F793" w14:textId="77777777" w:rsidR="003C66EB" w:rsidRDefault="003C66EB">
            <w:pPr>
              <w:rPr>
                <w:rFonts w:ascii="宋体"/>
                <w:vanish/>
              </w:rPr>
            </w:pPr>
          </w:p>
        </w:tc>
        <w:tc>
          <w:tcPr>
            <w:tcW w:w="0" w:type="auto"/>
            <w:gridSpan w:val="3"/>
            <w:shd w:val="clear" w:color="auto" w:fill="auto"/>
          </w:tcPr>
          <w:p w14:paraId="5EA1F794" w14:textId="77777777" w:rsidR="003C66EB" w:rsidRDefault="003C66EB">
            <w:pPr>
              <w:rPr>
                <w:rFonts w:ascii="宋体"/>
                <w:vanish/>
              </w:rPr>
            </w:pPr>
          </w:p>
        </w:tc>
        <w:tc>
          <w:tcPr>
            <w:tcW w:w="0" w:type="auto"/>
            <w:gridSpan w:val="3"/>
            <w:shd w:val="clear" w:color="auto" w:fill="auto"/>
          </w:tcPr>
          <w:p w14:paraId="5EA1F795" w14:textId="77777777" w:rsidR="003C66EB" w:rsidRDefault="003C66EB">
            <w:pPr>
              <w:rPr>
                <w:rFonts w:ascii="宋体"/>
                <w:vanish/>
              </w:rPr>
            </w:pPr>
          </w:p>
        </w:tc>
        <w:tc>
          <w:tcPr>
            <w:tcW w:w="0" w:type="auto"/>
            <w:gridSpan w:val="3"/>
            <w:shd w:val="clear" w:color="auto" w:fill="auto"/>
          </w:tcPr>
          <w:p w14:paraId="5EA1F796" w14:textId="77777777" w:rsidR="003C66EB" w:rsidRDefault="003C66EB">
            <w:pPr>
              <w:rPr>
                <w:rFonts w:ascii="宋体"/>
                <w:vanish/>
              </w:rPr>
            </w:pPr>
          </w:p>
        </w:tc>
        <w:tc>
          <w:tcPr>
            <w:tcW w:w="0" w:type="auto"/>
            <w:gridSpan w:val="3"/>
            <w:shd w:val="clear" w:color="auto" w:fill="auto"/>
          </w:tcPr>
          <w:p w14:paraId="5EA1F797" w14:textId="77777777" w:rsidR="003C66EB" w:rsidRDefault="003C66EB">
            <w:pPr>
              <w:rPr>
                <w:rFonts w:ascii="宋体"/>
                <w:vanish/>
              </w:rPr>
            </w:pPr>
          </w:p>
        </w:tc>
        <w:tc>
          <w:tcPr>
            <w:tcW w:w="0" w:type="auto"/>
            <w:gridSpan w:val="3"/>
            <w:shd w:val="clear" w:color="auto" w:fill="auto"/>
          </w:tcPr>
          <w:p w14:paraId="5EA1F798" w14:textId="77777777" w:rsidR="003C66EB" w:rsidRDefault="003C66EB">
            <w:pPr>
              <w:rPr>
                <w:rFonts w:ascii="宋体"/>
                <w:vanish/>
              </w:rPr>
            </w:pPr>
          </w:p>
        </w:tc>
        <w:tc>
          <w:tcPr>
            <w:tcW w:w="0" w:type="auto"/>
            <w:gridSpan w:val="3"/>
            <w:shd w:val="clear" w:color="auto" w:fill="auto"/>
          </w:tcPr>
          <w:p w14:paraId="5EA1F799" w14:textId="77777777" w:rsidR="003C66EB" w:rsidRDefault="003C66EB">
            <w:pPr>
              <w:rPr>
                <w:rFonts w:ascii="宋体"/>
                <w:vanish/>
              </w:rPr>
            </w:pPr>
          </w:p>
        </w:tc>
        <w:tc>
          <w:tcPr>
            <w:tcW w:w="0" w:type="auto"/>
            <w:gridSpan w:val="3"/>
            <w:shd w:val="clear" w:color="auto" w:fill="auto"/>
          </w:tcPr>
          <w:p w14:paraId="5EA1F79A" w14:textId="77777777" w:rsidR="003C66EB" w:rsidRDefault="003C66EB">
            <w:pPr>
              <w:rPr>
                <w:rFonts w:ascii="宋体"/>
                <w:vanish/>
              </w:rPr>
            </w:pPr>
          </w:p>
        </w:tc>
        <w:tc>
          <w:tcPr>
            <w:tcW w:w="0" w:type="auto"/>
            <w:shd w:val="clear" w:color="auto" w:fill="auto"/>
          </w:tcPr>
          <w:p w14:paraId="5EA1F79B" w14:textId="77777777" w:rsidR="003C66EB" w:rsidRDefault="003C66EB">
            <w:pPr>
              <w:rPr>
                <w:rFonts w:ascii="宋体"/>
                <w:vanish/>
              </w:rPr>
            </w:pPr>
          </w:p>
        </w:tc>
      </w:tr>
      <w:tr w:rsidR="003C66EB" w14:paraId="5EA1F7AA" w14:textId="77777777">
        <w:trPr>
          <w:hidden/>
        </w:trPr>
        <w:tc>
          <w:tcPr>
            <w:tcW w:w="0" w:type="auto"/>
            <w:gridSpan w:val="3"/>
            <w:shd w:val="clear" w:color="auto" w:fill="auto"/>
          </w:tcPr>
          <w:p w14:paraId="5EA1F79D" w14:textId="77777777" w:rsidR="003C66EB" w:rsidRDefault="003C66EB">
            <w:pPr>
              <w:rPr>
                <w:rFonts w:ascii="宋体"/>
                <w:vanish/>
              </w:rPr>
            </w:pPr>
          </w:p>
        </w:tc>
        <w:tc>
          <w:tcPr>
            <w:tcW w:w="0" w:type="auto"/>
            <w:gridSpan w:val="3"/>
            <w:shd w:val="clear" w:color="auto" w:fill="auto"/>
          </w:tcPr>
          <w:p w14:paraId="5EA1F79E" w14:textId="77777777" w:rsidR="003C66EB" w:rsidRDefault="003C66EB">
            <w:pPr>
              <w:rPr>
                <w:rFonts w:ascii="宋体"/>
                <w:vanish/>
              </w:rPr>
            </w:pPr>
          </w:p>
        </w:tc>
        <w:tc>
          <w:tcPr>
            <w:tcW w:w="0" w:type="auto"/>
            <w:gridSpan w:val="3"/>
            <w:shd w:val="clear" w:color="auto" w:fill="auto"/>
          </w:tcPr>
          <w:p w14:paraId="5EA1F79F" w14:textId="77777777" w:rsidR="003C66EB" w:rsidRDefault="003C66EB">
            <w:pPr>
              <w:rPr>
                <w:rFonts w:ascii="宋体"/>
                <w:vanish/>
              </w:rPr>
            </w:pPr>
          </w:p>
        </w:tc>
        <w:tc>
          <w:tcPr>
            <w:tcW w:w="0" w:type="auto"/>
            <w:gridSpan w:val="3"/>
            <w:shd w:val="clear" w:color="auto" w:fill="auto"/>
          </w:tcPr>
          <w:p w14:paraId="5EA1F7A0" w14:textId="77777777" w:rsidR="003C66EB" w:rsidRDefault="003C66EB">
            <w:pPr>
              <w:rPr>
                <w:rFonts w:ascii="宋体"/>
                <w:vanish/>
              </w:rPr>
            </w:pPr>
          </w:p>
        </w:tc>
        <w:tc>
          <w:tcPr>
            <w:tcW w:w="0" w:type="auto"/>
            <w:gridSpan w:val="3"/>
            <w:shd w:val="clear" w:color="auto" w:fill="auto"/>
          </w:tcPr>
          <w:p w14:paraId="5EA1F7A1" w14:textId="77777777" w:rsidR="003C66EB" w:rsidRDefault="003C66EB">
            <w:pPr>
              <w:rPr>
                <w:rFonts w:ascii="宋体"/>
                <w:vanish/>
              </w:rPr>
            </w:pPr>
          </w:p>
        </w:tc>
        <w:tc>
          <w:tcPr>
            <w:tcW w:w="0" w:type="auto"/>
            <w:gridSpan w:val="3"/>
            <w:shd w:val="clear" w:color="auto" w:fill="auto"/>
          </w:tcPr>
          <w:p w14:paraId="5EA1F7A2" w14:textId="77777777" w:rsidR="003C66EB" w:rsidRDefault="003C66EB">
            <w:pPr>
              <w:rPr>
                <w:rFonts w:ascii="宋体"/>
                <w:vanish/>
              </w:rPr>
            </w:pPr>
          </w:p>
        </w:tc>
        <w:tc>
          <w:tcPr>
            <w:tcW w:w="0" w:type="auto"/>
            <w:gridSpan w:val="3"/>
            <w:shd w:val="clear" w:color="auto" w:fill="auto"/>
          </w:tcPr>
          <w:p w14:paraId="5EA1F7A3" w14:textId="77777777" w:rsidR="003C66EB" w:rsidRDefault="003C66EB">
            <w:pPr>
              <w:rPr>
                <w:rFonts w:ascii="宋体"/>
                <w:vanish/>
              </w:rPr>
            </w:pPr>
          </w:p>
        </w:tc>
        <w:tc>
          <w:tcPr>
            <w:tcW w:w="0" w:type="auto"/>
            <w:gridSpan w:val="3"/>
            <w:shd w:val="clear" w:color="auto" w:fill="auto"/>
          </w:tcPr>
          <w:p w14:paraId="5EA1F7A4" w14:textId="77777777" w:rsidR="003C66EB" w:rsidRDefault="003C66EB">
            <w:pPr>
              <w:rPr>
                <w:rFonts w:ascii="宋体"/>
                <w:vanish/>
              </w:rPr>
            </w:pPr>
          </w:p>
        </w:tc>
        <w:tc>
          <w:tcPr>
            <w:tcW w:w="0" w:type="auto"/>
            <w:gridSpan w:val="3"/>
            <w:shd w:val="clear" w:color="auto" w:fill="auto"/>
          </w:tcPr>
          <w:p w14:paraId="5EA1F7A5" w14:textId="77777777" w:rsidR="003C66EB" w:rsidRDefault="003C66EB">
            <w:pPr>
              <w:rPr>
                <w:rFonts w:ascii="宋体"/>
                <w:vanish/>
              </w:rPr>
            </w:pPr>
          </w:p>
        </w:tc>
        <w:tc>
          <w:tcPr>
            <w:tcW w:w="0" w:type="auto"/>
            <w:gridSpan w:val="3"/>
            <w:shd w:val="clear" w:color="auto" w:fill="auto"/>
          </w:tcPr>
          <w:p w14:paraId="5EA1F7A6" w14:textId="77777777" w:rsidR="003C66EB" w:rsidRDefault="003C66EB">
            <w:pPr>
              <w:rPr>
                <w:rFonts w:ascii="宋体"/>
                <w:vanish/>
              </w:rPr>
            </w:pPr>
          </w:p>
        </w:tc>
        <w:tc>
          <w:tcPr>
            <w:tcW w:w="0" w:type="auto"/>
            <w:gridSpan w:val="3"/>
            <w:shd w:val="clear" w:color="auto" w:fill="auto"/>
          </w:tcPr>
          <w:p w14:paraId="5EA1F7A7" w14:textId="77777777" w:rsidR="003C66EB" w:rsidRDefault="003C66EB">
            <w:pPr>
              <w:rPr>
                <w:rFonts w:ascii="宋体"/>
                <w:vanish/>
              </w:rPr>
            </w:pPr>
          </w:p>
        </w:tc>
        <w:tc>
          <w:tcPr>
            <w:tcW w:w="0" w:type="auto"/>
            <w:gridSpan w:val="3"/>
            <w:shd w:val="clear" w:color="auto" w:fill="auto"/>
          </w:tcPr>
          <w:p w14:paraId="5EA1F7A8" w14:textId="77777777" w:rsidR="003C66EB" w:rsidRDefault="003C66EB">
            <w:pPr>
              <w:rPr>
                <w:rFonts w:ascii="宋体"/>
                <w:vanish/>
              </w:rPr>
            </w:pPr>
          </w:p>
        </w:tc>
        <w:tc>
          <w:tcPr>
            <w:tcW w:w="0" w:type="auto"/>
            <w:shd w:val="clear" w:color="auto" w:fill="auto"/>
          </w:tcPr>
          <w:p w14:paraId="5EA1F7A9" w14:textId="77777777" w:rsidR="003C66EB" w:rsidRDefault="003C66EB">
            <w:pPr>
              <w:rPr>
                <w:rFonts w:ascii="宋体"/>
                <w:vanish/>
              </w:rPr>
            </w:pPr>
          </w:p>
        </w:tc>
      </w:tr>
      <w:tr w:rsidR="003C66EB" w14:paraId="5EA1F7B8" w14:textId="77777777">
        <w:trPr>
          <w:hidden/>
        </w:trPr>
        <w:tc>
          <w:tcPr>
            <w:tcW w:w="0" w:type="auto"/>
            <w:gridSpan w:val="3"/>
            <w:shd w:val="clear" w:color="auto" w:fill="auto"/>
          </w:tcPr>
          <w:p w14:paraId="5EA1F7AB" w14:textId="77777777" w:rsidR="003C66EB" w:rsidRDefault="003C66EB">
            <w:pPr>
              <w:rPr>
                <w:rFonts w:ascii="宋体"/>
                <w:vanish/>
              </w:rPr>
            </w:pPr>
          </w:p>
        </w:tc>
        <w:tc>
          <w:tcPr>
            <w:tcW w:w="0" w:type="auto"/>
            <w:gridSpan w:val="3"/>
            <w:shd w:val="clear" w:color="auto" w:fill="auto"/>
          </w:tcPr>
          <w:p w14:paraId="5EA1F7AC" w14:textId="77777777" w:rsidR="003C66EB" w:rsidRDefault="003C66EB">
            <w:pPr>
              <w:rPr>
                <w:rFonts w:ascii="宋体"/>
                <w:vanish/>
              </w:rPr>
            </w:pPr>
          </w:p>
        </w:tc>
        <w:tc>
          <w:tcPr>
            <w:tcW w:w="0" w:type="auto"/>
            <w:gridSpan w:val="3"/>
            <w:shd w:val="clear" w:color="auto" w:fill="auto"/>
          </w:tcPr>
          <w:p w14:paraId="5EA1F7AD" w14:textId="77777777" w:rsidR="003C66EB" w:rsidRDefault="003C66EB">
            <w:pPr>
              <w:rPr>
                <w:rFonts w:ascii="宋体"/>
                <w:vanish/>
              </w:rPr>
            </w:pPr>
          </w:p>
        </w:tc>
        <w:tc>
          <w:tcPr>
            <w:tcW w:w="0" w:type="auto"/>
            <w:gridSpan w:val="3"/>
            <w:shd w:val="clear" w:color="auto" w:fill="auto"/>
          </w:tcPr>
          <w:p w14:paraId="5EA1F7AE" w14:textId="77777777" w:rsidR="003C66EB" w:rsidRDefault="003C66EB">
            <w:pPr>
              <w:rPr>
                <w:rFonts w:ascii="宋体"/>
                <w:vanish/>
              </w:rPr>
            </w:pPr>
          </w:p>
        </w:tc>
        <w:tc>
          <w:tcPr>
            <w:tcW w:w="0" w:type="auto"/>
            <w:gridSpan w:val="3"/>
            <w:shd w:val="clear" w:color="auto" w:fill="auto"/>
          </w:tcPr>
          <w:p w14:paraId="5EA1F7AF" w14:textId="77777777" w:rsidR="003C66EB" w:rsidRDefault="003C66EB">
            <w:pPr>
              <w:rPr>
                <w:rFonts w:ascii="宋体"/>
                <w:vanish/>
              </w:rPr>
            </w:pPr>
          </w:p>
        </w:tc>
        <w:tc>
          <w:tcPr>
            <w:tcW w:w="0" w:type="auto"/>
            <w:gridSpan w:val="3"/>
            <w:shd w:val="clear" w:color="auto" w:fill="auto"/>
          </w:tcPr>
          <w:p w14:paraId="5EA1F7B0" w14:textId="77777777" w:rsidR="003C66EB" w:rsidRDefault="003C66EB">
            <w:pPr>
              <w:rPr>
                <w:rFonts w:ascii="宋体"/>
                <w:vanish/>
              </w:rPr>
            </w:pPr>
          </w:p>
        </w:tc>
        <w:tc>
          <w:tcPr>
            <w:tcW w:w="0" w:type="auto"/>
            <w:gridSpan w:val="3"/>
            <w:shd w:val="clear" w:color="auto" w:fill="auto"/>
          </w:tcPr>
          <w:p w14:paraId="5EA1F7B1" w14:textId="77777777" w:rsidR="003C66EB" w:rsidRDefault="003C66EB">
            <w:pPr>
              <w:rPr>
                <w:rFonts w:ascii="宋体"/>
                <w:vanish/>
              </w:rPr>
            </w:pPr>
          </w:p>
        </w:tc>
        <w:tc>
          <w:tcPr>
            <w:tcW w:w="0" w:type="auto"/>
            <w:gridSpan w:val="3"/>
            <w:shd w:val="clear" w:color="auto" w:fill="auto"/>
          </w:tcPr>
          <w:p w14:paraId="5EA1F7B2" w14:textId="77777777" w:rsidR="003C66EB" w:rsidRDefault="003C66EB">
            <w:pPr>
              <w:rPr>
                <w:rFonts w:ascii="宋体"/>
                <w:vanish/>
              </w:rPr>
            </w:pPr>
          </w:p>
        </w:tc>
        <w:tc>
          <w:tcPr>
            <w:tcW w:w="0" w:type="auto"/>
            <w:gridSpan w:val="3"/>
            <w:shd w:val="clear" w:color="auto" w:fill="auto"/>
          </w:tcPr>
          <w:p w14:paraId="5EA1F7B3" w14:textId="77777777" w:rsidR="003C66EB" w:rsidRDefault="003C66EB">
            <w:pPr>
              <w:rPr>
                <w:rFonts w:ascii="宋体"/>
                <w:vanish/>
              </w:rPr>
            </w:pPr>
          </w:p>
        </w:tc>
        <w:tc>
          <w:tcPr>
            <w:tcW w:w="0" w:type="auto"/>
            <w:gridSpan w:val="3"/>
            <w:shd w:val="clear" w:color="auto" w:fill="auto"/>
          </w:tcPr>
          <w:p w14:paraId="5EA1F7B4" w14:textId="77777777" w:rsidR="003C66EB" w:rsidRDefault="003C66EB">
            <w:pPr>
              <w:rPr>
                <w:rFonts w:ascii="宋体"/>
                <w:vanish/>
              </w:rPr>
            </w:pPr>
          </w:p>
        </w:tc>
        <w:tc>
          <w:tcPr>
            <w:tcW w:w="0" w:type="auto"/>
            <w:gridSpan w:val="3"/>
            <w:shd w:val="clear" w:color="auto" w:fill="auto"/>
          </w:tcPr>
          <w:p w14:paraId="5EA1F7B5" w14:textId="77777777" w:rsidR="003C66EB" w:rsidRDefault="003C66EB">
            <w:pPr>
              <w:rPr>
                <w:rFonts w:ascii="宋体"/>
                <w:vanish/>
              </w:rPr>
            </w:pPr>
          </w:p>
        </w:tc>
        <w:tc>
          <w:tcPr>
            <w:tcW w:w="0" w:type="auto"/>
            <w:gridSpan w:val="3"/>
            <w:shd w:val="clear" w:color="auto" w:fill="auto"/>
          </w:tcPr>
          <w:p w14:paraId="5EA1F7B6" w14:textId="77777777" w:rsidR="003C66EB" w:rsidRDefault="003C66EB">
            <w:pPr>
              <w:rPr>
                <w:rFonts w:ascii="宋体"/>
                <w:vanish/>
              </w:rPr>
            </w:pPr>
          </w:p>
        </w:tc>
        <w:tc>
          <w:tcPr>
            <w:tcW w:w="0" w:type="auto"/>
            <w:shd w:val="clear" w:color="auto" w:fill="auto"/>
          </w:tcPr>
          <w:p w14:paraId="5EA1F7B7" w14:textId="77777777" w:rsidR="003C66EB" w:rsidRDefault="003C66EB">
            <w:pPr>
              <w:rPr>
                <w:rFonts w:ascii="宋体"/>
                <w:vanish/>
              </w:rPr>
            </w:pPr>
          </w:p>
        </w:tc>
      </w:tr>
      <w:tr w:rsidR="003C66EB" w14:paraId="5EA1F7C6" w14:textId="77777777">
        <w:trPr>
          <w:hidden/>
        </w:trPr>
        <w:tc>
          <w:tcPr>
            <w:tcW w:w="0" w:type="auto"/>
            <w:gridSpan w:val="3"/>
            <w:shd w:val="clear" w:color="auto" w:fill="auto"/>
          </w:tcPr>
          <w:p w14:paraId="5EA1F7B9" w14:textId="77777777" w:rsidR="003C66EB" w:rsidRDefault="003C66EB">
            <w:pPr>
              <w:rPr>
                <w:rFonts w:ascii="宋体"/>
                <w:vanish/>
              </w:rPr>
            </w:pPr>
          </w:p>
        </w:tc>
        <w:tc>
          <w:tcPr>
            <w:tcW w:w="0" w:type="auto"/>
            <w:gridSpan w:val="3"/>
            <w:shd w:val="clear" w:color="auto" w:fill="auto"/>
          </w:tcPr>
          <w:p w14:paraId="5EA1F7BA" w14:textId="77777777" w:rsidR="003C66EB" w:rsidRDefault="003C66EB">
            <w:pPr>
              <w:rPr>
                <w:rFonts w:ascii="宋体"/>
                <w:vanish/>
              </w:rPr>
            </w:pPr>
          </w:p>
        </w:tc>
        <w:tc>
          <w:tcPr>
            <w:tcW w:w="0" w:type="auto"/>
            <w:gridSpan w:val="3"/>
            <w:shd w:val="clear" w:color="auto" w:fill="auto"/>
          </w:tcPr>
          <w:p w14:paraId="5EA1F7BB" w14:textId="77777777" w:rsidR="003C66EB" w:rsidRDefault="003C66EB">
            <w:pPr>
              <w:rPr>
                <w:rFonts w:ascii="宋体"/>
                <w:vanish/>
              </w:rPr>
            </w:pPr>
          </w:p>
        </w:tc>
        <w:tc>
          <w:tcPr>
            <w:tcW w:w="0" w:type="auto"/>
            <w:gridSpan w:val="3"/>
            <w:shd w:val="clear" w:color="auto" w:fill="auto"/>
          </w:tcPr>
          <w:p w14:paraId="5EA1F7BC" w14:textId="77777777" w:rsidR="003C66EB" w:rsidRDefault="003C66EB">
            <w:pPr>
              <w:rPr>
                <w:rFonts w:ascii="宋体"/>
                <w:vanish/>
              </w:rPr>
            </w:pPr>
          </w:p>
        </w:tc>
        <w:tc>
          <w:tcPr>
            <w:tcW w:w="0" w:type="auto"/>
            <w:gridSpan w:val="3"/>
            <w:shd w:val="clear" w:color="auto" w:fill="auto"/>
          </w:tcPr>
          <w:p w14:paraId="5EA1F7BD" w14:textId="77777777" w:rsidR="003C66EB" w:rsidRDefault="003C66EB">
            <w:pPr>
              <w:rPr>
                <w:rFonts w:ascii="宋体"/>
                <w:vanish/>
              </w:rPr>
            </w:pPr>
          </w:p>
        </w:tc>
        <w:tc>
          <w:tcPr>
            <w:tcW w:w="0" w:type="auto"/>
            <w:gridSpan w:val="3"/>
            <w:shd w:val="clear" w:color="auto" w:fill="auto"/>
          </w:tcPr>
          <w:p w14:paraId="5EA1F7BE" w14:textId="77777777" w:rsidR="003C66EB" w:rsidRDefault="003C66EB">
            <w:pPr>
              <w:rPr>
                <w:rFonts w:ascii="宋体"/>
                <w:vanish/>
              </w:rPr>
            </w:pPr>
          </w:p>
        </w:tc>
        <w:tc>
          <w:tcPr>
            <w:tcW w:w="0" w:type="auto"/>
            <w:gridSpan w:val="3"/>
            <w:shd w:val="clear" w:color="auto" w:fill="auto"/>
          </w:tcPr>
          <w:p w14:paraId="5EA1F7BF" w14:textId="77777777" w:rsidR="003C66EB" w:rsidRDefault="003C66EB">
            <w:pPr>
              <w:rPr>
                <w:rFonts w:ascii="宋体"/>
                <w:vanish/>
              </w:rPr>
            </w:pPr>
          </w:p>
        </w:tc>
        <w:tc>
          <w:tcPr>
            <w:tcW w:w="0" w:type="auto"/>
            <w:gridSpan w:val="3"/>
            <w:shd w:val="clear" w:color="auto" w:fill="auto"/>
          </w:tcPr>
          <w:p w14:paraId="5EA1F7C0" w14:textId="77777777" w:rsidR="003C66EB" w:rsidRDefault="003C66EB">
            <w:pPr>
              <w:rPr>
                <w:rFonts w:ascii="宋体"/>
                <w:vanish/>
              </w:rPr>
            </w:pPr>
          </w:p>
        </w:tc>
        <w:tc>
          <w:tcPr>
            <w:tcW w:w="0" w:type="auto"/>
            <w:gridSpan w:val="3"/>
            <w:shd w:val="clear" w:color="auto" w:fill="auto"/>
          </w:tcPr>
          <w:p w14:paraId="5EA1F7C1" w14:textId="77777777" w:rsidR="003C66EB" w:rsidRDefault="003C66EB">
            <w:pPr>
              <w:rPr>
                <w:rFonts w:ascii="宋体"/>
                <w:vanish/>
              </w:rPr>
            </w:pPr>
          </w:p>
        </w:tc>
        <w:tc>
          <w:tcPr>
            <w:tcW w:w="0" w:type="auto"/>
            <w:gridSpan w:val="3"/>
            <w:shd w:val="clear" w:color="auto" w:fill="auto"/>
          </w:tcPr>
          <w:p w14:paraId="5EA1F7C2" w14:textId="77777777" w:rsidR="003C66EB" w:rsidRDefault="003C66EB">
            <w:pPr>
              <w:rPr>
                <w:rFonts w:ascii="宋体"/>
                <w:vanish/>
              </w:rPr>
            </w:pPr>
          </w:p>
        </w:tc>
        <w:tc>
          <w:tcPr>
            <w:tcW w:w="0" w:type="auto"/>
            <w:gridSpan w:val="3"/>
            <w:shd w:val="clear" w:color="auto" w:fill="auto"/>
          </w:tcPr>
          <w:p w14:paraId="5EA1F7C3" w14:textId="77777777" w:rsidR="003C66EB" w:rsidRDefault="003C66EB">
            <w:pPr>
              <w:rPr>
                <w:rFonts w:ascii="宋体"/>
                <w:vanish/>
              </w:rPr>
            </w:pPr>
          </w:p>
        </w:tc>
        <w:tc>
          <w:tcPr>
            <w:tcW w:w="0" w:type="auto"/>
            <w:gridSpan w:val="3"/>
            <w:shd w:val="clear" w:color="auto" w:fill="auto"/>
          </w:tcPr>
          <w:p w14:paraId="5EA1F7C4" w14:textId="77777777" w:rsidR="003C66EB" w:rsidRDefault="003C66EB">
            <w:pPr>
              <w:rPr>
                <w:rFonts w:ascii="宋体"/>
                <w:vanish/>
              </w:rPr>
            </w:pPr>
          </w:p>
        </w:tc>
        <w:tc>
          <w:tcPr>
            <w:tcW w:w="0" w:type="auto"/>
            <w:shd w:val="clear" w:color="auto" w:fill="auto"/>
          </w:tcPr>
          <w:p w14:paraId="5EA1F7C5" w14:textId="77777777" w:rsidR="003C66EB" w:rsidRDefault="003C66EB">
            <w:pPr>
              <w:rPr>
                <w:rFonts w:ascii="宋体"/>
                <w:vanish/>
              </w:rPr>
            </w:pPr>
          </w:p>
        </w:tc>
      </w:tr>
      <w:tr w:rsidR="003C66EB" w14:paraId="5EA1F7D4" w14:textId="77777777">
        <w:trPr>
          <w:hidden/>
        </w:trPr>
        <w:tc>
          <w:tcPr>
            <w:tcW w:w="0" w:type="auto"/>
            <w:gridSpan w:val="3"/>
            <w:shd w:val="clear" w:color="auto" w:fill="auto"/>
          </w:tcPr>
          <w:p w14:paraId="5EA1F7C7" w14:textId="77777777" w:rsidR="003C66EB" w:rsidRDefault="003C66EB">
            <w:pPr>
              <w:rPr>
                <w:rFonts w:ascii="宋体"/>
                <w:vanish/>
              </w:rPr>
            </w:pPr>
          </w:p>
        </w:tc>
        <w:tc>
          <w:tcPr>
            <w:tcW w:w="0" w:type="auto"/>
            <w:gridSpan w:val="3"/>
            <w:shd w:val="clear" w:color="auto" w:fill="auto"/>
          </w:tcPr>
          <w:p w14:paraId="5EA1F7C8" w14:textId="77777777" w:rsidR="003C66EB" w:rsidRDefault="003C66EB">
            <w:pPr>
              <w:rPr>
                <w:rFonts w:ascii="宋体"/>
                <w:vanish/>
              </w:rPr>
            </w:pPr>
          </w:p>
        </w:tc>
        <w:tc>
          <w:tcPr>
            <w:tcW w:w="0" w:type="auto"/>
            <w:gridSpan w:val="3"/>
            <w:shd w:val="clear" w:color="auto" w:fill="auto"/>
          </w:tcPr>
          <w:p w14:paraId="5EA1F7C9" w14:textId="77777777" w:rsidR="003C66EB" w:rsidRDefault="003C66EB">
            <w:pPr>
              <w:rPr>
                <w:rFonts w:ascii="宋体"/>
                <w:vanish/>
              </w:rPr>
            </w:pPr>
          </w:p>
        </w:tc>
        <w:tc>
          <w:tcPr>
            <w:tcW w:w="0" w:type="auto"/>
            <w:gridSpan w:val="3"/>
            <w:shd w:val="clear" w:color="auto" w:fill="auto"/>
          </w:tcPr>
          <w:p w14:paraId="5EA1F7CA" w14:textId="77777777" w:rsidR="003C66EB" w:rsidRDefault="003C66EB">
            <w:pPr>
              <w:rPr>
                <w:rFonts w:ascii="宋体"/>
                <w:vanish/>
              </w:rPr>
            </w:pPr>
          </w:p>
        </w:tc>
        <w:tc>
          <w:tcPr>
            <w:tcW w:w="0" w:type="auto"/>
            <w:gridSpan w:val="3"/>
            <w:shd w:val="clear" w:color="auto" w:fill="auto"/>
          </w:tcPr>
          <w:p w14:paraId="5EA1F7CB" w14:textId="77777777" w:rsidR="003C66EB" w:rsidRDefault="003C66EB">
            <w:pPr>
              <w:rPr>
                <w:rFonts w:ascii="宋体"/>
                <w:vanish/>
              </w:rPr>
            </w:pPr>
          </w:p>
        </w:tc>
        <w:tc>
          <w:tcPr>
            <w:tcW w:w="0" w:type="auto"/>
            <w:gridSpan w:val="3"/>
            <w:shd w:val="clear" w:color="auto" w:fill="auto"/>
          </w:tcPr>
          <w:p w14:paraId="5EA1F7CC" w14:textId="77777777" w:rsidR="003C66EB" w:rsidRDefault="003C66EB">
            <w:pPr>
              <w:rPr>
                <w:rFonts w:ascii="宋体"/>
                <w:vanish/>
              </w:rPr>
            </w:pPr>
          </w:p>
        </w:tc>
        <w:tc>
          <w:tcPr>
            <w:tcW w:w="0" w:type="auto"/>
            <w:gridSpan w:val="3"/>
            <w:shd w:val="clear" w:color="auto" w:fill="auto"/>
          </w:tcPr>
          <w:p w14:paraId="5EA1F7CD" w14:textId="77777777" w:rsidR="003C66EB" w:rsidRDefault="003C66EB">
            <w:pPr>
              <w:rPr>
                <w:rFonts w:ascii="宋体"/>
                <w:vanish/>
              </w:rPr>
            </w:pPr>
          </w:p>
        </w:tc>
        <w:tc>
          <w:tcPr>
            <w:tcW w:w="0" w:type="auto"/>
            <w:gridSpan w:val="3"/>
            <w:shd w:val="clear" w:color="auto" w:fill="auto"/>
          </w:tcPr>
          <w:p w14:paraId="5EA1F7CE" w14:textId="77777777" w:rsidR="003C66EB" w:rsidRDefault="003C66EB">
            <w:pPr>
              <w:rPr>
                <w:rFonts w:ascii="宋体"/>
                <w:vanish/>
              </w:rPr>
            </w:pPr>
          </w:p>
        </w:tc>
        <w:tc>
          <w:tcPr>
            <w:tcW w:w="0" w:type="auto"/>
            <w:gridSpan w:val="3"/>
            <w:shd w:val="clear" w:color="auto" w:fill="auto"/>
          </w:tcPr>
          <w:p w14:paraId="5EA1F7CF" w14:textId="77777777" w:rsidR="003C66EB" w:rsidRDefault="003C66EB">
            <w:pPr>
              <w:rPr>
                <w:rFonts w:ascii="宋体"/>
                <w:vanish/>
              </w:rPr>
            </w:pPr>
          </w:p>
        </w:tc>
        <w:tc>
          <w:tcPr>
            <w:tcW w:w="0" w:type="auto"/>
            <w:gridSpan w:val="3"/>
            <w:shd w:val="clear" w:color="auto" w:fill="auto"/>
          </w:tcPr>
          <w:p w14:paraId="5EA1F7D0" w14:textId="77777777" w:rsidR="003C66EB" w:rsidRDefault="003C66EB">
            <w:pPr>
              <w:rPr>
                <w:rFonts w:ascii="宋体"/>
                <w:vanish/>
              </w:rPr>
            </w:pPr>
          </w:p>
        </w:tc>
        <w:tc>
          <w:tcPr>
            <w:tcW w:w="0" w:type="auto"/>
            <w:gridSpan w:val="3"/>
            <w:shd w:val="clear" w:color="auto" w:fill="auto"/>
          </w:tcPr>
          <w:p w14:paraId="5EA1F7D1" w14:textId="77777777" w:rsidR="003C66EB" w:rsidRDefault="003C66EB">
            <w:pPr>
              <w:rPr>
                <w:rFonts w:ascii="宋体"/>
                <w:vanish/>
              </w:rPr>
            </w:pPr>
          </w:p>
        </w:tc>
        <w:tc>
          <w:tcPr>
            <w:tcW w:w="0" w:type="auto"/>
            <w:gridSpan w:val="3"/>
            <w:shd w:val="clear" w:color="auto" w:fill="auto"/>
          </w:tcPr>
          <w:p w14:paraId="5EA1F7D2" w14:textId="77777777" w:rsidR="003C66EB" w:rsidRDefault="003C66EB">
            <w:pPr>
              <w:rPr>
                <w:rFonts w:ascii="宋体"/>
                <w:vanish/>
              </w:rPr>
            </w:pPr>
          </w:p>
        </w:tc>
        <w:tc>
          <w:tcPr>
            <w:tcW w:w="0" w:type="auto"/>
            <w:shd w:val="clear" w:color="auto" w:fill="auto"/>
          </w:tcPr>
          <w:p w14:paraId="5EA1F7D3" w14:textId="77777777" w:rsidR="003C66EB" w:rsidRDefault="003C66EB">
            <w:pPr>
              <w:rPr>
                <w:rFonts w:ascii="宋体"/>
                <w:vanish/>
              </w:rPr>
            </w:pPr>
          </w:p>
        </w:tc>
      </w:tr>
      <w:tr w:rsidR="003C66EB" w14:paraId="5EA1F7E2" w14:textId="77777777">
        <w:trPr>
          <w:hidden/>
        </w:trPr>
        <w:tc>
          <w:tcPr>
            <w:tcW w:w="0" w:type="auto"/>
            <w:gridSpan w:val="3"/>
            <w:shd w:val="clear" w:color="auto" w:fill="auto"/>
          </w:tcPr>
          <w:p w14:paraId="5EA1F7D5" w14:textId="77777777" w:rsidR="003C66EB" w:rsidRDefault="003C66EB">
            <w:pPr>
              <w:rPr>
                <w:rFonts w:ascii="宋体"/>
                <w:vanish/>
              </w:rPr>
            </w:pPr>
          </w:p>
        </w:tc>
        <w:tc>
          <w:tcPr>
            <w:tcW w:w="0" w:type="auto"/>
            <w:gridSpan w:val="3"/>
            <w:shd w:val="clear" w:color="auto" w:fill="auto"/>
          </w:tcPr>
          <w:p w14:paraId="5EA1F7D6" w14:textId="77777777" w:rsidR="003C66EB" w:rsidRDefault="003C66EB">
            <w:pPr>
              <w:rPr>
                <w:rFonts w:ascii="宋体"/>
                <w:vanish/>
              </w:rPr>
            </w:pPr>
          </w:p>
        </w:tc>
        <w:tc>
          <w:tcPr>
            <w:tcW w:w="0" w:type="auto"/>
            <w:gridSpan w:val="3"/>
            <w:shd w:val="clear" w:color="auto" w:fill="auto"/>
          </w:tcPr>
          <w:p w14:paraId="5EA1F7D7" w14:textId="77777777" w:rsidR="003C66EB" w:rsidRDefault="003C66EB">
            <w:pPr>
              <w:rPr>
                <w:rFonts w:ascii="宋体"/>
                <w:vanish/>
              </w:rPr>
            </w:pPr>
          </w:p>
        </w:tc>
        <w:tc>
          <w:tcPr>
            <w:tcW w:w="0" w:type="auto"/>
            <w:gridSpan w:val="3"/>
            <w:shd w:val="clear" w:color="auto" w:fill="auto"/>
          </w:tcPr>
          <w:p w14:paraId="5EA1F7D8" w14:textId="77777777" w:rsidR="003C66EB" w:rsidRDefault="003C66EB">
            <w:pPr>
              <w:rPr>
                <w:rFonts w:ascii="宋体"/>
                <w:vanish/>
              </w:rPr>
            </w:pPr>
          </w:p>
        </w:tc>
        <w:tc>
          <w:tcPr>
            <w:tcW w:w="0" w:type="auto"/>
            <w:gridSpan w:val="3"/>
            <w:shd w:val="clear" w:color="auto" w:fill="auto"/>
          </w:tcPr>
          <w:p w14:paraId="5EA1F7D9" w14:textId="77777777" w:rsidR="003C66EB" w:rsidRDefault="003C66EB">
            <w:pPr>
              <w:rPr>
                <w:rFonts w:ascii="宋体"/>
                <w:vanish/>
              </w:rPr>
            </w:pPr>
          </w:p>
        </w:tc>
        <w:tc>
          <w:tcPr>
            <w:tcW w:w="0" w:type="auto"/>
            <w:gridSpan w:val="3"/>
            <w:shd w:val="clear" w:color="auto" w:fill="auto"/>
          </w:tcPr>
          <w:p w14:paraId="5EA1F7DA" w14:textId="77777777" w:rsidR="003C66EB" w:rsidRDefault="003C66EB">
            <w:pPr>
              <w:rPr>
                <w:rFonts w:ascii="宋体"/>
                <w:vanish/>
              </w:rPr>
            </w:pPr>
          </w:p>
        </w:tc>
        <w:tc>
          <w:tcPr>
            <w:tcW w:w="0" w:type="auto"/>
            <w:gridSpan w:val="3"/>
            <w:shd w:val="clear" w:color="auto" w:fill="auto"/>
          </w:tcPr>
          <w:p w14:paraId="5EA1F7DB" w14:textId="77777777" w:rsidR="003C66EB" w:rsidRDefault="003C66EB">
            <w:pPr>
              <w:rPr>
                <w:rFonts w:ascii="宋体"/>
                <w:vanish/>
              </w:rPr>
            </w:pPr>
          </w:p>
        </w:tc>
        <w:tc>
          <w:tcPr>
            <w:tcW w:w="0" w:type="auto"/>
            <w:gridSpan w:val="3"/>
            <w:shd w:val="clear" w:color="auto" w:fill="auto"/>
          </w:tcPr>
          <w:p w14:paraId="5EA1F7DC" w14:textId="77777777" w:rsidR="003C66EB" w:rsidRDefault="003C66EB">
            <w:pPr>
              <w:rPr>
                <w:rFonts w:ascii="宋体"/>
                <w:vanish/>
              </w:rPr>
            </w:pPr>
          </w:p>
        </w:tc>
        <w:tc>
          <w:tcPr>
            <w:tcW w:w="0" w:type="auto"/>
            <w:gridSpan w:val="3"/>
            <w:shd w:val="clear" w:color="auto" w:fill="auto"/>
          </w:tcPr>
          <w:p w14:paraId="5EA1F7DD" w14:textId="77777777" w:rsidR="003C66EB" w:rsidRDefault="003C66EB">
            <w:pPr>
              <w:rPr>
                <w:rFonts w:ascii="宋体"/>
                <w:vanish/>
              </w:rPr>
            </w:pPr>
          </w:p>
        </w:tc>
        <w:tc>
          <w:tcPr>
            <w:tcW w:w="0" w:type="auto"/>
            <w:gridSpan w:val="3"/>
            <w:shd w:val="clear" w:color="auto" w:fill="auto"/>
          </w:tcPr>
          <w:p w14:paraId="5EA1F7DE" w14:textId="77777777" w:rsidR="003C66EB" w:rsidRDefault="003C66EB">
            <w:pPr>
              <w:rPr>
                <w:rFonts w:ascii="宋体"/>
                <w:vanish/>
              </w:rPr>
            </w:pPr>
          </w:p>
        </w:tc>
        <w:tc>
          <w:tcPr>
            <w:tcW w:w="0" w:type="auto"/>
            <w:gridSpan w:val="3"/>
            <w:shd w:val="clear" w:color="auto" w:fill="auto"/>
          </w:tcPr>
          <w:p w14:paraId="5EA1F7DF" w14:textId="77777777" w:rsidR="003C66EB" w:rsidRDefault="003C66EB">
            <w:pPr>
              <w:rPr>
                <w:rFonts w:ascii="宋体"/>
                <w:vanish/>
              </w:rPr>
            </w:pPr>
          </w:p>
        </w:tc>
        <w:tc>
          <w:tcPr>
            <w:tcW w:w="0" w:type="auto"/>
            <w:gridSpan w:val="3"/>
            <w:shd w:val="clear" w:color="auto" w:fill="auto"/>
          </w:tcPr>
          <w:p w14:paraId="5EA1F7E0" w14:textId="77777777" w:rsidR="003C66EB" w:rsidRDefault="003C66EB">
            <w:pPr>
              <w:rPr>
                <w:rFonts w:ascii="宋体"/>
                <w:vanish/>
              </w:rPr>
            </w:pPr>
          </w:p>
        </w:tc>
        <w:tc>
          <w:tcPr>
            <w:tcW w:w="0" w:type="auto"/>
            <w:shd w:val="clear" w:color="auto" w:fill="auto"/>
          </w:tcPr>
          <w:p w14:paraId="5EA1F7E1" w14:textId="77777777" w:rsidR="003C66EB" w:rsidRDefault="003C66EB">
            <w:pPr>
              <w:rPr>
                <w:rFonts w:ascii="宋体"/>
                <w:vanish/>
              </w:rPr>
            </w:pPr>
          </w:p>
        </w:tc>
      </w:tr>
      <w:tr w:rsidR="003C66EB" w14:paraId="5EA1F7F0" w14:textId="77777777">
        <w:trPr>
          <w:hidden/>
        </w:trPr>
        <w:tc>
          <w:tcPr>
            <w:tcW w:w="0" w:type="auto"/>
            <w:gridSpan w:val="3"/>
            <w:shd w:val="clear" w:color="auto" w:fill="auto"/>
          </w:tcPr>
          <w:p w14:paraId="5EA1F7E3" w14:textId="77777777" w:rsidR="003C66EB" w:rsidRDefault="003C66EB">
            <w:pPr>
              <w:rPr>
                <w:rFonts w:ascii="宋体"/>
                <w:vanish/>
              </w:rPr>
            </w:pPr>
          </w:p>
        </w:tc>
        <w:tc>
          <w:tcPr>
            <w:tcW w:w="0" w:type="auto"/>
            <w:gridSpan w:val="3"/>
            <w:shd w:val="clear" w:color="auto" w:fill="auto"/>
          </w:tcPr>
          <w:p w14:paraId="5EA1F7E4" w14:textId="77777777" w:rsidR="003C66EB" w:rsidRDefault="003C66EB">
            <w:pPr>
              <w:rPr>
                <w:rFonts w:ascii="宋体"/>
                <w:vanish/>
              </w:rPr>
            </w:pPr>
          </w:p>
        </w:tc>
        <w:tc>
          <w:tcPr>
            <w:tcW w:w="0" w:type="auto"/>
            <w:gridSpan w:val="3"/>
            <w:shd w:val="clear" w:color="auto" w:fill="auto"/>
          </w:tcPr>
          <w:p w14:paraId="5EA1F7E5" w14:textId="77777777" w:rsidR="003C66EB" w:rsidRDefault="003C66EB">
            <w:pPr>
              <w:rPr>
                <w:rFonts w:ascii="宋体"/>
                <w:vanish/>
              </w:rPr>
            </w:pPr>
          </w:p>
        </w:tc>
        <w:tc>
          <w:tcPr>
            <w:tcW w:w="0" w:type="auto"/>
            <w:gridSpan w:val="3"/>
            <w:shd w:val="clear" w:color="auto" w:fill="auto"/>
          </w:tcPr>
          <w:p w14:paraId="5EA1F7E6" w14:textId="77777777" w:rsidR="003C66EB" w:rsidRDefault="003C66EB">
            <w:pPr>
              <w:rPr>
                <w:rFonts w:ascii="宋体"/>
                <w:vanish/>
              </w:rPr>
            </w:pPr>
          </w:p>
        </w:tc>
        <w:tc>
          <w:tcPr>
            <w:tcW w:w="0" w:type="auto"/>
            <w:gridSpan w:val="3"/>
            <w:shd w:val="clear" w:color="auto" w:fill="auto"/>
          </w:tcPr>
          <w:p w14:paraId="5EA1F7E7" w14:textId="77777777" w:rsidR="003C66EB" w:rsidRDefault="003C66EB">
            <w:pPr>
              <w:rPr>
                <w:rFonts w:ascii="宋体"/>
                <w:vanish/>
              </w:rPr>
            </w:pPr>
          </w:p>
        </w:tc>
        <w:tc>
          <w:tcPr>
            <w:tcW w:w="0" w:type="auto"/>
            <w:gridSpan w:val="3"/>
            <w:shd w:val="clear" w:color="auto" w:fill="auto"/>
          </w:tcPr>
          <w:p w14:paraId="5EA1F7E8" w14:textId="77777777" w:rsidR="003C66EB" w:rsidRDefault="003C66EB">
            <w:pPr>
              <w:rPr>
                <w:rFonts w:ascii="宋体"/>
                <w:vanish/>
              </w:rPr>
            </w:pPr>
          </w:p>
        </w:tc>
        <w:tc>
          <w:tcPr>
            <w:tcW w:w="0" w:type="auto"/>
            <w:gridSpan w:val="3"/>
            <w:shd w:val="clear" w:color="auto" w:fill="auto"/>
          </w:tcPr>
          <w:p w14:paraId="5EA1F7E9" w14:textId="77777777" w:rsidR="003C66EB" w:rsidRDefault="003C66EB">
            <w:pPr>
              <w:rPr>
                <w:rFonts w:ascii="宋体"/>
                <w:vanish/>
              </w:rPr>
            </w:pPr>
          </w:p>
        </w:tc>
        <w:tc>
          <w:tcPr>
            <w:tcW w:w="0" w:type="auto"/>
            <w:gridSpan w:val="3"/>
            <w:shd w:val="clear" w:color="auto" w:fill="auto"/>
          </w:tcPr>
          <w:p w14:paraId="5EA1F7EA" w14:textId="77777777" w:rsidR="003C66EB" w:rsidRDefault="003C66EB">
            <w:pPr>
              <w:rPr>
                <w:rFonts w:ascii="宋体"/>
                <w:vanish/>
              </w:rPr>
            </w:pPr>
          </w:p>
        </w:tc>
        <w:tc>
          <w:tcPr>
            <w:tcW w:w="0" w:type="auto"/>
            <w:gridSpan w:val="3"/>
            <w:shd w:val="clear" w:color="auto" w:fill="auto"/>
          </w:tcPr>
          <w:p w14:paraId="5EA1F7EB" w14:textId="77777777" w:rsidR="003C66EB" w:rsidRDefault="003C66EB">
            <w:pPr>
              <w:rPr>
                <w:rFonts w:ascii="宋体"/>
                <w:vanish/>
              </w:rPr>
            </w:pPr>
          </w:p>
        </w:tc>
        <w:tc>
          <w:tcPr>
            <w:tcW w:w="0" w:type="auto"/>
            <w:gridSpan w:val="3"/>
            <w:shd w:val="clear" w:color="auto" w:fill="auto"/>
          </w:tcPr>
          <w:p w14:paraId="5EA1F7EC" w14:textId="77777777" w:rsidR="003C66EB" w:rsidRDefault="003C66EB">
            <w:pPr>
              <w:rPr>
                <w:rFonts w:ascii="宋体"/>
                <w:vanish/>
              </w:rPr>
            </w:pPr>
          </w:p>
        </w:tc>
        <w:tc>
          <w:tcPr>
            <w:tcW w:w="0" w:type="auto"/>
            <w:gridSpan w:val="3"/>
            <w:shd w:val="clear" w:color="auto" w:fill="auto"/>
          </w:tcPr>
          <w:p w14:paraId="5EA1F7ED" w14:textId="77777777" w:rsidR="003C66EB" w:rsidRDefault="003C66EB">
            <w:pPr>
              <w:rPr>
                <w:rFonts w:ascii="宋体"/>
                <w:vanish/>
              </w:rPr>
            </w:pPr>
          </w:p>
        </w:tc>
        <w:tc>
          <w:tcPr>
            <w:tcW w:w="0" w:type="auto"/>
            <w:gridSpan w:val="3"/>
            <w:shd w:val="clear" w:color="auto" w:fill="auto"/>
          </w:tcPr>
          <w:p w14:paraId="5EA1F7EE" w14:textId="77777777" w:rsidR="003C66EB" w:rsidRDefault="003C66EB">
            <w:pPr>
              <w:rPr>
                <w:rFonts w:ascii="宋体"/>
                <w:vanish/>
              </w:rPr>
            </w:pPr>
          </w:p>
        </w:tc>
        <w:tc>
          <w:tcPr>
            <w:tcW w:w="0" w:type="auto"/>
            <w:shd w:val="clear" w:color="auto" w:fill="auto"/>
          </w:tcPr>
          <w:p w14:paraId="5EA1F7EF" w14:textId="77777777" w:rsidR="003C66EB" w:rsidRDefault="003C66EB">
            <w:pPr>
              <w:rPr>
                <w:rFonts w:ascii="宋体"/>
                <w:vanish/>
              </w:rPr>
            </w:pPr>
          </w:p>
        </w:tc>
      </w:tr>
      <w:tr w:rsidR="003C66EB" w14:paraId="5EA1F7FE" w14:textId="77777777">
        <w:trPr>
          <w:hidden/>
        </w:trPr>
        <w:tc>
          <w:tcPr>
            <w:tcW w:w="0" w:type="auto"/>
            <w:gridSpan w:val="3"/>
            <w:shd w:val="clear" w:color="auto" w:fill="auto"/>
          </w:tcPr>
          <w:p w14:paraId="5EA1F7F1" w14:textId="77777777" w:rsidR="003C66EB" w:rsidRDefault="003C66EB">
            <w:pPr>
              <w:rPr>
                <w:rFonts w:ascii="宋体"/>
                <w:vanish/>
              </w:rPr>
            </w:pPr>
          </w:p>
        </w:tc>
        <w:tc>
          <w:tcPr>
            <w:tcW w:w="0" w:type="auto"/>
            <w:gridSpan w:val="3"/>
            <w:shd w:val="clear" w:color="auto" w:fill="auto"/>
          </w:tcPr>
          <w:p w14:paraId="5EA1F7F2" w14:textId="77777777" w:rsidR="003C66EB" w:rsidRDefault="003C66EB">
            <w:pPr>
              <w:rPr>
                <w:rFonts w:ascii="宋体"/>
                <w:vanish/>
              </w:rPr>
            </w:pPr>
          </w:p>
        </w:tc>
        <w:tc>
          <w:tcPr>
            <w:tcW w:w="0" w:type="auto"/>
            <w:gridSpan w:val="3"/>
            <w:shd w:val="clear" w:color="auto" w:fill="auto"/>
          </w:tcPr>
          <w:p w14:paraId="5EA1F7F3" w14:textId="77777777" w:rsidR="003C66EB" w:rsidRDefault="003C66EB">
            <w:pPr>
              <w:rPr>
                <w:rFonts w:ascii="宋体"/>
                <w:vanish/>
              </w:rPr>
            </w:pPr>
          </w:p>
        </w:tc>
        <w:tc>
          <w:tcPr>
            <w:tcW w:w="0" w:type="auto"/>
            <w:gridSpan w:val="3"/>
            <w:shd w:val="clear" w:color="auto" w:fill="auto"/>
          </w:tcPr>
          <w:p w14:paraId="5EA1F7F4" w14:textId="77777777" w:rsidR="003C66EB" w:rsidRDefault="003C66EB">
            <w:pPr>
              <w:rPr>
                <w:rFonts w:ascii="宋体"/>
                <w:vanish/>
              </w:rPr>
            </w:pPr>
          </w:p>
        </w:tc>
        <w:tc>
          <w:tcPr>
            <w:tcW w:w="0" w:type="auto"/>
            <w:gridSpan w:val="3"/>
            <w:shd w:val="clear" w:color="auto" w:fill="auto"/>
          </w:tcPr>
          <w:p w14:paraId="5EA1F7F5" w14:textId="77777777" w:rsidR="003C66EB" w:rsidRDefault="003C66EB">
            <w:pPr>
              <w:rPr>
                <w:rFonts w:ascii="宋体"/>
                <w:vanish/>
              </w:rPr>
            </w:pPr>
          </w:p>
        </w:tc>
        <w:tc>
          <w:tcPr>
            <w:tcW w:w="0" w:type="auto"/>
            <w:gridSpan w:val="3"/>
            <w:shd w:val="clear" w:color="auto" w:fill="auto"/>
          </w:tcPr>
          <w:p w14:paraId="5EA1F7F6" w14:textId="77777777" w:rsidR="003C66EB" w:rsidRDefault="003C66EB">
            <w:pPr>
              <w:rPr>
                <w:rFonts w:ascii="宋体"/>
                <w:vanish/>
              </w:rPr>
            </w:pPr>
          </w:p>
        </w:tc>
        <w:tc>
          <w:tcPr>
            <w:tcW w:w="0" w:type="auto"/>
            <w:gridSpan w:val="3"/>
            <w:shd w:val="clear" w:color="auto" w:fill="auto"/>
          </w:tcPr>
          <w:p w14:paraId="5EA1F7F7" w14:textId="77777777" w:rsidR="003C66EB" w:rsidRDefault="003C66EB">
            <w:pPr>
              <w:rPr>
                <w:rFonts w:ascii="宋体"/>
                <w:vanish/>
              </w:rPr>
            </w:pPr>
          </w:p>
        </w:tc>
        <w:tc>
          <w:tcPr>
            <w:tcW w:w="0" w:type="auto"/>
            <w:gridSpan w:val="3"/>
            <w:shd w:val="clear" w:color="auto" w:fill="auto"/>
          </w:tcPr>
          <w:p w14:paraId="5EA1F7F8" w14:textId="77777777" w:rsidR="003C66EB" w:rsidRDefault="003C66EB">
            <w:pPr>
              <w:rPr>
                <w:rFonts w:ascii="宋体"/>
                <w:vanish/>
              </w:rPr>
            </w:pPr>
          </w:p>
        </w:tc>
        <w:tc>
          <w:tcPr>
            <w:tcW w:w="0" w:type="auto"/>
            <w:gridSpan w:val="3"/>
            <w:shd w:val="clear" w:color="auto" w:fill="auto"/>
          </w:tcPr>
          <w:p w14:paraId="5EA1F7F9" w14:textId="77777777" w:rsidR="003C66EB" w:rsidRDefault="003C66EB">
            <w:pPr>
              <w:rPr>
                <w:rFonts w:ascii="宋体"/>
                <w:vanish/>
              </w:rPr>
            </w:pPr>
          </w:p>
        </w:tc>
        <w:tc>
          <w:tcPr>
            <w:tcW w:w="0" w:type="auto"/>
            <w:gridSpan w:val="3"/>
            <w:shd w:val="clear" w:color="auto" w:fill="auto"/>
          </w:tcPr>
          <w:p w14:paraId="5EA1F7FA" w14:textId="77777777" w:rsidR="003C66EB" w:rsidRDefault="003C66EB">
            <w:pPr>
              <w:rPr>
                <w:rFonts w:ascii="宋体"/>
                <w:vanish/>
              </w:rPr>
            </w:pPr>
          </w:p>
        </w:tc>
        <w:tc>
          <w:tcPr>
            <w:tcW w:w="0" w:type="auto"/>
            <w:gridSpan w:val="3"/>
            <w:shd w:val="clear" w:color="auto" w:fill="auto"/>
          </w:tcPr>
          <w:p w14:paraId="5EA1F7FB" w14:textId="77777777" w:rsidR="003C66EB" w:rsidRDefault="003C66EB">
            <w:pPr>
              <w:rPr>
                <w:rFonts w:ascii="宋体"/>
                <w:vanish/>
              </w:rPr>
            </w:pPr>
          </w:p>
        </w:tc>
        <w:tc>
          <w:tcPr>
            <w:tcW w:w="0" w:type="auto"/>
            <w:gridSpan w:val="3"/>
            <w:shd w:val="clear" w:color="auto" w:fill="auto"/>
          </w:tcPr>
          <w:p w14:paraId="5EA1F7FC" w14:textId="77777777" w:rsidR="003C66EB" w:rsidRDefault="003C66EB">
            <w:pPr>
              <w:rPr>
                <w:rFonts w:ascii="宋体"/>
                <w:vanish/>
              </w:rPr>
            </w:pPr>
          </w:p>
        </w:tc>
        <w:tc>
          <w:tcPr>
            <w:tcW w:w="0" w:type="auto"/>
            <w:shd w:val="clear" w:color="auto" w:fill="auto"/>
          </w:tcPr>
          <w:p w14:paraId="5EA1F7FD" w14:textId="77777777" w:rsidR="003C66EB" w:rsidRDefault="003C66EB">
            <w:pPr>
              <w:rPr>
                <w:rFonts w:ascii="宋体"/>
                <w:vanish/>
              </w:rPr>
            </w:pPr>
          </w:p>
        </w:tc>
      </w:tr>
      <w:tr w:rsidR="003C66EB" w14:paraId="5EA1F80C" w14:textId="77777777">
        <w:trPr>
          <w:hidden/>
        </w:trPr>
        <w:tc>
          <w:tcPr>
            <w:tcW w:w="0" w:type="auto"/>
            <w:gridSpan w:val="3"/>
            <w:shd w:val="clear" w:color="auto" w:fill="auto"/>
          </w:tcPr>
          <w:p w14:paraId="5EA1F7FF" w14:textId="77777777" w:rsidR="003C66EB" w:rsidRDefault="003C66EB">
            <w:pPr>
              <w:rPr>
                <w:rFonts w:ascii="宋体"/>
                <w:vanish/>
              </w:rPr>
            </w:pPr>
          </w:p>
        </w:tc>
        <w:tc>
          <w:tcPr>
            <w:tcW w:w="0" w:type="auto"/>
            <w:gridSpan w:val="3"/>
            <w:shd w:val="clear" w:color="auto" w:fill="auto"/>
          </w:tcPr>
          <w:p w14:paraId="5EA1F800" w14:textId="77777777" w:rsidR="003C66EB" w:rsidRDefault="003C66EB">
            <w:pPr>
              <w:rPr>
                <w:rFonts w:ascii="宋体"/>
                <w:vanish/>
              </w:rPr>
            </w:pPr>
          </w:p>
        </w:tc>
        <w:tc>
          <w:tcPr>
            <w:tcW w:w="0" w:type="auto"/>
            <w:gridSpan w:val="3"/>
            <w:shd w:val="clear" w:color="auto" w:fill="auto"/>
          </w:tcPr>
          <w:p w14:paraId="5EA1F801" w14:textId="77777777" w:rsidR="003C66EB" w:rsidRDefault="003C66EB">
            <w:pPr>
              <w:rPr>
                <w:rFonts w:ascii="宋体"/>
                <w:vanish/>
              </w:rPr>
            </w:pPr>
          </w:p>
        </w:tc>
        <w:tc>
          <w:tcPr>
            <w:tcW w:w="0" w:type="auto"/>
            <w:gridSpan w:val="3"/>
            <w:shd w:val="clear" w:color="auto" w:fill="auto"/>
          </w:tcPr>
          <w:p w14:paraId="5EA1F802" w14:textId="77777777" w:rsidR="003C66EB" w:rsidRDefault="003C66EB">
            <w:pPr>
              <w:rPr>
                <w:rFonts w:ascii="宋体"/>
                <w:vanish/>
              </w:rPr>
            </w:pPr>
          </w:p>
        </w:tc>
        <w:tc>
          <w:tcPr>
            <w:tcW w:w="0" w:type="auto"/>
            <w:gridSpan w:val="3"/>
            <w:shd w:val="clear" w:color="auto" w:fill="auto"/>
          </w:tcPr>
          <w:p w14:paraId="5EA1F803" w14:textId="77777777" w:rsidR="003C66EB" w:rsidRDefault="003C66EB">
            <w:pPr>
              <w:rPr>
                <w:rFonts w:ascii="宋体"/>
                <w:vanish/>
              </w:rPr>
            </w:pPr>
          </w:p>
        </w:tc>
        <w:tc>
          <w:tcPr>
            <w:tcW w:w="0" w:type="auto"/>
            <w:gridSpan w:val="3"/>
            <w:shd w:val="clear" w:color="auto" w:fill="auto"/>
          </w:tcPr>
          <w:p w14:paraId="5EA1F804" w14:textId="77777777" w:rsidR="003C66EB" w:rsidRDefault="003C66EB">
            <w:pPr>
              <w:rPr>
                <w:rFonts w:ascii="宋体"/>
                <w:vanish/>
              </w:rPr>
            </w:pPr>
          </w:p>
        </w:tc>
        <w:tc>
          <w:tcPr>
            <w:tcW w:w="0" w:type="auto"/>
            <w:gridSpan w:val="3"/>
            <w:shd w:val="clear" w:color="auto" w:fill="auto"/>
          </w:tcPr>
          <w:p w14:paraId="5EA1F805" w14:textId="77777777" w:rsidR="003C66EB" w:rsidRDefault="003C66EB">
            <w:pPr>
              <w:rPr>
                <w:rFonts w:ascii="宋体"/>
                <w:vanish/>
              </w:rPr>
            </w:pPr>
          </w:p>
        </w:tc>
        <w:tc>
          <w:tcPr>
            <w:tcW w:w="0" w:type="auto"/>
            <w:gridSpan w:val="3"/>
            <w:shd w:val="clear" w:color="auto" w:fill="auto"/>
          </w:tcPr>
          <w:p w14:paraId="5EA1F806" w14:textId="77777777" w:rsidR="003C66EB" w:rsidRDefault="003C66EB">
            <w:pPr>
              <w:rPr>
                <w:rFonts w:ascii="宋体"/>
                <w:vanish/>
              </w:rPr>
            </w:pPr>
          </w:p>
        </w:tc>
        <w:tc>
          <w:tcPr>
            <w:tcW w:w="0" w:type="auto"/>
            <w:gridSpan w:val="3"/>
            <w:shd w:val="clear" w:color="auto" w:fill="auto"/>
          </w:tcPr>
          <w:p w14:paraId="5EA1F807" w14:textId="77777777" w:rsidR="003C66EB" w:rsidRDefault="003C66EB">
            <w:pPr>
              <w:rPr>
                <w:rFonts w:ascii="宋体"/>
                <w:vanish/>
              </w:rPr>
            </w:pPr>
          </w:p>
        </w:tc>
        <w:tc>
          <w:tcPr>
            <w:tcW w:w="0" w:type="auto"/>
            <w:gridSpan w:val="3"/>
            <w:shd w:val="clear" w:color="auto" w:fill="auto"/>
          </w:tcPr>
          <w:p w14:paraId="5EA1F808" w14:textId="77777777" w:rsidR="003C66EB" w:rsidRDefault="003C66EB">
            <w:pPr>
              <w:rPr>
                <w:rFonts w:ascii="宋体"/>
                <w:vanish/>
              </w:rPr>
            </w:pPr>
          </w:p>
        </w:tc>
        <w:tc>
          <w:tcPr>
            <w:tcW w:w="0" w:type="auto"/>
            <w:gridSpan w:val="3"/>
            <w:shd w:val="clear" w:color="auto" w:fill="auto"/>
          </w:tcPr>
          <w:p w14:paraId="5EA1F809" w14:textId="77777777" w:rsidR="003C66EB" w:rsidRDefault="003C66EB">
            <w:pPr>
              <w:rPr>
                <w:rFonts w:ascii="宋体"/>
                <w:vanish/>
              </w:rPr>
            </w:pPr>
          </w:p>
        </w:tc>
        <w:tc>
          <w:tcPr>
            <w:tcW w:w="0" w:type="auto"/>
            <w:gridSpan w:val="3"/>
            <w:shd w:val="clear" w:color="auto" w:fill="auto"/>
          </w:tcPr>
          <w:p w14:paraId="5EA1F80A" w14:textId="77777777" w:rsidR="003C66EB" w:rsidRDefault="003C66EB">
            <w:pPr>
              <w:rPr>
                <w:rFonts w:ascii="宋体"/>
                <w:vanish/>
              </w:rPr>
            </w:pPr>
          </w:p>
        </w:tc>
        <w:tc>
          <w:tcPr>
            <w:tcW w:w="0" w:type="auto"/>
            <w:shd w:val="clear" w:color="auto" w:fill="auto"/>
          </w:tcPr>
          <w:p w14:paraId="5EA1F80B" w14:textId="77777777" w:rsidR="003C66EB" w:rsidRDefault="003C66EB">
            <w:pPr>
              <w:rPr>
                <w:rFonts w:ascii="宋体"/>
                <w:vanish/>
              </w:rPr>
            </w:pPr>
          </w:p>
        </w:tc>
      </w:tr>
      <w:tr w:rsidR="003C66EB" w14:paraId="5EA1F81A" w14:textId="77777777">
        <w:trPr>
          <w:hidden/>
        </w:trPr>
        <w:tc>
          <w:tcPr>
            <w:tcW w:w="0" w:type="auto"/>
            <w:gridSpan w:val="3"/>
            <w:shd w:val="clear" w:color="auto" w:fill="auto"/>
          </w:tcPr>
          <w:p w14:paraId="5EA1F80D" w14:textId="77777777" w:rsidR="003C66EB" w:rsidRDefault="003C66EB">
            <w:pPr>
              <w:rPr>
                <w:rFonts w:ascii="宋体"/>
                <w:vanish/>
              </w:rPr>
            </w:pPr>
          </w:p>
        </w:tc>
        <w:tc>
          <w:tcPr>
            <w:tcW w:w="0" w:type="auto"/>
            <w:gridSpan w:val="3"/>
            <w:shd w:val="clear" w:color="auto" w:fill="auto"/>
          </w:tcPr>
          <w:p w14:paraId="5EA1F80E" w14:textId="77777777" w:rsidR="003C66EB" w:rsidRDefault="003C66EB">
            <w:pPr>
              <w:rPr>
                <w:rFonts w:ascii="宋体"/>
                <w:vanish/>
              </w:rPr>
            </w:pPr>
          </w:p>
        </w:tc>
        <w:tc>
          <w:tcPr>
            <w:tcW w:w="0" w:type="auto"/>
            <w:gridSpan w:val="3"/>
            <w:shd w:val="clear" w:color="auto" w:fill="auto"/>
          </w:tcPr>
          <w:p w14:paraId="5EA1F80F" w14:textId="77777777" w:rsidR="003C66EB" w:rsidRDefault="003C66EB">
            <w:pPr>
              <w:rPr>
                <w:rFonts w:ascii="宋体"/>
                <w:vanish/>
              </w:rPr>
            </w:pPr>
          </w:p>
        </w:tc>
        <w:tc>
          <w:tcPr>
            <w:tcW w:w="0" w:type="auto"/>
            <w:gridSpan w:val="3"/>
            <w:shd w:val="clear" w:color="auto" w:fill="auto"/>
          </w:tcPr>
          <w:p w14:paraId="5EA1F810" w14:textId="77777777" w:rsidR="003C66EB" w:rsidRDefault="003C66EB">
            <w:pPr>
              <w:rPr>
                <w:rFonts w:ascii="宋体"/>
                <w:vanish/>
              </w:rPr>
            </w:pPr>
          </w:p>
        </w:tc>
        <w:tc>
          <w:tcPr>
            <w:tcW w:w="0" w:type="auto"/>
            <w:gridSpan w:val="3"/>
            <w:shd w:val="clear" w:color="auto" w:fill="auto"/>
          </w:tcPr>
          <w:p w14:paraId="5EA1F811" w14:textId="77777777" w:rsidR="003C66EB" w:rsidRDefault="003C66EB">
            <w:pPr>
              <w:rPr>
                <w:rFonts w:ascii="宋体"/>
                <w:vanish/>
              </w:rPr>
            </w:pPr>
          </w:p>
        </w:tc>
        <w:tc>
          <w:tcPr>
            <w:tcW w:w="0" w:type="auto"/>
            <w:gridSpan w:val="3"/>
            <w:shd w:val="clear" w:color="auto" w:fill="auto"/>
          </w:tcPr>
          <w:p w14:paraId="5EA1F812" w14:textId="77777777" w:rsidR="003C66EB" w:rsidRDefault="003C66EB">
            <w:pPr>
              <w:rPr>
                <w:rFonts w:ascii="宋体"/>
                <w:vanish/>
              </w:rPr>
            </w:pPr>
          </w:p>
        </w:tc>
        <w:tc>
          <w:tcPr>
            <w:tcW w:w="0" w:type="auto"/>
            <w:gridSpan w:val="3"/>
            <w:shd w:val="clear" w:color="auto" w:fill="auto"/>
          </w:tcPr>
          <w:p w14:paraId="5EA1F813" w14:textId="77777777" w:rsidR="003C66EB" w:rsidRDefault="003C66EB">
            <w:pPr>
              <w:rPr>
                <w:rFonts w:ascii="宋体"/>
                <w:vanish/>
              </w:rPr>
            </w:pPr>
          </w:p>
        </w:tc>
        <w:tc>
          <w:tcPr>
            <w:tcW w:w="0" w:type="auto"/>
            <w:gridSpan w:val="3"/>
            <w:shd w:val="clear" w:color="auto" w:fill="auto"/>
          </w:tcPr>
          <w:p w14:paraId="5EA1F814" w14:textId="77777777" w:rsidR="003C66EB" w:rsidRDefault="003C66EB">
            <w:pPr>
              <w:rPr>
                <w:rFonts w:ascii="宋体"/>
                <w:vanish/>
              </w:rPr>
            </w:pPr>
          </w:p>
        </w:tc>
        <w:tc>
          <w:tcPr>
            <w:tcW w:w="0" w:type="auto"/>
            <w:gridSpan w:val="3"/>
            <w:shd w:val="clear" w:color="auto" w:fill="auto"/>
          </w:tcPr>
          <w:p w14:paraId="5EA1F815" w14:textId="77777777" w:rsidR="003C66EB" w:rsidRDefault="003C66EB">
            <w:pPr>
              <w:rPr>
                <w:rFonts w:ascii="宋体"/>
                <w:vanish/>
              </w:rPr>
            </w:pPr>
          </w:p>
        </w:tc>
        <w:tc>
          <w:tcPr>
            <w:tcW w:w="0" w:type="auto"/>
            <w:gridSpan w:val="3"/>
            <w:shd w:val="clear" w:color="auto" w:fill="auto"/>
          </w:tcPr>
          <w:p w14:paraId="5EA1F816" w14:textId="77777777" w:rsidR="003C66EB" w:rsidRDefault="003C66EB">
            <w:pPr>
              <w:rPr>
                <w:rFonts w:ascii="宋体"/>
                <w:vanish/>
              </w:rPr>
            </w:pPr>
          </w:p>
        </w:tc>
        <w:tc>
          <w:tcPr>
            <w:tcW w:w="0" w:type="auto"/>
            <w:gridSpan w:val="3"/>
            <w:shd w:val="clear" w:color="auto" w:fill="auto"/>
          </w:tcPr>
          <w:p w14:paraId="5EA1F817" w14:textId="77777777" w:rsidR="003C66EB" w:rsidRDefault="003C66EB">
            <w:pPr>
              <w:rPr>
                <w:rFonts w:ascii="宋体"/>
                <w:vanish/>
              </w:rPr>
            </w:pPr>
          </w:p>
        </w:tc>
        <w:tc>
          <w:tcPr>
            <w:tcW w:w="0" w:type="auto"/>
            <w:gridSpan w:val="3"/>
            <w:shd w:val="clear" w:color="auto" w:fill="auto"/>
          </w:tcPr>
          <w:p w14:paraId="5EA1F818" w14:textId="77777777" w:rsidR="003C66EB" w:rsidRDefault="003C66EB">
            <w:pPr>
              <w:rPr>
                <w:rFonts w:ascii="宋体"/>
                <w:vanish/>
              </w:rPr>
            </w:pPr>
          </w:p>
        </w:tc>
        <w:tc>
          <w:tcPr>
            <w:tcW w:w="0" w:type="auto"/>
            <w:shd w:val="clear" w:color="auto" w:fill="auto"/>
          </w:tcPr>
          <w:p w14:paraId="5EA1F819" w14:textId="77777777" w:rsidR="003C66EB" w:rsidRDefault="003C66EB">
            <w:pPr>
              <w:rPr>
                <w:rFonts w:ascii="宋体"/>
                <w:vanish/>
              </w:rPr>
            </w:pPr>
          </w:p>
        </w:tc>
      </w:tr>
      <w:tr w:rsidR="003C66EB" w14:paraId="5EA1F828" w14:textId="77777777">
        <w:trPr>
          <w:hidden/>
        </w:trPr>
        <w:tc>
          <w:tcPr>
            <w:tcW w:w="0" w:type="auto"/>
            <w:gridSpan w:val="3"/>
            <w:shd w:val="clear" w:color="auto" w:fill="auto"/>
          </w:tcPr>
          <w:p w14:paraId="5EA1F81B" w14:textId="77777777" w:rsidR="003C66EB" w:rsidRDefault="003C66EB">
            <w:pPr>
              <w:rPr>
                <w:rFonts w:ascii="宋体"/>
                <w:vanish/>
              </w:rPr>
            </w:pPr>
          </w:p>
        </w:tc>
        <w:tc>
          <w:tcPr>
            <w:tcW w:w="0" w:type="auto"/>
            <w:gridSpan w:val="3"/>
            <w:shd w:val="clear" w:color="auto" w:fill="auto"/>
          </w:tcPr>
          <w:p w14:paraId="5EA1F81C" w14:textId="77777777" w:rsidR="003C66EB" w:rsidRDefault="003C66EB">
            <w:pPr>
              <w:rPr>
                <w:rFonts w:ascii="宋体"/>
                <w:vanish/>
              </w:rPr>
            </w:pPr>
          </w:p>
        </w:tc>
        <w:tc>
          <w:tcPr>
            <w:tcW w:w="0" w:type="auto"/>
            <w:gridSpan w:val="3"/>
            <w:shd w:val="clear" w:color="auto" w:fill="auto"/>
          </w:tcPr>
          <w:p w14:paraId="5EA1F81D" w14:textId="77777777" w:rsidR="003C66EB" w:rsidRDefault="003C66EB">
            <w:pPr>
              <w:rPr>
                <w:rFonts w:ascii="宋体"/>
                <w:vanish/>
              </w:rPr>
            </w:pPr>
          </w:p>
        </w:tc>
        <w:tc>
          <w:tcPr>
            <w:tcW w:w="0" w:type="auto"/>
            <w:gridSpan w:val="3"/>
            <w:shd w:val="clear" w:color="auto" w:fill="auto"/>
          </w:tcPr>
          <w:p w14:paraId="5EA1F81E" w14:textId="77777777" w:rsidR="003C66EB" w:rsidRDefault="003C66EB">
            <w:pPr>
              <w:rPr>
                <w:rFonts w:ascii="宋体"/>
                <w:vanish/>
              </w:rPr>
            </w:pPr>
          </w:p>
        </w:tc>
        <w:tc>
          <w:tcPr>
            <w:tcW w:w="0" w:type="auto"/>
            <w:gridSpan w:val="3"/>
            <w:shd w:val="clear" w:color="auto" w:fill="auto"/>
          </w:tcPr>
          <w:p w14:paraId="5EA1F81F" w14:textId="77777777" w:rsidR="003C66EB" w:rsidRDefault="003C66EB">
            <w:pPr>
              <w:rPr>
                <w:rFonts w:ascii="宋体"/>
                <w:vanish/>
              </w:rPr>
            </w:pPr>
          </w:p>
        </w:tc>
        <w:tc>
          <w:tcPr>
            <w:tcW w:w="0" w:type="auto"/>
            <w:gridSpan w:val="3"/>
            <w:shd w:val="clear" w:color="auto" w:fill="auto"/>
          </w:tcPr>
          <w:p w14:paraId="5EA1F820" w14:textId="77777777" w:rsidR="003C66EB" w:rsidRDefault="003C66EB">
            <w:pPr>
              <w:rPr>
                <w:rFonts w:ascii="宋体"/>
                <w:vanish/>
              </w:rPr>
            </w:pPr>
          </w:p>
        </w:tc>
        <w:tc>
          <w:tcPr>
            <w:tcW w:w="0" w:type="auto"/>
            <w:gridSpan w:val="3"/>
            <w:shd w:val="clear" w:color="auto" w:fill="auto"/>
          </w:tcPr>
          <w:p w14:paraId="5EA1F821" w14:textId="77777777" w:rsidR="003C66EB" w:rsidRDefault="003C66EB">
            <w:pPr>
              <w:rPr>
                <w:rFonts w:ascii="宋体"/>
                <w:vanish/>
              </w:rPr>
            </w:pPr>
          </w:p>
        </w:tc>
        <w:tc>
          <w:tcPr>
            <w:tcW w:w="0" w:type="auto"/>
            <w:gridSpan w:val="3"/>
            <w:shd w:val="clear" w:color="auto" w:fill="auto"/>
          </w:tcPr>
          <w:p w14:paraId="5EA1F822" w14:textId="77777777" w:rsidR="003C66EB" w:rsidRDefault="003C66EB">
            <w:pPr>
              <w:rPr>
                <w:rFonts w:ascii="宋体"/>
                <w:vanish/>
              </w:rPr>
            </w:pPr>
          </w:p>
        </w:tc>
        <w:tc>
          <w:tcPr>
            <w:tcW w:w="0" w:type="auto"/>
            <w:gridSpan w:val="3"/>
            <w:shd w:val="clear" w:color="auto" w:fill="auto"/>
          </w:tcPr>
          <w:p w14:paraId="5EA1F823" w14:textId="77777777" w:rsidR="003C66EB" w:rsidRDefault="003C66EB">
            <w:pPr>
              <w:rPr>
                <w:rFonts w:ascii="宋体"/>
                <w:vanish/>
              </w:rPr>
            </w:pPr>
          </w:p>
        </w:tc>
        <w:tc>
          <w:tcPr>
            <w:tcW w:w="0" w:type="auto"/>
            <w:gridSpan w:val="3"/>
            <w:shd w:val="clear" w:color="auto" w:fill="auto"/>
          </w:tcPr>
          <w:p w14:paraId="5EA1F824" w14:textId="77777777" w:rsidR="003C66EB" w:rsidRDefault="003C66EB">
            <w:pPr>
              <w:rPr>
                <w:rFonts w:ascii="宋体"/>
                <w:vanish/>
              </w:rPr>
            </w:pPr>
          </w:p>
        </w:tc>
        <w:tc>
          <w:tcPr>
            <w:tcW w:w="0" w:type="auto"/>
            <w:gridSpan w:val="3"/>
            <w:shd w:val="clear" w:color="auto" w:fill="auto"/>
          </w:tcPr>
          <w:p w14:paraId="5EA1F825" w14:textId="77777777" w:rsidR="003C66EB" w:rsidRDefault="003C66EB">
            <w:pPr>
              <w:rPr>
                <w:rFonts w:ascii="宋体"/>
                <w:vanish/>
              </w:rPr>
            </w:pPr>
          </w:p>
        </w:tc>
        <w:tc>
          <w:tcPr>
            <w:tcW w:w="0" w:type="auto"/>
            <w:gridSpan w:val="3"/>
            <w:shd w:val="clear" w:color="auto" w:fill="auto"/>
          </w:tcPr>
          <w:p w14:paraId="5EA1F826" w14:textId="77777777" w:rsidR="003C66EB" w:rsidRDefault="003C66EB">
            <w:pPr>
              <w:rPr>
                <w:rFonts w:ascii="宋体"/>
                <w:vanish/>
              </w:rPr>
            </w:pPr>
          </w:p>
        </w:tc>
        <w:tc>
          <w:tcPr>
            <w:tcW w:w="0" w:type="auto"/>
            <w:shd w:val="clear" w:color="auto" w:fill="auto"/>
          </w:tcPr>
          <w:p w14:paraId="5EA1F827" w14:textId="77777777" w:rsidR="003C66EB" w:rsidRDefault="003C66EB">
            <w:pPr>
              <w:rPr>
                <w:rFonts w:ascii="宋体"/>
                <w:vanish/>
              </w:rPr>
            </w:pPr>
          </w:p>
        </w:tc>
      </w:tr>
      <w:tr w:rsidR="003C66EB" w14:paraId="5EA1F836" w14:textId="77777777">
        <w:trPr>
          <w:hidden/>
        </w:trPr>
        <w:tc>
          <w:tcPr>
            <w:tcW w:w="0" w:type="auto"/>
            <w:gridSpan w:val="3"/>
            <w:shd w:val="clear" w:color="auto" w:fill="auto"/>
          </w:tcPr>
          <w:p w14:paraId="5EA1F829" w14:textId="77777777" w:rsidR="003C66EB" w:rsidRDefault="003C66EB">
            <w:pPr>
              <w:rPr>
                <w:rFonts w:ascii="宋体"/>
                <w:vanish/>
              </w:rPr>
            </w:pPr>
          </w:p>
        </w:tc>
        <w:tc>
          <w:tcPr>
            <w:tcW w:w="0" w:type="auto"/>
            <w:gridSpan w:val="3"/>
            <w:shd w:val="clear" w:color="auto" w:fill="auto"/>
          </w:tcPr>
          <w:p w14:paraId="5EA1F82A" w14:textId="77777777" w:rsidR="003C66EB" w:rsidRDefault="003C66EB">
            <w:pPr>
              <w:rPr>
                <w:rFonts w:ascii="宋体"/>
                <w:vanish/>
              </w:rPr>
            </w:pPr>
          </w:p>
        </w:tc>
        <w:tc>
          <w:tcPr>
            <w:tcW w:w="0" w:type="auto"/>
            <w:gridSpan w:val="3"/>
            <w:shd w:val="clear" w:color="auto" w:fill="auto"/>
          </w:tcPr>
          <w:p w14:paraId="5EA1F82B" w14:textId="77777777" w:rsidR="003C66EB" w:rsidRDefault="003C66EB">
            <w:pPr>
              <w:rPr>
                <w:rFonts w:ascii="宋体"/>
                <w:vanish/>
              </w:rPr>
            </w:pPr>
          </w:p>
        </w:tc>
        <w:tc>
          <w:tcPr>
            <w:tcW w:w="0" w:type="auto"/>
            <w:gridSpan w:val="3"/>
            <w:shd w:val="clear" w:color="auto" w:fill="auto"/>
          </w:tcPr>
          <w:p w14:paraId="5EA1F82C" w14:textId="77777777" w:rsidR="003C66EB" w:rsidRDefault="003C66EB">
            <w:pPr>
              <w:rPr>
                <w:rFonts w:ascii="宋体"/>
                <w:vanish/>
              </w:rPr>
            </w:pPr>
          </w:p>
        </w:tc>
        <w:tc>
          <w:tcPr>
            <w:tcW w:w="0" w:type="auto"/>
            <w:gridSpan w:val="3"/>
            <w:shd w:val="clear" w:color="auto" w:fill="auto"/>
          </w:tcPr>
          <w:p w14:paraId="5EA1F82D" w14:textId="77777777" w:rsidR="003C66EB" w:rsidRDefault="003C66EB">
            <w:pPr>
              <w:rPr>
                <w:rFonts w:ascii="宋体"/>
                <w:vanish/>
              </w:rPr>
            </w:pPr>
          </w:p>
        </w:tc>
        <w:tc>
          <w:tcPr>
            <w:tcW w:w="0" w:type="auto"/>
            <w:gridSpan w:val="3"/>
            <w:shd w:val="clear" w:color="auto" w:fill="auto"/>
          </w:tcPr>
          <w:p w14:paraId="5EA1F82E" w14:textId="77777777" w:rsidR="003C66EB" w:rsidRDefault="003C66EB">
            <w:pPr>
              <w:rPr>
                <w:rFonts w:ascii="宋体"/>
                <w:vanish/>
              </w:rPr>
            </w:pPr>
          </w:p>
        </w:tc>
        <w:tc>
          <w:tcPr>
            <w:tcW w:w="0" w:type="auto"/>
            <w:gridSpan w:val="3"/>
            <w:shd w:val="clear" w:color="auto" w:fill="auto"/>
          </w:tcPr>
          <w:p w14:paraId="5EA1F82F" w14:textId="77777777" w:rsidR="003C66EB" w:rsidRDefault="003C66EB">
            <w:pPr>
              <w:rPr>
                <w:rFonts w:ascii="宋体"/>
                <w:vanish/>
              </w:rPr>
            </w:pPr>
          </w:p>
        </w:tc>
        <w:tc>
          <w:tcPr>
            <w:tcW w:w="0" w:type="auto"/>
            <w:gridSpan w:val="3"/>
            <w:shd w:val="clear" w:color="auto" w:fill="auto"/>
          </w:tcPr>
          <w:p w14:paraId="5EA1F830" w14:textId="77777777" w:rsidR="003C66EB" w:rsidRDefault="003C66EB">
            <w:pPr>
              <w:rPr>
                <w:rFonts w:ascii="宋体"/>
                <w:vanish/>
              </w:rPr>
            </w:pPr>
          </w:p>
        </w:tc>
        <w:tc>
          <w:tcPr>
            <w:tcW w:w="0" w:type="auto"/>
            <w:gridSpan w:val="3"/>
            <w:shd w:val="clear" w:color="auto" w:fill="auto"/>
          </w:tcPr>
          <w:p w14:paraId="5EA1F831" w14:textId="77777777" w:rsidR="003C66EB" w:rsidRDefault="003C66EB">
            <w:pPr>
              <w:rPr>
                <w:rFonts w:ascii="宋体"/>
                <w:vanish/>
              </w:rPr>
            </w:pPr>
          </w:p>
        </w:tc>
        <w:tc>
          <w:tcPr>
            <w:tcW w:w="0" w:type="auto"/>
            <w:gridSpan w:val="3"/>
            <w:shd w:val="clear" w:color="auto" w:fill="auto"/>
          </w:tcPr>
          <w:p w14:paraId="5EA1F832" w14:textId="77777777" w:rsidR="003C66EB" w:rsidRDefault="003C66EB">
            <w:pPr>
              <w:rPr>
                <w:rFonts w:ascii="宋体"/>
                <w:vanish/>
              </w:rPr>
            </w:pPr>
          </w:p>
        </w:tc>
        <w:tc>
          <w:tcPr>
            <w:tcW w:w="0" w:type="auto"/>
            <w:gridSpan w:val="3"/>
            <w:shd w:val="clear" w:color="auto" w:fill="auto"/>
          </w:tcPr>
          <w:p w14:paraId="5EA1F833" w14:textId="77777777" w:rsidR="003C66EB" w:rsidRDefault="003C66EB">
            <w:pPr>
              <w:rPr>
                <w:rFonts w:ascii="宋体"/>
                <w:vanish/>
              </w:rPr>
            </w:pPr>
          </w:p>
        </w:tc>
        <w:tc>
          <w:tcPr>
            <w:tcW w:w="0" w:type="auto"/>
            <w:gridSpan w:val="3"/>
            <w:shd w:val="clear" w:color="auto" w:fill="auto"/>
          </w:tcPr>
          <w:p w14:paraId="5EA1F834" w14:textId="77777777" w:rsidR="003C66EB" w:rsidRDefault="003C66EB">
            <w:pPr>
              <w:rPr>
                <w:rFonts w:ascii="宋体"/>
                <w:vanish/>
              </w:rPr>
            </w:pPr>
          </w:p>
        </w:tc>
        <w:tc>
          <w:tcPr>
            <w:tcW w:w="0" w:type="auto"/>
            <w:shd w:val="clear" w:color="auto" w:fill="auto"/>
          </w:tcPr>
          <w:p w14:paraId="5EA1F835" w14:textId="77777777" w:rsidR="003C66EB" w:rsidRDefault="003C66EB">
            <w:pPr>
              <w:rPr>
                <w:rFonts w:ascii="宋体"/>
                <w:vanish/>
              </w:rPr>
            </w:pPr>
          </w:p>
        </w:tc>
      </w:tr>
      <w:tr w:rsidR="003C66EB" w14:paraId="5EA1F844" w14:textId="77777777">
        <w:trPr>
          <w:hidden/>
        </w:trPr>
        <w:tc>
          <w:tcPr>
            <w:tcW w:w="0" w:type="auto"/>
            <w:gridSpan w:val="3"/>
            <w:shd w:val="clear" w:color="auto" w:fill="auto"/>
          </w:tcPr>
          <w:p w14:paraId="5EA1F837" w14:textId="77777777" w:rsidR="003C66EB" w:rsidRDefault="003C66EB">
            <w:pPr>
              <w:rPr>
                <w:rFonts w:ascii="宋体"/>
                <w:vanish/>
              </w:rPr>
            </w:pPr>
          </w:p>
        </w:tc>
        <w:tc>
          <w:tcPr>
            <w:tcW w:w="0" w:type="auto"/>
            <w:gridSpan w:val="3"/>
            <w:shd w:val="clear" w:color="auto" w:fill="auto"/>
          </w:tcPr>
          <w:p w14:paraId="5EA1F838" w14:textId="77777777" w:rsidR="003C66EB" w:rsidRDefault="003C66EB">
            <w:pPr>
              <w:rPr>
                <w:rFonts w:ascii="宋体"/>
                <w:vanish/>
              </w:rPr>
            </w:pPr>
          </w:p>
        </w:tc>
        <w:tc>
          <w:tcPr>
            <w:tcW w:w="0" w:type="auto"/>
            <w:gridSpan w:val="3"/>
            <w:shd w:val="clear" w:color="auto" w:fill="auto"/>
          </w:tcPr>
          <w:p w14:paraId="5EA1F839" w14:textId="77777777" w:rsidR="003C66EB" w:rsidRDefault="003C66EB">
            <w:pPr>
              <w:rPr>
                <w:rFonts w:ascii="宋体"/>
                <w:vanish/>
              </w:rPr>
            </w:pPr>
          </w:p>
        </w:tc>
        <w:tc>
          <w:tcPr>
            <w:tcW w:w="0" w:type="auto"/>
            <w:gridSpan w:val="3"/>
            <w:shd w:val="clear" w:color="auto" w:fill="auto"/>
          </w:tcPr>
          <w:p w14:paraId="5EA1F83A" w14:textId="77777777" w:rsidR="003C66EB" w:rsidRDefault="003C66EB">
            <w:pPr>
              <w:rPr>
                <w:rFonts w:ascii="宋体"/>
                <w:vanish/>
              </w:rPr>
            </w:pPr>
          </w:p>
        </w:tc>
        <w:tc>
          <w:tcPr>
            <w:tcW w:w="0" w:type="auto"/>
            <w:gridSpan w:val="3"/>
            <w:shd w:val="clear" w:color="auto" w:fill="auto"/>
          </w:tcPr>
          <w:p w14:paraId="5EA1F83B" w14:textId="77777777" w:rsidR="003C66EB" w:rsidRDefault="003C66EB">
            <w:pPr>
              <w:rPr>
                <w:rFonts w:ascii="宋体"/>
                <w:vanish/>
              </w:rPr>
            </w:pPr>
          </w:p>
        </w:tc>
        <w:tc>
          <w:tcPr>
            <w:tcW w:w="0" w:type="auto"/>
            <w:gridSpan w:val="3"/>
            <w:shd w:val="clear" w:color="auto" w:fill="auto"/>
          </w:tcPr>
          <w:p w14:paraId="5EA1F83C" w14:textId="77777777" w:rsidR="003C66EB" w:rsidRDefault="003C66EB">
            <w:pPr>
              <w:rPr>
                <w:rFonts w:ascii="宋体"/>
                <w:vanish/>
              </w:rPr>
            </w:pPr>
          </w:p>
        </w:tc>
        <w:tc>
          <w:tcPr>
            <w:tcW w:w="0" w:type="auto"/>
            <w:gridSpan w:val="3"/>
            <w:shd w:val="clear" w:color="auto" w:fill="auto"/>
          </w:tcPr>
          <w:p w14:paraId="5EA1F83D" w14:textId="77777777" w:rsidR="003C66EB" w:rsidRDefault="003C66EB">
            <w:pPr>
              <w:rPr>
                <w:rFonts w:ascii="宋体"/>
                <w:vanish/>
              </w:rPr>
            </w:pPr>
          </w:p>
        </w:tc>
        <w:tc>
          <w:tcPr>
            <w:tcW w:w="0" w:type="auto"/>
            <w:gridSpan w:val="3"/>
            <w:shd w:val="clear" w:color="auto" w:fill="auto"/>
          </w:tcPr>
          <w:p w14:paraId="5EA1F83E" w14:textId="77777777" w:rsidR="003C66EB" w:rsidRDefault="003C66EB">
            <w:pPr>
              <w:rPr>
                <w:rFonts w:ascii="宋体"/>
                <w:vanish/>
              </w:rPr>
            </w:pPr>
          </w:p>
        </w:tc>
        <w:tc>
          <w:tcPr>
            <w:tcW w:w="0" w:type="auto"/>
            <w:gridSpan w:val="3"/>
            <w:shd w:val="clear" w:color="auto" w:fill="auto"/>
          </w:tcPr>
          <w:p w14:paraId="5EA1F83F" w14:textId="77777777" w:rsidR="003C66EB" w:rsidRDefault="003C66EB">
            <w:pPr>
              <w:rPr>
                <w:rFonts w:ascii="宋体"/>
                <w:vanish/>
              </w:rPr>
            </w:pPr>
          </w:p>
        </w:tc>
        <w:tc>
          <w:tcPr>
            <w:tcW w:w="0" w:type="auto"/>
            <w:gridSpan w:val="3"/>
            <w:shd w:val="clear" w:color="auto" w:fill="auto"/>
          </w:tcPr>
          <w:p w14:paraId="5EA1F840" w14:textId="77777777" w:rsidR="003C66EB" w:rsidRDefault="003C66EB">
            <w:pPr>
              <w:rPr>
                <w:rFonts w:ascii="宋体"/>
                <w:vanish/>
              </w:rPr>
            </w:pPr>
          </w:p>
        </w:tc>
        <w:tc>
          <w:tcPr>
            <w:tcW w:w="0" w:type="auto"/>
            <w:gridSpan w:val="3"/>
            <w:shd w:val="clear" w:color="auto" w:fill="auto"/>
          </w:tcPr>
          <w:p w14:paraId="5EA1F841" w14:textId="77777777" w:rsidR="003C66EB" w:rsidRDefault="003C66EB">
            <w:pPr>
              <w:rPr>
                <w:rFonts w:ascii="宋体"/>
                <w:vanish/>
              </w:rPr>
            </w:pPr>
          </w:p>
        </w:tc>
        <w:tc>
          <w:tcPr>
            <w:tcW w:w="0" w:type="auto"/>
            <w:gridSpan w:val="3"/>
            <w:shd w:val="clear" w:color="auto" w:fill="auto"/>
          </w:tcPr>
          <w:p w14:paraId="5EA1F842" w14:textId="77777777" w:rsidR="003C66EB" w:rsidRDefault="003C66EB">
            <w:pPr>
              <w:rPr>
                <w:rFonts w:ascii="宋体"/>
                <w:vanish/>
              </w:rPr>
            </w:pPr>
          </w:p>
        </w:tc>
        <w:tc>
          <w:tcPr>
            <w:tcW w:w="0" w:type="auto"/>
            <w:shd w:val="clear" w:color="auto" w:fill="auto"/>
          </w:tcPr>
          <w:p w14:paraId="5EA1F843" w14:textId="77777777" w:rsidR="003C66EB" w:rsidRDefault="003C66EB">
            <w:pPr>
              <w:rPr>
                <w:rFonts w:ascii="宋体"/>
                <w:vanish/>
              </w:rPr>
            </w:pPr>
          </w:p>
        </w:tc>
      </w:tr>
      <w:tr w:rsidR="003C66EB" w14:paraId="5EA1F852" w14:textId="77777777">
        <w:trPr>
          <w:hidden/>
        </w:trPr>
        <w:tc>
          <w:tcPr>
            <w:tcW w:w="0" w:type="auto"/>
            <w:gridSpan w:val="3"/>
            <w:shd w:val="clear" w:color="auto" w:fill="auto"/>
          </w:tcPr>
          <w:p w14:paraId="5EA1F845" w14:textId="77777777" w:rsidR="003C66EB" w:rsidRDefault="003C66EB">
            <w:pPr>
              <w:rPr>
                <w:rFonts w:ascii="宋体"/>
                <w:vanish/>
              </w:rPr>
            </w:pPr>
          </w:p>
        </w:tc>
        <w:tc>
          <w:tcPr>
            <w:tcW w:w="0" w:type="auto"/>
            <w:gridSpan w:val="3"/>
            <w:shd w:val="clear" w:color="auto" w:fill="auto"/>
          </w:tcPr>
          <w:p w14:paraId="5EA1F846" w14:textId="77777777" w:rsidR="003C66EB" w:rsidRDefault="003C66EB">
            <w:pPr>
              <w:rPr>
                <w:rFonts w:ascii="宋体"/>
                <w:vanish/>
              </w:rPr>
            </w:pPr>
          </w:p>
        </w:tc>
        <w:tc>
          <w:tcPr>
            <w:tcW w:w="0" w:type="auto"/>
            <w:gridSpan w:val="3"/>
            <w:shd w:val="clear" w:color="auto" w:fill="auto"/>
          </w:tcPr>
          <w:p w14:paraId="5EA1F847" w14:textId="77777777" w:rsidR="003C66EB" w:rsidRDefault="003C66EB">
            <w:pPr>
              <w:rPr>
                <w:rFonts w:ascii="宋体"/>
                <w:vanish/>
              </w:rPr>
            </w:pPr>
          </w:p>
        </w:tc>
        <w:tc>
          <w:tcPr>
            <w:tcW w:w="0" w:type="auto"/>
            <w:gridSpan w:val="3"/>
            <w:shd w:val="clear" w:color="auto" w:fill="auto"/>
          </w:tcPr>
          <w:p w14:paraId="5EA1F848" w14:textId="77777777" w:rsidR="003C66EB" w:rsidRDefault="003C66EB">
            <w:pPr>
              <w:rPr>
                <w:rFonts w:ascii="宋体"/>
                <w:vanish/>
              </w:rPr>
            </w:pPr>
          </w:p>
        </w:tc>
        <w:tc>
          <w:tcPr>
            <w:tcW w:w="0" w:type="auto"/>
            <w:gridSpan w:val="3"/>
            <w:shd w:val="clear" w:color="auto" w:fill="auto"/>
          </w:tcPr>
          <w:p w14:paraId="5EA1F849" w14:textId="77777777" w:rsidR="003C66EB" w:rsidRDefault="003C66EB">
            <w:pPr>
              <w:rPr>
                <w:rFonts w:ascii="宋体"/>
                <w:vanish/>
              </w:rPr>
            </w:pPr>
          </w:p>
        </w:tc>
        <w:tc>
          <w:tcPr>
            <w:tcW w:w="0" w:type="auto"/>
            <w:gridSpan w:val="3"/>
            <w:shd w:val="clear" w:color="auto" w:fill="auto"/>
          </w:tcPr>
          <w:p w14:paraId="5EA1F84A" w14:textId="77777777" w:rsidR="003C66EB" w:rsidRDefault="003C66EB">
            <w:pPr>
              <w:rPr>
                <w:rFonts w:ascii="宋体"/>
                <w:vanish/>
              </w:rPr>
            </w:pPr>
          </w:p>
        </w:tc>
        <w:tc>
          <w:tcPr>
            <w:tcW w:w="0" w:type="auto"/>
            <w:gridSpan w:val="3"/>
            <w:shd w:val="clear" w:color="auto" w:fill="auto"/>
          </w:tcPr>
          <w:p w14:paraId="5EA1F84B" w14:textId="77777777" w:rsidR="003C66EB" w:rsidRDefault="003C66EB">
            <w:pPr>
              <w:rPr>
                <w:rFonts w:ascii="宋体"/>
                <w:vanish/>
              </w:rPr>
            </w:pPr>
          </w:p>
        </w:tc>
        <w:tc>
          <w:tcPr>
            <w:tcW w:w="0" w:type="auto"/>
            <w:gridSpan w:val="3"/>
            <w:shd w:val="clear" w:color="auto" w:fill="auto"/>
          </w:tcPr>
          <w:p w14:paraId="5EA1F84C" w14:textId="77777777" w:rsidR="003C66EB" w:rsidRDefault="003C66EB">
            <w:pPr>
              <w:rPr>
                <w:rFonts w:ascii="宋体"/>
                <w:vanish/>
              </w:rPr>
            </w:pPr>
          </w:p>
        </w:tc>
        <w:tc>
          <w:tcPr>
            <w:tcW w:w="0" w:type="auto"/>
            <w:gridSpan w:val="3"/>
            <w:shd w:val="clear" w:color="auto" w:fill="auto"/>
          </w:tcPr>
          <w:p w14:paraId="5EA1F84D" w14:textId="77777777" w:rsidR="003C66EB" w:rsidRDefault="003C66EB">
            <w:pPr>
              <w:rPr>
                <w:rFonts w:ascii="宋体"/>
                <w:vanish/>
              </w:rPr>
            </w:pPr>
          </w:p>
        </w:tc>
        <w:tc>
          <w:tcPr>
            <w:tcW w:w="0" w:type="auto"/>
            <w:gridSpan w:val="3"/>
            <w:shd w:val="clear" w:color="auto" w:fill="auto"/>
          </w:tcPr>
          <w:p w14:paraId="5EA1F84E" w14:textId="77777777" w:rsidR="003C66EB" w:rsidRDefault="003C66EB">
            <w:pPr>
              <w:rPr>
                <w:rFonts w:ascii="宋体"/>
                <w:vanish/>
              </w:rPr>
            </w:pPr>
          </w:p>
        </w:tc>
        <w:tc>
          <w:tcPr>
            <w:tcW w:w="0" w:type="auto"/>
            <w:gridSpan w:val="3"/>
            <w:shd w:val="clear" w:color="auto" w:fill="auto"/>
          </w:tcPr>
          <w:p w14:paraId="5EA1F84F" w14:textId="77777777" w:rsidR="003C66EB" w:rsidRDefault="003C66EB">
            <w:pPr>
              <w:rPr>
                <w:rFonts w:ascii="宋体"/>
                <w:vanish/>
              </w:rPr>
            </w:pPr>
          </w:p>
        </w:tc>
        <w:tc>
          <w:tcPr>
            <w:tcW w:w="0" w:type="auto"/>
            <w:gridSpan w:val="3"/>
            <w:shd w:val="clear" w:color="auto" w:fill="auto"/>
          </w:tcPr>
          <w:p w14:paraId="5EA1F850" w14:textId="77777777" w:rsidR="003C66EB" w:rsidRDefault="003C66EB">
            <w:pPr>
              <w:rPr>
                <w:rFonts w:ascii="宋体"/>
                <w:vanish/>
              </w:rPr>
            </w:pPr>
          </w:p>
        </w:tc>
        <w:tc>
          <w:tcPr>
            <w:tcW w:w="0" w:type="auto"/>
            <w:shd w:val="clear" w:color="auto" w:fill="auto"/>
          </w:tcPr>
          <w:p w14:paraId="5EA1F851" w14:textId="77777777" w:rsidR="003C66EB" w:rsidRDefault="003C66EB">
            <w:pPr>
              <w:rPr>
                <w:rFonts w:ascii="宋体"/>
                <w:vanish/>
              </w:rPr>
            </w:pPr>
          </w:p>
        </w:tc>
      </w:tr>
      <w:tr w:rsidR="003C66EB" w14:paraId="5EA1F860" w14:textId="77777777">
        <w:trPr>
          <w:hidden/>
        </w:trPr>
        <w:tc>
          <w:tcPr>
            <w:tcW w:w="0" w:type="auto"/>
            <w:gridSpan w:val="3"/>
            <w:shd w:val="clear" w:color="auto" w:fill="auto"/>
          </w:tcPr>
          <w:p w14:paraId="5EA1F853" w14:textId="77777777" w:rsidR="003C66EB" w:rsidRDefault="003C66EB">
            <w:pPr>
              <w:rPr>
                <w:rFonts w:ascii="宋体"/>
                <w:vanish/>
              </w:rPr>
            </w:pPr>
          </w:p>
        </w:tc>
        <w:tc>
          <w:tcPr>
            <w:tcW w:w="0" w:type="auto"/>
            <w:gridSpan w:val="3"/>
            <w:shd w:val="clear" w:color="auto" w:fill="auto"/>
          </w:tcPr>
          <w:p w14:paraId="5EA1F854" w14:textId="77777777" w:rsidR="003C66EB" w:rsidRDefault="003C66EB">
            <w:pPr>
              <w:rPr>
                <w:rFonts w:ascii="宋体"/>
                <w:vanish/>
              </w:rPr>
            </w:pPr>
          </w:p>
        </w:tc>
        <w:tc>
          <w:tcPr>
            <w:tcW w:w="0" w:type="auto"/>
            <w:gridSpan w:val="3"/>
            <w:shd w:val="clear" w:color="auto" w:fill="auto"/>
          </w:tcPr>
          <w:p w14:paraId="5EA1F855" w14:textId="77777777" w:rsidR="003C66EB" w:rsidRDefault="003C66EB">
            <w:pPr>
              <w:rPr>
                <w:rFonts w:ascii="宋体"/>
                <w:vanish/>
              </w:rPr>
            </w:pPr>
          </w:p>
        </w:tc>
        <w:tc>
          <w:tcPr>
            <w:tcW w:w="0" w:type="auto"/>
            <w:gridSpan w:val="3"/>
            <w:shd w:val="clear" w:color="auto" w:fill="auto"/>
          </w:tcPr>
          <w:p w14:paraId="5EA1F856" w14:textId="77777777" w:rsidR="003C66EB" w:rsidRDefault="003C66EB">
            <w:pPr>
              <w:rPr>
                <w:rFonts w:ascii="宋体"/>
                <w:vanish/>
              </w:rPr>
            </w:pPr>
          </w:p>
        </w:tc>
        <w:tc>
          <w:tcPr>
            <w:tcW w:w="0" w:type="auto"/>
            <w:gridSpan w:val="3"/>
            <w:shd w:val="clear" w:color="auto" w:fill="auto"/>
          </w:tcPr>
          <w:p w14:paraId="5EA1F857" w14:textId="77777777" w:rsidR="003C66EB" w:rsidRDefault="003C66EB">
            <w:pPr>
              <w:rPr>
                <w:rFonts w:ascii="宋体"/>
                <w:vanish/>
              </w:rPr>
            </w:pPr>
          </w:p>
        </w:tc>
        <w:tc>
          <w:tcPr>
            <w:tcW w:w="0" w:type="auto"/>
            <w:gridSpan w:val="3"/>
            <w:shd w:val="clear" w:color="auto" w:fill="auto"/>
          </w:tcPr>
          <w:p w14:paraId="5EA1F858" w14:textId="77777777" w:rsidR="003C66EB" w:rsidRDefault="003C66EB">
            <w:pPr>
              <w:rPr>
                <w:rFonts w:ascii="宋体"/>
                <w:vanish/>
              </w:rPr>
            </w:pPr>
          </w:p>
        </w:tc>
        <w:tc>
          <w:tcPr>
            <w:tcW w:w="0" w:type="auto"/>
            <w:gridSpan w:val="3"/>
            <w:shd w:val="clear" w:color="auto" w:fill="auto"/>
          </w:tcPr>
          <w:p w14:paraId="5EA1F859" w14:textId="77777777" w:rsidR="003C66EB" w:rsidRDefault="003C66EB">
            <w:pPr>
              <w:rPr>
                <w:rFonts w:ascii="宋体"/>
                <w:vanish/>
              </w:rPr>
            </w:pPr>
          </w:p>
        </w:tc>
        <w:tc>
          <w:tcPr>
            <w:tcW w:w="0" w:type="auto"/>
            <w:gridSpan w:val="3"/>
            <w:shd w:val="clear" w:color="auto" w:fill="auto"/>
          </w:tcPr>
          <w:p w14:paraId="5EA1F85A" w14:textId="77777777" w:rsidR="003C66EB" w:rsidRDefault="003C66EB">
            <w:pPr>
              <w:rPr>
                <w:rFonts w:ascii="宋体"/>
                <w:vanish/>
              </w:rPr>
            </w:pPr>
          </w:p>
        </w:tc>
        <w:tc>
          <w:tcPr>
            <w:tcW w:w="0" w:type="auto"/>
            <w:gridSpan w:val="3"/>
            <w:shd w:val="clear" w:color="auto" w:fill="auto"/>
          </w:tcPr>
          <w:p w14:paraId="5EA1F85B" w14:textId="77777777" w:rsidR="003C66EB" w:rsidRDefault="003C66EB">
            <w:pPr>
              <w:rPr>
                <w:rFonts w:ascii="宋体"/>
                <w:vanish/>
              </w:rPr>
            </w:pPr>
          </w:p>
        </w:tc>
        <w:tc>
          <w:tcPr>
            <w:tcW w:w="0" w:type="auto"/>
            <w:gridSpan w:val="3"/>
            <w:shd w:val="clear" w:color="auto" w:fill="auto"/>
          </w:tcPr>
          <w:p w14:paraId="5EA1F85C" w14:textId="77777777" w:rsidR="003C66EB" w:rsidRDefault="003C66EB">
            <w:pPr>
              <w:rPr>
                <w:rFonts w:ascii="宋体"/>
                <w:vanish/>
              </w:rPr>
            </w:pPr>
          </w:p>
        </w:tc>
        <w:tc>
          <w:tcPr>
            <w:tcW w:w="0" w:type="auto"/>
            <w:gridSpan w:val="3"/>
            <w:shd w:val="clear" w:color="auto" w:fill="auto"/>
          </w:tcPr>
          <w:p w14:paraId="5EA1F85D" w14:textId="77777777" w:rsidR="003C66EB" w:rsidRDefault="003C66EB">
            <w:pPr>
              <w:rPr>
                <w:rFonts w:ascii="宋体"/>
                <w:vanish/>
              </w:rPr>
            </w:pPr>
          </w:p>
        </w:tc>
        <w:tc>
          <w:tcPr>
            <w:tcW w:w="0" w:type="auto"/>
            <w:gridSpan w:val="3"/>
            <w:shd w:val="clear" w:color="auto" w:fill="auto"/>
          </w:tcPr>
          <w:p w14:paraId="5EA1F85E" w14:textId="77777777" w:rsidR="003C66EB" w:rsidRDefault="003C66EB">
            <w:pPr>
              <w:rPr>
                <w:rFonts w:ascii="宋体"/>
                <w:vanish/>
              </w:rPr>
            </w:pPr>
          </w:p>
        </w:tc>
        <w:tc>
          <w:tcPr>
            <w:tcW w:w="0" w:type="auto"/>
            <w:shd w:val="clear" w:color="auto" w:fill="auto"/>
          </w:tcPr>
          <w:p w14:paraId="5EA1F85F" w14:textId="77777777" w:rsidR="003C66EB" w:rsidRDefault="003C66EB">
            <w:pPr>
              <w:rPr>
                <w:rFonts w:ascii="宋体"/>
                <w:vanish/>
              </w:rPr>
            </w:pPr>
          </w:p>
        </w:tc>
      </w:tr>
      <w:tr w:rsidR="003C66EB" w14:paraId="5EA1F87A" w14:textId="77777777">
        <w:tc>
          <w:tcPr>
            <w:tcW w:w="0" w:type="auto"/>
            <w:gridSpan w:val="3"/>
            <w:shd w:val="clear" w:color="auto" w:fill="CCEEFF"/>
            <w:tcMar>
              <w:top w:w="40" w:type="dxa"/>
              <w:left w:w="20" w:type="dxa"/>
              <w:bottom w:w="40" w:type="dxa"/>
              <w:right w:w="20" w:type="dxa"/>
            </w:tcMar>
            <w:vAlign w:val="bottom"/>
          </w:tcPr>
          <w:p w14:paraId="5EA1F861" w14:textId="77777777" w:rsidR="003C66EB" w:rsidRDefault="00D96C4E">
            <w:pPr>
              <w:textAlignment w:val="bottom"/>
            </w:pPr>
            <w:r>
              <w:rPr>
                <w:rFonts w:ascii="Arial" w:eastAsia="宋体" w:hAnsi="Arial" w:cs="Arial"/>
                <w:b/>
                <w:bCs/>
                <w:color w:val="000000"/>
                <w:sz w:val="15"/>
                <w:szCs w:val="15"/>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86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863" w14:textId="77777777" w:rsidR="003C66EB" w:rsidRDefault="00D96C4E">
            <w:pPr>
              <w:jc w:val="right"/>
              <w:textAlignment w:val="bottom"/>
            </w:pPr>
            <w:r>
              <w:rPr>
                <w:rFonts w:ascii="Arial" w:eastAsia="宋体" w:hAnsi="Arial" w:cs="Arial"/>
                <w:color w:val="000000"/>
                <w:sz w:val="15"/>
                <w:szCs w:val="15"/>
              </w:rPr>
              <w:t>1,990 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6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866"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867" w14:textId="77777777" w:rsidR="003C66EB" w:rsidRDefault="00D96C4E">
            <w:pPr>
              <w:jc w:val="right"/>
              <w:textAlignment w:val="bottom"/>
            </w:pPr>
            <w:r>
              <w:rPr>
                <w:rFonts w:ascii="Arial" w:eastAsia="宋体" w:hAnsi="Arial" w:cs="Arial"/>
                <w:color w:val="000000"/>
                <w:sz w:val="15"/>
                <w:szCs w:val="15"/>
              </w:rPr>
              <w:t>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69"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86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86B" w14:textId="77777777" w:rsidR="003C66EB" w:rsidRDefault="00D96C4E">
            <w:pPr>
              <w:jc w:val="right"/>
              <w:textAlignment w:val="bottom"/>
            </w:pPr>
            <w:r>
              <w:rPr>
                <w:rFonts w:ascii="Arial" w:eastAsia="宋体" w:hAnsi="Arial" w:cs="Arial"/>
                <w:color w:val="000000"/>
                <w:sz w:val="15"/>
                <w:szCs w:val="15"/>
              </w:rPr>
              <w:t>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6D"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86E"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86F" w14:textId="77777777" w:rsidR="003C66EB" w:rsidRDefault="00D96C4E">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7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87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873" w14:textId="77777777" w:rsidR="003C66EB" w:rsidRDefault="00D96C4E">
            <w:pPr>
              <w:jc w:val="right"/>
              <w:textAlignment w:val="bottom"/>
            </w:pPr>
            <w:r>
              <w:rPr>
                <w:rFonts w:ascii="Arial" w:eastAsia="宋体" w:hAnsi="Arial" w:cs="Arial"/>
                <w:color w:val="000000"/>
                <w:sz w:val="15"/>
                <w:szCs w:val="15"/>
              </w:rPr>
              <w:t>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7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876"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877" w14:textId="77777777" w:rsidR="003C66EB" w:rsidRDefault="00D96C4E">
            <w:pPr>
              <w:jc w:val="right"/>
              <w:textAlignment w:val="bottom"/>
            </w:pPr>
            <w:r>
              <w:rPr>
                <w:rFonts w:ascii="Arial" w:eastAsia="宋体" w:hAnsi="Arial" w:cs="Arial"/>
                <w:color w:val="000000"/>
                <w:sz w:val="15"/>
                <w:szCs w:val="15"/>
              </w:rPr>
              <w:t>3,116 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78" w14:textId="77777777" w:rsidR="003C66EB" w:rsidRDefault="003C66EB">
            <w:pPr>
              <w:jc w:val="right"/>
              <w:rPr>
                <w:rFonts w:ascii="宋体"/>
              </w:rPr>
            </w:pPr>
          </w:p>
        </w:tc>
        <w:tc>
          <w:tcPr>
            <w:tcW w:w="0" w:type="auto"/>
            <w:shd w:val="clear" w:color="auto" w:fill="auto"/>
          </w:tcPr>
          <w:p w14:paraId="5EA1F879" w14:textId="77777777" w:rsidR="003C66EB" w:rsidRDefault="003C66EB">
            <w:pPr>
              <w:rPr>
                <w:rFonts w:ascii="宋体"/>
                <w:vanish/>
              </w:rPr>
            </w:pPr>
          </w:p>
        </w:tc>
      </w:tr>
      <w:tr w:rsidR="003C66EB" w14:paraId="5EA1F88E" w14:textId="77777777">
        <w:tc>
          <w:tcPr>
            <w:tcW w:w="0" w:type="auto"/>
            <w:gridSpan w:val="3"/>
            <w:shd w:val="clear" w:color="auto" w:fill="FFFFFF"/>
            <w:tcMar>
              <w:top w:w="40" w:type="dxa"/>
              <w:left w:w="20" w:type="dxa"/>
              <w:bottom w:w="40" w:type="dxa"/>
              <w:right w:w="20" w:type="dxa"/>
            </w:tcMar>
            <w:vAlign w:val="bottom"/>
          </w:tcPr>
          <w:p w14:paraId="5EA1F87B" w14:textId="77777777" w:rsidR="003C66EB" w:rsidRDefault="00D96C4E">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EA1F87C" w14:textId="77777777" w:rsidR="003C66EB" w:rsidRDefault="00D96C4E">
            <w:pPr>
              <w:jc w:val="right"/>
              <w:textAlignment w:val="bottom"/>
            </w:pPr>
            <w:r>
              <w:rPr>
                <w:rFonts w:ascii="Arial" w:eastAsia="宋体" w:hAnsi="Arial" w:cs="Arial"/>
                <w:color w:val="000000"/>
                <w:sz w:val="15"/>
                <w:szCs w:val="15"/>
              </w:rPr>
              <w:t>(101)</w:t>
            </w:r>
          </w:p>
        </w:tc>
        <w:tc>
          <w:tcPr>
            <w:tcW w:w="0" w:type="auto"/>
            <w:shd w:val="clear" w:color="auto" w:fill="FFFFFF"/>
            <w:tcMar>
              <w:top w:w="40" w:type="dxa"/>
              <w:left w:w="0" w:type="dxa"/>
              <w:bottom w:w="40" w:type="dxa"/>
              <w:right w:w="20" w:type="dxa"/>
            </w:tcMar>
            <w:vAlign w:val="bottom"/>
          </w:tcPr>
          <w:p w14:paraId="5EA1F87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7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7F"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A1F88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8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82" w14:textId="77777777" w:rsidR="003C66EB" w:rsidRDefault="00D96C4E">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A1F8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8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85" w14:textId="77777777" w:rsidR="003C66EB" w:rsidRDefault="00D96C4E">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5EA1F8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88" w14:textId="77777777" w:rsidR="003C66EB" w:rsidRDefault="00D96C4E">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5EA1F8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8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8B" w14:textId="77777777" w:rsidR="003C66EB" w:rsidRDefault="00D96C4E">
            <w:pPr>
              <w:jc w:val="right"/>
              <w:textAlignment w:val="bottom"/>
            </w:pPr>
            <w:r>
              <w:rPr>
                <w:rFonts w:ascii="Arial" w:eastAsia="宋体" w:hAnsi="Arial" w:cs="Arial"/>
                <w:color w:val="000000"/>
                <w:sz w:val="15"/>
                <w:szCs w:val="15"/>
              </w:rPr>
              <w:t>(100)</w:t>
            </w:r>
          </w:p>
        </w:tc>
        <w:tc>
          <w:tcPr>
            <w:tcW w:w="0" w:type="auto"/>
            <w:shd w:val="clear" w:color="auto" w:fill="FFFFFF"/>
            <w:tcMar>
              <w:top w:w="40" w:type="dxa"/>
              <w:left w:w="0" w:type="dxa"/>
              <w:bottom w:w="40" w:type="dxa"/>
              <w:right w:w="20" w:type="dxa"/>
            </w:tcMar>
            <w:vAlign w:val="bottom"/>
          </w:tcPr>
          <w:p w14:paraId="5EA1F88C" w14:textId="77777777" w:rsidR="003C66EB" w:rsidRDefault="003C66EB">
            <w:pPr>
              <w:jc w:val="right"/>
              <w:rPr>
                <w:rFonts w:ascii="宋体"/>
              </w:rPr>
            </w:pPr>
          </w:p>
        </w:tc>
        <w:tc>
          <w:tcPr>
            <w:tcW w:w="0" w:type="auto"/>
            <w:shd w:val="clear" w:color="auto" w:fill="auto"/>
          </w:tcPr>
          <w:p w14:paraId="5EA1F88D" w14:textId="77777777" w:rsidR="003C66EB" w:rsidRDefault="003C66EB">
            <w:pPr>
              <w:rPr>
                <w:rFonts w:ascii="宋体"/>
                <w:vanish/>
              </w:rPr>
            </w:pPr>
          </w:p>
        </w:tc>
      </w:tr>
      <w:tr w:rsidR="003C66EB" w14:paraId="5EA1F8A2" w14:textId="77777777">
        <w:tc>
          <w:tcPr>
            <w:tcW w:w="0" w:type="auto"/>
            <w:gridSpan w:val="3"/>
            <w:shd w:val="clear" w:color="auto" w:fill="CCEEFF"/>
            <w:tcMar>
              <w:top w:w="40" w:type="dxa"/>
              <w:left w:w="20" w:type="dxa"/>
              <w:bottom w:w="40" w:type="dxa"/>
              <w:right w:w="20" w:type="dxa"/>
            </w:tcMar>
            <w:vAlign w:val="bottom"/>
          </w:tcPr>
          <w:p w14:paraId="5EA1F88F" w14:textId="77777777" w:rsidR="003C66EB" w:rsidRDefault="00D96C4E">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5EA1F890" w14:textId="77777777" w:rsidR="003C66EB" w:rsidRDefault="00D96C4E">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5EA1F89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9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93" w14:textId="77777777" w:rsidR="003C66EB" w:rsidRDefault="00D96C4E">
            <w:pPr>
              <w:jc w:val="right"/>
              <w:textAlignment w:val="bottom"/>
            </w:pPr>
            <w:r>
              <w:rPr>
                <w:rFonts w:ascii="Arial" w:eastAsia="宋体" w:hAnsi="Arial" w:cs="Arial"/>
                <w:color w:val="000000"/>
                <w:sz w:val="15"/>
                <w:szCs w:val="15"/>
              </w:rPr>
              <w:t>16 </w:t>
            </w:r>
          </w:p>
        </w:tc>
        <w:tc>
          <w:tcPr>
            <w:tcW w:w="0" w:type="auto"/>
            <w:shd w:val="clear" w:color="auto" w:fill="CCEEFF"/>
            <w:tcMar>
              <w:top w:w="40" w:type="dxa"/>
              <w:left w:w="0" w:type="dxa"/>
              <w:bottom w:w="40" w:type="dxa"/>
              <w:right w:w="20" w:type="dxa"/>
            </w:tcMar>
            <w:vAlign w:val="bottom"/>
          </w:tcPr>
          <w:p w14:paraId="5EA1F89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9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96"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8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9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99"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8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9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9C" w14:textId="77777777" w:rsidR="003C66EB" w:rsidRDefault="00D96C4E">
            <w:pPr>
              <w:jc w:val="right"/>
              <w:textAlignment w:val="bottom"/>
            </w:pPr>
            <w:r>
              <w:rPr>
                <w:rFonts w:ascii="Arial" w:eastAsia="宋体" w:hAnsi="Arial" w:cs="Arial"/>
                <w:color w:val="000000"/>
                <w:sz w:val="15"/>
                <w:szCs w:val="15"/>
              </w:rPr>
              <w:t>16 </w:t>
            </w:r>
          </w:p>
        </w:tc>
        <w:tc>
          <w:tcPr>
            <w:tcW w:w="0" w:type="auto"/>
            <w:shd w:val="clear" w:color="auto" w:fill="CCEEFF"/>
            <w:tcMar>
              <w:top w:w="40" w:type="dxa"/>
              <w:left w:w="0" w:type="dxa"/>
              <w:bottom w:w="40" w:type="dxa"/>
              <w:right w:w="20" w:type="dxa"/>
            </w:tcMar>
            <w:vAlign w:val="bottom"/>
          </w:tcPr>
          <w:p w14:paraId="5EA1F89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9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9F" w14:textId="77777777" w:rsidR="003C66EB" w:rsidRDefault="00D96C4E">
            <w:pPr>
              <w:jc w:val="right"/>
              <w:textAlignment w:val="bottom"/>
            </w:pPr>
            <w:r>
              <w:rPr>
                <w:rFonts w:ascii="Arial" w:eastAsia="宋体" w:hAnsi="Arial" w:cs="Arial"/>
                <w:color w:val="000000"/>
                <w:sz w:val="15"/>
                <w:szCs w:val="15"/>
              </w:rPr>
              <w:t>44 </w:t>
            </w:r>
          </w:p>
        </w:tc>
        <w:tc>
          <w:tcPr>
            <w:tcW w:w="0" w:type="auto"/>
            <w:shd w:val="clear" w:color="auto" w:fill="CCEEFF"/>
            <w:tcMar>
              <w:top w:w="40" w:type="dxa"/>
              <w:left w:w="0" w:type="dxa"/>
              <w:bottom w:w="40" w:type="dxa"/>
              <w:right w:w="20" w:type="dxa"/>
            </w:tcMar>
            <w:vAlign w:val="bottom"/>
          </w:tcPr>
          <w:p w14:paraId="5EA1F8A0" w14:textId="77777777" w:rsidR="003C66EB" w:rsidRDefault="003C66EB">
            <w:pPr>
              <w:jc w:val="right"/>
              <w:rPr>
                <w:rFonts w:ascii="宋体"/>
              </w:rPr>
            </w:pPr>
          </w:p>
        </w:tc>
        <w:tc>
          <w:tcPr>
            <w:tcW w:w="0" w:type="auto"/>
            <w:shd w:val="clear" w:color="auto" w:fill="auto"/>
          </w:tcPr>
          <w:p w14:paraId="5EA1F8A1" w14:textId="77777777" w:rsidR="003C66EB" w:rsidRDefault="003C66EB">
            <w:pPr>
              <w:rPr>
                <w:rFonts w:ascii="宋体"/>
                <w:vanish/>
              </w:rPr>
            </w:pPr>
          </w:p>
        </w:tc>
      </w:tr>
      <w:tr w:rsidR="003C66EB" w14:paraId="5EA1F8B6" w14:textId="77777777">
        <w:tc>
          <w:tcPr>
            <w:tcW w:w="0" w:type="auto"/>
            <w:gridSpan w:val="3"/>
            <w:shd w:val="clear" w:color="auto" w:fill="FFFFFF"/>
            <w:tcMar>
              <w:top w:w="40" w:type="dxa"/>
              <w:left w:w="20" w:type="dxa"/>
              <w:bottom w:w="40" w:type="dxa"/>
              <w:right w:w="20" w:type="dxa"/>
            </w:tcMar>
            <w:vAlign w:val="bottom"/>
          </w:tcPr>
          <w:p w14:paraId="5EA1F8A3" w14:textId="77777777" w:rsidR="003C66EB" w:rsidRDefault="00D96C4E">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5EA1F8A4"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8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A7"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8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AA" w14:textId="77777777" w:rsidR="003C66EB" w:rsidRDefault="00D96C4E">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5EA1F8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A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AD"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8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A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B0"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8B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B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B3" w14:textId="77777777" w:rsidR="003C66EB" w:rsidRDefault="00D96C4E">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5EA1F8B4" w14:textId="77777777" w:rsidR="003C66EB" w:rsidRDefault="003C66EB">
            <w:pPr>
              <w:jc w:val="right"/>
              <w:rPr>
                <w:rFonts w:ascii="宋体"/>
              </w:rPr>
            </w:pPr>
          </w:p>
        </w:tc>
        <w:tc>
          <w:tcPr>
            <w:tcW w:w="0" w:type="auto"/>
            <w:shd w:val="clear" w:color="auto" w:fill="auto"/>
          </w:tcPr>
          <w:p w14:paraId="5EA1F8B5" w14:textId="77777777" w:rsidR="003C66EB" w:rsidRDefault="003C66EB">
            <w:pPr>
              <w:rPr>
                <w:rFonts w:ascii="宋体"/>
                <w:vanish/>
              </w:rPr>
            </w:pPr>
          </w:p>
        </w:tc>
      </w:tr>
      <w:tr w:rsidR="003C66EB" w14:paraId="5EA1F8CA" w14:textId="77777777">
        <w:tc>
          <w:tcPr>
            <w:tcW w:w="0" w:type="auto"/>
            <w:gridSpan w:val="3"/>
            <w:shd w:val="clear" w:color="auto" w:fill="CCEEFF"/>
            <w:tcMar>
              <w:top w:w="40" w:type="dxa"/>
              <w:left w:w="20" w:type="dxa"/>
              <w:bottom w:w="40" w:type="dxa"/>
              <w:right w:w="20" w:type="dxa"/>
            </w:tcMar>
            <w:vAlign w:val="bottom"/>
          </w:tcPr>
          <w:p w14:paraId="5EA1F8B7" w14:textId="77777777" w:rsidR="003C66EB" w:rsidRDefault="00D96C4E">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8B8" w14:textId="77777777" w:rsidR="003C66EB" w:rsidRDefault="00D96C4E">
            <w:pPr>
              <w:jc w:val="right"/>
              <w:textAlignment w:val="bottom"/>
            </w:pPr>
            <w:r>
              <w:rPr>
                <w:rFonts w:ascii="Arial" w:eastAsia="宋体" w:hAnsi="Arial" w:cs="Arial"/>
                <w:color w:val="000000"/>
                <w:sz w:val="15"/>
                <w:szCs w:val="15"/>
              </w:rPr>
              <w:t>(89)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B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8BB" w14:textId="77777777" w:rsidR="003C66EB" w:rsidRDefault="00D96C4E">
            <w:pPr>
              <w:jc w:val="right"/>
              <w:textAlignment w:val="bottom"/>
            </w:pPr>
            <w:r>
              <w:rPr>
                <w:rFonts w:ascii="Arial" w:eastAsia="宋体" w:hAnsi="Arial" w:cs="Arial"/>
                <w:color w:val="000000"/>
                <w:sz w:val="15"/>
                <w:szCs w:val="15"/>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B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8BE" w14:textId="77777777" w:rsidR="003C66EB" w:rsidRDefault="00D96C4E">
            <w:pPr>
              <w:jc w:val="right"/>
              <w:textAlignment w:val="bottom"/>
            </w:pPr>
            <w:r>
              <w:rPr>
                <w:rFonts w:ascii="Arial" w:eastAsia="宋体" w:hAnsi="Arial" w:cs="Arial"/>
                <w:color w:val="000000"/>
                <w:sz w:val="15"/>
                <w:szCs w:val="15"/>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C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8C1" w14:textId="77777777" w:rsidR="003C66EB" w:rsidRDefault="00D96C4E">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C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8C4" w14:textId="77777777" w:rsidR="003C66EB" w:rsidRDefault="00D96C4E">
            <w:pPr>
              <w:jc w:val="right"/>
              <w:textAlignment w:val="bottom"/>
            </w:pPr>
            <w:r>
              <w:rPr>
                <w:rFonts w:ascii="Arial" w:eastAsia="宋体" w:hAnsi="Arial" w:cs="Arial"/>
                <w:color w:val="000000"/>
                <w:sz w:val="15"/>
                <w:szCs w:val="15"/>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C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8C7" w14:textId="77777777" w:rsidR="003C66EB" w:rsidRDefault="00D96C4E">
            <w:pPr>
              <w:jc w:val="right"/>
              <w:textAlignment w:val="bottom"/>
            </w:pPr>
            <w:r>
              <w:rPr>
                <w:rFonts w:ascii="Arial" w:eastAsia="宋体" w:hAnsi="Arial" w:cs="Arial"/>
                <w:color w:val="000000"/>
                <w:sz w:val="15"/>
                <w:szCs w:val="15"/>
              </w:rPr>
              <w:t>(24)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8C8" w14:textId="77777777" w:rsidR="003C66EB" w:rsidRDefault="003C66EB">
            <w:pPr>
              <w:jc w:val="right"/>
              <w:rPr>
                <w:rFonts w:ascii="宋体"/>
              </w:rPr>
            </w:pPr>
          </w:p>
        </w:tc>
        <w:tc>
          <w:tcPr>
            <w:tcW w:w="0" w:type="auto"/>
            <w:shd w:val="clear" w:color="auto" w:fill="auto"/>
          </w:tcPr>
          <w:p w14:paraId="5EA1F8C9" w14:textId="77777777" w:rsidR="003C66EB" w:rsidRDefault="003C66EB">
            <w:pPr>
              <w:rPr>
                <w:rFonts w:ascii="宋体"/>
                <w:vanish/>
              </w:rPr>
            </w:pPr>
          </w:p>
        </w:tc>
      </w:tr>
      <w:tr w:rsidR="003C66EB" w14:paraId="5EA1F8DE" w14:textId="77777777">
        <w:tc>
          <w:tcPr>
            <w:tcW w:w="0" w:type="auto"/>
            <w:gridSpan w:val="3"/>
            <w:shd w:val="clear" w:color="auto" w:fill="FFFFFF"/>
            <w:tcMar>
              <w:top w:w="40" w:type="dxa"/>
              <w:left w:w="20" w:type="dxa"/>
              <w:bottom w:w="40" w:type="dxa"/>
              <w:right w:w="20" w:type="dxa"/>
            </w:tcMar>
            <w:vAlign w:val="bottom"/>
          </w:tcPr>
          <w:p w14:paraId="5EA1F8CB" w14:textId="77777777" w:rsidR="003C66EB" w:rsidRDefault="00D96C4E">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5EA1F8CC" w14:textId="77777777" w:rsidR="003C66EB" w:rsidRDefault="00D96C4E">
            <w:pPr>
              <w:jc w:val="right"/>
              <w:textAlignment w:val="bottom"/>
            </w:pPr>
            <w:r>
              <w:rPr>
                <w:rFonts w:ascii="Arial" w:eastAsia="宋体" w:hAnsi="Arial" w:cs="Arial"/>
                <w:color w:val="000000"/>
                <w:sz w:val="15"/>
                <w:szCs w:val="15"/>
              </w:rPr>
              <w:t>241 </w:t>
            </w:r>
          </w:p>
        </w:tc>
        <w:tc>
          <w:tcPr>
            <w:tcW w:w="0" w:type="auto"/>
            <w:shd w:val="clear" w:color="auto" w:fill="FFFFFF"/>
            <w:tcMar>
              <w:top w:w="40" w:type="dxa"/>
              <w:left w:w="0" w:type="dxa"/>
              <w:bottom w:w="40" w:type="dxa"/>
              <w:right w:w="20" w:type="dxa"/>
            </w:tcMar>
            <w:vAlign w:val="bottom"/>
          </w:tcPr>
          <w:p w14:paraId="5EA1F8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C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CF" w14:textId="77777777" w:rsidR="003C66EB" w:rsidRDefault="00D96C4E">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A1F8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D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D2" w14:textId="77777777" w:rsidR="003C66EB" w:rsidRDefault="00D96C4E">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A1F8D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D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D5" w14:textId="77777777" w:rsidR="003C66EB" w:rsidRDefault="00D96C4E">
            <w:pPr>
              <w:jc w:val="right"/>
              <w:textAlignment w:val="bottom"/>
            </w:pPr>
            <w:r>
              <w:rPr>
                <w:rFonts w:ascii="Arial" w:eastAsia="宋体" w:hAnsi="Arial" w:cs="Arial"/>
                <w:color w:val="000000"/>
                <w:sz w:val="15"/>
                <w:szCs w:val="15"/>
              </w:rPr>
              <w:t>18 </w:t>
            </w:r>
          </w:p>
        </w:tc>
        <w:tc>
          <w:tcPr>
            <w:tcW w:w="0" w:type="auto"/>
            <w:shd w:val="clear" w:color="auto" w:fill="FFFFFF"/>
            <w:tcMar>
              <w:top w:w="40" w:type="dxa"/>
              <w:left w:w="0" w:type="dxa"/>
              <w:bottom w:w="40" w:type="dxa"/>
              <w:right w:w="20" w:type="dxa"/>
            </w:tcMar>
            <w:vAlign w:val="bottom"/>
          </w:tcPr>
          <w:p w14:paraId="5EA1F8D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D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D8" w14:textId="77777777" w:rsidR="003C66EB" w:rsidRDefault="00D96C4E">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5EA1F8D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D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8DB" w14:textId="77777777" w:rsidR="003C66EB" w:rsidRDefault="00D96C4E">
            <w:pPr>
              <w:jc w:val="right"/>
              <w:textAlignment w:val="bottom"/>
            </w:pPr>
            <w:r>
              <w:rPr>
                <w:rFonts w:ascii="Arial" w:eastAsia="宋体" w:hAnsi="Arial" w:cs="Arial"/>
                <w:color w:val="000000"/>
                <w:sz w:val="15"/>
                <w:szCs w:val="15"/>
              </w:rPr>
              <w:t>330 </w:t>
            </w:r>
          </w:p>
        </w:tc>
        <w:tc>
          <w:tcPr>
            <w:tcW w:w="0" w:type="auto"/>
            <w:shd w:val="clear" w:color="auto" w:fill="FFFFFF"/>
            <w:tcMar>
              <w:top w:w="40" w:type="dxa"/>
              <w:left w:w="0" w:type="dxa"/>
              <w:bottom w:w="40" w:type="dxa"/>
              <w:right w:w="20" w:type="dxa"/>
            </w:tcMar>
            <w:vAlign w:val="bottom"/>
          </w:tcPr>
          <w:p w14:paraId="5EA1F8DC" w14:textId="77777777" w:rsidR="003C66EB" w:rsidRDefault="003C66EB">
            <w:pPr>
              <w:jc w:val="right"/>
              <w:rPr>
                <w:rFonts w:ascii="宋体"/>
              </w:rPr>
            </w:pPr>
          </w:p>
        </w:tc>
        <w:tc>
          <w:tcPr>
            <w:tcW w:w="0" w:type="auto"/>
            <w:shd w:val="clear" w:color="auto" w:fill="auto"/>
          </w:tcPr>
          <w:p w14:paraId="5EA1F8DD" w14:textId="77777777" w:rsidR="003C66EB" w:rsidRDefault="003C66EB">
            <w:pPr>
              <w:rPr>
                <w:rFonts w:ascii="宋体"/>
                <w:vanish/>
              </w:rPr>
            </w:pPr>
          </w:p>
        </w:tc>
      </w:tr>
      <w:tr w:rsidR="003C66EB" w14:paraId="5EA1F8F2" w14:textId="77777777">
        <w:tc>
          <w:tcPr>
            <w:tcW w:w="0" w:type="auto"/>
            <w:gridSpan w:val="3"/>
            <w:shd w:val="clear" w:color="auto" w:fill="CCEEFF"/>
            <w:tcMar>
              <w:top w:w="40" w:type="dxa"/>
              <w:left w:w="20" w:type="dxa"/>
              <w:bottom w:w="40" w:type="dxa"/>
              <w:right w:w="20" w:type="dxa"/>
            </w:tcMar>
            <w:vAlign w:val="bottom"/>
          </w:tcPr>
          <w:p w14:paraId="5EA1F8DF" w14:textId="77777777" w:rsidR="003C66EB" w:rsidRDefault="00D96C4E">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5EA1F8E0" w14:textId="77777777" w:rsidR="003C66EB" w:rsidRDefault="00D96C4E">
            <w:pPr>
              <w:jc w:val="right"/>
              <w:textAlignment w:val="bottom"/>
            </w:pPr>
            <w:r>
              <w:rPr>
                <w:rFonts w:ascii="Arial" w:eastAsia="宋体" w:hAnsi="Arial" w:cs="Arial"/>
                <w:color w:val="000000"/>
                <w:sz w:val="15"/>
                <w:szCs w:val="15"/>
              </w:rPr>
              <w:t>29 </w:t>
            </w:r>
          </w:p>
        </w:tc>
        <w:tc>
          <w:tcPr>
            <w:tcW w:w="0" w:type="auto"/>
            <w:shd w:val="clear" w:color="auto" w:fill="CCEEFF"/>
            <w:tcMar>
              <w:top w:w="40" w:type="dxa"/>
              <w:left w:w="0" w:type="dxa"/>
              <w:bottom w:w="40" w:type="dxa"/>
              <w:right w:w="20" w:type="dxa"/>
            </w:tcMar>
            <w:vAlign w:val="bottom"/>
          </w:tcPr>
          <w:p w14:paraId="5EA1F8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E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E3" w14:textId="77777777" w:rsidR="003C66EB" w:rsidRDefault="00D96C4E">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5EA1F8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E6" w14:textId="77777777" w:rsidR="003C66EB" w:rsidRDefault="00D96C4E">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A1F8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E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E9" w14:textId="77777777" w:rsidR="003C66EB" w:rsidRDefault="00D96C4E">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A1F8E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E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EC"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A1F8E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8E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8EF" w14:textId="77777777" w:rsidR="003C66EB" w:rsidRDefault="00D96C4E">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5EA1F8F0" w14:textId="77777777" w:rsidR="003C66EB" w:rsidRDefault="003C66EB">
            <w:pPr>
              <w:jc w:val="right"/>
              <w:rPr>
                <w:rFonts w:ascii="宋体"/>
              </w:rPr>
            </w:pPr>
          </w:p>
        </w:tc>
        <w:tc>
          <w:tcPr>
            <w:tcW w:w="0" w:type="auto"/>
            <w:shd w:val="clear" w:color="auto" w:fill="auto"/>
          </w:tcPr>
          <w:p w14:paraId="5EA1F8F1" w14:textId="77777777" w:rsidR="003C66EB" w:rsidRDefault="003C66EB">
            <w:pPr>
              <w:rPr>
                <w:rFonts w:ascii="宋体"/>
                <w:vanish/>
              </w:rPr>
            </w:pPr>
          </w:p>
        </w:tc>
      </w:tr>
      <w:tr w:rsidR="003C66EB" w14:paraId="5EA1F906" w14:textId="77777777">
        <w:tc>
          <w:tcPr>
            <w:tcW w:w="0" w:type="auto"/>
            <w:gridSpan w:val="3"/>
            <w:shd w:val="clear" w:color="auto" w:fill="FFFFFF"/>
            <w:tcMar>
              <w:top w:w="40" w:type="dxa"/>
              <w:left w:w="20" w:type="dxa"/>
              <w:bottom w:w="40" w:type="dxa"/>
              <w:right w:w="20" w:type="dxa"/>
            </w:tcMar>
            <w:vAlign w:val="bottom"/>
          </w:tcPr>
          <w:p w14:paraId="5EA1F8F3" w14:textId="77777777" w:rsidR="003C66EB" w:rsidRDefault="00D96C4E">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8F4" w14:textId="77777777" w:rsidR="003C66EB" w:rsidRDefault="00D96C4E">
            <w:pPr>
              <w:jc w:val="right"/>
              <w:textAlignment w:val="bottom"/>
            </w:pPr>
            <w:r>
              <w:rPr>
                <w:rFonts w:ascii="Arial" w:eastAsia="宋体" w:hAnsi="Arial" w:cs="Arial"/>
                <w:color w:val="000000"/>
                <w:sz w:val="15"/>
                <w:szCs w:val="15"/>
              </w:rPr>
              <w:t>270 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8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F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8F7" w14:textId="77777777" w:rsidR="003C66EB" w:rsidRDefault="00D96C4E">
            <w:pPr>
              <w:jc w:val="right"/>
              <w:textAlignment w:val="bottom"/>
            </w:pPr>
            <w:r>
              <w:rPr>
                <w:rFonts w:ascii="Arial" w:eastAsia="宋体" w:hAnsi="Arial" w:cs="Arial"/>
                <w:color w:val="000000"/>
                <w:sz w:val="15"/>
                <w:szCs w:val="15"/>
              </w:rPr>
              <w:t>50 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8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F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8FA" w14:textId="77777777" w:rsidR="003C66EB" w:rsidRDefault="00D96C4E">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8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F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8FD" w14:textId="77777777" w:rsidR="003C66EB" w:rsidRDefault="00D96C4E">
            <w:pPr>
              <w:jc w:val="right"/>
              <w:textAlignment w:val="bottom"/>
            </w:pPr>
            <w:r>
              <w:rPr>
                <w:rFonts w:ascii="Arial" w:eastAsia="宋体" w:hAnsi="Arial" w:cs="Arial"/>
                <w:color w:val="000000"/>
                <w:sz w:val="15"/>
                <w:szCs w:val="15"/>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8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8F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00" w14:textId="77777777" w:rsidR="003C66EB" w:rsidRDefault="00D96C4E">
            <w:pPr>
              <w:jc w:val="right"/>
              <w:textAlignment w:val="bottom"/>
            </w:pPr>
            <w:r>
              <w:rPr>
                <w:rFonts w:ascii="Arial" w:eastAsia="宋体" w:hAnsi="Arial" w:cs="Arial"/>
                <w:color w:val="000000"/>
                <w:sz w:val="15"/>
                <w:szCs w:val="15"/>
              </w:rPr>
              <w:t>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0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0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03" w14:textId="77777777" w:rsidR="003C66EB" w:rsidRDefault="00D96C4E">
            <w:pPr>
              <w:jc w:val="right"/>
              <w:textAlignment w:val="bottom"/>
            </w:pPr>
            <w:r>
              <w:rPr>
                <w:rFonts w:ascii="Arial" w:eastAsia="宋体" w:hAnsi="Arial" w:cs="Arial"/>
                <w:color w:val="000000"/>
                <w:sz w:val="15"/>
                <w:szCs w:val="15"/>
              </w:rPr>
              <w:t>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04" w14:textId="77777777" w:rsidR="003C66EB" w:rsidRDefault="003C66EB">
            <w:pPr>
              <w:jc w:val="right"/>
              <w:rPr>
                <w:rFonts w:ascii="宋体"/>
              </w:rPr>
            </w:pPr>
          </w:p>
        </w:tc>
        <w:tc>
          <w:tcPr>
            <w:tcW w:w="0" w:type="auto"/>
            <w:shd w:val="clear" w:color="auto" w:fill="auto"/>
          </w:tcPr>
          <w:p w14:paraId="5EA1F905" w14:textId="77777777" w:rsidR="003C66EB" w:rsidRDefault="003C66EB">
            <w:pPr>
              <w:rPr>
                <w:rFonts w:ascii="宋体"/>
                <w:vanish/>
              </w:rPr>
            </w:pPr>
          </w:p>
        </w:tc>
      </w:tr>
      <w:tr w:rsidR="003C66EB" w14:paraId="5EA1F920" w14:textId="77777777">
        <w:tc>
          <w:tcPr>
            <w:tcW w:w="0" w:type="auto"/>
            <w:gridSpan w:val="3"/>
            <w:shd w:val="clear" w:color="auto" w:fill="CCEEFF"/>
            <w:tcMar>
              <w:top w:w="40" w:type="dxa"/>
              <w:left w:w="20" w:type="dxa"/>
              <w:bottom w:w="40" w:type="dxa"/>
              <w:right w:w="20" w:type="dxa"/>
            </w:tcMar>
            <w:vAlign w:val="bottom"/>
          </w:tcPr>
          <w:p w14:paraId="5EA1F907" w14:textId="77777777" w:rsidR="003C66EB" w:rsidRDefault="00D96C4E">
            <w:pPr>
              <w:textAlignment w:val="bottom"/>
            </w:pPr>
            <w:r>
              <w:rPr>
                <w:rFonts w:ascii="Arial" w:eastAsia="宋体" w:hAnsi="Arial" w:cs="Arial"/>
                <w:b/>
                <w:bCs/>
                <w:color w:val="000000"/>
                <w:sz w:val="15"/>
                <w:szCs w:val="15"/>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A1F908"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909" w14:textId="77777777" w:rsidR="003C66EB" w:rsidRDefault="00D96C4E">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0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90C"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90D" w14:textId="77777777" w:rsidR="003C66EB" w:rsidRDefault="00D96C4E">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0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910"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911" w14:textId="77777777" w:rsidR="003C66EB" w:rsidRDefault="00D96C4E">
            <w:pPr>
              <w:jc w:val="right"/>
              <w:textAlignment w:val="bottom"/>
            </w:pPr>
            <w:r>
              <w:rPr>
                <w:rFonts w:ascii="Arial" w:eastAsia="宋体" w:hAnsi="Arial" w:cs="Arial"/>
                <w:color w:val="000000"/>
                <w:sz w:val="15"/>
                <w:szCs w:val="15"/>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1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914"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915" w14:textId="77777777" w:rsidR="003C66EB" w:rsidRDefault="00D96C4E">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1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1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918"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919" w14:textId="77777777" w:rsidR="003C66EB" w:rsidRDefault="00D96C4E">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1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1F91C"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1F91D" w14:textId="77777777" w:rsidR="003C66EB" w:rsidRDefault="00D96C4E">
            <w:pPr>
              <w:jc w:val="right"/>
              <w:textAlignment w:val="bottom"/>
            </w:pPr>
            <w:r>
              <w:rPr>
                <w:rFonts w:ascii="Arial" w:eastAsia="宋体" w:hAnsi="Arial" w:cs="Arial"/>
                <w:color w:val="000000"/>
                <w:sz w:val="15"/>
                <w:szCs w:val="15"/>
              </w:rPr>
              <w:t>3,467 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1E" w14:textId="77777777" w:rsidR="003C66EB" w:rsidRDefault="003C66EB">
            <w:pPr>
              <w:jc w:val="right"/>
              <w:rPr>
                <w:rFonts w:ascii="宋体"/>
              </w:rPr>
            </w:pPr>
          </w:p>
        </w:tc>
        <w:tc>
          <w:tcPr>
            <w:tcW w:w="0" w:type="auto"/>
            <w:shd w:val="clear" w:color="auto" w:fill="auto"/>
          </w:tcPr>
          <w:p w14:paraId="5EA1F91F" w14:textId="77777777" w:rsidR="003C66EB" w:rsidRDefault="003C66EB">
            <w:pPr>
              <w:rPr>
                <w:rFonts w:ascii="宋体"/>
                <w:vanish/>
              </w:rPr>
            </w:pPr>
          </w:p>
        </w:tc>
      </w:tr>
      <w:tr w:rsidR="003C66EB" w14:paraId="5EA1F93A" w14:textId="77777777">
        <w:tc>
          <w:tcPr>
            <w:tcW w:w="0" w:type="auto"/>
            <w:gridSpan w:val="3"/>
            <w:shd w:val="clear" w:color="auto" w:fill="FFFFFF"/>
            <w:tcMar>
              <w:top w:w="40" w:type="dxa"/>
              <w:left w:w="20" w:type="dxa"/>
              <w:bottom w:w="40" w:type="dxa"/>
              <w:right w:w="20" w:type="dxa"/>
            </w:tcMar>
            <w:vAlign w:val="bottom"/>
          </w:tcPr>
          <w:p w14:paraId="5EA1F921" w14:textId="77777777" w:rsidR="003C66EB" w:rsidRDefault="00D96C4E">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shd w:val="clear" w:color="auto" w:fill="FFFFFF"/>
            <w:tcMar>
              <w:top w:w="40" w:type="dxa"/>
              <w:left w:w="20" w:type="dxa"/>
              <w:bottom w:w="40" w:type="dxa"/>
              <w:right w:w="0" w:type="dxa"/>
            </w:tcMar>
            <w:vAlign w:val="bottom"/>
          </w:tcPr>
          <w:p w14:paraId="5EA1F92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EA1F923" w14:textId="77777777" w:rsidR="003C66EB" w:rsidRDefault="00D96C4E">
            <w:pPr>
              <w:jc w:val="right"/>
              <w:textAlignment w:val="bottom"/>
            </w:pPr>
            <w:r>
              <w:rPr>
                <w:rFonts w:ascii="Arial" w:eastAsia="宋体" w:hAnsi="Arial" w:cs="Arial"/>
                <w:b/>
                <w:bCs/>
                <w:color w:val="000000"/>
                <w:sz w:val="15"/>
                <w:szCs w:val="15"/>
              </w:rPr>
              <w:t>(35)</w:t>
            </w:r>
          </w:p>
        </w:tc>
        <w:tc>
          <w:tcPr>
            <w:tcW w:w="0" w:type="auto"/>
            <w:shd w:val="clear" w:color="auto" w:fill="FFFFFF"/>
            <w:tcMar>
              <w:top w:w="40" w:type="dxa"/>
              <w:left w:w="0" w:type="dxa"/>
              <w:bottom w:w="40" w:type="dxa"/>
              <w:right w:w="20" w:type="dxa"/>
            </w:tcMar>
            <w:vAlign w:val="bottom"/>
          </w:tcPr>
          <w:p w14:paraId="5EA1F9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25"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F926"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EA1F927" w14:textId="77777777" w:rsidR="003C66EB" w:rsidRDefault="00D96C4E">
            <w:pPr>
              <w:jc w:val="right"/>
              <w:textAlignment w:val="bottom"/>
            </w:pPr>
            <w:r>
              <w:rPr>
                <w:rFonts w:ascii="Arial" w:eastAsia="宋体" w:hAnsi="Arial" w:cs="Arial"/>
                <w:b/>
                <w:bCs/>
                <w:color w:val="000000"/>
                <w:sz w:val="15"/>
                <w:szCs w:val="15"/>
              </w:rPr>
              <w:t>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2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29"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F92A"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EA1F92B"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A1F92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2D"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F92E"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EA1F92F"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31"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F93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EA1F933"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35"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F936"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5EA1F937" w14:textId="77777777" w:rsidR="003C66EB" w:rsidRDefault="00D96C4E">
            <w:pPr>
              <w:jc w:val="right"/>
              <w:textAlignment w:val="bottom"/>
            </w:pPr>
            <w:r>
              <w:rPr>
                <w:rFonts w:ascii="Arial" w:eastAsia="宋体" w:hAnsi="Arial" w:cs="Arial"/>
                <w:b/>
                <w:bCs/>
                <w:color w:val="000000"/>
                <w:sz w:val="15"/>
                <w:szCs w:val="15"/>
              </w:rPr>
              <w:t>(8)</w:t>
            </w:r>
          </w:p>
        </w:tc>
        <w:tc>
          <w:tcPr>
            <w:tcW w:w="0" w:type="auto"/>
            <w:shd w:val="clear" w:color="auto" w:fill="FFFFFF"/>
            <w:tcMar>
              <w:top w:w="40" w:type="dxa"/>
              <w:left w:w="0" w:type="dxa"/>
              <w:bottom w:w="40" w:type="dxa"/>
              <w:right w:w="20" w:type="dxa"/>
            </w:tcMar>
            <w:vAlign w:val="bottom"/>
          </w:tcPr>
          <w:p w14:paraId="5EA1F938" w14:textId="77777777" w:rsidR="003C66EB" w:rsidRDefault="003C66EB">
            <w:pPr>
              <w:jc w:val="right"/>
              <w:rPr>
                <w:rFonts w:ascii="宋体"/>
              </w:rPr>
            </w:pPr>
          </w:p>
        </w:tc>
        <w:tc>
          <w:tcPr>
            <w:tcW w:w="0" w:type="auto"/>
            <w:shd w:val="clear" w:color="auto" w:fill="auto"/>
          </w:tcPr>
          <w:p w14:paraId="5EA1F939" w14:textId="77777777" w:rsidR="003C66EB" w:rsidRDefault="003C66EB">
            <w:pPr>
              <w:rPr>
                <w:rFonts w:ascii="宋体"/>
                <w:vanish/>
              </w:rPr>
            </w:pPr>
          </w:p>
        </w:tc>
      </w:tr>
      <w:tr w:rsidR="003C66EB" w14:paraId="5EA1F94E" w14:textId="77777777">
        <w:tc>
          <w:tcPr>
            <w:tcW w:w="0" w:type="auto"/>
            <w:gridSpan w:val="3"/>
            <w:shd w:val="clear" w:color="auto" w:fill="CCEEFF"/>
            <w:tcMar>
              <w:top w:w="40" w:type="dxa"/>
              <w:left w:w="20" w:type="dxa"/>
              <w:bottom w:w="40" w:type="dxa"/>
              <w:right w:w="20" w:type="dxa"/>
            </w:tcMar>
            <w:vAlign w:val="bottom"/>
          </w:tcPr>
          <w:p w14:paraId="5EA1F93B" w14:textId="77777777" w:rsidR="003C66EB" w:rsidRDefault="00D96C4E">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5EA1F93C" w14:textId="77777777" w:rsidR="003C66EB" w:rsidRDefault="00D96C4E">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9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3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3F" w14:textId="77777777" w:rsidR="003C66EB" w:rsidRDefault="00D96C4E">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94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4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4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9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4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45"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94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4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48" w14:textId="77777777" w:rsidR="003C66EB" w:rsidRDefault="00D96C4E">
            <w:pPr>
              <w:jc w:val="right"/>
              <w:textAlignment w:val="bottom"/>
            </w:pPr>
            <w:r>
              <w:rPr>
                <w:rFonts w:ascii="Arial" w:eastAsia="宋体" w:hAnsi="Arial" w:cs="Arial"/>
                <w:b/>
                <w:bCs/>
                <w:color w:val="000000"/>
                <w:sz w:val="15"/>
                <w:szCs w:val="15"/>
              </w:rPr>
              <w:t>(7)</w:t>
            </w:r>
          </w:p>
        </w:tc>
        <w:tc>
          <w:tcPr>
            <w:tcW w:w="0" w:type="auto"/>
            <w:shd w:val="clear" w:color="auto" w:fill="CCEEFF"/>
            <w:tcMar>
              <w:top w:w="40" w:type="dxa"/>
              <w:left w:w="0" w:type="dxa"/>
              <w:bottom w:w="40" w:type="dxa"/>
              <w:right w:w="20" w:type="dxa"/>
            </w:tcMar>
            <w:vAlign w:val="bottom"/>
          </w:tcPr>
          <w:p w14:paraId="5EA1F94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4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4B" w14:textId="77777777" w:rsidR="003C66EB" w:rsidRDefault="00D96C4E">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94C" w14:textId="77777777" w:rsidR="003C66EB" w:rsidRDefault="003C66EB">
            <w:pPr>
              <w:jc w:val="right"/>
              <w:rPr>
                <w:rFonts w:ascii="宋体"/>
              </w:rPr>
            </w:pPr>
          </w:p>
        </w:tc>
        <w:tc>
          <w:tcPr>
            <w:tcW w:w="0" w:type="auto"/>
            <w:shd w:val="clear" w:color="auto" w:fill="auto"/>
          </w:tcPr>
          <w:p w14:paraId="5EA1F94D" w14:textId="77777777" w:rsidR="003C66EB" w:rsidRDefault="003C66EB">
            <w:pPr>
              <w:rPr>
                <w:rFonts w:ascii="宋体"/>
                <w:vanish/>
              </w:rPr>
            </w:pPr>
          </w:p>
        </w:tc>
      </w:tr>
      <w:tr w:rsidR="003C66EB" w14:paraId="5EA1F962" w14:textId="77777777">
        <w:tc>
          <w:tcPr>
            <w:tcW w:w="0" w:type="auto"/>
            <w:gridSpan w:val="3"/>
            <w:shd w:val="clear" w:color="auto" w:fill="FFFFFF"/>
            <w:tcMar>
              <w:top w:w="40" w:type="dxa"/>
              <w:left w:w="20" w:type="dxa"/>
              <w:bottom w:w="40" w:type="dxa"/>
              <w:right w:w="20" w:type="dxa"/>
            </w:tcMar>
            <w:vAlign w:val="bottom"/>
          </w:tcPr>
          <w:p w14:paraId="5EA1F94F" w14:textId="77777777" w:rsidR="003C66EB" w:rsidRDefault="00D96C4E">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5EA1F950"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5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5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53"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5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5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56" w14:textId="77777777" w:rsidR="003C66EB" w:rsidRDefault="00D96C4E">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5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59"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5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5F" w14:textId="77777777" w:rsidR="003C66EB" w:rsidRDefault="00D96C4E">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60" w14:textId="77777777" w:rsidR="003C66EB" w:rsidRDefault="003C66EB">
            <w:pPr>
              <w:jc w:val="right"/>
              <w:rPr>
                <w:rFonts w:ascii="宋体"/>
              </w:rPr>
            </w:pPr>
          </w:p>
        </w:tc>
        <w:tc>
          <w:tcPr>
            <w:tcW w:w="0" w:type="auto"/>
            <w:shd w:val="clear" w:color="auto" w:fill="auto"/>
          </w:tcPr>
          <w:p w14:paraId="5EA1F961" w14:textId="77777777" w:rsidR="003C66EB" w:rsidRDefault="003C66EB">
            <w:pPr>
              <w:rPr>
                <w:rFonts w:ascii="宋体"/>
                <w:vanish/>
              </w:rPr>
            </w:pPr>
          </w:p>
        </w:tc>
      </w:tr>
      <w:tr w:rsidR="003C66EB" w14:paraId="5EA1F976" w14:textId="77777777">
        <w:tc>
          <w:tcPr>
            <w:tcW w:w="0" w:type="auto"/>
            <w:gridSpan w:val="3"/>
            <w:shd w:val="clear" w:color="auto" w:fill="CCEEFF"/>
            <w:tcMar>
              <w:top w:w="40" w:type="dxa"/>
              <w:left w:w="20" w:type="dxa"/>
              <w:bottom w:w="40" w:type="dxa"/>
              <w:right w:w="20" w:type="dxa"/>
            </w:tcMar>
            <w:vAlign w:val="bottom"/>
          </w:tcPr>
          <w:p w14:paraId="5EA1F963" w14:textId="77777777" w:rsidR="003C66EB" w:rsidRDefault="00D96C4E">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964" w14:textId="77777777" w:rsidR="003C66EB" w:rsidRDefault="00D96C4E">
            <w:pPr>
              <w:jc w:val="right"/>
              <w:textAlignment w:val="bottom"/>
            </w:pPr>
            <w:r>
              <w:rPr>
                <w:rFonts w:ascii="Arial" w:eastAsia="宋体" w:hAnsi="Arial" w:cs="Arial"/>
                <w:b/>
                <w:bCs/>
                <w:color w:val="000000"/>
                <w:sz w:val="15"/>
                <w:szCs w:val="15"/>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6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967" w14:textId="77777777" w:rsidR="003C66EB" w:rsidRDefault="00D96C4E">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6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96A" w14:textId="77777777" w:rsidR="003C66EB" w:rsidRDefault="00D96C4E">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6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96D"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6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6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970" w14:textId="77777777" w:rsidR="003C66EB" w:rsidRDefault="00D96C4E">
            <w:pPr>
              <w:jc w:val="right"/>
              <w:textAlignment w:val="bottom"/>
            </w:pPr>
            <w:r>
              <w:rPr>
                <w:rFonts w:ascii="Arial" w:eastAsia="宋体" w:hAnsi="Arial" w:cs="Arial"/>
                <w:b/>
                <w:bCs/>
                <w:color w:val="000000"/>
                <w:sz w:val="15"/>
                <w:szCs w:val="15"/>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7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973" w14:textId="77777777" w:rsidR="003C66EB" w:rsidRDefault="00D96C4E">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974" w14:textId="77777777" w:rsidR="003C66EB" w:rsidRDefault="003C66EB">
            <w:pPr>
              <w:jc w:val="right"/>
              <w:rPr>
                <w:rFonts w:ascii="宋体"/>
              </w:rPr>
            </w:pPr>
          </w:p>
        </w:tc>
        <w:tc>
          <w:tcPr>
            <w:tcW w:w="0" w:type="auto"/>
            <w:shd w:val="clear" w:color="auto" w:fill="auto"/>
          </w:tcPr>
          <w:p w14:paraId="5EA1F975" w14:textId="77777777" w:rsidR="003C66EB" w:rsidRDefault="003C66EB">
            <w:pPr>
              <w:rPr>
                <w:rFonts w:ascii="宋体"/>
                <w:vanish/>
              </w:rPr>
            </w:pPr>
          </w:p>
        </w:tc>
      </w:tr>
      <w:tr w:rsidR="003C66EB" w14:paraId="5EA1F98A" w14:textId="77777777">
        <w:tc>
          <w:tcPr>
            <w:tcW w:w="0" w:type="auto"/>
            <w:gridSpan w:val="3"/>
            <w:shd w:val="clear" w:color="auto" w:fill="FFFFFF"/>
            <w:tcMar>
              <w:top w:w="40" w:type="dxa"/>
              <w:left w:w="20" w:type="dxa"/>
              <w:bottom w:w="40" w:type="dxa"/>
              <w:right w:w="20" w:type="dxa"/>
            </w:tcMar>
            <w:vAlign w:val="bottom"/>
          </w:tcPr>
          <w:p w14:paraId="5EA1F977" w14:textId="77777777" w:rsidR="003C66EB" w:rsidRDefault="00D96C4E">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5EA1F978" w14:textId="77777777" w:rsidR="003C66EB" w:rsidRDefault="00D96C4E">
            <w:pPr>
              <w:jc w:val="right"/>
              <w:textAlignment w:val="bottom"/>
            </w:pPr>
            <w:r>
              <w:rPr>
                <w:rFonts w:ascii="Arial" w:eastAsia="宋体" w:hAnsi="Arial" w:cs="Arial"/>
                <w:b/>
                <w:bCs/>
                <w:color w:val="000000"/>
                <w:sz w:val="15"/>
                <w:szCs w:val="15"/>
              </w:rPr>
              <w:t>148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7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7B" w14:textId="77777777" w:rsidR="003C66EB" w:rsidRDefault="00D96C4E">
            <w:pPr>
              <w:jc w:val="right"/>
              <w:textAlignment w:val="bottom"/>
            </w:pPr>
            <w:r>
              <w:rPr>
                <w:rFonts w:ascii="Arial" w:eastAsia="宋体" w:hAnsi="Arial" w:cs="Arial"/>
                <w:b/>
                <w:bCs/>
                <w:color w:val="000000"/>
                <w:sz w:val="15"/>
                <w:szCs w:val="15"/>
              </w:rPr>
              <w:t>(24)</w:t>
            </w:r>
          </w:p>
        </w:tc>
        <w:tc>
          <w:tcPr>
            <w:tcW w:w="0" w:type="auto"/>
            <w:shd w:val="clear" w:color="auto" w:fill="FFFFFF"/>
            <w:tcMar>
              <w:top w:w="40" w:type="dxa"/>
              <w:left w:w="0" w:type="dxa"/>
              <w:bottom w:w="40" w:type="dxa"/>
              <w:right w:w="20" w:type="dxa"/>
            </w:tcMar>
            <w:vAlign w:val="bottom"/>
          </w:tcPr>
          <w:p w14:paraId="5EA1F97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7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7E"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8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81" w14:textId="77777777" w:rsidR="003C66EB" w:rsidRDefault="00D96C4E">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8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84" w14:textId="77777777" w:rsidR="003C66EB" w:rsidRDefault="00D96C4E">
            <w:pPr>
              <w:jc w:val="right"/>
              <w:textAlignment w:val="bottom"/>
            </w:pPr>
            <w:r>
              <w:rPr>
                <w:rFonts w:ascii="Arial" w:eastAsia="宋体" w:hAnsi="Arial" w:cs="Arial"/>
                <w:b/>
                <w:bCs/>
                <w:color w:val="000000"/>
                <w:sz w:val="15"/>
                <w:szCs w:val="15"/>
              </w:rPr>
              <w:t>(11)</w:t>
            </w:r>
          </w:p>
        </w:tc>
        <w:tc>
          <w:tcPr>
            <w:tcW w:w="0" w:type="auto"/>
            <w:shd w:val="clear" w:color="auto" w:fill="FFFFFF"/>
            <w:tcMar>
              <w:top w:w="40" w:type="dxa"/>
              <w:left w:w="0" w:type="dxa"/>
              <w:bottom w:w="40" w:type="dxa"/>
              <w:right w:w="20" w:type="dxa"/>
            </w:tcMar>
            <w:vAlign w:val="bottom"/>
          </w:tcPr>
          <w:p w14:paraId="5EA1F9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8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987" w14:textId="77777777" w:rsidR="003C66EB" w:rsidRDefault="00D96C4E">
            <w:pPr>
              <w:jc w:val="right"/>
              <w:textAlignment w:val="bottom"/>
            </w:pPr>
            <w:r>
              <w:rPr>
                <w:rFonts w:ascii="Arial" w:eastAsia="宋体" w:hAnsi="Arial" w:cs="Arial"/>
                <w:b/>
                <w:bCs/>
                <w:color w:val="000000"/>
                <w:sz w:val="15"/>
                <w:szCs w:val="15"/>
              </w:rPr>
              <w:t>116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988" w14:textId="77777777" w:rsidR="003C66EB" w:rsidRDefault="003C66EB">
            <w:pPr>
              <w:jc w:val="right"/>
              <w:rPr>
                <w:rFonts w:ascii="宋体"/>
              </w:rPr>
            </w:pPr>
          </w:p>
        </w:tc>
        <w:tc>
          <w:tcPr>
            <w:tcW w:w="0" w:type="auto"/>
            <w:shd w:val="clear" w:color="auto" w:fill="auto"/>
          </w:tcPr>
          <w:p w14:paraId="5EA1F989" w14:textId="77777777" w:rsidR="003C66EB" w:rsidRDefault="003C66EB">
            <w:pPr>
              <w:rPr>
                <w:rFonts w:ascii="宋体"/>
                <w:vanish/>
              </w:rPr>
            </w:pPr>
          </w:p>
        </w:tc>
      </w:tr>
      <w:tr w:rsidR="003C66EB" w14:paraId="5EA1F99E" w14:textId="77777777">
        <w:tc>
          <w:tcPr>
            <w:tcW w:w="0" w:type="auto"/>
            <w:gridSpan w:val="3"/>
            <w:shd w:val="clear" w:color="auto" w:fill="CCEEFF"/>
            <w:tcMar>
              <w:top w:w="40" w:type="dxa"/>
              <w:left w:w="20" w:type="dxa"/>
              <w:bottom w:w="40" w:type="dxa"/>
              <w:right w:w="20" w:type="dxa"/>
            </w:tcMar>
            <w:vAlign w:val="bottom"/>
          </w:tcPr>
          <w:p w14:paraId="5EA1F98B" w14:textId="77777777" w:rsidR="003C66EB" w:rsidRDefault="00D96C4E">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5EA1F98C" w14:textId="77777777" w:rsidR="003C66EB" w:rsidRDefault="00D96C4E">
            <w:pPr>
              <w:jc w:val="right"/>
              <w:textAlignment w:val="bottom"/>
            </w:pPr>
            <w:r>
              <w:rPr>
                <w:rFonts w:ascii="Arial" w:eastAsia="宋体" w:hAnsi="Arial" w:cs="Arial"/>
                <w:b/>
                <w:bCs/>
                <w:color w:val="000000"/>
                <w:sz w:val="15"/>
                <w:szCs w:val="15"/>
              </w:rPr>
              <w:t>(23)</w:t>
            </w:r>
          </w:p>
        </w:tc>
        <w:tc>
          <w:tcPr>
            <w:tcW w:w="0" w:type="auto"/>
            <w:shd w:val="clear" w:color="auto" w:fill="CCEEFF"/>
            <w:tcMar>
              <w:top w:w="40" w:type="dxa"/>
              <w:left w:w="0" w:type="dxa"/>
              <w:bottom w:w="40" w:type="dxa"/>
              <w:right w:w="20" w:type="dxa"/>
            </w:tcMar>
            <w:vAlign w:val="bottom"/>
          </w:tcPr>
          <w:p w14:paraId="5EA1F9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8F" w14:textId="77777777" w:rsidR="003C66EB" w:rsidRDefault="00D96C4E">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5EA1F9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9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9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9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9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95"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5EA1F9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9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98"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5EA1F99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9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99B" w14:textId="77777777" w:rsidR="003C66EB" w:rsidRDefault="00D96C4E">
            <w:pPr>
              <w:jc w:val="right"/>
              <w:textAlignment w:val="bottom"/>
            </w:pPr>
            <w:r>
              <w:rPr>
                <w:rFonts w:ascii="Arial" w:eastAsia="宋体" w:hAnsi="Arial" w:cs="Arial"/>
                <w:b/>
                <w:bCs/>
                <w:color w:val="000000"/>
                <w:sz w:val="15"/>
                <w:szCs w:val="15"/>
              </w:rPr>
              <w:t>(31)</w:t>
            </w:r>
          </w:p>
        </w:tc>
        <w:tc>
          <w:tcPr>
            <w:tcW w:w="0" w:type="auto"/>
            <w:shd w:val="clear" w:color="auto" w:fill="CCEEFF"/>
            <w:tcMar>
              <w:top w:w="40" w:type="dxa"/>
              <w:left w:w="0" w:type="dxa"/>
              <w:bottom w:w="40" w:type="dxa"/>
              <w:right w:w="20" w:type="dxa"/>
            </w:tcMar>
            <w:vAlign w:val="bottom"/>
          </w:tcPr>
          <w:p w14:paraId="5EA1F99C" w14:textId="77777777" w:rsidR="003C66EB" w:rsidRDefault="003C66EB">
            <w:pPr>
              <w:jc w:val="right"/>
              <w:rPr>
                <w:rFonts w:ascii="宋体"/>
              </w:rPr>
            </w:pPr>
          </w:p>
        </w:tc>
        <w:tc>
          <w:tcPr>
            <w:tcW w:w="0" w:type="auto"/>
            <w:shd w:val="clear" w:color="auto" w:fill="auto"/>
          </w:tcPr>
          <w:p w14:paraId="5EA1F99D" w14:textId="77777777" w:rsidR="003C66EB" w:rsidRDefault="003C66EB">
            <w:pPr>
              <w:rPr>
                <w:rFonts w:ascii="宋体"/>
                <w:vanish/>
              </w:rPr>
            </w:pPr>
          </w:p>
        </w:tc>
      </w:tr>
      <w:tr w:rsidR="003C66EB" w14:paraId="5EA1F9B2" w14:textId="77777777">
        <w:tc>
          <w:tcPr>
            <w:tcW w:w="0" w:type="auto"/>
            <w:gridSpan w:val="3"/>
            <w:shd w:val="clear" w:color="auto" w:fill="FFFFFF"/>
            <w:tcMar>
              <w:top w:w="40" w:type="dxa"/>
              <w:left w:w="20" w:type="dxa"/>
              <w:bottom w:w="40" w:type="dxa"/>
              <w:right w:w="20" w:type="dxa"/>
            </w:tcMar>
            <w:vAlign w:val="bottom"/>
          </w:tcPr>
          <w:p w14:paraId="5EA1F99F" w14:textId="77777777" w:rsidR="003C66EB" w:rsidRDefault="00D96C4E">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A0" w14:textId="77777777" w:rsidR="003C66EB" w:rsidRDefault="00D96C4E">
            <w:pPr>
              <w:jc w:val="right"/>
              <w:textAlignment w:val="bottom"/>
            </w:pPr>
            <w:r>
              <w:rPr>
                <w:rFonts w:ascii="Arial" w:eastAsia="宋体" w:hAnsi="Arial" w:cs="Arial"/>
                <w:b/>
                <w:bCs/>
                <w:color w:val="000000"/>
                <w:sz w:val="15"/>
                <w:szCs w:val="15"/>
              </w:rPr>
              <w:t>125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A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A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A3" w14:textId="77777777" w:rsidR="003C66EB" w:rsidRDefault="00D96C4E">
            <w:pPr>
              <w:jc w:val="right"/>
              <w:textAlignment w:val="bottom"/>
            </w:pPr>
            <w:r>
              <w:rPr>
                <w:rFonts w:ascii="Arial" w:eastAsia="宋体" w:hAnsi="Arial" w:cs="Arial"/>
                <w:b/>
                <w:bCs/>
                <w:color w:val="000000"/>
                <w:sz w:val="15"/>
                <w:szCs w:val="15"/>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A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A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A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A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A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A9"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A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A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AC" w14:textId="77777777" w:rsidR="003C66EB" w:rsidRDefault="00D96C4E">
            <w:pPr>
              <w:jc w:val="right"/>
              <w:textAlignment w:val="bottom"/>
            </w:pPr>
            <w:r>
              <w:rPr>
                <w:rFonts w:ascii="Arial" w:eastAsia="宋体" w:hAnsi="Arial" w:cs="Arial"/>
                <w:b/>
                <w:bCs/>
                <w:color w:val="000000"/>
                <w:sz w:val="15"/>
                <w:szCs w:val="15"/>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9A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9AF" w14:textId="77777777" w:rsidR="003C66EB" w:rsidRDefault="00D96C4E">
            <w:pPr>
              <w:jc w:val="right"/>
              <w:textAlignment w:val="bottom"/>
            </w:pPr>
            <w:r>
              <w:rPr>
                <w:rFonts w:ascii="Arial" w:eastAsia="宋体" w:hAnsi="Arial" w:cs="Arial"/>
                <w:b/>
                <w:bCs/>
                <w:color w:val="000000"/>
                <w:sz w:val="15"/>
                <w:szCs w:val="15"/>
              </w:rPr>
              <w:t>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9B0" w14:textId="77777777" w:rsidR="003C66EB" w:rsidRDefault="003C66EB">
            <w:pPr>
              <w:jc w:val="right"/>
              <w:rPr>
                <w:rFonts w:ascii="宋体"/>
              </w:rPr>
            </w:pPr>
          </w:p>
        </w:tc>
        <w:tc>
          <w:tcPr>
            <w:tcW w:w="0" w:type="auto"/>
            <w:shd w:val="clear" w:color="auto" w:fill="auto"/>
          </w:tcPr>
          <w:p w14:paraId="5EA1F9B1" w14:textId="77777777" w:rsidR="003C66EB" w:rsidRDefault="003C66EB">
            <w:pPr>
              <w:rPr>
                <w:rFonts w:ascii="宋体"/>
                <w:vanish/>
              </w:rPr>
            </w:pPr>
          </w:p>
        </w:tc>
      </w:tr>
      <w:tr w:rsidR="003C66EB" w14:paraId="5EA1F9CC" w14:textId="77777777">
        <w:tc>
          <w:tcPr>
            <w:tcW w:w="0" w:type="auto"/>
            <w:gridSpan w:val="3"/>
            <w:shd w:val="clear" w:color="auto" w:fill="CCEEFF"/>
            <w:tcMar>
              <w:top w:w="40" w:type="dxa"/>
              <w:left w:w="20" w:type="dxa"/>
              <w:bottom w:w="40" w:type="dxa"/>
              <w:right w:w="20" w:type="dxa"/>
            </w:tcMar>
            <w:vAlign w:val="bottom"/>
          </w:tcPr>
          <w:p w14:paraId="5EA1F9B3" w14:textId="77777777" w:rsidR="003C66EB" w:rsidRDefault="00D96C4E">
            <w:pPr>
              <w:textAlignment w:val="bottom"/>
            </w:pPr>
            <w:r>
              <w:rPr>
                <w:rFonts w:ascii="Arial" w:eastAsia="宋体" w:hAnsi="Arial" w:cs="Arial"/>
                <w:b/>
                <w:bCs/>
                <w:color w:val="000000"/>
                <w:sz w:val="15"/>
                <w:szCs w:val="15"/>
              </w:rPr>
              <w:t>Balance as of March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9B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9B5" w14:textId="77777777" w:rsidR="003C66EB" w:rsidRDefault="00D96C4E">
            <w:pPr>
              <w:jc w:val="right"/>
              <w:textAlignment w:val="bottom"/>
            </w:pPr>
            <w:r>
              <w:rPr>
                <w:rFonts w:ascii="Arial" w:eastAsia="宋体" w:hAnsi="Arial" w:cs="Arial"/>
                <w:b/>
                <w:bCs/>
                <w:color w:val="000000"/>
                <w:sz w:val="15"/>
                <w:szCs w:val="15"/>
              </w:rPr>
              <w:t>2,282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9B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B7"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9B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9B9" w14:textId="77777777" w:rsidR="003C66EB" w:rsidRDefault="00D96C4E">
            <w:pPr>
              <w:jc w:val="right"/>
              <w:textAlignment w:val="bottom"/>
            </w:pPr>
            <w:r>
              <w:rPr>
                <w:rFonts w:ascii="Arial" w:eastAsia="宋体" w:hAnsi="Arial" w:cs="Arial"/>
                <w:b/>
                <w:bCs/>
                <w:color w:val="000000"/>
                <w:sz w:val="15"/>
                <w:szCs w:val="15"/>
              </w:rPr>
              <w:t>554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9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BB"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9B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9BD" w14:textId="77777777" w:rsidR="003C66EB" w:rsidRDefault="00D96C4E">
            <w:pPr>
              <w:jc w:val="right"/>
              <w:textAlignment w:val="bottom"/>
            </w:pPr>
            <w:r>
              <w:rPr>
                <w:rFonts w:ascii="Arial" w:eastAsia="宋体" w:hAnsi="Arial" w:cs="Arial"/>
                <w:b/>
                <w:bCs/>
                <w:color w:val="000000"/>
                <w:sz w:val="15"/>
                <w:szCs w:val="15"/>
              </w:rPr>
              <w:t>37</w:t>
            </w: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9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BF"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9C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9C1" w14:textId="77777777" w:rsidR="003C66EB" w:rsidRDefault="00D96C4E">
            <w:pPr>
              <w:jc w:val="right"/>
              <w:textAlignment w:val="bottom"/>
            </w:pPr>
            <w:r>
              <w:rPr>
                <w:rFonts w:ascii="Arial" w:eastAsia="宋体" w:hAnsi="Arial" w:cs="Arial"/>
                <w:b/>
                <w:bCs/>
                <w:color w:val="000000"/>
                <w:sz w:val="15"/>
                <w:szCs w:val="15"/>
              </w:rPr>
              <w:t>189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9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C3"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9C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9C5" w14:textId="77777777" w:rsidR="003C66EB" w:rsidRDefault="00D96C4E">
            <w:pPr>
              <w:jc w:val="right"/>
              <w:textAlignment w:val="bottom"/>
            </w:pPr>
            <w:r>
              <w:rPr>
                <w:rFonts w:ascii="Arial" w:eastAsia="宋体" w:hAnsi="Arial" w:cs="Arial"/>
                <w:b/>
                <w:bCs/>
                <w:color w:val="000000"/>
                <w:sz w:val="15"/>
                <w:szCs w:val="15"/>
              </w:rPr>
              <w:t>194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9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9C7"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9C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9C9" w14:textId="77777777" w:rsidR="003C66EB" w:rsidRDefault="00D96C4E">
            <w:pPr>
              <w:jc w:val="right"/>
              <w:textAlignment w:val="bottom"/>
            </w:pPr>
            <w:r>
              <w:rPr>
                <w:rFonts w:ascii="Arial" w:eastAsia="宋体" w:hAnsi="Arial" w:cs="Arial"/>
                <w:b/>
                <w:bCs/>
                <w:color w:val="000000"/>
                <w:sz w:val="15"/>
                <w:szCs w:val="15"/>
              </w:rPr>
              <w:t>3,591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9CA" w14:textId="77777777" w:rsidR="003C66EB" w:rsidRDefault="003C66EB">
            <w:pPr>
              <w:jc w:val="right"/>
              <w:rPr>
                <w:rFonts w:ascii="宋体"/>
              </w:rPr>
            </w:pPr>
          </w:p>
        </w:tc>
        <w:tc>
          <w:tcPr>
            <w:tcW w:w="0" w:type="auto"/>
            <w:shd w:val="clear" w:color="auto" w:fill="auto"/>
          </w:tcPr>
          <w:p w14:paraId="5EA1F9CB" w14:textId="77777777" w:rsidR="003C66EB" w:rsidRDefault="003C66EB">
            <w:pPr>
              <w:rPr>
                <w:rFonts w:ascii="宋体"/>
                <w:vanish/>
              </w:rPr>
            </w:pPr>
          </w:p>
        </w:tc>
      </w:tr>
      <w:tr w:rsidR="003C66EB" w14:paraId="5EA1F9DA" w14:textId="77777777">
        <w:trPr>
          <w:hidden/>
        </w:trPr>
        <w:tc>
          <w:tcPr>
            <w:tcW w:w="0" w:type="auto"/>
            <w:gridSpan w:val="3"/>
            <w:shd w:val="clear" w:color="auto" w:fill="auto"/>
          </w:tcPr>
          <w:p w14:paraId="5EA1F9CD" w14:textId="77777777" w:rsidR="003C66EB" w:rsidRDefault="003C66EB">
            <w:pPr>
              <w:rPr>
                <w:rFonts w:ascii="宋体"/>
                <w:vanish/>
              </w:rPr>
            </w:pPr>
          </w:p>
        </w:tc>
        <w:tc>
          <w:tcPr>
            <w:tcW w:w="0" w:type="auto"/>
            <w:gridSpan w:val="3"/>
            <w:shd w:val="clear" w:color="auto" w:fill="auto"/>
          </w:tcPr>
          <w:p w14:paraId="5EA1F9CE" w14:textId="77777777" w:rsidR="003C66EB" w:rsidRDefault="003C66EB">
            <w:pPr>
              <w:rPr>
                <w:rFonts w:ascii="宋体"/>
                <w:vanish/>
              </w:rPr>
            </w:pPr>
          </w:p>
        </w:tc>
        <w:tc>
          <w:tcPr>
            <w:tcW w:w="0" w:type="auto"/>
            <w:gridSpan w:val="3"/>
            <w:shd w:val="clear" w:color="auto" w:fill="auto"/>
          </w:tcPr>
          <w:p w14:paraId="5EA1F9CF" w14:textId="77777777" w:rsidR="003C66EB" w:rsidRDefault="003C66EB">
            <w:pPr>
              <w:rPr>
                <w:rFonts w:ascii="宋体"/>
                <w:vanish/>
              </w:rPr>
            </w:pPr>
          </w:p>
        </w:tc>
        <w:tc>
          <w:tcPr>
            <w:tcW w:w="0" w:type="auto"/>
            <w:gridSpan w:val="3"/>
            <w:shd w:val="clear" w:color="auto" w:fill="auto"/>
          </w:tcPr>
          <w:p w14:paraId="5EA1F9D0" w14:textId="77777777" w:rsidR="003C66EB" w:rsidRDefault="003C66EB">
            <w:pPr>
              <w:rPr>
                <w:rFonts w:ascii="宋体"/>
                <w:vanish/>
              </w:rPr>
            </w:pPr>
          </w:p>
        </w:tc>
        <w:tc>
          <w:tcPr>
            <w:tcW w:w="0" w:type="auto"/>
            <w:gridSpan w:val="3"/>
            <w:shd w:val="clear" w:color="auto" w:fill="auto"/>
          </w:tcPr>
          <w:p w14:paraId="5EA1F9D1" w14:textId="77777777" w:rsidR="003C66EB" w:rsidRDefault="003C66EB">
            <w:pPr>
              <w:rPr>
                <w:rFonts w:ascii="宋体"/>
                <w:vanish/>
              </w:rPr>
            </w:pPr>
          </w:p>
        </w:tc>
        <w:tc>
          <w:tcPr>
            <w:tcW w:w="0" w:type="auto"/>
            <w:gridSpan w:val="3"/>
            <w:shd w:val="clear" w:color="auto" w:fill="auto"/>
          </w:tcPr>
          <w:p w14:paraId="5EA1F9D2" w14:textId="77777777" w:rsidR="003C66EB" w:rsidRDefault="003C66EB">
            <w:pPr>
              <w:rPr>
                <w:rFonts w:ascii="宋体"/>
                <w:vanish/>
              </w:rPr>
            </w:pPr>
          </w:p>
        </w:tc>
        <w:tc>
          <w:tcPr>
            <w:tcW w:w="0" w:type="auto"/>
            <w:gridSpan w:val="3"/>
            <w:shd w:val="clear" w:color="auto" w:fill="auto"/>
          </w:tcPr>
          <w:p w14:paraId="5EA1F9D3" w14:textId="77777777" w:rsidR="003C66EB" w:rsidRDefault="003C66EB">
            <w:pPr>
              <w:rPr>
                <w:rFonts w:ascii="宋体"/>
                <w:vanish/>
              </w:rPr>
            </w:pPr>
          </w:p>
        </w:tc>
        <w:tc>
          <w:tcPr>
            <w:tcW w:w="0" w:type="auto"/>
            <w:gridSpan w:val="3"/>
            <w:shd w:val="clear" w:color="auto" w:fill="auto"/>
          </w:tcPr>
          <w:p w14:paraId="5EA1F9D4" w14:textId="77777777" w:rsidR="003C66EB" w:rsidRDefault="003C66EB">
            <w:pPr>
              <w:rPr>
                <w:rFonts w:ascii="宋体"/>
                <w:vanish/>
              </w:rPr>
            </w:pPr>
          </w:p>
        </w:tc>
        <w:tc>
          <w:tcPr>
            <w:tcW w:w="0" w:type="auto"/>
            <w:gridSpan w:val="3"/>
            <w:shd w:val="clear" w:color="auto" w:fill="auto"/>
          </w:tcPr>
          <w:p w14:paraId="5EA1F9D5" w14:textId="77777777" w:rsidR="003C66EB" w:rsidRDefault="003C66EB">
            <w:pPr>
              <w:rPr>
                <w:rFonts w:ascii="宋体"/>
                <w:vanish/>
              </w:rPr>
            </w:pPr>
          </w:p>
        </w:tc>
        <w:tc>
          <w:tcPr>
            <w:tcW w:w="0" w:type="auto"/>
            <w:gridSpan w:val="3"/>
            <w:shd w:val="clear" w:color="auto" w:fill="auto"/>
          </w:tcPr>
          <w:p w14:paraId="5EA1F9D6" w14:textId="77777777" w:rsidR="003C66EB" w:rsidRDefault="003C66EB">
            <w:pPr>
              <w:rPr>
                <w:rFonts w:ascii="宋体"/>
                <w:vanish/>
              </w:rPr>
            </w:pPr>
          </w:p>
        </w:tc>
        <w:tc>
          <w:tcPr>
            <w:tcW w:w="0" w:type="auto"/>
            <w:gridSpan w:val="3"/>
            <w:shd w:val="clear" w:color="auto" w:fill="auto"/>
          </w:tcPr>
          <w:p w14:paraId="5EA1F9D7" w14:textId="77777777" w:rsidR="003C66EB" w:rsidRDefault="003C66EB">
            <w:pPr>
              <w:rPr>
                <w:rFonts w:ascii="宋体"/>
                <w:vanish/>
              </w:rPr>
            </w:pPr>
          </w:p>
        </w:tc>
        <w:tc>
          <w:tcPr>
            <w:tcW w:w="0" w:type="auto"/>
            <w:gridSpan w:val="3"/>
            <w:shd w:val="clear" w:color="auto" w:fill="auto"/>
          </w:tcPr>
          <w:p w14:paraId="5EA1F9D8" w14:textId="77777777" w:rsidR="003C66EB" w:rsidRDefault="003C66EB">
            <w:pPr>
              <w:rPr>
                <w:rFonts w:ascii="宋体"/>
                <w:vanish/>
              </w:rPr>
            </w:pPr>
          </w:p>
        </w:tc>
        <w:tc>
          <w:tcPr>
            <w:tcW w:w="0" w:type="auto"/>
            <w:shd w:val="clear" w:color="auto" w:fill="auto"/>
          </w:tcPr>
          <w:p w14:paraId="5EA1F9D9" w14:textId="77777777" w:rsidR="003C66EB" w:rsidRDefault="003C66EB">
            <w:pPr>
              <w:rPr>
                <w:rFonts w:ascii="宋体"/>
                <w:vanish/>
              </w:rPr>
            </w:pPr>
          </w:p>
        </w:tc>
      </w:tr>
    </w:tbl>
    <w:p w14:paraId="5EA1F9DB"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3C66EB" w14:paraId="5EA1F9E2" w14:textId="77777777">
        <w:tc>
          <w:tcPr>
            <w:tcW w:w="50" w:type="pct"/>
            <w:shd w:val="clear" w:color="auto" w:fill="auto"/>
          </w:tcPr>
          <w:p w14:paraId="5EA1F9DC" w14:textId="77777777" w:rsidR="003C66EB" w:rsidRDefault="003C66EB">
            <w:pPr>
              <w:rPr>
                <w:rFonts w:ascii="宋体"/>
              </w:rPr>
            </w:pPr>
          </w:p>
        </w:tc>
        <w:tc>
          <w:tcPr>
            <w:tcW w:w="1209" w:type="pct"/>
            <w:shd w:val="clear" w:color="auto" w:fill="auto"/>
          </w:tcPr>
          <w:p w14:paraId="5EA1F9DD" w14:textId="77777777" w:rsidR="003C66EB" w:rsidRDefault="003C66EB">
            <w:pPr>
              <w:rPr>
                <w:rFonts w:ascii="宋体"/>
              </w:rPr>
            </w:pPr>
          </w:p>
        </w:tc>
        <w:tc>
          <w:tcPr>
            <w:tcW w:w="5" w:type="pct"/>
            <w:shd w:val="clear" w:color="auto" w:fill="auto"/>
          </w:tcPr>
          <w:p w14:paraId="5EA1F9DE" w14:textId="77777777" w:rsidR="003C66EB" w:rsidRDefault="003C66EB">
            <w:pPr>
              <w:rPr>
                <w:rFonts w:ascii="宋体"/>
              </w:rPr>
            </w:pPr>
          </w:p>
        </w:tc>
        <w:tc>
          <w:tcPr>
            <w:tcW w:w="50" w:type="pct"/>
            <w:shd w:val="clear" w:color="auto" w:fill="auto"/>
          </w:tcPr>
          <w:p w14:paraId="5EA1F9DF" w14:textId="77777777" w:rsidR="003C66EB" w:rsidRDefault="003C66EB">
            <w:pPr>
              <w:rPr>
                <w:rFonts w:ascii="宋体"/>
              </w:rPr>
            </w:pPr>
          </w:p>
        </w:tc>
        <w:tc>
          <w:tcPr>
            <w:tcW w:w="3680" w:type="pct"/>
            <w:shd w:val="clear" w:color="auto" w:fill="auto"/>
          </w:tcPr>
          <w:p w14:paraId="5EA1F9E0" w14:textId="77777777" w:rsidR="003C66EB" w:rsidRDefault="003C66EB">
            <w:pPr>
              <w:rPr>
                <w:rFonts w:ascii="宋体"/>
              </w:rPr>
            </w:pPr>
          </w:p>
        </w:tc>
        <w:tc>
          <w:tcPr>
            <w:tcW w:w="5" w:type="pct"/>
            <w:shd w:val="clear" w:color="auto" w:fill="auto"/>
          </w:tcPr>
          <w:p w14:paraId="5EA1F9E1" w14:textId="77777777" w:rsidR="003C66EB" w:rsidRDefault="003C66EB">
            <w:pPr>
              <w:rPr>
                <w:rFonts w:ascii="宋体"/>
              </w:rPr>
            </w:pPr>
          </w:p>
        </w:tc>
      </w:tr>
      <w:tr w:rsidR="003C66EB" w14:paraId="5EA1F9E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9E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9E4" w14:textId="77777777" w:rsidR="003C66EB" w:rsidRDefault="003C66EB">
            <w:pPr>
              <w:rPr>
                <w:rFonts w:ascii="宋体"/>
              </w:rPr>
            </w:pPr>
          </w:p>
        </w:tc>
      </w:tr>
    </w:tbl>
    <w:p w14:paraId="5EA1F9E6" w14:textId="77777777" w:rsidR="003C66EB" w:rsidRDefault="00D96C4E">
      <w:pPr>
        <w:jc w:val="both"/>
      </w:pPr>
      <w:r>
        <w:rPr>
          <w:rFonts w:ascii="Arial" w:eastAsia="宋体" w:hAnsi="Arial" w:cs="Arial"/>
          <w:color w:val="000000"/>
          <w:sz w:val="8"/>
          <w:szCs w:val="8"/>
        </w:rPr>
        <w:t>(1)</w:t>
      </w:r>
      <w:r>
        <w:rPr>
          <w:rFonts w:ascii="Arial" w:eastAsia="宋体" w:hAnsi="Arial" w:cs="Arial"/>
          <w:color w:val="000000"/>
          <w:sz w:val="13"/>
          <w:szCs w:val="13"/>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3"/>
          <w:szCs w:val="13"/>
        </w:rPr>
        <w:t xml:space="preserve">as no impact to the total level of reported AUM. </w:t>
      </w:r>
    </w:p>
    <w:p w14:paraId="5EA1F9E7" w14:textId="77777777" w:rsidR="003C66EB" w:rsidRDefault="00D96C4E">
      <w:pPr>
        <w:spacing w:before="9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5EA1F9E8" w14:textId="77777777" w:rsidR="003C66EB" w:rsidRDefault="00D96C4E">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Includes real estate investment trusts, currency and commodities, </w:t>
      </w:r>
      <w:r>
        <w:rPr>
          <w:rFonts w:ascii="Arial" w:eastAsia="宋体" w:hAnsi="Arial" w:cs="Arial"/>
          <w:color w:val="000000"/>
          <w:sz w:val="13"/>
          <w:szCs w:val="13"/>
        </w:rPr>
        <w:t>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MiniSharesSM Trust, but act as the marketing agent.</w:t>
      </w:r>
    </w:p>
    <w:p w14:paraId="5EA1F9E9" w14:textId="77777777" w:rsidR="003C66EB" w:rsidRDefault="00D96C4E">
      <w:pPr>
        <w:spacing w:before="60"/>
        <w:jc w:val="both"/>
      </w:pPr>
      <w:r>
        <w:rPr>
          <w:rFonts w:ascii="Arial" w:eastAsia="宋体" w:hAnsi="Arial" w:cs="Arial"/>
          <w:color w:val="000000"/>
          <w:sz w:val="8"/>
          <w:szCs w:val="8"/>
        </w:rPr>
        <w:t xml:space="preserve">(4) </w:t>
      </w:r>
      <w:r>
        <w:rPr>
          <w:rFonts w:ascii="Arial" w:eastAsia="宋体" w:hAnsi="Arial" w:cs="Arial"/>
          <w:color w:val="000000"/>
          <w:sz w:val="13"/>
          <w:szCs w:val="13"/>
        </w:rPr>
        <w:t xml:space="preserve">Amounts represent long-term portfolios, excluding ETFs. </w:t>
      </w:r>
    </w:p>
    <w:p w14:paraId="5EA1F9EA" w14:textId="77777777" w:rsidR="003C66EB" w:rsidRDefault="003C66EB">
      <w:pPr>
        <w:ind w:firstLine="450"/>
      </w:pPr>
    </w:p>
    <w:p w14:paraId="5EA1F9EB" w14:textId="77777777" w:rsidR="003C66EB" w:rsidRDefault="00D96C4E">
      <w:pPr>
        <w:ind w:firstLine="450"/>
        <w:jc w:val="right"/>
      </w:pPr>
      <w:r>
        <w:rPr>
          <w:rFonts w:ascii="Arial" w:eastAsia="宋体" w:hAnsi="Arial" w:cs="Arial"/>
          <w:color w:val="000000"/>
          <w:sz w:val="18"/>
          <w:szCs w:val="18"/>
        </w:rPr>
        <w:t>State Street Corporation | 22</w:t>
      </w:r>
    </w:p>
    <w:p w14:paraId="5EA1F9EC" w14:textId="77777777" w:rsidR="003C66EB" w:rsidRDefault="003C66EB">
      <w:pPr>
        <w:ind w:firstLine="450"/>
        <w:jc w:val="center"/>
      </w:pPr>
    </w:p>
    <w:p w14:paraId="5EA1F9ED" w14:textId="77777777" w:rsidR="003C66EB" w:rsidRDefault="00D96C4E">
      <w:r>
        <w:pict w14:anchorId="5EA287C6">
          <v:rect id="_x0000_i1046" style="width:415.3pt;height:1.5pt" o:hralign="center" o:hrstd="t" o:hr="t" fillcolor="#a0a0a0" stroked="f"/>
        </w:pict>
      </w:r>
    </w:p>
    <w:p w14:paraId="5EA1F9EE"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F9EF" w14:textId="77777777" w:rsidR="003C66EB" w:rsidRDefault="00D96C4E">
      <w:pPr>
        <w:ind w:firstLine="450"/>
        <w:jc w:val="center"/>
      </w:pPr>
      <w:r>
        <w:rPr>
          <w:rFonts w:ascii="Arial" w:eastAsia="宋体" w:hAnsi="Arial" w:cs="Arial"/>
          <w:b/>
          <w:bCs/>
          <w:color w:val="000000"/>
          <w:sz w:val="20"/>
          <w:szCs w:val="20"/>
        </w:rPr>
        <w:t>AND RESULTS OF OPERATIONS</w:t>
      </w:r>
    </w:p>
    <w:p w14:paraId="5EA1F9F0" w14:textId="77777777" w:rsidR="003C66EB" w:rsidRDefault="00D96C4E">
      <w:pPr>
        <w:spacing w:before="60"/>
        <w:jc w:val="both"/>
        <w:textAlignment w:val="top"/>
      </w:pPr>
      <w:r>
        <w:rPr>
          <w:rFonts w:ascii="Arial" w:eastAsia="宋体" w:hAnsi="Arial" w:cs="Arial"/>
          <w:b/>
          <w:bCs/>
          <w:i/>
          <w:iCs/>
          <w:color w:val="000000"/>
          <w:sz w:val="20"/>
          <w:szCs w:val="20"/>
        </w:rPr>
        <w:t xml:space="preserve">Expenses </w:t>
      </w:r>
    </w:p>
    <w:p w14:paraId="5EA1F9F1" w14:textId="77777777" w:rsidR="003C66EB" w:rsidRDefault="00D96C4E">
      <w:pPr>
        <w:spacing w:before="60"/>
        <w:ind w:firstLine="450"/>
        <w:jc w:val="both"/>
        <w:textAlignment w:val="top"/>
      </w:pPr>
      <w:r>
        <w:rPr>
          <w:rFonts w:ascii="Arial" w:eastAsia="宋体" w:hAnsi="Arial" w:cs="Arial"/>
          <w:color w:val="000000"/>
          <w:sz w:val="20"/>
          <w:szCs w:val="20"/>
        </w:rPr>
        <w:t>Total expenses for Investment Management increased 3% in in the first</w:t>
      </w:r>
      <w:r>
        <w:rPr>
          <w:rFonts w:ascii="Arial" w:eastAsia="宋体" w:hAnsi="Arial" w:cs="Arial"/>
          <w:color w:val="000000"/>
          <w:sz w:val="20"/>
          <w:szCs w:val="20"/>
        </w:rPr>
        <w:t xml:space="preserve"> quarter of 2021 compared to the same period in 2020, primarily due to higher seasonal expenses, partially offset by lower delivery costs and an idiosyncratic client asset reallocation. Seasonal deferred incentive compensation expense and payroll taxes wer</w:t>
      </w:r>
      <w:r>
        <w:rPr>
          <w:rFonts w:ascii="Arial" w:eastAsia="宋体" w:hAnsi="Arial" w:cs="Arial"/>
          <w:color w:val="000000"/>
          <w:sz w:val="20"/>
          <w:szCs w:val="20"/>
        </w:rPr>
        <w:t>e $35 million in the first quarter of 2021 compared to $26 million in the same period in 2020. Currency translation increased expenses for Investment Management by 2% in the first quarter of 2021, relative to the same period in 2020.</w:t>
      </w:r>
    </w:p>
    <w:p w14:paraId="5EA1F9F2" w14:textId="77777777" w:rsidR="003C66EB" w:rsidRDefault="00D96C4E">
      <w:pPr>
        <w:spacing w:before="60"/>
        <w:ind w:firstLine="450"/>
        <w:jc w:val="both"/>
        <w:textAlignment w:val="top"/>
      </w:pPr>
      <w:r>
        <w:rPr>
          <w:rFonts w:ascii="Arial" w:eastAsia="宋体" w:hAnsi="Arial" w:cs="Arial"/>
          <w:color w:val="000000"/>
          <w:sz w:val="20"/>
          <w:szCs w:val="20"/>
        </w:rPr>
        <w:t>Additional information</w:t>
      </w:r>
      <w:r>
        <w:rPr>
          <w:rFonts w:ascii="Arial" w:eastAsia="宋体" w:hAnsi="Arial" w:cs="Arial"/>
          <w:color w:val="000000"/>
          <w:sz w:val="20"/>
          <w:szCs w:val="20"/>
        </w:rPr>
        <w:t xml:space="preserve"> about expenses is provided under "Expenses" in "Consolidated Results of Operations" included in this Management's Discussion and Analysis.</w:t>
      </w:r>
    </w:p>
    <w:p w14:paraId="5EA1F9F3" w14:textId="77777777" w:rsidR="003C66EB" w:rsidRDefault="00D96C4E">
      <w:pPr>
        <w:spacing w:before="90"/>
        <w:textAlignment w:val="top"/>
      </w:pPr>
      <w:r>
        <w:rPr>
          <w:rFonts w:ascii="Arial" w:eastAsia="宋体" w:hAnsi="Arial" w:cs="Arial"/>
          <w:b/>
          <w:bCs/>
          <w:color w:val="000000"/>
          <w:sz w:val="20"/>
          <w:szCs w:val="20"/>
        </w:rPr>
        <w:t>FINANCIAL CONDITION</w:t>
      </w:r>
    </w:p>
    <w:p w14:paraId="5EA1F9F4" w14:textId="77777777" w:rsidR="003C66EB" w:rsidRDefault="00D96C4E">
      <w:pPr>
        <w:spacing w:before="60"/>
        <w:ind w:firstLine="450"/>
        <w:jc w:val="both"/>
        <w:textAlignment w:val="top"/>
      </w:pPr>
      <w:r>
        <w:rPr>
          <w:rFonts w:ascii="Arial" w:eastAsia="宋体" w:hAnsi="Arial" w:cs="Arial"/>
          <w:color w:val="000000"/>
          <w:sz w:val="20"/>
          <w:szCs w:val="20"/>
        </w:rPr>
        <w:t xml:space="preserve">The structure of our consolidated statement of condition is primarily driven by the liabilities </w:t>
      </w:r>
      <w:r>
        <w:rPr>
          <w:rFonts w:ascii="Arial" w:eastAsia="宋体" w:hAnsi="Arial" w:cs="Arial"/>
          <w:color w:val="000000"/>
          <w:sz w:val="20"/>
          <w:szCs w:val="20"/>
        </w:rPr>
        <w:t>generated by our Investment Servicing and Investment Management lines of business. Our clients' needs and our operating objectives determine balance sheet volume, mix and currency denomination. As our clients execute their worldwide cash management and inv</w:t>
      </w:r>
      <w:r>
        <w:rPr>
          <w:rFonts w:ascii="Arial" w:eastAsia="宋体" w:hAnsi="Arial" w:cs="Arial"/>
          <w:color w:val="000000"/>
          <w:sz w:val="20"/>
          <w:szCs w:val="20"/>
        </w:rPr>
        <w:t>estment activities, they utilize deposits and short-term investments that constitute the majority of our liabilities. These liabilities are generally in the form of interest-bearing transaction account deposits, which are denominated in a variety of curren</w:t>
      </w:r>
      <w:r>
        <w:rPr>
          <w:rFonts w:ascii="Arial" w:eastAsia="宋体" w:hAnsi="Arial" w:cs="Arial"/>
          <w:color w:val="000000"/>
          <w:sz w:val="20"/>
          <w:szCs w:val="20"/>
        </w:rPr>
        <w:t>cies; non-interest-bearing demand deposits; and repurchase agreements, which generally serve as short-term investment alternatives for our clients.</w:t>
      </w:r>
    </w:p>
    <w:p w14:paraId="5EA1F9F5" w14:textId="77777777" w:rsidR="003C66EB" w:rsidRDefault="00D96C4E">
      <w:pPr>
        <w:spacing w:before="60"/>
        <w:ind w:firstLine="450"/>
        <w:jc w:val="both"/>
        <w:textAlignment w:val="top"/>
      </w:pPr>
      <w:r>
        <w:rPr>
          <w:rFonts w:ascii="Arial" w:eastAsia="宋体" w:hAnsi="Arial" w:cs="Arial"/>
          <w:color w:val="000000"/>
          <w:sz w:val="20"/>
          <w:szCs w:val="20"/>
        </w:rPr>
        <w:t>Deposits and other liabilities resulting from client initiated transactions are invested in assets that gene</w:t>
      </w:r>
      <w:r>
        <w:rPr>
          <w:rFonts w:ascii="Arial" w:eastAsia="宋体" w:hAnsi="Arial" w:cs="Arial"/>
          <w:color w:val="000000"/>
          <w:sz w:val="20"/>
          <w:szCs w:val="20"/>
        </w:rPr>
        <w:t>rally have contractual maturities significantly longer than our liabilities; however, we evaluate the operational nature of our deposits and seek to maintain appropriate short-term liquidity of those liabilities that are not operational in nature and maint</w:t>
      </w:r>
      <w:r>
        <w:rPr>
          <w:rFonts w:ascii="Arial" w:eastAsia="宋体" w:hAnsi="Arial" w:cs="Arial"/>
          <w:color w:val="000000"/>
          <w:sz w:val="20"/>
          <w:szCs w:val="20"/>
        </w:rPr>
        <w:t>ain longer-termed assets for our operational deposits. Our assets consist primarily of securities held in our AFS or HTM portfolios and short-duration financial instruments, such as interest-bearing deposits with banks and securities purchased under resale</w:t>
      </w:r>
      <w:r>
        <w:rPr>
          <w:rFonts w:ascii="Arial" w:eastAsia="宋体" w:hAnsi="Arial" w:cs="Arial"/>
          <w:color w:val="000000"/>
          <w:sz w:val="20"/>
          <w:szCs w:val="20"/>
        </w:rPr>
        <w:t xml:space="preserve"> agreements. The actual mix of assets is determined by the characteristics of the client liabilities and our desire to maintain a well-diversified portfolio of high-quality assets.</w:t>
      </w:r>
    </w:p>
    <w:tbl>
      <w:tblPr>
        <w:tblW w:w="5000" w:type="pct"/>
        <w:tblCellMar>
          <w:top w:w="15" w:type="dxa"/>
          <w:left w:w="15" w:type="dxa"/>
          <w:bottom w:w="15" w:type="dxa"/>
          <w:right w:w="15" w:type="dxa"/>
        </w:tblCellMar>
        <w:tblLook w:val="04A0" w:firstRow="1" w:lastRow="0" w:firstColumn="1" w:lastColumn="0" w:noHBand="0" w:noVBand="1"/>
      </w:tblPr>
      <w:tblGrid>
        <w:gridCol w:w="44"/>
        <w:gridCol w:w="4230"/>
        <w:gridCol w:w="38"/>
        <w:gridCol w:w="98"/>
        <w:gridCol w:w="1647"/>
        <w:gridCol w:w="36"/>
        <w:gridCol w:w="36"/>
        <w:gridCol w:w="75"/>
        <w:gridCol w:w="36"/>
        <w:gridCol w:w="98"/>
        <w:gridCol w:w="1674"/>
        <w:gridCol w:w="36"/>
        <w:gridCol w:w="36"/>
        <w:gridCol w:w="36"/>
        <w:gridCol w:w="36"/>
        <w:gridCol w:w="36"/>
        <w:gridCol w:w="36"/>
        <w:gridCol w:w="36"/>
        <w:gridCol w:w="36"/>
        <w:gridCol w:w="36"/>
      </w:tblGrid>
      <w:tr w:rsidR="003C66EB" w14:paraId="5EA1FA06" w14:textId="77777777">
        <w:tc>
          <w:tcPr>
            <w:tcW w:w="50" w:type="pct"/>
            <w:shd w:val="clear" w:color="auto" w:fill="auto"/>
          </w:tcPr>
          <w:p w14:paraId="5EA1F9F6" w14:textId="77777777" w:rsidR="003C66EB" w:rsidRDefault="003C66EB">
            <w:pPr>
              <w:rPr>
                <w:rFonts w:ascii="宋体"/>
              </w:rPr>
            </w:pPr>
          </w:p>
        </w:tc>
        <w:tc>
          <w:tcPr>
            <w:tcW w:w="2649" w:type="pct"/>
            <w:shd w:val="clear" w:color="auto" w:fill="auto"/>
          </w:tcPr>
          <w:p w14:paraId="5EA1F9F7" w14:textId="77777777" w:rsidR="003C66EB" w:rsidRDefault="003C66EB">
            <w:pPr>
              <w:rPr>
                <w:rFonts w:ascii="宋体"/>
              </w:rPr>
            </w:pPr>
          </w:p>
        </w:tc>
        <w:tc>
          <w:tcPr>
            <w:tcW w:w="5" w:type="pct"/>
            <w:shd w:val="clear" w:color="auto" w:fill="auto"/>
          </w:tcPr>
          <w:p w14:paraId="5EA1F9F8" w14:textId="77777777" w:rsidR="003C66EB" w:rsidRDefault="003C66EB">
            <w:pPr>
              <w:rPr>
                <w:rFonts w:ascii="宋体"/>
              </w:rPr>
            </w:pPr>
          </w:p>
        </w:tc>
        <w:tc>
          <w:tcPr>
            <w:tcW w:w="50" w:type="pct"/>
            <w:shd w:val="clear" w:color="auto" w:fill="auto"/>
          </w:tcPr>
          <w:p w14:paraId="5EA1F9F9" w14:textId="77777777" w:rsidR="003C66EB" w:rsidRDefault="003C66EB">
            <w:pPr>
              <w:rPr>
                <w:rFonts w:ascii="宋体"/>
              </w:rPr>
            </w:pPr>
          </w:p>
        </w:tc>
        <w:tc>
          <w:tcPr>
            <w:tcW w:w="1045" w:type="pct"/>
            <w:shd w:val="clear" w:color="auto" w:fill="auto"/>
          </w:tcPr>
          <w:p w14:paraId="5EA1F9FA" w14:textId="77777777" w:rsidR="003C66EB" w:rsidRDefault="003C66EB">
            <w:pPr>
              <w:rPr>
                <w:rFonts w:ascii="宋体"/>
              </w:rPr>
            </w:pPr>
          </w:p>
        </w:tc>
        <w:tc>
          <w:tcPr>
            <w:tcW w:w="5" w:type="pct"/>
            <w:shd w:val="clear" w:color="auto" w:fill="auto"/>
          </w:tcPr>
          <w:p w14:paraId="5EA1F9FB" w14:textId="77777777" w:rsidR="003C66EB" w:rsidRDefault="003C66EB">
            <w:pPr>
              <w:rPr>
                <w:rFonts w:ascii="宋体"/>
              </w:rPr>
            </w:pPr>
          </w:p>
        </w:tc>
        <w:tc>
          <w:tcPr>
            <w:tcW w:w="5" w:type="pct"/>
            <w:shd w:val="clear" w:color="auto" w:fill="auto"/>
          </w:tcPr>
          <w:p w14:paraId="5EA1F9FC" w14:textId="77777777" w:rsidR="003C66EB" w:rsidRDefault="003C66EB">
            <w:pPr>
              <w:rPr>
                <w:rFonts w:ascii="宋体"/>
              </w:rPr>
            </w:pPr>
          </w:p>
        </w:tc>
        <w:tc>
          <w:tcPr>
            <w:tcW w:w="68" w:type="pct"/>
            <w:shd w:val="clear" w:color="auto" w:fill="auto"/>
          </w:tcPr>
          <w:p w14:paraId="5EA1F9FD" w14:textId="77777777" w:rsidR="003C66EB" w:rsidRDefault="003C66EB">
            <w:pPr>
              <w:rPr>
                <w:rFonts w:ascii="宋体"/>
              </w:rPr>
            </w:pPr>
          </w:p>
        </w:tc>
        <w:tc>
          <w:tcPr>
            <w:tcW w:w="5" w:type="pct"/>
            <w:shd w:val="clear" w:color="auto" w:fill="auto"/>
          </w:tcPr>
          <w:p w14:paraId="5EA1F9FE" w14:textId="77777777" w:rsidR="003C66EB" w:rsidRDefault="003C66EB">
            <w:pPr>
              <w:rPr>
                <w:rFonts w:ascii="宋体"/>
              </w:rPr>
            </w:pPr>
          </w:p>
        </w:tc>
        <w:tc>
          <w:tcPr>
            <w:tcW w:w="50" w:type="pct"/>
            <w:shd w:val="clear" w:color="auto" w:fill="auto"/>
          </w:tcPr>
          <w:p w14:paraId="5EA1F9FF" w14:textId="77777777" w:rsidR="003C66EB" w:rsidRDefault="003C66EB">
            <w:pPr>
              <w:rPr>
                <w:rFonts w:ascii="宋体"/>
              </w:rPr>
            </w:pPr>
          </w:p>
        </w:tc>
        <w:tc>
          <w:tcPr>
            <w:tcW w:w="1061" w:type="pct"/>
            <w:shd w:val="clear" w:color="auto" w:fill="auto"/>
          </w:tcPr>
          <w:p w14:paraId="5EA1FA00" w14:textId="77777777" w:rsidR="003C66EB" w:rsidRDefault="003C66EB">
            <w:pPr>
              <w:rPr>
                <w:rFonts w:ascii="宋体"/>
              </w:rPr>
            </w:pPr>
          </w:p>
        </w:tc>
        <w:tc>
          <w:tcPr>
            <w:tcW w:w="5" w:type="pct"/>
            <w:shd w:val="clear" w:color="auto" w:fill="auto"/>
          </w:tcPr>
          <w:p w14:paraId="5EA1FA01" w14:textId="77777777" w:rsidR="003C66EB" w:rsidRDefault="003C66EB">
            <w:pPr>
              <w:rPr>
                <w:rFonts w:ascii="宋体"/>
              </w:rPr>
            </w:pPr>
          </w:p>
        </w:tc>
        <w:tc>
          <w:tcPr>
            <w:tcW w:w="0" w:type="auto"/>
            <w:shd w:val="clear" w:color="auto" w:fill="auto"/>
          </w:tcPr>
          <w:p w14:paraId="5EA1FA02" w14:textId="77777777" w:rsidR="003C66EB" w:rsidRDefault="003C66EB">
            <w:pPr>
              <w:rPr>
                <w:rFonts w:ascii="宋体"/>
                <w:vanish/>
              </w:rPr>
            </w:pPr>
          </w:p>
        </w:tc>
        <w:tc>
          <w:tcPr>
            <w:tcW w:w="0" w:type="auto"/>
            <w:shd w:val="clear" w:color="auto" w:fill="auto"/>
          </w:tcPr>
          <w:p w14:paraId="5EA1FA03" w14:textId="77777777" w:rsidR="003C66EB" w:rsidRDefault="003C66EB">
            <w:pPr>
              <w:rPr>
                <w:rFonts w:ascii="宋体"/>
                <w:vanish/>
              </w:rPr>
            </w:pPr>
          </w:p>
        </w:tc>
        <w:tc>
          <w:tcPr>
            <w:tcW w:w="0" w:type="auto"/>
            <w:gridSpan w:val="3"/>
            <w:shd w:val="clear" w:color="auto" w:fill="auto"/>
          </w:tcPr>
          <w:p w14:paraId="5EA1FA04" w14:textId="77777777" w:rsidR="003C66EB" w:rsidRDefault="003C66EB">
            <w:pPr>
              <w:rPr>
                <w:rFonts w:ascii="宋体"/>
                <w:vanish/>
              </w:rPr>
            </w:pPr>
          </w:p>
        </w:tc>
        <w:tc>
          <w:tcPr>
            <w:tcW w:w="0" w:type="auto"/>
            <w:gridSpan w:val="3"/>
            <w:shd w:val="clear" w:color="auto" w:fill="auto"/>
          </w:tcPr>
          <w:p w14:paraId="5EA1FA05" w14:textId="77777777" w:rsidR="003C66EB" w:rsidRDefault="003C66EB">
            <w:pPr>
              <w:rPr>
                <w:rFonts w:ascii="宋体"/>
                <w:vanish/>
              </w:rPr>
            </w:pPr>
          </w:p>
        </w:tc>
      </w:tr>
      <w:tr w:rsidR="003C66EB" w14:paraId="5EA1FA13" w14:textId="77777777">
        <w:trPr>
          <w:hidden/>
        </w:trPr>
        <w:tc>
          <w:tcPr>
            <w:tcW w:w="0" w:type="auto"/>
            <w:gridSpan w:val="3"/>
            <w:shd w:val="clear" w:color="auto" w:fill="auto"/>
          </w:tcPr>
          <w:p w14:paraId="5EA1FA07" w14:textId="77777777" w:rsidR="003C66EB" w:rsidRDefault="003C66EB">
            <w:pPr>
              <w:rPr>
                <w:rFonts w:ascii="宋体"/>
                <w:vanish/>
              </w:rPr>
            </w:pPr>
          </w:p>
        </w:tc>
        <w:tc>
          <w:tcPr>
            <w:tcW w:w="0" w:type="auto"/>
            <w:gridSpan w:val="3"/>
            <w:shd w:val="clear" w:color="auto" w:fill="auto"/>
          </w:tcPr>
          <w:p w14:paraId="5EA1FA08" w14:textId="77777777" w:rsidR="003C66EB" w:rsidRDefault="003C66EB">
            <w:pPr>
              <w:rPr>
                <w:rFonts w:ascii="宋体"/>
                <w:vanish/>
              </w:rPr>
            </w:pPr>
          </w:p>
        </w:tc>
        <w:tc>
          <w:tcPr>
            <w:tcW w:w="0" w:type="auto"/>
            <w:gridSpan w:val="3"/>
            <w:shd w:val="clear" w:color="auto" w:fill="auto"/>
          </w:tcPr>
          <w:p w14:paraId="5EA1FA09" w14:textId="77777777" w:rsidR="003C66EB" w:rsidRDefault="003C66EB">
            <w:pPr>
              <w:rPr>
                <w:rFonts w:ascii="宋体"/>
                <w:vanish/>
              </w:rPr>
            </w:pPr>
          </w:p>
        </w:tc>
        <w:tc>
          <w:tcPr>
            <w:tcW w:w="0" w:type="auto"/>
            <w:gridSpan w:val="3"/>
            <w:shd w:val="clear" w:color="auto" w:fill="auto"/>
          </w:tcPr>
          <w:p w14:paraId="5EA1FA0A" w14:textId="77777777" w:rsidR="003C66EB" w:rsidRDefault="003C66EB">
            <w:pPr>
              <w:rPr>
                <w:rFonts w:ascii="宋体"/>
                <w:vanish/>
              </w:rPr>
            </w:pPr>
          </w:p>
        </w:tc>
        <w:tc>
          <w:tcPr>
            <w:tcW w:w="0" w:type="auto"/>
            <w:shd w:val="clear" w:color="auto" w:fill="auto"/>
          </w:tcPr>
          <w:p w14:paraId="5EA1FA0B" w14:textId="77777777" w:rsidR="003C66EB" w:rsidRDefault="003C66EB">
            <w:pPr>
              <w:rPr>
                <w:rFonts w:ascii="宋体"/>
                <w:vanish/>
              </w:rPr>
            </w:pPr>
          </w:p>
        </w:tc>
        <w:tc>
          <w:tcPr>
            <w:tcW w:w="0" w:type="auto"/>
            <w:shd w:val="clear" w:color="auto" w:fill="auto"/>
          </w:tcPr>
          <w:p w14:paraId="5EA1FA0C" w14:textId="77777777" w:rsidR="003C66EB" w:rsidRDefault="003C66EB">
            <w:pPr>
              <w:rPr>
                <w:rFonts w:ascii="宋体"/>
                <w:vanish/>
              </w:rPr>
            </w:pPr>
          </w:p>
        </w:tc>
        <w:tc>
          <w:tcPr>
            <w:tcW w:w="0" w:type="auto"/>
            <w:shd w:val="clear" w:color="auto" w:fill="auto"/>
          </w:tcPr>
          <w:p w14:paraId="5EA1FA0D" w14:textId="77777777" w:rsidR="003C66EB" w:rsidRDefault="003C66EB">
            <w:pPr>
              <w:rPr>
                <w:rFonts w:ascii="宋体"/>
              </w:rPr>
            </w:pPr>
          </w:p>
        </w:tc>
        <w:tc>
          <w:tcPr>
            <w:tcW w:w="0" w:type="auto"/>
            <w:shd w:val="clear" w:color="auto" w:fill="auto"/>
          </w:tcPr>
          <w:p w14:paraId="5EA1FA0E" w14:textId="77777777" w:rsidR="003C66EB" w:rsidRDefault="003C66EB">
            <w:pPr>
              <w:rPr>
                <w:rFonts w:ascii="宋体"/>
              </w:rPr>
            </w:pPr>
          </w:p>
        </w:tc>
        <w:tc>
          <w:tcPr>
            <w:tcW w:w="0" w:type="auto"/>
            <w:shd w:val="clear" w:color="auto" w:fill="auto"/>
          </w:tcPr>
          <w:p w14:paraId="5EA1FA0F" w14:textId="77777777" w:rsidR="003C66EB" w:rsidRDefault="003C66EB">
            <w:pPr>
              <w:rPr>
                <w:rFonts w:ascii="宋体"/>
              </w:rPr>
            </w:pPr>
          </w:p>
        </w:tc>
        <w:tc>
          <w:tcPr>
            <w:tcW w:w="0" w:type="auto"/>
            <w:shd w:val="clear" w:color="auto" w:fill="auto"/>
          </w:tcPr>
          <w:p w14:paraId="5EA1FA10" w14:textId="77777777" w:rsidR="003C66EB" w:rsidRDefault="003C66EB">
            <w:pPr>
              <w:rPr>
                <w:rFonts w:ascii="宋体"/>
              </w:rPr>
            </w:pPr>
          </w:p>
        </w:tc>
        <w:tc>
          <w:tcPr>
            <w:tcW w:w="0" w:type="auto"/>
            <w:shd w:val="clear" w:color="auto" w:fill="auto"/>
          </w:tcPr>
          <w:p w14:paraId="5EA1FA11" w14:textId="77777777" w:rsidR="003C66EB" w:rsidRDefault="003C66EB">
            <w:pPr>
              <w:rPr>
                <w:rFonts w:ascii="宋体"/>
              </w:rPr>
            </w:pPr>
          </w:p>
        </w:tc>
        <w:tc>
          <w:tcPr>
            <w:tcW w:w="0" w:type="auto"/>
            <w:shd w:val="clear" w:color="auto" w:fill="auto"/>
          </w:tcPr>
          <w:p w14:paraId="5EA1FA12" w14:textId="77777777" w:rsidR="003C66EB" w:rsidRDefault="003C66EB">
            <w:pPr>
              <w:rPr>
                <w:rFonts w:ascii="宋体"/>
              </w:rPr>
            </w:pPr>
          </w:p>
        </w:tc>
      </w:tr>
      <w:tr w:rsidR="003C66EB" w14:paraId="5EA1FA1C" w14:textId="77777777">
        <w:trPr>
          <w:hidden/>
        </w:trPr>
        <w:tc>
          <w:tcPr>
            <w:tcW w:w="0" w:type="auto"/>
            <w:gridSpan w:val="3"/>
            <w:shd w:val="clear" w:color="auto" w:fill="auto"/>
          </w:tcPr>
          <w:p w14:paraId="5EA1FA14" w14:textId="77777777" w:rsidR="003C66EB" w:rsidRDefault="003C66EB">
            <w:pPr>
              <w:rPr>
                <w:rFonts w:ascii="宋体"/>
                <w:vanish/>
              </w:rPr>
            </w:pPr>
          </w:p>
        </w:tc>
        <w:tc>
          <w:tcPr>
            <w:tcW w:w="0" w:type="auto"/>
            <w:gridSpan w:val="3"/>
            <w:shd w:val="clear" w:color="auto" w:fill="auto"/>
          </w:tcPr>
          <w:p w14:paraId="5EA1FA15" w14:textId="77777777" w:rsidR="003C66EB" w:rsidRDefault="003C66EB">
            <w:pPr>
              <w:rPr>
                <w:rFonts w:ascii="宋体"/>
                <w:vanish/>
              </w:rPr>
            </w:pPr>
          </w:p>
        </w:tc>
        <w:tc>
          <w:tcPr>
            <w:tcW w:w="0" w:type="auto"/>
            <w:gridSpan w:val="3"/>
            <w:shd w:val="clear" w:color="auto" w:fill="auto"/>
          </w:tcPr>
          <w:p w14:paraId="5EA1FA16" w14:textId="77777777" w:rsidR="003C66EB" w:rsidRDefault="003C66EB">
            <w:pPr>
              <w:rPr>
                <w:rFonts w:ascii="宋体"/>
                <w:vanish/>
              </w:rPr>
            </w:pPr>
          </w:p>
        </w:tc>
        <w:tc>
          <w:tcPr>
            <w:tcW w:w="0" w:type="auto"/>
            <w:gridSpan w:val="3"/>
            <w:shd w:val="clear" w:color="auto" w:fill="auto"/>
          </w:tcPr>
          <w:p w14:paraId="5EA1FA17" w14:textId="77777777" w:rsidR="003C66EB" w:rsidRDefault="003C66EB">
            <w:pPr>
              <w:rPr>
                <w:rFonts w:ascii="宋体"/>
                <w:vanish/>
              </w:rPr>
            </w:pPr>
          </w:p>
        </w:tc>
        <w:tc>
          <w:tcPr>
            <w:tcW w:w="0" w:type="auto"/>
            <w:shd w:val="clear" w:color="auto" w:fill="auto"/>
          </w:tcPr>
          <w:p w14:paraId="5EA1FA18" w14:textId="77777777" w:rsidR="003C66EB" w:rsidRDefault="003C66EB">
            <w:pPr>
              <w:rPr>
                <w:rFonts w:ascii="宋体"/>
                <w:vanish/>
              </w:rPr>
            </w:pPr>
          </w:p>
        </w:tc>
        <w:tc>
          <w:tcPr>
            <w:tcW w:w="0" w:type="auto"/>
            <w:shd w:val="clear" w:color="auto" w:fill="auto"/>
          </w:tcPr>
          <w:p w14:paraId="5EA1FA19" w14:textId="77777777" w:rsidR="003C66EB" w:rsidRDefault="003C66EB">
            <w:pPr>
              <w:rPr>
                <w:rFonts w:ascii="宋体"/>
                <w:vanish/>
              </w:rPr>
            </w:pPr>
          </w:p>
        </w:tc>
        <w:tc>
          <w:tcPr>
            <w:tcW w:w="0" w:type="auto"/>
            <w:gridSpan w:val="3"/>
            <w:shd w:val="clear" w:color="auto" w:fill="auto"/>
          </w:tcPr>
          <w:p w14:paraId="5EA1FA1A" w14:textId="77777777" w:rsidR="003C66EB" w:rsidRDefault="003C66EB">
            <w:pPr>
              <w:rPr>
                <w:rFonts w:ascii="宋体"/>
                <w:vanish/>
              </w:rPr>
            </w:pPr>
          </w:p>
        </w:tc>
        <w:tc>
          <w:tcPr>
            <w:tcW w:w="0" w:type="auto"/>
            <w:gridSpan w:val="3"/>
            <w:shd w:val="clear" w:color="auto" w:fill="auto"/>
          </w:tcPr>
          <w:p w14:paraId="5EA1FA1B" w14:textId="77777777" w:rsidR="003C66EB" w:rsidRDefault="003C66EB">
            <w:pPr>
              <w:rPr>
                <w:rFonts w:ascii="宋体"/>
                <w:vanish/>
              </w:rPr>
            </w:pPr>
          </w:p>
        </w:tc>
      </w:tr>
      <w:tr w:rsidR="003C66EB" w14:paraId="5EA1FA25" w14:textId="77777777">
        <w:trPr>
          <w:hidden/>
        </w:trPr>
        <w:tc>
          <w:tcPr>
            <w:tcW w:w="0" w:type="auto"/>
            <w:gridSpan w:val="3"/>
            <w:shd w:val="clear" w:color="auto" w:fill="auto"/>
          </w:tcPr>
          <w:p w14:paraId="5EA1FA1D" w14:textId="77777777" w:rsidR="003C66EB" w:rsidRDefault="003C66EB">
            <w:pPr>
              <w:rPr>
                <w:rFonts w:ascii="宋体"/>
                <w:vanish/>
              </w:rPr>
            </w:pPr>
          </w:p>
        </w:tc>
        <w:tc>
          <w:tcPr>
            <w:tcW w:w="0" w:type="auto"/>
            <w:gridSpan w:val="3"/>
            <w:shd w:val="clear" w:color="auto" w:fill="auto"/>
          </w:tcPr>
          <w:p w14:paraId="5EA1FA1E" w14:textId="77777777" w:rsidR="003C66EB" w:rsidRDefault="003C66EB">
            <w:pPr>
              <w:rPr>
                <w:rFonts w:ascii="宋体"/>
                <w:vanish/>
              </w:rPr>
            </w:pPr>
          </w:p>
        </w:tc>
        <w:tc>
          <w:tcPr>
            <w:tcW w:w="0" w:type="auto"/>
            <w:gridSpan w:val="3"/>
            <w:shd w:val="clear" w:color="auto" w:fill="auto"/>
          </w:tcPr>
          <w:p w14:paraId="5EA1FA1F" w14:textId="77777777" w:rsidR="003C66EB" w:rsidRDefault="003C66EB">
            <w:pPr>
              <w:rPr>
                <w:rFonts w:ascii="宋体"/>
                <w:vanish/>
              </w:rPr>
            </w:pPr>
          </w:p>
        </w:tc>
        <w:tc>
          <w:tcPr>
            <w:tcW w:w="0" w:type="auto"/>
            <w:gridSpan w:val="3"/>
            <w:shd w:val="clear" w:color="auto" w:fill="auto"/>
          </w:tcPr>
          <w:p w14:paraId="5EA1FA20" w14:textId="77777777" w:rsidR="003C66EB" w:rsidRDefault="003C66EB">
            <w:pPr>
              <w:rPr>
                <w:rFonts w:ascii="宋体"/>
                <w:vanish/>
              </w:rPr>
            </w:pPr>
          </w:p>
        </w:tc>
        <w:tc>
          <w:tcPr>
            <w:tcW w:w="0" w:type="auto"/>
            <w:shd w:val="clear" w:color="auto" w:fill="auto"/>
          </w:tcPr>
          <w:p w14:paraId="5EA1FA21" w14:textId="77777777" w:rsidR="003C66EB" w:rsidRDefault="003C66EB">
            <w:pPr>
              <w:rPr>
                <w:rFonts w:ascii="宋体"/>
                <w:vanish/>
              </w:rPr>
            </w:pPr>
          </w:p>
        </w:tc>
        <w:tc>
          <w:tcPr>
            <w:tcW w:w="0" w:type="auto"/>
            <w:shd w:val="clear" w:color="auto" w:fill="auto"/>
          </w:tcPr>
          <w:p w14:paraId="5EA1FA22" w14:textId="77777777" w:rsidR="003C66EB" w:rsidRDefault="003C66EB">
            <w:pPr>
              <w:rPr>
                <w:rFonts w:ascii="宋体"/>
                <w:vanish/>
              </w:rPr>
            </w:pPr>
          </w:p>
        </w:tc>
        <w:tc>
          <w:tcPr>
            <w:tcW w:w="0" w:type="auto"/>
            <w:gridSpan w:val="3"/>
            <w:shd w:val="clear" w:color="auto" w:fill="auto"/>
          </w:tcPr>
          <w:p w14:paraId="5EA1FA23" w14:textId="77777777" w:rsidR="003C66EB" w:rsidRDefault="003C66EB">
            <w:pPr>
              <w:rPr>
                <w:rFonts w:ascii="宋体"/>
                <w:vanish/>
              </w:rPr>
            </w:pPr>
          </w:p>
        </w:tc>
        <w:tc>
          <w:tcPr>
            <w:tcW w:w="0" w:type="auto"/>
            <w:gridSpan w:val="3"/>
            <w:shd w:val="clear" w:color="auto" w:fill="auto"/>
          </w:tcPr>
          <w:p w14:paraId="5EA1FA24" w14:textId="77777777" w:rsidR="003C66EB" w:rsidRDefault="003C66EB">
            <w:pPr>
              <w:rPr>
                <w:rFonts w:ascii="宋体"/>
                <w:vanish/>
              </w:rPr>
            </w:pPr>
          </w:p>
        </w:tc>
      </w:tr>
      <w:tr w:rsidR="003C66EB" w14:paraId="5EA1FA2E" w14:textId="77777777">
        <w:trPr>
          <w:hidden/>
        </w:trPr>
        <w:tc>
          <w:tcPr>
            <w:tcW w:w="0" w:type="auto"/>
            <w:gridSpan w:val="3"/>
            <w:shd w:val="clear" w:color="auto" w:fill="auto"/>
          </w:tcPr>
          <w:p w14:paraId="5EA1FA26" w14:textId="77777777" w:rsidR="003C66EB" w:rsidRDefault="003C66EB">
            <w:pPr>
              <w:rPr>
                <w:rFonts w:ascii="宋体"/>
                <w:vanish/>
              </w:rPr>
            </w:pPr>
          </w:p>
        </w:tc>
        <w:tc>
          <w:tcPr>
            <w:tcW w:w="0" w:type="auto"/>
            <w:gridSpan w:val="3"/>
            <w:shd w:val="clear" w:color="auto" w:fill="auto"/>
          </w:tcPr>
          <w:p w14:paraId="5EA1FA27" w14:textId="77777777" w:rsidR="003C66EB" w:rsidRDefault="003C66EB">
            <w:pPr>
              <w:rPr>
                <w:rFonts w:ascii="宋体"/>
                <w:vanish/>
              </w:rPr>
            </w:pPr>
          </w:p>
        </w:tc>
        <w:tc>
          <w:tcPr>
            <w:tcW w:w="0" w:type="auto"/>
            <w:gridSpan w:val="3"/>
            <w:shd w:val="clear" w:color="auto" w:fill="auto"/>
          </w:tcPr>
          <w:p w14:paraId="5EA1FA28" w14:textId="77777777" w:rsidR="003C66EB" w:rsidRDefault="003C66EB">
            <w:pPr>
              <w:rPr>
                <w:rFonts w:ascii="宋体"/>
                <w:vanish/>
              </w:rPr>
            </w:pPr>
          </w:p>
        </w:tc>
        <w:tc>
          <w:tcPr>
            <w:tcW w:w="0" w:type="auto"/>
            <w:gridSpan w:val="3"/>
            <w:shd w:val="clear" w:color="auto" w:fill="auto"/>
          </w:tcPr>
          <w:p w14:paraId="5EA1FA29" w14:textId="77777777" w:rsidR="003C66EB" w:rsidRDefault="003C66EB">
            <w:pPr>
              <w:rPr>
                <w:rFonts w:ascii="宋体"/>
                <w:vanish/>
              </w:rPr>
            </w:pPr>
          </w:p>
        </w:tc>
        <w:tc>
          <w:tcPr>
            <w:tcW w:w="0" w:type="auto"/>
            <w:shd w:val="clear" w:color="auto" w:fill="auto"/>
          </w:tcPr>
          <w:p w14:paraId="5EA1FA2A" w14:textId="77777777" w:rsidR="003C66EB" w:rsidRDefault="003C66EB">
            <w:pPr>
              <w:rPr>
                <w:rFonts w:ascii="宋体"/>
                <w:vanish/>
              </w:rPr>
            </w:pPr>
          </w:p>
        </w:tc>
        <w:tc>
          <w:tcPr>
            <w:tcW w:w="0" w:type="auto"/>
            <w:shd w:val="clear" w:color="auto" w:fill="auto"/>
          </w:tcPr>
          <w:p w14:paraId="5EA1FA2B" w14:textId="77777777" w:rsidR="003C66EB" w:rsidRDefault="003C66EB">
            <w:pPr>
              <w:rPr>
                <w:rFonts w:ascii="宋体"/>
                <w:vanish/>
              </w:rPr>
            </w:pPr>
          </w:p>
        </w:tc>
        <w:tc>
          <w:tcPr>
            <w:tcW w:w="0" w:type="auto"/>
            <w:gridSpan w:val="3"/>
            <w:shd w:val="clear" w:color="auto" w:fill="auto"/>
          </w:tcPr>
          <w:p w14:paraId="5EA1FA2C" w14:textId="77777777" w:rsidR="003C66EB" w:rsidRDefault="003C66EB">
            <w:pPr>
              <w:rPr>
                <w:rFonts w:ascii="宋体"/>
                <w:vanish/>
              </w:rPr>
            </w:pPr>
          </w:p>
        </w:tc>
        <w:tc>
          <w:tcPr>
            <w:tcW w:w="0" w:type="auto"/>
            <w:gridSpan w:val="3"/>
            <w:shd w:val="clear" w:color="auto" w:fill="auto"/>
          </w:tcPr>
          <w:p w14:paraId="5EA1FA2D" w14:textId="77777777" w:rsidR="003C66EB" w:rsidRDefault="003C66EB">
            <w:pPr>
              <w:rPr>
                <w:rFonts w:ascii="宋体"/>
                <w:vanish/>
              </w:rPr>
            </w:pPr>
          </w:p>
        </w:tc>
      </w:tr>
      <w:tr w:rsidR="003C66EB" w14:paraId="5EA1FA37" w14:textId="77777777">
        <w:trPr>
          <w:hidden/>
        </w:trPr>
        <w:tc>
          <w:tcPr>
            <w:tcW w:w="0" w:type="auto"/>
            <w:gridSpan w:val="3"/>
            <w:shd w:val="clear" w:color="auto" w:fill="auto"/>
          </w:tcPr>
          <w:p w14:paraId="5EA1FA2F" w14:textId="77777777" w:rsidR="003C66EB" w:rsidRDefault="003C66EB">
            <w:pPr>
              <w:rPr>
                <w:rFonts w:ascii="宋体"/>
                <w:vanish/>
              </w:rPr>
            </w:pPr>
          </w:p>
        </w:tc>
        <w:tc>
          <w:tcPr>
            <w:tcW w:w="0" w:type="auto"/>
            <w:gridSpan w:val="3"/>
            <w:shd w:val="clear" w:color="auto" w:fill="auto"/>
          </w:tcPr>
          <w:p w14:paraId="5EA1FA30" w14:textId="77777777" w:rsidR="003C66EB" w:rsidRDefault="003C66EB">
            <w:pPr>
              <w:rPr>
                <w:rFonts w:ascii="宋体"/>
                <w:vanish/>
              </w:rPr>
            </w:pPr>
          </w:p>
        </w:tc>
        <w:tc>
          <w:tcPr>
            <w:tcW w:w="0" w:type="auto"/>
            <w:gridSpan w:val="3"/>
            <w:shd w:val="clear" w:color="auto" w:fill="auto"/>
          </w:tcPr>
          <w:p w14:paraId="5EA1FA31" w14:textId="77777777" w:rsidR="003C66EB" w:rsidRDefault="003C66EB">
            <w:pPr>
              <w:rPr>
                <w:rFonts w:ascii="宋体"/>
                <w:vanish/>
              </w:rPr>
            </w:pPr>
          </w:p>
        </w:tc>
        <w:tc>
          <w:tcPr>
            <w:tcW w:w="0" w:type="auto"/>
            <w:gridSpan w:val="3"/>
            <w:shd w:val="clear" w:color="auto" w:fill="auto"/>
          </w:tcPr>
          <w:p w14:paraId="5EA1FA32" w14:textId="77777777" w:rsidR="003C66EB" w:rsidRDefault="003C66EB">
            <w:pPr>
              <w:rPr>
                <w:rFonts w:ascii="宋体"/>
                <w:vanish/>
              </w:rPr>
            </w:pPr>
          </w:p>
        </w:tc>
        <w:tc>
          <w:tcPr>
            <w:tcW w:w="0" w:type="auto"/>
            <w:shd w:val="clear" w:color="auto" w:fill="auto"/>
          </w:tcPr>
          <w:p w14:paraId="5EA1FA33" w14:textId="77777777" w:rsidR="003C66EB" w:rsidRDefault="003C66EB">
            <w:pPr>
              <w:rPr>
                <w:rFonts w:ascii="宋体"/>
                <w:vanish/>
              </w:rPr>
            </w:pPr>
          </w:p>
        </w:tc>
        <w:tc>
          <w:tcPr>
            <w:tcW w:w="0" w:type="auto"/>
            <w:shd w:val="clear" w:color="auto" w:fill="auto"/>
          </w:tcPr>
          <w:p w14:paraId="5EA1FA34" w14:textId="77777777" w:rsidR="003C66EB" w:rsidRDefault="003C66EB">
            <w:pPr>
              <w:rPr>
                <w:rFonts w:ascii="宋体"/>
                <w:vanish/>
              </w:rPr>
            </w:pPr>
          </w:p>
        </w:tc>
        <w:tc>
          <w:tcPr>
            <w:tcW w:w="0" w:type="auto"/>
            <w:gridSpan w:val="3"/>
            <w:shd w:val="clear" w:color="auto" w:fill="auto"/>
          </w:tcPr>
          <w:p w14:paraId="5EA1FA35" w14:textId="77777777" w:rsidR="003C66EB" w:rsidRDefault="003C66EB">
            <w:pPr>
              <w:rPr>
                <w:rFonts w:ascii="宋体"/>
                <w:vanish/>
              </w:rPr>
            </w:pPr>
          </w:p>
        </w:tc>
        <w:tc>
          <w:tcPr>
            <w:tcW w:w="0" w:type="auto"/>
            <w:gridSpan w:val="3"/>
            <w:shd w:val="clear" w:color="auto" w:fill="auto"/>
          </w:tcPr>
          <w:p w14:paraId="5EA1FA36" w14:textId="77777777" w:rsidR="003C66EB" w:rsidRDefault="003C66EB">
            <w:pPr>
              <w:rPr>
                <w:rFonts w:ascii="宋体"/>
                <w:vanish/>
              </w:rPr>
            </w:pPr>
          </w:p>
        </w:tc>
      </w:tr>
      <w:tr w:rsidR="003C66EB" w14:paraId="5EA1FA40" w14:textId="77777777">
        <w:trPr>
          <w:hidden/>
        </w:trPr>
        <w:tc>
          <w:tcPr>
            <w:tcW w:w="0" w:type="auto"/>
            <w:gridSpan w:val="3"/>
            <w:shd w:val="clear" w:color="auto" w:fill="auto"/>
          </w:tcPr>
          <w:p w14:paraId="5EA1FA38" w14:textId="77777777" w:rsidR="003C66EB" w:rsidRDefault="003C66EB">
            <w:pPr>
              <w:rPr>
                <w:rFonts w:ascii="宋体"/>
                <w:vanish/>
              </w:rPr>
            </w:pPr>
          </w:p>
        </w:tc>
        <w:tc>
          <w:tcPr>
            <w:tcW w:w="0" w:type="auto"/>
            <w:gridSpan w:val="3"/>
            <w:shd w:val="clear" w:color="auto" w:fill="auto"/>
          </w:tcPr>
          <w:p w14:paraId="5EA1FA39" w14:textId="77777777" w:rsidR="003C66EB" w:rsidRDefault="003C66EB">
            <w:pPr>
              <w:rPr>
                <w:rFonts w:ascii="宋体"/>
                <w:vanish/>
              </w:rPr>
            </w:pPr>
          </w:p>
        </w:tc>
        <w:tc>
          <w:tcPr>
            <w:tcW w:w="0" w:type="auto"/>
            <w:gridSpan w:val="3"/>
            <w:shd w:val="clear" w:color="auto" w:fill="auto"/>
          </w:tcPr>
          <w:p w14:paraId="5EA1FA3A" w14:textId="77777777" w:rsidR="003C66EB" w:rsidRDefault="003C66EB">
            <w:pPr>
              <w:rPr>
                <w:rFonts w:ascii="宋体"/>
                <w:vanish/>
              </w:rPr>
            </w:pPr>
          </w:p>
        </w:tc>
        <w:tc>
          <w:tcPr>
            <w:tcW w:w="0" w:type="auto"/>
            <w:gridSpan w:val="3"/>
            <w:shd w:val="clear" w:color="auto" w:fill="auto"/>
          </w:tcPr>
          <w:p w14:paraId="5EA1FA3B" w14:textId="77777777" w:rsidR="003C66EB" w:rsidRDefault="003C66EB">
            <w:pPr>
              <w:rPr>
                <w:rFonts w:ascii="宋体"/>
                <w:vanish/>
              </w:rPr>
            </w:pPr>
          </w:p>
        </w:tc>
        <w:tc>
          <w:tcPr>
            <w:tcW w:w="0" w:type="auto"/>
            <w:shd w:val="clear" w:color="auto" w:fill="auto"/>
          </w:tcPr>
          <w:p w14:paraId="5EA1FA3C" w14:textId="77777777" w:rsidR="003C66EB" w:rsidRDefault="003C66EB">
            <w:pPr>
              <w:rPr>
                <w:rFonts w:ascii="宋体"/>
                <w:vanish/>
              </w:rPr>
            </w:pPr>
          </w:p>
        </w:tc>
        <w:tc>
          <w:tcPr>
            <w:tcW w:w="0" w:type="auto"/>
            <w:shd w:val="clear" w:color="auto" w:fill="auto"/>
          </w:tcPr>
          <w:p w14:paraId="5EA1FA3D" w14:textId="77777777" w:rsidR="003C66EB" w:rsidRDefault="003C66EB">
            <w:pPr>
              <w:rPr>
                <w:rFonts w:ascii="宋体"/>
                <w:vanish/>
              </w:rPr>
            </w:pPr>
          </w:p>
        </w:tc>
        <w:tc>
          <w:tcPr>
            <w:tcW w:w="0" w:type="auto"/>
            <w:gridSpan w:val="3"/>
            <w:shd w:val="clear" w:color="auto" w:fill="auto"/>
          </w:tcPr>
          <w:p w14:paraId="5EA1FA3E" w14:textId="77777777" w:rsidR="003C66EB" w:rsidRDefault="003C66EB">
            <w:pPr>
              <w:rPr>
                <w:rFonts w:ascii="宋体"/>
                <w:vanish/>
              </w:rPr>
            </w:pPr>
          </w:p>
        </w:tc>
        <w:tc>
          <w:tcPr>
            <w:tcW w:w="0" w:type="auto"/>
            <w:gridSpan w:val="3"/>
            <w:shd w:val="clear" w:color="auto" w:fill="auto"/>
          </w:tcPr>
          <w:p w14:paraId="5EA1FA3F" w14:textId="77777777" w:rsidR="003C66EB" w:rsidRDefault="003C66EB">
            <w:pPr>
              <w:rPr>
                <w:rFonts w:ascii="宋体"/>
                <w:vanish/>
              </w:rPr>
            </w:pPr>
          </w:p>
        </w:tc>
      </w:tr>
      <w:tr w:rsidR="003C66EB" w14:paraId="5EA1FA49" w14:textId="77777777">
        <w:trPr>
          <w:hidden/>
        </w:trPr>
        <w:tc>
          <w:tcPr>
            <w:tcW w:w="0" w:type="auto"/>
            <w:gridSpan w:val="3"/>
            <w:shd w:val="clear" w:color="auto" w:fill="auto"/>
          </w:tcPr>
          <w:p w14:paraId="5EA1FA41" w14:textId="77777777" w:rsidR="003C66EB" w:rsidRDefault="003C66EB">
            <w:pPr>
              <w:rPr>
                <w:rFonts w:ascii="宋体"/>
                <w:vanish/>
              </w:rPr>
            </w:pPr>
          </w:p>
        </w:tc>
        <w:tc>
          <w:tcPr>
            <w:tcW w:w="0" w:type="auto"/>
            <w:gridSpan w:val="3"/>
            <w:shd w:val="clear" w:color="auto" w:fill="auto"/>
          </w:tcPr>
          <w:p w14:paraId="5EA1FA42" w14:textId="77777777" w:rsidR="003C66EB" w:rsidRDefault="003C66EB">
            <w:pPr>
              <w:rPr>
                <w:rFonts w:ascii="宋体"/>
                <w:vanish/>
              </w:rPr>
            </w:pPr>
          </w:p>
        </w:tc>
        <w:tc>
          <w:tcPr>
            <w:tcW w:w="0" w:type="auto"/>
            <w:gridSpan w:val="3"/>
            <w:shd w:val="clear" w:color="auto" w:fill="auto"/>
          </w:tcPr>
          <w:p w14:paraId="5EA1FA43" w14:textId="77777777" w:rsidR="003C66EB" w:rsidRDefault="003C66EB">
            <w:pPr>
              <w:rPr>
                <w:rFonts w:ascii="宋体"/>
                <w:vanish/>
              </w:rPr>
            </w:pPr>
          </w:p>
        </w:tc>
        <w:tc>
          <w:tcPr>
            <w:tcW w:w="0" w:type="auto"/>
            <w:gridSpan w:val="3"/>
            <w:shd w:val="clear" w:color="auto" w:fill="auto"/>
          </w:tcPr>
          <w:p w14:paraId="5EA1FA44" w14:textId="77777777" w:rsidR="003C66EB" w:rsidRDefault="003C66EB">
            <w:pPr>
              <w:rPr>
                <w:rFonts w:ascii="宋体"/>
                <w:vanish/>
              </w:rPr>
            </w:pPr>
          </w:p>
        </w:tc>
        <w:tc>
          <w:tcPr>
            <w:tcW w:w="0" w:type="auto"/>
            <w:shd w:val="clear" w:color="auto" w:fill="auto"/>
          </w:tcPr>
          <w:p w14:paraId="5EA1FA45" w14:textId="77777777" w:rsidR="003C66EB" w:rsidRDefault="003C66EB">
            <w:pPr>
              <w:rPr>
                <w:rFonts w:ascii="宋体"/>
                <w:vanish/>
              </w:rPr>
            </w:pPr>
          </w:p>
        </w:tc>
        <w:tc>
          <w:tcPr>
            <w:tcW w:w="0" w:type="auto"/>
            <w:shd w:val="clear" w:color="auto" w:fill="auto"/>
          </w:tcPr>
          <w:p w14:paraId="5EA1FA46" w14:textId="77777777" w:rsidR="003C66EB" w:rsidRDefault="003C66EB">
            <w:pPr>
              <w:rPr>
                <w:rFonts w:ascii="宋体"/>
                <w:vanish/>
              </w:rPr>
            </w:pPr>
          </w:p>
        </w:tc>
        <w:tc>
          <w:tcPr>
            <w:tcW w:w="0" w:type="auto"/>
            <w:gridSpan w:val="3"/>
            <w:shd w:val="clear" w:color="auto" w:fill="auto"/>
          </w:tcPr>
          <w:p w14:paraId="5EA1FA47" w14:textId="77777777" w:rsidR="003C66EB" w:rsidRDefault="003C66EB">
            <w:pPr>
              <w:rPr>
                <w:rFonts w:ascii="宋体"/>
                <w:vanish/>
              </w:rPr>
            </w:pPr>
          </w:p>
        </w:tc>
        <w:tc>
          <w:tcPr>
            <w:tcW w:w="0" w:type="auto"/>
            <w:gridSpan w:val="3"/>
            <w:shd w:val="clear" w:color="auto" w:fill="auto"/>
          </w:tcPr>
          <w:p w14:paraId="5EA1FA48" w14:textId="77777777" w:rsidR="003C66EB" w:rsidRDefault="003C66EB">
            <w:pPr>
              <w:rPr>
                <w:rFonts w:ascii="宋体"/>
                <w:vanish/>
              </w:rPr>
            </w:pPr>
          </w:p>
        </w:tc>
      </w:tr>
      <w:tr w:rsidR="003C66EB" w14:paraId="5EA1FA52" w14:textId="77777777">
        <w:trPr>
          <w:hidden/>
        </w:trPr>
        <w:tc>
          <w:tcPr>
            <w:tcW w:w="0" w:type="auto"/>
            <w:gridSpan w:val="3"/>
            <w:shd w:val="clear" w:color="auto" w:fill="auto"/>
          </w:tcPr>
          <w:p w14:paraId="5EA1FA4A" w14:textId="77777777" w:rsidR="003C66EB" w:rsidRDefault="003C66EB">
            <w:pPr>
              <w:rPr>
                <w:rFonts w:ascii="宋体"/>
                <w:vanish/>
              </w:rPr>
            </w:pPr>
          </w:p>
        </w:tc>
        <w:tc>
          <w:tcPr>
            <w:tcW w:w="0" w:type="auto"/>
            <w:gridSpan w:val="3"/>
            <w:shd w:val="clear" w:color="auto" w:fill="auto"/>
          </w:tcPr>
          <w:p w14:paraId="5EA1FA4B" w14:textId="77777777" w:rsidR="003C66EB" w:rsidRDefault="003C66EB">
            <w:pPr>
              <w:rPr>
                <w:rFonts w:ascii="宋体"/>
                <w:vanish/>
              </w:rPr>
            </w:pPr>
          </w:p>
        </w:tc>
        <w:tc>
          <w:tcPr>
            <w:tcW w:w="0" w:type="auto"/>
            <w:gridSpan w:val="3"/>
            <w:shd w:val="clear" w:color="auto" w:fill="auto"/>
          </w:tcPr>
          <w:p w14:paraId="5EA1FA4C" w14:textId="77777777" w:rsidR="003C66EB" w:rsidRDefault="003C66EB">
            <w:pPr>
              <w:rPr>
                <w:rFonts w:ascii="宋体"/>
                <w:vanish/>
              </w:rPr>
            </w:pPr>
          </w:p>
        </w:tc>
        <w:tc>
          <w:tcPr>
            <w:tcW w:w="0" w:type="auto"/>
            <w:gridSpan w:val="3"/>
            <w:shd w:val="clear" w:color="auto" w:fill="auto"/>
          </w:tcPr>
          <w:p w14:paraId="5EA1FA4D" w14:textId="77777777" w:rsidR="003C66EB" w:rsidRDefault="003C66EB">
            <w:pPr>
              <w:rPr>
                <w:rFonts w:ascii="宋体"/>
                <w:vanish/>
              </w:rPr>
            </w:pPr>
          </w:p>
        </w:tc>
        <w:tc>
          <w:tcPr>
            <w:tcW w:w="0" w:type="auto"/>
            <w:shd w:val="clear" w:color="auto" w:fill="auto"/>
          </w:tcPr>
          <w:p w14:paraId="5EA1FA4E" w14:textId="77777777" w:rsidR="003C66EB" w:rsidRDefault="003C66EB">
            <w:pPr>
              <w:rPr>
                <w:rFonts w:ascii="宋体"/>
                <w:vanish/>
              </w:rPr>
            </w:pPr>
          </w:p>
        </w:tc>
        <w:tc>
          <w:tcPr>
            <w:tcW w:w="0" w:type="auto"/>
            <w:shd w:val="clear" w:color="auto" w:fill="auto"/>
          </w:tcPr>
          <w:p w14:paraId="5EA1FA4F" w14:textId="77777777" w:rsidR="003C66EB" w:rsidRDefault="003C66EB">
            <w:pPr>
              <w:rPr>
                <w:rFonts w:ascii="宋体"/>
                <w:vanish/>
              </w:rPr>
            </w:pPr>
          </w:p>
        </w:tc>
        <w:tc>
          <w:tcPr>
            <w:tcW w:w="0" w:type="auto"/>
            <w:gridSpan w:val="3"/>
            <w:shd w:val="clear" w:color="auto" w:fill="auto"/>
          </w:tcPr>
          <w:p w14:paraId="5EA1FA50" w14:textId="77777777" w:rsidR="003C66EB" w:rsidRDefault="003C66EB">
            <w:pPr>
              <w:rPr>
                <w:rFonts w:ascii="宋体"/>
                <w:vanish/>
              </w:rPr>
            </w:pPr>
          </w:p>
        </w:tc>
        <w:tc>
          <w:tcPr>
            <w:tcW w:w="0" w:type="auto"/>
            <w:gridSpan w:val="3"/>
            <w:shd w:val="clear" w:color="auto" w:fill="auto"/>
          </w:tcPr>
          <w:p w14:paraId="5EA1FA51" w14:textId="77777777" w:rsidR="003C66EB" w:rsidRDefault="003C66EB">
            <w:pPr>
              <w:rPr>
                <w:rFonts w:ascii="宋体"/>
                <w:vanish/>
              </w:rPr>
            </w:pPr>
          </w:p>
        </w:tc>
      </w:tr>
      <w:tr w:rsidR="003C66EB" w14:paraId="5EA1FA5B" w14:textId="77777777">
        <w:trPr>
          <w:hidden/>
        </w:trPr>
        <w:tc>
          <w:tcPr>
            <w:tcW w:w="0" w:type="auto"/>
            <w:gridSpan w:val="3"/>
            <w:shd w:val="clear" w:color="auto" w:fill="auto"/>
          </w:tcPr>
          <w:p w14:paraId="5EA1FA53" w14:textId="77777777" w:rsidR="003C66EB" w:rsidRDefault="003C66EB">
            <w:pPr>
              <w:rPr>
                <w:rFonts w:ascii="宋体"/>
                <w:vanish/>
              </w:rPr>
            </w:pPr>
          </w:p>
        </w:tc>
        <w:tc>
          <w:tcPr>
            <w:tcW w:w="0" w:type="auto"/>
            <w:gridSpan w:val="3"/>
            <w:shd w:val="clear" w:color="auto" w:fill="auto"/>
          </w:tcPr>
          <w:p w14:paraId="5EA1FA54" w14:textId="77777777" w:rsidR="003C66EB" w:rsidRDefault="003C66EB">
            <w:pPr>
              <w:rPr>
                <w:rFonts w:ascii="宋体"/>
                <w:vanish/>
              </w:rPr>
            </w:pPr>
          </w:p>
        </w:tc>
        <w:tc>
          <w:tcPr>
            <w:tcW w:w="0" w:type="auto"/>
            <w:gridSpan w:val="3"/>
            <w:shd w:val="clear" w:color="auto" w:fill="auto"/>
          </w:tcPr>
          <w:p w14:paraId="5EA1FA55" w14:textId="77777777" w:rsidR="003C66EB" w:rsidRDefault="003C66EB">
            <w:pPr>
              <w:rPr>
                <w:rFonts w:ascii="宋体"/>
                <w:vanish/>
              </w:rPr>
            </w:pPr>
          </w:p>
        </w:tc>
        <w:tc>
          <w:tcPr>
            <w:tcW w:w="0" w:type="auto"/>
            <w:gridSpan w:val="3"/>
            <w:shd w:val="clear" w:color="auto" w:fill="auto"/>
          </w:tcPr>
          <w:p w14:paraId="5EA1FA56" w14:textId="77777777" w:rsidR="003C66EB" w:rsidRDefault="003C66EB">
            <w:pPr>
              <w:rPr>
                <w:rFonts w:ascii="宋体"/>
                <w:vanish/>
              </w:rPr>
            </w:pPr>
          </w:p>
        </w:tc>
        <w:tc>
          <w:tcPr>
            <w:tcW w:w="0" w:type="auto"/>
            <w:shd w:val="clear" w:color="auto" w:fill="auto"/>
          </w:tcPr>
          <w:p w14:paraId="5EA1FA57" w14:textId="77777777" w:rsidR="003C66EB" w:rsidRDefault="003C66EB">
            <w:pPr>
              <w:rPr>
                <w:rFonts w:ascii="宋体"/>
                <w:vanish/>
              </w:rPr>
            </w:pPr>
          </w:p>
        </w:tc>
        <w:tc>
          <w:tcPr>
            <w:tcW w:w="0" w:type="auto"/>
            <w:shd w:val="clear" w:color="auto" w:fill="auto"/>
          </w:tcPr>
          <w:p w14:paraId="5EA1FA58" w14:textId="77777777" w:rsidR="003C66EB" w:rsidRDefault="003C66EB">
            <w:pPr>
              <w:rPr>
                <w:rFonts w:ascii="宋体"/>
                <w:vanish/>
              </w:rPr>
            </w:pPr>
          </w:p>
        </w:tc>
        <w:tc>
          <w:tcPr>
            <w:tcW w:w="0" w:type="auto"/>
            <w:gridSpan w:val="3"/>
            <w:shd w:val="clear" w:color="auto" w:fill="auto"/>
          </w:tcPr>
          <w:p w14:paraId="5EA1FA59" w14:textId="77777777" w:rsidR="003C66EB" w:rsidRDefault="003C66EB">
            <w:pPr>
              <w:rPr>
                <w:rFonts w:ascii="宋体"/>
                <w:vanish/>
              </w:rPr>
            </w:pPr>
          </w:p>
        </w:tc>
        <w:tc>
          <w:tcPr>
            <w:tcW w:w="0" w:type="auto"/>
            <w:gridSpan w:val="3"/>
            <w:shd w:val="clear" w:color="auto" w:fill="auto"/>
          </w:tcPr>
          <w:p w14:paraId="5EA1FA5A" w14:textId="77777777" w:rsidR="003C66EB" w:rsidRDefault="003C66EB">
            <w:pPr>
              <w:rPr>
                <w:rFonts w:ascii="宋体"/>
                <w:vanish/>
              </w:rPr>
            </w:pPr>
          </w:p>
        </w:tc>
      </w:tr>
      <w:tr w:rsidR="003C66EB" w14:paraId="5EA1FA64" w14:textId="77777777">
        <w:trPr>
          <w:hidden/>
        </w:trPr>
        <w:tc>
          <w:tcPr>
            <w:tcW w:w="0" w:type="auto"/>
            <w:gridSpan w:val="3"/>
            <w:shd w:val="clear" w:color="auto" w:fill="auto"/>
          </w:tcPr>
          <w:p w14:paraId="5EA1FA5C" w14:textId="77777777" w:rsidR="003C66EB" w:rsidRDefault="003C66EB">
            <w:pPr>
              <w:rPr>
                <w:rFonts w:ascii="宋体"/>
                <w:vanish/>
              </w:rPr>
            </w:pPr>
          </w:p>
        </w:tc>
        <w:tc>
          <w:tcPr>
            <w:tcW w:w="0" w:type="auto"/>
            <w:gridSpan w:val="3"/>
            <w:shd w:val="clear" w:color="auto" w:fill="auto"/>
          </w:tcPr>
          <w:p w14:paraId="5EA1FA5D" w14:textId="77777777" w:rsidR="003C66EB" w:rsidRDefault="003C66EB">
            <w:pPr>
              <w:rPr>
                <w:rFonts w:ascii="宋体"/>
                <w:vanish/>
              </w:rPr>
            </w:pPr>
          </w:p>
        </w:tc>
        <w:tc>
          <w:tcPr>
            <w:tcW w:w="0" w:type="auto"/>
            <w:gridSpan w:val="3"/>
            <w:shd w:val="clear" w:color="auto" w:fill="auto"/>
          </w:tcPr>
          <w:p w14:paraId="5EA1FA5E" w14:textId="77777777" w:rsidR="003C66EB" w:rsidRDefault="003C66EB">
            <w:pPr>
              <w:rPr>
                <w:rFonts w:ascii="宋体"/>
                <w:vanish/>
              </w:rPr>
            </w:pPr>
          </w:p>
        </w:tc>
        <w:tc>
          <w:tcPr>
            <w:tcW w:w="0" w:type="auto"/>
            <w:gridSpan w:val="3"/>
            <w:shd w:val="clear" w:color="auto" w:fill="auto"/>
          </w:tcPr>
          <w:p w14:paraId="5EA1FA5F" w14:textId="77777777" w:rsidR="003C66EB" w:rsidRDefault="003C66EB">
            <w:pPr>
              <w:rPr>
                <w:rFonts w:ascii="宋体"/>
                <w:vanish/>
              </w:rPr>
            </w:pPr>
          </w:p>
        </w:tc>
        <w:tc>
          <w:tcPr>
            <w:tcW w:w="0" w:type="auto"/>
            <w:shd w:val="clear" w:color="auto" w:fill="auto"/>
          </w:tcPr>
          <w:p w14:paraId="5EA1FA60" w14:textId="77777777" w:rsidR="003C66EB" w:rsidRDefault="003C66EB">
            <w:pPr>
              <w:rPr>
                <w:rFonts w:ascii="宋体"/>
                <w:vanish/>
              </w:rPr>
            </w:pPr>
          </w:p>
        </w:tc>
        <w:tc>
          <w:tcPr>
            <w:tcW w:w="0" w:type="auto"/>
            <w:shd w:val="clear" w:color="auto" w:fill="auto"/>
          </w:tcPr>
          <w:p w14:paraId="5EA1FA61" w14:textId="77777777" w:rsidR="003C66EB" w:rsidRDefault="003C66EB">
            <w:pPr>
              <w:rPr>
                <w:rFonts w:ascii="宋体"/>
                <w:vanish/>
              </w:rPr>
            </w:pPr>
          </w:p>
        </w:tc>
        <w:tc>
          <w:tcPr>
            <w:tcW w:w="0" w:type="auto"/>
            <w:gridSpan w:val="3"/>
            <w:shd w:val="clear" w:color="auto" w:fill="auto"/>
          </w:tcPr>
          <w:p w14:paraId="5EA1FA62" w14:textId="77777777" w:rsidR="003C66EB" w:rsidRDefault="003C66EB">
            <w:pPr>
              <w:rPr>
                <w:rFonts w:ascii="宋体"/>
                <w:vanish/>
              </w:rPr>
            </w:pPr>
          </w:p>
        </w:tc>
        <w:tc>
          <w:tcPr>
            <w:tcW w:w="0" w:type="auto"/>
            <w:gridSpan w:val="3"/>
            <w:shd w:val="clear" w:color="auto" w:fill="auto"/>
          </w:tcPr>
          <w:p w14:paraId="5EA1FA63" w14:textId="77777777" w:rsidR="003C66EB" w:rsidRDefault="003C66EB">
            <w:pPr>
              <w:rPr>
                <w:rFonts w:ascii="宋体"/>
                <w:vanish/>
              </w:rPr>
            </w:pPr>
          </w:p>
        </w:tc>
      </w:tr>
      <w:tr w:rsidR="003C66EB" w14:paraId="5EA1FA6D" w14:textId="77777777">
        <w:trPr>
          <w:hidden/>
        </w:trPr>
        <w:tc>
          <w:tcPr>
            <w:tcW w:w="0" w:type="auto"/>
            <w:gridSpan w:val="3"/>
            <w:shd w:val="clear" w:color="auto" w:fill="auto"/>
          </w:tcPr>
          <w:p w14:paraId="5EA1FA65" w14:textId="77777777" w:rsidR="003C66EB" w:rsidRDefault="003C66EB">
            <w:pPr>
              <w:rPr>
                <w:rFonts w:ascii="宋体"/>
                <w:vanish/>
              </w:rPr>
            </w:pPr>
          </w:p>
        </w:tc>
        <w:tc>
          <w:tcPr>
            <w:tcW w:w="0" w:type="auto"/>
            <w:gridSpan w:val="3"/>
            <w:shd w:val="clear" w:color="auto" w:fill="auto"/>
          </w:tcPr>
          <w:p w14:paraId="5EA1FA66" w14:textId="77777777" w:rsidR="003C66EB" w:rsidRDefault="003C66EB">
            <w:pPr>
              <w:rPr>
                <w:rFonts w:ascii="宋体"/>
                <w:vanish/>
              </w:rPr>
            </w:pPr>
          </w:p>
        </w:tc>
        <w:tc>
          <w:tcPr>
            <w:tcW w:w="0" w:type="auto"/>
            <w:gridSpan w:val="3"/>
            <w:shd w:val="clear" w:color="auto" w:fill="auto"/>
          </w:tcPr>
          <w:p w14:paraId="5EA1FA67" w14:textId="77777777" w:rsidR="003C66EB" w:rsidRDefault="003C66EB">
            <w:pPr>
              <w:rPr>
                <w:rFonts w:ascii="宋体"/>
                <w:vanish/>
              </w:rPr>
            </w:pPr>
          </w:p>
        </w:tc>
        <w:tc>
          <w:tcPr>
            <w:tcW w:w="0" w:type="auto"/>
            <w:gridSpan w:val="3"/>
            <w:shd w:val="clear" w:color="auto" w:fill="auto"/>
          </w:tcPr>
          <w:p w14:paraId="5EA1FA68" w14:textId="77777777" w:rsidR="003C66EB" w:rsidRDefault="003C66EB">
            <w:pPr>
              <w:rPr>
                <w:rFonts w:ascii="宋体"/>
                <w:vanish/>
              </w:rPr>
            </w:pPr>
          </w:p>
        </w:tc>
        <w:tc>
          <w:tcPr>
            <w:tcW w:w="0" w:type="auto"/>
            <w:shd w:val="clear" w:color="auto" w:fill="auto"/>
          </w:tcPr>
          <w:p w14:paraId="5EA1FA69" w14:textId="77777777" w:rsidR="003C66EB" w:rsidRDefault="003C66EB">
            <w:pPr>
              <w:rPr>
                <w:rFonts w:ascii="宋体"/>
                <w:vanish/>
              </w:rPr>
            </w:pPr>
          </w:p>
        </w:tc>
        <w:tc>
          <w:tcPr>
            <w:tcW w:w="0" w:type="auto"/>
            <w:shd w:val="clear" w:color="auto" w:fill="auto"/>
          </w:tcPr>
          <w:p w14:paraId="5EA1FA6A" w14:textId="77777777" w:rsidR="003C66EB" w:rsidRDefault="003C66EB">
            <w:pPr>
              <w:rPr>
                <w:rFonts w:ascii="宋体"/>
                <w:vanish/>
              </w:rPr>
            </w:pPr>
          </w:p>
        </w:tc>
        <w:tc>
          <w:tcPr>
            <w:tcW w:w="0" w:type="auto"/>
            <w:gridSpan w:val="3"/>
            <w:shd w:val="clear" w:color="auto" w:fill="auto"/>
          </w:tcPr>
          <w:p w14:paraId="5EA1FA6B" w14:textId="77777777" w:rsidR="003C66EB" w:rsidRDefault="003C66EB">
            <w:pPr>
              <w:rPr>
                <w:rFonts w:ascii="宋体"/>
                <w:vanish/>
              </w:rPr>
            </w:pPr>
          </w:p>
        </w:tc>
        <w:tc>
          <w:tcPr>
            <w:tcW w:w="0" w:type="auto"/>
            <w:gridSpan w:val="3"/>
            <w:shd w:val="clear" w:color="auto" w:fill="auto"/>
          </w:tcPr>
          <w:p w14:paraId="5EA1FA6C" w14:textId="77777777" w:rsidR="003C66EB" w:rsidRDefault="003C66EB">
            <w:pPr>
              <w:rPr>
                <w:rFonts w:ascii="宋体"/>
                <w:vanish/>
              </w:rPr>
            </w:pPr>
          </w:p>
        </w:tc>
      </w:tr>
      <w:tr w:rsidR="003C66EB" w14:paraId="5EA1FA76" w14:textId="77777777">
        <w:trPr>
          <w:hidden/>
        </w:trPr>
        <w:tc>
          <w:tcPr>
            <w:tcW w:w="0" w:type="auto"/>
            <w:gridSpan w:val="3"/>
            <w:shd w:val="clear" w:color="auto" w:fill="auto"/>
          </w:tcPr>
          <w:p w14:paraId="5EA1FA6E" w14:textId="77777777" w:rsidR="003C66EB" w:rsidRDefault="003C66EB">
            <w:pPr>
              <w:rPr>
                <w:rFonts w:ascii="宋体"/>
                <w:vanish/>
              </w:rPr>
            </w:pPr>
          </w:p>
        </w:tc>
        <w:tc>
          <w:tcPr>
            <w:tcW w:w="0" w:type="auto"/>
            <w:gridSpan w:val="3"/>
            <w:shd w:val="clear" w:color="auto" w:fill="auto"/>
          </w:tcPr>
          <w:p w14:paraId="5EA1FA6F" w14:textId="77777777" w:rsidR="003C66EB" w:rsidRDefault="003C66EB">
            <w:pPr>
              <w:rPr>
                <w:rFonts w:ascii="宋体"/>
                <w:vanish/>
              </w:rPr>
            </w:pPr>
          </w:p>
        </w:tc>
        <w:tc>
          <w:tcPr>
            <w:tcW w:w="0" w:type="auto"/>
            <w:gridSpan w:val="3"/>
            <w:shd w:val="clear" w:color="auto" w:fill="auto"/>
          </w:tcPr>
          <w:p w14:paraId="5EA1FA70" w14:textId="77777777" w:rsidR="003C66EB" w:rsidRDefault="003C66EB">
            <w:pPr>
              <w:rPr>
                <w:rFonts w:ascii="宋体"/>
                <w:vanish/>
              </w:rPr>
            </w:pPr>
          </w:p>
        </w:tc>
        <w:tc>
          <w:tcPr>
            <w:tcW w:w="0" w:type="auto"/>
            <w:gridSpan w:val="3"/>
            <w:shd w:val="clear" w:color="auto" w:fill="auto"/>
          </w:tcPr>
          <w:p w14:paraId="5EA1FA71" w14:textId="77777777" w:rsidR="003C66EB" w:rsidRDefault="003C66EB">
            <w:pPr>
              <w:rPr>
                <w:rFonts w:ascii="宋体"/>
                <w:vanish/>
              </w:rPr>
            </w:pPr>
          </w:p>
        </w:tc>
        <w:tc>
          <w:tcPr>
            <w:tcW w:w="0" w:type="auto"/>
            <w:shd w:val="clear" w:color="auto" w:fill="auto"/>
          </w:tcPr>
          <w:p w14:paraId="5EA1FA72" w14:textId="77777777" w:rsidR="003C66EB" w:rsidRDefault="003C66EB">
            <w:pPr>
              <w:rPr>
                <w:rFonts w:ascii="宋体"/>
                <w:vanish/>
              </w:rPr>
            </w:pPr>
          </w:p>
        </w:tc>
        <w:tc>
          <w:tcPr>
            <w:tcW w:w="0" w:type="auto"/>
            <w:shd w:val="clear" w:color="auto" w:fill="auto"/>
          </w:tcPr>
          <w:p w14:paraId="5EA1FA73" w14:textId="77777777" w:rsidR="003C66EB" w:rsidRDefault="003C66EB">
            <w:pPr>
              <w:rPr>
                <w:rFonts w:ascii="宋体"/>
                <w:vanish/>
              </w:rPr>
            </w:pPr>
          </w:p>
        </w:tc>
        <w:tc>
          <w:tcPr>
            <w:tcW w:w="0" w:type="auto"/>
            <w:gridSpan w:val="3"/>
            <w:shd w:val="clear" w:color="auto" w:fill="auto"/>
          </w:tcPr>
          <w:p w14:paraId="5EA1FA74" w14:textId="77777777" w:rsidR="003C66EB" w:rsidRDefault="003C66EB">
            <w:pPr>
              <w:rPr>
                <w:rFonts w:ascii="宋体"/>
                <w:vanish/>
              </w:rPr>
            </w:pPr>
          </w:p>
        </w:tc>
        <w:tc>
          <w:tcPr>
            <w:tcW w:w="0" w:type="auto"/>
            <w:gridSpan w:val="3"/>
            <w:shd w:val="clear" w:color="auto" w:fill="auto"/>
          </w:tcPr>
          <w:p w14:paraId="5EA1FA75" w14:textId="77777777" w:rsidR="003C66EB" w:rsidRDefault="003C66EB">
            <w:pPr>
              <w:rPr>
                <w:rFonts w:ascii="宋体"/>
                <w:vanish/>
              </w:rPr>
            </w:pPr>
          </w:p>
        </w:tc>
      </w:tr>
      <w:tr w:rsidR="003C66EB" w14:paraId="5EA1FA7F" w14:textId="77777777">
        <w:trPr>
          <w:hidden/>
        </w:trPr>
        <w:tc>
          <w:tcPr>
            <w:tcW w:w="0" w:type="auto"/>
            <w:gridSpan w:val="3"/>
            <w:shd w:val="clear" w:color="auto" w:fill="auto"/>
          </w:tcPr>
          <w:p w14:paraId="5EA1FA77" w14:textId="77777777" w:rsidR="003C66EB" w:rsidRDefault="003C66EB">
            <w:pPr>
              <w:rPr>
                <w:rFonts w:ascii="宋体"/>
                <w:vanish/>
              </w:rPr>
            </w:pPr>
          </w:p>
        </w:tc>
        <w:tc>
          <w:tcPr>
            <w:tcW w:w="0" w:type="auto"/>
            <w:gridSpan w:val="3"/>
            <w:shd w:val="clear" w:color="auto" w:fill="auto"/>
          </w:tcPr>
          <w:p w14:paraId="5EA1FA78" w14:textId="77777777" w:rsidR="003C66EB" w:rsidRDefault="003C66EB">
            <w:pPr>
              <w:rPr>
                <w:rFonts w:ascii="宋体"/>
                <w:vanish/>
              </w:rPr>
            </w:pPr>
          </w:p>
        </w:tc>
        <w:tc>
          <w:tcPr>
            <w:tcW w:w="0" w:type="auto"/>
            <w:gridSpan w:val="3"/>
            <w:shd w:val="clear" w:color="auto" w:fill="auto"/>
          </w:tcPr>
          <w:p w14:paraId="5EA1FA79" w14:textId="77777777" w:rsidR="003C66EB" w:rsidRDefault="003C66EB">
            <w:pPr>
              <w:rPr>
                <w:rFonts w:ascii="宋体"/>
                <w:vanish/>
              </w:rPr>
            </w:pPr>
          </w:p>
        </w:tc>
        <w:tc>
          <w:tcPr>
            <w:tcW w:w="0" w:type="auto"/>
            <w:gridSpan w:val="3"/>
            <w:shd w:val="clear" w:color="auto" w:fill="auto"/>
          </w:tcPr>
          <w:p w14:paraId="5EA1FA7A" w14:textId="77777777" w:rsidR="003C66EB" w:rsidRDefault="003C66EB">
            <w:pPr>
              <w:rPr>
                <w:rFonts w:ascii="宋体"/>
                <w:vanish/>
              </w:rPr>
            </w:pPr>
          </w:p>
        </w:tc>
        <w:tc>
          <w:tcPr>
            <w:tcW w:w="0" w:type="auto"/>
            <w:shd w:val="clear" w:color="auto" w:fill="auto"/>
          </w:tcPr>
          <w:p w14:paraId="5EA1FA7B" w14:textId="77777777" w:rsidR="003C66EB" w:rsidRDefault="003C66EB">
            <w:pPr>
              <w:rPr>
                <w:rFonts w:ascii="宋体"/>
                <w:vanish/>
              </w:rPr>
            </w:pPr>
          </w:p>
        </w:tc>
        <w:tc>
          <w:tcPr>
            <w:tcW w:w="0" w:type="auto"/>
            <w:shd w:val="clear" w:color="auto" w:fill="auto"/>
          </w:tcPr>
          <w:p w14:paraId="5EA1FA7C" w14:textId="77777777" w:rsidR="003C66EB" w:rsidRDefault="003C66EB">
            <w:pPr>
              <w:rPr>
                <w:rFonts w:ascii="宋体"/>
                <w:vanish/>
              </w:rPr>
            </w:pPr>
          </w:p>
        </w:tc>
        <w:tc>
          <w:tcPr>
            <w:tcW w:w="0" w:type="auto"/>
            <w:gridSpan w:val="3"/>
            <w:shd w:val="clear" w:color="auto" w:fill="auto"/>
          </w:tcPr>
          <w:p w14:paraId="5EA1FA7D" w14:textId="77777777" w:rsidR="003C66EB" w:rsidRDefault="003C66EB">
            <w:pPr>
              <w:rPr>
                <w:rFonts w:ascii="宋体"/>
                <w:vanish/>
              </w:rPr>
            </w:pPr>
          </w:p>
        </w:tc>
        <w:tc>
          <w:tcPr>
            <w:tcW w:w="0" w:type="auto"/>
            <w:gridSpan w:val="3"/>
            <w:shd w:val="clear" w:color="auto" w:fill="auto"/>
          </w:tcPr>
          <w:p w14:paraId="5EA1FA7E" w14:textId="77777777" w:rsidR="003C66EB" w:rsidRDefault="003C66EB">
            <w:pPr>
              <w:rPr>
                <w:rFonts w:ascii="宋体"/>
                <w:vanish/>
              </w:rPr>
            </w:pPr>
          </w:p>
        </w:tc>
      </w:tr>
      <w:tr w:rsidR="003C66EB" w14:paraId="5EA1FA88" w14:textId="77777777">
        <w:trPr>
          <w:hidden/>
        </w:trPr>
        <w:tc>
          <w:tcPr>
            <w:tcW w:w="0" w:type="auto"/>
            <w:gridSpan w:val="3"/>
            <w:shd w:val="clear" w:color="auto" w:fill="auto"/>
          </w:tcPr>
          <w:p w14:paraId="5EA1FA80" w14:textId="77777777" w:rsidR="003C66EB" w:rsidRDefault="003C66EB">
            <w:pPr>
              <w:rPr>
                <w:rFonts w:ascii="宋体"/>
                <w:vanish/>
              </w:rPr>
            </w:pPr>
          </w:p>
        </w:tc>
        <w:tc>
          <w:tcPr>
            <w:tcW w:w="0" w:type="auto"/>
            <w:gridSpan w:val="3"/>
            <w:shd w:val="clear" w:color="auto" w:fill="auto"/>
          </w:tcPr>
          <w:p w14:paraId="5EA1FA81" w14:textId="77777777" w:rsidR="003C66EB" w:rsidRDefault="003C66EB">
            <w:pPr>
              <w:rPr>
                <w:rFonts w:ascii="宋体"/>
                <w:vanish/>
              </w:rPr>
            </w:pPr>
          </w:p>
        </w:tc>
        <w:tc>
          <w:tcPr>
            <w:tcW w:w="0" w:type="auto"/>
            <w:gridSpan w:val="3"/>
            <w:shd w:val="clear" w:color="auto" w:fill="auto"/>
          </w:tcPr>
          <w:p w14:paraId="5EA1FA82" w14:textId="77777777" w:rsidR="003C66EB" w:rsidRDefault="003C66EB">
            <w:pPr>
              <w:rPr>
                <w:rFonts w:ascii="宋体"/>
                <w:vanish/>
              </w:rPr>
            </w:pPr>
          </w:p>
        </w:tc>
        <w:tc>
          <w:tcPr>
            <w:tcW w:w="0" w:type="auto"/>
            <w:gridSpan w:val="3"/>
            <w:shd w:val="clear" w:color="auto" w:fill="auto"/>
          </w:tcPr>
          <w:p w14:paraId="5EA1FA83" w14:textId="77777777" w:rsidR="003C66EB" w:rsidRDefault="003C66EB">
            <w:pPr>
              <w:rPr>
                <w:rFonts w:ascii="宋体"/>
                <w:vanish/>
              </w:rPr>
            </w:pPr>
          </w:p>
        </w:tc>
        <w:tc>
          <w:tcPr>
            <w:tcW w:w="0" w:type="auto"/>
            <w:shd w:val="clear" w:color="auto" w:fill="auto"/>
          </w:tcPr>
          <w:p w14:paraId="5EA1FA84" w14:textId="77777777" w:rsidR="003C66EB" w:rsidRDefault="003C66EB">
            <w:pPr>
              <w:rPr>
                <w:rFonts w:ascii="宋体"/>
                <w:vanish/>
              </w:rPr>
            </w:pPr>
          </w:p>
        </w:tc>
        <w:tc>
          <w:tcPr>
            <w:tcW w:w="0" w:type="auto"/>
            <w:shd w:val="clear" w:color="auto" w:fill="auto"/>
          </w:tcPr>
          <w:p w14:paraId="5EA1FA85" w14:textId="77777777" w:rsidR="003C66EB" w:rsidRDefault="003C66EB">
            <w:pPr>
              <w:rPr>
                <w:rFonts w:ascii="宋体"/>
                <w:vanish/>
              </w:rPr>
            </w:pPr>
          </w:p>
        </w:tc>
        <w:tc>
          <w:tcPr>
            <w:tcW w:w="0" w:type="auto"/>
            <w:gridSpan w:val="3"/>
            <w:shd w:val="clear" w:color="auto" w:fill="auto"/>
          </w:tcPr>
          <w:p w14:paraId="5EA1FA86" w14:textId="77777777" w:rsidR="003C66EB" w:rsidRDefault="003C66EB">
            <w:pPr>
              <w:rPr>
                <w:rFonts w:ascii="宋体"/>
                <w:vanish/>
              </w:rPr>
            </w:pPr>
          </w:p>
        </w:tc>
        <w:tc>
          <w:tcPr>
            <w:tcW w:w="0" w:type="auto"/>
            <w:gridSpan w:val="3"/>
            <w:shd w:val="clear" w:color="auto" w:fill="auto"/>
          </w:tcPr>
          <w:p w14:paraId="5EA1FA87" w14:textId="77777777" w:rsidR="003C66EB" w:rsidRDefault="003C66EB">
            <w:pPr>
              <w:rPr>
                <w:rFonts w:ascii="宋体"/>
                <w:vanish/>
              </w:rPr>
            </w:pPr>
          </w:p>
        </w:tc>
      </w:tr>
      <w:tr w:rsidR="003C66EB" w14:paraId="5EA1FA91" w14:textId="77777777">
        <w:trPr>
          <w:hidden/>
        </w:trPr>
        <w:tc>
          <w:tcPr>
            <w:tcW w:w="0" w:type="auto"/>
            <w:gridSpan w:val="3"/>
            <w:shd w:val="clear" w:color="auto" w:fill="auto"/>
          </w:tcPr>
          <w:p w14:paraId="5EA1FA89" w14:textId="77777777" w:rsidR="003C66EB" w:rsidRDefault="003C66EB">
            <w:pPr>
              <w:rPr>
                <w:rFonts w:ascii="宋体"/>
                <w:vanish/>
              </w:rPr>
            </w:pPr>
          </w:p>
        </w:tc>
        <w:tc>
          <w:tcPr>
            <w:tcW w:w="0" w:type="auto"/>
            <w:gridSpan w:val="3"/>
            <w:shd w:val="clear" w:color="auto" w:fill="auto"/>
          </w:tcPr>
          <w:p w14:paraId="5EA1FA8A" w14:textId="77777777" w:rsidR="003C66EB" w:rsidRDefault="003C66EB">
            <w:pPr>
              <w:rPr>
                <w:rFonts w:ascii="宋体"/>
                <w:vanish/>
              </w:rPr>
            </w:pPr>
          </w:p>
        </w:tc>
        <w:tc>
          <w:tcPr>
            <w:tcW w:w="0" w:type="auto"/>
            <w:gridSpan w:val="3"/>
            <w:shd w:val="clear" w:color="auto" w:fill="auto"/>
          </w:tcPr>
          <w:p w14:paraId="5EA1FA8B" w14:textId="77777777" w:rsidR="003C66EB" w:rsidRDefault="003C66EB">
            <w:pPr>
              <w:rPr>
                <w:rFonts w:ascii="宋体"/>
                <w:vanish/>
              </w:rPr>
            </w:pPr>
          </w:p>
        </w:tc>
        <w:tc>
          <w:tcPr>
            <w:tcW w:w="0" w:type="auto"/>
            <w:gridSpan w:val="3"/>
            <w:shd w:val="clear" w:color="auto" w:fill="auto"/>
          </w:tcPr>
          <w:p w14:paraId="5EA1FA8C" w14:textId="77777777" w:rsidR="003C66EB" w:rsidRDefault="003C66EB">
            <w:pPr>
              <w:rPr>
                <w:rFonts w:ascii="宋体"/>
                <w:vanish/>
              </w:rPr>
            </w:pPr>
          </w:p>
        </w:tc>
        <w:tc>
          <w:tcPr>
            <w:tcW w:w="0" w:type="auto"/>
            <w:shd w:val="clear" w:color="auto" w:fill="auto"/>
          </w:tcPr>
          <w:p w14:paraId="5EA1FA8D" w14:textId="77777777" w:rsidR="003C66EB" w:rsidRDefault="003C66EB">
            <w:pPr>
              <w:rPr>
                <w:rFonts w:ascii="宋体"/>
                <w:vanish/>
              </w:rPr>
            </w:pPr>
          </w:p>
        </w:tc>
        <w:tc>
          <w:tcPr>
            <w:tcW w:w="0" w:type="auto"/>
            <w:shd w:val="clear" w:color="auto" w:fill="auto"/>
          </w:tcPr>
          <w:p w14:paraId="5EA1FA8E" w14:textId="77777777" w:rsidR="003C66EB" w:rsidRDefault="003C66EB">
            <w:pPr>
              <w:rPr>
                <w:rFonts w:ascii="宋体"/>
                <w:vanish/>
              </w:rPr>
            </w:pPr>
          </w:p>
        </w:tc>
        <w:tc>
          <w:tcPr>
            <w:tcW w:w="0" w:type="auto"/>
            <w:gridSpan w:val="3"/>
            <w:shd w:val="clear" w:color="auto" w:fill="auto"/>
          </w:tcPr>
          <w:p w14:paraId="5EA1FA8F" w14:textId="77777777" w:rsidR="003C66EB" w:rsidRDefault="003C66EB">
            <w:pPr>
              <w:rPr>
                <w:rFonts w:ascii="宋体"/>
                <w:vanish/>
              </w:rPr>
            </w:pPr>
          </w:p>
        </w:tc>
        <w:tc>
          <w:tcPr>
            <w:tcW w:w="0" w:type="auto"/>
            <w:gridSpan w:val="3"/>
            <w:shd w:val="clear" w:color="auto" w:fill="auto"/>
          </w:tcPr>
          <w:p w14:paraId="5EA1FA90" w14:textId="77777777" w:rsidR="003C66EB" w:rsidRDefault="003C66EB">
            <w:pPr>
              <w:rPr>
                <w:rFonts w:ascii="宋体"/>
                <w:vanish/>
              </w:rPr>
            </w:pPr>
          </w:p>
        </w:tc>
      </w:tr>
      <w:tr w:rsidR="003C66EB" w14:paraId="5EA1FA9A" w14:textId="77777777">
        <w:trPr>
          <w:hidden/>
        </w:trPr>
        <w:tc>
          <w:tcPr>
            <w:tcW w:w="0" w:type="auto"/>
            <w:gridSpan w:val="3"/>
            <w:shd w:val="clear" w:color="auto" w:fill="auto"/>
          </w:tcPr>
          <w:p w14:paraId="5EA1FA92" w14:textId="77777777" w:rsidR="003C66EB" w:rsidRDefault="003C66EB">
            <w:pPr>
              <w:rPr>
                <w:rFonts w:ascii="宋体"/>
                <w:vanish/>
              </w:rPr>
            </w:pPr>
          </w:p>
        </w:tc>
        <w:tc>
          <w:tcPr>
            <w:tcW w:w="0" w:type="auto"/>
            <w:gridSpan w:val="3"/>
            <w:shd w:val="clear" w:color="auto" w:fill="auto"/>
          </w:tcPr>
          <w:p w14:paraId="5EA1FA93" w14:textId="77777777" w:rsidR="003C66EB" w:rsidRDefault="003C66EB">
            <w:pPr>
              <w:rPr>
                <w:rFonts w:ascii="宋体"/>
                <w:vanish/>
              </w:rPr>
            </w:pPr>
          </w:p>
        </w:tc>
        <w:tc>
          <w:tcPr>
            <w:tcW w:w="0" w:type="auto"/>
            <w:gridSpan w:val="3"/>
            <w:shd w:val="clear" w:color="auto" w:fill="auto"/>
          </w:tcPr>
          <w:p w14:paraId="5EA1FA94" w14:textId="77777777" w:rsidR="003C66EB" w:rsidRDefault="003C66EB">
            <w:pPr>
              <w:rPr>
                <w:rFonts w:ascii="宋体"/>
                <w:vanish/>
              </w:rPr>
            </w:pPr>
          </w:p>
        </w:tc>
        <w:tc>
          <w:tcPr>
            <w:tcW w:w="0" w:type="auto"/>
            <w:gridSpan w:val="3"/>
            <w:shd w:val="clear" w:color="auto" w:fill="auto"/>
          </w:tcPr>
          <w:p w14:paraId="5EA1FA95" w14:textId="77777777" w:rsidR="003C66EB" w:rsidRDefault="003C66EB">
            <w:pPr>
              <w:rPr>
                <w:rFonts w:ascii="宋体"/>
                <w:vanish/>
              </w:rPr>
            </w:pPr>
          </w:p>
        </w:tc>
        <w:tc>
          <w:tcPr>
            <w:tcW w:w="0" w:type="auto"/>
            <w:shd w:val="clear" w:color="auto" w:fill="auto"/>
          </w:tcPr>
          <w:p w14:paraId="5EA1FA96" w14:textId="77777777" w:rsidR="003C66EB" w:rsidRDefault="003C66EB">
            <w:pPr>
              <w:rPr>
                <w:rFonts w:ascii="宋体"/>
                <w:vanish/>
              </w:rPr>
            </w:pPr>
          </w:p>
        </w:tc>
        <w:tc>
          <w:tcPr>
            <w:tcW w:w="0" w:type="auto"/>
            <w:shd w:val="clear" w:color="auto" w:fill="auto"/>
          </w:tcPr>
          <w:p w14:paraId="5EA1FA97" w14:textId="77777777" w:rsidR="003C66EB" w:rsidRDefault="003C66EB">
            <w:pPr>
              <w:rPr>
                <w:rFonts w:ascii="宋体"/>
                <w:vanish/>
              </w:rPr>
            </w:pPr>
          </w:p>
        </w:tc>
        <w:tc>
          <w:tcPr>
            <w:tcW w:w="0" w:type="auto"/>
            <w:gridSpan w:val="3"/>
            <w:shd w:val="clear" w:color="auto" w:fill="auto"/>
          </w:tcPr>
          <w:p w14:paraId="5EA1FA98" w14:textId="77777777" w:rsidR="003C66EB" w:rsidRDefault="003C66EB">
            <w:pPr>
              <w:rPr>
                <w:rFonts w:ascii="宋体"/>
                <w:vanish/>
              </w:rPr>
            </w:pPr>
          </w:p>
        </w:tc>
        <w:tc>
          <w:tcPr>
            <w:tcW w:w="0" w:type="auto"/>
            <w:gridSpan w:val="3"/>
            <w:shd w:val="clear" w:color="auto" w:fill="auto"/>
          </w:tcPr>
          <w:p w14:paraId="5EA1FA99" w14:textId="77777777" w:rsidR="003C66EB" w:rsidRDefault="003C66EB">
            <w:pPr>
              <w:rPr>
                <w:rFonts w:ascii="宋体"/>
                <w:vanish/>
              </w:rPr>
            </w:pPr>
          </w:p>
        </w:tc>
      </w:tr>
      <w:tr w:rsidR="003C66EB" w14:paraId="5EA1FAA3" w14:textId="77777777">
        <w:trPr>
          <w:hidden/>
        </w:trPr>
        <w:tc>
          <w:tcPr>
            <w:tcW w:w="0" w:type="auto"/>
            <w:gridSpan w:val="3"/>
            <w:shd w:val="clear" w:color="auto" w:fill="auto"/>
          </w:tcPr>
          <w:p w14:paraId="5EA1FA9B" w14:textId="77777777" w:rsidR="003C66EB" w:rsidRDefault="003C66EB">
            <w:pPr>
              <w:rPr>
                <w:rFonts w:ascii="宋体"/>
                <w:vanish/>
              </w:rPr>
            </w:pPr>
          </w:p>
        </w:tc>
        <w:tc>
          <w:tcPr>
            <w:tcW w:w="0" w:type="auto"/>
            <w:gridSpan w:val="3"/>
            <w:shd w:val="clear" w:color="auto" w:fill="auto"/>
          </w:tcPr>
          <w:p w14:paraId="5EA1FA9C" w14:textId="77777777" w:rsidR="003C66EB" w:rsidRDefault="003C66EB">
            <w:pPr>
              <w:rPr>
                <w:rFonts w:ascii="宋体"/>
                <w:vanish/>
              </w:rPr>
            </w:pPr>
          </w:p>
        </w:tc>
        <w:tc>
          <w:tcPr>
            <w:tcW w:w="0" w:type="auto"/>
            <w:gridSpan w:val="3"/>
            <w:shd w:val="clear" w:color="auto" w:fill="auto"/>
          </w:tcPr>
          <w:p w14:paraId="5EA1FA9D" w14:textId="77777777" w:rsidR="003C66EB" w:rsidRDefault="003C66EB">
            <w:pPr>
              <w:rPr>
                <w:rFonts w:ascii="宋体"/>
                <w:vanish/>
              </w:rPr>
            </w:pPr>
          </w:p>
        </w:tc>
        <w:tc>
          <w:tcPr>
            <w:tcW w:w="0" w:type="auto"/>
            <w:gridSpan w:val="3"/>
            <w:shd w:val="clear" w:color="auto" w:fill="auto"/>
          </w:tcPr>
          <w:p w14:paraId="5EA1FA9E" w14:textId="77777777" w:rsidR="003C66EB" w:rsidRDefault="003C66EB">
            <w:pPr>
              <w:rPr>
                <w:rFonts w:ascii="宋体"/>
                <w:vanish/>
              </w:rPr>
            </w:pPr>
          </w:p>
        </w:tc>
        <w:tc>
          <w:tcPr>
            <w:tcW w:w="0" w:type="auto"/>
            <w:shd w:val="clear" w:color="auto" w:fill="auto"/>
          </w:tcPr>
          <w:p w14:paraId="5EA1FA9F" w14:textId="77777777" w:rsidR="003C66EB" w:rsidRDefault="003C66EB">
            <w:pPr>
              <w:rPr>
                <w:rFonts w:ascii="宋体"/>
                <w:vanish/>
              </w:rPr>
            </w:pPr>
          </w:p>
        </w:tc>
        <w:tc>
          <w:tcPr>
            <w:tcW w:w="0" w:type="auto"/>
            <w:shd w:val="clear" w:color="auto" w:fill="auto"/>
          </w:tcPr>
          <w:p w14:paraId="5EA1FAA0" w14:textId="77777777" w:rsidR="003C66EB" w:rsidRDefault="003C66EB">
            <w:pPr>
              <w:rPr>
                <w:rFonts w:ascii="宋体"/>
                <w:vanish/>
              </w:rPr>
            </w:pPr>
          </w:p>
        </w:tc>
        <w:tc>
          <w:tcPr>
            <w:tcW w:w="0" w:type="auto"/>
            <w:gridSpan w:val="3"/>
            <w:shd w:val="clear" w:color="auto" w:fill="auto"/>
          </w:tcPr>
          <w:p w14:paraId="5EA1FAA1" w14:textId="77777777" w:rsidR="003C66EB" w:rsidRDefault="003C66EB">
            <w:pPr>
              <w:rPr>
                <w:rFonts w:ascii="宋体"/>
                <w:vanish/>
              </w:rPr>
            </w:pPr>
          </w:p>
        </w:tc>
        <w:tc>
          <w:tcPr>
            <w:tcW w:w="0" w:type="auto"/>
            <w:gridSpan w:val="3"/>
            <w:shd w:val="clear" w:color="auto" w:fill="auto"/>
          </w:tcPr>
          <w:p w14:paraId="5EA1FAA2" w14:textId="77777777" w:rsidR="003C66EB" w:rsidRDefault="003C66EB">
            <w:pPr>
              <w:rPr>
                <w:rFonts w:ascii="宋体"/>
                <w:vanish/>
              </w:rPr>
            </w:pPr>
          </w:p>
        </w:tc>
      </w:tr>
      <w:tr w:rsidR="003C66EB" w14:paraId="5EA1FAAC" w14:textId="77777777">
        <w:trPr>
          <w:hidden/>
        </w:trPr>
        <w:tc>
          <w:tcPr>
            <w:tcW w:w="0" w:type="auto"/>
            <w:gridSpan w:val="3"/>
            <w:shd w:val="clear" w:color="auto" w:fill="auto"/>
          </w:tcPr>
          <w:p w14:paraId="5EA1FAA4" w14:textId="77777777" w:rsidR="003C66EB" w:rsidRDefault="003C66EB">
            <w:pPr>
              <w:rPr>
                <w:rFonts w:ascii="宋体"/>
                <w:vanish/>
              </w:rPr>
            </w:pPr>
          </w:p>
        </w:tc>
        <w:tc>
          <w:tcPr>
            <w:tcW w:w="0" w:type="auto"/>
            <w:gridSpan w:val="3"/>
            <w:shd w:val="clear" w:color="auto" w:fill="auto"/>
          </w:tcPr>
          <w:p w14:paraId="5EA1FAA5" w14:textId="77777777" w:rsidR="003C66EB" w:rsidRDefault="003C66EB">
            <w:pPr>
              <w:rPr>
                <w:rFonts w:ascii="宋体"/>
                <w:vanish/>
              </w:rPr>
            </w:pPr>
          </w:p>
        </w:tc>
        <w:tc>
          <w:tcPr>
            <w:tcW w:w="0" w:type="auto"/>
            <w:gridSpan w:val="3"/>
            <w:shd w:val="clear" w:color="auto" w:fill="auto"/>
          </w:tcPr>
          <w:p w14:paraId="5EA1FAA6" w14:textId="77777777" w:rsidR="003C66EB" w:rsidRDefault="003C66EB">
            <w:pPr>
              <w:rPr>
                <w:rFonts w:ascii="宋体"/>
                <w:vanish/>
              </w:rPr>
            </w:pPr>
          </w:p>
        </w:tc>
        <w:tc>
          <w:tcPr>
            <w:tcW w:w="0" w:type="auto"/>
            <w:gridSpan w:val="3"/>
            <w:shd w:val="clear" w:color="auto" w:fill="auto"/>
          </w:tcPr>
          <w:p w14:paraId="5EA1FAA7" w14:textId="77777777" w:rsidR="003C66EB" w:rsidRDefault="003C66EB">
            <w:pPr>
              <w:rPr>
                <w:rFonts w:ascii="宋体"/>
                <w:vanish/>
              </w:rPr>
            </w:pPr>
          </w:p>
        </w:tc>
        <w:tc>
          <w:tcPr>
            <w:tcW w:w="0" w:type="auto"/>
            <w:shd w:val="clear" w:color="auto" w:fill="auto"/>
          </w:tcPr>
          <w:p w14:paraId="5EA1FAA8" w14:textId="77777777" w:rsidR="003C66EB" w:rsidRDefault="003C66EB">
            <w:pPr>
              <w:rPr>
                <w:rFonts w:ascii="宋体"/>
                <w:vanish/>
              </w:rPr>
            </w:pPr>
          </w:p>
        </w:tc>
        <w:tc>
          <w:tcPr>
            <w:tcW w:w="0" w:type="auto"/>
            <w:shd w:val="clear" w:color="auto" w:fill="auto"/>
          </w:tcPr>
          <w:p w14:paraId="5EA1FAA9" w14:textId="77777777" w:rsidR="003C66EB" w:rsidRDefault="003C66EB">
            <w:pPr>
              <w:rPr>
                <w:rFonts w:ascii="宋体"/>
                <w:vanish/>
              </w:rPr>
            </w:pPr>
          </w:p>
        </w:tc>
        <w:tc>
          <w:tcPr>
            <w:tcW w:w="0" w:type="auto"/>
            <w:gridSpan w:val="3"/>
            <w:shd w:val="clear" w:color="auto" w:fill="auto"/>
          </w:tcPr>
          <w:p w14:paraId="5EA1FAAA" w14:textId="77777777" w:rsidR="003C66EB" w:rsidRDefault="003C66EB">
            <w:pPr>
              <w:rPr>
                <w:rFonts w:ascii="宋体"/>
                <w:vanish/>
              </w:rPr>
            </w:pPr>
          </w:p>
        </w:tc>
        <w:tc>
          <w:tcPr>
            <w:tcW w:w="0" w:type="auto"/>
            <w:gridSpan w:val="3"/>
            <w:shd w:val="clear" w:color="auto" w:fill="auto"/>
          </w:tcPr>
          <w:p w14:paraId="5EA1FAAB" w14:textId="77777777" w:rsidR="003C66EB" w:rsidRDefault="003C66EB">
            <w:pPr>
              <w:rPr>
                <w:rFonts w:ascii="宋体"/>
                <w:vanish/>
              </w:rPr>
            </w:pPr>
          </w:p>
        </w:tc>
      </w:tr>
      <w:tr w:rsidR="003C66EB" w14:paraId="5EA1FAB5" w14:textId="77777777">
        <w:trPr>
          <w:hidden/>
        </w:trPr>
        <w:tc>
          <w:tcPr>
            <w:tcW w:w="0" w:type="auto"/>
            <w:gridSpan w:val="3"/>
            <w:shd w:val="clear" w:color="auto" w:fill="auto"/>
          </w:tcPr>
          <w:p w14:paraId="5EA1FAAD" w14:textId="77777777" w:rsidR="003C66EB" w:rsidRDefault="003C66EB">
            <w:pPr>
              <w:rPr>
                <w:rFonts w:ascii="宋体"/>
                <w:vanish/>
              </w:rPr>
            </w:pPr>
          </w:p>
        </w:tc>
        <w:tc>
          <w:tcPr>
            <w:tcW w:w="0" w:type="auto"/>
            <w:gridSpan w:val="3"/>
            <w:shd w:val="clear" w:color="auto" w:fill="auto"/>
          </w:tcPr>
          <w:p w14:paraId="5EA1FAAE" w14:textId="77777777" w:rsidR="003C66EB" w:rsidRDefault="003C66EB">
            <w:pPr>
              <w:rPr>
                <w:rFonts w:ascii="宋体"/>
                <w:vanish/>
              </w:rPr>
            </w:pPr>
          </w:p>
        </w:tc>
        <w:tc>
          <w:tcPr>
            <w:tcW w:w="0" w:type="auto"/>
            <w:gridSpan w:val="3"/>
            <w:shd w:val="clear" w:color="auto" w:fill="auto"/>
          </w:tcPr>
          <w:p w14:paraId="5EA1FAAF" w14:textId="77777777" w:rsidR="003C66EB" w:rsidRDefault="003C66EB">
            <w:pPr>
              <w:rPr>
                <w:rFonts w:ascii="宋体"/>
                <w:vanish/>
              </w:rPr>
            </w:pPr>
          </w:p>
        </w:tc>
        <w:tc>
          <w:tcPr>
            <w:tcW w:w="0" w:type="auto"/>
            <w:gridSpan w:val="3"/>
            <w:shd w:val="clear" w:color="auto" w:fill="auto"/>
          </w:tcPr>
          <w:p w14:paraId="5EA1FAB0" w14:textId="77777777" w:rsidR="003C66EB" w:rsidRDefault="003C66EB">
            <w:pPr>
              <w:rPr>
                <w:rFonts w:ascii="宋体"/>
                <w:vanish/>
              </w:rPr>
            </w:pPr>
          </w:p>
        </w:tc>
        <w:tc>
          <w:tcPr>
            <w:tcW w:w="0" w:type="auto"/>
            <w:shd w:val="clear" w:color="auto" w:fill="auto"/>
          </w:tcPr>
          <w:p w14:paraId="5EA1FAB1" w14:textId="77777777" w:rsidR="003C66EB" w:rsidRDefault="003C66EB">
            <w:pPr>
              <w:rPr>
                <w:rFonts w:ascii="宋体"/>
                <w:vanish/>
              </w:rPr>
            </w:pPr>
          </w:p>
        </w:tc>
        <w:tc>
          <w:tcPr>
            <w:tcW w:w="0" w:type="auto"/>
            <w:shd w:val="clear" w:color="auto" w:fill="auto"/>
          </w:tcPr>
          <w:p w14:paraId="5EA1FAB2" w14:textId="77777777" w:rsidR="003C66EB" w:rsidRDefault="003C66EB">
            <w:pPr>
              <w:rPr>
                <w:rFonts w:ascii="宋体"/>
                <w:vanish/>
              </w:rPr>
            </w:pPr>
          </w:p>
        </w:tc>
        <w:tc>
          <w:tcPr>
            <w:tcW w:w="0" w:type="auto"/>
            <w:gridSpan w:val="3"/>
            <w:shd w:val="clear" w:color="auto" w:fill="auto"/>
          </w:tcPr>
          <w:p w14:paraId="5EA1FAB3" w14:textId="77777777" w:rsidR="003C66EB" w:rsidRDefault="003C66EB">
            <w:pPr>
              <w:rPr>
                <w:rFonts w:ascii="宋体"/>
                <w:vanish/>
              </w:rPr>
            </w:pPr>
          </w:p>
        </w:tc>
        <w:tc>
          <w:tcPr>
            <w:tcW w:w="0" w:type="auto"/>
            <w:gridSpan w:val="3"/>
            <w:shd w:val="clear" w:color="auto" w:fill="auto"/>
          </w:tcPr>
          <w:p w14:paraId="5EA1FAB4" w14:textId="77777777" w:rsidR="003C66EB" w:rsidRDefault="003C66EB">
            <w:pPr>
              <w:rPr>
                <w:rFonts w:ascii="宋体"/>
                <w:vanish/>
              </w:rPr>
            </w:pPr>
          </w:p>
        </w:tc>
      </w:tr>
      <w:tr w:rsidR="003C66EB" w14:paraId="5EA1FABE" w14:textId="77777777">
        <w:trPr>
          <w:hidden/>
        </w:trPr>
        <w:tc>
          <w:tcPr>
            <w:tcW w:w="0" w:type="auto"/>
            <w:gridSpan w:val="3"/>
            <w:shd w:val="clear" w:color="auto" w:fill="auto"/>
          </w:tcPr>
          <w:p w14:paraId="5EA1FAB6" w14:textId="77777777" w:rsidR="003C66EB" w:rsidRDefault="003C66EB">
            <w:pPr>
              <w:rPr>
                <w:rFonts w:ascii="宋体"/>
                <w:vanish/>
              </w:rPr>
            </w:pPr>
          </w:p>
        </w:tc>
        <w:tc>
          <w:tcPr>
            <w:tcW w:w="0" w:type="auto"/>
            <w:gridSpan w:val="3"/>
            <w:shd w:val="clear" w:color="auto" w:fill="auto"/>
          </w:tcPr>
          <w:p w14:paraId="5EA1FAB7" w14:textId="77777777" w:rsidR="003C66EB" w:rsidRDefault="003C66EB">
            <w:pPr>
              <w:rPr>
                <w:rFonts w:ascii="宋体"/>
                <w:vanish/>
              </w:rPr>
            </w:pPr>
          </w:p>
        </w:tc>
        <w:tc>
          <w:tcPr>
            <w:tcW w:w="0" w:type="auto"/>
            <w:gridSpan w:val="3"/>
            <w:shd w:val="clear" w:color="auto" w:fill="auto"/>
          </w:tcPr>
          <w:p w14:paraId="5EA1FAB8" w14:textId="77777777" w:rsidR="003C66EB" w:rsidRDefault="003C66EB">
            <w:pPr>
              <w:rPr>
                <w:rFonts w:ascii="宋体"/>
                <w:vanish/>
              </w:rPr>
            </w:pPr>
          </w:p>
        </w:tc>
        <w:tc>
          <w:tcPr>
            <w:tcW w:w="0" w:type="auto"/>
            <w:gridSpan w:val="3"/>
            <w:shd w:val="clear" w:color="auto" w:fill="auto"/>
          </w:tcPr>
          <w:p w14:paraId="5EA1FAB9" w14:textId="77777777" w:rsidR="003C66EB" w:rsidRDefault="003C66EB">
            <w:pPr>
              <w:rPr>
                <w:rFonts w:ascii="宋体"/>
                <w:vanish/>
              </w:rPr>
            </w:pPr>
          </w:p>
        </w:tc>
        <w:tc>
          <w:tcPr>
            <w:tcW w:w="0" w:type="auto"/>
            <w:shd w:val="clear" w:color="auto" w:fill="auto"/>
          </w:tcPr>
          <w:p w14:paraId="5EA1FABA" w14:textId="77777777" w:rsidR="003C66EB" w:rsidRDefault="003C66EB">
            <w:pPr>
              <w:rPr>
                <w:rFonts w:ascii="宋体"/>
                <w:vanish/>
              </w:rPr>
            </w:pPr>
          </w:p>
        </w:tc>
        <w:tc>
          <w:tcPr>
            <w:tcW w:w="0" w:type="auto"/>
            <w:shd w:val="clear" w:color="auto" w:fill="auto"/>
          </w:tcPr>
          <w:p w14:paraId="5EA1FABB" w14:textId="77777777" w:rsidR="003C66EB" w:rsidRDefault="003C66EB">
            <w:pPr>
              <w:rPr>
                <w:rFonts w:ascii="宋体"/>
                <w:vanish/>
              </w:rPr>
            </w:pPr>
          </w:p>
        </w:tc>
        <w:tc>
          <w:tcPr>
            <w:tcW w:w="0" w:type="auto"/>
            <w:gridSpan w:val="3"/>
            <w:shd w:val="clear" w:color="auto" w:fill="auto"/>
          </w:tcPr>
          <w:p w14:paraId="5EA1FABC" w14:textId="77777777" w:rsidR="003C66EB" w:rsidRDefault="003C66EB">
            <w:pPr>
              <w:rPr>
                <w:rFonts w:ascii="宋体"/>
                <w:vanish/>
              </w:rPr>
            </w:pPr>
          </w:p>
        </w:tc>
        <w:tc>
          <w:tcPr>
            <w:tcW w:w="0" w:type="auto"/>
            <w:gridSpan w:val="3"/>
            <w:shd w:val="clear" w:color="auto" w:fill="auto"/>
          </w:tcPr>
          <w:p w14:paraId="5EA1FABD" w14:textId="77777777" w:rsidR="003C66EB" w:rsidRDefault="003C66EB">
            <w:pPr>
              <w:rPr>
                <w:rFonts w:ascii="宋体"/>
                <w:vanish/>
              </w:rPr>
            </w:pPr>
          </w:p>
        </w:tc>
      </w:tr>
      <w:tr w:rsidR="003C66EB" w14:paraId="5EA1FAC7" w14:textId="77777777">
        <w:trPr>
          <w:hidden/>
        </w:trPr>
        <w:tc>
          <w:tcPr>
            <w:tcW w:w="0" w:type="auto"/>
            <w:gridSpan w:val="3"/>
            <w:shd w:val="clear" w:color="auto" w:fill="auto"/>
          </w:tcPr>
          <w:p w14:paraId="5EA1FABF" w14:textId="77777777" w:rsidR="003C66EB" w:rsidRDefault="003C66EB">
            <w:pPr>
              <w:rPr>
                <w:rFonts w:ascii="宋体"/>
                <w:vanish/>
              </w:rPr>
            </w:pPr>
          </w:p>
        </w:tc>
        <w:tc>
          <w:tcPr>
            <w:tcW w:w="0" w:type="auto"/>
            <w:gridSpan w:val="3"/>
            <w:shd w:val="clear" w:color="auto" w:fill="auto"/>
          </w:tcPr>
          <w:p w14:paraId="5EA1FAC0" w14:textId="77777777" w:rsidR="003C66EB" w:rsidRDefault="003C66EB">
            <w:pPr>
              <w:rPr>
                <w:rFonts w:ascii="宋体"/>
                <w:vanish/>
              </w:rPr>
            </w:pPr>
          </w:p>
        </w:tc>
        <w:tc>
          <w:tcPr>
            <w:tcW w:w="0" w:type="auto"/>
            <w:gridSpan w:val="3"/>
            <w:shd w:val="clear" w:color="auto" w:fill="auto"/>
          </w:tcPr>
          <w:p w14:paraId="5EA1FAC1" w14:textId="77777777" w:rsidR="003C66EB" w:rsidRDefault="003C66EB">
            <w:pPr>
              <w:rPr>
                <w:rFonts w:ascii="宋体"/>
                <w:vanish/>
              </w:rPr>
            </w:pPr>
          </w:p>
        </w:tc>
        <w:tc>
          <w:tcPr>
            <w:tcW w:w="0" w:type="auto"/>
            <w:gridSpan w:val="3"/>
            <w:shd w:val="clear" w:color="auto" w:fill="auto"/>
          </w:tcPr>
          <w:p w14:paraId="5EA1FAC2" w14:textId="77777777" w:rsidR="003C66EB" w:rsidRDefault="003C66EB">
            <w:pPr>
              <w:rPr>
                <w:rFonts w:ascii="宋体"/>
                <w:vanish/>
              </w:rPr>
            </w:pPr>
          </w:p>
        </w:tc>
        <w:tc>
          <w:tcPr>
            <w:tcW w:w="0" w:type="auto"/>
            <w:shd w:val="clear" w:color="auto" w:fill="auto"/>
          </w:tcPr>
          <w:p w14:paraId="5EA1FAC3" w14:textId="77777777" w:rsidR="003C66EB" w:rsidRDefault="003C66EB">
            <w:pPr>
              <w:rPr>
                <w:rFonts w:ascii="宋体"/>
                <w:vanish/>
              </w:rPr>
            </w:pPr>
          </w:p>
        </w:tc>
        <w:tc>
          <w:tcPr>
            <w:tcW w:w="0" w:type="auto"/>
            <w:shd w:val="clear" w:color="auto" w:fill="auto"/>
          </w:tcPr>
          <w:p w14:paraId="5EA1FAC4" w14:textId="77777777" w:rsidR="003C66EB" w:rsidRDefault="003C66EB">
            <w:pPr>
              <w:rPr>
                <w:rFonts w:ascii="宋体"/>
                <w:vanish/>
              </w:rPr>
            </w:pPr>
          </w:p>
        </w:tc>
        <w:tc>
          <w:tcPr>
            <w:tcW w:w="0" w:type="auto"/>
            <w:gridSpan w:val="3"/>
            <w:shd w:val="clear" w:color="auto" w:fill="auto"/>
          </w:tcPr>
          <w:p w14:paraId="5EA1FAC5" w14:textId="77777777" w:rsidR="003C66EB" w:rsidRDefault="003C66EB">
            <w:pPr>
              <w:rPr>
                <w:rFonts w:ascii="宋体"/>
                <w:vanish/>
              </w:rPr>
            </w:pPr>
          </w:p>
        </w:tc>
        <w:tc>
          <w:tcPr>
            <w:tcW w:w="0" w:type="auto"/>
            <w:gridSpan w:val="3"/>
            <w:shd w:val="clear" w:color="auto" w:fill="auto"/>
          </w:tcPr>
          <w:p w14:paraId="5EA1FAC6" w14:textId="77777777" w:rsidR="003C66EB" w:rsidRDefault="003C66EB">
            <w:pPr>
              <w:rPr>
                <w:rFonts w:ascii="宋体"/>
                <w:vanish/>
              </w:rPr>
            </w:pPr>
          </w:p>
        </w:tc>
      </w:tr>
      <w:tr w:rsidR="003C66EB" w14:paraId="5EA1FAD0" w14:textId="77777777">
        <w:trPr>
          <w:hidden/>
        </w:trPr>
        <w:tc>
          <w:tcPr>
            <w:tcW w:w="0" w:type="auto"/>
            <w:gridSpan w:val="3"/>
            <w:shd w:val="clear" w:color="auto" w:fill="auto"/>
          </w:tcPr>
          <w:p w14:paraId="5EA1FAC8" w14:textId="77777777" w:rsidR="003C66EB" w:rsidRDefault="003C66EB">
            <w:pPr>
              <w:rPr>
                <w:rFonts w:ascii="宋体"/>
                <w:vanish/>
              </w:rPr>
            </w:pPr>
          </w:p>
        </w:tc>
        <w:tc>
          <w:tcPr>
            <w:tcW w:w="0" w:type="auto"/>
            <w:gridSpan w:val="3"/>
            <w:shd w:val="clear" w:color="auto" w:fill="auto"/>
          </w:tcPr>
          <w:p w14:paraId="5EA1FAC9" w14:textId="77777777" w:rsidR="003C66EB" w:rsidRDefault="003C66EB">
            <w:pPr>
              <w:rPr>
                <w:rFonts w:ascii="宋体"/>
                <w:vanish/>
              </w:rPr>
            </w:pPr>
          </w:p>
        </w:tc>
        <w:tc>
          <w:tcPr>
            <w:tcW w:w="0" w:type="auto"/>
            <w:gridSpan w:val="3"/>
            <w:shd w:val="clear" w:color="auto" w:fill="auto"/>
          </w:tcPr>
          <w:p w14:paraId="5EA1FACA" w14:textId="77777777" w:rsidR="003C66EB" w:rsidRDefault="003C66EB">
            <w:pPr>
              <w:rPr>
                <w:rFonts w:ascii="宋体"/>
                <w:vanish/>
              </w:rPr>
            </w:pPr>
          </w:p>
        </w:tc>
        <w:tc>
          <w:tcPr>
            <w:tcW w:w="0" w:type="auto"/>
            <w:gridSpan w:val="3"/>
            <w:shd w:val="clear" w:color="auto" w:fill="auto"/>
          </w:tcPr>
          <w:p w14:paraId="5EA1FACB" w14:textId="77777777" w:rsidR="003C66EB" w:rsidRDefault="003C66EB">
            <w:pPr>
              <w:rPr>
                <w:rFonts w:ascii="宋体"/>
                <w:vanish/>
              </w:rPr>
            </w:pPr>
          </w:p>
        </w:tc>
        <w:tc>
          <w:tcPr>
            <w:tcW w:w="0" w:type="auto"/>
            <w:shd w:val="clear" w:color="auto" w:fill="auto"/>
          </w:tcPr>
          <w:p w14:paraId="5EA1FACC" w14:textId="77777777" w:rsidR="003C66EB" w:rsidRDefault="003C66EB">
            <w:pPr>
              <w:rPr>
                <w:rFonts w:ascii="宋体"/>
                <w:vanish/>
              </w:rPr>
            </w:pPr>
          </w:p>
        </w:tc>
        <w:tc>
          <w:tcPr>
            <w:tcW w:w="0" w:type="auto"/>
            <w:shd w:val="clear" w:color="auto" w:fill="auto"/>
          </w:tcPr>
          <w:p w14:paraId="5EA1FACD" w14:textId="77777777" w:rsidR="003C66EB" w:rsidRDefault="003C66EB">
            <w:pPr>
              <w:rPr>
                <w:rFonts w:ascii="宋体"/>
                <w:vanish/>
              </w:rPr>
            </w:pPr>
          </w:p>
        </w:tc>
        <w:tc>
          <w:tcPr>
            <w:tcW w:w="0" w:type="auto"/>
            <w:gridSpan w:val="3"/>
            <w:shd w:val="clear" w:color="auto" w:fill="auto"/>
          </w:tcPr>
          <w:p w14:paraId="5EA1FACE" w14:textId="77777777" w:rsidR="003C66EB" w:rsidRDefault="003C66EB">
            <w:pPr>
              <w:rPr>
                <w:rFonts w:ascii="宋体"/>
                <w:vanish/>
              </w:rPr>
            </w:pPr>
          </w:p>
        </w:tc>
        <w:tc>
          <w:tcPr>
            <w:tcW w:w="0" w:type="auto"/>
            <w:gridSpan w:val="3"/>
            <w:shd w:val="clear" w:color="auto" w:fill="auto"/>
          </w:tcPr>
          <w:p w14:paraId="5EA1FACF" w14:textId="77777777" w:rsidR="003C66EB" w:rsidRDefault="003C66EB">
            <w:pPr>
              <w:rPr>
                <w:rFonts w:ascii="宋体"/>
                <w:vanish/>
              </w:rPr>
            </w:pPr>
          </w:p>
        </w:tc>
      </w:tr>
      <w:tr w:rsidR="003C66EB" w14:paraId="5EA1FADB" w14:textId="77777777">
        <w:trPr>
          <w:hidden/>
        </w:trPr>
        <w:tc>
          <w:tcPr>
            <w:tcW w:w="0" w:type="auto"/>
            <w:gridSpan w:val="3"/>
            <w:shd w:val="clear" w:color="auto" w:fill="auto"/>
          </w:tcPr>
          <w:p w14:paraId="5EA1FAD1" w14:textId="77777777" w:rsidR="003C66EB" w:rsidRDefault="003C66EB">
            <w:pPr>
              <w:rPr>
                <w:rFonts w:ascii="宋体"/>
                <w:vanish/>
              </w:rPr>
            </w:pPr>
          </w:p>
        </w:tc>
        <w:tc>
          <w:tcPr>
            <w:tcW w:w="0" w:type="auto"/>
            <w:gridSpan w:val="3"/>
            <w:shd w:val="clear" w:color="auto" w:fill="auto"/>
          </w:tcPr>
          <w:p w14:paraId="5EA1FAD2" w14:textId="77777777" w:rsidR="003C66EB" w:rsidRDefault="003C66EB">
            <w:pPr>
              <w:rPr>
                <w:rFonts w:ascii="宋体"/>
                <w:vanish/>
              </w:rPr>
            </w:pPr>
          </w:p>
        </w:tc>
        <w:tc>
          <w:tcPr>
            <w:tcW w:w="0" w:type="auto"/>
            <w:gridSpan w:val="3"/>
            <w:shd w:val="clear" w:color="auto" w:fill="auto"/>
          </w:tcPr>
          <w:p w14:paraId="5EA1FAD3" w14:textId="77777777" w:rsidR="003C66EB" w:rsidRDefault="003C66EB">
            <w:pPr>
              <w:rPr>
                <w:rFonts w:ascii="宋体"/>
                <w:vanish/>
              </w:rPr>
            </w:pPr>
          </w:p>
        </w:tc>
        <w:tc>
          <w:tcPr>
            <w:tcW w:w="0" w:type="auto"/>
            <w:gridSpan w:val="3"/>
            <w:shd w:val="clear" w:color="auto" w:fill="auto"/>
          </w:tcPr>
          <w:p w14:paraId="5EA1FAD4" w14:textId="77777777" w:rsidR="003C66EB" w:rsidRDefault="003C66EB">
            <w:pPr>
              <w:rPr>
                <w:rFonts w:ascii="宋体"/>
                <w:vanish/>
              </w:rPr>
            </w:pPr>
          </w:p>
        </w:tc>
        <w:tc>
          <w:tcPr>
            <w:tcW w:w="0" w:type="auto"/>
            <w:shd w:val="clear" w:color="auto" w:fill="auto"/>
          </w:tcPr>
          <w:p w14:paraId="5EA1FAD5" w14:textId="77777777" w:rsidR="003C66EB" w:rsidRDefault="003C66EB">
            <w:pPr>
              <w:rPr>
                <w:rFonts w:ascii="宋体"/>
                <w:vanish/>
              </w:rPr>
            </w:pPr>
          </w:p>
        </w:tc>
        <w:tc>
          <w:tcPr>
            <w:tcW w:w="0" w:type="auto"/>
            <w:shd w:val="clear" w:color="auto" w:fill="auto"/>
          </w:tcPr>
          <w:p w14:paraId="5EA1FAD6" w14:textId="77777777" w:rsidR="003C66EB" w:rsidRDefault="003C66EB">
            <w:pPr>
              <w:rPr>
                <w:rFonts w:ascii="宋体"/>
                <w:vanish/>
              </w:rPr>
            </w:pPr>
          </w:p>
        </w:tc>
        <w:tc>
          <w:tcPr>
            <w:tcW w:w="0" w:type="auto"/>
            <w:gridSpan w:val="3"/>
            <w:shd w:val="clear" w:color="auto" w:fill="auto"/>
          </w:tcPr>
          <w:p w14:paraId="5EA1FAD7" w14:textId="77777777" w:rsidR="003C66EB" w:rsidRDefault="003C66EB">
            <w:pPr>
              <w:rPr>
                <w:rFonts w:ascii="宋体"/>
                <w:vanish/>
              </w:rPr>
            </w:pPr>
          </w:p>
        </w:tc>
        <w:tc>
          <w:tcPr>
            <w:tcW w:w="0" w:type="auto"/>
            <w:shd w:val="clear" w:color="auto" w:fill="auto"/>
          </w:tcPr>
          <w:p w14:paraId="5EA1FAD8" w14:textId="77777777" w:rsidR="003C66EB" w:rsidRDefault="003C66EB">
            <w:pPr>
              <w:rPr>
                <w:rFonts w:ascii="宋体"/>
              </w:rPr>
            </w:pPr>
          </w:p>
        </w:tc>
        <w:tc>
          <w:tcPr>
            <w:tcW w:w="0" w:type="auto"/>
            <w:shd w:val="clear" w:color="auto" w:fill="auto"/>
          </w:tcPr>
          <w:p w14:paraId="5EA1FAD9" w14:textId="77777777" w:rsidR="003C66EB" w:rsidRDefault="003C66EB">
            <w:pPr>
              <w:rPr>
                <w:rFonts w:ascii="宋体"/>
              </w:rPr>
            </w:pPr>
          </w:p>
        </w:tc>
        <w:tc>
          <w:tcPr>
            <w:tcW w:w="0" w:type="auto"/>
            <w:shd w:val="clear" w:color="auto" w:fill="auto"/>
          </w:tcPr>
          <w:p w14:paraId="5EA1FADA" w14:textId="77777777" w:rsidR="003C66EB" w:rsidRDefault="003C66EB">
            <w:pPr>
              <w:rPr>
                <w:rFonts w:ascii="宋体"/>
              </w:rPr>
            </w:pPr>
          </w:p>
        </w:tc>
      </w:tr>
      <w:tr w:rsidR="003C66EB" w14:paraId="5EA1FAE4" w14:textId="77777777">
        <w:trPr>
          <w:hidden/>
        </w:trPr>
        <w:tc>
          <w:tcPr>
            <w:tcW w:w="0" w:type="auto"/>
            <w:gridSpan w:val="3"/>
            <w:shd w:val="clear" w:color="auto" w:fill="auto"/>
          </w:tcPr>
          <w:p w14:paraId="5EA1FADC" w14:textId="77777777" w:rsidR="003C66EB" w:rsidRDefault="003C66EB">
            <w:pPr>
              <w:rPr>
                <w:rFonts w:ascii="宋体"/>
                <w:vanish/>
              </w:rPr>
            </w:pPr>
          </w:p>
        </w:tc>
        <w:tc>
          <w:tcPr>
            <w:tcW w:w="0" w:type="auto"/>
            <w:gridSpan w:val="3"/>
            <w:shd w:val="clear" w:color="auto" w:fill="auto"/>
          </w:tcPr>
          <w:p w14:paraId="5EA1FADD" w14:textId="77777777" w:rsidR="003C66EB" w:rsidRDefault="003C66EB">
            <w:pPr>
              <w:rPr>
                <w:rFonts w:ascii="宋体"/>
                <w:vanish/>
              </w:rPr>
            </w:pPr>
          </w:p>
        </w:tc>
        <w:tc>
          <w:tcPr>
            <w:tcW w:w="0" w:type="auto"/>
            <w:gridSpan w:val="3"/>
            <w:shd w:val="clear" w:color="auto" w:fill="auto"/>
          </w:tcPr>
          <w:p w14:paraId="5EA1FADE" w14:textId="77777777" w:rsidR="003C66EB" w:rsidRDefault="003C66EB">
            <w:pPr>
              <w:rPr>
                <w:rFonts w:ascii="宋体"/>
                <w:vanish/>
              </w:rPr>
            </w:pPr>
          </w:p>
        </w:tc>
        <w:tc>
          <w:tcPr>
            <w:tcW w:w="0" w:type="auto"/>
            <w:gridSpan w:val="3"/>
            <w:shd w:val="clear" w:color="auto" w:fill="auto"/>
          </w:tcPr>
          <w:p w14:paraId="5EA1FADF" w14:textId="77777777" w:rsidR="003C66EB" w:rsidRDefault="003C66EB">
            <w:pPr>
              <w:rPr>
                <w:rFonts w:ascii="宋体"/>
                <w:vanish/>
              </w:rPr>
            </w:pPr>
          </w:p>
        </w:tc>
        <w:tc>
          <w:tcPr>
            <w:tcW w:w="0" w:type="auto"/>
            <w:shd w:val="clear" w:color="auto" w:fill="auto"/>
          </w:tcPr>
          <w:p w14:paraId="5EA1FAE0" w14:textId="77777777" w:rsidR="003C66EB" w:rsidRDefault="003C66EB">
            <w:pPr>
              <w:rPr>
                <w:rFonts w:ascii="宋体"/>
                <w:vanish/>
              </w:rPr>
            </w:pPr>
          </w:p>
        </w:tc>
        <w:tc>
          <w:tcPr>
            <w:tcW w:w="0" w:type="auto"/>
            <w:shd w:val="clear" w:color="auto" w:fill="auto"/>
          </w:tcPr>
          <w:p w14:paraId="5EA1FAE1" w14:textId="77777777" w:rsidR="003C66EB" w:rsidRDefault="003C66EB">
            <w:pPr>
              <w:rPr>
                <w:rFonts w:ascii="宋体"/>
                <w:vanish/>
              </w:rPr>
            </w:pPr>
          </w:p>
        </w:tc>
        <w:tc>
          <w:tcPr>
            <w:tcW w:w="0" w:type="auto"/>
            <w:gridSpan w:val="3"/>
            <w:shd w:val="clear" w:color="auto" w:fill="auto"/>
          </w:tcPr>
          <w:p w14:paraId="5EA1FAE2" w14:textId="77777777" w:rsidR="003C66EB" w:rsidRDefault="003C66EB">
            <w:pPr>
              <w:rPr>
                <w:rFonts w:ascii="宋体"/>
                <w:vanish/>
              </w:rPr>
            </w:pPr>
          </w:p>
        </w:tc>
        <w:tc>
          <w:tcPr>
            <w:tcW w:w="0" w:type="auto"/>
            <w:gridSpan w:val="3"/>
            <w:shd w:val="clear" w:color="auto" w:fill="auto"/>
          </w:tcPr>
          <w:p w14:paraId="5EA1FAE3" w14:textId="77777777" w:rsidR="003C66EB" w:rsidRDefault="003C66EB">
            <w:pPr>
              <w:rPr>
                <w:rFonts w:ascii="宋体"/>
                <w:vanish/>
              </w:rPr>
            </w:pPr>
          </w:p>
        </w:tc>
      </w:tr>
      <w:tr w:rsidR="003C66EB" w14:paraId="5EA1FAED" w14:textId="77777777">
        <w:trPr>
          <w:hidden/>
        </w:trPr>
        <w:tc>
          <w:tcPr>
            <w:tcW w:w="0" w:type="auto"/>
            <w:gridSpan w:val="3"/>
            <w:shd w:val="clear" w:color="auto" w:fill="auto"/>
          </w:tcPr>
          <w:p w14:paraId="5EA1FAE5" w14:textId="77777777" w:rsidR="003C66EB" w:rsidRDefault="003C66EB">
            <w:pPr>
              <w:rPr>
                <w:rFonts w:ascii="宋体"/>
                <w:vanish/>
              </w:rPr>
            </w:pPr>
          </w:p>
        </w:tc>
        <w:tc>
          <w:tcPr>
            <w:tcW w:w="0" w:type="auto"/>
            <w:gridSpan w:val="3"/>
            <w:shd w:val="clear" w:color="auto" w:fill="auto"/>
          </w:tcPr>
          <w:p w14:paraId="5EA1FAE6" w14:textId="77777777" w:rsidR="003C66EB" w:rsidRDefault="003C66EB">
            <w:pPr>
              <w:rPr>
                <w:rFonts w:ascii="宋体"/>
                <w:vanish/>
              </w:rPr>
            </w:pPr>
          </w:p>
        </w:tc>
        <w:tc>
          <w:tcPr>
            <w:tcW w:w="0" w:type="auto"/>
            <w:gridSpan w:val="3"/>
            <w:shd w:val="clear" w:color="auto" w:fill="auto"/>
          </w:tcPr>
          <w:p w14:paraId="5EA1FAE7" w14:textId="77777777" w:rsidR="003C66EB" w:rsidRDefault="003C66EB">
            <w:pPr>
              <w:rPr>
                <w:rFonts w:ascii="宋体"/>
                <w:vanish/>
              </w:rPr>
            </w:pPr>
          </w:p>
        </w:tc>
        <w:tc>
          <w:tcPr>
            <w:tcW w:w="0" w:type="auto"/>
            <w:gridSpan w:val="3"/>
            <w:shd w:val="clear" w:color="auto" w:fill="auto"/>
          </w:tcPr>
          <w:p w14:paraId="5EA1FAE8" w14:textId="77777777" w:rsidR="003C66EB" w:rsidRDefault="003C66EB">
            <w:pPr>
              <w:rPr>
                <w:rFonts w:ascii="宋体"/>
                <w:vanish/>
              </w:rPr>
            </w:pPr>
          </w:p>
        </w:tc>
        <w:tc>
          <w:tcPr>
            <w:tcW w:w="0" w:type="auto"/>
            <w:shd w:val="clear" w:color="auto" w:fill="auto"/>
          </w:tcPr>
          <w:p w14:paraId="5EA1FAE9" w14:textId="77777777" w:rsidR="003C66EB" w:rsidRDefault="003C66EB">
            <w:pPr>
              <w:rPr>
                <w:rFonts w:ascii="宋体"/>
                <w:vanish/>
              </w:rPr>
            </w:pPr>
          </w:p>
        </w:tc>
        <w:tc>
          <w:tcPr>
            <w:tcW w:w="0" w:type="auto"/>
            <w:shd w:val="clear" w:color="auto" w:fill="auto"/>
          </w:tcPr>
          <w:p w14:paraId="5EA1FAEA" w14:textId="77777777" w:rsidR="003C66EB" w:rsidRDefault="003C66EB">
            <w:pPr>
              <w:rPr>
                <w:rFonts w:ascii="宋体"/>
                <w:vanish/>
              </w:rPr>
            </w:pPr>
          </w:p>
        </w:tc>
        <w:tc>
          <w:tcPr>
            <w:tcW w:w="0" w:type="auto"/>
            <w:gridSpan w:val="3"/>
            <w:shd w:val="clear" w:color="auto" w:fill="auto"/>
          </w:tcPr>
          <w:p w14:paraId="5EA1FAEB" w14:textId="77777777" w:rsidR="003C66EB" w:rsidRDefault="003C66EB">
            <w:pPr>
              <w:rPr>
                <w:rFonts w:ascii="宋体"/>
                <w:vanish/>
              </w:rPr>
            </w:pPr>
          </w:p>
        </w:tc>
        <w:tc>
          <w:tcPr>
            <w:tcW w:w="0" w:type="auto"/>
            <w:gridSpan w:val="3"/>
            <w:shd w:val="clear" w:color="auto" w:fill="auto"/>
          </w:tcPr>
          <w:p w14:paraId="5EA1FAEC" w14:textId="77777777" w:rsidR="003C66EB" w:rsidRDefault="003C66EB">
            <w:pPr>
              <w:rPr>
                <w:rFonts w:ascii="宋体"/>
                <w:vanish/>
              </w:rPr>
            </w:pPr>
          </w:p>
        </w:tc>
      </w:tr>
      <w:tr w:rsidR="003C66EB" w14:paraId="5EA1FAF6" w14:textId="77777777">
        <w:trPr>
          <w:hidden/>
        </w:trPr>
        <w:tc>
          <w:tcPr>
            <w:tcW w:w="0" w:type="auto"/>
            <w:gridSpan w:val="3"/>
            <w:shd w:val="clear" w:color="auto" w:fill="auto"/>
          </w:tcPr>
          <w:p w14:paraId="5EA1FAEE" w14:textId="77777777" w:rsidR="003C66EB" w:rsidRDefault="003C66EB">
            <w:pPr>
              <w:rPr>
                <w:rFonts w:ascii="宋体"/>
                <w:vanish/>
              </w:rPr>
            </w:pPr>
          </w:p>
        </w:tc>
        <w:tc>
          <w:tcPr>
            <w:tcW w:w="0" w:type="auto"/>
            <w:gridSpan w:val="3"/>
            <w:shd w:val="clear" w:color="auto" w:fill="auto"/>
          </w:tcPr>
          <w:p w14:paraId="5EA1FAEF" w14:textId="77777777" w:rsidR="003C66EB" w:rsidRDefault="003C66EB">
            <w:pPr>
              <w:rPr>
                <w:rFonts w:ascii="宋体"/>
                <w:vanish/>
              </w:rPr>
            </w:pPr>
          </w:p>
        </w:tc>
        <w:tc>
          <w:tcPr>
            <w:tcW w:w="0" w:type="auto"/>
            <w:gridSpan w:val="3"/>
            <w:shd w:val="clear" w:color="auto" w:fill="auto"/>
          </w:tcPr>
          <w:p w14:paraId="5EA1FAF0" w14:textId="77777777" w:rsidR="003C66EB" w:rsidRDefault="003C66EB">
            <w:pPr>
              <w:rPr>
                <w:rFonts w:ascii="宋体"/>
                <w:vanish/>
              </w:rPr>
            </w:pPr>
          </w:p>
        </w:tc>
        <w:tc>
          <w:tcPr>
            <w:tcW w:w="0" w:type="auto"/>
            <w:gridSpan w:val="3"/>
            <w:shd w:val="clear" w:color="auto" w:fill="auto"/>
          </w:tcPr>
          <w:p w14:paraId="5EA1FAF1" w14:textId="77777777" w:rsidR="003C66EB" w:rsidRDefault="003C66EB">
            <w:pPr>
              <w:rPr>
                <w:rFonts w:ascii="宋体"/>
                <w:vanish/>
              </w:rPr>
            </w:pPr>
          </w:p>
        </w:tc>
        <w:tc>
          <w:tcPr>
            <w:tcW w:w="0" w:type="auto"/>
            <w:shd w:val="clear" w:color="auto" w:fill="auto"/>
          </w:tcPr>
          <w:p w14:paraId="5EA1FAF2" w14:textId="77777777" w:rsidR="003C66EB" w:rsidRDefault="003C66EB">
            <w:pPr>
              <w:rPr>
                <w:rFonts w:ascii="宋体"/>
                <w:vanish/>
              </w:rPr>
            </w:pPr>
          </w:p>
        </w:tc>
        <w:tc>
          <w:tcPr>
            <w:tcW w:w="0" w:type="auto"/>
            <w:shd w:val="clear" w:color="auto" w:fill="auto"/>
          </w:tcPr>
          <w:p w14:paraId="5EA1FAF3" w14:textId="77777777" w:rsidR="003C66EB" w:rsidRDefault="003C66EB">
            <w:pPr>
              <w:rPr>
                <w:rFonts w:ascii="宋体"/>
                <w:vanish/>
              </w:rPr>
            </w:pPr>
          </w:p>
        </w:tc>
        <w:tc>
          <w:tcPr>
            <w:tcW w:w="0" w:type="auto"/>
            <w:gridSpan w:val="3"/>
            <w:shd w:val="clear" w:color="auto" w:fill="auto"/>
          </w:tcPr>
          <w:p w14:paraId="5EA1FAF4" w14:textId="77777777" w:rsidR="003C66EB" w:rsidRDefault="003C66EB">
            <w:pPr>
              <w:rPr>
                <w:rFonts w:ascii="宋体"/>
                <w:vanish/>
              </w:rPr>
            </w:pPr>
          </w:p>
        </w:tc>
        <w:tc>
          <w:tcPr>
            <w:tcW w:w="0" w:type="auto"/>
            <w:gridSpan w:val="3"/>
            <w:shd w:val="clear" w:color="auto" w:fill="auto"/>
          </w:tcPr>
          <w:p w14:paraId="5EA1FAF5" w14:textId="77777777" w:rsidR="003C66EB" w:rsidRDefault="003C66EB">
            <w:pPr>
              <w:rPr>
                <w:rFonts w:ascii="宋体"/>
                <w:vanish/>
              </w:rPr>
            </w:pPr>
          </w:p>
        </w:tc>
      </w:tr>
      <w:tr w:rsidR="003C66EB" w14:paraId="5EA1FAFF" w14:textId="77777777">
        <w:trPr>
          <w:hidden/>
        </w:trPr>
        <w:tc>
          <w:tcPr>
            <w:tcW w:w="0" w:type="auto"/>
            <w:gridSpan w:val="3"/>
            <w:shd w:val="clear" w:color="auto" w:fill="auto"/>
          </w:tcPr>
          <w:p w14:paraId="5EA1FAF7" w14:textId="77777777" w:rsidR="003C66EB" w:rsidRDefault="003C66EB">
            <w:pPr>
              <w:rPr>
                <w:rFonts w:ascii="宋体"/>
                <w:vanish/>
              </w:rPr>
            </w:pPr>
          </w:p>
        </w:tc>
        <w:tc>
          <w:tcPr>
            <w:tcW w:w="0" w:type="auto"/>
            <w:gridSpan w:val="3"/>
            <w:shd w:val="clear" w:color="auto" w:fill="auto"/>
          </w:tcPr>
          <w:p w14:paraId="5EA1FAF8" w14:textId="77777777" w:rsidR="003C66EB" w:rsidRDefault="003C66EB">
            <w:pPr>
              <w:rPr>
                <w:rFonts w:ascii="宋体"/>
                <w:vanish/>
              </w:rPr>
            </w:pPr>
          </w:p>
        </w:tc>
        <w:tc>
          <w:tcPr>
            <w:tcW w:w="0" w:type="auto"/>
            <w:gridSpan w:val="3"/>
            <w:shd w:val="clear" w:color="auto" w:fill="auto"/>
          </w:tcPr>
          <w:p w14:paraId="5EA1FAF9" w14:textId="77777777" w:rsidR="003C66EB" w:rsidRDefault="003C66EB">
            <w:pPr>
              <w:rPr>
                <w:rFonts w:ascii="宋体"/>
                <w:vanish/>
              </w:rPr>
            </w:pPr>
          </w:p>
        </w:tc>
        <w:tc>
          <w:tcPr>
            <w:tcW w:w="0" w:type="auto"/>
            <w:gridSpan w:val="3"/>
            <w:shd w:val="clear" w:color="auto" w:fill="auto"/>
          </w:tcPr>
          <w:p w14:paraId="5EA1FAFA" w14:textId="77777777" w:rsidR="003C66EB" w:rsidRDefault="003C66EB">
            <w:pPr>
              <w:rPr>
                <w:rFonts w:ascii="宋体"/>
                <w:vanish/>
              </w:rPr>
            </w:pPr>
          </w:p>
        </w:tc>
        <w:tc>
          <w:tcPr>
            <w:tcW w:w="0" w:type="auto"/>
            <w:shd w:val="clear" w:color="auto" w:fill="auto"/>
          </w:tcPr>
          <w:p w14:paraId="5EA1FAFB" w14:textId="77777777" w:rsidR="003C66EB" w:rsidRDefault="003C66EB">
            <w:pPr>
              <w:rPr>
                <w:rFonts w:ascii="宋体"/>
                <w:vanish/>
              </w:rPr>
            </w:pPr>
          </w:p>
        </w:tc>
        <w:tc>
          <w:tcPr>
            <w:tcW w:w="0" w:type="auto"/>
            <w:shd w:val="clear" w:color="auto" w:fill="auto"/>
          </w:tcPr>
          <w:p w14:paraId="5EA1FAFC" w14:textId="77777777" w:rsidR="003C66EB" w:rsidRDefault="003C66EB">
            <w:pPr>
              <w:rPr>
                <w:rFonts w:ascii="宋体"/>
                <w:vanish/>
              </w:rPr>
            </w:pPr>
          </w:p>
        </w:tc>
        <w:tc>
          <w:tcPr>
            <w:tcW w:w="0" w:type="auto"/>
            <w:gridSpan w:val="3"/>
            <w:shd w:val="clear" w:color="auto" w:fill="auto"/>
          </w:tcPr>
          <w:p w14:paraId="5EA1FAFD" w14:textId="77777777" w:rsidR="003C66EB" w:rsidRDefault="003C66EB">
            <w:pPr>
              <w:rPr>
                <w:rFonts w:ascii="宋体"/>
                <w:vanish/>
              </w:rPr>
            </w:pPr>
          </w:p>
        </w:tc>
        <w:tc>
          <w:tcPr>
            <w:tcW w:w="0" w:type="auto"/>
            <w:gridSpan w:val="3"/>
            <w:shd w:val="clear" w:color="auto" w:fill="auto"/>
          </w:tcPr>
          <w:p w14:paraId="5EA1FAFE" w14:textId="77777777" w:rsidR="003C66EB" w:rsidRDefault="003C66EB">
            <w:pPr>
              <w:rPr>
                <w:rFonts w:ascii="宋体"/>
                <w:vanish/>
              </w:rPr>
            </w:pPr>
          </w:p>
        </w:tc>
      </w:tr>
      <w:tr w:rsidR="003C66EB" w14:paraId="5EA1FB08" w14:textId="77777777">
        <w:trPr>
          <w:hidden/>
        </w:trPr>
        <w:tc>
          <w:tcPr>
            <w:tcW w:w="0" w:type="auto"/>
            <w:gridSpan w:val="3"/>
            <w:shd w:val="clear" w:color="auto" w:fill="auto"/>
          </w:tcPr>
          <w:p w14:paraId="5EA1FB00" w14:textId="77777777" w:rsidR="003C66EB" w:rsidRDefault="003C66EB">
            <w:pPr>
              <w:rPr>
                <w:rFonts w:ascii="宋体"/>
                <w:vanish/>
              </w:rPr>
            </w:pPr>
          </w:p>
        </w:tc>
        <w:tc>
          <w:tcPr>
            <w:tcW w:w="0" w:type="auto"/>
            <w:gridSpan w:val="3"/>
            <w:shd w:val="clear" w:color="auto" w:fill="auto"/>
          </w:tcPr>
          <w:p w14:paraId="5EA1FB01" w14:textId="77777777" w:rsidR="003C66EB" w:rsidRDefault="003C66EB">
            <w:pPr>
              <w:rPr>
                <w:rFonts w:ascii="宋体"/>
                <w:vanish/>
              </w:rPr>
            </w:pPr>
          </w:p>
        </w:tc>
        <w:tc>
          <w:tcPr>
            <w:tcW w:w="0" w:type="auto"/>
            <w:gridSpan w:val="3"/>
            <w:shd w:val="clear" w:color="auto" w:fill="auto"/>
          </w:tcPr>
          <w:p w14:paraId="5EA1FB02" w14:textId="77777777" w:rsidR="003C66EB" w:rsidRDefault="003C66EB">
            <w:pPr>
              <w:rPr>
                <w:rFonts w:ascii="宋体"/>
                <w:vanish/>
              </w:rPr>
            </w:pPr>
          </w:p>
        </w:tc>
        <w:tc>
          <w:tcPr>
            <w:tcW w:w="0" w:type="auto"/>
            <w:gridSpan w:val="3"/>
            <w:shd w:val="clear" w:color="auto" w:fill="auto"/>
          </w:tcPr>
          <w:p w14:paraId="5EA1FB03" w14:textId="77777777" w:rsidR="003C66EB" w:rsidRDefault="003C66EB">
            <w:pPr>
              <w:rPr>
                <w:rFonts w:ascii="宋体"/>
                <w:vanish/>
              </w:rPr>
            </w:pPr>
          </w:p>
        </w:tc>
        <w:tc>
          <w:tcPr>
            <w:tcW w:w="0" w:type="auto"/>
            <w:shd w:val="clear" w:color="auto" w:fill="auto"/>
          </w:tcPr>
          <w:p w14:paraId="5EA1FB04" w14:textId="77777777" w:rsidR="003C66EB" w:rsidRDefault="003C66EB">
            <w:pPr>
              <w:rPr>
                <w:rFonts w:ascii="宋体"/>
                <w:vanish/>
              </w:rPr>
            </w:pPr>
          </w:p>
        </w:tc>
        <w:tc>
          <w:tcPr>
            <w:tcW w:w="0" w:type="auto"/>
            <w:shd w:val="clear" w:color="auto" w:fill="auto"/>
          </w:tcPr>
          <w:p w14:paraId="5EA1FB05" w14:textId="77777777" w:rsidR="003C66EB" w:rsidRDefault="003C66EB">
            <w:pPr>
              <w:rPr>
                <w:rFonts w:ascii="宋体"/>
                <w:vanish/>
              </w:rPr>
            </w:pPr>
          </w:p>
        </w:tc>
        <w:tc>
          <w:tcPr>
            <w:tcW w:w="0" w:type="auto"/>
            <w:gridSpan w:val="3"/>
            <w:shd w:val="clear" w:color="auto" w:fill="auto"/>
          </w:tcPr>
          <w:p w14:paraId="5EA1FB06" w14:textId="77777777" w:rsidR="003C66EB" w:rsidRDefault="003C66EB">
            <w:pPr>
              <w:rPr>
                <w:rFonts w:ascii="宋体"/>
                <w:vanish/>
              </w:rPr>
            </w:pPr>
          </w:p>
        </w:tc>
        <w:tc>
          <w:tcPr>
            <w:tcW w:w="0" w:type="auto"/>
            <w:gridSpan w:val="3"/>
            <w:shd w:val="clear" w:color="auto" w:fill="auto"/>
          </w:tcPr>
          <w:p w14:paraId="5EA1FB07" w14:textId="77777777" w:rsidR="003C66EB" w:rsidRDefault="003C66EB">
            <w:pPr>
              <w:rPr>
                <w:rFonts w:ascii="宋体"/>
                <w:vanish/>
              </w:rPr>
            </w:pPr>
          </w:p>
        </w:tc>
      </w:tr>
      <w:tr w:rsidR="003C66EB" w14:paraId="5EA1FB11" w14:textId="77777777">
        <w:trPr>
          <w:hidden/>
        </w:trPr>
        <w:tc>
          <w:tcPr>
            <w:tcW w:w="0" w:type="auto"/>
            <w:gridSpan w:val="3"/>
            <w:shd w:val="clear" w:color="auto" w:fill="auto"/>
          </w:tcPr>
          <w:p w14:paraId="5EA1FB09" w14:textId="77777777" w:rsidR="003C66EB" w:rsidRDefault="003C66EB">
            <w:pPr>
              <w:rPr>
                <w:rFonts w:ascii="宋体"/>
                <w:vanish/>
              </w:rPr>
            </w:pPr>
          </w:p>
        </w:tc>
        <w:tc>
          <w:tcPr>
            <w:tcW w:w="0" w:type="auto"/>
            <w:gridSpan w:val="3"/>
            <w:shd w:val="clear" w:color="auto" w:fill="auto"/>
          </w:tcPr>
          <w:p w14:paraId="5EA1FB0A" w14:textId="77777777" w:rsidR="003C66EB" w:rsidRDefault="003C66EB">
            <w:pPr>
              <w:rPr>
                <w:rFonts w:ascii="宋体"/>
                <w:vanish/>
              </w:rPr>
            </w:pPr>
          </w:p>
        </w:tc>
        <w:tc>
          <w:tcPr>
            <w:tcW w:w="0" w:type="auto"/>
            <w:gridSpan w:val="3"/>
            <w:shd w:val="clear" w:color="auto" w:fill="auto"/>
          </w:tcPr>
          <w:p w14:paraId="5EA1FB0B" w14:textId="77777777" w:rsidR="003C66EB" w:rsidRDefault="003C66EB">
            <w:pPr>
              <w:rPr>
                <w:rFonts w:ascii="宋体"/>
                <w:vanish/>
              </w:rPr>
            </w:pPr>
          </w:p>
        </w:tc>
        <w:tc>
          <w:tcPr>
            <w:tcW w:w="0" w:type="auto"/>
            <w:gridSpan w:val="3"/>
            <w:shd w:val="clear" w:color="auto" w:fill="auto"/>
          </w:tcPr>
          <w:p w14:paraId="5EA1FB0C" w14:textId="77777777" w:rsidR="003C66EB" w:rsidRDefault="003C66EB">
            <w:pPr>
              <w:rPr>
                <w:rFonts w:ascii="宋体"/>
                <w:vanish/>
              </w:rPr>
            </w:pPr>
          </w:p>
        </w:tc>
        <w:tc>
          <w:tcPr>
            <w:tcW w:w="0" w:type="auto"/>
            <w:shd w:val="clear" w:color="auto" w:fill="auto"/>
          </w:tcPr>
          <w:p w14:paraId="5EA1FB0D" w14:textId="77777777" w:rsidR="003C66EB" w:rsidRDefault="003C66EB">
            <w:pPr>
              <w:rPr>
                <w:rFonts w:ascii="宋体"/>
                <w:vanish/>
              </w:rPr>
            </w:pPr>
          </w:p>
        </w:tc>
        <w:tc>
          <w:tcPr>
            <w:tcW w:w="0" w:type="auto"/>
            <w:shd w:val="clear" w:color="auto" w:fill="auto"/>
          </w:tcPr>
          <w:p w14:paraId="5EA1FB0E" w14:textId="77777777" w:rsidR="003C66EB" w:rsidRDefault="003C66EB">
            <w:pPr>
              <w:rPr>
                <w:rFonts w:ascii="宋体"/>
                <w:vanish/>
              </w:rPr>
            </w:pPr>
          </w:p>
        </w:tc>
        <w:tc>
          <w:tcPr>
            <w:tcW w:w="0" w:type="auto"/>
            <w:gridSpan w:val="3"/>
            <w:shd w:val="clear" w:color="auto" w:fill="auto"/>
          </w:tcPr>
          <w:p w14:paraId="5EA1FB0F" w14:textId="77777777" w:rsidR="003C66EB" w:rsidRDefault="003C66EB">
            <w:pPr>
              <w:rPr>
                <w:rFonts w:ascii="宋体"/>
                <w:vanish/>
              </w:rPr>
            </w:pPr>
          </w:p>
        </w:tc>
        <w:tc>
          <w:tcPr>
            <w:tcW w:w="0" w:type="auto"/>
            <w:gridSpan w:val="3"/>
            <w:shd w:val="clear" w:color="auto" w:fill="auto"/>
          </w:tcPr>
          <w:p w14:paraId="5EA1FB10" w14:textId="77777777" w:rsidR="003C66EB" w:rsidRDefault="003C66EB">
            <w:pPr>
              <w:rPr>
                <w:rFonts w:ascii="宋体"/>
                <w:vanish/>
              </w:rPr>
            </w:pPr>
          </w:p>
        </w:tc>
      </w:tr>
      <w:tr w:rsidR="003C66EB" w14:paraId="5EA1FB1A" w14:textId="77777777">
        <w:trPr>
          <w:hidden/>
        </w:trPr>
        <w:tc>
          <w:tcPr>
            <w:tcW w:w="0" w:type="auto"/>
            <w:gridSpan w:val="3"/>
            <w:shd w:val="clear" w:color="auto" w:fill="auto"/>
          </w:tcPr>
          <w:p w14:paraId="5EA1FB12" w14:textId="77777777" w:rsidR="003C66EB" w:rsidRDefault="003C66EB">
            <w:pPr>
              <w:rPr>
                <w:rFonts w:ascii="宋体"/>
                <w:vanish/>
              </w:rPr>
            </w:pPr>
          </w:p>
        </w:tc>
        <w:tc>
          <w:tcPr>
            <w:tcW w:w="0" w:type="auto"/>
            <w:gridSpan w:val="3"/>
            <w:shd w:val="clear" w:color="auto" w:fill="auto"/>
          </w:tcPr>
          <w:p w14:paraId="5EA1FB13" w14:textId="77777777" w:rsidR="003C66EB" w:rsidRDefault="003C66EB">
            <w:pPr>
              <w:rPr>
                <w:rFonts w:ascii="宋体"/>
                <w:vanish/>
              </w:rPr>
            </w:pPr>
          </w:p>
        </w:tc>
        <w:tc>
          <w:tcPr>
            <w:tcW w:w="0" w:type="auto"/>
            <w:gridSpan w:val="3"/>
            <w:shd w:val="clear" w:color="auto" w:fill="auto"/>
          </w:tcPr>
          <w:p w14:paraId="5EA1FB14" w14:textId="77777777" w:rsidR="003C66EB" w:rsidRDefault="003C66EB">
            <w:pPr>
              <w:rPr>
                <w:rFonts w:ascii="宋体"/>
                <w:vanish/>
              </w:rPr>
            </w:pPr>
          </w:p>
        </w:tc>
        <w:tc>
          <w:tcPr>
            <w:tcW w:w="0" w:type="auto"/>
            <w:gridSpan w:val="3"/>
            <w:shd w:val="clear" w:color="auto" w:fill="auto"/>
          </w:tcPr>
          <w:p w14:paraId="5EA1FB15" w14:textId="77777777" w:rsidR="003C66EB" w:rsidRDefault="003C66EB">
            <w:pPr>
              <w:rPr>
                <w:rFonts w:ascii="宋体"/>
                <w:vanish/>
              </w:rPr>
            </w:pPr>
          </w:p>
        </w:tc>
        <w:tc>
          <w:tcPr>
            <w:tcW w:w="0" w:type="auto"/>
            <w:shd w:val="clear" w:color="auto" w:fill="auto"/>
          </w:tcPr>
          <w:p w14:paraId="5EA1FB16" w14:textId="77777777" w:rsidR="003C66EB" w:rsidRDefault="003C66EB">
            <w:pPr>
              <w:rPr>
                <w:rFonts w:ascii="宋体"/>
                <w:vanish/>
              </w:rPr>
            </w:pPr>
          </w:p>
        </w:tc>
        <w:tc>
          <w:tcPr>
            <w:tcW w:w="0" w:type="auto"/>
            <w:shd w:val="clear" w:color="auto" w:fill="auto"/>
          </w:tcPr>
          <w:p w14:paraId="5EA1FB17" w14:textId="77777777" w:rsidR="003C66EB" w:rsidRDefault="003C66EB">
            <w:pPr>
              <w:rPr>
                <w:rFonts w:ascii="宋体"/>
                <w:vanish/>
              </w:rPr>
            </w:pPr>
          </w:p>
        </w:tc>
        <w:tc>
          <w:tcPr>
            <w:tcW w:w="0" w:type="auto"/>
            <w:gridSpan w:val="3"/>
            <w:shd w:val="clear" w:color="auto" w:fill="auto"/>
          </w:tcPr>
          <w:p w14:paraId="5EA1FB18" w14:textId="77777777" w:rsidR="003C66EB" w:rsidRDefault="003C66EB">
            <w:pPr>
              <w:rPr>
                <w:rFonts w:ascii="宋体"/>
                <w:vanish/>
              </w:rPr>
            </w:pPr>
          </w:p>
        </w:tc>
        <w:tc>
          <w:tcPr>
            <w:tcW w:w="0" w:type="auto"/>
            <w:gridSpan w:val="3"/>
            <w:shd w:val="clear" w:color="auto" w:fill="auto"/>
          </w:tcPr>
          <w:p w14:paraId="5EA1FB19" w14:textId="77777777" w:rsidR="003C66EB" w:rsidRDefault="003C66EB">
            <w:pPr>
              <w:rPr>
                <w:rFonts w:ascii="宋体"/>
                <w:vanish/>
              </w:rPr>
            </w:pPr>
          </w:p>
        </w:tc>
      </w:tr>
      <w:tr w:rsidR="003C66EB" w14:paraId="5EA1FB23" w14:textId="77777777">
        <w:trPr>
          <w:hidden/>
        </w:trPr>
        <w:tc>
          <w:tcPr>
            <w:tcW w:w="0" w:type="auto"/>
            <w:gridSpan w:val="3"/>
            <w:shd w:val="clear" w:color="auto" w:fill="auto"/>
          </w:tcPr>
          <w:p w14:paraId="5EA1FB1B" w14:textId="77777777" w:rsidR="003C66EB" w:rsidRDefault="003C66EB">
            <w:pPr>
              <w:rPr>
                <w:rFonts w:ascii="宋体"/>
                <w:vanish/>
              </w:rPr>
            </w:pPr>
          </w:p>
        </w:tc>
        <w:tc>
          <w:tcPr>
            <w:tcW w:w="0" w:type="auto"/>
            <w:gridSpan w:val="3"/>
            <w:shd w:val="clear" w:color="auto" w:fill="auto"/>
          </w:tcPr>
          <w:p w14:paraId="5EA1FB1C" w14:textId="77777777" w:rsidR="003C66EB" w:rsidRDefault="003C66EB">
            <w:pPr>
              <w:rPr>
                <w:rFonts w:ascii="宋体"/>
                <w:vanish/>
              </w:rPr>
            </w:pPr>
          </w:p>
        </w:tc>
        <w:tc>
          <w:tcPr>
            <w:tcW w:w="0" w:type="auto"/>
            <w:gridSpan w:val="3"/>
            <w:shd w:val="clear" w:color="auto" w:fill="auto"/>
          </w:tcPr>
          <w:p w14:paraId="5EA1FB1D" w14:textId="77777777" w:rsidR="003C66EB" w:rsidRDefault="003C66EB">
            <w:pPr>
              <w:rPr>
                <w:rFonts w:ascii="宋体"/>
                <w:vanish/>
              </w:rPr>
            </w:pPr>
          </w:p>
        </w:tc>
        <w:tc>
          <w:tcPr>
            <w:tcW w:w="0" w:type="auto"/>
            <w:gridSpan w:val="3"/>
            <w:shd w:val="clear" w:color="auto" w:fill="auto"/>
          </w:tcPr>
          <w:p w14:paraId="5EA1FB1E" w14:textId="77777777" w:rsidR="003C66EB" w:rsidRDefault="003C66EB">
            <w:pPr>
              <w:rPr>
                <w:rFonts w:ascii="宋体"/>
                <w:vanish/>
              </w:rPr>
            </w:pPr>
          </w:p>
        </w:tc>
        <w:tc>
          <w:tcPr>
            <w:tcW w:w="0" w:type="auto"/>
            <w:shd w:val="clear" w:color="auto" w:fill="auto"/>
          </w:tcPr>
          <w:p w14:paraId="5EA1FB1F" w14:textId="77777777" w:rsidR="003C66EB" w:rsidRDefault="003C66EB">
            <w:pPr>
              <w:rPr>
                <w:rFonts w:ascii="宋体"/>
                <w:vanish/>
              </w:rPr>
            </w:pPr>
          </w:p>
        </w:tc>
        <w:tc>
          <w:tcPr>
            <w:tcW w:w="0" w:type="auto"/>
            <w:shd w:val="clear" w:color="auto" w:fill="auto"/>
          </w:tcPr>
          <w:p w14:paraId="5EA1FB20" w14:textId="77777777" w:rsidR="003C66EB" w:rsidRDefault="003C66EB">
            <w:pPr>
              <w:rPr>
                <w:rFonts w:ascii="宋体"/>
                <w:vanish/>
              </w:rPr>
            </w:pPr>
          </w:p>
        </w:tc>
        <w:tc>
          <w:tcPr>
            <w:tcW w:w="0" w:type="auto"/>
            <w:gridSpan w:val="3"/>
            <w:shd w:val="clear" w:color="auto" w:fill="auto"/>
          </w:tcPr>
          <w:p w14:paraId="5EA1FB21" w14:textId="77777777" w:rsidR="003C66EB" w:rsidRDefault="003C66EB">
            <w:pPr>
              <w:rPr>
                <w:rFonts w:ascii="宋体"/>
                <w:vanish/>
              </w:rPr>
            </w:pPr>
          </w:p>
        </w:tc>
        <w:tc>
          <w:tcPr>
            <w:tcW w:w="0" w:type="auto"/>
            <w:gridSpan w:val="3"/>
            <w:shd w:val="clear" w:color="auto" w:fill="auto"/>
          </w:tcPr>
          <w:p w14:paraId="5EA1FB22" w14:textId="77777777" w:rsidR="003C66EB" w:rsidRDefault="003C66EB">
            <w:pPr>
              <w:rPr>
                <w:rFonts w:ascii="宋体"/>
                <w:vanish/>
              </w:rPr>
            </w:pPr>
          </w:p>
        </w:tc>
      </w:tr>
      <w:tr w:rsidR="003C66EB" w14:paraId="5EA1FB2C" w14:textId="77777777">
        <w:trPr>
          <w:hidden/>
        </w:trPr>
        <w:tc>
          <w:tcPr>
            <w:tcW w:w="0" w:type="auto"/>
            <w:gridSpan w:val="3"/>
            <w:shd w:val="clear" w:color="auto" w:fill="auto"/>
          </w:tcPr>
          <w:p w14:paraId="5EA1FB24" w14:textId="77777777" w:rsidR="003C66EB" w:rsidRDefault="003C66EB">
            <w:pPr>
              <w:rPr>
                <w:rFonts w:ascii="宋体"/>
                <w:vanish/>
              </w:rPr>
            </w:pPr>
          </w:p>
        </w:tc>
        <w:tc>
          <w:tcPr>
            <w:tcW w:w="0" w:type="auto"/>
            <w:gridSpan w:val="3"/>
            <w:shd w:val="clear" w:color="auto" w:fill="auto"/>
          </w:tcPr>
          <w:p w14:paraId="5EA1FB25" w14:textId="77777777" w:rsidR="003C66EB" w:rsidRDefault="003C66EB">
            <w:pPr>
              <w:rPr>
                <w:rFonts w:ascii="宋体"/>
                <w:vanish/>
              </w:rPr>
            </w:pPr>
          </w:p>
        </w:tc>
        <w:tc>
          <w:tcPr>
            <w:tcW w:w="0" w:type="auto"/>
            <w:gridSpan w:val="3"/>
            <w:shd w:val="clear" w:color="auto" w:fill="auto"/>
          </w:tcPr>
          <w:p w14:paraId="5EA1FB26" w14:textId="77777777" w:rsidR="003C66EB" w:rsidRDefault="003C66EB">
            <w:pPr>
              <w:rPr>
                <w:rFonts w:ascii="宋体"/>
                <w:vanish/>
              </w:rPr>
            </w:pPr>
          </w:p>
        </w:tc>
        <w:tc>
          <w:tcPr>
            <w:tcW w:w="0" w:type="auto"/>
            <w:gridSpan w:val="3"/>
            <w:shd w:val="clear" w:color="auto" w:fill="auto"/>
          </w:tcPr>
          <w:p w14:paraId="5EA1FB27" w14:textId="77777777" w:rsidR="003C66EB" w:rsidRDefault="003C66EB">
            <w:pPr>
              <w:rPr>
                <w:rFonts w:ascii="宋体"/>
                <w:vanish/>
              </w:rPr>
            </w:pPr>
          </w:p>
        </w:tc>
        <w:tc>
          <w:tcPr>
            <w:tcW w:w="0" w:type="auto"/>
            <w:shd w:val="clear" w:color="auto" w:fill="auto"/>
          </w:tcPr>
          <w:p w14:paraId="5EA1FB28" w14:textId="77777777" w:rsidR="003C66EB" w:rsidRDefault="003C66EB">
            <w:pPr>
              <w:rPr>
                <w:rFonts w:ascii="宋体"/>
                <w:vanish/>
              </w:rPr>
            </w:pPr>
          </w:p>
        </w:tc>
        <w:tc>
          <w:tcPr>
            <w:tcW w:w="0" w:type="auto"/>
            <w:shd w:val="clear" w:color="auto" w:fill="auto"/>
          </w:tcPr>
          <w:p w14:paraId="5EA1FB29" w14:textId="77777777" w:rsidR="003C66EB" w:rsidRDefault="003C66EB">
            <w:pPr>
              <w:rPr>
                <w:rFonts w:ascii="宋体"/>
                <w:vanish/>
              </w:rPr>
            </w:pPr>
          </w:p>
        </w:tc>
        <w:tc>
          <w:tcPr>
            <w:tcW w:w="0" w:type="auto"/>
            <w:gridSpan w:val="3"/>
            <w:shd w:val="clear" w:color="auto" w:fill="auto"/>
          </w:tcPr>
          <w:p w14:paraId="5EA1FB2A" w14:textId="77777777" w:rsidR="003C66EB" w:rsidRDefault="003C66EB">
            <w:pPr>
              <w:rPr>
                <w:rFonts w:ascii="宋体"/>
                <w:vanish/>
              </w:rPr>
            </w:pPr>
          </w:p>
        </w:tc>
        <w:tc>
          <w:tcPr>
            <w:tcW w:w="0" w:type="auto"/>
            <w:gridSpan w:val="3"/>
            <w:shd w:val="clear" w:color="auto" w:fill="auto"/>
          </w:tcPr>
          <w:p w14:paraId="5EA1FB2B" w14:textId="77777777" w:rsidR="003C66EB" w:rsidRDefault="003C66EB">
            <w:pPr>
              <w:rPr>
                <w:rFonts w:ascii="宋体"/>
                <w:vanish/>
              </w:rPr>
            </w:pPr>
          </w:p>
        </w:tc>
      </w:tr>
      <w:tr w:rsidR="003C66EB" w14:paraId="5EA1FB35" w14:textId="77777777">
        <w:trPr>
          <w:hidden/>
        </w:trPr>
        <w:tc>
          <w:tcPr>
            <w:tcW w:w="0" w:type="auto"/>
            <w:gridSpan w:val="3"/>
            <w:shd w:val="clear" w:color="auto" w:fill="auto"/>
          </w:tcPr>
          <w:p w14:paraId="5EA1FB2D" w14:textId="77777777" w:rsidR="003C66EB" w:rsidRDefault="003C66EB">
            <w:pPr>
              <w:rPr>
                <w:rFonts w:ascii="宋体"/>
                <w:vanish/>
              </w:rPr>
            </w:pPr>
          </w:p>
        </w:tc>
        <w:tc>
          <w:tcPr>
            <w:tcW w:w="0" w:type="auto"/>
            <w:gridSpan w:val="3"/>
            <w:shd w:val="clear" w:color="auto" w:fill="auto"/>
          </w:tcPr>
          <w:p w14:paraId="5EA1FB2E" w14:textId="77777777" w:rsidR="003C66EB" w:rsidRDefault="003C66EB">
            <w:pPr>
              <w:rPr>
                <w:rFonts w:ascii="宋体"/>
                <w:vanish/>
              </w:rPr>
            </w:pPr>
          </w:p>
        </w:tc>
        <w:tc>
          <w:tcPr>
            <w:tcW w:w="0" w:type="auto"/>
            <w:gridSpan w:val="3"/>
            <w:shd w:val="clear" w:color="auto" w:fill="auto"/>
          </w:tcPr>
          <w:p w14:paraId="5EA1FB2F" w14:textId="77777777" w:rsidR="003C66EB" w:rsidRDefault="003C66EB">
            <w:pPr>
              <w:rPr>
                <w:rFonts w:ascii="宋体"/>
                <w:vanish/>
              </w:rPr>
            </w:pPr>
          </w:p>
        </w:tc>
        <w:tc>
          <w:tcPr>
            <w:tcW w:w="0" w:type="auto"/>
            <w:gridSpan w:val="3"/>
            <w:shd w:val="clear" w:color="auto" w:fill="auto"/>
          </w:tcPr>
          <w:p w14:paraId="5EA1FB30" w14:textId="77777777" w:rsidR="003C66EB" w:rsidRDefault="003C66EB">
            <w:pPr>
              <w:rPr>
                <w:rFonts w:ascii="宋体"/>
                <w:vanish/>
              </w:rPr>
            </w:pPr>
          </w:p>
        </w:tc>
        <w:tc>
          <w:tcPr>
            <w:tcW w:w="0" w:type="auto"/>
            <w:shd w:val="clear" w:color="auto" w:fill="auto"/>
          </w:tcPr>
          <w:p w14:paraId="5EA1FB31" w14:textId="77777777" w:rsidR="003C66EB" w:rsidRDefault="003C66EB">
            <w:pPr>
              <w:rPr>
                <w:rFonts w:ascii="宋体"/>
                <w:vanish/>
              </w:rPr>
            </w:pPr>
          </w:p>
        </w:tc>
        <w:tc>
          <w:tcPr>
            <w:tcW w:w="0" w:type="auto"/>
            <w:shd w:val="clear" w:color="auto" w:fill="auto"/>
          </w:tcPr>
          <w:p w14:paraId="5EA1FB32" w14:textId="77777777" w:rsidR="003C66EB" w:rsidRDefault="003C66EB">
            <w:pPr>
              <w:rPr>
                <w:rFonts w:ascii="宋体"/>
                <w:vanish/>
              </w:rPr>
            </w:pPr>
          </w:p>
        </w:tc>
        <w:tc>
          <w:tcPr>
            <w:tcW w:w="0" w:type="auto"/>
            <w:gridSpan w:val="3"/>
            <w:shd w:val="clear" w:color="auto" w:fill="auto"/>
          </w:tcPr>
          <w:p w14:paraId="5EA1FB33" w14:textId="77777777" w:rsidR="003C66EB" w:rsidRDefault="003C66EB">
            <w:pPr>
              <w:rPr>
                <w:rFonts w:ascii="宋体"/>
                <w:vanish/>
              </w:rPr>
            </w:pPr>
          </w:p>
        </w:tc>
        <w:tc>
          <w:tcPr>
            <w:tcW w:w="0" w:type="auto"/>
            <w:gridSpan w:val="3"/>
            <w:shd w:val="clear" w:color="auto" w:fill="auto"/>
          </w:tcPr>
          <w:p w14:paraId="5EA1FB34" w14:textId="77777777" w:rsidR="003C66EB" w:rsidRDefault="003C66EB">
            <w:pPr>
              <w:rPr>
                <w:rFonts w:ascii="宋体"/>
                <w:vanish/>
              </w:rPr>
            </w:pPr>
          </w:p>
        </w:tc>
      </w:tr>
      <w:tr w:rsidR="003C66EB" w14:paraId="5EA1FB3E" w14:textId="77777777">
        <w:trPr>
          <w:hidden/>
        </w:trPr>
        <w:tc>
          <w:tcPr>
            <w:tcW w:w="0" w:type="auto"/>
            <w:gridSpan w:val="3"/>
            <w:shd w:val="clear" w:color="auto" w:fill="auto"/>
          </w:tcPr>
          <w:p w14:paraId="5EA1FB36" w14:textId="77777777" w:rsidR="003C66EB" w:rsidRDefault="003C66EB">
            <w:pPr>
              <w:rPr>
                <w:rFonts w:ascii="宋体"/>
                <w:vanish/>
              </w:rPr>
            </w:pPr>
          </w:p>
        </w:tc>
        <w:tc>
          <w:tcPr>
            <w:tcW w:w="0" w:type="auto"/>
            <w:gridSpan w:val="3"/>
            <w:shd w:val="clear" w:color="auto" w:fill="auto"/>
          </w:tcPr>
          <w:p w14:paraId="5EA1FB37" w14:textId="77777777" w:rsidR="003C66EB" w:rsidRDefault="003C66EB">
            <w:pPr>
              <w:rPr>
                <w:rFonts w:ascii="宋体"/>
                <w:vanish/>
              </w:rPr>
            </w:pPr>
          </w:p>
        </w:tc>
        <w:tc>
          <w:tcPr>
            <w:tcW w:w="0" w:type="auto"/>
            <w:gridSpan w:val="3"/>
            <w:shd w:val="clear" w:color="auto" w:fill="auto"/>
          </w:tcPr>
          <w:p w14:paraId="5EA1FB38" w14:textId="77777777" w:rsidR="003C66EB" w:rsidRDefault="003C66EB">
            <w:pPr>
              <w:rPr>
                <w:rFonts w:ascii="宋体"/>
                <w:vanish/>
              </w:rPr>
            </w:pPr>
          </w:p>
        </w:tc>
        <w:tc>
          <w:tcPr>
            <w:tcW w:w="0" w:type="auto"/>
            <w:gridSpan w:val="3"/>
            <w:shd w:val="clear" w:color="auto" w:fill="auto"/>
          </w:tcPr>
          <w:p w14:paraId="5EA1FB39" w14:textId="77777777" w:rsidR="003C66EB" w:rsidRDefault="003C66EB">
            <w:pPr>
              <w:rPr>
                <w:rFonts w:ascii="宋体"/>
                <w:vanish/>
              </w:rPr>
            </w:pPr>
          </w:p>
        </w:tc>
        <w:tc>
          <w:tcPr>
            <w:tcW w:w="0" w:type="auto"/>
            <w:shd w:val="clear" w:color="auto" w:fill="auto"/>
          </w:tcPr>
          <w:p w14:paraId="5EA1FB3A" w14:textId="77777777" w:rsidR="003C66EB" w:rsidRDefault="003C66EB">
            <w:pPr>
              <w:rPr>
                <w:rFonts w:ascii="宋体"/>
                <w:vanish/>
              </w:rPr>
            </w:pPr>
          </w:p>
        </w:tc>
        <w:tc>
          <w:tcPr>
            <w:tcW w:w="0" w:type="auto"/>
            <w:shd w:val="clear" w:color="auto" w:fill="auto"/>
          </w:tcPr>
          <w:p w14:paraId="5EA1FB3B" w14:textId="77777777" w:rsidR="003C66EB" w:rsidRDefault="003C66EB">
            <w:pPr>
              <w:rPr>
                <w:rFonts w:ascii="宋体"/>
                <w:vanish/>
              </w:rPr>
            </w:pPr>
          </w:p>
        </w:tc>
        <w:tc>
          <w:tcPr>
            <w:tcW w:w="0" w:type="auto"/>
            <w:gridSpan w:val="3"/>
            <w:shd w:val="clear" w:color="auto" w:fill="auto"/>
          </w:tcPr>
          <w:p w14:paraId="5EA1FB3C" w14:textId="77777777" w:rsidR="003C66EB" w:rsidRDefault="003C66EB">
            <w:pPr>
              <w:rPr>
                <w:rFonts w:ascii="宋体"/>
                <w:vanish/>
              </w:rPr>
            </w:pPr>
          </w:p>
        </w:tc>
        <w:tc>
          <w:tcPr>
            <w:tcW w:w="0" w:type="auto"/>
            <w:gridSpan w:val="3"/>
            <w:shd w:val="clear" w:color="auto" w:fill="auto"/>
          </w:tcPr>
          <w:p w14:paraId="5EA1FB3D" w14:textId="77777777" w:rsidR="003C66EB" w:rsidRDefault="003C66EB">
            <w:pPr>
              <w:rPr>
                <w:rFonts w:ascii="宋体"/>
                <w:vanish/>
              </w:rPr>
            </w:pPr>
          </w:p>
        </w:tc>
      </w:tr>
      <w:tr w:rsidR="003C66EB" w14:paraId="5EA1FB47" w14:textId="77777777">
        <w:trPr>
          <w:hidden/>
        </w:trPr>
        <w:tc>
          <w:tcPr>
            <w:tcW w:w="0" w:type="auto"/>
            <w:gridSpan w:val="3"/>
            <w:shd w:val="clear" w:color="auto" w:fill="auto"/>
          </w:tcPr>
          <w:p w14:paraId="5EA1FB3F" w14:textId="77777777" w:rsidR="003C66EB" w:rsidRDefault="003C66EB">
            <w:pPr>
              <w:rPr>
                <w:rFonts w:ascii="宋体"/>
                <w:vanish/>
              </w:rPr>
            </w:pPr>
          </w:p>
        </w:tc>
        <w:tc>
          <w:tcPr>
            <w:tcW w:w="0" w:type="auto"/>
            <w:gridSpan w:val="3"/>
            <w:shd w:val="clear" w:color="auto" w:fill="auto"/>
          </w:tcPr>
          <w:p w14:paraId="5EA1FB40" w14:textId="77777777" w:rsidR="003C66EB" w:rsidRDefault="003C66EB">
            <w:pPr>
              <w:rPr>
                <w:rFonts w:ascii="宋体"/>
                <w:vanish/>
              </w:rPr>
            </w:pPr>
          </w:p>
        </w:tc>
        <w:tc>
          <w:tcPr>
            <w:tcW w:w="0" w:type="auto"/>
            <w:gridSpan w:val="3"/>
            <w:shd w:val="clear" w:color="auto" w:fill="auto"/>
          </w:tcPr>
          <w:p w14:paraId="5EA1FB41" w14:textId="77777777" w:rsidR="003C66EB" w:rsidRDefault="003C66EB">
            <w:pPr>
              <w:rPr>
                <w:rFonts w:ascii="宋体"/>
                <w:vanish/>
              </w:rPr>
            </w:pPr>
          </w:p>
        </w:tc>
        <w:tc>
          <w:tcPr>
            <w:tcW w:w="0" w:type="auto"/>
            <w:gridSpan w:val="3"/>
            <w:shd w:val="clear" w:color="auto" w:fill="auto"/>
          </w:tcPr>
          <w:p w14:paraId="5EA1FB42" w14:textId="77777777" w:rsidR="003C66EB" w:rsidRDefault="003C66EB">
            <w:pPr>
              <w:rPr>
                <w:rFonts w:ascii="宋体"/>
                <w:vanish/>
              </w:rPr>
            </w:pPr>
          </w:p>
        </w:tc>
        <w:tc>
          <w:tcPr>
            <w:tcW w:w="0" w:type="auto"/>
            <w:shd w:val="clear" w:color="auto" w:fill="auto"/>
          </w:tcPr>
          <w:p w14:paraId="5EA1FB43" w14:textId="77777777" w:rsidR="003C66EB" w:rsidRDefault="003C66EB">
            <w:pPr>
              <w:rPr>
                <w:rFonts w:ascii="宋体"/>
                <w:vanish/>
              </w:rPr>
            </w:pPr>
          </w:p>
        </w:tc>
        <w:tc>
          <w:tcPr>
            <w:tcW w:w="0" w:type="auto"/>
            <w:shd w:val="clear" w:color="auto" w:fill="auto"/>
          </w:tcPr>
          <w:p w14:paraId="5EA1FB44" w14:textId="77777777" w:rsidR="003C66EB" w:rsidRDefault="003C66EB">
            <w:pPr>
              <w:rPr>
                <w:rFonts w:ascii="宋体"/>
                <w:vanish/>
              </w:rPr>
            </w:pPr>
          </w:p>
        </w:tc>
        <w:tc>
          <w:tcPr>
            <w:tcW w:w="0" w:type="auto"/>
            <w:gridSpan w:val="3"/>
            <w:shd w:val="clear" w:color="auto" w:fill="auto"/>
          </w:tcPr>
          <w:p w14:paraId="5EA1FB45" w14:textId="77777777" w:rsidR="003C66EB" w:rsidRDefault="003C66EB">
            <w:pPr>
              <w:rPr>
                <w:rFonts w:ascii="宋体"/>
                <w:vanish/>
              </w:rPr>
            </w:pPr>
          </w:p>
        </w:tc>
        <w:tc>
          <w:tcPr>
            <w:tcW w:w="0" w:type="auto"/>
            <w:gridSpan w:val="3"/>
            <w:shd w:val="clear" w:color="auto" w:fill="auto"/>
          </w:tcPr>
          <w:p w14:paraId="5EA1FB46" w14:textId="77777777" w:rsidR="003C66EB" w:rsidRDefault="003C66EB">
            <w:pPr>
              <w:rPr>
                <w:rFonts w:ascii="宋体"/>
                <w:vanish/>
              </w:rPr>
            </w:pPr>
          </w:p>
        </w:tc>
      </w:tr>
      <w:tr w:rsidR="003C66EB" w14:paraId="5EA1FB50" w14:textId="77777777">
        <w:trPr>
          <w:hidden/>
        </w:trPr>
        <w:tc>
          <w:tcPr>
            <w:tcW w:w="0" w:type="auto"/>
            <w:gridSpan w:val="3"/>
            <w:shd w:val="clear" w:color="auto" w:fill="auto"/>
          </w:tcPr>
          <w:p w14:paraId="5EA1FB48" w14:textId="77777777" w:rsidR="003C66EB" w:rsidRDefault="003C66EB">
            <w:pPr>
              <w:rPr>
                <w:rFonts w:ascii="宋体"/>
                <w:vanish/>
              </w:rPr>
            </w:pPr>
          </w:p>
        </w:tc>
        <w:tc>
          <w:tcPr>
            <w:tcW w:w="0" w:type="auto"/>
            <w:gridSpan w:val="3"/>
            <w:shd w:val="clear" w:color="auto" w:fill="auto"/>
          </w:tcPr>
          <w:p w14:paraId="5EA1FB49" w14:textId="77777777" w:rsidR="003C66EB" w:rsidRDefault="003C66EB">
            <w:pPr>
              <w:rPr>
                <w:rFonts w:ascii="宋体"/>
                <w:vanish/>
              </w:rPr>
            </w:pPr>
          </w:p>
        </w:tc>
        <w:tc>
          <w:tcPr>
            <w:tcW w:w="0" w:type="auto"/>
            <w:gridSpan w:val="3"/>
            <w:shd w:val="clear" w:color="auto" w:fill="auto"/>
          </w:tcPr>
          <w:p w14:paraId="5EA1FB4A" w14:textId="77777777" w:rsidR="003C66EB" w:rsidRDefault="003C66EB">
            <w:pPr>
              <w:rPr>
                <w:rFonts w:ascii="宋体"/>
                <w:vanish/>
              </w:rPr>
            </w:pPr>
          </w:p>
        </w:tc>
        <w:tc>
          <w:tcPr>
            <w:tcW w:w="0" w:type="auto"/>
            <w:gridSpan w:val="3"/>
            <w:shd w:val="clear" w:color="auto" w:fill="auto"/>
          </w:tcPr>
          <w:p w14:paraId="5EA1FB4B" w14:textId="77777777" w:rsidR="003C66EB" w:rsidRDefault="003C66EB">
            <w:pPr>
              <w:rPr>
                <w:rFonts w:ascii="宋体"/>
                <w:vanish/>
              </w:rPr>
            </w:pPr>
          </w:p>
        </w:tc>
        <w:tc>
          <w:tcPr>
            <w:tcW w:w="0" w:type="auto"/>
            <w:shd w:val="clear" w:color="auto" w:fill="auto"/>
          </w:tcPr>
          <w:p w14:paraId="5EA1FB4C" w14:textId="77777777" w:rsidR="003C66EB" w:rsidRDefault="003C66EB">
            <w:pPr>
              <w:rPr>
                <w:rFonts w:ascii="宋体"/>
                <w:vanish/>
              </w:rPr>
            </w:pPr>
          </w:p>
        </w:tc>
        <w:tc>
          <w:tcPr>
            <w:tcW w:w="0" w:type="auto"/>
            <w:shd w:val="clear" w:color="auto" w:fill="auto"/>
          </w:tcPr>
          <w:p w14:paraId="5EA1FB4D" w14:textId="77777777" w:rsidR="003C66EB" w:rsidRDefault="003C66EB">
            <w:pPr>
              <w:rPr>
                <w:rFonts w:ascii="宋体"/>
                <w:vanish/>
              </w:rPr>
            </w:pPr>
          </w:p>
        </w:tc>
        <w:tc>
          <w:tcPr>
            <w:tcW w:w="0" w:type="auto"/>
            <w:gridSpan w:val="3"/>
            <w:shd w:val="clear" w:color="auto" w:fill="auto"/>
          </w:tcPr>
          <w:p w14:paraId="5EA1FB4E" w14:textId="77777777" w:rsidR="003C66EB" w:rsidRDefault="003C66EB">
            <w:pPr>
              <w:rPr>
                <w:rFonts w:ascii="宋体"/>
                <w:vanish/>
              </w:rPr>
            </w:pPr>
          </w:p>
        </w:tc>
        <w:tc>
          <w:tcPr>
            <w:tcW w:w="0" w:type="auto"/>
            <w:gridSpan w:val="3"/>
            <w:shd w:val="clear" w:color="auto" w:fill="auto"/>
          </w:tcPr>
          <w:p w14:paraId="5EA1FB4F" w14:textId="77777777" w:rsidR="003C66EB" w:rsidRDefault="003C66EB">
            <w:pPr>
              <w:rPr>
                <w:rFonts w:ascii="宋体"/>
                <w:vanish/>
              </w:rPr>
            </w:pPr>
          </w:p>
        </w:tc>
      </w:tr>
      <w:tr w:rsidR="003C66EB" w14:paraId="5EA1FB59" w14:textId="77777777">
        <w:trPr>
          <w:hidden/>
        </w:trPr>
        <w:tc>
          <w:tcPr>
            <w:tcW w:w="0" w:type="auto"/>
            <w:gridSpan w:val="3"/>
            <w:shd w:val="clear" w:color="auto" w:fill="auto"/>
          </w:tcPr>
          <w:p w14:paraId="5EA1FB51" w14:textId="77777777" w:rsidR="003C66EB" w:rsidRDefault="003C66EB">
            <w:pPr>
              <w:rPr>
                <w:rFonts w:ascii="宋体"/>
                <w:vanish/>
              </w:rPr>
            </w:pPr>
          </w:p>
        </w:tc>
        <w:tc>
          <w:tcPr>
            <w:tcW w:w="0" w:type="auto"/>
            <w:gridSpan w:val="3"/>
            <w:shd w:val="clear" w:color="auto" w:fill="auto"/>
          </w:tcPr>
          <w:p w14:paraId="5EA1FB52" w14:textId="77777777" w:rsidR="003C66EB" w:rsidRDefault="003C66EB">
            <w:pPr>
              <w:rPr>
                <w:rFonts w:ascii="宋体"/>
                <w:vanish/>
              </w:rPr>
            </w:pPr>
          </w:p>
        </w:tc>
        <w:tc>
          <w:tcPr>
            <w:tcW w:w="0" w:type="auto"/>
            <w:gridSpan w:val="3"/>
            <w:shd w:val="clear" w:color="auto" w:fill="auto"/>
          </w:tcPr>
          <w:p w14:paraId="5EA1FB53" w14:textId="77777777" w:rsidR="003C66EB" w:rsidRDefault="003C66EB">
            <w:pPr>
              <w:rPr>
                <w:rFonts w:ascii="宋体"/>
                <w:vanish/>
              </w:rPr>
            </w:pPr>
          </w:p>
        </w:tc>
        <w:tc>
          <w:tcPr>
            <w:tcW w:w="0" w:type="auto"/>
            <w:gridSpan w:val="3"/>
            <w:shd w:val="clear" w:color="auto" w:fill="auto"/>
          </w:tcPr>
          <w:p w14:paraId="5EA1FB54" w14:textId="77777777" w:rsidR="003C66EB" w:rsidRDefault="003C66EB">
            <w:pPr>
              <w:rPr>
                <w:rFonts w:ascii="宋体"/>
                <w:vanish/>
              </w:rPr>
            </w:pPr>
          </w:p>
        </w:tc>
        <w:tc>
          <w:tcPr>
            <w:tcW w:w="0" w:type="auto"/>
            <w:shd w:val="clear" w:color="auto" w:fill="auto"/>
          </w:tcPr>
          <w:p w14:paraId="5EA1FB55" w14:textId="77777777" w:rsidR="003C66EB" w:rsidRDefault="003C66EB">
            <w:pPr>
              <w:rPr>
                <w:rFonts w:ascii="宋体"/>
                <w:vanish/>
              </w:rPr>
            </w:pPr>
          </w:p>
        </w:tc>
        <w:tc>
          <w:tcPr>
            <w:tcW w:w="0" w:type="auto"/>
            <w:shd w:val="clear" w:color="auto" w:fill="auto"/>
          </w:tcPr>
          <w:p w14:paraId="5EA1FB56" w14:textId="77777777" w:rsidR="003C66EB" w:rsidRDefault="003C66EB">
            <w:pPr>
              <w:rPr>
                <w:rFonts w:ascii="宋体"/>
                <w:vanish/>
              </w:rPr>
            </w:pPr>
          </w:p>
        </w:tc>
        <w:tc>
          <w:tcPr>
            <w:tcW w:w="0" w:type="auto"/>
            <w:gridSpan w:val="3"/>
            <w:shd w:val="clear" w:color="auto" w:fill="auto"/>
          </w:tcPr>
          <w:p w14:paraId="5EA1FB57" w14:textId="77777777" w:rsidR="003C66EB" w:rsidRDefault="003C66EB">
            <w:pPr>
              <w:rPr>
                <w:rFonts w:ascii="宋体"/>
                <w:vanish/>
              </w:rPr>
            </w:pPr>
          </w:p>
        </w:tc>
        <w:tc>
          <w:tcPr>
            <w:tcW w:w="0" w:type="auto"/>
            <w:gridSpan w:val="3"/>
            <w:shd w:val="clear" w:color="auto" w:fill="auto"/>
          </w:tcPr>
          <w:p w14:paraId="5EA1FB58" w14:textId="77777777" w:rsidR="003C66EB" w:rsidRDefault="003C66EB">
            <w:pPr>
              <w:rPr>
                <w:rFonts w:ascii="宋体"/>
                <w:vanish/>
              </w:rPr>
            </w:pPr>
          </w:p>
        </w:tc>
      </w:tr>
      <w:tr w:rsidR="003C66EB" w14:paraId="5EA1FB62" w14:textId="77777777">
        <w:trPr>
          <w:hidden/>
        </w:trPr>
        <w:tc>
          <w:tcPr>
            <w:tcW w:w="0" w:type="auto"/>
            <w:gridSpan w:val="3"/>
            <w:shd w:val="clear" w:color="auto" w:fill="auto"/>
          </w:tcPr>
          <w:p w14:paraId="5EA1FB5A" w14:textId="77777777" w:rsidR="003C66EB" w:rsidRDefault="003C66EB">
            <w:pPr>
              <w:rPr>
                <w:rFonts w:ascii="宋体"/>
                <w:vanish/>
              </w:rPr>
            </w:pPr>
          </w:p>
        </w:tc>
        <w:tc>
          <w:tcPr>
            <w:tcW w:w="0" w:type="auto"/>
            <w:gridSpan w:val="3"/>
            <w:shd w:val="clear" w:color="auto" w:fill="auto"/>
          </w:tcPr>
          <w:p w14:paraId="5EA1FB5B" w14:textId="77777777" w:rsidR="003C66EB" w:rsidRDefault="003C66EB">
            <w:pPr>
              <w:rPr>
                <w:rFonts w:ascii="宋体"/>
                <w:vanish/>
              </w:rPr>
            </w:pPr>
          </w:p>
        </w:tc>
        <w:tc>
          <w:tcPr>
            <w:tcW w:w="0" w:type="auto"/>
            <w:gridSpan w:val="3"/>
            <w:shd w:val="clear" w:color="auto" w:fill="auto"/>
          </w:tcPr>
          <w:p w14:paraId="5EA1FB5C" w14:textId="77777777" w:rsidR="003C66EB" w:rsidRDefault="003C66EB">
            <w:pPr>
              <w:rPr>
                <w:rFonts w:ascii="宋体"/>
                <w:vanish/>
              </w:rPr>
            </w:pPr>
          </w:p>
        </w:tc>
        <w:tc>
          <w:tcPr>
            <w:tcW w:w="0" w:type="auto"/>
            <w:gridSpan w:val="3"/>
            <w:shd w:val="clear" w:color="auto" w:fill="auto"/>
          </w:tcPr>
          <w:p w14:paraId="5EA1FB5D" w14:textId="77777777" w:rsidR="003C66EB" w:rsidRDefault="003C66EB">
            <w:pPr>
              <w:rPr>
                <w:rFonts w:ascii="宋体"/>
                <w:vanish/>
              </w:rPr>
            </w:pPr>
          </w:p>
        </w:tc>
        <w:tc>
          <w:tcPr>
            <w:tcW w:w="0" w:type="auto"/>
            <w:shd w:val="clear" w:color="auto" w:fill="auto"/>
          </w:tcPr>
          <w:p w14:paraId="5EA1FB5E" w14:textId="77777777" w:rsidR="003C66EB" w:rsidRDefault="003C66EB">
            <w:pPr>
              <w:rPr>
                <w:rFonts w:ascii="宋体"/>
                <w:vanish/>
              </w:rPr>
            </w:pPr>
          </w:p>
        </w:tc>
        <w:tc>
          <w:tcPr>
            <w:tcW w:w="0" w:type="auto"/>
            <w:shd w:val="clear" w:color="auto" w:fill="auto"/>
          </w:tcPr>
          <w:p w14:paraId="5EA1FB5F" w14:textId="77777777" w:rsidR="003C66EB" w:rsidRDefault="003C66EB">
            <w:pPr>
              <w:rPr>
                <w:rFonts w:ascii="宋体"/>
                <w:vanish/>
              </w:rPr>
            </w:pPr>
          </w:p>
        </w:tc>
        <w:tc>
          <w:tcPr>
            <w:tcW w:w="0" w:type="auto"/>
            <w:gridSpan w:val="3"/>
            <w:shd w:val="clear" w:color="auto" w:fill="auto"/>
          </w:tcPr>
          <w:p w14:paraId="5EA1FB60" w14:textId="77777777" w:rsidR="003C66EB" w:rsidRDefault="003C66EB">
            <w:pPr>
              <w:rPr>
                <w:rFonts w:ascii="宋体"/>
                <w:vanish/>
              </w:rPr>
            </w:pPr>
          </w:p>
        </w:tc>
        <w:tc>
          <w:tcPr>
            <w:tcW w:w="0" w:type="auto"/>
            <w:gridSpan w:val="3"/>
            <w:shd w:val="clear" w:color="auto" w:fill="auto"/>
          </w:tcPr>
          <w:p w14:paraId="5EA1FB61" w14:textId="77777777" w:rsidR="003C66EB" w:rsidRDefault="003C66EB">
            <w:pPr>
              <w:rPr>
                <w:rFonts w:ascii="宋体"/>
                <w:vanish/>
              </w:rPr>
            </w:pPr>
          </w:p>
        </w:tc>
      </w:tr>
      <w:tr w:rsidR="003C66EB" w14:paraId="5EA1FB68" w14:textId="77777777">
        <w:tc>
          <w:tcPr>
            <w:tcW w:w="0" w:type="auto"/>
            <w:gridSpan w:val="12"/>
            <w:shd w:val="clear" w:color="auto" w:fill="auto"/>
            <w:tcMar>
              <w:top w:w="40" w:type="dxa"/>
              <w:left w:w="20" w:type="dxa"/>
              <w:bottom w:w="40" w:type="dxa"/>
              <w:right w:w="20" w:type="dxa"/>
            </w:tcMar>
            <w:vAlign w:val="bottom"/>
          </w:tcPr>
          <w:p w14:paraId="5EA1FB63" w14:textId="77777777" w:rsidR="003C66EB" w:rsidRDefault="00D96C4E">
            <w:pPr>
              <w:spacing w:before="60"/>
              <w:jc w:val="both"/>
              <w:textAlignment w:val="bottom"/>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c>
        <w:tc>
          <w:tcPr>
            <w:tcW w:w="0" w:type="auto"/>
            <w:shd w:val="clear" w:color="auto" w:fill="auto"/>
          </w:tcPr>
          <w:p w14:paraId="5EA1FB64" w14:textId="77777777" w:rsidR="003C66EB" w:rsidRDefault="003C66EB">
            <w:pPr>
              <w:rPr>
                <w:rFonts w:ascii="宋体"/>
                <w:vanish/>
              </w:rPr>
            </w:pPr>
          </w:p>
        </w:tc>
        <w:tc>
          <w:tcPr>
            <w:tcW w:w="0" w:type="auto"/>
            <w:shd w:val="clear" w:color="auto" w:fill="auto"/>
          </w:tcPr>
          <w:p w14:paraId="5EA1FB65" w14:textId="77777777" w:rsidR="003C66EB" w:rsidRDefault="003C66EB">
            <w:pPr>
              <w:rPr>
                <w:rFonts w:ascii="宋体"/>
                <w:vanish/>
              </w:rPr>
            </w:pPr>
          </w:p>
        </w:tc>
        <w:tc>
          <w:tcPr>
            <w:tcW w:w="0" w:type="auto"/>
            <w:gridSpan w:val="3"/>
            <w:shd w:val="clear" w:color="auto" w:fill="auto"/>
          </w:tcPr>
          <w:p w14:paraId="5EA1FB66" w14:textId="77777777" w:rsidR="003C66EB" w:rsidRDefault="003C66EB">
            <w:pPr>
              <w:rPr>
                <w:rFonts w:ascii="宋体"/>
                <w:vanish/>
              </w:rPr>
            </w:pPr>
          </w:p>
        </w:tc>
        <w:tc>
          <w:tcPr>
            <w:tcW w:w="0" w:type="auto"/>
            <w:gridSpan w:val="3"/>
            <w:shd w:val="clear" w:color="auto" w:fill="auto"/>
          </w:tcPr>
          <w:p w14:paraId="5EA1FB67" w14:textId="77777777" w:rsidR="003C66EB" w:rsidRDefault="003C66EB">
            <w:pPr>
              <w:rPr>
                <w:rFonts w:ascii="宋体"/>
                <w:vanish/>
              </w:rPr>
            </w:pPr>
          </w:p>
        </w:tc>
      </w:tr>
      <w:tr w:rsidR="003C66EB" w14:paraId="5EA1FB73" w14:textId="77777777">
        <w:tc>
          <w:tcPr>
            <w:tcW w:w="0" w:type="auto"/>
            <w:gridSpan w:val="3"/>
            <w:shd w:val="clear" w:color="auto" w:fill="auto"/>
            <w:tcMar>
              <w:top w:w="0" w:type="dxa"/>
              <w:left w:w="20" w:type="dxa"/>
              <w:bottom w:w="0" w:type="dxa"/>
              <w:right w:w="20" w:type="dxa"/>
            </w:tcMar>
          </w:tcPr>
          <w:p w14:paraId="5EA1FB69"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1FB6A"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Pr>
          <w:p w14:paraId="5EA1FB6B" w14:textId="77777777" w:rsidR="003C66EB" w:rsidRDefault="003C66EB">
            <w:pPr>
              <w:rPr>
                <w:rFonts w:ascii="宋体"/>
                <w:vanish/>
              </w:rPr>
            </w:pPr>
          </w:p>
        </w:tc>
        <w:tc>
          <w:tcPr>
            <w:tcW w:w="0" w:type="auto"/>
            <w:shd w:val="clear" w:color="auto" w:fill="auto"/>
          </w:tcPr>
          <w:p w14:paraId="5EA1FB6C" w14:textId="77777777" w:rsidR="003C66EB" w:rsidRDefault="003C66EB">
            <w:pPr>
              <w:rPr>
                <w:rFonts w:ascii="宋体"/>
                <w:vanish/>
              </w:rPr>
            </w:pPr>
          </w:p>
        </w:tc>
        <w:tc>
          <w:tcPr>
            <w:tcW w:w="0" w:type="auto"/>
            <w:shd w:val="clear" w:color="auto" w:fill="auto"/>
          </w:tcPr>
          <w:p w14:paraId="5EA1FB6D" w14:textId="77777777" w:rsidR="003C66EB" w:rsidRDefault="003C66EB">
            <w:pPr>
              <w:rPr>
                <w:rFonts w:ascii="宋体"/>
              </w:rPr>
            </w:pPr>
          </w:p>
        </w:tc>
        <w:tc>
          <w:tcPr>
            <w:tcW w:w="0" w:type="auto"/>
            <w:shd w:val="clear" w:color="auto" w:fill="auto"/>
          </w:tcPr>
          <w:p w14:paraId="5EA1FB6E" w14:textId="77777777" w:rsidR="003C66EB" w:rsidRDefault="003C66EB">
            <w:pPr>
              <w:rPr>
                <w:rFonts w:ascii="宋体"/>
              </w:rPr>
            </w:pPr>
          </w:p>
        </w:tc>
        <w:tc>
          <w:tcPr>
            <w:tcW w:w="0" w:type="auto"/>
            <w:shd w:val="clear" w:color="auto" w:fill="auto"/>
          </w:tcPr>
          <w:p w14:paraId="5EA1FB6F" w14:textId="77777777" w:rsidR="003C66EB" w:rsidRDefault="003C66EB">
            <w:pPr>
              <w:rPr>
                <w:rFonts w:ascii="宋体"/>
              </w:rPr>
            </w:pPr>
          </w:p>
        </w:tc>
        <w:tc>
          <w:tcPr>
            <w:tcW w:w="0" w:type="auto"/>
            <w:shd w:val="clear" w:color="auto" w:fill="auto"/>
          </w:tcPr>
          <w:p w14:paraId="5EA1FB70" w14:textId="77777777" w:rsidR="003C66EB" w:rsidRDefault="003C66EB">
            <w:pPr>
              <w:rPr>
                <w:rFonts w:ascii="宋体"/>
              </w:rPr>
            </w:pPr>
          </w:p>
        </w:tc>
        <w:tc>
          <w:tcPr>
            <w:tcW w:w="0" w:type="auto"/>
            <w:shd w:val="clear" w:color="auto" w:fill="auto"/>
          </w:tcPr>
          <w:p w14:paraId="5EA1FB71" w14:textId="77777777" w:rsidR="003C66EB" w:rsidRDefault="003C66EB">
            <w:pPr>
              <w:rPr>
                <w:rFonts w:ascii="宋体"/>
              </w:rPr>
            </w:pPr>
          </w:p>
        </w:tc>
        <w:tc>
          <w:tcPr>
            <w:tcW w:w="0" w:type="auto"/>
            <w:shd w:val="clear" w:color="auto" w:fill="auto"/>
          </w:tcPr>
          <w:p w14:paraId="5EA1FB72" w14:textId="77777777" w:rsidR="003C66EB" w:rsidRDefault="003C66EB">
            <w:pPr>
              <w:rPr>
                <w:rFonts w:ascii="宋体"/>
              </w:rPr>
            </w:pPr>
          </w:p>
        </w:tc>
      </w:tr>
      <w:tr w:rsidR="003C66EB" w14:paraId="5EA1FB7C" w14:textId="77777777">
        <w:tc>
          <w:tcPr>
            <w:tcW w:w="0" w:type="auto"/>
            <w:gridSpan w:val="3"/>
            <w:shd w:val="clear" w:color="auto" w:fill="auto"/>
            <w:tcMar>
              <w:top w:w="40" w:type="dxa"/>
              <w:left w:w="20" w:type="dxa"/>
              <w:bottom w:w="40" w:type="dxa"/>
              <w:right w:w="20" w:type="dxa"/>
            </w:tcMar>
            <w:vAlign w:val="bottom"/>
          </w:tcPr>
          <w:p w14:paraId="5EA1FB74"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FB75"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1FB7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1FB77" w14:textId="77777777" w:rsidR="003C66EB" w:rsidRDefault="00D96C4E">
            <w:pPr>
              <w:jc w:val="center"/>
              <w:textAlignment w:val="bottom"/>
            </w:pPr>
            <w:r>
              <w:rPr>
                <w:rFonts w:ascii="Arial" w:eastAsia="宋体" w:hAnsi="Arial" w:cs="Arial"/>
                <w:b/>
                <w:bCs/>
                <w:color w:val="000000"/>
                <w:sz w:val="14"/>
                <w:szCs w:val="14"/>
              </w:rPr>
              <w:t>2020</w:t>
            </w:r>
          </w:p>
        </w:tc>
        <w:tc>
          <w:tcPr>
            <w:tcW w:w="0" w:type="auto"/>
            <w:shd w:val="clear" w:color="auto" w:fill="auto"/>
          </w:tcPr>
          <w:p w14:paraId="5EA1FB78" w14:textId="77777777" w:rsidR="003C66EB" w:rsidRDefault="003C66EB">
            <w:pPr>
              <w:rPr>
                <w:rFonts w:ascii="宋体"/>
                <w:vanish/>
              </w:rPr>
            </w:pPr>
          </w:p>
        </w:tc>
        <w:tc>
          <w:tcPr>
            <w:tcW w:w="0" w:type="auto"/>
            <w:shd w:val="clear" w:color="auto" w:fill="auto"/>
          </w:tcPr>
          <w:p w14:paraId="5EA1FB79" w14:textId="77777777" w:rsidR="003C66EB" w:rsidRDefault="003C66EB">
            <w:pPr>
              <w:rPr>
                <w:rFonts w:ascii="宋体"/>
                <w:vanish/>
              </w:rPr>
            </w:pPr>
          </w:p>
        </w:tc>
        <w:tc>
          <w:tcPr>
            <w:tcW w:w="0" w:type="auto"/>
            <w:gridSpan w:val="3"/>
            <w:shd w:val="clear" w:color="auto" w:fill="auto"/>
          </w:tcPr>
          <w:p w14:paraId="5EA1FB7A" w14:textId="77777777" w:rsidR="003C66EB" w:rsidRDefault="003C66EB">
            <w:pPr>
              <w:rPr>
                <w:rFonts w:ascii="宋体"/>
                <w:vanish/>
              </w:rPr>
            </w:pPr>
          </w:p>
        </w:tc>
        <w:tc>
          <w:tcPr>
            <w:tcW w:w="0" w:type="auto"/>
            <w:gridSpan w:val="3"/>
            <w:shd w:val="clear" w:color="auto" w:fill="auto"/>
          </w:tcPr>
          <w:p w14:paraId="5EA1FB7B" w14:textId="77777777" w:rsidR="003C66EB" w:rsidRDefault="003C66EB">
            <w:pPr>
              <w:rPr>
                <w:rFonts w:ascii="宋体"/>
                <w:vanish/>
              </w:rPr>
            </w:pPr>
          </w:p>
        </w:tc>
      </w:tr>
      <w:tr w:rsidR="003C66EB" w14:paraId="5EA1FB85" w14:textId="77777777">
        <w:tc>
          <w:tcPr>
            <w:tcW w:w="0" w:type="auto"/>
            <w:gridSpan w:val="3"/>
            <w:shd w:val="clear" w:color="auto" w:fill="auto"/>
            <w:tcMar>
              <w:top w:w="40" w:type="dxa"/>
              <w:left w:w="20" w:type="dxa"/>
              <w:bottom w:w="40" w:type="dxa"/>
              <w:right w:w="20" w:type="dxa"/>
            </w:tcMar>
            <w:vAlign w:val="bottom"/>
          </w:tcPr>
          <w:p w14:paraId="5EA1FB7D" w14:textId="77777777" w:rsidR="003C66EB" w:rsidRDefault="00D96C4E">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5EA1FB7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B7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1FB80" w14:textId="77777777" w:rsidR="003C66EB" w:rsidRDefault="003C66EB">
            <w:pPr>
              <w:rPr>
                <w:rFonts w:ascii="宋体"/>
              </w:rPr>
            </w:pPr>
          </w:p>
        </w:tc>
        <w:tc>
          <w:tcPr>
            <w:tcW w:w="0" w:type="auto"/>
            <w:shd w:val="clear" w:color="auto" w:fill="auto"/>
          </w:tcPr>
          <w:p w14:paraId="5EA1FB81" w14:textId="77777777" w:rsidR="003C66EB" w:rsidRDefault="003C66EB">
            <w:pPr>
              <w:rPr>
                <w:rFonts w:ascii="宋体"/>
                <w:vanish/>
              </w:rPr>
            </w:pPr>
          </w:p>
        </w:tc>
        <w:tc>
          <w:tcPr>
            <w:tcW w:w="0" w:type="auto"/>
            <w:shd w:val="clear" w:color="auto" w:fill="auto"/>
          </w:tcPr>
          <w:p w14:paraId="5EA1FB82" w14:textId="77777777" w:rsidR="003C66EB" w:rsidRDefault="003C66EB">
            <w:pPr>
              <w:rPr>
                <w:rFonts w:ascii="宋体"/>
                <w:vanish/>
              </w:rPr>
            </w:pPr>
          </w:p>
        </w:tc>
        <w:tc>
          <w:tcPr>
            <w:tcW w:w="0" w:type="auto"/>
            <w:gridSpan w:val="3"/>
            <w:shd w:val="clear" w:color="auto" w:fill="auto"/>
          </w:tcPr>
          <w:p w14:paraId="5EA1FB83" w14:textId="77777777" w:rsidR="003C66EB" w:rsidRDefault="003C66EB">
            <w:pPr>
              <w:rPr>
                <w:rFonts w:ascii="宋体"/>
                <w:vanish/>
              </w:rPr>
            </w:pPr>
          </w:p>
        </w:tc>
        <w:tc>
          <w:tcPr>
            <w:tcW w:w="0" w:type="auto"/>
            <w:gridSpan w:val="3"/>
            <w:shd w:val="clear" w:color="auto" w:fill="auto"/>
          </w:tcPr>
          <w:p w14:paraId="5EA1FB84" w14:textId="77777777" w:rsidR="003C66EB" w:rsidRDefault="003C66EB">
            <w:pPr>
              <w:rPr>
                <w:rFonts w:ascii="宋体"/>
                <w:vanish/>
              </w:rPr>
            </w:pPr>
          </w:p>
        </w:tc>
      </w:tr>
      <w:tr w:rsidR="003C66EB" w14:paraId="5EA1FB92" w14:textId="77777777">
        <w:tc>
          <w:tcPr>
            <w:tcW w:w="0" w:type="auto"/>
            <w:gridSpan w:val="3"/>
            <w:shd w:val="clear" w:color="auto" w:fill="CCEEFF"/>
            <w:tcMar>
              <w:top w:w="40" w:type="dxa"/>
              <w:left w:w="20" w:type="dxa"/>
              <w:bottom w:w="40" w:type="dxa"/>
              <w:right w:w="20" w:type="dxa"/>
            </w:tcMar>
            <w:vAlign w:val="bottom"/>
          </w:tcPr>
          <w:p w14:paraId="5EA1FB86" w14:textId="77777777" w:rsidR="003C66EB" w:rsidRDefault="00D96C4E">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5EA1FB87"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FB88" w14:textId="77777777" w:rsidR="003C66EB" w:rsidRDefault="00D96C4E">
            <w:pPr>
              <w:jc w:val="right"/>
              <w:textAlignment w:val="bottom"/>
            </w:pPr>
            <w:r>
              <w:rPr>
                <w:rFonts w:ascii="Arial" w:eastAsia="宋体" w:hAnsi="Arial" w:cs="Arial"/>
                <w:b/>
                <w:bCs/>
                <w:color w:val="000000"/>
                <w:sz w:val="14"/>
                <w:szCs w:val="14"/>
              </w:rPr>
              <w:t>95,235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B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B8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FB8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FB8C" w14:textId="77777777" w:rsidR="003C66EB" w:rsidRDefault="00D96C4E">
            <w:pPr>
              <w:jc w:val="right"/>
              <w:textAlignment w:val="bottom"/>
            </w:pPr>
            <w:r>
              <w:rPr>
                <w:rFonts w:ascii="Arial" w:eastAsia="宋体" w:hAnsi="Arial" w:cs="Arial"/>
                <w:color w:val="000000"/>
                <w:sz w:val="14"/>
                <w:szCs w:val="14"/>
              </w:rPr>
              <w:t>67,120 </w:t>
            </w:r>
          </w:p>
        </w:tc>
        <w:tc>
          <w:tcPr>
            <w:tcW w:w="0" w:type="auto"/>
            <w:shd w:val="clear" w:color="auto" w:fill="CCEEFF"/>
            <w:tcMar>
              <w:top w:w="40" w:type="dxa"/>
              <w:left w:w="0" w:type="dxa"/>
              <w:bottom w:w="40" w:type="dxa"/>
              <w:right w:w="20" w:type="dxa"/>
            </w:tcMar>
            <w:vAlign w:val="bottom"/>
          </w:tcPr>
          <w:p w14:paraId="5EA1FB8D" w14:textId="77777777" w:rsidR="003C66EB" w:rsidRDefault="003C66EB">
            <w:pPr>
              <w:jc w:val="right"/>
              <w:rPr>
                <w:rFonts w:ascii="宋体"/>
              </w:rPr>
            </w:pPr>
          </w:p>
        </w:tc>
        <w:tc>
          <w:tcPr>
            <w:tcW w:w="0" w:type="auto"/>
            <w:shd w:val="clear" w:color="auto" w:fill="auto"/>
          </w:tcPr>
          <w:p w14:paraId="5EA1FB8E" w14:textId="77777777" w:rsidR="003C66EB" w:rsidRDefault="003C66EB">
            <w:pPr>
              <w:rPr>
                <w:rFonts w:ascii="宋体"/>
                <w:vanish/>
              </w:rPr>
            </w:pPr>
          </w:p>
        </w:tc>
        <w:tc>
          <w:tcPr>
            <w:tcW w:w="0" w:type="auto"/>
            <w:shd w:val="clear" w:color="auto" w:fill="auto"/>
          </w:tcPr>
          <w:p w14:paraId="5EA1FB8F" w14:textId="77777777" w:rsidR="003C66EB" w:rsidRDefault="003C66EB">
            <w:pPr>
              <w:rPr>
                <w:rFonts w:ascii="宋体"/>
                <w:vanish/>
              </w:rPr>
            </w:pPr>
          </w:p>
        </w:tc>
        <w:tc>
          <w:tcPr>
            <w:tcW w:w="0" w:type="auto"/>
            <w:gridSpan w:val="3"/>
            <w:shd w:val="clear" w:color="auto" w:fill="auto"/>
          </w:tcPr>
          <w:p w14:paraId="5EA1FB90" w14:textId="77777777" w:rsidR="003C66EB" w:rsidRDefault="003C66EB">
            <w:pPr>
              <w:rPr>
                <w:rFonts w:ascii="宋体"/>
                <w:vanish/>
              </w:rPr>
            </w:pPr>
          </w:p>
        </w:tc>
        <w:tc>
          <w:tcPr>
            <w:tcW w:w="0" w:type="auto"/>
            <w:gridSpan w:val="3"/>
            <w:shd w:val="clear" w:color="auto" w:fill="auto"/>
          </w:tcPr>
          <w:p w14:paraId="5EA1FB91" w14:textId="77777777" w:rsidR="003C66EB" w:rsidRDefault="003C66EB">
            <w:pPr>
              <w:rPr>
                <w:rFonts w:ascii="宋体"/>
                <w:vanish/>
              </w:rPr>
            </w:pPr>
          </w:p>
        </w:tc>
      </w:tr>
      <w:tr w:rsidR="003C66EB" w14:paraId="5EA1FB9D" w14:textId="77777777">
        <w:tc>
          <w:tcPr>
            <w:tcW w:w="0" w:type="auto"/>
            <w:gridSpan w:val="3"/>
            <w:shd w:val="clear" w:color="auto" w:fill="FFFFFF"/>
            <w:tcMar>
              <w:top w:w="40" w:type="dxa"/>
              <w:left w:w="20" w:type="dxa"/>
              <w:bottom w:w="40" w:type="dxa"/>
              <w:right w:w="20" w:type="dxa"/>
            </w:tcMar>
            <w:vAlign w:val="bottom"/>
          </w:tcPr>
          <w:p w14:paraId="5EA1FB93" w14:textId="77777777" w:rsidR="003C66EB" w:rsidRDefault="00D96C4E">
            <w:pPr>
              <w:textAlignment w:val="bottom"/>
            </w:pPr>
            <w:r>
              <w:rPr>
                <w:rFonts w:ascii="Arial" w:eastAsia="宋体" w:hAnsi="Arial" w:cs="Arial"/>
                <w:color w:val="000000"/>
                <w:sz w:val="14"/>
                <w:szCs w:val="14"/>
              </w:rPr>
              <w:t xml:space="preserve">Securities </w:t>
            </w:r>
            <w:r>
              <w:rPr>
                <w:rFonts w:ascii="Arial" w:eastAsia="宋体" w:hAnsi="Arial" w:cs="Arial"/>
                <w:color w:val="000000"/>
                <w:sz w:val="14"/>
                <w:szCs w:val="14"/>
              </w:rPr>
              <w:t>purchased under resale agreements</w:t>
            </w:r>
          </w:p>
        </w:tc>
        <w:tc>
          <w:tcPr>
            <w:tcW w:w="0" w:type="auto"/>
            <w:gridSpan w:val="2"/>
            <w:shd w:val="clear" w:color="auto" w:fill="FFFFFF"/>
            <w:tcMar>
              <w:top w:w="40" w:type="dxa"/>
              <w:left w:w="20" w:type="dxa"/>
              <w:bottom w:w="40" w:type="dxa"/>
              <w:right w:w="0" w:type="dxa"/>
            </w:tcMar>
            <w:vAlign w:val="bottom"/>
          </w:tcPr>
          <w:p w14:paraId="5EA1FB94" w14:textId="77777777" w:rsidR="003C66EB" w:rsidRDefault="00D96C4E">
            <w:pPr>
              <w:jc w:val="right"/>
              <w:textAlignment w:val="bottom"/>
            </w:pPr>
            <w:r>
              <w:rPr>
                <w:rFonts w:ascii="Arial" w:eastAsia="宋体" w:hAnsi="Arial" w:cs="Arial"/>
                <w:b/>
                <w:bCs/>
                <w:color w:val="000000"/>
                <w:sz w:val="14"/>
                <w:szCs w:val="14"/>
              </w:rPr>
              <w:t>4,568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B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B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B97" w14:textId="77777777" w:rsidR="003C66EB" w:rsidRDefault="00D96C4E">
            <w:pPr>
              <w:jc w:val="right"/>
              <w:textAlignment w:val="bottom"/>
            </w:pPr>
            <w:r>
              <w:rPr>
                <w:rFonts w:ascii="Arial" w:eastAsia="宋体" w:hAnsi="Arial" w:cs="Arial"/>
                <w:color w:val="000000"/>
                <w:sz w:val="14"/>
                <w:szCs w:val="14"/>
              </w:rPr>
              <w:t>1,805 </w:t>
            </w:r>
          </w:p>
        </w:tc>
        <w:tc>
          <w:tcPr>
            <w:tcW w:w="0" w:type="auto"/>
            <w:shd w:val="clear" w:color="auto" w:fill="FFFFFF"/>
            <w:tcMar>
              <w:top w:w="40" w:type="dxa"/>
              <w:left w:w="0" w:type="dxa"/>
              <w:bottom w:w="40" w:type="dxa"/>
              <w:right w:w="20" w:type="dxa"/>
            </w:tcMar>
            <w:vAlign w:val="bottom"/>
          </w:tcPr>
          <w:p w14:paraId="5EA1FB98" w14:textId="77777777" w:rsidR="003C66EB" w:rsidRDefault="003C66EB">
            <w:pPr>
              <w:jc w:val="right"/>
              <w:rPr>
                <w:rFonts w:ascii="宋体"/>
              </w:rPr>
            </w:pPr>
          </w:p>
        </w:tc>
        <w:tc>
          <w:tcPr>
            <w:tcW w:w="0" w:type="auto"/>
            <w:shd w:val="clear" w:color="auto" w:fill="auto"/>
          </w:tcPr>
          <w:p w14:paraId="5EA1FB99" w14:textId="77777777" w:rsidR="003C66EB" w:rsidRDefault="003C66EB">
            <w:pPr>
              <w:rPr>
                <w:rFonts w:ascii="宋体"/>
                <w:vanish/>
              </w:rPr>
            </w:pPr>
          </w:p>
        </w:tc>
        <w:tc>
          <w:tcPr>
            <w:tcW w:w="0" w:type="auto"/>
            <w:shd w:val="clear" w:color="auto" w:fill="auto"/>
          </w:tcPr>
          <w:p w14:paraId="5EA1FB9A" w14:textId="77777777" w:rsidR="003C66EB" w:rsidRDefault="003C66EB">
            <w:pPr>
              <w:rPr>
                <w:rFonts w:ascii="宋体"/>
                <w:vanish/>
              </w:rPr>
            </w:pPr>
          </w:p>
        </w:tc>
        <w:tc>
          <w:tcPr>
            <w:tcW w:w="0" w:type="auto"/>
            <w:gridSpan w:val="3"/>
            <w:shd w:val="clear" w:color="auto" w:fill="auto"/>
          </w:tcPr>
          <w:p w14:paraId="5EA1FB9B" w14:textId="77777777" w:rsidR="003C66EB" w:rsidRDefault="003C66EB">
            <w:pPr>
              <w:rPr>
                <w:rFonts w:ascii="宋体"/>
                <w:vanish/>
              </w:rPr>
            </w:pPr>
          </w:p>
        </w:tc>
        <w:tc>
          <w:tcPr>
            <w:tcW w:w="0" w:type="auto"/>
            <w:gridSpan w:val="3"/>
            <w:shd w:val="clear" w:color="auto" w:fill="auto"/>
          </w:tcPr>
          <w:p w14:paraId="5EA1FB9C" w14:textId="77777777" w:rsidR="003C66EB" w:rsidRDefault="003C66EB">
            <w:pPr>
              <w:rPr>
                <w:rFonts w:ascii="宋体"/>
                <w:vanish/>
              </w:rPr>
            </w:pPr>
          </w:p>
        </w:tc>
      </w:tr>
      <w:tr w:rsidR="003C66EB" w14:paraId="5EA1FBA8" w14:textId="77777777">
        <w:tc>
          <w:tcPr>
            <w:tcW w:w="0" w:type="auto"/>
            <w:gridSpan w:val="3"/>
            <w:shd w:val="clear" w:color="auto" w:fill="CCEEFF"/>
            <w:tcMar>
              <w:top w:w="40" w:type="dxa"/>
              <w:left w:w="20" w:type="dxa"/>
              <w:bottom w:w="40" w:type="dxa"/>
              <w:right w:w="20" w:type="dxa"/>
            </w:tcMar>
            <w:vAlign w:val="bottom"/>
          </w:tcPr>
          <w:p w14:paraId="5EA1FB9E" w14:textId="77777777" w:rsidR="003C66EB" w:rsidRDefault="00D96C4E">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5EA1FB9F" w14:textId="77777777" w:rsidR="003C66EB" w:rsidRDefault="00D96C4E">
            <w:pPr>
              <w:jc w:val="right"/>
              <w:textAlignment w:val="bottom"/>
            </w:pPr>
            <w:r>
              <w:rPr>
                <w:rFonts w:ascii="Arial" w:eastAsia="宋体" w:hAnsi="Arial" w:cs="Arial"/>
                <w:b/>
                <w:bCs/>
                <w:color w:val="000000"/>
                <w:sz w:val="14"/>
                <w:szCs w:val="14"/>
              </w:rPr>
              <w:t>800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B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BA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BA2" w14:textId="77777777" w:rsidR="003C66EB" w:rsidRDefault="00D96C4E">
            <w:pPr>
              <w:jc w:val="right"/>
              <w:textAlignment w:val="bottom"/>
            </w:pPr>
            <w:r>
              <w:rPr>
                <w:rFonts w:ascii="Arial" w:eastAsia="宋体" w:hAnsi="Arial" w:cs="Arial"/>
                <w:color w:val="000000"/>
                <w:sz w:val="14"/>
                <w:szCs w:val="14"/>
              </w:rPr>
              <w:t>915 </w:t>
            </w:r>
          </w:p>
        </w:tc>
        <w:tc>
          <w:tcPr>
            <w:tcW w:w="0" w:type="auto"/>
            <w:shd w:val="clear" w:color="auto" w:fill="CCEEFF"/>
            <w:tcMar>
              <w:top w:w="40" w:type="dxa"/>
              <w:left w:w="0" w:type="dxa"/>
              <w:bottom w:w="40" w:type="dxa"/>
              <w:right w:w="20" w:type="dxa"/>
            </w:tcMar>
            <w:vAlign w:val="bottom"/>
          </w:tcPr>
          <w:p w14:paraId="5EA1FBA3" w14:textId="77777777" w:rsidR="003C66EB" w:rsidRDefault="003C66EB">
            <w:pPr>
              <w:jc w:val="right"/>
              <w:rPr>
                <w:rFonts w:ascii="宋体"/>
              </w:rPr>
            </w:pPr>
          </w:p>
        </w:tc>
        <w:tc>
          <w:tcPr>
            <w:tcW w:w="0" w:type="auto"/>
            <w:shd w:val="clear" w:color="auto" w:fill="auto"/>
          </w:tcPr>
          <w:p w14:paraId="5EA1FBA4" w14:textId="77777777" w:rsidR="003C66EB" w:rsidRDefault="003C66EB">
            <w:pPr>
              <w:rPr>
                <w:rFonts w:ascii="宋体"/>
                <w:vanish/>
              </w:rPr>
            </w:pPr>
          </w:p>
        </w:tc>
        <w:tc>
          <w:tcPr>
            <w:tcW w:w="0" w:type="auto"/>
            <w:shd w:val="clear" w:color="auto" w:fill="auto"/>
          </w:tcPr>
          <w:p w14:paraId="5EA1FBA5" w14:textId="77777777" w:rsidR="003C66EB" w:rsidRDefault="003C66EB">
            <w:pPr>
              <w:rPr>
                <w:rFonts w:ascii="宋体"/>
                <w:vanish/>
              </w:rPr>
            </w:pPr>
          </w:p>
        </w:tc>
        <w:tc>
          <w:tcPr>
            <w:tcW w:w="0" w:type="auto"/>
            <w:gridSpan w:val="3"/>
            <w:shd w:val="clear" w:color="auto" w:fill="auto"/>
          </w:tcPr>
          <w:p w14:paraId="5EA1FBA6" w14:textId="77777777" w:rsidR="003C66EB" w:rsidRDefault="003C66EB">
            <w:pPr>
              <w:rPr>
                <w:rFonts w:ascii="宋体"/>
                <w:vanish/>
              </w:rPr>
            </w:pPr>
          </w:p>
        </w:tc>
        <w:tc>
          <w:tcPr>
            <w:tcW w:w="0" w:type="auto"/>
            <w:gridSpan w:val="3"/>
            <w:shd w:val="clear" w:color="auto" w:fill="auto"/>
          </w:tcPr>
          <w:p w14:paraId="5EA1FBA7" w14:textId="77777777" w:rsidR="003C66EB" w:rsidRDefault="003C66EB">
            <w:pPr>
              <w:rPr>
                <w:rFonts w:ascii="宋体"/>
                <w:vanish/>
              </w:rPr>
            </w:pPr>
          </w:p>
        </w:tc>
      </w:tr>
      <w:tr w:rsidR="003C66EB" w14:paraId="5EA1FBB1" w14:textId="77777777">
        <w:tc>
          <w:tcPr>
            <w:tcW w:w="0" w:type="auto"/>
            <w:gridSpan w:val="3"/>
            <w:shd w:val="clear" w:color="auto" w:fill="FFFFFF"/>
            <w:tcMar>
              <w:top w:w="40" w:type="dxa"/>
              <w:left w:w="20" w:type="dxa"/>
              <w:bottom w:w="40" w:type="dxa"/>
              <w:right w:w="20" w:type="dxa"/>
            </w:tcMar>
            <w:vAlign w:val="bottom"/>
          </w:tcPr>
          <w:p w14:paraId="5EA1FBA9" w14:textId="77777777" w:rsidR="003C66EB" w:rsidRDefault="00D96C4E">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tcPr>
          <w:p w14:paraId="5EA1FBA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BA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BAC" w14:textId="77777777" w:rsidR="003C66EB" w:rsidRDefault="003C66EB">
            <w:pPr>
              <w:rPr>
                <w:rFonts w:ascii="宋体"/>
              </w:rPr>
            </w:pPr>
          </w:p>
        </w:tc>
        <w:tc>
          <w:tcPr>
            <w:tcW w:w="0" w:type="auto"/>
            <w:shd w:val="clear" w:color="auto" w:fill="auto"/>
          </w:tcPr>
          <w:p w14:paraId="5EA1FBAD" w14:textId="77777777" w:rsidR="003C66EB" w:rsidRDefault="003C66EB">
            <w:pPr>
              <w:rPr>
                <w:rFonts w:ascii="宋体"/>
                <w:vanish/>
              </w:rPr>
            </w:pPr>
          </w:p>
        </w:tc>
        <w:tc>
          <w:tcPr>
            <w:tcW w:w="0" w:type="auto"/>
            <w:shd w:val="clear" w:color="auto" w:fill="auto"/>
          </w:tcPr>
          <w:p w14:paraId="5EA1FBAE" w14:textId="77777777" w:rsidR="003C66EB" w:rsidRDefault="003C66EB">
            <w:pPr>
              <w:rPr>
                <w:rFonts w:ascii="宋体"/>
                <w:vanish/>
              </w:rPr>
            </w:pPr>
          </w:p>
        </w:tc>
        <w:tc>
          <w:tcPr>
            <w:tcW w:w="0" w:type="auto"/>
            <w:gridSpan w:val="3"/>
            <w:shd w:val="clear" w:color="auto" w:fill="auto"/>
          </w:tcPr>
          <w:p w14:paraId="5EA1FBAF" w14:textId="77777777" w:rsidR="003C66EB" w:rsidRDefault="003C66EB">
            <w:pPr>
              <w:rPr>
                <w:rFonts w:ascii="宋体"/>
                <w:vanish/>
              </w:rPr>
            </w:pPr>
          </w:p>
        </w:tc>
        <w:tc>
          <w:tcPr>
            <w:tcW w:w="0" w:type="auto"/>
            <w:gridSpan w:val="3"/>
            <w:shd w:val="clear" w:color="auto" w:fill="auto"/>
          </w:tcPr>
          <w:p w14:paraId="5EA1FBB0" w14:textId="77777777" w:rsidR="003C66EB" w:rsidRDefault="003C66EB">
            <w:pPr>
              <w:rPr>
                <w:rFonts w:ascii="宋体"/>
                <w:vanish/>
              </w:rPr>
            </w:pPr>
          </w:p>
        </w:tc>
      </w:tr>
      <w:tr w:rsidR="003C66EB" w14:paraId="5EA1FBBA" w14:textId="77777777">
        <w:trPr>
          <w:hidden/>
        </w:trPr>
        <w:tc>
          <w:tcPr>
            <w:tcW w:w="0" w:type="auto"/>
            <w:gridSpan w:val="3"/>
            <w:shd w:val="clear" w:color="auto" w:fill="auto"/>
          </w:tcPr>
          <w:p w14:paraId="5EA1FBB2" w14:textId="77777777" w:rsidR="003C66EB" w:rsidRDefault="003C66EB">
            <w:pPr>
              <w:rPr>
                <w:rFonts w:ascii="宋体"/>
                <w:vanish/>
              </w:rPr>
            </w:pPr>
          </w:p>
        </w:tc>
        <w:tc>
          <w:tcPr>
            <w:tcW w:w="0" w:type="auto"/>
            <w:gridSpan w:val="3"/>
            <w:shd w:val="clear" w:color="auto" w:fill="auto"/>
          </w:tcPr>
          <w:p w14:paraId="5EA1FBB3" w14:textId="77777777" w:rsidR="003C66EB" w:rsidRDefault="003C66EB">
            <w:pPr>
              <w:rPr>
                <w:rFonts w:ascii="宋体"/>
                <w:vanish/>
              </w:rPr>
            </w:pPr>
          </w:p>
        </w:tc>
        <w:tc>
          <w:tcPr>
            <w:tcW w:w="0" w:type="auto"/>
            <w:gridSpan w:val="3"/>
            <w:shd w:val="clear" w:color="auto" w:fill="auto"/>
          </w:tcPr>
          <w:p w14:paraId="5EA1FBB4" w14:textId="77777777" w:rsidR="003C66EB" w:rsidRDefault="003C66EB">
            <w:pPr>
              <w:rPr>
                <w:rFonts w:ascii="宋体"/>
                <w:vanish/>
              </w:rPr>
            </w:pPr>
          </w:p>
        </w:tc>
        <w:tc>
          <w:tcPr>
            <w:tcW w:w="0" w:type="auto"/>
            <w:gridSpan w:val="3"/>
            <w:shd w:val="clear" w:color="auto" w:fill="auto"/>
          </w:tcPr>
          <w:p w14:paraId="5EA1FBB5" w14:textId="77777777" w:rsidR="003C66EB" w:rsidRDefault="003C66EB">
            <w:pPr>
              <w:rPr>
                <w:rFonts w:ascii="宋体"/>
                <w:vanish/>
              </w:rPr>
            </w:pPr>
          </w:p>
        </w:tc>
        <w:tc>
          <w:tcPr>
            <w:tcW w:w="0" w:type="auto"/>
            <w:shd w:val="clear" w:color="auto" w:fill="auto"/>
          </w:tcPr>
          <w:p w14:paraId="5EA1FBB6" w14:textId="77777777" w:rsidR="003C66EB" w:rsidRDefault="003C66EB">
            <w:pPr>
              <w:rPr>
                <w:rFonts w:ascii="宋体"/>
                <w:vanish/>
              </w:rPr>
            </w:pPr>
          </w:p>
        </w:tc>
        <w:tc>
          <w:tcPr>
            <w:tcW w:w="0" w:type="auto"/>
            <w:shd w:val="clear" w:color="auto" w:fill="auto"/>
          </w:tcPr>
          <w:p w14:paraId="5EA1FBB7" w14:textId="77777777" w:rsidR="003C66EB" w:rsidRDefault="003C66EB">
            <w:pPr>
              <w:rPr>
                <w:rFonts w:ascii="宋体"/>
                <w:vanish/>
              </w:rPr>
            </w:pPr>
          </w:p>
        </w:tc>
        <w:tc>
          <w:tcPr>
            <w:tcW w:w="0" w:type="auto"/>
            <w:gridSpan w:val="3"/>
            <w:shd w:val="clear" w:color="auto" w:fill="auto"/>
          </w:tcPr>
          <w:p w14:paraId="5EA1FBB8" w14:textId="77777777" w:rsidR="003C66EB" w:rsidRDefault="003C66EB">
            <w:pPr>
              <w:rPr>
                <w:rFonts w:ascii="宋体"/>
                <w:vanish/>
              </w:rPr>
            </w:pPr>
          </w:p>
        </w:tc>
        <w:tc>
          <w:tcPr>
            <w:tcW w:w="0" w:type="auto"/>
            <w:gridSpan w:val="3"/>
            <w:shd w:val="clear" w:color="auto" w:fill="auto"/>
          </w:tcPr>
          <w:p w14:paraId="5EA1FBB9" w14:textId="77777777" w:rsidR="003C66EB" w:rsidRDefault="003C66EB">
            <w:pPr>
              <w:rPr>
                <w:rFonts w:ascii="宋体"/>
                <w:vanish/>
              </w:rPr>
            </w:pPr>
          </w:p>
        </w:tc>
      </w:tr>
      <w:tr w:rsidR="003C66EB" w14:paraId="5EA1FBC3" w14:textId="77777777">
        <w:trPr>
          <w:hidden/>
        </w:trPr>
        <w:tc>
          <w:tcPr>
            <w:tcW w:w="0" w:type="auto"/>
            <w:gridSpan w:val="3"/>
            <w:shd w:val="clear" w:color="auto" w:fill="auto"/>
          </w:tcPr>
          <w:p w14:paraId="5EA1FBBB" w14:textId="77777777" w:rsidR="003C66EB" w:rsidRDefault="003C66EB">
            <w:pPr>
              <w:rPr>
                <w:rFonts w:ascii="宋体"/>
                <w:vanish/>
              </w:rPr>
            </w:pPr>
          </w:p>
        </w:tc>
        <w:tc>
          <w:tcPr>
            <w:tcW w:w="0" w:type="auto"/>
            <w:gridSpan w:val="3"/>
            <w:shd w:val="clear" w:color="auto" w:fill="auto"/>
          </w:tcPr>
          <w:p w14:paraId="5EA1FBBC" w14:textId="77777777" w:rsidR="003C66EB" w:rsidRDefault="003C66EB">
            <w:pPr>
              <w:rPr>
                <w:rFonts w:ascii="宋体"/>
                <w:vanish/>
              </w:rPr>
            </w:pPr>
          </w:p>
        </w:tc>
        <w:tc>
          <w:tcPr>
            <w:tcW w:w="0" w:type="auto"/>
            <w:gridSpan w:val="3"/>
            <w:shd w:val="clear" w:color="auto" w:fill="auto"/>
          </w:tcPr>
          <w:p w14:paraId="5EA1FBBD" w14:textId="77777777" w:rsidR="003C66EB" w:rsidRDefault="003C66EB">
            <w:pPr>
              <w:rPr>
                <w:rFonts w:ascii="宋体"/>
                <w:vanish/>
              </w:rPr>
            </w:pPr>
          </w:p>
        </w:tc>
        <w:tc>
          <w:tcPr>
            <w:tcW w:w="0" w:type="auto"/>
            <w:gridSpan w:val="3"/>
            <w:shd w:val="clear" w:color="auto" w:fill="auto"/>
          </w:tcPr>
          <w:p w14:paraId="5EA1FBBE" w14:textId="77777777" w:rsidR="003C66EB" w:rsidRDefault="003C66EB">
            <w:pPr>
              <w:rPr>
                <w:rFonts w:ascii="宋体"/>
                <w:vanish/>
              </w:rPr>
            </w:pPr>
          </w:p>
        </w:tc>
        <w:tc>
          <w:tcPr>
            <w:tcW w:w="0" w:type="auto"/>
            <w:shd w:val="clear" w:color="auto" w:fill="auto"/>
          </w:tcPr>
          <w:p w14:paraId="5EA1FBBF" w14:textId="77777777" w:rsidR="003C66EB" w:rsidRDefault="003C66EB">
            <w:pPr>
              <w:rPr>
                <w:rFonts w:ascii="宋体"/>
                <w:vanish/>
              </w:rPr>
            </w:pPr>
          </w:p>
        </w:tc>
        <w:tc>
          <w:tcPr>
            <w:tcW w:w="0" w:type="auto"/>
            <w:shd w:val="clear" w:color="auto" w:fill="auto"/>
          </w:tcPr>
          <w:p w14:paraId="5EA1FBC0" w14:textId="77777777" w:rsidR="003C66EB" w:rsidRDefault="003C66EB">
            <w:pPr>
              <w:rPr>
                <w:rFonts w:ascii="宋体"/>
                <w:vanish/>
              </w:rPr>
            </w:pPr>
          </w:p>
        </w:tc>
        <w:tc>
          <w:tcPr>
            <w:tcW w:w="0" w:type="auto"/>
            <w:gridSpan w:val="3"/>
            <w:shd w:val="clear" w:color="auto" w:fill="auto"/>
          </w:tcPr>
          <w:p w14:paraId="5EA1FBC1" w14:textId="77777777" w:rsidR="003C66EB" w:rsidRDefault="003C66EB">
            <w:pPr>
              <w:rPr>
                <w:rFonts w:ascii="宋体"/>
                <w:vanish/>
              </w:rPr>
            </w:pPr>
          </w:p>
        </w:tc>
        <w:tc>
          <w:tcPr>
            <w:tcW w:w="0" w:type="auto"/>
            <w:gridSpan w:val="3"/>
            <w:shd w:val="clear" w:color="auto" w:fill="auto"/>
          </w:tcPr>
          <w:p w14:paraId="5EA1FBC2" w14:textId="77777777" w:rsidR="003C66EB" w:rsidRDefault="003C66EB">
            <w:pPr>
              <w:rPr>
                <w:rFonts w:ascii="宋体"/>
                <w:vanish/>
              </w:rPr>
            </w:pPr>
          </w:p>
        </w:tc>
      </w:tr>
      <w:tr w:rsidR="003C66EB" w14:paraId="5EA1FBCC" w14:textId="77777777">
        <w:trPr>
          <w:hidden/>
        </w:trPr>
        <w:tc>
          <w:tcPr>
            <w:tcW w:w="0" w:type="auto"/>
            <w:gridSpan w:val="3"/>
            <w:shd w:val="clear" w:color="auto" w:fill="auto"/>
          </w:tcPr>
          <w:p w14:paraId="5EA1FBC4" w14:textId="77777777" w:rsidR="003C66EB" w:rsidRDefault="003C66EB">
            <w:pPr>
              <w:rPr>
                <w:rFonts w:ascii="宋体"/>
                <w:vanish/>
              </w:rPr>
            </w:pPr>
          </w:p>
        </w:tc>
        <w:tc>
          <w:tcPr>
            <w:tcW w:w="0" w:type="auto"/>
            <w:gridSpan w:val="3"/>
            <w:shd w:val="clear" w:color="auto" w:fill="auto"/>
          </w:tcPr>
          <w:p w14:paraId="5EA1FBC5" w14:textId="77777777" w:rsidR="003C66EB" w:rsidRDefault="003C66EB">
            <w:pPr>
              <w:rPr>
                <w:rFonts w:ascii="宋体"/>
                <w:vanish/>
              </w:rPr>
            </w:pPr>
          </w:p>
        </w:tc>
        <w:tc>
          <w:tcPr>
            <w:tcW w:w="0" w:type="auto"/>
            <w:gridSpan w:val="3"/>
            <w:shd w:val="clear" w:color="auto" w:fill="auto"/>
          </w:tcPr>
          <w:p w14:paraId="5EA1FBC6" w14:textId="77777777" w:rsidR="003C66EB" w:rsidRDefault="003C66EB">
            <w:pPr>
              <w:rPr>
                <w:rFonts w:ascii="宋体"/>
                <w:vanish/>
              </w:rPr>
            </w:pPr>
          </w:p>
        </w:tc>
        <w:tc>
          <w:tcPr>
            <w:tcW w:w="0" w:type="auto"/>
            <w:gridSpan w:val="3"/>
            <w:shd w:val="clear" w:color="auto" w:fill="auto"/>
          </w:tcPr>
          <w:p w14:paraId="5EA1FBC7" w14:textId="77777777" w:rsidR="003C66EB" w:rsidRDefault="003C66EB">
            <w:pPr>
              <w:rPr>
                <w:rFonts w:ascii="宋体"/>
                <w:vanish/>
              </w:rPr>
            </w:pPr>
          </w:p>
        </w:tc>
        <w:tc>
          <w:tcPr>
            <w:tcW w:w="0" w:type="auto"/>
            <w:shd w:val="clear" w:color="auto" w:fill="auto"/>
          </w:tcPr>
          <w:p w14:paraId="5EA1FBC8" w14:textId="77777777" w:rsidR="003C66EB" w:rsidRDefault="003C66EB">
            <w:pPr>
              <w:rPr>
                <w:rFonts w:ascii="宋体"/>
                <w:vanish/>
              </w:rPr>
            </w:pPr>
          </w:p>
        </w:tc>
        <w:tc>
          <w:tcPr>
            <w:tcW w:w="0" w:type="auto"/>
            <w:shd w:val="clear" w:color="auto" w:fill="auto"/>
          </w:tcPr>
          <w:p w14:paraId="5EA1FBC9" w14:textId="77777777" w:rsidR="003C66EB" w:rsidRDefault="003C66EB">
            <w:pPr>
              <w:rPr>
                <w:rFonts w:ascii="宋体"/>
                <w:vanish/>
              </w:rPr>
            </w:pPr>
          </w:p>
        </w:tc>
        <w:tc>
          <w:tcPr>
            <w:tcW w:w="0" w:type="auto"/>
            <w:gridSpan w:val="3"/>
            <w:shd w:val="clear" w:color="auto" w:fill="auto"/>
          </w:tcPr>
          <w:p w14:paraId="5EA1FBCA" w14:textId="77777777" w:rsidR="003C66EB" w:rsidRDefault="003C66EB">
            <w:pPr>
              <w:rPr>
                <w:rFonts w:ascii="宋体"/>
                <w:vanish/>
              </w:rPr>
            </w:pPr>
          </w:p>
        </w:tc>
        <w:tc>
          <w:tcPr>
            <w:tcW w:w="0" w:type="auto"/>
            <w:gridSpan w:val="3"/>
            <w:shd w:val="clear" w:color="auto" w:fill="auto"/>
          </w:tcPr>
          <w:p w14:paraId="5EA1FBCB" w14:textId="77777777" w:rsidR="003C66EB" w:rsidRDefault="003C66EB">
            <w:pPr>
              <w:rPr>
                <w:rFonts w:ascii="宋体"/>
                <w:vanish/>
              </w:rPr>
            </w:pPr>
          </w:p>
        </w:tc>
      </w:tr>
      <w:tr w:rsidR="003C66EB" w14:paraId="5EA1FBD5" w14:textId="77777777">
        <w:trPr>
          <w:hidden/>
        </w:trPr>
        <w:tc>
          <w:tcPr>
            <w:tcW w:w="0" w:type="auto"/>
            <w:gridSpan w:val="3"/>
            <w:shd w:val="clear" w:color="auto" w:fill="auto"/>
          </w:tcPr>
          <w:p w14:paraId="5EA1FBCD" w14:textId="77777777" w:rsidR="003C66EB" w:rsidRDefault="003C66EB">
            <w:pPr>
              <w:rPr>
                <w:rFonts w:ascii="宋体"/>
                <w:vanish/>
              </w:rPr>
            </w:pPr>
          </w:p>
        </w:tc>
        <w:tc>
          <w:tcPr>
            <w:tcW w:w="0" w:type="auto"/>
            <w:gridSpan w:val="3"/>
            <w:shd w:val="clear" w:color="auto" w:fill="auto"/>
          </w:tcPr>
          <w:p w14:paraId="5EA1FBCE" w14:textId="77777777" w:rsidR="003C66EB" w:rsidRDefault="003C66EB">
            <w:pPr>
              <w:rPr>
                <w:rFonts w:ascii="宋体"/>
                <w:vanish/>
              </w:rPr>
            </w:pPr>
          </w:p>
        </w:tc>
        <w:tc>
          <w:tcPr>
            <w:tcW w:w="0" w:type="auto"/>
            <w:gridSpan w:val="3"/>
            <w:shd w:val="clear" w:color="auto" w:fill="auto"/>
          </w:tcPr>
          <w:p w14:paraId="5EA1FBCF" w14:textId="77777777" w:rsidR="003C66EB" w:rsidRDefault="003C66EB">
            <w:pPr>
              <w:rPr>
                <w:rFonts w:ascii="宋体"/>
                <w:vanish/>
              </w:rPr>
            </w:pPr>
          </w:p>
        </w:tc>
        <w:tc>
          <w:tcPr>
            <w:tcW w:w="0" w:type="auto"/>
            <w:gridSpan w:val="3"/>
            <w:shd w:val="clear" w:color="auto" w:fill="auto"/>
          </w:tcPr>
          <w:p w14:paraId="5EA1FBD0" w14:textId="77777777" w:rsidR="003C66EB" w:rsidRDefault="003C66EB">
            <w:pPr>
              <w:rPr>
                <w:rFonts w:ascii="宋体"/>
                <w:vanish/>
              </w:rPr>
            </w:pPr>
          </w:p>
        </w:tc>
        <w:tc>
          <w:tcPr>
            <w:tcW w:w="0" w:type="auto"/>
            <w:shd w:val="clear" w:color="auto" w:fill="auto"/>
          </w:tcPr>
          <w:p w14:paraId="5EA1FBD1" w14:textId="77777777" w:rsidR="003C66EB" w:rsidRDefault="003C66EB">
            <w:pPr>
              <w:rPr>
                <w:rFonts w:ascii="宋体"/>
                <w:vanish/>
              </w:rPr>
            </w:pPr>
          </w:p>
        </w:tc>
        <w:tc>
          <w:tcPr>
            <w:tcW w:w="0" w:type="auto"/>
            <w:shd w:val="clear" w:color="auto" w:fill="auto"/>
          </w:tcPr>
          <w:p w14:paraId="5EA1FBD2" w14:textId="77777777" w:rsidR="003C66EB" w:rsidRDefault="003C66EB">
            <w:pPr>
              <w:rPr>
                <w:rFonts w:ascii="宋体"/>
                <w:vanish/>
              </w:rPr>
            </w:pPr>
          </w:p>
        </w:tc>
        <w:tc>
          <w:tcPr>
            <w:tcW w:w="0" w:type="auto"/>
            <w:gridSpan w:val="3"/>
            <w:shd w:val="clear" w:color="auto" w:fill="auto"/>
          </w:tcPr>
          <w:p w14:paraId="5EA1FBD3" w14:textId="77777777" w:rsidR="003C66EB" w:rsidRDefault="003C66EB">
            <w:pPr>
              <w:rPr>
                <w:rFonts w:ascii="宋体"/>
                <w:vanish/>
              </w:rPr>
            </w:pPr>
          </w:p>
        </w:tc>
        <w:tc>
          <w:tcPr>
            <w:tcW w:w="0" w:type="auto"/>
            <w:gridSpan w:val="3"/>
            <w:shd w:val="clear" w:color="auto" w:fill="auto"/>
          </w:tcPr>
          <w:p w14:paraId="5EA1FBD4" w14:textId="77777777" w:rsidR="003C66EB" w:rsidRDefault="003C66EB">
            <w:pPr>
              <w:rPr>
                <w:rFonts w:ascii="宋体"/>
                <w:vanish/>
              </w:rPr>
            </w:pPr>
          </w:p>
        </w:tc>
      </w:tr>
      <w:tr w:rsidR="003C66EB" w14:paraId="5EA1FBDE" w14:textId="77777777">
        <w:trPr>
          <w:hidden/>
        </w:trPr>
        <w:tc>
          <w:tcPr>
            <w:tcW w:w="0" w:type="auto"/>
            <w:gridSpan w:val="3"/>
            <w:shd w:val="clear" w:color="auto" w:fill="auto"/>
          </w:tcPr>
          <w:p w14:paraId="5EA1FBD6" w14:textId="77777777" w:rsidR="003C66EB" w:rsidRDefault="003C66EB">
            <w:pPr>
              <w:rPr>
                <w:rFonts w:ascii="宋体"/>
                <w:vanish/>
              </w:rPr>
            </w:pPr>
          </w:p>
        </w:tc>
        <w:tc>
          <w:tcPr>
            <w:tcW w:w="0" w:type="auto"/>
            <w:gridSpan w:val="3"/>
            <w:shd w:val="clear" w:color="auto" w:fill="auto"/>
          </w:tcPr>
          <w:p w14:paraId="5EA1FBD7" w14:textId="77777777" w:rsidR="003C66EB" w:rsidRDefault="003C66EB">
            <w:pPr>
              <w:rPr>
                <w:rFonts w:ascii="宋体"/>
                <w:vanish/>
              </w:rPr>
            </w:pPr>
          </w:p>
        </w:tc>
        <w:tc>
          <w:tcPr>
            <w:tcW w:w="0" w:type="auto"/>
            <w:gridSpan w:val="3"/>
            <w:shd w:val="clear" w:color="auto" w:fill="auto"/>
          </w:tcPr>
          <w:p w14:paraId="5EA1FBD8" w14:textId="77777777" w:rsidR="003C66EB" w:rsidRDefault="003C66EB">
            <w:pPr>
              <w:rPr>
                <w:rFonts w:ascii="宋体"/>
                <w:vanish/>
              </w:rPr>
            </w:pPr>
          </w:p>
        </w:tc>
        <w:tc>
          <w:tcPr>
            <w:tcW w:w="0" w:type="auto"/>
            <w:gridSpan w:val="3"/>
            <w:shd w:val="clear" w:color="auto" w:fill="auto"/>
          </w:tcPr>
          <w:p w14:paraId="5EA1FBD9" w14:textId="77777777" w:rsidR="003C66EB" w:rsidRDefault="003C66EB">
            <w:pPr>
              <w:rPr>
                <w:rFonts w:ascii="宋体"/>
                <w:vanish/>
              </w:rPr>
            </w:pPr>
          </w:p>
        </w:tc>
        <w:tc>
          <w:tcPr>
            <w:tcW w:w="0" w:type="auto"/>
            <w:shd w:val="clear" w:color="auto" w:fill="auto"/>
          </w:tcPr>
          <w:p w14:paraId="5EA1FBDA" w14:textId="77777777" w:rsidR="003C66EB" w:rsidRDefault="003C66EB">
            <w:pPr>
              <w:rPr>
                <w:rFonts w:ascii="宋体"/>
                <w:vanish/>
              </w:rPr>
            </w:pPr>
          </w:p>
        </w:tc>
        <w:tc>
          <w:tcPr>
            <w:tcW w:w="0" w:type="auto"/>
            <w:shd w:val="clear" w:color="auto" w:fill="auto"/>
          </w:tcPr>
          <w:p w14:paraId="5EA1FBDB" w14:textId="77777777" w:rsidR="003C66EB" w:rsidRDefault="003C66EB">
            <w:pPr>
              <w:rPr>
                <w:rFonts w:ascii="宋体"/>
                <w:vanish/>
              </w:rPr>
            </w:pPr>
          </w:p>
        </w:tc>
        <w:tc>
          <w:tcPr>
            <w:tcW w:w="0" w:type="auto"/>
            <w:gridSpan w:val="3"/>
            <w:shd w:val="clear" w:color="auto" w:fill="auto"/>
          </w:tcPr>
          <w:p w14:paraId="5EA1FBDC" w14:textId="77777777" w:rsidR="003C66EB" w:rsidRDefault="003C66EB">
            <w:pPr>
              <w:rPr>
                <w:rFonts w:ascii="宋体"/>
                <w:vanish/>
              </w:rPr>
            </w:pPr>
          </w:p>
        </w:tc>
        <w:tc>
          <w:tcPr>
            <w:tcW w:w="0" w:type="auto"/>
            <w:gridSpan w:val="3"/>
            <w:shd w:val="clear" w:color="auto" w:fill="auto"/>
          </w:tcPr>
          <w:p w14:paraId="5EA1FBDD" w14:textId="77777777" w:rsidR="003C66EB" w:rsidRDefault="003C66EB">
            <w:pPr>
              <w:rPr>
                <w:rFonts w:ascii="宋体"/>
                <w:vanish/>
              </w:rPr>
            </w:pPr>
          </w:p>
        </w:tc>
      </w:tr>
      <w:tr w:rsidR="003C66EB" w14:paraId="5EA1FBE7" w14:textId="77777777">
        <w:trPr>
          <w:hidden/>
        </w:trPr>
        <w:tc>
          <w:tcPr>
            <w:tcW w:w="0" w:type="auto"/>
            <w:gridSpan w:val="3"/>
            <w:shd w:val="clear" w:color="auto" w:fill="auto"/>
          </w:tcPr>
          <w:p w14:paraId="5EA1FBDF" w14:textId="77777777" w:rsidR="003C66EB" w:rsidRDefault="003C66EB">
            <w:pPr>
              <w:rPr>
                <w:rFonts w:ascii="宋体"/>
                <w:vanish/>
              </w:rPr>
            </w:pPr>
          </w:p>
        </w:tc>
        <w:tc>
          <w:tcPr>
            <w:tcW w:w="0" w:type="auto"/>
            <w:gridSpan w:val="3"/>
            <w:shd w:val="clear" w:color="auto" w:fill="auto"/>
          </w:tcPr>
          <w:p w14:paraId="5EA1FBE0" w14:textId="77777777" w:rsidR="003C66EB" w:rsidRDefault="003C66EB">
            <w:pPr>
              <w:rPr>
                <w:rFonts w:ascii="宋体"/>
                <w:vanish/>
              </w:rPr>
            </w:pPr>
          </w:p>
        </w:tc>
        <w:tc>
          <w:tcPr>
            <w:tcW w:w="0" w:type="auto"/>
            <w:gridSpan w:val="3"/>
            <w:shd w:val="clear" w:color="auto" w:fill="auto"/>
          </w:tcPr>
          <w:p w14:paraId="5EA1FBE1" w14:textId="77777777" w:rsidR="003C66EB" w:rsidRDefault="003C66EB">
            <w:pPr>
              <w:rPr>
                <w:rFonts w:ascii="宋体"/>
                <w:vanish/>
              </w:rPr>
            </w:pPr>
          </w:p>
        </w:tc>
        <w:tc>
          <w:tcPr>
            <w:tcW w:w="0" w:type="auto"/>
            <w:gridSpan w:val="3"/>
            <w:shd w:val="clear" w:color="auto" w:fill="auto"/>
          </w:tcPr>
          <w:p w14:paraId="5EA1FBE2" w14:textId="77777777" w:rsidR="003C66EB" w:rsidRDefault="003C66EB">
            <w:pPr>
              <w:rPr>
                <w:rFonts w:ascii="宋体"/>
                <w:vanish/>
              </w:rPr>
            </w:pPr>
          </w:p>
        </w:tc>
        <w:tc>
          <w:tcPr>
            <w:tcW w:w="0" w:type="auto"/>
            <w:shd w:val="clear" w:color="auto" w:fill="auto"/>
          </w:tcPr>
          <w:p w14:paraId="5EA1FBE3" w14:textId="77777777" w:rsidR="003C66EB" w:rsidRDefault="003C66EB">
            <w:pPr>
              <w:rPr>
                <w:rFonts w:ascii="宋体"/>
                <w:vanish/>
              </w:rPr>
            </w:pPr>
          </w:p>
        </w:tc>
        <w:tc>
          <w:tcPr>
            <w:tcW w:w="0" w:type="auto"/>
            <w:shd w:val="clear" w:color="auto" w:fill="auto"/>
          </w:tcPr>
          <w:p w14:paraId="5EA1FBE4" w14:textId="77777777" w:rsidR="003C66EB" w:rsidRDefault="003C66EB">
            <w:pPr>
              <w:rPr>
                <w:rFonts w:ascii="宋体"/>
                <w:vanish/>
              </w:rPr>
            </w:pPr>
          </w:p>
        </w:tc>
        <w:tc>
          <w:tcPr>
            <w:tcW w:w="0" w:type="auto"/>
            <w:gridSpan w:val="3"/>
            <w:shd w:val="clear" w:color="auto" w:fill="auto"/>
          </w:tcPr>
          <w:p w14:paraId="5EA1FBE5" w14:textId="77777777" w:rsidR="003C66EB" w:rsidRDefault="003C66EB">
            <w:pPr>
              <w:rPr>
                <w:rFonts w:ascii="宋体"/>
                <w:vanish/>
              </w:rPr>
            </w:pPr>
          </w:p>
        </w:tc>
        <w:tc>
          <w:tcPr>
            <w:tcW w:w="0" w:type="auto"/>
            <w:gridSpan w:val="3"/>
            <w:shd w:val="clear" w:color="auto" w:fill="auto"/>
          </w:tcPr>
          <w:p w14:paraId="5EA1FBE6" w14:textId="77777777" w:rsidR="003C66EB" w:rsidRDefault="003C66EB">
            <w:pPr>
              <w:rPr>
                <w:rFonts w:ascii="宋体"/>
                <w:vanish/>
              </w:rPr>
            </w:pPr>
          </w:p>
        </w:tc>
      </w:tr>
      <w:tr w:rsidR="003C66EB" w14:paraId="5EA1FBF0" w14:textId="77777777">
        <w:trPr>
          <w:hidden/>
        </w:trPr>
        <w:tc>
          <w:tcPr>
            <w:tcW w:w="0" w:type="auto"/>
            <w:gridSpan w:val="3"/>
            <w:shd w:val="clear" w:color="auto" w:fill="auto"/>
          </w:tcPr>
          <w:p w14:paraId="5EA1FBE8" w14:textId="77777777" w:rsidR="003C66EB" w:rsidRDefault="003C66EB">
            <w:pPr>
              <w:rPr>
                <w:rFonts w:ascii="宋体"/>
                <w:vanish/>
              </w:rPr>
            </w:pPr>
          </w:p>
        </w:tc>
        <w:tc>
          <w:tcPr>
            <w:tcW w:w="0" w:type="auto"/>
            <w:gridSpan w:val="3"/>
            <w:shd w:val="clear" w:color="auto" w:fill="auto"/>
          </w:tcPr>
          <w:p w14:paraId="5EA1FBE9" w14:textId="77777777" w:rsidR="003C66EB" w:rsidRDefault="003C66EB">
            <w:pPr>
              <w:rPr>
                <w:rFonts w:ascii="宋体"/>
                <w:vanish/>
              </w:rPr>
            </w:pPr>
          </w:p>
        </w:tc>
        <w:tc>
          <w:tcPr>
            <w:tcW w:w="0" w:type="auto"/>
            <w:gridSpan w:val="3"/>
            <w:shd w:val="clear" w:color="auto" w:fill="auto"/>
          </w:tcPr>
          <w:p w14:paraId="5EA1FBEA" w14:textId="77777777" w:rsidR="003C66EB" w:rsidRDefault="003C66EB">
            <w:pPr>
              <w:rPr>
                <w:rFonts w:ascii="宋体"/>
                <w:vanish/>
              </w:rPr>
            </w:pPr>
          </w:p>
        </w:tc>
        <w:tc>
          <w:tcPr>
            <w:tcW w:w="0" w:type="auto"/>
            <w:gridSpan w:val="3"/>
            <w:shd w:val="clear" w:color="auto" w:fill="auto"/>
          </w:tcPr>
          <w:p w14:paraId="5EA1FBEB" w14:textId="77777777" w:rsidR="003C66EB" w:rsidRDefault="003C66EB">
            <w:pPr>
              <w:rPr>
                <w:rFonts w:ascii="宋体"/>
                <w:vanish/>
              </w:rPr>
            </w:pPr>
          </w:p>
        </w:tc>
        <w:tc>
          <w:tcPr>
            <w:tcW w:w="0" w:type="auto"/>
            <w:shd w:val="clear" w:color="auto" w:fill="auto"/>
          </w:tcPr>
          <w:p w14:paraId="5EA1FBEC" w14:textId="77777777" w:rsidR="003C66EB" w:rsidRDefault="003C66EB">
            <w:pPr>
              <w:rPr>
                <w:rFonts w:ascii="宋体"/>
                <w:vanish/>
              </w:rPr>
            </w:pPr>
          </w:p>
        </w:tc>
        <w:tc>
          <w:tcPr>
            <w:tcW w:w="0" w:type="auto"/>
            <w:shd w:val="clear" w:color="auto" w:fill="auto"/>
          </w:tcPr>
          <w:p w14:paraId="5EA1FBED" w14:textId="77777777" w:rsidR="003C66EB" w:rsidRDefault="003C66EB">
            <w:pPr>
              <w:rPr>
                <w:rFonts w:ascii="宋体"/>
                <w:vanish/>
              </w:rPr>
            </w:pPr>
          </w:p>
        </w:tc>
        <w:tc>
          <w:tcPr>
            <w:tcW w:w="0" w:type="auto"/>
            <w:gridSpan w:val="3"/>
            <w:shd w:val="clear" w:color="auto" w:fill="auto"/>
          </w:tcPr>
          <w:p w14:paraId="5EA1FBEE" w14:textId="77777777" w:rsidR="003C66EB" w:rsidRDefault="003C66EB">
            <w:pPr>
              <w:rPr>
                <w:rFonts w:ascii="宋体"/>
                <w:vanish/>
              </w:rPr>
            </w:pPr>
          </w:p>
        </w:tc>
        <w:tc>
          <w:tcPr>
            <w:tcW w:w="0" w:type="auto"/>
            <w:gridSpan w:val="3"/>
            <w:shd w:val="clear" w:color="auto" w:fill="auto"/>
          </w:tcPr>
          <w:p w14:paraId="5EA1FBEF" w14:textId="77777777" w:rsidR="003C66EB" w:rsidRDefault="003C66EB">
            <w:pPr>
              <w:rPr>
                <w:rFonts w:ascii="宋体"/>
                <w:vanish/>
              </w:rPr>
            </w:pPr>
          </w:p>
        </w:tc>
      </w:tr>
      <w:tr w:rsidR="003C66EB" w14:paraId="5EA1FBFB" w14:textId="77777777">
        <w:tc>
          <w:tcPr>
            <w:tcW w:w="0" w:type="auto"/>
            <w:gridSpan w:val="3"/>
            <w:shd w:val="clear" w:color="auto" w:fill="CCEEFF"/>
            <w:tcMar>
              <w:top w:w="40" w:type="dxa"/>
              <w:left w:w="140" w:type="dxa"/>
              <w:bottom w:w="40" w:type="dxa"/>
              <w:right w:w="20" w:type="dxa"/>
            </w:tcMar>
            <w:vAlign w:val="bottom"/>
          </w:tcPr>
          <w:p w14:paraId="5EA1FBF1" w14:textId="77777777" w:rsidR="003C66EB" w:rsidRDefault="00D96C4E">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5EA1FBF2" w14:textId="77777777" w:rsidR="003C66EB" w:rsidRDefault="00D96C4E">
            <w:pPr>
              <w:jc w:val="right"/>
              <w:textAlignment w:val="bottom"/>
            </w:pPr>
            <w:r>
              <w:rPr>
                <w:rFonts w:ascii="Arial" w:eastAsia="宋体" w:hAnsi="Arial" w:cs="Arial"/>
                <w:b/>
                <w:bCs/>
                <w:color w:val="000000"/>
                <w:sz w:val="14"/>
                <w:szCs w:val="14"/>
              </w:rPr>
              <w:t>59,191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BF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BF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BF5" w14:textId="77777777" w:rsidR="003C66EB" w:rsidRDefault="00D96C4E">
            <w:pPr>
              <w:jc w:val="right"/>
              <w:textAlignment w:val="bottom"/>
            </w:pPr>
            <w:r>
              <w:rPr>
                <w:rFonts w:ascii="Arial" w:eastAsia="宋体" w:hAnsi="Arial" w:cs="Arial"/>
                <w:color w:val="000000"/>
                <w:sz w:val="14"/>
                <w:szCs w:val="14"/>
              </w:rPr>
              <w:t>54,242 </w:t>
            </w:r>
          </w:p>
        </w:tc>
        <w:tc>
          <w:tcPr>
            <w:tcW w:w="0" w:type="auto"/>
            <w:shd w:val="clear" w:color="auto" w:fill="CCEEFF"/>
            <w:tcMar>
              <w:top w:w="40" w:type="dxa"/>
              <w:left w:w="0" w:type="dxa"/>
              <w:bottom w:w="40" w:type="dxa"/>
              <w:right w:w="20" w:type="dxa"/>
            </w:tcMar>
            <w:vAlign w:val="bottom"/>
          </w:tcPr>
          <w:p w14:paraId="5EA1FBF6" w14:textId="77777777" w:rsidR="003C66EB" w:rsidRDefault="003C66EB">
            <w:pPr>
              <w:jc w:val="right"/>
              <w:rPr>
                <w:rFonts w:ascii="宋体"/>
              </w:rPr>
            </w:pPr>
          </w:p>
        </w:tc>
        <w:tc>
          <w:tcPr>
            <w:tcW w:w="0" w:type="auto"/>
            <w:shd w:val="clear" w:color="auto" w:fill="auto"/>
          </w:tcPr>
          <w:p w14:paraId="5EA1FBF7" w14:textId="77777777" w:rsidR="003C66EB" w:rsidRDefault="003C66EB">
            <w:pPr>
              <w:rPr>
                <w:rFonts w:ascii="宋体"/>
                <w:vanish/>
              </w:rPr>
            </w:pPr>
          </w:p>
        </w:tc>
        <w:tc>
          <w:tcPr>
            <w:tcW w:w="0" w:type="auto"/>
            <w:shd w:val="clear" w:color="auto" w:fill="auto"/>
          </w:tcPr>
          <w:p w14:paraId="5EA1FBF8" w14:textId="77777777" w:rsidR="003C66EB" w:rsidRDefault="003C66EB">
            <w:pPr>
              <w:rPr>
                <w:rFonts w:ascii="宋体"/>
                <w:vanish/>
              </w:rPr>
            </w:pPr>
          </w:p>
        </w:tc>
        <w:tc>
          <w:tcPr>
            <w:tcW w:w="0" w:type="auto"/>
            <w:gridSpan w:val="3"/>
            <w:shd w:val="clear" w:color="auto" w:fill="auto"/>
          </w:tcPr>
          <w:p w14:paraId="5EA1FBF9" w14:textId="77777777" w:rsidR="003C66EB" w:rsidRDefault="003C66EB">
            <w:pPr>
              <w:rPr>
                <w:rFonts w:ascii="宋体"/>
                <w:vanish/>
              </w:rPr>
            </w:pPr>
          </w:p>
        </w:tc>
        <w:tc>
          <w:tcPr>
            <w:tcW w:w="0" w:type="auto"/>
            <w:gridSpan w:val="3"/>
            <w:shd w:val="clear" w:color="auto" w:fill="auto"/>
          </w:tcPr>
          <w:p w14:paraId="5EA1FBFA" w14:textId="77777777" w:rsidR="003C66EB" w:rsidRDefault="003C66EB">
            <w:pPr>
              <w:rPr>
                <w:rFonts w:ascii="宋体"/>
                <w:vanish/>
              </w:rPr>
            </w:pPr>
          </w:p>
        </w:tc>
      </w:tr>
      <w:tr w:rsidR="003C66EB" w14:paraId="5EA1FC06" w14:textId="77777777">
        <w:tc>
          <w:tcPr>
            <w:tcW w:w="0" w:type="auto"/>
            <w:gridSpan w:val="3"/>
            <w:shd w:val="clear" w:color="auto" w:fill="FFFFFF"/>
            <w:tcMar>
              <w:top w:w="40" w:type="dxa"/>
              <w:left w:w="140" w:type="dxa"/>
              <w:bottom w:w="40" w:type="dxa"/>
              <w:right w:w="20" w:type="dxa"/>
            </w:tcMar>
            <w:vAlign w:val="bottom"/>
          </w:tcPr>
          <w:p w14:paraId="5EA1FBFC" w14:textId="77777777" w:rsidR="003C66EB" w:rsidRDefault="00D96C4E">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5EA1FBFD" w14:textId="77777777" w:rsidR="003C66EB" w:rsidRDefault="00D96C4E">
            <w:pPr>
              <w:jc w:val="right"/>
              <w:textAlignment w:val="bottom"/>
            </w:pPr>
            <w:r>
              <w:rPr>
                <w:rFonts w:ascii="Arial" w:eastAsia="宋体" w:hAnsi="Arial" w:cs="Arial"/>
                <w:b/>
                <w:bCs/>
                <w:color w:val="000000"/>
                <w:sz w:val="14"/>
                <w:szCs w:val="14"/>
              </w:rPr>
              <w:t>47,356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B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BF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00" w14:textId="77777777" w:rsidR="003C66EB" w:rsidRDefault="00D96C4E">
            <w:pPr>
              <w:jc w:val="right"/>
              <w:textAlignment w:val="bottom"/>
            </w:pPr>
            <w:r>
              <w:rPr>
                <w:rFonts w:ascii="Arial" w:eastAsia="宋体" w:hAnsi="Arial" w:cs="Arial"/>
                <w:color w:val="000000"/>
                <w:sz w:val="14"/>
                <w:szCs w:val="14"/>
              </w:rPr>
              <w:t>41,273 </w:t>
            </w:r>
          </w:p>
        </w:tc>
        <w:tc>
          <w:tcPr>
            <w:tcW w:w="0" w:type="auto"/>
            <w:shd w:val="clear" w:color="auto" w:fill="FFFFFF"/>
            <w:tcMar>
              <w:top w:w="40" w:type="dxa"/>
              <w:left w:w="0" w:type="dxa"/>
              <w:bottom w:w="40" w:type="dxa"/>
              <w:right w:w="20" w:type="dxa"/>
            </w:tcMar>
            <w:vAlign w:val="bottom"/>
          </w:tcPr>
          <w:p w14:paraId="5EA1FC01" w14:textId="77777777" w:rsidR="003C66EB" w:rsidRDefault="003C66EB">
            <w:pPr>
              <w:jc w:val="right"/>
              <w:rPr>
                <w:rFonts w:ascii="宋体"/>
              </w:rPr>
            </w:pPr>
          </w:p>
        </w:tc>
        <w:tc>
          <w:tcPr>
            <w:tcW w:w="0" w:type="auto"/>
            <w:shd w:val="clear" w:color="auto" w:fill="auto"/>
          </w:tcPr>
          <w:p w14:paraId="5EA1FC02" w14:textId="77777777" w:rsidR="003C66EB" w:rsidRDefault="003C66EB">
            <w:pPr>
              <w:rPr>
                <w:rFonts w:ascii="宋体"/>
                <w:vanish/>
              </w:rPr>
            </w:pPr>
          </w:p>
        </w:tc>
        <w:tc>
          <w:tcPr>
            <w:tcW w:w="0" w:type="auto"/>
            <w:shd w:val="clear" w:color="auto" w:fill="auto"/>
          </w:tcPr>
          <w:p w14:paraId="5EA1FC03" w14:textId="77777777" w:rsidR="003C66EB" w:rsidRDefault="003C66EB">
            <w:pPr>
              <w:rPr>
                <w:rFonts w:ascii="宋体"/>
                <w:vanish/>
              </w:rPr>
            </w:pPr>
          </w:p>
        </w:tc>
        <w:tc>
          <w:tcPr>
            <w:tcW w:w="0" w:type="auto"/>
            <w:gridSpan w:val="3"/>
            <w:shd w:val="clear" w:color="auto" w:fill="auto"/>
          </w:tcPr>
          <w:p w14:paraId="5EA1FC04" w14:textId="77777777" w:rsidR="003C66EB" w:rsidRDefault="003C66EB">
            <w:pPr>
              <w:rPr>
                <w:rFonts w:ascii="宋体"/>
                <w:vanish/>
              </w:rPr>
            </w:pPr>
          </w:p>
        </w:tc>
        <w:tc>
          <w:tcPr>
            <w:tcW w:w="0" w:type="auto"/>
            <w:gridSpan w:val="3"/>
            <w:shd w:val="clear" w:color="auto" w:fill="auto"/>
          </w:tcPr>
          <w:p w14:paraId="5EA1FC05" w14:textId="77777777" w:rsidR="003C66EB" w:rsidRDefault="003C66EB">
            <w:pPr>
              <w:rPr>
                <w:rFonts w:ascii="宋体"/>
                <w:vanish/>
              </w:rPr>
            </w:pPr>
          </w:p>
        </w:tc>
      </w:tr>
      <w:tr w:rsidR="003C66EB" w14:paraId="5EA1FC11" w14:textId="77777777">
        <w:tc>
          <w:tcPr>
            <w:tcW w:w="0" w:type="auto"/>
            <w:gridSpan w:val="3"/>
            <w:shd w:val="clear" w:color="auto" w:fill="CCEEFF"/>
            <w:tcMar>
              <w:top w:w="40" w:type="dxa"/>
              <w:left w:w="140" w:type="dxa"/>
              <w:bottom w:w="40" w:type="dxa"/>
              <w:right w:w="20" w:type="dxa"/>
            </w:tcMar>
            <w:vAlign w:val="bottom"/>
          </w:tcPr>
          <w:p w14:paraId="5EA1FC07" w14:textId="77777777" w:rsidR="003C66EB" w:rsidRDefault="00D96C4E">
            <w:pPr>
              <w:textAlignment w:val="bottom"/>
            </w:pPr>
            <w:r>
              <w:rPr>
                <w:rFonts w:ascii="Arial" w:eastAsia="宋体" w:hAnsi="Arial" w:cs="Arial"/>
                <w:color w:val="000000"/>
                <w:sz w:val="14"/>
                <w:szCs w:val="14"/>
              </w:rPr>
              <w:t>Investment securities held to 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5EA1FC08" w14:textId="77777777" w:rsidR="003C66EB" w:rsidRDefault="00D96C4E">
            <w:pPr>
              <w:jc w:val="right"/>
              <w:textAlignment w:val="bottom"/>
            </w:pPr>
            <w:r>
              <w:rPr>
                <w:rFonts w:ascii="Arial" w:eastAsia="宋体" w:hAnsi="Arial" w:cs="Arial"/>
                <w:b/>
                <w:bCs/>
                <w:color w:val="000000"/>
                <w:sz w:val="14"/>
                <w:szCs w:val="14"/>
              </w:rPr>
              <w:t>1,262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0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0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0B" w14:textId="77777777" w:rsidR="003C66EB" w:rsidRDefault="00D96C4E">
            <w:pPr>
              <w:jc w:val="right"/>
              <w:textAlignment w:val="bottom"/>
            </w:pPr>
            <w:r>
              <w:rPr>
                <w:rFonts w:ascii="Arial" w:eastAsia="宋体" w:hAnsi="Arial" w:cs="Arial"/>
                <w:color w:val="000000"/>
                <w:sz w:val="14"/>
                <w:szCs w:val="14"/>
              </w:rPr>
              <w:t>2,045 </w:t>
            </w:r>
          </w:p>
        </w:tc>
        <w:tc>
          <w:tcPr>
            <w:tcW w:w="0" w:type="auto"/>
            <w:shd w:val="clear" w:color="auto" w:fill="CCEEFF"/>
            <w:tcMar>
              <w:top w:w="40" w:type="dxa"/>
              <w:left w:w="0" w:type="dxa"/>
              <w:bottom w:w="40" w:type="dxa"/>
              <w:right w:w="20" w:type="dxa"/>
            </w:tcMar>
            <w:vAlign w:val="bottom"/>
          </w:tcPr>
          <w:p w14:paraId="5EA1FC0C" w14:textId="77777777" w:rsidR="003C66EB" w:rsidRDefault="003C66EB">
            <w:pPr>
              <w:jc w:val="right"/>
              <w:rPr>
                <w:rFonts w:ascii="宋体"/>
              </w:rPr>
            </w:pPr>
          </w:p>
        </w:tc>
        <w:tc>
          <w:tcPr>
            <w:tcW w:w="0" w:type="auto"/>
            <w:shd w:val="clear" w:color="auto" w:fill="auto"/>
          </w:tcPr>
          <w:p w14:paraId="5EA1FC0D" w14:textId="77777777" w:rsidR="003C66EB" w:rsidRDefault="003C66EB">
            <w:pPr>
              <w:rPr>
                <w:rFonts w:ascii="宋体"/>
                <w:vanish/>
              </w:rPr>
            </w:pPr>
          </w:p>
        </w:tc>
        <w:tc>
          <w:tcPr>
            <w:tcW w:w="0" w:type="auto"/>
            <w:shd w:val="clear" w:color="auto" w:fill="auto"/>
          </w:tcPr>
          <w:p w14:paraId="5EA1FC0E" w14:textId="77777777" w:rsidR="003C66EB" w:rsidRDefault="003C66EB">
            <w:pPr>
              <w:rPr>
                <w:rFonts w:ascii="宋体"/>
                <w:vanish/>
              </w:rPr>
            </w:pPr>
          </w:p>
        </w:tc>
        <w:tc>
          <w:tcPr>
            <w:tcW w:w="0" w:type="auto"/>
            <w:gridSpan w:val="3"/>
            <w:shd w:val="clear" w:color="auto" w:fill="auto"/>
          </w:tcPr>
          <w:p w14:paraId="5EA1FC0F" w14:textId="77777777" w:rsidR="003C66EB" w:rsidRDefault="003C66EB">
            <w:pPr>
              <w:rPr>
                <w:rFonts w:ascii="宋体"/>
                <w:vanish/>
              </w:rPr>
            </w:pPr>
          </w:p>
        </w:tc>
        <w:tc>
          <w:tcPr>
            <w:tcW w:w="0" w:type="auto"/>
            <w:gridSpan w:val="3"/>
            <w:shd w:val="clear" w:color="auto" w:fill="auto"/>
          </w:tcPr>
          <w:p w14:paraId="5EA1FC10" w14:textId="77777777" w:rsidR="003C66EB" w:rsidRDefault="003C66EB">
            <w:pPr>
              <w:rPr>
                <w:rFonts w:ascii="宋体"/>
                <w:vanish/>
              </w:rPr>
            </w:pPr>
          </w:p>
        </w:tc>
      </w:tr>
      <w:tr w:rsidR="003C66EB" w14:paraId="5EA1FC1C" w14:textId="77777777">
        <w:tc>
          <w:tcPr>
            <w:tcW w:w="0" w:type="auto"/>
            <w:gridSpan w:val="3"/>
            <w:shd w:val="clear" w:color="auto" w:fill="FFFFFF"/>
            <w:tcMar>
              <w:top w:w="40" w:type="dxa"/>
              <w:left w:w="20" w:type="dxa"/>
              <w:bottom w:w="40" w:type="dxa"/>
              <w:right w:w="20" w:type="dxa"/>
            </w:tcMar>
            <w:vAlign w:val="bottom"/>
          </w:tcPr>
          <w:p w14:paraId="5EA1FC12" w14:textId="77777777" w:rsidR="003C66EB" w:rsidRDefault="00D96C4E">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C13" w14:textId="77777777" w:rsidR="003C66EB" w:rsidRDefault="00D96C4E">
            <w:pPr>
              <w:jc w:val="right"/>
              <w:textAlignment w:val="bottom"/>
            </w:pPr>
            <w:r>
              <w:rPr>
                <w:rFonts w:ascii="Arial" w:eastAsia="宋体" w:hAnsi="Arial" w:cs="Arial"/>
                <w:b/>
                <w:bCs/>
                <w:color w:val="000000"/>
                <w:sz w:val="14"/>
                <w:szCs w:val="14"/>
              </w:rPr>
              <w:t>107,809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C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1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C16" w14:textId="77777777" w:rsidR="003C66EB" w:rsidRDefault="00D96C4E">
            <w:pPr>
              <w:jc w:val="right"/>
              <w:textAlignment w:val="bottom"/>
            </w:pPr>
            <w:r>
              <w:rPr>
                <w:rFonts w:ascii="Arial" w:eastAsia="宋体" w:hAnsi="Arial" w:cs="Arial"/>
                <w:color w:val="000000"/>
                <w:sz w:val="14"/>
                <w:szCs w:val="14"/>
              </w:rPr>
              <w:t>97,560 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C17" w14:textId="77777777" w:rsidR="003C66EB" w:rsidRDefault="003C66EB">
            <w:pPr>
              <w:jc w:val="right"/>
              <w:rPr>
                <w:rFonts w:ascii="宋体"/>
              </w:rPr>
            </w:pPr>
          </w:p>
        </w:tc>
        <w:tc>
          <w:tcPr>
            <w:tcW w:w="0" w:type="auto"/>
            <w:shd w:val="clear" w:color="auto" w:fill="auto"/>
          </w:tcPr>
          <w:p w14:paraId="5EA1FC18" w14:textId="77777777" w:rsidR="003C66EB" w:rsidRDefault="003C66EB">
            <w:pPr>
              <w:rPr>
                <w:rFonts w:ascii="宋体"/>
                <w:vanish/>
              </w:rPr>
            </w:pPr>
          </w:p>
        </w:tc>
        <w:tc>
          <w:tcPr>
            <w:tcW w:w="0" w:type="auto"/>
            <w:shd w:val="clear" w:color="auto" w:fill="auto"/>
          </w:tcPr>
          <w:p w14:paraId="5EA1FC19" w14:textId="77777777" w:rsidR="003C66EB" w:rsidRDefault="003C66EB">
            <w:pPr>
              <w:rPr>
                <w:rFonts w:ascii="宋体"/>
                <w:vanish/>
              </w:rPr>
            </w:pPr>
          </w:p>
        </w:tc>
        <w:tc>
          <w:tcPr>
            <w:tcW w:w="0" w:type="auto"/>
            <w:gridSpan w:val="3"/>
            <w:shd w:val="clear" w:color="auto" w:fill="auto"/>
          </w:tcPr>
          <w:p w14:paraId="5EA1FC1A" w14:textId="77777777" w:rsidR="003C66EB" w:rsidRDefault="003C66EB">
            <w:pPr>
              <w:rPr>
                <w:rFonts w:ascii="宋体"/>
                <w:vanish/>
              </w:rPr>
            </w:pPr>
          </w:p>
        </w:tc>
        <w:tc>
          <w:tcPr>
            <w:tcW w:w="0" w:type="auto"/>
            <w:gridSpan w:val="3"/>
            <w:shd w:val="clear" w:color="auto" w:fill="auto"/>
          </w:tcPr>
          <w:p w14:paraId="5EA1FC1B" w14:textId="77777777" w:rsidR="003C66EB" w:rsidRDefault="003C66EB">
            <w:pPr>
              <w:rPr>
                <w:rFonts w:ascii="宋体"/>
                <w:vanish/>
              </w:rPr>
            </w:pPr>
          </w:p>
        </w:tc>
      </w:tr>
      <w:tr w:rsidR="003C66EB" w14:paraId="5EA1FC27" w14:textId="77777777">
        <w:tc>
          <w:tcPr>
            <w:tcW w:w="0" w:type="auto"/>
            <w:gridSpan w:val="3"/>
            <w:shd w:val="clear" w:color="auto" w:fill="CCEEFF"/>
            <w:tcMar>
              <w:top w:w="40" w:type="dxa"/>
              <w:left w:w="20" w:type="dxa"/>
              <w:bottom w:w="40" w:type="dxa"/>
              <w:right w:w="20" w:type="dxa"/>
            </w:tcMar>
            <w:vAlign w:val="bottom"/>
          </w:tcPr>
          <w:p w14:paraId="5EA1FC1D" w14:textId="77777777" w:rsidR="003C66EB" w:rsidRDefault="00D96C4E">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5EA1FC1E" w14:textId="77777777" w:rsidR="003C66EB" w:rsidRDefault="00D96C4E">
            <w:pPr>
              <w:jc w:val="right"/>
              <w:textAlignment w:val="bottom"/>
            </w:pPr>
            <w:r>
              <w:rPr>
                <w:rFonts w:ascii="Arial" w:eastAsia="宋体" w:hAnsi="Arial" w:cs="Arial"/>
                <w:b/>
                <w:bCs/>
                <w:color w:val="000000"/>
                <w:sz w:val="14"/>
                <w:szCs w:val="14"/>
              </w:rPr>
              <w:t>28,025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2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21" w14:textId="77777777" w:rsidR="003C66EB" w:rsidRDefault="00D96C4E">
            <w:pPr>
              <w:jc w:val="right"/>
              <w:textAlignment w:val="bottom"/>
            </w:pPr>
            <w:r>
              <w:rPr>
                <w:rFonts w:ascii="Arial" w:eastAsia="宋体" w:hAnsi="Arial" w:cs="Arial"/>
                <w:color w:val="000000"/>
                <w:sz w:val="14"/>
                <w:szCs w:val="14"/>
              </w:rPr>
              <w:t>28,468 </w:t>
            </w:r>
          </w:p>
        </w:tc>
        <w:tc>
          <w:tcPr>
            <w:tcW w:w="0" w:type="auto"/>
            <w:shd w:val="clear" w:color="auto" w:fill="CCEEFF"/>
            <w:tcMar>
              <w:top w:w="40" w:type="dxa"/>
              <w:left w:w="0" w:type="dxa"/>
              <w:bottom w:w="40" w:type="dxa"/>
              <w:right w:w="20" w:type="dxa"/>
            </w:tcMar>
            <w:vAlign w:val="bottom"/>
          </w:tcPr>
          <w:p w14:paraId="5EA1FC22" w14:textId="77777777" w:rsidR="003C66EB" w:rsidRDefault="003C66EB">
            <w:pPr>
              <w:jc w:val="right"/>
              <w:rPr>
                <w:rFonts w:ascii="宋体"/>
              </w:rPr>
            </w:pPr>
          </w:p>
        </w:tc>
        <w:tc>
          <w:tcPr>
            <w:tcW w:w="0" w:type="auto"/>
            <w:shd w:val="clear" w:color="auto" w:fill="auto"/>
          </w:tcPr>
          <w:p w14:paraId="5EA1FC23" w14:textId="77777777" w:rsidR="003C66EB" w:rsidRDefault="003C66EB">
            <w:pPr>
              <w:rPr>
                <w:rFonts w:ascii="宋体"/>
                <w:vanish/>
              </w:rPr>
            </w:pPr>
          </w:p>
        </w:tc>
        <w:tc>
          <w:tcPr>
            <w:tcW w:w="0" w:type="auto"/>
            <w:shd w:val="clear" w:color="auto" w:fill="auto"/>
          </w:tcPr>
          <w:p w14:paraId="5EA1FC24" w14:textId="77777777" w:rsidR="003C66EB" w:rsidRDefault="003C66EB">
            <w:pPr>
              <w:rPr>
                <w:rFonts w:ascii="宋体"/>
                <w:vanish/>
              </w:rPr>
            </w:pPr>
          </w:p>
        </w:tc>
        <w:tc>
          <w:tcPr>
            <w:tcW w:w="0" w:type="auto"/>
            <w:gridSpan w:val="3"/>
            <w:shd w:val="clear" w:color="auto" w:fill="auto"/>
          </w:tcPr>
          <w:p w14:paraId="5EA1FC25" w14:textId="77777777" w:rsidR="003C66EB" w:rsidRDefault="003C66EB">
            <w:pPr>
              <w:rPr>
                <w:rFonts w:ascii="宋体"/>
                <w:vanish/>
              </w:rPr>
            </w:pPr>
          </w:p>
        </w:tc>
        <w:tc>
          <w:tcPr>
            <w:tcW w:w="0" w:type="auto"/>
            <w:gridSpan w:val="3"/>
            <w:shd w:val="clear" w:color="auto" w:fill="auto"/>
          </w:tcPr>
          <w:p w14:paraId="5EA1FC26" w14:textId="77777777" w:rsidR="003C66EB" w:rsidRDefault="003C66EB">
            <w:pPr>
              <w:rPr>
                <w:rFonts w:ascii="宋体"/>
                <w:vanish/>
              </w:rPr>
            </w:pPr>
          </w:p>
        </w:tc>
      </w:tr>
      <w:tr w:rsidR="003C66EB" w14:paraId="5EA1FC32" w14:textId="77777777">
        <w:tc>
          <w:tcPr>
            <w:tcW w:w="0" w:type="auto"/>
            <w:gridSpan w:val="3"/>
            <w:shd w:val="clear" w:color="auto" w:fill="FFFFFF"/>
            <w:tcMar>
              <w:top w:w="40" w:type="dxa"/>
              <w:left w:w="20" w:type="dxa"/>
              <w:bottom w:w="40" w:type="dxa"/>
              <w:right w:w="20" w:type="dxa"/>
            </w:tcMar>
            <w:vAlign w:val="bottom"/>
          </w:tcPr>
          <w:p w14:paraId="5EA1FC28" w14:textId="77777777" w:rsidR="003C66EB" w:rsidRDefault="00D96C4E">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5EA1FC29" w14:textId="77777777" w:rsidR="003C66EB" w:rsidRDefault="00D96C4E">
            <w:pPr>
              <w:jc w:val="right"/>
              <w:textAlignment w:val="bottom"/>
            </w:pPr>
            <w:r>
              <w:rPr>
                <w:rFonts w:ascii="Arial" w:eastAsia="宋体" w:hAnsi="Arial" w:cs="Arial"/>
                <w:b/>
                <w:bCs/>
                <w:color w:val="000000"/>
                <w:sz w:val="14"/>
                <w:szCs w:val="14"/>
              </w:rPr>
              <w:t>18,296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2C" w14:textId="77777777" w:rsidR="003C66EB" w:rsidRDefault="00D96C4E">
            <w:pPr>
              <w:jc w:val="right"/>
              <w:textAlignment w:val="bottom"/>
            </w:pPr>
            <w:r>
              <w:rPr>
                <w:rFonts w:ascii="Arial" w:eastAsia="宋体" w:hAnsi="Arial" w:cs="Arial"/>
                <w:color w:val="000000"/>
                <w:sz w:val="14"/>
                <w:szCs w:val="14"/>
              </w:rPr>
              <w:t>10,764 </w:t>
            </w:r>
          </w:p>
        </w:tc>
        <w:tc>
          <w:tcPr>
            <w:tcW w:w="0" w:type="auto"/>
            <w:shd w:val="clear" w:color="auto" w:fill="FFFFFF"/>
            <w:tcMar>
              <w:top w:w="40" w:type="dxa"/>
              <w:left w:w="0" w:type="dxa"/>
              <w:bottom w:w="40" w:type="dxa"/>
              <w:right w:w="20" w:type="dxa"/>
            </w:tcMar>
            <w:vAlign w:val="bottom"/>
          </w:tcPr>
          <w:p w14:paraId="5EA1FC2D" w14:textId="77777777" w:rsidR="003C66EB" w:rsidRDefault="003C66EB">
            <w:pPr>
              <w:jc w:val="right"/>
              <w:rPr>
                <w:rFonts w:ascii="宋体"/>
              </w:rPr>
            </w:pPr>
          </w:p>
        </w:tc>
        <w:tc>
          <w:tcPr>
            <w:tcW w:w="0" w:type="auto"/>
            <w:shd w:val="clear" w:color="auto" w:fill="auto"/>
          </w:tcPr>
          <w:p w14:paraId="5EA1FC2E" w14:textId="77777777" w:rsidR="003C66EB" w:rsidRDefault="003C66EB">
            <w:pPr>
              <w:rPr>
                <w:rFonts w:ascii="宋体"/>
                <w:vanish/>
              </w:rPr>
            </w:pPr>
          </w:p>
        </w:tc>
        <w:tc>
          <w:tcPr>
            <w:tcW w:w="0" w:type="auto"/>
            <w:shd w:val="clear" w:color="auto" w:fill="auto"/>
          </w:tcPr>
          <w:p w14:paraId="5EA1FC2F" w14:textId="77777777" w:rsidR="003C66EB" w:rsidRDefault="003C66EB">
            <w:pPr>
              <w:rPr>
                <w:rFonts w:ascii="宋体"/>
                <w:vanish/>
              </w:rPr>
            </w:pPr>
          </w:p>
        </w:tc>
        <w:tc>
          <w:tcPr>
            <w:tcW w:w="0" w:type="auto"/>
            <w:gridSpan w:val="3"/>
            <w:shd w:val="clear" w:color="auto" w:fill="auto"/>
          </w:tcPr>
          <w:p w14:paraId="5EA1FC30" w14:textId="77777777" w:rsidR="003C66EB" w:rsidRDefault="003C66EB">
            <w:pPr>
              <w:rPr>
                <w:rFonts w:ascii="宋体"/>
                <w:vanish/>
              </w:rPr>
            </w:pPr>
          </w:p>
        </w:tc>
        <w:tc>
          <w:tcPr>
            <w:tcW w:w="0" w:type="auto"/>
            <w:gridSpan w:val="3"/>
            <w:shd w:val="clear" w:color="auto" w:fill="auto"/>
          </w:tcPr>
          <w:p w14:paraId="5EA1FC31" w14:textId="77777777" w:rsidR="003C66EB" w:rsidRDefault="003C66EB">
            <w:pPr>
              <w:rPr>
                <w:rFonts w:ascii="宋体"/>
                <w:vanish/>
              </w:rPr>
            </w:pPr>
          </w:p>
        </w:tc>
      </w:tr>
      <w:tr w:rsidR="003C66EB" w14:paraId="5EA1FC3D" w14:textId="77777777">
        <w:tc>
          <w:tcPr>
            <w:tcW w:w="0" w:type="auto"/>
            <w:gridSpan w:val="3"/>
            <w:shd w:val="clear" w:color="auto" w:fill="CCEEFF"/>
            <w:tcMar>
              <w:top w:w="40" w:type="dxa"/>
              <w:left w:w="245" w:type="dxa"/>
              <w:bottom w:w="40" w:type="dxa"/>
              <w:right w:w="20" w:type="dxa"/>
            </w:tcMar>
            <w:vAlign w:val="bottom"/>
          </w:tcPr>
          <w:p w14:paraId="5EA1FC33" w14:textId="77777777" w:rsidR="003C66EB" w:rsidRDefault="00D96C4E">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C34" w14:textId="77777777" w:rsidR="003C66EB" w:rsidRDefault="00D96C4E">
            <w:pPr>
              <w:jc w:val="right"/>
              <w:textAlignment w:val="bottom"/>
            </w:pPr>
            <w:r>
              <w:rPr>
                <w:rFonts w:ascii="Arial" w:eastAsia="宋体" w:hAnsi="Arial" w:cs="Arial"/>
                <w:b/>
                <w:bCs/>
                <w:color w:val="000000"/>
                <w:sz w:val="14"/>
                <w:szCs w:val="14"/>
              </w:rPr>
              <w:t>254,733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C3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3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C37" w14:textId="77777777" w:rsidR="003C66EB" w:rsidRDefault="00D96C4E">
            <w:pPr>
              <w:jc w:val="right"/>
              <w:textAlignment w:val="bottom"/>
            </w:pPr>
            <w:r>
              <w:rPr>
                <w:rFonts w:ascii="Arial" w:eastAsia="宋体" w:hAnsi="Arial" w:cs="Arial"/>
                <w:b/>
                <w:bCs/>
                <w:color w:val="000000"/>
                <w:sz w:val="14"/>
                <w:szCs w:val="14"/>
              </w:rPr>
              <w:t>206,632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C38" w14:textId="77777777" w:rsidR="003C66EB" w:rsidRDefault="003C66EB">
            <w:pPr>
              <w:jc w:val="right"/>
              <w:rPr>
                <w:rFonts w:ascii="宋体"/>
              </w:rPr>
            </w:pPr>
          </w:p>
        </w:tc>
        <w:tc>
          <w:tcPr>
            <w:tcW w:w="0" w:type="auto"/>
            <w:shd w:val="clear" w:color="auto" w:fill="auto"/>
          </w:tcPr>
          <w:p w14:paraId="5EA1FC39" w14:textId="77777777" w:rsidR="003C66EB" w:rsidRDefault="003C66EB">
            <w:pPr>
              <w:rPr>
                <w:rFonts w:ascii="宋体"/>
                <w:vanish/>
              </w:rPr>
            </w:pPr>
          </w:p>
        </w:tc>
        <w:tc>
          <w:tcPr>
            <w:tcW w:w="0" w:type="auto"/>
            <w:shd w:val="clear" w:color="auto" w:fill="auto"/>
          </w:tcPr>
          <w:p w14:paraId="5EA1FC3A" w14:textId="77777777" w:rsidR="003C66EB" w:rsidRDefault="003C66EB">
            <w:pPr>
              <w:rPr>
                <w:rFonts w:ascii="宋体"/>
                <w:vanish/>
              </w:rPr>
            </w:pPr>
          </w:p>
        </w:tc>
        <w:tc>
          <w:tcPr>
            <w:tcW w:w="0" w:type="auto"/>
            <w:gridSpan w:val="3"/>
            <w:shd w:val="clear" w:color="auto" w:fill="auto"/>
          </w:tcPr>
          <w:p w14:paraId="5EA1FC3B" w14:textId="77777777" w:rsidR="003C66EB" w:rsidRDefault="003C66EB">
            <w:pPr>
              <w:rPr>
                <w:rFonts w:ascii="宋体"/>
                <w:vanish/>
              </w:rPr>
            </w:pPr>
          </w:p>
        </w:tc>
        <w:tc>
          <w:tcPr>
            <w:tcW w:w="0" w:type="auto"/>
            <w:gridSpan w:val="3"/>
            <w:shd w:val="clear" w:color="auto" w:fill="auto"/>
          </w:tcPr>
          <w:p w14:paraId="5EA1FC3C" w14:textId="77777777" w:rsidR="003C66EB" w:rsidRDefault="003C66EB">
            <w:pPr>
              <w:rPr>
                <w:rFonts w:ascii="宋体"/>
                <w:vanish/>
              </w:rPr>
            </w:pPr>
          </w:p>
        </w:tc>
      </w:tr>
      <w:tr w:rsidR="003C66EB" w14:paraId="5EA1FC48" w14:textId="77777777">
        <w:tc>
          <w:tcPr>
            <w:tcW w:w="0" w:type="auto"/>
            <w:gridSpan w:val="3"/>
            <w:shd w:val="clear" w:color="auto" w:fill="FFFFFF"/>
            <w:tcMar>
              <w:top w:w="40" w:type="dxa"/>
              <w:left w:w="20" w:type="dxa"/>
              <w:bottom w:w="40" w:type="dxa"/>
              <w:right w:w="20" w:type="dxa"/>
            </w:tcMar>
            <w:vAlign w:val="bottom"/>
          </w:tcPr>
          <w:p w14:paraId="5EA1FC3E" w14:textId="77777777" w:rsidR="003C66EB" w:rsidRDefault="00D96C4E">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5EA1FC3F" w14:textId="77777777" w:rsidR="003C66EB" w:rsidRDefault="00D96C4E">
            <w:pPr>
              <w:jc w:val="right"/>
              <w:textAlignment w:val="bottom"/>
            </w:pPr>
            <w:r>
              <w:rPr>
                <w:rFonts w:ascii="Arial" w:eastAsia="宋体" w:hAnsi="Arial" w:cs="Arial"/>
                <w:b/>
                <w:bCs/>
                <w:color w:val="000000"/>
                <w:sz w:val="14"/>
                <w:szCs w:val="14"/>
              </w:rPr>
              <w:t>4,529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42" w14:textId="77777777" w:rsidR="003C66EB" w:rsidRDefault="00D96C4E">
            <w:pPr>
              <w:jc w:val="right"/>
              <w:textAlignment w:val="bottom"/>
            </w:pPr>
            <w:r>
              <w:rPr>
                <w:rFonts w:ascii="Arial" w:eastAsia="宋体" w:hAnsi="Arial" w:cs="Arial"/>
                <w:color w:val="000000"/>
                <w:sz w:val="14"/>
                <w:szCs w:val="14"/>
              </w:rPr>
              <w:t>3,856 </w:t>
            </w:r>
          </w:p>
        </w:tc>
        <w:tc>
          <w:tcPr>
            <w:tcW w:w="0" w:type="auto"/>
            <w:shd w:val="clear" w:color="auto" w:fill="FFFFFF"/>
            <w:tcMar>
              <w:top w:w="40" w:type="dxa"/>
              <w:left w:w="0" w:type="dxa"/>
              <w:bottom w:w="40" w:type="dxa"/>
              <w:right w:w="20" w:type="dxa"/>
            </w:tcMar>
            <w:vAlign w:val="bottom"/>
          </w:tcPr>
          <w:p w14:paraId="5EA1FC43" w14:textId="77777777" w:rsidR="003C66EB" w:rsidRDefault="003C66EB">
            <w:pPr>
              <w:jc w:val="right"/>
              <w:rPr>
                <w:rFonts w:ascii="宋体"/>
              </w:rPr>
            </w:pPr>
          </w:p>
        </w:tc>
        <w:tc>
          <w:tcPr>
            <w:tcW w:w="0" w:type="auto"/>
            <w:shd w:val="clear" w:color="auto" w:fill="auto"/>
          </w:tcPr>
          <w:p w14:paraId="5EA1FC44" w14:textId="77777777" w:rsidR="003C66EB" w:rsidRDefault="003C66EB">
            <w:pPr>
              <w:rPr>
                <w:rFonts w:ascii="宋体"/>
                <w:vanish/>
              </w:rPr>
            </w:pPr>
          </w:p>
        </w:tc>
        <w:tc>
          <w:tcPr>
            <w:tcW w:w="0" w:type="auto"/>
            <w:shd w:val="clear" w:color="auto" w:fill="auto"/>
          </w:tcPr>
          <w:p w14:paraId="5EA1FC45" w14:textId="77777777" w:rsidR="003C66EB" w:rsidRDefault="003C66EB">
            <w:pPr>
              <w:rPr>
                <w:rFonts w:ascii="宋体"/>
                <w:vanish/>
              </w:rPr>
            </w:pPr>
          </w:p>
        </w:tc>
        <w:tc>
          <w:tcPr>
            <w:tcW w:w="0" w:type="auto"/>
            <w:gridSpan w:val="3"/>
            <w:shd w:val="clear" w:color="auto" w:fill="auto"/>
          </w:tcPr>
          <w:p w14:paraId="5EA1FC46" w14:textId="77777777" w:rsidR="003C66EB" w:rsidRDefault="003C66EB">
            <w:pPr>
              <w:rPr>
                <w:rFonts w:ascii="宋体"/>
                <w:vanish/>
              </w:rPr>
            </w:pPr>
          </w:p>
        </w:tc>
        <w:tc>
          <w:tcPr>
            <w:tcW w:w="0" w:type="auto"/>
            <w:gridSpan w:val="3"/>
            <w:shd w:val="clear" w:color="auto" w:fill="auto"/>
          </w:tcPr>
          <w:p w14:paraId="5EA1FC47" w14:textId="77777777" w:rsidR="003C66EB" w:rsidRDefault="003C66EB">
            <w:pPr>
              <w:rPr>
                <w:rFonts w:ascii="宋体"/>
                <w:vanish/>
              </w:rPr>
            </w:pPr>
          </w:p>
        </w:tc>
      </w:tr>
      <w:tr w:rsidR="003C66EB" w14:paraId="5EA1FC53" w14:textId="77777777">
        <w:tc>
          <w:tcPr>
            <w:tcW w:w="0" w:type="auto"/>
            <w:gridSpan w:val="3"/>
            <w:shd w:val="clear" w:color="auto" w:fill="CCEEFF"/>
            <w:tcMar>
              <w:top w:w="40" w:type="dxa"/>
              <w:left w:w="20" w:type="dxa"/>
              <w:bottom w:w="40" w:type="dxa"/>
              <w:right w:w="20" w:type="dxa"/>
            </w:tcMar>
            <w:vAlign w:val="bottom"/>
          </w:tcPr>
          <w:p w14:paraId="5EA1FC49" w14:textId="77777777" w:rsidR="003C66EB" w:rsidRDefault="00D96C4E">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5EA1FC4A" w14:textId="77777777" w:rsidR="003C66EB" w:rsidRDefault="00D96C4E">
            <w:pPr>
              <w:jc w:val="right"/>
              <w:textAlignment w:val="bottom"/>
            </w:pPr>
            <w:r>
              <w:rPr>
                <w:rFonts w:ascii="Arial" w:eastAsia="宋体" w:hAnsi="Arial" w:cs="Arial"/>
                <w:b/>
                <w:bCs/>
                <w:color w:val="000000"/>
                <w:sz w:val="14"/>
                <w:szCs w:val="14"/>
              </w:rPr>
              <w:t>37,066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4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4D" w14:textId="77777777" w:rsidR="003C66EB" w:rsidRDefault="00D96C4E">
            <w:pPr>
              <w:jc w:val="right"/>
              <w:textAlignment w:val="bottom"/>
            </w:pPr>
            <w:r>
              <w:rPr>
                <w:rFonts w:ascii="Arial" w:eastAsia="宋体" w:hAnsi="Arial" w:cs="Arial"/>
                <w:color w:val="000000"/>
                <w:sz w:val="14"/>
                <w:szCs w:val="14"/>
              </w:rPr>
              <w:t>40,693 </w:t>
            </w:r>
          </w:p>
        </w:tc>
        <w:tc>
          <w:tcPr>
            <w:tcW w:w="0" w:type="auto"/>
            <w:shd w:val="clear" w:color="auto" w:fill="CCEEFF"/>
            <w:tcMar>
              <w:top w:w="40" w:type="dxa"/>
              <w:left w:w="0" w:type="dxa"/>
              <w:bottom w:w="40" w:type="dxa"/>
              <w:right w:w="20" w:type="dxa"/>
            </w:tcMar>
            <w:vAlign w:val="bottom"/>
          </w:tcPr>
          <w:p w14:paraId="5EA1FC4E" w14:textId="77777777" w:rsidR="003C66EB" w:rsidRDefault="003C66EB">
            <w:pPr>
              <w:jc w:val="right"/>
              <w:rPr>
                <w:rFonts w:ascii="宋体"/>
              </w:rPr>
            </w:pPr>
          </w:p>
        </w:tc>
        <w:tc>
          <w:tcPr>
            <w:tcW w:w="0" w:type="auto"/>
            <w:shd w:val="clear" w:color="auto" w:fill="auto"/>
          </w:tcPr>
          <w:p w14:paraId="5EA1FC4F" w14:textId="77777777" w:rsidR="003C66EB" w:rsidRDefault="003C66EB">
            <w:pPr>
              <w:rPr>
                <w:rFonts w:ascii="宋体"/>
                <w:vanish/>
              </w:rPr>
            </w:pPr>
          </w:p>
        </w:tc>
        <w:tc>
          <w:tcPr>
            <w:tcW w:w="0" w:type="auto"/>
            <w:shd w:val="clear" w:color="auto" w:fill="auto"/>
          </w:tcPr>
          <w:p w14:paraId="5EA1FC50" w14:textId="77777777" w:rsidR="003C66EB" w:rsidRDefault="003C66EB">
            <w:pPr>
              <w:rPr>
                <w:rFonts w:ascii="宋体"/>
                <w:vanish/>
              </w:rPr>
            </w:pPr>
          </w:p>
        </w:tc>
        <w:tc>
          <w:tcPr>
            <w:tcW w:w="0" w:type="auto"/>
            <w:gridSpan w:val="3"/>
            <w:shd w:val="clear" w:color="auto" w:fill="auto"/>
          </w:tcPr>
          <w:p w14:paraId="5EA1FC51" w14:textId="77777777" w:rsidR="003C66EB" w:rsidRDefault="003C66EB">
            <w:pPr>
              <w:rPr>
                <w:rFonts w:ascii="宋体"/>
                <w:vanish/>
              </w:rPr>
            </w:pPr>
          </w:p>
        </w:tc>
        <w:tc>
          <w:tcPr>
            <w:tcW w:w="0" w:type="auto"/>
            <w:gridSpan w:val="3"/>
            <w:shd w:val="clear" w:color="auto" w:fill="auto"/>
          </w:tcPr>
          <w:p w14:paraId="5EA1FC52" w14:textId="77777777" w:rsidR="003C66EB" w:rsidRDefault="003C66EB">
            <w:pPr>
              <w:rPr>
                <w:rFonts w:ascii="宋体"/>
                <w:vanish/>
              </w:rPr>
            </w:pPr>
          </w:p>
        </w:tc>
      </w:tr>
      <w:tr w:rsidR="003C66EB" w14:paraId="5EA1FC60" w14:textId="77777777">
        <w:tc>
          <w:tcPr>
            <w:tcW w:w="0" w:type="auto"/>
            <w:gridSpan w:val="3"/>
            <w:shd w:val="clear" w:color="auto" w:fill="FFFFFF"/>
            <w:tcMar>
              <w:top w:w="40" w:type="dxa"/>
              <w:left w:w="245" w:type="dxa"/>
              <w:bottom w:w="40" w:type="dxa"/>
              <w:right w:w="20" w:type="dxa"/>
            </w:tcMar>
            <w:vAlign w:val="bottom"/>
          </w:tcPr>
          <w:p w14:paraId="5EA1FC54" w14:textId="77777777" w:rsidR="003C66EB" w:rsidRDefault="00D96C4E">
            <w:pPr>
              <w:textAlignment w:val="bottom"/>
            </w:pPr>
            <w:r>
              <w:rPr>
                <w:rFonts w:ascii="Arial" w:eastAsia="宋体" w:hAnsi="Arial" w:cs="Arial"/>
                <w:b/>
                <w:bCs/>
                <w:color w:val="000000"/>
                <w:sz w:val="14"/>
                <w:szCs w:val="14"/>
              </w:rPr>
              <w:t xml:space="preserve">Average total </w:t>
            </w:r>
            <w:r>
              <w:rPr>
                <w:rFonts w:ascii="Arial" w:eastAsia="宋体" w:hAnsi="Arial" w:cs="Arial"/>
                <w:b/>
                <w:bCs/>
                <w:color w:val="000000"/>
                <w:sz w:val="14"/>
                <w:szCs w:val="14"/>
              </w:rPr>
              <w:t>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EA1FC55"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FC56" w14:textId="77777777" w:rsidR="003C66EB" w:rsidRDefault="00D96C4E">
            <w:pPr>
              <w:jc w:val="right"/>
              <w:textAlignment w:val="bottom"/>
            </w:pPr>
            <w:r>
              <w:rPr>
                <w:rFonts w:ascii="Arial" w:eastAsia="宋体" w:hAnsi="Arial" w:cs="Arial"/>
                <w:b/>
                <w:bCs/>
                <w:color w:val="000000"/>
                <w:sz w:val="14"/>
                <w:szCs w:val="14"/>
              </w:rPr>
              <w:t>296,328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C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58"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1FC5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FC5A" w14:textId="77777777" w:rsidR="003C66EB" w:rsidRDefault="00D96C4E">
            <w:pPr>
              <w:jc w:val="right"/>
              <w:textAlignment w:val="bottom"/>
            </w:pPr>
            <w:r>
              <w:rPr>
                <w:rFonts w:ascii="Arial" w:eastAsia="宋体" w:hAnsi="Arial" w:cs="Arial"/>
                <w:color w:val="000000"/>
                <w:sz w:val="14"/>
                <w:szCs w:val="14"/>
              </w:rPr>
              <w:t>251,181 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C5B" w14:textId="77777777" w:rsidR="003C66EB" w:rsidRDefault="003C66EB">
            <w:pPr>
              <w:jc w:val="right"/>
              <w:rPr>
                <w:rFonts w:ascii="宋体"/>
              </w:rPr>
            </w:pPr>
          </w:p>
        </w:tc>
        <w:tc>
          <w:tcPr>
            <w:tcW w:w="0" w:type="auto"/>
            <w:shd w:val="clear" w:color="auto" w:fill="auto"/>
          </w:tcPr>
          <w:p w14:paraId="5EA1FC5C" w14:textId="77777777" w:rsidR="003C66EB" w:rsidRDefault="003C66EB">
            <w:pPr>
              <w:rPr>
                <w:rFonts w:ascii="宋体"/>
                <w:vanish/>
              </w:rPr>
            </w:pPr>
          </w:p>
        </w:tc>
        <w:tc>
          <w:tcPr>
            <w:tcW w:w="0" w:type="auto"/>
            <w:shd w:val="clear" w:color="auto" w:fill="auto"/>
          </w:tcPr>
          <w:p w14:paraId="5EA1FC5D" w14:textId="77777777" w:rsidR="003C66EB" w:rsidRDefault="003C66EB">
            <w:pPr>
              <w:rPr>
                <w:rFonts w:ascii="宋体"/>
                <w:vanish/>
              </w:rPr>
            </w:pPr>
          </w:p>
        </w:tc>
        <w:tc>
          <w:tcPr>
            <w:tcW w:w="0" w:type="auto"/>
            <w:gridSpan w:val="3"/>
            <w:shd w:val="clear" w:color="auto" w:fill="auto"/>
          </w:tcPr>
          <w:p w14:paraId="5EA1FC5E" w14:textId="77777777" w:rsidR="003C66EB" w:rsidRDefault="003C66EB">
            <w:pPr>
              <w:rPr>
                <w:rFonts w:ascii="宋体"/>
                <w:vanish/>
              </w:rPr>
            </w:pPr>
          </w:p>
        </w:tc>
        <w:tc>
          <w:tcPr>
            <w:tcW w:w="0" w:type="auto"/>
            <w:gridSpan w:val="3"/>
            <w:shd w:val="clear" w:color="auto" w:fill="auto"/>
          </w:tcPr>
          <w:p w14:paraId="5EA1FC5F" w14:textId="77777777" w:rsidR="003C66EB" w:rsidRDefault="003C66EB">
            <w:pPr>
              <w:rPr>
                <w:rFonts w:ascii="宋体"/>
                <w:vanish/>
              </w:rPr>
            </w:pPr>
          </w:p>
        </w:tc>
      </w:tr>
      <w:tr w:rsidR="003C66EB" w14:paraId="5EA1FC69" w14:textId="77777777">
        <w:tc>
          <w:tcPr>
            <w:tcW w:w="0" w:type="auto"/>
            <w:gridSpan w:val="3"/>
            <w:shd w:val="clear" w:color="auto" w:fill="CCEEFF"/>
            <w:tcMar>
              <w:top w:w="40" w:type="dxa"/>
              <w:left w:w="20" w:type="dxa"/>
              <w:bottom w:w="40" w:type="dxa"/>
              <w:right w:w="20" w:type="dxa"/>
            </w:tcMar>
            <w:vAlign w:val="bottom"/>
          </w:tcPr>
          <w:p w14:paraId="5EA1FC61" w14:textId="77777777" w:rsidR="003C66EB" w:rsidRDefault="00D96C4E">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tcPr>
          <w:p w14:paraId="5EA1FC6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C63"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1FC64" w14:textId="77777777" w:rsidR="003C66EB" w:rsidRDefault="003C66EB">
            <w:pPr>
              <w:rPr>
                <w:rFonts w:ascii="宋体"/>
              </w:rPr>
            </w:pPr>
          </w:p>
        </w:tc>
        <w:tc>
          <w:tcPr>
            <w:tcW w:w="0" w:type="auto"/>
            <w:shd w:val="clear" w:color="auto" w:fill="auto"/>
          </w:tcPr>
          <w:p w14:paraId="5EA1FC65" w14:textId="77777777" w:rsidR="003C66EB" w:rsidRDefault="003C66EB">
            <w:pPr>
              <w:rPr>
                <w:rFonts w:ascii="宋体"/>
                <w:vanish/>
              </w:rPr>
            </w:pPr>
          </w:p>
        </w:tc>
        <w:tc>
          <w:tcPr>
            <w:tcW w:w="0" w:type="auto"/>
            <w:shd w:val="clear" w:color="auto" w:fill="auto"/>
          </w:tcPr>
          <w:p w14:paraId="5EA1FC66" w14:textId="77777777" w:rsidR="003C66EB" w:rsidRDefault="003C66EB">
            <w:pPr>
              <w:rPr>
                <w:rFonts w:ascii="宋体"/>
                <w:vanish/>
              </w:rPr>
            </w:pPr>
          </w:p>
        </w:tc>
        <w:tc>
          <w:tcPr>
            <w:tcW w:w="0" w:type="auto"/>
            <w:gridSpan w:val="3"/>
            <w:shd w:val="clear" w:color="auto" w:fill="auto"/>
          </w:tcPr>
          <w:p w14:paraId="5EA1FC67" w14:textId="77777777" w:rsidR="003C66EB" w:rsidRDefault="003C66EB">
            <w:pPr>
              <w:rPr>
                <w:rFonts w:ascii="宋体"/>
                <w:vanish/>
              </w:rPr>
            </w:pPr>
          </w:p>
        </w:tc>
        <w:tc>
          <w:tcPr>
            <w:tcW w:w="0" w:type="auto"/>
            <w:gridSpan w:val="3"/>
            <w:shd w:val="clear" w:color="auto" w:fill="auto"/>
          </w:tcPr>
          <w:p w14:paraId="5EA1FC68" w14:textId="77777777" w:rsidR="003C66EB" w:rsidRDefault="003C66EB">
            <w:pPr>
              <w:rPr>
                <w:rFonts w:ascii="宋体"/>
                <w:vanish/>
              </w:rPr>
            </w:pPr>
          </w:p>
        </w:tc>
      </w:tr>
      <w:tr w:rsidR="003C66EB" w14:paraId="5EA1FC72" w14:textId="77777777">
        <w:tc>
          <w:tcPr>
            <w:tcW w:w="0" w:type="auto"/>
            <w:gridSpan w:val="3"/>
            <w:shd w:val="clear" w:color="auto" w:fill="auto"/>
            <w:tcMar>
              <w:top w:w="40" w:type="dxa"/>
              <w:left w:w="20" w:type="dxa"/>
              <w:bottom w:w="40" w:type="dxa"/>
              <w:right w:w="20" w:type="dxa"/>
            </w:tcMar>
            <w:vAlign w:val="bottom"/>
          </w:tcPr>
          <w:p w14:paraId="5EA1FC6A" w14:textId="77777777" w:rsidR="003C66EB" w:rsidRDefault="00D96C4E">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tcPr>
          <w:p w14:paraId="5EA1FC6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C6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C6D" w14:textId="77777777" w:rsidR="003C66EB" w:rsidRDefault="003C66EB">
            <w:pPr>
              <w:rPr>
                <w:rFonts w:ascii="宋体"/>
              </w:rPr>
            </w:pPr>
          </w:p>
        </w:tc>
        <w:tc>
          <w:tcPr>
            <w:tcW w:w="0" w:type="auto"/>
            <w:shd w:val="clear" w:color="auto" w:fill="auto"/>
          </w:tcPr>
          <w:p w14:paraId="5EA1FC6E" w14:textId="77777777" w:rsidR="003C66EB" w:rsidRDefault="003C66EB">
            <w:pPr>
              <w:rPr>
                <w:rFonts w:ascii="宋体"/>
                <w:vanish/>
              </w:rPr>
            </w:pPr>
          </w:p>
        </w:tc>
        <w:tc>
          <w:tcPr>
            <w:tcW w:w="0" w:type="auto"/>
            <w:shd w:val="clear" w:color="auto" w:fill="auto"/>
          </w:tcPr>
          <w:p w14:paraId="5EA1FC6F" w14:textId="77777777" w:rsidR="003C66EB" w:rsidRDefault="003C66EB">
            <w:pPr>
              <w:rPr>
                <w:rFonts w:ascii="宋体"/>
                <w:vanish/>
              </w:rPr>
            </w:pPr>
          </w:p>
        </w:tc>
        <w:tc>
          <w:tcPr>
            <w:tcW w:w="0" w:type="auto"/>
            <w:gridSpan w:val="3"/>
            <w:shd w:val="clear" w:color="auto" w:fill="auto"/>
          </w:tcPr>
          <w:p w14:paraId="5EA1FC70" w14:textId="77777777" w:rsidR="003C66EB" w:rsidRDefault="003C66EB">
            <w:pPr>
              <w:rPr>
                <w:rFonts w:ascii="宋体"/>
                <w:vanish/>
              </w:rPr>
            </w:pPr>
          </w:p>
        </w:tc>
        <w:tc>
          <w:tcPr>
            <w:tcW w:w="0" w:type="auto"/>
            <w:gridSpan w:val="3"/>
            <w:shd w:val="clear" w:color="auto" w:fill="auto"/>
          </w:tcPr>
          <w:p w14:paraId="5EA1FC71" w14:textId="77777777" w:rsidR="003C66EB" w:rsidRDefault="003C66EB">
            <w:pPr>
              <w:rPr>
                <w:rFonts w:ascii="宋体"/>
                <w:vanish/>
              </w:rPr>
            </w:pPr>
          </w:p>
        </w:tc>
      </w:tr>
      <w:tr w:rsidR="003C66EB" w14:paraId="5EA1FC7F" w14:textId="77777777">
        <w:tc>
          <w:tcPr>
            <w:tcW w:w="0" w:type="auto"/>
            <w:gridSpan w:val="3"/>
            <w:shd w:val="clear" w:color="auto" w:fill="CCEEFF"/>
            <w:tcMar>
              <w:top w:w="40" w:type="dxa"/>
              <w:left w:w="245" w:type="dxa"/>
              <w:bottom w:w="40" w:type="dxa"/>
              <w:right w:w="20" w:type="dxa"/>
            </w:tcMar>
            <w:vAlign w:val="bottom"/>
          </w:tcPr>
          <w:p w14:paraId="5EA1FC73" w14:textId="77777777" w:rsidR="003C66EB" w:rsidRDefault="00D96C4E">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5EA1FC7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FC75" w14:textId="77777777" w:rsidR="003C66EB" w:rsidRDefault="00D96C4E">
            <w:pPr>
              <w:jc w:val="right"/>
              <w:textAlignment w:val="bottom"/>
            </w:pPr>
            <w:r>
              <w:rPr>
                <w:rFonts w:ascii="Arial" w:eastAsia="宋体" w:hAnsi="Arial" w:cs="Arial"/>
                <w:b/>
                <w:bCs/>
                <w:color w:val="000000"/>
                <w:sz w:val="14"/>
                <w:szCs w:val="14"/>
              </w:rPr>
              <w:t>100,974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7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FC78"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FC79" w14:textId="77777777" w:rsidR="003C66EB" w:rsidRDefault="00D96C4E">
            <w:pPr>
              <w:jc w:val="right"/>
              <w:textAlignment w:val="bottom"/>
            </w:pPr>
            <w:r>
              <w:rPr>
                <w:rFonts w:ascii="Arial" w:eastAsia="宋体" w:hAnsi="Arial" w:cs="Arial"/>
                <w:color w:val="000000"/>
                <w:sz w:val="14"/>
                <w:szCs w:val="14"/>
              </w:rPr>
              <w:t>80,247 </w:t>
            </w:r>
          </w:p>
        </w:tc>
        <w:tc>
          <w:tcPr>
            <w:tcW w:w="0" w:type="auto"/>
            <w:shd w:val="clear" w:color="auto" w:fill="CCEEFF"/>
            <w:tcMar>
              <w:top w:w="40" w:type="dxa"/>
              <w:left w:w="0" w:type="dxa"/>
              <w:bottom w:w="40" w:type="dxa"/>
              <w:right w:w="20" w:type="dxa"/>
            </w:tcMar>
            <w:vAlign w:val="bottom"/>
          </w:tcPr>
          <w:p w14:paraId="5EA1FC7A" w14:textId="77777777" w:rsidR="003C66EB" w:rsidRDefault="003C66EB">
            <w:pPr>
              <w:jc w:val="right"/>
              <w:rPr>
                <w:rFonts w:ascii="宋体"/>
              </w:rPr>
            </w:pPr>
          </w:p>
        </w:tc>
        <w:tc>
          <w:tcPr>
            <w:tcW w:w="0" w:type="auto"/>
            <w:shd w:val="clear" w:color="auto" w:fill="auto"/>
          </w:tcPr>
          <w:p w14:paraId="5EA1FC7B" w14:textId="77777777" w:rsidR="003C66EB" w:rsidRDefault="003C66EB">
            <w:pPr>
              <w:rPr>
                <w:rFonts w:ascii="宋体"/>
                <w:vanish/>
              </w:rPr>
            </w:pPr>
          </w:p>
        </w:tc>
        <w:tc>
          <w:tcPr>
            <w:tcW w:w="0" w:type="auto"/>
            <w:shd w:val="clear" w:color="auto" w:fill="auto"/>
          </w:tcPr>
          <w:p w14:paraId="5EA1FC7C" w14:textId="77777777" w:rsidR="003C66EB" w:rsidRDefault="003C66EB">
            <w:pPr>
              <w:rPr>
                <w:rFonts w:ascii="宋体"/>
                <w:vanish/>
              </w:rPr>
            </w:pPr>
          </w:p>
        </w:tc>
        <w:tc>
          <w:tcPr>
            <w:tcW w:w="0" w:type="auto"/>
            <w:gridSpan w:val="3"/>
            <w:shd w:val="clear" w:color="auto" w:fill="auto"/>
          </w:tcPr>
          <w:p w14:paraId="5EA1FC7D" w14:textId="77777777" w:rsidR="003C66EB" w:rsidRDefault="003C66EB">
            <w:pPr>
              <w:rPr>
                <w:rFonts w:ascii="宋体"/>
                <w:vanish/>
              </w:rPr>
            </w:pPr>
          </w:p>
        </w:tc>
        <w:tc>
          <w:tcPr>
            <w:tcW w:w="0" w:type="auto"/>
            <w:gridSpan w:val="3"/>
            <w:shd w:val="clear" w:color="auto" w:fill="auto"/>
          </w:tcPr>
          <w:p w14:paraId="5EA1FC7E" w14:textId="77777777" w:rsidR="003C66EB" w:rsidRDefault="003C66EB">
            <w:pPr>
              <w:rPr>
                <w:rFonts w:ascii="宋体"/>
                <w:vanish/>
              </w:rPr>
            </w:pPr>
          </w:p>
        </w:tc>
      </w:tr>
      <w:tr w:rsidR="003C66EB" w14:paraId="5EA1FC8A" w14:textId="77777777">
        <w:tc>
          <w:tcPr>
            <w:tcW w:w="0" w:type="auto"/>
            <w:gridSpan w:val="3"/>
            <w:shd w:val="clear" w:color="auto" w:fill="FFFFFF"/>
            <w:tcMar>
              <w:top w:w="40" w:type="dxa"/>
              <w:left w:w="245" w:type="dxa"/>
              <w:bottom w:w="40" w:type="dxa"/>
              <w:right w:w="20" w:type="dxa"/>
            </w:tcMar>
            <w:vAlign w:val="bottom"/>
          </w:tcPr>
          <w:p w14:paraId="5EA1FC80" w14:textId="77777777" w:rsidR="003C66EB" w:rsidRDefault="00D96C4E">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5EA1FC81" w14:textId="77777777" w:rsidR="003C66EB" w:rsidRDefault="00D96C4E">
            <w:pPr>
              <w:jc w:val="right"/>
              <w:textAlignment w:val="bottom"/>
            </w:pPr>
            <w:r>
              <w:rPr>
                <w:rFonts w:ascii="Arial" w:eastAsia="宋体" w:hAnsi="Arial" w:cs="Arial"/>
                <w:b/>
                <w:bCs/>
                <w:color w:val="000000"/>
                <w:sz w:val="14"/>
                <w:szCs w:val="14"/>
              </w:rPr>
              <w:t>78,433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8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84" w14:textId="77777777" w:rsidR="003C66EB" w:rsidRDefault="00D96C4E">
            <w:pPr>
              <w:jc w:val="right"/>
              <w:textAlignment w:val="bottom"/>
            </w:pPr>
            <w:r>
              <w:rPr>
                <w:rFonts w:ascii="Arial" w:eastAsia="宋体" w:hAnsi="Arial" w:cs="Arial"/>
                <w:color w:val="000000"/>
                <w:sz w:val="14"/>
                <w:szCs w:val="14"/>
              </w:rPr>
              <w:t>64,340 </w:t>
            </w:r>
          </w:p>
        </w:tc>
        <w:tc>
          <w:tcPr>
            <w:tcW w:w="0" w:type="auto"/>
            <w:shd w:val="clear" w:color="auto" w:fill="FFFFFF"/>
            <w:tcMar>
              <w:top w:w="40" w:type="dxa"/>
              <w:left w:w="0" w:type="dxa"/>
              <w:bottom w:w="40" w:type="dxa"/>
              <w:right w:w="20" w:type="dxa"/>
            </w:tcMar>
            <w:vAlign w:val="bottom"/>
          </w:tcPr>
          <w:p w14:paraId="5EA1FC85" w14:textId="77777777" w:rsidR="003C66EB" w:rsidRDefault="003C66EB">
            <w:pPr>
              <w:jc w:val="right"/>
              <w:rPr>
                <w:rFonts w:ascii="宋体"/>
              </w:rPr>
            </w:pPr>
          </w:p>
        </w:tc>
        <w:tc>
          <w:tcPr>
            <w:tcW w:w="0" w:type="auto"/>
            <w:shd w:val="clear" w:color="auto" w:fill="auto"/>
          </w:tcPr>
          <w:p w14:paraId="5EA1FC86" w14:textId="77777777" w:rsidR="003C66EB" w:rsidRDefault="003C66EB">
            <w:pPr>
              <w:rPr>
                <w:rFonts w:ascii="宋体"/>
                <w:vanish/>
              </w:rPr>
            </w:pPr>
          </w:p>
        </w:tc>
        <w:tc>
          <w:tcPr>
            <w:tcW w:w="0" w:type="auto"/>
            <w:shd w:val="clear" w:color="auto" w:fill="auto"/>
          </w:tcPr>
          <w:p w14:paraId="5EA1FC87" w14:textId="77777777" w:rsidR="003C66EB" w:rsidRDefault="003C66EB">
            <w:pPr>
              <w:rPr>
                <w:rFonts w:ascii="宋体"/>
                <w:vanish/>
              </w:rPr>
            </w:pPr>
          </w:p>
        </w:tc>
        <w:tc>
          <w:tcPr>
            <w:tcW w:w="0" w:type="auto"/>
            <w:gridSpan w:val="3"/>
            <w:shd w:val="clear" w:color="auto" w:fill="auto"/>
          </w:tcPr>
          <w:p w14:paraId="5EA1FC88" w14:textId="77777777" w:rsidR="003C66EB" w:rsidRDefault="003C66EB">
            <w:pPr>
              <w:rPr>
                <w:rFonts w:ascii="宋体"/>
                <w:vanish/>
              </w:rPr>
            </w:pPr>
          </w:p>
        </w:tc>
        <w:tc>
          <w:tcPr>
            <w:tcW w:w="0" w:type="auto"/>
            <w:gridSpan w:val="3"/>
            <w:shd w:val="clear" w:color="auto" w:fill="auto"/>
          </w:tcPr>
          <w:p w14:paraId="5EA1FC89" w14:textId="77777777" w:rsidR="003C66EB" w:rsidRDefault="003C66EB">
            <w:pPr>
              <w:rPr>
                <w:rFonts w:ascii="宋体"/>
                <w:vanish/>
              </w:rPr>
            </w:pPr>
          </w:p>
        </w:tc>
      </w:tr>
      <w:tr w:rsidR="003C66EB" w14:paraId="5EA1FC95" w14:textId="77777777">
        <w:tc>
          <w:tcPr>
            <w:tcW w:w="0" w:type="auto"/>
            <w:gridSpan w:val="3"/>
            <w:shd w:val="clear" w:color="auto" w:fill="CCEEFF"/>
            <w:tcMar>
              <w:top w:w="40" w:type="dxa"/>
              <w:left w:w="20" w:type="dxa"/>
              <w:bottom w:w="40" w:type="dxa"/>
              <w:right w:w="20" w:type="dxa"/>
            </w:tcMar>
            <w:vAlign w:val="bottom"/>
          </w:tcPr>
          <w:p w14:paraId="5EA1FC8B" w14:textId="77777777" w:rsidR="003C66EB" w:rsidRDefault="00D96C4E">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C8C" w14:textId="77777777" w:rsidR="003C66EB" w:rsidRDefault="00D96C4E">
            <w:pPr>
              <w:jc w:val="right"/>
              <w:textAlignment w:val="bottom"/>
            </w:pPr>
            <w:r>
              <w:rPr>
                <w:rFonts w:ascii="Arial" w:eastAsia="宋体" w:hAnsi="Arial" w:cs="Arial"/>
                <w:b/>
                <w:bCs/>
                <w:color w:val="000000"/>
                <w:sz w:val="14"/>
                <w:szCs w:val="14"/>
              </w:rPr>
              <w:t>179,407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C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8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C8F" w14:textId="77777777" w:rsidR="003C66EB" w:rsidRDefault="00D96C4E">
            <w:pPr>
              <w:jc w:val="right"/>
              <w:textAlignment w:val="bottom"/>
            </w:pPr>
            <w:r>
              <w:rPr>
                <w:rFonts w:ascii="Arial" w:eastAsia="宋体" w:hAnsi="Arial" w:cs="Arial"/>
                <w:color w:val="000000"/>
                <w:sz w:val="14"/>
                <w:szCs w:val="14"/>
              </w:rPr>
              <w:t>144,587 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C90" w14:textId="77777777" w:rsidR="003C66EB" w:rsidRDefault="003C66EB">
            <w:pPr>
              <w:jc w:val="right"/>
              <w:rPr>
                <w:rFonts w:ascii="宋体"/>
              </w:rPr>
            </w:pPr>
          </w:p>
        </w:tc>
        <w:tc>
          <w:tcPr>
            <w:tcW w:w="0" w:type="auto"/>
            <w:shd w:val="clear" w:color="auto" w:fill="auto"/>
          </w:tcPr>
          <w:p w14:paraId="5EA1FC91" w14:textId="77777777" w:rsidR="003C66EB" w:rsidRDefault="003C66EB">
            <w:pPr>
              <w:rPr>
                <w:rFonts w:ascii="宋体"/>
                <w:vanish/>
              </w:rPr>
            </w:pPr>
          </w:p>
        </w:tc>
        <w:tc>
          <w:tcPr>
            <w:tcW w:w="0" w:type="auto"/>
            <w:shd w:val="clear" w:color="auto" w:fill="auto"/>
          </w:tcPr>
          <w:p w14:paraId="5EA1FC92" w14:textId="77777777" w:rsidR="003C66EB" w:rsidRDefault="003C66EB">
            <w:pPr>
              <w:rPr>
                <w:rFonts w:ascii="宋体"/>
                <w:vanish/>
              </w:rPr>
            </w:pPr>
          </w:p>
        </w:tc>
        <w:tc>
          <w:tcPr>
            <w:tcW w:w="0" w:type="auto"/>
            <w:gridSpan w:val="3"/>
            <w:shd w:val="clear" w:color="auto" w:fill="auto"/>
          </w:tcPr>
          <w:p w14:paraId="5EA1FC93" w14:textId="77777777" w:rsidR="003C66EB" w:rsidRDefault="003C66EB">
            <w:pPr>
              <w:rPr>
                <w:rFonts w:ascii="宋体"/>
                <w:vanish/>
              </w:rPr>
            </w:pPr>
          </w:p>
        </w:tc>
        <w:tc>
          <w:tcPr>
            <w:tcW w:w="0" w:type="auto"/>
            <w:gridSpan w:val="3"/>
            <w:shd w:val="clear" w:color="auto" w:fill="auto"/>
          </w:tcPr>
          <w:p w14:paraId="5EA1FC94" w14:textId="77777777" w:rsidR="003C66EB" w:rsidRDefault="003C66EB">
            <w:pPr>
              <w:rPr>
                <w:rFonts w:ascii="宋体"/>
                <w:vanish/>
              </w:rPr>
            </w:pPr>
          </w:p>
        </w:tc>
      </w:tr>
      <w:tr w:rsidR="003C66EB" w14:paraId="5EA1FCA0" w14:textId="77777777">
        <w:tc>
          <w:tcPr>
            <w:tcW w:w="0" w:type="auto"/>
            <w:gridSpan w:val="3"/>
            <w:shd w:val="clear" w:color="auto" w:fill="FFFFFF"/>
            <w:tcMar>
              <w:top w:w="40" w:type="dxa"/>
              <w:left w:w="20" w:type="dxa"/>
              <w:bottom w:w="40" w:type="dxa"/>
              <w:right w:w="20" w:type="dxa"/>
            </w:tcMar>
            <w:vAlign w:val="bottom"/>
          </w:tcPr>
          <w:p w14:paraId="5EA1FC96" w14:textId="77777777" w:rsidR="003C66EB" w:rsidRDefault="00D96C4E">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EA1FC97" w14:textId="77777777" w:rsidR="003C66EB" w:rsidRDefault="00D96C4E">
            <w:pPr>
              <w:jc w:val="right"/>
              <w:textAlignment w:val="bottom"/>
            </w:pPr>
            <w:r>
              <w:rPr>
                <w:rFonts w:ascii="Arial" w:eastAsia="宋体" w:hAnsi="Arial" w:cs="Arial"/>
                <w:b/>
                <w:bCs/>
                <w:color w:val="000000"/>
                <w:sz w:val="14"/>
                <w:szCs w:val="14"/>
              </w:rPr>
              <w:t>1,017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9A" w14:textId="77777777" w:rsidR="003C66EB" w:rsidRDefault="00D96C4E">
            <w:pPr>
              <w:jc w:val="right"/>
              <w:textAlignment w:val="bottom"/>
            </w:pPr>
            <w:r>
              <w:rPr>
                <w:rFonts w:ascii="Arial" w:eastAsia="宋体" w:hAnsi="Arial" w:cs="Arial"/>
                <w:color w:val="000000"/>
                <w:sz w:val="14"/>
                <w:szCs w:val="14"/>
              </w:rPr>
              <w:t>1,773 </w:t>
            </w:r>
          </w:p>
        </w:tc>
        <w:tc>
          <w:tcPr>
            <w:tcW w:w="0" w:type="auto"/>
            <w:shd w:val="clear" w:color="auto" w:fill="FFFFFF"/>
            <w:tcMar>
              <w:top w:w="40" w:type="dxa"/>
              <w:left w:w="0" w:type="dxa"/>
              <w:bottom w:w="40" w:type="dxa"/>
              <w:right w:w="20" w:type="dxa"/>
            </w:tcMar>
            <w:vAlign w:val="bottom"/>
          </w:tcPr>
          <w:p w14:paraId="5EA1FC9B" w14:textId="77777777" w:rsidR="003C66EB" w:rsidRDefault="003C66EB">
            <w:pPr>
              <w:jc w:val="right"/>
              <w:rPr>
                <w:rFonts w:ascii="宋体"/>
              </w:rPr>
            </w:pPr>
          </w:p>
        </w:tc>
        <w:tc>
          <w:tcPr>
            <w:tcW w:w="0" w:type="auto"/>
            <w:shd w:val="clear" w:color="auto" w:fill="auto"/>
          </w:tcPr>
          <w:p w14:paraId="5EA1FC9C" w14:textId="77777777" w:rsidR="003C66EB" w:rsidRDefault="003C66EB">
            <w:pPr>
              <w:rPr>
                <w:rFonts w:ascii="宋体"/>
                <w:vanish/>
              </w:rPr>
            </w:pPr>
          </w:p>
        </w:tc>
        <w:tc>
          <w:tcPr>
            <w:tcW w:w="0" w:type="auto"/>
            <w:shd w:val="clear" w:color="auto" w:fill="auto"/>
          </w:tcPr>
          <w:p w14:paraId="5EA1FC9D" w14:textId="77777777" w:rsidR="003C66EB" w:rsidRDefault="003C66EB">
            <w:pPr>
              <w:rPr>
                <w:rFonts w:ascii="宋体"/>
                <w:vanish/>
              </w:rPr>
            </w:pPr>
          </w:p>
        </w:tc>
        <w:tc>
          <w:tcPr>
            <w:tcW w:w="0" w:type="auto"/>
            <w:gridSpan w:val="3"/>
            <w:shd w:val="clear" w:color="auto" w:fill="auto"/>
          </w:tcPr>
          <w:p w14:paraId="5EA1FC9E" w14:textId="77777777" w:rsidR="003C66EB" w:rsidRDefault="003C66EB">
            <w:pPr>
              <w:rPr>
                <w:rFonts w:ascii="宋体"/>
                <w:vanish/>
              </w:rPr>
            </w:pPr>
          </w:p>
        </w:tc>
        <w:tc>
          <w:tcPr>
            <w:tcW w:w="0" w:type="auto"/>
            <w:gridSpan w:val="3"/>
            <w:shd w:val="clear" w:color="auto" w:fill="auto"/>
          </w:tcPr>
          <w:p w14:paraId="5EA1FC9F" w14:textId="77777777" w:rsidR="003C66EB" w:rsidRDefault="003C66EB">
            <w:pPr>
              <w:rPr>
                <w:rFonts w:ascii="宋体"/>
                <w:vanish/>
              </w:rPr>
            </w:pPr>
          </w:p>
        </w:tc>
      </w:tr>
      <w:tr w:rsidR="003C66EB" w14:paraId="5EA1FCAB" w14:textId="77777777">
        <w:tc>
          <w:tcPr>
            <w:tcW w:w="0" w:type="auto"/>
            <w:gridSpan w:val="3"/>
            <w:shd w:val="clear" w:color="auto" w:fill="CCEEFF"/>
            <w:tcMar>
              <w:top w:w="40" w:type="dxa"/>
              <w:left w:w="20" w:type="dxa"/>
              <w:bottom w:w="40" w:type="dxa"/>
              <w:right w:w="20" w:type="dxa"/>
            </w:tcMar>
            <w:vAlign w:val="bottom"/>
          </w:tcPr>
          <w:p w14:paraId="5EA1FCA1" w14:textId="77777777" w:rsidR="003C66EB" w:rsidRDefault="00D96C4E">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5EA1FCA2" w14:textId="77777777" w:rsidR="003C66EB" w:rsidRDefault="00D96C4E">
            <w:pPr>
              <w:jc w:val="right"/>
              <w:textAlignment w:val="bottom"/>
            </w:pPr>
            <w:r>
              <w:rPr>
                <w:rFonts w:ascii="Arial" w:eastAsia="宋体" w:hAnsi="Arial" w:cs="Arial"/>
                <w:b/>
                <w:bCs/>
                <w:color w:val="000000"/>
                <w:sz w:val="14"/>
                <w:szCs w:val="14"/>
              </w:rPr>
              <w:t>1,264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A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A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A5" w14:textId="77777777" w:rsidR="003C66EB" w:rsidRDefault="00D96C4E">
            <w:pPr>
              <w:jc w:val="right"/>
              <w:textAlignment w:val="bottom"/>
            </w:pPr>
            <w:r>
              <w:rPr>
                <w:rFonts w:ascii="Arial" w:eastAsia="宋体" w:hAnsi="Arial" w:cs="Arial"/>
                <w:color w:val="000000"/>
                <w:sz w:val="14"/>
                <w:szCs w:val="14"/>
              </w:rPr>
              <w:t>2,187 </w:t>
            </w:r>
          </w:p>
        </w:tc>
        <w:tc>
          <w:tcPr>
            <w:tcW w:w="0" w:type="auto"/>
            <w:shd w:val="clear" w:color="auto" w:fill="CCEEFF"/>
            <w:tcMar>
              <w:top w:w="40" w:type="dxa"/>
              <w:left w:w="0" w:type="dxa"/>
              <w:bottom w:w="40" w:type="dxa"/>
              <w:right w:w="20" w:type="dxa"/>
            </w:tcMar>
            <w:vAlign w:val="bottom"/>
          </w:tcPr>
          <w:p w14:paraId="5EA1FCA6" w14:textId="77777777" w:rsidR="003C66EB" w:rsidRDefault="003C66EB">
            <w:pPr>
              <w:jc w:val="right"/>
              <w:rPr>
                <w:rFonts w:ascii="宋体"/>
              </w:rPr>
            </w:pPr>
          </w:p>
        </w:tc>
        <w:tc>
          <w:tcPr>
            <w:tcW w:w="0" w:type="auto"/>
            <w:shd w:val="clear" w:color="auto" w:fill="auto"/>
          </w:tcPr>
          <w:p w14:paraId="5EA1FCA7" w14:textId="77777777" w:rsidR="003C66EB" w:rsidRDefault="003C66EB">
            <w:pPr>
              <w:rPr>
                <w:rFonts w:ascii="宋体"/>
                <w:vanish/>
              </w:rPr>
            </w:pPr>
          </w:p>
        </w:tc>
        <w:tc>
          <w:tcPr>
            <w:tcW w:w="0" w:type="auto"/>
            <w:shd w:val="clear" w:color="auto" w:fill="auto"/>
          </w:tcPr>
          <w:p w14:paraId="5EA1FCA8" w14:textId="77777777" w:rsidR="003C66EB" w:rsidRDefault="003C66EB">
            <w:pPr>
              <w:rPr>
                <w:rFonts w:ascii="宋体"/>
                <w:vanish/>
              </w:rPr>
            </w:pPr>
          </w:p>
        </w:tc>
        <w:tc>
          <w:tcPr>
            <w:tcW w:w="0" w:type="auto"/>
            <w:gridSpan w:val="3"/>
            <w:shd w:val="clear" w:color="auto" w:fill="auto"/>
          </w:tcPr>
          <w:p w14:paraId="5EA1FCA9" w14:textId="77777777" w:rsidR="003C66EB" w:rsidRDefault="003C66EB">
            <w:pPr>
              <w:rPr>
                <w:rFonts w:ascii="宋体"/>
                <w:vanish/>
              </w:rPr>
            </w:pPr>
          </w:p>
        </w:tc>
        <w:tc>
          <w:tcPr>
            <w:tcW w:w="0" w:type="auto"/>
            <w:gridSpan w:val="3"/>
            <w:shd w:val="clear" w:color="auto" w:fill="auto"/>
          </w:tcPr>
          <w:p w14:paraId="5EA1FCAA" w14:textId="77777777" w:rsidR="003C66EB" w:rsidRDefault="003C66EB">
            <w:pPr>
              <w:rPr>
                <w:rFonts w:ascii="宋体"/>
                <w:vanish/>
              </w:rPr>
            </w:pPr>
          </w:p>
        </w:tc>
      </w:tr>
      <w:tr w:rsidR="003C66EB" w14:paraId="5EA1FCB6" w14:textId="77777777">
        <w:tc>
          <w:tcPr>
            <w:tcW w:w="0" w:type="auto"/>
            <w:gridSpan w:val="3"/>
            <w:shd w:val="clear" w:color="auto" w:fill="FFFFFF"/>
            <w:tcMar>
              <w:top w:w="40" w:type="dxa"/>
              <w:left w:w="20" w:type="dxa"/>
              <w:bottom w:w="40" w:type="dxa"/>
              <w:right w:w="20" w:type="dxa"/>
            </w:tcMar>
            <w:vAlign w:val="bottom"/>
          </w:tcPr>
          <w:p w14:paraId="5EA1FCAC" w14:textId="77777777" w:rsidR="003C66EB" w:rsidRDefault="00D96C4E">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5EA1FCAD" w14:textId="77777777" w:rsidR="003C66EB" w:rsidRDefault="00D96C4E">
            <w:pPr>
              <w:jc w:val="right"/>
              <w:textAlignment w:val="bottom"/>
            </w:pPr>
            <w:r>
              <w:rPr>
                <w:rFonts w:ascii="Arial" w:eastAsia="宋体" w:hAnsi="Arial" w:cs="Arial"/>
                <w:b/>
                <w:bCs/>
                <w:color w:val="000000"/>
                <w:sz w:val="14"/>
                <w:szCs w:val="14"/>
              </w:rPr>
              <w:t>764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A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B0" w14:textId="77777777" w:rsidR="003C66EB" w:rsidRDefault="00D96C4E">
            <w:pPr>
              <w:jc w:val="right"/>
              <w:textAlignment w:val="bottom"/>
            </w:pPr>
            <w:r>
              <w:rPr>
                <w:rFonts w:ascii="Arial" w:eastAsia="宋体" w:hAnsi="Arial" w:cs="Arial"/>
                <w:color w:val="000000"/>
                <w:sz w:val="14"/>
                <w:szCs w:val="14"/>
              </w:rPr>
              <w:t>2,960 </w:t>
            </w:r>
          </w:p>
        </w:tc>
        <w:tc>
          <w:tcPr>
            <w:tcW w:w="0" w:type="auto"/>
            <w:shd w:val="clear" w:color="auto" w:fill="FFFFFF"/>
            <w:tcMar>
              <w:top w:w="40" w:type="dxa"/>
              <w:left w:w="0" w:type="dxa"/>
              <w:bottom w:w="40" w:type="dxa"/>
              <w:right w:w="20" w:type="dxa"/>
            </w:tcMar>
            <w:vAlign w:val="bottom"/>
          </w:tcPr>
          <w:p w14:paraId="5EA1FCB1" w14:textId="77777777" w:rsidR="003C66EB" w:rsidRDefault="003C66EB">
            <w:pPr>
              <w:jc w:val="right"/>
              <w:rPr>
                <w:rFonts w:ascii="宋体"/>
              </w:rPr>
            </w:pPr>
          </w:p>
        </w:tc>
        <w:tc>
          <w:tcPr>
            <w:tcW w:w="0" w:type="auto"/>
            <w:shd w:val="clear" w:color="auto" w:fill="auto"/>
          </w:tcPr>
          <w:p w14:paraId="5EA1FCB2" w14:textId="77777777" w:rsidR="003C66EB" w:rsidRDefault="003C66EB">
            <w:pPr>
              <w:rPr>
                <w:rFonts w:ascii="宋体"/>
                <w:vanish/>
              </w:rPr>
            </w:pPr>
          </w:p>
        </w:tc>
        <w:tc>
          <w:tcPr>
            <w:tcW w:w="0" w:type="auto"/>
            <w:shd w:val="clear" w:color="auto" w:fill="auto"/>
          </w:tcPr>
          <w:p w14:paraId="5EA1FCB3" w14:textId="77777777" w:rsidR="003C66EB" w:rsidRDefault="003C66EB">
            <w:pPr>
              <w:rPr>
                <w:rFonts w:ascii="宋体"/>
                <w:vanish/>
              </w:rPr>
            </w:pPr>
          </w:p>
        </w:tc>
        <w:tc>
          <w:tcPr>
            <w:tcW w:w="0" w:type="auto"/>
            <w:gridSpan w:val="3"/>
            <w:shd w:val="clear" w:color="auto" w:fill="auto"/>
          </w:tcPr>
          <w:p w14:paraId="5EA1FCB4" w14:textId="77777777" w:rsidR="003C66EB" w:rsidRDefault="003C66EB">
            <w:pPr>
              <w:rPr>
                <w:rFonts w:ascii="宋体"/>
                <w:vanish/>
              </w:rPr>
            </w:pPr>
          </w:p>
        </w:tc>
        <w:tc>
          <w:tcPr>
            <w:tcW w:w="0" w:type="auto"/>
            <w:gridSpan w:val="3"/>
            <w:shd w:val="clear" w:color="auto" w:fill="auto"/>
          </w:tcPr>
          <w:p w14:paraId="5EA1FCB5" w14:textId="77777777" w:rsidR="003C66EB" w:rsidRDefault="003C66EB">
            <w:pPr>
              <w:rPr>
                <w:rFonts w:ascii="宋体"/>
                <w:vanish/>
              </w:rPr>
            </w:pPr>
          </w:p>
        </w:tc>
      </w:tr>
      <w:tr w:rsidR="003C66EB" w14:paraId="5EA1FCC1" w14:textId="77777777">
        <w:tc>
          <w:tcPr>
            <w:tcW w:w="0" w:type="auto"/>
            <w:gridSpan w:val="3"/>
            <w:shd w:val="clear" w:color="auto" w:fill="CCEEFF"/>
            <w:tcMar>
              <w:top w:w="40" w:type="dxa"/>
              <w:left w:w="20" w:type="dxa"/>
              <w:bottom w:w="40" w:type="dxa"/>
              <w:right w:w="20" w:type="dxa"/>
            </w:tcMar>
            <w:vAlign w:val="bottom"/>
          </w:tcPr>
          <w:p w14:paraId="5EA1FCB7" w14:textId="77777777" w:rsidR="003C66EB" w:rsidRDefault="00D96C4E">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5EA1FCB8" w14:textId="77777777" w:rsidR="003C66EB" w:rsidRDefault="00D96C4E">
            <w:pPr>
              <w:jc w:val="right"/>
              <w:textAlignment w:val="bottom"/>
            </w:pPr>
            <w:r>
              <w:rPr>
                <w:rFonts w:ascii="Arial" w:eastAsia="宋体" w:hAnsi="Arial" w:cs="Arial"/>
                <w:b/>
                <w:bCs/>
                <w:color w:val="000000"/>
                <w:sz w:val="14"/>
                <w:szCs w:val="14"/>
              </w:rPr>
              <w:t>13,819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B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BB" w14:textId="77777777" w:rsidR="003C66EB" w:rsidRDefault="00D96C4E">
            <w:pPr>
              <w:jc w:val="right"/>
              <w:textAlignment w:val="bottom"/>
            </w:pPr>
            <w:r>
              <w:rPr>
                <w:rFonts w:ascii="Arial" w:eastAsia="宋体" w:hAnsi="Arial" w:cs="Arial"/>
                <w:color w:val="000000"/>
                <w:sz w:val="14"/>
                <w:szCs w:val="14"/>
              </w:rPr>
              <w:t>13,288 </w:t>
            </w:r>
          </w:p>
        </w:tc>
        <w:tc>
          <w:tcPr>
            <w:tcW w:w="0" w:type="auto"/>
            <w:shd w:val="clear" w:color="auto" w:fill="CCEEFF"/>
            <w:tcMar>
              <w:top w:w="40" w:type="dxa"/>
              <w:left w:w="0" w:type="dxa"/>
              <w:bottom w:w="40" w:type="dxa"/>
              <w:right w:w="20" w:type="dxa"/>
            </w:tcMar>
            <w:vAlign w:val="bottom"/>
          </w:tcPr>
          <w:p w14:paraId="5EA1FCBC" w14:textId="77777777" w:rsidR="003C66EB" w:rsidRDefault="003C66EB">
            <w:pPr>
              <w:jc w:val="right"/>
              <w:rPr>
                <w:rFonts w:ascii="宋体"/>
              </w:rPr>
            </w:pPr>
          </w:p>
        </w:tc>
        <w:tc>
          <w:tcPr>
            <w:tcW w:w="0" w:type="auto"/>
            <w:shd w:val="clear" w:color="auto" w:fill="auto"/>
          </w:tcPr>
          <w:p w14:paraId="5EA1FCBD" w14:textId="77777777" w:rsidR="003C66EB" w:rsidRDefault="003C66EB">
            <w:pPr>
              <w:rPr>
                <w:rFonts w:ascii="宋体"/>
                <w:vanish/>
              </w:rPr>
            </w:pPr>
          </w:p>
        </w:tc>
        <w:tc>
          <w:tcPr>
            <w:tcW w:w="0" w:type="auto"/>
            <w:shd w:val="clear" w:color="auto" w:fill="auto"/>
          </w:tcPr>
          <w:p w14:paraId="5EA1FCBE" w14:textId="77777777" w:rsidR="003C66EB" w:rsidRDefault="003C66EB">
            <w:pPr>
              <w:rPr>
                <w:rFonts w:ascii="宋体"/>
                <w:vanish/>
              </w:rPr>
            </w:pPr>
          </w:p>
        </w:tc>
        <w:tc>
          <w:tcPr>
            <w:tcW w:w="0" w:type="auto"/>
            <w:gridSpan w:val="3"/>
            <w:shd w:val="clear" w:color="auto" w:fill="auto"/>
          </w:tcPr>
          <w:p w14:paraId="5EA1FCBF" w14:textId="77777777" w:rsidR="003C66EB" w:rsidRDefault="003C66EB">
            <w:pPr>
              <w:rPr>
                <w:rFonts w:ascii="宋体"/>
                <w:vanish/>
              </w:rPr>
            </w:pPr>
          </w:p>
        </w:tc>
        <w:tc>
          <w:tcPr>
            <w:tcW w:w="0" w:type="auto"/>
            <w:gridSpan w:val="3"/>
            <w:shd w:val="clear" w:color="auto" w:fill="auto"/>
          </w:tcPr>
          <w:p w14:paraId="5EA1FCC0" w14:textId="77777777" w:rsidR="003C66EB" w:rsidRDefault="003C66EB">
            <w:pPr>
              <w:rPr>
                <w:rFonts w:ascii="宋体"/>
                <w:vanish/>
              </w:rPr>
            </w:pPr>
          </w:p>
        </w:tc>
      </w:tr>
      <w:tr w:rsidR="003C66EB" w14:paraId="5EA1FCCC" w14:textId="77777777">
        <w:tc>
          <w:tcPr>
            <w:tcW w:w="0" w:type="auto"/>
            <w:gridSpan w:val="3"/>
            <w:shd w:val="clear" w:color="auto" w:fill="FFFFFF"/>
            <w:tcMar>
              <w:top w:w="40" w:type="dxa"/>
              <w:left w:w="20" w:type="dxa"/>
              <w:bottom w:w="40" w:type="dxa"/>
              <w:right w:w="20" w:type="dxa"/>
            </w:tcMar>
            <w:vAlign w:val="bottom"/>
          </w:tcPr>
          <w:p w14:paraId="5EA1FCC2" w14:textId="77777777" w:rsidR="003C66EB" w:rsidRDefault="00D96C4E">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interest-bearing liabilities</w:t>
            </w:r>
          </w:p>
        </w:tc>
        <w:tc>
          <w:tcPr>
            <w:tcW w:w="0" w:type="auto"/>
            <w:gridSpan w:val="2"/>
            <w:shd w:val="clear" w:color="auto" w:fill="FFFFFF"/>
            <w:tcMar>
              <w:top w:w="40" w:type="dxa"/>
              <w:left w:w="20" w:type="dxa"/>
              <w:bottom w:w="40" w:type="dxa"/>
              <w:right w:w="0" w:type="dxa"/>
            </w:tcMar>
            <w:vAlign w:val="bottom"/>
          </w:tcPr>
          <w:p w14:paraId="5EA1FCC3" w14:textId="77777777" w:rsidR="003C66EB" w:rsidRDefault="00D96C4E">
            <w:pPr>
              <w:jc w:val="right"/>
              <w:textAlignment w:val="bottom"/>
            </w:pPr>
            <w:r>
              <w:rPr>
                <w:rFonts w:ascii="Arial" w:eastAsia="宋体" w:hAnsi="Arial" w:cs="Arial"/>
                <w:b/>
                <w:bCs/>
                <w:color w:val="000000"/>
                <w:sz w:val="14"/>
                <w:szCs w:val="14"/>
              </w:rPr>
              <w:t>4,848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C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C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C6" w14:textId="77777777" w:rsidR="003C66EB" w:rsidRDefault="00D96C4E">
            <w:pPr>
              <w:jc w:val="right"/>
              <w:textAlignment w:val="bottom"/>
            </w:pPr>
            <w:r>
              <w:rPr>
                <w:rFonts w:ascii="Arial" w:eastAsia="宋体" w:hAnsi="Arial" w:cs="Arial"/>
                <w:color w:val="000000"/>
                <w:sz w:val="14"/>
                <w:szCs w:val="14"/>
              </w:rPr>
              <w:t>3,434 </w:t>
            </w:r>
          </w:p>
        </w:tc>
        <w:tc>
          <w:tcPr>
            <w:tcW w:w="0" w:type="auto"/>
            <w:shd w:val="clear" w:color="auto" w:fill="FFFFFF"/>
            <w:tcMar>
              <w:top w:w="40" w:type="dxa"/>
              <w:left w:w="0" w:type="dxa"/>
              <w:bottom w:w="40" w:type="dxa"/>
              <w:right w:w="20" w:type="dxa"/>
            </w:tcMar>
            <w:vAlign w:val="bottom"/>
          </w:tcPr>
          <w:p w14:paraId="5EA1FCC7" w14:textId="77777777" w:rsidR="003C66EB" w:rsidRDefault="003C66EB">
            <w:pPr>
              <w:jc w:val="right"/>
              <w:rPr>
                <w:rFonts w:ascii="宋体"/>
              </w:rPr>
            </w:pPr>
          </w:p>
        </w:tc>
        <w:tc>
          <w:tcPr>
            <w:tcW w:w="0" w:type="auto"/>
            <w:shd w:val="clear" w:color="auto" w:fill="auto"/>
          </w:tcPr>
          <w:p w14:paraId="5EA1FCC8" w14:textId="77777777" w:rsidR="003C66EB" w:rsidRDefault="003C66EB">
            <w:pPr>
              <w:rPr>
                <w:rFonts w:ascii="宋体"/>
                <w:vanish/>
              </w:rPr>
            </w:pPr>
          </w:p>
        </w:tc>
        <w:tc>
          <w:tcPr>
            <w:tcW w:w="0" w:type="auto"/>
            <w:shd w:val="clear" w:color="auto" w:fill="auto"/>
          </w:tcPr>
          <w:p w14:paraId="5EA1FCC9" w14:textId="77777777" w:rsidR="003C66EB" w:rsidRDefault="003C66EB">
            <w:pPr>
              <w:rPr>
                <w:rFonts w:ascii="宋体"/>
                <w:vanish/>
              </w:rPr>
            </w:pPr>
          </w:p>
        </w:tc>
        <w:tc>
          <w:tcPr>
            <w:tcW w:w="0" w:type="auto"/>
            <w:gridSpan w:val="3"/>
            <w:shd w:val="clear" w:color="auto" w:fill="auto"/>
          </w:tcPr>
          <w:p w14:paraId="5EA1FCCA" w14:textId="77777777" w:rsidR="003C66EB" w:rsidRDefault="003C66EB">
            <w:pPr>
              <w:rPr>
                <w:rFonts w:ascii="宋体"/>
                <w:vanish/>
              </w:rPr>
            </w:pPr>
          </w:p>
        </w:tc>
        <w:tc>
          <w:tcPr>
            <w:tcW w:w="0" w:type="auto"/>
            <w:gridSpan w:val="3"/>
            <w:shd w:val="clear" w:color="auto" w:fill="auto"/>
          </w:tcPr>
          <w:p w14:paraId="5EA1FCCB" w14:textId="77777777" w:rsidR="003C66EB" w:rsidRDefault="003C66EB">
            <w:pPr>
              <w:rPr>
                <w:rFonts w:ascii="宋体"/>
                <w:vanish/>
              </w:rPr>
            </w:pPr>
          </w:p>
        </w:tc>
      </w:tr>
      <w:tr w:rsidR="003C66EB" w14:paraId="5EA1FCD7" w14:textId="77777777">
        <w:tc>
          <w:tcPr>
            <w:tcW w:w="0" w:type="auto"/>
            <w:gridSpan w:val="3"/>
            <w:shd w:val="clear" w:color="auto" w:fill="CCEEFF"/>
            <w:tcMar>
              <w:top w:w="40" w:type="dxa"/>
              <w:left w:w="245" w:type="dxa"/>
              <w:bottom w:w="40" w:type="dxa"/>
              <w:right w:w="20" w:type="dxa"/>
            </w:tcMar>
            <w:vAlign w:val="bottom"/>
          </w:tcPr>
          <w:p w14:paraId="5EA1FCCD" w14:textId="77777777" w:rsidR="003C66EB" w:rsidRDefault="00D96C4E">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CCE" w14:textId="77777777" w:rsidR="003C66EB" w:rsidRDefault="00D96C4E">
            <w:pPr>
              <w:jc w:val="right"/>
              <w:textAlignment w:val="bottom"/>
            </w:pPr>
            <w:r>
              <w:rPr>
                <w:rFonts w:ascii="Arial" w:eastAsia="宋体" w:hAnsi="Arial" w:cs="Arial"/>
                <w:b/>
                <w:bCs/>
                <w:color w:val="000000"/>
                <w:sz w:val="14"/>
                <w:szCs w:val="14"/>
              </w:rPr>
              <w:t>201,119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C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D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CD1" w14:textId="77777777" w:rsidR="003C66EB" w:rsidRDefault="00D96C4E">
            <w:pPr>
              <w:jc w:val="right"/>
              <w:textAlignment w:val="bottom"/>
            </w:pPr>
            <w:r>
              <w:rPr>
                <w:rFonts w:ascii="Arial" w:eastAsia="宋体" w:hAnsi="Arial" w:cs="Arial"/>
                <w:color w:val="000000"/>
                <w:sz w:val="14"/>
                <w:szCs w:val="14"/>
              </w:rPr>
              <w:t>168,229 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CD2" w14:textId="77777777" w:rsidR="003C66EB" w:rsidRDefault="003C66EB">
            <w:pPr>
              <w:jc w:val="right"/>
              <w:rPr>
                <w:rFonts w:ascii="宋体"/>
              </w:rPr>
            </w:pPr>
          </w:p>
        </w:tc>
        <w:tc>
          <w:tcPr>
            <w:tcW w:w="0" w:type="auto"/>
            <w:shd w:val="clear" w:color="auto" w:fill="auto"/>
          </w:tcPr>
          <w:p w14:paraId="5EA1FCD3" w14:textId="77777777" w:rsidR="003C66EB" w:rsidRDefault="003C66EB">
            <w:pPr>
              <w:rPr>
                <w:rFonts w:ascii="宋体"/>
                <w:vanish/>
              </w:rPr>
            </w:pPr>
          </w:p>
        </w:tc>
        <w:tc>
          <w:tcPr>
            <w:tcW w:w="0" w:type="auto"/>
            <w:shd w:val="clear" w:color="auto" w:fill="auto"/>
          </w:tcPr>
          <w:p w14:paraId="5EA1FCD4" w14:textId="77777777" w:rsidR="003C66EB" w:rsidRDefault="003C66EB">
            <w:pPr>
              <w:rPr>
                <w:rFonts w:ascii="宋体"/>
                <w:vanish/>
              </w:rPr>
            </w:pPr>
          </w:p>
        </w:tc>
        <w:tc>
          <w:tcPr>
            <w:tcW w:w="0" w:type="auto"/>
            <w:gridSpan w:val="3"/>
            <w:shd w:val="clear" w:color="auto" w:fill="auto"/>
          </w:tcPr>
          <w:p w14:paraId="5EA1FCD5" w14:textId="77777777" w:rsidR="003C66EB" w:rsidRDefault="003C66EB">
            <w:pPr>
              <w:rPr>
                <w:rFonts w:ascii="宋体"/>
                <w:vanish/>
              </w:rPr>
            </w:pPr>
          </w:p>
        </w:tc>
        <w:tc>
          <w:tcPr>
            <w:tcW w:w="0" w:type="auto"/>
            <w:gridSpan w:val="3"/>
            <w:shd w:val="clear" w:color="auto" w:fill="auto"/>
          </w:tcPr>
          <w:p w14:paraId="5EA1FCD6" w14:textId="77777777" w:rsidR="003C66EB" w:rsidRDefault="003C66EB">
            <w:pPr>
              <w:rPr>
                <w:rFonts w:ascii="宋体"/>
                <w:vanish/>
              </w:rPr>
            </w:pPr>
          </w:p>
        </w:tc>
      </w:tr>
      <w:tr w:rsidR="003C66EB" w14:paraId="5EA1FCE2" w14:textId="77777777">
        <w:tc>
          <w:tcPr>
            <w:tcW w:w="0" w:type="auto"/>
            <w:gridSpan w:val="3"/>
            <w:shd w:val="clear" w:color="auto" w:fill="FFFFFF"/>
            <w:tcMar>
              <w:top w:w="40" w:type="dxa"/>
              <w:left w:w="20" w:type="dxa"/>
              <w:bottom w:w="40" w:type="dxa"/>
              <w:right w:w="20" w:type="dxa"/>
            </w:tcMar>
            <w:vAlign w:val="bottom"/>
          </w:tcPr>
          <w:p w14:paraId="5EA1FCD8" w14:textId="77777777" w:rsidR="003C66EB" w:rsidRDefault="00D96C4E">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1FCD9" w14:textId="77777777" w:rsidR="003C66EB" w:rsidRDefault="00D96C4E">
            <w:pPr>
              <w:jc w:val="right"/>
              <w:textAlignment w:val="bottom"/>
            </w:pPr>
            <w:r>
              <w:rPr>
                <w:rFonts w:ascii="Arial" w:eastAsia="宋体" w:hAnsi="Arial" w:cs="Arial"/>
                <w:b/>
                <w:bCs/>
                <w:color w:val="000000"/>
                <w:sz w:val="14"/>
                <w:szCs w:val="14"/>
              </w:rPr>
              <w:t>46,825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D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DC" w14:textId="77777777" w:rsidR="003C66EB" w:rsidRDefault="00D96C4E">
            <w:pPr>
              <w:jc w:val="right"/>
              <w:textAlignment w:val="bottom"/>
            </w:pPr>
            <w:r>
              <w:rPr>
                <w:rFonts w:ascii="Arial" w:eastAsia="宋体" w:hAnsi="Arial" w:cs="Arial"/>
                <w:color w:val="000000"/>
                <w:sz w:val="14"/>
                <w:szCs w:val="14"/>
              </w:rPr>
              <w:t>35,573 </w:t>
            </w:r>
          </w:p>
        </w:tc>
        <w:tc>
          <w:tcPr>
            <w:tcW w:w="0" w:type="auto"/>
            <w:shd w:val="clear" w:color="auto" w:fill="FFFFFF"/>
            <w:tcMar>
              <w:top w:w="40" w:type="dxa"/>
              <w:left w:w="0" w:type="dxa"/>
              <w:bottom w:w="40" w:type="dxa"/>
              <w:right w:w="20" w:type="dxa"/>
            </w:tcMar>
            <w:vAlign w:val="bottom"/>
          </w:tcPr>
          <w:p w14:paraId="5EA1FCDD" w14:textId="77777777" w:rsidR="003C66EB" w:rsidRDefault="003C66EB">
            <w:pPr>
              <w:jc w:val="right"/>
              <w:rPr>
                <w:rFonts w:ascii="宋体"/>
              </w:rPr>
            </w:pPr>
          </w:p>
        </w:tc>
        <w:tc>
          <w:tcPr>
            <w:tcW w:w="0" w:type="auto"/>
            <w:shd w:val="clear" w:color="auto" w:fill="auto"/>
          </w:tcPr>
          <w:p w14:paraId="5EA1FCDE" w14:textId="77777777" w:rsidR="003C66EB" w:rsidRDefault="003C66EB">
            <w:pPr>
              <w:rPr>
                <w:rFonts w:ascii="宋体"/>
                <w:vanish/>
              </w:rPr>
            </w:pPr>
          </w:p>
        </w:tc>
        <w:tc>
          <w:tcPr>
            <w:tcW w:w="0" w:type="auto"/>
            <w:shd w:val="clear" w:color="auto" w:fill="auto"/>
          </w:tcPr>
          <w:p w14:paraId="5EA1FCDF" w14:textId="77777777" w:rsidR="003C66EB" w:rsidRDefault="003C66EB">
            <w:pPr>
              <w:rPr>
                <w:rFonts w:ascii="宋体"/>
                <w:vanish/>
              </w:rPr>
            </w:pPr>
          </w:p>
        </w:tc>
        <w:tc>
          <w:tcPr>
            <w:tcW w:w="0" w:type="auto"/>
            <w:gridSpan w:val="3"/>
            <w:shd w:val="clear" w:color="auto" w:fill="auto"/>
          </w:tcPr>
          <w:p w14:paraId="5EA1FCE0" w14:textId="77777777" w:rsidR="003C66EB" w:rsidRDefault="003C66EB">
            <w:pPr>
              <w:rPr>
                <w:rFonts w:ascii="宋体"/>
                <w:vanish/>
              </w:rPr>
            </w:pPr>
          </w:p>
        </w:tc>
        <w:tc>
          <w:tcPr>
            <w:tcW w:w="0" w:type="auto"/>
            <w:gridSpan w:val="3"/>
            <w:shd w:val="clear" w:color="auto" w:fill="auto"/>
          </w:tcPr>
          <w:p w14:paraId="5EA1FCE1" w14:textId="77777777" w:rsidR="003C66EB" w:rsidRDefault="003C66EB">
            <w:pPr>
              <w:rPr>
                <w:rFonts w:ascii="宋体"/>
                <w:vanish/>
              </w:rPr>
            </w:pPr>
          </w:p>
        </w:tc>
      </w:tr>
      <w:tr w:rsidR="003C66EB" w14:paraId="5EA1FCED" w14:textId="77777777">
        <w:tc>
          <w:tcPr>
            <w:tcW w:w="0" w:type="auto"/>
            <w:gridSpan w:val="3"/>
            <w:shd w:val="clear" w:color="auto" w:fill="CCEEFF"/>
            <w:tcMar>
              <w:top w:w="40" w:type="dxa"/>
              <w:left w:w="20" w:type="dxa"/>
              <w:bottom w:w="40" w:type="dxa"/>
              <w:right w:w="20" w:type="dxa"/>
            </w:tcMar>
            <w:vAlign w:val="bottom"/>
          </w:tcPr>
          <w:p w14:paraId="5EA1FCE3" w14:textId="77777777" w:rsidR="003C66EB" w:rsidRDefault="00D96C4E">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5EA1FCE4" w14:textId="77777777" w:rsidR="003C66EB" w:rsidRDefault="00D96C4E">
            <w:pPr>
              <w:jc w:val="right"/>
              <w:textAlignment w:val="bottom"/>
            </w:pPr>
            <w:r>
              <w:rPr>
                <w:rFonts w:ascii="Arial" w:eastAsia="宋体" w:hAnsi="Arial" w:cs="Arial"/>
                <w:b/>
                <w:bCs/>
                <w:color w:val="000000"/>
                <w:sz w:val="14"/>
                <w:szCs w:val="14"/>
              </w:rPr>
              <w:t>22,423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E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E7" w14:textId="77777777" w:rsidR="003C66EB" w:rsidRDefault="00D96C4E">
            <w:pPr>
              <w:jc w:val="right"/>
              <w:textAlignment w:val="bottom"/>
            </w:pPr>
            <w:r>
              <w:rPr>
                <w:rFonts w:ascii="Arial" w:eastAsia="宋体" w:hAnsi="Arial" w:cs="Arial"/>
                <w:color w:val="000000"/>
                <w:sz w:val="14"/>
                <w:szCs w:val="14"/>
              </w:rPr>
              <w:t>23,052 </w:t>
            </w:r>
          </w:p>
        </w:tc>
        <w:tc>
          <w:tcPr>
            <w:tcW w:w="0" w:type="auto"/>
            <w:shd w:val="clear" w:color="auto" w:fill="CCEEFF"/>
            <w:tcMar>
              <w:top w:w="40" w:type="dxa"/>
              <w:left w:w="0" w:type="dxa"/>
              <w:bottom w:w="40" w:type="dxa"/>
              <w:right w:w="20" w:type="dxa"/>
            </w:tcMar>
            <w:vAlign w:val="bottom"/>
          </w:tcPr>
          <w:p w14:paraId="5EA1FCE8" w14:textId="77777777" w:rsidR="003C66EB" w:rsidRDefault="003C66EB">
            <w:pPr>
              <w:jc w:val="right"/>
              <w:rPr>
                <w:rFonts w:ascii="宋体"/>
              </w:rPr>
            </w:pPr>
          </w:p>
        </w:tc>
        <w:tc>
          <w:tcPr>
            <w:tcW w:w="0" w:type="auto"/>
            <w:shd w:val="clear" w:color="auto" w:fill="auto"/>
          </w:tcPr>
          <w:p w14:paraId="5EA1FCE9" w14:textId="77777777" w:rsidR="003C66EB" w:rsidRDefault="003C66EB">
            <w:pPr>
              <w:rPr>
                <w:rFonts w:ascii="宋体"/>
                <w:vanish/>
              </w:rPr>
            </w:pPr>
          </w:p>
        </w:tc>
        <w:tc>
          <w:tcPr>
            <w:tcW w:w="0" w:type="auto"/>
            <w:shd w:val="clear" w:color="auto" w:fill="auto"/>
          </w:tcPr>
          <w:p w14:paraId="5EA1FCEA" w14:textId="77777777" w:rsidR="003C66EB" w:rsidRDefault="003C66EB">
            <w:pPr>
              <w:rPr>
                <w:rFonts w:ascii="宋体"/>
                <w:vanish/>
              </w:rPr>
            </w:pPr>
          </w:p>
        </w:tc>
        <w:tc>
          <w:tcPr>
            <w:tcW w:w="0" w:type="auto"/>
            <w:gridSpan w:val="3"/>
            <w:shd w:val="clear" w:color="auto" w:fill="auto"/>
          </w:tcPr>
          <w:p w14:paraId="5EA1FCEB" w14:textId="77777777" w:rsidR="003C66EB" w:rsidRDefault="003C66EB">
            <w:pPr>
              <w:rPr>
                <w:rFonts w:ascii="宋体"/>
                <w:vanish/>
              </w:rPr>
            </w:pPr>
          </w:p>
        </w:tc>
        <w:tc>
          <w:tcPr>
            <w:tcW w:w="0" w:type="auto"/>
            <w:gridSpan w:val="3"/>
            <w:shd w:val="clear" w:color="auto" w:fill="auto"/>
          </w:tcPr>
          <w:p w14:paraId="5EA1FCEC" w14:textId="77777777" w:rsidR="003C66EB" w:rsidRDefault="003C66EB">
            <w:pPr>
              <w:rPr>
                <w:rFonts w:ascii="宋体"/>
                <w:vanish/>
              </w:rPr>
            </w:pPr>
          </w:p>
        </w:tc>
      </w:tr>
      <w:tr w:rsidR="003C66EB" w14:paraId="5EA1FCF8" w14:textId="77777777">
        <w:tc>
          <w:tcPr>
            <w:tcW w:w="0" w:type="auto"/>
            <w:gridSpan w:val="3"/>
            <w:shd w:val="clear" w:color="auto" w:fill="FFFFFF"/>
            <w:tcMar>
              <w:top w:w="40" w:type="dxa"/>
              <w:left w:w="20" w:type="dxa"/>
              <w:bottom w:w="40" w:type="dxa"/>
              <w:right w:w="20" w:type="dxa"/>
            </w:tcMar>
            <w:vAlign w:val="bottom"/>
          </w:tcPr>
          <w:p w14:paraId="5EA1FCEE" w14:textId="77777777" w:rsidR="003C66EB" w:rsidRDefault="00D96C4E">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5EA1FCEF" w14:textId="77777777" w:rsidR="003C66EB" w:rsidRDefault="00D96C4E">
            <w:pPr>
              <w:jc w:val="right"/>
              <w:textAlignment w:val="bottom"/>
            </w:pPr>
            <w:r>
              <w:rPr>
                <w:rFonts w:ascii="Arial" w:eastAsia="宋体" w:hAnsi="Arial" w:cs="Arial"/>
                <w:b/>
                <w:bCs/>
                <w:color w:val="000000"/>
                <w:sz w:val="14"/>
                <w:szCs w:val="14"/>
              </w:rPr>
              <w:t>2,378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CF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CF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CF2" w14:textId="77777777" w:rsidR="003C66EB" w:rsidRDefault="00D96C4E">
            <w:pPr>
              <w:jc w:val="right"/>
              <w:textAlignment w:val="bottom"/>
            </w:pPr>
            <w:r>
              <w:rPr>
                <w:rFonts w:ascii="Arial" w:eastAsia="宋体" w:hAnsi="Arial" w:cs="Arial"/>
                <w:color w:val="000000"/>
                <w:sz w:val="14"/>
                <w:szCs w:val="14"/>
              </w:rPr>
              <w:t>2,861 </w:t>
            </w:r>
          </w:p>
        </w:tc>
        <w:tc>
          <w:tcPr>
            <w:tcW w:w="0" w:type="auto"/>
            <w:shd w:val="clear" w:color="auto" w:fill="FFFFFF"/>
            <w:tcMar>
              <w:top w:w="40" w:type="dxa"/>
              <w:left w:w="0" w:type="dxa"/>
              <w:bottom w:w="40" w:type="dxa"/>
              <w:right w:w="20" w:type="dxa"/>
            </w:tcMar>
            <w:vAlign w:val="bottom"/>
          </w:tcPr>
          <w:p w14:paraId="5EA1FCF3" w14:textId="77777777" w:rsidR="003C66EB" w:rsidRDefault="003C66EB">
            <w:pPr>
              <w:jc w:val="right"/>
              <w:rPr>
                <w:rFonts w:ascii="宋体"/>
              </w:rPr>
            </w:pPr>
          </w:p>
        </w:tc>
        <w:tc>
          <w:tcPr>
            <w:tcW w:w="0" w:type="auto"/>
            <w:shd w:val="clear" w:color="auto" w:fill="auto"/>
          </w:tcPr>
          <w:p w14:paraId="5EA1FCF4" w14:textId="77777777" w:rsidR="003C66EB" w:rsidRDefault="003C66EB">
            <w:pPr>
              <w:rPr>
                <w:rFonts w:ascii="宋体"/>
                <w:vanish/>
              </w:rPr>
            </w:pPr>
          </w:p>
        </w:tc>
        <w:tc>
          <w:tcPr>
            <w:tcW w:w="0" w:type="auto"/>
            <w:shd w:val="clear" w:color="auto" w:fill="auto"/>
          </w:tcPr>
          <w:p w14:paraId="5EA1FCF5" w14:textId="77777777" w:rsidR="003C66EB" w:rsidRDefault="003C66EB">
            <w:pPr>
              <w:rPr>
                <w:rFonts w:ascii="宋体"/>
                <w:vanish/>
              </w:rPr>
            </w:pPr>
          </w:p>
        </w:tc>
        <w:tc>
          <w:tcPr>
            <w:tcW w:w="0" w:type="auto"/>
            <w:gridSpan w:val="3"/>
            <w:shd w:val="clear" w:color="auto" w:fill="auto"/>
          </w:tcPr>
          <w:p w14:paraId="5EA1FCF6" w14:textId="77777777" w:rsidR="003C66EB" w:rsidRDefault="003C66EB">
            <w:pPr>
              <w:rPr>
                <w:rFonts w:ascii="宋体"/>
                <w:vanish/>
              </w:rPr>
            </w:pPr>
          </w:p>
        </w:tc>
        <w:tc>
          <w:tcPr>
            <w:tcW w:w="0" w:type="auto"/>
            <w:gridSpan w:val="3"/>
            <w:shd w:val="clear" w:color="auto" w:fill="auto"/>
          </w:tcPr>
          <w:p w14:paraId="5EA1FCF7" w14:textId="77777777" w:rsidR="003C66EB" w:rsidRDefault="003C66EB">
            <w:pPr>
              <w:rPr>
                <w:rFonts w:ascii="宋体"/>
                <w:vanish/>
              </w:rPr>
            </w:pPr>
          </w:p>
        </w:tc>
      </w:tr>
      <w:tr w:rsidR="003C66EB" w14:paraId="5EA1FD03" w14:textId="77777777">
        <w:tc>
          <w:tcPr>
            <w:tcW w:w="0" w:type="auto"/>
            <w:gridSpan w:val="3"/>
            <w:shd w:val="clear" w:color="auto" w:fill="CCEEFF"/>
            <w:tcMar>
              <w:top w:w="40" w:type="dxa"/>
              <w:left w:w="20" w:type="dxa"/>
              <w:bottom w:w="40" w:type="dxa"/>
              <w:right w:w="20" w:type="dxa"/>
            </w:tcMar>
            <w:vAlign w:val="bottom"/>
          </w:tcPr>
          <w:p w14:paraId="5EA1FCF9" w14:textId="77777777" w:rsidR="003C66EB" w:rsidRDefault="00D96C4E">
            <w:pPr>
              <w:textAlignment w:val="bottom"/>
            </w:pPr>
            <w:r>
              <w:rPr>
                <w:rFonts w:ascii="Arial" w:eastAsia="宋体" w:hAnsi="Arial" w:cs="Arial"/>
                <w:color w:val="000000"/>
                <w:sz w:val="14"/>
                <w:szCs w:val="14"/>
              </w:rPr>
              <w:t>Common shareholders’ equity</w:t>
            </w:r>
          </w:p>
        </w:tc>
        <w:tc>
          <w:tcPr>
            <w:tcW w:w="0" w:type="auto"/>
            <w:gridSpan w:val="2"/>
            <w:shd w:val="clear" w:color="auto" w:fill="CCEEFF"/>
            <w:tcMar>
              <w:top w:w="40" w:type="dxa"/>
              <w:left w:w="20" w:type="dxa"/>
              <w:bottom w:w="40" w:type="dxa"/>
              <w:right w:w="0" w:type="dxa"/>
            </w:tcMar>
            <w:vAlign w:val="bottom"/>
          </w:tcPr>
          <w:p w14:paraId="5EA1FCFA" w14:textId="77777777" w:rsidR="003C66EB" w:rsidRDefault="00D96C4E">
            <w:pPr>
              <w:jc w:val="right"/>
              <w:textAlignment w:val="bottom"/>
            </w:pPr>
            <w:r>
              <w:rPr>
                <w:rFonts w:ascii="Arial" w:eastAsia="宋体" w:hAnsi="Arial" w:cs="Arial"/>
                <w:b/>
                <w:bCs/>
                <w:color w:val="000000"/>
                <w:sz w:val="14"/>
                <w:szCs w:val="14"/>
              </w:rPr>
              <w:t>23,583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CF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CF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CFD" w14:textId="77777777" w:rsidR="003C66EB" w:rsidRDefault="00D96C4E">
            <w:pPr>
              <w:jc w:val="right"/>
              <w:textAlignment w:val="bottom"/>
            </w:pPr>
            <w:r>
              <w:rPr>
                <w:rFonts w:ascii="Arial" w:eastAsia="宋体" w:hAnsi="Arial" w:cs="Arial"/>
                <w:color w:val="000000"/>
                <w:sz w:val="14"/>
                <w:szCs w:val="14"/>
              </w:rPr>
              <w:t>21,466 </w:t>
            </w:r>
          </w:p>
        </w:tc>
        <w:tc>
          <w:tcPr>
            <w:tcW w:w="0" w:type="auto"/>
            <w:shd w:val="clear" w:color="auto" w:fill="CCEEFF"/>
            <w:tcMar>
              <w:top w:w="40" w:type="dxa"/>
              <w:left w:w="0" w:type="dxa"/>
              <w:bottom w:w="40" w:type="dxa"/>
              <w:right w:w="20" w:type="dxa"/>
            </w:tcMar>
            <w:vAlign w:val="bottom"/>
          </w:tcPr>
          <w:p w14:paraId="5EA1FCFE" w14:textId="77777777" w:rsidR="003C66EB" w:rsidRDefault="003C66EB">
            <w:pPr>
              <w:jc w:val="right"/>
              <w:rPr>
                <w:rFonts w:ascii="宋体"/>
              </w:rPr>
            </w:pPr>
          </w:p>
        </w:tc>
        <w:tc>
          <w:tcPr>
            <w:tcW w:w="0" w:type="auto"/>
            <w:shd w:val="clear" w:color="auto" w:fill="auto"/>
          </w:tcPr>
          <w:p w14:paraId="5EA1FCFF" w14:textId="77777777" w:rsidR="003C66EB" w:rsidRDefault="003C66EB">
            <w:pPr>
              <w:rPr>
                <w:rFonts w:ascii="宋体"/>
                <w:vanish/>
              </w:rPr>
            </w:pPr>
          </w:p>
        </w:tc>
        <w:tc>
          <w:tcPr>
            <w:tcW w:w="0" w:type="auto"/>
            <w:shd w:val="clear" w:color="auto" w:fill="auto"/>
          </w:tcPr>
          <w:p w14:paraId="5EA1FD00" w14:textId="77777777" w:rsidR="003C66EB" w:rsidRDefault="003C66EB">
            <w:pPr>
              <w:rPr>
                <w:rFonts w:ascii="宋体"/>
                <w:vanish/>
              </w:rPr>
            </w:pPr>
          </w:p>
        </w:tc>
        <w:tc>
          <w:tcPr>
            <w:tcW w:w="0" w:type="auto"/>
            <w:gridSpan w:val="3"/>
            <w:shd w:val="clear" w:color="auto" w:fill="auto"/>
          </w:tcPr>
          <w:p w14:paraId="5EA1FD01" w14:textId="77777777" w:rsidR="003C66EB" w:rsidRDefault="003C66EB">
            <w:pPr>
              <w:rPr>
                <w:rFonts w:ascii="宋体"/>
                <w:vanish/>
              </w:rPr>
            </w:pPr>
          </w:p>
        </w:tc>
        <w:tc>
          <w:tcPr>
            <w:tcW w:w="0" w:type="auto"/>
            <w:gridSpan w:val="3"/>
            <w:shd w:val="clear" w:color="auto" w:fill="auto"/>
          </w:tcPr>
          <w:p w14:paraId="5EA1FD02" w14:textId="77777777" w:rsidR="003C66EB" w:rsidRDefault="003C66EB">
            <w:pPr>
              <w:rPr>
                <w:rFonts w:ascii="宋体"/>
                <w:vanish/>
              </w:rPr>
            </w:pPr>
          </w:p>
        </w:tc>
      </w:tr>
      <w:tr w:rsidR="003C66EB" w14:paraId="5EA1FD10" w14:textId="77777777">
        <w:tc>
          <w:tcPr>
            <w:tcW w:w="0" w:type="auto"/>
            <w:gridSpan w:val="3"/>
            <w:shd w:val="clear" w:color="auto" w:fill="FFFFFF"/>
            <w:tcMar>
              <w:top w:w="40" w:type="dxa"/>
              <w:left w:w="245" w:type="dxa"/>
              <w:bottom w:w="40" w:type="dxa"/>
              <w:right w:w="20" w:type="dxa"/>
            </w:tcMar>
            <w:vAlign w:val="bottom"/>
          </w:tcPr>
          <w:p w14:paraId="5EA1FD04" w14:textId="77777777" w:rsidR="003C66EB" w:rsidRDefault="00D96C4E">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D05"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D06" w14:textId="77777777" w:rsidR="003C66EB" w:rsidRDefault="00D96C4E">
            <w:pPr>
              <w:jc w:val="right"/>
              <w:textAlignment w:val="bottom"/>
            </w:pPr>
            <w:r>
              <w:rPr>
                <w:rFonts w:ascii="Arial" w:eastAsia="宋体" w:hAnsi="Arial" w:cs="Arial"/>
                <w:b/>
                <w:bCs/>
                <w:color w:val="000000"/>
                <w:sz w:val="14"/>
                <w:szCs w:val="14"/>
              </w:rPr>
              <w:t>296,328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D0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D08"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1FD0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1FD0A" w14:textId="77777777" w:rsidR="003C66EB" w:rsidRDefault="00D96C4E">
            <w:pPr>
              <w:jc w:val="right"/>
              <w:textAlignment w:val="bottom"/>
            </w:pPr>
            <w:r>
              <w:rPr>
                <w:rFonts w:ascii="Arial" w:eastAsia="宋体" w:hAnsi="Arial" w:cs="Arial"/>
                <w:color w:val="000000"/>
                <w:sz w:val="14"/>
                <w:szCs w:val="14"/>
              </w:rPr>
              <w:t>251,181 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1FD0B" w14:textId="77777777" w:rsidR="003C66EB" w:rsidRDefault="003C66EB">
            <w:pPr>
              <w:jc w:val="right"/>
              <w:rPr>
                <w:rFonts w:ascii="宋体"/>
              </w:rPr>
            </w:pPr>
          </w:p>
        </w:tc>
        <w:tc>
          <w:tcPr>
            <w:tcW w:w="0" w:type="auto"/>
            <w:shd w:val="clear" w:color="auto" w:fill="auto"/>
          </w:tcPr>
          <w:p w14:paraId="5EA1FD0C" w14:textId="77777777" w:rsidR="003C66EB" w:rsidRDefault="003C66EB">
            <w:pPr>
              <w:rPr>
                <w:rFonts w:ascii="宋体"/>
                <w:vanish/>
              </w:rPr>
            </w:pPr>
          </w:p>
        </w:tc>
        <w:tc>
          <w:tcPr>
            <w:tcW w:w="0" w:type="auto"/>
            <w:shd w:val="clear" w:color="auto" w:fill="auto"/>
          </w:tcPr>
          <w:p w14:paraId="5EA1FD0D" w14:textId="77777777" w:rsidR="003C66EB" w:rsidRDefault="003C66EB">
            <w:pPr>
              <w:rPr>
                <w:rFonts w:ascii="宋体"/>
                <w:vanish/>
              </w:rPr>
            </w:pPr>
          </w:p>
        </w:tc>
        <w:tc>
          <w:tcPr>
            <w:tcW w:w="0" w:type="auto"/>
            <w:gridSpan w:val="3"/>
            <w:shd w:val="clear" w:color="auto" w:fill="auto"/>
          </w:tcPr>
          <w:p w14:paraId="5EA1FD0E" w14:textId="77777777" w:rsidR="003C66EB" w:rsidRDefault="003C66EB">
            <w:pPr>
              <w:rPr>
                <w:rFonts w:ascii="宋体"/>
                <w:vanish/>
              </w:rPr>
            </w:pPr>
          </w:p>
        </w:tc>
        <w:tc>
          <w:tcPr>
            <w:tcW w:w="0" w:type="auto"/>
            <w:gridSpan w:val="3"/>
            <w:shd w:val="clear" w:color="auto" w:fill="auto"/>
          </w:tcPr>
          <w:p w14:paraId="5EA1FD0F" w14:textId="77777777" w:rsidR="003C66EB" w:rsidRDefault="003C66EB">
            <w:pPr>
              <w:rPr>
                <w:rFonts w:ascii="宋体"/>
                <w:vanish/>
              </w:rPr>
            </w:pPr>
          </w:p>
        </w:tc>
      </w:tr>
    </w:tbl>
    <w:p w14:paraId="5EA1FD1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694"/>
        <w:gridCol w:w="36"/>
        <w:gridCol w:w="69"/>
        <w:gridCol w:w="4432"/>
        <w:gridCol w:w="36"/>
      </w:tblGrid>
      <w:tr w:rsidR="003C66EB" w14:paraId="5EA1FD18" w14:textId="77777777">
        <w:tc>
          <w:tcPr>
            <w:tcW w:w="50" w:type="pct"/>
            <w:shd w:val="clear" w:color="auto" w:fill="auto"/>
          </w:tcPr>
          <w:p w14:paraId="5EA1FD12" w14:textId="77777777" w:rsidR="003C66EB" w:rsidRDefault="003C66EB">
            <w:pPr>
              <w:rPr>
                <w:rFonts w:ascii="宋体"/>
              </w:rPr>
            </w:pPr>
          </w:p>
        </w:tc>
        <w:tc>
          <w:tcPr>
            <w:tcW w:w="2224" w:type="pct"/>
            <w:shd w:val="clear" w:color="auto" w:fill="auto"/>
          </w:tcPr>
          <w:p w14:paraId="5EA1FD13" w14:textId="77777777" w:rsidR="003C66EB" w:rsidRDefault="003C66EB">
            <w:pPr>
              <w:rPr>
                <w:rFonts w:ascii="宋体"/>
              </w:rPr>
            </w:pPr>
          </w:p>
        </w:tc>
        <w:tc>
          <w:tcPr>
            <w:tcW w:w="5" w:type="pct"/>
            <w:shd w:val="clear" w:color="auto" w:fill="auto"/>
          </w:tcPr>
          <w:p w14:paraId="5EA1FD14" w14:textId="77777777" w:rsidR="003C66EB" w:rsidRDefault="003C66EB">
            <w:pPr>
              <w:rPr>
                <w:rFonts w:ascii="宋体"/>
              </w:rPr>
            </w:pPr>
          </w:p>
        </w:tc>
        <w:tc>
          <w:tcPr>
            <w:tcW w:w="50" w:type="pct"/>
            <w:shd w:val="clear" w:color="auto" w:fill="auto"/>
          </w:tcPr>
          <w:p w14:paraId="5EA1FD15" w14:textId="77777777" w:rsidR="003C66EB" w:rsidRDefault="003C66EB">
            <w:pPr>
              <w:rPr>
                <w:rFonts w:ascii="宋体"/>
              </w:rPr>
            </w:pPr>
          </w:p>
        </w:tc>
        <w:tc>
          <w:tcPr>
            <w:tcW w:w="2665" w:type="pct"/>
            <w:shd w:val="clear" w:color="auto" w:fill="auto"/>
          </w:tcPr>
          <w:p w14:paraId="5EA1FD16" w14:textId="77777777" w:rsidR="003C66EB" w:rsidRDefault="003C66EB">
            <w:pPr>
              <w:rPr>
                <w:rFonts w:ascii="宋体"/>
              </w:rPr>
            </w:pPr>
          </w:p>
        </w:tc>
        <w:tc>
          <w:tcPr>
            <w:tcW w:w="5" w:type="pct"/>
            <w:shd w:val="clear" w:color="auto" w:fill="auto"/>
          </w:tcPr>
          <w:p w14:paraId="5EA1FD17" w14:textId="77777777" w:rsidR="003C66EB" w:rsidRDefault="003C66EB">
            <w:pPr>
              <w:rPr>
                <w:rFonts w:ascii="宋体"/>
              </w:rPr>
            </w:pPr>
          </w:p>
        </w:tc>
      </w:tr>
      <w:tr w:rsidR="003C66EB" w14:paraId="5EA1FD1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D1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D1A" w14:textId="77777777" w:rsidR="003C66EB" w:rsidRDefault="003C66EB">
            <w:pPr>
              <w:rPr>
                <w:rFonts w:ascii="宋体"/>
              </w:rPr>
            </w:pPr>
          </w:p>
        </w:tc>
      </w:tr>
    </w:tbl>
    <w:p w14:paraId="5EA1FD1C" w14:textId="77777777" w:rsidR="003C66EB" w:rsidRDefault="00D96C4E">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Additional information about our average statement of condition, primarily our interest-earning assets and interest-bearing liabilities, is provided in "Net Interest Income" included in this Management's Discussion and Analysis.</w:t>
      </w:r>
    </w:p>
    <w:p w14:paraId="5EA1FD1D" w14:textId="77777777" w:rsidR="003C66EB" w:rsidRDefault="00D96C4E">
      <w:pPr>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Total </w:t>
      </w:r>
      <w:r>
        <w:rPr>
          <w:rFonts w:ascii="Arial" w:eastAsia="宋体" w:hAnsi="Arial" w:cs="Arial"/>
          <w:color w:val="000000"/>
          <w:sz w:val="14"/>
          <w:szCs w:val="14"/>
        </w:rPr>
        <w:t>deposits averaged $226.23 billion in the first quarter of 2021</w:t>
      </w:r>
      <w:r>
        <w:rPr>
          <w:rFonts w:ascii="Arial" w:eastAsia="宋体" w:hAnsi="Arial" w:cs="Arial"/>
          <w:color w:val="000000"/>
          <w:sz w:val="20"/>
          <w:szCs w:val="20"/>
        </w:rPr>
        <w:t xml:space="preserve"> </w:t>
      </w:r>
      <w:r>
        <w:rPr>
          <w:rFonts w:ascii="Arial" w:eastAsia="宋体" w:hAnsi="Arial" w:cs="Arial"/>
          <w:color w:val="000000"/>
          <w:sz w:val="14"/>
          <w:szCs w:val="14"/>
        </w:rPr>
        <w:t>compared to $180.16 billion in the same period in 2020.</w:t>
      </w:r>
    </w:p>
    <w:p w14:paraId="5EA1FD1E" w14:textId="77777777" w:rsidR="003C66EB" w:rsidRDefault="00D96C4E">
      <w:pPr>
        <w:ind w:firstLine="450"/>
        <w:jc w:val="right"/>
      </w:pPr>
      <w:r>
        <w:rPr>
          <w:rFonts w:ascii="Arial" w:eastAsia="宋体" w:hAnsi="Arial" w:cs="Arial"/>
          <w:color w:val="000000"/>
          <w:sz w:val="18"/>
          <w:szCs w:val="18"/>
        </w:rPr>
        <w:t>State Street Corporation | 23</w:t>
      </w:r>
    </w:p>
    <w:p w14:paraId="5EA1FD1F" w14:textId="77777777" w:rsidR="003C66EB" w:rsidRDefault="003C66EB">
      <w:pPr>
        <w:ind w:firstLine="450"/>
        <w:jc w:val="center"/>
      </w:pPr>
    </w:p>
    <w:p w14:paraId="5EA1FD20" w14:textId="77777777" w:rsidR="003C66EB" w:rsidRDefault="00D96C4E">
      <w:r>
        <w:pict w14:anchorId="5EA287C7">
          <v:rect id="_x0000_i1047" style="width:415.3pt;height:1.5pt" o:hralign="center" o:hrstd="t" o:hr="t" fillcolor="#a0a0a0" stroked="f"/>
        </w:pict>
      </w:r>
    </w:p>
    <w:p w14:paraId="5EA1FD21"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1FD22" w14:textId="77777777" w:rsidR="003C66EB" w:rsidRDefault="00D96C4E">
      <w:pPr>
        <w:ind w:firstLine="450"/>
        <w:jc w:val="center"/>
      </w:pPr>
      <w:r>
        <w:rPr>
          <w:rFonts w:ascii="Arial" w:eastAsia="宋体" w:hAnsi="Arial" w:cs="Arial"/>
          <w:b/>
          <w:bCs/>
          <w:color w:val="000000"/>
          <w:sz w:val="20"/>
          <w:szCs w:val="20"/>
        </w:rPr>
        <w:t>AND RESULTS OF OPERATIONS</w:t>
      </w:r>
    </w:p>
    <w:p w14:paraId="5EA1FD23" w14:textId="77777777" w:rsidR="003C66EB" w:rsidRDefault="00D96C4E">
      <w:pPr>
        <w:spacing w:before="90"/>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41"/>
        <w:gridCol w:w="4044"/>
        <w:gridCol w:w="36"/>
        <w:gridCol w:w="98"/>
        <w:gridCol w:w="1644"/>
        <w:gridCol w:w="36"/>
        <w:gridCol w:w="36"/>
        <w:gridCol w:w="45"/>
        <w:gridCol w:w="36"/>
        <w:gridCol w:w="99"/>
        <w:gridCol w:w="1644"/>
        <w:gridCol w:w="37"/>
        <w:gridCol w:w="36"/>
        <w:gridCol w:w="36"/>
        <w:gridCol w:w="36"/>
        <w:gridCol w:w="36"/>
        <w:gridCol w:w="36"/>
        <w:gridCol w:w="36"/>
        <w:gridCol w:w="36"/>
        <w:gridCol w:w="36"/>
        <w:gridCol w:w="36"/>
        <w:gridCol w:w="36"/>
        <w:gridCol w:w="36"/>
        <w:gridCol w:w="36"/>
        <w:gridCol w:w="36"/>
        <w:gridCol w:w="36"/>
        <w:gridCol w:w="36"/>
      </w:tblGrid>
      <w:tr w:rsidR="003C66EB" w14:paraId="5EA1FD35" w14:textId="77777777">
        <w:tc>
          <w:tcPr>
            <w:tcW w:w="50" w:type="pct"/>
            <w:shd w:val="clear" w:color="auto" w:fill="auto"/>
          </w:tcPr>
          <w:p w14:paraId="5EA1FD24" w14:textId="77777777" w:rsidR="003C66EB" w:rsidRDefault="003C66EB">
            <w:pPr>
              <w:rPr>
                <w:rFonts w:ascii="宋体"/>
              </w:rPr>
            </w:pPr>
          </w:p>
        </w:tc>
        <w:tc>
          <w:tcPr>
            <w:tcW w:w="2617" w:type="pct"/>
            <w:shd w:val="clear" w:color="auto" w:fill="auto"/>
          </w:tcPr>
          <w:p w14:paraId="5EA1FD25" w14:textId="77777777" w:rsidR="003C66EB" w:rsidRDefault="003C66EB">
            <w:pPr>
              <w:rPr>
                <w:rFonts w:ascii="宋体"/>
              </w:rPr>
            </w:pPr>
          </w:p>
        </w:tc>
        <w:tc>
          <w:tcPr>
            <w:tcW w:w="5" w:type="pct"/>
            <w:shd w:val="clear" w:color="auto" w:fill="auto"/>
          </w:tcPr>
          <w:p w14:paraId="5EA1FD26" w14:textId="77777777" w:rsidR="003C66EB" w:rsidRDefault="003C66EB">
            <w:pPr>
              <w:rPr>
                <w:rFonts w:ascii="宋体"/>
              </w:rPr>
            </w:pPr>
          </w:p>
        </w:tc>
        <w:tc>
          <w:tcPr>
            <w:tcW w:w="50" w:type="pct"/>
            <w:shd w:val="clear" w:color="auto" w:fill="auto"/>
          </w:tcPr>
          <w:p w14:paraId="5EA1FD27" w14:textId="77777777" w:rsidR="003C66EB" w:rsidRDefault="003C66EB">
            <w:pPr>
              <w:rPr>
                <w:rFonts w:ascii="宋体"/>
              </w:rPr>
            </w:pPr>
          </w:p>
        </w:tc>
        <w:tc>
          <w:tcPr>
            <w:tcW w:w="1077" w:type="pct"/>
            <w:shd w:val="clear" w:color="auto" w:fill="auto"/>
          </w:tcPr>
          <w:p w14:paraId="5EA1FD28" w14:textId="77777777" w:rsidR="003C66EB" w:rsidRDefault="003C66EB">
            <w:pPr>
              <w:rPr>
                <w:rFonts w:ascii="宋体"/>
              </w:rPr>
            </w:pPr>
          </w:p>
        </w:tc>
        <w:tc>
          <w:tcPr>
            <w:tcW w:w="5" w:type="pct"/>
            <w:shd w:val="clear" w:color="auto" w:fill="auto"/>
          </w:tcPr>
          <w:p w14:paraId="5EA1FD29" w14:textId="77777777" w:rsidR="003C66EB" w:rsidRDefault="003C66EB">
            <w:pPr>
              <w:rPr>
                <w:rFonts w:ascii="宋体"/>
              </w:rPr>
            </w:pPr>
          </w:p>
        </w:tc>
        <w:tc>
          <w:tcPr>
            <w:tcW w:w="5" w:type="pct"/>
            <w:shd w:val="clear" w:color="auto" w:fill="auto"/>
          </w:tcPr>
          <w:p w14:paraId="5EA1FD2A" w14:textId="77777777" w:rsidR="003C66EB" w:rsidRDefault="003C66EB">
            <w:pPr>
              <w:rPr>
                <w:rFonts w:ascii="宋体"/>
              </w:rPr>
            </w:pPr>
          </w:p>
        </w:tc>
        <w:tc>
          <w:tcPr>
            <w:tcW w:w="52" w:type="pct"/>
            <w:shd w:val="clear" w:color="auto" w:fill="auto"/>
          </w:tcPr>
          <w:p w14:paraId="5EA1FD2B" w14:textId="77777777" w:rsidR="003C66EB" w:rsidRDefault="003C66EB">
            <w:pPr>
              <w:rPr>
                <w:rFonts w:ascii="宋体"/>
              </w:rPr>
            </w:pPr>
          </w:p>
        </w:tc>
        <w:tc>
          <w:tcPr>
            <w:tcW w:w="5" w:type="pct"/>
            <w:shd w:val="clear" w:color="auto" w:fill="auto"/>
          </w:tcPr>
          <w:p w14:paraId="5EA1FD2C" w14:textId="77777777" w:rsidR="003C66EB" w:rsidRDefault="003C66EB">
            <w:pPr>
              <w:rPr>
                <w:rFonts w:ascii="宋体"/>
              </w:rPr>
            </w:pPr>
          </w:p>
        </w:tc>
        <w:tc>
          <w:tcPr>
            <w:tcW w:w="50" w:type="pct"/>
            <w:shd w:val="clear" w:color="auto" w:fill="auto"/>
          </w:tcPr>
          <w:p w14:paraId="5EA1FD2D" w14:textId="77777777" w:rsidR="003C66EB" w:rsidRDefault="003C66EB">
            <w:pPr>
              <w:rPr>
                <w:rFonts w:ascii="宋体"/>
              </w:rPr>
            </w:pPr>
          </w:p>
        </w:tc>
        <w:tc>
          <w:tcPr>
            <w:tcW w:w="1077" w:type="pct"/>
            <w:shd w:val="clear" w:color="auto" w:fill="auto"/>
          </w:tcPr>
          <w:p w14:paraId="5EA1FD2E" w14:textId="77777777" w:rsidR="003C66EB" w:rsidRDefault="003C66EB">
            <w:pPr>
              <w:rPr>
                <w:rFonts w:ascii="宋体"/>
              </w:rPr>
            </w:pPr>
          </w:p>
        </w:tc>
        <w:tc>
          <w:tcPr>
            <w:tcW w:w="5" w:type="pct"/>
            <w:shd w:val="clear" w:color="auto" w:fill="auto"/>
          </w:tcPr>
          <w:p w14:paraId="5EA1FD2F" w14:textId="77777777" w:rsidR="003C66EB" w:rsidRDefault="003C66EB">
            <w:pPr>
              <w:rPr>
                <w:rFonts w:ascii="宋体"/>
              </w:rPr>
            </w:pPr>
          </w:p>
        </w:tc>
        <w:tc>
          <w:tcPr>
            <w:tcW w:w="0" w:type="auto"/>
            <w:gridSpan w:val="3"/>
            <w:shd w:val="clear" w:color="auto" w:fill="auto"/>
          </w:tcPr>
          <w:p w14:paraId="5EA1FD30" w14:textId="77777777" w:rsidR="003C66EB" w:rsidRDefault="003C66EB">
            <w:pPr>
              <w:rPr>
                <w:rFonts w:ascii="宋体"/>
                <w:vanish/>
              </w:rPr>
            </w:pPr>
          </w:p>
        </w:tc>
        <w:tc>
          <w:tcPr>
            <w:tcW w:w="0" w:type="auto"/>
            <w:gridSpan w:val="3"/>
            <w:shd w:val="clear" w:color="auto" w:fill="auto"/>
          </w:tcPr>
          <w:p w14:paraId="5EA1FD31" w14:textId="77777777" w:rsidR="003C66EB" w:rsidRDefault="003C66EB">
            <w:pPr>
              <w:rPr>
                <w:rFonts w:ascii="宋体"/>
                <w:vanish/>
              </w:rPr>
            </w:pPr>
          </w:p>
        </w:tc>
        <w:tc>
          <w:tcPr>
            <w:tcW w:w="0" w:type="auto"/>
            <w:gridSpan w:val="3"/>
            <w:shd w:val="clear" w:color="auto" w:fill="auto"/>
          </w:tcPr>
          <w:p w14:paraId="5EA1FD32" w14:textId="77777777" w:rsidR="003C66EB" w:rsidRDefault="003C66EB">
            <w:pPr>
              <w:rPr>
                <w:rFonts w:ascii="宋体"/>
                <w:vanish/>
              </w:rPr>
            </w:pPr>
          </w:p>
        </w:tc>
        <w:tc>
          <w:tcPr>
            <w:tcW w:w="0" w:type="auto"/>
            <w:gridSpan w:val="3"/>
            <w:shd w:val="clear" w:color="auto" w:fill="auto"/>
          </w:tcPr>
          <w:p w14:paraId="5EA1FD33" w14:textId="77777777" w:rsidR="003C66EB" w:rsidRDefault="003C66EB">
            <w:pPr>
              <w:rPr>
                <w:rFonts w:ascii="宋体"/>
                <w:vanish/>
              </w:rPr>
            </w:pPr>
          </w:p>
        </w:tc>
        <w:tc>
          <w:tcPr>
            <w:tcW w:w="0" w:type="auto"/>
            <w:gridSpan w:val="3"/>
            <w:shd w:val="clear" w:color="auto" w:fill="auto"/>
          </w:tcPr>
          <w:p w14:paraId="5EA1FD34" w14:textId="77777777" w:rsidR="003C66EB" w:rsidRDefault="003C66EB">
            <w:pPr>
              <w:rPr>
                <w:rFonts w:ascii="宋体"/>
                <w:vanish/>
              </w:rPr>
            </w:pPr>
          </w:p>
        </w:tc>
      </w:tr>
      <w:tr w:rsidR="003C66EB" w14:paraId="5EA1FD44" w14:textId="77777777">
        <w:tc>
          <w:tcPr>
            <w:tcW w:w="0" w:type="auto"/>
            <w:gridSpan w:val="12"/>
            <w:shd w:val="clear" w:color="auto" w:fill="auto"/>
            <w:tcMar>
              <w:top w:w="40" w:type="dxa"/>
              <w:left w:w="20" w:type="dxa"/>
              <w:bottom w:w="40" w:type="dxa"/>
              <w:right w:w="20" w:type="dxa"/>
            </w:tcMar>
            <w:vAlign w:val="bottom"/>
          </w:tcPr>
          <w:p w14:paraId="5EA1FD36" w14:textId="77777777" w:rsidR="003C66EB" w:rsidRDefault="00D96C4E">
            <w:pPr>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tcPr>
          <w:p w14:paraId="5EA1FD37" w14:textId="77777777" w:rsidR="003C66EB" w:rsidRDefault="003C66EB">
            <w:pPr>
              <w:rPr>
                <w:rFonts w:ascii="宋体"/>
                <w:vanish/>
              </w:rPr>
            </w:pPr>
          </w:p>
        </w:tc>
        <w:tc>
          <w:tcPr>
            <w:tcW w:w="0" w:type="auto"/>
            <w:shd w:val="clear" w:color="auto" w:fill="auto"/>
          </w:tcPr>
          <w:p w14:paraId="5EA1FD38" w14:textId="77777777" w:rsidR="003C66EB" w:rsidRDefault="003C66EB">
            <w:pPr>
              <w:rPr>
                <w:rFonts w:ascii="宋体"/>
              </w:rPr>
            </w:pPr>
          </w:p>
        </w:tc>
        <w:tc>
          <w:tcPr>
            <w:tcW w:w="0" w:type="auto"/>
            <w:shd w:val="clear" w:color="auto" w:fill="auto"/>
          </w:tcPr>
          <w:p w14:paraId="5EA1FD39" w14:textId="77777777" w:rsidR="003C66EB" w:rsidRDefault="003C66EB">
            <w:pPr>
              <w:rPr>
                <w:rFonts w:ascii="宋体"/>
              </w:rPr>
            </w:pPr>
          </w:p>
        </w:tc>
        <w:tc>
          <w:tcPr>
            <w:tcW w:w="0" w:type="auto"/>
            <w:shd w:val="clear" w:color="auto" w:fill="auto"/>
          </w:tcPr>
          <w:p w14:paraId="5EA1FD3A" w14:textId="77777777" w:rsidR="003C66EB" w:rsidRDefault="003C66EB">
            <w:pPr>
              <w:rPr>
                <w:rFonts w:ascii="宋体"/>
              </w:rPr>
            </w:pPr>
          </w:p>
        </w:tc>
        <w:tc>
          <w:tcPr>
            <w:tcW w:w="0" w:type="auto"/>
            <w:shd w:val="clear" w:color="auto" w:fill="auto"/>
          </w:tcPr>
          <w:p w14:paraId="5EA1FD3B" w14:textId="77777777" w:rsidR="003C66EB" w:rsidRDefault="003C66EB">
            <w:pPr>
              <w:rPr>
                <w:rFonts w:ascii="宋体"/>
              </w:rPr>
            </w:pPr>
          </w:p>
        </w:tc>
        <w:tc>
          <w:tcPr>
            <w:tcW w:w="0" w:type="auto"/>
            <w:shd w:val="clear" w:color="auto" w:fill="auto"/>
          </w:tcPr>
          <w:p w14:paraId="5EA1FD3C" w14:textId="77777777" w:rsidR="003C66EB" w:rsidRDefault="003C66EB">
            <w:pPr>
              <w:rPr>
                <w:rFonts w:ascii="宋体"/>
              </w:rPr>
            </w:pPr>
          </w:p>
        </w:tc>
        <w:tc>
          <w:tcPr>
            <w:tcW w:w="0" w:type="auto"/>
            <w:shd w:val="clear" w:color="auto" w:fill="auto"/>
          </w:tcPr>
          <w:p w14:paraId="5EA1FD3D" w14:textId="77777777" w:rsidR="003C66EB" w:rsidRDefault="003C66EB">
            <w:pPr>
              <w:rPr>
                <w:rFonts w:ascii="宋体"/>
              </w:rPr>
            </w:pPr>
          </w:p>
        </w:tc>
        <w:tc>
          <w:tcPr>
            <w:tcW w:w="0" w:type="auto"/>
            <w:shd w:val="clear" w:color="auto" w:fill="auto"/>
          </w:tcPr>
          <w:p w14:paraId="5EA1FD3E" w14:textId="77777777" w:rsidR="003C66EB" w:rsidRDefault="003C66EB">
            <w:pPr>
              <w:rPr>
                <w:rFonts w:ascii="宋体"/>
              </w:rPr>
            </w:pPr>
          </w:p>
        </w:tc>
        <w:tc>
          <w:tcPr>
            <w:tcW w:w="0" w:type="auto"/>
            <w:shd w:val="clear" w:color="auto" w:fill="auto"/>
          </w:tcPr>
          <w:p w14:paraId="5EA1FD3F" w14:textId="77777777" w:rsidR="003C66EB" w:rsidRDefault="003C66EB">
            <w:pPr>
              <w:rPr>
                <w:rFonts w:ascii="宋体"/>
              </w:rPr>
            </w:pPr>
          </w:p>
        </w:tc>
        <w:tc>
          <w:tcPr>
            <w:tcW w:w="0" w:type="auto"/>
            <w:shd w:val="clear" w:color="auto" w:fill="auto"/>
          </w:tcPr>
          <w:p w14:paraId="5EA1FD40" w14:textId="77777777" w:rsidR="003C66EB" w:rsidRDefault="003C66EB">
            <w:pPr>
              <w:rPr>
                <w:rFonts w:ascii="宋体"/>
              </w:rPr>
            </w:pPr>
          </w:p>
        </w:tc>
        <w:tc>
          <w:tcPr>
            <w:tcW w:w="0" w:type="auto"/>
            <w:shd w:val="clear" w:color="auto" w:fill="auto"/>
          </w:tcPr>
          <w:p w14:paraId="5EA1FD41" w14:textId="77777777" w:rsidR="003C66EB" w:rsidRDefault="003C66EB">
            <w:pPr>
              <w:rPr>
                <w:rFonts w:ascii="宋体"/>
              </w:rPr>
            </w:pPr>
          </w:p>
        </w:tc>
        <w:tc>
          <w:tcPr>
            <w:tcW w:w="0" w:type="auto"/>
            <w:shd w:val="clear" w:color="auto" w:fill="auto"/>
          </w:tcPr>
          <w:p w14:paraId="5EA1FD42" w14:textId="77777777" w:rsidR="003C66EB" w:rsidRDefault="003C66EB">
            <w:pPr>
              <w:rPr>
                <w:rFonts w:ascii="宋体"/>
              </w:rPr>
            </w:pPr>
          </w:p>
        </w:tc>
        <w:tc>
          <w:tcPr>
            <w:tcW w:w="0" w:type="auto"/>
            <w:shd w:val="clear" w:color="auto" w:fill="auto"/>
          </w:tcPr>
          <w:p w14:paraId="5EA1FD43" w14:textId="77777777" w:rsidR="003C66EB" w:rsidRDefault="003C66EB">
            <w:pPr>
              <w:rPr>
                <w:rFonts w:ascii="宋体"/>
              </w:rPr>
            </w:pPr>
          </w:p>
        </w:tc>
      </w:tr>
      <w:tr w:rsidR="003C66EB" w14:paraId="5EA1FD5A" w14:textId="77777777">
        <w:trPr>
          <w:hidden/>
        </w:trPr>
        <w:tc>
          <w:tcPr>
            <w:tcW w:w="0" w:type="auto"/>
            <w:gridSpan w:val="3"/>
            <w:shd w:val="clear" w:color="auto" w:fill="auto"/>
          </w:tcPr>
          <w:p w14:paraId="5EA1FD45" w14:textId="77777777" w:rsidR="003C66EB" w:rsidRDefault="003C66EB">
            <w:pPr>
              <w:rPr>
                <w:rFonts w:ascii="宋体"/>
                <w:vanish/>
              </w:rPr>
            </w:pPr>
          </w:p>
        </w:tc>
        <w:tc>
          <w:tcPr>
            <w:tcW w:w="0" w:type="auto"/>
            <w:gridSpan w:val="3"/>
            <w:shd w:val="clear" w:color="auto" w:fill="auto"/>
          </w:tcPr>
          <w:p w14:paraId="5EA1FD46" w14:textId="77777777" w:rsidR="003C66EB" w:rsidRDefault="003C66EB">
            <w:pPr>
              <w:rPr>
                <w:rFonts w:ascii="宋体"/>
                <w:vanish/>
              </w:rPr>
            </w:pPr>
          </w:p>
        </w:tc>
        <w:tc>
          <w:tcPr>
            <w:tcW w:w="0" w:type="auto"/>
            <w:gridSpan w:val="3"/>
            <w:shd w:val="clear" w:color="auto" w:fill="auto"/>
          </w:tcPr>
          <w:p w14:paraId="5EA1FD47" w14:textId="77777777" w:rsidR="003C66EB" w:rsidRDefault="003C66EB">
            <w:pPr>
              <w:rPr>
                <w:rFonts w:ascii="宋体"/>
                <w:vanish/>
              </w:rPr>
            </w:pPr>
          </w:p>
        </w:tc>
        <w:tc>
          <w:tcPr>
            <w:tcW w:w="0" w:type="auto"/>
            <w:shd w:val="clear" w:color="auto" w:fill="auto"/>
          </w:tcPr>
          <w:p w14:paraId="5EA1FD48" w14:textId="77777777" w:rsidR="003C66EB" w:rsidRDefault="003C66EB">
            <w:pPr>
              <w:rPr>
                <w:rFonts w:ascii="宋体"/>
              </w:rPr>
            </w:pPr>
          </w:p>
        </w:tc>
        <w:tc>
          <w:tcPr>
            <w:tcW w:w="0" w:type="auto"/>
            <w:shd w:val="clear" w:color="auto" w:fill="auto"/>
          </w:tcPr>
          <w:p w14:paraId="5EA1FD49" w14:textId="77777777" w:rsidR="003C66EB" w:rsidRDefault="003C66EB">
            <w:pPr>
              <w:rPr>
                <w:rFonts w:ascii="宋体"/>
              </w:rPr>
            </w:pPr>
          </w:p>
        </w:tc>
        <w:tc>
          <w:tcPr>
            <w:tcW w:w="0" w:type="auto"/>
            <w:shd w:val="clear" w:color="auto" w:fill="auto"/>
          </w:tcPr>
          <w:p w14:paraId="5EA1FD4A" w14:textId="77777777" w:rsidR="003C66EB" w:rsidRDefault="003C66EB">
            <w:pPr>
              <w:rPr>
                <w:rFonts w:ascii="宋体"/>
              </w:rPr>
            </w:pPr>
          </w:p>
        </w:tc>
        <w:tc>
          <w:tcPr>
            <w:tcW w:w="0" w:type="auto"/>
            <w:shd w:val="clear" w:color="auto" w:fill="auto"/>
          </w:tcPr>
          <w:p w14:paraId="5EA1FD4B" w14:textId="77777777" w:rsidR="003C66EB" w:rsidRDefault="003C66EB">
            <w:pPr>
              <w:rPr>
                <w:rFonts w:ascii="宋体"/>
              </w:rPr>
            </w:pPr>
          </w:p>
        </w:tc>
        <w:tc>
          <w:tcPr>
            <w:tcW w:w="0" w:type="auto"/>
            <w:shd w:val="clear" w:color="auto" w:fill="auto"/>
          </w:tcPr>
          <w:p w14:paraId="5EA1FD4C" w14:textId="77777777" w:rsidR="003C66EB" w:rsidRDefault="003C66EB">
            <w:pPr>
              <w:rPr>
                <w:rFonts w:ascii="宋体"/>
              </w:rPr>
            </w:pPr>
          </w:p>
        </w:tc>
        <w:tc>
          <w:tcPr>
            <w:tcW w:w="0" w:type="auto"/>
            <w:shd w:val="clear" w:color="auto" w:fill="auto"/>
          </w:tcPr>
          <w:p w14:paraId="5EA1FD4D" w14:textId="77777777" w:rsidR="003C66EB" w:rsidRDefault="003C66EB">
            <w:pPr>
              <w:rPr>
                <w:rFonts w:ascii="宋体"/>
              </w:rPr>
            </w:pPr>
          </w:p>
        </w:tc>
        <w:tc>
          <w:tcPr>
            <w:tcW w:w="0" w:type="auto"/>
            <w:shd w:val="clear" w:color="auto" w:fill="auto"/>
          </w:tcPr>
          <w:p w14:paraId="5EA1FD4E" w14:textId="77777777" w:rsidR="003C66EB" w:rsidRDefault="003C66EB">
            <w:pPr>
              <w:rPr>
                <w:rFonts w:ascii="宋体"/>
              </w:rPr>
            </w:pPr>
          </w:p>
        </w:tc>
        <w:tc>
          <w:tcPr>
            <w:tcW w:w="0" w:type="auto"/>
            <w:shd w:val="clear" w:color="auto" w:fill="auto"/>
          </w:tcPr>
          <w:p w14:paraId="5EA1FD4F" w14:textId="77777777" w:rsidR="003C66EB" w:rsidRDefault="003C66EB">
            <w:pPr>
              <w:rPr>
                <w:rFonts w:ascii="宋体"/>
              </w:rPr>
            </w:pPr>
          </w:p>
        </w:tc>
        <w:tc>
          <w:tcPr>
            <w:tcW w:w="0" w:type="auto"/>
            <w:shd w:val="clear" w:color="auto" w:fill="auto"/>
          </w:tcPr>
          <w:p w14:paraId="5EA1FD50" w14:textId="77777777" w:rsidR="003C66EB" w:rsidRDefault="003C66EB">
            <w:pPr>
              <w:rPr>
                <w:rFonts w:ascii="宋体"/>
              </w:rPr>
            </w:pPr>
          </w:p>
        </w:tc>
        <w:tc>
          <w:tcPr>
            <w:tcW w:w="0" w:type="auto"/>
            <w:shd w:val="clear" w:color="auto" w:fill="auto"/>
          </w:tcPr>
          <w:p w14:paraId="5EA1FD51" w14:textId="77777777" w:rsidR="003C66EB" w:rsidRDefault="003C66EB">
            <w:pPr>
              <w:rPr>
                <w:rFonts w:ascii="宋体"/>
              </w:rPr>
            </w:pPr>
          </w:p>
        </w:tc>
        <w:tc>
          <w:tcPr>
            <w:tcW w:w="0" w:type="auto"/>
            <w:shd w:val="clear" w:color="auto" w:fill="auto"/>
          </w:tcPr>
          <w:p w14:paraId="5EA1FD52" w14:textId="77777777" w:rsidR="003C66EB" w:rsidRDefault="003C66EB">
            <w:pPr>
              <w:rPr>
                <w:rFonts w:ascii="宋体"/>
              </w:rPr>
            </w:pPr>
          </w:p>
        </w:tc>
        <w:tc>
          <w:tcPr>
            <w:tcW w:w="0" w:type="auto"/>
            <w:shd w:val="clear" w:color="auto" w:fill="auto"/>
          </w:tcPr>
          <w:p w14:paraId="5EA1FD53" w14:textId="77777777" w:rsidR="003C66EB" w:rsidRDefault="003C66EB">
            <w:pPr>
              <w:rPr>
                <w:rFonts w:ascii="宋体"/>
              </w:rPr>
            </w:pPr>
          </w:p>
        </w:tc>
        <w:tc>
          <w:tcPr>
            <w:tcW w:w="0" w:type="auto"/>
            <w:shd w:val="clear" w:color="auto" w:fill="auto"/>
          </w:tcPr>
          <w:p w14:paraId="5EA1FD54" w14:textId="77777777" w:rsidR="003C66EB" w:rsidRDefault="003C66EB">
            <w:pPr>
              <w:rPr>
                <w:rFonts w:ascii="宋体"/>
              </w:rPr>
            </w:pPr>
          </w:p>
        </w:tc>
        <w:tc>
          <w:tcPr>
            <w:tcW w:w="0" w:type="auto"/>
            <w:shd w:val="clear" w:color="auto" w:fill="auto"/>
          </w:tcPr>
          <w:p w14:paraId="5EA1FD55" w14:textId="77777777" w:rsidR="003C66EB" w:rsidRDefault="003C66EB">
            <w:pPr>
              <w:rPr>
                <w:rFonts w:ascii="宋体"/>
              </w:rPr>
            </w:pPr>
          </w:p>
        </w:tc>
        <w:tc>
          <w:tcPr>
            <w:tcW w:w="0" w:type="auto"/>
            <w:shd w:val="clear" w:color="auto" w:fill="auto"/>
          </w:tcPr>
          <w:p w14:paraId="5EA1FD56" w14:textId="77777777" w:rsidR="003C66EB" w:rsidRDefault="003C66EB">
            <w:pPr>
              <w:rPr>
                <w:rFonts w:ascii="宋体"/>
              </w:rPr>
            </w:pPr>
          </w:p>
        </w:tc>
        <w:tc>
          <w:tcPr>
            <w:tcW w:w="0" w:type="auto"/>
            <w:shd w:val="clear" w:color="auto" w:fill="auto"/>
          </w:tcPr>
          <w:p w14:paraId="5EA1FD57" w14:textId="77777777" w:rsidR="003C66EB" w:rsidRDefault="003C66EB">
            <w:pPr>
              <w:rPr>
                <w:rFonts w:ascii="宋体"/>
              </w:rPr>
            </w:pPr>
          </w:p>
        </w:tc>
        <w:tc>
          <w:tcPr>
            <w:tcW w:w="0" w:type="auto"/>
            <w:shd w:val="clear" w:color="auto" w:fill="auto"/>
          </w:tcPr>
          <w:p w14:paraId="5EA1FD58" w14:textId="77777777" w:rsidR="003C66EB" w:rsidRDefault="003C66EB">
            <w:pPr>
              <w:rPr>
                <w:rFonts w:ascii="宋体"/>
              </w:rPr>
            </w:pPr>
          </w:p>
        </w:tc>
        <w:tc>
          <w:tcPr>
            <w:tcW w:w="0" w:type="auto"/>
            <w:shd w:val="clear" w:color="auto" w:fill="auto"/>
          </w:tcPr>
          <w:p w14:paraId="5EA1FD59" w14:textId="77777777" w:rsidR="003C66EB" w:rsidRDefault="003C66EB">
            <w:pPr>
              <w:rPr>
                <w:rFonts w:ascii="宋体"/>
              </w:rPr>
            </w:pPr>
          </w:p>
        </w:tc>
      </w:tr>
      <w:tr w:rsidR="003C66EB" w14:paraId="5EA1FD6C" w14:textId="77777777">
        <w:trPr>
          <w:hidden/>
        </w:trPr>
        <w:tc>
          <w:tcPr>
            <w:tcW w:w="0" w:type="auto"/>
            <w:gridSpan w:val="3"/>
            <w:shd w:val="clear" w:color="auto" w:fill="auto"/>
          </w:tcPr>
          <w:p w14:paraId="5EA1FD5B" w14:textId="77777777" w:rsidR="003C66EB" w:rsidRDefault="003C66EB">
            <w:pPr>
              <w:rPr>
                <w:rFonts w:ascii="宋体"/>
                <w:vanish/>
              </w:rPr>
            </w:pPr>
          </w:p>
        </w:tc>
        <w:tc>
          <w:tcPr>
            <w:tcW w:w="0" w:type="auto"/>
            <w:gridSpan w:val="3"/>
            <w:shd w:val="clear" w:color="auto" w:fill="auto"/>
          </w:tcPr>
          <w:p w14:paraId="5EA1FD5C" w14:textId="77777777" w:rsidR="003C66EB" w:rsidRDefault="003C66EB">
            <w:pPr>
              <w:rPr>
                <w:rFonts w:ascii="宋体"/>
                <w:vanish/>
              </w:rPr>
            </w:pPr>
          </w:p>
        </w:tc>
        <w:tc>
          <w:tcPr>
            <w:tcW w:w="0" w:type="auto"/>
            <w:gridSpan w:val="3"/>
            <w:shd w:val="clear" w:color="auto" w:fill="auto"/>
          </w:tcPr>
          <w:p w14:paraId="5EA1FD5D" w14:textId="77777777" w:rsidR="003C66EB" w:rsidRDefault="003C66EB">
            <w:pPr>
              <w:rPr>
                <w:rFonts w:ascii="宋体"/>
                <w:vanish/>
              </w:rPr>
            </w:pPr>
          </w:p>
        </w:tc>
        <w:tc>
          <w:tcPr>
            <w:tcW w:w="0" w:type="auto"/>
            <w:gridSpan w:val="3"/>
            <w:shd w:val="clear" w:color="auto" w:fill="auto"/>
          </w:tcPr>
          <w:p w14:paraId="5EA1FD5E" w14:textId="77777777" w:rsidR="003C66EB" w:rsidRDefault="003C66EB">
            <w:pPr>
              <w:rPr>
                <w:rFonts w:ascii="宋体"/>
                <w:vanish/>
              </w:rPr>
            </w:pPr>
          </w:p>
        </w:tc>
        <w:tc>
          <w:tcPr>
            <w:tcW w:w="0" w:type="auto"/>
            <w:gridSpan w:val="3"/>
            <w:shd w:val="clear" w:color="auto" w:fill="auto"/>
          </w:tcPr>
          <w:p w14:paraId="5EA1FD5F" w14:textId="77777777" w:rsidR="003C66EB" w:rsidRDefault="003C66EB">
            <w:pPr>
              <w:rPr>
                <w:rFonts w:ascii="宋体"/>
                <w:vanish/>
              </w:rPr>
            </w:pPr>
          </w:p>
        </w:tc>
        <w:tc>
          <w:tcPr>
            <w:tcW w:w="0" w:type="auto"/>
            <w:shd w:val="clear" w:color="auto" w:fill="auto"/>
          </w:tcPr>
          <w:p w14:paraId="5EA1FD60" w14:textId="77777777" w:rsidR="003C66EB" w:rsidRDefault="003C66EB">
            <w:pPr>
              <w:rPr>
                <w:rFonts w:ascii="宋体"/>
              </w:rPr>
            </w:pPr>
          </w:p>
        </w:tc>
        <w:tc>
          <w:tcPr>
            <w:tcW w:w="0" w:type="auto"/>
            <w:shd w:val="clear" w:color="auto" w:fill="auto"/>
          </w:tcPr>
          <w:p w14:paraId="5EA1FD61" w14:textId="77777777" w:rsidR="003C66EB" w:rsidRDefault="003C66EB">
            <w:pPr>
              <w:rPr>
                <w:rFonts w:ascii="宋体"/>
              </w:rPr>
            </w:pPr>
          </w:p>
        </w:tc>
        <w:tc>
          <w:tcPr>
            <w:tcW w:w="0" w:type="auto"/>
            <w:shd w:val="clear" w:color="auto" w:fill="auto"/>
          </w:tcPr>
          <w:p w14:paraId="5EA1FD62" w14:textId="77777777" w:rsidR="003C66EB" w:rsidRDefault="003C66EB">
            <w:pPr>
              <w:rPr>
                <w:rFonts w:ascii="宋体"/>
              </w:rPr>
            </w:pPr>
          </w:p>
        </w:tc>
        <w:tc>
          <w:tcPr>
            <w:tcW w:w="0" w:type="auto"/>
            <w:shd w:val="clear" w:color="auto" w:fill="auto"/>
          </w:tcPr>
          <w:p w14:paraId="5EA1FD63" w14:textId="77777777" w:rsidR="003C66EB" w:rsidRDefault="003C66EB">
            <w:pPr>
              <w:rPr>
                <w:rFonts w:ascii="宋体"/>
              </w:rPr>
            </w:pPr>
          </w:p>
        </w:tc>
        <w:tc>
          <w:tcPr>
            <w:tcW w:w="0" w:type="auto"/>
            <w:shd w:val="clear" w:color="auto" w:fill="auto"/>
          </w:tcPr>
          <w:p w14:paraId="5EA1FD64" w14:textId="77777777" w:rsidR="003C66EB" w:rsidRDefault="003C66EB">
            <w:pPr>
              <w:rPr>
                <w:rFonts w:ascii="宋体"/>
              </w:rPr>
            </w:pPr>
          </w:p>
        </w:tc>
        <w:tc>
          <w:tcPr>
            <w:tcW w:w="0" w:type="auto"/>
            <w:shd w:val="clear" w:color="auto" w:fill="auto"/>
          </w:tcPr>
          <w:p w14:paraId="5EA1FD65" w14:textId="77777777" w:rsidR="003C66EB" w:rsidRDefault="003C66EB">
            <w:pPr>
              <w:rPr>
                <w:rFonts w:ascii="宋体"/>
              </w:rPr>
            </w:pPr>
          </w:p>
        </w:tc>
        <w:tc>
          <w:tcPr>
            <w:tcW w:w="0" w:type="auto"/>
            <w:shd w:val="clear" w:color="auto" w:fill="auto"/>
          </w:tcPr>
          <w:p w14:paraId="5EA1FD66" w14:textId="77777777" w:rsidR="003C66EB" w:rsidRDefault="003C66EB">
            <w:pPr>
              <w:rPr>
                <w:rFonts w:ascii="宋体"/>
              </w:rPr>
            </w:pPr>
          </w:p>
        </w:tc>
        <w:tc>
          <w:tcPr>
            <w:tcW w:w="0" w:type="auto"/>
            <w:shd w:val="clear" w:color="auto" w:fill="auto"/>
          </w:tcPr>
          <w:p w14:paraId="5EA1FD67" w14:textId="77777777" w:rsidR="003C66EB" w:rsidRDefault="003C66EB">
            <w:pPr>
              <w:rPr>
                <w:rFonts w:ascii="宋体"/>
              </w:rPr>
            </w:pPr>
          </w:p>
        </w:tc>
        <w:tc>
          <w:tcPr>
            <w:tcW w:w="0" w:type="auto"/>
            <w:shd w:val="clear" w:color="auto" w:fill="auto"/>
          </w:tcPr>
          <w:p w14:paraId="5EA1FD68" w14:textId="77777777" w:rsidR="003C66EB" w:rsidRDefault="003C66EB">
            <w:pPr>
              <w:rPr>
                <w:rFonts w:ascii="宋体"/>
              </w:rPr>
            </w:pPr>
          </w:p>
        </w:tc>
        <w:tc>
          <w:tcPr>
            <w:tcW w:w="0" w:type="auto"/>
            <w:shd w:val="clear" w:color="auto" w:fill="auto"/>
          </w:tcPr>
          <w:p w14:paraId="5EA1FD69" w14:textId="77777777" w:rsidR="003C66EB" w:rsidRDefault="003C66EB">
            <w:pPr>
              <w:rPr>
                <w:rFonts w:ascii="宋体"/>
              </w:rPr>
            </w:pPr>
          </w:p>
        </w:tc>
        <w:tc>
          <w:tcPr>
            <w:tcW w:w="0" w:type="auto"/>
            <w:shd w:val="clear" w:color="auto" w:fill="auto"/>
          </w:tcPr>
          <w:p w14:paraId="5EA1FD6A" w14:textId="77777777" w:rsidR="003C66EB" w:rsidRDefault="003C66EB">
            <w:pPr>
              <w:rPr>
                <w:rFonts w:ascii="宋体"/>
              </w:rPr>
            </w:pPr>
          </w:p>
        </w:tc>
        <w:tc>
          <w:tcPr>
            <w:tcW w:w="0" w:type="auto"/>
            <w:shd w:val="clear" w:color="auto" w:fill="auto"/>
          </w:tcPr>
          <w:p w14:paraId="5EA1FD6B" w14:textId="77777777" w:rsidR="003C66EB" w:rsidRDefault="003C66EB">
            <w:pPr>
              <w:rPr>
                <w:rFonts w:ascii="宋体"/>
              </w:rPr>
            </w:pPr>
          </w:p>
        </w:tc>
      </w:tr>
      <w:tr w:rsidR="003C66EB" w14:paraId="5EA1FD76" w14:textId="77777777">
        <w:tc>
          <w:tcPr>
            <w:tcW w:w="0" w:type="auto"/>
            <w:gridSpan w:val="3"/>
            <w:shd w:val="clear" w:color="auto" w:fill="auto"/>
            <w:tcMar>
              <w:top w:w="40" w:type="dxa"/>
              <w:left w:w="20" w:type="dxa"/>
              <w:bottom w:w="40" w:type="dxa"/>
              <w:right w:w="20" w:type="dxa"/>
            </w:tcMar>
            <w:vAlign w:val="bottom"/>
          </w:tcPr>
          <w:p w14:paraId="5EA1FD6D"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1FD6E" w14:textId="77777777" w:rsidR="003C66EB" w:rsidRDefault="00D96C4E">
            <w:pPr>
              <w:jc w:val="center"/>
              <w:textAlignment w:val="bottom"/>
            </w:pPr>
            <w:r>
              <w:rPr>
                <w:rFonts w:ascii="Arial" w:eastAsia="宋体" w:hAnsi="Arial" w:cs="Arial"/>
                <w:b/>
                <w:bCs/>
                <w:color w:val="000000"/>
                <w:sz w:val="14"/>
                <w:szCs w:val="14"/>
              </w:rPr>
              <w:t>March 31, 2021</w:t>
            </w:r>
          </w:p>
        </w:tc>
        <w:tc>
          <w:tcPr>
            <w:tcW w:w="0" w:type="auto"/>
            <w:gridSpan w:val="3"/>
            <w:shd w:val="clear" w:color="auto" w:fill="auto"/>
            <w:tcMar>
              <w:top w:w="0" w:type="dxa"/>
              <w:left w:w="20" w:type="dxa"/>
              <w:bottom w:w="0" w:type="dxa"/>
              <w:right w:w="20" w:type="dxa"/>
            </w:tcMar>
          </w:tcPr>
          <w:p w14:paraId="5EA1FD6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D70" w14:textId="77777777" w:rsidR="003C66EB" w:rsidRDefault="00D96C4E">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Pr>
          <w:p w14:paraId="5EA1FD71" w14:textId="77777777" w:rsidR="003C66EB" w:rsidRDefault="003C66EB">
            <w:pPr>
              <w:rPr>
                <w:rFonts w:ascii="宋体"/>
                <w:vanish/>
              </w:rPr>
            </w:pPr>
          </w:p>
        </w:tc>
        <w:tc>
          <w:tcPr>
            <w:tcW w:w="0" w:type="auto"/>
            <w:gridSpan w:val="3"/>
            <w:shd w:val="clear" w:color="auto" w:fill="auto"/>
          </w:tcPr>
          <w:p w14:paraId="5EA1FD72" w14:textId="77777777" w:rsidR="003C66EB" w:rsidRDefault="003C66EB">
            <w:pPr>
              <w:rPr>
                <w:rFonts w:ascii="宋体"/>
                <w:vanish/>
              </w:rPr>
            </w:pPr>
          </w:p>
        </w:tc>
        <w:tc>
          <w:tcPr>
            <w:tcW w:w="0" w:type="auto"/>
            <w:gridSpan w:val="3"/>
            <w:shd w:val="clear" w:color="auto" w:fill="auto"/>
          </w:tcPr>
          <w:p w14:paraId="5EA1FD73" w14:textId="77777777" w:rsidR="003C66EB" w:rsidRDefault="003C66EB">
            <w:pPr>
              <w:rPr>
                <w:rFonts w:ascii="宋体"/>
                <w:vanish/>
              </w:rPr>
            </w:pPr>
          </w:p>
        </w:tc>
        <w:tc>
          <w:tcPr>
            <w:tcW w:w="0" w:type="auto"/>
            <w:gridSpan w:val="3"/>
            <w:shd w:val="clear" w:color="auto" w:fill="auto"/>
          </w:tcPr>
          <w:p w14:paraId="5EA1FD74" w14:textId="77777777" w:rsidR="003C66EB" w:rsidRDefault="003C66EB">
            <w:pPr>
              <w:rPr>
                <w:rFonts w:ascii="宋体"/>
                <w:vanish/>
              </w:rPr>
            </w:pPr>
          </w:p>
        </w:tc>
        <w:tc>
          <w:tcPr>
            <w:tcW w:w="0" w:type="auto"/>
            <w:gridSpan w:val="3"/>
            <w:shd w:val="clear" w:color="auto" w:fill="auto"/>
          </w:tcPr>
          <w:p w14:paraId="5EA1FD75" w14:textId="77777777" w:rsidR="003C66EB" w:rsidRDefault="003C66EB">
            <w:pPr>
              <w:rPr>
                <w:rFonts w:ascii="宋体"/>
                <w:vanish/>
              </w:rPr>
            </w:pPr>
          </w:p>
        </w:tc>
      </w:tr>
      <w:tr w:rsidR="003C66EB" w14:paraId="5EA1FD80" w14:textId="77777777">
        <w:tc>
          <w:tcPr>
            <w:tcW w:w="0" w:type="auto"/>
            <w:gridSpan w:val="3"/>
            <w:shd w:val="clear" w:color="auto" w:fill="auto"/>
            <w:tcMar>
              <w:top w:w="40" w:type="dxa"/>
              <w:left w:w="20" w:type="dxa"/>
              <w:bottom w:w="40" w:type="dxa"/>
              <w:right w:w="20" w:type="dxa"/>
            </w:tcMar>
            <w:vAlign w:val="bottom"/>
          </w:tcPr>
          <w:p w14:paraId="5EA1FD77" w14:textId="77777777" w:rsidR="003C66EB" w:rsidRDefault="00D96C4E">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5EA1FD7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D7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1FD7A" w14:textId="77777777" w:rsidR="003C66EB" w:rsidRDefault="003C66EB">
            <w:pPr>
              <w:rPr>
                <w:rFonts w:ascii="宋体"/>
              </w:rPr>
            </w:pPr>
          </w:p>
        </w:tc>
        <w:tc>
          <w:tcPr>
            <w:tcW w:w="0" w:type="auto"/>
            <w:gridSpan w:val="3"/>
            <w:shd w:val="clear" w:color="auto" w:fill="auto"/>
          </w:tcPr>
          <w:p w14:paraId="5EA1FD7B" w14:textId="77777777" w:rsidR="003C66EB" w:rsidRDefault="003C66EB">
            <w:pPr>
              <w:rPr>
                <w:rFonts w:ascii="宋体"/>
                <w:vanish/>
              </w:rPr>
            </w:pPr>
          </w:p>
        </w:tc>
        <w:tc>
          <w:tcPr>
            <w:tcW w:w="0" w:type="auto"/>
            <w:gridSpan w:val="3"/>
            <w:shd w:val="clear" w:color="auto" w:fill="auto"/>
          </w:tcPr>
          <w:p w14:paraId="5EA1FD7C" w14:textId="77777777" w:rsidR="003C66EB" w:rsidRDefault="003C66EB">
            <w:pPr>
              <w:rPr>
                <w:rFonts w:ascii="宋体"/>
                <w:vanish/>
              </w:rPr>
            </w:pPr>
          </w:p>
        </w:tc>
        <w:tc>
          <w:tcPr>
            <w:tcW w:w="0" w:type="auto"/>
            <w:gridSpan w:val="3"/>
            <w:shd w:val="clear" w:color="auto" w:fill="auto"/>
          </w:tcPr>
          <w:p w14:paraId="5EA1FD7D" w14:textId="77777777" w:rsidR="003C66EB" w:rsidRDefault="003C66EB">
            <w:pPr>
              <w:rPr>
                <w:rFonts w:ascii="宋体"/>
                <w:vanish/>
              </w:rPr>
            </w:pPr>
          </w:p>
        </w:tc>
        <w:tc>
          <w:tcPr>
            <w:tcW w:w="0" w:type="auto"/>
            <w:gridSpan w:val="3"/>
            <w:shd w:val="clear" w:color="auto" w:fill="auto"/>
          </w:tcPr>
          <w:p w14:paraId="5EA1FD7E" w14:textId="77777777" w:rsidR="003C66EB" w:rsidRDefault="003C66EB">
            <w:pPr>
              <w:rPr>
                <w:rFonts w:ascii="宋体"/>
                <w:vanish/>
              </w:rPr>
            </w:pPr>
          </w:p>
        </w:tc>
        <w:tc>
          <w:tcPr>
            <w:tcW w:w="0" w:type="auto"/>
            <w:gridSpan w:val="3"/>
            <w:shd w:val="clear" w:color="auto" w:fill="auto"/>
          </w:tcPr>
          <w:p w14:paraId="5EA1FD7F" w14:textId="77777777" w:rsidR="003C66EB" w:rsidRDefault="003C66EB">
            <w:pPr>
              <w:rPr>
                <w:rFonts w:ascii="宋体"/>
                <w:vanish/>
              </w:rPr>
            </w:pPr>
          </w:p>
        </w:tc>
      </w:tr>
      <w:tr w:rsidR="003C66EB" w14:paraId="5EA1FD8A" w14:textId="77777777">
        <w:tc>
          <w:tcPr>
            <w:tcW w:w="0" w:type="auto"/>
            <w:gridSpan w:val="3"/>
            <w:shd w:val="clear" w:color="auto" w:fill="FFFFFF"/>
            <w:tcMar>
              <w:top w:w="40" w:type="dxa"/>
              <w:left w:w="20" w:type="dxa"/>
              <w:bottom w:w="40" w:type="dxa"/>
              <w:right w:w="20" w:type="dxa"/>
            </w:tcMar>
            <w:vAlign w:val="bottom"/>
          </w:tcPr>
          <w:p w14:paraId="5EA1FD81" w14:textId="77777777" w:rsidR="003C66EB" w:rsidRDefault="00D96C4E">
            <w:pPr>
              <w:textAlignment w:val="bottom"/>
            </w:pPr>
            <w:r>
              <w:rPr>
                <w:rFonts w:ascii="Arial" w:eastAsia="宋体" w:hAnsi="Arial" w:cs="Arial"/>
                <w:color w:val="000000"/>
                <w:sz w:val="14"/>
                <w:szCs w:val="14"/>
              </w:rPr>
              <w:t xml:space="preserve">U.S. Treasury and </w:t>
            </w:r>
            <w:r>
              <w:rPr>
                <w:rFonts w:ascii="Arial" w:eastAsia="宋体" w:hAnsi="Arial" w:cs="Arial"/>
                <w:color w:val="000000"/>
                <w:sz w:val="14"/>
                <w:szCs w:val="14"/>
              </w:rPr>
              <w:t>federal agencies:</w:t>
            </w:r>
          </w:p>
        </w:tc>
        <w:tc>
          <w:tcPr>
            <w:tcW w:w="0" w:type="auto"/>
            <w:gridSpan w:val="3"/>
            <w:shd w:val="clear" w:color="auto" w:fill="FFFFFF"/>
            <w:tcMar>
              <w:top w:w="0" w:type="dxa"/>
              <w:left w:w="20" w:type="dxa"/>
              <w:bottom w:w="0" w:type="dxa"/>
              <w:right w:w="20" w:type="dxa"/>
            </w:tcMar>
          </w:tcPr>
          <w:p w14:paraId="5EA1FD8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D8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D84" w14:textId="77777777" w:rsidR="003C66EB" w:rsidRDefault="003C66EB">
            <w:pPr>
              <w:rPr>
                <w:rFonts w:ascii="宋体"/>
              </w:rPr>
            </w:pPr>
          </w:p>
        </w:tc>
        <w:tc>
          <w:tcPr>
            <w:tcW w:w="0" w:type="auto"/>
            <w:gridSpan w:val="3"/>
            <w:shd w:val="clear" w:color="auto" w:fill="auto"/>
          </w:tcPr>
          <w:p w14:paraId="5EA1FD85" w14:textId="77777777" w:rsidR="003C66EB" w:rsidRDefault="003C66EB">
            <w:pPr>
              <w:rPr>
                <w:rFonts w:ascii="宋体"/>
                <w:vanish/>
              </w:rPr>
            </w:pPr>
          </w:p>
        </w:tc>
        <w:tc>
          <w:tcPr>
            <w:tcW w:w="0" w:type="auto"/>
            <w:gridSpan w:val="3"/>
            <w:shd w:val="clear" w:color="auto" w:fill="auto"/>
          </w:tcPr>
          <w:p w14:paraId="5EA1FD86" w14:textId="77777777" w:rsidR="003C66EB" w:rsidRDefault="003C66EB">
            <w:pPr>
              <w:rPr>
                <w:rFonts w:ascii="宋体"/>
                <w:vanish/>
              </w:rPr>
            </w:pPr>
          </w:p>
        </w:tc>
        <w:tc>
          <w:tcPr>
            <w:tcW w:w="0" w:type="auto"/>
            <w:gridSpan w:val="3"/>
            <w:shd w:val="clear" w:color="auto" w:fill="auto"/>
          </w:tcPr>
          <w:p w14:paraId="5EA1FD87" w14:textId="77777777" w:rsidR="003C66EB" w:rsidRDefault="003C66EB">
            <w:pPr>
              <w:rPr>
                <w:rFonts w:ascii="宋体"/>
                <w:vanish/>
              </w:rPr>
            </w:pPr>
          </w:p>
        </w:tc>
        <w:tc>
          <w:tcPr>
            <w:tcW w:w="0" w:type="auto"/>
            <w:gridSpan w:val="3"/>
            <w:shd w:val="clear" w:color="auto" w:fill="auto"/>
          </w:tcPr>
          <w:p w14:paraId="5EA1FD88" w14:textId="77777777" w:rsidR="003C66EB" w:rsidRDefault="003C66EB">
            <w:pPr>
              <w:rPr>
                <w:rFonts w:ascii="宋体"/>
                <w:vanish/>
              </w:rPr>
            </w:pPr>
          </w:p>
        </w:tc>
        <w:tc>
          <w:tcPr>
            <w:tcW w:w="0" w:type="auto"/>
            <w:gridSpan w:val="3"/>
            <w:shd w:val="clear" w:color="auto" w:fill="auto"/>
          </w:tcPr>
          <w:p w14:paraId="5EA1FD89" w14:textId="77777777" w:rsidR="003C66EB" w:rsidRDefault="003C66EB">
            <w:pPr>
              <w:rPr>
                <w:rFonts w:ascii="宋体"/>
                <w:vanish/>
              </w:rPr>
            </w:pPr>
          </w:p>
        </w:tc>
      </w:tr>
      <w:tr w:rsidR="003C66EB" w14:paraId="5EA1FD98" w14:textId="77777777">
        <w:tc>
          <w:tcPr>
            <w:tcW w:w="0" w:type="auto"/>
            <w:gridSpan w:val="3"/>
            <w:shd w:val="clear" w:color="auto" w:fill="CCEEFF"/>
            <w:tcMar>
              <w:top w:w="40" w:type="dxa"/>
              <w:left w:w="155" w:type="dxa"/>
              <w:bottom w:w="40" w:type="dxa"/>
              <w:right w:w="20" w:type="dxa"/>
            </w:tcMar>
            <w:vAlign w:val="bottom"/>
          </w:tcPr>
          <w:p w14:paraId="5EA1FD8B" w14:textId="77777777" w:rsidR="003C66EB" w:rsidRDefault="00D96C4E">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A1FD8C"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1FD8D" w14:textId="77777777" w:rsidR="003C66EB" w:rsidRDefault="00D96C4E">
            <w:pPr>
              <w:jc w:val="right"/>
              <w:textAlignment w:val="bottom"/>
            </w:pPr>
            <w:r>
              <w:rPr>
                <w:rFonts w:ascii="Arial" w:eastAsia="宋体" w:hAnsi="Arial" w:cs="Arial"/>
                <w:b/>
                <w:bCs/>
                <w:color w:val="000000"/>
                <w:sz w:val="14"/>
                <w:szCs w:val="14"/>
              </w:rPr>
              <w:t>8,937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D8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D8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1FD90"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1FD91" w14:textId="77777777" w:rsidR="003C66EB" w:rsidRDefault="00D96C4E">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EA1FD92" w14:textId="77777777" w:rsidR="003C66EB" w:rsidRDefault="003C66EB">
            <w:pPr>
              <w:jc w:val="right"/>
              <w:rPr>
                <w:rFonts w:ascii="宋体"/>
              </w:rPr>
            </w:pPr>
          </w:p>
        </w:tc>
        <w:tc>
          <w:tcPr>
            <w:tcW w:w="0" w:type="auto"/>
            <w:gridSpan w:val="3"/>
            <w:shd w:val="clear" w:color="auto" w:fill="auto"/>
          </w:tcPr>
          <w:p w14:paraId="5EA1FD93" w14:textId="77777777" w:rsidR="003C66EB" w:rsidRDefault="003C66EB">
            <w:pPr>
              <w:rPr>
                <w:rFonts w:ascii="宋体"/>
                <w:vanish/>
              </w:rPr>
            </w:pPr>
          </w:p>
        </w:tc>
        <w:tc>
          <w:tcPr>
            <w:tcW w:w="0" w:type="auto"/>
            <w:gridSpan w:val="3"/>
            <w:shd w:val="clear" w:color="auto" w:fill="auto"/>
          </w:tcPr>
          <w:p w14:paraId="5EA1FD94" w14:textId="77777777" w:rsidR="003C66EB" w:rsidRDefault="003C66EB">
            <w:pPr>
              <w:rPr>
                <w:rFonts w:ascii="宋体"/>
                <w:vanish/>
              </w:rPr>
            </w:pPr>
          </w:p>
        </w:tc>
        <w:tc>
          <w:tcPr>
            <w:tcW w:w="0" w:type="auto"/>
            <w:gridSpan w:val="3"/>
            <w:shd w:val="clear" w:color="auto" w:fill="auto"/>
          </w:tcPr>
          <w:p w14:paraId="5EA1FD95" w14:textId="77777777" w:rsidR="003C66EB" w:rsidRDefault="003C66EB">
            <w:pPr>
              <w:rPr>
                <w:rFonts w:ascii="宋体"/>
                <w:vanish/>
              </w:rPr>
            </w:pPr>
          </w:p>
        </w:tc>
        <w:tc>
          <w:tcPr>
            <w:tcW w:w="0" w:type="auto"/>
            <w:gridSpan w:val="3"/>
            <w:shd w:val="clear" w:color="auto" w:fill="auto"/>
          </w:tcPr>
          <w:p w14:paraId="5EA1FD96" w14:textId="77777777" w:rsidR="003C66EB" w:rsidRDefault="003C66EB">
            <w:pPr>
              <w:rPr>
                <w:rFonts w:ascii="宋体"/>
                <w:vanish/>
              </w:rPr>
            </w:pPr>
          </w:p>
        </w:tc>
        <w:tc>
          <w:tcPr>
            <w:tcW w:w="0" w:type="auto"/>
            <w:gridSpan w:val="3"/>
            <w:shd w:val="clear" w:color="auto" w:fill="auto"/>
          </w:tcPr>
          <w:p w14:paraId="5EA1FD97" w14:textId="77777777" w:rsidR="003C66EB" w:rsidRDefault="003C66EB">
            <w:pPr>
              <w:rPr>
                <w:rFonts w:ascii="宋体"/>
                <w:vanish/>
              </w:rPr>
            </w:pPr>
          </w:p>
        </w:tc>
      </w:tr>
      <w:tr w:rsidR="003C66EB" w14:paraId="5EA1FDA4" w14:textId="77777777">
        <w:tc>
          <w:tcPr>
            <w:tcW w:w="0" w:type="auto"/>
            <w:gridSpan w:val="3"/>
            <w:shd w:val="clear" w:color="auto" w:fill="FFFFFF"/>
            <w:tcMar>
              <w:top w:w="40" w:type="dxa"/>
              <w:left w:w="155" w:type="dxa"/>
              <w:bottom w:w="40" w:type="dxa"/>
              <w:right w:w="20" w:type="dxa"/>
            </w:tcMar>
            <w:vAlign w:val="bottom"/>
          </w:tcPr>
          <w:p w14:paraId="5EA1FD99"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A1FD9A" w14:textId="77777777" w:rsidR="003C66EB" w:rsidRDefault="00D96C4E">
            <w:pPr>
              <w:jc w:val="right"/>
              <w:textAlignment w:val="bottom"/>
            </w:pPr>
            <w:r>
              <w:rPr>
                <w:rFonts w:ascii="Arial" w:eastAsia="宋体" w:hAnsi="Arial" w:cs="Arial"/>
                <w:b/>
                <w:bCs/>
                <w:color w:val="000000"/>
                <w:sz w:val="14"/>
                <w:szCs w:val="14"/>
              </w:rPr>
              <w:t>14,425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D9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D9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D9D" w14:textId="77777777" w:rsidR="003C66EB" w:rsidRDefault="00D96C4E">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EA1FD9E" w14:textId="77777777" w:rsidR="003C66EB" w:rsidRDefault="003C66EB">
            <w:pPr>
              <w:jc w:val="right"/>
              <w:rPr>
                <w:rFonts w:ascii="宋体"/>
              </w:rPr>
            </w:pPr>
          </w:p>
        </w:tc>
        <w:tc>
          <w:tcPr>
            <w:tcW w:w="0" w:type="auto"/>
            <w:gridSpan w:val="3"/>
            <w:shd w:val="clear" w:color="auto" w:fill="auto"/>
          </w:tcPr>
          <w:p w14:paraId="5EA1FD9F" w14:textId="77777777" w:rsidR="003C66EB" w:rsidRDefault="003C66EB">
            <w:pPr>
              <w:rPr>
                <w:rFonts w:ascii="宋体"/>
                <w:vanish/>
              </w:rPr>
            </w:pPr>
          </w:p>
        </w:tc>
        <w:tc>
          <w:tcPr>
            <w:tcW w:w="0" w:type="auto"/>
            <w:gridSpan w:val="3"/>
            <w:shd w:val="clear" w:color="auto" w:fill="auto"/>
          </w:tcPr>
          <w:p w14:paraId="5EA1FDA0" w14:textId="77777777" w:rsidR="003C66EB" w:rsidRDefault="003C66EB">
            <w:pPr>
              <w:rPr>
                <w:rFonts w:ascii="宋体"/>
                <w:vanish/>
              </w:rPr>
            </w:pPr>
          </w:p>
        </w:tc>
        <w:tc>
          <w:tcPr>
            <w:tcW w:w="0" w:type="auto"/>
            <w:gridSpan w:val="3"/>
            <w:shd w:val="clear" w:color="auto" w:fill="auto"/>
          </w:tcPr>
          <w:p w14:paraId="5EA1FDA1" w14:textId="77777777" w:rsidR="003C66EB" w:rsidRDefault="003C66EB">
            <w:pPr>
              <w:rPr>
                <w:rFonts w:ascii="宋体"/>
                <w:vanish/>
              </w:rPr>
            </w:pPr>
          </w:p>
        </w:tc>
        <w:tc>
          <w:tcPr>
            <w:tcW w:w="0" w:type="auto"/>
            <w:gridSpan w:val="3"/>
            <w:shd w:val="clear" w:color="auto" w:fill="auto"/>
          </w:tcPr>
          <w:p w14:paraId="5EA1FDA2" w14:textId="77777777" w:rsidR="003C66EB" w:rsidRDefault="003C66EB">
            <w:pPr>
              <w:rPr>
                <w:rFonts w:ascii="宋体"/>
                <w:vanish/>
              </w:rPr>
            </w:pPr>
          </w:p>
        </w:tc>
        <w:tc>
          <w:tcPr>
            <w:tcW w:w="0" w:type="auto"/>
            <w:gridSpan w:val="3"/>
            <w:shd w:val="clear" w:color="auto" w:fill="auto"/>
          </w:tcPr>
          <w:p w14:paraId="5EA1FDA3" w14:textId="77777777" w:rsidR="003C66EB" w:rsidRDefault="003C66EB">
            <w:pPr>
              <w:rPr>
                <w:rFonts w:ascii="宋体"/>
                <w:vanish/>
              </w:rPr>
            </w:pPr>
          </w:p>
        </w:tc>
      </w:tr>
      <w:tr w:rsidR="003C66EB" w14:paraId="5EA1FDB0" w14:textId="77777777">
        <w:tc>
          <w:tcPr>
            <w:tcW w:w="0" w:type="auto"/>
            <w:gridSpan w:val="3"/>
            <w:shd w:val="clear" w:color="auto" w:fill="CCEEFF"/>
            <w:tcMar>
              <w:top w:w="40" w:type="dxa"/>
              <w:left w:w="20" w:type="dxa"/>
              <w:bottom w:w="40" w:type="dxa"/>
              <w:right w:w="20" w:type="dxa"/>
            </w:tcMar>
            <w:vAlign w:val="bottom"/>
          </w:tcPr>
          <w:p w14:paraId="5EA1FDA5" w14:textId="77777777" w:rsidR="003C66EB" w:rsidRDefault="00D96C4E">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DA6" w14:textId="77777777" w:rsidR="003C66EB" w:rsidRDefault="00D96C4E">
            <w:pPr>
              <w:jc w:val="right"/>
              <w:textAlignment w:val="bottom"/>
            </w:pPr>
            <w:r>
              <w:rPr>
                <w:rFonts w:ascii="Arial" w:eastAsia="宋体" w:hAnsi="Arial" w:cs="Arial"/>
                <w:b/>
                <w:bCs/>
                <w:color w:val="000000"/>
                <w:sz w:val="14"/>
                <w:szCs w:val="14"/>
              </w:rPr>
              <w:t>23,362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DA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DA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DA9" w14:textId="77777777" w:rsidR="003C66EB" w:rsidRDefault="00D96C4E">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DAA" w14:textId="77777777" w:rsidR="003C66EB" w:rsidRDefault="003C66EB">
            <w:pPr>
              <w:jc w:val="right"/>
              <w:rPr>
                <w:rFonts w:ascii="宋体"/>
              </w:rPr>
            </w:pPr>
          </w:p>
        </w:tc>
        <w:tc>
          <w:tcPr>
            <w:tcW w:w="0" w:type="auto"/>
            <w:gridSpan w:val="3"/>
            <w:shd w:val="clear" w:color="auto" w:fill="auto"/>
          </w:tcPr>
          <w:p w14:paraId="5EA1FDAB" w14:textId="77777777" w:rsidR="003C66EB" w:rsidRDefault="003C66EB">
            <w:pPr>
              <w:rPr>
                <w:rFonts w:ascii="宋体"/>
                <w:vanish/>
              </w:rPr>
            </w:pPr>
          </w:p>
        </w:tc>
        <w:tc>
          <w:tcPr>
            <w:tcW w:w="0" w:type="auto"/>
            <w:gridSpan w:val="3"/>
            <w:shd w:val="clear" w:color="auto" w:fill="auto"/>
          </w:tcPr>
          <w:p w14:paraId="5EA1FDAC" w14:textId="77777777" w:rsidR="003C66EB" w:rsidRDefault="003C66EB">
            <w:pPr>
              <w:rPr>
                <w:rFonts w:ascii="宋体"/>
                <w:vanish/>
              </w:rPr>
            </w:pPr>
          </w:p>
        </w:tc>
        <w:tc>
          <w:tcPr>
            <w:tcW w:w="0" w:type="auto"/>
            <w:gridSpan w:val="3"/>
            <w:shd w:val="clear" w:color="auto" w:fill="auto"/>
          </w:tcPr>
          <w:p w14:paraId="5EA1FDAD" w14:textId="77777777" w:rsidR="003C66EB" w:rsidRDefault="003C66EB">
            <w:pPr>
              <w:rPr>
                <w:rFonts w:ascii="宋体"/>
                <w:vanish/>
              </w:rPr>
            </w:pPr>
          </w:p>
        </w:tc>
        <w:tc>
          <w:tcPr>
            <w:tcW w:w="0" w:type="auto"/>
            <w:gridSpan w:val="3"/>
            <w:shd w:val="clear" w:color="auto" w:fill="auto"/>
          </w:tcPr>
          <w:p w14:paraId="5EA1FDAE" w14:textId="77777777" w:rsidR="003C66EB" w:rsidRDefault="003C66EB">
            <w:pPr>
              <w:rPr>
                <w:rFonts w:ascii="宋体"/>
                <w:vanish/>
              </w:rPr>
            </w:pPr>
          </w:p>
        </w:tc>
        <w:tc>
          <w:tcPr>
            <w:tcW w:w="0" w:type="auto"/>
            <w:gridSpan w:val="3"/>
            <w:shd w:val="clear" w:color="auto" w:fill="auto"/>
          </w:tcPr>
          <w:p w14:paraId="5EA1FDAF" w14:textId="77777777" w:rsidR="003C66EB" w:rsidRDefault="003C66EB">
            <w:pPr>
              <w:rPr>
                <w:rFonts w:ascii="宋体"/>
                <w:vanish/>
              </w:rPr>
            </w:pPr>
          </w:p>
        </w:tc>
      </w:tr>
      <w:tr w:rsidR="003C66EB" w14:paraId="5EA1FDBA" w14:textId="77777777">
        <w:tc>
          <w:tcPr>
            <w:tcW w:w="0" w:type="auto"/>
            <w:gridSpan w:val="3"/>
            <w:shd w:val="clear" w:color="auto" w:fill="FFFFFF"/>
            <w:tcMar>
              <w:top w:w="40" w:type="dxa"/>
              <w:left w:w="20" w:type="dxa"/>
              <w:bottom w:w="40" w:type="dxa"/>
              <w:right w:w="20" w:type="dxa"/>
            </w:tcMar>
            <w:vAlign w:val="bottom"/>
          </w:tcPr>
          <w:p w14:paraId="5EA1FDB1"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1FDB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DB3"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1FDB4" w14:textId="77777777" w:rsidR="003C66EB" w:rsidRDefault="003C66EB">
            <w:pPr>
              <w:rPr>
                <w:rFonts w:ascii="宋体"/>
              </w:rPr>
            </w:pPr>
          </w:p>
        </w:tc>
        <w:tc>
          <w:tcPr>
            <w:tcW w:w="0" w:type="auto"/>
            <w:gridSpan w:val="3"/>
            <w:shd w:val="clear" w:color="auto" w:fill="auto"/>
          </w:tcPr>
          <w:p w14:paraId="5EA1FDB5" w14:textId="77777777" w:rsidR="003C66EB" w:rsidRDefault="003C66EB">
            <w:pPr>
              <w:rPr>
                <w:rFonts w:ascii="宋体"/>
                <w:vanish/>
              </w:rPr>
            </w:pPr>
          </w:p>
        </w:tc>
        <w:tc>
          <w:tcPr>
            <w:tcW w:w="0" w:type="auto"/>
            <w:gridSpan w:val="3"/>
            <w:shd w:val="clear" w:color="auto" w:fill="auto"/>
          </w:tcPr>
          <w:p w14:paraId="5EA1FDB6" w14:textId="77777777" w:rsidR="003C66EB" w:rsidRDefault="003C66EB">
            <w:pPr>
              <w:rPr>
                <w:rFonts w:ascii="宋体"/>
                <w:vanish/>
              </w:rPr>
            </w:pPr>
          </w:p>
        </w:tc>
        <w:tc>
          <w:tcPr>
            <w:tcW w:w="0" w:type="auto"/>
            <w:gridSpan w:val="3"/>
            <w:shd w:val="clear" w:color="auto" w:fill="auto"/>
          </w:tcPr>
          <w:p w14:paraId="5EA1FDB7" w14:textId="77777777" w:rsidR="003C66EB" w:rsidRDefault="003C66EB">
            <w:pPr>
              <w:rPr>
                <w:rFonts w:ascii="宋体"/>
                <w:vanish/>
              </w:rPr>
            </w:pPr>
          </w:p>
        </w:tc>
        <w:tc>
          <w:tcPr>
            <w:tcW w:w="0" w:type="auto"/>
            <w:gridSpan w:val="3"/>
            <w:shd w:val="clear" w:color="auto" w:fill="auto"/>
          </w:tcPr>
          <w:p w14:paraId="5EA1FDB8" w14:textId="77777777" w:rsidR="003C66EB" w:rsidRDefault="003C66EB">
            <w:pPr>
              <w:rPr>
                <w:rFonts w:ascii="宋体"/>
                <w:vanish/>
              </w:rPr>
            </w:pPr>
          </w:p>
        </w:tc>
        <w:tc>
          <w:tcPr>
            <w:tcW w:w="0" w:type="auto"/>
            <w:gridSpan w:val="3"/>
            <w:shd w:val="clear" w:color="auto" w:fill="auto"/>
          </w:tcPr>
          <w:p w14:paraId="5EA1FDB9" w14:textId="77777777" w:rsidR="003C66EB" w:rsidRDefault="003C66EB">
            <w:pPr>
              <w:rPr>
                <w:rFonts w:ascii="宋体"/>
                <w:vanish/>
              </w:rPr>
            </w:pPr>
          </w:p>
        </w:tc>
      </w:tr>
      <w:tr w:rsidR="003C66EB" w14:paraId="5EA1FDC6" w14:textId="77777777">
        <w:tc>
          <w:tcPr>
            <w:tcW w:w="0" w:type="auto"/>
            <w:gridSpan w:val="3"/>
            <w:shd w:val="clear" w:color="auto" w:fill="CCEEFF"/>
            <w:tcMar>
              <w:top w:w="40" w:type="dxa"/>
              <w:left w:w="20" w:type="dxa"/>
              <w:bottom w:w="40" w:type="dxa"/>
              <w:right w:w="20" w:type="dxa"/>
            </w:tcMar>
            <w:vAlign w:val="bottom"/>
          </w:tcPr>
          <w:p w14:paraId="5EA1FDBB" w14:textId="77777777" w:rsidR="003C66EB" w:rsidRDefault="00D96C4E">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(1)</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5EA1FDBC" w14:textId="77777777" w:rsidR="003C66EB" w:rsidRDefault="00D96C4E">
            <w:pPr>
              <w:jc w:val="right"/>
              <w:textAlignment w:val="bottom"/>
            </w:pPr>
            <w:r>
              <w:rPr>
                <w:rFonts w:ascii="Arial" w:eastAsia="宋体" w:hAnsi="Arial" w:cs="Arial"/>
                <w:b/>
                <w:bCs/>
                <w:color w:val="000000"/>
                <w:sz w:val="14"/>
                <w:szCs w:val="14"/>
              </w:rPr>
              <w:t>288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DB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DB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DBF" w14:textId="77777777" w:rsidR="003C66EB" w:rsidRDefault="00D96C4E">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EA1FDC0" w14:textId="77777777" w:rsidR="003C66EB" w:rsidRDefault="003C66EB">
            <w:pPr>
              <w:jc w:val="right"/>
              <w:rPr>
                <w:rFonts w:ascii="宋体"/>
              </w:rPr>
            </w:pPr>
          </w:p>
        </w:tc>
        <w:tc>
          <w:tcPr>
            <w:tcW w:w="0" w:type="auto"/>
            <w:gridSpan w:val="3"/>
            <w:shd w:val="clear" w:color="auto" w:fill="auto"/>
          </w:tcPr>
          <w:p w14:paraId="5EA1FDC1" w14:textId="77777777" w:rsidR="003C66EB" w:rsidRDefault="003C66EB">
            <w:pPr>
              <w:rPr>
                <w:rFonts w:ascii="宋体"/>
                <w:vanish/>
              </w:rPr>
            </w:pPr>
          </w:p>
        </w:tc>
        <w:tc>
          <w:tcPr>
            <w:tcW w:w="0" w:type="auto"/>
            <w:gridSpan w:val="3"/>
            <w:shd w:val="clear" w:color="auto" w:fill="auto"/>
          </w:tcPr>
          <w:p w14:paraId="5EA1FDC2" w14:textId="77777777" w:rsidR="003C66EB" w:rsidRDefault="003C66EB">
            <w:pPr>
              <w:rPr>
                <w:rFonts w:ascii="宋体"/>
                <w:vanish/>
              </w:rPr>
            </w:pPr>
          </w:p>
        </w:tc>
        <w:tc>
          <w:tcPr>
            <w:tcW w:w="0" w:type="auto"/>
            <w:gridSpan w:val="3"/>
            <w:shd w:val="clear" w:color="auto" w:fill="auto"/>
          </w:tcPr>
          <w:p w14:paraId="5EA1FDC3" w14:textId="77777777" w:rsidR="003C66EB" w:rsidRDefault="003C66EB">
            <w:pPr>
              <w:rPr>
                <w:rFonts w:ascii="宋体"/>
                <w:vanish/>
              </w:rPr>
            </w:pPr>
          </w:p>
        </w:tc>
        <w:tc>
          <w:tcPr>
            <w:tcW w:w="0" w:type="auto"/>
            <w:gridSpan w:val="3"/>
            <w:shd w:val="clear" w:color="auto" w:fill="auto"/>
          </w:tcPr>
          <w:p w14:paraId="5EA1FDC4" w14:textId="77777777" w:rsidR="003C66EB" w:rsidRDefault="003C66EB">
            <w:pPr>
              <w:rPr>
                <w:rFonts w:ascii="宋体"/>
                <w:vanish/>
              </w:rPr>
            </w:pPr>
          </w:p>
        </w:tc>
        <w:tc>
          <w:tcPr>
            <w:tcW w:w="0" w:type="auto"/>
            <w:gridSpan w:val="3"/>
            <w:shd w:val="clear" w:color="auto" w:fill="auto"/>
          </w:tcPr>
          <w:p w14:paraId="5EA1FDC5" w14:textId="77777777" w:rsidR="003C66EB" w:rsidRDefault="003C66EB">
            <w:pPr>
              <w:rPr>
                <w:rFonts w:ascii="宋体"/>
                <w:vanish/>
              </w:rPr>
            </w:pPr>
          </w:p>
        </w:tc>
      </w:tr>
      <w:tr w:rsidR="003C66EB" w14:paraId="5EA1FDD2" w14:textId="77777777">
        <w:tc>
          <w:tcPr>
            <w:tcW w:w="0" w:type="auto"/>
            <w:gridSpan w:val="3"/>
            <w:shd w:val="clear" w:color="auto" w:fill="FFFFFF"/>
            <w:tcMar>
              <w:top w:w="40" w:type="dxa"/>
              <w:left w:w="155" w:type="dxa"/>
              <w:bottom w:w="40" w:type="dxa"/>
              <w:right w:w="20" w:type="dxa"/>
            </w:tcMar>
            <w:vAlign w:val="bottom"/>
          </w:tcPr>
          <w:p w14:paraId="5EA1FDC7" w14:textId="77777777" w:rsidR="003C66EB" w:rsidRDefault="00D96C4E">
            <w:pPr>
              <w:textAlignment w:val="bottom"/>
            </w:pPr>
            <w:r>
              <w:rPr>
                <w:rFonts w:ascii="Arial" w:eastAsia="宋体" w:hAnsi="Arial" w:cs="Arial"/>
                <w:color w:val="000000"/>
                <w:sz w:val="14"/>
                <w:szCs w:val="14"/>
              </w:rPr>
              <w:t>Credit cards</w:t>
            </w:r>
          </w:p>
        </w:tc>
        <w:tc>
          <w:tcPr>
            <w:tcW w:w="0" w:type="auto"/>
            <w:gridSpan w:val="2"/>
            <w:shd w:val="clear" w:color="auto" w:fill="FFFFFF"/>
            <w:tcMar>
              <w:top w:w="40" w:type="dxa"/>
              <w:left w:w="20" w:type="dxa"/>
              <w:bottom w:w="40" w:type="dxa"/>
              <w:right w:w="0" w:type="dxa"/>
            </w:tcMar>
            <w:vAlign w:val="bottom"/>
          </w:tcPr>
          <w:p w14:paraId="5EA1FDC8" w14:textId="77777777" w:rsidR="003C66EB" w:rsidRDefault="00D96C4E">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DC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DC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DCB" w14:textId="77777777" w:rsidR="003C66EB" w:rsidRDefault="00D96C4E">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EA1FDCC" w14:textId="77777777" w:rsidR="003C66EB" w:rsidRDefault="003C66EB">
            <w:pPr>
              <w:jc w:val="right"/>
              <w:rPr>
                <w:rFonts w:ascii="宋体"/>
              </w:rPr>
            </w:pPr>
          </w:p>
        </w:tc>
        <w:tc>
          <w:tcPr>
            <w:tcW w:w="0" w:type="auto"/>
            <w:gridSpan w:val="3"/>
            <w:shd w:val="clear" w:color="auto" w:fill="auto"/>
          </w:tcPr>
          <w:p w14:paraId="5EA1FDCD" w14:textId="77777777" w:rsidR="003C66EB" w:rsidRDefault="003C66EB">
            <w:pPr>
              <w:rPr>
                <w:rFonts w:ascii="宋体"/>
                <w:vanish/>
              </w:rPr>
            </w:pPr>
          </w:p>
        </w:tc>
        <w:tc>
          <w:tcPr>
            <w:tcW w:w="0" w:type="auto"/>
            <w:gridSpan w:val="3"/>
            <w:shd w:val="clear" w:color="auto" w:fill="auto"/>
          </w:tcPr>
          <w:p w14:paraId="5EA1FDCE" w14:textId="77777777" w:rsidR="003C66EB" w:rsidRDefault="003C66EB">
            <w:pPr>
              <w:rPr>
                <w:rFonts w:ascii="宋体"/>
                <w:vanish/>
              </w:rPr>
            </w:pPr>
          </w:p>
        </w:tc>
        <w:tc>
          <w:tcPr>
            <w:tcW w:w="0" w:type="auto"/>
            <w:gridSpan w:val="3"/>
            <w:shd w:val="clear" w:color="auto" w:fill="auto"/>
          </w:tcPr>
          <w:p w14:paraId="5EA1FDCF" w14:textId="77777777" w:rsidR="003C66EB" w:rsidRDefault="003C66EB">
            <w:pPr>
              <w:rPr>
                <w:rFonts w:ascii="宋体"/>
                <w:vanish/>
              </w:rPr>
            </w:pPr>
          </w:p>
        </w:tc>
        <w:tc>
          <w:tcPr>
            <w:tcW w:w="0" w:type="auto"/>
            <w:gridSpan w:val="3"/>
            <w:shd w:val="clear" w:color="auto" w:fill="auto"/>
          </w:tcPr>
          <w:p w14:paraId="5EA1FDD0" w14:textId="77777777" w:rsidR="003C66EB" w:rsidRDefault="003C66EB">
            <w:pPr>
              <w:rPr>
                <w:rFonts w:ascii="宋体"/>
                <w:vanish/>
              </w:rPr>
            </w:pPr>
          </w:p>
        </w:tc>
        <w:tc>
          <w:tcPr>
            <w:tcW w:w="0" w:type="auto"/>
            <w:gridSpan w:val="3"/>
            <w:shd w:val="clear" w:color="auto" w:fill="auto"/>
          </w:tcPr>
          <w:p w14:paraId="5EA1FDD1" w14:textId="77777777" w:rsidR="003C66EB" w:rsidRDefault="003C66EB">
            <w:pPr>
              <w:rPr>
                <w:rFonts w:ascii="宋体"/>
                <w:vanish/>
              </w:rPr>
            </w:pPr>
          </w:p>
        </w:tc>
      </w:tr>
      <w:tr w:rsidR="003C66EB" w14:paraId="5EA1FDDC" w14:textId="77777777">
        <w:trPr>
          <w:hidden/>
        </w:trPr>
        <w:tc>
          <w:tcPr>
            <w:tcW w:w="0" w:type="auto"/>
            <w:gridSpan w:val="3"/>
            <w:shd w:val="clear" w:color="auto" w:fill="auto"/>
          </w:tcPr>
          <w:p w14:paraId="5EA1FDD3" w14:textId="77777777" w:rsidR="003C66EB" w:rsidRDefault="003C66EB">
            <w:pPr>
              <w:rPr>
                <w:rFonts w:ascii="宋体"/>
                <w:vanish/>
              </w:rPr>
            </w:pPr>
          </w:p>
        </w:tc>
        <w:tc>
          <w:tcPr>
            <w:tcW w:w="0" w:type="auto"/>
            <w:gridSpan w:val="3"/>
            <w:shd w:val="clear" w:color="auto" w:fill="auto"/>
          </w:tcPr>
          <w:p w14:paraId="5EA1FDD4" w14:textId="77777777" w:rsidR="003C66EB" w:rsidRDefault="003C66EB">
            <w:pPr>
              <w:rPr>
                <w:rFonts w:ascii="宋体"/>
                <w:vanish/>
              </w:rPr>
            </w:pPr>
          </w:p>
        </w:tc>
        <w:tc>
          <w:tcPr>
            <w:tcW w:w="0" w:type="auto"/>
            <w:gridSpan w:val="3"/>
            <w:shd w:val="clear" w:color="auto" w:fill="auto"/>
          </w:tcPr>
          <w:p w14:paraId="5EA1FDD5" w14:textId="77777777" w:rsidR="003C66EB" w:rsidRDefault="003C66EB">
            <w:pPr>
              <w:rPr>
                <w:rFonts w:ascii="宋体"/>
                <w:vanish/>
              </w:rPr>
            </w:pPr>
          </w:p>
        </w:tc>
        <w:tc>
          <w:tcPr>
            <w:tcW w:w="0" w:type="auto"/>
            <w:gridSpan w:val="3"/>
            <w:shd w:val="clear" w:color="auto" w:fill="auto"/>
          </w:tcPr>
          <w:p w14:paraId="5EA1FDD6" w14:textId="77777777" w:rsidR="003C66EB" w:rsidRDefault="003C66EB">
            <w:pPr>
              <w:rPr>
                <w:rFonts w:ascii="宋体"/>
                <w:vanish/>
              </w:rPr>
            </w:pPr>
          </w:p>
        </w:tc>
        <w:tc>
          <w:tcPr>
            <w:tcW w:w="0" w:type="auto"/>
            <w:gridSpan w:val="3"/>
            <w:shd w:val="clear" w:color="auto" w:fill="auto"/>
          </w:tcPr>
          <w:p w14:paraId="5EA1FDD7" w14:textId="77777777" w:rsidR="003C66EB" w:rsidRDefault="003C66EB">
            <w:pPr>
              <w:rPr>
                <w:rFonts w:ascii="宋体"/>
                <w:vanish/>
              </w:rPr>
            </w:pPr>
          </w:p>
        </w:tc>
        <w:tc>
          <w:tcPr>
            <w:tcW w:w="0" w:type="auto"/>
            <w:gridSpan w:val="3"/>
            <w:shd w:val="clear" w:color="auto" w:fill="auto"/>
          </w:tcPr>
          <w:p w14:paraId="5EA1FDD8" w14:textId="77777777" w:rsidR="003C66EB" w:rsidRDefault="003C66EB">
            <w:pPr>
              <w:rPr>
                <w:rFonts w:ascii="宋体"/>
                <w:vanish/>
              </w:rPr>
            </w:pPr>
          </w:p>
        </w:tc>
        <w:tc>
          <w:tcPr>
            <w:tcW w:w="0" w:type="auto"/>
            <w:gridSpan w:val="3"/>
            <w:shd w:val="clear" w:color="auto" w:fill="auto"/>
          </w:tcPr>
          <w:p w14:paraId="5EA1FDD9" w14:textId="77777777" w:rsidR="003C66EB" w:rsidRDefault="003C66EB">
            <w:pPr>
              <w:rPr>
                <w:rFonts w:ascii="宋体"/>
                <w:vanish/>
              </w:rPr>
            </w:pPr>
          </w:p>
        </w:tc>
        <w:tc>
          <w:tcPr>
            <w:tcW w:w="0" w:type="auto"/>
            <w:gridSpan w:val="3"/>
            <w:shd w:val="clear" w:color="auto" w:fill="auto"/>
          </w:tcPr>
          <w:p w14:paraId="5EA1FDDA" w14:textId="77777777" w:rsidR="003C66EB" w:rsidRDefault="003C66EB">
            <w:pPr>
              <w:rPr>
                <w:rFonts w:ascii="宋体"/>
                <w:vanish/>
              </w:rPr>
            </w:pPr>
          </w:p>
        </w:tc>
        <w:tc>
          <w:tcPr>
            <w:tcW w:w="0" w:type="auto"/>
            <w:gridSpan w:val="3"/>
            <w:shd w:val="clear" w:color="auto" w:fill="auto"/>
          </w:tcPr>
          <w:p w14:paraId="5EA1FDDB" w14:textId="77777777" w:rsidR="003C66EB" w:rsidRDefault="003C66EB">
            <w:pPr>
              <w:rPr>
                <w:rFonts w:ascii="宋体"/>
                <w:vanish/>
              </w:rPr>
            </w:pPr>
          </w:p>
        </w:tc>
      </w:tr>
      <w:tr w:rsidR="003C66EB" w14:paraId="5EA1FDE8" w14:textId="77777777">
        <w:tc>
          <w:tcPr>
            <w:tcW w:w="0" w:type="auto"/>
            <w:gridSpan w:val="3"/>
            <w:shd w:val="clear" w:color="auto" w:fill="CCEEFF"/>
            <w:tcMar>
              <w:top w:w="40" w:type="dxa"/>
              <w:left w:w="155" w:type="dxa"/>
              <w:bottom w:w="40" w:type="dxa"/>
              <w:right w:w="20" w:type="dxa"/>
            </w:tcMar>
            <w:vAlign w:val="bottom"/>
          </w:tcPr>
          <w:p w14:paraId="5EA1FDDD" w14:textId="77777777" w:rsidR="003C66EB" w:rsidRDefault="00D96C4E">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5EA1FDDE" w14:textId="77777777" w:rsidR="003C66EB" w:rsidRDefault="00D96C4E">
            <w:pPr>
              <w:jc w:val="right"/>
              <w:textAlignment w:val="bottom"/>
            </w:pPr>
            <w:r>
              <w:rPr>
                <w:rFonts w:ascii="Arial" w:eastAsia="宋体" w:hAnsi="Arial" w:cs="Arial"/>
                <w:b/>
                <w:bCs/>
                <w:color w:val="000000"/>
                <w:sz w:val="14"/>
                <w:szCs w:val="14"/>
              </w:rPr>
              <w:t>3,775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D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DE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DE1" w14:textId="77777777" w:rsidR="003C66EB" w:rsidRDefault="00D96C4E">
            <w:pPr>
              <w:jc w:val="right"/>
              <w:textAlignment w:val="bottom"/>
            </w:pPr>
            <w:r>
              <w:rPr>
                <w:rFonts w:ascii="Arial" w:eastAsia="宋体" w:hAnsi="Arial" w:cs="Arial"/>
                <w:color w:val="000000"/>
                <w:sz w:val="14"/>
                <w:szCs w:val="14"/>
              </w:rPr>
              <w:t>2,966 </w:t>
            </w:r>
          </w:p>
        </w:tc>
        <w:tc>
          <w:tcPr>
            <w:tcW w:w="0" w:type="auto"/>
            <w:shd w:val="clear" w:color="auto" w:fill="CCEEFF"/>
            <w:tcMar>
              <w:top w:w="40" w:type="dxa"/>
              <w:left w:w="0" w:type="dxa"/>
              <w:bottom w:w="40" w:type="dxa"/>
              <w:right w:w="20" w:type="dxa"/>
            </w:tcMar>
            <w:vAlign w:val="bottom"/>
          </w:tcPr>
          <w:p w14:paraId="5EA1FDE2" w14:textId="77777777" w:rsidR="003C66EB" w:rsidRDefault="003C66EB">
            <w:pPr>
              <w:jc w:val="right"/>
              <w:rPr>
                <w:rFonts w:ascii="宋体"/>
              </w:rPr>
            </w:pPr>
          </w:p>
        </w:tc>
        <w:tc>
          <w:tcPr>
            <w:tcW w:w="0" w:type="auto"/>
            <w:gridSpan w:val="3"/>
            <w:shd w:val="clear" w:color="auto" w:fill="auto"/>
          </w:tcPr>
          <w:p w14:paraId="5EA1FDE3" w14:textId="77777777" w:rsidR="003C66EB" w:rsidRDefault="003C66EB">
            <w:pPr>
              <w:rPr>
                <w:rFonts w:ascii="宋体"/>
                <w:vanish/>
              </w:rPr>
            </w:pPr>
          </w:p>
        </w:tc>
        <w:tc>
          <w:tcPr>
            <w:tcW w:w="0" w:type="auto"/>
            <w:gridSpan w:val="3"/>
            <w:shd w:val="clear" w:color="auto" w:fill="auto"/>
          </w:tcPr>
          <w:p w14:paraId="5EA1FDE4" w14:textId="77777777" w:rsidR="003C66EB" w:rsidRDefault="003C66EB">
            <w:pPr>
              <w:rPr>
                <w:rFonts w:ascii="宋体"/>
                <w:vanish/>
              </w:rPr>
            </w:pPr>
          </w:p>
        </w:tc>
        <w:tc>
          <w:tcPr>
            <w:tcW w:w="0" w:type="auto"/>
            <w:gridSpan w:val="3"/>
            <w:shd w:val="clear" w:color="auto" w:fill="auto"/>
          </w:tcPr>
          <w:p w14:paraId="5EA1FDE5" w14:textId="77777777" w:rsidR="003C66EB" w:rsidRDefault="003C66EB">
            <w:pPr>
              <w:rPr>
                <w:rFonts w:ascii="宋体"/>
                <w:vanish/>
              </w:rPr>
            </w:pPr>
          </w:p>
        </w:tc>
        <w:tc>
          <w:tcPr>
            <w:tcW w:w="0" w:type="auto"/>
            <w:gridSpan w:val="3"/>
            <w:shd w:val="clear" w:color="auto" w:fill="auto"/>
          </w:tcPr>
          <w:p w14:paraId="5EA1FDE6" w14:textId="77777777" w:rsidR="003C66EB" w:rsidRDefault="003C66EB">
            <w:pPr>
              <w:rPr>
                <w:rFonts w:ascii="宋体"/>
                <w:vanish/>
              </w:rPr>
            </w:pPr>
          </w:p>
        </w:tc>
        <w:tc>
          <w:tcPr>
            <w:tcW w:w="0" w:type="auto"/>
            <w:gridSpan w:val="3"/>
            <w:shd w:val="clear" w:color="auto" w:fill="auto"/>
          </w:tcPr>
          <w:p w14:paraId="5EA1FDE7" w14:textId="77777777" w:rsidR="003C66EB" w:rsidRDefault="003C66EB">
            <w:pPr>
              <w:rPr>
                <w:rFonts w:ascii="宋体"/>
                <w:vanish/>
              </w:rPr>
            </w:pPr>
          </w:p>
        </w:tc>
      </w:tr>
      <w:tr w:rsidR="003C66EB" w14:paraId="5EA1FDF4" w14:textId="77777777">
        <w:tc>
          <w:tcPr>
            <w:tcW w:w="0" w:type="auto"/>
            <w:gridSpan w:val="3"/>
            <w:shd w:val="clear" w:color="auto" w:fill="FFFFFF"/>
            <w:tcMar>
              <w:top w:w="40" w:type="dxa"/>
              <w:left w:w="20" w:type="dxa"/>
              <w:bottom w:w="40" w:type="dxa"/>
              <w:right w:w="20" w:type="dxa"/>
            </w:tcMar>
            <w:vAlign w:val="bottom"/>
          </w:tcPr>
          <w:p w14:paraId="5EA1FDE9" w14:textId="77777777" w:rsidR="003C66EB" w:rsidRDefault="00D96C4E">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1FDEA" w14:textId="77777777" w:rsidR="003C66EB" w:rsidRDefault="00D96C4E">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D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DE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DED" w14:textId="77777777" w:rsidR="003C66EB" w:rsidRDefault="00D96C4E">
            <w:pPr>
              <w:jc w:val="right"/>
              <w:textAlignment w:val="bottom"/>
            </w:pPr>
            <w:r>
              <w:rPr>
                <w:rFonts w:ascii="Arial" w:eastAsia="宋体" w:hAnsi="Arial" w:cs="Arial"/>
                <w:color w:val="000000"/>
                <w:sz w:val="14"/>
                <w:szCs w:val="14"/>
              </w:rPr>
              <w:t>78 </w:t>
            </w:r>
          </w:p>
        </w:tc>
        <w:tc>
          <w:tcPr>
            <w:tcW w:w="0" w:type="auto"/>
            <w:shd w:val="clear" w:color="auto" w:fill="FFFFFF"/>
            <w:tcMar>
              <w:top w:w="40" w:type="dxa"/>
              <w:left w:w="0" w:type="dxa"/>
              <w:bottom w:w="40" w:type="dxa"/>
              <w:right w:w="20" w:type="dxa"/>
            </w:tcMar>
            <w:vAlign w:val="bottom"/>
          </w:tcPr>
          <w:p w14:paraId="5EA1FDEE" w14:textId="77777777" w:rsidR="003C66EB" w:rsidRDefault="003C66EB">
            <w:pPr>
              <w:jc w:val="right"/>
              <w:rPr>
                <w:rFonts w:ascii="宋体"/>
              </w:rPr>
            </w:pPr>
          </w:p>
        </w:tc>
        <w:tc>
          <w:tcPr>
            <w:tcW w:w="0" w:type="auto"/>
            <w:gridSpan w:val="3"/>
            <w:shd w:val="clear" w:color="auto" w:fill="auto"/>
          </w:tcPr>
          <w:p w14:paraId="5EA1FDEF" w14:textId="77777777" w:rsidR="003C66EB" w:rsidRDefault="003C66EB">
            <w:pPr>
              <w:rPr>
                <w:rFonts w:ascii="宋体"/>
                <w:vanish/>
              </w:rPr>
            </w:pPr>
          </w:p>
        </w:tc>
        <w:tc>
          <w:tcPr>
            <w:tcW w:w="0" w:type="auto"/>
            <w:gridSpan w:val="3"/>
            <w:shd w:val="clear" w:color="auto" w:fill="auto"/>
          </w:tcPr>
          <w:p w14:paraId="5EA1FDF0" w14:textId="77777777" w:rsidR="003C66EB" w:rsidRDefault="003C66EB">
            <w:pPr>
              <w:rPr>
                <w:rFonts w:ascii="宋体"/>
                <w:vanish/>
              </w:rPr>
            </w:pPr>
          </w:p>
        </w:tc>
        <w:tc>
          <w:tcPr>
            <w:tcW w:w="0" w:type="auto"/>
            <w:gridSpan w:val="3"/>
            <w:shd w:val="clear" w:color="auto" w:fill="auto"/>
          </w:tcPr>
          <w:p w14:paraId="5EA1FDF1" w14:textId="77777777" w:rsidR="003C66EB" w:rsidRDefault="003C66EB">
            <w:pPr>
              <w:rPr>
                <w:rFonts w:ascii="宋体"/>
                <w:vanish/>
              </w:rPr>
            </w:pPr>
          </w:p>
        </w:tc>
        <w:tc>
          <w:tcPr>
            <w:tcW w:w="0" w:type="auto"/>
            <w:gridSpan w:val="3"/>
            <w:shd w:val="clear" w:color="auto" w:fill="auto"/>
          </w:tcPr>
          <w:p w14:paraId="5EA1FDF2" w14:textId="77777777" w:rsidR="003C66EB" w:rsidRDefault="003C66EB">
            <w:pPr>
              <w:rPr>
                <w:rFonts w:ascii="宋体"/>
                <w:vanish/>
              </w:rPr>
            </w:pPr>
          </w:p>
        </w:tc>
        <w:tc>
          <w:tcPr>
            <w:tcW w:w="0" w:type="auto"/>
            <w:gridSpan w:val="3"/>
            <w:shd w:val="clear" w:color="auto" w:fill="auto"/>
          </w:tcPr>
          <w:p w14:paraId="5EA1FDF3" w14:textId="77777777" w:rsidR="003C66EB" w:rsidRDefault="003C66EB">
            <w:pPr>
              <w:rPr>
                <w:rFonts w:ascii="宋体"/>
                <w:vanish/>
              </w:rPr>
            </w:pPr>
          </w:p>
        </w:tc>
      </w:tr>
      <w:tr w:rsidR="003C66EB" w14:paraId="5EA1FE00" w14:textId="77777777">
        <w:tc>
          <w:tcPr>
            <w:tcW w:w="0" w:type="auto"/>
            <w:gridSpan w:val="3"/>
            <w:shd w:val="clear" w:color="auto" w:fill="CCEEFF"/>
            <w:tcMar>
              <w:top w:w="40" w:type="dxa"/>
              <w:left w:w="20" w:type="dxa"/>
              <w:bottom w:w="40" w:type="dxa"/>
              <w:right w:w="20" w:type="dxa"/>
            </w:tcMar>
            <w:vAlign w:val="bottom"/>
          </w:tcPr>
          <w:p w14:paraId="5EA1FDF5" w14:textId="77777777" w:rsidR="003C66EB" w:rsidRDefault="00D96C4E">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DF6" w14:textId="77777777" w:rsidR="003C66EB" w:rsidRDefault="00D96C4E">
            <w:pPr>
              <w:jc w:val="right"/>
              <w:textAlignment w:val="bottom"/>
            </w:pPr>
            <w:r>
              <w:rPr>
                <w:rFonts w:ascii="Arial" w:eastAsia="宋体" w:hAnsi="Arial" w:cs="Arial"/>
                <w:b/>
                <w:bCs/>
                <w:color w:val="000000"/>
                <w:sz w:val="14"/>
                <w:szCs w:val="14"/>
              </w:rPr>
              <w:t>4,225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DF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DF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DF9" w14:textId="77777777" w:rsidR="003C66EB" w:rsidRDefault="00D96C4E">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DFA" w14:textId="77777777" w:rsidR="003C66EB" w:rsidRDefault="003C66EB">
            <w:pPr>
              <w:jc w:val="right"/>
              <w:rPr>
                <w:rFonts w:ascii="宋体"/>
              </w:rPr>
            </w:pPr>
          </w:p>
        </w:tc>
        <w:tc>
          <w:tcPr>
            <w:tcW w:w="0" w:type="auto"/>
            <w:gridSpan w:val="3"/>
            <w:shd w:val="clear" w:color="auto" w:fill="auto"/>
          </w:tcPr>
          <w:p w14:paraId="5EA1FDFB" w14:textId="77777777" w:rsidR="003C66EB" w:rsidRDefault="003C66EB">
            <w:pPr>
              <w:rPr>
                <w:rFonts w:ascii="宋体"/>
                <w:vanish/>
              </w:rPr>
            </w:pPr>
          </w:p>
        </w:tc>
        <w:tc>
          <w:tcPr>
            <w:tcW w:w="0" w:type="auto"/>
            <w:gridSpan w:val="3"/>
            <w:shd w:val="clear" w:color="auto" w:fill="auto"/>
          </w:tcPr>
          <w:p w14:paraId="5EA1FDFC" w14:textId="77777777" w:rsidR="003C66EB" w:rsidRDefault="003C66EB">
            <w:pPr>
              <w:rPr>
                <w:rFonts w:ascii="宋体"/>
                <w:vanish/>
              </w:rPr>
            </w:pPr>
          </w:p>
        </w:tc>
        <w:tc>
          <w:tcPr>
            <w:tcW w:w="0" w:type="auto"/>
            <w:gridSpan w:val="3"/>
            <w:shd w:val="clear" w:color="auto" w:fill="auto"/>
          </w:tcPr>
          <w:p w14:paraId="5EA1FDFD" w14:textId="77777777" w:rsidR="003C66EB" w:rsidRDefault="003C66EB">
            <w:pPr>
              <w:rPr>
                <w:rFonts w:ascii="宋体"/>
                <w:vanish/>
              </w:rPr>
            </w:pPr>
          </w:p>
        </w:tc>
        <w:tc>
          <w:tcPr>
            <w:tcW w:w="0" w:type="auto"/>
            <w:gridSpan w:val="3"/>
            <w:shd w:val="clear" w:color="auto" w:fill="auto"/>
          </w:tcPr>
          <w:p w14:paraId="5EA1FDFE" w14:textId="77777777" w:rsidR="003C66EB" w:rsidRDefault="003C66EB">
            <w:pPr>
              <w:rPr>
                <w:rFonts w:ascii="宋体"/>
                <w:vanish/>
              </w:rPr>
            </w:pPr>
          </w:p>
        </w:tc>
        <w:tc>
          <w:tcPr>
            <w:tcW w:w="0" w:type="auto"/>
            <w:gridSpan w:val="3"/>
            <w:shd w:val="clear" w:color="auto" w:fill="auto"/>
          </w:tcPr>
          <w:p w14:paraId="5EA1FDFF" w14:textId="77777777" w:rsidR="003C66EB" w:rsidRDefault="003C66EB">
            <w:pPr>
              <w:rPr>
                <w:rFonts w:ascii="宋体"/>
                <w:vanish/>
              </w:rPr>
            </w:pPr>
          </w:p>
        </w:tc>
      </w:tr>
      <w:tr w:rsidR="003C66EB" w14:paraId="5EA1FE0A" w14:textId="77777777">
        <w:tc>
          <w:tcPr>
            <w:tcW w:w="0" w:type="auto"/>
            <w:gridSpan w:val="3"/>
            <w:shd w:val="clear" w:color="auto" w:fill="FFFFFF"/>
            <w:tcMar>
              <w:top w:w="40" w:type="dxa"/>
              <w:left w:w="20" w:type="dxa"/>
              <w:bottom w:w="40" w:type="dxa"/>
              <w:right w:w="20" w:type="dxa"/>
            </w:tcMar>
            <w:vAlign w:val="bottom"/>
          </w:tcPr>
          <w:p w14:paraId="5EA1FE01" w14:textId="77777777" w:rsidR="003C66EB" w:rsidRDefault="00D96C4E">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tcPr>
          <w:p w14:paraId="5EA1FE0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E0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E04" w14:textId="77777777" w:rsidR="003C66EB" w:rsidRDefault="003C66EB">
            <w:pPr>
              <w:rPr>
                <w:rFonts w:ascii="宋体"/>
              </w:rPr>
            </w:pPr>
          </w:p>
        </w:tc>
        <w:tc>
          <w:tcPr>
            <w:tcW w:w="0" w:type="auto"/>
            <w:gridSpan w:val="3"/>
            <w:shd w:val="clear" w:color="auto" w:fill="auto"/>
          </w:tcPr>
          <w:p w14:paraId="5EA1FE05" w14:textId="77777777" w:rsidR="003C66EB" w:rsidRDefault="003C66EB">
            <w:pPr>
              <w:rPr>
                <w:rFonts w:ascii="宋体"/>
                <w:vanish/>
              </w:rPr>
            </w:pPr>
          </w:p>
        </w:tc>
        <w:tc>
          <w:tcPr>
            <w:tcW w:w="0" w:type="auto"/>
            <w:gridSpan w:val="3"/>
            <w:shd w:val="clear" w:color="auto" w:fill="auto"/>
          </w:tcPr>
          <w:p w14:paraId="5EA1FE06" w14:textId="77777777" w:rsidR="003C66EB" w:rsidRDefault="003C66EB">
            <w:pPr>
              <w:rPr>
                <w:rFonts w:ascii="宋体"/>
                <w:vanish/>
              </w:rPr>
            </w:pPr>
          </w:p>
        </w:tc>
        <w:tc>
          <w:tcPr>
            <w:tcW w:w="0" w:type="auto"/>
            <w:gridSpan w:val="3"/>
            <w:shd w:val="clear" w:color="auto" w:fill="auto"/>
          </w:tcPr>
          <w:p w14:paraId="5EA1FE07" w14:textId="77777777" w:rsidR="003C66EB" w:rsidRDefault="003C66EB">
            <w:pPr>
              <w:rPr>
                <w:rFonts w:ascii="宋体"/>
                <w:vanish/>
              </w:rPr>
            </w:pPr>
          </w:p>
        </w:tc>
        <w:tc>
          <w:tcPr>
            <w:tcW w:w="0" w:type="auto"/>
            <w:gridSpan w:val="3"/>
            <w:shd w:val="clear" w:color="auto" w:fill="auto"/>
          </w:tcPr>
          <w:p w14:paraId="5EA1FE08" w14:textId="77777777" w:rsidR="003C66EB" w:rsidRDefault="003C66EB">
            <w:pPr>
              <w:rPr>
                <w:rFonts w:ascii="宋体"/>
                <w:vanish/>
              </w:rPr>
            </w:pPr>
          </w:p>
        </w:tc>
        <w:tc>
          <w:tcPr>
            <w:tcW w:w="0" w:type="auto"/>
            <w:gridSpan w:val="3"/>
            <w:shd w:val="clear" w:color="auto" w:fill="auto"/>
          </w:tcPr>
          <w:p w14:paraId="5EA1FE09" w14:textId="77777777" w:rsidR="003C66EB" w:rsidRDefault="003C66EB">
            <w:pPr>
              <w:rPr>
                <w:rFonts w:ascii="宋体"/>
                <w:vanish/>
              </w:rPr>
            </w:pPr>
          </w:p>
        </w:tc>
      </w:tr>
      <w:tr w:rsidR="003C66EB" w14:paraId="5EA1FE16" w14:textId="77777777">
        <w:tc>
          <w:tcPr>
            <w:tcW w:w="0" w:type="auto"/>
            <w:gridSpan w:val="3"/>
            <w:shd w:val="clear" w:color="auto" w:fill="CCEEFF"/>
            <w:tcMar>
              <w:top w:w="40" w:type="dxa"/>
              <w:left w:w="155" w:type="dxa"/>
              <w:bottom w:w="40" w:type="dxa"/>
              <w:right w:w="20" w:type="dxa"/>
            </w:tcMar>
            <w:vAlign w:val="bottom"/>
          </w:tcPr>
          <w:p w14:paraId="5EA1FE0B"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A1FE0C" w14:textId="77777777" w:rsidR="003C66EB" w:rsidRDefault="00D96C4E">
            <w:pPr>
              <w:jc w:val="right"/>
              <w:textAlignment w:val="bottom"/>
            </w:pPr>
            <w:r>
              <w:rPr>
                <w:rFonts w:ascii="Arial" w:eastAsia="宋体" w:hAnsi="Arial" w:cs="Arial"/>
                <w:b/>
                <w:bCs/>
                <w:color w:val="000000"/>
                <w:sz w:val="14"/>
                <w:szCs w:val="14"/>
              </w:rPr>
              <w:t>2,032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E0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E0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E0F" w14:textId="77777777" w:rsidR="003C66EB" w:rsidRDefault="00D96C4E">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EA1FE10" w14:textId="77777777" w:rsidR="003C66EB" w:rsidRDefault="003C66EB">
            <w:pPr>
              <w:jc w:val="right"/>
              <w:rPr>
                <w:rFonts w:ascii="宋体"/>
              </w:rPr>
            </w:pPr>
          </w:p>
        </w:tc>
        <w:tc>
          <w:tcPr>
            <w:tcW w:w="0" w:type="auto"/>
            <w:gridSpan w:val="3"/>
            <w:shd w:val="clear" w:color="auto" w:fill="auto"/>
          </w:tcPr>
          <w:p w14:paraId="5EA1FE11" w14:textId="77777777" w:rsidR="003C66EB" w:rsidRDefault="003C66EB">
            <w:pPr>
              <w:rPr>
                <w:rFonts w:ascii="宋体"/>
                <w:vanish/>
              </w:rPr>
            </w:pPr>
          </w:p>
        </w:tc>
        <w:tc>
          <w:tcPr>
            <w:tcW w:w="0" w:type="auto"/>
            <w:gridSpan w:val="3"/>
            <w:shd w:val="clear" w:color="auto" w:fill="auto"/>
          </w:tcPr>
          <w:p w14:paraId="5EA1FE12" w14:textId="77777777" w:rsidR="003C66EB" w:rsidRDefault="003C66EB">
            <w:pPr>
              <w:rPr>
                <w:rFonts w:ascii="宋体"/>
                <w:vanish/>
              </w:rPr>
            </w:pPr>
          </w:p>
        </w:tc>
        <w:tc>
          <w:tcPr>
            <w:tcW w:w="0" w:type="auto"/>
            <w:gridSpan w:val="3"/>
            <w:shd w:val="clear" w:color="auto" w:fill="auto"/>
          </w:tcPr>
          <w:p w14:paraId="5EA1FE13" w14:textId="77777777" w:rsidR="003C66EB" w:rsidRDefault="003C66EB">
            <w:pPr>
              <w:rPr>
                <w:rFonts w:ascii="宋体"/>
                <w:vanish/>
              </w:rPr>
            </w:pPr>
          </w:p>
        </w:tc>
        <w:tc>
          <w:tcPr>
            <w:tcW w:w="0" w:type="auto"/>
            <w:gridSpan w:val="3"/>
            <w:shd w:val="clear" w:color="auto" w:fill="auto"/>
          </w:tcPr>
          <w:p w14:paraId="5EA1FE14" w14:textId="77777777" w:rsidR="003C66EB" w:rsidRDefault="003C66EB">
            <w:pPr>
              <w:rPr>
                <w:rFonts w:ascii="宋体"/>
                <w:vanish/>
              </w:rPr>
            </w:pPr>
          </w:p>
        </w:tc>
        <w:tc>
          <w:tcPr>
            <w:tcW w:w="0" w:type="auto"/>
            <w:gridSpan w:val="3"/>
            <w:shd w:val="clear" w:color="auto" w:fill="auto"/>
          </w:tcPr>
          <w:p w14:paraId="5EA1FE15" w14:textId="77777777" w:rsidR="003C66EB" w:rsidRDefault="003C66EB">
            <w:pPr>
              <w:rPr>
                <w:rFonts w:ascii="宋体"/>
                <w:vanish/>
              </w:rPr>
            </w:pPr>
          </w:p>
        </w:tc>
      </w:tr>
      <w:tr w:rsidR="003C66EB" w14:paraId="5EA1FE22" w14:textId="77777777">
        <w:tc>
          <w:tcPr>
            <w:tcW w:w="0" w:type="auto"/>
            <w:gridSpan w:val="3"/>
            <w:shd w:val="clear" w:color="auto" w:fill="FFFFFF"/>
            <w:tcMar>
              <w:top w:w="40" w:type="dxa"/>
              <w:left w:w="155" w:type="dxa"/>
              <w:bottom w:w="40" w:type="dxa"/>
              <w:right w:w="20" w:type="dxa"/>
            </w:tcMar>
            <w:vAlign w:val="bottom"/>
          </w:tcPr>
          <w:p w14:paraId="5EA1FE17"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A1FE18" w14:textId="77777777" w:rsidR="003C66EB" w:rsidRDefault="00D96C4E">
            <w:pPr>
              <w:jc w:val="right"/>
              <w:textAlignment w:val="bottom"/>
            </w:pPr>
            <w:r>
              <w:rPr>
                <w:rFonts w:ascii="Arial" w:eastAsia="宋体" w:hAnsi="Arial" w:cs="Arial"/>
                <w:b/>
                <w:bCs/>
                <w:color w:val="000000"/>
                <w:sz w:val="14"/>
                <w:szCs w:val="14"/>
              </w:rPr>
              <w:t>2,297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E1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1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E1B" w14:textId="77777777" w:rsidR="003C66EB" w:rsidRDefault="00D96C4E">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EA1FE1C" w14:textId="77777777" w:rsidR="003C66EB" w:rsidRDefault="003C66EB">
            <w:pPr>
              <w:jc w:val="right"/>
              <w:rPr>
                <w:rFonts w:ascii="宋体"/>
              </w:rPr>
            </w:pPr>
          </w:p>
        </w:tc>
        <w:tc>
          <w:tcPr>
            <w:tcW w:w="0" w:type="auto"/>
            <w:gridSpan w:val="3"/>
            <w:shd w:val="clear" w:color="auto" w:fill="auto"/>
          </w:tcPr>
          <w:p w14:paraId="5EA1FE1D" w14:textId="77777777" w:rsidR="003C66EB" w:rsidRDefault="003C66EB">
            <w:pPr>
              <w:rPr>
                <w:rFonts w:ascii="宋体"/>
                <w:vanish/>
              </w:rPr>
            </w:pPr>
          </w:p>
        </w:tc>
        <w:tc>
          <w:tcPr>
            <w:tcW w:w="0" w:type="auto"/>
            <w:gridSpan w:val="3"/>
            <w:shd w:val="clear" w:color="auto" w:fill="auto"/>
          </w:tcPr>
          <w:p w14:paraId="5EA1FE1E" w14:textId="77777777" w:rsidR="003C66EB" w:rsidRDefault="003C66EB">
            <w:pPr>
              <w:rPr>
                <w:rFonts w:ascii="宋体"/>
                <w:vanish/>
              </w:rPr>
            </w:pPr>
          </w:p>
        </w:tc>
        <w:tc>
          <w:tcPr>
            <w:tcW w:w="0" w:type="auto"/>
            <w:gridSpan w:val="3"/>
            <w:shd w:val="clear" w:color="auto" w:fill="auto"/>
          </w:tcPr>
          <w:p w14:paraId="5EA1FE1F" w14:textId="77777777" w:rsidR="003C66EB" w:rsidRDefault="003C66EB">
            <w:pPr>
              <w:rPr>
                <w:rFonts w:ascii="宋体"/>
                <w:vanish/>
              </w:rPr>
            </w:pPr>
          </w:p>
        </w:tc>
        <w:tc>
          <w:tcPr>
            <w:tcW w:w="0" w:type="auto"/>
            <w:gridSpan w:val="3"/>
            <w:shd w:val="clear" w:color="auto" w:fill="auto"/>
          </w:tcPr>
          <w:p w14:paraId="5EA1FE20" w14:textId="77777777" w:rsidR="003C66EB" w:rsidRDefault="003C66EB">
            <w:pPr>
              <w:rPr>
                <w:rFonts w:ascii="宋体"/>
                <w:vanish/>
              </w:rPr>
            </w:pPr>
          </w:p>
        </w:tc>
        <w:tc>
          <w:tcPr>
            <w:tcW w:w="0" w:type="auto"/>
            <w:gridSpan w:val="3"/>
            <w:shd w:val="clear" w:color="auto" w:fill="auto"/>
          </w:tcPr>
          <w:p w14:paraId="5EA1FE21" w14:textId="77777777" w:rsidR="003C66EB" w:rsidRDefault="003C66EB">
            <w:pPr>
              <w:rPr>
                <w:rFonts w:ascii="宋体"/>
                <w:vanish/>
              </w:rPr>
            </w:pPr>
          </w:p>
        </w:tc>
      </w:tr>
      <w:tr w:rsidR="003C66EB" w14:paraId="5EA1FE2E" w14:textId="77777777">
        <w:tc>
          <w:tcPr>
            <w:tcW w:w="0" w:type="auto"/>
            <w:gridSpan w:val="3"/>
            <w:shd w:val="clear" w:color="auto" w:fill="CCEEFF"/>
            <w:tcMar>
              <w:top w:w="40" w:type="dxa"/>
              <w:left w:w="155" w:type="dxa"/>
              <w:bottom w:w="40" w:type="dxa"/>
              <w:right w:w="20" w:type="dxa"/>
            </w:tcMar>
            <w:vAlign w:val="bottom"/>
          </w:tcPr>
          <w:p w14:paraId="5EA1FE23" w14:textId="77777777" w:rsidR="003C66EB" w:rsidRDefault="00D96C4E">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5EA1FE24" w14:textId="77777777" w:rsidR="003C66EB" w:rsidRDefault="00D96C4E">
            <w:pPr>
              <w:jc w:val="right"/>
              <w:textAlignment w:val="bottom"/>
            </w:pPr>
            <w:r>
              <w:rPr>
                <w:rFonts w:ascii="Arial" w:eastAsia="宋体" w:hAnsi="Arial" w:cs="Arial"/>
                <w:b/>
                <w:bCs/>
                <w:color w:val="000000"/>
                <w:sz w:val="14"/>
                <w:szCs w:val="14"/>
              </w:rPr>
              <w:t>9,910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E2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E2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E27" w14:textId="77777777" w:rsidR="003C66EB" w:rsidRDefault="00D96C4E">
            <w:pPr>
              <w:jc w:val="right"/>
              <w:textAlignment w:val="bottom"/>
            </w:pPr>
            <w:r>
              <w:rPr>
                <w:rFonts w:ascii="Arial" w:eastAsia="宋体" w:hAnsi="Arial" w:cs="Arial"/>
                <w:color w:val="000000"/>
                <w:sz w:val="14"/>
                <w:szCs w:val="14"/>
              </w:rPr>
              <w:t>12,539 </w:t>
            </w:r>
          </w:p>
        </w:tc>
        <w:tc>
          <w:tcPr>
            <w:tcW w:w="0" w:type="auto"/>
            <w:shd w:val="clear" w:color="auto" w:fill="CCEEFF"/>
            <w:tcMar>
              <w:top w:w="40" w:type="dxa"/>
              <w:left w:w="0" w:type="dxa"/>
              <w:bottom w:w="40" w:type="dxa"/>
              <w:right w:w="20" w:type="dxa"/>
            </w:tcMar>
            <w:vAlign w:val="bottom"/>
          </w:tcPr>
          <w:p w14:paraId="5EA1FE28" w14:textId="77777777" w:rsidR="003C66EB" w:rsidRDefault="003C66EB">
            <w:pPr>
              <w:jc w:val="right"/>
              <w:rPr>
                <w:rFonts w:ascii="宋体"/>
              </w:rPr>
            </w:pPr>
          </w:p>
        </w:tc>
        <w:tc>
          <w:tcPr>
            <w:tcW w:w="0" w:type="auto"/>
            <w:gridSpan w:val="3"/>
            <w:shd w:val="clear" w:color="auto" w:fill="auto"/>
          </w:tcPr>
          <w:p w14:paraId="5EA1FE29" w14:textId="77777777" w:rsidR="003C66EB" w:rsidRDefault="003C66EB">
            <w:pPr>
              <w:rPr>
                <w:rFonts w:ascii="宋体"/>
                <w:vanish/>
              </w:rPr>
            </w:pPr>
          </w:p>
        </w:tc>
        <w:tc>
          <w:tcPr>
            <w:tcW w:w="0" w:type="auto"/>
            <w:gridSpan w:val="3"/>
            <w:shd w:val="clear" w:color="auto" w:fill="auto"/>
          </w:tcPr>
          <w:p w14:paraId="5EA1FE2A" w14:textId="77777777" w:rsidR="003C66EB" w:rsidRDefault="003C66EB">
            <w:pPr>
              <w:rPr>
                <w:rFonts w:ascii="宋体"/>
                <w:vanish/>
              </w:rPr>
            </w:pPr>
          </w:p>
        </w:tc>
        <w:tc>
          <w:tcPr>
            <w:tcW w:w="0" w:type="auto"/>
            <w:gridSpan w:val="3"/>
            <w:shd w:val="clear" w:color="auto" w:fill="auto"/>
          </w:tcPr>
          <w:p w14:paraId="5EA1FE2B" w14:textId="77777777" w:rsidR="003C66EB" w:rsidRDefault="003C66EB">
            <w:pPr>
              <w:rPr>
                <w:rFonts w:ascii="宋体"/>
                <w:vanish/>
              </w:rPr>
            </w:pPr>
          </w:p>
        </w:tc>
        <w:tc>
          <w:tcPr>
            <w:tcW w:w="0" w:type="auto"/>
            <w:gridSpan w:val="3"/>
            <w:shd w:val="clear" w:color="auto" w:fill="auto"/>
          </w:tcPr>
          <w:p w14:paraId="5EA1FE2C" w14:textId="77777777" w:rsidR="003C66EB" w:rsidRDefault="003C66EB">
            <w:pPr>
              <w:rPr>
                <w:rFonts w:ascii="宋体"/>
                <w:vanish/>
              </w:rPr>
            </w:pPr>
          </w:p>
        </w:tc>
        <w:tc>
          <w:tcPr>
            <w:tcW w:w="0" w:type="auto"/>
            <w:gridSpan w:val="3"/>
            <w:shd w:val="clear" w:color="auto" w:fill="auto"/>
          </w:tcPr>
          <w:p w14:paraId="5EA1FE2D" w14:textId="77777777" w:rsidR="003C66EB" w:rsidRDefault="003C66EB">
            <w:pPr>
              <w:rPr>
                <w:rFonts w:ascii="宋体"/>
                <w:vanish/>
              </w:rPr>
            </w:pPr>
          </w:p>
        </w:tc>
      </w:tr>
      <w:tr w:rsidR="003C66EB" w14:paraId="5EA1FE3A" w14:textId="77777777">
        <w:tc>
          <w:tcPr>
            <w:tcW w:w="0" w:type="auto"/>
            <w:gridSpan w:val="3"/>
            <w:shd w:val="clear" w:color="auto" w:fill="FFFFFF"/>
            <w:tcMar>
              <w:top w:w="40" w:type="dxa"/>
              <w:left w:w="155" w:type="dxa"/>
              <w:bottom w:w="40" w:type="dxa"/>
              <w:right w:w="20" w:type="dxa"/>
            </w:tcMar>
            <w:vAlign w:val="bottom"/>
          </w:tcPr>
          <w:p w14:paraId="5EA1FE2F" w14:textId="77777777" w:rsidR="003C66EB" w:rsidRDefault="00D96C4E">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A1FE30" w14:textId="77777777" w:rsidR="003C66EB" w:rsidRDefault="00D96C4E">
            <w:pPr>
              <w:jc w:val="right"/>
              <w:textAlignment w:val="bottom"/>
            </w:pPr>
            <w:r>
              <w:rPr>
                <w:rFonts w:ascii="Arial" w:eastAsia="宋体" w:hAnsi="Arial" w:cs="Arial"/>
                <w:b/>
                <w:bCs/>
                <w:color w:val="000000"/>
                <w:sz w:val="14"/>
                <w:szCs w:val="14"/>
              </w:rPr>
              <w:t>13,709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E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3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E33" w14:textId="77777777" w:rsidR="003C66EB" w:rsidRDefault="00D96C4E">
            <w:pPr>
              <w:jc w:val="right"/>
              <w:textAlignment w:val="bottom"/>
            </w:pPr>
            <w:r>
              <w:rPr>
                <w:rFonts w:ascii="Arial" w:eastAsia="宋体" w:hAnsi="Arial" w:cs="Arial"/>
                <w:color w:val="000000"/>
                <w:sz w:val="14"/>
                <w:szCs w:val="14"/>
              </w:rPr>
              <w:t>12,903 </w:t>
            </w:r>
          </w:p>
        </w:tc>
        <w:tc>
          <w:tcPr>
            <w:tcW w:w="0" w:type="auto"/>
            <w:shd w:val="clear" w:color="auto" w:fill="FFFFFF"/>
            <w:tcMar>
              <w:top w:w="40" w:type="dxa"/>
              <w:left w:w="0" w:type="dxa"/>
              <w:bottom w:w="40" w:type="dxa"/>
              <w:right w:w="20" w:type="dxa"/>
            </w:tcMar>
            <w:vAlign w:val="bottom"/>
          </w:tcPr>
          <w:p w14:paraId="5EA1FE34" w14:textId="77777777" w:rsidR="003C66EB" w:rsidRDefault="003C66EB">
            <w:pPr>
              <w:jc w:val="right"/>
              <w:rPr>
                <w:rFonts w:ascii="宋体"/>
              </w:rPr>
            </w:pPr>
          </w:p>
        </w:tc>
        <w:tc>
          <w:tcPr>
            <w:tcW w:w="0" w:type="auto"/>
            <w:gridSpan w:val="3"/>
            <w:shd w:val="clear" w:color="auto" w:fill="auto"/>
          </w:tcPr>
          <w:p w14:paraId="5EA1FE35" w14:textId="77777777" w:rsidR="003C66EB" w:rsidRDefault="003C66EB">
            <w:pPr>
              <w:rPr>
                <w:rFonts w:ascii="宋体"/>
                <w:vanish/>
              </w:rPr>
            </w:pPr>
          </w:p>
        </w:tc>
        <w:tc>
          <w:tcPr>
            <w:tcW w:w="0" w:type="auto"/>
            <w:gridSpan w:val="3"/>
            <w:shd w:val="clear" w:color="auto" w:fill="auto"/>
          </w:tcPr>
          <w:p w14:paraId="5EA1FE36" w14:textId="77777777" w:rsidR="003C66EB" w:rsidRDefault="003C66EB">
            <w:pPr>
              <w:rPr>
                <w:rFonts w:ascii="宋体"/>
                <w:vanish/>
              </w:rPr>
            </w:pPr>
          </w:p>
        </w:tc>
        <w:tc>
          <w:tcPr>
            <w:tcW w:w="0" w:type="auto"/>
            <w:gridSpan w:val="3"/>
            <w:shd w:val="clear" w:color="auto" w:fill="auto"/>
          </w:tcPr>
          <w:p w14:paraId="5EA1FE37" w14:textId="77777777" w:rsidR="003C66EB" w:rsidRDefault="003C66EB">
            <w:pPr>
              <w:rPr>
                <w:rFonts w:ascii="宋体"/>
                <w:vanish/>
              </w:rPr>
            </w:pPr>
          </w:p>
        </w:tc>
        <w:tc>
          <w:tcPr>
            <w:tcW w:w="0" w:type="auto"/>
            <w:gridSpan w:val="3"/>
            <w:shd w:val="clear" w:color="auto" w:fill="auto"/>
          </w:tcPr>
          <w:p w14:paraId="5EA1FE38" w14:textId="77777777" w:rsidR="003C66EB" w:rsidRDefault="003C66EB">
            <w:pPr>
              <w:rPr>
                <w:rFonts w:ascii="宋体"/>
                <w:vanish/>
              </w:rPr>
            </w:pPr>
          </w:p>
        </w:tc>
        <w:tc>
          <w:tcPr>
            <w:tcW w:w="0" w:type="auto"/>
            <w:gridSpan w:val="3"/>
            <w:shd w:val="clear" w:color="auto" w:fill="auto"/>
          </w:tcPr>
          <w:p w14:paraId="5EA1FE39" w14:textId="77777777" w:rsidR="003C66EB" w:rsidRDefault="003C66EB">
            <w:pPr>
              <w:rPr>
                <w:rFonts w:ascii="宋体"/>
                <w:vanish/>
              </w:rPr>
            </w:pPr>
          </w:p>
        </w:tc>
      </w:tr>
      <w:tr w:rsidR="003C66EB" w14:paraId="5EA1FE46" w14:textId="77777777">
        <w:tc>
          <w:tcPr>
            <w:tcW w:w="0" w:type="auto"/>
            <w:gridSpan w:val="3"/>
            <w:shd w:val="clear" w:color="auto" w:fill="CCEEFF"/>
            <w:tcMar>
              <w:top w:w="40" w:type="dxa"/>
              <w:left w:w="20" w:type="dxa"/>
              <w:bottom w:w="40" w:type="dxa"/>
              <w:right w:w="20" w:type="dxa"/>
            </w:tcMar>
            <w:vAlign w:val="bottom"/>
          </w:tcPr>
          <w:p w14:paraId="5EA1FE3B" w14:textId="77777777" w:rsidR="003C66EB" w:rsidRDefault="00D96C4E">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E3C" w14:textId="77777777" w:rsidR="003C66EB" w:rsidRDefault="00D96C4E">
            <w:pPr>
              <w:jc w:val="right"/>
              <w:textAlignment w:val="bottom"/>
            </w:pPr>
            <w:r>
              <w:rPr>
                <w:rFonts w:ascii="Arial" w:eastAsia="宋体" w:hAnsi="Arial" w:cs="Arial"/>
                <w:b/>
                <w:bCs/>
                <w:color w:val="000000"/>
                <w:sz w:val="14"/>
                <w:szCs w:val="14"/>
              </w:rPr>
              <w:t>27,948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E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E3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E3F" w14:textId="77777777" w:rsidR="003C66EB" w:rsidRDefault="00D96C4E">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E40" w14:textId="77777777" w:rsidR="003C66EB" w:rsidRDefault="003C66EB">
            <w:pPr>
              <w:jc w:val="right"/>
              <w:rPr>
                <w:rFonts w:ascii="宋体"/>
              </w:rPr>
            </w:pPr>
          </w:p>
        </w:tc>
        <w:tc>
          <w:tcPr>
            <w:tcW w:w="0" w:type="auto"/>
            <w:gridSpan w:val="3"/>
            <w:shd w:val="clear" w:color="auto" w:fill="auto"/>
          </w:tcPr>
          <w:p w14:paraId="5EA1FE41" w14:textId="77777777" w:rsidR="003C66EB" w:rsidRDefault="003C66EB">
            <w:pPr>
              <w:rPr>
                <w:rFonts w:ascii="宋体"/>
                <w:vanish/>
              </w:rPr>
            </w:pPr>
          </w:p>
        </w:tc>
        <w:tc>
          <w:tcPr>
            <w:tcW w:w="0" w:type="auto"/>
            <w:gridSpan w:val="3"/>
            <w:shd w:val="clear" w:color="auto" w:fill="auto"/>
          </w:tcPr>
          <w:p w14:paraId="5EA1FE42" w14:textId="77777777" w:rsidR="003C66EB" w:rsidRDefault="003C66EB">
            <w:pPr>
              <w:rPr>
                <w:rFonts w:ascii="宋体"/>
                <w:vanish/>
              </w:rPr>
            </w:pPr>
          </w:p>
        </w:tc>
        <w:tc>
          <w:tcPr>
            <w:tcW w:w="0" w:type="auto"/>
            <w:gridSpan w:val="3"/>
            <w:shd w:val="clear" w:color="auto" w:fill="auto"/>
          </w:tcPr>
          <w:p w14:paraId="5EA1FE43" w14:textId="77777777" w:rsidR="003C66EB" w:rsidRDefault="003C66EB">
            <w:pPr>
              <w:rPr>
                <w:rFonts w:ascii="宋体"/>
                <w:vanish/>
              </w:rPr>
            </w:pPr>
          </w:p>
        </w:tc>
        <w:tc>
          <w:tcPr>
            <w:tcW w:w="0" w:type="auto"/>
            <w:gridSpan w:val="3"/>
            <w:shd w:val="clear" w:color="auto" w:fill="auto"/>
          </w:tcPr>
          <w:p w14:paraId="5EA1FE44" w14:textId="77777777" w:rsidR="003C66EB" w:rsidRDefault="003C66EB">
            <w:pPr>
              <w:rPr>
                <w:rFonts w:ascii="宋体"/>
                <w:vanish/>
              </w:rPr>
            </w:pPr>
          </w:p>
        </w:tc>
        <w:tc>
          <w:tcPr>
            <w:tcW w:w="0" w:type="auto"/>
            <w:gridSpan w:val="3"/>
            <w:shd w:val="clear" w:color="auto" w:fill="auto"/>
          </w:tcPr>
          <w:p w14:paraId="5EA1FE45" w14:textId="77777777" w:rsidR="003C66EB" w:rsidRDefault="003C66EB">
            <w:pPr>
              <w:rPr>
                <w:rFonts w:ascii="宋体"/>
                <w:vanish/>
              </w:rPr>
            </w:pPr>
          </w:p>
        </w:tc>
      </w:tr>
      <w:tr w:rsidR="003C66EB" w14:paraId="5EA1FE52" w14:textId="77777777">
        <w:tc>
          <w:tcPr>
            <w:tcW w:w="0" w:type="auto"/>
            <w:gridSpan w:val="3"/>
            <w:shd w:val="clear" w:color="auto" w:fill="FFFFFF"/>
            <w:tcMar>
              <w:top w:w="40" w:type="dxa"/>
              <w:left w:w="20" w:type="dxa"/>
              <w:bottom w:w="40" w:type="dxa"/>
              <w:right w:w="20" w:type="dxa"/>
            </w:tcMar>
            <w:vAlign w:val="bottom"/>
          </w:tcPr>
          <w:p w14:paraId="5EA1FE47" w14:textId="77777777" w:rsidR="003C66EB" w:rsidRDefault="00D96C4E">
            <w:pPr>
              <w:textAlignment w:val="bottom"/>
            </w:pPr>
            <w:r>
              <w:rPr>
                <w:rFonts w:ascii="Arial" w:eastAsia="宋体" w:hAnsi="Arial" w:cs="Arial"/>
                <w:color w:val="000000"/>
                <w:sz w:val="14"/>
                <w:szCs w:val="14"/>
              </w:rPr>
              <w:t xml:space="preserve">State and </w:t>
            </w:r>
            <w:r>
              <w:rPr>
                <w:rFonts w:ascii="Arial" w:eastAsia="宋体" w:hAnsi="Arial" w:cs="Arial"/>
                <w:color w:val="000000"/>
                <w:sz w:val="14"/>
                <w:szCs w:val="14"/>
              </w:rPr>
              <w:t>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E48" w14:textId="77777777" w:rsidR="003C66EB" w:rsidRDefault="00D96C4E">
            <w:pPr>
              <w:jc w:val="right"/>
              <w:textAlignment w:val="bottom"/>
            </w:pPr>
            <w:r>
              <w:rPr>
                <w:rFonts w:ascii="Arial" w:eastAsia="宋体" w:hAnsi="Arial" w:cs="Arial"/>
                <w:b/>
                <w:bCs/>
                <w:color w:val="000000"/>
                <w:sz w:val="14"/>
                <w:szCs w:val="14"/>
              </w:rPr>
              <w:t>1,498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E4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4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E4B" w14:textId="77777777" w:rsidR="003C66EB" w:rsidRDefault="00D96C4E">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E4C" w14:textId="77777777" w:rsidR="003C66EB" w:rsidRDefault="003C66EB">
            <w:pPr>
              <w:jc w:val="right"/>
              <w:rPr>
                <w:rFonts w:ascii="宋体"/>
              </w:rPr>
            </w:pPr>
          </w:p>
        </w:tc>
        <w:tc>
          <w:tcPr>
            <w:tcW w:w="0" w:type="auto"/>
            <w:gridSpan w:val="3"/>
            <w:shd w:val="clear" w:color="auto" w:fill="auto"/>
          </w:tcPr>
          <w:p w14:paraId="5EA1FE4D" w14:textId="77777777" w:rsidR="003C66EB" w:rsidRDefault="003C66EB">
            <w:pPr>
              <w:rPr>
                <w:rFonts w:ascii="宋体"/>
                <w:vanish/>
              </w:rPr>
            </w:pPr>
          </w:p>
        </w:tc>
        <w:tc>
          <w:tcPr>
            <w:tcW w:w="0" w:type="auto"/>
            <w:gridSpan w:val="3"/>
            <w:shd w:val="clear" w:color="auto" w:fill="auto"/>
          </w:tcPr>
          <w:p w14:paraId="5EA1FE4E" w14:textId="77777777" w:rsidR="003C66EB" w:rsidRDefault="003C66EB">
            <w:pPr>
              <w:rPr>
                <w:rFonts w:ascii="宋体"/>
                <w:vanish/>
              </w:rPr>
            </w:pPr>
          </w:p>
        </w:tc>
        <w:tc>
          <w:tcPr>
            <w:tcW w:w="0" w:type="auto"/>
            <w:gridSpan w:val="3"/>
            <w:shd w:val="clear" w:color="auto" w:fill="auto"/>
          </w:tcPr>
          <w:p w14:paraId="5EA1FE4F" w14:textId="77777777" w:rsidR="003C66EB" w:rsidRDefault="003C66EB">
            <w:pPr>
              <w:rPr>
                <w:rFonts w:ascii="宋体"/>
                <w:vanish/>
              </w:rPr>
            </w:pPr>
          </w:p>
        </w:tc>
        <w:tc>
          <w:tcPr>
            <w:tcW w:w="0" w:type="auto"/>
            <w:gridSpan w:val="3"/>
            <w:shd w:val="clear" w:color="auto" w:fill="auto"/>
          </w:tcPr>
          <w:p w14:paraId="5EA1FE50" w14:textId="77777777" w:rsidR="003C66EB" w:rsidRDefault="003C66EB">
            <w:pPr>
              <w:rPr>
                <w:rFonts w:ascii="宋体"/>
                <w:vanish/>
              </w:rPr>
            </w:pPr>
          </w:p>
        </w:tc>
        <w:tc>
          <w:tcPr>
            <w:tcW w:w="0" w:type="auto"/>
            <w:gridSpan w:val="3"/>
            <w:shd w:val="clear" w:color="auto" w:fill="auto"/>
          </w:tcPr>
          <w:p w14:paraId="5EA1FE51" w14:textId="77777777" w:rsidR="003C66EB" w:rsidRDefault="003C66EB">
            <w:pPr>
              <w:rPr>
                <w:rFonts w:ascii="宋体"/>
                <w:vanish/>
              </w:rPr>
            </w:pPr>
          </w:p>
        </w:tc>
      </w:tr>
      <w:tr w:rsidR="003C66EB" w14:paraId="5EA1FE5C" w14:textId="77777777">
        <w:trPr>
          <w:hidden/>
        </w:trPr>
        <w:tc>
          <w:tcPr>
            <w:tcW w:w="0" w:type="auto"/>
            <w:gridSpan w:val="3"/>
            <w:shd w:val="clear" w:color="auto" w:fill="auto"/>
          </w:tcPr>
          <w:p w14:paraId="5EA1FE53" w14:textId="77777777" w:rsidR="003C66EB" w:rsidRDefault="003C66EB">
            <w:pPr>
              <w:rPr>
                <w:rFonts w:ascii="宋体"/>
                <w:vanish/>
              </w:rPr>
            </w:pPr>
          </w:p>
        </w:tc>
        <w:tc>
          <w:tcPr>
            <w:tcW w:w="0" w:type="auto"/>
            <w:gridSpan w:val="3"/>
            <w:shd w:val="clear" w:color="auto" w:fill="auto"/>
          </w:tcPr>
          <w:p w14:paraId="5EA1FE54" w14:textId="77777777" w:rsidR="003C66EB" w:rsidRDefault="003C66EB">
            <w:pPr>
              <w:rPr>
                <w:rFonts w:ascii="宋体"/>
                <w:vanish/>
              </w:rPr>
            </w:pPr>
          </w:p>
        </w:tc>
        <w:tc>
          <w:tcPr>
            <w:tcW w:w="0" w:type="auto"/>
            <w:gridSpan w:val="3"/>
            <w:shd w:val="clear" w:color="auto" w:fill="auto"/>
          </w:tcPr>
          <w:p w14:paraId="5EA1FE55" w14:textId="77777777" w:rsidR="003C66EB" w:rsidRDefault="003C66EB">
            <w:pPr>
              <w:rPr>
                <w:rFonts w:ascii="宋体"/>
                <w:vanish/>
              </w:rPr>
            </w:pPr>
          </w:p>
        </w:tc>
        <w:tc>
          <w:tcPr>
            <w:tcW w:w="0" w:type="auto"/>
            <w:gridSpan w:val="3"/>
            <w:shd w:val="clear" w:color="auto" w:fill="auto"/>
          </w:tcPr>
          <w:p w14:paraId="5EA1FE56" w14:textId="77777777" w:rsidR="003C66EB" w:rsidRDefault="003C66EB">
            <w:pPr>
              <w:rPr>
                <w:rFonts w:ascii="宋体"/>
                <w:vanish/>
              </w:rPr>
            </w:pPr>
          </w:p>
        </w:tc>
        <w:tc>
          <w:tcPr>
            <w:tcW w:w="0" w:type="auto"/>
            <w:gridSpan w:val="3"/>
            <w:shd w:val="clear" w:color="auto" w:fill="auto"/>
          </w:tcPr>
          <w:p w14:paraId="5EA1FE57" w14:textId="77777777" w:rsidR="003C66EB" w:rsidRDefault="003C66EB">
            <w:pPr>
              <w:rPr>
                <w:rFonts w:ascii="宋体"/>
                <w:vanish/>
              </w:rPr>
            </w:pPr>
          </w:p>
        </w:tc>
        <w:tc>
          <w:tcPr>
            <w:tcW w:w="0" w:type="auto"/>
            <w:gridSpan w:val="3"/>
            <w:shd w:val="clear" w:color="auto" w:fill="auto"/>
          </w:tcPr>
          <w:p w14:paraId="5EA1FE58" w14:textId="77777777" w:rsidR="003C66EB" w:rsidRDefault="003C66EB">
            <w:pPr>
              <w:rPr>
                <w:rFonts w:ascii="宋体"/>
                <w:vanish/>
              </w:rPr>
            </w:pPr>
          </w:p>
        </w:tc>
        <w:tc>
          <w:tcPr>
            <w:tcW w:w="0" w:type="auto"/>
            <w:gridSpan w:val="3"/>
            <w:shd w:val="clear" w:color="auto" w:fill="auto"/>
          </w:tcPr>
          <w:p w14:paraId="5EA1FE59" w14:textId="77777777" w:rsidR="003C66EB" w:rsidRDefault="003C66EB">
            <w:pPr>
              <w:rPr>
                <w:rFonts w:ascii="宋体"/>
                <w:vanish/>
              </w:rPr>
            </w:pPr>
          </w:p>
        </w:tc>
        <w:tc>
          <w:tcPr>
            <w:tcW w:w="0" w:type="auto"/>
            <w:gridSpan w:val="3"/>
            <w:shd w:val="clear" w:color="auto" w:fill="auto"/>
          </w:tcPr>
          <w:p w14:paraId="5EA1FE5A" w14:textId="77777777" w:rsidR="003C66EB" w:rsidRDefault="003C66EB">
            <w:pPr>
              <w:rPr>
                <w:rFonts w:ascii="宋体"/>
                <w:vanish/>
              </w:rPr>
            </w:pPr>
          </w:p>
        </w:tc>
        <w:tc>
          <w:tcPr>
            <w:tcW w:w="0" w:type="auto"/>
            <w:gridSpan w:val="3"/>
            <w:shd w:val="clear" w:color="auto" w:fill="auto"/>
          </w:tcPr>
          <w:p w14:paraId="5EA1FE5B" w14:textId="77777777" w:rsidR="003C66EB" w:rsidRDefault="003C66EB">
            <w:pPr>
              <w:rPr>
                <w:rFonts w:ascii="宋体"/>
                <w:vanish/>
              </w:rPr>
            </w:pPr>
          </w:p>
        </w:tc>
      </w:tr>
      <w:tr w:rsidR="003C66EB" w14:paraId="5EA1FE68" w14:textId="77777777">
        <w:tc>
          <w:tcPr>
            <w:tcW w:w="0" w:type="auto"/>
            <w:gridSpan w:val="3"/>
            <w:shd w:val="clear" w:color="auto" w:fill="CCEEFF"/>
            <w:tcMar>
              <w:top w:w="40" w:type="dxa"/>
              <w:left w:w="20" w:type="dxa"/>
              <w:bottom w:w="40" w:type="dxa"/>
              <w:right w:w="20" w:type="dxa"/>
            </w:tcMar>
            <w:vAlign w:val="bottom"/>
          </w:tcPr>
          <w:p w14:paraId="5EA1FE5D" w14:textId="77777777" w:rsidR="003C66EB" w:rsidRDefault="00D96C4E">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5EA1FE5E" w14:textId="77777777" w:rsidR="003C66EB" w:rsidRDefault="00D96C4E">
            <w:pPr>
              <w:jc w:val="right"/>
              <w:textAlignment w:val="bottom"/>
            </w:pPr>
            <w:r>
              <w:rPr>
                <w:rFonts w:ascii="Arial" w:eastAsia="宋体" w:hAnsi="Arial" w:cs="Arial"/>
                <w:b/>
                <w:bCs/>
                <w:color w:val="000000"/>
                <w:sz w:val="14"/>
                <w:szCs w:val="14"/>
              </w:rPr>
              <w:t>3,479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E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E6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E61" w14:textId="77777777" w:rsidR="003C66EB" w:rsidRDefault="00D96C4E">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EA1FE62" w14:textId="77777777" w:rsidR="003C66EB" w:rsidRDefault="003C66EB">
            <w:pPr>
              <w:jc w:val="right"/>
              <w:rPr>
                <w:rFonts w:ascii="宋体"/>
              </w:rPr>
            </w:pPr>
          </w:p>
        </w:tc>
        <w:tc>
          <w:tcPr>
            <w:tcW w:w="0" w:type="auto"/>
            <w:gridSpan w:val="3"/>
            <w:shd w:val="clear" w:color="auto" w:fill="auto"/>
          </w:tcPr>
          <w:p w14:paraId="5EA1FE63" w14:textId="77777777" w:rsidR="003C66EB" w:rsidRDefault="003C66EB">
            <w:pPr>
              <w:rPr>
                <w:rFonts w:ascii="宋体"/>
                <w:vanish/>
              </w:rPr>
            </w:pPr>
          </w:p>
        </w:tc>
        <w:tc>
          <w:tcPr>
            <w:tcW w:w="0" w:type="auto"/>
            <w:gridSpan w:val="3"/>
            <w:shd w:val="clear" w:color="auto" w:fill="auto"/>
          </w:tcPr>
          <w:p w14:paraId="5EA1FE64" w14:textId="77777777" w:rsidR="003C66EB" w:rsidRDefault="003C66EB">
            <w:pPr>
              <w:rPr>
                <w:rFonts w:ascii="宋体"/>
                <w:vanish/>
              </w:rPr>
            </w:pPr>
          </w:p>
        </w:tc>
        <w:tc>
          <w:tcPr>
            <w:tcW w:w="0" w:type="auto"/>
            <w:gridSpan w:val="3"/>
            <w:shd w:val="clear" w:color="auto" w:fill="auto"/>
          </w:tcPr>
          <w:p w14:paraId="5EA1FE65" w14:textId="77777777" w:rsidR="003C66EB" w:rsidRDefault="003C66EB">
            <w:pPr>
              <w:rPr>
                <w:rFonts w:ascii="宋体"/>
                <w:vanish/>
              </w:rPr>
            </w:pPr>
          </w:p>
        </w:tc>
        <w:tc>
          <w:tcPr>
            <w:tcW w:w="0" w:type="auto"/>
            <w:gridSpan w:val="3"/>
            <w:shd w:val="clear" w:color="auto" w:fill="auto"/>
          </w:tcPr>
          <w:p w14:paraId="5EA1FE66" w14:textId="77777777" w:rsidR="003C66EB" w:rsidRDefault="003C66EB">
            <w:pPr>
              <w:rPr>
                <w:rFonts w:ascii="宋体"/>
                <w:vanish/>
              </w:rPr>
            </w:pPr>
          </w:p>
        </w:tc>
        <w:tc>
          <w:tcPr>
            <w:tcW w:w="0" w:type="auto"/>
            <w:gridSpan w:val="3"/>
            <w:shd w:val="clear" w:color="auto" w:fill="auto"/>
          </w:tcPr>
          <w:p w14:paraId="5EA1FE67" w14:textId="77777777" w:rsidR="003C66EB" w:rsidRDefault="003C66EB">
            <w:pPr>
              <w:rPr>
                <w:rFonts w:ascii="宋体"/>
                <w:vanish/>
              </w:rPr>
            </w:pPr>
          </w:p>
        </w:tc>
      </w:tr>
      <w:tr w:rsidR="003C66EB" w14:paraId="5EA1FE72" w14:textId="77777777">
        <w:trPr>
          <w:hidden/>
        </w:trPr>
        <w:tc>
          <w:tcPr>
            <w:tcW w:w="0" w:type="auto"/>
            <w:gridSpan w:val="3"/>
            <w:shd w:val="clear" w:color="auto" w:fill="auto"/>
          </w:tcPr>
          <w:p w14:paraId="5EA1FE69" w14:textId="77777777" w:rsidR="003C66EB" w:rsidRDefault="003C66EB">
            <w:pPr>
              <w:rPr>
                <w:rFonts w:ascii="宋体"/>
                <w:vanish/>
              </w:rPr>
            </w:pPr>
          </w:p>
        </w:tc>
        <w:tc>
          <w:tcPr>
            <w:tcW w:w="0" w:type="auto"/>
            <w:gridSpan w:val="3"/>
            <w:shd w:val="clear" w:color="auto" w:fill="auto"/>
          </w:tcPr>
          <w:p w14:paraId="5EA1FE6A" w14:textId="77777777" w:rsidR="003C66EB" w:rsidRDefault="003C66EB">
            <w:pPr>
              <w:rPr>
                <w:rFonts w:ascii="宋体"/>
                <w:vanish/>
              </w:rPr>
            </w:pPr>
          </w:p>
        </w:tc>
        <w:tc>
          <w:tcPr>
            <w:tcW w:w="0" w:type="auto"/>
            <w:gridSpan w:val="3"/>
            <w:shd w:val="clear" w:color="auto" w:fill="auto"/>
          </w:tcPr>
          <w:p w14:paraId="5EA1FE6B" w14:textId="77777777" w:rsidR="003C66EB" w:rsidRDefault="003C66EB">
            <w:pPr>
              <w:rPr>
                <w:rFonts w:ascii="宋体"/>
                <w:vanish/>
              </w:rPr>
            </w:pPr>
          </w:p>
        </w:tc>
        <w:tc>
          <w:tcPr>
            <w:tcW w:w="0" w:type="auto"/>
            <w:gridSpan w:val="3"/>
            <w:shd w:val="clear" w:color="auto" w:fill="auto"/>
          </w:tcPr>
          <w:p w14:paraId="5EA1FE6C" w14:textId="77777777" w:rsidR="003C66EB" w:rsidRDefault="003C66EB">
            <w:pPr>
              <w:rPr>
                <w:rFonts w:ascii="宋体"/>
                <w:vanish/>
              </w:rPr>
            </w:pPr>
          </w:p>
        </w:tc>
        <w:tc>
          <w:tcPr>
            <w:tcW w:w="0" w:type="auto"/>
            <w:gridSpan w:val="3"/>
            <w:shd w:val="clear" w:color="auto" w:fill="auto"/>
          </w:tcPr>
          <w:p w14:paraId="5EA1FE6D" w14:textId="77777777" w:rsidR="003C66EB" w:rsidRDefault="003C66EB">
            <w:pPr>
              <w:rPr>
                <w:rFonts w:ascii="宋体"/>
                <w:vanish/>
              </w:rPr>
            </w:pPr>
          </w:p>
        </w:tc>
        <w:tc>
          <w:tcPr>
            <w:tcW w:w="0" w:type="auto"/>
            <w:gridSpan w:val="3"/>
            <w:shd w:val="clear" w:color="auto" w:fill="auto"/>
          </w:tcPr>
          <w:p w14:paraId="5EA1FE6E" w14:textId="77777777" w:rsidR="003C66EB" w:rsidRDefault="003C66EB">
            <w:pPr>
              <w:rPr>
                <w:rFonts w:ascii="宋体"/>
                <w:vanish/>
              </w:rPr>
            </w:pPr>
          </w:p>
        </w:tc>
        <w:tc>
          <w:tcPr>
            <w:tcW w:w="0" w:type="auto"/>
            <w:gridSpan w:val="3"/>
            <w:shd w:val="clear" w:color="auto" w:fill="auto"/>
          </w:tcPr>
          <w:p w14:paraId="5EA1FE6F" w14:textId="77777777" w:rsidR="003C66EB" w:rsidRDefault="003C66EB">
            <w:pPr>
              <w:rPr>
                <w:rFonts w:ascii="宋体"/>
                <w:vanish/>
              </w:rPr>
            </w:pPr>
          </w:p>
        </w:tc>
        <w:tc>
          <w:tcPr>
            <w:tcW w:w="0" w:type="auto"/>
            <w:gridSpan w:val="3"/>
            <w:shd w:val="clear" w:color="auto" w:fill="auto"/>
          </w:tcPr>
          <w:p w14:paraId="5EA1FE70" w14:textId="77777777" w:rsidR="003C66EB" w:rsidRDefault="003C66EB">
            <w:pPr>
              <w:rPr>
                <w:rFonts w:ascii="宋体"/>
                <w:vanish/>
              </w:rPr>
            </w:pPr>
          </w:p>
        </w:tc>
        <w:tc>
          <w:tcPr>
            <w:tcW w:w="0" w:type="auto"/>
            <w:gridSpan w:val="3"/>
            <w:shd w:val="clear" w:color="auto" w:fill="auto"/>
          </w:tcPr>
          <w:p w14:paraId="5EA1FE71" w14:textId="77777777" w:rsidR="003C66EB" w:rsidRDefault="003C66EB">
            <w:pPr>
              <w:rPr>
                <w:rFonts w:ascii="宋体"/>
                <w:vanish/>
              </w:rPr>
            </w:pPr>
          </w:p>
        </w:tc>
      </w:tr>
      <w:tr w:rsidR="003C66EB" w14:paraId="5EA1FE7C" w14:textId="77777777">
        <w:trPr>
          <w:hidden/>
        </w:trPr>
        <w:tc>
          <w:tcPr>
            <w:tcW w:w="0" w:type="auto"/>
            <w:gridSpan w:val="3"/>
            <w:shd w:val="clear" w:color="auto" w:fill="auto"/>
          </w:tcPr>
          <w:p w14:paraId="5EA1FE73" w14:textId="77777777" w:rsidR="003C66EB" w:rsidRDefault="003C66EB">
            <w:pPr>
              <w:rPr>
                <w:rFonts w:ascii="宋体"/>
                <w:vanish/>
              </w:rPr>
            </w:pPr>
          </w:p>
        </w:tc>
        <w:tc>
          <w:tcPr>
            <w:tcW w:w="0" w:type="auto"/>
            <w:gridSpan w:val="3"/>
            <w:shd w:val="clear" w:color="auto" w:fill="auto"/>
          </w:tcPr>
          <w:p w14:paraId="5EA1FE74" w14:textId="77777777" w:rsidR="003C66EB" w:rsidRDefault="003C66EB">
            <w:pPr>
              <w:rPr>
                <w:rFonts w:ascii="宋体"/>
                <w:vanish/>
              </w:rPr>
            </w:pPr>
          </w:p>
        </w:tc>
        <w:tc>
          <w:tcPr>
            <w:tcW w:w="0" w:type="auto"/>
            <w:gridSpan w:val="3"/>
            <w:shd w:val="clear" w:color="auto" w:fill="auto"/>
          </w:tcPr>
          <w:p w14:paraId="5EA1FE75" w14:textId="77777777" w:rsidR="003C66EB" w:rsidRDefault="003C66EB">
            <w:pPr>
              <w:rPr>
                <w:rFonts w:ascii="宋体"/>
                <w:vanish/>
              </w:rPr>
            </w:pPr>
          </w:p>
        </w:tc>
        <w:tc>
          <w:tcPr>
            <w:tcW w:w="0" w:type="auto"/>
            <w:gridSpan w:val="3"/>
            <w:shd w:val="clear" w:color="auto" w:fill="auto"/>
          </w:tcPr>
          <w:p w14:paraId="5EA1FE76" w14:textId="77777777" w:rsidR="003C66EB" w:rsidRDefault="003C66EB">
            <w:pPr>
              <w:rPr>
                <w:rFonts w:ascii="宋体"/>
                <w:vanish/>
              </w:rPr>
            </w:pPr>
          </w:p>
        </w:tc>
        <w:tc>
          <w:tcPr>
            <w:tcW w:w="0" w:type="auto"/>
            <w:gridSpan w:val="3"/>
            <w:shd w:val="clear" w:color="auto" w:fill="auto"/>
          </w:tcPr>
          <w:p w14:paraId="5EA1FE77" w14:textId="77777777" w:rsidR="003C66EB" w:rsidRDefault="003C66EB">
            <w:pPr>
              <w:rPr>
                <w:rFonts w:ascii="宋体"/>
                <w:vanish/>
              </w:rPr>
            </w:pPr>
          </w:p>
        </w:tc>
        <w:tc>
          <w:tcPr>
            <w:tcW w:w="0" w:type="auto"/>
            <w:gridSpan w:val="3"/>
            <w:shd w:val="clear" w:color="auto" w:fill="auto"/>
          </w:tcPr>
          <w:p w14:paraId="5EA1FE78" w14:textId="77777777" w:rsidR="003C66EB" w:rsidRDefault="003C66EB">
            <w:pPr>
              <w:rPr>
                <w:rFonts w:ascii="宋体"/>
                <w:vanish/>
              </w:rPr>
            </w:pPr>
          </w:p>
        </w:tc>
        <w:tc>
          <w:tcPr>
            <w:tcW w:w="0" w:type="auto"/>
            <w:gridSpan w:val="3"/>
            <w:shd w:val="clear" w:color="auto" w:fill="auto"/>
          </w:tcPr>
          <w:p w14:paraId="5EA1FE79" w14:textId="77777777" w:rsidR="003C66EB" w:rsidRDefault="003C66EB">
            <w:pPr>
              <w:rPr>
                <w:rFonts w:ascii="宋体"/>
                <w:vanish/>
              </w:rPr>
            </w:pPr>
          </w:p>
        </w:tc>
        <w:tc>
          <w:tcPr>
            <w:tcW w:w="0" w:type="auto"/>
            <w:gridSpan w:val="3"/>
            <w:shd w:val="clear" w:color="auto" w:fill="auto"/>
          </w:tcPr>
          <w:p w14:paraId="5EA1FE7A" w14:textId="77777777" w:rsidR="003C66EB" w:rsidRDefault="003C66EB">
            <w:pPr>
              <w:rPr>
                <w:rFonts w:ascii="宋体"/>
                <w:vanish/>
              </w:rPr>
            </w:pPr>
          </w:p>
        </w:tc>
        <w:tc>
          <w:tcPr>
            <w:tcW w:w="0" w:type="auto"/>
            <w:gridSpan w:val="3"/>
            <w:shd w:val="clear" w:color="auto" w:fill="auto"/>
          </w:tcPr>
          <w:p w14:paraId="5EA1FE7B" w14:textId="77777777" w:rsidR="003C66EB" w:rsidRDefault="003C66EB">
            <w:pPr>
              <w:rPr>
                <w:rFonts w:ascii="宋体"/>
                <w:vanish/>
              </w:rPr>
            </w:pPr>
          </w:p>
        </w:tc>
      </w:tr>
      <w:tr w:rsidR="003C66EB" w14:paraId="5EA1FE86" w14:textId="77777777">
        <w:trPr>
          <w:hidden/>
        </w:trPr>
        <w:tc>
          <w:tcPr>
            <w:tcW w:w="0" w:type="auto"/>
            <w:gridSpan w:val="3"/>
            <w:shd w:val="clear" w:color="auto" w:fill="auto"/>
          </w:tcPr>
          <w:p w14:paraId="5EA1FE7D" w14:textId="77777777" w:rsidR="003C66EB" w:rsidRDefault="003C66EB">
            <w:pPr>
              <w:rPr>
                <w:rFonts w:ascii="宋体"/>
                <w:vanish/>
              </w:rPr>
            </w:pPr>
          </w:p>
        </w:tc>
        <w:tc>
          <w:tcPr>
            <w:tcW w:w="0" w:type="auto"/>
            <w:gridSpan w:val="3"/>
            <w:shd w:val="clear" w:color="auto" w:fill="auto"/>
          </w:tcPr>
          <w:p w14:paraId="5EA1FE7E" w14:textId="77777777" w:rsidR="003C66EB" w:rsidRDefault="003C66EB">
            <w:pPr>
              <w:rPr>
                <w:rFonts w:ascii="宋体"/>
                <w:vanish/>
              </w:rPr>
            </w:pPr>
          </w:p>
        </w:tc>
        <w:tc>
          <w:tcPr>
            <w:tcW w:w="0" w:type="auto"/>
            <w:gridSpan w:val="3"/>
            <w:shd w:val="clear" w:color="auto" w:fill="auto"/>
          </w:tcPr>
          <w:p w14:paraId="5EA1FE7F" w14:textId="77777777" w:rsidR="003C66EB" w:rsidRDefault="003C66EB">
            <w:pPr>
              <w:rPr>
                <w:rFonts w:ascii="宋体"/>
                <w:vanish/>
              </w:rPr>
            </w:pPr>
          </w:p>
        </w:tc>
        <w:tc>
          <w:tcPr>
            <w:tcW w:w="0" w:type="auto"/>
            <w:gridSpan w:val="3"/>
            <w:shd w:val="clear" w:color="auto" w:fill="auto"/>
          </w:tcPr>
          <w:p w14:paraId="5EA1FE80" w14:textId="77777777" w:rsidR="003C66EB" w:rsidRDefault="003C66EB">
            <w:pPr>
              <w:rPr>
                <w:rFonts w:ascii="宋体"/>
                <w:vanish/>
              </w:rPr>
            </w:pPr>
          </w:p>
        </w:tc>
        <w:tc>
          <w:tcPr>
            <w:tcW w:w="0" w:type="auto"/>
            <w:gridSpan w:val="3"/>
            <w:shd w:val="clear" w:color="auto" w:fill="auto"/>
          </w:tcPr>
          <w:p w14:paraId="5EA1FE81" w14:textId="77777777" w:rsidR="003C66EB" w:rsidRDefault="003C66EB">
            <w:pPr>
              <w:rPr>
                <w:rFonts w:ascii="宋体"/>
                <w:vanish/>
              </w:rPr>
            </w:pPr>
          </w:p>
        </w:tc>
        <w:tc>
          <w:tcPr>
            <w:tcW w:w="0" w:type="auto"/>
            <w:gridSpan w:val="3"/>
            <w:shd w:val="clear" w:color="auto" w:fill="auto"/>
          </w:tcPr>
          <w:p w14:paraId="5EA1FE82" w14:textId="77777777" w:rsidR="003C66EB" w:rsidRDefault="003C66EB">
            <w:pPr>
              <w:rPr>
                <w:rFonts w:ascii="宋体"/>
                <w:vanish/>
              </w:rPr>
            </w:pPr>
          </w:p>
        </w:tc>
        <w:tc>
          <w:tcPr>
            <w:tcW w:w="0" w:type="auto"/>
            <w:gridSpan w:val="3"/>
            <w:shd w:val="clear" w:color="auto" w:fill="auto"/>
          </w:tcPr>
          <w:p w14:paraId="5EA1FE83" w14:textId="77777777" w:rsidR="003C66EB" w:rsidRDefault="003C66EB">
            <w:pPr>
              <w:rPr>
                <w:rFonts w:ascii="宋体"/>
                <w:vanish/>
              </w:rPr>
            </w:pPr>
          </w:p>
        </w:tc>
        <w:tc>
          <w:tcPr>
            <w:tcW w:w="0" w:type="auto"/>
            <w:gridSpan w:val="3"/>
            <w:shd w:val="clear" w:color="auto" w:fill="auto"/>
          </w:tcPr>
          <w:p w14:paraId="5EA1FE84" w14:textId="77777777" w:rsidR="003C66EB" w:rsidRDefault="003C66EB">
            <w:pPr>
              <w:rPr>
                <w:rFonts w:ascii="宋体"/>
                <w:vanish/>
              </w:rPr>
            </w:pPr>
          </w:p>
        </w:tc>
        <w:tc>
          <w:tcPr>
            <w:tcW w:w="0" w:type="auto"/>
            <w:gridSpan w:val="3"/>
            <w:shd w:val="clear" w:color="auto" w:fill="auto"/>
          </w:tcPr>
          <w:p w14:paraId="5EA1FE85" w14:textId="77777777" w:rsidR="003C66EB" w:rsidRDefault="003C66EB">
            <w:pPr>
              <w:rPr>
                <w:rFonts w:ascii="宋体"/>
                <w:vanish/>
              </w:rPr>
            </w:pPr>
          </w:p>
        </w:tc>
      </w:tr>
      <w:tr w:rsidR="003C66EB" w14:paraId="5EA1FE90" w14:textId="77777777">
        <w:trPr>
          <w:hidden/>
        </w:trPr>
        <w:tc>
          <w:tcPr>
            <w:tcW w:w="0" w:type="auto"/>
            <w:gridSpan w:val="3"/>
            <w:shd w:val="clear" w:color="auto" w:fill="auto"/>
          </w:tcPr>
          <w:p w14:paraId="5EA1FE87" w14:textId="77777777" w:rsidR="003C66EB" w:rsidRDefault="003C66EB">
            <w:pPr>
              <w:rPr>
                <w:rFonts w:ascii="宋体"/>
                <w:vanish/>
              </w:rPr>
            </w:pPr>
          </w:p>
        </w:tc>
        <w:tc>
          <w:tcPr>
            <w:tcW w:w="0" w:type="auto"/>
            <w:gridSpan w:val="3"/>
            <w:shd w:val="clear" w:color="auto" w:fill="auto"/>
          </w:tcPr>
          <w:p w14:paraId="5EA1FE88" w14:textId="77777777" w:rsidR="003C66EB" w:rsidRDefault="003C66EB">
            <w:pPr>
              <w:rPr>
                <w:rFonts w:ascii="宋体"/>
                <w:vanish/>
              </w:rPr>
            </w:pPr>
          </w:p>
        </w:tc>
        <w:tc>
          <w:tcPr>
            <w:tcW w:w="0" w:type="auto"/>
            <w:gridSpan w:val="3"/>
            <w:shd w:val="clear" w:color="auto" w:fill="auto"/>
          </w:tcPr>
          <w:p w14:paraId="5EA1FE89" w14:textId="77777777" w:rsidR="003C66EB" w:rsidRDefault="003C66EB">
            <w:pPr>
              <w:rPr>
                <w:rFonts w:ascii="宋体"/>
                <w:vanish/>
              </w:rPr>
            </w:pPr>
          </w:p>
        </w:tc>
        <w:tc>
          <w:tcPr>
            <w:tcW w:w="0" w:type="auto"/>
            <w:gridSpan w:val="3"/>
            <w:shd w:val="clear" w:color="auto" w:fill="auto"/>
          </w:tcPr>
          <w:p w14:paraId="5EA1FE8A" w14:textId="77777777" w:rsidR="003C66EB" w:rsidRDefault="003C66EB">
            <w:pPr>
              <w:rPr>
                <w:rFonts w:ascii="宋体"/>
                <w:vanish/>
              </w:rPr>
            </w:pPr>
          </w:p>
        </w:tc>
        <w:tc>
          <w:tcPr>
            <w:tcW w:w="0" w:type="auto"/>
            <w:gridSpan w:val="3"/>
            <w:shd w:val="clear" w:color="auto" w:fill="auto"/>
          </w:tcPr>
          <w:p w14:paraId="5EA1FE8B" w14:textId="77777777" w:rsidR="003C66EB" w:rsidRDefault="003C66EB">
            <w:pPr>
              <w:rPr>
                <w:rFonts w:ascii="宋体"/>
                <w:vanish/>
              </w:rPr>
            </w:pPr>
          </w:p>
        </w:tc>
        <w:tc>
          <w:tcPr>
            <w:tcW w:w="0" w:type="auto"/>
            <w:gridSpan w:val="3"/>
            <w:shd w:val="clear" w:color="auto" w:fill="auto"/>
          </w:tcPr>
          <w:p w14:paraId="5EA1FE8C" w14:textId="77777777" w:rsidR="003C66EB" w:rsidRDefault="003C66EB">
            <w:pPr>
              <w:rPr>
                <w:rFonts w:ascii="宋体"/>
                <w:vanish/>
              </w:rPr>
            </w:pPr>
          </w:p>
        </w:tc>
        <w:tc>
          <w:tcPr>
            <w:tcW w:w="0" w:type="auto"/>
            <w:gridSpan w:val="3"/>
            <w:shd w:val="clear" w:color="auto" w:fill="auto"/>
          </w:tcPr>
          <w:p w14:paraId="5EA1FE8D" w14:textId="77777777" w:rsidR="003C66EB" w:rsidRDefault="003C66EB">
            <w:pPr>
              <w:rPr>
                <w:rFonts w:ascii="宋体"/>
                <w:vanish/>
              </w:rPr>
            </w:pPr>
          </w:p>
        </w:tc>
        <w:tc>
          <w:tcPr>
            <w:tcW w:w="0" w:type="auto"/>
            <w:gridSpan w:val="3"/>
            <w:shd w:val="clear" w:color="auto" w:fill="auto"/>
          </w:tcPr>
          <w:p w14:paraId="5EA1FE8E" w14:textId="77777777" w:rsidR="003C66EB" w:rsidRDefault="003C66EB">
            <w:pPr>
              <w:rPr>
                <w:rFonts w:ascii="宋体"/>
                <w:vanish/>
              </w:rPr>
            </w:pPr>
          </w:p>
        </w:tc>
        <w:tc>
          <w:tcPr>
            <w:tcW w:w="0" w:type="auto"/>
            <w:gridSpan w:val="3"/>
            <w:shd w:val="clear" w:color="auto" w:fill="auto"/>
          </w:tcPr>
          <w:p w14:paraId="5EA1FE8F" w14:textId="77777777" w:rsidR="003C66EB" w:rsidRDefault="003C66EB">
            <w:pPr>
              <w:rPr>
                <w:rFonts w:ascii="宋体"/>
                <w:vanish/>
              </w:rPr>
            </w:pPr>
          </w:p>
        </w:tc>
      </w:tr>
      <w:tr w:rsidR="003C66EB" w14:paraId="5EA1FE9E" w14:textId="77777777">
        <w:tc>
          <w:tcPr>
            <w:tcW w:w="0" w:type="auto"/>
            <w:gridSpan w:val="3"/>
            <w:shd w:val="clear" w:color="auto" w:fill="FFFFFF"/>
            <w:tcMar>
              <w:top w:w="40" w:type="dxa"/>
              <w:left w:w="20" w:type="dxa"/>
              <w:bottom w:w="40" w:type="dxa"/>
              <w:right w:w="20" w:type="dxa"/>
            </w:tcMar>
            <w:vAlign w:val="bottom"/>
          </w:tcPr>
          <w:p w14:paraId="5EA1FE91" w14:textId="77777777" w:rsidR="003C66EB" w:rsidRDefault="00D96C4E">
            <w:pPr>
              <w:textAlignment w:val="bottom"/>
            </w:pPr>
            <w:r>
              <w:rPr>
                <w:rFonts w:ascii="Arial" w:eastAsia="宋体" w:hAnsi="Arial" w:cs="Arial"/>
                <w:color w:val="000000"/>
                <w:sz w:val="14"/>
                <w:szCs w:val="14"/>
              </w:rPr>
              <w:t>Total available-for-sale securities</w:t>
            </w:r>
            <w:r>
              <w:rPr>
                <w:rFonts w:ascii="Arial" w:eastAsia="宋体" w:hAnsi="Arial" w:cs="Arial"/>
                <w:color w:val="000000"/>
                <w:sz w:val="9"/>
                <w:szCs w:val="9"/>
              </w:rPr>
              <w:t>(3)(7)</w:t>
            </w:r>
          </w:p>
        </w:tc>
        <w:tc>
          <w:tcPr>
            <w:tcW w:w="0" w:type="auto"/>
            <w:tcBorders>
              <w:top w:val="single" w:sz="8" w:space="0" w:color="000000"/>
            </w:tcBorders>
            <w:shd w:val="clear" w:color="auto" w:fill="FFFFFF"/>
            <w:tcMar>
              <w:top w:w="40" w:type="dxa"/>
              <w:left w:w="20" w:type="dxa"/>
              <w:bottom w:w="40" w:type="dxa"/>
              <w:right w:w="0" w:type="dxa"/>
            </w:tcMar>
            <w:vAlign w:val="bottom"/>
          </w:tcPr>
          <w:p w14:paraId="5EA1FE9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FE93" w14:textId="77777777" w:rsidR="003C66EB" w:rsidRDefault="00D96C4E">
            <w:pPr>
              <w:jc w:val="right"/>
              <w:textAlignment w:val="bottom"/>
            </w:pPr>
            <w:r>
              <w:rPr>
                <w:rFonts w:ascii="Arial" w:eastAsia="宋体" w:hAnsi="Arial" w:cs="Arial"/>
                <w:b/>
                <w:bCs/>
                <w:color w:val="000000"/>
                <w:sz w:val="14"/>
                <w:szCs w:val="14"/>
              </w:rPr>
              <w:t>60,512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E9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95"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1FE9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1FE97" w14:textId="77777777" w:rsidR="003C66EB" w:rsidRDefault="00D96C4E">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E98" w14:textId="77777777" w:rsidR="003C66EB" w:rsidRDefault="003C66EB">
            <w:pPr>
              <w:jc w:val="right"/>
              <w:rPr>
                <w:rFonts w:ascii="宋体"/>
              </w:rPr>
            </w:pPr>
          </w:p>
        </w:tc>
        <w:tc>
          <w:tcPr>
            <w:tcW w:w="0" w:type="auto"/>
            <w:gridSpan w:val="3"/>
            <w:shd w:val="clear" w:color="auto" w:fill="auto"/>
          </w:tcPr>
          <w:p w14:paraId="5EA1FE99" w14:textId="77777777" w:rsidR="003C66EB" w:rsidRDefault="003C66EB">
            <w:pPr>
              <w:rPr>
                <w:rFonts w:ascii="宋体"/>
                <w:vanish/>
              </w:rPr>
            </w:pPr>
          </w:p>
        </w:tc>
        <w:tc>
          <w:tcPr>
            <w:tcW w:w="0" w:type="auto"/>
            <w:gridSpan w:val="3"/>
            <w:shd w:val="clear" w:color="auto" w:fill="auto"/>
          </w:tcPr>
          <w:p w14:paraId="5EA1FE9A" w14:textId="77777777" w:rsidR="003C66EB" w:rsidRDefault="003C66EB">
            <w:pPr>
              <w:rPr>
                <w:rFonts w:ascii="宋体"/>
                <w:vanish/>
              </w:rPr>
            </w:pPr>
          </w:p>
        </w:tc>
        <w:tc>
          <w:tcPr>
            <w:tcW w:w="0" w:type="auto"/>
            <w:gridSpan w:val="3"/>
            <w:shd w:val="clear" w:color="auto" w:fill="auto"/>
          </w:tcPr>
          <w:p w14:paraId="5EA1FE9B" w14:textId="77777777" w:rsidR="003C66EB" w:rsidRDefault="003C66EB">
            <w:pPr>
              <w:rPr>
                <w:rFonts w:ascii="宋体"/>
                <w:vanish/>
              </w:rPr>
            </w:pPr>
          </w:p>
        </w:tc>
        <w:tc>
          <w:tcPr>
            <w:tcW w:w="0" w:type="auto"/>
            <w:gridSpan w:val="3"/>
            <w:shd w:val="clear" w:color="auto" w:fill="auto"/>
          </w:tcPr>
          <w:p w14:paraId="5EA1FE9C" w14:textId="77777777" w:rsidR="003C66EB" w:rsidRDefault="003C66EB">
            <w:pPr>
              <w:rPr>
                <w:rFonts w:ascii="宋体"/>
                <w:vanish/>
              </w:rPr>
            </w:pPr>
          </w:p>
        </w:tc>
        <w:tc>
          <w:tcPr>
            <w:tcW w:w="0" w:type="auto"/>
            <w:gridSpan w:val="3"/>
            <w:shd w:val="clear" w:color="auto" w:fill="auto"/>
          </w:tcPr>
          <w:p w14:paraId="5EA1FE9D" w14:textId="77777777" w:rsidR="003C66EB" w:rsidRDefault="003C66EB">
            <w:pPr>
              <w:rPr>
                <w:rFonts w:ascii="宋体"/>
                <w:vanish/>
              </w:rPr>
            </w:pPr>
          </w:p>
        </w:tc>
      </w:tr>
      <w:tr w:rsidR="003C66EB" w14:paraId="5EA1FEA8" w14:textId="77777777">
        <w:trPr>
          <w:trHeight w:val="240"/>
        </w:trPr>
        <w:tc>
          <w:tcPr>
            <w:tcW w:w="0" w:type="auto"/>
            <w:gridSpan w:val="3"/>
            <w:shd w:val="clear" w:color="auto" w:fill="CCEEFF"/>
            <w:tcMar>
              <w:top w:w="0" w:type="dxa"/>
              <w:left w:w="20" w:type="dxa"/>
              <w:bottom w:w="0" w:type="dxa"/>
              <w:right w:w="20" w:type="dxa"/>
            </w:tcMar>
          </w:tcPr>
          <w:p w14:paraId="5EA1FE9F"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1FEA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EA1"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1FEA2" w14:textId="77777777" w:rsidR="003C66EB" w:rsidRDefault="003C66EB">
            <w:pPr>
              <w:rPr>
                <w:rFonts w:ascii="宋体"/>
              </w:rPr>
            </w:pPr>
          </w:p>
        </w:tc>
        <w:tc>
          <w:tcPr>
            <w:tcW w:w="0" w:type="auto"/>
            <w:gridSpan w:val="3"/>
            <w:shd w:val="clear" w:color="auto" w:fill="auto"/>
          </w:tcPr>
          <w:p w14:paraId="5EA1FEA3" w14:textId="77777777" w:rsidR="003C66EB" w:rsidRDefault="003C66EB">
            <w:pPr>
              <w:rPr>
                <w:rFonts w:ascii="宋体"/>
                <w:vanish/>
              </w:rPr>
            </w:pPr>
          </w:p>
        </w:tc>
        <w:tc>
          <w:tcPr>
            <w:tcW w:w="0" w:type="auto"/>
            <w:gridSpan w:val="3"/>
            <w:shd w:val="clear" w:color="auto" w:fill="auto"/>
          </w:tcPr>
          <w:p w14:paraId="5EA1FEA4" w14:textId="77777777" w:rsidR="003C66EB" w:rsidRDefault="003C66EB">
            <w:pPr>
              <w:rPr>
                <w:rFonts w:ascii="宋体"/>
                <w:vanish/>
              </w:rPr>
            </w:pPr>
          </w:p>
        </w:tc>
        <w:tc>
          <w:tcPr>
            <w:tcW w:w="0" w:type="auto"/>
            <w:gridSpan w:val="3"/>
            <w:shd w:val="clear" w:color="auto" w:fill="auto"/>
          </w:tcPr>
          <w:p w14:paraId="5EA1FEA5" w14:textId="77777777" w:rsidR="003C66EB" w:rsidRDefault="003C66EB">
            <w:pPr>
              <w:rPr>
                <w:rFonts w:ascii="宋体"/>
                <w:vanish/>
              </w:rPr>
            </w:pPr>
          </w:p>
        </w:tc>
        <w:tc>
          <w:tcPr>
            <w:tcW w:w="0" w:type="auto"/>
            <w:gridSpan w:val="3"/>
            <w:shd w:val="clear" w:color="auto" w:fill="auto"/>
          </w:tcPr>
          <w:p w14:paraId="5EA1FEA6" w14:textId="77777777" w:rsidR="003C66EB" w:rsidRDefault="003C66EB">
            <w:pPr>
              <w:rPr>
                <w:rFonts w:ascii="宋体"/>
                <w:vanish/>
              </w:rPr>
            </w:pPr>
          </w:p>
        </w:tc>
        <w:tc>
          <w:tcPr>
            <w:tcW w:w="0" w:type="auto"/>
            <w:gridSpan w:val="3"/>
            <w:shd w:val="clear" w:color="auto" w:fill="auto"/>
          </w:tcPr>
          <w:p w14:paraId="5EA1FEA7" w14:textId="77777777" w:rsidR="003C66EB" w:rsidRDefault="003C66EB">
            <w:pPr>
              <w:rPr>
                <w:rFonts w:ascii="宋体"/>
                <w:vanish/>
              </w:rPr>
            </w:pPr>
          </w:p>
        </w:tc>
      </w:tr>
      <w:tr w:rsidR="003C66EB" w14:paraId="5EA1FEB2" w14:textId="77777777">
        <w:tc>
          <w:tcPr>
            <w:tcW w:w="0" w:type="auto"/>
            <w:gridSpan w:val="3"/>
            <w:shd w:val="clear" w:color="auto" w:fill="FFFFFF"/>
            <w:tcMar>
              <w:top w:w="40" w:type="dxa"/>
              <w:left w:w="20" w:type="dxa"/>
              <w:bottom w:w="40" w:type="dxa"/>
              <w:right w:w="20" w:type="dxa"/>
            </w:tcMar>
            <w:vAlign w:val="bottom"/>
          </w:tcPr>
          <w:p w14:paraId="5EA1FEA9" w14:textId="77777777" w:rsidR="003C66EB" w:rsidRDefault="00D96C4E">
            <w:pPr>
              <w:textAlignment w:val="bottom"/>
            </w:pPr>
            <w:r>
              <w:rPr>
                <w:rFonts w:ascii="Arial" w:eastAsia="宋体" w:hAnsi="Arial" w:cs="Arial"/>
                <w:b/>
                <w:bCs/>
                <w:color w:val="000000"/>
                <w:sz w:val="14"/>
                <w:szCs w:val="14"/>
              </w:rPr>
              <w:t>Held-to-maturity</w:t>
            </w:r>
            <w:r>
              <w:rPr>
                <w:rFonts w:ascii="Arial" w:eastAsia="宋体" w:hAnsi="Arial" w:cs="Arial"/>
                <w:b/>
                <w:bCs/>
                <w:color w:val="000000"/>
                <w:sz w:val="9"/>
                <w:szCs w:val="9"/>
              </w:rPr>
              <w:t>(4)</w:t>
            </w: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5EA1FEA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EA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1FEAC" w14:textId="77777777" w:rsidR="003C66EB" w:rsidRDefault="003C66EB">
            <w:pPr>
              <w:rPr>
                <w:rFonts w:ascii="宋体"/>
              </w:rPr>
            </w:pPr>
          </w:p>
        </w:tc>
        <w:tc>
          <w:tcPr>
            <w:tcW w:w="0" w:type="auto"/>
            <w:gridSpan w:val="3"/>
            <w:shd w:val="clear" w:color="auto" w:fill="auto"/>
          </w:tcPr>
          <w:p w14:paraId="5EA1FEAD" w14:textId="77777777" w:rsidR="003C66EB" w:rsidRDefault="003C66EB">
            <w:pPr>
              <w:rPr>
                <w:rFonts w:ascii="宋体"/>
                <w:vanish/>
              </w:rPr>
            </w:pPr>
          </w:p>
        </w:tc>
        <w:tc>
          <w:tcPr>
            <w:tcW w:w="0" w:type="auto"/>
            <w:gridSpan w:val="3"/>
            <w:shd w:val="clear" w:color="auto" w:fill="auto"/>
          </w:tcPr>
          <w:p w14:paraId="5EA1FEAE" w14:textId="77777777" w:rsidR="003C66EB" w:rsidRDefault="003C66EB">
            <w:pPr>
              <w:rPr>
                <w:rFonts w:ascii="宋体"/>
                <w:vanish/>
              </w:rPr>
            </w:pPr>
          </w:p>
        </w:tc>
        <w:tc>
          <w:tcPr>
            <w:tcW w:w="0" w:type="auto"/>
            <w:gridSpan w:val="3"/>
            <w:shd w:val="clear" w:color="auto" w:fill="auto"/>
          </w:tcPr>
          <w:p w14:paraId="5EA1FEAF" w14:textId="77777777" w:rsidR="003C66EB" w:rsidRDefault="003C66EB">
            <w:pPr>
              <w:rPr>
                <w:rFonts w:ascii="宋体"/>
                <w:vanish/>
              </w:rPr>
            </w:pPr>
          </w:p>
        </w:tc>
        <w:tc>
          <w:tcPr>
            <w:tcW w:w="0" w:type="auto"/>
            <w:gridSpan w:val="3"/>
            <w:shd w:val="clear" w:color="auto" w:fill="auto"/>
          </w:tcPr>
          <w:p w14:paraId="5EA1FEB0" w14:textId="77777777" w:rsidR="003C66EB" w:rsidRDefault="003C66EB">
            <w:pPr>
              <w:rPr>
                <w:rFonts w:ascii="宋体"/>
                <w:vanish/>
              </w:rPr>
            </w:pPr>
          </w:p>
        </w:tc>
        <w:tc>
          <w:tcPr>
            <w:tcW w:w="0" w:type="auto"/>
            <w:gridSpan w:val="3"/>
            <w:shd w:val="clear" w:color="auto" w:fill="auto"/>
          </w:tcPr>
          <w:p w14:paraId="5EA1FEB1" w14:textId="77777777" w:rsidR="003C66EB" w:rsidRDefault="003C66EB">
            <w:pPr>
              <w:rPr>
                <w:rFonts w:ascii="宋体"/>
                <w:vanish/>
              </w:rPr>
            </w:pPr>
          </w:p>
        </w:tc>
      </w:tr>
      <w:tr w:rsidR="003C66EB" w14:paraId="5EA1FEBC" w14:textId="77777777">
        <w:tc>
          <w:tcPr>
            <w:tcW w:w="0" w:type="auto"/>
            <w:gridSpan w:val="3"/>
            <w:shd w:val="clear" w:color="auto" w:fill="CCEEFF"/>
            <w:tcMar>
              <w:top w:w="40" w:type="dxa"/>
              <w:left w:w="20" w:type="dxa"/>
              <w:bottom w:w="40" w:type="dxa"/>
              <w:right w:w="20" w:type="dxa"/>
            </w:tcMar>
            <w:vAlign w:val="bottom"/>
          </w:tcPr>
          <w:p w14:paraId="5EA1FEB3" w14:textId="77777777" w:rsidR="003C66EB" w:rsidRDefault="00D96C4E">
            <w:pPr>
              <w:textAlignment w:val="bottom"/>
            </w:pPr>
            <w:r>
              <w:rPr>
                <w:rFonts w:ascii="Arial" w:eastAsia="宋体" w:hAnsi="Arial" w:cs="Arial"/>
                <w:color w:val="000000"/>
                <w:sz w:val="14"/>
                <w:szCs w:val="14"/>
              </w:rPr>
              <w:t>U.S. Treasury and federal agencies:</w:t>
            </w:r>
          </w:p>
        </w:tc>
        <w:tc>
          <w:tcPr>
            <w:tcW w:w="0" w:type="auto"/>
            <w:gridSpan w:val="3"/>
            <w:shd w:val="clear" w:color="auto" w:fill="CCEEFF"/>
            <w:tcMar>
              <w:top w:w="0" w:type="dxa"/>
              <w:left w:w="20" w:type="dxa"/>
              <w:bottom w:w="0" w:type="dxa"/>
              <w:right w:w="20" w:type="dxa"/>
            </w:tcMar>
          </w:tcPr>
          <w:p w14:paraId="5EA1FEB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EB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EB6" w14:textId="77777777" w:rsidR="003C66EB" w:rsidRDefault="003C66EB">
            <w:pPr>
              <w:rPr>
                <w:rFonts w:ascii="宋体"/>
              </w:rPr>
            </w:pPr>
          </w:p>
        </w:tc>
        <w:tc>
          <w:tcPr>
            <w:tcW w:w="0" w:type="auto"/>
            <w:gridSpan w:val="3"/>
            <w:shd w:val="clear" w:color="auto" w:fill="auto"/>
          </w:tcPr>
          <w:p w14:paraId="5EA1FEB7" w14:textId="77777777" w:rsidR="003C66EB" w:rsidRDefault="003C66EB">
            <w:pPr>
              <w:rPr>
                <w:rFonts w:ascii="宋体"/>
                <w:vanish/>
              </w:rPr>
            </w:pPr>
          </w:p>
        </w:tc>
        <w:tc>
          <w:tcPr>
            <w:tcW w:w="0" w:type="auto"/>
            <w:gridSpan w:val="3"/>
            <w:shd w:val="clear" w:color="auto" w:fill="auto"/>
          </w:tcPr>
          <w:p w14:paraId="5EA1FEB8" w14:textId="77777777" w:rsidR="003C66EB" w:rsidRDefault="003C66EB">
            <w:pPr>
              <w:rPr>
                <w:rFonts w:ascii="宋体"/>
                <w:vanish/>
              </w:rPr>
            </w:pPr>
          </w:p>
        </w:tc>
        <w:tc>
          <w:tcPr>
            <w:tcW w:w="0" w:type="auto"/>
            <w:gridSpan w:val="3"/>
            <w:shd w:val="clear" w:color="auto" w:fill="auto"/>
          </w:tcPr>
          <w:p w14:paraId="5EA1FEB9" w14:textId="77777777" w:rsidR="003C66EB" w:rsidRDefault="003C66EB">
            <w:pPr>
              <w:rPr>
                <w:rFonts w:ascii="宋体"/>
                <w:vanish/>
              </w:rPr>
            </w:pPr>
          </w:p>
        </w:tc>
        <w:tc>
          <w:tcPr>
            <w:tcW w:w="0" w:type="auto"/>
            <w:gridSpan w:val="3"/>
            <w:shd w:val="clear" w:color="auto" w:fill="auto"/>
          </w:tcPr>
          <w:p w14:paraId="5EA1FEBA" w14:textId="77777777" w:rsidR="003C66EB" w:rsidRDefault="003C66EB">
            <w:pPr>
              <w:rPr>
                <w:rFonts w:ascii="宋体"/>
                <w:vanish/>
              </w:rPr>
            </w:pPr>
          </w:p>
        </w:tc>
        <w:tc>
          <w:tcPr>
            <w:tcW w:w="0" w:type="auto"/>
            <w:gridSpan w:val="3"/>
            <w:shd w:val="clear" w:color="auto" w:fill="auto"/>
          </w:tcPr>
          <w:p w14:paraId="5EA1FEBB" w14:textId="77777777" w:rsidR="003C66EB" w:rsidRDefault="003C66EB">
            <w:pPr>
              <w:rPr>
                <w:rFonts w:ascii="宋体"/>
                <w:vanish/>
              </w:rPr>
            </w:pPr>
          </w:p>
        </w:tc>
      </w:tr>
      <w:tr w:rsidR="003C66EB" w14:paraId="5EA1FECA" w14:textId="77777777">
        <w:tc>
          <w:tcPr>
            <w:tcW w:w="0" w:type="auto"/>
            <w:gridSpan w:val="3"/>
            <w:shd w:val="clear" w:color="auto" w:fill="FFFFFF"/>
            <w:tcMar>
              <w:top w:w="40" w:type="dxa"/>
              <w:left w:w="155" w:type="dxa"/>
              <w:bottom w:w="40" w:type="dxa"/>
              <w:right w:w="20" w:type="dxa"/>
            </w:tcMar>
            <w:vAlign w:val="bottom"/>
          </w:tcPr>
          <w:p w14:paraId="5EA1FEBD" w14:textId="77777777" w:rsidR="003C66EB" w:rsidRDefault="00D96C4E">
            <w:pPr>
              <w:textAlignment w:val="bottom"/>
            </w:pPr>
            <w:r>
              <w:rPr>
                <w:rFonts w:ascii="Arial" w:eastAsia="宋体" w:hAnsi="Arial" w:cs="Arial"/>
                <w:color w:val="000000"/>
                <w:sz w:val="14"/>
                <w:szCs w:val="14"/>
              </w:rPr>
              <w:t>Direct obligations</w:t>
            </w:r>
          </w:p>
        </w:tc>
        <w:tc>
          <w:tcPr>
            <w:tcW w:w="0" w:type="auto"/>
            <w:shd w:val="clear" w:color="auto" w:fill="FFFFFF"/>
            <w:tcMar>
              <w:top w:w="40" w:type="dxa"/>
              <w:left w:w="20" w:type="dxa"/>
              <w:bottom w:w="40" w:type="dxa"/>
              <w:right w:w="0" w:type="dxa"/>
            </w:tcMar>
            <w:vAlign w:val="bottom"/>
          </w:tcPr>
          <w:p w14:paraId="5EA1FEBE"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EA1FEBF" w14:textId="77777777" w:rsidR="003C66EB" w:rsidRDefault="00D96C4E">
            <w:pPr>
              <w:jc w:val="right"/>
              <w:textAlignment w:val="bottom"/>
            </w:pPr>
            <w:r>
              <w:rPr>
                <w:rFonts w:ascii="Arial" w:eastAsia="宋体" w:hAnsi="Arial" w:cs="Arial"/>
                <w:b/>
                <w:bCs/>
                <w:color w:val="000000"/>
                <w:sz w:val="14"/>
                <w:szCs w:val="14"/>
              </w:rPr>
              <w:t>5,530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EC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C1"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1FEC2" w14:textId="77777777" w:rsidR="003C66EB" w:rsidRDefault="00D96C4E">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A1FEC3" w14:textId="77777777" w:rsidR="003C66EB" w:rsidRDefault="00D96C4E">
            <w:pPr>
              <w:jc w:val="right"/>
              <w:textAlignment w:val="bottom"/>
            </w:pPr>
            <w:r>
              <w:rPr>
                <w:rFonts w:ascii="Arial" w:eastAsia="宋体" w:hAnsi="Arial" w:cs="Arial"/>
                <w:color w:val="000000"/>
                <w:sz w:val="14"/>
                <w:szCs w:val="14"/>
              </w:rPr>
              <w:t>6,057 </w:t>
            </w:r>
          </w:p>
        </w:tc>
        <w:tc>
          <w:tcPr>
            <w:tcW w:w="0" w:type="auto"/>
            <w:shd w:val="clear" w:color="auto" w:fill="FFFFFF"/>
            <w:tcMar>
              <w:top w:w="40" w:type="dxa"/>
              <w:left w:w="0" w:type="dxa"/>
              <w:bottom w:w="40" w:type="dxa"/>
              <w:right w:w="20" w:type="dxa"/>
            </w:tcMar>
            <w:vAlign w:val="bottom"/>
          </w:tcPr>
          <w:p w14:paraId="5EA1FEC4" w14:textId="77777777" w:rsidR="003C66EB" w:rsidRDefault="003C66EB">
            <w:pPr>
              <w:jc w:val="right"/>
              <w:rPr>
                <w:rFonts w:ascii="宋体"/>
              </w:rPr>
            </w:pPr>
          </w:p>
        </w:tc>
        <w:tc>
          <w:tcPr>
            <w:tcW w:w="0" w:type="auto"/>
            <w:gridSpan w:val="3"/>
            <w:shd w:val="clear" w:color="auto" w:fill="auto"/>
          </w:tcPr>
          <w:p w14:paraId="5EA1FEC5" w14:textId="77777777" w:rsidR="003C66EB" w:rsidRDefault="003C66EB">
            <w:pPr>
              <w:rPr>
                <w:rFonts w:ascii="宋体"/>
                <w:vanish/>
              </w:rPr>
            </w:pPr>
          </w:p>
        </w:tc>
        <w:tc>
          <w:tcPr>
            <w:tcW w:w="0" w:type="auto"/>
            <w:gridSpan w:val="3"/>
            <w:shd w:val="clear" w:color="auto" w:fill="auto"/>
          </w:tcPr>
          <w:p w14:paraId="5EA1FEC6" w14:textId="77777777" w:rsidR="003C66EB" w:rsidRDefault="003C66EB">
            <w:pPr>
              <w:rPr>
                <w:rFonts w:ascii="宋体"/>
                <w:vanish/>
              </w:rPr>
            </w:pPr>
          </w:p>
        </w:tc>
        <w:tc>
          <w:tcPr>
            <w:tcW w:w="0" w:type="auto"/>
            <w:gridSpan w:val="3"/>
            <w:shd w:val="clear" w:color="auto" w:fill="auto"/>
          </w:tcPr>
          <w:p w14:paraId="5EA1FEC7" w14:textId="77777777" w:rsidR="003C66EB" w:rsidRDefault="003C66EB">
            <w:pPr>
              <w:rPr>
                <w:rFonts w:ascii="宋体"/>
                <w:vanish/>
              </w:rPr>
            </w:pPr>
          </w:p>
        </w:tc>
        <w:tc>
          <w:tcPr>
            <w:tcW w:w="0" w:type="auto"/>
            <w:gridSpan w:val="3"/>
            <w:shd w:val="clear" w:color="auto" w:fill="auto"/>
          </w:tcPr>
          <w:p w14:paraId="5EA1FEC8" w14:textId="77777777" w:rsidR="003C66EB" w:rsidRDefault="003C66EB">
            <w:pPr>
              <w:rPr>
                <w:rFonts w:ascii="宋体"/>
                <w:vanish/>
              </w:rPr>
            </w:pPr>
          </w:p>
        </w:tc>
        <w:tc>
          <w:tcPr>
            <w:tcW w:w="0" w:type="auto"/>
            <w:gridSpan w:val="3"/>
            <w:shd w:val="clear" w:color="auto" w:fill="auto"/>
          </w:tcPr>
          <w:p w14:paraId="5EA1FEC9" w14:textId="77777777" w:rsidR="003C66EB" w:rsidRDefault="003C66EB">
            <w:pPr>
              <w:rPr>
                <w:rFonts w:ascii="宋体"/>
                <w:vanish/>
              </w:rPr>
            </w:pPr>
          </w:p>
        </w:tc>
      </w:tr>
      <w:tr w:rsidR="003C66EB" w14:paraId="5EA1FED6" w14:textId="77777777">
        <w:tc>
          <w:tcPr>
            <w:tcW w:w="0" w:type="auto"/>
            <w:gridSpan w:val="3"/>
            <w:shd w:val="clear" w:color="auto" w:fill="CCEEFF"/>
            <w:tcMar>
              <w:top w:w="40" w:type="dxa"/>
              <w:left w:w="155" w:type="dxa"/>
              <w:bottom w:w="40" w:type="dxa"/>
              <w:right w:w="20" w:type="dxa"/>
            </w:tcMar>
            <w:vAlign w:val="bottom"/>
          </w:tcPr>
          <w:p w14:paraId="5EA1FECB"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A1FECC" w14:textId="77777777" w:rsidR="003C66EB" w:rsidRDefault="00D96C4E">
            <w:pPr>
              <w:jc w:val="right"/>
              <w:textAlignment w:val="bottom"/>
            </w:pPr>
            <w:r>
              <w:rPr>
                <w:rFonts w:ascii="Arial" w:eastAsia="宋体" w:hAnsi="Arial" w:cs="Arial"/>
                <w:b/>
                <w:bCs/>
                <w:color w:val="000000"/>
                <w:sz w:val="14"/>
                <w:szCs w:val="14"/>
              </w:rPr>
              <w:t>34,930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E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EC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ECF" w14:textId="77777777" w:rsidR="003C66EB" w:rsidRDefault="00D96C4E">
            <w:pPr>
              <w:jc w:val="right"/>
              <w:textAlignment w:val="bottom"/>
            </w:pPr>
            <w:r>
              <w:rPr>
                <w:rFonts w:ascii="Arial" w:eastAsia="宋体" w:hAnsi="Arial" w:cs="Arial"/>
                <w:color w:val="000000"/>
                <w:sz w:val="14"/>
                <w:szCs w:val="14"/>
              </w:rPr>
              <w:t>36,901 </w:t>
            </w:r>
          </w:p>
        </w:tc>
        <w:tc>
          <w:tcPr>
            <w:tcW w:w="0" w:type="auto"/>
            <w:shd w:val="clear" w:color="auto" w:fill="CCEEFF"/>
            <w:tcMar>
              <w:top w:w="40" w:type="dxa"/>
              <w:left w:w="0" w:type="dxa"/>
              <w:bottom w:w="40" w:type="dxa"/>
              <w:right w:w="20" w:type="dxa"/>
            </w:tcMar>
            <w:vAlign w:val="bottom"/>
          </w:tcPr>
          <w:p w14:paraId="5EA1FED0" w14:textId="77777777" w:rsidR="003C66EB" w:rsidRDefault="003C66EB">
            <w:pPr>
              <w:jc w:val="right"/>
              <w:rPr>
                <w:rFonts w:ascii="宋体"/>
              </w:rPr>
            </w:pPr>
          </w:p>
        </w:tc>
        <w:tc>
          <w:tcPr>
            <w:tcW w:w="0" w:type="auto"/>
            <w:gridSpan w:val="3"/>
            <w:shd w:val="clear" w:color="auto" w:fill="auto"/>
          </w:tcPr>
          <w:p w14:paraId="5EA1FED1" w14:textId="77777777" w:rsidR="003C66EB" w:rsidRDefault="003C66EB">
            <w:pPr>
              <w:rPr>
                <w:rFonts w:ascii="宋体"/>
                <w:vanish/>
              </w:rPr>
            </w:pPr>
          </w:p>
        </w:tc>
        <w:tc>
          <w:tcPr>
            <w:tcW w:w="0" w:type="auto"/>
            <w:gridSpan w:val="3"/>
            <w:shd w:val="clear" w:color="auto" w:fill="auto"/>
          </w:tcPr>
          <w:p w14:paraId="5EA1FED2" w14:textId="77777777" w:rsidR="003C66EB" w:rsidRDefault="003C66EB">
            <w:pPr>
              <w:rPr>
                <w:rFonts w:ascii="宋体"/>
                <w:vanish/>
              </w:rPr>
            </w:pPr>
          </w:p>
        </w:tc>
        <w:tc>
          <w:tcPr>
            <w:tcW w:w="0" w:type="auto"/>
            <w:gridSpan w:val="3"/>
            <w:shd w:val="clear" w:color="auto" w:fill="auto"/>
          </w:tcPr>
          <w:p w14:paraId="5EA1FED3" w14:textId="77777777" w:rsidR="003C66EB" w:rsidRDefault="003C66EB">
            <w:pPr>
              <w:rPr>
                <w:rFonts w:ascii="宋体"/>
                <w:vanish/>
              </w:rPr>
            </w:pPr>
          </w:p>
        </w:tc>
        <w:tc>
          <w:tcPr>
            <w:tcW w:w="0" w:type="auto"/>
            <w:gridSpan w:val="3"/>
            <w:shd w:val="clear" w:color="auto" w:fill="auto"/>
          </w:tcPr>
          <w:p w14:paraId="5EA1FED4" w14:textId="77777777" w:rsidR="003C66EB" w:rsidRDefault="003C66EB">
            <w:pPr>
              <w:rPr>
                <w:rFonts w:ascii="宋体"/>
                <w:vanish/>
              </w:rPr>
            </w:pPr>
          </w:p>
        </w:tc>
        <w:tc>
          <w:tcPr>
            <w:tcW w:w="0" w:type="auto"/>
            <w:gridSpan w:val="3"/>
            <w:shd w:val="clear" w:color="auto" w:fill="auto"/>
          </w:tcPr>
          <w:p w14:paraId="5EA1FED5" w14:textId="77777777" w:rsidR="003C66EB" w:rsidRDefault="003C66EB">
            <w:pPr>
              <w:rPr>
                <w:rFonts w:ascii="宋体"/>
                <w:vanish/>
              </w:rPr>
            </w:pPr>
          </w:p>
        </w:tc>
      </w:tr>
      <w:tr w:rsidR="003C66EB" w14:paraId="5EA1FEE2" w14:textId="77777777">
        <w:tc>
          <w:tcPr>
            <w:tcW w:w="0" w:type="auto"/>
            <w:gridSpan w:val="3"/>
            <w:shd w:val="clear" w:color="auto" w:fill="FFFFFF"/>
            <w:tcMar>
              <w:top w:w="40" w:type="dxa"/>
              <w:left w:w="20" w:type="dxa"/>
              <w:bottom w:w="40" w:type="dxa"/>
              <w:right w:w="20" w:type="dxa"/>
            </w:tcMar>
            <w:vAlign w:val="bottom"/>
          </w:tcPr>
          <w:p w14:paraId="5EA1FED7" w14:textId="77777777" w:rsidR="003C66EB" w:rsidRDefault="00D96C4E">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ED8" w14:textId="77777777" w:rsidR="003C66EB" w:rsidRDefault="00D96C4E">
            <w:pPr>
              <w:jc w:val="right"/>
              <w:textAlignment w:val="bottom"/>
            </w:pPr>
            <w:r>
              <w:rPr>
                <w:rFonts w:ascii="Arial" w:eastAsia="宋体" w:hAnsi="Arial" w:cs="Arial"/>
                <w:b/>
                <w:bCs/>
                <w:color w:val="000000"/>
                <w:sz w:val="14"/>
                <w:szCs w:val="14"/>
              </w:rPr>
              <w:t>40,460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ED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D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EDB" w14:textId="77777777" w:rsidR="003C66EB" w:rsidRDefault="00D96C4E">
            <w:pPr>
              <w:jc w:val="right"/>
              <w:textAlignment w:val="bottom"/>
            </w:pPr>
            <w:r>
              <w:rPr>
                <w:rFonts w:ascii="Arial" w:eastAsia="宋体" w:hAnsi="Arial" w:cs="Arial"/>
                <w:color w:val="000000"/>
                <w:sz w:val="14"/>
                <w:szCs w:val="14"/>
              </w:rPr>
              <w:t>42,958 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EDC" w14:textId="77777777" w:rsidR="003C66EB" w:rsidRDefault="003C66EB">
            <w:pPr>
              <w:jc w:val="right"/>
              <w:rPr>
                <w:rFonts w:ascii="宋体"/>
              </w:rPr>
            </w:pPr>
          </w:p>
        </w:tc>
        <w:tc>
          <w:tcPr>
            <w:tcW w:w="0" w:type="auto"/>
            <w:gridSpan w:val="3"/>
            <w:shd w:val="clear" w:color="auto" w:fill="auto"/>
          </w:tcPr>
          <w:p w14:paraId="5EA1FEDD" w14:textId="77777777" w:rsidR="003C66EB" w:rsidRDefault="003C66EB">
            <w:pPr>
              <w:rPr>
                <w:rFonts w:ascii="宋体"/>
                <w:vanish/>
              </w:rPr>
            </w:pPr>
          </w:p>
        </w:tc>
        <w:tc>
          <w:tcPr>
            <w:tcW w:w="0" w:type="auto"/>
            <w:gridSpan w:val="3"/>
            <w:shd w:val="clear" w:color="auto" w:fill="auto"/>
          </w:tcPr>
          <w:p w14:paraId="5EA1FEDE" w14:textId="77777777" w:rsidR="003C66EB" w:rsidRDefault="003C66EB">
            <w:pPr>
              <w:rPr>
                <w:rFonts w:ascii="宋体"/>
                <w:vanish/>
              </w:rPr>
            </w:pPr>
          </w:p>
        </w:tc>
        <w:tc>
          <w:tcPr>
            <w:tcW w:w="0" w:type="auto"/>
            <w:gridSpan w:val="3"/>
            <w:shd w:val="clear" w:color="auto" w:fill="auto"/>
          </w:tcPr>
          <w:p w14:paraId="5EA1FEDF" w14:textId="77777777" w:rsidR="003C66EB" w:rsidRDefault="003C66EB">
            <w:pPr>
              <w:rPr>
                <w:rFonts w:ascii="宋体"/>
                <w:vanish/>
              </w:rPr>
            </w:pPr>
          </w:p>
        </w:tc>
        <w:tc>
          <w:tcPr>
            <w:tcW w:w="0" w:type="auto"/>
            <w:gridSpan w:val="3"/>
            <w:shd w:val="clear" w:color="auto" w:fill="auto"/>
          </w:tcPr>
          <w:p w14:paraId="5EA1FEE0" w14:textId="77777777" w:rsidR="003C66EB" w:rsidRDefault="003C66EB">
            <w:pPr>
              <w:rPr>
                <w:rFonts w:ascii="宋体"/>
                <w:vanish/>
              </w:rPr>
            </w:pPr>
          </w:p>
        </w:tc>
        <w:tc>
          <w:tcPr>
            <w:tcW w:w="0" w:type="auto"/>
            <w:gridSpan w:val="3"/>
            <w:shd w:val="clear" w:color="auto" w:fill="auto"/>
          </w:tcPr>
          <w:p w14:paraId="5EA1FEE1" w14:textId="77777777" w:rsidR="003C66EB" w:rsidRDefault="003C66EB">
            <w:pPr>
              <w:rPr>
                <w:rFonts w:ascii="宋体"/>
                <w:vanish/>
              </w:rPr>
            </w:pPr>
          </w:p>
        </w:tc>
      </w:tr>
      <w:tr w:rsidR="003C66EB" w14:paraId="5EA1FEEC" w14:textId="77777777">
        <w:tc>
          <w:tcPr>
            <w:tcW w:w="0" w:type="auto"/>
            <w:gridSpan w:val="3"/>
            <w:shd w:val="clear" w:color="auto" w:fill="CCEEFF"/>
            <w:tcMar>
              <w:top w:w="40" w:type="dxa"/>
              <w:left w:w="20" w:type="dxa"/>
              <w:bottom w:w="40" w:type="dxa"/>
              <w:right w:w="20" w:type="dxa"/>
            </w:tcMar>
            <w:vAlign w:val="bottom"/>
          </w:tcPr>
          <w:p w14:paraId="5EA1FEE3"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5EA1FEE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EE5"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1FEE6" w14:textId="77777777" w:rsidR="003C66EB" w:rsidRDefault="003C66EB">
            <w:pPr>
              <w:rPr>
                <w:rFonts w:ascii="宋体"/>
              </w:rPr>
            </w:pPr>
          </w:p>
        </w:tc>
        <w:tc>
          <w:tcPr>
            <w:tcW w:w="0" w:type="auto"/>
            <w:gridSpan w:val="3"/>
            <w:shd w:val="clear" w:color="auto" w:fill="auto"/>
          </w:tcPr>
          <w:p w14:paraId="5EA1FEE7" w14:textId="77777777" w:rsidR="003C66EB" w:rsidRDefault="003C66EB">
            <w:pPr>
              <w:rPr>
                <w:rFonts w:ascii="宋体"/>
                <w:vanish/>
              </w:rPr>
            </w:pPr>
          </w:p>
        </w:tc>
        <w:tc>
          <w:tcPr>
            <w:tcW w:w="0" w:type="auto"/>
            <w:gridSpan w:val="3"/>
            <w:shd w:val="clear" w:color="auto" w:fill="auto"/>
          </w:tcPr>
          <w:p w14:paraId="5EA1FEE8" w14:textId="77777777" w:rsidR="003C66EB" w:rsidRDefault="003C66EB">
            <w:pPr>
              <w:rPr>
                <w:rFonts w:ascii="宋体"/>
                <w:vanish/>
              </w:rPr>
            </w:pPr>
          </w:p>
        </w:tc>
        <w:tc>
          <w:tcPr>
            <w:tcW w:w="0" w:type="auto"/>
            <w:gridSpan w:val="3"/>
            <w:shd w:val="clear" w:color="auto" w:fill="auto"/>
          </w:tcPr>
          <w:p w14:paraId="5EA1FEE9" w14:textId="77777777" w:rsidR="003C66EB" w:rsidRDefault="003C66EB">
            <w:pPr>
              <w:rPr>
                <w:rFonts w:ascii="宋体"/>
                <w:vanish/>
              </w:rPr>
            </w:pPr>
          </w:p>
        </w:tc>
        <w:tc>
          <w:tcPr>
            <w:tcW w:w="0" w:type="auto"/>
            <w:gridSpan w:val="3"/>
            <w:shd w:val="clear" w:color="auto" w:fill="auto"/>
          </w:tcPr>
          <w:p w14:paraId="5EA1FEEA" w14:textId="77777777" w:rsidR="003C66EB" w:rsidRDefault="003C66EB">
            <w:pPr>
              <w:rPr>
                <w:rFonts w:ascii="宋体"/>
                <w:vanish/>
              </w:rPr>
            </w:pPr>
          </w:p>
        </w:tc>
        <w:tc>
          <w:tcPr>
            <w:tcW w:w="0" w:type="auto"/>
            <w:gridSpan w:val="3"/>
            <w:shd w:val="clear" w:color="auto" w:fill="auto"/>
          </w:tcPr>
          <w:p w14:paraId="5EA1FEEB" w14:textId="77777777" w:rsidR="003C66EB" w:rsidRDefault="003C66EB">
            <w:pPr>
              <w:rPr>
                <w:rFonts w:ascii="宋体"/>
                <w:vanish/>
              </w:rPr>
            </w:pPr>
          </w:p>
        </w:tc>
      </w:tr>
      <w:tr w:rsidR="003C66EB" w14:paraId="5EA1FEF8" w14:textId="77777777">
        <w:tc>
          <w:tcPr>
            <w:tcW w:w="0" w:type="auto"/>
            <w:gridSpan w:val="3"/>
            <w:shd w:val="clear" w:color="auto" w:fill="FFFFFF"/>
            <w:tcMar>
              <w:top w:w="40" w:type="dxa"/>
              <w:left w:w="20" w:type="dxa"/>
              <w:bottom w:w="40" w:type="dxa"/>
              <w:right w:w="20" w:type="dxa"/>
            </w:tcMar>
            <w:vAlign w:val="bottom"/>
          </w:tcPr>
          <w:p w14:paraId="5EA1FEED" w14:textId="77777777" w:rsidR="003C66EB" w:rsidRDefault="00D96C4E">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(1)</w:t>
            </w:r>
            <w:r>
              <w:rPr>
                <w:rFonts w:ascii="Arial" w:eastAsia="宋体" w:hAnsi="Arial" w:cs="Arial"/>
                <w:color w:val="000000"/>
                <w:sz w:val="14"/>
                <w:szCs w:val="14"/>
              </w:rPr>
              <w:t xml:space="preserve"> </w:t>
            </w:r>
          </w:p>
        </w:tc>
        <w:tc>
          <w:tcPr>
            <w:tcW w:w="0" w:type="auto"/>
            <w:gridSpan w:val="2"/>
            <w:shd w:val="clear" w:color="auto" w:fill="FFFFFF"/>
            <w:tcMar>
              <w:top w:w="40" w:type="dxa"/>
              <w:left w:w="20" w:type="dxa"/>
              <w:bottom w:w="40" w:type="dxa"/>
              <w:right w:w="0" w:type="dxa"/>
            </w:tcMar>
            <w:vAlign w:val="bottom"/>
          </w:tcPr>
          <w:p w14:paraId="5EA1FEEE" w14:textId="77777777" w:rsidR="003C66EB" w:rsidRDefault="00D96C4E">
            <w:pPr>
              <w:jc w:val="right"/>
              <w:textAlignment w:val="bottom"/>
            </w:pPr>
            <w:r>
              <w:rPr>
                <w:rFonts w:ascii="Arial" w:eastAsia="宋体" w:hAnsi="Arial" w:cs="Arial"/>
                <w:b/>
                <w:bCs/>
                <w:color w:val="000000"/>
                <w:sz w:val="14"/>
                <w:szCs w:val="14"/>
              </w:rPr>
              <w:t>4,745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EE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EF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EF1" w14:textId="77777777" w:rsidR="003C66EB" w:rsidRDefault="00D96C4E">
            <w:pPr>
              <w:jc w:val="right"/>
              <w:textAlignment w:val="bottom"/>
            </w:pPr>
            <w:r>
              <w:rPr>
                <w:rFonts w:ascii="Arial" w:eastAsia="宋体" w:hAnsi="Arial" w:cs="Arial"/>
                <w:color w:val="000000"/>
                <w:sz w:val="14"/>
                <w:szCs w:val="14"/>
              </w:rPr>
              <w:t>4,774 </w:t>
            </w:r>
          </w:p>
        </w:tc>
        <w:tc>
          <w:tcPr>
            <w:tcW w:w="0" w:type="auto"/>
            <w:shd w:val="clear" w:color="auto" w:fill="FFFFFF"/>
            <w:tcMar>
              <w:top w:w="40" w:type="dxa"/>
              <w:left w:w="0" w:type="dxa"/>
              <w:bottom w:w="40" w:type="dxa"/>
              <w:right w:w="20" w:type="dxa"/>
            </w:tcMar>
            <w:vAlign w:val="bottom"/>
          </w:tcPr>
          <w:p w14:paraId="5EA1FEF2" w14:textId="77777777" w:rsidR="003C66EB" w:rsidRDefault="003C66EB">
            <w:pPr>
              <w:jc w:val="right"/>
              <w:rPr>
                <w:rFonts w:ascii="宋体"/>
              </w:rPr>
            </w:pPr>
          </w:p>
        </w:tc>
        <w:tc>
          <w:tcPr>
            <w:tcW w:w="0" w:type="auto"/>
            <w:gridSpan w:val="3"/>
            <w:shd w:val="clear" w:color="auto" w:fill="auto"/>
          </w:tcPr>
          <w:p w14:paraId="5EA1FEF3" w14:textId="77777777" w:rsidR="003C66EB" w:rsidRDefault="003C66EB">
            <w:pPr>
              <w:rPr>
                <w:rFonts w:ascii="宋体"/>
                <w:vanish/>
              </w:rPr>
            </w:pPr>
          </w:p>
        </w:tc>
        <w:tc>
          <w:tcPr>
            <w:tcW w:w="0" w:type="auto"/>
            <w:gridSpan w:val="3"/>
            <w:shd w:val="clear" w:color="auto" w:fill="auto"/>
          </w:tcPr>
          <w:p w14:paraId="5EA1FEF4" w14:textId="77777777" w:rsidR="003C66EB" w:rsidRDefault="003C66EB">
            <w:pPr>
              <w:rPr>
                <w:rFonts w:ascii="宋体"/>
                <w:vanish/>
              </w:rPr>
            </w:pPr>
          </w:p>
        </w:tc>
        <w:tc>
          <w:tcPr>
            <w:tcW w:w="0" w:type="auto"/>
            <w:gridSpan w:val="3"/>
            <w:shd w:val="clear" w:color="auto" w:fill="auto"/>
          </w:tcPr>
          <w:p w14:paraId="5EA1FEF5" w14:textId="77777777" w:rsidR="003C66EB" w:rsidRDefault="003C66EB">
            <w:pPr>
              <w:rPr>
                <w:rFonts w:ascii="宋体"/>
                <w:vanish/>
              </w:rPr>
            </w:pPr>
          </w:p>
        </w:tc>
        <w:tc>
          <w:tcPr>
            <w:tcW w:w="0" w:type="auto"/>
            <w:gridSpan w:val="3"/>
            <w:shd w:val="clear" w:color="auto" w:fill="auto"/>
          </w:tcPr>
          <w:p w14:paraId="5EA1FEF6" w14:textId="77777777" w:rsidR="003C66EB" w:rsidRDefault="003C66EB">
            <w:pPr>
              <w:rPr>
                <w:rFonts w:ascii="宋体"/>
                <w:vanish/>
              </w:rPr>
            </w:pPr>
          </w:p>
        </w:tc>
        <w:tc>
          <w:tcPr>
            <w:tcW w:w="0" w:type="auto"/>
            <w:gridSpan w:val="3"/>
            <w:shd w:val="clear" w:color="auto" w:fill="auto"/>
          </w:tcPr>
          <w:p w14:paraId="5EA1FEF7" w14:textId="77777777" w:rsidR="003C66EB" w:rsidRDefault="003C66EB">
            <w:pPr>
              <w:rPr>
                <w:rFonts w:ascii="宋体"/>
                <w:vanish/>
              </w:rPr>
            </w:pPr>
          </w:p>
        </w:tc>
      </w:tr>
      <w:tr w:rsidR="003C66EB" w14:paraId="5EA1FF02" w14:textId="77777777">
        <w:trPr>
          <w:hidden/>
        </w:trPr>
        <w:tc>
          <w:tcPr>
            <w:tcW w:w="0" w:type="auto"/>
            <w:gridSpan w:val="3"/>
            <w:shd w:val="clear" w:color="auto" w:fill="auto"/>
          </w:tcPr>
          <w:p w14:paraId="5EA1FEF9" w14:textId="77777777" w:rsidR="003C66EB" w:rsidRDefault="003C66EB">
            <w:pPr>
              <w:rPr>
                <w:rFonts w:ascii="宋体"/>
                <w:vanish/>
              </w:rPr>
            </w:pPr>
          </w:p>
        </w:tc>
        <w:tc>
          <w:tcPr>
            <w:tcW w:w="0" w:type="auto"/>
            <w:gridSpan w:val="3"/>
            <w:shd w:val="clear" w:color="auto" w:fill="auto"/>
          </w:tcPr>
          <w:p w14:paraId="5EA1FEFA" w14:textId="77777777" w:rsidR="003C66EB" w:rsidRDefault="003C66EB">
            <w:pPr>
              <w:rPr>
                <w:rFonts w:ascii="宋体"/>
                <w:vanish/>
              </w:rPr>
            </w:pPr>
          </w:p>
        </w:tc>
        <w:tc>
          <w:tcPr>
            <w:tcW w:w="0" w:type="auto"/>
            <w:gridSpan w:val="3"/>
            <w:shd w:val="clear" w:color="auto" w:fill="auto"/>
          </w:tcPr>
          <w:p w14:paraId="5EA1FEFB" w14:textId="77777777" w:rsidR="003C66EB" w:rsidRDefault="003C66EB">
            <w:pPr>
              <w:rPr>
                <w:rFonts w:ascii="宋体"/>
                <w:vanish/>
              </w:rPr>
            </w:pPr>
          </w:p>
        </w:tc>
        <w:tc>
          <w:tcPr>
            <w:tcW w:w="0" w:type="auto"/>
            <w:gridSpan w:val="3"/>
            <w:shd w:val="clear" w:color="auto" w:fill="auto"/>
          </w:tcPr>
          <w:p w14:paraId="5EA1FEFC" w14:textId="77777777" w:rsidR="003C66EB" w:rsidRDefault="003C66EB">
            <w:pPr>
              <w:rPr>
                <w:rFonts w:ascii="宋体"/>
                <w:vanish/>
              </w:rPr>
            </w:pPr>
          </w:p>
        </w:tc>
        <w:tc>
          <w:tcPr>
            <w:tcW w:w="0" w:type="auto"/>
            <w:gridSpan w:val="3"/>
            <w:shd w:val="clear" w:color="auto" w:fill="auto"/>
          </w:tcPr>
          <w:p w14:paraId="5EA1FEFD" w14:textId="77777777" w:rsidR="003C66EB" w:rsidRDefault="003C66EB">
            <w:pPr>
              <w:rPr>
                <w:rFonts w:ascii="宋体"/>
                <w:vanish/>
              </w:rPr>
            </w:pPr>
          </w:p>
        </w:tc>
        <w:tc>
          <w:tcPr>
            <w:tcW w:w="0" w:type="auto"/>
            <w:gridSpan w:val="3"/>
            <w:shd w:val="clear" w:color="auto" w:fill="auto"/>
          </w:tcPr>
          <w:p w14:paraId="5EA1FEFE" w14:textId="77777777" w:rsidR="003C66EB" w:rsidRDefault="003C66EB">
            <w:pPr>
              <w:rPr>
                <w:rFonts w:ascii="宋体"/>
                <w:vanish/>
              </w:rPr>
            </w:pPr>
          </w:p>
        </w:tc>
        <w:tc>
          <w:tcPr>
            <w:tcW w:w="0" w:type="auto"/>
            <w:gridSpan w:val="3"/>
            <w:shd w:val="clear" w:color="auto" w:fill="auto"/>
          </w:tcPr>
          <w:p w14:paraId="5EA1FEFF" w14:textId="77777777" w:rsidR="003C66EB" w:rsidRDefault="003C66EB">
            <w:pPr>
              <w:rPr>
                <w:rFonts w:ascii="宋体"/>
                <w:vanish/>
              </w:rPr>
            </w:pPr>
          </w:p>
        </w:tc>
        <w:tc>
          <w:tcPr>
            <w:tcW w:w="0" w:type="auto"/>
            <w:gridSpan w:val="3"/>
            <w:shd w:val="clear" w:color="auto" w:fill="auto"/>
          </w:tcPr>
          <w:p w14:paraId="5EA1FF00" w14:textId="77777777" w:rsidR="003C66EB" w:rsidRDefault="003C66EB">
            <w:pPr>
              <w:rPr>
                <w:rFonts w:ascii="宋体"/>
                <w:vanish/>
              </w:rPr>
            </w:pPr>
          </w:p>
        </w:tc>
        <w:tc>
          <w:tcPr>
            <w:tcW w:w="0" w:type="auto"/>
            <w:gridSpan w:val="3"/>
            <w:shd w:val="clear" w:color="auto" w:fill="auto"/>
          </w:tcPr>
          <w:p w14:paraId="5EA1FF01" w14:textId="77777777" w:rsidR="003C66EB" w:rsidRDefault="003C66EB">
            <w:pPr>
              <w:rPr>
                <w:rFonts w:ascii="宋体"/>
                <w:vanish/>
              </w:rPr>
            </w:pPr>
          </w:p>
        </w:tc>
      </w:tr>
      <w:tr w:rsidR="003C66EB" w14:paraId="5EA1FF0C" w14:textId="77777777">
        <w:trPr>
          <w:hidden/>
        </w:trPr>
        <w:tc>
          <w:tcPr>
            <w:tcW w:w="0" w:type="auto"/>
            <w:gridSpan w:val="3"/>
            <w:shd w:val="clear" w:color="auto" w:fill="auto"/>
          </w:tcPr>
          <w:p w14:paraId="5EA1FF03" w14:textId="77777777" w:rsidR="003C66EB" w:rsidRDefault="003C66EB">
            <w:pPr>
              <w:rPr>
                <w:rFonts w:ascii="宋体"/>
                <w:vanish/>
              </w:rPr>
            </w:pPr>
          </w:p>
        </w:tc>
        <w:tc>
          <w:tcPr>
            <w:tcW w:w="0" w:type="auto"/>
            <w:gridSpan w:val="3"/>
            <w:shd w:val="clear" w:color="auto" w:fill="auto"/>
          </w:tcPr>
          <w:p w14:paraId="5EA1FF04" w14:textId="77777777" w:rsidR="003C66EB" w:rsidRDefault="003C66EB">
            <w:pPr>
              <w:rPr>
                <w:rFonts w:ascii="宋体"/>
                <w:vanish/>
              </w:rPr>
            </w:pPr>
          </w:p>
        </w:tc>
        <w:tc>
          <w:tcPr>
            <w:tcW w:w="0" w:type="auto"/>
            <w:gridSpan w:val="3"/>
            <w:shd w:val="clear" w:color="auto" w:fill="auto"/>
          </w:tcPr>
          <w:p w14:paraId="5EA1FF05" w14:textId="77777777" w:rsidR="003C66EB" w:rsidRDefault="003C66EB">
            <w:pPr>
              <w:rPr>
                <w:rFonts w:ascii="宋体"/>
                <w:vanish/>
              </w:rPr>
            </w:pPr>
          </w:p>
        </w:tc>
        <w:tc>
          <w:tcPr>
            <w:tcW w:w="0" w:type="auto"/>
            <w:gridSpan w:val="3"/>
            <w:shd w:val="clear" w:color="auto" w:fill="auto"/>
          </w:tcPr>
          <w:p w14:paraId="5EA1FF06" w14:textId="77777777" w:rsidR="003C66EB" w:rsidRDefault="003C66EB">
            <w:pPr>
              <w:rPr>
                <w:rFonts w:ascii="宋体"/>
                <w:vanish/>
              </w:rPr>
            </w:pPr>
          </w:p>
        </w:tc>
        <w:tc>
          <w:tcPr>
            <w:tcW w:w="0" w:type="auto"/>
            <w:gridSpan w:val="3"/>
            <w:shd w:val="clear" w:color="auto" w:fill="auto"/>
          </w:tcPr>
          <w:p w14:paraId="5EA1FF07" w14:textId="77777777" w:rsidR="003C66EB" w:rsidRDefault="003C66EB">
            <w:pPr>
              <w:rPr>
                <w:rFonts w:ascii="宋体"/>
                <w:vanish/>
              </w:rPr>
            </w:pPr>
          </w:p>
        </w:tc>
        <w:tc>
          <w:tcPr>
            <w:tcW w:w="0" w:type="auto"/>
            <w:gridSpan w:val="3"/>
            <w:shd w:val="clear" w:color="auto" w:fill="auto"/>
          </w:tcPr>
          <w:p w14:paraId="5EA1FF08" w14:textId="77777777" w:rsidR="003C66EB" w:rsidRDefault="003C66EB">
            <w:pPr>
              <w:rPr>
                <w:rFonts w:ascii="宋体"/>
                <w:vanish/>
              </w:rPr>
            </w:pPr>
          </w:p>
        </w:tc>
        <w:tc>
          <w:tcPr>
            <w:tcW w:w="0" w:type="auto"/>
            <w:gridSpan w:val="3"/>
            <w:shd w:val="clear" w:color="auto" w:fill="auto"/>
          </w:tcPr>
          <w:p w14:paraId="5EA1FF09" w14:textId="77777777" w:rsidR="003C66EB" w:rsidRDefault="003C66EB">
            <w:pPr>
              <w:rPr>
                <w:rFonts w:ascii="宋体"/>
                <w:vanish/>
              </w:rPr>
            </w:pPr>
          </w:p>
        </w:tc>
        <w:tc>
          <w:tcPr>
            <w:tcW w:w="0" w:type="auto"/>
            <w:gridSpan w:val="3"/>
            <w:shd w:val="clear" w:color="auto" w:fill="auto"/>
          </w:tcPr>
          <w:p w14:paraId="5EA1FF0A" w14:textId="77777777" w:rsidR="003C66EB" w:rsidRDefault="003C66EB">
            <w:pPr>
              <w:rPr>
                <w:rFonts w:ascii="宋体"/>
                <w:vanish/>
              </w:rPr>
            </w:pPr>
          </w:p>
        </w:tc>
        <w:tc>
          <w:tcPr>
            <w:tcW w:w="0" w:type="auto"/>
            <w:gridSpan w:val="3"/>
            <w:shd w:val="clear" w:color="auto" w:fill="auto"/>
          </w:tcPr>
          <w:p w14:paraId="5EA1FF0B" w14:textId="77777777" w:rsidR="003C66EB" w:rsidRDefault="003C66EB">
            <w:pPr>
              <w:rPr>
                <w:rFonts w:ascii="宋体"/>
                <w:vanish/>
              </w:rPr>
            </w:pPr>
          </w:p>
        </w:tc>
      </w:tr>
      <w:tr w:rsidR="003C66EB" w14:paraId="5EA1FF16" w14:textId="77777777">
        <w:trPr>
          <w:hidden/>
        </w:trPr>
        <w:tc>
          <w:tcPr>
            <w:tcW w:w="0" w:type="auto"/>
            <w:gridSpan w:val="3"/>
            <w:shd w:val="clear" w:color="auto" w:fill="auto"/>
          </w:tcPr>
          <w:p w14:paraId="5EA1FF0D" w14:textId="77777777" w:rsidR="003C66EB" w:rsidRDefault="003C66EB">
            <w:pPr>
              <w:rPr>
                <w:rFonts w:ascii="宋体"/>
                <w:vanish/>
              </w:rPr>
            </w:pPr>
          </w:p>
        </w:tc>
        <w:tc>
          <w:tcPr>
            <w:tcW w:w="0" w:type="auto"/>
            <w:gridSpan w:val="3"/>
            <w:shd w:val="clear" w:color="auto" w:fill="auto"/>
          </w:tcPr>
          <w:p w14:paraId="5EA1FF0E" w14:textId="77777777" w:rsidR="003C66EB" w:rsidRDefault="003C66EB">
            <w:pPr>
              <w:rPr>
                <w:rFonts w:ascii="宋体"/>
                <w:vanish/>
              </w:rPr>
            </w:pPr>
          </w:p>
        </w:tc>
        <w:tc>
          <w:tcPr>
            <w:tcW w:w="0" w:type="auto"/>
            <w:gridSpan w:val="3"/>
            <w:shd w:val="clear" w:color="auto" w:fill="auto"/>
          </w:tcPr>
          <w:p w14:paraId="5EA1FF0F" w14:textId="77777777" w:rsidR="003C66EB" w:rsidRDefault="003C66EB">
            <w:pPr>
              <w:rPr>
                <w:rFonts w:ascii="宋体"/>
                <w:vanish/>
              </w:rPr>
            </w:pPr>
          </w:p>
        </w:tc>
        <w:tc>
          <w:tcPr>
            <w:tcW w:w="0" w:type="auto"/>
            <w:gridSpan w:val="3"/>
            <w:shd w:val="clear" w:color="auto" w:fill="auto"/>
          </w:tcPr>
          <w:p w14:paraId="5EA1FF10" w14:textId="77777777" w:rsidR="003C66EB" w:rsidRDefault="003C66EB">
            <w:pPr>
              <w:rPr>
                <w:rFonts w:ascii="宋体"/>
                <w:vanish/>
              </w:rPr>
            </w:pPr>
          </w:p>
        </w:tc>
        <w:tc>
          <w:tcPr>
            <w:tcW w:w="0" w:type="auto"/>
            <w:gridSpan w:val="3"/>
            <w:shd w:val="clear" w:color="auto" w:fill="auto"/>
          </w:tcPr>
          <w:p w14:paraId="5EA1FF11" w14:textId="77777777" w:rsidR="003C66EB" w:rsidRDefault="003C66EB">
            <w:pPr>
              <w:rPr>
                <w:rFonts w:ascii="宋体"/>
                <w:vanish/>
              </w:rPr>
            </w:pPr>
          </w:p>
        </w:tc>
        <w:tc>
          <w:tcPr>
            <w:tcW w:w="0" w:type="auto"/>
            <w:gridSpan w:val="3"/>
            <w:shd w:val="clear" w:color="auto" w:fill="auto"/>
          </w:tcPr>
          <w:p w14:paraId="5EA1FF12" w14:textId="77777777" w:rsidR="003C66EB" w:rsidRDefault="003C66EB">
            <w:pPr>
              <w:rPr>
                <w:rFonts w:ascii="宋体"/>
                <w:vanish/>
              </w:rPr>
            </w:pPr>
          </w:p>
        </w:tc>
        <w:tc>
          <w:tcPr>
            <w:tcW w:w="0" w:type="auto"/>
            <w:gridSpan w:val="3"/>
            <w:shd w:val="clear" w:color="auto" w:fill="auto"/>
          </w:tcPr>
          <w:p w14:paraId="5EA1FF13" w14:textId="77777777" w:rsidR="003C66EB" w:rsidRDefault="003C66EB">
            <w:pPr>
              <w:rPr>
                <w:rFonts w:ascii="宋体"/>
                <w:vanish/>
              </w:rPr>
            </w:pPr>
          </w:p>
        </w:tc>
        <w:tc>
          <w:tcPr>
            <w:tcW w:w="0" w:type="auto"/>
            <w:gridSpan w:val="3"/>
            <w:shd w:val="clear" w:color="auto" w:fill="auto"/>
          </w:tcPr>
          <w:p w14:paraId="5EA1FF14" w14:textId="77777777" w:rsidR="003C66EB" w:rsidRDefault="003C66EB">
            <w:pPr>
              <w:rPr>
                <w:rFonts w:ascii="宋体"/>
                <w:vanish/>
              </w:rPr>
            </w:pPr>
          </w:p>
        </w:tc>
        <w:tc>
          <w:tcPr>
            <w:tcW w:w="0" w:type="auto"/>
            <w:gridSpan w:val="3"/>
            <w:shd w:val="clear" w:color="auto" w:fill="auto"/>
          </w:tcPr>
          <w:p w14:paraId="5EA1FF15" w14:textId="77777777" w:rsidR="003C66EB" w:rsidRDefault="003C66EB">
            <w:pPr>
              <w:rPr>
                <w:rFonts w:ascii="宋体"/>
                <w:vanish/>
              </w:rPr>
            </w:pPr>
          </w:p>
        </w:tc>
      </w:tr>
      <w:tr w:rsidR="003C66EB" w14:paraId="5EA1FF22" w14:textId="77777777">
        <w:tc>
          <w:tcPr>
            <w:tcW w:w="0" w:type="auto"/>
            <w:gridSpan w:val="3"/>
            <w:shd w:val="clear" w:color="auto" w:fill="CCEEFF"/>
            <w:tcMar>
              <w:top w:w="40" w:type="dxa"/>
              <w:left w:w="20" w:type="dxa"/>
              <w:bottom w:w="40" w:type="dxa"/>
              <w:right w:w="20" w:type="dxa"/>
            </w:tcMar>
            <w:vAlign w:val="bottom"/>
          </w:tcPr>
          <w:p w14:paraId="5EA1FF17" w14:textId="77777777" w:rsidR="003C66EB" w:rsidRDefault="00D96C4E">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5EA1FF18" w14:textId="77777777" w:rsidR="003C66EB" w:rsidRDefault="00D96C4E">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F1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F1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F1B" w14:textId="77777777" w:rsidR="003C66EB" w:rsidRDefault="00D96C4E">
            <w:pPr>
              <w:jc w:val="right"/>
              <w:textAlignment w:val="bottom"/>
            </w:pPr>
            <w:r>
              <w:rPr>
                <w:rFonts w:ascii="Arial" w:eastAsia="宋体" w:hAnsi="Arial" w:cs="Arial"/>
                <w:color w:val="000000"/>
                <w:sz w:val="14"/>
                <w:szCs w:val="14"/>
              </w:rPr>
              <w:t>554 </w:t>
            </w:r>
          </w:p>
        </w:tc>
        <w:tc>
          <w:tcPr>
            <w:tcW w:w="0" w:type="auto"/>
            <w:shd w:val="clear" w:color="auto" w:fill="CCEEFF"/>
            <w:tcMar>
              <w:top w:w="40" w:type="dxa"/>
              <w:left w:w="0" w:type="dxa"/>
              <w:bottom w:w="40" w:type="dxa"/>
              <w:right w:w="20" w:type="dxa"/>
            </w:tcMar>
            <w:vAlign w:val="bottom"/>
          </w:tcPr>
          <w:p w14:paraId="5EA1FF1C" w14:textId="77777777" w:rsidR="003C66EB" w:rsidRDefault="003C66EB">
            <w:pPr>
              <w:jc w:val="right"/>
              <w:rPr>
                <w:rFonts w:ascii="宋体"/>
              </w:rPr>
            </w:pPr>
          </w:p>
        </w:tc>
        <w:tc>
          <w:tcPr>
            <w:tcW w:w="0" w:type="auto"/>
            <w:gridSpan w:val="3"/>
            <w:shd w:val="clear" w:color="auto" w:fill="auto"/>
          </w:tcPr>
          <w:p w14:paraId="5EA1FF1D" w14:textId="77777777" w:rsidR="003C66EB" w:rsidRDefault="003C66EB">
            <w:pPr>
              <w:rPr>
                <w:rFonts w:ascii="宋体"/>
                <w:vanish/>
              </w:rPr>
            </w:pPr>
          </w:p>
        </w:tc>
        <w:tc>
          <w:tcPr>
            <w:tcW w:w="0" w:type="auto"/>
            <w:gridSpan w:val="3"/>
            <w:shd w:val="clear" w:color="auto" w:fill="auto"/>
          </w:tcPr>
          <w:p w14:paraId="5EA1FF1E" w14:textId="77777777" w:rsidR="003C66EB" w:rsidRDefault="003C66EB">
            <w:pPr>
              <w:rPr>
                <w:rFonts w:ascii="宋体"/>
                <w:vanish/>
              </w:rPr>
            </w:pPr>
          </w:p>
        </w:tc>
        <w:tc>
          <w:tcPr>
            <w:tcW w:w="0" w:type="auto"/>
            <w:gridSpan w:val="3"/>
            <w:shd w:val="clear" w:color="auto" w:fill="auto"/>
          </w:tcPr>
          <w:p w14:paraId="5EA1FF1F" w14:textId="77777777" w:rsidR="003C66EB" w:rsidRDefault="003C66EB">
            <w:pPr>
              <w:rPr>
                <w:rFonts w:ascii="宋体"/>
                <w:vanish/>
              </w:rPr>
            </w:pPr>
          </w:p>
        </w:tc>
        <w:tc>
          <w:tcPr>
            <w:tcW w:w="0" w:type="auto"/>
            <w:gridSpan w:val="3"/>
            <w:shd w:val="clear" w:color="auto" w:fill="auto"/>
          </w:tcPr>
          <w:p w14:paraId="5EA1FF20" w14:textId="77777777" w:rsidR="003C66EB" w:rsidRDefault="003C66EB">
            <w:pPr>
              <w:rPr>
                <w:rFonts w:ascii="宋体"/>
                <w:vanish/>
              </w:rPr>
            </w:pPr>
          </w:p>
        </w:tc>
        <w:tc>
          <w:tcPr>
            <w:tcW w:w="0" w:type="auto"/>
            <w:gridSpan w:val="3"/>
            <w:shd w:val="clear" w:color="auto" w:fill="auto"/>
          </w:tcPr>
          <w:p w14:paraId="5EA1FF21" w14:textId="77777777" w:rsidR="003C66EB" w:rsidRDefault="003C66EB">
            <w:pPr>
              <w:rPr>
                <w:rFonts w:ascii="宋体"/>
                <w:vanish/>
              </w:rPr>
            </w:pPr>
          </w:p>
        </w:tc>
      </w:tr>
      <w:tr w:rsidR="003C66EB" w14:paraId="5EA1FF2E" w14:textId="77777777">
        <w:tc>
          <w:tcPr>
            <w:tcW w:w="0" w:type="auto"/>
            <w:gridSpan w:val="3"/>
            <w:shd w:val="clear" w:color="auto" w:fill="FFFFFF"/>
            <w:tcMar>
              <w:top w:w="40" w:type="dxa"/>
              <w:left w:w="20" w:type="dxa"/>
              <w:bottom w:w="40" w:type="dxa"/>
              <w:right w:w="20" w:type="dxa"/>
            </w:tcMar>
            <w:vAlign w:val="bottom"/>
          </w:tcPr>
          <w:p w14:paraId="5EA1FF23" w14:textId="77777777" w:rsidR="003C66EB" w:rsidRDefault="00D96C4E">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F24" w14:textId="77777777" w:rsidR="003C66EB" w:rsidRDefault="00D96C4E">
            <w:pPr>
              <w:jc w:val="right"/>
              <w:textAlignment w:val="bottom"/>
            </w:pPr>
            <w:r>
              <w:rPr>
                <w:rFonts w:ascii="Arial" w:eastAsia="宋体" w:hAnsi="Arial" w:cs="Arial"/>
                <w:b/>
                <w:bCs/>
                <w:color w:val="000000"/>
                <w:sz w:val="14"/>
                <w:szCs w:val="14"/>
              </w:rPr>
              <w:t>5,271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F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F2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F27" w14:textId="77777777" w:rsidR="003C66EB" w:rsidRDefault="00D96C4E">
            <w:pPr>
              <w:jc w:val="right"/>
              <w:textAlignment w:val="bottom"/>
            </w:pPr>
            <w:r>
              <w:rPr>
                <w:rFonts w:ascii="Arial" w:eastAsia="宋体" w:hAnsi="Arial" w:cs="Arial"/>
                <w:color w:val="000000"/>
                <w:sz w:val="14"/>
                <w:szCs w:val="14"/>
              </w:rPr>
              <w:t>5,328 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F28" w14:textId="77777777" w:rsidR="003C66EB" w:rsidRDefault="003C66EB">
            <w:pPr>
              <w:jc w:val="right"/>
              <w:rPr>
                <w:rFonts w:ascii="宋体"/>
              </w:rPr>
            </w:pPr>
          </w:p>
        </w:tc>
        <w:tc>
          <w:tcPr>
            <w:tcW w:w="0" w:type="auto"/>
            <w:gridSpan w:val="3"/>
            <w:shd w:val="clear" w:color="auto" w:fill="auto"/>
          </w:tcPr>
          <w:p w14:paraId="5EA1FF29" w14:textId="77777777" w:rsidR="003C66EB" w:rsidRDefault="003C66EB">
            <w:pPr>
              <w:rPr>
                <w:rFonts w:ascii="宋体"/>
                <w:vanish/>
              </w:rPr>
            </w:pPr>
          </w:p>
        </w:tc>
        <w:tc>
          <w:tcPr>
            <w:tcW w:w="0" w:type="auto"/>
            <w:gridSpan w:val="3"/>
            <w:shd w:val="clear" w:color="auto" w:fill="auto"/>
          </w:tcPr>
          <w:p w14:paraId="5EA1FF2A" w14:textId="77777777" w:rsidR="003C66EB" w:rsidRDefault="003C66EB">
            <w:pPr>
              <w:rPr>
                <w:rFonts w:ascii="宋体"/>
                <w:vanish/>
              </w:rPr>
            </w:pPr>
          </w:p>
        </w:tc>
        <w:tc>
          <w:tcPr>
            <w:tcW w:w="0" w:type="auto"/>
            <w:gridSpan w:val="3"/>
            <w:shd w:val="clear" w:color="auto" w:fill="auto"/>
          </w:tcPr>
          <w:p w14:paraId="5EA1FF2B" w14:textId="77777777" w:rsidR="003C66EB" w:rsidRDefault="003C66EB">
            <w:pPr>
              <w:rPr>
                <w:rFonts w:ascii="宋体"/>
                <w:vanish/>
              </w:rPr>
            </w:pPr>
          </w:p>
        </w:tc>
        <w:tc>
          <w:tcPr>
            <w:tcW w:w="0" w:type="auto"/>
            <w:gridSpan w:val="3"/>
            <w:shd w:val="clear" w:color="auto" w:fill="auto"/>
          </w:tcPr>
          <w:p w14:paraId="5EA1FF2C" w14:textId="77777777" w:rsidR="003C66EB" w:rsidRDefault="003C66EB">
            <w:pPr>
              <w:rPr>
                <w:rFonts w:ascii="宋体"/>
                <w:vanish/>
              </w:rPr>
            </w:pPr>
          </w:p>
        </w:tc>
        <w:tc>
          <w:tcPr>
            <w:tcW w:w="0" w:type="auto"/>
            <w:gridSpan w:val="3"/>
            <w:shd w:val="clear" w:color="auto" w:fill="auto"/>
          </w:tcPr>
          <w:p w14:paraId="5EA1FF2D" w14:textId="77777777" w:rsidR="003C66EB" w:rsidRDefault="003C66EB">
            <w:pPr>
              <w:rPr>
                <w:rFonts w:ascii="宋体"/>
                <w:vanish/>
              </w:rPr>
            </w:pPr>
          </w:p>
        </w:tc>
      </w:tr>
      <w:tr w:rsidR="003C66EB" w14:paraId="5EA1FF38" w14:textId="77777777">
        <w:tc>
          <w:tcPr>
            <w:tcW w:w="0" w:type="auto"/>
            <w:gridSpan w:val="3"/>
            <w:shd w:val="clear" w:color="auto" w:fill="CCEEFF"/>
            <w:tcMar>
              <w:top w:w="40" w:type="dxa"/>
              <w:left w:w="20" w:type="dxa"/>
              <w:bottom w:w="40" w:type="dxa"/>
              <w:right w:w="20" w:type="dxa"/>
            </w:tcMar>
            <w:vAlign w:val="bottom"/>
          </w:tcPr>
          <w:p w14:paraId="5EA1FF2F" w14:textId="77777777" w:rsidR="003C66EB" w:rsidRDefault="00D96C4E">
            <w:pPr>
              <w:textAlignment w:val="bottom"/>
            </w:pPr>
            <w:r>
              <w:rPr>
                <w:rFonts w:ascii="Arial" w:eastAsia="宋体" w:hAnsi="Arial" w:cs="Arial"/>
                <w:color w:val="000000"/>
                <w:sz w:val="14"/>
                <w:szCs w:val="14"/>
              </w:rPr>
              <w:t>Non-U.S. debt securities:</w:t>
            </w:r>
          </w:p>
        </w:tc>
        <w:tc>
          <w:tcPr>
            <w:tcW w:w="0" w:type="auto"/>
            <w:gridSpan w:val="3"/>
            <w:shd w:val="clear" w:color="auto" w:fill="CCEEFF"/>
            <w:tcMar>
              <w:top w:w="0" w:type="dxa"/>
              <w:left w:w="20" w:type="dxa"/>
              <w:bottom w:w="0" w:type="dxa"/>
              <w:right w:w="20" w:type="dxa"/>
            </w:tcMar>
          </w:tcPr>
          <w:p w14:paraId="5EA1FF3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F3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1FF32" w14:textId="77777777" w:rsidR="003C66EB" w:rsidRDefault="003C66EB">
            <w:pPr>
              <w:rPr>
                <w:rFonts w:ascii="宋体"/>
              </w:rPr>
            </w:pPr>
          </w:p>
        </w:tc>
        <w:tc>
          <w:tcPr>
            <w:tcW w:w="0" w:type="auto"/>
            <w:gridSpan w:val="3"/>
            <w:shd w:val="clear" w:color="auto" w:fill="auto"/>
          </w:tcPr>
          <w:p w14:paraId="5EA1FF33" w14:textId="77777777" w:rsidR="003C66EB" w:rsidRDefault="003C66EB">
            <w:pPr>
              <w:rPr>
                <w:rFonts w:ascii="宋体"/>
                <w:vanish/>
              </w:rPr>
            </w:pPr>
          </w:p>
        </w:tc>
        <w:tc>
          <w:tcPr>
            <w:tcW w:w="0" w:type="auto"/>
            <w:gridSpan w:val="3"/>
            <w:shd w:val="clear" w:color="auto" w:fill="auto"/>
          </w:tcPr>
          <w:p w14:paraId="5EA1FF34" w14:textId="77777777" w:rsidR="003C66EB" w:rsidRDefault="003C66EB">
            <w:pPr>
              <w:rPr>
                <w:rFonts w:ascii="宋体"/>
                <w:vanish/>
              </w:rPr>
            </w:pPr>
          </w:p>
        </w:tc>
        <w:tc>
          <w:tcPr>
            <w:tcW w:w="0" w:type="auto"/>
            <w:gridSpan w:val="3"/>
            <w:shd w:val="clear" w:color="auto" w:fill="auto"/>
          </w:tcPr>
          <w:p w14:paraId="5EA1FF35" w14:textId="77777777" w:rsidR="003C66EB" w:rsidRDefault="003C66EB">
            <w:pPr>
              <w:rPr>
                <w:rFonts w:ascii="宋体"/>
                <w:vanish/>
              </w:rPr>
            </w:pPr>
          </w:p>
        </w:tc>
        <w:tc>
          <w:tcPr>
            <w:tcW w:w="0" w:type="auto"/>
            <w:gridSpan w:val="3"/>
            <w:shd w:val="clear" w:color="auto" w:fill="auto"/>
          </w:tcPr>
          <w:p w14:paraId="5EA1FF36" w14:textId="77777777" w:rsidR="003C66EB" w:rsidRDefault="003C66EB">
            <w:pPr>
              <w:rPr>
                <w:rFonts w:ascii="宋体"/>
                <w:vanish/>
              </w:rPr>
            </w:pPr>
          </w:p>
        </w:tc>
        <w:tc>
          <w:tcPr>
            <w:tcW w:w="0" w:type="auto"/>
            <w:gridSpan w:val="3"/>
            <w:shd w:val="clear" w:color="auto" w:fill="auto"/>
          </w:tcPr>
          <w:p w14:paraId="5EA1FF37" w14:textId="77777777" w:rsidR="003C66EB" w:rsidRDefault="003C66EB">
            <w:pPr>
              <w:rPr>
                <w:rFonts w:ascii="宋体"/>
                <w:vanish/>
              </w:rPr>
            </w:pPr>
          </w:p>
        </w:tc>
      </w:tr>
      <w:tr w:rsidR="003C66EB" w14:paraId="5EA1FF44" w14:textId="77777777">
        <w:tc>
          <w:tcPr>
            <w:tcW w:w="0" w:type="auto"/>
            <w:gridSpan w:val="3"/>
            <w:shd w:val="clear" w:color="auto" w:fill="FFFFFF"/>
            <w:tcMar>
              <w:top w:w="40" w:type="dxa"/>
              <w:left w:w="155" w:type="dxa"/>
              <w:bottom w:w="40" w:type="dxa"/>
              <w:right w:w="20" w:type="dxa"/>
            </w:tcMar>
            <w:vAlign w:val="bottom"/>
          </w:tcPr>
          <w:p w14:paraId="5EA1FF39"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A1FF3A" w14:textId="77777777" w:rsidR="003C66EB" w:rsidRDefault="00D96C4E">
            <w:pPr>
              <w:jc w:val="right"/>
              <w:textAlignment w:val="bottom"/>
            </w:pPr>
            <w:r>
              <w:rPr>
                <w:rFonts w:ascii="Arial" w:eastAsia="宋体" w:hAnsi="Arial" w:cs="Arial"/>
                <w:b/>
                <w:bCs/>
                <w:color w:val="000000"/>
                <w:sz w:val="14"/>
                <w:szCs w:val="14"/>
              </w:rPr>
              <w:t>286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1FF3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F3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F3D" w14:textId="77777777" w:rsidR="003C66EB" w:rsidRDefault="00D96C4E">
            <w:pPr>
              <w:jc w:val="right"/>
              <w:textAlignment w:val="bottom"/>
            </w:pPr>
            <w:r>
              <w:rPr>
                <w:rFonts w:ascii="Arial" w:eastAsia="宋体" w:hAnsi="Arial" w:cs="Arial"/>
                <w:color w:val="000000"/>
                <w:sz w:val="14"/>
                <w:szCs w:val="14"/>
              </w:rPr>
              <w:t>303 </w:t>
            </w:r>
          </w:p>
        </w:tc>
        <w:tc>
          <w:tcPr>
            <w:tcW w:w="0" w:type="auto"/>
            <w:shd w:val="clear" w:color="auto" w:fill="FFFFFF"/>
            <w:tcMar>
              <w:top w:w="40" w:type="dxa"/>
              <w:left w:w="0" w:type="dxa"/>
              <w:bottom w:w="40" w:type="dxa"/>
              <w:right w:w="20" w:type="dxa"/>
            </w:tcMar>
            <w:vAlign w:val="bottom"/>
          </w:tcPr>
          <w:p w14:paraId="5EA1FF3E" w14:textId="77777777" w:rsidR="003C66EB" w:rsidRDefault="003C66EB">
            <w:pPr>
              <w:jc w:val="right"/>
              <w:rPr>
                <w:rFonts w:ascii="宋体"/>
              </w:rPr>
            </w:pPr>
          </w:p>
        </w:tc>
        <w:tc>
          <w:tcPr>
            <w:tcW w:w="0" w:type="auto"/>
            <w:gridSpan w:val="3"/>
            <w:shd w:val="clear" w:color="auto" w:fill="auto"/>
          </w:tcPr>
          <w:p w14:paraId="5EA1FF3F" w14:textId="77777777" w:rsidR="003C66EB" w:rsidRDefault="003C66EB">
            <w:pPr>
              <w:rPr>
                <w:rFonts w:ascii="宋体"/>
                <w:vanish/>
              </w:rPr>
            </w:pPr>
          </w:p>
        </w:tc>
        <w:tc>
          <w:tcPr>
            <w:tcW w:w="0" w:type="auto"/>
            <w:gridSpan w:val="3"/>
            <w:shd w:val="clear" w:color="auto" w:fill="auto"/>
          </w:tcPr>
          <w:p w14:paraId="5EA1FF40" w14:textId="77777777" w:rsidR="003C66EB" w:rsidRDefault="003C66EB">
            <w:pPr>
              <w:rPr>
                <w:rFonts w:ascii="宋体"/>
                <w:vanish/>
              </w:rPr>
            </w:pPr>
          </w:p>
        </w:tc>
        <w:tc>
          <w:tcPr>
            <w:tcW w:w="0" w:type="auto"/>
            <w:gridSpan w:val="3"/>
            <w:shd w:val="clear" w:color="auto" w:fill="auto"/>
          </w:tcPr>
          <w:p w14:paraId="5EA1FF41" w14:textId="77777777" w:rsidR="003C66EB" w:rsidRDefault="003C66EB">
            <w:pPr>
              <w:rPr>
                <w:rFonts w:ascii="宋体"/>
                <w:vanish/>
              </w:rPr>
            </w:pPr>
          </w:p>
        </w:tc>
        <w:tc>
          <w:tcPr>
            <w:tcW w:w="0" w:type="auto"/>
            <w:gridSpan w:val="3"/>
            <w:shd w:val="clear" w:color="auto" w:fill="auto"/>
          </w:tcPr>
          <w:p w14:paraId="5EA1FF42" w14:textId="77777777" w:rsidR="003C66EB" w:rsidRDefault="003C66EB">
            <w:pPr>
              <w:rPr>
                <w:rFonts w:ascii="宋体"/>
                <w:vanish/>
              </w:rPr>
            </w:pPr>
          </w:p>
        </w:tc>
        <w:tc>
          <w:tcPr>
            <w:tcW w:w="0" w:type="auto"/>
            <w:gridSpan w:val="3"/>
            <w:shd w:val="clear" w:color="auto" w:fill="auto"/>
          </w:tcPr>
          <w:p w14:paraId="5EA1FF43" w14:textId="77777777" w:rsidR="003C66EB" w:rsidRDefault="003C66EB">
            <w:pPr>
              <w:rPr>
                <w:rFonts w:ascii="宋体"/>
                <w:vanish/>
              </w:rPr>
            </w:pPr>
          </w:p>
        </w:tc>
      </w:tr>
      <w:tr w:rsidR="003C66EB" w14:paraId="5EA1FF4E" w14:textId="77777777">
        <w:trPr>
          <w:hidden/>
        </w:trPr>
        <w:tc>
          <w:tcPr>
            <w:tcW w:w="0" w:type="auto"/>
            <w:gridSpan w:val="3"/>
            <w:shd w:val="clear" w:color="auto" w:fill="auto"/>
          </w:tcPr>
          <w:p w14:paraId="5EA1FF45" w14:textId="77777777" w:rsidR="003C66EB" w:rsidRDefault="003C66EB">
            <w:pPr>
              <w:rPr>
                <w:rFonts w:ascii="宋体"/>
                <w:vanish/>
              </w:rPr>
            </w:pPr>
          </w:p>
        </w:tc>
        <w:tc>
          <w:tcPr>
            <w:tcW w:w="0" w:type="auto"/>
            <w:gridSpan w:val="3"/>
            <w:shd w:val="clear" w:color="auto" w:fill="auto"/>
          </w:tcPr>
          <w:p w14:paraId="5EA1FF46" w14:textId="77777777" w:rsidR="003C66EB" w:rsidRDefault="003C66EB">
            <w:pPr>
              <w:rPr>
                <w:rFonts w:ascii="宋体"/>
                <w:vanish/>
              </w:rPr>
            </w:pPr>
          </w:p>
        </w:tc>
        <w:tc>
          <w:tcPr>
            <w:tcW w:w="0" w:type="auto"/>
            <w:gridSpan w:val="3"/>
            <w:shd w:val="clear" w:color="auto" w:fill="auto"/>
          </w:tcPr>
          <w:p w14:paraId="5EA1FF47" w14:textId="77777777" w:rsidR="003C66EB" w:rsidRDefault="003C66EB">
            <w:pPr>
              <w:rPr>
                <w:rFonts w:ascii="宋体"/>
                <w:vanish/>
              </w:rPr>
            </w:pPr>
          </w:p>
        </w:tc>
        <w:tc>
          <w:tcPr>
            <w:tcW w:w="0" w:type="auto"/>
            <w:gridSpan w:val="3"/>
            <w:shd w:val="clear" w:color="auto" w:fill="auto"/>
          </w:tcPr>
          <w:p w14:paraId="5EA1FF48" w14:textId="77777777" w:rsidR="003C66EB" w:rsidRDefault="003C66EB">
            <w:pPr>
              <w:rPr>
                <w:rFonts w:ascii="宋体"/>
                <w:vanish/>
              </w:rPr>
            </w:pPr>
          </w:p>
        </w:tc>
        <w:tc>
          <w:tcPr>
            <w:tcW w:w="0" w:type="auto"/>
            <w:gridSpan w:val="3"/>
            <w:shd w:val="clear" w:color="auto" w:fill="auto"/>
          </w:tcPr>
          <w:p w14:paraId="5EA1FF49" w14:textId="77777777" w:rsidR="003C66EB" w:rsidRDefault="003C66EB">
            <w:pPr>
              <w:rPr>
                <w:rFonts w:ascii="宋体"/>
                <w:vanish/>
              </w:rPr>
            </w:pPr>
          </w:p>
        </w:tc>
        <w:tc>
          <w:tcPr>
            <w:tcW w:w="0" w:type="auto"/>
            <w:gridSpan w:val="3"/>
            <w:shd w:val="clear" w:color="auto" w:fill="auto"/>
          </w:tcPr>
          <w:p w14:paraId="5EA1FF4A" w14:textId="77777777" w:rsidR="003C66EB" w:rsidRDefault="003C66EB">
            <w:pPr>
              <w:rPr>
                <w:rFonts w:ascii="宋体"/>
                <w:vanish/>
              </w:rPr>
            </w:pPr>
          </w:p>
        </w:tc>
        <w:tc>
          <w:tcPr>
            <w:tcW w:w="0" w:type="auto"/>
            <w:gridSpan w:val="3"/>
            <w:shd w:val="clear" w:color="auto" w:fill="auto"/>
          </w:tcPr>
          <w:p w14:paraId="5EA1FF4B" w14:textId="77777777" w:rsidR="003C66EB" w:rsidRDefault="003C66EB">
            <w:pPr>
              <w:rPr>
                <w:rFonts w:ascii="宋体"/>
                <w:vanish/>
              </w:rPr>
            </w:pPr>
          </w:p>
        </w:tc>
        <w:tc>
          <w:tcPr>
            <w:tcW w:w="0" w:type="auto"/>
            <w:gridSpan w:val="3"/>
            <w:shd w:val="clear" w:color="auto" w:fill="auto"/>
          </w:tcPr>
          <w:p w14:paraId="5EA1FF4C" w14:textId="77777777" w:rsidR="003C66EB" w:rsidRDefault="003C66EB">
            <w:pPr>
              <w:rPr>
                <w:rFonts w:ascii="宋体"/>
                <w:vanish/>
              </w:rPr>
            </w:pPr>
          </w:p>
        </w:tc>
        <w:tc>
          <w:tcPr>
            <w:tcW w:w="0" w:type="auto"/>
            <w:gridSpan w:val="3"/>
            <w:shd w:val="clear" w:color="auto" w:fill="auto"/>
          </w:tcPr>
          <w:p w14:paraId="5EA1FF4D" w14:textId="77777777" w:rsidR="003C66EB" w:rsidRDefault="003C66EB">
            <w:pPr>
              <w:rPr>
                <w:rFonts w:ascii="宋体"/>
                <w:vanish/>
              </w:rPr>
            </w:pPr>
          </w:p>
        </w:tc>
      </w:tr>
      <w:tr w:rsidR="003C66EB" w14:paraId="5EA1FF5A" w14:textId="77777777">
        <w:tc>
          <w:tcPr>
            <w:tcW w:w="0" w:type="auto"/>
            <w:gridSpan w:val="3"/>
            <w:shd w:val="clear" w:color="auto" w:fill="CCEEFF"/>
            <w:tcMar>
              <w:top w:w="40" w:type="dxa"/>
              <w:left w:w="155" w:type="dxa"/>
              <w:bottom w:w="40" w:type="dxa"/>
              <w:right w:w="20" w:type="dxa"/>
            </w:tcMar>
            <w:vAlign w:val="bottom"/>
          </w:tcPr>
          <w:p w14:paraId="5EA1FF4F" w14:textId="77777777" w:rsidR="003C66EB" w:rsidRDefault="00D96C4E">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5EA1FF50" w14:textId="77777777" w:rsidR="003C66EB" w:rsidRDefault="00D96C4E">
            <w:pPr>
              <w:jc w:val="right"/>
              <w:textAlignment w:val="bottom"/>
            </w:pPr>
            <w:r>
              <w:rPr>
                <w:rFonts w:ascii="Arial" w:eastAsia="宋体" w:hAnsi="Arial" w:cs="Arial"/>
                <w:b/>
                <w:bCs/>
                <w:color w:val="000000"/>
                <w:sz w:val="14"/>
                <w:szCs w:val="14"/>
              </w:rPr>
              <w:t>246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1FF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F5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F53" w14:textId="77777777" w:rsidR="003C66EB" w:rsidRDefault="00D96C4E">
            <w:pPr>
              <w:jc w:val="right"/>
              <w:textAlignment w:val="bottom"/>
            </w:pPr>
            <w:r>
              <w:rPr>
                <w:rFonts w:ascii="Arial" w:eastAsia="宋体" w:hAnsi="Arial" w:cs="Arial"/>
                <w:color w:val="000000"/>
                <w:sz w:val="14"/>
                <w:szCs w:val="14"/>
              </w:rPr>
              <w:t>342 </w:t>
            </w:r>
          </w:p>
        </w:tc>
        <w:tc>
          <w:tcPr>
            <w:tcW w:w="0" w:type="auto"/>
            <w:shd w:val="clear" w:color="auto" w:fill="CCEEFF"/>
            <w:tcMar>
              <w:top w:w="40" w:type="dxa"/>
              <w:left w:w="0" w:type="dxa"/>
              <w:bottom w:w="40" w:type="dxa"/>
              <w:right w:w="20" w:type="dxa"/>
            </w:tcMar>
            <w:vAlign w:val="bottom"/>
          </w:tcPr>
          <w:p w14:paraId="5EA1FF54" w14:textId="77777777" w:rsidR="003C66EB" w:rsidRDefault="003C66EB">
            <w:pPr>
              <w:jc w:val="right"/>
              <w:rPr>
                <w:rFonts w:ascii="宋体"/>
              </w:rPr>
            </w:pPr>
          </w:p>
        </w:tc>
        <w:tc>
          <w:tcPr>
            <w:tcW w:w="0" w:type="auto"/>
            <w:gridSpan w:val="3"/>
            <w:shd w:val="clear" w:color="auto" w:fill="auto"/>
          </w:tcPr>
          <w:p w14:paraId="5EA1FF55" w14:textId="77777777" w:rsidR="003C66EB" w:rsidRDefault="003C66EB">
            <w:pPr>
              <w:rPr>
                <w:rFonts w:ascii="宋体"/>
                <w:vanish/>
              </w:rPr>
            </w:pPr>
          </w:p>
        </w:tc>
        <w:tc>
          <w:tcPr>
            <w:tcW w:w="0" w:type="auto"/>
            <w:gridSpan w:val="3"/>
            <w:shd w:val="clear" w:color="auto" w:fill="auto"/>
          </w:tcPr>
          <w:p w14:paraId="5EA1FF56" w14:textId="77777777" w:rsidR="003C66EB" w:rsidRDefault="003C66EB">
            <w:pPr>
              <w:rPr>
                <w:rFonts w:ascii="宋体"/>
                <w:vanish/>
              </w:rPr>
            </w:pPr>
          </w:p>
        </w:tc>
        <w:tc>
          <w:tcPr>
            <w:tcW w:w="0" w:type="auto"/>
            <w:gridSpan w:val="3"/>
            <w:shd w:val="clear" w:color="auto" w:fill="auto"/>
          </w:tcPr>
          <w:p w14:paraId="5EA1FF57" w14:textId="77777777" w:rsidR="003C66EB" w:rsidRDefault="003C66EB">
            <w:pPr>
              <w:rPr>
                <w:rFonts w:ascii="宋体"/>
                <w:vanish/>
              </w:rPr>
            </w:pPr>
          </w:p>
        </w:tc>
        <w:tc>
          <w:tcPr>
            <w:tcW w:w="0" w:type="auto"/>
            <w:gridSpan w:val="3"/>
            <w:shd w:val="clear" w:color="auto" w:fill="auto"/>
          </w:tcPr>
          <w:p w14:paraId="5EA1FF58" w14:textId="77777777" w:rsidR="003C66EB" w:rsidRDefault="003C66EB">
            <w:pPr>
              <w:rPr>
                <w:rFonts w:ascii="宋体"/>
                <w:vanish/>
              </w:rPr>
            </w:pPr>
          </w:p>
        </w:tc>
        <w:tc>
          <w:tcPr>
            <w:tcW w:w="0" w:type="auto"/>
            <w:gridSpan w:val="3"/>
            <w:shd w:val="clear" w:color="auto" w:fill="auto"/>
          </w:tcPr>
          <w:p w14:paraId="5EA1FF59" w14:textId="77777777" w:rsidR="003C66EB" w:rsidRDefault="003C66EB">
            <w:pPr>
              <w:rPr>
                <w:rFonts w:ascii="宋体"/>
                <w:vanish/>
              </w:rPr>
            </w:pPr>
          </w:p>
        </w:tc>
      </w:tr>
      <w:tr w:rsidR="003C66EB" w14:paraId="5EA1FF64" w14:textId="77777777">
        <w:trPr>
          <w:hidden/>
        </w:trPr>
        <w:tc>
          <w:tcPr>
            <w:tcW w:w="0" w:type="auto"/>
            <w:gridSpan w:val="3"/>
            <w:shd w:val="clear" w:color="auto" w:fill="auto"/>
          </w:tcPr>
          <w:p w14:paraId="5EA1FF5B" w14:textId="77777777" w:rsidR="003C66EB" w:rsidRDefault="003C66EB">
            <w:pPr>
              <w:rPr>
                <w:rFonts w:ascii="宋体"/>
                <w:vanish/>
              </w:rPr>
            </w:pPr>
          </w:p>
        </w:tc>
        <w:tc>
          <w:tcPr>
            <w:tcW w:w="0" w:type="auto"/>
            <w:gridSpan w:val="3"/>
            <w:shd w:val="clear" w:color="auto" w:fill="auto"/>
          </w:tcPr>
          <w:p w14:paraId="5EA1FF5C" w14:textId="77777777" w:rsidR="003C66EB" w:rsidRDefault="003C66EB">
            <w:pPr>
              <w:rPr>
                <w:rFonts w:ascii="宋体"/>
                <w:vanish/>
              </w:rPr>
            </w:pPr>
          </w:p>
        </w:tc>
        <w:tc>
          <w:tcPr>
            <w:tcW w:w="0" w:type="auto"/>
            <w:gridSpan w:val="3"/>
            <w:shd w:val="clear" w:color="auto" w:fill="auto"/>
          </w:tcPr>
          <w:p w14:paraId="5EA1FF5D" w14:textId="77777777" w:rsidR="003C66EB" w:rsidRDefault="003C66EB">
            <w:pPr>
              <w:rPr>
                <w:rFonts w:ascii="宋体"/>
                <w:vanish/>
              </w:rPr>
            </w:pPr>
          </w:p>
        </w:tc>
        <w:tc>
          <w:tcPr>
            <w:tcW w:w="0" w:type="auto"/>
            <w:gridSpan w:val="3"/>
            <w:shd w:val="clear" w:color="auto" w:fill="auto"/>
          </w:tcPr>
          <w:p w14:paraId="5EA1FF5E" w14:textId="77777777" w:rsidR="003C66EB" w:rsidRDefault="003C66EB">
            <w:pPr>
              <w:rPr>
                <w:rFonts w:ascii="宋体"/>
                <w:vanish/>
              </w:rPr>
            </w:pPr>
          </w:p>
        </w:tc>
        <w:tc>
          <w:tcPr>
            <w:tcW w:w="0" w:type="auto"/>
            <w:gridSpan w:val="3"/>
            <w:shd w:val="clear" w:color="auto" w:fill="auto"/>
          </w:tcPr>
          <w:p w14:paraId="5EA1FF5F" w14:textId="77777777" w:rsidR="003C66EB" w:rsidRDefault="003C66EB">
            <w:pPr>
              <w:rPr>
                <w:rFonts w:ascii="宋体"/>
                <w:vanish/>
              </w:rPr>
            </w:pPr>
          </w:p>
        </w:tc>
        <w:tc>
          <w:tcPr>
            <w:tcW w:w="0" w:type="auto"/>
            <w:gridSpan w:val="3"/>
            <w:shd w:val="clear" w:color="auto" w:fill="auto"/>
          </w:tcPr>
          <w:p w14:paraId="5EA1FF60" w14:textId="77777777" w:rsidR="003C66EB" w:rsidRDefault="003C66EB">
            <w:pPr>
              <w:rPr>
                <w:rFonts w:ascii="宋体"/>
                <w:vanish/>
              </w:rPr>
            </w:pPr>
          </w:p>
        </w:tc>
        <w:tc>
          <w:tcPr>
            <w:tcW w:w="0" w:type="auto"/>
            <w:gridSpan w:val="3"/>
            <w:shd w:val="clear" w:color="auto" w:fill="auto"/>
          </w:tcPr>
          <w:p w14:paraId="5EA1FF61" w14:textId="77777777" w:rsidR="003C66EB" w:rsidRDefault="003C66EB">
            <w:pPr>
              <w:rPr>
                <w:rFonts w:ascii="宋体"/>
                <w:vanish/>
              </w:rPr>
            </w:pPr>
          </w:p>
        </w:tc>
        <w:tc>
          <w:tcPr>
            <w:tcW w:w="0" w:type="auto"/>
            <w:gridSpan w:val="3"/>
            <w:shd w:val="clear" w:color="auto" w:fill="auto"/>
          </w:tcPr>
          <w:p w14:paraId="5EA1FF62" w14:textId="77777777" w:rsidR="003C66EB" w:rsidRDefault="003C66EB">
            <w:pPr>
              <w:rPr>
                <w:rFonts w:ascii="宋体"/>
                <w:vanish/>
              </w:rPr>
            </w:pPr>
          </w:p>
        </w:tc>
        <w:tc>
          <w:tcPr>
            <w:tcW w:w="0" w:type="auto"/>
            <w:gridSpan w:val="3"/>
            <w:shd w:val="clear" w:color="auto" w:fill="auto"/>
          </w:tcPr>
          <w:p w14:paraId="5EA1FF63" w14:textId="77777777" w:rsidR="003C66EB" w:rsidRDefault="003C66EB">
            <w:pPr>
              <w:rPr>
                <w:rFonts w:ascii="宋体"/>
                <w:vanish/>
              </w:rPr>
            </w:pPr>
          </w:p>
        </w:tc>
      </w:tr>
      <w:tr w:rsidR="003C66EB" w14:paraId="5EA1FF70" w14:textId="77777777">
        <w:tc>
          <w:tcPr>
            <w:tcW w:w="0" w:type="auto"/>
            <w:gridSpan w:val="3"/>
            <w:shd w:val="clear" w:color="auto" w:fill="FFFFFF"/>
            <w:tcMar>
              <w:top w:w="40" w:type="dxa"/>
              <w:left w:w="20" w:type="dxa"/>
              <w:bottom w:w="40" w:type="dxa"/>
              <w:right w:w="20" w:type="dxa"/>
            </w:tcMar>
            <w:vAlign w:val="bottom"/>
          </w:tcPr>
          <w:p w14:paraId="5EA1FF65" w14:textId="77777777" w:rsidR="003C66EB" w:rsidRDefault="00D96C4E">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F66" w14:textId="77777777" w:rsidR="003C66EB" w:rsidRDefault="00D96C4E">
            <w:pPr>
              <w:jc w:val="right"/>
              <w:textAlignment w:val="bottom"/>
            </w:pPr>
            <w:r>
              <w:rPr>
                <w:rFonts w:ascii="Arial" w:eastAsia="宋体" w:hAnsi="Arial" w:cs="Arial"/>
                <w:b/>
                <w:bCs/>
                <w:color w:val="000000"/>
                <w:sz w:val="14"/>
                <w:szCs w:val="14"/>
              </w:rPr>
              <w:t>532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F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F6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F69" w14:textId="77777777" w:rsidR="003C66EB" w:rsidRDefault="00D96C4E">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F6A" w14:textId="77777777" w:rsidR="003C66EB" w:rsidRDefault="003C66EB">
            <w:pPr>
              <w:jc w:val="right"/>
              <w:rPr>
                <w:rFonts w:ascii="宋体"/>
              </w:rPr>
            </w:pPr>
          </w:p>
        </w:tc>
        <w:tc>
          <w:tcPr>
            <w:tcW w:w="0" w:type="auto"/>
            <w:gridSpan w:val="3"/>
            <w:shd w:val="clear" w:color="auto" w:fill="auto"/>
          </w:tcPr>
          <w:p w14:paraId="5EA1FF6B" w14:textId="77777777" w:rsidR="003C66EB" w:rsidRDefault="003C66EB">
            <w:pPr>
              <w:rPr>
                <w:rFonts w:ascii="宋体"/>
                <w:vanish/>
              </w:rPr>
            </w:pPr>
          </w:p>
        </w:tc>
        <w:tc>
          <w:tcPr>
            <w:tcW w:w="0" w:type="auto"/>
            <w:gridSpan w:val="3"/>
            <w:shd w:val="clear" w:color="auto" w:fill="auto"/>
          </w:tcPr>
          <w:p w14:paraId="5EA1FF6C" w14:textId="77777777" w:rsidR="003C66EB" w:rsidRDefault="003C66EB">
            <w:pPr>
              <w:rPr>
                <w:rFonts w:ascii="宋体"/>
                <w:vanish/>
              </w:rPr>
            </w:pPr>
          </w:p>
        </w:tc>
        <w:tc>
          <w:tcPr>
            <w:tcW w:w="0" w:type="auto"/>
            <w:gridSpan w:val="3"/>
            <w:shd w:val="clear" w:color="auto" w:fill="auto"/>
          </w:tcPr>
          <w:p w14:paraId="5EA1FF6D" w14:textId="77777777" w:rsidR="003C66EB" w:rsidRDefault="003C66EB">
            <w:pPr>
              <w:rPr>
                <w:rFonts w:ascii="宋体"/>
                <w:vanish/>
              </w:rPr>
            </w:pPr>
          </w:p>
        </w:tc>
        <w:tc>
          <w:tcPr>
            <w:tcW w:w="0" w:type="auto"/>
            <w:gridSpan w:val="3"/>
            <w:shd w:val="clear" w:color="auto" w:fill="auto"/>
          </w:tcPr>
          <w:p w14:paraId="5EA1FF6E" w14:textId="77777777" w:rsidR="003C66EB" w:rsidRDefault="003C66EB">
            <w:pPr>
              <w:rPr>
                <w:rFonts w:ascii="宋体"/>
                <w:vanish/>
              </w:rPr>
            </w:pPr>
          </w:p>
        </w:tc>
        <w:tc>
          <w:tcPr>
            <w:tcW w:w="0" w:type="auto"/>
            <w:gridSpan w:val="3"/>
            <w:shd w:val="clear" w:color="auto" w:fill="auto"/>
          </w:tcPr>
          <w:p w14:paraId="5EA1FF6F" w14:textId="77777777" w:rsidR="003C66EB" w:rsidRDefault="003C66EB">
            <w:pPr>
              <w:rPr>
                <w:rFonts w:ascii="宋体"/>
                <w:vanish/>
              </w:rPr>
            </w:pPr>
          </w:p>
        </w:tc>
      </w:tr>
      <w:tr w:rsidR="003C66EB" w14:paraId="5EA1FF7A" w14:textId="77777777">
        <w:trPr>
          <w:hidden/>
        </w:trPr>
        <w:tc>
          <w:tcPr>
            <w:tcW w:w="0" w:type="auto"/>
            <w:gridSpan w:val="3"/>
            <w:shd w:val="clear" w:color="auto" w:fill="auto"/>
          </w:tcPr>
          <w:p w14:paraId="5EA1FF71" w14:textId="77777777" w:rsidR="003C66EB" w:rsidRDefault="003C66EB">
            <w:pPr>
              <w:rPr>
                <w:rFonts w:ascii="宋体"/>
                <w:vanish/>
              </w:rPr>
            </w:pPr>
          </w:p>
        </w:tc>
        <w:tc>
          <w:tcPr>
            <w:tcW w:w="0" w:type="auto"/>
            <w:gridSpan w:val="3"/>
            <w:shd w:val="clear" w:color="auto" w:fill="auto"/>
          </w:tcPr>
          <w:p w14:paraId="5EA1FF72" w14:textId="77777777" w:rsidR="003C66EB" w:rsidRDefault="003C66EB">
            <w:pPr>
              <w:rPr>
                <w:rFonts w:ascii="宋体"/>
                <w:vanish/>
              </w:rPr>
            </w:pPr>
          </w:p>
        </w:tc>
        <w:tc>
          <w:tcPr>
            <w:tcW w:w="0" w:type="auto"/>
            <w:gridSpan w:val="3"/>
            <w:shd w:val="clear" w:color="auto" w:fill="auto"/>
          </w:tcPr>
          <w:p w14:paraId="5EA1FF73" w14:textId="77777777" w:rsidR="003C66EB" w:rsidRDefault="003C66EB">
            <w:pPr>
              <w:rPr>
                <w:rFonts w:ascii="宋体"/>
                <w:vanish/>
              </w:rPr>
            </w:pPr>
          </w:p>
        </w:tc>
        <w:tc>
          <w:tcPr>
            <w:tcW w:w="0" w:type="auto"/>
            <w:gridSpan w:val="3"/>
            <w:shd w:val="clear" w:color="auto" w:fill="auto"/>
          </w:tcPr>
          <w:p w14:paraId="5EA1FF74" w14:textId="77777777" w:rsidR="003C66EB" w:rsidRDefault="003C66EB">
            <w:pPr>
              <w:rPr>
                <w:rFonts w:ascii="宋体"/>
                <w:vanish/>
              </w:rPr>
            </w:pPr>
          </w:p>
        </w:tc>
        <w:tc>
          <w:tcPr>
            <w:tcW w:w="0" w:type="auto"/>
            <w:gridSpan w:val="3"/>
            <w:shd w:val="clear" w:color="auto" w:fill="auto"/>
          </w:tcPr>
          <w:p w14:paraId="5EA1FF75" w14:textId="77777777" w:rsidR="003C66EB" w:rsidRDefault="003C66EB">
            <w:pPr>
              <w:rPr>
                <w:rFonts w:ascii="宋体"/>
                <w:vanish/>
              </w:rPr>
            </w:pPr>
          </w:p>
        </w:tc>
        <w:tc>
          <w:tcPr>
            <w:tcW w:w="0" w:type="auto"/>
            <w:gridSpan w:val="3"/>
            <w:shd w:val="clear" w:color="auto" w:fill="auto"/>
          </w:tcPr>
          <w:p w14:paraId="5EA1FF76" w14:textId="77777777" w:rsidR="003C66EB" w:rsidRDefault="003C66EB">
            <w:pPr>
              <w:rPr>
                <w:rFonts w:ascii="宋体"/>
                <w:vanish/>
              </w:rPr>
            </w:pPr>
          </w:p>
        </w:tc>
        <w:tc>
          <w:tcPr>
            <w:tcW w:w="0" w:type="auto"/>
            <w:gridSpan w:val="3"/>
            <w:shd w:val="clear" w:color="auto" w:fill="auto"/>
          </w:tcPr>
          <w:p w14:paraId="5EA1FF77" w14:textId="77777777" w:rsidR="003C66EB" w:rsidRDefault="003C66EB">
            <w:pPr>
              <w:rPr>
                <w:rFonts w:ascii="宋体"/>
                <w:vanish/>
              </w:rPr>
            </w:pPr>
          </w:p>
        </w:tc>
        <w:tc>
          <w:tcPr>
            <w:tcW w:w="0" w:type="auto"/>
            <w:gridSpan w:val="3"/>
            <w:shd w:val="clear" w:color="auto" w:fill="auto"/>
          </w:tcPr>
          <w:p w14:paraId="5EA1FF78" w14:textId="77777777" w:rsidR="003C66EB" w:rsidRDefault="003C66EB">
            <w:pPr>
              <w:rPr>
                <w:rFonts w:ascii="宋体"/>
                <w:vanish/>
              </w:rPr>
            </w:pPr>
          </w:p>
        </w:tc>
        <w:tc>
          <w:tcPr>
            <w:tcW w:w="0" w:type="auto"/>
            <w:gridSpan w:val="3"/>
            <w:shd w:val="clear" w:color="auto" w:fill="auto"/>
          </w:tcPr>
          <w:p w14:paraId="5EA1FF79" w14:textId="77777777" w:rsidR="003C66EB" w:rsidRDefault="003C66EB">
            <w:pPr>
              <w:rPr>
                <w:rFonts w:ascii="宋体"/>
                <w:vanish/>
              </w:rPr>
            </w:pPr>
          </w:p>
        </w:tc>
      </w:tr>
      <w:tr w:rsidR="003C66EB" w14:paraId="5EA1FF84" w14:textId="77777777">
        <w:trPr>
          <w:hidden/>
        </w:trPr>
        <w:tc>
          <w:tcPr>
            <w:tcW w:w="0" w:type="auto"/>
            <w:gridSpan w:val="3"/>
            <w:shd w:val="clear" w:color="auto" w:fill="auto"/>
          </w:tcPr>
          <w:p w14:paraId="5EA1FF7B" w14:textId="77777777" w:rsidR="003C66EB" w:rsidRDefault="003C66EB">
            <w:pPr>
              <w:rPr>
                <w:rFonts w:ascii="宋体"/>
                <w:vanish/>
              </w:rPr>
            </w:pPr>
          </w:p>
        </w:tc>
        <w:tc>
          <w:tcPr>
            <w:tcW w:w="0" w:type="auto"/>
            <w:gridSpan w:val="3"/>
            <w:shd w:val="clear" w:color="auto" w:fill="auto"/>
          </w:tcPr>
          <w:p w14:paraId="5EA1FF7C" w14:textId="77777777" w:rsidR="003C66EB" w:rsidRDefault="003C66EB">
            <w:pPr>
              <w:rPr>
                <w:rFonts w:ascii="宋体"/>
                <w:vanish/>
              </w:rPr>
            </w:pPr>
          </w:p>
        </w:tc>
        <w:tc>
          <w:tcPr>
            <w:tcW w:w="0" w:type="auto"/>
            <w:gridSpan w:val="3"/>
            <w:shd w:val="clear" w:color="auto" w:fill="auto"/>
          </w:tcPr>
          <w:p w14:paraId="5EA1FF7D" w14:textId="77777777" w:rsidR="003C66EB" w:rsidRDefault="003C66EB">
            <w:pPr>
              <w:rPr>
                <w:rFonts w:ascii="宋体"/>
                <w:vanish/>
              </w:rPr>
            </w:pPr>
          </w:p>
        </w:tc>
        <w:tc>
          <w:tcPr>
            <w:tcW w:w="0" w:type="auto"/>
            <w:gridSpan w:val="3"/>
            <w:shd w:val="clear" w:color="auto" w:fill="auto"/>
          </w:tcPr>
          <w:p w14:paraId="5EA1FF7E" w14:textId="77777777" w:rsidR="003C66EB" w:rsidRDefault="003C66EB">
            <w:pPr>
              <w:rPr>
                <w:rFonts w:ascii="宋体"/>
                <w:vanish/>
              </w:rPr>
            </w:pPr>
          </w:p>
        </w:tc>
        <w:tc>
          <w:tcPr>
            <w:tcW w:w="0" w:type="auto"/>
            <w:gridSpan w:val="3"/>
            <w:shd w:val="clear" w:color="auto" w:fill="auto"/>
          </w:tcPr>
          <w:p w14:paraId="5EA1FF7F" w14:textId="77777777" w:rsidR="003C66EB" w:rsidRDefault="003C66EB">
            <w:pPr>
              <w:rPr>
                <w:rFonts w:ascii="宋体"/>
                <w:vanish/>
              </w:rPr>
            </w:pPr>
          </w:p>
        </w:tc>
        <w:tc>
          <w:tcPr>
            <w:tcW w:w="0" w:type="auto"/>
            <w:gridSpan w:val="3"/>
            <w:shd w:val="clear" w:color="auto" w:fill="auto"/>
          </w:tcPr>
          <w:p w14:paraId="5EA1FF80" w14:textId="77777777" w:rsidR="003C66EB" w:rsidRDefault="003C66EB">
            <w:pPr>
              <w:rPr>
                <w:rFonts w:ascii="宋体"/>
                <w:vanish/>
              </w:rPr>
            </w:pPr>
          </w:p>
        </w:tc>
        <w:tc>
          <w:tcPr>
            <w:tcW w:w="0" w:type="auto"/>
            <w:gridSpan w:val="3"/>
            <w:shd w:val="clear" w:color="auto" w:fill="auto"/>
          </w:tcPr>
          <w:p w14:paraId="5EA1FF81" w14:textId="77777777" w:rsidR="003C66EB" w:rsidRDefault="003C66EB">
            <w:pPr>
              <w:rPr>
                <w:rFonts w:ascii="宋体"/>
                <w:vanish/>
              </w:rPr>
            </w:pPr>
          </w:p>
        </w:tc>
        <w:tc>
          <w:tcPr>
            <w:tcW w:w="0" w:type="auto"/>
            <w:gridSpan w:val="3"/>
            <w:shd w:val="clear" w:color="auto" w:fill="auto"/>
          </w:tcPr>
          <w:p w14:paraId="5EA1FF82" w14:textId="77777777" w:rsidR="003C66EB" w:rsidRDefault="003C66EB">
            <w:pPr>
              <w:rPr>
                <w:rFonts w:ascii="宋体"/>
                <w:vanish/>
              </w:rPr>
            </w:pPr>
          </w:p>
        </w:tc>
        <w:tc>
          <w:tcPr>
            <w:tcW w:w="0" w:type="auto"/>
            <w:gridSpan w:val="3"/>
            <w:shd w:val="clear" w:color="auto" w:fill="auto"/>
          </w:tcPr>
          <w:p w14:paraId="5EA1FF83" w14:textId="77777777" w:rsidR="003C66EB" w:rsidRDefault="003C66EB">
            <w:pPr>
              <w:rPr>
                <w:rFonts w:ascii="宋体"/>
                <w:vanish/>
              </w:rPr>
            </w:pPr>
          </w:p>
        </w:tc>
      </w:tr>
      <w:tr w:rsidR="003C66EB" w14:paraId="5EA1FF90" w14:textId="77777777">
        <w:tc>
          <w:tcPr>
            <w:tcW w:w="0" w:type="auto"/>
            <w:gridSpan w:val="3"/>
            <w:shd w:val="clear" w:color="auto" w:fill="CCEEFF"/>
            <w:tcMar>
              <w:top w:w="40" w:type="dxa"/>
              <w:left w:w="20" w:type="dxa"/>
              <w:bottom w:w="40" w:type="dxa"/>
              <w:right w:w="20" w:type="dxa"/>
            </w:tcMar>
            <w:vAlign w:val="bottom"/>
          </w:tcPr>
          <w:p w14:paraId="5EA1FF85" w14:textId="77777777" w:rsidR="003C66EB" w:rsidRDefault="00D96C4E">
            <w:pPr>
              <w:textAlignment w:val="bottom"/>
            </w:pPr>
            <w:r>
              <w:rPr>
                <w:rFonts w:ascii="Arial" w:eastAsia="宋体" w:hAnsi="Arial" w:cs="Arial"/>
                <w:color w:val="000000"/>
                <w:sz w:val="14"/>
                <w:szCs w:val="14"/>
              </w:rPr>
              <w:t>Total</w:t>
            </w:r>
            <w:r>
              <w:rPr>
                <w:rFonts w:ascii="Arial" w:eastAsia="宋体" w:hAnsi="Arial" w:cs="Arial"/>
                <w:color w:val="000000"/>
                <w:sz w:val="9"/>
                <w:szCs w:val="9"/>
              </w:rPr>
              <w:t>(6)(7)</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F86" w14:textId="77777777" w:rsidR="003C66EB" w:rsidRDefault="00D96C4E">
            <w:pPr>
              <w:jc w:val="right"/>
              <w:textAlignment w:val="bottom"/>
            </w:pPr>
            <w:r>
              <w:rPr>
                <w:rFonts w:ascii="Arial" w:eastAsia="宋体" w:hAnsi="Arial" w:cs="Arial"/>
                <w:b/>
                <w:bCs/>
                <w:color w:val="000000"/>
                <w:sz w:val="14"/>
                <w:szCs w:val="14"/>
              </w:rPr>
              <w:t>46,263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F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F8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F89" w14:textId="77777777" w:rsidR="003C66EB" w:rsidRDefault="00D96C4E">
            <w:pPr>
              <w:jc w:val="right"/>
              <w:textAlignment w:val="bottom"/>
            </w:pPr>
            <w:r>
              <w:rPr>
                <w:rFonts w:ascii="Arial" w:eastAsia="宋体" w:hAnsi="Arial" w:cs="Arial"/>
                <w:color w:val="000000"/>
                <w:sz w:val="14"/>
                <w:szCs w:val="14"/>
              </w:rPr>
              <w:t>48,931 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F8A" w14:textId="77777777" w:rsidR="003C66EB" w:rsidRDefault="003C66EB">
            <w:pPr>
              <w:jc w:val="right"/>
              <w:rPr>
                <w:rFonts w:ascii="宋体"/>
              </w:rPr>
            </w:pPr>
          </w:p>
        </w:tc>
        <w:tc>
          <w:tcPr>
            <w:tcW w:w="0" w:type="auto"/>
            <w:gridSpan w:val="3"/>
            <w:shd w:val="clear" w:color="auto" w:fill="auto"/>
          </w:tcPr>
          <w:p w14:paraId="5EA1FF8B" w14:textId="77777777" w:rsidR="003C66EB" w:rsidRDefault="003C66EB">
            <w:pPr>
              <w:rPr>
                <w:rFonts w:ascii="宋体"/>
                <w:vanish/>
              </w:rPr>
            </w:pPr>
          </w:p>
        </w:tc>
        <w:tc>
          <w:tcPr>
            <w:tcW w:w="0" w:type="auto"/>
            <w:gridSpan w:val="3"/>
            <w:shd w:val="clear" w:color="auto" w:fill="auto"/>
          </w:tcPr>
          <w:p w14:paraId="5EA1FF8C" w14:textId="77777777" w:rsidR="003C66EB" w:rsidRDefault="003C66EB">
            <w:pPr>
              <w:rPr>
                <w:rFonts w:ascii="宋体"/>
                <w:vanish/>
              </w:rPr>
            </w:pPr>
          </w:p>
        </w:tc>
        <w:tc>
          <w:tcPr>
            <w:tcW w:w="0" w:type="auto"/>
            <w:gridSpan w:val="3"/>
            <w:shd w:val="clear" w:color="auto" w:fill="auto"/>
          </w:tcPr>
          <w:p w14:paraId="5EA1FF8D" w14:textId="77777777" w:rsidR="003C66EB" w:rsidRDefault="003C66EB">
            <w:pPr>
              <w:rPr>
                <w:rFonts w:ascii="宋体"/>
                <w:vanish/>
              </w:rPr>
            </w:pPr>
          </w:p>
        </w:tc>
        <w:tc>
          <w:tcPr>
            <w:tcW w:w="0" w:type="auto"/>
            <w:gridSpan w:val="3"/>
            <w:shd w:val="clear" w:color="auto" w:fill="auto"/>
          </w:tcPr>
          <w:p w14:paraId="5EA1FF8E" w14:textId="77777777" w:rsidR="003C66EB" w:rsidRDefault="003C66EB">
            <w:pPr>
              <w:rPr>
                <w:rFonts w:ascii="宋体"/>
                <w:vanish/>
              </w:rPr>
            </w:pPr>
          </w:p>
        </w:tc>
        <w:tc>
          <w:tcPr>
            <w:tcW w:w="0" w:type="auto"/>
            <w:gridSpan w:val="3"/>
            <w:shd w:val="clear" w:color="auto" w:fill="auto"/>
          </w:tcPr>
          <w:p w14:paraId="5EA1FF8F" w14:textId="77777777" w:rsidR="003C66EB" w:rsidRDefault="003C66EB">
            <w:pPr>
              <w:rPr>
                <w:rFonts w:ascii="宋体"/>
                <w:vanish/>
              </w:rPr>
            </w:pPr>
          </w:p>
        </w:tc>
      </w:tr>
      <w:tr w:rsidR="003C66EB" w14:paraId="5EA1FF9C" w14:textId="77777777">
        <w:tc>
          <w:tcPr>
            <w:tcW w:w="0" w:type="auto"/>
            <w:gridSpan w:val="3"/>
            <w:shd w:val="clear" w:color="auto" w:fill="FFFFFF"/>
            <w:tcMar>
              <w:top w:w="40" w:type="dxa"/>
              <w:left w:w="20" w:type="dxa"/>
              <w:bottom w:w="40" w:type="dxa"/>
              <w:right w:w="20" w:type="dxa"/>
            </w:tcMar>
            <w:vAlign w:val="bottom"/>
          </w:tcPr>
          <w:p w14:paraId="5EA1FF91" w14:textId="77777777" w:rsidR="003C66EB" w:rsidRDefault="00D96C4E">
            <w:pPr>
              <w:textAlignment w:val="bottom"/>
            </w:pPr>
            <w:r>
              <w:rPr>
                <w:rFonts w:ascii="Arial" w:eastAsia="宋体" w:hAnsi="Arial" w:cs="Arial"/>
                <w:color w:val="000000"/>
                <w:sz w:val="14"/>
                <w:szCs w:val="14"/>
              </w:rPr>
              <w:t xml:space="preserve">Held-to-maturity under money market </w:t>
            </w:r>
            <w:r>
              <w:rPr>
                <w:rFonts w:ascii="Arial" w:eastAsia="宋体" w:hAnsi="Arial" w:cs="Arial"/>
                <w:color w:val="000000"/>
                <w:sz w:val="14"/>
                <w:szCs w:val="14"/>
              </w:rPr>
              <w:t>mutual fund liquidity facility</w:t>
            </w:r>
            <w:r>
              <w:rPr>
                <w:rFonts w:ascii="Arial" w:eastAsia="宋体" w:hAnsi="Arial" w:cs="Arial"/>
                <w:color w:val="000000"/>
                <w:sz w:val="9"/>
                <w:szCs w:val="9"/>
              </w:rPr>
              <w:t>(8)</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F92" w14:textId="77777777" w:rsidR="003C66EB" w:rsidRDefault="00D96C4E">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F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F9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1FF95" w14:textId="77777777" w:rsidR="003C66EB" w:rsidRDefault="00D96C4E">
            <w:pPr>
              <w:jc w:val="right"/>
              <w:textAlignment w:val="bottom"/>
            </w:pPr>
            <w:r>
              <w:rPr>
                <w:rFonts w:ascii="Arial" w:eastAsia="宋体" w:hAnsi="Arial" w:cs="Arial"/>
                <w:color w:val="000000"/>
                <w:sz w:val="14"/>
                <w:szCs w:val="14"/>
              </w:rPr>
              <w:t>3,300 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1FF96" w14:textId="77777777" w:rsidR="003C66EB" w:rsidRDefault="003C66EB">
            <w:pPr>
              <w:jc w:val="right"/>
              <w:rPr>
                <w:rFonts w:ascii="宋体"/>
              </w:rPr>
            </w:pPr>
          </w:p>
        </w:tc>
        <w:tc>
          <w:tcPr>
            <w:tcW w:w="0" w:type="auto"/>
            <w:gridSpan w:val="3"/>
            <w:shd w:val="clear" w:color="auto" w:fill="auto"/>
          </w:tcPr>
          <w:p w14:paraId="5EA1FF97" w14:textId="77777777" w:rsidR="003C66EB" w:rsidRDefault="003C66EB">
            <w:pPr>
              <w:rPr>
                <w:rFonts w:ascii="宋体"/>
                <w:vanish/>
              </w:rPr>
            </w:pPr>
          </w:p>
        </w:tc>
        <w:tc>
          <w:tcPr>
            <w:tcW w:w="0" w:type="auto"/>
            <w:gridSpan w:val="3"/>
            <w:shd w:val="clear" w:color="auto" w:fill="auto"/>
          </w:tcPr>
          <w:p w14:paraId="5EA1FF98" w14:textId="77777777" w:rsidR="003C66EB" w:rsidRDefault="003C66EB">
            <w:pPr>
              <w:rPr>
                <w:rFonts w:ascii="宋体"/>
                <w:vanish/>
              </w:rPr>
            </w:pPr>
          </w:p>
        </w:tc>
        <w:tc>
          <w:tcPr>
            <w:tcW w:w="0" w:type="auto"/>
            <w:gridSpan w:val="3"/>
            <w:shd w:val="clear" w:color="auto" w:fill="auto"/>
          </w:tcPr>
          <w:p w14:paraId="5EA1FF99" w14:textId="77777777" w:rsidR="003C66EB" w:rsidRDefault="003C66EB">
            <w:pPr>
              <w:rPr>
                <w:rFonts w:ascii="宋体"/>
                <w:vanish/>
              </w:rPr>
            </w:pPr>
          </w:p>
        </w:tc>
        <w:tc>
          <w:tcPr>
            <w:tcW w:w="0" w:type="auto"/>
            <w:gridSpan w:val="3"/>
            <w:shd w:val="clear" w:color="auto" w:fill="auto"/>
          </w:tcPr>
          <w:p w14:paraId="5EA1FF9A" w14:textId="77777777" w:rsidR="003C66EB" w:rsidRDefault="003C66EB">
            <w:pPr>
              <w:rPr>
                <w:rFonts w:ascii="宋体"/>
                <w:vanish/>
              </w:rPr>
            </w:pPr>
          </w:p>
        </w:tc>
        <w:tc>
          <w:tcPr>
            <w:tcW w:w="0" w:type="auto"/>
            <w:gridSpan w:val="3"/>
            <w:shd w:val="clear" w:color="auto" w:fill="auto"/>
          </w:tcPr>
          <w:p w14:paraId="5EA1FF9B" w14:textId="77777777" w:rsidR="003C66EB" w:rsidRDefault="003C66EB">
            <w:pPr>
              <w:rPr>
                <w:rFonts w:ascii="宋体"/>
                <w:vanish/>
              </w:rPr>
            </w:pPr>
          </w:p>
        </w:tc>
      </w:tr>
      <w:tr w:rsidR="003C66EB" w14:paraId="5EA1FFAA" w14:textId="77777777">
        <w:tc>
          <w:tcPr>
            <w:tcW w:w="0" w:type="auto"/>
            <w:gridSpan w:val="3"/>
            <w:shd w:val="clear" w:color="auto" w:fill="CCEEFF"/>
            <w:tcMar>
              <w:top w:w="40" w:type="dxa"/>
              <w:left w:w="20" w:type="dxa"/>
              <w:bottom w:w="40" w:type="dxa"/>
              <w:right w:w="20" w:type="dxa"/>
            </w:tcMar>
            <w:vAlign w:val="bottom"/>
          </w:tcPr>
          <w:p w14:paraId="5EA1FF9D" w14:textId="77777777" w:rsidR="003C66EB" w:rsidRDefault="00D96C4E">
            <w:pPr>
              <w:textAlignment w:val="bottom"/>
            </w:pPr>
            <w:r>
              <w:rPr>
                <w:rFonts w:ascii="Arial" w:eastAsia="宋体" w:hAnsi="Arial" w:cs="Arial"/>
                <w:color w:val="000000"/>
                <w:sz w:val="14"/>
                <w:szCs w:val="14"/>
              </w:rPr>
              <w:t>Total held-to-maturity securities</w:t>
            </w:r>
            <w:r>
              <w:rPr>
                <w:rFonts w:ascii="Arial" w:eastAsia="宋体" w:hAnsi="Arial" w:cs="Arial"/>
                <w:color w:val="000000"/>
                <w:sz w:val="9"/>
                <w:szCs w:val="9"/>
              </w:rPr>
              <w:t>(3)(7)</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F9E"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F9F" w14:textId="77777777" w:rsidR="003C66EB" w:rsidRDefault="00D96C4E">
            <w:pPr>
              <w:jc w:val="right"/>
              <w:textAlignment w:val="bottom"/>
            </w:pPr>
            <w:r>
              <w:rPr>
                <w:rFonts w:ascii="Arial" w:eastAsia="宋体" w:hAnsi="Arial" w:cs="Arial"/>
                <w:b/>
                <w:bCs/>
                <w:color w:val="000000"/>
                <w:sz w:val="14"/>
                <w:szCs w:val="14"/>
              </w:rPr>
              <w:t>46,464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F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FA1"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1FFA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1FFA3" w14:textId="77777777" w:rsidR="003C66EB" w:rsidRDefault="00D96C4E">
            <w:pPr>
              <w:jc w:val="right"/>
              <w:textAlignment w:val="bottom"/>
            </w:pPr>
            <w:r>
              <w:rPr>
                <w:rFonts w:ascii="Arial" w:eastAsia="宋体" w:hAnsi="Arial" w:cs="Arial"/>
                <w:color w:val="000000"/>
                <w:sz w:val="14"/>
                <w:szCs w:val="14"/>
              </w:rPr>
              <w:t>52,231 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1FFA4" w14:textId="77777777" w:rsidR="003C66EB" w:rsidRDefault="003C66EB">
            <w:pPr>
              <w:jc w:val="right"/>
              <w:rPr>
                <w:rFonts w:ascii="宋体"/>
              </w:rPr>
            </w:pPr>
          </w:p>
        </w:tc>
        <w:tc>
          <w:tcPr>
            <w:tcW w:w="0" w:type="auto"/>
            <w:gridSpan w:val="3"/>
            <w:shd w:val="clear" w:color="auto" w:fill="auto"/>
          </w:tcPr>
          <w:p w14:paraId="5EA1FFA5" w14:textId="77777777" w:rsidR="003C66EB" w:rsidRDefault="003C66EB">
            <w:pPr>
              <w:rPr>
                <w:rFonts w:ascii="宋体"/>
                <w:vanish/>
              </w:rPr>
            </w:pPr>
          </w:p>
        </w:tc>
        <w:tc>
          <w:tcPr>
            <w:tcW w:w="0" w:type="auto"/>
            <w:gridSpan w:val="3"/>
            <w:shd w:val="clear" w:color="auto" w:fill="auto"/>
          </w:tcPr>
          <w:p w14:paraId="5EA1FFA6" w14:textId="77777777" w:rsidR="003C66EB" w:rsidRDefault="003C66EB">
            <w:pPr>
              <w:rPr>
                <w:rFonts w:ascii="宋体"/>
                <w:vanish/>
              </w:rPr>
            </w:pPr>
          </w:p>
        </w:tc>
        <w:tc>
          <w:tcPr>
            <w:tcW w:w="0" w:type="auto"/>
            <w:gridSpan w:val="3"/>
            <w:shd w:val="clear" w:color="auto" w:fill="auto"/>
          </w:tcPr>
          <w:p w14:paraId="5EA1FFA7" w14:textId="77777777" w:rsidR="003C66EB" w:rsidRDefault="003C66EB">
            <w:pPr>
              <w:rPr>
                <w:rFonts w:ascii="宋体"/>
                <w:vanish/>
              </w:rPr>
            </w:pPr>
          </w:p>
        </w:tc>
        <w:tc>
          <w:tcPr>
            <w:tcW w:w="0" w:type="auto"/>
            <w:gridSpan w:val="3"/>
            <w:shd w:val="clear" w:color="auto" w:fill="auto"/>
          </w:tcPr>
          <w:p w14:paraId="5EA1FFA8" w14:textId="77777777" w:rsidR="003C66EB" w:rsidRDefault="003C66EB">
            <w:pPr>
              <w:rPr>
                <w:rFonts w:ascii="宋体"/>
                <w:vanish/>
              </w:rPr>
            </w:pPr>
          </w:p>
        </w:tc>
        <w:tc>
          <w:tcPr>
            <w:tcW w:w="0" w:type="auto"/>
            <w:gridSpan w:val="3"/>
            <w:shd w:val="clear" w:color="auto" w:fill="auto"/>
          </w:tcPr>
          <w:p w14:paraId="5EA1FFA9" w14:textId="77777777" w:rsidR="003C66EB" w:rsidRDefault="003C66EB">
            <w:pPr>
              <w:rPr>
                <w:rFonts w:ascii="宋体"/>
                <w:vanish/>
              </w:rPr>
            </w:pPr>
          </w:p>
        </w:tc>
      </w:tr>
    </w:tbl>
    <w:p w14:paraId="5EA1FFAB"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3C66EB" w14:paraId="5EA1FFB7" w14:textId="77777777">
        <w:tc>
          <w:tcPr>
            <w:tcW w:w="50" w:type="pct"/>
            <w:shd w:val="clear" w:color="auto" w:fill="auto"/>
          </w:tcPr>
          <w:p w14:paraId="5EA1FFAC" w14:textId="77777777" w:rsidR="003C66EB" w:rsidRDefault="003C66EB">
            <w:pPr>
              <w:rPr>
                <w:rFonts w:ascii="宋体"/>
              </w:rPr>
            </w:pPr>
          </w:p>
        </w:tc>
        <w:tc>
          <w:tcPr>
            <w:tcW w:w="2374" w:type="pct"/>
            <w:shd w:val="clear" w:color="auto" w:fill="auto"/>
          </w:tcPr>
          <w:p w14:paraId="5EA1FFAD" w14:textId="77777777" w:rsidR="003C66EB" w:rsidRDefault="003C66EB">
            <w:pPr>
              <w:rPr>
                <w:rFonts w:ascii="宋体"/>
              </w:rPr>
            </w:pPr>
          </w:p>
        </w:tc>
        <w:tc>
          <w:tcPr>
            <w:tcW w:w="5" w:type="pct"/>
            <w:shd w:val="clear" w:color="auto" w:fill="auto"/>
          </w:tcPr>
          <w:p w14:paraId="5EA1FFAE" w14:textId="77777777" w:rsidR="003C66EB" w:rsidRDefault="003C66EB">
            <w:pPr>
              <w:rPr>
                <w:rFonts w:ascii="宋体"/>
              </w:rPr>
            </w:pPr>
          </w:p>
        </w:tc>
        <w:tc>
          <w:tcPr>
            <w:tcW w:w="50" w:type="pct"/>
            <w:shd w:val="clear" w:color="auto" w:fill="auto"/>
          </w:tcPr>
          <w:p w14:paraId="5EA1FFAF" w14:textId="77777777" w:rsidR="003C66EB" w:rsidRDefault="003C66EB">
            <w:pPr>
              <w:rPr>
                <w:rFonts w:ascii="宋体"/>
              </w:rPr>
            </w:pPr>
          </w:p>
        </w:tc>
        <w:tc>
          <w:tcPr>
            <w:tcW w:w="1057" w:type="pct"/>
            <w:shd w:val="clear" w:color="auto" w:fill="auto"/>
          </w:tcPr>
          <w:p w14:paraId="5EA1FFB0" w14:textId="77777777" w:rsidR="003C66EB" w:rsidRDefault="003C66EB">
            <w:pPr>
              <w:rPr>
                <w:rFonts w:ascii="宋体"/>
              </w:rPr>
            </w:pPr>
          </w:p>
        </w:tc>
        <w:tc>
          <w:tcPr>
            <w:tcW w:w="5" w:type="pct"/>
            <w:shd w:val="clear" w:color="auto" w:fill="auto"/>
          </w:tcPr>
          <w:p w14:paraId="5EA1FFB1" w14:textId="77777777" w:rsidR="003C66EB" w:rsidRDefault="003C66EB">
            <w:pPr>
              <w:rPr>
                <w:rFonts w:ascii="宋体"/>
              </w:rPr>
            </w:pPr>
          </w:p>
        </w:tc>
        <w:tc>
          <w:tcPr>
            <w:tcW w:w="50" w:type="pct"/>
            <w:shd w:val="clear" w:color="auto" w:fill="auto"/>
          </w:tcPr>
          <w:p w14:paraId="5EA1FFB2" w14:textId="77777777" w:rsidR="003C66EB" w:rsidRDefault="003C66EB">
            <w:pPr>
              <w:rPr>
                <w:rFonts w:ascii="宋体"/>
              </w:rPr>
            </w:pPr>
          </w:p>
        </w:tc>
        <w:tc>
          <w:tcPr>
            <w:tcW w:w="1402" w:type="pct"/>
            <w:shd w:val="clear" w:color="auto" w:fill="auto"/>
          </w:tcPr>
          <w:p w14:paraId="5EA1FFB3" w14:textId="77777777" w:rsidR="003C66EB" w:rsidRDefault="003C66EB">
            <w:pPr>
              <w:rPr>
                <w:rFonts w:ascii="宋体"/>
              </w:rPr>
            </w:pPr>
          </w:p>
        </w:tc>
        <w:tc>
          <w:tcPr>
            <w:tcW w:w="5" w:type="pct"/>
            <w:shd w:val="clear" w:color="auto" w:fill="auto"/>
          </w:tcPr>
          <w:p w14:paraId="5EA1FFB4" w14:textId="77777777" w:rsidR="003C66EB" w:rsidRDefault="003C66EB">
            <w:pPr>
              <w:rPr>
                <w:rFonts w:ascii="宋体"/>
              </w:rPr>
            </w:pPr>
          </w:p>
        </w:tc>
        <w:tc>
          <w:tcPr>
            <w:tcW w:w="0" w:type="auto"/>
            <w:shd w:val="clear" w:color="auto" w:fill="auto"/>
          </w:tcPr>
          <w:p w14:paraId="5EA1FFB5" w14:textId="77777777" w:rsidR="003C66EB" w:rsidRDefault="003C66EB">
            <w:pPr>
              <w:rPr>
                <w:rFonts w:ascii="宋体"/>
                <w:vanish/>
              </w:rPr>
            </w:pPr>
          </w:p>
        </w:tc>
        <w:tc>
          <w:tcPr>
            <w:tcW w:w="0" w:type="auto"/>
            <w:shd w:val="clear" w:color="auto" w:fill="auto"/>
          </w:tcPr>
          <w:p w14:paraId="5EA1FFB6" w14:textId="77777777" w:rsidR="003C66EB" w:rsidRDefault="003C66EB">
            <w:pPr>
              <w:rPr>
                <w:rFonts w:ascii="宋体"/>
                <w:vanish/>
              </w:rPr>
            </w:pPr>
          </w:p>
        </w:tc>
      </w:tr>
      <w:tr w:rsidR="003C66EB" w14:paraId="5EA1FFB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1FFB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FB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1FFBA" w14:textId="77777777" w:rsidR="003C66EB" w:rsidRDefault="003C66EB">
            <w:pPr>
              <w:rPr>
                <w:rFonts w:ascii="宋体"/>
              </w:rPr>
            </w:pPr>
          </w:p>
        </w:tc>
        <w:tc>
          <w:tcPr>
            <w:tcW w:w="0" w:type="auto"/>
            <w:shd w:val="clear" w:color="auto" w:fill="auto"/>
          </w:tcPr>
          <w:p w14:paraId="5EA1FFBB" w14:textId="77777777" w:rsidR="003C66EB" w:rsidRDefault="003C66EB">
            <w:pPr>
              <w:rPr>
                <w:rFonts w:ascii="宋体"/>
                <w:vanish/>
              </w:rPr>
            </w:pPr>
          </w:p>
        </w:tc>
        <w:tc>
          <w:tcPr>
            <w:tcW w:w="0" w:type="auto"/>
            <w:shd w:val="clear" w:color="auto" w:fill="auto"/>
          </w:tcPr>
          <w:p w14:paraId="5EA1FFBC" w14:textId="77777777" w:rsidR="003C66EB" w:rsidRDefault="003C66EB">
            <w:pPr>
              <w:rPr>
                <w:rFonts w:ascii="宋体"/>
                <w:vanish/>
              </w:rPr>
            </w:pPr>
          </w:p>
        </w:tc>
      </w:tr>
    </w:tbl>
    <w:p w14:paraId="5EA1FFBE" w14:textId="77777777" w:rsidR="003C66EB" w:rsidRDefault="00D96C4E">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Primarily comprised of securities guaranteed by the federal government with respect to at least 97% of defaulted principal and accrued interest on the underlying loans.</w:t>
      </w:r>
    </w:p>
    <w:p w14:paraId="5EA1FFBF" w14:textId="77777777" w:rsidR="003C66EB" w:rsidRDefault="00D96C4E">
      <w:pPr>
        <w:spacing w:before="60"/>
        <w:jc w:val="both"/>
        <w:textAlignment w:val="top"/>
      </w:pPr>
      <w:r>
        <w:rPr>
          <w:rFonts w:ascii="Arial" w:eastAsia="宋体" w:hAnsi="Arial" w:cs="Arial"/>
          <w:color w:val="000000"/>
          <w:sz w:val="7"/>
          <w:szCs w:val="7"/>
        </w:rPr>
        <w:t>(2)</w:t>
      </w:r>
      <w:r>
        <w:rPr>
          <w:rFonts w:ascii="Arial" w:eastAsia="宋体" w:hAnsi="Arial" w:cs="Arial"/>
          <w:color w:val="000000"/>
          <w:sz w:val="12"/>
          <w:szCs w:val="12"/>
        </w:rPr>
        <w:t xml:space="preserve"> Consists entirely of non-agency CMBS as of both March 31, 2021 and December 31, 2020.</w:t>
      </w:r>
    </w:p>
    <w:p w14:paraId="5EA1FFC0" w14:textId="77777777" w:rsidR="003C66EB" w:rsidRDefault="00D96C4E">
      <w:pPr>
        <w:spacing w:before="60"/>
        <w:jc w:val="both"/>
        <w:textAlignment w:val="top"/>
      </w:pPr>
      <w:r>
        <w:rPr>
          <w:rFonts w:ascii="Arial" w:eastAsia="宋体" w:hAnsi="Arial" w:cs="Arial"/>
          <w:color w:val="000000"/>
          <w:sz w:val="7"/>
          <w:szCs w:val="7"/>
        </w:rPr>
        <w:t>(3)</w:t>
      </w:r>
      <w:r>
        <w:rPr>
          <w:rFonts w:ascii="Arial" w:eastAsia="宋体" w:hAnsi="Arial" w:cs="Arial"/>
          <w:color w:val="000000"/>
          <w:sz w:val="12"/>
          <w:szCs w:val="12"/>
        </w:rPr>
        <w:t xml:space="preserve"> At March 31, 2021, approximately 25% and 12% of the total available-for-sale securities and held-for-maturity securities, respectively, were floating rate securities</w:t>
      </w:r>
      <w:r>
        <w:rPr>
          <w:rFonts w:ascii="Arial" w:eastAsia="宋体" w:hAnsi="Arial" w:cs="Arial"/>
          <w:color w:val="000000"/>
          <w:sz w:val="12"/>
          <w:szCs w:val="12"/>
        </w:rPr>
        <w:t>. Fixed-to-floating rate securities had a book value of approximately $150 million or 0.14% of the total portfolio.</w:t>
      </w:r>
    </w:p>
    <w:p w14:paraId="5EA1FFC1" w14:textId="77777777" w:rsidR="003C66EB" w:rsidRDefault="00D96C4E">
      <w:pPr>
        <w:spacing w:before="60"/>
        <w:jc w:val="both"/>
        <w:textAlignment w:val="top"/>
      </w:pPr>
      <w:r>
        <w:rPr>
          <w:rFonts w:ascii="Arial" w:eastAsia="宋体" w:hAnsi="Arial" w:cs="Arial"/>
          <w:color w:val="000000"/>
          <w:sz w:val="7"/>
          <w:szCs w:val="7"/>
        </w:rPr>
        <w:t>(4)</w:t>
      </w:r>
      <w:r>
        <w:rPr>
          <w:rFonts w:ascii="Arial" w:eastAsia="宋体" w:hAnsi="Arial" w:cs="Arial"/>
          <w:color w:val="000000"/>
          <w:sz w:val="12"/>
          <w:szCs w:val="12"/>
        </w:rPr>
        <w:t xml:space="preserve"> Includes securities at amortized cost or fair value on the date of transfer from AFS.</w:t>
      </w:r>
    </w:p>
    <w:p w14:paraId="5EA1FFC2" w14:textId="77777777" w:rsidR="003C66EB" w:rsidRDefault="00D96C4E">
      <w:pPr>
        <w:spacing w:before="60"/>
        <w:jc w:val="both"/>
        <w:textAlignment w:val="top"/>
      </w:pPr>
      <w:r>
        <w:rPr>
          <w:rFonts w:ascii="Arial" w:eastAsia="宋体" w:hAnsi="Arial" w:cs="Arial"/>
          <w:color w:val="000000"/>
          <w:sz w:val="7"/>
          <w:szCs w:val="7"/>
        </w:rPr>
        <w:t>(5)</w:t>
      </w:r>
      <w:r>
        <w:rPr>
          <w:rFonts w:ascii="Arial" w:eastAsia="宋体" w:hAnsi="Arial" w:cs="Arial"/>
          <w:color w:val="000000"/>
          <w:sz w:val="12"/>
          <w:szCs w:val="12"/>
        </w:rPr>
        <w:t xml:space="preserve"> As of March 31, 2021 and December 31, 2020, th</w:t>
      </w:r>
      <w:r>
        <w:rPr>
          <w:rFonts w:ascii="Arial" w:eastAsia="宋体" w:hAnsi="Arial" w:cs="Arial"/>
          <w:color w:val="000000"/>
          <w:sz w:val="12"/>
          <w:szCs w:val="12"/>
        </w:rPr>
        <w:t xml:space="preserve">e total amortized cost included $446 million and $464 million, respectively, of non-agency CMBS and $80 million and $90 million of non-agency RMBS, respectively. </w:t>
      </w:r>
    </w:p>
    <w:p w14:paraId="5EA1FFC3" w14:textId="77777777" w:rsidR="003C66EB" w:rsidRDefault="00D96C4E">
      <w:pPr>
        <w:spacing w:before="60"/>
        <w:jc w:val="both"/>
        <w:textAlignment w:val="top"/>
      </w:pPr>
      <w:r>
        <w:rPr>
          <w:rFonts w:ascii="Arial" w:eastAsia="宋体" w:hAnsi="Arial" w:cs="Arial"/>
          <w:color w:val="000000"/>
          <w:sz w:val="7"/>
          <w:szCs w:val="7"/>
        </w:rPr>
        <w:t>(6)</w:t>
      </w:r>
      <w:r>
        <w:rPr>
          <w:rFonts w:ascii="Arial" w:eastAsia="宋体" w:hAnsi="Arial" w:cs="Arial"/>
          <w:color w:val="000000"/>
          <w:sz w:val="12"/>
          <w:szCs w:val="12"/>
        </w:rPr>
        <w:t xml:space="preserve"> As of March 31, 2021, we recognized an allowance for credit losses of $2 million on HTM i</w:t>
      </w:r>
      <w:r>
        <w:rPr>
          <w:rFonts w:ascii="Arial" w:eastAsia="宋体" w:hAnsi="Arial" w:cs="Arial"/>
          <w:color w:val="000000"/>
          <w:sz w:val="12"/>
          <w:szCs w:val="12"/>
        </w:rPr>
        <w:t>nvestment securities.</w:t>
      </w:r>
    </w:p>
    <w:p w14:paraId="5EA1FFC4" w14:textId="77777777" w:rsidR="003C66EB" w:rsidRDefault="00D96C4E">
      <w:pPr>
        <w:spacing w:before="60"/>
        <w:jc w:val="both"/>
        <w:textAlignment w:val="top"/>
      </w:pPr>
      <w:r>
        <w:rPr>
          <w:rFonts w:ascii="Arial" w:eastAsia="宋体" w:hAnsi="Arial" w:cs="Arial"/>
          <w:color w:val="000000"/>
          <w:sz w:val="7"/>
          <w:szCs w:val="7"/>
        </w:rPr>
        <w:t>(7)</w:t>
      </w:r>
      <w:r>
        <w:rPr>
          <w:rFonts w:ascii="Arial" w:eastAsia="宋体" w:hAnsi="Arial" w:cs="Arial"/>
          <w:color w:val="000000"/>
          <w:sz w:val="12"/>
          <w:szCs w:val="12"/>
        </w:rPr>
        <w:t xml:space="preserve"> An immaterial amount of accrued interest related to HTM and AFS investment securities was excluded from the amortized cost basis for the year ended March 31, 2021.</w:t>
      </w:r>
    </w:p>
    <w:p w14:paraId="5EA1FFC5" w14:textId="77777777" w:rsidR="003C66EB" w:rsidRDefault="00D96C4E">
      <w:pPr>
        <w:spacing w:before="60"/>
        <w:jc w:val="both"/>
        <w:textAlignment w:val="top"/>
      </w:pPr>
      <w:r>
        <w:rPr>
          <w:rFonts w:ascii="Arial" w:eastAsia="宋体" w:hAnsi="Arial" w:cs="Arial"/>
          <w:color w:val="000000"/>
          <w:sz w:val="7"/>
          <w:szCs w:val="7"/>
        </w:rPr>
        <w:t>(8)</w:t>
      </w:r>
      <w:r>
        <w:rPr>
          <w:rFonts w:ascii="Arial" w:eastAsia="宋体" w:hAnsi="Arial" w:cs="Arial"/>
          <w:color w:val="000000"/>
          <w:sz w:val="12"/>
          <w:szCs w:val="12"/>
        </w:rPr>
        <w:t xml:space="preserve"> Consists entirely of U.S. securities.</w:t>
      </w:r>
    </w:p>
    <w:p w14:paraId="5EA1FFC6" w14:textId="77777777" w:rsidR="003C66EB" w:rsidRDefault="00D96C4E">
      <w:pPr>
        <w:spacing w:before="60"/>
        <w:ind w:firstLine="450"/>
        <w:jc w:val="both"/>
        <w:textAlignment w:val="top"/>
      </w:pPr>
      <w:r>
        <w:rPr>
          <w:rFonts w:ascii="Arial" w:eastAsia="宋体" w:hAnsi="Arial" w:cs="Arial"/>
          <w:color w:val="000000"/>
          <w:sz w:val="20"/>
          <w:szCs w:val="20"/>
        </w:rPr>
        <w:t>Additional information a</w:t>
      </w:r>
      <w:r>
        <w:rPr>
          <w:rFonts w:ascii="Arial" w:eastAsia="宋体" w:hAnsi="Arial" w:cs="Arial"/>
          <w:color w:val="000000"/>
          <w:sz w:val="20"/>
          <w:szCs w:val="20"/>
        </w:rPr>
        <w:t>bout our investment securities portfolio is provided in Note 3 to the consolidated financial statements in this Form 10-Q.</w:t>
      </w:r>
    </w:p>
    <w:p w14:paraId="5EA1FFC7" w14:textId="77777777" w:rsidR="003C66EB" w:rsidRDefault="00D96C4E">
      <w:pPr>
        <w:spacing w:before="60"/>
        <w:ind w:firstLine="450"/>
        <w:jc w:val="both"/>
        <w:textAlignment w:val="top"/>
      </w:pPr>
      <w:r>
        <w:rPr>
          <w:rFonts w:ascii="Arial" w:eastAsia="宋体" w:hAnsi="Arial" w:cs="Arial"/>
          <w:color w:val="000000"/>
          <w:sz w:val="20"/>
          <w:szCs w:val="20"/>
        </w:rPr>
        <w:t xml:space="preserve">We manage our investment securities portfolio to align with the interest rate and duration characteristics of our client </w:t>
      </w:r>
      <w:r>
        <w:rPr>
          <w:rFonts w:ascii="Arial" w:eastAsia="宋体" w:hAnsi="Arial" w:cs="Arial"/>
          <w:color w:val="000000"/>
          <w:sz w:val="20"/>
          <w:szCs w:val="20"/>
        </w:rPr>
        <w:t>liabilities and in the context of the overall structure of our consolidated statement of condition, in consideration of the global interest rate environment. We consider a well-diversified, high-credit quality investment securities portfolio to be an impor</w:t>
      </w:r>
      <w:r>
        <w:rPr>
          <w:rFonts w:ascii="Arial" w:eastAsia="宋体" w:hAnsi="Arial" w:cs="Arial"/>
          <w:color w:val="000000"/>
          <w:sz w:val="20"/>
          <w:szCs w:val="20"/>
        </w:rPr>
        <w:t>tant element in the management of our consolidated statement of condition.</w:t>
      </w:r>
    </w:p>
    <w:p w14:paraId="5EA1FFC8" w14:textId="77777777" w:rsidR="003C66EB" w:rsidRDefault="00D96C4E">
      <w:pPr>
        <w:spacing w:before="60"/>
        <w:ind w:firstLine="450"/>
        <w:jc w:val="both"/>
        <w:textAlignment w:val="top"/>
      </w:pPr>
      <w:r>
        <w:rPr>
          <w:rFonts w:ascii="Arial" w:eastAsia="宋体" w:hAnsi="Arial" w:cs="Arial"/>
          <w:color w:val="000000"/>
          <w:sz w:val="20"/>
          <w:szCs w:val="20"/>
        </w:rPr>
        <w:t xml:space="preserve">Average duration of our investment securities portfolio was 3.1 years and 3.0 years as of March 31, 2021 and December 31, 2020, respectively. The increase in securities duration is </w:t>
      </w:r>
      <w:r>
        <w:rPr>
          <w:rFonts w:ascii="Arial" w:eastAsia="宋体" w:hAnsi="Arial" w:cs="Arial"/>
          <w:color w:val="000000"/>
          <w:sz w:val="20"/>
          <w:szCs w:val="20"/>
        </w:rPr>
        <w:t>primarily driven by slower prepayment speeds amidst higher long-end interest rates.</w:t>
      </w:r>
    </w:p>
    <w:p w14:paraId="5EA1FFC9" w14:textId="77777777" w:rsidR="003C66EB" w:rsidRDefault="00D96C4E">
      <w:pPr>
        <w:spacing w:before="60"/>
        <w:ind w:firstLine="450"/>
        <w:jc w:val="both"/>
        <w:textAlignment w:val="top"/>
      </w:pPr>
      <w:r>
        <w:rPr>
          <w:rFonts w:ascii="Arial" w:eastAsia="宋体" w:hAnsi="Arial" w:cs="Arial"/>
          <w:color w:val="000000"/>
          <w:sz w:val="20"/>
          <w:szCs w:val="20"/>
        </w:rPr>
        <w:t>Approximately 92% of the carrying value of the portfolio was rated “AAA” or “AA” as of both March 31, 2021 and December 31,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703"/>
        <w:gridCol w:w="38"/>
        <w:gridCol w:w="37"/>
        <w:gridCol w:w="2574"/>
        <w:gridCol w:w="154"/>
        <w:gridCol w:w="36"/>
        <w:gridCol w:w="59"/>
        <w:gridCol w:w="36"/>
        <w:gridCol w:w="37"/>
        <w:gridCol w:w="2469"/>
        <w:gridCol w:w="155"/>
      </w:tblGrid>
      <w:tr w:rsidR="003C66EB" w14:paraId="5EA1FFD6" w14:textId="77777777">
        <w:tc>
          <w:tcPr>
            <w:tcW w:w="50" w:type="pct"/>
            <w:shd w:val="clear" w:color="auto" w:fill="auto"/>
          </w:tcPr>
          <w:p w14:paraId="5EA1FFCA" w14:textId="77777777" w:rsidR="003C66EB" w:rsidRDefault="003C66EB">
            <w:pPr>
              <w:rPr>
                <w:rFonts w:ascii="宋体"/>
              </w:rPr>
            </w:pPr>
          </w:p>
        </w:tc>
        <w:tc>
          <w:tcPr>
            <w:tcW w:w="1658" w:type="pct"/>
            <w:shd w:val="clear" w:color="auto" w:fill="auto"/>
          </w:tcPr>
          <w:p w14:paraId="5EA1FFCB" w14:textId="77777777" w:rsidR="003C66EB" w:rsidRDefault="003C66EB">
            <w:pPr>
              <w:rPr>
                <w:rFonts w:ascii="宋体"/>
              </w:rPr>
            </w:pPr>
          </w:p>
        </w:tc>
        <w:tc>
          <w:tcPr>
            <w:tcW w:w="5" w:type="pct"/>
            <w:shd w:val="clear" w:color="auto" w:fill="auto"/>
          </w:tcPr>
          <w:p w14:paraId="5EA1FFCC" w14:textId="77777777" w:rsidR="003C66EB" w:rsidRDefault="003C66EB">
            <w:pPr>
              <w:rPr>
                <w:rFonts w:ascii="宋体"/>
              </w:rPr>
            </w:pPr>
          </w:p>
        </w:tc>
        <w:tc>
          <w:tcPr>
            <w:tcW w:w="50" w:type="pct"/>
            <w:shd w:val="clear" w:color="auto" w:fill="auto"/>
          </w:tcPr>
          <w:p w14:paraId="5EA1FFCD" w14:textId="77777777" w:rsidR="003C66EB" w:rsidRDefault="003C66EB">
            <w:pPr>
              <w:rPr>
                <w:rFonts w:ascii="宋体"/>
              </w:rPr>
            </w:pPr>
          </w:p>
        </w:tc>
        <w:tc>
          <w:tcPr>
            <w:tcW w:w="1580" w:type="pct"/>
            <w:shd w:val="clear" w:color="auto" w:fill="auto"/>
          </w:tcPr>
          <w:p w14:paraId="5EA1FFCE" w14:textId="77777777" w:rsidR="003C66EB" w:rsidRDefault="003C66EB">
            <w:pPr>
              <w:rPr>
                <w:rFonts w:ascii="宋体"/>
              </w:rPr>
            </w:pPr>
          </w:p>
        </w:tc>
        <w:tc>
          <w:tcPr>
            <w:tcW w:w="5" w:type="pct"/>
            <w:shd w:val="clear" w:color="auto" w:fill="auto"/>
          </w:tcPr>
          <w:p w14:paraId="5EA1FFCF" w14:textId="77777777" w:rsidR="003C66EB" w:rsidRDefault="003C66EB">
            <w:pPr>
              <w:rPr>
                <w:rFonts w:ascii="宋体"/>
              </w:rPr>
            </w:pPr>
          </w:p>
        </w:tc>
        <w:tc>
          <w:tcPr>
            <w:tcW w:w="5" w:type="pct"/>
            <w:shd w:val="clear" w:color="auto" w:fill="auto"/>
          </w:tcPr>
          <w:p w14:paraId="5EA1FFD0" w14:textId="77777777" w:rsidR="003C66EB" w:rsidRDefault="003C66EB">
            <w:pPr>
              <w:rPr>
                <w:rFonts w:ascii="宋体"/>
              </w:rPr>
            </w:pPr>
          </w:p>
        </w:tc>
        <w:tc>
          <w:tcPr>
            <w:tcW w:w="68" w:type="pct"/>
            <w:shd w:val="clear" w:color="auto" w:fill="auto"/>
          </w:tcPr>
          <w:p w14:paraId="5EA1FFD1" w14:textId="77777777" w:rsidR="003C66EB" w:rsidRDefault="003C66EB">
            <w:pPr>
              <w:rPr>
                <w:rFonts w:ascii="宋体"/>
              </w:rPr>
            </w:pPr>
          </w:p>
        </w:tc>
        <w:tc>
          <w:tcPr>
            <w:tcW w:w="5" w:type="pct"/>
            <w:shd w:val="clear" w:color="auto" w:fill="auto"/>
          </w:tcPr>
          <w:p w14:paraId="5EA1FFD2" w14:textId="77777777" w:rsidR="003C66EB" w:rsidRDefault="003C66EB">
            <w:pPr>
              <w:rPr>
                <w:rFonts w:ascii="宋体"/>
              </w:rPr>
            </w:pPr>
          </w:p>
        </w:tc>
        <w:tc>
          <w:tcPr>
            <w:tcW w:w="50" w:type="pct"/>
            <w:shd w:val="clear" w:color="auto" w:fill="auto"/>
          </w:tcPr>
          <w:p w14:paraId="5EA1FFD3" w14:textId="77777777" w:rsidR="003C66EB" w:rsidRDefault="003C66EB">
            <w:pPr>
              <w:rPr>
                <w:rFonts w:ascii="宋体"/>
              </w:rPr>
            </w:pPr>
          </w:p>
        </w:tc>
        <w:tc>
          <w:tcPr>
            <w:tcW w:w="1517" w:type="pct"/>
            <w:shd w:val="clear" w:color="auto" w:fill="auto"/>
          </w:tcPr>
          <w:p w14:paraId="5EA1FFD4" w14:textId="77777777" w:rsidR="003C66EB" w:rsidRDefault="003C66EB">
            <w:pPr>
              <w:rPr>
                <w:rFonts w:ascii="宋体"/>
              </w:rPr>
            </w:pPr>
          </w:p>
        </w:tc>
        <w:tc>
          <w:tcPr>
            <w:tcW w:w="5" w:type="pct"/>
            <w:shd w:val="clear" w:color="auto" w:fill="auto"/>
          </w:tcPr>
          <w:p w14:paraId="5EA1FFD5" w14:textId="77777777" w:rsidR="003C66EB" w:rsidRDefault="003C66EB">
            <w:pPr>
              <w:rPr>
                <w:rFonts w:ascii="宋体"/>
              </w:rPr>
            </w:pPr>
          </w:p>
        </w:tc>
      </w:tr>
      <w:tr w:rsidR="003C66EB" w14:paraId="5EA1FFD8" w14:textId="77777777">
        <w:tc>
          <w:tcPr>
            <w:tcW w:w="0" w:type="auto"/>
            <w:gridSpan w:val="12"/>
            <w:shd w:val="clear" w:color="auto" w:fill="auto"/>
            <w:tcMar>
              <w:top w:w="40" w:type="dxa"/>
              <w:left w:w="20" w:type="dxa"/>
              <w:bottom w:w="40" w:type="dxa"/>
              <w:right w:w="20" w:type="dxa"/>
            </w:tcMar>
            <w:vAlign w:val="bottom"/>
          </w:tcPr>
          <w:p w14:paraId="5EA1FFD7" w14:textId="77777777" w:rsidR="003C66EB" w:rsidRDefault="00D96C4E">
            <w:pPr>
              <w:textAlignment w:val="bottom"/>
            </w:pPr>
            <w:r>
              <w:rPr>
                <w:rFonts w:ascii="Arial" w:eastAsia="宋体" w:hAnsi="Arial" w:cs="Arial"/>
                <w:b/>
                <w:bCs/>
                <w:color w:val="000000"/>
                <w:sz w:val="16"/>
                <w:szCs w:val="16"/>
              </w:rPr>
              <w:t xml:space="preserve">TABLE 21: </w:t>
            </w:r>
            <w:r>
              <w:rPr>
                <w:rFonts w:ascii="Arial" w:eastAsia="宋体" w:hAnsi="Arial" w:cs="Arial"/>
                <w:b/>
                <w:bCs/>
                <w:color w:val="000000"/>
                <w:sz w:val="16"/>
                <w:szCs w:val="16"/>
              </w:rPr>
              <w:t>INVESTMENT PORTFOLIO BY EXTERNAL CREDIT RATING (EXCLUDING SECURITIES PURCHASED UNDER THE</w:t>
            </w:r>
            <w:r>
              <w:rPr>
                <w:rFonts w:ascii="Arial" w:eastAsia="宋体" w:hAnsi="Arial" w:cs="Arial"/>
                <w:b/>
                <w:bCs/>
                <w:color w:val="000000"/>
                <w:sz w:val="16"/>
                <w:szCs w:val="16"/>
              </w:rPr>
              <w:br/>
              <w:t>MMLF PROGRAM)</w:t>
            </w:r>
          </w:p>
        </w:tc>
      </w:tr>
      <w:tr w:rsidR="003C66EB" w14:paraId="5EA1FFDD" w14:textId="77777777">
        <w:tc>
          <w:tcPr>
            <w:tcW w:w="0" w:type="auto"/>
            <w:gridSpan w:val="3"/>
            <w:shd w:val="clear" w:color="auto" w:fill="auto"/>
            <w:tcMar>
              <w:top w:w="0" w:type="dxa"/>
              <w:left w:w="20" w:type="dxa"/>
              <w:bottom w:w="0" w:type="dxa"/>
              <w:right w:w="20" w:type="dxa"/>
            </w:tcMar>
          </w:tcPr>
          <w:p w14:paraId="5EA1FFD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FDA"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1FFD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1FFDC"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1FFE4" w14:textId="77777777">
        <w:tc>
          <w:tcPr>
            <w:tcW w:w="0" w:type="auto"/>
            <w:gridSpan w:val="3"/>
            <w:shd w:val="clear" w:color="auto" w:fill="CCEEFF"/>
            <w:tcMar>
              <w:top w:w="40" w:type="dxa"/>
              <w:left w:w="20" w:type="dxa"/>
              <w:bottom w:w="40" w:type="dxa"/>
              <w:right w:w="20" w:type="dxa"/>
            </w:tcMar>
            <w:vAlign w:val="bottom"/>
          </w:tcPr>
          <w:p w14:paraId="5EA1FFDE" w14:textId="77777777" w:rsidR="003C66EB" w:rsidRDefault="00D96C4E">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FDF" w14:textId="77777777" w:rsidR="003C66EB" w:rsidRDefault="00D96C4E">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FE0"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1FFE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1FFE2" w14:textId="77777777" w:rsidR="003C66EB" w:rsidRDefault="00D96C4E">
            <w:pPr>
              <w:jc w:val="right"/>
              <w:textAlignment w:val="bottom"/>
            </w:pPr>
            <w:r>
              <w:rPr>
                <w:rFonts w:ascii="Arial" w:eastAsia="宋体" w:hAnsi="Arial" w:cs="Arial"/>
                <w:color w:val="000000"/>
                <w:sz w:val="15"/>
                <w:szCs w:val="15"/>
              </w:rPr>
              <w:t>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1FFE3" w14:textId="77777777" w:rsidR="003C66EB" w:rsidRDefault="00D96C4E">
            <w:pPr>
              <w:jc w:val="right"/>
              <w:textAlignment w:val="bottom"/>
            </w:pPr>
            <w:r>
              <w:rPr>
                <w:rFonts w:ascii="Arial" w:eastAsia="宋体" w:hAnsi="Arial" w:cs="Arial"/>
                <w:color w:val="000000"/>
                <w:sz w:val="15"/>
                <w:szCs w:val="15"/>
              </w:rPr>
              <w:t>%</w:t>
            </w:r>
          </w:p>
        </w:tc>
      </w:tr>
      <w:tr w:rsidR="003C66EB" w14:paraId="5EA1FFEB" w14:textId="77777777">
        <w:tc>
          <w:tcPr>
            <w:tcW w:w="0" w:type="auto"/>
            <w:gridSpan w:val="3"/>
            <w:shd w:val="clear" w:color="auto" w:fill="FFFFFF"/>
            <w:tcMar>
              <w:top w:w="40" w:type="dxa"/>
              <w:left w:w="20" w:type="dxa"/>
              <w:bottom w:w="40" w:type="dxa"/>
              <w:right w:w="20" w:type="dxa"/>
            </w:tcMar>
            <w:vAlign w:val="bottom"/>
          </w:tcPr>
          <w:p w14:paraId="5EA1FFE5" w14:textId="77777777" w:rsidR="003C66EB" w:rsidRDefault="00D96C4E">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5EA1FFE6" w14:textId="77777777" w:rsidR="003C66EB" w:rsidRDefault="00D96C4E">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FE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FE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FE9" w14:textId="77777777" w:rsidR="003C66EB" w:rsidRDefault="00D96C4E">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5EA1FFEA" w14:textId="77777777" w:rsidR="003C66EB" w:rsidRDefault="003C66EB">
            <w:pPr>
              <w:jc w:val="right"/>
              <w:rPr>
                <w:rFonts w:ascii="宋体"/>
              </w:rPr>
            </w:pPr>
          </w:p>
        </w:tc>
      </w:tr>
      <w:tr w:rsidR="003C66EB" w14:paraId="5EA1FFF2" w14:textId="77777777">
        <w:tc>
          <w:tcPr>
            <w:tcW w:w="0" w:type="auto"/>
            <w:gridSpan w:val="3"/>
            <w:shd w:val="clear" w:color="auto" w:fill="CCEEFF"/>
            <w:tcMar>
              <w:top w:w="40" w:type="dxa"/>
              <w:left w:w="20" w:type="dxa"/>
              <w:bottom w:w="40" w:type="dxa"/>
              <w:right w:w="20" w:type="dxa"/>
            </w:tcMar>
            <w:vAlign w:val="bottom"/>
          </w:tcPr>
          <w:p w14:paraId="5EA1FFEC" w14:textId="77777777" w:rsidR="003C66EB" w:rsidRDefault="00D96C4E">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5EA1FFED" w14:textId="77777777" w:rsidR="003C66EB" w:rsidRDefault="00D96C4E">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1FFE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1FFE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1FFF0"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A1FFF1" w14:textId="77777777" w:rsidR="003C66EB" w:rsidRDefault="003C66EB">
            <w:pPr>
              <w:jc w:val="right"/>
              <w:rPr>
                <w:rFonts w:ascii="宋体"/>
              </w:rPr>
            </w:pPr>
          </w:p>
        </w:tc>
      </w:tr>
      <w:tr w:rsidR="003C66EB" w14:paraId="5EA1FFF9" w14:textId="77777777">
        <w:tc>
          <w:tcPr>
            <w:tcW w:w="0" w:type="auto"/>
            <w:gridSpan w:val="3"/>
            <w:shd w:val="clear" w:color="auto" w:fill="FFFFFF"/>
            <w:tcMar>
              <w:top w:w="40" w:type="dxa"/>
              <w:left w:w="20" w:type="dxa"/>
              <w:bottom w:w="40" w:type="dxa"/>
              <w:right w:w="20" w:type="dxa"/>
            </w:tcMar>
            <w:vAlign w:val="bottom"/>
          </w:tcPr>
          <w:p w14:paraId="5EA1FFF3" w14:textId="77777777" w:rsidR="003C66EB" w:rsidRDefault="00D96C4E">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5EA1FFF4" w14:textId="77777777" w:rsidR="003C66EB" w:rsidRDefault="00D96C4E">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1FF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1FFF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1FFF7"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A1FFF8" w14:textId="77777777" w:rsidR="003C66EB" w:rsidRDefault="003C66EB">
            <w:pPr>
              <w:jc w:val="right"/>
              <w:rPr>
                <w:rFonts w:ascii="宋体"/>
              </w:rPr>
            </w:pPr>
          </w:p>
        </w:tc>
      </w:tr>
      <w:tr w:rsidR="003C66EB" w14:paraId="5EA1FFFE" w14:textId="77777777">
        <w:trPr>
          <w:hidden/>
        </w:trPr>
        <w:tc>
          <w:tcPr>
            <w:tcW w:w="0" w:type="auto"/>
            <w:gridSpan w:val="3"/>
            <w:shd w:val="clear" w:color="auto" w:fill="auto"/>
          </w:tcPr>
          <w:p w14:paraId="5EA1FFFA" w14:textId="77777777" w:rsidR="003C66EB" w:rsidRDefault="003C66EB">
            <w:pPr>
              <w:rPr>
                <w:rFonts w:ascii="宋体"/>
                <w:vanish/>
              </w:rPr>
            </w:pPr>
          </w:p>
        </w:tc>
        <w:tc>
          <w:tcPr>
            <w:tcW w:w="0" w:type="auto"/>
            <w:gridSpan w:val="3"/>
            <w:shd w:val="clear" w:color="auto" w:fill="auto"/>
          </w:tcPr>
          <w:p w14:paraId="5EA1FFFB" w14:textId="77777777" w:rsidR="003C66EB" w:rsidRDefault="003C66EB">
            <w:pPr>
              <w:rPr>
                <w:rFonts w:ascii="宋体"/>
                <w:vanish/>
              </w:rPr>
            </w:pPr>
          </w:p>
        </w:tc>
        <w:tc>
          <w:tcPr>
            <w:tcW w:w="0" w:type="auto"/>
            <w:gridSpan w:val="3"/>
            <w:shd w:val="clear" w:color="auto" w:fill="auto"/>
          </w:tcPr>
          <w:p w14:paraId="5EA1FFFC" w14:textId="77777777" w:rsidR="003C66EB" w:rsidRDefault="003C66EB">
            <w:pPr>
              <w:rPr>
                <w:rFonts w:ascii="宋体"/>
                <w:vanish/>
              </w:rPr>
            </w:pPr>
          </w:p>
        </w:tc>
        <w:tc>
          <w:tcPr>
            <w:tcW w:w="0" w:type="auto"/>
            <w:gridSpan w:val="3"/>
            <w:shd w:val="clear" w:color="auto" w:fill="auto"/>
          </w:tcPr>
          <w:p w14:paraId="5EA1FFFD" w14:textId="77777777" w:rsidR="003C66EB" w:rsidRDefault="003C66EB">
            <w:pPr>
              <w:rPr>
                <w:rFonts w:ascii="宋体"/>
                <w:vanish/>
              </w:rPr>
            </w:pPr>
          </w:p>
        </w:tc>
      </w:tr>
      <w:tr w:rsidR="003C66EB" w14:paraId="5EA20005" w14:textId="77777777">
        <w:tc>
          <w:tcPr>
            <w:tcW w:w="0" w:type="auto"/>
            <w:gridSpan w:val="3"/>
            <w:shd w:val="clear" w:color="auto" w:fill="CCEEFF"/>
            <w:tcMar>
              <w:top w:w="0" w:type="dxa"/>
              <w:left w:w="20" w:type="dxa"/>
              <w:bottom w:w="0" w:type="dxa"/>
              <w:right w:w="20" w:type="dxa"/>
            </w:tcMar>
          </w:tcPr>
          <w:p w14:paraId="5EA1FFFF"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000" w14:textId="77777777" w:rsidR="003C66EB" w:rsidRDefault="00D96C4E">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001"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20002"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003" w14:textId="77777777" w:rsidR="003C66EB" w:rsidRDefault="00D96C4E">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004" w14:textId="77777777" w:rsidR="003C66EB" w:rsidRDefault="00D96C4E">
            <w:pPr>
              <w:jc w:val="right"/>
              <w:textAlignment w:val="bottom"/>
            </w:pPr>
            <w:r>
              <w:rPr>
                <w:rFonts w:ascii="Arial" w:eastAsia="宋体" w:hAnsi="Arial" w:cs="Arial"/>
                <w:color w:val="000000"/>
                <w:sz w:val="15"/>
                <w:szCs w:val="15"/>
              </w:rPr>
              <w:t>%</w:t>
            </w:r>
          </w:p>
        </w:tc>
      </w:tr>
    </w:tbl>
    <w:p w14:paraId="5EA20006"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1"/>
        <w:gridCol w:w="36"/>
        <w:gridCol w:w="69"/>
        <w:gridCol w:w="1526"/>
        <w:gridCol w:w="36"/>
        <w:gridCol w:w="69"/>
        <w:gridCol w:w="2512"/>
        <w:gridCol w:w="36"/>
        <w:gridCol w:w="36"/>
        <w:gridCol w:w="36"/>
      </w:tblGrid>
      <w:tr w:rsidR="003C66EB" w14:paraId="5EA20012" w14:textId="77777777">
        <w:tc>
          <w:tcPr>
            <w:tcW w:w="50" w:type="pct"/>
            <w:shd w:val="clear" w:color="auto" w:fill="auto"/>
          </w:tcPr>
          <w:p w14:paraId="5EA20007" w14:textId="77777777" w:rsidR="003C66EB" w:rsidRDefault="003C66EB">
            <w:pPr>
              <w:rPr>
                <w:rFonts w:ascii="宋体"/>
              </w:rPr>
            </w:pPr>
          </w:p>
        </w:tc>
        <w:tc>
          <w:tcPr>
            <w:tcW w:w="2374" w:type="pct"/>
            <w:shd w:val="clear" w:color="auto" w:fill="auto"/>
          </w:tcPr>
          <w:p w14:paraId="5EA20008" w14:textId="77777777" w:rsidR="003C66EB" w:rsidRDefault="003C66EB">
            <w:pPr>
              <w:rPr>
                <w:rFonts w:ascii="宋体"/>
              </w:rPr>
            </w:pPr>
          </w:p>
        </w:tc>
        <w:tc>
          <w:tcPr>
            <w:tcW w:w="5" w:type="pct"/>
            <w:shd w:val="clear" w:color="auto" w:fill="auto"/>
          </w:tcPr>
          <w:p w14:paraId="5EA20009" w14:textId="77777777" w:rsidR="003C66EB" w:rsidRDefault="003C66EB">
            <w:pPr>
              <w:rPr>
                <w:rFonts w:ascii="宋体"/>
              </w:rPr>
            </w:pPr>
          </w:p>
        </w:tc>
        <w:tc>
          <w:tcPr>
            <w:tcW w:w="50" w:type="pct"/>
            <w:shd w:val="clear" w:color="auto" w:fill="auto"/>
          </w:tcPr>
          <w:p w14:paraId="5EA2000A" w14:textId="77777777" w:rsidR="003C66EB" w:rsidRDefault="003C66EB">
            <w:pPr>
              <w:rPr>
                <w:rFonts w:ascii="宋体"/>
              </w:rPr>
            </w:pPr>
          </w:p>
        </w:tc>
        <w:tc>
          <w:tcPr>
            <w:tcW w:w="932" w:type="pct"/>
            <w:shd w:val="clear" w:color="auto" w:fill="auto"/>
          </w:tcPr>
          <w:p w14:paraId="5EA2000B" w14:textId="77777777" w:rsidR="003C66EB" w:rsidRDefault="003C66EB">
            <w:pPr>
              <w:rPr>
                <w:rFonts w:ascii="宋体"/>
              </w:rPr>
            </w:pPr>
          </w:p>
        </w:tc>
        <w:tc>
          <w:tcPr>
            <w:tcW w:w="5" w:type="pct"/>
            <w:shd w:val="clear" w:color="auto" w:fill="auto"/>
          </w:tcPr>
          <w:p w14:paraId="5EA2000C" w14:textId="77777777" w:rsidR="003C66EB" w:rsidRDefault="003C66EB">
            <w:pPr>
              <w:rPr>
                <w:rFonts w:ascii="宋体"/>
              </w:rPr>
            </w:pPr>
          </w:p>
        </w:tc>
        <w:tc>
          <w:tcPr>
            <w:tcW w:w="50" w:type="pct"/>
            <w:shd w:val="clear" w:color="auto" w:fill="auto"/>
          </w:tcPr>
          <w:p w14:paraId="5EA2000D" w14:textId="77777777" w:rsidR="003C66EB" w:rsidRDefault="003C66EB">
            <w:pPr>
              <w:rPr>
                <w:rFonts w:ascii="宋体"/>
              </w:rPr>
            </w:pPr>
          </w:p>
        </w:tc>
        <w:tc>
          <w:tcPr>
            <w:tcW w:w="1528" w:type="pct"/>
            <w:shd w:val="clear" w:color="auto" w:fill="auto"/>
          </w:tcPr>
          <w:p w14:paraId="5EA2000E" w14:textId="77777777" w:rsidR="003C66EB" w:rsidRDefault="003C66EB">
            <w:pPr>
              <w:rPr>
                <w:rFonts w:ascii="宋体"/>
              </w:rPr>
            </w:pPr>
          </w:p>
        </w:tc>
        <w:tc>
          <w:tcPr>
            <w:tcW w:w="5" w:type="pct"/>
            <w:shd w:val="clear" w:color="auto" w:fill="auto"/>
          </w:tcPr>
          <w:p w14:paraId="5EA2000F" w14:textId="77777777" w:rsidR="003C66EB" w:rsidRDefault="003C66EB">
            <w:pPr>
              <w:rPr>
                <w:rFonts w:ascii="宋体"/>
              </w:rPr>
            </w:pPr>
          </w:p>
        </w:tc>
        <w:tc>
          <w:tcPr>
            <w:tcW w:w="0" w:type="auto"/>
            <w:shd w:val="clear" w:color="auto" w:fill="auto"/>
          </w:tcPr>
          <w:p w14:paraId="5EA20010" w14:textId="77777777" w:rsidR="003C66EB" w:rsidRDefault="003C66EB">
            <w:pPr>
              <w:rPr>
                <w:rFonts w:ascii="宋体"/>
                <w:vanish/>
              </w:rPr>
            </w:pPr>
          </w:p>
        </w:tc>
        <w:tc>
          <w:tcPr>
            <w:tcW w:w="0" w:type="auto"/>
            <w:shd w:val="clear" w:color="auto" w:fill="auto"/>
          </w:tcPr>
          <w:p w14:paraId="5EA20011" w14:textId="77777777" w:rsidR="003C66EB" w:rsidRDefault="003C66EB">
            <w:pPr>
              <w:rPr>
                <w:rFonts w:ascii="宋体"/>
                <w:vanish/>
              </w:rPr>
            </w:pPr>
          </w:p>
        </w:tc>
      </w:tr>
      <w:tr w:rsidR="003C66EB" w14:paraId="5EA2001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01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01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015" w14:textId="77777777" w:rsidR="003C66EB" w:rsidRDefault="003C66EB">
            <w:pPr>
              <w:rPr>
                <w:rFonts w:ascii="宋体"/>
              </w:rPr>
            </w:pPr>
          </w:p>
        </w:tc>
        <w:tc>
          <w:tcPr>
            <w:tcW w:w="0" w:type="auto"/>
            <w:shd w:val="clear" w:color="auto" w:fill="auto"/>
          </w:tcPr>
          <w:p w14:paraId="5EA20016" w14:textId="77777777" w:rsidR="003C66EB" w:rsidRDefault="003C66EB">
            <w:pPr>
              <w:rPr>
                <w:rFonts w:ascii="宋体"/>
                <w:vanish/>
              </w:rPr>
            </w:pPr>
          </w:p>
        </w:tc>
        <w:tc>
          <w:tcPr>
            <w:tcW w:w="0" w:type="auto"/>
            <w:shd w:val="clear" w:color="auto" w:fill="auto"/>
          </w:tcPr>
          <w:p w14:paraId="5EA20017" w14:textId="77777777" w:rsidR="003C66EB" w:rsidRDefault="003C66EB">
            <w:pPr>
              <w:rPr>
                <w:rFonts w:ascii="宋体"/>
                <w:vanish/>
              </w:rPr>
            </w:pPr>
          </w:p>
        </w:tc>
      </w:tr>
    </w:tbl>
    <w:p w14:paraId="5EA20019" w14:textId="77777777" w:rsidR="003C66EB" w:rsidRDefault="00D96C4E">
      <w:pPr>
        <w:spacing w:before="2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Includes U.S. Treasury and federal agency securities that are split-rated, “AAA” by Moody’s Investors Service and “AA+” by Standard &amp; Poor’s and also includes Agency MBS securities which are not explicitly rated but which have an explicit or assumed guaran</w:t>
      </w:r>
      <w:r>
        <w:rPr>
          <w:rFonts w:ascii="Arial" w:eastAsia="宋体" w:hAnsi="Arial" w:cs="Arial"/>
          <w:color w:val="000000"/>
          <w:sz w:val="14"/>
          <w:szCs w:val="14"/>
        </w:rPr>
        <w:t>tee from the U.S. government.</w:t>
      </w:r>
    </w:p>
    <w:p w14:paraId="5EA2001A" w14:textId="77777777" w:rsidR="003C66EB" w:rsidRDefault="00D96C4E">
      <w:pPr>
        <w:spacing w:before="60"/>
        <w:ind w:firstLine="450"/>
        <w:jc w:val="both"/>
        <w:textAlignment w:val="top"/>
      </w:pPr>
      <w:r>
        <w:rPr>
          <w:rFonts w:ascii="Arial" w:eastAsia="宋体" w:hAnsi="Arial" w:cs="Arial"/>
          <w:color w:val="000000"/>
          <w:sz w:val="20"/>
          <w:szCs w:val="20"/>
        </w:rPr>
        <w:t>As of March 31, 2021 and December 31, 2020, the investment portfolio was diversified with respect to asset class composition. The following table presents the composition of these asset classes.</w:t>
      </w:r>
    </w:p>
    <w:tbl>
      <w:tblPr>
        <w:tblW w:w="4969" w:type="pct"/>
        <w:tblCellMar>
          <w:top w:w="15" w:type="dxa"/>
          <w:left w:w="15" w:type="dxa"/>
          <w:bottom w:w="15" w:type="dxa"/>
          <w:right w:w="15" w:type="dxa"/>
        </w:tblCellMar>
        <w:tblLook w:val="04A0" w:firstRow="1" w:lastRow="0" w:firstColumn="1" w:lastColumn="0" w:noHBand="0" w:noVBand="1"/>
      </w:tblPr>
      <w:tblGrid>
        <w:gridCol w:w="38"/>
        <w:gridCol w:w="2702"/>
        <w:gridCol w:w="37"/>
        <w:gridCol w:w="37"/>
        <w:gridCol w:w="2494"/>
        <w:gridCol w:w="155"/>
        <w:gridCol w:w="36"/>
        <w:gridCol w:w="61"/>
        <w:gridCol w:w="36"/>
        <w:gridCol w:w="37"/>
        <w:gridCol w:w="2496"/>
        <w:gridCol w:w="155"/>
      </w:tblGrid>
      <w:tr w:rsidR="003C66EB" w14:paraId="5EA20027" w14:textId="77777777">
        <w:tc>
          <w:tcPr>
            <w:tcW w:w="50" w:type="pct"/>
            <w:shd w:val="clear" w:color="auto" w:fill="auto"/>
          </w:tcPr>
          <w:p w14:paraId="5EA2001B" w14:textId="77777777" w:rsidR="003C66EB" w:rsidRDefault="003C66EB">
            <w:pPr>
              <w:rPr>
                <w:rFonts w:ascii="宋体"/>
              </w:rPr>
            </w:pPr>
          </w:p>
        </w:tc>
        <w:tc>
          <w:tcPr>
            <w:tcW w:w="1669" w:type="pct"/>
            <w:shd w:val="clear" w:color="auto" w:fill="auto"/>
          </w:tcPr>
          <w:p w14:paraId="5EA2001C" w14:textId="77777777" w:rsidR="003C66EB" w:rsidRDefault="003C66EB">
            <w:pPr>
              <w:rPr>
                <w:rFonts w:ascii="宋体"/>
              </w:rPr>
            </w:pPr>
          </w:p>
        </w:tc>
        <w:tc>
          <w:tcPr>
            <w:tcW w:w="5" w:type="pct"/>
            <w:shd w:val="clear" w:color="auto" w:fill="auto"/>
          </w:tcPr>
          <w:p w14:paraId="5EA2001D" w14:textId="77777777" w:rsidR="003C66EB" w:rsidRDefault="003C66EB">
            <w:pPr>
              <w:rPr>
                <w:rFonts w:ascii="宋体"/>
              </w:rPr>
            </w:pPr>
          </w:p>
        </w:tc>
        <w:tc>
          <w:tcPr>
            <w:tcW w:w="50" w:type="pct"/>
            <w:shd w:val="clear" w:color="auto" w:fill="auto"/>
          </w:tcPr>
          <w:p w14:paraId="5EA2001E" w14:textId="77777777" w:rsidR="003C66EB" w:rsidRDefault="003C66EB">
            <w:pPr>
              <w:rPr>
                <w:rFonts w:ascii="宋体"/>
              </w:rPr>
            </w:pPr>
          </w:p>
        </w:tc>
        <w:tc>
          <w:tcPr>
            <w:tcW w:w="1543" w:type="pct"/>
            <w:shd w:val="clear" w:color="auto" w:fill="auto"/>
          </w:tcPr>
          <w:p w14:paraId="5EA2001F" w14:textId="77777777" w:rsidR="003C66EB" w:rsidRDefault="003C66EB">
            <w:pPr>
              <w:rPr>
                <w:rFonts w:ascii="宋体"/>
              </w:rPr>
            </w:pPr>
          </w:p>
        </w:tc>
        <w:tc>
          <w:tcPr>
            <w:tcW w:w="5" w:type="pct"/>
            <w:shd w:val="clear" w:color="auto" w:fill="auto"/>
          </w:tcPr>
          <w:p w14:paraId="5EA20020" w14:textId="77777777" w:rsidR="003C66EB" w:rsidRDefault="003C66EB">
            <w:pPr>
              <w:rPr>
                <w:rFonts w:ascii="宋体"/>
              </w:rPr>
            </w:pPr>
          </w:p>
        </w:tc>
        <w:tc>
          <w:tcPr>
            <w:tcW w:w="5" w:type="pct"/>
            <w:shd w:val="clear" w:color="auto" w:fill="auto"/>
          </w:tcPr>
          <w:p w14:paraId="5EA20021" w14:textId="77777777" w:rsidR="003C66EB" w:rsidRDefault="003C66EB">
            <w:pPr>
              <w:rPr>
                <w:rFonts w:ascii="宋体"/>
              </w:rPr>
            </w:pPr>
          </w:p>
        </w:tc>
        <w:tc>
          <w:tcPr>
            <w:tcW w:w="69" w:type="pct"/>
            <w:shd w:val="clear" w:color="auto" w:fill="auto"/>
          </w:tcPr>
          <w:p w14:paraId="5EA20022" w14:textId="77777777" w:rsidR="003C66EB" w:rsidRDefault="003C66EB">
            <w:pPr>
              <w:rPr>
                <w:rFonts w:ascii="宋体"/>
              </w:rPr>
            </w:pPr>
          </w:p>
        </w:tc>
        <w:tc>
          <w:tcPr>
            <w:tcW w:w="5" w:type="pct"/>
            <w:shd w:val="clear" w:color="auto" w:fill="auto"/>
          </w:tcPr>
          <w:p w14:paraId="5EA20023" w14:textId="77777777" w:rsidR="003C66EB" w:rsidRDefault="003C66EB">
            <w:pPr>
              <w:rPr>
                <w:rFonts w:ascii="宋体"/>
              </w:rPr>
            </w:pPr>
          </w:p>
        </w:tc>
        <w:tc>
          <w:tcPr>
            <w:tcW w:w="50" w:type="pct"/>
            <w:shd w:val="clear" w:color="auto" w:fill="auto"/>
          </w:tcPr>
          <w:p w14:paraId="5EA20024" w14:textId="77777777" w:rsidR="003C66EB" w:rsidRDefault="003C66EB">
            <w:pPr>
              <w:rPr>
                <w:rFonts w:ascii="宋体"/>
              </w:rPr>
            </w:pPr>
          </w:p>
        </w:tc>
        <w:tc>
          <w:tcPr>
            <w:tcW w:w="1543" w:type="pct"/>
            <w:shd w:val="clear" w:color="auto" w:fill="auto"/>
          </w:tcPr>
          <w:p w14:paraId="5EA20025" w14:textId="77777777" w:rsidR="003C66EB" w:rsidRDefault="003C66EB">
            <w:pPr>
              <w:rPr>
                <w:rFonts w:ascii="宋体"/>
              </w:rPr>
            </w:pPr>
          </w:p>
        </w:tc>
        <w:tc>
          <w:tcPr>
            <w:tcW w:w="5" w:type="pct"/>
            <w:shd w:val="clear" w:color="auto" w:fill="auto"/>
          </w:tcPr>
          <w:p w14:paraId="5EA20026" w14:textId="77777777" w:rsidR="003C66EB" w:rsidRDefault="003C66EB">
            <w:pPr>
              <w:rPr>
                <w:rFonts w:ascii="宋体"/>
              </w:rPr>
            </w:pPr>
          </w:p>
        </w:tc>
      </w:tr>
      <w:tr w:rsidR="003C66EB" w14:paraId="5EA20029" w14:textId="77777777">
        <w:tc>
          <w:tcPr>
            <w:tcW w:w="0" w:type="auto"/>
            <w:gridSpan w:val="12"/>
            <w:shd w:val="clear" w:color="auto" w:fill="auto"/>
            <w:tcMar>
              <w:top w:w="40" w:type="dxa"/>
              <w:left w:w="20" w:type="dxa"/>
              <w:bottom w:w="40" w:type="dxa"/>
              <w:right w:w="20" w:type="dxa"/>
            </w:tcMar>
            <w:vAlign w:val="bottom"/>
          </w:tcPr>
          <w:p w14:paraId="5EA20028" w14:textId="77777777" w:rsidR="003C66EB" w:rsidRDefault="00D96C4E">
            <w:pPr>
              <w:textAlignment w:val="bottom"/>
            </w:pPr>
            <w:r>
              <w:rPr>
                <w:rFonts w:ascii="Arial" w:eastAsia="宋体" w:hAnsi="Arial" w:cs="Arial"/>
                <w:b/>
                <w:bCs/>
                <w:color w:val="000000"/>
                <w:sz w:val="16"/>
                <w:szCs w:val="16"/>
              </w:rPr>
              <w:t xml:space="preserve">TABLE 22: </w:t>
            </w:r>
            <w:r>
              <w:rPr>
                <w:rFonts w:ascii="Arial" w:eastAsia="宋体" w:hAnsi="Arial" w:cs="Arial"/>
                <w:b/>
                <w:bCs/>
                <w:color w:val="000000"/>
                <w:sz w:val="16"/>
                <w:szCs w:val="16"/>
              </w:rPr>
              <w:t>INVESTMENT PORTFOLIO BY ASSET CLASS</w:t>
            </w:r>
          </w:p>
        </w:tc>
      </w:tr>
      <w:tr w:rsidR="003C66EB" w14:paraId="5EA2002E" w14:textId="77777777">
        <w:tc>
          <w:tcPr>
            <w:tcW w:w="0" w:type="auto"/>
            <w:gridSpan w:val="3"/>
            <w:shd w:val="clear" w:color="auto" w:fill="auto"/>
            <w:tcMar>
              <w:top w:w="0" w:type="dxa"/>
              <w:left w:w="20" w:type="dxa"/>
              <w:bottom w:w="0" w:type="dxa"/>
              <w:right w:w="20" w:type="dxa"/>
            </w:tcMar>
          </w:tcPr>
          <w:p w14:paraId="5EA2002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02B"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002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02D"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0035" w14:textId="77777777">
        <w:tc>
          <w:tcPr>
            <w:tcW w:w="0" w:type="auto"/>
            <w:gridSpan w:val="3"/>
            <w:shd w:val="clear" w:color="auto" w:fill="CCEEFF"/>
            <w:tcMar>
              <w:top w:w="40" w:type="dxa"/>
              <w:left w:w="20" w:type="dxa"/>
              <w:bottom w:w="40" w:type="dxa"/>
              <w:right w:w="20" w:type="dxa"/>
            </w:tcMar>
            <w:vAlign w:val="center"/>
          </w:tcPr>
          <w:p w14:paraId="5EA2002F" w14:textId="77777777" w:rsidR="003C66EB" w:rsidRDefault="00D96C4E">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0030" w14:textId="77777777" w:rsidR="003C66EB" w:rsidRDefault="00D96C4E">
            <w:pPr>
              <w:jc w:val="right"/>
              <w:textAlignment w:val="center"/>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0031" w14:textId="77777777" w:rsidR="003C66EB" w:rsidRDefault="00D96C4E">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2003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0033" w14:textId="77777777" w:rsidR="003C66EB" w:rsidRDefault="00D96C4E">
            <w:pPr>
              <w:jc w:val="right"/>
              <w:textAlignment w:val="center"/>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0034" w14:textId="77777777" w:rsidR="003C66EB" w:rsidRDefault="00D96C4E">
            <w:pPr>
              <w:jc w:val="right"/>
              <w:textAlignment w:val="center"/>
            </w:pPr>
            <w:r>
              <w:rPr>
                <w:rFonts w:ascii="Arial" w:eastAsia="宋体" w:hAnsi="Arial" w:cs="Arial"/>
                <w:color w:val="000000"/>
                <w:sz w:val="15"/>
                <w:szCs w:val="15"/>
              </w:rPr>
              <w:t>%</w:t>
            </w:r>
          </w:p>
        </w:tc>
      </w:tr>
      <w:tr w:rsidR="003C66EB" w14:paraId="5EA2003C" w14:textId="77777777">
        <w:tc>
          <w:tcPr>
            <w:tcW w:w="0" w:type="auto"/>
            <w:gridSpan w:val="3"/>
            <w:shd w:val="clear" w:color="auto" w:fill="FFFFFF"/>
            <w:tcMar>
              <w:top w:w="40" w:type="dxa"/>
              <w:left w:w="20" w:type="dxa"/>
              <w:bottom w:w="40" w:type="dxa"/>
              <w:right w:w="20" w:type="dxa"/>
            </w:tcMar>
            <w:vAlign w:val="center"/>
          </w:tcPr>
          <w:p w14:paraId="5EA20036" w14:textId="77777777" w:rsidR="003C66EB" w:rsidRDefault="00D96C4E">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5EA20037" w14:textId="77777777" w:rsidR="003C66EB" w:rsidRDefault="00D96C4E">
            <w:pPr>
              <w:jc w:val="right"/>
              <w:textAlignment w:val="center"/>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003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3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003A" w14:textId="77777777" w:rsidR="003C66EB" w:rsidRDefault="00D96C4E">
            <w:pPr>
              <w:jc w:val="right"/>
              <w:textAlignment w:val="center"/>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center"/>
          </w:tcPr>
          <w:p w14:paraId="5EA2003B" w14:textId="77777777" w:rsidR="003C66EB" w:rsidRDefault="003C66EB">
            <w:pPr>
              <w:jc w:val="right"/>
              <w:rPr>
                <w:rFonts w:ascii="宋体"/>
              </w:rPr>
            </w:pPr>
          </w:p>
        </w:tc>
      </w:tr>
      <w:tr w:rsidR="003C66EB" w14:paraId="5EA20043" w14:textId="77777777">
        <w:tc>
          <w:tcPr>
            <w:tcW w:w="0" w:type="auto"/>
            <w:gridSpan w:val="3"/>
            <w:shd w:val="clear" w:color="auto" w:fill="CCEEFF"/>
            <w:tcMar>
              <w:top w:w="40" w:type="dxa"/>
              <w:left w:w="20" w:type="dxa"/>
              <w:bottom w:w="40" w:type="dxa"/>
              <w:right w:w="20" w:type="dxa"/>
            </w:tcMar>
            <w:vAlign w:val="center"/>
          </w:tcPr>
          <w:p w14:paraId="5EA2003D" w14:textId="77777777" w:rsidR="003C66EB" w:rsidRDefault="00D96C4E">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5EA2003E" w14:textId="77777777" w:rsidR="003C66EB" w:rsidRDefault="00D96C4E">
            <w:pPr>
              <w:jc w:val="right"/>
              <w:textAlignment w:val="center"/>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00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4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0041" w14:textId="77777777" w:rsidR="003C66EB" w:rsidRDefault="00D96C4E">
            <w:pPr>
              <w:jc w:val="right"/>
              <w:textAlignment w:val="center"/>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center"/>
          </w:tcPr>
          <w:p w14:paraId="5EA20042" w14:textId="77777777" w:rsidR="003C66EB" w:rsidRDefault="003C66EB">
            <w:pPr>
              <w:jc w:val="right"/>
              <w:rPr>
                <w:rFonts w:ascii="宋体"/>
              </w:rPr>
            </w:pPr>
          </w:p>
        </w:tc>
      </w:tr>
      <w:tr w:rsidR="003C66EB" w14:paraId="5EA2004A" w14:textId="77777777">
        <w:tc>
          <w:tcPr>
            <w:tcW w:w="0" w:type="auto"/>
            <w:gridSpan w:val="3"/>
            <w:shd w:val="clear" w:color="auto" w:fill="FFFFFF"/>
            <w:tcMar>
              <w:top w:w="40" w:type="dxa"/>
              <w:left w:w="20" w:type="dxa"/>
              <w:bottom w:w="40" w:type="dxa"/>
              <w:right w:w="20" w:type="dxa"/>
            </w:tcMar>
            <w:vAlign w:val="center"/>
          </w:tcPr>
          <w:p w14:paraId="5EA20044" w14:textId="77777777" w:rsidR="003C66EB" w:rsidRDefault="00D96C4E">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5EA20045" w14:textId="77777777" w:rsidR="003C66EB" w:rsidRDefault="00D96C4E">
            <w:pPr>
              <w:jc w:val="right"/>
              <w:textAlignment w:val="center"/>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004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4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0048" w14:textId="77777777" w:rsidR="003C66EB" w:rsidRDefault="00D96C4E">
            <w:pPr>
              <w:jc w:val="right"/>
              <w:textAlignment w:val="center"/>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center"/>
          </w:tcPr>
          <w:p w14:paraId="5EA20049" w14:textId="77777777" w:rsidR="003C66EB" w:rsidRDefault="003C66EB">
            <w:pPr>
              <w:jc w:val="right"/>
              <w:rPr>
                <w:rFonts w:ascii="宋体"/>
              </w:rPr>
            </w:pPr>
          </w:p>
        </w:tc>
      </w:tr>
      <w:tr w:rsidR="003C66EB" w14:paraId="5EA20051" w14:textId="77777777">
        <w:tc>
          <w:tcPr>
            <w:tcW w:w="0" w:type="auto"/>
            <w:gridSpan w:val="3"/>
            <w:shd w:val="clear" w:color="auto" w:fill="CCEEFF"/>
            <w:tcMar>
              <w:top w:w="40" w:type="dxa"/>
              <w:left w:w="20" w:type="dxa"/>
              <w:bottom w:w="40" w:type="dxa"/>
              <w:right w:w="20" w:type="dxa"/>
            </w:tcMar>
            <w:vAlign w:val="center"/>
          </w:tcPr>
          <w:p w14:paraId="5EA2004B" w14:textId="77777777" w:rsidR="003C66EB" w:rsidRDefault="00D96C4E">
            <w:pPr>
              <w:textAlignment w:val="center"/>
            </w:pPr>
            <w:r>
              <w:rPr>
                <w:rFonts w:ascii="Arial" w:eastAsia="宋体" w:hAnsi="Arial" w:cs="Arial"/>
                <w:color w:val="000000"/>
                <w:sz w:val="15"/>
                <w:szCs w:val="15"/>
              </w:rPr>
              <w:t>Other credit</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center"/>
          </w:tcPr>
          <w:p w14:paraId="5EA2004C" w14:textId="77777777" w:rsidR="003C66EB" w:rsidRDefault="00D96C4E">
            <w:pPr>
              <w:jc w:val="right"/>
              <w:textAlignment w:val="center"/>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00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004F" w14:textId="77777777" w:rsidR="003C66EB" w:rsidRDefault="00D96C4E">
            <w:pPr>
              <w:jc w:val="right"/>
              <w:textAlignment w:val="center"/>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center"/>
          </w:tcPr>
          <w:p w14:paraId="5EA20050" w14:textId="77777777" w:rsidR="003C66EB" w:rsidRDefault="003C66EB">
            <w:pPr>
              <w:jc w:val="right"/>
              <w:rPr>
                <w:rFonts w:ascii="宋体"/>
              </w:rPr>
            </w:pPr>
          </w:p>
        </w:tc>
      </w:tr>
      <w:tr w:rsidR="003C66EB" w14:paraId="5EA20058" w14:textId="77777777">
        <w:tc>
          <w:tcPr>
            <w:tcW w:w="0" w:type="auto"/>
            <w:gridSpan w:val="3"/>
            <w:shd w:val="clear" w:color="auto" w:fill="FFFFFF"/>
            <w:tcMar>
              <w:top w:w="0" w:type="dxa"/>
              <w:left w:w="20" w:type="dxa"/>
              <w:bottom w:w="0" w:type="dxa"/>
              <w:right w:w="20" w:type="dxa"/>
            </w:tcMar>
          </w:tcPr>
          <w:p w14:paraId="5EA20052"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053" w14:textId="77777777" w:rsidR="003C66EB" w:rsidRDefault="00D96C4E">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054"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5EA20055"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056" w14:textId="77777777" w:rsidR="003C66EB" w:rsidRDefault="00D96C4E">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057" w14:textId="77777777" w:rsidR="003C66EB" w:rsidRDefault="00D96C4E">
            <w:pPr>
              <w:jc w:val="right"/>
              <w:textAlignment w:val="bottom"/>
            </w:pPr>
            <w:r>
              <w:rPr>
                <w:rFonts w:ascii="Arial" w:eastAsia="宋体" w:hAnsi="Arial" w:cs="Arial"/>
                <w:color w:val="000000"/>
                <w:sz w:val="15"/>
                <w:szCs w:val="15"/>
              </w:rPr>
              <w:t>%</w:t>
            </w:r>
          </w:p>
        </w:tc>
      </w:tr>
    </w:tbl>
    <w:p w14:paraId="5EA20059"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3C66EB" w14:paraId="5EA20065" w14:textId="77777777">
        <w:tc>
          <w:tcPr>
            <w:tcW w:w="50" w:type="pct"/>
            <w:shd w:val="clear" w:color="auto" w:fill="auto"/>
          </w:tcPr>
          <w:p w14:paraId="5EA2005A" w14:textId="77777777" w:rsidR="003C66EB" w:rsidRDefault="003C66EB">
            <w:pPr>
              <w:rPr>
                <w:rFonts w:ascii="宋体"/>
              </w:rPr>
            </w:pPr>
          </w:p>
        </w:tc>
        <w:tc>
          <w:tcPr>
            <w:tcW w:w="2374" w:type="pct"/>
            <w:shd w:val="clear" w:color="auto" w:fill="auto"/>
          </w:tcPr>
          <w:p w14:paraId="5EA2005B" w14:textId="77777777" w:rsidR="003C66EB" w:rsidRDefault="003C66EB">
            <w:pPr>
              <w:rPr>
                <w:rFonts w:ascii="宋体"/>
              </w:rPr>
            </w:pPr>
          </w:p>
        </w:tc>
        <w:tc>
          <w:tcPr>
            <w:tcW w:w="5" w:type="pct"/>
            <w:shd w:val="clear" w:color="auto" w:fill="auto"/>
          </w:tcPr>
          <w:p w14:paraId="5EA2005C" w14:textId="77777777" w:rsidR="003C66EB" w:rsidRDefault="003C66EB">
            <w:pPr>
              <w:rPr>
                <w:rFonts w:ascii="宋体"/>
              </w:rPr>
            </w:pPr>
          </w:p>
        </w:tc>
        <w:tc>
          <w:tcPr>
            <w:tcW w:w="50" w:type="pct"/>
            <w:shd w:val="clear" w:color="auto" w:fill="auto"/>
          </w:tcPr>
          <w:p w14:paraId="5EA2005D" w14:textId="77777777" w:rsidR="003C66EB" w:rsidRDefault="003C66EB">
            <w:pPr>
              <w:rPr>
                <w:rFonts w:ascii="宋体"/>
              </w:rPr>
            </w:pPr>
          </w:p>
        </w:tc>
        <w:tc>
          <w:tcPr>
            <w:tcW w:w="1057" w:type="pct"/>
            <w:shd w:val="clear" w:color="auto" w:fill="auto"/>
          </w:tcPr>
          <w:p w14:paraId="5EA2005E" w14:textId="77777777" w:rsidR="003C66EB" w:rsidRDefault="003C66EB">
            <w:pPr>
              <w:rPr>
                <w:rFonts w:ascii="宋体"/>
              </w:rPr>
            </w:pPr>
          </w:p>
        </w:tc>
        <w:tc>
          <w:tcPr>
            <w:tcW w:w="5" w:type="pct"/>
            <w:shd w:val="clear" w:color="auto" w:fill="auto"/>
          </w:tcPr>
          <w:p w14:paraId="5EA2005F" w14:textId="77777777" w:rsidR="003C66EB" w:rsidRDefault="003C66EB">
            <w:pPr>
              <w:rPr>
                <w:rFonts w:ascii="宋体"/>
              </w:rPr>
            </w:pPr>
          </w:p>
        </w:tc>
        <w:tc>
          <w:tcPr>
            <w:tcW w:w="50" w:type="pct"/>
            <w:shd w:val="clear" w:color="auto" w:fill="auto"/>
          </w:tcPr>
          <w:p w14:paraId="5EA20060" w14:textId="77777777" w:rsidR="003C66EB" w:rsidRDefault="003C66EB">
            <w:pPr>
              <w:rPr>
                <w:rFonts w:ascii="宋体"/>
              </w:rPr>
            </w:pPr>
          </w:p>
        </w:tc>
        <w:tc>
          <w:tcPr>
            <w:tcW w:w="1402" w:type="pct"/>
            <w:shd w:val="clear" w:color="auto" w:fill="auto"/>
          </w:tcPr>
          <w:p w14:paraId="5EA20061" w14:textId="77777777" w:rsidR="003C66EB" w:rsidRDefault="003C66EB">
            <w:pPr>
              <w:rPr>
                <w:rFonts w:ascii="宋体"/>
              </w:rPr>
            </w:pPr>
          </w:p>
        </w:tc>
        <w:tc>
          <w:tcPr>
            <w:tcW w:w="5" w:type="pct"/>
            <w:shd w:val="clear" w:color="auto" w:fill="auto"/>
          </w:tcPr>
          <w:p w14:paraId="5EA20062" w14:textId="77777777" w:rsidR="003C66EB" w:rsidRDefault="003C66EB">
            <w:pPr>
              <w:rPr>
                <w:rFonts w:ascii="宋体"/>
              </w:rPr>
            </w:pPr>
          </w:p>
        </w:tc>
        <w:tc>
          <w:tcPr>
            <w:tcW w:w="0" w:type="auto"/>
            <w:shd w:val="clear" w:color="auto" w:fill="auto"/>
          </w:tcPr>
          <w:p w14:paraId="5EA20063" w14:textId="77777777" w:rsidR="003C66EB" w:rsidRDefault="003C66EB">
            <w:pPr>
              <w:rPr>
                <w:rFonts w:ascii="宋体"/>
                <w:vanish/>
              </w:rPr>
            </w:pPr>
          </w:p>
        </w:tc>
        <w:tc>
          <w:tcPr>
            <w:tcW w:w="0" w:type="auto"/>
            <w:shd w:val="clear" w:color="auto" w:fill="auto"/>
          </w:tcPr>
          <w:p w14:paraId="5EA20064" w14:textId="77777777" w:rsidR="003C66EB" w:rsidRDefault="003C66EB">
            <w:pPr>
              <w:rPr>
                <w:rFonts w:ascii="宋体"/>
                <w:vanish/>
              </w:rPr>
            </w:pPr>
          </w:p>
        </w:tc>
      </w:tr>
      <w:tr w:rsidR="003C66EB" w14:paraId="5EA2006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0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06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068" w14:textId="77777777" w:rsidR="003C66EB" w:rsidRDefault="003C66EB">
            <w:pPr>
              <w:rPr>
                <w:rFonts w:ascii="宋体"/>
              </w:rPr>
            </w:pPr>
          </w:p>
        </w:tc>
        <w:tc>
          <w:tcPr>
            <w:tcW w:w="0" w:type="auto"/>
            <w:shd w:val="clear" w:color="auto" w:fill="auto"/>
          </w:tcPr>
          <w:p w14:paraId="5EA20069" w14:textId="77777777" w:rsidR="003C66EB" w:rsidRDefault="003C66EB">
            <w:pPr>
              <w:rPr>
                <w:rFonts w:ascii="宋体"/>
                <w:vanish/>
              </w:rPr>
            </w:pPr>
          </w:p>
        </w:tc>
        <w:tc>
          <w:tcPr>
            <w:tcW w:w="0" w:type="auto"/>
            <w:shd w:val="clear" w:color="auto" w:fill="auto"/>
          </w:tcPr>
          <w:p w14:paraId="5EA2006A" w14:textId="77777777" w:rsidR="003C66EB" w:rsidRDefault="003C66EB">
            <w:pPr>
              <w:rPr>
                <w:rFonts w:ascii="宋体"/>
                <w:vanish/>
              </w:rPr>
            </w:pPr>
          </w:p>
        </w:tc>
      </w:tr>
    </w:tbl>
    <w:p w14:paraId="5EA2006C" w14:textId="77777777" w:rsidR="003C66EB" w:rsidRDefault="00D96C4E">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Includes the securities purchased under the MMLF program.</w:t>
      </w:r>
    </w:p>
    <w:p w14:paraId="5EA2006D" w14:textId="77777777" w:rsidR="003C66EB" w:rsidRDefault="00D96C4E">
      <w:pPr>
        <w:spacing w:before="60"/>
        <w:jc w:val="both"/>
        <w:textAlignment w:val="top"/>
      </w:pPr>
      <w:r>
        <w:rPr>
          <w:rFonts w:ascii="Arial" w:eastAsia="宋体" w:hAnsi="Arial" w:cs="Arial"/>
          <w:b/>
          <w:bCs/>
          <w:i/>
          <w:iCs/>
          <w:color w:val="000000"/>
          <w:sz w:val="20"/>
          <w:szCs w:val="20"/>
        </w:rPr>
        <w:t xml:space="preserve">Non-U.S. Debt Securities </w:t>
      </w:r>
    </w:p>
    <w:p w14:paraId="5EA2006E" w14:textId="77777777" w:rsidR="003C66EB" w:rsidRDefault="00D96C4E">
      <w:pPr>
        <w:spacing w:before="60"/>
        <w:ind w:firstLine="450"/>
        <w:jc w:val="both"/>
        <w:textAlignment w:val="top"/>
      </w:pPr>
      <w:r>
        <w:rPr>
          <w:rFonts w:ascii="Arial" w:eastAsia="宋体" w:hAnsi="Arial" w:cs="Arial"/>
          <w:color w:val="000000"/>
          <w:sz w:val="20"/>
          <w:szCs w:val="20"/>
        </w:rPr>
        <w:t xml:space="preserve">Approximately 27% of the aggregate carrying value of our investment securities portfolio was non-U.S. debt securities as of both </w:t>
      </w:r>
      <w:r>
        <w:rPr>
          <w:rFonts w:ascii="Arial" w:eastAsia="宋体" w:hAnsi="Arial" w:cs="Arial"/>
          <w:color w:val="000000"/>
          <w:sz w:val="20"/>
          <w:szCs w:val="20"/>
        </w:rPr>
        <w:t>March 31, 2021 and December 31, 2020.</w:t>
      </w:r>
    </w:p>
    <w:p w14:paraId="5EA2006F" w14:textId="77777777" w:rsidR="003C66EB" w:rsidRDefault="00D96C4E">
      <w:pPr>
        <w:ind w:firstLine="450"/>
        <w:jc w:val="right"/>
      </w:pPr>
      <w:r>
        <w:rPr>
          <w:rFonts w:ascii="Arial" w:eastAsia="宋体" w:hAnsi="Arial" w:cs="Arial"/>
          <w:color w:val="000000"/>
          <w:sz w:val="18"/>
          <w:szCs w:val="18"/>
        </w:rPr>
        <w:t>State Street Corporation | 24</w:t>
      </w:r>
    </w:p>
    <w:p w14:paraId="5EA20070" w14:textId="77777777" w:rsidR="003C66EB" w:rsidRDefault="003C66EB">
      <w:pPr>
        <w:ind w:firstLine="450"/>
        <w:jc w:val="center"/>
      </w:pPr>
    </w:p>
    <w:p w14:paraId="5EA20071" w14:textId="77777777" w:rsidR="003C66EB" w:rsidRDefault="00D96C4E">
      <w:r>
        <w:pict w14:anchorId="5EA287C8">
          <v:rect id="_x0000_i1048" style="width:415.3pt;height:1.5pt" o:hralign="center" o:hrstd="t" o:hr="t" fillcolor="#a0a0a0" stroked="f"/>
        </w:pict>
      </w:r>
    </w:p>
    <w:p w14:paraId="5EA20072"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073" w14:textId="77777777" w:rsidR="003C66EB" w:rsidRDefault="00D96C4E">
      <w:pPr>
        <w:ind w:firstLine="450"/>
        <w:jc w:val="center"/>
      </w:pPr>
      <w:r>
        <w:rPr>
          <w:rFonts w:ascii="Arial" w:eastAsia="宋体" w:hAnsi="Arial" w:cs="Arial"/>
          <w:b/>
          <w:bCs/>
          <w:color w:val="000000"/>
          <w:sz w:val="20"/>
          <w:szCs w:val="20"/>
        </w:rPr>
        <w:t>AND RESULTS OF OPERATIONS</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8"/>
        <w:gridCol w:w="2392"/>
        <w:gridCol w:w="36"/>
        <w:gridCol w:w="36"/>
        <w:gridCol w:w="79"/>
        <w:gridCol w:w="36"/>
        <w:gridCol w:w="99"/>
        <w:gridCol w:w="2366"/>
        <w:gridCol w:w="37"/>
      </w:tblGrid>
      <w:tr w:rsidR="003C66EB" w14:paraId="5EA20080" w14:textId="77777777">
        <w:tc>
          <w:tcPr>
            <w:tcW w:w="50" w:type="pct"/>
            <w:shd w:val="clear" w:color="auto" w:fill="auto"/>
          </w:tcPr>
          <w:p w14:paraId="5EA20074" w14:textId="77777777" w:rsidR="003C66EB" w:rsidRDefault="003C66EB">
            <w:pPr>
              <w:rPr>
                <w:rFonts w:ascii="宋体"/>
              </w:rPr>
            </w:pPr>
          </w:p>
        </w:tc>
        <w:tc>
          <w:tcPr>
            <w:tcW w:w="1853" w:type="pct"/>
            <w:shd w:val="clear" w:color="auto" w:fill="auto"/>
          </w:tcPr>
          <w:p w14:paraId="5EA20075" w14:textId="77777777" w:rsidR="003C66EB" w:rsidRDefault="003C66EB">
            <w:pPr>
              <w:rPr>
                <w:rFonts w:ascii="宋体"/>
              </w:rPr>
            </w:pPr>
          </w:p>
        </w:tc>
        <w:tc>
          <w:tcPr>
            <w:tcW w:w="5" w:type="pct"/>
            <w:shd w:val="clear" w:color="auto" w:fill="auto"/>
          </w:tcPr>
          <w:p w14:paraId="5EA20076" w14:textId="77777777" w:rsidR="003C66EB" w:rsidRDefault="003C66EB">
            <w:pPr>
              <w:rPr>
                <w:rFonts w:ascii="宋体"/>
              </w:rPr>
            </w:pPr>
          </w:p>
        </w:tc>
        <w:tc>
          <w:tcPr>
            <w:tcW w:w="50" w:type="pct"/>
            <w:shd w:val="clear" w:color="auto" w:fill="auto"/>
          </w:tcPr>
          <w:p w14:paraId="5EA20077" w14:textId="77777777" w:rsidR="003C66EB" w:rsidRDefault="003C66EB">
            <w:pPr>
              <w:rPr>
                <w:rFonts w:ascii="宋体"/>
              </w:rPr>
            </w:pPr>
          </w:p>
        </w:tc>
        <w:tc>
          <w:tcPr>
            <w:tcW w:w="1459" w:type="pct"/>
            <w:shd w:val="clear" w:color="auto" w:fill="auto"/>
          </w:tcPr>
          <w:p w14:paraId="5EA20078" w14:textId="77777777" w:rsidR="003C66EB" w:rsidRDefault="003C66EB">
            <w:pPr>
              <w:rPr>
                <w:rFonts w:ascii="宋体"/>
              </w:rPr>
            </w:pPr>
          </w:p>
        </w:tc>
        <w:tc>
          <w:tcPr>
            <w:tcW w:w="5" w:type="pct"/>
            <w:shd w:val="clear" w:color="auto" w:fill="auto"/>
          </w:tcPr>
          <w:p w14:paraId="5EA20079" w14:textId="77777777" w:rsidR="003C66EB" w:rsidRDefault="003C66EB">
            <w:pPr>
              <w:rPr>
                <w:rFonts w:ascii="宋体"/>
              </w:rPr>
            </w:pPr>
          </w:p>
        </w:tc>
        <w:tc>
          <w:tcPr>
            <w:tcW w:w="5" w:type="pct"/>
            <w:shd w:val="clear" w:color="auto" w:fill="auto"/>
          </w:tcPr>
          <w:p w14:paraId="5EA2007A" w14:textId="77777777" w:rsidR="003C66EB" w:rsidRDefault="003C66EB">
            <w:pPr>
              <w:rPr>
                <w:rFonts w:ascii="宋体"/>
              </w:rPr>
            </w:pPr>
          </w:p>
        </w:tc>
        <w:tc>
          <w:tcPr>
            <w:tcW w:w="68" w:type="pct"/>
            <w:shd w:val="clear" w:color="auto" w:fill="auto"/>
          </w:tcPr>
          <w:p w14:paraId="5EA2007B" w14:textId="77777777" w:rsidR="003C66EB" w:rsidRDefault="003C66EB">
            <w:pPr>
              <w:rPr>
                <w:rFonts w:ascii="宋体"/>
              </w:rPr>
            </w:pPr>
          </w:p>
        </w:tc>
        <w:tc>
          <w:tcPr>
            <w:tcW w:w="5" w:type="pct"/>
            <w:shd w:val="clear" w:color="auto" w:fill="auto"/>
          </w:tcPr>
          <w:p w14:paraId="5EA2007C" w14:textId="77777777" w:rsidR="003C66EB" w:rsidRDefault="003C66EB">
            <w:pPr>
              <w:rPr>
                <w:rFonts w:ascii="宋体"/>
              </w:rPr>
            </w:pPr>
          </w:p>
        </w:tc>
        <w:tc>
          <w:tcPr>
            <w:tcW w:w="50" w:type="pct"/>
            <w:shd w:val="clear" w:color="auto" w:fill="auto"/>
          </w:tcPr>
          <w:p w14:paraId="5EA2007D" w14:textId="77777777" w:rsidR="003C66EB" w:rsidRDefault="003C66EB">
            <w:pPr>
              <w:rPr>
                <w:rFonts w:ascii="宋体"/>
              </w:rPr>
            </w:pPr>
          </w:p>
        </w:tc>
        <w:tc>
          <w:tcPr>
            <w:tcW w:w="1443" w:type="pct"/>
            <w:shd w:val="clear" w:color="auto" w:fill="auto"/>
          </w:tcPr>
          <w:p w14:paraId="5EA2007E" w14:textId="77777777" w:rsidR="003C66EB" w:rsidRDefault="003C66EB">
            <w:pPr>
              <w:rPr>
                <w:rFonts w:ascii="宋体"/>
              </w:rPr>
            </w:pPr>
          </w:p>
        </w:tc>
        <w:tc>
          <w:tcPr>
            <w:tcW w:w="5" w:type="pct"/>
            <w:shd w:val="clear" w:color="auto" w:fill="auto"/>
          </w:tcPr>
          <w:p w14:paraId="5EA2007F" w14:textId="77777777" w:rsidR="003C66EB" w:rsidRDefault="003C66EB">
            <w:pPr>
              <w:rPr>
                <w:rFonts w:ascii="宋体"/>
              </w:rPr>
            </w:pPr>
          </w:p>
        </w:tc>
      </w:tr>
      <w:tr w:rsidR="003C66EB" w14:paraId="5EA20082" w14:textId="77777777">
        <w:tc>
          <w:tcPr>
            <w:tcW w:w="0" w:type="auto"/>
            <w:gridSpan w:val="12"/>
            <w:shd w:val="clear" w:color="auto" w:fill="auto"/>
            <w:tcMar>
              <w:top w:w="40" w:type="dxa"/>
              <w:left w:w="20" w:type="dxa"/>
              <w:bottom w:w="40" w:type="dxa"/>
              <w:right w:w="20" w:type="dxa"/>
            </w:tcMar>
            <w:vAlign w:val="bottom"/>
          </w:tcPr>
          <w:p w14:paraId="5EA20081" w14:textId="77777777" w:rsidR="003C66EB" w:rsidRDefault="00D96C4E">
            <w:pPr>
              <w:textAlignment w:val="bottom"/>
            </w:pPr>
            <w:r>
              <w:rPr>
                <w:rFonts w:ascii="Arial" w:eastAsia="宋体" w:hAnsi="Arial" w:cs="Arial"/>
                <w:b/>
                <w:bCs/>
                <w:color w:val="000000"/>
                <w:sz w:val="16"/>
                <w:szCs w:val="16"/>
              </w:rPr>
              <w:t>TABLE 23: NON-U.S. DEBT SECURITIES</w:t>
            </w:r>
            <w:r>
              <w:rPr>
                <w:rFonts w:ascii="Arial" w:eastAsia="宋体" w:hAnsi="Arial" w:cs="Arial"/>
                <w:b/>
                <w:bCs/>
                <w:color w:val="000000"/>
                <w:sz w:val="10"/>
                <w:szCs w:val="10"/>
              </w:rPr>
              <w:t>(1)</w:t>
            </w:r>
          </w:p>
        </w:tc>
      </w:tr>
      <w:tr w:rsidR="003C66EB" w14:paraId="5EA20087" w14:textId="77777777">
        <w:tc>
          <w:tcPr>
            <w:tcW w:w="0" w:type="auto"/>
            <w:gridSpan w:val="3"/>
            <w:shd w:val="clear" w:color="auto" w:fill="auto"/>
            <w:tcMar>
              <w:top w:w="40" w:type="dxa"/>
              <w:left w:w="20" w:type="dxa"/>
              <w:bottom w:w="40" w:type="dxa"/>
              <w:right w:w="20" w:type="dxa"/>
            </w:tcMar>
            <w:vAlign w:val="bottom"/>
          </w:tcPr>
          <w:p w14:paraId="5EA20083"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0084" w14:textId="77777777" w:rsidR="003C66EB" w:rsidRDefault="00D96C4E">
            <w:pPr>
              <w:jc w:val="center"/>
              <w:textAlignment w:val="bottom"/>
            </w:pPr>
            <w:r>
              <w:rPr>
                <w:rFonts w:ascii="Arial" w:eastAsia="宋体" w:hAnsi="Arial" w:cs="Arial"/>
                <w:b/>
                <w:bCs/>
                <w:color w:val="000000"/>
                <w:sz w:val="14"/>
                <w:szCs w:val="14"/>
              </w:rPr>
              <w:t>March 31, 2021</w:t>
            </w:r>
          </w:p>
        </w:tc>
        <w:tc>
          <w:tcPr>
            <w:tcW w:w="0" w:type="auto"/>
            <w:gridSpan w:val="3"/>
            <w:shd w:val="clear" w:color="auto" w:fill="auto"/>
            <w:tcMar>
              <w:top w:w="0" w:type="dxa"/>
              <w:left w:w="20" w:type="dxa"/>
              <w:bottom w:w="0" w:type="dxa"/>
              <w:right w:w="20" w:type="dxa"/>
            </w:tcMar>
          </w:tcPr>
          <w:p w14:paraId="5EA2008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086" w14:textId="77777777" w:rsidR="003C66EB" w:rsidRDefault="00D96C4E">
            <w:pPr>
              <w:jc w:val="center"/>
              <w:textAlignment w:val="bottom"/>
            </w:pPr>
            <w:r>
              <w:rPr>
                <w:rFonts w:ascii="Arial" w:eastAsia="宋体" w:hAnsi="Arial" w:cs="Arial"/>
                <w:b/>
                <w:bCs/>
                <w:color w:val="000000"/>
                <w:sz w:val="14"/>
                <w:szCs w:val="14"/>
              </w:rPr>
              <w:t xml:space="preserve">December 31, </w:t>
            </w:r>
            <w:r>
              <w:rPr>
                <w:rFonts w:ascii="Arial" w:eastAsia="宋体" w:hAnsi="Arial" w:cs="Arial"/>
                <w:b/>
                <w:bCs/>
                <w:color w:val="000000"/>
                <w:sz w:val="14"/>
                <w:szCs w:val="14"/>
              </w:rPr>
              <w:t>2020</w:t>
            </w:r>
          </w:p>
        </w:tc>
      </w:tr>
      <w:tr w:rsidR="003C66EB" w14:paraId="5EA2008C" w14:textId="77777777">
        <w:tc>
          <w:tcPr>
            <w:tcW w:w="0" w:type="auto"/>
            <w:gridSpan w:val="3"/>
            <w:shd w:val="clear" w:color="auto" w:fill="auto"/>
            <w:tcMar>
              <w:top w:w="40" w:type="dxa"/>
              <w:left w:w="20" w:type="dxa"/>
              <w:bottom w:w="40" w:type="dxa"/>
              <w:right w:w="20" w:type="dxa"/>
            </w:tcMar>
            <w:vAlign w:val="bottom"/>
          </w:tcPr>
          <w:p w14:paraId="5EA20088" w14:textId="77777777" w:rsidR="003C66EB" w:rsidRDefault="00D96C4E">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5EA2008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08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08B" w14:textId="77777777" w:rsidR="003C66EB" w:rsidRDefault="003C66EB">
            <w:pPr>
              <w:rPr>
                <w:rFonts w:ascii="宋体"/>
              </w:rPr>
            </w:pPr>
          </w:p>
        </w:tc>
      </w:tr>
      <w:tr w:rsidR="003C66EB" w14:paraId="5EA20095" w14:textId="77777777">
        <w:tc>
          <w:tcPr>
            <w:tcW w:w="0" w:type="auto"/>
            <w:gridSpan w:val="3"/>
            <w:shd w:val="clear" w:color="auto" w:fill="CCEEFF"/>
            <w:tcMar>
              <w:top w:w="40" w:type="dxa"/>
              <w:left w:w="20" w:type="dxa"/>
              <w:bottom w:w="40" w:type="dxa"/>
              <w:right w:w="20" w:type="dxa"/>
            </w:tcMar>
            <w:vAlign w:val="bottom"/>
          </w:tcPr>
          <w:p w14:paraId="5EA2008D" w14:textId="77777777" w:rsidR="003C66EB" w:rsidRDefault="00D96C4E">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5EA2008E"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008F" w14:textId="77777777" w:rsidR="003C66EB" w:rsidRDefault="00D96C4E">
            <w:pPr>
              <w:jc w:val="right"/>
              <w:textAlignment w:val="bottom"/>
            </w:pPr>
            <w:r>
              <w:rPr>
                <w:rFonts w:ascii="Arial" w:eastAsia="宋体" w:hAnsi="Arial" w:cs="Arial"/>
                <w:b/>
                <w:bCs/>
                <w:color w:val="000000"/>
                <w:sz w:val="14"/>
                <w:szCs w:val="14"/>
              </w:rPr>
              <w:t>3,571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9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092"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0093" w14:textId="77777777" w:rsidR="003C66EB" w:rsidRDefault="00D96C4E">
            <w:pPr>
              <w:jc w:val="right"/>
              <w:textAlignment w:val="bottom"/>
            </w:pPr>
            <w:r>
              <w:rPr>
                <w:rFonts w:ascii="Arial" w:eastAsia="宋体" w:hAnsi="Arial" w:cs="Arial"/>
                <w:color w:val="000000"/>
                <w:sz w:val="14"/>
                <w:szCs w:val="14"/>
              </w:rPr>
              <w:t>3,163 </w:t>
            </w:r>
          </w:p>
        </w:tc>
        <w:tc>
          <w:tcPr>
            <w:tcW w:w="0" w:type="auto"/>
            <w:shd w:val="clear" w:color="auto" w:fill="CCEEFF"/>
            <w:tcMar>
              <w:top w:w="40" w:type="dxa"/>
              <w:left w:w="0" w:type="dxa"/>
              <w:bottom w:w="40" w:type="dxa"/>
              <w:right w:w="20" w:type="dxa"/>
            </w:tcMar>
            <w:vAlign w:val="bottom"/>
          </w:tcPr>
          <w:p w14:paraId="5EA20094" w14:textId="77777777" w:rsidR="003C66EB" w:rsidRDefault="003C66EB">
            <w:pPr>
              <w:jc w:val="right"/>
              <w:rPr>
                <w:rFonts w:ascii="宋体"/>
              </w:rPr>
            </w:pPr>
          </w:p>
        </w:tc>
      </w:tr>
      <w:tr w:rsidR="003C66EB" w14:paraId="5EA2009C" w14:textId="77777777">
        <w:tc>
          <w:tcPr>
            <w:tcW w:w="0" w:type="auto"/>
            <w:gridSpan w:val="3"/>
            <w:shd w:val="clear" w:color="auto" w:fill="FFFFFF"/>
            <w:tcMar>
              <w:top w:w="40" w:type="dxa"/>
              <w:left w:w="20" w:type="dxa"/>
              <w:bottom w:w="40" w:type="dxa"/>
              <w:right w:w="20" w:type="dxa"/>
            </w:tcMar>
            <w:vAlign w:val="bottom"/>
          </w:tcPr>
          <w:p w14:paraId="5EA20096" w14:textId="77777777" w:rsidR="003C66EB" w:rsidRDefault="00D96C4E">
            <w:pPr>
              <w:textAlignment w:val="bottom"/>
            </w:pPr>
            <w:r>
              <w:rPr>
                <w:rFonts w:ascii="Arial" w:eastAsia="宋体" w:hAnsi="Arial" w:cs="Arial"/>
                <w:color w:val="000000"/>
                <w:sz w:val="14"/>
                <w:szCs w:val="14"/>
              </w:rPr>
              <w:t>European</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0097" w14:textId="77777777" w:rsidR="003C66EB" w:rsidRDefault="00D96C4E">
            <w:pPr>
              <w:jc w:val="right"/>
              <w:textAlignment w:val="bottom"/>
            </w:pPr>
            <w:r>
              <w:rPr>
                <w:rFonts w:ascii="Arial" w:eastAsia="宋体" w:hAnsi="Arial" w:cs="Arial"/>
                <w:b/>
                <w:bCs/>
                <w:color w:val="000000"/>
                <w:sz w:val="14"/>
                <w:szCs w:val="14"/>
              </w:rPr>
              <w:t>3,121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9A" w14:textId="77777777" w:rsidR="003C66EB" w:rsidRDefault="00D96C4E">
            <w:pPr>
              <w:jc w:val="right"/>
              <w:textAlignment w:val="bottom"/>
            </w:pPr>
            <w:r>
              <w:rPr>
                <w:rFonts w:ascii="Arial" w:eastAsia="宋体" w:hAnsi="Arial" w:cs="Arial"/>
                <w:color w:val="000000"/>
                <w:sz w:val="14"/>
                <w:szCs w:val="14"/>
              </w:rPr>
              <w:t>3,275 </w:t>
            </w:r>
          </w:p>
        </w:tc>
        <w:tc>
          <w:tcPr>
            <w:tcW w:w="0" w:type="auto"/>
            <w:shd w:val="clear" w:color="auto" w:fill="FFFFFF"/>
            <w:tcMar>
              <w:top w:w="40" w:type="dxa"/>
              <w:left w:w="0" w:type="dxa"/>
              <w:bottom w:w="40" w:type="dxa"/>
              <w:right w:w="20" w:type="dxa"/>
            </w:tcMar>
            <w:vAlign w:val="bottom"/>
          </w:tcPr>
          <w:p w14:paraId="5EA2009B" w14:textId="77777777" w:rsidR="003C66EB" w:rsidRDefault="003C66EB">
            <w:pPr>
              <w:jc w:val="right"/>
              <w:rPr>
                <w:rFonts w:ascii="宋体"/>
              </w:rPr>
            </w:pPr>
          </w:p>
        </w:tc>
      </w:tr>
      <w:tr w:rsidR="003C66EB" w14:paraId="5EA200A3" w14:textId="77777777">
        <w:tc>
          <w:tcPr>
            <w:tcW w:w="0" w:type="auto"/>
            <w:gridSpan w:val="3"/>
            <w:shd w:val="clear" w:color="auto" w:fill="CCEEFF"/>
            <w:tcMar>
              <w:top w:w="40" w:type="dxa"/>
              <w:left w:w="20" w:type="dxa"/>
              <w:bottom w:w="40" w:type="dxa"/>
              <w:right w:w="20" w:type="dxa"/>
            </w:tcMar>
            <w:vAlign w:val="bottom"/>
          </w:tcPr>
          <w:p w14:paraId="5EA2009D" w14:textId="77777777" w:rsidR="003C66EB" w:rsidRDefault="00D96C4E">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A2009E" w14:textId="77777777" w:rsidR="003C66EB" w:rsidRDefault="00D96C4E">
            <w:pPr>
              <w:jc w:val="right"/>
              <w:textAlignment w:val="bottom"/>
            </w:pPr>
            <w:r>
              <w:rPr>
                <w:rFonts w:ascii="Arial" w:eastAsia="宋体" w:hAnsi="Arial" w:cs="Arial"/>
                <w:b/>
                <w:bCs/>
                <w:color w:val="000000"/>
                <w:sz w:val="14"/>
                <w:szCs w:val="14"/>
              </w:rPr>
              <w:t>2,571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A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A1" w14:textId="77777777" w:rsidR="003C66EB" w:rsidRDefault="00D96C4E">
            <w:pPr>
              <w:jc w:val="right"/>
              <w:textAlignment w:val="bottom"/>
            </w:pPr>
            <w:r>
              <w:rPr>
                <w:rFonts w:ascii="Arial" w:eastAsia="宋体" w:hAnsi="Arial" w:cs="Arial"/>
                <w:color w:val="000000"/>
                <w:sz w:val="14"/>
                <w:szCs w:val="14"/>
              </w:rPr>
              <w:t>2,809 </w:t>
            </w:r>
          </w:p>
        </w:tc>
        <w:tc>
          <w:tcPr>
            <w:tcW w:w="0" w:type="auto"/>
            <w:shd w:val="clear" w:color="auto" w:fill="CCEEFF"/>
            <w:tcMar>
              <w:top w:w="40" w:type="dxa"/>
              <w:left w:w="0" w:type="dxa"/>
              <w:bottom w:w="40" w:type="dxa"/>
              <w:right w:w="20" w:type="dxa"/>
            </w:tcMar>
            <w:vAlign w:val="bottom"/>
          </w:tcPr>
          <w:p w14:paraId="5EA200A2" w14:textId="77777777" w:rsidR="003C66EB" w:rsidRDefault="003C66EB">
            <w:pPr>
              <w:jc w:val="right"/>
              <w:rPr>
                <w:rFonts w:ascii="宋体"/>
              </w:rPr>
            </w:pPr>
          </w:p>
        </w:tc>
      </w:tr>
      <w:tr w:rsidR="003C66EB" w14:paraId="5EA200AA" w14:textId="77777777">
        <w:tc>
          <w:tcPr>
            <w:tcW w:w="0" w:type="auto"/>
            <w:gridSpan w:val="3"/>
            <w:shd w:val="clear" w:color="auto" w:fill="FFFFFF"/>
            <w:tcMar>
              <w:top w:w="40" w:type="dxa"/>
              <w:left w:w="20" w:type="dxa"/>
              <w:bottom w:w="40" w:type="dxa"/>
              <w:right w:w="20" w:type="dxa"/>
            </w:tcMar>
            <w:vAlign w:val="bottom"/>
          </w:tcPr>
          <w:p w14:paraId="5EA200A4" w14:textId="77777777" w:rsidR="003C66EB" w:rsidRDefault="00D96C4E">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5EA200A5" w14:textId="77777777" w:rsidR="003C66EB" w:rsidRDefault="00D96C4E">
            <w:pPr>
              <w:jc w:val="right"/>
              <w:textAlignment w:val="bottom"/>
            </w:pPr>
            <w:r>
              <w:rPr>
                <w:rFonts w:ascii="Arial" w:eastAsia="宋体" w:hAnsi="Arial" w:cs="Arial"/>
                <w:b/>
                <w:bCs/>
                <w:color w:val="000000"/>
                <w:sz w:val="14"/>
                <w:szCs w:val="14"/>
              </w:rPr>
              <w:t>2,468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A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A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A8" w14:textId="77777777" w:rsidR="003C66EB" w:rsidRDefault="00D96C4E">
            <w:pPr>
              <w:jc w:val="right"/>
              <w:textAlignment w:val="bottom"/>
            </w:pPr>
            <w:r>
              <w:rPr>
                <w:rFonts w:ascii="Arial" w:eastAsia="宋体" w:hAnsi="Arial" w:cs="Arial"/>
                <w:color w:val="000000"/>
                <w:sz w:val="14"/>
                <w:szCs w:val="14"/>
              </w:rPr>
              <w:t>2,829 </w:t>
            </w:r>
          </w:p>
        </w:tc>
        <w:tc>
          <w:tcPr>
            <w:tcW w:w="0" w:type="auto"/>
            <w:shd w:val="clear" w:color="auto" w:fill="FFFFFF"/>
            <w:tcMar>
              <w:top w:w="40" w:type="dxa"/>
              <w:left w:w="0" w:type="dxa"/>
              <w:bottom w:w="40" w:type="dxa"/>
              <w:right w:w="20" w:type="dxa"/>
            </w:tcMar>
            <w:vAlign w:val="bottom"/>
          </w:tcPr>
          <w:p w14:paraId="5EA200A9" w14:textId="77777777" w:rsidR="003C66EB" w:rsidRDefault="003C66EB">
            <w:pPr>
              <w:jc w:val="right"/>
              <w:rPr>
                <w:rFonts w:ascii="宋体"/>
              </w:rPr>
            </w:pPr>
          </w:p>
        </w:tc>
      </w:tr>
      <w:tr w:rsidR="003C66EB" w14:paraId="5EA200B1" w14:textId="77777777">
        <w:tc>
          <w:tcPr>
            <w:tcW w:w="0" w:type="auto"/>
            <w:gridSpan w:val="3"/>
            <w:shd w:val="clear" w:color="auto" w:fill="CCEEFF"/>
            <w:tcMar>
              <w:top w:w="40" w:type="dxa"/>
              <w:left w:w="20" w:type="dxa"/>
              <w:bottom w:w="40" w:type="dxa"/>
              <w:right w:w="20" w:type="dxa"/>
            </w:tcMar>
            <w:vAlign w:val="bottom"/>
          </w:tcPr>
          <w:p w14:paraId="5EA200AB" w14:textId="77777777" w:rsidR="003C66EB" w:rsidRDefault="00D96C4E">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5EA200AC" w14:textId="77777777" w:rsidR="003C66EB" w:rsidRDefault="00D96C4E">
            <w:pPr>
              <w:jc w:val="right"/>
              <w:textAlignment w:val="bottom"/>
            </w:pPr>
            <w:r>
              <w:rPr>
                <w:rFonts w:ascii="Arial" w:eastAsia="宋体" w:hAnsi="Arial" w:cs="Arial"/>
                <w:b/>
                <w:bCs/>
                <w:color w:val="000000"/>
                <w:sz w:val="14"/>
                <w:szCs w:val="14"/>
              </w:rPr>
              <w:t>2,022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A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AF" w14:textId="77777777" w:rsidR="003C66EB" w:rsidRDefault="00D96C4E">
            <w:pPr>
              <w:jc w:val="right"/>
              <w:textAlignment w:val="bottom"/>
            </w:pPr>
            <w:r>
              <w:rPr>
                <w:rFonts w:ascii="Arial" w:eastAsia="宋体" w:hAnsi="Arial" w:cs="Arial"/>
                <w:color w:val="000000"/>
                <w:sz w:val="14"/>
                <w:szCs w:val="14"/>
              </w:rPr>
              <w:t>2,155 </w:t>
            </w:r>
          </w:p>
        </w:tc>
        <w:tc>
          <w:tcPr>
            <w:tcW w:w="0" w:type="auto"/>
            <w:shd w:val="clear" w:color="auto" w:fill="CCEEFF"/>
            <w:tcMar>
              <w:top w:w="40" w:type="dxa"/>
              <w:left w:w="0" w:type="dxa"/>
              <w:bottom w:w="40" w:type="dxa"/>
              <w:right w:w="20" w:type="dxa"/>
            </w:tcMar>
            <w:vAlign w:val="bottom"/>
          </w:tcPr>
          <w:p w14:paraId="5EA200B0" w14:textId="77777777" w:rsidR="003C66EB" w:rsidRDefault="003C66EB">
            <w:pPr>
              <w:jc w:val="right"/>
              <w:rPr>
                <w:rFonts w:ascii="宋体"/>
              </w:rPr>
            </w:pPr>
          </w:p>
        </w:tc>
      </w:tr>
      <w:tr w:rsidR="003C66EB" w14:paraId="5EA200B8" w14:textId="77777777">
        <w:tc>
          <w:tcPr>
            <w:tcW w:w="0" w:type="auto"/>
            <w:gridSpan w:val="3"/>
            <w:shd w:val="clear" w:color="auto" w:fill="FFFFFF"/>
            <w:tcMar>
              <w:top w:w="40" w:type="dxa"/>
              <w:left w:w="20" w:type="dxa"/>
              <w:bottom w:w="40" w:type="dxa"/>
              <w:right w:w="20" w:type="dxa"/>
            </w:tcMar>
            <w:vAlign w:val="bottom"/>
          </w:tcPr>
          <w:p w14:paraId="5EA200B2" w14:textId="77777777" w:rsidR="003C66EB" w:rsidRDefault="00D96C4E">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5EA200B3" w14:textId="77777777" w:rsidR="003C66EB" w:rsidRDefault="00D96C4E">
            <w:pPr>
              <w:jc w:val="right"/>
              <w:textAlignment w:val="bottom"/>
            </w:pPr>
            <w:r>
              <w:rPr>
                <w:rFonts w:ascii="Arial" w:eastAsia="宋体" w:hAnsi="Arial" w:cs="Arial"/>
                <w:b/>
                <w:bCs/>
                <w:color w:val="000000"/>
                <w:sz w:val="14"/>
                <w:szCs w:val="14"/>
              </w:rPr>
              <w:t>1,421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B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B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B6" w14:textId="77777777" w:rsidR="003C66EB" w:rsidRDefault="00D96C4E">
            <w:pPr>
              <w:jc w:val="right"/>
              <w:textAlignment w:val="bottom"/>
            </w:pPr>
            <w:r>
              <w:rPr>
                <w:rFonts w:ascii="Arial" w:eastAsia="宋体" w:hAnsi="Arial" w:cs="Arial"/>
                <w:color w:val="000000"/>
                <w:sz w:val="14"/>
                <w:szCs w:val="14"/>
              </w:rPr>
              <w:t>1,209 </w:t>
            </w:r>
          </w:p>
        </w:tc>
        <w:tc>
          <w:tcPr>
            <w:tcW w:w="0" w:type="auto"/>
            <w:shd w:val="clear" w:color="auto" w:fill="FFFFFF"/>
            <w:tcMar>
              <w:top w:w="40" w:type="dxa"/>
              <w:left w:w="0" w:type="dxa"/>
              <w:bottom w:w="40" w:type="dxa"/>
              <w:right w:w="20" w:type="dxa"/>
            </w:tcMar>
            <w:vAlign w:val="bottom"/>
          </w:tcPr>
          <w:p w14:paraId="5EA200B7" w14:textId="77777777" w:rsidR="003C66EB" w:rsidRDefault="003C66EB">
            <w:pPr>
              <w:jc w:val="right"/>
              <w:rPr>
                <w:rFonts w:ascii="宋体"/>
              </w:rPr>
            </w:pPr>
          </w:p>
        </w:tc>
      </w:tr>
      <w:tr w:rsidR="003C66EB" w14:paraId="5EA200BF" w14:textId="77777777">
        <w:tc>
          <w:tcPr>
            <w:tcW w:w="0" w:type="auto"/>
            <w:gridSpan w:val="3"/>
            <w:shd w:val="clear" w:color="auto" w:fill="CCEEFF"/>
            <w:tcMar>
              <w:top w:w="40" w:type="dxa"/>
              <w:left w:w="20" w:type="dxa"/>
              <w:bottom w:w="40" w:type="dxa"/>
              <w:right w:w="20" w:type="dxa"/>
            </w:tcMar>
            <w:vAlign w:val="bottom"/>
          </w:tcPr>
          <w:p w14:paraId="5EA200B9" w14:textId="77777777" w:rsidR="003C66EB" w:rsidRDefault="00D96C4E">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5EA200BA" w14:textId="77777777" w:rsidR="003C66EB" w:rsidRDefault="00D96C4E">
            <w:pPr>
              <w:jc w:val="right"/>
              <w:textAlignment w:val="bottom"/>
            </w:pPr>
            <w:r>
              <w:rPr>
                <w:rFonts w:ascii="Arial" w:eastAsia="宋体" w:hAnsi="Arial" w:cs="Arial"/>
                <w:b/>
                <w:bCs/>
                <w:color w:val="000000"/>
                <w:sz w:val="14"/>
                <w:szCs w:val="14"/>
              </w:rPr>
              <w:t>1,365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B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BD" w14:textId="77777777" w:rsidR="003C66EB" w:rsidRDefault="00D96C4E">
            <w:pPr>
              <w:jc w:val="right"/>
              <w:textAlignment w:val="bottom"/>
            </w:pPr>
            <w:r>
              <w:rPr>
                <w:rFonts w:ascii="Arial" w:eastAsia="宋体" w:hAnsi="Arial" w:cs="Arial"/>
                <w:color w:val="000000"/>
                <w:sz w:val="14"/>
                <w:szCs w:val="14"/>
              </w:rPr>
              <w:t>1,528 </w:t>
            </w:r>
          </w:p>
        </w:tc>
        <w:tc>
          <w:tcPr>
            <w:tcW w:w="0" w:type="auto"/>
            <w:shd w:val="clear" w:color="auto" w:fill="CCEEFF"/>
            <w:tcMar>
              <w:top w:w="40" w:type="dxa"/>
              <w:left w:w="0" w:type="dxa"/>
              <w:bottom w:w="40" w:type="dxa"/>
              <w:right w:w="20" w:type="dxa"/>
            </w:tcMar>
            <w:vAlign w:val="bottom"/>
          </w:tcPr>
          <w:p w14:paraId="5EA200BE" w14:textId="77777777" w:rsidR="003C66EB" w:rsidRDefault="003C66EB">
            <w:pPr>
              <w:jc w:val="right"/>
              <w:rPr>
                <w:rFonts w:ascii="宋体"/>
              </w:rPr>
            </w:pPr>
          </w:p>
        </w:tc>
      </w:tr>
      <w:tr w:rsidR="003C66EB" w14:paraId="5EA200C6" w14:textId="77777777">
        <w:tc>
          <w:tcPr>
            <w:tcW w:w="0" w:type="auto"/>
            <w:gridSpan w:val="3"/>
            <w:shd w:val="clear" w:color="auto" w:fill="FFFFFF"/>
            <w:tcMar>
              <w:top w:w="40" w:type="dxa"/>
              <w:left w:w="20" w:type="dxa"/>
              <w:bottom w:w="40" w:type="dxa"/>
              <w:right w:w="20" w:type="dxa"/>
            </w:tcMar>
            <w:vAlign w:val="bottom"/>
          </w:tcPr>
          <w:p w14:paraId="5EA200C0" w14:textId="77777777" w:rsidR="003C66EB" w:rsidRDefault="00D96C4E">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5EA200C1" w14:textId="77777777" w:rsidR="003C66EB" w:rsidRDefault="00D96C4E">
            <w:pPr>
              <w:jc w:val="right"/>
              <w:textAlignment w:val="bottom"/>
            </w:pPr>
            <w:r>
              <w:rPr>
                <w:rFonts w:ascii="Arial" w:eastAsia="宋体" w:hAnsi="Arial" w:cs="Arial"/>
                <w:b/>
                <w:bCs/>
                <w:color w:val="000000"/>
                <w:sz w:val="14"/>
                <w:szCs w:val="14"/>
              </w:rPr>
              <w:t>1,268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C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C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C4" w14:textId="77777777" w:rsidR="003C66EB" w:rsidRDefault="00D96C4E">
            <w:pPr>
              <w:jc w:val="right"/>
              <w:textAlignment w:val="bottom"/>
            </w:pPr>
            <w:r>
              <w:rPr>
                <w:rFonts w:ascii="Arial" w:eastAsia="宋体" w:hAnsi="Arial" w:cs="Arial"/>
                <w:color w:val="000000"/>
                <w:sz w:val="14"/>
                <w:szCs w:val="14"/>
              </w:rPr>
              <w:t>1,544 </w:t>
            </w:r>
          </w:p>
        </w:tc>
        <w:tc>
          <w:tcPr>
            <w:tcW w:w="0" w:type="auto"/>
            <w:shd w:val="clear" w:color="auto" w:fill="FFFFFF"/>
            <w:tcMar>
              <w:top w:w="40" w:type="dxa"/>
              <w:left w:w="0" w:type="dxa"/>
              <w:bottom w:w="40" w:type="dxa"/>
              <w:right w:w="20" w:type="dxa"/>
            </w:tcMar>
            <w:vAlign w:val="bottom"/>
          </w:tcPr>
          <w:p w14:paraId="5EA200C5" w14:textId="77777777" w:rsidR="003C66EB" w:rsidRDefault="003C66EB">
            <w:pPr>
              <w:jc w:val="right"/>
              <w:rPr>
                <w:rFonts w:ascii="宋体"/>
              </w:rPr>
            </w:pPr>
          </w:p>
        </w:tc>
      </w:tr>
      <w:tr w:rsidR="003C66EB" w14:paraId="5EA200CD" w14:textId="77777777">
        <w:tc>
          <w:tcPr>
            <w:tcW w:w="0" w:type="auto"/>
            <w:gridSpan w:val="3"/>
            <w:shd w:val="clear" w:color="auto" w:fill="CCEEFF"/>
            <w:tcMar>
              <w:top w:w="40" w:type="dxa"/>
              <w:left w:w="20" w:type="dxa"/>
              <w:bottom w:w="40" w:type="dxa"/>
              <w:right w:w="20" w:type="dxa"/>
            </w:tcMar>
            <w:vAlign w:val="bottom"/>
          </w:tcPr>
          <w:p w14:paraId="5EA200C7" w14:textId="77777777" w:rsidR="003C66EB" w:rsidRDefault="00D96C4E">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5EA200C8" w14:textId="77777777" w:rsidR="003C66EB" w:rsidRDefault="00D96C4E">
            <w:pPr>
              <w:jc w:val="right"/>
              <w:textAlignment w:val="bottom"/>
            </w:pPr>
            <w:r>
              <w:rPr>
                <w:rFonts w:ascii="Arial" w:eastAsia="宋体" w:hAnsi="Arial" w:cs="Arial"/>
                <w:b/>
                <w:bCs/>
                <w:color w:val="000000"/>
                <w:sz w:val="14"/>
                <w:szCs w:val="14"/>
              </w:rPr>
              <w:t>1,228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C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CB" w14:textId="77777777" w:rsidR="003C66EB" w:rsidRDefault="00D96C4E">
            <w:pPr>
              <w:jc w:val="right"/>
              <w:textAlignment w:val="bottom"/>
            </w:pPr>
            <w:r>
              <w:rPr>
                <w:rFonts w:ascii="Arial" w:eastAsia="宋体" w:hAnsi="Arial" w:cs="Arial"/>
                <w:color w:val="000000"/>
                <w:sz w:val="14"/>
                <w:szCs w:val="14"/>
              </w:rPr>
              <w:t>1,642 </w:t>
            </w:r>
          </w:p>
        </w:tc>
        <w:tc>
          <w:tcPr>
            <w:tcW w:w="0" w:type="auto"/>
            <w:shd w:val="clear" w:color="auto" w:fill="CCEEFF"/>
            <w:tcMar>
              <w:top w:w="40" w:type="dxa"/>
              <w:left w:w="0" w:type="dxa"/>
              <w:bottom w:w="40" w:type="dxa"/>
              <w:right w:w="20" w:type="dxa"/>
            </w:tcMar>
            <w:vAlign w:val="bottom"/>
          </w:tcPr>
          <w:p w14:paraId="5EA200CC" w14:textId="77777777" w:rsidR="003C66EB" w:rsidRDefault="003C66EB">
            <w:pPr>
              <w:jc w:val="right"/>
              <w:rPr>
                <w:rFonts w:ascii="宋体"/>
              </w:rPr>
            </w:pPr>
          </w:p>
        </w:tc>
      </w:tr>
      <w:tr w:rsidR="003C66EB" w14:paraId="5EA200D4" w14:textId="77777777">
        <w:tc>
          <w:tcPr>
            <w:tcW w:w="0" w:type="auto"/>
            <w:gridSpan w:val="3"/>
            <w:shd w:val="clear" w:color="auto" w:fill="FFFFFF"/>
            <w:tcMar>
              <w:top w:w="40" w:type="dxa"/>
              <w:left w:w="20" w:type="dxa"/>
              <w:bottom w:w="40" w:type="dxa"/>
              <w:right w:w="20" w:type="dxa"/>
            </w:tcMar>
            <w:vAlign w:val="bottom"/>
          </w:tcPr>
          <w:p w14:paraId="5EA200CE" w14:textId="77777777" w:rsidR="003C66EB" w:rsidRDefault="00D96C4E">
            <w:pPr>
              <w:textAlignment w:val="bottom"/>
            </w:pPr>
            <w:r>
              <w:rPr>
                <w:rFonts w:ascii="Arial" w:eastAsia="宋体" w:hAnsi="Arial" w:cs="Arial"/>
                <w:color w:val="000000"/>
                <w:sz w:val="14"/>
                <w:szCs w:val="14"/>
              </w:rPr>
              <w:t>Belgium</w:t>
            </w:r>
          </w:p>
        </w:tc>
        <w:tc>
          <w:tcPr>
            <w:tcW w:w="0" w:type="auto"/>
            <w:gridSpan w:val="2"/>
            <w:shd w:val="clear" w:color="auto" w:fill="FFFFFF"/>
            <w:tcMar>
              <w:top w:w="40" w:type="dxa"/>
              <w:left w:w="20" w:type="dxa"/>
              <w:bottom w:w="40" w:type="dxa"/>
              <w:right w:w="0" w:type="dxa"/>
            </w:tcMar>
            <w:vAlign w:val="bottom"/>
          </w:tcPr>
          <w:p w14:paraId="5EA200CF" w14:textId="77777777" w:rsidR="003C66EB" w:rsidRDefault="00D96C4E">
            <w:pPr>
              <w:jc w:val="right"/>
              <w:textAlignment w:val="bottom"/>
            </w:pPr>
            <w:r>
              <w:rPr>
                <w:rFonts w:ascii="Arial" w:eastAsia="宋体" w:hAnsi="Arial" w:cs="Arial"/>
                <w:b/>
                <w:bCs/>
                <w:color w:val="000000"/>
                <w:sz w:val="14"/>
                <w:szCs w:val="14"/>
              </w:rPr>
              <w:t>1,220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D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D2" w14:textId="77777777" w:rsidR="003C66EB" w:rsidRDefault="00D96C4E">
            <w:pPr>
              <w:jc w:val="right"/>
              <w:textAlignment w:val="bottom"/>
            </w:pPr>
            <w:r>
              <w:rPr>
                <w:rFonts w:ascii="Arial" w:eastAsia="宋体" w:hAnsi="Arial" w:cs="Arial"/>
                <w:color w:val="000000"/>
                <w:sz w:val="14"/>
                <w:szCs w:val="14"/>
              </w:rPr>
              <w:t>1,618 </w:t>
            </w:r>
          </w:p>
        </w:tc>
        <w:tc>
          <w:tcPr>
            <w:tcW w:w="0" w:type="auto"/>
            <w:shd w:val="clear" w:color="auto" w:fill="FFFFFF"/>
            <w:tcMar>
              <w:top w:w="40" w:type="dxa"/>
              <w:left w:w="0" w:type="dxa"/>
              <w:bottom w:w="40" w:type="dxa"/>
              <w:right w:w="20" w:type="dxa"/>
            </w:tcMar>
            <w:vAlign w:val="bottom"/>
          </w:tcPr>
          <w:p w14:paraId="5EA200D3" w14:textId="77777777" w:rsidR="003C66EB" w:rsidRDefault="003C66EB">
            <w:pPr>
              <w:jc w:val="right"/>
              <w:rPr>
                <w:rFonts w:ascii="宋体"/>
              </w:rPr>
            </w:pPr>
          </w:p>
        </w:tc>
      </w:tr>
      <w:tr w:rsidR="003C66EB" w14:paraId="5EA200DB" w14:textId="77777777">
        <w:tc>
          <w:tcPr>
            <w:tcW w:w="0" w:type="auto"/>
            <w:gridSpan w:val="3"/>
            <w:shd w:val="clear" w:color="auto" w:fill="CCEEFF"/>
            <w:tcMar>
              <w:top w:w="40" w:type="dxa"/>
              <w:left w:w="20" w:type="dxa"/>
              <w:bottom w:w="40" w:type="dxa"/>
              <w:right w:w="20" w:type="dxa"/>
            </w:tcMar>
            <w:vAlign w:val="bottom"/>
          </w:tcPr>
          <w:p w14:paraId="5EA200D5" w14:textId="77777777" w:rsidR="003C66EB" w:rsidRDefault="00D96C4E">
            <w:pPr>
              <w:textAlignment w:val="bottom"/>
            </w:pPr>
            <w:r>
              <w:rPr>
                <w:rFonts w:ascii="Arial" w:eastAsia="宋体" w:hAnsi="Arial" w:cs="Arial"/>
                <w:color w:val="000000"/>
                <w:sz w:val="14"/>
                <w:szCs w:val="14"/>
              </w:rPr>
              <w:t>Asian</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00D6" w14:textId="77777777" w:rsidR="003C66EB" w:rsidRDefault="00D96C4E">
            <w:pPr>
              <w:jc w:val="right"/>
              <w:textAlignment w:val="bottom"/>
            </w:pPr>
            <w:r>
              <w:rPr>
                <w:rFonts w:ascii="Arial" w:eastAsia="宋体" w:hAnsi="Arial" w:cs="Arial"/>
                <w:b/>
                <w:bCs/>
                <w:color w:val="000000"/>
                <w:sz w:val="14"/>
                <w:szCs w:val="14"/>
              </w:rPr>
              <w:t>1,205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D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D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D9" w14:textId="77777777" w:rsidR="003C66EB" w:rsidRDefault="00D96C4E">
            <w:pPr>
              <w:jc w:val="right"/>
              <w:textAlignment w:val="bottom"/>
            </w:pPr>
            <w:r>
              <w:rPr>
                <w:rFonts w:ascii="Arial" w:eastAsia="宋体" w:hAnsi="Arial" w:cs="Arial"/>
                <w:color w:val="000000"/>
                <w:sz w:val="14"/>
                <w:szCs w:val="14"/>
              </w:rPr>
              <w:t>1,165 </w:t>
            </w:r>
          </w:p>
        </w:tc>
        <w:tc>
          <w:tcPr>
            <w:tcW w:w="0" w:type="auto"/>
            <w:shd w:val="clear" w:color="auto" w:fill="CCEEFF"/>
            <w:tcMar>
              <w:top w:w="40" w:type="dxa"/>
              <w:left w:w="0" w:type="dxa"/>
              <w:bottom w:w="40" w:type="dxa"/>
              <w:right w:w="20" w:type="dxa"/>
            </w:tcMar>
            <w:vAlign w:val="bottom"/>
          </w:tcPr>
          <w:p w14:paraId="5EA200DA" w14:textId="77777777" w:rsidR="003C66EB" w:rsidRDefault="003C66EB">
            <w:pPr>
              <w:jc w:val="right"/>
              <w:rPr>
                <w:rFonts w:ascii="宋体"/>
              </w:rPr>
            </w:pPr>
          </w:p>
        </w:tc>
      </w:tr>
      <w:tr w:rsidR="003C66EB" w14:paraId="5EA200E2" w14:textId="77777777">
        <w:tc>
          <w:tcPr>
            <w:tcW w:w="0" w:type="auto"/>
            <w:gridSpan w:val="3"/>
            <w:shd w:val="clear" w:color="auto" w:fill="FFFFFF"/>
            <w:tcMar>
              <w:top w:w="40" w:type="dxa"/>
              <w:left w:w="20" w:type="dxa"/>
              <w:bottom w:w="40" w:type="dxa"/>
              <w:right w:w="20" w:type="dxa"/>
            </w:tcMar>
            <w:vAlign w:val="bottom"/>
          </w:tcPr>
          <w:p w14:paraId="5EA200DC" w14:textId="77777777" w:rsidR="003C66EB" w:rsidRDefault="00D96C4E">
            <w:pPr>
              <w:textAlignment w:val="bottom"/>
            </w:pPr>
            <w:r>
              <w:rPr>
                <w:rFonts w:ascii="Arial" w:eastAsia="宋体" w:hAnsi="Arial" w:cs="Arial"/>
                <w:color w:val="000000"/>
                <w:sz w:val="14"/>
                <w:szCs w:val="14"/>
              </w:rPr>
              <w:t>Italy</w:t>
            </w:r>
          </w:p>
        </w:tc>
        <w:tc>
          <w:tcPr>
            <w:tcW w:w="0" w:type="auto"/>
            <w:gridSpan w:val="2"/>
            <w:shd w:val="clear" w:color="auto" w:fill="FFFFFF"/>
            <w:tcMar>
              <w:top w:w="40" w:type="dxa"/>
              <w:left w:w="20" w:type="dxa"/>
              <w:bottom w:w="40" w:type="dxa"/>
              <w:right w:w="0" w:type="dxa"/>
            </w:tcMar>
            <w:vAlign w:val="bottom"/>
          </w:tcPr>
          <w:p w14:paraId="5EA200DD" w14:textId="77777777" w:rsidR="003C66EB" w:rsidRDefault="00D96C4E">
            <w:pPr>
              <w:jc w:val="right"/>
              <w:textAlignment w:val="bottom"/>
            </w:pPr>
            <w:r>
              <w:rPr>
                <w:rFonts w:ascii="Arial" w:eastAsia="宋体" w:hAnsi="Arial" w:cs="Arial"/>
                <w:b/>
                <w:bCs/>
                <w:color w:val="000000"/>
                <w:sz w:val="14"/>
                <w:szCs w:val="14"/>
              </w:rPr>
              <w:t>924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D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E0" w14:textId="77777777" w:rsidR="003C66EB" w:rsidRDefault="00D96C4E">
            <w:pPr>
              <w:jc w:val="right"/>
              <w:textAlignment w:val="bottom"/>
            </w:pPr>
            <w:r>
              <w:rPr>
                <w:rFonts w:ascii="Arial" w:eastAsia="宋体" w:hAnsi="Arial" w:cs="Arial"/>
                <w:color w:val="000000"/>
                <w:sz w:val="14"/>
                <w:szCs w:val="14"/>
              </w:rPr>
              <w:t>1,014 </w:t>
            </w:r>
          </w:p>
        </w:tc>
        <w:tc>
          <w:tcPr>
            <w:tcW w:w="0" w:type="auto"/>
            <w:shd w:val="clear" w:color="auto" w:fill="FFFFFF"/>
            <w:tcMar>
              <w:top w:w="40" w:type="dxa"/>
              <w:left w:w="0" w:type="dxa"/>
              <w:bottom w:w="40" w:type="dxa"/>
              <w:right w:w="20" w:type="dxa"/>
            </w:tcMar>
            <w:vAlign w:val="bottom"/>
          </w:tcPr>
          <w:p w14:paraId="5EA200E1" w14:textId="77777777" w:rsidR="003C66EB" w:rsidRDefault="003C66EB">
            <w:pPr>
              <w:jc w:val="right"/>
              <w:rPr>
                <w:rFonts w:ascii="宋体"/>
              </w:rPr>
            </w:pPr>
          </w:p>
        </w:tc>
      </w:tr>
      <w:tr w:rsidR="003C66EB" w14:paraId="5EA200E9" w14:textId="77777777">
        <w:tc>
          <w:tcPr>
            <w:tcW w:w="0" w:type="auto"/>
            <w:gridSpan w:val="3"/>
            <w:shd w:val="clear" w:color="auto" w:fill="CCEEFF"/>
            <w:tcMar>
              <w:top w:w="40" w:type="dxa"/>
              <w:left w:w="20" w:type="dxa"/>
              <w:bottom w:w="40" w:type="dxa"/>
              <w:right w:w="20" w:type="dxa"/>
            </w:tcMar>
            <w:vAlign w:val="bottom"/>
          </w:tcPr>
          <w:p w14:paraId="5EA200E3" w14:textId="77777777" w:rsidR="003C66EB" w:rsidRDefault="00D96C4E">
            <w:pPr>
              <w:textAlignment w:val="bottom"/>
            </w:pPr>
            <w:r>
              <w:rPr>
                <w:rFonts w:ascii="Arial" w:eastAsia="宋体" w:hAnsi="Arial" w:cs="Arial"/>
                <w:color w:val="000000"/>
                <w:sz w:val="14"/>
                <w:szCs w:val="14"/>
              </w:rPr>
              <w:t>Finland</w:t>
            </w:r>
          </w:p>
        </w:tc>
        <w:tc>
          <w:tcPr>
            <w:tcW w:w="0" w:type="auto"/>
            <w:gridSpan w:val="2"/>
            <w:shd w:val="clear" w:color="auto" w:fill="CCEEFF"/>
            <w:tcMar>
              <w:top w:w="40" w:type="dxa"/>
              <w:left w:w="20" w:type="dxa"/>
              <w:bottom w:w="40" w:type="dxa"/>
              <w:right w:w="0" w:type="dxa"/>
            </w:tcMar>
            <w:vAlign w:val="bottom"/>
          </w:tcPr>
          <w:p w14:paraId="5EA200E4" w14:textId="77777777" w:rsidR="003C66EB" w:rsidRDefault="00D96C4E">
            <w:pPr>
              <w:jc w:val="right"/>
              <w:textAlignment w:val="bottom"/>
            </w:pPr>
            <w:r>
              <w:rPr>
                <w:rFonts w:ascii="Arial" w:eastAsia="宋体" w:hAnsi="Arial" w:cs="Arial"/>
                <w:b/>
                <w:bCs/>
                <w:color w:val="000000"/>
                <w:sz w:val="14"/>
                <w:szCs w:val="14"/>
              </w:rPr>
              <w:t>850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E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E7" w14:textId="77777777" w:rsidR="003C66EB" w:rsidRDefault="00D96C4E">
            <w:pPr>
              <w:jc w:val="right"/>
              <w:textAlignment w:val="bottom"/>
            </w:pPr>
            <w:r>
              <w:rPr>
                <w:rFonts w:ascii="Arial" w:eastAsia="宋体" w:hAnsi="Arial" w:cs="Arial"/>
                <w:color w:val="000000"/>
                <w:sz w:val="14"/>
                <w:szCs w:val="14"/>
              </w:rPr>
              <w:t>1,222 </w:t>
            </w:r>
          </w:p>
        </w:tc>
        <w:tc>
          <w:tcPr>
            <w:tcW w:w="0" w:type="auto"/>
            <w:shd w:val="clear" w:color="auto" w:fill="CCEEFF"/>
            <w:tcMar>
              <w:top w:w="40" w:type="dxa"/>
              <w:left w:w="0" w:type="dxa"/>
              <w:bottom w:w="40" w:type="dxa"/>
              <w:right w:w="20" w:type="dxa"/>
            </w:tcMar>
            <w:vAlign w:val="bottom"/>
          </w:tcPr>
          <w:p w14:paraId="5EA200E8" w14:textId="77777777" w:rsidR="003C66EB" w:rsidRDefault="003C66EB">
            <w:pPr>
              <w:jc w:val="right"/>
              <w:rPr>
                <w:rFonts w:ascii="宋体"/>
              </w:rPr>
            </w:pPr>
          </w:p>
        </w:tc>
      </w:tr>
      <w:tr w:rsidR="003C66EB" w14:paraId="5EA200F0" w14:textId="77777777">
        <w:tc>
          <w:tcPr>
            <w:tcW w:w="0" w:type="auto"/>
            <w:gridSpan w:val="3"/>
            <w:shd w:val="clear" w:color="auto" w:fill="FFFFFF"/>
            <w:tcMar>
              <w:top w:w="40" w:type="dxa"/>
              <w:left w:w="20" w:type="dxa"/>
              <w:bottom w:w="40" w:type="dxa"/>
              <w:right w:w="20" w:type="dxa"/>
            </w:tcMar>
            <w:vAlign w:val="bottom"/>
          </w:tcPr>
          <w:p w14:paraId="5EA200EA" w14:textId="77777777" w:rsidR="003C66EB" w:rsidRDefault="00D96C4E">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5EA200EB" w14:textId="77777777" w:rsidR="003C66EB" w:rsidRDefault="00D96C4E">
            <w:pPr>
              <w:jc w:val="right"/>
              <w:textAlignment w:val="bottom"/>
            </w:pPr>
            <w:r>
              <w:rPr>
                <w:rFonts w:ascii="Arial" w:eastAsia="宋体" w:hAnsi="Arial" w:cs="Arial"/>
                <w:b/>
                <w:bCs/>
                <w:color w:val="000000"/>
                <w:sz w:val="14"/>
                <w:szCs w:val="14"/>
              </w:rPr>
              <w:t>796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E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EE" w14:textId="77777777" w:rsidR="003C66EB" w:rsidRDefault="00D96C4E">
            <w:pPr>
              <w:jc w:val="right"/>
              <w:textAlignment w:val="bottom"/>
            </w:pPr>
            <w:r>
              <w:rPr>
                <w:rFonts w:ascii="Arial" w:eastAsia="宋体" w:hAnsi="Arial" w:cs="Arial"/>
                <w:color w:val="000000"/>
                <w:sz w:val="14"/>
                <w:szCs w:val="14"/>
              </w:rPr>
              <w:t>1,226 </w:t>
            </w:r>
          </w:p>
        </w:tc>
        <w:tc>
          <w:tcPr>
            <w:tcW w:w="0" w:type="auto"/>
            <w:shd w:val="clear" w:color="auto" w:fill="FFFFFF"/>
            <w:tcMar>
              <w:top w:w="40" w:type="dxa"/>
              <w:left w:w="0" w:type="dxa"/>
              <w:bottom w:w="40" w:type="dxa"/>
              <w:right w:w="20" w:type="dxa"/>
            </w:tcMar>
            <w:vAlign w:val="bottom"/>
          </w:tcPr>
          <w:p w14:paraId="5EA200EF" w14:textId="77777777" w:rsidR="003C66EB" w:rsidRDefault="003C66EB">
            <w:pPr>
              <w:jc w:val="right"/>
              <w:rPr>
                <w:rFonts w:ascii="宋体"/>
              </w:rPr>
            </w:pPr>
          </w:p>
        </w:tc>
      </w:tr>
      <w:tr w:rsidR="003C66EB" w14:paraId="5EA200F7" w14:textId="77777777">
        <w:tc>
          <w:tcPr>
            <w:tcW w:w="0" w:type="auto"/>
            <w:gridSpan w:val="3"/>
            <w:shd w:val="clear" w:color="auto" w:fill="CCEEFF"/>
            <w:tcMar>
              <w:top w:w="40" w:type="dxa"/>
              <w:left w:w="20" w:type="dxa"/>
              <w:bottom w:w="40" w:type="dxa"/>
              <w:right w:w="20" w:type="dxa"/>
            </w:tcMar>
            <w:vAlign w:val="bottom"/>
          </w:tcPr>
          <w:p w14:paraId="5EA200F1" w14:textId="77777777" w:rsidR="003C66EB" w:rsidRDefault="00D96C4E">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5EA200F2" w14:textId="77777777" w:rsidR="003C66EB" w:rsidRDefault="00D96C4E">
            <w:pPr>
              <w:jc w:val="right"/>
              <w:textAlignment w:val="bottom"/>
            </w:pPr>
            <w:r>
              <w:rPr>
                <w:rFonts w:ascii="Arial" w:eastAsia="宋体" w:hAnsi="Arial" w:cs="Arial"/>
                <w:b/>
                <w:bCs/>
                <w:color w:val="000000"/>
                <w:sz w:val="14"/>
                <w:szCs w:val="14"/>
              </w:rPr>
              <w:t>510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0F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0F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0F5" w14:textId="77777777" w:rsidR="003C66EB" w:rsidRDefault="00D96C4E">
            <w:pPr>
              <w:jc w:val="right"/>
              <w:textAlignment w:val="bottom"/>
            </w:pPr>
            <w:r>
              <w:rPr>
                <w:rFonts w:ascii="Arial" w:eastAsia="宋体" w:hAnsi="Arial" w:cs="Arial"/>
                <w:color w:val="000000"/>
                <w:sz w:val="14"/>
                <w:szCs w:val="14"/>
              </w:rPr>
              <w:t>560 </w:t>
            </w:r>
          </w:p>
        </w:tc>
        <w:tc>
          <w:tcPr>
            <w:tcW w:w="0" w:type="auto"/>
            <w:shd w:val="clear" w:color="auto" w:fill="CCEEFF"/>
            <w:tcMar>
              <w:top w:w="40" w:type="dxa"/>
              <w:left w:w="0" w:type="dxa"/>
              <w:bottom w:w="40" w:type="dxa"/>
              <w:right w:w="20" w:type="dxa"/>
            </w:tcMar>
            <w:vAlign w:val="bottom"/>
          </w:tcPr>
          <w:p w14:paraId="5EA200F6" w14:textId="77777777" w:rsidR="003C66EB" w:rsidRDefault="003C66EB">
            <w:pPr>
              <w:jc w:val="right"/>
              <w:rPr>
                <w:rFonts w:ascii="宋体"/>
              </w:rPr>
            </w:pPr>
          </w:p>
        </w:tc>
      </w:tr>
      <w:tr w:rsidR="003C66EB" w14:paraId="5EA200FE" w14:textId="77777777">
        <w:tc>
          <w:tcPr>
            <w:tcW w:w="0" w:type="auto"/>
            <w:gridSpan w:val="3"/>
            <w:shd w:val="clear" w:color="auto" w:fill="FFFFFF"/>
            <w:tcMar>
              <w:top w:w="40" w:type="dxa"/>
              <w:left w:w="20" w:type="dxa"/>
              <w:bottom w:w="40" w:type="dxa"/>
              <w:right w:w="20" w:type="dxa"/>
            </w:tcMar>
            <w:vAlign w:val="bottom"/>
          </w:tcPr>
          <w:p w14:paraId="5EA200F8" w14:textId="77777777" w:rsidR="003C66EB" w:rsidRDefault="00D96C4E">
            <w:pPr>
              <w:textAlignment w:val="bottom"/>
            </w:pPr>
            <w:r>
              <w:rPr>
                <w:rFonts w:ascii="Arial" w:eastAsia="宋体" w:hAnsi="Arial" w:cs="Arial"/>
                <w:color w:val="000000"/>
                <w:sz w:val="14"/>
                <w:szCs w:val="14"/>
              </w:rPr>
              <w:t>Hong Kong</w:t>
            </w:r>
          </w:p>
        </w:tc>
        <w:tc>
          <w:tcPr>
            <w:tcW w:w="0" w:type="auto"/>
            <w:gridSpan w:val="2"/>
            <w:shd w:val="clear" w:color="auto" w:fill="FFFFFF"/>
            <w:tcMar>
              <w:top w:w="40" w:type="dxa"/>
              <w:left w:w="20" w:type="dxa"/>
              <w:bottom w:w="40" w:type="dxa"/>
              <w:right w:w="0" w:type="dxa"/>
            </w:tcMar>
            <w:vAlign w:val="bottom"/>
          </w:tcPr>
          <w:p w14:paraId="5EA200F9" w14:textId="77777777" w:rsidR="003C66EB" w:rsidRDefault="00D96C4E">
            <w:pPr>
              <w:jc w:val="right"/>
              <w:textAlignment w:val="bottom"/>
            </w:pPr>
            <w:r>
              <w:rPr>
                <w:rFonts w:ascii="Arial" w:eastAsia="宋体" w:hAnsi="Arial" w:cs="Arial"/>
                <w:b/>
                <w:bCs/>
                <w:color w:val="000000"/>
                <w:sz w:val="14"/>
                <w:szCs w:val="14"/>
              </w:rPr>
              <w:t>205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0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0F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0FC" w14:textId="77777777" w:rsidR="003C66EB" w:rsidRDefault="00D96C4E">
            <w:pPr>
              <w:jc w:val="right"/>
              <w:textAlignment w:val="bottom"/>
            </w:pPr>
            <w:r>
              <w:rPr>
                <w:rFonts w:ascii="Arial" w:eastAsia="宋体" w:hAnsi="Arial" w:cs="Arial"/>
                <w:color w:val="000000"/>
                <w:sz w:val="14"/>
                <w:szCs w:val="14"/>
              </w:rPr>
              <w:t>162 </w:t>
            </w:r>
          </w:p>
        </w:tc>
        <w:tc>
          <w:tcPr>
            <w:tcW w:w="0" w:type="auto"/>
            <w:shd w:val="clear" w:color="auto" w:fill="FFFFFF"/>
            <w:tcMar>
              <w:top w:w="40" w:type="dxa"/>
              <w:left w:w="0" w:type="dxa"/>
              <w:bottom w:w="40" w:type="dxa"/>
              <w:right w:w="20" w:type="dxa"/>
            </w:tcMar>
            <w:vAlign w:val="bottom"/>
          </w:tcPr>
          <w:p w14:paraId="5EA200FD" w14:textId="77777777" w:rsidR="003C66EB" w:rsidRDefault="003C66EB">
            <w:pPr>
              <w:jc w:val="right"/>
              <w:rPr>
                <w:rFonts w:ascii="宋体"/>
              </w:rPr>
            </w:pPr>
          </w:p>
        </w:tc>
      </w:tr>
      <w:tr w:rsidR="003C66EB" w14:paraId="5EA20105" w14:textId="77777777">
        <w:tc>
          <w:tcPr>
            <w:tcW w:w="0" w:type="auto"/>
            <w:gridSpan w:val="3"/>
            <w:shd w:val="clear" w:color="auto" w:fill="CCEEFF"/>
            <w:tcMar>
              <w:top w:w="40" w:type="dxa"/>
              <w:left w:w="20" w:type="dxa"/>
              <w:bottom w:w="40" w:type="dxa"/>
              <w:right w:w="20" w:type="dxa"/>
            </w:tcMar>
            <w:vAlign w:val="bottom"/>
          </w:tcPr>
          <w:p w14:paraId="5EA200FF" w14:textId="77777777" w:rsidR="003C66EB" w:rsidRDefault="00D96C4E">
            <w:pPr>
              <w:textAlignment w:val="bottom"/>
            </w:pPr>
            <w:r>
              <w:rPr>
                <w:rFonts w:ascii="Arial" w:eastAsia="宋体" w:hAnsi="Arial" w:cs="Arial"/>
                <w:color w:val="000000"/>
                <w:sz w:val="14"/>
                <w:szCs w:val="14"/>
              </w:rPr>
              <w:t>Brazil</w:t>
            </w:r>
          </w:p>
        </w:tc>
        <w:tc>
          <w:tcPr>
            <w:tcW w:w="0" w:type="auto"/>
            <w:gridSpan w:val="2"/>
            <w:shd w:val="clear" w:color="auto" w:fill="CCEEFF"/>
            <w:tcMar>
              <w:top w:w="40" w:type="dxa"/>
              <w:left w:w="20" w:type="dxa"/>
              <w:bottom w:w="40" w:type="dxa"/>
              <w:right w:w="0" w:type="dxa"/>
            </w:tcMar>
            <w:vAlign w:val="bottom"/>
          </w:tcPr>
          <w:p w14:paraId="5EA20100" w14:textId="77777777" w:rsidR="003C66EB" w:rsidRDefault="00D96C4E">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10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0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03" w14:textId="77777777" w:rsidR="003C66EB" w:rsidRDefault="00D96C4E">
            <w:pPr>
              <w:jc w:val="right"/>
              <w:textAlignment w:val="bottom"/>
            </w:pPr>
            <w:r>
              <w:rPr>
                <w:rFonts w:ascii="Arial" w:eastAsia="宋体" w:hAnsi="Arial" w:cs="Arial"/>
                <w:color w:val="000000"/>
                <w:sz w:val="14"/>
                <w:szCs w:val="14"/>
              </w:rPr>
              <w:t>74 </w:t>
            </w:r>
          </w:p>
        </w:tc>
        <w:tc>
          <w:tcPr>
            <w:tcW w:w="0" w:type="auto"/>
            <w:shd w:val="clear" w:color="auto" w:fill="CCEEFF"/>
            <w:tcMar>
              <w:top w:w="40" w:type="dxa"/>
              <w:left w:w="0" w:type="dxa"/>
              <w:bottom w:w="40" w:type="dxa"/>
              <w:right w:w="20" w:type="dxa"/>
            </w:tcMar>
            <w:vAlign w:val="bottom"/>
          </w:tcPr>
          <w:p w14:paraId="5EA20104" w14:textId="77777777" w:rsidR="003C66EB" w:rsidRDefault="003C66EB">
            <w:pPr>
              <w:jc w:val="right"/>
              <w:rPr>
                <w:rFonts w:ascii="宋体"/>
              </w:rPr>
            </w:pPr>
          </w:p>
        </w:tc>
      </w:tr>
      <w:tr w:rsidR="003C66EB" w14:paraId="5EA2010C" w14:textId="77777777">
        <w:tc>
          <w:tcPr>
            <w:tcW w:w="0" w:type="auto"/>
            <w:gridSpan w:val="3"/>
            <w:shd w:val="clear" w:color="auto" w:fill="FFFFFF"/>
            <w:tcMar>
              <w:top w:w="40" w:type="dxa"/>
              <w:left w:w="20" w:type="dxa"/>
              <w:bottom w:w="40" w:type="dxa"/>
              <w:right w:w="20" w:type="dxa"/>
            </w:tcMar>
            <w:vAlign w:val="bottom"/>
          </w:tcPr>
          <w:p w14:paraId="5EA20106" w14:textId="77777777" w:rsidR="003C66EB" w:rsidRDefault="00D96C4E">
            <w:pPr>
              <w:textAlignment w:val="bottom"/>
            </w:pPr>
            <w:r>
              <w:rPr>
                <w:rFonts w:ascii="Arial" w:eastAsia="宋体" w:hAnsi="Arial" w:cs="Arial"/>
                <w:color w:val="000000"/>
                <w:sz w:val="14"/>
                <w:szCs w:val="14"/>
              </w:rPr>
              <w:t>Sweden</w:t>
            </w:r>
          </w:p>
        </w:tc>
        <w:tc>
          <w:tcPr>
            <w:tcW w:w="0" w:type="auto"/>
            <w:gridSpan w:val="2"/>
            <w:shd w:val="clear" w:color="auto" w:fill="FFFFFF"/>
            <w:tcMar>
              <w:top w:w="40" w:type="dxa"/>
              <w:left w:w="20" w:type="dxa"/>
              <w:bottom w:w="40" w:type="dxa"/>
              <w:right w:w="0" w:type="dxa"/>
            </w:tcMar>
            <w:vAlign w:val="bottom"/>
          </w:tcPr>
          <w:p w14:paraId="5EA20107" w14:textId="77777777" w:rsidR="003C66EB" w:rsidRDefault="00D96C4E">
            <w:pPr>
              <w:jc w:val="right"/>
              <w:textAlignment w:val="bottom"/>
            </w:pPr>
            <w:r>
              <w:rPr>
                <w:rFonts w:ascii="Arial" w:eastAsia="宋体" w:hAnsi="Arial" w:cs="Arial"/>
                <w:b/>
                <w:bCs/>
                <w:color w:val="000000"/>
                <w:sz w:val="14"/>
                <w:szCs w:val="14"/>
              </w:rPr>
              <w:t>184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10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0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0A" w14:textId="77777777" w:rsidR="003C66EB" w:rsidRDefault="00D96C4E">
            <w:pPr>
              <w:jc w:val="right"/>
              <w:textAlignment w:val="bottom"/>
            </w:pPr>
            <w:r>
              <w:rPr>
                <w:rFonts w:ascii="Arial" w:eastAsia="宋体" w:hAnsi="Arial" w:cs="Arial"/>
                <w:color w:val="000000"/>
                <w:sz w:val="14"/>
                <w:szCs w:val="14"/>
              </w:rPr>
              <w:t>212 </w:t>
            </w:r>
          </w:p>
        </w:tc>
        <w:tc>
          <w:tcPr>
            <w:tcW w:w="0" w:type="auto"/>
            <w:shd w:val="clear" w:color="auto" w:fill="FFFFFF"/>
            <w:tcMar>
              <w:top w:w="40" w:type="dxa"/>
              <w:left w:w="0" w:type="dxa"/>
              <w:bottom w:w="40" w:type="dxa"/>
              <w:right w:w="20" w:type="dxa"/>
            </w:tcMar>
            <w:vAlign w:val="bottom"/>
          </w:tcPr>
          <w:p w14:paraId="5EA2010B" w14:textId="77777777" w:rsidR="003C66EB" w:rsidRDefault="003C66EB">
            <w:pPr>
              <w:jc w:val="right"/>
              <w:rPr>
                <w:rFonts w:ascii="宋体"/>
              </w:rPr>
            </w:pPr>
          </w:p>
        </w:tc>
      </w:tr>
      <w:tr w:rsidR="003C66EB" w14:paraId="5EA20113" w14:textId="77777777">
        <w:tc>
          <w:tcPr>
            <w:tcW w:w="0" w:type="auto"/>
            <w:gridSpan w:val="3"/>
            <w:shd w:val="clear" w:color="auto" w:fill="CCEEFF"/>
            <w:tcMar>
              <w:top w:w="40" w:type="dxa"/>
              <w:left w:w="20" w:type="dxa"/>
              <w:bottom w:w="40" w:type="dxa"/>
              <w:right w:w="20" w:type="dxa"/>
            </w:tcMar>
            <w:vAlign w:val="bottom"/>
          </w:tcPr>
          <w:p w14:paraId="5EA2010D" w14:textId="77777777" w:rsidR="003C66EB" w:rsidRDefault="00D96C4E">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5EA2010E" w14:textId="77777777" w:rsidR="003C66EB" w:rsidRDefault="00D96C4E">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1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1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11" w14:textId="77777777" w:rsidR="003C66EB" w:rsidRDefault="00D96C4E">
            <w:pPr>
              <w:jc w:val="right"/>
              <w:textAlignment w:val="bottom"/>
            </w:pPr>
            <w:r>
              <w:rPr>
                <w:rFonts w:ascii="Arial" w:eastAsia="宋体" w:hAnsi="Arial" w:cs="Arial"/>
                <w:color w:val="000000"/>
                <w:sz w:val="14"/>
                <w:szCs w:val="14"/>
              </w:rPr>
              <w:t>83 </w:t>
            </w:r>
          </w:p>
        </w:tc>
        <w:tc>
          <w:tcPr>
            <w:tcW w:w="0" w:type="auto"/>
            <w:shd w:val="clear" w:color="auto" w:fill="CCEEFF"/>
            <w:tcMar>
              <w:top w:w="40" w:type="dxa"/>
              <w:left w:w="0" w:type="dxa"/>
              <w:bottom w:w="40" w:type="dxa"/>
              <w:right w:w="20" w:type="dxa"/>
            </w:tcMar>
            <w:vAlign w:val="bottom"/>
          </w:tcPr>
          <w:p w14:paraId="5EA20112" w14:textId="77777777" w:rsidR="003C66EB" w:rsidRDefault="003C66EB">
            <w:pPr>
              <w:jc w:val="right"/>
              <w:rPr>
                <w:rFonts w:ascii="宋体"/>
              </w:rPr>
            </w:pPr>
          </w:p>
        </w:tc>
      </w:tr>
      <w:tr w:rsidR="003C66EB" w14:paraId="5EA2011A" w14:textId="77777777">
        <w:tc>
          <w:tcPr>
            <w:tcW w:w="0" w:type="auto"/>
            <w:gridSpan w:val="3"/>
            <w:shd w:val="clear" w:color="auto" w:fill="FFFFFF"/>
            <w:tcMar>
              <w:top w:w="40" w:type="dxa"/>
              <w:left w:w="20" w:type="dxa"/>
              <w:bottom w:w="40" w:type="dxa"/>
              <w:right w:w="20" w:type="dxa"/>
            </w:tcMar>
            <w:vAlign w:val="bottom"/>
          </w:tcPr>
          <w:p w14:paraId="5EA20114" w14:textId="77777777" w:rsidR="003C66EB" w:rsidRDefault="00D96C4E">
            <w:pPr>
              <w:textAlignment w:val="bottom"/>
            </w:pPr>
            <w:r>
              <w:rPr>
                <w:rFonts w:ascii="Arial" w:eastAsia="宋体" w:hAnsi="Arial" w:cs="Arial"/>
                <w:color w:val="000000"/>
                <w:sz w:val="14"/>
                <w:szCs w:val="14"/>
              </w:rPr>
              <w:t>Norway</w:t>
            </w:r>
          </w:p>
        </w:tc>
        <w:tc>
          <w:tcPr>
            <w:tcW w:w="0" w:type="auto"/>
            <w:gridSpan w:val="2"/>
            <w:shd w:val="clear" w:color="auto" w:fill="FFFFFF"/>
            <w:tcMar>
              <w:top w:w="40" w:type="dxa"/>
              <w:left w:w="20" w:type="dxa"/>
              <w:bottom w:w="40" w:type="dxa"/>
              <w:right w:w="0" w:type="dxa"/>
            </w:tcMar>
            <w:vAlign w:val="bottom"/>
          </w:tcPr>
          <w:p w14:paraId="5EA20115" w14:textId="77777777" w:rsidR="003C66EB" w:rsidRDefault="00D96C4E">
            <w:pPr>
              <w:jc w:val="right"/>
              <w:textAlignment w:val="bottom"/>
            </w:pPr>
            <w:r>
              <w:rPr>
                <w:rFonts w:ascii="Arial" w:eastAsia="宋体" w:hAnsi="Arial" w:cs="Arial"/>
                <w:b/>
                <w:bCs/>
                <w:color w:val="000000"/>
                <w:sz w:val="14"/>
                <w:szCs w:val="14"/>
              </w:rPr>
              <w:t>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11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1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18" w14:textId="77777777" w:rsidR="003C66EB" w:rsidRDefault="00D96C4E">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5EA20119" w14:textId="77777777" w:rsidR="003C66EB" w:rsidRDefault="003C66EB">
            <w:pPr>
              <w:jc w:val="right"/>
              <w:rPr>
                <w:rFonts w:ascii="宋体"/>
              </w:rPr>
            </w:pPr>
          </w:p>
        </w:tc>
      </w:tr>
      <w:tr w:rsidR="003C66EB" w14:paraId="5EA20121" w14:textId="77777777">
        <w:tc>
          <w:tcPr>
            <w:tcW w:w="0" w:type="auto"/>
            <w:gridSpan w:val="3"/>
            <w:shd w:val="clear" w:color="auto" w:fill="CCEEFF"/>
            <w:tcMar>
              <w:top w:w="40" w:type="dxa"/>
              <w:left w:w="20" w:type="dxa"/>
              <w:bottom w:w="40" w:type="dxa"/>
              <w:right w:w="20" w:type="dxa"/>
            </w:tcMar>
            <w:vAlign w:val="bottom"/>
          </w:tcPr>
          <w:p w14:paraId="5EA2011B" w14:textId="77777777" w:rsidR="003C66EB" w:rsidRDefault="00D96C4E">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EA2011C" w14:textId="77777777" w:rsidR="003C66EB" w:rsidRDefault="00D96C4E">
            <w:pPr>
              <w:jc w:val="right"/>
              <w:textAlignment w:val="bottom"/>
            </w:pPr>
            <w:r>
              <w:rPr>
                <w:rFonts w:ascii="Arial" w:eastAsia="宋体" w:hAnsi="Arial" w:cs="Arial"/>
                <w:b/>
                <w:bCs/>
                <w:color w:val="000000"/>
                <w:sz w:val="14"/>
                <w:szCs w:val="14"/>
              </w:rPr>
              <w:t>2,666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1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1F" w14:textId="77777777" w:rsidR="003C66EB" w:rsidRDefault="00D96C4E">
            <w:pPr>
              <w:jc w:val="right"/>
              <w:textAlignment w:val="bottom"/>
            </w:pPr>
            <w:r>
              <w:rPr>
                <w:rFonts w:ascii="Arial" w:eastAsia="宋体" w:hAnsi="Arial" w:cs="Arial"/>
                <w:color w:val="000000"/>
                <w:sz w:val="14"/>
                <w:szCs w:val="14"/>
              </w:rPr>
              <w:t>2,217 </w:t>
            </w:r>
          </w:p>
        </w:tc>
        <w:tc>
          <w:tcPr>
            <w:tcW w:w="0" w:type="auto"/>
            <w:shd w:val="clear" w:color="auto" w:fill="CCEEFF"/>
            <w:tcMar>
              <w:top w:w="40" w:type="dxa"/>
              <w:left w:w="0" w:type="dxa"/>
              <w:bottom w:w="40" w:type="dxa"/>
              <w:right w:w="20" w:type="dxa"/>
            </w:tcMar>
            <w:vAlign w:val="bottom"/>
          </w:tcPr>
          <w:p w14:paraId="5EA20120" w14:textId="77777777" w:rsidR="003C66EB" w:rsidRDefault="003C66EB">
            <w:pPr>
              <w:jc w:val="right"/>
              <w:rPr>
                <w:rFonts w:ascii="宋体"/>
              </w:rPr>
            </w:pPr>
          </w:p>
        </w:tc>
      </w:tr>
      <w:tr w:rsidR="003C66EB" w14:paraId="5EA2012A" w14:textId="77777777">
        <w:tc>
          <w:tcPr>
            <w:tcW w:w="0" w:type="auto"/>
            <w:gridSpan w:val="3"/>
            <w:shd w:val="clear" w:color="auto" w:fill="FFFFFF"/>
            <w:tcMar>
              <w:top w:w="40" w:type="dxa"/>
              <w:left w:w="20" w:type="dxa"/>
              <w:bottom w:w="40" w:type="dxa"/>
              <w:right w:w="20" w:type="dxa"/>
            </w:tcMar>
            <w:vAlign w:val="bottom"/>
          </w:tcPr>
          <w:p w14:paraId="5EA20122"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012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124" w14:textId="77777777" w:rsidR="003C66EB" w:rsidRDefault="00D96C4E">
            <w:pPr>
              <w:jc w:val="right"/>
              <w:textAlignment w:val="bottom"/>
            </w:pPr>
            <w:r>
              <w:rPr>
                <w:rFonts w:ascii="Arial" w:eastAsia="宋体" w:hAnsi="Arial" w:cs="Arial"/>
                <w:b/>
                <w:bCs/>
                <w:color w:val="000000"/>
                <w:sz w:val="14"/>
                <w:szCs w:val="14"/>
              </w:rPr>
              <w:t>27,948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1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2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12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128" w14:textId="77777777" w:rsidR="003C66EB" w:rsidRDefault="00D96C4E">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129" w14:textId="77777777" w:rsidR="003C66EB" w:rsidRDefault="003C66EB">
            <w:pPr>
              <w:jc w:val="right"/>
              <w:rPr>
                <w:rFonts w:ascii="宋体"/>
              </w:rPr>
            </w:pPr>
          </w:p>
        </w:tc>
      </w:tr>
      <w:tr w:rsidR="003C66EB" w14:paraId="5EA2012F" w14:textId="77777777">
        <w:tc>
          <w:tcPr>
            <w:tcW w:w="0" w:type="auto"/>
            <w:gridSpan w:val="3"/>
            <w:shd w:val="clear" w:color="auto" w:fill="CCEEFF"/>
            <w:tcMar>
              <w:top w:w="40" w:type="dxa"/>
              <w:left w:w="20" w:type="dxa"/>
              <w:bottom w:w="40" w:type="dxa"/>
              <w:right w:w="20" w:type="dxa"/>
            </w:tcMar>
            <w:vAlign w:val="bottom"/>
          </w:tcPr>
          <w:p w14:paraId="5EA2012B" w14:textId="77777777" w:rsidR="003C66EB" w:rsidRDefault="00D96C4E">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tcPr>
          <w:p w14:paraId="5EA2012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12D"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12E" w14:textId="77777777" w:rsidR="003C66EB" w:rsidRDefault="003C66EB">
            <w:pPr>
              <w:rPr>
                <w:rFonts w:ascii="宋体"/>
              </w:rPr>
            </w:pPr>
          </w:p>
        </w:tc>
      </w:tr>
      <w:tr w:rsidR="003C66EB" w14:paraId="5EA20138" w14:textId="77777777">
        <w:tc>
          <w:tcPr>
            <w:tcW w:w="0" w:type="auto"/>
            <w:gridSpan w:val="3"/>
            <w:shd w:val="clear" w:color="auto" w:fill="FFFFFF"/>
            <w:tcMar>
              <w:top w:w="40" w:type="dxa"/>
              <w:left w:w="20" w:type="dxa"/>
              <w:bottom w:w="40" w:type="dxa"/>
              <w:right w:w="20" w:type="dxa"/>
            </w:tcMar>
            <w:vAlign w:val="bottom"/>
          </w:tcPr>
          <w:p w14:paraId="5EA20130" w14:textId="77777777" w:rsidR="003C66EB" w:rsidRDefault="00D96C4E">
            <w:pPr>
              <w:textAlignment w:val="bottom"/>
            </w:pPr>
            <w:r>
              <w:rPr>
                <w:rFonts w:ascii="Arial" w:eastAsia="宋体" w:hAnsi="Arial" w:cs="Arial"/>
                <w:color w:val="000000"/>
                <w:sz w:val="14"/>
                <w:szCs w:val="14"/>
              </w:rPr>
              <w:t>Singapore</w:t>
            </w:r>
          </w:p>
        </w:tc>
        <w:tc>
          <w:tcPr>
            <w:tcW w:w="0" w:type="auto"/>
            <w:shd w:val="clear" w:color="auto" w:fill="FFFFFF"/>
            <w:tcMar>
              <w:top w:w="40" w:type="dxa"/>
              <w:left w:w="20" w:type="dxa"/>
              <w:bottom w:w="40" w:type="dxa"/>
              <w:right w:w="0" w:type="dxa"/>
            </w:tcMar>
            <w:vAlign w:val="bottom"/>
          </w:tcPr>
          <w:p w14:paraId="5EA20131"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EA20132" w14:textId="77777777" w:rsidR="003C66EB" w:rsidRDefault="00D96C4E">
            <w:pPr>
              <w:jc w:val="right"/>
              <w:textAlignment w:val="bottom"/>
            </w:pPr>
            <w:r>
              <w:rPr>
                <w:rFonts w:ascii="Arial" w:eastAsia="宋体" w:hAnsi="Arial" w:cs="Arial"/>
                <w:b/>
                <w:bCs/>
                <w:color w:val="000000"/>
                <w:sz w:val="14"/>
                <w:szCs w:val="14"/>
              </w:rPr>
              <w:t>247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1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34"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13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A20136" w14:textId="77777777" w:rsidR="003C66EB" w:rsidRDefault="00D96C4E">
            <w:pPr>
              <w:jc w:val="right"/>
              <w:textAlignment w:val="bottom"/>
            </w:pPr>
            <w:r>
              <w:rPr>
                <w:rFonts w:ascii="Arial" w:eastAsia="宋体" w:hAnsi="Arial" w:cs="Arial"/>
                <w:color w:val="000000"/>
                <w:sz w:val="14"/>
                <w:szCs w:val="14"/>
              </w:rPr>
              <w:t>342 </w:t>
            </w:r>
          </w:p>
        </w:tc>
        <w:tc>
          <w:tcPr>
            <w:tcW w:w="0" w:type="auto"/>
            <w:shd w:val="clear" w:color="auto" w:fill="FFFFFF"/>
            <w:tcMar>
              <w:top w:w="40" w:type="dxa"/>
              <w:left w:w="0" w:type="dxa"/>
              <w:bottom w:w="40" w:type="dxa"/>
              <w:right w:w="20" w:type="dxa"/>
            </w:tcMar>
            <w:vAlign w:val="bottom"/>
          </w:tcPr>
          <w:p w14:paraId="5EA20137" w14:textId="77777777" w:rsidR="003C66EB" w:rsidRDefault="003C66EB">
            <w:pPr>
              <w:jc w:val="right"/>
              <w:rPr>
                <w:rFonts w:ascii="宋体"/>
              </w:rPr>
            </w:pPr>
          </w:p>
        </w:tc>
      </w:tr>
      <w:tr w:rsidR="003C66EB" w14:paraId="5EA2013F" w14:textId="77777777">
        <w:tc>
          <w:tcPr>
            <w:tcW w:w="0" w:type="auto"/>
            <w:gridSpan w:val="3"/>
            <w:shd w:val="clear" w:color="auto" w:fill="CCEEFF"/>
            <w:tcMar>
              <w:top w:w="40" w:type="dxa"/>
              <w:left w:w="20" w:type="dxa"/>
              <w:bottom w:w="40" w:type="dxa"/>
              <w:right w:w="20" w:type="dxa"/>
            </w:tcMar>
            <w:vAlign w:val="bottom"/>
          </w:tcPr>
          <w:p w14:paraId="5EA20139" w14:textId="77777777" w:rsidR="003C66EB" w:rsidRDefault="00D96C4E">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A2013A" w14:textId="77777777" w:rsidR="003C66EB" w:rsidRDefault="00D96C4E">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13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3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3D" w14:textId="77777777" w:rsidR="003C66EB" w:rsidRDefault="00D96C4E">
            <w:pPr>
              <w:jc w:val="right"/>
              <w:textAlignment w:val="bottom"/>
            </w:pPr>
            <w:r>
              <w:rPr>
                <w:rFonts w:ascii="Arial" w:eastAsia="宋体" w:hAnsi="Arial" w:cs="Arial"/>
                <w:color w:val="000000"/>
                <w:sz w:val="14"/>
                <w:szCs w:val="14"/>
              </w:rPr>
              <w:t>90 </w:t>
            </w:r>
          </w:p>
        </w:tc>
        <w:tc>
          <w:tcPr>
            <w:tcW w:w="0" w:type="auto"/>
            <w:shd w:val="clear" w:color="auto" w:fill="CCEEFF"/>
            <w:tcMar>
              <w:top w:w="40" w:type="dxa"/>
              <w:left w:w="0" w:type="dxa"/>
              <w:bottom w:w="40" w:type="dxa"/>
              <w:right w:w="20" w:type="dxa"/>
            </w:tcMar>
            <w:vAlign w:val="bottom"/>
          </w:tcPr>
          <w:p w14:paraId="5EA2013E" w14:textId="77777777" w:rsidR="003C66EB" w:rsidRDefault="003C66EB">
            <w:pPr>
              <w:jc w:val="right"/>
              <w:rPr>
                <w:rFonts w:ascii="宋体"/>
              </w:rPr>
            </w:pPr>
          </w:p>
        </w:tc>
      </w:tr>
      <w:tr w:rsidR="003C66EB" w14:paraId="5EA20146" w14:textId="77777777">
        <w:tc>
          <w:tcPr>
            <w:tcW w:w="0" w:type="auto"/>
            <w:gridSpan w:val="3"/>
            <w:shd w:val="clear" w:color="auto" w:fill="FFFFFF"/>
            <w:tcMar>
              <w:top w:w="40" w:type="dxa"/>
              <w:left w:w="20" w:type="dxa"/>
              <w:bottom w:w="40" w:type="dxa"/>
              <w:right w:w="20" w:type="dxa"/>
            </w:tcMar>
            <w:vAlign w:val="bottom"/>
          </w:tcPr>
          <w:p w14:paraId="5EA20140" w14:textId="77777777" w:rsidR="003C66EB" w:rsidRDefault="00D96C4E">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5EA20141" w14:textId="77777777" w:rsidR="003C66EB" w:rsidRDefault="00D96C4E">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1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44" w14:textId="77777777" w:rsidR="003C66EB" w:rsidRDefault="00D96C4E">
            <w:pPr>
              <w:jc w:val="right"/>
              <w:textAlignment w:val="bottom"/>
            </w:pPr>
            <w:r>
              <w:rPr>
                <w:rFonts w:ascii="Arial" w:eastAsia="宋体" w:hAnsi="Arial" w:cs="Arial"/>
                <w:color w:val="000000"/>
                <w:sz w:val="14"/>
                <w:szCs w:val="14"/>
              </w:rPr>
              <w:t>84 </w:t>
            </w:r>
          </w:p>
        </w:tc>
        <w:tc>
          <w:tcPr>
            <w:tcW w:w="0" w:type="auto"/>
            <w:shd w:val="clear" w:color="auto" w:fill="FFFFFF"/>
            <w:tcMar>
              <w:top w:w="40" w:type="dxa"/>
              <w:left w:w="0" w:type="dxa"/>
              <w:bottom w:w="40" w:type="dxa"/>
              <w:right w:w="20" w:type="dxa"/>
            </w:tcMar>
            <w:vAlign w:val="bottom"/>
          </w:tcPr>
          <w:p w14:paraId="5EA20145" w14:textId="77777777" w:rsidR="003C66EB" w:rsidRDefault="003C66EB">
            <w:pPr>
              <w:jc w:val="right"/>
              <w:rPr>
                <w:rFonts w:ascii="宋体"/>
              </w:rPr>
            </w:pPr>
          </w:p>
        </w:tc>
      </w:tr>
      <w:tr w:rsidR="003C66EB" w14:paraId="5EA2014D" w14:textId="77777777">
        <w:tc>
          <w:tcPr>
            <w:tcW w:w="0" w:type="auto"/>
            <w:gridSpan w:val="3"/>
            <w:shd w:val="clear" w:color="auto" w:fill="CCEEFF"/>
            <w:tcMar>
              <w:top w:w="40" w:type="dxa"/>
              <w:left w:w="20" w:type="dxa"/>
              <w:bottom w:w="40" w:type="dxa"/>
              <w:right w:w="20" w:type="dxa"/>
            </w:tcMar>
            <w:vAlign w:val="bottom"/>
          </w:tcPr>
          <w:p w14:paraId="5EA20147" w14:textId="77777777" w:rsidR="003C66EB" w:rsidRDefault="00D96C4E">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5EA20148" w14:textId="77777777" w:rsidR="003C66EB" w:rsidRDefault="00D96C4E">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14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4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4B" w14:textId="77777777" w:rsidR="003C66EB" w:rsidRDefault="00D96C4E">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5EA2014C" w14:textId="77777777" w:rsidR="003C66EB" w:rsidRDefault="003C66EB">
            <w:pPr>
              <w:jc w:val="right"/>
              <w:rPr>
                <w:rFonts w:ascii="宋体"/>
              </w:rPr>
            </w:pPr>
          </w:p>
        </w:tc>
      </w:tr>
      <w:tr w:rsidR="003C66EB" w14:paraId="5EA20152" w14:textId="77777777">
        <w:trPr>
          <w:hidden/>
        </w:trPr>
        <w:tc>
          <w:tcPr>
            <w:tcW w:w="0" w:type="auto"/>
            <w:gridSpan w:val="3"/>
            <w:shd w:val="clear" w:color="auto" w:fill="auto"/>
          </w:tcPr>
          <w:p w14:paraId="5EA2014E" w14:textId="77777777" w:rsidR="003C66EB" w:rsidRDefault="003C66EB">
            <w:pPr>
              <w:rPr>
                <w:rFonts w:ascii="宋体"/>
                <w:vanish/>
              </w:rPr>
            </w:pPr>
          </w:p>
        </w:tc>
        <w:tc>
          <w:tcPr>
            <w:tcW w:w="0" w:type="auto"/>
            <w:gridSpan w:val="3"/>
            <w:shd w:val="clear" w:color="auto" w:fill="auto"/>
          </w:tcPr>
          <w:p w14:paraId="5EA2014F" w14:textId="77777777" w:rsidR="003C66EB" w:rsidRDefault="003C66EB">
            <w:pPr>
              <w:rPr>
                <w:rFonts w:ascii="宋体"/>
                <w:vanish/>
              </w:rPr>
            </w:pPr>
          </w:p>
        </w:tc>
        <w:tc>
          <w:tcPr>
            <w:tcW w:w="0" w:type="auto"/>
            <w:gridSpan w:val="3"/>
            <w:shd w:val="clear" w:color="auto" w:fill="auto"/>
          </w:tcPr>
          <w:p w14:paraId="5EA20150" w14:textId="77777777" w:rsidR="003C66EB" w:rsidRDefault="003C66EB">
            <w:pPr>
              <w:rPr>
                <w:rFonts w:ascii="宋体"/>
                <w:vanish/>
              </w:rPr>
            </w:pPr>
          </w:p>
        </w:tc>
        <w:tc>
          <w:tcPr>
            <w:tcW w:w="0" w:type="auto"/>
            <w:gridSpan w:val="3"/>
            <w:shd w:val="clear" w:color="auto" w:fill="auto"/>
          </w:tcPr>
          <w:p w14:paraId="5EA20151" w14:textId="77777777" w:rsidR="003C66EB" w:rsidRDefault="003C66EB">
            <w:pPr>
              <w:rPr>
                <w:rFonts w:ascii="宋体"/>
                <w:vanish/>
              </w:rPr>
            </w:pPr>
          </w:p>
        </w:tc>
      </w:tr>
      <w:tr w:rsidR="003C66EB" w14:paraId="5EA20159" w14:textId="77777777">
        <w:tc>
          <w:tcPr>
            <w:tcW w:w="0" w:type="auto"/>
            <w:gridSpan w:val="3"/>
            <w:shd w:val="clear" w:color="auto" w:fill="FFFFFF"/>
            <w:tcMar>
              <w:top w:w="40" w:type="dxa"/>
              <w:left w:w="20" w:type="dxa"/>
              <w:bottom w:w="40" w:type="dxa"/>
              <w:right w:w="20" w:type="dxa"/>
            </w:tcMar>
            <w:vAlign w:val="bottom"/>
          </w:tcPr>
          <w:p w14:paraId="5EA20153" w14:textId="77777777" w:rsidR="003C66EB" w:rsidRDefault="00D96C4E">
            <w:pPr>
              <w:textAlignment w:val="bottom"/>
            </w:pPr>
            <w:r>
              <w:rPr>
                <w:rFonts w:ascii="Arial" w:eastAsia="宋体" w:hAnsi="Arial" w:cs="Arial"/>
                <w:color w:val="000000"/>
                <w:sz w:val="14"/>
                <w:szCs w:val="14"/>
              </w:rPr>
              <w:t>Other</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EA20154" w14:textId="77777777" w:rsidR="003C66EB" w:rsidRDefault="00D96C4E">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1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5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57" w14:textId="77777777" w:rsidR="003C66EB" w:rsidRDefault="00D96C4E">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5EA20158" w14:textId="77777777" w:rsidR="003C66EB" w:rsidRDefault="003C66EB">
            <w:pPr>
              <w:jc w:val="right"/>
              <w:rPr>
                <w:rFonts w:ascii="宋体"/>
              </w:rPr>
            </w:pPr>
          </w:p>
        </w:tc>
      </w:tr>
      <w:tr w:rsidR="003C66EB" w14:paraId="5EA20162" w14:textId="77777777">
        <w:tc>
          <w:tcPr>
            <w:tcW w:w="0" w:type="auto"/>
            <w:gridSpan w:val="3"/>
            <w:shd w:val="clear" w:color="auto" w:fill="CCEEFF"/>
            <w:tcMar>
              <w:top w:w="40" w:type="dxa"/>
              <w:left w:w="20" w:type="dxa"/>
              <w:bottom w:w="40" w:type="dxa"/>
              <w:right w:w="20" w:type="dxa"/>
            </w:tcMar>
            <w:vAlign w:val="bottom"/>
          </w:tcPr>
          <w:p w14:paraId="5EA2015A"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015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15C" w14:textId="77777777" w:rsidR="003C66EB" w:rsidRDefault="00D96C4E">
            <w:pPr>
              <w:jc w:val="right"/>
              <w:textAlignment w:val="bottom"/>
            </w:pPr>
            <w:r>
              <w:rPr>
                <w:rFonts w:ascii="Arial" w:eastAsia="宋体" w:hAnsi="Arial" w:cs="Arial"/>
                <w:b/>
                <w:bCs/>
                <w:color w:val="000000"/>
                <w:sz w:val="14"/>
                <w:szCs w:val="14"/>
              </w:rPr>
              <w:t>532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1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5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15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160" w14:textId="77777777" w:rsidR="003C66EB" w:rsidRDefault="00D96C4E">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161" w14:textId="77777777" w:rsidR="003C66EB" w:rsidRDefault="003C66EB">
            <w:pPr>
              <w:jc w:val="right"/>
              <w:rPr>
                <w:rFonts w:ascii="宋体"/>
              </w:rPr>
            </w:pPr>
          </w:p>
        </w:tc>
      </w:tr>
      <w:tr w:rsidR="003C66EB" w14:paraId="5EA20167" w14:textId="77777777">
        <w:trPr>
          <w:trHeight w:val="180"/>
        </w:trPr>
        <w:tc>
          <w:tcPr>
            <w:tcW w:w="0" w:type="auto"/>
            <w:gridSpan w:val="3"/>
            <w:tcBorders>
              <w:bottom w:val="single" w:sz="8" w:space="0" w:color="000000"/>
            </w:tcBorders>
            <w:shd w:val="clear" w:color="auto" w:fill="auto"/>
            <w:tcMar>
              <w:top w:w="0" w:type="dxa"/>
              <w:left w:w="20" w:type="dxa"/>
              <w:bottom w:w="0" w:type="dxa"/>
              <w:right w:w="20" w:type="dxa"/>
            </w:tcMar>
          </w:tcPr>
          <w:p w14:paraId="5EA2016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1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6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166" w14:textId="77777777" w:rsidR="003C66EB" w:rsidRDefault="003C66EB">
            <w:pPr>
              <w:rPr>
                <w:rFonts w:ascii="宋体"/>
              </w:rPr>
            </w:pPr>
          </w:p>
        </w:tc>
      </w:tr>
    </w:tbl>
    <w:p w14:paraId="5EA20168" w14:textId="77777777" w:rsidR="003C66EB" w:rsidRDefault="00D96C4E">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Geography is determined primarily based on the domicile of collateral or issuer.</w:t>
      </w:r>
    </w:p>
    <w:p w14:paraId="5EA20169" w14:textId="77777777" w:rsidR="003C66EB" w:rsidRDefault="00D96C4E">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Consists entirely of supranational bonds.</w:t>
      </w:r>
    </w:p>
    <w:p w14:paraId="5EA2016A" w14:textId="77777777" w:rsidR="003C66EB" w:rsidRDefault="00D96C4E">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Included approximately $2,605 million and $2,166 million as of March 31, 2021 and December 31, 2020, respectively, related to </w:t>
      </w:r>
      <w:r>
        <w:rPr>
          <w:rFonts w:ascii="Arial" w:eastAsia="宋体" w:hAnsi="Arial" w:cs="Arial"/>
          <w:color w:val="000000"/>
          <w:sz w:val="14"/>
          <w:szCs w:val="14"/>
        </w:rPr>
        <w:t>supranational bonds</w:t>
      </w:r>
      <w:r>
        <w:rPr>
          <w:rFonts w:ascii="Arial" w:eastAsia="宋体" w:hAnsi="Arial" w:cs="Arial"/>
          <w:color w:val="000000"/>
          <w:sz w:val="13"/>
          <w:szCs w:val="13"/>
        </w:rPr>
        <w:t>.</w:t>
      </w:r>
    </w:p>
    <w:p w14:paraId="5EA2016B" w14:textId="77777777" w:rsidR="003C66EB" w:rsidRDefault="00D96C4E">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Included approximately $42 million and $45 million as of March 31, 2021 and December 31, 2020, respective</w:t>
      </w:r>
      <w:r>
        <w:rPr>
          <w:rFonts w:ascii="Arial" w:eastAsia="宋体" w:hAnsi="Arial" w:cs="Arial"/>
          <w:color w:val="000000"/>
          <w:sz w:val="13"/>
          <w:szCs w:val="13"/>
        </w:rPr>
        <w:t>ly, related to Italy and Portugal, all of which were related to MBS.</w:t>
      </w:r>
    </w:p>
    <w:p w14:paraId="5EA2016C" w14:textId="77777777" w:rsidR="003C66EB" w:rsidRDefault="00D96C4E">
      <w:pPr>
        <w:spacing w:before="60"/>
        <w:ind w:firstLine="450"/>
        <w:jc w:val="both"/>
        <w:textAlignment w:val="top"/>
      </w:pPr>
      <w:r>
        <w:rPr>
          <w:rFonts w:ascii="Arial" w:eastAsia="宋体" w:hAnsi="Arial" w:cs="Arial"/>
          <w:color w:val="000000"/>
          <w:sz w:val="20"/>
          <w:szCs w:val="20"/>
        </w:rPr>
        <w:t>Approximately 80% of the aggregate carrying value of these non-U.S. debt securities was rated “AAA” or “AA” as of both March 31, 2021 and December 31, 2020. The majority of these securiti</w:t>
      </w:r>
      <w:r>
        <w:rPr>
          <w:rFonts w:ascii="Arial" w:eastAsia="宋体" w:hAnsi="Arial" w:cs="Arial"/>
          <w:color w:val="000000"/>
          <w:sz w:val="20"/>
          <w:szCs w:val="20"/>
        </w:rPr>
        <w:t>es comprised senior positions within the security structures; these positions have a level of protection provided through subordination and other forms of credit protection. As of both March 31, 2021 and December 31, 2020, approximately 25% of the aggregat</w:t>
      </w:r>
      <w:r>
        <w:rPr>
          <w:rFonts w:ascii="Arial" w:eastAsia="宋体" w:hAnsi="Arial" w:cs="Arial"/>
          <w:color w:val="000000"/>
          <w:sz w:val="20"/>
          <w:szCs w:val="20"/>
        </w:rPr>
        <w:t>e carrying value of these non-U.S. debt securities was floating-rate.</w:t>
      </w:r>
    </w:p>
    <w:p w14:paraId="5EA2016D" w14:textId="77777777" w:rsidR="003C66EB" w:rsidRDefault="00D96C4E">
      <w:pPr>
        <w:spacing w:before="60"/>
        <w:ind w:firstLine="450"/>
        <w:jc w:val="both"/>
        <w:textAlignment w:val="top"/>
      </w:pPr>
      <w:r>
        <w:rPr>
          <w:rFonts w:ascii="Arial" w:eastAsia="宋体" w:hAnsi="Arial" w:cs="Arial"/>
          <w:color w:val="000000"/>
          <w:sz w:val="20"/>
          <w:szCs w:val="20"/>
        </w:rPr>
        <w:t>As of March 31, 2021, our non-U.S. debt securities had an average market-to-book ratio of 100.9%, and an aggregate pre-tax net unrealized gain of $246 million, composed of gross unrealiz</w:t>
      </w:r>
      <w:r>
        <w:rPr>
          <w:rFonts w:ascii="Arial" w:eastAsia="宋体" w:hAnsi="Arial" w:cs="Arial"/>
          <w:color w:val="000000"/>
          <w:sz w:val="20"/>
          <w:szCs w:val="20"/>
        </w:rPr>
        <w:t>ed gains of $332 million and gross unrealized losses of $86 million. These unrealized amounts included:</w:t>
      </w:r>
    </w:p>
    <w:p w14:paraId="5EA2016E" w14:textId="77777777" w:rsidR="003C66EB" w:rsidRDefault="00D96C4E">
      <w:pPr>
        <w:spacing w:before="60"/>
        <w:ind w:hanging="360"/>
        <w:jc w:val="both"/>
        <w:textAlignment w:val="top"/>
      </w:pPr>
      <w:r>
        <w:rPr>
          <w:rFonts w:ascii="Arial" w:eastAsia="宋体" w:hAnsi="Arial" w:cs="Arial"/>
          <w:color w:val="000000"/>
          <w:sz w:val="20"/>
          <w:szCs w:val="20"/>
        </w:rPr>
        <w:t>•a pre-tax net unrealized gain of $179 million, composed of gross unrealized gains of $262 million and gross unrealized losses of $83 million, associate</w:t>
      </w:r>
      <w:r>
        <w:rPr>
          <w:rFonts w:ascii="Arial" w:eastAsia="宋体" w:hAnsi="Arial" w:cs="Arial"/>
          <w:color w:val="000000"/>
          <w:sz w:val="20"/>
          <w:szCs w:val="20"/>
        </w:rPr>
        <w:t>d with non-U.S. AFS debt securities; and</w:t>
      </w:r>
    </w:p>
    <w:p w14:paraId="5EA2016F" w14:textId="77777777" w:rsidR="003C66EB" w:rsidRDefault="00D96C4E">
      <w:pPr>
        <w:spacing w:before="60"/>
        <w:ind w:hanging="360"/>
        <w:jc w:val="both"/>
        <w:textAlignment w:val="top"/>
      </w:pPr>
      <w:r>
        <w:rPr>
          <w:rFonts w:ascii="Arial" w:eastAsia="宋体" w:hAnsi="Arial" w:cs="Arial"/>
          <w:color w:val="000000"/>
          <w:sz w:val="20"/>
          <w:szCs w:val="20"/>
        </w:rPr>
        <w:t>•a pre-tax net unrealized gain of $67 million, composed of gross unrealized gains of $70 million and gross unrealized losses of $3 million, associated with non-U.S. HTM debt securities.</w:t>
      </w:r>
    </w:p>
    <w:p w14:paraId="5EA20170" w14:textId="77777777" w:rsidR="003C66EB" w:rsidRDefault="00D96C4E">
      <w:pPr>
        <w:spacing w:before="60"/>
        <w:ind w:firstLine="450"/>
        <w:jc w:val="both"/>
        <w:textAlignment w:val="top"/>
      </w:pPr>
      <w:r>
        <w:rPr>
          <w:rFonts w:ascii="Arial" w:eastAsia="宋体" w:hAnsi="Arial" w:cs="Arial"/>
          <w:color w:val="000000"/>
          <w:sz w:val="20"/>
          <w:szCs w:val="20"/>
        </w:rPr>
        <w:t>As of March 31, 2021, the und</w:t>
      </w:r>
      <w:r>
        <w:rPr>
          <w:rFonts w:ascii="Arial" w:eastAsia="宋体" w:hAnsi="Arial" w:cs="Arial"/>
          <w:color w:val="000000"/>
          <w:sz w:val="20"/>
          <w:szCs w:val="20"/>
        </w:rPr>
        <w:t>erlying collateral for non-U.S. MBS and ABS primarily included Australian, U.K., Netherlands and Italian mortgages. The securities listed under “Canada” were composed of Canadian government securities and provincial bonds, corporate debt and non-U.S. agenc</w:t>
      </w:r>
      <w:r>
        <w:rPr>
          <w:rFonts w:ascii="Arial" w:eastAsia="宋体" w:hAnsi="Arial" w:cs="Arial"/>
          <w:color w:val="000000"/>
          <w:sz w:val="20"/>
          <w:szCs w:val="20"/>
        </w:rPr>
        <w:t>y securities. The securities listed under “France” were composed of sovereign bonds, corporate debt, covered bonds, ABS and Non-U.S. agency securities. The securities listed under “Japan” were substantially composed of Japanese government securities.</w:t>
      </w:r>
    </w:p>
    <w:p w14:paraId="5EA20171" w14:textId="77777777" w:rsidR="003C66EB" w:rsidRDefault="00D96C4E">
      <w:pPr>
        <w:spacing w:before="60"/>
        <w:jc w:val="both"/>
        <w:textAlignment w:val="top"/>
      </w:pPr>
      <w:r>
        <w:rPr>
          <w:rFonts w:ascii="Arial" w:eastAsia="宋体" w:hAnsi="Arial" w:cs="Arial"/>
          <w:b/>
          <w:bCs/>
          <w:i/>
          <w:iCs/>
          <w:color w:val="000000"/>
          <w:sz w:val="20"/>
          <w:szCs w:val="20"/>
        </w:rPr>
        <w:t>Munic</w:t>
      </w:r>
      <w:r>
        <w:rPr>
          <w:rFonts w:ascii="Arial" w:eastAsia="宋体" w:hAnsi="Arial" w:cs="Arial"/>
          <w:b/>
          <w:bCs/>
          <w:i/>
          <w:iCs/>
          <w:color w:val="000000"/>
          <w:sz w:val="20"/>
          <w:szCs w:val="20"/>
        </w:rPr>
        <w:t>ipal Obligations</w:t>
      </w:r>
    </w:p>
    <w:p w14:paraId="5EA20172" w14:textId="77777777" w:rsidR="003C66EB" w:rsidRDefault="00D96C4E">
      <w:pPr>
        <w:ind w:firstLine="450"/>
        <w:jc w:val="both"/>
        <w:textAlignment w:val="top"/>
      </w:pPr>
      <w:r>
        <w:rPr>
          <w:rFonts w:ascii="Arial" w:eastAsia="宋体" w:hAnsi="Arial" w:cs="Arial"/>
          <w:color w:val="000000"/>
          <w:sz w:val="20"/>
          <w:szCs w:val="20"/>
        </w:rPr>
        <w:t xml:space="preserve">We carried approximately $1.5 billion of municipal securities classified as state and political subdivisions in our investment securities portfolio as of March 31, 2021, as shown in Table 20: Carrying Values of Investment </w:t>
      </w:r>
      <w:r>
        <w:rPr>
          <w:rFonts w:ascii="Arial" w:eastAsia="宋体" w:hAnsi="Arial" w:cs="Arial"/>
          <w:color w:val="000000"/>
          <w:sz w:val="20"/>
          <w:szCs w:val="20"/>
        </w:rPr>
        <w:t>Securities, all of which were classified as AFS. As of March 31, 2021, we also provided approximately $9.4 billion of credit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3C66EB" w14:paraId="5EA2018B" w14:textId="77777777">
        <w:tc>
          <w:tcPr>
            <w:tcW w:w="50" w:type="pct"/>
            <w:shd w:val="clear" w:color="auto" w:fill="auto"/>
          </w:tcPr>
          <w:p w14:paraId="5EA20173" w14:textId="77777777" w:rsidR="003C66EB" w:rsidRDefault="003C66EB">
            <w:pPr>
              <w:rPr>
                <w:rFonts w:ascii="宋体"/>
              </w:rPr>
            </w:pPr>
          </w:p>
        </w:tc>
        <w:tc>
          <w:tcPr>
            <w:tcW w:w="1375" w:type="pct"/>
            <w:shd w:val="clear" w:color="auto" w:fill="auto"/>
          </w:tcPr>
          <w:p w14:paraId="5EA20174" w14:textId="77777777" w:rsidR="003C66EB" w:rsidRDefault="003C66EB">
            <w:pPr>
              <w:rPr>
                <w:rFonts w:ascii="宋体"/>
              </w:rPr>
            </w:pPr>
          </w:p>
        </w:tc>
        <w:tc>
          <w:tcPr>
            <w:tcW w:w="5" w:type="pct"/>
            <w:shd w:val="clear" w:color="auto" w:fill="auto"/>
          </w:tcPr>
          <w:p w14:paraId="5EA20175" w14:textId="77777777" w:rsidR="003C66EB" w:rsidRDefault="003C66EB">
            <w:pPr>
              <w:rPr>
                <w:rFonts w:ascii="宋体"/>
              </w:rPr>
            </w:pPr>
          </w:p>
        </w:tc>
        <w:tc>
          <w:tcPr>
            <w:tcW w:w="50" w:type="pct"/>
            <w:shd w:val="clear" w:color="auto" w:fill="auto"/>
          </w:tcPr>
          <w:p w14:paraId="5EA20176" w14:textId="77777777" w:rsidR="003C66EB" w:rsidRDefault="003C66EB">
            <w:pPr>
              <w:rPr>
                <w:rFonts w:ascii="宋体"/>
              </w:rPr>
            </w:pPr>
          </w:p>
        </w:tc>
        <w:tc>
          <w:tcPr>
            <w:tcW w:w="841" w:type="pct"/>
            <w:shd w:val="clear" w:color="auto" w:fill="auto"/>
          </w:tcPr>
          <w:p w14:paraId="5EA20177" w14:textId="77777777" w:rsidR="003C66EB" w:rsidRDefault="003C66EB">
            <w:pPr>
              <w:rPr>
                <w:rFonts w:ascii="宋体"/>
              </w:rPr>
            </w:pPr>
          </w:p>
        </w:tc>
        <w:tc>
          <w:tcPr>
            <w:tcW w:w="5" w:type="pct"/>
            <w:shd w:val="clear" w:color="auto" w:fill="auto"/>
          </w:tcPr>
          <w:p w14:paraId="5EA20178" w14:textId="77777777" w:rsidR="003C66EB" w:rsidRDefault="003C66EB">
            <w:pPr>
              <w:rPr>
                <w:rFonts w:ascii="宋体"/>
              </w:rPr>
            </w:pPr>
          </w:p>
        </w:tc>
        <w:tc>
          <w:tcPr>
            <w:tcW w:w="5" w:type="pct"/>
            <w:shd w:val="clear" w:color="auto" w:fill="auto"/>
          </w:tcPr>
          <w:p w14:paraId="5EA20179" w14:textId="77777777" w:rsidR="003C66EB" w:rsidRDefault="003C66EB">
            <w:pPr>
              <w:rPr>
                <w:rFonts w:ascii="宋体"/>
              </w:rPr>
            </w:pPr>
          </w:p>
        </w:tc>
        <w:tc>
          <w:tcPr>
            <w:tcW w:w="52" w:type="pct"/>
            <w:shd w:val="clear" w:color="auto" w:fill="auto"/>
          </w:tcPr>
          <w:p w14:paraId="5EA2017A" w14:textId="77777777" w:rsidR="003C66EB" w:rsidRDefault="003C66EB">
            <w:pPr>
              <w:rPr>
                <w:rFonts w:ascii="宋体"/>
              </w:rPr>
            </w:pPr>
          </w:p>
        </w:tc>
        <w:tc>
          <w:tcPr>
            <w:tcW w:w="5" w:type="pct"/>
            <w:shd w:val="clear" w:color="auto" w:fill="auto"/>
          </w:tcPr>
          <w:p w14:paraId="5EA2017B" w14:textId="77777777" w:rsidR="003C66EB" w:rsidRDefault="003C66EB">
            <w:pPr>
              <w:rPr>
                <w:rFonts w:ascii="宋体"/>
              </w:rPr>
            </w:pPr>
          </w:p>
        </w:tc>
        <w:tc>
          <w:tcPr>
            <w:tcW w:w="50" w:type="pct"/>
            <w:shd w:val="clear" w:color="auto" w:fill="auto"/>
          </w:tcPr>
          <w:p w14:paraId="5EA2017C" w14:textId="77777777" w:rsidR="003C66EB" w:rsidRDefault="003C66EB">
            <w:pPr>
              <w:rPr>
                <w:rFonts w:ascii="宋体"/>
              </w:rPr>
            </w:pPr>
          </w:p>
        </w:tc>
        <w:tc>
          <w:tcPr>
            <w:tcW w:w="841" w:type="pct"/>
            <w:shd w:val="clear" w:color="auto" w:fill="auto"/>
          </w:tcPr>
          <w:p w14:paraId="5EA2017D" w14:textId="77777777" w:rsidR="003C66EB" w:rsidRDefault="003C66EB">
            <w:pPr>
              <w:rPr>
                <w:rFonts w:ascii="宋体"/>
              </w:rPr>
            </w:pPr>
          </w:p>
        </w:tc>
        <w:tc>
          <w:tcPr>
            <w:tcW w:w="5" w:type="pct"/>
            <w:shd w:val="clear" w:color="auto" w:fill="auto"/>
          </w:tcPr>
          <w:p w14:paraId="5EA2017E" w14:textId="77777777" w:rsidR="003C66EB" w:rsidRDefault="003C66EB">
            <w:pPr>
              <w:rPr>
                <w:rFonts w:ascii="宋体"/>
              </w:rPr>
            </w:pPr>
          </w:p>
        </w:tc>
        <w:tc>
          <w:tcPr>
            <w:tcW w:w="5" w:type="pct"/>
            <w:shd w:val="clear" w:color="auto" w:fill="auto"/>
          </w:tcPr>
          <w:p w14:paraId="5EA2017F" w14:textId="77777777" w:rsidR="003C66EB" w:rsidRDefault="003C66EB">
            <w:pPr>
              <w:rPr>
                <w:rFonts w:ascii="宋体"/>
              </w:rPr>
            </w:pPr>
          </w:p>
        </w:tc>
        <w:tc>
          <w:tcPr>
            <w:tcW w:w="52" w:type="pct"/>
            <w:shd w:val="clear" w:color="auto" w:fill="auto"/>
          </w:tcPr>
          <w:p w14:paraId="5EA20180" w14:textId="77777777" w:rsidR="003C66EB" w:rsidRDefault="003C66EB">
            <w:pPr>
              <w:rPr>
                <w:rFonts w:ascii="宋体"/>
              </w:rPr>
            </w:pPr>
          </w:p>
        </w:tc>
        <w:tc>
          <w:tcPr>
            <w:tcW w:w="5" w:type="pct"/>
            <w:shd w:val="clear" w:color="auto" w:fill="auto"/>
          </w:tcPr>
          <w:p w14:paraId="5EA20181" w14:textId="77777777" w:rsidR="003C66EB" w:rsidRDefault="003C66EB">
            <w:pPr>
              <w:rPr>
                <w:rFonts w:ascii="宋体"/>
              </w:rPr>
            </w:pPr>
          </w:p>
        </w:tc>
        <w:tc>
          <w:tcPr>
            <w:tcW w:w="50" w:type="pct"/>
            <w:shd w:val="clear" w:color="auto" w:fill="auto"/>
          </w:tcPr>
          <w:p w14:paraId="5EA20182" w14:textId="77777777" w:rsidR="003C66EB" w:rsidRDefault="003C66EB">
            <w:pPr>
              <w:rPr>
                <w:rFonts w:ascii="宋体"/>
              </w:rPr>
            </w:pPr>
          </w:p>
        </w:tc>
        <w:tc>
          <w:tcPr>
            <w:tcW w:w="636" w:type="pct"/>
            <w:shd w:val="clear" w:color="auto" w:fill="auto"/>
          </w:tcPr>
          <w:p w14:paraId="5EA20183" w14:textId="77777777" w:rsidR="003C66EB" w:rsidRDefault="003C66EB">
            <w:pPr>
              <w:rPr>
                <w:rFonts w:ascii="宋体"/>
              </w:rPr>
            </w:pPr>
          </w:p>
        </w:tc>
        <w:tc>
          <w:tcPr>
            <w:tcW w:w="5" w:type="pct"/>
            <w:shd w:val="clear" w:color="auto" w:fill="auto"/>
          </w:tcPr>
          <w:p w14:paraId="5EA20184" w14:textId="77777777" w:rsidR="003C66EB" w:rsidRDefault="003C66EB">
            <w:pPr>
              <w:rPr>
                <w:rFonts w:ascii="宋体"/>
              </w:rPr>
            </w:pPr>
          </w:p>
        </w:tc>
        <w:tc>
          <w:tcPr>
            <w:tcW w:w="5" w:type="pct"/>
            <w:shd w:val="clear" w:color="auto" w:fill="auto"/>
          </w:tcPr>
          <w:p w14:paraId="5EA20185" w14:textId="77777777" w:rsidR="003C66EB" w:rsidRDefault="003C66EB">
            <w:pPr>
              <w:rPr>
                <w:rFonts w:ascii="宋体"/>
              </w:rPr>
            </w:pPr>
          </w:p>
        </w:tc>
        <w:tc>
          <w:tcPr>
            <w:tcW w:w="52" w:type="pct"/>
            <w:shd w:val="clear" w:color="auto" w:fill="auto"/>
          </w:tcPr>
          <w:p w14:paraId="5EA20186" w14:textId="77777777" w:rsidR="003C66EB" w:rsidRDefault="003C66EB">
            <w:pPr>
              <w:rPr>
                <w:rFonts w:ascii="宋体"/>
              </w:rPr>
            </w:pPr>
          </w:p>
        </w:tc>
        <w:tc>
          <w:tcPr>
            <w:tcW w:w="5" w:type="pct"/>
            <w:shd w:val="clear" w:color="auto" w:fill="auto"/>
          </w:tcPr>
          <w:p w14:paraId="5EA20187" w14:textId="77777777" w:rsidR="003C66EB" w:rsidRDefault="003C66EB">
            <w:pPr>
              <w:rPr>
                <w:rFonts w:ascii="宋体"/>
              </w:rPr>
            </w:pPr>
          </w:p>
        </w:tc>
        <w:tc>
          <w:tcPr>
            <w:tcW w:w="50" w:type="pct"/>
            <w:shd w:val="clear" w:color="auto" w:fill="auto"/>
          </w:tcPr>
          <w:p w14:paraId="5EA20188" w14:textId="77777777" w:rsidR="003C66EB" w:rsidRDefault="003C66EB">
            <w:pPr>
              <w:rPr>
                <w:rFonts w:ascii="宋体"/>
              </w:rPr>
            </w:pPr>
          </w:p>
        </w:tc>
        <w:tc>
          <w:tcPr>
            <w:tcW w:w="841" w:type="pct"/>
            <w:shd w:val="clear" w:color="auto" w:fill="auto"/>
          </w:tcPr>
          <w:p w14:paraId="5EA20189" w14:textId="77777777" w:rsidR="003C66EB" w:rsidRDefault="003C66EB">
            <w:pPr>
              <w:rPr>
                <w:rFonts w:ascii="宋体"/>
              </w:rPr>
            </w:pPr>
          </w:p>
        </w:tc>
        <w:tc>
          <w:tcPr>
            <w:tcW w:w="5" w:type="pct"/>
            <w:shd w:val="clear" w:color="auto" w:fill="auto"/>
          </w:tcPr>
          <w:p w14:paraId="5EA2018A" w14:textId="77777777" w:rsidR="003C66EB" w:rsidRDefault="003C66EB">
            <w:pPr>
              <w:rPr>
                <w:rFonts w:ascii="宋体"/>
              </w:rPr>
            </w:pPr>
          </w:p>
        </w:tc>
      </w:tr>
      <w:tr w:rsidR="003C66EB" w14:paraId="5EA2018D" w14:textId="77777777">
        <w:tc>
          <w:tcPr>
            <w:tcW w:w="0" w:type="auto"/>
            <w:gridSpan w:val="24"/>
            <w:shd w:val="clear" w:color="auto" w:fill="auto"/>
            <w:tcMar>
              <w:top w:w="40" w:type="dxa"/>
              <w:left w:w="20" w:type="dxa"/>
              <w:bottom w:w="40" w:type="dxa"/>
              <w:right w:w="20" w:type="dxa"/>
            </w:tcMar>
            <w:vAlign w:val="bottom"/>
          </w:tcPr>
          <w:p w14:paraId="5EA2018C" w14:textId="77777777" w:rsidR="003C66EB" w:rsidRDefault="00D96C4E">
            <w:pPr>
              <w:textAlignment w:val="bottom"/>
            </w:pPr>
            <w:r>
              <w:rPr>
                <w:rFonts w:ascii="Arial" w:eastAsia="宋体" w:hAnsi="Arial" w:cs="Arial"/>
                <w:b/>
                <w:bCs/>
                <w:color w:val="000000"/>
                <w:sz w:val="16"/>
                <w:szCs w:val="16"/>
              </w:rPr>
              <w:t xml:space="preserve">TABLE 24: </w:t>
            </w:r>
            <w:r>
              <w:rPr>
                <w:rFonts w:ascii="Arial" w:eastAsia="宋体" w:hAnsi="Arial" w:cs="Arial"/>
                <w:b/>
                <w:bCs/>
                <w:color w:val="000000"/>
                <w:sz w:val="16"/>
                <w:szCs w:val="16"/>
              </w:rPr>
              <w:t>STATE AND MUNICIPAL OBLIGORS</w:t>
            </w:r>
            <w:r>
              <w:rPr>
                <w:rFonts w:ascii="Arial" w:eastAsia="宋体" w:hAnsi="Arial" w:cs="Arial"/>
                <w:b/>
                <w:bCs/>
                <w:color w:val="000000"/>
                <w:sz w:val="10"/>
                <w:szCs w:val="10"/>
              </w:rPr>
              <w:t>(1)</w:t>
            </w:r>
          </w:p>
        </w:tc>
      </w:tr>
      <w:tr w:rsidR="003C66EB" w14:paraId="5EA20198" w14:textId="77777777">
        <w:tc>
          <w:tcPr>
            <w:tcW w:w="0" w:type="auto"/>
            <w:gridSpan w:val="3"/>
            <w:shd w:val="clear" w:color="auto" w:fill="auto"/>
            <w:tcMar>
              <w:top w:w="40" w:type="dxa"/>
              <w:left w:w="20" w:type="dxa"/>
              <w:bottom w:w="40" w:type="dxa"/>
              <w:right w:w="20" w:type="dxa"/>
            </w:tcMar>
            <w:vAlign w:val="bottom"/>
          </w:tcPr>
          <w:p w14:paraId="5EA2018E" w14:textId="77777777" w:rsidR="003C66EB" w:rsidRDefault="00D96C4E">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A2018F" w14:textId="77777777" w:rsidR="003C66EB" w:rsidRDefault="00D96C4E">
            <w:pPr>
              <w:jc w:val="center"/>
              <w:textAlignment w:val="bottom"/>
            </w:pPr>
            <w:r>
              <w:rPr>
                <w:rFonts w:ascii="Arial" w:eastAsia="宋体" w:hAnsi="Arial" w:cs="Arial"/>
                <w:b/>
                <w:bCs/>
                <w:color w:val="000000"/>
                <w:sz w:val="13"/>
                <w:szCs w:val="13"/>
              </w:rPr>
              <w:t>Total Municipal</w:t>
            </w:r>
            <w:r>
              <w:rPr>
                <w:rFonts w:ascii="Arial" w:eastAsia="宋体" w:hAnsi="Arial" w:cs="Arial"/>
                <w:b/>
                <w:bCs/>
                <w:color w:val="000000"/>
                <w:sz w:val="13"/>
                <w:szCs w:val="13"/>
              </w:rPr>
              <w:br/>
              <w:t>Securities</w:t>
            </w:r>
          </w:p>
        </w:tc>
        <w:tc>
          <w:tcPr>
            <w:tcW w:w="0" w:type="auto"/>
            <w:gridSpan w:val="3"/>
            <w:shd w:val="clear" w:color="auto" w:fill="auto"/>
            <w:tcMar>
              <w:top w:w="0" w:type="dxa"/>
              <w:left w:w="20" w:type="dxa"/>
              <w:bottom w:w="0" w:type="dxa"/>
              <w:right w:w="20" w:type="dxa"/>
            </w:tcMar>
          </w:tcPr>
          <w:p w14:paraId="5EA2019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191" w14:textId="77777777" w:rsidR="003C66EB" w:rsidRDefault="00D96C4E">
            <w:pPr>
              <w:jc w:val="center"/>
              <w:textAlignment w:val="bottom"/>
            </w:pPr>
            <w:r>
              <w:rPr>
                <w:rFonts w:ascii="Arial" w:eastAsia="宋体" w:hAnsi="Arial" w:cs="Arial"/>
                <w:b/>
                <w:bCs/>
                <w:color w:val="000000"/>
                <w:sz w:val="13"/>
                <w:szCs w:val="13"/>
              </w:rPr>
              <w:t xml:space="preserve">Credit and </w:t>
            </w:r>
          </w:p>
          <w:p w14:paraId="5EA20192" w14:textId="77777777" w:rsidR="003C66EB" w:rsidRDefault="00D96C4E">
            <w:pPr>
              <w:jc w:val="center"/>
              <w:textAlignment w:val="bottom"/>
            </w:pPr>
            <w:r>
              <w:rPr>
                <w:rFonts w:ascii="Arial" w:eastAsia="宋体" w:hAnsi="Arial" w:cs="Arial"/>
                <w:b/>
                <w:bCs/>
                <w:color w:val="000000"/>
                <w:sz w:val="13"/>
                <w:szCs w:val="13"/>
              </w:rPr>
              <w:t>Liquidity </w:t>
            </w:r>
          </w:p>
          <w:p w14:paraId="5EA20193" w14:textId="77777777" w:rsidR="003C66EB" w:rsidRDefault="00D96C4E">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tcPr>
          <w:p w14:paraId="5EA2019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195" w14:textId="77777777" w:rsidR="003C66EB" w:rsidRDefault="00D96C4E">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tcPr>
          <w:p w14:paraId="5EA2019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197" w14:textId="77777777" w:rsidR="003C66EB" w:rsidRDefault="00D96C4E">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3C66EB" w14:paraId="5EA201A0" w14:textId="77777777">
        <w:tc>
          <w:tcPr>
            <w:tcW w:w="0" w:type="auto"/>
            <w:gridSpan w:val="6"/>
            <w:shd w:val="clear" w:color="auto" w:fill="auto"/>
            <w:tcMar>
              <w:top w:w="40" w:type="dxa"/>
              <w:left w:w="20" w:type="dxa"/>
              <w:bottom w:w="40" w:type="dxa"/>
              <w:right w:w="20" w:type="dxa"/>
            </w:tcMar>
            <w:vAlign w:val="bottom"/>
          </w:tcPr>
          <w:p w14:paraId="5EA20199" w14:textId="77777777" w:rsidR="003C66EB" w:rsidRDefault="00D96C4E">
            <w:pPr>
              <w:textAlignment w:val="bottom"/>
            </w:pPr>
            <w:r>
              <w:rPr>
                <w:rFonts w:ascii="Arial" w:eastAsia="宋体" w:hAnsi="Arial" w:cs="Arial"/>
                <w:b/>
                <w:bCs/>
                <w:color w:val="000000"/>
                <w:sz w:val="13"/>
                <w:szCs w:val="13"/>
              </w:rPr>
              <w:t>March 31, 2021</w:t>
            </w:r>
          </w:p>
        </w:tc>
        <w:tc>
          <w:tcPr>
            <w:tcW w:w="0" w:type="auto"/>
            <w:gridSpan w:val="3"/>
            <w:shd w:val="clear" w:color="auto" w:fill="auto"/>
            <w:tcMar>
              <w:top w:w="0" w:type="dxa"/>
              <w:left w:w="20" w:type="dxa"/>
              <w:bottom w:w="0" w:type="dxa"/>
              <w:right w:w="20" w:type="dxa"/>
            </w:tcMar>
          </w:tcPr>
          <w:p w14:paraId="5EA2019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19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9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19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9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19F" w14:textId="77777777" w:rsidR="003C66EB" w:rsidRDefault="003C66EB">
            <w:pPr>
              <w:rPr>
                <w:rFonts w:ascii="宋体"/>
              </w:rPr>
            </w:pPr>
          </w:p>
        </w:tc>
      </w:tr>
      <w:tr w:rsidR="003C66EB" w14:paraId="5EA201A8" w14:textId="77777777">
        <w:tc>
          <w:tcPr>
            <w:tcW w:w="0" w:type="auto"/>
            <w:gridSpan w:val="6"/>
            <w:shd w:val="clear" w:color="auto" w:fill="auto"/>
            <w:tcMar>
              <w:top w:w="40" w:type="dxa"/>
              <w:left w:w="20" w:type="dxa"/>
              <w:bottom w:w="40" w:type="dxa"/>
              <w:right w:w="20" w:type="dxa"/>
            </w:tcMar>
            <w:vAlign w:val="bottom"/>
          </w:tcPr>
          <w:p w14:paraId="5EA201A1" w14:textId="77777777" w:rsidR="003C66EB" w:rsidRDefault="00D96C4E">
            <w:pPr>
              <w:textAlignment w:val="bottom"/>
            </w:pPr>
            <w:r>
              <w:rPr>
                <w:rFonts w:ascii="Arial" w:eastAsia="宋体" w:hAnsi="Arial" w:cs="Arial"/>
                <w:b/>
                <w:bCs/>
                <w:color w:val="000000"/>
                <w:sz w:val="13"/>
                <w:szCs w:val="13"/>
              </w:rPr>
              <w:t>State of Issuer:</w:t>
            </w:r>
          </w:p>
        </w:tc>
        <w:tc>
          <w:tcPr>
            <w:tcW w:w="0" w:type="auto"/>
            <w:gridSpan w:val="3"/>
            <w:shd w:val="clear" w:color="auto" w:fill="auto"/>
            <w:tcMar>
              <w:top w:w="0" w:type="dxa"/>
              <w:left w:w="20" w:type="dxa"/>
              <w:bottom w:w="0" w:type="dxa"/>
              <w:right w:w="20" w:type="dxa"/>
            </w:tcMar>
          </w:tcPr>
          <w:p w14:paraId="5EA201A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A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A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A7" w14:textId="77777777" w:rsidR="003C66EB" w:rsidRDefault="003C66EB">
            <w:pPr>
              <w:rPr>
                <w:rFonts w:ascii="宋体"/>
              </w:rPr>
            </w:pPr>
          </w:p>
        </w:tc>
      </w:tr>
      <w:tr w:rsidR="003C66EB" w14:paraId="5EA201B8" w14:textId="77777777">
        <w:tc>
          <w:tcPr>
            <w:tcW w:w="0" w:type="auto"/>
            <w:gridSpan w:val="3"/>
            <w:shd w:val="clear" w:color="auto" w:fill="CCEEFF"/>
            <w:tcMar>
              <w:top w:w="40" w:type="dxa"/>
              <w:left w:w="20" w:type="dxa"/>
              <w:bottom w:w="40" w:type="dxa"/>
              <w:right w:w="20" w:type="dxa"/>
            </w:tcMar>
            <w:vAlign w:val="bottom"/>
          </w:tcPr>
          <w:p w14:paraId="5EA201A9" w14:textId="77777777" w:rsidR="003C66EB" w:rsidRDefault="00D96C4E">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5EA201AA"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01AB" w14:textId="77777777" w:rsidR="003C66EB" w:rsidRDefault="00D96C4E">
            <w:pPr>
              <w:jc w:val="right"/>
              <w:textAlignment w:val="bottom"/>
            </w:pPr>
            <w:r>
              <w:rPr>
                <w:rFonts w:ascii="Arial" w:eastAsia="宋体" w:hAnsi="Arial" w:cs="Arial"/>
                <w:b/>
                <w:bCs/>
                <w:color w:val="000000"/>
                <w:sz w:val="13"/>
                <w:szCs w:val="13"/>
              </w:rPr>
              <w:t>263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A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1AE"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01AF" w14:textId="77777777" w:rsidR="003C66EB" w:rsidRDefault="00D96C4E">
            <w:pPr>
              <w:jc w:val="right"/>
              <w:textAlignment w:val="bottom"/>
            </w:pPr>
            <w:r>
              <w:rPr>
                <w:rFonts w:ascii="Arial" w:eastAsia="宋体" w:hAnsi="Arial" w:cs="Arial"/>
                <w:b/>
                <w:bCs/>
                <w:color w:val="000000"/>
                <w:sz w:val="13"/>
                <w:szCs w:val="13"/>
              </w:rPr>
              <w:t>2,332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B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1B2"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01B3" w14:textId="77777777" w:rsidR="003C66EB" w:rsidRDefault="00D96C4E">
            <w:pPr>
              <w:jc w:val="right"/>
              <w:textAlignment w:val="bottom"/>
            </w:pPr>
            <w:r>
              <w:rPr>
                <w:rFonts w:ascii="Arial" w:eastAsia="宋体" w:hAnsi="Arial" w:cs="Arial"/>
                <w:b/>
                <w:bCs/>
                <w:color w:val="000000"/>
                <w:sz w:val="13"/>
                <w:szCs w:val="13"/>
              </w:rPr>
              <w:t>2,595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B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B6" w14:textId="77777777" w:rsidR="003C66EB" w:rsidRDefault="00D96C4E">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B7" w14:textId="77777777" w:rsidR="003C66EB" w:rsidRDefault="00D96C4E">
            <w:pPr>
              <w:jc w:val="right"/>
              <w:textAlignment w:val="bottom"/>
            </w:pPr>
            <w:r>
              <w:rPr>
                <w:rFonts w:ascii="Arial" w:eastAsia="宋体" w:hAnsi="Arial" w:cs="Arial"/>
                <w:b/>
                <w:bCs/>
                <w:color w:val="000000"/>
                <w:sz w:val="13"/>
                <w:szCs w:val="13"/>
              </w:rPr>
              <w:t>%</w:t>
            </w:r>
          </w:p>
        </w:tc>
      </w:tr>
      <w:tr w:rsidR="003C66EB" w14:paraId="5EA201C4" w14:textId="77777777">
        <w:tc>
          <w:tcPr>
            <w:tcW w:w="0" w:type="auto"/>
            <w:gridSpan w:val="3"/>
            <w:shd w:val="clear" w:color="auto" w:fill="FFFFFF"/>
            <w:tcMar>
              <w:top w:w="40" w:type="dxa"/>
              <w:left w:w="20" w:type="dxa"/>
              <w:bottom w:w="40" w:type="dxa"/>
              <w:right w:w="20" w:type="dxa"/>
            </w:tcMar>
            <w:vAlign w:val="bottom"/>
          </w:tcPr>
          <w:p w14:paraId="5EA201B9" w14:textId="77777777" w:rsidR="003C66EB" w:rsidRDefault="00D96C4E">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5EA201BA" w14:textId="77777777" w:rsidR="003C66EB" w:rsidRDefault="00D96C4E">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01B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BC"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01BD" w14:textId="77777777" w:rsidR="003C66EB" w:rsidRDefault="00D96C4E">
            <w:pPr>
              <w:jc w:val="right"/>
              <w:textAlignment w:val="bottom"/>
            </w:pPr>
            <w:r>
              <w:rPr>
                <w:rFonts w:ascii="Arial" w:eastAsia="宋体" w:hAnsi="Arial" w:cs="Arial"/>
                <w:b/>
                <w:bCs/>
                <w:color w:val="000000"/>
                <w:sz w:val="13"/>
                <w:szCs w:val="13"/>
              </w:rPr>
              <w:t>2,174</w:t>
            </w:r>
          </w:p>
        </w:tc>
        <w:tc>
          <w:tcPr>
            <w:tcW w:w="0" w:type="auto"/>
            <w:gridSpan w:val="3"/>
            <w:shd w:val="clear" w:color="auto" w:fill="FFFFFF"/>
            <w:tcMar>
              <w:top w:w="0" w:type="dxa"/>
              <w:left w:w="20" w:type="dxa"/>
              <w:bottom w:w="0" w:type="dxa"/>
              <w:right w:w="20" w:type="dxa"/>
            </w:tcMar>
          </w:tcPr>
          <w:p w14:paraId="5EA201B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BF" w14:textId="77777777" w:rsidR="003C66EB" w:rsidRDefault="00D96C4E">
            <w:pPr>
              <w:jc w:val="right"/>
              <w:textAlignment w:val="bottom"/>
            </w:pPr>
            <w:r>
              <w:rPr>
                <w:rFonts w:ascii="Arial" w:eastAsia="宋体" w:hAnsi="Arial" w:cs="Arial"/>
                <w:b/>
                <w:bCs/>
                <w:color w:val="000000"/>
                <w:sz w:val="13"/>
                <w:szCs w:val="13"/>
              </w:rPr>
              <w:t>2,285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01C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C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C2" w14:textId="77777777" w:rsidR="003C66EB" w:rsidRDefault="00D96C4E">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01C3" w14:textId="77777777" w:rsidR="003C66EB" w:rsidRDefault="003C66EB">
            <w:pPr>
              <w:jc w:val="right"/>
              <w:rPr>
                <w:rFonts w:ascii="宋体"/>
              </w:rPr>
            </w:pPr>
          </w:p>
        </w:tc>
      </w:tr>
      <w:tr w:rsidR="003C66EB" w14:paraId="5EA201D0" w14:textId="77777777">
        <w:tc>
          <w:tcPr>
            <w:tcW w:w="0" w:type="auto"/>
            <w:gridSpan w:val="3"/>
            <w:shd w:val="clear" w:color="auto" w:fill="CCEEFF"/>
            <w:tcMar>
              <w:top w:w="40" w:type="dxa"/>
              <w:left w:w="20" w:type="dxa"/>
              <w:bottom w:w="40" w:type="dxa"/>
              <w:right w:w="20" w:type="dxa"/>
            </w:tcMar>
            <w:vAlign w:val="bottom"/>
          </w:tcPr>
          <w:p w14:paraId="5EA201C5" w14:textId="77777777" w:rsidR="003C66EB" w:rsidRDefault="00D96C4E">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5EA201C6" w14:textId="77777777" w:rsidR="003C66EB" w:rsidRDefault="00D96C4E">
            <w:pPr>
              <w:jc w:val="right"/>
              <w:textAlignment w:val="bottom"/>
            </w:pPr>
            <w:r>
              <w:rPr>
                <w:rFonts w:ascii="Arial" w:eastAsia="宋体" w:hAnsi="Arial" w:cs="Arial"/>
                <w:b/>
                <w:bCs/>
                <w:color w:val="000000"/>
                <w:sz w:val="13"/>
                <w:szCs w:val="13"/>
              </w:rPr>
              <w:t>285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C8"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01C9" w14:textId="77777777" w:rsidR="003C66EB" w:rsidRDefault="00D96C4E">
            <w:pPr>
              <w:jc w:val="right"/>
              <w:textAlignment w:val="bottom"/>
            </w:pPr>
            <w:r>
              <w:rPr>
                <w:rFonts w:ascii="Arial" w:eastAsia="宋体" w:hAnsi="Arial" w:cs="Arial"/>
                <w:b/>
                <w:bCs/>
                <w:color w:val="000000"/>
                <w:sz w:val="13"/>
                <w:szCs w:val="13"/>
              </w:rPr>
              <w:t>1,295</w:t>
            </w:r>
          </w:p>
        </w:tc>
        <w:tc>
          <w:tcPr>
            <w:tcW w:w="0" w:type="auto"/>
            <w:gridSpan w:val="3"/>
            <w:shd w:val="clear" w:color="auto" w:fill="CCEEFF"/>
            <w:tcMar>
              <w:top w:w="0" w:type="dxa"/>
              <w:left w:w="20" w:type="dxa"/>
              <w:bottom w:w="0" w:type="dxa"/>
              <w:right w:w="20" w:type="dxa"/>
            </w:tcMar>
          </w:tcPr>
          <w:p w14:paraId="5EA201C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CB" w14:textId="77777777" w:rsidR="003C66EB" w:rsidRDefault="00D96C4E">
            <w:pPr>
              <w:jc w:val="right"/>
              <w:textAlignment w:val="bottom"/>
            </w:pPr>
            <w:r>
              <w:rPr>
                <w:rFonts w:ascii="Arial" w:eastAsia="宋体" w:hAnsi="Arial" w:cs="Arial"/>
                <w:b/>
                <w:bCs/>
                <w:color w:val="000000"/>
                <w:sz w:val="13"/>
                <w:szCs w:val="13"/>
              </w:rPr>
              <w:t>1,580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C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CE" w14:textId="77777777" w:rsidR="003C66EB" w:rsidRDefault="00D96C4E">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CF" w14:textId="77777777" w:rsidR="003C66EB" w:rsidRDefault="003C66EB">
            <w:pPr>
              <w:jc w:val="right"/>
              <w:rPr>
                <w:rFonts w:ascii="宋体"/>
              </w:rPr>
            </w:pPr>
          </w:p>
        </w:tc>
      </w:tr>
      <w:tr w:rsidR="003C66EB" w14:paraId="5EA201DC" w14:textId="77777777">
        <w:tc>
          <w:tcPr>
            <w:tcW w:w="0" w:type="auto"/>
            <w:gridSpan w:val="3"/>
            <w:shd w:val="clear" w:color="auto" w:fill="FFFFFF"/>
            <w:tcMar>
              <w:top w:w="40" w:type="dxa"/>
              <w:left w:w="20" w:type="dxa"/>
              <w:bottom w:w="40" w:type="dxa"/>
              <w:right w:w="20" w:type="dxa"/>
            </w:tcMar>
            <w:vAlign w:val="bottom"/>
          </w:tcPr>
          <w:p w14:paraId="5EA201D1" w14:textId="77777777" w:rsidR="003C66EB" w:rsidRDefault="00D96C4E">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5EA201D2" w14:textId="77777777" w:rsidR="003C66EB" w:rsidRDefault="00D96C4E">
            <w:pPr>
              <w:jc w:val="right"/>
              <w:textAlignment w:val="bottom"/>
            </w:pPr>
            <w:r>
              <w:rPr>
                <w:rFonts w:ascii="Arial" w:eastAsia="宋体" w:hAnsi="Arial" w:cs="Arial"/>
                <w:b/>
                <w:bCs/>
                <w:color w:val="000000"/>
                <w:sz w:val="13"/>
                <w:szCs w:val="13"/>
              </w:rPr>
              <w:t>377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01D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D4"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01D5" w14:textId="77777777" w:rsidR="003C66EB" w:rsidRDefault="00D96C4E">
            <w:pPr>
              <w:jc w:val="right"/>
              <w:textAlignment w:val="bottom"/>
            </w:pPr>
            <w:r>
              <w:rPr>
                <w:rFonts w:ascii="Arial" w:eastAsia="宋体" w:hAnsi="Arial" w:cs="Arial"/>
                <w:b/>
                <w:bCs/>
                <w:color w:val="000000"/>
                <w:sz w:val="13"/>
                <w:szCs w:val="13"/>
              </w:rPr>
              <w:t>855</w:t>
            </w:r>
          </w:p>
        </w:tc>
        <w:tc>
          <w:tcPr>
            <w:tcW w:w="0" w:type="auto"/>
            <w:gridSpan w:val="3"/>
            <w:shd w:val="clear" w:color="auto" w:fill="FFFFFF"/>
            <w:tcMar>
              <w:top w:w="0" w:type="dxa"/>
              <w:left w:w="20" w:type="dxa"/>
              <w:bottom w:w="0" w:type="dxa"/>
              <w:right w:w="20" w:type="dxa"/>
            </w:tcMar>
          </w:tcPr>
          <w:p w14:paraId="5EA201D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D7" w14:textId="77777777" w:rsidR="003C66EB" w:rsidRDefault="00D96C4E">
            <w:pPr>
              <w:jc w:val="right"/>
              <w:textAlignment w:val="bottom"/>
            </w:pPr>
            <w:r>
              <w:rPr>
                <w:rFonts w:ascii="Arial" w:eastAsia="宋体" w:hAnsi="Arial" w:cs="Arial"/>
                <w:b/>
                <w:bCs/>
                <w:color w:val="000000"/>
                <w:sz w:val="13"/>
                <w:szCs w:val="13"/>
              </w:rPr>
              <w:t>1,232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01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1DA" w14:textId="77777777" w:rsidR="003C66EB" w:rsidRDefault="00D96C4E">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01DB" w14:textId="77777777" w:rsidR="003C66EB" w:rsidRDefault="003C66EB">
            <w:pPr>
              <w:jc w:val="right"/>
              <w:rPr>
                <w:rFonts w:ascii="宋体"/>
              </w:rPr>
            </w:pPr>
          </w:p>
        </w:tc>
      </w:tr>
      <w:tr w:rsidR="003C66EB" w14:paraId="5EA201E9" w14:textId="77777777">
        <w:tc>
          <w:tcPr>
            <w:tcW w:w="0" w:type="auto"/>
            <w:gridSpan w:val="3"/>
            <w:shd w:val="clear" w:color="auto" w:fill="CCEEFF"/>
            <w:tcMar>
              <w:top w:w="40" w:type="dxa"/>
              <w:left w:w="20" w:type="dxa"/>
              <w:bottom w:w="40" w:type="dxa"/>
              <w:right w:w="20" w:type="dxa"/>
            </w:tcMar>
            <w:vAlign w:val="bottom"/>
          </w:tcPr>
          <w:p w14:paraId="5EA201DD" w14:textId="77777777" w:rsidR="003C66EB" w:rsidRDefault="00D96C4E">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5EA201DE"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E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E1" w14:textId="77777777" w:rsidR="003C66EB" w:rsidRDefault="00D96C4E">
            <w:pPr>
              <w:jc w:val="right"/>
              <w:textAlignment w:val="bottom"/>
            </w:pPr>
            <w:r>
              <w:rPr>
                <w:rFonts w:ascii="Arial" w:eastAsia="宋体" w:hAnsi="Arial" w:cs="Arial"/>
                <w:b/>
                <w:bCs/>
                <w:color w:val="000000"/>
                <w:sz w:val="13"/>
                <w:szCs w:val="13"/>
              </w:rPr>
              <w:t>500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E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E4" w14:textId="77777777" w:rsidR="003C66EB" w:rsidRDefault="00D96C4E">
            <w:pPr>
              <w:jc w:val="right"/>
              <w:textAlignment w:val="bottom"/>
            </w:pPr>
            <w:r>
              <w:rPr>
                <w:rFonts w:ascii="Arial" w:eastAsia="宋体" w:hAnsi="Arial" w:cs="Arial"/>
                <w:b/>
                <w:bCs/>
                <w:color w:val="000000"/>
                <w:sz w:val="13"/>
                <w:szCs w:val="13"/>
              </w:rPr>
              <w:t>500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1E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1E7" w14:textId="77777777" w:rsidR="003C66EB" w:rsidRDefault="00D96C4E">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01E8" w14:textId="77777777" w:rsidR="003C66EB" w:rsidRDefault="003C66EB">
            <w:pPr>
              <w:jc w:val="right"/>
              <w:rPr>
                <w:rFonts w:ascii="宋体"/>
              </w:rPr>
            </w:pPr>
          </w:p>
        </w:tc>
      </w:tr>
      <w:tr w:rsidR="003C66EB" w14:paraId="5EA201F8" w14:textId="77777777">
        <w:tc>
          <w:tcPr>
            <w:tcW w:w="0" w:type="auto"/>
            <w:gridSpan w:val="3"/>
            <w:shd w:val="clear" w:color="auto" w:fill="FFFFFF"/>
            <w:tcMar>
              <w:top w:w="40" w:type="dxa"/>
              <w:left w:w="20" w:type="dxa"/>
              <w:bottom w:w="40" w:type="dxa"/>
              <w:right w:w="20" w:type="dxa"/>
            </w:tcMar>
            <w:vAlign w:val="bottom"/>
          </w:tcPr>
          <w:p w14:paraId="5EA201EA" w14:textId="77777777" w:rsidR="003C66EB" w:rsidRDefault="00D96C4E">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01EB"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1EC" w14:textId="77777777" w:rsidR="003C66EB" w:rsidRDefault="00D96C4E">
            <w:pPr>
              <w:jc w:val="right"/>
              <w:textAlignment w:val="bottom"/>
            </w:pPr>
            <w:r>
              <w:rPr>
                <w:rFonts w:ascii="Arial" w:eastAsia="宋体" w:hAnsi="Arial" w:cs="Arial"/>
                <w:b/>
                <w:bCs/>
                <w:color w:val="000000"/>
                <w:sz w:val="13"/>
                <w:szCs w:val="13"/>
              </w:rPr>
              <w:t>1,036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1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E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1EF"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1F0" w14:textId="77777777" w:rsidR="003C66EB" w:rsidRDefault="00D96C4E">
            <w:pPr>
              <w:jc w:val="right"/>
              <w:textAlignment w:val="bottom"/>
            </w:pPr>
            <w:r>
              <w:rPr>
                <w:rFonts w:ascii="Arial" w:eastAsia="宋体" w:hAnsi="Arial" w:cs="Arial"/>
                <w:b/>
                <w:bCs/>
                <w:color w:val="000000"/>
                <w:sz w:val="13"/>
                <w:szCs w:val="13"/>
              </w:rPr>
              <w:t>7,156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1F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F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1F3"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1F4" w14:textId="77777777" w:rsidR="003C66EB" w:rsidRDefault="00D96C4E">
            <w:pPr>
              <w:jc w:val="right"/>
              <w:textAlignment w:val="bottom"/>
            </w:pPr>
            <w:r>
              <w:rPr>
                <w:rFonts w:ascii="Arial" w:eastAsia="宋体" w:hAnsi="Arial" w:cs="Arial"/>
                <w:b/>
                <w:bCs/>
                <w:color w:val="000000"/>
                <w:sz w:val="13"/>
                <w:szCs w:val="13"/>
              </w:rPr>
              <w:t>8,192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1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1F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1F7" w14:textId="77777777" w:rsidR="003C66EB" w:rsidRDefault="003C66EB">
            <w:pPr>
              <w:rPr>
                <w:rFonts w:ascii="宋体"/>
              </w:rPr>
            </w:pPr>
          </w:p>
        </w:tc>
      </w:tr>
      <w:tr w:rsidR="003C66EB" w14:paraId="5EA20201" w14:textId="77777777">
        <w:trPr>
          <w:trHeight w:val="60"/>
        </w:trPr>
        <w:tc>
          <w:tcPr>
            <w:tcW w:w="0" w:type="auto"/>
            <w:gridSpan w:val="3"/>
            <w:shd w:val="clear" w:color="auto" w:fill="auto"/>
            <w:tcMar>
              <w:top w:w="0" w:type="dxa"/>
              <w:left w:w="20" w:type="dxa"/>
              <w:bottom w:w="0" w:type="dxa"/>
              <w:right w:w="20" w:type="dxa"/>
            </w:tcMar>
          </w:tcPr>
          <w:p w14:paraId="5EA201F9"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1F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FB"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1F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F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1F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1F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00" w14:textId="77777777" w:rsidR="003C66EB" w:rsidRDefault="003C66EB">
            <w:pPr>
              <w:rPr>
                <w:rFonts w:ascii="宋体"/>
              </w:rPr>
            </w:pPr>
          </w:p>
        </w:tc>
      </w:tr>
      <w:tr w:rsidR="003C66EB" w14:paraId="5EA20209" w14:textId="77777777">
        <w:tc>
          <w:tcPr>
            <w:tcW w:w="0" w:type="auto"/>
            <w:gridSpan w:val="6"/>
            <w:shd w:val="clear" w:color="auto" w:fill="auto"/>
            <w:tcMar>
              <w:top w:w="40" w:type="dxa"/>
              <w:left w:w="20" w:type="dxa"/>
              <w:bottom w:w="40" w:type="dxa"/>
              <w:right w:w="20" w:type="dxa"/>
            </w:tcMar>
            <w:vAlign w:val="bottom"/>
          </w:tcPr>
          <w:p w14:paraId="5EA20202" w14:textId="77777777" w:rsidR="003C66EB" w:rsidRDefault="00D96C4E">
            <w:pPr>
              <w:textAlignment w:val="bottom"/>
            </w:pPr>
            <w:r>
              <w:rPr>
                <w:rFonts w:ascii="Arial" w:eastAsia="宋体" w:hAnsi="Arial" w:cs="Arial"/>
                <w:b/>
                <w:bCs/>
                <w:color w:val="000000"/>
                <w:sz w:val="13"/>
                <w:szCs w:val="13"/>
              </w:rPr>
              <w:t>December 31, 2020</w:t>
            </w:r>
          </w:p>
        </w:tc>
        <w:tc>
          <w:tcPr>
            <w:tcW w:w="0" w:type="auto"/>
            <w:gridSpan w:val="3"/>
            <w:shd w:val="clear" w:color="auto" w:fill="auto"/>
            <w:tcMar>
              <w:top w:w="0" w:type="dxa"/>
              <w:left w:w="20" w:type="dxa"/>
              <w:bottom w:w="0" w:type="dxa"/>
              <w:right w:w="20" w:type="dxa"/>
            </w:tcMar>
          </w:tcPr>
          <w:p w14:paraId="5EA202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0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0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0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08" w14:textId="77777777" w:rsidR="003C66EB" w:rsidRDefault="003C66EB">
            <w:pPr>
              <w:rPr>
                <w:rFonts w:ascii="宋体"/>
              </w:rPr>
            </w:pPr>
          </w:p>
        </w:tc>
      </w:tr>
      <w:tr w:rsidR="003C66EB" w14:paraId="5EA20212" w14:textId="77777777">
        <w:tc>
          <w:tcPr>
            <w:tcW w:w="0" w:type="auto"/>
            <w:gridSpan w:val="3"/>
            <w:shd w:val="clear" w:color="auto" w:fill="FFFFFF"/>
            <w:tcMar>
              <w:top w:w="40" w:type="dxa"/>
              <w:left w:w="20" w:type="dxa"/>
              <w:bottom w:w="40" w:type="dxa"/>
              <w:right w:w="20" w:type="dxa"/>
            </w:tcMar>
            <w:vAlign w:val="bottom"/>
          </w:tcPr>
          <w:p w14:paraId="5EA2020A" w14:textId="77777777" w:rsidR="003C66EB" w:rsidRDefault="00D96C4E">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tcPr>
          <w:p w14:paraId="5EA202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2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2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20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2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2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211" w14:textId="77777777" w:rsidR="003C66EB" w:rsidRDefault="003C66EB">
            <w:pPr>
              <w:rPr>
                <w:rFonts w:ascii="宋体"/>
              </w:rPr>
            </w:pPr>
          </w:p>
        </w:tc>
      </w:tr>
      <w:tr w:rsidR="003C66EB" w14:paraId="5EA20222" w14:textId="77777777">
        <w:tc>
          <w:tcPr>
            <w:tcW w:w="0" w:type="auto"/>
            <w:gridSpan w:val="3"/>
            <w:shd w:val="clear" w:color="auto" w:fill="CCEEFF"/>
            <w:tcMar>
              <w:top w:w="40" w:type="dxa"/>
              <w:left w:w="20" w:type="dxa"/>
              <w:bottom w:w="40" w:type="dxa"/>
              <w:right w:w="20" w:type="dxa"/>
            </w:tcMar>
            <w:vAlign w:val="bottom"/>
          </w:tcPr>
          <w:p w14:paraId="5EA20213" w14:textId="77777777" w:rsidR="003C66EB" w:rsidRDefault="00D96C4E">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5EA20214"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0215" w14:textId="77777777" w:rsidR="003C66EB" w:rsidRDefault="00D96C4E">
            <w:pPr>
              <w:jc w:val="right"/>
              <w:textAlignment w:val="bottom"/>
            </w:pPr>
            <w:r>
              <w:rPr>
                <w:rFonts w:ascii="Arial" w:eastAsia="宋体" w:hAnsi="Arial" w:cs="Arial"/>
                <w:color w:val="000000"/>
                <w:sz w:val="13"/>
                <w:szCs w:val="13"/>
              </w:rPr>
              <w:t>268 </w:t>
            </w:r>
          </w:p>
        </w:tc>
        <w:tc>
          <w:tcPr>
            <w:tcW w:w="0" w:type="auto"/>
            <w:shd w:val="clear" w:color="auto" w:fill="CCEEFF"/>
            <w:tcMar>
              <w:top w:w="40" w:type="dxa"/>
              <w:left w:w="0" w:type="dxa"/>
              <w:bottom w:w="40" w:type="dxa"/>
              <w:right w:w="20" w:type="dxa"/>
            </w:tcMar>
            <w:vAlign w:val="bottom"/>
          </w:tcPr>
          <w:p w14:paraId="5EA2021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1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218"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0219" w14:textId="77777777" w:rsidR="003C66EB" w:rsidRDefault="00D96C4E">
            <w:pPr>
              <w:jc w:val="right"/>
              <w:textAlignment w:val="bottom"/>
            </w:pPr>
            <w:r>
              <w:rPr>
                <w:rFonts w:ascii="Arial" w:eastAsia="宋体" w:hAnsi="Arial" w:cs="Arial"/>
                <w:color w:val="000000"/>
                <w:sz w:val="13"/>
                <w:szCs w:val="13"/>
              </w:rPr>
              <w:t>2,282 </w:t>
            </w:r>
          </w:p>
        </w:tc>
        <w:tc>
          <w:tcPr>
            <w:tcW w:w="0" w:type="auto"/>
            <w:shd w:val="clear" w:color="auto" w:fill="CCEEFF"/>
            <w:tcMar>
              <w:top w:w="40" w:type="dxa"/>
              <w:left w:w="0" w:type="dxa"/>
              <w:bottom w:w="40" w:type="dxa"/>
              <w:right w:w="20" w:type="dxa"/>
            </w:tcMar>
            <w:vAlign w:val="bottom"/>
          </w:tcPr>
          <w:p w14:paraId="5EA202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1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21C"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021D" w14:textId="77777777" w:rsidR="003C66EB" w:rsidRDefault="00D96C4E">
            <w:pPr>
              <w:jc w:val="right"/>
              <w:textAlignment w:val="bottom"/>
            </w:pPr>
            <w:r>
              <w:rPr>
                <w:rFonts w:ascii="Arial" w:eastAsia="宋体" w:hAnsi="Arial" w:cs="Arial"/>
                <w:color w:val="000000"/>
                <w:sz w:val="13"/>
                <w:szCs w:val="13"/>
              </w:rPr>
              <w:t>2,550 </w:t>
            </w:r>
          </w:p>
        </w:tc>
        <w:tc>
          <w:tcPr>
            <w:tcW w:w="0" w:type="auto"/>
            <w:shd w:val="clear" w:color="auto" w:fill="CCEEFF"/>
            <w:tcMar>
              <w:top w:w="40" w:type="dxa"/>
              <w:left w:w="0" w:type="dxa"/>
              <w:bottom w:w="40" w:type="dxa"/>
              <w:right w:w="20" w:type="dxa"/>
            </w:tcMar>
            <w:vAlign w:val="bottom"/>
          </w:tcPr>
          <w:p w14:paraId="5EA202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1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220" w14:textId="77777777" w:rsidR="003C66EB" w:rsidRDefault="00D96C4E">
            <w:pPr>
              <w:jc w:val="right"/>
              <w:textAlignment w:val="bottom"/>
            </w:pPr>
            <w:r>
              <w:rPr>
                <w:rFonts w:ascii="Arial" w:eastAsia="宋体" w:hAnsi="Arial" w:cs="Arial"/>
                <w:color w:val="000000"/>
                <w:sz w:val="13"/>
                <w:szCs w:val="13"/>
              </w:rPr>
              <w:t>23 </w:t>
            </w:r>
          </w:p>
        </w:tc>
        <w:tc>
          <w:tcPr>
            <w:tcW w:w="0" w:type="auto"/>
            <w:shd w:val="clear" w:color="auto" w:fill="CCEEFF"/>
            <w:tcMar>
              <w:top w:w="40" w:type="dxa"/>
              <w:left w:w="0" w:type="dxa"/>
              <w:bottom w:w="40" w:type="dxa"/>
              <w:right w:w="20" w:type="dxa"/>
            </w:tcMar>
            <w:vAlign w:val="bottom"/>
          </w:tcPr>
          <w:p w14:paraId="5EA20221" w14:textId="77777777" w:rsidR="003C66EB" w:rsidRDefault="00D96C4E">
            <w:pPr>
              <w:jc w:val="right"/>
              <w:textAlignment w:val="bottom"/>
            </w:pPr>
            <w:r>
              <w:rPr>
                <w:rFonts w:ascii="Arial" w:eastAsia="宋体" w:hAnsi="Arial" w:cs="Arial"/>
                <w:color w:val="000000"/>
                <w:sz w:val="13"/>
                <w:szCs w:val="13"/>
              </w:rPr>
              <w:t>%</w:t>
            </w:r>
          </w:p>
        </w:tc>
      </w:tr>
      <w:tr w:rsidR="003C66EB" w14:paraId="5EA2022F" w14:textId="77777777">
        <w:tc>
          <w:tcPr>
            <w:tcW w:w="0" w:type="auto"/>
            <w:gridSpan w:val="3"/>
            <w:shd w:val="clear" w:color="auto" w:fill="FFFFFF"/>
            <w:tcMar>
              <w:top w:w="40" w:type="dxa"/>
              <w:left w:w="20" w:type="dxa"/>
              <w:bottom w:w="40" w:type="dxa"/>
              <w:right w:w="20" w:type="dxa"/>
            </w:tcMar>
            <w:vAlign w:val="bottom"/>
          </w:tcPr>
          <w:p w14:paraId="5EA20223" w14:textId="77777777" w:rsidR="003C66EB" w:rsidRDefault="00D96C4E">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5EA20224" w14:textId="77777777" w:rsidR="003C66EB" w:rsidRDefault="00D96C4E">
            <w:pPr>
              <w:jc w:val="right"/>
              <w:textAlignment w:val="bottom"/>
            </w:pPr>
            <w:r>
              <w:rPr>
                <w:rFonts w:ascii="Arial" w:eastAsia="宋体" w:hAnsi="Arial" w:cs="Arial"/>
                <w:color w:val="000000"/>
                <w:sz w:val="13"/>
                <w:szCs w:val="13"/>
              </w:rPr>
              <w:t>113 </w:t>
            </w:r>
          </w:p>
        </w:tc>
        <w:tc>
          <w:tcPr>
            <w:tcW w:w="0" w:type="auto"/>
            <w:shd w:val="clear" w:color="auto" w:fill="FFFFFF"/>
            <w:tcMar>
              <w:top w:w="40" w:type="dxa"/>
              <w:left w:w="0" w:type="dxa"/>
              <w:bottom w:w="40" w:type="dxa"/>
              <w:right w:w="20" w:type="dxa"/>
            </w:tcMar>
            <w:vAlign w:val="bottom"/>
          </w:tcPr>
          <w:p w14:paraId="5EA202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2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27" w14:textId="77777777" w:rsidR="003C66EB" w:rsidRDefault="00D96C4E">
            <w:pPr>
              <w:jc w:val="right"/>
              <w:textAlignment w:val="bottom"/>
            </w:pPr>
            <w:r>
              <w:rPr>
                <w:rFonts w:ascii="Arial" w:eastAsia="宋体" w:hAnsi="Arial" w:cs="Arial"/>
                <w:color w:val="000000"/>
                <w:sz w:val="13"/>
                <w:szCs w:val="13"/>
              </w:rPr>
              <w:t>2,174 </w:t>
            </w:r>
          </w:p>
        </w:tc>
        <w:tc>
          <w:tcPr>
            <w:tcW w:w="0" w:type="auto"/>
            <w:shd w:val="clear" w:color="auto" w:fill="FFFFFF"/>
            <w:tcMar>
              <w:top w:w="40" w:type="dxa"/>
              <w:left w:w="0" w:type="dxa"/>
              <w:bottom w:w="40" w:type="dxa"/>
              <w:right w:w="20" w:type="dxa"/>
            </w:tcMar>
            <w:vAlign w:val="bottom"/>
          </w:tcPr>
          <w:p w14:paraId="5EA2022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2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2A" w14:textId="77777777" w:rsidR="003C66EB" w:rsidRDefault="00D96C4E">
            <w:pPr>
              <w:jc w:val="right"/>
              <w:textAlignment w:val="bottom"/>
            </w:pPr>
            <w:r>
              <w:rPr>
                <w:rFonts w:ascii="Arial" w:eastAsia="宋体" w:hAnsi="Arial" w:cs="Arial"/>
                <w:color w:val="000000"/>
                <w:sz w:val="13"/>
                <w:szCs w:val="13"/>
              </w:rPr>
              <w:t>2,287 </w:t>
            </w:r>
          </w:p>
        </w:tc>
        <w:tc>
          <w:tcPr>
            <w:tcW w:w="0" w:type="auto"/>
            <w:shd w:val="clear" w:color="auto" w:fill="FFFFFF"/>
            <w:tcMar>
              <w:top w:w="40" w:type="dxa"/>
              <w:left w:w="0" w:type="dxa"/>
              <w:bottom w:w="40" w:type="dxa"/>
              <w:right w:w="20" w:type="dxa"/>
            </w:tcMar>
            <w:vAlign w:val="bottom"/>
          </w:tcPr>
          <w:p w14:paraId="5EA2022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2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2D" w14:textId="77777777" w:rsidR="003C66EB" w:rsidRDefault="00D96C4E">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5EA2022E" w14:textId="77777777" w:rsidR="003C66EB" w:rsidRDefault="003C66EB">
            <w:pPr>
              <w:jc w:val="right"/>
              <w:rPr>
                <w:rFonts w:ascii="宋体"/>
              </w:rPr>
            </w:pPr>
          </w:p>
        </w:tc>
      </w:tr>
      <w:tr w:rsidR="003C66EB" w14:paraId="5EA2023C" w14:textId="77777777">
        <w:tc>
          <w:tcPr>
            <w:tcW w:w="0" w:type="auto"/>
            <w:gridSpan w:val="3"/>
            <w:shd w:val="clear" w:color="auto" w:fill="CCEEFF"/>
            <w:tcMar>
              <w:top w:w="40" w:type="dxa"/>
              <w:left w:w="20" w:type="dxa"/>
              <w:bottom w:w="40" w:type="dxa"/>
              <w:right w:w="20" w:type="dxa"/>
            </w:tcMar>
            <w:vAlign w:val="bottom"/>
          </w:tcPr>
          <w:p w14:paraId="5EA20230" w14:textId="77777777" w:rsidR="003C66EB" w:rsidRDefault="00D96C4E">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5EA20231" w14:textId="77777777" w:rsidR="003C66EB" w:rsidRDefault="00D96C4E">
            <w:pPr>
              <w:jc w:val="right"/>
              <w:textAlignment w:val="bottom"/>
            </w:pPr>
            <w:r>
              <w:rPr>
                <w:rFonts w:ascii="Arial" w:eastAsia="宋体" w:hAnsi="Arial" w:cs="Arial"/>
                <w:color w:val="000000"/>
                <w:sz w:val="13"/>
                <w:szCs w:val="13"/>
              </w:rPr>
              <w:t>297 </w:t>
            </w:r>
          </w:p>
        </w:tc>
        <w:tc>
          <w:tcPr>
            <w:tcW w:w="0" w:type="auto"/>
            <w:shd w:val="clear" w:color="auto" w:fill="CCEEFF"/>
            <w:tcMar>
              <w:top w:w="40" w:type="dxa"/>
              <w:left w:w="0" w:type="dxa"/>
              <w:bottom w:w="40" w:type="dxa"/>
              <w:right w:w="20" w:type="dxa"/>
            </w:tcMar>
            <w:vAlign w:val="bottom"/>
          </w:tcPr>
          <w:p w14:paraId="5EA2023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3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234" w14:textId="77777777" w:rsidR="003C66EB" w:rsidRDefault="00D96C4E">
            <w:pPr>
              <w:jc w:val="right"/>
              <w:textAlignment w:val="bottom"/>
            </w:pPr>
            <w:r>
              <w:rPr>
                <w:rFonts w:ascii="Arial" w:eastAsia="宋体" w:hAnsi="Arial" w:cs="Arial"/>
                <w:color w:val="000000"/>
                <w:sz w:val="13"/>
                <w:szCs w:val="13"/>
              </w:rPr>
              <w:t>1,363 </w:t>
            </w:r>
          </w:p>
        </w:tc>
        <w:tc>
          <w:tcPr>
            <w:tcW w:w="0" w:type="auto"/>
            <w:shd w:val="clear" w:color="auto" w:fill="CCEEFF"/>
            <w:tcMar>
              <w:top w:w="40" w:type="dxa"/>
              <w:left w:w="0" w:type="dxa"/>
              <w:bottom w:w="40" w:type="dxa"/>
              <w:right w:w="20" w:type="dxa"/>
            </w:tcMar>
            <w:vAlign w:val="bottom"/>
          </w:tcPr>
          <w:p w14:paraId="5EA2023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3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237" w14:textId="77777777" w:rsidR="003C66EB" w:rsidRDefault="00D96C4E">
            <w:pPr>
              <w:jc w:val="right"/>
              <w:textAlignment w:val="bottom"/>
            </w:pPr>
            <w:r>
              <w:rPr>
                <w:rFonts w:ascii="Arial" w:eastAsia="宋体" w:hAnsi="Arial" w:cs="Arial"/>
                <w:color w:val="000000"/>
                <w:sz w:val="13"/>
                <w:szCs w:val="13"/>
              </w:rPr>
              <w:t>1,660 </w:t>
            </w:r>
          </w:p>
        </w:tc>
        <w:tc>
          <w:tcPr>
            <w:tcW w:w="0" w:type="auto"/>
            <w:shd w:val="clear" w:color="auto" w:fill="CCEEFF"/>
            <w:tcMar>
              <w:top w:w="40" w:type="dxa"/>
              <w:left w:w="0" w:type="dxa"/>
              <w:bottom w:w="40" w:type="dxa"/>
              <w:right w:w="20" w:type="dxa"/>
            </w:tcMar>
            <w:vAlign w:val="bottom"/>
          </w:tcPr>
          <w:p w14:paraId="5EA2023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3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23A" w14:textId="77777777" w:rsidR="003C66EB" w:rsidRDefault="00D96C4E">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5EA2023B" w14:textId="77777777" w:rsidR="003C66EB" w:rsidRDefault="003C66EB">
            <w:pPr>
              <w:jc w:val="right"/>
              <w:rPr>
                <w:rFonts w:ascii="宋体"/>
              </w:rPr>
            </w:pPr>
          </w:p>
        </w:tc>
      </w:tr>
      <w:tr w:rsidR="003C66EB" w14:paraId="5EA20249" w14:textId="77777777">
        <w:tc>
          <w:tcPr>
            <w:tcW w:w="0" w:type="auto"/>
            <w:gridSpan w:val="3"/>
            <w:shd w:val="clear" w:color="auto" w:fill="FFFFFF"/>
            <w:tcMar>
              <w:top w:w="40" w:type="dxa"/>
              <w:left w:w="20" w:type="dxa"/>
              <w:bottom w:w="40" w:type="dxa"/>
              <w:right w:w="20" w:type="dxa"/>
            </w:tcMar>
            <w:vAlign w:val="bottom"/>
          </w:tcPr>
          <w:p w14:paraId="5EA2023D" w14:textId="77777777" w:rsidR="003C66EB" w:rsidRDefault="00D96C4E">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5EA2023E" w14:textId="77777777" w:rsidR="003C66EB" w:rsidRDefault="00D96C4E">
            <w:pPr>
              <w:jc w:val="right"/>
              <w:textAlignment w:val="bottom"/>
            </w:pPr>
            <w:r>
              <w:rPr>
                <w:rFonts w:ascii="Arial" w:eastAsia="宋体" w:hAnsi="Arial" w:cs="Arial"/>
                <w:color w:val="000000"/>
                <w:sz w:val="13"/>
                <w:szCs w:val="13"/>
              </w:rPr>
              <w:t>382 </w:t>
            </w:r>
          </w:p>
        </w:tc>
        <w:tc>
          <w:tcPr>
            <w:tcW w:w="0" w:type="auto"/>
            <w:shd w:val="clear" w:color="auto" w:fill="FFFFFF"/>
            <w:tcMar>
              <w:top w:w="40" w:type="dxa"/>
              <w:left w:w="0" w:type="dxa"/>
              <w:bottom w:w="40" w:type="dxa"/>
              <w:right w:w="20" w:type="dxa"/>
            </w:tcMar>
            <w:vAlign w:val="bottom"/>
          </w:tcPr>
          <w:p w14:paraId="5EA202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4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41" w14:textId="77777777" w:rsidR="003C66EB" w:rsidRDefault="00D96C4E">
            <w:pPr>
              <w:jc w:val="right"/>
              <w:textAlignment w:val="bottom"/>
            </w:pPr>
            <w:r>
              <w:rPr>
                <w:rFonts w:ascii="Arial" w:eastAsia="宋体" w:hAnsi="Arial" w:cs="Arial"/>
                <w:color w:val="000000"/>
                <w:sz w:val="13"/>
                <w:szCs w:val="13"/>
              </w:rPr>
              <w:t>927 </w:t>
            </w:r>
          </w:p>
        </w:tc>
        <w:tc>
          <w:tcPr>
            <w:tcW w:w="0" w:type="auto"/>
            <w:shd w:val="clear" w:color="auto" w:fill="FFFFFF"/>
            <w:tcMar>
              <w:top w:w="40" w:type="dxa"/>
              <w:left w:w="0" w:type="dxa"/>
              <w:bottom w:w="40" w:type="dxa"/>
              <w:right w:w="20" w:type="dxa"/>
            </w:tcMar>
            <w:vAlign w:val="bottom"/>
          </w:tcPr>
          <w:p w14:paraId="5EA202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44" w14:textId="77777777" w:rsidR="003C66EB" w:rsidRDefault="00D96C4E">
            <w:pPr>
              <w:jc w:val="right"/>
              <w:textAlignment w:val="bottom"/>
            </w:pPr>
            <w:r>
              <w:rPr>
                <w:rFonts w:ascii="Arial" w:eastAsia="宋体" w:hAnsi="Arial" w:cs="Arial"/>
                <w:color w:val="000000"/>
                <w:sz w:val="13"/>
                <w:szCs w:val="13"/>
              </w:rPr>
              <w:t>1,309 </w:t>
            </w:r>
          </w:p>
        </w:tc>
        <w:tc>
          <w:tcPr>
            <w:tcW w:w="0" w:type="auto"/>
            <w:shd w:val="clear" w:color="auto" w:fill="FFFFFF"/>
            <w:tcMar>
              <w:top w:w="40" w:type="dxa"/>
              <w:left w:w="0" w:type="dxa"/>
              <w:bottom w:w="40" w:type="dxa"/>
              <w:right w:w="20" w:type="dxa"/>
            </w:tcMar>
            <w:vAlign w:val="bottom"/>
          </w:tcPr>
          <w:p w14:paraId="5EA202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47" w14:textId="77777777" w:rsidR="003C66EB" w:rsidRDefault="00D96C4E">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5EA20248" w14:textId="77777777" w:rsidR="003C66EB" w:rsidRDefault="003C66EB">
            <w:pPr>
              <w:jc w:val="right"/>
              <w:rPr>
                <w:rFonts w:ascii="宋体"/>
              </w:rPr>
            </w:pPr>
          </w:p>
        </w:tc>
      </w:tr>
      <w:tr w:rsidR="003C66EB" w14:paraId="5EA20252" w14:textId="77777777">
        <w:trPr>
          <w:hidden/>
        </w:trPr>
        <w:tc>
          <w:tcPr>
            <w:tcW w:w="0" w:type="auto"/>
            <w:gridSpan w:val="3"/>
            <w:shd w:val="clear" w:color="auto" w:fill="auto"/>
          </w:tcPr>
          <w:p w14:paraId="5EA2024A" w14:textId="77777777" w:rsidR="003C66EB" w:rsidRDefault="003C66EB">
            <w:pPr>
              <w:rPr>
                <w:rFonts w:ascii="宋体"/>
                <w:vanish/>
              </w:rPr>
            </w:pPr>
          </w:p>
        </w:tc>
        <w:tc>
          <w:tcPr>
            <w:tcW w:w="0" w:type="auto"/>
            <w:gridSpan w:val="3"/>
            <w:shd w:val="clear" w:color="auto" w:fill="auto"/>
          </w:tcPr>
          <w:p w14:paraId="5EA2024B" w14:textId="77777777" w:rsidR="003C66EB" w:rsidRDefault="003C66EB">
            <w:pPr>
              <w:rPr>
                <w:rFonts w:ascii="宋体"/>
                <w:vanish/>
              </w:rPr>
            </w:pPr>
          </w:p>
        </w:tc>
        <w:tc>
          <w:tcPr>
            <w:tcW w:w="0" w:type="auto"/>
            <w:gridSpan w:val="3"/>
            <w:shd w:val="clear" w:color="auto" w:fill="auto"/>
          </w:tcPr>
          <w:p w14:paraId="5EA2024C" w14:textId="77777777" w:rsidR="003C66EB" w:rsidRDefault="003C66EB">
            <w:pPr>
              <w:rPr>
                <w:rFonts w:ascii="宋体"/>
                <w:vanish/>
              </w:rPr>
            </w:pPr>
          </w:p>
        </w:tc>
        <w:tc>
          <w:tcPr>
            <w:tcW w:w="0" w:type="auto"/>
            <w:gridSpan w:val="3"/>
            <w:shd w:val="clear" w:color="auto" w:fill="auto"/>
          </w:tcPr>
          <w:p w14:paraId="5EA2024D" w14:textId="77777777" w:rsidR="003C66EB" w:rsidRDefault="003C66EB">
            <w:pPr>
              <w:rPr>
                <w:rFonts w:ascii="宋体"/>
                <w:vanish/>
              </w:rPr>
            </w:pPr>
          </w:p>
        </w:tc>
        <w:tc>
          <w:tcPr>
            <w:tcW w:w="0" w:type="auto"/>
            <w:gridSpan w:val="3"/>
            <w:shd w:val="clear" w:color="auto" w:fill="auto"/>
          </w:tcPr>
          <w:p w14:paraId="5EA2024E" w14:textId="77777777" w:rsidR="003C66EB" w:rsidRDefault="003C66EB">
            <w:pPr>
              <w:rPr>
                <w:rFonts w:ascii="宋体"/>
                <w:vanish/>
              </w:rPr>
            </w:pPr>
          </w:p>
        </w:tc>
        <w:tc>
          <w:tcPr>
            <w:tcW w:w="0" w:type="auto"/>
            <w:gridSpan w:val="3"/>
            <w:shd w:val="clear" w:color="auto" w:fill="auto"/>
          </w:tcPr>
          <w:p w14:paraId="5EA2024F" w14:textId="77777777" w:rsidR="003C66EB" w:rsidRDefault="003C66EB">
            <w:pPr>
              <w:rPr>
                <w:rFonts w:ascii="宋体"/>
                <w:vanish/>
              </w:rPr>
            </w:pPr>
          </w:p>
        </w:tc>
        <w:tc>
          <w:tcPr>
            <w:tcW w:w="0" w:type="auto"/>
            <w:gridSpan w:val="3"/>
            <w:shd w:val="clear" w:color="auto" w:fill="auto"/>
          </w:tcPr>
          <w:p w14:paraId="5EA20250" w14:textId="77777777" w:rsidR="003C66EB" w:rsidRDefault="003C66EB">
            <w:pPr>
              <w:rPr>
                <w:rFonts w:ascii="宋体"/>
                <w:vanish/>
              </w:rPr>
            </w:pPr>
          </w:p>
        </w:tc>
        <w:tc>
          <w:tcPr>
            <w:tcW w:w="0" w:type="auto"/>
            <w:gridSpan w:val="3"/>
            <w:shd w:val="clear" w:color="auto" w:fill="auto"/>
          </w:tcPr>
          <w:p w14:paraId="5EA20251" w14:textId="77777777" w:rsidR="003C66EB" w:rsidRDefault="003C66EB">
            <w:pPr>
              <w:rPr>
                <w:rFonts w:ascii="宋体"/>
                <w:vanish/>
              </w:rPr>
            </w:pPr>
          </w:p>
        </w:tc>
      </w:tr>
      <w:tr w:rsidR="003C66EB" w14:paraId="5EA2025B" w14:textId="77777777">
        <w:trPr>
          <w:hidden/>
        </w:trPr>
        <w:tc>
          <w:tcPr>
            <w:tcW w:w="0" w:type="auto"/>
            <w:gridSpan w:val="3"/>
            <w:shd w:val="clear" w:color="auto" w:fill="auto"/>
          </w:tcPr>
          <w:p w14:paraId="5EA20253" w14:textId="77777777" w:rsidR="003C66EB" w:rsidRDefault="003C66EB">
            <w:pPr>
              <w:rPr>
                <w:rFonts w:ascii="宋体"/>
                <w:vanish/>
              </w:rPr>
            </w:pPr>
          </w:p>
        </w:tc>
        <w:tc>
          <w:tcPr>
            <w:tcW w:w="0" w:type="auto"/>
            <w:gridSpan w:val="3"/>
            <w:shd w:val="clear" w:color="auto" w:fill="auto"/>
          </w:tcPr>
          <w:p w14:paraId="5EA20254" w14:textId="77777777" w:rsidR="003C66EB" w:rsidRDefault="003C66EB">
            <w:pPr>
              <w:rPr>
                <w:rFonts w:ascii="宋体"/>
                <w:vanish/>
              </w:rPr>
            </w:pPr>
          </w:p>
        </w:tc>
        <w:tc>
          <w:tcPr>
            <w:tcW w:w="0" w:type="auto"/>
            <w:gridSpan w:val="3"/>
            <w:shd w:val="clear" w:color="auto" w:fill="auto"/>
          </w:tcPr>
          <w:p w14:paraId="5EA20255" w14:textId="77777777" w:rsidR="003C66EB" w:rsidRDefault="003C66EB">
            <w:pPr>
              <w:rPr>
                <w:rFonts w:ascii="宋体"/>
                <w:vanish/>
              </w:rPr>
            </w:pPr>
          </w:p>
        </w:tc>
        <w:tc>
          <w:tcPr>
            <w:tcW w:w="0" w:type="auto"/>
            <w:gridSpan w:val="3"/>
            <w:shd w:val="clear" w:color="auto" w:fill="auto"/>
          </w:tcPr>
          <w:p w14:paraId="5EA20256" w14:textId="77777777" w:rsidR="003C66EB" w:rsidRDefault="003C66EB">
            <w:pPr>
              <w:rPr>
                <w:rFonts w:ascii="宋体"/>
                <w:vanish/>
              </w:rPr>
            </w:pPr>
          </w:p>
        </w:tc>
        <w:tc>
          <w:tcPr>
            <w:tcW w:w="0" w:type="auto"/>
            <w:gridSpan w:val="3"/>
            <w:shd w:val="clear" w:color="auto" w:fill="auto"/>
          </w:tcPr>
          <w:p w14:paraId="5EA20257" w14:textId="77777777" w:rsidR="003C66EB" w:rsidRDefault="003C66EB">
            <w:pPr>
              <w:rPr>
                <w:rFonts w:ascii="宋体"/>
                <w:vanish/>
              </w:rPr>
            </w:pPr>
          </w:p>
        </w:tc>
        <w:tc>
          <w:tcPr>
            <w:tcW w:w="0" w:type="auto"/>
            <w:gridSpan w:val="3"/>
            <w:shd w:val="clear" w:color="auto" w:fill="auto"/>
          </w:tcPr>
          <w:p w14:paraId="5EA20258" w14:textId="77777777" w:rsidR="003C66EB" w:rsidRDefault="003C66EB">
            <w:pPr>
              <w:rPr>
                <w:rFonts w:ascii="宋体"/>
                <w:vanish/>
              </w:rPr>
            </w:pPr>
          </w:p>
        </w:tc>
        <w:tc>
          <w:tcPr>
            <w:tcW w:w="0" w:type="auto"/>
            <w:gridSpan w:val="3"/>
            <w:shd w:val="clear" w:color="auto" w:fill="auto"/>
          </w:tcPr>
          <w:p w14:paraId="5EA20259" w14:textId="77777777" w:rsidR="003C66EB" w:rsidRDefault="003C66EB">
            <w:pPr>
              <w:rPr>
                <w:rFonts w:ascii="宋体"/>
                <w:vanish/>
              </w:rPr>
            </w:pPr>
          </w:p>
        </w:tc>
        <w:tc>
          <w:tcPr>
            <w:tcW w:w="0" w:type="auto"/>
            <w:gridSpan w:val="3"/>
            <w:shd w:val="clear" w:color="auto" w:fill="auto"/>
          </w:tcPr>
          <w:p w14:paraId="5EA2025A" w14:textId="77777777" w:rsidR="003C66EB" w:rsidRDefault="003C66EB">
            <w:pPr>
              <w:rPr>
                <w:rFonts w:ascii="宋体"/>
                <w:vanish/>
              </w:rPr>
            </w:pPr>
          </w:p>
        </w:tc>
      </w:tr>
      <w:tr w:rsidR="003C66EB" w14:paraId="5EA2026A" w14:textId="77777777">
        <w:tc>
          <w:tcPr>
            <w:tcW w:w="0" w:type="auto"/>
            <w:gridSpan w:val="3"/>
            <w:shd w:val="clear" w:color="auto" w:fill="CCEEFF"/>
            <w:tcMar>
              <w:top w:w="40" w:type="dxa"/>
              <w:left w:w="20" w:type="dxa"/>
              <w:bottom w:w="40" w:type="dxa"/>
              <w:right w:w="20" w:type="dxa"/>
            </w:tcMar>
            <w:vAlign w:val="bottom"/>
          </w:tcPr>
          <w:p w14:paraId="5EA2025C" w14:textId="77777777" w:rsidR="003C66EB" w:rsidRDefault="00D96C4E">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25D"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025E" w14:textId="77777777" w:rsidR="003C66EB" w:rsidRDefault="00D96C4E">
            <w:pPr>
              <w:jc w:val="right"/>
              <w:textAlignment w:val="bottom"/>
            </w:pPr>
            <w:r>
              <w:rPr>
                <w:rFonts w:ascii="Arial" w:eastAsia="宋体" w:hAnsi="Arial" w:cs="Arial"/>
                <w:color w:val="000000"/>
                <w:sz w:val="13"/>
                <w:szCs w:val="13"/>
              </w:rPr>
              <w:t>1,060 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2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60"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261"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0262" w14:textId="77777777" w:rsidR="003C66EB" w:rsidRDefault="00D96C4E">
            <w:pPr>
              <w:jc w:val="right"/>
              <w:textAlignment w:val="bottom"/>
            </w:pPr>
            <w:r>
              <w:rPr>
                <w:rFonts w:ascii="Arial" w:eastAsia="宋体" w:hAnsi="Arial" w:cs="Arial"/>
                <w:color w:val="000000"/>
                <w:sz w:val="13"/>
                <w:szCs w:val="13"/>
              </w:rPr>
              <w:t>6,746 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2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64"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26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0266" w14:textId="77777777" w:rsidR="003C66EB" w:rsidRDefault="00D96C4E">
            <w:pPr>
              <w:jc w:val="right"/>
              <w:textAlignment w:val="bottom"/>
            </w:pPr>
            <w:r>
              <w:rPr>
                <w:rFonts w:ascii="Arial" w:eastAsia="宋体" w:hAnsi="Arial" w:cs="Arial"/>
                <w:color w:val="000000"/>
                <w:sz w:val="13"/>
                <w:szCs w:val="13"/>
              </w:rPr>
              <w:t>7,806 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2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6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269" w14:textId="77777777" w:rsidR="003C66EB" w:rsidRDefault="003C66EB">
            <w:pPr>
              <w:rPr>
                <w:rFonts w:ascii="宋体"/>
              </w:rPr>
            </w:pPr>
          </w:p>
        </w:tc>
      </w:tr>
    </w:tbl>
    <w:p w14:paraId="5EA2026B" w14:textId="77777777" w:rsidR="003C66EB" w:rsidRDefault="003C66EB">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3C66EB" w14:paraId="5EA20278" w14:textId="77777777">
        <w:tc>
          <w:tcPr>
            <w:tcW w:w="20" w:type="dxa"/>
            <w:shd w:val="clear" w:color="auto" w:fill="auto"/>
          </w:tcPr>
          <w:p w14:paraId="5EA2026C" w14:textId="77777777" w:rsidR="003C66EB" w:rsidRDefault="003C66EB">
            <w:pPr>
              <w:rPr>
                <w:rFonts w:ascii="宋体"/>
              </w:rPr>
            </w:pPr>
          </w:p>
        </w:tc>
        <w:tc>
          <w:tcPr>
            <w:tcW w:w="2285" w:type="dxa"/>
            <w:shd w:val="clear" w:color="auto" w:fill="auto"/>
          </w:tcPr>
          <w:p w14:paraId="5EA2026D" w14:textId="77777777" w:rsidR="003C66EB" w:rsidRDefault="003C66EB">
            <w:pPr>
              <w:rPr>
                <w:rFonts w:ascii="宋体"/>
              </w:rPr>
            </w:pPr>
          </w:p>
        </w:tc>
        <w:tc>
          <w:tcPr>
            <w:tcW w:w="20" w:type="dxa"/>
            <w:shd w:val="clear" w:color="auto" w:fill="auto"/>
          </w:tcPr>
          <w:p w14:paraId="5EA2026E" w14:textId="77777777" w:rsidR="003C66EB" w:rsidRDefault="003C66EB">
            <w:pPr>
              <w:rPr>
                <w:rFonts w:ascii="宋体"/>
              </w:rPr>
            </w:pPr>
          </w:p>
        </w:tc>
        <w:tc>
          <w:tcPr>
            <w:tcW w:w="20" w:type="dxa"/>
            <w:shd w:val="clear" w:color="auto" w:fill="auto"/>
          </w:tcPr>
          <w:p w14:paraId="5EA2026F" w14:textId="77777777" w:rsidR="003C66EB" w:rsidRDefault="003C66EB">
            <w:pPr>
              <w:rPr>
                <w:rFonts w:ascii="宋体"/>
              </w:rPr>
            </w:pPr>
          </w:p>
        </w:tc>
        <w:tc>
          <w:tcPr>
            <w:tcW w:w="35" w:type="dxa"/>
            <w:shd w:val="clear" w:color="auto" w:fill="auto"/>
          </w:tcPr>
          <w:p w14:paraId="5EA20270" w14:textId="77777777" w:rsidR="003C66EB" w:rsidRDefault="003C66EB">
            <w:pPr>
              <w:rPr>
                <w:rFonts w:ascii="宋体"/>
              </w:rPr>
            </w:pPr>
          </w:p>
        </w:tc>
        <w:tc>
          <w:tcPr>
            <w:tcW w:w="20" w:type="dxa"/>
            <w:shd w:val="clear" w:color="auto" w:fill="auto"/>
          </w:tcPr>
          <w:p w14:paraId="5EA20271" w14:textId="77777777" w:rsidR="003C66EB" w:rsidRDefault="003C66EB">
            <w:pPr>
              <w:rPr>
                <w:rFonts w:ascii="宋体"/>
              </w:rPr>
            </w:pPr>
          </w:p>
        </w:tc>
        <w:tc>
          <w:tcPr>
            <w:tcW w:w="20" w:type="dxa"/>
            <w:shd w:val="clear" w:color="auto" w:fill="auto"/>
          </w:tcPr>
          <w:p w14:paraId="5EA20272" w14:textId="77777777" w:rsidR="003C66EB" w:rsidRDefault="003C66EB">
            <w:pPr>
              <w:rPr>
                <w:rFonts w:ascii="宋体"/>
              </w:rPr>
            </w:pPr>
          </w:p>
        </w:tc>
        <w:tc>
          <w:tcPr>
            <w:tcW w:w="455" w:type="dxa"/>
            <w:shd w:val="clear" w:color="auto" w:fill="auto"/>
          </w:tcPr>
          <w:p w14:paraId="5EA20273" w14:textId="77777777" w:rsidR="003C66EB" w:rsidRDefault="003C66EB">
            <w:pPr>
              <w:rPr>
                <w:rFonts w:ascii="宋体"/>
              </w:rPr>
            </w:pPr>
          </w:p>
        </w:tc>
        <w:tc>
          <w:tcPr>
            <w:tcW w:w="20" w:type="dxa"/>
            <w:shd w:val="clear" w:color="auto" w:fill="auto"/>
          </w:tcPr>
          <w:p w14:paraId="5EA20274" w14:textId="77777777" w:rsidR="003C66EB" w:rsidRDefault="003C66EB">
            <w:pPr>
              <w:rPr>
                <w:rFonts w:ascii="宋体"/>
              </w:rPr>
            </w:pPr>
          </w:p>
        </w:tc>
        <w:tc>
          <w:tcPr>
            <w:tcW w:w="20" w:type="dxa"/>
            <w:shd w:val="clear" w:color="auto" w:fill="auto"/>
          </w:tcPr>
          <w:p w14:paraId="5EA20275" w14:textId="77777777" w:rsidR="003C66EB" w:rsidRDefault="003C66EB">
            <w:pPr>
              <w:rPr>
                <w:rFonts w:ascii="宋体"/>
              </w:rPr>
            </w:pPr>
          </w:p>
        </w:tc>
        <w:tc>
          <w:tcPr>
            <w:tcW w:w="1835" w:type="dxa"/>
            <w:shd w:val="clear" w:color="auto" w:fill="auto"/>
          </w:tcPr>
          <w:p w14:paraId="5EA20276" w14:textId="77777777" w:rsidR="003C66EB" w:rsidRDefault="003C66EB">
            <w:pPr>
              <w:rPr>
                <w:rFonts w:ascii="宋体"/>
              </w:rPr>
            </w:pPr>
          </w:p>
        </w:tc>
        <w:tc>
          <w:tcPr>
            <w:tcW w:w="20" w:type="dxa"/>
            <w:shd w:val="clear" w:color="auto" w:fill="auto"/>
          </w:tcPr>
          <w:p w14:paraId="5EA20277" w14:textId="77777777" w:rsidR="003C66EB" w:rsidRDefault="003C66EB">
            <w:pPr>
              <w:rPr>
                <w:rFonts w:ascii="宋体"/>
              </w:rPr>
            </w:pPr>
          </w:p>
        </w:tc>
      </w:tr>
      <w:tr w:rsidR="003C66EB" w14:paraId="5EA2027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27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7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7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7C" w14:textId="77777777" w:rsidR="003C66EB" w:rsidRDefault="003C66EB">
            <w:pPr>
              <w:rPr>
                <w:rFonts w:ascii="宋体"/>
              </w:rPr>
            </w:pPr>
          </w:p>
        </w:tc>
      </w:tr>
    </w:tbl>
    <w:p w14:paraId="5EA2027E" w14:textId="77777777" w:rsidR="003C66EB" w:rsidRDefault="00D96C4E">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$10.91 billion and $11.06 billion across our businesses as of </w:t>
      </w:r>
      <w:r>
        <w:rPr>
          <w:rFonts w:ascii="Arial" w:eastAsia="宋体" w:hAnsi="Arial" w:cs="Arial"/>
          <w:color w:val="000000"/>
          <w:sz w:val="12"/>
          <w:szCs w:val="12"/>
        </w:rPr>
        <w:t>March 31, 2021 and December 31, 2020, respectively.</w:t>
      </w:r>
    </w:p>
    <w:p w14:paraId="5EA2027F" w14:textId="77777777" w:rsidR="003C66EB" w:rsidRDefault="00D96C4E">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25: U.S. and Non-U.S. Loans.</w:t>
      </w:r>
    </w:p>
    <w:p w14:paraId="5EA20280" w14:textId="77777777" w:rsidR="003C66EB" w:rsidRDefault="003C66EB">
      <w:pPr>
        <w:spacing w:before="60"/>
        <w:jc w:val="both"/>
        <w:textAlignment w:val="top"/>
      </w:pPr>
    </w:p>
    <w:p w14:paraId="5EA20281" w14:textId="77777777" w:rsidR="003C66EB" w:rsidRDefault="00D96C4E">
      <w:pPr>
        <w:spacing w:before="60"/>
        <w:ind w:firstLine="450"/>
        <w:jc w:val="both"/>
        <w:textAlignment w:val="top"/>
      </w:pPr>
      <w:r>
        <w:rPr>
          <w:rFonts w:ascii="Arial" w:eastAsia="宋体" w:hAnsi="Arial" w:cs="Arial"/>
          <w:color w:val="000000"/>
          <w:sz w:val="20"/>
          <w:szCs w:val="20"/>
        </w:rPr>
        <w:t>Our aggregate municipal securities exposure presented in Table 24: State and Municipal Obligors, was concen</w:t>
      </w:r>
      <w:r>
        <w:rPr>
          <w:rFonts w:ascii="Arial" w:eastAsia="宋体" w:hAnsi="Arial" w:cs="Arial"/>
          <w:color w:val="000000"/>
          <w:sz w:val="20"/>
          <w:szCs w:val="20"/>
        </w:rPr>
        <w:t>trated primarily with highly-rated counterparties, with approximately 86% of the obligors rated “AAA” or “AA” as of March 31, 2021. As of that date, approximately 23% and 77% of our aggregate municipal securities exposure was associated with general obliga</w:t>
      </w:r>
      <w:r>
        <w:rPr>
          <w:rFonts w:ascii="Arial" w:eastAsia="宋体" w:hAnsi="Arial" w:cs="Arial"/>
          <w:color w:val="000000"/>
          <w:sz w:val="20"/>
          <w:szCs w:val="20"/>
        </w:rPr>
        <w:t xml:space="preserve">tion and revenue bonds, respectively. The portfolios are also diversified </w:t>
      </w:r>
    </w:p>
    <w:p w14:paraId="5EA20282" w14:textId="77777777" w:rsidR="003C66EB" w:rsidRDefault="00D96C4E">
      <w:pPr>
        <w:ind w:firstLine="450"/>
        <w:jc w:val="right"/>
      </w:pPr>
      <w:r>
        <w:rPr>
          <w:rFonts w:ascii="Arial" w:eastAsia="宋体" w:hAnsi="Arial" w:cs="Arial"/>
          <w:color w:val="000000"/>
          <w:sz w:val="18"/>
          <w:szCs w:val="18"/>
        </w:rPr>
        <w:t>State Street Corporation | 25</w:t>
      </w:r>
    </w:p>
    <w:p w14:paraId="5EA20283" w14:textId="77777777" w:rsidR="003C66EB" w:rsidRDefault="003C66EB">
      <w:pPr>
        <w:ind w:firstLine="450"/>
        <w:jc w:val="center"/>
      </w:pPr>
    </w:p>
    <w:p w14:paraId="5EA20284" w14:textId="77777777" w:rsidR="003C66EB" w:rsidRDefault="00D96C4E">
      <w:r>
        <w:pict w14:anchorId="5EA287C9">
          <v:rect id="_x0000_i1049" style="width:415.3pt;height:1.5pt" o:hralign="center" o:hrstd="t" o:hr="t" fillcolor="#a0a0a0" stroked="f"/>
        </w:pict>
      </w:r>
    </w:p>
    <w:p w14:paraId="5EA20285"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286" w14:textId="77777777" w:rsidR="003C66EB" w:rsidRDefault="00D96C4E">
      <w:pPr>
        <w:ind w:firstLine="450"/>
        <w:jc w:val="center"/>
      </w:pPr>
      <w:r>
        <w:rPr>
          <w:rFonts w:ascii="Arial" w:eastAsia="宋体" w:hAnsi="Arial" w:cs="Arial"/>
          <w:b/>
          <w:bCs/>
          <w:color w:val="000000"/>
          <w:sz w:val="20"/>
          <w:szCs w:val="20"/>
        </w:rPr>
        <w:t>AND RESULTS OF OPERATIONS</w:t>
      </w:r>
    </w:p>
    <w:p w14:paraId="5EA20287" w14:textId="77777777" w:rsidR="003C66EB" w:rsidRDefault="00D96C4E">
      <w:pPr>
        <w:spacing w:before="60"/>
        <w:jc w:val="both"/>
        <w:textAlignment w:val="top"/>
      </w:pPr>
      <w:r>
        <w:rPr>
          <w:rFonts w:ascii="Arial" w:eastAsia="宋体" w:hAnsi="Arial" w:cs="Arial"/>
          <w:color w:val="000000"/>
          <w:sz w:val="20"/>
          <w:szCs w:val="20"/>
        </w:rPr>
        <w:t>geographically, with the states that represent our largest exp</w:t>
      </w:r>
      <w:r>
        <w:rPr>
          <w:rFonts w:ascii="Arial" w:eastAsia="宋体" w:hAnsi="Arial" w:cs="Arial"/>
          <w:color w:val="000000"/>
          <w:sz w:val="20"/>
          <w:szCs w:val="20"/>
        </w:rPr>
        <w:t>osures widely dispersed across the U.S.</w:t>
      </w:r>
    </w:p>
    <w:p w14:paraId="5EA20288" w14:textId="77777777" w:rsidR="003C66EB" w:rsidRDefault="00D96C4E">
      <w:pPr>
        <w:spacing w:before="60"/>
        <w:ind w:firstLine="450"/>
        <w:jc w:val="both"/>
        <w:textAlignment w:val="top"/>
      </w:pPr>
      <w:r>
        <w:rPr>
          <w:rFonts w:ascii="Arial" w:eastAsia="宋体" w:hAnsi="Arial" w:cs="Arial"/>
          <w:color w:val="000000"/>
          <w:sz w:val="20"/>
          <w:szCs w:val="20"/>
        </w:rPr>
        <w:t>Additional information with respect to our assessment of impairment of our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5EA20289" w14:textId="77777777" w:rsidR="003C66EB" w:rsidRDefault="00D96C4E">
      <w:pPr>
        <w:spacing w:before="90"/>
        <w:textAlignment w:val="top"/>
      </w:pPr>
      <w:r>
        <w:rPr>
          <w:rFonts w:ascii="Arial" w:eastAsia="宋体" w:hAnsi="Arial" w:cs="Arial"/>
          <w:b/>
          <w:bCs/>
          <w:color w:val="000000"/>
          <w:sz w:val="20"/>
          <w:szCs w:val="20"/>
        </w:rPr>
        <w:t xml:space="preserve">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723"/>
        <w:gridCol w:w="38"/>
        <w:gridCol w:w="98"/>
        <w:gridCol w:w="1739"/>
        <w:gridCol w:w="36"/>
        <w:gridCol w:w="36"/>
        <w:gridCol w:w="67"/>
        <w:gridCol w:w="36"/>
        <w:gridCol w:w="99"/>
        <w:gridCol w:w="1740"/>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2029C" w14:textId="77777777">
        <w:tc>
          <w:tcPr>
            <w:tcW w:w="50" w:type="pct"/>
            <w:shd w:val="clear" w:color="auto" w:fill="auto"/>
          </w:tcPr>
          <w:p w14:paraId="5EA2028A" w14:textId="77777777" w:rsidR="003C66EB" w:rsidRDefault="003C66EB">
            <w:pPr>
              <w:rPr>
                <w:rFonts w:ascii="宋体"/>
              </w:rPr>
            </w:pPr>
          </w:p>
        </w:tc>
        <w:tc>
          <w:tcPr>
            <w:tcW w:w="2445" w:type="pct"/>
            <w:shd w:val="clear" w:color="auto" w:fill="auto"/>
          </w:tcPr>
          <w:p w14:paraId="5EA2028B" w14:textId="77777777" w:rsidR="003C66EB" w:rsidRDefault="003C66EB">
            <w:pPr>
              <w:rPr>
                <w:rFonts w:ascii="宋体"/>
              </w:rPr>
            </w:pPr>
          </w:p>
        </w:tc>
        <w:tc>
          <w:tcPr>
            <w:tcW w:w="5" w:type="pct"/>
            <w:shd w:val="clear" w:color="auto" w:fill="auto"/>
          </w:tcPr>
          <w:p w14:paraId="5EA2028C" w14:textId="77777777" w:rsidR="003C66EB" w:rsidRDefault="003C66EB">
            <w:pPr>
              <w:rPr>
                <w:rFonts w:ascii="宋体"/>
              </w:rPr>
            </w:pPr>
          </w:p>
        </w:tc>
        <w:tc>
          <w:tcPr>
            <w:tcW w:w="50" w:type="pct"/>
            <w:shd w:val="clear" w:color="auto" w:fill="auto"/>
          </w:tcPr>
          <w:p w14:paraId="5EA2028D" w14:textId="77777777" w:rsidR="003C66EB" w:rsidRDefault="003C66EB">
            <w:pPr>
              <w:rPr>
                <w:rFonts w:ascii="宋体"/>
              </w:rPr>
            </w:pPr>
          </w:p>
        </w:tc>
        <w:tc>
          <w:tcPr>
            <w:tcW w:w="1155" w:type="pct"/>
            <w:shd w:val="clear" w:color="auto" w:fill="auto"/>
          </w:tcPr>
          <w:p w14:paraId="5EA2028E" w14:textId="77777777" w:rsidR="003C66EB" w:rsidRDefault="003C66EB">
            <w:pPr>
              <w:rPr>
                <w:rFonts w:ascii="宋体"/>
              </w:rPr>
            </w:pPr>
          </w:p>
        </w:tc>
        <w:tc>
          <w:tcPr>
            <w:tcW w:w="5" w:type="pct"/>
            <w:shd w:val="clear" w:color="auto" w:fill="auto"/>
          </w:tcPr>
          <w:p w14:paraId="5EA2028F" w14:textId="77777777" w:rsidR="003C66EB" w:rsidRDefault="003C66EB">
            <w:pPr>
              <w:rPr>
                <w:rFonts w:ascii="宋体"/>
              </w:rPr>
            </w:pPr>
          </w:p>
        </w:tc>
        <w:tc>
          <w:tcPr>
            <w:tcW w:w="5" w:type="pct"/>
            <w:shd w:val="clear" w:color="auto" w:fill="auto"/>
          </w:tcPr>
          <w:p w14:paraId="5EA20290" w14:textId="77777777" w:rsidR="003C66EB" w:rsidRDefault="003C66EB">
            <w:pPr>
              <w:rPr>
                <w:rFonts w:ascii="宋体"/>
              </w:rPr>
            </w:pPr>
          </w:p>
        </w:tc>
        <w:tc>
          <w:tcPr>
            <w:tcW w:w="68" w:type="pct"/>
            <w:shd w:val="clear" w:color="auto" w:fill="auto"/>
          </w:tcPr>
          <w:p w14:paraId="5EA20291" w14:textId="77777777" w:rsidR="003C66EB" w:rsidRDefault="003C66EB">
            <w:pPr>
              <w:rPr>
                <w:rFonts w:ascii="宋体"/>
              </w:rPr>
            </w:pPr>
          </w:p>
        </w:tc>
        <w:tc>
          <w:tcPr>
            <w:tcW w:w="5" w:type="pct"/>
            <w:shd w:val="clear" w:color="auto" w:fill="auto"/>
          </w:tcPr>
          <w:p w14:paraId="5EA20292" w14:textId="77777777" w:rsidR="003C66EB" w:rsidRDefault="003C66EB">
            <w:pPr>
              <w:rPr>
                <w:rFonts w:ascii="宋体"/>
              </w:rPr>
            </w:pPr>
          </w:p>
        </w:tc>
        <w:tc>
          <w:tcPr>
            <w:tcW w:w="50" w:type="pct"/>
            <w:shd w:val="clear" w:color="auto" w:fill="auto"/>
          </w:tcPr>
          <w:p w14:paraId="5EA20293" w14:textId="77777777" w:rsidR="003C66EB" w:rsidRDefault="003C66EB">
            <w:pPr>
              <w:rPr>
                <w:rFonts w:ascii="宋体"/>
              </w:rPr>
            </w:pPr>
          </w:p>
        </w:tc>
        <w:tc>
          <w:tcPr>
            <w:tcW w:w="1155" w:type="pct"/>
            <w:shd w:val="clear" w:color="auto" w:fill="auto"/>
          </w:tcPr>
          <w:p w14:paraId="5EA20294" w14:textId="77777777" w:rsidR="003C66EB" w:rsidRDefault="003C66EB">
            <w:pPr>
              <w:rPr>
                <w:rFonts w:ascii="宋体"/>
              </w:rPr>
            </w:pPr>
          </w:p>
        </w:tc>
        <w:tc>
          <w:tcPr>
            <w:tcW w:w="5" w:type="pct"/>
            <w:shd w:val="clear" w:color="auto" w:fill="auto"/>
          </w:tcPr>
          <w:p w14:paraId="5EA20295" w14:textId="77777777" w:rsidR="003C66EB" w:rsidRDefault="003C66EB">
            <w:pPr>
              <w:rPr>
                <w:rFonts w:ascii="宋体"/>
              </w:rPr>
            </w:pPr>
          </w:p>
        </w:tc>
        <w:tc>
          <w:tcPr>
            <w:tcW w:w="0" w:type="auto"/>
            <w:gridSpan w:val="3"/>
            <w:shd w:val="clear" w:color="auto" w:fill="auto"/>
          </w:tcPr>
          <w:p w14:paraId="5EA20296" w14:textId="77777777" w:rsidR="003C66EB" w:rsidRDefault="003C66EB">
            <w:pPr>
              <w:rPr>
                <w:rFonts w:ascii="宋体"/>
                <w:vanish/>
              </w:rPr>
            </w:pPr>
          </w:p>
        </w:tc>
        <w:tc>
          <w:tcPr>
            <w:tcW w:w="0" w:type="auto"/>
            <w:gridSpan w:val="3"/>
            <w:shd w:val="clear" w:color="auto" w:fill="auto"/>
          </w:tcPr>
          <w:p w14:paraId="5EA20297" w14:textId="77777777" w:rsidR="003C66EB" w:rsidRDefault="003C66EB">
            <w:pPr>
              <w:rPr>
                <w:rFonts w:ascii="宋体"/>
                <w:vanish/>
              </w:rPr>
            </w:pPr>
          </w:p>
        </w:tc>
        <w:tc>
          <w:tcPr>
            <w:tcW w:w="0" w:type="auto"/>
            <w:gridSpan w:val="3"/>
            <w:shd w:val="clear" w:color="auto" w:fill="auto"/>
          </w:tcPr>
          <w:p w14:paraId="5EA20298" w14:textId="77777777" w:rsidR="003C66EB" w:rsidRDefault="003C66EB">
            <w:pPr>
              <w:rPr>
                <w:rFonts w:ascii="宋体"/>
                <w:vanish/>
              </w:rPr>
            </w:pPr>
          </w:p>
        </w:tc>
        <w:tc>
          <w:tcPr>
            <w:tcW w:w="0" w:type="auto"/>
            <w:gridSpan w:val="3"/>
            <w:shd w:val="clear" w:color="auto" w:fill="auto"/>
          </w:tcPr>
          <w:p w14:paraId="5EA20299" w14:textId="77777777" w:rsidR="003C66EB" w:rsidRDefault="003C66EB">
            <w:pPr>
              <w:rPr>
                <w:rFonts w:ascii="宋体"/>
                <w:vanish/>
              </w:rPr>
            </w:pPr>
          </w:p>
        </w:tc>
        <w:tc>
          <w:tcPr>
            <w:tcW w:w="0" w:type="auto"/>
            <w:gridSpan w:val="3"/>
            <w:shd w:val="clear" w:color="auto" w:fill="auto"/>
          </w:tcPr>
          <w:p w14:paraId="5EA2029A" w14:textId="77777777" w:rsidR="003C66EB" w:rsidRDefault="003C66EB">
            <w:pPr>
              <w:rPr>
                <w:rFonts w:ascii="宋体"/>
                <w:vanish/>
              </w:rPr>
            </w:pPr>
          </w:p>
        </w:tc>
        <w:tc>
          <w:tcPr>
            <w:tcW w:w="0" w:type="auto"/>
            <w:gridSpan w:val="3"/>
            <w:shd w:val="clear" w:color="auto" w:fill="auto"/>
          </w:tcPr>
          <w:p w14:paraId="5EA2029B" w14:textId="77777777" w:rsidR="003C66EB" w:rsidRDefault="003C66EB">
            <w:pPr>
              <w:rPr>
                <w:rFonts w:ascii="宋体"/>
                <w:vanish/>
              </w:rPr>
            </w:pPr>
          </w:p>
        </w:tc>
      </w:tr>
      <w:tr w:rsidR="003C66EB" w14:paraId="5EA202B0" w14:textId="77777777">
        <w:tc>
          <w:tcPr>
            <w:tcW w:w="0" w:type="auto"/>
            <w:gridSpan w:val="12"/>
            <w:shd w:val="clear" w:color="auto" w:fill="auto"/>
            <w:tcMar>
              <w:top w:w="40" w:type="dxa"/>
              <w:left w:w="20" w:type="dxa"/>
              <w:bottom w:w="40" w:type="dxa"/>
              <w:right w:w="20" w:type="dxa"/>
            </w:tcMar>
            <w:vAlign w:val="bottom"/>
          </w:tcPr>
          <w:p w14:paraId="5EA2029D" w14:textId="77777777" w:rsidR="003C66EB" w:rsidRDefault="00D96C4E">
            <w:pPr>
              <w:textAlignment w:val="bottom"/>
            </w:pPr>
            <w:r>
              <w:rPr>
                <w:rFonts w:ascii="Arial" w:eastAsia="宋体" w:hAnsi="Arial" w:cs="Arial"/>
                <w:b/>
                <w:bCs/>
                <w:color w:val="000000"/>
                <w:sz w:val="16"/>
                <w:szCs w:val="16"/>
              </w:rPr>
              <w:t xml:space="preserve">TABLE 25: </w:t>
            </w:r>
            <w:r>
              <w:rPr>
                <w:rFonts w:ascii="Arial" w:eastAsia="宋体" w:hAnsi="Arial" w:cs="Arial"/>
                <w:b/>
                <w:bCs/>
                <w:color w:val="000000"/>
                <w:sz w:val="16"/>
                <w:szCs w:val="16"/>
              </w:rPr>
              <w:t>U.S. AND NON- U.S. LOANS</w:t>
            </w:r>
          </w:p>
        </w:tc>
        <w:tc>
          <w:tcPr>
            <w:tcW w:w="0" w:type="auto"/>
            <w:shd w:val="clear" w:color="auto" w:fill="auto"/>
          </w:tcPr>
          <w:p w14:paraId="5EA2029E" w14:textId="77777777" w:rsidR="003C66EB" w:rsidRDefault="003C66EB">
            <w:pPr>
              <w:rPr>
                <w:rFonts w:ascii="宋体"/>
              </w:rPr>
            </w:pPr>
          </w:p>
        </w:tc>
        <w:tc>
          <w:tcPr>
            <w:tcW w:w="0" w:type="auto"/>
            <w:shd w:val="clear" w:color="auto" w:fill="auto"/>
          </w:tcPr>
          <w:p w14:paraId="5EA2029F" w14:textId="77777777" w:rsidR="003C66EB" w:rsidRDefault="003C66EB">
            <w:pPr>
              <w:rPr>
                <w:rFonts w:ascii="宋体"/>
              </w:rPr>
            </w:pPr>
          </w:p>
        </w:tc>
        <w:tc>
          <w:tcPr>
            <w:tcW w:w="0" w:type="auto"/>
            <w:shd w:val="clear" w:color="auto" w:fill="auto"/>
          </w:tcPr>
          <w:p w14:paraId="5EA202A0" w14:textId="77777777" w:rsidR="003C66EB" w:rsidRDefault="003C66EB">
            <w:pPr>
              <w:rPr>
                <w:rFonts w:ascii="宋体"/>
              </w:rPr>
            </w:pPr>
          </w:p>
        </w:tc>
        <w:tc>
          <w:tcPr>
            <w:tcW w:w="0" w:type="auto"/>
            <w:shd w:val="clear" w:color="auto" w:fill="auto"/>
          </w:tcPr>
          <w:p w14:paraId="5EA202A1" w14:textId="77777777" w:rsidR="003C66EB" w:rsidRDefault="003C66EB">
            <w:pPr>
              <w:rPr>
                <w:rFonts w:ascii="宋体"/>
              </w:rPr>
            </w:pPr>
          </w:p>
        </w:tc>
        <w:tc>
          <w:tcPr>
            <w:tcW w:w="0" w:type="auto"/>
            <w:shd w:val="clear" w:color="auto" w:fill="auto"/>
          </w:tcPr>
          <w:p w14:paraId="5EA202A2" w14:textId="77777777" w:rsidR="003C66EB" w:rsidRDefault="003C66EB">
            <w:pPr>
              <w:rPr>
                <w:rFonts w:ascii="宋体"/>
              </w:rPr>
            </w:pPr>
          </w:p>
        </w:tc>
        <w:tc>
          <w:tcPr>
            <w:tcW w:w="0" w:type="auto"/>
            <w:shd w:val="clear" w:color="auto" w:fill="auto"/>
          </w:tcPr>
          <w:p w14:paraId="5EA202A3" w14:textId="77777777" w:rsidR="003C66EB" w:rsidRDefault="003C66EB">
            <w:pPr>
              <w:rPr>
                <w:rFonts w:ascii="宋体"/>
              </w:rPr>
            </w:pPr>
          </w:p>
        </w:tc>
        <w:tc>
          <w:tcPr>
            <w:tcW w:w="0" w:type="auto"/>
            <w:shd w:val="clear" w:color="auto" w:fill="auto"/>
          </w:tcPr>
          <w:p w14:paraId="5EA202A4" w14:textId="77777777" w:rsidR="003C66EB" w:rsidRDefault="003C66EB">
            <w:pPr>
              <w:rPr>
                <w:rFonts w:ascii="宋体"/>
              </w:rPr>
            </w:pPr>
          </w:p>
        </w:tc>
        <w:tc>
          <w:tcPr>
            <w:tcW w:w="0" w:type="auto"/>
            <w:shd w:val="clear" w:color="auto" w:fill="auto"/>
          </w:tcPr>
          <w:p w14:paraId="5EA202A5" w14:textId="77777777" w:rsidR="003C66EB" w:rsidRDefault="003C66EB">
            <w:pPr>
              <w:rPr>
                <w:rFonts w:ascii="宋体"/>
              </w:rPr>
            </w:pPr>
          </w:p>
        </w:tc>
        <w:tc>
          <w:tcPr>
            <w:tcW w:w="0" w:type="auto"/>
            <w:shd w:val="clear" w:color="auto" w:fill="auto"/>
          </w:tcPr>
          <w:p w14:paraId="5EA202A6" w14:textId="77777777" w:rsidR="003C66EB" w:rsidRDefault="003C66EB">
            <w:pPr>
              <w:rPr>
                <w:rFonts w:ascii="宋体"/>
              </w:rPr>
            </w:pPr>
          </w:p>
        </w:tc>
        <w:tc>
          <w:tcPr>
            <w:tcW w:w="0" w:type="auto"/>
            <w:shd w:val="clear" w:color="auto" w:fill="auto"/>
          </w:tcPr>
          <w:p w14:paraId="5EA202A7" w14:textId="77777777" w:rsidR="003C66EB" w:rsidRDefault="003C66EB">
            <w:pPr>
              <w:rPr>
                <w:rFonts w:ascii="宋体"/>
              </w:rPr>
            </w:pPr>
          </w:p>
        </w:tc>
        <w:tc>
          <w:tcPr>
            <w:tcW w:w="0" w:type="auto"/>
            <w:shd w:val="clear" w:color="auto" w:fill="auto"/>
          </w:tcPr>
          <w:p w14:paraId="5EA202A8" w14:textId="77777777" w:rsidR="003C66EB" w:rsidRDefault="003C66EB">
            <w:pPr>
              <w:rPr>
                <w:rFonts w:ascii="宋体"/>
              </w:rPr>
            </w:pPr>
          </w:p>
        </w:tc>
        <w:tc>
          <w:tcPr>
            <w:tcW w:w="0" w:type="auto"/>
            <w:shd w:val="clear" w:color="auto" w:fill="auto"/>
          </w:tcPr>
          <w:p w14:paraId="5EA202A9" w14:textId="77777777" w:rsidR="003C66EB" w:rsidRDefault="003C66EB">
            <w:pPr>
              <w:rPr>
                <w:rFonts w:ascii="宋体"/>
              </w:rPr>
            </w:pPr>
          </w:p>
        </w:tc>
        <w:tc>
          <w:tcPr>
            <w:tcW w:w="0" w:type="auto"/>
            <w:shd w:val="clear" w:color="auto" w:fill="auto"/>
          </w:tcPr>
          <w:p w14:paraId="5EA202AA" w14:textId="77777777" w:rsidR="003C66EB" w:rsidRDefault="003C66EB">
            <w:pPr>
              <w:rPr>
                <w:rFonts w:ascii="宋体"/>
              </w:rPr>
            </w:pPr>
          </w:p>
        </w:tc>
        <w:tc>
          <w:tcPr>
            <w:tcW w:w="0" w:type="auto"/>
            <w:shd w:val="clear" w:color="auto" w:fill="auto"/>
          </w:tcPr>
          <w:p w14:paraId="5EA202AB" w14:textId="77777777" w:rsidR="003C66EB" w:rsidRDefault="003C66EB">
            <w:pPr>
              <w:rPr>
                <w:rFonts w:ascii="宋体"/>
              </w:rPr>
            </w:pPr>
          </w:p>
        </w:tc>
        <w:tc>
          <w:tcPr>
            <w:tcW w:w="0" w:type="auto"/>
            <w:shd w:val="clear" w:color="auto" w:fill="auto"/>
          </w:tcPr>
          <w:p w14:paraId="5EA202AC" w14:textId="77777777" w:rsidR="003C66EB" w:rsidRDefault="003C66EB">
            <w:pPr>
              <w:rPr>
                <w:rFonts w:ascii="宋体"/>
              </w:rPr>
            </w:pPr>
          </w:p>
        </w:tc>
        <w:tc>
          <w:tcPr>
            <w:tcW w:w="0" w:type="auto"/>
            <w:shd w:val="clear" w:color="auto" w:fill="auto"/>
          </w:tcPr>
          <w:p w14:paraId="5EA202AD" w14:textId="77777777" w:rsidR="003C66EB" w:rsidRDefault="003C66EB">
            <w:pPr>
              <w:rPr>
                <w:rFonts w:ascii="宋体"/>
              </w:rPr>
            </w:pPr>
          </w:p>
        </w:tc>
        <w:tc>
          <w:tcPr>
            <w:tcW w:w="0" w:type="auto"/>
            <w:shd w:val="clear" w:color="auto" w:fill="auto"/>
          </w:tcPr>
          <w:p w14:paraId="5EA202AE" w14:textId="77777777" w:rsidR="003C66EB" w:rsidRDefault="003C66EB">
            <w:pPr>
              <w:rPr>
                <w:rFonts w:ascii="宋体"/>
              </w:rPr>
            </w:pPr>
          </w:p>
        </w:tc>
        <w:tc>
          <w:tcPr>
            <w:tcW w:w="0" w:type="auto"/>
            <w:shd w:val="clear" w:color="auto" w:fill="auto"/>
          </w:tcPr>
          <w:p w14:paraId="5EA202AF" w14:textId="77777777" w:rsidR="003C66EB" w:rsidRDefault="003C66EB">
            <w:pPr>
              <w:rPr>
                <w:rFonts w:ascii="宋体"/>
              </w:rPr>
            </w:pPr>
          </w:p>
        </w:tc>
      </w:tr>
      <w:tr w:rsidR="003C66EB" w14:paraId="5EA202BB" w14:textId="77777777">
        <w:tc>
          <w:tcPr>
            <w:tcW w:w="0" w:type="auto"/>
            <w:gridSpan w:val="3"/>
            <w:shd w:val="clear" w:color="auto" w:fill="auto"/>
            <w:tcMar>
              <w:top w:w="40" w:type="dxa"/>
              <w:left w:w="20" w:type="dxa"/>
              <w:bottom w:w="40" w:type="dxa"/>
              <w:right w:w="20" w:type="dxa"/>
            </w:tcMar>
            <w:vAlign w:val="bottom"/>
          </w:tcPr>
          <w:p w14:paraId="5EA202B1"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02B2"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02B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2B4"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Pr>
          <w:p w14:paraId="5EA202B5" w14:textId="77777777" w:rsidR="003C66EB" w:rsidRDefault="003C66EB">
            <w:pPr>
              <w:rPr>
                <w:rFonts w:ascii="宋体"/>
                <w:vanish/>
              </w:rPr>
            </w:pPr>
          </w:p>
        </w:tc>
        <w:tc>
          <w:tcPr>
            <w:tcW w:w="0" w:type="auto"/>
            <w:gridSpan w:val="3"/>
            <w:shd w:val="clear" w:color="auto" w:fill="auto"/>
          </w:tcPr>
          <w:p w14:paraId="5EA202B6" w14:textId="77777777" w:rsidR="003C66EB" w:rsidRDefault="003C66EB">
            <w:pPr>
              <w:rPr>
                <w:rFonts w:ascii="宋体"/>
                <w:vanish/>
              </w:rPr>
            </w:pPr>
          </w:p>
        </w:tc>
        <w:tc>
          <w:tcPr>
            <w:tcW w:w="0" w:type="auto"/>
            <w:gridSpan w:val="3"/>
            <w:shd w:val="clear" w:color="auto" w:fill="auto"/>
          </w:tcPr>
          <w:p w14:paraId="5EA202B7" w14:textId="77777777" w:rsidR="003C66EB" w:rsidRDefault="003C66EB">
            <w:pPr>
              <w:rPr>
                <w:rFonts w:ascii="宋体"/>
                <w:vanish/>
              </w:rPr>
            </w:pPr>
          </w:p>
        </w:tc>
        <w:tc>
          <w:tcPr>
            <w:tcW w:w="0" w:type="auto"/>
            <w:gridSpan w:val="3"/>
            <w:shd w:val="clear" w:color="auto" w:fill="auto"/>
          </w:tcPr>
          <w:p w14:paraId="5EA202B8" w14:textId="77777777" w:rsidR="003C66EB" w:rsidRDefault="003C66EB">
            <w:pPr>
              <w:rPr>
                <w:rFonts w:ascii="宋体"/>
                <w:vanish/>
              </w:rPr>
            </w:pPr>
          </w:p>
        </w:tc>
        <w:tc>
          <w:tcPr>
            <w:tcW w:w="0" w:type="auto"/>
            <w:gridSpan w:val="3"/>
            <w:shd w:val="clear" w:color="auto" w:fill="auto"/>
          </w:tcPr>
          <w:p w14:paraId="5EA202B9" w14:textId="77777777" w:rsidR="003C66EB" w:rsidRDefault="003C66EB">
            <w:pPr>
              <w:rPr>
                <w:rFonts w:ascii="宋体"/>
                <w:vanish/>
              </w:rPr>
            </w:pPr>
          </w:p>
        </w:tc>
        <w:tc>
          <w:tcPr>
            <w:tcW w:w="0" w:type="auto"/>
            <w:gridSpan w:val="3"/>
            <w:shd w:val="clear" w:color="auto" w:fill="auto"/>
          </w:tcPr>
          <w:p w14:paraId="5EA202BA" w14:textId="77777777" w:rsidR="003C66EB" w:rsidRDefault="003C66EB">
            <w:pPr>
              <w:rPr>
                <w:rFonts w:ascii="宋体"/>
                <w:vanish/>
              </w:rPr>
            </w:pPr>
          </w:p>
        </w:tc>
      </w:tr>
      <w:tr w:rsidR="003C66EB" w14:paraId="5EA202C6" w14:textId="77777777">
        <w:tc>
          <w:tcPr>
            <w:tcW w:w="0" w:type="auto"/>
            <w:gridSpan w:val="3"/>
            <w:shd w:val="clear" w:color="auto" w:fill="auto"/>
            <w:tcMar>
              <w:top w:w="40" w:type="dxa"/>
              <w:left w:w="20" w:type="dxa"/>
              <w:bottom w:w="40" w:type="dxa"/>
              <w:right w:w="20" w:type="dxa"/>
            </w:tcMar>
            <w:vAlign w:val="bottom"/>
          </w:tcPr>
          <w:p w14:paraId="5EA202BC" w14:textId="77777777" w:rsidR="003C66EB" w:rsidRDefault="00D96C4E">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tcPr>
          <w:p w14:paraId="5EA202B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B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2BF" w14:textId="77777777" w:rsidR="003C66EB" w:rsidRDefault="003C66EB">
            <w:pPr>
              <w:rPr>
                <w:rFonts w:ascii="宋体"/>
              </w:rPr>
            </w:pPr>
          </w:p>
        </w:tc>
        <w:tc>
          <w:tcPr>
            <w:tcW w:w="0" w:type="auto"/>
            <w:gridSpan w:val="3"/>
            <w:shd w:val="clear" w:color="auto" w:fill="auto"/>
          </w:tcPr>
          <w:p w14:paraId="5EA202C0" w14:textId="77777777" w:rsidR="003C66EB" w:rsidRDefault="003C66EB">
            <w:pPr>
              <w:rPr>
                <w:rFonts w:ascii="宋体"/>
                <w:vanish/>
              </w:rPr>
            </w:pPr>
          </w:p>
        </w:tc>
        <w:tc>
          <w:tcPr>
            <w:tcW w:w="0" w:type="auto"/>
            <w:gridSpan w:val="3"/>
            <w:shd w:val="clear" w:color="auto" w:fill="auto"/>
          </w:tcPr>
          <w:p w14:paraId="5EA202C1" w14:textId="77777777" w:rsidR="003C66EB" w:rsidRDefault="003C66EB">
            <w:pPr>
              <w:rPr>
                <w:rFonts w:ascii="宋体"/>
                <w:vanish/>
              </w:rPr>
            </w:pPr>
          </w:p>
        </w:tc>
        <w:tc>
          <w:tcPr>
            <w:tcW w:w="0" w:type="auto"/>
            <w:gridSpan w:val="3"/>
            <w:shd w:val="clear" w:color="auto" w:fill="auto"/>
          </w:tcPr>
          <w:p w14:paraId="5EA202C2" w14:textId="77777777" w:rsidR="003C66EB" w:rsidRDefault="003C66EB">
            <w:pPr>
              <w:rPr>
                <w:rFonts w:ascii="宋体"/>
                <w:vanish/>
              </w:rPr>
            </w:pPr>
          </w:p>
        </w:tc>
        <w:tc>
          <w:tcPr>
            <w:tcW w:w="0" w:type="auto"/>
            <w:gridSpan w:val="3"/>
            <w:shd w:val="clear" w:color="auto" w:fill="auto"/>
          </w:tcPr>
          <w:p w14:paraId="5EA202C3" w14:textId="77777777" w:rsidR="003C66EB" w:rsidRDefault="003C66EB">
            <w:pPr>
              <w:rPr>
                <w:rFonts w:ascii="宋体"/>
                <w:vanish/>
              </w:rPr>
            </w:pPr>
          </w:p>
        </w:tc>
        <w:tc>
          <w:tcPr>
            <w:tcW w:w="0" w:type="auto"/>
            <w:gridSpan w:val="3"/>
            <w:shd w:val="clear" w:color="auto" w:fill="auto"/>
          </w:tcPr>
          <w:p w14:paraId="5EA202C4" w14:textId="77777777" w:rsidR="003C66EB" w:rsidRDefault="003C66EB">
            <w:pPr>
              <w:rPr>
                <w:rFonts w:ascii="宋体"/>
                <w:vanish/>
              </w:rPr>
            </w:pPr>
          </w:p>
        </w:tc>
        <w:tc>
          <w:tcPr>
            <w:tcW w:w="0" w:type="auto"/>
            <w:gridSpan w:val="3"/>
            <w:shd w:val="clear" w:color="auto" w:fill="auto"/>
          </w:tcPr>
          <w:p w14:paraId="5EA202C5" w14:textId="77777777" w:rsidR="003C66EB" w:rsidRDefault="003C66EB">
            <w:pPr>
              <w:rPr>
                <w:rFonts w:ascii="宋体"/>
                <w:vanish/>
              </w:rPr>
            </w:pPr>
          </w:p>
        </w:tc>
      </w:tr>
      <w:tr w:rsidR="003C66EB" w14:paraId="5EA202D1" w14:textId="77777777">
        <w:tc>
          <w:tcPr>
            <w:tcW w:w="0" w:type="auto"/>
            <w:gridSpan w:val="3"/>
            <w:shd w:val="clear" w:color="auto" w:fill="auto"/>
            <w:tcMar>
              <w:top w:w="40" w:type="dxa"/>
              <w:left w:w="20" w:type="dxa"/>
              <w:bottom w:w="40" w:type="dxa"/>
              <w:right w:w="20" w:type="dxa"/>
            </w:tcMar>
            <w:vAlign w:val="bottom"/>
          </w:tcPr>
          <w:p w14:paraId="5EA202C7" w14:textId="77777777" w:rsidR="003C66EB" w:rsidRDefault="00D96C4E">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5EA202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2CA" w14:textId="77777777" w:rsidR="003C66EB" w:rsidRDefault="003C66EB">
            <w:pPr>
              <w:rPr>
                <w:rFonts w:ascii="宋体"/>
              </w:rPr>
            </w:pPr>
          </w:p>
        </w:tc>
        <w:tc>
          <w:tcPr>
            <w:tcW w:w="0" w:type="auto"/>
            <w:gridSpan w:val="3"/>
            <w:shd w:val="clear" w:color="auto" w:fill="auto"/>
          </w:tcPr>
          <w:p w14:paraId="5EA202CB" w14:textId="77777777" w:rsidR="003C66EB" w:rsidRDefault="003C66EB">
            <w:pPr>
              <w:rPr>
                <w:rFonts w:ascii="宋体"/>
                <w:vanish/>
              </w:rPr>
            </w:pPr>
          </w:p>
        </w:tc>
        <w:tc>
          <w:tcPr>
            <w:tcW w:w="0" w:type="auto"/>
            <w:gridSpan w:val="3"/>
            <w:shd w:val="clear" w:color="auto" w:fill="auto"/>
          </w:tcPr>
          <w:p w14:paraId="5EA202CC" w14:textId="77777777" w:rsidR="003C66EB" w:rsidRDefault="003C66EB">
            <w:pPr>
              <w:rPr>
                <w:rFonts w:ascii="宋体"/>
                <w:vanish/>
              </w:rPr>
            </w:pPr>
          </w:p>
        </w:tc>
        <w:tc>
          <w:tcPr>
            <w:tcW w:w="0" w:type="auto"/>
            <w:gridSpan w:val="3"/>
            <w:shd w:val="clear" w:color="auto" w:fill="auto"/>
          </w:tcPr>
          <w:p w14:paraId="5EA202CD" w14:textId="77777777" w:rsidR="003C66EB" w:rsidRDefault="003C66EB">
            <w:pPr>
              <w:rPr>
                <w:rFonts w:ascii="宋体"/>
                <w:vanish/>
              </w:rPr>
            </w:pPr>
          </w:p>
        </w:tc>
        <w:tc>
          <w:tcPr>
            <w:tcW w:w="0" w:type="auto"/>
            <w:gridSpan w:val="3"/>
            <w:shd w:val="clear" w:color="auto" w:fill="auto"/>
          </w:tcPr>
          <w:p w14:paraId="5EA202CE" w14:textId="77777777" w:rsidR="003C66EB" w:rsidRDefault="003C66EB">
            <w:pPr>
              <w:rPr>
                <w:rFonts w:ascii="宋体"/>
                <w:vanish/>
              </w:rPr>
            </w:pPr>
          </w:p>
        </w:tc>
        <w:tc>
          <w:tcPr>
            <w:tcW w:w="0" w:type="auto"/>
            <w:gridSpan w:val="3"/>
            <w:shd w:val="clear" w:color="auto" w:fill="auto"/>
          </w:tcPr>
          <w:p w14:paraId="5EA202CF" w14:textId="77777777" w:rsidR="003C66EB" w:rsidRDefault="003C66EB">
            <w:pPr>
              <w:rPr>
                <w:rFonts w:ascii="宋体"/>
                <w:vanish/>
              </w:rPr>
            </w:pPr>
          </w:p>
        </w:tc>
        <w:tc>
          <w:tcPr>
            <w:tcW w:w="0" w:type="auto"/>
            <w:gridSpan w:val="3"/>
            <w:shd w:val="clear" w:color="auto" w:fill="auto"/>
          </w:tcPr>
          <w:p w14:paraId="5EA202D0" w14:textId="77777777" w:rsidR="003C66EB" w:rsidRDefault="003C66EB">
            <w:pPr>
              <w:rPr>
                <w:rFonts w:ascii="宋体"/>
                <w:vanish/>
              </w:rPr>
            </w:pPr>
          </w:p>
        </w:tc>
      </w:tr>
      <w:tr w:rsidR="003C66EB" w14:paraId="5EA202E0" w14:textId="77777777">
        <w:tc>
          <w:tcPr>
            <w:tcW w:w="0" w:type="auto"/>
            <w:gridSpan w:val="3"/>
            <w:shd w:val="clear" w:color="auto" w:fill="CCEEFF"/>
            <w:tcMar>
              <w:top w:w="40" w:type="dxa"/>
              <w:left w:w="20" w:type="dxa"/>
              <w:bottom w:w="40" w:type="dxa"/>
              <w:right w:w="20" w:type="dxa"/>
            </w:tcMar>
            <w:vAlign w:val="bottom"/>
          </w:tcPr>
          <w:p w14:paraId="5EA202D2" w14:textId="77777777" w:rsidR="003C66EB" w:rsidRDefault="00D96C4E">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EA202D3"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02D4" w14:textId="77777777" w:rsidR="003C66EB" w:rsidRDefault="00D96C4E">
            <w:pPr>
              <w:jc w:val="right"/>
              <w:textAlignment w:val="bottom"/>
            </w:pPr>
            <w:r>
              <w:rPr>
                <w:rFonts w:ascii="Arial" w:eastAsia="宋体" w:hAnsi="Arial" w:cs="Arial"/>
                <w:b/>
                <w:bCs/>
                <w:color w:val="000000"/>
                <w:sz w:val="14"/>
                <w:szCs w:val="14"/>
              </w:rPr>
              <w:t>11,054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2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D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2D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02D8" w14:textId="77777777" w:rsidR="003C66EB" w:rsidRDefault="00D96C4E">
            <w:pPr>
              <w:jc w:val="right"/>
              <w:textAlignment w:val="bottom"/>
            </w:pPr>
            <w:r>
              <w:rPr>
                <w:rFonts w:ascii="Arial" w:eastAsia="宋体" w:hAnsi="Arial" w:cs="Arial"/>
                <w:color w:val="000000"/>
                <w:sz w:val="14"/>
                <w:szCs w:val="14"/>
              </w:rPr>
              <w:t>11,531 </w:t>
            </w:r>
          </w:p>
        </w:tc>
        <w:tc>
          <w:tcPr>
            <w:tcW w:w="0" w:type="auto"/>
            <w:shd w:val="clear" w:color="auto" w:fill="CCEEFF"/>
            <w:tcMar>
              <w:top w:w="40" w:type="dxa"/>
              <w:left w:w="0" w:type="dxa"/>
              <w:bottom w:w="40" w:type="dxa"/>
              <w:right w:w="20" w:type="dxa"/>
            </w:tcMar>
            <w:vAlign w:val="bottom"/>
          </w:tcPr>
          <w:p w14:paraId="5EA202D9" w14:textId="77777777" w:rsidR="003C66EB" w:rsidRDefault="003C66EB">
            <w:pPr>
              <w:jc w:val="right"/>
              <w:rPr>
                <w:rFonts w:ascii="宋体"/>
              </w:rPr>
            </w:pPr>
          </w:p>
        </w:tc>
        <w:tc>
          <w:tcPr>
            <w:tcW w:w="0" w:type="auto"/>
            <w:gridSpan w:val="3"/>
            <w:shd w:val="clear" w:color="auto" w:fill="auto"/>
          </w:tcPr>
          <w:p w14:paraId="5EA202DA" w14:textId="77777777" w:rsidR="003C66EB" w:rsidRDefault="003C66EB">
            <w:pPr>
              <w:rPr>
                <w:rFonts w:ascii="宋体"/>
                <w:vanish/>
              </w:rPr>
            </w:pPr>
          </w:p>
        </w:tc>
        <w:tc>
          <w:tcPr>
            <w:tcW w:w="0" w:type="auto"/>
            <w:gridSpan w:val="3"/>
            <w:shd w:val="clear" w:color="auto" w:fill="auto"/>
          </w:tcPr>
          <w:p w14:paraId="5EA202DB" w14:textId="77777777" w:rsidR="003C66EB" w:rsidRDefault="003C66EB">
            <w:pPr>
              <w:rPr>
                <w:rFonts w:ascii="宋体"/>
                <w:vanish/>
              </w:rPr>
            </w:pPr>
          </w:p>
        </w:tc>
        <w:tc>
          <w:tcPr>
            <w:tcW w:w="0" w:type="auto"/>
            <w:gridSpan w:val="3"/>
            <w:shd w:val="clear" w:color="auto" w:fill="auto"/>
          </w:tcPr>
          <w:p w14:paraId="5EA202DC" w14:textId="77777777" w:rsidR="003C66EB" w:rsidRDefault="003C66EB">
            <w:pPr>
              <w:rPr>
                <w:rFonts w:ascii="宋体"/>
                <w:vanish/>
              </w:rPr>
            </w:pPr>
          </w:p>
        </w:tc>
        <w:tc>
          <w:tcPr>
            <w:tcW w:w="0" w:type="auto"/>
            <w:gridSpan w:val="3"/>
            <w:shd w:val="clear" w:color="auto" w:fill="auto"/>
          </w:tcPr>
          <w:p w14:paraId="5EA202DD" w14:textId="77777777" w:rsidR="003C66EB" w:rsidRDefault="003C66EB">
            <w:pPr>
              <w:rPr>
                <w:rFonts w:ascii="宋体"/>
                <w:vanish/>
              </w:rPr>
            </w:pPr>
          </w:p>
        </w:tc>
        <w:tc>
          <w:tcPr>
            <w:tcW w:w="0" w:type="auto"/>
            <w:gridSpan w:val="3"/>
            <w:shd w:val="clear" w:color="auto" w:fill="auto"/>
          </w:tcPr>
          <w:p w14:paraId="5EA202DE" w14:textId="77777777" w:rsidR="003C66EB" w:rsidRDefault="003C66EB">
            <w:pPr>
              <w:rPr>
                <w:rFonts w:ascii="宋体"/>
                <w:vanish/>
              </w:rPr>
            </w:pPr>
          </w:p>
        </w:tc>
        <w:tc>
          <w:tcPr>
            <w:tcW w:w="0" w:type="auto"/>
            <w:gridSpan w:val="3"/>
            <w:shd w:val="clear" w:color="auto" w:fill="auto"/>
          </w:tcPr>
          <w:p w14:paraId="5EA202DF" w14:textId="77777777" w:rsidR="003C66EB" w:rsidRDefault="003C66EB">
            <w:pPr>
              <w:rPr>
                <w:rFonts w:ascii="宋体"/>
                <w:vanish/>
              </w:rPr>
            </w:pPr>
          </w:p>
        </w:tc>
      </w:tr>
      <w:tr w:rsidR="003C66EB" w14:paraId="5EA202ED" w14:textId="77777777">
        <w:tc>
          <w:tcPr>
            <w:tcW w:w="0" w:type="auto"/>
            <w:gridSpan w:val="3"/>
            <w:shd w:val="clear" w:color="auto" w:fill="FFFFFF"/>
            <w:tcMar>
              <w:top w:w="40" w:type="dxa"/>
              <w:left w:w="20" w:type="dxa"/>
              <w:bottom w:w="40" w:type="dxa"/>
              <w:right w:w="20" w:type="dxa"/>
            </w:tcMar>
            <w:vAlign w:val="bottom"/>
          </w:tcPr>
          <w:p w14:paraId="5EA202E1" w14:textId="77777777" w:rsidR="003C66EB" w:rsidRDefault="00D96C4E">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5EA202E2" w14:textId="77777777" w:rsidR="003C66EB" w:rsidRDefault="00D96C4E">
            <w:pPr>
              <w:jc w:val="right"/>
              <w:textAlignment w:val="bottom"/>
            </w:pPr>
            <w:r>
              <w:rPr>
                <w:rFonts w:ascii="Arial" w:eastAsia="宋体" w:hAnsi="Arial" w:cs="Arial"/>
                <w:b/>
                <w:bCs/>
                <w:color w:val="000000"/>
                <w:sz w:val="14"/>
                <w:szCs w:val="14"/>
              </w:rPr>
              <w:t>3,103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2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E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E5" w14:textId="77777777" w:rsidR="003C66EB" w:rsidRDefault="00D96C4E">
            <w:pPr>
              <w:jc w:val="right"/>
              <w:textAlignment w:val="bottom"/>
            </w:pPr>
            <w:r>
              <w:rPr>
                <w:rFonts w:ascii="Arial" w:eastAsia="宋体" w:hAnsi="Arial" w:cs="Arial"/>
                <w:color w:val="000000"/>
                <w:sz w:val="14"/>
                <w:szCs w:val="14"/>
              </w:rPr>
              <w:t>2,923 </w:t>
            </w:r>
          </w:p>
        </w:tc>
        <w:tc>
          <w:tcPr>
            <w:tcW w:w="0" w:type="auto"/>
            <w:shd w:val="clear" w:color="auto" w:fill="FFFFFF"/>
            <w:tcMar>
              <w:top w:w="40" w:type="dxa"/>
              <w:left w:w="0" w:type="dxa"/>
              <w:bottom w:w="40" w:type="dxa"/>
              <w:right w:w="20" w:type="dxa"/>
            </w:tcMar>
            <w:vAlign w:val="bottom"/>
          </w:tcPr>
          <w:p w14:paraId="5EA202E6" w14:textId="77777777" w:rsidR="003C66EB" w:rsidRDefault="003C66EB">
            <w:pPr>
              <w:jc w:val="right"/>
              <w:rPr>
                <w:rFonts w:ascii="宋体"/>
              </w:rPr>
            </w:pPr>
          </w:p>
        </w:tc>
        <w:tc>
          <w:tcPr>
            <w:tcW w:w="0" w:type="auto"/>
            <w:gridSpan w:val="3"/>
            <w:shd w:val="clear" w:color="auto" w:fill="auto"/>
          </w:tcPr>
          <w:p w14:paraId="5EA202E7" w14:textId="77777777" w:rsidR="003C66EB" w:rsidRDefault="003C66EB">
            <w:pPr>
              <w:rPr>
                <w:rFonts w:ascii="宋体"/>
                <w:vanish/>
              </w:rPr>
            </w:pPr>
          </w:p>
        </w:tc>
        <w:tc>
          <w:tcPr>
            <w:tcW w:w="0" w:type="auto"/>
            <w:gridSpan w:val="3"/>
            <w:shd w:val="clear" w:color="auto" w:fill="auto"/>
          </w:tcPr>
          <w:p w14:paraId="5EA202E8" w14:textId="77777777" w:rsidR="003C66EB" w:rsidRDefault="003C66EB">
            <w:pPr>
              <w:rPr>
                <w:rFonts w:ascii="宋体"/>
                <w:vanish/>
              </w:rPr>
            </w:pPr>
          </w:p>
        </w:tc>
        <w:tc>
          <w:tcPr>
            <w:tcW w:w="0" w:type="auto"/>
            <w:gridSpan w:val="3"/>
            <w:shd w:val="clear" w:color="auto" w:fill="auto"/>
          </w:tcPr>
          <w:p w14:paraId="5EA202E9" w14:textId="77777777" w:rsidR="003C66EB" w:rsidRDefault="003C66EB">
            <w:pPr>
              <w:rPr>
                <w:rFonts w:ascii="宋体"/>
                <w:vanish/>
              </w:rPr>
            </w:pPr>
          </w:p>
        </w:tc>
        <w:tc>
          <w:tcPr>
            <w:tcW w:w="0" w:type="auto"/>
            <w:gridSpan w:val="3"/>
            <w:shd w:val="clear" w:color="auto" w:fill="auto"/>
          </w:tcPr>
          <w:p w14:paraId="5EA202EA" w14:textId="77777777" w:rsidR="003C66EB" w:rsidRDefault="003C66EB">
            <w:pPr>
              <w:rPr>
                <w:rFonts w:ascii="宋体"/>
                <w:vanish/>
              </w:rPr>
            </w:pPr>
          </w:p>
        </w:tc>
        <w:tc>
          <w:tcPr>
            <w:tcW w:w="0" w:type="auto"/>
            <w:gridSpan w:val="3"/>
            <w:shd w:val="clear" w:color="auto" w:fill="auto"/>
          </w:tcPr>
          <w:p w14:paraId="5EA202EB" w14:textId="77777777" w:rsidR="003C66EB" w:rsidRDefault="003C66EB">
            <w:pPr>
              <w:rPr>
                <w:rFonts w:ascii="宋体"/>
                <w:vanish/>
              </w:rPr>
            </w:pPr>
          </w:p>
        </w:tc>
        <w:tc>
          <w:tcPr>
            <w:tcW w:w="0" w:type="auto"/>
            <w:gridSpan w:val="3"/>
            <w:shd w:val="clear" w:color="auto" w:fill="auto"/>
          </w:tcPr>
          <w:p w14:paraId="5EA202EC" w14:textId="77777777" w:rsidR="003C66EB" w:rsidRDefault="003C66EB">
            <w:pPr>
              <w:rPr>
                <w:rFonts w:ascii="宋体"/>
                <w:vanish/>
              </w:rPr>
            </w:pPr>
          </w:p>
        </w:tc>
      </w:tr>
      <w:tr w:rsidR="003C66EB" w14:paraId="5EA202FA" w14:textId="77777777">
        <w:tc>
          <w:tcPr>
            <w:tcW w:w="0" w:type="auto"/>
            <w:gridSpan w:val="3"/>
            <w:shd w:val="clear" w:color="auto" w:fill="CCEEFF"/>
            <w:tcMar>
              <w:top w:w="40" w:type="dxa"/>
              <w:left w:w="20" w:type="dxa"/>
              <w:bottom w:w="40" w:type="dxa"/>
              <w:right w:w="20" w:type="dxa"/>
            </w:tcMar>
            <w:vAlign w:val="bottom"/>
          </w:tcPr>
          <w:p w14:paraId="5EA202EE" w14:textId="77777777" w:rsidR="003C66EB" w:rsidRDefault="00D96C4E">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5EA202EF" w14:textId="77777777" w:rsidR="003C66EB" w:rsidRDefault="00D96C4E">
            <w:pPr>
              <w:jc w:val="right"/>
              <w:textAlignment w:val="bottom"/>
            </w:pPr>
            <w:r>
              <w:rPr>
                <w:rFonts w:ascii="Arial" w:eastAsia="宋体" w:hAnsi="Arial" w:cs="Arial"/>
                <w:b/>
                <w:bCs/>
                <w:color w:val="000000"/>
                <w:sz w:val="14"/>
                <w:szCs w:val="14"/>
              </w:rPr>
              <w:t>4,507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2F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2F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2F2" w14:textId="77777777" w:rsidR="003C66EB" w:rsidRDefault="00D96C4E">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5EA202F3" w14:textId="77777777" w:rsidR="003C66EB" w:rsidRDefault="003C66EB">
            <w:pPr>
              <w:jc w:val="right"/>
              <w:rPr>
                <w:rFonts w:ascii="宋体"/>
              </w:rPr>
            </w:pPr>
          </w:p>
        </w:tc>
        <w:tc>
          <w:tcPr>
            <w:tcW w:w="0" w:type="auto"/>
            <w:gridSpan w:val="3"/>
            <w:shd w:val="clear" w:color="auto" w:fill="auto"/>
          </w:tcPr>
          <w:p w14:paraId="5EA202F4" w14:textId="77777777" w:rsidR="003C66EB" w:rsidRDefault="003C66EB">
            <w:pPr>
              <w:rPr>
                <w:rFonts w:ascii="宋体"/>
                <w:vanish/>
              </w:rPr>
            </w:pPr>
          </w:p>
        </w:tc>
        <w:tc>
          <w:tcPr>
            <w:tcW w:w="0" w:type="auto"/>
            <w:gridSpan w:val="3"/>
            <w:shd w:val="clear" w:color="auto" w:fill="auto"/>
          </w:tcPr>
          <w:p w14:paraId="5EA202F5" w14:textId="77777777" w:rsidR="003C66EB" w:rsidRDefault="003C66EB">
            <w:pPr>
              <w:rPr>
                <w:rFonts w:ascii="宋体"/>
                <w:vanish/>
              </w:rPr>
            </w:pPr>
          </w:p>
        </w:tc>
        <w:tc>
          <w:tcPr>
            <w:tcW w:w="0" w:type="auto"/>
            <w:gridSpan w:val="3"/>
            <w:shd w:val="clear" w:color="auto" w:fill="auto"/>
          </w:tcPr>
          <w:p w14:paraId="5EA202F6" w14:textId="77777777" w:rsidR="003C66EB" w:rsidRDefault="003C66EB">
            <w:pPr>
              <w:rPr>
                <w:rFonts w:ascii="宋体"/>
                <w:vanish/>
              </w:rPr>
            </w:pPr>
          </w:p>
        </w:tc>
        <w:tc>
          <w:tcPr>
            <w:tcW w:w="0" w:type="auto"/>
            <w:gridSpan w:val="3"/>
            <w:shd w:val="clear" w:color="auto" w:fill="auto"/>
          </w:tcPr>
          <w:p w14:paraId="5EA202F7" w14:textId="77777777" w:rsidR="003C66EB" w:rsidRDefault="003C66EB">
            <w:pPr>
              <w:rPr>
                <w:rFonts w:ascii="宋体"/>
                <w:vanish/>
              </w:rPr>
            </w:pPr>
          </w:p>
        </w:tc>
        <w:tc>
          <w:tcPr>
            <w:tcW w:w="0" w:type="auto"/>
            <w:gridSpan w:val="3"/>
            <w:shd w:val="clear" w:color="auto" w:fill="auto"/>
          </w:tcPr>
          <w:p w14:paraId="5EA202F8" w14:textId="77777777" w:rsidR="003C66EB" w:rsidRDefault="003C66EB">
            <w:pPr>
              <w:rPr>
                <w:rFonts w:ascii="宋体"/>
                <w:vanish/>
              </w:rPr>
            </w:pPr>
          </w:p>
        </w:tc>
        <w:tc>
          <w:tcPr>
            <w:tcW w:w="0" w:type="auto"/>
            <w:gridSpan w:val="3"/>
            <w:shd w:val="clear" w:color="auto" w:fill="auto"/>
          </w:tcPr>
          <w:p w14:paraId="5EA202F9" w14:textId="77777777" w:rsidR="003C66EB" w:rsidRDefault="003C66EB">
            <w:pPr>
              <w:rPr>
                <w:rFonts w:ascii="宋体"/>
                <w:vanish/>
              </w:rPr>
            </w:pPr>
          </w:p>
        </w:tc>
      </w:tr>
      <w:tr w:rsidR="003C66EB" w14:paraId="5EA20307" w14:textId="77777777">
        <w:tc>
          <w:tcPr>
            <w:tcW w:w="0" w:type="auto"/>
            <w:gridSpan w:val="3"/>
            <w:shd w:val="clear" w:color="auto" w:fill="FFFFFF"/>
            <w:tcMar>
              <w:top w:w="40" w:type="dxa"/>
              <w:left w:w="20" w:type="dxa"/>
              <w:bottom w:w="40" w:type="dxa"/>
              <w:right w:w="20" w:type="dxa"/>
            </w:tcMar>
            <w:vAlign w:val="bottom"/>
          </w:tcPr>
          <w:p w14:paraId="5EA202FB" w14:textId="77777777" w:rsidR="003C66EB" w:rsidRDefault="00D96C4E">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02FC" w14:textId="77777777" w:rsidR="003C66EB" w:rsidRDefault="00D96C4E">
            <w:pPr>
              <w:jc w:val="right"/>
              <w:textAlignment w:val="bottom"/>
            </w:pPr>
            <w:r>
              <w:rPr>
                <w:rFonts w:ascii="Arial" w:eastAsia="宋体" w:hAnsi="Arial" w:cs="Arial"/>
                <w:b/>
                <w:bCs/>
                <w:color w:val="000000"/>
                <w:sz w:val="14"/>
                <w:szCs w:val="14"/>
              </w:rPr>
              <w:t>1,963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2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2F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2FF" w14:textId="77777777" w:rsidR="003C66EB" w:rsidRDefault="00D96C4E">
            <w:pPr>
              <w:jc w:val="right"/>
              <w:textAlignment w:val="bottom"/>
            </w:pPr>
            <w:r>
              <w:rPr>
                <w:rFonts w:ascii="Arial" w:eastAsia="宋体" w:hAnsi="Arial" w:cs="Arial"/>
                <w:color w:val="000000"/>
                <w:sz w:val="14"/>
                <w:szCs w:val="14"/>
              </w:rPr>
              <w:t>2,688 </w:t>
            </w:r>
          </w:p>
        </w:tc>
        <w:tc>
          <w:tcPr>
            <w:tcW w:w="0" w:type="auto"/>
            <w:shd w:val="clear" w:color="auto" w:fill="FFFFFF"/>
            <w:tcMar>
              <w:top w:w="40" w:type="dxa"/>
              <w:left w:w="0" w:type="dxa"/>
              <w:bottom w:w="40" w:type="dxa"/>
              <w:right w:w="20" w:type="dxa"/>
            </w:tcMar>
            <w:vAlign w:val="bottom"/>
          </w:tcPr>
          <w:p w14:paraId="5EA20300" w14:textId="77777777" w:rsidR="003C66EB" w:rsidRDefault="003C66EB">
            <w:pPr>
              <w:jc w:val="right"/>
              <w:rPr>
                <w:rFonts w:ascii="宋体"/>
              </w:rPr>
            </w:pPr>
          </w:p>
        </w:tc>
        <w:tc>
          <w:tcPr>
            <w:tcW w:w="0" w:type="auto"/>
            <w:gridSpan w:val="3"/>
            <w:shd w:val="clear" w:color="auto" w:fill="auto"/>
          </w:tcPr>
          <w:p w14:paraId="5EA20301" w14:textId="77777777" w:rsidR="003C66EB" w:rsidRDefault="003C66EB">
            <w:pPr>
              <w:rPr>
                <w:rFonts w:ascii="宋体"/>
                <w:vanish/>
              </w:rPr>
            </w:pPr>
          </w:p>
        </w:tc>
        <w:tc>
          <w:tcPr>
            <w:tcW w:w="0" w:type="auto"/>
            <w:gridSpan w:val="3"/>
            <w:shd w:val="clear" w:color="auto" w:fill="auto"/>
          </w:tcPr>
          <w:p w14:paraId="5EA20302" w14:textId="77777777" w:rsidR="003C66EB" w:rsidRDefault="003C66EB">
            <w:pPr>
              <w:rPr>
                <w:rFonts w:ascii="宋体"/>
                <w:vanish/>
              </w:rPr>
            </w:pPr>
          </w:p>
        </w:tc>
        <w:tc>
          <w:tcPr>
            <w:tcW w:w="0" w:type="auto"/>
            <w:gridSpan w:val="3"/>
            <w:shd w:val="clear" w:color="auto" w:fill="auto"/>
          </w:tcPr>
          <w:p w14:paraId="5EA20303" w14:textId="77777777" w:rsidR="003C66EB" w:rsidRDefault="003C66EB">
            <w:pPr>
              <w:rPr>
                <w:rFonts w:ascii="宋体"/>
                <w:vanish/>
              </w:rPr>
            </w:pPr>
          </w:p>
        </w:tc>
        <w:tc>
          <w:tcPr>
            <w:tcW w:w="0" w:type="auto"/>
            <w:gridSpan w:val="3"/>
            <w:shd w:val="clear" w:color="auto" w:fill="auto"/>
          </w:tcPr>
          <w:p w14:paraId="5EA20304" w14:textId="77777777" w:rsidR="003C66EB" w:rsidRDefault="003C66EB">
            <w:pPr>
              <w:rPr>
                <w:rFonts w:ascii="宋体"/>
                <w:vanish/>
              </w:rPr>
            </w:pPr>
          </w:p>
        </w:tc>
        <w:tc>
          <w:tcPr>
            <w:tcW w:w="0" w:type="auto"/>
            <w:gridSpan w:val="3"/>
            <w:shd w:val="clear" w:color="auto" w:fill="auto"/>
          </w:tcPr>
          <w:p w14:paraId="5EA20305" w14:textId="77777777" w:rsidR="003C66EB" w:rsidRDefault="003C66EB">
            <w:pPr>
              <w:rPr>
                <w:rFonts w:ascii="宋体"/>
                <w:vanish/>
              </w:rPr>
            </w:pPr>
          </w:p>
        </w:tc>
        <w:tc>
          <w:tcPr>
            <w:tcW w:w="0" w:type="auto"/>
            <w:gridSpan w:val="3"/>
            <w:shd w:val="clear" w:color="auto" w:fill="auto"/>
          </w:tcPr>
          <w:p w14:paraId="5EA20306" w14:textId="77777777" w:rsidR="003C66EB" w:rsidRDefault="003C66EB">
            <w:pPr>
              <w:rPr>
                <w:rFonts w:ascii="宋体"/>
                <w:vanish/>
              </w:rPr>
            </w:pPr>
          </w:p>
        </w:tc>
      </w:tr>
      <w:tr w:rsidR="003C66EB" w14:paraId="5EA20314" w14:textId="77777777">
        <w:tc>
          <w:tcPr>
            <w:tcW w:w="0" w:type="auto"/>
            <w:gridSpan w:val="3"/>
            <w:shd w:val="clear" w:color="auto" w:fill="CCEEFF"/>
            <w:tcMar>
              <w:top w:w="40" w:type="dxa"/>
              <w:left w:w="20" w:type="dxa"/>
              <w:bottom w:w="40" w:type="dxa"/>
              <w:right w:w="20" w:type="dxa"/>
            </w:tcMar>
            <w:vAlign w:val="bottom"/>
          </w:tcPr>
          <w:p w14:paraId="5EA20308" w14:textId="77777777" w:rsidR="003C66EB" w:rsidRDefault="00D96C4E">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5EA20309" w14:textId="77777777" w:rsidR="003C66EB" w:rsidRDefault="00D96C4E">
            <w:pPr>
              <w:jc w:val="right"/>
              <w:textAlignment w:val="bottom"/>
            </w:pPr>
            <w:r>
              <w:rPr>
                <w:rFonts w:ascii="Arial" w:eastAsia="宋体" w:hAnsi="Arial" w:cs="Arial"/>
                <w:b/>
                <w:bCs/>
                <w:color w:val="000000"/>
                <w:sz w:val="14"/>
                <w:szCs w:val="14"/>
              </w:rPr>
              <w:t>2,096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3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30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30C" w14:textId="77777777" w:rsidR="003C66EB" w:rsidRDefault="00D96C4E">
            <w:pPr>
              <w:jc w:val="right"/>
              <w:textAlignment w:val="bottom"/>
            </w:pPr>
            <w:r>
              <w:rPr>
                <w:rFonts w:ascii="Arial" w:eastAsia="宋体" w:hAnsi="Arial" w:cs="Arial"/>
                <w:color w:val="000000"/>
                <w:sz w:val="14"/>
                <w:szCs w:val="14"/>
              </w:rPr>
              <w:t>2,096 </w:t>
            </w:r>
          </w:p>
        </w:tc>
        <w:tc>
          <w:tcPr>
            <w:tcW w:w="0" w:type="auto"/>
            <w:shd w:val="clear" w:color="auto" w:fill="CCEEFF"/>
            <w:tcMar>
              <w:top w:w="40" w:type="dxa"/>
              <w:left w:w="0" w:type="dxa"/>
              <w:bottom w:w="40" w:type="dxa"/>
              <w:right w:w="20" w:type="dxa"/>
            </w:tcMar>
            <w:vAlign w:val="bottom"/>
          </w:tcPr>
          <w:p w14:paraId="5EA2030D" w14:textId="77777777" w:rsidR="003C66EB" w:rsidRDefault="003C66EB">
            <w:pPr>
              <w:jc w:val="right"/>
              <w:rPr>
                <w:rFonts w:ascii="宋体"/>
              </w:rPr>
            </w:pPr>
          </w:p>
        </w:tc>
        <w:tc>
          <w:tcPr>
            <w:tcW w:w="0" w:type="auto"/>
            <w:gridSpan w:val="3"/>
            <w:shd w:val="clear" w:color="auto" w:fill="auto"/>
          </w:tcPr>
          <w:p w14:paraId="5EA2030E" w14:textId="77777777" w:rsidR="003C66EB" w:rsidRDefault="003C66EB">
            <w:pPr>
              <w:rPr>
                <w:rFonts w:ascii="宋体"/>
                <w:vanish/>
              </w:rPr>
            </w:pPr>
          </w:p>
        </w:tc>
        <w:tc>
          <w:tcPr>
            <w:tcW w:w="0" w:type="auto"/>
            <w:gridSpan w:val="3"/>
            <w:shd w:val="clear" w:color="auto" w:fill="auto"/>
          </w:tcPr>
          <w:p w14:paraId="5EA2030F" w14:textId="77777777" w:rsidR="003C66EB" w:rsidRDefault="003C66EB">
            <w:pPr>
              <w:rPr>
                <w:rFonts w:ascii="宋体"/>
                <w:vanish/>
              </w:rPr>
            </w:pPr>
          </w:p>
        </w:tc>
        <w:tc>
          <w:tcPr>
            <w:tcW w:w="0" w:type="auto"/>
            <w:gridSpan w:val="3"/>
            <w:shd w:val="clear" w:color="auto" w:fill="auto"/>
          </w:tcPr>
          <w:p w14:paraId="5EA20310" w14:textId="77777777" w:rsidR="003C66EB" w:rsidRDefault="003C66EB">
            <w:pPr>
              <w:rPr>
                <w:rFonts w:ascii="宋体"/>
                <w:vanish/>
              </w:rPr>
            </w:pPr>
          </w:p>
        </w:tc>
        <w:tc>
          <w:tcPr>
            <w:tcW w:w="0" w:type="auto"/>
            <w:gridSpan w:val="3"/>
            <w:shd w:val="clear" w:color="auto" w:fill="auto"/>
          </w:tcPr>
          <w:p w14:paraId="5EA20311" w14:textId="77777777" w:rsidR="003C66EB" w:rsidRDefault="003C66EB">
            <w:pPr>
              <w:rPr>
                <w:rFonts w:ascii="宋体"/>
                <w:vanish/>
              </w:rPr>
            </w:pPr>
          </w:p>
        </w:tc>
        <w:tc>
          <w:tcPr>
            <w:tcW w:w="0" w:type="auto"/>
            <w:gridSpan w:val="3"/>
            <w:shd w:val="clear" w:color="auto" w:fill="auto"/>
          </w:tcPr>
          <w:p w14:paraId="5EA20312" w14:textId="77777777" w:rsidR="003C66EB" w:rsidRDefault="003C66EB">
            <w:pPr>
              <w:rPr>
                <w:rFonts w:ascii="宋体"/>
                <w:vanish/>
              </w:rPr>
            </w:pPr>
          </w:p>
        </w:tc>
        <w:tc>
          <w:tcPr>
            <w:tcW w:w="0" w:type="auto"/>
            <w:gridSpan w:val="3"/>
            <w:shd w:val="clear" w:color="auto" w:fill="auto"/>
          </w:tcPr>
          <w:p w14:paraId="5EA20313" w14:textId="77777777" w:rsidR="003C66EB" w:rsidRDefault="003C66EB">
            <w:pPr>
              <w:rPr>
                <w:rFonts w:ascii="宋体"/>
                <w:vanish/>
              </w:rPr>
            </w:pPr>
          </w:p>
        </w:tc>
      </w:tr>
      <w:tr w:rsidR="003C66EB" w14:paraId="5EA2031F" w14:textId="77777777">
        <w:trPr>
          <w:hidden/>
        </w:trPr>
        <w:tc>
          <w:tcPr>
            <w:tcW w:w="0" w:type="auto"/>
            <w:gridSpan w:val="3"/>
            <w:shd w:val="clear" w:color="auto" w:fill="auto"/>
          </w:tcPr>
          <w:p w14:paraId="5EA20315" w14:textId="77777777" w:rsidR="003C66EB" w:rsidRDefault="003C66EB">
            <w:pPr>
              <w:rPr>
                <w:rFonts w:ascii="宋体"/>
                <w:vanish/>
              </w:rPr>
            </w:pPr>
          </w:p>
        </w:tc>
        <w:tc>
          <w:tcPr>
            <w:tcW w:w="0" w:type="auto"/>
            <w:gridSpan w:val="3"/>
            <w:shd w:val="clear" w:color="auto" w:fill="auto"/>
          </w:tcPr>
          <w:p w14:paraId="5EA20316" w14:textId="77777777" w:rsidR="003C66EB" w:rsidRDefault="003C66EB">
            <w:pPr>
              <w:rPr>
                <w:rFonts w:ascii="宋体"/>
                <w:vanish/>
              </w:rPr>
            </w:pPr>
          </w:p>
        </w:tc>
        <w:tc>
          <w:tcPr>
            <w:tcW w:w="0" w:type="auto"/>
            <w:gridSpan w:val="3"/>
            <w:shd w:val="clear" w:color="auto" w:fill="auto"/>
          </w:tcPr>
          <w:p w14:paraId="5EA20317" w14:textId="77777777" w:rsidR="003C66EB" w:rsidRDefault="003C66EB">
            <w:pPr>
              <w:rPr>
                <w:rFonts w:ascii="宋体"/>
                <w:vanish/>
              </w:rPr>
            </w:pPr>
          </w:p>
        </w:tc>
        <w:tc>
          <w:tcPr>
            <w:tcW w:w="0" w:type="auto"/>
            <w:gridSpan w:val="3"/>
            <w:shd w:val="clear" w:color="auto" w:fill="auto"/>
          </w:tcPr>
          <w:p w14:paraId="5EA20318" w14:textId="77777777" w:rsidR="003C66EB" w:rsidRDefault="003C66EB">
            <w:pPr>
              <w:rPr>
                <w:rFonts w:ascii="宋体"/>
                <w:vanish/>
              </w:rPr>
            </w:pPr>
          </w:p>
        </w:tc>
        <w:tc>
          <w:tcPr>
            <w:tcW w:w="0" w:type="auto"/>
            <w:gridSpan w:val="3"/>
            <w:shd w:val="clear" w:color="auto" w:fill="auto"/>
          </w:tcPr>
          <w:p w14:paraId="5EA20319" w14:textId="77777777" w:rsidR="003C66EB" w:rsidRDefault="003C66EB">
            <w:pPr>
              <w:rPr>
                <w:rFonts w:ascii="宋体"/>
                <w:vanish/>
              </w:rPr>
            </w:pPr>
          </w:p>
        </w:tc>
        <w:tc>
          <w:tcPr>
            <w:tcW w:w="0" w:type="auto"/>
            <w:gridSpan w:val="3"/>
            <w:shd w:val="clear" w:color="auto" w:fill="auto"/>
          </w:tcPr>
          <w:p w14:paraId="5EA2031A" w14:textId="77777777" w:rsidR="003C66EB" w:rsidRDefault="003C66EB">
            <w:pPr>
              <w:rPr>
                <w:rFonts w:ascii="宋体"/>
                <w:vanish/>
              </w:rPr>
            </w:pPr>
          </w:p>
        </w:tc>
        <w:tc>
          <w:tcPr>
            <w:tcW w:w="0" w:type="auto"/>
            <w:gridSpan w:val="3"/>
            <w:shd w:val="clear" w:color="auto" w:fill="auto"/>
          </w:tcPr>
          <w:p w14:paraId="5EA2031B" w14:textId="77777777" w:rsidR="003C66EB" w:rsidRDefault="003C66EB">
            <w:pPr>
              <w:rPr>
                <w:rFonts w:ascii="宋体"/>
                <w:vanish/>
              </w:rPr>
            </w:pPr>
          </w:p>
        </w:tc>
        <w:tc>
          <w:tcPr>
            <w:tcW w:w="0" w:type="auto"/>
            <w:gridSpan w:val="3"/>
            <w:shd w:val="clear" w:color="auto" w:fill="auto"/>
          </w:tcPr>
          <w:p w14:paraId="5EA2031C" w14:textId="77777777" w:rsidR="003C66EB" w:rsidRDefault="003C66EB">
            <w:pPr>
              <w:rPr>
                <w:rFonts w:ascii="宋体"/>
                <w:vanish/>
              </w:rPr>
            </w:pPr>
          </w:p>
        </w:tc>
        <w:tc>
          <w:tcPr>
            <w:tcW w:w="0" w:type="auto"/>
            <w:gridSpan w:val="3"/>
            <w:shd w:val="clear" w:color="auto" w:fill="auto"/>
          </w:tcPr>
          <w:p w14:paraId="5EA2031D" w14:textId="77777777" w:rsidR="003C66EB" w:rsidRDefault="003C66EB">
            <w:pPr>
              <w:rPr>
                <w:rFonts w:ascii="宋体"/>
                <w:vanish/>
              </w:rPr>
            </w:pPr>
          </w:p>
        </w:tc>
        <w:tc>
          <w:tcPr>
            <w:tcW w:w="0" w:type="auto"/>
            <w:gridSpan w:val="3"/>
            <w:shd w:val="clear" w:color="auto" w:fill="auto"/>
          </w:tcPr>
          <w:p w14:paraId="5EA2031E" w14:textId="77777777" w:rsidR="003C66EB" w:rsidRDefault="003C66EB">
            <w:pPr>
              <w:rPr>
                <w:rFonts w:ascii="宋体"/>
                <w:vanish/>
              </w:rPr>
            </w:pPr>
          </w:p>
        </w:tc>
      </w:tr>
      <w:tr w:rsidR="003C66EB" w14:paraId="5EA2032C" w14:textId="77777777">
        <w:tc>
          <w:tcPr>
            <w:tcW w:w="0" w:type="auto"/>
            <w:gridSpan w:val="3"/>
            <w:shd w:val="clear" w:color="auto" w:fill="FFFFFF"/>
            <w:tcMar>
              <w:top w:w="40" w:type="dxa"/>
              <w:left w:w="20" w:type="dxa"/>
              <w:bottom w:w="40" w:type="dxa"/>
              <w:right w:w="20" w:type="dxa"/>
            </w:tcMar>
            <w:vAlign w:val="bottom"/>
          </w:tcPr>
          <w:p w14:paraId="5EA20320" w14:textId="77777777" w:rsidR="003C66EB" w:rsidRDefault="00D96C4E">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321" w14:textId="77777777" w:rsidR="003C66EB" w:rsidRDefault="00D96C4E">
            <w:pPr>
              <w:jc w:val="right"/>
              <w:textAlignment w:val="bottom"/>
            </w:pPr>
            <w:r>
              <w:rPr>
                <w:rFonts w:ascii="Arial" w:eastAsia="宋体" w:hAnsi="Arial" w:cs="Arial"/>
                <w:b/>
                <w:bCs/>
                <w:color w:val="000000"/>
                <w:sz w:val="14"/>
                <w:szCs w:val="14"/>
              </w:rPr>
              <w:t>22,723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32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32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324" w14:textId="77777777" w:rsidR="003C66EB" w:rsidRDefault="00D96C4E">
            <w:pPr>
              <w:jc w:val="right"/>
              <w:textAlignment w:val="bottom"/>
            </w:pPr>
            <w:r>
              <w:rPr>
                <w:rFonts w:ascii="Arial" w:eastAsia="宋体" w:hAnsi="Arial" w:cs="Arial"/>
                <w:color w:val="000000"/>
                <w:sz w:val="14"/>
                <w:szCs w:val="14"/>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325" w14:textId="77777777" w:rsidR="003C66EB" w:rsidRDefault="003C66EB">
            <w:pPr>
              <w:jc w:val="right"/>
              <w:rPr>
                <w:rFonts w:ascii="宋体"/>
              </w:rPr>
            </w:pPr>
          </w:p>
        </w:tc>
        <w:tc>
          <w:tcPr>
            <w:tcW w:w="0" w:type="auto"/>
            <w:gridSpan w:val="3"/>
            <w:shd w:val="clear" w:color="auto" w:fill="auto"/>
          </w:tcPr>
          <w:p w14:paraId="5EA20326" w14:textId="77777777" w:rsidR="003C66EB" w:rsidRDefault="003C66EB">
            <w:pPr>
              <w:rPr>
                <w:rFonts w:ascii="宋体"/>
                <w:vanish/>
              </w:rPr>
            </w:pPr>
          </w:p>
        </w:tc>
        <w:tc>
          <w:tcPr>
            <w:tcW w:w="0" w:type="auto"/>
            <w:gridSpan w:val="3"/>
            <w:shd w:val="clear" w:color="auto" w:fill="auto"/>
          </w:tcPr>
          <w:p w14:paraId="5EA20327" w14:textId="77777777" w:rsidR="003C66EB" w:rsidRDefault="003C66EB">
            <w:pPr>
              <w:rPr>
                <w:rFonts w:ascii="宋体"/>
                <w:vanish/>
              </w:rPr>
            </w:pPr>
          </w:p>
        </w:tc>
        <w:tc>
          <w:tcPr>
            <w:tcW w:w="0" w:type="auto"/>
            <w:gridSpan w:val="3"/>
            <w:shd w:val="clear" w:color="auto" w:fill="auto"/>
          </w:tcPr>
          <w:p w14:paraId="5EA20328" w14:textId="77777777" w:rsidR="003C66EB" w:rsidRDefault="003C66EB">
            <w:pPr>
              <w:rPr>
                <w:rFonts w:ascii="宋体"/>
                <w:vanish/>
              </w:rPr>
            </w:pPr>
          </w:p>
        </w:tc>
        <w:tc>
          <w:tcPr>
            <w:tcW w:w="0" w:type="auto"/>
            <w:gridSpan w:val="3"/>
            <w:shd w:val="clear" w:color="auto" w:fill="auto"/>
          </w:tcPr>
          <w:p w14:paraId="5EA20329" w14:textId="77777777" w:rsidR="003C66EB" w:rsidRDefault="003C66EB">
            <w:pPr>
              <w:rPr>
                <w:rFonts w:ascii="宋体"/>
                <w:vanish/>
              </w:rPr>
            </w:pPr>
          </w:p>
        </w:tc>
        <w:tc>
          <w:tcPr>
            <w:tcW w:w="0" w:type="auto"/>
            <w:gridSpan w:val="3"/>
            <w:shd w:val="clear" w:color="auto" w:fill="auto"/>
          </w:tcPr>
          <w:p w14:paraId="5EA2032A" w14:textId="77777777" w:rsidR="003C66EB" w:rsidRDefault="003C66EB">
            <w:pPr>
              <w:rPr>
                <w:rFonts w:ascii="宋体"/>
                <w:vanish/>
              </w:rPr>
            </w:pPr>
          </w:p>
        </w:tc>
        <w:tc>
          <w:tcPr>
            <w:tcW w:w="0" w:type="auto"/>
            <w:gridSpan w:val="3"/>
            <w:shd w:val="clear" w:color="auto" w:fill="auto"/>
          </w:tcPr>
          <w:p w14:paraId="5EA2032B" w14:textId="77777777" w:rsidR="003C66EB" w:rsidRDefault="003C66EB">
            <w:pPr>
              <w:rPr>
                <w:rFonts w:ascii="宋体"/>
                <w:vanish/>
              </w:rPr>
            </w:pPr>
          </w:p>
        </w:tc>
      </w:tr>
      <w:tr w:rsidR="003C66EB" w14:paraId="5EA20337" w14:textId="77777777">
        <w:tc>
          <w:tcPr>
            <w:tcW w:w="0" w:type="auto"/>
            <w:gridSpan w:val="3"/>
            <w:shd w:val="clear" w:color="auto" w:fill="CCEEFF"/>
            <w:tcMar>
              <w:top w:w="40" w:type="dxa"/>
              <w:left w:w="20" w:type="dxa"/>
              <w:bottom w:w="40" w:type="dxa"/>
              <w:right w:w="20" w:type="dxa"/>
            </w:tcMar>
            <w:vAlign w:val="bottom"/>
          </w:tcPr>
          <w:p w14:paraId="5EA2032D" w14:textId="77777777" w:rsidR="003C66EB" w:rsidRDefault="00D96C4E">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5EA2032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32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330" w14:textId="77777777" w:rsidR="003C66EB" w:rsidRDefault="003C66EB">
            <w:pPr>
              <w:rPr>
                <w:rFonts w:ascii="宋体"/>
              </w:rPr>
            </w:pPr>
          </w:p>
        </w:tc>
        <w:tc>
          <w:tcPr>
            <w:tcW w:w="0" w:type="auto"/>
            <w:gridSpan w:val="3"/>
            <w:shd w:val="clear" w:color="auto" w:fill="auto"/>
          </w:tcPr>
          <w:p w14:paraId="5EA20331" w14:textId="77777777" w:rsidR="003C66EB" w:rsidRDefault="003C66EB">
            <w:pPr>
              <w:rPr>
                <w:rFonts w:ascii="宋体"/>
                <w:vanish/>
              </w:rPr>
            </w:pPr>
          </w:p>
        </w:tc>
        <w:tc>
          <w:tcPr>
            <w:tcW w:w="0" w:type="auto"/>
            <w:gridSpan w:val="3"/>
            <w:shd w:val="clear" w:color="auto" w:fill="auto"/>
          </w:tcPr>
          <w:p w14:paraId="5EA20332" w14:textId="77777777" w:rsidR="003C66EB" w:rsidRDefault="003C66EB">
            <w:pPr>
              <w:rPr>
                <w:rFonts w:ascii="宋体"/>
                <w:vanish/>
              </w:rPr>
            </w:pPr>
          </w:p>
        </w:tc>
        <w:tc>
          <w:tcPr>
            <w:tcW w:w="0" w:type="auto"/>
            <w:gridSpan w:val="3"/>
            <w:shd w:val="clear" w:color="auto" w:fill="auto"/>
          </w:tcPr>
          <w:p w14:paraId="5EA20333" w14:textId="77777777" w:rsidR="003C66EB" w:rsidRDefault="003C66EB">
            <w:pPr>
              <w:rPr>
                <w:rFonts w:ascii="宋体"/>
                <w:vanish/>
              </w:rPr>
            </w:pPr>
          </w:p>
        </w:tc>
        <w:tc>
          <w:tcPr>
            <w:tcW w:w="0" w:type="auto"/>
            <w:gridSpan w:val="3"/>
            <w:shd w:val="clear" w:color="auto" w:fill="auto"/>
          </w:tcPr>
          <w:p w14:paraId="5EA20334" w14:textId="77777777" w:rsidR="003C66EB" w:rsidRDefault="003C66EB">
            <w:pPr>
              <w:rPr>
                <w:rFonts w:ascii="宋体"/>
                <w:vanish/>
              </w:rPr>
            </w:pPr>
          </w:p>
        </w:tc>
        <w:tc>
          <w:tcPr>
            <w:tcW w:w="0" w:type="auto"/>
            <w:gridSpan w:val="3"/>
            <w:shd w:val="clear" w:color="auto" w:fill="auto"/>
          </w:tcPr>
          <w:p w14:paraId="5EA20335" w14:textId="77777777" w:rsidR="003C66EB" w:rsidRDefault="003C66EB">
            <w:pPr>
              <w:rPr>
                <w:rFonts w:ascii="宋体"/>
                <w:vanish/>
              </w:rPr>
            </w:pPr>
          </w:p>
        </w:tc>
        <w:tc>
          <w:tcPr>
            <w:tcW w:w="0" w:type="auto"/>
            <w:gridSpan w:val="3"/>
            <w:shd w:val="clear" w:color="auto" w:fill="auto"/>
          </w:tcPr>
          <w:p w14:paraId="5EA20336" w14:textId="77777777" w:rsidR="003C66EB" w:rsidRDefault="003C66EB">
            <w:pPr>
              <w:rPr>
                <w:rFonts w:ascii="宋体"/>
                <w:vanish/>
              </w:rPr>
            </w:pPr>
          </w:p>
        </w:tc>
      </w:tr>
      <w:tr w:rsidR="003C66EB" w14:paraId="5EA20342" w14:textId="77777777">
        <w:tc>
          <w:tcPr>
            <w:tcW w:w="0" w:type="auto"/>
            <w:gridSpan w:val="3"/>
            <w:shd w:val="clear" w:color="auto" w:fill="FFFFFF"/>
            <w:tcMar>
              <w:top w:w="40" w:type="dxa"/>
              <w:left w:w="20" w:type="dxa"/>
              <w:bottom w:w="40" w:type="dxa"/>
              <w:right w:w="20" w:type="dxa"/>
            </w:tcMar>
            <w:vAlign w:val="bottom"/>
          </w:tcPr>
          <w:p w14:paraId="5EA20338" w14:textId="77777777" w:rsidR="003C66EB" w:rsidRDefault="00D96C4E">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tcPr>
          <w:p w14:paraId="5EA2033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33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33B" w14:textId="77777777" w:rsidR="003C66EB" w:rsidRDefault="003C66EB">
            <w:pPr>
              <w:rPr>
                <w:rFonts w:ascii="宋体"/>
              </w:rPr>
            </w:pPr>
          </w:p>
        </w:tc>
        <w:tc>
          <w:tcPr>
            <w:tcW w:w="0" w:type="auto"/>
            <w:gridSpan w:val="3"/>
            <w:shd w:val="clear" w:color="auto" w:fill="auto"/>
          </w:tcPr>
          <w:p w14:paraId="5EA2033C" w14:textId="77777777" w:rsidR="003C66EB" w:rsidRDefault="003C66EB">
            <w:pPr>
              <w:rPr>
                <w:rFonts w:ascii="宋体"/>
                <w:vanish/>
              </w:rPr>
            </w:pPr>
          </w:p>
        </w:tc>
        <w:tc>
          <w:tcPr>
            <w:tcW w:w="0" w:type="auto"/>
            <w:gridSpan w:val="3"/>
            <w:shd w:val="clear" w:color="auto" w:fill="auto"/>
          </w:tcPr>
          <w:p w14:paraId="5EA2033D" w14:textId="77777777" w:rsidR="003C66EB" w:rsidRDefault="003C66EB">
            <w:pPr>
              <w:rPr>
                <w:rFonts w:ascii="宋体"/>
                <w:vanish/>
              </w:rPr>
            </w:pPr>
          </w:p>
        </w:tc>
        <w:tc>
          <w:tcPr>
            <w:tcW w:w="0" w:type="auto"/>
            <w:gridSpan w:val="3"/>
            <w:shd w:val="clear" w:color="auto" w:fill="auto"/>
          </w:tcPr>
          <w:p w14:paraId="5EA2033E" w14:textId="77777777" w:rsidR="003C66EB" w:rsidRDefault="003C66EB">
            <w:pPr>
              <w:rPr>
                <w:rFonts w:ascii="宋体"/>
                <w:vanish/>
              </w:rPr>
            </w:pPr>
          </w:p>
        </w:tc>
        <w:tc>
          <w:tcPr>
            <w:tcW w:w="0" w:type="auto"/>
            <w:gridSpan w:val="3"/>
            <w:shd w:val="clear" w:color="auto" w:fill="auto"/>
          </w:tcPr>
          <w:p w14:paraId="5EA2033F" w14:textId="77777777" w:rsidR="003C66EB" w:rsidRDefault="003C66EB">
            <w:pPr>
              <w:rPr>
                <w:rFonts w:ascii="宋体"/>
                <w:vanish/>
              </w:rPr>
            </w:pPr>
          </w:p>
        </w:tc>
        <w:tc>
          <w:tcPr>
            <w:tcW w:w="0" w:type="auto"/>
            <w:gridSpan w:val="3"/>
            <w:shd w:val="clear" w:color="auto" w:fill="auto"/>
          </w:tcPr>
          <w:p w14:paraId="5EA20340" w14:textId="77777777" w:rsidR="003C66EB" w:rsidRDefault="003C66EB">
            <w:pPr>
              <w:rPr>
                <w:rFonts w:ascii="宋体"/>
                <w:vanish/>
              </w:rPr>
            </w:pPr>
          </w:p>
        </w:tc>
        <w:tc>
          <w:tcPr>
            <w:tcW w:w="0" w:type="auto"/>
            <w:gridSpan w:val="3"/>
            <w:shd w:val="clear" w:color="auto" w:fill="auto"/>
          </w:tcPr>
          <w:p w14:paraId="5EA20341" w14:textId="77777777" w:rsidR="003C66EB" w:rsidRDefault="003C66EB">
            <w:pPr>
              <w:rPr>
                <w:rFonts w:ascii="宋体"/>
                <w:vanish/>
              </w:rPr>
            </w:pPr>
          </w:p>
        </w:tc>
      </w:tr>
      <w:tr w:rsidR="003C66EB" w14:paraId="5EA2034F" w14:textId="77777777">
        <w:tc>
          <w:tcPr>
            <w:tcW w:w="0" w:type="auto"/>
            <w:gridSpan w:val="3"/>
            <w:shd w:val="clear" w:color="auto" w:fill="CCEEFF"/>
            <w:tcMar>
              <w:top w:w="40" w:type="dxa"/>
              <w:left w:w="20" w:type="dxa"/>
              <w:bottom w:w="40" w:type="dxa"/>
              <w:right w:w="20" w:type="dxa"/>
            </w:tcMar>
            <w:vAlign w:val="bottom"/>
          </w:tcPr>
          <w:p w14:paraId="5EA20343" w14:textId="77777777" w:rsidR="003C66EB" w:rsidRDefault="00D96C4E">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0344" w14:textId="77777777" w:rsidR="003C66EB" w:rsidRDefault="00D96C4E">
            <w:pPr>
              <w:jc w:val="right"/>
              <w:textAlignment w:val="bottom"/>
            </w:pPr>
            <w:r>
              <w:rPr>
                <w:rFonts w:ascii="Arial" w:eastAsia="宋体" w:hAnsi="Arial" w:cs="Arial"/>
                <w:b/>
                <w:bCs/>
                <w:color w:val="000000"/>
                <w:sz w:val="14"/>
                <w:szCs w:val="14"/>
              </w:rPr>
              <w:t>4,768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34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34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347" w14:textId="77777777" w:rsidR="003C66EB" w:rsidRDefault="00D96C4E">
            <w:pPr>
              <w:jc w:val="right"/>
              <w:textAlignment w:val="bottom"/>
            </w:pPr>
            <w:r>
              <w:rPr>
                <w:rFonts w:ascii="Arial" w:eastAsia="宋体" w:hAnsi="Arial" w:cs="Arial"/>
                <w:color w:val="000000"/>
                <w:sz w:val="14"/>
                <w:szCs w:val="14"/>
              </w:rPr>
              <w:t>4,432 </w:t>
            </w:r>
          </w:p>
        </w:tc>
        <w:tc>
          <w:tcPr>
            <w:tcW w:w="0" w:type="auto"/>
            <w:shd w:val="clear" w:color="auto" w:fill="CCEEFF"/>
            <w:tcMar>
              <w:top w:w="40" w:type="dxa"/>
              <w:left w:w="0" w:type="dxa"/>
              <w:bottom w:w="40" w:type="dxa"/>
              <w:right w:w="20" w:type="dxa"/>
            </w:tcMar>
            <w:vAlign w:val="bottom"/>
          </w:tcPr>
          <w:p w14:paraId="5EA20348" w14:textId="77777777" w:rsidR="003C66EB" w:rsidRDefault="003C66EB">
            <w:pPr>
              <w:jc w:val="right"/>
              <w:rPr>
                <w:rFonts w:ascii="宋体"/>
              </w:rPr>
            </w:pPr>
          </w:p>
        </w:tc>
        <w:tc>
          <w:tcPr>
            <w:tcW w:w="0" w:type="auto"/>
            <w:gridSpan w:val="3"/>
            <w:shd w:val="clear" w:color="auto" w:fill="auto"/>
          </w:tcPr>
          <w:p w14:paraId="5EA20349" w14:textId="77777777" w:rsidR="003C66EB" w:rsidRDefault="003C66EB">
            <w:pPr>
              <w:rPr>
                <w:rFonts w:ascii="宋体"/>
                <w:vanish/>
              </w:rPr>
            </w:pPr>
          </w:p>
        </w:tc>
        <w:tc>
          <w:tcPr>
            <w:tcW w:w="0" w:type="auto"/>
            <w:gridSpan w:val="3"/>
            <w:shd w:val="clear" w:color="auto" w:fill="auto"/>
          </w:tcPr>
          <w:p w14:paraId="5EA2034A" w14:textId="77777777" w:rsidR="003C66EB" w:rsidRDefault="003C66EB">
            <w:pPr>
              <w:rPr>
                <w:rFonts w:ascii="宋体"/>
                <w:vanish/>
              </w:rPr>
            </w:pPr>
          </w:p>
        </w:tc>
        <w:tc>
          <w:tcPr>
            <w:tcW w:w="0" w:type="auto"/>
            <w:gridSpan w:val="3"/>
            <w:shd w:val="clear" w:color="auto" w:fill="auto"/>
          </w:tcPr>
          <w:p w14:paraId="5EA2034B" w14:textId="77777777" w:rsidR="003C66EB" w:rsidRDefault="003C66EB">
            <w:pPr>
              <w:rPr>
                <w:rFonts w:ascii="宋体"/>
                <w:vanish/>
              </w:rPr>
            </w:pPr>
          </w:p>
        </w:tc>
        <w:tc>
          <w:tcPr>
            <w:tcW w:w="0" w:type="auto"/>
            <w:gridSpan w:val="3"/>
            <w:shd w:val="clear" w:color="auto" w:fill="auto"/>
          </w:tcPr>
          <w:p w14:paraId="5EA2034C" w14:textId="77777777" w:rsidR="003C66EB" w:rsidRDefault="003C66EB">
            <w:pPr>
              <w:rPr>
                <w:rFonts w:ascii="宋体"/>
                <w:vanish/>
              </w:rPr>
            </w:pPr>
          </w:p>
        </w:tc>
        <w:tc>
          <w:tcPr>
            <w:tcW w:w="0" w:type="auto"/>
            <w:gridSpan w:val="3"/>
            <w:shd w:val="clear" w:color="auto" w:fill="auto"/>
          </w:tcPr>
          <w:p w14:paraId="5EA2034D" w14:textId="77777777" w:rsidR="003C66EB" w:rsidRDefault="003C66EB">
            <w:pPr>
              <w:rPr>
                <w:rFonts w:ascii="宋体"/>
                <w:vanish/>
              </w:rPr>
            </w:pPr>
          </w:p>
        </w:tc>
        <w:tc>
          <w:tcPr>
            <w:tcW w:w="0" w:type="auto"/>
            <w:gridSpan w:val="3"/>
            <w:shd w:val="clear" w:color="auto" w:fill="auto"/>
          </w:tcPr>
          <w:p w14:paraId="5EA2034E" w14:textId="77777777" w:rsidR="003C66EB" w:rsidRDefault="003C66EB">
            <w:pPr>
              <w:rPr>
                <w:rFonts w:ascii="宋体"/>
                <w:vanish/>
              </w:rPr>
            </w:pPr>
          </w:p>
        </w:tc>
      </w:tr>
      <w:tr w:rsidR="003C66EB" w14:paraId="5EA2035C" w14:textId="77777777">
        <w:tc>
          <w:tcPr>
            <w:tcW w:w="0" w:type="auto"/>
            <w:gridSpan w:val="3"/>
            <w:shd w:val="clear" w:color="auto" w:fill="FFFFFF"/>
            <w:tcMar>
              <w:top w:w="40" w:type="dxa"/>
              <w:left w:w="20" w:type="dxa"/>
              <w:bottom w:w="40" w:type="dxa"/>
              <w:right w:w="20" w:type="dxa"/>
            </w:tcMar>
            <w:vAlign w:val="bottom"/>
          </w:tcPr>
          <w:p w14:paraId="5EA20350" w14:textId="77777777" w:rsidR="003C66EB" w:rsidRDefault="00D96C4E">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5EA20351" w14:textId="77777777" w:rsidR="003C66EB" w:rsidRDefault="00D96C4E">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35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35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354" w14:textId="77777777" w:rsidR="003C66EB" w:rsidRDefault="00D96C4E">
            <w:pPr>
              <w:jc w:val="right"/>
              <w:textAlignment w:val="bottom"/>
            </w:pPr>
            <w:r>
              <w:rPr>
                <w:rFonts w:ascii="Arial" w:eastAsia="宋体" w:hAnsi="Arial" w:cs="Arial"/>
                <w:color w:val="000000"/>
                <w:sz w:val="14"/>
                <w:szCs w:val="14"/>
              </w:rPr>
              <w:t>1,242 </w:t>
            </w:r>
          </w:p>
        </w:tc>
        <w:tc>
          <w:tcPr>
            <w:tcW w:w="0" w:type="auto"/>
            <w:shd w:val="clear" w:color="auto" w:fill="FFFFFF"/>
            <w:tcMar>
              <w:top w:w="40" w:type="dxa"/>
              <w:left w:w="0" w:type="dxa"/>
              <w:bottom w:w="40" w:type="dxa"/>
              <w:right w:w="20" w:type="dxa"/>
            </w:tcMar>
            <w:vAlign w:val="bottom"/>
          </w:tcPr>
          <w:p w14:paraId="5EA20355" w14:textId="77777777" w:rsidR="003C66EB" w:rsidRDefault="003C66EB">
            <w:pPr>
              <w:jc w:val="right"/>
              <w:rPr>
                <w:rFonts w:ascii="宋体"/>
              </w:rPr>
            </w:pPr>
          </w:p>
        </w:tc>
        <w:tc>
          <w:tcPr>
            <w:tcW w:w="0" w:type="auto"/>
            <w:gridSpan w:val="3"/>
            <w:shd w:val="clear" w:color="auto" w:fill="auto"/>
          </w:tcPr>
          <w:p w14:paraId="5EA20356" w14:textId="77777777" w:rsidR="003C66EB" w:rsidRDefault="003C66EB">
            <w:pPr>
              <w:rPr>
                <w:rFonts w:ascii="宋体"/>
                <w:vanish/>
              </w:rPr>
            </w:pPr>
          </w:p>
        </w:tc>
        <w:tc>
          <w:tcPr>
            <w:tcW w:w="0" w:type="auto"/>
            <w:gridSpan w:val="3"/>
            <w:shd w:val="clear" w:color="auto" w:fill="auto"/>
          </w:tcPr>
          <w:p w14:paraId="5EA20357" w14:textId="77777777" w:rsidR="003C66EB" w:rsidRDefault="003C66EB">
            <w:pPr>
              <w:rPr>
                <w:rFonts w:ascii="宋体"/>
                <w:vanish/>
              </w:rPr>
            </w:pPr>
          </w:p>
        </w:tc>
        <w:tc>
          <w:tcPr>
            <w:tcW w:w="0" w:type="auto"/>
            <w:gridSpan w:val="3"/>
            <w:shd w:val="clear" w:color="auto" w:fill="auto"/>
          </w:tcPr>
          <w:p w14:paraId="5EA20358" w14:textId="77777777" w:rsidR="003C66EB" w:rsidRDefault="003C66EB">
            <w:pPr>
              <w:rPr>
                <w:rFonts w:ascii="宋体"/>
                <w:vanish/>
              </w:rPr>
            </w:pPr>
          </w:p>
        </w:tc>
        <w:tc>
          <w:tcPr>
            <w:tcW w:w="0" w:type="auto"/>
            <w:gridSpan w:val="3"/>
            <w:shd w:val="clear" w:color="auto" w:fill="auto"/>
          </w:tcPr>
          <w:p w14:paraId="5EA20359" w14:textId="77777777" w:rsidR="003C66EB" w:rsidRDefault="003C66EB">
            <w:pPr>
              <w:rPr>
                <w:rFonts w:ascii="宋体"/>
                <w:vanish/>
              </w:rPr>
            </w:pPr>
          </w:p>
        </w:tc>
        <w:tc>
          <w:tcPr>
            <w:tcW w:w="0" w:type="auto"/>
            <w:gridSpan w:val="3"/>
            <w:shd w:val="clear" w:color="auto" w:fill="auto"/>
          </w:tcPr>
          <w:p w14:paraId="5EA2035A" w14:textId="77777777" w:rsidR="003C66EB" w:rsidRDefault="003C66EB">
            <w:pPr>
              <w:rPr>
                <w:rFonts w:ascii="宋体"/>
                <w:vanish/>
              </w:rPr>
            </w:pPr>
          </w:p>
        </w:tc>
        <w:tc>
          <w:tcPr>
            <w:tcW w:w="0" w:type="auto"/>
            <w:gridSpan w:val="3"/>
            <w:shd w:val="clear" w:color="auto" w:fill="auto"/>
          </w:tcPr>
          <w:p w14:paraId="5EA2035B" w14:textId="77777777" w:rsidR="003C66EB" w:rsidRDefault="003C66EB">
            <w:pPr>
              <w:rPr>
                <w:rFonts w:ascii="宋体"/>
                <w:vanish/>
              </w:rPr>
            </w:pPr>
          </w:p>
        </w:tc>
      </w:tr>
      <w:tr w:rsidR="003C66EB" w14:paraId="5EA20369" w14:textId="77777777">
        <w:tc>
          <w:tcPr>
            <w:tcW w:w="0" w:type="auto"/>
            <w:gridSpan w:val="3"/>
            <w:shd w:val="clear" w:color="auto" w:fill="CCEEFF"/>
            <w:tcMar>
              <w:top w:w="40" w:type="dxa"/>
              <w:left w:w="245" w:type="dxa"/>
              <w:bottom w:w="40" w:type="dxa"/>
              <w:right w:w="20" w:type="dxa"/>
            </w:tcMar>
            <w:vAlign w:val="bottom"/>
          </w:tcPr>
          <w:p w14:paraId="5EA2035D" w14:textId="77777777" w:rsidR="003C66EB" w:rsidRDefault="00D96C4E">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5EA2035E" w14:textId="77777777" w:rsidR="003C66EB" w:rsidRDefault="00D96C4E">
            <w:pPr>
              <w:jc w:val="right"/>
              <w:textAlignment w:val="bottom"/>
            </w:pPr>
            <w:r>
              <w:rPr>
                <w:rFonts w:ascii="Arial" w:eastAsia="宋体" w:hAnsi="Arial" w:cs="Arial"/>
                <w:b/>
                <w:bCs/>
                <w:color w:val="000000"/>
                <w:sz w:val="14"/>
                <w:szCs w:val="14"/>
              </w:rPr>
              <w:t>2,956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3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36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361" w14:textId="77777777" w:rsidR="003C66EB" w:rsidRDefault="00D96C4E">
            <w:pPr>
              <w:jc w:val="right"/>
              <w:textAlignment w:val="bottom"/>
            </w:pPr>
            <w:r>
              <w:rPr>
                <w:rFonts w:ascii="Arial" w:eastAsia="宋体" w:hAnsi="Arial" w:cs="Arial"/>
                <w:color w:val="000000"/>
                <w:sz w:val="14"/>
                <w:szCs w:val="14"/>
              </w:rPr>
              <w:t>1,088 </w:t>
            </w:r>
          </w:p>
        </w:tc>
        <w:tc>
          <w:tcPr>
            <w:tcW w:w="0" w:type="auto"/>
            <w:shd w:val="clear" w:color="auto" w:fill="CCEEFF"/>
            <w:tcMar>
              <w:top w:w="40" w:type="dxa"/>
              <w:left w:w="0" w:type="dxa"/>
              <w:bottom w:w="40" w:type="dxa"/>
              <w:right w:w="20" w:type="dxa"/>
            </w:tcMar>
            <w:vAlign w:val="bottom"/>
          </w:tcPr>
          <w:p w14:paraId="5EA20362" w14:textId="77777777" w:rsidR="003C66EB" w:rsidRDefault="003C66EB">
            <w:pPr>
              <w:jc w:val="right"/>
              <w:rPr>
                <w:rFonts w:ascii="宋体"/>
              </w:rPr>
            </w:pPr>
          </w:p>
        </w:tc>
        <w:tc>
          <w:tcPr>
            <w:tcW w:w="0" w:type="auto"/>
            <w:gridSpan w:val="3"/>
            <w:shd w:val="clear" w:color="auto" w:fill="auto"/>
          </w:tcPr>
          <w:p w14:paraId="5EA20363" w14:textId="77777777" w:rsidR="003C66EB" w:rsidRDefault="003C66EB">
            <w:pPr>
              <w:rPr>
                <w:rFonts w:ascii="宋体"/>
                <w:vanish/>
              </w:rPr>
            </w:pPr>
          </w:p>
        </w:tc>
        <w:tc>
          <w:tcPr>
            <w:tcW w:w="0" w:type="auto"/>
            <w:gridSpan w:val="3"/>
            <w:shd w:val="clear" w:color="auto" w:fill="auto"/>
          </w:tcPr>
          <w:p w14:paraId="5EA20364" w14:textId="77777777" w:rsidR="003C66EB" w:rsidRDefault="003C66EB">
            <w:pPr>
              <w:rPr>
                <w:rFonts w:ascii="宋体"/>
                <w:vanish/>
              </w:rPr>
            </w:pPr>
          </w:p>
        </w:tc>
        <w:tc>
          <w:tcPr>
            <w:tcW w:w="0" w:type="auto"/>
            <w:gridSpan w:val="3"/>
            <w:shd w:val="clear" w:color="auto" w:fill="auto"/>
          </w:tcPr>
          <w:p w14:paraId="5EA20365" w14:textId="77777777" w:rsidR="003C66EB" w:rsidRDefault="003C66EB">
            <w:pPr>
              <w:rPr>
                <w:rFonts w:ascii="宋体"/>
                <w:vanish/>
              </w:rPr>
            </w:pPr>
          </w:p>
        </w:tc>
        <w:tc>
          <w:tcPr>
            <w:tcW w:w="0" w:type="auto"/>
            <w:gridSpan w:val="3"/>
            <w:shd w:val="clear" w:color="auto" w:fill="auto"/>
          </w:tcPr>
          <w:p w14:paraId="5EA20366" w14:textId="77777777" w:rsidR="003C66EB" w:rsidRDefault="003C66EB">
            <w:pPr>
              <w:rPr>
                <w:rFonts w:ascii="宋体"/>
                <w:vanish/>
              </w:rPr>
            </w:pPr>
          </w:p>
        </w:tc>
        <w:tc>
          <w:tcPr>
            <w:tcW w:w="0" w:type="auto"/>
            <w:gridSpan w:val="3"/>
            <w:shd w:val="clear" w:color="auto" w:fill="auto"/>
          </w:tcPr>
          <w:p w14:paraId="5EA20367" w14:textId="77777777" w:rsidR="003C66EB" w:rsidRDefault="003C66EB">
            <w:pPr>
              <w:rPr>
                <w:rFonts w:ascii="宋体"/>
                <w:vanish/>
              </w:rPr>
            </w:pPr>
          </w:p>
        </w:tc>
        <w:tc>
          <w:tcPr>
            <w:tcW w:w="0" w:type="auto"/>
            <w:gridSpan w:val="3"/>
            <w:shd w:val="clear" w:color="auto" w:fill="auto"/>
          </w:tcPr>
          <w:p w14:paraId="5EA20368" w14:textId="77777777" w:rsidR="003C66EB" w:rsidRDefault="003C66EB">
            <w:pPr>
              <w:rPr>
                <w:rFonts w:ascii="宋体"/>
                <w:vanish/>
              </w:rPr>
            </w:pPr>
          </w:p>
        </w:tc>
      </w:tr>
      <w:tr w:rsidR="003C66EB" w14:paraId="5EA20376" w14:textId="77777777">
        <w:tc>
          <w:tcPr>
            <w:tcW w:w="0" w:type="auto"/>
            <w:gridSpan w:val="3"/>
            <w:shd w:val="clear" w:color="auto" w:fill="FFFFFF"/>
            <w:tcMar>
              <w:top w:w="40" w:type="dxa"/>
              <w:left w:w="20" w:type="dxa"/>
              <w:bottom w:w="40" w:type="dxa"/>
              <w:right w:w="20" w:type="dxa"/>
            </w:tcMar>
            <w:vAlign w:val="bottom"/>
          </w:tcPr>
          <w:p w14:paraId="5EA2036A" w14:textId="77777777" w:rsidR="003C66EB" w:rsidRDefault="00D96C4E">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036B" w14:textId="77777777" w:rsidR="003C66EB" w:rsidRDefault="00D96C4E">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3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36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36E" w14:textId="77777777" w:rsidR="003C66EB" w:rsidRDefault="00D96C4E">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EA2036F" w14:textId="77777777" w:rsidR="003C66EB" w:rsidRDefault="003C66EB">
            <w:pPr>
              <w:jc w:val="right"/>
              <w:rPr>
                <w:rFonts w:ascii="宋体"/>
              </w:rPr>
            </w:pPr>
          </w:p>
        </w:tc>
        <w:tc>
          <w:tcPr>
            <w:tcW w:w="0" w:type="auto"/>
            <w:gridSpan w:val="3"/>
            <w:shd w:val="clear" w:color="auto" w:fill="auto"/>
          </w:tcPr>
          <w:p w14:paraId="5EA20370" w14:textId="77777777" w:rsidR="003C66EB" w:rsidRDefault="003C66EB">
            <w:pPr>
              <w:rPr>
                <w:rFonts w:ascii="宋体"/>
                <w:vanish/>
              </w:rPr>
            </w:pPr>
          </w:p>
        </w:tc>
        <w:tc>
          <w:tcPr>
            <w:tcW w:w="0" w:type="auto"/>
            <w:gridSpan w:val="3"/>
            <w:shd w:val="clear" w:color="auto" w:fill="auto"/>
          </w:tcPr>
          <w:p w14:paraId="5EA20371" w14:textId="77777777" w:rsidR="003C66EB" w:rsidRDefault="003C66EB">
            <w:pPr>
              <w:rPr>
                <w:rFonts w:ascii="宋体"/>
                <w:vanish/>
              </w:rPr>
            </w:pPr>
          </w:p>
        </w:tc>
        <w:tc>
          <w:tcPr>
            <w:tcW w:w="0" w:type="auto"/>
            <w:gridSpan w:val="3"/>
            <w:shd w:val="clear" w:color="auto" w:fill="auto"/>
          </w:tcPr>
          <w:p w14:paraId="5EA20372" w14:textId="77777777" w:rsidR="003C66EB" w:rsidRDefault="003C66EB">
            <w:pPr>
              <w:rPr>
                <w:rFonts w:ascii="宋体"/>
                <w:vanish/>
              </w:rPr>
            </w:pPr>
          </w:p>
        </w:tc>
        <w:tc>
          <w:tcPr>
            <w:tcW w:w="0" w:type="auto"/>
            <w:gridSpan w:val="3"/>
            <w:shd w:val="clear" w:color="auto" w:fill="auto"/>
          </w:tcPr>
          <w:p w14:paraId="5EA20373" w14:textId="77777777" w:rsidR="003C66EB" w:rsidRDefault="003C66EB">
            <w:pPr>
              <w:rPr>
                <w:rFonts w:ascii="宋体"/>
                <w:vanish/>
              </w:rPr>
            </w:pPr>
          </w:p>
        </w:tc>
        <w:tc>
          <w:tcPr>
            <w:tcW w:w="0" w:type="auto"/>
            <w:gridSpan w:val="3"/>
            <w:shd w:val="clear" w:color="auto" w:fill="auto"/>
          </w:tcPr>
          <w:p w14:paraId="5EA20374" w14:textId="77777777" w:rsidR="003C66EB" w:rsidRDefault="003C66EB">
            <w:pPr>
              <w:rPr>
                <w:rFonts w:ascii="宋体"/>
                <w:vanish/>
              </w:rPr>
            </w:pPr>
          </w:p>
        </w:tc>
        <w:tc>
          <w:tcPr>
            <w:tcW w:w="0" w:type="auto"/>
            <w:gridSpan w:val="3"/>
            <w:shd w:val="clear" w:color="auto" w:fill="auto"/>
          </w:tcPr>
          <w:p w14:paraId="5EA20375" w14:textId="77777777" w:rsidR="003C66EB" w:rsidRDefault="003C66EB">
            <w:pPr>
              <w:rPr>
                <w:rFonts w:ascii="宋体"/>
                <w:vanish/>
              </w:rPr>
            </w:pPr>
          </w:p>
        </w:tc>
      </w:tr>
      <w:tr w:rsidR="003C66EB" w14:paraId="5EA20383" w14:textId="77777777">
        <w:tc>
          <w:tcPr>
            <w:tcW w:w="0" w:type="auto"/>
            <w:gridSpan w:val="3"/>
            <w:shd w:val="clear" w:color="auto" w:fill="CCEEFF"/>
            <w:tcMar>
              <w:top w:w="40" w:type="dxa"/>
              <w:left w:w="20" w:type="dxa"/>
              <w:bottom w:w="40" w:type="dxa"/>
              <w:right w:w="20" w:type="dxa"/>
            </w:tcMar>
            <w:vAlign w:val="bottom"/>
          </w:tcPr>
          <w:p w14:paraId="5EA20377" w14:textId="77777777" w:rsidR="003C66EB" w:rsidRDefault="00D96C4E">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378" w14:textId="77777777" w:rsidR="003C66EB" w:rsidRDefault="00D96C4E">
            <w:pPr>
              <w:jc w:val="right"/>
              <w:textAlignment w:val="bottom"/>
            </w:pPr>
            <w:r>
              <w:rPr>
                <w:rFonts w:ascii="Arial" w:eastAsia="宋体" w:hAnsi="Arial" w:cs="Arial"/>
                <w:b/>
                <w:bCs/>
                <w:color w:val="000000"/>
                <w:sz w:val="14"/>
                <w:szCs w:val="14"/>
              </w:rPr>
              <w:t>8,862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3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37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37B" w14:textId="77777777" w:rsidR="003C66EB" w:rsidRDefault="00D96C4E">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37C" w14:textId="77777777" w:rsidR="003C66EB" w:rsidRDefault="003C66EB">
            <w:pPr>
              <w:jc w:val="right"/>
              <w:rPr>
                <w:rFonts w:ascii="宋体"/>
              </w:rPr>
            </w:pPr>
          </w:p>
        </w:tc>
        <w:tc>
          <w:tcPr>
            <w:tcW w:w="0" w:type="auto"/>
            <w:gridSpan w:val="3"/>
            <w:shd w:val="clear" w:color="auto" w:fill="auto"/>
          </w:tcPr>
          <w:p w14:paraId="5EA2037D" w14:textId="77777777" w:rsidR="003C66EB" w:rsidRDefault="003C66EB">
            <w:pPr>
              <w:rPr>
                <w:rFonts w:ascii="宋体"/>
                <w:vanish/>
              </w:rPr>
            </w:pPr>
          </w:p>
        </w:tc>
        <w:tc>
          <w:tcPr>
            <w:tcW w:w="0" w:type="auto"/>
            <w:gridSpan w:val="3"/>
            <w:shd w:val="clear" w:color="auto" w:fill="auto"/>
          </w:tcPr>
          <w:p w14:paraId="5EA2037E" w14:textId="77777777" w:rsidR="003C66EB" w:rsidRDefault="003C66EB">
            <w:pPr>
              <w:rPr>
                <w:rFonts w:ascii="宋体"/>
                <w:vanish/>
              </w:rPr>
            </w:pPr>
          </w:p>
        </w:tc>
        <w:tc>
          <w:tcPr>
            <w:tcW w:w="0" w:type="auto"/>
            <w:gridSpan w:val="3"/>
            <w:shd w:val="clear" w:color="auto" w:fill="auto"/>
          </w:tcPr>
          <w:p w14:paraId="5EA2037F" w14:textId="77777777" w:rsidR="003C66EB" w:rsidRDefault="003C66EB">
            <w:pPr>
              <w:rPr>
                <w:rFonts w:ascii="宋体"/>
                <w:vanish/>
              </w:rPr>
            </w:pPr>
          </w:p>
        </w:tc>
        <w:tc>
          <w:tcPr>
            <w:tcW w:w="0" w:type="auto"/>
            <w:gridSpan w:val="3"/>
            <w:shd w:val="clear" w:color="auto" w:fill="auto"/>
          </w:tcPr>
          <w:p w14:paraId="5EA20380" w14:textId="77777777" w:rsidR="003C66EB" w:rsidRDefault="003C66EB">
            <w:pPr>
              <w:rPr>
                <w:rFonts w:ascii="宋体"/>
                <w:vanish/>
              </w:rPr>
            </w:pPr>
          </w:p>
        </w:tc>
        <w:tc>
          <w:tcPr>
            <w:tcW w:w="0" w:type="auto"/>
            <w:gridSpan w:val="3"/>
            <w:shd w:val="clear" w:color="auto" w:fill="auto"/>
          </w:tcPr>
          <w:p w14:paraId="5EA20381" w14:textId="77777777" w:rsidR="003C66EB" w:rsidRDefault="003C66EB">
            <w:pPr>
              <w:rPr>
                <w:rFonts w:ascii="宋体"/>
                <w:vanish/>
              </w:rPr>
            </w:pPr>
          </w:p>
        </w:tc>
        <w:tc>
          <w:tcPr>
            <w:tcW w:w="0" w:type="auto"/>
            <w:gridSpan w:val="3"/>
            <w:shd w:val="clear" w:color="auto" w:fill="auto"/>
          </w:tcPr>
          <w:p w14:paraId="5EA20382" w14:textId="77777777" w:rsidR="003C66EB" w:rsidRDefault="003C66EB">
            <w:pPr>
              <w:rPr>
                <w:rFonts w:ascii="宋体"/>
                <w:vanish/>
              </w:rPr>
            </w:pPr>
          </w:p>
        </w:tc>
      </w:tr>
      <w:tr w:rsidR="003C66EB" w14:paraId="5EA20390" w14:textId="77777777">
        <w:tc>
          <w:tcPr>
            <w:tcW w:w="0" w:type="auto"/>
            <w:gridSpan w:val="3"/>
            <w:shd w:val="clear" w:color="auto" w:fill="FFFFFF"/>
            <w:tcMar>
              <w:top w:w="40" w:type="dxa"/>
              <w:left w:w="20" w:type="dxa"/>
              <w:bottom w:w="40" w:type="dxa"/>
              <w:right w:w="20" w:type="dxa"/>
            </w:tcMar>
            <w:vAlign w:val="bottom"/>
          </w:tcPr>
          <w:p w14:paraId="5EA20384" w14:textId="77777777" w:rsidR="003C66EB" w:rsidRDefault="00D96C4E">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385" w14:textId="77777777" w:rsidR="003C66EB" w:rsidRDefault="00D96C4E">
            <w:pPr>
              <w:jc w:val="right"/>
              <w:textAlignment w:val="bottom"/>
            </w:pPr>
            <w:r>
              <w:rPr>
                <w:rFonts w:ascii="Arial" w:eastAsia="宋体" w:hAnsi="Arial" w:cs="Arial"/>
                <w:b/>
                <w:bCs/>
                <w:color w:val="000000"/>
                <w:sz w:val="14"/>
                <w:szCs w:val="14"/>
              </w:rPr>
              <w:t>31,585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3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38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388" w14:textId="77777777" w:rsidR="003C66EB" w:rsidRDefault="00D96C4E">
            <w:pPr>
              <w:jc w:val="right"/>
              <w:textAlignment w:val="bottom"/>
            </w:pPr>
            <w:r>
              <w:rPr>
                <w:rFonts w:ascii="Arial" w:eastAsia="宋体" w:hAnsi="Arial" w:cs="Arial"/>
                <w:color w:val="000000"/>
                <w:sz w:val="14"/>
                <w:szCs w:val="14"/>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389" w14:textId="77777777" w:rsidR="003C66EB" w:rsidRDefault="003C66EB">
            <w:pPr>
              <w:jc w:val="right"/>
              <w:rPr>
                <w:rFonts w:ascii="宋体"/>
              </w:rPr>
            </w:pPr>
          </w:p>
        </w:tc>
        <w:tc>
          <w:tcPr>
            <w:tcW w:w="0" w:type="auto"/>
            <w:gridSpan w:val="3"/>
            <w:shd w:val="clear" w:color="auto" w:fill="auto"/>
          </w:tcPr>
          <w:p w14:paraId="5EA2038A" w14:textId="77777777" w:rsidR="003C66EB" w:rsidRDefault="003C66EB">
            <w:pPr>
              <w:rPr>
                <w:rFonts w:ascii="宋体"/>
                <w:vanish/>
              </w:rPr>
            </w:pPr>
          </w:p>
        </w:tc>
        <w:tc>
          <w:tcPr>
            <w:tcW w:w="0" w:type="auto"/>
            <w:gridSpan w:val="3"/>
            <w:shd w:val="clear" w:color="auto" w:fill="auto"/>
          </w:tcPr>
          <w:p w14:paraId="5EA2038B" w14:textId="77777777" w:rsidR="003C66EB" w:rsidRDefault="003C66EB">
            <w:pPr>
              <w:rPr>
                <w:rFonts w:ascii="宋体"/>
                <w:vanish/>
              </w:rPr>
            </w:pPr>
          </w:p>
        </w:tc>
        <w:tc>
          <w:tcPr>
            <w:tcW w:w="0" w:type="auto"/>
            <w:gridSpan w:val="3"/>
            <w:shd w:val="clear" w:color="auto" w:fill="auto"/>
          </w:tcPr>
          <w:p w14:paraId="5EA2038C" w14:textId="77777777" w:rsidR="003C66EB" w:rsidRDefault="003C66EB">
            <w:pPr>
              <w:rPr>
                <w:rFonts w:ascii="宋体"/>
                <w:vanish/>
              </w:rPr>
            </w:pPr>
          </w:p>
        </w:tc>
        <w:tc>
          <w:tcPr>
            <w:tcW w:w="0" w:type="auto"/>
            <w:gridSpan w:val="3"/>
            <w:shd w:val="clear" w:color="auto" w:fill="auto"/>
          </w:tcPr>
          <w:p w14:paraId="5EA2038D" w14:textId="77777777" w:rsidR="003C66EB" w:rsidRDefault="003C66EB">
            <w:pPr>
              <w:rPr>
                <w:rFonts w:ascii="宋体"/>
                <w:vanish/>
              </w:rPr>
            </w:pPr>
          </w:p>
        </w:tc>
        <w:tc>
          <w:tcPr>
            <w:tcW w:w="0" w:type="auto"/>
            <w:gridSpan w:val="3"/>
            <w:shd w:val="clear" w:color="auto" w:fill="auto"/>
          </w:tcPr>
          <w:p w14:paraId="5EA2038E" w14:textId="77777777" w:rsidR="003C66EB" w:rsidRDefault="003C66EB">
            <w:pPr>
              <w:rPr>
                <w:rFonts w:ascii="宋体"/>
                <w:vanish/>
              </w:rPr>
            </w:pPr>
          </w:p>
        </w:tc>
        <w:tc>
          <w:tcPr>
            <w:tcW w:w="0" w:type="auto"/>
            <w:gridSpan w:val="3"/>
            <w:shd w:val="clear" w:color="auto" w:fill="auto"/>
          </w:tcPr>
          <w:p w14:paraId="5EA2038F" w14:textId="77777777" w:rsidR="003C66EB" w:rsidRDefault="003C66EB">
            <w:pPr>
              <w:rPr>
                <w:rFonts w:ascii="宋体"/>
                <w:vanish/>
              </w:rPr>
            </w:pPr>
          </w:p>
        </w:tc>
      </w:tr>
      <w:tr w:rsidR="003C66EB" w14:paraId="5EA2039D" w14:textId="77777777">
        <w:tc>
          <w:tcPr>
            <w:tcW w:w="0" w:type="auto"/>
            <w:gridSpan w:val="3"/>
            <w:shd w:val="clear" w:color="auto" w:fill="CCEEFF"/>
            <w:tcMar>
              <w:top w:w="40" w:type="dxa"/>
              <w:left w:w="20" w:type="dxa"/>
              <w:bottom w:w="40" w:type="dxa"/>
              <w:right w:w="20" w:type="dxa"/>
            </w:tcMar>
            <w:vAlign w:val="bottom"/>
          </w:tcPr>
          <w:p w14:paraId="5EA20391" w14:textId="77777777" w:rsidR="003C66EB" w:rsidRDefault="00D96C4E">
            <w:pPr>
              <w:textAlignment w:val="bottom"/>
            </w:pPr>
            <w:r>
              <w:rPr>
                <w:rFonts w:ascii="Arial" w:eastAsia="宋体" w:hAnsi="Arial" w:cs="Arial"/>
                <w:color w:val="000000"/>
                <w:sz w:val="14"/>
                <w:szCs w:val="14"/>
              </w:rPr>
              <w:t>Allowance for loan losses</w:t>
            </w:r>
          </w:p>
        </w:tc>
        <w:tc>
          <w:tcPr>
            <w:tcW w:w="0" w:type="auto"/>
            <w:gridSpan w:val="2"/>
            <w:shd w:val="clear" w:color="auto" w:fill="CCEEFF"/>
            <w:tcMar>
              <w:top w:w="40" w:type="dxa"/>
              <w:left w:w="20" w:type="dxa"/>
              <w:bottom w:w="40" w:type="dxa"/>
              <w:right w:w="0" w:type="dxa"/>
            </w:tcMar>
            <w:vAlign w:val="bottom"/>
          </w:tcPr>
          <w:p w14:paraId="5EA20392" w14:textId="77777777" w:rsidR="003C66EB" w:rsidRDefault="00D96C4E">
            <w:pPr>
              <w:jc w:val="right"/>
              <w:textAlignment w:val="bottom"/>
            </w:pPr>
            <w:r>
              <w:rPr>
                <w:rFonts w:ascii="Arial" w:eastAsia="宋体" w:hAnsi="Arial" w:cs="Arial"/>
                <w:b/>
                <w:bCs/>
                <w:color w:val="000000"/>
                <w:sz w:val="14"/>
                <w:szCs w:val="14"/>
              </w:rPr>
              <w:t>(118)</w:t>
            </w:r>
          </w:p>
        </w:tc>
        <w:tc>
          <w:tcPr>
            <w:tcW w:w="0" w:type="auto"/>
            <w:shd w:val="clear" w:color="auto" w:fill="CCEEFF"/>
            <w:tcMar>
              <w:top w:w="40" w:type="dxa"/>
              <w:left w:w="0" w:type="dxa"/>
              <w:bottom w:w="40" w:type="dxa"/>
              <w:right w:w="20" w:type="dxa"/>
            </w:tcMar>
            <w:vAlign w:val="bottom"/>
          </w:tcPr>
          <w:p w14:paraId="5EA203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39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395" w14:textId="77777777" w:rsidR="003C66EB" w:rsidRDefault="00D96C4E">
            <w:pPr>
              <w:jc w:val="right"/>
              <w:textAlignment w:val="bottom"/>
            </w:pPr>
            <w:r>
              <w:rPr>
                <w:rFonts w:ascii="Arial" w:eastAsia="宋体" w:hAnsi="Arial" w:cs="Arial"/>
                <w:color w:val="000000"/>
                <w:sz w:val="14"/>
                <w:szCs w:val="14"/>
              </w:rPr>
              <w:t>(122)</w:t>
            </w:r>
          </w:p>
        </w:tc>
        <w:tc>
          <w:tcPr>
            <w:tcW w:w="0" w:type="auto"/>
            <w:shd w:val="clear" w:color="auto" w:fill="CCEEFF"/>
            <w:tcMar>
              <w:top w:w="40" w:type="dxa"/>
              <w:left w:w="0" w:type="dxa"/>
              <w:bottom w:w="40" w:type="dxa"/>
              <w:right w:w="20" w:type="dxa"/>
            </w:tcMar>
            <w:vAlign w:val="bottom"/>
          </w:tcPr>
          <w:p w14:paraId="5EA20396" w14:textId="77777777" w:rsidR="003C66EB" w:rsidRDefault="003C66EB">
            <w:pPr>
              <w:jc w:val="right"/>
              <w:rPr>
                <w:rFonts w:ascii="宋体"/>
              </w:rPr>
            </w:pPr>
          </w:p>
        </w:tc>
        <w:tc>
          <w:tcPr>
            <w:tcW w:w="0" w:type="auto"/>
            <w:gridSpan w:val="3"/>
            <w:shd w:val="clear" w:color="auto" w:fill="auto"/>
          </w:tcPr>
          <w:p w14:paraId="5EA20397" w14:textId="77777777" w:rsidR="003C66EB" w:rsidRDefault="003C66EB">
            <w:pPr>
              <w:rPr>
                <w:rFonts w:ascii="宋体"/>
                <w:vanish/>
              </w:rPr>
            </w:pPr>
          </w:p>
        </w:tc>
        <w:tc>
          <w:tcPr>
            <w:tcW w:w="0" w:type="auto"/>
            <w:gridSpan w:val="3"/>
            <w:shd w:val="clear" w:color="auto" w:fill="auto"/>
          </w:tcPr>
          <w:p w14:paraId="5EA20398" w14:textId="77777777" w:rsidR="003C66EB" w:rsidRDefault="003C66EB">
            <w:pPr>
              <w:rPr>
                <w:rFonts w:ascii="宋体"/>
                <w:vanish/>
              </w:rPr>
            </w:pPr>
          </w:p>
        </w:tc>
        <w:tc>
          <w:tcPr>
            <w:tcW w:w="0" w:type="auto"/>
            <w:gridSpan w:val="3"/>
            <w:shd w:val="clear" w:color="auto" w:fill="auto"/>
          </w:tcPr>
          <w:p w14:paraId="5EA20399" w14:textId="77777777" w:rsidR="003C66EB" w:rsidRDefault="003C66EB">
            <w:pPr>
              <w:rPr>
                <w:rFonts w:ascii="宋体"/>
                <w:vanish/>
              </w:rPr>
            </w:pPr>
          </w:p>
        </w:tc>
        <w:tc>
          <w:tcPr>
            <w:tcW w:w="0" w:type="auto"/>
            <w:gridSpan w:val="3"/>
            <w:shd w:val="clear" w:color="auto" w:fill="auto"/>
          </w:tcPr>
          <w:p w14:paraId="5EA2039A" w14:textId="77777777" w:rsidR="003C66EB" w:rsidRDefault="003C66EB">
            <w:pPr>
              <w:rPr>
                <w:rFonts w:ascii="宋体"/>
                <w:vanish/>
              </w:rPr>
            </w:pPr>
          </w:p>
        </w:tc>
        <w:tc>
          <w:tcPr>
            <w:tcW w:w="0" w:type="auto"/>
            <w:gridSpan w:val="3"/>
            <w:shd w:val="clear" w:color="auto" w:fill="auto"/>
          </w:tcPr>
          <w:p w14:paraId="5EA2039B" w14:textId="77777777" w:rsidR="003C66EB" w:rsidRDefault="003C66EB">
            <w:pPr>
              <w:rPr>
                <w:rFonts w:ascii="宋体"/>
                <w:vanish/>
              </w:rPr>
            </w:pPr>
          </w:p>
        </w:tc>
        <w:tc>
          <w:tcPr>
            <w:tcW w:w="0" w:type="auto"/>
            <w:gridSpan w:val="3"/>
            <w:shd w:val="clear" w:color="auto" w:fill="auto"/>
          </w:tcPr>
          <w:p w14:paraId="5EA2039C" w14:textId="77777777" w:rsidR="003C66EB" w:rsidRDefault="003C66EB">
            <w:pPr>
              <w:rPr>
                <w:rFonts w:ascii="宋体"/>
                <w:vanish/>
              </w:rPr>
            </w:pPr>
          </w:p>
        </w:tc>
      </w:tr>
      <w:tr w:rsidR="003C66EB" w14:paraId="5EA203AC" w14:textId="77777777">
        <w:tc>
          <w:tcPr>
            <w:tcW w:w="0" w:type="auto"/>
            <w:gridSpan w:val="3"/>
            <w:shd w:val="clear" w:color="auto" w:fill="auto"/>
            <w:tcMar>
              <w:top w:w="40" w:type="dxa"/>
              <w:left w:w="20" w:type="dxa"/>
              <w:bottom w:w="40" w:type="dxa"/>
              <w:right w:w="20" w:type="dxa"/>
            </w:tcMar>
            <w:vAlign w:val="bottom"/>
          </w:tcPr>
          <w:p w14:paraId="5EA2039E" w14:textId="77777777" w:rsidR="003C66EB" w:rsidRDefault="00D96C4E">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EA2039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EA203A0" w14:textId="77777777" w:rsidR="003C66EB" w:rsidRDefault="00D96C4E">
            <w:pPr>
              <w:jc w:val="right"/>
              <w:textAlignment w:val="bottom"/>
            </w:pPr>
            <w:r>
              <w:rPr>
                <w:rFonts w:ascii="Arial" w:eastAsia="宋体" w:hAnsi="Arial" w:cs="Arial"/>
                <w:b/>
                <w:bCs/>
                <w:color w:val="000000"/>
                <w:sz w:val="14"/>
                <w:szCs w:val="14"/>
              </w:rPr>
              <w:t>31,467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EA203A1"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03A2" w14:textId="77777777" w:rsidR="003C66EB" w:rsidRDefault="003C66E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EA203A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EA203A4" w14:textId="77777777" w:rsidR="003C66EB" w:rsidRDefault="00D96C4E">
            <w:pPr>
              <w:jc w:val="right"/>
              <w:textAlignment w:val="bottom"/>
            </w:pPr>
            <w:r>
              <w:rPr>
                <w:rFonts w:ascii="Arial" w:eastAsia="宋体" w:hAnsi="Arial" w:cs="Arial"/>
                <w:color w:val="000000"/>
                <w:sz w:val="14"/>
                <w:szCs w:val="14"/>
              </w:rPr>
              <w:t>27,803 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EA203A5" w14:textId="77777777" w:rsidR="003C66EB" w:rsidRDefault="003C66EB">
            <w:pPr>
              <w:jc w:val="right"/>
              <w:rPr>
                <w:rFonts w:ascii="宋体"/>
              </w:rPr>
            </w:pPr>
          </w:p>
        </w:tc>
        <w:tc>
          <w:tcPr>
            <w:tcW w:w="0" w:type="auto"/>
            <w:gridSpan w:val="3"/>
            <w:shd w:val="clear" w:color="auto" w:fill="auto"/>
          </w:tcPr>
          <w:p w14:paraId="5EA203A6" w14:textId="77777777" w:rsidR="003C66EB" w:rsidRDefault="003C66EB">
            <w:pPr>
              <w:rPr>
                <w:rFonts w:ascii="宋体"/>
                <w:vanish/>
              </w:rPr>
            </w:pPr>
          </w:p>
        </w:tc>
        <w:tc>
          <w:tcPr>
            <w:tcW w:w="0" w:type="auto"/>
            <w:gridSpan w:val="3"/>
            <w:shd w:val="clear" w:color="auto" w:fill="auto"/>
          </w:tcPr>
          <w:p w14:paraId="5EA203A7" w14:textId="77777777" w:rsidR="003C66EB" w:rsidRDefault="003C66EB">
            <w:pPr>
              <w:rPr>
                <w:rFonts w:ascii="宋体"/>
                <w:vanish/>
              </w:rPr>
            </w:pPr>
          </w:p>
        </w:tc>
        <w:tc>
          <w:tcPr>
            <w:tcW w:w="0" w:type="auto"/>
            <w:gridSpan w:val="3"/>
            <w:shd w:val="clear" w:color="auto" w:fill="auto"/>
          </w:tcPr>
          <w:p w14:paraId="5EA203A8" w14:textId="77777777" w:rsidR="003C66EB" w:rsidRDefault="003C66EB">
            <w:pPr>
              <w:rPr>
                <w:rFonts w:ascii="宋体"/>
                <w:vanish/>
              </w:rPr>
            </w:pPr>
          </w:p>
        </w:tc>
        <w:tc>
          <w:tcPr>
            <w:tcW w:w="0" w:type="auto"/>
            <w:gridSpan w:val="3"/>
            <w:shd w:val="clear" w:color="auto" w:fill="auto"/>
          </w:tcPr>
          <w:p w14:paraId="5EA203A9" w14:textId="77777777" w:rsidR="003C66EB" w:rsidRDefault="003C66EB">
            <w:pPr>
              <w:rPr>
                <w:rFonts w:ascii="宋体"/>
                <w:vanish/>
              </w:rPr>
            </w:pPr>
          </w:p>
        </w:tc>
        <w:tc>
          <w:tcPr>
            <w:tcW w:w="0" w:type="auto"/>
            <w:gridSpan w:val="3"/>
            <w:shd w:val="clear" w:color="auto" w:fill="auto"/>
          </w:tcPr>
          <w:p w14:paraId="5EA203AA" w14:textId="77777777" w:rsidR="003C66EB" w:rsidRDefault="003C66EB">
            <w:pPr>
              <w:rPr>
                <w:rFonts w:ascii="宋体"/>
                <w:vanish/>
              </w:rPr>
            </w:pPr>
          </w:p>
        </w:tc>
        <w:tc>
          <w:tcPr>
            <w:tcW w:w="0" w:type="auto"/>
            <w:gridSpan w:val="3"/>
            <w:shd w:val="clear" w:color="auto" w:fill="auto"/>
          </w:tcPr>
          <w:p w14:paraId="5EA203AB" w14:textId="77777777" w:rsidR="003C66EB" w:rsidRDefault="003C66EB">
            <w:pPr>
              <w:rPr>
                <w:rFonts w:ascii="宋体"/>
                <w:vanish/>
              </w:rPr>
            </w:pPr>
          </w:p>
        </w:tc>
      </w:tr>
    </w:tbl>
    <w:p w14:paraId="5EA203AD"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3C66EB" w14:paraId="5EA203BA" w14:textId="77777777">
        <w:tc>
          <w:tcPr>
            <w:tcW w:w="50" w:type="pct"/>
            <w:shd w:val="clear" w:color="auto" w:fill="auto"/>
          </w:tcPr>
          <w:p w14:paraId="5EA203AE" w14:textId="77777777" w:rsidR="003C66EB" w:rsidRDefault="003C66EB">
            <w:pPr>
              <w:rPr>
                <w:rFonts w:ascii="宋体"/>
              </w:rPr>
            </w:pPr>
          </w:p>
        </w:tc>
        <w:tc>
          <w:tcPr>
            <w:tcW w:w="2374" w:type="pct"/>
            <w:shd w:val="clear" w:color="auto" w:fill="auto"/>
          </w:tcPr>
          <w:p w14:paraId="5EA203AF" w14:textId="77777777" w:rsidR="003C66EB" w:rsidRDefault="003C66EB">
            <w:pPr>
              <w:rPr>
                <w:rFonts w:ascii="宋体"/>
              </w:rPr>
            </w:pPr>
          </w:p>
        </w:tc>
        <w:tc>
          <w:tcPr>
            <w:tcW w:w="5" w:type="pct"/>
            <w:shd w:val="clear" w:color="auto" w:fill="auto"/>
          </w:tcPr>
          <w:p w14:paraId="5EA203B0" w14:textId="77777777" w:rsidR="003C66EB" w:rsidRDefault="003C66EB">
            <w:pPr>
              <w:rPr>
                <w:rFonts w:ascii="宋体"/>
              </w:rPr>
            </w:pPr>
          </w:p>
        </w:tc>
        <w:tc>
          <w:tcPr>
            <w:tcW w:w="50" w:type="pct"/>
            <w:shd w:val="clear" w:color="auto" w:fill="auto"/>
          </w:tcPr>
          <w:p w14:paraId="5EA203B1" w14:textId="77777777" w:rsidR="003C66EB" w:rsidRDefault="003C66EB">
            <w:pPr>
              <w:rPr>
                <w:rFonts w:ascii="宋体"/>
              </w:rPr>
            </w:pPr>
          </w:p>
        </w:tc>
        <w:tc>
          <w:tcPr>
            <w:tcW w:w="148" w:type="pct"/>
            <w:shd w:val="clear" w:color="auto" w:fill="auto"/>
          </w:tcPr>
          <w:p w14:paraId="5EA203B2" w14:textId="77777777" w:rsidR="003C66EB" w:rsidRDefault="003C66EB">
            <w:pPr>
              <w:rPr>
                <w:rFonts w:ascii="宋体"/>
              </w:rPr>
            </w:pPr>
          </w:p>
        </w:tc>
        <w:tc>
          <w:tcPr>
            <w:tcW w:w="5" w:type="pct"/>
            <w:shd w:val="clear" w:color="auto" w:fill="auto"/>
          </w:tcPr>
          <w:p w14:paraId="5EA203B3" w14:textId="77777777" w:rsidR="003C66EB" w:rsidRDefault="003C66EB">
            <w:pPr>
              <w:rPr>
                <w:rFonts w:ascii="宋体"/>
              </w:rPr>
            </w:pPr>
          </w:p>
        </w:tc>
        <w:tc>
          <w:tcPr>
            <w:tcW w:w="50" w:type="pct"/>
            <w:shd w:val="clear" w:color="auto" w:fill="auto"/>
          </w:tcPr>
          <w:p w14:paraId="5EA203B4" w14:textId="77777777" w:rsidR="003C66EB" w:rsidRDefault="003C66EB">
            <w:pPr>
              <w:rPr>
                <w:rFonts w:ascii="宋体"/>
              </w:rPr>
            </w:pPr>
          </w:p>
        </w:tc>
        <w:tc>
          <w:tcPr>
            <w:tcW w:w="681" w:type="pct"/>
            <w:shd w:val="clear" w:color="auto" w:fill="auto"/>
          </w:tcPr>
          <w:p w14:paraId="5EA203B5" w14:textId="77777777" w:rsidR="003C66EB" w:rsidRDefault="003C66EB">
            <w:pPr>
              <w:rPr>
                <w:rFonts w:ascii="宋体"/>
              </w:rPr>
            </w:pPr>
          </w:p>
        </w:tc>
        <w:tc>
          <w:tcPr>
            <w:tcW w:w="5" w:type="pct"/>
            <w:shd w:val="clear" w:color="auto" w:fill="auto"/>
          </w:tcPr>
          <w:p w14:paraId="5EA203B6" w14:textId="77777777" w:rsidR="003C66EB" w:rsidRDefault="003C66EB">
            <w:pPr>
              <w:rPr>
                <w:rFonts w:ascii="宋体"/>
              </w:rPr>
            </w:pPr>
          </w:p>
        </w:tc>
        <w:tc>
          <w:tcPr>
            <w:tcW w:w="50" w:type="pct"/>
            <w:shd w:val="clear" w:color="auto" w:fill="auto"/>
          </w:tcPr>
          <w:p w14:paraId="5EA203B7" w14:textId="77777777" w:rsidR="003C66EB" w:rsidRDefault="003C66EB">
            <w:pPr>
              <w:rPr>
                <w:rFonts w:ascii="宋体"/>
              </w:rPr>
            </w:pPr>
          </w:p>
        </w:tc>
        <w:tc>
          <w:tcPr>
            <w:tcW w:w="1575" w:type="pct"/>
            <w:shd w:val="clear" w:color="auto" w:fill="auto"/>
          </w:tcPr>
          <w:p w14:paraId="5EA203B8" w14:textId="77777777" w:rsidR="003C66EB" w:rsidRDefault="003C66EB">
            <w:pPr>
              <w:rPr>
                <w:rFonts w:ascii="宋体"/>
              </w:rPr>
            </w:pPr>
          </w:p>
        </w:tc>
        <w:tc>
          <w:tcPr>
            <w:tcW w:w="5" w:type="pct"/>
            <w:shd w:val="clear" w:color="auto" w:fill="auto"/>
          </w:tcPr>
          <w:p w14:paraId="5EA203B9" w14:textId="77777777" w:rsidR="003C66EB" w:rsidRDefault="003C66EB">
            <w:pPr>
              <w:rPr>
                <w:rFonts w:ascii="宋体"/>
              </w:rPr>
            </w:pPr>
          </w:p>
        </w:tc>
      </w:tr>
      <w:tr w:rsidR="003C66EB" w14:paraId="5EA203B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3B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3B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3B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3BE" w14:textId="77777777" w:rsidR="003C66EB" w:rsidRDefault="003C66EB">
            <w:pPr>
              <w:rPr>
                <w:rFonts w:ascii="宋体"/>
              </w:rPr>
            </w:pPr>
          </w:p>
        </w:tc>
      </w:tr>
    </w:tbl>
    <w:p w14:paraId="5EA203C0" w14:textId="77777777" w:rsidR="003C66EB" w:rsidRDefault="00D96C4E">
      <w:pPr>
        <w:spacing w:before="60"/>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w:t>
      </w:r>
      <w:r>
        <w:rPr>
          <w:rFonts w:ascii="Arial" w:eastAsia="宋体" w:hAnsi="Arial" w:cs="Arial"/>
          <w:color w:val="000000"/>
          <w:sz w:val="14"/>
          <w:szCs w:val="14"/>
        </w:rPr>
        <w:t>Domestic and foreign categorization is based on the borrower’s country of domicile.</w:t>
      </w:r>
    </w:p>
    <w:p w14:paraId="5EA203C1" w14:textId="77777777" w:rsidR="003C66EB" w:rsidRDefault="00D96C4E">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Fund finance loans include primarily $6,288 million loans to real money funds, $8,450 million private equity capital call finance loans and </w:t>
      </w:r>
      <w:r>
        <w:rPr>
          <w:rFonts w:ascii="Arial" w:eastAsia="宋体" w:hAnsi="Arial" w:cs="Arial"/>
          <w:color w:val="000000"/>
          <w:sz w:val="14"/>
          <w:szCs w:val="14"/>
        </w:rPr>
        <w:t>$832 million loans to business development companies as of March 31, 2021, compared to $6,391 million loans to real money funds, $8,380 million private equity capital call finance loans and $821 million loans to business development companies as of Decembe</w:t>
      </w:r>
      <w:r>
        <w:rPr>
          <w:rFonts w:ascii="Arial" w:eastAsia="宋体" w:hAnsi="Arial" w:cs="Arial"/>
          <w:color w:val="000000"/>
          <w:sz w:val="14"/>
          <w:szCs w:val="14"/>
        </w:rPr>
        <w:t>r 31, 2020.</w:t>
      </w:r>
    </w:p>
    <w:p w14:paraId="5EA203C2" w14:textId="77777777" w:rsidR="003C66EB" w:rsidRDefault="00D96C4E">
      <w:pPr>
        <w:spacing w:before="6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 xml:space="preserve">Includes $1,110 million securities finance loans, $831 million loans to municipalities and $51 million other loans as of March 31, 2021 and $1,911 million securities finance loans, $754 million loans to municipalities and $54 million other </w:t>
      </w:r>
      <w:r>
        <w:rPr>
          <w:rFonts w:ascii="Arial" w:eastAsia="宋体" w:hAnsi="Arial" w:cs="Arial"/>
          <w:color w:val="000000"/>
          <w:sz w:val="14"/>
          <w:szCs w:val="14"/>
        </w:rPr>
        <w:t>loans as of December 31, 2020.</w:t>
      </w:r>
    </w:p>
    <w:p w14:paraId="5EA203C3" w14:textId="77777777" w:rsidR="003C66EB" w:rsidRDefault="00D96C4E">
      <w:pPr>
        <w:spacing w:before="60"/>
        <w:jc w:val="both"/>
        <w:textAlignment w:val="top"/>
      </w:pPr>
      <w:r>
        <w:rPr>
          <w:rFonts w:ascii="Arial" w:eastAsia="宋体" w:hAnsi="Arial" w:cs="Arial"/>
          <w:color w:val="000000"/>
          <w:sz w:val="9"/>
          <w:szCs w:val="9"/>
        </w:rPr>
        <w:t>(4)</w:t>
      </w:r>
      <w:r>
        <w:rPr>
          <w:rFonts w:ascii="Arial" w:eastAsia="宋体" w:hAnsi="Arial" w:cs="Arial"/>
          <w:color w:val="000000"/>
          <w:sz w:val="14"/>
          <w:szCs w:val="14"/>
        </w:rPr>
        <w:t xml:space="preserve"> As of March 31, 2021, floating rate loans totaled $21,118 million and fixed rate loans totaled $3,003 million.</w:t>
      </w:r>
    </w:p>
    <w:p w14:paraId="5EA203C4" w14:textId="77777777" w:rsidR="003C66EB" w:rsidRDefault="00D96C4E">
      <w:pPr>
        <w:spacing w:before="60"/>
        <w:ind w:firstLine="450"/>
        <w:jc w:val="both"/>
        <w:textAlignment w:val="top"/>
      </w:pPr>
      <w:r>
        <w:rPr>
          <w:rFonts w:ascii="Arial" w:eastAsia="宋体" w:hAnsi="Arial" w:cs="Arial"/>
          <w:color w:val="000000"/>
          <w:sz w:val="20"/>
          <w:szCs w:val="20"/>
        </w:rPr>
        <w:t>The increase in domestic loans in the commercial and financial segment as of March 31, 2021 compared to Decemb</w:t>
      </w:r>
      <w:r>
        <w:rPr>
          <w:rFonts w:ascii="Arial" w:eastAsia="宋体" w:hAnsi="Arial" w:cs="Arial"/>
          <w:color w:val="000000"/>
          <w:sz w:val="20"/>
          <w:szCs w:val="20"/>
        </w:rPr>
        <w:t>er 31, 2020 was primarily driven by an increase in overdrafts.</w:t>
      </w:r>
    </w:p>
    <w:p w14:paraId="5EA203C5" w14:textId="77777777" w:rsidR="003C66EB" w:rsidRDefault="00D96C4E">
      <w:pPr>
        <w:ind w:firstLine="450"/>
        <w:jc w:val="both"/>
        <w:textAlignment w:val="top"/>
      </w:pPr>
      <w:r>
        <w:rPr>
          <w:rFonts w:ascii="Arial" w:eastAsia="宋体" w:hAnsi="Arial" w:cs="Arial"/>
          <w:color w:val="000000"/>
          <w:sz w:val="20"/>
          <w:szCs w:val="20"/>
        </w:rPr>
        <w:t xml:space="preserve">As of March 31, 2021 and December 31, 2020, our leveraged loans totaled approximately $4.21 billion and $4.17 billion, respectively. We sold $42 million of leveraged loans in the first quarter </w:t>
      </w:r>
      <w:r>
        <w:rPr>
          <w:rFonts w:ascii="Arial" w:eastAsia="宋体" w:hAnsi="Arial" w:cs="Arial"/>
          <w:color w:val="000000"/>
          <w:sz w:val="20"/>
          <w:szCs w:val="20"/>
        </w:rPr>
        <w:t xml:space="preserve">of 2021, of which $7 million remained unsettled and was held for sale as of March 31, 2021. </w:t>
      </w:r>
    </w:p>
    <w:p w14:paraId="5EA203C6" w14:textId="77777777" w:rsidR="003C66EB" w:rsidRDefault="00D96C4E">
      <w:pPr>
        <w:spacing w:before="60"/>
        <w:ind w:firstLine="450"/>
        <w:jc w:val="both"/>
        <w:textAlignment w:val="top"/>
      </w:pPr>
      <w:r>
        <w:rPr>
          <w:rFonts w:ascii="Arial" w:eastAsia="宋体" w:hAnsi="Arial" w:cs="Arial"/>
          <w:color w:val="000000"/>
          <w:sz w:val="20"/>
          <w:szCs w:val="20"/>
        </w:rPr>
        <w:t xml:space="preserve">In addition, we had binding unfunded commitments as of March 31, 2021 and December 31, 2020 of $466 million and $149 million, respectively, to participate in such </w:t>
      </w:r>
      <w:r>
        <w:rPr>
          <w:rFonts w:ascii="Arial" w:eastAsia="宋体" w:hAnsi="Arial" w:cs="Arial"/>
          <w:color w:val="000000"/>
          <w:sz w:val="20"/>
          <w:szCs w:val="20"/>
        </w:rPr>
        <w:t xml:space="preserve">syndications. Additional information about these unfunded </w:t>
      </w:r>
    </w:p>
    <w:p w14:paraId="5EA203C7" w14:textId="77777777" w:rsidR="003C66EB" w:rsidRDefault="00D96C4E">
      <w:pPr>
        <w:spacing w:before="60"/>
        <w:jc w:val="both"/>
        <w:textAlignment w:val="top"/>
      </w:pPr>
      <w:r>
        <w:rPr>
          <w:rFonts w:ascii="Arial" w:eastAsia="宋体" w:hAnsi="Arial" w:cs="Arial"/>
          <w:color w:val="000000"/>
          <w:sz w:val="20"/>
          <w:szCs w:val="20"/>
        </w:rPr>
        <w:t>commitments is provided in Note 9 to the consolidated financial statements in this Form 10-Q.</w:t>
      </w:r>
    </w:p>
    <w:p w14:paraId="5EA203C8" w14:textId="77777777" w:rsidR="003C66EB" w:rsidRDefault="00D96C4E">
      <w:pPr>
        <w:spacing w:before="60"/>
        <w:ind w:firstLine="450"/>
        <w:jc w:val="both"/>
        <w:textAlignment w:val="top"/>
      </w:pPr>
      <w:r>
        <w:rPr>
          <w:rFonts w:ascii="Arial" w:eastAsia="宋体" w:hAnsi="Arial" w:cs="Arial"/>
          <w:color w:val="000000"/>
          <w:sz w:val="20"/>
          <w:szCs w:val="20"/>
        </w:rPr>
        <w:t>These leveraged loans, which are primarily rated “speculative” under our internal risk-rating framework</w:t>
      </w:r>
      <w:r>
        <w:rPr>
          <w:rFonts w:ascii="Arial" w:eastAsia="宋体" w:hAnsi="Arial" w:cs="Arial"/>
          <w:color w:val="000000"/>
          <w:sz w:val="20"/>
          <w:szCs w:val="20"/>
        </w:rPr>
        <w:t xml:space="preserve"> (refer to Note 4 to the consolidated financial statements in this Form 10-Q), are externally rated “BBB,” “BB” or “B,” with approximately 86% and 85% of the loans rated “BB” or “B” as of March 31, 2021 and December 31, 2020, respectively. Our investment s</w:t>
      </w:r>
      <w:r>
        <w:rPr>
          <w:rFonts w:ascii="Arial" w:eastAsia="宋体" w:hAnsi="Arial" w:cs="Arial"/>
          <w:color w:val="000000"/>
          <w:sz w:val="20"/>
          <w:szCs w:val="20"/>
        </w:rPr>
        <w:t xml:space="preserve">trategy involves generally limiting our investment to larger, more liquid credits underwritten by major global financial institutions, applying our internal credit analysis process to each potential investment and diversifying our exposure by counterparty </w:t>
      </w:r>
      <w:r>
        <w:rPr>
          <w:rFonts w:ascii="Arial" w:eastAsia="宋体" w:hAnsi="Arial" w:cs="Arial"/>
          <w:color w:val="000000"/>
          <w:sz w:val="20"/>
          <w:szCs w:val="20"/>
        </w:rPr>
        <w:t xml:space="preserve">and industry segment. However, these loans have significant exposure to credit losses relative to higher-rated loans in our portfolio. </w:t>
      </w:r>
    </w:p>
    <w:p w14:paraId="5EA203C9" w14:textId="77777777" w:rsidR="003C66EB" w:rsidRDefault="00D96C4E">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Note 4 to the conso</w:t>
      </w:r>
      <w:r>
        <w:rPr>
          <w:rFonts w:ascii="Arial" w:eastAsia="宋体" w:hAnsi="Arial" w:cs="Arial"/>
          <w:color w:val="000000"/>
          <w:sz w:val="20"/>
          <w:szCs w:val="20"/>
        </w:rPr>
        <w:t>lidated financial statements in this Form 10-Q.</w:t>
      </w:r>
    </w:p>
    <w:p w14:paraId="5EA203CA" w14:textId="77777777" w:rsidR="003C66EB" w:rsidRDefault="00D96C4E">
      <w:pPr>
        <w:spacing w:before="60"/>
        <w:ind w:firstLine="450"/>
        <w:jc w:val="both"/>
        <w:textAlignment w:val="top"/>
      </w:pPr>
      <w:r>
        <w:rPr>
          <w:rFonts w:ascii="Arial" w:eastAsia="宋体" w:hAnsi="Arial" w:cs="Arial"/>
          <w:color w:val="000000"/>
          <w:sz w:val="20"/>
          <w:szCs w:val="20"/>
        </w:rPr>
        <w:t>No loans were modified in troubled debt restructurings as of both March 31, 2021 and December 31, 2020.</w:t>
      </w:r>
    </w:p>
    <w:p w14:paraId="5EA203CB" w14:textId="77777777" w:rsidR="003C66EB" w:rsidRDefault="00D96C4E">
      <w:pPr>
        <w:spacing w:before="60"/>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0"/>
        <w:gridCol w:w="3559"/>
        <w:gridCol w:w="40"/>
        <w:gridCol w:w="99"/>
        <w:gridCol w:w="1803"/>
        <w:gridCol w:w="37"/>
        <w:gridCol w:w="36"/>
        <w:gridCol w:w="65"/>
        <w:gridCol w:w="36"/>
        <w:gridCol w:w="98"/>
        <w:gridCol w:w="180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203DF" w14:textId="77777777">
        <w:tc>
          <w:tcPr>
            <w:tcW w:w="50" w:type="pct"/>
            <w:shd w:val="clear" w:color="auto" w:fill="auto"/>
          </w:tcPr>
          <w:p w14:paraId="5EA203CC" w14:textId="77777777" w:rsidR="003C66EB" w:rsidRDefault="003C66EB">
            <w:pPr>
              <w:rPr>
                <w:rFonts w:ascii="宋体"/>
              </w:rPr>
            </w:pPr>
          </w:p>
        </w:tc>
        <w:tc>
          <w:tcPr>
            <w:tcW w:w="2350" w:type="pct"/>
            <w:shd w:val="clear" w:color="auto" w:fill="auto"/>
          </w:tcPr>
          <w:p w14:paraId="5EA203CD" w14:textId="77777777" w:rsidR="003C66EB" w:rsidRDefault="003C66EB">
            <w:pPr>
              <w:rPr>
                <w:rFonts w:ascii="宋体"/>
              </w:rPr>
            </w:pPr>
          </w:p>
        </w:tc>
        <w:tc>
          <w:tcPr>
            <w:tcW w:w="5" w:type="pct"/>
            <w:shd w:val="clear" w:color="auto" w:fill="auto"/>
          </w:tcPr>
          <w:p w14:paraId="5EA203CE" w14:textId="77777777" w:rsidR="003C66EB" w:rsidRDefault="003C66EB">
            <w:pPr>
              <w:rPr>
                <w:rFonts w:ascii="宋体"/>
              </w:rPr>
            </w:pPr>
          </w:p>
        </w:tc>
        <w:tc>
          <w:tcPr>
            <w:tcW w:w="50" w:type="pct"/>
            <w:shd w:val="clear" w:color="auto" w:fill="auto"/>
          </w:tcPr>
          <w:p w14:paraId="5EA203CF" w14:textId="77777777" w:rsidR="003C66EB" w:rsidRDefault="003C66EB">
            <w:pPr>
              <w:rPr>
                <w:rFonts w:ascii="宋体"/>
              </w:rPr>
            </w:pPr>
          </w:p>
        </w:tc>
        <w:tc>
          <w:tcPr>
            <w:tcW w:w="1202" w:type="pct"/>
            <w:shd w:val="clear" w:color="auto" w:fill="auto"/>
          </w:tcPr>
          <w:p w14:paraId="5EA203D0" w14:textId="77777777" w:rsidR="003C66EB" w:rsidRDefault="003C66EB">
            <w:pPr>
              <w:rPr>
                <w:rFonts w:ascii="宋体"/>
              </w:rPr>
            </w:pPr>
          </w:p>
        </w:tc>
        <w:tc>
          <w:tcPr>
            <w:tcW w:w="5" w:type="pct"/>
            <w:shd w:val="clear" w:color="auto" w:fill="auto"/>
          </w:tcPr>
          <w:p w14:paraId="5EA203D1" w14:textId="77777777" w:rsidR="003C66EB" w:rsidRDefault="003C66EB">
            <w:pPr>
              <w:rPr>
                <w:rFonts w:ascii="宋体"/>
              </w:rPr>
            </w:pPr>
          </w:p>
        </w:tc>
        <w:tc>
          <w:tcPr>
            <w:tcW w:w="5" w:type="pct"/>
            <w:shd w:val="clear" w:color="auto" w:fill="auto"/>
          </w:tcPr>
          <w:p w14:paraId="5EA203D2" w14:textId="77777777" w:rsidR="003C66EB" w:rsidRDefault="003C66EB">
            <w:pPr>
              <w:rPr>
                <w:rFonts w:ascii="宋体"/>
              </w:rPr>
            </w:pPr>
          </w:p>
        </w:tc>
        <w:tc>
          <w:tcPr>
            <w:tcW w:w="68" w:type="pct"/>
            <w:shd w:val="clear" w:color="auto" w:fill="auto"/>
          </w:tcPr>
          <w:p w14:paraId="5EA203D3" w14:textId="77777777" w:rsidR="003C66EB" w:rsidRDefault="003C66EB">
            <w:pPr>
              <w:rPr>
                <w:rFonts w:ascii="宋体"/>
              </w:rPr>
            </w:pPr>
          </w:p>
        </w:tc>
        <w:tc>
          <w:tcPr>
            <w:tcW w:w="5" w:type="pct"/>
            <w:shd w:val="clear" w:color="auto" w:fill="auto"/>
          </w:tcPr>
          <w:p w14:paraId="5EA203D4" w14:textId="77777777" w:rsidR="003C66EB" w:rsidRDefault="003C66EB">
            <w:pPr>
              <w:rPr>
                <w:rFonts w:ascii="宋体"/>
              </w:rPr>
            </w:pPr>
          </w:p>
        </w:tc>
        <w:tc>
          <w:tcPr>
            <w:tcW w:w="50" w:type="pct"/>
            <w:shd w:val="clear" w:color="auto" w:fill="auto"/>
          </w:tcPr>
          <w:p w14:paraId="5EA203D5" w14:textId="77777777" w:rsidR="003C66EB" w:rsidRDefault="003C66EB">
            <w:pPr>
              <w:rPr>
                <w:rFonts w:ascii="宋体"/>
              </w:rPr>
            </w:pPr>
          </w:p>
        </w:tc>
        <w:tc>
          <w:tcPr>
            <w:tcW w:w="1202" w:type="pct"/>
            <w:shd w:val="clear" w:color="auto" w:fill="auto"/>
          </w:tcPr>
          <w:p w14:paraId="5EA203D6" w14:textId="77777777" w:rsidR="003C66EB" w:rsidRDefault="003C66EB">
            <w:pPr>
              <w:rPr>
                <w:rFonts w:ascii="宋体"/>
              </w:rPr>
            </w:pPr>
          </w:p>
        </w:tc>
        <w:tc>
          <w:tcPr>
            <w:tcW w:w="5" w:type="pct"/>
            <w:shd w:val="clear" w:color="auto" w:fill="auto"/>
          </w:tcPr>
          <w:p w14:paraId="5EA203D7" w14:textId="77777777" w:rsidR="003C66EB" w:rsidRDefault="003C66EB">
            <w:pPr>
              <w:rPr>
                <w:rFonts w:ascii="宋体"/>
              </w:rPr>
            </w:pPr>
          </w:p>
        </w:tc>
        <w:tc>
          <w:tcPr>
            <w:tcW w:w="0" w:type="auto"/>
            <w:shd w:val="clear" w:color="auto" w:fill="auto"/>
          </w:tcPr>
          <w:p w14:paraId="5EA203D8" w14:textId="77777777" w:rsidR="003C66EB" w:rsidRDefault="003C66EB">
            <w:pPr>
              <w:rPr>
                <w:rFonts w:ascii="宋体"/>
                <w:vanish/>
              </w:rPr>
            </w:pPr>
          </w:p>
        </w:tc>
        <w:tc>
          <w:tcPr>
            <w:tcW w:w="0" w:type="auto"/>
            <w:gridSpan w:val="3"/>
            <w:shd w:val="clear" w:color="auto" w:fill="auto"/>
          </w:tcPr>
          <w:p w14:paraId="5EA203D9" w14:textId="77777777" w:rsidR="003C66EB" w:rsidRDefault="003C66EB">
            <w:pPr>
              <w:rPr>
                <w:rFonts w:ascii="宋体"/>
                <w:vanish/>
              </w:rPr>
            </w:pPr>
          </w:p>
        </w:tc>
        <w:tc>
          <w:tcPr>
            <w:tcW w:w="0" w:type="auto"/>
            <w:gridSpan w:val="3"/>
            <w:shd w:val="clear" w:color="auto" w:fill="auto"/>
          </w:tcPr>
          <w:p w14:paraId="5EA203DA" w14:textId="77777777" w:rsidR="003C66EB" w:rsidRDefault="003C66EB">
            <w:pPr>
              <w:rPr>
                <w:rFonts w:ascii="宋体"/>
                <w:vanish/>
              </w:rPr>
            </w:pPr>
          </w:p>
        </w:tc>
        <w:tc>
          <w:tcPr>
            <w:tcW w:w="0" w:type="auto"/>
            <w:gridSpan w:val="3"/>
            <w:shd w:val="clear" w:color="auto" w:fill="auto"/>
          </w:tcPr>
          <w:p w14:paraId="5EA203DB" w14:textId="77777777" w:rsidR="003C66EB" w:rsidRDefault="003C66EB">
            <w:pPr>
              <w:rPr>
                <w:rFonts w:ascii="宋体"/>
                <w:vanish/>
              </w:rPr>
            </w:pPr>
          </w:p>
        </w:tc>
        <w:tc>
          <w:tcPr>
            <w:tcW w:w="0" w:type="auto"/>
            <w:gridSpan w:val="3"/>
            <w:shd w:val="clear" w:color="auto" w:fill="auto"/>
          </w:tcPr>
          <w:p w14:paraId="5EA203DC" w14:textId="77777777" w:rsidR="003C66EB" w:rsidRDefault="003C66EB">
            <w:pPr>
              <w:rPr>
                <w:rFonts w:ascii="宋体"/>
                <w:vanish/>
              </w:rPr>
            </w:pPr>
          </w:p>
        </w:tc>
        <w:tc>
          <w:tcPr>
            <w:tcW w:w="0" w:type="auto"/>
            <w:gridSpan w:val="3"/>
            <w:shd w:val="clear" w:color="auto" w:fill="auto"/>
          </w:tcPr>
          <w:p w14:paraId="5EA203DD" w14:textId="77777777" w:rsidR="003C66EB" w:rsidRDefault="003C66EB">
            <w:pPr>
              <w:rPr>
                <w:rFonts w:ascii="宋体"/>
                <w:vanish/>
              </w:rPr>
            </w:pPr>
          </w:p>
        </w:tc>
        <w:tc>
          <w:tcPr>
            <w:tcW w:w="0" w:type="auto"/>
            <w:gridSpan w:val="3"/>
            <w:shd w:val="clear" w:color="auto" w:fill="auto"/>
          </w:tcPr>
          <w:p w14:paraId="5EA203DE" w14:textId="77777777" w:rsidR="003C66EB" w:rsidRDefault="003C66EB">
            <w:pPr>
              <w:rPr>
                <w:rFonts w:ascii="宋体"/>
                <w:vanish/>
              </w:rPr>
            </w:pPr>
          </w:p>
        </w:tc>
      </w:tr>
      <w:tr w:rsidR="003C66EB" w14:paraId="5EA203F4" w14:textId="77777777">
        <w:tc>
          <w:tcPr>
            <w:tcW w:w="0" w:type="auto"/>
            <w:gridSpan w:val="12"/>
            <w:shd w:val="clear" w:color="auto" w:fill="auto"/>
            <w:tcMar>
              <w:top w:w="40" w:type="dxa"/>
              <w:left w:w="20" w:type="dxa"/>
              <w:bottom w:w="40" w:type="dxa"/>
              <w:right w:w="20" w:type="dxa"/>
            </w:tcMar>
            <w:vAlign w:val="bottom"/>
          </w:tcPr>
          <w:p w14:paraId="5EA203E0" w14:textId="77777777" w:rsidR="003C66EB" w:rsidRDefault="00D96C4E">
            <w:pPr>
              <w:textAlignment w:val="bottom"/>
            </w:pPr>
            <w:r>
              <w:rPr>
                <w:rFonts w:ascii="Arial" w:eastAsia="宋体" w:hAnsi="Arial" w:cs="Arial"/>
                <w:b/>
                <w:bCs/>
                <w:color w:val="000000"/>
                <w:sz w:val="16"/>
                <w:szCs w:val="16"/>
              </w:rPr>
              <w:t>TABLE 26: ALLOWANCE FOR CREDIT LOSSES</w:t>
            </w:r>
          </w:p>
        </w:tc>
        <w:tc>
          <w:tcPr>
            <w:tcW w:w="0" w:type="auto"/>
            <w:shd w:val="clear" w:color="auto" w:fill="auto"/>
          </w:tcPr>
          <w:p w14:paraId="5EA203E1" w14:textId="77777777" w:rsidR="003C66EB" w:rsidRDefault="003C66EB">
            <w:pPr>
              <w:rPr>
                <w:rFonts w:ascii="宋体"/>
                <w:vanish/>
              </w:rPr>
            </w:pPr>
          </w:p>
        </w:tc>
        <w:tc>
          <w:tcPr>
            <w:tcW w:w="0" w:type="auto"/>
            <w:shd w:val="clear" w:color="auto" w:fill="auto"/>
          </w:tcPr>
          <w:p w14:paraId="5EA203E2" w14:textId="77777777" w:rsidR="003C66EB" w:rsidRDefault="003C66EB">
            <w:pPr>
              <w:rPr>
                <w:rFonts w:ascii="宋体"/>
              </w:rPr>
            </w:pPr>
          </w:p>
        </w:tc>
        <w:tc>
          <w:tcPr>
            <w:tcW w:w="0" w:type="auto"/>
            <w:shd w:val="clear" w:color="auto" w:fill="auto"/>
          </w:tcPr>
          <w:p w14:paraId="5EA203E3" w14:textId="77777777" w:rsidR="003C66EB" w:rsidRDefault="003C66EB">
            <w:pPr>
              <w:rPr>
                <w:rFonts w:ascii="宋体"/>
              </w:rPr>
            </w:pPr>
          </w:p>
        </w:tc>
        <w:tc>
          <w:tcPr>
            <w:tcW w:w="0" w:type="auto"/>
            <w:shd w:val="clear" w:color="auto" w:fill="auto"/>
          </w:tcPr>
          <w:p w14:paraId="5EA203E4" w14:textId="77777777" w:rsidR="003C66EB" w:rsidRDefault="003C66EB">
            <w:pPr>
              <w:rPr>
                <w:rFonts w:ascii="宋体"/>
              </w:rPr>
            </w:pPr>
          </w:p>
        </w:tc>
        <w:tc>
          <w:tcPr>
            <w:tcW w:w="0" w:type="auto"/>
            <w:shd w:val="clear" w:color="auto" w:fill="auto"/>
          </w:tcPr>
          <w:p w14:paraId="5EA203E5" w14:textId="77777777" w:rsidR="003C66EB" w:rsidRDefault="003C66EB">
            <w:pPr>
              <w:rPr>
                <w:rFonts w:ascii="宋体"/>
              </w:rPr>
            </w:pPr>
          </w:p>
        </w:tc>
        <w:tc>
          <w:tcPr>
            <w:tcW w:w="0" w:type="auto"/>
            <w:shd w:val="clear" w:color="auto" w:fill="auto"/>
          </w:tcPr>
          <w:p w14:paraId="5EA203E6" w14:textId="77777777" w:rsidR="003C66EB" w:rsidRDefault="003C66EB">
            <w:pPr>
              <w:rPr>
                <w:rFonts w:ascii="宋体"/>
              </w:rPr>
            </w:pPr>
          </w:p>
        </w:tc>
        <w:tc>
          <w:tcPr>
            <w:tcW w:w="0" w:type="auto"/>
            <w:shd w:val="clear" w:color="auto" w:fill="auto"/>
          </w:tcPr>
          <w:p w14:paraId="5EA203E7" w14:textId="77777777" w:rsidR="003C66EB" w:rsidRDefault="003C66EB">
            <w:pPr>
              <w:rPr>
                <w:rFonts w:ascii="宋体"/>
              </w:rPr>
            </w:pPr>
          </w:p>
        </w:tc>
        <w:tc>
          <w:tcPr>
            <w:tcW w:w="0" w:type="auto"/>
            <w:shd w:val="clear" w:color="auto" w:fill="auto"/>
          </w:tcPr>
          <w:p w14:paraId="5EA203E8" w14:textId="77777777" w:rsidR="003C66EB" w:rsidRDefault="003C66EB">
            <w:pPr>
              <w:rPr>
                <w:rFonts w:ascii="宋体"/>
              </w:rPr>
            </w:pPr>
          </w:p>
        </w:tc>
        <w:tc>
          <w:tcPr>
            <w:tcW w:w="0" w:type="auto"/>
            <w:shd w:val="clear" w:color="auto" w:fill="auto"/>
          </w:tcPr>
          <w:p w14:paraId="5EA203E9" w14:textId="77777777" w:rsidR="003C66EB" w:rsidRDefault="003C66EB">
            <w:pPr>
              <w:rPr>
                <w:rFonts w:ascii="宋体"/>
              </w:rPr>
            </w:pPr>
          </w:p>
        </w:tc>
        <w:tc>
          <w:tcPr>
            <w:tcW w:w="0" w:type="auto"/>
            <w:shd w:val="clear" w:color="auto" w:fill="auto"/>
          </w:tcPr>
          <w:p w14:paraId="5EA203EA" w14:textId="77777777" w:rsidR="003C66EB" w:rsidRDefault="003C66EB">
            <w:pPr>
              <w:rPr>
                <w:rFonts w:ascii="宋体"/>
              </w:rPr>
            </w:pPr>
          </w:p>
        </w:tc>
        <w:tc>
          <w:tcPr>
            <w:tcW w:w="0" w:type="auto"/>
            <w:shd w:val="clear" w:color="auto" w:fill="auto"/>
          </w:tcPr>
          <w:p w14:paraId="5EA203EB" w14:textId="77777777" w:rsidR="003C66EB" w:rsidRDefault="003C66EB">
            <w:pPr>
              <w:rPr>
                <w:rFonts w:ascii="宋体"/>
              </w:rPr>
            </w:pPr>
          </w:p>
        </w:tc>
        <w:tc>
          <w:tcPr>
            <w:tcW w:w="0" w:type="auto"/>
            <w:shd w:val="clear" w:color="auto" w:fill="auto"/>
          </w:tcPr>
          <w:p w14:paraId="5EA203EC" w14:textId="77777777" w:rsidR="003C66EB" w:rsidRDefault="003C66EB">
            <w:pPr>
              <w:rPr>
                <w:rFonts w:ascii="宋体"/>
              </w:rPr>
            </w:pPr>
          </w:p>
        </w:tc>
        <w:tc>
          <w:tcPr>
            <w:tcW w:w="0" w:type="auto"/>
            <w:shd w:val="clear" w:color="auto" w:fill="auto"/>
          </w:tcPr>
          <w:p w14:paraId="5EA203ED" w14:textId="77777777" w:rsidR="003C66EB" w:rsidRDefault="003C66EB">
            <w:pPr>
              <w:rPr>
                <w:rFonts w:ascii="宋体"/>
              </w:rPr>
            </w:pPr>
          </w:p>
        </w:tc>
        <w:tc>
          <w:tcPr>
            <w:tcW w:w="0" w:type="auto"/>
            <w:shd w:val="clear" w:color="auto" w:fill="auto"/>
          </w:tcPr>
          <w:p w14:paraId="5EA203EE" w14:textId="77777777" w:rsidR="003C66EB" w:rsidRDefault="003C66EB">
            <w:pPr>
              <w:rPr>
                <w:rFonts w:ascii="宋体"/>
              </w:rPr>
            </w:pPr>
          </w:p>
        </w:tc>
        <w:tc>
          <w:tcPr>
            <w:tcW w:w="0" w:type="auto"/>
            <w:shd w:val="clear" w:color="auto" w:fill="auto"/>
          </w:tcPr>
          <w:p w14:paraId="5EA203EF" w14:textId="77777777" w:rsidR="003C66EB" w:rsidRDefault="003C66EB">
            <w:pPr>
              <w:rPr>
                <w:rFonts w:ascii="宋体"/>
              </w:rPr>
            </w:pPr>
          </w:p>
        </w:tc>
        <w:tc>
          <w:tcPr>
            <w:tcW w:w="0" w:type="auto"/>
            <w:shd w:val="clear" w:color="auto" w:fill="auto"/>
          </w:tcPr>
          <w:p w14:paraId="5EA203F0" w14:textId="77777777" w:rsidR="003C66EB" w:rsidRDefault="003C66EB">
            <w:pPr>
              <w:rPr>
                <w:rFonts w:ascii="宋体"/>
              </w:rPr>
            </w:pPr>
          </w:p>
        </w:tc>
        <w:tc>
          <w:tcPr>
            <w:tcW w:w="0" w:type="auto"/>
            <w:shd w:val="clear" w:color="auto" w:fill="auto"/>
          </w:tcPr>
          <w:p w14:paraId="5EA203F1" w14:textId="77777777" w:rsidR="003C66EB" w:rsidRDefault="003C66EB">
            <w:pPr>
              <w:rPr>
                <w:rFonts w:ascii="宋体"/>
              </w:rPr>
            </w:pPr>
          </w:p>
        </w:tc>
        <w:tc>
          <w:tcPr>
            <w:tcW w:w="0" w:type="auto"/>
            <w:shd w:val="clear" w:color="auto" w:fill="auto"/>
          </w:tcPr>
          <w:p w14:paraId="5EA203F2" w14:textId="77777777" w:rsidR="003C66EB" w:rsidRDefault="003C66EB">
            <w:pPr>
              <w:rPr>
                <w:rFonts w:ascii="宋体"/>
              </w:rPr>
            </w:pPr>
          </w:p>
        </w:tc>
        <w:tc>
          <w:tcPr>
            <w:tcW w:w="0" w:type="auto"/>
            <w:shd w:val="clear" w:color="auto" w:fill="auto"/>
          </w:tcPr>
          <w:p w14:paraId="5EA203F3" w14:textId="77777777" w:rsidR="003C66EB" w:rsidRDefault="003C66EB">
            <w:pPr>
              <w:rPr>
                <w:rFonts w:ascii="宋体"/>
              </w:rPr>
            </w:pPr>
          </w:p>
        </w:tc>
      </w:tr>
      <w:tr w:rsidR="003C66EB" w14:paraId="5EA2040A" w14:textId="77777777">
        <w:tc>
          <w:tcPr>
            <w:tcW w:w="0" w:type="auto"/>
            <w:gridSpan w:val="3"/>
            <w:shd w:val="clear" w:color="auto" w:fill="auto"/>
            <w:tcMar>
              <w:top w:w="0" w:type="dxa"/>
              <w:left w:w="20" w:type="dxa"/>
              <w:bottom w:w="0" w:type="dxa"/>
              <w:right w:w="20" w:type="dxa"/>
            </w:tcMar>
          </w:tcPr>
          <w:p w14:paraId="5EA203F5"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03F6"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Pr>
          <w:p w14:paraId="5EA203F7" w14:textId="77777777" w:rsidR="003C66EB" w:rsidRDefault="003C66EB">
            <w:pPr>
              <w:rPr>
                <w:rFonts w:ascii="宋体"/>
                <w:vanish/>
              </w:rPr>
            </w:pPr>
          </w:p>
        </w:tc>
        <w:tc>
          <w:tcPr>
            <w:tcW w:w="0" w:type="auto"/>
            <w:shd w:val="clear" w:color="auto" w:fill="auto"/>
          </w:tcPr>
          <w:p w14:paraId="5EA203F8" w14:textId="77777777" w:rsidR="003C66EB" w:rsidRDefault="003C66EB">
            <w:pPr>
              <w:rPr>
                <w:rFonts w:ascii="宋体"/>
              </w:rPr>
            </w:pPr>
          </w:p>
        </w:tc>
        <w:tc>
          <w:tcPr>
            <w:tcW w:w="0" w:type="auto"/>
            <w:shd w:val="clear" w:color="auto" w:fill="auto"/>
          </w:tcPr>
          <w:p w14:paraId="5EA203F9" w14:textId="77777777" w:rsidR="003C66EB" w:rsidRDefault="003C66EB">
            <w:pPr>
              <w:rPr>
                <w:rFonts w:ascii="宋体"/>
              </w:rPr>
            </w:pPr>
          </w:p>
        </w:tc>
        <w:tc>
          <w:tcPr>
            <w:tcW w:w="0" w:type="auto"/>
            <w:shd w:val="clear" w:color="auto" w:fill="auto"/>
          </w:tcPr>
          <w:p w14:paraId="5EA203FA" w14:textId="77777777" w:rsidR="003C66EB" w:rsidRDefault="003C66EB">
            <w:pPr>
              <w:rPr>
                <w:rFonts w:ascii="宋体"/>
              </w:rPr>
            </w:pPr>
          </w:p>
        </w:tc>
        <w:tc>
          <w:tcPr>
            <w:tcW w:w="0" w:type="auto"/>
            <w:shd w:val="clear" w:color="auto" w:fill="auto"/>
          </w:tcPr>
          <w:p w14:paraId="5EA203FB" w14:textId="77777777" w:rsidR="003C66EB" w:rsidRDefault="003C66EB">
            <w:pPr>
              <w:rPr>
                <w:rFonts w:ascii="宋体"/>
              </w:rPr>
            </w:pPr>
          </w:p>
        </w:tc>
        <w:tc>
          <w:tcPr>
            <w:tcW w:w="0" w:type="auto"/>
            <w:shd w:val="clear" w:color="auto" w:fill="auto"/>
          </w:tcPr>
          <w:p w14:paraId="5EA203FC" w14:textId="77777777" w:rsidR="003C66EB" w:rsidRDefault="003C66EB">
            <w:pPr>
              <w:rPr>
                <w:rFonts w:ascii="宋体"/>
              </w:rPr>
            </w:pPr>
          </w:p>
        </w:tc>
        <w:tc>
          <w:tcPr>
            <w:tcW w:w="0" w:type="auto"/>
            <w:shd w:val="clear" w:color="auto" w:fill="auto"/>
          </w:tcPr>
          <w:p w14:paraId="5EA203FD" w14:textId="77777777" w:rsidR="003C66EB" w:rsidRDefault="003C66EB">
            <w:pPr>
              <w:rPr>
                <w:rFonts w:ascii="宋体"/>
              </w:rPr>
            </w:pPr>
          </w:p>
        </w:tc>
        <w:tc>
          <w:tcPr>
            <w:tcW w:w="0" w:type="auto"/>
            <w:shd w:val="clear" w:color="auto" w:fill="auto"/>
          </w:tcPr>
          <w:p w14:paraId="5EA203FE" w14:textId="77777777" w:rsidR="003C66EB" w:rsidRDefault="003C66EB">
            <w:pPr>
              <w:rPr>
                <w:rFonts w:ascii="宋体"/>
              </w:rPr>
            </w:pPr>
          </w:p>
        </w:tc>
        <w:tc>
          <w:tcPr>
            <w:tcW w:w="0" w:type="auto"/>
            <w:shd w:val="clear" w:color="auto" w:fill="auto"/>
          </w:tcPr>
          <w:p w14:paraId="5EA203FF" w14:textId="77777777" w:rsidR="003C66EB" w:rsidRDefault="003C66EB">
            <w:pPr>
              <w:rPr>
                <w:rFonts w:ascii="宋体"/>
              </w:rPr>
            </w:pPr>
          </w:p>
        </w:tc>
        <w:tc>
          <w:tcPr>
            <w:tcW w:w="0" w:type="auto"/>
            <w:shd w:val="clear" w:color="auto" w:fill="auto"/>
          </w:tcPr>
          <w:p w14:paraId="5EA20400" w14:textId="77777777" w:rsidR="003C66EB" w:rsidRDefault="003C66EB">
            <w:pPr>
              <w:rPr>
                <w:rFonts w:ascii="宋体"/>
              </w:rPr>
            </w:pPr>
          </w:p>
        </w:tc>
        <w:tc>
          <w:tcPr>
            <w:tcW w:w="0" w:type="auto"/>
            <w:shd w:val="clear" w:color="auto" w:fill="auto"/>
          </w:tcPr>
          <w:p w14:paraId="5EA20401" w14:textId="77777777" w:rsidR="003C66EB" w:rsidRDefault="003C66EB">
            <w:pPr>
              <w:rPr>
                <w:rFonts w:ascii="宋体"/>
              </w:rPr>
            </w:pPr>
          </w:p>
        </w:tc>
        <w:tc>
          <w:tcPr>
            <w:tcW w:w="0" w:type="auto"/>
            <w:shd w:val="clear" w:color="auto" w:fill="auto"/>
          </w:tcPr>
          <w:p w14:paraId="5EA20402" w14:textId="77777777" w:rsidR="003C66EB" w:rsidRDefault="003C66EB">
            <w:pPr>
              <w:rPr>
                <w:rFonts w:ascii="宋体"/>
              </w:rPr>
            </w:pPr>
          </w:p>
        </w:tc>
        <w:tc>
          <w:tcPr>
            <w:tcW w:w="0" w:type="auto"/>
            <w:shd w:val="clear" w:color="auto" w:fill="auto"/>
          </w:tcPr>
          <w:p w14:paraId="5EA20403" w14:textId="77777777" w:rsidR="003C66EB" w:rsidRDefault="003C66EB">
            <w:pPr>
              <w:rPr>
                <w:rFonts w:ascii="宋体"/>
              </w:rPr>
            </w:pPr>
          </w:p>
        </w:tc>
        <w:tc>
          <w:tcPr>
            <w:tcW w:w="0" w:type="auto"/>
            <w:shd w:val="clear" w:color="auto" w:fill="auto"/>
          </w:tcPr>
          <w:p w14:paraId="5EA20404" w14:textId="77777777" w:rsidR="003C66EB" w:rsidRDefault="003C66EB">
            <w:pPr>
              <w:rPr>
                <w:rFonts w:ascii="宋体"/>
              </w:rPr>
            </w:pPr>
          </w:p>
        </w:tc>
        <w:tc>
          <w:tcPr>
            <w:tcW w:w="0" w:type="auto"/>
            <w:shd w:val="clear" w:color="auto" w:fill="auto"/>
          </w:tcPr>
          <w:p w14:paraId="5EA20405" w14:textId="77777777" w:rsidR="003C66EB" w:rsidRDefault="003C66EB">
            <w:pPr>
              <w:rPr>
                <w:rFonts w:ascii="宋体"/>
              </w:rPr>
            </w:pPr>
          </w:p>
        </w:tc>
        <w:tc>
          <w:tcPr>
            <w:tcW w:w="0" w:type="auto"/>
            <w:shd w:val="clear" w:color="auto" w:fill="auto"/>
          </w:tcPr>
          <w:p w14:paraId="5EA20406" w14:textId="77777777" w:rsidR="003C66EB" w:rsidRDefault="003C66EB">
            <w:pPr>
              <w:rPr>
                <w:rFonts w:ascii="宋体"/>
              </w:rPr>
            </w:pPr>
          </w:p>
        </w:tc>
        <w:tc>
          <w:tcPr>
            <w:tcW w:w="0" w:type="auto"/>
            <w:shd w:val="clear" w:color="auto" w:fill="auto"/>
          </w:tcPr>
          <w:p w14:paraId="5EA20407" w14:textId="77777777" w:rsidR="003C66EB" w:rsidRDefault="003C66EB">
            <w:pPr>
              <w:rPr>
                <w:rFonts w:ascii="宋体"/>
              </w:rPr>
            </w:pPr>
          </w:p>
        </w:tc>
        <w:tc>
          <w:tcPr>
            <w:tcW w:w="0" w:type="auto"/>
            <w:shd w:val="clear" w:color="auto" w:fill="auto"/>
          </w:tcPr>
          <w:p w14:paraId="5EA20408" w14:textId="77777777" w:rsidR="003C66EB" w:rsidRDefault="003C66EB">
            <w:pPr>
              <w:rPr>
                <w:rFonts w:ascii="宋体"/>
              </w:rPr>
            </w:pPr>
          </w:p>
        </w:tc>
        <w:tc>
          <w:tcPr>
            <w:tcW w:w="0" w:type="auto"/>
            <w:shd w:val="clear" w:color="auto" w:fill="auto"/>
          </w:tcPr>
          <w:p w14:paraId="5EA20409" w14:textId="77777777" w:rsidR="003C66EB" w:rsidRDefault="003C66EB">
            <w:pPr>
              <w:rPr>
                <w:rFonts w:ascii="宋体"/>
              </w:rPr>
            </w:pPr>
          </w:p>
        </w:tc>
      </w:tr>
      <w:tr w:rsidR="003C66EB" w14:paraId="5EA20416" w14:textId="77777777">
        <w:tc>
          <w:tcPr>
            <w:tcW w:w="0" w:type="auto"/>
            <w:gridSpan w:val="3"/>
            <w:shd w:val="clear" w:color="auto" w:fill="auto"/>
            <w:tcMar>
              <w:top w:w="40" w:type="dxa"/>
              <w:left w:w="20" w:type="dxa"/>
              <w:bottom w:w="40" w:type="dxa"/>
              <w:right w:w="20" w:type="dxa"/>
            </w:tcMar>
            <w:vAlign w:val="bottom"/>
          </w:tcPr>
          <w:p w14:paraId="5EA2040B"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40C"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040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40E" w14:textId="77777777" w:rsidR="003C66EB" w:rsidRDefault="00D96C4E">
            <w:pPr>
              <w:jc w:val="center"/>
              <w:textAlignment w:val="bottom"/>
            </w:pPr>
            <w:r>
              <w:rPr>
                <w:rFonts w:ascii="Arial" w:eastAsia="宋体" w:hAnsi="Arial" w:cs="Arial"/>
                <w:b/>
                <w:bCs/>
                <w:color w:val="000000"/>
                <w:sz w:val="14"/>
                <w:szCs w:val="14"/>
              </w:rPr>
              <w:t>2020</w:t>
            </w:r>
          </w:p>
        </w:tc>
        <w:tc>
          <w:tcPr>
            <w:tcW w:w="0" w:type="auto"/>
            <w:shd w:val="clear" w:color="auto" w:fill="auto"/>
          </w:tcPr>
          <w:p w14:paraId="5EA2040F" w14:textId="77777777" w:rsidR="003C66EB" w:rsidRDefault="003C66EB">
            <w:pPr>
              <w:rPr>
                <w:rFonts w:ascii="宋体"/>
                <w:vanish/>
              </w:rPr>
            </w:pPr>
          </w:p>
        </w:tc>
        <w:tc>
          <w:tcPr>
            <w:tcW w:w="0" w:type="auto"/>
            <w:gridSpan w:val="3"/>
            <w:shd w:val="clear" w:color="auto" w:fill="auto"/>
          </w:tcPr>
          <w:p w14:paraId="5EA20410" w14:textId="77777777" w:rsidR="003C66EB" w:rsidRDefault="003C66EB">
            <w:pPr>
              <w:rPr>
                <w:rFonts w:ascii="宋体"/>
                <w:vanish/>
              </w:rPr>
            </w:pPr>
          </w:p>
        </w:tc>
        <w:tc>
          <w:tcPr>
            <w:tcW w:w="0" w:type="auto"/>
            <w:gridSpan w:val="3"/>
            <w:shd w:val="clear" w:color="auto" w:fill="auto"/>
          </w:tcPr>
          <w:p w14:paraId="5EA20411" w14:textId="77777777" w:rsidR="003C66EB" w:rsidRDefault="003C66EB">
            <w:pPr>
              <w:rPr>
                <w:rFonts w:ascii="宋体"/>
                <w:vanish/>
              </w:rPr>
            </w:pPr>
          </w:p>
        </w:tc>
        <w:tc>
          <w:tcPr>
            <w:tcW w:w="0" w:type="auto"/>
            <w:gridSpan w:val="3"/>
            <w:shd w:val="clear" w:color="auto" w:fill="auto"/>
          </w:tcPr>
          <w:p w14:paraId="5EA20412" w14:textId="77777777" w:rsidR="003C66EB" w:rsidRDefault="003C66EB">
            <w:pPr>
              <w:rPr>
                <w:rFonts w:ascii="宋体"/>
                <w:vanish/>
              </w:rPr>
            </w:pPr>
          </w:p>
        </w:tc>
        <w:tc>
          <w:tcPr>
            <w:tcW w:w="0" w:type="auto"/>
            <w:gridSpan w:val="3"/>
            <w:shd w:val="clear" w:color="auto" w:fill="auto"/>
          </w:tcPr>
          <w:p w14:paraId="5EA20413" w14:textId="77777777" w:rsidR="003C66EB" w:rsidRDefault="003C66EB">
            <w:pPr>
              <w:rPr>
                <w:rFonts w:ascii="宋体"/>
                <w:vanish/>
              </w:rPr>
            </w:pPr>
          </w:p>
        </w:tc>
        <w:tc>
          <w:tcPr>
            <w:tcW w:w="0" w:type="auto"/>
            <w:gridSpan w:val="3"/>
            <w:shd w:val="clear" w:color="auto" w:fill="auto"/>
          </w:tcPr>
          <w:p w14:paraId="5EA20414" w14:textId="77777777" w:rsidR="003C66EB" w:rsidRDefault="003C66EB">
            <w:pPr>
              <w:rPr>
                <w:rFonts w:ascii="宋体"/>
                <w:vanish/>
              </w:rPr>
            </w:pPr>
          </w:p>
        </w:tc>
        <w:tc>
          <w:tcPr>
            <w:tcW w:w="0" w:type="auto"/>
            <w:gridSpan w:val="3"/>
            <w:shd w:val="clear" w:color="auto" w:fill="auto"/>
          </w:tcPr>
          <w:p w14:paraId="5EA20415" w14:textId="77777777" w:rsidR="003C66EB" w:rsidRDefault="003C66EB">
            <w:pPr>
              <w:rPr>
                <w:rFonts w:ascii="宋体"/>
                <w:vanish/>
              </w:rPr>
            </w:pPr>
          </w:p>
        </w:tc>
      </w:tr>
      <w:tr w:rsidR="003C66EB" w14:paraId="5EA20422" w14:textId="77777777">
        <w:tc>
          <w:tcPr>
            <w:tcW w:w="0" w:type="auto"/>
            <w:gridSpan w:val="3"/>
            <w:shd w:val="clear" w:color="auto" w:fill="FFFFFF"/>
            <w:tcMar>
              <w:top w:w="40" w:type="dxa"/>
              <w:left w:w="20" w:type="dxa"/>
              <w:bottom w:w="40" w:type="dxa"/>
              <w:right w:w="20" w:type="dxa"/>
            </w:tcMar>
            <w:vAlign w:val="bottom"/>
          </w:tcPr>
          <w:p w14:paraId="5EA20417" w14:textId="77777777" w:rsidR="003C66EB" w:rsidRDefault="00D96C4E">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tcPr>
          <w:p w14:paraId="5EA2041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41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041A" w14:textId="77777777" w:rsidR="003C66EB" w:rsidRDefault="003C66EB">
            <w:pPr>
              <w:rPr>
                <w:rFonts w:ascii="宋体"/>
              </w:rPr>
            </w:pPr>
          </w:p>
        </w:tc>
        <w:tc>
          <w:tcPr>
            <w:tcW w:w="0" w:type="auto"/>
            <w:shd w:val="clear" w:color="auto" w:fill="auto"/>
          </w:tcPr>
          <w:p w14:paraId="5EA2041B" w14:textId="77777777" w:rsidR="003C66EB" w:rsidRDefault="003C66EB">
            <w:pPr>
              <w:rPr>
                <w:rFonts w:ascii="宋体"/>
                <w:vanish/>
              </w:rPr>
            </w:pPr>
          </w:p>
        </w:tc>
        <w:tc>
          <w:tcPr>
            <w:tcW w:w="0" w:type="auto"/>
            <w:gridSpan w:val="3"/>
            <w:shd w:val="clear" w:color="auto" w:fill="auto"/>
          </w:tcPr>
          <w:p w14:paraId="5EA2041C" w14:textId="77777777" w:rsidR="003C66EB" w:rsidRDefault="003C66EB">
            <w:pPr>
              <w:rPr>
                <w:rFonts w:ascii="宋体"/>
                <w:vanish/>
              </w:rPr>
            </w:pPr>
          </w:p>
        </w:tc>
        <w:tc>
          <w:tcPr>
            <w:tcW w:w="0" w:type="auto"/>
            <w:gridSpan w:val="3"/>
            <w:shd w:val="clear" w:color="auto" w:fill="auto"/>
          </w:tcPr>
          <w:p w14:paraId="5EA2041D" w14:textId="77777777" w:rsidR="003C66EB" w:rsidRDefault="003C66EB">
            <w:pPr>
              <w:rPr>
                <w:rFonts w:ascii="宋体"/>
                <w:vanish/>
              </w:rPr>
            </w:pPr>
          </w:p>
        </w:tc>
        <w:tc>
          <w:tcPr>
            <w:tcW w:w="0" w:type="auto"/>
            <w:gridSpan w:val="3"/>
            <w:shd w:val="clear" w:color="auto" w:fill="auto"/>
          </w:tcPr>
          <w:p w14:paraId="5EA2041E" w14:textId="77777777" w:rsidR="003C66EB" w:rsidRDefault="003C66EB">
            <w:pPr>
              <w:rPr>
                <w:rFonts w:ascii="宋体"/>
                <w:vanish/>
              </w:rPr>
            </w:pPr>
          </w:p>
        </w:tc>
        <w:tc>
          <w:tcPr>
            <w:tcW w:w="0" w:type="auto"/>
            <w:gridSpan w:val="3"/>
            <w:shd w:val="clear" w:color="auto" w:fill="auto"/>
          </w:tcPr>
          <w:p w14:paraId="5EA2041F" w14:textId="77777777" w:rsidR="003C66EB" w:rsidRDefault="003C66EB">
            <w:pPr>
              <w:rPr>
                <w:rFonts w:ascii="宋体"/>
                <w:vanish/>
              </w:rPr>
            </w:pPr>
          </w:p>
        </w:tc>
        <w:tc>
          <w:tcPr>
            <w:tcW w:w="0" w:type="auto"/>
            <w:gridSpan w:val="3"/>
            <w:shd w:val="clear" w:color="auto" w:fill="auto"/>
          </w:tcPr>
          <w:p w14:paraId="5EA20420" w14:textId="77777777" w:rsidR="003C66EB" w:rsidRDefault="003C66EB">
            <w:pPr>
              <w:rPr>
                <w:rFonts w:ascii="宋体"/>
                <w:vanish/>
              </w:rPr>
            </w:pPr>
          </w:p>
        </w:tc>
        <w:tc>
          <w:tcPr>
            <w:tcW w:w="0" w:type="auto"/>
            <w:gridSpan w:val="3"/>
            <w:shd w:val="clear" w:color="auto" w:fill="auto"/>
          </w:tcPr>
          <w:p w14:paraId="5EA20421" w14:textId="77777777" w:rsidR="003C66EB" w:rsidRDefault="003C66EB">
            <w:pPr>
              <w:rPr>
                <w:rFonts w:ascii="宋体"/>
                <w:vanish/>
              </w:rPr>
            </w:pPr>
          </w:p>
        </w:tc>
      </w:tr>
      <w:tr w:rsidR="003C66EB" w14:paraId="5EA20432" w14:textId="77777777">
        <w:tc>
          <w:tcPr>
            <w:tcW w:w="0" w:type="auto"/>
            <w:gridSpan w:val="3"/>
            <w:shd w:val="clear" w:color="auto" w:fill="CCEEFF"/>
            <w:tcMar>
              <w:top w:w="40" w:type="dxa"/>
              <w:left w:w="20" w:type="dxa"/>
              <w:bottom w:w="40" w:type="dxa"/>
              <w:right w:w="20" w:type="dxa"/>
            </w:tcMar>
            <w:vAlign w:val="bottom"/>
          </w:tcPr>
          <w:p w14:paraId="5EA20423" w14:textId="77777777" w:rsidR="003C66EB" w:rsidRDefault="00D96C4E">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A2042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0425" w14:textId="77777777" w:rsidR="003C66EB" w:rsidRDefault="00D96C4E">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2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428"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0429" w14:textId="77777777" w:rsidR="003C66EB" w:rsidRDefault="00D96C4E">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A2042A" w14:textId="77777777" w:rsidR="003C66EB" w:rsidRDefault="003C66EB">
            <w:pPr>
              <w:jc w:val="right"/>
              <w:rPr>
                <w:rFonts w:ascii="宋体"/>
              </w:rPr>
            </w:pPr>
          </w:p>
        </w:tc>
        <w:tc>
          <w:tcPr>
            <w:tcW w:w="0" w:type="auto"/>
            <w:shd w:val="clear" w:color="auto" w:fill="auto"/>
          </w:tcPr>
          <w:p w14:paraId="5EA2042B" w14:textId="77777777" w:rsidR="003C66EB" w:rsidRDefault="003C66EB">
            <w:pPr>
              <w:rPr>
                <w:rFonts w:ascii="宋体"/>
                <w:vanish/>
              </w:rPr>
            </w:pPr>
          </w:p>
        </w:tc>
        <w:tc>
          <w:tcPr>
            <w:tcW w:w="0" w:type="auto"/>
            <w:gridSpan w:val="3"/>
            <w:shd w:val="clear" w:color="auto" w:fill="auto"/>
          </w:tcPr>
          <w:p w14:paraId="5EA2042C" w14:textId="77777777" w:rsidR="003C66EB" w:rsidRDefault="003C66EB">
            <w:pPr>
              <w:rPr>
                <w:rFonts w:ascii="宋体"/>
                <w:vanish/>
              </w:rPr>
            </w:pPr>
          </w:p>
        </w:tc>
        <w:tc>
          <w:tcPr>
            <w:tcW w:w="0" w:type="auto"/>
            <w:gridSpan w:val="3"/>
            <w:shd w:val="clear" w:color="auto" w:fill="auto"/>
          </w:tcPr>
          <w:p w14:paraId="5EA2042D" w14:textId="77777777" w:rsidR="003C66EB" w:rsidRDefault="003C66EB">
            <w:pPr>
              <w:rPr>
                <w:rFonts w:ascii="宋体"/>
                <w:vanish/>
              </w:rPr>
            </w:pPr>
          </w:p>
        </w:tc>
        <w:tc>
          <w:tcPr>
            <w:tcW w:w="0" w:type="auto"/>
            <w:gridSpan w:val="3"/>
            <w:shd w:val="clear" w:color="auto" w:fill="auto"/>
          </w:tcPr>
          <w:p w14:paraId="5EA2042E" w14:textId="77777777" w:rsidR="003C66EB" w:rsidRDefault="003C66EB">
            <w:pPr>
              <w:rPr>
                <w:rFonts w:ascii="宋体"/>
                <w:vanish/>
              </w:rPr>
            </w:pPr>
          </w:p>
        </w:tc>
        <w:tc>
          <w:tcPr>
            <w:tcW w:w="0" w:type="auto"/>
            <w:gridSpan w:val="3"/>
            <w:shd w:val="clear" w:color="auto" w:fill="auto"/>
          </w:tcPr>
          <w:p w14:paraId="5EA2042F" w14:textId="77777777" w:rsidR="003C66EB" w:rsidRDefault="003C66EB">
            <w:pPr>
              <w:rPr>
                <w:rFonts w:ascii="宋体"/>
                <w:vanish/>
              </w:rPr>
            </w:pPr>
          </w:p>
        </w:tc>
        <w:tc>
          <w:tcPr>
            <w:tcW w:w="0" w:type="auto"/>
            <w:gridSpan w:val="3"/>
            <w:shd w:val="clear" w:color="auto" w:fill="auto"/>
          </w:tcPr>
          <w:p w14:paraId="5EA20430" w14:textId="77777777" w:rsidR="003C66EB" w:rsidRDefault="003C66EB">
            <w:pPr>
              <w:rPr>
                <w:rFonts w:ascii="宋体"/>
                <w:vanish/>
              </w:rPr>
            </w:pPr>
          </w:p>
        </w:tc>
        <w:tc>
          <w:tcPr>
            <w:tcW w:w="0" w:type="auto"/>
            <w:gridSpan w:val="3"/>
            <w:shd w:val="clear" w:color="auto" w:fill="auto"/>
          </w:tcPr>
          <w:p w14:paraId="5EA20431" w14:textId="77777777" w:rsidR="003C66EB" w:rsidRDefault="003C66EB">
            <w:pPr>
              <w:rPr>
                <w:rFonts w:ascii="宋体"/>
                <w:vanish/>
              </w:rPr>
            </w:pPr>
          </w:p>
        </w:tc>
      </w:tr>
      <w:tr w:rsidR="003C66EB" w14:paraId="5EA20440" w14:textId="77777777">
        <w:tc>
          <w:tcPr>
            <w:tcW w:w="0" w:type="auto"/>
            <w:gridSpan w:val="3"/>
            <w:shd w:val="clear" w:color="auto" w:fill="FFFFFF"/>
            <w:tcMar>
              <w:top w:w="40" w:type="dxa"/>
              <w:left w:w="20" w:type="dxa"/>
              <w:bottom w:w="40" w:type="dxa"/>
              <w:right w:w="20" w:type="dxa"/>
            </w:tcMar>
            <w:vAlign w:val="bottom"/>
          </w:tcPr>
          <w:p w14:paraId="5EA20433" w14:textId="77777777" w:rsidR="003C66EB" w:rsidRDefault="00D96C4E">
            <w:pPr>
              <w:textAlignment w:val="bottom"/>
            </w:pPr>
            <w:r>
              <w:rPr>
                <w:rFonts w:ascii="Arial" w:eastAsia="宋体" w:hAnsi="Arial" w:cs="Arial"/>
                <w:color w:val="000000"/>
                <w:sz w:val="14"/>
                <w:szCs w:val="14"/>
              </w:rPr>
              <w:t>Provision for credit losses (funded commitments)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A20434"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4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43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437" w14:textId="77777777" w:rsidR="003C66EB" w:rsidRDefault="00D96C4E">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A20438" w14:textId="77777777" w:rsidR="003C66EB" w:rsidRDefault="003C66EB">
            <w:pPr>
              <w:jc w:val="right"/>
              <w:rPr>
                <w:rFonts w:ascii="宋体"/>
              </w:rPr>
            </w:pPr>
          </w:p>
        </w:tc>
        <w:tc>
          <w:tcPr>
            <w:tcW w:w="0" w:type="auto"/>
            <w:shd w:val="clear" w:color="auto" w:fill="auto"/>
          </w:tcPr>
          <w:p w14:paraId="5EA20439" w14:textId="77777777" w:rsidR="003C66EB" w:rsidRDefault="003C66EB">
            <w:pPr>
              <w:rPr>
                <w:rFonts w:ascii="宋体"/>
                <w:vanish/>
              </w:rPr>
            </w:pPr>
          </w:p>
        </w:tc>
        <w:tc>
          <w:tcPr>
            <w:tcW w:w="0" w:type="auto"/>
            <w:gridSpan w:val="3"/>
            <w:shd w:val="clear" w:color="auto" w:fill="auto"/>
          </w:tcPr>
          <w:p w14:paraId="5EA2043A" w14:textId="77777777" w:rsidR="003C66EB" w:rsidRDefault="003C66EB">
            <w:pPr>
              <w:rPr>
                <w:rFonts w:ascii="宋体"/>
                <w:vanish/>
              </w:rPr>
            </w:pPr>
          </w:p>
        </w:tc>
        <w:tc>
          <w:tcPr>
            <w:tcW w:w="0" w:type="auto"/>
            <w:gridSpan w:val="3"/>
            <w:shd w:val="clear" w:color="auto" w:fill="auto"/>
          </w:tcPr>
          <w:p w14:paraId="5EA2043B" w14:textId="77777777" w:rsidR="003C66EB" w:rsidRDefault="003C66EB">
            <w:pPr>
              <w:rPr>
                <w:rFonts w:ascii="宋体"/>
                <w:vanish/>
              </w:rPr>
            </w:pPr>
          </w:p>
        </w:tc>
        <w:tc>
          <w:tcPr>
            <w:tcW w:w="0" w:type="auto"/>
            <w:gridSpan w:val="3"/>
            <w:shd w:val="clear" w:color="auto" w:fill="auto"/>
          </w:tcPr>
          <w:p w14:paraId="5EA2043C" w14:textId="77777777" w:rsidR="003C66EB" w:rsidRDefault="003C66EB">
            <w:pPr>
              <w:rPr>
                <w:rFonts w:ascii="宋体"/>
                <w:vanish/>
              </w:rPr>
            </w:pPr>
          </w:p>
        </w:tc>
        <w:tc>
          <w:tcPr>
            <w:tcW w:w="0" w:type="auto"/>
            <w:gridSpan w:val="3"/>
            <w:shd w:val="clear" w:color="auto" w:fill="auto"/>
          </w:tcPr>
          <w:p w14:paraId="5EA2043D" w14:textId="77777777" w:rsidR="003C66EB" w:rsidRDefault="003C66EB">
            <w:pPr>
              <w:rPr>
                <w:rFonts w:ascii="宋体"/>
                <w:vanish/>
              </w:rPr>
            </w:pPr>
          </w:p>
        </w:tc>
        <w:tc>
          <w:tcPr>
            <w:tcW w:w="0" w:type="auto"/>
            <w:gridSpan w:val="3"/>
            <w:shd w:val="clear" w:color="auto" w:fill="auto"/>
          </w:tcPr>
          <w:p w14:paraId="5EA2043E" w14:textId="77777777" w:rsidR="003C66EB" w:rsidRDefault="003C66EB">
            <w:pPr>
              <w:rPr>
                <w:rFonts w:ascii="宋体"/>
                <w:vanish/>
              </w:rPr>
            </w:pPr>
          </w:p>
        </w:tc>
        <w:tc>
          <w:tcPr>
            <w:tcW w:w="0" w:type="auto"/>
            <w:gridSpan w:val="3"/>
            <w:shd w:val="clear" w:color="auto" w:fill="auto"/>
          </w:tcPr>
          <w:p w14:paraId="5EA2043F" w14:textId="77777777" w:rsidR="003C66EB" w:rsidRDefault="003C66EB">
            <w:pPr>
              <w:rPr>
                <w:rFonts w:ascii="宋体"/>
                <w:vanish/>
              </w:rPr>
            </w:pPr>
          </w:p>
        </w:tc>
      </w:tr>
      <w:tr w:rsidR="003C66EB" w14:paraId="5EA2044E" w14:textId="77777777">
        <w:tc>
          <w:tcPr>
            <w:tcW w:w="0" w:type="auto"/>
            <w:gridSpan w:val="3"/>
            <w:shd w:val="clear" w:color="auto" w:fill="CCEEFF"/>
            <w:tcMar>
              <w:top w:w="40" w:type="dxa"/>
              <w:left w:w="20" w:type="dxa"/>
              <w:bottom w:w="40" w:type="dxa"/>
              <w:right w:w="20" w:type="dxa"/>
            </w:tcMar>
            <w:vAlign w:val="bottom"/>
          </w:tcPr>
          <w:p w14:paraId="5EA20441" w14:textId="77777777" w:rsidR="003C66EB" w:rsidRDefault="00D96C4E">
            <w:pPr>
              <w:textAlignment w:val="bottom"/>
            </w:pPr>
            <w:r>
              <w:rPr>
                <w:rFonts w:ascii="Arial" w:eastAsia="宋体" w:hAnsi="Arial" w:cs="Arial"/>
                <w:color w:val="000000"/>
                <w:sz w:val="14"/>
                <w:szCs w:val="14"/>
              </w:rPr>
              <w:t>Provisions for credit losses (unfunded commitments)</w:t>
            </w:r>
          </w:p>
        </w:tc>
        <w:tc>
          <w:tcPr>
            <w:tcW w:w="0" w:type="auto"/>
            <w:gridSpan w:val="2"/>
            <w:shd w:val="clear" w:color="auto" w:fill="CCEEFF"/>
            <w:tcMar>
              <w:top w:w="40" w:type="dxa"/>
              <w:left w:w="20" w:type="dxa"/>
              <w:bottom w:w="40" w:type="dxa"/>
              <w:right w:w="0" w:type="dxa"/>
            </w:tcMar>
            <w:vAlign w:val="bottom"/>
          </w:tcPr>
          <w:p w14:paraId="5EA20442" w14:textId="77777777" w:rsidR="003C66EB" w:rsidRDefault="00D96C4E">
            <w:pPr>
              <w:jc w:val="right"/>
              <w:textAlignment w:val="bottom"/>
            </w:pPr>
            <w:r>
              <w:rPr>
                <w:rFonts w:ascii="Arial" w:eastAsia="宋体" w:hAnsi="Arial" w:cs="Arial"/>
                <w:b/>
                <w:bCs/>
                <w:color w:val="000000"/>
                <w:sz w:val="14"/>
                <w:szCs w:val="14"/>
              </w:rPr>
              <w:t>(7)</w:t>
            </w:r>
          </w:p>
        </w:tc>
        <w:tc>
          <w:tcPr>
            <w:tcW w:w="0" w:type="auto"/>
            <w:shd w:val="clear" w:color="auto" w:fill="CCEEFF"/>
            <w:tcMar>
              <w:top w:w="40" w:type="dxa"/>
              <w:left w:w="0" w:type="dxa"/>
              <w:bottom w:w="40" w:type="dxa"/>
              <w:right w:w="20" w:type="dxa"/>
            </w:tcMar>
            <w:vAlign w:val="bottom"/>
          </w:tcPr>
          <w:p w14:paraId="5EA204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4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445"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EA20446" w14:textId="77777777" w:rsidR="003C66EB" w:rsidRDefault="003C66EB">
            <w:pPr>
              <w:jc w:val="right"/>
              <w:rPr>
                <w:rFonts w:ascii="宋体"/>
              </w:rPr>
            </w:pPr>
          </w:p>
        </w:tc>
        <w:tc>
          <w:tcPr>
            <w:tcW w:w="0" w:type="auto"/>
            <w:shd w:val="clear" w:color="auto" w:fill="auto"/>
          </w:tcPr>
          <w:p w14:paraId="5EA20447" w14:textId="77777777" w:rsidR="003C66EB" w:rsidRDefault="003C66EB">
            <w:pPr>
              <w:rPr>
                <w:rFonts w:ascii="宋体"/>
                <w:vanish/>
              </w:rPr>
            </w:pPr>
          </w:p>
        </w:tc>
        <w:tc>
          <w:tcPr>
            <w:tcW w:w="0" w:type="auto"/>
            <w:gridSpan w:val="3"/>
            <w:shd w:val="clear" w:color="auto" w:fill="auto"/>
          </w:tcPr>
          <w:p w14:paraId="5EA20448" w14:textId="77777777" w:rsidR="003C66EB" w:rsidRDefault="003C66EB">
            <w:pPr>
              <w:rPr>
                <w:rFonts w:ascii="宋体"/>
                <w:vanish/>
              </w:rPr>
            </w:pPr>
          </w:p>
        </w:tc>
        <w:tc>
          <w:tcPr>
            <w:tcW w:w="0" w:type="auto"/>
            <w:gridSpan w:val="3"/>
            <w:shd w:val="clear" w:color="auto" w:fill="auto"/>
          </w:tcPr>
          <w:p w14:paraId="5EA20449" w14:textId="77777777" w:rsidR="003C66EB" w:rsidRDefault="003C66EB">
            <w:pPr>
              <w:rPr>
                <w:rFonts w:ascii="宋体"/>
                <w:vanish/>
              </w:rPr>
            </w:pPr>
          </w:p>
        </w:tc>
        <w:tc>
          <w:tcPr>
            <w:tcW w:w="0" w:type="auto"/>
            <w:gridSpan w:val="3"/>
            <w:shd w:val="clear" w:color="auto" w:fill="auto"/>
          </w:tcPr>
          <w:p w14:paraId="5EA2044A" w14:textId="77777777" w:rsidR="003C66EB" w:rsidRDefault="003C66EB">
            <w:pPr>
              <w:rPr>
                <w:rFonts w:ascii="宋体"/>
                <w:vanish/>
              </w:rPr>
            </w:pPr>
          </w:p>
        </w:tc>
        <w:tc>
          <w:tcPr>
            <w:tcW w:w="0" w:type="auto"/>
            <w:gridSpan w:val="3"/>
            <w:shd w:val="clear" w:color="auto" w:fill="auto"/>
          </w:tcPr>
          <w:p w14:paraId="5EA2044B" w14:textId="77777777" w:rsidR="003C66EB" w:rsidRDefault="003C66EB">
            <w:pPr>
              <w:rPr>
                <w:rFonts w:ascii="宋体"/>
                <w:vanish/>
              </w:rPr>
            </w:pPr>
          </w:p>
        </w:tc>
        <w:tc>
          <w:tcPr>
            <w:tcW w:w="0" w:type="auto"/>
            <w:gridSpan w:val="3"/>
            <w:shd w:val="clear" w:color="auto" w:fill="auto"/>
          </w:tcPr>
          <w:p w14:paraId="5EA2044C" w14:textId="77777777" w:rsidR="003C66EB" w:rsidRDefault="003C66EB">
            <w:pPr>
              <w:rPr>
                <w:rFonts w:ascii="宋体"/>
                <w:vanish/>
              </w:rPr>
            </w:pPr>
          </w:p>
        </w:tc>
        <w:tc>
          <w:tcPr>
            <w:tcW w:w="0" w:type="auto"/>
            <w:gridSpan w:val="3"/>
            <w:shd w:val="clear" w:color="auto" w:fill="auto"/>
          </w:tcPr>
          <w:p w14:paraId="5EA2044D" w14:textId="77777777" w:rsidR="003C66EB" w:rsidRDefault="003C66EB">
            <w:pPr>
              <w:rPr>
                <w:rFonts w:ascii="宋体"/>
                <w:vanish/>
              </w:rPr>
            </w:pPr>
          </w:p>
        </w:tc>
      </w:tr>
      <w:tr w:rsidR="003C66EB" w14:paraId="5EA2045C" w14:textId="77777777">
        <w:tc>
          <w:tcPr>
            <w:tcW w:w="0" w:type="auto"/>
            <w:gridSpan w:val="3"/>
            <w:shd w:val="clear" w:color="auto" w:fill="FFFFFF"/>
            <w:tcMar>
              <w:top w:w="40" w:type="dxa"/>
              <w:left w:w="20" w:type="dxa"/>
              <w:bottom w:w="40" w:type="dxa"/>
              <w:right w:w="20" w:type="dxa"/>
            </w:tcMar>
            <w:vAlign w:val="bottom"/>
          </w:tcPr>
          <w:p w14:paraId="5EA2044F" w14:textId="77777777" w:rsidR="003C66EB" w:rsidRDefault="00D96C4E">
            <w:pPr>
              <w:textAlignment w:val="bottom"/>
            </w:pPr>
            <w:r>
              <w:rPr>
                <w:rFonts w:ascii="Arial" w:eastAsia="宋体" w:hAnsi="Arial" w:cs="Arial"/>
                <w:color w:val="000000"/>
                <w:sz w:val="14"/>
                <w:szCs w:val="14"/>
              </w:rPr>
              <w:t>Provisions for credit losses (held-to-maturity securities and all other)</w:t>
            </w:r>
          </w:p>
        </w:tc>
        <w:tc>
          <w:tcPr>
            <w:tcW w:w="0" w:type="auto"/>
            <w:gridSpan w:val="2"/>
            <w:shd w:val="clear" w:color="auto" w:fill="FFFFFF"/>
            <w:tcMar>
              <w:top w:w="40" w:type="dxa"/>
              <w:left w:w="20" w:type="dxa"/>
              <w:bottom w:w="40" w:type="dxa"/>
              <w:right w:w="0" w:type="dxa"/>
            </w:tcMar>
            <w:vAlign w:val="bottom"/>
          </w:tcPr>
          <w:p w14:paraId="5EA20450" w14:textId="77777777" w:rsidR="003C66EB" w:rsidRDefault="00D96C4E">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EA2045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45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453"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A20454" w14:textId="77777777" w:rsidR="003C66EB" w:rsidRDefault="003C66EB">
            <w:pPr>
              <w:jc w:val="right"/>
              <w:rPr>
                <w:rFonts w:ascii="宋体"/>
              </w:rPr>
            </w:pPr>
          </w:p>
        </w:tc>
        <w:tc>
          <w:tcPr>
            <w:tcW w:w="0" w:type="auto"/>
            <w:shd w:val="clear" w:color="auto" w:fill="auto"/>
          </w:tcPr>
          <w:p w14:paraId="5EA20455" w14:textId="77777777" w:rsidR="003C66EB" w:rsidRDefault="003C66EB">
            <w:pPr>
              <w:rPr>
                <w:rFonts w:ascii="宋体"/>
                <w:vanish/>
              </w:rPr>
            </w:pPr>
          </w:p>
        </w:tc>
        <w:tc>
          <w:tcPr>
            <w:tcW w:w="0" w:type="auto"/>
            <w:gridSpan w:val="3"/>
            <w:shd w:val="clear" w:color="auto" w:fill="auto"/>
          </w:tcPr>
          <w:p w14:paraId="5EA20456" w14:textId="77777777" w:rsidR="003C66EB" w:rsidRDefault="003C66EB">
            <w:pPr>
              <w:rPr>
                <w:rFonts w:ascii="宋体"/>
                <w:vanish/>
              </w:rPr>
            </w:pPr>
          </w:p>
        </w:tc>
        <w:tc>
          <w:tcPr>
            <w:tcW w:w="0" w:type="auto"/>
            <w:gridSpan w:val="3"/>
            <w:shd w:val="clear" w:color="auto" w:fill="auto"/>
          </w:tcPr>
          <w:p w14:paraId="5EA20457" w14:textId="77777777" w:rsidR="003C66EB" w:rsidRDefault="003C66EB">
            <w:pPr>
              <w:rPr>
                <w:rFonts w:ascii="宋体"/>
                <w:vanish/>
              </w:rPr>
            </w:pPr>
          </w:p>
        </w:tc>
        <w:tc>
          <w:tcPr>
            <w:tcW w:w="0" w:type="auto"/>
            <w:gridSpan w:val="3"/>
            <w:shd w:val="clear" w:color="auto" w:fill="auto"/>
          </w:tcPr>
          <w:p w14:paraId="5EA20458" w14:textId="77777777" w:rsidR="003C66EB" w:rsidRDefault="003C66EB">
            <w:pPr>
              <w:rPr>
                <w:rFonts w:ascii="宋体"/>
                <w:vanish/>
              </w:rPr>
            </w:pPr>
          </w:p>
        </w:tc>
        <w:tc>
          <w:tcPr>
            <w:tcW w:w="0" w:type="auto"/>
            <w:gridSpan w:val="3"/>
            <w:shd w:val="clear" w:color="auto" w:fill="auto"/>
          </w:tcPr>
          <w:p w14:paraId="5EA20459" w14:textId="77777777" w:rsidR="003C66EB" w:rsidRDefault="003C66EB">
            <w:pPr>
              <w:rPr>
                <w:rFonts w:ascii="宋体"/>
                <w:vanish/>
              </w:rPr>
            </w:pPr>
          </w:p>
        </w:tc>
        <w:tc>
          <w:tcPr>
            <w:tcW w:w="0" w:type="auto"/>
            <w:gridSpan w:val="3"/>
            <w:shd w:val="clear" w:color="auto" w:fill="auto"/>
          </w:tcPr>
          <w:p w14:paraId="5EA2045A" w14:textId="77777777" w:rsidR="003C66EB" w:rsidRDefault="003C66EB">
            <w:pPr>
              <w:rPr>
                <w:rFonts w:ascii="宋体"/>
                <w:vanish/>
              </w:rPr>
            </w:pPr>
          </w:p>
        </w:tc>
        <w:tc>
          <w:tcPr>
            <w:tcW w:w="0" w:type="auto"/>
            <w:gridSpan w:val="3"/>
            <w:shd w:val="clear" w:color="auto" w:fill="auto"/>
          </w:tcPr>
          <w:p w14:paraId="5EA2045B" w14:textId="77777777" w:rsidR="003C66EB" w:rsidRDefault="003C66EB">
            <w:pPr>
              <w:rPr>
                <w:rFonts w:ascii="宋体"/>
                <w:vanish/>
              </w:rPr>
            </w:pPr>
          </w:p>
        </w:tc>
      </w:tr>
      <w:tr w:rsidR="003C66EB" w14:paraId="5EA2046A" w14:textId="77777777">
        <w:tc>
          <w:tcPr>
            <w:tcW w:w="0" w:type="auto"/>
            <w:gridSpan w:val="3"/>
            <w:shd w:val="clear" w:color="auto" w:fill="CCEEFF"/>
            <w:tcMar>
              <w:top w:w="40" w:type="dxa"/>
              <w:left w:w="20" w:type="dxa"/>
              <w:bottom w:w="40" w:type="dxa"/>
              <w:right w:w="20" w:type="dxa"/>
            </w:tcMar>
            <w:vAlign w:val="bottom"/>
          </w:tcPr>
          <w:p w14:paraId="5EA2045D" w14:textId="77777777" w:rsidR="003C66EB" w:rsidRDefault="00D96C4E">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045E"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6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461" w14:textId="77777777" w:rsidR="003C66EB" w:rsidRDefault="00D96C4E">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5EA20462" w14:textId="77777777" w:rsidR="003C66EB" w:rsidRDefault="003C66EB">
            <w:pPr>
              <w:jc w:val="right"/>
              <w:rPr>
                <w:rFonts w:ascii="宋体"/>
              </w:rPr>
            </w:pPr>
          </w:p>
        </w:tc>
        <w:tc>
          <w:tcPr>
            <w:tcW w:w="0" w:type="auto"/>
            <w:shd w:val="clear" w:color="auto" w:fill="auto"/>
          </w:tcPr>
          <w:p w14:paraId="5EA20463" w14:textId="77777777" w:rsidR="003C66EB" w:rsidRDefault="003C66EB">
            <w:pPr>
              <w:rPr>
                <w:rFonts w:ascii="宋体"/>
                <w:vanish/>
              </w:rPr>
            </w:pPr>
          </w:p>
        </w:tc>
        <w:tc>
          <w:tcPr>
            <w:tcW w:w="0" w:type="auto"/>
            <w:gridSpan w:val="3"/>
            <w:shd w:val="clear" w:color="auto" w:fill="auto"/>
          </w:tcPr>
          <w:p w14:paraId="5EA20464" w14:textId="77777777" w:rsidR="003C66EB" w:rsidRDefault="003C66EB">
            <w:pPr>
              <w:rPr>
                <w:rFonts w:ascii="宋体"/>
                <w:vanish/>
              </w:rPr>
            </w:pPr>
          </w:p>
        </w:tc>
        <w:tc>
          <w:tcPr>
            <w:tcW w:w="0" w:type="auto"/>
            <w:gridSpan w:val="3"/>
            <w:shd w:val="clear" w:color="auto" w:fill="auto"/>
          </w:tcPr>
          <w:p w14:paraId="5EA20465" w14:textId="77777777" w:rsidR="003C66EB" w:rsidRDefault="003C66EB">
            <w:pPr>
              <w:rPr>
                <w:rFonts w:ascii="宋体"/>
                <w:vanish/>
              </w:rPr>
            </w:pPr>
          </w:p>
        </w:tc>
        <w:tc>
          <w:tcPr>
            <w:tcW w:w="0" w:type="auto"/>
            <w:gridSpan w:val="3"/>
            <w:shd w:val="clear" w:color="auto" w:fill="auto"/>
          </w:tcPr>
          <w:p w14:paraId="5EA20466" w14:textId="77777777" w:rsidR="003C66EB" w:rsidRDefault="003C66EB">
            <w:pPr>
              <w:rPr>
                <w:rFonts w:ascii="宋体"/>
                <w:vanish/>
              </w:rPr>
            </w:pPr>
          </w:p>
        </w:tc>
        <w:tc>
          <w:tcPr>
            <w:tcW w:w="0" w:type="auto"/>
            <w:gridSpan w:val="3"/>
            <w:shd w:val="clear" w:color="auto" w:fill="auto"/>
          </w:tcPr>
          <w:p w14:paraId="5EA20467" w14:textId="77777777" w:rsidR="003C66EB" w:rsidRDefault="003C66EB">
            <w:pPr>
              <w:rPr>
                <w:rFonts w:ascii="宋体"/>
                <w:vanish/>
              </w:rPr>
            </w:pPr>
          </w:p>
        </w:tc>
        <w:tc>
          <w:tcPr>
            <w:tcW w:w="0" w:type="auto"/>
            <w:gridSpan w:val="3"/>
            <w:shd w:val="clear" w:color="auto" w:fill="auto"/>
          </w:tcPr>
          <w:p w14:paraId="5EA20468" w14:textId="77777777" w:rsidR="003C66EB" w:rsidRDefault="003C66EB">
            <w:pPr>
              <w:rPr>
                <w:rFonts w:ascii="宋体"/>
                <w:vanish/>
              </w:rPr>
            </w:pPr>
          </w:p>
        </w:tc>
        <w:tc>
          <w:tcPr>
            <w:tcW w:w="0" w:type="auto"/>
            <w:gridSpan w:val="3"/>
            <w:shd w:val="clear" w:color="auto" w:fill="auto"/>
          </w:tcPr>
          <w:p w14:paraId="5EA20469" w14:textId="77777777" w:rsidR="003C66EB" w:rsidRDefault="003C66EB">
            <w:pPr>
              <w:rPr>
                <w:rFonts w:ascii="宋体"/>
                <w:vanish/>
              </w:rPr>
            </w:pPr>
          </w:p>
        </w:tc>
      </w:tr>
      <w:tr w:rsidR="003C66EB" w14:paraId="5EA20476" w14:textId="77777777">
        <w:trPr>
          <w:hidden/>
        </w:trPr>
        <w:tc>
          <w:tcPr>
            <w:tcW w:w="0" w:type="auto"/>
            <w:gridSpan w:val="3"/>
            <w:shd w:val="clear" w:color="auto" w:fill="auto"/>
          </w:tcPr>
          <w:p w14:paraId="5EA2046B" w14:textId="77777777" w:rsidR="003C66EB" w:rsidRDefault="003C66EB">
            <w:pPr>
              <w:rPr>
                <w:rFonts w:ascii="宋体"/>
                <w:vanish/>
              </w:rPr>
            </w:pPr>
          </w:p>
        </w:tc>
        <w:tc>
          <w:tcPr>
            <w:tcW w:w="0" w:type="auto"/>
            <w:gridSpan w:val="3"/>
            <w:shd w:val="clear" w:color="auto" w:fill="auto"/>
          </w:tcPr>
          <w:p w14:paraId="5EA2046C" w14:textId="77777777" w:rsidR="003C66EB" w:rsidRDefault="003C66EB">
            <w:pPr>
              <w:rPr>
                <w:rFonts w:ascii="宋体"/>
                <w:vanish/>
              </w:rPr>
            </w:pPr>
          </w:p>
        </w:tc>
        <w:tc>
          <w:tcPr>
            <w:tcW w:w="0" w:type="auto"/>
            <w:gridSpan w:val="3"/>
            <w:shd w:val="clear" w:color="auto" w:fill="auto"/>
          </w:tcPr>
          <w:p w14:paraId="5EA2046D" w14:textId="77777777" w:rsidR="003C66EB" w:rsidRDefault="003C66EB">
            <w:pPr>
              <w:rPr>
                <w:rFonts w:ascii="宋体"/>
                <w:vanish/>
              </w:rPr>
            </w:pPr>
          </w:p>
        </w:tc>
        <w:tc>
          <w:tcPr>
            <w:tcW w:w="0" w:type="auto"/>
            <w:gridSpan w:val="3"/>
            <w:shd w:val="clear" w:color="auto" w:fill="auto"/>
          </w:tcPr>
          <w:p w14:paraId="5EA2046E" w14:textId="77777777" w:rsidR="003C66EB" w:rsidRDefault="003C66EB">
            <w:pPr>
              <w:rPr>
                <w:rFonts w:ascii="宋体"/>
                <w:vanish/>
              </w:rPr>
            </w:pPr>
          </w:p>
        </w:tc>
        <w:tc>
          <w:tcPr>
            <w:tcW w:w="0" w:type="auto"/>
            <w:shd w:val="clear" w:color="auto" w:fill="auto"/>
          </w:tcPr>
          <w:p w14:paraId="5EA2046F" w14:textId="77777777" w:rsidR="003C66EB" w:rsidRDefault="003C66EB">
            <w:pPr>
              <w:rPr>
                <w:rFonts w:ascii="宋体"/>
                <w:vanish/>
              </w:rPr>
            </w:pPr>
          </w:p>
        </w:tc>
        <w:tc>
          <w:tcPr>
            <w:tcW w:w="0" w:type="auto"/>
            <w:gridSpan w:val="3"/>
            <w:shd w:val="clear" w:color="auto" w:fill="auto"/>
          </w:tcPr>
          <w:p w14:paraId="5EA20470" w14:textId="77777777" w:rsidR="003C66EB" w:rsidRDefault="003C66EB">
            <w:pPr>
              <w:rPr>
                <w:rFonts w:ascii="宋体"/>
                <w:vanish/>
              </w:rPr>
            </w:pPr>
          </w:p>
        </w:tc>
        <w:tc>
          <w:tcPr>
            <w:tcW w:w="0" w:type="auto"/>
            <w:gridSpan w:val="3"/>
            <w:shd w:val="clear" w:color="auto" w:fill="auto"/>
          </w:tcPr>
          <w:p w14:paraId="5EA20471" w14:textId="77777777" w:rsidR="003C66EB" w:rsidRDefault="003C66EB">
            <w:pPr>
              <w:rPr>
                <w:rFonts w:ascii="宋体"/>
                <w:vanish/>
              </w:rPr>
            </w:pPr>
          </w:p>
        </w:tc>
        <w:tc>
          <w:tcPr>
            <w:tcW w:w="0" w:type="auto"/>
            <w:gridSpan w:val="3"/>
            <w:shd w:val="clear" w:color="auto" w:fill="auto"/>
          </w:tcPr>
          <w:p w14:paraId="5EA20472" w14:textId="77777777" w:rsidR="003C66EB" w:rsidRDefault="003C66EB">
            <w:pPr>
              <w:rPr>
                <w:rFonts w:ascii="宋体"/>
                <w:vanish/>
              </w:rPr>
            </w:pPr>
          </w:p>
        </w:tc>
        <w:tc>
          <w:tcPr>
            <w:tcW w:w="0" w:type="auto"/>
            <w:gridSpan w:val="3"/>
            <w:shd w:val="clear" w:color="auto" w:fill="auto"/>
          </w:tcPr>
          <w:p w14:paraId="5EA20473" w14:textId="77777777" w:rsidR="003C66EB" w:rsidRDefault="003C66EB">
            <w:pPr>
              <w:rPr>
                <w:rFonts w:ascii="宋体"/>
                <w:vanish/>
              </w:rPr>
            </w:pPr>
          </w:p>
        </w:tc>
        <w:tc>
          <w:tcPr>
            <w:tcW w:w="0" w:type="auto"/>
            <w:gridSpan w:val="3"/>
            <w:shd w:val="clear" w:color="auto" w:fill="auto"/>
          </w:tcPr>
          <w:p w14:paraId="5EA20474" w14:textId="77777777" w:rsidR="003C66EB" w:rsidRDefault="003C66EB">
            <w:pPr>
              <w:rPr>
                <w:rFonts w:ascii="宋体"/>
                <w:vanish/>
              </w:rPr>
            </w:pPr>
          </w:p>
        </w:tc>
        <w:tc>
          <w:tcPr>
            <w:tcW w:w="0" w:type="auto"/>
            <w:gridSpan w:val="3"/>
            <w:shd w:val="clear" w:color="auto" w:fill="auto"/>
          </w:tcPr>
          <w:p w14:paraId="5EA20475" w14:textId="77777777" w:rsidR="003C66EB" w:rsidRDefault="003C66EB">
            <w:pPr>
              <w:rPr>
                <w:rFonts w:ascii="宋体"/>
                <w:vanish/>
              </w:rPr>
            </w:pPr>
          </w:p>
        </w:tc>
      </w:tr>
      <w:tr w:rsidR="003C66EB" w14:paraId="5EA20484" w14:textId="77777777">
        <w:tc>
          <w:tcPr>
            <w:tcW w:w="0" w:type="auto"/>
            <w:gridSpan w:val="3"/>
            <w:shd w:val="clear" w:color="auto" w:fill="FFFFFF"/>
            <w:tcMar>
              <w:top w:w="40" w:type="dxa"/>
              <w:left w:w="20" w:type="dxa"/>
              <w:bottom w:w="40" w:type="dxa"/>
              <w:right w:w="20" w:type="dxa"/>
            </w:tcMar>
            <w:vAlign w:val="bottom"/>
          </w:tcPr>
          <w:p w14:paraId="5EA20477" w14:textId="77777777" w:rsidR="003C66EB" w:rsidRDefault="00D96C4E">
            <w:pPr>
              <w:textAlignment w:val="bottom"/>
            </w:pPr>
            <w:r>
              <w:rPr>
                <w:rFonts w:ascii="Arial" w:eastAsia="宋体" w:hAnsi="Arial" w:cs="Arial"/>
                <w:color w:val="000000"/>
                <w:sz w:val="14"/>
                <w:szCs w:val="14"/>
              </w:rPr>
              <w:t>Currency translation</w:t>
            </w:r>
          </w:p>
        </w:tc>
        <w:tc>
          <w:tcPr>
            <w:tcW w:w="0" w:type="auto"/>
            <w:gridSpan w:val="2"/>
            <w:shd w:val="clear" w:color="auto" w:fill="FFFFFF"/>
            <w:tcMar>
              <w:top w:w="40" w:type="dxa"/>
              <w:left w:w="20" w:type="dxa"/>
              <w:bottom w:w="40" w:type="dxa"/>
              <w:right w:w="0" w:type="dxa"/>
            </w:tcMar>
            <w:vAlign w:val="bottom"/>
          </w:tcPr>
          <w:p w14:paraId="5EA20478" w14:textId="77777777" w:rsidR="003C66EB" w:rsidRDefault="00D96C4E">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5EA204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47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47B"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47C" w14:textId="77777777" w:rsidR="003C66EB" w:rsidRDefault="003C66EB">
            <w:pPr>
              <w:jc w:val="right"/>
              <w:rPr>
                <w:rFonts w:ascii="宋体"/>
              </w:rPr>
            </w:pPr>
          </w:p>
        </w:tc>
        <w:tc>
          <w:tcPr>
            <w:tcW w:w="0" w:type="auto"/>
            <w:shd w:val="clear" w:color="auto" w:fill="auto"/>
          </w:tcPr>
          <w:p w14:paraId="5EA2047D" w14:textId="77777777" w:rsidR="003C66EB" w:rsidRDefault="003C66EB">
            <w:pPr>
              <w:rPr>
                <w:rFonts w:ascii="宋体"/>
                <w:vanish/>
              </w:rPr>
            </w:pPr>
          </w:p>
        </w:tc>
        <w:tc>
          <w:tcPr>
            <w:tcW w:w="0" w:type="auto"/>
            <w:gridSpan w:val="3"/>
            <w:shd w:val="clear" w:color="auto" w:fill="auto"/>
          </w:tcPr>
          <w:p w14:paraId="5EA2047E" w14:textId="77777777" w:rsidR="003C66EB" w:rsidRDefault="003C66EB">
            <w:pPr>
              <w:rPr>
                <w:rFonts w:ascii="宋体"/>
                <w:vanish/>
              </w:rPr>
            </w:pPr>
          </w:p>
        </w:tc>
        <w:tc>
          <w:tcPr>
            <w:tcW w:w="0" w:type="auto"/>
            <w:gridSpan w:val="3"/>
            <w:shd w:val="clear" w:color="auto" w:fill="auto"/>
          </w:tcPr>
          <w:p w14:paraId="5EA2047F" w14:textId="77777777" w:rsidR="003C66EB" w:rsidRDefault="003C66EB">
            <w:pPr>
              <w:rPr>
                <w:rFonts w:ascii="宋体"/>
                <w:vanish/>
              </w:rPr>
            </w:pPr>
          </w:p>
        </w:tc>
        <w:tc>
          <w:tcPr>
            <w:tcW w:w="0" w:type="auto"/>
            <w:gridSpan w:val="3"/>
            <w:shd w:val="clear" w:color="auto" w:fill="auto"/>
          </w:tcPr>
          <w:p w14:paraId="5EA20480" w14:textId="77777777" w:rsidR="003C66EB" w:rsidRDefault="003C66EB">
            <w:pPr>
              <w:rPr>
                <w:rFonts w:ascii="宋体"/>
                <w:vanish/>
              </w:rPr>
            </w:pPr>
          </w:p>
        </w:tc>
        <w:tc>
          <w:tcPr>
            <w:tcW w:w="0" w:type="auto"/>
            <w:gridSpan w:val="3"/>
            <w:shd w:val="clear" w:color="auto" w:fill="auto"/>
          </w:tcPr>
          <w:p w14:paraId="5EA20481" w14:textId="77777777" w:rsidR="003C66EB" w:rsidRDefault="003C66EB">
            <w:pPr>
              <w:rPr>
                <w:rFonts w:ascii="宋体"/>
                <w:vanish/>
              </w:rPr>
            </w:pPr>
          </w:p>
        </w:tc>
        <w:tc>
          <w:tcPr>
            <w:tcW w:w="0" w:type="auto"/>
            <w:gridSpan w:val="3"/>
            <w:shd w:val="clear" w:color="auto" w:fill="auto"/>
          </w:tcPr>
          <w:p w14:paraId="5EA20482" w14:textId="77777777" w:rsidR="003C66EB" w:rsidRDefault="003C66EB">
            <w:pPr>
              <w:rPr>
                <w:rFonts w:ascii="宋体"/>
                <w:vanish/>
              </w:rPr>
            </w:pPr>
          </w:p>
        </w:tc>
        <w:tc>
          <w:tcPr>
            <w:tcW w:w="0" w:type="auto"/>
            <w:gridSpan w:val="3"/>
            <w:shd w:val="clear" w:color="auto" w:fill="auto"/>
          </w:tcPr>
          <w:p w14:paraId="5EA20483" w14:textId="77777777" w:rsidR="003C66EB" w:rsidRDefault="003C66EB">
            <w:pPr>
              <w:rPr>
                <w:rFonts w:ascii="宋体"/>
                <w:vanish/>
              </w:rPr>
            </w:pPr>
          </w:p>
        </w:tc>
      </w:tr>
      <w:tr w:rsidR="003C66EB" w14:paraId="5EA20494" w14:textId="77777777">
        <w:tc>
          <w:tcPr>
            <w:tcW w:w="0" w:type="auto"/>
            <w:gridSpan w:val="3"/>
            <w:shd w:val="clear" w:color="auto" w:fill="CCEEFF"/>
            <w:tcMar>
              <w:top w:w="40" w:type="dxa"/>
              <w:left w:w="20" w:type="dxa"/>
              <w:bottom w:w="40" w:type="dxa"/>
              <w:right w:w="20" w:type="dxa"/>
            </w:tcMar>
            <w:vAlign w:val="bottom"/>
          </w:tcPr>
          <w:p w14:paraId="5EA20485" w14:textId="77777777" w:rsidR="003C66EB" w:rsidRDefault="00D96C4E">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48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0487" w14:textId="77777777" w:rsidR="003C66EB" w:rsidRDefault="00D96C4E">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4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8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048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048B" w14:textId="77777777" w:rsidR="003C66EB" w:rsidRDefault="00D96C4E">
            <w:pPr>
              <w:jc w:val="right"/>
              <w:textAlignment w:val="bottom"/>
            </w:pPr>
            <w:r>
              <w:rPr>
                <w:rFonts w:ascii="Arial" w:eastAsia="宋体" w:hAnsi="Arial" w:cs="Arial"/>
                <w:color w:val="000000"/>
                <w:sz w:val="14"/>
                <w:szCs w:val="14"/>
              </w:rPr>
              <w:t>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048C" w14:textId="77777777" w:rsidR="003C66EB" w:rsidRDefault="003C66EB">
            <w:pPr>
              <w:jc w:val="right"/>
              <w:rPr>
                <w:rFonts w:ascii="宋体"/>
              </w:rPr>
            </w:pPr>
          </w:p>
        </w:tc>
        <w:tc>
          <w:tcPr>
            <w:tcW w:w="0" w:type="auto"/>
            <w:shd w:val="clear" w:color="auto" w:fill="auto"/>
          </w:tcPr>
          <w:p w14:paraId="5EA2048D" w14:textId="77777777" w:rsidR="003C66EB" w:rsidRDefault="003C66EB">
            <w:pPr>
              <w:rPr>
                <w:rFonts w:ascii="宋体"/>
                <w:vanish/>
              </w:rPr>
            </w:pPr>
          </w:p>
        </w:tc>
        <w:tc>
          <w:tcPr>
            <w:tcW w:w="0" w:type="auto"/>
            <w:gridSpan w:val="3"/>
            <w:shd w:val="clear" w:color="auto" w:fill="auto"/>
          </w:tcPr>
          <w:p w14:paraId="5EA2048E" w14:textId="77777777" w:rsidR="003C66EB" w:rsidRDefault="003C66EB">
            <w:pPr>
              <w:rPr>
                <w:rFonts w:ascii="宋体"/>
                <w:vanish/>
              </w:rPr>
            </w:pPr>
          </w:p>
        </w:tc>
        <w:tc>
          <w:tcPr>
            <w:tcW w:w="0" w:type="auto"/>
            <w:gridSpan w:val="3"/>
            <w:shd w:val="clear" w:color="auto" w:fill="auto"/>
          </w:tcPr>
          <w:p w14:paraId="5EA2048F" w14:textId="77777777" w:rsidR="003C66EB" w:rsidRDefault="003C66EB">
            <w:pPr>
              <w:rPr>
                <w:rFonts w:ascii="宋体"/>
                <w:vanish/>
              </w:rPr>
            </w:pPr>
          </w:p>
        </w:tc>
        <w:tc>
          <w:tcPr>
            <w:tcW w:w="0" w:type="auto"/>
            <w:gridSpan w:val="3"/>
            <w:shd w:val="clear" w:color="auto" w:fill="auto"/>
          </w:tcPr>
          <w:p w14:paraId="5EA20490" w14:textId="77777777" w:rsidR="003C66EB" w:rsidRDefault="003C66EB">
            <w:pPr>
              <w:rPr>
                <w:rFonts w:ascii="宋体"/>
                <w:vanish/>
              </w:rPr>
            </w:pPr>
          </w:p>
        </w:tc>
        <w:tc>
          <w:tcPr>
            <w:tcW w:w="0" w:type="auto"/>
            <w:gridSpan w:val="3"/>
            <w:shd w:val="clear" w:color="auto" w:fill="auto"/>
          </w:tcPr>
          <w:p w14:paraId="5EA20491" w14:textId="77777777" w:rsidR="003C66EB" w:rsidRDefault="003C66EB">
            <w:pPr>
              <w:rPr>
                <w:rFonts w:ascii="宋体"/>
                <w:vanish/>
              </w:rPr>
            </w:pPr>
          </w:p>
        </w:tc>
        <w:tc>
          <w:tcPr>
            <w:tcW w:w="0" w:type="auto"/>
            <w:gridSpan w:val="3"/>
            <w:shd w:val="clear" w:color="auto" w:fill="auto"/>
          </w:tcPr>
          <w:p w14:paraId="5EA20492" w14:textId="77777777" w:rsidR="003C66EB" w:rsidRDefault="003C66EB">
            <w:pPr>
              <w:rPr>
                <w:rFonts w:ascii="宋体"/>
                <w:vanish/>
              </w:rPr>
            </w:pPr>
          </w:p>
        </w:tc>
        <w:tc>
          <w:tcPr>
            <w:tcW w:w="0" w:type="auto"/>
            <w:gridSpan w:val="3"/>
            <w:shd w:val="clear" w:color="auto" w:fill="auto"/>
          </w:tcPr>
          <w:p w14:paraId="5EA20493" w14:textId="77777777" w:rsidR="003C66EB" w:rsidRDefault="003C66EB">
            <w:pPr>
              <w:rPr>
                <w:rFonts w:ascii="宋体"/>
                <w:vanish/>
              </w:rPr>
            </w:pPr>
          </w:p>
        </w:tc>
      </w:tr>
    </w:tbl>
    <w:p w14:paraId="5EA20495"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0"/>
        <w:gridCol w:w="36"/>
        <w:gridCol w:w="69"/>
        <w:gridCol w:w="1632"/>
        <w:gridCol w:w="36"/>
        <w:gridCol w:w="69"/>
        <w:gridCol w:w="2408"/>
        <w:gridCol w:w="36"/>
        <w:gridCol w:w="36"/>
        <w:gridCol w:w="36"/>
      </w:tblGrid>
      <w:tr w:rsidR="003C66EB" w14:paraId="5EA204A1" w14:textId="77777777">
        <w:tc>
          <w:tcPr>
            <w:tcW w:w="50" w:type="pct"/>
            <w:shd w:val="clear" w:color="auto" w:fill="auto"/>
          </w:tcPr>
          <w:p w14:paraId="5EA20496" w14:textId="77777777" w:rsidR="003C66EB" w:rsidRDefault="003C66EB">
            <w:pPr>
              <w:rPr>
                <w:rFonts w:ascii="宋体"/>
              </w:rPr>
            </w:pPr>
          </w:p>
        </w:tc>
        <w:tc>
          <w:tcPr>
            <w:tcW w:w="2374" w:type="pct"/>
            <w:shd w:val="clear" w:color="auto" w:fill="auto"/>
          </w:tcPr>
          <w:p w14:paraId="5EA20497" w14:textId="77777777" w:rsidR="003C66EB" w:rsidRDefault="003C66EB">
            <w:pPr>
              <w:rPr>
                <w:rFonts w:ascii="宋体"/>
              </w:rPr>
            </w:pPr>
          </w:p>
        </w:tc>
        <w:tc>
          <w:tcPr>
            <w:tcW w:w="5" w:type="pct"/>
            <w:shd w:val="clear" w:color="auto" w:fill="auto"/>
          </w:tcPr>
          <w:p w14:paraId="5EA20498" w14:textId="77777777" w:rsidR="003C66EB" w:rsidRDefault="003C66EB">
            <w:pPr>
              <w:rPr>
                <w:rFonts w:ascii="宋体"/>
              </w:rPr>
            </w:pPr>
          </w:p>
        </w:tc>
        <w:tc>
          <w:tcPr>
            <w:tcW w:w="50" w:type="pct"/>
            <w:shd w:val="clear" w:color="auto" w:fill="auto"/>
          </w:tcPr>
          <w:p w14:paraId="5EA20499" w14:textId="77777777" w:rsidR="003C66EB" w:rsidRDefault="003C66EB">
            <w:pPr>
              <w:rPr>
                <w:rFonts w:ascii="宋体"/>
              </w:rPr>
            </w:pPr>
          </w:p>
        </w:tc>
        <w:tc>
          <w:tcPr>
            <w:tcW w:w="995" w:type="pct"/>
            <w:shd w:val="clear" w:color="auto" w:fill="auto"/>
          </w:tcPr>
          <w:p w14:paraId="5EA2049A" w14:textId="77777777" w:rsidR="003C66EB" w:rsidRDefault="003C66EB">
            <w:pPr>
              <w:rPr>
                <w:rFonts w:ascii="宋体"/>
              </w:rPr>
            </w:pPr>
          </w:p>
        </w:tc>
        <w:tc>
          <w:tcPr>
            <w:tcW w:w="5" w:type="pct"/>
            <w:shd w:val="clear" w:color="auto" w:fill="auto"/>
          </w:tcPr>
          <w:p w14:paraId="5EA2049B" w14:textId="77777777" w:rsidR="003C66EB" w:rsidRDefault="003C66EB">
            <w:pPr>
              <w:rPr>
                <w:rFonts w:ascii="宋体"/>
              </w:rPr>
            </w:pPr>
          </w:p>
        </w:tc>
        <w:tc>
          <w:tcPr>
            <w:tcW w:w="50" w:type="pct"/>
            <w:shd w:val="clear" w:color="auto" w:fill="auto"/>
          </w:tcPr>
          <w:p w14:paraId="5EA2049C" w14:textId="77777777" w:rsidR="003C66EB" w:rsidRDefault="003C66EB">
            <w:pPr>
              <w:rPr>
                <w:rFonts w:ascii="宋体"/>
              </w:rPr>
            </w:pPr>
          </w:p>
        </w:tc>
        <w:tc>
          <w:tcPr>
            <w:tcW w:w="1465" w:type="pct"/>
            <w:shd w:val="clear" w:color="auto" w:fill="auto"/>
          </w:tcPr>
          <w:p w14:paraId="5EA2049D" w14:textId="77777777" w:rsidR="003C66EB" w:rsidRDefault="003C66EB">
            <w:pPr>
              <w:rPr>
                <w:rFonts w:ascii="宋体"/>
              </w:rPr>
            </w:pPr>
          </w:p>
        </w:tc>
        <w:tc>
          <w:tcPr>
            <w:tcW w:w="5" w:type="pct"/>
            <w:shd w:val="clear" w:color="auto" w:fill="auto"/>
          </w:tcPr>
          <w:p w14:paraId="5EA2049E" w14:textId="77777777" w:rsidR="003C66EB" w:rsidRDefault="003C66EB">
            <w:pPr>
              <w:rPr>
                <w:rFonts w:ascii="宋体"/>
              </w:rPr>
            </w:pPr>
          </w:p>
        </w:tc>
        <w:tc>
          <w:tcPr>
            <w:tcW w:w="0" w:type="auto"/>
            <w:shd w:val="clear" w:color="auto" w:fill="auto"/>
          </w:tcPr>
          <w:p w14:paraId="5EA2049F" w14:textId="77777777" w:rsidR="003C66EB" w:rsidRDefault="003C66EB">
            <w:pPr>
              <w:rPr>
                <w:rFonts w:ascii="宋体"/>
                <w:vanish/>
              </w:rPr>
            </w:pPr>
          </w:p>
        </w:tc>
        <w:tc>
          <w:tcPr>
            <w:tcW w:w="0" w:type="auto"/>
            <w:shd w:val="clear" w:color="auto" w:fill="auto"/>
          </w:tcPr>
          <w:p w14:paraId="5EA204A0" w14:textId="77777777" w:rsidR="003C66EB" w:rsidRDefault="003C66EB">
            <w:pPr>
              <w:rPr>
                <w:rFonts w:ascii="宋体"/>
                <w:vanish/>
              </w:rPr>
            </w:pPr>
          </w:p>
        </w:tc>
      </w:tr>
      <w:tr w:rsidR="003C66EB" w14:paraId="5EA204A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4A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4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4A4" w14:textId="77777777" w:rsidR="003C66EB" w:rsidRDefault="003C66EB">
            <w:pPr>
              <w:rPr>
                <w:rFonts w:ascii="宋体"/>
              </w:rPr>
            </w:pPr>
          </w:p>
        </w:tc>
        <w:tc>
          <w:tcPr>
            <w:tcW w:w="0" w:type="auto"/>
            <w:shd w:val="clear" w:color="auto" w:fill="auto"/>
          </w:tcPr>
          <w:p w14:paraId="5EA204A5" w14:textId="77777777" w:rsidR="003C66EB" w:rsidRDefault="003C66EB">
            <w:pPr>
              <w:rPr>
                <w:rFonts w:ascii="宋体"/>
                <w:vanish/>
              </w:rPr>
            </w:pPr>
          </w:p>
        </w:tc>
        <w:tc>
          <w:tcPr>
            <w:tcW w:w="0" w:type="auto"/>
            <w:shd w:val="clear" w:color="auto" w:fill="auto"/>
          </w:tcPr>
          <w:p w14:paraId="5EA204A6" w14:textId="77777777" w:rsidR="003C66EB" w:rsidRDefault="003C66EB">
            <w:pPr>
              <w:rPr>
                <w:rFonts w:ascii="宋体"/>
                <w:vanish/>
              </w:rPr>
            </w:pPr>
          </w:p>
        </w:tc>
      </w:tr>
    </w:tbl>
    <w:p w14:paraId="5EA204A8" w14:textId="77777777" w:rsidR="003C66EB" w:rsidRDefault="00D96C4E">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provision for credit losses is primarily related to commercial and financial loans.</w:t>
      </w:r>
    </w:p>
    <w:p w14:paraId="5EA204A9" w14:textId="77777777" w:rsidR="003C66EB" w:rsidRDefault="00D96C4E">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charge-offs are related to commercial and financial loans.</w:t>
      </w:r>
    </w:p>
    <w:p w14:paraId="5EA204AA" w14:textId="77777777" w:rsidR="003C66EB" w:rsidRDefault="00D96C4E">
      <w:pPr>
        <w:spacing w:before="60"/>
        <w:ind w:firstLine="450"/>
        <w:jc w:val="both"/>
        <w:textAlignment w:val="top"/>
      </w:pPr>
      <w:r>
        <w:rPr>
          <w:rFonts w:ascii="Arial" w:eastAsia="宋体" w:hAnsi="Arial" w:cs="Arial"/>
          <w:color w:val="000000"/>
          <w:sz w:val="20"/>
          <w:szCs w:val="20"/>
        </w:rPr>
        <w:t xml:space="preserve">The provision for credit losses related to loans and financial </w:t>
      </w:r>
      <w:r>
        <w:rPr>
          <w:rFonts w:ascii="Arial" w:eastAsia="宋体" w:hAnsi="Arial" w:cs="Arial"/>
          <w:color w:val="000000"/>
          <w:sz w:val="20"/>
          <w:szCs w:val="20"/>
        </w:rPr>
        <w:t>assets held at amortized cost, including investment securities classified as HTM and off-balance sheet commitments, was a $9 million reserve release in the first quarter of 2021, compared to $36 million in the same period in 2020.</w:t>
      </w:r>
    </w:p>
    <w:p w14:paraId="5EA204AB" w14:textId="77777777" w:rsidR="003C66EB" w:rsidRDefault="00D96C4E">
      <w:pPr>
        <w:spacing w:before="60"/>
        <w:ind w:firstLine="450"/>
        <w:jc w:val="both"/>
        <w:textAlignment w:val="top"/>
      </w:pPr>
      <w:r>
        <w:rPr>
          <w:rFonts w:ascii="Arial" w:eastAsia="宋体" w:hAnsi="Arial" w:cs="Arial"/>
          <w:color w:val="000000"/>
          <w:sz w:val="20"/>
          <w:szCs w:val="20"/>
        </w:rPr>
        <w:t>As of March 31, 2021, app</w:t>
      </w:r>
      <w:r>
        <w:rPr>
          <w:rFonts w:ascii="Arial" w:eastAsia="宋体" w:hAnsi="Arial" w:cs="Arial"/>
          <w:color w:val="000000"/>
          <w:sz w:val="20"/>
          <w:szCs w:val="20"/>
        </w:rPr>
        <w:t>roximately $92 million of our allowance for credit losses was related to leveraged loans included in the commercial and financial segment compared to $83 million as of March 31, 2020. The reduction in the allowance in the first quarter of 2021 reflects a s</w:t>
      </w:r>
      <w:r>
        <w:rPr>
          <w:rFonts w:ascii="Arial" w:eastAsia="宋体" w:hAnsi="Arial" w:cs="Arial"/>
          <w:color w:val="000000"/>
          <w:sz w:val="20"/>
          <w:szCs w:val="20"/>
        </w:rPr>
        <w:t xml:space="preserve">hift in management’s economic outlook toward economic expansion and limited negative credit migration within our loan portfolio. As our view on current and future economic </w:t>
      </w:r>
    </w:p>
    <w:p w14:paraId="5EA204AC" w14:textId="77777777" w:rsidR="003C66EB" w:rsidRDefault="00D96C4E">
      <w:pPr>
        <w:ind w:firstLine="450"/>
        <w:jc w:val="right"/>
      </w:pPr>
      <w:r>
        <w:rPr>
          <w:rFonts w:ascii="Arial" w:eastAsia="宋体" w:hAnsi="Arial" w:cs="Arial"/>
          <w:color w:val="000000"/>
          <w:sz w:val="18"/>
          <w:szCs w:val="18"/>
        </w:rPr>
        <w:t>State Street Corporation | 26</w:t>
      </w:r>
    </w:p>
    <w:p w14:paraId="5EA204AD" w14:textId="77777777" w:rsidR="003C66EB" w:rsidRDefault="003C66EB">
      <w:pPr>
        <w:ind w:firstLine="450"/>
        <w:jc w:val="center"/>
      </w:pPr>
    </w:p>
    <w:p w14:paraId="5EA204AE" w14:textId="77777777" w:rsidR="003C66EB" w:rsidRDefault="00D96C4E">
      <w:r>
        <w:pict w14:anchorId="5EA287CA">
          <v:rect id="_x0000_i1050" style="width:415.3pt;height:1.5pt" o:hralign="center" o:hrstd="t" o:hr="t" fillcolor="#a0a0a0" stroked="f"/>
        </w:pict>
      </w:r>
    </w:p>
    <w:p w14:paraId="5EA204AF" w14:textId="77777777" w:rsidR="003C66EB" w:rsidRDefault="00D96C4E">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5EA204B0" w14:textId="77777777" w:rsidR="003C66EB" w:rsidRDefault="00D96C4E">
      <w:pPr>
        <w:ind w:firstLine="450"/>
        <w:jc w:val="center"/>
      </w:pPr>
      <w:r>
        <w:rPr>
          <w:rFonts w:ascii="Arial" w:eastAsia="宋体" w:hAnsi="Arial" w:cs="Arial"/>
          <w:b/>
          <w:bCs/>
          <w:color w:val="000000"/>
          <w:sz w:val="20"/>
          <w:szCs w:val="20"/>
        </w:rPr>
        <w:t>AND RESULTS OF OPERATIONS</w:t>
      </w:r>
    </w:p>
    <w:p w14:paraId="5EA204B1" w14:textId="77777777" w:rsidR="003C66EB" w:rsidRDefault="00D96C4E">
      <w:pPr>
        <w:spacing w:before="60"/>
        <w:jc w:val="both"/>
        <w:textAlignment w:val="top"/>
      </w:pPr>
      <w:r>
        <w:rPr>
          <w:rFonts w:ascii="Arial" w:eastAsia="宋体" w:hAnsi="Arial" w:cs="Arial"/>
          <w:color w:val="000000"/>
          <w:sz w:val="20"/>
          <w:szCs w:val="20"/>
        </w:rPr>
        <w:t xml:space="preserve">scenarios change, our allowance for credit losses related to these loans may be impacted through a change to the provisions for credit losses, reflecting credit migration within our loan portfolio, as well as changes in </w:t>
      </w:r>
      <w:r>
        <w:rPr>
          <w:rFonts w:ascii="Arial" w:eastAsia="宋体" w:hAnsi="Arial" w:cs="Arial"/>
          <w:color w:val="000000"/>
          <w:sz w:val="20"/>
          <w:szCs w:val="20"/>
        </w:rPr>
        <w:t>management's economic outlook as of year-end. The remaining $43 million and $41 million as of March 31, 2021 and 2020, respectively, was related to off-balance sheet commitments and other financial assets held at amortized cost, including investment securi</w:t>
      </w:r>
      <w:r>
        <w:rPr>
          <w:rFonts w:ascii="Arial" w:eastAsia="宋体" w:hAnsi="Arial" w:cs="Arial"/>
          <w:color w:val="000000"/>
          <w:sz w:val="20"/>
          <w:szCs w:val="20"/>
        </w:rPr>
        <w:t xml:space="preserve">ties held to maturity. </w:t>
      </w:r>
    </w:p>
    <w:p w14:paraId="5EA204B2" w14:textId="77777777" w:rsidR="003C66EB" w:rsidRDefault="00D96C4E">
      <w:pPr>
        <w:spacing w:before="60"/>
        <w:ind w:firstLine="450"/>
        <w:jc w:val="both"/>
        <w:textAlignment w:val="top"/>
      </w:pPr>
      <w:r>
        <w:rPr>
          <w:rFonts w:ascii="Arial" w:eastAsia="宋体" w:hAnsi="Arial" w:cs="Arial"/>
          <w:color w:val="000000"/>
          <w:sz w:val="20"/>
          <w:szCs w:val="20"/>
        </w:rPr>
        <w:t>An allowance for credit losses is recognized on HTM securities upon acquisition of the security, and on AFS securities when the fair value and expected future cash flows of the investment securities are less than their amortized cos</w:t>
      </w:r>
      <w:r>
        <w:rPr>
          <w:rFonts w:ascii="Arial" w:eastAsia="宋体" w:hAnsi="Arial" w:cs="Arial"/>
          <w:color w:val="000000"/>
          <w:sz w:val="20"/>
          <w:szCs w:val="20"/>
        </w:rPr>
        <w:t>t basis. Our assessment of impairment involves an evaluation of economic and security-specific factors. Such factors are based on estimates, derived by management, which contemplate current market conditions and security-specific performance. To the extent</w:t>
      </w:r>
      <w:r>
        <w:rPr>
          <w:rFonts w:ascii="Arial" w:eastAsia="宋体" w:hAnsi="Arial" w:cs="Arial"/>
          <w:color w:val="000000"/>
          <w:sz w:val="20"/>
          <w:szCs w:val="20"/>
        </w:rPr>
        <w:t xml:space="preserve"> that market conditions are worse than management's expectations or due to idiosyncratic bond performance, the credit-related component of impairment, in particular, could increase and would be recorded in the provision for credit losses. Additional inform</w:t>
      </w:r>
      <w:r>
        <w:rPr>
          <w:rFonts w:ascii="Arial" w:eastAsia="宋体" w:hAnsi="Arial" w:cs="Arial"/>
          <w:color w:val="000000"/>
          <w:sz w:val="20"/>
          <w:szCs w:val="20"/>
        </w:rPr>
        <w:t>ation with respect to the allowance for credit losses, net impairment losses and gross unrealized losses is provided in Note 3 to the consolidated financial statements in this Form 10-Q.</w:t>
      </w:r>
    </w:p>
    <w:p w14:paraId="5EA204B3" w14:textId="77777777" w:rsidR="003C66EB" w:rsidRDefault="00D96C4E">
      <w:pPr>
        <w:spacing w:before="90"/>
        <w:textAlignment w:val="top"/>
      </w:pPr>
      <w:r>
        <w:rPr>
          <w:rFonts w:ascii="Arial" w:eastAsia="宋体" w:hAnsi="Arial" w:cs="Arial"/>
          <w:b/>
          <w:bCs/>
          <w:color w:val="000000"/>
          <w:sz w:val="20"/>
          <w:szCs w:val="20"/>
        </w:rPr>
        <w:t>Cross-Border Outstandings</w:t>
      </w:r>
    </w:p>
    <w:p w14:paraId="5EA204B4" w14:textId="77777777" w:rsidR="003C66EB" w:rsidRDefault="00D96C4E">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or other non-local currency, as well as non-U.S. local currency claims not funded by local currency liabilities. Our cross-border outstandi</w:t>
      </w:r>
      <w:r>
        <w:rPr>
          <w:rFonts w:ascii="Arial" w:eastAsia="宋体" w:hAnsi="Arial" w:cs="Arial"/>
          <w:color w:val="000000"/>
          <w:sz w:val="20"/>
          <w:szCs w:val="20"/>
        </w:rPr>
        <w:t xml:space="preserve">ngs consist primarily of deposits with banks; loans and lease financing, including short-duration advances; investment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w:t>
      </w:r>
      <w:r>
        <w:rPr>
          <w:rFonts w:ascii="Arial" w:eastAsia="宋体" w:hAnsi="Arial" w:cs="Arial"/>
          <w:color w:val="000000"/>
          <w:sz w:val="20"/>
          <w:szCs w:val="20"/>
        </w:rPr>
        <w:t>ings have the risk that, as a result of political or economic conditions in a country, borrowers may be unable to meet their contractual repayment obligations of principal and/or interest when due because of the unavailability of, or restrictions on, FX ne</w:t>
      </w:r>
      <w:r>
        <w:rPr>
          <w:rFonts w:ascii="Arial" w:eastAsia="宋体" w:hAnsi="Arial" w:cs="Arial"/>
          <w:color w:val="000000"/>
          <w:sz w:val="20"/>
          <w:szCs w:val="20"/>
        </w:rPr>
        <w:t>eded by borrowers to repay their obligations.</w:t>
      </w:r>
    </w:p>
    <w:p w14:paraId="5EA204B5" w14:textId="77777777" w:rsidR="003C66EB" w:rsidRDefault="00D96C4E">
      <w:pPr>
        <w:spacing w:before="60"/>
        <w:ind w:firstLine="450"/>
        <w:jc w:val="both"/>
        <w:textAlignment w:val="top"/>
      </w:pPr>
      <w:r>
        <w:rPr>
          <w:rFonts w:ascii="Arial" w:eastAsia="宋体" w:hAnsi="Arial" w:cs="Arial"/>
          <w:color w:val="000000"/>
          <w:sz w:val="20"/>
          <w:szCs w:val="20"/>
        </w:rPr>
        <w:t>As market and economic conditions change, the major independent credit rating agencies may downgrade U.S. and non-U.S. financial institutions and sovereign issuers which have been, and may in the future be, sig</w:t>
      </w:r>
      <w:r>
        <w:rPr>
          <w:rFonts w:ascii="Arial" w:eastAsia="宋体" w:hAnsi="Arial" w:cs="Arial"/>
          <w:color w:val="000000"/>
          <w:sz w:val="20"/>
          <w:szCs w:val="20"/>
        </w:rPr>
        <w:t>nificant counterparties to us, or whose financial instruments serve as collateral on which we rely for credit risk mitigation purposes, and may do so again in the future. As a result, we may be exposed to increased counterparty risk, leading to negative ra</w:t>
      </w:r>
      <w:r>
        <w:rPr>
          <w:rFonts w:ascii="Arial" w:eastAsia="宋体" w:hAnsi="Arial" w:cs="Arial"/>
          <w:color w:val="000000"/>
          <w:sz w:val="20"/>
          <w:szCs w:val="20"/>
        </w:rPr>
        <w:t>tings volatility.</w:t>
      </w:r>
    </w:p>
    <w:p w14:paraId="5EA204B6" w14:textId="77777777" w:rsidR="003C66EB" w:rsidRDefault="00D96C4E">
      <w:pPr>
        <w:spacing w:before="60"/>
        <w:ind w:firstLine="450"/>
        <w:jc w:val="both"/>
        <w:textAlignment w:val="top"/>
      </w:pPr>
      <w:r>
        <w:rPr>
          <w:rFonts w:ascii="Arial" w:eastAsia="宋体" w:hAnsi="Arial" w:cs="Arial"/>
          <w:color w:val="000000"/>
          <w:sz w:val="20"/>
          <w:szCs w:val="20"/>
        </w:rPr>
        <w:t>The cross-border outstandings presented in Table 27: Cross-border outstandings, represented approximately 26% and 30% of our consolidated total assets as of March 31, 2021 and December 31,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4"/>
        <w:gridCol w:w="2360"/>
        <w:gridCol w:w="37"/>
        <w:gridCol w:w="99"/>
        <w:gridCol w:w="1757"/>
        <w:gridCol w:w="37"/>
        <w:gridCol w:w="36"/>
        <w:gridCol w:w="75"/>
        <w:gridCol w:w="36"/>
        <w:gridCol w:w="99"/>
        <w:gridCol w:w="1758"/>
        <w:gridCol w:w="37"/>
        <w:gridCol w:w="36"/>
        <w:gridCol w:w="75"/>
        <w:gridCol w:w="36"/>
        <w:gridCol w:w="99"/>
        <w:gridCol w:w="1679"/>
        <w:gridCol w:w="36"/>
      </w:tblGrid>
      <w:tr w:rsidR="003C66EB" w14:paraId="5EA204C9" w14:textId="77777777">
        <w:tc>
          <w:tcPr>
            <w:tcW w:w="50" w:type="pct"/>
            <w:shd w:val="clear" w:color="auto" w:fill="auto"/>
          </w:tcPr>
          <w:p w14:paraId="5EA204B7" w14:textId="77777777" w:rsidR="003C66EB" w:rsidRDefault="003C66EB">
            <w:pPr>
              <w:rPr>
                <w:rFonts w:ascii="宋体"/>
              </w:rPr>
            </w:pPr>
          </w:p>
        </w:tc>
        <w:tc>
          <w:tcPr>
            <w:tcW w:w="1438" w:type="pct"/>
            <w:shd w:val="clear" w:color="auto" w:fill="auto"/>
          </w:tcPr>
          <w:p w14:paraId="5EA204B8" w14:textId="77777777" w:rsidR="003C66EB" w:rsidRDefault="003C66EB">
            <w:pPr>
              <w:rPr>
                <w:rFonts w:ascii="宋体"/>
              </w:rPr>
            </w:pPr>
          </w:p>
        </w:tc>
        <w:tc>
          <w:tcPr>
            <w:tcW w:w="5" w:type="pct"/>
            <w:shd w:val="clear" w:color="auto" w:fill="auto"/>
          </w:tcPr>
          <w:p w14:paraId="5EA204B9" w14:textId="77777777" w:rsidR="003C66EB" w:rsidRDefault="003C66EB">
            <w:pPr>
              <w:rPr>
                <w:rFonts w:ascii="宋体"/>
              </w:rPr>
            </w:pPr>
          </w:p>
        </w:tc>
        <w:tc>
          <w:tcPr>
            <w:tcW w:w="50" w:type="pct"/>
            <w:shd w:val="clear" w:color="auto" w:fill="auto"/>
          </w:tcPr>
          <w:p w14:paraId="5EA204BA" w14:textId="77777777" w:rsidR="003C66EB" w:rsidRDefault="003C66EB">
            <w:pPr>
              <w:rPr>
                <w:rFonts w:ascii="宋体"/>
              </w:rPr>
            </w:pPr>
          </w:p>
        </w:tc>
        <w:tc>
          <w:tcPr>
            <w:tcW w:w="1077" w:type="pct"/>
            <w:shd w:val="clear" w:color="auto" w:fill="auto"/>
          </w:tcPr>
          <w:p w14:paraId="5EA204BB" w14:textId="77777777" w:rsidR="003C66EB" w:rsidRDefault="003C66EB">
            <w:pPr>
              <w:rPr>
                <w:rFonts w:ascii="宋体"/>
              </w:rPr>
            </w:pPr>
          </w:p>
        </w:tc>
        <w:tc>
          <w:tcPr>
            <w:tcW w:w="5" w:type="pct"/>
            <w:shd w:val="clear" w:color="auto" w:fill="auto"/>
          </w:tcPr>
          <w:p w14:paraId="5EA204BC" w14:textId="77777777" w:rsidR="003C66EB" w:rsidRDefault="003C66EB">
            <w:pPr>
              <w:rPr>
                <w:rFonts w:ascii="宋体"/>
              </w:rPr>
            </w:pPr>
          </w:p>
        </w:tc>
        <w:tc>
          <w:tcPr>
            <w:tcW w:w="5" w:type="pct"/>
            <w:shd w:val="clear" w:color="auto" w:fill="auto"/>
          </w:tcPr>
          <w:p w14:paraId="5EA204BD" w14:textId="77777777" w:rsidR="003C66EB" w:rsidRDefault="003C66EB">
            <w:pPr>
              <w:rPr>
                <w:rFonts w:ascii="宋体"/>
              </w:rPr>
            </w:pPr>
          </w:p>
        </w:tc>
        <w:tc>
          <w:tcPr>
            <w:tcW w:w="68" w:type="pct"/>
            <w:shd w:val="clear" w:color="auto" w:fill="auto"/>
          </w:tcPr>
          <w:p w14:paraId="5EA204BE" w14:textId="77777777" w:rsidR="003C66EB" w:rsidRDefault="003C66EB">
            <w:pPr>
              <w:rPr>
                <w:rFonts w:ascii="宋体"/>
              </w:rPr>
            </w:pPr>
          </w:p>
        </w:tc>
        <w:tc>
          <w:tcPr>
            <w:tcW w:w="5" w:type="pct"/>
            <w:shd w:val="clear" w:color="auto" w:fill="auto"/>
          </w:tcPr>
          <w:p w14:paraId="5EA204BF" w14:textId="77777777" w:rsidR="003C66EB" w:rsidRDefault="003C66EB">
            <w:pPr>
              <w:rPr>
                <w:rFonts w:ascii="宋体"/>
              </w:rPr>
            </w:pPr>
          </w:p>
        </w:tc>
        <w:tc>
          <w:tcPr>
            <w:tcW w:w="50" w:type="pct"/>
            <w:shd w:val="clear" w:color="auto" w:fill="auto"/>
          </w:tcPr>
          <w:p w14:paraId="5EA204C0" w14:textId="77777777" w:rsidR="003C66EB" w:rsidRDefault="003C66EB">
            <w:pPr>
              <w:rPr>
                <w:rFonts w:ascii="宋体"/>
              </w:rPr>
            </w:pPr>
          </w:p>
        </w:tc>
        <w:tc>
          <w:tcPr>
            <w:tcW w:w="1077" w:type="pct"/>
            <w:shd w:val="clear" w:color="auto" w:fill="auto"/>
          </w:tcPr>
          <w:p w14:paraId="5EA204C1" w14:textId="77777777" w:rsidR="003C66EB" w:rsidRDefault="003C66EB">
            <w:pPr>
              <w:rPr>
                <w:rFonts w:ascii="宋体"/>
              </w:rPr>
            </w:pPr>
          </w:p>
        </w:tc>
        <w:tc>
          <w:tcPr>
            <w:tcW w:w="5" w:type="pct"/>
            <w:shd w:val="clear" w:color="auto" w:fill="auto"/>
          </w:tcPr>
          <w:p w14:paraId="5EA204C2" w14:textId="77777777" w:rsidR="003C66EB" w:rsidRDefault="003C66EB">
            <w:pPr>
              <w:rPr>
                <w:rFonts w:ascii="宋体"/>
              </w:rPr>
            </w:pPr>
          </w:p>
        </w:tc>
        <w:tc>
          <w:tcPr>
            <w:tcW w:w="5" w:type="pct"/>
            <w:shd w:val="clear" w:color="auto" w:fill="auto"/>
          </w:tcPr>
          <w:p w14:paraId="5EA204C3" w14:textId="77777777" w:rsidR="003C66EB" w:rsidRDefault="003C66EB">
            <w:pPr>
              <w:rPr>
                <w:rFonts w:ascii="宋体"/>
              </w:rPr>
            </w:pPr>
          </w:p>
        </w:tc>
        <w:tc>
          <w:tcPr>
            <w:tcW w:w="68" w:type="pct"/>
            <w:shd w:val="clear" w:color="auto" w:fill="auto"/>
          </w:tcPr>
          <w:p w14:paraId="5EA204C4" w14:textId="77777777" w:rsidR="003C66EB" w:rsidRDefault="003C66EB">
            <w:pPr>
              <w:rPr>
                <w:rFonts w:ascii="宋体"/>
              </w:rPr>
            </w:pPr>
          </w:p>
        </w:tc>
        <w:tc>
          <w:tcPr>
            <w:tcW w:w="5" w:type="pct"/>
            <w:shd w:val="clear" w:color="auto" w:fill="auto"/>
          </w:tcPr>
          <w:p w14:paraId="5EA204C5" w14:textId="77777777" w:rsidR="003C66EB" w:rsidRDefault="003C66EB">
            <w:pPr>
              <w:rPr>
                <w:rFonts w:ascii="宋体"/>
              </w:rPr>
            </w:pPr>
          </w:p>
        </w:tc>
        <w:tc>
          <w:tcPr>
            <w:tcW w:w="50" w:type="pct"/>
            <w:shd w:val="clear" w:color="auto" w:fill="auto"/>
          </w:tcPr>
          <w:p w14:paraId="5EA204C6" w14:textId="77777777" w:rsidR="003C66EB" w:rsidRDefault="003C66EB">
            <w:pPr>
              <w:rPr>
                <w:rFonts w:ascii="宋体"/>
              </w:rPr>
            </w:pPr>
          </w:p>
        </w:tc>
        <w:tc>
          <w:tcPr>
            <w:tcW w:w="1030" w:type="pct"/>
            <w:shd w:val="clear" w:color="auto" w:fill="auto"/>
          </w:tcPr>
          <w:p w14:paraId="5EA204C7" w14:textId="77777777" w:rsidR="003C66EB" w:rsidRDefault="003C66EB">
            <w:pPr>
              <w:rPr>
                <w:rFonts w:ascii="宋体"/>
              </w:rPr>
            </w:pPr>
          </w:p>
        </w:tc>
        <w:tc>
          <w:tcPr>
            <w:tcW w:w="5" w:type="pct"/>
            <w:shd w:val="clear" w:color="auto" w:fill="auto"/>
          </w:tcPr>
          <w:p w14:paraId="5EA204C8" w14:textId="77777777" w:rsidR="003C66EB" w:rsidRDefault="003C66EB">
            <w:pPr>
              <w:rPr>
                <w:rFonts w:ascii="宋体"/>
              </w:rPr>
            </w:pPr>
          </w:p>
        </w:tc>
      </w:tr>
      <w:tr w:rsidR="003C66EB" w14:paraId="5EA204CB" w14:textId="77777777">
        <w:tc>
          <w:tcPr>
            <w:tcW w:w="0" w:type="auto"/>
            <w:gridSpan w:val="18"/>
            <w:shd w:val="clear" w:color="auto" w:fill="auto"/>
            <w:tcMar>
              <w:top w:w="40" w:type="dxa"/>
              <w:left w:w="20" w:type="dxa"/>
              <w:bottom w:w="40" w:type="dxa"/>
              <w:right w:w="20" w:type="dxa"/>
            </w:tcMar>
            <w:vAlign w:val="bottom"/>
          </w:tcPr>
          <w:p w14:paraId="5EA204CA" w14:textId="77777777" w:rsidR="003C66EB" w:rsidRDefault="00D96C4E">
            <w:pPr>
              <w:textAlignment w:val="bottom"/>
            </w:pPr>
            <w:r>
              <w:rPr>
                <w:rFonts w:ascii="Arial" w:eastAsia="宋体" w:hAnsi="Arial" w:cs="Arial"/>
                <w:b/>
                <w:bCs/>
                <w:color w:val="000000"/>
                <w:sz w:val="16"/>
                <w:szCs w:val="16"/>
              </w:rPr>
              <w:t xml:space="preserve">TABLE </w:t>
            </w:r>
            <w:r>
              <w:rPr>
                <w:rFonts w:ascii="Arial" w:eastAsia="宋体" w:hAnsi="Arial" w:cs="Arial"/>
                <w:b/>
                <w:bCs/>
                <w:color w:val="000000"/>
                <w:sz w:val="16"/>
                <w:szCs w:val="16"/>
              </w:rPr>
              <w:t>27: CROSS-BORDER OUTSTANDINGS</w:t>
            </w:r>
            <w:r>
              <w:rPr>
                <w:rFonts w:ascii="Arial" w:eastAsia="宋体" w:hAnsi="Arial" w:cs="Arial"/>
                <w:b/>
                <w:bCs/>
                <w:color w:val="000000"/>
                <w:sz w:val="10"/>
                <w:szCs w:val="10"/>
              </w:rPr>
              <w:t>(1)</w:t>
            </w:r>
          </w:p>
        </w:tc>
      </w:tr>
      <w:tr w:rsidR="003C66EB" w14:paraId="5EA204D2" w14:textId="77777777">
        <w:tc>
          <w:tcPr>
            <w:tcW w:w="0" w:type="auto"/>
            <w:gridSpan w:val="3"/>
            <w:shd w:val="clear" w:color="auto" w:fill="auto"/>
            <w:tcMar>
              <w:top w:w="40" w:type="dxa"/>
              <w:left w:w="20" w:type="dxa"/>
              <w:bottom w:w="40" w:type="dxa"/>
              <w:right w:w="20" w:type="dxa"/>
            </w:tcMar>
            <w:vAlign w:val="bottom"/>
          </w:tcPr>
          <w:p w14:paraId="5EA204CC"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04CD" w14:textId="77777777" w:rsidR="003C66EB" w:rsidRDefault="00D96C4E">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tcPr>
          <w:p w14:paraId="5EA204C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4CF" w14:textId="77777777" w:rsidR="003C66EB" w:rsidRDefault="00D96C4E">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tcPr>
          <w:p w14:paraId="5EA204D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04D1" w14:textId="77777777" w:rsidR="003C66EB" w:rsidRDefault="00D96C4E">
            <w:pPr>
              <w:jc w:val="center"/>
              <w:textAlignment w:val="bottom"/>
            </w:pPr>
            <w:r>
              <w:rPr>
                <w:rFonts w:ascii="Arial" w:eastAsia="宋体" w:hAnsi="Arial" w:cs="Arial"/>
                <w:b/>
                <w:bCs/>
                <w:color w:val="000000"/>
                <w:sz w:val="14"/>
                <w:szCs w:val="14"/>
              </w:rPr>
              <w:t>Total Cross-Border Outstandings</w:t>
            </w:r>
          </w:p>
        </w:tc>
      </w:tr>
      <w:tr w:rsidR="003C66EB" w14:paraId="5EA204D9" w14:textId="77777777">
        <w:tc>
          <w:tcPr>
            <w:tcW w:w="0" w:type="auto"/>
            <w:gridSpan w:val="3"/>
            <w:shd w:val="clear" w:color="auto" w:fill="auto"/>
            <w:tcMar>
              <w:top w:w="40" w:type="dxa"/>
              <w:left w:w="20" w:type="dxa"/>
              <w:bottom w:w="40" w:type="dxa"/>
              <w:right w:w="20" w:type="dxa"/>
            </w:tcMar>
            <w:vAlign w:val="bottom"/>
          </w:tcPr>
          <w:p w14:paraId="5EA204D3" w14:textId="77777777" w:rsidR="003C66EB" w:rsidRDefault="00D96C4E">
            <w:pPr>
              <w:textAlignment w:val="bottom"/>
            </w:pPr>
            <w:r>
              <w:rPr>
                <w:rFonts w:ascii="Arial" w:eastAsia="宋体" w:hAnsi="Arial" w:cs="Arial"/>
                <w:b/>
                <w:bCs/>
                <w:color w:val="000000"/>
                <w:sz w:val="14"/>
                <w:szCs w:val="14"/>
              </w:rPr>
              <w:t>March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4D4" w14:textId="77777777" w:rsidR="003C66EB" w:rsidRDefault="00D96C4E">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tcPr>
          <w:p w14:paraId="5EA204D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4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4D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4D8" w14:textId="77777777" w:rsidR="003C66EB" w:rsidRDefault="00D96C4E">
            <w:pPr>
              <w:textAlignment w:val="bottom"/>
            </w:pPr>
            <w:r>
              <w:rPr>
                <w:rFonts w:ascii="Arial" w:eastAsia="宋体" w:hAnsi="Arial" w:cs="Arial"/>
                <w:color w:val="000000"/>
                <w:sz w:val="14"/>
                <w:szCs w:val="14"/>
              </w:rPr>
              <w:t> </w:t>
            </w:r>
          </w:p>
        </w:tc>
      </w:tr>
      <w:tr w:rsidR="003C66EB" w14:paraId="5EA204E6" w14:textId="77777777">
        <w:tc>
          <w:tcPr>
            <w:tcW w:w="0" w:type="auto"/>
            <w:gridSpan w:val="3"/>
            <w:shd w:val="clear" w:color="auto" w:fill="CCEEFF"/>
            <w:tcMar>
              <w:top w:w="40" w:type="dxa"/>
              <w:left w:w="20" w:type="dxa"/>
              <w:bottom w:w="40" w:type="dxa"/>
              <w:right w:w="20" w:type="dxa"/>
            </w:tcMar>
            <w:vAlign w:val="bottom"/>
          </w:tcPr>
          <w:p w14:paraId="5EA204DA" w14:textId="77777777" w:rsidR="003C66EB" w:rsidRDefault="00D96C4E">
            <w:pPr>
              <w:textAlignment w:val="bottom"/>
            </w:pPr>
            <w:r>
              <w:rPr>
                <w:rFonts w:ascii="Arial" w:eastAsia="宋体" w:hAnsi="Arial" w:cs="Arial"/>
                <w:color w:val="000000"/>
                <w:sz w:val="14"/>
                <w:szCs w:val="14"/>
              </w:rPr>
              <w:t>United Kingdom</w:t>
            </w:r>
          </w:p>
        </w:tc>
        <w:tc>
          <w:tcPr>
            <w:tcW w:w="0" w:type="auto"/>
            <w:shd w:val="clear" w:color="auto" w:fill="CCEEFF"/>
            <w:tcMar>
              <w:top w:w="40" w:type="dxa"/>
              <w:left w:w="20" w:type="dxa"/>
              <w:bottom w:w="40" w:type="dxa"/>
              <w:right w:w="0" w:type="dxa"/>
            </w:tcMar>
            <w:vAlign w:val="bottom"/>
          </w:tcPr>
          <w:p w14:paraId="5EA204DB"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04DC" w14:textId="77777777" w:rsidR="003C66EB" w:rsidRDefault="00D96C4E">
            <w:pPr>
              <w:jc w:val="right"/>
              <w:textAlignment w:val="bottom"/>
            </w:pPr>
            <w:r>
              <w:rPr>
                <w:rFonts w:ascii="Arial" w:eastAsia="宋体" w:hAnsi="Arial" w:cs="Arial"/>
                <w:b/>
                <w:bCs/>
                <w:color w:val="000000"/>
                <w:sz w:val="14"/>
                <w:szCs w:val="14"/>
              </w:rPr>
              <w:t>22,240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D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4DF"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04E0" w14:textId="77777777" w:rsidR="003C66EB" w:rsidRDefault="00D96C4E">
            <w:pPr>
              <w:jc w:val="right"/>
              <w:textAlignment w:val="bottom"/>
            </w:pPr>
            <w:r>
              <w:rPr>
                <w:rFonts w:ascii="Arial" w:eastAsia="宋体" w:hAnsi="Arial" w:cs="Arial"/>
                <w:b/>
                <w:bCs/>
                <w:color w:val="000000"/>
                <w:sz w:val="14"/>
                <w:szCs w:val="14"/>
              </w:rPr>
              <w:t>1,193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E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4E3"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04E4" w14:textId="77777777" w:rsidR="003C66EB" w:rsidRDefault="00D96C4E">
            <w:pPr>
              <w:jc w:val="right"/>
              <w:textAlignment w:val="bottom"/>
            </w:pPr>
            <w:r>
              <w:rPr>
                <w:rFonts w:ascii="Arial" w:eastAsia="宋体" w:hAnsi="Arial" w:cs="Arial"/>
                <w:b/>
                <w:bCs/>
                <w:color w:val="000000"/>
                <w:sz w:val="14"/>
                <w:szCs w:val="14"/>
              </w:rPr>
              <w:t>23,433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E5" w14:textId="77777777" w:rsidR="003C66EB" w:rsidRDefault="003C66EB">
            <w:pPr>
              <w:jc w:val="right"/>
              <w:rPr>
                <w:rFonts w:ascii="宋体"/>
              </w:rPr>
            </w:pPr>
          </w:p>
        </w:tc>
      </w:tr>
      <w:tr w:rsidR="003C66EB" w14:paraId="5EA204F0" w14:textId="77777777">
        <w:tc>
          <w:tcPr>
            <w:tcW w:w="0" w:type="auto"/>
            <w:gridSpan w:val="3"/>
            <w:shd w:val="clear" w:color="auto" w:fill="FFFFFF"/>
            <w:tcMar>
              <w:top w:w="40" w:type="dxa"/>
              <w:left w:w="20" w:type="dxa"/>
              <w:bottom w:w="40" w:type="dxa"/>
              <w:right w:w="20" w:type="dxa"/>
            </w:tcMar>
            <w:vAlign w:val="bottom"/>
          </w:tcPr>
          <w:p w14:paraId="5EA204E7" w14:textId="77777777" w:rsidR="003C66EB" w:rsidRDefault="00D96C4E">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5EA204E8" w14:textId="77777777" w:rsidR="003C66EB" w:rsidRDefault="00D96C4E">
            <w:pPr>
              <w:jc w:val="right"/>
              <w:textAlignment w:val="bottom"/>
            </w:pPr>
            <w:r>
              <w:rPr>
                <w:rFonts w:ascii="Arial" w:eastAsia="宋体" w:hAnsi="Arial" w:cs="Arial"/>
                <w:b/>
                <w:bCs/>
                <w:color w:val="000000"/>
                <w:sz w:val="14"/>
                <w:szCs w:val="14"/>
              </w:rPr>
              <w:t>22,924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4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4E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4EB" w14:textId="77777777" w:rsidR="003C66EB" w:rsidRDefault="00D96C4E">
            <w:pPr>
              <w:jc w:val="right"/>
              <w:textAlignment w:val="bottom"/>
            </w:pPr>
            <w:r>
              <w:rPr>
                <w:rFonts w:ascii="Arial" w:eastAsia="宋体" w:hAnsi="Arial" w:cs="Arial"/>
                <w:b/>
                <w:bCs/>
                <w:color w:val="000000"/>
                <w:sz w:val="14"/>
                <w:szCs w:val="14"/>
              </w:rPr>
              <w:t>422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4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4E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4EE" w14:textId="77777777" w:rsidR="003C66EB" w:rsidRDefault="00D96C4E">
            <w:pPr>
              <w:jc w:val="right"/>
              <w:textAlignment w:val="bottom"/>
            </w:pPr>
            <w:r>
              <w:rPr>
                <w:rFonts w:ascii="Arial" w:eastAsia="宋体" w:hAnsi="Arial" w:cs="Arial"/>
                <w:b/>
                <w:bCs/>
                <w:color w:val="000000"/>
                <w:sz w:val="14"/>
                <w:szCs w:val="14"/>
              </w:rPr>
              <w:t>23,346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4EF" w14:textId="77777777" w:rsidR="003C66EB" w:rsidRDefault="003C66EB">
            <w:pPr>
              <w:jc w:val="right"/>
              <w:rPr>
                <w:rFonts w:ascii="宋体"/>
              </w:rPr>
            </w:pPr>
          </w:p>
        </w:tc>
      </w:tr>
      <w:tr w:rsidR="003C66EB" w14:paraId="5EA204FA" w14:textId="77777777">
        <w:tc>
          <w:tcPr>
            <w:tcW w:w="0" w:type="auto"/>
            <w:gridSpan w:val="3"/>
            <w:shd w:val="clear" w:color="auto" w:fill="CCEEFF"/>
            <w:tcMar>
              <w:top w:w="40" w:type="dxa"/>
              <w:left w:w="20" w:type="dxa"/>
              <w:bottom w:w="40" w:type="dxa"/>
              <w:right w:w="20" w:type="dxa"/>
            </w:tcMar>
            <w:vAlign w:val="bottom"/>
          </w:tcPr>
          <w:p w14:paraId="5EA204F1" w14:textId="77777777" w:rsidR="003C66EB" w:rsidRDefault="00D96C4E">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5EA204F2" w14:textId="77777777" w:rsidR="003C66EB" w:rsidRDefault="00D96C4E">
            <w:pPr>
              <w:jc w:val="right"/>
              <w:textAlignment w:val="bottom"/>
            </w:pPr>
            <w:r>
              <w:rPr>
                <w:rFonts w:ascii="Arial" w:eastAsia="宋体" w:hAnsi="Arial" w:cs="Arial"/>
                <w:b/>
                <w:bCs/>
                <w:color w:val="000000"/>
                <w:sz w:val="14"/>
                <w:szCs w:val="14"/>
              </w:rPr>
              <w:t>6,186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F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F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4F5" w14:textId="77777777" w:rsidR="003C66EB" w:rsidRDefault="00D96C4E">
            <w:pPr>
              <w:jc w:val="right"/>
              <w:textAlignment w:val="bottom"/>
            </w:pPr>
            <w:r>
              <w:rPr>
                <w:rFonts w:ascii="Arial" w:eastAsia="宋体" w:hAnsi="Arial" w:cs="Arial"/>
                <w:b/>
                <w:bCs/>
                <w:color w:val="000000"/>
                <w:sz w:val="14"/>
                <w:szCs w:val="14"/>
              </w:rPr>
              <w:t>2,162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4F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4F8" w14:textId="77777777" w:rsidR="003C66EB" w:rsidRDefault="00D96C4E">
            <w:pPr>
              <w:jc w:val="right"/>
              <w:textAlignment w:val="bottom"/>
            </w:pPr>
            <w:r>
              <w:rPr>
                <w:rFonts w:ascii="Arial" w:eastAsia="宋体" w:hAnsi="Arial" w:cs="Arial"/>
                <w:b/>
                <w:bCs/>
                <w:color w:val="000000"/>
                <w:sz w:val="14"/>
                <w:szCs w:val="14"/>
              </w:rPr>
              <w:t>8,348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4F9" w14:textId="77777777" w:rsidR="003C66EB" w:rsidRDefault="003C66EB">
            <w:pPr>
              <w:jc w:val="right"/>
              <w:rPr>
                <w:rFonts w:ascii="宋体"/>
              </w:rPr>
            </w:pPr>
          </w:p>
        </w:tc>
      </w:tr>
      <w:tr w:rsidR="003C66EB" w14:paraId="5EA20504" w14:textId="77777777">
        <w:tc>
          <w:tcPr>
            <w:tcW w:w="0" w:type="auto"/>
            <w:gridSpan w:val="3"/>
            <w:shd w:val="clear" w:color="auto" w:fill="FFFFFF"/>
            <w:tcMar>
              <w:top w:w="40" w:type="dxa"/>
              <w:left w:w="20" w:type="dxa"/>
              <w:bottom w:w="40" w:type="dxa"/>
              <w:right w:w="20" w:type="dxa"/>
            </w:tcMar>
            <w:vAlign w:val="bottom"/>
          </w:tcPr>
          <w:p w14:paraId="5EA204FB" w14:textId="77777777" w:rsidR="003C66EB" w:rsidRDefault="00D96C4E">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5EA204FC" w14:textId="77777777" w:rsidR="003C66EB" w:rsidRDefault="00D96C4E">
            <w:pPr>
              <w:jc w:val="right"/>
              <w:textAlignment w:val="bottom"/>
            </w:pPr>
            <w:r>
              <w:rPr>
                <w:rFonts w:ascii="Arial" w:eastAsia="宋体" w:hAnsi="Arial" w:cs="Arial"/>
                <w:b/>
                <w:bCs/>
                <w:color w:val="000000"/>
                <w:sz w:val="14"/>
                <w:szCs w:val="14"/>
              </w:rPr>
              <w:t>7,197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4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4F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4FF" w14:textId="77777777" w:rsidR="003C66EB" w:rsidRDefault="00D96C4E">
            <w:pPr>
              <w:jc w:val="right"/>
              <w:textAlignment w:val="bottom"/>
            </w:pPr>
            <w:r>
              <w:rPr>
                <w:rFonts w:ascii="Arial" w:eastAsia="宋体" w:hAnsi="Arial" w:cs="Arial"/>
                <w:b/>
                <w:bCs/>
                <w:color w:val="000000"/>
                <w:sz w:val="14"/>
                <w:szCs w:val="14"/>
              </w:rPr>
              <w:t>1,080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50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0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02" w14:textId="77777777" w:rsidR="003C66EB" w:rsidRDefault="00D96C4E">
            <w:pPr>
              <w:jc w:val="right"/>
              <w:textAlignment w:val="bottom"/>
            </w:pPr>
            <w:r>
              <w:rPr>
                <w:rFonts w:ascii="Arial" w:eastAsia="宋体" w:hAnsi="Arial" w:cs="Arial"/>
                <w:b/>
                <w:bCs/>
                <w:color w:val="000000"/>
                <w:sz w:val="14"/>
                <w:szCs w:val="14"/>
              </w:rPr>
              <w:t>8,277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503" w14:textId="77777777" w:rsidR="003C66EB" w:rsidRDefault="003C66EB">
            <w:pPr>
              <w:jc w:val="right"/>
              <w:rPr>
                <w:rFonts w:ascii="宋体"/>
              </w:rPr>
            </w:pPr>
          </w:p>
        </w:tc>
      </w:tr>
      <w:tr w:rsidR="003C66EB" w14:paraId="5EA2050E" w14:textId="77777777">
        <w:tc>
          <w:tcPr>
            <w:tcW w:w="0" w:type="auto"/>
            <w:gridSpan w:val="3"/>
            <w:shd w:val="clear" w:color="auto" w:fill="CCEEFF"/>
            <w:tcMar>
              <w:top w:w="40" w:type="dxa"/>
              <w:left w:w="20" w:type="dxa"/>
              <w:bottom w:w="40" w:type="dxa"/>
              <w:right w:w="20" w:type="dxa"/>
            </w:tcMar>
            <w:vAlign w:val="bottom"/>
          </w:tcPr>
          <w:p w14:paraId="5EA20505" w14:textId="77777777" w:rsidR="003C66EB" w:rsidRDefault="00D96C4E">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5EA20506" w14:textId="77777777" w:rsidR="003C66EB" w:rsidRDefault="00D96C4E">
            <w:pPr>
              <w:jc w:val="right"/>
              <w:textAlignment w:val="bottom"/>
            </w:pPr>
            <w:r>
              <w:rPr>
                <w:rFonts w:ascii="Arial" w:eastAsia="宋体" w:hAnsi="Arial" w:cs="Arial"/>
                <w:b/>
                <w:bCs/>
                <w:color w:val="000000"/>
                <w:sz w:val="14"/>
                <w:szCs w:val="14"/>
              </w:rPr>
              <w:t>6,473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50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0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09" w14:textId="77777777" w:rsidR="003C66EB" w:rsidRDefault="00D96C4E">
            <w:pPr>
              <w:jc w:val="right"/>
              <w:textAlignment w:val="bottom"/>
            </w:pPr>
            <w:r>
              <w:rPr>
                <w:rFonts w:ascii="Arial" w:eastAsia="宋体" w:hAnsi="Arial" w:cs="Arial"/>
                <w:b/>
                <w:bCs/>
                <w:color w:val="000000"/>
                <w:sz w:val="14"/>
                <w:szCs w:val="14"/>
              </w:rPr>
              <w:t>1,312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5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0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0C" w14:textId="77777777" w:rsidR="003C66EB" w:rsidRDefault="00D96C4E">
            <w:pPr>
              <w:jc w:val="right"/>
              <w:textAlignment w:val="bottom"/>
            </w:pPr>
            <w:r>
              <w:rPr>
                <w:rFonts w:ascii="Arial" w:eastAsia="宋体" w:hAnsi="Arial" w:cs="Arial"/>
                <w:b/>
                <w:bCs/>
                <w:color w:val="000000"/>
                <w:sz w:val="14"/>
                <w:szCs w:val="14"/>
              </w:rPr>
              <w:t>7,785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50D" w14:textId="77777777" w:rsidR="003C66EB" w:rsidRDefault="003C66EB">
            <w:pPr>
              <w:jc w:val="right"/>
              <w:rPr>
                <w:rFonts w:ascii="宋体"/>
              </w:rPr>
            </w:pPr>
          </w:p>
        </w:tc>
      </w:tr>
      <w:tr w:rsidR="003C66EB" w14:paraId="5EA20518" w14:textId="77777777">
        <w:tc>
          <w:tcPr>
            <w:tcW w:w="0" w:type="auto"/>
            <w:gridSpan w:val="3"/>
            <w:shd w:val="clear" w:color="auto" w:fill="FFFFFF"/>
            <w:tcMar>
              <w:top w:w="40" w:type="dxa"/>
              <w:left w:w="20" w:type="dxa"/>
              <w:bottom w:w="40" w:type="dxa"/>
              <w:right w:w="20" w:type="dxa"/>
            </w:tcMar>
            <w:vAlign w:val="bottom"/>
          </w:tcPr>
          <w:p w14:paraId="5EA2050F" w14:textId="77777777" w:rsidR="003C66EB" w:rsidRDefault="00D96C4E">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5EA20510" w14:textId="77777777" w:rsidR="003C66EB" w:rsidRDefault="00D96C4E">
            <w:pPr>
              <w:jc w:val="right"/>
              <w:textAlignment w:val="bottom"/>
            </w:pPr>
            <w:r>
              <w:rPr>
                <w:rFonts w:ascii="Arial" w:eastAsia="宋体" w:hAnsi="Arial" w:cs="Arial"/>
                <w:b/>
                <w:bCs/>
                <w:color w:val="000000"/>
                <w:sz w:val="14"/>
                <w:szCs w:val="14"/>
              </w:rPr>
              <w:t>5,757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51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1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13" w14:textId="77777777" w:rsidR="003C66EB" w:rsidRDefault="00D96C4E">
            <w:pPr>
              <w:jc w:val="right"/>
              <w:textAlignment w:val="bottom"/>
            </w:pPr>
            <w:r>
              <w:rPr>
                <w:rFonts w:ascii="Arial" w:eastAsia="宋体" w:hAnsi="Arial" w:cs="Arial"/>
                <w:b/>
                <w:bCs/>
                <w:color w:val="000000"/>
                <w:sz w:val="14"/>
                <w:szCs w:val="14"/>
              </w:rPr>
              <w:t>782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5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1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16" w14:textId="77777777" w:rsidR="003C66EB" w:rsidRDefault="00D96C4E">
            <w:pPr>
              <w:jc w:val="right"/>
              <w:textAlignment w:val="bottom"/>
            </w:pPr>
            <w:r>
              <w:rPr>
                <w:rFonts w:ascii="Arial" w:eastAsia="宋体" w:hAnsi="Arial" w:cs="Arial"/>
                <w:b/>
                <w:bCs/>
                <w:color w:val="000000"/>
                <w:sz w:val="14"/>
                <w:szCs w:val="14"/>
              </w:rPr>
              <w:t>6,539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517" w14:textId="77777777" w:rsidR="003C66EB" w:rsidRDefault="003C66EB">
            <w:pPr>
              <w:jc w:val="right"/>
              <w:rPr>
                <w:rFonts w:ascii="宋体"/>
              </w:rPr>
            </w:pPr>
          </w:p>
        </w:tc>
      </w:tr>
      <w:tr w:rsidR="003C66EB" w14:paraId="5EA20522" w14:textId="77777777">
        <w:tc>
          <w:tcPr>
            <w:tcW w:w="0" w:type="auto"/>
            <w:gridSpan w:val="3"/>
            <w:shd w:val="clear" w:color="auto" w:fill="CCEEFF"/>
            <w:tcMar>
              <w:top w:w="40" w:type="dxa"/>
              <w:left w:w="20" w:type="dxa"/>
              <w:bottom w:w="40" w:type="dxa"/>
              <w:right w:w="20" w:type="dxa"/>
            </w:tcMar>
            <w:vAlign w:val="bottom"/>
          </w:tcPr>
          <w:p w14:paraId="5EA20519" w14:textId="77777777" w:rsidR="003C66EB" w:rsidRDefault="00D96C4E">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5EA2051A" w14:textId="77777777" w:rsidR="003C66EB" w:rsidRDefault="00D96C4E">
            <w:pPr>
              <w:jc w:val="right"/>
              <w:textAlignment w:val="bottom"/>
            </w:pPr>
            <w:r>
              <w:rPr>
                <w:rFonts w:ascii="Arial" w:eastAsia="宋体" w:hAnsi="Arial" w:cs="Arial"/>
                <w:b/>
                <w:bCs/>
                <w:color w:val="000000"/>
                <w:sz w:val="14"/>
                <w:szCs w:val="14"/>
              </w:rPr>
              <w:t>1,997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5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1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1D" w14:textId="77777777" w:rsidR="003C66EB" w:rsidRDefault="00D96C4E">
            <w:pPr>
              <w:jc w:val="right"/>
              <w:textAlignment w:val="bottom"/>
            </w:pPr>
            <w:r>
              <w:rPr>
                <w:rFonts w:ascii="Arial" w:eastAsia="宋体" w:hAnsi="Arial" w:cs="Arial"/>
                <w:b/>
                <w:bCs/>
                <w:color w:val="000000"/>
                <w:sz w:val="14"/>
                <w:szCs w:val="14"/>
              </w:rPr>
              <w:t>2,659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5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1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20" w14:textId="77777777" w:rsidR="003C66EB" w:rsidRDefault="00D96C4E">
            <w:pPr>
              <w:jc w:val="right"/>
              <w:textAlignment w:val="bottom"/>
            </w:pPr>
            <w:r>
              <w:rPr>
                <w:rFonts w:ascii="Arial" w:eastAsia="宋体" w:hAnsi="Arial" w:cs="Arial"/>
                <w:b/>
                <w:bCs/>
                <w:color w:val="000000"/>
                <w:sz w:val="14"/>
                <w:szCs w:val="14"/>
              </w:rPr>
              <w:t>4,656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0521" w14:textId="77777777" w:rsidR="003C66EB" w:rsidRDefault="003C66EB">
            <w:pPr>
              <w:jc w:val="right"/>
              <w:rPr>
                <w:rFonts w:ascii="宋体"/>
              </w:rPr>
            </w:pPr>
          </w:p>
        </w:tc>
      </w:tr>
      <w:tr w:rsidR="003C66EB" w14:paraId="5EA20529" w14:textId="77777777">
        <w:trPr>
          <w:hidden/>
        </w:trPr>
        <w:tc>
          <w:tcPr>
            <w:tcW w:w="0" w:type="auto"/>
            <w:gridSpan w:val="3"/>
            <w:shd w:val="clear" w:color="auto" w:fill="auto"/>
          </w:tcPr>
          <w:p w14:paraId="5EA20523" w14:textId="77777777" w:rsidR="003C66EB" w:rsidRDefault="003C66EB">
            <w:pPr>
              <w:rPr>
                <w:rFonts w:ascii="宋体"/>
                <w:vanish/>
              </w:rPr>
            </w:pPr>
          </w:p>
        </w:tc>
        <w:tc>
          <w:tcPr>
            <w:tcW w:w="0" w:type="auto"/>
            <w:gridSpan w:val="3"/>
            <w:shd w:val="clear" w:color="auto" w:fill="auto"/>
          </w:tcPr>
          <w:p w14:paraId="5EA20524" w14:textId="77777777" w:rsidR="003C66EB" w:rsidRDefault="003C66EB">
            <w:pPr>
              <w:rPr>
                <w:rFonts w:ascii="宋体"/>
                <w:vanish/>
              </w:rPr>
            </w:pPr>
          </w:p>
        </w:tc>
        <w:tc>
          <w:tcPr>
            <w:tcW w:w="0" w:type="auto"/>
            <w:gridSpan w:val="3"/>
            <w:shd w:val="clear" w:color="auto" w:fill="auto"/>
          </w:tcPr>
          <w:p w14:paraId="5EA20525" w14:textId="77777777" w:rsidR="003C66EB" w:rsidRDefault="003C66EB">
            <w:pPr>
              <w:rPr>
                <w:rFonts w:ascii="宋体"/>
                <w:vanish/>
              </w:rPr>
            </w:pPr>
          </w:p>
        </w:tc>
        <w:tc>
          <w:tcPr>
            <w:tcW w:w="0" w:type="auto"/>
            <w:gridSpan w:val="3"/>
            <w:shd w:val="clear" w:color="auto" w:fill="auto"/>
          </w:tcPr>
          <w:p w14:paraId="5EA20526" w14:textId="77777777" w:rsidR="003C66EB" w:rsidRDefault="003C66EB">
            <w:pPr>
              <w:rPr>
                <w:rFonts w:ascii="宋体"/>
                <w:vanish/>
              </w:rPr>
            </w:pPr>
          </w:p>
        </w:tc>
        <w:tc>
          <w:tcPr>
            <w:tcW w:w="0" w:type="auto"/>
            <w:gridSpan w:val="3"/>
            <w:shd w:val="clear" w:color="auto" w:fill="auto"/>
          </w:tcPr>
          <w:p w14:paraId="5EA20527" w14:textId="77777777" w:rsidR="003C66EB" w:rsidRDefault="003C66EB">
            <w:pPr>
              <w:rPr>
                <w:rFonts w:ascii="宋体"/>
                <w:vanish/>
              </w:rPr>
            </w:pPr>
          </w:p>
        </w:tc>
        <w:tc>
          <w:tcPr>
            <w:tcW w:w="0" w:type="auto"/>
            <w:gridSpan w:val="3"/>
            <w:shd w:val="clear" w:color="auto" w:fill="auto"/>
          </w:tcPr>
          <w:p w14:paraId="5EA20528" w14:textId="77777777" w:rsidR="003C66EB" w:rsidRDefault="003C66EB">
            <w:pPr>
              <w:rPr>
                <w:rFonts w:ascii="宋体"/>
                <w:vanish/>
              </w:rPr>
            </w:pPr>
          </w:p>
        </w:tc>
      </w:tr>
      <w:tr w:rsidR="003C66EB" w14:paraId="5EA20530" w14:textId="77777777">
        <w:trPr>
          <w:hidden/>
        </w:trPr>
        <w:tc>
          <w:tcPr>
            <w:tcW w:w="0" w:type="auto"/>
            <w:gridSpan w:val="3"/>
            <w:shd w:val="clear" w:color="auto" w:fill="auto"/>
          </w:tcPr>
          <w:p w14:paraId="5EA2052A" w14:textId="77777777" w:rsidR="003C66EB" w:rsidRDefault="003C66EB">
            <w:pPr>
              <w:rPr>
                <w:rFonts w:ascii="宋体"/>
                <w:vanish/>
              </w:rPr>
            </w:pPr>
          </w:p>
        </w:tc>
        <w:tc>
          <w:tcPr>
            <w:tcW w:w="0" w:type="auto"/>
            <w:gridSpan w:val="3"/>
            <w:shd w:val="clear" w:color="auto" w:fill="auto"/>
          </w:tcPr>
          <w:p w14:paraId="5EA2052B" w14:textId="77777777" w:rsidR="003C66EB" w:rsidRDefault="003C66EB">
            <w:pPr>
              <w:rPr>
                <w:rFonts w:ascii="宋体"/>
                <w:vanish/>
              </w:rPr>
            </w:pPr>
          </w:p>
        </w:tc>
        <w:tc>
          <w:tcPr>
            <w:tcW w:w="0" w:type="auto"/>
            <w:gridSpan w:val="3"/>
            <w:shd w:val="clear" w:color="auto" w:fill="auto"/>
          </w:tcPr>
          <w:p w14:paraId="5EA2052C" w14:textId="77777777" w:rsidR="003C66EB" w:rsidRDefault="003C66EB">
            <w:pPr>
              <w:rPr>
                <w:rFonts w:ascii="宋体"/>
                <w:vanish/>
              </w:rPr>
            </w:pPr>
          </w:p>
        </w:tc>
        <w:tc>
          <w:tcPr>
            <w:tcW w:w="0" w:type="auto"/>
            <w:gridSpan w:val="3"/>
            <w:shd w:val="clear" w:color="auto" w:fill="auto"/>
          </w:tcPr>
          <w:p w14:paraId="5EA2052D" w14:textId="77777777" w:rsidR="003C66EB" w:rsidRDefault="003C66EB">
            <w:pPr>
              <w:rPr>
                <w:rFonts w:ascii="宋体"/>
                <w:vanish/>
              </w:rPr>
            </w:pPr>
          </w:p>
        </w:tc>
        <w:tc>
          <w:tcPr>
            <w:tcW w:w="0" w:type="auto"/>
            <w:gridSpan w:val="3"/>
            <w:shd w:val="clear" w:color="auto" w:fill="auto"/>
          </w:tcPr>
          <w:p w14:paraId="5EA2052E" w14:textId="77777777" w:rsidR="003C66EB" w:rsidRDefault="003C66EB">
            <w:pPr>
              <w:rPr>
                <w:rFonts w:ascii="宋体"/>
                <w:vanish/>
              </w:rPr>
            </w:pPr>
          </w:p>
        </w:tc>
        <w:tc>
          <w:tcPr>
            <w:tcW w:w="0" w:type="auto"/>
            <w:gridSpan w:val="3"/>
            <w:shd w:val="clear" w:color="auto" w:fill="auto"/>
          </w:tcPr>
          <w:p w14:paraId="5EA2052F" w14:textId="77777777" w:rsidR="003C66EB" w:rsidRDefault="003C66EB">
            <w:pPr>
              <w:rPr>
                <w:rFonts w:ascii="宋体"/>
                <w:vanish/>
              </w:rPr>
            </w:pPr>
          </w:p>
        </w:tc>
      </w:tr>
      <w:tr w:rsidR="003C66EB" w14:paraId="5EA20537" w14:textId="77777777">
        <w:tc>
          <w:tcPr>
            <w:tcW w:w="0" w:type="auto"/>
            <w:gridSpan w:val="3"/>
            <w:shd w:val="clear" w:color="auto" w:fill="FFFFFF"/>
            <w:tcMar>
              <w:top w:w="40" w:type="dxa"/>
              <w:left w:w="20" w:type="dxa"/>
              <w:bottom w:w="40" w:type="dxa"/>
              <w:right w:w="20" w:type="dxa"/>
            </w:tcMar>
            <w:vAlign w:val="bottom"/>
          </w:tcPr>
          <w:p w14:paraId="5EA20531" w14:textId="77777777" w:rsidR="003C66EB" w:rsidRDefault="00D96C4E">
            <w:pPr>
              <w:textAlignment w:val="bottom"/>
            </w:pPr>
            <w:r>
              <w:rPr>
                <w:rFonts w:ascii="Arial" w:eastAsia="宋体" w:hAnsi="Arial" w:cs="Arial"/>
                <w:b/>
                <w:bCs/>
                <w:color w:val="000000"/>
                <w:sz w:val="14"/>
                <w:szCs w:val="14"/>
              </w:rPr>
              <w:t>December 31, 2020</w:t>
            </w:r>
          </w:p>
        </w:tc>
        <w:tc>
          <w:tcPr>
            <w:tcW w:w="0" w:type="auto"/>
            <w:gridSpan w:val="3"/>
            <w:shd w:val="clear" w:color="auto" w:fill="FFFFFF"/>
            <w:tcMar>
              <w:top w:w="0" w:type="dxa"/>
              <w:left w:w="20" w:type="dxa"/>
              <w:bottom w:w="0" w:type="dxa"/>
              <w:right w:w="20" w:type="dxa"/>
            </w:tcMar>
          </w:tcPr>
          <w:p w14:paraId="5EA2053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53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53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535"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0536" w14:textId="77777777" w:rsidR="003C66EB" w:rsidRDefault="00D96C4E">
            <w:pPr>
              <w:jc w:val="right"/>
              <w:textAlignment w:val="bottom"/>
            </w:pPr>
            <w:r>
              <w:rPr>
                <w:rFonts w:ascii="Arial" w:eastAsia="宋体" w:hAnsi="Arial" w:cs="Arial"/>
                <w:color w:val="000000"/>
                <w:sz w:val="14"/>
                <w:szCs w:val="14"/>
              </w:rPr>
              <w:t> </w:t>
            </w:r>
          </w:p>
        </w:tc>
      </w:tr>
      <w:tr w:rsidR="003C66EB" w14:paraId="5EA20544" w14:textId="77777777">
        <w:tc>
          <w:tcPr>
            <w:tcW w:w="0" w:type="auto"/>
            <w:gridSpan w:val="3"/>
            <w:shd w:val="clear" w:color="auto" w:fill="CCEEFF"/>
            <w:tcMar>
              <w:top w:w="40" w:type="dxa"/>
              <w:left w:w="20" w:type="dxa"/>
              <w:bottom w:w="40" w:type="dxa"/>
              <w:right w:w="20" w:type="dxa"/>
            </w:tcMar>
            <w:vAlign w:val="bottom"/>
          </w:tcPr>
          <w:p w14:paraId="5EA20538" w14:textId="77777777" w:rsidR="003C66EB" w:rsidRDefault="00D96C4E">
            <w:pPr>
              <w:textAlignment w:val="bottom"/>
            </w:pPr>
            <w:r>
              <w:rPr>
                <w:rFonts w:ascii="Arial" w:eastAsia="宋体" w:hAnsi="Arial" w:cs="Arial"/>
                <w:color w:val="000000"/>
                <w:sz w:val="14"/>
                <w:szCs w:val="14"/>
              </w:rPr>
              <w:t>United Kingdom</w:t>
            </w:r>
          </w:p>
        </w:tc>
        <w:tc>
          <w:tcPr>
            <w:tcW w:w="0" w:type="auto"/>
            <w:shd w:val="clear" w:color="auto" w:fill="CCEEFF"/>
            <w:tcMar>
              <w:top w:w="40" w:type="dxa"/>
              <w:left w:w="20" w:type="dxa"/>
              <w:bottom w:w="40" w:type="dxa"/>
              <w:right w:w="0" w:type="dxa"/>
            </w:tcMar>
            <w:vAlign w:val="bottom"/>
          </w:tcPr>
          <w:p w14:paraId="5EA2053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053A" w14:textId="77777777" w:rsidR="003C66EB" w:rsidRDefault="00D96C4E">
            <w:pPr>
              <w:jc w:val="right"/>
              <w:textAlignment w:val="bottom"/>
            </w:pPr>
            <w:r>
              <w:rPr>
                <w:rFonts w:ascii="Arial" w:eastAsia="宋体" w:hAnsi="Arial" w:cs="Arial"/>
                <w:color w:val="000000"/>
                <w:sz w:val="14"/>
                <w:szCs w:val="14"/>
              </w:rPr>
              <w:t>18,880 </w:t>
            </w:r>
          </w:p>
        </w:tc>
        <w:tc>
          <w:tcPr>
            <w:tcW w:w="0" w:type="auto"/>
            <w:shd w:val="clear" w:color="auto" w:fill="CCEEFF"/>
            <w:tcMar>
              <w:top w:w="40" w:type="dxa"/>
              <w:left w:w="0" w:type="dxa"/>
              <w:bottom w:w="40" w:type="dxa"/>
              <w:right w:w="20" w:type="dxa"/>
            </w:tcMar>
            <w:vAlign w:val="bottom"/>
          </w:tcPr>
          <w:p w14:paraId="5EA2053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3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53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053E" w14:textId="77777777" w:rsidR="003C66EB" w:rsidRDefault="00D96C4E">
            <w:pPr>
              <w:jc w:val="right"/>
              <w:textAlignment w:val="bottom"/>
            </w:pPr>
            <w:r>
              <w:rPr>
                <w:rFonts w:ascii="Arial" w:eastAsia="宋体" w:hAnsi="Arial" w:cs="Arial"/>
                <w:color w:val="000000"/>
                <w:sz w:val="14"/>
                <w:szCs w:val="14"/>
              </w:rPr>
              <w:t>1,797 </w:t>
            </w:r>
          </w:p>
        </w:tc>
        <w:tc>
          <w:tcPr>
            <w:tcW w:w="0" w:type="auto"/>
            <w:shd w:val="clear" w:color="auto" w:fill="CCEEFF"/>
            <w:tcMar>
              <w:top w:w="40" w:type="dxa"/>
              <w:left w:w="0" w:type="dxa"/>
              <w:bottom w:w="40" w:type="dxa"/>
              <w:right w:w="20" w:type="dxa"/>
            </w:tcMar>
            <w:vAlign w:val="bottom"/>
          </w:tcPr>
          <w:p w14:paraId="5EA205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4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54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0542" w14:textId="77777777" w:rsidR="003C66EB" w:rsidRDefault="00D96C4E">
            <w:pPr>
              <w:jc w:val="right"/>
              <w:textAlignment w:val="bottom"/>
            </w:pPr>
            <w:r>
              <w:rPr>
                <w:rFonts w:ascii="Arial" w:eastAsia="宋体" w:hAnsi="Arial" w:cs="Arial"/>
                <w:color w:val="000000"/>
                <w:sz w:val="14"/>
                <w:szCs w:val="14"/>
              </w:rPr>
              <w:t>20,677 </w:t>
            </w:r>
          </w:p>
        </w:tc>
        <w:tc>
          <w:tcPr>
            <w:tcW w:w="0" w:type="auto"/>
            <w:shd w:val="clear" w:color="auto" w:fill="CCEEFF"/>
            <w:tcMar>
              <w:top w:w="40" w:type="dxa"/>
              <w:left w:w="0" w:type="dxa"/>
              <w:bottom w:w="40" w:type="dxa"/>
              <w:right w:w="20" w:type="dxa"/>
            </w:tcMar>
            <w:vAlign w:val="bottom"/>
          </w:tcPr>
          <w:p w14:paraId="5EA20543" w14:textId="77777777" w:rsidR="003C66EB" w:rsidRDefault="003C66EB">
            <w:pPr>
              <w:jc w:val="right"/>
              <w:rPr>
                <w:rFonts w:ascii="宋体"/>
              </w:rPr>
            </w:pPr>
          </w:p>
        </w:tc>
      </w:tr>
      <w:tr w:rsidR="003C66EB" w14:paraId="5EA2054E" w14:textId="77777777">
        <w:tc>
          <w:tcPr>
            <w:tcW w:w="0" w:type="auto"/>
            <w:gridSpan w:val="3"/>
            <w:shd w:val="clear" w:color="auto" w:fill="FFFFFF"/>
            <w:tcMar>
              <w:top w:w="40" w:type="dxa"/>
              <w:left w:w="20" w:type="dxa"/>
              <w:bottom w:w="40" w:type="dxa"/>
              <w:right w:w="20" w:type="dxa"/>
            </w:tcMar>
            <w:vAlign w:val="bottom"/>
          </w:tcPr>
          <w:p w14:paraId="5EA20545" w14:textId="77777777" w:rsidR="003C66EB" w:rsidRDefault="00D96C4E">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5EA20546" w14:textId="77777777" w:rsidR="003C66EB" w:rsidRDefault="00D96C4E">
            <w:pPr>
              <w:jc w:val="right"/>
              <w:textAlignment w:val="bottom"/>
            </w:pPr>
            <w:r>
              <w:rPr>
                <w:rFonts w:ascii="Arial" w:eastAsia="宋体" w:hAnsi="Arial" w:cs="Arial"/>
                <w:color w:val="000000"/>
                <w:sz w:val="14"/>
                <w:szCs w:val="14"/>
              </w:rPr>
              <w:t>19,537 </w:t>
            </w:r>
          </w:p>
        </w:tc>
        <w:tc>
          <w:tcPr>
            <w:tcW w:w="0" w:type="auto"/>
            <w:shd w:val="clear" w:color="auto" w:fill="FFFFFF"/>
            <w:tcMar>
              <w:top w:w="40" w:type="dxa"/>
              <w:left w:w="0" w:type="dxa"/>
              <w:bottom w:w="40" w:type="dxa"/>
              <w:right w:w="20" w:type="dxa"/>
            </w:tcMar>
            <w:vAlign w:val="bottom"/>
          </w:tcPr>
          <w:p w14:paraId="5EA2054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4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49" w14:textId="77777777" w:rsidR="003C66EB" w:rsidRDefault="00D96C4E">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5EA205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4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4C" w14:textId="77777777" w:rsidR="003C66EB" w:rsidRDefault="00D96C4E">
            <w:pPr>
              <w:jc w:val="right"/>
              <w:textAlignment w:val="bottom"/>
            </w:pPr>
            <w:r>
              <w:rPr>
                <w:rFonts w:ascii="Arial" w:eastAsia="宋体" w:hAnsi="Arial" w:cs="Arial"/>
                <w:color w:val="000000"/>
                <w:sz w:val="14"/>
                <w:szCs w:val="14"/>
              </w:rPr>
              <w:t>20,097 </w:t>
            </w:r>
          </w:p>
        </w:tc>
        <w:tc>
          <w:tcPr>
            <w:tcW w:w="0" w:type="auto"/>
            <w:shd w:val="clear" w:color="auto" w:fill="FFFFFF"/>
            <w:tcMar>
              <w:top w:w="40" w:type="dxa"/>
              <w:left w:w="0" w:type="dxa"/>
              <w:bottom w:w="40" w:type="dxa"/>
              <w:right w:w="20" w:type="dxa"/>
            </w:tcMar>
            <w:vAlign w:val="bottom"/>
          </w:tcPr>
          <w:p w14:paraId="5EA2054D" w14:textId="77777777" w:rsidR="003C66EB" w:rsidRDefault="003C66EB">
            <w:pPr>
              <w:jc w:val="right"/>
              <w:rPr>
                <w:rFonts w:ascii="宋体"/>
              </w:rPr>
            </w:pPr>
          </w:p>
        </w:tc>
      </w:tr>
      <w:tr w:rsidR="003C66EB" w14:paraId="5EA20558" w14:textId="77777777">
        <w:tc>
          <w:tcPr>
            <w:tcW w:w="0" w:type="auto"/>
            <w:gridSpan w:val="3"/>
            <w:shd w:val="clear" w:color="auto" w:fill="CCEEFF"/>
            <w:tcMar>
              <w:top w:w="40" w:type="dxa"/>
              <w:left w:w="20" w:type="dxa"/>
              <w:bottom w:w="40" w:type="dxa"/>
              <w:right w:w="20" w:type="dxa"/>
            </w:tcMar>
            <w:vAlign w:val="bottom"/>
          </w:tcPr>
          <w:p w14:paraId="5EA2054F" w14:textId="77777777" w:rsidR="003C66EB" w:rsidRDefault="00D96C4E">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5EA20550" w14:textId="77777777" w:rsidR="003C66EB" w:rsidRDefault="00D96C4E">
            <w:pPr>
              <w:jc w:val="right"/>
              <w:textAlignment w:val="bottom"/>
            </w:pPr>
            <w:r>
              <w:rPr>
                <w:rFonts w:ascii="Arial" w:eastAsia="宋体" w:hAnsi="Arial" w:cs="Arial"/>
                <w:color w:val="000000"/>
                <w:sz w:val="14"/>
                <w:szCs w:val="14"/>
              </w:rPr>
              <w:t>18,734 </w:t>
            </w:r>
          </w:p>
        </w:tc>
        <w:tc>
          <w:tcPr>
            <w:tcW w:w="0" w:type="auto"/>
            <w:shd w:val="clear" w:color="auto" w:fill="CCEEFF"/>
            <w:tcMar>
              <w:top w:w="40" w:type="dxa"/>
              <w:left w:w="0" w:type="dxa"/>
              <w:bottom w:w="40" w:type="dxa"/>
              <w:right w:w="20" w:type="dxa"/>
            </w:tcMar>
            <w:vAlign w:val="bottom"/>
          </w:tcPr>
          <w:p w14:paraId="5EA205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5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53" w14:textId="77777777" w:rsidR="003C66EB" w:rsidRDefault="00D96C4E">
            <w:pPr>
              <w:jc w:val="right"/>
              <w:textAlignment w:val="bottom"/>
            </w:pPr>
            <w:r>
              <w:rPr>
                <w:rFonts w:ascii="Arial" w:eastAsia="宋体" w:hAnsi="Arial" w:cs="Arial"/>
                <w:color w:val="000000"/>
                <w:sz w:val="14"/>
                <w:szCs w:val="14"/>
              </w:rPr>
              <w:t>2,163 </w:t>
            </w:r>
          </w:p>
        </w:tc>
        <w:tc>
          <w:tcPr>
            <w:tcW w:w="0" w:type="auto"/>
            <w:shd w:val="clear" w:color="auto" w:fill="CCEEFF"/>
            <w:tcMar>
              <w:top w:w="40" w:type="dxa"/>
              <w:left w:w="0" w:type="dxa"/>
              <w:bottom w:w="40" w:type="dxa"/>
              <w:right w:w="20" w:type="dxa"/>
            </w:tcMar>
            <w:vAlign w:val="bottom"/>
          </w:tcPr>
          <w:p w14:paraId="5EA205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5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56" w14:textId="77777777" w:rsidR="003C66EB" w:rsidRDefault="00D96C4E">
            <w:pPr>
              <w:jc w:val="right"/>
              <w:textAlignment w:val="bottom"/>
            </w:pPr>
            <w:r>
              <w:rPr>
                <w:rFonts w:ascii="Arial" w:eastAsia="宋体" w:hAnsi="Arial" w:cs="Arial"/>
                <w:color w:val="000000"/>
                <w:sz w:val="14"/>
                <w:szCs w:val="14"/>
              </w:rPr>
              <w:t>20,897 </w:t>
            </w:r>
          </w:p>
        </w:tc>
        <w:tc>
          <w:tcPr>
            <w:tcW w:w="0" w:type="auto"/>
            <w:shd w:val="clear" w:color="auto" w:fill="CCEEFF"/>
            <w:tcMar>
              <w:top w:w="40" w:type="dxa"/>
              <w:left w:w="0" w:type="dxa"/>
              <w:bottom w:w="40" w:type="dxa"/>
              <w:right w:w="20" w:type="dxa"/>
            </w:tcMar>
            <w:vAlign w:val="bottom"/>
          </w:tcPr>
          <w:p w14:paraId="5EA20557" w14:textId="77777777" w:rsidR="003C66EB" w:rsidRDefault="003C66EB">
            <w:pPr>
              <w:jc w:val="right"/>
              <w:rPr>
                <w:rFonts w:ascii="宋体"/>
              </w:rPr>
            </w:pPr>
          </w:p>
        </w:tc>
      </w:tr>
      <w:tr w:rsidR="003C66EB" w14:paraId="5EA20562" w14:textId="77777777">
        <w:tc>
          <w:tcPr>
            <w:tcW w:w="0" w:type="auto"/>
            <w:gridSpan w:val="3"/>
            <w:shd w:val="clear" w:color="auto" w:fill="FFFFFF"/>
            <w:tcMar>
              <w:top w:w="40" w:type="dxa"/>
              <w:left w:w="20" w:type="dxa"/>
              <w:bottom w:w="40" w:type="dxa"/>
              <w:right w:w="20" w:type="dxa"/>
            </w:tcMar>
            <w:vAlign w:val="bottom"/>
          </w:tcPr>
          <w:p w14:paraId="5EA20559" w14:textId="77777777" w:rsidR="003C66EB" w:rsidRDefault="00D96C4E">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5EA2055A" w14:textId="77777777" w:rsidR="003C66EB" w:rsidRDefault="00D96C4E">
            <w:pPr>
              <w:jc w:val="right"/>
              <w:textAlignment w:val="bottom"/>
            </w:pPr>
            <w:r>
              <w:rPr>
                <w:rFonts w:ascii="Arial" w:eastAsia="宋体" w:hAnsi="Arial" w:cs="Arial"/>
                <w:color w:val="000000"/>
                <w:sz w:val="14"/>
                <w:szCs w:val="14"/>
              </w:rPr>
              <w:t>5,997 </w:t>
            </w:r>
          </w:p>
        </w:tc>
        <w:tc>
          <w:tcPr>
            <w:tcW w:w="0" w:type="auto"/>
            <w:shd w:val="clear" w:color="auto" w:fill="FFFFFF"/>
            <w:tcMar>
              <w:top w:w="40" w:type="dxa"/>
              <w:left w:w="0" w:type="dxa"/>
              <w:bottom w:w="40" w:type="dxa"/>
              <w:right w:w="20" w:type="dxa"/>
            </w:tcMar>
            <w:vAlign w:val="bottom"/>
          </w:tcPr>
          <w:p w14:paraId="5EA205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5D" w14:textId="77777777" w:rsidR="003C66EB" w:rsidRDefault="00D96C4E">
            <w:pPr>
              <w:jc w:val="right"/>
              <w:textAlignment w:val="bottom"/>
            </w:pPr>
            <w:r>
              <w:rPr>
                <w:rFonts w:ascii="Arial" w:eastAsia="宋体" w:hAnsi="Arial" w:cs="Arial"/>
                <w:color w:val="000000"/>
                <w:sz w:val="14"/>
                <w:szCs w:val="14"/>
              </w:rPr>
              <w:t>3,113 </w:t>
            </w:r>
          </w:p>
        </w:tc>
        <w:tc>
          <w:tcPr>
            <w:tcW w:w="0" w:type="auto"/>
            <w:shd w:val="clear" w:color="auto" w:fill="FFFFFF"/>
            <w:tcMar>
              <w:top w:w="40" w:type="dxa"/>
              <w:left w:w="0" w:type="dxa"/>
              <w:bottom w:w="40" w:type="dxa"/>
              <w:right w:w="20" w:type="dxa"/>
            </w:tcMar>
            <w:vAlign w:val="bottom"/>
          </w:tcPr>
          <w:p w14:paraId="5EA205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60" w14:textId="77777777" w:rsidR="003C66EB" w:rsidRDefault="00D96C4E">
            <w:pPr>
              <w:jc w:val="right"/>
              <w:textAlignment w:val="bottom"/>
            </w:pPr>
            <w:r>
              <w:rPr>
                <w:rFonts w:ascii="Arial" w:eastAsia="宋体" w:hAnsi="Arial" w:cs="Arial"/>
                <w:color w:val="000000"/>
                <w:sz w:val="14"/>
                <w:szCs w:val="14"/>
              </w:rPr>
              <w:t>9,110 </w:t>
            </w:r>
          </w:p>
        </w:tc>
        <w:tc>
          <w:tcPr>
            <w:tcW w:w="0" w:type="auto"/>
            <w:shd w:val="clear" w:color="auto" w:fill="FFFFFF"/>
            <w:tcMar>
              <w:top w:w="40" w:type="dxa"/>
              <w:left w:w="0" w:type="dxa"/>
              <w:bottom w:w="40" w:type="dxa"/>
              <w:right w:w="20" w:type="dxa"/>
            </w:tcMar>
            <w:vAlign w:val="bottom"/>
          </w:tcPr>
          <w:p w14:paraId="5EA20561" w14:textId="77777777" w:rsidR="003C66EB" w:rsidRDefault="003C66EB">
            <w:pPr>
              <w:jc w:val="right"/>
              <w:rPr>
                <w:rFonts w:ascii="宋体"/>
              </w:rPr>
            </w:pPr>
          </w:p>
        </w:tc>
      </w:tr>
      <w:tr w:rsidR="003C66EB" w14:paraId="5EA2056C" w14:textId="77777777">
        <w:tc>
          <w:tcPr>
            <w:tcW w:w="0" w:type="auto"/>
            <w:gridSpan w:val="3"/>
            <w:shd w:val="clear" w:color="auto" w:fill="CCEEFF"/>
            <w:tcMar>
              <w:top w:w="40" w:type="dxa"/>
              <w:left w:w="20" w:type="dxa"/>
              <w:bottom w:w="40" w:type="dxa"/>
              <w:right w:w="20" w:type="dxa"/>
            </w:tcMar>
            <w:vAlign w:val="bottom"/>
          </w:tcPr>
          <w:p w14:paraId="5EA20563" w14:textId="77777777" w:rsidR="003C66EB" w:rsidRDefault="00D96C4E">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A20564" w14:textId="77777777" w:rsidR="003C66EB" w:rsidRDefault="00D96C4E">
            <w:pPr>
              <w:jc w:val="right"/>
              <w:textAlignment w:val="bottom"/>
            </w:pPr>
            <w:r>
              <w:rPr>
                <w:rFonts w:ascii="Arial" w:eastAsia="宋体" w:hAnsi="Arial" w:cs="Arial"/>
                <w:color w:val="000000"/>
                <w:sz w:val="14"/>
                <w:szCs w:val="14"/>
              </w:rPr>
              <w:t>5,790 </w:t>
            </w:r>
          </w:p>
        </w:tc>
        <w:tc>
          <w:tcPr>
            <w:tcW w:w="0" w:type="auto"/>
            <w:shd w:val="clear" w:color="auto" w:fill="CCEEFF"/>
            <w:tcMar>
              <w:top w:w="40" w:type="dxa"/>
              <w:left w:w="0" w:type="dxa"/>
              <w:bottom w:w="40" w:type="dxa"/>
              <w:right w:w="20" w:type="dxa"/>
            </w:tcMar>
            <w:vAlign w:val="bottom"/>
          </w:tcPr>
          <w:p w14:paraId="5EA205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67" w14:textId="77777777" w:rsidR="003C66EB" w:rsidRDefault="00D96C4E">
            <w:pPr>
              <w:jc w:val="right"/>
              <w:textAlignment w:val="bottom"/>
            </w:pPr>
            <w:r>
              <w:rPr>
                <w:rFonts w:ascii="Arial" w:eastAsia="宋体" w:hAnsi="Arial" w:cs="Arial"/>
                <w:color w:val="000000"/>
                <w:sz w:val="14"/>
                <w:szCs w:val="14"/>
              </w:rPr>
              <w:t>2,908 </w:t>
            </w:r>
          </w:p>
        </w:tc>
        <w:tc>
          <w:tcPr>
            <w:tcW w:w="0" w:type="auto"/>
            <w:shd w:val="clear" w:color="auto" w:fill="CCEEFF"/>
            <w:tcMar>
              <w:top w:w="40" w:type="dxa"/>
              <w:left w:w="0" w:type="dxa"/>
              <w:bottom w:w="40" w:type="dxa"/>
              <w:right w:w="20" w:type="dxa"/>
            </w:tcMar>
            <w:vAlign w:val="bottom"/>
          </w:tcPr>
          <w:p w14:paraId="5EA205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6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6A" w14:textId="77777777" w:rsidR="003C66EB" w:rsidRDefault="00D96C4E">
            <w:pPr>
              <w:jc w:val="right"/>
              <w:textAlignment w:val="bottom"/>
            </w:pPr>
            <w:r>
              <w:rPr>
                <w:rFonts w:ascii="Arial" w:eastAsia="宋体" w:hAnsi="Arial" w:cs="Arial"/>
                <w:color w:val="000000"/>
                <w:sz w:val="14"/>
                <w:szCs w:val="14"/>
              </w:rPr>
              <w:t>8,698 </w:t>
            </w:r>
          </w:p>
        </w:tc>
        <w:tc>
          <w:tcPr>
            <w:tcW w:w="0" w:type="auto"/>
            <w:shd w:val="clear" w:color="auto" w:fill="CCEEFF"/>
            <w:tcMar>
              <w:top w:w="40" w:type="dxa"/>
              <w:left w:w="0" w:type="dxa"/>
              <w:bottom w:w="40" w:type="dxa"/>
              <w:right w:w="20" w:type="dxa"/>
            </w:tcMar>
            <w:vAlign w:val="bottom"/>
          </w:tcPr>
          <w:p w14:paraId="5EA2056B" w14:textId="77777777" w:rsidR="003C66EB" w:rsidRDefault="003C66EB">
            <w:pPr>
              <w:jc w:val="right"/>
              <w:rPr>
                <w:rFonts w:ascii="宋体"/>
              </w:rPr>
            </w:pPr>
          </w:p>
        </w:tc>
      </w:tr>
      <w:tr w:rsidR="003C66EB" w14:paraId="5EA20576" w14:textId="77777777">
        <w:tc>
          <w:tcPr>
            <w:tcW w:w="0" w:type="auto"/>
            <w:gridSpan w:val="3"/>
            <w:shd w:val="clear" w:color="auto" w:fill="FFFFFF"/>
            <w:tcMar>
              <w:top w:w="40" w:type="dxa"/>
              <w:left w:w="20" w:type="dxa"/>
              <w:bottom w:w="40" w:type="dxa"/>
              <w:right w:w="20" w:type="dxa"/>
            </w:tcMar>
            <w:vAlign w:val="bottom"/>
          </w:tcPr>
          <w:p w14:paraId="5EA2056D" w14:textId="77777777" w:rsidR="003C66EB" w:rsidRDefault="00D96C4E">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5EA2056E" w14:textId="77777777" w:rsidR="003C66EB" w:rsidRDefault="00D96C4E">
            <w:pPr>
              <w:jc w:val="right"/>
              <w:textAlignment w:val="bottom"/>
            </w:pPr>
            <w:r>
              <w:rPr>
                <w:rFonts w:ascii="Arial" w:eastAsia="宋体" w:hAnsi="Arial" w:cs="Arial"/>
                <w:color w:val="000000"/>
                <w:sz w:val="14"/>
                <w:szCs w:val="14"/>
              </w:rPr>
              <w:t>5,036 </w:t>
            </w:r>
          </w:p>
        </w:tc>
        <w:tc>
          <w:tcPr>
            <w:tcW w:w="0" w:type="auto"/>
            <w:shd w:val="clear" w:color="auto" w:fill="FFFFFF"/>
            <w:tcMar>
              <w:top w:w="40" w:type="dxa"/>
              <w:left w:w="0" w:type="dxa"/>
              <w:bottom w:w="40" w:type="dxa"/>
              <w:right w:w="20" w:type="dxa"/>
            </w:tcMar>
            <w:vAlign w:val="bottom"/>
          </w:tcPr>
          <w:p w14:paraId="5EA2056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7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71" w14:textId="77777777" w:rsidR="003C66EB" w:rsidRDefault="00D96C4E">
            <w:pPr>
              <w:jc w:val="right"/>
              <w:textAlignment w:val="bottom"/>
            </w:pPr>
            <w:r>
              <w:rPr>
                <w:rFonts w:ascii="Arial" w:eastAsia="宋体" w:hAnsi="Arial" w:cs="Arial"/>
                <w:color w:val="000000"/>
                <w:sz w:val="14"/>
                <w:szCs w:val="14"/>
              </w:rPr>
              <w:t>2,148 </w:t>
            </w:r>
          </w:p>
        </w:tc>
        <w:tc>
          <w:tcPr>
            <w:tcW w:w="0" w:type="auto"/>
            <w:shd w:val="clear" w:color="auto" w:fill="FFFFFF"/>
            <w:tcMar>
              <w:top w:w="40" w:type="dxa"/>
              <w:left w:w="0" w:type="dxa"/>
              <w:bottom w:w="40" w:type="dxa"/>
              <w:right w:w="20" w:type="dxa"/>
            </w:tcMar>
            <w:vAlign w:val="bottom"/>
          </w:tcPr>
          <w:p w14:paraId="5EA205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57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574" w14:textId="77777777" w:rsidR="003C66EB" w:rsidRDefault="00D96C4E">
            <w:pPr>
              <w:jc w:val="right"/>
              <w:textAlignment w:val="bottom"/>
            </w:pPr>
            <w:r>
              <w:rPr>
                <w:rFonts w:ascii="Arial" w:eastAsia="宋体" w:hAnsi="Arial" w:cs="Arial"/>
                <w:color w:val="000000"/>
                <w:sz w:val="14"/>
                <w:szCs w:val="14"/>
              </w:rPr>
              <w:t>7,184 </w:t>
            </w:r>
          </w:p>
        </w:tc>
        <w:tc>
          <w:tcPr>
            <w:tcW w:w="0" w:type="auto"/>
            <w:shd w:val="clear" w:color="auto" w:fill="FFFFFF"/>
            <w:tcMar>
              <w:top w:w="40" w:type="dxa"/>
              <w:left w:w="0" w:type="dxa"/>
              <w:bottom w:w="40" w:type="dxa"/>
              <w:right w:w="20" w:type="dxa"/>
            </w:tcMar>
            <w:vAlign w:val="bottom"/>
          </w:tcPr>
          <w:p w14:paraId="5EA20575" w14:textId="77777777" w:rsidR="003C66EB" w:rsidRDefault="003C66EB">
            <w:pPr>
              <w:jc w:val="right"/>
              <w:rPr>
                <w:rFonts w:ascii="宋体"/>
              </w:rPr>
            </w:pPr>
          </w:p>
        </w:tc>
      </w:tr>
      <w:tr w:rsidR="003C66EB" w14:paraId="5EA20580" w14:textId="77777777">
        <w:tc>
          <w:tcPr>
            <w:tcW w:w="0" w:type="auto"/>
            <w:gridSpan w:val="3"/>
            <w:shd w:val="clear" w:color="auto" w:fill="CCEEFF"/>
            <w:tcMar>
              <w:top w:w="40" w:type="dxa"/>
              <w:left w:w="20" w:type="dxa"/>
              <w:bottom w:w="40" w:type="dxa"/>
              <w:right w:w="20" w:type="dxa"/>
            </w:tcMar>
            <w:vAlign w:val="bottom"/>
          </w:tcPr>
          <w:p w14:paraId="5EA20577" w14:textId="77777777" w:rsidR="003C66EB" w:rsidRDefault="00D96C4E">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5EA20578" w14:textId="77777777" w:rsidR="003C66EB" w:rsidRDefault="00D96C4E">
            <w:pPr>
              <w:jc w:val="right"/>
              <w:textAlignment w:val="bottom"/>
            </w:pPr>
            <w:r>
              <w:rPr>
                <w:rFonts w:ascii="Arial" w:eastAsia="宋体" w:hAnsi="Arial" w:cs="Arial"/>
                <w:color w:val="000000"/>
                <w:sz w:val="14"/>
                <w:szCs w:val="14"/>
              </w:rPr>
              <w:t>3,586 </w:t>
            </w:r>
          </w:p>
        </w:tc>
        <w:tc>
          <w:tcPr>
            <w:tcW w:w="0" w:type="auto"/>
            <w:shd w:val="clear" w:color="auto" w:fill="CCEEFF"/>
            <w:tcMar>
              <w:top w:w="40" w:type="dxa"/>
              <w:left w:w="0" w:type="dxa"/>
              <w:bottom w:w="40" w:type="dxa"/>
              <w:right w:w="20" w:type="dxa"/>
            </w:tcMar>
            <w:vAlign w:val="bottom"/>
          </w:tcPr>
          <w:p w14:paraId="5EA205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7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7B" w14:textId="77777777" w:rsidR="003C66EB" w:rsidRDefault="00D96C4E">
            <w:pPr>
              <w:jc w:val="right"/>
              <w:textAlignment w:val="bottom"/>
            </w:pPr>
            <w:r>
              <w:rPr>
                <w:rFonts w:ascii="Arial" w:eastAsia="宋体" w:hAnsi="Arial" w:cs="Arial"/>
                <w:color w:val="000000"/>
                <w:sz w:val="14"/>
                <w:szCs w:val="14"/>
              </w:rPr>
              <w:t>3,010 </w:t>
            </w:r>
          </w:p>
        </w:tc>
        <w:tc>
          <w:tcPr>
            <w:tcW w:w="0" w:type="auto"/>
            <w:shd w:val="clear" w:color="auto" w:fill="CCEEFF"/>
            <w:tcMar>
              <w:top w:w="40" w:type="dxa"/>
              <w:left w:w="0" w:type="dxa"/>
              <w:bottom w:w="40" w:type="dxa"/>
              <w:right w:w="20" w:type="dxa"/>
            </w:tcMar>
            <w:vAlign w:val="bottom"/>
          </w:tcPr>
          <w:p w14:paraId="5EA205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57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57E" w14:textId="77777777" w:rsidR="003C66EB" w:rsidRDefault="00D96C4E">
            <w:pPr>
              <w:jc w:val="right"/>
              <w:textAlignment w:val="bottom"/>
            </w:pPr>
            <w:r>
              <w:rPr>
                <w:rFonts w:ascii="Arial" w:eastAsia="宋体" w:hAnsi="Arial" w:cs="Arial"/>
                <w:color w:val="000000"/>
                <w:sz w:val="14"/>
                <w:szCs w:val="14"/>
              </w:rPr>
              <w:t>6,596 </w:t>
            </w:r>
          </w:p>
        </w:tc>
        <w:tc>
          <w:tcPr>
            <w:tcW w:w="0" w:type="auto"/>
            <w:shd w:val="clear" w:color="auto" w:fill="CCEEFF"/>
            <w:tcMar>
              <w:top w:w="40" w:type="dxa"/>
              <w:left w:w="0" w:type="dxa"/>
              <w:bottom w:w="40" w:type="dxa"/>
              <w:right w:w="20" w:type="dxa"/>
            </w:tcMar>
            <w:vAlign w:val="bottom"/>
          </w:tcPr>
          <w:p w14:paraId="5EA2057F" w14:textId="77777777" w:rsidR="003C66EB" w:rsidRDefault="003C66EB">
            <w:pPr>
              <w:jc w:val="right"/>
              <w:rPr>
                <w:rFonts w:ascii="宋体"/>
              </w:rPr>
            </w:pPr>
          </w:p>
        </w:tc>
      </w:tr>
      <w:tr w:rsidR="003C66EB" w14:paraId="5EA20587" w14:textId="77777777">
        <w:trPr>
          <w:hidden/>
        </w:trPr>
        <w:tc>
          <w:tcPr>
            <w:tcW w:w="0" w:type="auto"/>
            <w:gridSpan w:val="3"/>
            <w:shd w:val="clear" w:color="auto" w:fill="auto"/>
          </w:tcPr>
          <w:p w14:paraId="5EA20581" w14:textId="77777777" w:rsidR="003C66EB" w:rsidRDefault="003C66EB">
            <w:pPr>
              <w:rPr>
                <w:rFonts w:ascii="宋体"/>
                <w:vanish/>
              </w:rPr>
            </w:pPr>
          </w:p>
        </w:tc>
        <w:tc>
          <w:tcPr>
            <w:tcW w:w="0" w:type="auto"/>
            <w:gridSpan w:val="3"/>
            <w:shd w:val="clear" w:color="auto" w:fill="auto"/>
          </w:tcPr>
          <w:p w14:paraId="5EA20582" w14:textId="77777777" w:rsidR="003C66EB" w:rsidRDefault="003C66EB">
            <w:pPr>
              <w:rPr>
                <w:rFonts w:ascii="宋体"/>
                <w:vanish/>
              </w:rPr>
            </w:pPr>
          </w:p>
        </w:tc>
        <w:tc>
          <w:tcPr>
            <w:tcW w:w="0" w:type="auto"/>
            <w:gridSpan w:val="3"/>
            <w:shd w:val="clear" w:color="auto" w:fill="auto"/>
          </w:tcPr>
          <w:p w14:paraId="5EA20583" w14:textId="77777777" w:rsidR="003C66EB" w:rsidRDefault="003C66EB">
            <w:pPr>
              <w:rPr>
                <w:rFonts w:ascii="宋体"/>
                <w:vanish/>
              </w:rPr>
            </w:pPr>
          </w:p>
        </w:tc>
        <w:tc>
          <w:tcPr>
            <w:tcW w:w="0" w:type="auto"/>
            <w:gridSpan w:val="3"/>
            <w:shd w:val="clear" w:color="auto" w:fill="auto"/>
          </w:tcPr>
          <w:p w14:paraId="5EA20584" w14:textId="77777777" w:rsidR="003C66EB" w:rsidRDefault="003C66EB">
            <w:pPr>
              <w:rPr>
                <w:rFonts w:ascii="宋体"/>
                <w:vanish/>
              </w:rPr>
            </w:pPr>
          </w:p>
        </w:tc>
        <w:tc>
          <w:tcPr>
            <w:tcW w:w="0" w:type="auto"/>
            <w:gridSpan w:val="3"/>
            <w:shd w:val="clear" w:color="auto" w:fill="auto"/>
          </w:tcPr>
          <w:p w14:paraId="5EA20585" w14:textId="77777777" w:rsidR="003C66EB" w:rsidRDefault="003C66EB">
            <w:pPr>
              <w:rPr>
                <w:rFonts w:ascii="宋体"/>
                <w:vanish/>
              </w:rPr>
            </w:pPr>
          </w:p>
        </w:tc>
        <w:tc>
          <w:tcPr>
            <w:tcW w:w="0" w:type="auto"/>
            <w:gridSpan w:val="3"/>
            <w:shd w:val="clear" w:color="auto" w:fill="auto"/>
          </w:tcPr>
          <w:p w14:paraId="5EA20586" w14:textId="77777777" w:rsidR="003C66EB" w:rsidRDefault="003C66EB">
            <w:pPr>
              <w:rPr>
                <w:rFonts w:ascii="宋体"/>
                <w:vanish/>
              </w:rPr>
            </w:pPr>
          </w:p>
        </w:tc>
      </w:tr>
      <w:tr w:rsidR="003C66EB" w14:paraId="5EA2058E" w14:textId="77777777">
        <w:trPr>
          <w:hidden/>
        </w:trPr>
        <w:tc>
          <w:tcPr>
            <w:tcW w:w="0" w:type="auto"/>
            <w:gridSpan w:val="3"/>
            <w:shd w:val="clear" w:color="auto" w:fill="auto"/>
          </w:tcPr>
          <w:p w14:paraId="5EA20588" w14:textId="77777777" w:rsidR="003C66EB" w:rsidRDefault="003C66EB">
            <w:pPr>
              <w:rPr>
                <w:rFonts w:ascii="宋体"/>
                <w:vanish/>
              </w:rPr>
            </w:pPr>
          </w:p>
        </w:tc>
        <w:tc>
          <w:tcPr>
            <w:tcW w:w="0" w:type="auto"/>
            <w:gridSpan w:val="3"/>
            <w:shd w:val="clear" w:color="auto" w:fill="auto"/>
          </w:tcPr>
          <w:p w14:paraId="5EA20589" w14:textId="77777777" w:rsidR="003C66EB" w:rsidRDefault="003C66EB">
            <w:pPr>
              <w:rPr>
                <w:rFonts w:ascii="宋体"/>
                <w:vanish/>
              </w:rPr>
            </w:pPr>
          </w:p>
        </w:tc>
        <w:tc>
          <w:tcPr>
            <w:tcW w:w="0" w:type="auto"/>
            <w:gridSpan w:val="3"/>
            <w:shd w:val="clear" w:color="auto" w:fill="auto"/>
          </w:tcPr>
          <w:p w14:paraId="5EA2058A" w14:textId="77777777" w:rsidR="003C66EB" w:rsidRDefault="003C66EB">
            <w:pPr>
              <w:rPr>
                <w:rFonts w:ascii="宋体"/>
                <w:vanish/>
              </w:rPr>
            </w:pPr>
          </w:p>
        </w:tc>
        <w:tc>
          <w:tcPr>
            <w:tcW w:w="0" w:type="auto"/>
            <w:gridSpan w:val="3"/>
            <w:shd w:val="clear" w:color="auto" w:fill="auto"/>
          </w:tcPr>
          <w:p w14:paraId="5EA2058B" w14:textId="77777777" w:rsidR="003C66EB" w:rsidRDefault="003C66EB">
            <w:pPr>
              <w:rPr>
                <w:rFonts w:ascii="宋体"/>
                <w:vanish/>
              </w:rPr>
            </w:pPr>
          </w:p>
        </w:tc>
        <w:tc>
          <w:tcPr>
            <w:tcW w:w="0" w:type="auto"/>
            <w:gridSpan w:val="3"/>
            <w:shd w:val="clear" w:color="auto" w:fill="auto"/>
          </w:tcPr>
          <w:p w14:paraId="5EA2058C" w14:textId="77777777" w:rsidR="003C66EB" w:rsidRDefault="003C66EB">
            <w:pPr>
              <w:rPr>
                <w:rFonts w:ascii="宋体"/>
                <w:vanish/>
              </w:rPr>
            </w:pPr>
          </w:p>
        </w:tc>
        <w:tc>
          <w:tcPr>
            <w:tcW w:w="0" w:type="auto"/>
            <w:gridSpan w:val="3"/>
            <w:shd w:val="clear" w:color="auto" w:fill="auto"/>
          </w:tcPr>
          <w:p w14:paraId="5EA2058D" w14:textId="77777777" w:rsidR="003C66EB" w:rsidRDefault="003C66EB">
            <w:pPr>
              <w:rPr>
                <w:rFonts w:ascii="宋体"/>
                <w:vanish/>
              </w:rPr>
            </w:pPr>
          </w:p>
        </w:tc>
      </w:tr>
      <w:tr w:rsidR="003C66EB" w14:paraId="5EA20595" w14:textId="77777777">
        <w:trPr>
          <w:hidden/>
        </w:trPr>
        <w:tc>
          <w:tcPr>
            <w:tcW w:w="0" w:type="auto"/>
            <w:gridSpan w:val="3"/>
            <w:shd w:val="clear" w:color="auto" w:fill="auto"/>
          </w:tcPr>
          <w:p w14:paraId="5EA2058F" w14:textId="77777777" w:rsidR="003C66EB" w:rsidRDefault="003C66EB">
            <w:pPr>
              <w:rPr>
                <w:rFonts w:ascii="宋体"/>
                <w:vanish/>
              </w:rPr>
            </w:pPr>
          </w:p>
        </w:tc>
        <w:tc>
          <w:tcPr>
            <w:tcW w:w="0" w:type="auto"/>
            <w:gridSpan w:val="3"/>
            <w:shd w:val="clear" w:color="auto" w:fill="auto"/>
          </w:tcPr>
          <w:p w14:paraId="5EA20590" w14:textId="77777777" w:rsidR="003C66EB" w:rsidRDefault="003C66EB">
            <w:pPr>
              <w:rPr>
                <w:rFonts w:ascii="宋体"/>
                <w:vanish/>
              </w:rPr>
            </w:pPr>
          </w:p>
        </w:tc>
        <w:tc>
          <w:tcPr>
            <w:tcW w:w="0" w:type="auto"/>
            <w:gridSpan w:val="3"/>
            <w:shd w:val="clear" w:color="auto" w:fill="auto"/>
          </w:tcPr>
          <w:p w14:paraId="5EA20591" w14:textId="77777777" w:rsidR="003C66EB" w:rsidRDefault="003C66EB">
            <w:pPr>
              <w:rPr>
                <w:rFonts w:ascii="宋体"/>
                <w:vanish/>
              </w:rPr>
            </w:pPr>
          </w:p>
        </w:tc>
        <w:tc>
          <w:tcPr>
            <w:tcW w:w="0" w:type="auto"/>
            <w:gridSpan w:val="3"/>
            <w:shd w:val="clear" w:color="auto" w:fill="auto"/>
          </w:tcPr>
          <w:p w14:paraId="5EA20592" w14:textId="77777777" w:rsidR="003C66EB" w:rsidRDefault="003C66EB">
            <w:pPr>
              <w:rPr>
                <w:rFonts w:ascii="宋体"/>
                <w:vanish/>
              </w:rPr>
            </w:pPr>
          </w:p>
        </w:tc>
        <w:tc>
          <w:tcPr>
            <w:tcW w:w="0" w:type="auto"/>
            <w:gridSpan w:val="3"/>
            <w:shd w:val="clear" w:color="auto" w:fill="auto"/>
          </w:tcPr>
          <w:p w14:paraId="5EA20593" w14:textId="77777777" w:rsidR="003C66EB" w:rsidRDefault="003C66EB">
            <w:pPr>
              <w:rPr>
                <w:rFonts w:ascii="宋体"/>
                <w:vanish/>
              </w:rPr>
            </w:pPr>
          </w:p>
        </w:tc>
        <w:tc>
          <w:tcPr>
            <w:tcW w:w="0" w:type="auto"/>
            <w:gridSpan w:val="3"/>
            <w:shd w:val="clear" w:color="auto" w:fill="auto"/>
          </w:tcPr>
          <w:p w14:paraId="5EA20594" w14:textId="77777777" w:rsidR="003C66EB" w:rsidRDefault="003C66EB">
            <w:pPr>
              <w:rPr>
                <w:rFonts w:ascii="宋体"/>
                <w:vanish/>
              </w:rPr>
            </w:pPr>
          </w:p>
        </w:tc>
      </w:tr>
      <w:tr w:rsidR="003C66EB" w14:paraId="5EA2059C" w14:textId="77777777">
        <w:trPr>
          <w:hidden/>
        </w:trPr>
        <w:tc>
          <w:tcPr>
            <w:tcW w:w="0" w:type="auto"/>
            <w:gridSpan w:val="3"/>
            <w:shd w:val="clear" w:color="auto" w:fill="auto"/>
          </w:tcPr>
          <w:p w14:paraId="5EA20596" w14:textId="77777777" w:rsidR="003C66EB" w:rsidRDefault="003C66EB">
            <w:pPr>
              <w:rPr>
                <w:rFonts w:ascii="宋体"/>
                <w:vanish/>
              </w:rPr>
            </w:pPr>
          </w:p>
        </w:tc>
        <w:tc>
          <w:tcPr>
            <w:tcW w:w="0" w:type="auto"/>
            <w:gridSpan w:val="3"/>
            <w:shd w:val="clear" w:color="auto" w:fill="auto"/>
          </w:tcPr>
          <w:p w14:paraId="5EA20597" w14:textId="77777777" w:rsidR="003C66EB" w:rsidRDefault="003C66EB">
            <w:pPr>
              <w:rPr>
                <w:rFonts w:ascii="宋体"/>
                <w:vanish/>
              </w:rPr>
            </w:pPr>
          </w:p>
        </w:tc>
        <w:tc>
          <w:tcPr>
            <w:tcW w:w="0" w:type="auto"/>
            <w:gridSpan w:val="3"/>
            <w:shd w:val="clear" w:color="auto" w:fill="auto"/>
          </w:tcPr>
          <w:p w14:paraId="5EA20598" w14:textId="77777777" w:rsidR="003C66EB" w:rsidRDefault="003C66EB">
            <w:pPr>
              <w:rPr>
                <w:rFonts w:ascii="宋体"/>
                <w:vanish/>
              </w:rPr>
            </w:pPr>
          </w:p>
        </w:tc>
        <w:tc>
          <w:tcPr>
            <w:tcW w:w="0" w:type="auto"/>
            <w:gridSpan w:val="3"/>
            <w:shd w:val="clear" w:color="auto" w:fill="auto"/>
          </w:tcPr>
          <w:p w14:paraId="5EA20599" w14:textId="77777777" w:rsidR="003C66EB" w:rsidRDefault="003C66EB">
            <w:pPr>
              <w:rPr>
                <w:rFonts w:ascii="宋体"/>
                <w:vanish/>
              </w:rPr>
            </w:pPr>
          </w:p>
        </w:tc>
        <w:tc>
          <w:tcPr>
            <w:tcW w:w="0" w:type="auto"/>
            <w:gridSpan w:val="3"/>
            <w:shd w:val="clear" w:color="auto" w:fill="auto"/>
          </w:tcPr>
          <w:p w14:paraId="5EA2059A" w14:textId="77777777" w:rsidR="003C66EB" w:rsidRDefault="003C66EB">
            <w:pPr>
              <w:rPr>
                <w:rFonts w:ascii="宋体"/>
                <w:vanish/>
              </w:rPr>
            </w:pPr>
          </w:p>
        </w:tc>
        <w:tc>
          <w:tcPr>
            <w:tcW w:w="0" w:type="auto"/>
            <w:gridSpan w:val="3"/>
            <w:shd w:val="clear" w:color="auto" w:fill="auto"/>
          </w:tcPr>
          <w:p w14:paraId="5EA2059B" w14:textId="77777777" w:rsidR="003C66EB" w:rsidRDefault="003C66EB">
            <w:pPr>
              <w:rPr>
                <w:rFonts w:ascii="宋体"/>
                <w:vanish/>
              </w:rPr>
            </w:pPr>
          </w:p>
        </w:tc>
      </w:tr>
      <w:tr w:rsidR="003C66EB" w14:paraId="5EA205A3" w14:textId="77777777">
        <w:trPr>
          <w:hidden/>
        </w:trPr>
        <w:tc>
          <w:tcPr>
            <w:tcW w:w="0" w:type="auto"/>
            <w:gridSpan w:val="3"/>
            <w:shd w:val="clear" w:color="auto" w:fill="auto"/>
          </w:tcPr>
          <w:p w14:paraId="5EA2059D" w14:textId="77777777" w:rsidR="003C66EB" w:rsidRDefault="003C66EB">
            <w:pPr>
              <w:rPr>
                <w:rFonts w:ascii="宋体"/>
                <w:vanish/>
              </w:rPr>
            </w:pPr>
          </w:p>
        </w:tc>
        <w:tc>
          <w:tcPr>
            <w:tcW w:w="0" w:type="auto"/>
            <w:gridSpan w:val="3"/>
            <w:shd w:val="clear" w:color="auto" w:fill="auto"/>
          </w:tcPr>
          <w:p w14:paraId="5EA2059E" w14:textId="77777777" w:rsidR="003C66EB" w:rsidRDefault="003C66EB">
            <w:pPr>
              <w:rPr>
                <w:rFonts w:ascii="宋体"/>
                <w:vanish/>
              </w:rPr>
            </w:pPr>
          </w:p>
        </w:tc>
        <w:tc>
          <w:tcPr>
            <w:tcW w:w="0" w:type="auto"/>
            <w:gridSpan w:val="3"/>
            <w:shd w:val="clear" w:color="auto" w:fill="auto"/>
          </w:tcPr>
          <w:p w14:paraId="5EA2059F" w14:textId="77777777" w:rsidR="003C66EB" w:rsidRDefault="003C66EB">
            <w:pPr>
              <w:rPr>
                <w:rFonts w:ascii="宋体"/>
                <w:vanish/>
              </w:rPr>
            </w:pPr>
          </w:p>
        </w:tc>
        <w:tc>
          <w:tcPr>
            <w:tcW w:w="0" w:type="auto"/>
            <w:gridSpan w:val="3"/>
            <w:shd w:val="clear" w:color="auto" w:fill="auto"/>
          </w:tcPr>
          <w:p w14:paraId="5EA205A0" w14:textId="77777777" w:rsidR="003C66EB" w:rsidRDefault="003C66EB">
            <w:pPr>
              <w:rPr>
                <w:rFonts w:ascii="宋体"/>
                <w:vanish/>
              </w:rPr>
            </w:pPr>
          </w:p>
        </w:tc>
        <w:tc>
          <w:tcPr>
            <w:tcW w:w="0" w:type="auto"/>
            <w:gridSpan w:val="3"/>
            <w:shd w:val="clear" w:color="auto" w:fill="auto"/>
          </w:tcPr>
          <w:p w14:paraId="5EA205A1" w14:textId="77777777" w:rsidR="003C66EB" w:rsidRDefault="003C66EB">
            <w:pPr>
              <w:rPr>
                <w:rFonts w:ascii="宋体"/>
                <w:vanish/>
              </w:rPr>
            </w:pPr>
          </w:p>
        </w:tc>
        <w:tc>
          <w:tcPr>
            <w:tcW w:w="0" w:type="auto"/>
            <w:gridSpan w:val="3"/>
            <w:shd w:val="clear" w:color="auto" w:fill="auto"/>
          </w:tcPr>
          <w:p w14:paraId="5EA205A2" w14:textId="77777777" w:rsidR="003C66EB" w:rsidRDefault="003C66EB">
            <w:pPr>
              <w:rPr>
                <w:rFonts w:ascii="宋体"/>
                <w:vanish/>
              </w:rPr>
            </w:pPr>
          </w:p>
        </w:tc>
      </w:tr>
      <w:tr w:rsidR="003C66EB" w14:paraId="5EA205AA" w14:textId="77777777">
        <w:trPr>
          <w:hidden/>
        </w:trPr>
        <w:tc>
          <w:tcPr>
            <w:tcW w:w="0" w:type="auto"/>
            <w:gridSpan w:val="3"/>
            <w:shd w:val="clear" w:color="auto" w:fill="auto"/>
          </w:tcPr>
          <w:p w14:paraId="5EA205A4" w14:textId="77777777" w:rsidR="003C66EB" w:rsidRDefault="003C66EB">
            <w:pPr>
              <w:rPr>
                <w:rFonts w:ascii="宋体"/>
                <w:vanish/>
              </w:rPr>
            </w:pPr>
          </w:p>
        </w:tc>
        <w:tc>
          <w:tcPr>
            <w:tcW w:w="0" w:type="auto"/>
            <w:gridSpan w:val="3"/>
            <w:shd w:val="clear" w:color="auto" w:fill="auto"/>
          </w:tcPr>
          <w:p w14:paraId="5EA205A5" w14:textId="77777777" w:rsidR="003C66EB" w:rsidRDefault="003C66EB">
            <w:pPr>
              <w:rPr>
                <w:rFonts w:ascii="宋体"/>
                <w:vanish/>
              </w:rPr>
            </w:pPr>
          </w:p>
        </w:tc>
        <w:tc>
          <w:tcPr>
            <w:tcW w:w="0" w:type="auto"/>
            <w:gridSpan w:val="3"/>
            <w:shd w:val="clear" w:color="auto" w:fill="auto"/>
          </w:tcPr>
          <w:p w14:paraId="5EA205A6" w14:textId="77777777" w:rsidR="003C66EB" w:rsidRDefault="003C66EB">
            <w:pPr>
              <w:rPr>
                <w:rFonts w:ascii="宋体"/>
                <w:vanish/>
              </w:rPr>
            </w:pPr>
          </w:p>
        </w:tc>
        <w:tc>
          <w:tcPr>
            <w:tcW w:w="0" w:type="auto"/>
            <w:gridSpan w:val="3"/>
            <w:shd w:val="clear" w:color="auto" w:fill="auto"/>
          </w:tcPr>
          <w:p w14:paraId="5EA205A7" w14:textId="77777777" w:rsidR="003C66EB" w:rsidRDefault="003C66EB">
            <w:pPr>
              <w:rPr>
                <w:rFonts w:ascii="宋体"/>
                <w:vanish/>
              </w:rPr>
            </w:pPr>
          </w:p>
        </w:tc>
        <w:tc>
          <w:tcPr>
            <w:tcW w:w="0" w:type="auto"/>
            <w:gridSpan w:val="3"/>
            <w:shd w:val="clear" w:color="auto" w:fill="auto"/>
          </w:tcPr>
          <w:p w14:paraId="5EA205A8" w14:textId="77777777" w:rsidR="003C66EB" w:rsidRDefault="003C66EB">
            <w:pPr>
              <w:rPr>
                <w:rFonts w:ascii="宋体"/>
                <w:vanish/>
              </w:rPr>
            </w:pPr>
          </w:p>
        </w:tc>
        <w:tc>
          <w:tcPr>
            <w:tcW w:w="0" w:type="auto"/>
            <w:gridSpan w:val="3"/>
            <w:shd w:val="clear" w:color="auto" w:fill="auto"/>
          </w:tcPr>
          <w:p w14:paraId="5EA205A9" w14:textId="77777777" w:rsidR="003C66EB" w:rsidRDefault="003C66EB">
            <w:pPr>
              <w:rPr>
                <w:rFonts w:ascii="宋体"/>
                <w:vanish/>
              </w:rPr>
            </w:pPr>
          </w:p>
        </w:tc>
      </w:tr>
      <w:tr w:rsidR="003C66EB" w14:paraId="5EA205B1" w14:textId="77777777">
        <w:trPr>
          <w:hidden/>
        </w:trPr>
        <w:tc>
          <w:tcPr>
            <w:tcW w:w="0" w:type="auto"/>
            <w:gridSpan w:val="3"/>
            <w:shd w:val="clear" w:color="auto" w:fill="auto"/>
          </w:tcPr>
          <w:p w14:paraId="5EA205AB" w14:textId="77777777" w:rsidR="003C66EB" w:rsidRDefault="003C66EB">
            <w:pPr>
              <w:rPr>
                <w:rFonts w:ascii="宋体"/>
                <w:vanish/>
              </w:rPr>
            </w:pPr>
          </w:p>
        </w:tc>
        <w:tc>
          <w:tcPr>
            <w:tcW w:w="0" w:type="auto"/>
            <w:gridSpan w:val="3"/>
            <w:shd w:val="clear" w:color="auto" w:fill="auto"/>
          </w:tcPr>
          <w:p w14:paraId="5EA205AC" w14:textId="77777777" w:rsidR="003C66EB" w:rsidRDefault="003C66EB">
            <w:pPr>
              <w:rPr>
                <w:rFonts w:ascii="宋体"/>
                <w:vanish/>
              </w:rPr>
            </w:pPr>
          </w:p>
        </w:tc>
        <w:tc>
          <w:tcPr>
            <w:tcW w:w="0" w:type="auto"/>
            <w:gridSpan w:val="3"/>
            <w:shd w:val="clear" w:color="auto" w:fill="auto"/>
          </w:tcPr>
          <w:p w14:paraId="5EA205AD" w14:textId="77777777" w:rsidR="003C66EB" w:rsidRDefault="003C66EB">
            <w:pPr>
              <w:rPr>
                <w:rFonts w:ascii="宋体"/>
                <w:vanish/>
              </w:rPr>
            </w:pPr>
          </w:p>
        </w:tc>
        <w:tc>
          <w:tcPr>
            <w:tcW w:w="0" w:type="auto"/>
            <w:gridSpan w:val="3"/>
            <w:shd w:val="clear" w:color="auto" w:fill="auto"/>
          </w:tcPr>
          <w:p w14:paraId="5EA205AE" w14:textId="77777777" w:rsidR="003C66EB" w:rsidRDefault="003C66EB">
            <w:pPr>
              <w:rPr>
                <w:rFonts w:ascii="宋体"/>
                <w:vanish/>
              </w:rPr>
            </w:pPr>
          </w:p>
        </w:tc>
        <w:tc>
          <w:tcPr>
            <w:tcW w:w="0" w:type="auto"/>
            <w:gridSpan w:val="3"/>
            <w:shd w:val="clear" w:color="auto" w:fill="auto"/>
          </w:tcPr>
          <w:p w14:paraId="5EA205AF" w14:textId="77777777" w:rsidR="003C66EB" w:rsidRDefault="003C66EB">
            <w:pPr>
              <w:rPr>
                <w:rFonts w:ascii="宋体"/>
                <w:vanish/>
              </w:rPr>
            </w:pPr>
          </w:p>
        </w:tc>
        <w:tc>
          <w:tcPr>
            <w:tcW w:w="0" w:type="auto"/>
            <w:gridSpan w:val="3"/>
            <w:shd w:val="clear" w:color="auto" w:fill="auto"/>
          </w:tcPr>
          <w:p w14:paraId="5EA205B0" w14:textId="77777777" w:rsidR="003C66EB" w:rsidRDefault="003C66EB">
            <w:pPr>
              <w:rPr>
                <w:rFonts w:ascii="宋体"/>
                <w:vanish/>
              </w:rPr>
            </w:pPr>
          </w:p>
        </w:tc>
      </w:tr>
      <w:tr w:rsidR="003C66EB" w14:paraId="5EA205B8" w14:textId="77777777">
        <w:trPr>
          <w:hidden/>
        </w:trPr>
        <w:tc>
          <w:tcPr>
            <w:tcW w:w="0" w:type="auto"/>
            <w:gridSpan w:val="3"/>
            <w:shd w:val="clear" w:color="auto" w:fill="auto"/>
          </w:tcPr>
          <w:p w14:paraId="5EA205B2" w14:textId="77777777" w:rsidR="003C66EB" w:rsidRDefault="003C66EB">
            <w:pPr>
              <w:rPr>
                <w:rFonts w:ascii="宋体"/>
                <w:vanish/>
              </w:rPr>
            </w:pPr>
          </w:p>
        </w:tc>
        <w:tc>
          <w:tcPr>
            <w:tcW w:w="0" w:type="auto"/>
            <w:gridSpan w:val="3"/>
            <w:shd w:val="clear" w:color="auto" w:fill="auto"/>
          </w:tcPr>
          <w:p w14:paraId="5EA205B3" w14:textId="77777777" w:rsidR="003C66EB" w:rsidRDefault="003C66EB">
            <w:pPr>
              <w:rPr>
                <w:rFonts w:ascii="宋体"/>
                <w:vanish/>
              </w:rPr>
            </w:pPr>
          </w:p>
        </w:tc>
        <w:tc>
          <w:tcPr>
            <w:tcW w:w="0" w:type="auto"/>
            <w:gridSpan w:val="3"/>
            <w:shd w:val="clear" w:color="auto" w:fill="auto"/>
          </w:tcPr>
          <w:p w14:paraId="5EA205B4" w14:textId="77777777" w:rsidR="003C66EB" w:rsidRDefault="003C66EB">
            <w:pPr>
              <w:rPr>
                <w:rFonts w:ascii="宋体"/>
                <w:vanish/>
              </w:rPr>
            </w:pPr>
          </w:p>
        </w:tc>
        <w:tc>
          <w:tcPr>
            <w:tcW w:w="0" w:type="auto"/>
            <w:gridSpan w:val="3"/>
            <w:shd w:val="clear" w:color="auto" w:fill="auto"/>
          </w:tcPr>
          <w:p w14:paraId="5EA205B5" w14:textId="77777777" w:rsidR="003C66EB" w:rsidRDefault="003C66EB">
            <w:pPr>
              <w:rPr>
                <w:rFonts w:ascii="宋体"/>
                <w:vanish/>
              </w:rPr>
            </w:pPr>
          </w:p>
        </w:tc>
        <w:tc>
          <w:tcPr>
            <w:tcW w:w="0" w:type="auto"/>
            <w:gridSpan w:val="3"/>
            <w:shd w:val="clear" w:color="auto" w:fill="auto"/>
          </w:tcPr>
          <w:p w14:paraId="5EA205B6" w14:textId="77777777" w:rsidR="003C66EB" w:rsidRDefault="003C66EB">
            <w:pPr>
              <w:rPr>
                <w:rFonts w:ascii="宋体"/>
                <w:vanish/>
              </w:rPr>
            </w:pPr>
          </w:p>
        </w:tc>
        <w:tc>
          <w:tcPr>
            <w:tcW w:w="0" w:type="auto"/>
            <w:gridSpan w:val="3"/>
            <w:shd w:val="clear" w:color="auto" w:fill="auto"/>
          </w:tcPr>
          <w:p w14:paraId="5EA205B7" w14:textId="77777777" w:rsidR="003C66EB" w:rsidRDefault="003C66EB">
            <w:pPr>
              <w:rPr>
                <w:rFonts w:ascii="宋体"/>
                <w:vanish/>
              </w:rPr>
            </w:pPr>
          </w:p>
        </w:tc>
      </w:tr>
      <w:tr w:rsidR="003C66EB" w14:paraId="5EA205BF" w14:textId="77777777">
        <w:trPr>
          <w:hidden/>
        </w:trPr>
        <w:tc>
          <w:tcPr>
            <w:tcW w:w="0" w:type="auto"/>
            <w:gridSpan w:val="3"/>
            <w:shd w:val="clear" w:color="auto" w:fill="auto"/>
          </w:tcPr>
          <w:p w14:paraId="5EA205B9" w14:textId="77777777" w:rsidR="003C66EB" w:rsidRDefault="003C66EB">
            <w:pPr>
              <w:rPr>
                <w:rFonts w:ascii="宋体"/>
                <w:vanish/>
              </w:rPr>
            </w:pPr>
          </w:p>
        </w:tc>
        <w:tc>
          <w:tcPr>
            <w:tcW w:w="0" w:type="auto"/>
            <w:gridSpan w:val="3"/>
            <w:shd w:val="clear" w:color="auto" w:fill="auto"/>
          </w:tcPr>
          <w:p w14:paraId="5EA205BA" w14:textId="77777777" w:rsidR="003C66EB" w:rsidRDefault="003C66EB">
            <w:pPr>
              <w:rPr>
                <w:rFonts w:ascii="宋体"/>
                <w:vanish/>
              </w:rPr>
            </w:pPr>
          </w:p>
        </w:tc>
        <w:tc>
          <w:tcPr>
            <w:tcW w:w="0" w:type="auto"/>
            <w:gridSpan w:val="3"/>
            <w:shd w:val="clear" w:color="auto" w:fill="auto"/>
          </w:tcPr>
          <w:p w14:paraId="5EA205BB" w14:textId="77777777" w:rsidR="003C66EB" w:rsidRDefault="003C66EB">
            <w:pPr>
              <w:rPr>
                <w:rFonts w:ascii="宋体"/>
                <w:vanish/>
              </w:rPr>
            </w:pPr>
          </w:p>
        </w:tc>
        <w:tc>
          <w:tcPr>
            <w:tcW w:w="0" w:type="auto"/>
            <w:gridSpan w:val="3"/>
            <w:shd w:val="clear" w:color="auto" w:fill="auto"/>
          </w:tcPr>
          <w:p w14:paraId="5EA205BC" w14:textId="77777777" w:rsidR="003C66EB" w:rsidRDefault="003C66EB">
            <w:pPr>
              <w:rPr>
                <w:rFonts w:ascii="宋体"/>
                <w:vanish/>
              </w:rPr>
            </w:pPr>
          </w:p>
        </w:tc>
        <w:tc>
          <w:tcPr>
            <w:tcW w:w="0" w:type="auto"/>
            <w:gridSpan w:val="3"/>
            <w:shd w:val="clear" w:color="auto" w:fill="auto"/>
          </w:tcPr>
          <w:p w14:paraId="5EA205BD" w14:textId="77777777" w:rsidR="003C66EB" w:rsidRDefault="003C66EB">
            <w:pPr>
              <w:rPr>
                <w:rFonts w:ascii="宋体"/>
                <w:vanish/>
              </w:rPr>
            </w:pPr>
          </w:p>
        </w:tc>
        <w:tc>
          <w:tcPr>
            <w:tcW w:w="0" w:type="auto"/>
            <w:gridSpan w:val="3"/>
            <w:shd w:val="clear" w:color="auto" w:fill="auto"/>
          </w:tcPr>
          <w:p w14:paraId="5EA205BE" w14:textId="77777777" w:rsidR="003C66EB" w:rsidRDefault="003C66EB">
            <w:pPr>
              <w:rPr>
                <w:rFonts w:ascii="宋体"/>
                <w:vanish/>
              </w:rPr>
            </w:pPr>
          </w:p>
        </w:tc>
      </w:tr>
      <w:tr w:rsidR="003C66EB" w14:paraId="5EA205C6" w14:textId="77777777">
        <w:trPr>
          <w:hidden/>
        </w:trPr>
        <w:tc>
          <w:tcPr>
            <w:tcW w:w="0" w:type="auto"/>
            <w:gridSpan w:val="3"/>
            <w:shd w:val="clear" w:color="auto" w:fill="auto"/>
          </w:tcPr>
          <w:p w14:paraId="5EA205C0" w14:textId="77777777" w:rsidR="003C66EB" w:rsidRDefault="003C66EB">
            <w:pPr>
              <w:rPr>
                <w:rFonts w:ascii="宋体"/>
                <w:vanish/>
              </w:rPr>
            </w:pPr>
          </w:p>
        </w:tc>
        <w:tc>
          <w:tcPr>
            <w:tcW w:w="0" w:type="auto"/>
            <w:gridSpan w:val="3"/>
            <w:shd w:val="clear" w:color="auto" w:fill="auto"/>
          </w:tcPr>
          <w:p w14:paraId="5EA205C1" w14:textId="77777777" w:rsidR="003C66EB" w:rsidRDefault="003C66EB">
            <w:pPr>
              <w:rPr>
                <w:rFonts w:ascii="宋体"/>
                <w:vanish/>
              </w:rPr>
            </w:pPr>
          </w:p>
        </w:tc>
        <w:tc>
          <w:tcPr>
            <w:tcW w:w="0" w:type="auto"/>
            <w:gridSpan w:val="3"/>
            <w:shd w:val="clear" w:color="auto" w:fill="auto"/>
          </w:tcPr>
          <w:p w14:paraId="5EA205C2" w14:textId="77777777" w:rsidR="003C66EB" w:rsidRDefault="003C66EB">
            <w:pPr>
              <w:rPr>
                <w:rFonts w:ascii="宋体"/>
                <w:vanish/>
              </w:rPr>
            </w:pPr>
          </w:p>
        </w:tc>
        <w:tc>
          <w:tcPr>
            <w:tcW w:w="0" w:type="auto"/>
            <w:gridSpan w:val="3"/>
            <w:shd w:val="clear" w:color="auto" w:fill="auto"/>
          </w:tcPr>
          <w:p w14:paraId="5EA205C3" w14:textId="77777777" w:rsidR="003C66EB" w:rsidRDefault="003C66EB">
            <w:pPr>
              <w:rPr>
                <w:rFonts w:ascii="宋体"/>
                <w:vanish/>
              </w:rPr>
            </w:pPr>
          </w:p>
        </w:tc>
        <w:tc>
          <w:tcPr>
            <w:tcW w:w="0" w:type="auto"/>
            <w:gridSpan w:val="3"/>
            <w:shd w:val="clear" w:color="auto" w:fill="auto"/>
          </w:tcPr>
          <w:p w14:paraId="5EA205C4" w14:textId="77777777" w:rsidR="003C66EB" w:rsidRDefault="003C66EB">
            <w:pPr>
              <w:rPr>
                <w:rFonts w:ascii="宋体"/>
                <w:vanish/>
              </w:rPr>
            </w:pPr>
          </w:p>
        </w:tc>
        <w:tc>
          <w:tcPr>
            <w:tcW w:w="0" w:type="auto"/>
            <w:gridSpan w:val="3"/>
            <w:shd w:val="clear" w:color="auto" w:fill="auto"/>
          </w:tcPr>
          <w:p w14:paraId="5EA205C5" w14:textId="77777777" w:rsidR="003C66EB" w:rsidRDefault="003C66EB">
            <w:pPr>
              <w:rPr>
                <w:rFonts w:ascii="宋体"/>
                <w:vanish/>
              </w:rPr>
            </w:pPr>
          </w:p>
        </w:tc>
      </w:tr>
      <w:tr w:rsidR="003C66EB" w14:paraId="5EA205CD" w14:textId="77777777">
        <w:trPr>
          <w:hidden/>
        </w:trPr>
        <w:tc>
          <w:tcPr>
            <w:tcW w:w="0" w:type="auto"/>
            <w:gridSpan w:val="3"/>
            <w:shd w:val="clear" w:color="auto" w:fill="auto"/>
          </w:tcPr>
          <w:p w14:paraId="5EA205C7" w14:textId="77777777" w:rsidR="003C66EB" w:rsidRDefault="003C66EB">
            <w:pPr>
              <w:rPr>
                <w:rFonts w:ascii="宋体"/>
                <w:vanish/>
              </w:rPr>
            </w:pPr>
          </w:p>
        </w:tc>
        <w:tc>
          <w:tcPr>
            <w:tcW w:w="0" w:type="auto"/>
            <w:gridSpan w:val="3"/>
            <w:shd w:val="clear" w:color="auto" w:fill="auto"/>
          </w:tcPr>
          <w:p w14:paraId="5EA205C8" w14:textId="77777777" w:rsidR="003C66EB" w:rsidRDefault="003C66EB">
            <w:pPr>
              <w:rPr>
                <w:rFonts w:ascii="宋体"/>
                <w:vanish/>
              </w:rPr>
            </w:pPr>
          </w:p>
        </w:tc>
        <w:tc>
          <w:tcPr>
            <w:tcW w:w="0" w:type="auto"/>
            <w:gridSpan w:val="3"/>
            <w:shd w:val="clear" w:color="auto" w:fill="auto"/>
          </w:tcPr>
          <w:p w14:paraId="5EA205C9" w14:textId="77777777" w:rsidR="003C66EB" w:rsidRDefault="003C66EB">
            <w:pPr>
              <w:rPr>
                <w:rFonts w:ascii="宋体"/>
                <w:vanish/>
              </w:rPr>
            </w:pPr>
          </w:p>
        </w:tc>
        <w:tc>
          <w:tcPr>
            <w:tcW w:w="0" w:type="auto"/>
            <w:gridSpan w:val="3"/>
            <w:shd w:val="clear" w:color="auto" w:fill="auto"/>
          </w:tcPr>
          <w:p w14:paraId="5EA205CA" w14:textId="77777777" w:rsidR="003C66EB" w:rsidRDefault="003C66EB">
            <w:pPr>
              <w:rPr>
                <w:rFonts w:ascii="宋体"/>
                <w:vanish/>
              </w:rPr>
            </w:pPr>
          </w:p>
        </w:tc>
        <w:tc>
          <w:tcPr>
            <w:tcW w:w="0" w:type="auto"/>
            <w:gridSpan w:val="3"/>
            <w:shd w:val="clear" w:color="auto" w:fill="auto"/>
          </w:tcPr>
          <w:p w14:paraId="5EA205CB" w14:textId="77777777" w:rsidR="003C66EB" w:rsidRDefault="003C66EB">
            <w:pPr>
              <w:rPr>
                <w:rFonts w:ascii="宋体"/>
                <w:vanish/>
              </w:rPr>
            </w:pPr>
          </w:p>
        </w:tc>
        <w:tc>
          <w:tcPr>
            <w:tcW w:w="0" w:type="auto"/>
            <w:gridSpan w:val="3"/>
            <w:shd w:val="clear" w:color="auto" w:fill="auto"/>
          </w:tcPr>
          <w:p w14:paraId="5EA205CC" w14:textId="77777777" w:rsidR="003C66EB" w:rsidRDefault="003C66EB">
            <w:pPr>
              <w:rPr>
                <w:rFonts w:ascii="宋体"/>
                <w:vanish/>
              </w:rPr>
            </w:pPr>
          </w:p>
        </w:tc>
      </w:tr>
    </w:tbl>
    <w:p w14:paraId="5EA205CE"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3C66EB" w14:paraId="5EA205DA" w14:textId="77777777">
        <w:tc>
          <w:tcPr>
            <w:tcW w:w="50" w:type="pct"/>
            <w:shd w:val="clear" w:color="auto" w:fill="auto"/>
          </w:tcPr>
          <w:p w14:paraId="5EA205CF" w14:textId="77777777" w:rsidR="003C66EB" w:rsidRDefault="003C66EB">
            <w:pPr>
              <w:rPr>
                <w:rFonts w:ascii="宋体"/>
              </w:rPr>
            </w:pPr>
          </w:p>
        </w:tc>
        <w:tc>
          <w:tcPr>
            <w:tcW w:w="2374" w:type="pct"/>
            <w:shd w:val="clear" w:color="auto" w:fill="auto"/>
          </w:tcPr>
          <w:p w14:paraId="5EA205D0" w14:textId="77777777" w:rsidR="003C66EB" w:rsidRDefault="003C66EB">
            <w:pPr>
              <w:rPr>
                <w:rFonts w:ascii="宋体"/>
              </w:rPr>
            </w:pPr>
          </w:p>
        </w:tc>
        <w:tc>
          <w:tcPr>
            <w:tcW w:w="5" w:type="pct"/>
            <w:shd w:val="clear" w:color="auto" w:fill="auto"/>
          </w:tcPr>
          <w:p w14:paraId="5EA205D1" w14:textId="77777777" w:rsidR="003C66EB" w:rsidRDefault="003C66EB">
            <w:pPr>
              <w:rPr>
                <w:rFonts w:ascii="宋体"/>
              </w:rPr>
            </w:pPr>
          </w:p>
        </w:tc>
        <w:tc>
          <w:tcPr>
            <w:tcW w:w="50" w:type="pct"/>
            <w:shd w:val="clear" w:color="auto" w:fill="auto"/>
          </w:tcPr>
          <w:p w14:paraId="5EA205D2" w14:textId="77777777" w:rsidR="003C66EB" w:rsidRDefault="003C66EB">
            <w:pPr>
              <w:rPr>
                <w:rFonts w:ascii="宋体"/>
              </w:rPr>
            </w:pPr>
          </w:p>
        </w:tc>
        <w:tc>
          <w:tcPr>
            <w:tcW w:w="1010" w:type="pct"/>
            <w:shd w:val="clear" w:color="auto" w:fill="auto"/>
          </w:tcPr>
          <w:p w14:paraId="5EA205D3" w14:textId="77777777" w:rsidR="003C66EB" w:rsidRDefault="003C66EB">
            <w:pPr>
              <w:rPr>
                <w:rFonts w:ascii="宋体"/>
              </w:rPr>
            </w:pPr>
          </w:p>
        </w:tc>
        <w:tc>
          <w:tcPr>
            <w:tcW w:w="5" w:type="pct"/>
            <w:shd w:val="clear" w:color="auto" w:fill="auto"/>
          </w:tcPr>
          <w:p w14:paraId="5EA205D4" w14:textId="77777777" w:rsidR="003C66EB" w:rsidRDefault="003C66EB">
            <w:pPr>
              <w:rPr>
                <w:rFonts w:ascii="宋体"/>
              </w:rPr>
            </w:pPr>
          </w:p>
        </w:tc>
        <w:tc>
          <w:tcPr>
            <w:tcW w:w="50" w:type="pct"/>
            <w:shd w:val="clear" w:color="auto" w:fill="auto"/>
          </w:tcPr>
          <w:p w14:paraId="5EA205D5" w14:textId="77777777" w:rsidR="003C66EB" w:rsidRDefault="003C66EB">
            <w:pPr>
              <w:rPr>
                <w:rFonts w:ascii="宋体"/>
              </w:rPr>
            </w:pPr>
          </w:p>
        </w:tc>
        <w:tc>
          <w:tcPr>
            <w:tcW w:w="1449" w:type="pct"/>
            <w:shd w:val="clear" w:color="auto" w:fill="auto"/>
          </w:tcPr>
          <w:p w14:paraId="5EA205D6" w14:textId="77777777" w:rsidR="003C66EB" w:rsidRDefault="003C66EB">
            <w:pPr>
              <w:rPr>
                <w:rFonts w:ascii="宋体"/>
              </w:rPr>
            </w:pPr>
          </w:p>
        </w:tc>
        <w:tc>
          <w:tcPr>
            <w:tcW w:w="5" w:type="pct"/>
            <w:shd w:val="clear" w:color="auto" w:fill="auto"/>
          </w:tcPr>
          <w:p w14:paraId="5EA205D7" w14:textId="77777777" w:rsidR="003C66EB" w:rsidRDefault="003C66EB">
            <w:pPr>
              <w:rPr>
                <w:rFonts w:ascii="宋体"/>
              </w:rPr>
            </w:pPr>
          </w:p>
        </w:tc>
        <w:tc>
          <w:tcPr>
            <w:tcW w:w="0" w:type="auto"/>
            <w:shd w:val="clear" w:color="auto" w:fill="auto"/>
          </w:tcPr>
          <w:p w14:paraId="5EA205D8" w14:textId="77777777" w:rsidR="003C66EB" w:rsidRDefault="003C66EB">
            <w:pPr>
              <w:rPr>
                <w:rFonts w:ascii="宋体"/>
                <w:vanish/>
              </w:rPr>
            </w:pPr>
          </w:p>
        </w:tc>
        <w:tc>
          <w:tcPr>
            <w:tcW w:w="0" w:type="auto"/>
            <w:shd w:val="clear" w:color="auto" w:fill="auto"/>
          </w:tcPr>
          <w:p w14:paraId="5EA205D9" w14:textId="77777777" w:rsidR="003C66EB" w:rsidRDefault="003C66EB">
            <w:pPr>
              <w:rPr>
                <w:rFonts w:ascii="宋体"/>
                <w:vanish/>
              </w:rPr>
            </w:pPr>
          </w:p>
        </w:tc>
      </w:tr>
      <w:tr w:rsidR="003C66EB" w14:paraId="5EA205E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5D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5D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5DD" w14:textId="77777777" w:rsidR="003C66EB" w:rsidRDefault="003C66EB">
            <w:pPr>
              <w:rPr>
                <w:rFonts w:ascii="宋体"/>
              </w:rPr>
            </w:pPr>
          </w:p>
        </w:tc>
        <w:tc>
          <w:tcPr>
            <w:tcW w:w="0" w:type="auto"/>
            <w:shd w:val="clear" w:color="auto" w:fill="auto"/>
          </w:tcPr>
          <w:p w14:paraId="5EA205DE" w14:textId="77777777" w:rsidR="003C66EB" w:rsidRDefault="003C66EB">
            <w:pPr>
              <w:rPr>
                <w:rFonts w:ascii="宋体"/>
                <w:vanish/>
              </w:rPr>
            </w:pPr>
          </w:p>
        </w:tc>
        <w:tc>
          <w:tcPr>
            <w:tcW w:w="0" w:type="auto"/>
            <w:shd w:val="clear" w:color="auto" w:fill="auto"/>
          </w:tcPr>
          <w:p w14:paraId="5EA205DF" w14:textId="77777777" w:rsidR="003C66EB" w:rsidRDefault="003C66EB">
            <w:pPr>
              <w:rPr>
                <w:rFonts w:ascii="宋体"/>
                <w:vanish/>
              </w:rPr>
            </w:pPr>
          </w:p>
        </w:tc>
      </w:tr>
    </w:tbl>
    <w:p w14:paraId="5EA205E1" w14:textId="77777777" w:rsidR="003C66EB" w:rsidRDefault="00D96C4E">
      <w:pPr>
        <w:spacing w:before="2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Cross-border outstandings included countries in which we do business, and which amounted to at least 1% of our consolidated total assets as of the dates indicated.</w:t>
      </w:r>
    </w:p>
    <w:p w14:paraId="5EA205E2" w14:textId="77777777" w:rsidR="003C66EB" w:rsidRDefault="00D96C4E">
      <w:pPr>
        <w:spacing w:before="60"/>
        <w:ind w:firstLine="450"/>
        <w:jc w:val="both"/>
        <w:textAlignment w:val="top"/>
      </w:pPr>
      <w:r>
        <w:rPr>
          <w:rFonts w:ascii="Arial" w:eastAsia="宋体" w:hAnsi="Arial" w:cs="Arial"/>
          <w:color w:val="000000"/>
          <w:sz w:val="20"/>
          <w:szCs w:val="20"/>
        </w:rPr>
        <w:t xml:space="preserve">As of March </w:t>
      </w:r>
      <w:r>
        <w:rPr>
          <w:rFonts w:ascii="Arial" w:eastAsia="宋体" w:hAnsi="Arial" w:cs="Arial"/>
          <w:color w:val="000000"/>
          <w:sz w:val="20"/>
          <w:szCs w:val="20"/>
        </w:rPr>
        <w:t>31, 2021, aggregate cross-border outstandings in each of France, Switzerland and South Korea amounted to between 0.75% and 1% of our consolidated assets, at approximately $2.95 billion, $2.49 billion and $2.39 billion, respectively. As of December 31, 2020</w:t>
      </w:r>
      <w:r>
        <w:rPr>
          <w:rFonts w:ascii="Arial" w:eastAsia="宋体" w:hAnsi="Arial" w:cs="Arial"/>
          <w:color w:val="000000"/>
          <w:sz w:val="20"/>
          <w:szCs w:val="20"/>
        </w:rPr>
        <w:t>, aggregate cross-border outstandings in each of Switzerland and Ireland amounted to between 0.75% and 1% of our consolidated assets, at approximately $3.13 billion and $2.93 billion, respectively.</w:t>
      </w:r>
    </w:p>
    <w:p w14:paraId="5EA205E3" w14:textId="77777777" w:rsidR="003C66EB" w:rsidRDefault="00D96C4E">
      <w:pPr>
        <w:spacing w:before="90"/>
        <w:textAlignment w:val="top"/>
      </w:pPr>
      <w:r>
        <w:rPr>
          <w:rFonts w:ascii="Arial" w:eastAsia="宋体" w:hAnsi="Arial" w:cs="Arial"/>
          <w:b/>
          <w:bCs/>
          <w:color w:val="000000"/>
          <w:sz w:val="20"/>
          <w:szCs w:val="20"/>
        </w:rPr>
        <w:t>Risk Management</w:t>
      </w:r>
    </w:p>
    <w:p w14:paraId="5EA205E4" w14:textId="77777777" w:rsidR="003C66EB" w:rsidRDefault="00D96C4E">
      <w:pPr>
        <w:spacing w:before="60"/>
        <w:ind w:firstLine="450"/>
        <w:jc w:val="both"/>
        <w:textAlignment w:val="top"/>
      </w:pPr>
      <w:r>
        <w:rPr>
          <w:rFonts w:ascii="Arial" w:eastAsia="宋体" w:hAnsi="Arial" w:cs="Arial"/>
          <w:color w:val="000000"/>
          <w:sz w:val="20"/>
          <w:szCs w:val="20"/>
        </w:rPr>
        <w:t>In the normal course of our global busines</w:t>
      </w:r>
      <w:r>
        <w:rPr>
          <w:rFonts w:ascii="Arial" w:eastAsia="宋体" w:hAnsi="Arial" w:cs="Arial"/>
          <w:color w:val="000000"/>
          <w:sz w:val="20"/>
          <w:szCs w:val="20"/>
        </w:rPr>
        <w:t>s activities, we are exposed to a variety of risks, some inherent in the financial services industry, others more specific to our business activities. Our risk management framework focuses on material risks, which include the following:</w:t>
      </w:r>
    </w:p>
    <w:p w14:paraId="5EA205E5" w14:textId="77777777" w:rsidR="003C66EB" w:rsidRDefault="00D96C4E">
      <w:pPr>
        <w:spacing w:before="60"/>
        <w:ind w:hanging="360"/>
        <w:jc w:val="both"/>
        <w:textAlignment w:val="top"/>
      </w:pPr>
      <w:r>
        <w:rPr>
          <w:rFonts w:ascii="Arial" w:eastAsia="宋体" w:hAnsi="Arial" w:cs="Arial"/>
          <w:color w:val="000000"/>
          <w:sz w:val="20"/>
          <w:szCs w:val="20"/>
        </w:rPr>
        <w:t>•credit and counter</w:t>
      </w:r>
      <w:r>
        <w:rPr>
          <w:rFonts w:ascii="Arial" w:eastAsia="宋体" w:hAnsi="Arial" w:cs="Arial"/>
          <w:color w:val="000000"/>
          <w:sz w:val="20"/>
          <w:szCs w:val="20"/>
        </w:rPr>
        <w:t>party risk;</w:t>
      </w:r>
    </w:p>
    <w:p w14:paraId="5EA205E6" w14:textId="77777777" w:rsidR="003C66EB" w:rsidRDefault="00D96C4E">
      <w:pPr>
        <w:spacing w:before="60"/>
        <w:ind w:hanging="360"/>
        <w:jc w:val="both"/>
        <w:textAlignment w:val="top"/>
      </w:pPr>
      <w:r>
        <w:rPr>
          <w:rFonts w:ascii="Arial" w:eastAsia="宋体" w:hAnsi="Arial" w:cs="Arial"/>
          <w:color w:val="000000"/>
          <w:sz w:val="20"/>
          <w:szCs w:val="20"/>
        </w:rPr>
        <w:t xml:space="preserve">•liquidity risk, funding and management; </w:t>
      </w:r>
    </w:p>
    <w:p w14:paraId="5EA205E7" w14:textId="77777777" w:rsidR="003C66EB" w:rsidRDefault="00D96C4E">
      <w:pPr>
        <w:spacing w:before="60"/>
        <w:ind w:hanging="360"/>
        <w:jc w:val="both"/>
        <w:textAlignment w:val="top"/>
      </w:pPr>
      <w:r>
        <w:rPr>
          <w:rFonts w:ascii="Arial" w:eastAsia="宋体" w:hAnsi="Arial" w:cs="Arial"/>
          <w:color w:val="000000"/>
          <w:sz w:val="20"/>
          <w:szCs w:val="20"/>
        </w:rPr>
        <w:t>•operational risk;</w:t>
      </w:r>
    </w:p>
    <w:p w14:paraId="5EA205E8" w14:textId="77777777" w:rsidR="003C66EB" w:rsidRDefault="00D96C4E">
      <w:pPr>
        <w:spacing w:before="60"/>
        <w:ind w:hanging="360"/>
        <w:jc w:val="both"/>
        <w:textAlignment w:val="top"/>
      </w:pPr>
      <w:r>
        <w:rPr>
          <w:rFonts w:ascii="Arial" w:eastAsia="宋体" w:hAnsi="Arial" w:cs="Arial"/>
          <w:color w:val="000000"/>
          <w:sz w:val="20"/>
          <w:szCs w:val="20"/>
        </w:rPr>
        <w:t>•information technology risk;</w:t>
      </w:r>
    </w:p>
    <w:p w14:paraId="5EA205E9" w14:textId="77777777" w:rsidR="003C66EB" w:rsidRDefault="00D96C4E">
      <w:pPr>
        <w:spacing w:before="60"/>
        <w:ind w:hanging="360"/>
        <w:jc w:val="both"/>
        <w:textAlignment w:val="top"/>
      </w:pPr>
      <w:r>
        <w:rPr>
          <w:rFonts w:ascii="Arial" w:eastAsia="宋体" w:hAnsi="Arial" w:cs="Arial"/>
          <w:color w:val="000000"/>
          <w:sz w:val="20"/>
          <w:szCs w:val="20"/>
        </w:rPr>
        <w:t>•market risk associated with our trading activities;</w:t>
      </w:r>
    </w:p>
    <w:p w14:paraId="5EA205EA" w14:textId="77777777" w:rsidR="003C66EB" w:rsidRDefault="00D96C4E">
      <w:pPr>
        <w:spacing w:before="60"/>
        <w:ind w:hanging="360"/>
        <w:jc w:val="both"/>
        <w:textAlignment w:val="top"/>
      </w:pPr>
      <w:r>
        <w:rPr>
          <w:rFonts w:ascii="Arial" w:eastAsia="宋体" w:hAnsi="Arial" w:cs="Arial"/>
          <w:color w:val="000000"/>
          <w:sz w:val="20"/>
          <w:szCs w:val="20"/>
        </w:rPr>
        <w:t>•market risk associated with our non-trading activities, which we refer to as asset-and-liability ma</w:t>
      </w:r>
      <w:r>
        <w:rPr>
          <w:rFonts w:ascii="Arial" w:eastAsia="宋体" w:hAnsi="Arial" w:cs="Arial"/>
          <w:color w:val="000000"/>
          <w:sz w:val="20"/>
          <w:szCs w:val="20"/>
        </w:rPr>
        <w:t xml:space="preserve">nagement, and which consists primarily of interest rate risk; </w:t>
      </w:r>
    </w:p>
    <w:p w14:paraId="5EA205EB" w14:textId="77777777" w:rsidR="003C66EB" w:rsidRDefault="00D96C4E">
      <w:pPr>
        <w:ind w:firstLine="450"/>
        <w:jc w:val="right"/>
      </w:pPr>
      <w:r>
        <w:rPr>
          <w:rFonts w:ascii="Arial" w:eastAsia="宋体" w:hAnsi="Arial" w:cs="Arial"/>
          <w:color w:val="000000"/>
          <w:sz w:val="18"/>
          <w:szCs w:val="18"/>
        </w:rPr>
        <w:t>State Street Corporation | 27</w:t>
      </w:r>
    </w:p>
    <w:p w14:paraId="5EA205EC" w14:textId="77777777" w:rsidR="003C66EB" w:rsidRDefault="003C66EB">
      <w:pPr>
        <w:ind w:firstLine="450"/>
        <w:jc w:val="center"/>
      </w:pPr>
    </w:p>
    <w:p w14:paraId="5EA205ED" w14:textId="77777777" w:rsidR="003C66EB" w:rsidRDefault="00D96C4E">
      <w:r>
        <w:pict w14:anchorId="5EA287CB">
          <v:rect id="_x0000_i1051" style="width:415.3pt;height:1.5pt" o:hralign="center" o:hrstd="t" o:hr="t" fillcolor="#a0a0a0" stroked="f"/>
        </w:pict>
      </w:r>
    </w:p>
    <w:p w14:paraId="5EA205EE"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5EF" w14:textId="77777777" w:rsidR="003C66EB" w:rsidRDefault="00D96C4E">
      <w:pPr>
        <w:ind w:firstLine="450"/>
        <w:jc w:val="center"/>
      </w:pPr>
      <w:r>
        <w:rPr>
          <w:rFonts w:ascii="Arial" w:eastAsia="宋体" w:hAnsi="Arial" w:cs="Arial"/>
          <w:b/>
          <w:bCs/>
          <w:color w:val="000000"/>
          <w:sz w:val="20"/>
          <w:szCs w:val="20"/>
        </w:rPr>
        <w:t>AND RESULTS OF OPERATIONS</w:t>
      </w:r>
    </w:p>
    <w:p w14:paraId="5EA205F0" w14:textId="77777777" w:rsidR="003C66EB" w:rsidRDefault="00D96C4E">
      <w:pPr>
        <w:spacing w:before="60"/>
        <w:ind w:hanging="360"/>
        <w:jc w:val="both"/>
        <w:textAlignment w:val="top"/>
      </w:pPr>
      <w:r>
        <w:rPr>
          <w:rFonts w:ascii="Arial" w:eastAsia="宋体" w:hAnsi="Arial" w:cs="Arial"/>
          <w:color w:val="000000"/>
          <w:sz w:val="20"/>
          <w:szCs w:val="20"/>
        </w:rPr>
        <w:t xml:space="preserve">•model risk; </w:t>
      </w:r>
    </w:p>
    <w:p w14:paraId="5EA205F1" w14:textId="77777777" w:rsidR="003C66EB" w:rsidRDefault="00D96C4E">
      <w:pPr>
        <w:spacing w:before="60"/>
        <w:ind w:hanging="360"/>
        <w:jc w:val="both"/>
        <w:textAlignment w:val="top"/>
      </w:pPr>
      <w:r>
        <w:rPr>
          <w:rFonts w:ascii="Arial" w:eastAsia="宋体" w:hAnsi="Arial" w:cs="Arial"/>
          <w:color w:val="000000"/>
          <w:sz w:val="20"/>
          <w:szCs w:val="20"/>
        </w:rPr>
        <w:t>•strategic risk; and</w:t>
      </w:r>
    </w:p>
    <w:p w14:paraId="5EA205F2" w14:textId="77777777" w:rsidR="003C66EB" w:rsidRDefault="00D96C4E">
      <w:pPr>
        <w:spacing w:before="60"/>
        <w:ind w:hanging="360"/>
        <w:jc w:val="both"/>
        <w:textAlignment w:val="top"/>
      </w:pPr>
      <w:r>
        <w:rPr>
          <w:rFonts w:ascii="Arial" w:eastAsia="宋体" w:hAnsi="Arial" w:cs="Arial"/>
          <w:color w:val="000000"/>
          <w:sz w:val="20"/>
          <w:szCs w:val="20"/>
        </w:rPr>
        <w:t xml:space="preserve">•reputational, fiduciary and business conduct risk. </w:t>
      </w:r>
    </w:p>
    <w:p w14:paraId="5EA205F3" w14:textId="77777777" w:rsidR="003C66EB" w:rsidRDefault="00D96C4E">
      <w:pPr>
        <w:spacing w:before="60"/>
        <w:ind w:firstLine="450"/>
        <w:jc w:val="both"/>
        <w:textAlignment w:val="top"/>
      </w:pPr>
      <w:r>
        <w:rPr>
          <w:rFonts w:ascii="Arial" w:eastAsia="宋体" w:hAnsi="Arial" w:cs="Arial"/>
          <w:color w:val="000000"/>
          <w:sz w:val="20"/>
          <w:szCs w:val="20"/>
        </w:rPr>
        <w:t>Many of these risks, as well as certain of the factors underlying each of these risks that could affect our businesses and our consolidated financial statements, are discussed in detail on pages 24 to 52</w:t>
      </w:r>
      <w:r>
        <w:rPr>
          <w:rFonts w:ascii="Arial" w:eastAsia="宋体" w:hAnsi="Arial" w:cs="Arial"/>
          <w:color w:val="000000"/>
          <w:sz w:val="20"/>
          <w:szCs w:val="20"/>
        </w:rPr>
        <w:t xml:space="preserve"> included under Item 1A, Risk Factors, in our 2020 Form 10-K.</w:t>
      </w:r>
    </w:p>
    <w:p w14:paraId="5EA205F4"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about our risk management, including our risk appetite framework and risk governance committee structure, refer to pages 85 to 89 included under Item 7, Management's D</w:t>
      </w:r>
      <w:r>
        <w:rPr>
          <w:rFonts w:ascii="Arial" w:eastAsia="宋体" w:hAnsi="Arial" w:cs="Arial"/>
          <w:color w:val="000000"/>
          <w:sz w:val="20"/>
          <w:szCs w:val="20"/>
        </w:rPr>
        <w:t>iscussion and Analysis of Financial Condition and Results of Operations, Risk Management, in our 2020 Form 10-K.</w:t>
      </w:r>
    </w:p>
    <w:p w14:paraId="5EA205F5" w14:textId="77777777" w:rsidR="003C66EB" w:rsidRDefault="00D96C4E">
      <w:pPr>
        <w:spacing w:before="90"/>
        <w:textAlignment w:val="top"/>
      </w:pPr>
      <w:r>
        <w:rPr>
          <w:rFonts w:ascii="Arial" w:eastAsia="宋体" w:hAnsi="Arial" w:cs="Arial"/>
          <w:b/>
          <w:bCs/>
          <w:color w:val="000000"/>
          <w:sz w:val="20"/>
          <w:szCs w:val="20"/>
        </w:rPr>
        <w:t>Credit Risk Management</w:t>
      </w:r>
    </w:p>
    <w:p w14:paraId="5EA205F6" w14:textId="77777777" w:rsidR="003C66EB" w:rsidRDefault="00D96C4E">
      <w:pPr>
        <w:spacing w:before="60"/>
        <w:ind w:firstLine="450"/>
        <w:jc w:val="both"/>
        <w:textAlignment w:val="top"/>
      </w:pPr>
      <w:r>
        <w:rPr>
          <w:rFonts w:ascii="Arial" w:eastAsia="宋体" w:hAnsi="Arial" w:cs="Arial"/>
          <w:color w:val="000000"/>
          <w:sz w:val="20"/>
          <w:szCs w:val="20"/>
        </w:rPr>
        <w:t xml:space="preserve">We define credit risk as the risk of financial loss if a counterparty, borrower or obligor, collectively referred to as </w:t>
      </w:r>
      <w:r>
        <w:rPr>
          <w:rFonts w:ascii="Arial" w:eastAsia="宋体" w:hAnsi="Arial" w:cs="Arial"/>
          <w:color w:val="000000"/>
          <w:sz w:val="20"/>
          <w:szCs w:val="20"/>
        </w:rPr>
        <w:t>a counterparty, is either unable or unwilling to repay borrowings or settle a transaction in accordance with underlying contractual terms. We assume credit risk in our traditional non-trading lending activities, such as overdrafts, loans and contingent com</w:t>
      </w:r>
      <w:r>
        <w:rPr>
          <w:rFonts w:ascii="Arial" w:eastAsia="宋体" w:hAnsi="Arial" w:cs="Arial"/>
          <w:color w:val="000000"/>
          <w:sz w:val="20"/>
          <w:szCs w:val="20"/>
        </w:rPr>
        <w:t xml:space="preserve">mitments, in our investment securities portfolio, where recourse to a counterparty exists, and in our direct and indirect trading activities, such as securities purchased under a resale agreement, principal securities lending and FX and indemnified agency </w:t>
      </w:r>
      <w:r>
        <w:rPr>
          <w:rFonts w:ascii="Arial" w:eastAsia="宋体" w:hAnsi="Arial" w:cs="Arial"/>
          <w:color w:val="000000"/>
          <w:sz w:val="20"/>
          <w:szCs w:val="20"/>
        </w:rPr>
        <w:t>securities lending. We also assume credit risk in our day-to-day treasury and securities and other settlement operations, in the form of deposit placements and other cash balances, with central banks or private sector institutions and fees receivables.</w:t>
      </w:r>
    </w:p>
    <w:p w14:paraId="5EA205F7" w14:textId="77777777" w:rsidR="003C66EB" w:rsidRDefault="00D96C4E">
      <w:pPr>
        <w:spacing w:before="60"/>
        <w:textAlignment w:val="top"/>
      </w:pPr>
      <w:r>
        <w:rPr>
          <w:rFonts w:ascii="Arial" w:eastAsia="宋体" w:hAnsi="Arial" w:cs="Arial"/>
          <w:b/>
          <w:bCs/>
          <w:i/>
          <w:iCs/>
          <w:color w:val="000000"/>
          <w:sz w:val="20"/>
          <w:szCs w:val="20"/>
        </w:rPr>
        <w:t>All</w:t>
      </w:r>
      <w:r>
        <w:rPr>
          <w:rFonts w:ascii="Arial" w:eastAsia="宋体" w:hAnsi="Arial" w:cs="Arial"/>
          <w:b/>
          <w:bCs/>
          <w:i/>
          <w:iCs/>
          <w:color w:val="000000"/>
          <w:sz w:val="20"/>
          <w:szCs w:val="20"/>
        </w:rPr>
        <w:t>owance for Credit Losses</w:t>
      </w:r>
    </w:p>
    <w:p w14:paraId="5EA205F8" w14:textId="77777777" w:rsidR="003C66EB" w:rsidRDefault="00D96C4E">
      <w:pPr>
        <w:spacing w:before="60"/>
        <w:ind w:firstLine="450"/>
        <w:jc w:val="both"/>
        <w:textAlignment w:val="top"/>
      </w:pPr>
      <w:r>
        <w:rPr>
          <w:rFonts w:ascii="Arial" w:eastAsia="宋体" w:hAnsi="Arial" w:cs="Arial"/>
          <w:color w:val="000000"/>
          <w:sz w:val="20"/>
          <w:szCs w:val="20"/>
        </w:rPr>
        <w:t>We maintain an allowance for credit losses to support our financial assets held at amortized cost. We also maintain an allowance for unfunded commitments and letters of credit to support our off-balance sheet credit exposure. The t</w:t>
      </w:r>
      <w:r>
        <w:rPr>
          <w:rFonts w:ascii="Arial" w:eastAsia="宋体" w:hAnsi="Arial" w:cs="Arial"/>
          <w:color w:val="000000"/>
          <w:sz w:val="20"/>
          <w:szCs w:val="20"/>
        </w:rPr>
        <w:t>wo components together represent the allowance for credit losses. Review and evaluation of the adequacy of the allowance for credit losses is ongoing throughout the year, but occurs at least quarterly, and is based, among other factors, on our evaluation o</w:t>
      </w:r>
      <w:r>
        <w:rPr>
          <w:rFonts w:ascii="Arial" w:eastAsia="宋体" w:hAnsi="Arial" w:cs="Arial"/>
          <w:color w:val="000000"/>
          <w:sz w:val="20"/>
          <w:szCs w:val="20"/>
        </w:rPr>
        <w:t>f the level of risk in the portfolio and the estimated effects of our forecasts on our counterparties. We utilize multiple economic scenarios, consisting of a baseline, upside and downside scenarios, to develop management's forecast of future expected loss</w:t>
      </w:r>
      <w:r>
        <w:rPr>
          <w:rFonts w:ascii="Arial" w:eastAsia="宋体" w:hAnsi="Arial" w:cs="Arial"/>
          <w:color w:val="000000"/>
          <w:sz w:val="20"/>
          <w:szCs w:val="20"/>
        </w:rPr>
        <w:t>es.</w:t>
      </w:r>
    </w:p>
    <w:p w14:paraId="5EA205F9" w14:textId="77777777" w:rsidR="003C66EB" w:rsidRDefault="00D96C4E">
      <w:pPr>
        <w:spacing w:before="60"/>
        <w:ind w:firstLine="450"/>
        <w:jc w:val="both"/>
        <w:textAlignment w:val="top"/>
      </w:pPr>
      <w:r>
        <w:rPr>
          <w:rFonts w:ascii="Arial" w:eastAsia="宋体" w:hAnsi="Arial" w:cs="Arial"/>
          <w:color w:val="000000"/>
          <w:sz w:val="20"/>
          <w:szCs w:val="20"/>
        </w:rPr>
        <w:t xml:space="preserve">The economic forecast utilized in the first quarter of 2021 reflects a shift in management’s economic outlook toward economic expansion and limited </w:t>
      </w:r>
    </w:p>
    <w:p w14:paraId="5EA205FA" w14:textId="77777777" w:rsidR="003C66EB" w:rsidRDefault="00D96C4E">
      <w:pPr>
        <w:spacing w:before="60"/>
        <w:jc w:val="both"/>
        <w:textAlignment w:val="top"/>
      </w:pPr>
      <w:r>
        <w:rPr>
          <w:rFonts w:ascii="Arial" w:eastAsia="宋体" w:hAnsi="Arial" w:cs="Arial"/>
          <w:color w:val="000000"/>
          <w:sz w:val="20"/>
          <w:szCs w:val="20"/>
        </w:rPr>
        <w:t>negative credit migration within our loan portfolio. Allowance estimates remain subject to continued mo</w:t>
      </w:r>
      <w:r>
        <w:rPr>
          <w:rFonts w:ascii="Arial" w:eastAsia="宋体" w:hAnsi="Arial" w:cs="Arial"/>
          <w:color w:val="000000"/>
          <w:sz w:val="20"/>
          <w:szCs w:val="20"/>
        </w:rPr>
        <w:t>del and economic uncertainty and management may use qualitative adjustments. If future data and forecasts deviate relative to the forecasts utilized to determine our allowance for credit losses as of March 31, 2021, or if credit risk migration is higher or</w:t>
      </w:r>
      <w:r>
        <w:rPr>
          <w:rFonts w:ascii="Arial" w:eastAsia="宋体" w:hAnsi="Arial" w:cs="Arial"/>
          <w:color w:val="000000"/>
          <w:sz w:val="20"/>
          <w:szCs w:val="20"/>
        </w:rPr>
        <w:t xml:space="preserve"> lower than forecasted for reasons independent of the economic forecast, our allowance for credit losses will also change.</w:t>
      </w:r>
    </w:p>
    <w:p w14:paraId="5EA205FB" w14:textId="77777777" w:rsidR="003C66EB" w:rsidRDefault="00D96C4E">
      <w:pPr>
        <w:spacing w:before="60"/>
        <w:ind w:firstLine="450"/>
        <w:jc w:val="both"/>
        <w:textAlignment w:val="top"/>
      </w:pPr>
      <w:r>
        <w:rPr>
          <w:rFonts w:ascii="Arial" w:eastAsia="宋体" w:hAnsi="Arial" w:cs="Arial"/>
          <w:color w:val="000000"/>
          <w:sz w:val="20"/>
          <w:szCs w:val="20"/>
        </w:rPr>
        <w:t>Additional information about the allowance for credit losses is provided in Note 4 to the consolidated financial statements in this F</w:t>
      </w:r>
      <w:r>
        <w:rPr>
          <w:rFonts w:ascii="Arial" w:eastAsia="宋体" w:hAnsi="Arial" w:cs="Arial"/>
          <w:color w:val="000000"/>
          <w:sz w:val="20"/>
          <w:szCs w:val="20"/>
        </w:rPr>
        <w:t>orm 10-Q.</w:t>
      </w:r>
    </w:p>
    <w:p w14:paraId="5EA205FC" w14:textId="77777777" w:rsidR="003C66EB" w:rsidRDefault="00D96C4E">
      <w:pPr>
        <w:spacing w:before="60"/>
        <w:ind w:firstLine="450"/>
        <w:jc w:val="both"/>
        <w:textAlignment w:val="top"/>
      </w:pPr>
      <w:r>
        <w:rPr>
          <w:rFonts w:ascii="Arial" w:eastAsia="宋体" w:hAnsi="Arial" w:cs="Arial"/>
          <w:color w:val="000000"/>
          <w:sz w:val="20"/>
          <w:szCs w:val="20"/>
        </w:rPr>
        <w:t xml:space="preserve">For additional information about our credit risk management framework, including our core policies and principles, structure and organization, credit ratings, risk parameter estimates, credit risk mitigation, credit limits, reporting, monitoring </w:t>
      </w:r>
      <w:r>
        <w:rPr>
          <w:rFonts w:ascii="Arial" w:eastAsia="宋体" w:hAnsi="Arial" w:cs="Arial"/>
          <w:color w:val="000000"/>
          <w:sz w:val="20"/>
          <w:szCs w:val="20"/>
        </w:rPr>
        <w:t>and controls, refer to pages 89 to 94 included under Item 7, Management's Discussion and Analysis of Financial Condition and Results of Operations, Credit Risk Management, in our 2020 Form 10-K.</w:t>
      </w:r>
    </w:p>
    <w:p w14:paraId="5EA205FD" w14:textId="77777777" w:rsidR="003C66EB" w:rsidRDefault="00D96C4E">
      <w:pPr>
        <w:spacing w:before="90"/>
        <w:textAlignment w:val="top"/>
      </w:pPr>
      <w:r>
        <w:rPr>
          <w:rFonts w:ascii="Arial" w:eastAsia="宋体" w:hAnsi="Arial" w:cs="Arial"/>
          <w:b/>
          <w:bCs/>
          <w:color w:val="000000"/>
          <w:sz w:val="20"/>
          <w:szCs w:val="20"/>
        </w:rPr>
        <w:t>Liquidity Risk Management</w:t>
      </w:r>
    </w:p>
    <w:p w14:paraId="5EA205FE" w14:textId="77777777" w:rsidR="003C66EB" w:rsidRDefault="00D96C4E">
      <w:pPr>
        <w:spacing w:before="60"/>
        <w:ind w:firstLine="450"/>
        <w:jc w:val="both"/>
        <w:textAlignment w:val="top"/>
      </w:pPr>
      <w:r>
        <w:rPr>
          <w:rFonts w:ascii="Arial" w:eastAsia="宋体" w:hAnsi="Arial" w:cs="Arial"/>
          <w:color w:val="000000"/>
          <w:sz w:val="20"/>
          <w:szCs w:val="20"/>
        </w:rPr>
        <w:t>Our liquidity framework contemplate</w:t>
      </w:r>
      <w:r>
        <w:rPr>
          <w:rFonts w:ascii="Arial" w:eastAsia="宋体" w:hAnsi="Arial" w:cs="Arial"/>
          <w:color w:val="000000"/>
          <w:sz w:val="20"/>
          <w:szCs w:val="20"/>
        </w:rPr>
        <w:t>s areas of potential risk based on our activities, size and other appropriate risk-related factors. In managing liquidity risk we employ limits, maintain established metrics and early warning indicators and perform routine stress testing to identify potent</w:t>
      </w:r>
      <w:r>
        <w:rPr>
          <w:rFonts w:ascii="Arial" w:eastAsia="宋体" w:hAnsi="Arial" w:cs="Arial"/>
          <w:color w:val="000000"/>
          <w:sz w:val="20"/>
          <w:szCs w:val="20"/>
        </w:rPr>
        <w:t>ial liquidity needs. This process involves the evaluation of a combination of internal and external scenarios which assist us in measuring our liquidity position and in identifying potential increases in cash needs or decreases in available sources of cash</w:t>
      </w:r>
      <w:r>
        <w:rPr>
          <w:rFonts w:ascii="Arial" w:eastAsia="宋体" w:hAnsi="Arial" w:cs="Arial"/>
          <w:color w:val="000000"/>
          <w:sz w:val="20"/>
          <w:szCs w:val="20"/>
        </w:rPr>
        <w:t>, as well as the potential impairment of our ability to access the global capital markets.</w:t>
      </w:r>
    </w:p>
    <w:p w14:paraId="5EA205FF" w14:textId="77777777" w:rsidR="003C66EB" w:rsidRDefault="00D96C4E">
      <w:pPr>
        <w:spacing w:before="60"/>
        <w:ind w:firstLine="450"/>
        <w:jc w:val="both"/>
        <w:textAlignment w:val="top"/>
      </w:pPr>
      <w:r>
        <w:rPr>
          <w:rFonts w:ascii="Arial" w:eastAsia="宋体" w:hAnsi="Arial" w:cs="Arial"/>
          <w:color w:val="000000"/>
          <w:sz w:val="20"/>
          <w:szCs w:val="20"/>
        </w:rPr>
        <w:t>We manage our liquidity on a global, consolidated basis. We also manage liquidity on a stand-alone basis at our Parent Company, as well as at certain branches and su</w:t>
      </w:r>
      <w:r>
        <w:rPr>
          <w:rFonts w:ascii="Arial" w:eastAsia="宋体" w:hAnsi="Arial" w:cs="Arial"/>
          <w:color w:val="000000"/>
          <w:sz w:val="20"/>
          <w:szCs w:val="20"/>
        </w:rPr>
        <w:t>bsidiaries of State Street Bank. State Street Bank generally has access to markets and funding sources limited to banks, such as the federal funds market and the Federal Reserve's discount window. The Parent Company is managed to a more conservative liquid</w:t>
      </w:r>
      <w:r>
        <w:rPr>
          <w:rFonts w:ascii="Arial" w:eastAsia="宋体" w:hAnsi="Arial" w:cs="Arial"/>
          <w:color w:val="000000"/>
          <w:sz w:val="20"/>
          <w:szCs w:val="20"/>
        </w:rPr>
        <w:t>ity profile, reflecting narrower market access. Additionally, the Parent Company typically holds, or has direct access to, primarily through SSIF, a direct subsidiary of the Parent Company, and the support agreement, as discussed in the "Uses of Liquidity"</w:t>
      </w:r>
      <w:r>
        <w:rPr>
          <w:rFonts w:ascii="Arial" w:eastAsia="宋体" w:hAnsi="Arial" w:cs="Arial"/>
          <w:color w:val="000000"/>
          <w:sz w:val="20"/>
          <w:szCs w:val="20"/>
        </w:rPr>
        <w:t xml:space="preserve"> section of this Management's Discussion and Analysis, enough cash to meet its current debt maturities and cash needs, as well as those projected over the next one-year period. Reference our SPOE Strategy as discussed in the "Uses of Liquidity" section of </w:t>
      </w:r>
      <w:r>
        <w:rPr>
          <w:rFonts w:ascii="Arial" w:eastAsia="宋体" w:hAnsi="Arial" w:cs="Arial"/>
          <w:color w:val="000000"/>
          <w:sz w:val="20"/>
          <w:szCs w:val="20"/>
        </w:rPr>
        <w:t xml:space="preserve">this Management's Discussion and Analysis. Absent financial distress at the Parent Company, the liquid assets available at </w:t>
      </w:r>
    </w:p>
    <w:p w14:paraId="5EA20600" w14:textId="77777777" w:rsidR="003C66EB" w:rsidRDefault="00D96C4E">
      <w:pPr>
        <w:ind w:firstLine="450"/>
        <w:jc w:val="right"/>
      </w:pPr>
      <w:r>
        <w:rPr>
          <w:rFonts w:ascii="Arial" w:eastAsia="宋体" w:hAnsi="Arial" w:cs="Arial"/>
          <w:color w:val="000000"/>
          <w:sz w:val="18"/>
          <w:szCs w:val="18"/>
        </w:rPr>
        <w:t>State Street Corporation | 28</w:t>
      </w:r>
    </w:p>
    <w:p w14:paraId="5EA20601" w14:textId="77777777" w:rsidR="003C66EB" w:rsidRDefault="003C66EB">
      <w:pPr>
        <w:ind w:firstLine="450"/>
        <w:jc w:val="center"/>
      </w:pPr>
    </w:p>
    <w:p w14:paraId="5EA20602" w14:textId="77777777" w:rsidR="003C66EB" w:rsidRDefault="00D96C4E">
      <w:r>
        <w:pict w14:anchorId="5EA287CC">
          <v:rect id="_x0000_i1052" style="width:415.3pt;height:1.5pt" o:hralign="center" o:hrstd="t" o:hr="t" fillcolor="#a0a0a0" stroked="f"/>
        </w:pict>
      </w:r>
    </w:p>
    <w:p w14:paraId="5EA20603"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604" w14:textId="77777777" w:rsidR="003C66EB" w:rsidRDefault="00D96C4E">
      <w:pPr>
        <w:ind w:firstLine="450"/>
        <w:jc w:val="center"/>
      </w:pPr>
      <w:r>
        <w:rPr>
          <w:rFonts w:ascii="Arial" w:eastAsia="宋体" w:hAnsi="Arial" w:cs="Arial"/>
          <w:b/>
          <w:bCs/>
          <w:color w:val="000000"/>
          <w:sz w:val="20"/>
          <w:szCs w:val="20"/>
        </w:rPr>
        <w:t>AND RESULTS OF OPERATIONS</w:t>
      </w:r>
    </w:p>
    <w:p w14:paraId="5EA20605" w14:textId="77777777" w:rsidR="003C66EB" w:rsidRDefault="00D96C4E">
      <w:pPr>
        <w:spacing w:before="60"/>
        <w:jc w:val="both"/>
        <w:textAlignment w:val="top"/>
      </w:pPr>
      <w:r>
        <w:rPr>
          <w:rFonts w:ascii="Arial" w:eastAsia="宋体" w:hAnsi="Arial" w:cs="Arial"/>
          <w:color w:val="000000"/>
          <w:sz w:val="20"/>
          <w:szCs w:val="20"/>
        </w:rPr>
        <w:t xml:space="preserve">SSIF </w:t>
      </w:r>
      <w:r>
        <w:rPr>
          <w:rFonts w:ascii="Arial" w:eastAsia="宋体" w:hAnsi="Arial" w:cs="Arial"/>
          <w:color w:val="000000"/>
          <w:sz w:val="20"/>
          <w:szCs w:val="20"/>
        </w:rPr>
        <w:t>continue to be available to the Parent Company. As of March 31, 2021, our Parent Company and State Street Bank had approximately $0.75 billion of senior notes or subordinated debentures outstanding that will mature in the next twelve months.</w:t>
      </w:r>
    </w:p>
    <w:p w14:paraId="5EA20606" w14:textId="77777777" w:rsidR="003C66EB" w:rsidRDefault="00D96C4E">
      <w:pPr>
        <w:spacing w:before="60"/>
        <w:ind w:firstLine="450"/>
        <w:jc w:val="both"/>
        <w:textAlignment w:val="top"/>
      </w:pPr>
      <w:r>
        <w:rPr>
          <w:rFonts w:ascii="Arial" w:eastAsia="宋体" w:hAnsi="Arial" w:cs="Arial"/>
          <w:color w:val="000000"/>
          <w:sz w:val="20"/>
          <w:szCs w:val="20"/>
        </w:rPr>
        <w:t>As a SIFI, our</w:t>
      </w:r>
      <w:r>
        <w:rPr>
          <w:rFonts w:ascii="Arial" w:eastAsia="宋体" w:hAnsi="Arial" w:cs="Arial"/>
          <w:color w:val="000000"/>
          <w:sz w:val="20"/>
          <w:szCs w:val="20"/>
        </w:rPr>
        <w:t xml:space="preserve"> liquidity risk management activities are subject to heightened and evolving regulatory requirements, including interpretations of those requirements, under specific U.S. and international regulations and also resulting from published and unpublished guida</w:t>
      </w:r>
      <w:r>
        <w:rPr>
          <w:rFonts w:ascii="Arial" w:eastAsia="宋体" w:hAnsi="Arial" w:cs="Arial"/>
          <w:color w:val="000000"/>
          <w:sz w:val="20"/>
          <w:szCs w:val="20"/>
        </w:rPr>
        <w:t>nce, supervisory activities, such as stress tests, resolution planning, examinations and other regulatory interactions. Satisfaction of these requirements could, in some cases, result in changes in the composition of our investment portfolio, reduced NII o</w:t>
      </w:r>
      <w:r>
        <w:rPr>
          <w:rFonts w:ascii="Arial" w:eastAsia="宋体" w:hAnsi="Arial" w:cs="Arial"/>
          <w:color w:val="000000"/>
          <w:sz w:val="20"/>
          <w:szCs w:val="20"/>
        </w:rPr>
        <w:t>r NIM, a reduction in the level of certain business activities or modifications to the way in which we deliver our products and services. If we fail to meet regulatory requirements to the satisfaction of our regulators, we could receive negative regulatory</w:t>
      </w:r>
      <w:r>
        <w:rPr>
          <w:rFonts w:ascii="Arial" w:eastAsia="宋体" w:hAnsi="Arial" w:cs="Arial"/>
          <w:color w:val="000000"/>
          <w:sz w:val="20"/>
          <w:szCs w:val="20"/>
        </w:rPr>
        <w:t xml:space="preserve"> stress test results, incur a resolution plan deficiency or determination of a non-credible resolution plan or otherwise receive an adverse regulatory finding. Our efforts to satisfy, or our failure to satisfy, these regulatory requirements could materiall</w:t>
      </w:r>
      <w:r>
        <w:rPr>
          <w:rFonts w:ascii="Arial" w:eastAsia="宋体" w:hAnsi="Arial" w:cs="Arial"/>
          <w:color w:val="000000"/>
          <w:sz w:val="20"/>
          <w:szCs w:val="20"/>
        </w:rPr>
        <w:t>y adversely affect our business, financial condition or results of operations.</w:t>
      </w:r>
    </w:p>
    <w:p w14:paraId="5EA20607"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on our liquidity risk management, as well as liquidity metrics, refer to pages 94 to 99 included under Item 7, Management's Discussion and Analysis of</w:t>
      </w:r>
      <w:r>
        <w:rPr>
          <w:rFonts w:ascii="Arial" w:eastAsia="宋体" w:hAnsi="Arial" w:cs="Arial"/>
          <w:color w:val="000000"/>
          <w:sz w:val="20"/>
          <w:szCs w:val="20"/>
        </w:rPr>
        <w:t xml:space="preserve"> Financial Condition and Results of Operations, Liquidity Risk Management, in our 2020 Form 10-K. For additional information on our liquidity ratios, including LCR and the net stable funding ratio, refer to page 14 included under Item 1, Business, in our 2</w:t>
      </w:r>
      <w:r>
        <w:rPr>
          <w:rFonts w:ascii="Arial" w:eastAsia="宋体" w:hAnsi="Arial" w:cs="Arial"/>
          <w:color w:val="000000"/>
          <w:sz w:val="20"/>
          <w:szCs w:val="20"/>
        </w:rPr>
        <w:t>020 Form 10-K.</w:t>
      </w:r>
    </w:p>
    <w:p w14:paraId="5EA20608" w14:textId="77777777" w:rsidR="003C66EB" w:rsidRDefault="00D96C4E">
      <w:pPr>
        <w:spacing w:before="60"/>
        <w:jc w:val="both"/>
        <w:textAlignment w:val="top"/>
      </w:pPr>
      <w:r>
        <w:rPr>
          <w:rFonts w:ascii="Arial" w:eastAsia="宋体" w:hAnsi="Arial" w:cs="Arial"/>
          <w:b/>
          <w:bCs/>
          <w:i/>
          <w:iCs/>
          <w:color w:val="000000"/>
          <w:sz w:val="20"/>
          <w:szCs w:val="20"/>
        </w:rPr>
        <w:t>Asset Liquidity</w:t>
      </w:r>
    </w:p>
    <w:p w14:paraId="5EA20609" w14:textId="77777777" w:rsidR="003C66EB" w:rsidRDefault="00D96C4E">
      <w:pPr>
        <w:spacing w:before="60"/>
        <w:ind w:firstLine="450"/>
        <w:jc w:val="both"/>
        <w:textAlignment w:val="top"/>
      </w:pPr>
      <w:r>
        <w:rPr>
          <w:rFonts w:ascii="Arial" w:eastAsia="宋体" w:hAnsi="Arial" w:cs="Arial"/>
          <w:color w:val="000000"/>
          <w:sz w:val="20"/>
          <w:szCs w:val="20"/>
        </w:rPr>
        <w:t>Central to the management of our liquidity is asset liquidity, which consists primarily of HQLA. HQLA is the amount of liquid assets that qualify for inclusion in the LCR. As a banking organization, we are subject to a minimu</w:t>
      </w:r>
      <w:r>
        <w:rPr>
          <w:rFonts w:ascii="Arial" w:eastAsia="宋体" w:hAnsi="Arial" w:cs="Arial"/>
          <w:color w:val="000000"/>
          <w:sz w:val="20"/>
          <w:szCs w:val="20"/>
        </w:rPr>
        <w:t xml:space="preserve">m LCR under the LCR rule approved by U.S. banking regulators. The LCR is intended to promote the short-term resilience of internationally active banking organizations, like us, to improve the banking industry's ability to absorb shocks arising from market </w:t>
      </w:r>
      <w:r>
        <w:rPr>
          <w:rFonts w:ascii="Arial" w:eastAsia="宋体" w:hAnsi="Arial" w:cs="Arial"/>
          <w:color w:val="000000"/>
          <w:sz w:val="20"/>
          <w:szCs w:val="20"/>
        </w:rPr>
        <w:t>stress over a 30 calendar day period and improve the measurement and management of liquidity risk. The LCR measures an institution’s HQLA against its net cash outflows. HQLA primarily consists of unencumbered cash and certain high quality liquid securities</w:t>
      </w:r>
      <w:r>
        <w:rPr>
          <w:rFonts w:ascii="Arial" w:eastAsia="宋体" w:hAnsi="Arial" w:cs="Arial"/>
          <w:color w:val="000000"/>
          <w:sz w:val="20"/>
          <w:szCs w:val="20"/>
        </w:rPr>
        <w:t xml:space="preserve"> that qualify for inclusion under the LCR rule. The LCR was fully implemented beginning on January 1, 2017. We report LCR to the Federal Reserve daily. For the quarters ended March 31, 2021 and December 31, </w:t>
      </w:r>
    </w:p>
    <w:p w14:paraId="5EA2060A" w14:textId="77777777" w:rsidR="003C66EB" w:rsidRDefault="00D96C4E">
      <w:pPr>
        <w:spacing w:before="60"/>
        <w:jc w:val="both"/>
        <w:textAlignment w:val="top"/>
      </w:pPr>
      <w:r>
        <w:rPr>
          <w:rFonts w:ascii="Arial" w:eastAsia="宋体" w:hAnsi="Arial" w:cs="Arial"/>
          <w:color w:val="000000"/>
          <w:sz w:val="20"/>
          <w:szCs w:val="20"/>
        </w:rPr>
        <w:t>2020, daily average LCR for the Parent Company w</w:t>
      </w:r>
      <w:r>
        <w:rPr>
          <w:rFonts w:ascii="Arial" w:eastAsia="宋体" w:hAnsi="Arial" w:cs="Arial"/>
          <w:color w:val="000000"/>
          <w:sz w:val="20"/>
          <w:szCs w:val="20"/>
        </w:rPr>
        <w:t>as 107% and 108%, respectively, with the lower daily average LCR for the quarter ended March 31, 2021 driven by higher deposits. The average HQLA for the Parent Company under the LCR final rule definition was $158.89 billion and $143.61 billion, post-presc</w:t>
      </w:r>
      <w:r>
        <w:rPr>
          <w:rFonts w:ascii="Arial" w:eastAsia="宋体" w:hAnsi="Arial" w:cs="Arial"/>
          <w:color w:val="000000"/>
          <w:sz w:val="20"/>
          <w:szCs w:val="20"/>
        </w:rPr>
        <w:t>ribed haircuts, for the quarters ended March 31, 2021 and December 31, 2020, respectively. The increase in average HQLA for the quarter ended March 31, 2021, compared to the quarter ended December 31, 2020, was primarily due to a higher level of client dep</w:t>
      </w:r>
      <w:r>
        <w:rPr>
          <w:rFonts w:ascii="Arial" w:eastAsia="宋体" w:hAnsi="Arial" w:cs="Arial"/>
          <w:color w:val="000000"/>
          <w:sz w:val="20"/>
          <w:szCs w:val="20"/>
        </w:rPr>
        <w:t>osits.</w:t>
      </w:r>
    </w:p>
    <w:p w14:paraId="5EA2060B" w14:textId="77777777" w:rsidR="003C66EB" w:rsidRDefault="00D96C4E">
      <w:pPr>
        <w:spacing w:before="60"/>
        <w:ind w:firstLine="450"/>
        <w:jc w:val="both"/>
        <w:textAlignment w:val="top"/>
      </w:pPr>
      <w:r>
        <w:rPr>
          <w:rFonts w:ascii="Arial" w:eastAsia="宋体" w:hAnsi="Arial" w:cs="Arial"/>
          <w:color w:val="000000"/>
          <w:sz w:val="20"/>
          <w:szCs w:val="20"/>
        </w:rPr>
        <w:t>We maintained average cash balances in excess of regulatory requirements governing deposits with the Federal Reserve of approximately $91.68 billion at the Federal Reserve, the ECB and other non-U.S. central banks for the quarter ended March 31, 202</w:t>
      </w:r>
      <w:r>
        <w:rPr>
          <w:rFonts w:ascii="Arial" w:eastAsia="宋体" w:hAnsi="Arial" w:cs="Arial"/>
          <w:color w:val="000000"/>
          <w:sz w:val="20"/>
          <w:szCs w:val="20"/>
        </w:rPr>
        <w:t xml:space="preserve">1, and $75.68 billion for the quarter ended December 31, 2020. The higher levels of average cash balances with central banks reflect higher levels of client deposits. </w:t>
      </w:r>
    </w:p>
    <w:p w14:paraId="5EA2060C" w14:textId="77777777" w:rsidR="003C66EB" w:rsidRDefault="00D96C4E">
      <w:pPr>
        <w:spacing w:before="60"/>
        <w:ind w:firstLine="450"/>
        <w:jc w:val="both"/>
        <w:textAlignment w:val="top"/>
      </w:pPr>
      <w:r>
        <w:rPr>
          <w:rFonts w:ascii="Arial" w:eastAsia="宋体" w:hAnsi="Arial" w:cs="Arial"/>
          <w:color w:val="000000"/>
          <w:sz w:val="20"/>
          <w:szCs w:val="20"/>
        </w:rPr>
        <w:t>Liquid securities carried in our asset liquidity include securities pledged without corr</w:t>
      </w:r>
      <w:r>
        <w:rPr>
          <w:rFonts w:ascii="Arial" w:eastAsia="宋体" w:hAnsi="Arial" w:cs="Arial"/>
          <w:color w:val="000000"/>
          <w:sz w:val="20"/>
          <w:szCs w:val="20"/>
        </w:rPr>
        <w:t>esponding advances from the Federal Reserve Bank of Boston (FRBB), the FHLB, and other non-U.S. central banks. State Street Bank is a member of the FHLB. This membership allows for advances of liquidity in varying terms against high-quality collateral, whi</w:t>
      </w:r>
      <w:r>
        <w:rPr>
          <w:rFonts w:ascii="Arial" w:eastAsia="宋体" w:hAnsi="Arial" w:cs="Arial"/>
          <w:color w:val="000000"/>
          <w:sz w:val="20"/>
          <w:szCs w:val="20"/>
        </w:rPr>
        <w:t>ch helps facilitate asset-and-liability management. As of March 31, 2021 and December 31, 2020, we had no outstanding borrowings from the FHLB.</w:t>
      </w:r>
    </w:p>
    <w:p w14:paraId="5EA2060D" w14:textId="77777777" w:rsidR="003C66EB" w:rsidRDefault="00D96C4E">
      <w:pPr>
        <w:spacing w:before="60"/>
        <w:ind w:firstLine="450"/>
        <w:jc w:val="both"/>
        <w:textAlignment w:val="top"/>
      </w:pPr>
      <w:r>
        <w:rPr>
          <w:rFonts w:ascii="Arial" w:eastAsia="宋体" w:hAnsi="Arial" w:cs="Arial"/>
          <w:color w:val="000000"/>
          <w:sz w:val="20"/>
          <w:szCs w:val="20"/>
        </w:rPr>
        <w:t>Access to primary, intra-day and contingent liquidity provided by these utilities is an important source of cont</w:t>
      </w:r>
      <w:r>
        <w:rPr>
          <w:rFonts w:ascii="Arial" w:eastAsia="宋体" w:hAnsi="Arial" w:cs="Arial"/>
          <w:color w:val="000000"/>
          <w:sz w:val="20"/>
          <w:szCs w:val="20"/>
        </w:rPr>
        <w:t>ingent liquidity with utilization subject to underlying conditions. As of March 31, 2021 and December 31, 2020, we had no outstanding primary credit borrowings from the FRBB discount window or any other central bank facility.</w:t>
      </w:r>
    </w:p>
    <w:p w14:paraId="5EA2060E" w14:textId="77777777" w:rsidR="003C66EB" w:rsidRDefault="00D96C4E">
      <w:pPr>
        <w:spacing w:before="60"/>
        <w:ind w:firstLine="450"/>
        <w:jc w:val="both"/>
        <w:textAlignment w:val="top"/>
      </w:pPr>
      <w:r>
        <w:rPr>
          <w:rFonts w:ascii="Arial" w:eastAsia="宋体" w:hAnsi="Arial" w:cs="Arial"/>
          <w:color w:val="000000"/>
          <w:sz w:val="20"/>
          <w:szCs w:val="20"/>
        </w:rPr>
        <w:t xml:space="preserve">In addition to the securities </w:t>
      </w:r>
      <w:r>
        <w:rPr>
          <w:rFonts w:ascii="Arial" w:eastAsia="宋体" w:hAnsi="Arial" w:cs="Arial"/>
          <w:color w:val="000000"/>
          <w:sz w:val="20"/>
          <w:szCs w:val="20"/>
        </w:rPr>
        <w:t>included in our asset liquidity, we have significant amounts of other unencumbered investment securities. These securities are available sources of liquidity, although not as rapidly deployed as those included in our asset liquidity.</w:t>
      </w:r>
    </w:p>
    <w:p w14:paraId="5EA2060F" w14:textId="77777777" w:rsidR="003C66EB" w:rsidRDefault="00D96C4E">
      <w:pPr>
        <w:spacing w:before="60"/>
        <w:ind w:firstLine="450"/>
        <w:jc w:val="both"/>
        <w:textAlignment w:val="top"/>
      </w:pPr>
      <w:r>
        <w:rPr>
          <w:rFonts w:ascii="Arial" w:eastAsia="宋体" w:hAnsi="Arial" w:cs="Arial"/>
          <w:color w:val="000000"/>
          <w:sz w:val="20"/>
          <w:szCs w:val="20"/>
        </w:rPr>
        <w:t>The average fair value</w:t>
      </w:r>
      <w:r>
        <w:rPr>
          <w:rFonts w:ascii="Arial" w:eastAsia="宋体" w:hAnsi="Arial" w:cs="Arial"/>
          <w:color w:val="000000"/>
          <w:sz w:val="20"/>
          <w:szCs w:val="20"/>
        </w:rPr>
        <w:t xml:space="preserve"> of total unencumbered securities was $91.30 billion for the quarter ended March 31, 2021, compared to $89.12 billion for the quarter ended December 31, 2020.</w:t>
      </w:r>
    </w:p>
    <w:p w14:paraId="5EA20610" w14:textId="77777777" w:rsidR="003C66EB" w:rsidRDefault="00D96C4E">
      <w:pPr>
        <w:spacing w:before="60"/>
        <w:jc w:val="both"/>
        <w:textAlignment w:val="top"/>
      </w:pPr>
      <w:r>
        <w:rPr>
          <w:rFonts w:ascii="Arial" w:eastAsia="宋体" w:hAnsi="Arial" w:cs="Arial"/>
          <w:b/>
          <w:bCs/>
          <w:i/>
          <w:iCs/>
          <w:color w:val="000000"/>
          <w:sz w:val="20"/>
          <w:szCs w:val="20"/>
        </w:rPr>
        <w:t>Uses of Liquidity</w:t>
      </w:r>
    </w:p>
    <w:p w14:paraId="5EA20611" w14:textId="77777777" w:rsidR="003C66EB" w:rsidRDefault="00D96C4E">
      <w:pPr>
        <w:spacing w:before="60"/>
        <w:ind w:firstLine="450"/>
        <w:jc w:val="both"/>
        <w:textAlignment w:val="top"/>
      </w:pPr>
      <w:r>
        <w:rPr>
          <w:rFonts w:ascii="Arial" w:eastAsia="宋体" w:hAnsi="Arial" w:cs="Arial"/>
          <w:color w:val="000000"/>
          <w:sz w:val="20"/>
          <w:szCs w:val="20"/>
        </w:rPr>
        <w:t>Significant uses of our liquidity could result from the following: withdrawals of client deposits; draw-downs by our custody clients of lines of credit; advances to clients to settle securities transactions; increases in our investment and loan portfolios;</w:t>
      </w:r>
      <w:r>
        <w:rPr>
          <w:rFonts w:ascii="Arial" w:eastAsia="宋体" w:hAnsi="Arial" w:cs="Arial"/>
          <w:color w:val="000000"/>
          <w:sz w:val="20"/>
          <w:szCs w:val="20"/>
        </w:rPr>
        <w:t xml:space="preserve"> or other permitted purposes. Such circumstances would generally arise under stress conditions including </w:t>
      </w:r>
    </w:p>
    <w:p w14:paraId="5EA20612" w14:textId="77777777" w:rsidR="003C66EB" w:rsidRDefault="00D96C4E">
      <w:pPr>
        <w:ind w:firstLine="450"/>
        <w:jc w:val="right"/>
      </w:pPr>
      <w:r>
        <w:rPr>
          <w:rFonts w:ascii="Arial" w:eastAsia="宋体" w:hAnsi="Arial" w:cs="Arial"/>
          <w:color w:val="000000"/>
          <w:sz w:val="18"/>
          <w:szCs w:val="18"/>
        </w:rPr>
        <w:t>State Street Corporation | 29</w:t>
      </w:r>
    </w:p>
    <w:p w14:paraId="5EA20613" w14:textId="77777777" w:rsidR="003C66EB" w:rsidRDefault="003C66EB">
      <w:pPr>
        <w:ind w:firstLine="450"/>
        <w:jc w:val="center"/>
      </w:pPr>
    </w:p>
    <w:p w14:paraId="5EA20614" w14:textId="77777777" w:rsidR="003C66EB" w:rsidRDefault="00D96C4E">
      <w:r>
        <w:pict w14:anchorId="5EA287CD">
          <v:rect id="_x0000_i1053" style="width:415.3pt;height:1.5pt" o:hralign="center" o:hrstd="t" o:hr="t" fillcolor="#a0a0a0" stroked="f"/>
        </w:pict>
      </w:r>
    </w:p>
    <w:p w14:paraId="5EA20615"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616" w14:textId="77777777" w:rsidR="003C66EB" w:rsidRDefault="00D96C4E">
      <w:pPr>
        <w:ind w:firstLine="450"/>
        <w:jc w:val="center"/>
      </w:pPr>
      <w:r>
        <w:rPr>
          <w:rFonts w:ascii="Arial" w:eastAsia="宋体" w:hAnsi="Arial" w:cs="Arial"/>
          <w:b/>
          <w:bCs/>
          <w:color w:val="000000"/>
          <w:sz w:val="20"/>
          <w:szCs w:val="20"/>
        </w:rPr>
        <w:t>AND RESULTS OF OPERATIONS</w:t>
      </w:r>
    </w:p>
    <w:p w14:paraId="5EA20617" w14:textId="77777777" w:rsidR="003C66EB" w:rsidRDefault="00D96C4E">
      <w:pPr>
        <w:spacing w:before="60"/>
        <w:jc w:val="both"/>
        <w:textAlignment w:val="top"/>
      </w:pPr>
      <w:r>
        <w:rPr>
          <w:rFonts w:ascii="Arial" w:eastAsia="宋体" w:hAnsi="Arial" w:cs="Arial"/>
          <w:color w:val="000000"/>
          <w:sz w:val="20"/>
          <w:szCs w:val="20"/>
        </w:rPr>
        <w:t>deterioration in credit ratings</w:t>
      </w:r>
      <w:r>
        <w:rPr>
          <w:rFonts w:ascii="Arial" w:eastAsia="宋体" w:hAnsi="Arial" w:cs="Arial"/>
          <w:color w:val="000000"/>
          <w:sz w:val="20"/>
          <w:szCs w:val="20"/>
        </w:rPr>
        <w:t>. A recurring use of our liquidity involves our deployment of HQLA from our investment portfolio to post collateral to financial institutions serving as sources of securities under our enhanced custody program.</w:t>
      </w:r>
    </w:p>
    <w:p w14:paraId="5EA20618" w14:textId="77777777" w:rsidR="003C66EB" w:rsidRDefault="00D96C4E">
      <w:pPr>
        <w:spacing w:before="60"/>
        <w:ind w:firstLine="450"/>
        <w:jc w:val="both"/>
        <w:textAlignment w:val="top"/>
      </w:pPr>
      <w:r>
        <w:rPr>
          <w:rFonts w:ascii="Arial" w:eastAsia="宋体" w:hAnsi="Arial" w:cs="Arial"/>
          <w:color w:val="000000"/>
          <w:sz w:val="20"/>
          <w:szCs w:val="20"/>
        </w:rPr>
        <w:t xml:space="preserve">We had unfunded commitments to extend credit </w:t>
      </w:r>
      <w:r>
        <w:rPr>
          <w:rFonts w:ascii="Arial" w:eastAsia="宋体" w:hAnsi="Arial" w:cs="Arial"/>
          <w:color w:val="000000"/>
          <w:sz w:val="20"/>
          <w:szCs w:val="20"/>
        </w:rPr>
        <w:t>with gross contractual amounts totaling $34.11 billion and $34.21 billion and standby letters of credit totaling $3.50 billion and $3.33 billion as of March 31, 2021 and December 31, 2020, respectively. These amounts do not reflect the value of any collate</w:t>
      </w:r>
      <w:r>
        <w:rPr>
          <w:rFonts w:ascii="Arial" w:eastAsia="宋体" w:hAnsi="Arial" w:cs="Arial"/>
          <w:color w:val="000000"/>
          <w:sz w:val="20"/>
          <w:szCs w:val="20"/>
        </w:rPr>
        <w:t>ral. As of March 31, 2021, approximately 72% of our unfunded commitments to extend credit and 23% of our standby letters of credit expire within one year. Since many of our commitments are expected to expire or renew without being drawn upon, the gross con</w:t>
      </w:r>
      <w:r>
        <w:rPr>
          <w:rFonts w:ascii="Arial" w:eastAsia="宋体" w:hAnsi="Arial" w:cs="Arial"/>
          <w:color w:val="000000"/>
          <w:sz w:val="20"/>
          <w:szCs w:val="20"/>
        </w:rPr>
        <w:t>tractual amounts do not necessarily represent our future cash requirements.</w:t>
      </w:r>
    </w:p>
    <w:p w14:paraId="5EA20619" w14:textId="77777777" w:rsidR="003C66EB" w:rsidRDefault="00D96C4E">
      <w:pPr>
        <w:spacing w:before="60"/>
        <w:jc w:val="both"/>
        <w:textAlignment w:val="top"/>
      </w:pPr>
      <w:r>
        <w:rPr>
          <w:rFonts w:ascii="Arial" w:eastAsia="宋体" w:hAnsi="Arial" w:cs="Arial"/>
          <w:i/>
          <w:iCs/>
          <w:color w:val="000000"/>
          <w:sz w:val="20"/>
          <w:szCs w:val="20"/>
        </w:rPr>
        <w:t>Resolution Planning</w:t>
      </w:r>
    </w:p>
    <w:p w14:paraId="5EA2061A" w14:textId="77777777" w:rsidR="003C66EB" w:rsidRDefault="00D96C4E">
      <w:pPr>
        <w:spacing w:before="60"/>
        <w:ind w:firstLine="450"/>
        <w:jc w:val="both"/>
        <w:textAlignment w:val="top"/>
      </w:pPr>
      <w:r>
        <w:rPr>
          <w:rFonts w:ascii="Arial" w:eastAsia="宋体" w:hAnsi="Arial" w:cs="Arial"/>
          <w:color w:val="000000"/>
          <w:sz w:val="20"/>
          <w:szCs w:val="20"/>
        </w:rPr>
        <w:t>State Street, like other bank holding companies with total consolidated assets of $50 billion or more, periodically submits a plan for rapid and orderly resolution in the event of material financial distress or failure, commonly referred to as a resolution</w:t>
      </w:r>
      <w:r>
        <w:rPr>
          <w:rFonts w:ascii="Arial" w:eastAsia="宋体" w:hAnsi="Arial" w:cs="Arial"/>
          <w:color w:val="000000"/>
          <w:sz w:val="20"/>
          <w:szCs w:val="20"/>
        </w:rPr>
        <w:t xml:space="preserve"> plan or a living will, to the Federal Reserve and the FDIC under Section 165(d) of the Dodd-Frank Act. Through resolution planning, we seek, in the event of our insolvency, to maintain State Street Bank’s role as a key infrastructure provider within the f</w:t>
      </w:r>
      <w:r>
        <w:rPr>
          <w:rFonts w:ascii="Arial" w:eastAsia="宋体" w:hAnsi="Arial" w:cs="Arial"/>
          <w:color w:val="000000"/>
          <w:sz w:val="20"/>
          <w:szCs w:val="20"/>
        </w:rPr>
        <w:t>inancial system, while minimizing risk to the financial system and maximizing value for the benefit of our stakeholders. We have and will continue to focus management attention and resources to meet regulatory expectations with respect to resolution planni</w:t>
      </w:r>
      <w:r>
        <w:rPr>
          <w:rFonts w:ascii="Arial" w:eastAsia="宋体" w:hAnsi="Arial" w:cs="Arial"/>
          <w:color w:val="000000"/>
          <w:sz w:val="20"/>
          <w:szCs w:val="20"/>
        </w:rPr>
        <w:t xml:space="preserve">ng. </w:t>
      </w:r>
    </w:p>
    <w:p w14:paraId="5EA2061B" w14:textId="77777777" w:rsidR="003C66EB" w:rsidRDefault="00D96C4E">
      <w:pPr>
        <w:spacing w:before="60"/>
        <w:ind w:firstLine="450"/>
        <w:jc w:val="both"/>
        <w:textAlignment w:val="top"/>
      </w:pPr>
      <w:r>
        <w:rPr>
          <w:rFonts w:ascii="Arial" w:eastAsia="宋体" w:hAnsi="Arial" w:cs="Arial"/>
          <w:color w:val="000000"/>
          <w:sz w:val="20"/>
          <w:szCs w:val="20"/>
        </w:rPr>
        <w:t>We submitted our last 2019 165(d) resolution plan filing that describes our preferred resolution strategy to the Federal Reserve and FDIC (the Agencies) before July 1, 2019. In reviewing the 2019 plan, the Agencies noted meaningful improvements over p</w:t>
      </w:r>
      <w:r>
        <w:rPr>
          <w:rFonts w:ascii="Arial" w:eastAsia="宋体" w:hAnsi="Arial" w:cs="Arial"/>
          <w:color w:val="000000"/>
          <w:sz w:val="20"/>
          <w:szCs w:val="20"/>
        </w:rPr>
        <w:t>rior plan submissions. The Agencies did not identify any deficiencies in the 2019 plan, but did identify one shortcoming related to the implementation of governance mechanisms. We submitted to the Agencies our plan to remediate this shortcoming in line wit</w:t>
      </w:r>
      <w:r>
        <w:rPr>
          <w:rFonts w:ascii="Arial" w:eastAsia="宋体" w:hAnsi="Arial" w:cs="Arial"/>
          <w:color w:val="000000"/>
          <w:sz w:val="20"/>
          <w:szCs w:val="20"/>
        </w:rPr>
        <w:t>h the expected timeframe. In addition to the above letter, the Federal Reserve and FDIC jointly issued a final rule that was published in the Federal Register on November 1, 2019. This final rule revised the implementation requirements under the Dodd Frank</w:t>
      </w:r>
      <w:r>
        <w:rPr>
          <w:rFonts w:ascii="Arial" w:eastAsia="宋体" w:hAnsi="Arial" w:cs="Arial"/>
          <w:color w:val="000000"/>
          <w:sz w:val="20"/>
          <w:szCs w:val="20"/>
        </w:rPr>
        <w:t xml:space="preserve"> Act's resolution planning provisions by means of establishing a biennial filing cycle for the U.S. G-SIBs, including State Street. This cycle alternates between a targeted resolution plan, followed two years later by a full resolution plan. The Agencies h</w:t>
      </w:r>
      <w:r>
        <w:rPr>
          <w:rFonts w:ascii="Arial" w:eastAsia="宋体" w:hAnsi="Arial" w:cs="Arial"/>
          <w:color w:val="000000"/>
          <w:sz w:val="20"/>
          <w:szCs w:val="20"/>
        </w:rPr>
        <w:t xml:space="preserve">ave published the scope for the upcoming targeted resolution plan, to include the core elements </w:t>
      </w:r>
    </w:p>
    <w:p w14:paraId="5EA2061C" w14:textId="77777777" w:rsidR="003C66EB" w:rsidRDefault="00D96C4E">
      <w:pPr>
        <w:spacing w:before="60"/>
        <w:jc w:val="both"/>
        <w:textAlignment w:val="top"/>
      </w:pPr>
      <w:r>
        <w:rPr>
          <w:rFonts w:ascii="Arial" w:eastAsia="宋体" w:hAnsi="Arial" w:cs="Arial"/>
          <w:color w:val="000000"/>
          <w:sz w:val="20"/>
          <w:szCs w:val="20"/>
        </w:rPr>
        <w:t>of resolution planning and some specific firm level information, including impacts from the COVID-19 pandemic. The next 165(d) resolution plan is a targeted pl</w:t>
      </w:r>
      <w:r>
        <w:rPr>
          <w:rFonts w:ascii="Arial" w:eastAsia="宋体" w:hAnsi="Arial" w:cs="Arial"/>
          <w:color w:val="000000"/>
          <w:sz w:val="20"/>
          <w:szCs w:val="20"/>
        </w:rPr>
        <w:t>an to be submitted by July 1, 2021.</w:t>
      </w:r>
    </w:p>
    <w:p w14:paraId="5EA2061D" w14:textId="77777777" w:rsidR="003C66EB" w:rsidRDefault="00D96C4E">
      <w:pPr>
        <w:spacing w:before="60"/>
        <w:ind w:firstLine="450"/>
        <w:jc w:val="both"/>
        <w:textAlignment w:val="top"/>
      </w:pPr>
      <w:r>
        <w:rPr>
          <w:rFonts w:ascii="Arial" w:eastAsia="宋体" w:hAnsi="Arial" w:cs="Arial"/>
          <w:color w:val="000000"/>
          <w:sz w:val="20"/>
          <w:szCs w:val="20"/>
        </w:rPr>
        <w:t>In the event of material financial distress or failure, our preferred resolution strategy is the SPOE Strategy. For additional information about the SPOE Strategy, refer to pages 18 to 20 included under Item 1, Business,</w:t>
      </w:r>
      <w:r>
        <w:rPr>
          <w:rFonts w:ascii="Arial" w:eastAsia="宋体" w:hAnsi="Arial" w:cs="Arial"/>
          <w:color w:val="000000"/>
          <w:sz w:val="20"/>
          <w:szCs w:val="20"/>
        </w:rPr>
        <w:t xml:space="preserve"> in our 2020 Form 10-K. The SPOE Strategy provides that prior to the bankruptcy of the Parent Company and pursuant to a support agreement among the Parent Company, SSIF, our Beneficiary Entities (as defined below) and certain other of our entities, SSIF is</w:t>
      </w:r>
      <w:r>
        <w:rPr>
          <w:rFonts w:ascii="Arial" w:eastAsia="宋体" w:hAnsi="Arial" w:cs="Arial"/>
          <w:color w:val="000000"/>
          <w:sz w:val="20"/>
          <w:szCs w:val="20"/>
        </w:rPr>
        <w:t xml:space="preserve"> obligated, up to its available resources, to recapitalize and/or provide liquidity to State Street Bank and our other entities benefiting from such capital and/or liquidity (collectively with State Street Bank, “Beneficiary Entities”), in amounts designed</w:t>
      </w:r>
      <w:r>
        <w:rPr>
          <w:rFonts w:ascii="Arial" w:eastAsia="宋体" w:hAnsi="Arial" w:cs="Arial"/>
          <w:color w:val="000000"/>
          <w:sz w:val="20"/>
          <w:szCs w:val="20"/>
        </w:rPr>
        <w:t xml:space="preserve"> to prevent the Beneficiary Entities from themselves entering into resolution proceedings. Following the recapitalization of, or provision of liquidity to the Beneficiary Entities, the Parent Company would enter into a bankruptcy proceeding under the U.S. </w:t>
      </w:r>
      <w:r>
        <w:rPr>
          <w:rFonts w:ascii="Arial" w:eastAsia="宋体" w:hAnsi="Arial" w:cs="Arial"/>
          <w:color w:val="000000"/>
          <w:sz w:val="20"/>
          <w:szCs w:val="20"/>
        </w:rPr>
        <w:t xml:space="preserve">Bankruptcy Code. The Beneficiary Entities and our subsidiaries would be transferred to a newly organized holding company held by a reorganization trust for the benefit of the Parent Company’s claimants. </w:t>
      </w:r>
    </w:p>
    <w:p w14:paraId="5EA2061E" w14:textId="77777777" w:rsidR="003C66EB" w:rsidRDefault="00D96C4E">
      <w:pPr>
        <w:spacing w:before="60"/>
        <w:ind w:firstLine="450"/>
        <w:jc w:val="both"/>
        <w:textAlignment w:val="top"/>
      </w:pPr>
      <w:r>
        <w:rPr>
          <w:rFonts w:ascii="Arial" w:eastAsia="宋体" w:hAnsi="Arial" w:cs="Arial"/>
          <w:color w:val="000000"/>
          <w:sz w:val="20"/>
          <w:szCs w:val="20"/>
        </w:rPr>
        <w:t xml:space="preserve">Under the support agreement, the Parent Company has </w:t>
      </w:r>
      <w:r>
        <w:rPr>
          <w:rFonts w:ascii="Arial" w:eastAsia="宋体" w:hAnsi="Arial" w:cs="Arial"/>
          <w:color w:val="000000"/>
          <w:sz w:val="20"/>
          <w:szCs w:val="20"/>
        </w:rPr>
        <w:t>pre-funded SSIF by contributing certain of its assets (primarily its liquid assets, cash deposits, debt investments, investments in marketable securities and other cash and non-cash equivalent investments) to SSIF contemporaneous with entering into the sup</w:t>
      </w:r>
      <w:r>
        <w:rPr>
          <w:rFonts w:ascii="Arial" w:eastAsia="宋体" w:hAnsi="Arial" w:cs="Arial"/>
          <w:color w:val="000000"/>
          <w:sz w:val="20"/>
          <w:szCs w:val="20"/>
        </w:rPr>
        <w:t>port agreement and will continue to contribute such assets, to the extent available, on an on-going basis. In consideration for these contributions, SSIF has agreed in the support agreement to provide capital and liquidity support to the Parent Company and</w:t>
      </w:r>
      <w:r>
        <w:rPr>
          <w:rFonts w:ascii="Arial" w:eastAsia="宋体" w:hAnsi="Arial" w:cs="Arial"/>
          <w:color w:val="000000"/>
          <w:sz w:val="20"/>
          <w:szCs w:val="20"/>
        </w:rPr>
        <w:t xml:space="preserve"> all of the Beneficiary Entities in accordance with the Parent Company’s capital and liquidity policies. Under the support agreement, the Parent Company is only permitted to retain certain amounts of cash needed to meet its upcoming obligations and to fund</w:t>
      </w:r>
      <w:r>
        <w:rPr>
          <w:rFonts w:ascii="Arial" w:eastAsia="宋体" w:hAnsi="Arial" w:cs="Arial"/>
          <w:color w:val="000000"/>
          <w:sz w:val="20"/>
          <w:szCs w:val="20"/>
        </w:rPr>
        <w:t xml:space="preserve"> expenses during a potential bankruptcy proceeding. SSIF has provided the Parent Company with a committed credit line and issued (and may issue) one or more promissory notes to the Parent Company (the Parent Company Funding Notes) that together are intende</w:t>
      </w:r>
      <w:r>
        <w:rPr>
          <w:rFonts w:ascii="Arial" w:eastAsia="宋体" w:hAnsi="Arial" w:cs="Arial"/>
          <w:color w:val="000000"/>
          <w:sz w:val="20"/>
          <w:szCs w:val="20"/>
        </w:rPr>
        <w:t xml:space="preserve">d to allow us to continue to meet our obligations throughout the period prior to the occurrence of a "Recapitalization Event" (as defined below). The support agreement does not contemplate that SSIF is obligated to maintain any specific level of resources </w:t>
      </w:r>
      <w:r>
        <w:rPr>
          <w:rFonts w:ascii="Arial" w:eastAsia="宋体" w:hAnsi="Arial" w:cs="Arial"/>
          <w:color w:val="000000"/>
          <w:sz w:val="20"/>
          <w:szCs w:val="20"/>
        </w:rPr>
        <w:t>and SSIF may not have sufficient resources to implement the SPOE Strategy.</w:t>
      </w:r>
    </w:p>
    <w:p w14:paraId="5EA2061F" w14:textId="77777777" w:rsidR="003C66EB" w:rsidRDefault="00D96C4E">
      <w:pPr>
        <w:ind w:firstLine="450"/>
        <w:jc w:val="right"/>
      </w:pPr>
      <w:r>
        <w:rPr>
          <w:rFonts w:ascii="Arial" w:eastAsia="宋体" w:hAnsi="Arial" w:cs="Arial"/>
          <w:color w:val="000000"/>
          <w:sz w:val="18"/>
          <w:szCs w:val="18"/>
        </w:rPr>
        <w:t>State Street Corporation | 30</w:t>
      </w:r>
    </w:p>
    <w:p w14:paraId="5EA20620" w14:textId="77777777" w:rsidR="003C66EB" w:rsidRDefault="003C66EB">
      <w:pPr>
        <w:ind w:firstLine="450"/>
        <w:jc w:val="center"/>
      </w:pPr>
    </w:p>
    <w:p w14:paraId="5EA20621" w14:textId="77777777" w:rsidR="003C66EB" w:rsidRDefault="00D96C4E">
      <w:r>
        <w:pict w14:anchorId="5EA287CE">
          <v:rect id="_x0000_i1054" style="width:415.3pt;height:1.5pt" o:hralign="center" o:hrstd="t" o:hr="t" fillcolor="#a0a0a0" stroked="f"/>
        </w:pict>
      </w:r>
    </w:p>
    <w:p w14:paraId="5EA20622"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623" w14:textId="77777777" w:rsidR="003C66EB" w:rsidRDefault="00D96C4E">
      <w:pPr>
        <w:ind w:firstLine="450"/>
        <w:jc w:val="center"/>
      </w:pPr>
      <w:r>
        <w:rPr>
          <w:rFonts w:ascii="Arial" w:eastAsia="宋体" w:hAnsi="Arial" w:cs="Arial"/>
          <w:b/>
          <w:bCs/>
          <w:color w:val="000000"/>
          <w:sz w:val="20"/>
          <w:szCs w:val="20"/>
        </w:rPr>
        <w:t>AND RESULTS OF OPERATIONS</w:t>
      </w:r>
    </w:p>
    <w:p w14:paraId="5EA20624" w14:textId="77777777" w:rsidR="003C66EB" w:rsidRDefault="00D96C4E">
      <w:pPr>
        <w:spacing w:before="60"/>
        <w:ind w:firstLine="450"/>
        <w:jc w:val="both"/>
        <w:textAlignment w:val="top"/>
      </w:pPr>
      <w:r>
        <w:rPr>
          <w:rFonts w:ascii="Arial" w:eastAsia="宋体" w:hAnsi="Arial" w:cs="Arial"/>
          <w:color w:val="000000"/>
          <w:sz w:val="20"/>
          <w:szCs w:val="20"/>
        </w:rPr>
        <w:t xml:space="preserve">In the event a Recapitalization Event occurs, the obligations </w:t>
      </w:r>
      <w:r>
        <w:rPr>
          <w:rFonts w:ascii="Arial" w:eastAsia="宋体" w:hAnsi="Arial" w:cs="Arial"/>
          <w:color w:val="000000"/>
          <w:sz w:val="20"/>
          <w:szCs w:val="20"/>
        </w:rPr>
        <w:t>outstanding under the Parent Company Funding Notes would automatically convert into or be exchanged for capital contributed to SSIF. The obligations of the Parent Company and SSIF under the support agreement are secured through a security agreement that gr</w:t>
      </w:r>
      <w:r>
        <w:rPr>
          <w:rFonts w:ascii="Arial" w:eastAsia="宋体" w:hAnsi="Arial" w:cs="Arial"/>
          <w:color w:val="000000"/>
          <w:sz w:val="20"/>
          <w:szCs w:val="20"/>
        </w:rPr>
        <w:t>ants a lien on the assets that the Parent Company and SSIF would use to fulfill their obligations under the support agreement to the Beneficiary Entities. SSIF is a distinct legal entity separate from the Parent Company and the Parent Company’s other affil</w:t>
      </w:r>
      <w:r>
        <w:rPr>
          <w:rFonts w:ascii="Arial" w:eastAsia="宋体" w:hAnsi="Arial" w:cs="Arial"/>
          <w:color w:val="000000"/>
          <w:sz w:val="20"/>
          <w:szCs w:val="20"/>
        </w:rPr>
        <w:t xml:space="preserve">iates. </w:t>
      </w:r>
    </w:p>
    <w:p w14:paraId="5EA20625" w14:textId="77777777" w:rsidR="003C66EB" w:rsidRDefault="00D96C4E">
      <w:pPr>
        <w:spacing w:before="60"/>
        <w:ind w:firstLine="450"/>
        <w:jc w:val="both"/>
        <w:textAlignment w:val="top"/>
      </w:pPr>
      <w:r>
        <w:rPr>
          <w:rFonts w:ascii="Arial" w:eastAsia="宋体" w:hAnsi="Arial" w:cs="Arial"/>
          <w:color w:val="000000"/>
          <w:sz w:val="20"/>
          <w:szCs w:val="20"/>
        </w:rPr>
        <w:t>In accordance with its policies, we are required to monitor, on an ongoing basis, the capital and liquidity needs of State Street Bank and the other Beneficiary Entities. To support this process, we have established a trigger framework that identif</w:t>
      </w:r>
      <w:r>
        <w:rPr>
          <w:rFonts w:ascii="Arial" w:eastAsia="宋体" w:hAnsi="Arial" w:cs="Arial"/>
          <w:color w:val="000000"/>
          <w:sz w:val="20"/>
          <w:szCs w:val="20"/>
        </w:rPr>
        <w:t>ies key actions that would need to be taken or decisions that would need to be made if certain events tied to our financial condition occur. In the event that we experience material financial distress, the support agreement requires us to model and calcula</w:t>
      </w:r>
      <w:r>
        <w:rPr>
          <w:rFonts w:ascii="Arial" w:eastAsia="宋体" w:hAnsi="Arial" w:cs="Arial"/>
          <w:color w:val="000000"/>
          <w:sz w:val="20"/>
          <w:szCs w:val="20"/>
        </w:rPr>
        <w:t xml:space="preserve">te certain capital and liquidity triggers on a regular basis to determine whether or not the Parent Company should commence preparations for a bankruptcy filing and whether or not a Recapitalization Event has occurred. </w:t>
      </w:r>
    </w:p>
    <w:p w14:paraId="5EA20626" w14:textId="77777777" w:rsidR="003C66EB" w:rsidRDefault="00D96C4E">
      <w:pPr>
        <w:spacing w:before="60"/>
        <w:ind w:firstLine="450"/>
        <w:jc w:val="both"/>
        <w:textAlignment w:val="top"/>
      </w:pPr>
      <w:r>
        <w:rPr>
          <w:rFonts w:ascii="Arial" w:eastAsia="宋体" w:hAnsi="Arial" w:cs="Arial"/>
          <w:color w:val="000000"/>
          <w:sz w:val="20"/>
          <w:szCs w:val="20"/>
        </w:rPr>
        <w:t>Upon the occurrence of a Recapitaliz</w:t>
      </w:r>
      <w:r>
        <w:rPr>
          <w:rFonts w:ascii="Arial" w:eastAsia="宋体" w:hAnsi="Arial" w:cs="Arial"/>
          <w:color w:val="000000"/>
          <w:sz w:val="20"/>
          <w:szCs w:val="20"/>
        </w:rPr>
        <w:t xml:space="preserve">ation Event: (1) SSIF would not be authorized to provide any further liquidity to the Parent Company; (2) the Parent Company would be required to contribute to SSIF any remaining assets it is required to contribute to SSIF under the support agreement; (3) </w:t>
      </w:r>
      <w:r>
        <w:rPr>
          <w:rFonts w:ascii="Arial" w:eastAsia="宋体" w:hAnsi="Arial" w:cs="Arial"/>
          <w:color w:val="000000"/>
          <w:sz w:val="20"/>
          <w:szCs w:val="20"/>
        </w:rPr>
        <w:t>SSIF would be required to provide capital and liquidity support to the Beneficiary Entities to support such entities’ continued operation; and (4) the Parent Company would be expected to commence Chapter 11 proceedings under the U.S. Bankruptcy Code. No pe</w:t>
      </w:r>
      <w:r>
        <w:rPr>
          <w:rFonts w:ascii="Arial" w:eastAsia="宋体" w:hAnsi="Arial" w:cs="Arial"/>
          <w:color w:val="000000"/>
          <w:sz w:val="20"/>
          <w:szCs w:val="20"/>
        </w:rPr>
        <w:t>rson or entity, other than a party to the support agreement, should rely, including in evaluating any of our entities from a creditor's perspective or determining whether to enter into a contractual relationship with any of our entities, on any of our affi</w:t>
      </w:r>
      <w:r>
        <w:rPr>
          <w:rFonts w:ascii="Arial" w:eastAsia="宋体" w:hAnsi="Arial" w:cs="Arial"/>
          <w:color w:val="000000"/>
          <w:sz w:val="20"/>
          <w:szCs w:val="20"/>
        </w:rPr>
        <w:t xml:space="preserve">liates being or remaining a Beneficiary Entity or receiving capital or liquidity support pursuant to the support agreement. </w:t>
      </w:r>
    </w:p>
    <w:p w14:paraId="5EA20627" w14:textId="77777777" w:rsidR="003C66EB" w:rsidRDefault="00D96C4E">
      <w:pPr>
        <w:spacing w:before="60"/>
        <w:ind w:firstLine="450"/>
        <w:jc w:val="both"/>
        <w:textAlignment w:val="top"/>
      </w:pPr>
      <w:r>
        <w:rPr>
          <w:rFonts w:ascii="Arial" w:eastAsia="宋体" w:hAnsi="Arial" w:cs="Arial"/>
          <w:color w:val="000000"/>
          <w:sz w:val="20"/>
          <w:szCs w:val="20"/>
        </w:rPr>
        <w:t>A “Recapitalization Event” is defined under the support agreement as the earlier occurrence of one or more capital and liquidity th</w:t>
      </w:r>
      <w:r>
        <w:rPr>
          <w:rFonts w:ascii="Arial" w:eastAsia="宋体" w:hAnsi="Arial" w:cs="Arial"/>
          <w:color w:val="000000"/>
          <w:sz w:val="20"/>
          <w:szCs w:val="20"/>
        </w:rPr>
        <w:t>resholds being breached or the authorization by the Parent Company's Board of Directors for the Parent Company to commence bankruptcy proceedings. These thresholds are set at levels intended to provide for the availability of sufficient capital and liquidi</w:t>
      </w:r>
      <w:r>
        <w:rPr>
          <w:rFonts w:ascii="Arial" w:eastAsia="宋体" w:hAnsi="Arial" w:cs="Arial"/>
          <w:color w:val="000000"/>
          <w:sz w:val="20"/>
          <w:szCs w:val="20"/>
        </w:rPr>
        <w:t xml:space="preserve">ty to enable an orderly resolution without extraordinary government support. The SPOE Strategy and the obligations under the support agreement may result in the recapitalization of State Street Bank and the </w:t>
      </w:r>
    </w:p>
    <w:p w14:paraId="5EA20628" w14:textId="77777777" w:rsidR="003C66EB" w:rsidRDefault="00D96C4E">
      <w:pPr>
        <w:spacing w:before="60"/>
        <w:jc w:val="both"/>
        <w:textAlignment w:val="top"/>
      </w:pPr>
      <w:r>
        <w:rPr>
          <w:rFonts w:ascii="Arial" w:eastAsia="宋体" w:hAnsi="Arial" w:cs="Arial"/>
          <w:color w:val="000000"/>
          <w:sz w:val="20"/>
          <w:szCs w:val="20"/>
        </w:rPr>
        <w:t>commencement of bankruptcy proceedings by the Pa</w:t>
      </w:r>
      <w:r>
        <w:rPr>
          <w:rFonts w:ascii="Arial" w:eastAsia="宋体" w:hAnsi="Arial" w:cs="Arial"/>
          <w:color w:val="000000"/>
          <w:sz w:val="20"/>
          <w:szCs w:val="20"/>
        </w:rPr>
        <w:t>rent Company at an earlier stage of financial stress than might otherwise occur without such mechanisms in place. An expected effect of the SPOE Strategy and applicable TLAC regulatory requirements is that losses will be imposed on the Parent Company share</w:t>
      </w:r>
      <w:r>
        <w:rPr>
          <w:rFonts w:ascii="Arial" w:eastAsia="宋体" w:hAnsi="Arial" w:cs="Arial"/>
          <w:color w:val="000000"/>
          <w:sz w:val="20"/>
          <w:szCs w:val="20"/>
        </w:rPr>
        <w:t>holders and the holders of long-term debt and other forms of TLAC securities currently outstanding or issued in the future by the Parent Company, as well as on any other Parent Company creditors, before any of its losses are imposed on the holders of the d</w:t>
      </w:r>
      <w:r>
        <w:rPr>
          <w:rFonts w:ascii="Arial" w:eastAsia="宋体" w:hAnsi="Arial" w:cs="Arial"/>
          <w:color w:val="000000"/>
          <w:sz w:val="20"/>
          <w:szCs w:val="20"/>
        </w:rPr>
        <w:t>ebt securities of the Parent Company's operating subsidiaries or any of their depositors or creditors, or before U.S. taxpayers are put at risk.</w:t>
      </w:r>
    </w:p>
    <w:p w14:paraId="5EA20629" w14:textId="77777777" w:rsidR="003C66EB" w:rsidRDefault="00D96C4E">
      <w:pPr>
        <w:spacing w:before="60"/>
        <w:ind w:firstLine="450"/>
        <w:jc w:val="both"/>
        <w:textAlignment w:val="top"/>
      </w:pPr>
      <w:r>
        <w:rPr>
          <w:rFonts w:ascii="Arial" w:eastAsia="宋体" w:hAnsi="Arial" w:cs="Arial"/>
          <w:color w:val="000000"/>
          <w:sz w:val="20"/>
          <w:szCs w:val="20"/>
        </w:rPr>
        <w:t>There can be no assurance that credit rating agencies, in response to our 2019 resolution plan or the support a</w:t>
      </w:r>
      <w:r>
        <w:rPr>
          <w:rFonts w:ascii="Arial" w:eastAsia="宋体" w:hAnsi="Arial" w:cs="Arial"/>
          <w:color w:val="000000"/>
          <w:sz w:val="20"/>
          <w:szCs w:val="20"/>
        </w:rPr>
        <w:t>greement, will not downgrade, place on negative watch or change their outlook on our debt credit ratings, generally or on specific debt securities. Any such downgrade, placement on negative watch or change in outlook could adversely affect our cost of borr</w:t>
      </w:r>
      <w:r>
        <w:rPr>
          <w:rFonts w:ascii="Arial" w:eastAsia="宋体" w:hAnsi="Arial" w:cs="Arial"/>
          <w:color w:val="000000"/>
          <w:sz w:val="20"/>
          <w:szCs w:val="20"/>
        </w:rPr>
        <w:t>owing, limit our access to the capital markets or result in restrictive covenants in future debt agreements and could also adversely impact the trading prices, or the liquidity, of our outstanding debt securities.</w:t>
      </w:r>
    </w:p>
    <w:p w14:paraId="5EA2062A" w14:textId="77777777" w:rsidR="003C66EB" w:rsidRDefault="00D96C4E">
      <w:pPr>
        <w:spacing w:before="60"/>
        <w:ind w:firstLine="450"/>
        <w:jc w:val="both"/>
        <w:textAlignment w:val="top"/>
      </w:pPr>
      <w:r>
        <w:rPr>
          <w:rFonts w:ascii="Arial" w:eastAsia="宋体" w:hAnsi="Arial" w:cs="Arial"/>
          <w:color w:val="000000"/>
          <w:sz w:val="20"/>
          <w:szCs w:val="20"/>
        </w:rPr>
        <w:t>State Street Bank is also required to subm</w:t>
      </w:r>
      <w:r>
        <w:rPr>
          <w:rFonts w:ascii="Arial" w:eastAsia="宋体" w:hAnsi="Arial" w:cs="Arial"/>
          <w:color w:val="000000"/>
          <w:sz w:val="20"/>
          <w:szCs w:val="20"/>
        </w:rPr>
        <w:t>it, periodically in accordance with applicable regulations and FDIC guidance, a plan for resolution in the event of its failure, referred to as an Insured Depository Institution (IDI) plan. On April 22, 2019, the Federal Register published the FDIC’s advan</w:t>
      </w:r>
      <w:r>
        <w:rPr>
          <w:rFonts w:ascii="Arial" w:eastAsia="宋体" w:hAnsi="Arial" w:cs="Arial"/>
          <w:color w:val="000000"/>
          <w:sz w:val="20"/>
          <w:szCs w:val="20"/>
        </w:rPr>
        <w:t>ce notice of proposed rulemaking in which it invited comment on potential revisions to its IDI plan requirements. In addition to this advance notice of proposed rulemaking, on April 16, 2019, the FDIC Board voted to delay the next round of submissions unde</w:t>
      </w:r>
      <w:r>
        <w:rPr>
          <w:rFonts w:ascii="Arial" w:eastAsia="宋体" w:hAnsi="Arial" w:cs="Arial"/>
          <w:color w:val="000000"/>
          <w:sz w:val="20"/>
          <w:szCs w:val="20"/>
        </w:rPr>
        <w:t>r the IDI Rule until the rulemaking process has been completed. As of March 31, 2021, the final IDI rule remains pending with no expectation of a required plan submission in 2021.</w:t>
      </w:r>
    </w:p>
    <w:p w14:paraId="5EA2062B" w14:textId="77777777" w:rsidR="003C66EB" w:rsidRDefault="00D96C4E">
      <w:pPr>
        <w:spacing w:before="60"/>
        <w:textAlignment w:val="top"/>
      </w:pPr>
      <w:r>
        <w:rPr>
          <w:rFonts w:ascii="Arial" w:eastAsia="宋体" w:hAnsi="Arial" w:cs="Arial"/>
          <w:b/>
          <w:bCs/>
          <w:i/>
          <w:iCs/>
          <w:color w:val="000000"/>
          <w:sz w:val="20"/>
          <w:szCs w:val="20"/>
        </w:rPr>
        <w:t>Funding</w:t>
      </w:r>
    </w:p>
    <w:p w14:paraId="5EA2062C" w14:textId="77777777" w:rsidR="003C66EB" w:rsidRDefault="00D96C4E">
      <w:pPr>
        <w:spacing w:before="60"/>
        <w:textAlignment w:val="top"/>
      </w:pPr>
      <w:r>
        <w:rPr>
          <w:rFonts w:ascii="Arial" w:eastAsia="宋体" w:hAnsi="Arial" w:cs="Arial"/>
          <w:i/>
          <w:iCs/>
          <w:color w:val="000000"/>
          <w:sz w:val="20"/>
          <w:szCs w:val="20"/>
        </w:rPr>
        <w:t>Deposits</w:t>
      </w:r>
    </w:p>
    <w:p w14:paraId="5EA2062D" w14:textId="77777777" w:rsidR="003C66EB" w:rsidRDefault="00D96C4E">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w:t>
      </w:r>
      <w:r>
        <w:rPr>
          <w:rFonts w:ascii="Arial" w:eastAsia="宋体" w:hAnsi="Arial" w:cs="Arial"/>
          <w:color w:val="000000"/>
          <w:sz w:val="20"/>
          <w:szCs w:val="20"/>
        </w:rPr>
        <w:t>enerate client deposits, which have generally provided a stable, low-cost source of funds. As a global custodian, clients place deposits with our entities in various currencies. As of both March 31, 2021 and December 31, 2020, approximately 65% of our aver</w:t>
      </w:r>
      <w:r>
        <w:rPr>
          <w:rFonts w:ascii="Arial" w:eastAsia="宋体" w:hAnsi="Arial" w:cs="Arial"/>
          <w:color w:val="000000"/>
          <w:sz w:val="20"/>
          <w:szCs w:val="20"/>
        </w:rPr>
        <w:t xml:space="preserve">age total deposit balances were denominated in U.S. dollars, approximately 15% in EUR, 10% in GBP and 10% in all other currencies. </w:t>
      </w:r>
    </w:p>
    <w:p w14:paraId="5EA2062E" w14:textId="77777777" w:rsidR="003C66EB" w:rsidRDefault="00D96C4E">
      <w:pPr>
        <w:ind w:firstLine="450"/>
        <w:jc w:val="right"/>
      </w:pPr>
      <w:r>
        <w:rPr>
          <w:rFonts w:ascii="Arial" w:eastAsia="宋体" w:hAnsi="Arial" w:cs="Arial"/>
          <w:color w:val="000000"/>
          <w:sz w:val="18"/>
          <w:szCs w:val="18"/>
        </w:rPr>
        <w:t>State Street Corporation | 31</w:t>
      </w:r>
    </w:p>
    <w:p w14:paraId="5EA2062F" w14:textId="77777777" w:rsidR="003C66EB" w:rsidRDefault="003C66EB">
      <w:pPr>
        <w:ind w:firstLine="450"/>
        <w:jc w:val="center"/>
      </w:pPr>
    </w:p>
    <w:p w14:paraId="5EA20630" w14:textId="77777777" w:rsidR="003C66EB" w:rsidRDefault="00D96C4E">
      <w:r>
        <w:pict w14:anchorId="5EA287CF">
          <v:rect id="_x0000_i1055" style="width:415.3pt;height:1.5pt" o:hralign="center" o:hrstd="t" o:hr="t" fillcolor="#a0a0a0" stroked="f"/>
        </w:pict>
      </w:r>
    </w:p>
    <w:p w14:paraId="5EA20631"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632" w14:textId="77777777" w:rsidR="003C66EB" w:rsidRDefault="00D96C4E">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5EA20633" w14:textId="77777777" w:rsidR="003C66EB" w:rsidRDefault="00D96C4E">
      <w:pPr>
        <w:spacing w:before="60"/>
        <w:textAlignment w:val="top"/>
      </w:pPr>
      <w:r>
        <w:rPr>
          <w:rFonts w:ascii="Arial" w:eastAsia="宋体" w:hAnsi="Arial" w:cs="Arial"/>
          <w:i/>
          <w:iCs/>
          <w:color w:val="000000"/>
          <w:sz w:val="20"/>
          <w:szCs w:val="20"/>
        </w:rPr>
        <w:t>Short-Term Funding</w:t>
      </w:r>
    </w:p>
    <w:p w14:paraId="5EA20634" w14:textId="77777777" w:rsidR="003C66EB" w:rsidRDefault="00D96C4E">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 management strategy. These assets provide liquidity through maturities of the assets, but more importantly, they provide us with the ability to</w:t>
      </w:r>
      <w:r>
        <w:rPr>
          <w:rFonts w:ascii="Arial" w:eastAsia="宋体" w:hAnsi="Arial" w:cs="Arial"/>
          <w:color w:val="000000"/>
          <w:sz w:val="20"/>
          <w:szCs w:val="20"/>
        </w:rPr>
        <w:t xml:space="preserve"> raise funds by pledging the securities as collateral for borrowings or through outright sales. In addition, our access to the global capital markets gives us the ability to source incremental funding from wholesale investors. As discussed earlier under “A</w:t>
      </w:r>
      <w:r>
        <w:rPr>
          <w:rFonts w:ascii="Arial" w:eastAsia="宋体" w:hAnsi="Arial" w:cs="Arial"/>
          <w:color w:val="000000"/>
          <w:sz w:val="20"/>
          <w:szCs w:val="20"/>
        </w:rPr>
        <w:t>sset Liquidity,” State Street Bank's membership in the FHLB allows for advances of liquidity with varying terms against high-quality collateral.</w:t>
      </w:r>
    </w:p>
    <w:p w14:paraId="5EA20635" w14:textId="77777777" w:rsidR="003C66EB" w:rsidRDefault="00D96C4E">
      <w:pPr>
        <w:spacing w:before="60"/>
        <w:ind w:firstLine="450"/>
        <w:jc w:val="both"/>
        <w:textAlignment w:val="top"/>
      </w:pPr>
      <w:r>
        <w:rPr>
          <w:rFonts w:ascii="Arial" w:eastAsia="宋体" w:hAnsi="Arial" w:cs="Arial"/>
          <w:color w:val="000000"/>
          <w:sz w:val="20"/>
          <w:szCs w:val="20"/>
        </w:rPr>
        <w:t>Short-term secured funding also comes in the form of securities lent or sold under agreements to repurchase. Th</w:t>
      </w:r>
      <w:r>
        <w:rPr>
          <w:rFonts w:ascii="Arial" w:eastAsia="宋体" w:hAnsi="Arial" w:cs="Arial"/>
          <w:color w:val="000000"/>
          <w:sz w:val="20"/>
          <w:szCs w:val="20"/>
        </w:rPr>
        <w:t>ese transactions are short-term in nature, generally overnight and are collateralized by high-quality investment securities. These balances were $0.59 billion and $3.41 billion as of March 31, 2021 and December 31, 2020, respectively.</w:t>
      </w:r>
    </w:p>
    <w:p w14:paraId="5EA20636" w14:textId="77777777" w:rsidR="003C66EB" w:rsidRDefault="00D96C4E">
      <w:pPr>
        <w:spacing w:before="60"/>
        <w:ind w:firstLine="450"/>
        <w:jc w:val="both"/>
        <w:textAlignment w:val="top"/>
      </w:pPr>
      <w:r>
        <w:rPr>
          <w:rFonts w:ascii="Arial" w:eastAsia="宋体" w:hAnsi="Arial" w:cs="Arial"/>
          <w:color w:val="000000"/>
          <w:sz w:val="20"/>
          <w:szCs w:val="20"/>
        </w:rPr>
        <w:t>State Street Bank cur</w:t>
      </w:r>
      <w:r>
        <w:rPr>
          <w:rFonts w:ascii="Arial" w:eastAsia="宋体" w:hAnsi="Arial" w:cs="Arial"/>
          <w:color w:val="000000"/>
          <w:sz w:val="20"/>
          <w:szCs w:val="20"/>
        </w:rPr>
        <w:t>rently maintains a line of credit with a financial institution of CAD $1.40 billion, or approximately $1.11 billion, as of March 31, 2021, to support its Canadian securities processing operations. The line of credit has no stated termination date and is ca</w:t>
      </w:r>
      <w:r>
        <w:rPr>
          <w:rFonts w:ascii="Arial" w:eastAsia="宋体" w:hAnsi="Arial" w:cs="Arial"/>
          <w:color w:val="000000"/>
          <w:sz w:val="20"/>
          <w:szCs w:val="20"/>
        </w:rPr>
        <w:t>ncelable by either party with prior notice. As of both March 31, 2021 and December 31, 2020, there was no balance outstanding on this line of credit.</w:t>
      </w:r>
    </w:p>
    <w:p w14:paraId="5EA20637" w14:textId="77777777" w:rsidR="003C66EB" w:rsidRDefault="00D96C4E">
      <w:pPr>
        <w:spacing w:before="60"/>
        <w:textAlignment w:val="top"/>
      </w:pPr>
      <w:r>
        <w:rPr>
          <w:rFonts w:ascii="Arial" w:eastAsia="宋体" w:hAnsi="Arial" w:cs="Arial"/>
          <w:i/>
          <w:iCs/>
          <w:color w:val="000000"/>
          <w:sz w:val="20"/>
          <w:szCs w:val="20"/>
        </w:rPr>
        <w:t>Long-Term Funding</w:t>
      </w:r>
    </w:p>
    <w:p w14:paraId="5EA20638" w14:textId="77777777" w:rsidR="003C66EB" w:rsidRDefault="00D96C4E">
      <w:pPr>
        <w:spacing w:before="60"/>
        <w:ind w:firstLine="450"/>
        <w:jc w:val="both"/>
        <w:textAlignment w:val="top"/>
      </w:pPr>
      <w:r>
        <w:rPr>
          <w:rFonts w:ascii="Arial" w:eastAsia="宋体" w:hAnsi="Arial" w:cs="Arial"/>
          <w:color w:val="000000"/>
          <w:sz w:val="20"/>
          <w:szCs w:val="20"/>
        </w:rPr>
        <w:t>We have the ability to issue debt and equity securities under our current universal shel</w:t>
      </w:r>
      <w:r>
        <w:rPr>
          <w:rFonts w:ascii="Arial" w:eastAsia="宋体" w:hAnsi="Arial" w:cs="Arial"/>
          <w:color w:val="000000"/>
          <w:sz w:val="20"/>
          <w:szCs w:val="20"/>
        </w:rPr>
        <w:t>f registration statement to meet current commitments and business needs, including accommodating the transaction and cash management needs of our clients. The total amount remaining for issuance under the registration statement is $6.15 billion as of March</w:t>
      </w:r>
      <w:r>
        <w:rPr>
          <w:rFonts w:ascii="Arial" w:eastAsia="宋体" w:hAnsi="Arial" w:cs="Arial"/>
          <w:color w:val="000000"/>
          <w:sz w:val="20"/>
          <w:szCs w:val="20"/>
        </w:rPr>
        <w:t> 31, 2021. In addition, State Street Bank also has current authorization from the Board to issue up to $5 billion in unsecured senior debt.</w:t>
      </w:r>
    </w:p>
    <w:p w14:paraId="5EA20639" w14:textId="77777777" w:rsidR="003C66EB" w:rsidRDefault="00D96C4E">
      <w:pPr>
        <w:spacing w:before="60"/>
        <w:ind w:firstLine="450"/>
        <w:jc w:val="both"/>
        <w:textAlignment w:val="top"/>
      </w:pPr>
      <w:r>
        <w:rPr>
          <w:rFonts w:ascii="Arial" w:eastAsia="宋体" w:hAnsi="Arial" w:cs="Arial"/>
          <w:color w:val="000000"/>
          <w:sz w:val="20"/>
          <w:szCs w:val="20"/>
        </w:rPr>
        <w:t>On March 3, 2021, we issued $850 million aggregate principal amount of 2.200% Senior Subordinated Notes due 2031.</w:t>
      </w:r>
    </w:p>
    <w:p w14:paraId="5EA2063A" w14:textId="77777777" w:rsidR="003C66EB" w:rsidRDefault="00D96C4E">
      <w:pPr>
        <w:spacing w:before="60"/>
        <w:jc w:val="both"/>
        <w:textAlignment w:val="top"/>
      </w:pPr>
      <w:r>
        <w:rPr>
          <w:rFonts w:ascii="Arial" w:eastAsia="宋体" w:hAnsi="Arial" w:cs="Arial"/>
          <w:b/>
          <w:bCs/>
          <w:i/>
          <w:iCs/>
          <w:color w:val="000000"/>
          <w:sz w:val="20"/>
          <w:szCs w:val="20"/>
        </w:rPr>
        <w:t>Ag</w:t>
      </w:r>
      <w:r>
        <w:rPr>
          <w:rFonts w:ascii="Arial" w:eastAsia="宋体" w:hAnsi="Arial" w:cs="Arial"/>
          <w:b/>
          <w:bCs/>
          <w:i/>
          <w:iCs/>
          <w:color w:val="000000"/>
          <w:sz w:val="20"/>
          <w:szCs w:val="20"/>
        </w:rPr>
        <w:t>ency Credit Ratings</w:t>
      </w:r>
    </w:p>
    <w:p w14:paraId="5EA2063B" w14:textId="77777777" w:rsidR="003C66EB" w:rsidRDefault="00D96C4E">
      <w:pPr>
        <w:spacing w:before="60"/>
        <w:ind w:firstLine="450"/>
        <w:jc w:val="both"/>
        <w:textAlignment w:val="top"/>
      </w:pPr>
      <w:r>
        <w:rPr>
          <w:rFonts w:ascii="Arial" w:eastAsia="宋体" w:hAnsi="Arial" w:cs="Arial"/>
          <w:color w:val="000000"/>
          <w:sz w:val="20"/>
          <w:szCs w:val="20"/>
        </w:rPr>
        <w:t>Our ability to maintain consistent access to liquidity is fostered by the maintenance of high investment grade ratings as measured by the major independent credit rating agencies. Factors essential to maintaining high credit ratings inc</w:t>
      </w:r>
      <w:r>
        <w:rPr>
          <w:rFonts w:ascii="Arial" w:eastAsia="宋体" w:hAnsi="Arial" w:cs="Arial"/>
          <w:color w:val="000000"/>
          <w:sz w:val="20"/>
          <w:szCs w:val="20"/>
        </w:rPr>
        <w:t>lude:</w:t>
      </w:r>
    </w:p>
    <w:p w14:paraId="5EA2063C" w14:textId="77777777" w:rsidR="003C66EB" w:rsidRDefault="00D96C4E">
      <w:pPr>
        <w:spacing w:before="60"/>
        <w:ind w:hanging="360"/>
        <w:jc w:val="both"/>
        <w:textAlignment w:val="top"/>
      </w:pPr>
      <w:r>
        <w:rPr>
          <w:rFonts w:ascii="Arial" w:eastAsia="宋体" w:hAnsi="Arial" w:cs="Arial"/>
          <w:color w:val="000000"/>
          <w:sz w:val="20"/>
          <w:szCs w:val="20"/>
        </w:rPr>
        <w:t>•diverse and stable core earnings;</w:t>
      </w:r>
    </w:p>
    <w:p w14:paraId="5EA2063D" w14:textId="77777777" w:rsidR="003C66EB" w:rsidRDefault="00D96C4E">
      <w:pPr>
        <w:spacing w:before="60"/>
        <w:ind w:hanging="360"/>
        <w:jc w:val="both"/>
        <w:textAlignment w:val="top"/>
      </w:pPr>
      <w:r>
        <w:rPr>
          <w:rFonts w:ascii="Arial" w:eastAsia="宋体" w:hAnsi="Arial" w:cs="Arial"/>
          <w:color w:val="000000"/>
          <w:sz w:val="20"/>
          <w:szCs w:val="20"/>
        </w:rPr>
        <w:t>•relative market position;</w:t>
      </w:r>
    </w:p>
    <w:p w14:paraId="5EA2063E" w14:textId="77777777" w:rsidR="003C66EB" w:rsidRDefault="00D96C4E">
      <w:pPr>
        <w:spacing w:before="60"/>
        <w:ind w:hanging="360"/>
        <w:jc w:val="both"/>
        <w:textAlignment w:val="top"/>
      </w:pPr>
      <w:r>
        <w:rPr>
          <w:rFonts w:ascii="Arial" w:eastAsia="宋体" w:hAnsi="Arial" w:cs="Arial"/>
          <w:color w:val="000000"/>
          <w:sz w:val="20"/>
          <w:szCs w:val="20"/>
        </w:rPr>
        <w:t>•strong risk management;</w:t>
      </w:r>
    </w:p>
    <w:p w14:paraId="5EA2063F" w14:textId="77777777" w:rsidR="003C66EB" w:rsidRDefault="00D96C4E">
      <w:pPr>
        <w:spacing w:before="60"/>
        <w:ind w:hanging="360"/>
        <w:jc w:val="both"/>
        <w:textAlignment w:val="top"/>
      </w:pPr>
      <w:r>
        <w:rPr>
          <w:rFonts w:ascii="Arial" w:eastAsia="宋体" w:hAnsi="Arial" w:cs="Arial"/>
          <w:color w:val="000000"/>
          <w:sz w:val="20"/>
          <w:szCs w:val="20"/>
        </w:rPr>
        <w:t>•strong capital ratios;</w:t>
      </w:r>
    </w:p>
    <w:p w14:paraId="5EA20640" w14:textId="77777777" w:rsidR="003C66EB" w:rsidRDefault="00D96C4E">
      <w:pPr>
        <w:spacing w:before="60"/>
        <w:ind w:hanging="360"/>
        <w:jc w:val="both"/>
        <w:textAlignment w:val="top"/>
      </w:pPr>
      <w:r>
        <w:rPr>
          <w:rFonts w:ascii="Arial" w:eastAsia="宋体" w:hAnsi="Arial" w:cs="Arial"/>
          <w:color w:val="000000"/>
          <w:sz w:val="20"/>
          <w:szCs w:val="20"/>
        </w:rPr>
        <w:t>•diverse liquidity sources, including the global capital markets and client deposits;</w:t>
      </w:r>
    </w:p>
    <w:p w14:paraId="5EA20641" w14:textId="77777777" w:rsidR="003C66EB" w:rsidRDefault="00D96C4E">
      <w:pPr>
        <w:spacing w:before="60"/>
        <w:ind w:hanging="360"/>
        <w:jc w:val="both"/>
        <w:textAlignment w:val="top"/>
      </w:pPr>
      <w:r>
        <w:rPr>
          <w:rFonts w:ascii="Arial" w:eastAsia="宋体" w:hAnsi="Arial" w:cs="Arial"/>
          <w:color w:val="000000"/>
          <w:sz w:val="20"/>
          <w:szCs w:val="20"/>
        </w:rPr>
        <w:t>•strong liquidity monitoring procedures; and</w:t>
      </w:r>
    </w:p>
    <w:p w14:paraId="5EA20642" w14:textId="77777777" w:rsidR="003C66EB" w:rsidRDefault="00D96C4E">
      <w:pPr>
        <w:spacing w:before="60"/>
        <w:ind w:hanging="360"/>
        <w:jc w:val="both"/>
        <w:textAlignment w:val="top"/>
      </w:pPr>
      <w:r>
        <w:rPr>
          <w:rFonts w:ascii="Arial" w:eastAsia="宋体" w:hAnsi="Arial" w:cs="Arial"/>
          <w:color w:val="000000"/>
          <w:sz w:val="20"/>
          <w:szCs w:val="20"/>
        </w:rPr>
        <w:t>•prepare</w:t>
      </w:r>
      <w:r>
        <w:rPr>
          <w:rFonts w:ascii="Arial" w:eastAsia="宋体" w:hAnsi="Arial" w:cs="Arial"/>
          <w:color w:val="000000"/>
          <w:sz w:val="20"/>
          <w:szCs w:val="20"/>
        </w:rPr>
        <w:t>dness for current or future regulatory developments.</w:t>
      </w:r>
    </w:p>
    <w:p w14:paraId="5EA20643" w14:textId="77777777" w:rsidR="003C66EB" w:rsidRDefault="00D96C4E">
      <w:pPr>
        <w:spacing w:before="60"/>
        <w:ind w:firstLine="450"/>
        <w:textAlignment w:val="top"/>
      </w:pPr>
      <w:r>
        <w:rPr>
          <w:rFonts w:ascii="Arial" w:eastAsia="宋体" w:hAnsi="Arial" w:cs="Arial"/>
          <w:color w:val="000000"/>
          <w:sz w:val="20"/>
          <w:szCs w:val="20"/>
        </w:rPr>
        <w:t>High ratings limit borrowing costs and enhance our liquidity by:</w:t>
      </w:r>
    </w:p>
    <w:p w14:paraId="5EA20644" w14:textId="77777777" w:rsidR="003C66EB" w:rsidRDefault="00D96C4E">
      <w:pPr>
        <w:spacing w:before="60"/>
        <w:ind w:hanging="360"/>
        <w:jc w:val="both"/>
        <w:textAlignment w:val="top"/>
      </w:pPr>
      <w:r>
        <w:rPr>
          <w:rFonts w:ascii="Arial" w:eastAsia="宋体" w:hAnsi="Arial" w:cs="Arial"/>
          <w:color w:val="000000"/>
          <w:sz w:val="20"/>
          <w:szCs w:val="20"/>
        </w:rPr>
        <w:t>•providing assurance for unsecured funding and depositors;</w:t>
      </w:r>
    </w:p>
    <w:p w14:paraId="5EA20645" w14:textId="77777777" w:rsidR="003C66EB" w:rsidRDefault="00D96C4E">
      <w:pPr>
        <w:spacing w:before="60"/>
        <w:ind w:hanging="360"/>
        <w:jc w:val="both"/>
        <w:textAlignment w:val="top"/>
      </w:pPr>
      <w:r>
        <w:rPr>
          <w:rFonts w:ascii="Arial" w:eastAsia="宋体" w:hAnsi="Arial" w:cs="Arial"/>
          <w:color w:val="000000"/>
          <w:sz w:val="20"/>
          <w:szCs w:val="20"/>
        </w:rPr>
        <w:t>•increasing the potential market for our debt and improving our ability to offe</w:t>
      </w:r>
      <w:r>
        <w:rPr>
          <w:rFonts w:ascii="Arial" w:eastAsia="宋体" w:hAnsi="Arial" w:cs="Arial"/>
          <w:color w:val="000000"/>
          <w:sz w:val="20"/>
          <w:szCs w:val="20"/>
        </w:rPr>
        <w:t>r products;</w:t>
      </w:r>
    </w:p>
    <w:p w14:paraId="5EA20646" w14:textId="77777777" w:rsidR="003C66EB" w:rsidRDefault="00D96C4E">
      <w:pPr>
        <w:spacing w:before="60"/>
        <w:ind w:hanging="360"/>
        <w:jc w:val="both"/>
        <w:textAlignment w:val="top"/>
      </w:pPr>
      <w:r>
        <w:rPr>
          <w:rFonts w:ascii="Arial" w:eastAsia="宋体" w:hAnsi="Arial" w:cs="Arial"/>
          <w:color w:val="000000"/>
          <w:sz w:val="20"/>
          <w:szCs w:val="20"/>
        </w:rPr>
        <w:t xml:space="preserve">•serving markets; and </w:t>
      </w:r>
    </w:p>
    <w:p w14:paraId="5EA20647" w14:textId="77777777" w:rsidR="003C66EB" w:rsidRDefault="00D96C4E">
      <w:pPr>
        <w:spacing w:before="60"/>
        <w:ind w:hanging="360"/>
        <w:jc w:val="both"/>
        <w:textAlignment w:val="top"/>
      </w:pPr>
      <w:r>
        <w:rPr>
          <w:rFonts w:ascii="Arial" w:eastAsia="宋体" w:hAnsi="Arial" w:cs="Arial"/>
          <w:color w:val="000000"/>
          <w:sz w:val="20"/>
          <w:szCs w:val="20"/>
        </w:rPr>
        <w:t>•engaging in transactions in which clients value high credit ratings.</w:t>
      </w:r>
    </w:p>
    <w:p w14:paraId="5EA20648" w14:textId="77777777" w:rsidR="003C66EB" w:rsidRDefault="00D96C4E">
      <w:pPr>
        <w:spacing w:before="60"/>
        <w:ind w:firstLine="450"/>
        <w:jc w:val="both"/>
        <w:textAlignment w:val="top"/>
      </w:pPr>
      <w:r>
        <w:rPr>
          <w:rFonts w:ascii="Arial" w:eastAsia="宋体" w:hAnsi="Arial" w:cs="Arial"/>
          <w:color w:val="000000"/>
          <w:sz w:val="20"/>
          <w:szCs w:val="20"/>
        </w:rPr>
        <w:t xml:space="preserve">A downgrade or reduction of our credit ratings could have a material adverse effect on our liquidity by restricting our ability to access the </w:t>
      </w:r>
      <w:r>
        <w:rPr>
          <w:rFonts w:ascii="Arial" w:eastAsia="宋体" w:hAnsi="Arial" w:cs="Arial"/>
          <w:color w:val="000000"/>
          <w:sz w:val="20"/>
          <w:szCs w:val="20"/>
        </w:rPr>
        <w:t>capital markets, which could increase the related cost of funds. In turn, this could cause the sudden and large-scale withdrawal of unsecured deposits by our clients, which could lead to draw-downs of unfunded commitments to extend credit or trigger requir</w:t>
      </w:r>
      <w:r>
        <w:rPr>
          <w:rFonts w:ascii="Arial" w:eastAsia="宋体" w:hAnsi="Arial" w:cs="Arial"/>
          <w:color w:val="000000"/>
          <w:sz w:val="20"/>
          <w:szCs w:val="20"/>
        </w:rPr>
        <w:t>ements under securities purchase commitments; or require additional collateral or force terminations of certain trading derivative contracts.</w:t>
      </w:r>
    </w:p>
    <w:p w14:paraId="5EA20649" w14:textId="77777777" w:rsidR="003C66EB" w:rsidRDefault="00D96C4E">
      <w:pPr>
        <w:spacing w:before="60"/>
        <w:ind w:firstLine="450"/>
        <w:jc w:val="both"/>
        <w:textAlignment w:val="top"/>
      </w:pPr>
      <w:r>
        <w:rPr>
          <w:rFonts w:ascii="Arial" w:eastAsia="宋体" w:hAnsi="Arial" w:cs="Arial"/>
          <w:color w:val="000000"/>
          <w:sz w:val="20"/>
          <w:szCs w:val="20"/>
        </w:rPr>
        <w:t>A majority of our derivative contracts have been entered into under bilateral agreements with counterparties who m</w:t>
      </w:r>
      <w:r>
        <w:rPr>
          <w:rFonts w:ascii="Arial" w:eastAsia="宋体" w:hAnsi="Arial" w:cs="Arial"/>
          <w:color w:val="000000"/>
          <w:sz w:val="20"/>
          <w:szCs w:val="20"/>
        </w:rPr>
        <w:t>ay require us to post collateral or terminate the transactions based on changes in our credit ratings. We assess the impact of these arrangements by determining the collateral that would be required assuming a downgrade by all rating agencies. The addition</w:t>
      </w:r>
      <w:r>
        <w:rPr>
          <w:rFonts w:ascii="Arial" w:eastAsia="宋体" w:hAnsi="Arial" w:cs="Arial"/>
          <w:color w:val="000000"/>
          <w:sz w:val="20"/>
          <w:szCs w:val="20"/>
        </w:rPr>
        <w:t>al collateral or termination payments related to our net derivative liabilities under these arrangements that could have been called by counterparties in the event of a downgrade in our credit ratings below levels specified in the agreements is provided in</w:t>
      </w:r>
      <w:r>
        <w:rPr>
          <w:rFonts w:ascii="Arial" w:eastAsia="宋体" w:hAnsi="Arial" w:cs="Arial"/>
          <w:color w:val="000000"/>
          <w:sz w:val="20"/>
          <w:szCs w:val="20"/>
        </w:rPr>
        <w:t xml:space="preserve"> Note 7 to the consolidated financial statements in this Form 10-Q. Other funding sources, such as secured financing transactions and other margin requirements, for which there are no explicit triggers, could also be adversely affected.</w:t>
      </w:r>
    </w:p>
    <w:p w14:paraId="5EA2064A" w14:textId="77777777" w:rsidR="003C66EB" w:rsidRDefault="00D96C4E">
      <w:pPr>
        <w:spacing w:before="90"/>
        <w:textAlignment w:val="top"/>
      </w:pPr>
      <w:r>
        <w:rPr>
          <w:rFonts w:ascii="Arial" w:eastAsia="宋体" w:hAnsi="Arial" w:cs="Arial"/>
          <w:b/>
          <w:bCs/>
          <w:color w:val="000000"/>
          <w:sz w:val="20"/>
          <w:szCs w:val="20"/>
        </w:rPr>
        <w:t>Operational Risk Ma</w:t>
      </w:r>
      <w:r>
        <w:rPr>
          <w:rFonts w:ascii="Arial" w:eastAsia="宋体" w:hAnsi="Arial" w:cs="Arial"/>
          <w:b/>
          <w:bCs/>
          <w:color w:val="000000"/>
          <w:sz w:val="20"/>
          <w:szCs w:val="20"/>
        </w:rPr>
        <w:t>nagement</w:t>
      </w:r>
    </w:p>
    <w:p w14:paraId="5EA2064B" w14:textId="77777777" w:rsidR="003C66EB" w:rsidRDefault="00D96C4E">
      <w:pPr>
        <w:spacing w:before="60"/>
        <w:ind w:firstLine="450"/>
        <w:jc w:val="both"/>
        <w:textAlignment w:val="top"/>
      </w:pPr>
      <w:r>
        <w:rPr>
          <w:rFonts w:ascii="Arial" w:eastAsia="宋体" w:hAnsi="Arial" w:cs="Arial"/>
          <w:color w:val="000000"/>
          <w:sz w:val="20"/>
          <w:szCs w:val="20"/>
        </w:rPr>
        <w:t xml:space="preserve">Operational risk is the risk of loss resulting from inadequate or failed internal processes, people and systems or from external events. </w:t>
      </w:r>
    </w:p>
    <w:p w14:paraId="5EA2064C" w14:textId="77777777" w:rsidR="003C66EB" w:rsidRDefault="00D96C4E">
      <w:pPr>
        <w:spacing w:before="60"/>
        <w:ind w:firstLine="450"/>
        <w:jc w:val="both"/>
        <w:textAlignment w:val="top"/>
      </w:pPr>
      <w:r>
        <w:rPr>
          <w:rFonts w:ascii="Arial" w:eastAsia="宋体" w:hAnsi="Arial" w:cs="Arial"/>
          <w:color w:val="000000"/>
          <w:sz w:val="20"/>
          <w:szCs w:val="20"/>
        </w:rPr>
        <w:t>In light of the COVID-19 pandemic, we continue to have business continuity arrangements in place across our o</w:t>
      </w:r>
      <w:r>
        <w:rPr>
          <w:rFonts w:ascii="Arial" w:eastAsia="宋体" w:hAnsi="Arial" w:cs="Arial"/>
          <w:color w:val="000000"/>
          <w:sz w:val="20"/>
          <w:szCs w:val="20"/>
        </w:rPr>
        <w:t>perating locations, and we, and a significant percentage of our key service providers, are operating significantly or entirely in a work from home environment. The current operating environment increases operational risk and information technology risk, in</w:t>
      </w:r>
      <w:r>
        <w:rPr>
          <w:rFonts w:ascii="Arial" w:eastAsia="宋体" w:hAnsi="Arial" w:cs="Arial"/>
          <w:color w:val="000000"/>
          <w:sz w:val="20"/>
          <w:szCs w:val="20"/>
        </w:rPr>
        <w:t xml:space="preserve">cluding cyber-threats. </w:t>
      </w:r>
    </w:p>
    <w:p w14:paraId="5EA2064D" w14:textId="77777777" w:rsidR="003C66EB" w:rsidRDefault="00D96C4E">
      <w:pPr>
        <w:ind w:firstLine="450"/>
        <w:jc w:val="right"/>
      </w:pPr>
      <w:r>
        <w:rPr>
          <w:rFonts w:ascii="Arial" w:eastAsia="宋体" w:hAnsi="Arial" w:cs="Arial"/>
          <w:color w:val="000000"/>
          <w:sz w:val="18"/>
          <w:szCs w:val="18"/>
        </w:rPr>
        <w:t>State Street Corporation | 32</w:t>
      </w:r>
    </w:p>
    <w:p w14:paraId="5EA2064E" w14:textId="77777777" w:rsidR="003C66EB" w:rsidRDefault="003C66EB">
      <w:pPr>
        <w:ind w:firstLine="450"/>
        <w:jc w:val="center"/>
      </w:pPr>
    </w:p>
    <w:p w14:paraId="5EA2064F" w14:textId="77777777" w:rsidR="003C66EB" w:rsidRDefault="00D96C4E">
      <w:r>
        <w:pict w14:anchorId="5EA287D0">
          <v:rect id="_x0000_i1056" style="width:415.3pt;height:1.5pt" o:hralign="center" o:hrstd="t" o:hr="t" fillcolor="#a0a0a0" stroked="f"/>
        </w:pict>
      </w:r>
    </w:p>
    <w:p w14:paraId="5EA20650"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651" w14:textId="77777777" w:rsidR="003C66EB" w:rsidRDefault="00D96C4E">
      <w:pPr>
        <w:ind w:firstLine="450"/>
        <w:jc w:val="center"/>
      </w:pPr>
      <w:r>
        <w:rPr>
          <w:rFonts w:ascii="Arial" w:eastAsia="宋体" w:hAnsi="Arial" w:cs="Arial"/>
          <w:b/>
          <w:bCs/>
          <w:color w:val="000000"/>
          <w:sz w:val="20"/>
          <w:szCs w:val="20"/>
        </w:rPr>
        <w:t>AND RESULTS OF OPERATIONS</w:t>
      </w:r>
    </w:p>
    <w:p w14:paraId="5EA20652" w14:textId="77777777" w:rsidR="003C66EB" w:rsidRDefault="00D96C4E">
      <w:pPr>
        <w:spacing w:before="60"/>
        <w:jc w:val="both"/>
        <w:textAlignment w:val="top"/>
      </w:pPr>
      <w:r>
        <w:rPr>
          <w:rFonts w:ascii="Arial" w:eastAsia="宋体" w:hAnsi="Arial" w:cs="Arial"/>
          <w:color w:val="000000"/>
          <w:sz w:val="20"/>
          <w:szCs w:val="20"/>
        </w:rPr>
        <w:t xml:space="preserve">See also “Information Technology Risk Management” below. </w:t>
      </w:r>
    </w:p>
    <w:p w14:paraId="5EA20653"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about our operational risk f</w:t>
      </w:r>
      <w:r>
        <w:rPr>
          <w:rFonts w:ascii="Arial" w:eastAsia="宋体" w:hAnsi="Arial" w:cs="Arial"/>
          <w:color w:val="000000"/>
          <w:sz w:val="20"/>
          <w:szCs w:val="20"/>
        </w:rPr>
        <w:t>ramework, refer to pages 100 to 103 included under Item 7, Management's Discussion and Analysis of Financial Condition and Results of Operations, "Operational Risk Management", in our 2020 Form 10-K.</w:t>
      </w:r>
    </w:p>
    <w:p w14:paraId="5EA20654" w14:textId="77777777" w:rsidR="003C66EB" w:rsidRDefault="00D96C4E">
      <w:pPr>
        <w:spacing w:before="90"/>
        <w:textAlignment w:val="top"/>
      </w:pPr>
      <w:r>
        <w:rPr>
          <w:rFonts w:ascii="Arial" w:eastAsia="宋体" w:hAnsi="Arial" w:cs="Arial"/>
          <w:b/>
          <w:bCs/>
          <w:color w:val="000000"/>
          <w:sz w:val="20"/>
          <w:szCs w:val="20"/>
        </w:rPr>
        <w:t>Information Technology Risk Management</w:t>
      </w:r>
    </w:p>
    <w:p w14:paraId="5EA20655" w14:textId="77777777" w:rsidR="003C66EB" w:rsidRDefault="00D96C4E">
      <w:pPr>
        <w:spacing w:before="60"/>
        <w:ind w:firstLine="450"/>
        <w:jc w:val="both"/>
        <w:textAlignment w:val="top"/>
      </w:pPr>
      <w:r>
        <w:rPr>
          <w:rFonts w:ascii="Arial" w:eastAsia="宋体" w:hAnsi="Arial" w:cs="Arial"/>
          <w:color w:val="000000"/>
          <w:sz w:val="20"/>
          <w:szCs w:val="20"/>
        </w:rPr>
        <w:t>We define informa</w:t>
      </w:r>
      <w:r>
        <w:rPr>
          <w:rFonts w:ascii="Arial" w:eastAsia="宋体" w:hAnsi="Arial" w:cs="Arial"/>
          <w:color w:val="000000"/>
          <w:sz w:val="20"/>
          <w:szCs w:val="20"/>
        </w:rPr>
        <w:t>tion technology risk as the risk associated with the use, ownership, operation, involvement, influence and adoption of information technology. Information technology risk includes risks triggered by technology non-compliance with regulatory obligations, in</w:t>
      </w:r>
      <w:r>
        <w:rPr>
          <w:rFonts w:ascii="Arial" w:eastAsia="宋体" w:hAnsi="Arial" w:cs="Arial"/>
          <w:color w:val="000000"/>
          <w:sz w:val="20"/>
          <w:szCs w:val="20"/>
        </w:rPr>
        <w:t>formation security and privacy incidents, business disruption, technology internal control and process gaps, technology operational events and adoption of new business technologies.</w:t>
      </w:r>
    </w:p>
    <w:p w14:paraId="5EA20656"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about our information technology risk framework</w:t>
      </w:r>
      <w:r>
        <w:rPr>
          <w:rFonts w:ascii="Arial" w:eastAsia="宋体" w:hAnsi="Arial" w:cs="Arial"/>
          <w:color w:val="000000"/>
          <w:sz w:val="20"/>
          <w:szCs w:val="20"/>
        </w:rPr>
        <w:t>, refer to pages 103 to 104 included under Item 7, Management's Discussion and Analysis of Financial Condition and Results of Operations, "Information Technology Risk Management" in our 2020 Form 10-K.</w:t>
      </w:r>
    </w:p>
    <w:p w14:paraId="5EA20657" w14:textId="77777777" w:rsidR="003C66EB" w:rsidRDefault="00D96C4E">
      <w:pPr>
        <w:spacing w:before="90"/>
        <w:jc w:val="both"/>
        <w:textAlignment w:val="top"/>
      </w:pPr>
      <w:r>
        <w:rPr>
          <w:rFonts w:ascii="Arial" w:eastAsia="宋体" w:hAnsi="Arial" w:cs="Arial"/>
          <w:b/>
          <w:bCs/>
          <w:color w:val="000000"/>
          <w:sz w:val="20"/>
          <w:szCs w:val="20"/>
        </w:rPr>
        <w:t>Market Risk Management</w:t>
      </w:r>
    </w:p>
    <w:p w14:paraId="5EA20658" w14:textId="77777777" w:rsidR="003C66EB" w:rsidRDefault="00D96C4E">
      <w:pPr>
        <w:spacing w:before="60"/>
        <w:ind w:firstLine="450"/>
        <w:jc w:val="both"/>
        <w:textAlignment w:val="top"/>
      </w:pPr>
      <w:r>
        <w:rPr>
          <w:rFonts w:ascii="Arial" w:eastAsia="宋体" w:hAnsi="Arial" w:cs="Arial"/>
          <w:color w:val="000000"/>
          <w:sz w:val="20"/>
          <w:szCs w:val="20"/>
        </w:rPr>
        <w:t xml:space="preserve">Market risk is defined by U.S. </w:t>
      </w:r>
      <w:r>
        <w:rPr>
          <w:rFonts w:ascii="Arial" w:eastAsia="宋体" w:hAnsi="Arial" w:cs="Arial"/>
          <w:color w:val="000000"/>
          <w:sz w:val="20"/>
          <w:szCs w:val="20"/>
        </w:rPr>
        <w:t xml:space="preserve">banking regulators as the risk of loss that could result from broad market movements, such as changes in the general level of interest rates, credit spreads, foreign exchange rates or commodity prices. We are exposed to market risk in both our trading and </w:t>
      </w:r>
      <w:r>
        <w:rPr>
          <w:rFonts w:ascii="Arial" w:eastAsia="宋体" w:hAnsi="Arial" w:cs="Arial"/>
          <w:color w:val="000000"/>
          <w:sz w:val="20"/>
          <w:szCs w:val="20"/>
        </w:rPr>
        <w:t xml:space="preserve">certain of our non-trading, or asset-and-liability management, activities. </w:t>
      </w:r>
    </w:p>
    <w:p w14:paraId="5EA20659" w14:textId="77777777" w:rsidR="003C66EB" w:rsidRDefault="00D96C4E">
      <w:pPr>
        <w:spacing w:before="60"/>
        <w:ind w:firstLine="450"/>
        <w:jc w:val="both"/>
        <w:textAlignment w:val="top"/>
      </w:pPr>
      <w:r>
        <w:rPr>
          <w:rFonts w:ascii="Arial" w:eastAsia="宋体" w:hAnsi="Arial" w:cs="Arial"/>
          <w:color w:val="000000"/>
          <w:sz w:val="20"/>
          <w:szCs w:val="20"/>
        </w:rPr>
        <w:t>Information about the market risk associated with our trading activities is provided below under “Trading Activities.” Information about the market risk associated with our non-tra</w:t>
      </w:r>
      <w:r>
        <w:rPr>
          <w:rFonts w:ascii="Arial" w:eastAsia="宋体" w:hAnsi="Arial" w:cs="Arial"/>
          <w:color w:val="000000"/>
          <w:sz w:val="20"/>
          <w:szCs w:val="20"/>
        </w:rPr>
        <w:t>ding activities, which consists primarily of interest rate risk, is provided below under “Asset-and-Liability Management Activities.”</w:t>
      </w:r>
    </w:p>
    <w:p w14:paraId="5EA2065A" w14:textId="77777777" w:rsidR="003C66EB" w:rsidRDefault="00D96C4E">
      <w:pPr>
        <w:spacing w:before="60"/>
        <w:jc w:val="both"/>
        <w:textAlignment w:val="top"/>
      </w:pPr>
      <w:r>
        <w:rPr>
          <w:rFonts w:ascii="Arial" w:eastAsia="宋体" w:hAnsi="Arial" w:cs="Arial"/>
          <w:b/>
          <w:bCs/>
          <w:i/>
          <w:iCs/>
          <w:color w:val="000000"/>
          <w:sz w:val="20"/>
          <w:szCs w:val="20"/>
        </w:rPr>
        <w:t>Trading Activities</w:t>
      </w:r>
    </w:p>
    <w:p w14:paraId="5EA2065B" w14:textId="77777777" w:rsidR="003C66EB" w:rsidRDefault="00D96C4E">
      <w:pPr>
        <w:spacing w:before="60"/>
        <w:ind w:firstLine="450"/>
        <w:jc w:val="both"/>
        <w:textAlignment w:val="top"/>
      </w:pPr>
      <w:r>
        <w:rPr>
          <w:rFonts w:ascii="Arial" w:eastAsia="宋体" w:hAnsi="Arial" w:cs="Arial"/>
          <w:color w:val="000000"/>
          <w:sz w:val="20"/>
          <w:szCs w:val="20"/>
        </w:rPr>
        <w:t>In the conduct of our trading activities, we assume market risk, the level of which is a function of ou</w:t>
      </w:r>
      <w:r>
        <w:rPr>
          <w:rFonts w:ascii="Arial" w:eastAsia="宋体" w:hAnsi="Arial" w:cs="Arial"/>
          <w:color w:val="000000"/>
          <w:sz w:val="20"/>
          <w:szCs w:val="20"/>
        </w:rPr>
        <w:t xml:space="preserve">r overall risk appetite, business objectives and liquidity needs, our clients' requirements and market volatility and our execution against those factors. </w:t>
      </w:r>
    </w:p>
    <w:p w14:paraId="5EA2065C" w14:textId="77777777" w:rsidR="003C66EB" w:rsidRDefault="00D96C4E">
      <w:pPr>
        <w:spacing w:before="20"/>
        <w:ind w:firstLine="450"/>
        <w:jc w:val="both"/>
        <w:textAlignment w:val="top"/>
      </w:pPr>
      <w:r>
        <w:rPr>
          <w:rFonts w:ascii="Arial" w:eastAsia="宋体" w:hAnsi="Arial" w:cs="Arial"/>
          <w:color w:val="000000"/>
          <w:sz w:val="20"/>
          <w:szCs w:val="20"/>
        </w:rPr>
        <w:t xml:space="preserve">For additional information about the market risk associated with our trading activities, refer to </w:t>
      </w:r>
      <w:r>
        <w:rPr>
          <w:rFonts w:ascii="Arial" w:eastAsia="宋体" w:hAnsi="Arial" w:cs="Arial"/>
          <w:color w:val="000000"/>
          <w:sz w:val="20"/>
          <w:szCs w:val="20"/>
        </w:rPr>
        <w:t>pages 104 to 105 included under Item 7, Management's Discussion and Analysis of Financial Condition and Results of Operations, "Market Risk Management" in our 2020 Form 10-K.</w:t>
      </w:r>
    </w:p>
    <w:p w14:paraId="5EA2065D" w14:textId="77777777" w:rsidR="003C66EB" w:rsidRDefault="00D96C4E">
      <w:pPr>
        <w:spacing w:before="60"/>
        <w:ind w:firstLine="450"/>
        <w:jc w:val="both"/>
        <w:textAlignment w:val="top"/>
      </w:pPr>
      <w:r>
        <w:rPr>
          <w:rFonts w:ascii="Arial" w:eastAsia="宋体" w:hAnsi="Arial" w:cs="Arial"/>
          <w:color w:val="000000"/>
          <w:sz w:val="20"/>
          <w:szCs w:val="20"/>
        </w:rPr>
        <w:t>As part of our trading activities, we assume positions in the foreign exchange an</w:t>
      </w:r>
      <w:r>
        <w:rPr>
          <w:rFonts w:ascii="Arial" w:eastAsia="宋体" w:hAnsi="Arial" w:cs="Arial"/>
          <w:color w:val="000000"/>
          <w:sz w:val="20"/>
          <w:szCs w:val="20"/>
        </w:rPr>
        <w:t xml:space="preserve">d interest rate markets by buying and selling cash instruments and </w:t>
      </w:r>
    </w:p>
    <w:p w14:paraId="5EA2065E" w14:textId="77777777" w:rsidR="003C66EB" w:rsidRDefault="00D96C4E">
      <w:pPr>
        <w:spacing w:before="60"/>
        <w:jc w:val="both"/>
        <w:textAlignment w:val="top"/>
      </w:pPr>
      <w:r>
        <w:rPr>
          <w:rFonts w:ascii="Arial" w:eastAsia="宋体" w:hAnsi="Arial" w:cs="Arial"/>
          <w:color w:val="000000"/>
          <w:sz w:val="20"/>
          <w:szCs w:val="20"/>
        </w:rPr>
        <w:t xml:space="preserve">entering into derivative instruments, including foreign exchange forward contracts, foreign exchange and interest rate options and interest rate swaps, interest rate forward contracts and </w:t>
      </w:r>
      <w:r>
        <w:rPr>
          <w:rFonts w:ascii="Arial" w:eastAsia="宋体" w:hAnsi="Arial" w:cs="Arial"/>
          <w:color w:val="000000"/>
          <w:sz w:val="20"/>
          <w:szCs w:val="20"/>
        </w:rPr>
        <w:t>interest rate futures. As of March 31, 2021, the notional amount of these derivative contracts was $2.76 trillion, of which $2.74 trillion was composed of foreign exchange forward, swap and spot contracts. We seek to match positions closely with the object</w:t>
      </w:r>
      <w:r>
        <w:rPr>
          <w:rFonts w:ascii="Arial" w:eastAsia="宋体" w:hAnsi="Arial" w:cs="Arial"/>
          <w:color w:val="000000"/>
          <w:sz w:val="20"/>
          <w:szCs w:val="20"/>
        </w:rPr>
        <w:t xml:space="preserve">ive of mitigating related currency and interest rate risk. All foreign exchange contracts are valued daily at current market rates. </w:t>
      </w:r>
    </w:p>
    <w:p w14:paraId="5EA2065F" w14:textId="77777777" w:rsidR="003C66EB" w:rsidRDefault="00D96C4E">
      <w:pPr>
        <w:spacing w:before="60"/>
        <w:jc w:val="both"/>
        <w:textAlignment w:val="top"/>
      </w:pPr>
      <w:r>
        <w:rPr>
          <w:rFonts w:ascii="Arial" w:eastAsia="宋体" w:hAnsi="Arial" w:cs="Arial"/>
          <w:b/>
          <w:bCs/>
          <w:i/>
          <w:iCs/>
          <w:color w:val="000000"/>
          <w:sz w:val="20"/>
          <w:szCs w:val="20"/>
        </w:rPr>
        <w:t>Value-at-Risk and Stressed VaR</w:t>
      </w:r>
    </w:p>
    <w:p w14:paraId="5EA20660" w14:textId="77777777" w:rsidR="003C66EB" w:rsidRDefault="00D96C4E">
      <w:pPr>
        <w:spacing w:before="60"/>
        <w:ind w:firstLine="450"/>
        <w:jc w:val="both"/>
        <w:textAlignment w:val="top"/>
      </w:pPr>
      <w:r>
        <w:rPr>
          <w:rFonts w:ascii="Arial" w:eastAsia="宋体" w:hAnsi="Arial" w:cs="Arial"/>
          <w:color w:val="000000"/>
          <w:sz w:val="20"/>
          <w:szCs w:val="20"/>
        </w:rPr>
        <w:t>We use a variety of risk measurement tools and methodologies, including VaR, which is an est</w:t>
      </w:r>
      <w:r>
        <w:rPr>
          <w:rFonts w:ascii="Arial" w:eastAsia="宋体" w:hAnsi="Arial" w:cs="Arial"/>
          <w:color w:val="000000"/>
          <w:sz w:val="20"/>
          <w:szCs w:val="20"/>
        </w:rPr>
        <w:t xml:space="preserve">imate of potential loss for a given period within a stated statistical confidence interval. We use a risk measurement methodology to measure trading-related VaR daily. We have adopted standards for measuring trading-related VaR, and we maintain regulatory </w:t>
      </w:r>
      <w:r>
        <w:rPr>
          <w:rFonts w:ascii="Arial" w:eastAsia="宋体" w:hAnsi="Arial" w:cs="Arial"/>
          <w:color w:val="000000"/>
          <w:sz w:val="20"/>
          <w:szCs w:val="20"/>
        </w:rPr>
        <w:t>capital for market risk associated with our trading activities in conformity with currently applicable bank regulatory market risk requirements. Our regulatory VaR-based measure is calculated based on historical volatilities of market risk factors during a</w:t>
      </w:r>
      <w:r>
        <w:rPr>
          <w:rFonts w:ascii="Arial" w:eastAsia="宋体" w:hAnsi="Arial" w:cs="Arial"/>
          <w:color w:val="000000"/>
          <w:sz w:val="20"/>
          <w:szCs w:val="20"/>
        </w:rPr>
        <w:t xml:space="preserve"> two-year observation period calibrated to a one-tail, 99% confidence interval and a ten-business-day holding period.</w:t>
      </w:r>
    </w:p>
    <w:p w14:paraId="5EA20661" w14:textId="77777777" w:rsidR="003C66EB" w:rsidRDefault="00D96C4E">
      <w:pPr>
        <w:spacing w:before="60"/>
        <w:ind w:firstLine="450"/>
        <w:jc w:val="both"/>
        <w:textAlignment w:val="top"/>
      </w:pPr>
      <w:r>
        <w:rPr>
          <w:rFonts w:ascii="Arial" w:eastAsia="宋体" w:hAnsi="Arial" w:cs="Arial"/>
          <w:color w:val="000000"/>
          <w:sz w:val="20"/>
          <w:szCs w:val="20"/>
        </w:rPr>
        <w:t>We calculate a stressed VaR-based measure using the same model we use to calculate VaR, but with model inputs calibrated to historical dat</w:t>
      </w:r>
      <w:r>
        <w:rPr>
          <w:rFonts w:ascii="Arial" w:eastAsia="宋体" w:hAnsi="Arial" w:cs="Arial"/>
          <w:color w:val="000000"/>
          <w:sz w:val="20"/>
          <w:szCs w:val="20"/>
        </w:rPr>
        <w:t>a from a range of continuous twelve-month periods that reflect significant financial stress. The stressed VaR model is designed to identify the second-worst outcome occurring in the worst continuous one-year rolling period since July 2007. This stressed Va</w:t>
      </w:r>
      <w:r>
        <w:rPr>
          <w:rFonts w:ascii="Arial" w:eastAsia="宋体" w:hAnsi="Arial" w:cs="Arial"/>
          <w:color w:val="000000"/>
          <w:sz w:val="20"/>
          <w:szCs w:val="20"/>
        </w:rPr>
        <w:t>R meets the regulatory requirement as the rolling ten-day period with an outcome that is worse than 99% of other outcomes during that twelve-month period of financial stress. For each portfolio, the stress period is determined algorithmically by seeking th</w:t>
      </w:r>
      <w:r>
        <w:rPr>
          <w:rFonts w:ascii="Arial" w:eastAsia="宋体" w:hAnsi="Arial" w:cs="Arial"/>
          <w:color w:val="000000"/>
          <w:sz w:val="20"/>
          <w:szCs w:val="20"/>
        </w:rPr>
        <w:t xml:space="preserve">e one-year time horizon that produces the largest ten-business-day VaR from within the available historical data. This historical data set includes the financial crisis of 2008, the highly volatile period surrounding the Eurozone sovereign debt crisis and </w:t>
      </w:r>
      <w:r>
        <w:rPr>
          <w:rFonts w:ascii="Arial" w:eastAsia="宋体" w:hAnsi="Arial" w:cs="Arial"/>
          <w:color w:val="000000"/>
          <w:sz w:val="20"/>
          <w:szCs w:val="20"/>
        </w:rPr>
        <w:t xml:space="preserve">the Standard &amp; Poor's downgrade of U.S. Treasury debt in August 2011. As the historical data set used to determine the stress period expands over time, future market stress events will be incorporated. </w:t>
      </w:r>
    </w:p>
    <w:p w14:paraId="5EA20662" w14:textId="77777777" w:rsidR="003C66EB" w:rsidRDefault="00D96C4E">
      <w:pPr>
        <w:spacing w:before="60"/>
        <w:ind w:firstLine="450"/>
        <w:jc w:val="both"/>
        <w:textAlignment w:val="top"/>
      </w:pPr>
      <w:r>
        <w:rPr>
          <w:rFonts w:ascii="Arial" w:eastAsia="宋体" w:hAnsi="Arial" w:cs="Arial"/>
          <w:color w:val="000000"/>
          <w:sz w:val="20"/>
          <w:szCs w:val="20"/>
        </w:rPr>
        <w:t xml:space="preserve">For additional information about our VaR measurement </w:t>
      </w:r>
      <w:r>
        <w:rPr>
          <w:rFonts w:ascii="Arial" w:eastAsia="宋体" w:hAnsi="Arial" w:cs="Arial"/>
          <w:color w:val="000000"/>
          <w:sz w:val="20"/>
          <w:szCs w:val="20"/>
        </w:rPr>
        <w:t>tools and methodologies, refer to pages 107 to 110 included under Item 7, Management's Discussion and Analysis of Financial Condition and Results of Operations,"Value-at-Risk and Stressed VaR" in our 2020 Form 10-K.</w:t>
      </w:r>
    </w:p>
    <w:p w14:paraId="5EA20663" w14:textId="77777777" w:rsidR="003C66EB" w:rsidRDefault="00D96C4E">
      <w:pPr>
        <w:ind w:firstLine="450"/>
        <w:jc w:val="right"/>
      </w:pPr>
      <w:r>
        <w:rPr>
          <w:rFonts w:ascii="Arial" w:eastAsia="宋体" w:hAnsi="Arial" w:cs="Arial"/>
          <w:color w:val="000000"/>
          <w:sz w:val="18"/>
          <w:szCs w:val="18"/>
        </w:rPr>
        <w:t>State Street Corporation | 33</w:t>
      </w:r>
    </w:p>
    <w:p w14:paraId="5EA20664" w14:textId="77777777" w:rsidR="003C66EB" w:rsidRDefault="003C66EB">
      <w:pPr>
        <w:ind w:firstLine="450"/>
        <w:jc w:val="center"/>
      </w:pPr>
    </w:p>
    <w:p w14:paraId="5EA20665" w14:textId="77777777" w:rsidR="003C66EB" w:rsidRDefault="00D96C4E">
      <w:r>
        <w:pict w14:anchorId="5EA287D1">
          <v:rect id="_x0000_i1057" style="width:415.3pt;height:1.5pt" o:hralign="center" o:hrstd="t" o:hr="t" fillcolor="#a0a0a0" stroked="f"/>
        </w:pict>
      </w:r>
    </w:p>
    <w:p w14:paraId="5EA20666" w14:textId="77777777" w:rsidR="003C66EB" w:rsidRDefault="00D96C4E">
      <w:pPr>
        <w:ind w:firstLine="450"/>
        <w:jc w:val="center"/>
      </w:pPr>
      <w:r>
        <w:rPr>
          <w:rFonts w:ascii="Arial" w:eastAsia="宋体" w:hAnsi="Arial" w:cs="Arial"/>
          <w:b/>
          <w:bCs/>
          <w:color w:val="000000"/>
          <w:sz w:val="20"/>
          <w:szCs w:val="20"/>
        </w:rPr>
        <w:t>MANAGEM</w:t>
      </w:r>
      <w:r>
        <w:rPr>
          <w:rFonts w:ascii="Arial" w:eastAsia="宋体" w:hAnsi="Arial" w:cs="Arial"/>
          <w:b/>
          <w:bCs/>
          <w:color w:val="000000"/>
          <w:sz w:val="20"/>
          <w:szCs w:val="20"/>
        </w:rPr>
        <w:t>ENT’S DISCUSSION AND ANALYSIS OF FINANCIAL CONDITION</w:t>
      </w:r>
    </w:p>
    <w:p w14:paraId="5EA20667" w14:textId="77777777" w:rsidR="003C66EB" w:rsidRDefault="00D96C4E">
      <w:pPr>
        <w:ind w:firstLine="450"/>
        <w:jc w:val="center"/>
      </w:pPr>
      <w:r>
        <w:rPr>
          <w:rFonts w:ascii="Arial" w:eastAsia="宋体" w:hAnsi="Arial" w:cs="Arial"/>
          <w:b/>
          <w:bCs/>
          <w:color w:val="000000"/>
          <w:sz w:val="20"/>
          <w:szCs w:val="20"/>
        </w:rPr>
        <w:t>AND RESULTS OF OPERATIONS</w:t>
      </w:r>
    </w:p>
    <w:p w14:paraId="5EA20668" w14:textId="77777777" w:rsidR="003C66EB" w:rsidRDefault="00D96C4E">
      <w:pPr>
        <w:spacing w:before="60"/>
        <w:jc w:val="both"/>
        <w:textAlignment w:val="top"/>
      </w:pPr>
      <w:r>
        <w:rPr>
          <w:rFonts w:ascii="Arial" w:eastAsia="宋体" w:hAnsi="Arial" w:cs="Arial"/>
          <w:i/>
          <w:iCs/>
          <w:color w:val="000000"/>
          <w:sz w:val="20"/>
          <w:szCs w:val="20"/>
        </w:rPr>
        <w:t>Stress Testing</w:t>
      </w:r>
    </w:p>
    <w:p w14:paraId="5EA20669" w14:textId="77777777" w:rsidR="003C66EB" w:rsidRDefault="00D96C4E">
      <w:pPr>
        <w:spacing w:before="60"/>
        <w:ind w:firstLine="450"/>
        <w:jc w:val="both"/>
        <w:textAlignment w:val="top"/>
      </w:pPr>
      <w:r>
        <w:rPr>
          <w:rFonts w:ascii="Arial" w:eastAsia="宋体" w:hAnsi="Arial" w:cs="Arial"/>
          <w:color w:val="000000"/>
          <w:sz w:val="20"/>
          <w:szCs w:val="20"/>
        </w:rPr>
        <w:t xml:space="preserve">We have a corporate-wide stress testing program in place that incorporates an array of techniques to measure the potential loss we could suffer in a hypothetical scenario of adverse economic and financial conditions. We also monitor concentrations of risk </w:t>
      </w:r>
      <w:r>
        <w:rPr>
          <w:rFonts w:ascii="Arial" w:eastAsia="宋体" w:hAnsi="Arial" w:cs="Arial"/>
          <w:color w:val="000000"/>
          <w:sz w:val="20"/>
          <w:szCs w:val="20"/>
        </w:rPr>
        <w:t>such as concentration by branch, risk component, and currency pairs. We conduct stress testing on a daily basis based on selected historical stress events that are relevant to our positions in order to estimate the potential impact to our current portfolio</w:t>
      </w:r>
      <w:r>
        <w:rPr>
          <w:rFonts w:ascii="Arial" w:eastAsia="宋体" w:hAnsi="Arial" w:cs="Arial"/>
          <w:color w:val="000000"/>
          <w:sz w:val="20"/>
          <w:szCs w:val="20"/>
        </w:rPr>
        <w:t xml:space="preserve"> should similar market conditions recur, and we also perform stress testing as part of the Federal Reserve's CCAR process. Stress testing is conducted, analyzed and reported at the corporate, trading desk, division and risk-factor level (for example, excha</w:t>
      </w:r>
      <w:r>
        <w:rPr>
          <w:rFonts w:ascii="Arial" w:eastAsia="宋体" w:hAnsi="Arial" w:cs="Arial"/>
          <w:color w:val="000000"/>
          <w:sz w:val="20"/>
          <w:szCs w:val="20"/>
        </w:rPr>
        <w:t xml:space="preserve">nge risk, interest rate risk and volatility risk). </w:t>
      </w:r>
    </w:p>
    <w:p w14:paraId="5EA2066A" w14:textId="77777777" w:rsidR="003C66EB" w:rsidRDefault="00D96C4E">
      <w:pPr>
        <w:spacing w:before="60"/>
        <w:ind w:firstLine="450"/>
        <w:jc w:val="both"/>
        <w:textAlignment w:val="top"/>
      </w:pPr>
      <w:r>
        <w:rPr>
          <w:rFonts w:ascii="Arial" w:eastAsia="宋体" w:hAnsi="Arial" w:cs="Arial"/>
          <w:color w:val="000000"/>
          <w:sz w:val="20"/>
          <w:szCs w:val="20"/>
        </w:rPr>
        <w:t>Stress testing results and limits are actively monitored on a daily basis by ERM and reported to the TMRC. Limit breaches are addressed by ERM risk managers in conjunction with the business units, escalat</w:t>
      </w:r>
      <w:r>
        <w:rPr>
          <w:rFonts w:ascii="Arial" w:eastAsia="宋体" w:hAnsi="Arial" w:cs="Arial"/>
          <w:color w:val="000000"/>
          <w:sz w:val="20"/>
          <w:szCs w:val="20"/>
        </w:rPr>
        <w:t>ed as appropriate, and reviewed by the TMRC if material. In addition, we have established several action triggers that prompt review by management and the implementation of a remediation plan.</w:t>
      </w:r>
    </w:p>
    <w:p w14:paraId="5EA2066B" w14:textId="77777777" w:rsidR="003C66EB" w:rsidRDefault="00D96C4E">
      <w:pPr>
        <w:spacing w:before="60"/>
        <w:jc w:val="both"/>
        <w:textAlignment w:val="top"/>
      </w:pPr>
      <w:r>
        <w:rPr>
          <w:rFonts w:ascii="Arial" w:eastAsia="宋体" w:hAnsi="Arial" w:cs="Arial"/>
          <w:b/>
          <w:bCs/>
          <w:i/>
          <w:iCs/>
          <w:color w:val="000000"/>
          <w:sz w:val="20"/>
          <w:szCs w:val="20"/>
        </w:rPr>
        <w:t>Validation and Back-Testing</w:t>
      </w:r>
    </w:p>
    <w:p w14:paraId="5EA2066C" w14:textId="77777777" w:rsidR="003C66EB" w:rsidRDefault="00D96C4E">
      <w:pPr>
        <w:spacing w:before="60"/>
        <w:ind w:firstLine="450"/>
        <w:jc w:val="both"/>
        <w:textAlignment w:val="top"/>
      </w:pPr>
      <w:r>
        <w:rPr>
          <w:rFonts w:ascii="Arial" w:eastAsia="宋体" w:hAnsi="Arial" w:cs="Arial"/>
          <w:color w:val="000000"/>
          <w:sz w:val="20"/>
          <w:szCs w:val="20"/>
        </w:rPr>
        <w:t>We perform frequent back-testing to</w:t>
      </w:r>
      <w:r>
        <w:rPr>
          <w:rFonts w:ascii="Arial" w:eastAsia="宋体" w:hAnsi="Arial" w:cs="Arial"/>
          <w:color w:val="000000"/>
          <w:sz w:val="20"/>
          <w:szCs w:val="20"/>
        </w:rPr>
        <w:t xml:space="preserve"> assess the accuracy of our VaR-based model in estimating loss at the stated confidence level. This back-testing involves the comparison of estimated VaR model outputs to daily, actual profit-and-loss (P&amp;L) </w:t>
      </w:r>
    </w:p>
    <w:p w14:paraId="5EA2066D" w14:textId="77777777" w:rsidR="003C66EB" w:rsidRDefault="00D96C4E">
      <w:pPr>
        <w:spacing w:before="60"/>
        <w:jc w:val="both"/>
        <w:textAlignment w:val="top"/>
      </w:pPr>
      <w:r>
        <w:rPr>
          <w:rFonts w:ascii="Arial" w:eastAsia="宋体" w:hAnsi="Arial" w:cs="Arial"/>
          <w:color w:val="000000"/>
          <w:sz w:val="20"/>
          <w:szCs w:val="20"/>
        </w:rPr>
        <w:t>outcomes observed from daily market movements. W</w:t>
      </w:r>
      <w:r>
        <w:rPr>
          <w:rFonts w:ascii="Arial" w:eastAsia="宋体" w:hAnsi="Arial" w:cs="Arial"/>
          <w:color w:val="000000"/>
          <w:sz w:val="20"/>
          <w:szCs w:val="20"/>
        </w:rPr>
        <w:t xml:space="preserve">e back-test our VaR model using “clean” P&amp;L, which excludes non-trading revenue such as fees, commissions and NII, as well as estimated revenue from intra-day trading. </w:t>
      </w:r>
    </w:p>
    <w:p w14:paraId="5EA2066E" w14:textId="77777777" w:rsidR="003C66EB" w:rsidRDefault="00D96C4E">
      <w:pPr>
        <w:spacing w:before="60"/>
        <w:ind w:firstLine="450"/>
        <w:jc w:val="both"/>
        <w:textAlignment w:val="top"/>
      </w:pPr>
      <w:r>
        <w:rPr>
          <w:rFonts w:ascii="Arial" w:eastAsia="宋体" w:hAnsi="Arial" w:cs="Arial"/>
          <w:color w:val="000000"/>
          <w:sz w:val="20"/>
          <w:szCs w:val="20"/>
        </w:rPr>
        <w:t xml:space="preserve">Our VaR definition of trading losses excludes items that are not specific to the price </w:t>
      </w:r>
      <w:r>
        <w:rPr>
          <w:rFonts w:ascii="Arial" w:eastAsia="宋体" w:hAnsi="Arial" w:cs="Arial"/>
          <w:color w:val="000000"/>
          <w:sz w:val="20"/>
          <w:szCs w:val="20"/>
        </w:rPr>
        <w:t>movement of the trading assets and liabilities themselves, such as fees, commissions, changes to reserves and gains or losses from intra-day activity.</w:t>
      </w:r>
    </w:p>
    <w:p w14:paraId="5EA2066F" w14:textId="77777777" w:rsidR="003C66EB" w:rsidRDefault="00D96C4E">
      <w:pPr>
        <w:spacing w:before="60"/>
        <w:ind w:firstLine="450"/>
        <w:jc w:val="both"/>
        <w:textAlignment w:val="top"/>
      </w:pPr>
      <w:r>
        <w:rPr>
          <w:rFonts w:ascii="Arial" w:eastAsia="宋体" w:hAnsi="Arial" w:cs="Arial"/>
          <w:color w:val="000000"/>
          <w:sz w:val="20"/>
          <w:szCs w:val="20"/>
        </w:rPr>
        <w:t>We experienced no back-testing exceptions in the quarter ended March 31, 2021, no back-testing exceptions</w:t>
      </w:r>
      <w:r>
        <w:rPr>
          <w:rFonts w:ascii="Arial" w:eastAsia="宋体" w:hAnsi="Arial" w:cs="Arial"/>
          <w:color w:val="000000"/>
          <w:sz w:val="20"/>
          <w:szCs w:val="20"/>
        </w:rPr>
        <w:t xml:space="preserve"> in the quarter ended December 31, 2020 and four back-testing exceptions in the quarter ended March 31, 2020. At a 99% confidence interval, the statistical expectation for a VaR model is to witness one exception every hundred trading days (or two to three </w:t>
      </w:r>
      <w:r>
        <w:rPr>
          <w:rFonts w:ascii="Arial" w:eastAsia="宋体" w:hAnsi="Arial" w:cs="Arial"/>
          <w:color w:val="000000"/>
          <w:sz w:val="20"/>
          <w:szCs w:val="20"/>
        </w:rPr>
        <w:t xml:space="preserve">exceptions per year). The 2020 back-testing exceptions were all noted during the March 2020 market turmoil where some of the largest risk factor shifts since the 2007/2008 financial crisis were observed. </w:t>
      </w:r>
    </w:p>
    <w:p w14:paraId="5EA20670" w14:textId="77777777" w:rsidR="003C66EB" w:rsidRDefault="00D96C4E">
      <w:pPr>
        <w:spacing w:before="60"/>
        <w:ind w:firstLine="450"/>
        <w:jc w:val="both"/>
        <w:textAlignment w:val="top"/>
      </w:pPr>
      <w:r>
        <w:rPr>
          <w:rFonts w:ascii="Arial" w:eastAsia="宋体" w:hAnsi="Arial" w:cs="Arial"/>
          <w:color w:val="000000"/>
          <w:sz w:val="20"/>
          <w:szCs w:val="20"/>
        </w:rPr>
        <w:t>The following tables present VaR and stressed VaR a</w:t>
      </w:r>
      <w:r>
        <w:rPr>
          <w:rFonts w:ascii="Arial" w:eastAsia="宋体" w:hAnsi="Arial" w:cs="Arial"/>
          <w:color w:val="000000"/>
          <w:sz w:val="20"/>
          <w:szCs w:val="20"/>
        </w:rPr>
        <w:t>ssociated with our trading activities for covered positions held during the quarters ended March 31, 2021, December 31, 2020 and March 31, 2020, respectively, as measured by our VaR methodology. Diversification effect in the tables below represents the dif</w:t>
      </w:r>
      <w:r>
        <w:rPr>
          <w:rFonts w:ascii="Arial" w:eastAsia="宋体" w:hAnsi="Arial" w:cs="Arial"/>
          <w:color w:val="000000"/>
          <w:sz w:val="20"/>
          <w:szCs w:val="20"/>
        </w:rPr>
        <w:t xml:space="preserve">ference between total VaR and the sum of the VaRs for each trading activity. This effect arises because the risks present in our trading activities are not perfectly correlated. </w:t>
      </w:r>
    </w:p>
    <w:tbl>
      <w:tblPr>
        <w:tblW w:w="5000" w:type="pct"/>
        <w:tblCellMar>
          <w:top w:w="15" w:type="dxa"/>
          <w:left w:w="15" w:type="dxa"/>
          <w:bottom w:w="15" w:type="dxa"/>
          <w:right w:w="15" w:type="dxa"/>
        </w:tblCellMar>
        <w:tblLook w:val="04A0" w:firstRow="1" w:lastRow="0" w:firstColumn="1" w:lastColumn="0" w:noHBand="0" w:noVBand="1"/>
      </w:tblPr>
      <w:tblGrid>
        <w:gridCol w:w="72"/>
        <w:gridCol w:w="1349"/>
        <w:gridCol w:w="37"/>
        <w:gridCol w:w="98"/>
        <w:gridCol w:w="468"/>
        <w:gridCol w:w="36"/>
        <w:gridCol w:w="36"/>
        <w:gridCol w:w="36"/>
        <w:gridCol w:w="36"/>
        <w:gridCol w:w="98"/>
        <w:gridCol w:w="468"/>
        <w:gridCol w:w="36"/>
        <w:gridCol w:w="36"/>
        <w:gridCol w:w="36"/>
        <w:gridCol w:w="36"/>
        <w:gridCol w:w="98"/>
        <w:gridCol w:w="468"/>
        <w:gridCol w:w="36"/>
        <w:gridCol w:w="36"/>
        <w:gridCol w:w="36"/>
        <w:gridCol w:w="36"/>
        <w:gridCol w:w="36"/>
        <w:gridCol w:w="174"/>
        <w:gridCol w:w="98"/>
        <w:gridCol w:w="468"/>
        <w:gridCol w:w="36"/>
        <w:gridCol w:w="36"/>
        <w:gridCol w:w="36"/>
        <w:gridCol w:w="36"/>
        <w:gridCol w:w="98"/>
        <w:gridCol w:w="468"/>
        <w:gridCol w:w="36"/>
        <w:gridCol w:w="36"/>
        <w:gridCol w:w="36"/>
        <w:gridCol w:w="36"/>
        <w:gridCol w:w="98"/>
        <w:gridCol w:w="468"/>
        <w:gridCol w:w="36"/>
        <w:gridCol w:w="36"/>
        <w:gridCol w:w="36"/>
        <w:gridCol w:w="36"/>
        <w:gridCol w:w="83"/>
        <w:gridCol w:w="175"/>
        <w:gridCol w:w="98"/>
        <w:gridCol w:w="468"/>
        <w:gridCol w:w="36"/>
        <w:gridCol w:w="36"/>
        <w:gridCol w:w="36"/>
        <w:gridCol w:w="36"/>
        <w:gridCol w:w="98"/>
        <w:gridCol w:w="468"/>
        <w:gridCol w:w="36"/>
        <w:gridCol w:w="36"/>
        <w:gridCol w:w="36"/>
        <w:gridCol w:w="766"/>
      </w:tblGrid>
      <w:tr w:rsidR="003C66EB" w14:paraId="5EA206A8" w14:textId="77777777">
        <w:tc>
          <w:tcPr>
            <w:tcW w:w="50" w:type="pct"/>
            <w:shd w:val="clear" w:color="auto" w:fill="auto"/>
          </w:tcPr>
          <w:p w14:paraId="5EA20671" w14:textId="77777777" w:rsidR="003C66EB" w:rsidRDefault="003C66EB">
            <w:pPr>
              <w:rPr>
                <w:rFonts w:ascii="宋体"/>
              </w:rPr>
            </w:pPr>
          </w:p>
        </w:tc>
        <w:tc>
          <w:tcPr>
            <w:tcW w:w="624" w:type="pct"/>
            <w:shd w:val="clear" w:color="auto" w:fill="auto"/>
          </w:tcPr>
          <w:p w14:paraId="5EA20672" w14:textId="77777777" w:rsidR="003C66EB" w:rsidRDefault="003C66EB">
            <w:pPr>
              <w:rPr>
                <w:rFonts w:ascii="宋体"/>
              </w:rPr>
            </w:pPr>
          </w:p>
        </w:tc>
        <w:tc>
          <w:tcPr>
            <w:tcW w:w="5" w:type="pct"/>
            <w:shd w:val="clear" w:color="auto" w:fill="auto"/>
          </w:tcPr>
          <w:p w14:paraId="5EA20673" w14:textId="77777777" w:rsidR="003C66EB" w:rsidRDefault="003C66EB">
            <w:pPr>
              <w:rPr>
                <w:rFonts w:ascii="宋体"/>
              </w:rPr>
            </w:pPr>
          </w:p>
        </w:tc>
        <w:tc>
          <w:tcPr>
            <w:tcW w:w="50" w:type="pct"/>
            <w:shd w:val="clear" w:color="auto" w:fill="auto"/>
          </w:tcPr>
          <w:p w14:paraId="5EA20674" w14:textId="77777777" w:rsidR="003C66EB" w:rsidRDefault="003C66EB">
            <w:pPr>
              <w:rPr>
                <w:rFonts w:ascii="宋体"/>
              </w:rPr>
            </w:pPr>
          </w:p>
        </w:tc>
        <w:tc>
          <w:tcPr>
            <w:tcW w:w="237" w:type="pct"/>
            <w:shd w:val="clear" w:color="auto" w:fill="auto"/>
          </w:tcPr>
          <w:p w14:paraId="5EA20675" w14:textId="77777777" w:rsidR="003C66EB" w:rsidRDefault="003C66EB">
            <w:pPr>
              <w:rPr>
                <w:rFonts w:ascii="宋体"/>
              </w:rPr>
            </w:pPr>
          </w:p>
        </w:tc>
        <w:tc>
          <w:tcPr>
            <w:tcW w:w="5" w:type="pct"/>
            <w:shd w:val="clear" w:color="auto" w:fill="auto"/>
          </w:tcPr>
          <w:p w14:paraId="5EA20676" w14:textId="77777777" w:rsidR="003C66EB" w:rsidRDefault="003C66EB">
            <w:pPr>
              <w:rPr>
                <w:rFonts w:ascii="宋体"/>
              </w:rPr>
            </w:pPr>
          </w:p>
        </w:tc>
        <w:tc>
          <w:tcPr>
            <w:tcW w:w="5" w:type="pct"/>
            <w:shd w:val="clear" w:color="auto" w:fill="auto"/>
          </w:tcPr>
          <w:p w14:paraId="5EA20677" w14:textId="77777777" w:rsidR="003C66EB" w:rsidRDefault="003C66EB">
            <w:pPr>
              <w:rPr>
                <w:rFonts w:ascii="宋体"/>
              </w:rPr>
            </w:pPr>
          </w:p>
        </w:tc>
        <w:tc>
          <w:tcPr>
            <w:tcW w:w="19" w:type="pct"/>
            <w:shd w:val="clear" w:color="auto" w:fill="auto"/>
          </w:tcPr>
          <w:p w14:paraId="5EA20678" w14:textId="77777777" w:rsidR="003C66EB" w:rsidRDefault="003C66EB">
            <w:pPr>
              <w:rPr>
                <w:rFonts w:ascii="宋体"/>
              </w:rPr>
            </w:pPr>
          </w:p>
        </w:tc>
        <w:tc>
          <w:tcPr>
            <w:tcW w:w="5" w:type="pct"/>
            <w:shd w:val="clear" w:color="auto" w:fill="auto"/>
          </w:tcPr>
          <w:p w14:paraId="5EA20679" w14:textId="77777777" w:rsidR="003C66EB" w:rsidRDefault="003C66EB">
            <w:pPr>
              <w:rPr>
                <w:rFonts w:ascii="宋体"/>
              </w:rPr>
            </w:pPr>
          </w:p>
        </w:tc>
        <w:tc>
          <w:tcPr>
            <w:tcW w:w="50" w:type="pct"/>
            <w:shd w:val="clear" w:color="auto" w:fill="auto"/>
          </w:tcPr>
          <w:p w14:paraId="5EA2067A" w14:textId="77777777" w:rsidR="003C66EB" w:rsidRDefault="003C66EB">
            <w:pPr>
              <w:rPr>
                <w:rFonts w:ascii="宋体"/>
              </w:rPr>
            </w:pPr>
          </w:p>
        </w:tc>
        <w:tc>
          <w:tcPr>
            <w:tcW w:w="237" w:type="pct"/>
            <w:shd w:val="clear" w:color="auto" w:fill="auto"/>
          </w:tcPr>
          <w:p w14:paraId="5EA2067B" w14:textId="77777777" w:rsidR="003C66EB" w:rsidRDefault="003C66EB">
            <w:pPr>
              <w:rPr>
                <w:rFonts w:ascii="宋体"/>
              </w:rPr>
            </w:pPr>
          </w:p>
        </w:tc>
        <w:tc>
          <w:tcPr>
            <w:tcW w:w="5" w:type="pct"/>
            <w:shd w:val="clear" w:color="auto" w:fill="auto"/>
          </w:tcPr>
          <w:p w14:paraId="5EA2067C" w14:textId="77777777" w:rsidR="003C66EB" w:rsidRDefault="003C66EB">
            <w:pPr>
              <w:rPr>
                <w:rFonts w:ascii="宋体"/>
              </w:rPr>
            </w:pPr>
          </w:p>
        </w:tc>
        <w:tc>
          <w:tcPr>
            <w:tcW w:w="5" w:type="pct"/>
            <w:shd w:val="clear" w:color="auto" w:fill="auto"/>
          </w:tcPr>
          <w:p w14:paraId="5EA2067D" w14:textId="77777777" w:rsidR="003C66EB" w:rsidRDefault="003C66EB">
            <w:pPr>
              <w:rPr>
                <w:rFonts w:ascii="宋体"/>
              </w:rPr>
            </w:pPr>
          </w:p>
        </w:tc>
        <w:tc>
          <w:tcPr>
            <w:tcW w:w="19" w:type="pct"/>
            <w:shd w:val="clear" w:color="auto" w:fill="auto"/>
          </w:tcPr>
          <w:p w14:paraId="5EA2067E" w14:textId="77777777" w:rsidR="003C66EB" w:rsidRDefault="003C66EB">
            <w:pPr>
              <w:rPr>
                <w:rFonts w:ascii="宋体"/>
              </w:rPr>
            </w:pPr>
          </w:p>
        </w:tc>
        <w:tc>
          <w:tcPr>
            <w:tcW w:w="5" w:type="pct"/>
            <w:shd w:val="clear" w:color="auto" w:fill="auto"/>
          </w:tcPr>
          <w:p w14:paraId="5EA2067F" w14:textId="77777777" w:rsidR="003C66EB" w:rsidRDefault="003C66EB">
            <w:pPr>
              <w:rPr>
                <w:rFonts w:ascii="宋体"/>
              </w:rPr>
            </w:pPr>
          </w:p>
        </w:tc>
        <w:tc>
          <w:tcPr>
            <w:tcW w:w="50" w:type="pct"/>
            <w:shd w:val="clear" w:color="auto" w:fill="auto"/>
          </w:tcPr>
          <w:p w14:paraId="5EA20680" w14:textId="77777777" w:rsidR="003C66EB" w:rsidRDefault="003C66EB">
            <w:pPr>
              <w:rPr>
                <w:rFonts w:ascii="宋体"/>
              </w:rPr>
            </w:pPr>
          </w:p>
        </w:tc>
        <w:tc>
          <w:tcPr>
            <w:tcW w:w="237" w:type="pct"/>
            <w:shd w:val="clear" w:color="auto" w:fill="auto"/>
          </w:tcPr>
          <w:p w14:paraId="5EA20681" w14:textId="77777777" w:rsidR="003C66EB" w:rsidRDefault="003C66EB">
            <w:pPr>
              <w:rPr>
                <w:rFonts w:ascii="宋体"/>
              </w:rPr>
            </w:pPr>
          </w:p>
        </w:tc>
        <w:tc>
          <w:tcPr>
            <w:tcW w:w="5" w:type="pct"/>
            <w:shd w:val="clear" w:color="auto" w:fill="auto"/>
          </w:tcPr>
          <w:p w14:paraId="5EA20682" w14:textId="77777777" w:rsidR="003C66EB" w:rsidRDefault="003C66EB">
            <w:pPr>
              <w:rPr>
                <w:rFonts w:ascii="宋体"/>
              </w:rPr>
            </w:pPr>
          </w:p>
        </w:tc>
        <w:tc>
          <w:tcPr>
            <w:tcW w:w="5" w:type="pct"/>
            <w:shd w:val="clear" w:color="auto" w:fill="auto"/>
          </w:tcPr>
          <w:p w14:paraId="5EA20683" w14:textId="77777777" w:rsidR="003C66EB" w:rsidRDefault="003C66EB">
            <w:pPr>
              <w:rPr>
                <w:rFonts w:ascii="宋体"/>
              </w:rPr>
            </w:pPr>
          </w:p>
        </w:tc>
        <w:tc>
          <w:tcPr>
            <w:tcW w:w="19" w:type="pct"/>
            <w:shd w:val="clear" w:color="auto" w:fill="auto"/>
          </w:tcPr>
          <w:p w14:paraId="5EA20684" w14:textId="77777777" w:rsidR="003C66EB" w:rsidRDefault="003C66EB">
            <w:pPr>
              <w:rPr>
                <w:rFonts w:ascii="宋体"/>
              </w:rPr>
            </w:pPr>
          </w:p>
        </w:tc>
        <w:tc>
          <w:tcPr>
            <w:tcW w:w="5" w:type="pct"/>
            <w:shd w:val="clear" w:color="auto" w:fill="auto"/>
          </w:tcPr>
          <w:p w14:paraId="5EA20685" w14:textId="77777777" w:rsidR="003C66EB" w:rsidRDefault="003C66EB">
            <w:pPr>
              <w:rPr>
                <w:rFonts w:ascii="宋体"/>
              </w:rPr>
            </w:pPr>
          </w:p>
        </w:tc>
        <w:tc>
          <w:tcPr>
            <w:tcW w:w="0" w:type="auto"/>
            <w:shd w:val="clear" w:color="auto" w:fill="auto"/>
          </w:tcPr>
          <w:p w14:paraId="5EA20686" w14:textId="77777777" w:rsidR="003C66EB" w:rsidRDefault="003C66EB">
            <w:pPr>
              <w:rPr>
                <w:rFonts w:ascii="宋体"/>
                <w:vanish/>
              </w:rPr>
            </w:pPr>
          </w:p>
        </w:tc>
        <w:tc>
          <w:tcPr>
            <w:tcW w:w="0" w:type="auto"/>
            <w:shd w:val="clear" w:color="auto" w:fill="auto"/>
          </w:tcPr>
          <w:p w14:paraId="5EA20687" w14:textId="77777777" w:rsidR="003C66EB" w:rsidRDefault="003C66EB">
            <w:pPr>
              <w:rPr>
                <w:rFonts w:ascii="宋体"/>
                <w:vanish/>
              </w:rPr>
            </w:pPr>
          </w:p>
        </w:tc>
        <w:tc>
          <w:tcPr>
            <w:tcW w:w="50" w:type="pct"/>
            <w:shd w:val="clear" w:color="auto" w:fill="auto"/>
          </w:tcPr>
          <w:p w14:paraId="5EA20688" w14:textId="77777777" w:rsidR="003C66EB" w:rsidRDefault="003C66EB">
            <w:pPr>
              <w:rPr>
                <w:rFonts w:ascii="宋体"/>
              </w:rPr>
            </w:pPr>
          </w:p>
        </w:tc>
        <w:tc>
          <w:tcPr>
            <w:tcW w:w="237" w:type="pct"/>
            <w:shd w:val="clear" w:color="auto" w:fill="auto"/>
          </w:tcPr>
          <w:p w14:paraId="5EA20689" w14:textId="77777777" w:rsidR="003C66EB" w:rsidRDefault="003C66EB">
            <w:pPr>
              <w:rPr>
                <w:rFonts w:ascii="宋体"/>
              </w:rPr>
            </w:pPr>
          </w:p>
        </w:tc>
        <w:tc>
          <w:tcPr>
            <w:tcW w:w="5" w:type="pct"/>
            <w:shd w:val="clear" w:color="auto" w:fill="auto"/>
          </w:tcPr>
          <w:p w14:paraId="5EA2068A" w14:textId="77777777" w:rsidR="003C66EB" w:rsidRDefault="003C66EB">
            <w:pPr>
              <w:rPr>
                <w:rFonts w:ascii="宋体"/>
              </w:rPr>
            </w:pPr>
          </w:p>
        </w:tc>
        <w:tc>
          <w:tcPr>
            <w:tcW w:w="5" w:type="pct"/>
            <w:shd w:val="clear" w:color="auto" w:fill="auto"/>
          </w:tcPr>
          <w:p w14:paraId="5EA2068B" w14:textId="77777777" w:rsidR="003C66EB" w:rsidRDefault="003C66EB">
            <w:pPr>
              <w:rPr>
                <w:rFonts w:ascii="宋体"/>
              </w:rPr>
            </w:pPr>
          </w:p>
        </w:tc>
        <w:tc>
          <w:tcPr>
            <w:tcW w:w="26" w:type="pct"/>
            <w:shd w:val="clear" w:color="auto" w:fill="auto"/>
          </w:tcPr>
          <w:p w14:paraId="5EA2068C" w14:textId="77777777" w:rsidR="003C66EB" w:rsidRDefault="003C66EB">
            <w:pPr>
              <w:rPr>
                <w:rFonts w:ascii="宋体"/>
              </w:rPr>
            </w:pPr>
          </w:p>
        </w:tc>
        <w:tc>
          <w:tcPr>
            <w:tcW w:w="5" w:type="pct"/>
            <w:shd w:val="clear" w:color="auto" w:fill="auto"/>
          </w:tcPr>
          <w:p w14:paraId="5EA2068D" w14:textId="77777777" w:rsidR="003C66EB" w:rsidRDefault="003C66EB">
            <w:pPr>
              <w:rPr>
                <w:rFonts w:ascii="宋体"/>
              </w:rPr>
            </w:pPr>
          </w:p>
        </w:tc>
        <w:tc>
          <w:tcPr>
            <w:tcW w:w="50" w:type="pct"/>
            <w:shd w:val="clear" w:color="auto" w:fill="auto"/>
          </w:tcPr>
          <w:p w14:paraId="5EA2068E" w14:textId="77777777" w:rsidR="003C66EB" w:rsidRDefault="003C66EB">
            <w:pPr>
              <w:rPr>
                <w:rFonts w:ascii="宋体"/>
              </w:rPr>
            </w:pPr>
          </w:p>
        </w:tc>
        <w:tc>
          <w:tcPr>
            <w:tcW w:w="237" w:type="pct"/>
            <w:shd w:val="clear" w:color="auto" w:fill="auto"/>
          </w:tcPr>
          <w:p w14:paraId="5EA2068F" w14:textId="77777777" w:rsidR="003C66EB" w:rsidRDefault="003C66EB">
            <w:pPr>
              <w:rPr>
                <w:rFonts w:ascii="宋体"/>
              </w:rPr>
            </w:pPr>
          </w:p>
        </w:tc>
        <w:tc>
          <w:tcPr>
            <w:tcW w:w="5" w:type="pct"/>
            <w:shd w:val="clear" w:color="auto" w:fill="auto"/>
          </w:tcPr>
          <w:p w14:paraId="5EA20690" w14:textId="77777777" w:rsidR="003C66EB" w:rsidRDefault="003C66EB">
            <w:pPr>
              <w:rPr>
                <w:rFonts w:ascii="宋体"/>
              </w:rPr>
            </w:pPr>
          </w:p>
        </w:tc>
        <w:tc>
          <w:tcPr>
            <w:tcW w:w="5" w:type="pct"/>
            <w:shd w:val="clear" w:color="auto" w:fill="auto"/>
          </w:tcPr>
          <w:p w14:paraId="5EA20691" w14:textId="77777777" w:rsidR="003C66EB" w:rsidRDefault="003C66EB">
            <w:pPr>
              <w:rPr>
                <w:rFonts w:ascii="宋体"/>
              </w:rPr>
            </w:pPr>
          </w:p>
        </w:tc>
        <w:tc>
          <w:tcPr>
            <w:tcW w:w="26" w:type="pct"/>
            <w:shd w:val="clear" w:color="auto" w:fill="auto"/>
          </w:tcPr>
          <w:p w14:paraId="5EA20692" w14:textId="77777777" w:rsidR="003C66EB" w:rsidRDefault="003C66EB">
            <w:pPr>
              <w:rPr>
                <w:rFonts w:ascii="宋体"/>
              </w:rPr>
            </w:pPr>
          </w:p>
        </w:tc>
        <w:tc>
          <w:tcPr>
            <w:tcW w:w="5" w:type="pct"/>
            <w:shd w:val="clear" w:color="auto" w:fill="auto"/>
          </w:tcPr>
          <w:p w14:paraId="5EA20693" w14:textId="77777777" w:rsidR="003C66EB" w:rsidRDefault="003C66EB">
            <w:pPr>
              <w:rPr>
                <w:rFonts w:ascii="宋体"/>
              </w:rPr>
            </w:pPr>
          </w:p>
        </w:tc>
        <w:tc>
          <w:tcPr>
            <w:tcW w:w="50" w:type="pct"/>
            <w:shd w:val="clear" w:color="auto" w:fill="auto"/>
          </w:tcPr>
          <w:p w14:paraId="5EA20694" w14:textId="77777777" w:rsidR="003C66EB" w:rsidRDefault="003C66EB">
            <w:pPr>
              <w:rPr>
                <w:rFonts w:ascii="宋体"/>
              </w:rPr>
            </w:pPr>
          </w:p>
        </w:tc>
        <w:tc>
          <w:tcPr>
            <w:tcW w:w="237" w:type="pct"/>
            <w:shd w:val="clear" w:color="auto" w:fill="auto"/>
          </w:tcPr>
          <w:p w14:paraId="5EA20695" w14:textId="77777777" w:rsidR="003C66EB" w:rsidRDefault="003C66EB">
            <w:pPr>
              <w:rPr>
                <w:rFonts w:ascii="宋体"/>
              </w:rPr>
            </w:pPr>
          </w:p>
        </w:tc>
        <w:tc>
          <w:tcPr>
            <w:tcW w:w="5" w:type="pct"/>
            <w:shd w:val="clear" w:color="auto" w:fill="auto"/>
          </w:tcPr>
          <w:p w14:paraId="5EA20696" w14:textId="77777777" w:rsidR="003C66EB" w:rsidRDefault="003C66EB">
            <w:pPr>
              <w:rPr>
                <w:rFonts w:ascii="宋体"/>
              </w:rPr>
            </w:pPr>
          </w:p>
        </w:tc>
        <w:tc>
          <w:tcPr>
            <w:tcW w:w="5" w:type="pct"/>
            <w:shd w:val="clear" w:color="auto" w:fill="auto"/>
          </w:tcPr>
          <w:p w14:paraId="5EA20697" w14:textId="77777777" w:rsidR="003C66EB" w:rsidRDefault="003C66EB">
            <w:pPr>
              <w:rPr>
                <w:rFonts w:ascii="宋体"/>
              </w:rPr>
            </w:pPr>
          </w:p>
        </w:tc>
        <w:tc>
          <w:tcPr>
            <w:tcW w:w="26" w:type="pct"/>
            <w:shd w:val="clear" w:color="auto" w:fill="auto"/>
          </w:tcPr>
          <w:p w14:paraId="5EA20698" w14:textId="77777777" w:rsidR="003C66EB" w:rsidRDefault="003C66EB">
            <w:pPr>
              <w:rPr>
                <w:rFonts w:ascii="宋体"/>
              </w:rPr>
            </w:pPr>
          </w:p>
        </w:tc>
        <w:tc>
          <w:tcPr>
            <w:tcW w:w="5" w:type="pct"/>
            <w:shd w:val="clear" w:color="auto" w:fill="auto"/>
          </w:tcPr>
          <w:p w14:paraId="5EA20699" w14:textId="77777777" w:rsidR="003C66EB" w:rsidRDefault="003C66EB">
            <w:pPr>
              <w:rPr>
                <w:rFonts w:ascii="宋体"/>
              </w:rPr>
            </w:pPr>
          </w:p>
        </w:tc>
        <w:tc>
          <w:tcPr>
            <w:tcW w:w="0" w:type="auto"/>
            <w:shd w:val="clear" w:color="auto" w:fill="auto"/>
          </w:tcPr>
          <w:p w14:paraId="5EA2069A" w14:textId="77777777" w:rsidR="003C66EB" w:rsidRDefault="003C66EB">
            <w:pPr>
              <w:rPr>
                <w:rFonts w:ascii="宋体"/>
                <w:vanish/>
              </w:rPr>
            </w:pPr>
          </w:p>
        </w:tc>
        <w:tc>
          <w:tcPr>
            <w:tcW w:w="0" w:type="auto"/>
            <w:shd w:val="clear" w:color="auto" w:fill="auto"/>
          </w:tcPr>
          <w:p w14:paraId="5EA2069B" w14:textId="77777777" w:rsidR="003C66EB" w:rsidRDefault="003C66EB">
            <w:pPr>
              <w:rPr>
                <w:rFonts w:ascii="宋体"/>
                <w:vanish/>
              </w:rPr>
            </w:pPr>
          </w:p>
        </w:tc>
        <w:tc>
          <w:tcPr>
            <w:tcW w:w="50" w:type="pct"/>
            <w:shd w:val="clear" w:color="auto" w:fill="auto"/>
          </w:tcPr>
          <w:p w14:paraId="5EA2069C" w14:textId="77777777" w:rsidR="003C66EB" w:rsidRDefault="003C66EB">
            <w:pPr>
              <w:rPr>
                <w:rFonts w:ascii="宋体"/>
              </w:rPr>
            </w:pPr>
          </w:p>
        </w:tc>
        <w:tc>
          <w:tcPr>
            <w:tcW w:w="237" w:type="pct"/>
            <w:shd w:val="clear" w:color="auto" w:fill="auto"/>
          </w:tcPr>
          <w:p w14:paraId="5EA2069D" w14:textId="77777777" w:rsidR="003C66EB" w:rsidRDefault="003C66EB">
            <w:pPr>
              <w:rPr>
                <w:rFonts w:ascii="宋体"/>
              </w:rPr>
            </w:pPr>
          </w:p>
        </w:tc>
        <w:tc>
          <w:tcPr>
            <w:tcW w:w="5" w:type="pct"/>
            <w:shd w:val="clear" w:color="auto" w:fill="auto"/>
          </w:tcPr>
          <w:p w14:paraId="5EA2069E" w14:textId="77777777" w:rsidR="003C66EB" w:rsidRDefault="003C66EB">
            <w:pPr>
              <w:rPr>
                <w:rFonts w:ascii="宋体"/>
              </w:rPr>
            </w:pPr>
          </w:p>
        </w:tc>
        <w:tc>
          <w:tcPr>
            <w:tcW w:w="5" w:type="pct"/>
            <w:shd w:val="clear" w:color="auto" w:fill="auto"/>
          </w:tcPr>
          <w:p w14:paraId="5EA2069F" w14:textId="77777777" w:rsidR="003C66EB" w:rsidRDefault="003C66EB">
            <w:pPr>
              <w:rPr>
                <w:rFonts w:ascii="宋体"/>
              </w:rPr>
            </w:pPr>
          </w:p>
        </w:tc>
        <w:tc>
          <w:tcPr>
            <w:tcW w:w="26" w:type="pct"/>
            <w:shd w:val="clear" w:color="auto" w:fill="auto"/>
          </w:tcPr>
          <w:p w14:paraId="5EA206A0" w14:textId="77777777" w:rsidR="003C66EB" w:rsidRDefault="003C66EB">
            <w:pPr>
              <w:rPr>
                <w:rFonts w:ascii="宋体"/>
              </w:rPr>
            </w:pPr>
          </w:p>
        </w:tc>
        <w:tc>
          <w:tcPr>
            <w:tcW w:w="5" w:type="pct"/>
            <w:shd w:val="clear" w:color="auto" w:fill="auto"/>
          </w:tcPr>
          <w:p w14:paraId="5EA206A1" w14:textId="77777777" w:rsidR="003C66EB" w:rsidRDefault="003C66EB">
            <w:pPr>
              <w:rPr>
                <w:rFonts w:ascii="宋体"/>
              </w:rPr>
            </w:pPr>
          </w:p>
        </w:tc>
        <w:tc>
          <w:tcPr>
            <w:tcW w:w="50" w:type="pct"/>
            <w:shd w:val="clear" w:color="auto" w:fill="auto"/>
          </w:tcPr>
          <w:p w14:paraId="5EA206A2" w14:textId="77777777" w:rsidR="003C66EB" w:rsidRDefault="003C66EB">
            <w:pPr>
              <w:rPr>
                <w:rFonts w:ascii="宋体"/>
              </w:rPr>
            </w:pPr>
          </w:p>
        </w:tc>
        <w:tc>
          <w:tcPr>
            <w:tcW w:w="237" w:type="pct"/>
            <w:shd w:val="clear" w:color="auto" w:fill="auto"/>
          </w:tcPr>
          <w:p w14:paraId="5EA206A3" w14:textId="77777777" w:rsidR="003C66EB" w:rsidRDefault="003C66EB">
            <w:pPr>
              <w:rPr>
                <w:rFonts w:ascii="宋体"/>
              </w:rPr>
            </w:pPr>
          </w:p>
        </w:tc>
        <w:tc>
          <w:tcPr>
            <w:tcW w:w="5" w:type="pct"/>
            <w:shd w:val="clear" w:color="auto" w:fill="auto"/>
          </w:tcPr>
          <w:p w14:paraId="5EA206A4" w14:textId="77777777" w:rsidR="003C66EB" w:rsidRDefault="003C66EB">
            <w:pPr>
              <w:rPr>
                <w:rFonts w:ascii="宋体"/>
              </w:rPr>
            </w:pPr>
          </w:p>
        </w:tc>
        <w:tc>
          <w:tcPr>
            <w:tcW w:w="5" w:type="pct"/>
            <w:shd w:val="clear" w:color="auto" w:fill="auto"/>
          </w:tcPr>
          <w:p w14:paraId="5EA206A5" w14:textId="77777777" w:rsidR="003C66EB" w:rsidRDefault="003C66EB">
            <w:pPr>
              <w:rPr>
                <w:rFonts w:ascii="宋体"/>
              </w:rPr>
            </w:pPr>
          </w:p>
        </w:tc>
        <w:tc>
          <w:tcPr>
            <w:tcW w:w="26" w:type="pct"/>
            <w:shd w:val="clear" w:color="auto" w:fill="auto"/>
          </w:tcPr>
          <w:p w14:paraId="5EA206A6" w14:textId="77777777" w:rsidR="003C66EB" w:rsidRDefault="003C66EB">
            <w:pPr>
              <w:rPr>
                <w:rFonts w:ascii="宋体"/>
              </w:rPr>
            </w:pPr>
          </w:p>
        </w:tc>
        <w:tc>
          <w:tcPr>
            <w:tcW w:w="5" w:type="pct"/>
            <w:shd w:val="clear" w:color="auto" w:fill="auto"/>
          </w:tcPr>
          <w:p w14:paraId="5EA206A7" w14:textId="77777777" w:rsidR="003C66EB" w:rsidRDefault="003C66EB">
            <w:pPr>
              <w:rPr>
                <w:rFonts w:ascii="宋体"/>
              </w:rPr>
            </w:pPr>
          </w:p>
        </w:tc>
      </w:tr>
      <w:tr w:rsidR="003C66EB" w14:paraId="5EA206AA" w14:textId="77777777">
        <w:tc>
          <w:tcPr>
            <w:tcW w:w="0" w:type="auto"/>
            <w:gridSpan w:val="55"/>
            <w:shd w:val="clear" w:color="auto" w:fill="auto"/>
            <w:tcMar>
              <w:top w:w="40" w:type="dxa"/>
              <w:left w:w="20" w:type="dxa"/>
              <w:bottom w:w="40" w:type="dxa"/>
              <w:right w:w="20" w:type="dxa"/>
            </w:tcMar>
            <w:vAlign w:val="bottom"/>
          </w:tcPr>
          <w:p w14:paraId="5EA206A9" w14:textId="77777777" w:rsidR="003C66EB" w:rsidRDefault="00D96C4E">
            <w:pPr>
              <w:textAlignment w:val="bottom"/>
            </w:pPr>
            <w:r>
              <w:rPr>
                <w:rFonts w:ascii="Arial" w:eastAsia="宋体" w:hAnsi="Arial" w:cs="Arial"/>
                <w:b/>
                <w:bCs/>
                <w:color w:val="000000"/>
                <w:sz w:val="16"/>
                <w:szCs w:val="16"/>
              </w:rPr>
              <w:t>TABLE 28: TEN-DAY VALUE-AT-RISK ASSOCIATED WITH TRADING ACTIVITIES FOR COVERED POSITIONS</w:t>
            </w:r>
          </w:p>
        </w:tc>
      </w:tr>
      <w:tr w:rsidR="003C66EB" w14:paraId="5EA206B2" w14:textId="77777777">
        <w:trPr>
          <w:trHeight w:val="280"/>
        </w:trPr>
        <w:tc>
          <w:tcPr>
            <w:tcW w:w="0" w:type="auto"/>
            <w:gridSpan w:val="3"/>
            <w:shd w:val="clear" w:color="auto" w:fill="auto"/>
            <w:tcMar>
              <w:top w:w="0" w:type="dxa"/>
              <w:left w:w="20" w:type="dxa"/>
              <w:bottom w:w="0" w:type="dxa"/>
              <w:right w:w="20" w:type="dxa"/>
            </w:tcMar>
          </w:tcPr>
          <w:p w14:paraId="5EA206AB" w14:textId="77777777" w:rsidR="003C66EB" w:rsidRDefault="003C66EB">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5EA206AC" w14:textId="77777777" w:rsidR="003C66EB" w:rsidRDefault="00D96C4E">
            <w:pPr>
              <w:jc w:val="center"/>
              <w:textAlignment w:val="bottom"/>
            </w:pPr>
            <w:r>
              <w:rPr>
                <w:rFonts w:ascii="Arial" w:eastAsia="宋体" w:hAnsi="Arial" w:cs="Arial"/>
                <w:b/>
                <w:bCs/>
                <w:color w:val="000000"/>
                <w:sz w:val="15"/>
                <w:szCs w:val="15"/>
              </w:rPr>
              <w:t>Three Months Ended</w:t>
            </w:r>
          </w:p>
        </w:tc>
        <w:tc>
          <w:tcPr>
            <w:tcW w:w="0" w:type="auto"/>
            <w:gridSpan w:val="3"/>
            <w:shd w:val="clear" w:color="auto" w:fill="auto"/>
            <w:tcMar>
              <w:top w:w="0" w:type="dxa"/>
              <w:left w:w="20" w:type="dxa"/>
              <w:bottom w:w="0" w:type="dxa"/>
              <w:right w:w="20" w:type="dxa"/>
            </w:tcMar>
          </w:tcPr>
          <w:p w14:paraId="5EA206AD"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06AE" w14:textId="77777777" w:rsidR="003C66EB" w:rsidRDefault="00D96C4E">
            <w:pPr>
              <w:jc w:val="center"/>
              <w:textAlignment w:val="bottom"/>
            </w:pPr>
            <w:r>
              <w:rPr>
                <w:rFonts w:ascii="Arial" w:eastAsia="宋体" w:hAnsi="Arial" w:cs="Arial"/>
                <w:b/>
                <w:bCs/>
                <w:color w:val="000000"/>
                <w:sz w:val="15"/>
                <w:szCs w:val="15"/>
              </w:rPr>
              <w:t>As of March 31, 2021</w:t>
            </w:r>
          </w:p>
        </w:tc>
        <w:tc>
          <w:tcPr>
            <w:tcW w:w="0" w:type="auto"/>
            <w:gridSpan w:val="2"/>
            <w:vMerge w:val="restart"/>
            <w:shd w:val="clear" w:color="auto" w:fill="auto"/>
            <w:tcMar>
              <w:top w:w="0" w:type="dxa"/>
              <w:left w:w="20" w:type="dxa"/>
              <w:bottom w:w="0" w:type="dxa"/>
              <w:right w:w="20" w:type="dxa"/>
            </w:tcMar>
          </w:tcPr>
          <w:p w14:paraId="5EA206AF" w14:textId="77777777" w:rsidR="003C66EB" w:rsidRDefault="003C66EB">
            <w:pPr>
              <w:rPr>
                <w:rFonts w:ascii="宋体"/>
              </w:rPr>
            </w:pPr>
          </w:p>
        </w:tc>
        <w:tc>
          <w:tcPr>
            <w:tcW w:w="0" w:type="auto"/>
            <w:vMerge w:val="restart"/>
            <w:shd w:val="clear" w:color="auto" w:fill="auto"/>
            <w:tcMar>
              <w:top w:w="40" w:type="dxa"/>
              <w:left w:w="20" w:type="dxa"/>
              <w:bottom w:w="40" w:type="dxa"/>
              <w:right w:w="20" w:type="dxa"/>
            </w:tcMar>
            <w:vAlign w:val="bottom"/>
          </w:tcPr>
          <w:p w14:paraId="5EA206B0" w14:textId="77777777" w:rsidR="003C66EB" w:rsidRDefault="00D96C4E">
            <w:pPr>
              <w:jc w:val="center"/>
              <w:textAlignment w:val="bottom"/>
            </w:pPr>
            <w:r>
              <w:rPr>
                <w:rFonts w:ascii="Arial" w:eastAsia="宋体" w:hAnsi="Arial" w:cs="Arial"/>
                <w:b/>
                <w:bCs/>
                <w:color w:val="000000"/>
                <w:sz w:val="15"/>
                <w:szCs w:val="15"/>
              </w:rPr>
              <w:t>As of December 31, 2020</w:t>
            </w:r>
          </w:p>
          <w:p w14:paraId="5EA206B1" w14:textId="77777777" w:rsidR="003C66EB" w:rsidRDefault="00D96C4E">
            <w:pPr>
              <w:jc w:val="center"/>
              <w:textAlignment w:val="bottom"/>
            </w:pPr>
            <w:r>
              <w:rPr>
                <w:rFonts w:ascii="Arial" w:eastAsia="宋体" w:hAnsi="Arial" w:cs="Arial"/>
                <w:b/>
                <w:bCs/>
                <w:color w:val="000000"/>
                <w:sz w:val="15"/>
                <w:szCs w:val="15"/>
              </w:rPr>
              <w:t>As of March 31, 2020</w:t>
            </w:r>
          </w:p>
        </w:tc>
      </w:tr>
      <w:tr w:rsidR="003C66EB" w14:paraId="5EA206BE" w14:textId="77777777">
        <w:trPr>
          <w:trHeight w:val="280"/>
        </w:trPr>
        <w:tc>
          <w:tcPr>
            <w:tcW w:w="0" w:type="auto"/>
            <w:gridSpan w:val="3"/>
            <w:shd w:val="clear" w:color="auto" w:fill="auto"/>
            <w:tcMar>
              <w:top w:w="0" w:type="dxa"/>
              <w:left w:w="20" w:type="dxa"/>
              <w:bottom w:w="0" w:type="dxa"/>
              <w:right w:w="20" w:type="dxa"/>
            </w:tcMar>
          </w:tcPr>
          <w:p w14:paraId="5EA206B3"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06B4"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06B5" w14:textId="77777777" w:rsidR="003C66EB" w:rsidRDefault="003C66EB">
            <w:pPr>
              <w:rPr>
                <w:rFonts w:ascii="宋体"/>
              </w:rPr>
            </w:pPr>
          </w:p>
        </w:tc>
        <w:tc>
          <w:tcPr>
            <w:tcW w:w="0" w:type="auto"/>
            <w:shd w:val="clear" w:color="auto" w:fill="auto"/>
          </w:tcPr>
          <w:p w14:paraId="5EA206B6" w14:textId="77777777" w:rsidR="003C66EB" w:rsidRDefault="003C66EB">
            <w:pPr>
              <w:rPr>
                <w:rFonts w:ascii="宋体"/>
                <w:vanish/>
              </w:rPr>
            </w:pPr>
          </w:p>
        </w:tc>
        <w:tc>
          <w:tcPr>
            <w:tcW w:w="0" w:type="auto"/>
            <w:shd w:val="clear" w:color="auto" w:fill="auto"/>
          </w:tcPr>
          <w:p w14:paraId="5EA206B7" w14:textId="77777777" w:rsidR="003C66EB" w:rsidRDefault="003C66EB">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06B8"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06B9" w14:textId="77777777" w:rsidR="003C66EB" w:rsidRDefault="003C66EB">
            <w:pPr>
              <w:rPr>
                <w:rFonts w:ascii="宋体"/>
              </w:rPr>
            </w:pPr>
          </w:p>
        </w:tc>
        <w:tc>
          <w:tcPr>
            <w:tcW w:w="0" w:type="auto"/>
            <w:shd w:val="clear" w:color="auto" w:fill="auto"/>
          </w:tcPr>
          <w:p w14:paraId="5EA206BA" w14:textId="77777777" w:rsidR="003C66EB" w:rsidRDefault="003C66EB">
            <w:pPr>
              <w:rPr>
                <w:rFonts w:ascii="宋体"/>
                <w:vanish/>
              </w:rPr>
            </w:pPr>
          </w:p>
        </w:tc>
        <w:tc>
          <w:tcPr>
            <w:tcW w:w="0" w:type="auto"/>
            <w:shd w:val="clear" w:color="auto" w:fill="auto"/>
          </w:tcPr>
          <w:p w14:paraId="5EA206BB" w14:textId="77777777" w:rsidR="003C66EB" w:rsidRDefault="003C66EB">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5EA206BC"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Mar>
              <w:top w:w="0" w:type="dxa"/>
              <w:left w:w="20" w:type="dxa"/>
              <w:bottom w:w="0" w:type="dxa"/>
              <w:right w:w="20" w:type="dxa"/>
            </w:tcMar>
          </w:tcPr>
          <w:p w14:paraId="5EA206BD" w14:textId="77777777" w:rsidR="003C66EB" w:rsidRDefault="003C66EB">
            <w:pPr>
              <w:rPr>
                <w:rFonts w:ascii="宋体"/>
              </w:rPr>
            </w:pPr>
          </w:p>
        </w:tc>
      </w:tr>
      <w:tr w:rsidR="003C66EB" w14:paraId="5EA206D8" w14:textId="77777777">
        <w:tc>
          <w:tcPr>
            <w:tcW w:w="0" w:type="auto"/>
            <w:gridSpan w:val="3"/>
            <w:shd w:val="clear" w:color="auto" w:fill="auto"/>
            <w:tcMar>
              <w:top w:w="40" w:type="dxa"/>
              <w:left w:w="20" w:type="dxa"/>
              <w:bottom w:w="40" w:type="dxa"/>
              <w:right w:w="20" w:type="dxa"/>
            </w:tcMar>
            <w:vAlign w:val="bottom"/>
          </w:tcPr>
          <w:p w14:paraId="5EA206BF" w14:textId="77777777" w:rsidR="003C66EB" w:rsidRDefault="00D96C4E">
            <w:pPr>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C0" w14:textId="77777777" w:rsidR="003C66EB" w:rsidRDefault="00D96C4E">
            <w:pPr>
              <w:spacing w:after="20"/>
              <w:jc w:val="center"/>
              <w:textAlignment w:val="bottom"/>
            </w:pPr>
            <w:r>
              <w:rPr>
                <w:rFonts w:ascii="Arial" w:eastAsia="宋体" w:hAnsi="Arial" w:cs="Arial"/>
                <w:b/>
                <w:bCs/>
                <w:color w:val="000000"/>
                <w:sz w:val="15"/>
                <w:szCs w:val="15"/>
              </w:rPr>
              <w:t>Avg.</w:t>
            </w:r>
          </w:p>
        </w:tc>
        <w:tc>
          <w:tcPr>
            <w:tcW w:w="0" w:type="auto"/>
            <w:gridSpan w:val="3"/>
            <w:tcBorders>
              <w:top w:val="single" w:sz="8" w:space="0" w:color="000000"/>
            </w:tcBorders>
            <w:shd w:val="clear" w:color="auto" w:fill="auto"/>
            <w:tcMar>
              <w:top w:w="0" w:type="dxa"/>
              <w:left w:w="20" w:type="dxa"/>
              <w:bottom w:w="0" w:type="dxa"/>
              <w:right w:w="20" w:type="dxa"/>
            </w:tcMar>
          </w:tcPr>
          <w:p w14:paraId="5EA206C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C2" w14:textId="77777777" w:rsidR="003C66EB" w:rsidRDefault="00D96C4E">
            <w:pPr>
              <w:spacing w:after="20"/>
              <w:jc w:val="center"/>
              <w:textAlignment w:val="bottom"/>
            </w:pPr>
            <w:r>
              <w:rPr>
                <w:rFonts w:ascii="Arial" w:eastAsia="宋体" w:hAnsi="Arial" w:cs="Arial"/>
                <w:b/>
                <w:bCs/>
                <w:color w:val="000000"/>
                <w:sz w:val="15"/>
                <w:szCs w:val="15"/>
              </w:rPr>
              <w:t>Max.</w:t>
            </w:r>
          </w:p>
        </w:tc>
        <w:tc>
          <w:tcPr>
            <w:tcW w:w="0" w:type="auto"/>
            <w:gridSpan w:val="3"/>
            <w:tcBorders>
              <w:top w:val="single" w:sz="8" w:space="0" w:color="000000"/>
            </w:tcBorders>
            <w:shd w:val="clear" w:color="auto" w:fill="auto"/>
            <w:tcMar>
              <w:top w:w="0" w:type="dxa"/>
              <w:left w:w="20" w:type="dxa"/>
              <w:bottom w:w="0" w:type="dxa"/>
              <w:right w:w="20" w:type="dxa"/>
            </w:tcMar>
          </w:tcPr>
          <w:p w14:paraId="5EA206C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C4" w14:textId="77777777" w:rsidR="003C66EB" w:rsidRDefault="00D96C4E">
            <w:pPr>
              <w:spacing w:after="20"/>
              <w:jc w:val="center"/>
              <w:textAlignment w:val="bottom"/>
            </w:pPr>
            <w:r>
              <w:rPr>
                <w:rFonts w:ascii="Arial" w:eastAsia="宋体" w:hAnsi="Arial" w:cs="Arial"/>
                <w:b/>
                <w:bCs/>
                <w:color w:val="000000"/>
                <w:sz w:val="15"/>
                <w:szCs w:val="15"/>
              </w:rPr>
              <w:t>Min.</w:t>
            </w:r>
          </w:p>
        </w:tc>
        <w:tc>
          <w:tcPr>
            <w:tcW w:w="0" w:type="auto"/>
            <w:gridSpan w:val="3"/>
            <w:shd w:val="clear" w:color="auto" w:fill="auto"/>
            <w:tcMar>
              <w:top w:w="0" w:type="dxa"/>
              <w:left w:w="20" w:type="dxa"/>
              <w:bottom w:w="0" w:type="dxa"/>
              <w:right w:w="20" w:type="dxa"/>
            </w:tcMar>
          </w:tcPr>
          <w:p w14:paraId="5EA206C5" w14:textId="77777777" w:rsidR="003C66EB" w:rsidRDefault="003C66EB">
            <w:pPr>
              <w:rPr>
                <w:rFonts w:ascii="宋体"/>
              </w:rPr>
            </w:pPr>
          </w:p>
        </w:tc>
        <w:tc>
          <w:tcPr>
            <w:tcW w:w="0" w:type="auto"/>
            <w:shd w:val="clear" w:color="auto" w:fill="auto"/>
          </w:tcPr>
          <w:p w14:paraId="5EA206C6" w14:textId="77777777" w:rsidR="003C66EB" w:rsidRDefault="003C66EB">
            <w:pPr>
              <w:rPr>
                <w:rFonts w:ascii="宋体"/>
                <w:vanish/>
              </w:rPr>
            </w:pPr>
          </w:p>
        </w:tc>
        <w:tc>
          <w:tcPr>
            <w:tcW w:w="0" w:type="auto"/>
            <w:shd w:val="clear" w:color="auto" w:fill="auto"/>
          </w:tcPr>
          <w:p w14:paraId="5EA206C7"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C8" w14:textId="77777777" w:rsidR="003C66EB" w:rsidRDefault="00D96C4E">
            <w:pPr>
              <w:spacing w:after="20"/>
              <w:jc w:val="center"/>
              <w:textAlignment w:val="bottom"/>
            </w:pPr>
            <w:r>
              <w:rPr>
                <w:rFonts w:ascii="Arial" w:eastAsia="宋体" w:hAnsi="Arial" w:cs="Arial"/>
                <w:b/>
                <w:bCs/>
                <w:color w:val="000000"/>
                <w:sz w:val="15"/>
                <w:szCs w:val="15"/>
              </w:rPr>
              <w:t>Avg.</w:t>
            </w:r>
          </w:p>
        </w:tc>
        <w:tc>
          <w:tcPr>
            <w:tcW w:w="0" w:type="auto"/>
            <w:gridSpan w:val="3"/>
            <w:tcBorders>
              <w:top w:val="single" w:sz="8" w:space="0" w:color="000000"/>
            </w:tcBorders>
            <w:shd w:val="clear" w:color="auto" w:fill="auto"/>
            <w:tcMar>
              <w:top w:w="0" w:type="dxa"/>
              <w:left w:w="20" w:type="dxa"/>
              <w:bottom w:w="0" w:type="dxa"/>
              <w:right w:w="20" w:type="dxa"/>
            </w:tcMar>
          </w:tcPr>
          <w:p w14:paraId="5EA206C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CA" w14:textId="77777777" w:rsidR="003C66EB" w:rsidRDefault="00D96C4E">
            <w:pPr>
              <w:spacing w:after="20"/>
              <w:jc w:val="center"/>
              <w:textAlignment w:val="bottom"/>
            </w:pPr>
            <w:r>
              <w:rPr>
                <w:rFonts w:ascii="Arial" w:eastAsia="宋体" w:hAnsi="Arial" w:cs="Arial"/>
                <w:b/>
                <w:bCs/>
                <w:color w:val="000000"/>
                <w:sz w:val="15"/>
                <w:szCs w:val="15"/>
              </w:rPr>
              <w:t>Max.</w:t>
            </w:r>
          </w:p>
        </w:tc>
        <w:tc>
          <w:tcPr>
            <w:tcW w:w="0" w:type="auto"/>
            <w:gridSpan w:val="3"/>
            <w:tcBorders>
              <w:top w:val="single" w:sz="8" w:space="0" w:color="000000"/>
            </w:tcBorders>
            <w:shd w:val="clear" w:color="auto" w:fill="auto"/>
            <w:tcMar>
              <w:top w:w="0" w:type="dxa"/>
              <w:left w:w="20" w:type="dxa"/>
              <w:bottom w:w="0" w:type="dxa"/>
              <w:right w:w="20" w:type="dxa"/>
            </w:tcMar>
          </w:tcPr>
          <w:p w14:paraId="5EA206C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CC" w14:textId="77777777" w:rsidR="003C66EB" w:rsidRDefault="00D96C4E">
            <w:pPr>
              <w:spacing w:after="20"/>
              <w:jc w:val="center"/>
              <w:textAlignment w:val="bottom"/>
            </w:pPr>
            <w:r>
              <w:rPr>
                <w:rFonts w:ascii="Arial" w:eastAsia="宋体" w:hAnsi="Arial" w:cs="Arial"/>
                <w:b/>
                <w:bCs/>
                <w:color w:val="000000"/>
                <w:sz w:val="15"/>
                <w:szCs w:val="15"/>
              </w:rPr>
              <w:t>Min.</w:t>
            </w:r>
          </w:p>
        </w:tc>
        <w:tc>
          <w:tcPr>
            <w:tcW w:w="0" w:type="auto"/>
            <w:gridSpan w:val="3"/>
            <w:shd w:val="clear" w:color="auto" w:fill="auto"/>
            <w:tcMar>
              <w:top w:w="0" w:type="dxa"/>
              <w:left w:w="20" w:type="dxa"/>
              <w:bottom w:w="0" w:type="dxa"/>
              <w:right w:w="20" w:type="dxa"/>
            </w:tcMar>
          </w:tcPr>
          <w:p w14:paraId="5EA206CD" w14:textId="77777777" w:rsidR="003C66EB" w:rsidRDefault="003C66EB">
            <w:pPr>
              <w:rPr>
                <w:rFonts w:ascii="宋体"/>
              </w:rPr>
            </w:pPr>
          </w:p>
        </w:tc>
        <w:tc>
          <w:tcPr>
            <w:tcW w:w="0" w:type="auto"/>
            <w:shd w:val="clear" w:color="auto" w:fill="auto"/>
          </w:tcPr>
          <w:p w14:paraId="5EA206CE" w14:textId="77777777" w:rsidR="003C66EB" w:rsidRDefault="003C66EB">
            <w:pPr>
              <w:rPr>
                <w:rFonts w:ascii="宋体"/>
                <w:vanish/>
              </w:rPr>
            </w:pPr>
          </w:p>
        </w:tc>
        <w:tc>
          <w:tcPr>
            <w:tcW w:w="0" w:type="auto"/>
            <w:shd w:val="clear" w:color="auto" w:fill="auto"/>
          </w:tcPr>
          <w:p w14:paraId="5EA206CF"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D0" w14:textId="77777777" w:rsidR="003C66EB" w:rsidRDefault="00D96C4E">
            <w:pPr>
              <w:spacing w:after="20"/>
              <w:jc w:val="center"/>
              <w:textAlignment w:val="bottom"/>
            </w:pPr>
            <w:r>
              <w:rPr>
                <w:rFonts w:ascii="Arial" w:eastAsia="宋体" w:hAnsi="Arial" w:cs="Arial"/>
                <w:b/>
                <w:bCs/>
                <w:color w:val="000000"/>
                <w:sz w:val="15"/>
                <w:szCs w:val="15"/>
              </w:rPr>
              <w:t>Avg.</w:t>
            </w:r>
          </w:p>
        </w:tc>
        <w:tc>
          <w:tcPr>
            <w:tcW w:w="0" w:type="auto"/>
            <w:gridSpan w:val="3"/>
            <w:tcBorders>
              <w:top w:val="single" w:sz="8" w:space="0" w:color="000000"/>
            </w:tcBorders>
            <w:shd w:val="clear" w:color="auto" w:fill="auto"/>
            <w:tcMar>
              <w:top w:w="0" w:type="dxa"/>
              <w:left w:w="20" w:type="dxa"/>
              <w:bottom w:w="0" w:type="dxa"/>
              <w:right w:w="20" w:type="dxa"/>
            </w:tcMar>
          </w:tcPr>
          <w:p w14:paraId="5EA206D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6D2" w14:textId="77777777" w:rsidR="003C66EB" w:rsidRDefault="00D96C4E">
            <w:pPr>
              <w:spacing w:after="20"/>
              <w:jc w:val="center"/>
              <w:textAlignment w:val="bottom"/>
            </w:pPr>
            <w:r>
              <w:rPr>
                <w:rFonts w:ascii="Arial" w:eastAsia="宋体" w:hAnsi="Arial" w:cs="Arial"/>
                <w:b/>
                <w:bCs/>
                <w:color w:val="000000"/>
                <w:sz w:val="15"/>
                <w:szCs w:val="15"/>
              </w:rPr>
              <w:t>Max.</w:t>
            </w:r>
          </w:p>
        </w:tc>
        <w:tc>
          <w:tcPr>
            <w:tcW w:w="0" w:type="auto"/>
            <w:gridSpan w:val="2"/>
            <w:tcBorders>
              <w:top w:val="single" w:sz="8" w:space="0" w:color="000000"/>
            </w:tcBorders>
            <w:shd w:val="clear" w:color="auto" w:fill="auto"/>
            <w:tcMar>
              <w:top w:w="0" w:type="dxa"/>
              <w:left w:w="20" w:type="dxa"/>
              <w:bottom w:w="0" w:type="dxa"/>
              <w:right w:w="20" w:type="dxa"/>
            </w:tcMar>
          </w:tcPr>
          <w:p w14:paraId="5EA206D3" w14:textId="77777777" w:rsidR="003C66EB" w:rsidRDefault="003C66EB">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A206D4" w14:textId="77777777" w:rsidR="003C66EB" w:rsidRDefault="00D96C4E">
            <w:pPr>
              <w:spacing w:after="20"/>
              <w:jc w:val="center"/>
              <w:textAlignment w:val="bottom"/>
            </w:pPr>
            <w:r>
              <w:rPr>
                <w:rFonts w:ascii="Arial" w:eastAsia="宋体" w:hAnsi="Arial" w:cs="Arial"/>
                <w:b/>
                <w:bCs/>
                <w:color w:val="000000"/>
                <w:sz w:val="15"/>
                <w:szCs w:val="15"/>
              </w:rPr>
              <w:t>Min.</w:t>
            </w:r>
          </w:p>
          <w:p w14:paraId="5EA206D5" w14:textId="77777777" w:rsidR="003C66EB" w:rsidRDefault="00D96C4E">
            <w:pPr>
              <w:spacing w:after="20"/>
              <w:jc w:val="center"/>
              <w:textAlignment w:val="bottom"/>
            </w:pPr>
            <w:r>
              <w:rPr>
                <w:rFonts w:ascii="Arial" w:eastAsia="宋体" w:hAnsi="Arial" w:cs="Arial"/>
                <w:b/>
                <w:bCs/>
                <w:color w:val="000000"/>
                <w:sz w:val="15"/>
                <w:szCs w:val="15"/>
              </w:rPr>
              <w:t>VaR</w:t>
            </w:r>
          </w:p>
          <w:p w14:paraId="5EA206D6" w14:textId="77777777" w:rsidR="003C66EB" w:rsidRDefault="00D96C4E">
            <w:pPr>
              <w:spacing w:after="20"/>
              <w:jc w:val="center"/>
              <w:textAlignment w:val="bottom"/>
            </w:pPr>
            <w:r>
              <w:rPr>
                <w:rFonts w:ascii="Arial" w:eastAsia="宋体" w:hAnsi="Arial" w:cs="Arial"/>
                <w:b/>
                <w:bCs/>
                <w:color w:val="000000"/>
                <w:sz w:val="15"/>
                <w:szCs w:val="15"/>
              </w:rPr>
              <w:t>VaR</w:t>
            </w:r>
          </w:p>
          <w:p w14:paraId="5EA206D7" w14:textId="77777777" w:rsidR="003C66EB" w:rsidRDefault="00D96C4E">
            <w:pPr>
              <w:spacing w:after="20"/>
              <w:jc w:val="center"/>
              <w:textAlignment w:val="bottom"/>
            </w:pPr>
            <w:r>
              <w:rPr>
                <w:rFonts w:ascii="Arial" w:eastAsia="宋体" w:hAnsi="Arial" w:cs="Arial"/>
                <w:b/>
                <w:bCs/>
                <w:color w:val="000000"/>
                <w:sz w:val="15"/>
                <w:szCs w:val="15"/>
              </w:rPr>
              <w:t>VaR</w:t>
            </w:r>
          </w:p>
        </w:tc>
      </w:tr>
      <w:tr w:rsidR="00D96C4E" w14:paraId="5EA20708" w14:textId="77777777">
        <w:tc>
          <w:tcPr>
            <w:tcW w:w="0" w:type="auto"/>
            <w:gridSpan w:val="3"/>
            <w:shd w:val="clear" w:color="auto" w:fill="CCEEFF"/>
            <w:tcMar>
              <w:top w:w="40" w:type="dxa"/>
              <w:left w:w="20" w:type="dxa"/>
              <w:bottom w:w="40" w:type="dxa"/>
              <w:right w:w="20" w:type="dxa"/>
            </w:tcMar>
            <w:vAlign w:val="bottom"/>
          </w:tcPr>
          <w:p w14:paraId="5EA206D9" w14:textId="77777777" w:rsidR="003C66EB" w:rsidRDefault="00D96C4E">
            <w:pPr>
              <w:textAlignment w:val="bottom"/>
            </w:pPr>
            <w:r>
              <w:rPr>
                <w:rFonts w:ascii="Arial" w:eastAsia="宋体" w:hAnsi="Arial" w:cs="Arial"/>
                <w:color w:val="000000"/>
                <w:sz w:val="15"/>
                <w:szCs w:val="15"/>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06DA"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DB" w14:textId="77777777" w:rsidR="003C66EB" w:rsidRDefault="00D96C4E">
            <w:pPr>
              <w:jc w:val="right"/>
              <w:textAlignment w:val="bottom"/>
            </w:pPr>
            <w:r>
              <w:rPr>
                <w:rFonts w:ascii="Arial" w:eastAsia="宋体" w:hAnsi="Arial" w:cs="Arial"/>
                <w:b/>
                <w:bCs/>
                <w:color w:val="000000"/>
                <w:sz w:val="14"/>
                <w:szCs w:val="14"/>
              </w:rPr>
              <w:t>13,008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DD" w14:textId="77777777" w:rsidR="003C66EB" w:rsidRDefault="003C66EB">
            <w:pPr>
              <w:spacing w:after="20"/>
              <w:jc w:val="right"/>
              <w:textAlignment w:val="top"/>
            </w:pPr>
          </w:p>
          <w:p w14:paraId="5EA206DE" w14:textId="77777777" w:rsidR="003C66EB" w:rsidRDefault="003C66EB">
            <w:pPr>
              <w:spacing w:after="20"/>
              <w:jc w:val="right"/>
              <w:textAlignment w:val="top"/>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D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E0" w14:textId="77777777" w:rsidR="003C66EB" w:rsidRDefault="00D96C4E">
            <w:pPr>
              <w:jc w:val="right"/>
              <w:textAlignment w:val="bottom"/>
            </w:pPr>
            <w:r>
              <w:rPr>
                <w:rFonts w:ascii="Arial" w:eastAsia="宋体" w:hAnsi="Arial" w:cs="Arial"/>
                <w:b/>
                <w:bCs/>
                <w:color w:val="000000"/>
                <w:sz w:val="14"/>
                <w:szCs w:val="14"/>
              </w:rPr>
              <w:t>25,411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E2" w14:textId="77777777" w:rsidR="003C66EB" w:rsidRDefault="003C66EB">
            <w:pPr>
              <w:spacing w:after="20"/>
              <w:jc w:val="right"/>
              <w:textAlignment w:val="top"/>
            </w:pPr>
          </w:p>
          <w:p w14:paraId="5EA206E3" w14:textId="77777777" w:rsidR="003C66EB" w:rsidRDefault="003C66EB">
            <w:pPr>
              <w:spacing w:after="20"/>
              <w:jc w:val="right"/>
              <w:textAlignment w:val="top"/>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E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E5" w14:textId="77777777" w:rsidR="003C66EB" w:rsidRDefault="00D96C4E">
            <w:pPr>
              <w:jc w:val="right"/>
              <w:textAlignment w:val="bottom"/>
            </w:pPr>
            <w:r>
              <w:rPr>
                <w:rFonts w:ascii="Arial" w:eastAsia="宋体" w:hAnsi="Arial" w:cs="Arial"/>
                <w:b/>
                <w:bCs/>
                <w:color w:val="000000"/>
                <w:sz w:val="14"/>
                <w:szCs w:val="14"/>
              </w:rPr>
              <w:t>5,252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E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E7" w14:textId="77777777" w:rsidR="003C66EB" w:rsidRDefault="003C66EB">
            <w:pPr>
              <w:rPr>
                <w:rFonts w:ascii="宋体"/>
              </w:rPr>
            </w:pPr>
          </w:p>
        </w:tc>
        <w:tc>
          <w:tcPr>
            <w:tcW w:w="0" w:type="auto"/>
            <w:shd w:val="clear" w:color="auto" w:fill="auto"/>
          </w:tcPr>
          <w:p w14:paraId="5EA206E8" w14:textId="77777777" w:rsidR="003C66EB" w:rsidRDefault="003C66EB">
            <w:pPr>
              <w:rPr>
                <w:rFonts w:ascii="宋体"/>
                <w:vanish/>
              </w:rPr>
            </w:pPr>
          </w:p>
        </w:tc>
        <w:tc>
          <w:tcPr>
            <w:tcW w:w="0" w:type="auto"/>
            <w:shd w:val="clear" w:color="auto" w:fill="auto"/>
          </w:tcPr>
          <w:p w14:paraId="5EA206E9"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E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EB" w14:textId="77777777" w:rsidR="003C66EB" w:rsidRDefault="00D96C4E">
            <w:pPr>
              <w:jc w:val="right"/>
              <w:textAlignment w:val="bottom"/>
            </w:pPr>
            <w:r>
              <w:rPr>
                <w:rFonts w:ascii="Arial" w:eastAsia="宋体" w:hAnsi="Arial" w:cs="Arial"/>
                <w:color w:val="000000"/>
                <w:sz w:val="14"/>
                <w:szCs w:val="14"/>
              </w:rPr>
              <w:t>15,662 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E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ED"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EE"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EF" w14:textId="77777777" w:rsidR="003C66EB" w:rsidRDefault="00D96C4E">
            <w:pPr>
              <w:jc w:val="right"/>
              <w:textAlignment w:val="bottom"/>
            </w:pPr>
            <w:r>
              <w:rPr>
                <w:rFonts w:ascii="Arial" w:eastAsia="宋体" w:hAnsi="Arial" w:cs="Arial"/>
                <w:color w:val="000000"/>
                <w:sz w:val="14"/>
                <w:szCs w:val="14"/>
              </w:rPr>
              <w:t>33,991 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F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F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F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F3" w14:textId="77777777" w:rsidR="003C66EB" w:rsidRDefault="00D96C4E">
            <w:pPr>
              <w:jc w:val="right"/>
              <w:textAlignment w:val="bottom"/>
            </w:pPr>
            <w:r>
              <w:rPr>
                <w:rFonts w:ascii="Arial" w:eastAsia="宋体" w:hAnsi="Arial" w:cs="Arial"/>
                <w:color w:val="000000"/>
                <w:sz w:val="14"/>
                <w:szCs w:val="14"/>
              </w:rPr>
              <w:t>5,382 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F5" w14:textId="77777777" w:rsidR="003C66EB" w:rsidRDefault="003C66EB">
            <w:pPr>
              <w:rPr>
                <w:rFonts w:ascii="宋体"/>
              </w:rPr>
            </w:pPr>
          </w:p>
        </w:tc>
        <w:tc>
          <w:tcPr>
            <w:tcW w:w="0" w:type="auto"/>
            <w:shd w:val="clear" w:color="auto" w:fill="auto"/>
          </w:tcPr>
          <w:p w14:paraId="5EA206F6" w14:textId="77777777" w:rsidR="003C66EB" w:rsidRDefault="003C66EB">
            <w:pPr>
              <w:rPr>
                <w:rFonts w:ascii="宋体"/>
                <w:vanish/>
              </w:rPr>
            </w:pPr>
          </w:p>
        </w:tc>
        <w:tc>
          <w:tcPr>
            <w:tcW w:w="0" w:type="auto"/>
            <w:shd w:val="clear" w:color="auto" w:fill="auto"/>
          </w:tcPr>
          <w:p w14:paraId="5EA206F7"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F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F9" w14:textId="77777777" w:rsidR="003C66EB" w:rsidRDefault="00D96C4E">
            <w:pPr>
              <w:jc w:val="right"/>
              <w:textAlignment w:val="bottom"/>
            </w:pPr>
            <w:r>
              <w:rPr>
                <w:rFonts w:ascii="Arial" w:eastAsia="宋体" w:hAnsi="Arial" w:cs="Arial"/>
                <w:color w:val="000000"/>
                <w:sz w:val="14"/>
                <w:szCs w:val="14"/>
              </w:rPr>
              <w:t>9,533 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F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6F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6F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6FD" w14:textId="77777777" w:rsidR="003C66EB" w:rsidRDefault="00D96C4E">
            <w:pPr>
              <w:jc w:val="right"/>
              <w:textAlignment w:val="bottom"/>
            </w:pPr>
            <w:r>
              <w:rPr>
                <w:rFonts w:ascii="Arial" w:eastAsia="宋体" w:hAnsi="Arial" w:cs="Arial"/>
                <w:color w:val="000000"/>
                <w:sz w:val="14"/>
                <w:szCs w:val="14"/>
              </w:rPr>
              <w:t>14,575 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6FE"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6F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00" w14:textId="77777777" w:rsidR="003C66EB" w:rsidRDefault="00D96C4E">
            <w:pPr>
              <w:textAlignment w:val="bottom"/>
            </w:pPr>
            <w:r>
              <w:rPr>
                <w:rFonts w:ascii="Arial" w:eastAsia="宋体" w:hAnsi="Arial" w:cs="Arial"/>
                <w:color w:val="000000"/>
                <w:sz w:val="14"/>
                <w:szCs w:val="14"/>
              </w:rPr>
              <w:t>$</w:t>
            </w:r>
          </w:p>
          <w:p w14:paraId="5EA20701" w14:textId="77777777" w:rsidR="003C66EB" w:rsidRDefault="00D96C4E">
            <w:pPr>
              <w:jc w:val="right"/>
              <w:textAlignment w:val="bottom"/>
            </w:pPr>
            <w:r>
              <w:rPr>
                <w:rFonts w:ascii="Arial" w:eastAsia="宋体" w:hAnsi="Arial" w:cs="Arial"/>
                <w:color w:val="000000"/>
                <w:sz w:val="14"/>
                <w:szCs w:val="14"/>
              </w:rPr>
              <w:t>5,220 </w:t>
            </w:r>
          </w:p>
          <w:p w14:paraId="5EA20702" w14:textId="77777777" w:rsidR="003C66EB" w:rsidRDefault="00D96C4E">
            <w:pPr>
              <w:textAlignment w:val="bottom"/>
            </w:pPr>
            <w:r>
              <w:rPr>
                <w:rFonts w:ascii="Arial" w:eastAsia="宋体" w:hAnsi="Arial" w:cs="Arial"/>
                <w:b/>
                <w:bCs/>
                <w:color w:val="000000"/>
                <w:sz w:val="14"/>
                <w:szCs w:val="14"/>
              </w:rPr>
              <w:t>$</w:t>
            </w:r>
          </w:p>
          <w:p w14:paraId="5EA20703" w14:textId="77777777" w:rsidR="003C66EB" w:rsidRDefault="00D96C4E">
            <w:pPr>
              <w:jc w:val="right"/>
              <w:textAlignment w:val="bottom"/>
            </w:pPr>
            <w:r>
              <w:rPr>
                <w:rFonts w:ascii="Arial" w:eastAsia="宋体" w:hAnsi="Arial" w:cs="Arial"/>
                <w:b/>
                <w:bCs/>
                <w:color w:val="000000"/>
                <w:sz w:val="14"/>
                <w:szCs w:val="14"/>
              </w:rPr>
              <w:t>14,587</w:t>
            </w:r>
            <w:r>
              <w:rPr>
                <w:rFonts w:ascii="Arial" w:eastAsia="宋体" w:hAnsi="Arial" w:cs="Arial"/>
                <w:color w:val="000000"/>
                <w:sz w:val="14"/>
                <w:szCs w:val="14"/>
              </w:rPr>
              <w:t> </w:t>
            </w:r>
          </w:p>
          <w:p w14:paraId="5EA20704" w14:textId="77777777" w:rsidR="003C66EB" w:rsidRDefault="00D96C4E">
            <w:pPr>
              <w:textAlignment w:val="bottom"/>
            </w:pPr>
            <w:r>
              <w:rPr>
                <w:rFonts w:ascii="Arial" w:eastAsia="宋体" w:hAnsi="Arial" w:cs="Arial"/>
                <w:color w:val="000000"/>
                <w:sz w:val="14"/>
                <w:szCs w:val="14"/>
              </w:rPr>
              <w:t>$</w:t>
            </w:r>
          </w:p>
          <w:p w14:paraId="5EA20705" w14:textId="77777777" w:rsidR="003C66EB" w:rsidRDefault="00D96C4E">
            <w:pPr>
              <w:jc w:val="right"/>
              <w:textAlignment w:val="bottom"/>
            </w:pPr>
            <w:r>
              <w:rPr>
                <w:rFonts w:ascii="Arial" w:eastAsia="宋体" w:hAnsi="Arial" w:cs="Arial"/>
                <w:color w:val="000000"/>
                <w:sz w:val="14"/>
                <w:szCs w:val="14"/>
              </w:rPr>
              <w:t>9,321 </w:t>
            </w:r>
          </w:p>
          <w:p w14:paraId="5EA20706" w14:textId="77777777" w:rsidR="003C66EB" w:rsidRDefault="00D96C4E">
            <w:pPr>
              <w:textAlignment w:val="bottom"/>
            </w:pPr>
            <w:r>
              <w:rPr>
                <w:rFonts w:ascii="Arial" w:eastAsia="宋体" w:hAnsi="Arial" w:cs="Arial"/>
                <w:color w:val="000000"/>
                <w:sz w:val="14"/>
                <w:szCs w:val="14"/>
              </w:rPr>
              <w:t>$</w:t>
            </w:r>
          </w:p>
          <w:p w14:paraId="5EA20707" w14:textId="77777777" w:rsidR="003C66EB" w:rsidRDefault="00D96C4E">
            <w:pPr>
              <w:jc w:val="right"/>
              <w:textAlignment w:val="bottom"/>
            </w:pPr>
            <w:r>
              <w:rPr>
                <w:rFonts w:ascii="Arial" w:eastAsia="宋体" w:hAnsi="Arial" w:cs="Arial"/>
                <w:color w:val="000000"/>
                <w:sz w:val="14"/>
                <w:szCs w:val="14"/>
              </w:rPr>
              <w:t>6,496 </w:t>
            </w:r>
          </w:p>
        </w:tc>
      </w:tr>
      <w:tr w:rsidR="003C66EB" w14:paraId="5EA2072C" w14:textId="77777777">
        <w:tc>
          <w:tcPr>
            <w:tcW w:w="0" w:type="auto"/>
            <w:gridSpan w:val="3"/>
            <w:shd w:val="clear" w:color="auto" w:fill="FFFFFF"/>
            <w:tcMar>
              <w:top w:w="40" w:type="dxa"/>
              <w:left w:w="20" w:type="dxa"/>
              <w:bottom w:w="40" w:type="dxa"/>
              <w:right w:w="20" w:type="dxa"/>
            </w:tcMar>
            <w:vAlign w:val="bottom"/>
          </w:tcPr>
          <w:p w14:paraId="5EA20709" w14:textId="77777777" w:rsidR="003C66EB" w:rsidRDefault="00D96C4E">
            <w:pPr>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5EA2070A" w14:textId="77777777" w:rsidR="003C66EB" w:rsidRDefault="00D96C4E">
            <w:pPr>
              <w:jc w:val="right"/>
              <w:textAlignment w:val="bottom"/>
            </w:pPr>
            <w:r>
              <w:rPr>
                <w:rFonts w:ascii="Arial" w:eastAsia="宋体" w:hAnsi="Arial" w:cs="Arial"/>
                <w:b/>
                <w:bCs/>
                <w:color w:val="000000"/>
                <w:sz w:val="14"/>
                <w:szCs w:val="14"/>
              </w:rPr>
              <w:t>5,915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7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0C" w14:textId="77777777" w:rsidR="003C66EB" w:rsidRDefault="003C66EB">
            <w:pPr>
              <w:spacing w:after="20"/>
              <w:jc w:val="right"/>
              <w:textAlignment w:val="top"/>
            </w:pPr>
          </w:p>
          <w:p w14:paraId="5EA2070D" w14:textId="77777777" w:rsidR="003C66EB" w:rsidRDefault="003C66EB">
            <w:pPr>
              <w:spacing w:after="20"/>
              <w:jc w:val="right"/>
              <w:textAlignment w:val="top"/>
            </w:pPr>
          </w:p>
        </w:tc>
        <w:tc>
          <w:tcPr>
            <w:tcW w:w="0" w:type="auto"/>
            <w:gridSpan w:val="2"/>
            <w:shd w:val="clear" w:color="auto" w:fill="FFFFFF"/>
            <w:tcMar>
              <w:top w:w="40" w:type="dxa"/>
              <w:left w:w="20" w:type="dxa"/>
              <w:bottom w:w="40" w:type="dxa"/>
              <w:right w:w="0" w:type="dxa"/>
            </w:tcMar>
            <w:vAlign w:val="bottom"/>
          </w:tcPr>
          <w:p w14:paraId="5EA2070E" w14:textId="77777777" w:rsidR="003C66EB" w:rsidRDefault="00D96C4E">
            <w:pPr>
              <w:jc w:val="right"/>
              <w:textAlignment w:val="bottom"/>
            </w:pPr>
            <w:r>
              <w:rPr>
                <w:rFonts w:ascii="Arial" w:eastAsia="宋体" w:hAnsi="Arial" w:cs="Arial"/>
                <w:b/>
                <w:bCs/>
                <w:color w:val="000000"/>
                <w:sz w:val="14"/>
                <w:szCs w:val="14"/>
              </w:rPr>
              <w:t>9,762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70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10" w14:textId="77777777" w:rsidR="003C66EB" w:rsidRDefault="003C66EB">
            <w:pPr>
              <w:spacing w:after="20"/>
              <w:jc w:val="right"/>
              <w:textAlignment w:val="top"/>
            </w:pPr>
          </w:p>
          <w:p w14:paraId="5EA20711" w14:textId="77777777" w:rsidR="003C66EB" w:rsidRDefault="003C66EB">
            <w:pPr>
              <w:spacing w:after="20"/>
              <w:jc w:val="right"/>
              <w:textAlignment w:val="top"/>
            </w:pPr>
          </w:p>
        </w:tc>
        <w:tc>
          <w:tcPr>
            <w:tcW w:w="0" w:type="auto"/>
            <w:gridSpan w:val="2"/>
            <w:shd w:val="clear" w:color="auto" w:fill="FFFFFF"/>
            <w:tcMar>
              <w:top w:w="40" w:type="dxa"/>
              <w:left w:w="20" w:type="dxa"/>
              <w:bottom w:w="40" w:type="dxa"/>
              <w:right w:w="0" w:type="dxa"/>
            </w:tcMar>
            <w:vAlign w:val="bottom"/>
          </w:tcPr>
          <w:p w14:paraId="5EA20712" w14:textId="77777777" w:rsidR="003C66EB" w:rsidRDefault="00D96C4E">
            <w:pPr>
              <w:jc w:val="right"/>
              <w:textAlignment w:val="bottom"/>
            </w:pPr>
            <w:r>
              <w:rPr>
                <w:rFonts w:ascii="Arial" w:eastAsia="宋体" w:hAnsi="Arial" w:cs="Arial"/>
                <w:b/>
                <w:bCs/>
                <w:color w:val="000000"/>
                <w:sz w:val="14"/>
                <w:szCs w:val="14"/>
              </w:rPr>
              <w:t>3,820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71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14" w14:textId="77777777" w:rsidR="003C66EB" w:rsidRDefault="003C66EB">
            <w:pPr>
              <w:rPr>
                <w:rFonts w:ascii="宋体"/>
              </w:rPr>
            </w:pPr>
          </w:p>
        </w:tc>
        <w:tc>
          <w:tcPr>
            <w:tcW w:w="0" w:type="auto"/>
            <w:shd w:val="clear" w:color="auto" w:fill="auto"/>
          </w:tcPr>
          <w:p w14:paraId="5EA20715" w14:textId="77777777" w:rsidR="003C66EB" w:rsidRDefault="003C66EB">
            <w:pPr>
              <w:rPr>
                <w:rFonts w:ascii="宋体"/>
                <w:vanish/>
              </w:rPr>
            </w:pPr>
          </w:p>
        </w:tc>
        <w:tc>
          <w:tcPr>
            <w:tcW w:w="0" w:type="auto"/>
            <w:shd w:val="clear" w:color="auto" w:fill="auto"/>
          </w:tcPr>
          <w:p w14:paraId="5EA2071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0717" w14:textId="77777777" w:rsidR="003C66EB" w:rsidRDefault="00D96C4E">
            <w:pPr>
              <w:jc w:val="right"/>
              <w:textAlignment w:val="bottom"/>
            </w:pPr>
            <w:r>
              <w:rPr>
                <w:rFonts w:ascii="Arial" w:eastAsia="宋体" w:hAnsi="Arial" w:cs="Arial"/>
                <w:color w:val="000000"/>
                <w:sz w:val="14"/>
                <w:szCs w:val="14"/>
              </w:rPr>
              <w:t>3,685 </w:t>
            </w:r>
          </w:p>
        </w:tc>
        <w:tc>
          <w:tcPr>
            <w:tcW w:w="0" w:type="auto"/>
            <w:shd w:val="clear" w:color="auto" w:fill="FFFFFF"/>
            <w:tcMar>
              <w:top w:w="40" w:type="dxa"/>
              <w:left w:w="0" w:type="dxa"/>
              <w:bottom w:w="40" w:type="dxa"/>
              <w:right w:w="20" w:type="dxa"/>
            </w:tcMar>
            <w:vAlign w:val="bottom"/>
          </w:tcPr>
          <w:p w14:paraId="5EA2071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1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71A" w14:textId="77777777" w:rsidR="003C66EB" w:rsidRDefault="00D96C4E">
            <w:pPr>
              <w:jc w:val="right"/>
              <w:textAlignment w:val="bottom"/>
            </w:pPr>
            <w:r>
              <w:rPr>
                <w:rFonts w:ascii="Arial" w:eastAsia="宋体" w:hAnsi="Arial" w:cs="Arial"/>
                <w:color w:val="000000"/>
                <w:sz w:val="14"/>
                <w:szCs w:val="14"/>
              </w:rPr>
              <w:t>8,874 </w:t>
            </w:r>
          </w:p>
        </w:tc>
        <w:tc>
          <w:tcPr>
            <w:tcW w:w="0" w:type="auto"/>
            <w:shd w:val="clear" w:color="auto" w:fill="FFFFFF"/>
            <w:tcMar>
              <w:top w:w="40" w:type="dxa"/>
              <w:left w:w="0" w:type="dxa"/>
              <w:bottom w:w="40" w:type="dxa"/>
              <w:right w:w="20" w:type="dxa"/>
            </w:tcMar>
            <w:vAlign w:val="bottom"/>
          </w:tcPr>
          <w:p w14:paraId="5EA2071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1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71D" w14:textId="77777777" w:rsidR="003C66EB" w:rsidRDefault="00D96C4E">
            <w:pPr>
              <w:jc w:val="right"/>
              <w:textAlignment w:val="bottom"/>
            </w:pPr>
            <w:r>
              <w:rPr>
                <w:rFonts w:ascii="Arial" w:eastAsia="宋体" w:hAnsi="Arial" w:cs="Arial"/>
                <w:color w:val="000000"/>
                <w:sz w:val="14"/>
                <w:szCs w:val="14"/>
              </w:rPr>
              <w:t>425 </w:t>
            </w:r>
          </w:p>
        </w:tc>
        <w:tc>
          <w:tcPr>
            <w:tcW w:w="0" w:type="auto"/>
            <w:shd w:val="clear" w:color="auto" w:fill="FFFFFF"/>
            <w:tcMar>
              <w:top w:w="40" w:type="dxa"/>
              <w:left w:w="0" w:type="dxa"/>
              <w:bottom w:w="40" w:type="dxa"/>
              <w:right w:w="20" w:type="dxa"/>
            </w:tcMar>
            <w:vAlign w:val="bottom"/>
          </w:tcPr>
          <w:p w14:paraId="5EA2071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1F" w14:textId="77777777" w:rsidR="003C66EB" w:rsidRDefault="003C66EB">
            <w:pPr>
              <w:rPr>
                <w:rFonts w:ascii="宋体"/>
              </w:rPr>
            </w:pPr>
          </w:p>
        </w:tc>
        <w:tc>
          <w:tcPr>
            <w:tcW w:w="0" w:type="auto"/>
            <w:shd w:val="clear" w:color="auto" w:fill="auto"/>
          </w:tcPr>
          <w:p w14:paraId="5EA20720" w14:textId="77777777" w:rsidR="003C66EB" w:rsidRDefault="003C66EB">
            <w:pPr>
              <w:rPr>
                <w:rFonts w:ascii="宋体"/>
                <w:vanish/>
              </w:rPr>
            </w:pPr>
          </w:p>
        </w:tc>
        <w:tc>
          <w:tcPr>
            <w:tcW w:w="0" w:type="auto"/>
            <w:shd w:val="clear" w:color="auto" w:fill="auto"/>
          </w:tcPr>
          <w:p w14:paraId="5EA20721"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0722" w14:textId="77777777" w:rsidR="003C66EB" w:rsidRDefault="00D96C4E">
            <w:pPr>
              <w:jc w:val="right"/>
              <w:textAlignment w:val="bottom"/>
            </w:pPr>
            <w:r>
              <w:rPr>
                <w:rFonts w:ascii="Arial" w:eastAsia="宋体" w:hAnsi="Arial" w:cs="Arial"/>
                <w:color w:val="000000"/>
                <w:sz w:val="14"/>
                <w:szCs w:val="14"/>
              </w:rPr>
              <w:t>803 </w:t>
            </w:r>
          </w:p>
        </w:tc>
        <w:tc>
          <w:tcPr>
            <w:tcW w:w="0" w:type="auto"/>
            <w:shd w:val="clear" w:color="auto" w:fill="FFFFFF"/>
            <w:tcMar>
              <w:top w:w="40" w:type="dxa"/>
              <w:left w:w="0" w:type="dxa"/>
              <w:bottom w:w="40" w:type="dxa"/>
              <w:right w:w="20" w:type="dxa"/>
            </w:tcMar>
            <w:vAlign w:val="bottom"/>
          </w:tcPr>
          <w:p w14:paraId="5EA2072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2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725" w14:textId="77777777" w:rsidR="003C66EB" w:rsidRDefault="00D96C4E">
            <w:pPr>
              <w:jc w:val="right"/>
              <w:textAlignment w:val="bottom"/>
            </w:pPr>
            <w:r>
              <w:rPr>
                <w:rFonts w:ascii="Arial" w:eastAsia="宋体" w:hAnsi="Arial" w:cs="Arial"/>
                <w:color w:val="000000"/>
                <w:sz w:val="14"/>
                <w:szCs w:val="14"/>
              </w:rPr>
              <w:t>4,018 </w:t>
            </w:r>
          </w:p>
        </w:tc>
        <w:tc>
          <w:tcPr>
            <w:tcW w:w="0" w:type="auto"/>
            <w:shd w:val="clear" w:color="auto" w:fill="FFFFFF"/>
            <w:tcMar>
              <w:top w:w="40" w:type="dxa"/>
              <w:left w:w="0" w:type="dxa"/>
              <w:bottom w:w="40" w:type="dxa"/>
              <w:right w:w="20" w:type="dxa"/>
            </w:tcMar>
            <w:vAlign w:val="bottom"/>
          </w:tcPr>
          <w:p w14:paraId="5EA20726"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727"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728" w14:textId="77777777" w:rsidR="003C66EB" w:rsidRDefault="00D96C4E">
            <w:pPr>
              <w:jc w:val="right"/>
              <w:textAlignment w:val="bottom"/>
            </w:pPr>
            <w:r>
              <w:rPr>
                <w:rFonts w:ascii="Arial" w:eastAsia="宋体" w:hAnsi="Arial" w:cs="Arial"/>
                <w:color w:val="000000"/>
                <w:sz w:val="14"/>
                <w:szCs w:val="14"/>
              </w:rPr>
              <w:t>112 </w:t>
            </w:r>
          </w:p>
          <w:p w14:paraId="5EA20729" w14:textId="77777777" w:rsidR="003C66EB" w:rsidRDefault="00D96C4E">
            <w:pPr>
              <w:jc w:val="right"/>
              <w:textAlignment w:val="bottom"/>
            </w:pPr>
            <w:r>
              <w:rPr>
                <w:rFonts w:ascii="Arial" w:eastAsia="宋体" w:hAnsi="Arial" w:cs="Arial"/>
                <w:b/>
                <w:bCs/>
                <w:color w:val="000000"/>
                <w:sz w:val="14"/>
                <w:szCs w:val="14"/>
              </w:rPr>
              <w:t>9,655</w:t>
            </w:r>
            <w:r>
              <w:rPr>
                <w:rFonts w:ascii="Arial" w:eastAsia="宋体" w:hAnsi="Arial" w:cs="Arial"/>
                <w:color w:val="000000"/>
                <w:sz w:val="14"/>
                <w:szCs w:val="14"/>
              </w:rPr>
              <w:t> </w:t>
            </w:r>
          </w:p>
          <w:p w14:paraId="5EA2072A" w14:textId="77777777" w:rsidR="003C66EB" w:rsidRDefault="00D96C4E">
            <w:pPr>
              <w:jc w:val="right"/>
              <w:textAlignment w:val="bottom"/>
            </w:pPr>
            <w:r>
              <w:rPr>
                <w:rFonts w:ascii="Arial" w:eastAsia="宋体" w:hAnsi="Arial" w:cs="Arial"/>
                <w:color w:val="000000"/>
                <w:sz w:val="14"/>
                <w:szCs w:val="14"/>
              </w:rPr>
              <w:t>4,015 </w:t>
            </w:r>
          </w:p>
          <w:p w14:paraId="5EA2072B" w14:textId="77777777" w:rsidR="003C66EB" w:rsidRDefault="00D96C4E">
            <w:pPr>
              <w:jc w:val="right"/>
              <w:textAlignment w:val="bottom"/>
            </w:pPr>
            <w:r>
              <w:rPr>
                <w:rFonts w:ascii="Arial" w:eastAsia="宋体" w:hAnsi="Arial" w:cs="Arial"/>
                <w:color w:val="000000"/>
                <w:sz w:val="14"/>
                <w:szCs w:val="14"/>
              </w:rPr>
              <w:t>3,335 </w:t>
            </w:r>
          </w:p>
        </w:tc>
      </w:tr>
      <w:tr w:rsidR="003C66EB" w14:paraId="5EA20750" w14:textId="77777777">
        <w:tc>
          <w:tcPr>
            <w:tcW w:w="0" w:type="auto"/>
            <w:gridSpan w:val="3"/>
            <w:shd w:val="clear" w:color="auto" w:fill="CCEEFF"/>
            <w:tcMar>
              <w:top w:w="40" w:type="dxa"/>
              <w:left w:w="20" w:type="dxa"/>
              <w:bottom w:w="40" w:type="dxa"/>
              <w:right w:w="20" w:type="dxa"/>
            </w:tcMar>
            <w:vAlign w:val="bottom"/>
          </w:tcPr>
          <w:p w14:paraId="5EA2072D" w14:textId="77777777" w:rsidR="003C66EB" w:rsidRDefault="00D96C4E">
            <w:pPr>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5EA2072E" w14:textId="77777777" w:rsidR="003C66EB" w:rsidRDefault="00D96C4E">
            <w:pPr>
              <w:jc w:val="right"/>
              <w:textAlignment w:val="bottom"/>
            </w:pPr>
            <w:r>
              <w:rPr>
                <w:rFonts w:ascii="Arial" w:eastAsia="宋体" w:hAnsi="Arial" w:cs="Arial"/>
                <w:b/>
                <w:bCs/>
                <w:color w:val="000000"/>
                <w:sz w:val="14"/>
                <w:szCs w:val="14"/>
              </w:rPr>
              <w:t>(3,736)</w:t>
            </w:r>
          </w:p>
        </w:tc>
        <w:tc>
          <w:tcPr>
            <w:tcW w:w="0" w:type="auto"/>
            <w:shd w:val="clear" w:color="auto" w:fill="CCEEFF"/>
            <w:tcMar>
              <w:top w:w="40" w:type="dxa"/>
              <w:left w:w="0" w:type="dxa"/>
              <w:bottom w:w="40" w:type="dxa"/>
              <w:right w:w="20" w:type="dxa"/>
            </w:tcMar>
            <w:vAlign w:val="bottom"/>
          </w:tcPr>
          <w:p w14:paraId="5EA207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30" w14:textId="77777777" w:rsidR="003C66EB" w:rsidRDefault="003C66EB">
            <w:pPr>
              <w:spacing w:after="20"/>
              <w:jc w:val="right"/>
              <w:textAlignment w:val="top"/>
            </w:pPr>
          </w:p>
          <w:p w14:paraId="5EA20731" w14:textId="77777777" w:rsidR="003C66EB" w:rsidRDefault="003C66EB">
            <w:pPr>
              <w:spacing w:after="20"/>
              <w:jc w:val="right"/>
              <w:textAlignment w:val="top"/>
            </w:pPr>
          </w:p>
        </w:tc>
        <w:tc>
          <w:tcPr>
            <w:tcW w:w="0" w:type="auto"/>
            <w:gridSpan w:val="2"/>
            <w:shd w:val="clear" w:color="auto" w:fill="CCEEFF"/>
            <w:tcMar>
              <w:top w:w="40" w:type="dxa"/>
              <w:left w:w="20" w:type="dxa"/>
              <w:bottom w:w="40" w:type="dxa"/>
              <w:right w:w="0" w:type="dxa"/>
            </w:tcMar>
            <w:vAlign w:val="bottom"/>
          </w:tcPr>
          <w:p w14:paraId="5EA20732" w14:textId="77777777" w:rsidR="003C66EB" w:rsidRDefault="00D96C4E">
            <w:pPr>
              <w:jc w:val="right"/>
              <w:textAlignment w:val="bottom"/>
            </w:pPr>
            <w:r>
              <w:rPr>
                <w:rFonts w:ascii="Arial" w:eastAsia="宋体" w:hAnsi="Arial" w:cs="Arial"/>
                <w:b/>
                <w:bCs/>
                <w:color w:val="000000"/>
                <w:sz w:val="14"/>
                <w:szCs w:val="14"/>
              </w:rPr>
              <w:t>(2,884)</w:t>
            </w:r>
          </w:p>
        </w:tc>
        <w:tc>
          <w:tcPr>
            <w:tcW w:w="0" w:type="auto"/>
            <w:shd w:val="clear" w:color="auto" w:fill="CCEEFF"/>
            <w:tcMar>
              <w:top w:w="40" w:type="dxa"/>
              <w:left w:w="0" w:type="dxa"/>
              <w:bottom w:w="40" w:type="dxa"/>
              <w:right w:w="20" w:type="dxa"/>
            </w:tcMar>
            <w:vAlign w:val="bottom"/>
          </w:tcPr>
          <w:p w14:paraId="5EA2073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34" w14:textId="77777777" w:rsidR="003C66EB" w:rsidRDefault="003C66EB">
            <w:pPr>
              <w:spacing w:after="20"/>
              <w:jc w:val="right"/>
              <w:textAlignment w:val="top"/>
            </w:pPr>
          </w:p>
          <w:p w14:paraId="5EA20735" w14:textId="77777777" w:rsidR="003C66EB" w:rsidRDefault="003C66EB">
            <w:pPr>
              <w:spacing w:after="20"/>
              <w:jc w:val="right"/>
              <w:textAlignment w:val="top"/>
            </w:pPr>
          </w:p>
        </w:tc>
        <w:tc>
          <w:tcPr>
            <w:tcW w:w="0" w:type="auto"/>
            <w:gridSpan w:val="2"/>
            <w:shd w:val="clear" w:color="auto" w:fill="CCEEFF"/>
            <w:tcMar>
              <w:top w:w="40" w:type="dxa"/>
              <w:left w:w="20" w:type="dxa"/>
              <w:bottom w:w="40" w:type="dxa"/>
              <w:right w:w="0" w:type="dxa"/>
            </w:tcMar>
            <w:vAlign w:val="bottom"/>
          </w:tcPr>
          <w:p w14:paraId="5EA20736" w14:textId="77777777" w:rsidR="003C66EB" w:rsidRDefault="00D96C4E">
            <w:pPr>
              <w:jc w:val="right"/>
              <w:textAlignment w:val="bottom"/>
            </w:pPr>
            <w:r>
              <w:rPr>
                <w:rFonts w:ascii="Arial" w:eastAsia="宋体" w:hAnsi="Arial" w:cs="Arial"/>
                <w:b/>
                <w:bCs/>
                <w:color w:val="000000"/>
                <w:sz w:val="14"/>
                <w:szCs w:val="14"/>
              </w:rPr>
              <w:t>(2,576)</w:t>
            </w:r>
          </w:p>
        </w:tc>
        <w:tc>
          <w:tcPr>
            <w:tcW w:w="0" w:type="auto"/>
            <w:shd w:val="clear" w:color="auto" w:fill="CCEEFF"/>
            <w:tcMar>
              <w:top w:w="40" w:type="dxa"/>
              <w:left w:w="0" w:type="dxa"/>
              <w:bottom w:w="40" w:type="dxa"/>
              <w:right w:w="20" w:type="dxa"/>
            </w:tcMar>
            <w:vAlign w:val="bottom"/>
          </w:tcPr>
          <w:p w14:paraId="5EA207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38" w14:textId="77777777" w:rsidR="003C66EB" w:rsidRDefault="003C66EB">
            <w:pPr>
              <w:rPr>
                <w:rFonts w:ascii="宋体"/>
              </w:rPr>
            </w:pPr>
          </w:p>
        </w:tc>
        <w:tc>
          <w:tcPr>
            <w:tcW w:w="0" w:type="auto"/>
            <w:shd w:val="clear" w:color="auto" w:fill="auto"/>
          </w:tcPr>
          <w:p w14:paraId="5EA20739" w14:textId="77777777" w:rsidR="003C66EB" w:rsidRDefault="003C66EB">
            <w:pPr>
              <w:rPr>
                <w:rFonts w:ascii="宋体"/>
                <w:vanish/>
              </w:rPr>
            </w:pPr>
          </w:p>
        </w:tc>
        <w:tc>
          <w:tcPr>
            <w:tcW w:w="0" w:type="auto"/>
            <w:shd w:val="clear" w:color="auto" w:fill="auto"/>
          </w:tcPr>
          <w:p w14:paraId="5EA2073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073B" w14:textId="77777777" w:rsidR="003C66EB" w:rsidRDefault="00D96C4E">
            <w:pPr>
              <w:jc w:val="right"/>
              <w:textAlignment w:val="bottom"/>
            </w:pPr>
            <w:r>
              <w:rPr>
                <w:rFonts w:ascii="Arial" w:eastAsia="宋体" w:hAnsi="Arial" w:cs="Arial"/>
                <w:color w:val="000000"/>
                <w:sz w:val="14"/>
                <w:szCs w:val="14"/>
              </w:rPr>
              <w:t>(2,737)</w:t>
            </w:r>
          </w:p>
        </w:tc>
        <w:tc>
          <w:tcPr>
            <w:tcW w:w="0" w:type="auto"/>
            <w:shd w:val="clear" w:color="auto" w:fill="CCEEFF"/>
            <w:tcMar>
              <w:top w:w="40" w:type="dxa"/>
              <w:left w:w="0" w:type="dxa"/>
              <w:bottom w:w="40" w:type="dxa"/>
              <w:right w:w="20" w:type="dxa"/>
            </w:tcMar>
            <w:vAlign w:val="bottom"/>
          </w:tcPr>
          <w:p w14:paraId="5EA2073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3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73E" w14:textId="77777777" w:rsidR="003C66EB" w:rsidRDefault="00D96C4E">
            <w:pPr>
              <w:jc w:val="right"/>
              <w:textAlignment w:val="bottom"/>
            </w:pPr>
            <w:r>
              <w:rPr>
                <w:rFonts w:ascii="Arial" w:eastAsia="宋体" w:hAnsi="Arial" w:cs="Arial"/>
                <w:color w:val="000000"/>
                <w:sz w:val="14"/>
                <w:szCs w:val="14"/>
              </w:rPr>
              <w:t>(9,062)</w:t>
            </w:r>
          </w:p>
        </w:tc>
        <w:tc>
          <w:tcPr>
            <w:tcW w:w="0" w:type="auto"/>
            <w:shd w:val="clear" w:color="auto" w:fill="CCEEFF"/>
            <w:tcMar>
              <w:top w:w="40" w:type="dxa"/>
              <w:left w:w="0" w:type="dxa"/>
              <w:bottom w:w="40" w:type="dxa"/>
              <w:right w:w="20" w:type="dxa"/>
            </w:tcMar>
            <w:vAlign w:val="bottom"/>
          </w:tcPr>
          <w:p w14:paraId="5EA207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4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741" w14:textId="77777777" w:rsidR="003C66EB" w:rsidRDefault="00D96C4E">
            <w:pPr>
              <w:jc w:val="right"/>
              <w:textAlignment w:val="bottom"/>
            </w:pPr>
            <w:r>
              <w:rPr>
                <w:rFonts w:ascii="Arial" w:eastAsia="宋体" w:hAnsi="Arial" w:cs="Arial"/>
                <w:color w:val="000000"/>
                <w:sz w:val="14"/>
                <w:szCs w:val="14"/>
              </w:rPr>
              <w:t>1,619 </w:t>
            </w:r>
          </w:p>
        </w:tc>
        <w:tc>
          <w:tcPr>
            <w:tcW w:w="0" w:type="auto"/>
            <w:shd w:val="clear" w:color="auto" w:fill="CCEEFF"/>
            <w:tcMar>
              <w:top w:w="40" w:type="dxa"/>
              <w:left w:w="0" w:type="dxa"/>
              <w:bottom w:w="40" w:type="dxa"/>
              <w:right w:w="20" w:type="dxa"/>
            </w:tcMar>
            <w:vAlign w:val="bottom"/>
          </w:tcPr>
          <w:p w14:paraId="5EA207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43" w14:textId="77777777" w:rsidR="003C66EB" w:rsidRDefault="003C66EB">
            <w:pPr>
              <w:rPr>
                <w:rFonts w:ascii="宋体"/>
              </w:rPr>
            </w:pPr>
          </w:p>
        </w:tc>
        <w:tc>
          <w:tcPr>
            <w:tcW w:w="0" w:type="auto"/>
            <w:shd w:val="clear" w:color="auto" w:fill="auto"/>
          </w:tcPr>
          <w:p w14:paraId="5EA20744" w14:textId="77777777" w:rsidR="003C66EB" w:rsidRDefault="003C66EB">
            <w:pPr>
              <w:rPr>
                <w:rFonts w:ascii="宋体"/>
                <w:vanish/>
              </w:rPr>
            </w:pPr>
          </w:p>
        </w:tc>
        <w:tc>
          <w:tcPr>
            <w:tcW w:w="0" w:type="auto"/>
            <w:shd w:val="clear" w:color="auto" w:fill="auto"/>
          </w:tcPr>
          <w:p w14:paraId="5EA20745"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0746" w14:textId="77777777" w:rsidR="003C66EB" w:rsidRDefault="00D96C4E">
            <w:pPr>
              <w:jc w:val="right"/>
              <w:textAlignment w:val="bottom"/>
            </w:pPr>
            <w:r>
              <w:rPr>
                <w:rFonts w:ascii="Arial" w:eastAsia="宋体" w:hAnsi="Arial" w:cs="Arial"/>
                <w:color w:val="000000"/>
                <w:sz w:val="14"/>
                <w:szCs w:val="14"/>
              </w:rPr>
              <w:t>(808)</w:t>
            </w:r>
          </w:p>
        </w:tc>
        <w:tc>
          <w:tcPr>
            <w:tcW w:w="0" w:type="auto"/>
            <w:shd w:val="clear" w:color="auto" w:fill="CCEEFF"/>
            <w:tcMar>
              <w:top w:w="40" w:type="dxa"/>
              <w:left w:w="0" w:type="dxa"/>
              <w:bottom w:w="40" w:type="dxa"/>
              <w:right w:w="20" w:type="dxa"/>
            </w:tcMar>
            <w:vAlign w:val="bottom"/>
          </w:tcPr>
          <w:p w14:paraId="5EA207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4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749" w14:textId="77777777" w:rsidR="003C66EB" w:rsidRDefault="00D96C4E">
            <w:pPr>
              <w:jc w:val="right"/>
              <w:textAlignment w:val="bottom"/>
            </w:pPr>
            <w:r>
              <w:rPr>
                <w:rFonts w:ascii="Arial" w:eastAsia="宋体" w:hAnsi="Arial" w:cs="Arial"/>
                <w:color w:val="000000"/>
                <w:sz w:val="14"/>
                <w:szCs w:val="14"/>
              </w:rPr>
              <w:t>(4,048)</w:t>
            </w:r>
          </w:p>
        </w:tc>
        <w:tc>
          <w:tcPr>
            <w:tcW w:w="0" w:type="auto"/>
            <w:shd w:val="clear" w:color="auto" w:fill="CCEEFF"/>
            <w:tcMar>
              <w:top w:w="40" w:type="dxa"/>
              <w:left w:w="0" w:type="dxa"/>
              <w:bottom w:w="40" w:type="dxa"/>
              <w:right w:w="20" w:type="dxa"/>
            </w:tcMar>
            <w:vAlign w:val="bottom"/>
          </w:tcPr>
          <w:p w14:paraId="5EA2074A"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74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74C" w14:textId="77777777" w:rsidR="003C66EB" w:rsidRDefault="00D96C4E">
            <w:pPr>
              <w:jc w:val="right"/>
              <w:textAlignment w:val="bottom"/>
            </w:pPr>
            <w:r>
              <w:rPr>
                <w:rFonts w:ascii="Arial" w:eastAsia="宋体" w:hAnsi="Arial" w:cs="Arial"/>
                <w:color w:val="000000"/>
                <w:sz w:val="14"/>
                <w:szCs w:val="14"/>
              </w:rPr>
              <w:t>(121)</w:t>
            </w:r>
          </w:p>
          <w:p w14:paraId="5EA2074D" w14:textId="77777777" w:rsidR="003C66EB" w:rsidRDefault="00D96C4E">
            <w:pPr>
              <w:jc w:val="right"/>
              <w:textAlignment w:val="bottom"/>
            </w:pPr>
            <w:r>
              <w:rPr>
                <w:rFonts w:ascii="Arial" w:eastAsia="宋体" w:hAnsi="Arial" w:cs="Arial"/>
                <w:b/>
                <w:bCs/>
                <w:color w:val="000000"/>
                <w:sz w:val="14"/>
                <w:szCs w:val="14"/>
              </w:rPr>
              <w:t>(8,973)</w:t>
            </w:r>
          </w:p>
          <w:p w14:paraId="5EA2074E" w14:textId="77777777" w:rsidR="003C66EB" w:rsidRDefault="00D96C4E">
            <w:pPr>
              <w:jc w:val="right"/>
              <w:textAlignment w:val="bottom"/>
            </w:pPr>
            <w:r>
              <w:rPr>
                <w:rFonts w:ascii="Arial" w:eastAsia="宋体" w:hAnsi="Arial" w:cs="Arial"/>
                <w:color w:val="000000"/>
                <w:sz w:val="14"/>
                <w:szCs w:val="14"/>
              </w:rPr>
              <w:t>(4,068)</w:t>
            </w:r>
          </w:p>
          <w:p w14:paraId="5EA2074F" w14:textId="77777777" w:rsidR="003C66EB" w:rsidRDefault="00D96C4E">
            <w:pPr>
              <w:jc w:val="right"/>
              <w:textAlignment w:val="bottom"/>
            </w:pPr>
            <w:r>
              <w:rPr>
                <w:rFonts w:ascii="Arial" w:eastAsia="宋体" w:hAnsi="Arial" w:cs="Arial"/>
                <w:color w:val="000000"/>
                <w:sz w:val="14"/>
                <w:szCs w:val="14"/>
              </w:rPr>
              <w:t>(3,341)</w:t>
            </w:r>
          </w:p>
        </w:tc>
      </w:tr>
      <w:tr w:rsidR="00D96C4E" w14:paraId="5EA20780" w14:textId="77777777">
        <w:tc>
          <w:tcPr>
            <w:tcW w:w="0" w:type="auto"/>
            <w:gridSpan w:val="3"/>
            <w:shd w:val="clear" w:color="auto" w:fill="FFFFFF"/>
            <w:tcMar>
              <w:top w:w="40" w:type="dxa"/>
              <w:left w:w="20" w:type="dxa"/>
              <w:bottom w:w="40" w:type="dxa"/>
              <w:right w:w="20" w:type="dxa"/>
            </w:tcMar>
            <w:vAlign w:val="bottom"/>
          </w:tcPr>
          <w:p w14:paraId="5EA20751" w14:textId="77777777" w:rsidR="003C66EB" w:rsidRDefault="00D96C4E">
            <w:pPr>
              <w:textAlignment w:val="bottom"/>
            </w:pPr>
            <w:r>
              <w:rPr>
                <w:rFonts w:ascii="Arial" w:eastAsia="宋体" w:hAnsi="Arial" w:cs="Arial"/>
                <w:color w:val="000000"/>
                <w:sz w:val="15"/>
                <w:szCs w:val="15"/>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075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53" w14:textId="77777777" w:rsidR="003C66EB" w:rsidRDefault="00D96C4E">
            <w:pPr>
              <w:jc w:val="right"/>
              <w:textAlignment w:val="bottom"/>
            </w:pPr>
            <w:r>
              <w:rPr>
                <w:rFonts w:ascii="Arial" w:eastAsia="宋体" w:hAnsi="Arial" w:cs="Arial"/>
                <w:b/>
                <w:bCs/>
                <w:color w:val="000000"/>
                <w:sz w:val="14"/>
                <w:szCs w:val="14"/>
              </w:rPr>
              <w:t>15,187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5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55" w14:textId="77777777" w:rsidR="003C66EB" w:rsidRDefault="003C66EB">
            <w:pPr>
              <w:spacing w:after="20"/>
              <w:jc w:val="right"/>
              <w:textAlignment w:val="top"/>
            </w:pPr>
          </w:p>
          <w:p w14:paraId="5EA20756" w14:textId="77777777" w:rsidR="003C66EB" w:rsidRDefault="003C66EB">
            <w:pPr>
              <w:spacing w:after="20"/>
              <w:jc w:val="right"/>
              <w:textAlignment w:val="top"/>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5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58" w14:textId="77777777" w:rsidR="003C66EB" w:rsidRDefault="00D96C4E">
            <w:pPr>
              <w:jc w:val="right"/>
              <w:textAlignment w:val="bottom"/>
            </w:pPr>
            <w:r>
              <w:rPr>
                <w:rFonts w:ascii="Arial" w:eastAsia="宋体" w:hAnsi="Arial" w:cs="Arial"/>
                <w:b/>
                <w:bCs/>
                <w:color w:val="000000"/>
                <w:sz w:val="14"/>
                <w:szCs w:val="14"/>
              </w:rPr>
              <w:t>32,289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5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5A" w14:textId="77777777" w:rsidR="003C66EB" w:rsidRDefault="003C66EB">
            <w:pPr>
              <w:spacing w:after="20"/>
              <w:jc w:val="right"/>
              <w:textAlignment w:val="top"/>
            </w:pPr>
          </w:p>
          <w:p w14:paraId="5EA2075B" w14:textId="77777777" w:rsidR="003C66EB" w:rsidRDefault="003C66EB">
            <w:pPr>
              <w:spacing w:after="20"/>
              <w:jc w:val="right"/>
              <w:textAlignment w:val="top"/>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5C"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5D" w14:textId="77777777" w:rsidR="003C66EB" w:rsidRDefault="00D96C4E">
            <w:pPr>
              <w:jc w:val="right"/>
              <w:textAlignment w:val="bottom"/>
            </w:pPr>
            <w:r>
              <w:rPr>
                <w:rFonts w:ascii="Arial" w:eastAsia="宋体" w:hAnsi="Arial" w:cs="Arial"/>
                <w:b/>
                <w:bCs/>
                <w:color w:val="000000"/>
                <w:sz w:val="14"/>
                <w:szCs w:val="14"/>
              </w:rPr>
              <w:t>6,496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5F" w14:textId="77777777" w:rsidR="003C66EB" w:rsidRDefault="003C66EB">
            <w:pPr>
              <w:rPr>
                <w:rFonts w:ascii="宋体"/>
              </w:rPr>
            </w:pPr>
          </w:p>
        </w:tc>
        <w:tc>
          <w:tcPr>
            <w:tcW w:w="0" w:type="auto"/>
            <w:shd w:val="clear" w:color="auto" w:fill="auto"/>
          </w:tcPr>
          <w:p w14:paraId="5EA20760" w14:textId="77777777" w:rsidR="003C66EB" w:rsidRDefault="003C66EB">
            <w:pPr>
              <w:rPr>
                <w:rFonts w:ascii="宋体"/>
                <w:vanish/>
              </w:rPr>
            </w:pPr>
          </w:p>
        </w:tc>
        <w:tc>
          <w:tcPr>
            <w:tcW w:w="0" w:type="auto"/>
            <w:shd w:val="clear" w:color="auto" w:fill="auto"/>
          </w:tcPr>
          <w:p w14:paraId="5EA20761" w14:textId="77777777" w:rsidR="003C66EB" w:rsidRDefault="003C66E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6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63" w14:textId="77777777" w:rsidR="003C66EB" w:rsidRDefault="00D96C4E">
            <w:pPr>
              <w:jc w:val="right"/>
              <w:textAlignment w:val="bottom"/>
            </w:pPr>
            <w:r>
              <w:rPr>
                <w:rFonts w:ascii="Arial" w:eastAsia="宋体" w:hAnsi="Arial" w:cs="Arial"/>
                <w:color w:val="000000"/>
                <w:sz w:val="14"/>
                <w:szCs w:val="14"/>
              </w:rPr>
              <w:t>16,610 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65"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6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67" w14:textId="77777777" w:rsidR="003C66EB" w:rsidRDefault="00D96C4E">
            <w:pPr>
              <w:jc w:val="right"/>
              <w:textAlignment w:val="bottom"/>
            </w:pPr>
            <w:r>
              <w:rPr>
                <w:rFonts w:ascii="Arial" w:eastAsia="宋体" w:hAnsi="Arial" w:cs="Arial"/>
                <w:color w:val="000000"/>
                <w:sz w:val="14"/>
                <w:szCs w:val="14"/>
              </w:rPr>
              <w:t>33,803 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6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69"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6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6B" w14:textId="77777777" w:rsidR="003C66EB" w:rsidRDefault="00D96C4E">
            <w:pPr>
              <w:jc w:val="right"/>
              <w:textAlignment w:val="bottom"/>
            </w:pPr>
            <w:r>
              <w:rPr>
                <w:rFonts w:ascii="Arial" w:eastAsia="宋体" w:hAnsi="Arial" w:cs="Arial"/>
                <w:color w:val="000000"/>
                <w:sz w:val="14"/>
                <w:szCs w:val="14"/>
              </w:rPr>
              <w:t>7,426 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6D" w14:textId="77777777" w:rsidR="003C66EB" w:rsidRDefault="003C66EB">
            <w:pPr>
              <w:rPr>
                <w:rFonts w:ascii="宋体"/>
              </w:rPr>
            </w:pPr>
          </w:p>
        </w:tc>
        <w:tc>
          <w:tcPr>
            <w:tcW w:w="0" w:type="auto"/>
            <w:shd w:val="clear" w:color="auto" w:fill="auto"/>
          </w:tcPr>
          <w:p w14:paraId="5EA2076E" w14:textId="77777777" w:rsidR="003C66EB" w:rsidRDefault="003C66EB">
            <w:pPr>
              <w:rPr>
                <w:rFonts w:ascii="宋体"/>
                <w:vanish/>
              </w:rPr>
            </w:pPr>
          </w:p>
        </w:tc>
        <w:tc>
          <w:tcPr>
            <w:tcW w:w="0" w:type="auto"/>
            <w:shd w:val="clear" w:color="auto" w:fill="auto"/>
          </w:tcPr>
          <w:p w14:paraId="5EA2076F" w14:textId="77777777" w:rsidR="003C66EB" w:rsidRDefault="003C66E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7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71" w14:textId="77777777" w:rsidR="003C66EB" w:rsidRDefault="00D96C4E">
            <w:pPr>
              <w:jc w:val="right"/>
              <w:textAlignment w:val="bottom"/>
            </w:pPr>
            <w:r>
              <w:rPr>
                <w:rFonts w:ascii="Arial" w:eastAsia="宋体" w:hAnsi="Arial" w:cs="Arial"/>
                <w:color w:val="000000"/>
                <w:sz w:val="14"/>
                <w:szCs w:val="14"/>
              </w:rPr>
              <w:t>9,528 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73"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7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775" w14:textId="77777777" w:rsidR="003C66EB" w:rsidRDefault="00D96C4E">
            <w:pPr>
              <w:jc w:val="right"/>
              <w:textAlignment w:val="bottom"/>
            </w:pPr>
            <w:r>
              <w:rPr>
                <w:rFonts w:ascii="Arial" w:eastAsia="宋体" w:hAnsi="Arial" w:cs="Arial"/>
                <w:color w:val="000000"/>
                <w:sz w:val="14"/>
                <w:szCs w:val="14"/>
              </w:rPr>
              <w:t>14,545 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776"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777"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778" w14:textId="77777777" w:rsidR="003C66EB" w:rsidRDefault="00D96C4E">
            <w:pPr>
              <w:textAlignment w:val="bottom"/>
            </w:pPr>
            <w:r>
              <w:rPr>
                <w:rFonts w:ascii="Arial" w:eastAsia="宋体" w:hAnsi="Arial" w:cs="Arial"/>
                <w:color w:val="000000"/>
                <w:sz w:val="14"/>
                <w:szCs w:val="14"/>
              </w:rPr>
              <w:t>$</w:t>
            </w:r>
          </w:p>
          <w:p w14:paraId="5EA20779" w14:textId="77777777" w:rsidR="003C66EB" w:rsidRDefault="00D96C4E">
            <w:pPr>
              <w:jc w:val="right"/>
              <w:textAlignment w:val="bottom"/>
            </w:pPr>
            <w:r>
              <w:rPr>
                <w:rFonts w:ascii="Arial" w:eastAsia="宋体" w:hAnsi="Arial" w:cs="Arial"/>
                <w:color w:val="000000"/>
                <w:sz w:val="14"/>
                <w:szCs w:val="14"/>
              </w:rPr>
              <w:t>5,211 </w:t>
            </w:r>
          </w:p>
          <w:p w14:paraId="5EA2077A" w14:textId="77777777" w:rsidR="003C66EB" w:rsidRDefault="00D96C4E">
            <w:pPr>
              <w:textAlignment w:val="bottom"/>
            </w:pPr>
            <w:r>
              <w:rPr>
                <w:rFonts w:ascii="Arial" w:eastAsia="宋体" w:hAnsi="Arial" w:cs="Arial"/>
                <w:b/>
                <w:bCs/>
                <w:color w:val="000000"/>
                <w:sz w:val="14"/>
                <w:szCs w:val="14"/>
              </w:rPr>
              <w:t>$</w:t>
            </w:r>
          </w:p>
          <w:p w14:paraId="5EA2077B" w14:textId="77777777" w:rsidR="003C66EB" w:rsidRDefault="00D96C4E">
            <w:pPr>
              <w:jc w:val="right"/>
              <w:textAlignment w:val="bottom"/>
            </w:pPr>
            <w:r>
              <w:rPr>
                <w:rFonts w:ascii="Arial" w:eastAsia="宋体" w:hAnsi="Arial" w:cs="Arial"/>
                <w:b/>
                <w:bCs/>
                <w:color w:val="000000"/>
                <w:sz w:val="14"/>
                <w:szCs w:val="14"/>
              </w:rPr>
              <w:t>15,269</w:t>
            </w:r>
            <w:r>
              <w:rPr>
                <w:rFonts w:ascii="Arial" w:eastAsia="宋体" w:hAnsi="Arial" w:cs="Arial"/>
                <w:color w:val="000000"/>
                <w:sz w:val="14"/>
                <w:szCs w:val="14"/>
              </w:rPr>
              <w:t> </w:t>
            </w:r>
          </w:p>
          <w:p w14:paraId="5EA2077C" w14:textId="77777777" w:rsidR="003C66EB" w:rsidRDefault="00D96C4E">
            <w:pPr>
              <w:textAlignment w:val="bottom"/>
            </w:pPr>
            <w:r>
              <w:rPr>
                <w:rFonts w:ascii="Arial" w:eastAsia="宋体" w:hAnsi="Arial" w:cs="Arial"/>
                <w:color w:val="000000"/>
                <w:sz w:val="14"/>
                <w:szCs w:val="14"/>
              </w:rPr>
              <w:t>$</w:t>
            </w:r>
          </w:p>
          <w:p w14:paraId="5EA2077D" w14:textId="77777777" w:rsidR="003C66EB" w:rsidRDefault="00D96C4E">
            <w:pPr>
              <w:jc w:val="right"/>
              <w:textAlignment w:val="bottom"/>
            </w:pPr>
            <w:r>
              <w:rPr>
                <w:rFonts w:ascii="Arial" w:eastAsia="宋体" w:hAnsi="Arial" w:cs="Arial"/>
                <w:color w:val="000000"/>
                <w:sz w:val="14"/>
                <w:szCs w:val="14"/>
              </w:rPr>
              <w:t>9,268 </w:t>
            </w:r>
          </w:p>
          <w:p w14:paraId="5EA2077E" w14:textId="77777777" w:rsidR="003C66EB" w:rsidRDefault="00D96C4E">
            <w:pPr>
              <w:textAlignment w:val="bottom"/>
            </w:pPr>
            <w:r>
              <w:rPr>
                <w:rFonts w:ascii="Arial" w:eastAsia="宋体" w:hAnsi="Arial" w:cs="Arial"/>
                <w:color w:val="000000"/>
                <w:sz w:val="14"/>
                <w:szCs w:val="14"/>
              </w:rPr>
              <w:t>$</w:t>
            </w:r>
          </w:p>
          <w:p w14:paraId="5EA2077F" w14:textId="77777777" w:rsidR="003C66EB" w:rsidRDefault="00D96C4E">
            <w:pPr>
              <w:jc w:val="right"/>
              <w:textAlignment w:val="bottom"/>
            </w:pPr>
            <w:r>
              <w:rPr>
                <w:rFonts w:ascii="Arial" w:eastAsia="宋体" w:hAnsi="Arial" w:cs="Arial"/>
                <w:color w:val="000000"/>
                <w:sz w:val="14"/>
                <w:szCs w:val="14"/>
              </w:rPr>
              <w:t>6,490 </w:t>
            </w:r>
          </w:p>
        </w:tc>
      </w:tr>
      <w:tr w:rsidR="003C66EB" w14:paraId="5EA20797" w14:textId="77777777">
        <w:trPr>
          <w:trHeight w:val="220"/>
        </w:trPr>
        <w:tc>
          <w:tcPr>
            <w:tcW w:w="0" w:type="auto"/>
            <w:gridSpan w:val="3"/>
            <w:shd w:val="clear" w:color="auto" w:fill="auto"/>
            <w:tcMar>
              <w:top w:w="0" w:type="dxa"/>
              <w:left w:w="20" w:type="dxa"/>
              <w:bottom w:w="0" w:type="dxa"/>
              <w:right w:w="20" w:type="dxa"/>
            </w:tcMar>
          </w:tcPr>
          <w:p w14:paraId="5EA2078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8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8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8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8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8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87" w14:textId="77777777" w:rsidR="003C66EB" w:rsidRDefault="003C66EB">
            <w:pPr>
              <w:rPr>
                <w:rFonts w:ascii="宋体"/>
              </w:rPr>
            </w:pPr>
          </w:p>
        </w:tc>
        <w:tc>
          <w:tcPr>
            <w:tcW w:w="0" w:type="auto"/>
            <w:shd w:val="clear" w:color="auto" w:fill="auto"/>
          </w:tcPr>
          <w:p w14:paraId="5EA20788" w14:textId="77777777" w:rsidR="003C66EB" w:rsidRDefault="003C66EB">
            <w:pPr>
              <w:rPr>
                <w:rFonts w:ascii="宋体"/>
                <w:vanish/>
              </w:rPr>
            </w:pPr>
          </w:p>
        </w:tc>
        <w:tc>
          <w:tcPr>
            <w:tcW w:w="0" w:type="auto"/>
            <w:shd w:val="clear" w:color="auto" w:fill="auto"/>
          </w:tcPr>
          <w:p w14:paraId="5EA20789"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8B"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8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8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8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8F" w14:textId="77777777" w:rsidR="003C66EB" w:rsidRDefault="003C66EB">
            <w:pPr>
              <w:rPr>
                <w:rFonts w:ascii="宋体"/>
              </w:rPr>
            </w:pPr>
          </w:p>
        </w:tc>
        <w:tc>
          <w:tcPr>
            <w:tcW w:w="0" w:type="auto"/>
            <w:shd w:val="clear" w:color="auto" w:fill="auto"/>
          </w:tcPr>
          <w:p w14:paraId="5EA20790" w14:textId="77777777" w:rsidR="003C66EB" w:rsidRDefault="003C66EB">
            <w:pPr>
              <w:rPr>
                <w:rFonts w:ascii="宋体"/>
                <w:vanish/>
              </w:rPr>
            </w:pPr>
          </w:p>
        </w:tc>
        <w:tc>
          <w:tcPr>
            <w:tcW w:w="0" w:type="auto"/>
            <w:shd w:val="clear" w:color="auto" w:fill="auto"/>
          </w:tcPr>
          <w:p w14:paraId="5EA20791"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9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79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794"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0795" w14:textId="77777777" w:rsidR="003C66EB" w:rsidRDefault="003C66EB">
            <w:pPr>
              <w:rPr>
                <w:rFonts w:ascii="宋体"/>
              </w:rPr>
            </w:pPr>
          </w:p>
        </w:tc>
        <w:tc>
          <w:tcPr>
            <w:tcW w:w="0" w:type="auto"/>
            <w:tcBorders>
              <w:top w:val="double" w:sz="6" w:space="0" w:color="000000"/>
            </w:tcBorders>
            <w:shd w:val="clear" w:color="auto" w:fill="auto"/>
            <w:tcMar>
              <w:top w:w="0" w:type="dxa"/>
              <w:left w:w="20" w:type="dxa"/>
              <w:bottom w:w="0" w:type="dxa"/>
              <w:right w:w="20" w:type="dxa"/>
            </w:tcMar>
          </w:tcPr>
          <w:p w14:paraId="5EA20796" w14:textId="77777777" w:rsidR="003C66EB" w:rsidRDefault="003C66EB">
            <w:pPr>
              <w:rPr>
                <w:rFonts w:ascii="宋体"/>
              </w:rPr>
            </w:pPr>
          </w:p>
        </w:tc>
      </w:tr>
      <w:tr w:rsidR="003C66EB" w14:paraId="5EA20799" w14:textId="77777777">
        <w:tc>
          <w:tcPr>
            <w:tcW w:w="0" w:type="auto"/>
            <w:gridSpan w:val="55"/>
            <w:shd w:val="clear" w:color="auto" w:fill="auto"/>
            <w:tcMar>
              <w:top w:w="40" w:type="dxa"/>
              <w:left w:w="20" w:type="dxa"/>
              <w:bottom w:w="40" w:type="dxa"/>
              <w:right w:w="20" w:type="dxa"/>
            </w:tcMar>
            <w:vAlign w:val="bottom"/>
          </w:tcPr>
          <w:p w14:paraId="5EA20798" w14:textId="77777777" w:rsidR="003C66EB" w:rsidRDefault="00D96C4E">
            <w:pPr>
              <w:textAlignment w:val="bottom"/>
            </w:pPr>
            <w:r>
              <w:rPr>
                <w:rFonts w:ascii="Arial" w:eastAsia="宋体" w:hAnsi="Arial" w:cs="Arial"/>
                <w:b/>
                <w:bCs/>
                <w:color w:val="000000"/>
                <w:sz w:val="16"/>
                <w:szCs w:val="16"/>
              </w:rPr>
              <w:t>TABLE 29: TEN-DAY STRESSED VALUE-AT-RISK ASSOCIATED WITH TRADING ACTIVITIES FOR COVERED POSITIONS</w:t>
            </w:r>
          </w:p>
        </w:tc>
      </w:tr>
      <w:tr w:rsidR="003C66EB" w14:paraId="5EA207A1" w14:textId="77777777">
        <w:trPr>
          <w:trHeight w:val="280"/>
        </w:trPr>
        <w:tc>
          <w:tcPr>
            <w:tcW w:w="0" w:type="auto"/>
            <w:gridSpan w:val="3"/>
            <w:shd w:val="clear" w:color="auto" w:fill="auto"/>
            <w:tcMar>
              <w:top w:w="0" w:type="dxa"/>
              <w:left w:w="20" w:type="dxa"/>
              <w:bottom w:w="0" w:type="dxa"/>
              <w:right w:w="20" w:type="dxa"/>
            </w:tcMar>
          </w:tcPr>
          <w:p w14:paraId="5EA2079A" w14:textId="77777777" w:rsidR="003C66EB" w:rsidRDefault="003C66EB">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5EA2079B" w14:textId="77777777" w:rsidR="003C66EB" w:rsidRDefault="00D96C4E">
            <w:pPr>
              <w:jc w:val="center"/>
              <w:textAlignment w:val="bottom"/>
            </w:pPr>
            <w:r>
              <w:rPr>
                <w:rFonts w:ascii="Arial" w:eastAsia="宋体" w:hAnsi="Arial" w:cs="Arial"/>
                <w:b/>
                <w:bCs/>
                <w:color w:val="000000"/>
                <w:sz w:val="15"/>
                <w:szCs w:val="15"/>
              </w:rPr>
              <w:t>Three Months Ended</w:t>
            </w:r>
          </w:p>
        </w:tc>
        <w:tc>
          <w:tcPr>
            <w:tcW w:w="0" w:type="auto"/>
            <w:gridSpan w:val="3"/>
            <w:shd w:val="clear" w:color="auto" w:fill="auto"/>
            <w:tcMar>
              <w:top w:w="0" w:type="dxa"/>
              <w:left w:w="20" w:type="dxa"/>
              <w:bottom w:w="0" w:type="dxa"/>
              <w:right w:w="20" w:type="dxa"/>
            </w:tcMar>
          </w:tcPr>
          <w:p w14:paraId="5EA2079C"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079D" w14:textId="77777777" w:rsidR="003C66EB" w:rsidRDefault="00D96C4E">
            <w:pPr>
              <w:jc w:val="center"/>
              <w:textAlignment w:val="bottom"/>
            </w:pPr>
            <w:r>
              <w:rPr>
                <w:rFonts w:ascii="Arial" w:eastAsia="宋体" w:hAnsi="Arial" w:cs="Arial"/>
                <w:b/>
                <w:bCs/>
                <w:color w:val="000000"/>
                <w:sz w:val="15"/>
                <w:szCs w:val="15"/>
              </w:rPr>
              <w:t>As of March 31, 2021</w:t>
            </w:r>
          </w:p>
        </w:tc>
        <w:tc>
          <w:tcPr>
            <w:tcW w:w="0" w:type="auto"/>
            <w:gridSpan w:val="2"/>
            <w:vMerge w:val="restart"/>
            <w:shd w:val="clear" w:color="auto" w:fill="auto"/>
            <w:tcMar>
              <w:top w:w="0" w:type="dxa"/>
              <w:left w:w="20" w:type="dxa"/>
              <w:bottom w:w="0" w:type="dxa"/>
              <w:right w:w="20" w:type="dxa"/>
            </w:tcMar>
          </w:tcPr>
          <w:p w14:paraId="5EA2079E" w14:textId="77777777" w:rsidR="003C66EB" w:rsidRDefault="003C66EB">
            <w:pPr>
              <w:rPr>
                <w:rFonts w:ascii="宋体"/>
              </w:rPr>
            </w:pPr>
          </w:p>
        </w:tc>
        <w:tc>
          <w:tcPr>
            <w:tcW w:w="0" w:type="auto"/>
            <w:vMerge w:val="restart"/>
            <w:shd w:val="clear" w:color="auto" w:fill="auto"/>
            <w:tcMar>
              <w:top w:w="40" w:type="dxa"/>
              <w:left w:w="20" w:type="dxa"/>
              <w:bottom w:w="40" w:type="dxa"/>
              <w:right w:w="20" w:type="dxa"/>
            </w:tcMar>
            <w:vAlign w:val="bottom"/>
          </w:tcPr>
          <w:p w14:paraId="5EA2079F" w14:textId="77777777" w:rsidR="003C66EB" w:rsidRDefault="00D96C4E">
            <w:pPr>
              <w:jc w:val="center"/>
              <w:textAlignment w:val="bottom"/>
            </w:pPr>
            <w:r>
              <w:rPr>
                <w:rFonts w:ascii="Arial" w:eastAsia="宋体" w:hAnsi="Arial" w:cs="Arial"/>
                <w:b/>
                <w:bCs/>
                <w:color w:val="000000"/>
                <w:sz w:val="15"/>
                <w:szCs w:val="15"/>
              </w:rPr>
              <w:t>As of December 31, 2020</w:t>
            </w:r>
          </w:p>
          <w:p w14:paraId="5EA207A0" w14:textId="77777777" w:rsidR="003C66EB" w:rsidRDefault="00D96C4E">
            <w:pPr>
              <w:jc w:val="center"/>
              <w:textAlignment w:val="bottom"/>
            </w:pPr>
            <w:r>
              <w:rPr>
                <w:rFonts w:ascii="Arial" w:eastAsia="宋体" w:hAnsi="Arial" w:cs="Arial"/>
                <w:b/>
                <w:bCs/>
                <w:color w:val="000000"/>
                <w:sz w:val="15"/>
                <w:szCs w:val="15"/>
              </w:rPr>
              <w:t>As of March 31, 2020</w:t>
            </w:r>
          </w:p>
        </w:tc>
      </w:tr>
      <w:tr w:rsidR="003C66EB" w14:paraId="5EA207AD" w14:textId="77777777">
        <w:trPr>
          <w:trHeight w:val="280"/>
        </w:trPr>
        <w:tc>
          <w:tcPr>
            <w:tcW w:w="0" w:type="auto"/>
            <w:gridSpan w:val="3"/>
            <w:shd w:val="clear" w:color="auto" w:fill="auto"/>
            <w:tcMar>
              <w:top w:w="0" w:type="dxa"/>
              <w:left w:w="20" w:type="dxa"/>
              <w:bottom w:w="0" w:type="dxa"/>
              <w:right w:w="20" w:type="dxa"/>
            </w:tcMar>
          </w:tcPr>
          <w:p w14:paraId="5EA207A2"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07A3"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07A4" w14:textId="77777777" w:rsidR="003C66EB" w:rsidRDefault="003C66EB">
            <w:pPr>
              <w:rPr>
                <w:rFonts w:ascii="宋体"/>
              </w:rPr>
            </w:pPr>
          </w:p>
        </w:tc>
        <w:tc>
          <w:tcPr>
            <w:tcW w:w="0" w:type="auto"/>
            <w:shd w:val="clear" w:color="auto" w:fill="auto"/>
          </w:tcPr>
          <w:p w14:paraId="5EA207A5" w14:textId="77777777" w:rsidR="003C66EB" w:rsidRDefault="003C66EB">
            <w:pPr>
              <w:rPr>
                <w:rFonts w:ascii="宋体"/>
                <w:vanish/>
              </w:rPr>
            </w:pPr>
          </w:p>
        </w:tc>
        <w:tc>
          <w:tcPr>
            <w:tcW w:w="0" w:type="auto"/>
            <w:shd w:val="clear" w:color="auto" w:fill="auto"/>
          </w:tcPr>
          <w:p w14:paraId="5EA207A6" w14:textId="77777777" w:rsidR="003C66EB" w:rsidRDefault="003C66EB">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07A7"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07A8" w14:textId="77777777" w:rsidR="003C66EB" w:rsidRDefault="003C66EB">
            <w:pPr>
              <w:rPr>
                <w:rFonts w:ascii="宋体"/>
              </w:rPr>
            </w:pPr>
          </w:p>
        </w:tc>
        <w:tc>
          <w:tcPr>
            <w:tcW w:w="0" w:type="auto"/>
            <w:shd w:val="clear" w:color="auto" w:fill="auto"/>
          </w:tcPr>
          <w:p w14:paraId="5EA207A9" w14:textId="77777777" w:rsidR="003C66EB" w:rsidRDefault="003C66EB">
            <w:pPr>
              <w:rPr>
                <w:rFonts w:ascii="宋体"/>
                <w:vanish/>
              </w:rPr>
            </w:pPr>
          </w:p>
        </w:tc>
        <w:tc>
          <w:tcPr>
            <w:tcW w:w="0" w:type="auto"/>
            <w:shd w:val="clear" w:color="auto" w:fill="auto"/>
          </w:tcPr>
          <w:p w14:paraId="5EA207AA" w14:textId="77777777" w:rsidR="003C66EB" w:rsidRDefault="003C66EB">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5EA207AB" w14:textId="77777777" w:rsidR="003C66EB" w:rsidRDefault="00D96C4E">
            <w:pPr>
              <w:jc w:val="center"/>
              <w:textAlignment w:val="bottom"/>
            </w:pPr>
            <w:r>
              <w:rPr>
                <w:rFonts w:ascii="Arial" w:eastAsia="宋体" w:hAnsi="Arial" w:cs="Arial"/>
                <w:b/>
                <w:bCs/>
                <w:color w:val="000000"/>
                <w:sz w:val="15"/>
                <w:szCs w:val="15"/>
              </w:rPr>
              <w:t>March 31, 2020</w:t>
            </w:r>
          </w:p>
        </w:tc>
        <w:tc>
          <w:tcPr>
            <w:tcW w:w="0" w:type="auto"/>
            <w:shd w:val="clear" w:color="auto" w:fill="auto"/>
            <w:tcMar>
              <w:top w:w="0" w:type="dxa"/>
              <w:left w:w="20" w:type="dxa"/>
              <w:bottom w:w="0" w:type="dxa"/>
              <w:right w:w="20" w:type="dxa"/>
            </w:tcMar>
          </w:tcPr>
          <w:p w14:paraId="5EA207AC" w14:textId="77777777" w:rsidR="003C66EB" w:rsidRDefault="003C66EB">
            <w:pPr>
              <w:rPr>
                <w:rFonts w:ascii="宋体"/>
              </w:rPr>
            </w:pPr>
          </w:p>
        </w:tc>
      </w:tr>
      <w:tr w:rsidR="003C66EB" w14:paraId="5EA207C7" w14:textId="77777777">
        <w:tc>
          <w:tcPr>
            <w:tcW w:w="0" w:type="auto"/>
            <w:gridSpan w:val="3"/>
            <w:shd w:val="clear" w:color="auto" w:fill="auto"/>
            <w:tcMar>
              <w:top w:w="40" w:type="dxa"/>
              <w:left w:w="20" w:type="dxa"/>
              <w:bottom w:w="40" w:type="dxa"/>
              <w:right w:w="20" w:type="dxa"/>
            </w:tcMar>
            <w:vAlign w:val="bottom"/>
          </w:tcPr>
          <w:p w14:paraId="5EA207AE" w14:textId="77777777" w:rsidR="003C66EB" w:rsidRDefault="00D96C4E">
            <w:pPr>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AF" w14:textId="77777777" w:rsidR="003C66EB" w:rsidRDefault="00D96C4E">
            <w:pPr>
              <w:spacing w:after="20"/>
              <w:jc w:val="center"/>
              <w:textAlignment w:val="bottom"/>
            </w:pPr>
            <w:r>
              <w:rPr>
                <w:rFonts w:ascii="Arial" w:eastAsia="宋体" w:hAnsi="Arial" w:cs="Arial"/>
                <w:b/>
                <w:bCs/>
                <w:color w:val="000000"/>
                <w:sz w:val="15"/>
                <w:szCs w:val="15"/>
              </w:rPr>
              <w:t>Avg.</w:t>
            </w:r>
          </w:p>
        </w:tc>
        <w:tc>
          <w:tcPr>
            <w:tcW w:w="0" w:type="auto"/>
            <w:gridSpan w:val="3"/>
            <w:tcBorders>
              <w:top w:val="single" w:sz="8" w:space="0" w:color="000000"/>
            </w:tcBorders>
            <w:shd w:val="clear" w:color="auto" w:fill="auto"/>
            <w:tcMar>
              <w:top w:w="0" w:type="dxa"/>
              <w:left w:w="20" w:type="dxa"/>
              <w:bottom w:w="0" w:type="dxa"/>
              <w:right w:w="20" w:type="dxa"/>
            </w:tcMar>
          </w:tcPr>
          <w:p w14:paraId="5EA207B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B1" w14:textId="77777777" w:rsidR="003C66EB" w:rsidRDefault="00D96C4E">
            <w:pPr>
              <w:spacing w:after="20"/>
              <w:jc w:val="center"/>
              <w:textAlignment w:val="bottom"/>
            </w:pPr>
            <w:r>
              <w:rPr>
                <w:rFonts w:ascii="Arial" w:eastAsia="宋体" w:hAnsi="Arial" w:cs="Arial"/>
                <w:b/>
                <w:bCs/>
                <w:color w:val="000000"/>
                <w:sz w:val="15"/>
                <w:szCs w:val="15"/>
              </w:rPr>
              <w:t>Max.</w:t>
            </w:r>
          </w:p>
        </w:tc>
        <w:tc>
          <w:tcPr>
            <w:tcW w:w="0" w:type="auto"/>
            <w:gridSpan w:val="3"/>
            <w:tcBorders>
              <w:top w:val="single" w:sz="8" w:space="0" w:color="000000"/>
            </w:tcBorders>
            <w:shd w:val="clear" w:color="auto" w:fill="auto"/>
            <w:tcMar>
              <w:top w:w="0" w:type="dxa"/>
              <w:left w:w="20" w:type="dxa"/>
              <w:bottom w:w="0" w:type="dxa"/>
              <w:right w:w="20" w:type="dxa"/>
            </w:tcMar>
          </w:tcPr>
          <w:p w14:paraId="5EA207B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B3" w14:textId="77777777" w:rsidR="003C66EB" w:rsidRDefault="00D96C4E">
            <w:pPr>
              <w:spacing w:after="20"/>
              <w:jc w:val="center"/>
              <w:textAlignment w:val="bottom"/>
            </w:pPr>
            <w:r>
              <w:rPr>
                <w:rFonts w:ascii="Arial" w:eastAsia="宋体" w:hAnsi="Arial" w:cs="Arial"/>
                <w:b/>
                <w:bCs/>
                <w:color w:val="000000"/>
                <w:sz w:val="15"/>
                <w:szCs w:val="15"/>
              </w:rPr>
              <w:t>Min.</w:t>
            </w:r>
          </w:p>
        </w:tc>
        <w:tc>
          <w:tcPr>
            <w:tcW w:w="0" w:type="auto"/>
            <w:gridSpan w:val="3"/>
            <w:shd w:val="clear" w:color="auto" w:fill="auto"/>
            <w:tcMar>
              <w:top w:w="0" w:type="dxa"/>
              <w:left w:w="20" w:type="dxa"/>
              <w:bottom w:w="0" w:type="dxa"/>
              <w:right w:w="20" w:type="dxa"/>
            </w:tcMar>
          </w:tcPr>
          <w:p w14:paraId="5EA207B4" w14:textId="77777777" w:rsidR="003C66EB" w:rsidRDefault="003C66EB">
            <w:pPr>
              <w:rPr>
                <w:rFonts w:ascii="宋体"/>
              </w:rPr>
            </w:pPr>
          </w:p>
        </w:tc>
        <w:tc>
          <w:tcPr>
            <w:tcW w:w="0" w:type="auto"/>
            <w:shd w:val="clear" w:color="auto" w:fill="auto"/>
          </w:tcPr>
          <w:p w14:paraId="5EA207B5" w14:textId="77777777" w:rsidR="003C66EB" w:rsidRDefault="003C66EB">
            <w:pPr>
              <w:rPr>
                <w:rFonts w:ascii="宋体"/>
                <w:vanish/>
              </w:rPr>
            </w:pPr>
          </w:p>
        </w:tc>
        <w:tc>
          <w:tcPr>
            <w:tcW w:w="0" w:type="auto"/>
            <w:shd w:val="clear" w:color="auto" w:fill="auto"/>
          </w:tcPr>
          <w:p w14:paraId="5EA207B6"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B7" w14:textId="77777777" w:rsidR="003C66EB" w:rsidRDefault="00D96C4E">
            <w:pPr>
              <w:spacing w:after="20"/>
              <w:jc w:val="center"/>
              <w:textAlignment w:val="bottom"/>
            </w:pPr>
            <w:r>
              <w:rPr>
                <w:rFonts w:ascii="Arial" w:eastAsia="宋体" w:hAnsi="Arial" w:cs="Arial"/>
                <w:b/>
                <w:bCs/>
                <w:color w:val="000000"/>
                <w:sz w:val="15"/>
                <w:szCs w:val="15"/>
              </w:rPr>
              <w:t>Avg.</w:t>
            </w:r>
          </w:p>
        </w:tc>
        <w:tc>
          <w:tcPr>
            <w:tcW w:w="0" w:type="auto"/>
            <w:gridSpan w:val="3"/>
            <w:tcBorders>
              <w:top w:val="single" w:sz="8" w:space="0" w:color="000000"/>
            </w:tcBorders>
            <w:shd w:val="clear" w:color="auto" w:fill="auto"/>
            <w:tcMar>
              <w:top w:w="0" w:type="dxa"/>
              <w:left w:w="20" w:type="dxa"/>
              <w:bottom w:w="0" w:type="dxa"/>
              <w:right w:w="20" w:type="dxa"/>
            </w:tcMar>
          </w:tcPr>
          <w:p w14:paraId="5EA207B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B9" w14:textId="77777777" w:rsidR="003C66EB" w:rsidRDefault="00D96C4E">
            <w:pPr>
              <w:spacing w:after="20"/>
              <w:jc w:val="center"/>
              <w:textAlignment w:val="bottom"/>
            </w:pPr>
            <w:r>
              <w:rPr>
                <w:rFonts w:ascii="Arial" w:eastAsia="宋体" w:hAnsi="Arial" w:cs="Arial"/>
                <w:b/>
                <w:bCs/>
                <w:color w:val="000000"/>
                <w:sz w:val="15"/>
                <w:szCs w:val="15"/>
              </w:rPr>
              <w:t>Max.</w:t>
            </w:r>
          </w:p>
        </w:tc>
        <w:tc>
          <w:tcPr>
            <w:tcW w:w="0" w:type="auto"/>
            <w:gridSpan w:val="3"/>
            <w:tcBorders>
              <w:top w:val="single" w:sz="8" w:space="0" w:color="000000"/>
            </w:tcBorders>
            <w:shd w:val="clear" w:color="auto" w:fill="auto"/>
            <w:tcMar>
              <w:top w:w="0" w:type="dxa"/>
              <w:left w:w="20" w:type="dxa"/>
              <w:bottom w:w="0" w:type="dxa"/>
              <w:right w:w="20" w:type="dxa"/>
            </w:tcMar>
          </w:tcPr>
          <w:p w14:paraId="5EA207B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BB" w14:textId="77777777" w:rsidR="003C66EB" w:rsidRDefault="00D96C4E">
            <w:pPr>
              <w:spacing w:after="20"/>
              <w:jc w:val="center"/>
              <w:textAlignment w:val="bottom"/>
            </w:pPr>
            <w:r>
              <w:rPr>
                <w:rFonts w:ascii="Arial" w:eastAsia="宋体" w:hAnsi="Arial" w:cs="Arial"/>
                <w:b/>
                <w:bCs/>
                <w:color w:val="000000"/>
                <w:sz w:val="15"/>
                <w:szCs w:val="15"/>
              </w:rPr>
              <w:t>Min.</w:t>
            </w:r>
          </w:p>
        </w:tc>
        <w:tc>
          <w:tcPr>
            <w:tcW w:w="0" w:type="auto"/>
            <w:gridSpan w:val="3"/>
            <w:shd w:val="clear" w:color="auto" w:fill="auto"/>
            <w:tcMar>
              <w:top w:w="0" w:type="dxa"/>
              <w:left w:w="20" w:type="dxa"/>
              <w:bottom w:w="0" w:type="dxa"/>
              <w:right w:w="20" w:type="dxa"/>
            </w:tcMar>
          </w:tcPr>
          <w:p w14:paraId="5EA207BC" w14:textId="77777777" w:rsidR="003C66EB" w:rsidRDefault="003C66EB">
            <w:pPr>
              <w:rPr>
                <w:rFonts w:ascii="宋体"/>
              </w:rPr>
            </w:pPr>
          </w:p>
        </w:tc>
        <w:tc>
          <w:tcPr>
            <w:tcW w:w="0" w:type="auto"/>
            <w:shd w:val="clear" w:color="auto" w:fill="auto"/>
          </w:tcPr>
          <w:p w14:paraId="5EA207BD" w14:textId="77777777" w:rsidR="003C66EB" w:rsidRDefault="003C66EB">
            <w:pPr>
              <w:rPr>
                <w:rFonts w:ascii="宋体"/>
                <w:vanish/>
              </w:rPr>
            </w:pPr>
          </w:p>
        </w:tc>
        <w:tc>
          <w:tcPr>
            <w:tcW w:w="0" w:type="auto"/>
            <w:shd w:val="clear" w:color="auto" w:fill="auto"/>
          </w:tcPr>
          <w:p w14:paraId="5EA207BE"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BF" w14:textId="77777777" w:rsidR="003C66EB" w:rsidRDefault="00D96C4E">
            <w:pPr>
              <w:spacing w:after="20"/>
              <w:jc w:val="center"/>
              <w:textAlignment w:val="bottom"/>
            </w:pPr>
            <w:r>
              <w:rPr>
                <w:rFonts w:ascii="Arial" w:eastAsia="宋体" w:hAnsi="Arial" w:cs="Arial"/>
                <w:b/>
                <w:bCs/>
                <w:color w:val="000000"/>
                <w:sz w:val="15"/>
                <w:szCs w:val="15"/>
              </w:rPr>
              <w:t>Avg.</w:t>
            </w:r>
          </w:p>
        </w:tc>
        <w:tc>
          <w:tcPr>
            <w:tcW w:w="0" w:type="auto"/>
            <w:gridSpan w:val="3"/>
            <w:tcBorders>
              <w:top w:val="single" w:sz="8" w:space="0" w:color="000000"/>
            </w:tcBorders>
            <w:shd w:val="clear" w:color="auto" w:fill="auto"/>
            <w:tcMar>
              <w:top w:w="0" w:type="dxa"/>
              <w:left w:w="20" w:type="dxa"/>
              <w:bottom w:w="0" w:type="dxa"/>
              <w:right w:w="20" w:type="dxa"/>
            </w:tcMar>
          </w:tcPr>
          <w:p w14:paraId="5EA207C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7C1" w14:textId="77777777" w:rsidR="003C66EB" w:rsidRDefault="00D96C4E">
            <w:pPr>
              <w:spacing w:after="20"/>
              <w:jc w:val="center"/>
              <w:textAlignment w:val="bottom"/>
            </w:pPr>
            <w:r>
              <w:rPr>
                <w:rFonts w:ascii="Arial" w:eastAsia="宋体" w:hAnsi="Arial" w:cs="Arial"/>
                <w:b/>
                <w:bCs/>
                <w:color w:val="000000"/>
                <w:sz w:val="15"/>
                <w:szCs w:val="15"/>
              </w:rPr>
              <w:t>Max.</w:t>
            </w:r>
          </w:p>
        </w:tc>
        <w:tc>
          <w:tcPr>
            <w:tcW w:w="0" w:type="auto"/>
            <w:gridSpan w:val="2"/>
            <w:tcBorders>
              <w:top w:val="single" w:sz="8" w:space="0" w:color="000000"/>
            </w:tcBorders>
            <w:shd w:val="clear" w:color="auto" w:fill="auto"/>
            <w:tcMar>
              <w:top w:w="0" w:type="dxa"/>
              <w:left w:w="20" w:type="dxa"/>
              <w:bottom w:w="0" w:type="dxa"/>
              <w:right w:w="20" w:type="dxa"/>
            </w:tcMar>
          </w:tcPr>
          <w:p w14:paraId="5EA207C2" w14:textId="77777777" w:rsidR="003C66EB" w:rsidRDefault="003C66EB">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A207C3" w14:textId="77777777" w:rsidR="003C66EB" w:rsidRDefault="00D96C4E">
            <w:pPr>
              <w:spacing w:after="20"/>
              <w:jc w:val="center"/>
              <w:textAlignment w:val="bottom"/>
            </w:pPr>
            <w:r>
              <w:rPr>
                <w:rFonts w:ascii="Arial" w:eastAsia="宋体" w:hAnsi="Arial" w:cs="Arial"/>
                <w:b/>
                <w:bCs/>
                <w:color w:val="000000"/>
                <w:sz w:val="15"/>
                <w:szCs w:val="15"/>
              </w:rPr>
              <w:t>Min.</w:t>
            </w:r>
          </w:p>
          <w:p w14:paraId="5EA207C4" w14:textId="77777777" w:rsidR="003C66EB" w:rsidRDefault="00D96C4E">
            <w:pPr>
              <w:spacing w:after="20"/>
              <w:jc w:val="center"/>
              <w:textAlignment w:val="bottom"/>
            </w:pPr>
            <w:r>
              <w:rPr>
                <w:rFonts w:ascii="Arial" w:eastAsia="宋体" w:hAnsi="Arial" w:cs="Arial"/>
                <w:b/>
                <w:bCs/>
                <w:color w:val="000000"/>
                <w:sz w:val="15"/>
                <w:szCs w:val="15"/>
              </w:rPr>
              <w:t>VaR</w:t>
            </w:r>
          </w:p>
          <w:p w14:paraId="5EA207C5" w14:textId="77777777" w:rsidR="003C66EB" w:rsidRDefault="00D96C4E">
            <w:pPr>
              <w:spacing w:after="20"/>
              <w:jc w:val="center"/>
              <w:textAlignment w:val="bottom"/>
            </w:pPr>
            <w:r>
              <w:rPr>
                <w:rFonts w:ascii="Arial" w:eastAsia="宋体" w:hAnsi="Arial" w:cs="Arial"/>
                <w:b/>
                <w:bCs/>
                <w:color w:val="000000"/>
                <w:sz w:val="15"/>
                <w:szCs w:val="15"/>
              </w:rPr>
              <w:t>VaR</w:t>
            </w:r>
          </w:p>
          <w:p w14:paraId="5EA207C6" w14:textId="77777777" w:rsidR="003C66EB" w:rsidRDefault="00D96C4E">
            <w:pPr>
              <w:spacing w:after="20"/>
              <w:jc w:val="center"/>
              <w:textAlignment w:val="bottom"/>
            </w:pPr>
            <w:r>
              <w:rPr>
                <w:rFonts w:ascii="Arial" w:eastAsia="宋体" w:hAnsi="Arial" w:cs="Arial"/>
                <w:b/>
                <w:bCs/>
                <w:color w:val="000000"/>
                <w:sz w:val="15"/>
                <w:szCs w:val="15"/>
              </w:rPr>
              <w:t>VaR</w:t>
            </w:r>
          </w:p>
        </w:tc>
      </w:tr>
      <w:tr w:rsidR="00D96C4E" w14:paraId="5EA207F7" w14:textId="77777777">
        <w:tc>
          <w:tcPr>
            <w:tcW w:w="0" w:type="auto"/>
            <w:gridSpan w:val="3"/>
            <w:shd w:val="clear" w:color="auto" w:fill="CCEEFF"/>
            <w:tcMar>
              <w:top w:w="40" w:type="dxa"/>
              <w:left w:w="20" w:type="dxa"/>
              <w:bottom w:w="40" w:type="dxa"/>
              <w:right w:w="20" w:type="dxa"/>
            </w:tcMar>
            <w:vAlign w:val="bottom"/>
          </w:tcPr>
          <w:p w14:paraId="5EA207C8" w14:textId="77777777" w:rsidR="003C66EB" w:rsidRDefault="00D96C4E">
            <w:pPr>
              <w:textAlignment w:val="bottom"/>
            </w:pPr>
            <w:r>
              <w:rPr>
                <w:rFonts w:ascii="Arial" w:eastAsia="宋体" w:hAnsi="Arial" w:cs="Arial"/>
                <w:color w:val="000000"/>
                <w:sz w:val="15"/>
                <w:szCs w:val="15"/>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07C9"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CA" w14:textId="77777777" w:rsidR="003C66EB" w:rsidRDefault="00D96C4E">
            <w:pPr>
              <w:jc w:val="right"/>
              <w:textAlignment w:val="bottom"/>
            </w:pPr>
            <w:r>
              <w:rPr>
                <w:rFonts w:ascii="Arial" w:eastAsia="宋体" w:hAnsi="Arial" w:cs="Arial"/>
                <w:b/>
                <w:bCs/>
                <w:color w:val="000000"/>
                <w:sz w:val="14"/>
                <w:szCs w:val="14"/>
              </w:rPr>
              <w:t>34,572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C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CC" w14:textId="77777777" w:rsidR="003C66EB" w:rsidRDefault="003C66EB">
            <w:pPr>
              <w:spacing w:after="20"/>
              <w:jc w:val="right"/>
              <w:textAlignment w:val="top"/>
            </w:pPr>
          </w:p>
          <w:p w14:paraId="5EA207CD" w14:textId="77777777" w:rsidR="003C66EB" w:rsidRDefault="003C66EB">
            <w:pPr>
              <w:spacing w:after="20"/>
              <w:jc w:val="right"/>
              <w:textAlignment w:val="top"/>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CE"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CF" w14:textId="77777777" w:rsidR="003C66EB" w:rsidRDefault="00D96C4E">
            <w:pPr>
              <w:jc w:val="right"/>
              <w:textAlignment w:val="bottom"/>
            </w:pPr>
            <w:r>
              <w:rPr>
                <w:rFonts w:ascii="Arial" w:eastAsia="宋体" w:hAnsi="Arial" w:cs="Arial"/>
                <w:b/>
                <w:bCs/>
                <w:color w:val="000000"/>
                <w:sz w:val="14"/>
                <w:szCs w:val="14"/>
              </w:rPr>
              <w:t>79,687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D1" w14:textId="77777777" w:rsidR="003C66EB" w:rsidRDefault="003C66EB">
            <w:pPr>
              <w:spacing w:after="20"/>
              <w:jc w:val="right"/>
              <w:textAlignment w:val="top"/>
            </w:pPr>
          </w:p>
          <w:p w14:paraId="5EA207D2" w14:textId="77777777" w:rsidR="003C66EB" w:rsidRDefault="003C66EB">
            <w:pPr>
              <w:spacing w:after="20"/>
              <w:jc w:val="right"/>
              <w:textAlignment w:val="top"/>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D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D4" w14:textId="77777777" w:rsidR="003C66EB" w:rsidRDefault="00D96C4E">
            <w:pPr>
              <w:jc w:val="right"/>
              <w:textAlignment w:val="bottom"/>
            </w:pPr>
            <w:r>
              <w:rPr>
                <w:rFonts w:ascii="Arial" w:eastAsia="宋体" w:hAnsi="Arial" w:cs="Arial"/>
                <w:b/>
                <w:bCs/>
                <w:color w:val="000000"/>
                <w:sz w:val="14"/>
                <w:szCs w:val="14"/>
              </w:rPr>
              <w:t>13,779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D6" w14:textId="77777777" w:rsidR="003C66EB" w:rsidRDefault="003C66EB">
            <w:pPr>
              <w:rPr>
                <w:rFonts w:ascii="宋体"/>
              </w:rPr>
            </w:pPr>
          </w:p>
        </w:tc>
        <w:tc>
          <w:tcPr>
            <w:tcW w:w="0" w:type="auto"/>
            <w:shd w:val="clear" w:color="auto" w:fill="auto"/>
          </w:tcPr>
          <w:p w14:paraId="5EA207D7" w14:textId="77777777" w:rsidR="003C66EB" w:rsidRDefault="003C66EB">
            <w:pPr>
              <w:rPr>
                <w:rFonts w:ascii="宋体"/>
                <w:vanish/>
              </w:rPr>
            </w:pPr>
          </w:p>
        </w:tc>
        <w:tc>
          <w:tcPr>
            <w:tcW w:w="0" w:type="auto"/>
            <w:shd w:val="clear" w:color="auto" w:fill="auto"/>
          </w:tcPr>
          <w:p w14:paraId="5EA207D8"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D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DA" w14:textId="77777777" w:rsidR="003C66EB" w:rsidRDefault="00D96C4E">
            <w:pPr>
              <w:jc w:val="right"/>
              <w:textAlignment w:val="bottom"/>
            </w:pPr>
            <w:r>
              <w:rPr>
                <w:rFonts w:ascii="Arial" w:eastAsia="宋体" w:hAnsi="Arial" w:cs="Arial"/>
                <w:color w:val="000000"/>
                <w:sz w:val="14"/>
                <w:szCs w:val="14"/>
              </w:rPr>
              <w:t>37,822 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D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D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DE" w14:textId="77777777" w:rsidR="003C66EB" w:rsidRDefault="00D96C4E">
            <w:pPr>
              <w:jc w:val="right"/>
              <w:textAlignment w:val="bottom"/>
            </w:pPr>
            <w:r>
              <w:rPr>
                <w:rFonts w:ascii="Arial" w:eastAsia="宋体" w:hAnsi="Arial" w:cs="Arial"/>
                <w:color w:val="000000"/>
                <w:sz w:val="14"/>
                <w:szCs w:val="14"/>
              </w:rPr>
              <w:t>62,241 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E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E1"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E2" w14:textId="77777777" w:rsidR="003C66EB" w:rsidRDefault="00D96C4E">
            <w:pPr>
              <w:jc w:val="right"/>
              <w:textAlignment w:val="bottom"/>
            </w:pPr>
            <w:r>
              <w:rPr>
                <w:rFonts w:ascii="Arial" w:eastAsia="宋体" w:hAnsi="Arial" w:cs="Arial"/>
                <w:color w:val="000000"/>
                <w:sz w:val="14"/>
                <w:szCs w:val="14"/>
              </w:rPr>
              <w:t>15,399 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E4" w14:textId="77777777" w:rsidR="003C66EB" w:rsidRDefault="003C66EB">
            <w:pPr>
              <w:rPr>
                <w:rFonts w:ascii="宋体"/>
              </w:rPr>
            </w:pPr>
          </w:p>
        </w:tc>
        <w:tc>
          <w:tcPr>
            <w:tcW w:w="0" w:type="auto"/>
            <w:shd w:val="clear" w:color="auto" w:fill="auto"/>
          </w:tcPr>
          <w:p w14:paraId="5EA207E5" w14:textId="77777777" w:rsidR="003C66EB" w:rsidRDefault="003C66EB">
            <w:pPr>
              <w:rPr>
                <w:rFonts w:ascii="宋体"/>
                <w:vanish/>
              </w:rPr>
            </w:pPr>
          </w:p>
        </w:tc>
        <w:tc>
          <w:tcPr>
            <w:tcW w:w="0" w:type="auto"/>
            <w:shd w:val="clear" w:color="auto" w:fill="auto"/>
          </w:tcPr>
          <w:p w14:paraId="5EA207E6"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E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E8" w14:textId="77777777" w:rsidR="003C66EB" w:rsidRDefault="00D96C4E">
            <w:pPr>
              <w:jc w:val="right"/>
              <w:textAlignment w:val="bottom"/>
            </w:pPr>
            <w:r>
              <w:rPr>
                <w:rFonts w:ascii="Arial" w:eastAsia="宋体" w:hAnsi="Arial" w:cs="Arial"/>
                <w:color w:val="000000"/>
                <w:sz w:val="14"/>
                <w:szCs w:val="14"/>
              </w:rPr>
              <w:t>39,994 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7E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E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7EC" w14:textId="77777777" w:rsidR="003C66EB" w:rsidRDefault="00D96C4E">
            <w:pPr>
              <w:jc w:val="right"/>
              <w:textAlignment w:val="bottom"/>
            </w:pPr>
            <w:r>
              <w:rPr>
                <w:rFonts w:ascii="Arial" w:eastAsia="宋体" w:hAnsi="Arial" w:cs="Arial"/>
                <w:color w:val="000000"/>
                <w:sz w:val="14"/>
                <w:szCs w:val="14"/>
              </w:rPr>
              <w:t>61,261 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7ED"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7E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7EF" w14:textId="77777777" w:rsidR="003C66EB" w:rsidRDefault="00D96C4E">
            <w:pPr>
              <w:textAlignment w:val="bottom"/>
            </w:pPr>
            <w:r>
              <w:rPr>
                <w:rFonts w:ascii="Arial" w:eastAsia="宋体" w:hAnsi="Arial" w:cs="Arial"/>
                <w:color w:val="000000"/>
                <w:sz w:val="14"/>
                <w:szCs w:val="14"/>
              </w:rPr>
              <w:t>$</w:t>
            </w:r>
          </w:p>
          <w:p w14:paraId="5EA207F0" w14:textId="77777777" w:rsidR="003C66EB" w:rsidRDefault="00D96C4E">
            <w:pPr>
              <w:jc w:val="right"/>
              <w:textAlignment w:val="bottom"/>
            </w:pPr>
            <w:r>
              <w:rPr>
                <w:rFonts w:ascii="Arial" w:eastAsia="宋体" w:hAnsi="Arial" w:cs="Arial"/>
                <w:color w:val="000000"/>
                <w:sz w:val="14"/>
                <w:szCs w:val="14"/>
              </w:rPr>
              <w:t>23,402 </w:t>
            </w:r>
          </w:p>
          <w:p w14:paraId="5EA207F1" w14:textId="77777777" w:rsidR="003C66EB" w:rsidRDefault="00D96C4E">
            <w:pPr>
              <w:textAlignment w:val="bottom"/>
            </w:pPr>
            <w:r>
              <w:rPr>
                <w:rFonts w:ascii="Arial" w:eastAsia="宋体" w:hAnsi="Arial" w:cs="Arial"/>
                <w:b/>
                <w:bCs/>
                <w:color w:val="000000"/>
                <w:sz w:val="14"/>
                <w:szCs w:val="14"/>
              </w:rPr>
              <w:t>$</w:t>
            </w:r>
          </w:p>
          <w:p w14:paraId="5EA207F2" w14:textId="77777777" w:rsidR="003C66EB" w:rsidRDefault="00D96C4E">
            <w:pPr>
              <w:jc w:val="right"/>
              <w:textAlignment w:val="bottom"/>
            </w:pPr>
            <w:r>
              <w:rPr>
                <w:rFonts w:ascii="Arial" w:eastAsia="宋体" w:hAnsi="Arial" w:cs="Arial"/>
                <w:b/>
                <w:bCs/>
                <w:color w:val="000000"/>
                <w:sz w:val="14"/>
                <w:szCs w:val="14"/>
              </w:rPr>
              <w:t>21,264</w:t>
            </w:r>
            <w:r>
              <w:rPr>
                <w:rFonts w:ascii="Arial" w:eastAsia="宋体" w:hAnsi="Arial" w:cs="Arial"/>
                <w:color w:val="000000"/>
                <w:sz w:val="14"/>
                <w:szCs w:val="14"/>
              </w:rPr>
              <w:t> </w:t>
            </w:r>
          </w:p>
          <w:p w14:paraId="5EA207F3" w14:textId="77777777" w:rsidR="003C66EB" w:rsidRDefault="00D96C4E">
            <w:pPr>
              <w:textAlignment w:val="bottom"/>
            </w:pPr>
            <w:r>
              <w:rPr>
                <w:rFonts w:ascii="Arial" w:eastAsia="宋体" w:hAnsi="Arial" w:cs="Arial"/>
                <w:color w:val="000000"/>
                <w:sz w:val="14"/>
                <w:szCs w:val="14"/>
              </w:rPr>
              <w:t>$</w:t>
            </w:r>
          </w:p>
          <w:p w14:paraId="5EA207F4" w14:textId="77777777" w:rsidR="003C66EB" w:rsidRDefault="00D96C4E">
            <w:pPr>
              <w:jc w:val="right"/>
              <w:textAlignment w:val="bottom"/>
            </w:pPr>
            <w:r>
              <w:rPr>
                <w:rFonts w:ascii="Arial" w:eastAsia="宋体" w:hAnsi="Arial" w:cs="Arial"/>
                <w:color w:val="000000"/>
                <w:sz w:val="14"/>
                <w:szCs w:val="14"/>
              </w:rPr>
              <w:t>35,999 </w:t>
            </w:r>
          </w:p>
          <w:p w14:paraId="5EA207F5" w14:textId="77777777" w:rsidR="003C66EB" w:rsidRDefault="00D96C4E">
            <w:pPr>
              <w:textAlignment w:val="bottom"/>
            </w:pPr>
            <w:r>
              <w:rPr>
                <w:rFonts w:ascii="Arial" w:eastAsia="宋体" w:hAnsi="Arial" w:cs="Arial"/>
                <w:color w:val="000000"/>
                <w:sz w:val="14"/>
                <w:szCs w:val="14"/>
              </w:rPr>
              <w:t>$</w:t>
            </w:r>
          </w:p>
          <w:p w14:paraId="5EA207F6" w14:textId="77777777" w:rsidR="003C66EB" w:rsidRDefault="00D96C4E">
            <w:pPr>
              <w:jc w:val="right"/>
              <w:textAlignment w:val="bottom"/>
            </w:pPr>
            <w:r>
              <w:rPr>
                <w:rFonts w:ascii="Arial" w:eastAsia="宋体" w:hAnsi="Arial" w:cs="Arial"/>
                <w:color w:val="000000"/>
                <w:sz w:val="14"/>
                <w:szCs w:val="14"/>
              </w:rPr>
              <w:t>38,401 </w:t>
            </w:r>
          </w:p>
        </w:tc>
      </w:tr>
      <w:tr w:rsidR="003C66EB" w14:paraId="5EA2081B" w14:textId="77777777">
        <w:tc>
          <w:tcPr>
            <w:tcW w:w="0" w:type="auto"/>
            <w:gridSpan w:val="3"/>
            <w:shd w:val="clear" w:color="auto" w:fill="FFFFFF"/>
            <w:tcMar>
              <w:top w:w="40" w:type="dxa"/>
              <w:left w:w="20" w:type="dxa"/>
              <w:bottom w:w="40" w:type="dxa"/>
              <w:right w:w="20" w:type="dxa"/>
            </w:tcMar>
            <w:vAlign w:val="bottom"/>
          </w:tcPr>
          <w:p w14:paraId="5EA207F8" w14:textId="77777777" w:rsidR="003C66EB" w:rsidRDefault="00D96C4E">
            <w:pPr>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5EA207F9" w14:textId="77777777" w:rsidR="003C66EB" w:rsidRDefault="00D96C4E">
            <w:pPr>
              <w:jc w:val="right"/>
              <w:textAlignment w:val="bottom"/>
            </w:pPr>
            <w:r>
              <w:rPr>
                <w:rFonts w:ascii="Arial" w:eastAsia="宋体" w:hAnsi="Arial" w:cs="Arial"/>
                <w:b/>
                <w:bCs/>
                <w:color w:val="000000"/>
                <w:sz w:val="14"/>
                <w:szCs w:val="14"/>
              </w:rPr>
              <w:t>17,714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7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FB" w14:textId="77777777" w:rsidR="003C66EB" w:rsidRDefault="003C66EB">
            <w:pPr>
              <w:spacing w:after="20"/>
              <w:jc w:val="right"/>
              <w:textAlignment w:val="top"/>
            </w:pPr>
          </w:p>
          <w:p w14:paraId="5EA207FC" w14:textId="77777777" w:rsidR="003C66EB" w:rsidRDefault="003C66EB">
            <w:pPr>
              <w:spacing w:after="20"/>
              <w:jc w:val="right"/>
              <w:textAlignment w:val="top"/>
            </w:pPr>
          </w:p>
        </w:tc>
        <w:tc>
          <w:tcPr>
            <w:tcW w:w="0" w:type="auto"/>
            <w:gridSpan w:val="2"/>
            <w:shd w:val="clear" w:color="auto" w:fill="FFFFFF"/>
            <w:tcMar>
              <w:top w:w="40" w:type="dxa"/>
              <w:left w:w="20" w:type="dxa"/>
              <w:bottom w:w="40" w:type="dxa"/>
              <w:right w:w="0" w:type="dxa"/>
            </w:tcMar>
            <w:vAlign w:val="bottom"/>
          </w:tcPr>
          <w:p w14:paraId="5EA207FD" w14:textId="77777777" w:rsidR="003C66EB" w:rsidRDefault="00D96C4E">
            <w:pPr>
              <w:jc w:val="right"/>
              <w:textAlignment w:val="bottom"/>
            </w:pPr>
            <w:r>
              <w:rPr>
                <w:rFonts w:ascii="Arial" w:eastAsia="宋体" w:hAnsi="Arial" w:cs="Arial"/>
                <w:b/>
                <w:bCs/>
                <w:color w:val="000000"/>
                <w:sz w:val="14"/>
                <w:szCs w:val="14"/>
              </w:rPr>
              <w:t>26,312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7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7FF" w14:textId="77777777" w:rsidR="003C66EB" w:rsidRDefault="003C66EB">
            <w:pPr>
              <w:spacing w:after="20"/>
              <w:jc w:val="right"/>
              <w:textAlignment w:val="top"/>
            </w:pPr>
          </w:p>
          <w:p w14:paraId="5EA20800" w14:textId="77777777" w:rsidR="003C66EB" w:rsidRDefault="003C66EB">
            <w:pPr>
              <w:spacing w:after="20"/>
              <w:jc w:val="right"/>
              <w:textAlignment w:val="top"/>
            </w:pPr>
          </w:p>
        </w:tc>
        <w:tc>
          <w:tcPr>
            <w:tcW w:w="0" w:type="auto"/>
            <w:gridSpan w:val="2"/>
            <w:shd w:val="clear" w:color="auto" w:fill="FFFFFF"/>
            <w:tcMar>
              <w:top w:w="40" w:type="dxa"/>
              <w:left w:w="20" w:type="dxa"/>
              <w:bottom w:w="40" w:type="dxa"/>
              <w:right w:w="0" w:type="dxa"/>
            </w:tcMar>
            <w:vAlign w:val="bottom"/>
          </w:tcPr>
          <w:p w14:paraId="5EA20801" w14:textId="77777777" w:rsidR="003C66EB" w:rsidRDefault="00D96C4E">
            <w:pPr>
              <w:jc w:val="right"/>
              <w:textAlignment w:val="bottom"/>
            </w:pPr>
            <w:r>
              <w:rPr>
                <w:rFonts w:ascii="Arial" w:eastAsia="宋体" w:hAnsi="Arial" w:cs="Arial"/>
                <w:b/>
                <w:bCs/>
                <w:color w:val="000000"/>
                <w:sz w:val="14"/>
                <w:szCs w:val="14"/>
              </w:rPr>
              <w:t>10,095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080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03" w14:textId="77777777" w:rsidR="003C66EB" w:rsidRDefault="003C66EB">
            <w:pPr>
              <w:rPr>
                <w:rFonts w:ascii="宋体"/>
              </w:rPr>
            </w:pPr>
          </w:p>
        </w:tc>
        <w:tc>
          <w:tcPr>
            <w:tcW w:w="0" w:type="auto"/>
            <w:shd w:val="clear" w:color="auto" w:fill="auto"/>
          </w:tcPr>
          <w:p w14:paraId="5EA20804" w14:textId="77777777" w:rsidR="003C66EB" w:rsidRDefault="003C66EB">
            <w:pPr>
              <w:rPr>
                <w:rFonts w:ascii="宋体"/>
                <w:vanish/>
              </w:rPr>
            </w:pPr>
          </w:p>
        </w:tc>
        <w:tc>
          <w:tcPr>
            <w:tcW w:w="0" w:type="auto"/>
            <w:shd w:val="clear" w:color="auto" w:fill="auto"/>
          </w:tcPr>
          <w:p w14:paraId="5EA20805"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0806" w14:textId="77777777" w:rsidR="003C66EB" w:rsidRDefault="00D96C4E">
            <w:pPr>
              <w:jc w:val="right"/>
              <w:textAlignment w:val="bottom"/>
            </w:pPr>
            <w:r>
              <w:rPr>
                <w:rFonts w:ascii="Arial" w:eastAsia="宋体" w:hAnsi="Arial" w:cs="Arial"/>
                <w:color w:val="000000"/>
                <w:sz w:val="14"/>
                <w:szCs w:val="14"/>
              </w:rPr>
              <w:t>9,612 </w:t>
            </w:r>
          </w:p>
        </w:tc>
        <w:tc>
          <w:tcPr>
            <w:tcW w:w="0" w:type="auto"/>
            <w:shd w:val="clear" w:color="auto" w:fill="FFFFFF"/>
            <w:tcMar>
              <w:top w:w="40" w:type="dxa"/>
              <w:left w:w="0" w:type="dxa"/>
              <w:bottom w:w="40" w:type="dxa"/>
              <w:right w:w="20" w:type="dxa"/>
            </w:tcMar>
            <w:vAlign w:val="bottom"/>
          </w:tcPr>
          <w:p w14:paraId="5EA2080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0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809" w14:textId="77777777" w:rsidR="003C66EB" w:rsidRDefault="00D96C4E">
            <w:pPr>
              <w:jc w:val="right"/>
              <w:textAlignment w:val="bottom"/>
            </w:pPr>
            <w:r>
              <w:rPr>
                <w:rFonts w:ascii="Arial" w:eastAsia="宋体" w:hAnsi="Arial" w:cs="Arial"/>
                <w:color w:val="000000"/>
                <w:sz w:val="14"/>
                <w:szCs w:val="14"/>
              </w:rPr>
              <w:t>23,533 </w:t>
            </w:r>
          </w:p>
        </w:tc>
        <w:tc>
          <w:tcPr>
            <w:tcW w:w="0" w:type="auto"/>
            <w:shd w:val="clear" w:color="auto" w:fill="FFFFFF"/>
            <w:tcMar>
              <w:top w:w="40" w:type="dxa"/>
              <w:left w:w="0" w:type="dxa"/>
              <w:bottom w:w="40" w:type="dxa"/>
              <w:right w:w="20" w:type="dxa"/>
            </w:tcMar>
            <w:vAlign w:val="bottom"/>
          </w:tcPr>
          <w:p w14:paraId="5EA2080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0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80C" w14:textId="77777777" w:rsidR="003C66EB" w:rsidRDefault="00D96C4E">
            <w:pPr>
              <w:jc w:val="right"/>
              <w:textAlignment w:val="bottom"/>
            </w:pPr>
            <w:r>
              <w:rPr>
                <w:rFonts w:ascii="Arial" w:eastAsia="宋体" w:hAnsi="Arial" w:cs="Arial"/>
                <w:color w:val="000000"/>
                <w:sz w:val="14"/>
                <w:szCs w:val="14"/>
              </w:rPr>
              <w:t>1,353 </w:t>
            </w:r>
          </w:p>
        </w:tc>
        <w:tc>
          <w:tcPr>
            <w:tcW w:w="0" w:type="auto"/>
            <w:shd w:val="clear" w:color="auto" w:fill="FFFFFF"/>
            <w:tcMar>
              <w:top w:w="40" w:type="dxa"/>
              <w:left w:w="0" w:type="dxa"/>
              <w:bottom w:w="40" w:type="dxa"/>
              <w:right w:w="20" w:type="dxa"/>
            </w:tcMar>
            <w:vAlign w:val="bottom"/>
          </w:tcPr>
          <w:p w14:paraId="5EA2080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0E" w14:textId="77777777" w:rsidR="003C66EB" w:rsidRDefault="003C66EB">
            <w:pPr>
              <w:rPr>
                <w:rFonts w:ascii="宋体"/>
              </w:rPr>
            </w:pPr>
          </w:p>
        </w:tc>
        <w:tc>
          <w:tcPr>
            <w:tcW w:w="0" w:type="auto"/>
            <w:shd w:val="clear" w:color="auto" w:fill="auto"/>
          </w:tcPr>
          <w:p w14:paraId="5EA2080F" w14:textId="77777777" w:rsidR="003C66EB" w:rsidRDefault="003C66EB">
            <w:pPr>
              <w:rPr>
                <w:rFonts w:ascii="宋体"/>
                <w:vanish/>
              </w:rPr>
            </w:pPr>
          </w:p>
        </w:tc>
        <w:tc>
          <w:tcPr>
            <w:tcW w:w="0" w:type="auto"/>
            <w:shd w:val="clear" w:color="auto" w:fill="auto"/>
          </w:tcPr>
          <w:p w14:paraId="5EA2081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0811" w14:textId="77777777" w:rsidR="003C66EB" w:rsidRDefault="00D96C4E">
            <w:pPr>
              <w:jc w:val="right"/>
              <w:textAlignment w:val="bottom"/>
            </w:pPr>
            <w:r>
              <w:rPr>
                <w:rFonts w:ascii="Arial" w:eastAsia="宋体" w:hAnsi="Arial" w:cs="Arial"/>
                <w:color w:val="000000"/>
                <w:sz w:val="14"/>
                <w:szCs w:val="14"/>
              </w:rPr>
              <w:t>3,825 </w:t>
            </w:r>
          </w:p>
        </w:tc>
        <w:tc>
          <w:tcPr>
            <w:tcW w:w="0" w:type="auto"/>
            <w:shd w:val="clear" w:color="auto" w:fill="FFFFFF"/>
            <w:tcMar>
              <w:top w:w="40" w:type="dxa"/>
              <w:left w:w="0" w:type="dxa"/>
              <w:bottom w:w="40" w:type="dxa"/>
              <w:right w:w="20" w:type="dxa"/>
            </w:tcMar>
            <w:vAlign w:val="bottom"/>
          </w:tcPr>
          <w:p w14:paraId="5EA2081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1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814" w14:textId="77777777" w:rsidR="003C66EB" w:rsidRDefault="00D96C4E">
            <w:pPr>
              <w:jc w:val="right"/>
              <w:textAlignment w:val="bottom"/>
            </w:pPr>
            <w:r>
              <w:rPr>
                <w:rFonts w:ascii="Arial" w:eastAsia="宋体" w:hAnsi="Arial" w:cs="Arial"/>
                <w:color w:val="000000"/>
                <w:sz w:val="14"/>
                <w:szCs w:val="14"/>
              </w:rPr>
              <w:t>14,586 </w:t>
            </w:r>
          </w:p>
        </w:tc>
        <w:tc>
          <w:tcPr>
            <w:tcW w:w="0" w:type="auto"/>
            <w:shd w:val="clear" w:color="auto" w:fill="FFFFFF"/>
            <w:tcMar>
              <w:top w:w="40" w:type="dxa"/>
              <w:left w:w="0" w:type="dxa"/>
              <w:bottom w:w="40" w:type="dxa"/>
              <w:right w:w="20" w:type="dxa"/>
            </w:tcMar>
            <w:vAlign w:val="bottom"/>
          </w:tcPr>
          <w:p w14:paraId="5EA20815"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816"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817" w14:textId="77777777" w:rsidR="003C66EB" w:rsidRDefault="00D96C4E">
            <w:pPr>
              <w:jc w:val="right"/>
              <w:textAlignment w:val="bottom"/>
            </w:pPr>
            <w:r>
              <w:rPr>
                <w:rFonts w:ascii="Arial" w:eastAsia="宋体" w:hAnsi="Arial" w:cs="Arial"/>
                <w:color w:val="000000"/>
                <w:sz w:val="14"/>
                <w:szCs w:val="14"/>
              </w:rPr>
              <w:t>587 </w:t>
            </w:r>
          </w:p>
          <w:p w14:paraId="5EA20818" w14:textId="77777777" w:rsidR="003C66EB" w:rsidRDefault="00D96C4E">
            <w:pPr>
              <w:jc w:val="right"/>
              <w:textAlignment w:val="bottom"/>
            </w:pPr>
            <w:r>
              <w:rPr>
                <w:rFonts w:ascii="Arial" w:eastAsia="宋体" w:hAnsi="Arial" w:cs="Arial"/>
                <w:b/>
                <w:bCs/>
                <w:color w:val="000000"/>
                <w:sz w:val="14"/>
                <w:szCs w:val="14"/>
              </w:rPr>
              <w:t>25,763</w:t>
            </w:r>
            <w:r>
              <w:rPr>
                <w:rFonts w:ascii="Arial" w:eastAsia="宋体" w:hAnsi="Arial" w:cs="Arial"/>
                <w:color w:val="000000"/>
                <w:sz w:val="14"/>
                <w:szCs w:val="14"/>
              </w:rPr>
              <w:t> </w:t>
            </w:r>
          </w:p>
          <w:p w14:paraId="5EA20819" w14:textId="77777777" w:rsidR="003C66EB" w:rsidRDefault="00D96C4E">
            <w:pPr>
              <w:jc w:val="right"/>
              <w:textAlignment w:val="bottom"/>
            </w:pPr>
            <w:r>
              <w:rPr>
                <w:rFonts w:ascii="Arial" w:eastAsia="宋体" w:hAnsi="Arial" w:cs="Arial"/>
                <w:color w:val="000000"/>
                <w:sz w:val="14"/>
                <w:szCs w:val="14"/>
              </w:rPr>
              <w:t>8,555 </w:t>
            </w:r>
          </w:p>
          <w:p w14:paraId="5EA2081A" w14:textId="77777777" w:rsidR="003C66EB" w:rsidRDefault="00D96C4E">
            <w:pPr>
              <w:jc w:val="right"/>
              <w:textAlignment w:val="bottom"/>
            </w:pPr>
            <w:r>
              <w:rPr>
                <w:rFonts w:ascii="Arial" w:eastAsia="宋体" w:hAnsi="Arial" w:cs="Arial"/>
                <w:color w:val="000000"/>
                <w:sz w:val="14"/>
                <w:szCs w:val="14"/>
              </w:rPr>
              <w:t>10,905 </w:t>
            </w:r>
          </w:p>
        </w:tc>
      </w:tr>
      <w:tr w:rsidR="003C66EB" w14:paraId="5EA2083F" w14:textId="77777777">
        <w:tc>
          <w:tcPr>
            <w:tcW w:w="0" w:type="auto"/>
            <w:gridSpan w:val="3"/>
            <w:shd w:val="clear" w:color="auto" w:fill="CCEEFF"/>
            <w:tcMar>
              <w:top w:w="40" w:type="dxa"/>
              <w:left w:w="20" w:type="dxa"/>
              <w:bottom w:w="40" w:type="dxa"/>
              <w:right w:w="20" w:type="dxa"/>
            </w:tcMar>
            <w:vAlign w:val="bottom"/>
          </w:tcPr>
          <w:p w14:paraId="5EA2081C" w14:textId="77777777" w:rsidR="003C66EB" w:rsidRDefault="00D96C4E">
            <w:pPr>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5EA2081D" w14:textId="77777777" w:rsidR="003C66EB" w:rsidRDefault="00D96C4E">
            <w:pPr>
              <w:jc w:val="right"/>
              <w:textAlignment w:val="bottom"/>
            </w:pPr>
            <w:r>
              <w:rPr>
                <w:rFonts w:ascii="Arial" w:eastAsia="宋体" w:hAnsi="Arial" w:cs="Arial"/>
                <w:b/>
                <w:bCs/>
                <w:color w:val="000000"/>
                <w:sz w:val="14"/>
                <w:szCs w:val="14"/>
              </w:rPr>
              <w:t>(7,398)</w:t>
            </w:r>
          </w:p>
        </w:tc>
        <w:tc>
          <w:tcPr>
            <w:tcW w:w="0" w:type="auto"/>
            <w:shd w:val="clear" w:color="auto" w:fill="CCEEFF"/>
            <w:tcMar>
              <w:top w:w="40" w:type="dxa"/>
              <w:left w:w="0" w:type="dxa"/>
              <w:bottom w:w="40" w:type="dxa"/>
              <w:right w:w="20" w:type="dxa"/>
            </w:tcMar>
            <w:vAlign w:val="bottom"/>
          </w:tcPr>
          <w:p w14:paraId="5EA208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1F" w14:textId="77777777" w:rsidR="003C66EB" w:rsidRDefault="003C66EB">
            <w:pPr>
              <w:spacing w:after="20"/>
              <w:jc w:val="right"/>
              <w:textAlignment w:val="top"/>
            </w:pPr>
          </w:p>
          <w:p w14:paraId="5EA20820" w14:textId="77777777" w:rsidR="003C66EB" w:rsidRDefault="003C66EB">
            <w:pPr>
              <w:spacing w:after="20"/>
              <w:jc w:val="right"/>
              <w:textAlignment w:val="top"/>
            </w:pPr>
          </w:p>
        </w:tc>
        <w:tc>
          <w:tcPr>
            <w:tcW w:w="0" w:type="auto"/>
            <w:gridSpan w:val="2"/>
            <w:shd w:val="clear" w:color="auto" w:fill="CCEEFF"/>
            <w:tcMar>
              <w:top w:w="40" w:type="dxa"/>
              <w:left w:w="20" w:type="dxa"/>
              <w:bottom w:w="40" w:type="dxa"/>
              <w:right w:w="0" w:type="dxa"/>
            </w:tcMar>
            <w:vAlign w:val="bottom"/>
          </w:tcPr>
          <w:p w14:paraId="5EA20821" w14:textId="77777777" w:rsidR="003C66EB" w:rsidRDefault="00D96C4E">
            <w:pPr>
              <w:jc w:val="right"/>
              <w:textAlignment w:val="bottom"/>
            </w:pPr>
            <w:r>
              <w:rPr>
                <w:rFonts w:ascii="Arial" w:eastAsia="宋体" w:hAnsi="Arial" w:cs="Arial"/>
                <w:b/>
                <w:bCs/>
                <w:color w:val="000000"/>
                <w:sz w:val="14"/>
                <w:szCs w:val="14"/>
              </w:rPr>
              <w:t>(10,440)</w:t>
            </w:r>
          </w:p>
        </w:tc>
        <w:tc>
          <w:tcPr>
            <w:tcW w:w="0" w:type="auto"/>
            <w:shd w:val="clear" w:color="auto" w:fill="CCEEFF"/>
            <w:tcMar>
              <w:top w:w="40" w:type="dxa"/>
              <w:left w:w="0" w:type="dxa"/>
              <w:bottom w:w="40" w:type="dxa"/>
              <w:right w:w="20" w:type="dxa"/>
            </w:tcMar>
            <w:vAlign w:val="bottom"/>
          </w:tcPr>
          <w:p w14:paraId="5EA2082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23" w14:textId="77777777" w:rsidR="003C66EB" w:rsidRDefault="003C66EB">
            <w:pPr>
              <w:spacing w:after="20"/>
              <w:jc w:val="right"/>
              <w:textAlignment w:val="top"/>
            </w:pPr>
          </w:p>
          <w:p w14:paraId="5EA20824" w14:textId="77777777" w:rsidR="003C66EB" w:rsidRDefault="003C66EB">
            <w:pPr>
              <w:spacing w:after="20"/>
              <w:jc w:val="right"/>
              <w:textAlignment w:val="top"/>
            </w:pPr>
          </w:p>
        </w:tc>
        <w:tc>
          <w:tcPr>
            <w:tcW w:w="0" w:type="auto"/>
            <w:gridSpan w:val="2"/>
            <w:shd w:val="clear" w:color="auto" w:fill="CCEEFF"/>
            <w:tcMar>
              <w:top w:w="40" w:type="dxa"/>
              <w:left w:w="20" w:type="dxa"/>
              <w:bottom w:w="40" w:type="dxa"/>
              <w:right w:w="0" w:type="dxa"/>
            </w:tcMar>
            <w:vAlign w:val="bottom"/>
          </w:tcPr>
          <w:p w14:paraId="5EA20825" w14:textId="77777777" w:rsidR="003C66EB" w:rsidRDefault="00D96C4E">
            <w:pPr>
              <w:jc w:val="right"/>
              <w:textAlignment w:val="bottom"/>
            </w:pPr>
            <w:r>
              <w:rPr>
                <w:rFonts w:ascii="Arial" w:eastAsia="宋体" w:hAnsi="Arial" w:cs="Arial"/>
                <w:b/>
                <w:bCs/>
                <w:color w:val="000000"/>
                <w:sz w:val="14"/>
                <w:szCs w:val="14"/>
              </w:rPr>
              <w:t>(3,453)</w:t>
            </w:r>
          </w:p>
        </w:tc>
        <w:tc>
          <w:tcPr>
            <w:tcW w:w="0" w:type="auto"/>
            <w:shd w:val="clear" w:color="auto" w:fill="CCEEFF"/>
            <w:tcMar>
              <w:top w:w="40" w:type="dxa"/>
              <w:left w:w="0" w:type="dxa"/>
              <w:bottom w:w="40" w:type="dxa"/>
              <w:right w:w="20" w:type="dxa"/>
            </w:tcMar>
            <w:vAlign w:val="bottom"/>
          </w:tcPr>
          <w:p w14:paraId="5EA208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27" w14:textId="77777777" w:rsidR="003C66EB" w:rsidRDefault="003C66EB">
            <w:pPr>
              <w:rPr>
                <w:rFonts w:ascii="宋体"/>
              </w:rPr>
            </w:pPr>
          </w:p>
        </w:tc>
        <w:tc>
          <w:tcPr>
            <w:tcW w:w="0" w:type="auto"/>
            <w:shd w:val="clear" w:color="auto" w:fill="auto"/>
          </w:tcPr>
          <w:p w14:paraId="5EA20828" w14:textId="77777777" w:rsidR="003C66EB" w:rsidRDefault="003C66EB">
            <w:pPr>
              <w:rPr>
                <w:rFonts w:ascii="宋体"/>
                <w:vanish/>
              </w:rPr>
            </w:pPr>
          </w:p>
        </w:tc>
        <w:tc>
          <w:tcPr>
            <w:tcW w:w="0" w:type="auto"/>
            <w:shd w:val="clear" w:color="auto" w:fill="auto"/>
          </w:tcPr>
          <w:p w14:paraId="5EA20829"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082A" w14:textId="77777777" w:rsidR="003C66EB" w:rsidRDefault="00D96C4E">
            <w:pPr>
              <w:jc w:val="right"/>
              <w:textAlignment w:val="bottom"/>
            </w:pPr>
            <w:r>
              <w:rPr>
                <w:rFonts w:ascii="Arial" w:eastAsia="宋体" w:hAnsi="Arial" w:cs="Arial"/>
                <w:color w:val="000000"/>
                <w:sz w:val="14"/>
                <w:szCs w:val="14"/>
              </w:rPr>
              <w:t>(5,464)</w:t>
            </w:r>
          </w:p>
        </w:tc>
        <w:tc>
          <w:tcPr>
            <w:tcW w:w="0" w:type="auto"/>
            <w:shd w:val="clear" w:color="auto" w:fill="CCEEFF"/>
            <w:tcMar>
              <w:top w:w="40" w:type="dxa"/>
              <w:left w:w="0" w:type="dxa"/>
              <w:bottom w:w="40" w:type="dxa"/>
              <w:right w:w="20" w:type="dxa"/>
            </w:tcMar>
            <w:vAlign w:val="bottom"/>
          </w:tcPr>
          <w:p w14:paraId="5EA2082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2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82D" w14:textId="77777777" w:rsidR="003C66EB" w:rsidRDefault="00D96C4E">
            <w:pPr>
              <w:jc w:val="right"/>
              <w:textAlignment w:val="bottom"/>
            </w:pPr>
            <w:r>
              <w:rPr>
                <w:rFonts w:ascii="Arial" w:eastAsia="宋体" w:hAnsi="Arial" w:cs="Arial"/>
                <w:color w:val="000000"/>
                <w:sz w:val="14"/>
                <w:szCs w:val="14"/>
              </w:rPr>
              <w:t>(5,683)</w:t>
            </w:r>
          </w:p>
        </w:tc>
        <w:tc>
          <w:tcPr>
            <w:tcW w:w="0" w:type="auto"/>
            <w:shd w:val="clear" w:color="auto" w:fill="CCEEFF"/>
            <w:tcMar>
              <w:top w:w="40" w:type="dxa"/>
              <w:left w:w="0" w:type="dxa"/>
              <w:bottom w:w="40" w:type="dxa"/>
              <w:right w:w="20" w:type="dxa"/>
            </w:tcMar>
            <w:vAlign w:val="bottom"/>
          </w:tcPr>
          <w:p w14:paraId="5EA2082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2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830" w14:textId="77777777" w:rsidR="003C66EB" w:rsidRDefault="00D96C4E">
            <w:pPr>
              <w:jc w:val="right"/>
              <w:textAlignment w:val="bottom"/>
            </w:pPr>
            <w:r>
              <w:rPr>
                <w:rFonts w:ascii="Arial" w:eastAsia="宋体" w:hAnsi="Arial" w:cs="Arial"/>
                <w:color w:val="000000"/>
                <w:sz w:val="14"/>
                <w:szCs w:val="14"/>
              </w:rPr>
              <w:t>6,106 </w:t>
            </w:r>
          </w:p>
        </w:tc>
        <w:tc>
          <w:tcPr>
            <w:tcW w:w="0" w:type="auto"/>
            <w:shd w:val="clear" w:color="auto" w:fill="CCEEFF"/>
            <w:tcMar>
              <w:top w:w="40" w:type="dxa"/>
              <w:left w:w="0" w:type="dxa"/>
              <w:bottom w:w="40" w:type="dxa"/>
              <w:right w:w="20" w:type="dxa"/>
            </w:tcMar>
            <w:vAlign w:val="bottom"/>
          </w:tcPr>
          <w:p w14:paraId="5EA208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32" w14:textId="77777777" w:rsidR="003C66EB" w:rsidRDefault="003C66EB">
            <w:pPr>
              <w:rPr>
                <w:rFonts w:ascii="宋体"/>
              </w:rPr>
            </w:pPr>
          </w:p>
        </w:tc>
        <w:tc>
          <w:tcPr>
            <w:tcW w:w="0" w:type="auto"/>
            <w:shd w:val="clear" w:color="auto" w:fill="auto"/>
          </w:tcPr>
          <w:p w14:paraId="5EA20833" w14:textId="77777777" w:rsidR="003C66EB" w:rsidRDefault="003C66EB">
            <w:pPr>
              <w:rPr>
                <w:rFonts w:ascii="宋体"/>
                <w:vanish/>
              </w:rPr>
            </w:pPr>
          </w:p>
        </w:tc>
        <w:tc>
          <w:tcPr>
            <w:tcW w:w="0" w:type="auto"/>
            <w:shd w:val="clear" w:color="auto" w:fill="auto"/>
          </w:tcPr>
          <w:p w14:paraId="5EA20834"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0835" w14:textId="77777777" w:rsidR="003C66EB" w:rsidRDefault="00D96C4E">
            <w:pPr>
              <w:jc w:val="right"/>
              <w:textAlignment w:val="bottom"/>
            </w:pPr>
            <w:r>
              <w:rPr>
                <w:rFonts w:ascii="Arial" w:eastAsia="宋体" w:hAnsi="Arial" w:cs="Arial"/>
                <w:color w:val="000000"/>
                <w:sz w:val="14"/>
                <w:szCs w:val="14"/>
              </w:rPr>
              <w:t>(4,307)</w:t>
            </w:r>
          </w:p>
        </w:tc>
        <w:tc>
          <w:tcPr>
            <w:tcW w:w="0" w:type="auto"/>
            <w:shd w:val="clear" w:color="auto" w:fill="CCEEFF"/>
            <w:tcMar>
              <w:top w:w="40" w:type="dxa"/>
              <w:left w:w="0" w:type="dxa"/>
              <w:bottom w:w="40" w:type="dxa"/>
              <w:right w:w="20" w:type="dxa"/>
            </w:tcMar>
            <w:vAlign w:val="bottom"/>
          </w:tcPr>
          <w:p w14:paraId="5EA2083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83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838" w14:textId="77777777" w:rsidR="003C66EB" w:rsidRDefault="00D96C4E">
            <w:pPr>
              <w:jc w:val="right"/>
              <w:textAlignment w:val="bottom"/>
            </w:pPr>
            <w:r>
              <w:rPr>
                <w:rFonts w:ascii="Arial" w:eastAsia="宋体" w:hAnsi="Arial" w:cs="Arial"/>
                <w:color w:val="000000"/>
                <w:sz w:val="14"/>
                <w:szCs w:val="14"/>
              </w:rPr>
              <w:t>(15,622)</w:t>
            </w:r>
          </w:p>
        </w:tc>
        <w:tc>
          <w:tcPr>
            <w:tcW w:w="0" w:type="auto"/>
            <w:shd w:val="clear" w:color="auto" w:fill="CCEEFF"/>
            <w:tcMar>
              <w:top w:w="40" w:type="dxa"/>
              <w:left w:w="0" w:type="dxa"/>
              <w:bottom w:w="40" w:type="dxa"/>
              <w:right w:w="20" w:type="dxa"/>
            </w:tcMar>
            <w:vAlign w:val="bottom"/>
          </w:tcPr>
          <w:p w14:paraId="5EA20839"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83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83B" w14:textId="77777777" w:rsidR="003C66EB" w:rsidRDefault="00D96C4E">
            <w:pPr>
              <w:jc w:val="right"/>
              <w:textAlignment w:val="bottom"/>
            </w:pPr>
            <w:r>
              <w:rPr>
                <w:rFonts w:ascii="Arial" w:eastAsia="宋体" w:hAnsi="Arial" w:cs="Arial"/>
                <w:color w:val="000000"/>
                <w:sz w:val="14"/>
                <w:szCs w:val="14"/>
              </w:rPr>
              <w:t>(615)</w:t>
            </w:r>
          </w:p>
          <w:p w14:paraId="5EA2083C" w14:textId="77777777" w:rsidR="003C66EB" w:rsidRDefault="00D96C4E">
            <w:pPr>
              <w:jc w:val="right"/>
              <w:textAlignment w:val="bottom"/>
            </w:pPr>
            <w:r>
              <w:rPr>
                <w:rFonts w:ascii="Arial" w:eastAsia="宋体" w:hAnsi="Arial" w:cs="Arial"/>
                <w:b/>
                <w:bCs/>
                <w:color w:val="000000"/>
                <w:sz w:val="14"/>
                <w:szCs w:val="14"/>
              </w:rPr>
              <w:t>(26,260)</w:t>
            </w:r>
          </w:p>
          <w:p w14:paraId="5EA2083D" w14:textId="77777777" w:rsidR="003C66EB" w:rsidRDefault="00D96C4E">
            <w:pPr>
              <w:jc w:val="right"/>
              <w:textAlignment w:val="bottom"/>
            </w:pPr>
            <w:r>
              <w:rPr>
                <w:rFonts w:ascii="Arial" w:eastAsia="宋体" w:hAnsi="Arial" w:cs="Arial"/>
                <w:color w:val="000000"/>
                <w:sz w:val="14"/>
                <w:szCs w:val="14"/>
              </w:rPr>
              <w:t>(1,106)</w:t>
            </w:r>
          </w:p>
          <w:p w14:paraId="5EA2083E" w14:textId="77777777" w:rsidR="003C66EB" w:rsidRDefault="00D96C4E">
            <w:pPr>
              <w:jc w:val="right"/>
              <w:textAlignment w:val="bottom"/>
            </w:pPr>
            <w:r>
              <w:rPr>
                <w:rFonts w:ascii="Arial" w:eastAsia="宋体" w:hAnsi="Arial" w:cs="Arial"/>
                <w:color w:val="000000"/>
                <w:sz w:val="14"/>
                <w:szCs w:val="14"/>
              </w:rPr>
              <w:t>(12,045)</w:t>
            </w:r>
          </w:p>
        </w:tc>
      </w:tr>
      <w:tr w:rsidR="00D96C4E" w14:paraId="5EA2086F" w14:textId="77777777">
        <w:tc>
          <w:tcPr>
            <w:tcW w:w="0" w:type="auto"/>
            <w:gridSpan w:val="3"/>
            <w:shd w:val="clear" w:color="auto" w:fill="FFFFFF"/>
            <w:tcMar>
              <w:top w:w="40" w:type="dxa"/>
              <w:left w:w="20" w:type="dxa"/>
              <w:bottom w:w="40" w:type="dxa"/>
              <w:right w:w="20" w:type="dxa"/>
            </w:tcMar>
            <w:vAlign w:val="bottom"/>
          </w:tcPr>
          <w:p w14:paraId="5EA20840" w14:textId="77777777" w:rsidR="003C66EB" w:rsidRDefault="00D96C4E">
            <w:pPr>
              <w:textAlignment w:val="bottom"/>
            </w:pPr>
            <w:r>
              <w:rPr>
                <w:rFonts w:ascii="Arial" w:eastAsia="宋体" w:hAnsi="Arial" w:cs="Arial"/>
                <w:color w:val="000000"/>
                <w:sz w:val="15"/>
                <w:szCs w:val="15"/>
              </w:rPr>
              <w:t>Total Stressed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0841"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42" w14:textId="77777777" w:rsidR="003C66EB" w:rsidRDefault="00D96C4E">
            <w:pPr>
              <w:jc w:val="right"/>
              <w:textAlignment w:val="bottom"/>
            </w:pPr>
            <w:r>
              <w:rPr>
                <w:rFonts w:ascii="Arial" w:eastAsia="宋体" w:hAnsi="Arial" w:cs="Arial"/>
                <w:b/>
                <w:bCs/>
                <w:color w:val="000000"/>
                <w:sz w:val="14"/>
                <w:szCs w:val="14"/>
              </w:rPr>
              <w:t>44,888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44" w14:textId="77777777" w:rsidR="003C66EB" w:rsidRDefault="003C66EB">
            <w:pPr>
              <w:spacing w:after="20"/>
              <w:jc w:val="right"/>
              <w:textAlignment w:val="top"/>
            </w:pPr>
          </w:p>
          <w:p w14:paraId="5EA20845" w14:textId="77777777" w:rsidR="003C66EB" w:rsidRDefault="003C66EB">
            <w:pPr>
              <w:spacing w:after="20"/>
              <w:jc w:val="right"/>
              <w:textAlignment w:val="top"/>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4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47" w14:textId="77777777" w:rsidR="003C66EB" w:rsidRDefault="00D96C4E">
            <w:pPr>
              <w:jc w:val="right"/>
              <w:textAlignment w:val="bottom"/>
            </w:pPr>
            <w:r>
              <w:rPr>
                <w:rFonts w:ascii="Arial" w:eastAsia="宋体" w:hAnsi="Arial" w:cs="Arial"/>
                <w:b/>
                <w:bCs/>
                <w:color w:val="000000"/>
                <w:sz w:val="14"/>
                <w:szCs w:val="14"/>
              </w:rPr>
              <w:t>95,559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49" w14:textId="77777777" w:rsidR="003C66EB" w:rsidRDefault="003C66EB">
            <w:pPr>
              <w:spacing w:after="20"/>
              <w:jc w:val="right"/>
              <w:textAlignment w:val="top"/>
            </w:pPr>
          </w:p>
          <w:p w14:paraId="5EA2084A" w14:textId="77777777" w:rsidR="003C66EB" w:rsidRDefault="003C66EB">
            <w:pPr>
              <w:spacing w:after="20"/>
              <w:jc w:val="right"/>
              <w:textAlignment w:val="top"/>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4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4C" w14:textId="77777777" w:rsidR="003C66EB" w:rsidRDefault="00D96C4E">
            <w:pPr>
              <w:jc w:val="right"/>
              <w:textAlignment w:val="bottom"/>
            </w:pPr>
            <w:r>
              <w:rPr>
                <w:rFonts w:ascii="Arial" w:eastAsia="宋体" w:hAnsi="Arial" w:cs="Arial"/>
                <w:b/>
                <w:bCs/>
                <w:color w:val="000000"/>
                <w:sz w:val="14"/>
                <w:szCs w:val="14"/>
              </w:rPr>
              <w:t>20,421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4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4E" w14:textId="77777777" w:rsidR="003C66EB" w:rsidRDefault="003C66EB">
            <w:pPr>
              <w:rPr>
                <w:rFonts w:ascii="宋体"/>
              </w:rPr>
            </w:pPr>
          </w:p>
        </w:tc>
        <w:tc>
          <w:tcPr>
            <w:tcW w:w="0" w:type="auto"/>
            <w:shd w:val="clear" w:color="auto" w:fill="auto"/>
          </w:tcPr>
          <w:p w14:paraId="5EA2084F" w14:textId="77777777" w:rsidR="003C66EB" w:rsidRDefault="003C66EB">
            <w:pPr>
              <w:rPr>
                <w:rFonts w:ascii="宋体"/>
                <w:vanish/>
              </w:rPr>
            </w:pPr>
          </w:p>
        </w:tc>
        <w:tc>
          <w:tcPr>
            <w:tcW w:w="0" w:type="auto"/>
            <w:shd w:val="clear" w:color="auto" w:fill="auto"/>
          </w:tcPr>
          <w:p w14:paraId="5EA20850" w14:textId="77777777" w:rsidR="003C66EB" w:rsidRDefault="003C66E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51"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52" w14:textId="77777777" w:rsidR="003C66EB" w:rsidRDefault="00D96C4E">
            <w:pPr>
              <w:jc w:val="right"/>
              <w:textAlignment w:val="bottom"/>
            </w:pPr>
            <w:r>
              <w:rPr>
                <w:rFonts w:ascii="Arial" w:eastAsia="宋体" w:hAnsi="Arial" w:cs="Arial"/>
                <w:color w:val="000000"/>
                <w:sz w:val="14"/>
                <w:szCs w:val="14"/>
              </w:rPr>
              <w:t>41,970 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5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54"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5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56" w14:textId="77777777" w:rsidR="003C66EB" w:rsidRDefault="00D96C4E">
            <w:pPr>
              <w:jc w:val="right"/>
              <w:textAlignment w:val="bottom"/>
            </w:pPr>
            <w:r>
              <w:rPr>
                <w:rFonts w:ascii="Arial" w:eastAsia="宋体" w:hAnsi="Arial" w:cs="Arial"/>
                <w:color w:val="000000"/>
                <w:sz w:val="14"/>
                <w:szCs w:val="14"/>
              </w:rPr>
              <w:t>80,091 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58"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5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5A" w14:textId="77777777" w:rsidR="003C66EB" w:rsidRDefault="00D96C4E">
            <w:pPr>
              <w:jc w:val="right"/>
              <w:textAlignment w:val="bottom"/>
            </w:pPr>
            <w:r>
              <w:rPr>
                <w:rFonts w:ascii="Arial" w:eastAsia="宋体" w:hAnsi="Arial" w:cs="Arial"/>
                <w:color w:val="000000"/>
                <w:sz w:val="14"/>
                <w:szCs w:val="14"/>
              </w:rPr>
              <w:t>22,858 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5C" w14:textId="77777777" w:rsidR="003C66EB" w:rsidRDefault="003C66EB">
            <w:pPr>
              <w:rPr>
                <w:rFonts w:ascii="宋体"/>
              </w:rPr>
            </w:pPr>
          </w:p>
        </w:tc>
        <w:tc>
          <w:tcPr>
            <w:tcW w:w="0" w:type="auto"/>
            <w:shd w:val="clear" w:color="auto" w:fill="auto"/>
          </w:tcPr>
          <w:p w14:paraId="5EA2085D" w14:textId="77777777" w:rsidR="003C66EB" w:rsidRDefault="003C66EB">
            <w:pPr>
              <w:rPr>
                <w:rFonts w:ascii="宋体"/>
                <w:vanish/>
              </w:rPr>
            </w:pPr>
          </w:p>
        </w:tc>
        <w:tc>
          <w:tcPr>
            <w:tcW w:w="0" w:type="auto"/>
            <w:shd w:val="clear" w:color="auto" w:fill="auto"/>
          </w:tcPr>
          <w:p w14:paraId="5EA2085E" w14:textId="77777777" w:rsidR="003C66EB" w:rsidRDefault="003C66E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5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60" w14:textId="77777777" w:rsidR="003C66EB" w:rsidRDefault="00D96C4E">
            <w:pPr>
              <w:jc w:val="right"/>
              <w:textAlignment w:val="bottom"/>
            </w:pPr>
            <w:r>
              <w:rPr>
                <w:rFonts w:ascii="Arial" w:eastAsia="宋体" w:hAnsi="Arial" w:cs="Arial"/>
                <w:color w:val="000000"/>
                <w:sz w:val="14"/>
                <w:szCs w:val="14"/>
              </w:rPr>
              <w:t>39,512 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86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6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864" w14:textId="77777777" w:rsidR="003C66EB" w:rsidRDefault="00D96C4E">
            <w:pPr>
              <w:jc w:val="right"/>
              <w:textAlignment w:val="bottom"/>
            </w:pPr>
            <w:r>
              <w:rPr>
                <w:rFonts w:ascii="Arial" w:eastAsia="宋体" w:hAnsi="Arial" w:cs="Arial"/>
                <w:color w:val="000000"/>
                <w:sz w:val="14"/>
                <w:szCs w:val="14"/>
              </w:rPr>
              <w:t>60,225 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865"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86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867" w14:textId="77777777" w:rsidR="003C66EB" w:rsidRDefault="00D96C4E">
            <w:pPr>
              <w:textAlignment w:val="bottom"/>
            </w:pPr>
            <w:r>
              <w:rPr>
                <w:rFonts w:ascii="Arial" w:eastAsia="宋体" w:hAnsi="Arial" w:cs="Arial"/>
                <w:color w:val="000000"/>
                <w:sz w:val="14"/>
                <w:szCs w:val="14"/>
              </w:rPr>
              <w:t>$</w:t>
            </w:r>
          </w:p>
          <w:p w14:paraId="5EA20868" w14:textId="77777777" w:rsidR="003C66EB" w:rsidRDefault="00D96C4E">
            <w:pPr>
              <w:jc w:val="right"/>
              <w:textAlignment w:val="bottom"/>
            </w:pPr>
            <w:r>
              <w:rPr>
                <w:rFonts w:ascii="Arial" w:eastAsia="宋体" w:hAnsi="Arial" w:cs="Arial"/>
                <w:color w:val="000000"/>
                <w:sz w:val="14"/>
                <w:szCs w:val="14"/>
              </w:rPr>
              <w:t>23,374 </w:t>
            </w:r>
          </w:p>
          <w:p w14:paraId="5EA20869" w14:textId="77777777" w:rsidR="003C66EB" w:rsidRDefault="00D96C4E">
            <w:pPr>
              <w:textAlignment w:val="bottom"/>
            </w:pPr>
            <w:r>
              <w:rPr>
                <w:rFonts w:ascii="Arial" w:eastAsia="宋体" w:hAnsi="Arial" w:cs="Arial"/>
                <w:b/>
                <w:bCs/>
                <w:color w:val="000000"/>
                <w:sz w:val="14"/>
                <w:szCs w:val="14"/>
              </w:rPr>
              <w:t>$</w:t>
            </w:r>
          </w:p>
          <w:p w14:paraId="5EA2086A" w14:textId="77777777" w:rsidR="003C66EB" w:rsidRDefault="00D96C4E">
            <w:pPr>
              <w:jc w:val="right"/>
              <w:textAlignment w:val="bottom"/>
            </w:pPr>
            <w:r>
              <w:rPr>
                <w:rFonts w:ascii="Arial" w:eastAsia="宋体" w:hAnsi="Arial" w:cs="Arial"/>
                <w:b/>
                <w:bCs/>
                <w:color w:val="000000"/>
                <w:sz w:val="14"/>
                <w:szCs w:val="14"/>
              </w:rPr>
              <w:t>20,767</w:t>
            </w:r>
            <w:r>
              <w:rPr>
                <w:rFonts w:ascii="Arial" w:eastAsia="宋体" w:hAnsi="Arial" w:cs="Arial"/>
                <w:color w:val="000000"/>
                <w:sz w:val="14"/>
                <w:szCs w:val="14"/>
              </w:rPr>
              <w:t> </w:t>
            </w:r>
          </w:p>
          <w:p w14:paraId="5EA2086B" w14:textId="77777777" w:rsidR="003C66EB" w:rsidRDefault="00D96C4E">
            <w:pPr>
              <w:textAlignment w:val="bottom"/>
            </w:pPr>
            <w:r>
              <w:rPr>
                <w:rFonts w:ascii="Arial" w:eastAsia="宋体" w:hAnsi="Arial" w:cs="Arial"/>
                <w:color w:val="000000"/>
                <w:sz w:val="14"/>
                <w:szCs w:val="14"/>
              </w:rPr>
              <w:t>$</w:t>
            </w:r>
          </w:p>
          <w:p w14:paraId="5EA2086C" w14:textId="77777777" w:rsidR="003C66EB" w:rsidRDefault="00D96C4E">
            <w:pPr>
              <w:jc w:val="right"/>
              <w:textAlignment w:val="bottom"/>
            </w:pPr>
            <w:r>
              <w:rPr>
                <w:rFonts w:ascii="Arial" w:eastAsia="宋体" w:hAnsi="Arial" w:cs="Arial"/>
                <w:color w:val="000000"/>
                <w:sz w:val="14"/>
                <w:szCs w:val="14"/>
              </w:rPr>
              <w:t>43,448 </w:t>
            </w:r>
          </w:p>
          <w:p w14:paraId="5EA2086D" w14:textId="77777777" w:rsidR="003C66EB" w:rsidRDefault="00D96C4E">
            <w:pPr>
              <w:textAlignment w:val="bottom"/>
            </w:pPr>
            <w:r>
              <w:rPr>
                <w:rFonts w:ascii="Arial" w:eastAsia="宋体" w:hAnsi="Arial" w:cs="Arial"/>
                <w:color w:val="000000"/>
                <w:sz w:val="14"/>
                <w:szCs w:val="14"/>
              </w:rPr>
              <w:t>$</w:t>
            </w:r>
          </w:p>
          <w:p w14:paraId="5EA2086E" w14:textId="77777777" w:rsidR="003C66EB" w:rsidRDefault="00D96C4E">
            <w:pPr>
              <w:jc w:val="right"/>
              <w:textAlignment w:val="bottom"/>
            </w:pPr>
            <w:r>
              <w:rPr>
                <w:rFonts w:ascii="Arial" w:eastAsia="宋体" w:hAnsi="Arial" w:cs="Arial"/>
                <w:color w:val="000000"/>
                <w:sz w:val="14"/>
                <w:szCs w:val="14"/>
              </w:rPr>
              <w:t>37,261 </w:t>
            </w:r>
          </w:p>
        </w:tc>
      </w:tr>
      <w:tr w:rsidR="003C66EB" w14:paraId="5EA20886" w14:textId="77777777">
        <w:trPr>
          <w:trHeight w:val="120"/>
        </w:trPr>
        <w:tc>
          <w:tcPr>
            <w:tcW w:w="0" w:type="auto"/>
            <w:gridSpan w:val="3"/>
            <w:shd w:val="clear" w:color="auto" w:fill="auto"/>
            <w:tcMar>
              <w:top w:w="0" w:type="dxa"/>
              <w:left w:w="20" w:type="dxa"/>
              <w:bottom w:w="0" w:type="dxa"/>
              <w:right w:w="20" w:type="dxa"/>
            </w:tcMar>
          </w:tcPr>
          <w:p w14:paraId="5EA20870"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7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72"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7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74"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7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76" w14:textId="77777777" w:rsidR="003C66EB" w:rsidRDefault="003C66EB">
            <w:pPr>
              <w:rPr>
                <w:rFonts w:ascii="宋体"/>
              </w:rPr>
            </w:pPr>
          </w:p>
        </w:tc>
        <w:tc>
          <w:tcPr>
            <w:tcW w:w="0" w:type="auto"/>
            <w:shd w:val="clear" w:color="auto" w:fill="auto"/>
          </w:tcPr>
          <w:p w14:paraId="5EA20877" w14:textId="77777777" w:rsidR="003C66EB" w:rsidRDefault="003C66EB">
            <w:pPr>
              <w:rPr>
                <w:rFonts w:ascii="宋体"/>
                <w:vanish/>
              </w:rPr>
            </w:pPr>
          </w:p>
        </w:tc>
        <w:tc>
          <w:tcPr>
            <w:tcW w:w="0" w:type="auto"/>
            <w:shd w:val="clear" w:color="auto" w:fill="auto"/>
          </w:tcPr>
          <w:p w14:paraId="5EA20878"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7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7A"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7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7C"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7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7E" w14:textId="77777777" w:rsidR="003C66EB" w:rsidRDefault="003C66EB">
            <w:pPr>
              <w:rPr>
                <w:rFonts w:ascii="宋体"/>
              </w:rPr>
            </w:pPr>
          </w:p>
        </w:tc>
        <w:tc>
          <w:tcPr>
            <w:tcW w:w="0" w:type="auto"/>
            <w:shd w:val="clear" w:color="auto" w:fill="auto"/>
          </w:tcPr>
          <w:p w14:paraId="5EA2087F" w14:textId="77777777" w:rsidR="003C66EB" w:rsidRDefault="003C66EB">
            <w:pPr>
              <w:rPr>
                <w:rFonts w:ascii="宋体"/>
                <w:vanish/>
              </w:rPr>
            </w:pPr>
          </w:p>
        </w:tc>
        <w:tc>
          <w:tcPr>
            <w:tcW w:w="0" w:type="auto"/>
            <w:shd w:val="clear" w:color="auto" w:fill="auto"/>
          </w:tcPr>
          <w:p w14:paraId="5EA20880"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8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82"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0883"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0884" w14:textId="77777777" w:rsidR="003C66EB" w:rsidRDefault="003C66EB">
            <w:pPr>
              <w:rPr>
                <w:rFonts w:ascii="宋体"/>
              </w:rPr>
            </w:pPr>
          </w:p>
        </w:tc>
        <w:tc>
          <w:tcPr>
            <w:tcW w:w="0" w:type="auto"/>
            <w:tcBorders>
              <w:top w:val="double" w:sz="6" w:space="0" w:color="000000"/>
            </w:tcBorders>
            <w:shd w:val="clear" w:color="auto" w:fill="auto"/>
            <w:tcMar>
              <w:top w:w="0" w:type="dxa"/>
              <w:left w:w="20" w:type="dxa"/>
              <w:bottom w:w="0" w:type="dxa"/>
              <w:right w:w="20" w:type="dxa"/>
            </w:tcMar>
          </w:tcPr>
          <w:p w14:paraId="5EA20885" w14:textId="77777777" w:rsidR="003C66EB" w:rsidRDefault="003C66EB">
            <w:pPr>
              <w:rPr>
                <w:rFonts w:ascii="宋体"/>
              </w:rPr>
            </w:pPr>
          </w:p>
        </w:tc>
      </w:tr>
    </w:tbl>
    <w:p w14:paraId="5EA20887" w14:textId="77777777" w:rsidR="003C66EB" w:rsidRDefault="00D96C4E">
      <w:pPr>
        <w:ind w:firstLine="450"/>
        <w:jc w:val="right"/>
      </w:pPr>
      <w:r>
        <w:rPr>
          <w:rFonts w:ascii="Arial" w:eastAsia="宋体" w:hAnsi="Arial" w:cs="Arial"/>
          <w:color w:val="000000"/>
          <w:sz w:val="18"/>
          <w:szCs w:val="18"/>
        </w:rPr>
        <w:t>State Street Corporation | 34</w:t>
      </w:r>
    </w:p>
    <w:p w14:paraId="5EA20888" w14:textId="77777777" w:rsidR="003C66EB" w:rsidRDefault="003C66EB">
      <w:pPr>
        <w:ind w:firstLine="450"/>
        <w:jc w:val="center"/>
      </w:pPr>
    </w:p>
    <w:p w14:paraId="5EA20889" w14:textId="77777777" w:rsidR="003C66EB" w:rsidRDefault="00D96C4E">
      <w:r>
        <w:pict w14:anchorId="5EA287D2">
          <v:rect id="_x0000_i1058" style="width:415.3pt;height:1.5pt" o:hralign="center" o:hrstd="t" o:hr="t" fillcolor="#a0a0a0" stroked="f"/>
        </w:pict>
      </w:r>
    </w:p>
    <w:p w14:paraId="5EA2088A"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88B" w14:textId="77777777" w:rsidR="003C66EB" w:rsidRDefault="00D96C4E">
      <w:pPr>
        <w:ind w:firstLine="450"/>
        <w:jc w:val="center"/>
      </w:pPr>
      <w:r>
        <w:rPr>
          <w:rFonts w:ascii="Arial" w:eastAsia="宋体" w:hAnsi="Arial" w:cs="Arial"/>
          <w:b/>
          <w:bCs/>
          <w:color w:val="000000"/>
          <w:sz w:val="20"/>
          <w:szCs w:val="20"/>
        </w:rPr>
        <w:t>AND RESULTS OF OPERATIONS</w:t>
      </w:r>
    </w:p>
    <w:p w14:paraId="5EA2088C" w14:textId="77777777" w:rsidR="003C66EB" w:rsidRDefault="00D96C4E">
      <w:pPr>
        <w:spacing w:before="60"/>
        <w:ind w:firstLine="450"/>
        <w:jc w:val="both"/>
      </w:pPr>
      <w:r>
        <w:rPr>
          <w:rFonts w:ascii="Arial" w:eastAsia="宋体" w:hAnsi="Arial" w:cs="Arial"/>
          <w:color w:val="000000"/>
          <w:sz w:val="20"/>
          <w:szCs w:val="20"/>
        </w:rPr>
        <w:t xml:space="preserve">The three month average of our stressed VaR-based measure was approximately $45 million for </w:t>
      </w:r>
      <w:r>
        <w:rPr>
          <w:rFonts w:ascii="Arial" w:eastAsia="宋体" w:hAnsi="Arial" w:cs="Arial"/>
          <w:color w:val="000000"/>
          <w:sz w:val="20"/>
          <w:szCs w:val="20"/>
        </w:rPr>
        <w:t>the quarter ended March 31, 2021, compared to an average of approximately $42 million for the quarter ended December 31, 2020 and $40 million for the quarter ended March 31, 2020. The increase in the average stressed VaR for the quarter ended March 31, 202</w:t>
      </w:r>
      <w:r>
        <w:rPr>
          <w:rFonts w:ascii="Arial" w:eastAsia="宋体" w:hAnsi="Arial" w:cs="Arial"/>
          <w:color w:val="000000"/>
          <w:sz w:val="20"/>
          <w:szCs w:val="20"/>
        </w:rPr>
        <w:t>1 compared to the quarter ended December 31, 2020, is primarily attributed to higher interest rate risk positions.</w:t>
      </w:r>
    </w:p>
    <w:p w14:paraId="5EA2088D" w14:textId="77777777" w:rsidR="003C66EB" w:rsidRDefault="00D96C4E">
      <w:pPr>
        <w:spacing w:before="60"/>
        <w:ind w:firstLine="450"/>
        <w:jc w:val="both"/>
      </w:pPr>
      <w:r>
        <w:rPr>
          <w:rFonts w:ascii="Arial" w:eastAsia="宋体" w:hAnsi="Arial" w:cs="Arial"/>
          <w:color w:val="000000"/>
          <w:sz w:val="20"/>
          <w:szCs w:val="20"/>
        </w:rPr>
        <w:t>The VaR-based measures presented in the preceding tables are primarily a reflection of the overall level of market volatility and our appetit</w:t>
      </w:r>
      <w:r>
        <w:rPr>
          <w:rFonts w:ascii="Arial" w:eastAsia="宋体" w:hAnsi="Arial" w:cs="Arial"/>
          <w:color w:val="000000"/>
          <w:sz w:val="20"/>
          <w:szCs w:val="20"/>
        </w:rPr>
        <w:t>e for taking market risk in our trading activities. Overall levels of volatility have been low both on an absolute basis and relative to the historical information observed at the beginning of the period used for the calculations. Both the ten-day VaR-base</w:t>
      </w:r>
      <w:r>
        <w:rPr>
          <w:rFonts w:ascii="Arial" w:eastAsia="宋体" w:hAnsi="Arial" w:cs="Arial"/>
          <w:color w:val="000000"/>
          <w:sz w:val="20"/>
          <w:szCs w:val="20"/>
        </w:rPr>
        <w:t>d measures and the stressed VaR-based measures are based on historical changes observed during rolling ten-day periods for the portfolios as of the close of business each day over the past one-year period.</w:t>
      </w:r>
    </w:p>
    <w:p w14:paraId="5EA2088E" w14:textId="77777777" w:rsidR="003C66EB" w:rsidRDefault="00D96C4E">
      <w:pPr>
        <w:spacing w:before="60"/>
        <w:ind w:firstLine="450"/>
        <w:jc w:val="both"/>
      </w:pPr>
      <w:r>
        <w:rPr>
          <w:rFonts w:ascii="Arial" w:eastAsia="宋体" w:hAnsi="Arial" w:cs="Arial"/>
          <w:color w:val="000000"/>
          <w:sz w:val="20"/>
          <w:szCs w:val="20"/>
        </w:rPr>
        <w:t>We have in the past and may in the future modify a</w:t>
      </w:r>
      <w:r>
        <w:rPr>
          <w:rFonts w:ascii="Arial" w:eastAsia="宋体" w:hAnsi="Arial" w:cs="Arial"/>
          <w:color w:val="000000"/>
          <w:sz w:val="20"/>
          <w:szCs w:val="20"/>
        </w:rPr>
        <w:t>nd adjust our models and methodologies used to calculate VaR and stressed VaR, subject to regulatory review and approval, and any future modifications and adjustments may result in changes in our VaR-based and stressed VaR-based measures.</w:t>
      </w:r>
    </w:p>
    <w:p w14:paraId="5EA2088F" w14:textId="77777777" w:rsidR="003C66EB" w:rsidRDefault="00D96C4E">
      <w:pPr>
        <w:spacing w:before="60"/>
        <w:ind w:firstLine="450"/>
        <w:jc w:val="both"/>
      </w:pPr>
      <w:r>
        <w:rPr>
          <w:rFonts w:ascii="Arial" w:eastAsia="宋体" w:hAnsi="Arial" w:cs="Arial"/>
          <w:color w:val="000000"/>
          <w:sz w:val="20"/>
          <w:szCs w:val="20"/>
        </w:rPr>
        <w:t>The following tab</w:t>
      </w:r>
      <w:r>
        <w:rPr>
          <w:rFonts w:ascii="Arial" w:eastAsia="宋体" w:hAnsi="Arial" w:cs="Arial"/>
          <w:color w:val="000000"/>
          <w:sz w:val="20"/>
          <w:szCs w:val="20"/>
        </w:rPr>
        <w:t>les present the VaR and stressed-VaR associated with our trading activities attributable to foreign exchange risk, interest rate risk and volatility risk as of March 31, 2021, December 31, 2020 and March 31, 2020, respectively. The sum of the VaR-based and</w:t>
      </w:r>
      <w:r>
        <w:rPr>
          <w:rFonts w:ascii="Arial" w:eastAsia="宋体" w:hAnsi="Arial" w:cs="Arial"/>
          <w:color w:val="000000"/>
          <w:sz w:val="20"/>
          <w:szCs w:val="20"/>
        </w:rPr>
        <w:t xml:space="preserve"> stressed VaR-based measures for each attribute exceeded the total VaR and the total stressed VaR as of each period-end. This is primarily due to diversification benefits across attributes. </w:t>
      </w:r>
    </w:p>
    <w:tbl>
      <w:tblPr>
        <w:tblW w:w="5000" w:type="pct"/>
        <w:tblCellMar>
          <w:top w:w="15" w:type="dxa"/>
          <w:left w:w="15" w:type="dxa"/>
          <w:bottom w:w="15" w:type="dxa"/>
          <w:right w:w="15" w:type="dxa"/>
        </w:tblCellMar>
        <w:tblLook w:val="04A0" w:firstRow="1" w:lastRow="0" w:firstColumn="1" w:lastColumn="0" w:noHBand="0" w:noVBand="1"/>
      </w:tblPr>
      <w:tblGrid>
        <w:gridCol w:w="64"/>
        <w:gridCol w:w="892"/>
        <w:gridCol w:w="36"/>
        <w:gridCol w:w="104"/>
        <w:gridCol w:w="647"/>
        <w:gridCol w:w="37"/>
        <w:gridCol w:w="36"/>
        <w:gridCol w:w="36"/>
        <w:gridCol w:w="36"/>
        <w:gridCol w:w="103"/>
        <w:gridCol w:w="495"/>
        <w:gridCol w:w="36"/>
        <w:gridCol w:w="36"/>
        <w:gridCol w:w="36"/>
        <w:gridCol w:w="36"/>
        <w:gridCol w:w="104"/>
        <w:gridCol w:w="575"/>
        <w:gridCol w:w="36"/>
        <w:gridCol w:w="46"/>
        <w:gridCol w:w="36"/>
        <w:gridCol w:w="36"/>
        <w:gridCol w:w="36"/>
        <w:gridCol w:w="36"/>
        <w:gridCol w:w="104"/>
        <w:gridCol w:w="646"/>
        <w:gridCol w:w="37"/>
        <w:gridCol w:w="36"/>
        <w:gridCol w:w="36"/>
        <w:gridCol w:w="36"/>
        <w:gridCol w:w="103"/>
        <w:gridCol w:w="495"/>
        <w:gridCol w:w="36"/>
        <w:gridCol w:w="36"/>
        <w:gridCol w:w="36"/>
        <w:gridCol w:w="36"/>
        <w:gridCol w:w="104"/>
        <w:gridCol w:w="575"/>
        <w:gridCol w:w="36"/>
        <w:gridCol w:w="36"/>
        <w:gridCol w:w="36"/>
        <w:gridCol w:w="36"/>
        <w:gridCol w:w="36"/>
        <w:gridCol w:w="36"/>
        <w:gridCol w:w="104"/>
        <w:gridCol w:w="647"/>
        <w:gridCol w:w="37"/>
        <w:gridCol w:w="36"/>
        <w:gridCol w:w="36"/>
        <w:gridCol w:w="36"/>
        <w:gridCol w:w="104"/>
        <w:gridCol w:w="503"/>
        <w:gridCol w:w="36"/>
        <w:gridCol w:w="36"/>
        <w:gridCol w:w="36"/>
        <w:gridCol w:w="658"/>
      </w:tblGrid>
      <w:tr w:rsidR="003C66EB" w14:paraId="5EA208C7" w14:textId="77777777">
        <w:tc>
          <w:tcPr>
            <w:tcW w:w="50" w:type="pct"/>
            <w:shd w:val="clear" w:color="auto" w:fill="auto"/>
          </w:tcPr>
          <w:p w14:paraId="5EA20890" w14:textId="77777777" w:rsidR="003C66EB" w:rsidRDefault="003C66EB">
            <w:pPr>
              <w:rPr>
                <w:rFonts w:ascii="宋体"/>
              </w:rPr>
            </w:pPr>
          </w:p>
        </w:tc>
        <w:tc>
          <w:tcPr>
            <w:tcW w:w="705" w:type="pct"/>
            <w:shd w:val="clear" w:color="auto" w:fill="auto"/>
          </w:tcPr>
          <w:p w14:paraId="5EA20891" w14:textId="77777777" w:rsidR="003C66EB" w:rsidRDefault="003C66EB">
            <w:pPr>
              <w:rPr>
                <w:rFonts w:ascii="宋体"/>
              </w:rPr>
            </w:pPr>
          </w:p>
        </w:tc>
        <w:tc>
          <w:tcPr>
            <w:tcW w:w="5" w:type="pct"/>
            <w:shd w:val="clear" w:color="auto" w:fill="auto"/>
          </w:tcPr>
          <w:p w14:paraId="5EA20892" w14:textId="77777777" w:rsidR="003C66EB" w:rsidRDefault="003C66EB">
            <w:pPr>
              <w:rPr>
                <w:rFonts w:ascii="宋体"/>
              </w:rPr>
            </w:pPr>
          </w:p>
        </w:tc>
        <w:tc>
          <w:tcPr>
            <w:tcW w:w="50" w:type="pct"/>
            <w:shd w:val="clear" w:color="auto" w:fill="auto"/>
          </w:tcPr>
          <w:p w14:paraId="5EA20893" w14:textId="77777777" w:rsidR="003C66EB" w:rsidRDefault="003C66EB">
            <w:pPr>
              <w:rPr>
                <w:rFonts w:ascii="宋体"/>
              </w:rPr>
            </w:pPr>
          </w:p>
        </w:tc>
        <w:tc>
          <w:tcPr>
            <w:tcW w:w="383" w:type="pct"/>
            <w:shd w:val="clear" w:color="auto" w:fill="auto"/>
          </w:tcPr>
          <w:p w14:paraId="5EA20894" w14:textId="77777777" w:rsidR="003C66EB" w:rsidRDefault="003C66EB">
            <w:pPr>
              <w:rPr>
                <w:rFonts w:ascii="宋体"/>
              </w:rPr>
            </w:pPr>
          </w:p>
        </w:tc>
        <w:tc>
          <w:tcPr>
            <w:tcW w:w="5" w:type="pct"/>
            <w:shd w:val="clear" w:color="auto" w:fill="auto"/>
          </w:tcPr>
          <w:p w14:paraId="5EA20895" w14:textId="77777777" w:rsidR="003C66EB" w:rsidRDefault="003C66EB">
            <w:pPr>
              <w:rPr>
                <w:rFonts w:ascii="宋体"/>
              </w:rPr>
            </w:pPr>
          </w:p>
        </w:tc>
        <w:tc>
          <w:tcPr>
            <w:tcW w:w="5" w:type="pct"/>
            <w:shd w:val="clear" w:color="auto" w:fill="auto"/>
          </w:tcPr>
          <w:p w14:paraId="5EA20896" w14:textId="77777777" w:rsidR="003C66EB" w:rsidRDefault="003C66EB">
            <w:pPr>
              <w:rPr>
                <w:rFonts w:ascii="宋体"/>
              </w:rPr>
            </w:pPr>
          </w:p>
        </w:tc>
        <w:tc>
          <w:tcPr>
            <w:tcW w:w="26" w:type="pct"/>
            <w:shd w:val="clear" w:color="auto" w:fill="auto"/>
          </w:tcPr>
          <w:p w14:paraId="5EA20897" w14:textId="77777777" w:rsidR="003C66EB" w:rsidRDefault="003C66EB">
            <w:pPr>
              <w:rPr>
                <w:rFonts w:ascii="宋体"/>
              </w:rPr>
            </w:pPr>
          </w:p>
        </w:tc>
        <w:tc>
          <w:tcPr>
            <w:tcW w:w="5" w:type="pct"/>
            <w:shd w:val="clear" w:color="auto" w:fill="auto"/>
          </w:tcPr>
          <w:p w14:paraId="5EA20898" w14:textId="77777777" w:rsidR="003C66EB" w:rsidRDefault="003C66EB">
            <w:pPr>
              <w:rPr>
                <w:rFonts w:ascii="宋体"/>
              </w:rPr>
            </w:pPr>
          </w:p>
        </w:tc>
        <w:tc>
          <w:tcPr>
            <w:tcW w:w="50" w:type="pct"/>
            <w:shd w:val="clear" w:color="auto" w:fill="auto"/>
          </w:tcPr>
          <w:p w14:paraId="5EA20899" w14:textId="77777777" w:rsidR="003C66EB" w:rsidRDefault="003C66EB">
            <w:pPr>
              <w:rPr>
                <w:rFonts w:ascii="宋体"/>
              </w:rPr>
            </w:pPr>
          </w:p>
        </w:tc>
        <w:tc>
          <w:tcPr>
            <w:tcW w:w="383" w:type="pct"/>
            <w:shd w:val="clear" w:color="auto" w:fill="auto"/>
          </w:tcPr>
          <w:p w14:paraId="5EA2089A" w14:textId="77777777" w:rsidR="003C66EB" w:rsidRDefault="003C66EB">
            <w:pPr>
              <w:rPr>
                <w:rFonts w:ascii="宋体"/>
              </w:rPr>
            </w:pPr>
          </w:p>
        </w:tc>
        <w:tc>
          <w:tcPr>
            <w:tcW w:w="5" w:type="pct"/>
            <w:shd w:val="clear" w:color="auto" w:fill="auto"/>
          </w:tcPr>
          <w:p w14:paraId="5EA2089B" w14:textId="77777777" w:rsidR="003C66EB" w:rsidRDefault="003C66EB">
            <w:pPr>
              <w:rPr>
                <w:rFonts w:ascii="宋体"/>
              </w:rPr>
            </w:pPr>
          </w:p>
        </w:tc>
        <w:tc>
          <w:tcPr>
            <w:tcW w:w="5" w:type="pct"/>
            <w:shd w:val="clear" w:color="auto" w:fill="auto"/>
          </w:tcPr>
          <w:p w14:paraId="5EA2089C" w14:textId="77777777" w:rsidR="003C66EB" w:rsidRDefault="003C66EB">
            <w:pPr>
              <w:rPr>
                <w:rFonts w:ascii="宋体"/>
              </w:rPr>
            </w:pPr>
          </w:p>
        </w:tc>
        <w:tc>
          <w:tcPr>
            <w:tcW w:w="26" w:type="pct"/>
            <w:shd w:val="clear" w:color="auto" w:fill="auto"/>
          </w:tcPr>
          <w:p w14:paraId="5EA2089D" w14:textId="77777777" w:rsidR="003C66EB" w:rsidRDefault="003C66EB">
            <w:pPr>
              <w:rPr>
                <w:rFonts w:ascii="宋体"/>
              </w:rPr>
            </w:pPr>
          </w:p>
        </w:tc>
        <w:tc>
          <w:tcPr>
            <w:tcW w:w="5" w:type="pct"/>
            <w:shd w:val="clear" w:color="auto" w:fill="auto"/>
          </w:tcPr>
          <w:p w14:paraId="5EA2089E" w14:textId="77777777" w:rsidR="003C66EB" w:rsidRDefault="003C66EB">
            <w:pPr>
              <w:rPr>
                <w:rFonts w:ascii="宋体"/>
              </w:rPr>
            </w:pPr>
          </w:p>
        </w:tc>
        <w:tc>
          <w:tcPr>
            <w:tcW w:w="50" w:type="pct"/>
            <w:shd w:val="clear" w:color="auto" w:fill="auto"/>
          </w:tcPr>
          <w:p w14:paraId="5EA2089F" w14:textId="77777777" w:rsidR="003C66EB" w:rsidRDefault="003C66EB">
            <w:pPr>
              <w:rPr>
                <w:rFonts w:ascii="宋体"/>
              </w:rPr>
            </w:pPr>
          </w:p>
        </w:tc>
        <w:tc>
          <w:tcPr>
            <w:tcW w:w="383" w:type="pct"/>
            <w:shd w:val="clear" w:color="auto" w:fill="auto"/>
          </w:tcPr>
          <w:p w14:paraId="5EA208A0" w14:textId="77777777" w:rsidR="003C66EB" w:rsidRDefault="003C66EB">
            <w:pPr>
              <w:rPr>
                <w:rFonts w:ascii="宋体"/>
              </w:rPr>
            </w:pPr>
          </w:p>
        </w:tc>
        <w:tc>
          <w:tcPr>
            <w:tcW w:w="5" w:type="pct"/>
            <w:shd w:val="clear" w:color="auto" w:fill="auto"/>
          </w:tcPr>
          <w:p w14:paraId="5EA208A1" w14:textId="77777777" w:rsidR="003C66EB" w:rsidRDefault="003C66EB">
            <w:pPr>
              <w:rPr>
                <w:rFonts w:ascii="宋体"/>
              </w:rPr>
            </w:pPr>
          </w:p>
        </w:tc>
        <w:tc>
          <w:tcPr>
            <w:tcW w:w="0" w:type="auto"/>
            <w:shd w:val="clear" w:color="auto" w:fill="auto"/>
          </w:tcPr>
          <w:p w14:paraId="5EA208A2" w14:textId="77777777" w:rsidR="003C66EB" w:rsidRDefault="003C66EB">
            <w:pPr>
              <w:rPr>
                <w:rFonts w:ascii="宋体"/>
                <w:vanish/>
              </w:rPr>
            </w:pPr>
          </w:p>
        </w:tc>
        <w:tc>
          <w:tcPr>
            <w:tcW w:w="0" w:type="auto"/>
            <w:shd w:val="clear" w:color="auto" w:fill="auto"/>
          </w:tcPr>
          <w:p w14:paraId="5EA208A3" w14:textId="77777777" w:rsidR="003C66EB" w:rsidRDefault="003C66EB">
            <w:pPr>
              <w:rPr>
                <w:rFonts w:ascii="宋体"/>
                <w:vanish/>
              </w:rPr>
            </w:pPr>
          </w:p>
        </w:tc>
        <w:tc>
          <w:tcPr>
            <w:tcW w:w="5" w:type="pct"/>
            <w:shd w:val="clear" w:color="auto" w:fill="auto"/>
          </w:tcPr>
          <w:p w14:paraId="5EA208A4" w14:textId="77777777" w:rsidR="003C66EB" w:rsidRDefault="003C66EB">
            <w:pPr>
              <w:rPr>
                <w:rFonts w:ascii="宋体"/>
              </w:rPr>
            </w:pPr>
          </w:p>
        </w:tc>
        <w:tc>
          <w:tcPr>
            <w:tcW w:w="26" w:type="pct"/>
            <w:shd w:val="clear" w:color="auto" w:fill="auto"/>
          </w:tcPr>
          <w:p w14:paraId="5EA208A5" w14:textId="77777777" w:rsidR="003C66EB" w:rsidRDefault="003C66EB">
            <w:pPr>
              <w:rPr>
                <w:rFonts w:ascii="宋体"/>
              </w:rPr>
            </w:pPr>
          </w:p>
        </w:tc>
        <w:tc>
          <w:tcPr>
            <w:tcW w:w="5" w:type="pct"/>
            <w:shd w:val="clear" w:color="auto" w:fill="auto"/>
          </w:tcPr>
          <w:p w14:paraId="5EA208A6" w14:textId="77777777" w:rsidR="003C66EB" w:rsidRDefault="003C66EB">
            <w:pPr>
              <w:rPr>
                <w:rFonts w:ascii="宋体"/>
              </w:rPr>
            </w:pPr>
          </w:p>
        </w:tc>
        <w:tc>
          <w:tcPr>
            <w:tcW w:w="50" w:type="pct"/>
            <w:shd w:val="clear" w:color="auto" w:fill="auto"/>
          </w:tcPr>
          <w:p w14:paraId="5EA208A7" w14:textId="77777777" w:rsidR="003C66EB" w:rsidRDefault="003C66EB">
            <w:pPr>
              <w:rPr>
                <w:rFonts w:ascii="宋体"/>
              </w:rPr>
            </w:pPr>
          </w:p>
        </w:tc>
        <w:tc>
          <w:tcPr>
            <w:tcW w:w="383" w:type="pct"/>
            <w:shd w:val="clear" w:color="auto" w:fill="auto"/>
          </w:tcPr>
          <w:p w14:paraId="5EA208A8" w14:textId="77777777" w:rsidR="003C66EB" w:rsidRDefault="003C66EB">
            <w:pPr>
              <w:rPr>
                <w:rFonts w:ascii="宋体"/>
              </w:rPr>
            </w:pPr>
          </w:p>
        </w:tc>
        <w:tc>
          <w:tcPr>
            <w:tcW w:w="5" w:type="pct"/>
            <w:shd w:val="clear" w:color="auto" w:fill="auto"/>
          </w:tcPr>
          <w:p w14:paraId="5EA208A9" w14:textId="77777777" w:rsidR="003C66EB" w:rsidRDefault="003C66EB">
            <w:pPr>
              <w:rPr>
                <w:rFonts w:ascii="宋体"/>
              </w:rPr>
            </w:pPr>
          </w:p>
        </w:tc>
        <w:tc>
          <w:tcPr>
            <w:tcW w:w="5" w:type="pct"/>
            <w:shd w:val="clear" w:color="auto" w:fill="auto"/>
          </w:tcPr>
          <w:p w14:paraId="5EA208AA" w14:textId="77777777" w:rsidR="003C66EB" w:rsidRDefault="003C66EB">
            <w:pPr>
              <w:rPr>
                <w:rFonts w:ascii="宋体"/>
              </w:rPr>
            </w:pPr>
          </w:p>
        </w:tc>
        <w:tc>
          <w:tcPr>
            <w:tcW w:w="26" w:type="pct"/>
            <w:shd w:val="clear" w:color="auto" w:fill="auto"/>
          </w:tcPr>
          <w:p w14:paraId="5EA208AB" w14:textId="77777777" w:rsidR="003C66EB" w:rsidRDefault="003C66EB">
            <w:pPr>
              <w:rPr>
                <w:rFonts w:ascii="宋体"/>
              </w:rPr>
            </w:pPr>
          </w:p>
        </w:tc>
        <w:tc>
          <w:tcPr>
            <w:tcW w:w="5" w:type="pct"/>
            <w:shd w:val="clear" w:color="auto" w:fill="auto"/>
          </w:tcPr>
          <w:p w14:paraId="5EA208AC" w14:textId="77777777" w:rsidR="003C66EB" w:rsidRDefault="003C66EB">
            <w:pPr>
              <w:rPr>
                <w:rFonts w:ascii="宋体"/>
              </w:rPr>
            </w:pPr>
          </w:p>
        </w:tc>
        <w:tc>
          <w:tcPr>
            <w:tcW w:w="50" w:type="pct"/>
            <w:shd w:val="clear" w:color="auto" w:fill="auto"/>
          </w:tcPr>
          <w:p w14:paraId="5EA208AD" w14:textId="77777777" w:rsidR="003C66EB" w:rsidRDefault="003C66EB">
            <w:pPr>
              <w:rPr>
                <w:rFonts w:ascii="宋体"/>
              </w:rPr>
            </w:pPr>
          </w:p>
        </w:tc>
        <w:tc>
          <w:tcPr>
            <w:tcW w:w="383" w:type="pct"/>
            <w:shd w:val="clear" w:color="auto" w:fill="auto"/>
          </w:tcPr>
          <w:p w14:paraId="5EA208AE" w14:textId="77777777" w:rsidR="003C66EB" w:rsidRDefault="003C66EB">
            <w:pPr>
              <w:rPr>
                <w:rFonts w:ascii="宋体"/>
              </w:rPr>
            </w:pPr>
          </w:p>
        </w:tc>
        <w:tc>
          <w:tcPr>
            <w:tcW w:w="5" w:type="pct"/>
            <w:shd w:val="clear" w:color="auto" w:fill="auto"/>
          </w:tcPr>
          <w:p w14:paraId="5EA208AF" w14:textId="77777777" w:rsidR="003C66EB" w:rsidRDefault="003C66EB">
            <w:pPr>
              <w:rPr>
                <w:rFonts w:ascii="宋体"/>
              </w:rPr>
            </w:pPr>
          </w:p>
        </w:tc>
        <w:tc>
          <w:tcPr>
            <w:tcW w:w="5" w:type="pct"/>
            <w:shd w:val="clear" w:color="auto" w:fill="auto"/>
          </w:tcPr>
          <w:p w14:paraId="5EA208B0" w14:textId="77777777" w:rsidR="003C66EB" w:rsidRDefault="003C66EB">
            <w:pPr>
              <w:rPr>
                <w:rFonts w:ascii="宋体"/>
              </w:rPr>
            </w:pPr>
          </w:p>
        </w:tc>
        <w:tc>
          <w:tcPr>
            <w:tcW w:w="26" w:type="pct"/>
            <w:shd w:val="clear" w:color="auto" w:fill="auto"/>
          </w:tcPr>
          <w:p w14:paraId="5EA208B1" w14:textId="77777777" w:rsidR="003C66EB" w:rsidRDefault="003C66EB">
            <w:pPr>
              <w:rPr>
                <w:rFonts w:ascii="宋体"/>
              </w:rPr>
            </w:pPr>
          </w:p>
        </w:tc>
        <w:tc>
          <w:tcPr>
            <w:tcW w:w="5" w:type="pct"/>
            <w:shd w:val="clear" w:color="auto" w:fill="auto"/>
          </w:tcPr>
          <w:p w14:paraId="5EA208B2" w14:textId="77777777" w:rsidR="003C66EB" w:rsidRDefault="003C66EB">
            <w:pPr>
              <w:rPr>
                <w:rFonts w:ascii="宋体"/>
              </w:rPr>
            </w:pPr>
          </w:p>
        </w:tc>
        <w:tc>
          <w:tcPr>
            <w:tcW w:w="50" w:type="pct"/>
            <w:shd w:val="clear" w:color="auto" w:fill="auto"/>
          </w:tcPr>
          <w:p w14:paraId="5EA208B3" w14:textId="77777777" w:rsidR="003C66EB" w:rsidRDefault="003C66EB">
            <w:pPr>
              <w:rPr>
                <w:rFonts w:ascii="宋体"/>
              </w:rPr>
            </w:pPr>
          </w:p>
        </w:tc>
        <w:tc>
          <w:tcPr>
            <w:tcW w:w="383" w:type="pct"/>
            <w:shd w:val="clear" w:color="auto" w:fill="auto"/>
          </w:tcPr>
          <w:p w14:paraId="5EA208B4" w14:textId="77777777" w:rsidR="003C66EB" w:rsidRDefault="003C66EB">
            <w:pPr>
              <w:rPr>
                <w:rFonts w:ascii="宋体"/>
              </w:rPr>
            </w:pPr>
          </w:p>
        </w:tc>
        <w:tc>
          <w:tcPr>
            <w:tcW w:w="5" w:type="pct"/>
            <w:shd w:val="clear" w:color="auto" w:fill="auto"/>
          </w:tcPr>
          <w:p w14:paraId="5EA208B5" w14:textId="77777777" w:rsidR="003C66EB" w:rsidRDefault="003C66EB">
            <w:pPr>
              <w:rPr>
                <w:rFonts w:ascii="宋体"/>
              </w:rPr>
            </w:pPr>
          </w:p>
        </w:tc>
        <w:tc>
          <w:tcPr>
            <w:tcW w:w="0" w:type="auto"/>
            <w:shd w:val="clear" w:color="auto" w:fill="auto"/>
          </w:tcPr>
          <w:p w14:paraId="5EA208B6" w14:textId="77777777" w:rsidR="003C66EB" w:rsidRDefault="003C66EB">
            <w:pPr>
              <w:rPr>
                <w:rFonts w:ascii="宋体"/>
                <w:vanish/>
              </w:rPr>
            </w:pPr>
          </w:p>
        </w:tc>
        <w:tc>
          <w:tcPr>
            <w:tcW w:w="0" w:type="auto"/>
            <w:shd w:val="clear" w:color="auto" w:fill="auto"/>
          </w:tcPr>
          <w:p w14:paraId="5EA208B7" w14:textId="77777777" w:rsidR="003C66EB" w:rsidRDefault="003C66EB">
            <w:pPr>
              <w:rPr>
                <w:rFonts w:ascii="宋体"/>
                <w:vanish/>
              </w:rPr>
            </w:pPr>
          </w:p>
        </w:tc>
        <w:tc>
          <w:tcPr>
            <w:tcW w:w="5" w:type="pct"/>
            <w:shd w:val="clear" w:color="auto" w:fill="auto"/>
          </w:tcPr>
          <w:p w14:paraId="5EA208B8" w14:textId="77777777" w:rsidR="003C66EB" w:rsidRDefault="003C66EB">
            <w:pPr>
              <w:rPr>
                <w:rFonts w:ascii="宋体"/>
              </w:rPr>
            </w:pPr>
          </w:p>
        </w:tc>
        <w:tc>
          <w:tcPr>
            <w:tcW w:w="26" w:type="pct"/>
            <w:shd w:val="clear" w:color="auto" w:fill="auto"/>
          </w:tcPr>
          <w:p w14:paraId="5EA208B9" w14:textId="77777777" w:rsidR="003C66EB" w:rsidRDefault="003C66EB">
            <w:pPr>
              <w:rPr>
                <w:rFonts w:ascii="宋体"/>
              </w:rPr>
            </w:pPr>
          </w:p>
        </w:tc>
        <w:tc>
          <w:tcPr>
            <w:tcW w:w="5" w:type="pct"/>
            <w:shd w:val="clear" w:color="auto" w:fill="auto"/>
          </w:tcPr>
          <w:p w14:paraId="5EA208BA" w14:textId="77777777" w:rsidR="003C66EB" w:rsidRDefault="003C66EB">
            <w:pPr>
              <w:rPr>
                <w:rFonts w:ascii="宋体"/>
              </w:rPr>
            </w:pPr>
          </w:p>
        </w:tc>
        <w:tc>
          <w:tcPr>
            <w:tcW w:w="50" w:type="pct"/>
            <w:shd w:val="clear" w:color="auto" w:fill="auto"/>
          </w:tcPr>
          <w:p w14:paraId="5EA208BB" w14:textId="77777777" w:rsidR="003C66EB" w:rsidRDefault="003C66EB">
            <w:pPr>
              <w:rPr>
                <w:rFonts w:ascii="宋体"/>
              </w:rPr>
            </w:pPr>
          </w:p>
        </w:tc>
        <w:tc>
          <w:tcPr>
            <w:tcW w:w="383" w:type="pct"/>
            <w:shd w:val="clear" w:color="auto" w:fill="auto"/>
          </w:tcPr>
          <w:p w14:paraId="5EA208BC" w14:textId="77777777" w:rsidR="003C66EB" w:rsidRDefault="003C66EB">
            <w:pPr>
              <w:rPr>
                <w:rFonts w:ascii="宋体"/>
              </w:rPr>
            </w:pPr>
          </w:p>
        </w:tc>
        <w:tc>
          <w:tcPr>
            <w:tcW w:w="5" w:type="pct"/>
            <w:shd w:val="clear" w:color="auto" w:fill="auto"/>
          </w:tcPr>
          <w:p w14:paraId="5EA208BD" w14:textId="77777777" w:rsidR="003C66EB" w:rsidRDefault="003C66EB">
            <w:pPr>
              <w:rPr>
                <w:rFonts w:ascii="宋体"/>
              </w:rPr>
            </w:pPr>
          </w:p>
        </w:tc>
        <w:tc>
          <w:tcPr>
            <w:tcW w:w="5" w:type="pct"/>
            <w:shd w:val="clear" w:color="auto" w:fill="auto"/>
          </w:tcPr>
          <w:p w14:paraId="5EA208BE" w14:textId="77777777" w:rsidR="003C66EB" w:rsidRDefault="003C66EB">
            <w:pPr>
              <w:rPr>
                <w:rFonts w:ascii="宋体"/>
              </w:rPr>
            </w:pPr>
          </w:p>
        </w:tc>
        <w:tc>
          <w:tcPr>
            <w:tcW w:w="26" w:type="pct"/>
            <w:shd w:val="clear" w:color="auto" w:fill="auto"/>
          </w:tcPr>
          <w:p w14:paraId="5EA208BF" w14:textId="77777777" w:rsidR="003C66EB" w:rsidRDefault="003C66EB">
            <w:pPr>
              <w:rPr>
                <w:rFonts w:ascii="宋体"/>
              </w:rPr>
            </w:pPr>
          </w:p>
        </w:tc>
        <w:tc>
          <w:tcPr>
            <w:tcW w:w="5" w:type="pct"/>
            <w:shd w:val="clear" w:color="auto" w:fill="auto"/>
          </w:tcPr>
          <w:p w14:paraId="5EA208C0" w14:textId="77777777" w:rsidR="003C66EB" w:rsidRDefault="003C66EB">
            <w:pPr>
              <w:rPr>
                <w:rFonts w:ascii="宋体"/>
              </w:rPr>
            </w:pPr>
          </w:p>
        </w:tc>
        <w:tc>
          <w:tcPr>
            <w:tcW w:w="50" w:type="pct"/>
            <w:shd w:val="clear" w:color="auto" w:fill="auto"/>
          </w:tcPr>
          <w:p w14:paraId="5EA208C1" w14:textId="77777777" w:rsidR="003C66EB" w:rsidRDefault="003C66EB">
            <w:pPr>
              <w:rPr>
                <w:rFonts w:ascii="宋体"/>
              </w:rPr>
            </w:pPr>
          </w:p>
        </w:tc>
        <w:tc>
          <w:tcPr>
            <w:tcW w:w="383" w:type="pct"/>
            <w:shd w:val="clear" w:color="auto" w:fill="auto"/>
          </w:tcPr>
          <w:p w14:paraId="5EA208C2" w14:textId="77777777" w:rsidR="003C66EB" w:rsidRDefault="003C66EB">
            <w:pPr>
              <w:rPr>
                <w:rFonts w:ascii="宋体"/>
              </w:rPr>
            </w:pPr>
          </w:p>
        </w:tc>
        <w:tc>
          <w:tcPr>
            <w:tcW w:w="5" w:type="pct"/>
            <w:shd w:val="clear" w:color="auto" w:fill="auto"/>
          </w:tcPr>
          <w:p w14:paraId="5EA208C3" w14:textId="77777777" w:rsidR="003C66EB" w:rsidRDefault="003C66EB">
            <w:pPr>
              <w:rPr>
                <w:rFonts w:ascii="宋体"/>
              </w:rPr>
            </w:pPr>
          </w:p>
        </w:tc>
        <w:tc>
          <w:tcPr>
            <w:tcW w:w="5" w:type="pct"/>
            <w:shd w:val="clear" w:color="auto" w:fill="auto"/>
          </w:tcPr>
          <w:p w14:paraId="5EA208C4" w14:textId="77777777" w:rsidR="003C66EB" w:rsidRDefault="003C66EB">
            <w:pPr>
              <w:rPr>
                <w:rFonts w:ascii="宋体"/>
              </w:rPr>
            </w:pPr>
          </w:p>
        </w:tc>
        <w:tc>
          <w:tcPr>
            <w:tcW w:w="26" w:type="pct"/>
            <w:shd w:val="clear" w:color="auto" w:fill="auto"/>
          </w:tcPr>
          <w:p w14:paraId="5EA208C5" w14:textId="77777777" w:rsidR="003C66EB" w:rsidRDefault="003C66EB">
            <w:pPr>
              <w:rPr>
                <w:rFonts w:ascii="宋体"/>
              </w:rPr>
            </w:pPr>
          </w:p>
        </w:tc>
        <w:tc>
          <w:tcPr>
            <w:tcW w:w="5" w:type="pct"/>
            <w:shd w:val="clear" w:color="auto" w:fill="auto"/>
          </w:tcPr>
          <w:p w14:paraId="5EA208C6" w14:textId="77777777" w:rsidR="003C66EB" w:rsidRDefault="003C66EB">
            <w:pPr>
              <w:rPr>
                <w:rFonts w:ascii="宋体"/>
              </w:rPr>
            </w:pPr>
          </w:p>
        </w:tc>
      </w:tr>
      <w:tr w:rsidR="003C66EB" w14:paraId="5EA208CD" w14:textId="77777777">
        <w:tc>
          <w:tcPr>
            <w:tcW w:w="0" w:type="auto"/>
            <w:gridSpan w:val="46"/>
            <w:shd w:val="clear" w:color="auto" w:fill="auto"/>
            <w:tcMar>
              <w:top w:w="40" w:type="dxa"/>
              <w:left w:w="20" w:type="dxa"/>
              <w:bottom w:w="40" w:type="dxa"/>
              <w:right w:w="20" w:type="dxa"/>
            </w:tcMar>
            <w:vAlign w:val="bottom"/>
          </w:tcPr>
          <w:p w14:paraId="5EA208C8" w14:textId="77777777" w:rsidR="003C66EB" w:rsidRDefault="00D96C4E">
            <w:pPr>
              <w:spacing w:after="20"/>
              <w:textAlignment w:val="bottom"/>
            </w:pPr>
            <w:r>
              <w:rPr>
                <w:rFonts w:ascii="Arial" w:eastAsia="宋体" w:hAnsi="Arial" w:cs="Arial"/>
                <w:b/>
                <w:bCs/>
                <w:color w:val="000000"/>
                <w:sz w:val="16"/>
                <w:szCs w:val="16"/>
              </w:rPr>
              <w:t>TABLE 30: TEN-DAY VaR ASSOCIATED WITH TRADING ACTIVITIES BY RISK FACTOR</w:t>
            </w:r>
            <w:r>
              <w:rPr>
                <w:rFonts w:ascii="Arial" w:eastAsia="宋体" w:hAnsi="Arial" w:cs="Arial"/>
                <w:b/>
                <w:bCs/>
                <w:color w:val="000000"/>
                <w:sz w:val="10"/>
                <w:szCs w:val="10"/>
              </w:rPr>
              <w:t>(1)</w:t>
            </w:r>
          </w:p>
        </w:tc>
        <w:tc>
          <w:tcPr>
            <w:tcW w:w="0" w:type="auto"/>
            <w:gridSpan w:val="3"/>
            <w:shd w:val="clear" w:color="auto" w:fill="auto"/>
          </w:tcPr>
          <w:p w14:paraId="5EA208C9" w14:textId="77777777" w:rsidR="003C66EB" w:rsidRDefault="003C66EB">
            <w:pPr>
              <w:rPr>
                <w:rFonts w:ascii="宋体"/>
                <w:vanish/>
              </w:rPr>
            </w:pPr>
          </w:p>
        </w:tc>
        <w:tc>
          <w:tcPr>
            <w:tcW w:w="0" w:type="auto"/>
            <w:gridSpan w:val="3"/>
            <w:shd w:val="clear" w:color="auto" w:fill="auto"/>
          </w:tcPr>
          <w:p w14:paraId="5EA208CA" w14:textId="77777777" w:rsidR="003C66EB" w:rsidRDefault="003C66EB">
            <w:pPr>
              <w:rPr>
                <w:rFonts w:ascii="宋体"/>
                <w:vanish/>
              </w:rPr>
            </w:pPr>
          </w:p>
        </w:tc>
        <w:tc>
          <w:tcPr>
            <w:tcW w:w="0" w:type="auto"/>
            <w:gridSpan w:val="2"/>
            <w:shd w:val="clear" w:color="auto" w:fill="auto"/>
          </w:tcPr>
          <w:p w14:paraId="5EA208CB" w14:textId="77777777" w:rsidR="003C66EB" w:rsidRDefault="003C66EB">
            <w:pPr>
              <w:rPr>
                <w:rFonts w:ascii="宋体"/>
                <w:vanish/>
              </w:rPr>
            </w:pPr>
          </w:p>
        </w:tc>
        <w:tc>
          <w:tcPr>
            <w:tcW w:w="0" w:type="auto"/>
            <w:shd w:val="clear" w:color="auto" w:fill="auto"/>
          </w:tcPr>
          <w:p w14:paraId="5EA208CC" w14:textId="77777777" w:rsidR="003C66EB" w:rsidRDefault="003C66EB">
            <w:pPr>
              <w:rPr>
                <w:rFonts w:ascii="宋体"/>
                <w:vanish/>
              </w:rPr>
            </w:pPr>
          </w:p>
        </w:tc>
      </w:tr>
      <w:tr w:rsidR="003C66EB" w14:paraId="5EA208D8" w14:textId="77777777">
        <w:tc>
          <w:tcPr>
            <w:tcW w:w="0" w:type="auto"/>
            <w:gridSpan w:val="3"/>
            <w:shd w:val="clear" w:color="auto" w:fill="auto"/>
            <w:tcMar>
              <w:top w:w="0" w:type="dxa"/>
              <w:left w:w="20" w:type="dxa"/>
              <w:bottom w:w="0" w:type="dxa"/>
              <w:right w:w="20" w:type="dxa"/>
            </w:tcMar>
          </w:tcPr>
          <w:p w14:paraId="5EA208CE"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208CF" w14:textId="77777777" w:rsidR="003C66EB" w:rsidRDefault="00D96C4E">
            <w:pPr>
              <w:spacing w:after="20"/>
              <w:jc w:val="center"/>
              <w:textAlignment w:val="bottom"/>
            </w:pPr>
            <w:r>
              <w:rPr>
                <w:rFonts w:ascii="Arial" w:eastAsia="宋体" w:hAnsi="Arial" w:cs="Arial"/>
                <w:b/>
                <w:bCs/>
                <w:color w:val="000000"/>
                <w:sz w:val="15"/>
                <w:szCs w:val="15"/>
              </w:rPr>
              <w:t>As of March 31, 2021</w:t>
            </w:r>
          </w:p>
        </w:tc>
        <w:tc>
          <w:tcPr>
            <w:tcW w:w="0" w:type="auto"/>
            <w:shd w:val="clear" w:color="auto" w:fill="auto"/>
            <w:tcMar>
              <w:top w:w="0" w:type="dxa"/>
              <w:left w:w="20" w:type="dxa"/>
              <w:bottom w:w="0" w:type="dxa"/>
              <w:right w:w="20" w:type="dxa"/>
            </w:tcMar>
          </w:tcPr>
          <w:p w14:paraId="5EA208D0" w14:textId="77777777" w:rsidR="003C66EB" w:rsidRDefault="003C66EB">
            <w:pPr>
              <w:rPr>
                <w:rFonts w:ascii="宋体"/>
              </w:rPr>
            </w:pPr>
          </w:p>
        </w:tc>
        <w:tc>
          <w:tcPr>
            <w:tcW w:w="0" w:type="auto"/>
            <w:gridSpan w:val="13"/>
            <w:shd w:val="clear" w:color="auto" w:fill="auto"/>
            <w:tcMar>
              <w:top w:w="40" w:type="dxa"/>
              <w:left w:w="20" w:type="dxa"/>
              <w:bottom w:w="40" w:type="dxa"/>
              <w:right w:w="20" w:type="dxa"/>
            </w:tcMar>
            <w:vAlign w:val="bottom"/>
          </w:tcPr>
          <w:p w14:paraId="5EA208D1" w14:textId="77777777" w:rsidR="003C66EB" w:rsidRDefault="00D96C4E">
            <w:pPr>
              <w:jc w:val="center"/>
              <w:textAlignment w:val="bottom"/>
            </w:pPr>
            <w:r>
              <w:rPr>
                <w:rFonts w:ascii="Arial" w:eastAsia="宋体" w:hAnsi="Arial" w:cs="Arial"/>
                <w:b/>
                <w:bCs/>
                <w:color w:val="000000"/>
                <w:sz w:val="15"/>
                <w:szCs w:val="15"/>
              </w:rPr>
              <w:t>As of December 31, 2020</w:t>
            </w:r>
          </w:p>
        </w:tc>
        <w:tc>
          <w:tcPr>
            <w:tcW w:w="0" w:type="auto"/>
            <w:gridSpan w:val="3"/>
            <w:shd w:val="clear" w:color="auto" w:fill="auto"/>
          </w:tcPr>
          <w:p w14:paraId="5EA208D2"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8D3" w14:textId="77777777" w:rsidR="003C66EB" w:rsidRDefault="003C66EB">
            <w:pPr>
              <w:rPr>
                <w:rFonts w:ascii="宋体"/>
              </w:rPr>
            </w:pPr>
          </w:p>
        </w:tc>
        <w:tc>
          <w:tcPr>
            <w:tcW w:w="0" w:type="auto"/>
            <w:gridSpan w:val="11"/>
            <w:shd w:val="clear" w:color="auto" w:fill="auto"/>
            <w:tcMar>
              <w:top w:w="40" w:type="dxa"/>
              <w:left w:w="20" w:type="dxa"/>
              <w:bottom w:w="40" w:type="dxa"/>
              <w:right w:w="20" w:type="dxa"/>
            </w:tcMar>
            <w:vAlign w:val="bottom"/>
          </w:tcPr>
          <w:p w14:paraId="5EA208D4" w14:textId="77777777" w:rsidR="003C66EB" w:rsidRDefault="00D96C4E">
            <w:pPr>
              <w:spacing w:after="20"/>
              <w:jc w:val="center"/>
              <w:textAlignment w:val="bottom"/>
            </w:pPr>
            <w:r>
              <w:rPr>
                <w:rFonts w:ascii="Arial" w:eastAsia="宋体" w:hAnsi="Arial" w:cs="Arial"/>
                <w:b/>
                <w:bCs/>
                <w:color w:val="000000"/>
                <w:sz w:val="15"/>
                <w:szCs w:val="15"/>
              </w:rPr>
              <w:t>As of March 31, 2020</w:t>
            </w:r>
          </w:p>
        </w:tc>
        <w:tc>
          <w:tcPr>
            <w:tcW w:w="0" w:type="auto"/>
            <w:gridSpan w:val="3"/>
            <w:shd w:val="clear" w:color="auto" w:fill="auto"/>
          </w:tcPr>
          <w:p w14:paraId="5EA208D5" w14:textId="77777777" w:rsidR="003C66EB" w:rsidRDefault="003C66EB">
            <w:pPr>
              <w:rPr>
                <w:rFonts w:ascii="宋体"/>
                <w:vanish/>
              </w:rPr>
            </w:pPr>
          </w:p>
        </w:tc>
        <w:tc>
          <w:tcPr>
            <w:tcW w:w="0" w:type="auto"/>
            <w:gridSpan w:val="2"/>
            <w:shd w:val="clear" w:color="auto" w:fill="auto"/>
          </w:tcPr>
          <w:p w14:paraId="5EA208D6" w14:textId="77777777" w:rsidR="003C66EB" w:rsidRDefault="003C66EB">
            <w:pPr>
              <w:rPr>
                <w:rFonts w:ascii="宋体"/>
                <w:vanish/>
              </w:rPr>
            </w:pPr>
          </w:p>
        </w:tc>
        <w:tc>
          <w:tcPr>
            <w:tcW w:w="0" w:type="auto"/>
            <w:shd w:val="clear" w:color="auto" w:fill="auto"/>
          </w:tcPr>
          <w:p w14:paraId="5EA208D7" w14:textId="77777777" w:rsidR="003C66EB" w:rsidRDefault="003C66EB">
            <w:pPr>
              <w:rPr>
                <w:rFonts w:ascii="宋体"/>
                <w:vanish/>
              </w:rPr>
            </w:pPr>
          </w:p>
        </w:tc>
      </w:tr>
      <w:tr w:rsidR="003C66EB" w14:paraId="5EA208EF" w14:textId="77777777">
        <w:tc>
          <w:tcPr>
            <w:tcW w:w="0" w:type="auto"/>
            <w:gridSpan w:val="3"/>
            <w:shd w:val="clear" w:color="auto" w:fill="auto"/>
            <w:tcMar>
              <w:top w:w="40" w:type="dxa"/>
              <w:left w:w="20" w:type="dxa"/>
              <w:bottom w:w="40" w:type="dxa"/>
              <w:right w:w="20" w:type="dxa"/>
            </w:tcMar>
            <w:vAlign w:val="bottom"/>
          </w:tcPr>
          <w:p w14:paraId="5EA208D9" w14:textId="77777777" w:rsidR="003C66EB" w:rsidRDefault="00D96C4E">
            <w:pPr>
              <w:spacing w:after="20"/>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DA" w14:textId="77777777" w:rsidR="003C66EB" w:rsidRDefault="00D96C4E">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8D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DC" w14:textId="77777777" w:rsidR="003C66EB" w:rsidRDefault="00D96C4E">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8D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DE" w14:textId="77777777" w:rsidR="003C66EB" w:rsidRDefault="00D96C4E">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5EA208DF" w14:textId="77777777" w:rsidR="003C66EB" w:rsidRDefault="003C66EB">
            <w:pPr>
              <w:rPr>
                <w:rFonts w:ascii="宋体"/>
                <w:vanish/>
              </w:rPr>
            </w:pPr>
          </w:p>
        </w:tc>
        <w:tc>
          <w:tcPr>
            <w:tcW w:w="0" w:type="auto"/>
            <w:shd w:val="clear" w:color="auto" w:fill="auto"/>
          </w:tcPr>
          <w:p w14:paraId="5EA208E0"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8E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E2" w14:textId="77777777" w:rsidR="003C66EB" w:rsidRDefault="00D96C4E">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8E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E4" w14:textId="77777777" w:rsidR="003C66EB" w:rsidRDefault="00D96C4E">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8E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E6" w14:textId="77777777" w:rsidR="003C66EB" w:rsidRDefault="00D96C4E">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5EA208E7" w14:textId="77777777" w:rsidR="003C66EB" w:rsidRDefault="003C66EB">
            <w:pPr>
              <w:rPr>
                <w:rFonts w:ascii="宋体"/>
                <w:vanish/>
              </w:rPr>
            </w:pPr>
          </w:p>
        </w:tc>
        <w:tc>
          <w:tcPr>
            <w:tcW w:w="0" w:type="auto"/>
            <w:shd w:val="clear" w:color="auto" w:fill="auto"/>
          </w:tcPr>
          <w:p w14:paraId="5EA208E8"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8E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EA" w14:textId="77777777" w:rsidR="003C66EB" w:rsidRDefault="00D96C4E">
            <w:pPr>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8E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8EC" w14:textId="77777777" w:rsidR="003C66EB" w:rsidRDefault="00D96C4E">
            <w:pPr>
              <w:jc w:val="center"/>
              <w:textAlignment w:val="bottom"/>
            </w:pPr>
            <w:r>
              <w:rPr>
                <w:rFonts w:ascii="Arial" w:eastAsia="宋体" w:hAnsi="Arial" w:cs="Arial"/>
                <w:b/>
                <w:bCs/>
                <w:color w:val="000000"/>
                <w:sz w:val="15"/>
                <w:szCs w:val="15"/>
              </w:rPr>
              <w:t>Interest Rate Risk</w:t>
            </w:r>
          </w:p>
        </w:tc>
        <w:tc>
          <w:tcPr>
            <w:tcW w:w="0" w:type="auto"/>
            <w:gridSpan w:val="2"/>
            <w:tcBorders>
              <w:top w:val="single" w:sz="8" w:space="0" w:color="000000"/>
            </w:tcBorders>
            <w:shd w:val="clear" w:color="auto" w:fill="auto"/>
            <w:tcMar>
              <w:top w:w="0" w:type="dxa"/>
              <w:left w:w="20" w:type="dxa"/>
              <w:bottom w:w="0" w:type="dxa"/>
              <w:right w:w="20" w:type="dxa"/>
            </w:tcMar>
          </w:tcPr>
          <w:p w14:paraId="5EA208ED" w14:textId="77777777" w:rsidR="003C66EB" w:rsidRDefault="003C66EB">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A208EE" w14:textId="77777777" w:rsidR="003C66EB" w:rsidRDefault="00D96C4E">
            <w:pPr>
              <w:jc w:val="center"/>
              <w:textAlignment w:val="bottom"/>
            </w:pPr>
            <w:r>
              <w:rPr>
                <w:rFonts w:ascii="Arial" w:eastAsia="宋体" w:hAnsi="Arial" w:cs="Arial"/>
                <w:b/>
                <w:bCs/>
                <w:color w:val="000000"/>
                <w:sz w:val="15"/>
                <w:szCs w:val="15"/>
              </w:rPr>
              <w:t>Volatility Risk</w:t>
            </w:r>
          </w:p>
        </w:tc>
      </w:tr>
      <w:tr w:rsidR="003C66EB" w14:paraId="5EA20906" w14:textId="77777777">
        <w:tc>
          <w:tcPr>
            <w:tcW w:w="0" w:type="auto"/>
            <w:gridSpan w:val="3"/>
            <w:shd w:val="clear" w:color="auto" w:fill="auto"/>
            <w:tcMar>
              <w:top w:w="40" w:type="dxa"/>
              <w:left w:w="20" w:type="dxa"/>
              <w:bottom w:w="40" w:type="dxa"/>
              <w:right w:w="20" w:type="dxa"/>
            </w:tcMar>
            <w:vAlign w:val="bottom"/>
          </w:tcPr>
          <w:p w14:paraId="5EA208F0" w14:textId="77777777" w:rsidR="003C66EB" w:rsidRDefault="00D96C4E">
            <w:pPr>
              <w:spacing w:after="20"/>
              <w:textAlignment w:val="bottom"/>
            </w:pPr>
            <w:r>
              <w:rPr>
                <w:rFonts w:ascii="Arial" w:eastAsia="宋体" w:hAnsi="Arial" w:cs="Arial"/>
                <w:color w:val="000000"/>
                <w:sz w:val="15"/>
                <w:szCs w:val="15"/>
              </w:rPr>
              <w:t>By component:</w:t>
            </w:r>
          </w:p>
        </w:tc>
        <w:tc>
          <w:tcPr>
            <w:tcW w:w="0" w:type="auto"/>
            <w:gridSpan w:val="3"/>
            <w:tcBorders>
              <w:top w:val="single" w:sz="8" w:space="0" w:color="000000"/>
            </w:tcBorders>
            <w:shd w:val="clear" w:color="auto" w:fill="auto"/>
            <w:tcMar>
              <w:top w:w="0" w:type="dxa"/>
              <w:left w:w="20" w:type="dxa"/>
              <w:bottom w:w="0" w:type="dxa"/>
              <w:right w:w="20" w:type="dxa"/>
            </w:tcMar>
          </w:tcPr>
          <w:p w14:paraId="5EA208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F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8F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F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8F5" w14:textId="77777777" w:rsidR="003C66EB" w:rsidRDefault="003C66EB">
            <w:pPr>
              <w:rPr>
                <w:rFonts w:ascii="宋体"/>
              </w:rPr>
            </w:pPr>
          </w:p>
        </w:tc>
        <w:tc>
          <w:tcPr>
            <w:tcW w:w="0" w:type="auto"/>
            <w:shd w:val="clear" w:color="auto" w:fill="auto"/>
          </w:tcPr>
          <w:p w14:paraId="5EA208F6" w14:textId="77777777" w:rsidR="003C66EB" w:rsidRDefault="003C66EB">
            <w:pPr>
              <w:rPr>
                <w:rFonts w:ascii="宋体"/>
                <w:vanish/>
              </w:rPr>
            </w:pPr>
          </w:p>
        </w:tc>
        <w:tc>
          <w:tcPr>
            <w:tcW w:w="0" w:type="auto"/>
            <w:shd w:val="clear" w:color="auto" w:fill="auto"/>
          </w:tcPr>
          <w:p w14:paraId="5EA208F7"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8F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8F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F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8F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8F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8FD" w14:textId="77777777" w:rsidR="003C66EB" w:rsidRDefault="003C66EB">
            <w:pPr>
              <w:rPr>
                <w:rFonts w:ascii="宋体"/>
              </w:rPr>
            </w:pPr>
          </w:p>
        </w:tc>
        <w:tc>
          <w:tcPr>
            <w:tcW w:w="0" w:type="auto"/>
            <w:shd w:val="clear" w:color="auto" w:fill="auto"/>
          </w:tcPr>
          <w:p w14:paraId="5EA208FE" w14:textId="77777777" w:rsidR="003C66EB" w:rsidRDefault="003C66EB">
            <w:pPr>
              <w:rPr>
                <w:rFonts w:ascii="宋体"/>
                <w:vanish/>
              </w:rPr>
            </w:pPr>
          </w:p>
        </w:tc>
        <w:tc>
          <w:tcPr>
            <w:tcW w:w="0" w:type="auto"/>
            <w:shd w:val="clear" w:color="auto" w:fill="auto"/>
          </w:tcPr>
          <w:p w14:paraId="5EA208FF"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90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90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90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903"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0904" w14:textId="77777777" w:rsidR="003C66EB" w:rsidRDefault="003C66EB">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5EA20905" w14:textId="77777777" w:rsidR="003C66EB" w:rsidRDefault="003C66EB">
            <w:pPr>
              <w:rPr>
                <w:rFonts w:ascii="宋体"/>
              </w:rPr>
            </w:pPr>
          </w:p>
        </w:tc>
      </w:tr>
      <w:tr w:rsidR="00D96C4E" w14:paraId="5EA2092E" w14:textId="77777777">
        <w:tc>
          <w:tcPr>
            <w:tcW w:w="0" w:type="auto"/>
            <w:gridSpan w:val="3"/>
            <w:shd w:val="clear" w:color="auto" w:fill="CCEEFF"/>
            <w:tcMar>
              <w:top w:w="40" w:type="dxa"/>
              <w:left w:w="20" w:type="dxa"/>
              <w:bottom w:w="40" w:type="dxa"/>
              <w:right w:w="20" w:type="dxa"/>
            </w:tcMar>
            <w:vAlign w:val="bottom"/>
          </w:tcPr>
          <w:p w14:paraId="5EA20907" w14:textId="77777777" w:rsidR="003C66EB" w:rsidRDefault="00D96C4E">
            <w:pPr>
              <w:spacing w:after="20"/>
              <w:textAlignment w:val="bottom"/>
            </w:pPr>
            <w:r>
              <w:rPr>
                <w:rFonts w:ascii="Arial" w:eastAsia="宋体" w:hAnsi="Arial" w:cs="Arial"/>
                <w:color w:val="000000"/>
                <w:sz w:val="15"/>
                <w:szCs w:val="15"/>
              </w:rPr>
              <w:t>Global Markets</w:t>
            </w:r>
          </w:p>
        </w:tc>
        <w:tc>
          <w:tcPr>
            <w:tcW w:w="0" w:type="auto"/>
            <w:shd w:val="clear" w:color="auto" w:fill="CCEEFF"/>
            <w:tcMar>
              <w:top w:w="40" w:type="dxa"/>
              <w:left w:w="20" w:type="dxa"/>
              <w:bottom w:w="40" w:type="dxa"/>
              <w:right w:w="0" w:type="dxa"/>
            </w:tcMar>
            <w:vAlign w:val="bottom"/>
          </w:tcPr>
          <w:p w14:paraId="5EA20908"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909" w14:textId="77777777" w:rsidR="003C66EB" w:rsidRDefault="00D96C4E">
            <w:pPr>
              <w:jc w:val="right"/>
              <w:textAlignment w:val="bottom"/>
            </w:pPr>
            <w:r>
              <w:rPr>
                <w:rFonts w:ascii="Arial" w:eastAsia="宋体" w:hAnsi="Arial" w:cs="Arial"/>
                <w:b/>
                <w:bCs/>
                <w:color w:val="000000"/>
                <w:sz w:val="15"/>
                <w:szCs w:val="15"/>
              </w:rPr>
              <w:t>12,476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9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0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0C"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90D" w14:textId="77777777" w:rsidR="003C66EB" w:rsidRDefault="00D96C4E">
            <w:pPr>
              <w:jc w:val="right"/>
              <w:textAlignment w:val="bottom"/>
            </w:pPr>
            <w:r>
              <w:rPr>
                <w:rFonts w:ascii="Arial" w:eastAsia="宋体" w:hAnsi="Arial" w:cs="Arial"/>
                <w:b/>
                <w:bCs/>
                <w:color w:val="000000"/>
                <w:sz w:val="15"/>
                <w:szCs w:val="15"/>
              </w:rPr>
              <w:t>11,164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9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0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10"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911" w14:textId="77777777" w:rsidR="003C66EB" w:rsidRDefault="00D96C4E">
            <w:pPr>
              <w:jc w:val="right"/>
              <w:textAlignment w:val="bottom"/>
            </w:pPr>
            <w:r>
              <w:rPr>
                <w:rFonts w:ascii="Arial" w:eastAsia="宋体" w:hAnsi="Arial" w:cs="Arial"/>
                <w:b/>
                <w:bCs/>
                <w:color w:val="000000"/>
                <w:sz w:val="15"/>
                <w:szCs w:val="15"/>
              </w:rPr>
              <w:t>857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912" w14:textId="77777777" w:rsidR="003C66EB" w:rsidRDefault="003C66EB">
            <w:pPr>
              <w:jc w:val="right"/>
              <w:rPr>
                <w:rFonts w:ascii="宋体"/>
              </w:rPr>
            </w:pPr>
          </w:p>
        </w:tc>
        <w:tc>
          <w:tcPr>
            <w:tcW w:w="0" w:type="auto"/>
            <w:shd w:val="clear" w:color="auto" w:fill="auto"/>
          </w:tcPr>
          <w:p w14:paraId="5EA20913" w14:textId="77777777" w:rsidR="003C66EB" w:rsidRDefault="003C66EB">
            <w:pPr>
              <w:rPr>
                <w:rFonts w:ascii="宋体"/>
                <w:vanish/>
              </w:rPr>
            </w:pPr>
          </w:p>
        </w:tc>
        <w:tc>
          <w:tcPr>
            <w:tcW w:w="0" w:type="auto"/>
            <w:shd w:val="clear" w:color="auto" w:fill="auto"/>
          </w:tcPr>
          <w:p w14:paraId="5EA20914"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91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16"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917" w14:textId="77777777" w:rsidR="003C66EB" w:rsidRDefault="00D96C4E">
            <w:pPr>
              <w:jc w:val="right"/>
              <w:textAlignment w:val="bottom"/>
            </w:pPr>
            <w:r>
              <w:rPr>
                <w:rFonts w:ascii="Arial" w:eastAsia="宋体" w:hAnsi="Arial" w:cs="Arial"/>
                <w:color w:val="000000"/>
                <w:sz w:val="15"/>
                <w:szCs w:val="15"/>
              </w:rPr>
              <w:t>2,977 </w:t>
            </w:r>
          </w:p>
        </w:tc>
        <w:tc>
          <w:tcPr>
            <w:tcW w:w="0" w:type="auto"/>
            <w:shd w:val="clear" w:color="auto" w:fill="CCEEFF"/>
            <w:tcMar>
              <w:top w:w="40" w:type="dxa"/>
              <w:left w:w="0" w:type="dxa"/>
              <w:bottom w:w="40" w:type="dxa"/>
              <w:right w:w="20" w:type="dxa"/>
            </w:tcMar>
            <w:vAlign w:val="bottom"/>
          </w:tcPr>
          <w:p w14:paraId="5EA2091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1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1A"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91B" w14:textId="77777777" w:rsidR="003C66EB" w:rsidRDefault="00D96C4E">
            <w:pPr>
              <w:jc w:val="right"/>
              <w:textAlignment w:val="bottom"/>
            </w:pPr>
            <w:r>
              <w:rPr>
                <w:rFonts w:ascii="Arial" w:eastAsia="宋体" w:hAnsi="Arial" w:cs="Arial"/>
                <w:color w:val="000000"/>
                <w:sz w:val="15"/>
                <w:szCs w:val="15"/>
              </w:rPr>
              <w:t>8,880 </w:t>
            </w:r>
          </w:p>
        </w:tc>
        <w:tc>
          <w:tcPr>
            <w:tcW w:w="0" w:type="auto"/>
            <w:shd w:val="clear" w:color="auto" w:fill="CCEEFF"/>
            <w:tcMar>
              <w:top w:w="40" w:type="dxa"/>
              <w:left w:w="0" w:type="dxa"/>
              <w:bottom w:w="40" w:type="dxa"/>
              <w:right w:w="20" w:type="dxa"/>
            </w:tcMar>
            <w:vAlign w:val="bottom"/>
          </w:tcPr>
          <w:p w14:paraId="5EA209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1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1E"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91F" w14:textId="77777777" w:rsidR="003C66EB" w:rsidRDefault="00D96C4E">
            <w:pPr>
              <w:jc w:val="right"/>
              <w:textAlignment w:val="bottom"/>
            </w:pPr>
            <w:r>
              <w:rPr>
                <w:rFonts w:ascii="Arial" w:eastAsia="宋体" w:hAnsi="Arial" w:cs="Arial"/>
                <w:color w:val="000000"/>
                <w:sz w:val="15"/>
                <w:szCs w:val="15"/>
              </w:rPr>
              <w:t>179 </w:t>
            </w:r>
          </w:p>
        </w:tc>
        <w:tc>
          <w:tcPr>
            <w:tcW w:w="0" w:type="auto"/>
            <w:shd w:val="clear" w:color="auto" w:fill="CCEEFF"/>
            <w:tcMar>
              <w:top w:w="40" w:type="dxa"/>
              <w:left w:w="0" w:type="dxa"/>
              <w:bottom w:w="40" w:type="dxa"/>
              <w:right w:w="20" w:type="dxa"/>
            </w:tcMar>
            <w:vAlign w:val="bottom"/>
          </w:tcPr>
          <w:p w14:paraId="5EA20920" w14:textId="77777777" w:rsidR="003C66EB" w:rsidRDefault="003C66EB">
            <w:pPr>
              <w:jc w:val="right"/>
              <w:rPr>
                <w:rFonts w:ascii="宋体"/>
              </w:rPr>
            </w:pPr>
          </w:p>
        </w:tc>
        <w:tc>
          <w:tcPr>
            <w:tcW w:w="0" w:type="auto"/>
            <w:shd w:val="clear" w:color="auto" w:fill="auto"/>
          </w:tcPr>
          <w:p w14:paraId="5EA20921" w14:textId="77777777" w:rsidR="003C66EB" w:rsidRDefault="003C66EB">
            <w:pPr>
              <w:rPr>
                <w:rFonts w:ascii="宋体"/>
                <w:vanish/>
              </w:rPr>
            </w:pPr>
          </w:p>
        </w:tc>
        <w:tc>
          <w:tcPr>
            <w:tcW w:w="0" w:type="auto"/>
            <w:shd w:val="clear" w:color="auto" w:fill="auto"/>
          </w:tcPr>
          <w:p w14:paraId="5EA20922"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92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24"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925" w14:textId="77777777" w:rsidR="003C66EB" w:rsidRDefault="00D96C4E">
            <w:pPr>
              <w:jc w:val="right"/>
              <w:textAlignment w:val="bottom"/>
            </w:pPr>
            <w:r>
              <w:rPr>
                <w:rFonts w:ascii="Arial" w:eastAsia="宋体" w:hAnsi="Arial" w:cs="Arial"/>
                <w:color w:val="000000"/>
                <w:sz w:val="15"/>
                <w:szCs w:val="15"/>
              </w:rPr>
              <w:t>5,599 </w:t>
            </w:r>
          </w:p>
        </w:tc>
        <w:tc>
          <w:tcPr>
            <w:tcW w:w="0" w:type="auto"/>
            <w:shd w:val="clear" w:color="auto" w:fill="CCEEFF"/>
            <w:tcMar>
              <w:top w:w="40" w:type="dxa"/>
              <w:left w:w="0" w:type="dxa"/>
              <w:bottom w:w="40" w:type="dxa"/>
              <w:right w:w="20" w:type="dxa"/>
            </w:tcMar>
            <w:vAlign w:val="bottom"/>
          </w:tcPr>
          <w:p w14:paraId="5EA209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2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28"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929" w14:textId="77777777" w:rsidR="003C66EB" w:rsidRDefault="00D96C4E">
            <w:pPr>
              <w:jc w:val="right"/>
              <w:textAlignment w:val="bottom"/>
            </w:pPr>
            <w:r>
              <w:rPr>
                <w:rFonts w:ascii="Arial" w:eastAsia="宋体" w:hAnsi="Arial" w:cs="Arial"/>
                <w:color w:val="000000"/>
                <w:sz w:val="15"/>
                <w:szCs w:val="15"/>
              </w:rPr>
              <w:t>7,017 </w:t>
            </w:r>
          </w:p>
        </w:tc>
        <w:tc>
          <w:tcPr>
            <w:tcW w:w="0" w:type="auto"/>
            <w:shd w:val="clear" w:color="auto" w:fill="CCEEFF"/>
            <w:tcMar>
              <w:top w:w="40" w:type="dxa"/>
              <w:left w:w="0" w:type="dxa"/>
              <w:bottom w:w="40" w:type="dxa"/>
              <w:right w:w="20" w:type="dxa"/>
            </w:tcMar>
            <w:vAlign w:val="bottom"/>
          </w:tcPr>
          <w:p w14:paraId="5EA2092A"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92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92C" w14:textId="77777777" w:rsidR="003C66EB" w:rsidRDefault="00D96C4E">
            <w:pPr>
              <w:textAlignment w:val="bottom"/>
            </w:pPr>
            <w:r>
              <w:rPr>
                <w:rFonts w:ascii="Arial" w:eastAsia="宋体" w:hAnsi="Arial" w:cs="Arial"/>
                <w:color w:val="000000"/>
                <w:sz w:val="15"/>
                <w:szCs w:val="15"/>
              </w:rPr>
              <w:t>$</w:t>
            </w:r>
          </w:p>
          <w:p w14:paraId="5EA2092D" w14:textId="77777777" w:rsidR="003C66EB" w:rsidRDefault="00D96C4E">
            <w:pPr>
              <w:jc w:val="right"/>
              <w:textAlignment w:val="bottom"/>
            </w:pPr>
            <w:r>
              <w:rPr>
                <w:rFonts w:ascii="Arial" w:eastAsia="宋体" w:hAnsi="Arial" w:cs="Arial"/>
                <w:color w:val="000000"/>
                <w:sz w:val="15"/>
                <w:szCs w:val="15"/>
              </w:rPr>
              <w:t>162 </w:t>
            </w:r>
          </w:p>
        </w:tc>
      </w:tr>
      <w:tr w:rsidR="003C66EB" w14:paraId="5EA2094D" w14:textId="77777777">
        <w:tc>
          <w:tcPr>
            <w:tcW w:w="0" w:type="auto"/>
            <w:gridSpan w:val="3"/>
            <w:shd w:val="clear" w:color="auto" w:fill="FFFFFF"/>
            <w:tcMar>
              <w:top w:w="40" w:type="dxa"/>
              <w:left w:w="20" w:type="dxa"/>
              <w:bottom w:w="40" w:type="dxa"/>
              <w:right w:w="20" w:type="dxa"/>
            </w:tcMar>
            <w:vAlign w:val="bottom"/>
          </w:tcPr>
          <w:p w14:paraId="5EA2092F" w14:textId="77777777" w:rsidR="003C66EB" w:rsidRDefault="00D96C4E">
            <w:pPr>
              <w:spacing w:after="20"/>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5EA20930" w14:textId="77777777" w:rsidR="003C66EB" w:rsidRDefault="00D96C4E">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9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3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33" w14:textId="77777777" w:rsidR="003C66EB" w:rsidRDefault="00D96C4E">
            <w:pPr>
              <w:jc w:val="right"/>
              <w:textAlignment w:val="bottom"/>
            </w:pPr>
            <w:r>
              <w:rPr>
                <w:rFonts w:ascii="Arial" w:eastAsia="宋体" w:hAnsi="Arial" w:cs="Arial"/>
                <w:b/>
                <w:bCs/>
                <w:color w:val="000000"/>
                <w:sz w:val="15"/>
                <w:szCs w:val="15"/>
              </w:rPr>
              <w:t>9,734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9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3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3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937" w14:textId="77777777" w:rsidR="003C66EB" w:rsidRDefault="003C66EB">
            <w:pPr>
              <w:jc w:val="right"/>
              <w:rPr>
                <w:rFonts w:ascii="宋体"/>
              </w:rPr>
            </w:pPr>
          </w:p>
        </w:tc>
        <w:tc>
          <w:tcPr>
            <w:tcW w:w="0" w:type="auto"/>
            <w:shd w:val="clear" w:color="auto" w:fill="auto"/>
          </w:tcPr>
          <w:p w14:paraId="5EA20938" w14:textId="77777777" w:rsidR="003C66EB" w:rsidRDefault="003C66EB">
            <w:pPr>
              <w:rPr>
                <w:rFonts w:ascii="宋体"/>
                <w:vanish/>
              </w:rPr>
            </w:pPr>
          </w:p>
        </w:tc>
        <w:tc>
          <w:tcPr>
            <w:tcW w:w="0" w:type="auto"/>
            <w:shd w:val="clear" w:color="auto" w:fill="auto"/>
          </w:tcPr>
          <w:p w14:paraId="5EA20939"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93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3B" w14:textId="77777777" w:rsidR="003C66EB" w:rsidRDefault="00D96C4E">
            <w:pPr>
              <w:jc w:val="right"/>
              <w:textAlignment w:val="bottom"/>
            </w:pPr>
            <w:r>
              <w:rPr>
                <w:rFonts w:ascii="Arial" w:eastAsia="宋体" w:hAnsi="Arial" w:cs="Arial"/>
                <w:color w:val="000000"/>
                <w:sz w:val="15"/>
                <w:szCs w:val="15"/>
              </w:rPr>
              <w:t>33 </w:t>
            </w:r>
          </w:p>
        </w:tc>
        <w:tc>
          <w:tcPr>
            <w:tcW w:w="0" w:type="auto"/>
            <w:shd w:val="clear" w:color="auto" w:fill="FFFFFF"/>
            <w:tcMar>
              <w:top w:w="40" w:type="dxa"/>
              <w:left w:w="0" w:type="dxa"/>
              <w:bottom w:w="40" w:type="dxa"/>
              <w:right w:w="20" w:type="dxa"/>
            </w:tcMar>
            <w:vAlign w:val="bottom"/>
          </w:tcPr>
          <w:p w14:paraId="5EA2093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3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3E" w14:textId="77777777" w:rsidR="003C66EB" w:rsidRDefault="00D96C4E">
            <w:pPr>
              <w:jc w:val="right"/>
              <w:textAlignment w:val="bottom"/>
            </w:pPr>
            <w:r>
              <w:rPr>
                <w:rFonts w:ascii="Arial" w:eastAsia="宋体" w:hAnsi="Arial" w:cs="Arial"/>
                <w:color w:val="000000"/>
                <w:sz w:val="15"/>
                <w:szCs w:val="15"/>
              </w:rPr>
              <w:t>4,257 </w:t>
            </w:r>
          </w:p>
        </w:tc>
        <w:tc>
          <w:tcPr>
            <w:tcW w:w="0" w:type="auto"/>
            <w:shd w:val="clear" w:color="auto" w:fill="FFFFFF"/>
            <w:tcMar>
              <w:top w:w="40" w:type="dxa"/>
              <w:left w:w="0" w:type="dxa"/>
              <w:bottom w:w="40" w:type="dxa"/>
              <w:right w:w="20" w:type="dxa"/>
            </w:tcMar>
            <w:vAlign w:val="bottom"/>
          </w:tcPr>
          <w:p w14:paraId="5EA209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4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41"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942" w14:textId="77777777" w:rsidR="003C66EB" w:rsidRDefault="003C66EB">
            <w:pPr>
              <w:jc w:val="right"/>
              <w:rPr>
                <w:rFonts w:ascii="宋体"/>
              </w:rPr>
            </w:pPr>
          </w:p>
        </w:tc>
        <w:tc>
          <w:tcPr>
            <w:tcW w:w="0" w:type="auto"/>
            <w:shd w:val="clear" w:color="auto" w:fill="auto"/>
          </w:tcPr>
          <w:p w14:paraId="5EA20943" w14:textId="77777777" w:rsidR="003C66EB" w:rsidRDefault="003C66EB">
            <w:pPr>
              <w:rPr>
                <w:rFonts w:ascii="宋体"/>
                <w:vanish/>
              </w:rPr>
            </w:pPr>
          </w:p>
        </w:tc>
        <w:tc>
          <w:tcPr>
            <w:tcW w:w="0" w:type="auto"/>
            <w:shd w:val="clear" w:color="auto" w:fill="auto"/>
          </w:tcPr>
          <w:p w14:paraId="5EA20944"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94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46" w14:textId="77777777" w:rsidR="003C66EB" w:rsidRDefault="00D96C4E">
            <w:pPr>
              <w:jc w:val="right"/>
              <w:textAlignment w:val="bottom"/>
            </w:pPr>
            <w:r>
              <w:rPr>
                <w:rFonts w:ascii="Arial" w:eastAsia="宋体" w:hAnsi="Arial" w:cs="Arial"/>
                <w:color w:val="000000"/>
                <w:sz w:val="15"/>
                <w:szCs w:val="15"/>
              </w:rPr>
              <w:t>22 </w:t>
            </w:r>
          </w:p>
        </w:tc>
        <w:tc>
          <w:tcPr>
            <w:tcW w:w="0" w:type="auto"/>
            <w:shd w:val="clear" w:color="auto" w:fill="FFFFFF"/>
            <w:tcMar>
              <w:top w:w="40" w:type="dxa"/>
              <w:left w:w="0" w:type="dxa"/>
              <w:bottom w:w="40" w:type="dxa"/>
              <w:right w:w="20" w:type="dxa"/>
            </w:tcMar>
            <w:vAlign w:val="bottom"/>
          </w:tcPr>
          <w:p w14:paraId="5EA2094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4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949" w14:textId="77777777" w:rsidR="003C66EB" w:rsidRDefault="00D96C4E">
            <w:pPr>
              <w:jc w:val="right"/>
              <w:textAlignment w:val="bottom"/>
            </w:pPr>
            <w:r>
              <w:rPr>
                <w:rFonts w:ascii="Arial" w:eastAsia="宋体" w:hAnsi="Arial" w:cs="Arial"/>
                <w:color w:val="000000"/>
                <w:sz w:val="15"/>
                <w:szCs w:val="15"/>
              </w:rPr>
              <w:t>3,609 </w:t>
            </w:r>
          </w:p>
        </w:tc>
        <w:tc>
          <w:tcPr>
            <w:tcW w:w="0" w:type="auto"/>
            <w:shd w:val="clear" w:color="auto" w:fill="FFFFFF"/>
            <w:tcMar>
              <w:top w:w="40" w:type="dxa"/>
              <w:left w:w="0" w:type="dxa"/>
              <w:bottom w:w="40" w:type="dxa"/>
              <w:right w:w="20" w:type="dxa"/>
            </w:tcMar>
            <w:vAlign w:val="bottom"/>
          </w:tcPr>
          <w:p w14:paraId="5EA2094A"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94B"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94C" w14:textId="77777777" w:rsidR="003C66EB" w:rsidRDefault="00D96C4E">
            <w:pPr>
              <w:jc w:val="right"/>
              <w:textAlignment w:val="bottom"/>
            </w:pPr>
            <w:r>
              <w:rPr>
                <w:rFonts w:ascii="Arial" w:eastAsia="宋体" w:hAnsi="Arial" w:cs="Arial"/>
                <w:color w:val="000000"/>
                <w:sz w:val="15"/>
                <w:szCs w:val="15"/>
              </w:rPr>
              <w:t>— </w:t>
            </w:r>
          </w:p>
        </w:tc>
      </w:tr>
      <w:tr w:rsidR="003C66EB" w14:paraId="5EA2096C" w14:textId="77777777">
        <w:tc>
          <w:tcPr>
            <w:tcW w:w="0" w:type="auto"/>
            <w:gridSpan w:val="3"/>
            <w:shd w:val="clear" w:color="auto" w:fill="CCEEFF"/>
            <w:tcMar>
              <w:top w:w="40" w:type="dxa"/>
              <w:left w:w="20" w:type="dxa"/>
              <w:bottom w:w="40" w:type="dxa"/>
              <w:right w:w="20" w:type="dxa"/>
            </w:tcMar>
            <w:vAlign w:val="bottom"/>
          </w:tcPr>
          <w:p w14:paraId="5EA2094E" w14:textId="77777777" w:rsidR="003C66EB" w:rsidRDefault="00D96C4E">
            <w:pPr>
              <w:spacing w:after="20"/>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5EA2094F" w14:textId="77777777" w:rsidR="003C66EB" w:rsidRDefault="00D96C4E">
            <w:pPr>
              <w:jc w:val="right"/>
              <w:textAlignment w:val="bottom"/>
            </w:pPr>
            <w:r>
              <w:rPr>
                <w:rFonts w:ascii="Arial" w:eastAsia="宋体" w:hAnsi="Arial" w:cs="Arial"/>
                <w:b/>
                <w:bCs/>
                <w:color w:val="000000"/>
                <w:sz w:val="15"/>
                <w:szCs w:val="15"/>
              </w:rPr>
              <w:t>(22)</w:t>
            </w:r>
          </w:p>
        </w:tc>
        <w:tc>
          <w:tcPr>
            <w:tcW w:w="0" w:type="auto"/>
            <w:shd w:val="clear" w:color="auto" w:fill="CCEEFF"/>
            <w:tcMar>
              <w:top w:w="40" w:type="dxa"/>
              <w:left w:w="0" w:type="dxa"/>
              <w:bottom w:w="40" w:type="dxa"/>
              <w:right w:w="20" w:type="dxa"/>
            </w:tcMar>
            <w:vAlign w:val="bottom"/>
          </w:tcPr>
          <w:p w14:paraId="5EA2095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5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52" w14:textId="77777777" w:rsidR="003C66EB" w:rsidRDefault="00D96C4E">
            <w:pPr>
              <w:jc w:val="right"/>
              <w:textAlignment w:val="bottom"/>
            </w:pPr>
            <w:r>
              <w:rPr>
                <w:rFonts w:ascii="Arial" w:eastAsia="宋体" w:hAnsi="Arial" w:cs="Arial"/>
                <w:b/>
                <w:bCs/>
                <w:color w:val="000000"/>
                <w:sz w:val="15"/>
                <w:szCs w:val="15"/>
              </w:rPr>
              <w:t>(5,477)</w:t>
            </w:r>
          </w:p>
        </w:tc>
        <w:tc>
          <w:tcPr>
            <w:tcW w:w="0" w:type="auto"/>
            <w:shd w:val="clear" w:color="auto" w:fill="CCEEFF"/>
            <w:tcMar>
              <w:top w:w="40" w:type="dxa"/>
              <w:left w:w="0" w:type="dxa"/>
              <w:bottom w:w="40" w:type="dxa"/>
              <w:right w:w="20" w:type="dxa"/>
            </w:tcMar>
            <w:vAlign w:val="bottom"/>
          </w:tcPr>
          <w:p w14:paraId="5EA209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5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55"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956" w14:textId="77777777" w:rsidR="003C66EB" w:rsidRDefault="003C66EB">
            <w:pPr>
              <w:jc w:val="right"/>
              <w:rPr>
                <w:rFonts w:ascii="宋体"/>
              </w:rPr>
            </w:pPr>
          </w:p>
        </w:tc>
        <w:tc>
          <w:tcPr>
            <w:tcW w:w="0" w:type="auto"/>
            <w:shd w:val="clear" w:color="auto" w:fill="auto"/>
          </w:tcPr>
          <w:p w14:paraId="5EA20957" w14:textId="77777777" w:rsidR="003C66EB" w:rsidRDefault="003C66EB">
            <w:pPr>
              <w:rPr>
                <w:rFonts w:ascii="宋体"/>
                <w:vanish/>
              </w:rPr>
            </w:pPr>
          </w:p>
        </w:tc>
        <w:tc>
          <w:tcPr>
            <w:tcW w:w="0" w:type="auto"/>
            <w:shd w:val="clear" w:color="auto" w:fill="auto"/>
          </w:tcPr>
          <w:p w14:paraId="5EA20958"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95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5A" w14:textId="77777777" w:rsidR="003C66EB" w:rsidRDefault="00D96C4E">
            <w:pPr>
              <w:jc w:val="right"/>
              <w:textAlignment w:val="bottom"/>
            </w:pPr>
            <w:r>
              <w:rPr>
                <w:rFonts w:ascii="Arial" w:eastAsia="宋体" w:hAnsi="Arial" w:cs="Arial"/>
                <w:color w:val="000000"/>
                <w:sz w:val="15"/>
                <w:szCs w:val="15"/>
              </w:rPr>
              <w:t>(42)</w:t>
            </w:r>
          </w:p>
        </w:tc>
        <w:tc>
          <w:tcPr>
            <w:tcW w:w="0" w:type="auto"/>
            <w:shd w:val="clear" w:color="auto" w:fill="CCEEFF"/>
            <w:tcMar>
              <w:top w:w="40" w:type="dxa"/>
              <w:left w:w="0" w:type="dxa"/>
              <w:bottom w:w="40" w:type="dxa"/>
              <w:right w:w="20" w:type="dxa"/>
            </w:tcMar>
            <w:vAlign w:val="bottom"/>
          </w:tcPr>
          <w:p w14:paraId="5EA2095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5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5D" w14:textId="77777777" w:rsidR="003C66EB" w:rsidRDefault="00D96C4E">
            <w:pPr>
              <w:jc w:val="right"/>
              <w:textAlignment w:val="bottom"/>
            </w:pPr>
            <w:r>
              <w:rPr>
                <w:rFonts w:ascii="Arial" w:eastAsia="宋体" w:hAnsi="Arial" w:cs="Arial"/>
                <w:color w:val="000000"/>
                <w:sz w:val="15"/>
                <w:szCs w:val="15"/>
              </w:rPr>
              <w:t>(2,246)</w:t>
            </w:r>
          </w:p>
        </w:tc>
        <w:tc>
          <w:tcPr>
            <w:tcW w:w="0" w:type="auto"/>
            <w:shd w:val="clear" w:color="auto" w:fill="CCEEFF"/>
            <w:tcMar>
              <w:top w:w="40" w:type="dxa"/>
              <w:left w:w="0" w:type="dxa"/>
              <w:bottom w:w="40" w:type="dxa"/>
              <w:right w:w="20" w:type="dxa"/>
            </w:tcMar>
            <w:vAlign w:val="bottom"/>
          </w:tcPr>
          <w:p w14:paraId="5EA209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5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60"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961" w14:textId="77777777" w:rsidR="003C66EB" w:rsidRDefault="003C66EB">
            <w:pPr>
              <w:jc w:val="right"/>
              <w:rPr>
                <w:rFonts w:ascii="宋体"/>
              </w:rPr>
            </w:pPr>
          </w:p>
        </w:tc>
        <w:tc>
          <w:tcPr>
            <w:tcW w:w="0" w:type="auto"/>
            <w:shd w:val="clear" w:color="auto" w:fill="auto"/>
          </w:tcPr>
          <w:p w14:paraId="5EA20962" w14:textId="77777777" w:rsidR="003C66EB" w:rsidRDefault="003C66EB">
            <w:pPr>
              <w:rPr>
                <w:rFonts w:ascii="宋体"/>
                <w:vanish/>
              </w:rPr>
            </w:pPr>
          </w:p>
        </w:tc>
        <w:tc>
          <w:tcPr>
            <w:tcW w:w="0" w:type="auto"/>
            <w:shd w:val="clear" w:color="auto" w:fill="auto"/>
          </w:tcPr>
          <w:p w14:paraId="5EA20963"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96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65" w14:textId="77777777" w:rsidR="003C66EB" w:rsidRDefault="00D96C4E">
            <w:pPr>
              <w:jc w:val="right"/>
              <w:textAlignment w:val="bottom"/>
            </w:pPr>
            <w:r>
              <w:rPr>
                <w:rFonts w:ascii="Arial" w:eastAsia="宋体" w:hAnsi="Arial" w:cs="Arial"/>
                <w:color w:val="000000"/>
                <w:sz w:val="15"/>
                <w:szCs w:val="15"/>
              </w:rPr>
              <w:t>(28)</w:t>
            </w:r>
          </w:p>
        </w:tc>
        <w:tc>
          <w:tcPr>
            <w:tcW w:w="0" w:type="auto"/>
            <w:shd w:val="clear" w:color="auto" w:fill="CCEEFF"/>
            <w:tcMar>
              <w:top w:w="40" w:type="dxa"/>
              <w:left w:w="0" w:type="dxa"/>
              <w:bottom w:w="40" w:type="dxa"/>
              <w:right w:w="20" w:type="dxa"/>
            </w:tcMar>
            <w:vAlign w:val="bottom"/>
          </w:tcPr>
          <w:p w14:paraId="5EA209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96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968" w14:textId="77777777" w:rsidR="003C66EB" w:rsidRDefault="00D96C4E">
            <w:pPr>
              <w:jc w:val="right"/>
              <w:textAlignment w:val="bottom"/>
            </w:pPr>
            <w:r>
              <w:rPr>
                <w:rFonts w:ascii="Arial" w:eastAsia="宋体" w:hAnsi="Arial" w:cs="Arial"/>
                <w:color w:val="000000"/>
                <w:sz w:val="15"/>
                <w:szCs w:val="15"/>
              </w:rPr>
              <w:t>(3,583)</w:t>
            </w:r>
          </w:p>
        </w:tc>
        <w:tc>
          <w:tcPr>
            <w:tcW w:w="0" w:type="auto"/>
            <w:shd w:val="clear" w:color="auto" w:fill="CCEEFF"/>
            <w:tcMar>
              <w:top w:w="40" w:type="dxa"/>
              <w:left w:w="0" w:type="dxa"/>
              <w:bottom w:w="40" w:type="dxa"/>
              <w:right w:w="20" w:type="dxa"/>
            </w:tcMar>
            <w:vAlign w:val="bottom"/>
          </w:tcPr>
          <w:p w14:paraId="5EA20969"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96A" w14:textId="77777777" w:rsidR="003C66EB" w:rsidRDefault="003C66EB">
            <w:pPr>
              <w:rPr>
                <w:rFonts w:ascii="宋体"/>
              </w:rPr>
            </w:pPr>
          </w:p>
        </w:tc>
        <w:tc>
          <w:tcPr>
            <w:tcW w:w="0" w:type="auto"/>
            <w:shd w:val="clear" w:color="auto" w:fill="CCEEFF"/>
            <w:tcMar>
              <w:top w:w="0" w:type="dxa"/>
              <w:left w:w="20" w:type="dxa"/>
              <w:bottom w:w="0" w:type="dxa"/>
              <w:right w:w="20" w:type="dxa"/>
            </w:tcMar>
          </w:tcPr>
          <w:p w14:paraId="5EA2096B" w14:textId="77777777" w:rsidR="003C66EB" w:rsidRDefault="003C66EB">
            <w:pPr>
              <w:rPr>
                <w:rFonts w:ascii="宋体"/>
              </w:rPr>
            </w:pPr>
          </w:p>
        </w:tc>
      </w:tr>
      <w:tr w:rsidR="00D96C4E" w14:paraId="5EA20994" w14:textId="77777777">
        <w:tc>
          <w:tcPr>
            <w:tcW w:w="0" w:type="auto"/>
            <w:gridSpan w:val="3"/>
            <w:shd w:val="clear" w:color="auto" w:fill="FFFFFF"/>
            <w:tcMar>
              <w:top w:w="40" w:type="dxa"/>
              <w:left w:w="20" w:type="dxa"/>
              <w:bottom w:w="40" w:type="dxa"/>
              <w:right w:w="20" w:type="dxa"/>
            </w:tcMar>
            <w:vAlign w:val="bottom"/>
          </w:tcPr>
          <w:p w14:paraId="5EA2096D" w14:textId="77777777" w:rsidR="003C66EB" w:rsidRDefault="00D96C4E">
            <w:pPr>
              <w:spacing w:after="20"/>
              <w:textAlignment w:val="bottom"/>
            </w:pPr>
            <w:r>
              <w:rPr>
                <w:rFonts w:ascii="Arial" w:eastAsia="宋体" w:hAnsi="Arial" w:cs="Arial"/>
                <w:color w:val="000000"/>
                <w:sz w:val="15"/>
                <w:szCs w:val="15"/>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6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6F" w14:textId="77777777" w:rsidR="003C66EB" w:rsidRDefault="00D96C4E">
            <w:pPr>
              <w:jc w:val="right"/>
              <w:textAlignment w:val="bottom"/>
            </w:pPr>
            <w:r>
              <w:rPr>
                <w:rFonts w:ascii="Arial" w:eastAsia="宋体" w:hAnsi="Arial" w:cs="Arial"/>
                <w:b/>
                <w:bCs/>
                <w:color w:val="000000"/>
                <w:sz w:val="15"/>
                <w:szCs w:val="15"/>
              </w:rPr>
              <w:t>12,493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7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71"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72"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73" w14:textId="77777777" w:rsidR="003C66EB" w:rsidRDefault="00D96C4E">
            <w:pPr>
              <w:jc w:val="right"/>
              <w:textAlignment w:val="bottom"/>
            </w:pPr>
            <w:r>
              <w:rPr>
                <w:rFonts w:ascii="Arial" w:eastAsia="宋体" w:hAnsi="Arial" w:cs="Arial"/>
                <w:b/>
                <w:bCs/>
                <w:color w:val="000000"/>
                <w:sz w:val="15"/>
                <w:szCs w:val="15"/>
              </w:rPr>
              <w:t>15,421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75"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76"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77" w14:textId="77777777" w:rsidR="003C66EB" w:rsidRDefault="00D96C4E">
            <w:pPr>
              <w:jc w:val="right"/>
              <w:textAlignment w:val="bottom"/>
            </w:pPr>
            <w:r>
              <w:rPr>
                <w:rFonts w:ascii="Arial" w:eastAsia="宋体" w:hAnsi="Arial" w:cs="Arial"/>
                <w:b/>
                <w:bCs/>
                <w:color w:val="000000"/>
                <w:sz w:val="15"/>
                <w:szCs w:val="15"/>
              </w:rPr>
              <w:t>857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78" w14:textId="77777777" w:rsidR="003C66EB" w:rsidRDefault="003C66EB">
            <w:pPr>
              <w:jc w:val="right"/>
              <w:rPr>
                <w:rFonts w:ascii="宋体"/>
              </w:rPr>
            </w:pPr>
          </w:p>
        </w:tc>
        <w:tc>
          <w:tcPr>
            <w:tcW w:w="0" w:type="auto"/>
            <w:shd w:val="clear" w:color="auto" w:fill="auto"/>
          </w:tcPr>
          <w:p w14:paraId="5EA20979" w14:textId="77777777" w:rsidR="003C66EB" w:rsidRDefault="003C66EB">
            <w:pPr>
              <w:rPr>
                <w:rFonts w:ascii="宋体"/>
                <w:vanish/>
              </w:rPr>
            </w:pPr>
          </w:p>
        </w:tc>
        <w:tc>
          <w:tcPr>
            <w:tcW w:w="0" w:type="auto"/>
            <w:shd w:val="clear" w:color="auto" w:fill="auto"/>
          </w:tcPr>
          <w:p w14:paraId="5EA2097A"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97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7C"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7D" w14:textId="77777777" w:rsidR="003C66EB" w:rsidRDefault="00D96C4E">
            <w:pPr>
              <w:jc w:val="right"/>
              <w:textAlignment w:val="bottom"/>
            </w:pPr>
            <w:r>
              <w:rPr>
                <w:rFonts w:ascii="Arial" w:eastAsia="宋体" w:hAnsi="Arial" w:cs="Arial"/>
                <w:color w:val="000000"/>
                <w:sz w:val="15"/>
                <w:szCs w:val="15"/>
              </w:rPr>
              <w:t>2,968 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7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7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80"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81" w14:textId="77777777" w:rsidR="003C66EB" w:rsidRDefault="00D96C4E">
            <w:pPr>
              <w:jc w:val="right"/>
              <w:textAlignment w:val="bottom"/>
            </w:pPr>
            <w:r>
              <w:rPr>
                <w:rFonts w:ascii="Arial" w:eastAsia="宋体" w:hAnsi="Arial" w:cs="Arial"/>
                <w:color w:val="000000"/>
                <w:sz w:val="15"/>
                <w:szCs w:val="15"/>
              </w:rPr>
              <w:t>10,891 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8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84"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85" w14:textId="77777777" w:rsidR="003C66EB" w:rsidRDefault="00D96C4E">
            <w:pPr>
              <w:jc w:val="right"/>
              <w:textAlignment w:val="bottom"/>
            </w:pPr>
            <w:r>
              <w:rPr>
                <w:rFonts w:ascii="Arial" w:eastAsia="宋体" w:hAnsi="Arial" w:cs="Arial"/>
                <w:color w:val="000000"/>
                <w:sz w:val="15"/>
                <w:szCs w:val="15"/>
              </w:rPr>
              <w:t>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86" w14:textId="77777777" w:rsidR="003C66EB" w:rsidRDefault="003C66EB">
            <w:pPr>
              <w:jc w:val="right"/>
              <w:rPr>
                <w:rFonts w:ascii="宋体"/>
              </w:rPr>
            </w:pPr>
          </w:p>
        </w:tc>
        <w:tc>
          <w:tcPr>
            <w:tcW w:w="0" w:type="auto"/>
            <w:shd w:val="clear" w:color="auto" w:fill="auto"/>
          </w:tcPr>
          <w:p w14:paraId="5EA20987" w14:textId="77777777" w:rsidR="003C66EB" w:rsidRDefault="003C66EB">
            <w:pPr>
              <w:rPr>
                <w:rFonts w:ascii="宋体"/>
                <w:vanish/>
              </w:rPr>
            </w:pPr>
          </w:p>
        </w:tc>
        <w:tc>
          <w:tcPr>
            <w:tcW w:w="0" w:type="auto"/>
            <w:shd w:val="clear" w:color="auto" w:fill="auto"/>
          </w:tcPr>
          <w:p w14:paraId="5EA20988"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98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8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8B" w14:textId="77777777" w:rsidR="003C66EB" w:rsidRDefault="00D96C4E">
            <w:pPr>
              <w:jc w:val="right"/>
              <w:textAlignment w:val="bottom"/>
            </w:pPr>
            <w:r>
              <w:rPr>
                <w:rFonts w:ascii="Arial" w:eastAsia="宋体" w:hAnsi="Arial" w:cs="Arial"/>
                <w:color w:val="000000"/>
                <w:sz w:val="15"/>
                <w:szCs w:val="15"/>
              </w:rPr>
              <w:t>5,593 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98D"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8E"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98F" w14:textId="77777777" w:rsidR="003C66EB" w:rsidRDefault="00D96C4E">
            <w:pPr>
              <w:jc w:val="right"/>
              <w:textAlignment w:val="bottom"/>
            </w:pPr>
            <w:r>
              <w:rPr>
                <w:rFonts w:ascii="Arial" w:eastAsia="宋体" w:hAnsi="Arial" w:cs="Arial"/>
                <w:color w:val="000000"/>
                <w:sz w:val="15"/>
                <w:szCs w:val="15"/>
              </w:rPr>
              <w:t>7,043 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990"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991"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992" w14:textId="77777777" w:rsidR="003C66EB" w:rsidRDefault="00D96C4E">
            <w:pPr>
              <w:textAlignment w:val="bottom"/>
            </w:pPr>
            <w:r>
              <w:rPr>
                <w:rFonts w:ascii="Arial" w:eastAsia="宋体" w:hAnsi="Arial" w:cs="Arial"/>
                <w:color w:val="000000"/>
                <w:sz w:val="15"/>
                <w:szCs w:val="15"/>
              </w:rPr>
              <w:t>$</w:t>
            </w:r>
          </w:p>
          <w:p w14:paraId="5EA20993" w14:textId="77777777" w:rsidR="003C66EB" w:rsidRDefault="00D96C4E">
            <w:pPr>
              <w:jc w:val="right"/>
              <w:textAlignment w:val="bottom"/>
            </w:pPr>
            <w:r>
              <w:rPr>
                <w:rFonts w:ascii="Arial" w:eastAsia="宋体" w:hAnsi="Arial" w:cs="Arial"/>
                <w:color w:val="000000"/>
                <w:sz w:val="15"/>
                <w:szCs w:val="15"/>
              </w:rPr>
              <w:t>162 </w:t>
            </w:r>
          </w:p>
        </w:tc>
      </w:tr>
    </w:tbl>
    <w:p w14:paraId="5EA20995"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894"/>
        <w:gridCol w:w="38"/>
        <w:gridCol w:w="105"/>
        <w:gridCol w:w="647"/>
        <w:gridCol w:w="37"/>
        <w:gridCol w:w="40"/>
        <w:gridCol w:w="32"/>
        <w:gridCol w:w="36"/>
        <w:gridCol w:w="103"/>
        <w:gridCol w:w="495"/>
        <w:gridCol w:w="36"/>
        <w:gridCol w:w="40"/>
        <w:gridCol w:w="32"/>
        <w:gridCol w:w="36"/>
        <w:gridCol w:w="104"/>
        <w:gridCol w:w="575"/>
        <w:gridCol w:w="37"/>
        <w:gridCol w:w="46"/>
        <w:gridCol w:w="40"/>
        <w:gridCol w:w="40"/>
        <w:gridCol w:w="30"/>
        <w:gridCol w:w="34"/>
        <w:gridCol w:w="104"/>
        <w:gridCol w:w="646"/>
        <w:gridCol w:w="37"/>
        <w:gridCol w:w="40"/>
        <w:gridCol w:w="32"/>
        <w:gridCol w:w="36"/>
        <w:gridCol w:w="103"/>
        <w:gridCol w:w="495"/>
        <w:gridCol w:w="36"/>
        <w:gridCol w:w="40"/>
        <w:gridCol w:w="32"/>
        <w:gridCol w:w="36"/>
        <w:gridCol w:w="104"/>
        <w:gridCol w:w="575"/>
        <w:gridCol w:w="37"/>
        <w:gridCol w:w="40"/>
        <w:gridCol w:w="32"/>
        <w:gridCol w:w="40"/>
        <w:gridCol w:w="32"/>
        <w:gridCol w:w="36"/>
        <w:gridCol w:w="104"/>
        <w:gridCol w:w="647"/>
        <w:gridCol w:w="37"/>
        <w:gridCol w:w="40"/>
        <w:gridCol w:w="32"/>
        <w:gridCol w:w="36"/>
        <w:gridCol w:w="103"/>
        <w:gridCol w:w="495"/>
        <w:gridCol w:w="36"/>
        <w:gridCol w:w="40"/>
        <w:gridCol w:w="32"/>
        <w:gridCol w:w="658"/>
      </w:tblGrid>
      <w:tr w:rsidR="003C66EB" w14:paraId="5EA209CD" w14:textId="77777777">
        <w:tc>
          <w:tcPr>
            <w:tcW w:w="50" w:type="pct"/>
            <w:shd w:val="clear" w:color="auto" w:fill="auto"/>
          </w:tcPr>
          <w:p w14:paraId="5EA20996" w14:textId="77777777" w:rsidR="003C66EB" w:rsidRDefault="003C66EB">
            <w:pPr>
              <w:rPr>
                <w:rFonts w:ascii="宋体"/>
              </w:rPr>
            </w:pPr>
          </w:p>
        </w:tc>
        <w:tc>
          <w:tcPr>
            <w:tcW w:w="705" w:type="pct"/>
            <w:shd w:val="clear" w:color="auto" w:fill="auto"/>
          </w:tcPr>
          <w:p w14:paraId="5EA20997" w14:textId="77777777" w:rsidR="003C66EB" w:rsidRDefault="003C66EB">
            <w:pPr>
              <w:rPr>
                <w:rFonts w:ascii="宋体"/>
              </w:rPr>
            </w:pPr>
          </w:p>
        </w:tc>
        <w:tc>
          <w:tcPr>
            <w:tcW w:w="5" w:type="pct"/>
            <w:shd w:val="clear" w:color="auto" w:fill="auto"/>
          </w:tcPr>
          <w:p w14:paraId="5EA20998" w14:textId="77777777" w:rsidR="003C66EB" w:rsidRDefault="003C66EB">
            <w:pPr>
              <w:rPr>
                <w:rFonts w:ascii="宋体"/>
              </w:rPr>
            </w:pPr>
          </w:p>
        </w:tc>
        <w:tc>
          <w:tcPr>
            <w:tcW w:w="50" w:type="pct"/>
            <w:shd w:val="clear" w:color="auto" w:fill="auto"/>
          </w:tcPr>
          <w:p w14:paraId="5EA20999" w14:textId="77777777" w:rsidR="003C66EB" w:rsidRDefault="003C66EB">
            <w:pPr>
              <w:rPr>
                <w:rFonts w:ascii="宋体"/>
              </w:rPr>
            </w:pPr>
          </w:p>
        </w:tc>
        <w:tc>
          <w:tcPr>
            <w:tcW w:w="383" w:type="pct"/>
            <w:shd w:val="clear" w:color="auto" w:fill="auto"/>
          </w:tcPr>
          <w:p w14:paraId="5EA2099A" w14:textId="77777777" w:rsidR="003C66EB" w:rsidRDefault="003C66EB">
            <w:pPr>
              <w:rPr>
                <w:rFonts w:ascii="宋体"/>
              </w:rPr>
            </w:pPr>
          </w:p>
        </w:tc>
        <w:tc>
          <w:tcPr>
            <w:tcW w:w="5" w:type="pct"/>
            <w:shd w:val="clear" w:color="auto" w:fill="auto"/>
          </w:tcPr>
          <w:p w14:paraId="5EA2099B" w14:textId="77777777" w:rsidR="003C66EB" w:rsidRDefault="003C66EB">
            <w:pPr>
              <w:rPr>
                <w:rFonts w:ascii="宋体"/>
              </w:rPr>
            </w:pPr>
          </w:p>
        </w:tc>
        <w:tc>
          <w:tcPr>
            <w:tcW w:w="5" w:type="pct"/>
            <w:shd w:val="clear" w:color="auto" w:fill="auto"/>
          </w:tcPr>
          <w:p w14:paraId="5EA2099C" w14:textId="77777777" w:rsidR="003C66EB" w:rsidRDefault="003C66EB">
            <w:pPr>
              <w:rPr>
                <w:rFonts w:ascii="宋体"/>
              </w:rPr>
            </w:pPr>
          </w:p>
        </w:tc>
        <w:tc>
          <w:tcPr>
            <w:tcW w:w="26" w:type="pct"/>
            <w:shd w:val="clear" w:color="auto" w:fill="auto"/>
          </w:tcPr>
          <w:p w14:paraId="5EA2099D" w14:textId="77777777" w:rsidR="003C66EB" w:rsidRDefault="003C66EB">
            <w:pPr>
              <w:rPr>
                <w:rFonts w:ascii="宋体"/>
              </w:rPr>
            </w:pPr>
          </w:p>
        </w:tc>
        <w:tc>
          <w:tcPr>
            <w:tcW w:w="5" w:type="pct"/>
            <w:shd w:val="clear" w:color="auto" w:fill="auto"/>
          </w:tcPr>
          <w:p w14:paraId="5EA2099E" w14:textId="77777777" w:rsidR="003C66EB" w:rsidRDefault="003C66EB">
            <w:pPr>
              <w:rPr>
                <w:rFonts w:ascii="宋体"/>
              </w:rPr>
            </w:pPr>
          </w:p>
        </w:tc>
        <w:tc>
          <w:tcPr>
            <w:tcW w:w="50" w:type="pct"/>
            <w:shd w:val="clear" w:color="auto" w:fill="auto"/>
          </w:tcPr>
          <w:p w14:paraId="5EA2099F" w14:textId="77777777" w:rsidR="003C66EB" w:rsidRDefault="003C66EB">
            <w:pPr>
              <w:rPr>
                <w:rFonts w:ascii="宋体"/>
              </w:rPr>
            </w:pPr>
          </w:p>
        </w:tc>
        <w:tc>
          <w:tcPr>
            <w:tcW w:w="383" w:type="pct"/>
            <w:shd w:val="clear" w:color="auto" w:fill="auto"/>
          </w:tcPr>
          <w:p w14:paraId="5EA209A0" w14:textId="77777777" w:rsidR="003C66EB" w:rsidRDefault="003C66EB">
            <w:pPr>
              <w:rPr>
                <w:rFonts w:ascii="宋体"/>
              </w:rPr>
            </w:pPr>
          </w:p>
        </w:tc>
        <w:tc>
          <w:tcPr>
            <w:tcW w:w="5" w:type="pct"/>
            <w:shd w:val="clear" w:color="auto" w:fill="auto"/>
          </w:tcPr>
          <w:p w14:paraId="5EA209A1" w14:textId="77777777" w:rsidR="003C66EB" w:rsidRDefault="003C66EB">
            <w:pPr>
              <w:rPr>
                <w:rFonts w:ascii="宋体"/>
              </w:rPr>
            </w:pPr>
          </w:p>
        </w:tc>
        <w:tc>
          <w:tcPr>
            <w:tcW w:w="5" w:type="pct"/>
            <w:shd w:val="clear" w:color="auto" w:fill="auto"/>
          </w:tcPr>
          <w:p w14:paraId="5EA209A2" w14:textId="77777777" w:rsidR="003C66EB" w:rsidRDefault="003C66EB">
            <w:pPr>
              <w:rPr>
                <w:rFonts w:ascii="宋体"/>
              </w:rPr>
            </w:pPr>
          </w:p>
        </w:tc>
        <w:tc>
          <w:tcPr>
            <w:tcW w:w="26" w:type="pct"/>
            <w:shd w:val="clear" w:color="auto" w:fill="auto"/>
          </w:tcPr>
          <w:p w14:paraId="5EA209A3" w14:textId="77777777" w:rsidR="003C66EB" w:rsidRDefault="003C66EB">
            <w:pPr>
              <w:rPr>
                <w:rFonts w:ascii="宋体"/>
              </w:rPr>
            </w:pPr>
          </w:p>
        </w:tc>
        <w:tc>
          <w:tcPr>
            <w:tcW w:w="5" w:type="pct"/>
            <w:shd w:val="clear" w:color="auto" w:fill="auto"/>
          </w:tcPr>
          <w:p w14:paraId="5EA209A4" w14:textId="77777777" w:rsidR="003C66EB" w:rsidRDefault="003C66EB">
            <w:pPr>
              <w:rPr>
                <w:rFonts w:ascii="宋体"/>
              </w:rPr>
            </w:pPr>
          </w:p>
        </w:tc>
        <w:tc>
          <w:tcPr>
            <w:tcW w:w="50" w:type="pct"/>
            <w:shd w:val="clear" w:color="auto" w:fill="auto"/>
          </w:tcPr>
          <w:p w14:paraId="5EA209A5" w14:textId="77777777" w:rsidR="003C66EB" w:rsidRDefault="003C66EB">
            <w:pPr>
              <w:rPr>
                <w:rFonts w:ascii="宋体"/>
              </w:rPr>
            </w:pPr>
          </w:p>
        </w:tc>
        <w:tc>
          <w:tcPr>
            <w:tcW w:w="383" w:type="pct"/>
            <w:shd w:val="clear" w:color="auto" w:fill="auto"/>
          </w:tcPr>
          <w:p w14:paraId="5EA209A6" w14:textId="77777777" w:rsidR="003C66EB" w:rsidRDefault="003C66EB">
            <w:pPr>
              <w:rPr>
                <w:rFonts w:ascii="宋体"/>
              </w:rPr>
            </w:pPr>
          </w:p>
        </w:tc>
        <w:tc>
          <w:tcPr>
            <w:tcW w:w="5" w:type="pct"/>
            <w:shd w:val="clear" w:color="auto" w:fill="auto"/>
          </w:tcPr>
          <w:p w14:paraId="5EA209A7" w14:textId="77777777" w:rsidR="003C66EB" w:rsidRDefault="003C66EB">
            <w:pPr>
              <w:rPr>
                <w:rFonts w:ascii="宋体"/>
              </w:rPr>
            </w:pPr>
          </w:p>
        </w:tc>
        <w:tc>
          <w:tcPr>
            <w:tcW w:w="0" w:type="auto"/>
            <w:shd w:val="clear" w:color="auto" w:fill="auto"/>
          </w:tcPr>
          <w:p w14:paraId="5EA209A8" w14:textId="77777777" w:rsidR="003C66EB" w:rsidRDefault="003C66EB">
            <w:pPr>
              <w:rPr>
                <w:rFonts w:ascii="宋体"/>
                <w:vanish/>
              </w:rPr>
            </w:pPr>
          </w:p>
        </w:tc>
        <w:tc>
          <w:tcPr>
            <w:tcW w:w="0" w:type="auto"/>
            <w:shd w:val="clear" w:color="auto" w:fill="auto"/>
          </w:tcPr>
          <w:p w14:paraId="5EA209A9" w14:textId="77777777" w:rsidR="003C66EB" w:rsidRDefault="003C66EB">
            <w:pPr>
              <w:rPr>
                <w:rFonts w:ascii="宋体"/>
                <w:vanish/>
              </w:rPr>
            </w:pPr>
          </w:p>
        </w:tc>
        <w:tc>
          <w:tcPr>
            <w:tcW w:w="5" w:type="pct"/>
            <w:shd w:val="clear" w:color="auto" w:fill="auto"/>
          </w:tcPr>
          <w:p w14:paraId="5EA209AA" w14:textId="77777777" w:rsidR="003C66EB" w:rsidRDefault="003C66EB">
            <w:pPr>
              <w:rPr>
                <w:rFonts w:ascii="宋体"/>
              </w:rPr>
            </w:pPr>
          </w:p>
        </w:tc>
        <w:tc>
          <w:tcPr>
            <w:tcW w:w="26" w:type="pct"/>
            <w:shd w:val="clear" w:color="auto" w:fill="auto"/>
          </w:tcPr>
          <w:p w14:paraId="5EA209AB" w14:textId="77777777" w:rsidR="003C66EB" w:rsidRDefault="003C66EB">
            <w:pPr>
              <w:rPr>
                <w:rFonts w:ascii="宋体"/>
              </w:rPr>
            </w:pPr>
          </w:p>
        </w:tc>
        <w:tc>
          <w:tcPr>
            <w:tcW w:w="5" w:type="pct"/>
            <w:shd w:val="clear" w:color="auto" w:fill="auto"/>
          </w:tcPr>
          <w:p w14:paraId="5EA209AC" w14:textId="77777777" w:rsidR="003C66EB" w:rsidRDefault="003C66EB">
            <w:pPr>
              <w:rPr>
                <w:rFonts w:ascii="宋体"/>
              </w:rPr>
            </w:pPr>
          </w:p>
        </w:tc>
        <w:tc>
          <w:tcPr>
            <w:tcW w:w="50" w:type="pct"/>
            <w:shd w:val="clear" w:color="auto" w:fill="auto"/>
          </w:tcPr>
          <w:p w14:paraId="5EA209AD" w14:textId="77777777" w:rsidR="003C66EB" w:rsidRDefault="003C66EB">
            <w:pPr>
              <w:rPr>
                <w:rFonts w:ascii="宋体"/>
              </w:rPr>
            </w:pPr>
          </w:p>
        </w:tc>
        <w:tc>
          <w:tcPr>
            <w:tcW w:w="383" w:type="pct"/>
            <w:shd w:val="clear" w:color="auto" w:fill="auto"/>
          </w:tcPr>
          <w:p w14:paraId="5EA209AE" w14:textId="77777777" w:rsidR="003C66EB" w:rsidRDefault="003C66EB">
            <w:pPr>
              <w:rPr>
                <w:rFonts w:ascii="宋体"/>
              </w:rPr>
            </w:pPr>
          </w:p>
        </w:tc>
        <w:tc>
          <w:tcPr>
            <w:tcW w:w="5" w:type="pct"/>
            <w:shd w:val="clear" w:color="auto" w:fill="auto"/>
          </w:tcPr>
          <w:p w14:paraId="5EA209AF" w14:textId="77777777" w:rsidR="003C66EB" w:rsidRDefault="003C66EB">
            <w:pPr>
              <w:rPr>
                <w:rFonts w:ascii="宋体"/>
              </w:rPr>
            </w:pPr>
          </w:p>
        </w:tc>
        <w:tc>
          <w:tcPr>
            <w:tcW w:w="5" w:type="pct"/>
            <w:shd w:val="clear" w:color="auto" w:fill="auto"/>
          </w:tcPr>
          <w:p w14:paraId="5EA209B0" w14:textId="77777777" w:rsidR="003C66EB" w:rsidRDefault="003C66EB">
            <w:pPr>
              <w:rPr>
                <w:rFonts w:ascii="宋体"/>
              </w:rPr>
            </w:pPr>
          </w:p>
        </w:tc>
        <w:tc>
          <w:tcPr>
            <w:tcW w:w="26" w:type="pct"/>
            <w:shd w:val="clear" w:color="auto" w:fill="auto"/>
          </w:tcPr>
          <w:p w14:paraId="5EA209B1" w14:textId="77777777" w:rsidR="003C66EB" w:rsidRDefault="003C66EB">
            <w:pPr>
              <w:rPr>
                <w:rFonts w:ascii="宋体"/>
              </w:rPr>
            </w:pPr>
          </w:p>
        </w:tc>
        <w:tc>
          <w:tcPr>
            <w:tcW w:w="5" w:type="pct"/>
            <w:shd w:val="clear" w:color="auto" w:fill="auto"/>
          </w:tcPr>
          <w:p w14:paraId="5EA209B2" w14:textId="77777777" w:rsidR="003C66EB" w:rsidRDefault="003C66EB">
            <w:pPr>
              <w:rPr>
                <w:rFonts w:ascii="宋体"/>
              </w:rPr>
            </w:pPr>
          </w:p>
        </w:tc>
        <w:tc>
          <w:tcPr>
            <w:tcW w:w="50" w:type="pct"/>
            <w:shd w:val="clear" w:color="auto" w:fill="auto"/>
          </w:tcPr>
          <w:p w14:paraId="5EA209B3" w14:textId="77777777" w:rsidR="003C66EB" w:rsidRDefault="003C66EB">
            <w:pPr>
              <w:rPr>
                <w:rFonts w:ascii="宋体"/>
              </w:rPr>
            </w:pPr>
          </w:p>
        </w:tc>
        <w:tc>
          <w:tcPr>
            <w:tcW w:w="383" w:type="pct"/>
            <w:shd w:val="clear" w:color="auto" w:fill="auto"/>
          </w:tcPr>
          <w:p w14:paraId="5EA209B4" w14:textId="77777777" w:rsidR="003C66EB" w:rsidRDefault="003C66EB">
            <w:pPr>
              <w:rPr>
                <w:rFonts w:ascii="宋体"/>
              </w:rPr>
            </w:pPr>
          </w:p>
        </w:tc>
        <w:tc>
          <w:tcPr>
            <w:tcW w:w="5" w:type="pct"/>
            <w:shd w:val="clear" w:color="auto" w:fill="auto"/>
          </w:tcPr>
          <w:p w14:paraId="5EA209B5" w14:textId="77777777" w:rsidR="003C66EB" w:rsidRDefault="003C66EB">
            <w:pPr>
              <w:rPr>
                <w:rFonts w:ascii="宋体"/>
              </w:rPr>
            </w:pPr>
          </w:p>
        </w:tc>
        <w:tc>
          <w:tcPr>
            <w:tcW w:w="5" w:type="pct"/>
            <w:shd w:val="clear" w:color="auto" w:fill="auto"/>
          </w:tcPr>
          <w:p w14:paraId="5EA209B6" w14:textId="77777777" w:rsidR="003C66EB" w:rsidRDefault="003C66EB">
            <w:pPr>
              <w:rPr>
                <w:rFonts w:ascii="宋体"/>
              </w:rPr>
            </w:pPr>
          </w:p>
        </w:tc>
        <w:tc>
          <w:tcPr>
            <w:tcW w:w="26" w:type="pct"/>
            <w:shd w:val="clear" w:color="auto" w:fill="auto"/>
          </w:tcPr>
          <w:p w14:paraId="5EA209B7" w14:textId="77777777" w:rsidR="003C66EB" w:rsidRDefault="003C66EB">
            <w:pPr>
              <w:rPr>
                <w:rFonts w:ascii="宋体"/>
              </w:rPr>
            </w:pPr>
          </w:p>
        </w:tc>
        <w:tc>
          <w:tcPr>
            <w:tcW w:w="5" w:type="pct"/>
            <w:shd w:val="clear" w:color="auto" w:fill="auto"/>
          </w:tcPr>
          <w:p w14:paraId="5EA209B8" w14:textId="77777777" w:rsidR="003C66EB" w:rsidRDefault="003C66EB">
            <w:pPr>
              <w:rPr>
                <w:rFonts w:ascii="宋体"/>
              </w:rPr>
            </w:pPr>
          </w:p>
        </w:tc>
        <w:tc>
          <w:tcPr>
            <w:tcW w:w="50" w:type="pct"/>
            <w:shd w:val="clear" w:color="auto" w:fill="auto"/>
          </w:tcPr>
          <w:p w14:paraId="5EA209B9" w14:textId="77777777" w:rsidR="003C66EB" w:rsidRDefault="003C66EB">
            <w:pPr>
              <w:rPr>
                <w:rFonts w:ascii="宋体"/>
              </w:rPr>
            </w:pPr>
          </w:p>
        </w:tc>
        <w:tc>
          <w:tcPr>
            <w:tcW w:w="383" w:type="pct"/>
            <w:shd w:val="clear" w:color="auto" w:fill="auto"/>
          </w:tcPr>
          <w:p w14:paraId="5EA209BA" w14:textId="77777777" w:rsidR="003C66EB" w:rsidRDefault="003C66EB">
            <w:pPr>
              <w:rPr>
                <w:rFonts w:ascii="宋体"/>
              </w:rPr>
            </w:pPr>
          </w:p>
        </w:tc>
        <w:tc>
          <w:tcPr>
            <w:tcW w:w="5" w:type="pct"/>
            <w:shd w:val="clear" w:color="auto" w:fill="auto"/>
          </w:tcPr>
          <w:p w14:paraId="5EA209BB" w14:textId="77777777" w:rsidR="003C66EB" w:rsidRDefault="003C66EB">
            <w:pPr>
              <w:rPr>
                <w:rFonts w:ascii="宋体"/>
              </w:rPr>
            </w:pPr>
          </w:p>
        </w:tc>
        <w:tc>
          <w:tcPr>
            <w:tcW w:w="0" w:type="auto"/>
            <w:shd w:val="clear" w:color="auto" w:fill="auto"/>
          </w:tcPr>
          <w:p w14:paraId="5EA209BC" w14:textId="77777777" w:rsidR="003C66EB" w:rsidRDefault="003C66EB">
            <w:pPr>
              <w:rPr>
                <w:rFonts w:ascii="宋体"/>
                <w:vanish/>
              </w:rPr>
            </w:pPr>
          </w:p>
        </w:tc>
        <w:tc>
          <w:tcPr>
            <w:tcW w:w="0" w:type="auto"/>
            <w:shd w:val="clear" w:color="auto" w:fill="auto"/>
          </w:tcPr>
          <w:p w14:paraId="5EA209BD" w14:textId="77777777" w:rsidR="003C66EB" w:rsidRDefault="003C66EB">
            <w:pPr>
              <w:rPr>
                <w:rFonts w:ascii="宋体"/>
                <w:vanish/>
              </w:rPr>
            </w:pPr>
          </w:p>
        </w:tc>
        <w:tc>
          <w:tcPr>
            <w:tcW w:w="5" w:type="pct"/>
            <w:shd w:val="clear" w:color="auto" w:fill="auto"/>
          </w:tcPr>
          <w:p w14:paraId="5EA209BE" w14:textId="77777777" w:rsidR="003C66EB" w:rsidRDefault="003C66EB">
            <w:pPr>
              <w:rPr>
                <w:rFonts w:ascii="宋体"/>
              </w:rPr>
            </w:pPr>
          </w:p>
        </w:tc>
        <w:tc>
          <w:tcPr>
            <w:tcW w:w="26" w:type="pct"/>
            <w:shd w:val="clear" w:color="auto" w:fill="auto"/>
          </w:tcPr>
          <w:p w14:paraId="5EA209BF" w14:textId="77777777" w:rsidR="003C66EB" w:rsidRDefault="003C66EB">
            <w:pPr>
              <w:rPr>
                <w:rFonts w:ascii="宋体"/>
              </w:rPr>
            </w:pPr>
          </w:p>
        </w:tc>
        <w:tc>
          <w:tcPr>
            <w:tcW w:w="5" w:type="pct"/>
            <w:shd w:val="clear" w:color="auto" w:fill="auto"/>
          </w:tcPr>
          <w:p w14:paraId="5EA209C0" w14:textId="77777777" w:rsidR="003C66EB" w:rsidRDefault="003C66EB">
            <w:pPr>
              <w:rPr>
                <w:rFonts w:ascii="宋体"/>
              </w:rPr>
            </w:pPr>
          </w:p>
        </w:tc>
        <w:tc>
          <w:tcPr>
            <w:tcW w:w="50" w:type="pct"/>
            <w:shd w:val="clear" w:color="auto" w:fill="auto"/>
          </w:tcPr>
          <w:p w14:paraId="5EA209C1" w14:textId="77777777" w:rsidR="003C66EB" w:rsidRDefault="003C66EB">
            <w:pPr>
              <w:rPr>
                <w:rFonts w:ascii="宋体"/>
              </w:rPr>
            </w:pPr>
          </w:p>
        </w:tc>
        <w:tc>
          <w:tcPr>
            <w:tcW w:w="383" w:type="pct"/>
            <w:shd w:val="clear" w:color="auto" w:fill="auto"/>
          </w:tcPr>
          <w:p w14:paraId="5EA209C2" w14:textId="77777777" w:rsidR="003C66EB" w:rsidRDefault="003C66EB">
            <w:pPr>
              <w:rPr>
                <w:rFonts w:ascii="宋体"/>
              </w:rPr>
            </w:pPr>
          </w:p>
        </w:tc>
        <w:tc>
          <w:tcPr>
            <w:tcW w:w="5" w:type="pct"/>
            <w:shd w:val="clear" w:color="auto" w:fill="auto"/>
          </w:tcPr>
          <w:p w14:paraId="5EA209C3" w14:textId="77777777" w:rsidR="003C66EB" w:rsidRDefault="003C66EB">
            <w:pPr>
              <w:rPr>
                <w:rFonts w:ascii="宋体"/>
              </w:rPr>
            </w:pPr>
          </w:p>
        </w:tc>
        <w:tc>
          <w:tcPr>
            <w:tcW w:w="5" w:type="pct"/>
            <w:shd w:val="clear" w:color="auto" w:fill="auto"/>
          </w:tcPr>
          <w:p w14:paraId="5EA209C4" w14:textId="77777777" w:rsidR="003C66EB" w:rsidRDefault="003C66EB">
            <w:pPr>
              <w:rPr>
                <w:rFonts w:ascii="宋体"/>
              </w:rPr>
            </w:pPr>
          </w:p>
        </w:tc>
        <w:tc>
          <w:tcPr>
            <w:tcW w:w="26" w:type="pct"/>
            <w:shd w:val="clear" w:color="auto" w:fill="auto"/>
          </w:tcPr>
          <w:p w14:paraId="5EA209C5" w14:textId="77777777" w:rsidR="003C66EB" w:rsidRDefault="003C66EB">
            <w:pPr>
              <w:rPr>
                <w:rFonts w:ascii="宋体"/>
              </w:rPr>
            </w:pPr>
          </w:p>
        </w:tc>
        <w:tc>
          <w:tcPr>
            <w:tcW w:w="5" w:type="pct"/>
            <w:shd w:val="clear" w:color="auto" w:fill="auto"/>
          </w:tcPr>
          <w:p w14:paraId="5EA209C6" w14:textId="77777777" w:rsidR="003C66EB" w:rsidRDefault="003C66EB">
            <w:pPr>
              <w:rPr>
                <w:rFonts w:ascii="宋体"/>
              </w:rPr>
            </w:pPr>
          </w:p>
        </w:tc>
        <w:tc>
          <w:tcPr>
            <w:tcW w:w="50" w:type="pct"/>
            <w:shd w:val="clear" w:color="auto" w:fill="auto"/>
          </w:tcPr>
          <w:p w14:paraId="5EA209C7" w14:textId="77777777" w:rsidR="003C66EB" w:rsidRDefault="003C66EB">
            <w:pPr>
              <w:rPr>
                <w:rFonts w:ascii="宋体"/>
              </w:rPr>
            </w:pPr>
          </w:p>
        </w:tc>
        <w:tc>
          <w:tcPr>
            <w:tcW w:w="383" w:type="pct"/>
            <w:shd w:val="clear" w:color="auto" w:fill="auto"/>
          </w:tcPr>
          <w:p w14:paraId="5EA209C8" w14:textId="77777777" w:rsidR="003C66EB" w:rsidRDefault="003C66EB">
            <w:pPr>
              <w:rPr>
                <w:rFonts w:ascii="宋体"/>
              </w:rPr>
            </w:pPr>
          </w:p>
        </w:tc>
        <w:tc>
          <w:tcPr>
            <w:tcW w:w="5" w:type="pct"/>
            <w:shd w:val="clear" w:color="auto" w:fill="auto"/>
          </w:tcPr>
          <w:p w14:paraId="5EA209C9" w14:textId="77777777" w:rsidR="003C66EB" w:rsidRDefault="003C66EB">
            <w:pPr>
              <w:rPr>
                <w:rFonts w:ascii="宋体"/>
              </w:rPr>
            </w:pPr>
          </w:p>
        </w:tc>
        <w:tc>
          <w:tcPr>
            <w:tcW w:w="5" w:type="pct"/>
            <w:shd w:val="clear" w:color="auto" w:fill="auto"/>
          </w:tcPr>
          <w:p w14:paraId="5EA209CA" w14:textId="77777777" w:rsidR="003C66EB" w:rsidRDefault="003C66EB">
            <w:pPr>
              <w:rPr>
                <w:rFonts w:ascii="宋体"/>
              </w:rPr>
            </w:pPr>
          </w:p>
        </w:tc>
        <w:tc>
          <w:tcPr>
            <w:tcW w:w="26" w:type="pct"/>
            <w:shd w:val="clear" w:color="auto" w:fill="auto"/>
          </w:tcPr>
          <w:p w14:paraId="5EA209CB" w14:textId="77777777" w:rsidR="003C66EB" w:rsidRDefault="003C66EB">
            <w:pPr>
              <w:rPr>
                <w:rFonts w:ascii="宋体"/>
              </w:rPr>
            </w:pPr>
          </w:p>
        </w:tc>
        <w:tc>
          <w:tcPr>
            <w:tcW w:w="5" w:type="pct"/>
            <w:shd w:val="clear" w:color="auto" w:fill="auto"/>
          </w:tcPr>
          <w:p w14:paraId="5EA209CC" w14:textId="77777777" w:rsidR="003C66EB" w:rsidRDefault="003C66EB">
            <w:pPr>
              <w:rPr>
                <w:rFonts w:ascii="宋体"/>
              </w:rPr>
            </w:pPr>
          </w:p>
        </w:tc>
      </w:tr>
      <w:tr w:rsidR="003C66EB" w14:paraId="5EA209D3" w14:textId="77777777">
        <w:tc>
          <w:tcPr>
            <w:tcW w:w="0" w:type="auto"/>
            <w:gridSpan w:val="46"/>
            <w:shd w:val="clear" w:color="auto" w:fill="auto"/>
            <w:tcMar>
              <w:top w:w="40" w:type="dxa"/>
              <w:left w:w="20" w:type="dxa"/>
              <w:bottom w:w="40" w:type="dxa"/>
              <w:right w:w="20" w:type="dxa"/>
            </w:tcMar>
            <w:vAlign w:val="bottom"/>
          </w:tcPr>
          <w:p w14:paraId="5EA209CE" w14:textId="77777777" w:rsidR="003C66EB" w:rsidRDefault="00D96C4E">
            <w:pPr>
              <w:textAlignment w:val="bottom"/>
            </w:pPr>
            <w:r>
              <w:rPr>
                <w:rFonts w:ascii="Arial" w:eastAsia="宋体" w:hAnsi="Arial" w:cs="Arial"/>
                <w:b/>
                <w:bCs/>
                <w:color w:val="000000"/>
                <w:sz w:val="16"/>
                <w:szCs w:val="16"/>
              </w:rPr>
              <w:t>TABLE 31: TEN-DAY STRESSED VaR ASSOCIATED WITH TRADING ACTIVITIES BY RISK FACTOR</w:t>
            </w:r>
            <w:r>
              <w:rPr>
                <w:rFonts w:ascii="Arial" w:eastAsia="宋体" w:hAnsi="Arial" w:cs="Arial"/>
                <w:b/>
                <w:bCs/>
                <w:color w:val="000000"/>
                <w:sz w:val="10"/>
                <w:szCs w:val="10"/>
              </w:rPr>
              <w:t>(1)</w:t>
            </w:r>
          </w:p>
        </w:tc>
        <w:tc>
          <w:tcPr>
            <w:tcW w:w="0" w:type="auto"/>
            <w:gridSpan w:val="3"/>
            <w:shd w:val="clear" w:color="auto" w:fill="auto"/>
          </w:tcPr>
          <w:p w14:paraId="5EA209CF" w14:textId="77777777" w:rsidR="003C66EB" w:rsidRDefault="003C66EB">
            <w:pPr>
              <w:rPr>
                <w:rFonts w:ascii="宋体"/>
                <w:vanish/>
              </w:rPr>
            </w:pPr>
          </w:p>
        </w:tc>
        <w:tc>
          <w:tcPr>
            <w:tcW w:w="0" w:type="auto"/>
            <w:gridSpan w:val="3"/>
            <w:shd w:val="clear" w:color="auto" w:fill="auto"/>
          </w:tcPr>
          <w:p w14:paraId="5EA209D0" w14:textId="77777777" w:rsidR="003C66EB" w:rsidRDefault="003C66EB">
            <w:pPr>
              <w:rPr>
                <w:rFonts w:ascii="宋体"/>
                <w:vanish/>
              </w:rPr>
            </w:pPr>
          </w:p>
        </w:tc>
        <w:tc>
          <w:tcPr>
            <w:tcW w:w="0" w:type="auto"/>
            <w:gridSpan w:val="2"/>
            <w:shd w:val="clear" w:color="auto" w:fill="auto"/>
          </w:tcPr>
          <w:p w14:paraId="5EA209D1" w14:textId="77777777" w:rsidR="003C66EB" w:rsidRDefault="003C66EB">
            <w:pPr>
              <w:rPr>
                <w:rFonts w:ascii="宋体"/>
                <w:vanish/>
              </w:rPr>
            </w:pPr>
          </w:p>
        </w:tc>
        <w:tc>
          <w:tcPr>
            <w:tcW w:w="0" w:type="auto"/>
            <w:shd w:val="clear" w:color="auto" w:fill="auto"/>
          </w:tcPr>
          <w:p w14:paraId="5EA209D2" w14:textId="77777777" w:rsidR="003C66EB" w:rsidRDefault="003C66EB">
            <w:pPr>
              <w:rPr>
                <w:rFonts w:ascii="宋体"/>
                <w:vanish/>
              </w:rPr>
            </w:pPr>
          </w:p>
        </w:tc>
      </w:tr>
      <w:tr w:rsidR="003C66EB" w14:paraId="5EA209DF" w14:textId="77777777">
        <w:tc>
          <w:tcPr>
            <w:tcW w:w="0" w:type="auto"/>
            <w:gridSpan w:val="3"/>
            <w:shd w:val="clear" w:color="auto" w:fill="auto"/>
            <w:tcMar>
              <w:top w:w="0" w:type="dxa"/>
              <w:left w:w="20" w:type="dxa"/>
              <w:bottom w:w="0" w:type="dxa"/>
              <w:right w:w="20" w:type="dxa"/>
            </w:tcMar>
          </w:tcPr>
          <w:p w14:paraId="5EA209D4"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209D5" w14:textId="77777777" w:rsidR="003C66EB" w:rsidRDefault="00D96C4E">
            <w:pPr>
              <w:spacing w:after="20"/>
              <w:jc w:val="center"/>
              <w:textAlignment w:val="bottom"/>
            </w:pPr>
            <w:r>
              <w:rPr>
                <w:rFonts w:ascii="Arial" w:eastAsia="宋体" w:hAnsi="Arial" w:cs="Arial"/>
                <w:b/>
                <w:bCs/>
                <w:color w:val="000000"/>
                <w:sz w:val="15"/>
                <w:szCs w:val="15"/>
              </w:rPr>
              <w:t>As of March 31, 2021</w:t>
            </w:r>
          </w:p>
        </w:tc>
        <w:tc>
          <w:tcPr>
            <w:tcW w:w="0" w:type="auto"/>
            <w:shd w:val="clear" w:color="auto" w:fill="auto"/>
            <w:tcMar>
              <w:top w:w="0" w:type="dxa"/>
              <w:left w:w="20" w:type="dxa"/>
              <w:bottom w:w="0" w:type="dxa"/>
              <w:right w:w="20" w:type="dxa"/>
            </w:tcMar>
          </w:tcPr>
          <w:p w14:paraId="5EA209D6" w14:textId="77777777" w:rsidR="003C66EB" w:rsidRDefault="003C66EB">
            <w:pPr>
              <w:rPr>
                <w:rFonts w:ascii="宋体"/>
              </w:rPr>
            </w:pPr>
          </w:p>
        </w:tc>
        <w:tc>
          <w:tcPr>
            <w:tcW w:w="0" w:type="auto"/>
            <w:gridSpan w:val="13"/>
            <w:shd w:val="clear" w:color="auto" w:fill="auto"/>
            <w:tcMar>
              <w:top w:w="40" w:type="dxa"/>
              <w:left w:w="20" w:type="dxa"/>
              <w:bottom w:w="40" w:type="dxa"/>
              <w:right w:w="20" w:type="dxa"/>
            </w:tcMar>
            <w:vAlign w:val="bottom"/>
          </w:tcPr>
          <w:p w14:paraId="5EA209D7" w14:textId="77777777" w:rsidR="003C66EB" w:rsidRDefault="00D96C4E">
            <w:pPr>
              <w:jc w:val="center"/>
              <w:textAlignment w:val="bottom"/>
            </w:pPr>
            <w:r>
              <w:rPr>
                <w:rFonts w:ascii="Arial" w:eastAsia="宋体" w:hAnsi="Arial" w:cs="Arial"/>
                <w:b/>
                <w:bCs/>
                <w:color w:val="000000"/>
                <w:sz w:val="15"/>
                <w:szCs w:val="15"/>
              </w:rPr>
              <w:t>As of December 31, 2020</w:t>
            </w:r>
          </w:p>
        </w:tc>
        <w:tc>
          <w:tcPr>
            <w:tcW w:w="0" w:type="auto"/>
            <w:gridSpan w:val="3"/>
            <w:shd w:val="clear" w:color="auto" w:fill="auto"/>
          </w:tcPr>
          <w:p w14:paraId="5EA209D8"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9D9" w14:textId="77777777" w:rsidR="003C66EB" w:rsidRDefault="003C66EB">
            <w:pPr>
              <w:rPr>
                <w:rFonts w:ascii="宋体"/>
              </w:rPr>
            </w:pPr>
          </w:p>
        </w:tc>
        <w:tc>
          <w:tcPr>
            <w:tcW w:w="0" w:type="auto"/>
            <w:gridSpan w:val="11"/>
            <w:shd w:val="clear" w:color="auto" w:fill="auto"/>
            <w:tcMar>
              <w:top w:w="40" w:type="dxa"/>
              <w:left w:w="20" w:type="dxa"/>
              <w:bottom w:w="40" w:type="dxa"/>
              <w:right w:w="20" w:type="dxa"/>
            </w:tcMar>
            <w:vAlign w:val="bottom"/>
          </w:tcPr>
          <w:p w14:paraId="5EA209DA" w14:textId="77777777" w:rsidR="003C66EB" w:rsidRDefault="00D96C4E">
            <w:pPr>
              <w:spacing w:after="20"/>
              <w:jc w:val="center"/>
              <w:textAlignment w:val="bottom"/>
            </w:pPr>
            <w:r>
              <w:rPr>
                <w:rFonts w:ascii="Arial" w:eastAsia="宋体" w:hAnsi="Arial" w:cs="Arial"/>
                <w:b/>
                <w:bCs/>
                <w:color w:val="000000"/>
                <w:sz w:val="15"/>
                <w:szCs w:val="15"/>
              </w:rPr>
              <w:t>As of March 31, 2020</w:t>
            </w:r>
          </w:p>
        </w:tc>
        <w:tc>
          <w:tcPr>
            <w:tcW w:w="0" w:type="auto"/>
            <w:gridSpan w:val="3"/>
            <w:shd w:val="clear" w:color="auto" w:fill="auto"/>
          </w:tcPr>
          <w:p w14:paraId="5EA209DB" w14:textId="77777777" w:rsidR="003C66EB" w:rsidRDefault="003C66EB">
            <w:pPr>
              <w:rPr>
                <w:rFonts w:ascii="宋体"/>
                <w:vanish/>
              </w:rPr>
            </w:pPr>
          </w:p>
        </w:tc>
        <w:tc>
          <w:tcPr>
            <w:tcW w:w="0" w:type="auto"/>
            <w:shd w:val="clear" w:color="auto" w:fill="auto"/>
          </w:tcPr>
          <w:p w14:paraId="5EA209DC" w14:textId="77777777" w:rsidR="003C66EB" w:rsidRDefault="003C66EB">
            <w:pPr>
              <w:rPr>
                <w:rFonts w:ascii="宋体"/>
              </w:rPr>
            </w:pPr>
          </w:p>
        </w:tc>
        <w:tc>
          <w:tcPr>
            <w:tcW w:w="0" w:type="auto"/>
            <w:shd w:val="clear" w:color="auto" w:fill="auto"/>
          </w:tcPr>
          <w:p w14:paraId="5EA209DD" w14:textId="77777777" w:rsidR="003C66EB" w:rsidRDefault="003C66EB">
            <w:pPr>
              <w:rPr>
                <w:rFonts w:ascii="宋体"/>
              </w:rPr>
            </w:pPr>
          </w:p>
        </w:tc>
        <w:tc>
          <w:tcPr>
            <w:tcW w:w="0" w:type="auto"/>
            <w:shd w:val="clear" w:color="auto" w:fill="auto"/>
          </w:tcPr>
          <w:p w14:paraId="5EA209DE" w14:textId="77777777" w:rsidR="003C66EB" w:rsidRDefault="003C66EB">
            <w:pPr>
              <w:rPr>
                <w:rFonts w:ascii="宋体"/>
              </w:rPr>
            </w:pPr>
          </w:p>
        </w:tc>
      </w:tr>
      <w:tr w:rsidR="003C66EB" w14:paraId="5EA209F6" w14:textId="77777777">
        <w:tc>
          <w:tcPr>
            <w:tcW w:w="0" w:type="auto"/>
            <w:gridSpan w:val="3"/>
            <w:shd w:val="clear" w:color="auto" w:fill="auto"/>
            <w:tcMar>
              <w:top w:w="40" w:type="dxa"/>
              <w:left w:w="20" w:type="dxa"/>
              <w:bottom w:w="40" w:type="dxa"/>
              <w:right w:w="20" w:type="dxa"/>
            </w:tcMar>
            <w:vAlign w:val="bottom"/>
          </w:tcPr>
          <w:p w14:paraId="5EA209E0" w14:textId="77777777" w:rsidR="003C66EB" w:rsidRDefault="00D96C4E">
            <w:pPr>
              <w:spacing w:after="20"/>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E1" w14:textId="77777777" w:rsidR="003C66EB" w:rsidRDefault="00D96C4E">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9E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E3" w14:textId="77777777" w:rsidR="003C66EB" w:rsidRDefault="00D96C4E">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9E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E5" w14:textId="77777777" w:rsidR="003C66EB" w:rsidRDefault="00D96C4E">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5EA209E6" w14:textId="77777777" w:rsidR="003C66EB" w:rsidRDefault="003C66EB">
            <w:pPr>
              <w:rPr>
                <w:rFonts w:ascii="宋体"/>
                <w:vanish/>
              </w:rPr>
            </w:pPr>
          </w:p>
        </w:tc>
        <w:tc>
          <w:tcPr>
            <w:tcW w:w="0" w:type="auto"/>
            <w:shd w:val="clear" w:color="auto" w:fill="auto"/>
          </w:tcPr>
          <w:p w14:paraId="5EA209E7"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9E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E9" w14:textId="77777777" w:rsidR="003C66EB" w:rsidRDefault="00D96C4E">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9E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EB" w14:textId="77777777" w:rsidR="003C66EB" w:rsidRDefault="00D96C4E">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9E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ED" w14:textId="77777777" w:rsidR="003C66EB" w:rsidRDefault="00D96C4E">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5EA209EE" w14:textId="77777777" w:rsidR="003C66EB" w:rsidRDefault="003C66EB">
            <w:pPr>
              <w:rPr>
                <w:rFonts w:ascii="宋体"/>
                <w:vanish/>
              </w:rPr>
            </w:pPr>
          </w:p>
        </w:tc>
        <w:tc>
          <w:tcPr>
            <w:tcW w:w="0" w:type="auto"/>
            <w:shd w:val="clear" w:color="auto" w:fill="auto"/>
          </w:tcPr>
          <w:p w14:paraId="5EA209EF"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9F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F1" w14:textId="77777777" w:rsidR="003C66EB" w:rsidRDefault="00D96C4E">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5EA209F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9F3" w14:textId="77777777" w:rsidR="003C66EB" w:rsidRDefault="00D96C4E">
            <w:pPr>
              <w:spacing w:after="20"/>
              <w:jc w:val="center"/>
              <w:textAlignment w:val="bottom"/>
            </w:pPr>
            <w:r>
              <w:rPr>
                <w:rFonts w:ascii="Arial" w:eastAsia="宋体" w:hAnsi="Arial" w:cs="Arial"/>
                <w:b/>
                <w:bCs/>
                <w:color w:val="000000"/>
                <w:sz w:val="15"/>
                <w:szCs w:val="15"/>
              </w:rPr>
              <w:t>Interest Rate Risk</w:t>
            </w:r>
          </w:p>
        </w:tc>
        <w:tc>
          <w:tcPr>
            <w:tcW w:w="0" w:type="auto"/>
            <w:gridSpan w:val="2"/>
            <w:tcBorders>
              <w:top w:val="single" w:sz="8" w:space="0" w:color="000000"/>
            </w:tcBorders>
            <w:shd w:val="clear" w:color="auto" w:fill="auto"/>
            <w:tcMar>
              <w:top w:w="0" w:type="dxa"/>
              <w:left w:w="20" w:type="dxa"/>
              <w:bottom w:w="0" w:type="dxa"/>
              <w:right w:w="20" w:type="dxa"/>
            </w:tcMar>
          </w:tcPr>
          <w:p w14:paraId="5EA209F4" w14:textId="77777777" w:rsidR="003C66EB" w:rsidRDefault="003C66EB">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A209F5" w14:textId="77777777" w:rsidR="003C66EB" w:rsidRDefault="00D96C4E">
            <w:pPr>
              <w:jc w:val="center"/>
              <w:textAlignment w:val="bottom"/>
            </w:pPr>
            <w:r>
              <w:rPr>
                <w:rFonts w:ascii="Arial" w:eastAsia="宋体" w:hAnsi="Arial" w:cs="Arial"/>
                <w:b/>
                <w:bCs/>
                <w:color w:val="000000"/>
                <w:sz w:val="15"/>
                <w:szCs w:val="15"/>
              </w:rPr>
              <w:t>Volatility Risk</w:t>
            </w:r>
          </w:p>
        </w:tc>
      </w:tr>
      <w:tr w:rsidR="003C66EB" w14:paraId="5EA20A0D" w14:textId="77777777">
        <w:tc>
          <w:tcPr>
            <w:tcW w:w="0" w:type="auto"/>
            <w:gridSpan w:val="3"/>
            <w:shd w:val="clear" w:color="auto" w:fill="auto"/>
            <w:tcMar>
              <w:top w:w="40" w:type="dxa"/>
              <w:left w:w="20" w:type="dxa"/>
              <w:bottom w:w="40" w:type="dxa"/>
              <w:right w:w="20" w:type="dxa"/>
            </w:tcMar>
            <w:vAlign w:val="bottom"/>
          </w:tcPr>
          <w:p w14:paraId="5EA209F7" w14:textId="77777777" w:rsidR="003C66EB" w:rsidRDefault="00D96C4E">
            <w:pPr>
              <w:spacing w:after="20"/>
              <w:textAlignment w:val="bottom"/>
            </w:pPr>
            <w:r>
              <w:rPr>
                <w:rFonts w:ascii="Arial" w:eastAsia="宋体" w:hAnsi="Arial" w:cs="Arial"/>
                <w:color w:val="000000"/>
                <w:sz w:val="15"/>
                <w:szCs w:val="15"/>
              </w:rPr>
              <w:t>By component:</w:t>
            </w:r>
          </w:p>
        </w:tc>
        <w:tc>
          <w:tcPr>
            <w:tcW w:w="0" w:type="auto"/>
            <w:gridSpan w:val="3"/>
            <w:tcBorders>
              <w:top w:val="single" w:sz="8" w:space="0" w:color="000000"/>
            </w:tcBorders>
            <w:shd w:val="clear" w:color="auto" w:fill="auto"/>
            <w:tcMar>
              <w:top w:w="0" w:type="dxa"/>
              <w:left w:w="20" w:type="dxa"/>
              <w:bottom w:w="0" w:type="dxa"/>
              <w:right w:w="20" w:type="dxa"/>
            </w:tcMar>
          </w:tcPr>
          <w:p w14:paraId="5EA209F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9F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9F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9F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9FC" w14:textId="77777777" w:rsidR="003C66EB" w:rsidRDefault="003C66EB">
            <w:pPr>
              <w:rPr>
                <w:rFonts w:ascii="宋体"/>
              </w:rPr>
            </w:pPr>
          </w:p>
        </w:tc>
        <w:tc>
          <w:tcPr>
            <w:tcW w:w="0" w:type="auto"/>
            <w:shd w:val="clear" w:color="auto" w:fill="auto"/>
          </w:tcPr>
          <w:p w14:paraId="5EA209FD" w14:textId="77777777" w:rsidR="003C66EB" w:rsidRDefault="003C66EB">
            <w:pPr>
              <w:rPr>
                <w:rFonts w:ascii="宋体"/>
                <w:vanish/>
              </w:rPr>
            </w:pPr>
          </w:p>
        </w:tc>
        <w:tc>
          <w:tcPr>
            <w:tcW w:w="0" w:type="auto"/>
            <w:shd w:val="clear" w:color="auto" w:fill="auto"/>
          </w:tcPr>
          <w:p w14:paraId="5EA209FE"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9F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A0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A0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A0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A0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A04" w14:textId="77777777" w:rsidR="003C66EB" w:rsidRDefault="003C66EB">
            <w:pPr>
              <w:rPr>
                <w:rFonts w:ascii="宋体"/>
              </w:rPr>
            </w:pPr>
          </w:p>
        </w:tc>
        <w:tc>
          <w:tcPr>
            <w:tcW w:w="0" w:type="auto"/>
            <w:shd w:val="clear" w:color="auto" w:fill="auto"/>
          </w:tcPr>
          <w:p w14:paraId="5EA20A05" w14:textId="77777777" w:rsidR="003C66EB" w:rsidRDefault="003C66EB">
            <w:pPr>
              <w:rPr>
                <w:rFonts w:ascii="宋体"/>
                <w:vanish/>
              </w:rPr>
            </w:pPr>
          </w:p>
        </w:tc>
        <w:tc>
          <w:tcPr>
            <w:tcW w:w="0" w:type="auto"/>
            <w:shd w:val="clear" w:color="auto" w:fill="auto"/>
          </w:tcPr>
          <w:p w14:paraId="5EA20A06"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0A0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A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A0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A0A"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0A0B" w14:textId="77777777" w:rsidR="003C66EB" w:rsidRDefault="003C66EB">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5EA20A0C" w14:textId="77777777" w:rsidR="003C66EB" w:rsidRDefault="003C66EB">
            <w:pPr>
              <w:rPr>
                <w:rFonts w:ascii="宋体"/>
              </w:rPr>
            </w:pPr>
          </w:p>
        </w:tc>
      </w:tr>
      <w:tr w:rsidR="00D96C4E" w14:paraId="5EA20A35" w14:textId="77777777">
        <w:tc>
          <w:tcPr>
            <w:tcW w:w="0" w:type="auto"/>
            <w:gridSpan w:val="3"/>
            <w:shd w:val="clear" w:color="auto" w:fill="CCEEFF"/>
            <w:tcMar>
              <w:top w:w="40" w:type="dxa"/>
              <w:left w:w="20" w:type="dxa"/>
              <w:bottom w:w="40" w:type="dxa"/>
              <w:right w:w="20" w:type="dxa"/>
            </w:tcMar>
            <w:vAlign w:val="bottom"/>
          </w:tcPr>
          <w:p w14:paraId="5EA20A0E" w14:textId="77777777" w:rsidR="003C66EB" w:rsidRDefault="00D96C4E">
            <w:pPr>
              <w:spacing w:after="20"/>
              <w:textAlignment w:val="bottom"/>
            </w:pPr>
            <w:r>
              <w:rPr>
                <w:rFonts w:ascii="Arial" w:eastAsia="宋体" w:hAnsi="Arial" w:cs="Arial"/>
                <w:color w:val="000000"/>
                <w:sz w:val="15"/>
                <w:szCs w:val="15"/>
              </w:rPr>
              <w:t>Global Markets</w:t>
            </w:r>
          </w:p>
        </w:tc>
        <w:tc>
          <w:tcPr>
            <w:tcW w:w="0" w:type="auto"/>
            <w:shd w:val="clear" w:color="auto" w:fill="CCEEFF"/>
            <w:tcMar>
              <w:top w:w="40" w:type="dxa"/>
              <w:left w:w="20" w:type="dxa"/>
              <w:bottom w:w="40" w:type="dxa"/>
              <w:right w:w="0" w:type="dxa"/>
            </w:tcMar>
            <w:vAlign w:val="bottom"/>
          </w:tcPr>
          <w:p w14:paraId="5EA20A0F"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A10" w14:textId="77777777" w:rsidR="003C66EB" w:rsidRDefault="00D96C4E">
            <w:pPr>
              <w:jc w:val="right"/>
              <w:textAlignment w:val="bottom"/>
            </w:pPr>
            <w:r>
              <w:rPr>
                <w:rFonts w:ascii="Arial" w:eastAsia="宋体" w:hAnsi="Arial" w:cs="Arial"/>
                <w:b/>
                <w:bCs/>
                <w:color w:val="000000"/>
                <w:sz w:val="15"/>
                <w:szCs w:val="15"/>
              </w:rPr>
              <w:t>16,046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A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1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13"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A14" w14:textId="77777777" w:rsidR="003C66EB" w:rsidRDefault="00D96C4E">
            <w:pPr>
              <w:jc w:val="right"/>
              <w:textAlignment w:val="bottom"/>
            </w:pPr>
            <w:r>
              <w:rPr>
                <w:rFonts w:ascii="Arial" w:eastAsia="宋体" w:hAnsi="Arial" w:cs="Arial"/>
                <w:b/>
                <w:bCs/>
                <w:color w:val="000000"/>
                <w:sz w:val="15"/>
                <w:szCs w:val="15"/>
              </w:rPr>
              <w:t>26,866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A1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1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17"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A18" w14:textId="77777777" w:rsidR="003C66EB" w:rsidRDefault="00D96C4E">
            <w:pPr>
              <w:jc w:val="right"/>
              <w:textAlignment w:val="bottom"/>
            </w:pPr>
            <w:r>
              <w:rPr>
                <w:rFonts w:ascii="Arial" w:eastAsia="宋体" w:hAnsi="Arial" w:cs="Arial"/>
                <w:b/>
                <w:bCs/>
                <w:color w:val="000000"/>
                <w:sz w:val="15"/>
                <w:szCs w:val="15"/>
              </w:rPr>
              <w:t>939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A19" w14:textId="77777777" w:rsidR="003C66EB" w:rsidRDefault="003C66EB">
            <w:pPr>
              <w:jc w:val="right"/>
              <w:rPr>
                <w:rFonts w:ascii="宋体"/>
              </w:rPr>
            </w:pPr>
          </w:p>
        </w:tc>
        <w:tc>
          <w:tcPr>
            <w:tcW w:w="0" w:type="auto"/>
            <w:shd w:val="clear" w:color="auto" w:fill="auto"/>
          </w:tcPr>
          <w:p w14:paraId="5EA20A1A" w14:textId="77777777" w:rsidR="003C66EB" w:rsidRDefault="003C66EB">
            <w:pPr>
              <w:rPr>
                <w:rFonts w:ascii="宋体"/>
                <w:vanish/>
              </w:rPr>
            </w:pPr>
          </w:p>
        </w:tc>
        <w:tc>
          <w:tcPr>
            <w:tcW w:w="0" w:type="auto"/>
            <w:shd w:val="clear" w:color="auto" w:fill="auto"/>
          </w:tcPr>
          <w:p w14:paraId="5EA20A1B"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A1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1D"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A1E" w14:textId="77777777" w:rsidR="003C66EB" w:rsidRDefault="00D96C4E">
            <w:pPr>
              <w:jc w:val="right"/>
              <w:textAlignment w:val="bottom"/>
            </w:pPr>
            <w:r>
              <w:rPr>
                <w:rFonts w:ascii="Arial" w:eastAsia="宋体" w:hAnsi="Arial" w:cs="Arial"/>
                <w:color w:val="000000"/>
                <w:sz w:val="15"/>
                <w:szCs w:val="15"/>
              </w:rPr>
              <w:t>5,102 </w:t>
            </w:r>
          </w:p>
        </w:tc>
        <w:tc>
          <w:tcPr>
            <w:tcW w:w="0" w:type="auto"/>
            <w:shd w:val="clear" w:color="auto" w:fill="CCEEFF"/>
            <w:tcMar>
              <w:top w:w="40" w:type="dxa"/>
              <w:left w:w="0" w:type="dxa"/>
              <w:bottom w:w="40" w:type="dxa"/>
              <w:right w:w="20" w:type="dxa"/>
            </w:tcMar>
            <w:vAlign w:val="bottom"/>
          </w:tcPr>
          <w:p w14:paraId="5EA20A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2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21"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A22" w14:textId="77777777" w:rsidR="003C66EB" w:rsidRDefault="00D96C4E">
            <w:pPr>
              <w:jc w:val="right"/>
              <w:textAlignment w:val="bottom"/>
            </w:pPr>
            <w:r>
              <w:rPr>
                <w:rFonts w:ascii="Arial" w:eastAsia="宋体" w:hAnsi="Arial" w:cs="Arial"/>
                <w:color w:val="000000"/>
                <w:sz w:val="15"/>
                <w:szCs w:val="15"/>
              </w:rPr>
              <w:t>39,615 </w:t>
            </w:r>
          </w:p>
        </w:tc>
        <w:tc>
          <w:tcPr>
            <w:tcW w:w="0" w:type="auto"/>
            <w:shd w:val="clear" w:color="auto" w:fill="CCEEFF"/>
            <w:tcMar>
              <w:top w:w="40" w:type="dxa"/>
              <w:left w:w="0" w:type="dxa"/>
              <w:bottom w:w="40" w:type="dxa"/>
              <w:right w:w="20" w:type="dxa"/>
            </w:tcMar>
            <w:vAlign w:val="bottom"/>
          </w:tcPr>
          <w:p w14:paraId="5EA20A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2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25"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A26" w14:textId="77777777" w:rsidR="003C66EB" w:rsidRDefault="00D96C4E">
            <w:pPr>
              <w:jc w:val="right"/>
              <w:textAlignment w:val="bottom"/>
            </w:pPr>
            <w:r>
              <w:rPr>
                <w:rFonts w:ascii="Arial" w:eastAsia="宋体" w:hAnsi="Arial" w:cs="Arial"/>
                <w:color w:val="000000"/>
                <w:sz w:val="15"/>
                <w:szCs w:val="15"/>
              </w:rPr>
              <w:t>265 </w:t>
            </w:r>
          </w:p>
        </w:tc>
        <w:tc>
          <w:tcPr>
            <w:tcW w:w="0" w:type="auto"/>
            <w:shd w:val="clear" w:color="auto" w:fill="CCEEFF"/>
            <w:tcMar>
              <w:top w:w="40" w:type="dxa"/>
              <w:left w:w="0" w:type="dxa"/>
              <w:bottom w:w="40" w:type="dxa"/>
              <w:right w:w="20" w:type="dxa"/>
            </w:tcMar>
            <w:vAlign w:val="bottom"/>
          </w:tcPr>
          <w:p w14:paraId="5EA20A27" w14:textId="77777777" w:rsidR="003C66EB" w:rsidRDefault="003C66EB">
            <w:pPr>
              <w:jc w:val="right"/>
              <w:rPr>
                <w:rFonts w:ascii="宋体"/>
              </w:rPr>
            </w:pPr>
          </w:p>
        </w:tc>
        <w:tc>
          <w:tcPr>
            <w:tcW w:w="0" w:type="auto"/>
            <w:shd w:val="clear" w:color="auto" w:fill="auto"/>
          </w:tcPr>
          <w:p w14:paraId="5EA20A28" w14:textId="77777777" w:rsidR="003C66EB" w:rsidRDefault="003C66EB">
            <w:pPr>
              <w:rPr>
                <w:rFonts w:ascii="宋体"/>
                <w:vanish/>
              </w:rPr>
            </w:pPr>
          </w:p>
        </w:tc>
        <w:tc>
          <w:tcPr>
            <w:tcW w:w="0" w:type="auto"/>
            <w:shd w:val="clear" w:color="auto" w:fill="auto"/>
          </w:tcPr>
          <w:p w14:paraId="5EA20A29"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A2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2B"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A2C" w14:textId="77777777" w:rsidR="003C66EB" w:rsidRDefault="00D96C4E">
            <w:pPr>
              <w:jc w:val="right"/>
              <w:textAlignment w:val="bottom"/>
            </w:pPr>
            <w:r>
              <w:rPr>
                <w:rFonts w:ascii="Arial" w:eastAsia="宋体" w:hAnsi="Arial" w:cs="Arial"/>
                <w:color w:val="000000"/>
                <w:sz w:val="15"/>
                <w:szCs w:val="15"/>
              </w:rPr>
              <w:t>11,695 </w:t>
            </w:r>
          </w:p>
        </w:tc>
        <w:tc>
          <w:tcPr>
            <w:tcW w:w="0" w:type="auto"/>
            <w:shd w:val="clear" w:color="auto" w:fill="CCEEFF"/>
            <w:tcMar>
              <w:top w:w="40" w:type="dxa"/>
              <w:left w:w="0" w:type="dxa"/>
              <w:bottom w:w="40" w:type="dxa"/>
              <w:right w:w="20" w:type="dxa"/>
            </w:tcMar>
            <w:vAlign w:val="bottom"/>
          </w:tcPr>
          <w:p w14:paraId="5EA20A2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2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2F"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A30" w14:textId="77777777" w:rsidR="003C66EB" w:rsidRDefault="00D96C4E">
            <w:pPr>
              <w:jc w:val="right"/>
              <w:textAlignment w:val="bottom"/>
            </w:pPr>
            <w:r>
              <w:rPr>
                <w:rFonts w:ascii="Arial" w:eastAsia="宋体" w:hAnsi="Arial" w:cs="Arial"/>
                <w:color w:val="000000"/>
                <w:sz w:val="15"/>
                <w:szCs w:val="15"/>
              </w:rPr>
              <w:t>51,732 </w:t>
            </w:r>
          </w:p>
        </w:tc>
        <w:tc>
          <w:tcPr>
            <w:tcW w:w="0" w:type="auto"/>
            <w:shd w:val="clear" w:color="auto" w:fill="CCEEFF"/>
            <w:tcMar>
              <w:top w:w="40" w:type="dxa"/>
              <w:left w:w="0" w:type="dxa"/>
              <w:bottom w:w="40" w:type="dxa"/>
              <w:right w:w="20" w:type="dxa"/>
            </w:tcMar>
            <w:vAlign w:val="bottom"/>
          </w:tcPr>
          <w:p w14:paraId="5EA20A31"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A3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33" w14:textId="77777777" w:rsidR="003C66EB" w:rsidRDefault="00D96C4E">
            <w:pPr>
              <w:textAlignment w:val="bottom"/>
            </w:pPr>
            <w:r>
              <w:rPr>
                <w:rFonts w:ascii="Arial" w:eastAsia="宋体" w:hAnsi="Arial" w:cs="Arial"/>
                <w:color w:val="000000"/>
                <w:sz w:val="15"/>
                <w:szCs w:val="15"/>
              </w:rPr>
              <w:t>$</w:t>
            </w:r>
          </w:p>
          <w:p w14:paraId="5EA20A34" w14:textId="77777777" w:rsidR="003C66EB" w:rsidRDefault="00D96C4E">
            <w:pPr>
              <w:jc w:val="right"/>
              <w:textAlignment w:val="bottom"/>
            </w:pPr>
            <w:r>
              <w:rPr>
                <w:rFonts w:ascii="Arial" w:eastAsia="宋体" w:hAnsi="Arial" w:cs="Arial"/>
                <w:color w:val="000000"/>
                <w:sz w:val="15"/>
                <w:szCs w:val="15"/>
              </w:rPr>
              <w:t>172 </w:t>
            </w:r>
          </w:p>
        </w:tc>
      </w:tr>
      <w:tr w:rsidR="003C66EB" w14:paraId="5EA20A54" w14:textId="77777777">
        <w:tc>
          <w:tcPr>
            <w:tcW w:w="0" w:type="auto"/>
            <w:gridSpan w:val="3"/>
            <w:shd w:val="clear" w:color="auto" w:fill="FFFFFF"/>
            <w:tcMar>
              <w:top w:w="40" w:type="dxa"/>
              <w:left w:w="20" w:type="dxa"/>
              <w:bottom w:w="40" w:type="dxa"/>
              <w:right w:w="20" w:type="dxa"/>
            </w:tcMar>
            <w:vAlign w:val="bottom"/>
          </w:tcPr>
          <w:p w14:paraId="5EA20A36" w14:textId="77777777" w:rsidR="003C66EB" w:rsidRDefault="00D96C4E">
            <w:pPr>
              <w:spacing w:after="20"/>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5EA20A37" w14:textId="77777777" w:rsidR="003C66EB" w:rsidRDefault="00D96C4E">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A3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3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3A" w14:textId="77777777" w:rsidR="003C66EB" w:rsidRDefault="00D96C4E">
            <w:pPr>
              <w:jc w:val="right"/>
              <w:textAlignment w:val="bottom"/>
            </w:pPr>
            <w:r>
              <w:rPr>
                <w:rFonts w:ascii="Arial" w:eastAsia="宋体" w:hAnsi="Arial" w:cs="Arial"/>
                <w:b/>
                <w:bCs/>
                <w:color w:val="000000"/>
                <w:sz w:val="15"/>
                <w:szCs w:val="15"/>
              </w:rPr>
              <w:t>25,</w:t>
            </w:r>
            <w:r>
              <w:rPr>
                <w:rFonts w:ascii="Arial" w:eastAsia="宋体" w:hAnsi="Arial" w:cs="Arial"/>
                <w:b/>
                <w:bCs/>
                <w:color w:val="000000"/>
                <w:sz w:val="15"/>
                <w:szCs w:val="15"/>
              </w:rPr>
              <w:t>260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A3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3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3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A3E" w14:textId="77777777" w:rsidR="003C66EB" w:rsidRDefault="003C66EB">
            <w:pPr>
              <w:jc w:val="right"/>
              <w:rPr>
                <w:rFonts w:ascii="宋体"/>
              </w:rPr>
            </w:pPr>
          </w:p>
        </w:tc>
        <w:tc>
          <w:tcPr>
            <w:tcW w:w="0" w:type="auto"/>
            <w:shd w:val="clear" w:color="auto" w:fill="auto"/>
          </w:tcPr>
          <w:p w14:paraId="5EA20A3F" w14:textId="77777777" w:rsidR="003C66EB" w:rsidRDefault="003C66EB">
            <w:pPr>
              <w:rPr>
                <w:rFonts w:ascii="宋体"/>
                <w:vanish/>
              </w:rPr>
            </w:pPr>
          </w:p>
        </w:tc>
        <w:tc>
          <w:tcPr>
            <w:tcW w:w="0" w:type="auto"/>
            <w:shd w:val="clear" w:color="auto" w:fill="auto"/>
          </w:tcPr>
          <w:p w14:paraId="5EA20A40"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A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42" w14:textId="77777777" w:rsidR="003C66EB" w:rsidRDefault="00D96C4E">
            <w:pPr>
              <w:jc w:val="right"/>
              <w:textAlignment w:val="bottom"/>
            </w:pPr>
            <w:r>
              <w:rPr>
                <w:rFonts w:ascii="Arial" w:eastAsia="宋体" w:hAnsi="Arial" w:cs="Arial"/>
                <w:color w:val="000000"/>
                <w:sz w:val="15"/>
                <w:szCs w:val="15"/>
              </w:rPr>
              <w:t>83 </w:t>
            </w:r>
          </w:p>
        </w:tc>
        <w:tc>
          <w:tcPr>
            <w:tcW w:w="0" w:type="auto"/>
            <w:shd w:val="clear" w:color="auto" w:fill="FFFFFF"/>
            <w:tcMar>
              <w:top w:w="40" w:type="dxa"/>
              <w:left w:w="0" w:type="dxa"/>
              <w:bottom w:w="40" w:type="dxa"/>
              <w:right w:w="20" w:type="dxa"/>
            </w:tcMar>
            <w:vAlign w:val="bottom"/>
          </w:tcPr>
          <w:p w14:paraId="5EA20A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4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45" w14:textId="77777777" w:rsidR="003C66EB" w:rsidRDefault="00D96C4E">
            <w:pPr>
              <w:jc w:val="right"/>
              <w:textAlignment w:val="bottom"/>
            </w:pPr>
            <w:r>
              <w:rPr>
                <w:rFonts w:ascii="Arial" w:eastAsia="宋体" w:hAnsi="Arial" w:cs="Arial"/>
                <w:color w:val="000000"/>
                <w:sz w:val="15"/>
                <w:szCs w:val="15"/>
              </w:rPr>
              <w:t>8,465 </w:t>
            </w:r>
          </w:p>
        </w:tc>
        <w:tc>
          <w:tcPr>
            <w:tcW w:w="0" w:type="auto"/>
            <w:shd w:val="clear" w:color="auto" w:fill="FFFFFF"/>
            <w:tcMar>
              <w:top w:w="40" w:type="dxa"/>
              <w:left w:w="0" w:type="dxa"/>
              <w:bottom w:w="40" w:type="dxa"/>
              <w:right w:w="20" w:type="dxa"/>
            </w:tcMar>
            <w:vAlign w:val="bottom"/>
          </w:tcPr>
          <w:p w14:paraId="5EA20A4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4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48"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A49" w14:textId="77777777" w:rsidR="003C66EB" w:rsidRDefault="003C66EB">
            <w:pPr>
              <w:jc w:val="right"/>
              <w:rPr>
                <w:rFonts w:ascii="宋体"/>
              </w:rPr>
            </w:pPr>
          </w:p>
        </w:tc>
        <w:tc>
          <w:tcPr>
            <w:tcW w:w="0" w:type="auto"/>
            <w:shd w:val="clear" w:color="auto" w:fill="auto"/>
          </w:tcPr>
          <w:p w14:paraId="5EA20A4A" w14:textId="77777777" w:rsidR="003C66EB" w:rsidRDefault="003C66EB">
            <w:pPr>
              <w:rPr>
                <w:rFonts w:ascii="宋体"/>
                <w:vanish/>
              </w:rPr>
            </w:pPr>
          </w:p>
        </w:tc>
        <w:tc>
          <w:tcPr>
            <w:tcW w:w="0" w:type="auto"/>
            <w:shd w:val="clear" w:color="auto" w:fill="auto"/>
          </w:tcPr>
          <w:p w14:paraId="5EA20A4B"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A4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4D" w14:textId="77777777" w:rsidR="003C66EB" w:rsidRDefault="00D96C4E">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5EA20A4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4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A50" w14:textId="77777777" w:rsidR="003C66EB" w:rsidRDefault="00D96C4E">
            <w:pPr>
              <w:jc w:val="right"/>
              <w:textAlignment w:val="bottom"/>
            </w:pPr>
            <w:r>
              <w:rPr>
                <w:rFonts w:ascii="Arial" w:eastAsia="宋体" w:hAnsi="Arial" w:cs="Arial"/>
                <w:color w:val="000000"/>
                <w:sz w:val="15"/>
                <w:szCs w:val="15"/>
              </w:rPr>
              <w:t>10,242 </w:t>
            </w:r>
          </w:p>
        </w:tc>
        <w:tc>
          <w:tcPr>
            <w:tcW w:w="0" w:type="auto"/>
            <w:shd w:val="clear" w:color="auto" w:fill="FFFFFF"/>
            <w:tcMar>
              <w:top w:w="40" w:type="dxa"/>
              <w:left w:w="0" w:type="dxa"/>
              <w:bottom w:w="40" w:type="dxa"/>
              <w:right w:w="20" w:type="dxa"/>
            </w:tcMar>
            <w:vAlign w:val="bottom"/>
          </w:tcPr>
          <w:p w14:paraId="5EA20A51"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A52"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A53" w14:textId="77777777" w:rsidR="003C66EB" w:rsidRDefault="00D96C4E">
            <w:pPr>
              <w:jc w:val="right"/>
              <w:textAlignment w:val="bottom"/>
            </w:pPr>
            <w:r>
              <w:rPr>
                <w:rFonts w:ascii="Arial" w:eastAsia="宋体" w:hAnsi="Arial" w:cs="Arial"/>
                <w:color w:val="000000"/>
                <w:sz w:val="15"/>
                <w:szCs w:val="15"/>
              </w:rPr>
              <w:t>— </w:t>
            </w:r>
          </w:p>
        </w:tc>
      </w:tr>
      <w:tr w:rsidR="003C66EB" w14:paraId="5EA20A73" w14:textId="77777777">
        <w:tc>
          <w:tcPr>
            <w:tcW w:w="0" w:type="auto"/>
            <w:gridSpan w:val="3"/>
            <w:shd w:val="clear" w:color="auto" w:fill="CCEEFF"/>
            <w:tcMar>
              <w:top w:w="40" w:type="dxa"/>
              <w:left w:w="20" w:type="dxa"/>
              <w:bottom w:w="40" w:type="dxa"/>
              <w:right w:w="20" w:type="dxa"/>
            </w:tcMar>
            <w:vAlign w:val="bottom"/>
          </w:tcPr>
          <w:p w14:paraId="5EA20A55" w14:textId="77777777" w:rsidR="003C66EB" w:rsidRDefault="00D96C4E">
            <w:pPr>
              <w:spacing w:after="20"/>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5EA20A56" w14:textId="77777777" w:rsidR="003C66EB" w:rsidRDefault="00D96C4E">
            <w:pPr>
              <w:jc w:val="right"/>
              <w:textAlignment w:val="bottom"/>
            </w:pPr>
            <w:r>
              <w:rPr>
                <w:rFonts w:ascii="Arial" w:eastAsia="宋体" w:hAnsi="Arial" w:cs="Arial"/>
                <w:b/>
                <w:bCs/>
                <w:color w:val="000000"/>
                <w:sz w:val="15"/>
                <w:szCs w:val="15"/>
              </w:rPr>
              <w:t>(16)</w:t>
            </w:r>
          </w:p>
        </w:tc>
        <w:tc>
          <w:tcPr>
            <w:tcW w:w="0" w:type="auto"/>
            <w:shd w:val="clear" w:color="auto" w:fill="CCEEFF"/>
            <w:tcMar>
              <w:top w:w="40" w:type="dxa"/>
              <w:left w:w="0" w:type="dxa"/>
              <w:bottom w:w="40" w:type="dxa"/>
              <w:right w:w="20" w:type="dxa"/>
            </w:tcMar>
            <w:vAlign w:val="bottom"/>
          </w:tcPr>
          <w:p w14:paraId="5EA20A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5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59" w14:textId="77777777" w:rsidR="003C66EB" w:rsidRDefault="00D96C4E">
            <w:pPr>
              <w:jc w:val="right"/>
              <w:textAlignment w:val="bottom"/>
            </w:pPr>
            <w:r>
              <w:rPr>
                <w:rFonts w:ascii="Arial" w:eastAsia="宋体" w:hAnsi="Arial" w:cs="Arial"/>
                <w:b/>
                <w:bCs/>
                <w:color w:val="000000"/>
                <w:sz w:val="15"/>
                <w:szCs w:val="15"/>
              </w:rPr>
              <w:t>(6,387)</w:t>
            </w:r>
          </w:p>
        </w:tc>
        <w:tc>
          <w:tcPr>
            <w:tcW w:w="0" w:type="auto"/>
            <w:shd w:val="clear" w:color="auto" w:fill="CCEEFF"/>
            <w:tcMar>
              <w:top w:w="40" w:type="dxa"/>
              <w:left w:w="0" w:type="dxa"/>
              <w:bottom w:w="40" w:type="dxa"/>
              <w:right w:w="20" w:type="dxa"/>
            </w:tcMar>
            <w:vAlign w:val="bottom"/>
          </w:tcPr>
          <w:p w14:paraId="5EA20A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5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5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A5D" w14:textId="77777777" w:rsidR="003C66EB" w:rsidRDefault="003C66EB">
            <w:pPr>
              <w:jc w:val="right"/>
              <w:rPr>
                <w:rFonts w:ascii="宋体"/>
              </w:rPr>
            </w:pPr>
          </w:p>
        </w:tc>
        <w:tc>
          <w:tcPr>
            <w:tcW w:w="0" w:type="auto"/>
            <w:shd w:val="clear" w:color="auto" w:fill="auto"/>
          </w:tcPr>
          <w:p w14:paraId="5EA20A5E" w14:textId="77777777" w:rsidR="003C66EB" w:rsidRDefault="003C66EB">
            <w:pPr>
              <w:rPr>
                <w:rFonts w:ascii="宋体"/>
                <w:vanish/>
              </w:rPr>
            </w:pPr>
          </w:p>
        </w:tc>
        <w:tc>
          <w:tcPr>
            <w:tcW w:w="0" w:type="auto"/>
            <w:shd w:val="clear" w:color="auto" w:fill="auto"/>
          </w:tcPr>
          <w:p w14:paraId="5EA20A5F"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A6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61" w14:textId="77777777" w:rsidR="003C66EB" w:rsidRDefault="00D96C4E">
            <w:pPr>
              <w:jc w:val="right"/>
              <w:textAlignment w:val="bottom"/>
            </w:pPr>
            <w:r>
              <w:rPr>
                <w:rFonts w:ascii="Arial" w:eastAsia="宋体" w:hAnsi="Arial" w:cs="Arial"/>
                <w:color w:val="000000"/>
                <w:sz w:val="15"/>
                <w:szCs w:val="15"/>
              </w:rPr>
              <w:t>(51)</w:t>
            </w:r>
          </w:p>
        </w:tc>
        <w:tc>
          <w:tcPr>
            <w:tcW w:w="0" w:type="auto"/>
            <w:shd w:val="clear" w:color="auto" w:fill="CCEEFF"/>
            <w:tcMar>
              <w:top w:w="40" w:type="dxa"/>
              <w:left w:w="0" w:type="dxa"/>
              <w:bottom w:w="40" w:type="dxa"/>
              <w:right w:w="20" w:type="dxa"/>
            </w:tcMar>
            <w:vAlign w:val="bottom"/>
          </w:tcPr>
          <w:p w14:paraId="5EA20A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64" w14:textId="77777777" w:rsidR="003C66EB" w:rsidRDefault="00D96C4E">
            <w:pPr>
              <w:jc w:val="right"/>
              <w:textAlignment w:val="bottom"/>
            </w:pPr>
            <w:r>
              <w:rPr>
                <w:rFonts w:ascii="Arial" w:eastAsia="宋体" w:hAnsi="Arial" w:cs="Arial"/>
                <w:color w:val="000000"/>
                <w:sz w:val="15"/>
                <w:szCs w:val="15"/>
              </w:rPr>
              <w:t>(8,102)</w:t>
            </w:r>
          </w:p>
        </w:tc>
        <w:tc>
          <w:tcPr>
            <w:tcW w:w="0" w:type="auto"/>
            <w:shd w:val="clear" w:color="auto" w:fill="CCEEFF"/>
            <w:tcMar>
              <w:top w:w="40" w:type="dxa"/>
              <w:left w:w="0" w:type="dxa"/>
              <w:bottom w:w="40" w:type="dxa"/>
              <w:right w:w="20" w:type="dxa"/>
            </w:tcMar>
            <w:vAlign w:val="bottom"/>
          </w:tcPr>
          <w:p w14:paraId="5EA20A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67"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A68" w14:textId="77777777" w:rsidR="003C66EB" w:rsidRDefault="003C66EB">
            <w:pPr>
              <w:jc w:val="right"/>
              <w:rPr>
                <w:rFonts w:ascii="宋体"/>
              </w:rPr>
            </w:pPr>
          </w:p>
        </w:tc>
        <w:tc>
          <w:tcPr>
            <w:tcW w:w="0" w:type="auto"/>
            <w:shd w:val="clear" w:color="auto" w:fill="auto"/>
          </w:tcPr>
          <w:p w14:paraId="5EA20A69" w14:textId="77777777" w:rsidR="003C66EB" w:rsidRDefault="003C66EB">
            <w:pPr>
              <w:rPr>
                <w:rFonts w:ascii="宋体"/>
                <w:vanish/>
              </w:rPr>
            </w:pPr>
          </w:p>
        </w:tc>
        <w:tc>
          <w:tcPr>
            <w:tcW w:w="0" w:type="auto"/>
            <w:shd w:val="clear" w:color="auto" w:fill="auto"/>
          </w:tcPr>
          <w:p w14:paraId="5EA20A6A"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0A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6C" w14:textId="77777777" w:rsidR="003C66EB" w:rsidRDefault="00D96C4E">
            <w:pPr>
              <w:jc w:val="right"/>
              <w:textAlignment w:val="bottom"/>
            </w:pPr>
            <w:r>
              <w:rPr>
                <w:rFonts w:ascii="Arial" w:eastAsia="宋体" w:hAnsi="Arial" w:cs="Arial"/>
                <w:color w:val="000000"/>
                <w:sz w:val="15"/>
                <w:szCs w:val="15"/>
              </w:rPr>
              <w:t>(61)</w:t>
            </w:r>
          </w:p>
        </w:tc>
        <w:tc>
          <w:tcPr>
            <w:tcW w:w="0" w:type="auto"/>
            <w:shd w:val="clear" w:color="auto" w:fill="CCEEFF"/>
            <w:tcMar>
              <w:top w:w="40" w:type="dxa"/>
              <w:left w:w="0" w:type="dxa"/>
              <w:bottom w:w="40" w:type="dxa"/>
              <w:right w:w="20" w:type="dxa"/>
            </w:tcMar>
            <w:vAlign w:val="bottom"/>
          </w:tcPr>
          <w:p w14:paraId="5EA20A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A6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A6F" w14:textId="77777777" w:rsidR="003C66EB" w:rsidRDefault="00D96C4E">
            <w:pPr>
              <w:jc w:val="right"/>
              <w:textAlignment w:val="bottom"/>
            </w:pPr>
            <w:r>
              <w:rPr>
                <w:rFonts w:ascii="Arial" w:eastAsia="宋体" w:hAnsi="Arial" w:cs="Arial"/>
                <w:color w:val="000000"/>
                <w:sz w:val="15"/>
                <w:szCs w:val="15"/>
              </w:rPr>
              <w:t>(11,848)</w:t>
            </w:r>
          </w:p>
        </w:tc>
        <w:tc>
          <w:tcPr>
            <w:tcW w:w="0" w:type="auto"/>
            <w:shd w:val="clear" w:color="auto" w:fill="CCEEFF"/>
            <w:tcMar>
              <w:top w:w="40" w:type="dxa"/>
              <w:left w:w="0" w:type="dxa"/>
              <w:bottom w:w="40" w:type="dxa"/>
              <w:right w:w="20" w:type="dxa"/>
            </w:tcMar>
            <w:vAlign w:val="bottom"/>
          </w:tcPr>
          <w:p w14:paraId="5EA20A70"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0A7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A72" w14:textId="77777777" w:rsidR="003C66EB" w:rsidRDefault="00D96C4E">
            <w:pPr>
              <w:jc w:val="right"/>
              <w:textAlignment w:val="bottom"/>
            </w:pPr>
            <w:r>
              <w:rPr>
                <w:rFonts w:ascii="Arial" w:eastAsia="宋体" w:hAnsi="Arial" w:cs="Arial"/>
                <w:color w:val="000000"/>
                <w:sz w:val="15"/>
                <w:szCs w:val="15"/>
              </w:rPr>
              <w:t>— </w:t>
            </w:r>
          </w:p>
        </w:tc>
      </w:tr>
      <w:tr w:rsidR="00D96C4E" w14:paraId="5EA20A9B" w14:textId="77777777">
        <w:tc>
          <w:tcPr>
            <w:tcW w:w="0" w:type="auto"/>
            <w:gridSpan w:val="3"/>
            <w:shd w:val="clear" w:color="auto" w:fill="FFFFFF"/>
            <w:tcMar>
              <w:top w:w="40" w:type="dxa"/>
              <w:left w:w="20" w:type="dxa"/>
              <w:bottom w:w="40" w:type="dxa"/>
              <w:right w:w="20" w:type="dxa"/>
            </w:tcMar>
            <w:vAlign w:val="bottom"/>
          </w:tcPr>
          <w:p w14:paraId="5EA20A74" w14:textId="77777777" w:rsidR="003C66EB" w:rsidRDefault="00D96C4E">
            <w:pPr>
              <w:spacing w:after="20"/>
              <w:textAlignment w:val="bottom"/>
            </w:pPr>
            <w:r>
              <w:rPr>
                <w:rFonts w:ascii="Arial" w:eastAsia="宋体" w:hAnsi="Arial" w:cs="Arial"/>
                <w:color w:val="000000"/>
                <w:sz w:val="15"/>
                <w:szCs w:val="15"/>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75"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76" w14:textId="77777777" w:rsidR="003C66EB" w:rsidRDefault="00D96C4E">
            <w:pPr>
              <w:jc w:val="right"/>
              <w:textAlignment w:val="bottom"/>
            </w:pPr>
            <w:r>
              <w:rPr>
                <w:rFonts w:ascii="Arial" w:eastAsia="宋体" w:hAnsi="Arial" w:cs="Arial"/>
                <w:b/>
                <w:bCs/>
                <w:color w:val="000000"/>
                <w:sz w:val="15"/>
                <w:szCs w:val="15"/>
              </w:rPr>
              <w:t>16,092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78"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79"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7A" w14:textId="77777777" w:rsidR="003C66EB" w:rsidRDefault="00D96C4E">
            <w:pPr>
              <w:jc w:val="right"/>
              <w:textAlignment w:val="bottom"/>
            </w:pPr>
            <w:r>
              <w:rPr>
                <w:rFonts w:ascii="Arial" w:eastAsia="宋体" w:hAnsi="Arial" w:cs="Arial"/>
                <w:b/>
                <w:bCs/>
                <w:color w:val="000000"/>
                <w:sz w:val="15"/>
                <w:szCs w:val="15"/>
              </w:rPr>
              <w:t>45,739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7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7C"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7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7E" w14:textId="77777777" w:rsidR="003C66EB" w:rsidRDefault="00D96C4E">
            <w:pPr>
              <w:jc w:val="right"/>
              <w:textAlignment w:val="bottom"/>
            </w:pPr>
            <w:r>
              <w:rPr>
                <w:rFonts w:ascii="Arial" w:eastAsia="宋体" w:hAnsi="Arial" w:cs="Arial"/>
                <w:b/>
                <w:bCs/>
                <w:color w:val="000000"/>
                <w:sz w:val="15"/>
                <w:szCs w:val="15"/>
              </w:rPr>
              <w:t>939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7F" w14:textId="77777777" w:rsidR="003C66EB" w:rsidRDefault="003C66EB">
            <w:pPr>
              <w:jc w:val="right"/>
              <w:rPr>
                <w:rFonts w:ascii="宋体"/>
              </w:rPr>
            </w:pPr>
          </w:p>
        </w:tc>
        <w:tc>
          <w:tcPr>
            <w:tcW w:w="0" w:type="auto"/>
            <w:shd w:val="clear" w:color="auto" w:fill="auto"/>
          </w:tcPr>
          <w:p w14:paraId="5EA20A80" w14:textId="77777777" w:rsidR="003C66EB" w:rsidRDefault="003C66EB">
            <w:pPr>
              <w:rPr>
                <w:rFonts w:ascii="宋体"/>
                <w:vanish/>
              </w:rPr>
            </w:pPr>
          </w:p>
        </w:tc>
        <w:tc>
          <w:tcPr>
            <w:tcW w:w="0" w:type="auto"/>
            <w:shd w:val="clear" w:color="auto" w:fill="auto"/>
          </w:tcPr>
          <w:p w14:paraId="5EA20A81"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A8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83"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84" w14:textId="77777777" w:rsidR="003C66EB" w:rsidRDefault="00D96C4E">
            <w:pPr>
              <w:jc w:val="right"/>
              <w:textAlignment w:val="bottom"/>
            </w:pPr>
            <w:r>
              <w:rPr>
                <w:rFonts w:ascii="Arial" w:eastAsia="宋体" w:hAnsi="Arial" w:cs="Arial"/>
                <w:color w:val="000000"/>
                <w:sz w:val="15"/>
                <w:szCs w:val="15"/>
              </w:rPr>
              <w:t>5,134 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8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87"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88" w14:textId="77777777" w:rsidR="003C66EB" w:rsidRDefault="00D96C4E">
            <w:pPr>
              <w:jc w:val="right"/>
              <w:textAlignment w:val="bottom"/>
            </w:pPr>
            <w:r>
              <w:rPr>
                <w:rFonts w:ascii="Arial" w:eastAsia="宋体" w:hAnsi="Arial" w:cs="Arial"/>
                <w:color w:val="000000"/>
                <w:sz w:val="15"/>
                <w:szCs w:val="15"/>
              </w:rPr>
              <w:t>39,978 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8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8B"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8C" w14:textId="77777777" w:rsidR="003C66EB" w:rsidRDefault="00D96C4E">
            <w:pPr>
              <w:jc w:val="right"/>
              <w:textAlignment w:val="bottom"/>
            </w:pPr>
            <w:r>
              <w:rPr>
                <w:rFonts w:ascii="Arial" w:eastAsia="宋体" w:hAnsi="Arial" w:cs="Arial"/>
                <w:color w:val="000000"/>
                <w:sz w:val="15"/>
                <w:szCs w:val="15"/>
              </w:rPr>
              <w:t>265 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8D" w14:textId="77777777" w:rsidR="003C66EB" w:rsidRDefault="003C66EB">
            <w:pPr>
              <w:jc w:val="right"/>
              <w:rPr>
                <w:rFonts w:ascii="宋体"/>
              </w:rPr>
            </w:pPr>
          </w:p>
        </w:tc>
        <w:tc>
          <w:tcPr>
            <w:tcW w:w="0" w:type="auto"/>
            <w:shd w:val="clear" w:color="auto" w:fill="auto"/>
          </w:tcPr>
          <w:p w14:paraId="5EA20A8E" w14:textId="77777777" w:rsidR="003C66EB" w:rsidRDefault="003C66EB">
            <w:pPr>
              <w:rPr>
                <w:rFonts w:ascii="宋体"/>
                <w:vanish/>
              </w:rPr>
            </w:pPr>
          </w:p>
        </w:tc>
        <w:tc>
          <w:tcPr>
            <w:tcW w:w="0" w:type="auto"/>
            <w:shd w:val="clear" w:color="auto" w:fill="auto"/>
          </w:tcPr>
          <w:p w14:paraId="5EA20A8F"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0A90"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9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92" w14:textId="77777777" w:rsidR="003C66EB" w:rsidRDefault="00D96C4E">
            <w:pPr>
              <w:jc w:val="right"/>
              <w:textAlignment w:val="bottom"/>
            </w:pPr>
            <w:r>
              <w:rPr>
                <w:rFonts w:ascii="Arial" w:eastAsia="宋体" w:hAnsi="Arial" w:cs="Arial"/>
                <w:color w:val="000000"/>
                <w:sz w:val="15"/>
                <w:szCs w:val="15"/>
              </w:rPr>
              <w:t>11,674 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A94"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9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0A96" w14:textId="77777777" w:rsidR="003C66EB" w:rsidRDefault="00D96C4E">
            <w:pPr>
              <w:jc w:val="right"/>
              <w:textAlignment w:val="bottom"/>
            </w:pPr>
            <w:r>
              <w:rPr>
                <w:rFonts w:ascii="Arial" w:eastAsia="宋体" w:hAnsi="Arial" w:cs="Arial"/>
                <w:color w:val="000000"/>
                <w:sz w:val="15"/>
                <w:szCs w:val="15"/>
              </w:rPr>
              <w:t>50,126 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0A97"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0A98"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0A99" w14:textId="77777777" w:rsidR="003C66EB" w:rsidRDefault="00D96C4E">
            <w:pPr>
              <w:textAlignment w:val="bottom"/>
            </w:pPr>
            <w:r>
              <w:rPr>
                <w:rFonts w:ascii="Arial" w:eastAsia="宋体" w:hAnsi="Arial" w:cs="Arial"/>
                <w:color w:val="000000"/>
                <w:sz w:val="15"/>
                <w:szCs w:val="15"/>
              </w:rPr>
              <w:t>$</w:t>
            </w:r>
          </w:p>
          <w:p w14:paraId="5EA20A9A" w14:textId="77777777" w:rsidR="003C66EB" w:rsidRDefault="00D96C4E">
            <w:pPr>
              <w:jc w:val="right"/>
              <w:textAlignment w:val="bottom"/>
            </w:pPr>
            <w:r>
              <w:rPr>
                <w:rFonts w:ascii="Arial" w:eastAsia="宋体" w:hAnsi="Arial" w:cs="Arial"/>
                <w:color w:val="000000"/>
                <w:sz w:val="15"/>
                <w:szCs w:val="15"/>
              </w:rPr>
              <w:t>172 </w:t>
            </w:r>
          </w:p>
        </w:tc>
      </w:tr>
    </w:tbl>
    <w:p w14:paraId="5EA20A9C"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3C66EB" w14:paraId="5EA20AA6" w14:textId="77777777">
        <w:tc>
          <w:tcPr>
            <w:tcW w:w="50" w:type="pct"/>
            <w:shd w:val="clear" w:color="auto" w:fill="auto"/>
          </w:tcPr>
          <w:p w14:paraId="5EA20A9D" w14:textId="77777777" w:rsidR="003C66EB" w:rsidRDefault="003C66EB">
            <w:pPr>
              <w:rPr>
                <w:rFonts w:ascii="宋体"/>
              </w:rPr>
            </w:pPr>
          </w:p>
        </w:tc>
        <w:tc>
          <w:tcPr>
            <w:tcW w:w="1348" w:type="pct"/>
            <w:shd w:val="clear" w:color="auto" w:fill="auto"/>
          </w:tcPr>
          <w:p w14:paraId="5EA20A9E" w14:textId="77777777" w:rsidR="003C66EB" w:rsidRDefault="003C66EB">
            <w:pPr>
              <w:rPr>
                <w:rFonts w:ascii="宋体"/>
              </w:rPr>
            </w:pPr>
          </w:p>
        </w:tc>
        <w:tc>
          <w:tcPr>
            <w:tcW w:w="5" w:type="pct"/>
            <w:shd w:val="clear" w:color="auto" w:fill="auto"/>
          </w:tcPr>
          <w:p w14:paraId="5EA20A9F" w14:textId="77777777" w:rsidR="003C66EB" w:rsidRDefault="003C66EB">
            <w:pPr>
              <w:rPr>
                <w:rFonts w:ascii="宋体"/>
              </w:rPr>
            </w:pPr>
          </w:p>
        </w:tc>
        <w:tc>
          <w:tcPr>
            <w:tcW w:w="50" w:type="pct"/>
            <w:shd w:val="clear" w:color="auto" w:fill="auto"/>
          </w:tcPr>
          <w:p w14:paraId="5EA20AA0" w14:textId="77777777" w:rsidR="003C66EB" w:rsidRDefault="003C66EB">
            <w:pPr>
              <w:rPr>
                <w:rFonts w:ascii="宋体"/>
              </w:rPr>
            </w:pPr>
          </w:p>
        </w:tc>
        <w:tc>
          <w:tcPr>
            <w:tcW w:w="1290" w:type="pct"/>
            <w:shd w:val="clear" w:color="auto" w:fill="auto"/>
          </w:tcPr>
          <w:p w14:paraId="5EA20AA1" w14:textId="77777777" w:rsidR="003C66EB" w:rsidRDefault="003C66EB">
            <w:pPr>
              <w:rPr>
                <w:rFonts w:ascii="宋体"/>
              </w:rPr>
            </w:pPr>
          </w:p>
        </w:tc>
        <w:tc>
          <w:tcPr>
            <w:tcW w:w="5" w:type="pct"/>
            <w:shd w:val="clear" w:color="auto" w:fill="auto"/>
          </w:tcPr>
          <w:p w14:paraId="5EA20AA2" w14:textId="77777777" w:rsidR="003C66EB" w:rsidRDefault="003C66EB">
            <w:pPr>
              <w:rPr>
                <w:rFonts w:ascii="宋体"/>
              </w:rPr>
            </w:pPr>
          </w:p>
        </w:tc>
        <w:tc>
          <w:tcPr>
            <w:tcW w:w="50" w:type="pct"/>
            <w:shd w:val="clear" w:color="auto" w:fill="auto"/>
          </w:tcPr>
          <w:p w14:paraId="5EA20AA3" w14:textId="77777777" w:rsidR="003C66EB" w:rsidRDefault="003C66EB">
            <w:pPr>
              <w:rPr>
                <w:rFonts w:ascii="宋体"/>
              </w:rPr>
            </w:pPr>
          </w:p>
        </w:tc>
        <w:tc>
          <w:tcPr>
            <w:tcW w:w="2196" w:type="pct"/>
            <w:shd w:val="clear" w:color="auto" w:fill="auto"/>
          </w:tcPr>
          <w:p w14:paraId="5EA20AA4" w14:textId="77777777" w:rsidR="003C66EB" w:rsidRDefault="003C66EB">
            <w:pPr>
              <w:rPr>
                <w:rFonts w:ascii="宋体"/>
              </w:rPr>
            </w:pPr>
          </w:p>
        </w:tc>
        <w:tc>
          <w:tcPr>
            <w:tcW w:w="5" w:type="pct"/>
            <w:shd w:val="clear" w:color="auto" w:fill="auto"/>
          </w:tcPr>
          <w:p w14:paraId="5EA20AA5" w14:textId="77777777" w:rsidR="003C66EB" w:rsidRDefault="003C66EB">
            <w:pPr>
              <w:rPr>
                <w:rFonts w:ascii="宋体"/>
              </w:rPr>
            </w:pPr>
          </w:p>
        </w:tc>
      </w:tr>
      <w:tr w:rsidR="003C66EB" w14:paraId="5EA20AA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AA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A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AA9" w14:textId="77777777" w:rsidR="003C66EB" w:rsidRDefault="003C66EB">
            <w:pPr>
              <w:rPr>
                <w:rFonts w:ascii="宋体"/>
              </w:rPr>
            </w:pPr>
          </w:p>
        </w:tc>
      </w:tr>
    </w:tbl>
    <w:p w14:paraId="5EA20AAB" w14:textId="77777777" w:rsidR="003C66EB" w:rsidRDefault="00D96C4E">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4"/>
          <w:szCs w:val="14"/>
        </w:rPr>
        <w:t xml:space="preserve">ed by the measures used for interest rate risk.  Accordingly, the interest rate risk embedded in these foreign exchange instruments is included in the interest rate risk component. </w:t>
      </w:r>
    </w:p>
    <w:p w14:paraId="5EA20AAC" w14:textId="77777777" w:rsidR="003C66EB" w:rsidRDefault="00D96C4E">
      <w:pPr>
        <w:spacing w:before="60"/>
      </w:pPr>
      <w:r>
        <w:rPr>
          <w:rFonts w:ascii="Arial" w:eastAsia="宋体" w:hAnsi="Arial" w:cs="Arial"/>
          <w:b/>
          <w:bCs/>
          <w:i/>
          <w:iCs/>
          <w:color w:val="000000"/>
          <w:sz w:val="20"/>
          <w:szCs w:val="20"/>
        </w:rPr>
        <w:t>Asset and Liability Management Activities</w:t>
      </w:r>
    </w:p>
    <w:p w14:paraId="5EA20AAD" w14:textId="77777777" w:rsidR="003C66EB" w:rsidRDefault="00D96C4E">
      <w:pPr>
        <w:spacing w:before="60"/>
        <w:ind w:firstLine="450"/>
        <w:jc w:val="both"/>
      </w:pPr>
      <w:r>
        <w:rPr>
          <w:rFonts w:ascii="Arial" w:eastAsia="宋体" w:hAnsi="Arial" w:cs="Arial"/>
          <w:color w:val="000000"/>
          <w:sz w:val="20"/>
          <w:szCs w:val="20"/>
        </w:rPr>
        <w:t xml:space="preserve">The primary objective of </w:t>
      </w:r>
      <w:r>
        <w:rPr>
          <w:rFonts w:ascii="Arial" w:eastAsia="宋体" w:hAnsi="Arial" w:cs="Arial"/>
          <w:color w:val="000000"/>
          <w:sz w:val="20"/>
          <w:szCs w:val="20"/>
        </w:rPr>
        <w:t>asset and liability management is to provide sustainable NII under varying economic conditions, while protecting the economic value of the assets and liabilities carried on our consolidated statement of condition from the adverse effects of changes in inte</w:t>
      </w:r>
      <w:r>
        <w:rPr>
          <w:rFonts w:ascii="Arial" w:eastAsia="宋体" w:hAnsi="Arial" w:cs="Arial"/>
          <w:color w:val="000000"/>
          <w:sz w:val="20"/>
          <w:szCs w:val="20"/>
        </w:rPr>
        <w:t xml:space="preserve">rest rates. While many market factors affect the level of NII and the economic value of our assets and liabilities, one of the most significant factors is our exposure to movements in interest rates. Most of our NII is earned from the investment of client </w:t>
      </w:r>
      <w:r>
        <w:rPr>
          <w:rFonts w:ascii="Arial" w:eastAsia="宋体" w:hAnsi="Arial" w:cs="Arial"/>
          <w:color w:val="000000"/>
          <w:sz w:val="20"/>
          <w:szCs w:val="20"/>
        </w:rPr>
        <w:t>deposits generated by our businesses. We invest these client deposits in assets that conform generally to the characteristics of our balance sheet liabilities, including the currency composition of our significant non-U.S. dollar denominated client liabili</w:t>
      </w:r>
      <w:r>
        <w:rPr>
          <w:rFonts w:ascii="Arial" w:eastAsia="宋体" w:hAnsi="Arial" w:cs="Arial"/>
          <w:color w:val="000000"/>
          <w:sz w:val="20"/>
          <w:szCs w:val="20"/>
        </w:rPr>
        <w:t>ties.</w:t>
      </w:r>
    </w:p>
    <w:p w14:paraId="5EA20AAE" w14:textId="77777777" w:rsidR="003C66EB" w:rsidRDefault="00D96C4E">
      <w:pPr>
        <w:spacing w:before="60"/>
        <w:ind w:firstLine="450"/>
        <w:jc w:val="both"/>
      </w:pPr>
      <w:r>
        <w:rPr>
          <w:rFonts w:ascii="Arial" w:eastAsia="宋体" w:hAnsi="Arial" w:cs="Arial"/>
          <w:color w:val="000000"/>
          <w:sz w:val="20"/>
          <w:szCs w:val="20"/>
        </w:rPr>
        <w:t>We quantify NII sensitivity using an earnings simulation model that includes our expectations for new business growth, changes in balance sheet mix and investment portfolio positioning. This measure compares our baseline view of NII over a twelve-mon</w:t>
      </w:r>
      <w:r>
        <w:rPr>
          <w:rFonts w:ascii="Arial" w:eastAsia="宋体" w:hAnsi="Arial" w:cs="Arial"/>
          <w:color w:val="000000"/>
          <w:sz w:val="20"/>
          <w:szCs w:val="20"/>
        </w:rPr>
        <w:t xml:space="preserve">th horizon, based on our internal forecast of interest rates, to a wide range of rate </w:t>
      </w:r>
    </w:p>
    <w:p w14:paraId="5EA20AAF" w14:textId="77777777" w:rsidR="003C66EB" w:rsidRDefault="00D96C4E">
      <w:pPr>
        <w:ind w:firstLine="450"/>
        <w:jc w:val="right"/>
      </w:pPr>
      <w:r>
        <w:rPr>
          <w:rFonts w:ascii="Arial" w:eastAsia="宋体" w:hAnsi="Arial" w:cs="Arial"/>
          <w:color w:val="000000"/>
          <w:sz w:val="18"/>
          <w:szCs w:val="18"/>
        </w:rPr>
        <w:t>State Street Corporation | 35</w:t>
      </w:r>
    </w:p>
    <w:p w14:paraId="5EA20AB0" w14:textId="77777777" w:rsidR="003C66EB" w:rsidRDefault="003C66EB">
      <w:pPr>
        <w:ind w:firstLine="450"/>
        <w:jc w:val="center"/>
      </w:pPr>
    </w:p>
    <w:p w14:paraId="5EA20AB1" w14:textId="77777777" w:rsidR="003C66EB" w:rsidRDefault="00D96C4E">
      <w:r>
        <w:pict w14:anchorId="5EA287D3">
          <v:rect id="_x0000_i1059" style="width:415.3pt;height:1.5pt" o:hralign="center" o:hrstd="t" o:hr="t" fillcolor="#a0a0a0" stroked="f"/>
        </w:pict>
      </w:r>
    </w:p>
    <w:p w14:paraId="5EA20AB2"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AB3" w14:textId="77777777" w:rsidR="003C66EB" w:rsidRDefault="00D96C4E">
      <w:pPr>
        <w:ind w:firstLine="450"/>
        <w:jc w:val="center"/>
      </w:pPr>
      <w:r>
        <w:rPr>
          <w:rFonts w:ascii="Arial" w:eastAsia="宋体" w:hAnsi="Arial" w:cs="Arial"/>
          <w:b/>
          <w:bCs/>
          <w:color w:val="000000"/>
          <w:sz w:val="20"/>
          <w:szCs w:val="20"/>
        </w:rPr>
        <w:t>AND RESULTS OF OPERATIONS</w:t>
      </w:r>
    </w:p>
    <w:p w14:paraId="5EA20AB4" w14:textId="77777777" w:rsidR="003C66EB" w:rsidRDefault="00D96C4E">
      <w:pPr>
        <w:spacing w:before="60"/>
        <w:jc w:val="both"/>
      </w:pPr>
      <w:r>
        <w:rPr>
          <w:rFonts w:ascii="Arial" w:eastAsia="宋体" w:hAnsi="Arial" w:cs="Arial"/>
          <w:color w:val="000000"/>
          <w:sz w:val="20"/>
          <w:szCs w:val="20"/>
        </w:rPr>
        <w:t xml:space="preserve">shocks. Table 32, Key Interest Rates for Baseline </w:t>
      </w:r>
      <w:r>
        <w:rPr>
          <w:rFonts w:ascii="Arial" w:eastAsia="宋体" w:hAnsi="Arial" w:cs="Arial"/>
          <w:color w:val="000000"/>
          <w:sz w:val="20"/>
          <w:szCs w:val="20"/>
        </w:rPr>
        <w:t>Forecasts, presents the spot and 12-month forward rates used in our baseline forecasts at March 31, 2021 and March 31, 2020. Our March 31, 2021 baseline forecast assumes no changes by the Federal Reserve over the next 12 months.</w:t>
      </w:r>
    </w:p>
    <w:tbl>
      <w:tblPr>
        <w:tblW w:w="4993" w:type="pct"/>
        <w:tblCellMar>
          <w:top w:w="15" w:type="dxa"/>
          <w:left w:w="15" w:type="dxa"/>
          <w:bottom w:w="15" w:type="dxa"/>
          <w:right w:w="15" w:type="dxa"/>
        </w:tblCellMar>
        <w:tblLook w:val="04A0" w:firstRow="1" w:lastRow="0" w:firstColumn="1" w:lastColumn="0" w:noHBand="0" w:noVBand="1"/>
      </w:tblPr>
      <w:tblGrid>
        <w:gridCol w:w="38"/>
        <w:gridCol w:w="2174"/>
        <w:gridCol w:w="38"/>
        <w:gridCol w:w="37"/>
        <w:gridCol w:w="1284"/>
        <w:gridCol w:w="155"/>
        <w:gridCol w:w="36"/>
        <w:gridCol w:w="36"/>
        <w:gridCol w:w="36"/>
        <w:gridCol w:w="39"/>
        <w:gridCol w:w="1229"/>
        <w:gridCol w:w="155"/>
        <w:gridCol w:w="36"/>
        <w:gridCol w:w="36"/>
        <w:gridCol w:w="36"/>
        <w:gridCol w:w="37"/>
        <w:gridCol w:w="1233"/>
        <w:gridCol w:w="155"/>
        <w:gridCol w:w="36"/>
        <w:gridCol w:w="36"/>
        <w:gridCol w:w="36"/>
        <w:gridCol w:w="39"/>
        <w:gridCol w:w="1232"/>
        <w:gridCol w:w="155"/>
      </w:tblGrid>
      <w:tr w:rsidR="003C66EB" w14:paraId="5EA20ACD" w14:textId="77777777">
        <w:tc>
          <w:tcPr>
            <w:tcW w:w="50" w:type="pct"/>
            <w:shd w:val="clear" w:color="auto" w:fill="auto"/>
          </w:tcPr>
          <w:p w14:paraId="5EA20AB5" w14:textId="77777777" w:rsidR="003C66EB" w:rsidRDefault="003C66EB">
            <w:pPr>
              <w:rPr>
                <w:rFonts w:ascii="宋体"/>
              </w:rPr>
            </w:pPr>
          </w:p>
        </w:tc>
        <w:tc>
          <w:tcPr>
            <w:tcW w:w="1350" w:type="pct"/>
            <w:shd w:val="clear" w:color="auto" w:fill="auto"/>
          </w:tcPr>
          <w:p w14:paraId="5EA20AB6" w14:textId="77777777" w:rsidR="003C66EB" w:rsidRDefault="003C66EB">
            <w:pPr>
              <w:rPr>
                <w:rFonts w:ascii="宋体"/>
              </w:rPr>
            </w:pPr>
          </w:p>
        </w:tc>
        <w:tc>
          <w:tcPr>
            <w:tcW w:w="5" w:type="pct"/>
            <w:shd w:val="clear" w:color="auto" w:fill="auto"/>
          </w:tcPr>
          <w:p w14:paraId="5EA20AB7" w14:textId="77777777" w:rsidR="003C66EB" w:rsidRDefault="003C66EB">
            <w:pPr>
              <w:rPr>
                <w:rFonts w:ascii="宋体"/>
              </w:rPr>
            </w:pPr>
          </w:p>
        </w:tc>
        <w:tc>
          <w:tcPr>
            <w:tcW w:w="50" w:type="pct"/>
            <w:shd w:val="clear" w:color="auto" w:fill="auto"/>
          </w:tcPr>
          <w:p w14:paraId="5EA20AB8" w14:textId="77777777" w:rsidR="003C66EB" w:rsidRDefault="003C66EB">
            <w:pPr>
              <w:rPr>
                <w:rFonts w:ascii="宋体"/>
              </w:rPr>
            </w:pPr>
          </w:p>
        </w:tc>
        <w:tc>
          <w:tcPr>
            <w:tcW w:w="816" w:type="pct"/>
            <w:shd w:val="clear" w:color="auto" w:fill="auto"/>
          </w:tcPr>
          <w:p w14:paraId="5EA20AB9" w14:textId="77777777" w:rsidR="003C66EB" w:rsidRDefault="003C66EB">
            <w:pPr>
              <w:rPr>
                <w:rFonts w:ascii="宋体"/>
              </w:rPr>
            </w:pPr>
          </w:p>
        </w:tc>
        <w:tc>
          <w:tcPr>
            <w:tcW w:w="5" w:type="pct"/>
            <w:shd w:val="clear" w:color="auto" w:fill="auto"/>
          </w:tcPr>
          <w:p w14:paraId="5EA20ABA" w14:textId="77777777" w:rsidR="003C66EB" w:rsidRDefault="003C66EB">
            <w:pPr>
              <w:rPr>
                <w:rFonts w:ascii="宋体"/>
              </w:rPr>
            </w:pPr>
          </w:p>
        </w:tc>
        <w:tc>
          <w:tcPr>
            <w:tcW w:w="5" w:type="pct"/>
            <w:shd w:val="clear" w:color="auto" w:fill="auto"/>
          </w:tcPr>
          <w:p w14:paraId="5EA20ABB" w14:textId="77777777" w:rsidR="003C66EB" w:rsidRDefault="003C66EB">
            <w:pPr>
              <w:rPr>
                <w:rFonts w:ascii="宋体"/>
              </w:rPr>
            </w:pPr>
          </w:p>
        </w:tc>
        <w:tc>
          <w:tcPr>
            <w:tcW w:w="26" w:type="pct"/>
            <w:shd w:val="clear" w:color="auto" w:fill="auto"/>
          </w:tcPr>
          <w:p w14:paraId="5EA20ABC" w14:textId="77777777" w:rsidR="003C66EB" w:rsidRDefault="003C66EB">
            <w:pPr>
              <w:rPr>
                <w:rFonts w:ascii="宋体"/>
              </w:rPr>
            </w:pPr>
          </w:p>
        </w:tc>
        <w:tc>
          <w:tcPr>
            <w:tcW w:w="5" w:type="pct"/>
            <w:shd w:val="clear" w:color="auto" w:fill="auto"/>
          </w:tcPr>
          <w:p w14:paraId="5EA20ABD" w14:textId="77777777" w:rsidR="003C66EB" w:rsidRDefault="003C66EB">
            <w:pPr>
              <w:rPr>
                <w:rFonts w:ascii="宋体"/>
              </w:rPr>
            </w:pPr>
          </w:p>
        </w:tc>
        <w:tc>
          <w:tcPr>
            <w:tcW w:w="50" w:type="pct"/>
            <w:shd w:val="clear" w:color="auto" w:fill="auto"/>
          </w:tcPr>
          <w:p w14:paraId="5EA20ABE" w14:textId="77777777" w:rsidR="003C66EB" w:rsidRDefault="003C66EB">
            <w:pPr>
              <w:rPr>
                <w:rFonts w:ascii="宋体"/>
              </w:rPr>
            </w:pPr>
          </w:p>
        </w:tc>
        <w:tc>
          <w:tcPr>
            <w:tcW w:w="816" w:type="pct"/>
            <w:shd w:val="clear" w:color="auto" w:fill="auto"/>
          </w:tcPr>
          <w:p w14:paraId="5EA20ABF" w14:textId="77777777" w:rsidR="003C66EB" w:rsidRDefault="003C66EB">
            <w:pPr>
              <w:rPr>
                <w:rFonts w:ascii="宋体"/>
              </w:rPr>
            </w:pPr>
          </w:p>
        </w:tc>
        <w:tc>
          <w:tcPr>
            <w:tcW w:w="5" w:type="pct"/>
            <w:shd w:val="clear" w:color="auto" w:fill="auto"/>
          </w:tcPr>
          <w:p w14:paraId="5EA20AC0" w14:textId="77777777" w:rsidR="003C66EB" w:rsidRDefault="003C66EB">
            <w:pPr>
              <w:rPr>
                <w:rFonts w:ascii="宋体"/>
              </w:rPr>
            </w:pPr>
          </w:p>
        </w:tc>
        <w:tc>
          <w:tcPr>
            <w:tcW w:w="5" w:type="pct"/>
            <w:shd w:val="clear" w:color="auto" w:fill="auto"/>
          </w:tcPr>
          <w:p w14:paraId="5EA20AC1" w14:textId="77777777" w:rsidR="003C66EB" w:rsidRDefault="003C66EB">
            <w:pPr>
              <w:rPr>
                <w:rFonts w:ascii="宋体"/>
              </w:rPr>
            </w:pPr>
          </w:p>
        </w:tc>
        <w:tc>
          <w:tcPr>
            <w:tcW w:w="26" w:type="pct"/>
            <w:shd w:val="clear" w:color="auto" w:fill="auto"/>
          </w:tcPr>
          <w:p w14:paraId="5EA20AC2" w14:textId="77777777" w:rsidR="003C66EB" w:rsidRDefault="003C66EB">
            <w:pPr>
              <w:rPr>
                <w:rFonts w:ascii="宋体"/>
              </w:rPr>
            </w:pPr>
          </w:p>
        </w:tc>
        <w:tc>
          <w:tcPr>
            <w:tcW w:w="5" w:type="pct"/>
            <w:shd w:val="clear" w:color="auto" w:fill="auto"/>
          </w:tcPr>
          <w:p w14:paraId="5EA20AC3" w14:textId="77777777" w:rsidR="003C66EB" w:rsidRDefault="003C66EB">
            <w:pPr>
              <w:rPr>
                <w:rFonts w:ascii="宋体"/>
              </w:rPr>
            </w:pPr>
          </w:p>
        </w:tc>
        <w:tc>
          <w:tcPr>
            <w:tcW w:w="50" w:type="pct"/>
            <w:shd w:val="clear" w:color="auto" w:fill="auto"/>
          </w:tcPr>
          <w:p w14:paraId="5EA20AC4" w14:textId="77777777" w:rsidR="003C66EB" w:rsidRDefault="003C66EB">
            <w:pPr>
              <w:rPr>
                <w:rFonts w:ascii="宋体"/>
              </w:rPr>
            </w:pPr>
          </w:p>
        </w:tc>
        <w:tc>
          <w:tcPr>
            <w:tcW w:w="816" w:type="pct"/>
            <w:shd w:val="clear" w:color="auto" w:fill="auto"/>
          </w:tcPr>
          <w:p w14:paraId="5EA20AC5" w14:textId="77777777" w:rsidR="003C66EB" w:rsidRDefault="003C66EB">
            <w:pPr>
              <w:rPr>
                <w:rFonts w:ascii="宋体"/>
              </w:rPr>
            </w:pPr>
          </w:p>
        </w:tc>
        <w:tc>
          <w:tcPr>
            <w:tcW w:w="5" w:type="pct"/>
            <w:shd w:val="clear" w:color="auto" w:fill="auto"/>
          </w:tcPr>
          <w:p w14:paraId="5EA20AC6" w14:textId="77777777" w:rsidR="003C66EB" w:rsidRDefault="003C66EB">
            <w:pPr>
              <w:rPr>
                <w:rFonts w:ascii="宋体"/>
              </w:rPr>
            </w:pPr>
          </w:p>
        </w:tc>
        <w:tc>
          <w:tcPr>
            <w:tcW w:w="5" w:type="pct"/>
            <w:shd w:val="clear" w:color="auto" w:fill="auto"/>
          </w:tcPr>
          <w:p w14:paraId="5EA20AC7" w14:textId="77777777" w:rsidR="003C66EB" w:rsidRDefault="003C66EB">
            <w:pPr>
              <w:rPr>
                <w:rFonts w:ascii="宋体"/>
              </w:rPr>
            </w:pPr>
          </w:p>
        </w:tc>
        <w:tc>
          <w:tcPr>
            <w:tcW w:w="26" w:type="pct"/>
            <w:shd w:val="clear" w:color="auto" w:fill="auto"/>
          </w:tcPr>
          <w:p w14:paraId="5EA20AC8" w14:textId="77777777" w:rsidR="003C66EB" w:rsidRDefault="003C66EB">
            <w:pPr>
              <w:rPr>
                <w:rFonts w:ascii="宋体"/>
              </w:rPr>
            </w:pPr>
          </w:p>
        </w:tc>
        <w:tc>
          <w:tcPr>
            <w:tcW w:w="5" w:type="pct"/>
            <w:shd w:val="clear" w:color="auto" w:fill="auto"/>
          </w:tcPr>
          <w:p w14:paraId="5EA20AC9" w14:textId="77777777" w:rsidR="003C66EB" w:rsidRDefault="003C66EB">
            <w:pPr>
              <w:rPr>
                <w:rFonts w:ascii="宋体"/>
              </w:rPr>
            </w:pPr>
          </w:p>
        </w:tc>
        <w:tc>
          <w:tcPr>
            <w:tcW w:w="50" w:type="pct"/>
            <w:shd w:val="clear" w:color="auto" w:fill="auto"/>
          </w:tcPr>
          <w:p w14:paraId="5EA20ACA" w14:textId="77777777" w:rsidR="003C66EB" w:rsidRDefault="003C66EB">
            <w:pPr>
              <w:rPr>
                <w:rFonts w:ascii="宋体"/>
              </w:rPr>
            </w:pPr>
          </w:p>
        </w:tc>
        <w:tc>
          <w:tcPr>
            <w:tcW w:w="816" w:type="pct"/>
            <w:shd w:val="clear" w:color="auto" w:fill="auto"/>
          </w:tcPr>
          <w:p w14:paraId="5EA20ACB" w14:textId="77777777" w:rsidR="003C66EB" w:rsidRDefault="003C66EB">
            <w:pPr>
              <w:rPr>
                <w:rFonts w:ascii="宋体"/>
              </w:rPr>
            </w:pPr>
          </w:p>
        </w:tc>
        <w:tc>
          <w:tcPr>
            <w:tcW w:w="5" w:type="pct"/>
            <w:shd w:val="clear" w:color="auto" w:fill="auto"/>
          </w:tcPr>
          <w:p w14:paraId="5EA20ACC" w14:textId="77777777" w:rsidR="003C66EB" w:rsidRDefault="003C66EB">
            <w:pPr>
              <w:rPr>
                <w:rFonts w:ascii="宋体"/>
              </w:rPr>
            </w:pPr>
          </w:p>
        </w:tc>
      </w:tr>
      <w:tr w:rsidR="003C66EB" w14:paraId="5EA20ACF" w14:textId="77777777">
        <w:tc>
          <w:tcPr>
            <w:tcW w:w="0" w:type="auto"/>
            <w:gridSpan w:val="24"/>
            <w:shd w:val="clear" w:color="auto" w:fill="auto"/>
            <w:tcMar>
              <w:top w:w="40" w:type="dxa"/>
              <w:left w:w="20" w:type="dxa"/>
              <w:bottom w:w="40" w:type="dxa"/>
              <w:right w:w="20" w:type="dxa"/>
            </w:tcMar>
            <w:vAlign w:val="bottom"/>
          </w:tcPr>
          <w:p w14:paraId="5EA20ACE" w14:textId="77777777" w:rsidR="003C66EB" w:rsidRDefault="00D96C4E">
            <w:pPr>
              <w:textAlignment w:val="bottom"/>
            </w:pPr>
            <w:r>
              <w:rPr>
                <w:rFonts w:ascii="Arial" w:eastAsia="宋体" w:hAnsi="Arial" w:cs="Arial"/>
                <w:b/>
                <w:bCs/>
                <w:color w:val="000000"/>
                <w:sz w:val="16"/>
                <w:szCs w:val="16"/>
              </w:rPr>
              <w:t>TABLE 32: KEY INTEREST RATES FOR BASELINE FORECASTS</w:t>
            </w:r>
          </w:p>
        </w:tc>
      </w:tr>
      <w:tr w:rsidR="003C66EB" w14:paraId="5EA20AD4" w14:textId="77777777">
        <w:tc>
          <w:tcPr>
            <w:tcW w:w="0" w:type="auto"/>
            <w:gridSpan w:val="3"/>
            <w:shd w:val="clear" w:color="auto" w:fill="auto"/>
            <w:tcMar>
              <w:top w:w="0" w:type="dxa"/>
              <w:left w:w="20" w:type="dxa"/>
              <w:bottom w:w="0" w:type="dxa"/>
              <w:right w:w="20" w:type="dxa"/>
            </w:tcMar>
          </w:tcPr>
          <w:p w14:paraId="5EA20AD0"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0AD1"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0AD2"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0AD3" w14:textId="77777777" w:rsidR="003C66EB" w:rsidRDefault="00D96C4E">
            <w:pPr>
              <w:jc w:val="center"/>
              <w:textAlignment w:val="bottom"/>
            </w:pPr>
            <w:r>
              <w:rPr>
                <w:rFonts w:ascii="Arial" w:eastAsia="宋体" w:hAnsi="Arial" w:cs="Arial"/>
                <w:b/>
                <w:bCs/>
                <w:color w:val="000000"/>
                <w:sz w:val="15"/>
                <w:szCs w:val="15"/>
              </w:rPr>
              <w:t> March 31, 2020</w:t>
            </w:r>
          </w:p>
        </w:tc>
      </w:tr>
      <w:tr w:rsidR="003C66EB" w14:paraId="5EA20ADD" w14:textId="77777777">
        <w:tc>
          <w:tcPr>
            <w:tcW w:w="0" w:type="auto"/>
            <w:gridSpan w:val="3"/>
            <w:shd w:val="clear" w:color="auto" w:fill="auto"/>
            <w:tcMar>
              <w:top w:w="0" w:type="dxa"/>
              <w:left w:w="20" w:type="dxa"/>
              <w:bottom w:w="0" w:type="dxa"/>
              <w:right w:w="20" w:type="dxa"/>
            </w:tcMar>
          </w:tcPr>
          <w:p w14:paraId="5EA20AD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AD6" w14:textId="77777777" w:rsidR="003C66EB" w:rsidRDefault="00D96C4E">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tcPr>
          <w:p w14:paraId="5EA20AD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AD8" w14:textId="77777777" w:rsidR="003C66EB" w:rsidRDefault="00D96C4E">
            <w:pPr>
              <w:jc w:val="center"/>
              <w:textAlignment w:val="bottom"/>
            </w:pPr>
            <w:r>
              <w:rPr>
                <w:rFonts w:ascii="Arial" w:eastAsia="宋体" w:hAnsi="Arial" w:cs="Arial"/>
                <w:b/>
                <w:bCs/>
                <w:color w:val="000000"/>
                <w:sz w:val="15"/>
                <w:szCs w:val="15"/>
              </w:rPr>
              <w:t>10-Year Treasury</w:t>
            </w:r>
          </w:p>
        </w:tc>
        <w:tc>
          <w:tcPr>
            <w:tcW w:w="0" w:type="auto"/>
            <w:gridSpan w:val="3"/>
            <w:shd w:val="clear" w:color="auto" w:fill="auto"/>
            <w:tcMar>
              <w:top w:w="0" w:type="dxa"/>
              <w:left w:w="20" w:type="dxa"/>
              <w:bottom w:w="0" w:type="dxa"/>
              <w:right w:w="20" w:type="dxa"/>
            </w:tcMar>
          </w:tcPr>
          <w:p w14:paraId="5EA20AD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ADA" w14:textId="77777777" w:rsidR="003C66EB" w:rsidRDefault="00D96C4E">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tcPr>
          <w:p w14:paraId="5EA20AD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ADC" w14:textId="77777777" w:rsidR="003C66EB" w:rsidRDefault="00D96C4E">
            <w:pPr>
              <w:jc w:val="center"/>
              <w:textAlignment w:val="bottom"/>
            </w:pPr>
            <w:r>
              <w:rPr>
                <w:rFonts w:ascii="Arial" w:eastAsia="宋体" w:hAnsi="Arial" w:cs="Arial"/>
                <w:b/>
                <w:bCs/>
                <w:color w:val="000000"/>
                <w:sz w:val="15"/>
                <w:szCs w:val="15"/>
              </w:rPr>
              <w:t>10-Year Treasury</w:t>
            </w:r>
          </w:p>
        </w:tc>
      </w:tr>
      <w:tr w:rsidR="003C66EB" w14:paraId="5EA20AEA" w14:textId="77777777">
        <w:tc>
          <w:tcPr>
            <w:tcW w:w="0" w:type="auto"/>
            <w:gridSpan w:val="3"/>
            <w:shd w:val="clear" w:color="auto" w:fill="CCEEFF"/>
            <w:tcMar>
              <w:top w:w="40" w:type="dxa"/>
              <w:left w:w="20" w:type="dxa"/>
              <w:bottom w:w="40" w:type="dxa"/>
              <w:right w:w="20" w:type="dxa"/>
            </w:tcMar>
            <w:vAlign w:val="bottom"/>
          </w:tcPr>
          <w:p w14:paraId="5EA20ADE" w14:textId="77777777" w:rsidR="003C66EB" w:rsidRDefault="00D96C4E">
            <w:pPr>
              <w:textAlignment w:val="bottom"/>
            </w:pPr>
            <w:r>
              <w:rPr>
                <w:rFonts w:ascii="Arial" w:eastAsia="宋体" w:hAnsi="Arial" w:cs="Arial"/>
                <w:color w:val="000000"/>
                <w:sz w:val="15"/>
                <w:szCs w:val="15"/>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ADF" w14:textId="77777777" w:rsidR="003C66EB" w:rsidRDefault="00D96C4E">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AE0"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20AE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AE2" w14:textId="77777777" w:rsidR="003C66EB" w:rsidRDefault="00D96C4E">
            <w:pPr>
              <w:jc w:val="right"/>
              <w:textAlignment w:val="bottom"/>
            </w:pPr>
            <w:r>
              <w:rPr>
                <w:rFonts w:ascii="Arial" w:eastAsia="宋体" w:hAnsi="Arial" w:cs="Arial"/>
                <w:b/>
                <w:bCs/>
                <w:color w:val="000000"/>
                <w:sz w:val="15"/>
                <w:szCs w:val="15"/>
              </w:rPr>
              <w:t>1.74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AE3"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20AE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AE5" w14:textId="77777777" w:rsidR="003C66EB" w:rsidRDefault="00D96C4E">
            <w:pPr>
              <w:jc w:val="right"/>
              <w:textAlignment w:val="bottom"/>
            </w:pPr>
            <w:r>
              <w:rPr>
                <w:rFonts w:ascii="Arial" w:eastAsia="宋体" w:hAnsi="Arial" w:cs="Arial"/>
                <w:color w:val="000000"/>
                <w:sz w:val="15"/>
                <w:szCs w:val="15"/>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AE6" w14:textId="77777777" w:rsidR="003C66EB" w:rsidRDefault="00D96C4E">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tcPr>
          <w:p w14:paraId="5EA20AE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AE8" w14:textId="77777777" w:rsidR="003C66EB" w:rsidRDefault="00D96C4E">
            <w:pPr>
              <w:jc w:val="right"/>
              <w:textAlignment w:val="bottom"/>
            </w:pPr>
            <w:r>
              <w:rPr>
                <w:rFonts w:ascii="Arial" w:eastAsia="宋体" w:hAnsi="Arial" w:cs="Arial"/>
                <w:color w:val="000000"/>
                <w:sz w:val="15"/>
                <w:szCs w:val="15"/>
              </w:rPr>
              <w:t>0.67 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AE9" w14:textId="77777777" w:rsidR="003C66EB" w:rsidRDefault="00D96C4E">
            <w:pPr>
              <w:jc w:val="right"/>
              <w:textAlignment w:val="bottom"/>
            </w:pPr>
            <w:r>
              <w:rPr>
                <w:rFonts w:ascii="Arial" w:eastAsia="宋体" w:hAnsi="Arial" w:cs="Arial"/>
                <w:color w:val="000000"/>
                <w:sz w:val="15"/>
                <w:szCs w:val="15"/>
              </w:rPr>
              <w:t>%</w:t>
            </w:r>
          </w:p>
        </w:tc>
      </w:tr>
      <w:tr w:rsidR="003C66EB" w14:paraId="5EA20AF7" w14:textId="77777777">
        <w:tc>
          <w:tcPr>
            <w:tcW w:w="0" w:type="auto"/>
            <w:gridSpan w:val="3"/>
            <w:shd w:val="clear" w:color="auto" w:fill="FFFFFF"/>
            <w:tcMar>
              <w:top w:w="40" w:type="dxa"/>
              <w:left w:w="20" w:type="dxa"/>
              <w:bottom w:w="40" w:type="dxa"/>
              <w:right w:w="20" w:type="dxa"/>
            </w:tcMar>
            <w:vAlign w:val="bottom"/>
          </w:tcPr>
          <w:p w14:paraId="5EA20AEB" w14:textId="77777777" w:rsidR="003C66EB" w:rsidRDefault="00D96C4E">
            <w:pPr>
              <w:textAlignment w:val="bottom"/>
            </w:pPr>
            <w:r>
              <w:rPr>
                <w:rFonts w:ascii="Arial" w:eastAsia="宋体" w:hAnsi="Arial" w:cs="Arial"/>
                <w:color w:val="000000"/>
                <w:sz w:val="15"/>
                <w:szCs w:val="15"/>
              </w:rPr>
              <w:t>12-month forward rates</w:t>
            </w:r>
          </w:p>
        </w:tc>
        <w:tc>
          <w:tcPr>
            <w:tcW w:w="0" w:type="auto"/>
            <w:gridSpan w:val="2"/>
            <w:shd w:val="clear" w:color="auto" w:fill="auto"/>
            <w:tcMar>
              <w:top w:w="40" w:type="dxa"/>
              <w:left w:w="20" w:type="dxa"/>
              <w:bottom w:w="40" w:type="dxa"/>
              <w:right w:w="0" w:type="dxa"/>
            </w:tcMar>
            <w:vAlign w:val="bottom"/>
          </w:tcPr>
          <w:p w14:paraId="5EA20AEC" w14:textId="77777777" w:rsidR="003C66EB" w:rsidRDefault="00D96C4E">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A20AED"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0AEE"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0AEF" w14:textId="77777777" w:rsidR="003C66EB" w:rsidRDefault="00D96C4E">
            <w:pPr>
              <w:jc w:val="right"/>
              <w:textAlignment w:val="bottom"/>
            </w:pPr>
            <w:r>
              <w:rPr>
                <w:rFonts w:ascii="Arial" w:eastAsia="宋体" w:hAnsi="Arial" w:cs="Arial"/>
                <w:b/>
                <w:bCs/>
                <w:color w:val="000000"/>
                <w:sz w:val="15"/>
                <w:szCs w:val="15"/>
              </w:rPr>
              <w:t>2.05</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A20AF0"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0AF1"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0AF2" w14:textId="77777777" w:rsidR="003C66EB" w:rsidRDefault="00D96C4E">
            <w:pPr>
              <w:jc w:val="right"/>
              <w:textAlignment w:val="bottom"/>
            </w:pPr>
            <w:r>
              <w:rPr>
                <w:rFonts w:ascii="Arial" w:eastAsia="宋体" w:hAnsi="Arial" w:cs="Arial"/>
                <w:color w:val="000000"/>
                <w:sz w:val="15"/>
                <w:szCs w:val="15"/>
              </w:rPr>
              <w:t>0.25 </w:t>
            </w:r>
          </w:p>
        </w:tc>
        <w:tc>
          <w:tcPr>
            <w:tcW w:w="0" w:type="auto"/>
            <w:shd w:val="clear" w:color="auto" w:fill="auto"/>
            <w:tcMar>
              <w:top w:w="40" w:type="dxa"/>
              <w:left w:w="0" w:type="dxa"/>
              <w:bottom w:w="40" w:type="dxa"/>
              <w:right w:w="20" w:type="dxa"/>
            </w:tcMar>
            <w:vAlign w:val="bottom"/>
          </w:tcPr>
          <w:p w14:paraId="5EA20AF3"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0AF4"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0AF5" w14:textId="77777777" w:rsidR="003C66EB" w:rsidRDefault="00D96C4E">
            <w:pPr>
              <w:jc w:val="right"/>
              <w:textAlignment w:val="bottom"/>
            </w:pPr>
            <w:r>
              <w:rPr>
                <w:rFonts w:ascii="Arial" w:eastAsia="宋体" w:hAnsi="Arial" w:cs="Arial"/>
                <w:color w:val="000000"/>
                <w:sz w:val="15"/>
                <w:szCs w:val="15"/>
              </w:rPr>
              <w:t>0.85 </w:t>
            </w:r>
          </w:p>
        </w:tc>
        <w:tc>
          <w:tcPr>
            <w:tcW w:w="0" w:type="auto"/>
            <w:shd w:val="clear" w:color="auto" w:fill="auto"/>
            <w:tcMar>
              <w:top w:w="40" w:type="dxa"/>
              <w:left w:w="0" w:type="dxa"/>
              <w:bottom w:w="40" w:type="dxa"/>
              <w:right w:w="20" w:type="dxa"/>
            </w:tcMar>
            <w:vAlign w:val="bottom"/>
          </w:tcPr>
          <w:p w14:paraId="5EA20AF6" w14:textId="77777777" w:rsidR="003C66EB" w:rsidRDefault="003C66EB">
            <w:pPr>
              <w:jc w:val="right"/>
              <w:rPr>
                <w:rFonts w:ascii="宋体"/>
              </w:rPr>
            </w:pPr>
          </w:p>
        </w:tc>
      </w:tr>
    </w:tbl>
    <w:p w14:paraId="5EA20AF8" w14:textId="77777777" w:rsidR="003C66EB" w:rsidRDefault="00D96C4E">
      <w:pPr>
        <w:spacing w:before="60"/>
        <w:ind w:firstLine="450"/>
        <w:jc w:val="both"/>
      </w:pPr>
      <w:r>
        <w:rPr>
          <w:rFonts w:ascii="Arial" w:eastAsia="宋体" w:hAnsi="Arial" w:cs="Arial"/>
          <w:color w:val="000000"/>
          <w:sz w:val="20"/>
          <w:szCs w:val="20"/>
        </w:rPr>
        <w:t>In Table 33: Net Interest Income Sensitivity, we report the expected change in NII over the next twelve months from instantaneous shocks to various tenors on the yield curve, including the impacts from U.S. and non-U.S. rates.</w:t>
      </w:r>
      <w:r>
        <w:rPr>
          <w:rFonts w:ascii="Arial" w:eastAsia="宋体" w:hAnsi="Arial" w:cs="Arial"/>
          <w:color w:val="000000"/>
          <w:sz w:val="20"/>
          <w:szCs w:val="20"/>
        </w:rPr>
        <w:t xml:space="preserve"> Each scenario assumes no management action is taken to mitigate the adverse effects of interest rate changes on our financial performance. While investment securities balances can fluctuate with the level of rates as prepayment assumptions change, our mod</w:t>
      </w:r>
      <w:r>
        <w:rPr>
          <w:rFonts w:ascii="Arial" w:eastAsia="宋体" w:hAnsi="Arial" w:cs="Arial"/>
          <w:color w:val="000000"/>
          <w:sz w:val="20"/>
          <w:szCs w:val="20"/>
        </w:rPr>
        <w:t xml:space="preserve">eling approach during the relevant periods has been to keep our balance sheet consistent with our baseline outlook in both higher and lower rates scenarios. While this approach was used for the March 31, 2021 reporting period, we did deviate in March 2020 </w:t>
      </w:r>
      <w:r>
        <w:rPr>
          <w:rFonts w:ascii="Arial" w:eastAsia="宋体" w:hAnsi="Arial" w:cs="Arial"/>
          <w:color w:val="000000"/>
          <w:sz w:val="20"/>
          <w:szCs w:val="20"/>
        </w:rPr>
        <w:t>experiencing a rapid increase in client deposits at the beginning of the global pandemic. For the +100bp shock scenario in the March 31, 2020 reporting period, client deposits were modeled to return to average balance levels experienced in the fourth quart</w:t>
      </w:r>
      <w:r>
        <w:rPr>
          <w:rFonts w:ascii="Arial" w:eastAsia="宋体" w:hAnsi="Arial" w:cs="Arial"/>
          <w:color w:val="000000"/>
          <w:sz w:val="20"/>
          <w:szCs w:val="20"/>
        </w:rPr>
        <w:t>er of 2019 with a corresponding reduction in cash and cash equivalents held with central banks.</w:t>
      </w:r>
    </w:p>
    <w:p w14:paraId="5EA20AF9" w14:textId="77777777" w:rsidR="003C66EB" w:rsidRDefault="00D96C4E">
      <w:pPr>
        <w:spacing w:before="60"/>
        <w:ind w:firstLine="450"/>
        <w:jc w:val="both"/>
      </w:pPr>
      <w:r>
        <w:rPr>
          <w:rFonts w:ascii="Arial" w:eastAsia="宋体" w:hAnsi="Arial" w:cs="Arial"/>
          <w:color w:val="000000"/>
          <w:sz w:val="20"/>
          <w:szCs w:val="20"/>
        </w:rPr>
        <w:t>Beginning with the December 31, 2020 reporting period, we enhanced our NII sensitivity methodology so that the full impact of rate shocks are realized for all c</w:t>
      </w:r>
      <w:r>
        <w:rPr>
          <w:rFonts w:ascii="Arial" w:eastAsia="宋体" w:hAnsi="Arial" w:cs="Arial"/>
          <w:color w:val="000000"/>
          <w:sz w:val="20"/>
          <w:szCs w:val="20"/>
        </w:rPr>
        <w:t>urrencies even if the result is negative interest rates. Prior to the December 31, 2020 reporting period, our results in lower rate scenarios were impacted by an assumed floor at zero for certain currencies including U.S. dollar. For consistency in this di</w:t>
      </w:r>
      <w:r>
        <w:rPr>
          <w:rFonts w:ascii="Arial" w:eastAsia="宋体" w:hAnsi="Arial" w:cs="Arial"/>
          <w:color w:val="000000"/>
          <w:sz w:val="20"/>
          <w:szCs w:val="20"/>
        </w:rPr>
        <w:t xml:space="preserve">sclosure, the March 31, 2020 reporting period is restated in the table below using enhanced modeling for negative rates. </w:t>
      </w:r>
    </w:p>
    <w:tbl>
      <w:tblPr>
        <w:tblW w:w="4971" w:type="pct"/>
        <w:tblCellMar>
          <w:top w:w="15" w:type="dxa"/>
          <w:left w:w="15" w:type="dxa"/>
          <w:bottom w:w="15" w:type="dxa"/>
          <w:right w:w="15" w:type="dxa"/>
        </w:tblCellMar>
        <w:tblLook w:val="04A0" w:firstRow="1" w:lastRow="0" w:firstColumn="1" w:lastColumn="0" w:noHBand="0" w:noVBand="1"/>
      </w:tblPr>
      <w:tblGrid>
        <w:gridCol w:w="37"/>
        <w:gridCol w:w="2215"/>
        <w:gridCol w:w="36"/>
        <w:gridCol w:w="105"/>
        <w:gridCol w:w="802"/>
        <w:gridCol w:w="37"/>
        <w:gridCol w:w="36"/>
        <w:gridCol w:w="36"/>
        <w:gridCol w:w="36"/>
        <w:gridCol w:w="105"/>
        <w:gridCol w:w="762"/>
        <w:gridCol w:w="36"/>
        <w:gridCol w:w="36"/>
        <w:gridCol w:w="36"/>
        <w:gridCol w:w="36"/>
        <w:gridCol w:w="104"/>
        <w:gridCol w:w="762"/>
        <w:gridCol w:w="36"/>
        <w:gridCol w:w="36"/>
        <w:gridCol w:w="36"/>
        <w:gridCol w:w="36"/>
        <w:gridCol w:w="105"/>
        <w:gridCol w:w="762"/>
        <w:gridCol w:w="37"/>
        <w:gridCol w:w="36"/>
        <w:gridCol w:w="36"/>
        <w:gridCol w:w="36"/>
        <w:gridCol w:w="105"/>
        <w:gridCol w:w="762"/>
        <w:gridCol w:w="36"/>
        <w:gridCol w:w="36"/>
        <w:gridCol w:w="36"/>
        <w:gridCol w:w="36"/>
        <w:gridCol w:w="104"/>
        <w:gridCol w:w="764"/>
        <w:gridCol w:w="36"/>
      </w:tblGrid>
      <w:tr w:rsidR="003C66EB" w14:paraId="5EA20B1E" w14:textId="77777777">
        <w:tc>
          <w:tcPr>
            <w:tcW w:w="50" w:type="pct"/>
            <w:shd w:val="clear" w:color="auto" w:fill="auto"/>
          </w:tcPr>
          <w:p w14:paraId="5EA20AFA" w14:textId="77777777" w:rsidR="003C66EB" w:rsidRDefault="003C66EB">
            <w:pPr>
              <w:rPr>
                <w:rFonts w:ascii="宋体"/>
              </w:rPr>
            </w:pPr>
          </w:p>
        </w:tc>
        <w:tc>
          <w:tcPr>
            <w:tcW w:w="1364" w:type="pct"/>
            <w:shd w:val="clear" w:color="auto" w:fill="auto"/>
          </w:tcPr>
          <w:p w14:paraId="5EA20AFB" w14:textId="77777777" w:rsidR="003C66EB" w:rsidRDefault="003C66EB">
            <w:pPr>
              <w:rPr>
                <w:rFonts w:ascii="宋体"/>
              </w:rPr>
            </w:pPr>
          </w:p>
        </w:tc>
        <w:tc>
          <w:tcPr>
            <w:tcW w:w="5" w:type="pct"/>
            <w:shd w:val="clear" w:color="auto" w:fill="auto"/>
          </w:tcPr>
          <w:p w14:paraId="5EA20AFC" w14:textId="77777777" w:rsidR="003C66EB" w:rsidRDefault="003C66EB">
            <w:pPr>
              <w:rPr>
                <w:rFonts w:ascii="宋体"/>
              </w:rPr>
            </w:pPr>
          </w:p>
        </w:tc>
        <w:tc>
          <w:tcPr>
            <w:tcW w:w="50" w:type="pct"/>
            <w:shd w:val="clear" w:color="auto" w:fill="auto"/>
          </w:tcPr>
          <w:p w14:paraId="5EA20AFD" w14:textId="77777777" w:rsidR="003C66EB" w:rsidRDefault="003C66EB">
            <w:pPr>
              <w:rPr>
                <w:rFonts w:ascii="宋体"/>
              </w:rPr>
            </w:pPr>
          </w:p>
        </w:tc>
        <w:tc>
          <w:tcPr>
            <w:tcW w:w="511" w:type="pct"/>
            <w:shd w:val="clear" w:color="auto" w:fill="auto"/>
          </w:tcPr>
          <w:p w14:paraId="5EA20AFE" w14:textId="77777777" w:rsidR="003C66EB" w:rsidRDefault="003C66EB">
            <w:pPr>
              <w:rPr>
                <w:rFonts w:ascii="宋体"/>
              </w:rPr>
            </w:pPr>
          </w:p>
        </w:tc>
        <w:tc>
          <w:tcPr>
            <w:tcW w:w="5" w:type="pct"/>
            <w:shd w:val="clear" w:color="auto" w:fill="auto"/>
          </w:tcPr>
          <w:p w14:paraId="5EA20AFF" w14:textId="77777777" w:rsidR="003C66EB" w:rsidRDefault="003C66EB">
            <w:pPr>
              <w:rPr>
                <w:rFonts w:ascii="宋体"/>
              </w:rPr>
            </w:pPr>
          </w:p>
        </w:tc>
        <w:tc>
          <w:tcPr>
            <w:tcW w:w="5" w:type="pct"/>
            <w:shd w:val="clear" w:color="auto" w:fill="auto"/>
          </w:tcPr>
          <w:p w14:paraId="5EA20B00" w14:textId="77777777" w:rsidR="003C66EB" w:rsidRDefault="003C66EB">
            <w:pPr>
              <w:rPr>
                <w:rFonts w:ascii="宋体"/>
              </w:rPr>
            </w:pPr>
          </w:p>
        </w:tc>
        <w:tc>
          <w:tcPr>
            <w:tcW w:w="26" w:type="pct"/>
            <w:shd w:val="clear" w:color="auto" w:fill="auto"/>
          </w:tcPr>
          <w:p w14:paraId="5EA20B01" w14:textId="77777777" w:rsidR="003C66EB" w:rsidRDefault="003C66EB">
            <w:pPr>
              <w:rPr>
                <w:rFonts w:ascii="宋体"/>
              </w:rPr>
            </w:pPr>
          </w:p>
        </w:tc>
        <w:tc>
          <w:tcPr>
            <w:tcW w:w="5" w:type="pct"/>
            <w:shd w:val="clear" w:color="auto" w:fill="auto"/>
          </w:tcPr>
          <w:p w14:paraId="5EA20B02" w14:textId="77777777" w:rsidR="003C66EB" w:rsidRDefault="003C66EB">
            <w:pPr>
              <w:rPr>
                <w:rFonts w:ascii="宋体"/>
              </w:rPr>
            </w:pPr>
          </w:p>
        </w:tc>
        <w:tc>
          <w:tcPr>
            <w:tcW w:w="50" w:type="pct"/>
            <w:shd w:val="clear" w:color="auto" w:fill="auto"/>
          </w:tcPr>
          <w:p w14:paraId="5EA20B03" w14:textId="77777777" w:rsidR="003C66EB" w:rsidRDefault="003C66EB">
            <w:pPr>
              <w:rPr>
                <w:rFonts w:ascii="宋体"/>
              </w:rPr>
            </w:pPr>
          </w:p>
        </w:tc>
        <w:tc>
          <w:tcPr>
            <w:tcW w:w="511" w:type="pct"/>
            <w:shd w:val="clear" w:color="auto" w:fill="auto"/>
          </w:tcPr>
          <w:p w14:paraId="5EA20B04" w14:textId="77777777" w:rsidR="003C66EB" w:rsidRDefault="003C66EB">
            <w:pPr>
              <w:rPr>
                <w:rFonts w:ascii="宋体"/>
              </w:rPr>
            </w:pPr>
          </w:p>
        </w:tc>
        <w:tc>
          <w:tcPr>
            <w:tcW w:w="5" w:type="pct"/>
            <w:shd w:val="clear" w:color="auto" w:fill="auto"/>
          </w:tcPr>
          <w:p w14:paraId="5EA20B05" w14:textId="77777777" w:rsidR="003C66EB" w:rsidRDefault="003C66EB">
            <w:pPr>
              <w:rPr>
                <w:rFonts w:ascii="宋体"/>
              </w:rPr>
            </w:pPr>
          </w:p>
        </w:tc>
        <w:tc>
          <w:tcPr>
            <w:tcW w:w="5" w:type="pct"/>
            <w:shd w:val="clear" w:color="auto" w:fill="auto"/>
          </w:tcPr>
          <w:p w14:paraId="5EA20B06" w14:textId="77777777" w:rsidR="003C66EB" w:rsidRDefault="003C66EB">
            <w:pPr>
              <w:rPr>
                <w:rFonts w:ascii="宋体"/>
              </w:rPr>
            </w:pPr>
          </w:p>
        </w:tc>
        <w:tc>
          <w:tcPr>
            <w:tcW w:w="26" w:type="pct"/>
            <w:shd w:val="clear" w:color="auto" w:fill="auto"/>
          </w:tcPr>
          <w:p w14:paraId="5EA20B07" w14:textId="77777777" w:rsidR="003C66EB" w:rsidRDefault="003C66EB">
            <w:pPr>
              <w:rPr>
                <w:rFonts w:ascii="宋体"/>
              </w:rPr>
            </w:pPr>
          </w:p>
        </w:tc>
        <w:tc>
          <w:tcPr>
            <w:tcW w:w="5" w:type="pct"/>
            <w:shd w:val="clear" w:color="auto" w:fill="auto"/>
          </w:tcPr>
          <w:p w14:paraId="5EA20B08" w14:textId="77777777" w:rsidR="003C66EB" w:rsidRDefault="003C66EB">
            <w:pPr>
              <w:rPr>
                <w:rFonts w:ascii="宋体"/>
              </w:rPr>
            </w:pPr>
          </w:p>
        </w:tc>
        <w:tc>
          <w:tcPr>
            <w:tcW w:w="50" w:type="pct"/>
            <w:shd w:val="clear" w:color="auto" w:fill="auto"/>
          </w:tcPr>
          <w:p w14:paraId="5EA20B09" w14:textId="77777777" w:rsidR="003C66EB" w:rsidRDefault="003C66EB">
            <w:pPr>
              <w:rPr>
                <w:rFonts w:ascii="宋体"/>
              </w:rPr>
            </w:pPr>
          </w:p>
        </w:tc>
        <w:tc>
          <w:tcPr>
            <w:tcW w:w="511" w:type="pct"/>
            <w:shd w:val="clear" w:color="auto" w:fill="auto"/>
          </w:tcPr>
          <w:p w14:paraId="5EA20B0A" w14:textId="77777777" w:rsidR="003C66EB" w:rsidRDefault="003C66EB">
            <w:pPr>
              <w:rPr>
                <w:rFonts w:ascii="宋体"/>
              </w:rPr>
            </w:pPr>
          </w:p>
        </w:tc>
        <w:tc>
          <w:tcPr>
            <w:tcW w:w="5" w:type="pct"/>
            <w:shd w:val="clear" w:color="auto" w:fill="auto"/>
          </w:tcPr>
          <w:p w14:paraId="5EA20B0B" w14:textId="77777777" w:rsidR="003C66EB" w:rsidRDefault="003C66EB">
            <w:pPr>
              <w:rPr>
                <w:rFonts w:ascii="宋体"/>
              </w:rPr>
            </w:pPr>
          </w:p>
        </w:tc>
        <w:tc>
          <w:tcPr>
            <w:tcW w:w="5" w:type="pct"/>
            <w:shd w:val="clear" w:color="auto" w:fill="auto"/>
          </w:tcPr>
          <w:p w14:paraId="5EA20B0C" w14:textId="77777777" w:rsidR="003C66EB" w:rsidRDefault="003C66EB">
            <w:pPr>
              <w:rPr>
                <w:rFonts w:ascii="宋体"/>
              </w:rPr>
            </w:pPr>
          </w:p>
        </w:tc>
        <w:tc>
          <w:tcPr>
            <w:tcW w:w="26" w:type="pct"/>
            <w:shd w:val="clear" w:color="auto" w:fill="auto"/>
          </w:tcPr>
          <w:p w14:paraId="5EA20B0D" w14:textId="77777777" w:rsidR="003C66EB" w:rsidRDefault="003C66EB">
            <w:pPr>
              <w:rPr>
                <w:rFonts w:ascii="宋体"/>
              </w:rPr>
            </w:pPr>
          </w:p>
        </w:tc>
        <w:tc>
          <w:tcPr>
            <w:tcW w:w="5" w:type="pct"/>
            <w:shd w:val="clear" w:color="auto" w:fill="auto"/>
          </w:tcPr>
          <w:p w14:paraId="5EA20B0E" w14:textId="77777777" w:rsidR="003C66EB" w:rsidRDefault="003C66EB">
            <w:pPr>
              <w:rPr>
                <w:rFonts w:ascii="宋体"/>
              </w:rPr>
            </w:pPr>
          </w:p>
        </w:tc>
        <w:tc>
          <w:tcPr>
            <w:tcW w:w="50" w:type="pct"/>
            <w:shd w:val="clear" w:color="auto" w:fill="auto"/>
          </w:tcPr>
          <w:p w14:paraId="5EA20B0F" w14:textId="77777777" w:rsidR="003C66EB" w:rsidRDefault="003C66EB">
            <w:pPr>
              <w:rPr>
                <w:rFonts w:ascii="宋体"/>
              </w:rPr>
            </w:pPr>
          </w:p>
        </w:tc>
        <w:tc>
          <w:tcPr>
            <w:tcW w:w="511" w:type="pct"/>
            <w:shd w:val="clear" w:color="auto" w:fill="auto"/>
          </w:tcPr>
          <w:p w14:paraId="5EA20B10" w14:textId="77777777" w:rsidR="003C66EB" w:rsidRDefault="003C66EB">
            <w:pPr>
              <w:rPr>
                <w:rFonts w:ascii="宋体"/>
              </w:rPr>
            </w:pPr>
          </w:p>
        </w:tc>
        <w:tc>
          <w:tcPr>
            <w:tcW w:w="5" w:type="pct"/>
            <w:shd w:val="clear" w:color="auto" w:fill="auto"/>
          </w:tcPr>
          <w:p w14:paraId="5EA20B11" w14:textId="77777777" w:rsidR="003C66EB" w:rsidRDefault="003C66EB">
            <w:pPr>
              <w:rPr>
                <w:rFonts w:ascii="宋体"/>
              </w:rPr>
            </w:pPr>
          </w:p>
        </w:tc>
        <w:tc>
          <w:tcPr>
            <w:tcW w:w="5" w:type="pct"/>
            <w:shd w:val="clear" w:color="auto" w:fill="auto"/>
          </w:tcPr>
          <w:p w14:paraId="5EA20B12" w14:textId="77777777" w:rsidR="003C66EB" w:rsidRDefault="003C66EB">
            <w:pPr>
              <w:rPr>
                <w:rFonts w:ascii="宋体"/>
              </w:rPr>
            </w:pPr>
          </w:p>
        </w:tc>
        <w:tc>
          <w:tcPr>
            <w:tcW w:w="26" w:type="pct"/>
            <w:shd w:val="clear" w:color="auto" w:fill="auto"/>
          </w:tcPr>
          <w:p w14:paraId="5EA20B13" w14:textId="77777777" w:rsidR="003C66EB" w:rsidRDefault="003C66EB">
            <w:pPr>
              <w:rPr>
                <w:rFonts w:ascii="宋体"/>
              </w:rPr>
            </w:pPr>
          </w:p>
        </w:tc>
        <w:tc>
          <w:tcPr>
            <w:tcW w:w="5" w:type="pct"/>
            <w:shd w:val="clear" w:color="auto" w:fill="auto"/>
          </w:tcPr>
          <w:p w14:paraId="5EA20B14" w14:textId="77777777" w:rsidR="003C66EB" w:rsidRDefault="003C66EB">
            <w:pPr>
              <w:rPr>
                <w:rFonts w:ascii="宋体"/>
              </w:rPr>
            </w:pPr>
          </w:p>
        </w:tc>
        <w:tc>
          <w:tcPr>
            <w:tcW w:w="50" w:type="pct"/>
            <w:shd w:val="clear" w:color="auto" w:fill="auto"/>
          </w:tcPr>
          <w:p w14:paraId="5EA20B15" w14:textId="77777777" w:rsidR="003C66EB" w:rsidRDefault="003C66EB">
            <w:pPr>
              <w:rPr>
                <w:rFonts w:ascii="宋体"/>
              </w:rPr>
            </w:pPr>
          </w:p>
        </w:tc>
        <w:tc>
          <w:tcPr>
            <w:tcW w:w="511" w:type="pct"/>
            <w:shd w:val="clear" w:color="auto" w:fill="auto"/>
          </w:tcPr>
          <w:p w14:paraId="5EA20B16" w14:textId="77777777" w:rsidR="003C66EB" w:rsidRDefault="003C66EB">
            <w:pPr>
              <w:rPr>
                <w:rFonts w:ascii="宋体"/>
              </w:rPr>
            </w:pPr>
          </w:p>
        </w:tc>
        <w:tc>
          <w:tcPr>
            <w:tcW w:w="5" w:type="pct"/>
            <w:shd w:val="clear" w:color="auto" w:fill="auto"/>
          </w:tcPr>
          <w:p w14:paraId="5EA20B17" w14:textId="77777777" w:rsidR="003C66EB" w:rsidRDefault="003C66EB">
            <w:pPr>
              <w:rPr>
                <w:rFonts w:ascii="宋体"/>
              </w:rPr>
            </w:pPr>
          </w:p>
        </w:tc>
        <w:tc>
          <w:tcPr>
            <w:tcW w:w="5" w:type="pct"/>
            <w:shd w:val="clear" w:color="auto" w:fill="auto"/>
          </w:tcPr>
          <w:p w14:paraId="5EA20B18" w14:textId="77777777" w:rsidR="003C66EB" w:rsidRDefault="003C66EB">
            <w:pPr>
              <w:rPr>
                <w:rFonts w:ascii="宋体"/>
              </w:rPr>
            </w:pPr>
          </w:p>
        </w:tc>
        <w:tc>
          <w:tcPr>
            <w:tcW w:w="26" w:type="pct"/>
            <w:shd w:val="clear" w:color="auto" w:fill="auto"/>
          </w:tcPr>
          <w:p w14:paraId="5EA20B19" w14:textId="77777777" w:rsidR="003C66EB" w:rsidRDefault="003C66EB">
            <w:pPr>
              <w:rPr>
                <w:rFonts w:ascii="宋体"/>
              </w:rPr>
            </w:pPr>
          </w:p>
        </w:tc>
        <w:tc>
          <w:tcPr>
            <w:tcW w:w="5" w:type="pct"/>
            <w:shd w:val="clear" w:color="auto" w:fill="auto"/>
          </w:tcPr>
          <w:p w14:paraId="5EA20B1A" w14:textId="77777777" w:rsidR="003C66EB" w:rsidRDefault="003C66EB">
            <w:pPr>
              <w:rPr>
                <w:rFonts w:ascii="宋体"/>
              </w:rPr>
            </w:pPr>
          </w:p>
        </w:tc>
        <w:tc>
          <w:tcPr>
            <w:tcW w:w="50" w:type="pct"/>
            <w:shd w:val="clear" w:color="auto" w:fill="auto"/>
          </w:tcPr>
          <w:p w14:paraId="5EA20B1B" w14:textId="77777777" w:rsidR="003C66EB" w:rsidRDefault="003C66EB">
            <w:pPr>
              <w:rPr>
                <w:rFonts w:ascii="宋体"/>
              </w:rPr>
            </w:pPr>
          </w:p>
        </w:tc>
        <w:tc>
          <w:tcPr>
            <w:tcW w:w="511" w:type="pct"/>
            <w:shd w:val="clear" w:color="auto" w:fill="auto"/>
          </w:tcPr>
          <w:p w14:paraId="5EA20B1C" w14:textId="77777777" w:rsidR="003C66EB" w:rsidRDefault="003C66EB">
            <w:pPr>
              <w:rPr>
                <w:rFonts w:ascii="宋体"/>
              </w:rPr>
            </w:pPr>
          </w:p>
        </w:tc>
        <w:tc>
          <w:tcPr>
            <w:tcW w:w="5" w:type="pct"/>
            <w:shd w:val="clear" w:color="auto" w:fill="auto"/>
          </w:tcPr>
          <w:p w14:paraId="5EA20B1D" w14:textId="77777777" w:rsidR="003C66EB" w:rsidRDefault="003C66EB">
            <w:pPr>
              <w:rPr>
                <w:rFonts w:ascii="宋体"/>
              </w:rPr>
            </w:pPr>
          </w:p>
        </w:tc>
      </w:tr>
      <w:tr w:rsidR="003C66EB" w14:paraId="5EA20B20" w14:textId="77777777">
        <w:tc>
          <w:tcPr>
            <w:tcW w:w="0" w:type="auto"/>
            <w:gridSpan w:val="36"/>
            <w:shd w:val="clear" w:color="auto" w:fill="auto"/>
            <w:tcMar>
              <w:top w:w="40" w:type="dxa"/>
              <w:left w:w="20" w:type="dxa"/>
              <w:bottom w:w="40" w:type="dxa"/>
              <w:right w:w="20" w:type="dxa"/>
            </w:tcMar>
            <w:vAlign w:val="bottom"/>
          </w:tcPr>
          <w:p w14:paraId="5EA20B1F" w14:textId="77777777" w:rsidR="003C66EB" w:rsidRDefault="00D96C4E">
            <w:pPr>
              <w:textAlignment w:val="bottom"/>
            </w:pPr>
            <w:r>
              <w:rPr>
                <w:rFonts w:ascii="Arial" w:eastAsia="宋体" w:hAnsi="Arial" w:cs="Arial"/>
                <w:b/>
                <w:bCs/>
                <w:color w:val="000000"/>
                <w:sz w:val="16"/>
                <w:szCs w:val="16"/>
              </w:rPr>
              <w:t>TABLE 33: NET INTEREST INCOME SENSITIVITY</w:t>
            </w:r>
          </w:p>
        </w:tc>
      </w:tr>
      <w:tr w:rsidR="003C66EB" w14:paraId="5EA20B25" w14:textId="77777777">
        <w:tc>
          <w:tcPr>
            <w:tcW w:w="0" w:type="auto"/>
            <w:gridSpan w:val="3"/>
            <w:shd w:val="clear" w:color="auto" w:fill="auto"/>
            <w:tcMar>
              <w:top w:w="0" w:type="dxa"/>
              <w:left w:w="20" w:type="dxa"/>
              <w:bottom w:w="0" w:type="dxa"/>
              <w:right w:w="20" w:type="dxa"/>
            </w:tcMar>
          </w:tcPr>
          <w:p w14:paraId="5EA20B21"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20B22"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0B23"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20B24" w14:textId="77777777" w:rsidR="003C66EB" w:rsidRDefault="00D96C4E">
            <w:pPr>
              <w:jc w:val="center"/>
              <w:textAlignment w:val="bottom"/>
            </w:pPr>
            <w:r>
              <w:rPr>
                <w:rFonts w:ascii="Arial" w:eastAsia="宋体" w:hAnsi="Arial" w:cs="Arial"/>
                <w:b/>
                <w:bCs/>
                <w:color w:val="000000"/>
                <w:sz w:val="15"/>
                <w:szCs w:val="15"/>
              </w:rPr>
              <w:t> March 31, 2020</w:t>
            </w:r>
            <w:r>
              <w:rPr>
                <w:rFonts w:ascii="Arial" w:eastAsia="宋体" w:hAnsi="Arial" w:cs="Arial"/>
                <w:b/>
                <w:bCs/>
                <w:color w:val="000000"/>
                <w:sz w:val="9"/>
                <w:szCs w:val="9"/>
              </w:rPr>
              <w:t>(1)</w:t>
            </w:r>
          </w:p>
        </w:tc>
      </w:tr>
      <w:tr w:rsidR="003C66EB" w14:paraId="5EA20B32" w14:textId="77777777">
        <w:tc>
          <w:tcPr>
            <w:tcW w:w="0" w:type="auto"/>
            <w:gridSpan w:val="3"/>
            <w:shd w:val="clear" w:color="auto" w:fill="auto"/>
            <w:tcMar>
              <w:top w:w="40" w:type="dxa"/>
              <w:left w:w="20" w:type="dxa"/>
              <w:bottom w:w="40" w:type="dxa"/>
              <w:right w:w="20" w:type="dxa"/>
            </w:tcMar>
            <w:vAlign w:val="bottom"/>
          </w:tcPr>
          <w:p w14:paraId="5EA20B26"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B27" w14:textId="77777777" w:rsidR="003C66EB" w:rsidRDefault="00D96C4E">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5EA20B28"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0B29" w14:textId="77777777" w:rsidR="003C66EB" w:rsidRDefault="00D96C4E">
            <w:pPr>
              <w:jc w:val="center"/>
              <w:textAlignment w:val="bottom"/>
            </w:pPr>
            <w:r>
              <w:rPr>
                <w:rFonts w:ascii="Arial" w:eastAsia="宋体" w:hAnsi="Arial" w:cs="Arial"/>
                <w:b/>
                <w:bCs/>
                <w:color w:val="000000"/>
                <w:sz w:val="15"/>
                <w:szCs w:val="15"/>
              </w:rPr>
              <w:t xml:space="preserve">All </w:t>
            </w:r>
            <w:r>
              <w:rPr>
                <w:rFonts w:ascii="Arial" w:eastAsia="宋体" w:hAnsi="Arial" w:cs="Arial"/>
                <w:b/>
                <w:bCs/>
                <w:color w:val="000000"/>
                <w:sz w:val="15"/>
                <w:szCs w:val="15"/>
              </w:rPr>
              <w:t>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5EA20B2A"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0B2B" w14:textId="77777777" w:rsidR="003C66EB" w:rsidRDefault="00D96C4E">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tcPr>
          <w:p w14:paraId="5EA20B2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B2D" w14:textId="77777777" w:rsidR="003C66EB" w:rsidRDefault="00D96C4E">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5EA20B2E"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0B2F" w14:textId="77777777" w:rsidR="003C66EB" w:rsidRDefault="00D96C4E">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5EA20B30"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0B31" w14:textId="77777777" w:rsidR="003C66EB" w:rsidRDefault="00D96C4E">
            <w:pPr>
              <w:jc w:val="center"/>
              <w:textAlignment w:val="bottom"/>
            </w:pPr>
            <w:r>
              <w:rPr>
                <w:rFonts w:ascii="Arial" w:eastAsia="宋体" w:hAnsi="Arial" w:cs="Arial"/>
                <w:b/>
                <w:bCs/>
                <w:color w:val="000000"/>
                <w:sz w:val="15"/>
                <w:szCs w:val="15"/>
              </w:rPr>
              <w:t>Total</w:t>
            </w:r>
          </w:p>
        </w:tc>
      </w:tr>
      <w:tr w:rsidR="003C66EB" w14:paraId="5EA20B37" w14:textId="77777777">
        <w:tc>
          <w:tcPr>
            <w:tcW w:w="0" w:type="auto"/>
            <w:gridSpan w:val="3"/>
            <w:shd w:val="clear" w:color="auto" w:fill="auto"/>
            <w:tcMar>
              <w:top w:w="40" w:type="dxa"/>
              <w:left w:w="20" w:type="dxa"/>
              <w:bottom w:w="40" w:type="dxa"/>
              <w:right w:w="20" w:type="dxa"/>
            </w:tcMar>
            <w:vAlign w:val="bottom"/>
          </w:tcPr>
          <w:p w14:paraId="5EA20B33" w14:textId="77777777" w:rsidR="003C66EB" w:rsidRDefault="00D96C4E">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0B34" w14:textId="77777777" w:rsidR="003C66EB" w:rsidRDefault="00D96C4E">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Mar>
              <w:top w:w="0" w:type="dxa"/>
              <w:left w:w="20" w:type="dxa"/>
              <w:bottom w:w="0" w:type="dxa"/>
              <w:right w:w="20" w:type="dxa"/>
            </w:tcMar>
          </w:tcPr>
          <w:p w14:paraId="5EA20B35"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0B36" w14:textId="77777777" w:rsidR="003C66EB" w:rsidRDefault="00D96C4E">
            <w:pPr>
              <w:jc w:val="center"/>
              <w:textAlignment w:val="bottom"/>
            </w:pPr>
            <w:r>
              <w:rPr>
                <w:rFonts w:ascii="Arial" w:eastAsia="宋体" w:hAnsi="Arial" w:cs="Arial"/>
                <w:b/>
                <w:bCs/>
                <w:color w:val="000000"/>
                <w:sz w:val="15"/>
                <w:szCs w:val="15"/>
              </w:rPr>
              <w:t>Benefit (Exposure)</w:t>
            </w:r>
          </w:p>
        </w:tc>
      </w:tr>
      <w:tr w:rsidR="003C66EB" w14:paraId="5EA20B44" w14:textId="77777777">
        <w:tc>
          <w:tcPr>
            <w:tcW w:w="0" w:type="auto"/>
            <w:gridSpan w:val="3"/>
            <w:shd w:val="clear" w:color="auto" w:fill="auto"/>
            <w:tcMar>
              <w:top w:w="40" w:type="dxa"/>
              <w:left w:w="20" w:type="dxa"/>
              <w:bottom w:w="40" w:type="dxa"/>
              <w:right w:w="20" w:type="dxa"/>
            </w:tcMar>
            <w:vAlign w:val="bottom"/>
          </w:tcPr>
          <w:p w14:paraId="5EA20B38" w14:textId="77777777" w:rsidR="003C66EB" w:rsidRDefault="00D96C4E">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top w:w="0" w:type="dxa"/>
              <w:left w:w="20" w:type="dxa"/>
              <w:bottom w:w="0" w:type="dxa"/>
              <w:right w:w="20" w:type="dxa"/>
            </w:tcMar>
          </w:tcPr>
          <w:p w14:paraId="5EA20B3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3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3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3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3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B3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3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4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4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4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B43" w14:textId="77777777" w:rsidR="003C66EB" w:rsidRDefault="003C66EB">
            <w:pPr>
              <w:rPr>
                <w:rFonts w:ascii="宋体"/>
              </w:rPr>
            </w:pPr>
          </w:p>
        </w:tc>
      </w:tr>
      <w:tr w:rsidR="003C66EB" w14:paraId="5EA20B5D" w14:textId="77777777">
        <w:tc>
          <w:tcPr>
            <w:tcW w:w="0" w:type="auto"/>
            <w:gridSpan w:val="3"/>
            <w:shd w:val="clear" w:color="auto" w:fill="CCEEFF"/>
            <w:tcMar>
              <w:top w:w="40" w:type="dxa"/>
              <w:left w:w="20" w:type="dxa"/>
              <w:bottom w:w="40" w:type="dxa"/>
              <w:right w:w="20" w:type="dxa"/>
            </w:tcMar>
            <w:vAlign w:val="bottom"/>
          </w:tcPr>
          <w:p w14:paraId="5EA20B45" w14:textId="77777777" w:rsidR="003C66EB" w:rsidRDefault="00D96C4E">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right w:w="0" w:type="dxa"/>
            </w:tcMar>
            <w:vAlign w:val="bottom"/>
          </w:tcPr>
          <w:p w14:paraId="5EA20B46"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B47" w14:textId="77777777" w:rsidR="003C66EB" w:rsidRDefault="00D96C4E">
            <w:pPr>
              <w:jc w:val="right"/>
              <w:textAlignment w:val="bottom"/>
            </w:pPr>
            <w:r>
              <w:rPr>
                <w:rFonts w:ascii="Arial" w:eastAsia="宋体" w:hAnsi="Arial" w:cs="Arial"/>
                <w:b/>
                <w:bCs/>
                <w:color w:val="000000"/>
                <w:sz w:val="15"/>
                <w:szCs w:val="15"/>
              </w:rPr>
              <w:t>805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4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4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B4A"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B4B" w14:textId="77777777" w:rsidR="003C66EB" w:rsidRDefault="00D96C4E">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4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B4E"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0B4F" w14:textId="77777777" w:rsidR="003C66EB" w:rsidRDefault="00D96C4E">
            <w:pPr>
              <w:jc w:val="right"/>
              <w:textAlignment w:val="bottom"/>
            </w:pPr>
            <w:r>
              <w:rPr>
                <w:rFonts w:ascii="Arial" w:eastAsia="宋体" w:hAnsi="Arial" w:cs="Arial"/>
                <w:b/>
                <w:bCs/>
                <w:color w:val="000000"/>
                <w:sz w:val="15"/>
                <w:szCs w:val="15"/>
              </w:rPr>
              <w:t>1,050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5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5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B52"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B53" w14:textId="77777777" w:rsidR="003C66EB" w:rsidRDefault="00D96C4E">
            <w:pPr>
              <w:jc w:val="right"/>
              <w:textAlignment w:val="bottom"/>
            </w:pPr>
            <w:r>
              <w:rPr>
                <w:rFonts w:ascii="Arial" w:eastAsia="宋体" w:hAnsi="Arial" w:cs="Arial"/>
                <w:color w:val="000000"/>
                <w:sz w:val="15"/>
                <w:szCs w:val="15"/>
              </w:rPr>
              <w:t>310 </w:t>
            </w:r>
          </w:p>
        </w:tc>
        <w:tc>
          <w:tcPr>
            <w:tcW w:w="0" w:type="auto"/>
            <w:shd w:val="clear" w:color="auto" w:fill="CCEEFF"/>
            <w:tcMar>
              <w:top w:w="40" w:type="dxa"/>
              <w:left w:w="0" w:type="dxa"/>
              <w:bottom w:w="40" w:type="dxa"/>
              <w:right w:w="20" w:type="dxa"/>
            </w:tcMar>
            <w:vAlign w:val="bottom"/>
          </w:tcPr>
          <w:p w14:paraId="5EA20B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5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B56"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B57" w14:textId="77777777" w:rsidR="003C66EB" w:rsidRDefault="00D96C4E">
            <w:pPr>
              <w:jc w:val="right"/>
              <w:textAlignment w:val="bottom"/>
            </w:pPr>
            <w:r>
              <w:rPr>
                <w:rFonts w:ascii="Arial" w:eastAsia="宋体" w:hAnsi="Arial" w:cs="Arial"/>
                <w:color w:val="000000"/>
                <w:sz w:val="15"/>
                <w:szCs w:val="15"/>
              </w:rPr>
              <w:t>144 </w:t>
            </w:r>
          </w:p>
        </w:tc>
        <w:tc>
          <w:tcPr>
            <w:tcW w:w="0" w:type="auto"/>
            <w:shd w:val="clear" w:color="auto" w:fill="CCEEFF"/>
            <w:tcMar>
              <w:top w:w="40" w:type="dxa"/>
              <w:left w:w="0" w:type="dxa"/>
              <w:bottom w:w="40" w:type="dxa"/>
              <w:right w:w="20" w:type="dxa"/>
            </w:tcMar>
            <w:vAlign w:val="bottom"/>
          </w:tcPr>
          <w:p w14:paraId="5EA20B5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5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B5A"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0B5B" w14:textId="77777777" w:rsidR="003C66EB" w:rsidRDefault="00D96C4E">
            <w:pPr>
              <w:jc w:val="right"/>
              <w:textAlignment w:val="bottom"/>
            </w:pPr>
            <w:r>
              <w:rPr>
                <w:rFonts w:ascii="Arial" w:eastAsia="宋体" w:hAnsi="Arial" w:cs="Arial"/>
                <w:color w:val="000000"/>
                <w:sz w:val="15"/>
                <w:szCs w:val="15"/>
              </w:rPr>
              <w:t>454 </w:t>
            </w:r>
          </w:p>
        </w:tc>
        <w:tc>
          <w:tcPr>
            <w:tcW w:w="0" w:type="auto"/>
            <w:shd w:val="clear" w:color="auto" w:fill="CCEEFF"/>
            <w:tcMar>
              <w:top w:w="40" w:type="dxa"/>
              <w:left w:w="0" w:type="dxa"/>
              <w:bottom w:w="40" w:type="dxa"/>
              <w:right w:w="20" w:type="dxa"/>
            </w:tcMar>
            <w:vAlign w:val="bottom"/>
          </w:tcPr>
          <w:p w14:paraId="5EA20B5C" w14:textId="77777777" w:rsidR="003C66EB" w:rsidRDefault="003C66EB">
            <w:pPr>
              <w:jc w:val="right"/>
              <w:rPr>
                <w:rFonts w:ascii="宋体"/>
              </w:rPr>
            </w:pPr>
          </w:p>
        </w:tc>
      </w:tr>
      <w:tr w:rsidR="003C66EB" w14:paraId="5EA20B70" w14:textId="77777777">
        <w:tc>
          <w:tcPr>
            <w:tcW w:w="0" w:type="auto"/>
            <w:gridSpan w:val="3"/>
            <w:shd w:val="clear" w:color="auto" w:fill="FFFFFF"/>
            <w:tcMar>
              <w:top w:w="40" w:type="dxa"/>
              <w:left w:w="20" w:type="dxa"/>
              <w:bottom w:w="40" w:type="dxa"/>
              <w:right w:w="20" w:type="dxa"/>
            </w:tcMar>
            <w:vAlign w:val="bottom"/>
          </w:tcPr>
          <w:p w14:paraId="5EA20B5E" w14:textId="77777777" w:rsidR="003C66EB" w:rsidRDefault="00D96C4E">
            <w:pPr>
              <w:textAlignment w:val="bottom"/>
            </w:pPr>
            <w:r>
              <w:rPr>
                <w:rFonts w:ascii="Arial" w:eastAsia="宋体" w:hAnsi="Arial" w:cs="Arial"/>
                <w:color w:val="000000"/>
                <w:sz w:val="15"/>
                <w:szCs w:val="15"/>
              </w:rPr>
              <w:t>–100 bps shock</w:t>
            </w:r>
          </w:p>
        </w:tc>
        <w:tc>
          <w:tcPr>
            <w:tcW w:w="0" w:type="auto"/>
            <w:gridSpan w:val="2"/>
            <w:shd w:val="clear" w:color="auto" w:fill="FFFFFF"/>
            <w:tcMar>
              <w:top w:w="40" w:type="dxa"/>
              <w:left w:w="20" w:type="dxa"/>
              <w:bottom w:w="40" w:type="dxa"/>
              <w:right w:w="0" w:type="dxa"/>
            </w:tcMar>
            <w:vAlign w:val="bottom"/>
          </w:tcPr>
          <w:p w14:paraId="5EA20B5F" w14:textId="77777777" w:rsidR="003C66EB" w:rsidRDefault="00D96C4E">
            <w:pPr>
              <w:jc w:val="right"/>
              <w:textAlignment w:val="bottom"/>
            </w:pPr>
            <w:r>
              <w:rPr>
                <w:rFonts w:ascii="Arial" w:eastAsia="宋体" w:hAnsi="Arial" w:cs="Arial"/>
                <w:b/>
                <w:bCs/>
                <w:color w:val="000000"/>
                <w:sz w:val="15"/>
                <w:szCs w:val="15"/>
              </w:rPr>
              <w:t>493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B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6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62" w14:textId="77777777" w:rsidR="003C66EB" w:rsidRDefault="00D96C4E">
            <w:pPr>
              <w:jc w:val="right"/>
              <w:textAlignment w:val="bottom"/>
            </w:pPr>
            <w:r>
              <w:rPr>
                <w:rFonts w:ascii="Arial" w:eastAsia="宋体" w:hAnsi="Arial" w:cs="Arial"/>
                <w:b/>
                <w:bCs/>
                <w:color w:val="000000"/>
                <w:sz w:val="15"/>
                <w:szCs w:val="15"/>
              </w:rPr>
              <w:t>129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B6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6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65" w14:textId="77777777" w:rsidR="003C66EB" w:rsidRDefault="00D96C4E">
            <w:pPr>
              <w:jc w:val="right"/>
              <w:textAlignment w:val="bottom"/>
            </w:pPr>
            <w:r>
              <w:rPr>
                <w:rFonts w:ascii="Arial" w:eastAsia="宋体" w:hAnsi="Arial" w:cs="Arial"/>
                <w:b/>
                <w:bCs/>
                <w:color w:val="000000"/>
                <w:sz w:val="15"/>
                <w:szCs w:val="15"/>
              </w:rPr>
              <w:t>622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B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6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68" w14:textId="77777777" w:rsidR="003C66EB" w:rsidRDefault="00D96C4E">
            <w:pPr>
              <w:jc w:val="right"/>
              <w:textAlignment w:val="bottom"/>
            </w:pPr>
            <w:r>
              <w:rPr>
                <w:rFonts w:ascii="Arial" w:eastAsia="宋体" w:hAnsi="Arial" w:cs="Arial"/>
                <w:color w:val="000000"/>
                <w:sz w:val="15"/>
                <w:szCs w:val="15"/>
              </w:rPr>
              <w:t>571 </w:t>
            </w:r>
          </w:p>
        </w:tc>
        <w:tc>
          <w:tcPr>
            <w:tcW w:w="0" w:type="auto"/>
            <w:shd w:val="clear" w:color="auto" w:fill="FFFFFF"/>
            <w:tcMar>
              <w:top w:w="40" w:type="dxa"/>
              <w:left w:w="0" w:type="dxa"/>
              <w:bottom w:w="40" w:type="dxa"/>
              <w:right w:w="20" w:type="dxa"/>
            </w:tcMar>
            <w:vAlign w:val="bottom"/>
          </w:tcPr>
          <w:p w14:paraId="5EA20B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6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6B" w14:textId="77777777" w:rsidR="003C66EB" w:rsidRDefault="00D96C4E">
            <w:pPr>
              <w:jc w:val="right"/>
              <w:textAlignment w:val="bottom"/>
            </w:pPr>
            <w:r>
              <w:rPr>
                <w:rFonts w:ascii="Arial" w:eastAsia="宋体" w:hAnsi="Arial" w:cs="Arial"/>
                <w:color w:val="000000"/>
                <w:sz w:val="15"/>
                <w:szCs w:val="15"/>
              </w:rPr>
              <w:t>176 </w:t>
            </w:r>
          </w:p>
        </w:tc>
        <w:tc>
          <w:tcPr>
            <w:tcW w:w="0" w:type="auto"/>
            <w:shd w:val="clear" w:color="auto" w:fill="FFFFFF"/>
            <w:tcMar>
              <w:top w:w="40" w:type="dxa"/>
              <w:left w:w="0" w:type="dxa"/>
              <w:bottom w:w="40" w:type="dxa"/>
              <w:right w:w="20" w:type="dxa"/>
            </w:tcMar>
            <w:vAlign w:val="bottom"/>
          </w:tcPr>
          <w:p w14:paraId="5EA20B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6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6E" w14:textId="77777777" w:rsidR="003C66EB" w:rsidRDefault="00D96C4E">
            <w:pPr>
              <w:jc w:val="right"/>
              <w:textAlignment w:val="bottom"/>
            </w:pPr>
            <w:r>
              <w:rPr>
                <w:rFonts w:ascii="Arial" w:eastAsia="宋体" w:hAnsi="Arial" w:cs="Arial"/>
                <w:color w:val="000000"/>
                <w:sz w:val="15"/>
                <w:szCs w:val="15"/>
              </w:rPr>
              <w:t>747 </w:t>
            </w:r>
          </w:p>
        </w:tc>
        <w:tc>
          <w:tcPr>
            <w:tcW w:w="0" w:type="auto"/>
            <w:shd w:val="clear" w:color="auto" w:fill="FFFFFF"/>
            <w:tcMar>
              <w:top w:w="40" w:type="dxa"/>
              <w:left w:w="0" w:type="dxa"/>
              <w:bottom w:w="40" w:type="dxa"/>
              <w:right w:w="20" w:type="dxa"/>
            </w:tcMar>
            <w:vAlign w:val="bottom"/>
          </w:tcPr>
          <w:p w14:paraId="5EA20B6F" w14:textId="77777777" w:rsidR="003C66EB" w:rsidRDefault="003C66EB">
            <w:pPr>
              <w:jc w:val="right"/>
              <w:rPr>
                <w:rFonts w:ascii="宋体"/>
              </w:rPr>
            </w:pPr>
          </w:p>
        </w:tc>
      </w:tr>
      <w:tr w:rsidR="003C66EB" w14:paraId="5EA20B7D" w14:textId="77777777">
        <w:tc>
          <w:tcPr>
            <w:tcW w:w="0" w:type="auto"/>
            <w:gridSpan w:val="3"/>
            <w:shd w:val="clear" w:color="auto" w:fill="CCEEFF"/>
            <w:tcMar>
              <w:top w:w="40" w:type="dxa"/>
              <w:left w:w="20" w:type="dxa"/>
              <w:bottom w:w="40" w:type="dxa"/>
              <w:right w:w="20" w:type="dxa"/>
            </w:tcMar>
            <w:vAlign w:val="bottom"/>
          </w:tcPr>
          <w:p w14:paraId="5EA20B71" w14:textId="77777777" w:rsidR="003C66EB" w:rsidRDefault="00D96C4E">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top w:w="0" w:type="dxa"/>
              <w:left w:w="20" w:type="dxa"/>
              <w:bottom w:w="0" w:type="dxa"/>
              <w:right w:w="20" w:type="dxa"/>
            </w:tcMar>
          </w:tcPr>
          <w:p w14:paraId="5EA20B7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B7C" w14:textId="77777777" w:rsidR="003C66EB" w:rsidRDefault="003C66EB">
            <w:pPr>
              <w:rPr>
                <w:rFonts w:ascii="宋体"/>
              </w:rPr>
            </w:pPr>
          </w:p>
        </w:tc>
      </w:tr>
      <w:tr w:rsidR="003C66EB" w14:paraId="5EA20B90" w14:textId="77777777">
        <w:tc>
          <w:tcPr>
            <w:tcW w:w="0" w:type="auto"/>
            <w:gridSpan w:val="3"/>
            <w:shd w:val="clear" w:color="auto" w:fill="auto"/>
            <w:tcMar>
              <w:top w:w="40" w:type="dxa"/>
              <w:left w:w="20" w:type="dxa"/>
              <w:bottom w:w="40" w:type="dxa"/>
              <w:right w:w="20" w:type="dxa"/>
            </w:tcMar>
            <w:vAlign w:val="bottom"/>
          </w:tcPr>
          <w:p w14:paraId="5EA20B7E" w14:textId="77777777" w:rsidR="003C66EB" w:rsidRDefault="00D96C4E">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0B7F" w14:textId="77777777" w:rsidR="003C66EB" w:rsidRDefault="00D96C4E">
            <w:pPr>
              <w:jc w:val="right"/>
              <w:textAlignment w:val="bottom"/>
            </w:pPr>
            <w:r>
              <w:rPr>
                <w:rFonts w:ascii="Arial" w:eastAsia="宋体" w:hAnsi="Arial" w:cs="Arial"/>
                <w:b/>
                <w:bCs/>
                <w:color w:val="000000"/>
                <w:sz w:val="15"/>
                <w:szCs w:val="15"/>
              </w:rPr>
              <w:t>154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B8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8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82"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B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8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85" w14:textId="77777777" w:rsidR="003C66EB" w:rsidRDefault="00D96C4E">
            <w:pPr>
              <w:jc w:val="right"/>
              <w:textAlignment w:val="bottom"/>
            </w:pPr>
            <w:r>
              <w:rPr>
                <w:rFonts w:ascii="Arial" w:eastAsia="宋体" w:hAnsi="Arial" w:cs="Arial"/>
                <w:b/>
                <w:bCs/>
                <w:color w:val="000000"/>
                <w:sz w:val="15"/>
                <w:szCs w:val="15"/>
              </w:rPr>
              <w:t>156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0B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88" w14:textId="77777777" w:rsidR="003C66EB" w:rsidRDefault="00D96C4E">
            <w:pPr>
              <w:jc w:val="right"/>
              <w:textAlignment w:val="bottom"/>
            </w:pPr>
            <w:r>
              <w:rPr>
                <w:rFonts w:ascii="Arial" w:eastAsia="宋体" w:hAnsi="Arial" w:cs="Arial"/>
                <w:color w:val="000000"/>
                <w:sz w:val="15"/>
                <w:szCs w:val="15"/>
              </w:rPr>
              <w:t>172 </w:t>
            </w:r>
          </w:p>
        </w:tc>
        <w:tc>
          <w:tcPr>
            <w:tcW w:w="0" w:type="auto"/>
            <w:shd w:val="clear" w:color="auto" w:fill="FFFFFF"/>
            <w:tcMar>
              <w:top w:w="40" w:type="dxa"/>
              <w:left w:w="0" w:type="dxa"/>
              <w:bottom w:w="40" w:type="dxa"/>
              <w:right w:w="20" w:type="dxa"/>
            </w:tcMar>
            <w:vAlign w:val="bottom"/>
          </w:tcPr>
          <w:p w14:paraId="5EA20B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8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8B" w14:textId="77777777" w:rsidR="003C66EB" w:rsidRDefault="00D96C4E">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5EA20B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8E" w14:textId="77777777" w:rsidR="003C66EB" w:rsidRDefault="00D96C4E">
            <w:pPr>
              <w:jc w:val="right"/>
              <w:textAlignment w:val="bottom"/>
            </w:pPr>
            <w:r>
              <w:rPr>
                <w:rFonts w:ascii="Arial" w:eastAsia="宋体" w:hAnsi="Arial" w:cs="Arial"/>
                <w:color w:val="000000"/>
                <w:sz w:val="15"/>
                <w:szCs w:val="15"/>
              </w:rPr>
              <w:t>182 </w:t>
            </w:r>
          </w:p>
        </w:tc>
        <w:tc>
          <w:tcPr>
            <w:tcW w:w="0" w:type="auto"/>
            <w:shd w:val="clear" w:color="auto" w:fill="FFFFFF"/>
            <w:tcMar>
              <w:top w:w="40" w:type="dxa"/>
              <w:left w:w="0" w:type="dxa"/>
              <w:bottom w:w="40" w:type="dxa"/>
              <w:right w:w="20" w:type="dxa"/>
            </w:tcMar>
            <w:vAlign w:val="bottom"/>
          </w:tcPr>
          <w:p w14:paraId="5EA20B8F" w14:textId="77777777" w:rsidR="003C66EB" w:rsidRDefault="003C66EB">
            <w:pPr>
              <w:jc w:val="right"/>
              <w:rPr>
                <w:rFonts w:ascii="宋体"/>
              </w:rPr>
            </w:pPr>
          </w:p>
        </w:tc>
      </w:tr>
      <w:tr w:rsidR="003C66EB" w14:paraId="5EA20BA3" w14:textId="77777777">
        <w:tc>
          <w:tcPr>
            <w:tcW w:w="0" w:type="auto"/>
            <w:gridSpan w:val="3"/>
            <w:shd w:val="clear" w:color="auto" w:fill="CCEEFF"/>
            <w:tcMar>
              <w:top w:w="40" w:type="dxa"/>
              <w:left w:w="20" w:type="dxa"/>
              <w:bottom w:w="40" w:type="dxa"/>
              <w:right w:w="20" w:type="dxa"/>
            </w:tcMar>
            <w:vAlign w:val="bottom"/>
          </w:tcPr>
          <w:p w14:paraId="5EA20B91" w14:textId="77777777" w:rsidR="003C66EB" w:rsidRDefault="00D96C4E">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0B92" w14:textId="77777777" w:rsidR="003C66EB" w:rsidRDefault="00D96C4E">
            <w:pPr>
              <w:jc w:val="right"/>
              <w:textAlignment w:val="bottom"/>
            </w:pPr>
            <w:r>
              <w:rPr>
                <w:rFonts w:ascii="Arial" w:eastAsia="宋体" w:hAnsi="Arial" w:cs="Arial"/>
                <w:b/>
                <w:bCs/>
                <w:color w:val="000000"/>
                <w:sz w:val="15"/>
                <w:szCs w:val="15"/>
              </w:rPr>
              <w:t>645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9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95" w14:textId="77777777" w:rsidR="003C66EB" w:rsidRDefault="00D96C4E">
            <w:pPr>
              <w:jc w:val="right"/>
              <w:textAlignment w:val="bottom"/>
            </w:pPr>
            <w:r>
              <w:rPr>
                <w:rFonts w:ascii="Arial" w:eastAsia="宋体" w:hAnsi="Arial" w:cs="Arial"/>
                <w:b/>
                <w:bCs/>
                <w:color w:val="000000"/>
                <w:sz w:val="15"/>
                <w:szCs w:val="15"/>
              </w:rPr>
              <w:t>131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9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98" w14:textId="77777777" w:rsidR="003C66EB" w:rsidRDefault="00D96C4E">
            <w:pPr>
              <w:jc w:val="right"/>
              <w:textAlignment w:val="bottom"/>
            </w:pPr>
            <w:r>
              <w:rPr>
                <w:rFonts w:ascii="Arial" w:eastAsia="宋体" w:hAnsi="Arial" w:cs="Arial"/>
                <w:b/>
                <w:bCs/>
                <w:color w:val="000000"/>
                <w:sz w:val="15"/>
                <w:szCs w:val="15"/>
              </w:rPr>
              <w:t>776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9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9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9B" w14:textId="77777777" w:rsidR="003C66EB" w:rsidRDefault="00D96C4E">
            <w:pPr>
              <w:jc w:val="right"/>
              <w:textAlignment w:val="bottom"/>
            </w:pPr>
            <w:r>
              <w:rPr>
                <w:rFonts w:ascii="Arial" w:eastAsia="宋体" w:hAnsi="Arial" w:cs="Arial"/>
                <w:color w:val="000000"/>
                <w:sz w:val="15"/>
                <w:szCs w:val="15"/>
              </w:rPr>
              <w:t>699 </w:t>
            </w:r>
          </w:p>
        </w:tc>
        <w:tc>
          <w:tcPr>
            <w:tcW w:w="0" w:type="auto"/>
            <w:shd w:val="clear" w:color="auto" w:fill="CCEEFF"/>
            <w:tcMar>
              <w:top w:w="40" w:type="dxa"/>
              <w:left w:w="0" w:type="dxa"/>
              <w:bottom w:w="40" w:type="dxa"/>
              <w:right w:w="20" w:type="dxa"/>
            </w:tcMar>
            <w:vAlign w:val="bottom"/>
          </w:tcPr>
          <w:p w14:paraId="5EA20B9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9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9E" w14:textId="77777777" w:rsidR="003C66EB" w:rsidRDefault="00D96C4E">
            <w:pPr>
              <w:jc w:val="right"/>
              <w:textAlignment w:val="bottom"/>
            </w:pPr>
            <w:r>
              <w:rPr>
                <w:rFonts w:ascii="Arial" w:eastAsia="宋体" w:hAnsi="Arial" w:cs="Arial"/>
                <w:color w:val="000000"/>
                <w:sz w:val="15"/>
                <w:szCs w:val="15"/>
              </w:rPr>
              <w:t>186 </w:t>
            </w:r>
          </w:p>
        </w:tc>
        <w:tc>
          <w:tcPr>
            <w:tcW w:w="0" w:type="auto"/>
            <w:shd w:val="clear" w:color="auto" w:fill="CCEEFF"/>
            <w:tcMar>
              <w:top w:w="40" w:type="dxa"/>
              <w:left w:w="0" w:type="dxa"/>
              <w:bottom w:w="40" w:type="dxa"/>
              <w:right w:w="20" w:type="dxa"/>
            </w:tcMar>
            <w:vAlign w:val="bottom"/>
          </w:tcPr>
          <w:p w14:paraId="5EA20B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A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A1" w14:textId="77777777" w:rsidR="003C66EB" w:rsidRDefault="00D96C4E">
            <w:pPr>
              <w:jc w:val="right"/>
              <w:textAlignment w:val="bottom"/>
            </w:pPr>
            <w:r>
              <w:rPr>
                <w:rFonts w:ascii="Arial" w:eastAsia="宋体" w:hAnsi="Arial" w:cs="Arial"/>
                <w:color w:val="000000"/>
                <w:sz w:val="15"/>
                <w:szCs w:val="15"/>
              </w:rPr>
              <w:t>885 </w:t>
            </w:r>
          </w:p>
        </w:tc>
        <w:tc>
          <w:tcPr>
            <w:tcW w:w="0" w:type="auto"/>
            <w:shd w:val="clear" w:color="auto" w:fill="CCEEFF"/>
            <w:tcMar>
              <w:top w:w="40" w:type="dxa"/>
              <w:left w:w="0" w:type="dxa"/>
              <w:bottom w:w="40" w:type="dxa"/>
              <w:right w:w="20" w:type="dxa"/>
            </w:tcMar>
            <w:vAlign w:val="bottom"/>
          </w:tcPr>
          <w:p w14:paraId="5EA20BA2" w14:textId="77777777" w:rsidR="003C66EB" w:rsidRDefault="003C66EB">
            <w:pPr>
              <w:jc w:val="right"/>
              <w:rPr>
                <w:rFonts w:ascii="宋体"/>
              </w:rPr>
            </w:pPr>
          </w:p>
        </w:tc>
      </w:tr>
      <w:tr w:rsidR="003C66EB" w14:paraId="5EA20BB0" w14:textId="77777777">
        <w:tc>
          <w:tcPr>
            <w:tcW w:w="0" w:type="auto"/>
            <w:gridSpan w:val="3"/>
            <w:shd w:val="clear" w:color="auto" w:fill="FFFFFF"/>
            <w:tcMar>
              <w:top w:w="40" w:type="dxa"/>
              <w:left w:w="20" w:type="dxa"/>
              <w:bottom w:w="40" w:type="dxa"/>
              <w:right w:w="20" w:type="dxa"/>
            </w:tcMar>
            <w:vAlign w:val="bottom"/>
          </w:tcPr>
          <w:p w14:paraId="5EA20BA4" w14:textId="77777777" w:rsidR="003C66EB" w:rsidRDefault="00D96C4E">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top w:w="0" w:type="dxa"/>
              <w:left w:w="20" w:type="dxa"/>
              <w:bottom w:w="0" w:type="dxa"/>
              <w:right w:w="20" w:type="dxa"/>
            </w:tcMar>
          </w:tcPr>
          <w:p w14:paraId="5EA20BA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BAF" w14:textId="77777777" w:rsidR="003C66EB" w:rsidRDefault="003C66EB">
            <w:pPr>
              <w:rPr>
                <w:rFonts w:ascii="宋体"/>
              </w:rPr>
            </w:pPr>
          </w:p>
        </w:tc>
      </w:tr>
      <w:tr w:rsidR="003C66EB" w14:paraId="5EA20BC3" w14:textId="77777777">
        <w:tc>
          <w:tcPr>
            <w:tcW w:w="0" w:type="auto"/>
            <w:gridSpan w:val="3"/>
            <w:shd w:val="clear" w:color="auto" w:fill="CCEEFF"/>
            <w:tcMar>
              <w:top w:w="40" w:type="dxa"/>
              <w:left w:w="20" w:type="dxa"/>
              <w:bottom w:w="40" w:type="dxa"/>
              <w:right w:w="20" w:type="dxa"/>
            </w:tcMar>
            <w:vAlign w:val="bottom"/>
          </w:tcPr>
          <w:p w14:paraId="5EA20BB1" w14:textId="77777777" w:rsidR="003C66EB" w:rsidRDefault="00D96C4E">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0BB2" w14:textId="77777777" w:rsidR="003C66EB" w:rsidRDefault="00D96C4E">
            <w:pPr>
              <w:jc w:val="right"/>
              <w:textAlignment w:val="bottom"/>
            </w:pPr>
            <w:r>
              <w:rPr>
                <w:rFonts w:ascii="Arial" w:eastAsia="宋体" w:hAnsi="Arial" w:cs="Arial"/>
                <w:b/>
                <w:bCs/>
                <w:color w:val="000000"/>
                <w:sz w:val="15"/>
                <w:szCs w:val="15"/>
              </w:rPr>
              <w:t>659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B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B5" w14:textId="77777777" w:rsidR="003C66EB" w:rsidRDefault="00D96C4E">
            <w:pPr>
              <w:jc w:val="right"/>
              <w:textAlignment w:val="bottom"/>
            </w:pPr>
            <w:r>
              <w:rPr>
                <w:rFonts w:ascii="Arial" w:eastAsia="宋体" w:hAnsi="Arial" w:cs="Arial"/>
                <w:b/>
                <w:bCs/>
                <w:color w:val="000000"/>
                <w:sz w:val="15"/>
                <w:szCs w:val="15"/>
              </w:rPr>
              <w:t>244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B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B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B8" w14:textId="77777777" w:rsidR="003C66EB" w:rsidRDefault="00D96C4E">
            <w:pPr>
              <w:jc w:val="right"/>
              <w:textAlignment w:val="bottom"/>
            </w:pPr>
            <w:r>
              <w:rPr>
                <w:rFonts w:ascii="Arial" w:eastAsia="宋体" w:hAnsi="Arial" w:cs="Arial"/>
                <w:b/>
                <w:bCs/>
                <w:color w:val="000000"/>
                <w:sz w:val="15"/>
                <w:szCs w:val="15"/>
              </w:rPr>
              <w:t>903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0B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B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BB" w14:textId="77777777" w:rsidR="003C66EB" w:rsidRDefault="00D96C4E">
            <w:pPr>
              <w:jc w:val="right"/>
              <w:textAlignment w:val="bottom"/>
            </w:pPr>
            <w:r>
              <w:rPr>
                <w:rFonts w:ascii="Arial" w:eastAsia="宋体" w:hAnsi="Arial" w:cs="Arial"/>
                <w:color w:val="000000"/>
                <w:sz w:val="15"/>
                <w:szCs w:val="15"/>
              </w:rPr>
              <w:t>151 </w:t>
            </w:r>
          </w:p>
        </w:tc>
        <w:tc>
          <w:tcPr>
            <w:tcW w:w="0" w:type="auto"/>
            <w:shd w:val="clear" w:color="auto" w:fill="CCEEFF"/>
            <w:tcMar>
              <w:top w:w="40" w:type="dxa"/>
              <w:left w:w="0" w:type="dxa"/>
              <w:bottom w:w="40" w:type="dxa"/>
              <w:right w:w="20" w:type="dxa"/>
            </w:tcMar>
            <w:vAlign w:val="bottom"/>
          </w:tcPr>
          <w:p w14:paraId="5EA20B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B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BE" w14:textId="77777777" w:rsidR="003C66EB" w:rsidRDefault="00D96C4E">
            <w:pPr>
              <w:jc w:val="right"/>
              <w:textAlignment w:val="bottom"/>
            </w:pPr>
            <w:r>
              <w:rPr>
                <w:rFonts w:ascii="Arial" w:eastAsia="宋体" w:hAnsi="Arial" w:cs="Arial"/>
                <w:color w:val="000000"/>
                <w:sz w:val="15"/>
                <w:szCs w:val="15"/>
              </w:rPr>
              <w:t>144 </w:t>
            </w:r>
          </w:p>
        </w:tc>
        <w:tc>
          <w:tcPr>
            <w:tcW w:w="0" w:type="auto"/>
            <w:shd w:val="clear" w:color="auto" w:fill="CCEEFF"/>
            <w:tcMar>
              <w:top w:w="40" w:type="dxa"/>
              <w:left w:w="0" w:type="dxa"/>
              <w:bottom w:w="40" w:type="dxa"/>
              <w:right w:w="20" w:type="dxa"/>
            </w:tcMar>
            <w:vAlign w:val="bottom"/>
          </w:tcPr>
          <w:p w14:paraId="5EA20B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BC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BC1" w14:textId="77777777" w:rsidR="003C66EB" w:rsidRDefault="00D96C4E">
            <w:pPr>
              <w:jc w:val="right"/>
              <w:textAlignment w:val="bottom"/>
            </w:pPr>
            <w:r>
              <w:rPr>
                <w:rFonts w:ascii="Arial" w:eastAsia="宋体" w:hAnsi="Arial" w:cs="Arial"/>
                <w:color w:val="000000"/>
                <w:sz w:val="15"/>
                <w:szCs w:val="15"/>
              </w:rPr>
              <w:t>295 </w:t>
            </w:r>
          </w:p>
        </w:tc>
        <w:tc>
          <w:tcPr>
            <w:tcW w:w="0" w:type="auto"/>
            <w:shd w:val="clear" w:color="auto" w:fill="CCEEFF"/>
            <w:tcMar>
              <w:top w:w="40" w:type="dxa"/>
              <w:left w:w="0" w:type="dxa"/>
              <w:bottom w:w="40" w:type="dxa"/>
              <w:right w:w="20" w:type="dxa"/>
            </w:tcMar>
            <w:vAlign w:val="bottom"/>
          </w:tcPr>
          <w:p w14:paraId="5EA20BC2" w14:textId="77777777" w:rsidR="003C66EB" w:rsidRDefault="003C66EB">
            <w:pPr>
              <w:jc w:val="right"/>
              <w:rPr>
                <w:rFonts w:ascii="宋体"/>
              </w:rPr>
            </w:pPr>
          </w:p>
        </w:tc>
      </w:tr>
      <w:tr w:rsidR="003C66EB" w14:paraId="5EA20BD6" w14:textId="77777777">
        <w:tc>
          <w:tcPr>
            <w:tcW w:w="0" w:type="auto"/>
            <w:gridSpan w:val="3"/>
            <w:shd w:val="clear" w:color="auto" w:fill="FFFFFF"/>
            <w:tcMar>
              <w:top w:w="40" w:type="dxa"/>
              <w:left w:w="20" w:type="dxa"/>
              <w:bottom w:w="40" w:type="dxa"/>
              <w:right w:w="20" w:type="dxa"/>
            </w:tcMar>
            <w:vAlign w:val="bottom"/>
          </w:tcPr>
          <w:p w14:paraId="5EA20BC4" w14:textId="77777777" w:rsidR="003C66EB" w:rsidRDefault="00D96C4E">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0BC5" w14:textId="77777777" w:rsidR="003C66EB" w:rsidRDefault="00D96C4E">
            <w:pPr>
              <w:jc w:val="right"/>
              <w:textAlignment w:val="bottom"/>
            </w:pPr>
            <w:r>
              <w:rPr>
                <w:rFonts w:ascii="Arial" w:eastAsia="宋体" w:hAnsi="Arial" w:cs="Arial"/>
                <w:b/>
                <w:bCs/>
                <w:color w:val="000000"/>
                <w:sz w:val="15"/>
                <w:szCs w:val="15"/>
              </w:rPr>
              <w:t>(142)</w:t>
            </w:r>
          </w:p>
        </w:tc>
        <w:tc>
          <w:tcPr>
            <w:tcW w:w="0" w:type="auto"/>
            <w:shd w:val="clear" w:color="auto" w:fill="FFFFFF"/>
            <w:tcMar>
              <w:top w:w="40" w:type="dxa"/>
              <w:left w:w="0" w:type="dxa"/>
              <w:bottom w:w="40" w:type="dxa"/>
              <w:right w:w="20" w:type="dxa"/>
            </w:tcMar>
            <w:vAlign w:val="bottom"/>
          </w:tcPr>
          <w:p w14:paraId="5EA20BC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C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C8" w14:textId="77777777" w:rsidR="003C66EB" w:rsidRDefault="00D96C4E">
            <w:pPr>
              <w:jc w:val="right"/>
              <w:textAlignment w:val="bottom"/>
            </w:pPr>
            <w:r>
              <w:rPr>
                <w:rFonts w:ascii="Arial" w:eastAsia="宋体" w:hAnsi="Arial" w:cs="Arial"/>
                <w:b/>
                <w:bCs/>
                <w:color w:val="000000"/>
                <w:sz w:val="15"/>
                <w:szCs w:val="15"/>
              </w:rPr>
              <w:t>(2)</w:t>
            </w:r>
          </w:p>
        </w:tc>
        <w:tc>
          <w:tcPr>
            <w:tcW w:w="0" w:type="auto"/>
            <w:shd w:val="clear" w:color="auto" w:fill="FFFFFF"/>
            <w:tcMar>
              <w:top w:w="40" w:type="dxa"/>
              <w:left w:w="0" w:type="dxa"/>
              <w:bottom w:w="40" w:type="dxa"/>
              <w:right w:w="20" w:type="dxa"/>
            </w:tcMar>
            <w:vAlign w:val="bottom"/>
          </w:tcPr>
          <w:p w14:paraId="5EA20BC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C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CB" w14:textId="77777777" w:rsidR="003C66EB" w:rsidRDefault="00D96C4E">
            <w:pPr>
              <w:jc w:val="right"/>
              <w:textAlignment w:val="bottom"/>
            </w:pPr>
            <w:r>
              <w:rPr>
                <w:rFonts w:ascii="Arial" w:eastAsia="宋体" w:hAnsi="Arial" w:cs="Arial"/>
                <w:b/>
                <w:bCs/>
                <w:color w:val="000000"/>
                <w:sz w:val="15"/>
                <w:szCs w:val="15"/>
              </w:rPr>
              <w:t>(144)</w:t>
            </w:r>
          </w:p>
        </w:tc>
        <w:tc>
          <w:tcPr>
            <w:tcW w:w="0" w:type="auto"/>
            <w:shd w:val="clear" w:color="auto" w:fill="FFFFFF"/>
            <w:tcMar>
              <w:top w:w="40" w:type="dxa"/>
              <w:left w:w="0" w:type="dxa"/>
              <w:bottom w:w="40" w:type="dxa"/>
              <w:right w:w="20" w:type="dxa"/>
            </w:tcMar>
            <w:vAlign w:val="bottom"/>
          </w:tcPr>
          <w:p w14:paraId="5EA20BC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C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CE" w14:textId="77777777" w:rsidR="003C66EB" w:rsidRDefault="00D96C4E">
            <w:pPr>
              <w:jc w:val="right"/>
              <w:textAlignment w:val="bottom"/>
            </w:pPr>
            <w:r>
              <w:rPr>
                <w:rFonts w:ascii="Arial" w:eastAsia="宋体" w:hAnsi="Arial" w:cs="Arial"/>
                <w:color w:val="000000"/>
                <w:sz w:val="15"/>
                <w:szCs w:val="15"/>
              </w:rPr>
              <w:t>(125)</w:t>
            </w:r>
          </w:p>
        </w:tc>
        <w:tc>
          <w:tcPr>
            <w:tcW w:w="0" w:type="auto"/>
            <w:shd w:val="clear" w:color="auto" w:fill="FFFFFF"/>
            <w:tcMar>
              <w:top w:w="40" w:type="dxa"/>
              <w:left w:w="0" w:type="dxa"/>
              <w:bottom w:w="40" w:type="dxa"/>
              <w:right w:w="20" w:type="dxa"/>
            </w:tcMar>
            <w:vAlign w:val="bottom"/>
          </w:tcPr>
          <w:p w14:paraId="5EA20BC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D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D1" w14:textId="77777777" w:rsidR="003C66EB" w:rsidRDefault="00D96C4E">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5EA20BD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BD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BD4" w14:textId="77777777" w:rsidR="003C66EB" w:rsidRDefault="00D96C4E">
            <w:pPr>
              <w:jc w:val="right"/>
              <w:textAlignment w:val="bottom"/>
            </w:pPr>
            <w:r>
              <w:rPr>
                <w:rFonts w:ascii="Arial" w:eastAsia="宋体" w:hAnsi="Arial" w:cs="Arial"/>
                <w:color w:val="000000"/>
                <w:sz w:val="15"/>
                <w:szCs w:val="15"/>
              </w:rPr>
              <w:t>(135)</w:t>
            </w:r>
          </w:p>
        </w:tc>
        <w:tc>
          <w:tcPr>
            <w:tcW w:w="0" w:type="auto"/>
            <w:shd w:val="clear" w:color="auto" w:fill="FFFFFF"/>
            <w:tcMar>
              <w:top w:w="40" w:type="dxa"/>
              <w:left w:w="0" w:type="dxa"/>
              <w:bottom w:w="40" w:type="dxa"/>
              <w:right w:w="20" w:type="dxa"/>
            </w:tcMar>
            <w:vAlign w:val="bottom"/>
          </w:tcPr>
          <w:p w14:paraId="5EA20BD5" w14:textId="77777777" w:rsidR="003C66EB" w:rsidRDefault="003C66EB">
            <w:pPr>
              <w:jc w:val="right"/>
              <w:rPr>
                <w:rFonts w:ascii="宋体"/>
              </w:rPr>
            </w:pPr>
          </w:p>
        </w:tc>
      </w:tr>
    </w:tbl>
    <w:p w14:paraId="5EA20BD7"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3C66EB" w14:paraId="5EA20BE1" w14:textId="77777777">
        <w:tc>
          <w:tcPr>
            <w:tcW w:w="50" w:type="pct"/>
            <w:shd w:val="clear" w:color="auto" w:fill="auto"/>
          </w:tcPr>
          <w:p w14:paraId="5EA20BD8" w14:textId="77777777" w:rsidR="003C66EB" w:rsidRDefault="003C66EB">
            <w:pPr>
              <w:rPr>
                <w:rFonts w:ascii="宋体"/>
              </w:rPr>
            </w:pPr>
          </w:p>
        </w:tc>
        <w:tc>
          <w:tcPr>
            <w:tcW w:w="1348" w:type="pct"/>
            <w:shd w:val="clear" w:color="auto" w:fill="auto"/>
          </w:tcPr>
          <w:p w14:paraId="5EA20BD9" w14:textId="77777777" w:rsidR="003C66EB" w:rsidRDefault="003C66EB">
            <w:pPr>
              <w:rPr>
                <w:rFonts w:ascii="宋体"/>
              </w:rPr>
            </w:pPr>
          </w:p>
        </w:tc>
        <w:tc>
          <w:tcPr>
            <w:tcW w:w="5" w:type="pct"/>
            <w:shd w:val="clear" w:color="auto" w:fill="auto"/>
          </w:tcPr>
          <w:p w14:paraId="5EA20BDA" w14:textId="77777777" w:rsidR="003C66EB" w:rsidRDefault="003C66EB">
            <w:pPr>
              <w:rPr>
                <w:rFonts w:ascii="宋体"/>
              </w:rPr>
            </w:pPr>
          </w:p>
        </w:tc>
        <w:tc>
          <w:tcPr>
            <w:tcW w:w="50" w:type="pct"/>
            <w:shd w:val="clear" w:color="auto" w:fill="auto"/>
          </w:tcPr>
          <w:p w14:paraId="5EA20BDB" w14:textId="77777777" w:rsidR="003C66EB" w:rsidRDefault="003C66EB">
            <w:pPr>
              <w:rPr>
                <w:rFonts w:ascii="宋体"/>
              </w:rPr>
            </w:pPr>
          </w:p>
        </w:tc>
        <w:tc>
          <w:tcPr>
            <w:tcW w:w="1290" w:type="pct"/>
            <w:shd w:val="clear" w:color="auto" w:fill="auto"/>
          </w:tcPr>
          <w:p w14:paraId="5EA20BDC" w14:textId="77777777" w:rsidR="003C66EB" w:rsidRDefault="003C66EB">
            <w:pPr>
              <w:rPr>
                <w:rFonts w:ascii="宋体"/>
              </w:rPr>
            </w:pPr>
          </w:p>
        </w:tc>
        <w:tc>
          <w:tcPr>
            <w:tcW w:w="5" w:type="pct"/>
            <w:shd w:val="clear" w:color="auto" w:fill="auto"/>
          </w:tcPr>
          <w:p w14:paraId="5EA20BDD" w14:textId="77777777" w:rsidR="003C66EB" w:rsidRDefault="003C66EB">
            <w:pPr>
              <w:rPr>
                <w:rFonts w:ascii="宋体"/>
              </w:rPr>
            </w:pPr>
          </w:p>
        </w:tc>
        <w:tc>
          <w:tcPr>
            <w:tcW w:w="50" w:type="pct"/>
            <w:shd w:val="clear" w:color="auto" w:fill="auto"/>
          </w:tcPr>
          <w:p w14:paraId="5EA20BDE" w14:textId="77777777" w:rsidR="003C66EB" w:rsidRDefault="003C66EB">
            <w:pPr>
              <w:rPr>
                <w:rFonts w:ascii="宋体"/>
              </w:rPr>
            </w:pPr>
          </w:p>
        </w:tc>
        <w:tc>
          <w:tcPr>
            <w:tcW w:w="2196" w:type="pct"/>
            <w:shd w:val="clear" w:color="auto" w:fill="auto"/>
          </w:tcPr>
          <w:p w14:paraId="5EA20BDF" w14:textId="77777777" w:rsidR="003C66EB" w:rsidRDefault="003C66EB">
            <w:pPr>
              <w:rPr>
                <w:rFonts w:ascii="宋体"/>
              </w:rPr>
            </w:pPr>
          </w:p>
        </w:tc>
        <w:tc>
          <w:tcPr>
            <w:tcW w:w="5" w:type="pct"/>
            <w:shd w:val="clear" w:color="auto" w:fill="auto"/>
          </w:tcPr>
          <w:p w14:paraId="5EA20BE0" w14:textId="77777777" w:rsidR="003C66EB" w:rsidRDefault="003C66EB">
            <w:pPr>
              <w:rPr>
                <w:rFonts w:ascii="宋体"/>
              </w:rPr>
            </w:pPr>
          </w:p>
        </w:tc>
      </w:tr>
      <w:tr w:rsidR="003C66EB" w14:paraId="5EA20BE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0B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BE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BE4" w14:textId="77777777" w:rsidR="003C66EB" w:rsidRDefault="003C66EB">
            <w:pPr>
              <w:rPr>
                <w:rFonts w:ascii="宋体"/>
              </w:rPr>
            </w:pPr>
          </w:p>
        </w:tc>
      </w:tr>
    </w:tbl>
    <w:p w14:paraId="5EA20BE6" w14:textId="77777777" w:rsidR="003C66EB" w:rsidRDefault="00D96C4E">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March 31, 2020 results using the enhanced modeling approach </w:t>
      </w:r>
      <w:r>
        <w:rPr>
          <w:rFonts w:ascii="Arial" w:eastAsia="宋体" w:hAnsi="Arial" w:cs="Arial"/>
          <w:color w:val="000000"/>
          <w:sz w:val="13"/>
          <w:szCs w:val="13"/>
        </w:rPr>
        <w:t>including negative interest rates for all currencies that was implemented starting with the December 31, 2020 reporting period.</w:t>
      </w:r>
    </w:p>
    <w:p w14:paraId="5EA20BE7" w14:textId="77777777" w:rsidR="003C66EB" w:rsidRDefault="00D96C4E">
      <w:pPr>
        <w:spacing w:before="60"/>
      </w:pPr>
      <w:r>
        <w:rPr>
          <w:rFonts w:ascii="Arial" w:eastAsia="宋体" w:hAnsi="Arial" w:cs="Arial"/>
          <w:color w:val="000000"/>
          <w:sz w:val="8"/>
          <w:szCs w:val="8"/>
        </w:rPr>
        <w:t xml:space="preserve">(2) </w:t>
      </w:r>
      <w:r>
        <w:rPr>
          <w:rFonts w:ascii="Arial" w:eastAsia="宋体" w:hAnsi="Arial" w:cs="Arial"/>
          <w:color w:val="000000"/>
          <w:sz w:val="13"/>
          <w:szCs w:val="13"/>
        </w:rPr>
        <w:t xml:space="preserve">The short-end is 0-3 months. The long-end is 5 years and above. Interim term points are interpolated. </w:t>
      </w:r>
    </w:p>
    <w:p w14:paraId="5EA20BE8" w14:textId="77777777" w:rsidR="003C66EB" w:rsidRDefault="003C66EB">
      <w:pPr>
        <w:ind w:firstLine="450"/>
      </w:pPr>
    </w:p>
    <w:p w14:paraId="5EA20BE9" w14:textId="77777777" w:rsidR="003C66EB" w:rsidRDefault="00D96C4E">
      <w:pPr>
        <w:spacing w:before="60"/>
        <w:ind w:firstLine="450"/>
        <w:jc w:val="both"/>
      </w:pPr>
      <w:r>
        <w:rPr>
          <w:rFonts w:ascii="Arial" w:eastAsia="宋体" w:hAnsi="Arial" w:cs="Arial"/>
          <w:color w:val="000000"/>
          <w:sz w:val="20"/>
          <w:szCs w:val="20"/>
        </w:rPr>
        <w:t>As of March 31, 2021</w:t>
      </w:r>
      <w:r>
        <w:rPr>
          <w:rFonts w:ascii="Arial" w:eastAsia="宋体" w:hAnsi="Arial" w:cs="Arial"/>
          <w:color w:val="000000"/>
          <w:sz w:val="20"/>
          <w:szCs w:val="20"/>
        </w:rPr>
        <w:t xml:space="preserve">, NII is expected to benefit from both parallel increases and decreases in interest rates. Compared to March 31, 2020, our NII is more sensitive to parallel rate increases primarily due to higher forecasted levels of deposits and hedging activity. Our NII </w:t>
      </w:r>
      <w:r>
        <w:rPr>
          <w:rFonts w:ascii="Arial" w:eastAsia="宋体" w:hAnsi="Arial" w:cs="Arial"/>
          <w:color w:val="000000"/>
          <w:sz w:val="20"/>
          <w:szCs w:val="20"/>
        </w:rPr>
        <w:t>benefit from a parallel decline in rates has decreased due to hedging activity and increased floating non-US assets.</w:t>
      </w:r>
    </w:p>
    <w:p w14:paraId="5EA20BEA" w14:textId="77777777" w:rsidR="003C66EB" w:rsidRDefault="00D96C4E">
      <w:pPr>
        <w:spacing w:before="60"/>
        <w:ind w:firstLine="450"/>
        <w:jc w:val="both"/>
      </w:pPr>
      <w:r>
        <w:rPr>
          <w:rFonts w:ascii="Arial" w:eastAsia="宋体" w:hAnsi="Arial" w:cs="Arial"/>
          <w:color w:val="000000"/>
          <w:sz w:val="20"/>
          <w:szCs w:val="20"/>
        </w:rPr>
        <w:t>U.S. dollar NII as of March 31, 2021 is positioned to benefit from both parallel increases and decreases in interest rates. Compared to March 31, 2020, our U.S. dollar NII benefit to higher rates has increased primarily due to higher forecasted levels of d</w:t>
      </w:r>
      <w:r>
        <w:rPr>
          <w:rFonts w:ascii="Arial" w:eastAsia="宋体" w:hAnsi="Arial" w:cs="Arial"/>
          <w:color w:val="000000"/>
          <w:sz w:val="20"/>
          <w:szCs w:val="20"/>
        </w:rPr>
        <w:t>eposits and hedging activity. Compared to March 31, 2020, our U.S. dollar NII benefit to lower rates has modestly declined primarily due to lower hedging activity. We project an NII benefit to a larger upward rate shock of +100bps which assumes deposit rat</w:t>
      </w:r>
      <w:r>
        <w:rPr>
          <w:rFonts w:ascii="Arial" w:eastAsia="宋体" w:hAnsi="Arial" w:cs="Arial"/>
          <w:color w:val="000000"/>
          <w:sz w:val="20"/>
          <w:szCs w:val="20"/>
        </w:rPr>
        <w:t>es lag, and we project an NII benefit from a larger downward rate shock of -100 bps, which assumes negative interest rates and charging interest on client deposits and the effect of contractual floors on loans and securities. NII is also exposed to smaller</w:t>
      </w:r>
      <w:r>
        <w:rPr>
          <w:rFonts w:ascii="Arial" w:eastAsia="宋体" w:hAnsi="Arial" w:cs="Arial"/>
          <w:color w:val="000000"/>
          <w:sz w:val="20"/>
          <w:szCs w:val="20"/>
        </w:rPr>
        <w:t xml:space="preserve"> shocks to short-end U.S. interest rates. If short-end U.S. interest rates increase or (decrease) by 5 bps, we estimate the annualized impact to be approximately $20 million in higher (or lower) NII primarily due to the impact on our sponsored repo activit</w:t>
      </w:r>
      <w:r>
        <w:rPr>
          <w:rFonts w:ascii="Arial" w:eastAsia="宋体" w:hAnsi="Arial" w:cs="Arial"/>
          <w:color w:val="000000"/>
          <w:sz w:val="20"/>
          <w:szCs w:val="20"/>
        </w:rPr>
        <w:t xml:space="preserve">y. </w:t>
      </w:r>
    </w:p>
    <w:p w14:paraId="5EA20BEB" w14:textId="77777777" w:rsidR="003C66EB" w:rsidRDefault="00D96C4E">
      <w:pPr>
        <w:spacing w:before="60"/>
        <w:ind w:firstLine="450"/>
        <w:jc w:val="both"/>
      </w:pPr>
      <w:r>
        <w:rPr>
          <w:rFonts w:ascii="Arial" w:eastAsia="宋体" w:hAnsi="Arial" w:cs="Arial"/>
          <w:color w:val="000000"/>
          <w:sz w:val="20"/>
          <w:szCs w:val="20"/>
        </w:rPr>
        <w:t>NII is still positioned to benefit from changes in non-U.S. interest rates with the majority of our sensitivity derived from the short-end of the curve given deposit pricing expectations. Compared to March 31, 2020, our non-U.S. benefit from higher rat</w:t>
      </w:r>
      <w:r>
        <w:rPr>
          <w:rFonts w:ascii="Arial" w:eastAsia="宋体" w:hAnsi="Arial" w:cs="Arial"/>
          <w:color w:val="000000"/>
          <w:sz w:val="20"/>
          <w:szCs w:val="20"/>
        </w:rPr>
        <w:t>es increased and the benefit from lower rates decreased due to higher levels of floating rate EUR-denominated assets.</w:t>
      </w:r>
    </w:p>
    <w:p w14:paraId="5EA20BEC" w14:textId="77777777" w:rsidR="003C66EB" w:rsidRDefault="00D96C4E">
      <w:pPr>
        <w:ind w:firstLine="450"/>
        <w:jc w:val="right"/>
      </w:pPr>
      <w:r>
        <w:rPr>
          <w:rFonts w:ascii="Arial" w:eastAsia="宋体" w:hAnsi="Arial" w:cs="Arial"/>
          <w:color w:val="000000"/>
          <w:sz w:val="18"/>
          <w:szCs w:val="18"/>
        </w:rPr>
        <w:t>State Street Corporation | 36</w:t>
      </w:r>
    </w:p>
    <w:p w14:paraId="5EA20BED" w14:textId="77777777" w:rsidR="003C66EB" w:rsidRDefault="003C66EB">
      <w:pPr>
        <w:ind w:firstLine="450"/>
        <w:jc w:val="center"/>
      </w:pPr>
    </w:p>
    <w:p w14:paraId="5EA20BEE" w14:textId="77777777" w:rsidR="003C66EB" w:rsidRDefault="00D96C4E">
      <w:r>
        <w:pict w14:anchorId="5EA287D4">
          <v:rect id="_x0000_i1060" style="width:415.3pt;height:1.5pt" o:hralign="center" o:hrstd="t" o:hr="t" fillcolor="#a0a0a0" stroked="f"/>
        </w:pict>
      </w:r>
    </w:p>
    <w:p w14:paraId="5EA20BEF"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BF0" w14:textId="77777777" w:rsidR="003C66EB" w:rsidRDefault="00D96C4E">
      <w:pPr>
        <w:ind w:firstLine="450"/>
        <w:jc w:val="center"/>
      </w:pPr>
      <w:r>
        <w:rPr>
          <w:rFonts w:ascii="Arial" w:eastAsia="宋体" w:hAnsi="Arial" w:cs="Arial"/>
          <w:b/>
          <w:bCs/>
          <w:color w:val="000000"/>
          <w:sz w:val="20"/>
          <w:szCs w:val="20"/>
        </w:rPr>
        <w:t>AND RESULTS OF OPERATIONS</w:t>
      </w:r>
    </w:p>
    <w:p w14:paraId="5EA20BF1" w14:textId="77777777" w:rsidR="003C66EB" w:rsidRDefault="00D96C4E">
      <w:pPr>
        <w:spacing w:before="60"/>
        <w:ind w:firstLine="450"/>
        <w:jc w:val="both"/>
        <w:textAlignment w:val="top"/>
      </w:pPr>
      <w:r>
        <w:rPr>
          <w:rFonts w:ascii="Arial" w:eastAsia="宋体" w:hAnsi="Arial" w:cs="Arial"/>
          <w:color w:val="000000"/>
          <w:sz w:val="20"/>
          <w:szCs w:val="20"/>
        </w:rPr>
        <w:t xml:space="preserve">EVE sensitivity is </w:t>
      </w:r>
      <w:r>
        <w:rPr>
          <w:rFonts w:ascii="Arial" w:eastAsia="宋体" w:hAnsi="Arial" w:cs="Arial"/>
          <w:color w:val="000000"/>
          <w:sz w:val="20"/>
          <w:szCs w:val="20"/>
        </w:rPr>
        <w:t>a discounted cash flow model designed to estimate the fair value of assets and liabilities under a series of interest rate shocks over a long-term horizon. In the following table, we report our EVE sensitivity to 200 bps instantaneous rate shocks, relative</w:t>
      </w:r>
      <w:r>
        <w:rPr>
          <w:rFonts w:ascii="Arial" w:eastAsia="宋体" w:hAnsi="Arial" w:cs="Arial"/>
          <w:color w:val="000000"/>
          <w:sz w:val="20"/>
          <w:szCs w:val="20"/>
        </w:rPr>
        <w:t xml:space="preserve"> to spot interest rates. Management compares the change in EVE sensitivity against our aggregate Tier 1 and Tier 2 risk-based capital, calculated in conformity with current applicable regulatory requirements. EVE sensitivity is dependent on the timing of i</w:t>
      </w:r>
      <w:r>
        <w:rPr>
          <w:rFonts w:ascii="Arial" w:eastAsia="宋体" w:hAnsi="Arial" w:cs="Arial"/>
          <w:color w:val="000000"/>
          <w:sz w:val="20"/>
          <w:szCs w:val="20"/>
        </w:rPr>
        <w:t>nterest and principal cash flows. Also, the measure only evaluates the spot balance sheet and does not include the impact of new business assumptions.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2913"/>
        <w:gridCol w:w="36"/>
        <w:gridCol w:w="104"/>
        <w:gridCol w:w="2468"/>
        <w:gridCol w:w="36"/>
        <w:gridCol w:w="36"/>
        <w:gridCol w:w="51"/>
        <w:gridCol w:w="36"/>
        <w:gridCol w:w="104"/>
        <w:gridCol w:w="2469"/>
        <w:gridCol w:w="36"/>
      </w:tblGrid>
      <w:tr w:rsidR="003C66EB" w14:paraId="5EA20BFE" w14:textId="77777777">
        <w:tc>
          <w:tcPr>
            <w:tcW w:w="50" w:type="pct"/>
            <w:shd w:val="clear" w:color="auto" w:fill="auto"/>
          </w:tcPr>
          <w:p w14:paraId="5EA20BF2" w14:textId="77777777" w:rsidR="003C66EB" w:rsidRDefault="003C66EB">
            <w:pPr>
              <w:rPr>
                <w:rFonts w:ascii="宋体"/>
              </w:rPr>
            </w:pPr>
          </w:p>
        </w:tc>
        <w:tc>
          <w:tcPr>
            <w:tcW w:w="1768" w:type="pct"/>
            <w:shd w:val="clear" w:color="auto" w:fill="auto"/>
          </w:tcPr>
          <w:p w14:paraId="5EA20BF3" w14:textId="77777777" w:rsidR="003C66EB" w:rsidRDefault="003C66EB">
            <w:pPr>
              <w:rPr>
                <w:rFonts w:ascii="宋体"/>
              </w:rPr>
            </w:pPr>
          </w:p>
        </w:tc>
        <w:tc>
          <w:tcPr>
            <w:tcW w:w="5" w:type="pct"/>
            <w:shd w:val="clear" w:color="auto" w:fill="auto"/>
          </w:tcPr>
          <w:p w14:paraId="5EA20BF4" w14:textId="77777777" w:rsidR="003C66EB" w:rsidRDefault="003C66EB">
            <w:pPr>
              <w:rPr>
                <w:rFonts w:ascii="宋体"/>
              </w:rPr>
            </w:pPr>
          </w:p>
        </w:tc>
        <w:tc>
          <w:tcPr>
            <w:tcW w:w="50" w:type="pct"/>
            <w:shd w:val="clear" w:color="auto" w:fill="auto"/>
          </w:tcPr>
          <w:p w14:paraId="5EA20BF5" w14:textId="77777777" w:rsidR="003C66EB" w:rsidRDefault="003C66EB">
            <w:pPr>
              <w:rPr>
                <w:rFonts w:ascii="宋体"/>
              </w:rPr>
            </w:pPr>
          </w:p>
        </w:tc>
        <w:tc>
          <w:tcPr>
            <w:tcW w:w="1501" w:type="pct"/>
            <w:shd w:val="clear" w:color="auto" w:fill="auto"/>
          </w:tcPr>
          <w:p w14:paraId="5EA20BF6" w14:textId="77777777" w:rsidR="003C66EB" w:rsidRDefault="003C66EB">
            <w:pPr>
              <w:rPr>
                <w:rFonts w:ascii="宋体"/>
              </w:rPr>
            </w:pPr>
          </w:p>
        </w:tc>
        <w:tc>
          <w:tcPr>
            <w:tcW w:w="5" w:type="pct"/>
            <w:shd w:val="clear" w:color="auto" w:fill="auto"/>
          </w:tcPr>
          <w:p w14:paraId="5EA20BF7" w14:textId="77777777" w:rsidR="003C66EB" w:rsidRDefault="003C66EB">
            <w:pPr>
              <w:rPr>
                <w:rFonts w:ascii="宋体"/>
              </w:rPr>
            </w:pPr>
          </w:p>
        </w:tc>
        <w:tc>
          <w:tcPr>
            <w:tcW w:w="5" w:type="pct"/>
            <w:shd w:val="clear" w:color="auto" w:fill="auto"/>
          </w:tcPr>
          <w:p w14:paraId="5EA20BF8" w14:textId="77777777" w:rsidR="003C66EB" w:rsidRDefault="003C66EB">
            <w:pPr>
              <w:rPr>
                <w:rFonts w:ascii="宋体"/>
              </w:rPr>
            </w:pPr>
          </w:p>
        </w:tc>
        <w:tc>
          <w:tcPr>
            <w:tcW w:w="52" w:type="pct"/>
            <w:shd w:val="clear" w:color="auto" w:fill="auto"/>
          </w:tcPr>
          <w:p w14:paraId="5EA20BF9" w14:textId="77777777" w:rsidR="003C66EB" w:rsidRDefault="003C66EB">
            <w:pPr>
              <w:rPr>
                <w:rFonts w:ascii="宋体"/>
              </w:rPr>
            </w:pPr>
          </w:p>
        </w:tc>
        <w:tc>
          <w:tcPr>
            <w:tcW w:w="5" w:type="pct"/>
            <w:shd w:val="clear" w:color="auto" w:fill="auto"/>
          </w:tcPr>
          <w:p w14:paraId="5EA20BFA" w14:textId="77777777" w:rsidR="003C66EB" w:rsidRDefault="003C66EB">
            <w:pPr>
              <w:rPr>
                <w:rFonts w:ascii="宋体"/>
              </w:rPr>
            </w:pPr>
          </w:p>
        </w:tc>
        <w:tc>
          <w:tcPr>
            <w:tcW w:w="50" w:type="pct"/>
            <w:shd w:val="clear" w:color="auto" w:fill="auto"/>
          </w:tcPr>
          <w:p w14:paraId="5EA20BFB" w14:textId="77777777" w:rsidR="003C66EB" w:rsidRDefault="003C66EB">
            <w:pPr>
              <w:rPr>
                <w:rFonts w:ascii="宋体"/>
              </w:rPr>
            </w:pPr>
          </w:p>
        </w:tc>
        <w:tc>
          <w:tcPr>
            <w:tcW w:w="1501" w:type="pct"/>
            <w:shd w:val="clear" w:color="auto" w:fill="auto"/>
          </w:tcPr>
          <w:p w14:paraId="5EA20BFC" w14:textId="77777777" w:rsidR="003C66EB" w:rsidRDefault="003C66EB">
            <w:pPr>
              <w:rPr>
                <w:rFonts w:ascii="宋体"/>
              </w:rPr>
            </w:pPr>
          </w:p>
        </w:tc>
        <w:tc>
          <w:tcPr>
            <w:tcW w:w="5" w:type="pct"/>
            <w:shd w:val="clear" w:color="auto" w:fill="auto"/>
          </w:tcPr>
          <w:p w14:paraId="5EA20BFD" w14:textId="77777777" w:rsidR="003C66EB" w:rsidRDefault="003C66EB">
            <w:pPr>
              <w:rPr>
                <w:rFonts w:ascii="宋体"/>
              </w:rPr>
            </w:pPr>
          </w:p>
        </w:tc>
      </w:tr>
      <w:tr w:rsidR="003C66EB" w14:paraId="5EA20C00" w14:textId="77777777">
        <w:tc>
          <w:tcPr>
            <w:tcW w:w="0" w:type="auto"/>
            <w:gridSpan w:val="12"/>
            <w:shd w:val="clear" w:color="auto" w:fill="auto"/>
            <w:tcMar>
              <w:top w:w="40" w:type="dxa"/>
              <w:left w:w="20" w:type="dxa"/>
              <w:bottom w:w="40" w:type="dxa"/>
              <w:right w:w="20" w:type="dxa"/>
            </w:tcMar>
            <w:vAlign w:val="bottom"/>
          </w:tcPr>
          <w:p w14:paraId="5EA20BFF" w14:textId="77777777" w:rsidR="003C66EB" w:rsidRDefault="00D96C4E">
            <w:pPr>
              <w:textAlignment w:val="bottom"/>
            </w:pPr>
            <w:r>
              <w:rPr>
                <w:rFonts w:ascii="Arial" w:eastAsia="宋体" w:hAnsi="Arial" w:cs="Arial"/>
                <w:b/>
                <w:bCs/>
                <w:color w:val="000000"/>
                <w:sz w:val="16"/>
                <w:szCs w:val="16"/>
              </w:rPr>
              <w:t>TABLE 34: ECONOMIC VALUE OF EQUITY SENSITIVITY</w:t>
            </w:r>
          </w:p>
        </w:tc>
      </w:tr>
      <w:tr w:rsidR="003C66EB" w14:paraId="5EA20C03" w14:textId="77777777">
        <w:tc>
          <w:tcPr>
            <w:tcW w:w="0" w:type="auto"/>
            <w:gridSpan w:val="3"/>
            <w:shd w:val="clear" w:color="auto" w:fill="auto"/>
            <w:tcMar>
              <w:top w:w="0" w:type="dxa"/>
              <w:left w:w="20" w:type="dxa"/>
              <w:bottom w:w="0" w:type="dxa"/>
              <w:right w:w="20" w:type="dxa"/>
            </w:tcMar>
          </w:tcPr>
          <w:p w14:paraId="5EA20C01"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0C02" w14:textId="77777777" w:rsidR="003C66EB" w:rsidRDefault="00D96C4E">
            <w:pPr>
              <w:jc w:val="center"/>
              <w:textAlignment w:val="bottom"/>
            </w:pPr>
            <w:r>
              <w:rPr>
                <w:rFonts w:ascii="Arial" w:eastAsia="宋体" w:hAnsi="Arial" w:cs="Arial"/>
                <w:b/>
                <w:bCs/>
                <w:color w:val="000000"/>
                <w:sz w:val="15"/>
                <w:szCs w:val="15"/>
              </w:rPr>
              <w:t>As of March 31,</w:t>
            </w:r>
          </w:p>
        </w:tc>
      </w:tr>
      <w:tr w:rsidR="003C66EB" w14:paraId="5EA20C08" w14:textId="77777777">
        <w:tc>
          <w:tcPr>
            <w:tcW w:w="0" w:type="auto"/>
            <w:gridSpan w:val="3"/>
            <w:shd w:val="clear" w:color="auto" w:fill="auto"/>
            <w:tcMar>
              <w:top w:w="40" w:type="dxa"/>
              <w:left w:w="20" w:type="dxa"/>
              <w:bottom w:w="40" w:type="dxa"/>
              <w:right w:w="20" w:type="dxa"/>
            </w:tcMar>
            <w:vAlign w:val="bottom"/>
          </w:tcPr>
          <w:p w14:paraId="5EA20C04"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05" w14:textId="77777777" w:rsidR="003C66EB" w:rsidRDefault="00D96C4E">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0C06"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0C07" w14:textId="77777777" w:rsidR="003C66EB" w:rsidRDefault="00D96C4E">
            <w:pPr>
              <w:jc w:val="center"/>
              <w:textAlignment w:val="bottom"/>
            </w:pPr>
            <w:r>
              <w:rPr>
                <w:rFonts w:ascii="Arial" w:eastAsia="宋体" w:hAnsi="Arial" w:cs="Arial"/>
                <w:b/>
                <w:bCs/>
                <w:color w:val="000000"/>
                <w:sz w:val="15"/>
                <w:szCs w:val="15"/>
              </w:rPr>
              <w:t>2020</w:t>
            </w:r>
          </w:p>
        </w:tc>
      </w:tr>
      <w:tr w:rsidR="003C66EB" w14:paraId="5EA20C0B" w14:textId="77777777">
        <w:tc>
          <w:tcPr>
            <w:tcW w:w="0" w:type="auto"/>
            <w:gridSpan w:val="3"/>
            <w:shd w:val="clear" w:color="auto" w:fill="auto"/>
            <w:tcMar>
              <w:top w:w="40" w:type="dxa"/>
              <w:left w:w="20" w:type="dxa"/>
              <w:bottom w:w="40" w:type="dxa"/>
              <w:right w:w="20" w:type="dxa"/>
            </w:tcMar>
            <w:vAlign w:val="bottom"/>
          </w:tcPr>
          <w:p w14:paraId="5EA20C09" w14:textId="77777777" w:rsidR="003C66EB" w:rsidRDefault="00D96C4E">
            <w:pPr>
              <w:textAlignment w:val="bottom"/>
            </w:pPr>
            <w:r>
              <w:rPr>
                <w:rFonts w:ascii="Arial" w:eastAsia="宋体" w:hAnsi="Arial" w:cs="Arial"/>
                <w:color w:val="000000"/>
                <w:sz w:val="15"/>
                <w:szCs w:val="15"/>
              </w:rPr>
              <w:t>Rate change:</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0C0A" w14:textId="77777777" w:rsidR="003C66EB" w:rsidRDefault="00D96C4E">
            <w:pPr>
              <w:jc w:val="center"/>
              <w:textAlignment w:val="bottom"/>
            </w:pPr>
            <w:r>
              <w:rPr>
                <w:rFonts w:ascii="Arial" w:eastAsia="宋体" w:hAnsi="Arial" w:cs="Arial"/>
                <w:b/>
                <w:bCs/>
                <w:color w:val="000000"/>
                <w:sz w:val="15"/>
                <w:szCs w:val="15"/>
              </w:rPr>
              <w:t>Benefit (Exposure)</w:t>
            </w:r>
          </w:p>
        </w:tc>
      </w:tr>
      <w:tr w:rsidR="003C66EB" w14:paraId="5EA20C14" w14:textId="77777777">
        <w:tc>
          <w:tcPr>
            <w:tcW w:w="0" w:type="auto"/>
            <w:gridSpan w:val="3"/>
            <w:shd w:val="clear" w:color="auto" w:fill="CCEEFF"/>
            <w:tcMar>
              <w:top w:w="40" w:type="dxa"/>
              <w:left w:w="20" w:type="dxa"/>
              <w:bottom w:w="40" w:type="dxa"/>
              <w:right w:w="20" w:type="dxa"/>
            </w:tcMar>
            <w:vAlign w:val="bottom"/>
          </w:tcPr>
          <w:p w14:paraId="5EA20C0C" w14:textId="77777777" w:rsidR="003C66EB" w:rsidRDefault="00D96C4E">
            <w:pPr>
              <w:textAlignment w:val="bottom"/>
            </w:pPr>
            <w:r>
              <w:rPr>
                <w:rFonts w:ascii="Arial" w:eastAsia="宋体" w:hAnsi="Arial" w:cs="Arial"/>
                <w:color w:val="000000"/>
                <w:sz w:val="15"/>
                <w:szCs w:val="15"/>
              </w:rPr>
              <w:t>+200 bps shock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0C0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C0E" w14:textId="77777777" w:rsidR="003C66EB" w:rsidRDefault="00D96C4E">
            <w:pPr>
              <w:jc w:val="right"/>
              <w:textAlignment w:val="bottom"/>
            </w:pPr>
            <w:r>
              <w:rPr>
                <w:rFonts w:ascii="Arial" w:eastAsia="宋体" w:hAnsi="Arial" w:cs="Arial"/>
                <w:b/>
                <w:bCs/>
                <w:color w:val="000000"/>
                <w:sz w:val="15"/>
                <w:szCs w:val="15"/>
              </w:rPr>
              <w:t>(1,109)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C0F" w14:textId="77777777" w:rsidR="003C66EB" w:rsidRDefault="003C66E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0C1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C1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C12" w14:textId="77777777" w:rsidR="003C66EB" w:rsidRDefault="00D96C4E">
            <w:pPr>
              <w:jc w:val="right"/>
              <w:textAlignment w:val="bottom"/>
            </w:pPr>
            <w:r>
              <w:rPr>
                <w:rFonts w:ascii="Arial" w:eastAsia="宋体" w:hAnsi="Arial" w:cs="Arial"/>
                <w:color w:val="000000"/>
                <w:sz w:val="15"/>
                <w:szCs w:val="15"/>
              </w:rPr>
              <w:t>(1,141)</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C13" w14:textId="77777777" w:rsidR="003C66EB" w:rsidRDefault="003C66EB">
            <w:pPr>
              <w:jc w:val="right"/>
              <w:rPr>
                <w:rFonts w:ascii="宋体"/>
              </w:rPr>
            </w:pPr>
          </w:p>
        </w:tc>
      </w:tr>
      <w:tr w:rsidR="003C66EB" w14:paraId="5EA20C1B" w14:textId="77777777">
        <w:tc>
          <w:tcPr>
            <w:tcW w:w="0" w:type="auto"/>
            <w:gridSpan w:val="3"/>
            <w:shd w:val="clear" w:color="auto" w:fill="auto"/>
            <w:tcMar>
              <w:top w:w="40" w:type="dxa"/>
              <w:left w:w="20" w:type="dxa"/>
              <w:bottom w:w="40" w:type="dxa"/>
              <w:right w:w="20" w:type="dxa"/>
            </w:tcMar>
            <w:vAlign w:val="bottom"/>
          </w:tcPr>
          <w:p w14:paraId="5EA20C15" w14:textId="77777777" w:rsidR="003C66EB" w:rsidRDefault="00D96C4E">
            <w:pPr>
              <w:textAlignment w:val="bottom"/>
            </w:pPr>
            <w:r>
              <w:rPr>
                <w:rFonts w:ascii="Arial" w:eastAsia="宋体" w:hAnsi="Arial" w:cs="Arial"/>
                <w:color w:val="000000"/>
                <w:sz w:val="15"/>
                <w:szCs w:val="15"/>
              </w:rPr>
              <w:t>–200 bps shock</w:t>
            </w:r>
          </w:p>
        </w:tc>
        <w:tc>
          <w:tcPr>
            <w:tcW w:w="0" w:type="auto"/>
            <w:gridSpan w:val="2"/>
            <w:shd w:val="clear" w:color="auto" w:fill="auto"/>
            <w:tcMar>
              <w:top w:w="40" w:type="dxa"/>
              <w:left w:w="20" w:type="dxa"/>
              <w:bottom w:w="40" w:type="dxa"/>
              <w:right w:w="0" w:type="dxa"/>
            </w:tcMar>
            <w:vAlign w:val="bottom"/>
          </w:tcPr>
          <w:p w14:paraId="5EA20C16" w14:textId="77777777" w:rsidR="003C66EB" w:rsidRDefault="00D96C4E">
            <w:pPr>
              <w:jc w:val="right"/>
              <w:textAlignment w:val="bottom"/>
            </w:pPr>
            <w:r>
              <w:rPr>
                <w:rFonts w:ascii="Arial" w:eastAsia="宋体" w:hAnsi="Arial" w:cs="Arial"/>
                <w:b/>
                <w:bCs/>
                <w:color w:val="000000"/>
                <w:sz w:val="15"/>
                <w:szCs w:val="15"/>
              </w:rPr>
              <w:t>3,630</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A20C17"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0C18"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0C19" w14:textId="77777777" w:rsidR="003C66EB" w:rsidRDefault="00D96C4E">
            <w:pPr>
              <w:jc w:val="right"/>
              <w:textAlignment w:val="bottom"/>
            </w:pPr>
            <w:r>
              <w:rPr>
                <w:rFonts w:ascii="Arial" w:eastAsia="宋体" w:hAnsi="Arial" w:cs="Arial"/>
                <w:color w:val="000000"/>
                <w:sz w:val="15"/>
                <w:szCs w:val="15"/>
              </w:rPr>
              <w:t>3,666 </w:t>
            </w:r>
          </w:p>
        </w:tc>
        <w:tc>
          <w:tcPr>
            <w:tcW w:w="0" w:type="auto"/>
            <w:shd w:val="clear" w:color="auto" w:fill="auto"/>
            <w:tcMar>
              <w:top w:w="40" w:type="dxa"/>
              <w:left w:w="0" w:type="dxa"/>
              <w:bottom w:w="40" w:type="dxa"/>
              <w:right w:w="20" w:type="dxa"/>
            </w:tcMar>
            <w:vAlign w:val="bottom"/>
          </w:tcPr>
          <w:p w14:paraId="5EA20C1A" w14:textId="77777777" w:rsidR="003C66EB" w:rsidRDefault="003C66EB">
            <w:pPr>
              <w:jc w:val="right"/>
              <w:rPr>
                <w:rFonts w:ascii="宋体"/>
              </w:rPr>
            </w:pPr>
          </w:p>
        </w:tc>
      </w:tr>
      <w:tr w:rsidR="003C66EB" w14:paraId="5EA20C20" w14:textId="77777777">
        <w:trPr>
          <w:trHeight w:val="120"/>
        </w:trPr>
        <w:tc>
          <w:tcPr>
            <w:tcW w:w="0" w:type="auto"/>
            <w:gridSpan w:val="3"/>
            <w:shd w:val="clear" w:color="auto" w:fill="auto"/>
            <w:tcMar>
              <w:top w:w="0" w:type="dxa"/>
              <w:left w:w="20" w:type="dxa"/>
              <w:bottom w:w="0" w:type="dxa"/>
              <w:right w:w="20" w:type="dxa"/>
            </w:tcMar>
          </w:tcPr>
          <w:p w14:paraId="5EA20C1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1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1F" w14:textId="77777777" w:rsidR="003C66EB" w:rsidRDefault="003C66EB">
            <w:pPr>
              <w:rPr>
                <w:rFonts w:ascii="宋体"/>
              </w:rPr>
            </w:pPr>
          </w:p>
        </w:tc>
      </w:tr>
    </w:tbl>
    <w:p w14:paraId="5EA20C21" w14:textId="77777777" w:rsidR="003C66EB" w:rsidRDefault="00D96C4E">
      <w:pPr>
        <w:spacing w:before="60"/>
        <w:ind w:firstLine="450"/>
        <w:jc w:val="both"/>
        <w:textAlignment w:val="top"/>
      </w:pPr>
      <w:r>
        <w:rPr>
          <w:rFonts w:ascii="Arial" w:eastAsia="宋体" w:hAnsi="Arial" w:cs="Arial"/>
          <w:color w:val="000000"/>
          <w:sz w:val="20"/>
          <w:szCs w:val="20"/>
        </w:rPr>
        <w:t xml:space="preserve">As of March 31, 2021, EVE sensitivity remains exposed to upward shifts in interest rates. Compared to March 31, 2020, the up and down 200 </w:t>
      </w:r>
      <w:r>
        <w:rPr>
          <w:rFonts w:ascii="Arial" w:eastAsia="宋体" w:hAnsi="Arial" w:cs="Arial"/>
          <w:color w:val="000000"/>
          <w:sz w:val="20"/>
          <w:szCs w:val="20"/>
        </w:rPr>
        <w:t>bps instantaneous shock scenarios were relatively unchanged. Impacts from investment portfolio growth were offset by higher levels of deposits and hedging activities.</w:t>
      </w:r>
    </w:p>
    <w:p w14:paraId="5EA20C22" w14:textId="77777777" w:rsidR="003C66EB" w:rsidRDefault="00D96C4E">
      <w:pPr>
        <w:spacing w:before="60"/>
        <w:ind w:firstLine="450"/>
        <w:jc w:val="both"/>
        <w:textAlignment w:val="top"/>
      </w:pPr>
      <w:r>
        <w:rPr>
          <w:rFonts w:ascii="Arial" w:eastAsia="宋体" w:hAnsi="Arial" w:cs="Arial"/>
          <w:color w:val="000000"/>
          <w:sz w:val="20"/>
          <w:szCs w:val="20"/>
        </w:rPr>
        <w:t>Both NII sensitivity and EVE sensitivity are routinely monitored as market conditions cha</w:t>
      </w:r>
      <w:r>
        <w:rPr>
          <w:rFonts w:ascii="Arial" w:eastAsia="宋体" w:hAnsi="Arial" w:cs="Arial"/>
          <w:color w:val="000000"/>
          <w:sz w:val="20"/>
          <w:szCs w:val="20"/>
        </w:rPr>
        <w:t xml:space="preserve">nge. For additional information about our Asset and Liability Management Activities, refer to "Risk Management" in this Management's Discussion and Analysis of Financial Condition and Results of Operations. </w:t>
      </w:r>
    </w:p>
    <w:p w14:paraId="5EA20C23" w14:textId="77777777" w:rsidR="003C66EB" w:rsidRDefault="00D96C4E">
      <w:pPr>
        <w:spacing w:before="90"/>
        <w:jc w:val="both"/>
        <w:textAlignment w:val="top"/>
      </w:pPr>
      <w:r>
        <w:rPr>
          <w:rFonts w:ascii="Arial" w:eastAsia="宋体" w:hAnsi="Arial" w:cs="Arial"/>
          <w:b/>
          <w:bCs/>
          <w:color w:val="000000"/>
          <w:sz w:val="20"/>
          <w:szCs w:val="20"/>
        </w:rPr>
        <w:t xml:space="preserve">Model Risk Management </w:t>
      </w:r>
    </w:p>
    <w:p w14:paraId="5EA20C24" w14:textId="77777777" w:rsidR="003C66EB" w:rsidRDefault="00D96C4E">
      <w:pPr>
        <w:ind w:firstLine="450"/>
        <w:jc w:val="both"/>
        <w:textAlignment w:val="top"/>
      </w:pPr>
      <w:r>
        <w:rPr>
          <w:rFonts w:ascii="Arial" w:eastAsia="宋体" w:hAnsi="Arial" w:cs="Arial"/>
          <w:color w:val="000000"/>
          <w:sz w:val="20"/>
          <w:szCs w:val="20"/>
        </w:rPr>
        <w:t>The use of models is wide</w:t>
      </w:r>
      <w:r>
        <w:rPr>
          <w:rFonts w:ascii="Arial" w:eastAsia="宋体" w:hAnsi="Arial" w:cs="Arial"/>
          <w:color w:val="000000"/>
          <w:sz w:val="20"/>
          <w:szCs w:val="20"/>
        </w:rPr>
        <w:t>spread throughout the financial services industry, with large and complex organizations relying on sophisticated models to support numerous aspects of their financial decision making. The models contemporaneously represent both a significant advancement in</w:t>
      </w:r>
      <w:r>
        <w:rPr>
          <w:rFonts w:ascii="Arial" w:eastAsia="宋体" w:hAnsi="Arial" w:cs="Arial"/>
          <w:color w:val="000000"/>
          <w:sz w:val="20"/>
          <w:szCs w:val="20"/>
        </w:rPr>
        <w:t xml:space="preserve"> financial management and a source of risk. In large banking organizations like us, model results influence business decisions, and model failure could have a harmful effect on our financial performance. As a result, the Model Risk Management Framework see</w:t>
      </w:r>
      <w:r>
        <w:rPr>
          <w:rFonts w:ascii="Arial" w:eastAsia="宋体" w:hAnsi="Arial" w:cs="Arial"/>
          <w:color w:val="000000"/>
          <w:sz w:val="20"/>
          <w:szCs w:val="20"/>
        </w:rPr>
        <w:t>ks to mitigate our model risk.</w:t>
      </w:r>
    </w:p>
    <w:p w14:paraId="5EA20C25" w14:textId="77777777" w:rsidR="003C66EB" w:rsidRDefault="00D96C4E">
      <w:pPr>
        <w:spacing w:before="40"/>
        <w:ind w:firstLine="450"/>
        <w:jc w:val="both"/>
        <w:textAlignment w:val="top"/>
      </w:pPr>
      <w:r>
        <w:rPr>
          <w:rFonts w:ascii="Arial" w:eastAsia="宋体" w:hAnsi="Arial" w:cs="Arial"/>
          <w:color w:val="000000"/>
          <w:sz w:val="20"/>
          <w:szCs w:val="20"/>
        </w:rPr>
        <w:t>For additional information about our model risk management framework, including our governance and model validation, refer to pages 112 to 113 included under Item 7, Management's Discussion and Analysis of Financial Condition</w:t>
      </w:r>
      <w:r>
        <w:rPr>
          <w:rFonts w:ascii="Arial" w:eastAsia="宋体" w:hAnsi="Arial" w:cs="Arial"/>
          <w:color w:val="000000"/>
          <w:sz w:val="20"/>
          <w:szCs w:val="20"/>
        </w:rPr>
        <w:t xml:space="preserve"> and Results of Operations, "Model Risk Management", in our 2020 Form 10-K.</w:t>
      </w:r>
    </w:p>
    <w:p w14:paraId="5EA20C26" w14:textId="77777777" w:rsidR="003C66EB" w:rsidRDefault="00D96C4E">
      <w:pPr>
        <w:spacing w:before="90"/>
        <w:textAlignment w:val="top"/>
      </w:pPr>
      <w:r>
        <w:rPr>
          <w:rFonts w:ascii="Arial" w:eastAsia="宋体" w:hAnsi="Arial" w:cs="Arial"/>
          <w:b/>
          <w:bCs/>
          <w:color w:val="000000"/>
          <w:sz w:val="20"/>
          <w:szCs w:val="20"/>
        </w:rPr>
        <w:t xml:space="preserve">Strategic Risk Management </w:t>
      </w:r>
    </w:p>
    <w:p w14:paraId="5EA20C27" w14:textId="77777777" w:rsidR="003C66EB" w:rsidRDefault="00D96C4E">
      <w:pPr>
        <w:spacing w:before="60"/>
        <w:ind w:firstLine="450"/>
        <w:jc w:val="both"/>
        <w:textAlignment w:val="top"/>
      </w:pPr>
      <w:r>
        <w:rPr>
          <w:rFonts w:ascii="Arial" w:eastAsia="宋体" w:hAnsi="Arial" w:cs="Arial"/>
          <w:color w:val="000000"/>
          <w:sz w:val="20"/>
          <w:szCs w:val="20"/>
        </w:rPr>
        <w:t xml:space="preserve">We define strategic risk as the current or prospective impact on earnings or capital arising from adverse business decisions, improper implementation of </w:t>
      </w:r>
      <w:r>
        <w:rPr>
          <w:rFonts w:ascii="Arial" w:eastAsia="宋体" w:hAnsi="Arial" w:cs="Arial"/>
          <w:color w:val="000000"/>
          <w:sz w:val="20"/>
          <w:szCs w:val="20"/>
        </w:rPr>
        <w:t>strategic initiatives, or lack of responsiveness to industry-wide changes. Strategic risks are influenced by changes in the competitive environment; decline in market performance or changes in our business activities; and the potential secondary impacts of</w:t>
      </w:r>
      <w:r>
        <w:rPr>
          <w:rFonts w:ascii="Arial" w:eastAsia="宋体" w:hAnsi="Arial" w:cs="Arial"/>
          <w:color w:val="000000"/>
          <w:sz w:val="20"/>
          <w:szCs w:val="20"/>
        </w:rPr>
        <w:t xml:space="preserve"> reputational risks, not already captured as market, interest rate, credit, operational, model or liquidity risks. We incorporate strategic risk into our assessment of our business plans and risk and capital management processes.</w:t>
      </w:r>
    </w:p>
    <w:p w14:paraId="5EA20C28"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w:t>
      </w:r>
      <w:r>
        <w:rPr>
          <w:rFonts w:ascii="Arial" w:eastAsia="宋体" w:hAnsi="Arial" w:cs="Arial"/>
          <w:color w:val="000000"/>
          <w:sz w:val="20"/>
          <w:szCs w:val="20"/>
        </w:rPr>
        <w:t xml:space="preserve"> about our strategic risk management framework, refer to page 113 included under Item 7, Management's Discussion and Analysis of Financial Condition and Results of Operations, "Strategic Risk Management", in our 2020 Form 10-K.</w:t>
      </w:r>
    </w:p>
    <w:p w14:paraId="5EA20C29" w14:textId="77777777" w:rsidR="003C66EB" w:rsidRDefault="00D96C4E">
      <w:pPr>
        <w:spacing w:before="90"/>
        <w:textAlignment w:val="top"/>
      </w:pPr>
      <w:r>
        <w:rPr>
          <w:rFonts w:ascii="Arial" w:eastAsia="宋体" w:hAnsi="Arial" w:cs="Arial"/>
          <w:b/>
          <w:bCs/>
          <w:color w:val="000000"/>
          <w:sz w:val="20"/>
          <w:szCs w:val="20"/>
        </w:rPr>
        <w:t>Capital</w:t>
      </w:r>
    </w:p>
    <w:p w14:paraId="5EA20C2A" w14:textId="77777777" w:rsidR="003C66EB" w:rsidRDefault="00D96C4E">
      <w:pPr>
        <w:spacing w:before="60"/>
        <w:ind w:firstLine="450"/>
        <w:jc w:val="both"/>
        <w:textAlignment w:val="top"/>
      </w:pPr>
      <w:r>
        <w:rPr>
          <w:rFonts w:ascii="Arial" w:eastAsia="宋体" w:hAnsi="Arial" w:cs="Arial"/>
          <w:color w:val="000000"/>
          <w:sz w:val="20"/>
          <w:szCs w:val="20"/>
        </w:rPr>
        <w:t xml:space="preserve">Managing our </w:t>
      </w:r>
      <w:r>
        <w:rPr>
          <w:rFonts w:ascii="Arial" w:eastAsia="宋体" w:hAnsi="Arial" w:cs="Arial"/>
          <w:color w:val="000000"/>
          <w:sz w:val="20"/>
          <w:szCs w:val="20"/>
        </w:rPr>
        <w:t>capital involves evaluating whether our actual and projected levels of capital are commensurate with our risk profile, are in compliance with all applicable regulatory requirements and are sufficient to provide us with the financial flexibility to undertak</w:t>
      </w:r>
      <w:r>
        <w:rPr>
          <w:rFonts w:ascii="Arial" w:eastAsia="宋体" w:hAnsi="Arial" w:cs="Arial"/>
          <w:color w:val="000000"/>
          <w:sz w:val="20"/>
          <w:szCs w:val="20"/>
        </w:rPr>
        <w:t>e future strategic business initiatives. We assess capital adequacy based on relevant regulatory capital requirements, as well as our own internal capital goals, targets and other relevant metrics.</w:t>
      </w:r>
    </w:p>
    <w:p w14:paraId="5EA20C2B" w14:textId="77777777" w:rsidR="003C66EB" w:rsidRDefault="00D96C4E">
      <w:pPr>
        <w:spacing w:before="40"/>
        <w:ind w:firstLine="450"/>
        <w:jc w:val="both"/>
        <w:textAlignment w:val="top"/>
      </w:pPr>
      <w:r>
        <w:rPr>
          <w:rFonts w:ascii="Arial" w:eastAsia="宋体" w:hAnsi="Arial" w:cs="Arial"/>
          <w:color w:val="000000"/>
          <w:sz w:val="20"/>
          <w:szCs w:val="20"/>
        </w:rPr>
        <w:t>Our designation as a G-SIB is based on a number of factors</w:t>
      </w:r>
      <w:r>
        <w:rPr>
          <w:rFonts w:ascii="Arial" w:eastAsia="宋体" w:hAnsi="Arial" w:cs="Arial"/>
          <w:color w:val="000000"/>
          <w:sz w:val="20"/>
          <w:szCs w:val="20"/>
        </w:rPr>
        <w:t>, as evaluated by banking regulators, and requires us to maintain an additional capital surcharge above the minimum capital ratios set forth in the Basel III final rule. Further, like all other U.S. G-SIBs, we are also currently subject to a 2.0% SLR buffe</w:t>
      </w:r>
      <w:r>
        <w:rPr>
          <w:rFonts w:ascii="Arial" w:eastAsia="宋体" w:hAnsi="Arial" w:cs="Arial"/>
          <w:color w:val="000000"/>
          <w:sz w:val="20"/>
          <w:szCs w:val="20"/>
        </w:rPr>
        <w:t>r in addition to the required minimum of 3% under the Basel III final rule. If we fail to exceed any regulatory buffer or surcharge, we will be subject to increased restrictions (depending upon the extent of the shortfall) regarding capital distributions a</w:t>
      </w:r>
      <w:r>
        <w:rPr>
          <w:rFonts w:ascii="Arial" w:eastAsia="宋体" w:hAnsi="Arial" w:cs="Arial"/>
          <w:color w:val="000000"/>
          <w:sz w:val="20"/>
          <w:szCs w:val="20"/>
        </w:rPr>
        <w:t xml:space="preserve">nd discretionary executive bonus payments. </w:t>
      </w:r>
    </w:p>
    <w:p w14:paraId="5EA20C2C" w14:textId="77777777" w:rsidR="003C66EB" w:rsidRDefault="00D96C4E">
      <w:pPr>
        <w:spacing w:before="40"/>
        <w:ind w:firstLine="450"/>
        <w:jc w:val="both"/>
        <w:textAlignment w:val="top"/>
      </w:pPr>
      <w:r>
        <w:rPr>
          <w:rFonts w:ascii="Arial" w:eastAsia="宋体" w:hAnsi="Arial" w:cs="Arial"/>
          <w:color w:val="000000"/>
          <w:sz w:val="20"/>
          <w:szCs w:val="20"/>
        </w:rPr>
        <w:t>Not all of our competitors have similarly been designated as systemically important nor are all of them subject to the same degree of regulation as a bank or financial holding company, and therefore some of our c</w:t>
      </w:r>
      <w:r>
        <w:rPr>
          <w:rFonts w:ascii="Arial" w:eastAsia="宋体" w:hAnsi="Arial" w:cs="Arial"/>
          <w:color w:val="000000"/>
          <w:sz w:val="20"/>
          <w:szCs w:val="20"/>
        </w:rPr>
        <w:t>ompetitors may not be subject to the same capital, liquidity and other regulatory requirements.</w:t>
      </w:r>
    </w:p>
    <w:p w14:paraId="5EA20C2D" w14:textId="77777777" w:rsidR="003C66EB" w:rsidRDefault="00D96C4E">
      <w:pPr>
        <w:spacing w:before="40"/>
        <w:ind w:firstLine="450"/>
        <w:jc w:val="both"/>
        <w:textAlignment w:val="top"/>
      </w:pPr>
      <w:r>
        <w:rPr>
          <w:rFonts w:ascii="Arial" w:eastAsia="宋体" w:hAnsi="Arial" w:cs="Arial"/>
          <w:color w:val="000000"/>
          <w:sz w:val="20"/>
          <w:szCs w:val="20"/>
        </w:rPr>
        <w:t>For additional information about our capital, refer to pages 113 to 121 included under Item 7, Management's Discussion and Analysis of Financial Condition and R</w:t>
      </w:r>
      <w:r>
        <w:rPr>
          <w:rFonts w:ascii="Arial" w:eastAsia="宋体" w:hAnsi="Arial" w:cs="Arial"/>
          <w:color w:val="000000"/>
          <w:sz w:val="20"/>
          <w:szCs w:val="20"/>
        </w:rPr>
        <w:t>esults of Operations, in our 2020 Form 10-K.</w:t>
      </w:r>
    </w:p>
    <w:p w14:paraId="5EA20C2E" w14:textId="77777777" w:rsidR="003C66EB" w:rsidRDefault="00D96C4E">
      <w:pPr>
        <w:ind w:firstLine="450"/>
        <w:jc w:val="right"/>
      </w:pPr>
      <w:r>
        <w:rPr>
          <w:rFonts w:ascii="Arial" w:eastAsia="宋体" w:hAnsi="Arial" w:cs="Arial"/>
          <w:color w:val="000000"/>
          <w:sz w:val="18"/>
          <w:szCs w:val="18"/>
        </w:rPr>
        <w:t>State Street Corporation | 37</w:t>
      </w:r>
    </w:p>
    <w:p w14:paraId="5EA20C2F" w14:textId="77777777" w:rsidR="003C66EB" w:rsidRDefault="003C66EB">
      <w:pPr>
        <w:ind w:firstLine="450"/>
        <w:jc w:val="center"/>
      </w:pPr>
    </w:p>
    <w:p w14:paraId="5EA20C30" w14:textId="77777777" w:rsidR="003C66EB" w:rsidRDefault="00D96C4E">
      <w:r>
        <w:pict w14:anchorId="5EA287D5">
          <v:rect id="_x0000_i1061" style="width:415.3pt;height:1.5pt" o:hralign="center" o:hrstd="t" o:hr="t" fillcolor="#a0a0a0" stroked="f"/>
        </w:pict>
      </w:r>
    </w:p>
    <w:p w14:paraId="5EA20C31"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C32" w14:textId="77777777" w:rsidR="003C66EB" w:rsidRDefault="00D96C4E">
      <w:pPr>
        <w:ind w:firstLine="450"/>
        <w:jc w:val="center"/>
      </w:pPr>
      <w:r>
        <w:rPr>
          <w:rFonts w:ascii="Arial" w:eastAsia="宋体" w:hAnsi="Arial" w:cs="Arial"/>
          <w:b/>
          <w:bCs/>
          <w:color w:val="000000"/>
          <w:sz w:val="20"/>
          <w:szCs w:val="20"/>
        </w:rPr>
        <w:t>AND RESULTS OF OPERATIONS</w:t>
      </w:r>
    </w:p>
    <w:p w14:paraId="5EA20C33" w14:textId="77777777" w:rsidR="003C66EB" w:rsidRDefault="00D96C4E">
      <w:pPr>
        <w:spacing w:before="60"/>
        <w:jc w:val="both"/>
        <w:textAlignment w:val="top"/>
      </w:pPr>
      <w:r>
        <w:rPr>
          <w:rFonts w:ascii="Arial" w:eastAsia="宋体" w:hAnsi="Arial" w:cs="Arial"/>
          <w:b/>
          <w:bCs/>
          <w:i/>
          <w:iCs/>
          <w:color w:val="000000"/>
          <w:sz w:val="20"/>
          <w:szCs w:val="20"/>
        </w:rPr>
        <w:t>Regulatory Capital</w:t>
      </w:r>
    </w:p>
    <w:p w14:paraId="5EA20C34" w14:textId="77777777" w:rsidR="003C66EB" w:rsidRDefault="00D96C4E">
      <w:pPr>
        <w:spacing w:before="60"/>
        <w:ind w:firstLine="450"/>
        <w:jc w:val="both"/>
        <w:textAlignment w:val="top"/>
      </w:pPr>
      <w:r>
        <w:rPr>
          <w:rFonts w:ascii="Arial" w:eastAsia="宋体" w:hAnsi="Arial" w:cs="Arial"/>
          <w:color w:val="000000"/>
          <w:sz w:val="20"/>
          <w:szCs w:val="20"/>
        </w:rPr>
        <w:t xml:space="preserve">We and State Street Bank, as advanced approaches banking </w:t>
      </w:r>
      <w:r>
        <w:rPr>
          <w:rFonts w:ascii="Arial" w:eastAsia="宋体" w:hAnsi="Arial" w:cs="Arial"/>
          <w:color w:val="000000"/>
          <w:sz w:val="20"/>
          <w:szCs w:val="20"/>
        </w:rPr>
        <w:t>organizations, are subject to the U.S. Basel III framework. Provisions of the Basel III final rule became effective on January 1, 2014 with full implementation required on January 1, 2019. We are also subject to the final market risk capital rule issued by</w:t>
      </w:r>
      <w:r>
        <w:rPr>
          <w:rFonts w:ascii="Arial" w:eastAsia="宋体" w:hAnsi="Arial" w:cs="Arial"/>
          <w:color w:val="000000"/>
          <w:sz w:val="20"/>
          <w:szCs w:val="20"/>
        </w:rPr>
        <w:t xml:space="preserve"> U.S. banking regulators effective as of January 2013.</w:t>
      </w:r>
    </w:p>
    <w:p w14:paraId="5EA20C35" w14:textId="77777777" w:rsidR="003C66EB" w:rsidRDefault="00D96C4E">
      <w:pPr>
        <w:spacing w:before="60"/>
        <w:ind w:firstLine="450"/>
        <w:jc w:val="both"/>
        <w:textAlignment w:val="top"/>
      </w:pPr>
      <w:r>
        <w:rPr>
          <w:rFonts w:ascii="Arial" w:eastAsia="宋体" w:hAnsi="Arial" w:cs="Arial"/>
          <w:color w:val="000000"/>
          <w:sz w:val="20"/>
          <w:szCs w:val="20"/>
        </w:rPr>
        <w:t>The Basel III final rule provides for two frameworks for monitoring capital adequacy: the “standardized approach" and the “advanced approaches", applicable to advanced approaches banking organizations,</w:t>
      </w:r>
      <w:r>
        <w:rPr>
          <w:rFonts w:ascii="Arial" w:eastAsia="宋体" w:hAnsi="Arial" w:cs="Arial"/>
          <w:color w:val="000000"/>
          <w:sz w:val="20"/>
          <w:szCs w:val="20"/>
        </w:rPr>
        <w:t xml:space="preserve"> like us. The standardized approach prescribes standardized calculations for credit risk RWA, including specified risk weights for certain on and off-balance sheet exposures. The advanced approaches consist of the Advanced Internal Ratings-Based Approach u</w:t>
      </w:r>
      <w:r>
        <w:rPr>
          <w:rFonts w:ascii="Arial" w:eastAsia="宋体" w:hAnsi="Arial" w:cs="Arial"/>
          <w:color w:val="000000"/>
          <w:sz w:val="20"/>
          <w:szCs w:val="20"/>
        </w:rPr>
        <w:t>sed for the calculation of RWA related to credit risk, and the Advanced Measurement Approach used for the calculation of RWA related to operational risk.</w:t>
      </w:r>
    </w:p>
    <w:p w14:paraId="5EA20C36" w14:textId="77777777" w:rsidR="003C66EB" w:rsidRDefault="00D96C4E">
      <w:pPr>
        <w:spacing w:before="60"/>
        <w:ind w:firstLine="450"/>
        <w:jc w:val="both"/>
        <w:textAlignment w:val="top"/>
      </w:pPr>
      <w:r>
        <w:rPr>
          <w:rFonts w:ascii="Arial" w:eastAsia="宋体" w:hAnsi="Arial" w:cs="Arial"/>
          <w:color w:val="000000"/>
          <w:sz w:val="20"/>
          <w:szCs w:val="20"/>
        </w:rPr>
        <w:t xml:space="preserve">As required by the Dodd-Frank Act enacted in 2010 and the Stress Capital Buffer (SCB) rule enacted in </w:t>
      </w:r>
      <w:r>
        <w:rPr>
          <w:rFonts w:ascii="Arial" w:eastAsia="宋体" w:hAnsi="Arial" w:cs="Arial"/>
          <w:color w:val="000000"/>
          <w:sz w:val="20"/>
          <w:szCs w:val="20"/>
        </w:rPr>
        <w:t>2020, we and State Street Bank, as advanced approaches banking organizations, are subject to a "capital floor," also referred to as the Collins Amendment, in the assessment of our regulatory capital adequacy, including the capital conservation buffer (CCB)</w:t>
      </w:r>
      <w:r>
        <w:rPr>
          <w:rFonts w:ascii="Arial" w:eastAsia="宋体" w:hAnsi="Arial" w:cs="Arial"/>
          <w:color w:val="000000"/>
          <w:sz w:val="20"/>
          <w:szCs w:val="20"/>
        </w:rPr>
        <w:t xml:space="preserve"> and the SCB, for the advanced approaches and standardized approach, respectively, and a countercyclical capital buffer. In addition, we are subject to a G-SIB surcharge. Our risk-based capital ratios for regulatory assessment purposes are the lower of eac</w:t>
      </w:r>
      <w:r>
        <w:rPr>
          <w:rFonts w:ascii="Arial" w:eastAsia="宋体" w:hAnsi="Arial" w:cs="Arial"/>
          <w:color w:val="000000"/>
          <w:sz w:val="20"/>
          <w:szCs w:val="20"/>
        </w:rPr>
        <w:t>h ratio calculated under the advanced approaches and standardized approach.</w:t>
      </w:r>
    </w:p>
    <w:p w14:paraId="5EA20C37" w14:textId="77777777" w:rsidR="003C66EB" w:rsidRDefault="00D96C4E">
      <w:pPr>
        <w:spacing w:before="60"/>
        <w:ind w:firstLine="450"/>
        <w:jc w:val="both"/>
        <w:textAlignment w:val="top"/>
      </w:pPr>
      <w:r>
        <w:rPr>
          <w:rFonts w:ascii="Arial" w:eastAsia="宋体" w:hAnsi="Arial" w:cs="Arial"/>
          <w:color w:val="000000"/>
          <w:sz w:val="20"/>
          <w:szCs w:val="20"/>
        </w:rPr>
        <w:t>The SCB replaced, under the standardized approach, the capital conservation buffer with a buffer calculated as the difference between the institution’s starting and lowest projecte</w:t>
      </w:r>
      <w:r>
        <w:rPr>
          <w:rFonts w:ascii="Arial" w:eastAsia="宋体" w:hAnsi="Arial" w:cs="Arial"/>
          <w:color w:val="000000"/>
          <w:sz w:val="20"/>
          <w:szCs w:val="20"/>
        </w:rPr>
        <w:t xml:space="preserve">d CET1 ratio under the CCAR severely adverse scenario plus planned common stock dividend payments (as a percentage </w:t>
      </w:r>
    </w:p>
    <w:p w14:paraId="5EA20C38" w14:textId="77777777" w:rsidR="003C66EB" w:rsidRDefault="00D96C4E">
      <w:pPr>
        <w:spacing w:before="60"/>
        <w:jc w:val="both"/>
        <w:textAlignment w:val="top"/>
      </w:pPr>
      <w:r>
        <w:rPr>
          <w:rFonts w:ascii="Arial" w:eastAsia="宋体" w:hAnsi="Arial" w:cs="Arial"/>
          <w:color w:val="000000"/>
          <w:sz w:val="20"/>
          <w:szCs w:val="20"/>
        </w:rPr>
        <w:t>of RWA) from the fourth through seventh quarter of the CCAR planning horizon. The SCB requirement, which became effective October 1, 2020, c</w:t>
      </w:r>
      <w:r>
        <w:rPr>
          <w:rFonts w:ascii="Arial" w:eastAsia="宋体" w:hAnsi="Arial" w:cs="Arial"/>
          <w:color w:val="000000"/>
          <w:sz w:val="20"/>
          <w:szCs w:val="20"/>
        </w:rPr>
        <w:t>an be no less than 2.5% of RWA. Breaching the SCB or other regulatory buffer or surcharge will limit a banking organization’s ability to make capital distributions and discretionary bonus payments to executive officers. The countercyclical capital buffer i</w:t>
      </w:r>
      <w:r>
        <w:rPr>
          <w:rFonts w:ascii="Arial" w:eastAsia="宋体" w:hAnsi="Arial" w:cs="Arial"/>
          <w:color w:val="000000"/>
          <w:sz w:val="20"/>
          <w:szCs w:val="20"/>
        </w:rPr>
        <w:t>s currently set at zero by U.S. banking regulators.</w:t>
      </w:r>
    </w:p>
    <w:p w14:paraId="5EA20C39" w14:textId="77777777" w:rsidR="003C66EB" w:rsidRDefault="00D96C4E">
      <w:pPr>
        <w:spacing w:before="60" w:after="60"/>
        <w:ind w:firstLine="450"/>
        <w:jc w:val="both"/>
        <w:textAlignment w:val="top"/>
      </w:pPr>
      <w:r>
        <w:rPr>
          <w:rFonts w:ascii="Arial" w:eastAsia="宋体" w:hAnsi="Arial" w:cs="Arial"/>
          <w:color w:val="000000"/>
          <w:sz w:val="20"/>
          <w:szCs w:val="20"/>
        </w:rPr>
        <w:t xml:space="preserve">Our minimum risk-based capital ratios as of January 1, 2021, including a CCB of 2.5% and an SCB of 2.5% for the advanced approaches and standardized approach, respectively, a G-SIB surcharge of 1.0%, and </w:t>
      </w:r>
      <w:r>
        <w:rPr>
          <w:rFonts w:ascii="Arial" w:eastAsia="宋体" w:hAnsi="Arial" w:cs="Arial"/>
          <w:color w:val="000000"/>
          <w:sz w:val="20"/>
          <w:szCs w:val="20"/>
        </w:rPr>
        <w:t>a countercyclical buffer of 0%, are 8.0% for the Common Equity Tier 1 (CET1) capital ratio, 9.5% for the tier 1 capital ratio, and 11.5% for the total capital ratio. Based on a calculation date of December 31, 2019, our G-SIB surcharge for 2021 is 1.0%. Ba</w:t>
      </w:r>
      <w:r>
        <w:rPr>
          <w:rFonts w:ascii="Arial" w:eastAsia="宋体" w:hAnsi="Arial" w:cs="Arial"/>
          <w:color w:val="000000"/>
          <w:sz w:val="20"/>
          <w:szCs w:val="20"/>
        </w:rPr>
        <w:t>sed on a calculation date of December 31, 2020, our G-SIB surcharge could increase to 1.5% effective January 1, 2023. We are evaluating opportunities to reduce our surcharge, which could result in us remaining at our current G-SIB surcharge of 1%.</w:t>
      </w:r>
    </w:p>
    <w:p w14:paraId="5EA20C3A" w14:textId="77777777" w:rsidR="003C66EB" w:rsidRDefault="00D96C4E">
      <w:pPr>
        <w:spacing w:before="60" w:after="60"/>
        <w:ind w:firstLine="450"/>
        <w:jc w:val="both"/>
        <w:textAlignment w:val="top"/>
      </w:pPr>
      <w:r>
        <w:rPr>
          <w:rFonts w:ascii="Arial" w:eastAsia="宋体" w:hAnsi="Arial" w:cs="Arial"/>
          <w:color w:val="000000"/>
          <w:sz w:val="20"/>
          <w:szCs w:val="20"/>
        </w:rPr>
        <w:t>To maint</w:t>
      </w:r>
      <w:r>
        <w:rPr>
          <w:rFonts w:ascii="Arial" w:eastAsia="宋体" w:hAnsi="Arial" w:cs="Arial"/>
          <w:color w:val="000000"/>
          <w:sz w:val="20"/>
          <w:szCs w:val="20"/>
        </w:rPr>
        <w:t>ain the status of the Parent Company as a financial holding company, we and our insured depository institution subsidiaries are required, among other requirements, to be "well capitalized" as defined by Regulation Y and Regulation H.</w:t>
      </w:r>
    </w:p>
    <w:p w14:paraId="5EA20C3B" w14:textId="77777777" w:rsidR="003C66EB" w:rsidRDefault="00D96C4E">
      <w:pPr>
        <w:spacing w:before="60" w:after="60"/>
        <w:ind w:firstLine="450"/>
        <w:jc w:val="both"/>
        <w:textAlignment w:val="top"/>
      </w:pPr>
      <w:r>
        <w:rPr>
          <w:rFonts w:ascii="Arial" w:eastAsia="宋体" w:hAnsi="Arial" w:cs="Arial"/>
          <w:color w:val="000000"/>
          <w:sz w:val="20"/>
          <w:szCs w:val="20"/>
        </w:rPr>
        <w:t>The market risk capita</w:t>
      </w:r>
      <w:r>
        <w:rPr>
          <w:rFonts w:ascii="Arial" w:eastAsia="宋体" w:hAnsi="Arial" w:cs="Arial"/>
          <w:color w:val="000000"/>
          <w:sz w:val="20"/>
          <w:szCs w:val="20"/>
        </w:rPr>
        <w:t>l rule requires us to use internal models to calculate daily measures of VaR, which reflect general market risk for certain of our trading positions defined by the rule as “covered positions,” as well as stressed-VaR measures to supplement the VaR measures</w:t>
      </w:r>
      <w:r>
        <w:rPr>
          <w:rFonts w:ascii="Arial" w:eastAsia="宋体" w:hAnsi="Arial" w:cs="Arial"/>
          <w:color w:val="000000"/>
          <w:sz w:val="20"/>
          <w:szCs w:val="20"/>
        </w:rPr>
        <w:t>. The rule also requires a public disclosure composed of qualitative and quantitative information about the market risk associated with our trading activities and our related VaR and stressed-VaR measures. The qualitative and quantitative information requi</w:t>
      </w:r>
      <w:r>
        <w:rPr>
          <w:rFonts w:ascii="Arial" w:eastAsia="宋体" w:hAnsi="Arial" w:cs="Arial"/>
          <w:color w:val="000000"/>
          <w:sz w:val="20"/>
          <w:szCs w:val="20"/>
        </w:rPr>
        <w:t>red by the rule is provided under "Market Risk Management" included in this Management's Discussion and Analysis.</w:t>
      </w:r>
    </w:p>
    <w:p w14:paraId="5EA20C3C" w14:textId="77777777" w:rsidR="003C66EB" w:rsidRDefault="003C66EB">
      <w:pPr>
        <w:ind w:firstLine="450"/>
        <w:jc w:val="both"/>
      </w:pPr>
    </w:p>
    <w:p w14:paraId="5EA20C3D" w14:textId="77777777" w:rsidR="003C66EB" w:rsidRDefault="00D96C4E">
      <w:pPr>
        <w:ind w:firstLine="450"/>
        <w:jc w:val="right"/>
      </w:pPr>
      <w:r>
        <w:rPr>
          <w:rFonts w:ascii="Arial" w:eastAsia="宋体" w:hAnsi="Arial" w:cs="Arial"/>
          <w:color w:val="000000"/>
          <w:sz w:val="18"/>
          <w:szCs w:val="18"/>
        </w:rPr>
        <w:t>State Street Corporation | 38</w:t>
      </w:r>
    </w:p>
    <w:p w14:paraId="5EA20C3E" w14:textId="77777777" w:rsidR="003C66EB" w:rsidRDefault="003C66EB">
      <w:pPr>
        <w:ind w:firstLine="450"/>
        <w:jc w:val="center"/>
      </w:pPr>
    </w:p>
    <w:p w14:paraId="5EA20C3F" w14:textId="77777777" w:rsidR="003C66EB" w:rsidRDefault="00D96C4E">
      <w:r>
        <w:pict w14:anchorId="5EA287D6">
          <v:rect id="_x0000_i1062" style="width:415.3pt;height:1.5pt" o:hralign="center" o:hrstd="t" o:hr="t" fillcolor="#a0a0a0" stroked="f"/>
        </w:pict>
      </w:r>
    </w:p>
    <w:p w14:paraId="5EA20C40"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0C41" w14:textId="77777777" w:rsidR="003C66EB" w:rsidRDefault="00D96C4E">
      <w:pPr>
        <w:ind w:firstLine="450"/>
        <w:jc w:val="center"/>
      </w:pPr>
      <w:r>
        <w:rPr>
          <w:rFonts w:ascii="Arial" w:eastAsia="宋体" w:hAnsi="Arial" w:cs="Arial"/>
          <w:b/>
          <w:bCs/>
          <w:color w:val="000000"/>
          <w:sz w:val="20"/>
          <w:szCs w:val="20"/>
        </w:rPr>
        <w:t>AND RESULTS OF OPERATIONS</w:t>
      </w:r>
    </w:p>
    <w:p w14:paraId="5EA20C42" w14:textId="77777777" w:rsidR="003C66EB" w:rsidRDefault="00D96C4E">
      <w:pPr>
        <w:ind w:firstLine="450"/>
        <w:jc w:val="both"/>
      </w:pPr>
      <w:r>
        <w:rPr>
          <w:rFonts w:ascii="Arial" w:eastAsia="宋体" w:hAnsi="Arial" w:cs="Arial"/>
          <w:color w:val="000000"/>
          <w:sz w:val="20"/>
          <w:szCs w:val="20"/>
        </w:rPr>
        <w:t xml:space="preserve">The following </w:t>
      </w:r>
      <w:r>
        <w:rPr>
          <w:rFonts w:ascii="Arial" w:eastAsia="宋体" w:hAnsi="Arial" w:cs="Arial"/>
          <w:color w:val="000000"/>
          <w:sz w:val="20"/>
          <w:szCs w:val="20"/>
        </w:rPr>
        <w:t>table presents the regulatory capital structure and related regulatory capital ratios for us and State Street Bank as of the dates indicated. We are subject to the more stringent of the risk-based capital ratios calculated under the standardized approach a</w:t>
      </w:r>
      <w:r>
        <w:rPr>
          <w:rFonts w:ascii="Arial" w:eastAsia="宋体" w:hAnsi="Arial" w:cs="Arial"/>
          <w:color w:val="000000"/>
          <w:sz w:val="20"/>
          <w:szCs w:val="20"/>
        </w:rPr>
        <w:t>nd those calculated under the advanced approaches in the assessment of our capital adequacy under applicable bank regulatory standards.</w:t>
      </w:r>
    </w:p>
    <w:tbl>
      <w:tblPr>
        <w:tblW w:w="5000" w:type="pct"/>
        <w:tblCellMar>
          <w:top w:w="15" w:type="dxa"/>
          <w:left w:w="15" w:type="dxa"/>
          <w:bottom w:w="15" w:type="dxa"/>
          <w:right w:w="15" w:type="dxa"/>
        </w:tblCellMar>
        <w:tblLook w:val="04A0" w:firstRow="1" w:lastRow="0" w:firstColumn="1" w:lastColumn="0" w:noHBand="0" w:noVBand="1"/>
      </w:tblPr>
      <w:tblGrid>
        <w:gridCol w:w="86"/>
        <w:gridCol w:w="404"/>
        <w:gridCol w:w="39"/>
        <w:gridCol w:w="79"/>
        <w:gridCol w:w="604"/>
        <w:gridCol w:w="116"/>
        <w:gridCol w:w="79"/>
        <w:gridCol w:w="604"/>
        <w:gridCol w:w="116"/>
        <w:gridCol w:w="80"/>
        <w:gridCol w:w="407"/>
        <w:gridCol w:w="114"/>
        <w:gridCol w:w="37"/>
        <w:gridCol w:w="35"/>
        <w:gridCol w:w="35"/>
        <w:gridCol w:w="98"/>
        <w:gridCol w:w="553"/>
        <w:gridCol w:w="114"/>
        <w:gridCol w:w="37"/>
        <w:gridCol w:w="35"/>
        <w:gridCol w:w="35"/>
        <w:gridCol w:w="80"/>
        <w:gridCol w:w="407"/>
        <w:gridCol w:w="114"/>
        <w:gridCol w:w="37"/>
        <w:gridCol w:w="35"/>
        <w:gridCol w:w="35"/>
        <w:gridCol w:w="100"/>
        <w:gridCol w:w="549"/>
        <w:gridCol w:w="114"/>
        <w:gridCol w:w="37"/>
        <w:gridCol w:w="35"/>
        <w:gridCol w:w="35"/>
        <w:gridCol w:w="80"/>
        <w:gridCol w:w="407"/>
        <w:gridCol w:w="114"/>
        <w:gridCol w:w="37"/>
        <w:gridCol w:w="35"/>
        <w:gridCol w:w="35"/>
        <w:gridCol w:w="98"/>
        <w:gridCol w:w="553"/>
        <w:gridCol w:w="114"/>
        <w:gridCol w:w="37"/>
        <w:gridCol w:w="35"/>
        <w:gridCol w:w="35"/>
        <w:gridCol w:w="80"/>
        <w:gridCol w:w="407"/>
        <w:gridCol w:w="114"/>
        <w:gridCol w:w="37"/>
        <w:gridCol w:w="35"/>
        <w:gridCol w:w="35"/>
        <w:gridCol w:w="100"/>
        <w:gridCol w:w="549"/>
        <w:gridCol w:w="114"/>
      </w:tblGrid>
      <w:tr w:rsidR="003C66EB" w14:paraId="5EA20C79" w14:textId="77777777">
        <w:tc>
          <w:tcPr>
            <w:tcW w:w="50" w:type="pct"/>
            <w:shd w:val="clear" w:color="auto" w:fill="auto"/>
          </w:tcPr>
          <w:p w14:paraId="5EA20C43" w14:textId="77777777" w:rsidR="003C66EB" w:rsidRDefault="003C66EB">
            <w:pPr>
              <w:rPr>
                <w:rFonts w:ascii="宋体"/>
              </w:rPr>
            </w:pPr>
          </w:p>
        </w:tc>
        <w:tc>
          <w:tcPr>
            <w:tcW w:w="412" w:type="pct"/>
            <w:shd w:val="clear" w:color="auto" w:fill="auto"/>
          </w:tcPr>
          <w:p w14:paraId="5EA20C44" w14:textId="77777777" w:rsidR="003C66EB" w:rsidRDefault="003C66EB">
            <w:pPr>
              <w:rPr>
                <w:rFonts w:ascii="宋体"/>
              </w:rPr>
            </w:pPr>
          </w:p>
        </w:tc>
        <w:tc>
          <w:tcPr>
            <w:tcW w:w="5" w:type="pct"/>
            <w:shd w:val="clear" w:color="auto" w:fill="auto"/>
          </w:tcPr>
          <w:p w14:paraId="5EA20C45" w14:textId="77777777" w:rsidR="003C66EB" w:rsidRDefault="003C66EB">
            <w:pPr>
              <w:rPr>
                <w:rFonts w:ascii="宋体"/>
              </w:rPr>
            </w:pPr>
          </w:p>
        </w:tc>
        <w:tc>
          <w:tcPr>
            <w:tcW w:w="50" w:type="pct"/>
            <w:shd w:val="clear" w:color="auto" w:fill="auto"/>
          </w:tcPr>
          <w:p w14:paraId="5EA20C46" w14:textId="77777777" w:rsidR="003C66EB" w:rsidRDefault="003C66EB">
            <w:pPr>
              <w:rPr>
                <w:rFonts w:ascii="宋体"/>
              </w:rPr>
            </w:pPr>
          </w:p>
        </w:tc>
        <w:tc>
          <w:tcPr>
            <w:tcW w:w="412" w:type="pct"/>
            <w:shd w:val="clear" w:color="auto" w:fill="auto"/>
          </w:tcPr>
          <w:p w14:paraId="5EA20C47" w14:textId="77777777" w:rsidR="003C66EB" w:rsidRDefault="003C66EB">
            <w:pPr>
              <w:rPr>
                <w:rFonts w:ascii="宋体"/>
              </w:rPr>
            </w:pPr>
          </w:p>
        </w:tc>
        <w:tc>
          <w:tcPr>
            <w:tcW w:w="5" w:type="pct"/>
            <w:shd w:val="clear" w:color="auto" w:fill="auto"/>
          </w:tcPr>
          <w:p w14:paraId="5EA20C48" w14:textId="77777777" w:rsidR="003C66EB" w:rsidRDefault="003C66EB">
            <w:pPr>
              <w:rPr>
                <w:rFonts w:ascii="宋体"/>
              </w:rPr>
            </w:pPr>
          </w:p>
        </w:tc>
        <w:tc>
          <w:tcPr>
            <w:tcW w:w="50" w:type="pct"/>
            <w:shd w:val="clear" w:color="auto" w:fill="auto"/>
          </w:tcPr>
          <w:p w14:paraId="5EA20C49" w14:textId="77777777" w:rsidR="003C66EB" w:rsidRDefault="003C66EB">
            <w:pPr>
              <w:rPr>
                <w:rFonts w:ascii="宋体"/>
              </w:rPr>
            </w:pPr>
          </w:p>
        </w:tc>
        <w:tc>
          <w:tcPr>
            <w:tcW w:w="412" w:type="pct"/>
            <w:shd w:val="clear" w:color="auto" w:fill="auto"/>
          </w:tcPr>
          <w:p w14:paraId="5EA20C4A" w14:textId="77777777" w:rsidR="003C66EB" w:rsidRDefault="003C66EB">
            <w:pPr>
              <w:rPr>
                <w:rFonts w:ascii="宋体"/>
              </w:rPr>
            </w:pPr>
          </w:p>
        </w:tc>
        <w:tc>
          <w:tcPr>
            <w:tcW w:w="5" w:type="pct"/>
            <w:shd w:val="clear" w:color="auto" w:fill="auto"/>
          </w:tcPr>
          <w:p w14:paraId="5EA20C4B" w14:textId="77777777" w:rsidR="003C66EB" w:rsidRDefault="003C66EB">
            <w:pPr>
              <w:rPr>
                <w:rFonts w:ascii="宋体"/>
              </w:rPr>
            </w:pPr>
          </w:p>
        </w:tc>
        <w:tc>
          <w:tcPr>
            <w:tcW w:w="50" w:type="pct"/>
            <w:shd w:val="clear" w:color="auto" w:fill="auto"/>
          </w:tcPr>
          <w:p w14:paraId="5EA20C4C" w14:textId="77777777" w:rsidR="003C66EB" w:rsidRDefault="003C66EB">
            <w:pPr>
              <w:rPr>
                <w:rFonts w:ascii="宋体"/>
              </w:rPr>
            </w:pPr>
          </w:p>
        </w:tc>
        <w:tc>
          <w:tcPr>
            <w:tcW w:w="354" w:type="pct"/>
            <w:shd w:val="clear" w:color="auto" w:fill="auto"/>
          </w:tcPr>
          <w:p w14:paraId="5EA20C4D" w14:textId="77777777" w:rsidR="003C66EB" w:rsidRDefault="003C66EB">
            <w:pPr>
              <w:rPr>
                <w:rFonts w:ascii="宋体"/>
              </w:rPr>
            </w:pPr>
          </w:p>
        </w:tc>
        <w:tc>
          <w:tcPr>
            <w:tcW w:w="5" w:type="pct"/>
            <w:shd w:val="clear" w:color="auto" w:fill="auto"/>
          </w:tcPr>
          <w:p w14:paraId="5EA20C4E" w14:textId="77777777" w:rsidR="003C66EB" w:rsidRDefault="003C66EB">
            <w:pPr>
              <w:rPr>
                <w:rFonts w:ascii="宋体"/>
              </w:rPr>
            </w:pPr>
          </w:p>
        </w:tc>
        <w:tc>
          <w:tcPr>
            <w:tcW w:w="5" w:type="pct"/>
            <w:shd w:val="clear" w:color="auto" w:fill="auto"/>
          </w:tcPr>
          <w:p w14:paraId="5EA20C4F" w14:textId="77777777" w:rsidR="003C66EB" w:rsidRDefault="003C66EB">
            <w:pPr>
              <w:rPr>
                <w:rFonts w:ascii="宋体"/>
              </w:rPr>
            </w:pPr>
          </w:p>
        </w:tc>
        <w:tc>
          <w:tcPr>
            <w:tcW w:w="26" w:type="pct"/>
            <w:shd w:val="clear" w:color="auto" w:fill="auto"/>
          </w:tcPr>
          <w:p w14:paraId="5EA20C50" w14:textId="77777777" w:rsidR="003C66EB" w:rsidRDefault="003C66EB">
            <w:pPr>
              <w:rPr>
                <w:rFonts w:ascii="宋体"/>
              </w:rPr>
            </w:pPr>
          </w:p>
        </w:tc>
        <w:tc>
          <w:tcPr>
            <w:tcW w:w="5" w:type="pct"/>
            <w:shd w:val="clear" w:color="auto" w:fill="auto"/>
          </w:tcPr>
          <w:p w14:paraId="5EA20C51" w14:textId="77777777" w:rsidR="003C66EB" w:rsidRDefault="003C66EB">
            <w:pPr>
              <w:rPr>
                <w:rFonts w:ascii="宋体"/>
              </w:rPr>
            </w:pPr>
          </w:p>
        </w:tc>
        <w:tc>
          <w:tcPr>
            <w:tcW w:w="50" w:type="pct"/>
            <w:shd w:val="clear" w:color="auto" w:fill="auto"/>
          </w:tcPr>
          <w:p w14:paraId="5EA20C52" w14:textId="77777777" w:rsidR="003C66EB" w:rsidRDefault="003C66EB">
            <w:pPr>
              <w:rPr>
                <w:rFonts w:ascii="宋体"/>
              </w:rPr>
            </w:pPr>
          </w:p>
        </w:tc>
        <w:tc>
          <w:tcPr>
            <w:tcW w:w="376" w:type="pct"/>
            <w:shd w:val="clear" w:color="auto" w:fill="auto"/>
          </w:tcPr>
          <w:p w14:paraId="5EA20C53" w14:textId="77777777" w:rsidR="003C66EB" w:rsidRDefault="003C66EB">
            <w:pPr>
              <w:rPr>
                <w:rFonts w:ascii="宋体"/>
              </w:rPr>
            </w:pPr>
          </w:p>
        </w:tc>
        <w:tc>
          <w:tcPr>
            <w:tcW w:w="5" w:type="pct"/>
            <w:shd w:val="clear" w:color="auto" w:fill="auto"/>
          </w:tcPr>
          <w:p w14:paraId="5EA20C54" w14:textId="77777777" w:rsidR="003C66EB" w:rsidRDefault="003C66EB">
            <w:pPr>
              <w:rPr>
                <w:rFonts w:ascii="宋体"/>
              </w:rPr>
            </w:pPr>
          </w:p>
        </w:tc>
        <w:tc>
          <w:tcPr>
            <w:tcW w:w="5" w:type="pct"/>
            <w:shd w:val="clear" w:color="auto" w:fill="auto"/>
          </w:tcPr>
          <w:p w14:paraId="5EA20C55" w14:textId="77777777" w:rsidR="003C66EB" w:rsidRDefault="003C66EB">
            <w:pPr>
              <w:rPr>
                <w:rFonts w:ascii="宋体"/>
              </w:rPr>
            </w:pPr>
          </w:p>
        </w:tc>
        <w:tc>
          <w:tcPr>
            <w:tcW w:w="26" w:type="pct"/>
            <w:shd w:val="clear" w:color="auto" w:fill="auto"/>
          </w:tcPr>
          <w:p w14:paraId="5EA20C56" w14:textId="77777777" w:rsidR="003C66EB" w:rsidRDefault="003C66EB">
            <w:pPr>
              <w:rPr>
                <w:rFonts w:ascii="宋体"/>
              </w:rPr>
            </w:pPr>
          </w:p>
        </w:tc>
        <w:tc>
          <w:tcPr>
            <w:tcW w:w="5" w:type="pct"/>
            <w:shd w:val="clear" w:color="auto" w:fill="auto"/>
          </w:tcPr>
          <w:p w14:paraId="5EA20C57" w14:textId="77777777" w:rsidR="003C66EB" w:rsidRDefault="003C66EB">
            <w:pPr>
              <w:rPr>
                <w:rFonts w:ascii="宋体"/>
              </w:rPr>
            </w:pPr>
          </w:p>
        </w:tc>
        <w:tc>
          <w:tcPr>
            <w:tcW w:w="50" w:type="pct"/>
            <w:shd w:val="clear" w:color="auto" w:fill="auto"/>
          </w:tcPr>
          <w:p w14:paraId="5EA20C58" w14:textId="77777777" w:rsidR="003C66EB" w:rsidRDefault="003C66EB">
            <w:pPr>
              <w:rPr>
                <w:rFonts w:ascii="宋体"/>
              </w:rPr>
            </w:pPr>
          </w:p>
        </w:tc>
        <w:tc>
          <w:tcPr>
            <w:tcW w:w="354" w:type="pct"/>
            <w:shd w:val="clear" w:color="auto" w:fill="auto"/>
          </w:tcPr>
          <w:p w14:paraId="5EA20C59" w14:textId="77777777" w:rsidR="003C66EB" w:rsidRDefault="003C66EB">
            <w:pPr>
              <w:rPr>
                <w:rFonts w:ascii="宋体"/>
              </w:rPr>
            </w:pPr>
          </w:p>
        </w:tc>
        <w:tc>
          <w:tcPr>
            <w:tcW w:w="5" w:type="pct"/>
            <w:shd w:val="clear" w:color="auto" w:fill="auto"/>
          </w:tcPr>
          <w:p w14:paraId="5EA20C5A" w14:textId="77777777" w:rsidR="003C66EB" w:rsidRDefault="003C66EB">
            <w:pPr>
              <w:rPr>
                <w:rFonts w:ascii="宋体"/>
              </w:rPr>
            </w:pPr>
          </w:p>
        </w:tc>
        <w:tc>
          <w:tcPr>
            <w:tcW w:w="5" w:type="pct"/>
            <w:shd w:val="clear" w:color="auto" w:fill="auto"/>
          </w:tcPr>
          <w:p w14:paraId="5EA20C5B" w14:textId="77777777" w:rsidR="003C66EB" w:rsidRDefault="003C66EB">
            <w:pPr>
              <w:rPr>
                <w:rFonts w:ascii="宋体"/>
              </w:rPr>
            </w:pPr>
          </w:p>
        </w:tc>
        <w:tc>
          <w:tcPr>
            <w:tcW w:w="26" w:type="pct"/>
            <w:shd w:val="clear" w:color="auto" w:fill="auto"/>
          </w:tcPr>
          <w:p w14:paraId="5EA20C5C" w14:textId="77777777" w:rsidR="003C66EB" w:rsidRDefault="003C66EB">
            <w:pPr>
              <w:rPr>
                <w:rFonts w:ascii="宋体"/>
              </w:rPr>
            </w:pPr>
          </w:p>
        </w:tc>
        <w:tc>
          <w:tcPr>
            <w:tcW w:w="5" w:type="pct"/>
            <w:shd w:val="clear" w:color="auto" w:fill="auto"/>
          </w:tcPr>
          <w:p w14:paraId="5EA20C5D" w14:textId="77777777" w:rsidR="003C66EB" w:rsidRDefault="003C66EB">
            <w:pPr>
              <w:rPr>
                <w:rFonts w:ascii="宋体"/>
              </w:rPr>
            </w:pPr>
          </w:p>
        </w:tc>
        <w:tc>
          <w:tcPr>
            <w:tcW w:w="50" w:type="pct"/>
            <w:shd w:val="clear" w:color="auto" w:fill="auto"/>
          </w:tcPr>
          <w:p w14:paraId="5EA20C5E" w14:textId="77777777" w:rsidR="003C66EB" w:rsidRDefault="003C66EB">
            <w:pPr>
              <w:rPr>
                <w:rFonts w:ascii="宋体"/>
              </w:rPr>
            </w:pPr>
          </w:p>
        </w:tc>
        <w:tc>
          <w:tcPr>
            <w:tcW w:w="354" w:type="pct"/>
            <w:shd w:val="clear" w:color="auto" w:fill="auto"/>
          </w:tcPr>
          <w:p w14:paraId="5EA20C5F" w14:textId="77777777" w:rsidR="003C66EB" w:rsidRDefault="003C66EB">
            <w:pPr>
              <w:rPr>
                <w:rFonts w:ascii="宋体"/>
              </w:rPr>
            </w:pPr>
          </w:p>
        </w:tc>
        <w:tc>
          <w:tcPr>
            <w:tcW w:w="5" w:type="pct"/>
            <w:shd w:val="clear" w:color="auto" w:fill="auto"/>
          </w:tcPr>
          <w:p w14:paraId="5EA20C60" w14:textId="77777777" w:rsidR="003C66EB" w:rsidRDefault="003C66EB">
            <w:pPr>
              <w:rPr>
                <w:rFonts w:ascii="宋体"/>
              </w:rPr>
            </w:pPr>
          </w:p>
        </w:tc>
        <w:tc>
          <w:tcPr>
            <w:tcW w:w="5" w:type="pct"/>
            <w:shd w:val="clear" w:color="auto" w:fill="auto"/>
          </w:tcPr>
          <w:p w14:paraId="5EA20C61" w14:textId="77777777" w:rsidR="003C66EB" w:rsidRDefault="003C66EB">
            <w:pPr>
              <w:rPr>
                <w:rFonts w:ascii="宋体"/>
              </w:rPr>
            </w:pPr>
          </w:p>
        </w:tc>
        <w:tc>
          <w:tcPr>
            <w:tcW w:w="26" w:type="pct"/>
            <w:shd w:val="clear" w:color="auto" w:fill="auto"/>
          </w:tcPr>
          <w:p w14:paraId="5EA20C62" w14:textId="77777777" w:rsidR="003C66EB" w:rsidRDefault="003C66EB">
            <w:pPr>
              <w:rPr>
                <w:rFonts w:ascii="宋体"/>
              </w:rPr>
            </w:pPr>
          </w:p>
        </w:tc>
        <w:tc>
          <w:tcPr>
            <w:tcW w:w="5" w:type="pct"/>
            <w:shd w:val="clear" w:color="auto" w:fill="auto"/>
          </w:tcPr>
          <w:p w14:paraId="5EA20C63" w14:textId="77777777" w:rsidR="003C66EB" w:rsidRDefault="003C66EB">
            <w:pPr>
              <w:rPr>
                <w:rFonts w:ascii="宋体"/>
              </w:rPr>
            </w:pPr>
          </w:p>
        </w:tc>
        <w:tc>
          <w:tcPr>
            <w:tcW w:w="50" w:type="pct"/>
            <w:shd w:val="clear" w:color="auto" w:fill="auto"/>
          </w:tcPr>
          <w:p w14:paraId="5EA20C64" w14:textId="77777777" w:rsidR="003C66EB" w:rsidRDefault="003C66EB">
            <w:pPr>
              <w:rPr>
                <w:rFonts w:ascii="宋体"/>
              </w:rPr>
            </w:pPr>
          </w:p>
        </w:tc>
        <w:tc>
          <w:tcPr>
            <w:tcW w:w="376" w:type="pct"/>
            <w:shd w:val="clear" w:color="auto" w:fill="auto"/>
          </w:tcPr>
          <w:p w14:paraId="5EA20C65" w14:textId="77777777" w:rsidR="003C66EB" w:rsidRDefault="003C66EB">
            <w:pPr>
              <w:rPr>
                <w:rFonts w:ascii="宋体"/>
              </w:rPr>
            </w:pPr>
          </w:p>
        </w:tc>
        <w:tc>
          <w:tcPr>
            <w:tcW w:w="5" w:type="pct"/>
            <w:shd w:val="clear" w:color="auto" w:fill="auto"/>
          </w:tcPr>
          <w:p w14:paraId="5EA20C66" w14:textId="77777777" w:rsidR="003C66EB" w:rsidRDefault="003C66EB">
            <w:pPr>
              <w:rPr>
                <w:rFonts w:ascii="宋体"/>
              </w:rPr>
            </w:pPr>
          </w:p>
        </w:tc>
        <w:tc>
          <w:tcPr>
            <w:tcW w:w="5" w:type="pct"/>
            <w:shd w:val="clear" w:color="auto" w:fill="auto"/>
          </w:tcPr>
          <w:p w14:paraId="5EA20C67" w14:textId="77777777" w:rsidR="003C66EB" w:rsidRDefault="003C66EB">
            <w:pPr>
              <w:rPr>
                <w:rFonts w:ascii="宋体"/>
              </w:rPr>
            </w:pPr>
          </w:p>
        </w:tc>
        <w:tc>
          <w:tcPr>
            <w:tcW w:w="26" w:type="pct"/>
            <w:shd w:val="clear" w:color="auto" w:fill="auto"/>
          </w:tcPr>
          <w:p w14:paraId="5EA20C68" w14:textId="77777777" w:rsidR="003C66EB" w:rsidRDefault="003C66EB">
            <w:pPr>
              <w:rPr>
                <w:rFonts w:ascii="宋体"/>
              </w:rPr>
            </w:pPr>
          </w:p>
        </w:tc>
        <w:tc>
          <w:tcPr>
            <w:tcW w:w="5" w:type="pct"/>
            <w:shd w:val="clear" w:color="auto" w:fill="auto"/>
          </w:tcPr>
          <w:p w14:paraId="5EA20C69" w14:textId="77777777" w:rsidR="003C66EB" w:rsidRDefault="003C66EB">
            <w:pPr>
              <w:rPr>
                <w:rFonts w:ascii="宋体"/>
              </w:rPr>
            </w:pPr>
          </w:p>
        </w:tc>
        <w:tc>
          <w:tcPr>
            <w:tcW w:w="50" w:type="pct"/>
            <w:shd w:val="clear" w:color="auto" w:fill="auto"/>
          </w:tcPr>
          <w:p w14:paraId="5EA20C6A" w14:textId="77777777" w:rsidR="003C66EB" w:rsidRDefault="003C66EB">
            <w:pPr>
              <w:rPr>
                <w:rFonts w:ascii="宋体"/>
              </w:rPr>
            </w:pPr>
          </w:p>
        </w:tc>
        <w:tc>
          <w:tcPr>
            <w:tcW w:w="376" w:type="pct"/>
            <w:shd w:val="clear" w:color="auto" w:fill="auto"/>
          </w:tcPr>
          <w:p w14:paraId="5EA20C6B" w14:textId="77777777" w:rsidR="003C66EB" w:rsidRDefault="003C66EB">
            <w:pPr>
              <w:rPr>
                <w:rFonts w:ascii="宋体"/>
              </w:rPr>
            </w:pPr>
          </w:p>
        </w:tc>
        <w:tc>
          <w:tcPr>
            <w:tcW w:w="5" w:type="pct"/>
            <w:shd w:val="clear" w:color="auto" w:fill="auto"/>
          </w:tcPr>
          <w:p w14:paraId="5EA20C6C" w14:textId="77777777" w:rsidR="003C66EB" w:rsidRDefault="003C66EB">
            <w:pPr>
              <w:rPr>
                <w:rFonts w:ascii="宋体"/>
              </w:rPr>
            </w:pPr>
          </w:p>
        </w:tc>
        <w:tc>
          <w:tcPr>
            <w:tcW w:w="5" w:type="pct"/>
            <w:shd w:val="clear" w:color="auto" w:fill="auto"/>
          </w:tcPr>
          <w:p w14:paraId="5EA20C6D" w14:textId="77777777" w:rsidR="003C66EB" w:rsidRDefault="003C66EB">
            <w:pPr>
              <w:rPr>
                <w:rFonts w:ascii="宋体"/>
              </w:rPr>
            </w:pPr>
          </w:p>
        </w:tc>
        <w:tc>
          <w:tcPr>
            <w:tcW w:w="26" w:type="pct"/>
            <w:shd w:val="clear" w:color="auto" w:fill="auto"/>
          </w:tcPr>
          <w:p w14:paraId="5EA20C6E" w14:textId="77777777" w:rsidR="003C66EB" w:rsidRDefault="003C66EB">
            <w:pPr>
              <w:rPr>
                <w:rFonts w:ascii="宋体"/>
              </w:rPr>
            </w:pPr>
          </w:p>
        </w:tc>
        <w:tc>
          <w:tcPr>
            <w:tcW w:w="5" w:type="pct"/>
            <w:shd w:val="clear" w:color="auto" w:fill="auto"/>
          </w:tcPr>
          <w:p w14:paraId="5EA20C6F" w14:textId="77777777" w:rsidR="003C66EB" w:rsidRDefault="003C66EB">
            <w:pPr>
              <w:rPr>
                <w:rFonts w:ascii="宋体"/>
              </w:rPr>
            </w:pPr>
          </w:p>
        </w:tc>
        <w:tc>
          <w:tcPr>
            <w:tcW w:w="50" w:type="pct"/>
            <w:shd w:val="clear" w:color="auto" w:fill="auto"/>
          </w:tcPr>
          <w:p w14:paraId="5EA20C70" w14:textId="77777777" w:rsidR="003C66EB" w:rsidRDefault="003C66EB">
            <w:pPr>
              <w:rPr>
                <w:rFonts w:ascii="宋体"/>
              </w:rPr>
            </w:pPr>
          </w:p>
        </w:tc>
        <w:tc>
          <w:tcPr>
            <w:tcW w:w="354" w:type="pct"/>
            <w:shd w:val="clear" w:color="auto" w:fill="auto"/>
          </w:tcPr>
          <w:p w14:paraId="5EA20C71" w14:textId="77777777" w:rsidR="003C66EB" w:rsidRDefault="003C66EB">
            <w:pPr>
              <w:rPr>
                <w:rFonts w:ascii="宋体"/>
              </w:rPr>
            </w:pPr>
          </w:p>
        </w:tc>
        <w:tc>
          <w:tcPr>
            <w:tcW w:w="5" w:type="pct"/>
            <w:shd w:val="clear" w:color="auto" w:fill="auto"/>
          </w:tcPr>
          <w:p w14:paraId="5EA20C72" w14:textId="77777777" w:rsidR="003C66EB" w:rsidRDefault="003C66EB">
            <w:pPr>
              <w:rPr>
                <w:rFonts w:ascii="宋体"/>
              </w:rPr>
            </w:pPr>
          </w:p>
        </w:tc>
        <w:tc>
          <w:tcPr>
            <w:tcW w:w="5" w:type="pct"/>
            <w:shd w:val="clear" w:color="auto" w:fill="auto"/>
          </w:tcPr>
          <w:p w14:paraId="5EA20C73" w14:textId="77777777" w:rsidR="003C66EB" w:rsidRDefault="003C66EB">
            <w:pPr>
              <w:rPr>
                <w:rFonts w:ascii="宋体"/>
              </w:rPr>
            </w:pPr>
          </w:p>
        </w:tc>
        <w:tc>
          <w:tcPr>
            <w:tcW w:w="26" w:type="pct"/>
            <w:shd w:val="clear" w:color="auto" w:fill="auto"/>
          </w:tcPr>
          <w:p w14:paraId="5EA20C74" w14:textId="77777777" w:rsidR="003C66EB" w:rsidRDefault="003C66EB">
            <w:pPr>
              <w:rPr>
                <w:rFonts w:ascii="宋体"/>
              </w:rPr>
            </w:pPr>
          </w:p>
        </w:tc>
        <w:tc>
          <w:tcPr>
            <w:tcW w:w="5" w:type="pct"/>
            <w:shd w:val="clear" w:color="auto" w:fill="auto"/>
          </w:tcPr>
          <w:p w14:paraId="5EA20C75" w14:textId="77777777" w:rsidR="003C66EB" w:rsidRDefault="003C66EB">
            <w:pPr>
              <w:rPr>
                <w:rFonts w:ascii="宋体"/>
              </w:rPr>
            </w:pPr>
          </w:p>
        </w:tc>
        <w:tc>
          <w:tcPr>
            <w:tcW w:w="50" w:type="pct"/>
            <w:shd w:val="clear" w:color="auto" w:fill="auto"/>
          </w:tcPr>
          <w:p w14:paraId="5EA20C76" w14:textId="77777777" w:rsidR="003C66EB" w:rsidRDefault="003C66EB">
            <w:pPr>
              <w:rPr>
                <w:rFonts w:ascii="宋体"/>
              </w:rPr>
            </w:pPr>
          </w:p>
        </w:tc>
        <w:tc>
          <w:tcPr>
            <w:tcW w:w="354" w:type="pct"/>
            <w:shd w:val="clear" w:color="auto" w:fill="auto"/>
          </w:tcPr>
          <w:p w14:paraId="5EA20C77" w14:textId="77777777" w:rsidR="003C66EB" w:rsidRDefault="003C66EB">
            <w:pPr>
              <w:rPr>
                <w:rFonts w:ascii="宋体"/>
              </w:rPr>
            </w:pPr>
          </w:p>
        </w:tc>
        <w:tc>
          <w:tcPr>
            <w:tcW w:w="5" w:type="pct"/>
            <w:shd w:val="clear" w:color="auto" w:fill="auto"/>
          </w:tcPr>
          <w:p w14:paraId="5EA20C78" w14:textId="77777777" w:rsidR="003C66EB" w:rsidRDefault="003C66EB">
            <w:pPr>
              <w:rPr>
                <w:rFonts w:ascii="宋体"/>
              </w:rPr>
            </w:pPr>
          </w:p>
        </w:tc>
      </w:tr>
      <w:tr w:rsidR="003C66EB" w14:paraId="5EA20C7B" w14:textId="77777777">
        <w:tc>
          <w:tcPr>
            <w:tcW w:w="0" w:type="auto"/>
            <w:gridSpan w:val="54"/>
            <w:shd w:val="clear" w:color="auto" w:fill="auto"/>
            <w:tcMar>
              <w:top w:w="40" w:type="dxa"/>
              <w:left w:w="20" w:type="dxa"/>
              <w:bottom w:w="40" w:type="dxa"/>
              <w:right w:w="20" w:type="dxa"/>
            </w:tcMar>
            <w:vAlign w:val="center"/>
          </w:tcPr>
          <w:p w14:paraId="5EA20C7A" w14:textId="77777777" w:rsidR="003C66EB" w:rsidRDefault="00D96C4E">
            <w:pPr>
              <w:textAlignment w:val="center"/>
            </w:pPr>
            <w:r>
              <w:rPr>
                <w:rFonts w:ascii="Arial" w:eastAsia="宋体" w:hAnsi="Arial" w:cs="Arial"/>
                <w:b/>
                <w:bCs/>
                <w:color w:val="000000"/>
                <w:sz w:val="16"/>
                <w:szCs w:val="16"/>
              </w:rPr>
              <w:t>TABLE 35: REGULATORY CAPITAL STRUCTURE AND RELATED REGULATORY CAPITAL RATIOS</w:t>
            </w:r>
          </w:p>
        </w:tc>
      </w:tr>
      <w:tr w:rsidR="003C66EB" w14:paraId="5EA20C80" w14:textId="77777777">
        <w:tc>
          <w:tcPr>
            <w:tcW w:w="0" w:type="auto"/>
            <w:gridSpan w:val="9"/>
            <w:shd w:val="clear" w:color="auto" w:fill="auto"/>
            <w:tcMar>
              <w:top w:w="0" w:type="dxa"/>
              <w:left w:w="20" w:type="dxa"/>
              <w:bottom w:w="0" w:type="dxa"/>
              <w:right w:w="20" w:type="dxa"/>
            </w:tcMar>
          </w:tcPr>
          <w:p w14:paraId="5EA20C7C" w14:textId="77777777" w:rsidR="003C66EB" w:rsidRDefault="003C66EB">
            <w:pPr>
              <w:rPr>
                <w:rFonts w:ascii="宋体"/>
              </w:rPr>
            </w:pPr>
          </w:p>
        </w:tc>
        <w:tc>
          <w:tcPr>
            <w:tcW w:w="0" w:type="auto"/>
            <w:gridSpan w:val="21"/>
            <w:shd w:val="clear" w:color="auto" w:fill="auto"/>
            <w:tcMar>
              <w:top w:w="40" w:type="dxa"/>
              <w:left w:w="20" w:type="dxa"/>
              <w:bottom w:w="40" w:type="dxa"/>
              <w:right w:w="20" w:type="dxa"/>
            </w:tcMar>
            <w:vAlign w:val="bottom"/>
          </w:tcPr>
          <w:p w14:paraId="5EA20C7D" w14:textId="77777777" w:rsidR="003C66EB" w:rsidRDefault="00D96C4E">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tcPr>
          <w:p w14:paraId="5EA20C7E" w14:textId="77777777" w:rsidR="003C66EB" w:rsidRDefault="003C66EB">
            <w:pPr>
              <w:rPr>
                <w:rFonts w:ascii="宋体"/>
              </w:rPr>
            </w:pPr>
          </w:p>
        </w:tc>
        <w:tc>
          <w:tcPr>
            <w:tcW w:w="0" w:type="auto"/>
            <w:gridSpan w:val="21"/>
            <w:shd w:val="clear" w:color="auto" w:fill="auto"/>
            <w:tcMar>
              <w:top w:w="40" w:type="dxa"/>
              <w:left w:w="20" w:type="dxa"/>
              <w:bottom w:w="40" w:type="dxa"/>
              <w:right w:w="20" w:type="dxa"/>
            </w:tcMar>
            <w:vAlign w:val="bottom"/>
          </w:tcPr>
          <w:p w14:paraId="5EA20C7F" w14:textId="77777777" w:rsidR="003C66EB" w:rsidRDefault="00D96C4E">
            <w:pPr>
              <w:jc w:val="center"/>
              <w:textAlignment w:val="bottom"/>
            </w:pPr>
            <w:r>
              <w:rPr>
                <w:rFonts w:ascii="Arial" w:eastAsia="宋体" w:hAnsi="Arial" w:cs="Arial"/>
                <w:b/>
                <w:bCs/>
                <w:color w:val="000000"/>
                <w:sz w:val="14"/>
                <w:szCs w:val="14"/>
              </w:rPr>
              <w:t>State Street Bank</w:t>
            </w:r>
          </w:p>
        </w:tc>
      </w:tr>
      <w:tr w:rsidR="003C66EB" w14:paraId="5EA20C91" w14:textId="77777777">
        <w:tc>
          <w:tcPr>
            <w:tcW w:w="0" w:type="auto"/>
            <w:gridSpan w:val="9"/>
            <w:shd w:val="clear" w:color="auto" w:fill="auto"/>
            <w:tcMar>
              <w:top w:w="40" w:type="dxa"/>
              <w:left w:w="20" w:type="dxa"/>
              <w:bottom w:w="40" w:type="dxa"/>
              <w:right w:w="20" w:type="dxa"/>
            </w:tcMar>
            <w:vAlign w:val="bottom"/>
          </w:tcPr>
          <w:p w14:paraId="5EA20C81" w14:textId="77777777" w:rsidR="003C66EB" w:rsidRDefault="00D96C4E">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2" w14:textId="77777777" w:rsidR="003C66EB" w:rsidRDefault="00D96C4E">
            <w:pPr>
              <w:jc w:val="center"/>
              <w:textAlignment w:val="bottom"/>
            </w:pPr>
            <w:r>
              <w:rPr>
                <w:rFonts w:ascii="Arial" w:eastAsia="宋体" w:hAnsi="Arial" w:cs="Arial"/>
                <w:b/>
                <w:bCs/>
                <w:color w:val="000000"/>
                <w:sz w:val="11"/>
                <w:szCs w:val="11"/>
              </w:rPr>
              <w:t>Basel III Advanced Approaches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0C8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4" w14:textId="77777777" w:rsidR="003C66EB" w:rsidRDefault="00D96C4E">
            <w:pPr>
              <w:jc w:val="center"/>
              <w:textAlignment w:val="bottom"/>
            </w:pPr>
            <w:r>
              <w:rPr>
                <w:rFonts w:ascii="Arial" w:eastAsia="宋体" w:hAnsi="Arial" w:cs="Arial"/>
                <w:b/>
                <w:bCs/>
                <w:color w:val="000000"/>
                <w:sz w:val="11"/>
                <w:szCs w:val="11"/>
              </w:rPr>
              <w:t>Basel III Standardized Approach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0C8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6" w14:textId="77777777" w:rsidR="003C66EB" w:rsidRDefault="00D96C4E">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0C8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8" w14:textId="77777777" w:rsidR="003C66EB" w:rsidRDefault="00D96C4E">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tcPr>
          <w:p w14:paraId="5EA20C8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A" w14:textId="77777777" w:rsidR="003C66EB" w:rsidRDefault="00D96C4E">
            <w:pPr>
              <w:jc w:val="center"/>
              <w:textAlignment w:val="bottom"/>
            </w:pPr>
            <w:r>
              <w:rPr>
                <w:rFonts w:ascii="Arial" w:eastAsia="宋体" w:hAnsi="Arial" w:cs="Arial"/>
                <w:b/>
                <w:bCs/>
                <w:color w:val="000000"/>
                <w:sz w:val="11"/>
                <w:szCs w:val="11"/>
              </w:rPr>
              <w:t>Basel III Advanced Approaches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0C8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C" w14:textId="77777777" w:rsidR="003C66EB" w:rsidRDefault="00D96C4E">
            <w:pPr>
              <w:jc w:val="center"/>
              <w:textAlignment w:val="bottom"/>
            </w:pPr>
            <w:r>
              <w:rPr>
                <w:rFonts w:ascii="Arial" w:eastAsia="宋体" w:hAnsi="Arial" w:cs="Arial"/>
                <w:b/>
                <w:bCs/>
                <w:color w:val="000000"/>
                <w:sz w:val="11"/>
                <w:szCs w:val="11"/>
              </w:rPr>
              <w:t xml:space="preserve">Basel III </w:t>
            </w:r>
            <w:r>
              <w:rPr>
                <w:rFonts w:ascii="Arial" w:eastAsia="宋体" w:hAnsi="Arial" w:cs="Arial"/>
                <w:b/>
                <w:bCs/>
                <w:color w:val="000000"/>
                <w:sz w:val="11"/>
                <w:szCs w:val="11"/>
              </w:rPr>
              <w:t>Standardized Approach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0C8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8E" w14:textId="77777777" w:rsidR="003C66EB" w:rsidRDefault="00D96C4E">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0C8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0C90" w14:textId="77777777" w:rsidR="003C66EB" w:rsidRDefault="00D96C4E">
            <w:pPr>
              <w:jc w:val="center"/>
              <w:textAlignment w:val="bottom"/>
            </w:pPr>
            <w:r>
              <w:rPr>
                <w:rFonts w:ascii="Arial" w:eastAsia="宋体" w:hAnsi="Arial" w:cs="Arial"/>
                <w:b/>
                <w:bCs/>
                <w:color w:val="000000"/>
                <w:sz w:val="11"/>
                <w:szCs w:val="11"/>
              </w:rPr>
              <w:t>Basel III Standardized Approach December 31, 2020</w:t>
            </w:r>
          </w:p>
        </w:tc>
      </w:tr>
      <w:tr w:rsidR="003C66EB" w14:paraId="5EA20CA2" w14:textId="77777777">
        <w:tc>
          <w:tcPr>
            <w:tcW w:w="0" w:type="auto"/>
            <w:gridSpan w:val="9"/>
            <w:shd w:val="clear" w:color="auto" w:fill="auto"/>
            <w:tcMar>
              <w:top w:w="40" w:type="dxa"/>
              <w:left w:w="20" w:type="dxa"/>
              <w:bottom w:w="40" w:type="dxa"/>
              <w:right w:w="20" w:type="dxa"/>
            </w:tcMar>
            <w:vAlign w:val="bottom"/>
          </w:tcPr>
          <w:p w14:paraId="5EA20C92" w14:textId="77777777" w:rsidR="003C66EB" w:rsidRDefault="00D96C4E">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tcPr>
          <w:p w14:paraId="5EA20C9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9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9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9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9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9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9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9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9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9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9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9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9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CA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0CA1" w14:textId="77777777" w:rsidR="003C66EB" w:rsidRDefault="003C66EB">
            <w:pPr>
              <w:rPr>
                <w:rFonts w:ascii="宋体"/>
              </w:rPr>
            </w:pPr>
          </w:p>
        </w:tc>
      </w:tr>
      <w:tr w:rsidR="00D96C4E" w14:paraId="5EA20CC3" w14:textId="77777777">
        <w:tc>
          <w:tcPr>
            <w:tcW w:w="0" w:type="auto"/>
            <w:gridSpan w:val="9"/>
            <w:shd w:val="clear" w:color="auto" w:fill="CCEEFF"/>
            <w:tcMar>
              <w:top w:w="40" w:type="dxa"/>
              <w:left w:w="245" w:type="dxa"/>
              <w:bottom w:w="40" w:type="dxa"/>
              <w:right w:w="20" w:type="dxa"/>
            </w:tcMar>
            <w:vAlign w:val="bottom"/>
          </w:tcPr>
          <w:p w14:paraId="5EA20CA3" w14:textId="77777777" w:rsidR="003C66EB" w:rsidRDefault="00D96C4E">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5EA20CA4"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CA5" w14:textId="77777777" w:rsidR="003C66EB" w:rsidRDefault="00D96C4E">
            <w:pPr>
              <w:jc w:val="right"/>
              <w:textAlignment w:val="bottom"/>
            </w:pPr>
            <w:r>
              <w:rPr>
                <w:rFonts w:ascii="Arial" w:eastAsia="宋体" w:hAnsi="Arial" w:cs="Arial"/>
                <w:b/>
                <w:bCs/>
                <w:color w:val="000000"/>
                <w:sz w:val="12"/>
                <w:szCs w:val="12"/>
              </w:rPr>
              <w:t>10,731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C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A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A8"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CA9" w14:textId="77777777" w:rsidR="003C66EB" w:rsidRDefault="00D96C4E">
            <w:pPr>
              <w:jc w:val="right"/>
              <w:textAlignment w:val="bottom"/>
            </w:pPr>
            <w:r>
              <w:rPr>
                <w:rFonts w:ascii="Arial" w:eastAsia="宋体" w:hAnsi="Arial" w:cs="Arial"/>
                <w:b/>
                <w:bCs/>
                <w:color w:val="000000"/>
                <w:sz w:val="12"/>
                <w:szCs w:val="12"/>
              </w:rPr>
              <w:t>10,731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CA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A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AC"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CAD" w14:textId="77777777" w:rsidR="003C66EB" w:rsidRDefault="00D96C4E">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A20C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A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B0"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CB1" w14:textId="77777777" w:rsidR="003C66EB" w:rsidRDefault="00D96C4E">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A20CB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B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B4"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CB5" w14:textId="77777777" w:rsidR="003C66EB" w:rsidRDefault="00D96C4E">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CB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B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B8"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CB9" w14:textId="77777777" w:rsidR="003C66EB" w:rsidRDefault="00D96C4E">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C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B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BC"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CBD" w14:textId="77777777" w:rsidR="003C66EB" w:rsidRDefault="00D96C4E">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A20C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B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CC0"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CC1" w14:textId="77777777" w:rsidR="003C66EB" w:rsidRDefault="00D96C4E">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A20CC2" w14:textId="77777777" w:rsidR="003C66EB" w:rsidRDefault="003C66EB">
            <w:pPr>
              <w:jc w:val="right"/>
              <w:rPr>
                <w:rFonts w:ascii="宋体"/>
              </w:rPr>
            </w:pPr>
          </w:p>
        </w:tc>
      </w:tr>
      <w:tr w:rsidR="003C66EB" w14:paraId="5EA20CDC" w14:textId="77777777">
        <w:tc>
          <w:tcPr>
            <w:tcW w:w="0" w:type="auto"/>
            <w:gridSpan w:val="9"/>
            <w:shd w:val="clear" w:color="auto" w:fill="FFFFFF"/>
            <w:tcMar>
              <w:top w:w="40" w:type="dxa"/>
              <w:left w:w="245" w:type="dxa"/>
              <w:bottom w:w="40" w:type="dxa"/>
              <w:right w:w="20" w:type="dxa"/>
            </w:tcMar>
            <w:vAlign w:val="bottom"/>
          </w:tcPr>
          <w:p w14:paraId="5EA20CC4" w14:textId="77777777" w:rsidR="003C66EB" w:rsidRDefault="00D96C4E">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5EA20CC5" w14:textId="77777777" w:rsidR="003C66EB" w:rsidRDefault="00D96C4E">
            <w:pPr>
              <w:jc w:val="right"/>
              <w:textAlignment w:val="bottom"/>
            </w:pPr>
            <w:r>
              <w:rPr>
                <w:rFonts w:ascii="Arial" w:eastAsia="宋体" w:hAnsi="Arial" w:cs="Arial"/>
                <w:b/>
                <w:bCs/>
                <w:color w:val="000000"/>
                <w:sz w:val="12"/>
                <w:szCs w:val="12"/>
              </w:rPr>
              <w:t>23,751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CC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C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C8" w14:textId="77777777" w:rsidR="003C66EB" w:rsidRDefault="00D96C4E">
            <w:pPr>
              <w:jc w:val="right"/>
              <w:textAlignment w:val="bottom"/>
            </w:pPr>
            <w:r>
              <w:rPr>
                <w:rFonts w:ascii="Arial" w:eastAsia="宋体" w:hAnsi="Arial" w:cs="Arial"/>
                <w:b/>
                <w:bCs/>
                <w:color w:val="000000"/>
                <w:sz w:val="12"/>
                <w:szCs w:val="12"/>
              </w:rPr>
              <w:t>23,751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CC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C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CB" w14:textId="77777777" w:rsidR="003C66EB" w:rsidRDefault="00D96C4E">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A20CC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C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CE" w14:textId="77777777" w:rsidR="003C66EB" w:rsidRDefault="00D96C4E">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A20CC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D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D1" w14:textId="77777777" w:rsidR="003C66EB" w:rsidRDefault="00D96C4E">
            <w:pPr>
              <w:jc w:val="right"/>
              <w:textAlignment w:val="bottom"/>
            </w:pPr>
            <w:r>
              <w:rPr>
                <w:rFonts w:ascii="Arial" w:eastAsia="宋体" w:hAnsi="Arial" w:cs="Arial"/>
                <w:b/>
                <w:bCs/>
                <w:color w:val="000000"/>
                <w:sz w:val="12"/>
                <w:szCs w:val="12"/>
              </w:rPr>
              <w:t>13,479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CD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D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D4" w14:textId="77777777" w:rsidR="003C66EB" w:rsidRDefault="00D96C4E">
            <w:pPr>
              <w:jc w:val="right"/>
              <w:textAlignment w:val="bottom"/>
            </w:pPr>
            <w:r>
              <w:rPr>
                <w:rFonts w:ascii="Arial" w:eastAsia="宋体" w:hAnsi="Arial" w:cs="Arial"/>
                <w:b/>
                <w:bCs/>
                <w:color w:val="000000"/>
                <w:sz w:val="12"/>
                <w:szCs w:val="12"/>
              </w:rPr>
              <w:t>13,479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CD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D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D7" w14:textId="77777777" w:rsidR="003C66EB" w:rsidRDefault="00D96C4E">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A20C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DA" w14:textId="77777777" w:rsidR="003C66EB" w:rsidRDefault="00D96C4E">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A20CDB" w14:textId="77777777" w:rsidR="003C66EB" w:rsidRDefault="003C66EB">
            <w:pPr>
              <w:jc w:val="right"/>
              <w:rPr>
                <w:rFonts w:ascii="宋体"/>
              </w:rPr>
            </w:pPr>
          </w:p>
        </w:tc>
      </w:tr>
      <w:tr w:rsidR="003C66EB" w14:paraId="5EA20CF5" w14:textId="77777777">
        <w:tc>
          <w:tcPr>
            <w:tcW w:w="0" w:type="auto"/>
            <w:gridSpan w:val="9"/>
            <w:shd w:val="clear" w:color="auto" w:fill="CCEEFF"/>
            <w:tcMar>
              <w:top w:w="40" w:type="dxa"/>
              <w:left w:w="245" w:type="dxa"/>
              <w:bottom w:w="40" w:type="dxa"/>
              <w:right w:w="20" w:type="dxa"/>
            </w:tcMar>
            <w:vAlign w:val="bottom"/>
          </w:tcPr>
          <w:p w14:paraId="5EA20CDD" w14:textId="77777777" w:rsidR="003C66EB" w:rsidRDefault="00D96C4E">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EA20CDE" w14:textId="77777777" w:rsidR="003C66EB" w:rsidRDefault="00D96C4E">
            <w:pPr>
              <w:jc w:val="right"/>
              <w:textAlignment w:val="bottom"/>
            </w:pPr>
            <w:r>
              <w:rPr>
                <w:rFonts w:ascii="Arial" w:eastAsia="宋体" w:hAnsi="Arial" w:cs="Arial"/>
                <w:b/>
                <w:bCs/>
                <w:color w:val="000000"/>
                <w:sz w:val="12"/>
                <w:szCs w:val="12"/>
              </w:rPr>
              <w:t>(418)</w:t>
            </w:r>
          </w:p>
        </w:tc>
        <w:tc>
          <w:tcPr>
            <w:tcW w:w="0" w:type="auto"/>
            <w:shd w:val="clear" w:color="auto" w:fill="CCEEFF"/>
            <w:tcMar>
              <w:top w:w="40" w:type="dxa"/>
              <w:left w:w="0" w:type="dxa"/>
              <w:bottom w:w="40" w:type="dxa"/>
              <w:right w:w="20" w:type="dxa"/>
            </w:tcMar>
            <w:vAlign w:val="bottom"/>
          </w:tcPr>
          <w:p w14:paraId="5EA20C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E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E1" w14:textId="77777777" w:rsidR="003C66EB" w:rsidRDefault="00D96C4E">
            <w:pPr>
              <w:jc w:val="right"/>
              <w:textAlignment w:val="bottom"/>
            </w:pPr>
            <w:r>
              <w:rPr>
                <w:rFonts w:ascii="Arial" w:eastAsia="宋体" w:hAnsi="Arial" w:cs="Arial"/>
                <w:b/>
                <w:bCs/>
                <w:color w:val="000000"/>
                <w:sz w:val="12"/>
                <w:szCs w:val="12"/>
              </w:rPr>
              <w:t>(418)</w:t>
            </w:r>
          </w:p>
        </w:tc>
        <w:tc>
          <w:tcPr>
            <w:tcW w:w="0" w:type="auto"/>
            <w:shd w:val="clear" w:color="auto" w:fill="CCEEFF"/>
            <w:tcMar>
              <w:top w:w="40" w:type="dxa"/>
              <w:left w:w="0" w:type="dxa"/>
              <w:bottom w:w="40" w:type="dxa"/>
              <w:right w:w="20" w:type="dxa"/>
            </w:tcMar>
            <w:vAlign w:val="bottom"/>
          </w:tcPr>
          <w:p w14:paraId="5EA20C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E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E4" w14:textId="77777777" w:rsidR="003C66EB" w:rsidRDefault="00D96C4E">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A20C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E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E7" w14:textId="77777777" w:rsidR="003C66EB" w:rsidRDefault="00D96C4E">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A20CE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E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EA" w14:textId="77777777" w:rsidR="003C66EB" w:rsidRDefault="00D96C4E">
            <w:pPr>
              <w:jc w:val="right"/>
              <w:textAlignment w:val="bottom"/>
            </w:pPr>
            <w:r>
              <w:rPr>
                <w:rFonts w:ascii="Arial" w:eastAsia="宋体" w:hAnsi="Arial" w:cs="Arial"/>
                <w:b/>
                <w:bCs/>
                <w:color w:val="000000"/>
                <w:sz w:val="12"/>
                <w:szCs w:val="12"/>
              </w:rPr>
              <w:t>(221)</w:t>
            </w:r>
          </w:p>
        </w:tc>
        <w:tc>
          <w:tcPr>
            <w:tcW w:w="0" w:type="auto"/>
            <w:shd w:val="clear" w:color="auto" w:fill="CCEEFF"/>
            <w:tcMar>
              <w:top w:w="40" w:type="dxa"/>
              <w:left w:w="0" w:type="dxa"/>
              <w:bottom w:w="40" w:type="dxa"/>
              <w:right w:w="20" w:type="dxa"/>
            </w:tcMar>
            <w:vAlign w:val="bottom"/>
          </w:tcPr>
          <w:p w14:paraId="5EA20C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E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ED" w14:textId="77777777" w:rsidR="003C66EB" w:rsidRDefault="00D96C4E">
            <w:pPr>
              <w:jc w:val="right"/>
              <w:textAlignment w:val="bottom"/>
            </w:pPr>
            <w:r>
              <w:rPr>
                <w:rFonts w:ascii="Arial" w:eastAsia="宋体" w:hAnsi="Arial" w:cs="Arial"/>
                <w:b/>
                <w:bCs/>
                <w:color w:val="000000"/>
                <w:sz w:val="12"/>
                <w:szCs w:val="12"/>
              </w:rPr>
              <w:t>(221)</w:t>
            </w:r>
          </w:p>
        </w:tc>
        <w:tc>
          <w:tcPr>
            <w:tcW w:w="0" w:type="auto"/>
            <w:shd w:val="clear" w:color="auto" w:fill="CCEEFF"/>
            <w:tcMar>
              <w:top w:w="40" w:type="dxa"/>
              <w:left w:w="0" w:type="dxa"/>
              <w:bottom w:w="40" w:type="dxa"/>
              <w:right w:w="20" w:type="dxa"/>
            </w:tcMar>
            <w:vAlign w:val="bottom"/>
          </w:tcPr>
          <w:p w14:paraId="5EA20CE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E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F0" w14:textId="77777777" w:rsidR="003C66EB" w:rsidRDefault="00D96C4E">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A20C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CF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CF3" w14:textId="77777777" w:rsidR="003C66EB" w:rsidRDefault="00D96C4E">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A20CF4" w14:textId="77777777" w:rsidR="003C66EB" w:rsidRDefault="003C66EB">
            <w:pPr>
              <w:jc w:val="right"/>
              <w:rPr>
                <w:rFonts w:ascii="宋体"/>
              </w:rPr>
            </w:pPr>
          </w:p>
        </w:tc>
      </w:tr>
      <w:tr w:rsidR="003C66EB" w14:paraId="5EA20D0E" w14:textId="77777777">
        <w:tc>
          <w:tcPr>
            <w:tcW w:w="0" w:type="auto"/>
            <w:gridSpan w:val="9"/>
            <w:shd w:val="clear" w:color="auto" w:fill="FFFFFF"/>
            <w:tcMar>
              <w:top w:w="40" w:type="dxa"/>
              <w:left w:w="245" w:type="dxa"/>
              <w:bottom w:w="40" w:type="dxa"/>
              <w:right w:w="20" w:type="dxa"/>
            </w:tcMar>
            <w:vAlign w:val="bottom"/>
          </w:tcPr>
          <w:p w14:paraId="5EA20CF6" w14:textId="77777777" w:rsidR="003C66EB" w:rsidRDefault="00D96C4E">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5EA20CF7" w14:textId="77777777" w:rsidR="003C66EB" w:rsidRDefault="00D96C4E">
            <w:pPr>
              <w:jc w:val="right"/>
              <w:textAlignment w:val="bottom"/>
            </w:pPr>
            <w:r>
              <w:rPr>
                <w:rFonts w:ascii="Arial" w:eastAsia="宋体" w:hAnsi="Arial" w:cs="Arial"/>
                <w:b/>
                <w:bCs/>
                <w:color w:val="000000"/>
                <w:sz w:val="12"/>
                <w:szCs w:val="12"/>
              </w:rPr>
              <w:t>(11,035)</w:t>
            </w:r>
          </w:p>
        </w:tc>
        <w:tc>
          <w:tcPr>
            <w:tcW w:w="0" w:type="auto"/>
            <w:shd w:val="clear" w:color="auto" w:fill="FFFFFF"/>
            <w:tcMar>
              <w:top w:w="40" w:type="dxa"/>
              <w:left w:w="0" w:type="dxa"/>
              <w:bottom w:w="40" w:type="dxa"/>
              <w:right w:w="20" w:type="dxa"/>
            </w:tcMar>
            <w:vAlign w:val="bottom"/>
          </w:tcPr>
          <w:p w14:paraId="5EA20C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F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FA" w14:textId="77777777" w:rsidR="003C66EB" w:rsidRDefault="00D96C4E">
            <w:pPr>
              <w:jc w:val="right"/>
              <w:textAlignment w:val="bottom"/>
            </w:pPr>
            <w:r>
              <w:rPr>
                <w:rFonts w:ascii="Arial" w:eastAsia="宋体" w:hAnsi="Arial" w:cs="Arial"/>
                <w:b/>
                <w:bCs/>
                <w:color w:val="000000"/>
                <w:sz w:val="12"/>
                <w:szCs w:val="12"/>
              </w:rPr>
              <w:t>(11,035)</w:t>
            </w:r>
          </w:p>
        </w:tc>
        <w:tc>
          <w:tcPr>
            <w:tcW w:w="0" w:type="auto"/>
            <w:shd w:val="clear" w:color="auto" w:fill="FFFFFF"/>
            <w:tcMar>
              <w:top w:w="40" w:type="dxa"/>
              <w:left w:w="0" w:type="dxa"/>
              <w:bottom w:w="40" w:type="dxa"/>
              <w:right w:w="20" w:type="dxa"/>
            </w:tcMar>
            <w:vAlign w:val="bottom"/>
          </w:tcPr>
          <w:p w14:paraId="5EA20C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CFD" w14:textId="77777777" w:rsidR="003C66EB" w:rsidRDefault="00D96C4E">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A20C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CF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00" w14:textId="77777777" w:rsidR="003C66EB" w:rsidRDefault="00D96C4E">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A20D0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0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03"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0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0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06"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0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0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09"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0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0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0C"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0D" w14:textId="77777777" w:rsidR="003C66EB" w:rsidRDefault="003C66EB">
            <w:pPr>
              <w:jc w:val="right"/>
              <w:rPr>
                <w:rFonts w:ascii="宋体"/>
              </w:rPr>
            </w:pPr>
          </w:p>
        </w:tc>
      </w:tr>
      <w:tr w:rsidR="003C66EB" w14:paraId="5EA20D27" w14:textId="77777777">
        <w:tc>
          <w:tcPr>
            <w:tcW w:w="0" w:type="auto"/>
            <w:gridSpan w:val="9"/>
            <w:shd w:val="clear" w:color="auto" w:fill="CCEEFF"/>
            <w:tcMar>
              <w:top w:w="40" w:type="dxa"/>
              <w:left w:w="155" w:type="dxa"/>
              <w:bottom w:w="40" w:type="dxa"/>
              <w:right w:w="20" w:type="dxa"/>
            </w:tcMar>
            <w:vAlign w:val="bottom"/>
          </w:tcPr>
          <w:p w14:paraId="5EA20D0F" w14:textId="77777777" w:rsidR="003C66EB" w:rsidRDefault="00D96C4E">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10" w14:textId="77777777" w:rsidR="003C66EB" w:rsidRDefault="00D96C4E">
            <w:pPr>
              <w:jc w:val="right"/>
              <w:textAlignment w:val="bottom"/>
            </w:pPr>
            <w:r>
              <w:rPr>
                <w:rFonts w:ascii="Arial" w:eastAsia="宋体" w:hAnsi="Arial" w:cs="Arial"/>
                <w:b/>
                <w:bCs/>
                <w:color w:val="000000"/>
                <w:sz w:val="12"/>
                <w:szCs w:val="12"/>
              </w:rPr>
              <w:t>23,029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1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13" w14:textId="77777777" w:rsidR="003C66EB" w:rsidRDefault="00D96C4E">
            <w:pPr>
              <w:jc w:val="right"/>
              <w:textAlignment w:val="bottom"/>
            </w:pPr>
            <w:r>
              <w:rPr>
                <w:rFonts w:ascii="Arial" w:eastAsia="宋体" w:hAnsi="Arial" w:cs="Arial"/>
                <w:b/>
                <w:bCs/>
                <w:color w:val="000000"/>
                <w:sz w:val="12"/>
                <w:szCs w:val="12"/>
              </w:rPr>
              <w:t>23,029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1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16" w14:textId="77777777" w:rsidR="003C66EB" w:rsidRDefault="00D96C4E">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1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19" w14:textId="77777777" w:rsidR="003C66EB" w:rsidRDefault="00D96C4E">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1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1C" w14:textId="77777777" w:rsidR="003C66EB" w:rsidRDefault="00D96C4E">
            <w:pPr>
              <w:jc w:val="right"/>
              <w:textAlignment w:val="bottom"/>
            </w:pPr>
            <w:r>
              <w:rPr>
                <w:rFonts w:ascii="Arial" w:eastAsia="宋体" w:hAnsi="Arial" w:cs="Arial"/>
                <w:b/>
                <w:bCs/>
                <w:color w:val="000000"/>
                <w:sz w:val="12"/>
                <w:szCs w:val="12"/>
              </w:rPr>
              <w:t>26,151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1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1F" w14:textId="77777777" w:rsidR="003C66EB" w:rsidRDefault="00D96C4E">
            <w:pPr>
              <w:jc w:val="right"/>
              <w:textAlignment w:val="bottom"/>
            </w:pPr>
            <w:r>
              <w:rPr>
                <w:rFonts w:ascii="Arial" w:eastAsia="宋体" w:hAnsi="Arial" w:cs="Arial"/>
                <w:b/>
                <w:bCs/>
                <w:color w:val="000000"/>
                <w:sz w:val="12"/>
                <w:szCs w:val="12"/>
              </w:rPr>
              <w:t>26,151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2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22" w14:textId="77777777" w:rsidR="003C66EB" w:rsidRDefault="00D96C4E">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2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25" w14:textId="77777777" w:rsidR="003C66EB" w:rsidRDefault="00D96C4E">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26" w14:textId="77777777" w:rsidR="003C66EB" w:rsidRDefault="003C66EB">
            <w:pPr>
              <w:jc w:val="right"/>
              <w:rPr>
                <w:rFonts w:ascii="宋体"/>
              </w:rPr>
            </w:pPr>
          </w:p>
        </w:tc>
      </w:tr>
      <w:tr w:rsidR="003C66EB" w14:paraId="5EA20D38" w14:textId="77777777">
        <w:tc>
          <w:tcPr>
            <w:tcW w:w="0" w:type="auto"/>
            <w:gridSpan w:val="9"/>
            <w:shd w:val="clear" w:color="auto" w:fill="FFFFFF"/>
            <w:tcMar>
              <w:top w:w="40" w:type="dxa"/>
              <w:left w:w="155" w:type="dxa"/>
              <w:bottom w:w="40" w:type="dxa"/>
              <w:right w:w="20" w:type="dxa"/>
            </w:tcMar>
            <w:vAlign w:val="bottom"/>
          </w:tcPr>
          <w:p w14:paraId="5EA20D28" w14:textId="77777777" w:rsidR="003C66EB" w:rsidRDefault="00D96C4E">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tcPr>
          <w:p w14:paraId="5EA20D2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2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2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2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2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2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2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D37" w14:textId="77777777" w:rsidR="003C66EB" w:rsidRDefault="003C66EB">
            <w:pPr>
              <w:rPr>
                <w:rFonts w:ascii="宋体"/>
              </w:rPr>
            </w:pPr>
          </w:p>
        </w:tc>
      </w:tr>
      <w:tr w:rsidR="003C66EB" w14:paraId="5EA20D51" w14:textId="77777777">
        <w:tc>
          <w:tcPr>
            <w:tcW w:w="0" w:type="auto"/>
            <w:gridSpan w:val="9"/>
            <w:shd w:val="clear" w:color="auto" w:fill="CCEEFF"/>
            <w:tcMar>
              <w:top w:w="40" w:type="dxa"/>
              <w:left w:w="245" w:type="dxa"/>
              <w:bottom w:w="40" w:type="dxa"/>
              <w:right w:w="20" w:type="dxa"/>
            </w:tcMar>
            <w:vAlign w:val="bottom"/>
          </w:tcPr>
          <w:p w14:paraId="5EA20D39" w14:textId="77777777" w:rsidR="003C66EB" w:rsidRDefault="00D96C4E">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5EA20D3A" w14:textId="77777777" w:rsidR="003C66EB" w:rsidRDefault="00D96C4E">
            <w:pPr>
              <w:jc w:val="right"/>
              <w:textAlignment w:val="bottom"/>
            </w:pPr>
            <w:r>
              <w:rPr>
                <w:rFonts w:ascii="Arial" w:eastAsia="宋体" w:hAnsi="Arial" w:cs="Arial"/>
                <w:b/>
                <w:bCs/>
                <w:color w:val="000000"/>
                <w:sz w:val="12"/>
                <w:szCs w:val="12"/>
              </w:rPr>
              <w:t>(9,149)</w:t>
            </w:r>
          </w:p>
        </w:tc>
        <w:tc>
          <w:tcPr>
            <w:tcW w:w="0" w:type="auto"/>
            <w:shd w:val="clear" w:color="auto" w:fill="CCEEFF"/>
            <w:tcMar>
              <w:top w:w="40" w:type="dxa"/>
              <w:left w:w="0" w:type="dxa"/>
              <w:bottom w:w="40" w:type="dxa"/>
              <w:right w:w="20" w:type="dxa"/>
            </w:tcMar>
            <w:vAlign w:val="bottom"/>
          </w:tcPr>
          <w:p w14:paraId="5EA20D3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3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3D" w14:textId="77777777" w:rsidR="003C66EB" w:rsidRDefault="00D96C4E">
            <w:pPr>
              <w:jc w:val="right"/>
              <w:textAlignment w:val="bottom"/>
            </w:pPr>
            <w:r>
              <w:rPr>
                <w:rFonts w:ascii="Arial" w:eastAsia="宋体" w:hAnsi="Arial" w:cs="Arial"/>
                <w:b/>
                <w:bCs/>
                <w:color w:val="000000"/>
                <w:sz w:val="12"/>
                <w:szCs w:val="12"/>
              </w:rPr>
              <w:t>(9,149)</w:t>
            </w:r>
          </w:p>
        </w:tc>
        <w:tc>
          <w:tcPr>
            <w:tcW w:w="0" w:type="auto"/>
            <w:shd w:val="clear" w:color="auto" w:fill="CCEEFF"/>
            <w:tcMar>
              <w:top w:w="40" w:type="dxa"/>
              <w:left w:w="0" w:type="dxa"/>
              <w:bottom w:w="40" w:type="dxa"/>
              <w:right w:w="20" w:type="dxa"/>
            </w:tcMar>
            <w:vAlign w:val="bottom"/>
          </w:tcPr>
          <w:p w14:paraId="5EA20D3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3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40" w14:textId="77777777" w:rsidR="003C66EB" w:rsidRDefault="00D96C4E">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A20D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4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43" w14:textId="77777777" w:rsidR="003C66EB" w:rsidRDefault="00D96C4E">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A20D4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4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46" w14:textId="77777777" w:rsidR="003C66EB" w:rsidRDefault="00D96C4E">
            <w:pPr>
              <w:jc w:val="right"/>
              <w:textAlignment w:val="bottom"/>
            </w:pPr>
            <w:r>
              <w:rPr>
                <w:rFonts w:ascii="Arial" w:eastAsia="宋体" w:hAnsi="Arial" w:cs="Arial"/>
                <w:b/>
                <w:bCs/>
                <w:color w:val="000000"/>
                <w:sz w:val="12"/>
                <w:szCs w:val="12"/>
              </w:rPr>
              <w:t>(8,880)</w:t>
            </w:r>
          </w:p>
        </w:tc>
        <w:tc>
          <w:tcPr>
            <w:tcW w:w="0" w:type="auto"/>
            <w:shd w:val="clear" w:color="auto" w:fill="CCEEFF"/>
            <w:tcMar>
              <w:top w:w="40" w:type="dxa"/>
              <w:left w:w="0" w:type="dxa"/>
              <w:bottom w:w="40" w:type="dxa"/>
              <w:right w:w="20" w:type="dxa"/>
            </w:tcMar>
            <w:vAlign w:val="bottom"/>
          </w:tcPr>
          <w:p w14:paraId="5EA20D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4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49" w14:textId="77777777" w:rsidR="003C66EB" w:rsidRDefault="00D96C4E">
            <w:pPr>
              <w:jc w:val="right"/>
              <w:textAlignment w:val="bottom"/>
            </w:pPr>
            <w:r>
              <w:rPr>
                <w:rFonts w:ascii="Arial" w:eastAsia="宋体" w:hAnsi="Arial" w:cs="Arial"/>
                <w:b/>
                <w:bCs/>
                <w:color w:val="000000"/>
                <w:sz w:val="12"/>
                <w:szCs w:val="12"/>
              </w:rPr>
              <w:t>(8,880)</w:t>
            </w:r>
          </w:p>
        </w:tc>
        <w:tc>
          <w:tcPr>
            <w:tcW w:w="0" w:type="auto"/>
            <w:shd w:val="clear" w:color="auto" w:fill="CCEEFF"/>
            <w:tcMar>
              <w:top w:w="40" w:type="dxa"/>
              <w:left w:w="0" w:type="dxa"/>
              <w:bottom w:w="40" w:type="dxa"/>
              <w:right w:w="20" w:type="dxa"/>
            </w:tcMar>
            <w:vAlign w:val="bottom"/>
          </w:tcPr>
          <w:p w14:paraId="5EA20D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4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4C" w14:textId="77777777" w:rsidR="003C66EB" w:rsidRDefault="00D96C4E">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A20D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D4F" w14:textId="77777777" w:rsidR="003C66EB" w:rsidRDefault="00D96C4E">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A20D50" w14:textId="77777777" w:rsidR="003C66EB" w:rsidRDefault="003C66EB">
            <w:pPr>
              <w:jc w:val="right"/>
              <w:rPr>
                <w:rFonts w:ascii="宋体"/>
              </w:rPr>
            </w:pPr>
          </w:p>
        </w:tc>
      </w:tr>
      <w:tr w:rsidR="003C66EB" w14:paraId="5EA20D6A" w14:textId="77777777">
        <w:tc>
          <w:tcPr>
            <w:tcW w:w="0" w:type="auto"/>
            <w:gridSpan w:val="9"/>
            <w:shd w:val="clear" w:color="auto" w:fill="FFFFFF"/>
            <w:tcMar>
              <w:top w:w="40" w:type="dxa"/>
              <w:left w:w="20" w:type="dxa"/>
              <w:bottom w:w="40" w:type="dxa"/>
              <w:right w:w="20" w:type="dxa"/>
            </w:tcMar>
            <w:vAlign w:val="bottom"/>
          </w:tcPr>
          <w:p w14:paraId="5EA20D52" w14:textId="77777777" w:rsidR="003C66EB" w:rsidRDefault="00D96C4E">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5EA20D53" w14:textId="77777777" w:rsidR="003C66EB" w:rsidRDefault="00D96C4E">
            <w:pPr>
              <w:jc w:val="right"/>
              <w:textAlignment w:val="bottom"/>
            </w:pPr>
            <w:r>
              <w:rPr>
                <w:rFonts w:ascii="Arial" w:eastAsia="宋体" w:hAnsi="Arial" w:cs="Arial"/>
                <w:b/>
                <w:bCs/>
                <w:color w:val="000000"/>
                <w:sz w:val="12"/>
                <w:szCs w:val="12"/>
              </w:rPr>
              <w:t>(437)</w:t>
            </w:r>
          </w:p>
        </w:tc>
        <w:tc>
          <w:tcPr>
            <w:tcW w:w="0" w:type="auto"/>
            <w:shd w:val="clear" w:color="auto" w:fill="FFFFFF"/>
            <w:tcMar>
              <w:top w:w="40" w:type="dxa"/>
              <w:left w:w="0" w:type="dxa"/>
              <w:bottom w:w="40" w:type="dxa"/>
              <w:right w:w="20" w:type="dxa"/>
            </w:tcMar>
            <w:vAlign w:val="bottom"/>
          </w:tcPr>
          <w:p w14:paraId="5EA20D5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5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56" w14:textId="77777777" w:rsidR="003C66EB" w:rsidRDefault="00D96C4E">
            <w:pPr>
              <w:jc w:val="right"/>
              <w:textAlignment w:val="bottom"/>
            </w:pPr>
            <w:r>
              <w:rPr>
                <w:rFonts w:ascii="Arial" w:eastAsia="宋体" w:hAnsi="Arial" w:cs="Arial"/>
                <w:b/>
                <w:bCs/>
                <w:color w:val="000000"/>
                <w:sz w:val="12"/>
                <w:szCs w:val="12"/>
              </w:rPr>
              <w:t>(437)</w:t>
            </w:r>
          </w:p>
        </w:tc>
        <w:tc>
          <w:tcPr>
            <w:tcW w:w="0" w:type="auto"/>
            <w:shd w:val="clear" w:color="auto" w:fill="FFFFFF"/>
            <w:tcMar>
              <w:top w:w="40" w:type="dxa"/>
              <w:left w:w="0" w:type="dxa"/>
              <w:bottom w:w="40" w:type="dxa"/>
              <w:right w:w="20" w:type="dxa"/>
            </w:tcMar>
            <w:vAlign w:val="bottom"/>
          </w:tcPr>
          <w:p w14:paraId="5EA20D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5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59" w14:textId="77777777" w:rsidR="003C66EB" w:rsidRDefault="00D96C4E">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A20D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5C" w14:textId="77777777" w:rsidR="003C66EB" w:rsidRDefault="00D96C4E">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A20D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5F" w14:textId="77777777" w:rsidR="003C66EB" w:rsidRDefault="00D96C4E">
            <w:pPr>
              <w:jc w:val="right"/>
              <w:textAlignment w:val="bottom"/>
            </w:pPr>
            <w:r>
              <w:rPr>
                <w:rFonts w:ascii="Arial" w:eastAsia="宋体" w:hAnsi="Arial" w:cs="Arial"/>
                <w:b/>
                <w:bCs/>
                <w:color w:val="000000"/>
                <w:sz w:val="12"/>
                <w:szCs w:val="12"/>
              </w:rPr>
              <w:t>(250)</w:t>
            </w:r>
          </w:p>
        </w:tc>
        <w:tc>
          <w:tcPr>
            <w:tcW w:w="0" w:type="auto"/>
            <w:shd w:val="clear" w:color="auto" w:fill="FFFFFF"/>
            <w:tcMar>
              <w:top w:w="40" w:type="dxa"/>
              <w:left w:w="0" w:type="dxa"/>
              <w:bottom w:w="40" w:type="dxa"/>
              <w:right w:w="20" w:type="dxa"/>
            </w:tcMar>
            <w:vAlign w:val="bottom"/>
          </w:tcPr>
          <w:p w14:paraId="5EA20D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6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62" w14:textId="77777777" w:rsidR="003C66EB" w:rsidRDefault="00D96C4E">
            <w:pPr>
              <w:jc w:val="right"/>
              <w:textAlignment w:val="bottom"/>
            </w:pPr>
            <w:r>
              <w:rPr>
                <w:rFonts w:ascii="Arial" w:eastAsia="宋体" w:hAnsi="Arial" w:cs="Arial"/>
                <w:b/>
                <w:bCs/>
                <w:color w:val="000000"/>
                <w:sz w:val="12"/>
                <w:szCs w:val="12"/>
              </w:rPr>
              <w:t>(250)</w:t>
            </w:r>
          </w:p>
        </w:tc>
        <w:tc>
          <w:tcPr>
            <w:tcW w:w="0" w:type="auto"/>
            <w:shd w:val="clear" w:color="auto" w:fill="FFFFFF"/>
            <w:tcMar>
              <w:top w:w="40" w:type="dxa"/>
              <w:left w:w="0" w:type="dxa"/>
              <w:bottom w:w="40" w:type="dxa"/>
              <w:right w:w="20" w:type="dxa"/>
            </w:tcMar>
            <w:vAlign w:val="bottom"/>
          </w:tcPr>
          <w:p w14:paraId="5EA20D6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6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65" w14:textId="77777777" w:rsidR="003C66EB" w:rsidRDefault="00D96C4E">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A20D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6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68" w14:textId="77777777" w:rsidR="003C66EB" w:rsidRDefault="00D96C4E">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A20D69" w14:textId="77777777" w:rsidR="003C66EB" w:rsidRDefault="003C66EB">
            <w:pPr>
              <w:jc w:val="right"/>
              <w:rPr>
                <w:rFonts w:ascii="宋体"/>
              </w:rPr>
            </w:pPr>
          </w:p>
        </w:tc>
      </w:tr>
      <w:tr w:rsidR="003C66EB" w14:paraId="5EA20D83" w14:textId="77777777">
        <w:tc>
          <w:tcPr>
            <w:tcW w:w="0" w:type="auto"/>
            <w:gridSpan w:val="9"/>
            <w:shd w:val="clear" w:color="auto" w:fill="CCEEFF"/>
            <w:tcMar>
              <w:top w:w="40" w:type="dxa"/>
              <w:left w:w="20" w:type="dxa"/>
              <w:bottom w:w="40" w:type="dxa"/>
              <w:right w:w="20" w:type="dxa"/>
            </w:tcMar>
            <w:vAlign w:val="bottom"/>
          </w:tcPr>
          <w:p w14:paraId="5EA20D6B" w14:textId="77777777" w:rsidR="003C66EB" w:rsidRDefault="00D96C4E">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6C" w14:textId="77777777" w:rsidR="003C66EB" w:rsidRDefault="00D96C4E">
            <w:pPr>
              <w:jc w:val="right"/>
              <w:textAlignment w:val="bottom"/>
            </w:pPr>
            <w:r>
              <w:rPr>
                <w:rFonts w:ascii="Arial" w:eastAsia="宋体" w:hAnsi="Arial" w:cs="Arial"/>
                <w:b/>
                <w:bCs/>
                <w:color w:val="000000"/>
                <w:sz w:val="12"/>
                <w:szCs w:val="12"/>
              </w:rPr>
              <w:t>13,443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6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6F" w14:textId="77777777" w:rsidR="003C66EB" w:rsidRDefault="00D96C4E">
            <w:pPr>
              <w:jc w:val="right"/>
              <w:textAlignment w:val="bottom"/>
            </w:pPr>
            <w:r>
              <w:rPr>
                <w:rFonts w:ascii="Arial" w:eastAsia="宋体" w:hAnsi="Arial" w:cs="Arial"/>
                <w:b/>
                <w:bCs/>
                <w:color w:val="000000"/>
                <w:sz w:val="12"/>
                <w:szCs w:val="12"/>
              </w:rPr>
              <w:t>13,443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7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72" w14:textId="77777777" w:rsidR="003C66EB" w:rsidRDefault="00D96C4E">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7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75" w14:textId="77777777" w:rsidR="003C66EB" w:rsidRDefault="00D96C4E">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7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78"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7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7B"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7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7E"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8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81"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82" w14:textId="77777777" w:rsidR="003C66EB" w:rsidRDefault="003C66EB">
            <w:pPr>
              <w:jc w:val="right"/>
              <w:rPr>
                <w:rFonts w:ascii="宋体"/>
              </w:rPr>
            </w:pPr>
          </w:p>
        </w:tc>
      </w:tr>
      <w:tr w:rsidR="003C66EB" w14:paraId="5EA20D9C" w14:textId="77777777">
        <w:tc>
          <w:tcPr>
            <w:tcW w:w="0" w:type="auto"/>
            <w:gridSpan w:val="9"/>
            <w:shd w:val="clear" w:color="auto" w:fill="FFFFFF"/>
            <w:tcMar>
              <w:top w:w="40" w:type="dxa"/>
              <w:left w:w="245" w:type="dxa"/>
              <w:bottom w:w="40" w:type="dxa"/>
              <w:right w:w="20" w:type="dxa"/>
            </w:tcMar>
            <w:vAlign w:val="bottom"/>
          </w:tcPr>
          <w:p w14:paraId="5EA20D84" w14:textId="77777777" w:rsidR="003C66EB" w:rsidRDefault="00D96C4E">
            <w:pPr>
              <w:textAlignment w:val="bottom"/>
            </w:pPr>
            <w:r>
              <w:rPr>
                <w:rFonts w:ascii="Arial" w:eastAsia="宋体" w:hAnsi="Arial" w:cs="Arial"/>
                <w:color w:val="000000"/>
                <w:sz w:val="12"/>
                <w:szCs w:val="12"/>
              </w:rPr>
              <w:t>Preferred stock</w:t>
            </w:r>
          </w:p>
        </w:tc>
        <w:tc>
          <w:tcPr>
            <w:tcW w:w="0" w:type="auto"/>
            <w:gridSpan w:val="2"/>
            <w:shd w:val="clear" w:color="auto" w:fill="FFFFFF"/>
            <w:tcMar>
              <w:top w:w="40" w:type="dxa"/>
              <w:left w:w="20" w:type="dxa"/>
              <w:bottom w:w="40" w:type="dxa"/>
              <w:right w:w="0" w:type="dxa"/>
            </w:tcMar>
            <w:vAlign w:val="bottom"/>
          </w:tcPr>
          <w:p w14:paraId="5EA20D85" w14:textId="77777777" w:rsidR="003C66EB" w:rsidRDefault="00D96C4E">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88" w14:textId="77777777" w:rsidR="003C66EB" w:rsidRDefault="00D96C4E">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8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8B" w14:textId="77777777" w:rsidR="003C66EB" w:rsidRDefault="00D96C4E">
            <w:pPr>
              <w:jc w:val="right"/>
              <w:textAlignment w:val="bottom"/>
            </w:pPr>
            <w:r>
              <w:rPr>
                <w:rFonts w:ascii="Arial" w:eastAsia="宋体" w:hAnsi="Arial" w:cs="Arial"/>
                <w:color w:val="000000"/>
                <w:sz w:val="12"/>
                <w:szCs w:val="12"/>
              </w:rPr>
              <w:t>2,471 </w:t>
            </w:r>
          </w:p>
        </w:tc>
        <w:tc>
          <w:tcPr>
            <w:tcW w:w="0" w:type="auto"/>
            <w:shd w:val="clear" w:color="auto" w:fill="FFFFFF"/>
            <w:tcMar>
              <w:top w:w="40" w:type="dxa"/>
              <w:left w:w="0" w:type="dxa"/>
              <w:bottom w:w="40" w:type="dxa"/>
              <w:right w:w="20" w:type="dxa"/>
            </w:tcMar>
            <w:vAlign w:val="bottom"/>
          </w:tcPr>
          <w:p w14:paraId="5EA20D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8E" w14:textId="77777777" w:rsidR="003C66EB" w:rsidRDefault="00D96C4E">
            <w:pPr>
              <w:jc w:val="right"/>
              <w:textAlignment w:val="bottom"/>
            </w:pPr>
            <w:r>
              <w:rPr>
                <w:rFonts w:ascii="Arial" w:eastAsia="宋体" w:hAnsi="Arial" w:cs="Arial"/>
                <w:color w:val="000000"/>
                <w:sz w:val="12"/>
                <w:szCs w:val="12"/>
              </w:rPr>
              <w:t>2,471 </w:t>
            </w:r>
          </w:p>
        </w:tc>
        <w:tc>
          <w:tcPr>
            <w:tcW w:w="0" w:type="auto"/>
            <w:shd w:val="clear" w:color="auto" w:fill="FFFFFF"/>
            <w:tcMar>
              <w:top w:w="40" w:type="dxa"/>
              <w:left w:w="0" w:type="dxa"/>
              <w:bottom w:w="40" w:type="dxa"/>
              <w:right w:w="20" w:type="dxa"/>
            </w:tcMar>
            <w:vAlign w:val="bottom"/>
          </w:tcPr>
          <w:p w14:paraId="5EA20D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91"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94"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97"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D9A"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D9B" w14:textId="77777777" w:rsidR="003C66EB" w:rsidRDefault="003C66EB">
            <w:pPr>
              <w:jc w:val="right"/>
              <w:rPr>
                <w:rFonts w:ascii="宋体"/>
              </w:rPr>
            </w:pPr>
          </w:p>
        </w:tc>
      </w:tr>
      <w:tr w:rsidR="003C66EB" w14:paraId="5EA20DB3" w14:textId="77777777">
        <w:trPr>
          <w:hidden/>
        </w:trPr>
        <w:tc>
          <w:tcPr>
            <w:tcW w:w="0" w:type="auto"/>
            <w:gridSpan w:val="3"/>
            <w:shd w:val="clear" w:color="auto" w:fill="auto"/>
          </w:tcPr>
          <w:p w14:paraId="5EA20D9D" w14:textId="77777777" w:rsidR="003C66EB" w:rsidRDefault="003C66EB">
            <w:pPr>
              <w:rPr>
                <w:rFonts w:ascii="宋体"/>
                <w:vanish/>
              </w:rPr>
            </w:pPr>
          </w:p>
        </w:tc>
        <w:tc>
          <w:tcPr>
            <w:tcW w:w="0" w:type="auto"/>
            <w:gridSpan w:val="3"/>
            <w:shd w:val="clear" w:color="auto" w:fill="auto"/>
          </w:tcPr>
          <w:p w14:paraId="5EA20D9E" w14:textId="77777777" w:rsidR="003C66EB" w:rsidRDefault="003C66EB">
            <w:pPr>
              <w:rPr>
                <w:rFonts w:ascii="宋体"/>
                <w:vanish/>
              </w:rPr>
            </w:pPr>
          </w:p>
        </w:tc>
        <w:tc>
          <w:tcPr>
            <w:tcW w:w="0" w:type="auto"/>
            <w:gridSpan w:val="3"/>
            <w:shd w:val="clear" w:color="auto" w:fill="auto"/>
          </w:tcPr>
          <w:p w14:paraId="5EA20D9F" w14:textId="77777777" w:rsidR="003C66EB" w:rsidRDefault="003C66EB">
            <w:pPr>
              <w:rPr>
                <w:rFonts w:ascii="宋体"/>
                <w:vanish/>
              </w:rPr>
            </w:pPr>
          </w:p>
        </w:tc>
        <w:tc>
          <w:tcPr>
            <w:tcW w:w="0" w:type="auto"/>
            <w:gridSpan w:val="3"/>
            <w:shd w:val="clear" w:color="auto" w:fill="auto"/>
          </w:tcPr>
          <w:p w14:paraId="5EA20DA0" w14:textId="77777777" w:rsidR="003C66EB" w:rsidRDefault="003C66EB">
            <w:pPr>
              <w:rPr>
                <w:rFonts w:ascii="宋体"/>
                <w:vanish/>
              </w:rPr>
            </w:pPr>
          </w:p>
        </w:tc>
        <w:tc>
          <w:tcPr>
            <w:tcW w:w="0" w:type="auto"/>
            <w:gridSpan w:val="3"/>
            <w:shd w:val="clear" w:color="auto" w:fill="auto"/>
          </w:tcPr>
          <w:p w14:paraId="5EA20DA1" w14:textId="77777777" w:rsidR="003C66EB" w:rsidRDefault="003C66EB">
            <w:pPr>
              <w:rPr>
                <w:rFonts w:ascii="宋体"/>
                <w:vanish/>
              </w:rPr>
            </w:pPr>
          </w:p>
        </w:tc>
        <w:tc>
          <w:tcPr>
            <w:tcW w:w="0" w:type="auto"/>
            <w:gridSpan w:val="3"/>
            <w:shd w:val="clear" w:color="auto" w:fill="auto"/>
          </w:tcPr>
          <w:p w14:paraId="5EA20DA2" w14:textId="77777777" w:rsidR="003C66EB" w:rsidRDefault="003C66EB">
            <w:pPr>
              <w:rPr>
                <w:rFonts w:ascii="宋体"/>
                <w:vanish/>
              </w:rPr>
            </w:pPr>
          </w:p>
        </w:tc>
        <w:tc>
          <w:tcPr>
            <w:tcW w:w="0" w:type="auto"/>
            <w:gridSpan w:val="3"/>
            <w:shd w:val="clear" w:color="auto" w:fill="auto"/>
          </w:tcPr>
          <w:p w14:paraId="5EA20DA3" w14:textId="77777777" w:rsidR="003C66EB" w:rsidRDefault="003C66EB">
            <w:pPr>
              <w:rPr>
                <w:rFonts w:ascii="宋体"/>
                <w:vanish/>
              </w:rPr>
            </w:pPr>
          </w:p>
        </w:tc>
        <w:tc>
          <w:tcPr>
            <w:tcW w:w="0" w:type="auto"/>
            <w:gridSpan w:val="3"/>
            <w:shd w:val="clear" w:color="auto" w:fill="auto"/>
          </w:tcPr>
          <w:p w14:paraId="5EA20DA4" w14:textId="77777777" w:rsidR="003C66EB" w:rsidRDefault="003C66EB">
            <w:pPr>
              <w:rPr>
                <w:rFonts w:ascii="宋体"/>
                <w:vanish/>
              </w:rPr>
            </w:pPr>
          </w:p>
        </w:tc>
        <w:tc>
          <w:tcPr>
            <w:tcW w:w="0" w:type="auto"/>
            <w:gridSpan w:val="3"/>
            <w:shd w:val="clear" w:color="auto" w:fill="auto"/>
          </w:tcPr>
          <w:p w14:paraId="5EA20DA5" w14:textId="77777777" w:rsidR="003C66EB" w:rsidRDefault="003C66EB">
            <w:pPr>
              <w:rPr>
                <w:rFonts w:ascii="宋体"/>
                <w:vanish/>
              </w:rPr>
            </w:pPr>
          </w:p>
        </w:tc>
        <w:tc>
          <w:tcPr>
            <w:tcW w:w="0" w:type="auto"/>
            <w:gridSpan w:val="3"/>
            <w:shd w:val="clear" w:color="auto" w:fill="auto"/>
          </w:tcPr>
          <w:p w14:paraId="5EA20DA6" w14:textId="77777777" w:rsidR="003C66EB" w:rsidRDefault="003C66EB">
            <w:pPr>
              <w:rPr>
                <w:rFonts w:ascii="宋体"/>
                <w:vanish/>
              </w:rPr>
            </w:pPr>
          </w:p>
        </w:tc>
        <w:tc>
          <w:tcPr>
            <w:tcW w:w="0" w:type="auto"/>
            <w:gridSpan w:val="3"/>
            <w:shd w:val="clear" w:color="auto" w:fill="auto"/>
          </w:tcPr>
          <w:p w14:paraId="5EA20DA7" w14:textId="77777777" w:rsidR="003C66EB" w:rsidRDefault="003C66EB">
            <w:pPr>
              <w:rPr>
                <w:rFonts w:ascii="宋体"/>
                <w:vanish/>
              </w:rPr>
            </w:pPr>
          </w:p>
        </w:tc>
        <w:tc>
          <w:tcPr>
            <w:tcW w:w="0" w:type="auto"/>
            <w:gridSpan w:val="3"/>
            <w:shd w:val="clear" w:color="auto" w:fill="auto"/>
          </w:tcPr>
          <w:p w14:paraId="5EA20DA8" w14:textId="77777777" w:rsidR="003C66EB" w:rsidRDefault="003C66EB">
            <w:pPr>
              <w:rPr>
                <w:rFonts w:ascii="宋体"/>
                <w:vanish/>
              </w:rPr>
            </w:pPr>
          </w:p>
        </w:tc>
        <w:tc>
          <w:tcPr>
            <w:tcW w:w="0" w:type="auto"/>
            <w:gridSpan w:val="3"/>
            <w:shd w:val="clear" w:color="auto" w:fill="auto"/>
          </w:tcPr>
          <w:p w14:paraId="5EA20DA9" w14:textId="77777777" w:rsidR="003C66EB" w:rsidRDefault="003C66EB">
            <w:pPr>
              <w:rPr>
                <w:rFonts w:ascii="宋体"/>
                <w:vanish/>
              </w:rPr>
            </w:pPr>
          </w:p>
        </w:tc>
        <w:tc>
          <w:tcPr>
            <w:tcW w:w="0" w:type="auto"/>
            <w:gridSpan w:val="3"/>
            <w:shd w:val="clear" w:color="auto" w:fill="auto"/>
          </w:tcPr>
          <w:p w14:paraId="5EA20DAA" w14:textId="77777777" w:rsidR="003C66EB" w:rsidRDefault="003C66EB">
            <w:pPr>
              <w:rPr>
                <w:rFonts w:ascii="宋体"/>
                <w:vanish/>
              </w:rPr>
            </w:pPr>
          </w:p>
        </w:tc>
        <w:tc>
          <w:tcPr>
            <w:tcW w:w="0" w:type="auto"/>
            <w:gridSpan w:val="3"/>
            <w:shd w:val="clear" w:color="auto" w:fill="auto"/>
          </w:tcPr>
          <w:p w14:paraId="5EA20DAB" w14:textId="77777777" w:rsidR="003C66EB" w:rsidRDefault="003C66EB">
            <w:pPr>
              <w:rPr>
                <w:rFonts w:ascii="宋体"/>
                <w:vanish/>
              </w:rPr>
            </w:pPr>
          </w:p>
        </w:tc>
        <w:tc>
          <w:tcPr>
            <w:tcW w:w="0" w:type="auto"/>
            <w:gridSpan w:val="3"/>
            <w:shd w:val="clear" w:color="auto" w:fill="auto"/>
          </w:tcPr>
          <w:p w14:paraId="5EA20DAC" w14:textId="77777777" w:rsidR="003C66EB" w:rsidRDefault="003C66EB">
            <w:pPr>
              <w:rPr>
                <w:rFonts w:ascii="宋体"/>
                <w:vanish/>
              </w:rPr>
            </w:pPr>
          </w:p>
        </w:tc>
        <w:tc>
          <w:tcPr>
            <w:tcW w:w="0" w:type="auto"/>
            <w:shd w:val="clear" w:color="auto" w:fill="auto"/>
          </w:tcPr>
          <w:p w14:paraId="5EA20DAD" w14:textId="77777777" w:rsidR="003C66EB" w:rsidRDefault="003C66EB">
            <w:pPr>
              <w:rPr>
                <w:rFonts w:ascii="宋体"/>
              </w:rPr>
            </w:pPr>
          </w:p>
        </w:tc>
        <w:tc>
          <w:tcPr>
            <w:tcW w:w="0" w:type="auto"/>
            <w:shd w:val="clear" w:color="auto" w:fill="auto"/>
          </w:tcPr>
          <w:p w14:paraId="5EA20DAE" w14:textId="77777777" w:rsidR="003C66EB" w:rsidRDefault="003C66EB">
            <w:pPr>
              <w:rPr>
                <w:rFonts w:ascii="宋体"/>
              </w:rPr>
            </w:pPr>
          </w:p>
        </w:tc>
        <w:tc>
          <w:tcPr>
            <w:tcW w:w="0" w:type="auto"/>
            <w:shd w:val="clear" w:color="auto" w:fill="auto"/>
          </w:tcPr>
          <w:p w14:paraId="5EA20DAF" w14:textId="77777777" w:rsidR="003C66EB" w:rsidRDefault="003C66EB">
            <w:pPr>
              <w:rPr>
                <w:rFonts w:ascii="宋体"/>
              </w:rPr>
            </w:pPr>
          </w:p>
        </w:tc>
        <w:tc>
          <w:tcPr>
            <w:tcW w:w="0" w:type="auto"/>
            <w:shd w:val="clear" w:color="auto" w:fill="auto"/>
          </w:tcPr>
          <w:p w14:paraId="5EA20DB0" w14:textId="77777777" w:rsidR="003C66EB" w:rsidRDefault="003C66EB">
            <w:pPr>
              <w:rPr>
                <w:rFonts w:ascii="宋体"/>
              </w:rPr>
            </w:pPr>
          </w:p>
        </w:tc>
        <w:tc>
          <w:tcPr>
            <w:tcW w:w="0" w:type="auto"/>
            <w:shd w:val="clear" w:color="auto" w:fill="auto"/>
          </w:tcPr>
          <w:p w14:paraId="5EA20DB1" w14:textId="77777777" w:rsidR="003C66EB" w:rsidRDefault="003C66EB">
            <w:pPr>
              <w:rPr>
                <w:rFonts w:ascii="宋体"/>
              </w:rPr>
            </w:pPr>
          </w:p>
        </w:tc>
        <w:tc>
          <w:tcPr>
            <w:tcW w:w="0" w:type="auto"/>
            <w:shd w:val="clear" w:color="auto" w:fill="auto"/>
          </w:tcPr>
          <w:p w14:paraId="5EA20DB2" w14:textId="77777777" w:rsidR="003C66EB" w:rsidRDefault="003C66EB">
            <w:pPr>
              <w:rPr>
                <w:rFonts w:ascii="宋体"/>
              </w:rPr>
            </w:pPr>
          </w:p>
        </w:tc>
      </w:tr>
      <w:tr w:rsidR="003C66EB" w14:paraId="5EA20DCA" w14:textId="77777777">
        <w:trPr>
          <w:hidden/>
        </w:trPr>
        <w:tc>
          <w:tcPr>
            <w:tcW w:w="0" w:type="auto"/>
            <w:gridSpan w:val="3"/>
            <w:shd w:val="clear" w:color="auto" w:fill="auto"/>
          </w:tcPr>
          <w:p w14:paraId="5EA20DB4" w14:textId="77777777" w:rsidR="003C66EB" w:rsidRDefault="003C66EB">
            <w:pPr>
              <w:rPr>
                <w:rFonts w:ascii="宋体"/>
                <w:vanish/>
              </w:rPr>
            </w:pPr>
          </w:p>
        </w:tc>
        <w:tc>
          <w:tcPr>
            <w:tcW w:w="0" w:type="auto"/>
            <w:gridSpan w:val="3"/>
            <w:shd w:val="clear" w:color="auto" w:fill="auto"/>
          </w:tcPr>
          <w:p w14:paraId="5EA20DB5" w14:textId="77777777" w:rsidR="003C66EB" w:rsidRDefault="003C66EB">
            <w:pPr>
              <w:rPr>
                <w:rFonts w:ascii="宋体"/>
                <w:vanish/>
              </w:rPr>
            </w:pPr>
          </w:p>
        </w:tc>
        <w:tc>
          <w:tcPr>
            <w:tcW w:w="0" w:type="auto"/>
            <w:gridSpan w:val="3"/>
            <w:shd w:val="clear" w:color="auto" w:fill="auto"/>
          </w:tcPr>
          <w:p w14:paraId="5EA20DB6" w14:textId="77777777" w:rsidR="003C66EB" w:rsidRDefault="003C66EB">
            <w:pPr>
              <w:rPr>
                <w:rFonts w:ascii="宋体"/>
                <w:vanish/>
              </w:rPr>
            </w:pPr>
          </w:p>
        </w:tc>
        <w:tc>
          <w:tcPr>
            <w:tcW w:w="0" w:type="auto"/>
            <w:gridSpan w:val="3"/>
            <w:shd w:val="clear" w:color="auto" w:fill="auto"/>
          </w:tcPr>
          <w:p w14:paraId="5EA20DB7" w14:textId="77777777" w:rsidR="003C66EB" w:rsidRDefault="003C66EB">
            <w:pPr>
              <w:rPr>
                <w:rFonts w:ascii="宋体"/>
                <w:vanish/>
              </w:rPr>
            </w:pPr>
          </w:p>
        </w:tc>
        <w:tc>
          <w:tcPr>
            <w:tcW w:w="0" w:type="auto"/>
            <w:gridSpan w:val="3"/>
            <w:shd w:val="clear" w:color="auto" w:fill="auto"/>
          </w:tcPr>
          <w:p w14:paraId="5EA20DB8" w14:textId="77777777" w:rsidR="003C66EB" w:rsidRDefault="003C66EB">
            <w:pPr>
              <w:rPr>
                <w:rFonts w:ascii="宋体"/>
                <w:vanish/>
              </w:rPr>
            </w:pPr>
          </w:p>
        </w:tc>
        <w:tc>
          <w:tcPr>
            <w:tcW w:w="0" w:type="auto"/>
            <w:gridSpan w:val="3"/>
            <w:shd w:val="clear" w:color="auto" w:fill="auto"/>
          </w:tcPr>
          <w:p w14:paraId="5EA20DB9" w14:textId="77777777" w:rsidR="003C66EB" w:rsidRDefault="003C66EB">
            <w:pPr>
              <w:rPr>
                <w:rFonts w:ascii="宋体"/>
                <w:vanish/>
              </w:rPr>
            </w:pPr>
          </w:p>
        </w:tc>
        <w:tc>
          <w:tcPr>
            <w:tcW w:w="0" w:type="auto"/>
            <w:gridSpan w:val="3"/>
            <w:shd w:val="clear" w:color="auto" w:fill="auto"/>
          </w:tcPr>
          <w:p w14:paraId="5EA20DBA" w14:textId="77777777" w:rsidR="003C66EB" w:rsidRDefault="003C66EB">
            <w:pPr>
              <w:rPr>
                <w:rFonts w:ascii="宋体"/>
                <w:vanish/>
              </w:rPr>
            </w:pPr>
          </w:p>
        </w:tc>
        <w:tc>
          <w:tcPr>
            <w:tcW w:w="0" w:type="auto"/>
            <w:gridSpan w:val="3"/>
            <w:shd w:val="clear" w:color="auto" w:fill="auto"/>
          </w:tcPr>
          <w:p w14:paraId="5EA20DBB" w14:textId="77777777" w:rsidR="003C66EB" w:rsidRDefault="003C66EB">
            <w:pPr>
              <w:rPr>
                <w:rFonts w:ascii="宋体"/>
                <w:vanish/>
              </w:rPr>
            </w:pPr>
          </w:p>
        </w:tc>
        <w:tc>
          <w:tcPr>
            <w:tcW w:w="0" w:type="auto"/>
            <w:gridSpan w:val="3"/>
            <w:shd w:val="clear" w:color="auto" w:fill="auto"/>
          </w:tcPr>
          <w:p w14:paraId="5EA20DBC" w14:textId="77777777" w:rsidR="003C66EB" w:rsidRDefault="003C66EB">
            <w:pPr>
              <w:rPr>
                <w:rFonts w:ascii="宋体"/>
                <w:vanish/>
              </w:rPr>
            </w:pPr>
          </w:p>
        </w:tc>
        <w:tc>
          <w:tcPr>
            <w:tcW w:w="0" w:type="auto"/>
            <w:gridSpan w:val="3"/>
            <w:shd w:val="clear" w:color="auto" w:fill="auto"/>
          </w:tcPr>
          <w:p w14:paraId="5EA20DBD" w14:textId="77777777" w:rsidR="003C66EB" w:rsidRDefault="003C66EB">
            <w:pPr>
              <w:rPr>
                <w:rFonts w:ascii="宋体"/>
                <w:vanish/>
              </w:rPr>
            </w:pPr>
          </w:p>
        </w:tc>
        <w:tc>
          <w:tcPr>
            <w:tcW w:w="0" w:type="auto"/>
            <w:gridSpan w:val="3"/>
            <w:shd w:val="clear" w:color="auto" w:fill="auto"/>
          </w:tcPr>
          <w:p w14:paraId="5EA20DBE" w14:textId="77777777" w:rsidR="003C66EB" w:rsidRDefault="003C66EB">
            <w:pPr>
              <w:rPr>
                <w:rFonts w:ascii="宋体"/>
                <w:vanish/>
              </w:rPr>
            </w:pPr>
          </w:p>
        </w:tc>
        <w:tc>
          <w:tcPr>
            <w:tcW w:w="0" w:type="auto"/>
            <w:gridSpan w:val="3"/>
            <w:shd w:val="clear" w:color="auto" w:fill="auto"/>
          </w:tcPr>
          <w:p w14:paraId="5EA20DBF" w14:textId="77777777" w:rsidR="003C66EB" w:rsidRDefault="003C66EB">
            <w:pPr>
              <w:rPr>
                <w:rFonts w:ascii="宋体"/>
                <w:vanish/>
              </w:rPr>
            </w:pPr>
          </w:p>
        </w:tc>
        <w:tc>
          <w:tcPr>
            <w:tcW w:w="0" w:type="auto"/>
            <w:gridSpan w:val="3"/>
            <w:shd w:val="clear" w:color="auto" w:fill="auto"/>
          </w:tcPr>
          <w:p w14:paraId="5EA20DC0" w14:textId="77777777" w:rsidR="003C66EB" w:rsidRDefault="003C66EB">
            <w:pPr>
              <w:rPr>
                <w:rFonts w:ascii="宋体"/>
                <w:vanish/>
              </w:rPr>
            </w:pPr>
          </w:p>
        </w:tc>
        <w:tc>
          <w:tcPr>
            <w:tcW w:w="0" w:type="auto"/>
            <w:gridSpan w:val="3"/>
            <w:shd w:val="clear" w:color="auto" w:fill="auto"/>
          </w:tcPr>
          <w:p w14:paraId="5EA20DC1" w14:textId="77777777" w:rsidR="003C66EB" w:rsidRDefault="003C66EB">
            <w:pPr>
              <w:rPr>
                <w:rFonts w:ascii="宋体"/>
                <w:vanish/>
              </w:rPr>
            </w:pPr>
          </w:p>
        </w:tc>
        <w:tc>
          <w:tcPr>
            <w:tcW w:w="0" w:type="auto"/>
            <w:gridSpan w:val="3"/>
            <w:shd w:val="clear" w:color="auto" w:fill="auto"/>
          </w:tcPr>
          <w:p w14:paraId="5EA20DC2" w14:textId="77777777" w:rsidR="003C66EB" w:rsidRDefault="003C66EB">
            <w:pPr>
              <w:rPr>
                <w:rFonts w:ascii="宋体"/>
                <w:vanish/>
              </w:rPr>
            </w:pPr>
          </w:p>
        </w:tc>
        <w:tc>
          <w:tcPr>
            <w:tcW w:w="0" w:type="auto"/>
            <w:gridSpan w:val="3"/>
            <w:shd w:val="clear" w:color="auto" w:fill="auto"/>
          </w:tcPr>
          <w:p w14:paraId="5EA20DC3" w14:textId="77777777" w:rsidR="003C66EB" w:rsidRDefault="003C66EB">
            <w:pPr>
              <w:rPr>
                <w:rFonts w:ascii="宋体"/>
                <w:vanish/>
              </w:rPr>
            </w:pPr>
          </w:p>
        </w:tc>
        <w:tc>
          <w:tcPr>
            <w:tcW w:w="0" w:type="auto"/>
            <w:shd w:val="clear" w:color="auto" w:fill="auto"/>
          </w:tcPr>
          <w:p w14:paraId="5EA20DC4" w14:textId="77777777" w:rsidR="003C66EB" w:rsidRDefault="003C66EB">
            <w:pPr>
              <w:rPr>
                <w:rFonts w:ascii="宋体"/>
              </w:rPr>
            </w:pPr>
          </w:p>
        </w:tc>
        <w:tc>
          <w:tcPr>
            <w:tcW w:w="0" w:type="auto"/>
            <w:shd w:val="clear" w:color="auto" w:fill="auto"/>
          </w:tcPr>
          <w:p w14:paraId="5EA20DC5" w14:textId="77777777" w:rsidR="003C66EB" w:rsidRDefault="003C66EB">
            <w:pPr>
              <w:rPr>
                <w:rFonts w:ascii="宋体"/>
              </w:rPr>
            </w:pPr>
          </w:p>
        </w:tc>
        <w:tc>
          <w:tcPr>
            <w:tcW w:w="0" w:type="auto"/>
            <w:shd w:val="clear" w:color="auto" w:fill="auto"/>
          </w:tcPr>
          <w:p w14:paraId="5EA20DC6" w14:textId="77777777" w:rsidR="003C66EB" w:rsidRDefault="003C66EB">
            <w:pPr>
              <w:rPr>
                <w:rFonts w:ascii="宋体"/>
              </w:rPr>
            </w:pPr>
          </w:p>
        </w:tc>
        <w:tc>
          <w:tcPr>
            <w:tcW w:w="0" w:type="auto"/>
            <w:shd w:val="clear" w:color="auto" w:fill="auto"/>
          </w:tcPr>
          <w:p w14:paraId="5EA20DC7" w14:textId="77777777" w:rsidR="003C66EB" w:rsidRDefault="003C66EB">
            <w:pPr>
              <w:rPr>
                <w:rFonts w:ascii="宋体"/>
              </w:rPr>
            </w:pPr>
          </w:p>
        </w:tc>
        <w:tc>
          <w:tcPr>
            <w:tcW w:w="0" w:type="auto"/>
            <w:shd w:val="clear" w:color="auto" w:fill="auto"/>
          </w:tcPr>
          <w:p w14:paraId="5EA20DC8" w14:textId="77777777" w:rsidR="003C66EB" w:rsidRDefault="003C66EB">
            <w:pPr>
              <w:rPr>
                <w:rFonts w:ascii="宋体"/>
              </w:rPr>
            </w:pPr>
          </w:p>
        </w:tc>
        <w:tc>
          <w:tcPr>
            <w:tcW w:w="0" w:type="auto"/>
            <w:shd w:val="clear" w:color="auto" w:fill="auto"/>
          </w:tcPr>
          <w:p w14:paraId="5EA20DC9" w14:textId="77777777" w:rsidR="003C66EB" w:rsidRDefault="003C66EB">
            <w:pPr>
              <w:rPr>
                <w:rFonts w:ascii="宋体"/>
              </w:rPr>
            </w:pPr>
          </w:p>
        </w:tc>
      </w:tr>
      <w:tr w:rsidR="003C66EB" w14:paraId="5EA20DE3" w14:textId="77777777">
        <w:tc>
          <w:tcPr>
            <w:tcW w:w="0" w:type="auto"/>
            <w:gridSpan w:val="9"/>
            <w:shd w:val="clear" w:color="auto" w:fill="CCEEFF"/>
            <w:tcMar>
              <w:top w:w="40" w:type="dxa"/>
              <w:left w:w="20" w:type="dxa"/>
              <w:bottom w:w="40" w:type="dxa"/>
              <w:right w:w="20" w:type="dxa"/>
            </w:tcMar>
            <w:vAlign w:val="bottom"/>
          </w:tcPr>
          <w:p w14:paraId="5EA20DCB" w14:textId="77777777" w:rsidR="003C66EB" w:rsidRDefault="00D96C4E">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CC" w14:textId="77777777" w:rsidR="003C66EB" w:rsidRDefault="00D96C4E">
            <w:pPr>
              <w:jc w:val="right"/>
              <w:textAlignment w:val="bottom"/>
            </w:pPr>
            <w:r>
              <w:rPr>
                <w:rFonts w:ascii="Arial" w:eastAsia="宋体" w:hAnsi="Arial" w:cs="Arial"/>
                <w:b/>
                <w:bCs/>
                <w:color w:val="000000"/>
                <w:sz w:val="12"/>
                <w:szCs w:val="12"/>
              </w:rPr>
              <w:t>15,419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C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CF" w14:textId="77777777" w:rsidR="003C66EB" w:rsidRDefault="00D96C4E">
            <w:pPr>
              <w:jc w:val="right"/>
              <w:textAlignment w:val="bottom"/>
            </w:pPr>
            <w:r>
              <w:rPr>
                <w:rFonts w:ascii="Arial" w:eastAsia="宋体" w:hAnsi="Arial" w:cs="Arial"/>
                <w:b/>
                <w:bCs/>
                <w:color w:val="000000"/>
                <w:sz w:val="12"/>
                <w:szCs w:val="12"/>
              </w:rPr>
              <w:t>15,419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D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D2" w14:textId="77777777" w:rsidR="003C66EB" w:rsidRDefault="00D96C4E">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D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D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D5" w14:textId="77777777" w:rsidR="003C66EB" w:rsidRDefault="00D96C4E">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D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D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D8"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D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DB"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D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DE"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DE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DE1"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DE2" w14:textId="77777777" w:rsidR="003C66EB" w:rsidRDefault="003C66EB">
            <w:pPr>
              <w:jc w:val="right"/>
              <w:rPr>
                <w:rFonts w:ascii="宋体"/>
              </w:rPr>
            </w:pPr>
          </w:p>
        </w:tc>
      </w:tr>
      <w:tr w:rsidR="003C66EB" w14:paraId="5EA20DFC" w14:textId="77777777">
        <w:tc>
          <w:tcPr>
            <w:tcW w:w="0" w:type="auto"/>
            <w:gridSpan w:val="9"/>
            <w:shd w:val="clear" w:color="auto" w:fill="FFFFFF"/>
            <w:tcMar>
              <w:top w:w="40" w:type="dxa"/>
              <w:left w:w="245" w:type="dxa"/>
              <w:bottom w:w="40" w:type="dxa"/>
              <w:right w:w="20" w:type="dxa"/>
            </w:tcMar>
            <w:vAlign w:val="bottom"/>
          </w:tcPr>
          <w:p w14:paraId="5EA20DE4" w14:textId="77777777" w:rsidR="003C66EB" w:rsidRDefault="00D96C4E">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E5" w14:textId="77777777" w:rsidR="003C66EB" w:rsidRDefault="00D96C4E">
            <w:pPr>
              <w:jc w:val="right"/>
              <w:textAlignment w:val="bottom"/>
            </w:pPr>
            <w:r>
              <w:rPr>
                <w:rFonts w:ascii="Arial" w:eastAsia="宋体" w:hAnsi="Arial" w:cs="Arial"/>
                <w:b/>
                <w:bCs/>
                <w:color w:val="000000"/>
                <w:sz w:val="12"/>
                <w:szCs w:val="12"/>
              </w:rPr>
              <w:t>1,801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E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E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E8" w14:textId="77777777" w:rsidR="003C66EB" w:rsidRDefault="00D96C4E">
            <w:pPr>
              <w:jc w:val="right"/>
              <w:textAlignment w:val="bottom"/>
            </w:pPr>
            <w:r>
              <w:rPr>
                <w:rFonts w:ascii="Arial" w:eastAsia="宋体" w:hAnsi="Arial" w:cs="Arial"/>
                <w:b/>
                <w:bCs/>
                <w:color w:val="000000"/>
                <w:sz w:val="12"/>
                <w:szCs w:val="12"/>
              </w:rPr>
              <w:t>1,801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E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EB" w14:textId="77777777" w:rsidR="003C66EB" w:rsidRDefault="00D96C4E">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E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EE" w14:textId="77777777" w:rsidR="003C66EB" w:rsidRDefault="00D96C4E">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E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F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F1" w14:textId="77777777" w:rsidR="003C66EB" w:rsidRDefault="00D96C4E">
            <w:pPr>
              <w:jc w:val="right"/>
              <w:textAlignment w:val="bottom"/>
            </w:pPr>
            <w:r>
              <w:rPr>
                <w:rFonts w:ascii="Arial" w:eastAsia="宋体" w:hAnsi="Arial" w:cs="Arial"/>
                <w:b/>
                <w:bCs/>
                <w:color w:val="000000"/>
                <w:sz w:val="12"/>
                <w:szCs w:val="12"/>
              </w:rPr>
              <w:t>963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F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F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F4" w14:textId="77777777" w:rsidR="003C66EB" w:rsidRDefault="00D96C4E">
            <w:pPr>
              <w:jc w:val="right"/>
              <w:textAlignment w:val="bottom"/>
            </w:pPr>
            <w:r>
              <w:rPr>
                <w:rFonts w:ascii="Arial" w:eastAsia="宋体" w:hAnsi="Arial" w:cs="Arial"/>
                <w:b/>
                <w:bCs/>
                <w:color w:val="000000"/>
                <w:sz w:val="12"/>
                <w:szCs w:val="12"/>
              </w:rPr>
              <w:t>963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F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F7" w14:textId="77777777" w:rsidR="003C66EB" w:rsidRDefault="00D96C4E">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DF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0DFA" w14:textId="77777777" w:rsidR="003C66EB" w:rsidRDefault="00D96C4E">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DFB" w14:textId="77777777" w:rsidR="003C66EB" w:rsidRDefault="003C66EB">
            <w:pPr>
              <w:jc w:val="right"/>
              <w:rPr>
                <w:rFonts w:ascii="宋体"/>
              </w:rPr>
            </w:pPr>
          </w:p>
        </w:tc>
      </w:tr>
      <w:tr w:rsidR="003C66EB" w14:paraId="5EA20E13" w14:textId="77777777">
        <w:trPr>
          <w:hidden/>
        </w:trPr>
        <w:tc>
          <w:tcPr>
            <w:tcW w:w="0" w:type="auto"/>
            <w:gridSpan w:val="3"/>
            <w:shd w:val="clear" w:color="auto" w:fill="auto"/>
          </w:tcPr>
          <w:p w14:paraId="5EA20DFD" w14:textId="77777777" w:rsidR="003C66EB" w:rsidRDefault="003C66EB">
            <w:pPr>
              <w:rPr>
                <w:rFonts w:ascii="宋体"/>
                <w:vanish/>
              </w:rPr>
            </w:pPr>
          </w:p>
        </w:tc>
        <w:tc>
          <w:tcPr>
            <w:tcW w:w="0" w:type="auto"/>
            <w:gridSpan w:val="3"/>
            <w:shd w:val="clear" w:color="auto" w:fill="auto"/>
          </w:tcPr>
          <w:p w14:paraId="5EA20DFE" w14:textId="77777777" w:rsidR="003C66EB" w:rsidRDefault="003C66EB">
            <w:pPr>
              <w:rPr>
                <w:rFonts w:ascii="宋体"/>
                <w:vanish/>
              </w:rPr>
            </w:pPr>
          </w:p>
        </w:tc>
        <w:tc>
          <w:tcPr>
            <w:tcW w:w="0" w:type="auto"/>
            <w:gridSpan w:val="3"/>
            <w:shd w:val="clear" w:color="auto" w:fill="auto"/>
          </w:tcPr>
          <w:p w14:paraId="5EA20DFF" w14:textId="77777777" w:rsidR="003C66EB" w:rsidRDefault="003C66EB">
            <w:pPr>
              <w:rPr>
                <w:rFonts w:ascii="宋体"/>
                <w:vanish/>
              </w:rPr>
            </w:pPr>
          </w:p>
        </w:tc>
        <w:tc>
          <w:tcPr>
            <w:tcW w:w="0" w:type="auto"/>
            <w:gridSpan w:val="3"/>
            <w:shd w:val="clear" w:color="auto" w:fill="auto"/>
          </w:tcPr>
          <w:p w14:paraId="5EA20E00" w14:textId="77777777" w:rsidR="003C66EB" w:rsidRDefault="003C66EB">
            <w:pPr>
              <w:rPr>
                <w:rFonts w:ascii="宋体"/>
                <w:vanish/>
              </w:rPr>
            </w:pPr>
          </w:p>
        </w:tc>
        <w:tc>
          <w:tcPr>
            <w:tcW w:w="0" w:type="auto"/>
            <w:gridSpan w:val="3"/>
            <w:shd w:val="clear" w:color="auto" w:fill="auto"/>
          </w:tcPr>
          <w:p w14:paraId="5EA20E01" w14:textId="77777777" w:rsidR="003C66EB" w:rsidRDefault="003C66EB">
            <w:pPr>
              <w:rPr>
                <w:rFonts w:ascii="宋体"/>
                <w:vanish/>
              </w:rPr>
            </w:pPr>
          </w:p>
        </w:tc>
        <w:tc>
          <w:tcPr>
            <w:tcW w:w="0" w:type="auto"/>
            <w:gridSpan w:val="3"/>
            <w:shd w:val="clear" w:color="auto" w:fill="auto"/>
          </w:tcPr>
          <w:p w14:paraId="5EA20E02" w14:textId="77777777" w:rsidR="003C66EB" w:rsidRDefault="003C66EB">
            <w:pPr>
              <w:rPr>
                <w:rFonts w:ascii="宋体"/>
                <w:vanish/>
              </w:rPr>
            </w:pPr>
          </w:p>
        </w:tc>
        <w:tc>
          <w:tcPr>
            <w:tcW w:w="0" w:type="auto"/>
            <w:gridSpan w:val="3"/>
            <w:shd w:val="clear" w:color="auto" w:fill="auto"/>
          </w:tcPr>
          <w:p w14:paraId="5EA20E03" w14:textId="77777777" w:rsidR="003C66EB" w:rsidRDefault="003C66EB">
            <w:pPr>
              <w:rPr>
                <w:rFonts w:ascii="宋体"/>
                <w:vanish/>
              </w:rPr>
            </w:pPr>
          </w:p>
        </w:tc>
        <w:tc>
          <w:tcPr>
            <w:tcW w:w="0" w:type="auto"/>
            <w:gridSpan w:val="3"/>
            <w:shd w:val="clear" w:color="auto" w:fill="auto"/>
          </w:tcPr>
          <w:p w14:paraId="5EA20E04" w14:textId="77777777" w:rsidR="003C66EB" w:rsidRDefault="003C66EB">
            <w:pPr>
              <w:rPr>
                <w:rFonts w:ascii="宋体"/>
                <w:vanish/>
              </w:rPr>
            </w:pPr>
          </w:p>
        </w:tc>
        <w:tc>
          <w:tcPr>
            <w:tcW w:w="0" w:type="auto"/>
            <w:gridSpan w:val="3"/>
            <w:shd w:val="clear" w:color="auto" w:fill="auto"/>
          </w:tcPr>
          <w:p w14:paraId="5EA20E05" w14:textId="77777777" w:rsidR="003C66EB" w:rsidRDefault="003C66EB">
            <w:pPr>
              <w:rPr>
                <w:rFonts w:ascii="宋体"/>
                <w:vanish/>
              </w:rPr>
            </w:pPr>
          </w:p>
        </w:tc>
        <w:tc>
          <w:tcPr>
            <w:tcW w:w="0" w:type="auto"/>
            <w:gridSpan w:val="3"/>
            <w:shd w:val="clear" w:color="auto" w:fill="auto"/>
          </w:tcPr>
          <w:p w14:paraId="5EA20E06" w14:textId="77777777" w:rsidR="003C66EB" w:rsidRDefault="003C66EB">
            <w:pPr>
              <w:rPr>
                <w:rFonts w:ascii="宋体"/>
                <w:vanish/>
              </w:rPr>
            </w:pPr>
          </w:p>
        </w:tc>
        <w:tc>
          <w:tcPr>
            <w:tcW w:w="0" w:type="auto"/>
            <w:gridSpan w:val="3"/>
            <w:shd w:val="clear" w:color="auto" w:fill="auto"/>
          </w:tcPr>
          <w:p w14:paraId="5EA20E07" w14:textId="77777777" w:rsidR="003C66EB" w:rsidRDefault="003C66EB">
            <w:pPr>
              <w:rPr>
                <w:rFonts w:ascii="宋体"/>
                <w:vanish/>
              </w:rPr>
            </w:pPr>
          </w:p>
        </w:tc>
        <w:tc>
          <w:tcPr>
            <w:tcW w:w="0" w:type="auto"/>
            <w:gridSpan w:val="3"/>
            <w:shd w:val="clear" w:color="auto" w:fill="auto"/>
          </w:tcPr>
          <w:p w14:paraId="5EA20E08" w14:textId="77777777" w:rsidR="003C66EB" w:rsidRDefault="003C66EB">
            <w:pPr>
              <w:rPr>
                <w:rFonts w:ascii="宋体"/>
                <w:vanish/>
              </w:rPr>
            </w:pPr>
          </w:p>
        </w:tc>
        <w:tc>
          <w:tcPr>
            <w:tcW w:w="0" w:type="auto"/>
            <w:gridSpan w:val="3"/>
            <w:shd w:val="clear" w:color="auto" w:fill="auto"/>
          </w:tcPr>
          <w:p w14:paraId="5EA20E09" w14:textId="77777777" w:rsidR="003C66EB" w:rsidRDefault="003C66EB">
            <w:pPr>
              <w:rPr>
                <w:rFonts w:ascii="宋体"/>
                <w:vanish/>
              </w:rPr>
            </w:pPr>
          </w:p>
        </w:tc>
        <w:tc>
          <w:tcPr>
            <w:tcW w:w="0" w:type="auto"/>
            <w:gridSpan w:val="3"/>
            <w:shd w:val="clear" w:color="auto" w:fill="auto"/>
          </w:tcPr>
          <w:p w14:paraId="5EA20E0A" w14:textId="77777777" w:rsidR="003C66EB" w:rsidRDefault="003C66EB">
            <w:pPr>
              <w:rPr>
                <w:rFonts w:ascii="宋体"/>
                <w:vanish/>
              </w:rPr>
            </w:pPr>
          </w:p>
        </w:tc>
        <w:tc>
          <w:tcPr>
            <w:tcW w:w="0" w:type="auto"/>
            <w:gridSpan w:val="3"/>
            <w:shd w:val="clear" w:color="auto" w:fill="auto"/>
          </w:tcPr>
          <w:p w14:paraId="5EA20E0B" w14:textId="77777777" w:rsidR="003C66EB" w:rsidRDefault="003C66EB">
            <w:pPr>
              <w:rPr>
                <w:rFonts w:ascii="宋体"/>
                <w:vanish/>
              </w:rPr>
            </w:pPr>
          </w:p>
        </w:tc>
        <w:tc>
          <w:tcPr>
            <w:tcW w:w="0" w:type="auto"/>
            <w:gridSpan w:val="3"/>
            <w:shd w:val="clear" w:color="auto" w:fill="auto"/>
          </w:tcPr>
          <w:p w14:paraId="5EA20E0C" w14:textId="77777777" w:rsidR="003C66EB" w:rsidRDefault="003C66EB">
            <w:pPr>
              <w:rPr>
                <w:rFonts w:ascii="宋体"/>
                <w:vanish/>
              </w:rPr>
            </w:pPr>
          </w:p>
        </w:tc>
        <w:tc>
          <w:tcPr>
            <w:tcW w:w="0" w:type="auto"/>
            <w:shd w:val="clear" w:color="auto" w:fill="auto"/>
          </w:tcPr>
          <w:p w14:paraId="5EA20E0D" w14:textId="77777777" w:rsidR="003C66EB" w:rsidRDefault="003C66EB">
            <w:pPr>
              <w:rPr>
                <w:rFonts w:ascii="宋体"/>
              </w:rPr>
            </w:pPr>
          </w:p>
        </w:tc>
        <w:tc>
          <w:tcPr>
            <w:tcW w:w="0" w:type="auto"/>
            <w:shd w:val="clear" w:color="auto" w:fill="auto"/>
          </w:tcPr>
          <w:p w14:paraId="5EA20E0E" w14:textId="77777777" w:rsidR="003C66EB" w:rsidRDefault="003C66EB">
            <w:pPr>
              <w:rPr>
                <w:rFonts w:ascii="宋体"/>
              </w:rPr>
            </w:pPr>
          </w:p>
        </w:tc>
        <w:tc>
          <w:tcPr>
            <w:tcW w:w="0" w:type="auto"/>
            <w:shd w:val="clear" w:color="auto" w:fill="auto"/>
          </w:tcPr>
          <w:p w14:paraId="5EA20E0F" w14:textId="77777777" w:rsidR="003C66EB" w:rsidRDefault="003C66EB">
            <w:pPr>
              <w:rPr>
                <w:rFonts w:ascii="宋体"/>
              </w:rPr>
            </w:pPr>
          </w:p>
        </w:tc>
        <w:tc>
          <w:tcPr>
            <w:tcW w:w="0" w:type="auto"/>
            <w:shd w:val="clear" w:color="auto" w:fill="auto"/>
          </w:tcPr>
          <w:p w14:paraId="5EA20E10" w14:textId="77777777" w:rsidR="003C66EB" w:rsidRDefault="003C66EB">
            <w:pPr>
              <w:rPr>
                <w:rFonts w:ascii="宋体"/>
              </w:rPr>
            </w:pPr>
          </w:p>
        </w:tc>
        <w:tc>
          <w:tcPr>
            <w:tcW w:w="0" w:type="auto"/>
            <w:shd w:val="clear" w:color="auto" w:fill="auto"/>
          </w:tcPr>
          <w:p w14:paraId="5EA20E11" w14:textId="77777777" w:rsidR="003C66EB" w:rsidRDefault="003C66EB">
            <w:pPr>
              <w:rPr>
                <w:rFonts w:ascii="宋体"/>
              </w:rPr>
            </w:pPr>
          </w:p>
        </w:tc>
        <w:tc>
          <w:tcPr>
            <w:tcW w:w="0" w:type="auto"/>
            <w:shd w:val="clear" w:color="auto" w:fill="auto"/>
          </w:tcPr>
          <w:p w14:paraId="5EA20E12" w14:textId="77777777" w:rsidR="003C66EB" w:rsidRDefault="003C66EB">
            <w:pPr>
              <w:rPr>
                <w:rFonts w:ascii="宋体"/>
              </w:rPr>
            </w:pPr>
          </w:p>
        </w:tc>
      </w:tr>
      <w:tr w:rsidR="003C66EB" w14:paraId="5EA20E2C" w14:textId="77777777">
        <w:tc>
          <w:tcPr>
            <w:tcW w:w="0" w:type="auto"/>
            <w:gridSpan w:val="9"/>
            <w:shd w:val="clear" w:color="auto" w:fill="CCEEFF"/>
            <w:tcMar>
              <w:top w:w="40" w:type="dxa"/>
              <w:left w:w="245" w:type="dxa"/>
              <w:bottom w:w="40" w:type="dxa"/>
              <w:right w:w="20" w:type="dxa"/>
            </w:tcMar>
            <w:vAlign w:val="bottom"/>
          </w:tcPr>
          <w:p w14:paraId="5EA20E14" w14:textId="77777777" w:rsidR="003C66EB" w:rsidRDefault="00D96C4E">
            <w:pPr>
              <w:textAlignment w:val="bottom"/>
            </w:pPr>
            <w:r>
              <w:rPr>
                <w:rFonts w:ascii="Arial" w:eastAsia="宋体" w:hAnsi="Arial" w:cs="Arial"/>
                <w:color w:val="000000"/>
                <w:sz w:val="12"/>
                <w:szCs w:val="12"/>
              </w:rPr>
              <w:t>Allowance for loan and lease losses</w:t>
            </w:r>
          </w:p>
        </w:tc>
        <w:tc>
          <w:tcPr>
            <w:tcW w:w="0" w:type="auto"/>
            <w:gridSpan w:val="2"/>
            <w:shd w:val="clear" w:color="auto" w:fill="CCEEFF"/>
            <w:tcMar>
              <w:top w:w="40" w:type="dxa"/>
              <w:left w:w="20" w:type="dxa"/>
              <w:bottom w:w="40" w:type="dxa"/>
              <w:right w:w="0" w:type="dxa"/>
            </w:tcMar>
            <w:vAlign w:val="bottom"/>
          </w:tcPr>
          <w:p w14:paraId="5EA20E15"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E1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1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18" w14:textId="77777777" w:rsidR="003C66EB" w:rsidRDefault="00D96C4E">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E1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1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1B" w14:textId="77777777" w:rsidR="003C66EB" w:rsidRDefault="00D96C4E">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5EA20E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1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1E" w14:textId="77777777" w:rsidR="003C66EB" w:rsidRDefault="00D96C4E">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A20E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2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21"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E2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2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24" w14:textId="77777777" w:rsidR="003C66EB" w:rsidRDefault="00D96C4E">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E2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2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27" w14:textId="77777777" w:rsidR="003C66EB" w:rsidRDefault="00D96C4E">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5EA20E2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2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2A" w14:textId="77777777" w:rsidR="003C66EB" w:rsidRDefault="00D96C4E">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A20E2B" w14:textId="77777777" w:rsidR="003C66EB" w:rsidRDefault="003C66EB">
            <w:pPr>
              <w:jc w:val="right"/>
              <w:rPr>
                <w:rFonts w:ascii="宋体"/>
              </w:rPr>
            </w:pPr>
          </w:p>
        </w:tc>
      </w:tr>
      <w:tr w:rsidR="003C66EB" w14:paraId="5EA20E43" w14:textId="77777777">
        <w:trPr>
          <w:hidden/>
        </w:trPr>
        <w:tc>
          <w:tcPr>
            <w:tcW w:w="0" w:type="auto"/>
            <w:gridSpan w:val="3"/>
            <w:shd w:val="clear" w:color="auto" w:fill="auto"/>
          </w:tcPr>
          <w:p w14:paraId="5EA20E2D" w14:textId="77777777" w:rsidR="003C66EB" w:rsidRDefault="003C66EB">
            <w:pPr>
              <w:rPr>
                <w:rFonts w:ascii="宋体"/>
                <w:vanish/>
              </w:rPr>
            </w:pPr>
          </w:p>
        </w:tc>
        <w:tc>
          <w:tcPr>
            <w:tcW w:w="0" w:type="auto"/>
            <w:gridSpan w:val="3"/>
            <w:shd w:val="clear" w:color="auto" w:fill="auto"/>
          </w:tcPr>
          <w:p w14:paraId="5EA20E2E" w14:textId="77777777" w:rsidR="003C66EB" w:rsidRDefault="003C66EB">
            <w:pPr>
              <w:rPr>
                <w:rFonts w:ascii="宋体"/>
                <w:vanish/>
              </w:rPr>
            </w:pPr>
          </w:p>
        </w:tc>
        <w:tc>
          <w:tcPr>
            <w:tcW w:w="0" w:type="auto"/>
            <w:gridSpan w:val="3"/>
            <w:shd w:val="clear" w:color="auto" w:fill="auto"/>
          </w:tcPr>
          <w:p w14:paraId="5EA20E2F" w14:textId="77777777" w:rsidR="003C66EB" w:rsidRDefault="003C66EB">
            <w:pPr>
              <w:rPr>
                <w:rFonts w:ascii="宋体"/>
                <w:vanish/>
              </w:rPr>
            </w:pPr>
          </w:p>
        </w:tc>
        <w:tc>
          <w:tcPr>
            <w:tcW w:w="0" w:type="auto"/>
            <w:gridSpan w:val="3"/>
            <w:shd w:val="clear" w:color="auto" w:fill="auto"/>
          </w:tcPr>
          <w:p w14:paraId="5EA20E30" w14:textId="77777777" w:rsidR="003C66EB" w:rsidRDefault="003C66EB">
            <w:pPr>
              <w:rPr>
                <w:rFonts w:ascii="宋体"/>
                <w:vanish/>
              </w:rPr>
            </w:pPr>
          </w:p>
        </w:tc>
        <w:tc>
          <w:tcPr>
            <w:tcW w:w="0" w:type="auto"/>
            <w:gridSpan w:val="3"/>
            <w:shd w:val="clear" w:color="auto" w:fill="auto"/>
          </w:tcPr>
          <w:p w14:paraId="5EA20E31" w14:textId="77777777" w:rsidR="003C66EB" w:rsidRDefault="003C66EB">
            <w:pPr>
              <w:rPr>
                <w:rFonts w:ascii="宋体"/>
                <w:vanish/>
              </w:rPr>
            </w:pPr>
          </w:p>
        </w:tc>
        <w:tc>
          <w:tcPr>
            <w:tcW w:w="0" w:type="auto"/>
            <w:gridSpan w:val="3"/>
            <w:shd w:val="clear" w:color="auto" w:fill="auto"/>
          </w:tcPr>
          <w:p w14:paraId="5EA20E32" w14:textId="77777777" w:rsidR="003C66EB" w:rsidRDefault="003C66EB">
            <w:pPr>
              <w:rPr>
                <w:rFonts w:ascii="宋体"/>
                <w:vanish/>
              </w:rPr>
            </w:pPr>
          </w:p>
        </w:tc>
        <w:tc>
          <w:tcPr>
            <w:tcW w:w="0" w:type="auto"/>
            <w:gridSpan w:val="3"/>
            <w:shd w:val="clear" w:color="auto" w:fill="auto"/>
          </w:tcPr>
          <w:p w14:paraId="5EA20E33" w14:textId="77777777" w:rsidR="003C66EB" w:rsidRDefault="003C66EB">
            <w:pPr>
              <w:rPr>
                <w:rFonts w:ascii="宋体"/>
                <w:vanish/>
              </w:rPr>
            </w:pPr>
          </w:p>
        </w:tc>
        <w:tc>
          <w:tcPr>
            <w:tcW w:w="0" w:type="auto"/>
            <w:gridSpan w:val="3"/>
            <w:shd w:val="clear" w:color="auto" w:fill="auto"/>
          </w:tcPr>
          <w:p w14:paraId="5EA20E34" w14:textId="77777777" w:rsidR="003C66EB" w:rsidRDefault="003C66EB">
            <w:pPr>
              <w:rPr>
                <w:rFonts w:ascii="宋体"/>
                <w:vanish/>
              </w:rPr>
            </w:pPr>
          </w:p>
        </w:tc>
        <w:tc>
          <w:tcPr>
            <w:tcW w:w="0" w:type="auto"/>
            <w:gridSpan w:val="3"/>
            <w:shd w:val="clear" w:color="auto" w:fill="auto"/>
          </w:tcPr>
          <w:p w14:paraId="5EA20E35" w14:textId="77777777" w:rsidR="003C66EB" w:rsidRDefault="003C66EB">
            <w:pPr>
              <w:rPr>
                <w:rFonts w:ascii="宋体"/>
                <w:vanish/>
              </w:rPr>
            </w:pPr>
          </w:p>
        </w:tc>
        <w:tc>
          <w:tcPr>
            <w:tcW w:w="0" w:type="auto"/>
            <w:gridSpan w:val="3"/>
            <w:shd w:val="clear" w:color="auto" w:fill="auto"/>
          </w:tcPr>
          <w:p w14:paraId="5EA20E36" w14:textId="77777777" w:rsidR="003C66EB" w:rsidRDefault="003C66EB">
            <w:pPr>
              <w:rPr>
                <w:rFonts w:ascii="宋体"/>
                <w:vanish/>
              </w:rPr>
            </w:pPr>
          </w:p>
        </w:tc>
        <w:tc>
          <w:tcPr>
            <w:tcW w:w="0" w:type="auto"/>
            <w:gridSpan w:val="3"/>
            <w:shd w:val="clear" w:color="auto" w:fill="auto"/>
          </w:tcPr>
          <w:p w14:paraId="5EA20E37" w14:textId="77777777" w:rsidR="003C66EB" w:rsidRDefault="003C66EB">
            <w:pPr>
              <w:rPr>
                <w:rFonts w:ascii="宋体"/>
                <w:vanish/>
              </w:rPr>
            </w:pPr>
          </w:p>
        </w:tc>
        <w:tc>
          <w:tcPr>
            <w:tcW w:w="0" w:type="auto"/>
            <w:gridSpan w:val="3"/>
            <w:shd w:val="clear" w:color="auto" w:fill="auto"/>
          </w:tcPr>
          <w:p w14:paraId="5EA20E38" w14:textId="77777777" w:rsidR="003C66EB" w:rsidRDefault="003C66EB">
            <w:pPr>
              <w:rPr>
                <w:rFonts w:ascii="宋体"/>
                <w:vanish/>
              </w:rPr>
            </w:pPr>
          </w:p>
        </w:tc>
        <w:tc>
          <w:tcPr>
            <w:tcW w:w="0" w:type="auto"/>
            <w:gridSpan w:val="3"/>
            <w:shd w:val="clear" w:color="auto" w:fill="auto"/>
          </w:tcPr>
          <w:p w14:paraId="5EA20E39" w14:textId="77777777" w:rsidR="003C66EB" w:rsidRDefault="003C66EB">
            <w:pPr>
              <w:rPr>
                <w:rFonts w:ascii="宋体"/>
                <w:vanish/>
              </w:rPr>
            </w:pPr>
          </w:p>
        </w:tc>
        <w:tc>
          <w:tcPr>
            <w:tcW w:w="0" w:type="auto"/>
            <w:gridSpan w:val="3"/>
            <w:shd w:val="clear" w:color="auto" w:fill="auto"/>
          </w:tcPr>
          <w:p w14:paraId="5EA20E3A" w14:textId="77777777" w:rsidR="003C66EB" w:rsidRDefault="003C66EB">
            <w:pPr>
              <w:rPr>
                <w:rFonts w:ascii="宋体"/>
                <w:vanish/>
              </w:rPr>
            </w:pPr>
          </w:p>
        </w:tc>
        <w:tc>
          <w:tcPr>
            <w:tcW w:w="0" w:type="auto"/>
            <w:gridSpan w:val="3"/>
            <w:shd w:val="clear" w:color="auto" w:fill="auto"/>
          </w:tcPr>
          <w:p w14:paraId="5EA20E3B" w14:textId="77777777" w:rsidR="003C66EB" w:rsidRDefault="003C66EB">
            <w:pPr>
              <w:rPr>
                <w:rFonts w:ascii="宋体"/>
                <w:vanish/>
              </w:rPr>
            </w:pPr>
          </w:p>
        </w:tc>
        <w:tc>
          <w:tcPr>
            <w:tcW w:w="0" w:type="auto"/>
            <w:gridSpan w:val="3"/>
            <w:shd w:val="clear" w:color="auto" w:fill="auto"/>
          </w:tcPr>
          <w:p w14:paraId="5EA20E3C" w14:textId="77777777" w:rsidR="003C66EB" w:rsidRDefault="003C66EB">
            <w:pPr>
              <w:rPr>
                <w:rFonts w:ascii="宋体"/>
                <w:vanish/>
              </w:rPr>
            </w:pPr>
          </w:p>
        </w:tc>
        <w:tc>
          <w:tcPr>
            <w:tcW w:w="0" w:type="auto"/>
            <w:shd w:val="clear" w:color="auto" w:fill="auto"/>
          </w:tcPr>
          <w:p w14:paraId="5EA20E3D" w14:textId="77777777" w:rsidR="003C66EB" w:rsidRDefault="003C66EB">
            <w:pPr>
              <w:rPr>
                <w:rFonts w:ascii="宋体"/>
              </w:rPr>
            </w:pPr>
          </w:p>
        </w:tc>
        <w:tc>
          <w:tcPr>
            <w:tcW w:w="0" w:type="auto"/>
            <w:shd w:val="clear" w:color="auto" w:fill="auto"/>
          </w:tcPr>
          <w:p w14:paraId="5EA20E3E" w14:textId="77777777" w:rsidR="003C66EB" w:rsidRDefault="003C66EB">
            <w:pPr>
              <w:rPr>
                <w:rFonts w:ascii="宋体"/>
              </w:rPr>
            </w:pPr>
          </w:p>
        </w:tc>
        <w:tc>
          <w:tcPr>
            <w:tcW w:w="0" w:type="auto"/>
            <w:shd w:val="clear" w:color="auto" w:fill="auto"/>
          </w:tcPr>
          <w:p w14:paraId="5EA20E3F" w14:textId="77777777" w:rsidR="003C66EB" w:rsidRDefault="003C66EB">
            <w:pPr>
              <w:rPr>
                <w:rFonts w:ascii="宋体"/>
              </w:rPr>
            </w:pPr>
          </w:p>
        </w:tc>
        <w:tc>
          <w:tcPr>
            <w:tcW w:w="0" w:type="auto"/>
            <w:shd w:val="clear" w:color="auto" w:fill="auto"/>
          </w:tcPr>
          <w:p w14:paraId="5EA20E40" w14:textId="77777777" w:rsidR="003C66EB" w:rsidRDefault="003C66EB">
            <w:pPr>
              <w:rPr>
                <w:rFonts w:ascii="宋体"/>
              </w:rPr>
            </w:pPr>
          </w:p>
        </w:tc>
        <w:tc>
          <w:tcPr>
            <w:tcW w:w="0" w:type="auto"/>
            <w:shd w:val="clear" w:color="auto" w:fill="auto"/>
          </w:tcPr>
          <w:p w14:paraId="5EA20E41" w14:textId="77777777" w:rsidR="003C66EB" w:rsidRDefault="003C66EB">
            <w:pPr>
              <w:rPr>
                <w:rFonts w:ascii="宋体"/>
              </w:rPr>
            </w:pPr>
          </w:p>
        </w:tc>
        <w:tc>
          <w:tcPr>
            <w:tcW w:w="0" w:type="auto"/>
            <w:shd w:val="clear" w:color="auto" w:fill="auto"/>
          </w:tcPr>
          <w:p w14:paraId="5EA20E42" w14:textId="77777777" w:rsidR="003C66EB" w:rsidRDefault="003C66EB">
            <w:pPr>
              <w:rPr>
                <w:rFonts w:ascii="宋体"/>
              </w:rPr>
            </w:pPr>
          </w:p>
        </w:tc>
      </w:tr>
      <w:tr w:rsidR="00D96C4E" w14:paraId="5EA20E64" w14:textId="77777777">
        <w:tc>
          <w:tcPr>
            <w:tcW w:w="0" w:type="auto"/>
            <w:gridSpan w:val="9"/>
            <w:shd w:val="clear" w:color="auto" w:fill="FFFFFF"/>
            <w:tcMar>
              <w:top w:w="40" w:type="dxa"/>
              <w:left w:w="20" w:type="dxa"/>
              <w:bottom w:w="40" w:type="dxa"/>
              <w:right w:w="20" w:type="dxa"/>
            </w:tcMar>
            <w:vAlign w:val="bottom"/>
          </w:tcPr>
          <w:p w14:paraId="5EA20E44" w14:textId="77777777" w:rsidR="003C66EB" w:rsidRDefault="00D96C4E">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0E45"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46" w14:textId="77777777" w:rsidR="003C66EB" w:rsidRDefault="00D96C4E">
            <w:pPr>
              <w:jc w:val="right"/>
              <w:textAlignment w:val="bottom"/>
            </w:pPr>
            <w:r>
              <w:rPr>
                <w:rFonts w:ascii="Arial" w:eastAsia="宋体" w:hAnsi="Arial" w:cs="Arial"/>
                <w:b/>
                <w:bCs/>
                <w:color w:val="000000"/>
                <w:sz w:val="12"/>
                <w:szCs w:val="12"/>
              </w:rPr>
              <w:t>17,220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4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48"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49"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4A" w14:textId="77777777" w:rsidR="003C66EB" w:rsidRDefault="00D96C4E">
            <w:pPr>
              <w:jc w:val="right"/>
              <w:textAlignment w:val="bottom"/>
            </w:pPr>
            <w:r>
              <w:rPr>
                <w:rFonts w:ascii="Arial" w:eastAsia="宋体" w:hAnsi="Arial" w:cs="Arial"/>
                <w:b/>
                <w:bCs/>
                <w:color w:val="000000"/>
                <w:sz w:val="12"/>
                <w:szCs w:val="12"/>
              </w:rPr>
              <w:t>17,355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4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4C"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4D"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4E" w14:textId="77777777" w:rsidR="003C66EB" w:rsidRDefault="00D96C4E">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4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50"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51"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52" w14:textId="77777777" w:rsidR="003C66EB" w:rsidRDefault="00D96C4E">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5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54"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55"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56" w14:textId="77777777" w:rsidR="003C66EB" w:rsidRDefault="00D96C4E">
            <w:pPr>
              <w:jc w:val="right"/>
              <w:textAlignment w:val="bottom"/>
            </w:pPr>
            <w:r>
              <w:rPr>
                <w:rFonts w:ascii="Arial" w:eastAsia="宋体" w:hAnsi="Arial" w:cs="Arial"/>
                <w:b/>
                <w:bCs/>
                <w:color w:val="000000"/>
                <w:sz w:val="12"/>
                <w:szCs w:val="12"/>
              </w:rPr>
              <w:t>17,984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58"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59"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5A" w14:textId="77777777" w:rsidR="003C66EB" w:rsidRDefault="00D96C4E">
            <w:pPr>
              <w:jc w:val="right"/>
              <w:textAlignment w:val="bottom"/>
            </w:pPr>
            <w:r>
              <w:rPr>
                <w:rFonts w:ascii="Arial" w:eastAsia="宋体" w:hAnsi="Arial" w:cs="Arial"/>
                <w:b/>
                <w:bCs/>
                <w:color w:val="000000"/>
                <w:sz w:val="12"/>
                <w:szCs w:val="12"/>
              </w:rPr>
              <w:t>18,119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5C"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5D"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5E" w14:textId="77777777" w:rsidR="003C66EB" w:rsidRDefault="00D96C4E">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5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60"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0E61"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0E62" w14:textId="77777777" w:rsidR="003C66EB" w:rsidRDefault="00D96C4E">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0E63" w14:textId="77777777" w:rsidR="003C66EB" w:rsidRDefault="003C66EB">
            <w:pPr>
              <w:jc w:val="right"/>
              <w:rPr>
                <w:rFonts w:ascii="宋体"/>
              </w:rPr>
            </w:pPr>
          </w:p>
        </w:tc>
      </w:tr>
      <w:tr w:rsidR="003C66EB" w14:paraId="5EA20E75" w14:textId="77777777">
        <w:tc>
          <w:tcPr>
            <w:tcW w:w="0" w:type="auto"/>
            <w:gridSpan w:val="9"/>
            <w:shd w:val="clear" w:color="auto" w:fill="CCEEFF"/>
            <w:tcMar>
              <w:top w:w="40" w:type="dxa"/>
              <w:left w:w="20" w:type="dxa"/>
              <w:bottom w:w="40" w:type="dxa"/>
              <w:right w:w="20" w:type="dxa"/>
            </w:tcMar>
            <w:vAlign w:val="bottom"/>
          </w:tcPr>
          <w:p w14:paraId="5EA20E65" w14:textId="77777777" w:rsidR="003C66EB" w:rsidRDefault="00D96C4E">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tcPr>
          <w:p w14:paraId="5EA20E6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67"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6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69"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6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6B"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6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6D"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6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6F"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7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71"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7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0E73"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0E74" w14:textId="77777777" w:rsidR="003C66EB" w:rsidRDefault="003C66EB">
            <w:pPr>
              <w:rPr>
                <w:rFonts w:ascii="宋体"/>
              </w:rPr>
            </w:pPr>
          </w:p>
        </w:tc>
      </w:tr>
      <w:tr w:rsidR="003C66EB" w14:paraId="5EA20E88" w14:textId="77777777">
        <w:trPr>
          <w:hidden/>
        </w:trPr>
        <w:tc>
          <w:tcPr>
            <w:tcW w:w="0" w:type="auto"/>
            <w:gridSpan w:val="3"/>
            <w:shd w:val="clear" w:color="auto" w:fill="auto"/>
          </w:tcPr>
          <w:p w14:paraId="5EA20E76" w14:textId="77777777" w:rsidR="003C66EB" w:rsidRDefault="003C66EB">
            <w:pPr>
              <w:rPr>
                <w:rFonts w:ascii="宋体"/>
                <w:vanish/>
              </w:rPr>
            </w:pPr>
          </w:p>
        </w:tc>
        <w:tc>
          <w:tcPr>
            <w:tcW w:w="0" w:type="auto"/>
            <w:gridSpan w:val="3"/>
            <w:shd w:val="clear" w:color="auto" w:fill="auto"/>
          </w:tcPr>
          <w:p w14:paraId="5EA20E77" w14:textId="77777777" w:rsidR="003C66EB" w:rsidRDefault="003C66EB">
            <w:pPr>
              <w:rPr>
                <w:rFonts w:ascii="宋体"/>
                <w:vanish/>
              </w:rPr>
            </w:pPr>
          </w:p>
        </w:tc>
        <w:tc>
          <w:tcPr>
            <w:tcW w:w="0" w:type="auto"/>
            <w:gridSpan w:val="3"/>
            <w:shd w:val="clear" w:color="auto" w:fill="auto"/>
          </w:tcPr>
          <w:p w14:paraId="5EA20E78" w14:textId="77777777" w:rsidR="003C66EB" w:rsidRDefault="003C66EB">
            <w:pPr>
              <w:rPr>
                <w:rFonts w:ascii="宋体"/>
                <w:vanish/>
              </w:rPr>
            </w:pPr>
          </w:p>
        </w:tc>
        <w:tc>
          <w:tcPr>
            <w:tcW w:w="0" w:type="auto"/>
            <w:gridSpan w:val="3"/>
            <w:shd w:val="clear" w:color="auto" w:fill="auto"/>
          </w:tcPr>
          <w:p w14:paraId="5EA20E79" w14:textId="77777777" w:rsidR="003C66EB" w:rsidRDefault="003C66EB">
            <w:pPr>
              <w:rPr>
                <w:rFonts w:ascii="宋体"/>
                <w:vanish/>
              </w:rPr>
            </w:pPr>
          </w:p>
        </w:tc>
        <w:tc>
          <w:tcPr>
            <w:tcW w:w="0" w:type="auto"/>
            <w:gridSpan w:val="3"/>
            <w:shd w:val="clear" w:color="auto" w:fill="auto"/>
          </w:tcPr>
          <w:p w14:paraId="5EA20E7A" w14:textId="77777777" w:rsidR="003C66EB" w:rsidRDefault="003C66EB">
            <w:pPr>
              <w:rPr>
                <w:rFonts w:ascii="宋体"/>
                <w:vanish/>
              </w:rPr>
            </w:pPr>
          </w:p>
        </w:tc>
        <w:tc>
          <w:tcPr>
            <w:tcW w:w="0" w:type="auto"/>
            <w:gridSpan w:val="3"/>
            <w:shd w:val="clear" w:color="auto" w:fill="auto"/>
          </w:tcPr>
          <w:p w14:paraId="5EA20E7B" w14:textId="77777777" w:rsidR="003C66EB" w:rsidRDefault="003C66EB">
            <w:pPr>
              <w:rPr>
                <w:rFonts w:ascii="宋体"/>
                <w:vanish/>
              </w:rPr>
            </w:pPr>
          </w:p>
        </w:tc>
        <w:tc>
          <w:tcPr>
            <w:tcW w:w="0" w:type="auto"/>
            <w:gridSpan w:val="3"/>
            <w:shd w:val="clear" w:color="auto" w:fill="auto"/>
          </w:tcPr>
          <w:p w14:paraId="5EA20E7C" w14:textId="77777777" w:rsidR="003C66EB" w:rsidRDefault="003C66EB">
            <w:pPr>
              <w:rPr>
                <w:rFonts w:ascii="宋体"/>
                <w:vanish/>
              </w:rPr>
            </w:pPr>
          </w:p>
        </w:tc>
        <w:tc>
          <w:tcPr>
            <w:tcW w:w="0" w:type="auto"/>
            <w:gridSpan w:val="3"/>
            <w:shd w:val="clear" w:color="auto" w:fill="auto"/>
          </w:tcPr>
          <w:p w14:paraId="5EA20E7D" w14:textId="77777777" w:rsidR="003C66EB" w:rsidRDefault="003C66EB">
            <w:pPr>
              <w:rPr>
                <w:rFonts w:ascii="宋体"/>
                <w:vanish/>
              </w:rPr>
            </w:pPr>
          </w:p>
        </w:tc>
        <w:tc>
          <w:tcPr>
            <w:tcW w:w="0" w:type="auto"/>
            <w:gridSpan w:val="3"/>
            <w:shd w:val="clear" w:color="auto" w:fill="auto"/>
          </w:tcPr>
          <w:p w14:paraId="5EA20E7E" w14:textId="77777777" w:rsidR="003C66EB" w:rsidRDefault="003C66EB">
            <w:pPr>
              <w:rPr>
                <w:rFonts w:ascii="宋体"/>
                <w:vanish/>
              </w:rPr>
            </w:pPr>
          </w:p>
        </w:tc>
        <w:tc>
          <w:tcPr>
            <w:tcW w:w="0" w:type="auto"/>
            <w:gridSpan w:val="3"/>
            <w:shd w:val="clear" w:color="auto" w:fill="auto"/>
          </w:tcPr>
          <w:p w14:paraId="5EA20E7F" w14:textId="77777777" w:rsidR="003C66EB" w:rsidRDefault="003C66EB">
            <w:pPr>
              <w:rPr>
                <w:rFonts w:ascii="宋体"/>
                <w:vanish/>
              </w:rPr>
            </w:pPr>
          </w:p>
        </w:tc>
        <w:tc>
          <w:tcPr>
            <w:tcW w:w="0" w:type="auto"/>
            <w:gridSpan w:val="3"/>
            <w:shd w:val="clear" w:color="auto" w:fill="auto"/>
          </w:tcPr>
          <w:p w14:paraId="5EA20E80" w14:textId="77777777" w:rsidR="003C66EB" w:rsidRDefault="003C66EB">
            <w:pPr>
              <w:rPr>
                <w:rFonts w:ascii="宋体"/>
                <w:vanish/>
              </w:rPr>
            </w:pPr>
          </w:p>
        </w:tc>
        <w:tc>
          <w:tcPr>
            <w:tcW w:w="0" w:type="auto"/>
            <w:gridSpan w:val="3"/>
            <w:shd w:val="clear" w:color="auto" w:fill="auto"/>
          </w:tcPr>
          <w:p w14:paraId="5EA20E81" w14:textId="77777777" w:rsidR="003C66EB" w:rsidRDefault="003C66EB">
            <w:pPr>
              <w:rPr>
                <w:rFonts w:ascii="宋体"/>
                <w:vanish/>
              </w:rPr>
            </w:pPr>
          </w:p>
        </w:tc>
        <w:tc>
          <w:tcPr>
            <w:tcW w:w="0" w:type="auto"/>
            <w:gridSpan w:val="3"/>
            <w:shd w:val="clear" w:color="auto" w:fill="auto"/>
          </w:tcPr>
          <w:p w14:paraId="5EA20E82" w14:textId="77777777" w:rsidR="003C66EB" w:rsidRDefault="003C66EB">
            <w:pPr>
              <w:rPr>
                <w:rFonts w:ascii="宋体"/>
                <w:vanish/>
              </w:rPr>
            </w:pPr>
          </w:p>
        </w:tc>
        <w:tc>
          <w:tcPr>
            <w:tcW w:w="0" w:type="auto"/>
            <w:gridSpan w:val="3"/>
            <w:shd w:val="clear" w:color="auto" w:fill="auto"/>
          </w:tcPr>
          <w:p w14:paraId="5EA20E83" w14:textId="77777777" w:rsidR="003C66EB" w:rsidRDefault="003C66EB">
            <w:pPr>
              <w:rPr>
                <w:rFonts w:ascii="宋体"/>
                <w:vanish/>
              </w:rPr>
            </w:pPr>
          </w:p>
        </w:tc>
        <w:tc>
          <w:tcPr>
            <w:tcW w:w="0" w:type="auto"/>
            <w:gridSpan w:val="3"/>
            <w:shd w:val="clear" w:color="auto" w:fill="auto"/>
          </w:tcPr>
          <w:p w14:paraId="5EA20E84" w14:textId="77777777" w:rsidR="003C66EB" w:rsidRDefault="003C66EB">
            <w:pPr>
              <w:rPr>
                <w:rFonts w:ascii="宋体"/>
                <w:vanish/>
              </w:rPr>
            </w:pPr>
          </w:p>
        </w:tc>
        <w:tc>
          <w:tcPr>
            <w:tcW w:w="0" w:type="auto"/>
            <w:gridSpan w:val="3"/>
            <w:shd w:val="clear" w:color="auto" w:fill="auto"/>
          </w:tcPr>
          <w:p w14:paraId="5EA20E85" w14:textId="77777777" w:rsidR="003C66EB" w:rsidRDefault="003C66EB">
            <w:pPr>
              <w:rPr>
                <w:rFonts w:ascii="宋体"/>
                <w:vanish/>
              </w:rPr>
            </w:pPr>
          </w:p>
        </w:tc>
        <w:tc>
          <w:tcPr>
            <w:tcW w:w="0" w:type="auto"/>
            <w:gridSpan w:val="3"/>
            <w:shd w:val="clear" w:color="auto" w:fill="auto"/>
          </w:tcPr>
          <w:p w14:paraId="5EA20E86" w14:textId="77777777" w:rsidR="003C66EB" w:rsidRDefault="003C66EB">
            <w:pPr>
              <w:rPr>
                <w:rFonts w:ascii="宋体"/>
                <w:vanish/>
              </w:rPr>
            </w:pPr>
          </w:p>
        </w:tc>
        <w:tc>
          <w:tcPr>
            <w:tcW w:w="0" w:type="auto"/>
            <w:gridSpan w:val="3"/>
            <w:shd w:val="clear" w:color="auto" w:fill="auto"/>
          </w:tcPr>
          <w:p w14:paraId="5EA20E87" w14:textId="77777777" w:rsidR="003C66EB" w:rsidRDefault="003C66EB">
            <w:pPr>
              <w:rPr>
                <w:rFonts w:ascii="宋体"/>
                <w:vanish/>
              </w:rPr>
            </w:pPr>
          </w:p>
        </w:tc>
      </w:tr>
      <w:tr w:rsidR="003C66EB" w14:paraId="5EA20E9B" w14:textId="77777777">
        <w:trPr>
          <w:hidden/>
        </w:trPr>
        <w:tc>
          <w:tcPr>
            <w:tcW w:w="0" w:type="auto"/>
            <w:gridSpan w:val="3"/>
            <w:shd w:val="clear" w:color="auto" w:fill="auto"/>
          </w:tcPr>
          <w:p w14:paraId="5EA20E89" w14:textId="77777777" w:rsidR="003C66EB" w:rsidRDefault="003C66EB">
            <w:pPr>
              <w:rPr>
                <w:rFonts w:ascii="宋体"/>
                <w:vanish/>
              </w:rPr>
            </w:pPr>
          </w:p>
        </w:tc>
        <w:tc>
          <w:tcPr>
            <w:tcW w:w="0" w:type="auto"/>
            <w:gridSpan w:val="3"/>
            <w:shd w:val="clear" w:color="auto" w:fill="auto"/>
          </w:tcPr>
          <w:p w14:paraId="5EA20E8A" w14:textId="77777777" w:rsidR="003C66EB" w:rsidRDefault="003C66EB">
            <w:pPr>
              <w:rPr>
                <w:rFonts w:ascii="宋体"/>
                <w:vanish/>
              </w:rPr>
            </w:pPr>
          </w:p>
        </w:tc>
        <w:tc>
          <w:tcPr>
            <w:tcW w:w="0" w:type="auto"/>
            <w:gridSpan w:val="3"/>
            <w:shd w:val="clear" w:color="auto" w:fill="auto"/>
          </w:tcPr>
          <w:p w14:paraId="5EA20E8B" w14:textId="77777777" w:rsidR="003C66EB" w:rsidRDefault="003C66EB">
            <w:pPr>
              <w:rPr>
                <w:rFonts w:ascii="宋体"/>
                <w:vanish/>
              </w:rPr>
            </w:pPr>
          </w:p>
        </w:tc>
        <w:tc>
          <w:tcPr>
            <w:tcW w:w="0" w:type="auto"/>
            <w:gridSpan w:val="3"/>
            <w:shd w:val="clear" w:color="auto" w:fill="auto"/>
          </w:tcPr>
          <w:p w14:paraId="5EA20E8C" w14:textId="77777777" w:rsidR="003C66EB" w:rsidRDefault="003C66EB">
            <w:pPr>
              <w:rPr>
                <w:rFonts w:ascii="宋体"/>
                <w:vanish/>
              </w:rPr>
            </w:pPr>
          </w:p>
        </w:tc>
        <w:tc>
          <w:tcPr>
            <w:tcW w:w="0" w:type="auto"/>
            <w:gridSpan w:val="3"/>
            <w:shd w:val="clear" w:color="auto" w:fill="auto"/>
          </w:tcPr>
          <w:p w14:paraId="5EA20E8D" w14:textId="77777777" w:rsidR="003C66EB" w:rsidRDefault="003C66EB">
            <w:pPr>
              <w:rPr>
                <w:rFonts w:ascii="宋体"/>
                <w:vanish/>
              </w:rPr>
            </w:pPr>
          </w:p>
        </w:tc>
        <w:tc>
          <w:tcPr>
            <w:tcW w:w="0" w:type="auto"/>
            <w:gridSpan w:val="3"/>
            <w:shd w:val="clear" w:color="auto" w:fill="auto"/>
          </w:tcPr>
          <w:p w14:paraId="5EA20E8E" w14:textId="77777777" w:rsidR="003C66EB" w:rsidRDefault="003C66EB">
            <w:pPr>
              <w:rPr>
                <w:rFonts w:ascii="宋体"/>
                <w:vanish/>
              </w:rPr>
            </w:pPr>
          </w:p>
        </w:tc>
        <w:tc>
          <w:tcPr>
            <w:tcW w:w="0" w:type="auto"/>
            <w:gridSpan w:val="3"/>
            <w:shd w:val="clear" w:color="auto" w:fill="auto"/>
          </w:tcPr>
          <w:p w14:paraId="5EA20E8F" w14:textId="77777777" w:rsidR="003C66EB" w:rsidRDefault="003C66EB">
            <w:pPr>
              <w:rPr>
                <w:rFonts w:ascii="宋体"/>
                <w:vanish/>
              </w:rPr>
            </w:pPr>
          </w:p>
        </w:tc>
        <w:tc>
          <w:tcPr>
            <w:tcW w:w="0" w:type="auto"/>
            <w:gridSpan w:val="3"/>
            <w:shd w:val="clear" w:color="auto" w:fill="auto"/>
          </w:tcPr>
          <w:p w14:paraId="5EA20E90" w14:textId="77777777" w:rsidR="003C66EB" w:rsidRDefault="003C66EB">
            <w:pPr>
              <w:rPr>
                <w:rFonts w:ascii="宋体"/>
                <w:vanish/>
              </w:rPr>
            </w:pPr>
          </w:p>
        </w:tc>
        <w:tc>
          <w:tcPr>
            <w:tcW w:w="0" w:type="auto"/>
            <w:gridSpan w:val="3"/>
            <w:shd w:val="clear" w:color="auto" w:fill="auto"/>
          </w:tcPr>
          <w:p w14:paraId="5EA20E91" w14:textId="77777777" w:rsidR="003C66EB" w:rsidRDefault="003C66EB">
            <w:pPr>
              <w:rPr>
                <w:rFonts w:ascii="宋体"/>
                <w:vanish/>
              </w:rPr>
            </w:pPr>
          </w:p>
        </w:tc>
        <w:tc>
          <w:tcPr>
            <w:tcW w:w="0" w:type="auto"/>
            <w:gridSpan w:val="3"/>
            <w:shd w:val="clear" w:color="auto" w:fill="auto"/>
          </w:tcPr>
          <w:p w14:paraId="5EA20E92" w14:textId="77777777" w:rsidR="003C66EB" w:rsidRDefault="003C66EB">
            <w:pPr>
              <w:rPr>
                <w:rFonts w:ascii="宋体"/>
                <w:vanish/>
              </w:rPr>
            </w:pPr>
          </w:p>
        </w:tc>
        <w:tc>
          <w:tcPr>
            <w:tcW w:w="0" w:type="auto"/>
            <w:gridSpan w:val="3"/>
            <w:shd w:val="clear" w:color="auto" w:fill="auto"/>
          </w:tcPr>
          <w:p w14:paraId="5EA20E93" w14:textId="77777777" w:rsidR="003C66EB" w:rsidRDefault="003C66EB">
            <w:pPr>
              <w:rPr>
                <w:rFonts w:ascii="宋体"/>
                <w:vanish/>
              </w:rPr>
            </w:pPr>
          </w:p>
        </w:tc>
        <w:tc>
          <w:tcPr>
            <w:tcW w:w="0" w:type="auto"/>
            <w:gridSpan w:val="3"/>
            <w:shd w:val="clear" w:color="auto" w:fill="auto"/>
          </w:tcPr>
          <w:p w14:paraId="5EA20E94" w14:textId="77777777" w:rsidR="003C66EB" w:rsidRDefault="003C66EB">
            <w:pPr>
              <w:rPr>
                <w:rFonts w:ascii="宋体"/>
                <w:vanish/>
              </w:rPr>
            </w:pPr>
          </w:p>
        </w:tc>
        <w:tc>
          <w:tcPr>
            <w:tcW w:w="0" w:type="auto"/>
            <w:gridSpan w:val="3"/>
            <w:shd w:val="clear" w:color="auto" w:fill="auto"/>
          </w:tcPr>
          <w:p w14:paraId="5EA20E95" w14:textId="77777777" w:rsidR="003C66EB" w:rsidRDefault="003C66EB">
            <w:pPr>
              <w:rPr>
                <w:rFonts w:ascii="宋体"/>
                <w:vanish/>
              </w:rPr>
            </w:pPr>
          </w:p>
        </w:tc>
        <w:tc>
          <w:tcPr>
            <w:tcW w:w="0" w:type="auto"/>
            <w:gridSpan w:val="3"/>
            <w:shd w:val="clear" w:color="auto" w:fill="auto"/>
          </w:tcPr>
          <w:p w14:paraId="5EA20E96" w14:textId="77777777" w:rsidR="003C66EB" w:rsidRDefault="003C66EB">
            <w:pPr>
              <w:rPr>
                <w:rFonts w:ascii="宋体"/>
                <w:vanish/>
              </w:rPr>
            </w:pPr>
          </w:p>
        </w:tc>
        <w:tc>
          <w:tcPr>
            <w:tcW w:w="0" w:type="auto"/>
            <w:gridSpan w:val="3"/>
            <w:shd w:val="clear" w:color="auto" w:fill="auto"/>
          </w:tcPr>
          <w:p w14:paraId="5EA20E97" w14:textId="77777777" w:rsidR="003C66EB" w:rsidRDefault="003C66EB">
            <w:pPr>
              <w:rPr>
                <w:rFonts w:ascii="宋体"/>
                <w:vanish/>
              </w:rPr>
            </w:pPr>
          </w:p>
        </w:tc>
        <w:tc>
          <w:tcPr>
            <w:tcW w:w="0" w:type="auto"/>
            <w:gridSpan w:val="3"/>
            <w:shd w:val="clear" w:color="auto" w:fill="auto"/>
          </w:tcPr>
          <w:p w14:paraId="5EA20E98" w14:textId="77777777" w:rsidR="003C66EB" w:rsidRDefault="003C66EB">
            <w:pPr>
              <w:rPr>
                <w:rFonts w:ascii="宋体"/>
                <w:vanish/>
              </w:rPr>
            </w:pPr>
          </w:p>
        </w:tc>
        <w:tc>
          <w:tcPr>
            <w:tcW w:w="0" w:type="auto"/>
            <w:gridSpan w:val="3"/>
            <w:shd w:val="clear" w:color="auto" w:fill="auto"/>
          </w:tcPr>
          <w:p w14:paraId="5EA20E99" w14:textId="77777777" w:rsidR="003C66EB" w:rsidRDefault="003C66EB">
            <w:pPr>
              <w:rPr>
                <w:rFonts w:ascii="宋体"/>
                <w:vanish/>
              </w:rPr>
            </w:pPr>
          </w:p>
        </w:tc>
        <w:tc>
          <w:tcPr>
            <w:tcW w:w="0" w:type="auto"/>
            <w:gridSpan w:val="3"/>
            <w:shd w:val="clear" w:color="auto" w:fill="auto"/>
          </w:tcPr>
          <w:p w14:paraId="5EA20E9A" w14:textId="77777777" w:rsidR="003C66EB" w:rsidRDefault="003C66EB">
            <w:pPr>
              <w:rPr>
                <w:rFonts w:ascii="宋体"/>
                <w:vanish/>
              </w:rPr>
            </w:pPr>
          </w:p>
        </w:tc>
      </w:tr>
      <w:tr w:rsidR="003C66EB" w14:paraId="5EA20EAE" w14:textId="77777777">
        <w:trPr>
          <w:hidden/>
        </w:trPr>
        <w:tc>
          <w:tcPr>
            <w:tcW w:w="0" w:type="auto"/>
            <w:gridSpan w:val="3"/>
            <w:shd w:val="clear" w:color="auto" w:fill="auto"/>
          </w:tcPr>
          <w:p w14:paraId="5EA20E9C" w14:textId="77777777" w:rsidR="003C66EB" w:rsidRDefault="003C66EB">
            <w:pPr>
              <w:rPr>
                <w:rFonts w:ascii="宋体"/>
                <w:vanish/>
              </w:rPr>
            </w:pPr>
          </w:p>
        </w:tc>
        <w:tc>
          <w:tcPr>
            <w:tcW w:w="0" w:type="auto"/>
            <w:gridSpan w:val="3"/>
            <w:shd w:val="clear" w:color="auto" w:fill="auto"/>
          </w:tcPr>
          <w:p w14:paraId="5EA20E9D" w14:textId="77777777" w:rsidR="003C66EB" w:rsidRDefault="003C66EB">
            <w:pPr>
              <w:rPr>
                <w:rFonts w:ascii="宋体"/>
                <w:vanish/>
              </w:rPr>
            </w:pPr>
          </w:p>
        </w:tc>
        <w:tc>
          <w:tcPr>
            <w:tcW w:w="0" w:type="auto"/>
            <w:gridSpan w:val="3"/>
            <w:shd w:val="clear" w:color="auto" w:fill="auto"/>
          </w:tcPr>
          <w:p w14:paraId="5EA20E9E" w14:textId="77777777" w:rsidR="003C66EB" w:rsidRDefault="003C66EB">
            <w:pPr>
              <w:rPr>
                <w:rFonts w:ascii="宋体"/>
                <w:vanish/>
              </w:rPr>
            </w:pPr>
          </w:p>
        </w:tc>
        <w:tc>
          <w:tcPr>
            <w:tcW w:w="0" w:type="auto"/>
            <w:gridSpan w:val="3"/>
            <w:shd w:val="clear" w:color="auto" w:fill="auto"/>
          </w:tcPr>
          <w:p w14:paraId="5EA20E9F" w14:textId="77777777" w:rsidR="003C66EB" w:rsidRDefault="003C66EB">
            <w:pPr>
              <w:rPr>
                <w:rFonts w:ascii="宋体"/>
                <w:vanish/>
              </w:rPr>
            </w:pPr>
          </w:p>
        </w:tc>
        <w:tc>
          <w:tcPr>
            <w:tcW w:w="0" w:type="auto"/>
            <w:gridSpan w:val="3"/>
            <w:shd w:val="clear" w:color="auto" w:fill="auto"/>
          </w:tcPr>
          <w:p w14:paraId="5EA20EA0" w14:textId="77777777" w:rsidR="003C66EB" w:rsidRDefault="003C66EB">
            <w:pPr>
              <w:rPr>
                <w:rFonts w:ascii="宋体"/>
                <w:vanish/>
              </w:rPr>
            </w:pPr>
          </w:p>
        </w:tc>
        <w:tc>
          <w:tcPr>
            <w:tcW w:w="0" w:type="auto"/>
            <w:gridSpan w:val="3"/>
            <w:shd w:val="clear" w:color="auto" w:fill="auto"/>
          </w:tcPr>
          <w:p w14:paraId="5EA20EA1" w14:textId="77777777" w:rsidR="003C66EB" w:rsidRDefault="003C66EB">
            <w:pPr>
              <w:rPr>
                <w:rFonts w:ascii="宋体"/>
                <w:vanish/>
              </w:rPr>
            </w:pPr>
          </w:p>
        </w:tc>
        <w:tc>
          <w:tcPr>
            <w:tcW w:w="0" w:type="auto"/>
            <w:gridSpan w:val="3"/>
            <w:shd w:val="clear" w:color="auto" w:fill="auto"/>
          </w:tcPr>
          <w:p w14:paraId="5EA20EA2" w14:textId="77777777" w:rsidR="003C66EB" w:rsidRDefault="003C66EB">
            <w:pPr>
              <w:rPr>
                <w:rFonts w:ascii="宋体"/>
                <w:vanish/>
              </w:rPr>
            </w:pPr>
          </w:p>
        </w:tc>
        <w:tc>
          <w:tcPr>
            <w:tcW w:w="0" w:type="auto"/>
            <w:gridSpan w:val="3"/>
            <w:shd w:val="clear" w:color="auto" w:fill="auto"/>
          </w:tcPr>
          <w:p w14:paraId="5EA20EA3" w14:textId="77777777" w:rsidR="003C66EB" w:rsidRDefault="003C66EB">
            <w:pPr>
              <w:rPr>
                <w:rFonts w:ascii="宋体"/>
                <w:vanish/>
              </w:rPr>
            </w:pPr>
          </w:p>
        </w:tc>
        <w:tc>
          <w:tcPr>
            <w:tcW w:w="0" w:type="auto"/>
            <w:gridSpan w:val="3"/>
            <w:shd w:val="clear" w:color="auto" w:fill="auto"/>
          </w:tcPr>
          <w:p w14:paraId="5EA20EA4" w14:textId="77777777" w:rsidR="003C66EB" w:rsidRDefault="003C66EB">
            <w:pPr>
              <w:rPr>
                <w:rFonts w:ascii="宋体"/>
                <w:vanish/>
              </w:rPr>
            </w:pPr>
          </w:p>
        </w:tc>
        <w:tc>
          <w:tcPr>
            <w:tcW w:w="0" w:type="auto"/>
            <w:gridSpan w:val="3"/>
            <w:shd w:val="clear" w:color="auto" w:fill="auto"/>
          </w:tcPr>
          <w:p w14:paraId="5EA20EA5" w14:textId="77777777" w:rsidR="003C66EB" w:rsidRDefault="003C66EB">
            <w:pPr>
              <w:rPr>
                <w:rFonts w:ascii="宋体"/>
                <w:vanish/>
              </w:rPr>
            </w:pPr>
          </w:p>
        </w:tc>
        <w:tc>
          <w:tcPr>
            <w:tcW w:w="0" w:type="auto"/>
            <w:gridSpan w:val="3"/>
            <w:shd w:val="clear" w:color="auto" w:fill="auto"/>
          </w:tcPr>
          <w:p w14:paraId="5EA20EA6" w14:textId="77777777" w:rsidR="003C66EB" w:rsidRDefault="003C66EB">
            <w:pPr>
              <w:rPr>
                <w:rFonts w:ascii="宋体"/>
                <w:vanish/>
              </w:rPr>
            </w:pPr>
          </w:p>
        </w:tc>
        <w:tc>
          <w:tcPr>
            <w:tcW w:w="0" w:type="auto"/>
            <w:gridSpan w:val="3"/>
            <w:shd w:val="clear" w:color="auto" w:fill="auto"/>
          </w:tcPr>
          <w:p w14:paraId="5EA20EA7" w14:textId="77777777" w:rsidR="003C66EB" w:rsidRDefault="003C66EB">
            <w:pPr>
              <w:rPr>
                <w:rFonts w:ascii="宋体"/>
                <w:vanish/>
              </w:rPr>
            </w:pPr>
          </w:p>
        </w:tc>
        <w:tc>
          <w:tcPr>
            <w:tcW w:w="0" w:type="auto"/>
            <w:gridSpan w:val="3"/>
            <w:shd w:val="clear" w:color="auto" w:fill="auto"/>
          </w:tcPr>
          <w:p w14:paraId="5EA20EA8" w14:textId="77777777" w:rsidR="003C66EB" w:rsidRDefault="003C66EB">
            <w:pPr>
              <w:rPr>
                <w:rFonts w:ascii="宋体"/>
                <w:vanish/>
              </w:rPr>
            </w:pPr>
          </w:p>
        </w:tc>
        <w:tc>
          <w:tcPr>
            <w:tcW w:w="0" w:type="auto"/>
            <w:gridSpan w:val="3"/>
            <w:shd w:val="clear" w:color="auto" w:fill="auto"/>
          </w:tcPr>
          <w:p w14:paraId="5EA20EA9" w14:textId="77777777" w:rsidR="003C66EB" w:rsidRDefault="003C66EB">
            <w:pPr>
              <w:rPr>
                <w:rFonts w:ascii="宋体"/>
                <w:vanish/>
              </w:rPr>
            </w:pPr>
          </w:p>
        </w:tc>
        <w:tc>
          <w:tcPr>
            <w:tcW w:w="0" w:type="auto"/>
            <w:gridSpan w:val="3"/>
            <w:shd w:val="clear" w:color="auto" w:fill="auto"/>
          </w:tcPr>
          <w:p w14:paraId="5EA20EAA" w14:textId="77777777" w:rsidR="003C66EB" w:rsidRDefault="003C66EB">
            <w:pPr>
              <w:rPr>
                <w:rFonts w:ascii="宋体"/>
                <w:vanish/>
              </w:rPr>
            </w:pPr>
          </w:p>
        </w:tc>
        <w:tc>
          <w:tcPr>
            <w:tcW w:w="0" w:type="auto"/>
            <w:gridSpan w:val="3"/>
            <w:shd w:val="clear" w:color="auto" w:fill="auto"/>
          </w:tcPr>
          <w:p w14:paraId="5EA20EAB" w14:textId="77777777" w:rsidR="003C66EB" w:rsidRDefault="003C66EB">
            <w:pPr>
              <w:rPr>
                <w:rFonts w:ascii="宋体"/>
                <w:vanish/>
              </w:rPr>
            </w:pPr>
          </w:p>
        </w:tc>
        <w:tc>
          <w:tcPr>
            <w:tcW w:w="0" w:type="auto"/>
            <w:gridSpan w:val="3"/>
            <w:shd w:val="clear" w:color="auto" w:fill="auto"/>
          </w:tcPr>
          <w:p w14:paraId="5EA20EAC" w14:textId="77777777" w:rsidR="003C66EB" w:rsidRDefault="003C66EB">
            <w:pPr>
              <w:rPr>
                <w:rFonts w:ascii="宋体"/>
                <w:vanish/>
              </w:rPr>
            </w:pPr>
          </w:p>
        </w:tc>
        <w:tc>
          <w:tcPr>
            <w:tcW w:w="0" w:type="auto"/>
            <w:gridSpan w:val="3"/>
            <w:shd w:val="clear" w:color="auto" w:fill="auto"/>
          </w:tcPr>
          <w:p w14:paraId="5EA20EAD" w14:textId="77777777" w:rsidR="003C66EB" w:rsidRDefault="003C66EB">
            <w:pPr>
              <w:rPr>
                <w:rFonts w:ascii="宋体"/>
                <w:vanish/>
              </w:rPr>
            </w:pPr>
          </w:p>
        </w:tc>
      </w:tr>
      <w:tr w:rsidR="003C66EB" w14:paraId="5EA20EC1" w14:textId="77777777">
        <w:trPr>
          <w:hidden/>
        </w:trPr>
        <w:tc>
          <w:tcPr>
            <w:tcW w:w="0" w:type="auto"/>
            <w:gridSpan w:val="3"/>
            <w:shd w:val="clear" w:color="auto" w:fill="auto"/>
          </w:tcPr>
          <w:p w14:paraId="5EA20EAF" w14:textId="77777777" w:rsidR="003C66EB" w:rsidRDefault="003C66EB">
            <w:pPr>
              <w:rPr>
                <w:rFonts w:ascii="宋体"/>
                <w:vanish/>
              </w:rPr>
            </w:pPr>
          </w:p>
        </w:tc>
        <w:tc>
          <w:tcPr>
            <w:tcW w:w="0" w:type="auto"/>
            <w:gridSpan w:val="3"/>
            <w:shd w:val="clear" w:color="auto" w:fill="auto"/>
          </w:tcPr>
          <w:p w14:paraId="5EA20EB0" w14:textId="77777777" w:rsidR="003C66EB" w:rsidRDefault="003C66EB">
            <w:pPr>
              <w:rPr>
                <w:rFonts w:ascii="宋体"/>
                <w:vanish/>
              </w:rPr>
            </w:pPr>
          </w:p>
        </w:tc>
        <w:tc>
          <w:tcPr>
            <w:tcW w:w="0" w:type="auto"/>
            <w:gridSpan w:val="3"/>
            <w:shd w:val="clear" w:color="auto" w:fill="auto"/>
          </w:tcPr>
          <w:p w14:paraId="5EA20EB1" w14:textId="77777777" w:rsidR="003C66EB" w:rsidRDefault="003C66EB">
            <w:pPr>
              <w:rPr>
                <w:rFonts w:ascii="宋体"/>
                <w:vanish/>
              </w:rPr>
            </w:pPr>
          </w:p>
        </w:tc>
        <w:tc>
          <w:tcPr>
            <w:tcW w:w="0" w:type="auto"/>
            <w:gridSpan w:val="3"/>
            <w:shd w:val="clear" w:color="auto" w:fill="auto"/>
          </w:tcPr>
          <w:p w14:paraId="5EA20EB2" w14:textId="77777777" w:rsidR="003C66EB" w:rsidRDefault="003C66EB">
            <w:pPr>
              <w:rPr>
                <w:rFonts w:ascii="宋体"/>
                <w:vanish/>
              </w:rPr>
            </w:pPr>
          </w:p>
        </w:tc>
        <w:tc>
          <w:tcPr>
            <w:tcW w:w="0" w:type="auto"/>
            <w:gridSpan w:val="3"/>
            <w:shd w:val="clear" w:color="auto" w:fill="auto"/>
          </w:tcPr>
          <w:p w14:paraId="5EA20EB3" w14:textId="77777777" w:rsidR="003C66EB" w:rsidRDefault="003C66EB">
            <w:pPr>
              <w:rPr>
                <w:rFonts w:ascii="宋体"/>
                <w:vanish/>
              </w:rPr>
            </w:pPr>
          </w:p>
        </w:tc>
        <w:tc>
          <w:tcPr>
            <w:tcW w:w="0" w:type="auto"/>
            <w:gridSpan w:val="3"/>
            <w:shd w:val="clear" w:color="auto" w:fill="auto"/>
          </w:tcPr>
          <w:p w14:paraId="5EA20EB4" w14:textId="77777777" w:rsidR="003C66EB" w:rsidRDefault="003C66EB">
            <w:pPr>
              <w:rPr>
                <w:rFonts w:ascii="宋体"/>
                <w:vanish/>
              </w:rPr>
            </w:pPr>
          </w:p>
        </w:tc>
        <w:tc>
          <w:tcPr>
            <w:tcW w:w="0" w:type="auto"/>
            <w:gridSpan w:val="3"/>
            <w:shd w:val="clear" w:color="auto" w:fill="auto"/>
          </w:tcPr>
          <w:p w14:paraId="5EA20EB5" w14:textId="77777777" w:rsidR="003C66EB" w:rsidRDefault="003C66EB">
            <w:pPr>
              <w:rPr>
                <w:rFonts w:ascii="宋体"/>
                <w:vanish/>
              </w:rPr>
            </w:pPr>
          </w:p>
        </w:tc>
        <w:tc>
          <w:tcPr>
            <w:tcW w:w="0" w:type="auto"/>
            <w:gridSpan w:val="3"/>
            <w:shd w:val="clear" w:color="auto" w:fill="auto"/>
          </w:tcPr>
          <w:p w14:paraId="5EA20EB6" w14:textId="77777777" w:rsidR="003C66EB" w:rsidRDefault="003C66EB">
            <w:pPr>
              <w:rPr>
                <w:rFonts w:ascii="宋体"/>
                <w:vanish/>
              </w:rPr>
            </w:pPr>
          </w:p>
        </w:tc>
        <w:tc>
          <w:tcPr>
            <w:tcW w:w="0" w:type="auto"/>
            <w:gridSpan w:val="3"/>
            <w:shd w:val="clear" w:color="auto" w:fill="auto"/>
          </w:tcPr>
          <w:p w14:paraId="5EA20EB7" w14:textId="77777777" w:rsidR="003C66EB" w:rsidRDefault="003C66EB">
            <w:pPr>
              <w:rPr>
                <w:rFonts w:ascii="宋体"/>
                <w:vanish/>
              </w:rPr>
            </w:pPr>
          </w:p>
        </w:tc>
        <w:tc>
          <w:tcPr>
            <w:tcW w:w="0" w:type="auto"/>
            <w:gridSpan w:val="3"/>
            <w:shd w:val="clear" w:color="auto" w:fill="auto"/>
          </w:tcPr>
          <w:p w14:paraId="5EA20EB8" w14:textId="77777777" w:rsidR="003C66EB" w:rsidRDefault="003C66EB">
            <w:pPr>
              <w:rPr>
                <w:rFonts w:ascii="宋体"/>
                <w:vanish/>
              </w:rPr>
            </w:pPr>
          </w:p>
        </w:tc>
        <w:tc>
          <w:tcPr>
            <w:tcW w:w="0" w:type="auto"/>
            <w:gridSpan w:val="3"/>
            <w:shd w:val="clear" w:color="auto" w:fill="auto"/>
          </w:tcPr>
          <w:p w14:paraId="5EA20EB9" w14:textId="77777777" w:rsidR="003C66EB" w:rsidRDefault="003C66EB">
            <w:pPr>
              <w:rPr>
                <w:rFonts w:ascii="宋体"/>
                <w:vanish/>
              </w:rPr>
            </w:pPr>
          </w:p>
        </w:tc>
        <w:tc>
          <w:tcPr>
            <w:tcW w:w="0" w:type="auto"/>
            <w:gridSpan w:val="3"/>
            <w:shd w:val="clear" w:color="auto" w:fill="auto"/>
          </w:tcPr>
          <w:p w14:paraId="5EA20EBA" w14:textId="77777777" w:rsidR="003C66EB" w:rsidRDefault="003C66EB">
            <w:pPr>
              <w:rPr>
                <w:rFonts w:ascii="宋体"/>
                <w:vanish/>
              </w:rPr>
            </w:pPr>
          </w:p>
        </w:tc>
        <w:tc>
          <w:tcPr>
            <w:tcW w:w="0" w:type="auto"/>
            <w:gridSpan w:val="3"/>
            <w:shd w:val="clear" w:color="auto" w:fill="auto"/>
          </w:tcPr>
          <w:p w14:paraId="5EA20EBB" w14:textId="77777777" w:rsidR="003C66EB" w:rsidRDefault="003C66EB">
            <w:pPr>
              <w:rPr>
                <w:rFonts w:ascii="宋体"/>
                <w:vanish/>
              </w:rPr>
            </w:pPr>
          </w:p>
        </w:tc>
        <w:tc>
          <w:tcPr>
            <w:tcW w:w="0" w:type="auto"/>
            <w:gridSpan w:val="3"/>
            <w:shd w:val="clear" w:color="auto" w:fill="auto"/>
          </w:tcPr>
          <w:p w14:paraId="5EA20EBC" w14:textId="77777777" w:rsidR="003C66EB" w:rsidRDefault="003C66EB">
            <w:pPr>
              <w:rPr>
                <w:rFonts w:ascii="宋体"/>
                <w:vanish/>
              </w:rPr>
            </w:pPr>
          </w:p>
        </w:tc>
        <w:tc>
          <w:tcPr>
            <w:tcW w:w="0" w:type="auto"/>
            <w:gridSpan w:val="3"/>
            <w:shd w:val="clear" w:color="auto" w:fill="auto"/>
          </w:tcPr>
          <w:p w14:paraId="5EA20EBD" w14:textId="77777777" w:rsidR="003C66EB" w:rsidRDefault="003C66EB">
            <w:pPr>
              <w:rPr>
                <w:rFonts w:ascii="宋体"/>
                <w:vanish/>
              </w:rPr>
            </w:pPr>
          </w:p>
        </w:tc>
        <w:tc>
          <w:tcPr>
            <w:tcW w:w="0" w:type="auto"/>
            <w:gridSpan w:val="3"/>
            <w:shd w:val="clear" w:color="auto" w:fill="auto"/>
          </w:tcPr>
          <w:p w14:paraId="5EA20EBE" w14:textId="77777777" w:rsidR="003C66EB" w:rsidRDefault="003C66EB">
            <w:pPr>
              <w:rPr>
                <w:rFonts w:ascii="宋体"/>
                <w:vanish/>
              </w:rPr>
            </w:pPr>
          </w:p>
        </w:tc>
        <w:tc>
          <w:tcPr>
            <w:tcW w:w="0" w:type="auto"/>
            <w:gridSpan w:val="3"/>
            <w:shd w:val="clear" w:color="auto" w:fill="auto"/>
          </w:tcPr>
          <w:p w14:paraId="5EA20EBF" w14:textId="77777777" w:rsidR="003C66EB" w:rsidRDefault="003C66EB">
            <w:pPr>
              <w:rPr>
                <w:rFonts w:ascii="宋体"/>
                <w:vanish/>
              </w:rPr>
            </w:pPr>
          </w:p>
        </w:tc>
        <w:tc>
          <w:tcPr>
            <w:tcW w:w="0" w:type="auto"/>
            <w:gridSpan w:val="3"/>
            <w:shd w:val="clear" w:color="auto" w:fill="auto"/>
          </w:tcPr>
          <w:p w14:paraId="5EA20EC0" w14:textId="77777777" w:rsidR="003C66EB" w:rsidRDefault="003C66EB">
            <w:pPr>
              <w:rPr>
                <w:rFonts w:ascii="宋体"/>
                <w:vanish/>
              </w:rPr>
            </w:pPr>
          </w:p>
        </w:tc>
      </w:tr>
      <w:tr w:rsidR="003C66EB" w14:paraId="5EA20ED4" w14:textId="77777777">
        <w:trPr>
          <w:hidden/>
        </w:trPr>
        <w:tc>
          <w:tcPr>
            <w:tcW w:w="0" w:type="auto"/>
            <w:gridSpan w:val="3"/>
            <w:shd w:val="clear" w:color="auto" w:fill="auto"/>
          </w:tcPr>
          <w:p w14:paraId="5EA20EC2" w14:textId="77777777" w:rsidR="003C66EB" w:rsidRDefault="003C66EB">
            <w:pPr>
              <w:rPr>
                <w:rFonts w:ascii="宋体"/>
                <w:vanish/>
              </w:rPr>
            </w:pPr>
          </w:p>
        </w:tc>
        <w:tc>
          <w:tcPr>
            <w:tcW w:w="0" w:type="auto"/>
            <w:gridSpan w:val="3"/>
            <w:shd w:val="clear" w:color="auto" w:fill="auto"/>
          </w:tcPr>
          <w:p w14:paraId="5EA20EC3" w14:textId="77777777" w:rsidR="003C66EB" w:rsidRDefault="003C66EB">
            <w:pPr>
              <w:rPr>
                <w:rFonts w:ascii="宋体"/>
                <w:vanish/>
              </w:rPr>
            </w:pPr>
          </w:p>
        </w:tc>
        <w:tc>
          <w:tcPr>
            <w:tcW w:w="0" w:type="auto"/>
            <w:gridSpan w:val="3"/>
            <w:shd w:val="clear" w:color="auto" w:fill="auto"/>
          </w:tcPr>
          <w:p w14:paraId="5EA20EC4" w14:textId="77777777" w:rsidR="003C66EB" w:rsidRDefault="003C66EB">
            <w:pPr>
              <w:rPr>
                <w:rFonts w:ascii="宋体"/>
                <w:vanish/>
              </w:rPr>
            </w:pPr>
          </w:p>
        </w:tc>
        <w:tc>
          <w:tcPr>
            <w:tcW w:w="0" w:type="auto"/>
            <w:gridSpan w:val="3"/>
            <w:shd w:val="clear" w:color="auto" w:fill="auto"/>
          </w:tcPr>
          <w:p w14:paraId="5EA20EC5" w14:textId="77777777" w:rsidR="003C66EB" w:rsidRDefault="003C66EB">
            <w:pPr>
              <w:rPr>
                <w:rFonts w:ascii="宋体"/>
                <w:vanish/>
              </w:rPr>
            </w:pPr>
          </w:p>
        </w:tc>
        <w:tc>
          <w:tcPr>
            <w:tcW w:w="0" w:type="auto"/>
            <w:gridSpan w:val="3"/>
            <w:shd w:val="clear" w:color="auto" w:fill="auto"/>
          </w:tcPr>
          <w:p w14:paraId="5EA20EC6" w14:textId="77777777" w:rsidR="003C66EB" w:rsidRDefault="003C66EB">
            <w:pPr>
              <w:rPr>
                <w:rFonts w:ascii="宋体"/>
                <w:vanish/>
              </w:rPr>
            </w:pPr>
          </w:p>
        </w:tc>
        <w:tc>
          <w:tcPr>
            <w:tcW w:w="0" w:type="auto"/>
            <w:gridSpan w:val="3"/>
            <w:shd w:val="clear" w:color="auto" w:fill="auto"/>
          </w:tcPr>
          <w:p w14:paraId="5EA20EC7" w14:textId="77777777" w:rsidR="003C66EB" w:rsidRDefault="003C66EB">
            <w:pPr>
              <w:rPr>
                <w:rFonts w:ascii="宋体"/>
                <w:vanish/>
              </w:rPr>
            </w:pPr>
          </w:p>
        </w:tc>
        <w:tc>
          <w:tcPr>
            <w:tcW w:w="0" w:type="auto"/>
            <w:gridSpan w:val="3"/>
            <w:shd w:val="clear" w:color="auto" w:fill="auto"/>
          </w:tcPr>
          <w:p w14:paraId="5EA20EC8" w14:textId="77777777" w:rsidR="003C66EB" w:rsidRDefault="003C66EB">
            <w:pPr>
              <w:rPr>
                <w:rFonts w:ascii="宋体"/>
                <w:vanish/>
              </w:rPr>
            </w:pPr>
          </w:p>
        </w:tc>
        <w:tc>
          <w:tcPr>
            <w:tcW w:w="0" w:type="auto"/>
            <w:gridSpan w:val="3"/>
            <w:shd w:val="clear" w:color="auto" w:fill="auto"/>
          </w:tcPr>
          <w:p w14:paraId="5EA20EC9" w14:textId="77777777" w:rsidR="003C66EB" w:rsidRDefault="003C66EB">
            <w:pPr>
              <w:rPr>
                <w:rFonts w:ascii="宋体"/>
                <w:vanish/>
              </w:rPr>
            </w:pPr>
          </w:p>
        </w:tc>
        <w:tc>
          <w:tcPr>
            <w:tcW w:w="0" w:type="auto"/>
            <w:gridSpan w:val="3"/>
            <w:shd w:val="clear" w:color="auto" w:fill="auto"/>
          </w:tcPr>
          <w:p w14:paraId="5EA20ECA" w14:textId="77777777" w:rsidR="003C66EB" w:rsidRDefault="003C66EB">
            <w:pPr>
              <w:rPr>
                <w:rFonts w:ascii="宋体"/>
                <w:vanish/>
              </w:rPr>
            </w:pPr>
          </w:p>
        </w:tc>
        <w:tc>
          <w:tcPr>
            <w:tcW w:w="0" w:type="auto"/>
            <w:gridSpan w:val="3"/>
            <w:shd w:val="clear" w:color="auto" w:fill="auto"/>
          </w:tcPr>
          <w:p w14:paraId="5EA20ECB" w14:textId="77777777" w:rsidR="003C66EB" w:rsidRDefault="003C66EB">
            <w:pPr>
              <w:rPr>
                <w:rFonts w:ascii="宋体"/>
                <w:vanish/>
              </w:rPr>
            </w:pPr>
          </w:p>
        </w:tc>
        <w:tc>
          <w:tcPr>
            <w:tcW w:w="0" w:type="auto"/>
            <w:gridSpan w:val="3"/>
            <w:shd w:val="clear" w:color="auto" w:fill="auto"/>
          </w:tcPr>
          <w:p w14:paraId="5EA20ECC" w14:textId="77777777" w:rsidR="003C66EB" w:rsidRDefault="003C66EB">
            <w:pPr>
              <w:rPr>
                <w:rFonts w:ascii="宋体"/>
                <w:vanish/>
              </w:rPr>
            </w:pPr>
          </w:p>
        </w:tc>
        <w:tc>
          <w:tcPr>
            <w:tcW w:w="0" w:type="auto"/>
            <w:gridSpan w:val="3"/>
            <w:shd w:val="clear" w:color="auto" w:fill="auto"/>
          </w:tcPr>
          <w:p w14:paraId="5EA20ECD" w14:textId="77777777" w:rsidR="003C66EB" w:rsidRDefault="003C66EB">
            <w:pPr>
              <w:rPr>
                <w:rFonts w:ascii="宋体"/>
                <w:vanish/>
              </w:rPr>
            </w:pPr>
          </w:p>
        </w:tc>
        <w:tc>
          <w:tcPr>
            <w:tcW w:w="0" w:type="auto"/>
            <w:gridSpan w:val="3"/>
            <w:shd w:val="clear" w:color="auto" w:fill="auto"/>
          </w:tcPr>
          <w:p w14:paraId="5EA20ECE" w14:textId="77777777" w:rsidR="003C66EB" w:rsidRDefault="003C66EB">
            <w:pPr>
              <w:rPr>
                <w:rFonts w:ascii="宋体"/>
                <w:vanish/>
              </w:rPr>
            </w:pPr>
          </w:p>
        </w:tc>
        <w:tc>
          <w:tcPr>
            <w:tcW w:w="0" w:type="auto"/>
            <w:gridSpan w:val="3"/>
            <w:shd w:val="clear" w:color="auto" w:fill="auto"/>
          </w:tcPr>
          <w:p w14:paraId="5EA20ECF" w14:textId="77777777" w:rsidR="003C66EB" w:rsidRDefault="003C66EB">
            <w:pPr>
              <w:rPr>
                <w:rFonts w:ascii="宋体"/>
                <w:vanish/>
              </w:rPr>
            </w:pPr>
          </w:p>
        </w:tc>
        <w:tc>
          <w:tcPr>
            <w:tcW w:w="0" w:type="auto"/>
            <w:gridSpan w:val="3"/>
            <w:shd w:val="clear" w:color="auto" w:fill="auto"/>
          </w:tcPr>
          <w:p w14:paraId="5EA20ED0" w14:textId="77777777" w:rsidR="003C66EB" w:rsidRDefault="003C66EB">
            <w:pPr>
              <w:rPr>
                <w:rFonts w:ascii="宋体"/>
                <w:vanish/>
              </w:rPr>
            </w:pPr>
          </w:p>
        </w:tc>
        <w:tc>
          <w:tcPr>
            <w:tcW w:w="0" w:type="auto"/>
            <w:gridSpan w:val="3"/>
            <w:shd w:val="clear" w:color="auto" w:fill="auto"/>
          </w:tcPr>
          <w:p w14:paraId="5EA20ED1" w14:textId="77777777" w:rsidR="003C66EB" w:rsidRDefault="003C66EB">
            <w:pPr>
              <w:rPr>
                <w:rFonts w:ascii="宋体"/>
                <w:vanish/>
              </w:rPr>
            </w:pPr>
          </w:p>
        </w:tc>
        <w:tc>
          <w:tcPr>
            <w:tcW w:w="0" w:type="auto"/>
            <w:gridSpan w:val="3"/>
            <w:shd w:val="clear" w:color="auto" w:fill="auto"/>
          </w:tcPr>
          <w:p w14:paraId="5EA20ED2" w14:textId="77777777" w:rsidR="003C66EB" w:rsidRDefault="003C66EB">
            <w:pPr>
              <w:rPr>
                <w:rFonts w:ascii="宋体"/>
                <w:vanish/>
              </w:rPr>
            </w:pPr>
          </w:p>
        </w:tc>
        <w:tc>
          <w:tcPr>
            <w:tcW w:w="0" w:type="auto"/>
            <w:gridSpan w:val="3"/>
            <w:shd w:val="clear" w:color="auto" w:fill="auto"/>
          </w:tcPr>
          <w:p w14:paraId="5EA20ED3" w14:textId="77777777" w:rsidR="003C66EB" w:rsidRDefault="003C66EB">
            <w:pPr>
              <w:rPr>
                <w:rFonts w:ascii="宋体"/>
                <w:vanish/>
              </w:rPr>
            </w:pPr>
          </w:p>
        </w:tc>
      </w:tr>
      <w:tr w:rsidR="00D96C4E" w14:paraId="5EA20EF5" w14:textId="77777777">
        <w:tc>
          <w:tcPr>
            <w:tcW w:w="0" w:type="auto"/>
            <w:gridSpan w:val="9"/>
            <w:shd w:val="clear" w:color="auto" w:fill="FFFFFF"/>
            <w:tcMar>
              <w:top w:w="40" w:type="dxa"/>
              <w:left w:w="20" w:type="dxa"/>
              <w:bottom w:w="40" w:type="dxa"/>
              <w:right w:w="20" w:type="dxa"/>
            </w:tcMar>
            <w:vAlign w:val="bottom"/>
          </w:tcPr>
          <w:p w14:paraId="5EA20ED5" w14:textId="77777777" w:rsidR="003C66EB" w:rsidRDefault="00D96C4E">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5EA20ED6"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0ED7" w14:textId="77777777" w:rsidR="003C66EB" w:rsidRDefault="00D96C4E">
            <w:pPr>
              <w:jc w:val="right"/>
              <w:textAlignment w:val="bottom"/>
            </w:pPr>
            <w:r>
              <w:rPr>
                <w:rFonts w:ascii="Arial" w:eastAsia="宋体" w:hAnsi="Arial" w:cs="Arial"/>
                <w:b/>
                <w:bCs/>
                <w:color w:val="000000"/>
                <w:sz w:val="12"/>
                <w:szCs w:val="12"/>
              </w:rPr>
              <w:t>66,726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E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D9"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DA"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0EDB" w14:textId="77777777" w:rsidR="003C66EB" w:rsidRDefault="00D96C4E">
            <w:pPr>
              <w:jc w:val="right"/>
              <w:textAlignment w:val="bottom"/>
            </w:pPr>
            <w:r>
              <w:rPr>
                <w:rFonts w:ascii="Arial" w:eastAsia="宋体" w:hAnsi="Arial" w:cs="Arial"/>
                <w:b/>
                <w:bCs/>
                <w:color w:val="000000"/>
                <w:sz w:val="12"/>
                <w:szCs w:val="12"/>
              </w:rPr>
              <w:t>122,074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ED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DD"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DE"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0EDF" w14:textId="77777777" w:rsidR="003C66EB" w:rsidRDefault="00D96C4E">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5EA20EE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E1"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E2"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0EE3" w14:textId="77777777" w:rsidR="003C66EB" w:rsidRDefault="00D96C4E">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5EA20E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E5"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E6"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0EE7" w14:textId="77777777" w:rsidR="003C66EB" w:rsidRDefault="00D96C4E">
            <w:pPr>
              <w:jc w:val="right"/>
              <w:textAlignment w:val="bottom"/>
            </w:pPr>
            <w:r>
              <w:rPr>
                <w:rFonts w:ascii="Arial" w:eastAsia="宋体" w:hAnsi="Arial" w:cs="Arial"/>
                <w:b/>
                <w:bCs/>
                <w:color w:val="000000"/>
                <w:sz w:val="12"/>
                <w:szCs w:val="12"/>
              </w:rPr>
              <w:t>62,082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E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E9"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EA"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0EEB" w14:textId="77777777" w:rsidR="003C66EB" w:rsidRDefault="00D96C4E">
            <w:pPr>
              <w:jc w:val="right"/>
              <w:textAlignment w:val="bottom"/>
            </w:pPr>
            <w:r>
              <w:rPr>
                <w:rFonts w:ascii="Arial" w:eastAsia="宋体" w:hAnsi="Arial" w:cs="Arial"/>
                <w:b/>
                <w:bCs/>
                <w:color w:val="000000"/>
                <w:sz w:val="12"/>
                <w:szCs w:val="12"/>
              </w:rPr>
              <w:t>119,020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E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ED"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EE"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0EEF" w14:textId="77777777" w:rsidR="003C66EB" w:rsidRDefault="00D96C4E">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5EA20EF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EF1"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0EF2"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0EF3" w14:textId="77777777" w:rsidR="003C66EB" w:rsidRDefault="00D96C4E">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5EA20EF4" w14:textId="77777777" w:rsidR="003C66EB" w:rsidRDefault="003C66EB">
            <w:pPr>
              <w:jc w:val="right"/>
              <w:rPr>
                <w:rFonts w:ascii="宋体"/>
              </w:rPr>
            </w:pPr>
          </w:p>
        </w:tc>
      </w:tr>
      <w:tr w:rsidR="003C66EB" w14:paraId="5EA20F0A" w14:textId="77777777">
        <w:tc>
          <w:tcPr>
            <w:tcW w:w="0" w:type="auto"/>
            <w:gridSpan w:val="9"/>
            <w:shd w:val="clear" w:color="auto" w:fill="CCEEFF"/>
            <w:tcMar>
              <w:top w:w="40" w:type="dxa"/>
              <w:left w:w="20" w:type="dxa"/>
              <w:bottom w:w="40" w:type="dxa"/>
              <w:right w:w="20" w:type="dxa"/>
            </w:tcMar>
            <w:vAlign w:val="bottom"/>
          </w:tcPr>
          <w:p w14:paraId="5EA20EF6" w14:textId="77777777" w:rsidR="003C66EB" w:rsidRDefault="00D96C4E">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5EA20EF7" w14:textId="77777777" w:rsidR="003C66EB" w:rsidRDefault="00D96C4E">
            <w:pPr>
              <w:jc w:val="right"/>
              <w:textAlignment w:val="bottom"/>
            </w:pPr>
            <w:r>
              <w:rPr>
                <w:rFonts w:ascii="Arial" w:eastAsia="宋体" w:hAnsi="Arial" w:cs="Arial"/>
                <w:b/>
                <w:bCs/>
                <w:color w:val="000000"/>
                <w:sz w:val="12"/>
                <w:szCs w:val="12"/>
              </w:rPr>
              <w:t>44,075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E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F9"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0EFA" w14:textId="77777777" w:rsidR="003C66EB" w:rsidRDefault="00D96C4E">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tcPr>
          <w:p w14:paraId="5EA20EF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EFC" w14:textId="77777777" w:rsidR="003C66EB" w:rsidRDefault="00D96C4E">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5EA20EF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EFE"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0EFF" w14:textId="77777777" w:rsidR="003C66EB" w:rsidRDefault="00D96C4E">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tcPr>
          <w:p w14:paraId="5EA20F0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01" w14:textId="77777777" w:rsidR="003C66EB" w:rsidRDefault="00D96C4E">
            <w:pPr>
              <w:jc w:val="right"/>
              <w:textAlignment w:val="bottom"/>
            </w:pPr>
            <w:r>
              <w:rPr>
                <w:rFonts w:ascii="Arial" w:eastAsia="宋体" w:hAnsi="Arial" w:cs="Arial"/>
                <w:b/>
                <w:bCs/>
                <w:color w:val="000000"/>
                <w:sz w:val="12"/>
                <w:szCs w:val="12"/>
              </w:rPr>
              <w:t>43,600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03"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0F04" w14:textId="77777777" w:rsidR="003C66EB" w:rsidRDefault="00D96C4E">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tcPr>
          <w:p w14:paraId="5EA20F0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06" w14:textId="77777777" w:rsidR="003C66EB" w:rsidRDefault="00D96C4E">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5EA20F0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08"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0F09" w14:textId="77777777" w:rsidR="003C66EB" w:rsidRDefault="00D96C4E">
            <w:pPr>
              <w:jc w:val="right"/>
              <w:textAlignment w:val="bottom"/>
            </w:pPr>
            <w:r>
              <w:rPr>
                <w:rFonts w:ascii="Arial" w:eastAsia="宋体" w:hAnsi="Arial" w:cs="Arial"/>
                <w:color w:val="000000"/>
                <w:sz w:val="12"/>
                <w:szCs w:val="12"/>
              </w:rPr>
              <w:t>NA</w:t>
            </w:r>
          </w:p>
        </w:tc>
      </w:tr>
      <w:tr w:rsidR="003C66EB" w14:paraId="5EA20F1D" w14:textId="77777777">
        <w:trPr>
          <w:hidden/>
        </w:trPr>
        <w:tc>
          <w:tcPr>
            <w:tcW w:w="0" w:type="auto"/>
            <w:gridSpan w:val="3"/>
            <w:shd w:val="clear" w:color="auto" w:fill="auto"/>
          </w:tcPr>
          <w:p w14:paraId="5EA20F0B" w14:textId="77777777" w:rsidR="003C66EB" w:rsidRDefault="003C66EB">
            <w:pPr>
              <w:rPr>
                <w:rFonts w:ascii="宋体"/>
                <w:vanish/>
              </w:rPr>
            </w:pPr>
          </w:p>
        </w:tc>
        <w:tc>
          <w:tcPr>
            <w:tcW w:w="0" w:type="auto"/>
            <w:gridSpan w:val="3"/>
            <w:shd w:val="clear" w:color="auto" w:fill="auto"/>
          </w:tcPr>
          <w:p w14:paraId="5EA20F0C" w14:textId="77777777" w:rsidR="003C66EB" w:rsidRDefault="003C66EB">
            <w:pPr>
              <w:rPr>
                <w:rFonts w:ascii="宋体"/>
                <w:vanish/>
              </w:rPr>
            </w:pPr>
          </w:p>
        </w:tc>
        <w:tc>
          <w:tcPr>
            <w:tcW w:w="0" w:type="auto"/>
            <w:gridSpan w:val="3"/>
            <w:shd w:val="clear" w:color="auto" w:fill="auto"/>
          </w:tcPr>
          <w:p w14:paraId="5EA20F0D" w14:textId="77777777" w:rsidR="003C66EB" w:rsidRDefault="003C66EB">
            <w:pPr>
              <w:rPr>
                <w:rFonts w:ascii="宋体"/>
                <w:vanish/>
              </w:rPr>
            </w:pPr>
          </w:p>
        </w:tc>
        <w:tc>
          <w:tcPr>
            <w:tcW w:w="0" w:type="auto"/>
            <w:gridSpan w:val="3"/>
            <w:shd w:val="clear" w:color="auto" w:fill="auto"/>
          </w:tcPr>
          <w:p w14:paraId="5EA20F0E" w14:textId="77777777" w:rsidR="003C66EB" w:rsidRDefault="003C66EB">
            <w:pPr>
              <w:rPr>
                <w:rFonts w:ascii="宋体"/>
                <w:vanish/>
              </w:rPr>
            </w:pPr>
          </w:p>
        </w:tc>
        <w:tc>
          <w:tcPr>
            <w:tcW w:w="0" w:type="auto"/>
            <w:gridSpan w:val="3"/>
            <w:shd w:val="clear" w:color="auto" w:fill="auto"/>
          </w:tcPr>
          <w:p w14:paraId="5EA20F0F" w14:textId="77777777" w:rsidR="003C66EB" w:rsidRDefault="003C66EB">
            <w:pPr>
              <w:rPr>
                <w:rFonts w:ascii="宋体"/>
                <w:vanish/>
              </w:rPr>
            </w:pPr>
          </w:p>
        </w:tc>
        <w:tc>
          <w:tcPr>
            <w:tcW w:w="0" w:type="auto"/>
            <w:gridSpan w:val="3"/>
            <w:shd w:val="clear" w:color="auto" w:fill="auto"/>
          </w:tcPr>
          <w:p w14:paraId="5EA20F10" w14:textId="77777777" w:rsidR="003C66EB" w:rsidRDefault="003C66EB">
            <w:pPr>
              <w:rPr>
                <w:rFonts w:ascii="宋体"/>
                <w:vanish/>
              </w:rPr>
            </w:pPr>
          </w:p>
        </w:tc>
        <w:tc>
          <w:tcPr>
            <w:tcW w:w="0" w:type="auto"/>
            <w:gridSpan w:val="3"/>
            <w:shd w:val="clear" w:color="auto" w:fill="auto"/>
          </w:tcPr>
          <w:p w14:paraId="5EA20F11" w14:textId="77777777" w:rsidR="003C66EB" w:rsidRDefault="003C66EB">
            <w:pPr>
              <w:rPr>
                <w:rFonts w:ascii="宋体"/>
                <w:vanish/>
              </w:rPr>
            </w:pPr>
          </w:p>
        </w:tc>
        <w:tc>
          <w:tcPr>
            <w:tcW w:w="0" w:type="auto"/>
            <w:gridSpan w:val="3"/>
            <w:shd w:val="clear" w:color="auto" w:fill="auto"/>
          </w:tcPr>
          <w:p w14:paraId="5EA20F12" w14:textId="77777777" w:rsidR="003C66EB" w:rsidRDefault="003C66EB">
            <w:pPr>
              <w:rPr>
                <w:rFonts w:ascii="宋体"/>
                <w:vanish/>
              </w:rPr>
            </w:pPr>
          </w:p>
        </w:tc>
        <w:tc>
          <w:tcPr>
            <w:tcW w:w="0" w:type="auto"/>
            <w:gridSpan w:val="3"/>
            <w:shd w:val="clear" w:color="auto" w:fill="auto"/>
          </w:tcPr>
          <w:p w14:paraId="5EA20F13" w14:textId="77777777" w:rsidR="003C66EB" w:rsidRDefault="003C66EB">
            <w:pPr>
              <w:rPr>
                <w:rFonts w:ascii="宋体"/>
                <w:vanish/>
              </w:rPr>
            </w:pPr>
          </w:p>
        </w:tc>
        <w:tc>
          <w:tcPr>
            <w:tcW w:w="0" w:type="auto"/>
            <w:gridSpan w:val="3"/>
            <w:shd w:val="clear" w:color="auto" w:fill="auto"/>
          </w:tcPr>
          <w:p w14:paraId="5EA20F14" w14:textId="77777777" w:rsidR="003C66EB" w:rsidRDefault="003C66EB">
            <w:pPr>
              <w:rPr>
                <w:rFonts w:ascii="宋体"/>
                <w:vanish/>
              </w:rPr>
            </w:pPr>
          </w:p>
        </w:tc>
        <w:tc>
          <w:tcPr>
            <w:tcW w:w="0" w:type="auto"/>
            <w:gridSpan w:val="3"/>
            <w:shd w:val="clear" w:color="auto" w:fill="auto"/>
          </w:tcPr>
          <w:p w14:paraId="5EA20F15" w14:textId="77777777" w:rsidR="003C66EB" w:rsidRDefault="003C66EB">
            <w:pPr>
              <w:rPr>
                <w:rFonts w:ascii="宋体"/>
                <w:vanish/>
              </w:rPr>
            </w:pPr>
          </w:p>
        </w:tc>
        <w:tc>
          <w:tcPr>
            <w:tcW w:w="0" w:type="auto"/>
            <w:gridSpan w:val="3"/>
            <w:shd w:val="clear" w:color="auto" w:fill="auto"/>
          </w:tcPr>
          <w:p w14:paraId="5EA20F16" w14:textId="77777777" w:rsidR="003C66EB" w:rsidRDefault="003C66EB">
            <w:pPr>
              <w:rPr>
                <w:rFonts w:ascii="宋体"/>
                <w:vanish/>
              </w:rPr>
            </w:pPr>
          </w:p>
        </w:tc>
        <w:tc>
          <w:tcPr>
            <w:tcW w:w="0" w:type="auto"/>
            <w:gridSpan w:val="3"/>
            <w:shd w:val="clear" w:color="auto" w:fill="auto"/>
          </w:tcPr>
          <w:p w14:paraId="5EA20F17" w14:textId="77777777" w:rsidR="003C66EB" w:rsidRDefault="003C66EB">
            <w:pPr>
              <w:rPr>
                <w:rFonts w:ascii="宋体"/>
                <w:vanish/>
              </w:rPr>
            </w:pPr>
          </w:p>
        </w:tc>
        <w:tc>
          <w:tcPr>
            <w:tcW w:w="0" w:type="auto"/>
            <w:gridSpan w:val="3"/>
            <w:shd w:val="clear" w:color="auto" w:fill="auto"/>
          </w:tcPr>
          <w:p w14:paraId="5EA20F18" w14:textId="77777777" w:rsidR="003C66EB" w:rsidRDefault="003C66EB">
            <w:pPr>
              <w:rPr>
                <w:rFonts w:ascii="宋体"/>
                <w:vanish/>
              </w:rPr>
            </w:pPr>
          </w:p>
        </w:tc>
        <w:tc>
          <w:tcPr>
            <w:tcW w:w="0" w:type="auto"/>
            <w:gridSpan w:val="3"/>
            <w:shd w:val="clear" w:color="auto" w:fill="auto"/>
          </w:tcPr>
          <w:p w14:paraId="5EA20F19" w14:textId="77777777" w:rsidR="003C66EB" w:rsidRDefault="003C66EB">
            <w:pPr>
              <w:rPr>
                <w:rFonts w:ascii="宋体"/>
                <w:vanish/>
              </w:rPr>
            </w:pPr>
          </w:p>
        </w:tc>
        <w:tc>
          <w:tcPr>
            <w:tcW w:w="0" w:type="auto"/>
            <w:gridSpan w:val="3"/>
            <w:shd w:val="clear" w:color="auto" w:fill="auto"/>
          </w:tcPr>
          <w:p w14:paraId="5EA20F1A" w14:textId="77777777" w:rsidR="003C66EB" w:rsidRDefault="003C66EB">
            <w:pPr>
              <w:rPr>
                <w:rFonts w:ascii="宋体"/>
                <w:vanish/>
              </w:rPr>
            </w:pPr>
          </w:p>
        </w:tc>
        <w:tc>
          <w:tcPr>
            <w:tcW w:w="0" w:type="auto"/>
            <w:gridSpan w:val="3"/>
            <w:shd w:val="clear" w:color="auto" w:fill="auto"/>
          </w:tcPr>
          <w:p w14:paraId="5EA20F1B" w14:textId="77777777" w:rsidR="003C66EB" w:rsidRDefault="003C66EB">
            <w:pPr>
              <w:rPr>
                <w:rFonts w:ascii="宋体"/>
                <w:vanish/>
              </w:rPr>
            </w:pPr>
          </w:p>
        </w:tc>
        <w:tc>
          <w:tcPr>
            <w:tcW w:w="0" w:type="auto"/>
            <w:gridSpan w:val="3"/>
            <w:shd w:val="clear" w:color="auto" w:fill="auto"/>
          </w:tcPr>
          <w:p w14:paraId="5EA20F1C" w14:textId="77777777" w:rsidR="003C66EB" w:rsidRDefault="003C66EB">
            <w:pPr>
              <w:rPr>
                <w:rFonts w:ascii="宋体"/>
                <w:vanish/>
              </w:rPr>
            </w:pPr>
          </w:p>
        </w:tc>
      </w:tr>
      <w:tr w:rsidR="003C66EB" w14:paraId="5EA20F30" w14:textId="77777777">
        <w:trPr>
          <w:hidden/>
        </w:trPr>
        <w:tc>
          <w:tcPr>
            <w:tcW w:w="0" w:type="auto"/>
            <w:gridSpan w:val="3"/>
            <w:shd w:val="clear" w:color="auto" w:fill="auto"/>
          </w:tcPr>
          <w:p w14:paraId="5EA20F1E" w14:textId="77777777" w:rsidR="003C66EB" w:rsidRDefault="003C66EB">
            <w:pPr>
              <w:rPr>
                <w:rFonts w:ascii="宋体"/>
                <w:vanish/>
              </w:rPr>
            </w:pPr>
          </w:p>
        </w:tc>
        <w:tc>
          <w:tcPr>
            <w:tcW w:w="0" w:type="auto"/>
            <w:gridSpan w:val="3"/>
            <w:shd w:val="clear" w:color="auto" w:fill="auto"/>
          </w:tcPr>
          <w:p w14:paraId="5EA20F1F" w14:textId="77777777" w:rsidR="003C66EB" w:rsidRDefault="003C66EB">
            <w:pPr>
              <w:rPr>
                <w:rFonts w:ascii="宋体"/>
                <w:vanish/>
              </w:rPr>
            </w:pPr>
          </w:p>
        </w:tc>
        <w:tc>
          <w:tcPr>
            <w:tcW w:w="0" w:type="auto"/>
            <w:gridSpan w:val="3"/>
            <w:shd w:val="clear" w:color="auto" w:fill="auto"/>
          </w:tcPr>
          <w:p w14:paraId="5EA20F20" w14:textId="77777777" w:rsidR="003C66EB" w:rsidRDefault="003C66EB">
            <w:pPr>
              <w:rPr>
                <w:rFonts w:ascii="宋体"/>
                <w:vanish/>
              </w:rPr>
            </w:pPr>
          </w:p>
        </w:tc>
        <w:tc>
          <w:tcPr>
            <w:tcW w:w="0" w:type="auto"/>
            <w:gridSpan w:val="3"/>
            <w:shd w:val="clear" w:color="auto" w:fill="auto"/>
          </w:tcPr>
          <w:p w14:paraId="5EA20F21" w14:textId="77777777" w:rsidR="003C66EB" w:rsidRDefault="003C66EB">
            <w:pPr>
              <w:rPr>
                <w:rFonts w:ascii="宋体"/>
                <w:vanish/>
              </w:rPr>
            </w:pPr>
          </w:p>
        </w:tc>
        <w:tc>
          <w:tcPr>
            <w:tcW w:w="0" w:type="auto"/>
            <w:gridSpan w:val="3"/>
            <w:shd w:val="clear" w:color="auto" w:fill="auto"/>
          </w:tcPr>
          <w:p w14:paraId="5EA20F22" w14:textId="77777777" w:rsidR="003C66EB" w:rsidRDefault="003C66EB">
            <w:pPr>
              <w:rPr>
                <w:rFonts w:ascii="宋体"/>
                <w:vanish/>
              </w:rPr>
            </w:pPr>
          </w:p>
        </w:tc>
        <w:tc>
          <w:tcPr>
            <w:tcW w:w="0" w:type="auto"/>
            <w:gridSpan w:val="3"/>
            <w:shd w:val="clear" w:color="auto" w:fill="auto"/>
          </w:tcPr>
          <w:p w14:paraId="5EA20F23" w14:textId="77777777" w:rsidR="003C66EB" w:rsidRDefault="003C66EB">
            <w:pPr>
              <w:rPr>
                <w:rFonts w:ascii="宋体"/>
                <w:vanish/>
              </w:rPr>
            </w:pPr>
          </w:p>
        </w:tc>
        <w:tc>
          <w:tcPr>
            <w:tcW w:w="0" w:type="auto"/>
            <w:gridSpan w:val="3"/>
            <w:shd w:val="clear" w:color="auto" w:fill="auto"/>
          </w:tcPr>
          <w:p w14:paraId="5EA20F24" w14:textId="77777777" w:rsidR="003C66EB" w:rsidRDefault="003C66EB">
            <w:pPr>
              <w:rPr>
                <w:rFonts w:ascii="宋体"/>
                <w:vanish/>
              </w:rPr>
            </w:pPr>
          </w:p>
        </w:tc>
        <w:tc>
          <w:tcPr>
            <w:tcW w:w="0" w:type="auto"/>
            <w:gridSpan w:val="3"/>
            <w:shd w:val="clear" w:color="auto" w:fill="auto"/>
          </w:tcPr>
          <w:p w14:paraId="5EA20F25" w14:textId="77777777" w:rsidR="003C66EB" w:rsidRDefault="003C66EB">
            <w:pPr>
              <w:rPr>
                <w:rFonts w:ascii="宋体"/>
                <w:vanish/>
              </w:rPr>
            </w:pPr>
          </w:p>
        </w:tc>
        <w:tc>
          <w:tcPr>
            <w:tcW w:w="0" w:type="auto"/>
            <w:gridSpan w:val="3"/>
            <w:shd w:val="clear" w:color="auto" w:fill="auto"/>
          </w:tcPr>
          <w:p w14:paraId="5EA20F26" w14:textId="77777777" w:rsidR="003C66EB" w:rsidRDefault="003C66EB">
            <w:pPr>
              <w:rPr>
                <w:rFonts w:ascii="宋体"/>
                <w:vanish/>
              </w:rPr>
            </w:pPr>
          </w:p>
        </w:tc>
        <w:tc>
          <w:tcPr>
            <w:tcW w:w="0" w:type="auto"/>
            <w:gridSpan w:val="3"/>
            <w:shd w:val="clear" w:color="auto" w:fill="auto"/>
          </w:tcPr>
          <w:p w14:paraId="5EA20F27" w14:textId="77777777" w:rsidR="003C66EB" w:rsidRDefault="003C66EB">
            <w:pPr>
              <w:rPr>
                <w:rFonts w:ascii="宋体"/>
                <w:vanish/>
              </w:rPr>
            </w:pPr>
          </w:p>
        </w:tc>
        <w:tc>
          <w:tcPr>
            <w:tcW w:w="0" w:type="auto"/>
            <w:gridSpan w:val="3"/>
            <w:shd w:val="clear" w:color="auto" w:fill="auto"/>
          </w:tcPr>
          <w:p w14:paraId="5EA20F28" w14:textId="77777777" w:rsidR="003C66EB" w:rsidRDefault="003C66EB">
            <w:pPr>
              <w:rPr>
                <w:rFonts w:ascii="宋体"/>
                <w:vanish/>
              </w:rPr>
            </w:pPr>
          </w:p>
        </w:tc>
        <w:tc>
          <w:tcPr>
            <w:tcW w:w="0" w:type="auto"/>
            <w:gridSpan w:val="3"/>
            <w:shd w:val="clear" w:color="auto" w:fill="auto"/>
          </w:tcPr>
          <w:p w14:paraId="5EA20F29" w14:textId="77777777" w:rsidR="003C66EB" w:rsidRDefault="003C66EB">
            <w:pPr>
              <w:rPr>
                <w:rFonts w:ascii="宋体"/>
                <w:vanish/>
              </w:rPr>
            </w:pPr>
          </w:p>
        </w:tc>
        <w:tc>
          <w:tcPr>
            <w:tcW w:w="0" w:type="auto"/>
            <w:gridSpan w:val="3"/>
            <w:shd w:val="clear" w:color="auto" w:fill="auto"/>
          </w:tcPr>
          <w:p w14:paraId="5EA20F2A" w14:textId="77777777" w:rsidR="003C66EB" w:rsidRDefault="003C66EB">
            <w:pPr>
              <w:rPr>
                <w:rFonts w:ascii="宋体"/>
                <w:vanish/>
              </w:rPr>
            </w:pPr>
          </w:p>
        </w:tc>
        <w:tc>
          <w:tcPr>
            <w:tcW w:w="0" w:type="auto"/>
            <w:gridSpan w:val="3"/>
            <w:shd w:val="clear" w:color="auto" w:fill="auto"/>
          </w:tcPr>
          <w:p w14:paraId="5EA20F2B" w14:textId="77777777" w:rsidR="003C66EB" w:rsidRDefault="003C66EB">
            <w:pPr>
              <w:rPr>
                <w:rFonts w:ascii="宋体"/>
                <w:vanish/>
              </w:rPr>
            </w:pPr>
          </w:p>
        </w:tc>
        <w:tc>
          <w:tcPr>
            <w:tcW w:w="0" w:type="auto"/>
            <w:gridSpan w:val="3"/>
            <w:shd w:val="clear" w:color="auto" w:fill="auto"/>
          </w:tcPr>
          <w:p w14:paraId="5EA20F2C" w14:textId="77777777" w:rsidR="003C66EB" w:rsidRDefault="003C66EB">
            <w:pPr>
              <w:rPr>
                <w:rFonts w:ascii="宋体"/>
                <w:vanish/>
              </w:rPr>
            </w:pPr>
          </w:p>
        </w:tc>
        <w:tc>
          <w:tcPr>
            <w:tcW w:w="0" w:type="auto"/>
            <w:gridSpan w:val="3"/>
            <w:shd w:val="clear" w:color="auto" w:fill="auto"/>
          </w:tcPr>
          <w:p w14:paraId="5EA20F2D" w14:textId="77777777" w:rsidR="003C66EB" w:rsidRDefault="003C66EB">
            <w:pPr>
              <w:rPr>
                <w:rFonts w:ascii="宋体"/>
                <w:vanish/>
              </w:rPr>
            </w:pPr>
          </w:p>
        </w:tc>
        <w:tc>
          <w:tcPr>
            <w:tcW w:w="0" w:type="auto"/>
            <w:gridSpan w:val="3"/>
            <w:shd w:val="clear" w:color="auto" w:fill="auto"/>
          </w:tcPr>
          <w:p w14:paraId="5EA20F2E" w14:textId="77777777" w:rsidR="003C66EB" w:rsidRDefault="003C66EB">
            <w:pPr>
              <w:rPr>
                <w:rFonts w:ascii="宋体"/>
                <w:vanish/>
              </w:rPr>
            </w:pPr>
          </w:p>
        </w:tc>
        <w:tc>
          <w:tcPr>
            <w:tcW w:w="0" w:type="auto"/>
            <w:gridSpan w:val="3"/>
            <w:shd w:val="clear" w:color="auto" w:fill="auto"/>
          </w:tcPr>
          <w:p w14:paraId="5EA20F2F" w14:textId="77777777" w:rsidR="003C66EB" w:rsidRDefault="003C66EB">
            <w:pPr>
              <w:rPr>
                <w:rFonts w:ascii="宋体"/>
                <w:vanish/>
              </w:rPr>
            </w:pPr>
          </w:p>
        </w:tc>
      </w:tr>
      <w:tr w:rsidR="003C66EB" w14:paraId="5EA20F43" w14:textId="77777777">
        <w:trPr>
          <w:hidden/>
        </w:trPr>
        <w:tc>
          <w:tcPr>
            <w:tcW w:w="0" w:type="auto"/>
            <w:gridSpan w:val="3"/>
            <w:shd w:val="clear" w:color="auto" w:fill="auto"/>
          </w:tcPr>
          <w:p w14:paraId="5EA20F31" w14:textId="77777777" w:rsidR="003C66EB" w:rsidRDefault="003C66EB">
            <w:pPr>
              <w:rPr>
                <w:rFonts w:ascii="宋体"/>
                <w:vanish/>
              </w:rPr>
            </w:pPr>
          </w:p>
        </w:tc>
        <w:tc>
          <w:tcPr>
            <w:tcW w:w="0" w:type="auto"/>
            <w:gridSpan w:val="3"/>
            <w:shd w:val="clear" w:color="auto" w:fill="auto"/>
          </w:tcPr>
          <w:p w14:paraId="5EA20F32" w14:textId="77777777" w:rsidR="003C66EB" w:rsidRDefault="003C66EB">
            <w:pPr>
              <w:rPr>
                <w:rFonts w:ascii="宋体"/>
                <w:vanish/>
              </w:rPr>
            </w:pPr>
          </w:p>
        </w:tc>
        <w:tc>
          <w:tcPr>
            <w:tcW w:w="0" w:type="auto"/>
            <w:gridSpan w:val="3"/>
            <w:shd w:val="clear" w:color="auto" w:fill="auto"/>
          </w:tcPr>
          <w:p w14:paraId="5EA20F33" w14:textId="77777777" w:rsidR="003C66EB" w:rsidRDefault="003C66EB">
            <w:pPr>
              <w:rPr>
                <w:rFonts w:ascii="宋体"/>
                <w:vanish/>
              </w:rPr>
            </w:pPr>
          </w:p>
        </w:tc>
        <w:tc>
          <w:tcPr>
            <w:tcW w:w="0" w:type="auto"/>
            <w:gridSpan w:val="3"/>
            <w:shd w:val="clear" w:color="auto" w:fill="auto"/>
          </w:tcPr>
          <w:p w14:paraId="5EA20F34" w14:textId="77777777" w:rsidR="003C66EB" w:rsidRDefault="003C66EB">
            <w:pPr>
              <w:rPr>
                <w:rFonts w:ascii="宋体"/>
                <w:vanish/>
              </w:rPr>
            </w:pPr>
          </w:p>
        </w:tc>
        <w:tc>
          <w:tcPr>
            <w:tcW w:w="0" w:type="auto"/>
            <w:gridSpan w:val="3"/>
            <w:shd w:val="clear" w:color="auto" w:fill="auto"/>
          </w:tcPr>
          <w:p w14:paraId="5EA20F35" w14:textId="77777777" w:rsidR="003C66EB" w:rsidRDefault="003C66EB">
            <w:pPr>
              <w:rPr>
                <w:rFonts w:ascii="宋体"/>
                <w:vanish/>
              </w:rPr>
            </w:pPr>
          </w:p>
        </w:tc>
        <w:tc>
          <w:tcPr>
            <w:tcW w:w="0" w:type="auto"/>
            <w:gridSpan w:val="3"/>
            <w:shd w:val="clear" w:color="auto" w:fill="auto"/>
          </w:tcPr>
          <w:p w14:paraId="5EA20F36" w14:textId="77777777" w:rsidR="003C66EB" w:rsidRDefault="003C66EB">
            <w:pPr>
              <w:rPr>
                <w:rFonts w:ascii="宋体"/>
                <w:vanish/>
              </w:rPr>
            </w:pPr>
          </w:p>
        </w:tc>
        <w:tc>
          <w:tcPr>
            <w:tcW w:w="0" w:type="auto"/>
            <w:gridSpan w:val="3"/>
            <w:shd w:val="clear" w:color="auto" w:fill="auto"/>
          </w:tcPr>
          <w:p w14:paraId="5EA20F37" w14:textId="77777777" w:rsidR="003C66EB" w:rsidRDefault="003C66EB">
            <w:pPr>
              <w:rPr>
                <w:rFonts w:ascii="宋体"/>
                <w:vanish/>
              </w:rPr>
            </w:pPr>
          </w:p>
        </w:tc>
        <w:tc>
          <w:tcPr>
            <w:tcW w:w="0" w:type="auto"/>
            <w:gridSpan w:val="3"/>
            <w:shd w:val="clear" w:color="auto" w:fill="auto"/>
          </w:tcPr>
          <w:p w14:paraId="5EA20F38" w14:textId="77777777" w:rsidR="003C66EB" w:rsidRDefault="003C66EB">
            <w:pPr>
              <w:rPr>
                <w:rFonts w:ascii="宋体"/>
                <w:vanish/>
              </w:rPr>
            </w:pPr>
          </w:p>
        </w:tc>
        <w:tc>
          <w:tcPr>
            <w:tcW w:w="0" w:type="auto"/>
            <w:gridSpan w:val="3"/>
            <w:shd w:val="clear" w:color="auto" w:fill="auto"/>
          </w:tcPr>
          <w:p w14:paraId="5EA20F39" w14:textId="77777777" w:rsidR="003C66EB" w:rsidRDefault="003C66EB">
            <w:pPr>
              <w:rPr>
                <w:rFonts w:ascii="宋体"/>
                <w:vanish/>
              </w:rPr>
            </w:pPr>
          </w:p>
        </w:tc>
        <w:tc>
          <w:tcPr>
            <w:tcW w:w="0" w:type="auto"/>
            <w:gridSpan w:val="3"/>
            <w:shd w:val="clear" w:color="auto" w:fill="auto"/>
          </w:tcPr>
          <w:p w14:paraId="5EA20F3A" w14:textId="77777777" w:rsidR="003C66EB" w:rsidRDefault="003C66EB">
            <w:pPr>
              <w:rPr>
                <w:rFonts w:ascii="宋体"/>
                <w:vanish/>
              </w:rPr>
            </w:pPr>
          </w:p>
        </w:tc>
        <w:tc>
          <w:tcPr>
            <w:tcW w:w="0" w:type="auto"/>
            <w:gridSpan w:val="3"/>
            <w:shd w:val="clear" w:color="auto" w:fill="auto"/>
          </w:tcPr>
          <w:p w14:paraId="5EA20F3B" w14:textId="77777777" w:rsidR="003C66EB" w:rsidRDefault="003C66EB">
            <w:pPr>
              <w:rPr>
                <w:rFonts w:ascii="宋体"/>
                <w:vanish/>
              </w:rPr>
            </w:pPr>
          </w:p>
        </w:tc>
        <w:tc>
          <w:tcPr>
            <w:tcW w:w="0" w:type="auto"/>
            <w:gridSpan w:val="3"/>
            <w:shd w:val="clear" w:color="auto" w:fill="auto"/>
          </w:tcPr>
          <w:p w14:paraId="5EA20F3C" w14:textId="77777777" w:rsidR="003C66EB" w:rsidRDefault="003C66EB">
            <w:pPr>
              <w:rPr>
                <w:rFonts w:ascii="宋体"/>
                <w:vanish/>
              </w:rPr>
            </w:pPr>
          </w:p>
        </w:tc>
        <w:tc>
          <w:tcPr>
            <w:tcW w:w="0" w:type="auto"/>
            <w:gridSpan w:val="3"/>
            <w:shd w:val="clear" w:color="auto" w:fill="auto"/>
          </w:tcPr>
          <w:p w14:paraId="5EA20F3D" w14:textId="77777777" w:rsidR="003C66EB" w:rsidRDefault="003C66EB">
            <w:pPr>
              <w:rPr>
                <w:rFonts w:ascii="宋体"/>
                <w:vanish/>
              </w:rPr>
            </w:pPr>
          </w:p>
        </w:tc>
        <w:tc>
          <w:tcPr>
            <w:tcW w:w="0" w:type="auto"/>
            <w:gridSpan w:val="3"/>
            <w:shd w:val="clear" w:color="auto" w:fill="auto"/>
          </w:tcPr>
          <w:p w14:paraId="5EA20F3E" w14:textId="77777777" w:rsidR="003C66EB" w:rsidRDefault="003C66EB">
            <w:pPr>
              <w:rPr>
                <w:rFonts w:ascii="宋体"/>
                <w:vanish/>
              </w:rPr>
            </w:pPr>
          </w:p>
        </w:tc>
        <w:tc>
          <w:tcPr>
            <w:tcW w:w="0" w:type="auto"/>
            <w:gridSpan w:val="3"/>
            <w:shd w:val="clear" w:color="auto" w:fill="auto"/>
          </w:tcPr>
          <w:p w14:paraId="5EA20F3F" w14:textId="77777777" w:rsidR="003C66EB" w:rsidRDefault="003C66EB">
            <w:pPr>
              <w:rPr>
                <w:rFonts w:ascii="宋体"/>
                <w:vanish/>
              </w:rPr>
            </w:pPr>
          </w:p>
        </w:tc>
        <w:tc>
          <w:tcPr>
            <w:tcW w:w="0" w:type="auto"/>
            <w:gridSpan w:val="3"/>
            <w:shd w:val="clear" w:color="auto" w:fill="auto"/>
          </w:tcPr>
          <w:p w14:paraId="5EA20F40" w14:textId="77777777" w:rsidR="003C66EB" w:rsidRDefault="003C66EB">
            <w:pPr>
              <w:rPr>
                <w:rFonts w:ascii="宋体"/>
                <w:vanish/>
              </w:rPr>
            </w:pPr>
          </w:p>
        </w:tc>
        <w:tc>
          <w:tcPr>
            <w:tcW w:w="0" w:type="auto"/>
            <w:gridSpan w:val="3"/>
            <w:shd w:val="clear" w:color="auto" w:fill="auto"/>
          </w:tcPr>
          <w:p w14:paraId="5EA20F41" w14:textId="77777777" w:rsidR="003C66EB" w:rsidRDefault="003C66EB">
            <w:pPr>
              <w:rPr>
                <w:rFonts w:ascii="宋体"/>
                <w:vanish/>
              </w:rPr>
            </w:pPr>
          </w:p>
        </w:tc>
        <w:tc>
          <w:tcPr>
            <w:tcW w:w="0" w:type="auto"/>
            <w:gridSpan w:val="3"/>
            <w:shd w:val="clear" w:color="auto" w:fill="auto"/>
          </w:tcPr>
          <w:p w14:paraId="5EA20F42" w14:textId="77777777" w:rsidR="003C66EB" w:rsidRDefault="003C66EB">
            <w:pPr>
              <w:rPr>
                <w:rFonts w:ascii="宋体"/>
                <w:vanish/>
              </w:rPr>
            </w:pPr>
          </w:p>
        </w:tc>
      </w:tr>
      <w:tr w:rsidR="003C66EB" w14:paraId="5EA20F56" w14:textId="77777777">
        <w:trPr>
          <w:hidden/>
        </w:trPr>
        <w:tc>
          <w:tcPr>
            <w:tcW w:w="0" w:type="auto"/>
            <w:gridSpan w:val="3"/>
            <w:shd w:val="clear" w:color="auto" w:fill="auto"/>
          </w:tcPr>
          <w:p w14:paraId="5EA20F44" w14:textId="77777777" w:rsidR="003C66EB" w:rsidRDefault="003C66EB">
            <w:pPr>
              <w:rPr>
                <w:rFonts w:ascii="宋体"/>
                <w:vanish/>
              </w:rPr>
            </w:pPr>
          </w:p>
        </w:tc>
        <w:tc>
          <w:tcPr>
            <w:tcW w:w="0" w:type="auto"/>
            <w:gridSpan w:val="3"/>
            <w:shd w:val="clear" w:color="auto" w:fill="auto"/>
          </w:tcPr>
          <w:p w14:paraId="5EA20F45" w14:textId="77777777" w:rsidR="003C66EB" w:rsidRDefault="003C66EB">
            <w:pPr>
              <w:rPr>
                <w:rFonts w:ascii="宋体"/>
                <w:vanish/>
              </w:rPr>
            </w:pPr>
          </w:p>
        </w:tc>
        <w:tc>
          <w:tcPr>
            <w:tcW w:w="0" w:type="auto"/>
            <w:gridSpan w:val="3"/>
            <w:shd w:val="clear" w:color="auto" w:fill="auto"/>
          </w:tcPr>
          <w:p w14:paraId="5EA20F46" w14:textId="77777777" w:rsidR="003C66EB" w:rsidRDefault="003C66EB">
            <w:pPr>
              <w:rPr>
                <w:rFonts w:ascii="宋体"/>
                <w:vanish/>
              </w:rPr>
            </w:pPr>
          </w:p>
        </w:tc>
        <w:tc>
          <w:tcPr>
            <w:tcW w:w="0" w:type="auto"/>
            <w:gridSpan w:val="3"/>
            <w:shd w:val="clear" w:color="auto" w:fill="auto"/>
          </w:tcPr>
          <w:p w14:paraId="5EA20F47" w14:textId="77777777" w:rsidR="003C66EB" w:rsidRDefault="003C66EB">
            <w:pPr>
              <w:rPr>
                <w:rFonts w:ascii="宋体"/>
                <w:vanish/>
              </w:rPr>
            </w:pPr>
          </w:p>
        </w:tc>
        <w:tc>
          <w:tcPr>
            <w:tcW w:w="0" w:type="auto"/>
            <w:gridSpan w:val="3"/>
            <w:shd w:val="clear" w:color="auto" w:fill="auto"/>
          </w:tcPr>
          <w:p w14:paraId="5EA20F48" w14:textId="77777777" w:rsidR="003C66EB" w:rsidRDefault="003C66EB">
            <w:pPr>
              <w:rPr>
                <w:rFonts w:ascii="宋体"/>
                <w:vanish/>
              </w:rPr>
            </w:pPr>
          </w:p>
        </w:tc>
        <w:tc>
          <w:tcPr>
            <w:tcW w:w="0" w:type="auto"/>
            <w:gridSpan w:val="3"/>
            <w:shd w:val="clear" w:color="auto" w:fill="auto"/>
          </w:tcPr>
          <w:p w14:paraId="5EA20F49" w14:textId="77777777" w:rsidR="003C66EB" w:rsidRDefault="003C66EB">
            <w:pPr>
              <w:rPr>
                <w:rFonts w:ascii="宋体"/>
                <w:vanish/>
              </w:rPr>
            </w:pPr>
          </w:p>
        </w:tc>
        <w:tc>
          <w:tcPr>
            <w:tcW w:w="0" w:type="auto"/>
            <w:gridSpan w:val="3"/>
            <w:shd w:val="clear" w:color="auto" w:fill="auto"/>
          </w:tcPr>
          <w:p w14:paraId="5EA20F4A" w14:textId="77777777" w:rsidR="003C66EB" w:rsidRDefault="003C66EB">
            <w:pPr>
              <w:rPr>
                <w:rFonts w:ascii="宋体"/>
                <w:vanish/>
              </w:rPr>
            </w:pPr>
          </w:p>
        </w:tc>
        <w:tc>
          <w:tcPr>
            <w:tcW w:w="0" w:type="auto"/>
            <w:gridSpan w:val="3"/>
            <w:shd w:val="clear" w:color="auto" w:fill="auto"/>
          </w:tcPr>
          <w:p w14:paraId="5EA20F4B" w14:textId="77777777" w:rsidR="003C66EB" w:rsidRDefault="003C66EB">
            <w:pPr>
              <w:rPr>
                <w:rFonts w:ascii="宋体"/>
                <w:vanish/>
              </w:rPr>
            </w:pPr>
          </w:p>
        </w:tc>
        <w:tc>
          <w:tcPr>
            <w:tcW w:w="0" w:type="auto"/>
            <w:gridSpan w:val="3"/>
            <w:shd w:val="clear" w:color="auto" w:fill="auto"/>
          </w:tcPr>
          <w:p w14:paraId="5EA20F4C" w14:textId="77777777" w:rsidR="003C66EB" w:rsidRDefault="003C66EB">
            <w:pPr>
              <w:rPr>
                <w:rFonts w:ascii="宋体"/>
                <w:vanish/>
              </w:rPr>
            </w:pPr>
          </w:p>
        </w:tc>
        <w:tc>
          <w:tcPr>
            <w:tcW w:w="0" w:type="auto"/>
            <w:gridSpan w:val="3"/>
            <w:shd w:val="clear" w:color="auto" w:fill="auto"/>
          </w:tcPr>
          <w:p w14:paraId="5EA20F4D" w14:textId="77777777" w:rsidR="003C66EB" w:rsidRDefault="003C66EB">
            <w:pPr>
              <w:rPr>
                <w:rFonts w:ascii="宋体"/>
                <w:vanish/>
              </w:rPr>
            </w:pPr>
          </w:p>
        </w:tc>
        <w:tc>
          <w:tcPr>
            <w:tcW w:w="0" w:type="auto"/>
            <w:gridSpan w:val="3"/>
            <w:shd w:val="clear" w:color="auto" w:fill="auto"/>
          </w:tcPr>
          <w:p w14:paraId="5EA20F4E" w14:textId="77777777" w:rsidR="003C66EB" w:rsidRDefault="003C66EB">
            <w:pPr>
              <w:rPr>
                <w:rFonts w:ascii="宋体"/>
                <w:vanish/>
              </w:rPr>
            </w:pPr>
          </w:p>
        </w:tc>
        <w:tc>
          <w:tcPr>
            <w:tcW w:w="0" w:type="auto"/>
            <w:gridSpan w:val="3"/>
            <w:shd w:val="clear" w:color="auto" w:fill="auto"/>
          </w:tcPr>
          <w:p w14:paraId="5EA20F4F" w14:textId="77777777" w:rsidR="003C66EB" w:rsidRDefault="003C66EB">
            <w:pPr>
              <w:rPr>
                <w:rFonts w:ascii="宋体"/>
                <w:vanish/>
              </w:rPr>
            </w:pPr>
          </w:p>
        </w:tc>
        <w:tc>
          <w:tcPr>
            <w:tcW w:w="0" w:type="auto"/>
            <w:gridSpan w:val="3"/>
            <w:shd w:val="clear" w:color="auto" w:fill="auto"/>
          </w:tcPr>
          <w:p w14:paraId="5EA20F50" w14:textId="77777777" w:rsidR="003C66EB" w:rsidRDefault="003C66EB">
            <w:pPr>
              <w:rPr>
                <w:rFonts w:ascii="宋体"/>
                <w:vanish/>
              </w:rPr>
            </w:pPr>
          </w:p>
        </w:tc>
        <w:tc>
          <w:tcPr>
            <w:tcW w:w="0" w:type="auto"/>
            <w:gridSpan w:val="3"/>
            <w:shd w:val="clear" w:color="auto" w:fill="auto"/>
          </w:tcPr>
          <w:p w14:paraId="5EA20F51" w14:textId="77777777" w:rsidR="003C66EB" w:rsidRDefault="003C66EB">
            <w:pPr>
              <w:rPr>
                <w:rFonts w:ascii="宋体"/>
                <w:vanish/>
              </w:rPr>
            </w:pPr>
          </w:p>
        </w:tc>
        <w:tc>
          <w:tcPr>
            <w:tcW w:w="0" w:type="auto"/>
            <w:gridSpan w:val="3"/>
            <w:shd w:val="clear" w:color="auto" w:fill="auto"/>
          </w:tcPr>
          <w:p w14:paraId="5EA20F52" w14:textId="77777777" w:rsidR="003C66EB" w:rsidRDefault="003C66EB">
            <w:pPr>
              <w:rPr>
                <w:rFonts w:ascii="宋体"/>
                <w:vanish/>
              </w:rPr>
            </w:pPr>
          </w:p>
        </w:tc>
        <w:tc>
          <w:tcPr>
            <w:tcW w:w="0" w:type="auto"/>
            <w:gridSpan w:val="3"/>
            <w:shd w:val="clear" w:color="auto" w:fill="auto"/>
          </w:tcPr>
          <w:p w14:paraId="5EA20F53" w14:textId="77777777" w:rsidR="003C66EB" w:rsidRDefault="003C66EB">
            <w:pPr>
              <w:rPr>
                <w:rFonts w:ascii="宋体"/>
                <w:vanish/>
              </w:rPr>
            </w:pPr>
          </w:p>
        </w:tc>
        <w:tc>
          <w:tcPr>
            <w:tcW w:w="0" w:type="auto"/>
            <w:gridSpan w:val="3"/>
            <w:shd w:val="clear" w:color="auto" w:fill="auto"/>
          </w:tcPr>
          <w:p w14:paraId="5EA20F54" w14:textId="77777777" w:rsidR="003C66EB" w:rsidRDefault="003C66EB">
            <w:pPr>
              <w:rPr>
                <w:rFonts w:ascii="宋体"/>
                <w:vanish/>
              </w:rPr>
            </w:pPr>
          </w:p>
        </w:tc>
        <w:tc>
          <w:tcPr>
            <w:tcW w:w="0" w:type="auto"/>
            <w:gridSpan w:val="3"/>
            <w:shd w:val="clear" w:color="auto" w:fill="auto"/>
          </w:tcPr>
          <w:p w14:paraId="5EA20F55" w14:textId="77777777" w:rsidR="003C66EB" w:rsidRDefault="003C66EB">
            <w:pPr>
              <w:rPr>
                <w:rFonts w:ascii="宋体"/>
                <w:vanish/>
              </w:rPr>
            </w:pPr>
          </w:p>
        </w:tc>
      </w:tr>
      <w:tr w:rsidR="003C66EB" w14:paraId="5EA20F6F" w14:textId="77777777">
        <w:tc>
          <w:tcPr>
            <w:tcW w:w="0" w:type="auto"/>
            <w:gridSpan w:val="9"/>
            <w:shd w:val="clear" w:color="auto" w:fill="FFFFFF"/>
            <w:tcMar>
              <w:top w:w="40" w:type="dxa"/>
              <w:left w:w="155" w:type="dxa"/>
              <w:bottom w:w="40" w:type="dxa"/>
              <w:right w:w="20" w:type="dxa"/>
            </w:tcMar>
            <w:vAlign w:val="bottom"/>
          </w:tcPr>
          <w:p w14:paraId="5EA20F57" w14:textId="77777777" w:rsidR="003C66EB" w:rsidRDefault="00D96C4E">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5EA20F58"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F5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5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5B"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F5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5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5E"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0F5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6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61"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0F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6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64"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F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6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67"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0F6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6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6A"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0F6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0F6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0F6D"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0F6E" w14:textId="77777777" w:rsidR="003C66EB" w:rsidRDefault="003C66EB">
            <w:pPr>
              <w:jc w:val="right"/>
              <w:rPr>
                <w:rFonts w:ascii="宋体"/>
              </w:rPr>
            </w:pPr>
          </w:p>
        </w:tc>
      </w:tr>
      <w:tr w:rsidR="00D96C4E" w14:paraId="5EA20F90" w14:textId="77777777">
        <w:tc>
          <w:tcPr>
            <w:tcW w:w="0" w:type="auto"/>
            <w:gridSpan w:val="9"/>
            <w:shd w:val="clear" w:color="auto" w:fill="CCEEFF"/>
            <w:tcMar>
              <w:top w:w="40" w:type="dxa"/>
              <w:left w:w="20" w:type="dxa"/>
              <w:bottom w:w="40" w:type="dxa"/>
              <w:right w:w="20" w:type="dxa"/>
            </w:tcMar>
            <w:vAlign w:val="bottom"/>
          </w:tcPr>
          <w:p w14:paraId="5EA20F70" w14:textId="77777777" w:rsidR="003C66EB" w:rsidRDefault="00D96C4E">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0F71"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72" w14:textId="77777777" w:rsidR="003C66EB" w:rsidRDefault="00D96C4E">
            <w:pPr>
              <w:jc w:val="right"/>
              <w:textAlignment w:val="bottom"/>
            </w:pPr>
            <w:r>
              <w:rPr>
                <w:rFonts w:ascii="Arial" w:eastAsia="宋体" w:hAnsi="Arial" w:cs="Arial"/>
                <w:b/>
                <w:bCs/>
                <w:color w:val="000000"/>
                <w:sz w:val="12"/>
                <w:szCs w:val="12"/>
              </w:rPr>
              <w:t>113,051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7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75"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76" w14:textId="77777777" w:rsidR="003C66EB" w:rsidRDefault="00D96C4E">
            <w:pPr>
              <w:jc w:val="right"/>
              <w:textAlignment w:val="bottom"/>
            </w:pPr>
            <w:r>
              <w:rPr>
                <w:rFonts w:ascii="Arial" w:eastAsia="宋体" w:hAnsi="Arial" w:cs="Arial"/>
                <w:b/>
                <w:bCs/>
                <w:color w:val="000000"/>
                <w:sz w:val="12"/>
                <w:szCs w:val="12"/>
              </w:rPr>
              <w:t>124,324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7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79"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7A" w14:textId="77777777" w:rsidR="003C66EB" w:rsidRDefault="00D96C4E">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7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7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7D"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7E" w14:textId="77777777" w:rsidR="003C66EB" w:rsidRDefault="00D96C4E">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8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81"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82" w14:textId="77777777" w:rsidR="003C66EB" w:rsidRDefault="00D96C4E">
            <w:pPr>
              <w:jc w:val="right"/>
              <w:textAlignment w:val="bottom"/>
            </w:pPr>
            <w:r>
              <w:rPr>
                <w:rFonts w:ascii="Arial" w:eastAsia="宋体" w:hAnsi="Arial" w:cs="Arial"/>
                <w:b/>
                <w:bCs/>
                <w:color w:val="000000"/>
                <w:sz w:val="12"/>
                <w:szCs w:val="12"/>
              </w:rPr>
              <w:t>107,932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8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85"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86" w14:textId="77777777" w:rsidR="003C66EB" w:rsidRDefault="00D96C4E">
            <w:pPr>
              <w:jc w:val="right"/>
              <w:textAlignment w:val="bottom"/>
            </w:pPr>
            <w:r>
              <w:rPr>
                <w:rFonts w:ascii="Arial" w:eastAsia="宋体" w:hAnsi="Arial" w:cs="Arial"/>
                <w:b/>
                <w:bCs/>
                <w:color w:val="000000"/>
                <w:sz w:val="12"/>
                <w:szCs w:val="12"/>
              </w:rPr>
              <w:t>121,270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8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89"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8A" w14:textId="77777777" w:rsidR="003C66EB" w:rsidRDefault="00D96C4E">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8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8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0F8D"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0F8E" w14:textId="77777777" w:rsidR="003C66EB" w:rsidRDefault="00D96C4E">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8F" w14:textId="77777777" w:rsidR="003C66EB" w:rsidRDefault="003C66EB">
            <w:pPr>
              <w:jc w:val="right"/>
              <w:rPr>
                <w:rFonts w:ascii="宋体"/>
              </w:rPr>
            </w:pPr>
          </w:p>
        </w:tc>
      </w:tr>
      <w:tr w:rsidR="003C66EB" w14:paraId="5EA20FA3" w14:textId="77777777">
        <w:trPr>
          <w:trHeight w:val="120"/>
        </w:trPr>
        <w:tc>
          <w:tcPr>
            <w:tcW w:w="0" w:type="auto"/>
            <w:gridSpan w:val="3"/>
            <w:shd w:val="clear" w:color="auto" w:fill="FFFFFF"/>
            <w:tcMar>
              <w:top w:w="0" w:type="dxa"/>
              <w:left w:w="20" w:type="dxa"/>
              <w:bottom w:w="0" w:type="dxa"/>
              <w:right w:w="20" w:type="dxa"/>
            </w:tcMar>
          </w:tcPr>
          <w:p w14:paraId="5EA20F9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3"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9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5"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9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7"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9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9"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9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B"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9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D"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9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9F"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A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A1"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0FA2" w14:textId="77777777" w:rsidR="003C66EB" w:rsidRDefault="003C66EB">
            <w:pPr>
              <w:rPr>
                <w:rFonts w:ascii="宋体"/>
              </w:rPr>
            </w:pPr>
          </w:p>
        </w:tc>
      </w:tr>
      <w:tr w:rsidR="00D96C4E" w14:paraId="5EA20FC4" w14:textId="77777777">
        <w:tc>
          <w:tcPr>
            <w:tcW w:w="0" w:type="auto"/>
            <w:gridSpan w:val="9"/>
            <w:shd w:val="clear" w:color="auto" w:fill="CCEEFF"/>
            <w:tcMar>
              <w:top w:w="40" w:type="dxa"/>
              <w:left w:w="20" w:type="dxa"/>
              <w:bottom w:w="40" w:type="dxa"/>
              <w:right w:w="20" w:type="dxa"/>
            </w:tcMar>
            <w:vAlign w:val="bottom"/>
          </w:tcPr>
          <w:p w14:paraId="5EA20FA4" w14:textId="77777777" w:rsidR="003C66EB" w:rsidRDefault="00D96C4E">
            <w:pPr>
              <w:textAlignment w:val="bottom"/>
            </w:pPr>
            <w:r>
              <w:rPr>
                <w:rFonts w:ascii="Arial" w:eastAsia="宋体" w:hAnsi="Arial" w:cs="Arial"/>
                <w:b/>
                <w:bCs/>
                <w:color w:val="000000"/>
                <w:sz w:val="12"/>
                <w:szCs w:val="12"/>
              </w:rPr>
              <w:t xml:space="preserve">Adjusted </w:t>
            </w:r>
            <w:r>
              <w:rPr>
                <w:rFonts w:ascii="Arial" w:eastAsia="宋体" w:hAnsi="Arial" w:cs="Arial"/>
                <w:b/>
                <w:bCs/>
                <w:color w:val="000000"/>
                <w:sz w:val="12"/>
                <w:szCs w:val="12"/>
              </w:rPr>
              <w:t>quarterly average assets</w:t>
            </w:r>
          </w:p>
        </w:tc>
        <w:tc>
          <w:tcPr>
            <w:tcW w:w="0" w:type="auto"/>
            <w:shd w:val="clear" w:color="auto" w:fill="CCEEFF"/>
            <w:tcMar>
              <w:top w:w="40" w:type="dxa"/>
              <w:left w:w="20" w:type="dxa"/>
              <w:bottom w:w="40" w:type="dxa"/>
              <w:right w:w="0" w:type="dxa"/>
            </w:tcMar>
            <w:vAlign w:val="bottom"/>
          </w:tcPr>
          <w:p w14:paraId="5EA20FA5"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FA6" w14:textId="77777777" w:rsidR="003C66EB" w:rsidRDefault="00D96C4E">
            <w:pPr>
              <w:jc w:val="right"/>
              <w:textAlignment w:val="bottom"/>
            </w:pPr>
            <w:r>
              <w:rPr>
                <w:rFonts w:ascii="Arial" w:eastAsia="宋体" w:hAnsi="Arial" w:cs="Arial"/>
                <w:b/>
                <w:bCs/>
                <w:color w:val="000000"/>
                <w:sz w:val="12"/>
                <w:szCs w:val="12"/>
              </w:rPr>
              <w:t>285,480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A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A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A9"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FAA" w14:textId="77777777" w:rsidR="003C66EB" w:rsidRDefault="00D96C4E">
            <w:pPr>
              <w:jc w:val="right"/>
              <w:textAlignment w:val="bottom"/>
            </w:pPr>
            <w:r>
              <w:rPr>
                <w:rFonts w:ascii="Arial" w:eastAsia="宋体" w:hAnsi="Arial" w:cs="Arial"/>
                <w:b/>
                <w:bCs/>
                <w:color w:val="000000"/>
                <w:sz w:val="12"/>
                <w:szCs w:val="12"/>
              </w:rPr>
              <w:t>285,480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A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AD"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FAE" w14:textId="77777777" w:rsidR="003C66EB" w:rsidRDefault="00D96C4E">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A20F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B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B1"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FB2" w14:textId="77777777" w:rsidR="003C66EB" w:rsidRDefault="00D96C4E">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A20F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B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B5"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FB6" w14:textId="77777777" w:rsidR="003C66EB" w:rsidRDefault="00D96C4E">
            <w:pPr>
              <w:jc w:val="right"/>
              <w:textAlignment w:val="bottom"/>
            </w:pPr>
            <w:r>
              <w:rPr>
                <w:rFonts w:ascii="Arial" w:eastAsia="宋体" w:hAnsi="Arial" w:cs="Arial"/>
                <w:b/>
                <w:bCs/>
                <w:color w:val="000000"/>
                <w:sz w:val="12"/>
                <w:szCs w:val="12"/>
              </w:rPr>
              <w:t>282,319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B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B9"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0FBA" w14:textId="77777777" w:rsidR="003C66EB" w:rsidRDefault="00D96C4E">
            <w:pPr>
              <w:jc w:val="right"/>
              <w:textAlignment w:val="bottom"/>
            </w:pPr>
            <w:r>
              <w:rPr>
                <w:rFonts w:ascii="Arial" w:eastAsia="宋体" w:hAnsi="Arial" w:cs="Arial"/>
                <w:b/>
                <w:bCs/>
                <w:color w:val="000000"/>
                <w:sz w:val="12"/>
                <w:szCs w:val="12"/>
              </w:rPr>
              <w:t>282,319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B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BD"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FBE" w14:textId="77777777" w:rsidR="003C66EB" w:rsidRDefault="00D96C4E">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A20F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0FC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0FC1"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0FC2" w14:textId="77777777" w:rsidR="003C66EB" w:rsidRDefault="00D96C4E">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A20FC3" w14:textId="77777777" w:rsidR="003C66EB" w:rsidRDefault="003C66EB">
            <w:pPr>
              <w:jc w:val="right"/>
              <w:rPr>
                <w:rFonts w:ascii="宋体"/>
              </w:rPr>
            </w:pPr>
          </w:p>
        </w:tc>
      </w:tr>
      <w:tr w:rsidR="003C66EB" w14:paraId="5EA20FD7" w14:textId="77777777">
        <w:trPr>
          <w:trHeight w:val="100"/>
        </w:trPr>
        <w:tc>
          <w:tcPr>
            <w:tcW w:w="0" w:type="auto"/>
            <w:gridSpan w:val="3"/>
            <w:shd w:val="clear" w:color="auto" w:fill="auto"/>
            <w:tcMar>
              <w:top w:w="0" w:type="dxa"/>
              <w:left w:w="20" w:type="dxa"/>
              <w:bottom w:w="0" w:type="dxa"/>
              <w:right w:w="20" w:type="dxa"/>
            </w:tcMar>
          </w:tcPr>
          <w:p w14:paraId="5EA20FC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C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0FD6" w14:textId="77777777" w:rsidR="003C66EB" w:rsidRDefault="003C66EB">
            <w:pPr>
              <w:rPr>
                <w:rFonts w:ascii="宋体"/>
              </w:rPr>
            </w:pPr>
          </w:p>
        </w:tc>
      </w:tr>
      <w:tr w:rsidR="003C66EB" w14:paraId="5EA20FEA" w14:textId="77777777">
        <w:tc>
          <w:tcPr>
            <w:tcW w:w="0" w:type="auto"/>
            <w:gridSpan w:val="3"/>
            <w:shd w:val="clear" w:color="auto" w:fill="FFFFFF"/>
            <w:tcMar>
              <w:top w:w="40" w:type="dxa"/>
              <w:left w:w="20" w:type="dxa"/>
              <w:bottom w:w="40" w:type="dxa"/>
              <w:right w:w="20" w:type="dxa"/>
            </w:tcMar>
            <w:vAlign w:val="bottom"/>
          </w:tcPr>
          <w:p w14:paraId="5EA20FD8" w14:textId="77777777" w:rsidR="003C66EB" w:rsidRDefault="00D96C4E">
            <w:pPr>
              <w:textAlignment w:val="bottom"/>
            </w:pPr>
            <w:r>
              <w:rPr>
                <w:rFonts w:ascii="Arial" w:eastAsia="宋体" w:hAnsi="Arial" w:cs="Arial"/>
                <w:b/>
                <w:bCs/>
                <w:color w:val="000000"/>
                <w:sz w:val="12"/>
                <w:szCs w:val="12"/>
              </w:rPr>
              <w:t>Capital Ratios:</w:t>
            </w:r>
          </w:p>
        </w:tc>
        <w:tc>
          <w:tcPr>
            <w:tcW w:w="0" w:type="auto"/>
            <w:gridSpan w:val="3"/>
            <w:shd w:val="clear" w:color="auto" w:fill="FFFFFF"/>
            <w:tcMar>
              <w:top w:w="40" w:type="dxa"/>
              <w:left w:w="20" w:type="dxa"/>
              <w:bottom w:w="40" w:type="dxa"/>
              <w:right w:w="20" w:type="dxa"/>
            </w:tcMar>
            <w:vAlign w:val="bottom"/>
          </w:tcPr>
          <w:p w14:paraId="5EA20FD9" w14:textId="77777777" w:rsidR="003C66EB" w:rsidRDefault="00D96C4E">
            <w:pPr>
              <w:jc w:val="center"/>
              <w:textAlignment w:val="bottom"/>
            </w:pPr>
            <w:r>
              <w:rPr>
                <w:rFonts w:ascii="Arial" w:eastAsia="宋体" w:hAnsi="Arial" w:cs="Arial"/>
                <w:color w:val="000000"/>
                <w:sz w:val="12"/>
                <w:szCs w:val="12"/>
              </w:rPr>
              <w:t xml:space="preserve">2021 Minimum Requirements Including Capital </w:t>
            </w:r>
            <w:r>
              <w:rPr>
                <w:rFonts w:ascii="Arial" w:eastAsia="宋体" w:hAnsi="Arial" w:cs="Arial"/>
                <w:color w:val="000000"/>
                <w:sz w:val="12"/>
                <w:szCs w:val="12"/>
              </w:rPr>
              <w:t>Conservation Buffer and G-SIB Surcharge</w:t>
            </w:r>
            <w:r>
              <w:rPr>
                <w:rFonts w:ascii="Arial" w:eastAsia="宋体" w:hAnsi="Arial" w:cs="Arial"/>
                <w:color w:val="000000"/>
                <w:sz w:val="7"/>
                <w:szCs w:val="7"/>
              </w:rPr>
              <w:t>(4)</w:t>
            </w:r>
          </w:p>
        </w:tc>
        <w:tc>
          <w:tcPr>
            <w:tcW w:w="0" w:type="auto"/>
            <w:gridSpan w:val="3"/>
            <w:shd w:val="clear" w:color="auto" w:fill="FFFFFF"/>
            <w:tcMar>
              <w:top w:w="40" w:type="dxa"/>
              <w:left w:w="20" w:type="dxa"/>
              <w:bottom w:w="40" w:type="dxa"/>
              <w:right w:w="20" w:type="dxa"/>
            </w:tcMar>
            <w:vAlign w:val="bottom"/>
          </w:tcPr>
          <w:p w14:paraId="5EA20FDA" w14:textId="77777777" w:rsidR="003C66EB" w:rsidRDefault="00D96C4E">
            <w:pPr>
              <w:jc w:val="center"/>
              <w:textAlignment w:val="bottom"/>
            </w:pPr>
            <w:r>
              <w:rPr>
                <w:rFonts w:ascii="Arial" w:eastAsia="宋体" w:hAnsi="Arial" w:cs="Arial"/>
                <w:color w:val="000000"/>
                <w:sz w:val="12"/>
                <w:szCs w:val="12"/>
              </w:rPr>
              <w:t>2020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tcPr>
          <w:p w14:paraId="5EA20FD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D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D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D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D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0FE9" w14:textId="77777777" w:rsidR="003C66EB" w:rsidRDefault="003C66EB">
            <w:pPr>
              <w:rPr>
                <w:rFonts w:ascii="宋体"/>
              </w:rPr>
            </w:pPr>
          </w:p>
        </w:tc>
      </w:tr>
      <w:tr w:rsidR="00D96C4E" w14:paraId="5EA21007" w14:textId="77777777">
        <w:tc>
          <w:tcPr>
            <w:tcW w:w="0" w:type="auto"/>
            <w:gridSpan w:val="3"/>
            <w:shd w:val="clear" w:color="auto" w:fill="CCEEFF"/>
            <w:tcMar>
              <w:top w:w="40" w:type="dxa"/>
              <w:left w:w="20" w:type="dxa"/>
              <w:bottom w:w="40" w:type="dxa"/>
              <w:right w:w="20" w:type="dxa"/>
            </w:tcMar>
            <w:vAlign w:val="bottom"/>
          </w:tcPr>
          <w:p w14:paraId="5EA20FEB" w14:textId="77777777" w:rsidR="003C66EB" w:rsidRDefault="00D96C4E">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FEC" w14:textId="77777777" w:rsidR="003C66EB" w:rsidRDefault="00D96C4E">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ED"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0FEE" w14:textId="77777777" w:rsidR="003C66EB" w:rsidRDefault="00D96C4E">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0FEF" w14:textId="77777777" w:rsidR="003C66EB" w:rsidRDefault="00D96C4E">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5EA20FF0" w14:textId="77777777" w:rsidR="003C66EB" w:rsidRDefault="00D96C4E">
            <w:pPr>
              <w:jc w:val="right"/>
              <w:textAlignment w:val="bottom"/>
            </w:pPr>
            <w:r>
              <w:rPr>
                <w:rFonts w:ascii="Arial" w:eastAsia="宋体" w:hAnsi="Arial" w:cs="Arial"/>
                <w:b/>
                <w:bCs/>
                <w:color w:val="000000"/>
                <w:sz w:val="12"/>
                <w:szCs w:val="12"/>
              </w:rPr>
              <w:t>11.9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F1"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0FF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F3" w14:textId="77777777" w:rsidR="003C66EB" w:rsidRDefault="00D96C4E">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F4"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0FF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F6" w14:textId="77777777" w:rsidR="003C66EB" w:rsidRDefault="00D96C4E">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EA20FF7" w14:textId="77777777" w:rsidR="003C66EB" w:rsidRDefault="00D96C4E">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5EA20FF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F9" w14:textId="77777777" w:rsidR="003C66EB" w:rsidRDefault="00D96C4E">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EA20FFA" w14:textId="77777777" w:rsidR="003C66EB" w:rsidRDefault="00D96C4E">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5EA20FF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FC" w14:textId="77777777" w:rsidR="003C66EB" w:rsidRDefault="00D96C4E">
            <w:pPr>
              <w:jc w:val="right"/>
              <w:textAlignment w:val="bottom"/>
            </w:pPr>
            <w:r>
              <w:rPr>
                <w:rFonts w:ascii="Arial" w:eastAsia="宋体" w:hAnsi="Arial" w:cs="Arial"/>
                <w:b/>
                <w:bCs/>
                <w:color w:val="000000"/>
                <w:sz w:val="12"/>
                <w:szCs w:val="12"/>
              </w:rPr>
              <w:t>15.8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0FFD"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0FF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0FFF" w14:textId="77777777" w:rsidR="003C66EB" w:rsidRDefault="00D96C4E">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1000"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100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02" w14:textId="77777777" w:rsidR="003C66EB" w:rsidRDefault="00D96C4E">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5EA21003" w14:textId="77777777" w:rsidR="003C66EB" w:rsidRDefault="00D96C4E">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5EA2100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05" w14:textId="77777777" w:rsidR="003C66EB" w:rsidRDefault="00D96C4E">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A21006" w14:textId="77777777" w:rsidR="003C66EB" w:rsidRDefault="00D96C4E">
            <w:pPr>
              <w:jc w:val="right"/>
              <w:textAlignment w:val="bottom"/>
            </w:pPr>
            <w:r>
              <w:rPr>
                <w:rFonts w:ascii="Arial" w:eastAsia="宋体" w:hAnsi="Arial" w:cs="Arial"/>
                <w:color w:val="000000"/>
                <w:sz w:val="12"/>
                <w:szCs w:val="12"/>
              </w:rPr>
              <w:t>%</w:t>
            </w:r>
          </w:p>
        </w:tc>
      </w:tr>
      <w:tr w:rsidR="00D96C4E" w14:paraId="5EA21024" w14:textId="77777777">
        <w:tc>
          <w:tcPr>
            <w:tcW w:w="0" w:type="auto"/>
            <w:gridSpan w:val="3"/>
            <w:shd w:val="clear" w:color="auto" w:fill="FFFFFF"/>
            <w:tcMar>
              <w:top w:w="40" w:type="dxa"/>
              <w:left w:w="20" w:type="dxa"/>
              <w:bottom w:w="40" w:type="dxa"/>
              <w:right w:w="20" w:type="dxa"/>
            </w:tcMar>
            <w:vAlign w:val="bottom"/>
          </w:tcPr>
          <w:p w14:paraId="5EA21008" w14:textId="77777777" w:rsidR="003C66EB" w:rsidRDefault="00D96C4E">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5EA21009" w14:textId="77777777" w:rsidR="003C66EB" w:rsidRDefault="00D96C4E">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100A" w14:textId="77777777" w:rsidR="003C66EB" w:rsidRDefault="003C66E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A2100B" w14:textId="77777777" w:rsidR="003C66EB" w:rsidRDefault="00D96C4E">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5EA2100C" w14:textId="77777777" w:rsidR="003C66EB" w:rsidRDefault="003C66E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A2100D" w14:textId="77777777" w:rsidR="003C66EB" w:rsidRDefault="00D96C4E">
            <w:pPr>
              <w:jc w:val="right"/>
              <w:textAlignment w:val="bottom"/>
            </w:pPr>
            <w:r>
              <w:rPr>
                <w:rFonts w:ascii="Arial" w:eastAsia="宋体" w:hAnsi="Arial" w:cs="Arial"/>
                <w:b/>
                <w:bCs/>
                <w:color w:val="000000"/>
                <w:sz w:val="12"/>
                <w:szCs w:val="12"/>
              </w:rPr>
              <w:t>13.6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100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0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10" w14:textId="77777777" w:rsidR="003C66EB" w:rsidRDefault="00D96C4E">
            <w:pPr>
              <w:jc w:val="right"/>
              <w:textAlignment w:val="bottom"/>
            </w:pPr>
            <w:r>
              <w:rPr>
                <w:rFonts w:ascii="Arial" w:eastAsia="宋体" w:hAnsi="Arial" w:cs="Arial"/>
                <w:b/>
                <w:bCs/>
                <w:color w:val="000000"/>
                <w:sz w:val="12"/>
                <w:szCs w:val="12"/>
              </w:rPr>
              <w:t>12.4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101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1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13" w14:textId="77777777" w:rsidR="003C66EB" w:rsidRDefault="00D96C4E">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5EA210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1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16" w14:textId="77777777" w:rsidR="003C66EB" w:rsidRDefault="00D96C4E">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5EA2101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1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19" w14:textId="77777777" w:rsidR="003C66EB" w:rsidRDefault="00D96C4E">
            <w:pPr>
              <w:jc w:val="right"/>
              <w:textAlignment w:val="bottom"/>
            </w:pPr>
            <w:r>
              <w:rPr>
                <w:rFonts w:ascii="Arial" w:eastAsia="宋体" w:hAnsi="Arial" w:cs="Arial"/>
                <w:b/>
                <w:bCs/>
                <w:color w:val="000000"/>
                <w:sz w:val="12"/>
                <w:szCs w:val="12"/>
              </w:rPr>
              <w:t>15.8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101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1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1C" w14:textId="77777777" w:rsidR="003C66EB" w:rsidRDefault="00D96C4E">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101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1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1F" w14:textId="77777777" w:rsidR="003C66EB" w:rsidRDefault="00D96C4E">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5EA2102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2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22" w14:textId="77777777" w:rsidR="003C66EB" w:rsidRDefault="00D96C4E">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5EA21023" w14:textId="77777777" w:rsidR="003C66EB" w:rsidRDefault="003C66EB">
            <w:pPr>
              <w:jc w:val="right"/>
              <w:rPr>
                <w:rFonts w:ascii="宋体"/>
              </w:rPr>
            </w:pPr>
          </w:p>
        </w:tc>
      </w:tr>
      <w:tr w:rsidR="00D96C4E" w14:paraId="5EA21041" w14:textId="77777777">
        <w:tc>
          <w:tcPr>
            <w:tcW w:w="0" w:type="auto"/>
            <w:gridSpan w:val="3"/>
            <w:shd w:val="clear" w:color="auto" w:fill="CCEEFF"/>
            <w:tcMar>
              <w:top w:w="40" w:type="dxa"/>
              <w:left w:w="20" w:type="dxa"/>
              <w:bottom w:w="40" w:type="dxa"/>
              <w:right w:w="20" w:type="dxa"/>
            </w:tcMar>
            <w:vAlign w:val="bottom"/>
          </w:tcPr>
          <w:p w14:paraId="5EA21025" w14:textId="77777777" w:rsidR="003C66EB" w:rsidRDefault="00D96C4E">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5EA21026" w14:textId="77777777" w:rsidR="003C66EB" w:rsidRDefault="00D96C4E">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1027" w14:textId="77777777" w:rsidR="003C66EB" w:rsidRDefault="003C66E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A21028" w14:textId="77777777" w:rsidR="003C66EB" w:rsidRDefault="00D96C4E">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5EA21029" w14:textId="77777777" w:rsidR="003C66EB" w:rsidRDefault="003C66E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A2102A" w14:textId="77777777" w:rsidR="003C66EB" w:rsidRDefault="00D96C4E">
            <w:pPr>
              <w:jc w:val="right"/>
              <w:textAlignment w:val="bottom"/>
            </w:pPr>
            <w:r>
              <w:rPr>
                <w:rFonts w:ascii="Arial" w:eastAsia="宋体" w:hAnsi="Arial" w:cs="Arial"/>
                <w:b/>
                <w:bCs/>
                <w:color w:val="000000"/>
                <w:sz w:val="12"/>
                <w:szCs w:val="12"/>
              </w:rPr>
              <w:t>15.2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102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2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2D" w14:textId="77777777" w:rsidR="003C66EB" w:rsidRDefault="00D96C4E">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102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2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30" w14:textId="77777777" w:rsidR="003C66EB" w:rsidRDefault="00D96C4E">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5EA210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3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33" w14:textId="77777777" w:rsidR="003C66EB" w:rsidRDefault="00D96C4E">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A210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3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36" w14:textId="77777777" w:rsidR="003C66EB" w:rsidRDefault="00D96C4E">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10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3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39" w14:textId="77777777" w:rsidR="003C66EB" w:rsidRDefault="00D96C4E">
            <w:pPr>
              <w:jc w:val="right"/>
              <w:textAlignment w:val="bottom"/>
            </w:pPr>
            <w:r>
              <w:rPr>
                <w:rFonts w:ascii="Arial" w:eastAsia="宋体" w:hAnsi="Arial" w:cs="Arial"/>
                <w:b/>
                <w:bCs/>
                <w:color w:val="000000"/>
                <w:sz w:val="12"/>
                <w:szCs w:val="12"/>
              </w:rPr>
              <w:t>14.9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10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3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3C" w14:textId="77777777" w:rsidR="003C66EB" w:rsidRDefault="00D96C4E">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5EA210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3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3F" w14:textId="77777777" w:rsidR="003C66EB" w:rsidRDefault="00D96C4E">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5EA21040" w14:textId="77777777" w:rsidR="003C66EB" w:rsidRDefault="003C66EB">
            <w:pPr>
              <w:jc w:val="right"/>
              <w:rPr>
                <w:rFonts w:ascii="宋体"/>
              </w:rPr>
            </w:pPr>
          </w:p>
        </w:tc>
      </w:tr>
      <w:tr w:rsidR="003C66EB" w14:paraId="5EA21054" w14:textId="77777777">
        <w:trPr>
          <w:hidden/>
        </w:trPr>
        <w:tc>
          <w:tcPr>
            <w:tcW w:w="0" w:type="auto"/>
            <w:gridSpan w:val="3"/>
            <w:shd w:val="clear" w:color="auto" w:fill="auto"/>
          </w:tcPr>
          <w:p w14:paraId="5EA21042" w14:textId="77777777" w:rsidR="003C66EB" w:rsidRDefault="003C66EB">
            <w:pPr>
              <w:rPr>
                <w:rFonts w:ascii="宋体"/>
                <w:vanish/>
              </w:rPr>
            </w:pPr>
          </w:p>
        </w:tc>
        <w:tc>
          <w:tcPr>
            <w:tcW w:w="0" w:type="auto"/>
            <w:gridSpan w:val="3"/>
            <w:shd w:val="clear" w:color="auto" w:fill="auto"/>
          </w:tcPr>
          <w:p w14:paraId="5EA21043" w14:textId="77777777" w:rsidR="003C66EB" w:rsidRDefault="003C66EB">
            <w:pPr>
              <w:rPr>
                <w:rFonts w:ascii="宋体"/>
                <w:vanish/>
              </w:rPr>
            </w:pPr>
          </w:p>
        </w:tc>
        <w:tc>
          <w:tcPr>
            <w:tcW w:w="0" w:type="auto"/>
            <w:gridSpan w:val="3"/>
            <w:shd w:val="clear" w:color="auto" w:fill="auto"/>
          </w:tcPr>
          <w:p w14:paraId="5EA21044" w14:textId="77777777" w:rsidR="003C66EB" w:rsidRDefault="003C66EB">
            <w:pPr>
              <w:rPr>
                <w:rFonts w:ascii="宋体"/>
                <w:vanish/>
              </w:rPr>
            </w:pPr>
          </w:p>
        </w:tc>
        <w:tc>
          <w:tcPr>
            <w:tcW w:w="0" w:type="auto"/>
            <w:gridSpan w:val="3"/>
            <w:shd w:val="clear" w:color="auto" w:fill="auto"/>
          </w:tcPr>
          <w:p w14:paraId="5EA21045" w14:textId="77777777" w:rsidR="003C66EB" w:rsidRDefault="003C66EB">
            <w:pPr>
              <w:rPr>
                <w:rFonts w:ascii="宋体"/>
                <w:vanish/>
              </w:rPr>
            </w:pPr>
          </w:p>
        </w:tc>
        <w:tc>
          <w:tcPr>
            <w:tcW w:w="0" w:type="auto"/>
            <w:gridSpan w:val="3"/>
            <w:shd w:val="clear" w:color="auto" w:fill="auto"/>
          </w:tcPr>
          <w:p w14:paraId="5EA21046" w14:textId="77777777" w:rsidR="003C66EB" w:rsidRDefault="003C66EB">
            <w:pPr>
              <w:rPr>
                <w:rFonts w:ascii="宋体"/>
                <w:vanish/>
              </w:rPr>
            </w:pPr>
          </w:p>
        </w:tc>
        <w:tc>
          <w:tcPr>
            <w:tcW w:w="0" w:type="auto"/>
            <w:gridSpan w:val="3"/>
            <w:shd w:val="clear" w:color="auto" w:fill="auto"/>
          </w:tcPr>
          <w:p w14:paraId="5EA21047" w14:textId="77777777" w:rsidR="003C66EB" w:rsidRDefault="003C66EB">
            <w:pPr>
              <w:rPr>
                <w:rFonts w:ascii="宋体"/>
                <w:vanish/>
              </w:rPr>
            </w:pPr>
          </w:p>
        </w:tc>
        <w:tc>
          <w:tcPr>
            <w:tcW w:w="0" w:type="auto"/>
            <w:gridSpan w:val="3"/>
            <w:shd w:val="clear" w:color="auto" w:fill="auto"/>
          </w:tcPr>
          <w:p w14:paraId="5EA21048" w14:textId="77777777" w:rsidR="003C66EB" w:rsidRDefault="003C66EB">
            <w:pPr>
              <w:rPr>
                <w:rFonts w:ascii="宋体"/>
                <w:vanish/>
              </w:rPr>
            </w:pPr>
          </w:p>
        </w:tc>
        <w:tc>
          <w:tcPr>
            <w:tcW w:w="0" w:type="auto"/>
            <w:gridSpan w:val="3"/>
            <w:shd w:val="clear" w:color="auto" w:fill="auto"/>
          </w:tcPr>
          <w:p w14:paraId="5EA21049" w14:textId="77777777" w:rsidR="003C66EB" w:rsidRDefault="003C66EB">
            <w:pPr>
              <w:rPr>
                <w:rFonts w:ascii="宋体"/>
                <w:vanish/>
              </w:rPr>
            </w:pPr>
          </w:p>
        </w:tc>
        <w:tc>
          <w:tcPr>
            <w:tcW w:w="0" w:type="auto"/>
            <w:gridSpan w:val="3"/>
            <w:shd w:val="clear" w:color="auto" w:fill="auto"/>
          </w:tcPr>
          <w:p w14:paraId="5EA2104A" w14:textId="77777777" w:rsidR="003C66EB" w:rsidRDefault="003C66EB">
            <w:pPr>
              <w:rPr>
                <w:rFonts w:ascii="宋体"/>
                <w:vanish/>
              </w:rPr>
            </w:pPr>
          </w:p>
        </w:tc>
        <w:tc>
          <w:tcPr>
            <w:tcW w:w="0" w:type="auto"/>
            <w:gridSpan w:val="3"/>
            <w:shd w:val="clear" w:color="auto" w:fill="auto"/>
          </w:tcPr>
          <w:p w14:paraId="5EA2104B" w14:textId="77777777" w:rsidR="003C66EB" w:rsidRDefault="003C66EB">
            <w:pPr>
              <w:rPr>
                <w:rFonts w:ascii="宋体"/>
                <w:vanish/>
              </w:rPr>
            </w:pPr>
          </w:p>
        </w:tc>
        <w:tc>
          <w:tcPr>
            <w:tcW w:w="0" w:type="auto"/>
            <w:gridSpan w:val="3"/>
            <w:shd w:val="clear" w:color="auto" w:fill="auto"/>
          </w:tcPr>
          <w:p w14:paraId="5EA2104C" w14:textId="77777777" w:rsidR="003C66EB" w:rsidRDefault="003C66EB">
            <w:pPr>
              <w:rPr>
                <w:rFonts w:ascii="宋体"/>
                <w:vanish/>
              </w:rPr>
            </w:pPr>
          </w:p>
        </w:tc>
        <w:tc>
          <w:tcPr>
            <w:tcW w:w="0" w:type="auto"/>
            <w:gridSpan w:val="3"/>
            <w:shd w:val="clear" w:color="auto" w:fill="auto"/>
          </w:tcPr>
          <w:p w14:paraId="5EA2104D" w14:textId="77777777" w:rsidR="003C66EB" w:rsidRDefault="003C66EB">
            <w:pPr>
              <w:rPr>
                <w:rFonts w:ascii="宋体"/>
                <w:vanish/>
              </w:rPr>
            </w:pPr>
          </w:p>
        </w:tc>
        <w:tc>
          <w:tcPr>
            <w:tcW w:w="0" w:type="auto"/>
            <w:gridSpan w:val="3"/>
            <w:shd w:val="clear" w:color="auto" w:fill="auto"/>
          </w:tcPr>
          <w:p w14:paraId="5EA2104E" w14:textId="77777777" w:rsidR="003C66EB" w:rsidRDefault="003C66EB">
            <w:pPr>
              <w:rPr>
                <w:rFonts w:ascii="宋体"/>
                <w:vanish/>
              </w:rPr>
            </w:pPr>
          </w:p>
        </w:tc>
        <w:tc>
          <w:tcPr>
            <w:tcW w:w="0" w:type="auto"/>
            <w:gridSpan w:val="3"/>
            <w:shd w:val="clear" w:color="auto" w:fill="auto"/>
          </w:tcPr>
          <w:p w14:paraId="5EA2104F" w14:textId="77777777" w:rsidR="003C66EB" w:rsidRDefault="003C66EB">
            <w:pPr>
              <w:rPr>
                <w:rFonts w:ascii="宋体"/>
                <w:vanish/>
              </w:rPr>
            </w:pPr>
          </w:p>
        </w:tc>
        <w:tc>
          <w:tcPr>
            <w:tcW w:w="0" w:type="auto"/>
            <w:gridSpan w:val="3"/>
            <w:shd w:val="clear" w:color="auto" w:fill="auto"/>
          </w:tcPr>
          <w:p w14:paraId="5EA21050" w14:textId="77777777" w:rsidR="003C66EB" w:rsidRDefault="003C66EB">
            <w:pPr>
              <w:rPr>
                <w:rFonts w:ascii="宋体"/>
                <w:vanish/>
              </w:rPr>
            </w:pPr>
          </w:p>
        </w:tc>
        <w:tc>
          <w:tcPr>
            <w:tcW w:w="0" w:type="auto"/>
            <w:gridSpan w:val="3"/>
            <w:shd w:val="clear" w:color="auto" w:fill="auto"/>
          </w:tcPr>
          <w:p w14:paraId="5EA21051" w14:textId="77777777" w:rsidR="003C66EB" w:rsidRDefault="003C66EB">
            <w:pPr>
              <w:rPr>
                <w:rFonts w:ascii="宋体"/>
                <w:vanish/>
              </w:rPr>
            </w:pPr>
          </w:p>
        </w:tc>
        <w:tc>
          <w:tcPr>
            <w:tcW w:w="0" w:type="auto"/>
            <w:gridSpan w:val="3"/>
            <w:shd w:val="clear" w:color="auto" w:fill="auto"/>
          </w:tcPr>
          <w:p w14:paraId="5EA21052" w14:textId="77777777" w:rsidR="003C66EB" w:rsidRDefault="003C66EB">
            <w:pPr>
              <w:rPr>
                <w:rFonts w:ascii="宋体"/>
                <w:vanish/>
              </w:rPr>
            </w:pPr>
          </w:p>
        </w:tc>
        <w:tc>
          <w:tcPr>
            <w:tcW w:w="0" w:type="auto"/>
            <w:gridSpan w:val="3"/>
            <w:shd w:val="clear" w:color="auto" w:fill="auto"/>
          </w:tcPr>
          <w:p w14:paraId="5EA21053" w14:textId="77777777" w:rsidR="003C66EB" w:rsidRDefault="003C66EB">
            <w:pPr>
              <w:rPr>
                <w:rFonts w:ascii="宋体"/>
                <w:vanish/>
              </w:rPr>
            </w:pPr>
          </w:p>
        </w:tc>
      </w:tr>
    </w:tbl>
    <w:p w14:paraId="5EA21055" w14:textId="77777777" w:rsidR="003C66EB" w:rsidRDefault="003C66E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3C66EB" w14:paraId="5EA21062" w14:textId="77777777">
        <w:tc>
          <w:tcPr>
            <w:tcW w:w="50" w:type="pct"/>
            <w:shd w:val="clear" w:color="auto" w:fill="auto"/>
          </w:tcPr>
          <w:p w14:paraId="5EA21056" w14:textId="77777777" w:rsidR="003C66EB" w:rsidRDefault="003C66EB">
            <w:pPr>
              <w:rPr>
                <w:rFonts w:ascii="宋体"/>
              </w:rPr>
            </w:pPr>
          </w:p>
        </w:tc>
        <w:tc>
          <w:tcPr>
            <w:tcW w:w="1350" w:type="pct"/>
            <w:shd w:val="clear" w:color="auto" w:fill="auto"/>
          </w:tcPr>
          <w:p w14:paraId="5EA21057" w14:textId="77777777" w:rsidR="003C66EB" w:rsidRDefault="003C66EB">
            <w:pPr>
              <w:rPr>
                <w:rFonts w:ascii="宋体"/>
              </w:rPr>
            </w:pPr>
          </w:p>
        </w:tc>
        <w:tc>
          <w:tcPr>
            <w:tcW w:w="5" w:type="pct"/>
            <w:shd w:val="clear" w:color="auto" w:fill="auto"/>
          </w:tcPr>
          <w:p w14:paraId="5EA21058" w14:textId="77777777" w:rsidR="003C66EB" w:rsidRDefault="003C66EB">
            <w:pPr>
              <w:rPr>
                <w:rFonts w:ascii="宋体"/>
              </w:rPr>
            </w:pPr>
          </w:p>
        </w:tc>
        <w:tc>
          <w:tcPr>
            <w:tcW w:w="50" w:type="pct"/>
            <w:shd w:val="clear" w:color="auto" w:fill="auto"/>
          </w:tcPr>
          <w:p w14:paraId="5EA21059" w14:textId="77777777" w:rsidR="003C66EB" w:rsidRDefault="003C66EB">
            <w:pPr>
              <w:rPr>
                <w:rFonts w:ascii="宋体"/>
              </w:rPr>
            </w:pPr>
          </w:p>
        </w:tc>
        <w:tc>
          <w:tcPr>
            <w:tcW w:w="918" w:type="pct"/>
            <w:shd w:val="clear" w:color="auto" w:fill="auto"/>
          </w:tcPr>
          <w:p w14:paraId="5EA2105A" w14:textId="77777777" w:rsidR="003C66EB" w:rsidRDefault="003C66EB">
            <w:pPr>
              <w:rPr>
                <w:rFonts w:ascii="宋体"/>
              </w:rPr>
            </w:pPr>
          </w:p>
        </w:tc>
        <w:tc>
          <w:tcPr>
            <w:tcW w:w="5" w:type="pct"/>
            <w:shd w:val="clear" w:color="auto" w:fill="auto"/>
          </w:tcPr>
          <w:p w14:paraId="5EA2105B" w14:textId="77777777" w:rsidR="003C66EB" w:rsidRDefault="003C66EB">
            <w:pPr>
              <w:rPr>
                <w:rFonts w:ascii="宋体"/>
              </w:rPr>
            </w:pPr>
          </w:p>
        </w:tc>
        <w:tc>
          <w:tcPr>
            <w:tcW w:w="50" w:type="pct"/>
            <w:shd w:val="clear" w:color="auto" w:fill="auto"/>
          </w:tcPr>
          <w:p w14:paraId="5EA2105C" w14:textId="77777777" w:rsidR="003C66EB" w:rsidRDefault="003C66EB">
            <w:pPr>
              <w:rPr>
                <w:rFonts w:ascii="宋体"/>
              </w:rPr>
            </w:pPr>
          </w:p>
        </w:tc>
        <w:tc>
          <w:tcPr>
            <w:tcW w:w="918" w:type="pct"/>
            <w:shd w:val="clear" w:color="auto" w:fill="auto"/>
          </w:tcPr>
          <w:p w14:paraId="5EA2105D" w14:textId="77777777" w:rsidR="003C66EB" w:rsidRDefault="003C66EB">
            <w:pPr>
              <w:rPr>
                <w:rFonts w:ascii="宋体"/>
              </w:rPr>
            </w:pPr>
          </w:p>
        </w:tc>
        <w:tc>
          <w:tcPr>
            <w:tcW w:w="5" w:type="pct"/>
            <w:shd w:val="clear" w:color="auto" w:fill="auto"/>
          </w:tcPr>
          <w:p w14:paraId="5EA2105E" w14:textId="77777777" w:rsidR="003C66EB" w:rsidRDefault="003C66EB">
            <w:pPr>
              <w:rPr>
                <w:rFonts w:ascii="宋体"/>
              </w:rPr>
            </w:pPr>
          </w:p>
        </w:tc>
        <w:tc>
          <w:tcPr>
            <w:tcW w:w="50" w:type="pct"/>
            <w:shd w:val="clear" w:color="auto" w:fill="auto"/>
          </w:tcPr>
          <w:p w14:paraId="5EA2105F" w14:textId="77777777" w:rsidR="003C66EB" w:rsidRDefault="003C66EB">
            <w:pPr>
              <w:rPr>
                <w:rFonts w:ascii="宋体"/>
              </w:rPr>
            </w:pPr>
          </w:p>
        </w:tc>
        <w:tc>
          <w:tcPr>
            <w:tcW w:w="1592" w:type="pct"/>
            <w:shd w:val="clear" w:color="auto" w:fill="auto"/>
          </w:tcPr>
          <w:p w14:paraId="5EA21060" w14:textId="77777777" w:rsidR="003C66EB" w:rsidRDefault="003C66EB">
            <w:pPr>
              <w:rPr>
                <w:rFonts w:ascii="宋体"/>
              </w:rPr>
            </w:pPr>
          </w:p>
        </w:tc>
        <w:tc>
          <w:tcPr>
            <w:tcW w:w="5" w:type="pct"/>
            <w:shd w:val="clear" w:color="auto" w:fill="auto"/>
          </w:tcPr>
          <w:p w14:paraId="5EA21061" w14:textId="77777777" w:rsidR="003C66EB" w:rsidRDefault="003C66EB">
            <w:pPr>
              <w:rPr>
                <w:rFonts w:ascii="宋体"/>
              </w:rPr>
            </w:pPr>
          </w:p>
        </w:tc>
      </w:tr>
      <w:tr w:rsidR="003C66EB" w14:paraId="5EA2106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106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0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06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066" w14:textId="77777777" w:rsidR="003C66EB" w:rsidRDefault="003C66EB">
            <w:pPr>
              <w:rPr>
                <w:rFonts w:ascii="宋体"/>
              </w:rPr>
            </w:pPr>
          </w:p>
        </w:tc>
      </w:tr>
    </w:tbl>
    <w:p w14:paraId="5EA21068" w14:textId="77777777" w:rsidR="003C66EB" w:rsidRDefault="00D96C4E">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5EA21069" w14:textId="77777777" w:rsidR="003C66EB" w:rsidRDefault="00D96C4E">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5EA2106A" w14:textId="77777777" w:rsidR="003C66EB" w:rsidRDefault="00D96C4E">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w:t>
      </w:r>
      <w:r>
        <w:rPr>
          <w:rFonts w:ascii="Arial" w:eastAsia="宋体" w:hAnsi="Arial" w:cs="Arial"/>
          <w:color w:val="000000"/>
          <w:sz w:val="12"/>
          <w:szCs w:val="12"/>
        </w:rPr>
        <w:t>anced approaches rules and regulatory guidance concerning operational risk models, RWA attributable to operational risk can vary substantially from period-to-period, without direct correlation to the effects of a particular loss event on our results of ope</w:t>
      </w:r>
      <w:r>
        <w:rPr>
          <w:rFonts w:ascii="Arial" w:eastAsia="宋体" w:hAnsi="Arial" w:cs="Arial"/>
          <w:color w:val="000000"/>
          <w:sz w:val="12"/>
          <w:szCs w:val="12"/>
        </w:rPr>
        <w:t>rations and financial condition and impacting dates and periods that may differ from the dates and periods as of and during which the loss event is reflected in our financial statements, with the timing and categorization dependent on the processes for mod</w:t>
      </w:r>
      <w:r>
        <w:rPr>
          <w:rFonts w:ascii="Arial" w:eastAsia="宋体" w:hAnsi="Arial" w:cs="Arial"/>
          <w:color w:val="000000"/>
          <w:sz w:val="12"/>
          <w:szCs w:val="12"/>
        </w:rPr>
        <w:t>el updates and, if applicable, model revalidation and regulatory review and related supervisory processes. An individual loss event can have a significant effect on the output of our operational RWA under the advanced approaches depending on the severity o</w:t>
      </w:r>
      <w:r>
        <w:rPr>
          <w:rFonts w:ascii="Arial" w:eastAsia="宋体" w:hAnsi="Arial" w:cs="Arial"/>
          <w:color w:val="000000"/>
          <w:sz w:val="12"/>
          <w:szCs w:val="12"/>
        </w:rPr>
        <w:t>f the loss event and its categorization among the seven Basel-defined UOMs.</w:t>
      </w:r>
    </w:p>
    <w:p w14:paraId="5EA2106B" w14:textId="77777777" w:rsidR="003C66EB" w:rsidRDefault="00D96C4E">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 1.0% and a countercyc</w:t>
      </w:r>
      <w:r>
        <w:rPr>
          <w:rFonts w:ascii="Arial" w:eastAsia="宋体" w:hAnsi="Arial" w:cs="Arial"/>
          <w:color w:val="000000"/>
          <w:sz w:val="12"/>
          <w:szCs w:val="12"/>
        </w:rPr>
        <w:t>lical buffer of 0%.</w:t>
      </w:r>
    </w:p>
    <w:p w14:paraId="5EA2106C" w14:textId="77777777" w:rsidR="003C66EB" w:rsidRDefault="00D96C4E">
      <w:pPr>
        <w:spacing w:before="6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5EA2106D" w14:textId="77777777" w:rsidR="003C66EB" w:rsidRDefault="00D96C4E">
      <w:pPr>
        <w:ind w:firstLine="450"/>
        <w:jc w:val="right"/>
      </w:pPr>
      <w:r>
        <w:rPr>
          <w:rFonts w:ascii="Arial" w:eastAsia="宋体" w:hAnsi="Arial" w:cs="Arial"/>
          <w:color w:val="000000"/>
          <w:sz w:val="18"/>
          <w:szCs w:val="18"/>
        </w:rPr>
        <w:t>State Street Corporation | 39</w:t>
      </w:r>
    </w:p>
    <w:p w14:paraId="5EA2106E" w14:textId="77777777" w:rsidR="003C66EB" w:rsidRDefault="003C66EB">
      <w:pPr>
        <w:ind w:firstLine="450"/>
        <w:jc w:val="center"/>
      </w:pPr>
    </w:p>
    <w:p w14:paraId="5EA2106F" w14:textId="77777777" w:rsidR="003C66EB" w:rsidRDefault="00D96C4E">
      <w:r>
        <w:pict w14:anchorId="5EA287D7">
          <v:rect id="_x0000_i1063" style="width:415.3pt;height:1.5pt" o:hralign="center" o:hrstd="t" o:hr="t" fillcolor="#a0a0a0" stroked="f"/>
        </w:pict>
      </w:r>
    </w:p>
    <w:p w14:paraId="5EA21070"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1071" w14:textId="77777777" w:rsidR="003C66EB" w:rsidRDefault="00D96C4E">
      <w:pPr>
        <w:ind w:firstLine="450"/>
        <w:jc w:val="center"/>
      </w:pPr>
      <w:r>
        <w:rPr>
          <w:rFonts w:ascii="Arial" w:eastAsia="宋体" w:hAnsi="Arial" w:cs="Arial"/>
          <w:b/>
          <w:bCs/>
          <w:color w:val="000000"/>
          <w:sz w:val="20"/>
          <w:szCs w:val="20"/>
        </w:rPr>
        <w:t>AND RESULTS OF OPERATIONS</w:t>
      </w:r>
    </w:p>
    <w:p w14:paraId="5EA21072" w14:textId="77777777" w:rsidR="003C66EB" w:rsidRDefault="00D96C4E">
      <w:pPr>
        <w:spacing w:before="60"/>
        <w:ind w:firstLine="450"/>
        <w:jc w:val="both"/>
      </w:pPr>
      <w:r>
        <w:rPr>
          <w:rFonts w:ascii="Arial" w:eastAsia="宋体" w:hAnsi="Arial" w:cs="Arial"/>
          <w:color w:val="000000"/>
          <w:sz w:val="20"/>
          <w:szCs w:val="20"/>
        </w:rPr>
        <w:t xml:space="preserve">Our CET1 capital decreased $0.93 billion as of March 31, 2021 compared to December 31, 2020, </w:t>
      </w:r>
      <w:r>
        <w:rPr>
          <w:rFonts w:ascii="Arial" w:eastAsia="宋体" w:hAnsi="Arial" w:cs="Arial"/>
          <w:color w:val="000000"/>
          <w:sz w:val="20"/>
          <w:szCs w:val="20"/>
        </w:rPr>
        <w:t>primarily driven by common stock repurchases, capital distributions from common and preferred dividends and lower capital related to AOCI and intangible assets, partially offset by net income.</w:t>
      </w:r>
    </w:p>
    <w:p w14:paraId="5EA21073" w14:textId="77777777" w:rsidR="003C66EB" w:rsidRDefault="00D96C4E">
      <w:pPr>
        <w:spacing w:before="60"/>
        <w:ind w:firstLine="450"/>
        <w:jc w:val="both"/>
      </w:pPr>
      <w:r>
        <w:rPr>
          <w:rFonts w:ascii="Arial" w:eastAsia="宋体" w:hAnsi="Arial" w:cs="Arial"/>
          <w:color w:val="000000"/>
          <w:sz w:val="20"/>
          <w:szCs w:val="20"/>
        </w:rPr>
        <w:t>Our Tier 1 capital decreased $1.43 billion as of March 31, 2021</w:t>
      </w:r>
      <w:r>
        <w:rPr>
          <w:rFonts w:ascii="Arial" w:eastAsia="宋体" w:hAnsi="Arial" w:cs="Arial"/>
          <w:color w:val="000000"/>
          <w:sz w:val="20"/>
          <w:szCs w:val="20"/>
        </w:rPr>
        <w:t xml:space="preserve"> compared to December 31, 2020, due to lower CET1 capital, primarily due to lower AOCI and the partial redemption of the Series F preferred stock. Total capital decreased under both the advanced approaches and standardized approach by $0.59 billion and $0.</w:t>
      </w:r>
      <w:r>
        <w:rPr>
          <w:rFonts w:ascii="Arial" w:eastAsia="宋体" w:hAnsi="Arial" w:cs="Arial"/>
          <w:color w:val="000000"/>
          <w:sz w:val="20"/>
          <w:szCs w:val="20"/>
        </w:rPr>
        <w:t>60 billion, respectively, due to the changes in our CET1 capital and Tier 1 capital, partially offset by the issuance of Tier 2 qualifying debt.</w:t>
      </w:r>
    </w:p>
    <w:p w14:paraId="5EA21074" w14:textId="77777777" w:rsidR="003C66EB" w:rsidRDefault="00D96C4E">
      <w:pPr>
        <w:spacing w:before="60"/>
        <w:ind w:firstLine="450"/>
        <w:jc w:val="both"/>
      </w:pPr>
      <w:r>
        <w:rPr>
          <w:rFonts w:ascii="Arial" w:eastAsia="宋体" w:hAnsi="Arial" w:cs="Arial"/>
          <w:color w:val="000000"/>
          <w:sz w:val="20"/>
          <w:szCs w:val="20"/>
        </w:rPr>
        <w:t xml:space="preserve">The table below presents a roll-forward of CET1 capital, Tier 1 capital and total capital for the three months </w:t>
      </w:r>
      <w:r>
        <w:rPr>
          <w:rFonts w:ascii="Arial" w:eastAsia="宋体" w:hAnsi="Arial" w:cs="Arial"/>
          <w:color w:val="000000"/>
          <w:sz w:val="20"/>
          <w:szCs w:val="20"/>
        </w:rPr>
        <w:t>ended March 31, 2021 and for the year ended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2"/>
        <w:gridCol w:w="3830"/>
        <w:gridCol w:w="38"/>
        <w:gridCol w:w="99"/>
        <w:gridCol w:w="841"/>
        <w:gridCol w:w="36"/>
        <w:gridCol w:w="36"/>
        <w:gridCol w:w="36"/>
        <w:gridCol w:w="36"/>
        <w:gridCol w:w="99"/>
        <w:gridCol w:w="834"/>
        <w:gridCol w:w="36"/>
        <w:gridCol w:w="36"/>
        <w:gridCol w:w="36"/>
        <w:gridCol w:w="36"/>
        <w:gridCol w:w="99"/>
        <w:gridCol w:w="918"/>
        <w:gridCol w:w="36"/>
        <w:gridCol w:w="36"/>
        <w:gridCol w:w="36"/>
        <w:gridCol w:w="36"/>
        <w:gridCol w:w="99"/>
        <w:gridCol w:w="969"/>
        <w:gridCol w:w="36"/>
      </w:tblGrid>
      <w:tr w:rsidR="003C66EB" w14:paraId="5EA2108D" w14:textId="77777777">
        <w:tc>
          <w:tcPr>
            <w:tcW w:w="50" w:type="pct"/>
            <w:shd w:val="clear" w:color="auto" w:fill="auto"/>
          </w:tcPr>
          <w:p w14:paraId="5EA21075" w14:textId="77777777" w:rsidR="003C66EB" w:rsidRDefault="003C66EB">
            <w:pPr>
              <w:rPr>
                <w:rFonts w:ascii="宋体"/>
              </w:rPr>
            </w:pPr>
          </w:p>
        </w:tc>
        <w:tc>
          <w:tcPr>
            <w:tcW w:w="2320" w:type="pct"/>
            <w:shd w:val="clear" w:color="auto" w:fill="auto"/>
          </w:tcPr>
          <w:p w14:paraId="5EA21076" w14:textId="77777777" w:rsidR="003C66EB" w:rsidRDefault="003C66EB">
            <w:pPr>
              <w:rPr>
                <w:rFonts w:ascii="宋体"/>
              </w:rPr>
            </w:pPr>
          </w:p>
        </w:tc>
        <w:tc>
          <w:tcPr>
            <w:tcW w:w="5" w:type="pct"/>
            <w:shd w:val="clear" w:color="auto" w:fill="auto"/>
          </w:tcPr>
          <w:p w14:paraId="5EA21077" w14:textId="77777777" w:rsidR="003C66EB" w:rsidRDefault="003C66EB">
            <w:pPr>
              <w:rPr>
                <w:rFonts w:ascii="宋体"/>
              </w:rPr>
            </w:pPr>
          </w:p>
        </w:tc>
        <w:tc>
          <w:tcPr>
            <w:tcW w:w="50" w:type="pct"/>
            <w:shd w:val="clear" w:color="auto" w:fill="auto"/>
          </w:tcPr>
          <w:p w14:paraId="5EA21078" w14:textId="77777777" w:rsidR="003C66EB" w:rsidRDefault="003C66EB">
            <w:pPr>
              <w:rPr>
                <w:rFonts w:ascii="宋体"/>
              </w:rPr>
            </w:pPr>
          </w:p>
        </w:tc>
        <w:tc>
          <w:tcPr>
            <w:tcW w:w="529" w:type="pct"/>
            <w:shd w:val="clear" w:color="auto" w:fill="auto"/>
          </w:tcPr>
          <w:p w14:paraId="5EA21079" w14:textId="77777777" w:rsidR="003C66EB" w:rsidRDefault="003C66EB">
            <w:pPr>
              <w:rPr>
                <w:rFonts w:ascii="宋体"/>
              </w:rPr>
            </w:pPr>
          </w:p>
        </w:tc>
        <w:tc>
          <w:tcPr>
            <w:tcW w:w="5" w:type="pct"/>
            <w:shd w:val="clear" w:color="auto" w:fill="auto"/>
          </w:tcPr>
          <w:p w14:paraId="5EA2107A" w14:textId="77777777" w:rsidR="003C66EB" w:rsidRDefault="003C66EB">
            <w:pPr>
              <w:rPr>
                <w:rFonts w:ascii="宋体"/>
              </w:rPr>
            </w:pPr>
          </w:p>
        </w:tc>
        <w:tc>
          <w:tcPr>
            <w:tcW w:w="5" w:type="pct"/>
            <w:shd w:val="clear" w:color="auto" w:fill="auto"/>
          </w:tcPr>
          <w:p w14:paraId="5EA2107B" w14:textId="77777777" w:rsidR="003C66EB" w:rsidRDefault="003C66EB">
            <w:pPr>
              <w:rPr>
                <w:rFonts w:ascii="宋体"/>
              </w:rPr>
            </w:pPr>
          </w:p>
        </w:tc>
        <w:tc>
          <w:tcPr>
            <w:tcW w:w="26" w:type="pct"/>
            <w:shd w:val="clear" w:color="auto" w:fill="auto"/>
          </w:tcPr>
          <w:p w14:paraId="5EA2107C" w14:textId="77777777" w:rsidR="003C66EB" w:rsidRDefault="003C66EB">
            <w:pPr>
              <w:rPr>
                <w:rFonts w:ascii="宋体"/>
              </w:rPr>
            </w:pPr>
          </w:p>
        </w:tc>
        <w:tc>
          <w:tcPr>
            <w:tcW w:w="5" w:type="pct"/>
            <w:shd w:val="clear" w:color="auto" w:fill="auto"/>
          </w:tcPr>
          <w:p w14:paraId="5EA2107D" w14:textId="77777777" w:rsidR="003C66EB" w:rsidRDefault="003C66EB">
            <w:pPr>
              <w:rPr>
                <w:rFonts w:ascii="宋体"/>
              </w:rPr>
            </w:pPr>
          </w:p>
        </w:tc>
        <w:tc>
          <w:tcPr>
            <w:tcW w:w="50" w:type="pct"/>
            <w:shd w:val="clear" w:color="auto" w:fill="auto"/>
          </w:tcPr>
          <w:p w14:paraId="5EA2107E" w14:textId="77777777" w:rsidR="003C66EB" w:rsidRDefault="003C66EB">
            <w:pPr>
              <w:rPr>
                <w:rFonts w:ascii="宋体"/>
              </w:rPr>
            </w:pPr>
          </w:p>
        </w:tc>
        <w:tc>
          <w:tcPr>
            <w:tcW w:w="529" w:type="pct"/>
            <w:shd w:val="clear" w:color="auto" w:fill="auto"/>
          </w:tcPr>
          <w:p w14:paraId="5EA2107F" w14:textId="77777777" w:rsidR="003C66EB" w:rsidRDefault="003C66EB">
            <w:pPr>
              <w:rPr>
                <w:rFonts w:ascii="宋体"/>
              </w:rPr>
            </w:pPr>
          </w:p>
        </w:tc>
        <w:tc>
          <w:tcPr>
            <w:tcW w:w="5" w:type="pct"/>
            <w:shd w:val="clear" w:color="auto" w:fill="auto"/>
          </w:tcPr>
          <w:p w14:paraId="5EA21080" w14:textId="77777777" w:rsidR="003C66EB" w:rsidRDefault="003C66EB">
            <w:pPr>
              <w:rPr>
                <w:rFonts w:ascii="宋体"/>
              </w:rPr>
            </w:pPr>
          </w:p>
        </w:tc>
        <w:tc>
          <w:tcPr>
            <w:tcW w:w="5" w:type="pct"/>
            <w:shd w:val="clear" w:color="auto" w:fill="auto"/>
          </w:tcPr>
          <w:p w14:paraId="5EA21081" w14:textId="77777777" w:rsidR="003C66EB" w:rsidRDefault="003C66EB">
            <w:pPr>
              <w:rPr>
                <w:rFonts w:ascii="宋体"/>
              </w:rPr>
            </w:pPr>
          </w:p>
        </w:tc>
        <w:tc>
          <w:tcPr>
            <w:tcW w:w="26" w:type="pct"/>
            <w:shd w:val="clear" w:color="auto" w:fill="auto"/>
          </w:tcPr>
          <w:p w14:paraId="5EA21082" w14:textId="77777777" w:rsidR="003C66EB" w:rsidRDefault="003C66EB">
            <w:pPr>
              <w:rPr>
                <w:rFonts w:ascii="宋体"/>
              </w:rPr>
            </w:pPr>
          </w:p>
        </w:tc>
        <w:tc>
          <w:tcPr>
            <w:tcW w:w="5" w:type="pct"/>
            <w:shd w:val="clear" w:color="auto" w:fill="auto"/>
          </w:tcPr>
          <w:p w14:paraId="5EA21083" w14:textId="77777777" w:rsidR="003C66EB" w:rsidRDefault="003C66EB">
            <w:pPr>
              <w:rPr>
                <w:rFonts w:ascii="宋体"/>
              </w:rPr>
            </w:pPr>
          </w:p>
        </w:tc>
        <w:tc>
          <w:tcPr>
            <w:tcW w:w="50" w:type="pct"/>
            <w:shd w:val="clear" w:color="auto" w:fill="auto"/>
          </w:tcPr>
          <w:p w14:paraId="5EA21084" w14:textId="77777777" w:rsidR="003C66EB" w:rsidRDefault="003C66EB">
            <w:pPr>
              <w:rPr>
                <w:rFonts w:ascii="宋体"/>
              </w:rPr>
            </w:pPr>
          </w:p>
        </w:tc>
        <w:tc>
          <w:tcPr>
            <w:tcW w:w="610" w:type="pct"/>
            <w:shd w:val="clear" w:color="auto" w:fill="auto"/>
          </w:tcPr>
          <w:p w14:paraId="5EA21085" w14:textId="77777777" w:rsidR="003C66EB" w:rsidRDefault="003C66EB">
            <w:pPr>
              <w:rPr>
                <w:rFonts w:ascii="宋体"/>
              </w:rPr>
            </w:pPr>
          </w:p>
        </w:tc>
        <w:tc>
          <w:tcPr>
            <w:tcW w:w="5" w:type="pct"/>
            <w:shd w:val="clear" w:color="auto" w:fill="auto"/>
          </w:tcPr>
          <w:p w14:paraId="5EA21086" w14:textId="77777777" w:rsidR="003C66EB" w:rsidRDefault="003C66EB">
            <w:pPr>
              <w:rPr>
                <w:rFonts w:ascii="宋体"/>
              </w:rPr>
            </w:pPr>
          </w:p>
        </w:tc>
        <w:tc>
          <w:tcPr>
            <w:tcW w:w="5" w:type="pct"/>
            <w:shd w:val="clear" w:color="auto" w:fill="auto"/>
          </w:tcPr>
          <w:p w14:paraId="5EA21087" w14:textId="77777777" w:rsidR="003C66EB" w:rsidRDefault="003C66EB">
            <w:pPr>
              <w:rPr>
                <w:rFonts w:ascii="宋体"/>
              </w:rPr>
            </w:pPr>
          </w:p>
        </w:tc>
        <w:tc>
          <w:tcPr>
            <w:tcW w:w="41" w:type="pct"/>
            <w:shd w:val="clear" w:color="auto" w:fill="auto"/>
          </w:tcPr>
          <w:p w14:paraId="5EA21088" w14:textId="77777777" w:rsidR="003C66EB" w:rsidRDefault="003C66EB">
            <w:pPr>
              <w:rPr>
                <w:rFonts w:ascii="宋体"/>
              </w:rPr>
            </w:pPr>
          </w:p>
        </w:tc>
        <w:tc>
          <w:tcPr>
            <w:tcW w:w="5" w:type="pct"/>
            <w:shd w:val="clear" w:color="auto" w:fill="auto"/>
          </w:tcPr>
          <w:p w14:paraId="5EA21089" w14:textId="77777777" w:rsidR="003C66EB" w:rsidRDefault="003C66EB">
            <w:pPr>
              <w:rPr>
                <w:rFonts w:ascii="宋体"/>
              </w:rPr>
            </w:pPr>
          </w:p>
        </w:tc>
        <w:tc>
          <w:tcPr>
            <w:tcW w:w="50" w:type="pct"/>
            <w:shd w:val="clear" w:color="auto" w:fill="auto"/>
          </w:tcPr>
          <w:p w14:paraId="5EA2108A" w14:textId="77777777" w:rsidR="003C66EB" w:rsidRDefault="003C66EB">
            <w:pPr>
              <w:rPr>
                <w:rFonts w:ascii="宋体"/>
              </w:rPr>
            </w:pPr>
          </w:p>
        </w:tc>
        <w:tc>
          <w:tcPr>
            <w:tcW w:w="610" w:type="pct"/>
            <w:shd w:val="clear" w:color="auto" w:fill="auto"/>
          </w:tcPr>
          <w:p w14:paraId="5EA2108B" w14:textId="77777777" w:rsidR="003C66EB" w:rsidRDefault="003C66EB">
            <w:pPr>
              <w:rPr>
                <w:rFonts w:ascii="宋体"/>
              </w:rPr>
            </w:pPr>
          </w:p>
        </w:tc>
        <w:tc>
          <w:tcPr>
            <w:tcW w:w="5" w:type="pct"/>
            <w:shd w:val="clear" w:color="auto" w:fill="auto"/>
          </w:tcPr>
          <w:p w14:paraId="5EA2108C" w14:textId="77777777" w:rsidR="003C66EB" w:rsidRDefault="003C66EB">
            <w:pPr>
              <w:rPr>
                <w:rFonts w:ascii="宋体"/>
              </w:rPr>
            </w:pPr>
          </w:p>
        </w:tc>
      </w:tr>
      <w:tr w:rsidR="003C66EB" w14:paraId="5EA2108F" w14:textId="77777777">
        <w:tc>
          <w:tcPr>
            <w:tcW w:w="0" w:type="auto"/>
            <w:gridSpan w:val="24"/>
            <w:shd w:val="clear" w:color="auto" w:fill="auto"/>
            <w:tcMar>
              <w:top w:w="40" w:type="dxa"/>
              <w:left w:w="20" w:type="dxa"/>
              <w:bottom w:w="40" w:type="dxa"/>
              <w:right w:w="20" w:type="dxa"/>
            </w:tcMar>
            <w:vAlign w:val="bottom"/>
          </w:tcPr>
          <w:p w14:paraId="5EA2108E" w14:textId="77777777" w:rsidR="003C66EB" w:rsidRDefault="00D96C4E">
            <w:pPr>
              <w:textAlignment w:val="bottom"/>
            </w:pPr>
            <w:r>
              <w:rPr>
                <w:rFonts w:ascii="Arial" w:eastAsia="宋体" w:hAnsi="Arial" w:cs="Arial"/>
                <w:b/>
                <w:bCs/>
                <w:color w:val="000000"/>
                <w:sz w:val="16"/>
                <w:szCs w:val="16"/>
              </w:rPr>
              <w:t>TABLE 36: CAPITAL ROLL-FORWARD</w:t>
            </w:r>
          </w:p>
        </w:tc>
      </w:tr>
      <w:tr w:rsidR="003C66EB" w14:paraId="5EA21098" w14:textId="77777777">
        <w:tc>
          <w:tcPr>
            <w:tcW w:w="0" w:type="auto"/>
            <w:gridSpan w:val="3"/>
            <w:shd w:val="clear" w:color="auto" w:fill="auto"/>
            <w:tcMar>
              <w:top w:w="40" w:type="dxa"/>
              <w:left w:w="20" w:type="dxa"/>
              <w:bottom w:w="40" w:type="dxa"/>
              <w:right w:w="20" w:type="dxa"/>
            </w:tcMar>
            <w:vAlign w:val="bottom"/>
          </w:tcPr>
          <w:p w14:paraId="5EA21090"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1091" w14:textId="77777777" w:rsidR="003C66EB" w:rsidRDefault="00D96C4E">
            <w:pPr>
              <w:jc w:val="center"/>
              <w:textAlignment w:val="bottom"/>
            </w:pPr>
            <w:r>
              <w:rPr>
                <w:rFonts w:ascii="Arial" w:eastAsia="宋体" w:hAnsi="Arial" w:cs="Arial"/>
                <w:b/>
                <w:bCs/>
                <w:color w:val="000000"/>
                <w:sz w:val="14"/>
                <w:szCs w:val="14"/>
              </w:rPr>
              <w:t>Basel III Advanced Approaches March 31, 2021</w:t>
            </w:r>
          </w:p>
        </w:tc>
        <w:tc>
          <w:tcPr>
            <w:tcW w:w="0" w:type="auto"/>
            <w:gridSpan w:val="3"/>
            <w:shd w:val="clear" w:color="auto" w:fill="auto"/>
            <w:tcMar>
              <w:top w:w="0" w:type="dxa"/>
              <w:left w:w="20" w:type="dxa"/>
              <w:bottom w:w="0" w:type="dxa"/>
              <w:right w:w="20" w:type="dxa"/>
            </w:tcMar>
          </w:tcPr>
          <w:p w14:paraId="5EA21092"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093" w14:textId="77777777" w:rsidR="003C66EB" w:rsidRDefault="00D96C4E">
            <w:pPr>
              <w:jc w:val="center"/>
              <w:textAlignment w:val="bottom"/>
            </w:pPr>
            <w:r>
              <w:rPr>
                <w:rFonts w:ascii="Arial" w:eastAsia="宋体" w:hAnsi="Arial" w:cs="Arial"/>
                <w:b/>
                <w:bCs/>
                <w:color w:val="000000"/>
                <w:sz w:val="14"/>
                <w:szCs w:val="14"/>
              </w:rPr>
              <w:t>Basel III Standardized Approach March 31, 2021</w:t>
            </w:r>
          </w:p>
        </w:tc>
        <w:tc>
          <w:tcPr>
            <w:tcW w:w="0" w:type="auto"/>
            <w:gridSpan w:val="3"/>
            <w:shd w:val="clear" w:color="auto" w:fill="auto"/>
            <w:tcMar>
              <w:top w:w="0" w:type="dxa"/>
              <w:left w:w="20" w:type="dxa"/>
              <w:bottom w:w="0" w:type="dxa"/>
              <w:right w:w="20" w:type="dxa"/>
            </w:tcMar>
          </w:tcPr>
          <w:p w14:paraId="5EA2109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095" w14:textId="77777777" w:rsidR="003C66EB" w:rsidRDefault="00D96C4E">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br/>
              <w:t xml:space="preserve">Advanced Approaches </w:t>
            </w:r>
            <w:r>
              <w:rPr>
                <w:rFonts w:ascii="Arial" w:eastAsia="宋体" w:hAnsi="Arial" w:cs="Arial"/>
                <w:b/>
                <w:bCs/>
                <w:color w:val="000000"/>
                <w:sz w:val="14"/>
                <w:szCs w:val="14"/>
              </w:rPr>
              <w:br/>
              <w:t>December 31, 2020</w:t>
            </w:r>
          </w:p>
        </w:tc>
        <w:tc>
          <w:tcPr>
            <w:tcW w:w="0" w:type="auto"/>
            <w:gridSpan w:val="3"/>
            <w:shd w:val="clear" w:color="auto" w:fill="auto"/>
            <w:tcMar>
              <w:top w:w="0" w:type="dxa"/>
              <w:left w:w="20" w:type="dxa"/>
              <w:bottom w:w="0" w:type="dxa"/>
              <w:right w:w="20" w:type="dxa"/>
            </w:tcMar>
          </w:tcPr>
          <w:p w14:paraId="5EA2109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097" w14:textId="77777777" w:rsidR="003C66EB" w:rsidRDefault="00D96C4E">
            <w:pPr>
              <w:jc w:val="center"/>
              <w:textAlignment w:val="bottom"/>
            </w:pPr>
            <w:r>
              <w:rPr>
                <w:rFonts w:ascii="Arial" w:eastAsia="宋体" w:hAnsi="Arial" w:cs="Arial"/>
                <w:b/>
                <w:bCs/>
                <w:color w:val="000000"/>
                <w:sz w:val="14"/>
                <w:szCs w:val="14"/>
              </w:rPr>
              <w:t xml:space="preserve">Basel III Standardized Approach </w:t>
            </w:r>
            <w:r>
              <w:rPr>
                <w:rFonts w:ascii="Arial" w:eastAsia="宋体" w:hAnsi="Arial" w:cs="Arial"/>
                <w:b/>
                <w:bCs/>
                <w:color w:val="000000"/>
                <w:sz w:val="14"/>
                <w:szCs w:val="14"/>
              </w:rPr>
              <w:br/>
              <w:t>December 31, 2020</w:t>
            </w:r>
          </w:p>
        </w:tc>
      </w:tr>
      <w:tr w:rsidR="003C66EB" w14:paraId="5EA210A1" w14:textId="77777777">
        <w:tc>
          <w:tcPr>
            <w:tcW w:w="0" w:type="auto"/>
            <w:gridSpan w:val="3"/>
            <w:shd w:val="clear" w:color="auto" w:fill="auto"/>
            <w:tcMar>
              <w:top w:w="40" w:type="dxa"/>
              <w:left w:w="20" w:type="dxa"/>
              <w:bottom w:w="40" w:type="dxa"/>
              <w:right w:w="20" w:type="dxa"/>
            </w:tcMar>
            <w:vAlign w:val="bottom"/>
          </w:tcPr>
          <w:p w14:paraId="5EA21099" w14:textId="77777777" w:rsidR="003C66EB" w:rsidRDefault="00D96C4E">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tcPr>
          <w:p w14:paraId="5EA2109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09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09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09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0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09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0A0" w14:textId="77777777" w:rsidR="003C66EB" w:rsidRDefault="003C66EB">
            <w:pPr>
              <w:rPr>
                <w:rFonts w:ascii="宋体"/>
              </w:rPr>
            </w:pPr>
          </w:p>
        </w:tc>
      </w:tr>
      <w:tr w:rsidR="003C66EB" w14:paraId="5EA210B2" w14:textId="77777777">
        <w:tc>
          <w:tcPr>
            <w:tcW w:w="0" w:type="auto"/>
            <w:gridSpan w:val="3"/>
            <w:shd w:val="clear" w:color="auto" w:fill="CCEEFF"/>
            <w:tcMar>
              <w:top w:w="40" w:type="dxa"/>
              <w:left w:w="20" w:type="dxa"/>
              <w:bottom w:w="40" w:type="dxa"/>
              <w:right w:w="20" w:type="dxa"/>
            </w:tcMar>
            <w:vAlign w:val="bottom"/>
          </w:tcPr>
          <w:p w14:paraId="5EA210A2" w14:textId="77777777" w:rsidR="003C66EB" w:rsidRDefault="00D96C4E">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5EA210A3"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10A4" w14:textId="77777777" w:rsidR="003C66EB" w:rsidRDefault="00D96C4E">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0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A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0A7"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10A8" w14:textId="77777777" w:rsidR="003C66EB" w:rsidRDefault="00D96C4E">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0A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A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0A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10AC" w14:textId="77777777" w:rsidR="003C66EB" w:rsidRDefault="00D96C4E">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5EA210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A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0A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10B0" w14:textId="77777777" w:rsidR="003C66EB" w:rsidRDefault="00D96C4E">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5EA210B1" w14:textId="77777777" w:rsidR="003C66EB" w:rsidRDefault="003C66EB">
            <w:pPr>
              <w:jc w:val="right"/>
              <w:rPr>
                <w:rFonts w:ascii="宋体"/>
              </w:rPr>
            </w:pPr>
          </w:p>
        </w:tc>
      </w:tr>
      <w:tr w:rsidR="003C66EB" w14:paraId="5EA210BF" w14:textId="77777777">
        <w:tc>
          <w:tcPr>
            <w:tcW w:w="0" w:type="auto"/>
            <w:gridSpan w:val="3"/>
            <w:shd w:val="clear" w:color="auto" w:fill="FFFFFF"/>
            <w:tcMar>
              <w:top w:w="40" w:type="dxa"/>
              <w:left w:w="20" w:type="dxa"/>
              <w:bottom w:w="40" w:type="dxa"/>
              <w:right w:w="20" w:type="dxa"/>
            </w:tcMar>
            <w:vAlign w:val="bottom"/>
          </w:tcPr>
          <w:p w14:paraId="5EA210B3" w14:textId="77777777" w:rsidR="003C66EB" w:rsidRDefault="00D96C4E">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5EA210B4" w14:textId="77777777" w:rsidR="003C66EB" w:rsidRDefault="00D96C4E">
            <w:pPr>
              <w:jc w:val="right"/>
              <w:textAlignment w:val="bottom"/>
            </w:pPr>
            <w:r>
              <w:rPr>
                <w:rFonts w:ascii="Arial" w:eastAsia="宋体" w:hAnsi="Arial" w:cs="Arial"/>
                <w:b/>
                <w:bCs/>
                <w:color w:val="000000"/>
                <w:sz w:val="14"/>
                <w:szCs w:val="14"/>
              </w:rPr>
              <w:t>519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0B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B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B7" w14:textId="77777777" w:rsidR="003C66EB" w:rsidRDefault="00D96C4E">
            <w:pPr>
              <w:jc w:val="right"/>
              <w:textAlignment w:val="bottom"/>
            </w:pPr>
            <w:r>
              <w:rPr>
                <w:rFonts w:ascii="Arial" w:eastAsia="宋体" w:hAnsi="Arial" w:cs="Arial"/>
                <w:b/>
                <w:bCs/>
                <w:color w:val="000000"/>
                <w:sz w:val="14"/>
                <w:szCs w:val="14"/>
              </w:rPr>
              <w:t>519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0B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B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BA" w14:textId="77777777" w:rsidR="003C66EB" w:rsidRDefault="00D96C4E">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5EA210B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B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BD" w14:textId="77777777" w:rsidR="003C66EB" w:rsidRDefault="00D96C4E">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5EA210BE" w14:textId="77777777" w:rsidR="003C66EB" w:rsidRDefault="003C66EB">
            <w:pPr>
              <w:jc w:val="right"/>
              <w:rPr>
                <w:rFonts w:ascii="宋体"/>
              </w:rPr>
            </w:pPr>
          </w:p>
        </w:tc>
      </w:tr>
      <w:tr w:rsidR="003C66EB" w14:paraId="5EA210CC" w14:textId="77777777">
        <w:tc>
          <w:tcPr>
            <w:tcW w:w="0" w:type="auto"/>
            <w:gridSpan w:val="3"/>
            <w:shd w:val="clear" w:color="auto" w:fill="CCEEFF"/>
            <w:tcMar>
              <w:top w:w="40" w:type="dxa"/>
              <w:left w:w="20" w:type="dxa"/>
              <w:bottom w:w="40" w:type="dxa"/>
              <w:right w:w="20" w:type="dxa"/>
            </w:tcMar>
            <w:vAlign w:val="bottom"/>
          </w:tcPr>
          <w:p w14:paraId="5EA210C0" w14:textId="77777777" w:rsidR="003C66EB" w:rsidRDefault="00D96C4E">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5EA210C1" w14:textId="77777777" w:rsidR="003C66EB" w:rsidRDefault="00D96C4E">
            <w:pPr>
              <w:jc w:val="right"/>
              <w:textAlignment w:val="bottom"/>
            </w:pPr>
            <w:r>
              <w:rPr>
                <w:rFonts w:ascii="Arial" w:eastAsia="宋体" w:hAnsi="Arial" w:cs="Arial"/>
                <w:b/>
                <w:bCs/>
                <w:color w:val="000000"/>
                <w:sz w:val="14"/>
                <w:szCs w:val="14"/>
              </w:rPr>
              <w:t>(426)</w:t>
            </w:r>
          </w:p>
        </w:tc>
        <w:tc>
          <w:tcPr>
            <w:tcW w:w="0" w:type="auto"/>
            <w:shd w:val="clear" w:color="auto" w:fill="CCEEFF"/>
            <w:tcMar>
              <w:top w:w="40" w:type="dxa"/>
              <w:left w:w="0" w:type="dxa"/>
              <w:bottom w:w="40" w:type="dxa"/>
              <w:right w:w="20" w:type="dxa"/>
            </w:tcMar>
            <w:vAlign w:val="bottom"/>
          </w:tcPr>
          <w:p w14:paraId="5EA210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C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C4" w14:textId="77777777" w:rsidR="003C66EB" w:rsidRDefault="00D96C4E">
            <w:pPr>
              <w:jc w:val="right"/>
              <w:textAlignment w:val="bottom"/>
            </w:pPr>
            <w:r>
              <w:rPr>
                <w:rFonts w:ascii="Arial" w:eastAsia="宋体" w:hAnsi="Arial" w:cs="Arial"/>
                <w:b/>
                <w:bCs/>
                <w:color w:val="000000"/>
                <w:sz w:val="14"/>
                <w:szCs w:val="14"/>
              </w:rPr>
              <w:t>(426)</w:t>
            </w:r>
          </w:p>
        </w:tc>
        <w:tc>
          <w:tcPr>
            <w:tcW w:w="0" w:type="auto"/>
            <w:shd w:val="clear" w:color="auto" w:fill="CCEEFF"/>
            <w:tcMar>
              <w:top w:w="40" w:type="dxa"/>
              <w:left w:w="0" w:type="dxa"/>
              <w:bottom w:w="40" w:type="dxa"/>
              <w:right w:w="20" w:type="dxa"/>
            </w:tcMar>
            <w:vAlign w:val="bottom"/>
          </w:tcPr>
          <w:p w14:paraId="5EA210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C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C7" w14:textId="77777777" w:rsidR="003C66EB" w:rsidRDefault="00D96C4E">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5EA210C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C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CA" w14:textId="77777777" w:rsidR="003C66EB" w:rsidRDefault="00D96C4E">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5EA210CB" w14:textId="77777777" w:rsidR="003C66EB" w:rsidRDefault="003C66EB">
            <w:pPr>
              <w:jc w:val="right"/>
              <w:rPr>
                <w:rFonts w:ascii="宋体"/>
              </w:rPr>
            </w:pPr>
          </w:p>
        </w:tc>
      </w:tr>
      <w:tr w:rsidR="003C66EB" w14:paraId="5EA210D9" w14:textId="77777777">
        <w:tc>
          <w:tcPr>
            <w:tcW w:w="0" w:type="auto"/>
            <w:gridSpan w:val="3"/>
            <w:shd w:val="clear" w:color="auto" w:fill="FFFFFF"/>
            <w:tcMar>
              <w:top w:w="40" w:type="dxa"/>
              <w:left w:w="20" w:type="dxa"/>
              <w:bottom w:w="40" w:type="dxa"/>
              <w:right w:w="20" w:type="dxa"/>
            </w:tcMar>
            <w:vAlign w:val="bottom"/>
          </w:tcPr>
          <w:p w14:paraId="5EA210CD" w14:textId="77777777" w:rsidR="003C66EB" w:rsidRDefault="00D96C4E">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5EA210CE" w14:textId="77777777" w:rsidR="003C66EB" w:rsidRDefault="00D96C4E">
            <w:pPr>
              <w:jc w:val="right"/>
              <w:textAlignment w:val="bottom"/>
            </w:pPr>
            <w:r>
              <w:rPr>
                <w:rFonts w:ascii="Arial" w:eastAsia="宋体" w:hAnsi="Arial" w:cs="Arial"/>
                <w:b/>
                <w:bCs/>
                <w:color w:val="000000"/>
                <w:sz w:val="14"/>
                <w:szCs w:val="14"/>
              </w:rPr>
              <w:t>(30)</w:t>
            </w:r>
          </w:p>
        </w:tc>
        <w:tc>
          <w:tcPr>
            <w:tcW w:w="0" w:type="auto"/>
            <w:shd w:val="clear" w:color="auto" w:fill="FFFFFF"/>
            <w:tcMar>
              <w:top w:w="40" w:type="dxa"/>
              <w:left w:w="0" w:type="dxa"/>
              <w:bottom w:w="40" w:type="dxa"/>
              <w:right w:w="20" w:type="dxa"/>
            </w:tcMar>
            <w:vAlign w:val="bottom"/>
          </w:tcPr>
          <w:p w14:paraId="5EA210C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D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D1" w14:textId="77777777" w:rsidR="003C66EB" w:rsidRDefault="00D96C4E">
            <w:pPr>
              <w:jc w:val="right"/>
              <w:textAlignment w:val="bottom"/>
            </w:pPr>
            <w:r>
              <w:rPr>
                <w:rFonts w:ascii="Arial" w:eastAsia="宋体" w:hAnsi="Arial" w:cs="Arial"/>
                <w:b/>
                <w:bCs/>
                <w:color w:val="000000"/>
                <w:sz w:val="14"/>
                <w:szCs w:val="14"/>
              </w:rPr>
              <w:t>(30)</w:t>
            </w:r>
          </w:p>
        </w:tc>
        <w:tc>
          <w:tcPr>
            <w:tcW w:w="0" w:type="auto"/>
            <w:shd w:val="clear" w:color="auto" w:fill="FFFFFF"/>
            <w:tcMar>
              <w:top w:w="40" w:type="dxa"/>
              <w:left w:w="0" w:type="dxa"/>
              <w:bottom w:w="40" w:type="dxa"/>
              <w:right w:w="20" w:type="dxa"/>
            </w:tcMar>
            <w:vAlign w:val="bottom"/>
          </w:tcPr>
          <w:p w14:paraId="5EA210D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D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D4" w14:textId="77777777" w:rsidR="003C66EB" w:rsidRDefault="00D96C4E">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5EA210D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D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D7" w14:textId="77777777" w:rsidR="003C66EB" w:rsidRDefault="00D96C4E">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5EA210D8" w14:textId="77777777" w:rsidR="003C66EB" w:rsidRDefault="003C66EB">
            <w:pPr>
              <w:jc w:val="right"/>
              <w:rPr>
                <w:rFonts w:ascii="宋体"/>
              </w:rPr>
            </w:pPr>
          </w:p>
        </w:tc>
      </w:tr>
      <w:tr w:rsidR="003C66EB" w14:paraId="5EA210E6" w14:textId="77777777">
        <w:tc>
          <w:tcPr>
            <w:tcW w:w="0" w:type="auto"/>
            <w:gridSpan w:val="3"/>
            <w:shd w:val="clear" w:color="auto" w:fill="CCEEFF"/>
            <w:tcMar>
              <w:top w:w="40" w:type="dxa"/>
              <w:left w:w="20" w:type="dxa"/>
              <w:bottom w:w="40" w:type="dxa"/>
              <w:right w:w="20" w:type="dxa"/>
            </w:tcMar>
            <w:vAlign w:val="bottom"/>
          </w:tcPr>
          <w:p w14:paraId="5EA210DA" w14:textId="77777777" w:rsidR="003C66EB" w:rsidRDefault="00D96C4E">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5EA210DB" w14:textId="77777777" w:rsidR="003C66EB" w:rsidRDefault="00D96C4E">
            <w:pPr>
              <w:jc w:val="right"/>
              <w:textAlignment w:val="bottom"/>
            </w:pPr>
            <w:r>
              <w:rPr>
                <w:rFonts w:ascii="Arial" w:eastAsia="宋体" w:hAnsi="Arial" w:cs="Arial"/>
                <w:b/>
                <w:bCs/>
                <w:color w:val="000000"/>
                <w:sz w:val="14"/>
                <w:szCs w:val="14"/>
              </w:rPr>
              <w:t>(130)</w:t>
            </w:r>
          </w:p>
        </w:tc>
        <w:tc>
          <w:tcPr>
            <w:tcW w:w="0" w:type="auto"/>
            <w:shd w:val="clear" w:color="auto" w:fill="CCEEFF"/>
            <w:tcMar>
              <w:top w:w="40" w:type="dxa"/>
              <w:left w:w="0" w:type="dxa"/>
              <w:bottom w:w="40" w:type="dxa"/>
              <w:right w:w="20" w:type="dxa"/>
            </w:tcMar>
            <w:vAlign w:val="bottom"/>
          </w:tcPr>
          <w:p w14:paraId="5EA210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D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DE" w14:textId="77777777" w:rsidR="003C66EB" w:rsidRDefault="00D96C4E">
            <w:pPr>
              <w:jc w:val="right"/>
              <w:textAlignment w:val="bottom"/>
            </w:pPr>
            <w:r>
              <w:rPr>
                <w:rFonts w:ascii="Arial" w:eastAsia="宋体" w:hAnsi="Arial" w:cs="Arial"/>
                <w:b/>
                <w:bCs/>
                <w:color w:val="000000"/>
                <w:sz w:val="14"/>
                <w:szCs w:val="14"/>
              </w:rPr>
              <w:t>(130)</w:t>
            </w:r>
          </w:p>
        </w:tc>
        <w:tc>
          <w:tcPr>
            <w:tcW w:w="0" w:type="auto"/>
            <w:shd w:val="clear" w:color="auto" w:fill="CCEEFF"/>
            <w:tcMar>
              <w:top w:w="40" w:type="dxa"/>
              <w:left w:w="0" w:type="dxa"/>
              <w:bottom w:w="40" w:type="dxa"/>
              <w:right w:w="20" w:type="dxa"/>
            </w:tcMar>
            <w:vAlign w:val="bottom"/>
          </w:tcPr>
          <w:p w14:paraId="5EA210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E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E1" w14:textId="77777777" w:rsidR="003C66EB" w:rsidRDefault="00D96C4E">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A210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E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E4" w14:textId="77777777" w:rsidR="003C66EB" w:rsidRDefault="00D96C4E">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A210E5" w14:textId="77777777" w:rsidR="003C66EB" w:rsidRDefault="003C66EB">
            <w:pPr>
              <w:jc w:val="right"/>
              <w:rPr>
                <w:rFonts w:ascii="宋体"/>
              </w:rPr>
            </w:pPr>
          </w:p>
        </w:tc>
      </w:tr>
      <w:tr w:rsidR="003C66EB" w14:paraId="5EA210F3" w14:textId="77777777">
        <w:tc>
          <w:tcPr>
            <w:tcW w:w="0" w:type="auto"/>
            <w:gridSpan w:val="3"/>
            <w:shd w:val="clear" w:color="auto" w:fill="FFFFFF"/>
            <w:tcMar>
              <w:top w:w="40" w:type="dxa"/>
              <w:left w:w="20" w:type="dxa"/>
              <w:bottom w:w="40" w:type="dxa"/>
              <w:right w:w="20" w:type="dxa"/>
            </w:tcMar>
            <w:vAlign w:val="bottom"/>
          </w:tcPr>
          <w:p w14:paraId="5EA210E7" w14:textId="77777777" w:rsidR="003C66EB" w:rsidRDefault="00D96C4E">
            <w:pPr>
              <w:textAlignment w:val="bottom"/>
            </w:pPr>
            <w:r>
              <w:rPr>
                <w:rFonts w:ascii="Arial" w:eastAsia="宋体" w:hAnsi="Arial" w:cs="Arial"/>
                <w:color w:val="000000"/>
                <w:sz w:val="14"/>
                <w:szCs w:val="14"/>
              </w:rPr>
              <w:t>Effect of certain items in accumulated other comprehensive income (loss)</w:t>
            </w:r>
          </w:p>
        </w:tc>
        <w:tc>
          <w:tcPr>
            <w:tcW w:w="0" w:type="auto"/>
            <w:gridSpan w:val="2"/>
            <w:shd w:val="clear" w:color="auto" w:fill="FFFFFF"/>
            <w:tcMar>
              <w:top w:w="40" w:type="dxa"/>
              <w:left w:w="20" w:type="dxa"/>
              <w:bottom w:w="40" w:type="dxa"/>
              <w:right w:w="0" w:type="dxa"/>
            </w:tcMar>
            <w:vAlign w:val="bottom"/>
          </w:tcPr>
          <w:p w14:paraId="5EA210E8" w14:textId="77777777" w:rsidR="003C66EB" w:rsidRDefault="00D96C4E">
            <w:pPr>
              <w:jc w:val="right"/>
              <w:textAlignment w:val="bottom"/>
            </w:pPr>
            <w:r>
              <w:rPr>
                <w:rFonts w:ascii="Arial" w:eastAsia="宋体" w:hAnsi="Arial" w:cs="Arial"/>
                <w:b/>
                <w:bCs/>
                <w:color w:val="000000"/>
                <w:sz w:val="14"/>
                <w:szCs w:val="14"/>
              </w:rPr>
              <w:t>(605)</w:t>
            </w:r>
          </w:p>
        </w:tc>
        <w:tc>
          <w:tcPr>
            <w:tcW w:w="0" w:type="auto"/>
            <w:shd w:val="clear" w:color="auto" w:fill="FFFFFF"/>
            <w:tcMar>
              <w:top w:w="40" w:type="dxa"/>
              <w:left w:w="0" w:type="dxa"/>
              <w:bottom w:w="40" w:type="dxa"/>
              <w:right w:w="20" w:type="dxa"/>
            </w:tcMar>
            <w:vAlign w:val="bottom"/>
          </w:tcPr>
          <w:p w14:paraId="5EA210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E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EB" w14:textId="77777777" w:rsidR="003C66EB" w:rsidRDefault="00D96C4E">
            <w:pPr>
              <w:jc w:val="right"/>
              <w:textAlignment w:val="bottom"/>
            </w:pPr>
            <w:r>
              <w:rPr>
                <w:rFonts w:ascii="Arial" w:eastAsia="宋体" w:hAnsi="Arial" w:cs="Arial"/>
                <w:b/>
                <w:bCs/>
                <w:color w:val="000000"/>
                <w:sz w:val="14"/>
                <w:szCs w:val="14"/>
              </w:rPr>
              <w:t>(605)</w:t>
            </w:r>
          </w:p>
        </w:tc>
        <w:tc>
          <w:tcPr>
            <w:tcW w:w="0" w:type="auto"/>
            <w:shd w:val="clear" w:color="auto" w:fill="FFFFFF"/>
            <w:tcMar>
              <w:top w:w="40" w:type="dxa"/>
              <w:left w:w="0" w:type="dxa"/>
              <w:bottom w:w="40" w:type="dxa"/>
              <w:right w:w="20" w:type="dxa"/>
            </w:tcMar>
            <w:vAlign w:val="bottom"/>
          </w:tcPr>
          <w:p w14:paraId="5EA210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E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EE" w14:textId="77777777" w:rsidR="003C66EB" w:rsidRDefault="00D96C4E">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5EA210E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0F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0F1" w14:textId="77777777" w:rsidR="003C66EB" w:rsidRDefault="00D96C4E">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5EA210F2" w14:textId="77777777" w:rsidR="003C66EB" w:rsidRDefault="003C66EB">
            <w:pPr>
              <w:jc w:val="right"/>
              <w:rPr>
                <w:rFonts w:ascii="宋体"/>
              </w:rPr>
            </w:pPr>
          </w:p>
        </w:tc>
      </w:tr>
      <w:tr w:rsidR="003C66EB" w14:paraId="5EA21100" w14:textId="77777777">
        <w:tc>
          <w:tcPr>
            <w:tcW w:w="0" w:type="auto"/>
            <w:gridSpan w:val="3"/>
            <w:shd w:val="clear" w:color="auto" w:fill="CCEEFF"/>
            <w:tcMar>
              <w:top w:w="40" w:type="dxa"/>
              <w:left w:w="20" w:type="dxa"/>
              <w:bottom w:w="40" w:type="dxa"/>
              <w:right w:w="20" w:type="dxa"/>
            </w:tcMar>
            <w:vAlign w:val="bottom"/>
          </w:tcPr>
          <w:p w14:paraId="5EA210F4" w14:textId="77777777" w:rsidR="003C66EB" w:rsidRDefault="00D96C4E">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5EA210F5" w14:textId="77777777" w:rsidR="003C66EB" w:rsidRDefault="00D96C4E">
            <w:pPr>
              <w:jc w:val="right"/>
              <w:textAlignment w:val="bottom"/>
            </w:pPr>
            <w:r>
              <w:rPr>
                <w:rFonts w:ascii="Arial" w:eastAsia="宋体" w:hAnsi="Arial" w:cs="Arial"/>
                <w:b/>
                <w:bCs/>
                <w:color w:val="000000"/>
                <w:sz w:val="14"/>
                <w:szCs w:val="14"/>
              </w:rPr>
              <w:t>(262)</w:t>
            </w:r>
          </w:p>
        </w:tc>
        <w:tc>
          <w:tcPr>
            <w:tcW w:w="0" w:type="auto"/>
            <w:shd w:val="clear" w:color="auto" w:fill="CCEEFF"/>
            <w:tcMar>
              <w:top w:w="40" w:type="dxa"/>
              <w:left w:w="0" w:type="dxa"/>
              <w:bottom w:w="40" w:type="dxa"/>
              <w:right w:w="20" w:type="dxa"/>
            </w:tcMar>
            <w:vAlign w:val="bottom"/>
          </w:tcPr>
          <w:p w14:paraId="5EA210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F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F8" w14:textId="77777777" w:rsidR="003C66EB" w:rsidRDefault="00D96C4E">
            <w:pPr>
              <w:jc w:val="right"/>
              <w:textAlignment w:val="bottom"/>
            </w:pPr>
            <w:r>
              <w:rPr>
                <w:rFonts w:ascii="Arial" w:eastAsia="宋体" w:hAnsi="Arial" w:cs="Arial"/>
                <w:b/>
                <w:bCs/>
                <w:color w:val="000000"/>
                <w:sz w:val="14"/>
                <w:szCs w:val="14"/>
              </w:rPr>
              <w:t>(262)</w:t>
            </w:r>
          </w:p>
        </w:tc>
        <w:tc>
          <w:tcPr>
            <w:tcW w:w="0" w:type="auto"/>
            <w:shd w:val="clear" w:color="auto" w:fill="CCEEFF"/>
            <w:tcMar>
              <w:top w:w="40" w:type="dxa"/>
              <w:left w:w="0" w:type="dxa"/>
              <w:bottom w:w="40" w:type="dxa"/>
              <w:right w:w="20" w:type="dxa"/>
            </w:tcMar>
            <w:vAlign w:val="bottom"/>
          </w:tcPr>
          <w:p w14:paraId="5EA210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F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FB" w14:textId="77777777" w:rsidR="003C66EB" w:rsidRDefault="00D96C4E">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5EA210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0F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0FE" w14:textId="77777777" w:rsidR="003C66EB" w:rsidRDefault="00D96C4E">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5EA210FF" w14:textId="77777777" w:rsidR="003C66EB" w:rsidRDefault="003C66EB">
            <w:pPr>
              <w:jc w:val="right"/>
              <w:rPr>
                <w:rFonts w:ascii="宋体"/>
              </w:rPr>
            </w:pPr>
          </w:p>
        </w:tc>
      </w:tr>
      <w:tr w:rsidR="003C66EB" w14:paraId="5EA2110D" w14:textId="77777777">
        <w:tc>
          <w:tcPr>
            <w:tcW w:w="0" w:type="auto"/>
            <w:gridSpan w:val="3"/>
            <w:shd w:val="clear" w:color="auto" w:fill="FFFFFF"/>
            <w:tcMar>
              <w:top w:w="40" w:type="dxa"/>
              <w:left w:w="20" w:type="dxa"/>
              <w:bottom w:w="40" w:type="dxa"/>
              <w:right w:w="20" w:type="dxa"/>
            </w:tcMar>
            <w:vAlign w:val="bottom"/>
          </w:tcPr>
          <w:p w14:paraId="5EA21101" w14:textId="77777777" w:rsidR="003C66EB" w:rsidRDefault="00D96C4E">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02" w14:textId="77777777" w:rsidR="003C66EB" w:rsidRDefault="00D96C4E">
            <w:pPr>
              <w:jc w:val="right"/>
              <w:textAlignment w:val="bottom"/>
            </w:pPr>
            <w:r>
              <w:rPr>
                <w:rFonts w:ascii="Arial" w:eastAsia="宋体" w:hAnsi="Arial" w:cs="Arial"/>
                <w:b/>
                <w:bCs/>
                <w:color w:val="000000"/>
                <w:sz w:val="14"/>
                <w:szCs w:val="14"/>
              </w:rPr>
              <w:t>(934)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0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05" w14:textId="77777777" w:rsidR="003C66EB" w:rsidRDefault="00D96C4E">
            <w:pPr>
              <w:jc w:val="right"/>
              <w:textAlignment w:val="bottom"/>
            </w:pPr>
            <w:r>
              <w:rPr>
                <w:rFonts w:ascii="Arial" w:eastAsia="宋体" w:hAnsi="Arial" w:cs="Arial"/>
                <w:b/>
                <w:bCs/>
                <w:color w:val="000000"/>
                <w:sz w:val="14"/>
                <w:szCs w:val="14"/>
              </w:rPr>
              <w:t>(934)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0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08" w14:textId="77777777" w:rsidR="003C66EB" w:rsidRDefault="00D96C4E">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0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0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0B" w14:textId="77777777" w:rsidR="003C66EB" w:rsidRDefault="00D96C4E">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0C" w14:textId="77777777" w:rsidR="003C66EB" w:rsidRDefault="003C66EB">
            <w:pPr>
              <w:jc w:val="right"/>
              <w:rPr>
                <w:rFonts w:ascii="宋体"/>
              </w:rPr>
            </w:pPr>
          </w:p>
        </w:tc>
      </w:tr>
      <w:tr w:rsidR="003C66EB" w14:paraId="5EA2111A" w14:textId="77777777">
        <w:tc>
          <w:tcPr>
            <w:tcW w:w="0" w:type="auto"/>
            <w:gridSpan w:val="3"/>
            <w:shd w:val="clear" w:color="auto" w:fill="CCEEFF"/>
            <w:tcMar>
              <w:top w:w="40" w:type="dxa"/>
              <w:left w:w="20" w:type="dxa"/>
              <w:bottom w:w="40" w:type="dxa"/>
              <w:right w:w="20" w:type="dxa"/>
            </w:tcMar>
            <w:vAlign w:val="bottom"/>
          </w:tcPr>
          <w:p w14:paraId="5EA2110E" w14:textId="77777777" w:rsidR="003C66EB" w:rsidRDefault="00D96C4E">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0F" w14:textId="77777777" w:rsidR="003C66EB" w:rsidRDefault="00D96C4E">
            <w:pPr>
              <w:jc w:val="right"/>
              <w:textAlignment w:val="bottom"/>
            </w:pPr>
            <w:r>
              <w:rPr>
                <w:rFonts w:ascii="Arial" w:eastAsia="宋体" w:hAnsi="Arial" w:cs="Arial"/>
                <w:b/>
                <w:bCs/>
                <w:color w:val="000000"/>
                <w:sz w:val="14"/>
                <w:szCs w:val="14"/>
              </w:rPr>
              <w:t>13,443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1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1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12" w14:textId="77777777" w:rsidR="003C66EB" w:rsidRDefault="00D96C4E">
            <w:pPr>
              <w:jc w:val="right"/>
              <w:textAlignment w:val="bottom"/>
            </w:pPr>
            <w:r>
              <w:rPr>
                <w:rFonts w:ascii="Arial" w:eastAsia="宋体" w:hAnsi="Arial" w:cs="Arial"/>
                <w:b/>
                <w:bCs/>
                <w:color w:val="000000"/>
                <w:sz w:val="14"/>
                <w:szCs w:val="14"/>
              </w:rPr>
              <w:t>13,443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1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1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15" w14:textId="77777777" w:rsidR="003C66EB" w:rsidRDefault="00D96C4E">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1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1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18" w14:textId="77777777" w:rsidR="003C66EB" w:rsidRDefault="00D96C4E">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19" w14:textId="77777777" w:rsidR="003C66EB" w:rsidRDefault="003C66EB">
            <w:pPr>
              <w:jc w:val="right"/>
              <w:rPr>
                <w:rFonts w:ascii="宋体"/>
              </w:rPr>
            </w:pPr>
          </w:p>
        </w:tc>
      </w:tr>
      <w:tr w:rsidR="003C66EB" w14:paraId="5EA21123" w14:textId="77777777">
        <w:tc>
          <w:tcPr>
            <w:tcW w:w="0" w:type="auto"/>
            <w:gridSpan w:val="3"/>
            <w:shd w:val="clear" w:color="auto" w:fill="FFFFFF"/>
            <w:tcMar>
              <w:top w:w="40" w:type="dxa"/>
              <w:left w:w="20" w:type="dxa"/>
              <w:bottom w:w="40" w:type="dxa"/>
              <w:right w:w="20" w:type="dxa"/>
            </w:tcMar>
            <w:vAlign w:val="bottom"/>
          </w:tcPr>
          <w:p w14:paraId="5EA2111B" w14:textId="77777777" w:rsidR="003C66EB" w:rsidRDefault="00D96C4E">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5EA2111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1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1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1F"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2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21"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22" w14:textId="77777777" w:rsidR="003C66EB" w:rsidRDefault="003C66EB">
            <w:pPr>
              <w:rPr>
                <w:rFonts w:ascii="宋体"/>
              </w:rPr>
            </w:pPr>
          </w:p>
        </w:tc>
      </w:tr>
      <w:tr w:rsidR="003C66EB" w14:paraId="5EA21130" w14:textId="77777777">
        <w:tc>
          <w:tcPr>
            <w:tcW w:w="0" w:type="auto"/>
            <w:gridSpan w:val="3"/>
            <w:shd w:val="clear" w:color="auto" w:fill="CCEEFF"/>
            <w:tcMar>
              <w:top w:w="40" w:type="dxa"/>
              <w:left w:w="20" w:type="dxa"/>
              <w:bottom w:w="40" w:type="dxa"/>
              <w:right w:w="20" w:type="dxa"/>
            </w:tcMar>
            <w:vAlign w:val="bottom"/>
          </w:tcPr>
          <w:p w14:paraId="5EA21124" w14:textId="77777777" w:rsidR="003C66EB" w:rsidRDefault="00D96C4E">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5EA21125" w14:textId="77777777" w:rsidR="003C66EB" w:rsidRDefault="00D96C4E">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2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28" w14:textId="77777777" w:rsidR="003C66EB" w:rsidRDefault="00D96C4E">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2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2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2B" w14:textId="77777777" w:rsidR="003C66EB" w:rsidRDefault="00D96C4E">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5EA211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2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2E" w14:textId="77777777" w:rsidR="003C66EB" w:rsidRDefault="00D96C4E">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5EA2112F" w14:textId="77777777" w:rsidR="003C66EB" w:rsidRDefault="003C66EB">
            <w:pPr>
              <w:jc w:val="right"/>
              <w:rPr>
                <w:rFonts w:ascii="宋体"/>
              </w:rPr>
            </w:pPr>
          </w:p>
        </w:tc>
      </w:tr>
      <w:tr w:rsidR="003C66EB" w14:paraId="5EA2113D" w14:textId="77777777">
        <w:tc>
          <w:tcPr>
            <w:tcW w:w="0" w:type="auto"/>
            <w:gridSpan w:val="3"/>
            <w:shd w:val="clear" w:color="auto" w:fill="FFFFFF"/>
            <w:tcMar>
              <w:top w:w="40" w:type="dxa"/>
              <w:left w:w="20" w:type="dxa"/>
              <w:bottom w:w="40" w:type="dxa"/>
              <w:right w:w="20" w:type="dxa"/>
            </w:tcMar>
            <w:vAlign w:val="bottom"/>
          </w:tcPr>
          <w:p w14:paraId="5EA21131" w14:textId="77777777" w:rsidR="003C66EB" w:rsidRDefault="00D96C4E">
            <w:pPr>
              <w:textAlignment w:val="bottom"/>
            </w:pPr>
            <w:r>
              <w:rPr>
                <w:rFonts w:ascii="Arial" w:eastAsia="宋体" w:hAnsi="Arial" w:cs="Arial"/>
                <w:color w:val="000000"/>
                <w:sz w:val="14"/>
                <w:szCs w:val="14"/>
              </w:rPr>
              <w:t>Change in common equity tier 1 capital</w:t>
            </w:r>
          </w:p>
        </w:tc>
        <w:tc>
          <w:tcPr>
            <w:tcW w:w="0" w:type="auto"/>
            <w:gridSpan w:val="2"/>
            <w:shd w:val="clear" w:color="auto" w:fill="FFFFFF"/>
            <w:tcMar>
              <w:top w:w="40" w:type="dxa"/>
              <w:left w:w="20" w:type="dxa"/>
              <w:bottom w:w="40" w:type="dxa"/>
              <w:right w:w="0" w:type="dxa"/>
            </w:tcMar>
            <w:vAlign w:val="bottom"/>
          </w:tcPr>
          <w:p w14:paraId="5EA21132" w14:textId="77777777" w:rsidR="003C66EB" w:rsidRDefault="00D96C4E">
            <w:pPr>
              <w:jc w:val="right"/>
              <w:textAlignment w:val="bottom"/>
            </w:pPr>
            <w:r>
              <w:rPr>
                <w:rFonts w:ascii="Arial" w:eastAsia="宋体" w:hAnsi="Arial" w:cs="Arial"/>
                <w:b/>
                <w:bCs/>
                <w:color w:val="000000"/>
                <w:sz w:val="14"/>
                <w:szCs w:val="14"/>
              </w:rPr>
              <w:t>(934)</w:t>
            </w:r>
          </w:p>
        </w:tc>
        <w:tc>
          <w:tcPr>
            <w:tcW w:w="0" w:type="auto"/>
            <w:shd w:val="clear" w:color="auto" w:fill="FFFFFF"/>
            <w:tcMar>
              <w:top w:w="40" w:type="dxa"/>
              <w:left w:w="0" w:type="dxa"/>
              <w:bottom w:w="40" w:type="dxa"/>
              <w:right w:w="20" w:type="dxa"/>
            </w:tcMar>
            <w:vAlign w:val="bottom"/>
          </w:tcPr>
          <w:p w14:paraId="5EA211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35" w14:textId="77777777" w:rsidR="003C66EB" w:rsidRDefault="00D96C4E">
            <w:pPr>
              <w:jc w:val="right"/>
              <w:textAlignment w:val="bottom"/>
            </w:pPr>
            <w:r>
              <w:rPr>
                <w:rFonts w:ascii="Arial" w:eastAsia="宋体" w:hAnsi="Arial" w:cs="Arial"/>
                <w:b/>
                <w:bCs/>
                <w:color w:val="000000"/>
                <w:sz w:val="14"/>
                <w:szCs w:val="14"/>
              </w:rPr>
              <w:t>(934)</w:t>
            </w:r>
          </w:p>
        </w:tc>
        <w:tc>
          <w:tcPr>
            <w:tcW w:w="0" w:type="auto"/>
            <w:shd w:val="clear" w:color="auto" w:fill="FFFFFF"/>
            <w:tcMar>
              <w:top w:w="40" w:type="dxa"/>
              <w:left w:w="0" w:type="dxa"/>
              <w:bottom w:w="40" w:type="dxa"/>
              <w:right w:w="20" w:type="dxa"/>
            </w:tcMar>
            <w:vAlign w:val="bottom"/>
          </w:tcPr>
          <w:p w14:paraId="5EA211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3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38" w14:textId="77777777" w:rsidR="003C66EB" w:rsidRDefault="00D96C4E">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5EA211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3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3B" w14:textId="77777777" w:rsidR="003C66EB" w:rsidRDefault="00D96C4E">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5EA2113C" w14:textId="77777777" w:rsidR="003C66EB" w:rsidRDefault="003C66EB">
            <w:pPr>
              <w:jc w:val="right"/>
              <w:rPr>
                <w:rFonts w:ascii="宋体"/>
              </w:rPr>
            </w:pPr>
          </w:p>
        </w:tc>
      </w:tr>
      <w:tr w:rsidR="003C66EB" w14:paraId="5EA2114A" w14:textId="77777777">
        <w:tc>
          <w:tcPr>
            <w:tcW w:w="0" w:type="auto"/>
            <w:gridSpan w:val="3"/>
            <w:shd w:val="clear" w:color="auto" w:fill="CCEEFF"/>
            <w:tcMar>
              <w:top w:w="40" w:type="dxa"/>
              <w:left w:w="20" w:type="dxa"/>
              <w:bottom w:w="40" w:type="dxa"/>
              <w:right w:w="20" w:type="dxa"/>
            </w:tcMar>
            <w:vAlign w:val="bottom"/>
          </w:tcPr>
          <w:p w14:paraId="5EA2113E" w14:textId="77777777" w:rsidR="003C66EB" w:rsidRDefault="00D96C4E">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5EA2113F" w14:textId="77777777" w:rsidR="003C66EB" w:rsidRDefault="00D96C4E">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5EA2114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4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42" w14:textId="77777777" w:rsidR="003C66EB" w:rsidRDefault="00D96C4E">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5EA211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4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45" w14:textId="77777777" w:rsidR="003C66EB" w:rsidRDefault="00D96C4E">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5EA2114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4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48" w14:textId="77777777" w:rsidR="003C66EB" w:rsidRDefault="00D96C4E">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5EA21149" w14:textId="77777777" w:rsidR="003C66EB" w:rsidRDefault="003C66EB">
            <w:pPr>
              <w:jc w:val="right"/>
              <w:rPr>
                <w:rFonts w:ascii="宋体"/>
              </w:rPr>
            </w:pPr>
          </w:p>
        </w:tc>
      </w:tr>
      <w:tr w:rsidR="003C66EB" w14:paraId="5EA21153" w14:textId="77777777">
        <w:trPr>
          <w:hidden/>
        </w:trPr>
        <w:tc>
          <w:tcPr>
            <w:tcW w:w="0" w:type="auto"/>
            <w:gridSpan w:val="3"/>
            <w:shd w:val="clear" w:color="auto" w:fill="auto"/>
          </w:tcPr>
          <w:p w14:paraId="5EA2114B" w14:textId="77777777" w:rsidR="003C66EB" w:rsidRDefault="003C66EB">
            <w:pPr>
              <w:rPr>
                <w:rFonts w:ascii="宋体"/>
                <w:vanish/>
              </w:rPr>
            </w:pPr>
          </w:p>
        </w:tc>
        <w:tc>
          <w:tcPr>
            <w:tcW w:w="0" w:type="auto"/>
            <w:gridSpan w:val="3"/>
            <w:shd w:val="clear" w:color="auto" w:fill="auto"/>
          </w:tcPr>
          <w:p w14:paraId="5EA2114C" w14:textId="77777777" w:rsidR="003C66EB" w:rsidRDefault="003C66EB">
            <w:pPr>
              <w:rPr>
                <w:rFonts w:ascii="宋体"/>
                <w:vanish/>
              </w:rPr>
            </w:pPr>
          </w:p>
        </w:tc>
        <w:tc>
          <w:tcPr>
            <w:tcW w:w="0" w:type="auto"/>
            <w:gridSpan w:val="3"/>
            <w:shd w:val="clear" w:color="auto" w:fill="auto"/>
          </w:tcPr>
          <w:p w14:paraId="5EA2114D" w14:textId="77777777" w:rsidR="003C66EB" w:rsidRDefault="003C66EB">
            <w:pPr>
              <w:rPr>
                <w:rFonts w:ascii="宋体"/>
                <w:vanish/>
              </w:rPr>
            </w:pPr>
          </w:p>
        </w:tc>
        <w:tc>
          <w:tcPr>
            <w:tcW w:w="0" w:type="auto"/>
            <w:gridSpan w:val="3"/>
            <w:shd w:val="clear" w:color="auto" w:fill="auto"/>
          </w:tcPr>
          <w:p w14:paraId="5EA2114E" w14:textId="77777777" w:rsidR="003C66EB" w:rsidRDefault="003C66EB">
            <w:pPr>
              <w:rPr>
                <w:rFonts w:ascii="宋体"/>
                <w:vanish/>
              </w:rPr>
            </w:pPr>
          </w:p>
        </w:tc>
        <w:tc>
          <w:tcPr>
            <w:tcW w:w="0" w:type="auto"/>
            <w:gridSpan w:val="3"/>
            <w:shd w:val="clear" w:color="auto" w:fill="auto"/>
          </w:tcPr>
          <w:p w14:paraId="5EA2114F" w14:textId="77777777" w:rsidR="003C66EB" w:rsidRDefault="003C66EB">
            <w:pPr>
              <w:rPr>
                <w:rFonts w:ascii="宋体"/>
                <w:vanish/>
              </w:rPr>
            </w:pPr>
          </w:p>
        </w:tc>
        <w:tc>
          <w:tcPr>
            <w:tcW w:w="0" w:type="auto"/>
            <w:gridSpan w:val="3"/>
            <w:shd w:val="clear" w:color="auto" w:fill="auto"/>
          </w:tcPr>
          <w:p w14:paraId="5EA21150" w14:textId="77777777" w:rsidR="003C66EB" w:rsidRDefault="003C66EB">
            <w:pPr>
              <w:rPr>
                <w:rFonts w:ascii="宋体"/>
                <w:vanish/>
              </w:rPr>
            </w:pPr>
          </w:p>
        </w:tc>
        <w:tc>
          <w:tcPr>
            <w:tcW w:w="0" w:type="auto"/>
            <w:gridSpan w:val="3"/>
            <w:shd w:val="clear" w:color="auto" w:fill="auto"/>
          </w:tcPr>
          <w:p w14:paraId="5EA21151" w14:textId="77777777" w:rsidR="003C66EB" w:rsidRDefault="003C66EB">
            <w:pPr>
              <w:rPr>
                <w:rFonts w:ascii="宋体"/>
                <w:vanish/>
              </w:rPr>
            </w:pPr>
          </w:p>
        </w:tc>
        <w:tc>
          <w:tcPr>
            <w:tcW w:w="0" w:type="auto"/>
            <w:gridSpan w:val="3"/>
            <w:shd w:val="clear" w:color="auto" w:fill="auto"/>
          </w:tcPr>
          <w:p w14:paraId="5EA21152" w14:textId="77777777" w:rsidR="003C66EB" w:rsidRDefault="003C66EB">
            <w:pPr>
              <w:rPr>
                <w:rFonts w:ascii="宋体"/>
                <w:vanish/>
              </w:rPr>
            </w:pPr>
          </w:p>
        </w:tc>
      </w:tr>
      <w:tr w:rsidR="003C66EB" w14:paraId="5EA2115C" w14:textId="77777777">
        <w:trPr>
          <w:hidden/>
        </w:trPr>
        <w:tc>
          <w:tcPr>
            <w:tcW w:w="0" w:type="auto"/>
            <w:gridSpan w:val="3"/>
            <w:shd w:val="clear" w:color="auto" w:fill="auto"/>
          </w:tcPr>
          <w:p w14:paraId="5EA21154" w14:textId="77777777" w:rsidR="003C66EB" w:rsidRDefault="003C66EB">
            <w:pPr>
              <w:rPr>
                <w:rFonts w:ascii="宋体"/>
                <w:vanish/>
              </w:rPr>
            </w:pPr>
          </w:p>
        </w:tc>
        <w:tc>
          <w:tcPr>
            <w:tcW w:w="0" w:type="auto"/>
            <w:gridSpan w:val="3"/>
            <w:shd w:val="clear" w:color="auto" w:fill="auto"/>
          </w:tcPr>
          <w:p w14:paraId="5EA21155" w14:textId="77777777" w:rsidR="003C66EB" w:rsidRDefault="003C66EB">
            <w:pPr>
              <w:rPr>
                <w:rFonts w:ascii="宋体"/>
                <w:vanish/>
              </w:rPr>
            </w:pPr>
          </w:p>
        </w:tc>
        <w:tc>
          <w:tcPr>
            <w:tcW w:w="0" w:type="auto"/>
            <w:gridSpan w:val="3"/>
            <w:shd w:val="clear" w:color="auto" w:fill="auto"/>
          </w:tcPr>
          <w:p w14:paraId="5EA21156" w14:textId="77777777" w:rsidR="003C66EB" w:rsidRDefault="003C66EB">
            <w:pPr>
              <w:rPr>
                <w:rFonts w:ascii="宋体"/>
                <w:vanish/>
              </w:rPr>
            </w:pPr>
          </w:p>
        </w:tc>
        <w:tc>
          <w:tcPr>
            <w:tcW w:w="0" w:type="auto"/>
            <w:gridSpan w:val="3"/>
            <w:shd w:val="clear" w:color="auto" w:fill="auto"/>
          </w:tcPr>
          <w:p w14:paraId="5EA21157" w14:textId="77777777" w:rsidR="003C66EB" w:rsidRDefault="003C66EB">
            <w:pPr>
              <w:rPr>
                <w:rFonts w:ascii="宋体"/>
                <w:vanish/>
              </w:rPr>
            </w:pPr>
          </w:p>
        </w:tc>
        <w:tc>
          <w:tcPr>
            <w:tcW w:w="0" w:type="auto"/>
            <w:gridSpan w:val="3"/>
            <w:shd w:val="clear" w:color="auto" w:fill="auto"/>
          </w:tcPr>
          <w:p w14:paraId="5EA21158" w14:textId="77777777" w:rsidR="003C66EB" w:rsidRDefault="003C66EB">
            <w:pPr>
              <w:rPr>
                <w:rFonts w:ascii="宋体"/>
                <w:vanish/>
              </w:rPr>
            </w:pPr>
          </w:p>
        </w:tc>
        <w:tc>
          <w:tcPr>
            <w:tcW w:w="0" w:type="auto"/>
            <w:gridSpan w:val="3"/>
            <w:shd w:val="clear" w:color="auto" w:fill="auto"/>
          </w:tcPr>
          <w:p w14:paraId="5EA21159" w14:textId="77777777" w:rsidR="003C66EB" w:rsidRDefault="003C66EB">
            <w:pPr>
              <w:rPr>
                <w:rFonts w:ascii="宋体"/>
                <w:vanish/>
              </w:rPr>
            </w:pPr>
          </w:p>
        </w:tc>
        <w:tc>
          <w:tcPr>
            <w:tcW w:w="0" w:type="auto"/>
            <w:gridSpan w:val="3"/>
            <w:shd w:val="clear" w:color="auto" w:fill="auto"/>
          </w:tcPr>
          <w:p w14:paraId="5EA2115A" w14:textId="77777777" w:rsidR="003C66EB" w:rsidRDefault="003C66EB">
            <w:pPr>
              <w:rPr>
                <w:rFonts w:ascii="宋体"/>
                <w:vanish/>
              </w:rPr>
            </w:pPr>
          </w:p>
        </w:tc>
        <w:tc>
          <w:tcPr>
            <w:tcW w:w="0" w:type="auto"/>
            <w:gridSpan w:val="3"/>
            <w:shd w:val="clear" w:color="auto" w:fill="auto"/>
          </w:tcPr>
          <w:p w14:paraId="5EA2115B" w14:textId="77777777" w:rsidR="003C66EB" w:rsidRDefault="003C66EB">
            <w:pPr>
              <w:rPr>
                <w:rFonts w:ascii="宋体"/>
                <w:vanish/>
              </w:rPr>
            </w:pPr>
          </w:p>
        </w:tc>
      </w:tr>
      <w:tr w:rsidR="003C66EB" w14:paraId="5EA21169" w14:textId="77777777">
        <w:tc>
          <w:tcPr>
            <w:tcW w:w="0" w:type="auto"/>
            <w:gridSpan w:val="3"/>
            <w:shd w:val="clear" w:color="auto" w:fill="FFFFFF"/>
            <w:tcMar>
              <w:top w:w="40" w:type="dxa"/>
              <w:left w:w="20" w:type="dxa"/>
              <w:bottom w:w="40" w:type="dxa"/>
              <w:right w:w="20" w:type="dxa"/>
            </w:tcMar>
            <w:vAlign w:val="bottom"/>
          </w:tcPr>
          <w:p w14:paraId="5EA2115D" w14:textId="77777777" w:rsidR="003C66EB" w:rsidRDefault="00D96C4E">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5E" w14:textId="77777777" w:rsidR="003C66EB" w:rsidRDefault="00D96C4E">
            <w:pPr>
              <w:jc w:val="right"/>
              <w:textAlignment w:val="bottom"/>
            </w:pPr>
            <w:r>
              <w:rPr>
                <w:rFonts w:ascii="Arial" w:eastAsia="宋体" w:hAnsi="Arial" w:cs="Arial"/>
                <w:b/>
                <w:bCs/>
                <w:color w:val="000000"/>
                <w:sz w:val="14"/>
                <w:szCs w:val="14"/>
              </w:rPr>
              <w:t>(1,429)</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5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6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61" w14:textId="77777777" w:rsidR="003C66EB" w:rsidRDefault="00D96C4E">
            <w:pPr>
              <w:jc w:val="right"/>
              <w:textAlignment w:val="bottom"/>
            </w:pPr>
            <w:r>
              <w:rPr>
                <w:rFonts w:ascii="Arial" w:eastAsia="宋体" w:hAnsi="Arial" w:cs="Arial"/>
                <w:b/>
                <w:bCs/>
                <w:color w:val="000000"/>
                <w:sz w:val="14"/>
                <w:szCs w:val="14"/>
              </w:rPr>
              <w:t>(1,429)</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6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64" w14:textId="77777777" w:rsidR="003C66EB" w:rsidRDefault="00D96C4E">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6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67" w14:textId="77777777" w:rsidR="003C66EB" w:rsidRDefault="00D96C4E">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68" w14:textId="77777777" w:rsidR="003C66EB" w:rsidRDefault="003C66EB">
            <w:pPr>
              <w:jc w:val="right"/>
              <w:rPr>
                <w:rFonts w:ascii="宋体"/>
              </w:rPr>
            </w:pPr>
          </w:p>
        </w:tc>
      </w:tr>
      <w:tr w:rsidR="003C66EB" w14:paraId="5EA21176" w14:textId="77777777">
        <w:tc>
          <w:tcPr>
            <w:tcW w:w="0" w:type="auto"/>
            <w:gridSpan w:val="3"/>
            <w:shd w:val="clear" w:color="auto" w:fill="CCEEFF"/>
            <w:tcMar>
              <w:top w:w="40" w:type="dxa"/>
              <w:left w:w="20" w:type="dxa"/>
              <w:bottom w:w="40" w:type="dxa"/>
              <w:right w:w="20" w:type="dxa"/>
            </w:tcMar>
            <w:vAlign w:val="bottom"/>
          </w:tcPr>
          <w:p w14:paraId="5EA2116A" w14:textId="77777777" w:rsidR="003C66EB" w:rsidRDefault="00D96C4E">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6B" w14:textId="77777777" w:rsidR="003C66EB" w:rsidRDefault="00D96C4E">
            <w:pPr>
              <w:jc w:val="right"/>
              <w:textAlignment w:val="bottom"/>
            </w:pPr>
            <w:r>
              <w:rPr>
                <w:rFonts w:ascii="Arial" w:eastAsia="宋体" w:hAnsi="Arial" w:cs="Arial"/>
                <w:b/>
                <w:bCs/>
                <w:color w:val="000000"/>
                <w:sz w:val="14"/>
                <w:szCs w:val="14"/>
              </w:rPr>
              <w:t>15,419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6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6E" w14:textId="77777777" w:rsidR="003C66EB" w:rsidRDefault="00D96C4E">
            <w:pPr>
              <w:jc w:val="right"/>
              <w:textAlignment w:val="bottom"/>
            </w:pPr>
            <w:r>
              <w:rPr>
                <w:rFonts w:ascii="Arial" w:eastAsia="宋体" w:hAnsi="Arial" w:cs="Arial"/>
                <w:b/>
                <w:bCs/>
                <w:color w:val="000000"/>
                <w:sz w:val="14"/>
                <w:szCs w:val="14"/>
              </w:rPr>
              <w:t>15,419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6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7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71" w14:textId="77777777" w:rsidR="003C66EB" w:rsidRDefault="00D96C4E">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7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7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74" w14:textId="77777777" w:rsidR="003C66EB" w:rsidRDefault="00D96C4E">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75" w14:textId="77777777" w:rsidR="003C66EB" w:rsidRDefault="003C66EB">
            <w:pPr>
              <w:jc w:val="right"/>
              <w:rPr>
                <w:rFonts w:ascii="宋体"/>
              </w:rPr>
            </w:pPr>
          </w:p>
        </w:tc>
      </w:tr>
      <w:tr w:rsidR="003C66EB" w14:paraId="5EA2117F" w14:textId="77777777">
        <w:tc>
          <w:tcPr>
            <w:tcW w:w="0" w:type="auto"/>
            <w:gridSpan w:val="3"/>
            <w:shd w:val="clear" w:color="auto" w:fill="FFFFFF"/>
            <w:tcMar>
              <w:top w:w="40" w:type="dxa"/>
              <w:left w:w="20" w:type="dxa"/>
              <w:bottom w:w="40" w:type="dxa"/>
              <w:right w:w="20" w:type="dxa"/>
            </w:tcMar>
            <w:vAlign w:val="bottom"/>
          </w:tcPr>
          <w:p w14:paraId="5EA21177" w14:textId="77777777" w:rsidR="003C66EB" w:rsidRDefault="00D96C4E">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5EA2117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7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7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7B"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7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7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7E" w14:textId="77777777" w:rsidR="003C66EB" w:rsidRDefault="003C66EB">
            <w:pPr>
              <w:rPr>
                <w:rFonts w:ascii="宋体"/>
              </w:rPr>
            </w:pPr>
          </w:p>
        </w:tc>
      </w:tr>
      <w:tr w:rsidR="003C66EB" w14:paraId="5EA2118C" w14:textId="77777777">
        <w:tc>
          <w:tcPr>
            <w:tcW w:w="0" w:type="auto"/>
            <w:gridSpan w:val="3"/>
            <w:shd w:val="clear" w:color="auto" w:fill="CCEEFF"/>
            <w:tcMar>
              <w:top w:w="40" w:type="dxa"/>
              <w:left w:w="20" w:type="dxa"/>
              <w:bottom w:w="40" w:type="dxa"/>
              <w:right w:w="20" w:type="dxa"/>
            </w:tcMar>
            <w:vAlign w:val="bottom"/>
          </w:tcPr>
          <w:p w14:paraId="5EA21180" w14:textId="77777777" w:rsidR="003C66EB" w:rsidRDefault="00D96C4E">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5EA21181" w14:textId="77777777" w:rsidR="003C66EB" w:rsidRDefault="00D96C4E">
            <w:pPr>
              <w:jc w:val="right"/>
              <w:textAlignment w:val="bottom"/>
            </w:pPr>
            <w:r>
              <w:rPr>
                <w:rFonts w:ascii="Arial" w:eastAsia="宋体" w:hAnsi="Arial" w:cs="Arial"/>
                <w:b/>
                <w:bCs/>
                <w:color w:val="000000"/>
                <w:sz w:val="14"/>
                <w:szCs w:val="14"/>
              </w:rPr>
              <w:t>962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8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8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84" w14:textId="77777777" w:rsidR="003C66EB" w:rsidRDefault="00D96C4E">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8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8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87" w14:textId="77777777" w:rsidR="003C66EB" w:rsidRDefault="00D96C4E">
            <w:pPr>
              <w:jc w:val="right"/>
              <w:textAlignment w:val="bottom"/>
            </w:pPr>
            <w:r>
              <w:rPr>
                <w:rFonts w:ascii="Arial" w:eastAsia="宋体" w:hAnsi="Arial" w:cs="Arial"/>
                <w:color w:val="000000"/>
                <w:sz w:val="14"/>
                <w:szCs w:val="14"/>
              </w:rPr>
              <w:t>1,100 </w:t>
            </w:r>
          </w:p>
        </w:tc>
        <w:tc>
          <w:tcPr>
            <w:tcW w:w="0" w:type="auto"/>
            <w:shd w:val="clear" w:color="auto" w:fill="CCEEFF"/>
            <w:tcMar>
              <w:top w:w="40" w:type="dxa"/>
              <w:left w:w="0" w:type="dxa"/>
              <w:bottom w:w="40" w:type="dxa"/>
              <w:right w:w="20" w:type="dxa"/>
            </w:tcMar>
            <w:vAlign w:val="bottom"/>
          </w:tcPr>
          <w:p w14:paraId="5EA211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8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8A" w14:textId="77777777" w:rsidR="003C66EB" w:rsidRDefault="00D96C4E">
            <w:pPr>
              <w:jc w:val="right"/>
              <w:textAlignment w:val="bottom"/>
            </w:pPr>
            <w:r>
              <w:rPr>
                <w:rFonts w:ascii="Arial" w:eastAsia="宋体" w:hAnsi="Arial" w:cs="Arial"/>
                <w:color w:val="000000"/>
                <w:sz w:val="14"/>
                <w:szCs w:val="14"/>
              </w:rPr>
              <w:t>1,185 </w:t>
            </w:r>
          </w:p>
        </w:tc>
        <w:tc>
          <w:tcPr>
            <w:tcW w:w="0" w:type="auto"/>
            <w:shd w:val="clear" w:color="auto" w:fill="CCEEFF"/>
            <w:tcMar>
              <w:top w:w="40" w:type="dxa"/>
              <w:left w:w="0" w:type="dxa"/>
              <w:bottom w:w="40" w:type="dxa"/>
              <w:right w:w="20" w:type="dxa"/>
            </w:tcMar>
            <w:vAlign w:val="bottom"/>
          </w:tcPr>
          <w:p w14:paraId="5EA2118B" w14:textId="77777777" w:rsidR="003C66EB" w:rsidRDefault="003C66EB">
            <w:pPr>
              <w:jc w:val="right"/>
              <w:rPr>
                <w:rFonts w:ascii="宋体"/>
              </w:rPr>
            </w:pPr>
          </w:p>
        </w:tc>
      </w:tr>
      <w:tr w:rsidR="003C66EB" w14:paraId="5EA21199" w14:textId="77777777">
        <w:tc>
          <w:tcPr>
            <w:tcW w:w="0" w:type="auto"/>
            <w:gridSpan w:val="3"/>
            <w:shd w:val="clear" w:color="auto" w:fill="FFFFFF"/>
            <w:tcMar>
              <w:top w:w="40" w:type="dxa"/>
              <w:left w:w="20" w:type="dxa"/>
              <w:bottom w:w="40" w:type="dxa"/>
              <w:right w:w="20" w:type="dxa"/>
            </w:tcMar>
            <w:vAlign w:val="bottom"/>
          </w:tcPr>
          <w:p w14:paraId="5EA2118D" w14:textId="77777777" w:rsidR="003C66EB" w:rsidRDefault="00D96C4E">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5EA2118E" w14:textId="77777777" w:rsidR="003C66EB" w:rsidRDefault="00D96C4E">
            <w:pPr>
              <w:jc w:val="right"/>
              <w:textAlignment w:val="bottom"/>
            </w:pPr>
            <w:r>
              <w:rPr>
                <w:rFonts w:ascii="Arial" w:eastAsia="宋体" w:hAnsi="Arial" w:cs="Arial"/>
                <w:b/>
                <w:bCs/>
                <w:color w:val="000000"/>
                <w:sz w:val="14"/>
                <w:szCs w:val="14"/>
              </w:rPr>
              <w:t>840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1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91" w14:textId="77777777" w:rsidR="003C66EB" w:rsidRDefault="00D96C4E">
            <w:pPr>
              <w:jc w:val="right"/>
              <w:textAlignment w:val="bottom"/>
            </w:pPr>
            <w:r>
              <w:rPr>
                <w:rFonts w:ascii="Arial" w:eastAsia="宋体" w:hAnsi="Arial" w:cs="Arial"/>
                <w:b/>
                <w:bCs/>
                <w:color w:val="000000"/>
                <w:sz w:val="14"/>
                <w:szCs w:val="14"/>
              </w:rPr>
              <w:t>840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1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94" w14:textId="77777777" w:rsidR="003C66EB" w:rsidRDefault="00D96C4E">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5EA211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97" w14:textId="77777777" w:rsidR="003C66EB" w:rsidRDefault="00D96C4E">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5EA21198" w14:textId="77777777" w:rsidR="003C66EB" w:rsidRDefault="003C66EB">
            <w:pPr>
              <w:jc w:val="right"/>
              <w:rPr>
                <w:rFonts w:ascii="宋体"/>
              </w:rPr>
            </w:pPr>
          </w:p>
        </w:tc>
      </w:tr>
      <w:tr w:rsidR="003C66EB" w14:paraId="5EA211A2" w14:textId="77777777">
        <w:trPr>
          <w:hidden/>
        </w:trPr>
        <w:tc>
          <w:tcPr>
            <w:tcW w:w="0" w:type="auto"/>
            <w:gridSpan w:val="3"/>
            <w:shd w:val="clear" w:color="auto" w:fill="auto"/>
          </w:tcPr>
          <w:p w14:paraId="5EA2119A" w14:textId="77777777" w:rsidR="003C66EB" w:rsidRDefault="003C66EB">
            <w:pPr>
              <w:rPr>
                <w:rFonts w:ascii="宋体"/>
                <w:vanish/>
              </w:rPr>
            </w:pPr>
          </w:p>
        </w:tc>
        <w:tc>
          <w:tcPr>
            <w:tcW w:w="0" w:type="auto"/>
            <w:gridSpan w:val="3"/>
            <w:shd w:val="clear" w:color="auto" w:fill="auto"/>
          </w:tcPr>
          <w:p w14:paraId="5EA2119B" w14:textId="77777777" w:rsidR="003C66EB" w:rsidRDefault="003C66EB">
            <w:pPr>
              <w:rPr>
                <w:rFonts w:ascii="宋体"/>
                <w:vanish/>
              </w:rPr>
            </w:pPr>
          </w:p>
        </w:tc>
        <w:tc>
          <w:tcPr>
            <w:tcW w:w="0" w:type="auto"/>
            <w:gridSpan w:val="3"/>
            <w:shd w:val="clear" w:color="auto" w:fill="auto"/>
          </w:tcPr>
          <w:p w14:paraId="5EA2119C" w14:textId="77777777" w:rsidR="003C66EB" w:rsidRDefault="003C66EB">
            <w:pPr>
              <w:rPr>
                <w:rFonts w:ascii="宋体"/>
                <w:vanish/>
              </w:rPr>
            </w:pPr>
          </w:p>
        </w:tc>
        <w:tc>
          <w:tcPr>
            <w:tcW w:w="0" w:type="auto"/>
            <w:gridSpan w:val="3"/>
            <w:shd w:val="clear" w:color="auto" w:fill="auto"/>
          </w:tcPr>
          <w:p w14:paraId="5EA2119D" w14:textId="77777777" w:rsidR="003C66EB" w:rsidRDefault="003C66EB">
            <w:pPr>
              <w:rPr>
                <w:rFonts w:ascii="宋体"/>
                <w:vanish/>
              </w:rPr>
            </w:pPr>
          </w:p>
        </w:tc>
        <w:tc>
          <w:tcPr>
            <w:tcW w:w="0" w:type="auto"/>
            <w:gridSpan w:val="3"/>
            <w:shd w:val="clear" w:color="auto" w:fill="auto"/>
          </w:tcPr>
          <w:p w14:paraId="5EA2119E" w14:textId="77777777" w:rsidR="003C66EB" w:rsidRDefault="003C66EB">
            <w:pPr>
              <w:rPr>
                <w:rFonts w:ascii="宋体"/>
                <w:vanish/>
              </w:rPr>
            </w:pPr>
          </w:p>
        </w:tc>
        <w:tc>
          <w:tcPr>
            <w:tcW w:w="0" w:type="auto"/>
            <w:gridSpan w:val="3"/>
            <w:shd w:val="clear" w:color="auto" w:fill="auto"/>
          </w:tcPr>
          <w:p w14:paraId="5EA2119F" w14:textId="77777777" w:rsidR="003C66EB" w:rsidRDefault="003C66EB">
            <w:pPr>
              <w:rPr>
                <w:rFonts w:ascii="宋体"/>
                <w:vanish/>
              </w:rPr>
            </w:pPr>
          </w:p>
        </w:tc>
        <w:tc>
          <w:tcPr>
            <w:tcW w:w="0" w:type="auto"/>
            <w:gridSpan w:val="3"/>
            <w:shd w:val="clear" w:color="auto" w:fill="auto"/>
          </w:tcPr>
          <w:p w14:paraId="5EA211A0" w14:textId="77777777" w:rsidR="003C66EB" w:rsidRDefault="003C66EB">
            <w:pPr>
              <w:rPr>
                <w:rFonts w:ascii="宋体"/>
                <w:vanish/>
              </w:rPr>
            </w:pPr>
          </w:p>
        </w:tc>
        <w:tc>
          <w:tcPr>
            <w:tcW w:w="0" w:type="auto"/>
            <w:gridSpan w:val="3"/>
            <w:shd w:val="clear" w:color="auto" w:fill="auto"/>
          </w:tcPr>
          <w:p w14:paraId="5EA211A1" w14:textId="77777777" w:rsidR="003C66EB" w:rsidRDefault="003C66EB">
            <w:pPr>
              <w:rPr>
                <w:rFonts w:ascii="宋体"/>
                <w:vanish/>
              </w:rPr>
            </w:pPr>
          </w:p>
        </w:tc>
      </w:tr>
      <w:tr w:rsidR="003C66EB" w14:paraId="5EA211AF" w14:textId="77777777">
        <w:tc>
          <w:tcPr>
            <w:tcW w:w="0" w:type="auto"/>
            <w:gridSpan w:val="3"/>
            <w:shd w:val="clear" w:color="auto" w:fill="CCEEFF"/>
            <w:tcMar>
              <w:top w:w="40" w:type="dxa"/>
              <w:left w:w="20" w:type="dxa"/>
              <w:bottom w:w="40" w:type="dxa"/>
              <w:right w:w="20" w:type="dxa"/>
            </w:tcMar>
            <w:vAlign w:val="bottom"/>
          </w:tcPr>
          <w:p w14:paraId="5EA211A3" w14:textId="77777777" w:rsidR="003C66EB" w:rsidRDefault="00D96C4E">
            <w:pPr>
              <w:textAlignment w:val="bottom"/>
            </w:pPr>
            <w:r>
              <w:rPr>
                <w:rFonts w:ascii="Arial" w:eastAsia="宋体" w:hAnsi="Arial" w:cs="Arial"/>
                <w:color w:val="000000"/>
                <w:sz w:val="14"/>
                <w:szCs w:val="14"/>
              </w:rPr>
              <w:t>Changes in allowance for credit losses</w:t>
            </w:r>
          </w:p>
        </w:tc>
        <w:tc>
          <w:tcPr>
            <w:tcW w:w="0" w:type="auto"/>
            <w:gridSpan w:val="2"/>
            <w:shd w:val="clear" w:color="auto" w:fill="CCEEFF"/>
            <w:tcMar>
              <w:top w:w="40" w:type="dxa"/>
              <w:left w:w="20" w:type="dxa"/>
              <w:bottom w:w="40" w:type="dxa"/>
              <w:right w:w="0" w:type="dxa"/>
            </w:tcMar>
            <w:vAlign w:val="bottom"/>
          </w:tcPr>
          <w:p w14:paraId="5EA211A4" w14:textId="77777777" w:rsidR="003C66EB" w:rsidRDefault="00D96C4E">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A211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A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A7" w14:textId="77777777" w:rsidR="003C66EB" w:rsidRDefault="00D96C4E">
            <w:pPr>
              <w:jc w:val="right"/>
              <w:textAlignment w:val="bottom"/>
            </w:pPr>
            <w:r>
              <w:rPr>
                <w:rFonts w:ascii="Arial" w:eastAsia="宋体" w:hAnsi="Arial" w:cs="Arial"/>
                <w:b/>
                <w:bCs/>
                <w:color w:val="000000"/>
                <w:sz w:val="14"/>
                <w:szCs w:val="14"/>
              </w:rPr>
              <w:t>(13)</w:t>
            </w:r>
          </w:p>
        </w:tc>
        <w:tc>
          <w:tcPr>
            <w:tcW w:w="0" w:type="auto"/>
            <w:shd w:val="clear" w:color="auto" w:fill="CCEEFF"/>
            <w:tcMar>
              <w:top w:w="40" w:type="dxa"/>
              <w:left w:w="0" w:type="dxa"/>
              <w:bottom w:w="40" w:type="dxa"/>
              <w:right w:w="20" w:type="dxa"/>
            </w:tcMar>
            <w:vAlign w:val="bottom"/>
          </w:tcPr>
          <w:p w14:paraId="5EA211A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A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AA" w14:textId="77777777" w:rsidR="003C66EB" w:rsidRDefault="00D96C4E">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EA211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A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AD" w14:textId="77777777" w:rsidR="003C66EB" w:rsidRDefault="00D96C4E">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5EA211AE" w14:textId="77777777" w:rsidR="003C66EB" w:rsidRDefault="003C66EB">
            <w:pPr>
              <w:jc w:val="right"/>
              <w:rPr>
                <w:rFonts w:ascii="宋体"/>
              </w:rPr>
            </w:pPr>
          </w:p>
        </w:tc>
      </w:tr>
      <w:tr w:rsidR="003C66EB" w14:paraId="5EA211B8" w14:textId="77777777">
        <w:trPr>
          <w:hidden/>
        </w:trPr>
        <w:tc>
          <w:tcPr>
            <w:tcW w:w="0" w:type="auto"/>
            <w:gridSpan w:val="3"/>
            <w:shd w:val="clear" w:color="auto" w:fill="auto"/>
          </w:tcPr>
          <w:p w14:paraId="5EA211B0" w14:textId="77777777" w:rsidR="003C66EB" w:rsidRDefault="003C66EB">
            <w:pPr>
              <w:rPr>
                <w:rFonts w:ascii="宋体"/>
                <w:vanish/>
              </w:rPr>
            </w:pPr>
          </w:p>
        </w:tc>
        <w:tc>
          <w:tcPr>
            <w:tcW w:w="0" w:type="auto"/>
            <w:gridSpan w:val="3"/>
            <w:shd w:val="clear" w:color="auto" w:fill="auto"/>
          </w:tcPr>
          <w:p w14:paraId="5EA211B1" w14:textId="77777777" w:rsidR="003C66EB" w:rsidRDefault="003C66EB">
            <w:pPr>
              <w:rPr>
                <w:rFonts w:ascii="宋体"/>
                <w:vanish/>
              </w:rPr>
            </w:pPr>
          </w:p>
        </w:tc>
        <w:tc>
          <w:tcPr>
            <w:tcW w:w="0" w:type="auto"/>
            <w:gridSpan w:val="3"/>
            <w:shd w:val="clear" w:color="auto" w:fill="auto"/>
          </w:tcPr>
          <w:p w14:paraId="5EA211B2" w14:textId="77777777" w:rsidR="003C66EB" w:rsidRDefault="003C66EB">
            <w:pPr>
              <w:rPr>
                <w:rFonts w:ascii="宋体"/>
                <w:vanish/>
              </w:rPr>
            </w:pPr>
          </w:p>
        </w:tc>
        <w:tc>
          <w:tcPr>
            <w:tcW w:w="0" w:type="auto"/>
            <w:gridSpan w:val="3"/>
            <w:shd w:val="clear" w:color="auto" w:fill="auto"/>
          </w:tcPr>
          <w:p w14:paraId="5EA211B3" w14:textId="77777777" w:rsidR="003C66EB" w:rsidRDefault="003C66EB">
            <w:pPr>
              <w:rPr>
                <w:rFonts w:ascii="宋体"/>
                <w:vanish/>
              </w:rPr>
            </w:pPr>
          </w:p>
        </w:tc>
        <w:tc>
          <w:tcPr>
            <w:tcW w:w="0" w:type="auto"/>
            <w:gridSpan w:val="3"/>
            <w:shd w:val="clear" w:color="auto" w:fill="auto"/>
          </w:tcPr>
          <w:p w14:paraId="5EA211B4" w14:textId="77777777" w:rsidR="003C66EB" w:rsidRDefault="003C66EB">
            <w:pPr>
              <w:rPr>
                <w:rFonts w:ascii="宋体"/>
                <w:vanish/>
              </w:rPr>
            </w:pPr>
          </w:p>
        </w:tc>
        <w:tc>
          <w:tcPr>
            <w:tcW w:w="0" w:type="auto"/>
            <w:gridSpan w:val="3"/>
            <w:shd w:val="clear" w:color="auto" w:fill="auto"/>
          </w:tcPr>
          <w:p w14:paraId="5EA211B5" w14:textId="77777777" w:rsidR="003C66EB" w:rsidRDefault="003C66EB">
            <w:pPr>
              <w:rPr>
                <w:rFonts w:ascii="宋体"/>
                <w:vanish/>
              </w:rPr>
            </w:pPr>
          </w:p>
        </w:tc>
        <w:tc>
          <w:tcPr>
            <w:tcW w:w="0" w:type="auto"/>
            <w:gridSpan w:val="3"/>
            <w:shd w:val="clear" w:color="auto" w:fill="auto"/>
          </w:tcPr>
          <w:p w14:paraId="5EA211B6" w14:textId="77777777" w:rsidR="003C66EB" w:rsidRDefault="003C66EB">
            <w:pPr>
              <w:rPr>
                <w:rFonts w:ascii="宋体"/>
                <w:vanish/>
              </w:rPr>
            </w:pPr>
          </w:p>
        </w:tc>
        <w:tc>
          <w:tcPr>
            <w:tcW w:w="0" w:type="auto"/>
            <w:gridSpan w:val="3"/>
            <w:shd w:val="clear" w:color="auto" w:fill="auto"/>
          </w:tcPr>
          <w:p w14:paraId="5EA211B7" w14:textId="77777777" w:rsidR="003C66EB" w:rsidRDefault="003C66EB">
            <w:pPr>
              <w:rPr>
                <w:rFonts w:ascii="宋体"/>
                <w:vanish/>
              </w:rPr>
            </w:pPr>
          </w:p>
        </w:tc>
      </w:tr>
      <w:tr w:rsidR="003C66EB" w14:paraId="5EA211C5" w14:textId="77777777">
        <w:tc>
          <w:tcPr>
            <w:tcW w:w="0" w:type="auto"/>
            <w:gridSpan w:val="3"/>
            <w:shd w:val="clear" w:color="auto" w:fill="FFFFFF"/>
            <w:tcMar>
              <w:top w:w="40" w:type="dxa"/>
              <w:left w:w="20" w:type="dxa"/>
              <w:bottom w:w="40" w:type="dxa"/>
              <w:right w:w="20" w:type="dxa"/>
            </w:tcMar>
            <w:vAlign w:val="bottom"/>
          </w:tcPr>
          <w:p w14:paraId="5EA211B9" w14:textId="77777777" w:rsidR="003C66EB" w:rsidRDefault="00D96C4E">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BA" w14:textId="77777777" w:rsidR="003C66EB" w:rsidRDefault="00D96C4E">
            <w:pPr>
              <w:jc w:val="right"/>
              <w:textAlignment w:val="bottom"/>
            </w:pPr>
            <w:r>
              <w:rPr>
                <w:rFonts w:ascii="Arial" w:eastAsia="宋体" w:hAnsi="Arial" w:cs="Arial"/>
                <w:b/>
                <w:bCs/>
                <w:color w:val="000000"/>
                <w:sz w:val="14"/>
                <w:szCs w:val="14"/>
              </w:rPr>
              <w:t>839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B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B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BD" w14:textId="77777777" w:rsidR="003C66EB" w:rsidRDefault="00D96C4E">
            <w:pPr>
              <w:jc w:val="right"/>
              <w:textAlignment w:val="bottom"/>
            </w:pPr>
            <w:r>
              <w:rPr>
                <w:rFonts w:ascii="Arial" w:eastAsia="宋体" w:hAnsi="Arial" w:cs="Arial"/>
                <w:b/>
                <w:bCs/>
                <w:color w:val="000000"/>
                <w:sz w:val="14"/>
                <w:szCs w:val="14"/>
              </w:rPr>
              <w:t>827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B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B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C0" w14:textId="77777777" w:rsidR="003C66EB" w:rsidRDefault="00D96C4E">
            <w:pPr>
              <w:jc w:val="right"/>
              <w:textAlignment w:val="bottom"/>
            </w:pPr>
            <w:r>
              <w:rPr>
                <w:rFonts w:ascii="Arial" w:eastAsia="宋体" w:hAnsi="Arial" w:cs="Arial"/>
                <w:color w:val="000000"/>
                <w:sz w:val="14"/>
                <w:szCs w:val="14"/>
              </w:rPr>
              <w:t>(138)</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C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1C3" w14:textId="77777777" w:rsidR="003C66EB" w:rsidRDefault="00D96C4E">
            <w:pPr>
              <w:jc w:val="right"/>
              <w:textAlignment w:val="bottom"/>
            </w:pPr>
            <w:r>
              <w:rPr>
                <w:rFonts w:ascii="Arial" w:eastAsia="宋体" w:hAnsi="Arial" w:cs="Arial"/>
                <w:color w:val="000000"/>
                <w:sz w:val="14"/>
                <w:szCs w:val="14"/>
              </w:rPr>
              <w:t>(76)</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1C4" w14:textId="77777777" w:rsidR="003C66EB" w:rsidRDefault="003C66EB">
            <w:pPr>
              <w:jc w:val="right"/>
              <w:rPr>
                <w:rFonts w:ascii="宋体"/>
              </w:rPr>
            </w:pPr>
          </w:p>
        </w:tc>
      </w:tr>
      <w:tr w:rsidR="003C66EB" w14:paraId="5EA211D2" w14:textId="77777777">
        <w:tc>
          <w:tcPr>
            <w:tcW w:w="0" w:type="auto"/>
            <w:gridSpan w:val="3"/>
            <w:shd w:val="clear" w:color="auto" w:fill="CCEEFF"/>
            <w:tcMar>
              <w:top w:w="40" w:type="dxa"/>
              <w:left w:w="20" w:type="dxa"/>
              <w:bottom w:w="40" w:type="dxa"/>
              <w:right w:w="20" w:type="dxa"/>
            </w:tcMar>
            <w:vAlign w:val="bottom"/>
          </w:tcPr>
          <w:p w14:paraId="5EA211C6" w14:textId="77777777" w:rsidR="003C66EB" w:rsidRDefault="00D96C4E">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C7" w14:textId="77777777" w:rsidR="003C66EB" w:rsidRDefault="00D96C4E">
            <w:pPr>
              <w:jc w:val="right"/>
              <w:textAlignment w:val="bottom"/>
            </w:pPr>
            <w:r>
              <w:rPr>
                <w:rFonts w:ascii="Arial" w:eastAsia="宋体" w:hAnsi="Arial" w:cs="Arial"/>
                <w:b/>
                <w:bCs/>
                <w:color w:val="000000"/>
                <w:sz w:val="14"/>
                <w:szCs w:val="14"/>
              </w:rPr>
              <w:t>1,801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C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C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CA" w14:textId="77777777" w:rsidR="003C66EB" w:rsidRDefault="00D96C4E">
            <w:pPr>
              <w:jc w:val="right"/>
              <w:textAlignment w:val="bottom"/>
            </w:pPr>
            <w:r>
              <w:rPr>
                <w:rFonts w:ascii="Arial" w:eastAsia="宋体" w:hAnsi="Arial" w:cs="Arial"/>
                <w:b/>
                <w:bCs/>
                <w:color w:val="000000"/>
                <w:sz w:val="14"/>
                <w:szCs w:val="14"/>
              </w:rPr>
              <w:t>1,936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C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C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CD" w14:textId="77777777" w:rsidR="003C66EB" w:rsidRDefault="00D96C4E">
            <w:pPr>
              <w:jc w:val="right"/>
              <w:textAlignment w:val="bottom"/>
            </w:pPr>
            <w:r>
              <w:rPr>
                <w:rFonts w:ascii="Arial" w:eastAsia="宋体" w:hAnsi="Arial" w:cs="Arial"/>
                <w:color w:val="000000"/>
                <w:sz w:val="14"/>
                <w:szCs w:val="14"/>
              </w:rPr>
              <w:t>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C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C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1D0" w14:textId="77777777" w:rsidR="003C66EB" w:rsidRDefault="00D96C4E">
            <w:pPr>
              <w:jc w:val="right"/>
              <w:textAlignment w:val="bottom"/>
            </w:pPr>
            <w:r>
              <w:rPr>
                <w:rFonts w:ascii="Arial" w:eastAsia="宋体" w:hAnsi="Arial" w:cs="Arial"/>
                <w:color w:val="000000"/>
                <w:sz w:val="14"/>
                <w:szCs w:val="14"/>
              </w:rPr>
              <w:t>1,109 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1D1" w14:textId="77777777" w:rsidR="003C66EB" w:rsidRDefault="003C66EB">
            <w:pPr>
              <w:jc w:val="right"/>
              <w:rPr>
                <w:rFonts w:ascii="宋体"/>
              </w:rPr>
            </w:pPr>
          </w:p>
        </w:tc>
      </w:tr>
      <w:tr w:rsidR="003C66EB" w14:paraId="5EA211DB" w14:textId="77777777">
        <w:tc>
          <w:tcPr>
            <w:tcW w:w="0" w:type="auto"/>
            <w:gridSpan w:val="3"/>
            <w:shd w:val="clear" w:color="auto" w:fill="FFFFFF"/>
            <w:tcMar>
              <w:top w:w="40" w:type="dxa"/>
              <w:left w:w="20" w:type="dxa"/>
              <w:bottom w:w="40" w:type="dxa"/>
              <w:right w:w="20" w:type="dxa"/>
            </w:tcMar>
            <w:vAlign w:val="bottom"/>
          </w:tcPr>
          <w:p w14:paraId="5EA211D3" w14:textId="77777777" w:rsidR="003C66EB" w:rsidRDefault="00D96C4E">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5EA211D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D5"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D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D7"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D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1D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1DA" w14:textId="77777777" w:rsidR="003C66EB" w:rsidRDefault="003C66EB">
            <w:pPr>
              <w:rPr>
                <w:rFonts w:ascii="宋体"/>
              </w:rPr>
            </w:pPr>
          </w:p>
        </w:tc>
      </w:tr>
      <w:tr w:rsidR="003C66EB" w14:paraId="5EA211E8" w14:textId="77777777">
        <w:tc>
          <w:tcPr>
            <w:tcW w:w="0" w:type="auto"/>
            <w:gridSpan w:val="3"/>
            <w:shd w:val="clear" w:color="auto" w:fill="CCEEFF"/>
            <w:tcMar>
              <w:top w:w="40" w:type="dxa"/>
              <w:left w:w="20" w:type="dxa"/>
              <w:bottom w:w="40" w:type="dxa"/>
              <w:right w:w="20" w:type="dxa"/>
            </w:tcMar>
            <w:vAlign w:val="bottom"/>
          </w:tcPr>
          <w:p w14:paraId="5EA211DC" w14:textId="77777777" w:rsidR="003C66EB" w:rsidRDefault="00D96C4E">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5EA211DD" w14:textId="77777777" w:rsidR="003C66EB" w:rsidRDefault="00D96C4E">
            <w:pPr>
              <w:jc w:val="right"/>
              <w:textAlignment w:val="bottom"/>
            </w:pPr>
            <w:r>
              <w:rPr>
                <w:rFonts w:ascii="Arial" w:eastAsia="宋体" w:hAnsi="Arial" w:cs="Arial"/>
                <w:b/>
                <w:bCs/>
                <w:color w:val="000000"/>
                <w:sz w:val="14"/>
                <w:szCs w:val="14"/>
              </w:rPr>
              <w:t>17,810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D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D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E0" w14:textId="77777777" w:rsidR="003C66EB" w:rsidRDefault="00D96C4E">
            <w:pPr>
              <w:jc w:val="right"/>
              <w:textAlignment w:val="bottom"/>
            </w:pPr>
            <w:r>
              <w:rPr>
                <w:rFonts w:ascii="Arial" w:eastAsia="宋体" w:hAnsi="Arial" w:cs="Arial"/>
                <w:b/>
                <w:bCs/>
                <w:color w:val="000000"/>
                <w:sz w:val="14"/>
                <w:szCs w:val="14"/>
              </w:rPr>
              <w:t>17,957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E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E3" w14:textId="77777777" w:rsidR="003C66EB" w:rsidRDefault="00D96C4E">
            <w:pPr>
              <w:jc w:val="right"/>
              <w:textAlignment w:val="bottom"/>
            </w:pPr>
            <w:r>
              <w:rPr>
                <w:rFonts w:ascii="Arial" w:eastAsia="宋体" w:hAnsi="Arial" w:cs="Arial"/>
                <w:color w:val="000000"/>
                <w:sz w:val="14"/>
                <w:szCs w:val="14"/>
              </w:rPr>
              <w:t>16,275 </w:t>
            </w:r>
          </w:p>
        </w:tc>
        <w:tc>
          <w:tcPr>
            <w:tcW w:w="0" w:type="auto"/>
            <w:shd w:val="clear" w:color="auto" w:fill="CCEEFF"/>
            <w:tcMar>
              <w:top w:w="40" w:type="dxa"/>
              <w:left w:w="0" w:type="dxa"/>
              <w:bottom w:w="40" w:type="dxa"/>
              <w:right w:w="20" w:type="dxa"/>
            </w:tcMar>
            <w:vAlign w:val="bottom"/>
          </w:tcPr>
          <w:p w14:paraId="5EA211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E6" w14:textId="77777777" w:rsidR="003C66EB" w:rsidRDefault="00D96C4E">
            <w:pPr>
              <w:jc w:val="right"/>
              <w:textAlignment w:val="bottom"/>
            </w:pPr>
            <w:r>
              <w:rPr>
                <w:rFonts w:ascii="Arial" w:eastAsia="宋体" w:hAnsi="Arial" w:cs="Arial"/>
                <w:color w:val="000000"/>
                <w:sz w:val="14"/>
                <w:szCs w:val="14"/>
              </w:rPr>
              <w:t>16,360 </w:t>
            </w:r>
          </w:p>
        </w:tc>
        <w:tc>
          <w:tcPr>
            <w:tcW w:w="0" w:type="auto"/>
            <w:shd w:val="clear" w:color="auto" w:fill="CCEEFF"/>
            <w:tcMar>
              <w:top w:w="40" w:type="dxa"/>
              <w:left w:w="0" w:type="dxa"/>
              <w:bottom w:w="40" w:type="dxa"/>
              <w:right w:w="20" w:type="dxa"/>
            </w:tcMar>
            <w:vAlign w:val="bottom"/>
          </w:tcPr>
          <w:p w14:paraId="5EA211E7" w14:textId="77777777" w:rsidR="003C66EB" w:rsidRDefault="003C66EB">
            <w:pPr>
              <w:jc w:val="right"/>
              <w:rPr>
                <w:rFonts w:ascii="宋体"/>
              </w:rPr>
            </w:pPr>
          </w:p>
        </w:tc>
      </w:tr>
      <w:tr w:rsidR="003C66EB" w14:paraId="5EA211F5" w14:textId="77777777">
        <w:tc>
          <w:tcPr>
            <w:tcW w:w="0" w:type="auto"/>
            <w:gridSpan w:val="3"/>
            <w:shd w:val="clear" w:color="auto" w:fill="FFFFFF"/>
            <w:tcMar>
              <w:top w:w="40" w:type="dxa"/>
              <w:left w:w="20" w:type="dxa"/>
              <w:bottom w:w="40" w:type="dxa"/>
              <w:right w:w="20" w:type="dxa"/>
            </w:tcMar>
            <w:vAlign w:val="bottom"/>
          </w:tcPr>
          <w:p w14:paraId="5EA211E9" w14:textId="77777777" w:rsidR="003C66EB" w:rsidRDefault="00D96C4E">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5EA211EA" w14:textId="77777777" w:rsidR="003C66EB" w:rsidRDefault="00D96C4E">
            <w:pPr>
              <w:jc w:val="right"/>
              <w:textAlignment w:val="bottom"/>
            </w:pPr>
            <w:r>
              <w:rPr>
                <w:rFonts w:ascii="Arial" w:eastAsia="宋体" w:hAnsi="Arial" w:cs="Arial"/>
                <w:b/>
                <w:bCs/>
                <w:color w:val="000000"/>
                <w:sz w:val="14"/>
                <w:szCs w:val="14"/>
              </w:rPr>
              <w:t>(1,429)</w:t>
            </w:r>
          </w:p>
        </w:tc>
        <w:tc>
          <w:tcPr>
            <w:tcW w:w="0" w:type="auto"/>
            <w:shd w:val="clear" w:color="auto" w:fill="FFFFFF"/>
            <w:tcMar>
              <w:top w:w="40" w:type="dxa"/>
              <w:left w:w="0" w:type="dxa"/>
              <w:bottom w:w="40" w:type="dxa"/>
              <w:right w:w="20" w:type="dxa"/>
            </w:tcMar>
            <w:vAlign w:val="bottom"/>
          </w:tcPr>
          <w:p w14:paraId="5EA211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E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ED" w14:textId="77777777" w:rsidR="003C66EB" w:rsidRDefault="00D96C4E">
            <w:pPr>
              <w:jc w:val="right"/>
              <w:textAlignment w:val="bottom"/>
            </w:pPr>
            <w:r>
              <w:rPr>
                <w:rFonts w:ascii="Arial" w:eastAsia="宋体" w:hAnsi="Arial" w:cs="Arial"/>
                <w:b/>
                <w:bCs/>
                <w:color w:val="000000"/>
                <w:sz w:val="14"/>
                <w:szCs w:val="14"/>
              </w:rPr>
              <w:t>(1,429)</w:t>
            </w:r>
          </w:p>
        </w:tc>
        <w:tc>
          <w:tcPr>
            <w:tcW w:w="0" w:type="auto"/>
            <w:shd w:val="clear" w:color="auto" w:fill="FFFFFF"/>
            <w:tcMar>
              <w:top w:w="40" w:type="dxa"/>
              <w:left w:w="0" w:type="dxa"/>
              <w:bottom w:w="40" w:type="dxa"/>
              <w:right w:w="20" w:type="dxa"/>
            </w:tcMar>
            <w:vAlign w:val="bottom"/>
          </w:tcPr>
          <w:p w14:paraId="5EA211E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E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F0" w14:textId="77777777" w:rsidR="003C66EB" w:rsidRDefault="00D96C4E">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5EA211F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1F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1F3" w14:textId="77777777" w:rsidR="003C66EB" w:rsidRDefault="00D96C4E">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5EA211F4" w14:textId="77777777" w:rsidR="003C66EB" w:rsidRDefault="003C66EB">
            <w:pPr>
              <w:jc w:val="right"/>
              <w:rPr>
                <w:rFonts w:ascii="宋体"/>
              </w:rPr>
            </w:pPr>
          </w:p>
        </w:tc>
      </w:tr>
      <w:tr w:rsidR="003C66EB" w14:paraId="5EA21202" w14:textId="77777777">
        <w:tc>
          <w:tcPr>
            <w:tcW w:w="0" w:type="auto"/>
            <w:gridSpan w:val="3"/>
            <w:shd w:val="clear" w:color="auto" w:fill="CCEEFF"/>
            <w:tcMar>
              <w:top w:w="40" w:type="dxa"/>
              <w:left w:w="20" w:type="dxa"/>
              <w:bottom w:w="40" w:type="dxa"/>
              <w:right w:w="20" w:type="dxa"/>
            </w:tcMar>
            <w:vAlign w:val="bottom"/>
          </w:tcPr>
          <w:p w14:paraId="5EA211F6" w14:textId="77777777" w:rsidR="003C66EB" w:rsidRDefault="00D96C4E">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5EA211F7" w14:textId="77777777" w:rsidR="003C66EB" w:rsidRDefault="00D96C4E">
            <w:pPr>
              <w:jc w:val="right"/>
              <w:textAlignment w:val="bottom"/>
            </w:pPr>
            <w:r>
              <w:rPr>
                <w:rFonts w:ascii="Arial" w:eastAsia="宋体" w:hAnsi="Arial" w:cs="Arial"/>
                <w:b/>
                <w:bCs/>
                <w:color w:val="000000"/>
                <w:sz w:val="14"/>
                <w:szCs w:val="14"/>
              </w:rPr>
              <w:t>839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F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FA" w14:textId="77777777" w:rsidR="003C66EB" w:rsidRDefault="00D96C4E">
            <w:pPr>
              <w:jc w:val="right"/>
              <w:textAlignment w:val="bottom"/>
            </w:pPr>
            <w:r>
              <w:rPr>
                <w:rFonts w:ascii="Arial" w:eastAsia="宋体" w:hAnsi="Arial" w:cs="Arial"/>
                <w:b/>
                <w:bCs/>
                <w:color w:val="000000"/>
                <w:sz w:val="14"/>
                <w:szCs w:val="14"/>
              </w:rPr>
              <w:t>827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1F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F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1FD" w14:textId="77777777" w:rsidR="003C66EB" w:rsidRDefault="00D96C4E">
            <w:pPr>
              <w:jc w:val="right"/>
              <w:textAlignment w:val="bottom"/>
            </w:pPr>
            <w:r>
              <w:rPr>
                <w:rFonts w:ascii="Arial" w:eastAsia="宋体" w:hAnsi="Arial" w:cs="Arial"/>
                <w:color w:val="000000"/>
                <w:sz w:val="14"/>
                <w:szCs w:val="14"/>
              </w:rPr>
              <w:t>(138)</w:t>
            </w:r>
          </w:p>
        </w:tc>
        <w:tc>
          <w:tcPr>
            <w:tcW w:w="0" w:type="auto"/>
            <w:shd w:val="clear" w:color="auto" w:fill="CCEEFF"/>
            <w:tcMar>
              <w:top w:w="40" w:type="dxa"/>
              <w:left w:w="0" w:type="dxa"/>
              <w:bottom w:w="40" w:type="dxa"/>
              <w:right w:w="20" w:type="dxa"/>
            </w:tcMar>
            <w:vAlign w:val="bottom"/>
          </w:tcPr>
          <w:p w14:paraId="5EA211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1F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00" w14:textId="77777777" w:rsidR="003C66EB" w:rsidRDefault="00D96C4E">
            <w:pPr>
              <w:jc w:val="right"/>
              <w:textAlignment w:val="bottom"/>
            </w:pPr>
            <w:r>
              <w:rPr>
                <w:rFonts w:ascii="Arial" w:eastAsia="宋体" w:hAnsi="Arial" w:cs="Arial"/>
                <w:color w:val="000000"/>
                <w:sz w:val="14"/>
                <w:szCs w:val="14"/>
              </w:rPr>
              <w:t>(76)</w:t>
            </w:r>
          </w:p>
        </w:tc>
        <w:tc>
          <w:tcPr>
            <w:tcW w:w="0" w:type="auto"/>
            <w:shd w:val="clear" w:color="auto" w:fill="CCEEFF"/>
            <w:tcMar>
              <w:top w:w="40" w:type="dxa"/>
              <w:left w:w="0" w:type="dxa"/>
              <w:bottom w:w="40" w:type="dxa"/>
              <w:right w:w="20" w:type="dxa"/>
            </w:tcMar>
            <w:vAlign w:val="bottom"/>
          </w:tcPr>
          <w:p w14:paraId="5EA21201" w14:textId="77777777" w:rsidR="003C66EB" w:rsidRDefault="003C66EB">
            <w:pPr>
              <w:jc w:val="right"/>
              <w:rPr>
                <w:rFonts w:ascii="宋体"/>
              </w:rPr>
            </w:pPr>
          </w:p>
        </w:tc>
      </w:tr>
      <w:tr w:rsidR="003C66EB" w14:paraId="5EA21213" w14:textId="77777777">
        <w:tc>
          <w:tcPr>
            <w:tcW w:w="0" w:type="auto"/>
            <w:gridSpan w:val="3"/>
            <w:shd w:val="clear" w:color="auto" w:fill="FFFFFF"/>
            <w:tcMar>
              <w:top w:w="40" w:type="dxa"/>
              <w:left w:w="20" w:type="dxa"/>
              <w:bottom w:w="40" w:type="dxa"/>
              <w:right w:w="20" w:type="dxa"/>
            </w:tcMar>
            <w:vAlign w:val="bottom"/>
          </w:tcPr>
          <w:p w14:paraId="5EA21203" w14:textId="77777777" w:rsidR="003C66EB" w:rsidRDefault="00D96C4E">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0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05" w14:textId="77777777" w:rsidR="003C66EB" w:rsidRDefault="00D96C4E">
            <w:pPr>
              <w:jc w:val="right"/>
              <w:textAlignment w:val="bottom"/>
            </w:pPr>
            <w:r>
              <w:rPr>
                <w:rFonts w:ascii="Arial" w:eastAsia="宋体" w:hAnsi="Arial" w:cs="Arial"/>
                <w:b/>
                <w:bCs/>
                <w:color w:val="000000"/>
                <w:sz w:val="14"/>
                <w:szCs w:val="14"/>
              </w:rPr>
              <w:t>17,220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07"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0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09" w14:textId="77777777" w:rsidR="003C66EB" w:rsidRDefault="00D96C4E">
            <w:pPr>
              <w:jc w:val="right"/>
              <w:textAlignment w:val="bottom"/>
            </w:pPr>
            <w:r>
              <w:rPr>
                <w:rFonts w:ascii="Arial" w:eastAsia="宋体" w:hAnsi="Arial" w:cs="Arial"/>
                <w:b/>
                <w:bCs/>
                <w:color w:val="000000"/>
                <w:sz w:val="14"/>
                <w:szCs w:val="14"/>
              </w:rPr>
              <w:t>17,355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0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0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0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0D" w14:textId="77777777" w:rsidR="003C66EB" w:rsidRDefault="00D96C4E">
            <w:pPr>
              <w:jc w:val="right"/>
              <w:textAlignment w:val="bottom"/>
            </w:pPr>
            <w:r>
              <w:rPr>
                <w:rFonts w:ascii="Arial" w:eastAsia="宋体" w:hAnsi="Arial" w:cs="Arial"/>
                <w:color w:val="000000"/>
                <w:sz w:val="14"/>
                <w:szCs w:val="14"/>
              </w:rPr>
              <w:t>17,810 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0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0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1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11" w14:textId="77777777" w:rsidR="003C66EB" w:rsidRDefault="00D96C4E">
            <w:pPr>
              <w:jc w:val="right"/>
              <w:textAlignment w:val="bottom"/>
            </w:pPr>
            <w:r>
              <w:rPr>
                <w:rFonts w:ascii="Arial" w:eastAsia="宋体" w:hAnsi="Arial" w:cs="Arial"/>
                <w:color w:val="000000"/>
                <w:sz w:val="14"/>
                <w:szCs w:val="14"/>
              </w:rPr>
              <w:t>17,957 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12" w14:textId="77777777" w:rsidR="003C66EB" w:rsidRDefault="003C66EB">
            <w:pPr>
              <w:jc w:val="right"/>
              <w:rPr>
                <w:rFonts w:ascii="宋体"/>
              </w:rPr>
            </w:pPr>
          </w:p>
        </w:tc>
      </w:tr>
    </w:tbl>
    <w:p w14:paraId="5EA21214" w14:textId="77777777" w:rsidR="003C66EB" w:rsidRDefault="00D96C4E">
      <w:pPr>
        <w:ind w:firstLine="450"/>
        <w:jc w:val="right"/>
      </w:pPr>
      <w:r>
        <w:rPr>
          <w:rFonts w:ascii="Arial" w:eastAsia="宋体" w:hAnsi="Arial" w:cs="Arial"/>
          <w:color w:val="000000"/>
          <w:sz w:val="18"/>
          <w:szCs w:val="18"/>
        </w:rPr>
        <w:t>State Street Corporation | 40</w:t>
      </w:r>
    </w:p>
    <w:p w14:paraId="5EA21215" w14:textId="77777777" w:rsidR="003C66EB" w:rsidRDefault="003C66EB">
      <w:pPr>
        <w:ind w:firstLine="450"/>
        <w:jc w:val="center"/>
      </w:pPr>
    </w:p>
    <w:p w14:paraId="5EA21216" w14:textId="77777777" w:rsidR="003C66EB" w:rsidRDefault="00D96C4E">
      <w:r>
        <w:pict w14:anchorId="5EA287D8">
          <v:rect id="_x0000_i1064" style="width:415.3pt;height:1.5pt" o:hralign="center" o:hrstd="t" o:hr="t" fillcolor="#a0a0a0" stroked="f"/>
        </w:pict>
      </w:r>
    </w:p>
    <w:p w14:paraId="5EA21217"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1218" w14:textId="77777777" w:rsidR="003C66EB" w:rsidRDefault="00D96C4E">
      <w:pPr>
        <w:ind w:firstLine="450"/>
        <w:jc w:val="center"/>
      </w:pPr>
      <w:r>
        <w:rPr>
          <w:rFonts w:ascii="Arial" w:eastAsia="宋体" w:hAnsi="Arial" w:cs="Arial"/>
          <w:b/>
          <w:bCs/>
          <w:color w:val="000000"/>
          <w:sz w:val="20"/>
          <w:szCs w:val="20"/>
        </w:rPr>
        <w:t>AND RESUL</w:t>
      </w:r>
      <w:r>
        <w:rPr>
          <w:rFonts w:ascii="Arial" w:eastAsia="宋体" w:hAnsi="Arial" w:cs="Arial"/>
          <w:b/>
          <w:bCs/>
          <w:color w:val="000000"/>
          <w:sz w:val="20"/>
          <w:szCs w:val="20"/>
        </w:rPr>
        <w:t>TS OF OPERATIONS</w:t>
      </w:r>
    </w:p>
    <w:p w14:paraId="5EA21219" w14:textId="77777777" w:rsidR="003C66EB" w:rsidRDefault="00D96C4E">
      <w:pPr>
        <w:spacing w:before="60"/>
        <w:ind w:firstLine="450"/>
        <w:jc w:val="both"/>
      </w:pPr>
      <w:r>
        <w:rPr>
          <w:rFonts w:ascii="Arial" w:eastAsia="宋体" w:hAnsi="Arial" w:cs="Arial"/>
          <w:color w:val="000000"/>
          <w:sz w:val="20"/>
          <w:szCs w:val="20"/>
        </w:rPr>
        <w:t>The following table presents a roll-forward of the Basel III advanced and standardized approaches RWA for the three months ended March 31, 2021 and for the year ended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1"/>
        <w:gridCol w:w="3951"/>
        <w:gridCol w:w="37"/>
        <w:gridCol w:w="99"/>
        <w:gridCol w:w="805"/>
        <w:gridCol w:w="37"/>
        <w:gridCol w:w="36"/>
        <w:gridCol w:w="36"/>
        <w:gridCol w:w="36"/>
        <w:gridCol w:w="99"/>
        <w:gridCol w:w="918"/>
        <w:gridCol w:w="37"/>
        <w:gridCol w:w="36"/>
        <w:gridCol w:w="36"/>
        <w:gridCol w:w="36"/>
        <w:gridCol w:w="99"/>
        <w:gridCol w:w="830"/>
        <w:gridCol w:w="37"/>
        <w:gridCol w:w="36"/>
        <w:gridCol w:w="36"/>
        <w:gridCol w:w="36"/>
        <w:gridCol w:w="99"/>
        <w:gridCol w:w="886"/>
        <w:gridCol w:w="37"/>
      </w:tblGrid>
      <w:tr w:rsidR="003C66EB" w14:paraId="5EA21232" w14:textId="77777777">
        <w:tc>
          <w:tcPr>
            <w:tcW w:w="50" w:type="pct"/>
            <w:shd w:val="clear" w:color="auto" w:fill="auto"/>
          </w:tcPr>
          <w:p w14:paraId="5EA2121A" w14:textId="77777777" w:rsidR="003C66EB" w:rsidRDefault="003C66EB">
            <w:pPr>
              <w:rPr>
                <w:rFonts w:ascii="宋体"/>
              </w:rPr>
            </w:pPr>
          </w:p>
        </w:tc>
        <w:tc>
          <w:tcPr>
            <w:tcW w:w="2393" w:type="pct"/>
            <w:shd w:val="clear" w:color="auto" w:fill="auto"/>
          </w:tcPr>
          <w:p w14:paraId="5EA2121B" w14:textId="77777777" w:rsidR="003C66EB" w:rsidRDefault="003C66EB">
            <w:pPr>
              <w:rPr>
                <w:rFonts w:ascii="宋体"/>
              </w:rPr>
            </w:pPr>
          </w:p>
        </w:tc>
        <w:tc>
          <w:tcPr>
            <w:tcW w:w="5" w:type="pct"/>
            <w:shd w:val="clear" w:color="auto" w:fill="auto"/>
          </w:tcPr>
          <w:p w14:paraId="5EA2121C" w14:textId="77777777" w:rsidR="003C66EB" w:rsidRDefault="003C66EB">
            <w:pPr>
              <w:rPr>
                <w:rFonts w:ascii="宋体"/>
              </w:rPr>
            </w:pPr>
          </w:p>
        </w:tc>
        <w:tc>
          <w:tcPr>
            <w:tcW w:w="50" w:type="pct"/>
            <w:shd w:val="clear" w:color="auto" w:fill="auto"/>
          </w:tcPr>
          <w:p w14:paraId="5EA2121D" w14:textId="77777777" w:rsidR="003C66EB" w:rsidRDefault="003C66EB">
            <w:pPr>
              <w:rPr>
                <w:rFonts w:ascii="宋体"/>
              </w:rPr>
            </w:pPr>
          </w:p>
        </w:tc>
        <w:tc>
          <w:tcPr>
            <w:tcW w:w="507" w:type="pct"/>
            <w:shd w:val="clear" w:color="auto" w:fill="auto"/>
          </w:tcPr>
          <w:p w14:paraId="5EA2121E" w14:textId="77777777" w:rsidR="003C66EB" w:rsidRDefault="003C66EB">
            <w:pPr>
              <w:rPr>
                <w:rFonts w:ascii="宋体"/>
              </w:rPr>
            </w:pPr>
          </w:p>
        </w:tc>
        <w:tc>
          <w:tcPr>
            <w:tcW w:w="5" w:type="pct"/>
            <w:shd w:val="clear" w:color="auto" w:fill="auto"/>
          </w:tcPr>
          <w:p w14:paraId="5EA2121F" w14:textId="77777777" w:rsidR="003C66EB" w:rsidRDefault="003C66EB">
            <w:pPr>
              <w:rPr>
                <w:rFonts w:ascii="宋体"/>
              </w:rPr>
            </w:pPr>
          </w:p>
        </w:tc>
        <w:tc>
          <w:tcPr>
            <w:tcW w:w="5" w:type="pct"/>
            <w:shd w:val="clear" w:color="auto" w:fill="auto"/>
          </w:tcPr>
          <w:p w14:paraId="5EA21220" w14:textId="77777777" w:rsidR="003C66EB" w:rsidRDefault="003C66EB">
            <w:pPr>
              <w:rPr>
                <w:rFonts w:ascii="宋体"/>
              </w:rPr>
            </w:pPr>
          </w:p>
        </w:tc>
        <w:tc>
          <w:tcPr>
            <w:tcW w:w="26" w:type="pct"/>
            <w:shd w:val="clear" w:color="auto" w:fill="auto"/>
          </w:tcPr>
          <w:p w14:paraId="5EA21221" w14:textId="77777777" w:rsidR="003C66EB" w:rsidRDefault="003C66EB">
            <w:pPr>
              <w:rPr>
                <w:rFonts w:ascii="宋体"/>
              </w:rPr>
            </w:pPr>
          </w:p>
        </w:tc>
        <w:tc>
          <w:tcPr>
            <w:tcW w:w="5" w:type="pct"/>
            <w:shd w:val="clear" w:color="auto" w:fill="auto"/>
          </w:tcPr>
          <w:p w14:paraId="5EA21222" w14:textId="77777777" w:rsidR="003C66EB" w:rsidRDefault="003C66EB">
            <w:pPr>
              <w:rPr>
                <w:rFonts w:ascii="宋体"/>
              </w:rPr>
            </w:pPr>
          </w:p>
        </w:tc>
        <w:tc>
          <w:tcPr>
            <w:tcW w:w="50" w:type="pct"/>
            <w:shd w:val="clear" w:color="auto" w:fill="auto"/>
          </w:tcPr>
          <w:p w14:paraId="5EA21223" w14:textId="77777777" w:rsidR="003C66EB" w:rsidRDefault="003C66EB">
            <w:pPr>
              <w:rPr>
                <w:rFonts w:ascii="宋体"/>
              </w:rPr>
            </w:pPr>
          </w:p>
        </w:tc>
        <w:tc>
          <w:tcPr>
            <w:tcW w:w="595" w:type="pct"/>
            <w:shd w:val="clear" w:color="auto" w:fill="auto"/>
          </w:tcPr>
          <w:p w14:paraId="5EA21224" w14:textId="77777777" w:rsidR="003C66EB" w:rsidRDefault="003C66EB">
            <w:pPr>
              <w:rPr>
                <w:rFonts w:ascii="宋体"/>
              </w:rPr>
            </w:pPr>
          </w:p>
        </w:tc>
        <w:tc>
          <w:tcPr>
            <w:tcW w:w="5" w:type="pct"/>
            <w:shd w:val="clear" w:color="auto" w:fill="auto"/>
          </w:tcPr>
          <w:p w14:paraId="5EA21225" w14:textId="77777777" w:rsidR="003C66EB" w:rsidRDefault="003C66EB">
            <w:pPr>
              <w:rPr>
                <w:rFonts w:ascii="宋体"/>
              </w:rPr>
            </w:pPr>
          </w:p>
        </w:tc>
        <w:tc>
          <w:tcPr>
            <w:tcW w:w="5" w:type="pct"/>
            <w:shd w:val="clear" w:color="auto" w:fill="auto"/>
          </w:tcPr>
          <w:p w14:paraId="5EA21226" w14:textId="77777777" w:rsidR="003C66EB" w:rsidRDefault="003C66EB">
            <w:pPr>
              <w:rPr>
                <w:rFonts w:ascii="宋体"/>
              </w:rPr>
            </w:pPr>
          </w:p>
        </w:tc>
        <w:tc>
          <w:tcPr>
            <w:tcW w:w="26" w:type="pct"/>
            <w:shd w:val="clear" w:color="auto" w:fill="auto"/>
          </w:tcPr>
          <w:p w14:paraId="5EA21227" w14:textId="77777777" w:rsidR="003C66EB" w:rsidRDefault="003C66EB">
            <w:pPr>
              <w:rPr>
                <w:rFonts w:ascii="宋体"/>
              </w:rPr>
            </w:pPr>
          </w:p>
        </w:tc>
        <w:tc>
          <w:tcPr>
            <w:tcW w:w="5" w:type="pct"/>
            <w:shd w:val="clear" w:color="auto" w:fill="auto"/>
          </w:tcPr>
          <w:p w14:paraId="5EA21228" w14:textId="77777777" w:rsidR="003C66EB" w:rsidRDefault="003C66EB">
            <w:pPr>
              <w:rPr>
                <w:rFonts w:ascii="宋体"/>
              </w:rPr>
            </w:pPr>
          </w:p>
        </w:tc>
        <w:tc>
          <w:tcPr>
            <w:tcW w:w="50" w:type="pct"/>
            <w:shd w:val="clear" w:color="auto" w:fill="auto"/>
          </w:tcPr>
          <w:p w14:paraId="5EA21229" w14:textId="77777777" w:rsidR="003C66EB" w:rsidRDefault="003C66EB">
            <w:pPr>
              <w:rPr>
                <w:rFonts w:ascii="宋体"/>
              </w:rPr>
            </w:pPr>
          </w:p>
        </w:tc>
        <w:tc>
          <w:tcPr>
            <w:tcW w:w="507" w:type="pct"/>
            <w:shd w:val="clear" w:color="auto" w:fill="auto"/>
          </w:tcPr>
          <w:p w14:paraId="5EA2122A" w14:textId="77777777" w:rsidR="003C66EB" w:rsidRDefault="003C66EB">
            <w:pPr>
              <w:rPr>
                <w:rFonts w:ascii="宋体"/>
              </w:rPr>
            </w:pPr>
          </w:p>
        </w:tc>
        <w:tc>
          <w:tcPr>
            <w:tcW w:w="5" w:type="pct"/>
            <w:shd w:val="clear" w:color="auto" w:fill="auto"/>
          </w:tcPr>
          <w:p w14:paraId="5EA2122B" w14:textId="77777777" w:rsidR="003C66EB" w:rsidRDefault="003C66EB">
            <w:pPr>
              <w:rPr>
                <w:rFonts w:ascii="宋体"/>
              </w:rPr>
            </w:pPr>
          </w:p>
        </w:tc>
        <w:tc>
          <w:tcPr>
            <w:tcW w:w="5" w:type="pct"/>
            <w:shd w:val="clear" w:color="auto" w:fill="auto"/>
          </w:tcPr>
          <w:p w14:paraId="5EA2122C" w14:textId="77777777" w:rsidR="003C66EB" w:rsidRDefault="003C66EB">
            <w:pPr>
              <w:rPr>
                <w:rFonts w:ascii="宋体"/>
              </w:rPr>
            </w:pPr>
          </w:p>
        </w:tc>
        <w:tc>
          <w:tcPr>
            <w:tcW w:w="26" w:type="pct"/>
            <w:shd w:val="clear" w:color="auto" w:fill="auto"/>
          </w:tcPr>
          <w:p w14:paraId="5EA2122D" w14:textId="77777777" w:rsidR="003C66EB" w:rsidRDefault="003C66EB">
            <w:pPr>
              <w:rPr>
                <w:rFonts w:ascii="宋体"/>
              </w:rPr>
            </w:pPr>
          </w:p>
        </w:tc>
        <w:tc>
          <w:tcPr>
            <w:tcW w:w="5" w:type="pct"/>
            <w:shd w:val="clear" w:color="auto" w:fill="auto"/>
          </w:tcPr>
          <w:p w14:paraId="5EA2122E" w14:textId="77777777" w:rsidR="003C66EB" w:rsidRDefault="003C66EB">
            <w:pPr>
              <w:rPr>
                <w:rFonts w:ascii="宋体"/>
              </w:rPr>
            </w:pPr>
          </w:p>
        </w:tc>
        <w:tc>
          <w:tcPr>
            <w:tcW w:w="50" w:type="pct"/>
            <w:shd w:val="clear" w:color="auto" w:fill="auto"/>
          </w:tcPr>
          <w:p w14:paraId="5EA2122F" w14:textId="77777777" w:rsidR="003C66EB" w:rsidRDefault="003C66EB">
            <w:pPr>
              <w:rPr>
                <w:rFonts w:ascii="宋体"/>
              </w:rPr>
            </w:pPr>
          </w:p>
        </w:tc>
        <w:tc>
          <w:tcPr>
            <w:tcW w:w="610" w:type="pct"/>
            <w:shd w:val="clear" w:color="auto" w:fill="auto"/>
          </w:tcPr>
          <w:p w14:paraId="5EA21230" w14:textId="77777777" w:rsidR="003C66EB" w:rsidRDefault="003C66EB">
            <w:pPr>
              <w:rPr>
                <w:rFonts w:ascii="宋体"/>
              </w:rPr>
            </w:pPr>
          </w:p>
        </w:tc>
        <w:tc>
          <w:tcPr>
            <w:tcW w:w="5" w:type="pct"/>
            <w:shd w:val="clear" w:color="auto" w:fill="auto"/>
          </w:tcPr>
          <w:p w14:paraId="5EA21231" w14:textId="77777777" w:rsidR="003C66EB" w:rsidRDefault="003C66EB">
            <w:pPr>
              <w:rPr>
                <w:rFonts w:ascii="宋体"/>
              </w:rPr>
            </w:pPr>
          </w:p>
        </w:tc>
      </w:tr>
      <w:tr w:rsidR="003C66EB" w14:paraId="5EA21234" w14:textId="77777777">
        <w:tc>
          <w:tcPr>
            <w:tcW w:w="0" w:type="auto"/>
            <w:gridSpan w:val="24"/>
            <w:shd w:val="clear" w:color="auto" w:fill="auto"/>
            <w:tcMar>
              <w:top w:w="40" w:type="dxa"/>
              <w:left w:w="20" w:type="dxa"/>
              <w:bottom w:w="40" w:type="dxa"/>
              <w:right w:w="20" w:type="dxa"/>
            </w:tcMar>
            <w:vAlign w:val="bottom"/>
          </w:tcPr>
          <w:p w14:paraId="5EA21233" w14:textId="77777777" w:rsidR="003C66EB" w:rsidRDefault="00D96C4E">
            <w:pPr>
              <w:textAlignment w:val="bottom"/>
            </w:pPr>
            <w:r>
              <w:rPr>
                <w:rFonts w:ascii="Arial" w:eastAsia="宋体" w:hAnsi="Arial" w:cs="Arial"/>
                <w:b/>
                <w:bCs/>
                <w:color w:val="000000"/>
                <w:sz w:val="16"/>
                <w:szCs w:val="16"/>
              </w:rPr>
              <w:t>TABLE 37: ADVANCED &amp; STANDARDIZED APPROACHES RISK-WEIGHTED ASSETS ROLL-FORWARD</w:t>
            </w:r>
          </w:p>
        </w:tc>
      </w:tr>
      <w:tr w:rsidR="003C66EB" w14:paraId="5EA21241" w14:textId="77777777">
        <w:trPr>
          <w:hidden/>
        </w:trPr>
        <w:tc>
          <w:tcPr>
            <w:tcW w:w="0" w:type="auto"/>
            <w:gridSpan w:val="3"/>
            <w:shd w:val="clear" w:color="auto" w:fill="auto"/>
          </w:tcPr>
          <w:p w14:paraId="5EA21235" w14:textId="77777777" w:rsidR="003C66EB" w:rsidRDefault="003C66EB">
            <w:pPr>
              <w:rPr>
                <w:rFonts w:ascii="宋体"/>
                <w:vanish/>
              </w:rPr>
            </w:pPr>
          </w:p>
        </w:tc>
        <w:tc>
          <w:tcPr>
            <w:tcW w:w="0" w:type="auto"/>
            <w:gridSpan w:val="3"/>
            <w:shd w:val="clear" w:color="auto" w:fill="auto"/>
          </w:tcPr>
          <w:p w14:paraId="5EA21236" w14:textId="77777777" w:rsidR="003C66EB" w:rsidRDefault="003C66EB">
            <w:pPr>
              <w:rPr>
                <w:rFonts w:ascii="宋体"/>
                <w:vanish/>
              </w:rPr>
            </w:pPr>
          </w:p>
        </w:tc>
        <w:tc>
          <w:tcPr>
            <w:tcW w:w="0" w:type="auto"/>
            <w:gridSpan w:val="3"/>
            <w:shd w:val="clear" w:color="auto" w:fill="auto"/>
          </w:tcPr>
          <w:p w14:paraId="5EA21237" w14:textId="77777777" w:rsidR="003C66EB" w:rsidRDefault="003C66EB">
            <w:pPr>
              <w:rPr>
                <w:rFonts w:ascii="宋体"/>
                <w:vanish/>
              </w:rPr>
            </w:pPr>
          </w:p>
        </w:tc>
        <w:tc>
          <w:tcPr>
            <w:tcW w:w="0" w:type="auto"/>
            <w:gridSpan w:val="3"/>
            <w:shd w:val="clear" w:color="auto" w:fill="auto"/>
          </w:tcPr>
          <w:p w14:paraId="5EA21238" w14:textId="77777777" w:rsidR="003C66EB" w:rsidRDefault="003C66EB">
            <w:pPr>
              <w:rPr>
                <w:rFonts w:ascii="宋体"/>
                <w:vanish/>
              </w:rPr>
            </w:pPr>
          </w:p>
        </w:tc>
        <w:tc>
          <w:tcPr>
            <w:tcW w:w="0" w:type="auto"/>
            <w:gridSpan w:val="3"/>
            <w:shd w:val="clear" w:color="auto" w:fill="auto"/>
          </w:tcPr>
          <w:p w14:paraId="5EA21239" w14:textId="77777777" w:rsidR="003C66EB" w:rsidRDefault="003C66EB">
            <w:pPr>
              <w:rPr>
                <w:rFonts w:ascii="宋体"/>
                <w:vanish/>
              </w:rPr>
            </w:pPr>
          </w:p>
        </w:tc>
        <w:tc>
          <w:tcPr>
            <w:tcW w:w="0" w:type="auto"/>
            <w:gridSpan w:val="3"/>
            <w:shd w:val="clear" w:color="auto" w:fill="auto"/>
          </w:tcPr>
          <w:p w14:paraId="5EA2123A" w14:textId="77777777" w:rsidR="003C66EB" w:rsidRDefault="003C66EB">
            <w:pPr>
              <w:rPr>
                <w:rFonts w:ascii="宋体"/>
                <w:vanish/>
              </w:rPr>
            </w:pPr>
          </w:p>
        </w:tc>
        <w:tc>
          <w:tcPr>
            <w:tcW w:w="0" w:type="auto"/>
            <w:shd w:val="clear" w:color="auto" w:fill="auto"/>
          </w:tcPr>
          <w:p w14:paraId="5EA2123B" w14:textId="77777777" w:rsidR="003C66EB" w:rsidRDefault="003C66EB">
            <w:pPr>
              <w:rPr>
                <w:rFonts w:ascii="宋体"/>
              </w:rPr>
            </w:pPr>
          </w:p>
        </w:tc>
        <w:tc>
          <w:tcPr>
            <w:tcW w:w="0" w:type="auto"/>
            <w:shd w:val="clear" w:color="auto" w:fill="auto"/>
          </w:tcPr>
          <w:p w14:paraId="5EA2123C" w14:textId="77777777" w:rsidR="003C66EB" w:rsidRDefault="003C66EB">
            <w:pPr>
              <w:rPr>
                <w:rFonts w:ascii="宋体"/>
              </w:rPr>
            </w:pPr>
          </w:p>
        </w:tc>
        <w:tc>
          <w:tcPr>
            <w:tcW w:w="0" w:type="auto"/>
            <w:shd w:val="clear" w:color="auto" w:fill="auto"/>
          </w:tcPr>
          <w:p w14:paraId="5EA2123D" w14:textId="77777777" w:rsidR="003C66EB" w:rsidRDefault="003C66EB">
            <w:pPr>
              <w:rPr>
                <w:rFonts w:ascii="宋体"/>
              </w:rPr>
            </w:pPr>
          </w:p>
        </w:tc>
        <w:tc>
          <w:tcPr>
            <w:tcW w:w="0" w:type="auto"/>
            <w:shd w:val="clear" w:color="auto" w:fill="auto"/>
          </w:tcPr>
          <w:p w14:paraId="5EA2123E" w14:textId="77777777" w:rsidR="003C66EB" w:rsidRDefault="003C66EB">
            <w:pPr>
              <w:rPr>
                <w:rFonts w:ascii="宋体"/>
              </w:rPr>
            </w:pPr>
          </w:p>
        </w:tc>
        <w:tc>
          <w:tcPr>
            <w:tcW w:w="0" w:type="auto"/>
            <w:shd w:val="clear" w:color="auto" w:fill="auto"/>
          </w:tcPr>
          <w:p w14:paraId="5EA2123F" w14:textId="77777777" w:rsidR="003C66EB" w:rsidRDefault="003C66EB">
            <w:pPr>
              <w:rPr>
                <w:rFonts w:ascii="宋体"/>
              </w:rPr>
            </w:pPr>
          </w:p>
        </w:tc>
        <w:tc>
          <w:tcPr>
            <w:tcW w:w="0" w:type="auto"/>
            <w:shd w:val="clear" w:color="auto" w:fill="auto"/>
          </w:tcPr>
          <w:p w14:paraId="5EA21240" w14:textId="77777777" w:rsidR="003C66EB" w:rsidRDefault="003C66EB">
            <w:pPr>
              <w:rPr>
                <w:rFonts w:ascii="宋体"/>
              </w:rPr>
            </w:pPr>
          </w:p>
        </w:tc>
      </w:tr>
      <w:tr w:rsidR="003C66EB" w14:paraId="5EA2124A" w14:textId="77777777">
        <w:tc>
          <w:tcPr>
            <w:tcW w:w="0" w:type="auto"/>
            <w:gridSpan w:val="3"/>
            <w:shd w:val="clear" w:color="auto" w:fill="FFFFFF"/>
            <w:tcMar>
              <w:top w:w="40" w:type="dxa"/>
              <w:left w:w="20" w:type="dxa"/>
              <w:bottom w:w="40" w:type="dxa"/>
              <w:right w:w="20" w:type="dxa"/>
            </w:tcMar>
            <w:vAlign w:val="bottom"/>
          </w:tcPr>
          <w:p w14:paraId="5EA21242"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5EA21243" w14:textId="77777777" w:rsidR="003C66EB" w:rsidRDefault="00D96C4E">
            <w:pPr>
              <w:jc w:val="center"/>
              <w:textAlignment w:val="bottom"/>
            </w:pPr>
            <w:r>
              <w:rPr>
                <w:rFonts w:ascii="Arial" w:eastAsia="宋体" w:hAnsi="Arial" w:cs="Arial"/>
                <w:b/>
                <w:bCs/>
                <w:color w:val="000000"/>
                <w:sz w:val="14"/>
                <w:szCs w:val="14"/>
              </w:rPr>
              <w:t>Basel III Advanced Approaches March 31, 2021</w:t>
            </w:r>
          </w:p>
        </w:tc>
        <w:tc>
          <w:tcPr>
            <w:tcW w:w="0" w:type="auto"/>
            <w:gridSpan w:val="3"/>
            <w:shd w:val="clear" w:color="auto" w:fill="FFFFFF"/>
            <w:tcMar>
              <w:top w:w="0" w:type="dxa"/>
              <w:left w:w="20" w:type="dxa"/>
              <w:bottom w:w="0" w:type="dxa"/>
              <w:right w:w="20" w:type="dxa"/>
            </w:tcMar>
          </w:tcPr>
          <w:p w14:paraId="5EA21244"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1245" w14:textId="77777777" w:rsidR="003C66EB" w:rsidRDefault="00D96C4E">
            <w:pPr>
              <w:jc w:val="center"/>
              <w:textAlignment w:val="bottom"/>
            </w:pPr>
            <w:r>
              <w:rPr>
                <w:rFonts w:ascii="Arial" w:eastAsia="宋体" w:hAnsi="Arial" w:cs="Arial"/>
                <w:b/>
                <w:bCs/>
                <w:color w:val="000000"/>
                <w:sz w:val="14"/>
                <w:szCs w:val="14"/>
              </w:rPr>
              <w:t>Basel III Advanced Approaches December 31, 2020</w:t>
            </w:r>
          </w:p>
        </w:tc>
        <w:tc>
          <w:tcPr>
            <w:tcW w:w="0" w:type="auto"/>
            <w:gridSpan w:val="3"/>
            <w:shd w:val="clear" w:color="auto" w:fill="FFFFFF"/>
            <w:tcMar>
              <w:top w:w="0" w:type="dxa"/>
              <w:left w:w="20" w:type="dxa"/>
              <w:bottom w:w="0" w:type="dxa"/>
              <w:right w:w="20" w:type="dxa"/>
            </w:tcMar>
          </w:tcPr>
          <w:p w14:paraId="5EA21246"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1247" w14:textId="77777777" w:rsidR="003C66EB" w:rsidRDefault="00D96C4E">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March 31, 2021</w:t>
            </w:r>
          </w:p>
        </w:tc>
        <w:tc>
          <w:tcPr>
            <w:tcW w:w="0" w:type="auto"/>
            <w:gridSpan w:val="3"/>
            <w:shd w:val="clear" w:color="auto" w:fill="FFFFFF"/>
            <w:tcMar>
              <w:top w:w="0" w:type="dxa"/>
              <w:left w:w="20" w:type="dxa"/>
              <w:bottom w:w="0" w:type="dxa"/>
              <w:right w:w="20" w:type="dxa"/>
            </w:tcMar>
          </w:tcPr>
          <w:p w14:paraId="5EA21248"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1249" w14:textId="77777777" w:rsidR="003C66EB" w:rsidRDefault="00D96C4E">
            <w:pPr>
              <w:jc w:val="center"/>
              <w:textAlignment w:val="bottom"/>
            </w:pPr>
            <w:r>
              <w:rPr>
                <w:rFonts w:ascii="Arial" w:eastAsia="宋体" w:hAnsi="Arial" w:cs="Arial"/>
                <w:b/>
                <w:bCs/>
                <w:color w:val="000000"/>
                <w:sz w:val="14"/>
                <w:szCs w:val="14"/>
              </w:rPr>
              <w:t>Basel III Standardized Approach December 31, 2020</w:t>
            </w:r>
          </w:p>
        </w:tc>
      </w:tr>
      <w:tr w:rsidR="003C66EB" w14:paraId="5EA2125B" w14:textId="77777777">
        <w:tc>
          <w:tcPr>
            <w:tcW w:w="0" w:type="auto"/>
            <w:gridSpan w:val="3"/>
            <w:shd w:val="clear" w:color="auto" w:fill="CCEEFF"/>
            <w:tcMar>
              <w:top w:w="40" w:type="dxa"/>
              <w:left w:w="20" w:type="dxa"/>
              <w:bottom w:w="40" w:type="dxa"/>
              <w:right w:w="20" w:type="dxa"/>
            </w:tcMar>
            <w:vAlign w:val="bottom"/>
          </w:tcPr>
          <w:p w14:paraId="5EA2124B" w14:textId="77777777" w:rsidR="003C66EB" w:rsidRDefault="00D96C4E">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124C"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24D" w14:textId="77777777" w:rsidR="003C66EB" w:rsidRDefault="00D96C4E">
            <w:pPr>
              <w:jc w:val="right"/>
              <w:textAlignment w:val="bottom"/>
            </w:pPr>
            <w:r>
              <w:rPr>
                <w:rFonts w:ascii="Arial" w:eastAsia="宋体" w:hAnsi="Arial" w:cs="Arial"/>
                <w:b/>
                <w:bCs/>
                <w:color w:val="000000"/>
                <w:sz w:val="14"/>
                <w:szCs w:val="14"/>
              </w:rPr>
              <w:t>109,705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4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25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251" w14:textId="77777777" w:rsidR="003C66EB" w:rsidRDefault="00D96C4E">
            <w:pPr>
              <w:jc w:val="right"/>
              <w:textAlignment w:val="bottom"/>
            </w:pPr>
            <w:r>
              <w:rPr>
                <w:rFonts w:ascii="Arial" w:eastAsia="宋体" w:hAnsi="Arial" w:cs="Arial"/>
                <w:color w:val="000000"/>
                <w:sz w:val="14"/>
                <w:szCs w:val="14"/>
              </w:rPr>
              <w:t>104,364 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5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25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255" w14:textId="77777777" w:rsidR="003C66EB" w:rsidRDefault="00D96C4E">
            <w:pPr>
              <w:jc w:val="right"/>
              <w:textAlignment w:val="bottom"/>
            </w:pPr>
            <w:r>
              <w:rPr>
                <w:rFonts w:ascii="Arial" w:eastAsia="宋体" w:hAnsi="Arial" w:cs="Arial"/>
                <w:b/>
                <w:bCs/>
                <w:color w:val="000000"/>
                <w:sz w:val="14"/>
                <w:szCs w:val="14"/>
              </w:rPr>
              <w:t>117,080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5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5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25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259" w14:textId="77777777" w:rsidR="003C66EB" w:rsidRDefault="00D96C4E">
            <w:pPr>
              <w:jc w:val="right"/>
              <w:textAlignment w:val="bottom"/>
            </w:pPr>
            <w:r>
              <w:rPr>
                <w:rFonts w:ascii="Arial" w:eastAsia="宋体" w:hAnsi="Arial" w:cs="Arial"/>
                <w:color w:val="000000"/>
                <w:sz w:val="14"/>
                <w:szCs w:val="14"/>
              </w:rPr>
              <w:t>104,005 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5A" w14:textId="77777777" w:rsidR="003C66EB" w:rsidRDefault="003C66EB">
            <w:pPr>
              <w:jc w:val="right"/>
              <w:rPr>
                <w:rFonts w:ascii="宋体"/>
              </w:rPr>
            </w:pPr>
          </w:p>
        </w:tc>
      </w:tr>
      <w:tr w:rsidR="003C66EB" w14:paraId="5EA21264" w14:textId="77777777">
        <w:tc>
          <w:tcPr>
            <w:tcW w:w="0" w:type="auto"/>
            <w:gridSpan w:val="3"/>
            <w:shd w:val="clear" w:color="auto" w:fill="FFFFFF"/>
            <w:tcMar>
              <w:top w:w="40" w:type="dxa"/>
              <w:left w:w="20" w:type="dxa"/>
              <w:bottom w:w="40" w:type="dxa"/>
              <w:right w:w="20" w:type="dxa"/>
            </w:tcMar>
            <w:vAlign w:val="bottom"/>
          </w:tcPr>
          <w:p w14:paraId="5EA2125C" w14:textId="77777777" w:rsidR="003C66EB" w:rsidRDefault="00D96C4E">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tcPr>
          <w:p w14:paraId="5EA2125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25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25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26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26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26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263" w14:textId="77777777" w:rsidR="003C66EB" w:rsidRDefault="003C66EB">
            <w:pPr>
              <w:rPr>
                <w:rFonts w:ascii="宋体"/>
              </w:rPr>
            </w:pPr>
          </w:p>
        </w:tc>
      </w:tr>
      <w:tr w:rsidR="003C66EB" w14:paraId="5EA21271" w14:textId="77777777">
        <w:tc>
          <w:tcPr>
            <w:tcW w:w="0" w:type="auto"/>
            <w:gridSpan w:val="3"/>
            <w:shd w:val="clear" w:color="auto" w:fill="CCEEFF"/>
            <w:tcMar>
              <w:top w:w="40" w:type="dxa"/>
              <w:left w:w="20" w:type="dxa"/>
              <w:bottom w:w="40" w:type="dxa"/>
              <w:right w:w="20" w:type="dxa"/>
            </w:tcMar>
            <w:vAlign w:val="bottom"/>
          </w:tcPr>
          <w:p w14:paraId="5EA21265" w14:textId="77777777" w:rsidR="003C66EB" w:rsidRDefault="00D96C4E">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5EA21266" w14:textId="77777777" w:rsidR="003C66EB" w:rsidRDefault="00D96C4E">
            <w:pPr>
              <w:jc w:val="right"/>
              <w:textAlignment w:val="bottom"/>
            </w:pPr>
            <w:r>
              <w:rPr>
                <w:rFonts w:ascii="Arial" w:eastAsia="宋体" w:hAnsi="Arial" w:cs="Arial"/>
                <w:b/>
                <w:bCs/>
                <w:color w:val="000000"/>
                <w:sz w:val="14"/>
                <w:szCs w:val="14"/>
              </w:rPr>
              <w:t>(226)</w:t>
            </w:r>
          </w:p>
        </w:tc>
        <w:tc>
          <w:tcPr>
            <w:tcW w:w="0" w:type="auto"/>
            <w:shd w:val="clear" w:color="auto" w:fill="CCEEFF"/>
            <w:tcMar>
              <w:top w:w="40" w:type="dxa"/>
              <w:left w:w="0" w:type="dxa"/>
              <w:bottom w:w="40" w:type="dxa"/>
              <w:right w:w="20" w:type="dxa"/>
            </w:tcMar>
            <w:vAlign w:val="bottom"/>
          </w:tcPr>
          <w:p w14:paraId="5EA212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6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69" w14:textId="77777777" w:rsidR="003C66EB" w:rsidRDefault="00D96C4E">
            <w:pPr>
              <w:jc w:val="right"/>
              <w:textAlignment w:val="bottom"/>
            </w:pPr>
            <w:r>
              <w:rPr>
                <w:rFonts w:ascii="Arial" w:eastAsia="宋体" w:hAnsi="Arial" w:cs="Arial"/>
                <w:color w:val="000000"/>
                <w:sz w:val="14"/>
                <w:szCs w:val="14"/>
              </w:rPr>
              <w:t>3,008 </w:t>
            </w:r>
          </w:p>
        </w:tc>
        <w:tc>
          <w:tcPr>
            <w:tcW w:w="0" w:type="auto"/>
            <w:shd w:val="clear" w:color="auto" w:fill="CCEEFF"/>
            <w:tcMar>
              <w:top w:w="40" w:type="dxa"/>
              <w:left w:w="0" w:type="dxa"/>
              <w:bottom w:w="40" w:type="dxa"/>
              <w:right w:w="20" w:type="dxa"/>
            </w:tcMar>
            <w:vAlign w:val="bottom"/>
          </w:tcPr>
          <w:p w14:paraId="5EA212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6C" w14:textId="77777777" w:rsidR="003C66EB" w:rsidRDefault="00D96C4E">
            <w:pPr>
              <w:jc w:val="right"/>
              <w:textAlignment w:val="bottom"/>
            </w:pPr>
            <w:r>
              <w:rPr>
                <w:rFonts w:ascii="Arial" w:eastAsia="宋体" w:hAnsi="Arial" w:cs="Arial"/>
                <w:b/>
                <w:bCs/>
                <w:color w:val="000000"/>
                <w:sz w:val="14"/>
                <w:szCs w:val="14"/>
              </w:rPr>
              <w:t>(62)</w:t>
            </w:r>
          </w:p>
        </w:tc>
        <w:tc>
          <w:tcPr>
            <w:tcW w:w="0" w:type="auto"/>
            <w:shd w:val="clear" w:color="auto" w:fill="CCEEFF"/>
            <w:tcMar>
              <w:top w:w="40" w:type="dxa"/>
              <w:left w:w="0" w:type="dxa"/>
              <w:bottom w:w="40" w:type="dxa"/>
              <w:right w:w="20" w:type="dxa"/>
            </w:tcMar>
            <w:vAlign w:val="bottom"/>
          </w:tcPr>
          <w:p w14:paraId="5EA212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6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6F" w14:textId="77777777" w:rsidR="003C66EB" w:rsidRDefault="00D96C4E">
            <w:pPr>
              <w:jc w:val="right"/>
              <w:textAlignment w:val="bottom"/>
            </w:pPr>
            <w:r>
              <w:rPr>
                <w:rFonts w:ascii="Arial" w:eastAsia="宋体" w:hAnsi="Arial" w:cs="Arial"/>
                <w:color w:val="000000"/>
                <w:sz w:val="14"/>
                <w:szCs w:val="14"/>
              </w:rPr>
              <w:t>1,762 </w:t>
            </w:r>
          </w:p>
        </w:tc>
        <w:tc>
          <w:tcPr>
            <w:tcW w:w="0" w:type="auto"/>
            <w:shd w:val="clear" w:color="auto" w:fill="CCEEFF"/>
            <w:tcMar>
              <w:top w:w="40" w:type="dxa"/>
              <w:left w:w="0" w:type="dxa"/>
              <w:bottom w:w="40" w:type="dxa"/>
              <w:right w:w="20" w:type="dxa"/>
            </w:tcMar>
            <w:vAlign w:val="bottom"/>
          </w:tcPr>
          <w:p w14:paraId="5EA21270" w14:textId="77777777" w:rsidR="003C66EB" w:rsidRDefault="003C66EB">
            <w:pPr>
              <w:jc w:val="right"/>
              <w:rPr>
                <w:rFonts w:ascii="宋体"/>
              </w:rPr>
            </w:pPr>
          </w:p>
        </w:tc>
      </w:tr>
      <w:tr w:rsidR="003C66EB" w14:paraId="5EA2127E" w14:textId="77777777">
        <w:tc>
          <w:tcPr>
            <w:tcW w:w="0" w:type="auto"/>
            <w:gridSpan w:val="3"/>
            <w:shd w:val="clear" w:color="auto" w:fill="FFFFFF"/>
            <w:tcMar>
              <w:top w:w="40" w:type="dxa"/>
              <w:left w:w="155" w:type="dxa"/>
              <w:bottom w:w="40" w:type="dxa"/>
              <w:right w:w="20" w:type="dxa"/>
            </w:tcMar>
            <w:vAlign w:val="bottom"/>
          </w:tcPr>
          <w:p w14:paraId="5EA21272" w14:textId="77777777" w:rsidR="003C66EB" w:rsidRDefault="00D96C4E">
            <w:pPr>
              <w:textAlignment w:val="bottom"/>
            </w:pPr>
            <w:r>
              <w:rPr>
                <w:rFonts w:ascii="Arial" w:eastAsia="宋体" w:hAnsi="Arial" w:cs="Arial"/>
                <w:color w:val="000000"/>
                <w:sz w:val="14"/>
                <w:szCs w:val="14"/>
              </w:rPr>
              <w:t>Net increase (decrease) in loans</w:t>
            </w:r>
          </w:p>
        </w:tc>
        <w:tc>
          <w:tcPr>
            <w:tcW w:w="0" w:type="auto"/>
            <w:gridSpan w:val="2"/>
            <w:shd w:val="clear" w:color="auto" w:fill="FFFFFF"/>
            <w:tcMar>
              <w:top w:w="40" w:type="dxa"/>
              <w:left w:w="20" w:type="dxa"/>
              <w:bottom w:w="40" w:type="dxa"/>
              <w:right w:w="0" w:type="dxa"/>
            </w:tcMar>
            <w:vAlign w:val="bottom"/>
          </w:tcPr>
          <w:p w14:paraId="5EA21273" w14:textId="77777777" w:rsidR="003C66EB" w:rsidRDefault="00D96C4E">
            <w:pPr>
              <w:jc w:val="right"/>
              <w:textAlignment w:val="bottom"/>
            </w:pPr>
            <w:r>
              <w:rPr>
                <w:rFonts w:ascii="Arial" w:eastAsia="宋体" w:hAnsi="Arial" w:cs="Arial"/>
                <w:b/>
                <w:bCs/>
                <w:color w:val="000000"/>
                <w:sz w:val="14"/>
                <w:szCs w:val="14"/>
              </w:rPr>
              <w:t>2,178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76" w14:textId="77777777" w:rsidR="003C66EB" w:rsidRDefault="00D96C4E">
            <w:pPr>
              <w:jc w:val="right"/>
              <w:textAlignment w:val="bottom"/>
            </w:pPr>
            <w:r>
              <w:rPr>
                <w:rFonts w:ascii="Arial" w:eastAsia="宋体" w:hAnsi="Arial" w:cs="Arial"/>
                <w:color w:val="000000"/>
                <w:sz w:val="14"/>
                <w:szCs w:val="14"/>
              </w:rPr>
              <w:t>2,973 </w:t>
            </w:r>
          </w:p>
        </w:tc>
        <w:tc>
          <w:tcPr>
            <w:tcW w:w="0" w:type="auto"/>
            <w:shd w:val="clear" w:color="auto" w:fill="FFFFFF"/>
            <w:tcMar>
              <w:top w:w="40" w:type="dxa"/>
              <w:left w:w="0" w:type="dxa"/>
              <w:bottom w:w="40" w:type="dxa"/>
              <w:right w:w="20" w:type="dxa"/>
            </w:tcMar>
            <w:vAlign w:val="bottom"/>
          </w:tcPr>
          <w:p w14:paraId="5EA212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7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79" w14:textId="77777777" w:rsidR="003C66EB" w:rsidRDefault="00D96C4E">
            <w:pPr>
              <w:jc w:val="right"/>
              <w:textAlignment w:val="bottom"/>
            </w:pPr>
            <w:r>
              <w:rPr>
                <w:rFonts w:ascii="Arial" w:eastAsia="宋体" w:hAnsi="Arial" w:cs="Arial"/>
                <w:b/>
                <w:bCs/>
                <w:color w:val="000000"/>
                <w:sz w:val="14"/>
                <w:szCs w:val="14"/>
              </w:rPr>
              <w:t>3,439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7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7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7C" w14:textId="77777777" w:rsidR="003C66EB" w:rsidRDefault="00D96C4E">
            <w:pPr>
              <w:jc w:val="right"/>
              <w:textAlignment w:val="bottom"/>
            </w:pPr>
            <w:r>
              <w:rPr>
                <w:rFonts w:ascii="Arial" w:eastAsia="宋体" w:hAnsi="Arial" w:cs="Arial"/>
                <w:color w:val="000000"/>
                <w:sz w:val="14"/>
                <w:szCs w:val="14"/>
              </w:rPr>
              <w:t>3,638 </w:t>
            </w:r>
          </w:p>
        </w:tc>
        <w:tc>
          <w:tcPr>
            <w:tcW w:w="0" w:type="auto"/>
            <w:shd w:val="clear" w:color="auto" w:fill="FFFFFF"/>
            <w:tcMar>
              <w:top w:w="40" w:type="dxa"/>
              <w:left w:w="0" w:type="dxa"/>
              <w:bottom w:w="40" w:type="dxa"/>
              <w:right w:w="20" w:type="dxa"/>
            </w:tcMar>
            <w:vAlign w:val="bottom"/>
          </w:tcPr>
          <w:p w14:paraId="5EA2127D" w14:textId="77777777" w:rsidR="003C66EB" w:rsidRDefault="003C66EB">
            <w:pPr>
              <w:jc w:val="right"/>
              <w:rPr>
                <w:rFonts w:ascii="宋体"/>
              </w:rPr>
            </w:pPr>
          </w:p>
        </w:tc>
      </w:tr>
      <w:tr w:rsidR="003C66EB" w14:paraId="5EA2128B" w14:textId="77777777">
        <w:tc>
          <w:tcPr>
            <w:tcW w:w="0" w:type="auto"/>
            <w:gridSpan w:val="3"/>
            <w:shd w:val="clear" w:color="auto" w:fill="CCEEFF"/>
            <w:tcMar>
              <w:top w:w="40" w:type="dxa"/>
              <w:left w:w="20" w:type="dxa"/>
              <w:bottom w:w="40" w:type="dxa"/>
              <w:right w:w="20" w:type="dxa"/>
            </w:tcMar>
            <w:vAlign w:val="bottom"/>
          </w:tcPr>
          <w:p w14:paraId="5EA2127F" w14:textId="77777777" w:rsidR="003C66EB" w:rsidRDefault="00D96C4E">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5EA21280" w14:textId="77777777" w:rsidR="003C66EB" w:rsidRDefault="00D96C4E">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28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8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83" w14:textId="77777777" w:rsidR="003C66EB" w:rsidRDefault="00D96C4E">
            <w:pPr>
              <w:jc w:val="right"/>
              <w:textAlignment w:val="bottom"/>
            </w:pPr>
            <w:r>
              <w:rPr>
                <w:rFonts w:ascii="Arial" w:eastAsia="宋体" w:hAnsi="Arial" w:cs="Arial"/>
                <w:color w:val="000000"/>
                <w:sz w:val="14"/>
                <w:szCs w:val="14"/>
              </w:rPr>
              <w:t>578 </w:t>
            </w:r>
          </w:p>
        </w:tc>
        <w:tc>
          <w:tcPr>
            <w:tcW w:w="0" w:type="auto"/>
            <w:shd w:val="clear" w:color="auto" w:fill="CCEEFF"/>
            <w:tcMar>
              <w:top w:w="40" w:type="dxa"/>
              <w:left w:w="0" w:type="dxa"/>
              <w:bottom w:w="40" w:type="dxa"/>
              <w:right w:w="20" w:type="dxa"/>
            </w:tcMar>
            <w:vAlign w:val="bottom"/>
          </w:tcPr>
          <w:p w14:paraId="5EA212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86" w14:textId="77777777" w:rsidR="003C66EB" w:rsidRDefault="00D96C4E">
            <w:pPr>
              <w:jc w:val="right"/>
              <w:textAlignment w:val="bottom"/>
            </w:pPr>
            <w:r>
              <w:rPr>
                <w:rFonts w:ascii="Arial" w:eastAsia="宋体" w:hAnsi="Arial" w:cs="Arial"/>
                <w:b/>
                <w:bCs/>
                <w:color w:val="000000"/>
                <w:sz w:val="14"/>
                <w:szCs w:val="14"/>
              </w:rPr>
              <w:t>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2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89" w14:textId="77777777" w:rsidR="003C66EB" w:rsidRDefault="00D96C4E">
            <w:pPr>
              <w:jc w:val="right"/>
              <w:textAlignment w:val="bottom"/>
            </w:pPr>
            <w:r>
              <w:rPr>
                <w:rFonts w:ascii="Arial" w:eastAsia="宋体" w:hAnsi="Arial" w:cs="Arial"/>
                <w:color w:val="000000"/>
                <w:sz w:val="14"/>
                <w:szCs w:val="14"/>
              </w:rPr>
              <w:t>351 </w:t>
            </w:r>
          </w:p>
        </w:tc>
        <w:tc>
          <w:tcPr>
            <w:tcW w:w="0" w:type="auto"/>
            <w:shd w:val="clear" w:color="auto" w:fill="CCEEFF"/>
            <w:tcMar>
              <w:top w:w="40" w:type="dxa"/>
              <w:left w:w="0" w:type="dxa"/>
              <w:bottom w:w="40" w:type="dxa"/>
              <w:right w:w="20" w:type="dxa"/>
            </w:tcMar>
            <w:vAlign w:val="bottom"/>
          </w:tcPr>
          <w:p w14:paraId="5EA2128A" w14:textId="77777777" w:rsidR="003C66EB" w:rsidRDefault="003C66EB">
            <w:pPr>
              <w:jc w:val="right"/>
              <w:rPr>
                <w:rFonts w:ascii="宋体"/>
              </w:rPr>
            </w:pPr>
          </w:p>
        </w:tc>
      </w:tr>
      <w:tr w:rsidR="003C66EB" w14:paraId="5EA21298" w14:textId="77777777">
        <w:tc>
          <w:tcPr>
            <w:tcW w:w="0" w:type="auto"/>
            <w:gridSpan w:val="3"/>
            <w:shd w:val="clear" w:color="auto" w:fill="FFFFFF"/>
            <w:tcMar>
              <w:top w:w="40" w:type="dxa"/>
              <w:left w:w="20" w:type="dxa"/>
              <w:bottom w:w="40" w:type="dxa"/>
              <w:right w:w="20" w:type="dxa"/>
            </w:tcMar>
            <w:vAlign w:val="bottom"/>
          </w:tcPr>
          <w:p w14:paraId="5EA2128C" w14:textId="77777777" w:rsidR="003C66EB" w:rsidRDefault="00D96C4E">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5EA2128D" w14:textId="77777777" w:rsidR="003C66EB" w:rsidRDefault="00D96C4E">
            <w:pPr>
              <w:jc w:val="right"/>
              <w:textAlignment w:val="bottom"/>
            </w:pPr>
            <w:r>
              <w:rPr>
                <w:rFonts w:ascii="Arial" w:eastAsia="宋体" w:hAnsi="Arial" w:cs="Arial"/>
                <w:b/>
                <w:bCs/>
                <w:color w:val="000000"/>
                <w:sz w:val="14"/>
                <w:szCs w:val="14"/>
              </w:rPr>
              <w:t>777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8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8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90" w14:textId="77777777" w:rsidR="003C66EB" w:rsidRDefault="00D96C4E">
            <w:pPr>
              <w:jc w:val="right"/>
              <w:textAlignment w:val="bottom"/>
            </w:pPr>
            <w:r>
              <w:rPr>
                <w:rFonts w:ascii="Arial" w:eastAsia="宋体" w:hAnsi="Arial" w:cs="Arial"/>
                <w:color w:val="000000"/>
                <w:sz w:val="14"/>
                <w:szCs w:val="14"/>
              </w:rPr>
              <w:t>1,763 </w:t>
            </w:r>
          </w:p>
        </w:tc>
        <w:tc>
          <w:tcPr>
            <w:tcW w:w="0" w:type="auto"/>
            <w:shd w:val="clear" w:color="auto" w:fill="FFFFFF"/>
            <w:tcMar>
              <w:top w:w="40" w:type="dxa"/>
              <w:left w:w="0" w:type="dxa"/>
              <w:bottom w:w="40" w:type="dxa"/>
              <w:right w:w="20" w:type="dxa"/>
            </w:tcMar>
            <w:vAlign w:val="bottom"/>
          </w:tcPr>
          <w:p w14:paraId="5EA2129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9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93" w14:textId="77777777" w:rsidR="003C66EB" w:rsidRDefault="00D96C4E">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9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9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96" w14:textId="77777777" w:rsidR="003C66EB" w:rsidRDefault="00D96C4E">
            <w:pPr>
              <w:jc w:val="right"/>
              <w:textAlignment w:val="bottom"/>
            </w:pPr>
            <w:r>
              <w:rPr>
                <w:rFonts w:ascii="Arial" w:eastAsia="宋体" w:hAnsi="Arial" w:cs="Arial"/>
                <w:color w:val="000000"/>
                <w:sz w:val="14"/>
                <w:szCs w:val="14"/>
              </w:rPr>
              <w:t>3,895 </w:t>
            </w:r>
          </w:p>
        </w:tc>
        <w:tc>
          <w:tcPr>
            <w:tcW w:w="0" w:type="auto"/>
            <w:shd w:val="clear" w:color="auto" w:fill="FFFFFF"/>
            <w:tcMar>
              <w:top w:w="40" w:type="dxa"/>
              <w:left w:w="0" w:type="dxa"/>
              <w:bottom w:w="40" w:type="dxa"/>
              <w:right w:w="20" w:type="dxa"/>
            </w:tcMar>
            <w:vAlign w:val="bottom"/>
          </w:tcPr>
          <w:p w14:paraId="5EA21297" w14:textId="77777777" w:rsidR="003C66EB" w:rsidRDefault="003C66EB">
            <w:pPr>
              <w:jc w:val="right"/>
              <w:rPr>
                <w:rFonts w:ascii="宋体"/>
              </w:rPr>
            </w:pPr>
          </w:p>
        </w:tc>
      </w:tr>
      <w:tr w:rsidR="003C66EB" w14:paraId="5EA212A5" w14:textId="77777777">
        <w:tc>
          <w:tcPr>
            <w:tcW w:w="0" w:type="auto"/>
            <w:gridSpan w:val="3"/>
            <w:shd w:val="clear" w:color="auto" w:fill="CCEEFF"/>
            <w:tcMar>
              <w:top w:w="40" w:type="dxa"/>
              <w:left w:w="20" w:type="dxa"/>
              <w:bottom w:w="40" w:type="dxa"/>
              <w:right w:w="20" w:type="dxa"/>
            </w:tcMar>
            <w:vAlign w:val="bottom"/>
          </w:tcPr>
          <w:p w14:paraId="5EA21299" w14:textId="77777777" w:rsidR="003C66EB" w:rsidRDefault="00D96C4E">
            <w:pP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A2129A" w14:textId="77777777" w:rsidR="003C66EB" w:rsidRDefault="00D96C4E">
            <w:pPr>
              <w:jc w:val="right"/>
              <w:textAlignment w:val="bottom"/>
            </w:pPr>
            <w:r>
              <w:rPr>
                <w:rFonts w:ascii="Arial" w:eastAsia="宋体" w:hAnsi="Arial" w:cs="Arial"/>
                <w:b/>
                <w:bCs/>
                <w:color w:val="000000"/>
                <w:sz w:val="14"/>
                <w:szCs w:val="14"/>
              </w:rPr>
              <w:t>(614)</w:t>
            </w:r>
          </w:p>
        </w:tc>
        <w:tc>
          <w:tcPr>
            <w:tcW w:w="0" w:type="auto"/>
            <w:shd w:val="clear" w:color="auto" w:fill="CCEEFF"/>
            <w:tcMar>
              <w:top w:w="40" w:type="dxa"/>
              <w:left w:w="0" w:type="dxa"/>
              <w:bottom w:w="40" w:type="dxa"/>
              <w:right w:w="20" w:type="dxa"/>
            </w:tcMar>
            <w:vAlign w:val="bottom"/>
          </w:tcPr>
          <w:p w14:paraId="5EA212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9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9D" w14:textId="77777777" w:rsidR="003C66EB" w:rsidRDefault="00D96C4E">
            <w:pPr>
              <w:jc w:val="right"/>
              <w:textAlignment w:val="bottom"/>
            </w:pPr>
            <w:r>
              <w:rPr>
                <w:rFonts w:ascii="Arial" w:eastAsia="宋体" w:hAnsi="Arial" w:cs="Arial"/>
                <w:color w:val="000000"/>
                <w:sz w:val="14"/>
                <w:szCs w:val="14"/>
              </w:rPr>
              <w:t>780 </w:t>
            </w:r>
          </w:p>
        </w:tc>
        <w:tc>
          <w:tcPr>
            <w:tcW w:w="0" w:type="auto"/>
            <w:shd w:val="clear" w:color="auto" w:fill="CCEEFF"/>
            <w:tcMar>
              <w:top w:w="40" w:type="dxa"/>
              <w:left w:w="0" w:type="dxa"/>
              <w:bottom w:w="40" w:type="dxa"/>
              <w:right w:w="20" w:type="dxa"/>
            </w:tcMar>
            <w:vAlign w:val="bottom"/>
          </w:tcPr>
          <w:p w14:paraId="5EA212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9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A0" w14:textId="77777777" w:rsidR="003C66EB" w:rsidRDefault="00D96C4E">
            <w:pPr>
              <w:jc w:val="right"/>
              <w:textAlignment w:val="bottom"/>
            </w:pPr>
            <w:r>
              <w:rPr>
                <w:rFonts w:ascii="Arial" w:eastAsia="宋体" w:hAnsi="Arial" w:cs="Arial"/>
                <w:b/>
                <w:bCs/>
                <w:color w:val="000000"/>
                <w:sz w:val="14"/>
                <w:szCs w:val="14"/>
              </w:rPr>
              <w:t>4,118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12A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A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A3" w14:textId="77777777" w:rsidR="003C66EB" w:rsidRDefault="00D96C4E">
            <w:pPr>
              <w:jc w:val="right"/>
              <w:textAlignment w:val="bottom"/>
            </w:pPr>
            <w:r>
              <w:rPr>
                <w:rFonts w:ascii="Arial" w:eastAsia="宋体" w:hAnsi="Arial" w:cs="Arial"/>
                <w:color w:val="000000"/>
                <w:sz w:val="14"/>
                <w:szCs w:val="14"/>
              </w:rPr>
              <w:t>457 </w:t>
            </w:r>
          </w:p>
        </w:tc>
        <w:tc>
          <w:tcPr>
            <w:tcW w:w="0" w:type="auto"/>
            <w:shd w:val="clear" w:color="auto" w:fill="CCEEFF"/>
            <w:tcMar>
              <w:top w:w="40" w:type="dxa"/>
              <w:left w:w="0" w:type="dxa"/>
              <w:bottom w:w="40" w:type="dxa"/>
              <w:right w:w="20" w:type="dxa"/>
            </w:tcMar>
            <w:vAlign w:val="bottom"/>
          </w:tcPr>
          <w:p w14:paraId="5EA212A4" w14:textId="77777777" w:rsidR="003C66EB" w:rsidRDefault="003C66EB">
            <w:pPr>
              <w:jc w:val="right"/>
              <w:rPr>
                <w:rFonts w:ascii="宋体"/>
              </w:rPr>
            </w:pPr>
          </w:p>
        </w:tc>
      </w:tr>
      <w:tr w:rsidR="003C66EB" w14:paraId="5EA212B2" w14:textId="77777777">
        <w:tc>
          <w:tcPr>
            <w:tcW w:w="0" w:type="auto"/>
            <w:gridSpan w:val="3"/>
            <w:shd w:val="clear" w:color="auto" w:fill="FFFFFF"/>
            <w:tcMar>
              <w:top w:w="40" w:type="dxa"/>
              <w:left w:w="20" w:type="dxa"/>
              <w:bottom w:w="40" w:type="dxa"/>
              <w:right w:w="20" w:type="dxa"/>
            </w:tcMar>
            <w:vAlign w:val="bottom"/>
          </w:tcPr>
          <w:p w14:paraId="5EA212A6" w14:textId="77777777" w:rsidR="003C66EB" w:rsidRDefault="00D96C4E">
            <w:pP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12A7" w14:textId="77777777" w:rsidR="003C66EB" w:rsidRDefault="00D96C4E">
            <w:pPr>
              <w:jc w:val="right"/>
              <w:textAlignment w:val="bottom"/>
            </w:pPr>
            <w:r>
              <w:rPr>
                <w:rFonts w:ascii="Arial" w:eastAsia="宋体" w:hAnsi="Arial" w:cs="Arial"/>
                <w:b/>
                <w:bCs/>
                <w:color w:val="000000"/>
                <w:sz w:val="14"/>
                <w:szCs w:val="14"/>
              </w:rPr>
              <w:t>1,139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AA" w14:textId="77777777" w:rsidR="003C66EB" w:rsidRDefault="00D96C4E">
            <w:pPr>
              <w:jc w:val="right"/>
              <w:textAlignment w:val="bottom"/>
            </w:pPr>
            <w:r>
              <w:rPr>
                <w:rFonts w:ascii="Arial" w:eastAsia="宋体" w:hAnsi="Arial" w:cs="Arial"/>
                <w:color w:val="000000"/>
                <w:sz w:val="14"/>
                <w:szCs w:val="14"/>
              </w:rPr>
              <w:t>(498)</w:t>
            </w:r>
          </w:p>
        </w:tc>
        <w:tc>
          <w:tcPr>
            <w:tcW w:w="0" w:type="auto"/>
            <w:shd w:val="clear" w:color="auto" w:fill="FFFFFF"/>
            <w:tcMar>
              <w:top w:w="40" w:type="dxa"/>
              <w:left w:w="0" w:type="dxa"/>
              <w:bottom w:w="40" w:type="dxa"/>
              <w:right w:w="20" w:type="dxa"/>
            </w:tcMar>
            <w:vAlign w:val="bottom"/>
          </w:tcPr>
          <w:p w14:paraId="5EA212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A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AD" w14:textId="77777777" w:rsidR="003C66EB" w:rsidRDefault="00D96C4E">
            <w:pPr>
              <w:jc w:val="right"/>
              <w:textAlignment w:val="bottom"/>
            </w:pPr>
            <w:r>
              <w:rPr>
                <w:rFonts w:ascii="Arial" w:eastAsia="宋体" w:hAnsi="Arial" w:cs="Arial"/>
                <w:b/>
                <w:bCs/>
                <w:color w:val="000000"/>
                <w:sz w:val="14"/>
                <w:szCs w:val="14"/>
              </w:rPr>
              <w:t>(599)</w:t>
            </w:r>
          </w:p>
        </w:tc>
        <w:tc>
          <w:tcPr>
            <w:tcW w:w="0" w:type="auto"/>
            <w:shd w:val="clear" w:color="auto" w:fill="FFFFFF"/>
            <w:tcMar>
              <w:top w:w="40" w:type="dxa"/>
              <w:left w:w="0" w:type="dxa"/>
              <w:bottom w:w="40" w:type="dxa"/>
              <w:right w:w="20" w:type="dxa"/>
            </w:tcMar>
            <w:vAlign w:val="bottom"/>
          </w:tcPr>
          <w:p w14:paraId="5EA212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A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B0" w14:textId="77777777" w:rsidR="003C66EB" w:rsidRDefault="00D96C4E">
            <w:pPr>
              <w:jc w:val="right"/>
              <w:textAlignment w:val="bottom"/>
            </w:pPr>
            <w:r>
              <w:rPr>
                <w:rFonts w:ascii="Arial" w:eastAsia="宋体" w:hAnsi="Arial" w:cs="Arial"/>
                <w:color w:val="000000"/>
                <w:sz w:val="14"/>
                <w:szCs w:val="14"/>
              </w:rPr>
              <w:t>2,422 </w:t>
            </w:r>
          </w:p>
        </w:tc>
        <w:tc>
          <w:tcPr>
            <w:tcW w:w="0" w:type="auto"/>
            <w:shd w:val="clear" w:color="auto" w:fill="FFFFFF"/>
            <w:tcMar>
              <w:top w:w="40" w:type="dxa"/>
              <w:left w:w="0" w:type="dxa"/>
              <w:bottom w:w="40" w:type="dxa"/>
              <w:right w:w="20" w:type="dxa"/>
            </w:tcMar>
            <w:vAlign w:val="bottom"/>
          </w:tcPr>
          <w:p w14:paraId="5EA212B1" w14:textId="77777777" w:rsidR="003C66EB" w:rsidRDefault="003C66EB">
            <w:pPr>
              <w:jc w:val="right"/>
              <w:rPr>
                <w:rFonts w:ascii="宋体"/>
              </w:rPr>
            </w:pPr>
          </w:p>
        </w:tc>
      </w:tr>
      <w:tr w:rsidR="003C66EB" w14:paraId="5EA212BF" w14:textId="77777777">
        <w:tc>
          <w:tcPr>
            <w:tcW w:w="0" w:type="auto"/>
            <w:gridSpan w:val="3"/>
            <w:shd w:val="clear" w:color="auto" w:fill="CCEEFF"/>
            <w:tcMar>
              <w:top w:w="40" w:type="dxa"/>
              <w:left w:w="20" w:type="dxa"/>
              <w:bottom w:w="40" w:type="dxa"/>
              <w:right w:w="20" w:type="dxa"/>
            </w:tcMar>
            <w:vAlign w:val="bottom"/>
          </w:tcPr>
          <w:p w14:paraId="5EA212B3" w14:textId="77777777" w:rsidR="003C66EB" w:rsidRDefault="00D96C4E">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2B4" w14:textId="77777777" w:rsidR="003C66EB" w:rsidRDefault="00D96C4E">
            <w:pPr>
              <w:jc w:val="right"/>
              <w:textAlignment w:val="bottom"/>
            </w:pPr>
            <w:r>
              <w:rPr>
                <w:rFonts w:ascii="Arial" w:eastAsia="宋体" w:hAnsi="Arial" w:cs="Arial"/>
                <w:b/>
                <w:bCs/>
                <w:color w:val="000000"/>
                <w:sz w:val="14"/>
                <w:szCs w:val="14"/>
              </w:rPr>
              <w:t>3,359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B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B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2B7" w14:textId="77777777" w:rsidR="003C66EB" w:rsidRDefault="00D96C4E">
            <w:pPr>
              <w:jc w:val="right"/>
              <w:textAlignment w:val="bottom"/>
            </w:pPr>
            <w:r>
              <w:rPr>
                <w:rFonts w:ascii="Arial" w:eastAsia="宋体" w:hAnsi="Arial" w:cs="Arial"/>
                <w:color w:val="000000"/>
                <w:sz w:val="14"/>
                <w:szCs w:val="14"/>
              </w:rPr>
              <w:t>8,604 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B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2BA" w14:textId="77777777" w:rsidR="003C66EB" w:rsidRDefault="00D96C4E">
            <w:pPr>
              <w:jc w:val="right"/>
              <w:textAlignment w:val="bottom"/>
            </w:pPr>
            <w:r>
              <w:rPr>
                <w:rFonts w:ascii="Arial" w:eastAsia="宋体" w:hAnsi="Arial" w:cs="Arial"/>
                <w:b/>
                <w:bCs/>
                <w:color w:val="000000"/>
                <w:sz w:val="14"/>
                <w:szCs w:val="14"/>
              </w:rPr>
              <w:t>7,182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B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2BD" w14:textId="77777777" w:rsidR="003C66EB" w:rsidRDefault="00D96C4E">
            <w:pPr>
              <w:jc w:val="right"/>
              <w:textAlignment w:val="bottom"/>
            </w:pPr>
            <w:r>
              <w:rPr>
                <w:rFonts w:ascii="Arial" w:eastAsia="宋体" w:hAnsi="Arial" w:cs="Arial"/>
                <w:color w:val="000000"/>
                <w:sz w:val="14"/>
                <w:szCs w:val="14"/>
              </w:rPr>
              <w:t>12,525 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2BE" w14:textId="77777777" w:rsidR="003C66EB" w:rsidRDefault="003C66EB">
            <w:pPr>
              <w:jc w:val="right"/>
              <w:rPr>
                <w:rFonts w:ascii="宋体"/>
              </w:rPr>
            </w:pPr>
          </w:p>
        </w:tc>
      </w:tr>
      <w:tr w:rsidR="003C66EB" w14:paraId="5EA212CC" w14:textId="77777777">
        <w:tc>
          <w:tcPr>
            <w:tcW w:w="0" w:type="auto"/>
            <w:gridSpan w:val="3"/>
            <w:shd w:val="clear" w:color="auto" w:fill="FFFFFF"/>
            <w:tcMar>
              <w:top w:w="40" w:type="dxa"/>
              <w:left w:w="20" w:type="dxa"/>
              <w:bottom w:w="40" w:type="dxa"/>
              <w:right w:w="20" w:type="dxa"/>
            </w:tcMar>
            <w:vAlign w:val="bottom"/>
          </w:tcPr>
          <w:p w14:paraId="5EA212C0" w14:textId="77777777" w:rsidR="003C66EB" w:rsidRDefault="00D96C4E">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5EA212C1" w14:textId="77777777" w:rsidR="003C66EB" w:rsidRDefault="00D96C4E">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C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C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C4" w14:textId="77777777" w:rsidR="003C66EB" w:rsidRDefault="00D96C4E">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5EA212C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C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C7" w14:textId="77777777" w:rsidR="003C66EB" w:rsidRDefault="00D96C4E">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12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2CA" w14:textId="77777777" w:rsidR="003C66EB" w:rsidRDefault="00D96C4E">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5EA212CB" w14:textId="77777777" w:rsidR="003C66EB" w:rsidRDefault="003C66EB">
            <w:pPr>
              <w:jc w:val="right"/>
              <w:rPr>
                <w:rFonts w:ascii="宋体"/>
              </w:rPr>
            </w:pPr>
          </w:p>
        </w:tc>
      </w:tr>
      <w:tr w:rsidR="003C66EB" w14:paraId="5EA212D7" w14:textId="77777777">
        <w:tc>
          <w:tcPr>
            <w:tcW w:w="0" w:type="auto"/>
            <w:gridSpan w:val="3"/>
            <w:shd w:val="clear" w:color="auto" w:fill="CCEEFF"/>
            <w:tcMar>
              <w:top w:w="40" w:type="dxa"/>
              <w:left w:w="20" w:type="dxa"/>
              <w:bottom w:w="40" w:type="dxa"/>
              <w:right w:w="20" w:type="dxa"/>
            </w:tcMar>
            <w:vAlign w:val="bottom"/>
          </w:tcPr>
          <w:p w14:paraId="5EA212CD" w14:textId="77777777" w:rsidR="003C66EB" w:rsidRDefault="00D96C4E">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5EA212CE" w14:textId="77777777" w:rsidR="003C66EB" w:rsidRDefault="00D96C4E">
            <w:pPr>
              <w:jc w:val="right"/>
              <w:textAlignment w:val="bottom"/>
            </w:pPr>
            <w:r>
              <w:rPr>
                <w:rFonts w:ascii="Arial" w:eastAsia="宋体" w:hAnsi="Arial" w:cs="Arial"/>
                <w:b/>
                <w:bCs/>
                <w:color w:val="000000"/>
                <w:sz w:val="14"/>
                <w:szCs w:val="14"/>
              </w:rPr>
              <w:t>(75)</w:t>
            </w:r>
          </w:p>
        </w:tc>
        <w:tc>
          <w:tcPr>
            <w:tcW w:w="0" w:type="auto"/>
            <w:shd w:val="clear" w:color="auto" w:fill="CCEEFF"/>
            <w:tcMar>
              <w:top w:w="40" w:type="dxa"/>
              <w:left w:w="0" w:type="dxa"/>
              <w:bottom w:w="40" w:type="dxa"/>
              <w:right w:w="20" w:type="dxa"/>
            </w:tcMar>
            <w:vAlign w:val="bottom"/>
          </w:tcPr>
          <w:p w14:paraId="5EA212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2D1" w14:textId="77777777" w:rsidR="003C66EB" w:rsidRDefault="00D96C4E">
            <w:pPr>
              <w:jc w:val="right"/>
              <w:textAlignment w:val="bottom"/>
            </w:pPr>
            <w:r>
              <w:rPr>
                <w:rFonts w:ascii="Arial" w:eastAsia="宋体" w:hAnsi="Arial" w:cs="Arial"/>
                <w:color w:val="000000"/>
                <w:sz w:val="14"/>
                <w:szCs w:val="14"/>
              </w:rPr>
              <w:t>(3,813)</w:t>
            </w:r>
          </w:p>
        </w:tc>
        <w:tc>
          <w:tcPr>
            <w:tcW w:w="0" w:type="auto"/>
            <w:shd w:val="clear" w:color="auto" w:fill="CCEEFF"/>
            <w:tcMar>
              <w:top w:w="40" w:type="dxa"/>
              <w:left w:w="0" w:type="dxa"/>
              <w:bottom w:w="40" w:type="dxa"/>
              <w:right w:w="20" w:type="dxa"/>
            </w:tcMar>
            <w:vAlign w:val="bottom"/>
          </w:tcPr>
          <w:p w14:paraId="5EA212D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2D3"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12D4" w14:textId="77777777" w:rsidR="003C66EB" w:rsidRDefault="00D96C4E">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tcPr>
          <w:p w14:paraId="5EA212D5"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12D6" w14:textId="77777777" w:rsidR="003C66EB" w:rsidRDefault="00D96C4E">
            <w:pPr>
              <w:jc w:val="right"/>
              <w:textAlignment w:val="bottom"/>
            </w:pPr>
            <w:r>
              <w:rPr>
                <w:rFonts w:ascii="Arial" w:eastAsia="宋体" w:hAnsi="Arial" w:cs="Arial"/>
                <w:color w:val="000000"/>
                <w:sz w:val="14"/>
                <w:szCs w:val="14"/>
              </w:rPr>
              <w:t>NA</w:t>
            </w:r>
          </w:p>
        </w:tc>
      </w:tr>
      <w:tr w:rsidR="003C66EB" w14:paraId="5EA212E8" w14:textId="77777777">
        <w:tc>
          <w:tcPr>
            <w:tcW w:w="0" w:type="auto"/>
            <w:gridSpan w:val="3"/>
            <w:shd w:val="clear" w:color="auto" w:fill="FFFFFF"/>
            <w:tcMar>
              <w:top w:w="40" w:type="dxa"/>
              <w:left w:w="20" w:type="dxa"/>
              <w:bottom w:w="40" w:type="dxa"/>
              <w:right w:w="20" w:type="dxa"/>
            </w:tcMar>
            <w:vAlign w:val="bottom"/>
          </w:tcPr>
          <w:p w14:paraId="5EA212D8" w14:textId="77777777" w:rsidR="003C66EB" w:rsidRDefault="00D96C4E">
            <w:pPr>
              <w:textAlignment w:val="bottom"/>
            </w:pPr>
            <w:r>
              <w:rPr>
                <w:rFonts w:ascii="Arial" w:eastAsia="宋体" w:hAnsi="Arial" w:cs="Arial"/>
                <w:color w:val="000000"/>
                <w:sz w:val="14"/>
                <w:szCs w:val="14"/>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D9"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DA" w14:textId="77777777" w:rsidR="003C66EB" w:rsidRDefault="00D96C4E">
            <w:pPr>
              <w:jc w:val="right"/>
              <w:textAlignment w:val="bottom"/>
            </w:pPr>
            <w:r>
              <w:rPr>
                <w:rFonts w:ascii="Arial" w:eastAsia="宋体" w:hAnsi="Arial" w:cs="Arial"/>
                <w:b/>
                <w:bCs/>
                <w:color w:val="000000"/>
                <w:sz w:val="14"/>
                <w:szCs w:val="14"/>
              </w:rPr>
              <w:t>113,051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DC"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D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DE" w14:textId="77777777" w:rsidR="003C66EB" w:rsidRDefault="00D96C4E">
            <w:pPr>
              <w:jc w:val="right"/>
              <w:textAlignment w:val="bottom"/>
            </w:pPr>
            <w:r>
              <w:rPr>
                <w:rFonts w:ascii="Arial" w:eastAsia="宋体" w:hAnsi="Arial" w:cs="Arial"/>
                <w:color w:val="000000"/>
                <w:sz w:val="14"/>
                <w:szCs w:val="14"/>
              </w:rPr>
              <w:t>109,705 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D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E0"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E1"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E2" w14:textId="77777777" w:rsidR="003C66EB" w:rsidRDefault="00D96C4E">
            <w:pPr>
              <w:jc w:val="right"/>
              <w:textAlignment w:val="bottom"/>
            </w:pPr>
            <w:r>
              <w:rPr>
                <w:rFonts w:ascii="Arial" w:eastAsia="宋体" w:hAnsi="Arial" w:cs="Arial"/>
                <w:b/>
                <w:bCs/>
                <w:color w:val="000000"/>
                <w:sz w:val="14"/>
                <w:szCs w:val="14"/>
              </w:rPr>
              <w:t>124,324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2E4"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2E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2E6" w14:textId="77777777" w:rsidR="003C66EB" w:rsidRDefault="00D96C4E">
            <w:pPr>
              <w:jc w:val="right"/>
              <w:textAlignment w:val="bottom"/>
            </w:pPr>
            <w:r>
              <w:rPr>
                <w:rFonts w:ascii="Arial" w:eastAsia="宋体" w:hAnsi="Arial" w:cs="Arial"/>
                <w:color w:val="000000"/>
                <w:sz w:val="14"/>
                <w:szCs w:val="14"/>
              </w:rPr>
              <w:t>117,080 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2E7" w14:textId="77777777" w:rsidR="003C66EB" w:rsidRDefault="003C66EB">
            <w:pPr>
              <w:jc w:val="right"/>
              <w:rPr>
                <w:rFonts w:ascii="宋体"/>
              </w:rPr>
            </w:pPr>
          </w:p>
        </w:tc>
      </w:tr>
    </w:tbl>
    <w:p w14:paraId="5EA212E9"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3C66EB" w14:paraId="5EA212F3" w14:textId="77777777">
        <w:tc>
          <w:tcPr>
            <w:tcW w:w="50" w:type="pct"/>
            <w:shd w:val="clear" w:color="auto" w:fill="auto"/>
          </w:tcPr>
          <w:p w14:paraId="5EA212EA" w14:textId="77777777" w:rsidR="003C66EB" w:rsidRDefault="003C66EB">
            <w:pPr>
              <w:rPr>
                <w:rFonts w:ascii="宋体"/>
              </w:rPr>
            </w:pPr>
          </w:p>
        </w:tc>
        <w:tc>
          <w:tcPr>
            <w:tcW w:w="1348" w:type="pct"/>
            <w:shd w:val="clear" w:color="auto" w:fill="auto"/>
          </w:tcPr>
          <w:p w14:paraId="5EA212EB" w14:textId="77777777" w:rsidR="003C66EB" w:rsidRDefault="003C66EB">
            <w:pPr>
              <w:rPr>
                <w:rFonts w:ascii="宋体"/>
              </w:rPr>
            </w:pPr>
          </w:p>
        </w:tc>
        <w:tc>
          <w:tcPr>
            <w:tcW w:w="5" w:type="pct"/>
            <w:shd w:val="clear" w:color="auto" w:fill="auto"/>
          </w:tcPr>
          <w:p w14:paraId="5EA212EC" w14:textId="77777777" w:rsidR="003C66EB" w:rsidRDefault="003C66EB">
            <w:pPr>
              <w:rPr>
                <w:rFonts w:ascii="宋体"/>
              </w:rPr>
            </w:pPr>
          </w:p>
        </w:tc>
        <w:tc>
          <w:tcPr>
            <w:tcW w:w="50" w:type="pct"/>
            <w:shd w:val="clear" w:color="auto" w:fill="auto"/>
          </w:tcPr>
          <w:p w14:paraId="5EA212ED" w14:textId="77777777" w:rsidR="003C66EB" w:rsidRDefault="003C66EB">
            <w:pPr>
              <w:rPr>
                <w:rFonts w:ascii="宋体"/>
              </w:rPr>
            </w:pPr>
          </w:p>
        </w:tc>
        <w:tc>
          <w:tcPr>
            <w:tcW w:w="2781" w:type="pct"/>
            <w:shd w:val="clear" w:color="auto" w:fill="auto"/>
          </w:tcPr>
          <w:p w14:paraId="5EA212EE" w14:textId="77777777" w:rsidR="003C66EB" w:rsidRDefault="003C66EB">
            <w:pPr>
              <w:rPr>
                <w:rFonts w:ascii="宋体"/>
              </w:rPr>
            </w:pPr>
          </w:p>
        </w:tc>
        <w:tc>
          <w:tcPr>
            <w:tcW w:w="5" w:type="pct"/>
            <w:shd w:val="clear" w:color="auto" w:fill="auto"/>
          </w:tcPr>
          <w:p w14:paraId="5EA212EF" w14:textId="77777777" w:rsidR="003C66EB" w:rsidRDefault="003C66EB">
            <w:pPr>
              <w:rPr>
                <w:rFonts w:ascii="宋体"/>
              </w:rPr>
            </w:pPr>
          </w:p>
        </w:tc>
        <w:tc>
          <w:tcPr>
            <w:tcW w:w="50" w:type="pct"/>
            <w:shd w:val="clear" w:color="auto" w:fill="auto"/>
          </w:tcPr>
          <w:p w14:paraId="5EA212F0" w14:textId="77777777" w:rsidR="003C66EB" w:rsidRDefault="003C66EB">
            <w:pPr>
              <w:rPr>
                <w:rFonts w:ascii="宋体"/>
              </w:rPr>
            </w:pPr>
          </w:p>
        </w:tc>
        <w:tc>
          <w:tcPr>
            <w:tcW w:w="705" w:type="pct"/>
            <w:shd w:val="clear" w:color="auto" w:fill="auto"/>
          </w:tcPr>
          <w:p w14:paraId="5EA212F1" w14:textId="77777777" w:rsidR="003C66EB" w:rsidRDefault="003C66EB">
            <w:pPr>
              <w:rPr>
                <w:rFonts w:ascii="宋体"/>
              </w:rPr>
            </w:pPr>
          </w:p>
        </w:tc>
        <w:tc>
          <w:tcPr>
            <w:tcW w:w="5" w:type="pct"/>
            <w:shd w:val="clear" w:color="auto" w:fill="auto"/>
          </w:tcPr>
          <w:p w14:paraId="5EA212F2" w14:textId="77777777" w:rsidR="003C66EB" w:rsidRDefault="003C66EB">
            <w:pPr>
              <w:rPr>
                <w:rFonts w:ascii="宋体"/>
              </w:rPr>
            </w:pPr>
          </w:p>
        </w:tc>
      </w:tr>
      <w:tr w:rsidR="003C66EB" w14:paraId="5EA212F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12F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2F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2F6" w14:textId="77777777" w:rsidR="003C66EB" w:rsidRDefault="003C66EB">
            <w:pPr>
              <w:rPr>
                <w:rFonts w:ascii="宋体"/>
              </w:rPr>
            </w:pPr>
          </w:p>
        </w:tc>
      </w:tr>
    </w:tbl>
    <w:p w14:paraId="5EA212F8" w14:textId="77777777" w:rsidR="003C66EB" w:rsidRDefault="00D96C4E">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5EA212F9" w14:textId="77777777" w:rsidR="003C66EB" w:rsidRDefault="00D96C4E">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5EA212FA" w14:textId="77777777" w:rsidR="003C66EB" w:rsidRDefault="00D96C4E">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5EA212FB" w14:textId="77777777" w:rsidR="003C66EB" w:rsidRDefault="00D96C4E">
      <w:pPr>
        <w:spacing w:before="60"/>
        <w:ind w:firstLine="450"/>
        <w:jc w:val="both"/>
      </w:pPr>
      <w:r>
        <w:rPr>
          <w:rFonts w:ascii="Arial" w:eastAsia="宋体" w:hAnsi="Arial" w:cs="Arial"/>
          <w:color w:val="000000"/>
          <w:sz w:val="20"/>
          <w:szCs w:val="20"/>
        </w:rPr>
        <w:t>As of March 31, 2021, total advanced approaches RWA increased $3.35 b</w:t>
      </w:r>
      <w:r>
        <w:rPr>
          <w:rFonts w:ascii="Arial" w:eastAsia="宋体" w:hAnsi="Arial" w:cs="Arial"/>
          <w:color w:val="000000"/>
          <w:sz w:val="20"/>
          <w:szCs w:val="20"/>
        </w:rPr>
        <w:t>illion compared to December 31, 2020, mainly due to an episodic increase in credit risk RWA. The increase in credit risk RWA was mainly driven by a net increase in overdraft activity, all other, and repo-style transactions RWA, partially offset by a net de</w:t>
      </w:r>
      <w:r>
        <w:rPr>
          <w:rFonts w:ascii="Arial" w:eastAsia="宋体" w:hAnsi="Arial" w:cs="Arial"/>
          <w:color w:val="000000"/>
          <w:sz w:val="20"/>
          <w:szCs w:val="20"/>
        </w:rPr>
        <w:t>crease in FX trading activity.</w:t>
      </w:r>
    </w:p>
    <w:p w14:paraId="5EA212FC" w14:textId="77777777" w:rsidR="003C66EB" w:rsidRDefault="00D96C4E">
      <w:pPr>
        <w:spacing w:before="60"/>
        <w:ind w:firstLine="450"/>
        <w:jc w:val="both"/>
      </w:pPr>
      <w:r>
        <w:rPr>
          <w:rFonts w:ascii="Arial" w:eastAsia="宋体" w:hAnsi="Arial" w:cs="Arial"/>
          <w:color w:val="000000"/>
          <w:sz w:val="20"/>
          <w:szCs w:val="20"/>
        </w:rPr>
        <w:t>As of March 31, 2021, total standardized approach RWA increased $7.24 billion compared to December 31, 2020, mainly due to higher credit risk RWA. The episodic increase in credit risk RWA was mainly driven by an increase in F</w:t>
      </w:r>
      <w:r>
        <w:rPr>
          <w:rFonts w:ascii="Arial" w:eastAsia="宋体" w:hAnsi="Arial" w:cs="Arial"/>
          <w:color w:val="000000"/>
          <w:sz w:val="20"/>
          <w:szCs w:val="20"/>
        </w:rPr>
        <w:t>X trading and overdraft activity.</w:t>
      </w:r>
    </w:p>
    <w:p w14:paraId="5EA212FD" w14:textId="77777777" w:rsidR="003C66EB" w:rsidRDefault="00D96C4E">
      <w:pPr>
        <w:spacing w:before="60"/>
        <w:ind w:firstLine="450"/>
        <w:jc w:val="both"/>
      </w:pPr>
      <w:r>
        <w:rPr>
          <w:rFonts w:ascii="Arial" w:eastAsia="宋体" w:hAnsi="Arial" w:cs="Arial"/>
          <w:color w:val="000000"/>
          <w:sz w:val="20"/>
          <w:szCs w:val="20"/>
        </w:rPr>
        <w:t>The regulatory capital ratios as of March 31, 2021, presented in Table 35: Regulatory Capital Structure and Related Regulatory Capital Ratios, are calculated under the advanced approaches and standardized approach in confo</w:t>
      </w:r>
      <w:r>
        <w:rPr>
          <w:rFonts w:ascii="Arial" w:eastAsia="宋体" w:hAnsi="Arial" w:cs="Arial"/>
          <w:color w:val="000000"/>
          <w:sz w:val="20"/>
          <w:szCs w:val="20"/>
        </w:rPr>
        <w:t>rmity with the Basel III final rule. The advanced approaches-based ratios reflect calculations and determinations with respect to our capital and related matters as of March 31, 2021, based on our and external data, quantitative formulae, statistical model</w:t>
      </w:r>
      <w:r>
        <w:rPr>
          <w:rFonts w:ascii="Arial" w:eastAsia="宋体" w:hAnsi="Arial" w:cs="Arial"/>
          <w:color w:val="000000"/>
          <w:sz w:val="20"/>
          <w:szCs w:val="20"/>
        </w:rPr>
        <w:t>s, historical correlations and assumptions, collectively referred to as “advanced systems,” in effect and used by us for those purposes as of the time we first reported such ratios in a quarterly report on Form 10-Q or an annual report on Form 10-K. Signif</w:t>
      </w:r>
      <w:r>
        <w:rPr>
          <w:rFonts w:ascii="Arial" w:eastAsia="宋体" w:hAnsi="Arial" w:cs="Arial"/>
          <w:color w:val="000000"/>
          <w:sz w:val="20"/>
          <w:szCs w:val="20"/>
        </w:rPr>
        <w:t>icant components of these advanced systems involve the exercise of judgment by us and our regulators, and our advanced systems may not, individually or collectively, precisely represent or calculate the scenarios, circumstances, outputs or other results fo</w:t>
      </w:r>
      <w:r>
        <w:rPr>
          <w:rFonts w:ascii="Arial" w:eastAsia="宋体" w:hAnsi="Arial" w:cs="Arial"/>
          <w:color w:val="000000"/>
          <w:sz w:val="20"/>
          <w:szCs w:val="20"/>
        </w:rPr>
        <w:t>r which they are designed or intended.</w:t>
      </w:r>
    </w:p>
    <w:p w14:paraId="5EA212FE" w14:textId="77777777" w:rsidR="003C66EB" w:rsidRDefault="00D96C4E">
      <w:pPr>
        <w:spacing w:before="60"/>
        <w:ind w:firstLine="450"/>
        <w:jc w:val="both"/>
      </w:pPr>
      <w:r>
        <w:rPr>
          <w:rFonts w:ascii="Arial" w:eastAsia="宋体" w:hAnsi="Arial" w:cs="Arial"/>
          <w:color w:val="000000"/>
          <w:sz w:val="20"/>
          <w:szCs w:val="20"/>
        </w:rPr>
        <w:t>Our advanced systems are subject to update and periodic revalidation in response to changes in our business activities and our historical experiences, forces and events experienced by the market broadly or by individu</w:t>
      </w:r>
      <w:r>
        <w:rPr>
          <w:rFonts w:ascii="Arial" w:eastAsia="宋体" w:hAnsi="Arial" w:cs="Arial"/>
          <w:color w:val="000000"/>
          <w:sz w:val="20"/>
          <w:szCs w:val="20"/>
        </w:rPr>
        <w:t>al financial institutions, changes in regulations and regulatory interpretations and other factors, and are also subject to continuing regulatory review and approval. For example, a significant operational loss experienced by another financial institution,</w:t>
      </w:r>
      <w:r>
        <w:rPr>
          <w:rFonts w:ascii="Arial" w:eastAsia="宋体" w:hAnsi="Arial" w:cs="Arial"/>
          <w:color w:val="000000"/>
          <w:sz w:val="20"/>
          <w:szCs w:val="20"/>
        </w:rPr>
        <w:t xml:space="preserve"> even if we do not experience a related loss, could result in a material change in the output of our advanced systems and a corresponding material change in our risk exposures, our total RWA and our capital ratios compared to prior periods. An operational </w:t>
      </w:r>
      <w:r>
        <w:rPr>
          <w:rFonts w:ascii="Arial" w:eastAsia="宋体" w:hAnsi="Arial" w:cs="Arial"/>
          <w:color w:val="000000"/>
          <w:sz w:val="20"/>
          <w:szCs w:val="20"/>
        </w:rPr>
        <w:t>loss that we experience could also result in a material change in our capital requirements for operational risk under the advanced approaches, depending on the severity of the loss event, its characterization among the seven Basel-defined UOM, and the stab</w:t>
      </w:r>
      <w:r>
        <w:rPr>
          <w:rFonts w:ascii="Arial" w:eastAsia="宋体" w:hAnsi="Arial" w:cs="Arial"/>
          <w:color w:val="000000"/>
          <w:sz w:val="20"/>
          <w:szCs w:val="20"/>
        </w:rPr>
        <w:t>ility of the distributional approach for a particular UOM, and without direct correlation to the effects of the loss event, or the timing of such effects, on our results of operations.</w:t>
      </w:r>
    </w:p>
    <w:p w14:paraId="5EA212FF" w14:textId="77777777" w:rsidR="003C66EB" w:rsidRDefault="00D96C4E">
      <w:pPr>
        <w:spacing w:before="60"/>
        <w:ind w:firstLine="450"/>
        <w:jc w:val="both"/>
      </w:pPr>
      <w:r>
        <w:rPr>
          <w:rFonts w:ascii="Arial" w:eastAsia="宋体" w:hAnsi="Arial" w:cs="Arial"/>
          <w:color w:val="000000"/>
          <w:sz w:val="20"/>
          <w:szCs w:val="20"/>
        </w:rPr>
        <w:t>Due to the influence of changes in these advanced systems, whether resu</w:t>
      </w:r>
      <w:r>
        <w:rPr>
          <w:rFonts w:ascii="Arial" w:eastAsia="宋体" w:hAnsi="Arial" w:cs="Arial"/>
          <w:color w:val="000000"/>
          <w:sz w:val="20"/>
          <w:szCs w:val="20"/>
        </w:rPr>
        <w:t>lting from changes in data inputs, regulation or regulatory supervision or interpretation, specific to us or market activities or experiences or other updates or factors, we expect that our advanced systems and our capital ratios calculated in conformity w</w:t>
      </w:r>
      <w:r>
        <w:rPr>
          <w:rFonts w:ascii="Arial" w:eastAsia="宋体" w:hAnsi="Arial" w:cs="Arial"/>
          <w:color w:val="000000"/>
          <w:sz w:val="20"/>
          <w:szCs w:val="20"/>
        </w:rPr>
        <w:t>ith the Basel III final rule will change and may be volatile over time, and that those latter changes or volatility could be material as calculated and measured from period to period. The full effects of the Basel III final rule on us and State Street Bank</w:t>
      </w:r>
      <w:r>
        <w:rPr>
          <w:rFonts w:ascii="Arial" w:eastAsia="宋体" w:hAnsi="Arial" w:cs="Arial"/>
          <w:color w:val="000000"/>
          <w:sz w:val="20"/>
          <w:szCs w:val="20"/>
        </w:rPr>
        <w:t xml:space="preserve"> are therefore subject to further evaluation and also to further regulatory guidance, action or rule-making.</w:t>
      </w:r>
    </w:p>
    <w:p w14:paraId="5EA21300" w14:textId="77777777" w:rsidR="003C66EB" w:rsidRDefault="00D96C4E">
      <w:pPr>
        <w:ind w:firstLine="450"/>
        <w:jc w:val="right"/>
      </w:pPr>
      <w:r>
        <w:rPr>
          <w:rFonts w:ascii="Arial" w:eastAsia="宋体" w:hAnsi="Arial" w:cs="Arial"/>
          <w:color w:val="000000"/>
          <w:sz w:val="18"/>
          <w:szCs w:val="18"/>
        </w:rPr>
        <w:t>State Street Corporation | 41</w:t>
      </w:r>
    </w:p>
    <w:p w14:paraId="5EA21301" w14:textId="77777777" w:rsidR="003C66EB" w:rsidRDefault="003C66EB">
      <w:pPr>
        <w:ind w:firstLine="450"/>
        <w:jc w:val="center"/>
      </w:pPr>
    </w:p>
    <w:p w14:paraId="5EA21302" w14:textId="77777777" w:rsidR="003C66EB" w:rsidRDefault="00D96C4E">
      <w:r>
        <w:pict w14:anchorId="5EA287D9">
          <v:rect id="_x0000_i1065" style="width:415.3pt;height:1.5pt" o:hralign="center" o:hrstd="t" o:hr="t" fillcolor="#a0a0a0" stroked="f"/>
        </w:pict>
      </w:r>
    </w:p>
    <w:p w14:paraId="5EA21303"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1304" w14:textId="77777777" w:rsidR="003C66EB" w:rsidRDefault="00D96C4E">
      <w:pPr>
        <w:ind w:firstLine="450"/>
        <w:jc w:val="center"/>
      </w:pPr>
      <w:r>
        <w:rPr>
          <w:rFonts w:ascii="Arial" w:eastAsia="宋体" w:hAnsi="Arial" w:cs="Arial"/>
          <w:b/>
          <w:bCs/>
          <w:color w:val="000000"/>
          <w:sz w:val="20"/>
          <w:szCs w:val="20"/>
        </w:rPr>
        <w:t>AND RESULTS OF OPERATIONS</w:t>
      </w:r>
    </w:p>
    <w:p w14:paraId="5EA21305" w14:textId="77777777" w:rsidR="003C66EB" w:rsidRDefault="00D96C4E">
      <w:pPr>
        <w:spacing w:before="60"/>
        <w:textAlignment w:val="top"/>
      </w:pPr>
      <w:r>
        <w:rPr>
          <w:rFonts w:ascii="Arial" w:eastAsia="宋体" w:hAnsi="Arial" w:cs="Arial"/>
          <w:b/>
          <w:bCs/>
          <w:i/>
          <w:iCs/>
          <w:color w:val="000000"/>
          <w:sz w:val="20"/>
          <w:szCs w:val="20"/>
        </w:rPr>
        <w:t>Tier 1 and Supplementary Lev</w:t>
      </w:r>
      <w:r>
        <w:rPr>
          <w:rFonts w:ascii="Arial" w:eastAsia="宋体" w:hAnsi="Arial" w:cs="Arial"/>
          <w:b/>
          <w:bCs/>
          <w:i/>
          <w:iCs/>
          <w:color w:val="000000"/>
          <w:sz w:val="20"/>
          <w:szCs w:val="20"/>
        </w:rPr>
        <w:t>erage Ratios</w:t>
      </w:r>
    </w:p>
    <w:p w14:paraId="5EA21306" w14:textId="77777777" w:rsidR="003C66EB" w:rsidRDefault="00D96C4E">
      <w:pPr>
        <w:spacing w:before="60"/>
        <w:ind w:firstLine="450"/>
        <w:jc w:val="both"/>
        <w:textAlignment w:val="top"/>
      </w:pPr>
      <w:r>
        <w:rPr>
          <w:rFonts w:ascii="Arial" w:eastAsia="宋体" w:hAnsi="Arial" w:cs="Arial"/>
          <w:color w:val="000000"/>
          <w:sz w:val="20"/>
          <w:szCs w:val="20"/>
        </w:rPr>
        <w:t xml:space="preserve">We are subject to a minimum Tier 1 leverage ratio and a supplementary leverage ratio. The Tier 1 leverage ratio is based on Tier 1 capital and adjusted quarterly average on-balance sheet assets. The Tier 1 leverage ratio differs from the </w:t>
      </w:r>
      <w:r>
        <w:rPr>
          <w:rFonts w:ascii="Arial" w:eastAsia="宋体" w:hAnsi="Arial" w:cs="Arial"/>
          <w:color w:val="000000"/>
          <w:sz w:val="20"/>
          <w:szCs w:val="20"/>
        </w:rPr>
        <w:t>SLR primarily in that the denominator of the Tier 1 leverage ratio is a quarterly average of on-balance sheet assets, while the SLR additionally includes off-balance sheet exposures. We must maintain a minimum Tier 1 leverage ratio of 4%.</w:t>
      </w:r>
    </w:p>
    <w:p w14:paraId="5EA21307" w14:textId="77777777" w:rsidR="003C66EB" w:rsidRDefault="00D96C4E">
      <w:pPr>
        <w:spacing w:before="60"/>
        <w:ind w:firstLine="450"/>
        <w:jc w:val="both"/>
        <w:textAlignment w:val="top"/>
      </w:pPr>
      <w:r>
        <w:rPr>
          <w:rFonts w:ascii="Arial" w:eastAsia="宋体" w:hAnsi="Arial" w:cs="Arial"/>
          <w:color w:val="000000"/>
          <w:sz w:val="20"/>
          <w:szCs w:val="20"/>
        </w:rPr>
        <w:t>We are also subje</w:t>
      </w:r>
      <w:r>
        <w:rPr>
          <w:rFonts w:ascii="Arial" w:eastAsia="宋体" w:hAnsi="Arial" w:cs="Arial"/>
          <w:color w:val="000000"/>
          <w:sz w:val="20"/>
          <w:szCs w:val="20"/>
        </w:rPr>
        <w:t>ct to a minimum SLR of 3%, and as a U.S. G-SIB, we must maintain a 2% SLR buffer in order to avoid any limitations on distributions to shareholders and discretionary bonus payments to certain executives. If we do not maintain this buffer, limitations on th</w:t>
      </w:r>
      <w:r>
        <w:rPr>
          <w:rFonts w:ascii="Arial" w:eastAsia="宋体" w:hAnsi="Arial" w:cs="Arial"/>
          <w:color w:val="000000"/>
          <w:sz w:val="20"/>
          <w:szCs w:val="20"/>
        </w:rPr>
        <w:t>ese distributions and discretionary bonus payments would be increasingly stringent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4007"/>
        <w:gridCol w:w="38"/>
        <w:gridCol w:w="104"/>
        <w:gridCol w:w="1816"/>
        <w:gridCol w:w="154"/>
        <w:gridCol w:w="36"/>
        <w:gridCol w:w="36"/>
        <w:gridCol w:w="36"/>
        <w:gridCol w:w="104"/>
        <w:gridCol w:w="1812"/>
        <w:gridCol w:w="154"/>
      </w:tblGrid>
      <w:tr w:rsidR="003C66EB" w14:paraId="5EA21314" w14:textId="77777777">
        <w:tc>
          <w:tcPr>
            <w:tcW w:w="50" w:type="pct"/>
            <w:shd w:val="clear" w:color="auto" w:fill="auto"/>
          </w:tcPr>
          <w:p w14:paraId="5EA21308" w14:textId="77777777" w:rsidR="003C66EB" w:rsidRDefault="003C66EB">
            <w:pPr>
              <w:rPr>
                <w:rFonts w:ascii="宋体"/>
              </w:rPr>
            </w:pPr>
          </w:p>
        </w:tc>
        <w:tc>
          <w:tcPr>
            <w:tcW w:w="2476" w:type="pct"/>
            <w:shd w:val="clear" w:color="auto" w:fill="auto"/>
          </w:tcPr>
          <w:p w14:paraId="5EA21309" w14:textId="77777777" w:rsidR="003C66EB" w:rsidRDefault="003C66EB">
            <w:pPr>
              <w:rPr>
                <w:rFonts w:ascii="宋体"/>
              </w:rPr>
            </w:pPr>
          </w:p>
        </w:tc>
        <w:tc>
          <w:tcPr>
            <w:tcW w:w="5" w:type="pct"/>
            <w:shd w:val="clear" w:color="auto" w:fill="auto"/>
          </w:tcPr>
          <w:p w14:paraId="5EA2130A" w14:textId="77777777" w:rsidR="003C66EB" w:rsidRDefault="003C66EB">
            <w:pPr>
              <w:rPr>
                <w:rFonts w:ascii="宋体"/>
              </w:rPr>
            </w:pPr>
          </w:p>
        </w:tc>
        <w:tc>
          <w:tcPr>
            <w:tcW w:w="50" w:type="pct"/>
            <w:shd w:val="clear" w:color="auto" w:fill="auto"/>
          </w:tcPr>
          <w:p w14:paraId="5EA2130B" w14:textId="77777777" w:rsidR="003C66EB" w:rsidRDefault="003C66EB">
            <w:pPr>
              <w:rPr>
                <w:rFonts w:ascii="宋体"/>
              </w:rPr>
            </w:pPr>
          </w:p>
        </w:tc>
        <w:tc>
          <w:tcPr>
            <w:tcW w:w="1139" w:type="pct"/>
            <w:shd w:val="clear" w:color="auto" w:fill="auto"/>
          </w:tcPr>
          <w:p w14:paraId="5EA2130C" w14:textId="77777777" w:rsidR="003C66EB" w:rsidRDefault="003C66EB">
            <w:pPr>
              <w:rPr>
                <w:rFonts w:ascii="宋体"/>
              </w:rPr>
            </w:pPr>
          </w:p>
        </w:tc>
        <w:tc>
          <w:tcPr>
            <w:tcW w:w="5" w:type="pct"/>
            <w:shd w:val="clear" w:color="auto" w:fill="auto"/>
          </w:tcPr>
          <w:p w14:paraId="5EA2130D" w14:textId="77777777" w:rsidR="003C66EB" w:rsidRDefault="003C66EB">
            <w:pPr>
              <w:rPr>
                <w:rFonts w:ascii="宋体"/>
              </w:rPr>
            </w:pPr>
          </w:p>
        </w:tc>
        <w:tc>
          <w:tcPr>
            <w:tcW w:w="5" w:type="pct"/>
            <w:shd w:val="clear" w:color="auto" w:fill="auto"/>
          </w:tcPr>
          <w:p w14:paraId="5EA2130E" w14:textId="77777777" w:rsidR="003C66EB" w:rsidRDefault="003C66EB">
            <w:pPr>
              <w:rPr>
                <w:rFonts w:ascii="宋体"/>
              </w:rPr>
            </w:pPr>
          </w:p>
        </w:tc>
        <w:tc>
          <w:tcPr>
            <w:tcW w:w="68" w:type="pct"/>
            <w:shd w:val="clear" w:color="auto" w:fill="auto"/>
          </w:tcPr>
          <w:p w14:paraId="5EA2130F" w14:textId="77777777" w:rsidR="003C66EB" w:rsidRDefault="003C66EB">
            <w:pPr>
              <w:rPr>
                <w:rFonts w:ascii="宋体"/>
              </w:rPr>
            </w:pPr>
          </w:p>
        </w:tc>
        <w:tc>
          <w:tcPr>
            <w:tcW w:w="5" w:type="pct"/>
            <w:shd w:val="clear" w:color="auto" w:fill="auto"/>
          </w:tcPr>
          <w:p w14:paraId="5EA21310" w14:textId="77777777" w:rsidR="003C66EB" w:rsidRDefault="003C66EB">
            <w:pPr>
              <w:rPr>
                <w:rFonts w:ascii="宋体"/>
              </w:rPr>
            </w:pPr>
          </w:p>
        </w:tc>
        <w:tc>
          <w:tcPr>
            <w:tcW w:w="50" w:type="pct"/>
            <w:shd w:val="clear" w:color="auto" w:fill="auto"/>
          </w:tcPr>
          <w:p w14:paraId="5EA21311" w14:textId="77777777" w:rsidR="003C66EB" w:rsidRDefault="003C66EB">
            <w:pPr>
              <w:rPr>
                <w:rFonts w:ascii="宋体"/>
              </w:rPr>
            </w:pPr>
          </w:p>
        </w:tc>
        <w:tc>
          <w:tcPr>
            <w:tcW w:w="1140" w:type="pct"/>
            <w:shd w:val="clear" w:color="auto" w:fill="auto"/>
          </w:tcPr>
          <w:p w14:paraId="5EA21312" w14:textId="77777777" w:rsidR="003C66EB" w:rsidRDefault="003C66EB">
            <w:pPr>
              <w:rPr>
                <w:rFonts w:ascii="宋体"/>
              </w:rPr>
            </w:pPr>
          </w:p>
        </w:tc>
        <w:tc>
          <w:tcPr>
            <w:tcW w:w="5" w:type="pct"/>
            <w:shd w:val="clear" w:color="auto" w:fill="auto"/>
          </w:tcPr>
          <w:p w14:paraId="5EA21313" w14:textId="77777777" w:rsidR="003C66EB" w:rsidRDefault="003C66EB">
            <w:pPr>
              <w:rPr>
                <w:rFonts w:ascii="宋体"/>
              </w:rPr>
            </w:pPr>
          </w:p>
        </w:tc>
      </w:tr>
      <w:tr w:rsidR="003C66EB" w14:paraId="5EA21316" w14:textId="77777777">
        <w:tc>
          <w:tcPr>
            <w:tcW w:w="0" w:type="auto"/>
            <w:gridSpan w:val="12"/>
            <w:shd w:val="clear" w:color="auto" w:fill="auto"/>
            <w:tcMar>
              <w:top w:w="40" w:type="dxa"/>
              <w:left w:w="20" w:type="dxa"/>
              <w:bottom w:w="40" w:type="dxa"/>
              <w:right w:w="20" w:type="dxa"/>
            </w:tcMar>
            <w:vAlign w:val="bottom"/>
          </w:tcPr>
          <w:p w14:paraId="5EA21315" w14:textId="77777777" w:rsidR="003C66EB" w:rsidRDefault="00D96C4E">
            <w:pPr>
              <w:textAlignment w:val="bottom"/>
            </w:pPr>
            <w:r>
              <w:rPr>
                <w:rFonts w:ascii="Arial" w:eastAsia="宋体" w:hAnsi="Arial" w:cs="Arial"/>
                <w:b/>
                <w:bCs/>
                <w:color w:val="000000"/>
                <w:sz w:val="16"/>
                <w:szCs w:val="16"/>
              </w:rPr>
              <w:t>TABLE 38: TIER 1 AND SUPPLEMENTARY LEVERAGE RATIOS</w:t>
            </w:r>
          </w:p>
        </w:tc>
      </w:tr>
      <w:tr w:rsidR="003C66EB" w14:paraId="5EA2131B" w14:textId="77777777">
        <w:tc>
          <w:tcPr>
            <w:tcW w:w="0" w:type="auto"/>
            <w:gridSpan w:val="3"/>
            <w:shd w:val="clear" w:color="auto" w:fill="auto"/>
            <w:tcMar>
              <w:top w:w="40" w:type="dxa"/>
              <w:left w:w="20" w:type="dxa"/>
              <w:bottom w:w="40" w:type="dxa"/>
              <w:right w:w="20" w:type="dxa"/>
            </w:tcMar>
            <w:vAlign w:val="bottom"/>
          </w:tcPr>
          <w:p w14:paraId="5EA21317" w14:textId="77777777" w:rsidR="003C66EB" w:rsidRDefault="00D96C4E">
            <w:pPr>
              <w:textAlignment w:val="bottom"/>
            </w:pPr>
            <w:r>
              <w:rPr>
                <w:rFonts w:ascii="Arial" w:eastAsia="宋体" w:hAnsi="Arial" w:cs="Arial"/>
                <w:b/>
                <w:bCs/>
                <w:color w:val="000000"/>
                <w:sz w:val="15"/>
                <w:szCs w:val="15"/>
              </w:rPr>
              <w:t>(Dollars in millions)</w:t>
            </w:r>
          </w:p>
        </w:tc>
        <w:tc>
          <w:tcPr>
            <w:tcW w:w="0" w:type="auto"/>
            <w:gridSpan w:val="3"/>
            <w:shd w:val="clear" w:color="auto" w:fill="auto"/>
            <w:tcMar>
              <w:top w:w="40" w:type="dxa"/>
              <w:left w:w="20" w:type="dxa"/>
              <w:bottom w:w="40" w:type="dxa"/>
              <w:right w:w="20" w:type="dxa"/>
            </w:tcMar>
            <w:vAlign w:val="bottom"/>
          </w:tcPr>
          <w:p w14:paraId="5EA21318"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131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31A"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1320" w14:textId="77777777">
        <w:tc>
          <w:tcPr>
            <w:tcW w:w="0" w:type="auto"/>
            <w:gridSpan w:val="3"/>
            <w:shd w:val="clear" w:color="auto" w:fill="auto"/>
            <w:tcMar>
              <w:top w:w="40" w:type="dxa"/>
              <w:left w:w="20" w:type="dxa"/>
              <w:bottom w:w="40" w:type="dxa"/>
              <w:right w:w="20" w:type="dxa"/>
            </w:tcMar>
            <w:vAlign w:val="bottom"/>
          </w:tcPr>
          <w:p w14:paraId="5EA2131C" w14:textId="77777777" w:rsidR="003C66EB" w:rsidRDefault="00D96C4E">
            <w:pPr>
              <w:textAlignment w:val="bottom"/>
            </w:pPr>
            <w:r>
              <w:rPr>
                <w:rFonts w:ascii="Arial" w:eastAsia="宋体" w:hAnsi="Arial" w:cs="Arial"/>
                <w:b/>
                <w:bCs/>
                <w:color w:val="000000"/>
                <w:sz w:val="15"/>
                <w:szCs w:val="15"/>
              </w:rPr>
              <w:t xml:space="preserve">State </w:t>
            </w:r>
            <w:r>
              <w:rPr>
                <w:rFonts w:ascii="Arial" w:eastAsia="宋体" w:hAnsi="Arial" w:cs="Arial"/>
                <w:b/>
                <w:bCs/>
                <w:color w:val="000000"/>
                <w:sz w:val="15"/>
                <w:szCs w:val="15"/>
              </w:rPr>
              <w:t>Street:</w:t>
            </w:r>
          </w:p>
        </w:tc>
        <w:tc>
          <w:tcPr>
            <w:tcW w:w="0" w:type="auto"/>
            <w:gridSpan w:val="3"/>
            <w:tcBorders>
              <w:top w:val="single" w:sz="8" w:space="0" w:color="000000"/>
            </w:tcBorders>
            <w:shd w:val="clear" w:color="auto" w:fill="auto"/>
            <w:tcMar>
              <w:top w:w="0" w:type="dxa"/>
              <w:left w:w="20" w:type="dxa"/>
              <w:bottom w:w="0" w:type="dxa"/>
              <w:right w:w="20" w:type="dxa"/>
            </w:tcMar>
          </w:tcPr>
          <w:p w14:paraId="5EA213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31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31F" w14:textId="77777777" w:rsidR="003C66EB" w:rsidRDefault="003C66EB">
            <w:pPr>
              <w:rPr>
                <w:rFonts w:ascii="宋体"/>
              </w:rPr>
            </w:pPr>
          </w:p>
        </w:tc>
      </w:tr>
      <w:tr w:rsidR="003C66EB" w14:paraId="5EA21329" w14:textId="77777777">
        <w:tc>
          <w:tcPr>
            <w:tcW w:w="0" w:type="auto"/>
            <w:gridSpan w:val="3"/>
            <w:shd w:val="clear" w:color="auto" w:fill="CCEEFF"/>
            <w:tcMar>
              <w:top w:w="40" w:type="dxa"/>
              <w:left w:w="20" w:type="dxa"/>
              <w:bottom w:w="40" w:type="dxa"/>
              <w:right w:w="20" w:type="dxa"/>
            </w:tcMar>
            <w:vAlign w:val="bottom"/>
          </w:tcPr>
          <w:p w14:paraId="5EA21321" w14:textId="77777777" w:rsidR="003C66EB" w:rsidRDefault="00D96C4E">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5EA2132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1323" w14:textId="77777777" w:rsidR="003C66EB" w:rsidRDefault="00D96C4E">
            <w:pPr>
              <w:jc w:val="right"/>
              <w:textAlignment w:val="bottom"/>
            </w:pPr>
            <w:r>
              <w:rPr>
                <w:rFonts w:ascii="Arial" w:eastAsia="宋体" w:hAnsi="Arial" w:cs="Arial"/>
                <w:b/>
                <w:bCs/>
                <w:color w:val="000000"/>
                <w:sz w:val="15"/>
                <w:szCs w:val="15"/>
              </w:rPr>
              <w:t>15,419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132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2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326"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1327" w14:textId="77777777" w:rsidR="003C66EB" w:rsidRDefault="00D96C4E">
            <w:pPr>
              <w:jc w:val="right"/>
              <w:textAlignment w:val="bottom"/>
            </w:pPr>
            <w:r>
              <w:rPr>
                <w:rFonts w:ascii="Arial" w:eastAsia="宋体" w:hAnsi="Arial" w:cs="Arial"/>
                <w:color w:val="000000"/>
                <w:sz w:val="15"/>
                <w:szCs w:val="15"/>
              </w:rPr>
              <w:t>16,848 </w:t>
            </w:r>
          </w:p>
        </w:tc>
        <w:tc>
          <w:tcPr>
            <w:tcW w:w="0" w:type="auto"/>
            <w:shd w:val="clear" w:color="auto" w:fill="CCEEFF"/>
            <w:tcMar>
              <w:top w:w="40" w:type="dxa"/>
              <w:left w:w="0" w:type="dxa"/>
              <w:bottom w:w="40" w:type="dxa"/>
              <w:right w:w="20" w:type="dxa"/>
            </w:tcMar>
            <w:vAlign w:val="bottom"/>
          </w:tcPr>
          <w:p w14:paraId="5EA21328" w14:textId="77777777" w:rsidR="003C66EB" w:rsidRDefault="003C66EB">
            <w:pPr>
              <w:jc w:val="right"/>
              <w:rPr>
                <w:rFonts w:ascii="宋体"/>
              </w:rPr>
            </w:pPr>
          </w:p>
        </w:tc>
      </w:tr>
      <w:tr w:rsidR="003C66EB" w14:paraId="5EA21330" w14:textId="77777777">
        <w:tc>
          <w:tcPr>
            <w:tcW w:w="0" w:type="auto"/>
            <w:gridSpan w:val="3"/>
            <w:shd w:val="clear" w:color="auto" w:fill="FFFFFF"/>
            <w:tcMar>
              <w:top w:w="40" w:type="dxa"/>
              <w:left w:w="20" w:type="dxa"/>
              <w:bottom w:w="40" w:type="dxa"/>
              <w:right w:w="20" w:type="dxa"/>
            </w:tcMar>
            <w:vAlign w:val="bottom"/>
          </w:tcPr>
          <w:p w14:paraId="5EA2132A" w14:textId="77777777" w:rsidR="003C66EB" w:rsidRDefault="00D96C4E">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5EA2132B" w14:textId="77777777" w:rsidR="003C66EB" w:rsidRDefault="00D96C4E">
            <w:pPr>
              <w:jc w:val="right"/>
              <w:textAlignment w:val="bottom"/>
            </w:pPr>
            <w:r>
              <w:rPr>
                <w:rFonts w:ascii="Arial" w:eastAsia="宋体" w:hAnsi="Arial" w:cs="Arial"/>
                <w:b/>
                <w:bCs/>
                <w:color w:val="000000"/>
                <w:sz w:val="15"/>
                <w:szCs w:val="15"/>
              </w:rPr>
              <w:t>296,328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132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32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32E" w14:textId="77777777" w:rsidR="003C66EB" w:rsidRDefault="00D96C4E">
            <w:pPr>
              <w:jc w:val="right"/>
              <w:textAlignment w:val="bottom"/>
            </w:pPr>
            <w:r>
              <w:rPr>
                <w:rFonts w:ascii="Arial" w:eastAsia="宋体" w:hAnsi="Arial" w:cs="Arial"/>
                <w:color w:val="000000"/>
                <w:sz w:val="15"/>
                <w:szCs w:val="15"/>
              </w:rPr>
              <w:t>277,055 </w:t>
            </w:r>
          </w:p>
        </w:tc>
        <w:tc>
          <w:tcPr>
            <w:tcW w:w="0" w:type="auto"/>
            <w:shd w:val="clear" w:color="auto" w:fill="FFFFFF"/>
            <w:tcMar>
              <w:top w:w="40" w:type="dxa"/>
              <w:left w:w="0" w:type="dxa"/>
              <w:bottom w:w="40" w:type="dxa"/>
              <w:right w:w="20" w:type="dxa"/>
            </w:tcMar>
            <w:vAlign w:val="bottom"/>
          </w:tcPr>
          <w:p w14:paraId="5EA2132F" w14:textId="77777777" w:rsidR="003C66EB" w:rsidRDefault="003C66EB">
            <w:pPr>
              <w:jc w:val="right"/>
              <w:rPr>
                <w:rFonts w:ascii="宋体"/>
              </w:rPr>
            </w:pPr>
          </w:p>
        </w:tc>
      </w:tr>
      <w:tr w:rsidR="003C66EB" w14:paraId="5EA21337" w14:textId="77777777">
        <w:tc>
          <w:tcPr>
            <w:tcW w:w="0" w:type="auto"/>
            <w:gridSpan w:val="3"/>
            <w:shd w:val="clear" w:color="auto" w:fill="CCEEFF"/>
            <w:tcMar>
              <w:top w:w="40" w:type="dxa"/>
              <w:left w:w="20" w:type="dxa"/>
              <w:bottom w:w="40" w:type="dxa"/>
              <w:right w:w="20" w:type="dxa"/>
            </w:tcMar>
            <w:vAlign w:val="bottom"/>
          </w:tcPr>
          <w:p w14:paraId="5EA21331" w14:textId="77777777" w:rsidR="003C66EB" w:rsidRDefault="00D96C4E">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5EA21332" w14:textId="77777777" w:rsidR="003C66EB" w:rsidRDefault="00D96C4E">
            <w:pPr>
              <w:jc w:val="right"/>
              <w:textAlignment w:val="bottom"/>
            </w:pPr>
            <w:r>
              <w:rPr>
                <w:rFonts w:ascii="Arial" w:eastAsia="宋体" w:hAnsi="Arial" w:cs="Arial"/>
                <w:b/>
                <w:bCs/>
                <w:color w:val="000000"/>
                <w:sz w:val="15"/>
                <w:szCs w:val="15"/>
              </w:rPr>
              <w:t>(10,848)</w:t>
            </w:r>
          </w:p>
        </w:tc>
        <w:tc>
          <w:tcPr>
            <w:tcW w:w="0" w:type="auto"/>
            <w:shd w:val="clear" w:color="auto" w:fill="CCEEFF"/>
            <w:tcMar>
              <w:top w:w="40" w:type="dxa"/>
              <w:left w:w="0" w:type="dxa"/>
              <w:bottom w:w="40" w:type="dxa"/>
              <w:right w:w="20" w:type="dxa"/>
            </w:tcMar>
            <w:vAlign w:val="bottom"/>
          </w:tcPr>
          <w:p w14:paraId="5EA2133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3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335" w14:textId="77777777" w:rsidR="003C66EB" w:rsidRDefault="00D96C4E">
            <w:pPr>
              <w:jc w:val="right"/>
              <w:textAlignment w:val="bottom"/>
            </w:pPr>
            <w:r>
              <w:rPr>
                <w:rFonts w:ascii="Arial" w:eastAsia="宋体" w:hAnsi="Arial" w:cs="Arial"/>
                <w:color w:val="000000"/>
                <w:sz w:val="15"/>
                <w:szCs w:val="15"/>
              </w:rPr>
              <w:t>(13,565)</w:t>
            </w:r>
          </w:p>
        </w:tc>
        <w:tc>
          <w:tcPr>
            <w:tcW w:w="0" w:type="auto"/>
            <w:shd w:val="clear" w:color="auto" w:fill="CCEEFF"/>
            <w:tcMar>
              <w:top w:w="40" w:type="dxa"/>
              <w:left w:w="0" w:type="dxa"/>
              <w:bottom w:w="40" w:type="dxa"/>
              <w:right w:w="20" w:type="dxa"/>
            </w:tcMar>
            <w:vAlign w:val="bottom"/>
          </w:tcPr>
          <w:p w14:paraId="5EA21336" w14:textId="77777777" w:rsidR="003C66EB" w:rsidRDefault="003C66EB">
            <w:pPr>
              <w:jc w:val="right"/>
              <w:rPr>
                <w:rFonts w:ascii="宋体"/>
              </w:rPr>
            </w:pPr>
          </w:p>
        </w:tc>
      </w:tr>
      <w:tr w:rsidR="003C66EB" w14:paraId="5EA2133E" w14:textId="77777777">
        <w:tc>
          <w:tcPr>
            <w:tcW w:w="0" w:type="auto"/>
            <w:gridSpan w:val="3"/>
            <w:shd w:val="clear" w:color="auto" w:fill="FFFFFF"/>
            <w:tcMar>
              <w:top w:w="40" w:type="dxa"/>
              <w:left w:w="20" w:type="dxa"/>
              <w:bottom w:w="40" w:type="dxa"/>
              <w:right w:w="20" w:type="dxa"/>
            </w:tcMar>
            <w:vAlign w:val="bottom"/>
          </w:tcPr>
          <w:p w14:paraId="5EA21338" w14:textId="77777777" w:rsidR="003C66EB" w:rsidRDefault="00D96C4E">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339" w14:textId="77777777" w:rsidR="003C66EB" w:rsidRDefault="00D96C4E">
            <w:pPr>
              <w:jc w:val="right"/>
              <w:textAlignment w:val="bottom"/>
            </w:pPr>
            <w:r>
              <w:rPr>
                <w:rFonts w:ascii="Arial" w:eastAsia="宋体" w:hAnsi="Arial" w:cs="Arial"/>
                <w:b/>
                <w:bCs/>
                <w:color w:val="000000"/>
                <w:sz w:val="15"/>
                <w:szCs w:val="15"/>
              </w:rPr>
              <w:t>285,480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3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33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33C" w14:textId="77777777" w:rsidR="003C66EB" w:rsidRDefault="00D96C4E">
            <w:pPr>
              <w:jc w:val="right"/>
              <w:textAlignment w:val="bottom"/>
            </w:pPr>
            <w:r>
              <w:rPr>
                <w:rFonts w:ascii="Arial" w:eastAsia="宋体" w:hAnsi="Arial" w:cs="Arial"/>
                <w:color w:val="000000"/>
                <w:sz w:val="15"/>
                <w:szCs w:val="15"/>
              </w:rPr>
              <w:t>263,490 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33D" w14:textId="77777777" w:rsidR="003C66EB" w:rsidRDefault="003C66EB">
            <w:pPr>
              <w:jc w:val="right"/>
              <w:rPr>
                <w:rFonts w:ascii="宋体"/>
              </w:rPr>
            </w:pPr>
          </w:p>
        </w:tc>
      </w:tr>
      <w:tr w:rsidR="003C66EB" w14:paraId="5EA21345" w14:textId="77777777">
        <w:tc>
          <w:tcPr>
            <w:tcW w:w="0" w:type="auto"/>
            <w:gridSpan w:val="3"/>
            <w:shd w:val="clear" w:color="auto" w:fill="CCEEFF"/>
            <w:tcMar>
              <w:top w:w="40" w:type="dxa"/>
              <w:left w:w="20" w:type="dxa"/>
              <w:bottom w:w="40" w:type="dxa"/>
              <w:right w:w="20" w:type="dxa"/>
            </w:tcMar>
            <w:vAlign w:val="bottom"/>
          </w:tcPr>
          <w:p w14:paraId="5EA2133F" w14:textId="77777777" w:rsidR="003C66EB" w:rsidRDefault="00D96C4E">
            <w:pPr>
              <w:textAlignment w:val="bottom"/>
            </w:pPr>
            <w:r>
              <w:rPr>
                <w:rFonts w:ascii="Arial" w:eastAsia="宋体" w:hAnsi="Arial" w:cs="Arial"/>
                <w:color w:val="000000"/>
                <w:sz w:val="15"/>
                <w:szCs w:val="15"/>
              </w:rPr>
              <w:t>Derivatives and repo-style transactions and off-balance sheet exposures</w:t>
            </w:r>
          </w:p>
        </w:tc>
        <w:tc>
          <w:tcPr>
            <w:tcW w:w="0" w:type="auto"/>
            <w:gridSpan w:val="2"/>
            <w:shd w:val="clear" w:color="auto" w:fill="CCEEFF"/>
            <w:tcMar>
              <w:top w:w="40" w:type="dxa"/>
              <w:left w:w="20" w:type="dxa"/>
              <w:bottom w:w="40" w:type="dxa"/>
              <w:right w:w="0" w:type="dxa"/>
            </w:tcMar>
            <w:vAlign w:val="bottom"/>
          </w:tcPr>
          <w:p w14:paraId="5EA21340" w14:textId="77777777" w:rsidR="003C66EB" w:rsidRDefault="00D96C4E">
            <w:pPr>
              <w:jc w:val="right"/>
              <w:textAlignment w:val="bottom"/>
            </w:pPr>
            <w:r>
              <w:rPr>
                <w:rFonts w:ascii="Arial" w:eastAsia="宋体" w:hAnsi="Arial" w:cs="Arial"/>
                <w:b/>
                <w:bCs/>
                <w:color w:val="000000"/>
                <w:sz w:val="15"/>
                <w:szCs w:val="15"/>
              </w:rPr>
              <w:t>33,822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13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4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343" w14:textId="77777777" w:rsidR="003C66EB" w:rsidRDefault="00D96C4E">
            <w:pPr>
              <w:jc w:val="right"/>
              <w:textAlignment w:val="bottom"/>
            </w:pPr>
            <w:r>
              <w:rPr>
                <w:rFonts w:ascii="Arial" w:eastAsia="宋体" w:hAnsi="Arial" w:cs="Arial"/>
                <w:color w:val="000000"/>
                <w:sz w:val="15"/>
                <w:szCs w:val="15"/>
              </w:rPr>
              <w:t>34,379 </w:t>
            </w:r>
          </w:p>
        </w:tc>
        <w:tc>
          <w:tcPr>
            <w:tcW w:w="0" w:type="auto"/>
            <w:shd w:val="clear" w:color="auto" w:fill="CCEEFF"/>
            <w:tcMar>
              <w:top w:w="40" w:type="dxa"/>
              <w:left w:w="0" w:type="dxa"/>
              <w:bottom w:w="40" w:type="dxa"/>
              <w:right w:w="20" w:type="dxa"/>
            </w:tcMar>
            <w:vAlign w:val="bottom"/>
          </w:tcPr>
          <w:p w14:paraId="5EA21344" w14:textId="77777777" w:rsidR="003C66EB" w:rsidRDefault="003C66EB">
            <w:pPr>
              <w:jc w:val="right"/>
              <w:rPr>
                <w:rFonts w:ascii="宋体"/>
              </w:rPr>
            </w:pPr>
          </w:p>
        </w:tc>
      </w:tr>
      <w:tr w:rsidR="003C66EB" w14:paraId="5EA2134C" w14:textId="77777777">
        <w:tc>
          <w:tcPr>
            <w:tcW w:w="0" w:type="auto"/>
            <w:gridSpan w:val="3"/>
            <w:shd w:val="clear" w:color="auto" w:fill="FFFFFF"/>
            <w:tcMar>
              <w:top w:w="40" w:type="dxa"/>
              <w:left w:w="20" w:type="dxa"/>
              <w:bottom w:w="40" w:type="dxa"/>
              <w:right w:w="20" w:type="dxa"/>
            </w:tcMar>
            <w:vAlign w:val="bottom"/>
          </w:tcPr>
          <w:p w14:paraId="5EA21346" w14:textId="77777777" w:rsidR="003C66EB" w:rsidRDefault="00D96C4E">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5EA21347" w14:textId="77777777" w:rsidR="003C66EB" w:rsidRDefault="00D96C4E">
            <w:pPr>
              <w:jc w:val="right"/>
              <w:textAlignment w:val="bottom"/>
            </w:pPr>
            <w:r>
              <w:rPr>
                <w:rFonts w:ascii="Arial" w:eastAsia="宋体" w:hAnsi="Arial" w:cs="Arial"/>
                <w:b/>
                <w:bCs/>
                <w:color w:val="000000"/>
                <w:sz w:val="15"/>
                <w:szCs w:val="15"/>
              </w:rPr>
              <w:t>(105,437)</w:t>
            </w:r>
          </w:p>
        </w:tc>
        <w:tc>
          <w:tcPr>
            <w:tcW w:w="0" w:type="auto"/>
            <w:shd w:val="clear" w:color="auto" w:fill="FFFFFF"/>
            <w:tcMar>
              <w:top w:w="40" w:type="dxa"/>
              <w:left w:w="0" w:type="dxa"/>
              <w:bottom w:w="40" w:type="dxa"/>
              <w:right w:w="20" w:type="dxa"/>
            </w:tcMar>
            <w:vAlign w:val="bottom"/>
          </w:tcPr>
          <w:p w14:paraId="5EA213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3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34A" w14:textId="77777777" w:rsidR="003C66EB" w:rsidRDefault="00D96C4E">
            <w:pPr>
              <w:jc w:val="right"/>
              <w:textAlignment w:val="bottom"/>
            </w:pPr>
            <w:r>
              <w:rPr>
                <w:rFonts w:ascii="Arial" w:eastAsia="宋体" w:hAnsi="Arial" w:cs="Arial"/>
                <w:color w:val="000000"/>
                <w:sz w:val="15"/>
                <w:szCs w:val="15"/>
              </w:rPr>
              <w:t>(90,322)</w:t>
            </w:r>
          </w:p>
        </w:tc>
        <w:tc>
          <w:tcPr>
            <w:tcW w:w="0" w:type="auto"/>
            <w:shd w:val="clear" w:color="auto" w:fill="FFFFFF"/>
            <w:tcMar>
              <w:top w:w="40" w:type="dxa"/>
              <w:left w:w="0" w:type="dxa"/>
              <w:bottom w:w="40" w:type="dxa"/>
              <w:right w:w="20" w:type="dxa"/>
            </w:tcMar>
            <w:vAlign w:val="bottom"/>
          </w:tcPr>
          <w:p w14:paraId="5EA2134B" w14:textId="77777777" w:rsidR="003C66EB" w:rsidRDefault="003C66EB">
            <w:pPr>
              <w:jc w:val="right"/>
              <w:rPr>
                <w:rFonts w:ascii="宋体"/>
              </w:rPr>
            </w:pPr>
          </w:p>
        </w:tc>
      </w:tr>
      <w:tr w:rsidR="003C66EB" w14:paraId="5EA21355" w14:textId="77777777">
        <w:tc>
          <w:tcPr>
            <w:tcW w:w="0" w:type="auto"/>
            <w:gridSpan w:val="3"/>
            <w:shd w:val="clear" w:color="auto" w:fill="CCEEFF"/>
            <w:tcMar>
              <w:top w:w="40" w:type="dxa"/>
              <w:left w:w="20" w:type="dxa"/>
              <w:bottom w:w="40" w:type="dxa"/>
              <w:right w:w="20" w:type="dxa"/>
            </w:tcMar>
            <w:vAlign w:val="bottom"/>
          </w:tcPr>
          <w:p w14:paraId="5EA2134D" w14:textId="77777777" w:rsidR="003C66EB" w:rsidRDefault="00D96C4E">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134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34F" w14:textId="77777777" w:rsidR="003C66EB" w:rsidRDefault="00D96C4E">
            <w:pPr>
              <w:jc w:val="right"/>
              <w:textAlignment w:val="bottom"/>
            </w:pPr>
            <w:r>
              <w:rPr>
                <w:rFonts w:ascii="Arial" w:eastAsia="宋体" w:hAnsi="Arial" w:cs="Arial"/>
                <w:b/>
                <w:bCs/>
                <w:color w:val="000000"/>
                <w:sz w:val="15"/>
                <w:szCs w:val="15"/>
              </w:rPr>
              <w:t>213,865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35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5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35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353" w14:textId="77777777" w:rsidR="003C66EB" w:rsidRDefault="00D96C4E">
            <w:pPr>
              <w:jc w:val="right"/>
              <w:textAlignment w:val="bottom"/>
            </w:pPr>
            <w:r>
              <w:rPr>
                <w:rFonts w:ascii="Arial" w:eastAsia="宋体" w:hAnsi="Arial" w:cs="Arial"/>
                <w:color w:val="000000"/>
                <w:sz w:val="15"/>
                <w:szCs w:val="15"/>
              </w:rPr>
              <w:t>207,547 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354" w14:textId="77777777" w:rsidR="003C66EB" w:rsidRDefault="003C66EB">
            <w:pPr>
              <w:jc w:val="right"/>
              <w:rPr>
                <w:rFonts w:ascii="宋体"/>
              </w:rPr>
            </w:pPr>
          </w:p>
        </w:tc>
      </w:tr>
      <w:tr w:rsidR="003C66EB" w14:paraId="5EA2135C" w14:textId="77777777">
        <w:tc>
          <w:tcPr>
            <w:tcW w:w="0" w:type="auto"/>
            <w:gridSpan w:val="3"/>
            <w:shd w:val="clear" w:color="auto" w:fill="FFFFFF"/>
            <w:tcMar>
              <w:top w:w="40" w:type="dxa"/>
              <w:left w:w="20" w:type="dxa"/>
              <w:bottom w:w="40" w:type="dxa"/>
              <w:right w:w="20" w:type="dxa"/>
            </w:tcMar>
            <w:vAlign w:val="bottom"/>
          </w:tcPr>
          <w:p w14:paraId="5EA21356" w14:textId="77777777" w:rsidR="003C66EB" w:rsidRDefault="00D96C4E">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21357" w14:textId="77777777" w:rsidR="003C66EB" w:rsidRDefault="00D96C4E">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1358"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5EA21359" w14:textId="77777777" w:rsidR="003C66EB" w:rsidRDefault="003C66E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2135A" w14:textId="77777777" w:rsidR="003C66EB" w:rsidRDefault="00D96C4E">
            <w:pPr>
              <w:jc w:val="right"/>
              <w:textAlignment w:val="bottom"/>
            </w:pPr>
            <w:r>
              <w:rPr>
                <w:rFonts w:ascii="Arial" w:eastAsia="宋体" w:hAnsi="Arial" w:cs="Arial"/>
                <w:color w:val="000000"/>
                <w:sz w:val="15"/>
                <w:szCs w:val="15"/>
              </w:rPr>
              <w:t>6.4 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135B" w14:textId="77777777" w:rsidR="003C66EB" w:rsidRDefault="00D96C4E">
            <w:pPr>
              <w:jc w:val="right"/>
              <w:textAlignment w:val="bottom"/>
            </w:pPr>
            <w:r>
              <w:rPr>
                <w:rFonts w:ascii="Arial" w:eastAsia="宋体" w:hAnsi="Arial" w:cs="Arial"/>
                <w:color w:val="000000"/>
                <w:sz w:val="15"/>
                <w:szCs w:val="15"/>
              </w:rPr>
              <w:t>%</w:t>
            </w:r>
          </w:p>
        </w:tc>
      </w:tr>
      <w:tr w:rsidR="003C66EB" w14:paraId="5EA21363" w14:textId="77777777">
        <w:tc>
          <w:tcPr>
            <w:tcW w:w="0" w:type="auto"/>
            <w:gridSpan w:val="3"/>
            <w:shd w:val="clear" w:color="auto" w:fill="CCEEFF"/>
            <w:tcMar>
              <w:top w:w="40" w:type="dxa"/>
              <w:left w:w="20" w:type="dxa"/>
              <w:bottom w:w="40" w:type="dxa"/>
              <w:right w:w="20" w:type="dxa"/>
            </w:tcMar>
            <w:vAlign w:val="bottom"/>
          </w:tcPr>
          <w:p w14:paraId="5EA2135D" w14:textId="77777777" w:rsidR="003C66EB" w:rsidRDefault="00D96C4E">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5EA2135E" w14:textId="77777777" w:rsidR="003C66EB" w:rsidRDefault="00D96C4E">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13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6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361" w14:textId="77777777" w:rsidR="003C66EB" w:rsidRDefault="00D96C4E">
            <w:pPr>
              <w:jc w:val="right"/>
              <w:textAlignment w:val="bottom"/>
            </w:pPr>
            <w:r>
              <w:rPr>
                <w:rFonts w:ascii="Arial" w:eastAsia="宋体" w:hAnsi="Arial" w:cs="Arial"/>
                <w:color w:val="000000"/>
                <w:sz w:val="15"/>
                <w:szCs w:val="15"/>
              </w:rPr>
              <w:t>8.1 </w:t>
            </w:r>
          </w:p>
        </w:tc>
        <w:tc>
          <w:tcPr>
            <w:tcW w:w="0" w:type="auto"/>
            <w:shd w:val="clear" w:color="auto" w:fill="CCEEFF"/>
            <w:tcMar>
              <w:top w:w="40" w:type="dxa"/>
              <w:left w:w="0" w:type="dxa"/>
              <w:bottom w:w="40" w:type="dxa"/>
              <w:right w:w="20" w:type="dxa"/>
            </w:tcMar>
            <w:vAlign w:val="bottom"/>
          </w:tcPr>
          <w:p w14:paraId="5EA21362" w14:textId="77777777" w:rsidR="003C66EB" w:rsidRDefault="003C66EB">
            <w:pPr>
              <w:jc w:val="right"/>
              <w:rPr>
                <w:rFonts w:ascii="宋体"/>
              </w:rPr>
            </w:pPr>
          </w:p>
        </w:tc>
      </w:tr>
      <w:tr w:rsidR="003C66EB" w14:paraId="5EA21368" w14:textId="77777777">
        <w:trPr>
          <w:trHeight w:val="60"/>
        </w:trPr>
        <w:tc>
          <w:tcPr>
            <w:tcW w:w="0" w:type="auto"/>
            <w:gridSpan w:val="3"/>
            <w:shd w:val="clear" w:color="auto" w:fill="auto"/>
            <w:tcMar>
              <w:top w:w="0" w:type="dxa"/>
              <w:left w:w="20" w:type="dxa"/>
              <w:bottom w:w="0" w:type="dxa"/>
              <w:right w:w="20" w:type="dxa"/>
            </w:tcMar>
          </w:tcPr>
          <w:p w14:paraId="5EA213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36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3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367" w14:textId="77777777" w:rsidR="003C66EB" w:rsidRDefault="003C66EB">
            <w:pPr>
              <w:rPr>
                <w:rFonts w:ascii="宋体"/>
              </w:rPr>
            </w:pPr>
          </w:p>
        </w:tc>
      </w:tr>
      <w:tr w:rsidR="003C66EB" w14:paraId="5EA2136D" w14:textId="77777777">
        <w:tc>
          <w:tcPr>
            <w:tcW w:w="0" w:type="auto"/>
            <w:gridSpan w:val="3"/>
            <w:shd w:val="clear" w:color="auto" w:fill="FFFFFF"/>
            <w:tcMar>
              <w:top w:w="40" w:type="dxa"/>
              <w:left w:w="20" w:type="dxa"/>
              <w:bottom w:w="40" w:type="dxa"/>
              <w:right w:w="20" w:type="dxa"/>
            </w:tcMar>
            <w:vAlign w:val="bottom"/>
          </w:tcPr>
          <w:p w14:paraId="5EA21369" w14:textId="77777777" w:rsidR="003C66EB" w:rsidRDefault="00D96C4E">
            <w:pPr>
              <w:textAlignment w:val="bottom"/>
            </w:pPr>
            <w:r>
              <w:rPr>
                <w:rFonts w:ascii="Arial" w:eastAsia="宋体" w:hAnsi="Arial" w:cs="Arial"/>
                <w:b/>
                <w:bCs/>
                <w:color w:val="000000"/>
                <w:sz w:val="15"/>
                <w:szCs w:val="15"/>
              </w:rPr>
              <w:t>State Street Bank</w:t>
            </w:r>
            <w:r>
              <w:rPr>
                <w:rFonts w:ascii="Arial" w:eastAsia="宋体" w:hAnsi="Arial" w:cs="Arial"/>
                <w:b/>
                <w:bCs/>
                <w:color w:val="000000"/>
                <w:sz w:val="9"/>
                <w:szCs w:val="9"/>
              </w:rPr>
              <w:t>(2)</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5EA2136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36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36C" w14:textId="77777777" w:rsidR="003C66EB" w:rsidRDefault="003C66EB">
            <w:pPr>
              <w:rPr>
                <w:rFonts w:ascii="宋体"/>
              </w:rPr>
            </w:pPr>
          </w:p>
        </w:tc>
      </w:tr>
      <w:tr w:rsidR="003C66EB" w14:paraId="5EA21376" w14:textId="77777777">
        <w:tc>
          <w:tcPr>
            <w:tcW w:w="0" w:type="auto"/>
            <w:gridSpan w:val="3"/>
            <w:shd w:val="clear" w:color="auto" w:fill="CCEEFF"/>
            <w:tcMar>
              <w:top w:w="40" w:type="dxa"/>
              <w:left w:w="20" w:type="dxa"/>
              <w:bottom w:w="40" w:type="dxa"/>
              <w:right w:w="20" w:type="dxa"/>
            </w:tcMar>
            <w:vAlign w:val="bottom"/>
          </w:tcPr>
          <w:p w14:paraId="5EA2136E" w14:textId="77777777" w:rsidR="003C66EB" w:rsidRDefault="00D96C4E">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5EA2136F"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1370" w14:textId="77777777" w:rsidR="003C66EB" w:rsidRDefault="00D96C4E">
            <w:pPr>
              <w:jc w:val="right"/>
              <w:textAlignment w:val="bottom"/>
            </w:pPr>
            <w:r>
              <w:rPr>
                <w:rFonts w:ascii="Arial" w:eastAsia="宋体" w:hAnsi="Arial" w:cs="Arial"/>
                <w:b/>
                <w:bCs/>
                <w:color w:val="000000"/>
                <w:sz w:val="15"/>
                <w:szCs w:val="15"/>
              </w:rPr>
              <w:t>17,021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13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7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373"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1374" w14:textId="77777777" w:rsidR="003C66EB" w:rsidRDefault="00D96C4E">
            <w:pPr>
              <w:jc w:val="right"/>
              <w:textAlignment w:val="bottom"/>
            </w:pPr>
            <w:r>
              <w:rPr>
                <w:rFonts w:ascii="Arial" w:eastAsia="宋体" w:hAnsi="Arial" w:cs="Arial"/>
                <w:color w:val="000000"/>
                <w:sz w:val="15"/>
                <w:szCs w:val="15"/>
              </w:rPr>
              <w:t>17,306 </w:t>
            </w:r>
          </w:p>
        </w:tc>
        <w:tc>
          <w:tcPr>
            <w:tcW w:w="0" w:type="auto"/>
            <w:shd w:val="clear" w:color="auto" w:fill="CCEEFF"/>
            <w:tcMar>
              <w:top w:w="40" w:type="dxa"/>
              <w:left w:w="0" w:type="dxa"/>
              <w:bottom w:w="40" w:type="dxa"/>
              <w:right w:w="20" w:type="dxa"/>
            </w:tcMar>
            <w:vAlign w:val="bottom"/>
          </w:tcPr>
          <w:p w14:paraId="5EA21375" w14:textId="77777777" w:rsidR="003C66EB" w:rsidRDefault="003C66EB">
            <w:pPr>
              <w:jc w:val="right"/>
              <w:rPr>
                <w:rFonts w:ascii="宋体"/>
              </w:rPr>
            </w:pPr>
          </w:p>
        </w:tc>
      </w:tr>
      <w:tr w:rsidR="003C66EB" w14:paraId="5EA2137D" w14:textId="77777777">
        <w:tc>
          <w:tcPr>
            <w:tcW w:w="0" w:type="auto"/>
            <w:gridSpan w:val="3"/>
            <w:shd w:val="clear" w:color="auto" w:fill="FFFFFF"/>
            <w:tcMar>
              <w:top w:w="40" w:type="dxa"/>
              <w:left w:w="20" w:type="dxa"/>
              <w:bottom w:w="40" w:type="dxa"/>
              <w:right w:w="20" w:type="dxa"/>
            </w:tcMar>
            <w:vAlign w:val="bottom"/>
          </w:tcPr>
          <w:p w14:paraId="5EA21377" w14:textId="77777777" w:rsidR="003C66EB" w:rsidRDefault="00D96C4E">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5EA21378" w14:textId="77777777" w:rsidR="003C66EB" w:rsidRDefault="00D96C4E">
            <w:pPr>
              <w:jc w:val="right"/>
              <w:textAlignment w:val="bottom"/>
            </w:pPr>
            <w:r>
              <w:rPr>
                <w:rFonts w:ascii="Arial" w:eastAsia="宋体" w:hAnsi="Arial" w:cs="Arial"/>
                <w:b/>
                <w:bCs/>
                <w:color w:val="000000"/>
                <w:sz w:val="15"/>
                <w:szCs w:val="15"/>
              </w:rPr>
              <w:t>292,711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13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37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37B" w14:textId="77777777" w:rsidR="003C66EB" w:rsidRDefault="00D96C4E">
            <w:pPr>
              <w:jc w:val="right"/>
              <w:textAlignment w:val="bottom"/>
            </w:pPr>
            <w:r>
              <w:rPr>
                <w:rFonts w:ascii="Arial" w:eastAsia="宋体" w:hAnsi="Arial" w:cs="Arial"/>
                <w:color w:val="000000"/>
                <w:sz w:val="15"/>
                <w:szCs w:val="15"/>
              </w:rPr>
              <w:t>273,599 </w:t>
            </w:r>
          </w:p>
        </w:tc>
        <w:tc>
          <w:tcPr>
            <w:tcW w:w="0" w:type="auto"/>
            <w:shd w:val="clear" w:color="auto" w:fill="FFFFFF"/>
            <w:tcMar>
              <w:top w:w="40" w:type="dxa"/>
              <w:left w:w="0" w:type="dxa"/>
              <w:bottom w:w="40" w:type="dxa"/>
              <w:right w:w="20" w:type="dxa"/>
            </w:tcMar>
            <w:vAlign w:val="bottom"/>
          </w:tcPr>
          <w:p w14:paraId="5EA2137C" w14:textId="77777777" w:rsidR="003C66EB" w:rsidRDefault="003C66EB">
            <w:pPr>
              <w:jc w:val="right"/>
              <w:rPr>
                <w:rFonts w:ascii="宋体"/>
              </w:rPr>
            </w:pPr>
          </w:p>
        </w:tc>
      </w:tr>
      <w:tr w:rsidR="003C66EB" w14:paraId="5EA21384" w14:textId="77777777">
        <w:tc>
          <w:tcPr>
            <w:tcW w:w="0" w:type="auto"/>
            <w:gridSpan w:val="3"/>
            <w:shd w:val="clear" w:color="auto" w:fill="CCEEFF"/>
            <w:tcMar>
              <w:top w:w="40" w:type="dxa"/>
              <w:left w:w="20" w:type="dxa"/>
              <w:bottom w:w="40" w:type="dxa"/>
              <w:right w:w="20" w:type="dxa"/>
            </w:tcMar>
            <w:vAlign w:val="bottom"/>
          </w:tcPr>
          <w:p w14:paraId="5EA2137E" w14:textId="77777777" w:rsidR="003C66EB" w:rsidRDefault="00D96C4E">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5EA2137F" w14:textId="77777777" w:rsidR="003C66EB" w:rsidRDefault="00D96C4E">
            <w:pPr>
              <w:jc w:val="right"/>
              <w:textAlignment w:val="bottom"/>
            </w:pPr>
            <w:r>
              <w:rPr>
                <w:rFonts w:ascii="Arial" w:eastAsia="宋体" w:hAnsi="Arial" w:cs="Arial"/>
                <w:b/>
                <w:bCs/>
                <w:color w:val="000000"/>
                <w:sz w:val="15"/>
                <w:szCs w:val="15"/>
              </w:rPr>
              <w:t>(10,392)</w:t>
            </w:r>
          </w:p>
        </w:tc>
        <w:tc>
          <w:tcPr>
            <w:tcW w:w="0" w:type="auto"/>
            <w:shd w:val="clear" w:color="auto" w:fill="CCEEFF"/>
            <w:tcMar>
              <w:top w:w="40" w:type="dxa"/>
              <w:left w:w="0" w:type="dxa"/>
              <w:bottom w:w="40" w:type="dxa"/>
              <w:right w:w="20" w:type="dxa"/>
            </w:tcMar>
            <w:vAlign w:val="bottom"/>
          </w:tcPr>
          <w:p w14:paraId="5EA213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382" w14:textId="77777777" w:rsidR="003C66EB" w:rsidRDefault="00D96C4E">
            <w:pPr>
              <w:jc w:val="right"/>
              <w:textAlignment w:val="bottom"/>
            </w:pPr>
            <w:r>
              <w:rPr>
                <w:rFonts w:ascii="Arial" w:eastAsia="宋体" w:hAnsi="Arial" w:cs="Arial"/>
                <w:color w:val="000000"/>
                <w:sz w:val="15"/>
                <w:szCs w:val="15"/>
              </w:rPr>
              <w:t>(13,110)</w:t>
            </w:r>
          </w:p>
        </w:tc>
        <w:tc>
          <w:tcPr>
            <w:tcW w:w="0" w:type="auto"/>
            <w:shd w:val="clear" w:color="auto" w:fill="CCEEFF"/>
            <w:tcMar>
              <w:top w:w="40" w:type="dxa"/>
              <w:left w:w="0" w:type="dxa"/>
              <w:bottom w:w="40" w:type="dxa"/>
              <w:right w:w="20" w:type="dxa"/>
            </w:tcMar>
            <w:vAlign w:val="bottom"/>
          </w:tcPr>
          <w:p w14:paraId="5EA21383" w14:textId="77777777" w:rsidR="003C66EB" w:rsidRDefault="003C66EB">
            <w:pPr>
              <w:jc w:val="right"/>
              <w:rPr>
                <w:rFonts w:ascii="宋体"/>
              </w:rPr>
            </w:pPr>
          </w:p>
        </w:tc>
      </w:tr>
      <w:tr w:rsidR="003C66EB" w14:paraId="5EA2138B" w14:textId="77777777">
        <w:tc>
          <w:tcPr>
            <w:tcW w:w="0" w:type="auto"/>
            <w:gridSpan w:val="3"/>
            <w:shd w:val="clear" w:color="auto" w:fill="FFFFFF"/>
            <w:tcMar>
              <w:top w:w="40" w:type="dxa"/>
              <w:left w:w="20" w:type="dxa"/>
              <w:bottom w:w="40" w:type="dxa"/>
              <w:right w:w="20" w:type="dxa"/>
            </w:tcMar>
            <w:vAlign w:val="bottom"/>
          </w:tcPr>
          <w:p w14:paraId="5EA21385" w14:textId="77777777" w:rsidR="003C66EB" w:rsidRDefault="00D96C4E">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386" w14:textId="77777777" w:rsidR="003C66EB" w:rsidRDefault="00D96C4E">
            <w:pPr>
              <w:jc w:val="right"/>
              <w:textAlignment w:val="bottom"/>
            </w:pPr>
            <w:r>
              <w:rPr>
                <w:rFonts w:ascii="Arial" w:eastAsia="宋体" w:hAnsi="Arial" w:cs="Arial"/>
                <w:b/>
                <w:bCs/>
                <w:color w:val="000000"/>
                <w:sz w:val="15"/>
                <w:szCs w:val="15"/>
              </w:rPr>
              <w:t>282,319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3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38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389" w14:textId="77777777" w:rsidR="003C66EB" w:rsidRDefault="00D96C4E">
            <w:pPr>
              <w:jc w:val="right"/>
              <w:textAlignment w:val="bottom"/>
            </w:pPr>
            <w:r>
              <w:rPr>
                <w:rFonts w:ascii="Arial" w:eastAsia="宋体" w:hAnsi="Arial" w:cs="Arial"/>
                <w:color w:val="000000"/>
                <w:sz w:val="15"/>
                <w:szCs w:val="15"/>
              </w:rPr>
              <w:t>260,489 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38A" w14:textId="77777777" w:rsidR="003C66EB" w:rsidRDefault="003C66EB">
            <w:pPr>
              <w:jc w:val="right"/>
              <w:rPr>
                <w:rFonts w:ascii="宋体"/>
              </w:rPr>
            </w:pPr>
          </w:p>
        </w:tc>
      </w:tr>
      <w:tr w:rsidR="003C66EB" w14:paraId="5EA21392" w14:textId="77777777">
        <w:tc>
          <w:tcPr>
            <w:tcW w:w="0" w:type="auto"/>
            <w:gridSpan w:val="3"/>
            <w:shd w:val="clear" w:color="auto" w:fill="CCEEFF"/>
            <w:tcMar>
              <w:top w:w="40" w:type="dxa"/>
              <w:left w:w="20" w:type="dxa"/>
              <w:bottom w:w="40" w:type="dxa"/>
              <w:right w:w="20" w:type="dxa"/>
            </w:tcMar>
            <w:vAlign w:val="bottom"/>
          </w:tcPr>
          <w:p w14:paraId="5EA2138C" w14:textId="77777777" w:rsidR="003C66EB" w:rsidRDefault="00D96C4E">
            <w:pPr>
              <w:textAlignment w:val="bottom"/>
            </w:pPr>
            <w:r>
              <w:rPr>
                <w:rFonts w:ascii="Arial" w:eastAsia="宋体" w:hAnsi="Arial" w:cs="Arial"/>
                <w:color w:val="000000"/>
                <w:sz w:val="15"/>
                <w:szCs w:val="15"/>
              </w:rPr>
              <w:t>Off-balance sheet exposures</w:t>
            </w:r>
          </w:p>
        </w:tc>
        <w:tc>
          <w:tcPr>
            <w:tcW w:w="0" w:type="auto"/>
            <w:gridSpan w:val="2"/>
            <w:shd w:val="clear" w:color="auto" w:fill="CCEEFF"/>
            <w:tcMar>
              <w:top w:w="40" w:type="dxa"/>
              <w:left w:w="20" w:type="dxa"/>
              <w:bottom w:w="40" w:type="dxa"/>
              <w:right w:w="0" w:type="dxa"/>
            </w:tcMar>
            <w:vAlign w:val="bottom"/>
          </w:tcPr>
          <w:p w14:paraId="5EA2138D" w14:textId="77777777" w:rsidR="003C66EB" w:rsidRDefault="00D96C4E">
            <w:pPr>
              <w:jc w:val="right"/>
              <w:textAlignment w:val="bottom"/>
            </w:pPr>
            <w:r>
              <w:rPr>
                <w:rFonts w:ascii="Arial" w:eastAsia="宋体" w:hAnsi="Arial" w:cs="Arial"/>
                <w:b/>
                <w:bCs/>
                <w:color w:val="000000"/>
                <w:sz w:val="15"/>
                <w:szCs w:val="15"/>
              </w:rPr>
              <w:t>33,822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138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8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390" w14:textId="77777777" w:rsidR="003C66EB" w:rsidRDefault="00D96C4E">
            <w:pPr>
              <w:jc w:val="right"/>
              <w:textAlignment w:val="bottom"/>
            </w:pPr>
            <w:r>
              <w:rPr>
                <w:rFonts w:ascii="Arial" w:eastAsia="宋体" w:hAnsi="Arial" w:cs="Arial"/>
                <w:color w:val="000000"/>
                <w:sz w:val="15"/>
                <w:szCs w:val="15"/>
              </w:rPr>
              <w:t>38,591 </w:t>
            </w:r>
          </w:p>
        </w:tc>
        <w:tc>
          <w:tcPr>
            <w:tcW w:w="0" w:type="auto"/>
            <w:shd w:val="clear" w:color="auto" w:fill="CCEEFF"/>
            <w:tcMar>
              <w:top w:w="40" w:type="dxa"/>
              <w:left w:w="0" w:type="dxa"/>
              <w:bottom w:w="40" w:type="dxa"/>
              <w:right w:w="20" w:type="dxa"/>
            </w:tcMar>
            <w:vAlign w:val="bottom"/>
          </w:tcPr>
          <w:p w14:paraId="5EA21391" w14:textId="77777777" w:rsidR="003C66EB" w:rsidRDefault="003C66EB">
            <w:pPr>
              <w:jc w:val="right"/>
              <w:rPr>
                <w:rFonts w:ascii="宋体"/>
              </w:rPr>
            </w:pPr>
          </w:p>
        </w:tc>
      </w:tr>
      <w:tr w:rsidR="003C66EB" w14:paraId="5EA21399" w14:textId="77777777">
        <w:tc>
          <w:tcPr>
            <w:tcW w:w="0" w:type="auto"/>
            <w:gridSpan w:val="3"/>
            <w:shd w:val="clear" w:color="auto" w:fill="FFFFFF"/>
            <w:tcMar>
              <w:top w:w="40" w:type="dxa"/>
              <w:left w:w="20" w:type="dxa"/>
              <w:bottom w:w="40" w:type="dxa"/>
              <w:right w:w="20" w:type="dxa"/>
            </w:tcMar>
            <w:vAlign w:val="bottom"/>
          </w:tcPr>
          <w:p w14:paraId="5EA21393" w14:textId="77777777" w:rsidR="003C66EB" w:rsidRDefault="00D96C4E">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5EA21394" w14:textId="77777777" w:rsidR="003C66EB" w:rsidRDefault="00D96C4E">
            <w:pPr>
              <w:jc w:val="right"/>
              <w:textAlignment w:val="bottom"/>
            </w:pPr>
            <w:r>
              <w:rPr>
                <w:rFonts w:ascii="Arial" w:eastAsia="宋体" w:hAnsi="Arial" w:cs="Arial"/>
                <w:b/>
                <w:bCs/>
                <w:color w:val="000000"/>
                <w:sz w:val="15"/>
                <w:szCs w:val="15"/>
              </w:rPr>
              <w:t>(92,596)</w:t>
            </w:r>
          </w:p>
        </w:tc>
        <w:tc>
          <w:tcPr>
            <w:tcW w:w="0" w:type="auto"/>
            <w:shd w:val="clear" w:color="auto" w:fill="FFFFFF"/>
            <w:tcMar>
              <w:top w:w="40" w:type="dxa"/>
              <w:left w:w="0" w:type="dxa"/>
              <w:bottom w:w="40" w:type="dxa"/>
              <w:right w:w="20" w:type="dxa"/>
            </w:tcMar>
            <w:vAlign w:val="bottom"/>
          </w:tcPr>
          <w:p w14:paraId="5EA213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3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397" w14:textId="77777777" w:rsidR="003C66EB" w:rsidRDefault="00D96C4E">
            <w:pPr>
              <w:jc w:val="right"/>
              <w:textAlignment w:val="bottom"/>
            </w:pPr>
            <w:r>
              <w:rPr>
                <w:rFonts w:ascii="Arial" w:eastAsia="宋体" w:hAnsi="Arial" w:cs="Arial"/>
                <w:color w:val="000000"/>
                <w:sz w:val="15"/>
                <w:szCs w:val="15"/>
              </w:rPr>
              <w:t>(80,935)</w:t>
            </w:r>
          </w:p>
        </w:tc>
        <w:tc>
          <w:tcPr>
            <w:tcW w:w="0" w:type="auto"/>
            <w:shd w:val="clear" w:color="auto" w:fill="FFFFFF"/>
            <w:tcMar>
              <w:top w:w="40" w:type="dxa"/>
              <w:left w:w="0" w:type="dxa"/>
              <w:bottom w:w="40" w:type="dxa"/>
              <w:right w:w="20" w:type="dxa"/>
            </w:tcMar>
            <w:vAlign w:val="bottom"/>
          </w:tcPr>
          <w:p w14:paraId="5EA21398" w14:textId="77777777" w:rsidR="003C66EB" w:rsidRDefault="003C66EB">
            <w:pPr>
              <w:jc w:val="right"/>
              <w:rPr>
                <w:rFonts w:ascii="宋体"/>
              </w:rPr>
            </w:pPr>
          </w:p>
        </w:tc>
      </w:tr>
      <w:tr w:rsidR="003C66EB" w14:paraId="5EA213A2" w14:textId="77777777">
        <w:tc>
          <w:tcPr>
            <w:tcW w:w="0" w:type="auto"/>
            <w:gridSpan w:val="3"/>
            <w:shd w:val="clear" w:color="auto" w:fill="CCEEFF"/>
            <w:tcMar>
              <w:top w:w="40" w:type="dxa"/>
              <w:left w:w="20" w:type="dxa"/>
              <w:bottom w:w="40" w:type="dxa"/>
              <w:right w:w="20" w:type="dxa"/>
            </w:tcMar>
            <w:vAlign w:val="bottom"/>
          </w:tcPr>
          <w:p w14:paraId="5EA2139A" w14:textId="77777777" w:rsidR="003C66EB" w:rsidRDefault="00D96C4E">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139B"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39C" w14:textId="77777777" w:rsidR="003C66EB" w:rsidRDefault="00D96C4E">
            <w:pPr>
              <w:jc w:val="right"/>
              <w:textAlignment w:val="bottom"/>
            </w:pPr>
            <w:r>
              <w:rPr>
                <w:rFonts w:ascii="Arial" w:eastAsia="宋体" w:hAnsi="Arial" w:cs="Arial"/>
                <w:b/>
                <w:bCs/>
                <w:color w:val="000000"/>
                <w:sz w:val="15"/>
                <w:szCs w:val="15"/>
              </w:rPr>
              <w:t>223,545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39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9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39F"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3A0" w14:textId="77777777" w:rsidR="003C66EB" w:rsidRDefault="00D96C4E">
            <w:pPr>
              <w:jc w:val="right"/>
              <w:textAlignment w:val="bottom"/>
            </w:pPr>
            <w:r>
              <w:rPr>
                <w:rFonts w:ascii="Arial" w:eastAsia="宋体" w:hAnsi="Arial" w:cs="Arial"/>
                <w:color w:val="000000"/>
                <w:sz w:val="15"/>
                <w:szCs w:val="15"/>
              </w:rPr>
              <w:t>218,145 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3A1" w14:textId="77777777" w:rsidR="003C66EB" w:rsidRDefault="003C66EB">
            <w:pPr>
              <w:jc w:val="right"/>
              <w:rPr>
                <w:rFonts w:ascii="宋体"/>
              </w:rPr>
            </w:pPr>
          </w:p>
        </w:tc>
      </w:tr>
      <w:tr w:rsidR="003C66EB" w14:paraId="5EA213A9" w14:textId="77777777">
        <w:tc>
          <w:tcPr>
            <w:tcW w:w="0" w:type="auto"/>
            <w:gridSpan w:val="3"/>
            <w:shd w:val="clear" w:color="auto" w:fill="FFFFFF"/>
            <w:tcMar>
              <w:top w:w="40" w:type="dxa"/>
              <w:left w:w="20" w:type="dxa"/>
              <w:bottom w:w="40" w:type="dxa"/>
              <w:right w:w="20" w:type="dxa"/>
            </w:tcMar>
            <w:vAlign w:val="bottom"/>
          </w:tcPr>
          <w:p w14:paraId="5EA213A3" w14:textId="77777777" w:rsidR="003C66EB" w:rsidRDefault="00D96C4E">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213A4" w14:textId="77777777" w:rsidR="003C66EB" w:rsidRDefault="00D96C4E">
            <w:pPr>
              <w:jc w:val="right"/>
              <w:textAlignment w:val="bottom"/>
            </w:pPr>
            <w:r>
              <w:rPr>
                <w:rFonts w:ascii="Arial" w:eastAsia="宋体" w:hAnsi="Arial" w:cs="Arial"/>
                <w:b/>
                <w:bCs/>
                <w:color w:val="000000"/>
                <w:sz w:val="15"/>
                <w:szCs w:val="15"/>
              </w:rPr>
              <w:t>6.0</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13A5" w14:textId="77777777" w:rsidR="003C66EB" w:rsidRDefault="00D96C4E">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5EA213A6" w14:textId="77777777" w:rsidR="003C66EB" w:rsidRDefault="003C66E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213A7" w14:textId="77777777" w:rsidR="003C66EB" w:rsidRDefault="00D96C4E">
            <w:pPr>
              <w:jc w:val="right"/>
              <w:textAlignment w:val="bottom"/>
            </w:pPr>
            <w:r>
              <w:rPr>
                <w:rFonts w:ascii="Arial" w:eastAsia="宋体" w:hAnsi="Arial" w:cs="Arial"/>
                <w:color w:val="000000"/>
                <w:sz w:val="15"/>
                <w:szCs w:val="15"/>
              </w:rPr>
              <w:t>6.6 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13A8" w14:textId="77777777" w:rsidR="003C66EB" w:rsidRDefault="00D96C4E">
            <w:pPr>
              <w:jc w:val="right"/>
              <w:textAlignment w:val="bottom"/>
            </w:pPr>
            <w:r>
              <w:rPr>
                <w:rFonts w:ascii="Arial" w:eastAsia="宋体" w:hAnsi="Arial" w:cs="Arial"/>
                <w:color w:val="000000"/>
                <w:sz w:val="15"/>
                <w:szCs w:val="15"/>
              </w:rPr>
              <w:t>%</w:t>
            </w:r>
          </w:p>
        </w:tc>
      </w:tr>
      <w:tr w:rsidR="003C66EB" w14:paraId="5EA213B0" w14:textId="77777777">
        <w:tc>
          <w:tcPr>
            <w:tcW w:w="0" w:type="auto"/>
            <w:gridSpan w:val="3"/>
            <w:shd w:val="clear" w:color="auto" w:fill="CCEEFF"/>
            <w:tcMar>
              <w:top w:w="40" w:type="dxa"/>
              <w:left w:w="20" w:type="dxa"/>
              <w:bottom w:w="40" w:type="dxa"/>
              <w:right w:w="20" w:type="dxa"/>
            </w:tcMar>
            <w:vAlign w:val="bottom"/>
          </w:tcPr>
          <w:p w14:paraId="5EA213AA" w14:textId="77777777" w:rsidR="003C66EB" w:rsidRDefault="00D96C4E">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5EA213AB" w14:textId="77777777" w:rsidR="003C66EB" w:rsidRDefault="00D96C4E">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13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3A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3AE" w14:textId="77777777" w:rsidR="003C66EB" w:rsidRDefault="00D96C4E">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5EA213AF" w14:textId="77777777" w:rsidR="003C66EB" w:rsidRDefault="003C66EB">
            <w:pPr>
              <w:jc w:val="right"/>
              <w:rPr>
                <w:rFonts w:ascii="宋体"/>
              </w:rPr>
            </w:pPr>
          </w:p>
        </w:tc>
      </w:tr>
    </w:tbl>
    <w:p w14:paraId="5EA213B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04"/>
        <w:gridCol w:w="36"/>
        <w:gridCol w:w="70"/>
        <w:gridCol w:w="1494"/>
        <w:gridCol w:w="36"/>
        <w:gridCol w:w="70"/>
        <w:gridCol w:w="2621"/>
        <w:gridCol w:w="36"/>
      </w:tblGrid>
      <w:tr w:rsidR="003C66EB" w14:paraId="5EA213BB" w14:textId="77777777">
        <w:tc>
          <w:tcPr>
            <w:tcW w:w="50" w:type="pct"/>
            <w:shd w:val="clear" w:color="auto" w:fill="auto"/>
          </w:tcPr>
          <w:p w14:paraId="5EA213B2" w14:textId="77777777" w:rsidR="003C66EB" w:rsidRDefault="003C66EB">
            <w:pPr>
              <w:rPr>
                <w:rFonts w:ascii="宋体"/>
              </w:rPr>
            </w:pPr>
          </w:p>
        </w:tc>
        <w:tc>
          <w:tcPr>
            <w:tcW w:w="2350" w:type="pct"/>
            <w:shd w:val="clear" w:color="auto" w:fill="auto"/>
          </w:tcPr>
          <w:p w14:paraId="5EA213B3" w14:textId="77777777" w:rsidR="003C66EB" w:rsidRDefault="003C66EB">
            <w:pPr>
              <w:rPr>
                <w:rFonts w:ascii="宋体"/>
              </w:rPr>
            </w:pPr>
          </w:p>
        </w:tc>
        <w:tc>
          <w:tcPr>
            <w:tcW w:w="5" w:type="pct"/>
            <w:shd w:val="clear" w:color="auto" w:fill="auto"/>
          </w:tcPr>
          <w:p w14:paraId="5EA213B4" w14:textId="77777777" w:rsidR="003C66EB" w:rsidRDefault="003C66EB">
            <w:pPr>
              <w:rPr>
                <w:rFonts w:ascii="宋体"/>
              </w:rPr>
            </w:pPr>
          </w:p>
        </w:tc>
        <w:tc>
          <w:tcPr>
            <w:tcW w:w="50" w:type="pct"/>
            <w:shd w:val="clear" w:color="auto" w:fill="auto"/>
          </w:tcPr>
          <w:p w14:paraId="5EA213B5" w14:textId="77777777" w:rsidR="003C66EB" w:rsidRDefault="003C66EB">
            <w:pPr>
              <w:rPr>
                <w:rFonts w:ascii="宋体"/>
              </w:rPr>
            </w:pPr>
          </w:p>
        </w:tc>
        <w:tc>
          <w:tcPr>
            <w:tcW w:w="904" w:type="pct"/>
            <w:shd w:val="clear" w:color="auto" w:fill="auto"/>
          </w:tcPr>
          <w:p w14:paraId="5EA213B6" w14:textId="77777777" w:rsidR="003C66EB" w:rsidRDefault="003C66EB">
            <w:pPr>
              <w:rPr>
                <w:rFonts w:ascii="宋体"/>
              </w:rPr>
            </w:pPr>
          </w:p>
        </w:tc>
        <w:tc>
          <w:tcPr>
            <w:tcW w:w="5" w:type="pct"/>
            <w:shd w:val="clear" w:color="auto" w:fill="auto"/>
          </w:tcPr>
          <w:p w14:paraId="5EA213B7" w14:textId="77777777" w:rsidR="003C66EB" w:rsidRDefault="003C66EB">
            <w:pPr>
              <w:rPr>
                <w:rFonts w:ascii="宋体"/>
              </w:rPr>
            </w:pPr>
          </w:p>
        </w:tc>
        <w:tc>
          <w:tcPr>
            <w:tcW w:w="50" w:type="pct"/>
            <w:shd w:val="clear" w:color="auto" w:fill="auto"/>
          </w:tcPr>
          <w:p w14:paraId="5EA213B8" w14:textId="77777777" w:rsidR="003C66EB" w:rsidRDefault="003C66EB">
            <w:pPr>
              <w:rPr>
                <w:rFonts w:ascii="宋体"/>
              </w:rPr>
            </w:pPr>
          </w:p>
        </w:tc>
        <w:tc>
          <w:tcPr>
            <w:tcW w:w="1580" w:type="pct"/>
            <w:shd w:val="clear" w:color="auto" w:fill="auto"/>
          </w:tcPr>
          <w:p w14:paraId="5EA213B9" w14:textId="77777777" w:rsidR="003C66EB" w:rsidRDefault="003C66EB">
            <w:pPr>
              <w:rPr>
                <w:rFonts w:ascii="宋体"/>
              </w:rPr>
            </w:pPr>
          </w:p>
        </w:tc>
        <w:tc>
          <w:tcPr>
            <w:tcW w:w="5" w:type="pct"/>
            <w:shd w:val="clear" w:color="auto" w:fill="auto"/>
          </w:tcPr>
          <w:p w14:paraId="5EA213BA" w14:textId="77777777" w:rsidR="003C66EB" w:rsidRDefault="003C66EB">
            <w:pPr>
              <w:rPr>
                <w:rFonts w:ascii="宋体"/>
              </w:rPr>
            </w:pPr>
          </w:p>
        </w:tc>
      </w:tr>
      <w:tr w:rsidR="003C66EB" w14:paraId="5EA213B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13B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3B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3BE" w14:textId="77777777" w:rsidR="003C66EB" w:rsidRDefault="003C66EB">
            <w:pPr>
              <w:rPr>
                <w:rFonts w:ascii="宋体"/>
              </w:rPr>
            </w:pPr>
          </w:p>
        </w:tc>
      </w:tr>
    </w:tbl>
    <w:p w14:paraId="5EA213C0" w14:textId="77777777" w:rsidR="003C66EB" w:rsidRDefault="00D96C4E">
      <w:pPr>
        <w:spacing w:before="9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Tier 1 leverage ratios were calculated in conformity with the Basel III final rule.</w:t>
      </w:r>
    </w:p>
    <w:p w14:paraId="5EA213C1" w14:textId="77777777" w:rsidR="003C66EB" w:rsidRDefault="00D96C4E">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The SLR rule requires that, as of January 1, </w:t>
      </w:r>
      <w:r>
        <w:rPr>
          <w:rFonts w:ascii="Arial" w:eastAsia="宋体" w:hAnsi="Arial" w:cs="Arial"/>
          <w:color w:val="000000"/>
          <w:sz w:val="13"/>
          <w:szCs w:val="13"/>
        </w:rPr>
        <w:t>2018, (i) State Street Bank maintains an SLR of at least 6.0% to be well capitalized under the U.S. banking regulators’ Prompt Corrective Action Framework and (ii) we maintain an SLR of at least 5.0% to avoid limitations on capital distributions and discre</w:t>
      </w:r>
      <w:r>
        <w:rPr>
          <w:rFonts w:ascii="Arial" w:eastAsia="宋体" w:hAnsi="Arial" w:cs="Arial"/>
          <w:color w:val="000000"/>
          <w:sz w:val="13"/>
          <w:szCs w:val="13"/>
        </w:rPr>
        <w:t>tionary bonus payments. In addition to the SLR, State Street Bank is subject to a well-capitalized Tier 1 leverage ratio requirement of 5.0%.</w:t>
      </w:r>
    </w:p>
    <w:p w14:paraId="5EA213C2" w14:textId="77777777" w:rsidR="003C66EB" w:rsidRDefault="00D96C4E">
      <w:pPr>
        <w:spacing w:before="60"/>
        <w:jc w:val="both"/>
        <w:textAlignment w:val="top"/>
      </w:pPr>
      <w:r>
        <w:rPr>
          <w:rFonts w:ascii="Arial" w:eastAsia="宋体" w:hAnsi="Arial" w:cs="Arial"/>
          <w:b/>
          <w:bCs/>
          <w:i/>
          <w:iCs/>
          <w:color w:val="000000"/>
          <w:sz w:val="20"/>
          <w:szCs w:val="20"/>
        </w:rPr>
        <w:t>Total Loss-Absorbing Capacity (TLAC)</w:t>
      </w:r>
    </w:p>
    <w:p w14:paraId="5EA213C3" w14:textId="77777777" w:rsidR="003C66EB" w:rsidRDefault="00D96C4E">
      <w:pPr>
        <w:ind w:firstLine="450"/>
        <w:jc w:val="both"/>
        <w:textAlignment w:val="top"/>
      </w:pPr>
      <w:r>
        <w:rPr>
          <w:rFonts w:ascii="Arial" w:eastAsia="宋体" w:hAnsi="Arial" w:cs="Arial"/>
          <w:color w:val="000000"/>
          <w:sz w:val="20"/>
          <w:szCs w:val="20"/>
        </w:rPr>
        <w:t>In 2016, the Federal Reserve released its final rule on TLAC, LTD and clean h</w:t>
      </w:r>
      <w:r>
        <w:rPr>
          <w:rFonts w:ascii="Arial" w:eastAsia="宋体" w:hAnsi="Arial" w:cs="Arial"/>
          <w:color w:val="000000"/>
          <w:sz w:val="20"/>
          <w:szCs w:val="20"/>
        </w:rPr>
        <w:t>olding company requirements for U.S. domiciled G-SIBs, such as us, that is intended to improve the resiliency and resolvability of certain U.S. banking organizations through enhanced prudential standards. Among other things, the TLAC final rule requires us</w:t>
      </w:r>
      <w:r>
        <w:rPr>
          <w:rFonts w:ascii="Arial" w:eastAsia="宋体" w:hAnsi="Arial" w:cs="Arial"/>
          <w:color w:val="000000"/>
          <w:sz w:val="20"/>
          <w:szCs w:val="20"/>
        </w:rPr>
        <w:t xml:space="preserve"> to comply with minimum requirements for external TLAC and external LTD effective January 1, 2019.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6"/>
        <w:gridCol w:w="69"/>
        <w:gridCol w:w="5427"/>
        <w:gridCol w:w="36"/>
      </w:tblGrid>
      <w:tr w:rsidR="003C66EB" w14:paraId="5EA213CA" w14:textId="77777777">
        <w:tc>
          <w:tcPr>
            <w:tcW w:w="50" w:type="pct"/>
            <w:shd w:val="clear" w:color="auto" w:fill="auto"/>
          </w:tcPr>
          <w:p w14:paraId="5EA213C4" w14:textId="77777777" w:rsidR="003C66EB" w:rsidRDefault="003C66EB">
            <w:pPr>
              <w:rPr>
                <w:rFonts w:ascii="宋体"/>
              </w:rPr>
            </w:pPr>
          </w:p>
        </w:tc>
        <w:tc>
          <w:tcPr>
            <w:tcW w:w="1627" w:type="pct"/>
            <w:shd w:val="clear" w:color="auto" w:fill="auto"/>
          </w:tcPr>
          <w:p w14:paraId="5EA213C5" w14:textId="77777777" w:rsidR="003C66EB" w:rsidRDefault="003C66EB">
            <w:pPr>
              <w:rPr>
                <w:rFonts w:ascii="宋体"/>
              </w:rPr>
            </w:pPr>
          </w:p>
        </w:tc>
        <w:tc>
          <w:tcPr>
            <w:tcW w:w="5" w:type="pct"/>
            <w:shd w:val="clear" w:color="auto" w:fill="auto"/>
          </w:tcPr>
          <w:p w14:paraId="5EA213C6" w14:textId="77777777" w:rsidR="003C66EB" w:rsidRDefault="003C66EB">
            <w:pPr>
              <w:rPr>
                <w:rFonts w:ascii="宋体"/>
              </w:rPr>
            </w:pPr>
          </w:p>
        </w:tc>
        <w:tc>
          <w:tcPr>
            <w:tcW w:w="50" w:type="pct"/>
            <w:shd w:val="clear" w:color="auto" w:fill="auto"/>
          </w:tcPr>
          <w:p w14:paraId="5EA213C7" w14:textId="77777777" w:rsidR="003C66EB" w:rsidRDefault="003C66EB">
            <w:pPr>
              <w:rPr>
                <w:rFonts w:ascii="宋体"/>
              </w:rPr>
            </w:pPr>
          </w:p>
        </w:tc>
        <w:tc>
          <w:tcPr>
            <w:tcW w:w="3262" w:type="pct"/>
            <w:shd w:val="clear" w:color="auto" w:fill="auto"/>
          </w:tcPr>
          <w:p w14:paraId="5EA213C8" w14:textId="77777777" w:rsidR="003C66EB" w:rsidRDefault="003C66EB">
            <w:pPr>
              <w:rPr>
                <w:rFonts w:ascii="宋体"/>
              </w:rPr>
            </w:pPr>
          </w:p>
        </w:tc>
        <w:tc>
          <w:tcPr>
            <w:tcW w:w="5" w:type="pct"/>
            <w:shd w:val="clear" w:color="auto" w:fill="auto"/>
          </w:tcPr>
          <w:p w14:paraId="5EA213C9" w14:textId="77777777" w:rsidR="003C66EB" w:rsidRDefault="003C66EB">
            <w:pPr>
              <w:rPr>
                <w:rFonts w:ascii="宋体"/>
              </w:rPr>
            </w:pPr>
          </w:p>
        </w:tc>
      </w:tr>
      <w:tr w:rsidR="003C66EB" w14:paraId="5EA213CD" w14:textId="77777777">
        <w:tc>
          <w:tcPr>
            <w:tcW w:w="0" w:type="auto"/>
            <w:gridSpan w:val="3"/>
            <w:shd w:val="clear" w:color="auto" w:fill="auto"/>
            <w:tcMar>
              <w:top w:w="0" w:type="dxa"/>
              <w:left w:w="20" w:type="dxa"/>
              <w:bottom w:w="0" w:type="dxa"/>
              <w:right w:w="20" w:type="dxa"/>
            </w:tcMar>
          </w:tcPr>
          <w:p w14:paraId="5EA213C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3CC" w14:textId="77777777" w:rsidR="003C66EB" w:rsidRDefault="00D96C4E">
            <w:pPr>
              <w:textAlignment w:val="bottom"/>
            </w:pPr>
            <w:r>
              <w:rPr>
                <w:rFonts w:ascii="Arial" w:eastAsia="宋体" w:hAnsi="Arial" w:cs="Arial"/>
                <w:b/>
                <w:bCs/>
                <w:color w:val="000000"/>
                <w:sz w:val="16"/>
                <w:szCs w:val="16"/>
              </w:rPr>
              <w:t>Amount equal to:</w:t>
            </w:r>
          </w:p>
        </w:tc>
      </w:tr>
      <w:tr w:rsidR="003C66EB" w14:paraId="5EA213D4"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EA213CE" w14:textId="77777777" w:rsidR="003C66EB" w:rsidRDefault="00D96C4E">
            <w:pPr>
              <w:textAlignment w:val="center"/>
            </w:pPr>
            <w:r>
              <w:rPr>
                <w:rFonts w:ascii="Arial" w:eastAsia="宋体" w:hAnsi="Arial" w:cs="Arial"/>
                <w:color w:val="000000"/>
                <w:sz w:val="16"/>
                <w:szCs w:val="16"/>
              </w:rPr>
              <w:t>Combined eligible tier 1 regulatory capital and LTD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5EA213CF" w14:textId="77777777" w:rsidR="003C66EB" w:rsidRDefault="00D96C4E">
            <w:pPr>
              <w:textAlignment w:val="bottom"/>
            </w:pPr>
            <w:r>
              <w:rPr>
                <w:rFonts w:ascii="Arial" w:eastAsia="宋体" w:hAnsi="Arial" w:cs="Arial"/>
                <w:color w:val="000000"/>
                <w:sz w:val="16"/>
                <w:szCs w:val="16"/>
              </w:rPr>
              <w:t>Greater of:</w:t>
            </w:r>
          </w:p>
          <w:p w14:paraId="5EA213D0" w14:textId="77777777" w:rsidR="003C66EB" w:rsidRDefault="00D96C4E">
            <w:pPr>
              <w:ind w:hanging="360"/>
              <w:jc w:val="both"/>
              <w:textAlignment w:val="bottom"/>
            </w:pPr>
            <w:r>
              <w:rPr>
                <w:rFonts w:ascii="Arial" w:eastAsia="宋体" w:hAnsi="Arial" w:cs="Arial"/>
                <w:color w:val="000000"/>
                <w:sz w:val="16"/>
                <w:szCs w:val="16"/>
              </w:rPr>
              <w:t xml:space="preserve">•21.5% of total RWA (18.0% </w:t>
            </w:r>
            <w:r>
              <w:rPr>
                <w:rFonts w:ascii="Arial" w:eastAsia="宋体" w:hAnsi="Arial" w:cs="Arial"/>
                <w:color w:val="000000"/>
                <w:sz w:val="16"/>
                <w:szCs w:val="16"/>
              </w:rPr>
              <w:t>minimum plus 2.5% plus a G-SIB surcharge calculated for these purposes under Method 1 of 1.0% plus any applicable counter- cyclical buffer, which is currently 0%); and</w:t>
            </w:r>
          </w:p>
          <w:p w14:paraId="5EA213D1" w14:textId="77777777" w:rsidR="003C66EB" w:rsidRDefault="00D96C4E">
            <w:pPr>
              <w:jc w:val="both"/>
              <w:textAlignment w:val="bottom"/>
            </w:pPr>
            <w:r>
              <w:rPr>
                <w:rFonts w:ascii="Arial" w:eastAsia="宋体" w:hAnsi="Arial" w:cs="Arial"/>
                <w:color w:val="000000"/>
                <w:sz w:val="16"/>
                <w:szCs w:val="16"/>
              </w:rPr>
              <w:t> </w:t>
            </w:r>
          </w:p>
          <w:p w14:paraId="5EA213D2" w14:textId="77777777" w:rsidR="003C66EB" w:rsidRDefault="00D96C4E">
            <w:pPr>
              <w:ind w:hanging="360"/>
              <w:jc w:val="both"/>
              <w:textAlignment w:val="bottom"/>
            </w:pPr>
            <w:r>
              <w:rPr>
                <w:rFonts w:ascii="Arial" w:eastAsia="宋体" w:hAnsi="Arial" w:cs="Arial"/>
                <w:color w:val="000000"/>
                <w:sz w:val="16"/>
                <w:szCs w:val="16"/>
              </w:rPr>
              <w:t>•9.5% of total leverage exposure (7.5% minimum plus the SLR buffer of 2.0%), as define</w:t>
            </w:r>
            <w:r>
              <w:rPr>
                <w:rFonts w:ascii="Arial" w:eastAsia="宋体" w:hAnsi="Arial" w:cs="Arial"/>
                <w:color w:val="000000"/>
                <w:sz w:val="16"/>
                <w:szCs w:val="16"/>
              </w:rPr>
              <w:t>d by the SLR final rule.</w:t>
            </w:r>
          </w:p>
          <w:p w14:paraId="5EA213D3" w14:textId="77777777" w:rsidR="003C66EB" w:rsidRDefault="003C66EB">
            <w:pPr>
              <w:textAlignment w:val="bottom"/>
            </w:pPr>
          </w:p>
        </w:tc>
      </w:tr>
      <w:tr w:rsidR="003C66EB" w14:paraId="5EA213DB"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5EA213D5" w14:textId="77777777" w:rsidR="003C66EB" w:rsidRDefault="00D96C4E">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5EA213D6" w14:textId="77777777" w:rsidR="003C66EB" w:rsidRDefault="00D96C4E">
            <w:pPr>
              <w:textAlignment w:val="bottom"/>
            </w:pPr>
            <w:r>
              <w:rPr>
                <w:rFonts w:ascii="Arial" w:eastAsia="宋体" w:hAnsi="Arial" w:cs="Arial"/>
                <w:color w:val="000000"/>
                <w:sz w:val="16"/>
                <w:szCs w:val="16"/>
              </w:rPr>
              <w:t>Greater of:</w:t>
            </w:r>
          </w:p>
          <w:p w14:paraId="5EA213D7" w14:textId="77777777" w:rsidR="003C66EB" w:rsidRDefault="00D96C4E">
            <w:pPr>
              <w:ind w:hanging="360"/>
              <w:jc w:val="both"/>
              <w:textAlignment w:val="bottom"/>
            </w:pPr>
            <w:r>
              <w:rPr>
                <w:rFonts w:ascii="Arial" w:eastAsia="宋体" w:hAnsi="Arial" w:cs="Arial"/>
                <w:color w:val="000000"/>
                <w:sz w:val="16"/>
                <w:szCs w:val="16"/>
              </w:rPr>
              <w:t xml:space="preserve">•7.0% of RWA (6.0% minimum plus a G-SIB surcharge calculated for these purposes under method 2 of 1.0%); and </w:t>
            </w:r>
          </w:p>
          <w:p w14:paraId="5EA213D8" w14:textId="77777777" w:rsidR="003C66EB" w:rsidRDefault="003C66EB">
            <w:pPr>
              <w:jc w:val="both"/>
              <w:textAlignment w:val="bottom"/>
            </w:pPr>
          </w:p>
          <w:p w14:paraId="5EA213D9" w14:textId="77777777" w:rsidR="003C66EB" w:rsidRDefault="00D96C4E">
            <w:pPr>
              <w:ind w:hanging="360"/>
              <w:jc w:val="both"/>
              <w:textAlignment w:val="bottom"/>
            </w:pPr>
            <w:r>
              <w:rPr>
                <w:rFonts w:ascii="Arial" w:eastAsia="宋体" w:hAnsi="Arial" w:cs="Arial"/>
                <w:color w:val="000000"/>
                <w:sz w:val="16"/>
                <w:szCs w:val="16"/>
              </w:rPr>
              <w:t>•4.5% of total leverage exposure, as defined by the SLR final rule.</w:t>
            </w:r>
          </w:p>
          <w:p w14:paraId="5EA213DA" w14:textId="77777777" w:rsidR="003C66EB" w:rsidRDefault="003C66EB">
            <w:pPr>
              <w:textAlignment w:val="bottom"/>
            </w:pPr>
          </w:p>
        </w:tc>
      </w:tr>
    </w:tbl>
    <w:p w14:paraId="5EA213DC" w14:textId="77777777" w:rsidR="003C66EB" w:rsidRDefault="00D96C4E">
      <w:pPr>
        <w:spacing w:before="60"/>
        <w:ind w:firstLine="450"/>
        <w:jc w:val="both"/>
        <w:textAlignment w:val="top"/>
      </w:pPr>
      <w:r>
        <w:rPr>
          <w:rFonts w:ascii="Arial" w:eastAsia="宋体" w:hAnsi="Arial" w:cs="Arial"/>
          <w:color w:val="000000"/>
          <w:sz w:val="20"/>
          <w:szCs w:val="20"/>
        </w:rPr>
        <w:t xml:space="preserve">As of </w:t>
      </w:r>
      <w:r>
        <w:rPr>
          <w:rFonts w:ascii="Arial" w:eastAsia="宋体" w:hAnsi="Arial" w:cs="Arial"/>
          <w:color w:val="000000"/>
          <w:sz w:val="20"/>
          <w:szCs w:val="20"/>
        </w:rPr>
        <w:t>April 1, 2020, the TLAC and LTD requirements calibrated to the SLR denominator reflect the deduction of certain central bank balances as prescribed by the regulatory relief implemented under the EGRRCPA.</w:t>
      </w:r>
    </w:p>
    <w:p w14:paraId="5EA213DD"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external LTD and extern</w:t>
      </w:r>
      <w:r>
        <w:rPr>
          <w:rFonts w:ascii="Arial" w:eastAsia="宋体" w:hAnsi="Arial" w:cs="Arial"/>
          <w:color w:val="000000"/>
          <w:sz w:val="20"/>
          <w:szCs w:val="20"/>
        </w:rPr>
        <w:t>al TLAC as of March 31, 2021.</w:t>
      </w:r>
    </w:p>
    <w:tbl>
      <w:tblPr>
        <w:tblW w:w="4969" w:type="pct"/>
        <w:tblCellMar>
          <w:top w:w="15" w:type="dxa"/>
          <w:left w:w="15" w:type="dxa"/>
          <w:bottom w:w="15" w:type="dxa"/>
          <w:right w:w="15" w:type="dxa"/>
        </w:tblCellMar>
        <w:tblLook w:val="04A0" w:firstRow="1" w:lastRow="0" w:firstColumn="1" w:lastColumn="0" w:noHBand="0" w:noVBand="1"/>
      </w:tblPr>
      <w:tblGrid>
        <w:gridCol w:w="39"/>
        <w:gridCol w:w="1327"/>
        <w:gridCol w:w="39"/>
        <w:gridCol w:w="39"/>
        <w:gridCol w:w="1617"/>
        <w:gridCol w:w="38"/>
        <w:gridCol w:w="104"/>
        <w:gridCol w:w="1119"/>
        <w:gridCol w:w="36"/>
        <w:gridCol w:w="36"/>
        <w:gridCol w:w="67"/>
        <w:gridCol w:w="36"/>
        <w:gridCol w:w="37"/>
        <w:gridCol w:w="934"/>
        <w:gridCol w:w="154"/>
        <w:gridCol w:w="36"/>
        <w:gridCol w:w="67"/>
        <w:gridCol w:w="36"/>
        <w:gridCol w:w="104"/>
        <w:gridCol w:w="1119"/>
        <w:gridCol w:w="36"/>
        <w:gridCol w:w="36"/>
        <w:gridCol w:w="67"/>
        <w:gridCol w:w="36"/>
        <w:gridCol w:w="37"/>
        <w:gridCol w:w="934"/>
        <w:gridCol w:w="154"/>
      </w:tblGrid>
      <w:tr w:rsidR="003C66EB" w14:paraId="5EA213F9" w14:textId="77777777">
        <w:tc>
          <w:tcPr>
            <w:tcW w:w="50" w:type="pct"/>
            <w:shd w:val="clear" w:color="auto" w:fill="auto"/>
          </w:tcPr>
          <w:p w14:paraId="5EA213DE" w14:textId="77777777" w:rsidR="003C66EB" w:rsidRDefault="003C66EB">
            <w:pPr>
              <w:rPr>
                <w:rFonts w:ascii="宋体"/>
              </w:rPr>
            </w:pPr>
          </w:p>
        </w:tc>
        <w:tc>
          <w:tcPr>
            <w:tcW w:w="831" w:type="pct"/>
            <w:shd w:val="clear" w:color="auto" w:fill="auto"/>
          </w:tcPr>
          <w:p w14:paraId="5EA213DF" w14:textId="77777777" w:rsidR="003C66EB" w:rsidRDefault="003C66EB">
            <w:pPr>
              <w:rPr>
                <w:rFonts w:ascii="宋体"/>
              </w:rPr>
            </w:pPr>
          </w:p>
        </w:tc>
        <w:tc>
          <w:tcPr>
            <w:tcW w:w="5" w:type="pct"/>
            <w:shd w:val="clear" w:color="auto" w:fill="auto"/>
          </w:tcPr>
          <w:p w14:paraId="5EA213E0" w14:textId="77777777" w:rsidR="003C66EB" w:rsidRDefault="003C66EB">
            <w:pPr>
              <w:rPr>
                <w:rFonts w:ascii="宋体"/>
              </w:rPr>
            </w:pPr>
          </w:p>
        </w:tc>
        <w:tc>
          <w:tcPr>
            <w:tcW w:w="50" w:type="pct"/>
            <w:shd w:val="clear" w:color="auto" w:fill="auto"/>
          </w:tcPr>
          <w:p w14:paraId="5EA213E1" w14:textId="77777777" w:rsidR="003C66EB" w:rsidRDefault="003C66EB">
            <w:pPr>
              <w:rPr>
                <w:rFonts w:ascii="宋体"/>
              </w:rPr>
            </w:pPr>
          </w:p>
        </w:tc>
        <w:tc>
          <w:tcPr>
            <w:tcW w:w="1005" w:type="pct"/>
            <w:shd w:val="clear" w:color="auto" w:fill="auto"/>
          </w:tcPr>
          <w:p w14:paraId="5EA213E2" w14:textId="77777777" w:rsidR="003C66EB" w:rsidRDefault="003C66EB">
            <w:pPr>
              <w:rPr>
                <w:rFonts w:ascii="宋体"/>
              </w:rPr>
            </w:pPr>
          </w:p>
        </w:tc>
        <w:tc>
          <w:tcPr>
            <w:tcW w:w="5" w:type="pct"/>
            <w:shd w:val="clear" w:color="auto" w:fill="auto"/>
          </w:tcPr>
          <w:p w14:paraId="5EA213E3" w14:textId="77777777" w:rsidR="003C66EB" w:rsidRDefault="003C66EB">
            <w:pPr>
              <w:rPr>
                <w:rFonts w:ascii="宋体"/>
              </w:rPr>
            </w:pPr>
          </w:p>
        </w:tc>
        <w:tc>
          <w:tcPr>
            <w:tcW w:w="50" w:type="pct"/>
            <w:shd w:val="clear" w:color="auto" w:fill="auto"/>
          </w:tcPr>
          <w:p w14:paraId="5EA213E4" w14:textId="77777777" w:rsidR="003C66EB" w:rsidRDefault="003C66EB">
            <w:pPr>
              <w:rPr>
                <w:rFonts w:ascii="宋体"/>
              </w:rPr>
            </w:pPr>
          </w:p>
        </w:tc>
        <w:tc>
          <w:tcPr>
            <w:tcW w:w="704" w:type="pct"/>
            <w:shd w:val="clear" w:color="auto" w:fill="auto"/>
          </w:tcPr>
          <w:p w14:paraId="5EA213E5" w14:textId="77777777" w:rsidR="003C66EB" w:rsidRDefault="003C66EB">
            <w:pPr>
              <w:rPr>
                <w:rFonts w:ascii="宋体"/>
              </w:rPr>
            </w:pPr>
          </w:p>
        </w:tc>
        <w:tc>
          <w:tcPr>
            <w:tcW w:w="5" w:type="pct"/>
            <w:shd w:val="clear" w:color="auto" w:fill="auto"/>
          </w:tcPr>
          <w:p w14:paraId="5EA213E6" w14:textId="77777777" w:rsidR="003C66EB" w:rsidRDefault="003C66EB">
            <w:pPr>
              <w:rPr>
                <w:rFonts w:ascii="宋体"/>
              </w:rPr>
            </w:pPr>
          </w:p>
        </w:tc>
        <w:tc>
          <w:tcPr>
            <w:tcW w:w="5" w:type="pct"/>
            <w:shd w:val="clear" w:color="auto" w:fill="auto"/>
          </w:tcPr>
          <w:p w14:paraId="5EA213E7" w14:textId="77777777" w:rsidR="003C66EB" w:rsidRDefault="003C66EB">
            <w:pPr>
              <w:rPr>
                <w:rFonts w:ascii="宋体"/>
              </w:rPr>
            </w:pPr>
          </w:p>
        </w:tc>
        <w:tc>
          <w:tcPr>
            <w:tcW w:w="69" w:type="pct"/>
            <w:shd w:val="clear" w:color="auto" w:fill="auto"/>
          </w:tcPr>
          <w:p w14:paraId="5EA213E8" w14:textId="77777777" w:rsidR="003C66EB" w:rsidRDefault="003C66EB">
            <w:pPr>
              <w:rPr>
                <w:rFonts w:ascii="宋体"/>
              </w:rPr>
            </w:pPr>
          </w:p>
        </w:tc>
        <w:tc>
          <w:tcPr>
            <w:tcW w:w="5" w:type="pct"/>
            <w:shd w:val="clear" w:color="auto" w:fill="auto"/>
          </w:tcPr>
          <w:p w14:paraId="5EA213E9" w14:textId="77777777" w:rsidR="003C66EB" w:rsidRDefault="003C66EB">
            <w:pPr>
              <w:rPr>
                <w:rFonts w:ascii="宋体"/>
              </w:rPr>
            </w:pPr>
          </w:p>
        </w:tc>
        <w:tc>
          <w:tcPr>
            <w:tcW w:w="50" w:type="pct"/>
            <w:shd w:val="clear" w:color="auto" w:fill="auto"/>
          </w:tcPr>
          <w:p w14:paraId="5EA213EA" w14:textId="77777777" w:rsidR="003C66EB" w:rsidRDefault="003C66EB">
            <w:pPr>
              <w:rPr>
                <w:rFonts w:ascii="宋体"/>
              </w:rPr>
            </w:pPr>
          </w:p>
        </w:tc>
        <w:tc>
          <w:tcPr>
            <w:tcW w:w="593" w:type="pct"/>
            <w:shd w:val="clear" w:color="auto" w:fill="auto"/>
          </w:tcPr>
          <w:p w14:paraId="5EA213EB" w14:textId="77777777" w:rsidR="003C66EB" w:rsidRDefault="003C66EB">
            <w:pPr>
              <w:rPr>
                <w:rFonts w:ascii="宋体"/>
              </w:rPr>
            </w:pPr>
          </w:p>
        </w:tc>
        <w:tc>
          <w:tcPr>
            <w:tcW w:w="5" w:type="pct"/>
            <w:shd w:val="clear" w:color="auto" w:fill="auto"/>
          </w:tcPr>
          <w:p w14:paraId="5EA213EC" w14:textId="77777777" w:rsidR="003C66EB" w:rsidRDefault="003C66EB">
            <w:pPr>
              <w:rPr>
                <w:rFonts w:ascii="宋体"/>
              </w:rPr>
            </w:pPr>
          </w:p>
        </w:tc>
        <w:tc>
          <w:tcPr>
            <w:tcW w:w="5" w:type="pct"/>
            <w:shd w:val="clear" w:color="auto" w:fill="auto"/>
          </w:tcPr>
          <w:p w14:paraId="5EA213ED" w14:textId="77777777" w:rsidR="003C66EB" w:rsidRDefault="003C66EB">
            <w:pPr>
              <w:rPr>
                <w:rFonts w:ascii="宋体"/>
              </w:rPr>
            </w:pPr>
          </w:p>
        </w:tc>
        <w:tc>
          <w:tcPr>
            <w:tcW w:w="69" w:type="pct"/>
            <w:shd w:val="clear" w:color="auto" w:fill="auto"/>
          </w:tcPr>
          <w:p w14:paraId="5EA213EE" w14:textId="77777777" w:rsidR="003C66EB" w:rsidRDefault="003C66EB">
            <w:pPr>
              <w:rPr>
                <w:rFonts w:ascii="宋体"/>
              </w:rPr>
            </w:pPr>
          </w:p>
        </w:tc>
        <w:tc>
          <w:tcPr>
            <w:tcW w:w="5" w:type="pct"/>
            <w:shd w:val="clear" w:color="auto" w:fill="auto"/>
          </w:tcPr>
          <w:p w14:paraId="5EA213EF" w14:textId="77777777" w:rsidR="003C66EB" w:rsidRDefault="003C66EB">
            <w:pPr>
              <w:rPr>
                <w:rFonts w:ascii="宋体"/>
              </w:rPr>
            </w:pPr>
          </w:p>
        </w:tc>
        <w:tc>
          <w:tcPr>
            <w:tcW w:w="50" w:type="pct"/>
            <w:shd w:val="clear" w:color="auto" w:fill="auto"/>
          </w:tcPr>
          <w:p w14:paraId="5EA213F0" w14:textId="77777777" w:rsidR="003C66EB" w:rsidRDefault="003C66EB">
            <w:pPr>
              <w:rPr>
                <w:rFonts w:ascii="宋体"/>
              </w:rPr>
            </w:pPr>
          </w:p>
        </w:tc>
        <w:tc>
          <w:tcPr>
            <w:tcW w:w="704" w:type="pct"/>
            <w:shd w:val="clear" w:color="auto" w:fill="auto"/>
          </w:tcPr>
          <w:p w14:paraId="5EA213F1" w14:textId="77777777" w:rsidR="003C66EB" w:rsidRDefault="003C66EB">
            <w:pPr>
              <w:rPr>
                <w:rFonts w:ascii="宋体"/>
              </w:rPr>
            </w:pPr>
          </w:p>
        </w:tc>
        <w:tc>
          <w:tcPr>
            <w:tcW w:w="5" w:type="pct"/>
            <w:shd w:val="clear" w:color="auto" w:fill="auto"/>
          </w:tcPr>
          <w:p w14:paraId="5EA213F2" w14:textId="77777777" w:rsidR="003C66EB" w:rsidRDefault="003C66EB">
            <w:pPr>
              <w:rPr>
                <w:rFonts w:ascii="宋体"/>
              </w:rPr>
            </w:pPr>
          </w:p>
        </w:tc>
        <w:tc>
          <w:tcPr>
            <w:tcW w:w="5" w:type="pct"/>
            <w:shd w:val="clear" w:color="auto" w:fill="auto"/>
          </w:tcPr>
          <w:p w14:paraId="5EA213F3" w14:textId="77777777" w:rsidR="003C66EB" w:rsidRDefault="003C66EB">
            <w:pPr>
              <w:rPr>
                <w:rFonts w:ascii="宋体"/>
              </w:rPr>
            </w:pPr>
          </w:p>
        </w:tc>
        <w:tc>
          <w:tcPr>
            <w:tcW w:w="69" w:type="pct"/>
            <w:shd w:val="clear" w:color="auto" w:fill="auto"/>
          </w:tcPr>
          <w:p w14:paraId="5EA213F4" w14:textId="77777777" w:rsidR="003C66EB" w:rsidRDefault="003C66EB">
            <w:pPr>
              <w:rPr>
                <w:rFonts w:ascii="宋体"/>
              </w:rPr>
            </w:pPr>
          </w:p>
        </w:tc>
        <w:tc>
          <w:tcPr>
            <w:tcW w:w="5" w:type="pct"/>
            <w:shd w:val="clear" w:color="auto" w:fill="auto"/>
          </w:tcPr>
          <w:p w14:paraId="5EA213F5" w14:textId="77777777" w:rsidR="003C66EB" w:rsidRDefault="003C66EB">
            <w:pPr>
              <w:rPr>
                <w:rFonts w:ascii="宋体"/>
              </w:rPr>
            </w:pPr>
          </w:p>
        </w:tc>
        <w:tc>
          <w:tcPr>
            <w:tcW w:w="50" w:type="pct"/>
            <w:shd w:val="clear" w:color="auto" w:fill="auto"/>
          </w:tcPr>
          <w:p w14:paraId="5EA213F6" w14:textId="77777777" w:rsidR="003C66EB" w:rsidRDefault="003C66EB">
            <w:pPr>
              <w:rPr>
                <w:rFonts w:ascii="宋体"/>
              </w:rPr>
            </w:pPr>
          </w:p>
        </w:tc>
        <w:tc>
          <w:tcPr>
            <w:tcW w:w="593" w:type="pct"/>
            <w:shd w:val="clear" w:color="auto" w:fill="auto"/>
          </w:tcPr>
          <w:p w14:paraId="5EA213F7" w14:textId="77777777" w:rsidR="003C66EB" w:rsidRDefault="003C66EB">
            <w:pPr>
              <w:rPr>
                <w:rFonts w:ascii="宋体"/>
              </w:rPr>
            </w:pPr>
          </w:p>
        </w:tc>
        <w:tc>
          <w:tcPr>
            <w:tcW w:w="5" w:type="pct"/>
            <w:shd w:val="clear" w:color="auto" w:fill="auto"/>
          </w:tcPr>
          <w:p w14:paraId="5EA213F8" w14:textId="77777777" w:rsidR="003C66EB" w:rsidRDefault="003C66EB">
            <w:pPr>
              <w:rPr>
                <w:rFonts w:ascii="宋体"/>
              </w:rPr>
            </w:pPr>
          </w:p>
        </w:tc>
      </w:tr>
      <w:tr w:rsidR="003C66EB" w14:paraId="5EA213FB" w14:textId="77777777">
        <w:tc>
          <w:tcPr>
            <w:tcW w:w="0" w:type="auto"/>
            <w:gridSpan w:val="27"/>
            <w:shd w:val="clear" w:color="auto" w:fill="auto"/>
            <w:tcMar>
              <w:top w:w="40" w:type="dxa"/>
              <w:left w:w="20" w:type="dxa"/>
              <w:bottom w:w="40" w:type="dxa"/>
              <w:right w:w="20" w:type="dxa"/>
            </w:tcMar>
            <w:vAlign w:val="bottom"/>
          </w:tcPr>
          <w:p w14:paraId="5EA213FA" w14:textId="77777777" w:rsidR="003C66EB" w:rsidRDefault="00D96C4E">
            <w:pPr>
              <w:textAlignment w:val="bottom"/>
            </w:pPr>
            <w:r>
              <w:rPr>
                <w:rFonts w:ascii="Arial" w:eastAsia="宋体" w:hAnsi="Arial" w:cs="Arial"/>
                <w:b/>
                <w:bCs/>
                <w:color w:val="000000"/>
                <w:sz w:val="16"/>
                <w:szCs w:val="16"/>
              </w:rPr>
              <w:t>TABLE 39: TOTAL LOSS-ABSORBING CAPACITY</w:t>
            </w:r>
          </w:p>
        </w:tc>
      </w:tr>
      <w:tr w:rsidR="003C66EB" w14:paraId="5EA213FE" w14:textId="77777777">
        <w:tc>
          <w:tcPr>
            <w:tcW w:w="0" w:type="auto"/>
            <w:gridSpan w:val="6"/>
            <w:shd w:val="clear" w:color="auto" w:fill="auto"/>
            <w:tcMar>
              <w:top w:w="0" w:type="dxa"/>
              <w:left w:w="20" w:type="dxa"/>
              <w:bottom w:w="0" w:type="dxa"/>
              <w:right w:w="20" w:type="dxa"/>
            </w:tcMar>
          </w:tcPr>
          <w:p w14:paraId="5EA213FC" w14:textId="77777777" w:rsidR="003C66EB" w:rsidRDefault="003C66E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A213FD" w14:textId="77777777" w:rsidR="003C66EB" w:rsidRDefault="00D96C4E">
            <w:pPr>
              <w:jc w:val="center"/>
              <w:textAlignment w:val="bottom"/>
            </w:pPr>
            <w:r>
              <w:rPr>
                <w:rFonts w:ascii="Arial" w:eastAsia="宋体" w:hAnsi="Arial" w:cs="Arial"/>
                <w:b/>
                <w:bCs/>
                <w:color w:val="000000"/>
                <w:sz w:val="15"/>
                <w:szCs w:val="15"/>
              </w:rPr>
              <w:t>As of March 31, 2021</w:t>
            </w:r>
          </w:p>
        </w:tc>
      </w:tr>
      <w:tr w:rsidR="003C66EB" w14:paraId="5EA21403" w14:textId="77777777">
        <w:tc>
          <w:tcPr>
            <w:tcW w:w="0" w:type="auto"/>
            <w:gridSpan w:val="6"/>
            <w:shd w:val="clear" w:color="auto" w:fill="auto"/>
            <w:tcMar>
              <w:top w:w="40" w:type="dxa"/>
              <w:left w:w="20" w:type="dxa"/>
              <w:bottom w:w="40" w:type="dxa"/>
              <w:right w:w="20" w:type="dxa"/>
            </w:tcMar>
            <w:vAlign w:val="bottom"/>
          </w:tcPr>
          <w:p w14:paraId="5EA213FF" w14:textId="77777777" w:rsidR="003C66EB" w:rsidRDefault="00D96C4E">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1400" w14:textId="77777777" w:rsidR="003C66EB" w:rsidRDefault="00D96C4E">
            <w:pPr>
              <w:jc w:val="center"/>
              <w:textAlignment w:val="bottom"/>
            </w:pPr>
            <w:r>
              <w:rPr>
                <w:rFonts w:ascii="Arial" w:eastAsia="宋体" w:hAnsi="Arial" w:cs="Arial"/>
                <w:b/>
                <w:bCs/>
                <w:color w:val="000000"/>
                <w:sz w:val="15"/>
                <w:szCs w:val="15"/>
              </w:rPr>
              <w:t>Actual</w:t>
            </w:r>
          </w:p>
        </w:tc>
        <w:tc>
          <w:tcPr>
            <w:tcW w:w="0" w:type="auto"/>
            <w:gridSpan w:val="3"/>
            <w:tcBorders>
              <w:top w:val="single" w:sz="8" w:space="0" w:color="000000"/>
            </w:tcBorders>
            <w:shd w:val="clear" w:color="auto" w:fill="auto"/>
            <w:tcMar>
              <w:top w:w="0" w:type="dxa"/>
              <w:left w:w="20" w:type="dxa"/>
              <w:bottom w:w="0" w:type="dxa"/>
              <w:right w:w="20" w:type="dxa"/>
            </w:tcMar>
          </w:tcPr>
          <w:p w14:paraId="5EA21401"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1402" w14:textId="77777777" w:rsidR="003C66EB" w:rsidRDefault="00D96C4E">
            <w:pPr>
              <w:jc w:val="center"/>
              <w:textAlignment w:val="bottom"/>
            </w:pPr>
            <w:r>
              <w:rPr>
                <w:rFonts w:ascii="Arial" w:eastAsia="宋体" w:hAnsi="Arial" w:cs="Arial"/>
                <w:b/>
                <w:bCs/>
                <w:color w:val="000000"/>
                <w:sz w:val="15"/>
                <w:szCs w:val="15"/>
              </w:rPr>
              <w:t>Requirement</w:t>
            </w:r>
          </w:p>
        </w:tc>
      </w:tr>
      <w:tr w:rsidR="003C66EB" w14:paraId="5EA2140C" w14:textId="77777777">
        <w:tc>
          <w:tcPr>
            <w:tcW w:w="0" w:type="auto"/>
            <w:gridSpan w:val="6"/>
            <w:shd w:val="clear" w:color="auto" w:fill="auto"/>
            <w:tcMar>
              <w:top w:w="40" w:type="dxa"/>
              <w:left w:w="20" w:type="dxa"/>
              <w:bottom w:w="40" w:type="dxa"/>
              <w:right w:w="20" w:type="dxa"/>
            </w:tcMar>
            <w:vAlign w:val="center"/>
          </w:tcPr>
          <w:p w14:paraId="5EA21404" w14:textId="77777777" w:rsidR="003C66EB" w:rsidRDefault="00D96C4E">
            <w:pPr>
              <w:textAlignment w:val="center"/>
            </w:pPr>
            <w:r>
              <w:rPr>
                <w:rFonts w:ascii="Arial" w:eastAsia="宋体" w:hAnsi="Arial" w:cs="Arial"/>
                <w:color w:val="000000"/>
                <w:sz w:val="15"/>
                <w:szCs w:val="15"/>
              </w:rPr>
              <w:t xml:space="preserve">Total loss-absorbing capacity (eligible Tier 1 regulatory capacity and </w:t>
            </w:r>
            <w:r>
              <w:rPr>
                <w:rFonts w:ascii="Arial" w:eastAsia="宋体" w:hAnsi="Arial" w:cs="Arial"/>
                <w:color w:val="000000"/>
                <w:sz w:val="15"/>
                <w:szCs w:val="15"/>
              </w:rPr>
              <w:t>long term debt):</w:t>
            </w:r>
          </w:p>
        </w:tc>
        <w:tc>
          <w:tcPr>
            <w:tcW w:w="0" w:type="auto"/>
            <w:gridSpan w:val="3"/>
            <w:tcBorders>
              <w:top w:val="single" w:sz="8" w:space="0" w:color="000000"/>
            </w:tcBorders>
            <w:shd w:val="clear" w:color="auto" w:fill="auto"/>
            <w:tcMar>
              <w:top w:w="0" w:type="dxa"/>
              <w:left w:w="20" w:type="dxa"/>
              <w:bottom w:w="0" w:type="dxa"/>
              <w:right w:w="20" w:type="dxa"/>
            </w:tcMar>
          </w:tcPr>
          <w:p w14:paraId="5EA2140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40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4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40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40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40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40B" w14:textId="77777777" w:rsidR="003C66EB" w:rsidRDefault="003C66EB">
            <w:pPr>
              <w:rPr>
                <w:rFonts w:ascii="宋体"/>
              </w:rPr>
            </w:pPr>
          </w:p>
        </w:tc>
      </w:tr>
      <w:tr w:rsidR="003C66EB" w14:paraId="5EA2141B" w14:textId="77777777">
        <w:tc>
          <w:tcPr>
            <w:tcW w:w="0" w:type="auto"/>
            <w:gridSpan w:val="6"/>
            <w:shd w:val="clear" w:color="auto" w:fill="CCEEFF"/>
            <w:tcMar>
              <w:top w:w="40" w:type="dxa"/>
              <w:left w:w="155" w:type="dxa"/>
              <w:bottom w:w="40" w:type="dxa"/>
              <w:right w:w="20" w:type="dxa"/>
            </w:tcMar>
            <w:vAlign w:val="center"/>
          </w:tcPr>
          <w:p w14:paraId="5EA2140D" w14:textId="77777777" w:rsidR="003C66EB" w:rsidRDefault="00D96C4E">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5EA2140E" w14:textId="77777777" w:rsidR="003C66EB" w:rsidRDefault="00D96C4E">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5EA2140F" w14:textId="77777777" w:rsidR="003C66EB" w:rsidRDefault="00D96C4E">
            <w:pPr>
              <w:jc w:val="right"/>
              <w:textAlignment w:val="center"/>
            </w:pPr>
            <w:r>
              <w:rPr>
                <w:rFonts w:ascii="Arial" w:eastAsia="宋体" w:hAnsi="Arial" w:cs="Arial"/>
                <w:b/>
                <w:bCs/>
                <w:color w:val="000000"/>
                <w:sz w:val="15"/>
                <w:szCs w:val="15"/>
              </w:rPr>
              <w:t>28,409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1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1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412" w14:textId="77777777" w:rsidR="003C66EB" w:rsidRDefault="00D96C4E">
            <w:pPr>
              <w:jc w:val="right"/>
              <w:textAlignment w:val="center"/>
            </w:pPr>
            <w:r>
              <w:rPr>
                <w:rFonts w:ascii="Arial" w:eastAsia="宋体" w:hAnsi="Arial" w:cs="Arial"/>
                <w:b/>
                <w:bCs/>
                <w:color w:val="000000"/>
                <w:sz w:val="15"/>
                <w:szCs w:val="15"/>
              </w:rPr>
              <w:t>22.9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13" w14:textId="77777777" w:rsidR="003C66EB" w:rsidRDefault="00D96C4E">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21414"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1415" w14:textId="77777777" w:rsidR="003C66EB" w:rsidRDefault="00D96C4E">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5EA21416" w14:textId="77777777" w:rsidR="003C66EB" w:rsidRDefault="00D96C4E">
            <w:pPr>
              <w:jc w:val="right"/>
              <w:textAlignment w:val="center"/>
            </w:pPr>
            <w:r>
              <w:rPr>
                <w:rFonts w:ascii="Arial" w:eastAsia="宋体" w:hAnsi="Arial" w:cs="Arial"/>
                <w:b/>
                <w:bCs/>
                <w:color w:val="000000"/>
                <w:sz w:val="15"/>
                <w:szCs w:val="15"/>
              </w:rPr>
              <w:t>26,730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419" w14:textId="77777777" w:rsidR="003C66EB" w:rsidRDefault="00D96C4E">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1A" w14:textId="77777777" w:rsidR="003C66EB" w:rsidRDefault="00D96C4E">
            <w:pPr>
              <w:jc w:val="right"/>
              <w:textAlignment w:val="center"/>
            </w:pPr>
            <w:r>
              <w:rPr>
                <w:rFonts w:ascii="Arial" w:eastAsia="宋体" w:hAnsi="Arial" w:cs="Arial"/>
                <w:b/>
                <w:bCs/>
                <w:color w:val="000000"/>
                <w:sz w:val="15"/>
                <w:szCs w:val="15"/>
              </w:rPr>
              <w:t>%</w:t>
            </w:r>
          </w:p>
        </w:tc>
      </w:tr>
      <w:tr w:rsidR="003C66EB" w14:paraId="5EA21428" w14:textId="77777777">
        <w:tc>
          <w:tcPr>
            <w:tcW w:w="0" w:type="auto"/>
            <w:gridSpan w:val="6"/>
            <w:shd w:val="clear" w:color="auto" w:fill="FFFFFF"/>
            <w:tcMar>
              <w:top w:w="40" w:type="dxa"/>
              <w:left w:w="155" w:type="dxa"/>
              <w:bottom w:w="40" w:type="dxa"/>
              <w:right w:w="20" w:type="dxa"/>
            </w:tcMar>
            <w:vAlign w:val="center"/>
          </w:tcPr>
          <w:p w14:paraId="5EA2141C" w14:textId="77777777" w:rsidR="003C66EB" w:rsidRDefault="00D96C4E">
            <w:pPr>
              <w:textAlignment w:val="center"/>
            </w:pPr>
            <w:r>
              <w:rPr>
                <w:rFonts w:ascii="Arial" w:eastAsia="宋体" w:hAnsi="Arial" w:cs="Arial"/>
                <w:color w:val="000000"/>
                <w:sz w:val="15"/>
                <w:szCs w:val="15"/>
              </w:rPr>
              <w:t>Supplemental leverage ratio</w:t>
            </w:r>
          </w:p>
        </w:tc>
        <w:tc>
          <w:tcPr>
            <w:tcW w:w="0" w:type="auto"/>
            <w:gridSpan w:val="2"/>
            <w:shd w:val="clear" w:color="auto" w:fill="FFFFFF"/>
            <w:tcMar>
              <w:top w:w="40" w:type="dxa"/>
              <w:left w:w="20" w:type="dxa"/>
              <w:bottom w:w="40" w:type="dxa"/>
              <w:right w:w="0" w:type="dxa"/>
            </w:tcMar>
            <w:vAlign w:val="center"/>
          </w:tcPr>
          <w:p w14:paraId="5EA2141D" w14:textId="77777777" w:rsidR="003C66EB" w:rsidRDefault="00D96C4E">
            <w:pPr>
              <w:jc w:val="right"/>
              <w:textAlignment w:val="center"/>
            </w:pPr>
            <w:r>
              <w:rPr>
                <w:rFonts w:ascii="Arial" w:eastAsia="宋体" w:hAnsi="Arial" w:cs="Arial"/>
                <w:b/>
                <w:bCs/>
                <w:color w:val="000000"/>
                <w:sz w:val="15"/>
                <w:szCs w:val="15"/>
              </w:rPr>
              <w:t>28,409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1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1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20" w14:textId="77777777" w:rsidR="003C66EB" w:rsidRDefault="00D96C4E">
            <w:pPr>
              <w:jc w:val="right"/>
              <w:textAlignment w:val="center"/>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2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23" w14:textId="77777777" w:rsidR="003C66EB" w:rsidRDefault="00D96C4E">
            <w:pPr>
              <w:jc w:val="right"/>
              <w:textAlignment w:val="center"/>
            </w:pPr>
            <w:r>
              <w:rPr>
                <w:rFonts w:ascii="Arial" w:eastAsia="宋体" w:hAnsi="Arial" w:cs="Arial"/>
                <w:b/>
                <w:bCs/>
                <w:color w:val="000000"/>
                <w:sz w:val="15"/>
                <w:szCs w:val="15"/>
              </w:rPr>
              <w:t>20,317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2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26" w14:textId="77777777" w:rsidR="003C66EB" w:rsidRDefault="00D96C4E">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27" w14:textId="77777777" w:rsidR="003C66EB" w:rsidRDefault="003C66EB">
            <w:pPr>
              <w:jc w:val="right"/>
              <w:rPr>
                <w:rFonts w:ascii="宋体"/>
              </w:rPr>
            </w:pPr>
          </w:p>
        </w:tc>
      </w:tr>
      <w:tr w:rsidR="003C66EB" w14:paraId="5EA21431" w14:textId="77777777">
        <w:tc>
          <w:tcPr>
            <w:tcW w:w="0" w:type="auto"/>
            <w:gridSpan w:val="6"/>
            <w:shd w:val="clear" w:color="auto" w:fill="CCEEFF"/>
            <w:tcMar>
              <w:top w:w="40" w:type="dxa"/>
              <w:left w:w="20" w:type="dxa"/>
              <w:bottom w:w="40" w:type="dxa"/>
              <w:right w:w="20" w:type="dxa"/>
            </w:tcMar>
            <w:vAlign w:val="center"/>
          </w:tcPr>
          <w:p w14:paraId="5EA21429" w14:textId="77777777" w:rsidR="003C66EB" w:rsidRDefault="00D96C4E">
            <w:pPr>
              <w:textAlignment w:val="center"/>
            </w:pPr>
            <w:r>
              <w:rPr>
                <w:rFonts w:ascii="Arial" w:eastAsia="宋体" w:hAnsi="Arial" w:cs="Arial"/>
                <w:color w:val="000000"/>
                <w:sz w:val="15"/>
                <w:szCs w:val="15"/>
              </w:rPr>
              <w:t>Long term debt:</w:t>
            </w:r>
          </w:p>
        </w:tc>
        <w:tc>
          <w:tcPr>
            <w:tcW w:w="0" w:type="auto"/>
            <w:gridSpan w:val="3"/>
            <w:shd w:val="clear" w:color="auto" w:fill="CCEEFF"/>
            <w:tcMar>
              <w:top w:w="0" w:type="dxa"/>
              <w:left w:w="20" w:type="dxa"/>
              <w:bottom w:w="0" w:type="dxa"/>
              <w:right w:w="20" w:type="dxa"/>
            </w:tcMar>
          </w:tcPr>
          <w:p w14:paraId="5EA2142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42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42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42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42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42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430" w14:textId="77777777" w:rsidR="003C66EB" w:rsidRDefault="003C66EB">
            <w:pPr>
              <w:rPr>
                <w:rFonts w:ascii="宋体"/>
              </w:rPr>
            </w:pPr>
          </w:p>
        </w:tc>
      </w:tr>
      <w:tr w:rsidR="003C66EB" w14:paraId="5EA2143E" w14:textId="77777777">
        <w:tc>
          <w:tcPr>
            <w:tcW w:w="0" w:type="auto"/>
            <w:gridSpan w:val="6"/>
            <w:shd w:val="clear" w:color="auto" w:fill="FFFFFF"/>
            <w:tcMar>
              <w:top w:w="40" w:type="dxa"/>
              <w:left w:w="155" w:type="dxa"/>
              <w:bottom w:w="40" w:type="dxa"/>
              <w:right w:w="20" w:type="dxa"/>
            </w:tcMar>
            <w:vAlign w:val="center"/>
          </w:tcPr>
          <w:p w14:paraId="5EA21432" w14:textId="77777777" w:rsidR="003C66EB" w:rsidRDefault="00D96C4E">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5EA21433" w14:textId="77777777" w:rsidR="003C66EB" w:rsidRDefault="00D96C4E">
            <w:pPr>
              <w:jc w:val="right"/>
              <w:textAlignment w:val="center"/>
            </w:pPr>
            <w:r>
              <w:rPr>
                <w:rFonts w:ascii="Arial" w:eastAsia="宋体" w:hAnsi="Arial" w:cs="Arial"/>
                <w:b/>
                <w:bCs/>
                <w:color w:val="000000"/>
                <w:sz w:val="15"/>
                <w:szCs w:val="15"/>
              </w:rPr>
              <w:t>12,616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3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36" w14:textId="77777777" w:rsidR="003C66EB" w:rsidRDefault="00D96C4E">
            <w:pPr>
              <w:jc w:val="right"/>
              <w:textAlignment w:val="center"/>
            </w:pPr>
            <w:r>
              <w:rPr>
                <w:rFonts w:ascii="Arial" w:eastAsia="宋体" w:hAnsi="Arial" w:cs="Arial"/>
                <w:b/>
                <w:bCs/>
                <w:color w:val="000000"/>
                <w:sz w:val="15"/>
                <w:szCs w:val="15"/>
              </w:rPr>
              <w:t>10.1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39" w14:textId="77777777" w:rsidR="003C66EB" w:rsidRDefault="00D96C4E">
            <w:pPr>
              <w:jc w:val="right"/>
              <w:textAlignment w:val="center"/>
            </w:pPr>
            <w:r>
              <w:rPr>
                <w:rFonts w:ascii="Arial" w:eastAsia="宋体" w:hAnsi="Arial" w:cs="Arial"/>
                <w:b/>
                <w:bCs/>
                <w:color w:val="000000"/>
                <w:sz w:val="15"/>
                <w:szCs w:val="15"/>
              </w:rPr>
              <w:t>8,703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3C" w14:textId="77777777" w:rsidR="003C66EB" w:rsidRDefault="00D96C4E">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A2143D" w14:textId="77777777" w:rsidR="003C66EB" w:rsidRDefault="003C66EB">
            <w:pPr>
              <w:jc w:val="right"/>
              <w:rPr>
                <w:rFonts w:ascii="宋体"/>
              </w:rPr>
            </w:pPr>
          </w:p>
        </w:tc>
      </w:tr>
      <w:tr w:rsidR="003C66EB" w14:paraId="5EA2144B" w14:textId="77777777">
        <w:tc>
          <w:tcPr>
            <w:tcW w:w="0" w:type="auto"/>
            <w:gridSpan w:val="6"/>
            <w:shd w:val="clear" w:color="auto" w:fill="CCEEFF"/>
            <w:tcMar>
              <w:top w:w="40" w:type="dxa"/>
              <w:left w:w="155" w:type="dxa"/>
              <w:bottom w:w="40" w:type="dxa"/>
              <w:right w:w="20" w:type="dxa"/>
            </w:tcMar>
            <w:vAlign w:val="center"/>
          </w:tcPr>
          <w:p w14:paraId="5EA2143F" w14:textId="77777777" w:rsidR="003C66EB" w:rsidRDefault="00D96C4E">
            <w:pPr>
              <w:textAlignment w:val="center"/>
            </w:pPr>
            <w:r>
              <w:rPr>
                <w:rFonts w:ascii="Arial" w:eastAsia="宋体" w:hAnsi="Arial" w:cs="Arial"/>
                <w:color w:val="000000"/>
                <w:sz w:val="15"/>
                <w:szCs w:val="15"/>
              </w:rPr>
              <w:t>Supplemental leverage ratio</w:t>
            </w:r>
          </w:p>
        </w:tc>
        <w:tc>
          <w:tcPr>
            <w:tcW w:w="0" w:type="auto"/>
            <w:gridSpan w:val="2"/>
            <w:shd w:val="clear" w:color="auto" w:fill="CCEEFF"/>
            <w:tcMar>
              <w:top w:w="40" w:type="dxa"/>
              <w:left w:w="20" w:type="dxa"/>
              <w:bottom w:w="40" w:type="dxa"/>
              <w:right w:w="0" w:type="dxa"/>
            </w:tcMar>
            <w:vAlign w:val="center"/>
          </w:tcPr>
          <w:p w14:paraId="5EA21440" w14:textId="77777777" w:rsidR="003C66EB" w:rsidRDefault="00D96C4E">
            <w:pPr>
              <w:jc w:val="right"/>
              <w:textAlignment w:val="center"/>
            </w:pPr>
            <w:r>
              <w:rPr>
                <w:rFonts w:ascii="Arial" w:eastAsia="宋体" w:hAnsi="Arial" w:cs="Arial"/>
                <w:b/>
                <w:bCs/>
                <w:color w:val="000000"/>
                <w:sz w:val="15"/>
                <w:szCs w:val="15"/>
              </w:rPr>
              <w:t>12,616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4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443" w14:textId="77777777" w:rsidR="003C66EB" w:rsidRDefault="00D96C4E">
            <w:pPr>
              <w:jc w:val="right"/>
              <w:textAlignment w:val="center"/>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4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4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446" w14:textId="77777777" w:rsidR="003C66EB" w:rsidRDefault="00D96C4E">
            <w:pPr>
              <w:jc w:val="right"/>
              <w:textAlignment w:val="center"/>
            </w:pPr>
            <w:r>
              <w:rPr>
                <w:rFonts w:ascii="Arial" w:eastAsia="宋体" w:hAnsi="Arial" w:cs="Arial"/>
                <w:b/>
                <w:bCs/>
                <w:color w:val="000000"/>
                <w:sz w:val="15"/>
                <w:szCs w:val="15"/>
              </w:rPr>
              <w:t>9,624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4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449" w14:textId="77777777" w:rsidR="003C66EB" w:rsidRDefault="00D96C4E">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A2144A" w14:textId="77777777" w:rsidR="003C66EB" w:rsidRDefault="003C66EB">
            <w:pPr>
              <w:jc w:val="right"/>
              <w:rPr>
                <w:rFonts w:ascii="宋体"/>
              </w:rPr>
            </w:pPr>
          </w:p>
        </w:tc>
      </w:tr>
    </w:tbl>
    <w:p w14:paraId="5EA2144C" w14:textId="77777777" w:rsidR="003C66EB" w:rsidRDefault="00D96C4E">
      <w:pPr>
        <w:ind w:firstLine="450"/>
        <w:jc w:val="right"/>
      </w:pPr>
      <w:r>
        <w:rPr>
          <w:rFonts w:ascii="Arial" w:eastAsia="宋体" w:hAnsi="Arial" w:cs="Arial"/>
          <w:color w:val="000000"/>
          <w:sz w:val="18"/>
          <w:szCs w:val="18"/>
        </w:rPr>
        <w:t>State Street Corporation | 42</w:t>
      </w:r>
    </w:p>
    <w:p w14:paraId="5EA2144D" w14:textId="77777777" w:rsidR="003C66EB" w:rsidRDefault="003C66EB">
      <w:pPr>
        <w:ind w:firstLine="450"/>
        <w:jc w:val="center"/>
      </w:pPr>
    </w:p>
    <w:p w14:paraId="5EA2144E" w14:textId="77777777" w:rsidR="003C66EB" w:rsidRDefault="00D96C4E">
      <w:r>
        <w:pict w14:anchorId="5EA287DA">
          <v:rect id="_x0000_i1066" style="width:415.3pt;height:1.5pt" o:hralign="center" o:hrstd="t" o:hr="t" fillcolor="#a0a0a0" stroked="f"/>
        </w:pict>
      </w:r>
    </w:p>
    <w:p w14:paraId="5EA2144F"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1450" w14:textId="77777777" w:rsidR="003C66EB" w:rsidRDefault="00D96C4E">
      <w:pPr>
        <w:ind w:firstLine="450"/>
        <w:jc w:val="center"/>
      </w:pPr>
      <w:r>
        <w:rPr>
          <w:rFonts w:ascii="Arial" w:eastAsia="宋体" w:hAnsi="Arial" w:cs="Arial"/>
          <w:b/>
          <w:bCs/>
          <w:color w:val="000000"/>
          <w:sz w:val="20"/>
          <w:szCs w:val="20"/>
        </w:rPr>
        <w:t>AND RESULTS OF OPERATIONS</w:t>
      </w:r>
    </w:p>
    <w:p w14:paraId="5EA21451" w14:textId="77777777" w:rsidR="003C66EB" w:rsidRDefault="00D96C4E">
      <w:pPr>
        <w:spacing w:before="60"/>
        <w:jc w:val="both"/>
        <w:textAlignment w:val="top"/>
      </w:pPr>
      <w:r>
        <w:rPr>
          <w:rFonts w:ascii="Arial" w:eastAsia="宋体" w:hAnsi="Arial" w:cs="Arial"/>
          <w:b/>
          <w:bCs/>
          <w:i/>
          <w:iCs/>
          <w:color w:val="000000"/>
          <w:sz w:val="20"/>
          <w:szCs w:val="20"/>
        </w:rPr>
        <w:t>Regulatory Developments</w:t>
      </w:r>
    </w:p>
    <w:p w14:paraId="5EA21452" w14:textId="77777777" w:rsidR="003C66EB" w:rsidRDefault="00D96C4E">
      <w:pPr>
        <w:spacing w:before="60"/>
        <w:ind w:firstLine="450"/>
        <w:jc w:val="both"/>
        <w:textAlignment w:val="top"/>
      </w:pPr>
      <w:r>
        <w:rPr>
          <w:rFonts w:ascii="Arial" w:eastAsia="宋体" w:hAnsi="Arial" w:cs="Arial"/>
          <w:color w:val="000000"/>
          <w:sz w:val="20"/>
          <w:szCs w:val="20"/>
        </w:rPr>
        <w:t xml:space="preserve">In April 2018, the Federal Reserve issued a proposed rule which would replace </w:t>
      </w:r>
      <w:r>
        <w:rPr>
          <w:rFonts w:ascii="Arial" w:eastAsia="宋体" w:hAnsi="Arial" w:cs="Arial"/>
          <w:color w:val="000000"/>
          <w:sz w:val="20"/>
          <w:szCs w:val="20"/>
        </w:rPr>
        <w:t>the current 2.0% SLR buffer for G-SIBs, with a buffer equal to 50% of their G-SIB surcharge. This proposal would also make conforming modifications to our TLAC and eligible LTD requirements applicable to G-SIBs. At this point in time, it is unclear whether</w:t>
      </w:r>
      <w:r>
        <w:rPr>
          <w:rFonts w:ascii="Arial" w:eastAsia="宋体" w:hAnsi="Arial" w:cs="Arial"/>
          <w:color w:val="000000"/>
          <w:sz w:val="20"/>
          <w:szCs w:val="20"/>
        </w:rPr>
        <w:t xml:space="preserve"> this proposal will be implemented as proposed.</w:t>
      </w:r>
    </w:p>
    <w:p w14:paraId="5EA21453" w14:textId="77777777" w:rsidR="003C66EB" w:rsidRDefault="00D96C4E">
      <w:pPr>
        <w:spacing w:before="60"/>
        <w:ind w:firstLine="450"/>
        <w:jc w:val="both"/>
        <w:textAlignment w:val="top"/>
      </w:pPr>
      <w:r>
        <w:rPr>
          <w:rFonts w:ascii="Arial" w:eastAsia="宋体" w:hAnsi="Arial" w:cs="Arial"/>
          <w:color w:val="000000"/>
          <w:sz w:val="20"/>
          <w:szCs w:val="20"/>
        </w:rPr>
        <w:t>In November 2019, the Federal Reserve and other U.S. federal banking agencies issued a final rule to implement the Standardized Approach for Counterparty Credit Risk (SA-CCR) as a replacement of the Current E</w:t>
      </w:r>
      <w:r>
        <w:rPr>
          <w:rFonts w:ascii="Arial" w:eastAsia="宋体" w:hAnsi="Arial" w:cs="Arial"/>
          <w:color w:val="000000"/>
          <w:sz w:val="20"/>
          <w:szCs w:val="20"/>
        </w:rPr>
        <w:t>xposure Method for calculating exposure-at-default of derivatives exposures. Mandatory compliance with the final rule is required by January 1, 2022.</w:t>
      </w:r>
    </w:p>
    <w:p w14:paraId="5EA21454" w14:textId="77777777" w:rsidR="003C66EB" w:rsidRDefault="00D96C4E">
      <w:pPr>
        <w:spacing w:before="60"/>
        <w:ind w:firstLine="450"/>
        <w:jc w:val="both"/>
        <w:textAlignment w:val="top"/>
      </w:pPr>
      <w:r>
        <w:rPr>
          <w:rFonts w:ascii="Arial" w:eastAsia="宋体" w:hAnsi="Arial" w:cs="Arial"/>
          <w:color w:val="000000"/>
          <w:sz w:val="20"/>
          <w:szCs w:val="20"/>
        </w:rPr>
        <w:t>On March 4, 2020, U.S. federal banking agencies issued the SCB final rule that replaces, under the standar</w:t>
      </w:r>
      <w:r>
        <w:rPr>
          <w:rFonts w:ascii="Arial" w:eastAsia="宋体" w:hAnsi="Arial" w:cs="Arial"/>
          <w:color w:val="000000"/>
          <w:sz w:val="20"/>
          <w:szCs w:val="20"/>
        </w:rPr>
        <w:t>dized approach, the capital conservation buffer (2.5%) with a SCB calculated as the difference between an institution’s starting and lowest projected CET1 ratio under the CCAR severely adverse scenario plus planned common stock dividend payments (as a perc</w:t>
      </w:r>
      <w:r>
        <w:rPr>
          <w:rFonts w:ascii="Arial" w:eastAsia="宋体" w:hAnsi="Arial" w:cs="Arial"/>
          <w:color w:val="000000"/>
          <w:sz w:val="20"/>
          <w:szCs w:val="20"/>
        </w:rPr>
        <w:t>entage of RWA) from the fourth through seventh quarter of the CCAR planning horizon. The SCB requirement, which became effective October 1, 2020, can be no less than 2.5% of RWA.</w:t>
      </w:r>
    </w:p>
    <w:p w14:paraId="5EA21455" w14:textId="77777777" w:rsidR="003C66EB" w:rsidRDefault="00D96C4E">
      <w:pPr>
        <w:spacing w:before="60"/>
        <w:ind w:firstLine="450"/>
        <w:jc w:val="both"/>
        <w:textAlignment w:val="top"/>
      </w:pPr>
      <w:r>
        <w:rPr>
          <w:rFonts w:ascii="Arial" w:eastAsia="宋体" w:hAnsi="Arial" w:cs="Arial"/>
          <w:color w:val="000000"/>
          <w:sz w:val="20"/>
          <w:szCs w:val="20"/>
        </w:rPr>
        <w:t>The Federal Reserve and other U.S. federal banking agencies issued an interim</w:t>
      </w:r>
      <w:r>
        <w:rPr>
          <w:rFonts w:ascii="Arial" w:eastAsia="宋体" w:hAnsi="Arial" w:cs="Arial"/>
          <w:color w:val="000000"/>
          <w:sz w:val="20"/>
          <w:szCs w:val="20"/>
        </w:rPr>
        <w:t xml:space="preserve"> final rule effective in March 2020 and later finalized on a permanent basis on August 26, 2020, which revised the definition of eligible retained income for all U.S. banking organizations. The revised definition of eligible retained income makes any autom</w:t>
      </w:r>
      <w:r>
        <w:rPr>
          <w:rFonts w:ascii="Arial" w:eastAsia="宋体" w:hAnsi="Arial" w:cs="Arial"/>
          <w:color w:val="000000"/>
          <w:sz w:val="20"/>
          <w:szCs w:val="20"/>
        </w:rPr>
        <w:t>atic limitations on capital distributions, where a banking organization's regulatory ratios were to decline below the respective minimum requirements, take effect on a more gradual basis.</w:t>
      </w:r>
    </w:p>
    <w:p w14:paraId="5EA21456" w14:textId="77777777" w:rsidR="003C66EB" w:rsidRDefault="00D96C4E">
      <w:pPr>
        <w:spacing w:before="60"/>
        <w:ind w:firstLine="450"/>
        <w:jc w:val="both"/>
        <w:textAlignment w:val="top"/>
      </w:pPr>
      <w:r>
        <w:rPr>
          <w:rFonts w:ascii="Arial" w:eastAsia="宋体" w:hAnsi="Arial" w:cs="Arial"/>
          <w:color w:val="000000"/>
          <w:sz w:val="20"/>
          <w:szCs w:val="20"/>
        </w:rPr>
        <w:t>Following the launch of the MMLF program, which we participate in, t</w:t>
      </w:r>
      <w:r>
        <w:rPr>
          <w:rFonts w:ascii="Arial" w:eastAsia="宋体" w:hAnsi="Arial" w:cs="Arial"/>
          <w:color w:val="000000"/>
          <w:sz w:val="20"/>
          <w:szCs w:val="20"/>
        </w:rPr>
        <w:t>he Federal Reserve issued an interim final rule on March 19, 2020 (followed by a final rule on September 29, 2020), allowing Bank Holding Companies (BHCs) to exclude assets purchased with the MMLF program from their RWA, total leverage exposure and average</w:t>
      </w:r>
      <w:r>
        <w:rPr>
          <w:rFonts w:ascii="Arial" w:eastAsia="宋体" w:hAnsi="Arial" w:cs="Arial"/>
          <w:color w:val="000000"/>
          <w:sz w:val="20"/>
          <w:szCs w:val="20"/>
        </w:rPr>
        <w:t xml:space="preserve"> total consolidated assets. For the quarter ended March 31, 2021, we deducted $1.3 billion of MMLF program average HTM securities. No new credit extensions will be made after March 31, 2021, unless the Federal Reserve and the Department of the Treasury ext</w:t>
      </w:r>
      <w:r>
        <w:rPr>
          <w:rFonts w:ascii="Arial" w:eastAsia="宋体" w:hAnsi="Arial" w:cs="Arial"/>
          <w:color w:val="000000"/>
          <w:sz w:val="20"/>
          <w:szCs w:val="20"/>
        </w:rPr>
        <w:t xml:space="preserve">end the program. </w:t>
      </w:r>
    </w:p>
    <w:p w14:paraId="5EA21457" w14:textId="77777777" w:rsidR="003C66EB" w:rsidRDefault="00D96C4E">
      <w:pPr>
        <w:spacing w:before="60"/>
        <w:ind w:firstLine="450"/>
        <w:jc w:val="both"/>
        <w:textAlignment w:val="top"/>
      </w:pPr>
      <w:r>
        <w:rPr>
          <w:rFonts w:ascii="Arial" w:eastAsia="宋体" w:hAnsi="Arial" w:cs="Arial"/>
          <w:color w:val="000000"/>
          <w:sz w:val="20"/>
          <w:szCs w:val="20"/>
        </w:rPr>
        <w:t xml:space="preserve">On March 27, 2020, the BCBS announced the deferral of the implementation of the revisions to the </w:t>
      </w:r>
    </w:p>
    <w:p w14:paraId="5EA21458" w14:textId="77777777" w:rsidR="003C66EB" w:rsidRDefault="00D96C4E">
      <w:pPr>
        <w:spacing w:before="60"/>
        <w:jc w:val="both"/>
        <w:textAlignment w:val="top"/>
      </w:pPr>
      <w:r>
        <w:rPr>
          <w:rFonts w:ascii="Arial" w:eastAsia="宋体" w:hAnsi="Arial" w:cs="Arial"/>
          <w:color w:val="000000"/>
          <w:sz w:val="20"/>
          <w:szCs w:val="20"/>
        </w:rPr>
        <w:t>Basel III framework to January 1, 2023. As of now, the U.S. federal banking agencies have not formally proposed the implementation of the BC</w:t>
      </w:r>
      <w:r>
        <w:rPr>
          <w:rFonts w:ascii="Arial" w:eastAsia="宋体" w:hAnsi="Arial" w:cs="Arial"/>
          <w:color w:val="000000"/>
          <w:sz w:val="20"/>
          <w:szCs w:val="20"/>
        </w:rPr>
        <w:t>BS revisions.</w:t>
      </w:r>
    </w:p>
    <w:p w14:paraId="5EA21459" w14:textId="77777777" w:rsidR="003C66EB" w:rsidRDefault="00D96C4E">
      <w:pPr>
        <w:spacing w:before="60"/>
        <w:ind w:firstLine="450"/>
        <w:jc w:val="both"/>
        <w:textAlignment w:val="top"/>
      </w:pPr>
      <w:r>
        <w:rPr>
          <w:rFonts w:ascii="Arial" w:eastAsia="宋体" w:hAnsi="Arial" w:cs="Arial"/>
          <w:color w:val="000000"/>
          <w:sz w:val="20"/>
          <w:szCs w:val="20"/>
        </w:rPr>
        <w:t>Effective April 1, 2020, the Federal Reserve and other U.S. federal banking agencies adopted a final rule as part of EGRRCPA that establishes a deduction for qualifying central bank deposits from a custodial banking organization’s total lever</w:t>
      </w:r>
      <w:r>
        <w:rPr>
          <w:rFonts w:ascii="Arial" w:eastAsia="宋体" w:hAnsi="Arial" w:cs="Arial"/>
          <w:color w:val="000000"/>
          <w:sz w:val="20"/>
          <w:szCs w:val="20"/>
        </w:rPr>
        <w:t>age exposure equal to the lesser of (i) the total amount of funds the custodial banking organization and its consolidated subsidiaries have on deposit at qualifying central banks and (ii) the total amount of client funds on deposit at the custodial banking</w:t>
      </w:r>
      <w:r>
        <w:rPr>
          <w:rFonts w:ascii="Arial" w:eastAsia="宋体" w:hAnsi="Arial" w:cs="Arial"/>
          <w:color w:val="000000"/>
          <w:sz w:val="20"/>
          <w:szCs w:val="20"/>
        </w:rPr>
        <w:t xml:space="preserve"> organization that are linked to fiduciary or custodial and safekeeping accounts. For the quarter ended March 31, 2021, we deducted $92.6 billion of average balances held on deposit at central banks from the denominator used in the calculation of our SLR, </w:t>
      </w:r>
      <w:r>
        <w:rPr>
          <w:rFonts w:ascii="Arial" w:eastAsia="宋体" w:hAnsi="Arial" w:cs="Arial"/>
          <w:color w:val="000000"/>
          <w:sz w:val="20"/>
          <w:szCs w:val="20"/>
        </w:rPr>
        <w:t>based on this custodial banking deduction.</w:t>
      </w:r>
    </w:p>
    <w:p w14:paraId="5EA2145A" w14:textId="77777777" w:rsidR="003C66EB" w:rsidRDefault="00D96C4E">
      <w:pPr>
        <w:spacing w:before="60"/>
        <w:ind w:firstLine="450"/>
        <w:jc w:val="both"/>
        <w:textAlignment w:val="top"/>
      </w:pPr>
      <w:r>
        <w:rPr>
          <w:rFonts w:ascii="Arial" w:eastAsia="宋体" w:hAnsi="Arial" w:cs="Arial"/>
          <w:color w:val="000000"/>
          <w:sz w:val="20"/>
          <w:szCs w:val="20"/>
        </w:rPr>
        <w:t>In addition to the regulatory relief granted to custodial banks under the EGRRCPA, an SLR interim final rule released on April 1, 2020 allows all BHCs to deduct their deposits at Federal Reserve Banks and their in</w:t>
      </w:r>
      <w:r>
        <w:rPr>
          <w:rFonts w:ascii="Arial" w:eastAsia="宋体" w:hAnsi="Arial" w:cs="Arial"/>
          <w:color w:val="000000"/>
          <w:sz w:val="20"/>
          <w:szCs w:val="20"/>
        </w:rPr>
        <w:t>vestments in U.S. Treasuries from their total leverage exposure on a temporary basis, from the second quarter of 2020 through the first quarter of 2021. The temporary deduction of our investment in U.S. Treasuries is incremental to the existing central ban</w:t>
      </w:r>
      <w:r>
        <w:rPr>
          <w:rFonts w:ascii="Arial" w:eastAsia="宋体" w:hAnsi="Arial" w:cs="Arial"/>
          <w:color w:val="000000"/>
          <w:sz w:val="20"/>
          <w:szCs w:val="20"/>
        </w:rPr>
        <w:t>k placement deduction granted to custodian banks under EGRRCPA. For the quarter ended March 31, 2021, we deducted $12.8 billion invested in U.S. Treasuries from our total leverage exposure.</w:t>
      </w:r>
    </w:p>
    <w:p w14:paraId="5EA2145B" w14:textId="77777777" w:rsidR="003C66EB" w:rsidRDefault="00D96C4E">
      <w:pPr>
        <w:spacing w:before="60"/>
        <w:ind w:firstLine="450"/>
        <w:jc w:val="both"/>
        <w:textAlignment w:val="top"/>
      </w:pPr>
      <w:r>
        <w:rPr>
          <w:rFonts w:ascii="Arial" w:eastAsia="宋体" w:hAnsi="Arial" w:cs="Arial"/>
          <w:color w:val="000000"/>
          <w:sz w:val="20"/>
          <w:szCs w:val="20"/>
        </w:rPr>
        <w:t>On May 15, 2020, the U.S. federal banking agencies released an int</w:t>
      </w:r>
      <w:r>
        <w:rPr>
          <w:rFonts w:ascii="Arial" w:eastAsia="宋体" w:hAnsi="Arial" w:cs="Arial"/>
          <w:color w:val="000000"/>
          <w:sz w:val="20"/>
          <w:szCs w:val="20"/>
        </w:rPr>
        <w:t>erim final rule that also permits insured depository institution subsidiaries of BHCs to temporarily exclude deposits at Federal Reserve Banks and investments in U.S. Treasuries from their total leverage exposure, subject to certain conditions. State Stree</w:t>
      </w:r>
      <w:r>
        <w:rPr>
          <w:rFonts w:ascii="Arial" w:eastAsia="宋体" w:hAnsi="Arial" w:cs="Arial"/>
          <w:color w:val="000000"/>
          <w:sz w:val="20"/>
          <w:szCs w:val="20"/>
        </w:rPr>
        <w:t>t Bank has elected not to apply such exclusions as of March 31, 2021.</w:t>
      </w:r>
    </w:p>
    <w:p w14:paraId="5EA2145C" w14:textId="77777777" w:rsidR="003C66EB" w:rsidRDefault="00D96C4E">
      <w:pPr>
        <w:spacing w:before="60"/>
        <w:ind w:firstLine="450"/>
        <w:jc w:val="both"/>
        <w:textAlignment w:val="top"/>
      </w:pPr>
      <w:r>
        <w:rPr>
          <w:rFonts w:ascii="Arial" w:eastAsia="宋体" w:hAnsi="Arial" w:cs="Arial"/>
          <w:color w:val="000000"/>
          <w:sz w:val="20"/>
          <w:szCs w:val="20"/>
        </w:rPr>
        <w:t xml:space="preserve">On June 25, 2020, we were notified by the Federal Reserve of the results from the 2020 DFAST stress test, including our preliminary SCB of 2.5% and on August 10, 2020, the Federal </w:t>
      </w:r>
      <w:r>
        <w:rPr>
          <w:rFonts w:ascii="Arial" w:eastAsia="宋体" w:hAnsi="Arial" w:cs="Arial"/>
          <w:color w:val="000000"/>
          <w:sz w:val="20"/>
          <w:szCs w:val="20"/>
        </w:rPr>
        <w:t>Reserve confirmed that our SCB is 2.5% for the period starting on October 1, 2020 and ending on September 30, 2021. Additionally, included in this notification and in light of the considerable economic uncertainty created by the COVID-19 pandemic, all part</w:t>
      </w:r>
      <w:r>
        <w:rPr>
          <w:rFonts w:ascii="Arial" w:eastAsia="宋体" w:hAnsi="Arial" w:cs="Arial"/>
          <w:color w:val="000000"/>
          <w:sz w:val="20"/>
          <w:szCs w:val="20"/>
        </w:rPr>
        <w:t>icipating CCAR banking organizations were required to resubmit their capital plans by November 2, 2020, based on updated scenarios provided by the Federal Reserve on September 17, 2020.</w:t>
      </w:r>
    </w:p>
    <w:p w14:paraId="5EA2145D" w14:textId="77777777" w:rsidR="003C66EB" w:rsidRDefault="00D96C4E">
      <w:pPr>
        <w:ind w:firstLine="450"/>
        <w:jc w:val="right"/>
      </w:pPr>
      <w:r>
        <w:rPr>
          <w:rFonts w:ascii="Arial" w:eastAsia="宋体" w:hAnsi="Arial" w:cs="Arial"/>
          <w:color w:val="000000"/>
          <w:sz w:val="18"/>
          <w:szCs w:val="18"/>
        </w:rPr>
        <w:t>State Street Corporation | 43</w:t>
      </w:r>
    </w:p>
    <w:p w14:paraId="5EA2145E" w14:textId="77777777" w:rsidR="003C66EB" w:rsidRDefault="003C66EB">
      <w:pPr>
        <w:ind w:firstLine="450"/>
        <w:jc w:val="center"/>
      </w:pPr>
    </w:p>
    <w:p w14:paraId="5EA2145F" w14:textId="77777777" w:rsidR="003C66EB" w:rsidRDefault="00D96C4E">
      <w:r>
        <w:pict w14:anchorId="5EA287DB">
          <v:rect id="_x0000_i1067" style="width:415.3pt;height:1.5pt" o:hralign="center" o:hrstd="t" o:hr="t" fillcolor="#a0a0a0" stroked="f"/>
        </w:pict>
      </w:r>
    </w:p>
    <w:p w14:paraId="5EA21460" w14:textId="77777777" w:rsidR="003C66EB" w:rsidRDefault="00D96C4E">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EA21461" w14:textId="77777777" w:rsidR="003C66EB" w:rsidRDefault="00D96C4E">
      <w:pPr>
        <w:ind w:firstLine="450"/>
        <w:jc w:val="center"/>
      </w:pPr>
      <w:r>
        <w:rPr>
          <w:rFonts w:ascii="Arial" w:eastAsia="宋体" w:hAnsi="Arial" w:cs="Arial"/>
          <w:b/>
          <w:bCs/>
          <w:color w:val="000000"/>
          <w:sz w:val="20"/>
          <w:szCs w:val="20"/>
        </w:rPr>
        <w:t>AND RESULTS OF OPERATIONS</w:t>
      </w:r>
    </w:p>
    <w:p w14:paraId="5EA21462" w14:textId="77777777" w:rsidR="003C66EB" w:rsidRDefault="00D96C4E">
      <w:pPr>
        <w:spacing w:before="60"/>
        <w:ind w:firstLine="450"/>
        <w:jc w:val="both"/>
      </w:pPr>
      <w:r>
        <w:rPr>
          <w:rFonts w:ascii="Arial" w:eastAsia="宋体" w:hAnsi="Arial" w:cs="Arial"/>
          <w:color w:val="000000"/>
          <w:sz w:val="20"/>
          <w:szCs w:val="20"/>
        </w:rPr>
        <w:t>In line with the decision to administer a new stress test, the Federal Reserve decided to limit the ability of all CCAR banking organizations to make capital distributions in the third and fourth qu</w:t>
      </w:r>
      <w:r>
        <w:rPr>
          <w:rFonts w:ascii="Arial" w:eastAsia="宋体" w:hAnsi="Arial" w:cs="Arial"/>
          <w:color w:val="000000"/>
          <w:sz w:val="20"/>
          <w:szCs w:val="20"/>
        </w:rPr>
        <w:t>arters of 2020, although banking organizations were permitted to pay common stock dividends at previous levels provided such distributions did not exceed an amount determined by a formula based on the banking organization's recent income. As a result, CCAR</w:t>
      </w:r>
      <w:r>
        <w:rPr>
          <w:rFonts w:ascii="Arial" w:eastAsia="宋体" w:hAnsi="Arial" w:cs="Arial"/>
          <w:color w:val="000000"/>
          <w:sz w:val="20"/>
          <w:szCs w:val="20"/>
        </w:rPr>
        <w:t xml:space="preserve"> banking organizations, including us, were not permitted to return capital to shareholders in the form of common share repurchases during the third quarter and fourth quarter of 2020.</w:t>
      </w:r>
    </w:p>
    <w:p w14:paraId="5EA21463" w14:textId="77777777" w:rsidR="003C66EB" w:rsidRDefault="00D96C4E">
      <w:pPr>
        <w:spacing w:before="60"/>
        <w:ind w:firstLine="450"/>
        <w:jc w:val="both"/>
      </w:pPr>
      <w:r>
        <w:rPr>
          <w:rFonts w:ascii="Arial" w:eastAsia="宋体" w:hAnsi="Arial" w:cs="Arial"/>
          <w:color w:val="000000"/>
          <w:sz w:val="20"/>
          <w:szCs w:val="20"/>
        </w:rPr>
        <w:t xml:space="preserve">On October 20, 2020, the Federal Reserve and other U.S. federal banking </w:t>
      </w:r>
      <w:r>
        <w:rPr>
          <w:rFonts w:ascii="Arial" w:eastAsia="宋体" w:hAnsi="Arial" w:cs="Arial"/>
          <w:color w:val="000000"/>
          <w:sz w:val="20"/>
          <w:szCs w:val="20"/>
        </w:rPr>
        <w:t>agencies issued a final rule that will require us and State Street Bank to make certain deductions from regulatory capital for investments in certain unsecured debt instruments, including eligible LTD under the TLAC rule, issued by the Parent Company and o</w:t>
      </w:r>
      <w:r>
        <w:rPr>
          <w:rFonts w:ascii="Arial" w:eastAsia="宋体" w:hAnsi="Arial" w:cs="Arial"/>
          <w:color w:val="000000"/>
          <w:sz w:val="20"/>
          <w:szCs w:val="20"/>
        </w:rPr>
        <w:t>ther U.S. and foreign G-SIBs. The final rule will become effective on April 1, 2021.</w:t>
      </w:r>
    </w:p>
    <w:p w14:paraId="5EA21464" w14:textId="77777777" w:rsidR="003C66EB" w:rsidRDefault="00D96C4E">
      <w:pPr>
        <w:spacing w:before="60"/>
        <w:ind w:firstLine="450"/>
        <w:jc w:val="both"/>
      </w:pPr>
      <w:r>
        <w:rPr>
          <w:rFonts w:ascii="Arial" w:eastAsia="宋体" w:hAnsi="Arial" w:cs="Arial"/>
          <w:color w:val="000000"/>
          <w:sz w:val="20"/>
          <w:szCs w:val="20"/>
        </w:rPr>
        <w:t>On December 18, 2020, following the release of a second round of stress test results for 2020, the Federal Reserve decided to modify the applicable restrictions on capital</w:t>
      </w:r>
      <w:r>
        <w:rPr>
          <w:rFonts w:ascii="Arial" w:eastAsia="宋体" w:hAnsi="Arial" w:cs="Arial"/>
          <w:color w:val="000000"/>
          <w:sz w:val="20"/>
          <w:szCs w:val="20"/>
        </w:rPr>
        <w:t xml:space="preserve"> distributions for the first quarter of 2021. Provided that we do not increase the amount of our common stock dividends to be larger than the level paid in the second quarter of 2020, common stock dividends and share repurchases in the first quarter of 202</w:t>
      </w:r>
      <w:r>
        <w:rPr>
          <w:rFonts w:ascii="Arial" w:eastAsia="宋体" w:hAnsi="Arial" w:cs="Arial"/>
          <w:color w:val="000000"/>
          <w:sz w:val="20"/>
          <w:szCs w:val="20"/>
        </w:rPr>
        <w:t>1 were limited to the average of our net income for the four preceding quarters plus a number of shares equal to the share issuances in the quarter related to expensed employee compensation. On March 25, 2021, the Federal Reserve extended the aforementione</w:t>
      </w:r>
      <w:r>
        <w:rPr>
          <w:rFonts w:ascii="Arial" w:eastAsia="宋体" w:hAnsi="Arial" w:cs="Arial"/>
          <w:color w:val="000000"/>
          <w:sz w:val="20"/>
          <w:szCs w:val="20"/>
        </w:rPr>
        <w:t>d restrictions through the second quarter of 2021. As of now, our capital distributions in the third quarter of 2021 and beyond will be governed by our minimum capital requirements inclusive of the SCB that will not be recalibrated based on the stress test</w:t>
      </w:r>
      <w:r>
        <w:rPr>
          <w:rFonts w:ascii="Arial" w:eastAsia="宋体" w:hAnsi="Arial" w:cs="Arial"/>
          <w:color w:val="000000"/>
          <w:sz w:val="20"/>
          <w:szCs w:val="20"/>
        </w:rPr>
        <w:t xml:space="preserve"> results.</w:t>
      </w:r>
    </w:p>
    <w:p w14:paraId="5EA21465" w14:textId="77777777" w:rsidR="003C66EB" w:rsidRDefault="00D96C4E">
      <w:pPr>
        <w:spacing w:before="60"/>
        <w:ind w:firstLine="450"/>
        <w:jc w:val="both"/>
      </w:pPr>
      <w:r>
        <w:rPr>
          <w:rFonts w:ascii="Arial" w:eastAsia="宋体" w:hAnsi="Arial" w:cs="Arial"/>
          <w:color w:val="000000"/>
          <w:sz w:val="20"/>
          <w:szCs w:val="20"/>
        </w:rPr>
        <w:t>On March 19, 2021, the Federal Reserve confirmed that the temporary change to the SLR, allowing BHCs and insured depository institution subsidiaries of BHCs to deduct deposits at Federal Reserve Banks and investments in U.S. Treasuries from their</w:t>
      </w:r>
      <w:r>
        <w:rPr>
          <w:rFonts w:ascii="Arial" w:eastAsia="宋体" w:hAnsi="Arial" w:cs="Arial"/>
          <w:color w:val="000000"/>
          <w:sz w:val="20"/>
          <w:szCs w:val="20"/>
        </w:rPr>
        <w:t xml:space="preserve"> total leverage exposure, would expire on March 31, 2021.</w:t>
      </w:r>
    </w:p>
    <w:p w14:paraId="5EA21466" w14:textId="77777777" w:rsidR="003C66EB" w:rsidRDefault="00D96C4E">
      <w:pPr>
        <w:spacing w:before="60"/>
        <w:ind w:firstLine="450"/>
        <w:jc w:val="both"/>
      </w:pPr>
      <w:r>
        <w:rPr>
          <w:rFonts w:ascii="Arial" w:eastAsia="宋体" w:hAnsi="Arial" w:cs="Arial"/>
          <w:color w:val="000000"/>
          <w:sz w:val="20"/>
          <w:szCs w:val="20"/>
        </w:rPr>
        <w:t>For additional information about our capital, refer to pages 113 to 121 included under Item 7, Management's Discussion and Analysis of Financial Condition and Results of Operations, in our 2020 Form</w:t>
      </w:r>
      <w:r>
        <w:rPr>
          <w:rFonts w:ascii="Arial" w:eastAsia="宋体" w:hAnsi="Arial" w:cs="Arial"/>
          <w:color w:val="000000"/>
          <w:sz w:val="20"/>
          <w:szCs w:val="20"/>
        </w:rPr>
        <w:t xml:space="preserve"> 10-K. </w:t>
      </w:r>
    </w:p>
    <w:p w14:paraId="5EA21467" w14:textId="77777777" w:rsidR="003C66EB" w:rsidRDefault="00D96C4E">
      <w:pPr>
        <w:spacing w:before="60"/>
      </w:pPr>
      <w:r>
        <w:rPr>
          <w:rFonts w:ascii="Arial" w:eastAsia="宋体" w:hAnsi="Arial" w:cs="Arial"/>
          <w:b/>
          <w:bCs/>
          <w:i/>
          <w:iCs/>
          <w:color w:val="000000"/>
          <w:sz w:val="20"/>
          <w:szCs w:val="20"/>
        </w:rPr>
        <w:t>Capital Actions</w:t>
      </w:r>
    </w:p>
    <w:p w14:paraId="5EA21468" w14:textId="77777777" w:rsidR="003C66EB" w:rsidRDefault="00D96C4E">
      <w:pPr>
        <w:spacing w:before="60"/>
      </w:pPr>
      <w:r>
        <w:rPr>
          <w:rFonts w:ascii="Arial" w:eastAsia="宋体" w:hAnsi="Arial" w:cs="Arial"/>
          <w:i/>
          <w:iCs/>
          <w:color w:val="000000"/>
          <w:sz w:val="20"/>
          <w:szCs w:val="20"/>
        </w:rPr>
        <w:t>Preferred Stock</w:t>
      </w:r>
    </w:p>
    <w:p w14:paraId="5EA21469" w14:textId="77777777" w:rsidR="003C66EB" w:rsidRDefault="00D96C4E">
      <w:pPr>
        <w:spacing w:before="60"/>
        <w:ind w:firstLine="450"/>
        <w:jc w:val="both"/>
      </w:pPr>
      <w:r>
        <w:rPr>
          <w:rFonts w:ascii="Arial" w:eastAsia="宋体" w:hAnsi="Arial" w:cs="Arial"/>
          <w:color w:val="000000"/>
          <w:sz w:val="20"/>
          <w:szCs w:val="20"/>
        </w:rPr>
        <w:t>The following table summarizes selected terms of each of the series of the preferred stock issued and outstanding as of March 31, 2021:</w:t>
      </w:r>
    </w:p>
    <w:tbl>
      <w:tblPr>
        <w:tblW w:w="5000" w:type="pct"/>
        <w:tblCellMar>
          <w:top w:w="15" w:type="dxa"/>
          <w:left w:w="15" w:type="dxa"/>
          <w:bottom w:w="15" w:type="dxa"/>
          <w:right w:w="15" w:type="dxa"/>
        </w:tblCellMar>
        <w:tblLook w:val="04A0" w:firstRow="1" w:lastRow="0" w:firstColumn="1" w:lastColumn="0" w:noHBand="0" w:noVBand="1"/>
      </w:tblPr>
      <w:tblGrid>
        <w:gridCol w:w="88"/>
        <w:gridCol w:w="518"/>
        <w:gridCol w:w="36"/>
        <w:gridCol w:w="40"/>
        <w:gridCol w:w="33"/>
        <w:gridCol w:w="36"/>
        <w:gridCol w:w="64"/>
        <w:gridCol w:w="513"/>
        <w:gridCol w:w="37"/>
        <w:gridCol w:w="40"/>
        <w:gridCol w:w="33"/>
        <w:gridCol w:w="36"/>
        <w:gridCol w:w="81"/>
        <w:gridCol w:w="527"/>
        <w:gridCol w:w="36"/>
        <w:gridCol w:w="40"/>
        <w:gridCol w:w="33"/>
        <w:gridCol w:w="36"/>
        <w:gridCol w:w="81"/>
        <w:gridCol w:w="582"/>
        <w:gridCol w:w="35"/>
        <w:gridCol w:w="40"/>
        <w:gridCol w:w="31"/>
        <w:gridCol w:w="35"/>
        <w:gridCol w:w="79"/>
        <w:gridCol w:w="524"/>
        <w:gridCol w:w="35"/>
        <w:gridCol w:w="40"/>
        <w:gridCol w:w="31"/>
        <w:gridCol w:w="35"/>
        <w:gridCol w:w="80"/>
        <w:gridCol w:w="547"/>
        <w:gridCol w:w="35"/>
        <w:gridCol w:w="40"/>
        <w:gridCol w:w="31"/>
        <w:gridCol w:w="35"/>
        <w:gridCol w:w="79"/>
        <w:gridCol w:w="548"/>
        <w:gridCol w:w="35"/>
        <w:gridCol w:w="40"/>
        <w:gridCol w:w="31"/>
        <w:gridCol w:w="35"/>
        <w:gridCol w:w="62"/>
        <w:gridCol w:w="568"/>
        <w:gridCol w:w="36"/>
        <w:gridCol w:w="40"/>
        <w:gridCol w:w="31"/>
        <w:gridCol w:w="35"/>
        <w:gridCol w:w="92"/>
        <w:gridCol w:w="668"/>
        <w:gridCol w:w="36"/>
        <w:gridCol w:w="40"/>
        <w:gridCol w:w="31"/>
        <w:gridCol w:w="35"/>
        <w:gridCol w:w="84"/>
        <w:gridCol w:w="420"/>
        <w:gridCol w:w="36"/>
        <w:gridCol w:w="40"/>
        <w:gridCol w:w="31"/>
        <w:gridCol w:w="35"/>
        <w:gridCol w:w="80"/>
        <w:gridCol w:w="590"/>
        <w:gridCol w:w="35"/>
      </w:tblGrid>
      <w:tr w:rsidR="003C66EB" w14:paraId="5EA214A9" w14:textId="77777777">
        <w:tc>
          <w:tcPr>
            <w:tcW w:w="50" w:type="pct"/>
            <w:shd w:val="clear" w:color="auto" w:fill="auto"/>
          </w:tcPr>
          <w:p w14:paraId="5EA2146A" w14:textId="77777777" w:rsidR="003C66EB" w:rsidRDefault="003C66EB">
            <w:pPr>
              <w:rPr>
                <w:rFonts w:ascii="宋体"/>
              </w:rPr>
            </w:pPr>
          </w:p>
        </w:tc>
        <w:tc>
          <w:tcPr>
            <w:tcW w:w="310" w:type="pct"/>
            <w:shd w:val="clear" w:color="auto" w:fill="auto"/>
          </w:tcPr>
          <w:p w14:paraId="5EA2146B" w14:textId="77777777" w:rsidR="003C66EB" w:rsidRDefault="003C66EB">
            <w:pPr>
              <w:rPr>
                <w:rFonts w:ascii="宋体"/>
              </w:rPr>
            </w:pPr>
          </w:p>
        </w:tc>
        <w:tc>
          <w:tcPr>
            <w:tcW w:w="5" w:type="pct"/>
            <w:shd w:val="clear" w:color="auto" w:fill="auto"/>
          </w:tcPr>
          <w:p w14:paraId="5EA2146C" w14:textId="77777777" w:rsidR="003C66EB" w:rsidRDefault="003C66EB">
            <w:pPr>
              <w:rPr>
                <w:rFonts w:ascii="宋体"/>
              </w:rPr>
            </w:pPr>
          </w:p>
        </w:tc>
        <w:tc>
          <w:tcPr>
            <w:tcW w:w="5" w:type="pct"/>
            <w:shd w:val="clear" w:color="auto" w:fill="auto"/>
          </w:tcPr>
          <w:p w14:paraId="5EA2146D" w14:textId="77777777" w:rsidR="003C66EB" w:rsidRDefault="003C66EB">
            <w:pPr>
              <w:rPr>
                <w:rFonts w:ascii="宋体"/>
              </w:rPr>
            </w:pPr>
          </w:p>
        </w:tc>
        <w:tc>
          <w:tcPr>
            <w:tcW w:w="19" w:type="pct"/>
            <w:shd w:val="clear" w:color="auto" w:fill="auto"/>
          </w:tcPr>
          <w:p w14:paraId="5EA2146E" w14:textId="77777777" w:rsidR="003C66EB" w:rsidRDefault="003C66EB">
            <w:pPr>
              <w:rPr>
                <w:rFonts w:ascii="宋体"/>
              </w:rPr>
            </w:pPr>
          </w:p>
        </w:tc>
        <w:tc>
          <w:tcPr>
            <w:tcW w:w="5" w:type="pct"/>
            <w:shd w:val="clear" w:color="auto" w:fill="auto"/>
          </w:tcPr>
          <w:p w14:paraId="5EA2146F" w14:textId="77777777" w:rsidR="003C66EB" w:rsidRDefault="003C66EB">
            <w:pPr>
              <w:rPr>
                <w:rFonts w:ascii="宋体"/>
              </w:rPr>
            </w:pPr>
          </w:p>
        </w:tc>
        <w:tc>
          <w:tcPr>
            <w:tcW w:w="50" w:type="pct"/>
            <w:shd w:val="clear" w:color="auto" w:fill="auto"/>
          </w:tcPr>
          <w:p w14:paraId="5EA21470" w14:textId="77777777" w:rsidR="003C66EB" w:rsidRDefault="003C66EB">
            <w:pPr>
              <w:rPr>
                <w:rFonts w:ascii="宋体"/>
              </w:rPr>
            </w:pPr>
          </w:p>
        </w:tc>
        <w:tc>
          <w:tcPr>
            <w:tcW w:w="434" w:type="pct"/>
            <w:shd w:val="clear" w:color="auto" w:fill="auto"/>
          </w:tcPr>
          <w:p w14:paraId="5EA21471" w14:textId="77777777" w:rsidR="003C66EB" w:rsidRDefault="003C66EB">
            <w:pPr>
              <w:rPr>
                <w:rFonts w:ascii="宋体"/>
              </w:rPr>
            </w:pPr>
          </w:p>
        </w:tc>
        <w:tc>
          <w:tcPr>
            <w:tcW w:w="5" w:type="pct"/>
            <w:shd w:val="clear" w:color="auto" w:fill="auto"/>
          </w:tcPr>
          <w:p w14:paraId="5EA21472" w14:textId="77777777" w:rsidR="003C66EB" w:rsidRDefault="003C66EB">
            <w:pPr>
              <w:rPr>
                <w:rFonts w:ascii="宋体"/>
              </w:rPr>
            </w:pPr>
          </w:p>
        </w:tc>
        <w:tc>
          <w:tcPr>
            <w:tcW w:w="5" w:type="pct"/>
            <w:shd w:val="clear" w:color="auto" w:fill="auto"/>
          </w:tcPr>
          <w:p w14:paraId="5EA21473" w14:textId="77777777" w:rsidR="003C66EB" w:rsidRDefault="003C66EB">
            <w:pPr>
              <w:rPr>
                <w:rFonts w:ascii="宋体"/>
              </w:rPr>
            </w:pPr>
          </w:p>
        </w:tc>
        <w:tc>
          <w:tcPr>
            <w:tcW w:w="19" w:type="pct"/>
            <w:shd w:val="clear" w:color="auto" w:fill="auto"/>
          </w:tcPr>
          <w:p w14:paraId="5EA21474" w14:textId="77777777" w:rsidR="003C66EB" w:rsidRDefault="003C66EB">
            <w:pPr>
              <w:rPr>
                <w:rFonts w:ascii="宋体"/>
              </w:rPr>
            </w:pPr>
          </w:p>
        </w:tc>
        <w:tc>
          <w:tcPr>
            <w:tcW w:w="5" w:type="pct"/>
            <w:shd w:val="clear" w:color="auto" w:fill="auto"/>
          </w:tcPr>
          <w:p w14:paraId="5EA21475" w14:textId="77777777" w:rsidR="003C66EB" w:rsidRDefault="003C66EB">
            <w:pPr>
              <w:rPr>
                <w:rFonts w:ascii="宋体"/>
              </w:rPr>
            </w:pPr>
          </w:p>
        </w:tc>
        <w:tc>
          <w:tcPr>
            <w:tcW w:w="50" w:type="pct"/>
            <w:shd w:val="clear" w:color="auto" w:fill="auto"/>
          </w:tcPr>
          <w:p w14:paraId="5EA21476" w14:textId="77777777" w:rsidR="003C66EB" w:rsidRDefault="003C66EB">
            <w:pPr>
              <w:rPr>
                <w:rFonts w:ascii="宋体"/>
              </w:rPr>
            </w:pPr>
          </w:p>
        </w:tc>
        <w:tc>
          <w:tcPr>
            <w:tcW w:w="347" w:type="pct"/>
            <w:shd w:val="clear" w:color="auto" w:fill="auto"/>
          </w:tcPr>
          <w:p w14:paraId="5EA21477" w14:textId="77777777" w:rsidR="003C66EB" w:rsidRDefault="003C66EB">
            <w:pPr>
              <w:rPr>
                <w:rFonts w:ascii="宋体"/>
              </w:rPr>
            </w:pPr>
          </w:p>
        </w:tc>
        <w:tc>
          <w:tcPr>
            <w:tcW w:w="5" w:type="pct"/>
            <w:shd w:val="clear" w:color="auto" w:fill="auto"/>
          </w:tcPr>
          <w:p w14:paraId="5EA21478" w14:textId="77777777" w:rsidR="003C66EB" w:rsidRDefault="003C66EB">
            <w:pPr>
              <w:rPr>
                <w:rFonts w:ascii="宋体"/>
              </w:rPr>
            </w:pPr>
          </w:p>
        </w:tc>
        <w:tc>
          <w:tcPr>
            <w:tcW w:w="5" w:type="pct"/>
            <w:shd w:val="clear" w:color="auto" w:fill="auto"/>
          </w:tcPr>
          <w:p w14:paraId="5EA21479" w14:textId="77777777" w:rsidR="003C66EB" w:rsidRDefault="003C66EB">
            <w:pPr>
              <w:rPr>
                <w:rFonts w:ascii="宋体"/>
              </w:rPr>
            </w:pPr>
          </w:p>
        </w:tc>
        <w:tc>
          <w:tcPr>
            <w:tcW w:w="19" w:type="pct"/>
            <w:shd w:val="clear" w:color="auto" w:fill="auto"/>
          </w:tcPr>
          <w:p w14:paraId="5EA2147A" w14:textId="77777777" w:rsidR="003C66EB" w:rsidRDefault="003C66EB">
            <w:pPr>
              <w:rPr>
                <w:rFonts w:ascii="宋体"/>
              </w:rPr>
            </w:pPr>
          </w:p>
        </w:tc>
        <w:tc>
          <w:tcPr>
            <w:tcW w:w="5" w:type="pct"/>
            <w:shd w:val="clear" w:color="auto" w:fill="auto"/>
          </w:tcPr>
          <w:p w14:paraId="5EA2147B" w14:textId="77777777" w:rsidR="003C66EB" w:rsidRDefault="003C66EB">
            <w:pPr>
              <w:rPr>
                <w:rFonts w:ascii="宋体"/>
              </w:rPr>
            </w:pPr>
          </w:p>
        </w:tc>
        <w:tc>
          <w:tcPr>
            <w:tcW w:w="50" w:type="pct"/>
            <w:shd w:val="clear" w:color="auto" w:fill="auto"/>
          </w:tcPr>
          <w:p w14:paraId="5EA2147C" w14:textId="77777777" w:rsidR="003C66EB" w:rsidRDefault="003C66EB">
            <w:pPr>
              <w:rPr>
                <w:rFonts w:ascii="宋体"/>
              </w:rPr>
            </w:pPr>
          </w:p>
        </w:tc>
        <w:tc>
          <w:tcPr>
            <w:tcW w:w="376" w:type="pct"/>
            <w:shd w:val="clear" w:color="auto" w:fill="auto"/>
          </w:tcPr>
          <w:p w14:paraId="5EA2147D" w14:textId="77777777" w:rsidR="003C66EB" w:rsidRDefault="003C66EB">
            <w:pPr>
              <w:rPr>
                <w:rFonts w:ascii="宋体"/>
              </w:rPr>
            </w:pPr>
          </w:p>
        </w:tc>
        <w:tc>
          <w:tcPr>
            <w:tcW w:w="5" w:type="pct"/>
            <w:shd w:val="clear" w:color="auto" w:fill="auto"/>
          </w:tcPr>
          <w:p w14:paraId="5EA2147E" w14:textId="77777777" w:rsidR="003C66EB" w:rsidRDefault="003C66EB">
            <w:pPr>
              <w:rPr>
                <w:rFonts w:ascii="宋体"/>
              </w:rPr>
            </w:pPr>
          </w:p>
        </w:tc>
        <w:tc>
          <w:tcPr>
            <w:tcW w:w="5" w:type="pct"/>
            <w:shd w:val="clear" w:color="auto" w:fill="auto"/>
          </w:tcPr>
          <w:p w14:paraId="5EA2147F" w14:textId="77777777" w:rsidR="003C66EB" w:rsidRDefault="003C66EB">
            <w:pPr>
              <w:rPr>
                <w:rFonts w:ascii="宋体"/>
              </w:rPr>
            </w:pPr>
          </w:p>
        </w:tc>
        <w:tc>
          <w:tcPr>
            <w:tcW w:w="19" w:type="pct"/>
            <w:shd w:val="clear" w:color="auto" w:fill="auto"/>
          </w:tcPr>
          <w:p w14:paraId="5EA21480" w14:textId="77777777" w:rsidR="003C66EB" w:rsidRDefault="003C66EB">
            <w:pPr>
              <w:rPr>
                <w:rFonts w:ascii="宋体"/>
              </w:rPr>
            </w:pPr>
          </w:p>
        </w:tc>
        <w:tc>
          <w:tcPr>
            <w:tcW w:w="5" w:type="pct"/>
            <w:shd w:val="clear" w:color="auto" w:fill="auto"/>
          </w:tcPr>
          <w:p w14:paraId="5EA21481" w14:textId="77777777" w:rsidR="003C66EB" w:rsidRDefault="003C66EB">
            <w:pPr>
              <w:rPr>
                <w:rFonts w:ascii="宋体"/>
              </w:rPr>
            </w:pPr>
          </w:p>
        </w:tc>
        <w:tc>
          <w:tcPr>
            <w:tcW w:w="50" w:type="pct"/>
            <w:shd w:val="clear" w:color="auto" w:fill="auto"/>
          </w:tcPr>
          <w:p w14:paraId="5EA21482" w14:textId="77777777" w:rsidR="003C66EB" w:rsidRDefault="003C66EB">
            <w:pPr>
              <w:rPr>
                <w:rFonts w:ascii="宋体"/>
              </w:rPr>
            </w:pPr>
          </w:p>
        </w:tc>
        <w:tc>
          <w:tcPr>
            <w:tcW w:w="347" w:type="pct"/>
            <w:shd w:val="clear" w:color="auto" w:fill="auto"/>
          </w:tcPr>
          <w:p w14:paraId="5EA21483" w14:textId="77777777" w:rsidR="003C66EB" w:rsidRDefault="003C66EB">
            <w:pPr>
              <w:rPr>
                <w:rFonts w:ascii="宋体"/>
              </w:rPr>
            </w:pPr>
          </w:p>
        </w:tc>
        <w:tc>
          <w:tcPr>
            <w:tcW w:w="5" w:type="pct"/>
            <w:shd w:val="clear" w:color="auto" w:fill="auto"/>
          </w:tcPr>
          <w:p w14:paraId="5EA21484" w14:textId="77777777" w:rsidR="003C66EB" w:rsidRDefault="003C66EB">
            <w:pPr>
              <w:rPr>
                <w:rFonts w:ascii="宋体"/>
              </w:rPr>
            </w:pPr>
          </w:p>
        </w:tc>
        <w:tc>
          <w:tcPr>
            <w:tcW w:w="5" w:type="pct"/>
            <w:shd w:val="clear" w:color="auto" w:fill="auto"/>
          </w:tcPr>
          <w:p w14:paraId="5EA21485" w14:textId="77777777" w:rsidR="003C66EB" w:rsidRDefault="003C66EB">
            <w:pPr>
              <w:rPr>
                <w:rFonts w:ascii="宋体"/>
              </w:rPr>
            </w:pPr>
          </w:p>
        </w:tc>
        <w:tc>
          <w:tcPr>
            <w:tcW w:w="19" w:type="pct"/>
            <w:shd w:val="clear" w:color="auto" w:fill="auto"/>
          </w:tcPr>
          <w:p w14:paraId="5EA21486" w14:textId="77777777" w:rsidR="003C66EB" w:rsidRDefault="003C66EB">
            <w:pPr>
              <w:rPr>
                <w:rFonts w:ascii="宋体"/>
              </w:rPr>
            </w:pPr>
          </w:p>
        </w:tc>
        <w:tc>
          <w:tcPr>
            <w:tcW w:w="5" w:type="pct"/>
            <w:shd w:val="clear" w:color="auto" w:fill="auto"/>
          </w:tcPr>
          <w:p w14:paraId="5EA21487" w14:textId="77777777" w:rsidR="003C66EB" w:rsidRDefault="003C66EB">
            <w:pPr>
              <w:rPr>
                <w:rFonts w:ascii="宋体"/>
              </w:rPr>
            </w:pPr>
          </w:p>
        </w:tc>
        <w:tc>
          <w:tcPr>
            <w:tcW w:w="50" w:type="pct"/>
            <w:shd w:val="clear" w:color="auto" w:fill="auto"/>
          </w:tcPr>
          <w:p w14:paraId="5EA21488" w14:textId="77777777" w:rsidR="003C66EB" w:rsidRDefault="003C66EB">
            <w:pPr>
              <w:rPr>
                <w:rFonts w:ascii="宋体"/>
              </w:rPr>
            </w:pPr>
          </w:p>
        </w:tc>
        <w:tc>
          <w:tcPr>
            <w:tcW w:w="354" w:type="pct"/>
            <w:shd w:val="clear" w:color="auto" w:fill="auto"/>
          </w:tcPr>
          <w:p w14:paraId="5EA21489" w14:textId="77777777" w:rsidR="003C66EB" w:rsidRDefault="003C66EB">
            <w:pPr>
              <w:rPr>
                <w:rFonts w:ascii="宋体"/>
              </w:rPr>
            </w:pPr>
          </w:p>
        </w:tc>
        <w:tc>
          <w:tcPr>
            <w:tcW w:w="5" w:type="pct"/>
            <w:shd w:val="clear" w:color="auto" w:fill="auto"/>
          </w:tcPr>
          <w:p w14:paraId="5EA2148A" w14:textId="77777777" w:rsidR="003C66EB" w:rsidRDefault="003C66EB">
            <w:pPr>
              <w:rPr>
                <w:rFonts w:ascii="宋体"/>
              </w:rPr>
            </w:pPr>
          </w:p>
        </w:tc>
        <w:tc>
          <w:tcPr>
            <w:tcW w:w="5" w:type="pct"/>
            <w:shd w:val="clear" w:color="auto" w:fill="auto"/>
          </w:tcPr>
          <w:p w14:paraId="5EA2148B" w14:textId="77777777" w:rsidR="003C66EB" w:rsidRDefault="003C66EB">
            <w:pPr>
              <w:rPr>
                <w:rFonts w:ascii="宋体"/>
              </w:rPr>
            </w:pPr>
          </w:p>
        </w:tc>
        <w:tc>
          <w:tcPr>
            <w:tcW w:w="19" w:type="pct"/>
            <w:shd w:val="clear" w:color="auto" w:fill="auto"/>
          </w:tcPr>
          <w:p w14:paraId="5EA2148C" w14:textId="77777777" w:rsidR="003C66EB" w:rsidRDefault="003C66EB">
            <w:pPr>
              <w:rPr>
                <w:rFonts w:ascii="宋体"/>
              </w:rPr>
            </w:pPr>
          </w:p>
        </w:tc>
        <w:tc>
          <w:tcPr>
            <w:tcW w:w="5" w:type="pct"/>
            <w:shd w:val="clear" w:color="auto" w:fill="auto"/>
          </w:tcPr>
          <w:p w14:paraId="5EA2148D" w14:textId="77777777" w:rsidR="003C66EB" w:rsidRDefault="003C66EB">
            <w:pPr>
              <w:rPr>
                <w:rFonts w:ascii="宋体"/>
              </w:rPr>
            </w:pPr>
          </w:p>
        </w:tc>
        <w:tc>
          <w:tcPr>
            <w:tcW w:w="50" w:type="pct"/>
            <w:shd w:val="clear" w:color="auto" w:fill="auto"/>
          </w:tcPr>
          <w:p w14:paraId="5EA2148E" w14:textId="77777777" w:rsidR="003C66EB" w:rsidRDefault="003C66EB">
            <w:pPr>
              <w:rPr>
                <w:rFonts w:ascii="宋体"/>
              </w:rPr>
            </w:pPr>
          </w:p>
        </w:tc>
        <w:tc>
          <w:tcPr>
            <w:tcW w:w="361" w:type="pct"/>
            <w:shd w:val="clear" w:color="auto" w:fill="auto"/>
          </w:tcPr>
          <w:p w14:paraId="5EA2148F" w14:textId="77777777" w:rsidR="003C66EB" w:rsidRDefault="003C66EB">
            <w:pPr>
              <w:rPr>
                <w:rFonts w:ascii="宋体"/>
              </w:rPr>
            </w:pPr>
          </w:p>
        </w:tc>
        <w:tc>
          <w:tcPr>
            <w:tcW w:w="5" w:type="pct"/>
            <w:shd w:val="clear" w:color="auto" w:fill="auto"/>
          </w:tcPr>
          <w:p w14:paraId="5EA21490" w14:textId="77777777" w:rsidR="003C66EB" w:rsidRDefault="003C66EB">
            <w:pPr>
              <w:rPr>
                <w:rFonts w:ascii="宋体"/>
              </w:rPr>
            </w:pPr>
          </w:p>
        </w:tc>
        <w:tc>
          <w:tcPr>
            <w:tcW w:w="5" w:type="pct"/>
            <w:shd w:val="clear" w:color="auto" w:fill="auto"/>
          </w:tcPr>
          <w:p w14:paraId="5EA21491" w14:textId="77777777" w:rsidR="003C66EB" w:rsidRDefault="003C66EB">
            <w:pPr>
              <w:rPr>
                <w:rFonts w:ascii="宋体"/>
              </w:rPr>
            </w:pPr>
          </w:p>
        </w:tc>
        <w:tc>
          <w:tcPr>
            <w:tcW w:w="19" w:type="pct"/>
            <w:shd w:val="clear" w:color="auto" w:fill="auto"/>
          </w:tcPr>
          <w:p w14:paraId="5EA21492" w14:textId="77777777" w:rsidR="003C66EB" w:rsidRDefault="003C66EB">
            <w:pPr>
              <w:rPr>
                <w:rFonts w:ascii="宋体"/>
              </w:rPr>
            </w:pPr>
          </w:p>
        </w:tc>
        <w:tc>
          <w:tcPr>
            <w:tcW w:w="5" w:type="pct"/>
            <w:shd w:val="clear" w:color="auto" w:fill="auto"/>
          </w:tcPr>
          <w:p w14:paraId="5EA21493" w14:textId="77777777" w:rsidR="003C66EB" w:rsidRDefault="003C66EB">
            <w:pPr>
              <w:rPr>
                <w:rFonts w:ascii="宋体"/>
              </w:rPr>
            </w:pPr>
          </w:p>
        </w:tc>
        <w:tc>
          <w:tcPr>
            <w:tcW w:w="50" w:type="pct"/>
            <w:shd w:val="clear" w:color="auto" w:fill="auto"/>
          </w:tcPr>
          <w:p w14:paraId="5EA21494" w14:textId="77777777" w:rsidR="003C66EB" w:rsidRDefault="003C66EB">
            <w:pPr>
              <w:rPr>
                <w:rFonts w:ascii="宋体"/>
              </w:rPr>
            </w:pPr>
          </w:p>
        </w:tc>
        <w:tc>
          <w:tcPr>
            <w:tcW w:w="485" w:type="pct"/>
            <w:shd w:val="clear" w:color="auto" w:fill="auto"/>
          </w:tcPr>
          <w:p w14:paraId="5EA21495" w14:textId="77777777" w:rsidR="003C66EB" w:rsidRDefault="003C66EB">
            <w:pPr>
              <w:rPr>
                <w:rFonts w:ascii="宋体"/>
              </w:rPr>
            </w:pPr>
          </w:p>
        </w:tc>
        <w:tc>
          <w:tcPr>
            <w:tcW w:w="5" w:type="pct"/>
            <w:shd w:val="clear" w:color="auto" w:fill="auto"/>
          </w:tcPr>
          <w:p w14:paraId="5EA21496" w14:textId="77777777" w:rsidR="003C66EB" w:rsidRDefault="003C66EB">
            <w:pPr>
              <w:rPr>
                <w:rFonts w:ascii="宋体"/>
              </w:rPr>
            </w:pPr>
          </w:p>
        </w:tc>
        <w:tc>
          <w:tcPr>
            <w:tcW w:w="5" w:type="pct"/>
            <w:shd w:val="clear" w:color="auto" w:fill="auto"/>
          </w:tcPr>
          <w:p w14:paraId="5EA21497" w14:textId="77777777" w:rsidR="003C66EB" w:rsidRDefault="003C66EB">
            <w:pPr>
              <w:rPr>
                <w:rFonts w:ascii="宋体"/>
              </w:rPr>
            </w:pPr>
          </w:p>
        </w:tc>
        <w:tc>
          <w:tcPr>
            <w:tcW w:w="19" w:type="pct"/>
            <w:shd w:val="clear" w:color="auto" w:fill="auto"/>
          </w:tcPr>
          <w:p w14:paraId="5EA21498" w14:textId="77777777" w:rsidR="003C66EB" w:rsidRDefault="003C66EB">
            <w:pPr>
              <w:rPr>
                <w:rFonts w:ascii="宋体"/>
              </w:rPr>
            </w:pPr>
          </w:p>
        </w:tc>
        <w:tc>
          <w:tcPr>
            <w:tcW w:w="5" w:type="pct"/>
            <w:shd w:val="clear" w:color="auto" w:fill="auto"/>
          </w:tcPr>
          <w:p w14:paraId="5EA21499" w14:textId="77777777" w:rsidR="003C66EB" w:rsidRDefault="003C66EB">
            <w:pPr>
              <w:rPr>
                <w:rFonts w:ascii="宋体"/>
              </w:rPr>
            </w:pPr>
          </w:p>
        </w:tc>
        <w:tc>
          <w:tcPr>
            <w:tcW w:w="50" w:type="pct"/>
            <w:shd w:val="clear" w:color="auto" w:fill="auto"/>
          </w:tcPr>
          <w:p w14:paraId="5EA2149A" w14:textId="77777777" w:rsidR="003C66EB" w:rsidRDefault="003C66EB">
            <w:pPr>
              <w:rPr>
                <w:rFonts w:ascii="宋体"/>
              </w:rPr>
            </w:pPr>
          </w:p>
        </w:tc>
        <w:tc>
          <w:tcPr>
            <w:tcW w:w="376" w:type="pct"/>
            <w:shd w:val="clear" w:color="auto" w:fill="auto"/>
          </w:tcPr>
          <w:p w14:paraId="5EA2149B" w14:textId="77777777" w:rsidR="003C66EB" w:rsidRDefault="003C66EB">
            <w:pPr>
              <w:rPr>
                <w:rFonts w:ascii="宋体"/>
              </w:rPr>
            </w:pPr>
          </w:p>
        </w:tc>
        <w:tc>
          <w:tcPr>
            <w:tcW w:w="5" w:type="pct"/>
            <w:shd w:val="clear" w:color="auto" w:fill="auto"/>
          </w:tcPr>
          <w:p w14:paraId="5EA2149C" w14:textId="77777777" w:rsidR="003C66EB" w:rsidRDefault="003C66EB">
            <w:pPr>
              <w:rPr>
                <w:rFonts w:ascii="宋体"/>
              </w:rPr>
            </w:pPr>
          </w:p>
        </w:tc>
        <w:tc>
          <w:tcPr>
            <w:tcW w:w="5" w:type="pct"/>
            <w:shd w:val="clear" w:color="auto" w:fill="auto"/>
          </w:tcPr>
          <w:p w14:paraId="5EA2149D" w14:textId="77777777" w:rsidR="003C66EB" w:rsidRDefault="003C66EB">
            <w:pPr>
              <w:rPr>
                <w:rFonts w:ascii="宋体"/>
              </w:rPr>
            </w:pPr>
          </w:p>
        </w:tc>
        <w:tc>
          <w:tcPr>
            <w:tcW w:w="19" w:type="pct"/>
            <w:shd w:val="clear" w:color="auto" w:fill="auto"/>
          </w:tcPr>
          <w:p w14:paraId="5EA2149E" w14:textId="77777777" w:rsidR="003C66EB" w:rsidRDefault="003C66EB">
            <w:pPr>
              <w:rPr>
                <w:rFonts w:ascii="宋体"/>
              </w:rPr>
            </w:pPr>
          </w:p>
        </w:tc>
        <w:tc>
          <w:tcPr>
            <w:tcW w:w="5" w:type="pct"/>
            <w:shd w:val="clear" w:color="auto" w:fill="auto"/>
          </w:tcPr>
          <w:p w14:paraId="5EA2149F" w14:textId="77777777" w:rsidR="003C66EB" w:rsidRDefault="003C66EB">
            <w:pPr>
              <w:rPr>
                <w:rFonts w:ascii="宋体"/>
              </w:rPr>
            </w:pPr>
          </w:p>
        </w:tc>
        <w:tc>
          <w:tcPr>
            <w:tcW w:w="50" w:type="pct"/>
            <w:shd w:val="clear" w:color="auto" w:fill="auto"/>
          </w:tcPr>
          <w:p w14:paraId="5EA214A0" w14:textId="77777777" w:rsidR="003C66EB" w:rsidRDefault="003C66EB">
            <w:pPr>
              <w:rPr>
                <w:rFonts w:ascii="宋体"/>
              </w:rPr>
            </w:pPr>
          </w:p>
        </w:tc>
        <w:tc>
          <w:tcPr>
            <w:tcW w:w="325" w:type="pct"/>
            <w:shd w:val="clear" w:color="auto" w:fill="auto"/>
          </w:tcPr>
          <w:p w14:paraId="5EA214A1" w14:textId="77777777" w:rsidR="003C66EB" w:rsidRDefault="003C66EB">
            <w:pPr>
              <w:rPr>
                <w:rFonts w:ascii="宋体"/>
              </w:rPr>
            </w:pPr>
          </w:p>
        </w:tc>
        <w:tc>
          <w:tcPr>
            <w:tcW w:w="5" w:type="pct"/>
            <w:shd w:val="clear" w:color="auto" w:fill="auto"/>
          </w:tcPr>
          <w:p w14:paraId="5EA214A2" w14:textId="77777777" w:rsidR="003C66EB" w:rsidRDefault="003C66EB">
            <w:pPr>
              <w:rPr>
                <w:rFonts w:ascii="宋体"/>
              </w:rPr>
            </w:pPr>
          </w:p>
        </w:tc>
        <w:tc>
          <w:tcPr>
            <w:tcW w:w="5" w:type="pct"/>
            <w:shd w:val="clear" w:color="auto" w:fill="auto"/>
          </w:tcPr>
          <w:p w14:paraId="5EA214A3" w14:textId="77777777" w:rsidR="003C66EB" w:rsidRDefault="003C66EB">
            <w:pPr>
              <w:rPr>
                <w:rFonts w:ascii="宋体"/>
              </w:rPr>
            </w:pPr>
          </w:p>
        </w:tc>
        <w:tc>
          <w:tcPr>
            <w:tcW w:w="19" w:type="pct"/>
            <w:shd w:val="clear" w:color="auto" w:fill="auto"/>
          </w:tcPr>
          <w:p w14:paraId="5EA214A4" w14:textId="77777777" w:rsidR="003C66EB" w:rsidRDefault="003C66EB">
            <w:pPr>
              <w:rPr>
                <w:rFonts w:ascii="宋体"/>
              </w:rPr>
            </w:pPr>
          </w:p>
        </w:tc>
        <w:tc>
          <w:tcPr>
            <w:tcW w:w="5" w:type="pct"/>
            <w:shd w:val="clear" w:color="auto" w:fill="auto"/>
          </w:tcPr>
          <w:p w14:paraId="5EA214A5" w14:textId="77777777" w:rsidR="003C66EB" w:rsidRDefault="003C66EB">
            <w:pPr>
              <w:rPr>
                <w:rFonts w:ascii="宋体"/>
              </w:rPr>
            </w:pPr>
          </w:p>
        </w:tc>
        <w:tc>
          <w:tcPr>
            <w:tcW w:w="50" w:type="pct"/>
            <w:shd w:val="clear" w:color="auto" w:fill="auto"/>
          </w:tcPr>
          <w:p w14:paraId="5EA214A6" w14:textId="77777777" w:rsidR="003C66EB" w:rsidRDefault="003C66EB">
            <w:pPr>
              <w:rPr>
                <w:rFonts w:ascii="宋体"/>
              </w:rPr>
            </w:pPr>
          </w:p>
        </w:tc>
        <w:tc>
          <w:tcPr>
            <w:tcW w:w="384" w:type="pct"/>
            <w:shd w:val="clear" w:color="auto" w:fill="auto"/>
          </w:tcPr>
          <w:p w14:paraId="5EA214A7" w14:textId="77777777" w:rsidR="003C66EB" w:rsidRDefault="003C66EB">
            <w:pPr>
              <w:rPr>
                <w:rFonts w:ascii="宋体"/>
              </w:rPr>
            </w:pPr>
          </w:p>
        </w:tc>
        <w:tc>
          <w:tcPr>
            <w:tcW w:w="5" w:type="pct"/>
            <w:shd w:val="clear" w:color="auto" w:fill="auto"/>
          </w:tcPr>
          <w:p w14:paraId="5EA214A8" w14:textId="77777777" w:rsidR="003C66EB" w:rsidRDefault="003C66EB">
            <w:pPr>
              <w:rPr>
                <w:rFonts w:ascii="宋体"/>
              </w:rPr>
            </w:pPr>
          </w:p>
        </w:tc>
      </w:tr>
      <w:tr w:rsidR="003C66EB" w14:paraId="5EA214AB" w14:textId="77777777">
        <w:tc>
          <w:tcPr>
            <w:tcW w:w="0" w:type="auto"/>
            <w:gridSpan w:val="63"/>
            <w:shd w:val="clear" w:color="auto" w:fill="auto"/>
            <w:tcMar>
              <w:top w:w="40" w:type="dxa"/>
              <w:left w:w="20" w:type="dxa"/>
              <w:bottom w:w="40" w:type="dxa"/>
              <w:right w:w="20" w:type="dxa"/>
            </w:tcMar>
            <w:vAlign w:val="bottom"/>
          </w:tcPr>
          <w:p w14:paraId="5EA214AA" w14:textId="77777777" w:rsidR="003C66EB" w:rsidRDefault="00D96C4E">
            <w:pPr>
              <w:textAlignment w:val="bottom"/>
            </w:pPr>
            <w:r>
              <w:rPr>
                <w:rFonts w:ascii="Arial" w:eastAsia="宋体" w:hAnsi="Arial" w:cs="Arial"/>
                <w:b/>
                <w:bCs/>
                <w:color w:val="000000"/>
                <w:sz w:val="16"/>
                <w:szCs w:val="16"/>
              </w:rPr>
              <w:t>TABLE 40: PREFERRED STOCK ISSUED AND OUTSTANDING</w:t>
            </w:r>
          </w:p>
        </w:tc>
      </w:tr>
      <w:tr w:rsidR="003C66EB" w14:paraId="5EA214C1" w14:textId="77777777">
        <w:tc>
          <w:tcPr>
            <w:tcW w:w="0" w:type="auto"/>
            <w:gridSpan w:val="3"/>
            <w:shd w:val="clear" w:color="auto" w:fill="auto"/>
            <w:tcMar>
              <w:top w:w="40" w:type="dxa"/>
              <w:left w:w="20" w:type="dxa"/>
              <w:bottom w:w="40" w:type="dxa"/>
              <w:right w:w="20" w:type="dxa"/>
            </w:tcMar>
            <w:vAlign w:val="bottom"/>
          </w:tcPr>
          <w:p w14:paraId="5EA214AC" w14:textId="77777777" w:rsidR="003C66EB" w:rsidRDefault="00D96C4E">
            <w:pPr>
              <w:textAlignment w:val="bottom"/>
            </w:pPr>
            <w:r>
              <w:rPr>
                <w:rFonts w:ascii="Arial" w:eastAsia="宋体" w:hAnsi="Arial" w:cs="Arial"/>
                <w:b/>
                <w:bCs/>
                <w:color w:val="000000"/>
                <w:sz w:val="14"/>
                <w:szCs w:val="14"/>
              </w:rPr>
              <w:t>Preferred Stock</w:t>
            </w:r>
            <w:r>
              <w:rPr>
                <w:rFonts w:ascii="Arial" w:eastAsia="宋体" w:hAnsi="Arial" w:cs="Arial"/>
                <w:b/>
                <w:bCs/>
                <w:color w:val="000000"/>
                <w:sz w:val="9"/>
                <w:szCs w:val="9"/>
              </w:rPr>
              <w:t>(2)</w:t>
            </w:r>
            <w:r>
              <w:rPr>
                <w:rFonts w:ascii="Arial" w:eastAsia="宋体" w:hAnsi="Arial" w:cs="Arial"/>
                <w:b/>
                <w:bCs/>
                <w:color w:val="000000"/>
                <w:sz w:val="14"/>
                <w:szCs w:val="14"/>
              </w:rPr>
              <w:t>:</w:t>
            </w:r>
          </w:p>
        </w:tc>
        <w:tc>
          <w:tcPr>
            <w:tcW w:w="0" w:type="auto"/>
            <w:gridSpan w:val="3"/>
            <w:shd w:val="clear" w:color="auto" w:fill="auto"/>
            <w:tcMar>
              <w:top w:w="0" w:type="dxa"/>
              <w:left w:w="20" w:type="dxa"/>
              <w:bottom w:w="0" w:type="dxa"/>
              <w:right w:w="20" w:type="dxa"/>
            </w:tcMar>
          </w:tcPr>
          <w:p w14:paraId="5EA214A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AE" w14:textId="77777777" w:rsidR="003C66EB" w:rsidRDefault="00D96C4E">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tcPr>
          <w:p w14:paraId="5EA214A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0" w14:textId="77777777" w:rsidR="003C66EB" w:rsidRDefault="00D96C4E">
            <w:pPr>
              <w:jc w:val="center"/>
              <w:textAlignment w:val="bottom"/>
            </w:pPr>
            <w:r>
              <w:rPr>
                <w:rFonts w:ascii="Arial" w:eastAsia="宋体" w:hAnsi="Arial" w:cs="Arial"/>
                <w:b/>
                <w:bCs/>
                <w:color w:val="000000"/>
                <w:sz w:val="12"/>
                <w:szCs w:val="12"/>
              </w:rPr>
              <w:t xml:space="preserve">Depositary </w:t>
            </w:r>
            <w:r>
              <w:rPr>
                <w:rFonts w:ascii="Arial" w:eastAsia="宋体" w:hAnsi="Arial" w:cs="Arial"/>
                <w:b/>
                <w:bCs/>
                <w:color w:val="000000"/>
                <w:sz w:val="12"/>
                <w:szCs w:val="12"/>
              </w:rPr>
              <w:t>Shares Issued</w:t>
            </w:r>
          </w:p>
        </w:tc>
        <w:tc>
          <w:tcPr>
            <w:tcW w:w="0" w:type="auto"/>
            <w:gridSpan w:val="3"/>
            <w:shd w:val="clear" w:color="auto" w:fill="auto"/>
            <w:tcMar>
              <w:top w:w="0" w:type="dxa"/>
              <w:left w:w="20" w:type="dxa"/>
              <w:bottom w:w="0" w:type="dxa"/>
              <w:right w:w="20" w:type="dxa"/>
            </w:tcMar>
          </w:tcPr>
          <w:p w14:paraId="5EA214B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2" w14:textId="77777777" w:rsidR="003C66EB" w:rsidRDefault="00D96C4E">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tcPr>
          <w:p w14:paraId="5EA214B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4" w14:textId="77777777" w:rsidR="003C66EB" w:rsidRDefault="00D96C4E">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tcPr>
          <w:p w14:paraId="5EA214B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6" w14:textId="77777777" w:rsidR="003C66EB" w:rsidRDefault="00D96C4E">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tcPr>
          <w:p w14:paraId="5EA214B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8" w14:textId="77777777" w:rsidR="003C66EB" w:rsidRDefault="00D96C4E">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tcPr>
          <w:p w14:paraId="5EA214B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A" w14:textId="77777777" w:rsidR="003C66EB" w:rsidRDefault="00D96C4E">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tcPr>
          <w:p w14:paraId="5EA214B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C" w14:textId="77777777" w:rsidR="003C66EB" w:rsidRDefault="00D96C4E">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tcPr>
          <w:p w14:paraId="5EA214B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BE" w14:textId="77777777" w:rsidR="003C66EB" w:rsidRDefault="00D96C4E">
            <w:pPr>
              <w:jc w:val="center"/>
              <w:textAlignment w:val="bottom"/>
            </w:pPr>
            <w:r>
              <w:rPr>
                <w:rFonts w:ascii="Arial" w:eastAsia="宋体" w:hAnsi="Arial" w:cs="Arial"/>
                <w:b/>
                <w:bCs/>
                <w:color w:val="000000"/>
                <w:sz w:val="12"/>
                <w:szCs w:val="12"/>
              </w:rPr>
              <w:t xml:space="preserve">Carrying Value as of March 31, 2021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tcPr>
          <w:p w14:paraId="5EA214B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4C0" w14:textId="77777777" w:rsidR="003C66EB" w:rsidRDefault="00D96C4E">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(1)</w:t>
            </w:r>
          </w:p>
        </w:tc>
      </w:tr>
      <w:tr w:rsidR="003C66EB" w14:paraId="5EA214D7" w14:textId="77777777">
        <w:trPr>
          <w:hidden/>
        </w:trPr>
        <w:tc>
          <w:tcPr>
            <w:tcW w:w="0" w:type="auto"/>
            <w:gridSpan w:val="3"/>
            <w:shd w:val="clear" w:color="auto" w:fill="auto"/>
          </w:tcPr>
          <w:p w14:paraId="5EA214C2" w14:textId="77777777" w:rsidR="003C66EB" w:rsidRDefault="003C66EB">
            <w:pPr>
              <w:rPr>
                <w:rFonts w:ascii="宋体"/>
                <w:vanish/>
              </w:rPr>
            </w:pPr>
          </w:p>
        </w:tc>
        <w:tc>
          <w:tcPr>
            <w:tcW w:w="0" w:type="auto"/>
            <w:gridSpan w:val="3"/>
            <w:shd w:val="clear" w:color="auto" w:fill="auto"/>
          </w:tcPr>
          <w:p w14:paraId="5EA214C3" w14:textId="77777777" w:rsidR="003C66EB" w:rsidRDefault="003C66EB">
            <w:pPr>
              <w:rPr>
                <w:rFonts w:ascii="宋体"/>
                <w:vanish/>
              </w:rPr>
            </w:pPr>
          </w:p>
        </w:tc>
        <w:tc>
          <w:tcPr>
            <w:tcW w:w="0" w:type="auto"/>
            <w:gridSpan w:val="3"/>
            <w:shd w:val="clear" w:color="auto" w:fill="auto"/>
          </w:tcPr>
          <w:p w14:paraId="5EA214C4" w14:textId="77777777" w:rsidR="003C66EB" w:rsidRDefault="003C66EB">
            <w:pPr>
              <w:rPr>
                <w:rFonts w:ascii="宋体"/>
                <w:vanish/>
              </w:rPr>
            </w:pPr>
          </w:p>
        </w:tc>
        <w:tc>
          <w:tcPr>
            <w:tcW w:w="0" w:type="auto"/>
            <w:gridSpan w:val="3"/>
            <w:shd w:val="clear" w:color="auto" w:fill="auto"/>
          </w:tcPr>
          <w:p w14:paraId="5EA214C5" w14:textId="77777777" w:rsidR="003C66EB" w:rsidRDefault="003C66EB">
            <w:pPr>
              <w:rPr>
                <w:rFonts w:ascii="宋体"/>
                <w:vanish/>
              </w:rPr>
            </w:pPr>
          </w:p>
        </w:tc>
        <w:tc>
          <w:tcPr>
            <w:tcW w:w="0" w:type="auto"/>
            <w:gridSpan w:val="3"/>
            <w:shd w:val="clear" w:color="auto" w:fill="auto"/>
          </w:tcPr>
          <w:p w14:paraId="5EA214C6" w14:textId="77777777" w:rsidR="003C66EB" w:rsidRDefault="003C66EB">
            <w:pPr>
              <w:rPr>
                <w:rFonts w:ascii="宋体"/>
                <w:vanish/>
              </w:rPr>
            </w:pPr>
          </w:p>
        </w:tc>
        <w:tc>
          <w:tcPr>
            <w:tcW w:w="0" w:type="auto"/>
            <w:gridSpan w:val="3"/>
            <w:shd w:val="clear" w:color="auto" w:fill="auto"/>
          </w:tcPr>
          <w:p w14:paraId="5EA214C7" w14:textId="77777777" w:rsidR="003C66EB" w:rsidRDefault="003C66EB">
            <w:pPr>
              <w:rPr>
                <w:rFonts w:ascii="宋体"/>
                <w:vanish/>
              </w:rPr>
            </w:pPr>
          </w:p>
        </w:tc>
        <w:tc>
          <w:tcPr>
            <w:tcW w:w="0" w:type="auto"/>
            <w:gridSpan w:val="3"/>
            <w:shd w:val="clear" w:color="auto" w:fill="auto"/>
          </w:tcPr>
          <w:p w14:paraId="5EA214C8" w14:textId="77777777" w:rsidR="003C66EB" w:rsidRDefault="003C66EB">
            <w:pPr>
              <w:rPr>
                <w:rFonts w:ascii="宋体"/>
                <w:vanish/>
              </w:rPr>
            </w:pPr>
          </w:p>
        </w:tc>
        <w:tc>
          <w:tcPr>
            <w:tcW w:w="0" w:type="auto"/>
            <w:gridSpan w:val="3"/>
            <w:shd w:val="clear" w:color="auto" w:fill="auto"/>
          </w:tcPr>
          <w:p w14:paraId="5EA214C9" w14:textId="77777777" w:rsidR="003C66EB" w:rsidRDefault="003C66EB">
            <w:pPr>
              <w:rPr>
                <w:rFonts w:ascii="宋体"/>
                <w:vanish/>
              </w:rPr>
            </w:pPr>
          </w:p>
        </w:tc>
        <w:tc>
          <w:tcPr>
            <w:tcW w:w="0" w:type="auto"/>
            <w:gridSpan w:val="3"/>
            <w:shd w:val="clear" w:color="auto" w:fill="auto"/>
          </w:tcPr>
          <w:p w14:paraId="5EA214CA" w14:textId="77777777" w:rsidR="003C66EB" w:rsidRDefault="003C66EB">
            <w:pPr>
              <w:rPr>
                <w:rFonts w:ascii="宋体"/>
                <w:vanish/>
              </w:rPr>
            </w:pPr>
          </w:p>
        </w:tc>
        <w:tc>
          <w:tcPr>
            <w:tcW w:w="0" w:type="auto"/>
            <w:gridSpan w:val="3"/>
            <w:shd w:val="clear" w:color="auto" w:fill="auto"/>
          </w:tcPr>
          <w:p w14:paraId="5EA214CB" w14:textId="77777777" w:rsidR="003C66EB" w:rsidRDefault="003C66EB">
            <w:pPr>
              <w:rPr>
                <w:rFonts w:ascii="宋体"/>
                <w:vanish/>
              </w:rPr>
            </w:pPr>
          </w:p>
        </w:tc>
        <w:tc>
          <w:tcPr>
            <w:tcW w:w="0" w:type="auto"/>
            <w:gridSpan w:val="3"/>
            <w:shd w:val="clear" w:color="auto" w:fill="auto"/>
          </w:tcPr>
          <w:p w14:paraId="5EA214CC" w14:textId="77777777" w:rsidR="003C66EB" w:rsidRDefault="003C66EB">
            <w:pPr>
              <w:rPr>
                <w:rFonts w:ascii="宋体"/>
                <w:vanish/>
              </w:rPr>
            </w:pPr>
          </w:p>
        </w:tc>
        <w:tc>
          <w:tcPr>
            <w:tcW w:w="0" w:type="auto"/>
            <w:gridSpan w:val="3"/>
            <w:shd w:val="clear" w:color="auto" w:fill="auto"/>
          </w:tcPr>
          <w:p w14:paraId="5EA214CD" w14:textId="77777777" w:rsidR="003C66EB" w:rsidRDefault="003C66EB">
            <w:pPr>
              <w:rPr>
                <w:rFonts w:ascii="宋体"/>
                <w:vanish/>
              </w:rPr>
            </w:pPr>
          </w:p>
        </w:tc>
        <w:tc>
          <w:tcPr>
            <w:tcW w:w="0" w:type="auto"/>
            <w:gridSpan w:val="3"/>
            <w:shd w:val="clear" w:color="auto" w:fill="auto"/>
          </w:tcPr>
          <w:p w14:paraId="5EA214CE" w14:textId="77777777" w:rsidR="003C66EB" w:rsidRDefault="003C66EB">
            <w:pPr>
              <w:rPr>
                <w:rFonts w:ascii="宋体"/>
                <w:vanish/>
              </w:rPr>
            </w:pPr>
          </w:p>
        </w:tc>
        <w:tc>
          <w:tcPr>
            <w:tcW w:w="0" w:type="auto"/>
            <w:gridSpan w:val="3"/>
            <w:shd w:val="clear" w:color="auto" w:fill="auto"/>
          </w:tcPr>
          <w:p w14:paraId="5EA214CF" w14:textId="77777777" w:rsidR="003C66EB" w:rsidRDefault="003C66EB">
            <w:pPr>
              <w:rPr>
                <w:rFonts w:ascii="宋体"/>
                <w:vanish/>
              </w:rPr>
            </w:pPr>
          </w:p>
        </w:tc>
        <w:tc>
          <w:tcPr>
            <w:tcW w:w="0" w:type="auto"/>
            <w:gridSpan w:val="3"/>
            <w:shd w:val="clear" w:color="auto" w:fill="auto"/>
          </w:tcPr>
          <w:p w14:paraId="5EA214D0" w14:textId="77777777" w:rsidR="003C66EB" w:rsidRDefault="003C66EB">
            <w:pPr>
              <w:rPr>
                <w:rFonts w:ascii="宋体"/>
                <w:vanish/>
              </w:rPr>
            </w:pPr>
          </w:p>
        </w:tc>
        <w:tc>
          <w:tcPr>
            <w:tcW w:w="0" w:type="auto"/>
            <w:gridSpan w:val="3"/>
            <w:shd w:val="clear" w:color="auto" w:fill="auto"/>
          </w:tcPr>
          <w:p w14:paraId="5EA214D1" w14:textId="77777777" w:rsidR="003C66EB" w:rsidRDefault="003C66EB">
            <w:pPr>
              <w:rPr>
                <w:rFonts w:ascii="宋体"/>
                <w:vanish/>
              </w:rPr>
            </w:pPr>
          </w:p>
        </w:tc>
        <w:tc>
          <w:tcPr>
            <w:tcW w:w="0" w:type="auto"/>
            <w:gridSpan w:val="3"/>
            <w:shd w:val="clear" w:color="auto" w:fill="auto"/>
          </w:tcPr>
          <w:p w14:paraId="5EA214D2" w14:textId="77777777" w:rsidR="003C66EB" w:rsidRDefault="003C66EB">
            <w:pPr>
              <w:rPr>
                <w:rFonts w:ascii="宋体"/>
                <w:vanish/>
              </w:rPr>
            </w:pPr>
          </w:p>
        </w:tc>
        <w:tc>
          <w:tcPr>
            <w:tcW w:w="0" w:type="auto"/>
            <w:gridSpan w:val="3"/>
            <w:shd w:val="clear" w:color="auto" w:fill="auto"/>
          </w:tcPr>
          <w:p w14:paraId="5EA214D3" w14:textId="77777777" w:rsidR="003C66EB" w:rsidRDefault="003C66EB">
            <w:pPr>
              <w:rPr>
                <w:rFonts w:ascii="宋体"/>
                <w:vanish/>
              </w:rPr>
            </w:pPr>
          </w:p>
        </w:tc>
        <w:tc>
          <w:tcPr>
            <w:tcW w:w="0" w:type="auto"/>
            <w:gridSpan w:val="3"/>
            <w:shd w:val="clear" w:color="auto" w:fill="auto"/>
          </w:tcPr>
          <w:p w14:paraId="5EA214D4" w14:textId="77777777" w:rsidR="003C66EB" w:rsidRDefault="003C66EB">
            <w:pPr>
              <w:rPr>
                <w:rFonts w:ascii="宋体"/>
                <w:vanish/>
              </w:rPr>
            </w:pPr>
          </w:p>
        </w:tc>
        <w:tc>
          <w:tcPr>
            <w:tcW w:w="0" w:type="auto"/>
            <w:gridSpan w:val="3"/>
            <w:shd w:val="clear" w:color="auto" w:fill="auto"/>
          </w:tcPr>
          <w:p w14:paraId="5EA214D5" w14:textId="77777777" w:rsidR="003C66EB" w:rsidRDefault="003C66EB">
            <w:pPr>
              <w:rPr>
                <w:rFonts w:ascii="宋体"/>
                <w:vanish/>
              </w:rPr>
            </w:pPr>
          </w:p>
        </w:tc>
        <w:tc>
          <w:tcPr>
            <w:tcW w:w="0" w:type="auto"/>
            <w:gridSpan w:val="3"/>
            <w:shd w:val="clear" w:color="auto" w:fill="auto"/>
          </w:tcPr>
          <w:p w14:paraId="5EA214D6" w14:textId="77777777" w:rsidR="003C66EB" w:rsidRDefault="003C66EB">
            <w:pPr>
              <w:rPr>
                <w:rFonts w:ascii="宋体"/>
                <w:vanish/>
              </w:rPr>
            </w:pPr>
          </w:p>
        </w:tc>
      </w:tr>
      <w:tr w:rsidR="003C66EB" w14:paraId="5EA214F2"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D8" w14:textId="77777777" w:rsidR="003C66EB" w:rsidRDefault="00D96C4E">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tcPr>
          <w:p w14:paraId="5EA214D9"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DA" w14:textId="77777777" w:rsidR="003C66EB" w:rsidRDefault="00D96C4E">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tcPr>
          <w:p w14:paraId="5EA214D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14DC" w14:textId="77777777" w:rsidR="003C66EB" w:rsidRDefault="00D96C4E">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14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DE"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DF" w14:textId="77777777" w:rsidR="003C66EB" w:rsidRDefault="00D96C4E">
            <w:pPr>
              <w:jc w:val="right"/>
              <w:textAlignment w:val="center"/>
            </w:pPr>
            <w:r>
              <w:rPr>
                <w:rFonts w:ascii="Arial" w:eastAsia="宋体" w:hAnsi="Arial" w:cs="Arial"/>
                <w:color w:val="000000"/>
                <w:sz w:val="12"/>
                <w:szCs w:val="12"/>
              </w:rPr>
              <w:t>750</w:t>
            </w:r>
          </w:p>
        </w:tc>
        <w:tc>
          <w:tcPr>
            <w:tcW w:w="0" w:type="auto"/>
            <w:gridSpan w:val="3"/>
            <w:tcBorders>
              <w:top w:val="single" w:sz="8" w:space="0" w:color="000000"/>
            </w:tcBorders>
            <w:shd w:val="clear" w:color="auto" w:fill="CCEEFF"/>
            <w:tcMar>
              <w:top w:w="0" w:type="dxa"/>
              <w:left w:w="20" w:type="dxa"/>
              <w:bottom w:w="0" w:type="dxa"/>
              <w:right w:w="20" w:type="dxa"/>
            </w:tcMar>
          </w:tcPr>
          <w:p w14:paraId="5EA214E0"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E1" w14:textId="77777777" w:rsidR="003C66EB" w:rsidRDefault="00D96C4E">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5EA214E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14E3" w14:textId="77777777" w:rsidR="003C66EB" w:rsidRDefault="00D96C4E">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14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E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14E6" w14:textId="77777777" w:rsidR="003C66EB" w:rsidRDefault="00D96C4E">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14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E8"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E9" w14:textId="77777777" w:rsidR="003C66EB" w:rsidRDefault="00D96C4E">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tcPr>
          <w:p w14:paraId="5EA214EA"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EB" w14:textId="77777777" w:rsidR="003C66EB" w:rsidRDefault="00D96C4E">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tcPr>
          <w:p w14:paraId="5EA214E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A214ED"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EA214EE" w14:textId="77777777" w:rsidR="003C66EB" w:rsidRDefault="00D96C4E">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14E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4F0"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14F1" w14:textId="77777777" w:rsidR="003C66EB" w:rsidRDefault="00D96C4E">
            <w:pPr>
              <w:textAlignment w:val="center"/>
            </w:pPr>
            <w:r>
              <w:rPr>
                <w:rFonts w:ascii="Arial" w:eastAsia="宋体" w:hAnsi="Arial" w:cs="Arial"/>
                <w:color w:val="000000"/>
                <w:sz w:val="12"/>
                <w:szCs w:val="12"/>
              </w:rPr>
              <w:t>March 15, 2024</w:t>
            </w:r>
          </w:p>
        </w:tc>
      </w:tr>
      <w:tr w:rsidR="003C66EB" w14:paraId="5EA2150C" w14:textId="77777777">
        <w:tc>
          <w:tcPr>
            <w:tcW w:w="0" w:type="auto"/>
            <w:gridSpan w:val="3"/>
            <w:shd w:val="clear" w:color="auto" w:fill="FFFFFF"/>
            <w:tcMar>
              <w:top w:w="40" w:type="dxa"/>
              <w:left w:w="20" w:type="dxa"/>
              <w:bottom w:w="40" w:type="dxa"/>
              <w:right w:w="20" w:type="dxa"/>
            </w:tcMar>
            <w:vAlign w:val="center"/>
          </w:tcPr>
          <w:p w14:paraId="5EA214F3" w14:textId="77777777" w:rsidR="003C66EB" w:rsidRDefault="00D96C4E">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tcPr>
          <w:p w14:paraId="5EA214F4"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4F5" w14:textId="77777777" w:rsidR="003C66EB" w:rsidRDefault="00D96C4E">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tcPr>
          <w:p w14:paraId="5EA214F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F7" w14:textId="77777777" w:rsidR="003C66EB" w:rsidRDefault="00D96C4E">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5EA214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4F9"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4FA" w14:textId="77777777" w:rsidR="003C66EB" w:rsidRDefault="00D96C4E">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tcPr>
          <w:p w14:paraId="5EA214FB"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4FC" w14:textId="77777777" w:rsidR="003C66EB" w:rsidRDefault="00D96C4E">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5EA214F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4FE" w14:textId="77777777" w:rsidR="003C66EB" w:rsidRDefault="00D96C4E">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A214F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0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501" w14:textId="77777777" w:rsidR="003C66EB" w:rsidRDefault="00D96C4E">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A2150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03"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04" w14:textId="77777777" w:rsidR="003C66EB" w:rsidRDefault="00D96C4E">
            <w:pPr>
              <w:textAlignment w:val="center"/>
            </w:pPr>
            <w:r>
              <w:rPr>
                <w:rFonts w:ascii="Arial" w:eastAsia="宋体" w:hAnsi="Arial" w:cs="Arial"/>
                <w:color w:val="000000"/>
                <w:sz w:val="12"/>
                <w:szCs w:val="12"/>
              </w:rPr>
              <w:t>5.25% to but excluding September 15, 2020, then a floating rate equal to the three-</w:t>
            </w:r>
            <w:r>
              <w:rPr>
                <w:rFonts w:ascii="Arial" w:eastAsia="宋体" w:hAnsi="Arial" w:cs="Arial"/>
                <w:color w:val="000000"/>
                <w:sz w:val="12"/>
                <w:szCs w:val="12"/>
              </w:rPr>
              <w:t>month LIBOR plus 3.597%, or 3.78088% effective March 15, 2021</w:t>
            </w:r>
          </w:p>
        </w:tc>
        <w:tc>
          <w:tcPr>
            <w:tcW w:w="0" w:type="auto"/>
            <w:gridSpan w:val="3"/>
            <w:shd w:val="clear" w:color="auto" w:fill="FFFFFF"/>
            <w:tcMar>
              <w:top w:w="0" w:type="dxa"/>
              <w:left w:w="20" w:type="dxa"/>
              <w:bottom w:w="0" w:type="dxa"/>
              <w:right w:w="20" w:type="dxa"/>
            </w:tcMar>
          </w:tcPr>
          <w:p w14:paraId="5EA21505"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06" w14:textId="77777777" w:rsidR="003C66EB" w:rsidRDefault="00D96C4E">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tcPr>
          <w:p w14:paraId="5EA2150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508" w14:textId="77777777" w:rsidR="003C66EB" w:rsidRDefault="00D96C4E">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5EA2150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0A"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0B" w14:textId="77777777" w:rsidR="003C66EB" w:rsidRDefault="00D96C4E">
            <w:pPr>
              <w:textAlignment w:val="center"/>
            </w:pPr>
            <w:r>
              <w:rPr>
                <w:rFonts w:ascii="Arial" w:eastAsia="宋体" w:hAnsi="Arial" w:cs="Arial"/>
                <w:color w:val="000000"/>
                <w:sz w:val="12"/>
                <w:szCs w:val="12"/>
              </w:rPr>
              <w:t>September 15, 2020</w:t>
            </w:r>
          </w:p>
        </w:tc>
      </w:tr>
      <w:tr w:rsidR="003C66EB" w14:paraId="5EA21526" w14:textId="77777777">
        <w:tc>
          <w:tcPr>
            <w:tcW w:w="0" w:type="auto"/>
            <w:gridSpan w:val="3"/>
            <w:shd w:val="clear" w:color="auto" w:fill="CCEEFF"/>
            <w:tcMar>
              <w:top w:w="40" w:type="dxa"/>
              <w:left w:w="20" w:type="dxa"/>
              <w:bottom w:w="40" w:type="dxa"/>
              <w:right w:w="20" w:type="dxa"/>
            </w:tcMar>
            <w:vAlign w:val="center"/>
          </w:tcPr>
          <w:p w14:paraId="5EA2150D" w14:textId="77777777" w:rsidR="003C66EB" w:rsidRDefault="00D96C4E">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tcPr>
          <w:p w14:paraId="5EA2150E"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150F" w14:textId="77777777" w:rsidR="003C66EB" w:rsidRDefault="00D96C4E">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tcPr>
          <w:p w14:paraId="5EA2151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511" w14:textId="77777777" w:rsidR="003C66EB" w:rsidRDefault="00D96C4E">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5EA215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513"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1514" w14:textId="77777777" w:rsidR="003C66EB" w:rsidRDefault="00D96C4E">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tcPr>
          <w:p w14:paraId="5EA21515"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1516" w14:textId="77777777" w:rsidR="003C66EB" w:rsidRDefault="00D96C4E">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5EA2151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518" w14:textId="77777777" w:rsidR="003C66EB" w:rsidRDefault="00D96C4E">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5EA2151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51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51B" w14:textId="77777777" w:rsidR="003C66EB" w:rsidRDefault="00D96C4E">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5EA215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51D"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151E" w14:textId="77777777" w:rsidR="003C66EB" w:rsidRDefault="00D96C4E">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tcPr>
          <w:p w14:paraId="5EA2151F"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1520" w14:textId="77777777" w:rsidR="003C66EB" w:rsidRDefault="00D96C4E">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tcPr>
          <w:p w14:paraId="5EA2152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1522" w14:textId="77777777" w:rsidR="003C66EB" w:rsidRDefault="00D96C4E">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5EA215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524"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1525" w14:textId="77777777" w:rsidR="003C66EB" w:rsidRDefault="00D96C4E">
            <w:pPr>
              <w:textAlignment w:val="center"/>
            </w:pPr>
            <w:r>
              <w:rPr>
                <w:rFonts w:ascii="Arial" w:eastAsia="宋体" w:hAnsi="Arial" w:cs="Arial"/>
                <w:color w:val="000000"/>
                <w:sz w:val="12"/>
                <w:szCs w:val="12"/>
              </w:rPr>
              <w:t xml:space="preserve">March </w:t>
            </w:r>
            <w:r>
              <w:rPr>
                <w:rFonts w:ascii="Arial" w:eastAsia="宋体" w:hAnsi="Arial" w:cs="Arial"/>
                <w:color w:val="000000"/>
                <w:sz w:val="12"/>
                <w:szCs w:val="12"/>
              </w:rPr>
              <w:t>15, 2026</w:t>
            </w:r>
          </w:p>
        </w:tc>
      </w:tr>
      <w:tr w:rsidR="003C66EB" w14:paraId="5EA21540" w14:textId="77777777">
        <w:tc>
          <w:tcPr>
            <w:tcW w:w="0" w:type="auto"/>
            <w:gridSpan w:val="3"/>
            <w:shd w:val="clear" w:color="auto" w:fill="FFFFFF"/>
            <w:tcMar>
              <w:top w:w="40" w:type="dxa"/>
              <w:left w:w="20" w:type="dxa"/>
              <w:bottom w:w="40" w:type="dxa"/>
              <w:right w:w="20" w:type="dxa"/>
            </w:tcMar>
            <w:vAlign w:val="center"/>
          </w:tcPr>
          <w:p w14:paraId="5EA21527" w14:textId="77777777" w:rsidR="003C66EB" w:rsidRDefault="00D96C4E">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tcPr>
          <w:p w14:paraId="5EA21528"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29" w14:textId="77777777" w:rsidR="003C66EB" w:rsidRDefault="00D96C4E">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tcPr>
          <w:p w14:paraId="5EA2152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52B" w14:textId="77777777" w:rsidR="003C66EB" w:rsidRDefault="00D96C4E">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5EA2152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2D"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2E" w14:textId="77777777" w:rsidR="003C66EB" w:rsidRDefault="00D96C4E">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tcPr>
          <w:p w14:paraId="5EA2152F"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30" w14:textId="77777777" w:rsidR="003C66EB" w:rsidRDefault="00D96C4E">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5EA215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532" w14:textId="77777777" w:rsidR="003C66EB" w:rsidRDefault="00D96C4E">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A215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535" w14:textId="77777777" w:rsidR="003C66EB" w:rsidRDefault="00D96C4E">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A215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37"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38" w14:textId="77777777" w:rsidR="003C66EB" w:rsidRDefault="00D96C4E">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FFFFFF"/>
            <w:tcMar>
              <w:top w:w="0" w:type="dxa"/>
              <w:left w:w="20" w:type="dxa"/>
              <w:bottom w:w="0" w:type="dxa"/>
              <w:right w:w="20" w:type="dxa"/>
            </w:tcMar>
          </w:tcPr>
          <w:p w14:paraId="5EA21539"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3A" w14:textId="77777777" w:rsidR="003C66EB" w:rsidRDefault="00D96C4E">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tcPr>
          <w:p w14:paraId="5EA215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153C" w14:textId="77777777" w:rsidR="003C66EB" w:rsidRDefault="00D96C4E">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5EA215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53E"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153F" w14:textId="77777777" w:rsidR="003C66EB" w:rsidRDefault="00D96C4E">
            <w:pPr>
              <w:textAlignment w:val="center"/>
            </w:pPr>
            <w:r>
              <w:rPr>
                <w:rFonts w:ascii="Arial" w:eastAsia="宋体" w:hAnsi="Arial" w:cs="Arial"/>
                <w:color w:val="000000"/>
                <w:sz w:val="12"/>
                <w:szCs w:val="12"/>
              </w:rPr>
              <w:t>December 15, 2023</w:t>
            </w:r>
          </w:p>
        </w:tc>
      </w:tr>
    </w:tbl>
    <w:p w14:paraId="5EA2154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3C66EB" w14:paraId="5EA2154E" w14:textId="77777777">
        <w:tc>
          <w:tcPr>
            <w:tcW w:w="50" w:type="pct"/>
            <w:shd w:val="clear" w:color="auto" w:fill="auto"/>
          </w:tcPr>
          <w:p w14:paraId="5EA21542" w14:textId="77777777" w:rsidR="003C66EB" w:rsidRDefault="003C66EB">
            <w:pPr>
              <w:rPr>
                <w:rFonts w:ascii="宋体"/>
              </w:rPr>
            </w:pPr>
          </w:p>
        </w:tc>
        <w:tc>
          <w:tcPr>
            <w:tcW w:w="1341" w:type="pct"/>
            <w:shd w:val="clear" w:color="auto" w:fill="auto"/>
          </w:tcPr>
          <w:p w14:paraId="5EA21543" w14:textId="77777777" w:rsidR="003C66EB" w:rsidRDefault="003C66EB">
            <w:pPr>
              <w:rPr>
                <w:rFonts w:ascii="宋体"/>
              </w:rPr>
            </w:pPr>
          </w:p>
        </w:tc>
        <w:tc>
          <w:tcPr>
            <w:tcW w:w="5" w:type="pct"/>
            <w:shd w:val="clear" w:color="auto" w:fill="auto"/>
          </w:tcPr>
          <w:p w14:paraId="5EA21544" w14:textId="77777777" w:rsidR="003C66EB" w:rsidRDefault="003C66EB">
            <w:pPr>
              <w:rPr>
                <w:rFonts w:ascii="宋体"/>
              </w:rPr>
            </w:pPr>
          </w:p>
        </w:tc>
        <w:tc>
          <w:tcPr>
            <w:tcW w:w="50" w:type="pct"/>
            <w:shd w:val="clear" w:color="auto" w:fill="auto"/>
          </w:tcPr>
          <w:p w14:paraId="5EA21545" w14:textId="77777777" w:rsidR="003C66EB" w:rsidRDefault="003C66EB">
            <w:pPr>
              <w:rPr>
                <w:rFonts w:ascii="宋体"/>
              </w:rPr>
            </w:pPr>
          </w:p>
        </w:tc>
        <w:tc>
          <w:tcPr>
            <w:tcW w:w="909" w:type="pct"/>
            <w:shd w:val="clear" w:color="auto" w:fill="auto"/>
          </w:tcPr>
          <w:p w14:paraId="5EA21546" w14:textId="77777777" w:rsidR="003C66EB" w:rsidRDefault="003C66EB">
            <w:pPr>
              <w:rPr>
                <w:rFonts w:ascii="宋体"/>
              </w:rPr>
            </w:pPr>
          </w:p>
        </w:tc>
        <w:tc>
          <w:tcPr>
            <w:tcW w:w="5" w:type="pct"/>
            <w:shd w:val="clear" w:color="auto" w:fill="auto"/>
          </w:tcPr>
          <w:p w14:paraId="5EA21547" w14:textId="77777777" w:rsidR="003C66EB" w:rsidRDefault="003C66EB">
            <w:pPr>
              <w:rPr>
                <w:rFonts w:ascii="宋体"/>
              </w:rPr>
            </w:pPr>
          </w:p>
        </w:tc>
        <w:tc>
          <w:tcPr>
            <w:tcW w:w="50" w:type="pct"/>
            <w:shd w:val="clear" w:color="auto" w:fill="auto"/>
          </w:tcPr>
          <w:p w14:paraId="5EA21548" w14:textId="77777777" w:rsidR="003C66EB" w:rsidRDefault="003C66EB">
            <w:pPr>
              <w:rPr>
                <w:rFonts w:ascii="宋体"/>
              </w:rPr>
            </w:pPr>
          </w:p>
        </w:tc>
        <w:tc>
          <w:tcPr>
            <w:tcW w:w="939" w:type="pct"/>
            <w:shd w:val="clear" w:color="auto" w:fill="auto"/>
          </w:tcPr>
          <w:p w14:paraId="5EA21549" w14:textId="77777777" w:rsidR="003C66EB" w:rsidRDefault="003C66EB">
            <w:pPr>
              <w:rPr>
                <w:rFonts w:ascii="宋体"/>
              </w:rPr>
            </w:pPr>
          </w:p>
        </w:tc>
        <w:tc>
          <w:tcPr>
            <w:tcW w:w="5" w:type="pct"/>
            <w:shd w:val="clear" w:color="auto" w:fill="auto"/>
          </w:tcPr>
          <w:p w14:paraId="5EA2154A" w14:textId="77777777" w:rsidR="003C66EB" w:rsidRDefault="003C66EB">
            <w:pPr>
              <w:rPr>
                <w:rFonts w:ascii="宋体"/>
              </w:rPr>
            </w:pPr>
          </w:p>
        </w:tc>
        <w:tc>
          <w:tcPr>
            <w:tcW w:w="50" w:type="pct"/>
            <w:shd w:val="clear" w:color="auto" w:fill="auto"/>
          </w:tcPr>
          <w:p w14:paraId="5EA2154B" w14:textId="77777777" w:rsidR="003C66EB" w:rsidRDefault="003C66EB">
            <w:pPr>
              <w:rPr>
                <w:rFonts w:ascii="宋体"/>
              </w:rPr>
            </w:pPr>
          </w:p>
        </w:tc>
        <w:tc>
          <w:tcPr>
            <w:tcW w:w="1589" w:type="pct"/>
            <w:shd w:val="clear" w:color="auto" w:fill="auto"/>
          </w:tcPr>
          <w:p w14:paraId="5EA2154C" w14:textId="77777777" w:rsidR="003C66EB" w:rsidRDefault="003C66EB">
            <w:pPr>
              <w:rPr>
                <w:rFonts w:ascii="宋体"/>
              </w:rPr>
            </w:pPr>
          </w:p>
        </w:tc>
        <w:tc>
          <w:tcPr>
            <w:tcW w:w="5" w:type="pct"/>
            <w:shd w:val="clear" w:color="auto" w:fill="auto"/>
          </w:tcPr>
          <w:p w14:paraId="5EA2154D" w14:textId="77777777" w:rsidR="003C66EB" w:rsidRDefault="003C66EB">
            <w:pPr>
              <w:rPr>
                <w:rFonts w:ascii="宋体"/>
              </w:rPr>
            </w:pPr>
          </w:p>
        </w:tc>
      </w:tr>
      <w:tr w:rsidR="003C66EB" w14:paraId="5EA2155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154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55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55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552" w14:textId="77777777" w:rsidR="003C66EB" w:rsidRDefault="003C66EB">
            <w:pPr>
              <w:rPr>
                <w:rFonts w:ascii="宋体"/>
              </w:rPr>
            </w:pPr>
          </w:p>
        </w:tc>
      </w:tr>
    </w:tbl>
    <w:p w14:paraId="5EA21554" w14:textId="77777777" w:rsidR="003C66EB" w:rsidRDefault="00D96C4E">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On the redemption date, or any dividend payment date thereafter, the preferred stock and corresponding depositary shares may be redeemed by us, in whole or in part, at the liquidation price per </w:t>
      </w:r>
      <w:r>
        <w:rPr>
          <w:rFonts w:ascii="Arial" w:eastAsia="宋体" w:hAnsi="Arial" w:cs="Arial"/>
          <w:color w:val="000000"/>
          <w:sz w:val="12"/>
          <w:szCs w:val="12"/>
        </w:rPr>
        <w:t>share and liquidation price per depositary share plus any declared and unpaid dividends, without accumulation of any undeclared dividends.</w:t>
      </w:r>
    </w:p>
    <w:p w14:paraId="5EA21555" w14:textId="77777777" w:rsidR="003C66EB" w:rsidRDefault="00D96C4E">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The preferred stock and corresponding depositary shares may be redeemed at our option in whole, but not in part, </w:t>
      </w:r>
      <w:r>
        <w:rPr>
          <w:rFonts w:ascii="Arial" w:eastAsia="宋体" w:hAnsi="Arial" w:cs="Arial"/>
          <w:color w:val="000000"/>
          <w:sz w:val="12"/>
          <w:szCs w:val="12"/>
        </w:rPr>
        <w:t>prior to the redemption date upon the occurrence of a regulatory capital treatment event, as defined in the certificate of designation, at a redemption price equal to the liquidation price per share and liquidation price per depositary share plus any decla</w:t>
      </w:r>
      <w:r>
        <w:rPr>
          <w:rFonts w:ascii="Arial" w:eastAsia="宋体" w:hAnsi="Arial" w:cs="Arial"/>
          <w:color w:val="000000"/>
          <w:sz w:val="12"/>
          <w:szCs w:val="12"/>
        </w:rPr>
        <w:t>red and unpaid dividends, without accumulation of any undeclared dividends.</w:t>
      </w:r>
    </w:p>
    <w:p w14:paraId="5EA21556" w14:textId="77777777" w:rsidR="003C66EB" w:rsidRDefault="00D96C4E">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We did not elect redemption on September 15, 2020 or December 15, 202</w:t>
      </w:r>
      <w:r>
        <w:rPr>
          <w:rFonts w:ascii="Arial" w:eastAsia="宋体" w:hAnsi="Arial" w:cs="Arial"/>
          <w:color w:val="000000"/>
          <w:sz w:val="12"/>
          <w:szCs w:val="12"/>
        </w:rPr>
        <w:t>0.</w:t>
      </w:r>
      <w:r>
        <w:rPr>
          <w:rFonts w:ascii="Arial" w:eastAsia="宋体" w:hAnsi="Arial" w:cs="Arial"/>
          <w:color w:val="000000"/>
          <w:sz w:val="20"/>
          <w:szCs w:val="20"/>
        </w:rPr>
        <w:t xml:space="preserve"> </w:t>
      </w:r>
    </w:p>
    <w:p w14:paraId="5EA21557" w14:textId="77777777" w:rsidR="003C66EB" w:rsidRDefault="00D96C4E">
      <w:pPr>
        <w:ind w:firstLine="450"/>
        <w:jc w:val="right"/>
      </w:pPr>
      <w:r>
        <w:rPr>
          <w:rFonts w:ascii="Arial" w:eastAsia="宋体" w:hAnsi="Arial" w:cs="Arial"/>
          <w:color w:val="000000"/>
          <w:sz w:val="18"/>
          <w:szCs w:val="18"/>
        </w:rPr>
        <w:t>State Street Corporation | 44</w:t>
      </w:r>
    </w:p>
    <w:p w14:paraId="5EA21558" w14:textId="77777777" w:rsidR="003C66EB" w:rsidRDefault="003C66EB">
      <w:pPr>
        <w:ind w:firstLine="450"/>
        <w:jc w:val="center"/>
      </w:pPr>
    </w:p>
    <w:p w14:paraId="5EA21559" w14:textId="77777777" w:rsidR="003C66EB" w:rsidRDefault="00D96C4E">
      <w:r>
        <w:pict w14:anchorId="5EA287DC">
          <v:rect id="_x0000_i1068" style="width:415.3pt;height:1.5pt" o:hralign="center" o:hrstd="t" o:hr="t" fillcolor="#a0a0a0" stroked="f"/>
        </w:pict>
      </w:r>
    </w:p>
    <w:p w14:paraId="5EA2155A"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155B" w14:textId="77777777" w:rsidR="003C66EB" w:rsidRDefault="00D96C4E">
      <w:pPr>
        <w:ind w:firstLine="450"/>
        <w:jc w:val="center"/>
      </w:pPr>
      <w:r>
        <w:rPr>
          <w:rFonts w:ascii="Arial" w:eastAsia="宋体" w:hAnsi="Arial" w:cs="Arial"/>
          <w:b/>
          <w:bCs/>
          <w:color w:val="000000"/>
          <w:sz w:val="20"/>
          <w:szCs w:val="20"/>
        </w:rPr>
        <w:t>AND RESULTS OF OPERATIONS</w:t>
      </w:r>
    </w:p>
    <w:p w14:paraId="5EA2155C" w14:textId="77777777" w:rsidR="003C66EB" w:rsidRDefault="00D96C4E">
      <w:pPr>
        <w:spacing w:before="60"/>
        <w:ind w:firstLine="450"/>
        <w:jc w:val="both"/>
      </w:pPr>
      <w:r>
        <w:rPr>
          <w:rFonts w:ascii="Arial" w:eastAsia="宋体" w:hAnsi="Arial" w:cs="Arial"/>
          <w:color w:val="000000"/>
          <w:sz w:val="20"/>
          <w:szCs w:val="20"/>
        </w:rPr>
        <w:t xml:space="preserve">On March 15, 2021, we redeemed an aggregate of $500 million, or 5,000 of the 7,500 outstanding shares of our </w:t>
      </w:r>
      <w:r>
        <w:rPr>
          <w:rFonts w:ascii="Arial" w:eastAsia="宋体" w:hAnsi="Arial" w:cs="Arial"/>
          <w:color w:val="000000"/>
          <w:sz w:val="20"/>
          <w:szCs w:val="20"/>
        </w:rPr>
        <w:t>non-cumulative perpetual preferred stock, Series F, for cash at a redemption price of $100,000 per share (equivalent to $1,000 per depositary share) plus all declared and unpaid dividends.</w:t>
      </w:r>
    </w:p>
    <w:p w14:paraId="5EA2155D" w14:textId="77777777" w:rsidR="003C66EB" w:rsidRDefault="00D96C4E">
      <w:pPr>
        <w:spacing w:before="60"/>
        <w:ind w:firstLine="450"/>
        <w:jc w:val="both"/>
      </w:pPr>
      <w:r>
        <w:rPr>
          <w:rFonts w:ascii="Arial" w:eastAsia="宋体" w:hAnsi="Arial" w:cs="Arial"/>
          <w:color w:val="000000"/>
          <w:sz w:val="20"/>
          <w:szCs w:val="20"/>
        </w:rPr>
        <w:t>The following tables present the dividends declared for each of the</w:t>
      </w:r>
      <w:r>
        <w:rPr>
          <w:rFonts w:ascii="Arial" w:eastAsia="宋体" w:hAnsi="Arial" w:cs="Arial"/>
          <w:color w:val="000000"/>
          <w:sz w:val="20"/>
          <w:szCs w:val="20"/>
        </w:rPr>
        <w:t xml:space="preserv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3C66EB" w14:paraId="5EA21582" w14:textId="77777777">
        <w:tc>
          <w:tcPr>
            <w:tcW w:w="50" w:type="pct"/>
            <w:shd w:val="clear" w:color="auto" w:fill="auto"/>
          </w:tcPr>
          <w:p w14:paraId="5EA2155E" w14:textId="77777777" w:rsidR="003C66EB" w:rsidRDefault="003C66EB">
            <w:pPr>
              <w:rPr>
                <w:rFonts w:ascii="宋体"/>
              </w:rPr>
            </w:pPr>
          </w:p>
        </w:tc>
        <w:tc>
          <w:tcPr>
            <w:tcW w:w="1011" w:type="pct"/>
            <w:shd w:val="clear" w:color="auto" w:fill="auto"/>
          </w:tcPr>
          <w:p w14:paraId="5EA2155F" w14:textId="77777777" w:rsidR="003C66EB" w:rsidRDefault="003C66EB">
            <w:pPr>
              <w:rPr>
                <w:rFonts w:ascii="宋体"/>
              </w:rPr>
            </w:pPr>
          </w:p>
        </w:tc>
        <w:tc>
          <w:tcPr>
            <w:tcW w:w="5" w:type="pct"/>
            <w:shd w:val="clear" w:color="auto" w:fill="auto"/>
          </w:tcPr>
          <w:p w14:paraId="5EA21560" w14:textId="77777777" w:rsidR="003C66EB" w:rsidRDefault="003C66EB">
            <w:pPr>
              <w:rPr>
                <w:rFonts w:ascii="宋体"/>
              </w:rPr>
            </w:pPr>
          </w:p>
        </w:tc>
        <w:tc>
          <w:tcPr>
            <w:tcW w:w="50" w:type="pct"/>
            <w:shd w:val="clear" w:color="auto" w:fill="auto"/>
          </w:tcPr>
          <w:p w14:paraId="5EA21561" w14:textId="77777777" w:rsidR="003C66EB" w:rsidRDefault="003C66EB">
            <w:pPr>
              <w:rPr>
                <w:rFonts w:ascii="宋体"/>
              </w:rPr>
            </w:pPr>
          </w:p>
        </w:tc>
        <w:tc>
          <w:tcPr>
            <w:tcW w:w="570" w:type="pct"/>
            <w:shd w:val="clear" w:color="auto" w:fill="auto"/>
          </w:tcPr>
          <w:p w14:paraId="5EA21562" w14:textId="77777777" w:rsidR="003C66EB" w:rsidRDefault="003C66EB">
            <w:pPr>
              <w:rPr>
                <w:rFonts w:ascii="宋体"/>
              </w:rPr>
            </w:pPr>
          </w:p>
        </w:tc>
        <w:tc>
          <w:tcPr>
            <w:tcW w:w="5" w:type="pct"/>
            <w:shd w:val="clear" w:color="auto" w:fill="auto"/>
          </w:tcPr>
          <w:p w14:paraId="5EA21563" w14:textId="77777777" w:rsidR="003C66EB" w:rsidRDefault="003C66EB">
            <w:pPr>
              <w:rPr>
                <w:rFonts w:ascii="宋体"/>
              </w:rPr>
            </w:pPr>
          </w:p>
        </w:tc>
        <w:tc>
          <w:tcPr>
            <w:tcW w:w="5" w:type="pct"/>
            <w:shd w:val="clear" w:color="auto" w:fill="auto"/>
          </w:tcPr>
          <w:p w14:paraId="5EA21564" w14:textId="77777777" w:rsidR="003C66EB" w:rsidRDefault="003C66EB">
            <w:pPr>
              <w:rPr>
                <w:rFonts w:ascii="宋体"/>
              </w:rPr>
            </w:pPr>
          </w:p>
        </w:tc>
        <w:tc>
          <w:tcPr>
            <w:tcW w:w="26" w:type="pct"/>
            <w:shd w:val="clear" w:color="auto" w:fill="auto"/>
          </w:tcPr>
          <w:p w14:paraId="5EA21565" w14:textId="77777777" w:rsidR="003C66EB" w:rsidRDefault="003C66EB">
            <w:pPr>
              <w:rPr>
                <w:rFonts w:ascii="宋体"/>
              </w:rPr>
            </w:pPr>
          </w:p>
        </w:tc>
        <w:tc>
          <w:tcPr>
            <w:tcW w:w="5" w:type="pct"/>
            <w:shd w:val="clear" w:color="auto" w:fill="auto"/>
          </w:tcPr>
          <w:p w14:paraId="5EA21566" w14:textId="77777777" w:rsidR="003C66EB" w:rsidRDefault="003C66EB">
            <w:pPr>
              <w:rPr>
                <w:rFonts w:ascii="宋体"/>
              </w:rPr>
            </w:pPr>
          </w:p>
        </w:tc>
        <w:tc>
          <w:tcPr>
            <w:tcW w:w="50" w:type="pct"/>
            <w:shd w:val="clear" w:color="auto" w:fill="auto"/>
          </w:tcPr>
          <w:p w14:paraId="5EA21567" w14:textId="77777777" w:rsidR="003C66EB" w:rsidRDefault="003C66EB">
            <w:pPr>
              <w:rPr>
                <w:rFonts w:ascii="宋体"/>
              </w:rPr>
            </w:pPr>
          </w:p>
        </w:tc>
        <w:tc>
          <w:tcPr>
            <w:tcW w:w="570" w:type="pct"/>
            <w:shd w:val="clear" w:color="auto" w:fill="auto"/>
          </w:tcPr>
          <w:p w14:paraId="5EA21568" w14:textId="77777777" w:rsidR="003C66EB" w:rsidRDefault="003C66EB">
            <w:pPr>
              <w:rPr>
                <w:rFonts w:ascii="宋体"/>
              </w:rPr>
            </w:pPr>
          </w:p>
        </w:tc>
        <w:tc>
          <w:tcPr>
            <w:tcW w:w="5" w:type="pct"/>
            <w:shd w:val="clear" w:color="auto" w:fill="auto"/>
          </w:tcPr>
          <w:p w14:paraId="5EA21569" w14:textId="77777777" w:rsidR="003C66EB" w:rsidRDefault="003C66EB">
            <w:pPr>
              <w:rPr>
                <w:rFonts w:ascii="宋体"/>
              </w:rPr>
            </w:pPr>
          </w:p>
        </w:tc>
        <w:tc>
          <w:tcPr>
            <w:tcW w:w="5" w:type="pct"/>
            <w:shd w:val="clear" w:color="auto" w:fill="auto"/>
          </w:tcPr>
          <w:p w14:paraId="5EA2156A" w14:textId="77777777" w:rsidR="003C66EB" w:rsidRDefault="003C66EB">
            <w:pPr>
              <w:rPr>
                <w:rFonts w:ascii="宋体"/>
              </w:rPr>
            </w:pPr>
          </w:p>
        </w:tc>
        <w:tc>
          <w:tcPr>
            <w:tcW w:w="26" w:type="pct"/>
            <w:shd w:val="clear" w:color="auto" w:fill="auto"/>
          </w:tcPr>
          <w:p w14:paraId="5EA2156B" w14:textId="77777777" w:rsidR="003C66EB" w:rsidRDefault="003C66EB">
            <w:pPr>
              <w:rPr>
                <w:rFonts w:ascii="宋体"/>
              </w:rPr>
            </w:pPr>
          </w:p>
        </w:tc>
        <w:tc>
          <w:tcPr>
            <w:tcW w:w="5" w:type="pct"/>
            <w:shd w:val="clear" w:color="auto" w:fill="auto"/>
          </w:tcPr>
          <w:p w14:paraId="5EA2156C" w14:textId="77777777" w:rsidR="003C66EB" w:rsidRDefault="003C66EB">
            <w:pPr>
              <w:rPr>
                <w:rFonts w:ascii="宋体"/>
              </w:rPr>
            </w:pPr>
          </w:p>
        </w:tc>
        <w:tc>
          <w:tcPr>
            <w:tcW w:w="50" w:type="pct"/>
            <w:shd w:val="clear" w:color="auto" w:fill="auto"/>
          </w:tcPr>
          <w:p w14:paraId="5EA2156D" w14:textId="77777777" w:rsidR="003C66EB" w:rsidRDefault="003C66EB">
            <w:pPr>
              <w:rPr>
                <w:rFonts w:ascii="宋体"/>
              </w:rPr>
            </w:pPr>
          </w:p>
        </w:tc>
        <w:tc>
          <w:tcPr>
            <w:tcW w:w="570" w:type="pct"/>
            <w:shd w:val="clear" w:color="auto" w:fill="auto"/>
          </w:tcPr>
          <w:p w14:paraId="5EA2156E" w14:textId="77777777" w:rsidR="003C66EB" w:rsidRDefault="003C66EB">
            <w:pPr>
              <w:rPr>
                <w:rFonts w:ascii="宋体"/>
              </w:rPr>
            </w:pPr>
          </w:p>
        </w:tc>
        <w:tc>
          <w:tcPr>
            <w:tcW w:w="5" w:type="pct"/>
            <w:shd w:val="clear" w:color="auto" w:fill="auto"/>
          </w:tcPr>
          <w:p w14:paraId="5EA2156F" w14:textId="77777777" w:rsidR="003C66EB" w:rsidRDefault="003C66EB">
            <w:pPr>
              <w:rPr>
                <w:rFonts w:ascii="宋体"/>
              </w:rPr>
            </w:pPr>
          </w:p>
        </w:tc>
        <w:tc>
          <w:tcPr>
            <w:tcW w:w="5" w:type="pct"/>
            <w:shd w:val="clear" w:color="auto" w:fill="auto"/>
          </w:tcPr>
          <w:p w14:paraId="5EA21570" w14:textId="77777777" w:rsidR="003C66EB" w:rsidRDefault="003C66EB">
            <w:pPr>
              <w:rPr>
                <w:rFonts w:ascii="宋体"/>
              </w:rPr>
            </w:pPr>
          </w:p>
        </w:tc>
        <w:tc>
          <w:tcPr>
            <w:tcW w:w="26" w:type="pct"/>
            <w:shd w:val="clear" w:color="auto" w:fill="auto"/>
          </w:tcPr>
          <w:p w14:paraId="5EA21571" w14:textId="77777777" w:rsidR="003C66EB" w:rsidRDefault="003C66EB">
            <w:pPr>
              <w:rPr>
                <w:rFonts w:ascii="宋体"/>
              </w:rPr>
            </w:pPr>
          </w:p>
        </w:tc>
        <w:tc>
          <w:tcPr>
            <w:tcW w:w="5" w:type="pct"/>
            <w:shd w:val="clear" w:color="auto" w:fill="auto"/>
          </w:tcPr>
          <w:p w14:paraId="5EA21572" w14:textId="77777777" w:rsidR="003C66EB" w:rsidRDefault="003C66EB">
            <w:pPr>
              <w:rPr>
                <w:rFonts w:ascii="宋体"/>
              </w:rPr>
            </w:pPr>
          </w:p>
        </w:tc>
        <w:tc>
          <w:tcPr>
            <w:tcW w:w="50" w:type="pct"/>
            <w:shd w:val="clear" w:color="auto" w:fill="auto"/>
          </w:tcPr>
          <w:p w14:paraId="5EA21573" w14:textId="77777777" w:rsidR="003C66EB" w:rsidRDefault="003C66EB">
            <w:pPr>
              <w:rPr>
                <w:rFonts w:ascii="宋体"/>
              </w:rPr>
            </w:pPr>
          </w:p>
        </w:tc>
        <w:tc>
          <w:tcPr>
            <w:tcW w:w="570" w:type="pct"/>
            <w:shd w:val="clear" w:color="auto" w:fill="auto"/>
          </w:tcPr>
          <w:p w14:paraId="5EA21574" w14:textId="77777777" w:rsidR="003C66EB" w:rsidRDefault="003C66EB">
            <w:pPr>
              <w:rPr>
                <w:rFonts w:ascii="宋体"/>
              </w:rPr>
            </w:pPr>
          </w:p>
        </w:tc>
        <w:tc>
          <w:tcPr>
            <w:tcW w:w="5" w:type="pct"/>
            <w:shd w:val="clear" w:color="auto" w:fill="auto"/>
          </w:tcPr>
          <w:p w14:paraId="5EA21575" w14:textId="77777777" w:rsidR="003C66EB" w:rsidRDefault="003C66EB">
            <w:pPr>
              <w:rPr>
                <w:rFonts w:ascii="宋体"/>
              </w:rPr>
            </w:pPr>
          </w:p>
        </w:tc>
        <w:tc>
          <w:tcPr>
            <w:tcW w:w="5" w:type="pct"/>
            <w:shd w:val="clear" w:color="auto" w:fill="auto"/>
          </w:tcPr>
          <w:p w14:paraId="5EA21576" w14:textId="77777777" w:rsidR="003C66EB" w:rsidRDefault="003C66EB">
            <w:pPr>
              <w:rPr>
                <w:rFonts w:ascii="宋体"/>
              </w:rPr>
            </w:pPr>
          </w:p>
        </w:tc>
        <w:tc>
          <w:tcPr>
            <w:tcW w:w="26" w:type="pct"/>
            <w:shd w:val="clear" w:color="auto" w:fill="auto"/>
          </w:tcPr>
          <w:p w14:paraId="5EA21577" w14:textId="77777777" w:rsidR="003C66EB" w:rsidRDefault="003C66EB">
            <w:pPr>
              <w:rPr>
                <w:rFonts w:ascii="宋体"/>
              </w:rPr>
            </w:pPr>
          </w:p>
        </w:tc>
        <w:tc>
          <w:tcPr>
            <w:tcW w:w="5" w:type="pct"/>
            <w:shd w:val="clear" w:color="auto" w:fill="auto"/>
          </w:tcPr>
          <w:p w14:paraId="5EA21578" w14:textId="77777777" w:rsidR="003C66EB" w:rsidRDefault="003C66EB">
            <w:pPr>
              <w:rPr>
                <w:rFonts w:ascii="宋体"/>
              </w:rPr>
            </w:pPr>
          </w:p>
        </w:tc>
        <w:tc>
          <w:tcPr>
            <w:tcW w:w="50" w:type="pct"/>
            <w:shd w:val="clear" w:color="auto" w:fill="auto"/>
          </w:tcPr>
          <w:p w14:paraId="5EA21579" w14:textId="77777777" w:rsidR="003C66EB" w:rsidRDefault="003C66EB">
            <w:pPr>
              <w:rPr>
                <w:rFonts w:ascii="宋体"/>
              </w:rPr>
            </w:pPr>
          </w:p>
        </w:tc>
        <w:tc>
          <w:tcPr>
            <w:tcW w:w="570" w:type="pct"/>
            <w:shd w:val="clear" w:color="auto" w:fill="auto"/>
          </w:tcPr>
          <w:p w14:paraId="5EA2157A" w14:textId="77777777" w:rsidR="003C66EB" w:rsidRDefault="003C66EB">
            <w:pPr>
              <w:rPr>
                <w:rFonts w:ascii="宋体"/>
              </w:rPr>
            </w:pPr>
          </w:p>
        </w:tc>
        <w:tc>
          <w:tcPr>
            <w:tcW w:w="5" w:type="pct"/>
            <w:shd w:val="clear" w:color="auto" w:fill="auto"/>
          </w:tcPr>
          <w:p w14:paraId="5EA2157B" w14:textId="77777777" w:rsidR="003C66EB" w:rsidRDefault="003C66EB">
            <w:pPr>
              <w:rPr>
                <w:rFonts w:ascii="宋体"/>
              </w:rPr>
            </w:pPr>
          </w:p>
        </w:tc>
        <w:tc>
          <w:tcPr>
            <w:tcW w:w="5" w:type="pct"/>
            <w:shd w:val="clear" w:color="auto" w:fill="auto"/>
          </w:tcPr>
          <w:p w14:paraId="5EA2157C" w14:textId="77777777" w:rsidR="003C66EB" w:rsidRDefault="003C66EB">
            <w:pPr>
              <w:rPr>
                <w:rFonts w:ascii="宋体"/>
              </w:rPr>
            </w:pPr>
          </w:p>
        </w:tc>
        <w:tc>
          <w:tcPr>
            <w:tcW w:w="26" w:type="pct"/>
            <w:shd w:val="clear" w:color="auto" w:fill="auto"/>
          </w:tcPr>
          <w:p w14:paraId="5EA2157D" w14:textId="77777777" w:rsidR="003C66EB" w:rsidRDefault="003C66EB">
            <w:pPr>
              <w:rPr>
                <w:rFonts w:ascii="宋体"/>
              </w:rPr>
            </w:pPr>
          </w:p>
        </w:tc>
        <w:tc>
          <w:tcPr>
            <w:tcW w:w="5" w:type="pct"/>
            <w:shd w:val="clear" w:color="auto" w:fill="auto"/>
          </w:tcPr>
          <w:p w14:paraId="5EA2157E" w14:textId="77777777" w:rsidR="003C66EB" w:rsidRDefault="003C66EB">
            <w:pPr>
              <w:rPr>
                <w:rFonts w:ascii="宋体"/>
              </w:rPr>
            </w:pPr>
          </w:p>
        </w:tc>
        <w:tc>
          <w:tcPr>
            <w:tcW w:w="50" w:type="pct"/>
            <w:shd w:val="clear" w:color="auto" w:fill="auto"/>
          </w:tcPr>
          <w:p w14:paraId="5EA2157F" w14:textId="77777777" w:rsidR="003C66EB" w:rsidRDefault="003C66EB">
            <w:pPr>
              <w:rPr>
                <w:rFonts w:ascii="宋体"/>
              </w:rPr>
            </w:pPr>
          </w:p>
        </w:tc>
        <w:tc>
          <w:tcPr>
            <w:tcW w:w="570" w:type="pct"/>
            <w:shd w:val="clear" w:color="auto" w:fill="auto"/>
          </w:tcPr>
          <w:p w14:paraId="5EA21580" w14:textId="77777777" w:rsidR="003C66EB" w:rsidRDefault="003C66EB">
            <w:pPr>
              <w:rPr>
                <w:rFonts w:ascii="宋体"/>
              </w:rPr>
            </w:pPr>
          </w:p>
        </w:tc>
        <w:tc>
          <w:tcPr>
            <w:tcW w:w="5" w:type="pct"/>
            <w:shd w:val="clear" w:color="auto" w:fill="auto"/>
          </w:tcPr>
          <w:p w14:paraId="5EA21581" w14:textId="77777777" w:rsidR="003C66EB" w:rsidRDefault="003C66EB">
            <w:pPr>
              <w:rPr>
                <w:rFonts w:ascii="宋体"/>
              </w:rPr>
            </w:pPr>
          </w:p>
        </w:tc>
      </w:tr>
      <w:tr w:rsidR="003C66EB" w14:paraId="5EA21584" w14:textId="77777777">
        <w:tc>
          <w:tcPr>
            <w:tcW w:w="0" w:type="auto"/>
            <w:gridSpan w:val="36"/>
            <w:shd w:val="clear" w:color="auto" w:fill="auto"/>
            <w:tcMar>
              <w:top w:w="40" w:type="dxa"/>
              <w:left w:w="20" w:type="dxa"/>
              <w:bottom w:w="40" w:type="dxa"/>
              <w:right w:w="20" w:type="dxa"/>
            </w:tcMar>
            <w:vAlign w:val="bottom"/>
          </w:tcPr>
          <w:p w14:paraId="5EA21583" w14:textId="77777777" w:rsidR="003C66EB" w:rsidRDefault="00D96C4E">
            <w:pPr>
              <w:textAlignment w:val="bottom"/>
            </w:pPr>
            <w:r>
              <w:rPr>
                <w:rFonts w:ascii="Arial" w:eastAsia="宋体" w:hAnsi="Arial" w:cs="Arial"/>
                <w:b/>
                <w:bCs/>
                <w:color w:val="000000"/>
                <w:sz w:val="16"/>
                <w:szCs w:val="16"/>
              </w:rPr>
              <w:t>TABLE 41: PREFERRED STOCK DIVIDENDS</w:t>
            </w:r>
          </w:p>
        </w:tc>
      </w:tr>
      <w:tr w:rsidR="003C66EB" w14:paraId="5EA215A5" w14:textId="77777777">
        <w:trPr>
          <w:hidden/>
        </w:trPr>
        <w:tc>
          <w:tcPr>
            <w:tcW w:w="0" w:type="auto"/>
            <w:gridSpan w:val="3"/>
            <w:shd w:val="clear" w:color="auto" w:fill="auto"/>
          </w:tcPr>
          <w:p w14:paraId="5EA21585" w14:textId="77777777" w:rsidR="003C66EB" w:rsidRDefault="003C66EB">
            <w:pPr>
              <w:rPr>
                <w:rFonts w:ascii="宋体"/>
                <w:vanish/>
              </w:rPr>
            </w:pPr>
          </w:p>
        </w:tc>
        <w:tc>
          <w:tcPr>
            <w:tcW w:w="0" w:type="auto"/>
            <w:gridSpan w:val="3"/>
            <w:shd w:val="clear" w:color="auto" w:fill="auto"/>
          </w:tcPr>
          <w:p w14:paraId="5EA21586" w14:textId="77777777" w:rsidR="003C66EB" w:rsidRDefault="003C66EB">
            <w:pPr>
              <w:rPr>
                <w:rFonts w:ascii="宋体"/>
                <w:vanish/>
              </w:rPr>
            </w:pPr>
          </w:p>
        </w:tc>
        <w:tc>
          <w:tcPr>
            <w:tcW w:w="0" w:type="auto"/>
            <w:shd w:val="clear" w:color="auto" w:fill="auto"/>
          </w:tcPr>
          <w:p w14:paraId="5EA21587" w14:textId="77777777" w:rsidR="003C66EB" w:rsidRDefault="003C66EB">
            <w:pPr>
              <w:rPr>
                <w:rFonts w:ascii="宋体"/>
              </w:rPr>
            </w:pPr>
          </w:p>
        </w:tc>
        <w:tc>
          <w:tcPr>
            <w:tcW w:w="0" w:type="auto"/>
            <w:shd w:val="clear" w:color="auto" w:fill="auto"/>
          </w:tcPr>
          <w:p w14:paraId="5EA21588" w14:textId="77777777" w:rsidR="003C66EB" w:rsidRDefault="003C66EB">
            <w:pPr>
              <w:rPr>
                <w:rFonts w:ascii="宋体"/>
              </w:rPr>
            </w:pPr>
          </w:p>
        </w:tc>
        <w:tc>
          <w:tcPr>
            <w:tcW w:w="0" w:type="auto"/>
            <w:shd w:val="clear" w:color="auto" w:fill="auto"/>
          </w:tcPr>
          <w:p w14:paraId="5EA21589" w14:textId="77777777" w:rsidR="003C66EB" w:rsidRDefault="003C66EB">
            <w:pPr>
              <w:rPr>
                <w:rFonts w:ascii="宋体"/>
              </w:rPr>
            </w:pPr>
          </w:p>
        </w:tc>
        <w:tc>
          <w:tcPr>
            <w:tcW w:w="0" w:type="auto"/>
            <w:shd w:val="clear" w:color="auto" w:fill="auto"/>
          </w:tcPr>
          <w:p w14:paraId="5EA2158A" w14:textId="77777777" w:rsidR="003C66EB" w:rsidRDefault="003C66EB">
            <w:pPr>
              <w:rPr>
                <w:rFonts w:ascii="宋体"/>
              </w:rPr>
            </w:pPr>
          </w:p>
        </w:tc>
        <w:tc>
          <w:tcPr>
            <w:tcW w:w="0" w:type="auto"/>
            <w:shd w:val="clear" w:color="auto" w:fill="auto"/>
          </w:tcPr>
          <w:p w14:paraId="5EA2158B" w14:textId="77777777" w:rsidR="003C66EB" w:rsidRDefault="003C66EB">
            <w:pPr>
              <w:rPr>
                <w:rFonts w:ascii="宋体"/>
              </w:rPr>
            </w:pPr>
          </w:p>
        </w:tc>
        <w:tc>
          <w:tcPr>
            <w:tcW w:w="0" w:type="auto"/>
            <w:shd w:val="clear" w:color="auto" w:fill="auto"/>
          </w:tcPr>
          <w:p w14:paraId="5EA2158C" w14:textId="77777777" w:rsidR="003C66EB" w:rsidRDefault="003C66EB">
            <w:pPr>
              <w:rPr>
                <w:rFonts w:ascii="宋体"/>
              </w:rPr>
            </w:pPr>
          </w:p>
        </w:tc>
        <w:tc>
          <w:tcPr>
            <w:tcW w:w="0" w:type="auto"/>
            <w:shd w:val="clear" w:color="auto" w:fill="auto"/>
          </w:tcPr>
          <w:p w14:paraId="5EA2158D" w14:textId="77777777" w:rsidR="003C66EB" w:rsidRDefault="003C66EB">
            <w:pPr>
              <w:rPr>
                <w:rFonts w:ascii="宋体"/>
              </w:rPr>
            </w:pPr>
          </w:p>
        </w:tc>
        <w:tc>
          <w:tcPr>
            <w:tcW w:w="0" w:type="auto"/>
            <w:shd w:val="clear" w:color="auto" w:fill="auto"/>
          </w:tcPr>
          <w:p w14:paraId="5EA2158E" w14:textId="77777777" w:rsidR="003C66EB" w:rsidRDefault="003C66EB">
            <w:pPr>
              <w:rPr>
                <w:rFonts w:ascii="宋体"/>
              </w:rPr>
            </w:pPr>
          </w:p>
        </w:tc>
        <w:tc>
          <w:tcPr>
            <w:tcW w:w="0" w:type="auto"/>
            <w:shd w:val="clear" w:color="auto" w:fill="auto"/>
          </w:tcPr>
          <w:p w14:paraId="5EA2158F" w14:textId="77777777" w:rsidR="003C66EB" w:rsidRDefault="003C66EB">
            <w:pPr>
              <w:rPr>
                <w:rFonts w:ascii="宋体"/>
              </w:rPr>
            </w:pPr>
          </w:p>
        </w:tc>
        <w:tc>
          <w:tcPr>
            <w:tcW w:w="0" w:type="auto"/>
            <w:shd w:val="clear" w:color="auto" w:fill="auto"/>
          </w:tcPr>
          <w:p w14:paraId="5EA21590" w14:textId="77777777" w:rsidR="003C66EB" w:rsidRDefault="003C66EB">
            <w:pPr>
              <w:rPr>
                <w:rFonts w:ascii="宋体"/>
              </w:rPr>
            </w:pPr>
          </w:p>
        </w:tc>
        <w:tc>
          <w:tcPr>
            <w:tcW w:w="0" w:type="auto"/>
            <w:shd w:val="clear" w:color="auto" w:fill="auto"/>
          </w:tcPr>
          <w:p w14:paraId="5EA21591" w14:textId="77777777" w:rsidR="003C66EB" w:rsidRDefault="003C66EB">
            <w:pPr>
              <w:rPr>
                <w:rFonts w:ascii="宋体"/>
              </w:rPr>
            </w:pPr>
          </w:p>
        </w:tc>
        <w:tc>
          <w:tcPr>
            <w:tcW w:w="0" w:type="auto"/>
            <w:shd w:val="clear" w:color="auto" w:fill="auto"/>
          </w:tcPr>
          <w:p w14:paraId="5EA21592" w14:textId="77777777" w:rsidR="003C66EB" w:rsidRDefault="003C66EB">
            <w:pPr>
              <w:rPr>
                <w:rFonts w:ascii="宋体"/>
              </w:rPr>
            </w:pPr>
          </w:p>
        </w:tc>
        <w:tc>
          <w:tcPr>
            <w:tcW w:w="0" w:type="auto"/>
            <w:shd w:val="clear" w:color="auto" w:fill="auto"/>
          </w:tcPr>
          <w:p w14:paraId="5EA21593" w14:textId="77777777" w:rsidR="003C66EB" w:rsidRDefault="003C66EB">
            <w:pPr>
              <w:rPr>
                <w:rFonts w:ascii="宋体"/>
              </w:rPr>
            </w:pPr>
          </w:p>
        </w:tc>
        <w:tc>
          <w:tcPr>
            <w:tcW w:w="0" w:type="auto"/>
            <w:shd w:val="clear" w:color="auto" w:fill="auto"/>
          </w:tcPr>
          <w:p w14:paraId="5EA21594" w14:textId="77777777" w:rsidR="003C66EB" w:rsidRDefault="003C66EB">
            <w:pPr>
              <w:rPr>
                <w:rFonts w:ascii="宋体"/>
              </w:rPr>
            </w:pPr>
          </w:p>
        </w:tc>
        <w:tc>
          <w:tcPr>
            <w:tcW w:w="0" w:type="auto"/>
            <w:shd w:val="clear" w:color="auto" w:fill="auto"/>
          </w:tcPr>
          <w:p w14:paraId="5EA21595" w14:textId="77777777" w:rsidR="003C66EB" w:rsidRDefault="003C66EB">
            <w:pPr>
              <w:rPr>
                <w:rFonts w:ascii="宋体"/>
              </w:rPr>
            </w:pPr>
          </w:p>
        </w:tc>
        <w:tc>
          <w:tcPr>
            <w:tcW w:w="0" w:type="auto"/>
            <w:shd w:val="clear" w:color="auto" w:fill="auto"/>
          </w:tcPr>
          <w:p w14:paraId="5EA21596" w14:textId="77777777" w:rsidR="003C66EB" w:rsidRDefault="003C66EB">
            <w:pPr>
              <w:rPr>
                <w:rFonts w:ascii="宋体"/>
              </w:rPr>
            </w:pPr>
          </w:p>
        </w:tc>
        <w:tc>
          <w:tcPr>
            <w:tcW w:w="0" w:type="auto"/>
            <w:shd w:val="clear" w:color="auto" w:fill="auto"/>
          </w:tcPr>
          <w:p w14:paraId="5EA21597" w14:textId="77777777" w:rsidR="003C66EB" w:rsidRDefault="003C66EB">
            <w:pPr>
              <w:rPr>
                <w:rFonts w:ascii="宋体"/>
              </w:rPr>
            </w:pPr>
          </w:p>
        </w:tc>
        <w:tc>
          <w:tcPr>
            <w:tcW w:w="0" w:type="auto"/>
            <w:shd w:val="clear" w:color="auto" w:fill="auto"/>
          </w:tcPr>
          <w:p w14:paraId="5EA21598" w14:textId="77777777" w:rsidR="003C66EB" w:rsidRDefault="003C66EB">
            <w:pPr>
              <w:rPr>
                <w:rFonts w:ascii="宋体"/>
              </w:rPr>
            </w:pPr>
          </w:p>
        </w:tc>
        <w:tc>
          <w:tcPr>
            <w:tcW w:w="0" w:type="auto"/>
            <w:shd w:val="clear" w:color="auto" w:fill="auto"/>
          </w:tcPr>
          <w:p w14:paraId="5EA21599" w14:textId="77777777" w:rsidR="003C66EB" w:rsidRDefault="003C66EB">
            <w:pPr>
              <w:rPr>
                <w:rFonts w:ascii="宋体"/>
              </w:rPr>
            </w:pPr>
          </w:p>
        </w:tc>
        <w:tc>
          <w:tcPr>
            <w:tcW w:w="0" w:type="auto"/>
            <w:shd w:val="clear" w:color="auto" w:fill="auto"/>
          </w:tcPr>
          <w:p w14:paraId="5EA2159A" w14:textId="77777777" w:rsidR="003C66EB" w:rsidRDefault="003C66EB">
            <w:pPr>
              <w:rPr>
                <w:rFonts w:ascii="宋体"/>
              </w:rPr>
            </w:pPr>
          </w:p>
        </w:tc>
        <w:tc>
          <w:tcPr>
            <w:tcW w:w="0" w:type="auto"/>
            <w:shd w:val="clear" w:color="auto" w:fill="auto"/>
          </w:tcPr>
          <w:p w14:paraId="5EA2159B" w14:textId="77777777" w:rsidR="003C66EB" w:rsidRDefault="003C66EB">
            <w:pPr>
              <w:rPr>
                <w:rFonts w:ascii="宋体"/>
              </w:rPr>
            </w:pPr>
          </w:p>
        </w:tc>
        <w:tc>
          <w:tcPr>
            <w:tcW w:w="0" w:type="auto"/>
            <w:shd w:val="clear" w:color="auto" w:fill="auto"/>
          </w:tcPr>
          <w:p w14:paraId="5EA2159C" w14:textId="77777777" w:rsidR="003C66EB" w:rsidRDefault="003C66EB">
            <w:pPr>
              <w:rPr>
                <w:rFonts w:ascii="宋体"/>
              </w:rPr>
            </w:pPr>
          </w:p>
        </w:tc>
        <w:tc>
          <w:tcPr>
            <w:tcW w:w="0" w:type="auto"/>
            <w:shd w:val="clear" w:color="auto" w:fill="auto"/>
          </w:tcPr>
          <w:p w14:paraId="5EA2159D" w14:textId="77777777" w:rsidR="003C66EB" w:rsidRDefault="003C66EB">
            <w:pPr>
              <w:rPr>
                <w:rFonts w:ascii="宋体"/>
              </w:rPr>
            </w:pPr>
          </w:p>
        </w:tc>
        <w:tc>
          <w:tcPr>
            <w:tcW w:w="0" w:type="auto"/>
            <w:shd w:val="clear" w:color="auto" w:fill="auto"/>
          </w:tcPr>
          <w:p w14:paraId="5EA2159E" w14:textId="77777777" w:rsidR="003C66EB" w:rsidRDefault="003C66EB">
            <w:pPr>
              <w:rPr>
                <w:rFonts w:ascii="宋体"/>
              </w:rPr>
            </w:pPr>
          </w:p>
        </w:tc>
        <w:tc>
          <w:tcPr>
            <w:tcW w:w="0" w:type="auto"/>
            <w:shd w:val="clear" w:color="auto" w:fill="auto"/>
          </w:tcPr>
          <w:p w14:paraId="5EA2159F" w14:textId="77777777" w:rsidR="003C66EB" w:rsidRDefault="003C66EB">
            <w:pPr>
              <w:rPr>
                <w:rFonts w:ascii="宋体"/>
              </w:rPr>
            </w:pPr>
          </w:p>
        </w:tc>
        <w:tc>
          <w:tcPr>
            <w:tcW w:w="0" w:type="auto"/>
            <w:shd w:val="clear" w:color="auto" w:fill="auto"/>
          </w:tcPr>
          <w:p w14:paraId="5EA215A0" w14:textId="77777777" w:rsidR="003C66EB" w:rsidRDefault="003C66EB">
            <w:pPr>
              <w:rPr>
                <w:rFonts w:ascii="宋体"/>
              </w:rPr>
            </w:pPr>
          </w:p>
        </w:tc>
        <w:tc>
          <w:tcPr>
            <w:tcW w:w="0" w:type="auto"/>
            <w:shd w:val="clear" w:color="auto" w:fill="auto"/>
          </w:tcPr>
          <w:p w14:paraId="5EA215A1" w14:textId="77777777" w:rsidR="003C66EB" w:rsidRDefault="003C66EB">
            <w:pPr>
              <w:rPr>
                <w:rFonts w:ascii="宋体"/>
              </w:rPr>
            </w:pPr>
          </w:p>
        </w:tc>
        <w:tc>
          <w:tcPr>
            <w:tcW w:w="0" w:type="auto"/>
            <w:shd w:val="clear" w:color="auto" w:fill="auto"/>
          </w:tcPr>
          <w:p w14:paraId="5EA215A2" w14:textId="77777777" w:rsidR="003C66EB" w:rsidRDefault="003C66EB">
            <w:pPr>
              <w:rPr>
                <w:rFonts w:ascii="宋体"/>
              </w:rPr>
            </w:pPr>
          </w:p>
        </w:tc>
        <w:tc>
          <w:tcPr>
            <w:tcW w:w="0" w:type="auto"/>
            <w:shd w:val="clear" w:color="auto" w:fill="auto"/>
          </w:tcPr>
          <w:p w14:paraId="5EA215A3" w14:textId="77777777" w:rsidR="003C66EB" w:rsidRDefault="003C66EB">
            <w:pPr>
              <w:rPr>
                <w:rFonts w:ascii="宋体"/>
              </w:rPr>
            </w:pPr>
          </w:p>
        </w:tc>
        <w:tc>
          <w:tcPr>
            <w:tcW w:w="0" w:type="auto"/>
            <w:shd w:val="clear" w:color="auto" w:fill="auto"/>
          </w:tcPr>
          <w:p w14:paraId="5EA215A4" w14:textId="77777777" w:rsidR="003C66EB" w:rsidRDefault="003C66EB">
            <w:pPr>
              <w:rPr>
                <w:rFonts w:ascii="宋体"/>
              </w:rPr>
            </w:pPr>
          </w:p>
        </w:tc>
      </w:tr>
      <w:tr w:rsidR="003C66EB" w14:paraId="5EA215C2" w14:textId="77777777">
        <w:trPr>
          <w:hidden/>
        </w:trPr>
        <w:tc>
          <w:tcPr>
            <w:tcW w:w="0" w:type="auto"/>
            <w:gridSpan w:val="3"/>
            <w:shd w:val="clear" w:color="auto" w:fill="auto"/>
          </w:tcPr>
          <w:p w14:paraId="5EA215A6" w14:textId="77777777" w:rsidR="003C66EB" w:rsidRDefault="003C66EB">
            <w:pPr>
              <w:rPr>
                <w:rFonts w:ascii="宋体"/>
                <w:vanish/>
              </w:rPr>
            </w:pPr>
          </w:p>
        </w:tc>
        <w:tc>
          <w:tcPr>
            <w:tcW w:w="0" w:type="auto"/>
            <w:gridSpan w:val="3"/>
            <w:shd w:val="clear" w:color="auto" w:fill="auto"/>
          </w:tcPr>
          <w:p w14:paraId="5EA215A7" w14:textId="77777777" w:rsidR="003C66EB" w:rsidRDefault="003C66EB">
            <w:pPr>
              <w:rPr>
                <w:rFonts w:ascii="宋体"/>
                <w:vanish/>
              </w:rPr>
            </w:pPr>
          </w:p>
        </w:tc>
        <w:tc>
          <w:tcPr>
            <w:tcW w:w="0" w:type="auto"/>
            <w:gridSpan w:val="3"/>
            <w:shd w:val="clear" w:color="auto" w:fill="auto"/>
          </w:tcPr>
          <w:p w14:paraId="5EA215A8" w14:textId="77777777" w:rsidR="003C66EB" w:rsidRDefault="003C66EB">
            <w:pPr>
              <w:rPr>
                <w:rFonts w:ascii="宋体"/>
                <w:vanish/>
              </w:rPr>
            </w:pPr>
          </w:p>
        </w:tc>
        <w:tc>
          <w:tcPr>
            <w:tcW w:w="0" w:type="auto"/>
            <w:gridSpan w:val="3"/>
            <w:shd w:val="clear" w:color="auto" w:fill="auto"/>
          </w:tcPr>
          <w:p w14:paraId="5EA215A9" w14:textId="77777777" w:rsidR="003C66EB" w:rsidRDefault="003C66EB">
            <w:pPr>
              <w:rPr>
                <w:rFonts w:ascii="宋体"/>
                <w:vanish/>
              </w:rPr>
            </w:pPr>
          </w:p>
        </w:tc>
        <w:tc>
          <w:tcPr>
            <w:tcW w:w="0" w:type="auto"/>
            <w:shd w:val="clear" w:color="auto" w:fill="auto"/>
          </w:tcPr>
          <w:p w14:paraId="5EA215AA" w14:textId="77777777" w:rsidR="003C66EB" w:rsidRDefault="003C66EB">
            <w:pPr>
              <w:rPr>
                <w:rFonts w:ascii="宋体"/>
              </w:rPr>
            </w:pPr>
          </w:p>
        </w:tc>
        <w:tc>
          <w:tcPr>
            <w:tcW w:w="0" w:type="auto"/>
            <w:shd w:val="clear" w:color="auto" w:fill="auto"/>
          </w:tcPr>
          <w:p w14:paraId="5EA215AB" w14:textId="77777777" w:rsidR="003C66EB" w:rsidRDefault="003C66EB">
            <w:pPr>
              <w:rPr>
                <w:rFonts w:ascii="宋体"/>
              </w:rPr>
            </w:pPr>
          </w:p>
        </w:tc>
        <w:tc>
          <w:tcPr>
            <w:tcW w:w="0" w:type="auto"/>
            <w:shd w:val="clear" w:color="auto" w:fill="auto"/>
          </w:tcPr>
          <w:p w14:paraId="5EA215AC" w14:textId="77777777" w:rsidR="003C66EB" w:rsidRDefault="003C66EB">
            <w:pPr>
              <w:rPr>
                <w:rFonts w:ascii="宋体"/>
              </w:rPr>
            </w:pPr>
          </w:p>
        </w:tc>
        <w:tc>
          <w:tcPr>
            <w:tcW w:w="0" w:type="auto"/>
            <w:shd w:val="clear" w:color="auto" w:fill="auto"/>
          </w:tcPr>
          <w:p w14:paraId="5EA215AD" w14:textId="77777777" w:rsidR="003C66EB" w:rsidRDefault="003C66EB">
            <w:pPr>
              <w:rPr>
                <w:rFonts w:ascii="宋体"/>
              </w:rPr>
            </w:pPr>
          </w:p>
        </w:tc>
        <w:tc>
          <w:tcPr>
            <w:tcW w:w="0" w:type="auto"/>
            <w:shd w:val="clear" w:color="auto" w:fill="auto"/>
          </w:tcPr>
          <w:p w14:paraId="5EA215AE" w14:textId="77777777" w:rsidR="003C66EB" w:rsidRDefault="003C66EB">
            <w:pPr>
              <w:rPr>
                <w:rFonts w:ascii="宋体"/>
              </w:rPr>
            </w:pPr>
          </w:p>
        </w:tc>
        <w:tc>
          <w:tcPr>
            <w:tcW w:w="0" w:type="auto"/>
            <w:shd w:val="clear" w:color="auto" w:fill="auto"/>
          </w:tcPr>
          <w:p w14:paraId="5EA215AF" w14:textId="77777777" w:rsidR="003C66EB" w:rsidRDefault="003C66EB">
            <w:pPr>
              <w:rPr>
                <w:rFonts w:ascii="宋体"/>
              </w:rPr>
            </w:pPr>
          </w:p>
        </w:tc>
        <w:tc>
          <w:tcPr>
            <w:tcW w:w="0" w:type="auto"/>
            <w:shd w:val="clear" w:color="auto" w:fill="auto"/>
          </w:tcPr>
          <w:p w14:paraId="5EA215B0" w14:textId="77777777" w:rsidR="003C66EB" w:rsidRDefault="003C66EB">
            <w:pPr>
              <w:rPr>
                <w:rFonts w:ascii="宋体"/>
              </w:rPr>
            </w:pPr>
          </w:p>
        </w:tc>
        <w:tc>
          <w:tcPr>
            <w:tcW w:w="0" w:type="auto"/>
            <w:shd w:val="clear" w:color="auto" w:fill="auto"/>
          </w:tcPr>
          <w:p w14:paraId="5EA215B1" w14:textId="77777777" w:rsidR="003C66EB" w:rsidRDefault="003C66EB">
            <w:pPr>
              <w:rPr>
                <w:rFonts w:ascii="宋体"/>
              </w:rPr>
            </w:pPr>
          </w:p>
        </w:tc>
        <w:tc>
          <w:tcPr>
            <w:tcW w:w="0" w:type="auto"/>
            <w:shd w:val="clear" w:color="auto" w:fill="auto"/>
          </w:tcPr>
          <w:p w14:paraId="5EA215B2" w14:textId="77777777" w:rsidR="003C66EB" w:rsidRDefault="003C66EB">
            <w:pPr>
              <w:rPr>
                <w:rFonts w:ascii="宋体"/>
              </w:rPr>
            </w:pPr>
          </w:p>
        </w:tc>
        <w:tc>
          <w:tcPr>
            <w:tcW w:w="0" w:type="auto"/>
            <w:shd w:val="clear" w:color="auto" w:fill="auto"/>
          </w:tcPr>
          <w:p w14:paraId="5EA215B3" w14:textId="77777777" w:rsidR="003C66EB" w:rsidRDefault="003C66EB">
            <w:pPr>
              <w:rPr>
                <w:rFonts w:ascii="宋体"/>
              </w:rPr>
            </w:pPr>
          </w:p>
        </w:tc>
        <w:tc>
          <w:tcPr>
            <w:tcW w:w="0" w:type="auto"/>
            <w:shd w:val="clear" w:color="auto" w:fill="auto"/>
          </w:tcPr>
          <w:p w14:paraId="5EA215B4" w14:textId="77777777" w:rsidR="003C66EB" w:rsidRDefault="003C66EB">
            <w:pPr>
              <w:rPr>
                <w:rFonts w:ascii="宋体"/>
              </w:rPr>
            </w:pPr>
          </w:p>
        </w:tc>
        <w:tc>
          <w:tcPr>
            <w:tcW w:w="0" w:type="auto"/>
            <w:shd w:val="clear" w:color="auto" w:fill="auto"/>
          </w:tcPr>
          <w:p w14:paraId="5EA215B5" w14:textId="77777777" w:rsidR="003C66EB" w:rsidRDefault="003C66EB">
            <w:pPr>
              <w:rPr>
                <w:rFonts w:ascii="宋体"/>
              </w:rPr>
            </w:pPr>
          </w:p>
        </w:tc>
        <w:tc>
          <w:tcPr>
            <w:tcW w:w="0" w:type="auto"/>
            <w:shd w:val="clear" w:color="auto" w:fill="auto"/>
          </w:tcPr>
          <w:p w14:paraId="5EA215B6" w14:textId="77777777" w:rsidR="003C66EB" w:rsidRDefault="003C66EB">
            <w:pPr>
              <w:rPr>
                <w:rFonts w:ascii="宋体"/>
              </w:rPr>
            </w:pPr>
          </w:p>
        </w:tc>
        <w:tc>
          <w:tcPr>
            <w:tcW w:w="0" w:type="auto"/>
            <w:shd w:val="clear" w:color="auto" w:fill="auto"/>
          </w:tcPr>
          <w:p w14:paraId="5EA215B7" w14:textId="77777777" w:rsidR="003C66EB" w:rsidRDefault="003C66EB">
            <w:pPr>
              <w:rPr>
                <w:rFonts w:ascii="宋体"/>
              </w:rPr>
            </w:pPr>
          </w:p>
        </w:tc>
        <w:tc>
          <w:tcPr>
            <w:tcW w:w="0" w:type="auto"/>
            <w:shd w:val="clear" w:color="auto" w:fill="auto"/>
          </w:tcPr>
          <w:p w14:paraId="5EA215B8" w14:textId="77777777" w:rsidR="003C66EB" w:rsidRDefault="003C66EB">
            <w:pPr>
              <w:rPr>
                <w:rFonts w:ascii="宋体"/>
              </w:rPr>
            </w:pPr>
          </w:p>
        </w:tc>
        <w:tc>
          <w:tcPr>
            <w:tcW w:w="0" w:type="auto"/>
            <w:shd w:val="clear" w:color="auto" w:fill="auto"/>
          </w:tcPr>
          <w:p w14:paraId="5EA215B9" w14:textId="77777777" w:rsidR="003C66EB" w:rsidRDefault="003C66EB">
            <w:pPr>
              <w:rPr>
                <w:rFonts w:ascii="宋体"/>
              </w:rPr>
            </w:pPr>
          </w:p>
        </w:tc>
        <w:tc>
          <w:tcPr>
            <w:tcW w:w="0" w:type="auto"/>
            <w:shd w:val="clear" w:color="auto" w:fill="auto"/>
          </w:tcPr>
          <w:p w14:paraId="5EA215BA" w14:textId="77777777" w:rsidR="003C66EB" w:rsidRDefault="003C66EB">
            <w:pPr>
              <w:rPr>
                <w:rFonts w:ascii="宋体"/>
              </w:rPr>
            </w:pPr>
          </w:p>
        </w:tc>
        <w:tc>
          <w:tcPr>
            <w:tcW w:w="0" w:type="auto"/>
            <w:shd w:val="clear" w:color="auto" w:fill="auto"/>
          </w:tcPr>
          <w:p w14:paraId="5EA215BB" w14:textId="77777777" w:rsidR="003C66EB" w:rsidRDefault="003C66EB">
            <w:pPr>
              <w:rPr>
                <w:rFonts w:ascii="宋体"/>
              </w:rPr>
            </w:pPr>
          </w:p>
        </w:tc>
        <w:tc>
          <w:tcPr>
            <w:tcW w:w="0" w:type="auto"/>
            <w:shd w:val="clear" w:color="auto" w:fill="auto"/>
          </w:tcPr>
          <w:p w14:paraId="5EA215BC" w14:textId="77777777" w:rsidR="003C66EB" w:rsidRDefault="003C66EB">
            <w:pPr>
              <w:rPr>
                <w:rFonts w:ascii="宋体"/>
              </w:rPr>
            </w:pPr>
          </w:p>
        </w:tc>
        <w:tc>
          <w:tcPr>
            <w:tcW w:w="0" w:type="auto"/>
            <w:shd w:val="clear" w:color="auto" w:fill="auto"/>
          </w:tcPr>
          <w:p w14:paraId="5EA215BD" w14:textId="77777777" w:rsidR="003C66EB" w:rsidRDefault="003C66EB">
            <w:pPr>
              <w:rPr>
                <w:rFonts w:ascii="宋体"/>
              </w:rPr>
            </w:pPr>
          </w:p>
        </w:tc>
        <w:tc>
          <w:tcPr>
            <w:tcW w:w="0" w:type="auto"/>
            <w:shd w:val="clear" w:color="auto" w:fill="auto"/>
          </w:tcPr>
          <w:p w14:paraId="5EA215BE" w14:textId="77777777" w:rsidR="003C66EB" w:rsidRDefault="003C66EB">
            <w:pPr>
              <w:rPr>
                <w:rFonts w:ascii="宋体"/>
              </w:rPr>
            </w:pPr>
          </w:p>
        </w:tc>
        <w:tc>
          <w:tcPr>
            <w:tcW w:w="0" w:type="auto"/>
            <w:shd w:val="clear" w:color="auto" w:fill="auto"/>
          </w:tcPr>
          <w:p w14:paraId="5EA215BF" w14:textId="77777777" w:rsidR="003C66EB" w:rsidRDefault="003C66EB">
            <w:pPr>
              <w:rPr>
                <w:rFonts w:ascii="宋体"/>
              </w:rPr>
            </w:pPr>
          </w:p>
        </w:tc>
        <w:tc>
          <w:tcPr>
            <w:tcW w:w="0" w:type="auto"/>
            <w:shd w:val="clear" w:color="auto" w:fill="auto"/>
          </w:tcPr>
          <w:p w14:paraId="5EA215C0" w14:textId="77777777" w:rsidR="003C66EB" w:rsidRDefault="003C66EB">
            <w:pPr>
              <w:rPr>
                <w:rFonts w:ascii="宋体"/>
              </w:rPr>
            </w:pPr>
          </w:p>
        </w:tc>
        <w:tc>
          <w:tcPr>
            <w:tcW w:w="0" w:type="auto"/>
            <w:shd w:val="clear" w:color="auto" w:fill="auto"/>
          </w:tcPr>
          <w:p w14:paraId="5EA215C1" w14:textId="77777777" w:rsidR="003C66EB" w:rsidRDefault="003C66EB">
            <w:pPr>
              <w:rPr>
                <w:rFonts w:ascii="宋体"/>
              </w:rPr>
            </w:pPr>
          </w:p>
        </w:tc>
      </w:tr>
      <w:tr w:rsidR="003C66EB" w14:paraId="5EA215CF" w14:textId="77777777">
        <w:trPr>
          <w:hidden/>
        </w:trPr>
        <w:tc>
          <w:tcPr>
            <w:tcW w:w="0" w:type="auto"/>
            <w:gridSpan w:val="3"/>
            <w:shd w:val="clear" w:color="auto" w:fill="auto"/>
          </w:tcPr>
          <w:p w14:paraId="5EA215C3" w14:textId="77777777" w:rsidR="003C66EB" w:rsidRDefault="003C66EB">
            <w:pPr>
              <w:rPr>
                <w:rFonts w:ascii="宋体"/>
                <w:vanish/>
              </w:rPr>
            </w:pPr>
          </w:p>
        </w:tc>
        <w:tc>
          <w:tcPr>
            <w:tcW w:w="0" w:type="auto"/>
            <w:gridSpan w:val="3"/>
            <w:shd w:val="clear" w:color="auto" w:fill="auto"/>
          </w:tcPr>
          <w:p w14:paraId="5EA215C4" w14:textId="77777777" w:rsidR="003C66EB" w:rsidRDefault="003C66EB">
            <w:pPr>
              <w:rPr>
                <w:rFonts w:ascii="宋体"/>
                <w:vanish/>
              </w:rPr>
            </w:pPr>
          </w:p>
        </w:tc>
        <w:tc>
          <w:tcPr>
            <w:tcW w:w="0" w:type="auto"/>
            <w:gridSpan w:val="3"/>
            <w:shd w:val="clear" w:color="auto" w:fill="auto"/>
          </w:tcPr>
          <w:p w14:paraId="5EA215C5" w14:textId="77777777" w:rsidR="003C66EB" w:rsidRDefault="003C66EB">
            <w:pPr>
              <w:rPr>
                <w:rFonts w:ascii="宋体"/>
                <w:vanish/>
              </w:rPr>
            </w:pPr>
          </w:p>
        </w:tc>
        <w:tc>
          <w:tcPr>
            <w:tcW w:w="0" w:type="auto"/>
            <w:gridSpan w:val="3"/>
            <w:shd w:val="clear" w:color="auto" w:fill="auto"/>
          </w:tcPr>
          <w:p w14:paraId="5EA215C6" w14:textId="77777777" w:rsidR="003C66EB" w:rsidRDefault="003C66EB">
            <w:pPr>
              <w:rPr>
                <w:rFonts w:ascii="宋体"/>
                <w:vanish/>
              </w:rPr>
            </w:pPr>
          </w:p>
        </w:tc>
        <w:tc>
          <w:tcPr>
            <w:tcW w:w="0" w:type="auto"/>
            <w:gridSpan w:val="3"/>
            <w:shd w:val="clear" w:color="auto" w:fill="auto"/>
          </w:tcPr>
          <w:p w14:paraId="5EA215C7" w14:textId="77777777" w:rsidR="003C66EB" w:rsidRDefault="003C66EB">
            <w:pPr>
              <w:rPr>
                <w:rFonts w:ascii="宋体"/>
                <w:vanish/>
              </w:rPr>
            </w:pPr>
          </w:p>
        </w:tc>
        <w:tc>
          <w:tcPr>
            <w:tcW w:w="0" w:type="auto"/>
            <w:gridSpan w:val="3"/>
            <w:shd w:val="clear" w:color="auto" w:fill="auto"/>
          </w:tcPr>
          <w:p w14:paraId="5EA215C8" w14:textId="77777777" w:rsidR="003C66EB" w:rsidRDefault="003C66EB">
            <w:pPr>
              <w:rPr>
                <w:rFonts w:ascii="宋体"/>
                <w:vanish/>
              </w:rPr>
            </w:pPr>
          </w:p>
        </w:tc>
        <w:tc>
          <w:tcPr>
            <w:tcW w:w="0" w:type="auto"/>
            <w:gridSpan w:val="3"/>
            <w:shd w:val="clear" w:color="auto" w:fill="auto"/>
          </w:tcPr>
          <w:p w14:paraId="5EA215C9" w14:textId="77777777" w:rsidR="003C66EB" w:rsidRDefault="003C66EB">
            <w:pPr>
              <w:rPr>
                <w:rFonts w:ascii="宋体"/>
                <w:vanish/>
              </w:rPr>
            </w:pPr>
          </w:p>
        </w:tc>
        <w:tc>
          <w:tcPr>
            <w:tcW w:w="0" w:type="auto"/>
            <w:gridSpan w:val="3"/>
            <w:shd w:val="clear" w:color="auto" w:fill="auto"/>
          </w:tcPr>
          <w:p w14:paraId="5EA215CA" w14:textId="77777777" w:rsidR="003C66EB" w:rsidRDefault="003C66EB">
            <w:pPr>
              <w:rPr>
                <w:rFonts w:ascii="宋体"/>
                <w:vanish/>
              </w:rPr>
            </w:pPr>
          </w:p>
        </w:tc>
        <w:tc>
          <w:tcPr>
            <w:tcW w:w="0" w:type="auto"/>
            <w:gridSpan w:val="3"/>
            <w:shd w:val="clear" w:color="auto" w:fill="auto"/>
          </w:tcPr>
          <w:p w14:paraId="5EA215CB" w14:textId="77777777" w:rsidR="003C66EB" w:rsidRDefault="003C66EB">
            <w:pPr>
              <w:rPr>
                <w:rFonts w:ascii="宋体"/>
                <w:vanish/>
              </w:rPr>
            </w:pPr>
          </w:p>
        </w:tc>
        <w:tc>
          <w:tcPr>
            <w:tcW w:w="0" w:type="auto"/>
            <w:gridSpan w:val="3"/>
            <w:shd w:val="clear" w:color="auto" w:fill="auto"/>
          </w:tcPr>
          <w:p w14:paraId="5EA215CC" w14:textId="77777777" w:rsidR="003C66EB" w:rsidRDefault="003C66EB">
            <w:pPr>
              <w:rPr>
                <w:rFonts w:ascii="宋体"/>
                <w:vanish/>
              </w:rPr>
            </w:pPr>
          </w:p>
        </w:tc>
        <w:tc>
          <w:tcPr>
            <w:tcW w:w="0" w:type="auto"/>
            <w:gridSpan w:val="3"/>
            <w:shd w:val="clear" w:color="auto" w:fill="auto"/>
          </w:tcPr>
          <w:p w14:paraId="5EA215CD" w14:textId="77777777" w:rsidR="003C66EB" w:rsidRDefault="003C66EB">
            <w:pPr>
              <w:rPr>
                <w:rFonts w:ascii="宋体"/>
                <w:vanish/>
              </w:rPr>
            </w:pPr>
          </w:p>
        </w:tc>
        <w:tc>
          <w:tcPr>
            <w:tcW w:w="0" w:type="auto"/>
            <w:gridSpan w:val="3"/>
            <w:shd w:val="clear" w:color="auto" w:fill="auto"/>
          </w:tcPr>
          <w:p w14:paraId="5EA215CE" w14:textId="77777777" w:rsidR="003C66EB" w:rsidRDefault="003C66EB">
            <w:pPr>
              <w:rPr>
                <w:rFonts w:ascii="宋体"/>
                <w:vanish/>
              </w:rPr>
            </w:pPr>
          </w:p>
        </w:tc>
      </w:tr>
      <w:tr w:rsidR="003C66EB" w14:paraId="5EA215DC" w14:textId="77777777">
        <w:trPr>
          <w:hidden/>
        </w:trPr>
        <w:tc>
          <w:tcPr>
            <w:tcW w:w="0" w:type="auto"/>
            <w:gridSpan w:val="3"/>
            <w:shd w:val="clear" w:color="auto" w:fill="auto"/>
          </w:tcPr>
          <w:p w14:paraId="5EA215D0" w14:textId="77777777" w:rsidR="003C66EB" w:rsidRDefault="003C66EB">
            <w:pPr>
              <w:rPr>
                <w:rFonts w:ascii="宋体"/>
                <w:vanish/>
              </w:rPr>
            </w:pPr>
          </w:p>
        </w:tc>
        <w:tc>
          <w:tcPr>
            <w:tcW w:w="0" w:type="auto"/>
            <w:gridSpan w:val="3"/>
            <w:shd w:val="clear" w:color="auto" w:fill="auto"/>
          </w:tcPr>
          <w:p w14:paraId="5EA215D1" w14:textId="77777777" w:rsidR="003C66EB" w:rsidRDefault="003C66EB">
            <w:pPr>
              <w:rPr>
                <w:rFonts w:ascii="宋体"/>
                <w:vanish/>
              </w:rPr>
            </w:pPr>
          </w:p>
        </w:tc>
        <w:tc>
          <w:tcPr>
            <w:tcW w:w="0" w:type="auto"/>
            <w:gridSpan w:val="3"/>
            <w:shd w:val="clear" w:color="auto" w:fill="auto"/>
          </w:tcPr>
          <w:p w14:paraId="5EA215D2" w14:textId="77777777" w:rsidR="003C66EB" w:rsidRDefault="003C66EB">
            <w:pPr>
              <w:rPr>
                <w:rFonts w:ascii="宋体"/>
                <w:vanish/>
              </w:rPr>
            </w:pPr>
          </w:p>
        </w:tc>
        <w:tc>
          <w:tcPr>
            <w:tcW w:w="0" w:type="auto"/>
            <w:gridSpan w:val="3"/>
            <w:shd w:val="clear" w:color="auto" w:fill="auto"/>
          </w:tcPr>
          <w:p w14:paraId="5EA215D3" w14:textId="77777777" w:rsidR="003C66EB" w:rsidRDefault="003C66EB">
            <w:pPr>
              <w:rPr>
                <w:rFonts w:ascii="宋体"/>
                <w:vanish/>
              </w:rPr>
            </w:pPr>
          </w:p>
        </w:tc>
        <w:tc>
          <w:tcPr>
            <w:tcW w:w="0" w:type="auto"/>
            <w:gridSpan w:val="3"/>
            <w:shd w:val="clear" w:color="auto" w:fill="auto"/>
          </w:tcPr>
          <w:p w14:paraId="5EA215D4" w14:textId="77777777" w:rsidR="003C66EB" w:rsidRDefault="003C66EB">
            <w:pPr>
              <w:rPr>
                <w:rFonts w:ascii="宋体"/>
                <w:vanish/>
              </w:rPr>
            </w:pPr>
          </w:p>
        </w:tc>
        <w:tc>
          <w:tcPr>
            <w:tcW w:w="0" w:type="auto"/>
            <w:gridSpan w:val="3"/>
            <w:shd w:val="clear" w:color="auto" w:fill="auto"/>
          </w:tcPr>
          <w:p w14:paraId="5EA215D5" w14:textId="77777777" w:rsidR="003C66EB" w:rsidRDefault="003C66EB">
            <w:pPr>
              <w:rPr>
                <w:rFonts w:ascii="宋体"/>
                <w:vanish/>
              </w:rPr>
            </w:pPr>
          </w:p>
        </w:tc>
        <w:tc>
          <w:tcPr>
            <w:tcW w:w="0" w:type="auto"/>
            <w:gridSpan w:val="3"/>
            <w:shd w:val="clear" w:color="auto" w:fill="auto"/>
          </w:tcPr>
          <w:p w14:paraId="5EA215D6" w14:textId="77777777" w:rsidR="003C66EB" w:rsidRDefault="003C66EB">
            <w:pPr>
              <w:rPr>
                <w:rFonts w:ascii="宋体"/>
                <w:vanish/>
              </w:rPr>
            </w:pPr>
          </w:p>
        </w:tc>
        <w:tc>
          <w:tcPr>
            <w:tcW w:w="0" w:type="auto"/>
            <w:gridSpan w:val="3"/>
            <w:shd w:val="clear" w:color="auto" w:fill="auto"/>
          </w:tcPr>
          <w:p w14:paraId="5EA215D7" w14:textId="77777777" w:rsidR="003C66EB" w:rsidRDefault="003C66EB">
            <w:pPr>
              <w:rPr>
                <w:rFonts w:ascii="宋体"/>
                <w:vanish/>
              </w:rPr>
            </w:pPr>
          </w:p>
        </w:tc>
        <w:tc>
          <w:tcPr>
            <w:tcW w:w="0" w:type="auto"/>
            <w:gridSpan w:val="3"/>
            <w:shd w:val="clear" w:color="auto" w:fill="auto"/>
          </w:tcPr>
          <w:p w14:paraId="5EA215D8" w14:textId="77777777" w:rsidR="003C66EB" w:rsidRDefault="003C66EB">
            <w:pPr>
              <w:rPr>
                <w:rFonts w:ascii="宋体"/>
                <w:vanish/>
              </w:rPr>
            </w:pPr>
          </w:p>
        </w:tc>
        <w:tc>
          <w:tcPr>
            <w:tcW w:w="0" w:type="auto"/>
            <w:gridSpan w:val="3"/>
            <w:shd w:val="clear" w:color="auto" w:fill="auto"/>
          </w:tcPr>
          <w:p w14:paraId="5EA215D9" w14:textId="77777777" w:rsidR="003C66EB" w:rsidRDefault="003C66EB">
            <w:pPr>
              <w:rPr>
                <w:rFonts w:ascii="宋体"/>
                <w:vanish/>
              </w:rPr>
            </w:pPr>
          </w:p>
        </w:tc>
        <w:tc>
          <w:tcPr>
            <w:tcW w:w="0" w:type="auto"/>
            <w:gridSpan w:val="3"/>
            <w:shd w:val="clear" w:color="auto" w:fill="auto"/>
          </w:tcPr>
          <w:p w14:paraId="5EA215DA" w14:textId="77777777" w:rsidR="003C66EB" w:rsidRDefault="003C66EB">
            <w:pPr>
              <w:rPr>
                <w:rFonts w:ascii="宋体"/>
                <w:vanish/>
              </w:rPr>
            </w:pPr>
          </w:p>
        </w:tc>
        <w:tc>
          <w:tcPr>
            <w:tcW w:w="0" w:type="auto"/>
            <w:gridSpan w:val="3"/>
            <w:shd w:val="clear" w:color="auto" w:fill="auto"/>
          </w:tcPr>
          <w:p w14:paraId="5EA215DB" w14:textId="77777777" w:rsidR="003C66EB" w:rsidRDefault="003C66EB">
            <w:pPr>
              <w:rPr>
                <w:rFonts w:ascii="宋体"/>
                <w:vanish/>
              </w:rPr>
            </w:pPr>
          </w:p>
        </w:tc>
      </w:tr>
      <w:tr w:rsidR="003C66EB" w14:paraId="5EA215E9" w14:textId="77777777">
        <w:trPr>
          <w:hidden/>
        </w:trPr>
        <w:tc>
          <w:tcPr>
            <w:tcW w:w="0" w:type="auto"/>
            <w:gridSpan w:val="3"/>
            <w:shd w:val="clear" w:color="auto" w:fill="auto"/>
          </w:tcPr>
          <w:p w14:paraId="5EA215DD" w14:textId="77777777" w:rsidR="003C66EB" w:rsidRDefault="003C66EB">
            <w:pPr>
              <w:rPr>
                <w:rFonts w:ascii="宋体"/>
                <w:vanish/>
              </w:rPr>
            </w:pPr>
          </w:p>
        </w:tc>
        <w:tc>
          <w:tcPr>
            <w:tcW w:w="0" w:type="auto"/>
            <w:gridSpan w:val="3"/>
            <w:shd w:val="clear" w:color="auto" w:fill="auto"/>
          </w:tcPr>
          <w:p w14:paraId="5EA215DE" w14:textId="77777777" w:rsidR="003C66EB" w:rsidRDefault="003C66EB">
            <w:pPr>
              <w:rPr>
                <w:rFonts w:ascii="宋体"/>
                <w:vanish/>
              </w:rPr>
            </w:pPr>
          </w:p>
        </w:tc>
        <w:tc>
          <w:tcPr>
            <w:tcW w:w="0" w:type="auto"/>
            <w:gridSpan w:val="3"/>
            <w:shd w:val="clear" w:color="auto" w:fill="auto"/>
          </w:tcPr>
          <w:p w14:paraId="5EA215DF" w14:textId="77777777" w:rsidR="003C66EB" w:rsidRDefault="003C66EB">
            <w:pPr>
              <w:rPr>
                <w:rFonts w:ascii="宋体"/>
                <w:vanish/>
              </w:rPr>
            </w:pPr>
          </w:p>
        </w:tc>
        <w:tc>
          <w:tcPr>
            <w:tcW w:w="0" w:type="auto"/>
            <w:gridSpan w:val="3"/>
            <w:shd w:val="clear" w:color="auto" w:fill="auto"/>
          </w:tcPr>
          <w:p w14:paraId="5EA215E0" w14:textId="77777777" w:rsidR="003C66EB" w:rsidRDefault="003C66EB">
            <w:pPr>
              <w:rPr>
                <w:rFonts w:ascii="宋体"/>
                <w:vanish/>
              </w:rPr>
            </w:pPr>
          </w:p>
        </w:tc>
        <w:tc>
          <w:tcPr>
            <w:tcW w:w="0" w:type="auto"/>
            <w:gridSpan w:val="3"/>
            <w:shd w:val="clear" w:color="auto" w:fill="auto"/>
          </w:tcPr>
          <w:p w14:paraId="5EA215E1" w14:textId="77777777" w:rsidR="003C66EB" w:rsidRDefault="003C66EB">
            <w:pPr>
              <w:rPr>
                <w:rFonts w:ascii="宋体"/>
                <w:vanish/>
              </w:rPr>
            </w:pPr>
          </w:p>
        </w:tc>
        <w:tc>
          <w:tcPr>
            <w:tcW w:w="0" w:type="auto"/>
            <w:gridSpan w:val="3"/>
            <w:shd w:val="clear" w:color="auto" w:fill="auto"/>
          </w:tcPr>
          <w:p w14:paraId="5EA215E2" w14:textId="77777777" w:rsidR="003C66EB" w:rsidRDefault="003C66EB">
            <w:pPr>
              <w:rPr>
                <w:rFonts w:ascii="宋体"/>
                <w:vanish/>
              </w:rPr>
            </w:pPr>
          </w:p>
        </w:tc>
        <w:tc>
          <w:tcPr>
            <w:tcW w:w="0" w:type="auto"/>
            <w:gridSpan w:val="3"/>
            <w:shd w:val="clear" w:color="auto" w:fill="auto"/>
          </w:tcPr>
          <w:p w14:paraId="5EA215E3" w14:textId="77777777" w:rsidR="003C66EB" w:rsidRDefault="003C66EB">
            <w:pPr>
              <w:rPr>
                <w:rFonts w:ascii="宋体"/>
                <w:vanish/>
              </w:rPr>
            </w:pPr>
          </w:p>
        </w:tc>
        <w:tc>
          <w:tcPr>
            <w:tcW w:w="0" w:type="auto"/>
            <w:gridSpan w:val="3"/>
            <w:shd w:val="clear" w:color="auto" w:fill="auto"/>
          </w:tcPr>
          <w:p w14:paraId="5EA215E4" w14:textId="77777777" w:rsidR="003C66EB" w:rsidRDefault="003C66EB">
            <w:pPr>
              <w:rPr>
                <w:rFonts w:ascii="宋体"/>
                <w:vanish/>
              </w:rPr>
            </w:pPr>
          </w:p>
        </w:tc>
        <w:tc>
          <w:tcPr>
            <w:tcW w:w="0" w:type="auto"/>
            <w:gridSpan w:val="3"/>
            <w:shd w:val="clear" w:color="auto" w:fill="auto"/>
          </w:tcPr>
          <w:p w14:paraId="5EA215E5" w14:textId="77777777" w:rsidR="003C66EB" w:rsidRDefault="003C66EB">
            <w:pPr>
              <w:rPr>
                <w:rFonts w:ascii="宋体"/>
                <w:vanish/>
              </w:rPr>
            </w:pPr>
          </w:p>
        </w:tc>
        <w:tc>
          <w:tcPr>
            <w:tcW w:w="0" w:type="auto"/>
            <w:gridSpan w:val="3"/>
            <w:shd w:val="clear" w:color="auto" w:fill="auto"/>
          </w:tcPr>
          <w:p w14:paraId="5EA215E6" w14:textId="77777777" w:rsidR="003C66EB" w:rsidRDefault="003C66EB">
            <w:pPr>
              <w:rPr>
                <w:rFonts w:ascii="宋体"/>
                <w:vanish/>
              </w:rPr>
            </w:pPr>
          </w:p>
        </w:tc>
        <w:tc>
          <w:tcPr>
            <w:tcW w:w="0" w:type="auto"/>
            <w:gridSpan w:val="3"/>
            <w:shd w:val="clear" w:color="auto" w:fill="auto"/>
          </w:tcPr>
          <w:p w14:paraId="5EA215E7" w14:textId="77777777" w:rsidR="003C66EB" w:rsidRDefault="003C66EB">
            <w:pPr>
              <w:rPr>
                <w:rFonts w:ascii="宋体"/>
                <w:vanish/>
              </w:rPr>
            </w:pPr>
          </w:p>
        </w:tc>
        <w:tc>
          <w:tcPr>
            <w:tcW w:w="0" w:type="auto"/>
            <w:gridSpan w:val="3"/>
            <w:shd w:val="clear" w:color="auto" w:fill="auto"/>
          </w:tcPr>
          <w:p w14:paraId="5EA215E8" w14:textId="77777777" w:rsidR="003C66EB" w:rsidRDefault="003C66EB">
            <w:pPr>
              <w:rPr>
                <w:rFonts w:ascii="宋体"/>
                <w:vanish/>
              </w:rPr>
            </w:pPr>
          </w:p>
        </w:tc>
      </w:tr>
      <w:tr w:rsidR="003C66EB" w14:paraId="5EA215F6" w14:textId="77777777">
        <w:trPr>
          <w:hidden/>
        </w:trPr>
        <w:tc>
          <w:tcPr>
            <w:tcW w:w="0" w:type="auto"/>
            <w:gridSpan w:val="3"/>
            <w:shd w:val="clear" w:color="auto" w:fill="auto"/>
          </w:tcPr>
          <w:p w14:paraId="5EA215EA" w14:textId="77777777" w:rsidR="003C66EB" w:rsidRDefault="003C66EB">
            <w:pPr>
              <w:rPr>
                <w:rFonts w:ascii="宋体"/>
                <w:vanish/>
              </w:rPr>
            </w:pPr>
          </w:p>
        </w:tc>
        <w:tc>
          <w:tcPr>
            <w:tcW w:w="0" w:type="auto"/>
            <w:gridSpan w:val="3"/>
            <w:shd w:val="clear" w:color="auto" w:fill="auto"/>
          </w:tcPr>
          <w:p w14:paraId="5EA215EB" w14:textId="77777777" w:rsidR="003C66EB" w:rsidRDefault="003C66EB">
            <w:pPr>
              <w:rPr>
                <w:rFonts w:ascii="宋体"/>
                <w:vanish/>
              </w:rPr>
            </w:pPr>
          </w:p>
        </w:tc>
        <w:tc>
          <w:tcPr>
            <w:tcW w:w="0" w:type="auto"/>
            <w:gridSpan w:val="3"/>
            <w:shd w:val="clear" w:color="auto" w:fill="auto"/>
          </w:tcPr>
          <w:p w14:paraId="5EA215EC" w14:textId="77777777" w:rsidR="003C66EB" w:rsidRDefault="003C66EB">
            <w:pPr>
              <w:rPr>
                <w:rFonts w:ascii="宋体"/>
                <w:vanish/>
              </w:rPr>
            </w:pPr>
          </w:p>
        </w:tc>
        <w:tc>
          <w:tcPr>
            <w:tcW w:w="0" w:type="auto"/>
            <w:gridSpan w:val="3"/>
            <w:shd w:val="clear" w:color="auto" w:fill="auto"/>
          </w:tcPr>
          <w:p w14:paraId="5EA215ED" w14:textId="77777777" w:rsidR="003C66EB" w:rsidRDefault="003C66EB">
            <w:pPr>
              <w:rPr>
                <w:rFonts w:ascii="宋体"/>
                <w:vanish/>
              </w:rPr>
            </w:pPr>
          </w:p>
        </w:tc>
        <w:tc>
          <w:tcPr>
            <w:tcW w:w="0" w:type="auto"/>
            <w:gridSpan w:val="3"/>
            <w:shd w:val="clear" w:color="auto" w:fill="auto"/>
          </w:tcPr>
          <w:p w14:paraId="5EA215EE" w14:textId="77777777" w:rsidR="003C66EB" w:rsidRDefault="003C66EB">
            <w:pPr>
              <w:rPr>
                <w:rFonts w:ascii="宋体"/>
                <w:vanish/>
              </w:rPr>
            </w:pPr>
          </w:p>
        </w:tc>
        <w:tc>
          <w:tcPr>
            <w:tcW w:w="0" w:type="auto"/>
            <w:gridSpan w:val="3"/>
            <w:shd w:val="clear" w:color="auto" w:fill="auto"/>
          </w:tcPr>
          <w:p w14:paraId="5EA215EF" w14:textId="77777777" w:rsidR="003C66EB" w:rsidRDefault="003C66EB">
            <w:pPr>
              <w:rPr>
                <w:rFonts w:ascii="宋体"/>
                <w:vanish/>
              </w:rPr>
            </w:pPr>
          </w:p>
        </w:tc>
        <w:tc>
          <w:tcPr>
            <w:tcW w:w="0" w:type="auto"/>
            <w:gridSpan w:val="3"/>
            <w:shd w:val="clear" w:color="auto" w:fill="auto"/>
          </w:tcPr>
          <w:p w14:paraId="5EA215F0" w14:textId="77777777" w:rsidR="003C66EB" w:rsidRDefault="003C66EB">
            <w:pPr>
              <w:rPr>
                <w:rFonts w:ascii="宋体"/>
                <w:vanish/>
              </w:rPr>
            </w:pPr>
          </w:p>
        </w:tc>
        <w:tc>
          <w:tcPr>
            <w:tcW w:w="0" w:type="auto"/>
            <w:gridSpan w:val="3"/>
            <w:shd w:val="clear" w:color="auto" w:fill="auto"/>
          </w:tcPr>
          <w:p w14:paraId="5EA215F1" w14:textId="77777777" w:rsidR="003C66EB" w:rsidRDefault="003C66EB">
            <w:pPr>
              <w:rPr>
                <w:rFonts w:ascii="宋体"/>
                <w:vanish/>
              </w:rPr>
            </w:pPr>
          </w:p>
        </w:tc>
        <w:tc>
          <w:tcPr>
            <w:tcW w:w="0" w:type="auto"/>
            <w:gridSpan w:val="3"/>
            <w:shd w:val="clear" w:color="auto" w:fill="auto"/>
          </w:tcPr>
          <w:p w14:paraId="5EA215F2" w14:textId="77777777" w:rsidR="003C66EB" w:rsidRDefault="003C66EB">
            <w:pPr>
              <w:rPr>
                <w:rFonts w:ascii="宋体"/>
                <w:vanish/>
              </w:rPr>
            </w:pPr>
          </w:p>
        </w:tc>
        <w:tc>
          <w:tcPr>
            <w:tcW w:w="0" w:type="auto"/>
            <w:gridSpan w:val="3"/>
            <w:shd w:val="clear" w:color="auto" w:fill="auto"/>
          </w:tcPr>
          <w:p w14:paraId="5EA215F3" w14:textId="77777777" w:rsidR="003C66EB" w:rsidRDefault="003C66EB">
            <w:pPr>
              <w:rPr>
                <w:rFonts w:ascii="宋体"/>
                <w:vanish/>
              </w:rPr>
            </w:pPr>
          </w:p>
        </w:tc>
        <w:tc>
          <w:tcPr>
            <w:tcW w:w="0" w:type="auto"/>
            <w:gridSpan w:val="3"/>
            <w:shd w:val="clear" w:color="auto" w:fill="auto"/>
          </w:tcPr>
          <w:p w14:paraId="5EA215F4" w14:textId="77777777" w:rsidR="003C66EB" w:rsidRDefault="003C66EB">
            <w:pPr>
              <w:rPr>
                <w:rFonts w:ascii="宋体"/>
                <w:vanish/>
              </w:rPr>
            </w:pPr>
          </w:p>
        </w:tc>
        <w:tc>
          <w:tcPr>
            <w:tcW w:w="0" w:type="auto"/>
            <w:gridSpan w:val="3"/>
            <w:shd w:val="clear" w:color="auto" w:fill="auto"/>
          </w:tcPr>
          <w:p w14:paraId="5EA215F5" w14:textId="77777777" w:rsidR="003C66EB" w:rsidRDefault="003C66EB">
            <w:pPr>
              <w:rPr>
                <w:rFonts w:ascii="宋体"/>
                <w:vanish/>
              </w:rPr>
            </w:pPr>
          </w:p>
        </w:tc>
      </w:tr>
      <w:tr w:rsidR="003C66EB" w14:paraId="5EA21603" w14:textId="77777777">
        <w:trPr>
          <w:hidden/>
        </w:trPr>
        <w:tc>
          <w:tcPr>
            <w:tcW w:w="0" w:type="auto"/>
            <w:gridSpan w:val="3"/>
            <w:shd w:val="clear" w:color="auto" w:fill="auto"/>
          </w:tcPr>
          <w:p w14:paraId="5EA215F7" w14:textId="77777777" w:rsidR="003C66EB" w:rsidRDefault="003C66EB">
            <w:pPr>
              <w:rPr>
                <w:rFonts w:ascii="宋体"/>
                <w:vanish/>
              </w:rPr>
            </w:pPr>
          </w:p>
        </w:tc>
        <w:tc>
          <w:tcPr>
            <w:tcW w:w="0" w:type="auto"/>
            <w:gridSpan w:val="3"/>
            <w:shd w:val="clear" w:color="auto" w:fill="auto"/>
          </w:tcPr>
          <w:p w14:paraId="5EA215F8" w14:textId="77777777" w:rsidR="003C66EB" w:rsidRDefault="003C66EB">
            <w:pPr>
              <w:rPr>
                <w:rFonts w:ascii="宋体"/>
                <w:vanish/>
              </w:rPr>
            </w:pPr>
          </w:p>
        </w:tc>
        <w:tc>
          <w:tcPr>
            <w:tcW w:w="0" w:type="auto"/>
            <w:gridSpan w:val="3"/>
            <w:shd w:val="clear" w:color="auto" w:fill="auto"/>
          </w:tcPr>
          <w:p w14:paraId="5EA215F9" w14:textId="77777777" w:rsidR="003C66EB" w:rsidRDefault="003C66EB">
            <w:pPr>
              <w:rPr>
                <w:rFonts w:ascii="宋体"/>
                <w:vanish/>
              </w:rPr>
            </w:pPr>
          </w:p>
        </w:tc>
        <w:tc>
          <w:tcPr>
            <w:tcW w:w="0" w:type="auto"/>
            <w:gridSpan w:val="3"/>
            <w:shd w:val="clear" w:color="auto" w:fill="auto"/>
          </w:tcPr>
          <w:p w14:paraId="5EA215FA" w14:textId="77777777" w:rsidR="003C66EB" w:rsidRDefault="003C66EB">
            <w:pPr>
              <w:rPr>
                <w:rFonts w:ascii="宋体"/>
                <w:vanish/>
              </w:rPr>
            </w:pPr>
          </w:p>
        </w:tc>
        <w:tc>
          <w:tcPr>
            <w:tcW w:w="0" w:type="auto"/>
            <w:gridSpan w:val="3"/>
            <w:shd w:val="clear" w:color="auto" w:fill="auto"/>
          </w:tcPr>
          <w:p w14:paraId="5EA215FB" w14:textId="77777777" w:rsidR="003C66EB" w:rsidRDefault="003C66EB">
            <w:pPr>
              <w:rPr>
                <w:rFonts w:ascii="宋体"/>
                <w:vanish/>
              </w:rPr>
            </w:pPr>
          </w:p>
        </w:tc>
        <w:tc>
          <w:tcPr>
            <w:tcW w:w="0" w:type="auto"/>
            <w:gridSpan w:val="3"/>
            <w:shd w:val="clear" w:color="auto" w:fill="auto"/>
          </w:tcPr>
          <w:p w14:paraId="5EA215FC" w14:textId="77777777" w:rsidR="003C66EB" w:rsidRDefault="003C66EB">
            <w:pPr>
              <w:rPr>
                <w:rFonts w:ascii="宋体"/>
                <w:vanish/>
              </w:rPr>
            </w:pPr>
          </w:p>
        </w:tc>
        <w:tc>
          <w:tcPr>
            <w:tcW w:w="0" w:type="auto"/>
            <w:gridSpan w:val="3"/>
            <w:shd w:val="clear" w:color="auto" w:fill="auto"/>
          </w:tcPr>
          <w:p w14:paraId="5EA215FD" w14:textId="77777777" w:rsidR="003C66EB" w:rsidRDefault="003C66EB">
            <w:pPr>
              <w:rPr>
                <w:rFonts w:ascii="宋体"/>
                <w:vanish/>
              </w:rPr>
            </w:pPr>
          </w:p>
        </w:tc>
        <w:tc>
          <w:tcPr>
            <w:tcW w:w="0" w:type="auto"/>
            <w:gridSpan w:val="3"/>
            <w:shd w:val="clear" w:color="auto" w:fill="auto"/>
          </w:tcPr>
          <w:p w14:paraId="5EA215FE" w14:textId="77777777" w:rsidR="003C66EB" w:rsidRDefault="003C66EB">
            <w:pPr>
              <w:rPr>
                <w:rFonts w:ascii="宋体"/>
                <w:vanish/>
              </w:rPr>
            </w:pPr>
          </w:p>
        </w:tc>
        <w:tc>
          <w:tcPr>
            <w:tcW w:w="0" w:type="auto"/>
            <w:gridSpan w:val="3"/>
            <w:shd w:val="clear" w:color="auto" w:fill="auto"/>
          </w:tcPr>
          <w:p w14:paraId="5EA215FF" w14:textId="77777777" w:rsidR="003C66EB" w:rsidRDefault="003C66EB">
            <w:pPr>
              <w:rPr>
                <w:rFonts w:ascii="宋体"/>
                <w:vanish/>
              </w:rPr>
            </w:pPr>
          </w:p>
        </w:tc>
        <w:tc>
          <w:tcPr>
            <w:tcW w:w="0" w:type="auto"/>
            <w:gridSpan w:val="3"/>
            <w:shd w:val="clear" w:color="auto" w:fill="auto"/>
          </w:tcPr>
          <w:p w14:paraId="5EA21600" w14:textId="77777777" w:rsidR="003C66EB" w:rsidRDefault="003C66EB">
            <w:pPr>
              <w:rPr>
                <w:rFonts w:ascii="宋体"/>
                <w:vanish/>
              </w:rPr>
            </w:pPr>
          </w:p>
        </w:tc>
        <w:tc>
          <w:tcPr>
            <w:tcW w:w="0" w:type="auto"/>
            <w:gridSpan w:val="3"/>
            <w:shd w:val="clear" w:color="auto" w:fill="auto"/>
          </w:tcPr>
          <w:p w14:paraId="5EA21601" w14:textId="77777777" w:rsidR="003C66EB" w:rsidRDefault="003C66EB">
            <w:pPr>
              <w:rPr>
                <w:rFonts w:ascii="宋体"/>
                <w:vanish/>
              </w:rPr>
            </w:pPr>
          </w:p>
        </w:tc>
        <w:tc>
          <w:tcPr>
            <w:tcW w:w="0" w:type="auto"/>
            <w:gridSpan w:val="3"/>
            <w:shd w:val="clear" w:color="auto" w:fill="auto"/>
          </w:tcPr>
          <w:p w14:paraId="5EA21602" w14:textId="77777777" w:rsidR="003C66EB" w:rsidRDefault="003C66EB">
            <w:pPr>
              <w:rPr>
                <w:rFonts w:ascii="宋体"/>
                <w:vanish/>
              </w:rPr>
            </w:pPr>
          </w:p>
        </w:tc>
      </w:tr>
      <w:tr w:rsidR="003C66EB" w14:paraId="5EA21610" w14:textId="77777777">
        <w:trPr>
          <w:hidden/>
        </w:trPr>
        <w:tc>
          <w:tcPr>
            <w:tcW w:w="0" w:type="auto"/>
            <w:gridSpan w:val="3"/>
            <w:shd w:val="clear" w:color="auto" w:fill="auto"/>
          </w:tcPr>
          <w:p w14:paraId="5EA21604" w14:textId="77777777" w:rsidR="003C66EB" w:rsidRDefault="003C66EB">
            <w:pPr>
              <w:rPr>
                <w:rFonts w:ascii="宋体"/>
                <w:vanish/>
              </w:rPr>
            </w:pPr>
          </w:p>
        </w:tc>
        <w:tc>
          <w:tcPr>
            <w:tcW w:w="0" w:type="auto"/>
            <w:gridSpan w:val="3"/>
            <w:shd w:val="clear" w:color="auto" w:fill="auto"/>
          </w:tcPr>
          <w:p w14:paraId="5EA21605" w14:textId="77777777" w:rsidR="003C66EB" w:rsidRDefault="003C66EB">
            <w:pPr>
              <w:rPr>
                <w:rFonts w:ascii="宋体"/>
                <w:vanish/>
              </w:rPr>
            </w:pPr>
          </w:p>
        </w:tc>
        <w:tc>
          <w:tcPr>
            <w:tcW w:w="0" w:type="auto"/>
            <w:gridSpan w:val="3"/>
            <w:shd w:val="clear" w:color="auto" w:fill="auto"/>
          </w:tcPr>
          <w:p w14:paraId="5EA21606" w14:textId="77777777" w:rsidR="003C66EB" w:rsidRDefault="003C66EB">
            <w:pPr>
              <w:rPr>
                <w:rFonts w:ascii="宋体"/>
                <w:vanish/>
              </w:rPr>
            </w:pPr>
          </w:p>
        </w:tc>
        <w:tc>
          <w:tcPr>
            <w:tcW w:w="0" w:type="auto"/>
            <w:gridSpan w:val="3"/>
            <w:shd w:val="clear" w:color="auto" w:fill="auto"/>
          </w:tcPr>
          <w:p w14:paraId="5EA21607" w14:textId="77777777" w:rsidR="003C66EB" w:rsidRDefault="003C66EB">
            <w:pPr>
              <w:rPr>
                <w:rFonts w:ascii="宋体"/>
                <w:vanish/>
              </w:rPr>
            </w:pPr>
          </w:p>
        </w:tc>
        <w:tc>
          <w:tcPr>
            <w:tcW w:w="0" w:type="auto"/>
            <w:gridSpan w:val="3"/>
            <w:shd w:val="clear" w:color="auto" w:fill="auto"/>
          </w:tcPr>
          <w:p w14:paraId="5EA21608" w14:textId="77777777" w:rsidR="003C66EB" w:rsidRDefault="003C66EB">
            <w:pPr>
              <w:rPr>
                <w:rFonts w:ascii="宋体"/>
                <w:vanish/>
              </w:rPr>
            </w:pPr>
          </w:p>
        </w:tc>
        <w:tc>
          <w:tcPr>
            <w:tcW w:w="0" w:type="auto"/>
            <w:gridSpan w:val="3"/>
            <w:shd w:val="clear" w:color="auto" w:fill="auto"/>
          </w:tcPr>
          <w:p w14:paraId="5EA21609" w14:textId="77777777" w:rsidR="003C66EB" w:rsidRDefault="003C66EB">
            <w:pPr>
              <w:rPr>
                <w:rFonts w:ascii="宋体"/>
                <w:vanish/>
              </w:rPr>
            </w:pPr>
          </w:p>
        </w:tc>
        <w:tc>
          <w:tcPr>
            <w:tcW w:w="0" w:type="auto"/>
            <w:gridSpan w:val="3"/>
            <w:shd w:val="clear" w:color="auto" w:fill="auto"/>
          </w:tcPr>
          <w:p w14:paraId="5EA2160A" w14:textId="77777777" w:rsidR="003C66EB" w:rsidRDefault="003C66EB">
            <w:pPr>
              <w:rPr>
                <w:rFonts w:ascii="宋体"/>
                <w:vanish/>
              </w:rPr>
            </w:pPr>
          </w:p>
        </w:tc>
        <w:tc>
          <w:tcPr>
            <w:tcW w:w="0" w:type="auto"/>
            <w:gridSpan w:val="3"/>
            <w:shd w:val="clear" w:color="auto" w:fill="auto"/>
          </w:tcPr>
          <w:p w14:paraId="5EA2160B" w14:textId="77777777" w:rsidR="003C66EB" w:rsidRDefault="003C66EB">
            <w:pPr>
              <w:rPr>
                <w:rFonts w:ascii="宋体"/>
                <w:vanish/>
              </w:rPr>
            </w:pPr>
          </w:p>
        </w:tc>
        <w:tc>
          <w:tcPr>
            <w:tcW w:w="0" w:type="auto"/>
            <w:gridSpan w:val="3"/>
            <w:shd w:val="clear" w:color="auto" w:fill="auto"/>
          </w:tcPr>
          <w:p w14:paraId="5EA2160C" w14:textId="77777777" w:rsidR="003C66EB" w:rsidRDefault="003C66EB">
            <w:pPr>
              <w:rPr>
                <w:rFonts w:ascii="宋体"/>
                <w:vanish/>
              </w:rPr>
            </w:pPr>
          </w:p>
        </w:tc>
        <w:tc>
          <w:tcPr>
            <w:tcW w:w="0" w:type="auto"/>
            <w:gridSpan w:val="3"/>
            <w:shd w:val="clear" w:color="auto" w:fill="auto"/>
          </w:tcPr>
          <w:p w14:paraId="5EA2160D" w14:textId="77777777" w:rsidR="003C66EB" w:rsidRDefault="003C66EB">
            <w:pPr>
              <w:rPr>
                <w:rFonts w:ascii="宋体"/>
                <w:vanish/>
              </w:rPr>
            </w:pPr>
          </w:p>
        </w:tc>
        <w:tc>
          <w:tcPr>
            <w:tcW w:w="0" w:type="auto"/>
            <w:gridSpan w:val="3"/>
            <w:shd w:val="clear" w:color="auto" w:fill="auto"/>
          </w:tcPr>
          <w:p w14:paraId="5EA2160E" w14:textId="77777777" w:rsidR="003C66EB" w:rsidRDefault="003C66EB">
            <w:pPr>
              <w:rPr>
                <w:rFonts w:ascii="宋体"/>
                <w:vanish/>
              </w:rPr>
            </w:pPr>
          </w:p>
        </w:tc>
        <w:tc>
          <w:tcPr>
            <w:tcW w:w="0" w:type="auto"/>
            <w:gridSpan w:val="3"/>
            <w:shd w:val="clear" w:color="auto" w:fill="auto"/>
          </w:tcPr>
          <w:p w14:paraId="5EA2160F" w14:textId="77777777" w:rsidR="003C66EB" w:rsidRDefault="003C66EB">
            <w:pPr>
              <w:rPr>
                <w:rFonts w:ascii="宋体"/>
                <w:vanish/>
              </w:rPr>
            </w:pPr>
          </w:p>
        </w:tc>
      </w:tr>
      <w:tr w:rsidR="003C66EB" w14:paraId="5EA2161D" w14:textId="77777777">
        <w:trPr>
          <w:hidden/>
        </w:trPr>
        <w:tc>
          <w:tcPr>
            <w:tcW w:w="0" w:type="auto"/>
            <w:gridSpan w:val="3"/>
            <w:shd w:val="clear" w:color="auto" w:fill="auto"/>
          </w:tcPr>
          <w:p w14:paraId="5EA21611" w14:textId="77777777" w:rsidR="003C66EB" w:rsidRDefault="003C66EB">
            <w:pPr>
              <w:rPr>
                <w:rFonts w:ascii="宋体"/>
                <w:vanish/>
              </w:rPr>
            </w:pPr>
          </w:p>
        </w:tc>
        <w:tc>
          <w:tcPr>
            <w:tcW w:w="0" w:type="auto"/>
            <w:gridSpan w:val="3"/>
            <w:shd w:val="clear" w:color="auto" w:fill="auto"/>
          </w:tcPr>
          <w:p w14:paraId="5EA21612" w14:textId="77777777" w:rsidR="003C66EB" w:rsidRDefault="003C66EB">
            <w:pPr>
              <w:rPr>
                <w:rFonts w:ascii="宋体"/>
                <w:vanish/>
              </w:rPr>
            </w:pPr>
          </w:p>
        </w:tc>
        <w:tc>
          <w:tcPr>
            <w:tcW w:w="0" w:type="auto"/>
            <w:gridSpan w:val="3"/>
            <w:shd w:val="clear" w:color="auto" w:fill="auto"/>
          </w:tcPr>
          <w:p w14:paraId="5EA21613" w14:textId="77777777" w:rsidR="003C66EB" w:rsidRDefault="003C66EB">
            <w:pPr>
              <w:rPr>
                <w:rFonts w:ascii="宋体"/>
                <w:vanish/>
              </w:rPr>
            </w:pPr>
          </w:p>
        </w:tc>
        <w:tc>
          <w:tcPr>
            <w:tcW w:w="0" w:type="auto"/>
            <w:gridSpan w:val="3"/>
            <w:shd w:val="clear" w:color="auto" w:fill="auto"/>
          </w:tcPr>
          <w:p w14:paraId="5EA21614" w14:textId="77777777" w:rsidR="003C66EB" w:rsidRDefault="003C66EB">
            <w:pPr>
              <w:rPr>
                <w:rFonts w:ascii="宋体"/>
                <w:vanish/>
              </w:rPr>
            </w:pPr>
          </w:p>
        </w:tc>
        <w:tc>
          <w:tcPr>
            <w:tcW w:w="0" w:type="auto"/>
            <w:gridSpan w:val="3"/>
            <w:shd w:val="clear" w:color="auto" w:fill="auto"/>
          </w:tcPr>
          <w:p w14:paraId="5EA21615" w14:textId="77777777" w:rsidR="003C66EB" w:rsidRDefault="003C66EB">
            <w:pPr>
              <w:rPr>
                <w:rFonts w:ascii="宋体"/>
                <w:vanish/>
              </w:rPr>
            </w:pPr>
          </w:p>
        </w:tc>
        <w:tc>
          <w:tcPr>
            <w:tcW w:w="0" w:type="auto"/>
            <w:gridSpan w:val="3"/>
            <w:shd w:val="clear" w:color="auto" w:fill="auto"/>
          </w:tcPr>
          <w:p w14:paraId="5EA21616" w14:textId="77777777" w:rsidR="003C66EB" w:rsidRDefault="003C66EB">
            <w:pPr>
              <w:rPr>
                <w:rFonts w:ascii="宋体"/>
                <w:vanish/>
              </w:rPr>
            </w:pPr>
          </w:p>
        </w:tc>
        <w:tc>
          <w:tcPr>
            <w:tcW w:w="0" w:type="auto"/>
            <w:gridSpan w:val="3"/>
            <w:shd w:val="clear" w:color="auto" w:fill="auto"/>
          </w:tcPr>
          <w:p w14:paraId="5EA21617" w14:textId="77777777" w:rsidR="003C66EB" w:rsidRDefault="003C66EB">
            <w:pPr>
              <w:rPr>
                <w:rFonts w:ascii="宋体"/>
                <w:vanish/>
              </w:rPr>
            </w:pPr>
          </w:p>
        </w:tc>
        <w:tc>
          <w:tcPr>
            <w:tcW w:w="0" w:type="auto"/>
            <w:gridSpan w:val="3"/>
            <w:shd w:val="clear" w:color="auto" w:fill="auto"/>
          </w:tcPr>
          <w:p w14:paraId="5EA21618" w14:textId="77777777" w:rsidR="003C66EB" w:rsidRDefault="003C66EB">
            <w:pPr>
              <w:rPr>
                <w:rFonts w:ascii="宋体"/>
                <w:vanish/>
              </w:rPr>
            </w:pPr>
          </w:p>
        </w:tc>
        <w:tc>
          <w:tcPr>
            <w:tcW w:w="0" w:type="auto"/>
            <w:gridSpan w:val="3"/>
            <w:shd w:val="clear" w:color="auto" w:fill="auto"/>
          </w:tcPr>
          <w:p w14:paraId="5EA21619" w14:textId="77777777" w:rsidR="003C66EB" w:rsidRDefault="003C66EB">
            <w:pPr>
              <w:rPr>
                <w:rFonts w:ascii="宋体"/>
                <w:vanish/>
              </w:rPr>
            </w:pPr>
          </w:p>
        </w:tc>
        <w:tc>
          <w:tcPr>
            <w:tcW w:w="0" w:type="auto"/>
            <w:gridSpan w:val="3"/>
            <w:shd w:val="clear" w:color="auto" w:fill="auto"/>
          </w:tcPr>
          <w:p w14:paraId="5EA2161A" w14:textId="77777777" w:rsidR="003C66EB" w:rsidRDefault="003C66EB">
            <w:pPr>
              <w:rPr>
                <w:rFonts w:ascii="宋体"/>
                <w:vanish/>
              </w:rPr>
            </w:pPr>
          </w:p>
        </w:tc>
        <w:tc>
          <w:tcPr>
            <w:tcW w:w="0" w:type="auto"/>
            <w:gridSpan w:val="3"/>
            <w:shd w:val="clear" w:color="auto" w:fill="auto"/>
          </w:tcPr>
          <w:p w14:paraId="5EA2161B" w14:textId="77777777" w:rsidR="003C66EB" w:rsidRDefault="003C66EB">
            <w:pPr>
              <w:rPr>
                <w:rFonts w:ascii="宋体"/>
                <w:vanish/>
              </w:rPr>
            </w:pPr>
          </w:p>
        </w:tc>
        <w:tc>
          <w:tcPr>
            <w:tcW w:w="0" w:type="auto"/>
            <w:gridSpan w:val="3"/>
            <w:shd w:val="clear" w:color="auto" w:fill="auto"/>
          </w:tcPr>
          <w:p w14:paraId="5EA2161C" w14:textId="77777777" w:rsidR="003C66EB" w:rsidRDefault="003C66EB">
            <w:pPr>
              <w:rPr>
                <w:rFonts w:ascii="宋体"/>
                <w:vanish/>
              </w:rPr>
            </w:pPr>
          </w:p>
        </w:tc>
      </w:tr>
      <w:tr w:rsidR="003C66EB" w14:paraId="5EA2162A" w14:textId="77777777">
        <w:trPr>
          <w:hidden/>
        </w:trPr>
        <w:tc>
          <w:tcPr>
            <w:tcW w:w="0" w:type="auto"/>
            <w:gridSpan w:val="3"/>
            <w:shd w:val="clear" w:color="auto" w:fill="auto"/>
          </w:tcPr>
          <w:p w14:paraId="5EA2161E" w14:textId="77777777" w:rsidR="003C66EB" w:rsidRDefault="003C66EB">
            <w:pPr>
              <w:rPr>
                <w:rFonts w:ascii="宋体"/>
                <w:vanish/>
              </w:rPr>
            </w:pPr>
          </w:p>
        </w:tc>
        <w:tc>
          <w:tcPr>
            <w:tcW w:w="0" w:type="auto"/>
            <w:gridSpan w:val="3"/>
            <w:shd w:val="clear" w:color="auto" w:fill="auto"/>
          </w:tcPr>
          <w:p w14:paraId="5EA2161F" w14:textId="77777777" w:rsidR="003C66EB" w:rsidRDefault="003C66EB">
            <w:pPr>
              <w:rPr>
                <w:rFonts w:ascii="宋体"/>
                <w:vanish/>
              </w:rPr>
            </w:pPr>
          </w:p>
        </w:tc>
        <w:tc>
          <w:tcPr>
            <w:tcW w:w="0" w:type="auto"/>
            <w:gridSpan w:val="3"/>
            <w:shd w:val="clear" w:color="auto" w:fill="auto"/>
          </w:tcPr>
          <w:p w14:paraId="5EA21620" w14:textId="77777777" w:rsidR="003C66EB" w:rsidRDefault="003C66EB">
            <w:pPr>
              <w:rPr>
                <w:rFonts w:ascii="宋体"/>
                <w:vanish/>
              </w:rPr>
            </w:pPr>
          </w:p>
        </w:tc>
        <w:tc>
          <w:tcPr>
            <w:tcW w:w="0" w:type="auto"/>
            <w:gridSpan w:val="3"/>
            <w:shd w:val="clear" w:color="auto" w:fill="auto"/>
          </w:tcPr>
          <w:p w14:paraId="5EA21621" w14:textId="77777777" w:rsidR="003C66EB" w:rsidRDefault="003C66EB">
            <w:pPr>
              <w:rPr>
                <w:rFonts w:ascii="宋体"/>
                <w:vanish/>
              </w:rPr>
            </w:pPr>
          </w:p>
        </w:tc>
        <w:tc>
          <w:tcPr>
            <w:tcW w:w="0" w:type="auto"/>
            <w:gridSpan w:val="3"/>
            <w:shd w:val="clear" w:color="auto" w:fill="auto"/>
          </w:tcPr>
          <w:p w14:paraId="5EA21622" w14:textId="77777777" w:rsidR="003C66EB" w:rsidRDefault="003C66EB">
            <w:pPr>
              <w:rPr>
                <w:rFonts w:ascii="宋体"/>
                <w:vanish/>
              </w:rPr>
            </w:pPr>
          </w:p>
        </w:tc>
        <w:tc>
          <w:tcPr>
            <w:tcW w:w="0" w:type="auto"/>
            <w:gridSpan w:val="3"/>
            <w:shd w:val="clear" w:color="auto" w:fill="auto"/>
          </w:tcPr>
          <w:p w14:paraId="5EA21623" w14:textId="77777777" w:rsidR="003C66EB" w:rsidRDefault="003C66EB">
            <w:pPr>
              <w:rPr>
                <w:rFonts w:ascii="宋体"/>
                <w:vanish/>
              </w:rPr>
            </w:pPr>
          </w:p>
        </w:tc>
        <w:tc>
          <w:tcPr>
            <w:tcW w:w="0" w:type="auto"/>
            <w:gridSpan w:val="3"/>
            <w:shd w:val="clear" w:color="auto" w:fill="auto"/>
          </w:tcPr>
          <w:p w14:paraId="5EA21624" w14:textId="77777777" w:rsidR="003C66EB" w:rsidRDefault="003C66EB">
            <w:pPr>
              <w:rPr>
                <w:rFonts w:ascii="宋体"/>
                <w:vanish/>
              </w:rPr>
            </w:pPr>
          </w:p>
        </w:tc>
        <w:tc>
          <w:tcPr>
            <w:tcW w:w="0" w:type="auto"/>
            <w:gridSpan w:val="3"/>
            <w:shd w:val="clear" w:color="auto" w:fill="auto"/>
          </w:tcPr>
          <w:p w14:paraId="5EA21625" w14:textId="77777777" w:rsidR="003C66EB" w:rsidRDefault="003C66EB">
            <w:pPr>
              <w:rPr>
                <w:rFonts w:ascii="宋体"/>
                <w:vanish/>
              </w:rPr>
            </w:pPr>
          </w:p>
        </w:tc>
        <w:tc>
          <w:tcPr>
            <w:tcW w:w="0" w:type="auto"/>
            <w:gridSpan w:val="3"/>
            <w:shd w:val="clear" w:color="auto" w:fill="auto"/>
          </w:tcPr>
          <w:p w14:paraId="5EA21626" w14:textId="77777777" w:rsidR="003C66EB" w:rsidRDefault="003C66EB">
            <w:pPr>
              <w:rPr>
                <w:rFonts w:ascii="宋体"/>
                <w:vanish/>
              </w:rPr>
            </w:pPr>
          </w:p>
        </w:tc>
        <w:tc>
          <w:tcPr>
            <w:tcW w:w="0" w:type="auto"/>
            <w:gridSpan w:val="3"/>
            <w:shd w:val="clear" w:color="auto" w:fill="auto"/>
          </w:tcPr>
          <w:p w14:paraId="5EA21627" w14:textId="77777777" w:rsidR="003C66EB" w:rsidRDefault="003C66EB">
            <w:pPr>
              <w:rPr>
                <w:rFonts w:ascii="宋体"/>
                <w:vanish/>
              </w:rPr>
            </w:pPr>
          </w:p>
        </w:tc>
        <w:tc>
          <w:tcPr>
            <w:tcW w:w="0" w:type="auto"/>
            <w:gridSpan w:val="3"/>
            <w:shd w:val="clear" w:color="auto" w:fill="auto"/>
          </w:tcPr>
          <w:p w14:paraId="5EA21628" w14:textId="77777777" w:rsidR="003C66EB" w:rsidRDefault="003C66EB">
            <w:pPr>
              <w:rPr>
                <w:rFonts w:ascii="宋体"/>
                <w:vanish/>
              </w:rPr>
            </w:pPr>
          </w:p>
        </w:tc>
        <w:tc>
          <w:tcPr>
            <w:tcW w:w="0" w:type="auto"/>
            <w:gridSpan w:val="3"/>
            <w:shd w:val="clear" w:color="auto" w:fill="auto"/>
          </w:tcPr>
          <w:p w14:paraId="5EA21629" w14:textId="77777777" w:rsidR="003C66EB" w:rsidRDefault="003C66EB">
            <w:pPr>
              <w:rPr>
                <w:rFonts w:ascii="宋体"/>
                <w:vanish/>
              </w:rPr>
            </w:pPr>
          </w:p>
        </w:tc>
      </w:tr>
      <w:tr w:rsidR="003C66EB" w14:paraId="5EA21637" w14:textId="77777777">
        <w:trPr>
          <w:hidden/>
        </w:trPr>
        <w:tc>
          <w:tcPr>
            <w:tcW w:w="0" w:type="auto"/>
            <w:gridSpan w:val="3"/>
            <w:shd w:val="clear" w:color="auto" w:fill="auto"/>
          </w:tcPr>
          <w:p w14:paraId="5EA2162B" w14:textId="77777777" w:rsidR="003C66EB" w:rsidRDefault="003C66EB">
            <w:pPr>
              <w:rPr>
                <w:rFonts w:ascii="宋体"/>
                <w:vanish/>
              </w:rPr>
            </w:pPr>
          </w:p>
        </w:tc>
        <w:tc>
          <w:tcPr>
            <w:tcW w:w="0" w:type="auto"/>
            <w:gridSpan w:val="3"/>
            <w:shd w:val="clear" w:color="auto" w:fill="auto"/>
          </w:tcPr>
          <w:p w14:paraId="5EA2162C" w14:textId="77777777" w:rsidR="003C66EB" w:rsidRDefault="003C66EB">
            <w:pPr>
              <w:rPr>
                <w:rFonts w:ascii="宋体"/>
                <w:vanish/>
              </w:rPr>
            </w:pPr>
          </w:p>
        </w:tc>
        <w:tc>
          <w:tcPr>
            <w:tcW w:w="0" w:type="auto"/>
            <w:gridSpan w:val="3"/>
            <w:shd w:val="clear" w:color="auto" w:fill="auto"/>
          </w:tcPr>
          <w:p w14:paraId="5EA2162D" w14:textId="77777777" w:rsidR="003C66EB" w:rsidRDefault="003C66EB">
            <w:pPr>
              <w:rPr>
                <w:rFonts w:ascii="宋体"/>
                <w:vanish/>
              </w:rPr>
            </w:pPr>
          </w:p>
        </w:tc>
        <w:tc>
          <w:tcPr>
            <w:tcW w:w="0" w:type="auto"/>
            <w:gridSpan w:val="3"/>
            <w:shd w:val="clear" w:color="auto" w:fill="auto"/>
          </w:tcPr>
          <w:p w14:paraId="5EA2162E" w14:textId="77777777" w:rsidR="003C66EB" w:rsidRDefault="003C66EB">
            <w:pPr>
              <w:rPr>
                <w:rFonts w:ascii="宋体"/>
                <w:vanish/>
              </w:rPr>
            </w:pPr>
          </w:p>
        </w:tc>
        <w:tc>
          <w:tcPr>
            <w:tcW w:w="0" w:type="auto"/>
            <w:gridSpan w:val="3"/>
            <w:shd w:val="clear" w:color="auto" w:fill="auto"/>
          </w:tcPr>
          <w:p w14:paraId="5EA2162F" w14:textId="77777777" w:rsidR="003C66EB" w:rsidRDefault="003C66EB">
            <w:pPr>
              <w:rPr>
                <w:rFonts w:ascii="宋体"/>
                <w:vanish/>
              </w:rPr>
            </w:pPr>
          </w:p>
        </w:tc>
        <w:tc>
          <w:tcPr>
            <w:tcW w:w="0" w:type="auto"/>
            <w:gridSpan w:val="3"/>
            <w:shd w:val="clear" w:color="auto" w:fill="auto"/>
          </w:tcPr>
          <w:p w14:paraId="5EA21630" w14:textId="77777777" w:rsidR="003C66EB" w:rsidRDefault="003C66EB">
            <w:pPr>
              <w:rPr>
                <w:rFonts w:ascii="宋体"/>
                <w:vanish/>
              </w:rPr>
            </w:pPr>
          </w:p>
        </w:tc>
        <w:tc>
          <w:tcPr>
            <w:tcW w:w="0" w:type="auto"/>
            <w:gridSpan w:val="3"/>
            <w:shd w:val="clear" w:color="auto" w:fill="auto"/>
          </w:tcPr>
          <w:p w14:paraId="5EA21631" w14:textId="77777777" w:rsidR="003C66EB" w:rsidRDefault="003C66EB">
            <w:pPr>
              <w:rPr>
                <w:rFonts w:ascii="宋体"/>
                <w:vanish/>
              </w:rPr>
            </w:pPr>
          </w:p>
        </w:tc>
        <w:tc>
          <w:tcPr>
            <w:tcW w:w="0" w:type="auto"/>
            <w:gridSpan w:val="3"/>
            <w:shd w:val="clear" w:color="auto" w:fill="auto"/>
          </w:tcPr>
          <w:p w14:paraId="5EA21632" w14:textId="77777777" w:rsidR="003C66EB" w:rsidRDefault="003C66EB">
            <w:pPr>
              <w:rPr>
                <w:rFonts w:ascii="宋体"/>
                <w:vanish/>
              </w:rPr>
            </w:pPr>
          </w:p>
        </w:tc>
        <w:tc>
          <w:tcPr>
            <w:tcW w:w="0" w:type="auto"/>
            <w:gridSpan w:val="3"/>
            <w:shd w:val="clear" w:color="auto" w:fill="auto"/>
          </w:tcPr>
          <w:p w14:paraId="5EA21633" w14:textId="77777777" w:rsidR="003C66EB" w:rsidRDefault="003C66EB">
            <w:pPr>
              <w:rPr>
                <w:rFonts w:ascii="宋体"/>
                <w:vanish/>
              </w:rPr>
            </w:pPr>
          </w:p>
        </w:tc>
        <w:tc>
          <w:tcPr>
            <w:tcW w:w="0" w:type="auto"/>
            <w:gridSpan w:val="3"/>
            <w:shd w:val="clear" w:color="auto" w:fill="auto"/>
          </w:tcPr>
          <w:p w14:paraId="5EA21634" w14:textId="77777777" w:rsidR="003C66EB" w:rsidRDefault="003C66EB">
            <w:pPr>
              <w:rPr>
                <w:rFonts w:ascii="宋体"/>
                <w:vanish/>
              </w:rPr>
            </w:pPr>
          </w:p>
        </w:tc>
        <w:tc>
          <w:tcPr>
            <w:tcW w:w="0" w:type="auto"/>
            <w:gridSpan w:val="3"/>
            <w:shd w:val="clear" w:color="auto" w:fill="auto"/>
          </w:tcPr>
          <w:p w14:paraId="5EA21635" w14:textId="77777777" w:rsidR="003C66EB" w:rsidRDefault="003C66EB">
            <w:pPr>
              <w:rPr>
                <w:rFonts w:ascii="宋体"/>
                <w:vanish/>
              </w:rPr>
            </w:pPr>
          </w:p>
        </w:tc>
        <w:tc>
          <w:tcPr>
            <w:tcW w:w="0" w:type="auto"/>
            <w:gridSpan w:val="3"/>
            <w:shd w:val="clear" w:color="auto" w:fill="auto"/>
          </w:tcPr>
          <w:p w14:paraId="5EA21636" w14:textId="77777777" w:rsidR="003C66EB" w:rsidRDefault="003C66EB">
            <w:pPr>
              <w:rPr>
                <w:rFonts w:ascii="宋体"/>
                <w:vanish/>
              </w:rPr>
            </w:pPr>
          </w:p>
        </w:tc>
      </w:tr>
      <w:tr w:rsidR="003C66EB" w14:paraId="5EA21644" w14:textId="77777777">
        <w:trPr>
          <w:hidden/>
        </w:trPr>
        <w:tc>
          <w:tcPr>
            <w:tcW w:w="0" w:type="auto"/>
            <w:gridSpan w:val="3"/>
            <w:shd w:val="clear" w:color="auto" w:fill="auto"/>
          </w:tcPr>
          <w:p w14:paraId="5EA21638" w14:textId="77777777" w:rsidR="003C66EB" w:rsidRDefault="003C66EB">
            <w:pPr>
              <w:rPr>
                <w:rFonts w:ascii="宋体"/>
                <w:vanish/>
              </w:rPr>
            </w:pPr>
          </w:p>
        </w:tc>
        <w:tc>
          <w:tcPr>
            <w:tcW w:w="0" w:type="auto"/>
            <w:gridSpan w:val="3"/>
            <w:shd w:val="clear" w:color="auto" w:fill="auto"/>
          </w:tcPr>
          <w:p w14:paraId="5EA21639" w14:textId="77777777" w:rsidR="003C66EB" w:rsidRDefault="003C66EB">
            <w:pPr>
              <w:rPr>
                <w:rFonts w:ascii="宋体"/>
                <w:vanish/>
              </w:rPr>
            </w:pPr>
          </w:p>
        </w:tc>
        <w:tc>
          <w:tcPr>
            <w:tcW w:w="0" w:type="auto"/>
            <w:gridSpan w:val="3"/>
            <w:shd w:val="clear" w:color="auto" w:fill="auto"/>
          </w:tcPr>
          <w:p w14:paraId="5EA2163A" w14:textId="77777777" w:rsidR="003C66EB" w:rsidRDefault="003C66EB">
            <w:pPr>
              <w:rPr>
                <w:rFonts w:ascii="宋体"/>
                <w:vanish/>
              </w:rPr>
            </w:pPr>
          </w:p>
        </w:tc>
        <w:tc>
          <w:tcPr>
            <w:tcW w:w="0" w:type="auto"/>
            <w:gridSpan w:val="3"/>
            <w:shd w:val="clear" w:color="auto" w:fill="auto"/>
          </w:tcPr>
          <w:p w14:paraId="5EA2163B" w14:textId="77777777" w:rsidR="003C66EB" w:rsidRDefault="003C66EB">
            <w:pPr>
              <w:rPr>
                <w:rFonts w:ascii="宋体"/>
                <w:vanish/>
              </w:rPr>
            </w:pPr>
          </w:p>
        </w:tc>
        <w:tc>
          <w:tcPr>
            <w:tcW w:w="0" w:type="auto"/>
            <w:gridSpan w:val="3"/>
            <w:shd w:val="clear" w:color="auto" w:fill="auto"/>
          </w:tcPr>
          <w:p w14:paraId="5EA2163C" w14:textId="77777777" w:rsidR="003C66EB" w:rsidRDefault="003C66EB">
            <w:pPr>
              <w:rPr>
                <w:rFonts w:ascii="宋体"/>
                <w:vanish/>
              </w:rPr>
            </w:pPr>
          </w:p>
        </w:tc>
        <w:tc>
          <w:tcPr>
            <w:tcW w:w="0" w:type="auto"/>
            <w:gridSpan w:val="3"/>
            <w:shd w:val="clear" w:color="auto" w:fill="auto"/>
          </w:tcPr>
          <w:p w14:paraId="5EA2163D" w14:textId="77777777" w:rsidR="003C66EB" w:rsidRDefault="003C66EB">
            <w:pPr>
              <w:rPr>
                <w:rFonts w:ascii="宋体"/>
                <w:vanish/>
              </w:rPr>
            </w:pPr>
          </w:p>
        </w:tc>
        <w:tc>
          <w:tcPr>
            <w:tcW w:w="0" w:type="auto"/>
            <w:gridSpan w:val="3"/>
            <w:shd w:val="clear" w:color="auto" w:fill="auto"/>
          </w:tcPr>
          <w:p w14:paraId="5EA2163E" w14:textId="77777777" w:rsidR="003C66EB" w:rsidRDefault="003C66EB">
            <w:pPr>
              <w:rPr>
                <w:rFonts w:ascii="宋体"/>
                <w:vanish/>
              </w:rPr>
            </w:pPr>
          </w:p>
        </w:tc>
        <w:tc>
          <w:tcPr>
            <w:tcW w:w="0" w:type="auto"/>
            <w:gridSpan w:val="3"/>
            <w:shd w:val="clear" w:color="auto" w:fill="auto"/>
          </w:tcPr>
          <w:p w14:paraId="5EA2163F" w14:textId="77777777" w:rsidR="003C66EB" w:rsidRDefault="003C66EB">
            <w:pPr>
              <w:rPr>
                <w:rFonts w:ascii="宋体"/>
                <w:vanish/>
              </w:rPr>
            </w:pPr>
          </w:p>
        </w:tc>
        <w:tc>
          <w:tcPr>
            <w:tcW w:w="0" w:type="auto"/>
            <w:gridSpan w:val="3"/>
            <w:shd w:val="clear" w:color="auto" w:fill="auto"/>
          </w:tcPr>
          <w:p w14:paraId="5EA21640" w14:textId="77777777" w:rsidR="003C66EB" w:rsidRDefault="003C66EB">
            <w:pPr>
              <w:rPr>
                <w:rFonts w:ascii="宋体"/>
                <w:vanish/>
              </w:rPr>
            </w:pPr>
          </w:p>
        </w:tc>
        <w:tc>
          <w:tcPr>
            <w:tcW w:w="0" w:type="auto"/>
            <w:gridSpan w:val="3"/>
            <w:shd w:val="clear" w:color="auto" w:fill="auto"/>
          </w:tcPr>
          <w:p w14:paraId="5EA21641" w14:textId="77777777" w:rsidR="003C66EB" w:rsidRDefault="003C66EB">
            <w:pPr>
              <w:rPr>
                <w:rFonts w:ascii="宋体"/>
                <w:vanish/>
              </w:rPr>
            </w:pPr>
          </w:p>
        </w:tc>
        <w:tc>
          <w:tcPr>
            <w:tcW w:w="0" w:type="auto"/>
            <w:gridSpan w:val="3"/>
            <w:shd w:val="clear" w:color="auto" w:fill="auto"/>
          </w:tcPr>
          <w:p w14:paraId="5EA21642" w14:textId="77777777" w:rsidR="003C66EB" w:rsidRDefault="003C66EB">
            <w:pPr>
              <w:rPr>
                <w:rFonts w:ascii="宋体"/>
                <w:vanish/>
              </w:rPr>
            </w:pPr>
          </w:p>
        </w:tc>
        <w:tc>
          <w:tcPr>
            <w:tcW w:w="0" w:type="auto"/>
            <w:gridSpan w:val="3"/>
            <w:shd w:val="clear" w:color="auto" w:fill="auto"/>
          </w:tcPr>
          <w:p w14:paraId="5EA21643" w14:textId="77777777" w:rsidR="003C66EB" w:rsidRDefault="003C66EB">
            <w:pPr>
              <w:rPr>
                <w:rFonts w:ascii="宋体"/>
                <w:vanish/>
              </w:rPr>
            </w:pPr>
          </w:p>
        </w:tc>
      </w:tr>
      <w:tr w:rsidR="003C66EB" w14:paraId="5EA21665" w14:textId="77777777">
        <w:trPr>
          <w:hidden/>
        </w:trPr>
        <w:tc>
          <w:tcPr>
            <w:tcW w:w="0" w:type="auto"/>
            <w:gridSpan w:val="3"/>
            <w:shd w:val="clear" w:color="auto" w:fill="auto"/>
          </w:tcPr>
          <w:p w14:paraId="5EA21645" w14:textId="77777777" w:rsidR="003C66EB" w:rsidRDefault="003C66EB">
            <w:pPr>
              <w:rPr>
                <w:rFonts w:ascii="宋体"/>
                <w:vanish/>
              </w:rPr>
            </w:pPr>
          </w:p>
        </w:tc>
        <w:tc>
          <w:tcPr>
            <w:tcW w:w="0" w:type="auto"/>
            <w:gridSpan w:val="3"/>
            <w:shd w:val="clear" w:color="auto" w:fill="auto"/>
          </w:tcPr>
          <w:p w14:paraId="5EA21646" w14:textId="77777777" w:rsidR="003C66EB" w:rsidRDefault="003C66EB">
            <w:pPr>
              <w:rPr>
                <w:rFonts w:ascii="宋体"/>
                <w:vanish/>
              </w:rPr>
            </w:pPr>
          </w:p>
        </w:tc>
        <w:tc>
          <w:tcPr>
            <w:tcW w:w="0" w:type="auto"/>
            <w:shd w:val="clear" w:color="auto" w:fill="auto"/>
          </w:tcPr>
          <w:p w14:paraId="5EA21647" w14:textId="77777777" w:rsidR="003C66EB" w:rsidRDefault="003C66EB">
            <w:pPr>
              <w:rPr>
                <w:rFonts w:ascii="宋体"/>
              </w:rPr>
            </w:pPr>
          </w:p>
        </w:tc>
        <w:tc>
          <w:tcPr>
            <w:tcW w:w="0" w:type="auto"/>
            <w:shd w:val="clear" w:color="auto" w:fill="auto"/>
          </w:tcPr>
          <w:p w14:paraId="5EA21648" w14:textId="77777777" w:rsidR="003C66EB" w:rsidRDefault="003C66EB">
            <w:pPr>
              <w:rPr>
                <w:rFonts w:ascii="宋体"/>
              </w:rPr>
            </w:pPr>
          </w:p>
        </w:tc>
        <w:tc>
          <w:tcPr>
            <w:tcW w:w="0" w:type="auto"/>
            <w:shd w:val="clear" w:color="auto" w:fill="auto"/>
          </w:tcPr>
          <w:p w14:paraId="5EA21649" w14:textId="77777777" w:rsidR="003C66EB" w:rsidRDefault="003C66EB">
            <w:pPr>
              <w:rPr>
                <w:rFonts w:ascii="宋体"/>
              </w:rPr>
            </w:pPr>
          </w:p>
        </w:tc>
        <w:tc>
          <w:tcPr>
            <w:tcW w:w="0" w:type="auto"/>
            <w:shd w:val="clear" w:color="auto" w:fill="auto"/>
          </w:tcPr>
          <w:p w14:paraId="5EA2164A" w14:textId="77777777" w:rsidR="003C66EB" w:rsidRDefault="003C66EB">
            <w:pPr>
              <w:rPr>
                <w:rFonts w:ascii="宋体"/>
              </w:rPr>
            </w:pPr>
          </w:p>
        </w:tc>
        <w:tc>
          <w:tcPr>
            <w:tcW w:w="0" w:type="auto"/>
            <w:shd w:val="clear" w:color="auto" w:fill="auto"/>
          </w:tcPr>
          <w:p w14:paraId="5EA2164B" w14:textId="77777777" w:rsidR="003C66EB" w:rsidRDefault="003C66EB">
            <w:pPr>
              <w:rPr>
                <w:rFonts w:ascii="宋体"/>
              </w:rPr>
            </w:pPr>
          </w:p>
        </w:tc>
        <w:tc>
          <w:tcPr>
            <w:tcW w:w="0" w:type="auto"/>
            <w:shd w:val="clear" w:color="auto" w:fill="auto"/>
          </w:tcPr>
          <w:p w14:paraId="5EA2164C" w14:textId="77777777" w:rsidR="003C66EB" w:rsidRDefault="003C66EB">
            <w:pPr>
              <w:rPr>
                <w:rFonts w:ascii="宋体"/>
              </w:rPr>
            </w:pPr>
          </w:p>
        </w:tc>
        <w:tc>
          <w:tcPr>
            <w:tcW w:w="0" w:type="auto"/>
            <w:shd w:val="clear" w:color="auto" w:fill="auto"/>
          </w:tcPr>
          <w:p w14:paraId="5EA2164D" w14:textId="77777777" w:rsidR="003C66EB" w:rsidRDefault="003C66EB">
            <w:pPr>
              <w:rPr>
                <w:rFonts w:ascii="宋体"/>
              </w:rPr>
            </w:pPr>
          </w:p>
        </w:tc>
        <w:tc>
          <w:tcPr>
            <w:tcW w:w="0" w:type="auto"/>
            <w:shd w:val="clear" w:color="auto" w:fill="auto"/>
          </w:tcPr>
          <w:p w14:paraId="5EA2164E" w14:textId="77777777" w:rsidR="003C66EB" w:rsidRDefault="003C66EB">
            <w:pPr>
              <w:rPr>
                <w:rFonts w:ascii="宋体"/>
              </w:rPr>
            </w:pPr>
          </w:p>
        </w:tc>
        <w:tc>
          <w:tcPr>
            <w:tcW w:w="0" w:type="auto"/>
            <w:shd w:val="clear" w:color="auto" w:fill="auto"/>
          </w:tcPr>
          <w:p w14:paraId="5EA2164F" w14:textId="77777777" w:rsidR="003C66EB" w:rsidRDefault="003C66EB">
            <w:pPr>
              <w:rPr>
                <w:rFonts w:ascii="宋体"/>
              </w:rPr>
            </w:pPr>
          </w:p>
        </w:tc>
        <w:tc>
          <w:tcPr>
            <w:tcW w:w="0" w:type="auto"/>
            <w:shd w:val="clear" w:color="auto" w:fill="auto"/>
          </w:tcPr>
          <w:p w14:paraId="5EA21650" w14:textId="77777777" w:rsidR="003C66EB" w:rsidRDefault="003C66EB">
            <w:pPr>
              <w:rPr>
                <w:rFonts w:ascii="宋体"/>
              </w:rPr>
            </w:pPr>
          </w:p>
        </w:tc>
        <w:tc>
          <w:tcPr>
            <w:tcW w:w="0" w:type="auto"/>
            <w:shd w:val="clear" w:color="auto" w:fill="auto"/>
          </w:tcPr>
          <w:p w14:paraId="5EA21651" w14:textId="77777777" w:rsidR="003C66EB" w:rsidRDefault="003C66EB">
            <w:pPr>
              <w:rPr>
                <w:rFonts w:ascii="宋体"/>
              </w:rPr>
            </w:pPr>
          </w:p>
        </w:tc>
        <w:tc>
          <w:tcPr>
            <w:tcW w:w="0" w:type="auto"/>
            <w:shd w:val="clear" w:color="auto" w:fill="auto"/>
          </w:tcPr>
          <w:p w14:paraId="5EA21652" w14:textId="77777777" w:rsidR="003C66EB" w:rsidRDefault="003C66EB">
            <w:pPr>
              <w:rPr>
                <w:rFonts w:ascii="宋体"/>
              </w:rPr>
            </w:pPr>
          </w:p>
        </w:tc>
        <w:tc>
          <w:tcPr>
            <w:tcW w:w="0" w:type="auto"/>
            <w:shd w:val="clear" w:color="auto" w:fill="auto"/>
          </w:tcPr>
          <w:p w14:paraId="5EA21653" w14:textId="77777777" w:rsidR="003C66EB" w:rsidRDefault="003C66EB">
            <w:pPr>
              <w:rPr>
                <w:rFonts w:ascii="宋体"/>
              </w:rPr>
            </w:pPr>
          </w:p>
        </w:tc>
        <w:tc>
          <w:tcPr>
            <w:tcW w:w="0" w:type="auto"/>
            <w:shd w:val="clear" w:color="auto" w:fill="auto"/>
          </w:tcPr>
          <w:p w14:paraId="5EA21654" w14:textId="77777777" w:rsidR="003C66EB" w:rsidRDefault="003C66EB">
            <w:pPr>
              <w:rPr>
                <w:rFonts w:ascii="宋体"/>
              </w:rPr>
            </w:pPr>
          </w:p>
        </w:tc>
        <w:tc>
          <w:tcPr>
            <w:tcW w:w="0" w:type="auto"/>
            <w:shd w:val="clear" w:color="auto" w:fill="auto"/>
          </w:tcPr>
          <w:p w14:paraId="5EA21655" w14:textId="77777777" w:rsidR="003C66EB" w:rsidRDefault="003C66EB">
            <w:pPr>
              <w:rPr>
                <w:rFonts w:ascii="宋体"/>
              </w:rPr>
            </w:pPr>
          </w:p>
        </w:tc>
        <w:tc>
          <w:tcPr>
            <w:tcW w:w="0" w:type="auto"/>
            <w:shd w:val="clear" w:color="auto" w:fill="auto"/>
          </w:tcPr>
          <w:p w14:paraId="5EA21656" w14:textId="77777777" w:rsidR="003C66EB" w:rsidRDefault="003C66EB">
            <w:pPr>
              <w:rPr>
                <w:rFonts w:ascii="宋体"/>
              </w:rPr>
            </w:pPr>
          </w:p>
        </w:tc>
        <w:tc>
          <w:tcPr>
            <w:tcW w:w="0" w:type="auto"/>
            <w:shd w:val="clear" w:color="auto" w:fill="auto"/>
          </w:tcPr>
          <w:p w14:paraId="5EA21657" w14:textId="77777777" w:rsidR="003C66EB" w:rsidRDefault="003C66EB">
            <w:pPr>
              <w:rPr>
                <w:rFonts w:ascii="宋体"/>
              </w:rPr>
            </w:pPr>
          </w:p>
        </w:tc>
        <w:tc>
          <w:tcPr>
            <w:tcW w:w="0" w:type="auto"/>
            <w:shd w:val="clear" w:color="auto" w:fill="auto"/>
          </w:tcPr>
          <w:p w14:paraId="5EA21658" w14:textId="77777777" w:rsidR="003C66EB" w:rsidRDefault="003C66EB">
            <w:pPr>
              <w:rPr>
                <w:rFonts w:ascii="宋体"/>
              </w:rPr>
            </w:pPr>
          </w:p>
        </w:tc>
        <w:tc>
          <w:tcPr>
            <w:tcW w:w="0" w:type="auto"/>
            <w:shd w:val="clear" w:color="auto" w:fill="auto"/>
          </w:tcPr>
          <w:p w14:paraId="5EA21659" w14:textId="77777777" w:rsidR="003C66EB" w:rsidRDefault="003C66EB">
            <w:pPr>
              <w:rPr>
                <w:rFonts w:ascii="宋体"/>
              </w:rPr>
            </w:pPr>
          </w:p>
        </w:tc>
        <w:tc>
          <w:tcPr>
            <w:tcW w:w="0" w:type="auto"/>
            <w:shd w:val="clear" w:color="auto" w:fill="auto"/>
          </w:tcPr>
          <w:p w14:paraId="5EA2165A" w14:textId="77777777" w:rsidR="003C66EB" w:rsidRDefault="003C66EB">
            <w:pPr>
              <w:rPr>
                <w:rFonts w:ascii="宋体"/>
              </w:rPr>
            </w:pPr>
          </w:p>
        </w:tc>
        <w:tc>
          <w:tcPr>
            <w:tcW w:w="0" w:type="auto"/>
            <w:shd w:val="clear" w:color="auto" w:fill="auto"/>
          </w:tcPr>
          <w:p w14:paraId="5EA2165B" w14:textId="77777777" w:rsidR="003C66EB" w:rsidRDefault="003C66EB">
            <w:pPr>
              <w:rPr>
                <w:rFonts w:ascii="宋体"/>
              </w:rPr>
            </w:pPr>
          </w:p>
        </w:tc>
        <w:tc>
          <w:tcPr>
            <w:tcW w:w="0" w:type="auto"/>
            <w:shd w:val="clear" w:color="auto" w:fill="auto"/>
          </w:tcPr>
          <w:p w14:paraId="5EA2165C" w14:textId="77777777" w:rsidR="003C66EB" w:rsidRDefault="003C66EB">
            <w:pPr>
              <w:rPr>
                <w:rFonts w:ascii="宋体"/>
              </w:rPr>
            </w:pPr>
          </w:p>
        </w:tc>
        <w:tc>
          <w:tcPr>
            <w:tcW w:w="0" w:type="auto"/>
            <w:shd w:val="clear" w:color="auto" w:fill="auto"/>
          </w:tcPr>
          <w:p w14:paraId="5EA2165D" w14:textId="77777777" w:rsidR="003C66EB" w:rsidRDefault="003C66EB">
            <w:pPr>
              <w:rPr>
                <w:rFonts w:ascii="宋体"/>
              </w:rPr>
            </w:pPr>
          </w:p>
        </w:tc>
        <w:tc>
          <w:tcPr>
            <w:tcW w:w="0" w:type="auto"/>
            <w:shd w:val="clear" w:color="auto" w:fill="auto"/>
          </w:tcPr>
          <w:p w14:paraId="5EA2165E" w14:textId="77777777" w:rsidR="003C66EB" w:rsidRDefault="003C66EB">
            <w:pPr>
              <w:rPr>
                <w:rFonts w:ascii="宋体"/>
              </w:rPr>
            </w:pPr>
          </w:p>
        </w:tc>
        <w:tc>
          <w:tcPr>
            <w:tcW w:w="0" w:type="auto"/>
            <w:shd w:val="clear" w:color="auto" w:fill="auto"/>
          </w:tcPr>
          <w:p w14:paraId="5EA2165F" w14:textId="77777777" w:rsidR="003C66EB" w:rsidRDefault="003C66EB">
            <w:pPr>
              <w:rPr>
                <w:rFonts w:ascii="宋体"/>
              </w:rPr>
            </w:pPr>
          </w:p>
        </w:tc>
        <w:tc>
          <w:tcPr>
            <w:tcW w:w="0" w:type="auto"/>
            <w:shd w:val="clear" w:color="auto" w:fill="auto"/>
          </w:tcPr>
          <w:p w14:paraId="5EA21660" w14:textId="77777777" w:rsidR="003C66EB" w:rsidRDefault="003C66EB">
            <w:pPr>
              <w:rPr>
                <w:rFonts w:ascii="宋体"/>
              </w:rPr>
            </w:pPr>
          </w:p>
        </w:tc>
        <w:tc>
          <w:tcPr>
            <w:tcW w:w="0" w:type="auto"/>
            <w:shd w:val="clear" w:color="auto" w:fill="auto"/>
          </w:tcPr>
          <w:p w14:paraId="5EA21661" w14:textId="77777777" w:rsidR="003C66EB" w:rsidRDefault="003C66EB">
            <w:pPr>
              <w:rPr>
                <w:rFonts w:ascii="宋体"/>
              </w:rPr>
            </w:pPr>
          </w:p>
        </w:tc>
        <w:tc>
          <w:tcPr>
            <w:tcW w:w="0" w:type="auto"/>
            <w:shd w:val="clear" w:color="auto" w:fill="auto"/>
          </w:tcPr>
          <w:p w14:paraId="5EA21662" w14:textId="77777777" w:rsidR="003C66EB" w:rsidRDefault="003C66EB">
            <w:pPr>
              <w:rPr>
                <w:rFonts w:ascii="宋体"/>
              </w:rPr>
            </w:pPr>
          </w:p>
        </w:tc>
        <w:tc>
          <w:tcPr>
            <w:tcW w:w="0" w:type="auto"/>
            <w:shd w:val="clear" w:color="auto" w:fill="auto"/>
          </w:tcPr>
          <w:p w14:paraId="5EA21663" w14:textId="77777777" w:rsidR="003C66EB" w:rsidRDefault="003C66EB">
            <w:pPr>
              <w:rPr>
                <w:rFonts w:ascii="宋体"/>
              </w:rPr>
            </w:pPr>
          </w:p>
        </w:tc>
        <w:tc>
          <w:tcPr>
            <w:tcW w:w="0" w:type="auto"/>
            <w:shd w:val="clear" w:color="auto" w:fill="auto"/>
          </w:tcPr>
          <w:p w14:paraId="5EA21664" w14:textId="77777777" w:rsidR="003C66EB" w:rsidRDefault="003C66EB">
            <w:pPr>
              <w:rPr>
                <w:rFonts w:ascii="宋体"/>
              </w:rPr>
            </w:pPr>
          </w:p>
        </w:tc>
      </w:tr>
      <w:tr w:rsidR="003C66EB" w14:paraId="5EA21682" w14:textId="77777777">
        <w:trPr>
          <w:hidden/>
        </w:trPr>
        <w:tc>
          <w:tcPr>
            <w:tcW w:w="0" w:type="auto"/>
            <w:gridSpan w:val="3"/>
            <w:shd w:val="clear" w:color="auto" w:fill="auto"/>
          </w:tcPr>
          <w:p w14:paraId="5EA21666" w14:textId="77777777" w:rsidR="003C66EB" w:rsidRDefault="003C66EB">
            <w:pPr>
              <w:rPr>
                <w:rFonts w:ascii="宋体"/>
                <w:vanish/>
              </w:rPr>
            </w:pPr>
          </w:p>
        </w:tc>
        <w:tc>
          <w:tcPr>
            <w:tcW w:w="0" w:type="auto"/>
            <w:gridSpan w:val="3"/>
            <w:shd w:val="clear" w:color="auto" w:fill="auto"/>
          </w:tcPr>
          <w:p w14:paraId="5EA21667" w14:textId="77777777" w:rsidR="003C66EB" w:rsidRDefault="003C66EB">
            <w:pPr>
              <w:rPr>
                <w:rFonts w:ascii="宋体"/>
                <w:vanish/>
              </w:rPr>
            </w:pPr>
          </w:p>
        </w:tc>
        <w:tc>
          <w:tcPr>
            <w:tcW w:w="0" w:type="auto"/>
            <w:gridSpan w:val="3"/>
            <w:shd w:val="clear" w:color="auto" w:fill="auto"/>
          </w:tcPr>
          <w:p w14:paraId="5EA21668" w14:textId="77777777" w:rsidR="003C66EB" w:rsidRDefault="003C66EB">
            <w:pPr>
              <w:rPr>
                <w:rFonts w:ascii="宋体"/>
                <w:vanish/>
              </w:rPr>
            </w:pPr>
          </w:p>
        </w:tc>
        <w:tc>
          <w:tcPr>
            <w:tcW w:w="0" w:type="auto"/>
            <w:gridSpan w:val="3"/>
            <w:shd w:val="clear" w:color="auto" w:fill="auto"/>
          </w:tcPr>
          <w:p w14:paraId="5EA21669" w14:textId="77777777" w:rsidR="003C66EB" w:rsidRDefault="003C66EB">
            <w:pPr>
              <w:rPr>
                <w:rFonts w:ascii="宋体"/>
                <w:vanish/>
              </w:rPr>
            </w:pPr>
          </w:p>
        </w:tc>
        <w:tc>
          <w:tcPr>
            <w:tcW w:w="0" w:type="auto"/>
            <w:shd w:val="clear" w:color="auto" w:fill="auto"/>
          </w:tcPr>
          <w:p w14:paraId="5EA2166A" w14:textId="77777777" w:rsidR="003C66EB" w:rsidRDefault="003C66EB">
            <w:pPr>
              <w:rPr>
                <w:rFonts w:ascii="宋体"/>
              </w:rPr>
            </w:pPr>
          </w:p>
        </w:tc>
        <w:tc>
          <w:tcPr>
            <w:tcW w:w="0" w:type="auto"/>
            <w:shd w:val="clear" w:color="auto" w:fill="auto"/>
          </w:tcPr>
          <w:p w14:paraId="5EA2166B" w14:textId="77777777" w:rsidR="003C66EB" w:rsidRDefault="003C66EB">
            <w:pPr>
              <w:rPr>
                <w:rFonts w:ascii="宋体"/>
              </w:rPr>
            </w:pPr>
          </w:p>
        </w:tc>
        <w:tc>
          <w:tcPr>
            <w:tcW w:w="0" w:type="auto"/>
            <w:shd w:val="clear" w:color="auto" w:fill="auto"/>
          </w:tcPr>
          <w:p w14:paraId="5EA2166C" w14:textId="77777777" w:rsidR="003C66EB" w:rsidRDefault="003C66EB">
            <w:pPr>
              <w:rPr>
                <w:rFonts w:ascii="宋体"/>
              </w:rPr>
            </w:pPr>
          </w:p>
        </w:tc>
        <w:tc>
          <w:tcPr>
            <w:tcW w:w="0" w:type="auto"/>
            <w:shd w:val="clear" w:color="auto" w:fill="auto"/>
          </w:tcPr>
          <w:p w14:paraId="5EA2166D" w14:textId="77777777" w:rsidR="003C66EB" w:rsidRDefault="003C66EB">
            <w:pPr>
              <w:rPr>
                <w:rFonts w:ascii="宋体"/>
              </w:rPr>
            </w:pPr>
          </w:p>
        </w:tc>
        <w:tc>
          <w:tcPr>
            <w:tcW w:w="0" w:type="auto"/>
            <w:shd w:val="clear" w:color="auto" w:fill="auto"/>
          </w:tcPr>
          <w:p w14:paraId="5EA2166E" w14:textId="77777777" w:rsidR="003C66EB" w:rsidRDefault="003C66EB">
            <w:pPr>
              <w:rPr>
                <w:rFonts w:ascii="宋体"/>
              </w:rPr>
            </w:pPr>
          </w:p>
        </w:tc>
        <w:tc>
          <w:tcPr>
            <w:tcW w:w="0" w:type="auto"/>
            <w:shd w:val="clear" w:color="auto" w:fill="auto"/>
          </w:tcPr>
          <w:p w14:paraId="5EA2166F" w14:textId="77777777" w:rsidR="003C66EB" w:rsidRDefault="003C66EB">
            <w:pPr>
              <w:rPr>
                <w:rFonts w:ascii="宋体"/>
              </w:rPr>
            </w:pPr>
          </w:p>
        </w:tc>
        <w:tc>
          <w:tcPr>
            <w:tcW w:w="0" w:type="auto"/>
            <w:shd w:val="clear" w:color="auto" w:fill="auto"/>
          </w:tcPr>
          <w:p w14:paraId="5EA21670" w14:textId="77777777" w:rsidR="003C66EB" w:rsidRDefault="003C66EB">
            <w:pPr>
              <w:rPr>
                <w:rFonts w:ascii="宋体"/>
              </w:rPr>
            </w:pPr>
          </w:p>
        </w:tc>
        <w:tc>
          <w:tcPr>
            <w:tcW w:w="0" w:type="auto"/>
            <w:shd w:val="clear" w:color="auto" w:fill="auto"/>
          </w:tcPr>
          <w:p w14:paraId="5EA21671" w14:textId="77777777" w:rsidR="003C66EB" w:rsidRDefault="003C66EB">
            <w:pPr>
              <w:rPr>
                <w:rFonts w:ascii="宋体"/>
              </w:rPr>
            </w:pPr>
          </w:p>
        </w:tc>
        <w:tc>
          <w:tcPr>
            <w:tcW w:w="0" w:type="auto"/>
            <w:shd w:val="clear" w:color="auto" w:fill="auto"/>
          </w:tcPr>
          <w:p w14:paraId="5EA21672" w14:textId="77777777" w:rsidR="003C66EB" w:rsidRDefault="003C66EB">
            <w:pPr>
              <w:rPr>
                <w:rFonts w:ascii="宋体"/>
              </w:rPr>
            </w:pPr>
          </w:p>
        </w:tc>
        <w:tc>
          <w:tcPr>
            <w:tcW w:w="0" w:type="auto"/>
            <w:shd w:val="clear" w:color="auto" w:fill="auto"/>
          </w:tcPr>
          <w:p w14:paraId="5EA21673" w14:textId="77777777" w:rsidR="003C66EB" w:rsidRDefault="003C66EB">
            <w:pPr>
              <w:rPr>
                <w:rFonts w:ascii="宋体"/>
              </w:rPr>
            </w:pPr>
          </w:p>
        </w:tc>
        <w:tc>
          <w:tcPr>
            <w:tcW w:w="0" w:type="auto"/>
            <w:shd w:val="clear" w:color="auto" w:fill="auto"/>
          </w:tcPr>
          <w:p w14:paraId="5EA21674" w14:textId="77777777" w:rsidR="003C66EB" w:rsidRDefault="003C66EB">
            <w:pPr>
              <w:rPr>
                <w:rFonts w:ascii="宋体"/>
              </w:rPr>
            </w:pPr>
          </w:p>
        </w:tc>
        <w:tc>
          <w:tcPr>
            <w:tcW w:w="0" w:type="auto"/>
            <w:shd w:val="clear" w:color="auto" w:fill="auto"/>
          </w:tcPr>
          <w:p w14:paraId="5EA21675" w14:textId="77777777" w:rsidR="003C66EB" w:rsidRDefault="003C66EB">
            <w:pPr>
              <w:rPr>
                <w:rFonts w:ascii="宋体"/>
              </w:rPr>
            </w:pPr>
          </w:p>
        </w:tc>
        <w:tc>
          <w:tcPr>
            <w:tcW w:w="0" w:type="auto"/>
            <w:shd w:val="clear" w:color="auto" w:fill="auto"/>
          </w:tcPr>
          <w:p w14:paraId="5EA21676" w14:textId="77777777" w:rsidR="003C66EB" w:rsidRDefault="003C66EB">
            <w:pPr>
              <w:rPr>
                <w:rFonts w:ascii="宋体"/>
              </w:rPr>
            </w:pPr>
          </w:p>
        </w:tc>
        <w:tc>
          <w:tcPr>
            <w:tcW w:w="0" w:type="auto"/>
            <w:shd w:val="clear" w:color="auto" w:fill="auto"/>
          </w:tcPr>
          <w:p w14:paraId="5EA21677" w14:textId="77777777" w:rsidR="003C66EB" w:rsidRDefault="003C66EB">
            <w:pPr>
              <w:rPr>
                <w:rFonts w:ascii="宋体"/>
              </w:rPr>
            </w:pPr>
          </w:p>
        </w:tc>
        <w:tc>
          <w:tcPr>
            <w:tcW w:w="0" w:type="auto"/>
            <w:shd w:val="clear" w:color="auto" w:fill="auto"/>
          </w:tcPr>
          <w:p w14:paraId="5EA21678" w14:textId="77777777" w:rsidR="003C66EB" w:rsidRDefault="003C66EB">
            <w:pPr>
              <w:rPr>
                <w:rFonts w:ascii="宋体"/>
              </w:rPr>
            </w:pPr>
          </w:p>
        </w:tc>
        <w:tc>
          <w:tcPr>
            <w:tcW w:w="0" w:type="auto"/>
            <w:shd w:val="clear" w:color="auto" w:fill="auto"/>
          </w:tcPr>
          <w:p w14:paraId="5EA21679" w14:textId="77777777" w:rsidR="003C66EB" w:rsidRDefault="003C66EB">
            <w:pPr>
              <w:rPr>
                <w:rFonts w:ascii="宋体"/>
              </w:rPr>
            </w:pPr>
          </w:p>
        </w:tc>
        <w:tc>
          <w:tcPr>
            <w:tcW w:w="0" w:type="auto"/>
            <w:shd w:val="clear" w:color="auto" w:fill="auto"/>
          </w:tcPr>
          <w:p w14:paraId="5EA2167A" w14:textId="77777777" w:rsidR="003C66EB" w:rsidRDefault="003C66EB">
            <w:pPr>
              <w:rPr>
                <w:rFonts w:ascii="宋体"/>
              </w:rPr>
            </w:pPr>
          </w:p>
        </w:tc>
        <w:tc>
          <w:tcPr>
            <w:tcW w:w="0" w:type="auto"/>
            <w:shd w:val="clear" w:color="auto" w:fill="auto"/>
          </w:tcPr>
          <w:p w14:paraId="5EA2167B" w14:textId="77777777" w:rsidR="003C66EB" w:rsidRDefault="003C66EB">
            <w:pPr>
              <w:rPr>
                <w:rFonts w:ascii="宋体"/>
              </w:rPr>
            </w:pPr>
          </w:p>
        </w:tc>
        <w:tc>
          <w:tcPr>
            <w:tcW w:w="0" w:type="auto"/>
            <w:shd w:val="clear" w:color="auto" w:fill="auto"/>
          </w:tcPr>
          <w:p w14:paraId="5EA2167C" w14:textId="77777777" w:rsidR="003C66EB" w:rsidRDefault="003C66EB">
            <w:pPr>
              <w:rPr>
                <w:rFonts w:ascii="宋体"/>
              </w:rPr>
            </w:pPr>
          </w:p>
        </w:tc>
        <w:tc>
          <w:tcPr>
            <w:tcW w:w="0" w:type="auto"/>
            <w:shd w:val="clear" w:color="auto" w:fill="auto"/>
          </w:tcPr>
          <w:p w14:paraId="5EA2167D" w14:textId="77777777" w:rsidR="003C66EB" w:rsidRDefault="003C66EB">
            <w:pPr>
              <w:rPr>
                <w:rFonts w:ascii="宋体"/>
              </w:rPr>
            </w:pPr>
          </w:p>
        </w:tc>
        <w:tc>
          <w:tcPr>
            <w:tcW w:w="0" w:type="auto"/>
            <w:shd w:val="clear" w:color="auto" w:fill="auto"/>
          </w:tcPr>
          <w:p w14:paraId="5EA2167E" w14:textId="77777777" w:rsidR="003C66EB" w:rsidRDefault="003C66EB">
            <w:pPr>
              <w:rPr>
                <w:rFonts w:ascii="宋体"/>
              </w:rPr>
            </w:pPr>
          </w:p>
        </w:tc>
        <w:tc>
          <w:tcPr>
            <w:tcW w:w="0" w:type="auto"/>
            <w:shd w:val="clear" w:color="auto" w:fill="auto"/>
          </w:tcPr>
          <w:p w14:paraId="5EA2167F" w14:textId="77777777" w:rsidR="003C66EB" w:rsidRDefault="003C66EB">
            <w:pPr>
              <w:rPr>
                <w:rFonts w:ascii="宋体"/>
              </w:rPr>
            </w:pPr>
          </w:p>
        </w:tc>
        <w:tc>
          <w:tcPr>
            <w:tcW w:w="0" w:type="auto"/>
            <w:shd w:val="clear" w:color="auto" w:fill="auto"/>
          </w:tcPr>
          <w:p w14:paraId="5EA21680" w14:textId="77777777" w:rsidR="003C66EB" w:rsidRDefault="003C66EB">
            <w:pPr>
              <w:rPr>
                <w:rFonts w:ascii="宋体"/>
              </w:rPr>
            </w:pPr>
          </w:p>
        </w:tc>
        <w:tc>
          <w:tcPr>
            <w:tcW w:w="0" w:type="auto"/>
            <w:shd w:val="clear" w:color="auto" w:fill="auto"/>
          </w:tcPr>
          <w:p w14:paraId="5EA21681" w14:textId="77777777" w:rsidR="003C66EB" w:rsidRDefault="003C66EB">
            <w:pPr>
              <w:rPr>
                <w:rFonts w:ascii="宋体"/>
              </w:rPr>
            </w:pPr>
          </w:p>
        </w:tc>
      </w:tr>
      <w:tr w:rsidR="003C66EB" w14:paraId="5EA2168F" w14:textId="77777777">
        <w:trPr>
          <w:hidden/>
        </w:trPr>
        <w:tc>
          <w:tcPr>
            <w:tcW w:w="0" w:type="auto"/>
            <w:gridSpan w:val="3"/>
            <w:shd w:val="clear" w:color="auto" w:fill="auto"/>
          </w:tcPr>
          <w:p w14:paraId="5EA21683" w14:textId="77777777" w:rsidR="003C66EB" w:rsidRDefault="003C66EB">
            <w:pPr>
              <w:rPr>
                <w:rFonts w:ascii="宋体"/>
                <w:vanish/>
              </w:rPr>
            </w:pPr>
          </w:p>
        </w:tc>
        <w:tc>
          <w:tcPr>
            <w:tcW w:w="0" w:type="auto"/>
            <w:gridSpan w:val="3"/>
            <w:shd w:val="clear" w:color="auto" w:fill="auto"/>
          </w:tcPr>
          <w:p w14:paraId="5EA21684" w14:textId="77777777" w:rsidR="003C66EB" w:rsidRDefault="003C66EB">
            <w:pPr>
              <w:rPr>
                <w:rFonts w:ascii="宋体"/>
                <w:vanish/>
              </w:rPr>
            </w:pPr>
          </w:p>
        </w:tc>
        <w:tc>
          <w:tcPr>
            <w:tcW w:w="0" w:type="auto"/>
            <w:gridSpan w:val="3"/>
            <w:shd w:val="clear" w:color="auto" w:fill="auto"/>
          </w:tcPr>
          <w:p w14:paraId="5EA21685" w14:textId="77777777" w:rsidR="003C66EB" w:rsidRDefault="003C66EB">
            <w:pPr>
              <w:rPr>
                <w:rFonts w:ascii="宋体"/>
                <w:vanish/>
              </w:rPr>
            </w:pPr>
          </w:p>
        </w:tc>
        <w:tc>
          <w:tcPr>
            <w:tcW w:w="0" w:type="auto"/>
            <w:gridSpan w:val="3"/>
            <w:shd w:val="clear" w:color="auto" w:fill="auto"/>
          </w:tcPr>
          <w:p w14:paraId="5EA21686" w14:textId="77777777" w:rsidR="003C66EB" w:rsidRDefault="003C66EB">
            <w:pPr>
              <w:rPr>
                <w:rFonts w:ascii="宋体"/>
                <w:vanish/>
              </w:rPr>
            </w:pPr>
          </w:p>
        </w:tc>
        <w:tc>
          <w:tcPr>
            <w:tcW w:w="0" w:type="auto"/>
            <w:gridSpan w:val="3"/>
            <w:shd w:val="clear" w:color="auto" w:fill="auto"/>
          </w:tcPr>
          <w:p w14:paraId="5EA21687" w14:textId="77777777" w:rsidR="003C66EB" w:rsidRDefault="003C66EB">
            <w:pPr>
              <w:rPr>
                <w:rFonts w:ascii="宋体"/>
                <w:vanish/>
              </w:rPr>
            </w:pPr>
          </w:p>
        </w:tc>
        <w:tc>
          <w:tcPr>
            <w:tcW w:w="0" w:type="auto"/>
            <w:gridSpan w:val="3"/>
            <w:shd w:val="clear" w:color="auto" w:fill="auto"/>
          </w:tcPr>
          <w:p w14:paraId="5EA21688" w14:textId="77777777" w:rsidR="003C66EB" w:rsidRDefault="003C66EB">
            <w:pPr>
              <w:rPr>
                <w:rFonts w:ascii="宋体"/>
                <w:vanish/>
              </w:rPr>
            </w:pPr>
          </w:p>
        </w:tc>
        <w:tc>
          <w:tcPr>
            <w:tcW w:w="0" w:type="auto"/>
            <w:gridSpan w:val="3"/>
            <w:shd w:val="clear" w:color="auto" w:fill="auto"/>
          </w:tcPr>
          <w:p w14:paraId="5EA21689" w14:textId="77777777" w:rsidR="003C66EB" w:rsidRDefault="003C66EB">
            <w:pPr>
              <w:rPr>
                <w:rFonts w:ascii="宋体"/>
                <w:vanish/>
              </w:rPr>
            </w:pPr>
          </w:p>
        </w:tc>
        <w:tc>
          <w:tcPr>
            <w:tcW w:w="0" w:type="auto"/>
            <w:gridSpan w:val="3"/>
            <w:shd w:val="clear" w:color="auto" w:fill="auto"/>
          </w:tcPr>
          <w:p w14:paraId="5EA2168A" w14:textId="77777777" w:rsidR="003C66EB" w:rsidRDefault="003C66EB">
            <w:pPr>
              <w:rPr>
                <w:rFonts w:ascii="宋体"/>
                <w:vanish/>
              </w:rPr>
            </w:pPr>
          </w:p>
        </w:tc>
        <w:tc>
          <w:tcPr>
            <w:tcW w:w="0" w:type="auto"/>
            <w:gridSpan w:val="3"/>
            <w:shd w:val="clear" w:color="auto" w:fill="auto"/>
          </w:tcPr>
          <w:p w14:paraId="5EA2168B" w14:textId="77777777" w:rsidR="003C66EB" w:rsidRDefault="003C66EB">
            <w:pPr>
              <w:rPr>
                <w:rFonts w:ascii="宋体"/>
                <w:vanish/>
              </w:rPr>
            </w:pPr>
          </w:p>
        </w:tc>
        <w:tc>
          <w:tcPr>
            <w:tcW w:w="0" w:type="auto"/>
            <w:gridSpan w:val="3"/>
            <w:shd w:val="clear" w:color="auto" w:fill="auto"/>
          </w:tcPr>
          <w:p w14:paraId="5EA2168C" w14:textId="77777777" w:rsidR="003C66EB" w:rsidRDefault="003C66EB">
            <w:pPr>
              <w:rPr>
                <w:rFonts w:ascii="宋体"/>
                <w:vanish/>
              </w:rPr>
            </w:pPr>
          </w:p>
        </w:tc>
        <w:tc>
          <w:tcPr>
            <w:tcW w:w="0" w:type="auto"/>
            <w:gridSpan w:val="3"/>
            <w:shd w:val="clear" w:color="auto" w:fill="auto"/>
          </w:tcPr>
          <w:p w14:paraId="5EA2168D" w14:textId="77777777" w:rsidR="003C66EB" w:rsidRDefault="003C66EB">
            <w:pPr>
              <w:rPr>
                <w:rFonts w:ascii="宋体"/>
                <w:vanish/>
              </w:rPr>
            </w:pPr>
          </w:p>
        </w:tc>
        <w:tc>
          <w:tcPr>
            <w:tcW w:w="0" w:type="auto"/>
            <w:gridSpan w:val="3"/>
            <w:shd w:val="clear" w:color="auto" w:fill="auto"/>
          </w:tcPr>
          <w:p w14:paraId="5EA2168E" w14:textId="77777777" w:rsidR="003C66EB" w:rsidRDefault="003C66EB">
            <w:pPr>
              <w:rPr>
                <w:rFonts w:ascii="宋体"/>
                <w:vanish/>
              </w:rPr>
            </w:pPr>
          </w:p>
        </w:tc>
      </w:tr>
      <w:tr w:rsidR="003C66EB" w14:paraId="5EA2169C" w14:textId="77777777">
        <w:trPr>
          <w:hidden/>
        </w:trPr>
        <w:tc>
          <w:tcPr>
            <w:tcW w:w="0" w:type="auto"/>
            <w:gridSpan w:val="3"/>
            <w:shd w:val="clear" w:color="auto" w:fill="auto"/>
          </w:tcPr>
          <w:p w14:paraId="5EA21690" w14:textId="77777777" w:rsidR="003C66EB" w:rsidRDefault="003C66EB">
            <w:pPr>
              <w:rPr>
                <w:rFonts w:ascii="宋体"/>
                <w:vanish/>
              </w:rPr>
            </w:pPr>
          </w:p>
        </w:tc>
        <w:tc>
          <w:tcPr>
            <w:tcW w:w="0" w:type="auto"/>
            <w:gridSpan w:val="3"/>
            <w:shd w:val="clear" w:color="auto" w:fill="auto"/>
          </w:tcPr>
          <w:p w14:paraId="5EA21691" w14:textId="77777777" w:rsidR="003C66EB" w:rsidRDefault="003C66EB">
            <w:pPr>
              <w:rPr>
                <w:rFonts w:ascii="宋体"/>
                <w:vanish/>
              </w:rPr>
            </w:pPr>
          </w:p>
        </w:tc>
        <w:tc>
          <w:tcPr>
            <w:tcW w:w="0" w:type="auto"/>
            <w:gridSpan w:val="3"/>
            <w:shd w:val="clear" w:color="auto" w:fill="auto"/>
          </w:tcPr>
          <w:p w14:paraId="5EA21692" w14:textId="77777777" w:rsidR="003C66EB" w:rsidRDefault="003C66EB">
            <w:pPr>
              <w:rPr>
                <w:rFonts w:ascii="宋体"/>
                <w:vanish/>
              </w:rPr>
            </w:pPr>
          </w:p>
        </w:tc>
        <w:tc>
          <w:tcPr>
            <w:tcW w:w="0" w:type="auto"/>
            <w:gridSpan w:val="3"/>
            <w:shd w:val="clear" w:color="auto" w:fill="auto"/>
          </w:tcPr>
          <w:p w14:paraId="5EA21693" w14:textId="77777777" w:rsidR="003C66EB" w:rsidRDefault="003C66EB">
            <w:pPr>
              <w:rPr>
                <w:rFonts w:ascii="宋体"/>
                <w:vanish/>
              </w:rPr>
            </w:pPr>
          </w:p>
        </w:tc>
        <w:tc>
          <w:tcPr>
            <w:tcW w:w="0" w:type="auto"/>
            <w:gridSpan w:val="3"/>
            <w:shd w:val="clear" w:color="auto" w:fill="auto"/>
          </w:tcPr>
          <w:p w14:paraId="5EA21694" w14:textId="77777777" w:rsidR="003C66EB" w:rsidRDefault="003C66EB">
            <w:pPr>
              <w:rPr>
                <w:rFonts w:ascii="宋体"/>
                <w:vanish/>
              </w:rPr>
            </w:pPr>
          </w:p>
        </w:tc>
        <w:tc>
          <w:tcPr>
            <w:tcW w:w="0" w:type="auto"/>
            <w:gridSpan w:val="3"/>
            <w:shd w:val="clear" w:color="auto" w:fill="auto"/>
          </w:tcPr>
          <w:p w14:paraId="5EA21695" w14:textId="77777777" w:rsidR="003C66EB" w:rsidRDefault="003C66EB">
            <w:pPr>
              <w:rPr>
                <w:rFonts w:ascii="宋体"/>
                <w:vanish/>
              </w:rPr>
            </w:pPr>
          </w:p>
        </w:tc>
        <w:tc>
          <w:tcPr>
            <w:tcW w:w="0" w:type="auto"/>
            <w:gridSpan w:val="3"/>
            <w:shd w:val="clear" w:color="auto" w:fill="auto"/>
          </w:tcPr>
          <w:p w14:paraId="5EA21696" w14:textId="77777777" w:rsidR="003C66EB" w:rsidRDefault="003C66EB">
            <w:pPr>
              <w:rPr>
                <w:rFonts w:ascii="宋体"/>
                <w:vanish/>
              </w:rPr>
            </w:pPr>
          </w:p>
        </w:tc>
        <w:tc>
          <w:tcPr>
            <w:tcW w:w="0" w:type="auto"/>
            <w:gridSpan w:val="3"/>
            <w:shd w:val="clear" w:color="auto" w:fill="auto"/>
          </w:tcPr>
          <w:p w14:paraId="5EA21697" w14:textId="77777777" w:rsidR="003C66EB" w:rsidRDefault="003C66EB">
            <w:pPr>
              <w:rPr>
                <w:rFonts w:ascii="宋体"/>
                <w:vanish/>
              </w:rPr>
            </w:pPr>
          </w:p>
        </w:tc>
        <w:tc>
          <w:tcPr>
            <w:tcW w:w="0" w:type="auto"/>
            <w:gridSpan w:val="3"/>
            <w:shd w:val="clear" w:color="auto" w:fill="auto"/>
          </w:tcPr>
          <w:p w14:paraId="5EA21698" w14:textId="77777777" w:rsidR="003C66EB" w:rsidRDefault="003C66EB">
            <w:pPr>
              <w:rPr>
                <w:rFonts w:ascii="宋体"/>
                <w:vanish/>
              </w:rPr>
            </w:pPr>
          </w:p>
        </w:tc>
        <w:tc>
          <w:tcPr>
            <w:tcW w:w="0" w:type="auto"/>
            <w:gridSpan w:val="3"/>
            <w:shd w:val="clear" w:color="auto" w:fill="auto"/>
          </w:tcPr>
          <w:p w14:paraId="5EA21699" w14:textId="77777777" w:rsidR="003C66EB" w:rsidRDefault="003C66EB">
            <w:pPr>
              <w:rPr>
                <w:rFonts w:ascii="宋体"/>
                <w:vanish/>
              </w:rPr>
            </w:pPr>
          </w:p>
        </w:tc>
        <w:tc>
          <w:tcPr>
            <w:tcW w:w="0" w:type="auto"/>
            <w:gridSpan w:val="3"/>
            <w:shd w:val="clear" w:color="auto" w:fill="auto"/>
          </w:tcPr>
          <w:p w14:paraId="5EA2169A" w14:textId="77777777" w:rsidR="003C66EB" w:rsidRDefault="003C66EB">
            <w:pPr>
              <w:rPr>
                <w:rFonts w:ascii="宋体"/>
                <w:vanish/>
              </w:rPr>
            </w:pPr>
          </w:p>
        </w:tc>
        <w:tc>
          <w:tcPr>
            <w:tcW w:w="0" w:type="auto"/>
            <w:gridSpan w:val="3"/>
            <w:shd w:val="clear" w:color="auto" w:fill="auto"/>
          </w:tcPr>
          <w:p w14:paraId="5EA2169B" w14:textId="77777777" w:rsidR="003C66EB" w:rsidRDefault="003C66EB">
            <w:pPr>
              <w:rPr>
                <w:rFonts w:ascii="宋体"/>
                <w:vanish/>
              </w:rPr>
            </w:pPr>
          </w:p>
        </w:tc>
      </w:tr>
      <w:tr w:rsidR="003C66EB" w14:paraId="5EA216A9" w14:textId="77777777">
        <w:trPr>
          <w:hidden/>
        </w:trPr>
        <w:tc>
          <w:tcPr>
            <w:tcW w:w="0" w:type="auto"/>
            <w:gridSpan w:val="3"/>
            <w:shd w:val="clear" w:color="auto" w:fill="auto"/>
          </w:tcPr>
          <w:p w14:paraId="5EA2169D" w14:textId="77777777" w:rsidR="003C66EB" w:rsidRDefault="003C66EB">
            <w:pPr>
              <w:rPr>
                <w:rFonts w:ascii="宋体"/>
                <w:vanish/>
              </w:rPr>
            </w:pPr>
          </w:p>
        </w:tc>
        <w:tc>
          <w:tcPr>
            <w:tcW w:w="0" w:type="auto"/>
            <w:gridSpan w:val="3"/>
            <w:shd w:val="clear" w:color="auto" w:fill="auto"/>
          </w:tcPr>
          <w:p w14:paraId="5EA2169E" w14:textId="77777777" w:rsidR="003C66EB" w:rsidRDefault="003C66EB">
            <w:pPr>
              <w:rPr>
                <w:rFonts w:ascii="宋体"/>
                <w:vanish/>
              </w:rPr>
            </w:pPr>
          </w:p>
        </w:tc>
        <w:tc>
          <w:tcPr>
            <w:tcW w:w="0" w:type="auto"/>
            <w:gridSpan w:val="3"/>
            <w:shd w:val="clear" w:color="auto" w:fill="auto"/>
          </w:tcPr>
          <w:p w14:paraId="5EA2169F" w14:textId="77777777" w:rsidR="003C66EB" w:rsidRDefault="003C66EB">
            <w:pPr>
              <w:rPr>
                <w:rFonts w:ascii="宋体"/>
                <w:vanish/>
              </w:rPr>
            </w:pPr>
          </w:p>
        </w:tc>
        <w:tc>
          <w:tcPr>
            <w:tcW w:w="0" w:type="auto"/>
            <w:gridSpan w:val="3"/>
            <w:shd w:val="clear" w:color="auto" w:fill="auto"/>
          </w:tcPr>
          <w:p w14:paraId="5EA216A0" w14:textId="77777777" w:rsidR="003C66EB" w:rsidRDefault="003C66EB">
            <w:pPr>
              <w:rPr>
                <w:rFonts w:ascii="宋体"/>
                <w:vanish/>
              </w:rPr>
            </w:pPr>
          </w:p>
        </w:tc>
        <w:tc>
          <w:tcPr>
            <w:tcW w:w="0" w:type="auto"/>
            <w:gridSpan w:val="3"/>
            <w:shd w:val="clear" w:color="auto" w:fill="auto"/>
          </w:tcPr>
          <w:p w14:paraId="5EA216A1" w14:textId="77777777" w:rsidR="003C66EB" w:rsidRDefault="003C66EB">
            <w:pPr>
              <w:rPr>
                <w:rFonts w:ascii="宋体"/>
                <w:vanish/>
              </w:rPr>
            </w:pPr>
          </w:p>
        </w:tc>
        <w:tc>
          <w:tcPr>
            <w:tcW w:w="0" w:type="auto"/>
            <w:gridSpan w:val="3"/>
            <w:shd w:val="clear" w:color="auto" w:fill="auto"/>
          </w:tcPr>
          <w:p w14:paraId="5EA216A2" w14:textId="77777777" w:rsidR="003C66EB" w:rsidRDefault="003C66EB">
            <w:pPr>
              <w:rPr>
                <w:rFonts w:ascii="宋体"/>
                <w:vanish/>
              </w:rPr>
            </w:pPr>
          </w:p>
        </w:tc>
        <w:tc>
          <w:tcPr>
            <w:tcW w:w="0" w:type="auto"/>
            <w:gridSpan w:val="3"/>
            <w:shd w:val="clear" w:color="auto" w:fill="auto"/>
          </w:tcPr>
          <w:p w14:paraId="5EA216A3" w14:textId="77777777" w:rsidR="003C66EB" w:rsidRDefault="003C66EB">
            <w:pPr>
              <w:rPr>
                <w:rFonts w:ascii="宋体"/>
                <w:vanish/>
              </w:rPr>
            </w:pPr>
          </w:p>
        </w:tc>
        <w:tc>
          <w:tcPr>
            <w:tcW w:w="0" w:type="auto"/>
            <w:gridSpan w:val="3"/>
            <w:shd w:val="clear" w:color="auto" w:fill="auto"/>
          </w:tcPr>
          <w:p w14:paraId="5EA216A4" w14:textId="77777777" w:rsidR="003C66EB" w:rsidRDefault="003C66EB">
            <w:pPr>
              <w:rPr>
                <w:rFonts w:ascii="宋体"/>
                <w:vanish/>
              </w:rPr>
            </w:pPr>
          </w:p>
        </w:tc>
        <w:tc>
          <w:tcPr>
            <w:tcW w:w="0" w:type="auto"/>
            <w:gridSpan w:val="3"/>
            <w:shd w:val="clear" w:color="auto" w:fill="auto"/>
          </w:tcPr>
          <w:p w14:paraId="5EA216A5" w14:textId="77777777" w:rsidR="003C66EB" w:rsidRDefault="003C66EB">
            <w:pPr>
              <w:rPr>
                <w:rFonts w:ascii="宋体"/>
                <w:vanish/>
              </w:rPr>
            </w:pPr>
          </w:p>
        </w:tc>
        <w:tc>
          <w:tcPr>
            <w:tcW w:w="0" w:type="auto"/>
            <w:gridSpan w:val="3"/>
            <w:shd w:val="clear" w:color="auto" w:fill="auto"/>
          </w:tcPr>
          <w:p w14:paraId="5EA216A6" w14:textId="77777777" w:rsidR="003C66EB" w:rsidRDefault="003C66EB">
            <w:pPr>
              <w:rPr>
                <w:rFonts w:ascii="宋体"/>
                <w:vanish/>
              </w:rPr>
            </w:pPr>
          </w:p>
        </w:tc>
        <w:tc>
          <w:tcPr>
            <w:tcW w:w="0" w:type="auto"/>
            <w:gridSpan w:val="3"/>
            <w:shd w:val="clear" w:color="auto" w:fill="auto"/>
          </w:tcPr>
          <w:p w14:paraId="5EA216A7" w14:textId="77777777" w:rsidR="003C66EB" w:rsidRDefault="003C66EB">
            <w:pPr>
              <w:rPr>
                <w:rFonts w:ascii="宋体"/>
                <w:vanish/>
              </w:rPr>
            </w:pPr>
          </w:p>
        </w:tc>
        <w:tc>
          <w:tcPr>
            <w:tcW w:w="0" w:type="auto"/>
            <w:gridSpan w:val="3"/>
            <w:shd w:val="clear" w:color="auto" w:fill="auto"/>
          </w:tcPr>
          <w:p w14:paraId="5EA216A8" w14:textId="77777777" w:rsidR="003C66EB" w:rsidRDefault="003C66EB">
            <w:pPr>
              <w:rPr>
                <w:rFonts w:ascii="宋体"/>
                <w:vanish/>
              </w:rPr>
            </w:pPr>
          </w:p>
        </w:tc>
      </w:tr>
      <w:tr w:rsidR="003C66EB" w14:paraId="5EA216B6" w14:textId="77777777">
        <w:trPr>
          <w:hidden/>
        </w:trPr>
        <w:tc>
          <w:tcPr>
            <w:tcW w:w="0" w:type="auto"/>
            <w:gridSpan w:val="3"/>
            <w:shd w:val="clear" w:color="auto" w:fill="auto"/>
          </w:tcPr>
          <w:p w14:paraId="5EA216AA" w14:textId="77777777" w:rsidR="003C66EB" w:rsidRDefault="003C66EB">
            <w:pPr>
              <w:rPr>
                <w:rFonts w:ascii="宋体"/>
                <w:vanish/>
              </w:rPr>
            </w:pPr>
          </w:p>
        </w:tc>
        <w:tc>
          <w:tcPr>
            <w:tcW w:w="0" w:type="auto"/>
            <w:gridSpan w:val="3"/>
            <w:shd w:val="clear" w:color="auto" w:fill="auto"/>
          </w:tcPr>
          <w:p w14:paraId="5EA216AB" w14:textId="77777777" w:rsidR="003C66EB" w:rsidRDefault="003C66EB">
            <w:pPr>
              <w:rPr>
                <w:rFonts w:ascii="宋体"/>
                <w:vanish/>
              </w:rPr>
            </w:pPr>
          </w:p>
        </w:tc>
        <w:tc>
          <w:tcPr>
            <w:tcW w:w="0" w:type="auto"/>
            <w:gridSpan w:val="3"/>
            <w:shd w:val="clear" w:color="auto" w:fill="auto"/>
          </w:tcPr>
          <w:p w14:paraId="5EA216AC" w14:textId="77777777" w:rsidR="003C66EB" w:rsidRDefault="003C66EB">
            <w:pPr>
              <w:rPr>
                <w:rFonts w:ascii="宋体"/>
                <w:vanish/>
              </w:rPr>
            </w:pPr>
          </w:p>
        </w:tc>
        <w:tc>
          <w:tcPr>
            <w:tcW w:w="0" w:type="auto"/>
            <w:gridSpan w:val="3"/>
            <w:shd w:val="clear" w:color="auto" w:fill="auto"/>
          </w:tcPr>
          <w:p w14:paraId="5EA216AD" w14:textId="77777777" w:rsidR="003C66EB" w:rsidRDefault="003C66EB">
            <w:pPr>
              <w:rPr>
                <w:rFonts w:ascii="宋体"/>
                <w:vanish/>
              </w:rPr>
            </w:pPr>
          </w:p>
        </w:tc>
        <w:tc>
          <w:tcPr>
            <w:tcW w:w="0" w:type="auto"/>
            <w:gridSpan w:val="3"/>
            <w:shd w:val="clear" w:color="auto" w:fill="auto"/>
          </w:tcPr>
          <w:p w14:paraId="5EA216AE" w14:textId="77777777" w:rsidR="003C66EB" w:rsidRDefault="003C66EB">
            <w:pPr>
              <w:rPr>
                <w:rFonts w:ascii="宋体"/>
                <w:vanish/>
              </w:rPr>
            </w:pPr>
          </w:p>
        </w:tc>
        <w:tc>
          <w:tcPr>
            <w:tcW w:w="0" w:type="auto"/>
            <w:gridSpan w:val="3"/>
            <w:shd w:val="clear" w:color="auto" w:fill="auto"/>
          </w:tcPr>
          <w:p w14:paraId="5EA216AF" w14:textId="77777777" w:rsidR="003C66EB" w:rsidRDefault="003C66EB">
            <w:pPr>
              <w:rPr>
                <w:rFonts w:ascii="宋体"/>
                <w:vanish/>
              </w:rPr>
            </w:pPr>
          </w:p>
        </w:tc>
        <w:tc>
          <w:tcPr>
            <w:tcW w:w="0" w:type="auto"/>
            <w:gridSpan w:val="3"/>
            <w:shd w:val="clear" w:color="auto" w:fill="auto"/>
          </w:tcPr>
          <w:p w14:paraId="5EA216B0" w14:textId="77777777" w:rsidR="003C66EB" w:rsidRDefault="003C66EB">
            <w:pPr>
              <w:rPr>
                <w:rFonts w:ascii="宋体"/>
                <w:vanish/>
              </w:rPr>
            </w:pPr>
          </w:p>
        </w:tc>
        <w:tc>
          <w:tcPr>
            <w:tcW w:w="0" w:type="auto"/>
            <w:gridSpan w:val="3"/>
            <w:shd w:val="clear" w:color="auto" w:fill="auto"/>
          </w:tcPr>
          <w:p w14:paraId="5EA216B1" w14:textId="77777777" w:rsidR="003C66EB" w:rsidRDefault="003C66EB">
            <w:pPr>
              <w:rPr>
                <w:rFonts w:ascii="宋体"/>
                <w:vanish/>
              </w:rPr>
            </w:pPr>
          </w:p>
        </w:tc>
        <w:tc>
          <w:tcPr>
            <w:tcW w:w="0" w:type="auto"/>
            <w:gridSpan w:val="3"/>
            <w:shd w:val="clear" w:color="auto" w:fill="auto"/>
          </w:tcPr>
          <w:p w14:paraId="5EA216B2" w14:textId="77777777" w:rsidR="003C66EB" w:rsidRDefault="003C66EB">
            <w:pPr>
              <w:rPr>
                <w:rFonts w:ascii="宋体"/>
                <w:vanish/>
              </w:rPr>
            </w:pPr>
          </w:p>
        </w:tc>
        <w:tc>
          <w:tcPr>
            <w:tcW w:w="0" w:type="auto"/>
            <w:gridSpan w:val="3"/>
            <w:shd w:val="clear" w:color="auto" w:fill="auto"/>
          </w:tcPr>
          <w:p w14:paraId="5EA216B3" w14:textId="77777777" w:rsidR="003C66EB" w:rsidRDefault="003C66EB">
            <w:pPr>
              <w:rPr>
                <w:rFonts w:ascii="宋体"/>
                <w:vanish/>
              </w:rPr>
            </w:pPr>
          </w:p>
        </w:tc>
        <w:tc>
          <w:tcPr>
            <w:tcW w:w="0" w:type="auto"/>
            <w:gridSpan w:val="3"/>
            <w:shd w:val="clear" w:color="auto" w:fill="auto"/>
          </w:tcPr>
          <w:p w14:paraId="5EA216B4" w14:textId="77777777" w:rsidR="003C66EB" w:rsidRDefault="003C66EB">
            <w:pPr>
              <w:rPr>
                <w:rFonts w:ascii="宋体"/>
                <w:vanish/>
              </w:rPr>
            </w:pPr>
          </w:p>
        </w:tc>
        <w:tc>
          <w:tcPr>
            <w:tcW w:w="0" w:type="auto"/>
            <w:gridSpan w:val="3"/>
            <w:shd w:val="clear" w:color="auto" w:fill="auto"/>
          </w:tcPr>
          <w:p w14:paraId="5EA216B5" w14:textId="77777777" w:rsidR="003C66EB" w:rsidRDefault="003C66EB">
            <w:pPr>
              <w:rPr>
                <w:rFonts w:ascii="宋体"/>
                <w:vanish/>
              </w:rPr>
            </w:pPr>
          </w:p>
        </w:tc>
      </w:tr>
      <w:tr w:rsidR="003C66EB" w14:paraId="5EA216C3" w14:textId="77777777">
        <w:trPr>
          <w:hidden/>
        </w:trPr>
        <w:tc>
          <w:tcPr>
            <w:tcW w:w="0" w:type="auto"/>
            <w:gridSpan w:val="3"/>
            <w:shd w:val="clear" w:color="auto" w:fill="auto"/>
          </w:tcPr>
          <w:p w14:paraId="5EA216B7" w14:textId="77777777" w:rsidR="003C66EB" w:rsidRDefault="003C66EB">
            <w:pPr>
              <w:rPr>
                <w:rFonts w:ascii="宋体"/>
                <w:vanish/>
              </w:rPr>
            </w:pPr>
          </w:p>
        </w:tc>
        <w:tc>
          <w:tcPr>
            <w:tcW w:w="0" w:type="auto"/>
            <w:gridSpan w:val="3"/>
            <w:shd w:val="clear" w:color="auto" w:fill="auto"/>
          </w:tcPr>
          <w:p w14:paraId="5EA216B8" w14:textId="77777777" w:rsidR="003C66EB" w:rsidRDefault="003C66EB">
            <w:pPr>
              <w:rPr>
                <w:rFonts w:ascii="宋体"/>
                <w:vanish/>
              </w:rPr>
            </w:pPr>
          </w:p>
        </w:tc>
        <w:tc>
          <w:tcPr>
            <w:tcW w:w="0" w:type="auto"/>
            <w:gridSpan w:val="3"/>
            <w:shd w:val="clear" w:color="auto" w:fill="auto"/>
          </w:tcPr>
          <w:p w14:paraId="5EA216B9" w14:textId="77777777" w:rsidR="003C66EB" w:rsidRDefault="003C66EB">
            <w:pPr>
              <w:rPr>
                <w:rFonts w:ascii="宋体"/>
                <w:vanish/>
              </w:rPr>
            </w:pPr>
          </w:p>
        </w:tc>
        <w:tc>
          <w:tcPr>
            <w:tcW w:w="0" w:type="auto"/>
            <w:gridSpan w:val="3"/>
            <w:shd w:val="clear" w:color="auto" w:fill="auto"/>
          </w:tcPr>
          <w:p w14:paraId="5EA216BA" w14:textId="77777777" w:rsidR="003C66EB" w:rsidRDefault="003C66EB">
            <w:pPr>
              <w:rPr>
                <w:rFonts w:ascii="宋体"/>
                <w:vanish/>
              </w:rPr>
            </w:pPr>
          </w:p>
        </w:tc>
        <w:tc>
          <w:tcPr>
            <w:tcW w:w="0" w:type="auto"/>
            <w:gridSpan w:val="3"/>
            <w:shd w:val="clear" w:color="auto" w:fill="auto"/>
          </w:tcPr>
          <w:p w14:paraId="5EA216BB" w14:textId="77777777" w:rsidR="003C66EB" w:rsidRDefault="003C66EB">
            <w:pPr>
              <w:rPr>
                <w:rFonts w:ascii="宋体"/>
                <w:vanish/>
              </w:rPr>
            </w:pPr>
          </w:p>
        </w:tc>
        <w:tc>
          <w:tcPr>
            <w:tcW w:w="0" w:type="auto"/>
            <w:gridSpan w:val="3"/>
            <w:shd w:val="clear" w:color="auto" w:fill="auto"/>
          </w:tcPr>
          <w:p w14:paraId="5EA216BC" w14:textId="77777777" w:rsidR="003C66EB" w:rsidRDefault="003C66EB">
            <w:pPr>
              <w:rPr>
                <w:rFonts w:ascii="宋体"/>
                <w:vanish/>
              </w:rPr>
            </w:pPr>
          </w:p>
        </w:tc>
        <w:tc>
          <w:tcPr>
            <w:tcW w:w="0" w:type="auto"/>
            <w:gridSpan w:val="3"/>
            <w:shd w:val="clear" w:color="auto" w:fill="auto"/>
          </w:tcPr>
          <w:p w14:paraId="5EA216BD" w14:textId="77777777" w:rsidR="003C66EB" w:rsidRDefault="003C66EB">
            <w:pPr>
              <w:rPr>
                <w:rFonts w:ascii="宋体"/>
                <w:vanish/>
              </w:rPr>
            </w:pPr>
          </w:p>
        </w:tc>
        <w:tc>
          <w:tcPr>
            <w:tcW w:w="0" w:type="auto"/>
            <w:gridSpan w:val="3"/>
            <w:shd w:val="clear" w:color="auto" w:fill="auto"/>
          </w:tcPr>
          <w:p w14:paraId="5EA216BE" w14:textId="77777777" w:rsidR="003C66EB" w:rsidRDefault="003C66EB">
            <w:pPr>
              <w:rPr>
                <w:rFonts w:ascii="宋体"/>
                <w:vanish/>
              </w:rPr>
            </w:pPr>
          </w:p>
        </w:tc>
        <w:tc>
          <w:tcPr>
            <w:tcW w:w="0" w:type="auto"/>
            <w:gridSpan w:val="3"/>
            <w:shd w:val="clear" w:color="auto" w:fill="auto"/>
          </w:tcPr>
          <w:p w14:paraId="5EA216BF" w14:textId="77777777" w:rsidR="003C66EB" w:rsidRDefault="003C66EB">
            <w:pPr>
              <w:rPr>
                <w:rFonts w:ascii="宋体"/>
                <w:vanish/>
              </w:rPr>
            </w:pPr>
          </w:p>
        </w:tc>
        <w:tc>
          <w:tcPr>
            <w:tcW w:w="0" w:type="auto"/>
            <w:gridSpan w:val="3"/>
            <w:shd w:val="clear" w:color="auto" w:fill="auto"/>
          </w:tcPr>
          <w:p w14:paraId="5EA216C0" w14:textId="77777777" w:rsidR="003C66EB" w:rsidRDefault="003C66EB">
            <w:pPr>
              <w:rPr>
                <w:rFonts w:ascii="宋体"/>
                <w:vanish/>
              </w:rPr>
            </w:pPr>
          </w:p>
        </w:tc>
        <w:tc>
          <w:tcPr>
            <w:tcW w:w="0" w:type="auto"/>
            <w:gridSpan w:val="3"/>
            <w:shd w:val="clear" w:color="auto" w:fill="auto"/>
          </w:tcPr>
          <w:p w14:paraId="5EA216C1" w14:textId="77777777" w:rsidR="003C66EB" w:rsidRDefault="003C66EB">
            <w:pPr>
              <w:rPr>
                <w:rFonts w:ascii="宋体"/>
                <w:vanish/>
              </w:rPr>
            </w:pPr>
          </w:p>
        </w:tc>
        <w:tc>
          <w:tcPr>
            <w:tcW w:w="0" w:type="auto"/>
            <w:gridSpan w:val="3"/>
            <w:shd w:val="clear" w:color="auto" w:fill="auto"/>
          </w:tcPr>
          <w:p w14:paraId="5EA216C2" w14:textId="77777777" w:rsidR="003C66EB" w:rsidRDefault="003C66EB">
            <w:pPr>
              <w:rPr>
                <w:rFonts w:ascii="宋体"/>
                <w:vanish/>
              </w:rPr>
            </w:pPr>
          </w:p>
        </w:tc>
      </w:tr>
      <w:tr w:rsidR="003C66EB" w14:paraId="5EA216D0" w14:textId="77777777">
        <w:trPr>
          <w:hidden/>
        </w:trPr>
        <w:tc>
          <w:tcPr>
            <w:tcW w:w="0" w:type="auto"/>
            <w:gridSpan w:val="3"/>
            <w:shd w:val="clear" w:color="auto" w:fill="auto"/>
          </w:tcPr>
          <w:p w14:paraId="5EA216C4" w14:textId="77777777" w:rsidR="003C66EB" w:rsidRDefault="003C66EB">
            <w:pPr>
              <w:rPr>
                <w:rFonts w:ascii="宋体"/>
                <w:vanish/>
              </w:rPr>
            </w:pPr>
          </w:p>
        </w:tc>
        <w:tc>
          <w:tcPr>
            <w:tcW w:w="0" w:type="auto"/>
            <w:gridSpan w:val="3"/>
            <w:shd w:val="clear" w:color="auto" w:fill="auto"/>
          </w:tcPr>
          <w:p w14:paraId="5EA216C5" w14:textId="77777777" w:rsidR="003C66EB" w:rsidRDefault="003C66EB">
            <w:pPr>
              <w:rPr>
                <w:rFonts w:ascii="宋体"/>
                <w:vanish/>
              </w:rPr>
            </w:pPr>
          </w:p>
        </w:tc>
        <w:tc>
          <w:tcPr>
            <w:tcW w:w="0" w:type="auto"/>
            <w:gridSpan w:val="3"/>
            <w:shd w:val="clear" w:color="auto" w:fill="auto"/>
          </w:tcPr>
          <w:p w14:paraId="5EA216C6" w14:textId="77777777" w:rsidR="003C66EB" w:rsidRDefault="003C66EB">
            <w:pPr>
              <w:rPr>
                <w:rFonts w:ascii="宋体"/>
                <w:vanish/>
              </w:rPr>
            </w:pPr>
          </w:p>
        </w:tc>
        <w:tc>
          <w:tcPr>
            <w:tcW w:w="0" w:type="auto"/>
            <w:gridSpan w:val="3"/>
            <w:shd w:val="clear" w:color="auto" w:fill="auto"/>
          </w:tcPr>
          <w:p w14:paraId="5EA216C7" w14:textId="77777777" w:rsidR="003C66EB" w:rsidRDefault="003C66EB">
            <w:pPr>
              <w:rPr>
                <w:rFonts w:ascii="宋体"/>
                <w:vanish/>
              </w:rPr>
            </w:pPr>
          </w:p>
        </w:tc>
        <w:tc>
          <w:tcPr>
            <w:tcW w:w="0" w:type="auto"/>
            <w:gridSpan w:val="3"/>
            <w:shd w:val="clear" w:color="auto" w:fill="auto"/>
          </w:tcPr>
          <w:p w14:paraId="5EA216C8" w14:textId="77777777" w:rsidR="003C66EB" w:rsidRDefault="003C66EB">
            <w:pPr>
              <w:rPr>
                <w:rFonts w:ascii="宋体"/>
                <w:vanish/>
              </w:rPr>
            </w:pPr>
          </w:p>
        </w:tc>
        <w:tc>
          <w:tcPr>
            <w:tcW w:w="0" w:type="auto"/>
            <w:gridSpan w:val="3"/>
            <w:shd w:val="clear" w:color="auto" w:fill="auto"/>
          </w:tcPr>
          <w:p w14:paraId="5EA216C9" w14:textId="77777777" w:rsidR="003C66EB" w:rsidRDefault="003C66EB">
            <w:pPr>
              <w:rPr>
                <w:rFonts w:ascii="宋体"/>
                <w:vanish/>
              </w:rPr>
            </w:pPr>
          </w:p>
        </w:tc>
        <w:tc>
          <w:tcPr>
            <w:tcW w:w="0" w:type="auto"/>
            <w:gridSpan w:val="3"/>
            <w:shd w:val="clear" w:color="auto" w:fill="auto"/>
          </w:tcPr>
          <w:p w14:paraId="5EA216CA" w14:textId="77777777" w:rsidR="003C66EB" w:rsidRDefault="003C66EB">
            <w:pPr>
              <w:rPr>
                <w:rFonts w:ascii="宋体"/>
                <w:vanish/>
              </w:rPr>
            </w:pPr>
          </w:p>
        </w:tc>
        <w:tc>
          <w:tcPr>
            <w:tcW w:w="0" w:type="auto"/>
            <w:gridSpan w:val="3"/>
            <w:shd w:val="clear" w:color="auto" w:fill="auto"/>
          </w:tcPr>
          <w:p w14:paraId="5EA216CB" w14:textId="77777777" w:rsidR="003C66EB" w:rsidRDefault="003C66EB">
            <w:pPr>
              <w:rPr>
                <w:rFonts w:ascii="宋体"/>
                <w:vanish/>
              </w:rPr>
            </w:pPr>
          </w:p>
        </w:tc>
        <w:tc>
          <w:tcPr>
            <w:tcW w:w="0" w:type="auto"/>
            <w:gridSpan w:val="3"/>
            <w:shd w:val="clear" w:color="auto" w:fill="auto"/>
          </w:tcPr>
          <w:p w14:paraId="5EA216CC" w14:textId="77777777" w:rsidR="003C66EB" w:rsidRDefault="003C66EB">
            <w:pPr>
              <w:rPr>
                <w:rFonts w:ascii="宋体"/>
                <w:vanish/>
              </w:rPr>
            </w:pPr>
          </w:p>
        </w:tc>
        <w:tc>
          <w:tcPr>
            <w:tcW w:w="0" w:type="auto"/>
            <w:gridSpan w:val="3"/>
            <w:shd w:val="clear" w:color="auto" w:fill="auto"/>
          </w:tcPr>
          <w:p w14:paraId="5EA216CD" w14:textId="77777777" w:rsidR="003C66EB" w:rsidRDefault="003C66EB">
            <w:pPr>
              <w:rPr>
                <w:rFonts w:ascii="宋体"/>
                <w:vanish/>
              </w:rPr>
            </w:pPr>
          </w:p>
        </w:tc>
        <w:tc>
          <w:tcPr>
            <w:tcW w:w="0" w:type="auto"/>
            <w:gridSpan w:val="3"/>
            <w:shd w:val="clear" w:color="auto" w:fill="auto"/>
          </w:tcPr>
          <w:p w14:paraId="5EA216CE" w14:textId="77777777" w:rsidR="003C66EB" w:rsidRDefault="003C66EB">
            <w:pPr>
              <w:rPr>
                <w:rFonts w:ascii="宋体"/>
                <w:vanish/>
              </w:rPr>
            </w:pPr>
          </w:p>
        </w:tc>
        <w:tc>
          <w:tcPr>
            <w:tcW w:w="0" w:type="auto"/>
            <w:gridSpan w:val="3"/>
            <w:shd w:val="clear" w:color="auto" w:fill="auto"/>
          </w:tcPr>
          <w:p w14:paraId="5EA216CF" w14:textId="77777777" w:rsidR="003C66EB" w:rsidRDefault="003C66EB">
            <w:pPr>
              <w:rPr>
                <w:rFonts w:ascii="宋体"/>
                <w:vanish/>
              </w:rPr>
            </w:pPr>
          </w:p>
        </w:tc>
      </w:tr>
      <w:tr w:rsidR="003C66EB" w14:paraId="5EA216DD" w14:textId="77777777">
        <w:trPr>
          <w:hidden/>
        </w:trPr>
        <w:tc>
          <w:tcPr>
            <w:tcW w:w="0" w:type="auto"/>
            <w:gridSpan w:val="3"/>
            <w:shd w:val="clear" w:color="auto" w:fill="auto"/>
          </w:tcPr>
          <w:p w14:paraId="5EA216D1" w14:textId="77777777" w:rsidR="003C66EB" w:rsidRDefault="003C66EB">
            <w:pPr>
              <w:rPr>
                <w:rFonts w:ascii="宋体"/>
                <w:vanish/>
              </w:rPr>
            </w:pPr>
          </w:p>
        </w:tc>
        <w:tc>
          <w:tcPr>
            <w:tcW w:w="0" w:type="auto"/>
            <w:gridSpan w:val="3"/>
            <w:shd w:val="clear" w:color="auto" w:fill="auto"/>
          </w:tcPr>
          <w:p w14:paraId="5EA216D2" w14:textId="77777777" w:rsidR="003C66EB" w:rsidRDefault="003C66EB">
            <w:pPr>
              <w:rPr>
                <w:rFonts w:ascii="宋体"/>
                <w:vanish/>
              </w:rPr>
            </w:pPr>
          </w:p>
        </w:tc>
        <w:tc>
          <w:tcPr>
            <w:tcW w:w="0" w:type="auto"/>
            <w:gridSpan w:val="3"/>
            <w:shd w:val="clear" w:color="auto" w:fill="auto"/>
          </w:tcPr>
          <w:p w14:paraId="5EA216D3" w14:textId="77777777" w:rsidR="003C66EB" w:rsidRDefault="003C66EB">
            <w:pPr>
              <w:rPr>
                <w:rFonts w:ascii="宋体"/>
                <w:vanish/>
              </w:rPr>
            </w:pPr>
          </w:p>
        </w:tc>
        <w:tc>
          <w:tcPr>
            <w:tcW w:w="0" w:type="auto"/>
            <w:gridSpan w:val="3"/>
            <w:shd w:val="clear" w:color="auto" w:fill="auto"/>
          </w:tcPr>
          <w:p w14:paraId="5EA216D4" w14:textId="77777777" w:rsidR="003C66EB" w:rsidRDefault="003C66EB">
            <w:pPr>
              <w:rPr>
                <w:rFonts w:ascii="宋体"/>
                <w:vanish/>
              </w:rPr>
            </w:pPr>
          </w:p>
        </w:tc>
        <w:tc>
          <w:tcPr>
            <w:tcW w:w="0" w:type="auto"/>
            <w:gridSpan w:val="3"/>
            <w:shd w:val="clear" w:color="auto" w:fill="auto"/>
          </w:tcPr>
          <w:p w14:paraId="5EA216D5" w14:textId="77777777" w:rsidR="003C66EB" w:rsidRDefault="003C66EB">
            <w:pPr>
              <w:rPr>
                <w:rFonts w:ascii="宋体"/>
                <w:vanish/>
              </w:rPr>
            </w:pPr>
          </w:p>
        </w:tc>
        <w:tc>
          <w:tcPr>
            <w:tcW w:w="0" w:type="auto"/>
            <w:gridSpan w:val="3"/>
            <w:shd w:val="clear" w:color="auto" w:fill="auto"/>
          </w:tcPr>
          <w:p w14:paraId="5EA216D6" w14:textId="77777777" w:rsidR="003C66EB" w:rsidRDefault="003C66EB">
            <w:pPr>
              <w:rPr>
                <w:rFonts w:ascii="宋体"/>
                <w:vanish/>
              </w:rPr>
            </w:pPr>
          </w:p>
        </w:tc>
        <w:tc>
          <w:tcPr>
            <w:tcW w:w="0" w:type="auto"/>
            <w:gridSpan w:val="3"/>
            <w:shd w:val="clear" w:color="auto" w:fill="auto"/>
          </w:tcPr>
          <w:p w14:paraId="5EA216D7" w14:textId="77777777" w:rsidR="003C66EB" w:rsidRDefault="003C66EB">
            <w:pPr>
              <w:rPr>
                <w:rFonts w:ascii="宋体"/>
                <w:vanish/>
              </w:rPr>
            </w:pPr>
          </w:p>
        </w:tc>
        <w:tc>
          <w:tcPr>
            <w:tcW w:w="0" w:type="auto"/>
            <w:gridSpan w:val="3"/>
            <w:shd w:val="clear" w:color="auto" w:fill="auto"/>
          </w:tcPr>
          <w:p w14:paraId="5EA216D8" w14:textId="77777777" w:rsidR="003C66EB" w:rsidRDefault="003C66EB">
            <w:pPr>
              <w:rPr>
                <w:rFonts w:ascii="宋体"/>
                <w:vanish/>
              </w:rPr>
            </w:pPr>
          </w:p>
        </w:tc>
        <w:tc>
          <w:tcPr>
            <w:tcW w:w="0" w:type="auto"/>
            <w:gridSpan w:val="3"/>
            <w:shd w:val="clear" w:color="auto" w:fill="auto"/>
          </w:tcPr>
          <w:p w14:paraId="5EA216D9" w14:textId="77777777" w:rsidR="003C66EB" w:rsidRDefault="003C66EB">
            <w:pPr>
              <w:rPr>
                <w:rFonts w:ascii="宋体"/>
                <w:vanish/>
              </w:rPr>
            </w:pPr>
          </w:p>
        </w:tc>
        <w:tc>
          <w:tcPr>
            <w:tcW w:w="0" w:type="auto"/>
            <w:gridSpan w:val="3"/>
            <w:shd w:val="clear" w:color="auto" w:fill="auto"/>
          </w:tcPr>
          <w:p w14:paraId="5EA216DA" w14:textId="77777777" w:rsidR="003C66EB" w:rsidRDefault="003C66EB">
            <w:pPr>
              <w:rPr>
                <w:rFonts w:ascii="宋体"/>
                <w:vanish/>
              </w:rPr>
            </w:pPr>
          </w:p>
        </w:tc>
        <w:tc>
          <w:tcPr>
            <w:tcW w:w="0" w:type="auto"/>
            <w:gridSpan w:val="3"/>
            <w:shd w:val="clear" w:color="auto" w:fill="auto"/>
          </w:tcPr>
          <w:p w14:paraId="5EA216DB" w14:textId="77777777" w:rsidR="003C66EB" w:rsidRDefault="003C66EB">
            <w:pPr>
              <w:rPr>
                <w:rFonts w:ascii="宋体"/>
                <w:vanish/>
              </w:rPr>
            </w:pPr>
          </w:p>
        </w:tc>
        <w:tc>
          <w:tcPr>
            <w:tcW w:w="0" w:type="auto"/>
            <w:gridSpan w:val="3"/>
            <w:shd w:val="clear" w:color="auto" w:fill="auto"/>
          </w:tcPr>
          <w:p w14:paraId="5EA216DC" w14:textId="77777777" w:rsidR="003C66EB" w:rsidRDefault="003C66EB">
            <w:pPr>
              <w:rPr>
                <w:rFonts w:ascii="宋体"/>
                <w:vanish/>
              </w:rPr>
            </w:pPr>
          </w:p>
        </w:tc>
      </w:tr>
      <w:tr w:rsidR="003C66EB" w14:paraId="5EA216EA" w14:textId="77777777">
        <w:trPr>
          <w:hidden/>
        </w:trPr>
        <w:tc>
          <w:tcPr>
            <w:tcW w:w="0" w:type="auto"/>
            <w:gridSpan w:val="3"/>
            <w:shd w:val="clear" w:color="auto" w:fill="auto"/>
          </w:tcPr>
          <w:p w14:paraId="5EA216DE" w14:textId="77777777" w:rsidR="003C66EB" w:rsidRDefault="003C66EB">
            <w:pPr>
              <w:rPr>
                <w:rFonts w:ascii="宋体"/>
                <w:vanish/>
              </w:rPr>
            </w:pPr>
          </w:p>
        </w:tc>
        <w:tc>
          <w:tcPr>
            <w:tcW w:w="0" w:type="auto"/>
            <w:gridSpan w:val="3"/>
            <w:shd w:val="clear" w:color="auto" w:fill="auto"/>
          </w:tcPr>
          <w:p w14:paraId="5EA216DF" w14:textId="77777777" w:rsidR="003C66EB" w:rsidRDefault="003C66EB">
            <w:pPr>
              <w:rPr>
                <w:rFonts w:ascii="宋体"/>
                <w:vanish/>
              </w:rPr>
            </w:pPr>
          </w:p>
        </w:tc>
        <w:tc>
          <w:tcPr>
            <w:tcW w:w="0" w:type="auto"/>
            <w:gridSpan w:val="3"/>
            <w:shd w:val="clear" w:color="auto" w:fill="auto"/>
          </w:tcPr>
          <w:p w14:paraId="5EA216E0" w14:textId="77777777" w:rsidR="003C66EB" w:rsidRDefault="003C66EB">
            <w:pPr>
              <w:rPr>
                <w:rFonts w:ascii="宋体"/>
                <w:vanish/>
              </w:rPr>
            </w:pPr>
          </w:p>
        </w:tc>
        <w:tc>
          <w:tcPr>
            <w:tcW w:w="0" w:type="auto"/>
            <w:gridSpan w:val="3"/>
            <w:shd w:val="clear" w:color="auto" w:fill="auto"/>
          </w:tcPr>
          <w:p w14:paraId="5EA216E1" w14:textId="77777777" w:rsidR="003C66EB" w:rsidRDefault="003C66EB">
            <w:pPr>
              <w:rPr>
                <w:rFonts w:ascii="宋体"/>
                <w:vanish/>
              </w:rPr>
            </w:pPr>
          </w:p>
        </w:tc>
        <w:tc>
          <w:tcPr>
            <w:tcW w:w="0" w:type="auto"/>
            <w:gridSpan w:val="3"/>
            <w:shd w:val="clear" w:color="auto" w:fill="auto"/>
          </w:tcPr>
          <w:p w14:paraId="5EA216E2" w14:textId="77777777" w:rsidR="003C66EB" w:rsidRDefault="003C66EB">
            <w:pPr>
              <w:rPr>
                <w:rFonts w:ascii="宋体"/>
                <w:vanish/>
              </w:rPr>
            </w:pPr>
          </w:p>
        </w:tc>
        <w:tc>
          <w:tcPr>
            <w:tcW w:w="0" w:type="auto"/>
            <w:gridSpan w:val="3"/>
            <w:shd w:val="clear" w:color="auto" w:fill="auto"/>
          </w:tcPr>
          <w:p w14:paraId="5EA216E3" w14:textId="77777777" w:rsidR="003C66EB" w:rsidRDefault="003C66EB">
            <w:pPr>
              <w:rPr>
                <w:rFonts w:ascii="宋体"/>
                <w:vanish/>
              </w:rPr>
            </w:pPr>
          </w:p>
        </w:tc>
        <w:tc>
          <w:tcPr>
            <w:tcW w:w="0" w:type="auto"/>
            <w:gridSpan w:val="3"/>
            <w:shd w:val="clear" w:color="auto" w:fill="auto"/>
          </w:tcPr>
          <w:p w14:paraId="5EA216E4" w14:textId="77777777" w:rsidR="003C66EB" w:rsidRDefault="003C66EB">
            <w:pPr>
              <w:rPr>
                <w:rFonts w:ascii="宋体"/>
                <w:vanish/>
              </w:rPr>
            </w:pPr>
          </w:p>
        </w:tc>
        <w:tc>
          <w:tcPr>
            <w:tcW w:w="0" w:type="auto"/>
            <w:gridSpan w:val="3"/>
            <w:shd w:val="clear" w:color="auto" w:fill="auto"/>
          </w:tcPr>
          <w:p w14:paraId="5EA216E5" w14:textId="77777777" w:rsidR="003C66EB" w:rsidRDefault="003C66EB">
            <w:pPr>
              <w:rPr>
                <w:rFonts w:ascii="宋体"/>
                <w:vanish/>
              </w:rPr>
            </w:pPr>
          </w:p>
        </w:tc>
        <w:tc>
          <w:tcPr>
            <w:tcW w:w="0" w:type="auto"/>
            <w:gridSpan w:val="3"/>
            <w:shd w:val="clear" w:color="auto" w:fill="auto"/>
          </w:tcPr>
          <w:p w14:paraId="5EA216E6" w14:textId="77777777" w:rsidR="003C66EB" w:rsidRDefault="003C66EB">
            <w:pPr>
              <w:rPr>
                <w:rFonts w:ascii="宋体"/>
                <w:vanish/>
              </w:rPr>
            </w:pPr>
          </w:p>
        </w:tc>
        <w:tc>
          <w:tcPr>
            <w:tcW w:w="0" w:type="auto"/>
            <w:gridSpan w:val="3"/>
            <w:shd w:val="clear" w:color="auto" w:fill="auto"/>
          </w:tcPr>
          <w:p w14:paraId="5EA216E7" w14:textId="77777777" w:rsidR="003C66EB" w:rsidRDefault="003C66EB">
            <w:pPr>
              <w:rPr>
                <w:rFonts w:ascii="宋体"/>
                <w:vanish/>
              </w:rPr>
            </w:pPr>
          </w:p>
        </w:tc>
        <w:tc>
          <w:tcPr>
            <w:tcW w:w="0" w:type="auto"/>
            <w:gridSpan w:val="3"/>
            <w:shd w:val="clear" w:color="auto" w:fill="auto"/>
          </w:tcPr>
          <w:p w14:paraId="5EA216E8" w14:textId="77777777" w:rsidR="003C66EB" w:rsidRDefault="003C66EB">
            <w:pPr>
              <w:rPr>
                <w:rFonts w:ascii="宋体"/>
                <w:vanish/>
              </w:rPr>
            </w:pPr>
          </w:p>
        </w:tc>
        <w:tc>
          <w:tcPr>
            <w:tcW w:w="0" w:type="auto"/>
            <w:gridSpan w:val="3"/>
            <w:shd w:val="clear" w:color="auto" w:fill="auto"/>
          </w:tcPr>
          <w:p w14:paraId="5EA216E9" w14:textId="77777777" w:rsidR="003C66EB" w:rsidRDefault="003C66EB">
            <w:pPr>
              <w:rPr>
                <w:rFonts w:ascii="宋体"/>
                <w:vanish/>
              </w:rPr>
            </w:pPr>
          </w:p>
        </w:tc>
      </w:tr>
      <w:tr w:rsidR="003C66EB" w14:paraId="5EA216F7" w14:textId="77777777">
        <w:trPr>
          <w:hidden/>
        </w:trPr>
        <w:tc>
          <w:tcPr>
            <w:tcW w:w="0" w:type="auto"/>
            <w:gridSpan w:val="3"/>
            <w:shd w:val="clear" w:color="auto" w:fill="auto"/>
          </w:tcPr>
          <w:p w14:paraId="5EA216EB" w14:textId="77777777" w:rsidR="003C66EB" w:rsidRDefault="003C66EB">
            <w:pPr>
              <w:rPr>
                <w:rFonts w:ascii="宋体"/>
                <w:vanish/>
              </w:rPr>
            </w:pPr>
          </w:p>
        </w:tc>
        <w:tc>
          <w:tcPr>
            <w:tcW w:w="0" w:type="auto"/>
            <w:gridSpan w:val="3"/>
            <w:shd w:val="clear" w:color="auto" w:fill="auto"/>
          </w:tcPr>
          <w:p w14:paraId="5EA216EC" w14:textId="77777777" w:rsidR="003C66EB" w:rsidRDefault="003C66EB">
            <w:pPr>
              <w:rPr>
                <w:rFonts w:ascii="宋体"/>
                <w:vanish/>
              </w:rPr>
            </w:pPr>
          </w:p>
        </w:tc>
        <w:tc>
          <w:tcPr>
            <w:tcW w:w="0" w:type="auto"/>
            <w:gridSpan w:val="3"/>
            <w:shd w:val="clear" w:color="auto" w:fill="auto"/>
          </w:tcPr>
          <w:p w14:paraId="5EA216ED" w14:textId="77777777" w:rsidR="003C66EB" w:rsidRDefault="003C66EB">
            <w:pPr>
              <w:rPr>
                <w:rFonts w:ascii="宋体"/>
                <w:vanish/>
              </w:rPr>
            </w:pPr>
          </w:p>
        </w:tc>
        <w:tc>
          <w:tcPr>
            <w:tcW w:w="0" w:type="auto"/>
            <w:gridSpan w:val="3"/>
            <w:shd w:val="clear" w:color="auto" w:fill="auto"/>
          </w:tcPr>
          <w:p w14:paraId="5EA216EE" w14:textId="77777777" w:rsidR="003C66EB" w:rsidRDefault="003C66EB">
            <w:pPr>
              <w:rPr>
                <w:rFonts w:ascii="宋体"/>
                <w:vanish/>
              </w:rPr>
            </w:pPr>
          </w:p>
        </w:tc>
        <w:tc>
          <w:tcPr>
            <w:tcW w:w="0" w:type="auto"/>
            <w:gridSpan w:val="3"/>
            <w:shd w:val="clear" w:color="auto" w:fill="auto"/>
          </w:tcPr>
          <w:p w14:paraId="5EA216EF" w14:textId="77777777" w:rsidR="003C66EB" w:rsidRDefault="003C66EB">
            <w:pPr>
              <w:rPr>
                <w:rFonts w:ascii="宋体"/>
                <w:vanish/>
              </w:rPr>
            </w:pPr>
          </w:p>
        </w:tc>
        <w:tc>
          <w:tcPr>
            <w:tcW w:w="0" w:type="auto"/>
            <w:gridSpan w:val="3"/>
            <w:shd w:val="clear" w:color="auto" w:fill="auto"/>
          </w:tcPr>
          <w:p w14:paraId="5EA216F0" w14:textId="77777777" w:rsidR="003C66EB" w:rsidRDefault="003C66EB">
            <w:pPr>
              <w:rPr>
                <w:rFonts w:ascii="宋体"/>
                <w:vanish/>
              </w:rPr>
            </w:pPr>
          </w:p>
        </w:tc>
        <w:tc>
          <w:tcPr>
            <w:tcW w:w="0" w:type="auto"/>
            <w:gridSpan w:val="3"/>
            <w:shd w:val="clear" w:color="auto" w:fill="auto"/>
          </w:tcPr>
          <w:p w14:paraId="5EA216F1" w14:textId="77777777" w:rsidR="003C66EB" w:rsidRDefault="003C66EB">
            <w:pPr>
              <w:rPr>
                <w:rFonts w:ascii="宋体"/>
                <w:vanish/>
              </w:rPr>
            </w:pPr>
          </w:p>
        </w:tc>
        <w:tc>
          <w:tcPr>
            <w:tcW w:w="0" w:type="auto"/>
            <w:gridSpan w:val="3"/>
            <w:shd w:val="clear" w:color="auto" w:fill="auto"/>
          </w:tcPr>
          <w:p w14:paraId="5EA216F2" w14:textId="77777777" w:rsidR="003C66EB" w:rsidRDefault="003C66EB">
            <w:pPr>
              <w:rPr>
                <w:rFonts w:ascii="宋体"/>
                <w:vanish/>
              </w:rPr>
            </w:pPr>
          </w:p>
        </w:tc>
        <w:tc>
          <w:tcPr>
            <w:tcW w:w="0" w:type="auto"/>
            <w:gridSpan w:val="3"/>
            <w:shd w:val="clear" w:color="auto" w:fill="auto"/>
          </w:tcPr>
          <w:p w14:paraId="5EA216F3" w14:textId="77777777" w:rsidR="003C66EB" w:rsidRDefault="003C66EB">
            <w:pPr>
              <w:rPr>
                <w:rFonts w:ascii="宋体"/>
                <w:vanish/>
              </w:rPr>
            </w:pPr>
          </w:p>
        </w:tc>
        <w:tc>
          <w:tcPr>
            <w:tcW w:w="0" w:type="auto"/>
            <w:gridSpan w:val="3"/>
            <w:shd w:val="clear" w:color="auto" w:fill="auto"/>
          </w:tcPr>
          <w:p w14:paraId="5EA216F4" w14:textId="77777777" w:rsidR="003C66EB" w:rsidRDefault="003C66EB">
            <w:pPr>
              <w:rPr>
                <w:rFonts w:ascii="宋体"/>
                <w:vanish/>
              </w:rPr>
            </w:pPr>
          </w:p>
        </w:tc>
        <w:tc>
          <w:tcPr>
            <w:tcW w:w="0" w:type="auto"/>
            <w:gridSpan w:val="3"/>
            <w:shd w:val="clear" w:color="auto" w:fill="auto"/>
          </w:tcPr>
          <w:p w14:paraId="5EA216F5" w14:textId="77777777" w:rsidR="003C66EB" w:rsidRDefault="003C66EB">
            <w:pPr>
              <w:rPr>
                <w:rFonts w:ascii="宋体"/>
                <w:vanish/>
              </w:rPr>
            </w:pPr>
          </w:p>
        </w:tc>
        <w:tc>
          <w:tcPr>
            <w:tcW w:w="0" w:type="auto"/>
            <w:gridSpan w:val="3"/>
            <w:shd w:val="clear" w:color="auto" w:fill="auto"/>
          </w:tcPr>
          <w:p w14:paraId="5EA216F6" w14:textId="77777777" w:rsidR="003C66EB" w:rsidRDefault="003C66EB">
            <w:pPr>
              <w:rPr>
                <w:rFonts w:ascii="宋体"/>
                <w:vanish/>
              </w:rPr>
            </w:pPr>
          </w:p>
        </w:tc>
      </w:tr>
    </w:tbl>
    <w:p w14:paraId="5EA216F8" w14:textId="77777777" w:rsidR="003C66EB" w:rsidRDefault="003C66EB">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37"/>
        <w:gridCol w:w="1661"/>
        <w:gridCol w:w="36"/>
        <w:gridCol w:w="110"/>
        <w:gridCol w:w="884"/>
        <w:gridCol w:w="36"/>
        <w:gridCol w:w="36"/>
        <w:gridCol w:w="36"/>
        <w:gridCol w:w="36"/>
        <w:gridCol w:w="110"/>
        <w:gridCol w:w="855"/>
        <w:gridCol w:w="36"/>
        <w:gridCol w:w="36"/>
        <w:gridCol w:w="36"/>
        <w:gridCol w:w="36"/>
        <w:gridCol w:w="110"/>
        <w:gridCol w:w="855"/>
        <w:gridCol w:w="36"/>
        <w:gridCol w:w="36"/>
        <w:gridCol w:w="36"/>
        <w:gridCol w:w="36"/>
        <w:gridCol w:w="110"/>
        <w:gridCol w:w="842"/>
        <w:gridCol w:w="36"/>
        <w:gridCol w:w="36"/>
        <w:gridCol w:w="36"/>
        <w:gridCol w:w="36"/>
        <w:gridCol w:w="110"/>
        <w:gridCol w:w="856"/>
        <w:gridCol w:w="36"/>
        <w:gridCol w:w="36"/>
        <w:gridCol w:w="36"/>
        <w:gridCol w:w="36"/>
        <w:gridCol w:w="110"/>
        <w:gridCol w:w="857"/>
        <w:gridCol w:w="36"/>
      </w:tblGrid>
      <w:tr w:rsidR="003C66EB" w14:paraId="5EA2171D" w14:textId="77777777">
        <w:tc>
          <w:tcPr>
            <w:tcW w:w="50" w:type="pct"/>
            <w:shd w:val="clear" w:color="auto" w:fill="auto"/>
          </w:tcPr>
          <w:p w14:paraId="5EA216F9" w14:textId="77777777" w:rsidR="003C66EB" w:rsidRDefault="003C66EB">
            <w:pPr>
              <w:rPr>
                <w:rFonts w:ascii="宋体"/>
              </w:rPr>
            </w:pPr>
          </w:p>
        </w:tc>
        <w:tc>
          <w:tcPr>
            <w:tcW w:w="1031" w:type="pct"/>
            <w:shd w:val="clear" w:color="auto" w:fill="auto"/>
          </w:tcPr>
          <w:p w14:paraId="5EA216FA" w14:textId="77777777" w:rsidR="003C66EB" w:rsidRDefault="003C66EB">
            <w:pPr>
              <w:rPr>
                <w:rFonts w:ascii="宋体"/>
              </w:rPr>
            </w:pPr>
          </w:p>
        </w:tc>
        <w:tc>
          <w:tcPr>
            <w:tcW w:w="5" w:type="pct"/>
            <w:shd w:val="clear" w:color="auto" w:fill="auto"/>
          </w:tcPr>
          <w:p w14:paraId="5EA216FB" w14:textId="77777777" w:rsidR="003C66EB" w:rsidRDefault="003C66EB">
            <w:pPr>
              <w:rPr>
                <w:rFonts w:ascii="宋体"/>
              </w:rPr>
            </w:pPr>
          </w:p>
        </w:tc>
        <w:tc>
          <w:tcPr>
            <w:tcW w:w="50" w:type="pct"/>
            <w:shd w:val="clear" w:color="auto" w:fill="auto"/>
          </w:tcPr>
          <w:p w14:paraId="5EA216FC" w14:textId="77777777" w:rsidR="003C66EB" w:rsidRDefault="003C66EB">
            <w:pPr>
              <w:rPr>
                <w:rFonts w:ascii="宋体"/>
              </w:rPr>
            </w:pPr>
          </w:p>
        </w:tc>
        <w:tc>
          <w:tcPr>
            <w:tcW w:w="561" w:type="pct"/>
            <w:shd w:val="clear" w:color="auto" w:fill="auto"/>
          </w:tcPr>
          <w:p w14:paraId="5EA216FD" w14:textId="77777777" w:rsidR="003C66EB" w:rsidRDefault="003C66EB">
            <w:pPr>
              <w:rPr>
                <w:rFonts w:ascii="宋体"/>
              </w:rPr>
            </w:pPr>
          </w:p>
        </w:tc>
        <w:tc>
          <w:tcPr>
            <w:tcW w:w="5" w:type="pct"/>
            <w:shd w:val="clear" w:color="auto" w:fill="auto"/>
          </w:tcPr>
          <w:p w14:paraId="5EA216FE" w14:textId="77777777" w:rsidR="003C66EB" w:rsidRDefault="003C66EB">
            <w:pPr>
              <w:rPr>
                <w:rFonts w:ascii="宋体"/>
              </w:rPr>
            </w:pPr>
          </w:p>
        </w:tc>
        <w:tc>
          <w:tcPr>
            <w:tcW w:w="5" w:type="pct"/>
            <w:shd w:val="clear" w:color="auto" w:fill="auto"/>
          </w:tcPr>
          <w:p w14:paraId="5EA216FF" w14:textId="77777777" w:rsidR="003C66EB" w:rsidRDefault="003C66EB">
            <w:pPr>
              <w:rPr>
                <w:rFonts w:ascii="宋体"/>
              </w:rPr>
            </w:pPr>
          </w:p>
        </w:tc>
        <w:tc>
          <w:tcPr>
            <w:tcW w:w="26" w:type="pct"/>
            <w:shd w:val="clear" w:color="auto" w:fill="auto"/>
          </w:tcPr>
          <w:p w14:paraId="5EA21700" w14:textId="77777777" w:rsidR="003C66EB" w:rsidRDefault="003C66EB">
            <w:pPr>
              <w:rPr>
                <w:rFonts w:ascii="宋体"/>
              </w:rPr>
            </w:pPr>
          </w:p>
        </w:tc>
        <w:tc>
          <w:tcPr>
            <w:tcW w:w="5" w:type="pct"/>
            <w:shd w:val="clear" w:color="auto" w:fill="auto"/>
          </w:tcPr>
          <w:p w14:paraId="5EA21701" w14:textId="77777777" w:rsidR="003C66EB" w:rsidRDefault="003C66EB">
            <w:pPr>
              <w:rPr>
                <w:rFonts w:ascii="宋体"/>
              </w:rPr>
            </w:pPr>
          </w:p>
        </w:tc>
        <w:tc>
          <w:tcPr>
            <w:tcW w:w="50" w:type="pct"/>
            <w:shd w:val="clear" w:color="auto" w:fill="auto"/>
          </w:tcPr>
          <w:p w14:paraId="5EA21702" w14:textId="77777777" w:rsidR="003C66EB" w:rsidRDefault="003C66EB">
            <w:pPr>
              <w:rPr>
                <w:rFonts w:ascii="宋体"/>
              </w:rPr>
            </w:pPr>
          </w:p>
        </w:tc>
        <w:tc>
          <w:tcPr>
            <w:tcW w:w="569" w:type="pct"/>
            <w:shd w:val="clear" w:color="auto" w:fill="auto"/>
          </w:tcPr>
          <w:p w14:paraId="5EA21703" w14:textId="77777777" w:rsidR="003C66EB" w:rsidRDefault="003C66EB">
            <w:pPr>
              <w:rPr>
                <w:rFonts w:ascii="宋体"/>
              </w:rPr>
            </w:pPr>
          </w:p>
        </w:tc>
        <w:tc>
          <w:tcPr>
            <w:tcW w:w="5" w:type="pct"/>
            <w:shd w:val="clear" w:color="auto" w:fill="auto"/>
          </w:tcPr>
          <w:p w14:paraId="5EA21704" w14:textId="77777777" w:rsidR="003C66EB" w:rsidRDefault="003C66EB">
            <w:pPr>
              <w:rPr>
                <w:rFonts w:ascii="宋体"/>
              </w:rPr>
            </w:pPr>
          </w:p>
        </w:tc>
        <w:tc>
          <w:tcPr>
            <w:tcW w:w="5" w:type="pct"/>
            <w:shd w:val="clear" w:color="auto" w:fill="auto"/>
          </w:tcPr>
          <w:p w14:paraId="5EA21705" w14:textId="77777777" w:rsidR="003C66EB" w:rsidRDefault="003C66EB">
            <w:pPr>
              <w:rPr>
                <w:rFonts w:ascii="宋体"/>
              </w:rPr>
            </w:pPr>
          </w:p>
        </w:tc>
        <w:tc>
          <w:tcPr>
            <w:tcW w:w="26" w:type="pct"/>
            <w:shd w:val="clear" w:color="auto" w:fill="auto"/>
          </w:tcPr>
          <w:p w14:paraId="5EA21706" w14:textId="77777777" w:rsidR="003C66EB" w:rsidRDefault="003C66EB">
            <w:pPr>
              <w:rPr>
                <w:rFonts w:ascii="宋体"/>
              </w:rPr>
            </w:pPr>
          </w:p>
        </w:tc>
        <w:tc>
          <w:tcPr>
            <w:tcW w:w="5" w:type="pct"/>
            <w:shd w:val="clear" w:color="auto" w:fill="auto"/>
          </w:tcPr>
          <w:p w14:paraId="5EA21707" w14:textId="77777777" w:rsidR="003C66EB" w:rsidRDefault="003C66EB">
            <w:pPr>
              <w:rPr>
                <w:rFonts w:ascii="宋体"/>
              </w:rPr>
            </w:pPr>
          </w:p>
        </w:tc>
        <w:tc>
          <w:tcPr>
            <w:tcW w:w="50" w:type="pct"/>
            <w:shd w:val="clear" w:color="auto" w:fill="auto"/>
          </w:tcPr>
          <w:p w14:paraId="5EA21708" w14:textId="77777777" w:rsidR="003C66EB" w:rsidRDefault="003C66EB">
            <w:pPr>
              <w:rPr>
                <w:rFonts w:ascii="宋体"/>
              </w:rPr>
            </w:pPr>
          </w:p>
        </w:tc>
        <w:tc>
          <w:tcPr>
            <w:tcW w:w="569" w:type="pct"/>
            <w:shd w:val="clear" w:color="auto" w:fill="auto"/>
          </w:tcPr>
          <w:p w14:paraId="5EA21709" w14:textId="77777777" w:rsidR="003C66EB" w:rsidRDefault="003C66EB">
            <w:pPr>
              <w:rPr>
                <w:rFonts w:ascii="宋体"/>
              </w:rPr>
            </w:pPr>
          </w:p>
        </w:tc>
        <w:tc>
          <w:tcPr>
            <w:tcW w:w="5" w:type="pct"/>
            <w:shd w:val="clear" w:color="auto" w:fill="auto"/>
          </w:tcPr>
          <w:p w14:paraId="5EA2170A" w14:textId="77777777" w:rsidR="003C66EB" w:rsidRDefault="003C66EB">
            <w:pPr>
              <w:rPr>
                <w:rFonts w:ascii="宋体"/>
              </w:rPr>
            </w:pPr>
          </w:p>
        </w:tc>
        <w:tc>
          <w:tcPr>
            <w:tcW w:w="5" w:type="pct"/>
            <w:shd w:val="clear" w:color="auto" w:fill="auto"/>
          </w:tcPr>
          <w:p w14:paraId="5EA2170B" w14:textId="77777777" w:rsidR="003C66EB" w:rsidRDefault="003C66EB">
            <w:pPr>
              <w:rPr>
                <w:rFonts w:ascii="宋体"/>
              </w:rPr>
            </w:pPr>
          </w:p>
        </w:tc>
        <w:tc>
          <w:tcPr>
            <w:tcW w:w="26" w:type="pct"/>
            <w:shd w:val="clear" w:color="auto" w:fill="auto"/>
          </w:tcPr>
          <w:p w14:paraId="5EA2170C" w14:textId="77777777" w:rsidR="003C66EB" w:rsidRDefault="003C66EB">
            <w:pPr>
              <w:rPr>
                <w:rFonts w:ascii="宋体"/>
              </w:rPr>
            </w:pPr>
          </w:p>
        </w:tc>
        <w:tc>
          <w:tcPr>
            <w:tcW w:w="5" w:type="pct"/>
            <w:shd w:val="clear" w:color="auto" w:fill="auto"/>
          </w:tcPr>
          <w:p w14:paraId="5EA2170D" w14:textId="77777777" w:rsidR="003C66EB" w:rsidRDefault="003C66EB">
            <w:pPr>
              <w:rPr>
                <w:rFonts w:ascii="宋体"/>
              </w:rPr>
            </w:pPr>
          </w:p>
        </w:tc>
        <w:tc>
          <w:tcPr>
            <w:tcW w:w="50" w:type="pct"/>
            <w:shd w:val="clear" w:color="auto" w:fill="auto"/>
          </w:tcPr>
          <w:p w14:paraId="5EA2170E" w14:textId="77777777" w:rsidR="003C66EB" w:rsidRDefault="003C66EB">
            <w:pPr>
              <w:rPr>
                <w:rFonts w:ascii="宋体"/>
              </w:rPr>
            </w:pPr>
          </w:p>
        </w:tc>
        <w:tc>
          <w:tcPr>
            <w:tcW w:w="561" w:type="pct"/>
            <w:shd w:val="clear" w:color="auto" w:fill="auto"/>
          </w:tcPr>
          <w:p w14:paraId="5EA2170F" w14:textId="77777777" w:rsidR="003C66EB" w:rsidRDefault="003C66EB">
            <w:pPr>
              <w:rPr>
                <w:rFonts w:ascii="宋体"/>
              </w:rPr>
            </w:pPr>
          </w:p>
        </w:tc>
        <w:tc>
          <w:tcPr>
            <w:tcW w:w="5" w:type="pct"/>
            <w:shd w:val="clear" w:color="auto" w:fill="auto"/>
          </w:tcPr>
          <w:p w14:paraId="5EA21710" w14:textId="77777777" w:rsidR="003C66EB" w:rsidRDefault="003C66EB">
            <w:pPr>
              <w:rPr>
                <w:rFonts w:ascii="宋体"/>
              </w:rPr>
            </w:pPr>
          </w:p>
        </w:tc>
        <w:tc>
          <w:tcPr>
            <w:tcW w:w="5" w:type="pct"/>
            <w:shd w:val="clear" w:color="auto" w:fill="auto"/>
          </w:tcPr>
          <w:p w14:paraId="5EA21711" w14:textId="77777777" w:rsidR="003C66EB" w:rsidRDefault="003C66EB">
            <w:pPr>
              <w:rPr>
                <w:rFonts w:ascii="宋体"/>
              </w:rPr>
            </w:pPr>
          </w:p>
        </w:tc>
        <w:tc>
          <w:tcPr>
            <w:tcW w:w="26" w:type="pct"/>
            <w:shd w:val="clear" w:color="auto" w:fill="auto"/>
          </w:tcPr>
          <w:p w14:paraId="5EA21712" w14:textId="77777777" w:rsidR="003C66EB" w:rsidRDefault="003C66EB">
            <w:pPr>
              <w:rPr>
                <w:rFonts w:ascii="宋体"/>
              </w:rPr>
            </w:pPr>
          </w:p>
        </w:tc>
        <w:tc>
          <w:tcPr>
            <w:tcW w:w="5" w:type="pct"/>
            <w:shd w:val="clear" w:color="auto" w:fill="auto"/>
          </w:tcPr>
          <w:p w14:paraId="5EA21713" w14:textId="77777777" w:rsidR="003C66EB" w:rsidRDefault="003C66EB">
            <w:pPr>
              <w:rPr>
                <w:rFonts w:ascii="宋体"/>
              </w:rPr>
            </w:pPr>
          </w:p>
        </w:tc>
        <w:tc>
          <w:tcPr>
            <w:tcW w:w="50" w:type="pct"/>
            <w:shd w:val="clear" w:color="auto" w:fill="auto"/>
          </w:tcPr>
          <w:p w14:paraId="5EA21714" w14:textId="77777777" w:rsidR="003C66EB" w:rsidRDefault="003C66EB">
            <w:pPr>
              <w:rPr>
                <w:rFonts w:ascii="宋体"/>
              </w:rPr>
            </w:pPr>
          </w:p>
        </w:tc>
        <w:tc>
          <w:tcPr>
            <w:tcW w:w="569" w:type="pct"/>
            <w:shd w:val="clear" w:color="auto" w:fill="auto"/>
          </w:tcPr>
          <w:p w14:paraId="5EA21715" w14:textId="77777777" w:rsidR="003C66EB" w:rsidRDefault="003C66EB">
            <w:pPr>
              <w:rPr>
                <w:rFonts w:ascii="宋体"/>
              </w:rPr>
            </w:pPr>
          </w:p>
        </w:tc>
        <w:tc>
          <w:tcPr>
            <w:tcW w:w="5" w:type="pct"/>
            <w:shd w:val="clear" w:color="auto" w:fill="auto"/>
          </w:tcPr>
          <w:p w14:paraId="5EA21716" w14:textId="77777777" w:rsidR="003C66EB" w:rsidRDefault="003C66EB">
            <w:pPr>
              <w:rPr>
                <w:rFonts w:ascii="宋体"/>
              </w:rPr>
            </w:pPr>
          </w:p>
        </w:tc>
        <w:tc>
          <w:tcPr>
            <w:tcW w:w="5" w:type="pct"/>
            <w:shd w:val="clear" w:color="auto" w:fill="auto"/>
          </w:tcPr>
          <w:p w14:paraId="5EA21717" w14:textId="77777777" w:rsidR="003C66EB" w:rsidRDefault="003C66EB">
            <w:pPr>
              <w:rPr>
                <w:rFonts w:ascii="宋体"/>
              </w:rPr>
            </w:pPr>
          </w:p>
        </w:tc>
        <w:tc>
          <w:tcPr>
            <w:tcW w:w="26" w:type="pct"/>
            <w:shd w:val="clear" w:color="auto" w:fill="auto"/>
          </w:tcPr>
          <w:p w14:paraId="5EA21718" w14:textId="77777777" w:rsidR="003C66EB" w:rsidRDefault="003C66EB">
            <w:pPr>
              <w:rPr>
                <w:rFonts w:ascii="宋体"/>
              </w:rPr>
            </w:pPr>
          </w:p>
        </w:tc>
        <w:tc>
          <w:tcPr>
            <w:tcW w:w="5" w:type="pct"/>
            <w:shd w:val="clear" w:color="auto" w:fill="auto"/>
          </w:tcPr>
          <w:p w14:paraId="5EA21719" w14:textId="77777777" w:rsidR="003C66EB" w:rsidRDefault="003C66EB">
            <w:pPr>
              <w:rPr>
                <w:rFonts w:ascii="宋体"/>
              </w:rPr>
            </w:pPr>
          </w:p>
        </w:tc>
        <w:tc>
          <w:tcPr>
            <w:tcW w:w="50" w:type="pct"/>
            <w:shd w:val="clear" w:color="auto" w:fill="auto"/>
          </w:tcPr>
          <w:p w14:paraId="5EA2171A" w14:textId="77777777" w:rsidR="003C66EB" w:rsidRDefault="003C66EB">
            <w:pPr>
              <w:rPr>
                <w:rFonts w:ascii="宋体"/>
              </w:rPr>
            </w:pPr>
          </w:p>
        </w:tc>
        <w:tc>
          <w:tcPr>
            <w:tcW w:w="569" w:type="pct"/>
            <w:shd w:val="clear" w:color="auto" w:fill="auto"/>
          </w:tcPr>
          <w:p w14:paraId="5EA2171B" w14:textId="77777777" w:rsidR="003C66EB" w:rsidRDefault="003C66EB">
            <w:pPr>
              <w:rPr>
                <w:rFonts w:ascii="宋体"/>
              </w:rPr>
            </w:pPr>
          </w:p>
        </w:tc>
        <w:tc>
          <w:tcPr>
            <w:tcW w:w="5" w:type="pct"/>
            <w:shd w:val="clear" w:color="auto" w:fill="auto"/>
          </w:tcPr>
          <w:p w14:paraId="5EA2171C" w14:textId="77777777" w:rsidR="003C66EB" w:rsidRDefault="003C66EB">
            <w:pPr>
              <w:rPr>
                <w:rFonts w:ascii="宋体"/>
              </w:rPr>
            </w:pPr>
          </w:p>
        </w:tc>
      </w:tr>
      <w:tr w:rsidR="003C66EB" w14:paraId="5EA21740" w14:textId="77777777">
        <w:trPr>
          <w:hidden/>
        </w:trPr>
        <w:tc>
          <w:tcPr>
            <w:tcW w:w="0" w:type="auto"/>
            <w:gridSpan w:val="3"/>
            <w:shd w:val="clear" w:color="auto" w:fill="auto"/>
          </w:tcPr>
          <w:p w14:paraId="5EA2171E" w14:textId="77777777" w:rsidR="003C66EB" w:rsidRDefault="003C66EB">
            <w:pPr>
              <w:rPr>
                <w:rFonts w:ascii="宋体"/>
                <w:vanish/>
              </w:rPr>
            </w:pPr>
          </w:p>
        </w:tc>
        <w:tc>
          <w:tcPr>
            <w:tcW w:w="0" w:type="auto"/>
            <w:shd w:val="clear" w:color="auto" w:fill="auto"/>
          </w:tcPr>
          <w:p w14:paraId="5EA2171F" w14:textId="77777777" w:rsidR="003C66EB" w:rsidRDefault="003C66EB">
            <w:pPr>
              <w:rPr>
                <w:rFonts w:ascii="宋体"/>
              </w:rPr>
            </w:pPr>
          </w:p>
        </w:tc>
        <w:tc>
          <w:tcPr>
            <w:tcW w:w="0" w:type="auto"/>
            <w:shd w:val="clear" w:color="auto" w:fill="auto"/>
          </w:tcPr>
          <w:p w14:paraId="5EA21720" w14:textId="77777777" w:rsidR="003C66EB" w:rsidRDefault="003C66EB">
            <w:pPr>
              <w:rPr>
                <w:rFonts w:ascii="宋体"/>
              </w:rPr>
            </w:pPr>
          </w:p>
        </w:tc>
        <w:tc>
          <w:tcPr>
            <w:tcW w:w="0" w:type="auto"/>
            <w:shd w:val="clear" w:color="auto" w:fill="auto"/>
          </w:tcPr>
          <w:p w14:paraId="5EA21721" w14:textId="77777777" w:rsidR="003C66EB" w:rsidRDefault="003C66EB">
            <w:pPr>
              <w:rPr>
                <w:rFonts w:ascii="宋体"/>
              </w:rPr>
            </w:pPr>
          </w:p>
        </w:tc>
        <w:tc>
          <w:tcPr>
            <w:tcW w:w="0" w:type="auto"/>
            <w:shd w:val="clear" w:color="auto" w:fill="auto"/>
          </w:tcPr>
          <w:p w14:paraId="5EA21722" w14:textId="77777777" w:rsidR="003C66EB" w:rsidRDefault="003C66EB">
            <w:pPr>
              <w:rPr>
                <w:rFonts w:ascii="宋体"/>
              </w:rPr>
            </w:pPr>
          </w:p>
        </w:tc>
        <w:tc>
          <w:tcPr>
            <w:tcW w:w="0" w:type="auto"/>
            <w:shd w:val="clear" w:color="auto" w:fill="auto"/>
          </w:tcPr>
          <w:p w14:paraId="5EA21723" w14:textId="77777777" w:rsidR="003C66EB" w:rsidRDefault="003C66EB">
            <w:pPr>
              <w:rPr>
                <w:rFonts w:ascii="宋体"/>
              </w:rPr>
            </w:pPr>
          </w:p>
        </w:tc>
        <w:tc>
          <w:tcPr>
            <w:tcW w:w="0" w:type="auto"/>
            <w:shd w:val="clear" w:color="auto" w:fill="auto"/>
          </w:tcPr>
          <w:p w14:paraId="5EA21724" w14:textId="77777777" w:rsidR="003C66EB" w:rsidRDefault="003C66EB">
            <w:pPr>
              <w:rPr>
                <w:rFonts w:ascii="宋体"/>
              </w:rPr>
            </w:pPr>
          </w:p>
        </w:tc>
        <w:tc>
          <w:tcPr>
            <w:tcW w:w="0" w:type="auto"/>
            <w:shd w:val="clear" w:color="auto" w:fill="auto"/>
          </w:tcPr>
          <w:p w14:paraId="5EA21725" w14:textId="77777777" w:rsidR="003C66EB" w:rsidRDefault="003C66EB">
            <w:pPr>
              <w:rPr>
                <w:rFonts w:ascii="宋体"/>
              </w:rPr>
            </w:pPr>
          </w:p>
        </w:tc>
        <w:tc>
          <w:tcPr>
            <w:tcW w:w="0" w:type="auto"/>
            <w:shd w:val="clear" w:color="auto" w:fill="auto"/>
          </w:tcPr>
          <w:p w14:paraId="5EA21726" w14:textId="77777777" w:rsidR="003C66EB" w:rsidRDefault="003C66EB">
            <w:pPr>
              <w:rPr>
                <w:rFonts w:ascii="宋体"/>
              </w:rPr>
            </w:pPr>
          </w:p>
        </w:tc>
        <w:tc>
          <w:tcPr>
            <w:tcW w:w="0" w:type="auto"/>
            <w:shd w:val="clear" w:color="auto" w:fill="auto"/>
          </w:tcPr>
          <w:p w14:paraId="5EA21727" w14:textId="77777777" w:rsidR="003C66EB" w:rsidRDefault="003C66EB">
            <w:pPr>
              <w:rPr>
                <w:rFonts w:ascii="宋体"/>
              </w:rPr>
            </w:pPr>
          </w:p>
        </w:tc>
        <w:tc>
          <w:tcPr>
            <w:tcW w:w="0" w:type="auto"/>
            <w:shd w:val="clear" w:color="auto" w:fill="auto"/>
          </w:tcPr>
          <w:p w14:paraId="5EA21728" w14:textId="77777777" w:rsidR="003C66EB" w:rsidRDefault="003C66EB">
            <w:pPr>
              <w:rPr>
                <w:rFonts w:ascii="宋体"/>
              </w:rPr>
            </w:pPr>
          </w:p>
        </w:tc>
        <w:tc>
          <w:tcPr>
            <w:tcW w:w="0" w:type="auto"/>
            <w:shd w:val="clear" w:color="auto" w:fill="auto"/>
          </w:tcPr>
          <w:p w14:paraId="5EA21729" w14:textId="77777777" w:rsidR="003C66EB" w:rsidRDefault="003C66EB">
            <w:pPr>
              <w:rPr>
                <w:rFonts w:ascii="宋体"/>
              </w:rPr>
            </w:pPr>
          </w:p>
        </w:tc>
        <w:tc>
          <w:tcPr>
            <w:tcW w:w="0" w:type="auto"/>
            <w:shd w:val="clear" w:color="auto" w:fill="auto"/>
          </w:tcPr>
          <w:p w14:paraId="5EA2172A" w14:textId="77777777" w:rsidR="003C66EB" w:rsidRDefault="003C66EB">
            <w:pPr>
              <w:rPr>
                <w:rFonts w:ascii="宋体"/>
              </w:rPr>
            </w:pPr>
          </w:p>
        </w:tc>
        <w:tc>
          <w:tcPr>
            <w:tcW w:w="0" w:type="auto"/>
            <w:shd w:val="clear" w:color="auto" w:fill="auto"/>
          </w:tcPr>
          <w:p w14:paraId="5EA2172B" w14:textId="77777777" w:rsidR="003C66EB" w:rsidRDefault="003C66EB">
            <w:pPr>
              <w:rPr>
                <w:rFonts w:ascii="宋体"/>
              </w:rPr>
            </w:pPr>
          </w:p>
        </w:tc>
        <w:tc>
          <w:tcPr>
            <w:tcW w:w="0" w:type="auto"/>
            <w:shd w:val="clear" w:color="auto" w:fill="auto"/>
          </w:tcPr>
          <w:p w14:paraId="5EA2172C" w14:textId="77777777" w:rsidR="003C66EB" w:rsidRDefault="003C66EB">
            <w:pPr>
              <w:rPr>
                <w:rFonts w:ascii="宋体"/>
              </w:rPr>
            </w:pPr>
          </w:p>
        </w:tc>
        <w:tc>
          <w:tcPr>
            <w:tcW w:w="0" w:type="auto"/>
            <w:shd w:val="clear" w:color="auto" w:fill="auto"/>
          </w:tcPr>
          <w:p w14:paraId="5EA2172D" w14:textId="77777777" w:rsidR="003C66EB" w:rsidRDefault="003C66EB">
            <w:pPr>
              <w:rPr>
                <w:rFonts w:ascii="宋体"/>
              </w:rPr>
            </w:pPr>
          </w:p>
        </w:tc>
        <w:tc>
          <w:tcPr>
            <w:tcW w:w="0" w:type="auto"/>
            <w:shd w:val="clear" w:color="auto" w:fill="auto"/>
          </w:tcPr>
          <w:p w14:paraId="5EA2172E" w14:textId="77777777" w:rsidR="003C66EB" w:rsidRDefault="003C66EB">
            <w:pPr>
              <w:rPr>
                <w:rFonts w:ascii="宋体"/>
              </w:rPr>
            </w:pPr>
          </w:p>
        </w:tc>
        <w:tc>
          <w:tcPr>
            <w:tcW w:w="0" w:type="auto"/>
            <w:shd w:val="clear" w:color="auto" w:fill="auto"/>
          </w:tcPr>
          <w:p w14:paraId="5EA2172F" w14:textId="77777777" w:rsidR="003C66EB" w:rsidRDefault="003C66EB">
            <w:pPr>
              <w:rPr>
                <w:rFonts w:ascii="宋体"/>
              </w:rPr>
            </w:pPr>
          </w:p>
        </w:tc>
        <w:tc>
          <w:tcPr>
            <w:tcW w:w="0" w:type="auto"/>
            <w:shd w:val="clear" w:color="auto" w:fill="auto"/>
          </w:tcPr>
          <w:p w14:paraId="5EA21730" w14:textId="77777777" w:rsidR="003C66EB" w:rsidRDefault="003C66EB">
            <w:pPr>
              <w:rPr>
                <w:rFonts w:ascii="宋体"/>
              </w:rPr>
            </w:pPr>
          </w:p>
        </w:tc>
        <w:tc>
          <w:tcPr>
            <w:tcW w:w="0" w:type="auto"/>
            <w:shd w:val="clear" w:color="auto" w:fill="auto"/>
          </w:tcPr>
          <w:p w14:paraId="5EA21731" w14:textId="77777777" w:rsidR="003C66EB" w:rsidRDefault="003C66EB">
            <w:pPr>
              <w:rPr>
                <w:rFonts w:ascii="宋体"/>
              </w:rPr>
            </w:pPr>
          </w:p>
        </w:tc>
        <w:tc>
          <w:tcPr>
            <w:tcW w:w="0" w:type="auto"/>
            <w:shd w:val="clear" w:color="auto" w:fill="auto"/>
          </w:tcPr>
          <w:p w14:paraId="5EA21732" w14:textId="77777777" w:rsidR="003C66EB" w:rsidRDefault="003C66EB">
            <w:pPr>
              <w:rPr>
                <w:rFonts w:ascii="宋体"/>
              </w:rPr>
            </w:pPr>
          </w:p>
        </w:tc>
        <w:tc>
          <w:tcPr>
            <w:tcW w:w="0" w:type="auto"/>
            <w:shd w:val="clear" w:color="auto" w:fill="auto"/>
          </w:tcPr>
          <w:p w14:paraId="5EA21733" w14:textId="77777777" w:rsidR="003C66EB" w:rsidRDefault="003C66EB">
            <w:pPr>
              <w:rPr>
                <w:rFonts w:ascii="宋体"/>
              </w:rPr>
            </w:pPr>
          </w:p>
        </w:tc>
        <w:tc>
          <w:tcPr>
            <w:tcW w:w="0" w:type="auto"/>
            <w:shd w:val="clear" w:color="auto" w:fill="auto"/>
          </w:tcPr>
          <w:p w14:paraId="5EA21734" w14:textId="77777777" w:rsidR="003C66EB" w:rsidRDefault="003C66EB">
            <w:pPr>
              <w:rPr>
                <w:rFonts w:ascii="宋体"/>
              </w:rPr>
            </w:pPr>
          </w:p>
        </w:tc>
        <w:tc>
          <w:tcPr>
            <w:tcW w:w="0" w:type="auto"/>
            <w:shd w:val="clear" w:color="auto" w:fill="auto"/>
          </w:tcPr>
          <w:p w14:paraId="5EA21735" w14:textId="77777777" w:rsidR="003C66EB" w:rsidRDefault="003C66EB">
            <w:pPr>
              <w:rPr>
                <w:rFonts w:ascii="宋体"/>
              </w:rPr>
            </w:pPr>
          </w:p>
        </w:tc>
        <w:tc>
          <w:tcPr>
            <w:tcW w:w="0" w:type="auto"/>
            <w:shd w:val="clear" w:color="auto" w:fill="auto"/>
          </w:tcPr>
          <w:p w14:paraId="5EA21736" w14:textId="77777777" w:rsidR="003C66EB" w:rsidRDefault="003C66EB">
            <w:pPr>
              <w:rPr>
                <w:rFonts w:ascii="宋体"/>
              </w:rPr>
            </w:pPr>
          </w:p>
        </w:tc>
        <w:tc>
          <w:tcPr>
            <w:tcW w:w="0" w:type="auto"/>
            <w:shd w:val="clear" w:color="auto" w:fill="auto"/>
          </w:tcPr>
          <w:p w14:paraId="5EA21737" w14:textId="77777777" w:rsidR="003C66EB" w:rsidRDefault="003C66EB">
            <w:pPr>
              <w:rPr>
                <w:rFonts w:ascii="宋体"/>
              </w:rPr>
            </w:pPr>
          </w:p>
        </w:tc>
        <w:tc>
          <w:tcPr>
            <w:tcW w:w="0" w:type="auto"/>
            <w:shd w:val="clear" w:color="auto" w:fill="auto"/>
          </w:tcPr>
          <w:p w14:paraId="5EA21738" w14:textId="77777777" w:rsidR="003C66EB" w:rsidRDefault="003C66EB">
            <w:pPr>
              <w:rPr>
                <w:rFonts w:ascii="宋体"/>
              </w:rPr>
            </w:pPr>
          </w:p>
        </w:tc>
        <w:tc>
          <w:tcPr>
            <w:tcW w:w="0" w:type="auto"/>
            <w:shd w:val="clear" w:color="auto" w:fill="auto"/>
          </w:tcPr>
          <w:p w14:paraId="5EA21739" w14:textId="77777777" w:rsidR="003C66EB" w:rsidRDefault="003C66EB">
            <w:pPr>
              <w:rPr>
                <w:rFonts w:ascii="宋体"/>
              </w:rPr>
            </w:pPr>
          </w:p>
        </w:tc>
        <w:tc>
          <w:tcPr>
            <w:tcW w:w="0" w:type="auto"/>
            <w:shd w:val="clear" w:color="auto" w:fill="auto"/>
          </w:tcPr>
          <w:p w14:paraId="5EA2173A" w14:textId="77777777" w:rsidR="003C66EB" w:rsidRDefault="003C66EB">
            <w:pPr>
              <w:rPr>
                <w:rFonts w:ascii="宋体"/>
              </w:rPr>
            </w:pPr>
          </w:p>
        </w:tc>
        <w:tc>
          <w:tcPr>
            <w:tcW w:w="0" w:type="auto"/>
            <w:shd w:val="clear" w:color="auto" w:fill="auto"/>
          </w:tcPr>
          <w:p w14:paraId="5EA2173B" w14:textId="77777777" w:rsidR="003C66EB" w:rsidRDefault="003C66EB">
            <w:pPr>
              <w:rPr>
                <w:rFonts w:ascii="宋体"/>
              </w:rPr>
            </w:pPr>
          </w:p>
        </w:tc>
        <w:tc>
          <w:tcPr>
            <w:tcW w:w="0" w:type="auto"/>
            <w:shd w:val="clear" w:color="auto" w:fill="auto"/>
          </w:tcPr>
          <w:p w14:paraId="5EA2173C" w14:textId="77777777" w:rsidR="003C66EB" w:rsidRDefault="003C66EB">
            <w:pPr>
              <w:rPr>
                <w:rFonts w:ascii="宋体"/>
              </w:rPr>
            </w:pPr>
          </w:p>
        </w:tc>
        <w:tc>
          <w:tcPr>
            <w:tcW w:w="0" w:type="auto"/>
            <w:shd w:val="clear" w:color="auto" w:fill="auto"/>
          </w:tcPr>
          <w:p w14:paraId="5EA2173D" w14:textId="77777777" w:rsidR="003C66EB" w:rsidRDefault="003C66EB">
            <w:pPr>
              <w:rPr>
                <w:rFonts w:ascii="宋体"/>
              </w:rPr>
            </w:pPr>
          </w:p>
        </w:tc>
        <w:tc>
          <w:tcPr>
            <w:tcW w:w="0" w:type="auto"/>
            <w:shd w:val="clear" w:color="auto" w:fill="auto"/>
          </w:tcPr>
          <w:p w14:paraId="5EA2173E" w14:textId="77777777" w:rsidR="003C66EB" w:rsidRDefault="003C66EB">
            <w:pPr>
              <w:rPr>
                <w:rFonts w:ascii="宋体"/>
              </w:rPr>
            </w:pPr>
          </w:p>
        </w:tc>
        <w:tc>
          <w:tcPr>
            <w:tcW w:w="0" w:type="auto"/>
            <w:shd w:val="clear" w:color="auto" w:fill="auto"/>
          </w:tcPr>
          <w:p w14:paraId="5EA2173F" w14:textId="77777777" w:rsidR="003C66EB" w:rsidRDefault="003C66EB">
            <w:pPr>
              <w:rPr>
                <w:rFonts w:ascii="宋体"/>
              </w:rPr>
            </w:pPr>
          </w:p>
        </w:tc>
      </w:tr>
      <w:tr w:rsidR="003C66EB" w14:paraId="5EA21761" w14:textId="77777777">
        <w:trPr>
          <w:hidden/>
        </w:trPr>
        <w:tc>
          <w:tcPr>
            <w:tcW w:w="0" w:type="auto"/>
            <w:gridSpan w:val="3"/>
            <w:shd w:val="clear" w:color="auto" w:fill="auto"/>
          </w:tcPr>
          <w:p w14:paraId="5EA21741" w14:textId="77777777" w:rsidR="003C66EB" w:rsidRDefault="003C66EB">
            <w:pPr>
              <w:rPr>
                <w:rFonts w:ascii="宋体"/>
                <w:vanish/>
              </w:rPr>
            </w:pPr>
          </w:p>
        </w:tc>
        <w:tc>
          <w:tcPr>
            <w:tcW w:w="0" w:type="auto"/>
            <w:gridSpan w:val="3"/>
            <w:shd w:val="clear" w:color="auto" w:fill="auto"/>
          </w:tcPr>
          <w:p w14:paraId="5EA21742" w14:textId="77777777" w:rsidR="003C66EB" w:rsidRDefault="003C66EB">
            <w:pPr>
              <w:rPr>
                <w:rFonts w:ascii="宋体"/>
                <w:vanish/>
              </w:rPr>
            </w:pPr>
          </w:p>
        </w:tc>
        <w:tc>
          <w:tcPr>
            <w:tcW w:w="0" w:type="auto"/>
            <w:shd w:val="clear" w:color="auto" w:fill="auto"/>
          </w:tcPr>
          <w:p w14:paraId="5EA21743" w14:textId="77777777" w:rsidR="003C66EB" w:rsidRDefault="003C66EB">
            <w:pPr>
              <w:rPr>
                <w:rFonts w:ascii="宋体"/>
              </w:rPr>
            </w:pPr>
          </w:p>
        </w:tc>
        <w:tc>
          <w:tcPr>
            <w:tcW w:w="0" w:type="auto"/>
            <w:shd w:val="clear" w:color="auto" w:fill="auto"/>
          </w:tcPr>
          <w:p w14:paraId="5EA21744" w14:textId="77777777" w:rsidR="003C66EB" w:rsidRDefault="003C66EB">
            <w:pPr>
              <w:rPr>
                <w:rFonts w:ascii="宋体"/>
              </w:rPr>
            </w:pPr>
          </w:p>
        </w:tc>
        <w:tc>
          <w:tcPr>
            <w:tcW w:w="0" w:type="auto"/>
            <w:shd w:val="clear" w:color="auto" w:fill="auto"/>
          </w:tcPr>
          <w:p w14:paraId="5EA21745" w14:textId="77777777" w:rsidR="003C66EB" w:rsidRDefault="003C66EB">
            <w:pPr>
              <w:rPr>
                <w:rFonts w:ascii="宋体"/>
              </w:rPr>
            </w:pPr>
          </w:p>
        </w:tc>
        <w:tc>
          <w:tcPr>
            <w:tcW w:w="0" w:type="auto"/>
            <w:shd w:val="clear" w:color="auto" w:fill="auto"/>
          </w:tcPr>
          <w:p w14:paraId="5EA21746" w14:textId="77777777" w:rsidR="003C66EB" w:rsidRDefault="003C66EB">
            <w:pPr>
              <w:rPr>
                <w:rFonts w:ascii="宋体"/>
              </w:rPr>
            </w:pPr>
          </w:p>
        </w:tc>
        <w:tc>
          <w:tcPr>
            <w:tcW w:w="0" w:type="auto"/>
            <w:shd w:val="clear" w:color="auto" w:fill="auto"/>
          </w:tcPr>
          <w:p w14:paraId="5EA21747" w14:textId="77777777" w:rsidR="003C66EB" w:rsidRDefault="003C66EB">
            <w:pPr>
              <w:rPr>
                <w:rFonts w:ascii="宋体"/>
              </w:rPr>
            </w:pPr>
          </w:p>
        </w:tc>
        <w:tc>
          <w:tcPr>
            <w:tcW w:w="0" w:type="auto"/>
            <w:shd w:val="clear" w:color="auto" w:fill="auto"/>
          </w:tcPr>
          <w:p w14:paraId="5EA21748" w14:textId="77777777" w:rsidR="003C66EB" w:rsidRDefault="003C66EB">
            <w:pPr>
              <w:rPr>
                <w:rFonts w:ascii="宋体"/>
              </w:rPr>
            </w:pPr>
          </w:p>
        </w:tc>
        <w:tc>
          <w:tcPr>
            <w:tcW w:w="0" w:type="auto"/>
            <w:shd w:val="clear" w:color="auto" w:fill="auto"/>
          </w:tcPr>
          <w:p w14:paraId="5EA21749" w14:textId="77777777" w:rsidR="003C66EB" w:rsidRDefault="003C66EB">
            <w:pPr>
              <w:rPr>
                <w:rFonts w:ascii="宋体"/>
              </w:rPr>
            </w:pPr>
          </w:p>
        </w:tc>
        <w:tc>
          <w:tcPr>
            <w:tcW w:w="0" w:type="auto"/>
            <w:shd w:val="clear" w:color="auto" w:fill="auto"/>
          </w:tcPr>
          <w:p w14:paraId="5EA2174A" w14:textId="77777777" w:rsidR="003C66EB" w:rsidRDefault="003C66EB">
            <w:pPr>
              <w:rPr>
                <w:rFonts w:ascii="宋体"/>
              </w:rPr>
            </w:pPr>
          </w:p>
        </w:tc>
        <w:tc>
          <w:tcPr>
            <w:tcW w:w="0" w:type="auto"/>
            <w:shd w:val="clear" w:color="auto" w:fill="auto"/>
          </w:tcPr>
          <w:p w14:paraId="5EA2174B" w14:textId="77777777" w:rsidR="003C66EB" w:rsidRDefault="003C66EB">
            <w:pPr>
              <w:rPr>
                <w:rFonts w:ascii="宋体"/>
              </w:rPr>
            </w:pPr>
          </w:p>
        </w:tc>
        <w:tc>
          <w:tcPr>
            <w:tcW w:w="0" w:type="auto"/>
            <w:shd w:val="clear" w:color="auto" w:fill="auto"/>
          </w:tcPr>
          <w:p w14:paraId="5EA2174C" w14:textId="77777777" w:rsidR="003C66EB" w:rsidRDefault="003C66EB">
            <w:pPr>
              <w:rPr>
                <w:rFonts w:ascii="宋体"/>
              </w:rPr>
            </w:pPr>
          </w:p>
        </w:tc>
        <w:tc>
          <w:tcPr>
            <w:tcW w:w="0" w:type="auto"/>
            <w:shd w:val="clear" w:color="auto" w:fill="auto"/>
          </w:tcPr>
          <w:p w14:paraId="5EA2174D" w14:textId="77777777" w:rsidR="003C66EB" w:rsidRDefault="003C66EB">
            <w:pPr>
              <w:rPr>
                <w:rFonts w:ascii="宋体"/>
              </w:rPr>
            </w:pPr>
          </w:p>
        </w:tc>
        <w:tc>
          <w:tcPr>
            <w:tcW w:w="0" w:type="auto"/>
            <w:shd w:val="clear" w:color="auto" w:fill="auto"/>
          </w:tcPr>
          <w:p w14:paraId="5EA2174E" w14:textId="77777777" w:rsidR="003C66EB" w:rsidRDefault="003C66EB">
            <w:pPr>
              <w:rPr>
                <w:rFonts w:ascii="宋体"/>
              </w:rPr>
            </w:pPr>
          </w:p>
        </w:tc>
        <w:tc>
          <w:tcPr>
            <w:tcW w:w="0" w:type="auto"/>
            <w:shd w:val="clear" w:color="auto" w:fill="auto"/>
          </w:tcPr>
          <w:p w14:paraId="5EA2174F" w14:textId="77777777" w:rsidR="003C66EB" w:rsidRDefault="003C66EB">
            <w:pPr>
              <w:rPr>
                <w:rFonts w:ascii="宋体"/>
              </w:rPr>
            </w:pPr>
          </w:p>
        </w:tc>
        <w:tc>
          <w:tcPr>
            <w:tcW w:w="0" w:type="auto"/>
            <w:shd w:val="clear" w:color="auto" w:fill="auto"/>
          </w:tcPr>
          <w:p w14:paraId="5EA21750" w14:textId="77777777" w:rsidR="003C66EB" w:rsidRDefault="003C66EB">
            <w:pPr>
              <w:rPr>
                <w:rFonts w:ascii="宋体"/>
              </w:rPr>
            </w:pPr>
          </w:p>
        </w:tc>
        <w:tc>
          <w:tcPr>
            <w:tcW w:w="0" w:type="auto"/>
            <w:shd w:val="clear" w:color="auto" w:fill="auto"/>
          </w:tcPr>
          <w:p w14:paraId="5EA21751" w14:textId="77777777" w:rsidR="003C66EB" w:rsidRDefault="003C66EB">
            <w:pPr>
              <w:rPr>
                <w:rFonts w:ascii="宋体"/>
              </w:rPr>
            </w:pPr>
          </w:p>
        </w:tc>
        <w:tc>
          <w:tcPr>
            <w:tcW w:w="0" w:type="auto"/>
            <w:shd w:val="clear" w:color="auto" w:fill="auto"/>
          </w:tcPr>
          <w:p w14:paraId="5EA21752" w14:textId="77777777" w:rsidR="003C66EB" w:rsidRDefault="003C66EB">
            <w:pPr>
              <w:rPr>
                <w:rFonts w:ascii="宋体"/>
              </w:rPr>
            </w:pPr>
          </w:p>
        </w:tc>
        <w:tc>
          <w:tcPr>
            <w:tcW w:w="0" w:type="auto"/>
            <w:shd w:val="clear" w:color="auto" w:fill="auto"/>
          </w:tcPr>
          <w:p w14:paraId="5EA21753" w14:textId="77777777" w:rsidR="003C66EB" w:rsidRDefault="003C66EB">
            <w:pPr>
              <w:rPr>
                <w:rFonts w:ascii="宋体"/>
              </w:rPr>
            </w:pPr>
          </w:p>
        </w:tc>
        <w:tc>
          <w:tcPr>
            <w:tcW w:w="0" w:type="auto"/>
            <w:shd w:val="clear" w:color="auto" w:fill="auto"/>
          </w:tcPr>
          <w:p w14:paraId="5EA21754" w14:textId="77777777" w:rsidR="003C66EB" w:rsidRDefault="003C66EB">
            <w:pPr>
              <w:rPr>
                <w:rFonts w:ascii="宋体"/>
              </w:rPr>
            </w:pPr>
          </w:p>
        </w:tc>
        <w:tc>
          <w:tcPr>
            <w:tcW w:w="0" w:type="auto"/>
            <w:shd w:val="clear" w:color="auto" w:fill="auto"/>
          </w:tcPr>
          <w:p w14:paraId="5EA21755" w14:textId="77777777" w:rsidR="003C66EB" w:rsidRDefault="003C66EB">
            <w:pPr>
              <w:rPr>
                <w:rFonts w:ascii="宋体"/>
              </w:rPr>
            </w:pPr>
          </w:p>
        </w:tc>
        <w:tc>
          <w:tcPr>
            <w:tcW w:w="0" w:type="auto"/>
            <w:shd w:val="clear" w:color="auto" w:fill="auto"/>
          </w:tcPr>
          <w:p w14:paraId="5EA21756" w14:textId="77777777" w:rsidR="003C66EB" w:rsidRDefault="003C66EB">
            <w:pPr>
              <w:rPr>
                <w:rFonts w:ascii="宋体"/>
              </w:rPr>
            </w:pPr>
          </w:p>
        </w:tc>
        <w:tc>
          <w:tcPr>
            <w:tcW w:w="0" w:type="auto"/>
            <w:shd w:val="clear" w:color="auto" w:fill="auto"/>
          </w:tcPr>
          <w:p w14:paraId="5EA21757" w14:textId="77777777" w:rsidR="003C66EB" w:rsidRDefault="003C66EB">
            <w:pPr>
              <w:rPr>
                <w:rFonts w:ascii="宋体"/>
              </w:rPr>
            </w:pPr>
          </w:p>
        </w:tc>
        <w:tc>
          <w:tcPr>
            <w:tcW w:w="0" w:type="auto"/>
            <w:shd w:val="clear" w:color="auto" w:fill="auto"/>
          </w:tcPr>
          <w:p w14:paraId="5EA21758" w14:textId="77777777" w:rsidR="003C66EB" w:rsidRDefault="003C66EB">
            <w:pPr>
              <w:rPr>
                <w:rFonts w:ascii="宋体"/>
              </w:rPr>
            </w:pPr>
          </w:p>
        </w:tc>
        <w:tc>
          <w:tcPr>
            <w:tcW w:w="0" w:type="auto"/>
            <w:shd w:val="clear" w:color="auto" w:fill="auto"/>
          </w:tcPr>
          <w:p w14:paraId="5EA21759" w14:textId="77777777" w:rsidR="003C66EB" w:rsidRDefault="003C66EB">
            <w:pPr>
              <w:rPr>
                <w:rFonts w:ascii="宋体"/>
              </w:rPr>
            </w:pPr>
          </w:p>
        </w:tc>
        <w:tc>
          <w:tcPr>
            <w:tcW w:w="0" w:type="auto"/>
            <w:shd w:val="clear" w:color="auto" w:fill="auto"/>
          </w:tcPr>
          <w:p w14:paraId="5EA2175A" w14:textId="77777777" w:rsidR="003C66EB" w:rsidRDefault="003C66EB">
            <w:pPr>
              <w:rPr>
                <w:rFonts w:ascii="宋体"/>
              </w:rPr>
            </w:pPr>
          </w:p>
        </w:tc>
        <w:tc>
          <w:tcPr>
            <w:tcW w:w="0" w:type="auto"/>
            <w:shd w:val="clear" w:color="auto" w:fill="auto"/>
          </w:tcPr>
          <w:p w14:paraId="5EA2175B" w14:textId="77777777" w:rsidR="003C66EB" w:rsidRDefault="003C66EB">
            <w:pPr>
              <w:rPr>
                <w:rFonts w:ascii="宋体"/>
              </w:rPr>
            </w:pPr>
          </w:p>
        </w:tc>
        <w:tc>
          <w:tcPr>
            <w:tcW w:w="0" w:type="auto"/>
            <w:shd w:val="clear" w:color="auto" w:fill="auto"/>
          </w:tcPr>
          <w:p w14:paraId="5EA2175C" w14:textId="77777777" w:rsidR="003C66EB" w:rsidRDefault="003C66EB">
            <w:pPr>
              <w:rPr>
                <w:rFonts w:ascii="宋体"/>
              </w:rPr>
            </w:pPr>
          </w:p>
        </w:tc>
        <w:tc>
          <w:tcPr>
            <w:tcW w:w="0" w:type="auto"/>
            <w:shd w:val="clear" w:color="auto" w:fill="auto"/>
          </w:tcPr>
          <w:p w14:paraId="5EA2175D" w14:textId="77777777" w:rsidR="003C66EB" w:rsidRDefault="003C66EB">
            <w:pPr>
              <w:rPr>
                <w:rFonts w:ascii="宋体"/>
              </w:rPr>
            </w:pPr>
          </w:p>
        </w:tc>
        <w:tc>
          <w:tcPr>
            <w:tcW w:w="0" w:type="auto"/>
            <w:shd w:val="clear" w:color="auto" w:fill="auto"/>
          </w:tcPr>
          <w:p w14:paraId="5EA2175E" w14:textId="77777777" w:rsidR="003C66EB" w:rsidRDefault="003C66EB">
            <w:pPr>
              <w:rPr>
                <w:rFonts w:ascii="宋体"/>
              </w:rPr>
            </w:pPr>
          </w:p>
        </w:tc>
        <w:tc>
          <w:tcPr>
            <w:tcW w:w="0" w:type="auto"/>
            <w:shd w:val="clear" w:color="auto" w:fill="auto"/>
          </w:tcPr>
          <w:p w14:paraId="5EA2175F" w14:textId="77777777" w:rsidR="003C66EB" w:rsidRDefault="003C66EB">
            <w:pPr>
              <w:rPr>
                <w:rFonts w:ascii="宋体"/>
              </w:rPr>
            </w:pPr>
          </w:p>
        </w:tc>
        <w:tc>
          <w:tcPr>
            <w:tcW w:w="0" w:type="auto"/>
            <w:shd w:val="clear" w:color="auto" w:fill="auto"/>
          </w:tcPr>
          <w:p w14:paraId="5EA21760" w14:textId="77777777" w:rsidR="003C66EB" w:rsidRDefault="003C66EB">
            <w:pPr>
              <w:rPr>
                <w:rFonts w:ascii="宋体"/>
              </w:rPr>
            </w:pPr>
          </w:p>
        </w:tc>
      </w:tr>
      <w:tr w:rsidR="003C66EB" w14:paraId="5EA2177E" w14:textId="77777777">
        <w:trPr>
          <w:hidden/>
        </w:trPr>
        <w:tc>
          <w:tcPr>
            <w:tcW w:w="0" w:type="auto"/>
            <w:gridSpan w:val="3"/>
            <w:shd w:val="clear" w:color="auto" w:fill="auto"/>
          </w:tcPr>
          <w:p w14:paraId="5EA21762" w14:textId="77777777" w:rsidR="003C66EB" w:rsidRDefault="003C66EB">
            <w:pPr>
              <w:rPr>
                <w:rFonts w:ascii="宋体"/>
                <w:vanish/>
              </w:rPr>
            </w:pPr>
          </w:p>
        </w:tc>
        <w:tc>
          <w:tcPr>
            <w:tcW w:w="0" w:type="auto"/>
            <w:gridSpan w:val="3"/>
            <w:shd w:val="clear" w:color="auto" w:fill="auto"/>
          </w:tcPr>
          <w:p w14:paraId="5EA21763" w14:textId="77777777" w:rsidR="003C66EB" w:rsidRDefault="003C66EB">
            <w:pPr>
              <w:rPr>
                <w:rFonts w:ascii="宋体"/>
                <w:vanish/>
              </w:rPr>
            </w:pPr>
          </w:p>
        </w:tc>
        <w:tc>
          <w:tcPr>
            <w:tcW w:w="0" w:type="auto"/>
            <w:gridSpan w:val="3"/>
            <w:shd w:val="clear" w:color="auto" w:fill="auto"/>
          </w:tcPr>
          <w:p w14:paraId="5EA21764" w14:textId="77777777" w:rsidR="003C66EB" w:rsidRDefault="003C66EB">
            <w:pPr>
              <w:rPr>
                <w:rFonts w:ascii="宋体"/>
                <w:vanish/>
              </w:rPr>
            </w:pPr>
          </w:p>
        </w:tc>
        <w:tc>
          <w:tcPr>
            <w:tcW w:w="0" w:type="auto"/>
            <w:gridSpan w:val="3"/>
            <w:shd w:val="clear" w:color="auto" w:fill="auto"/>
          </w:tcPr>
          <w:p w14:paraId="5EA21765" w14:textId="77777777" w:rsidR="003C66EB" w:rsidRDefault="003C66EB">
            <w:pPr>
              <w:rPr>
                <w:rFonts w:ascii="宋体"/>
                <w:vanish/>
              </w:rPr>
            </w:pPr>
          </w:p>
        </w:tc>
        <w:tc>
          <w:tcPr>
            <w:tcW w:w="0" w:type="auto"/>
            <w:shd w:val="clear" w:color="auto" w:fill="auto"/>
          </w:tcPr>
          <w:p w14:paraId="5EA21766" w14:textId="77777777" w:rsidR="003C66EB" w:rsidRDefault="003C66EB">
            <w:pPr>
              <w:rPr>
                <w:rFonts w:ascii="宋体"/>
              </w:rPr>
            </w:pPr>
          </w:p>
        </w:tc>
        <w:tc>
          <w:tcPr>
            <w:tcW w:w="0" w:type="auto"/>
            <w:shd w:val="clear" w:color="auto" w:fill="auto"/>
          </w:tcPr>
          <w:p w14:paraId="5EA21767" w14:textId="77777777" w:rsidR="003C66EB" w:rsidRDefault="003C66EB">
            <w:pPr>
              <w:rPr>
                <w:rFonts w:ascii="宋体"/>
              </w:rPr>
            </w:pPr>
          </w:p>
        </w:tc>
        <w:tc>
          <w:tcPr>
            <w:tcW w:w="0" w:type="auto"/>
            <w:shd w:val="clear" w:color="auto" w:fill="auto"/>
          </w:tcPr>
          <w:p w14:paraId="5EA21768" w14:textId="77777777" w:rsidR="003C66EB" w:rsidRDefault="003C66EB">
            <w:pPr>
              <w:rPr>
                <w:rFonts w:ascii="宋体"/>
              </w:rPr>
            </w:pPr>
          </w:p>
        </w:tc>
        <w:tc>
          <w:tcPr>
            <w:tcW w:w="0" w:type="auto"/>
            <w:shd w:val="clear" w:color="auto" w:fill="auto"/>
          </w:tcPr>
          <w:p w14:paraId="5EA21769" w14:textId="77777777" w:rsidR="003C66EB" w:rsidRDefault="003C66EB">
            <w:pPr>
              <w:rPr>
                <w:rFonts w:ascii="宋体"/>
              </w:rPr>
            </w:pPr>
          </w:p>
        </w:tc>
        <w:tc>
          <w:tcPr>
            <w:tcW w:w="0" w:type="auto"/>
            <w:shd w:val="clear" w:color="auto" w:fill="auto"/>
          </w:tcPr>
          <w:p w14:paraId="5EA2176A" w14:textId="77777777" w:rsidR="003C66EB" w:rsidRDefault="003C66EB">
            <w:pPr>
              <w:rPr>
                <w:rFonts w:ascii="宋体"/>
              </w:rPr>
            </w:pPr>
          </w:p>
        </w:tc>
        <w:tc>
          <w:tcPr>
            <w:tcW w:w="0" w:type="auto"/>
            <w:shd w:val="clear" w:color="auto" w:fill="auto"/>
          </w:tcPr>
          <w:p w14:paraId="5EA2176B" w14:textId="77777777" w:rsidR="003C66EB" w:rsidRDefault="003C66EB">
            <w:pPr>
              <w:rPr>
                <w:rFonts w:ascii="宋体"/>
              </w:rPr>
            </w:pPr>
          </w:p>
        </w:tc>
        <w:tc>
          <w:tcPr>
            <w:tcW w:w="0" w:type="auto"/>
            <w:shd w:val="clear" w:color="auto" w:fill="auto"/>
          </w:tcPr>
          <w:p w14:paraId="5EA2176C" w14:textId="77777777" w:rsidR="003C66EB" w:rsidRDefault="003C66EB">
            <w:pPr>
              <w:rPr>
                <w:rFonts w:ascii="宋体"/>
              </w:rPr>
            </w:pPr>
          </w:p>
        </w:tc>
        <w:tc>
          <w:tcPr>
            <w:tcW w:w="0" w:type="auto"/>
            <w:shd w:val="clear" w:color="auto" w:fill="auto"/>
          </w:tcPr>
          <w:p w14:paraId="5EA2176D" w14:textId="77777777" w:rsidR="003C66EB" w:rsidRDefault="003C66EB">
            <w:pPr>
              <w:rPr>
                <w:rFonts w:ascii="宋体"/>
              </w:rPr>
            </w:pPr>
          </w:p>
        </w:tc>
        <w:tc>
          <w:tcPr>
            <w:tcW w:w="0" w:type="auto"/>
            <w:shd w:val="clear" w:color="auto" w:fill="auto"/>
          </w:tcPr>
          <w:p w14:paraId="5EA2176E" w14:textId="77777777" w:rsidR="003C66EB" w:rsidRDefault="003C66EB">
            <w:pPr>
              <w:rPr>
                <w:rFonts w:ascii="宋体"/>
              </w:rPr>
            </w:pPr>
          </w:p>
        </w:tc>
        <w:tc>
          <w:tcPr>
            <w:tcW w:w="0" w:type="auto"/>
            <w:shd w:val="clear" w:color="auto" w:fill="auto"/>
          </w:tcPr>
          <w:p w14:paraId="5EA2176F" w14:textId="77777777" w:rsidR="003C66EB" w:rsidRDefault="003C66EB">
            <w:pPr>
              <w:rPr>
                <w:rFonts w:ascii="宋体"/>
              </w:rPr>
            </w:pPr>
          </w:p>
        </w:tc>
        <w:tc>
          <w:tcPr>
            <w:tcW w:w="0" w:type="auto"/>
            <w:shd w:val="clear" w:color="auto" w:fill="auto"/>
          </w:tcPr>
          <w:p w14:paraId="5EA21770" w14:textId="77777777" w:rsidR="003C66EB" w:rsidRDefault="003C66EB">
            <w:pPr>
              <w:rPr>
                <w:rFonts w:ascii="宋体"/>
              </w:rPr>
            </w:pPr>
          </w:p>
        </w:tc>
        <w:tc>
          <w:tcPr>
            <w:tcW w:w="0" w:type="auto"/>
            <w:shd w:val="clear" w:color="auto" w:fill="auto"/>
          </w:tcPr>
          <w:p w14:paraId="5EA21771" w14:textId="77777777" w:rsidR="003C66EB" w:rsidRDefault="003C66EB">
            <w:pPr>
              <w:rPr>
                <w:rFonts w:ascii="宋体"/>
              </w:rPr>
            </w:pPr>
          </w:p>
        </w:tc>
        <w:tc>
          <w:tcPr>
            <w:tcW w:w="0" w:type="auto"/>
            <w:shd w:val="clear" w:color="auto" w:fill="auto"/>
          </w:tcPr>
          <w:p w14:paraId="5EA21772" w14:textId="77777777" w:rsidR="003C66EB" w:rsidRDefault="003C66EB">
            <w:pPr>
              <w:rPr>
                <w:rFonts w:ascii="宋体"/>
              </w:rPr>
            </w:pPr>
          </w:p>
        </w:tc>
        <w:tc>
          <w:tcPr>
            <w:tcW w:w="0" w:type="auto"/>
            <w:shd w:val="clear" w:color="auto" w:fill="auto"/>
          </w:tcPr>
          <w:p w14:paraId="5EA21773" w14:textId="77777777" w:rsidR="003C66EB" w:rsidRDefault="003C66EB">
            <w:pPr>
              <w:rPr>
                <w:rFonts w:ascii="宋体"/>
              </w:rPr>
            </w:pPr>
          </w:p>
        </w:tc>
        <w:tc>
          <w:tcPr>
            <w:tcW w:w="0" w:type="auto"/>
            <w:shd w:val="clear" w:color="auto" w:fill="auto"/>
          </w:tcPr>
          <w:p w14:paraId="5EA21774" w14:textId="77777777" w:rsidR="003C66EB" w:rsidRDefault="003C66EB">
            <w:pPr>
              <w:rPr>
                <w:rFonts w:ascii="宋体"/>
              </w:rPr>
            </w:pPr>
          </w:p>
        </w:tc>
        <w:tc>
          <w:tcPr>
            <w:tcW w:w="0" w:type="auto"/>
            <w:shd w:val="clear" w:color="auto" w:fill="auto"/>
          </w:tcPr>
          <w:p w14:paraId="5EA21775" w14:textId="77777777" w:rsidR="003C66EB" w:rsidRDefault="003C66EB">
            <w:pPr>
              <w:rPr>
                <w:rFonts w:ascii="宋体"/>
              </w:rPr>
            </w:pPr>
          </w:p>
        </w:tc>
        <w:tc>
          <w:tcPr>
            <w:tcW w:w="0" w:type="auto"/>
            <w:shd w:val="clear" w:color="auto" w:fill="auto"/>
          </w:tcPr>
          <w:p w14:paraId="5EA21776" w14:textId="77777777" w:rsidR="003C66EB" w:rsidRDefault="003C66EB">
            <w:pPr>
              <w:rPr>
                <w:rFonts w:ascii="宋体"/>
              </w:rPr>
            </w:pPr>
          </w:p>
        </w:tc>
        <w:tc>
          <w:tcPr>
            <w:tcW w:w="0" w:type="auto"/>
            <w:shd w:val="clear" w:color="auto" w:fill="auto"/>
          </w:tcPr>
          <w:p w14:paraId="5EA21777" w14:textId="77777777" w:rsidR="003C66EB" w:rsidRDefault="003C66EB">
            <w:pPr>
              <w:rPr>
                <w:rFonts w:ascii="宋体"/>
              </w:rPr>
            </w:pPr>
          </w:p>
        </w:tc>
        <w:tc>
          <w:tcPr>
            <w:tcW w:w="0" w:type="auto"/>
            <w:shd w:val="clear" w:color="auto" w:fill="auto"/>
          </w:tcPr>
          <w:p w14:paraId="5EA21778" w14:textId="77777777" w:rsidR="003C66EB" w:rsidRDefault="003C66EB">
            <w:pPr>
              <w:rPr>
                <w:rFonts w:ascii="宋体"/>
              </w:rPr>
            </w:pPr>
          </w:p>
        </w:tc>
        <w:tc>
          <w:tcPr>
            <w:tcW w:w="0" w:type="auto"/>
            <w:shd w:val="clear" w:color="auto" w:fill="auto"/>
          </w:tcPr>
          <w:p w14:paraId="5EA21779" w14:textId="77777777" w:rsidR="003C66EB" w:rsidRDefault="003C66EB">
            <w:pPr>
              <w:rPr>
                <w:rFonts w:ascii="宋体"/>
              </w:rPr>
            </w:pPr>
          </w:p>
        </w:tc>
        <w:tc>
          <w:tcPr>
            <w:tcW w:w="0" w:type="auto"/>
            <w:shd w:val="clear" w:color="auto" w:fill="auto"/>
          </w:tcPr>
          <w:p w14:paraId="5EA2177A" w14:textId="77777777" w:rsidR="003C66EB" w:rsidRDefault="003C66EB">
            <w:pPr>
              <w:rPr>
                <w:rFonts w:ascii="宋体"/>
              </w:rPr>
            </w:pPr>
          </w:p>
        </w:tc>
        <w:tc>
          <w:tcPr>
            <w:tcW w:w="0" w:type="auto"/>
            <w:shd w:val="clear" w:color="auto" w:fill="auto"/>
          </w:tcPr>
          <w:p w14:paraId="5EA2177B" w14:textId="77777777" w:rsidR="003C66EB" w:rsidRDefault="003C66EB">
            <w:pPr>
              <w:rPr>
                <w:rFonts w:ascii="宋体"/>
              </w:rPr>
            </w:pPr>
          </w:p>
        </w:tc>
        <w:tc>
          <w:tcPr>
            <w:tcW w:w="0" w:type="auto"/>
            <w:shd w:val="clear" w:color="auto" w:fill="auto"/>
          </w:tcPr>
          <w:p w14:paraId="5EA2177C" w14:textId="77777777" w:rsidR="003C66EB" w:rsidRDefault="003C66EB">
            <w:pPr>
              <w:rPr>
                <w:rFonts w:ascii="宋体"/>
              </w:rPr>
            </w:pPr>
          </w:p>
        </w:tc>
        <w:tc>
          <w:tcPr>
            <w:tcW w:w="0" w:type="auto"/>
            <w:shd w:val="clear" w:color="auto" w:fill="auto"/>
          </w:tcPr>
          <w:p w14:paraId="5EA2177D" w14:textId="77777777" w:rsidR="003C66EB" w:rsidRDefault="003C66EB">
            <w:pPr>
              <w:rPr>
                <w:rFonts w:ascii="宋体"/>
              </w:rPr>
            </w:pPr>
          </w:p>
        </w:tc>
      </w:tr>
      <w:tr w:rsidR="003C66EB" w14:paraId="5EA2178B" w14:textId="77777777">
        <w:trPr>
          <w:hidden/>
        </w:trPr>
        <w:tc>
          <w:tcPr>
            <w:tcW w:w="0" w:type="auto"/>
            <w:gridSpan w:val="3"/>
            <w:shd w:val="clear" w:color="auto" w:fill="auto"/>
          </w:tcPr>
          <w:p w14:paraId="5EA2177F" w14:textId="77777777" w:rsidR="003C66EB" w:rsidRDefault="003C66EB">
            <w:pPr>
              <w:rPr>
                <w:rFonts w:ascii="宋体"/>
                <w:vanish/>
              </w:rPr>
            </w:pPr>
          </w:p>
        </w:tc>
        <w:tc>
          <w:tcPr>
            <w:tcW w:w="0" w:type="auto"/>
            <w:gridSpan w:val="3"/>
            <w:shd w:val="clear" w:color="auto" w:fill="auto"/>
          </w:tcPr>
          <w:p w14:paraId="5EA21780" w14:textId="77777777" w:rsidR="003C66EB" w:rsidRDefault="003C66EB">
            <w:pPr>
              <w:rPr>
                <w:rFonts w:ascii="宋体"/>
                <w:vanish/>
              </w:rPr>
            </w:pPr>
          </w:p>
        </w:tc>
        <w:tc>
          <w:tcPr>
            <w:tcW w:w="0" w:type="auto"/>
            <w:gridSpan w:val="3"/>
            <w:shd w:val="clear" w:color="auto" w:fill="auto"/>
          </w:tcPr>
          <w:p w14:paraId="5EA21781" w14:textId="77777777" w:rsidR="003C66EB" w:rsidRDefault="003C66EB">
            <w:pPr>
              <w:rPr>
                <w:rFonts w:ascii="宋体"/>
                <w:vanish/>
              </w:rPr>
            </w:pPr>
          </w:p>
        </w:tc>
        <w:tc>
          <w:tcPr>
            <w:tcW w:w="0" w:type="auto"/>
            <w:gridSpan w:val="3"/>
            <w:shd w:val="clear" w:color="auto" w:fill="auto"/>
          </w:tcPr>
          <w:p w14:paraId="5EA21782" w14:textId="77777777" w:rsidR="003C66EB" w:rsidRDefault="003C66EB">
            <w:pPr>
              <w:rPr>
                <w:rFonts w:ascii="宋体"/>
                <w:vanish/>
              </w:rPr>
            </w:pPr>
          </w:p>
        </w:tc>
        <w:tc>
          <w:tcPr>
            <w:tcW w:w="0" w:type="auto"/>
            <w:gridSpan w:val="3"/>
            <w:shd w:val="clear" w:color="auto" w:fill="auto"/>
          </w:tcPr>
          <w:p w14:paraId="5EA21783" w14:textId="77777777" w:rsidR="003C66EB" w:rsidRDefault="003C66EB">
            <w:pPr>
              <w:rPr>
                <w:rFonts w:ascii="宋体"/>
                <w:vanish/>
              </w:rPr>
            </w:pPr>
          </w:p>
        </w:tc>
        <w:tc>
          <w:tcPr>
            <w:tcW w:w="0" w:type="auto"/>
            <w:gridSpan w:val="3"/>
            <w:shd w:val="clear" w:color="auto" w:fill="auto"/>
          </w:tcPr>
          <w:p w14:paraId="5EA21784" w14:textId="77777777" w:rsidR="003C66EB" w:rsidRDefault="003C66EB">
            <w:pPr>
              <w:rPr>
                <w:rFonts w:ascii="宋体"/>
                <w:vanish/>
              </w:rPr>
            </w:pPr>
          </w:p>
        </w:tc>
        <w:tc>
          <w:tcPr>
            <w:tcW w:w="0" w:type="auto"/>
            <w:gridSpan w:val="3"/>
            <w:shd w:val="clear" w:color="auto" w:fill="auto"/>
          </w:tcPr>
          <w:p w14:paraId="5EA21785" w14:textId="77777777" w:rsidR="003C66EB" w:rsidRDefault="003C66EB">
            <w:pPr>
              <w:rPr>
                <w:rFonts w:ascii="宋体"/>
                <w:vanish/>
              </w:rPr>
            </w:pPr>
          </w:p>
        </w:tc>
        <w:tc>
          <w:tcPr>
            <w:tcW w:w="0" w:type="auto"/>
            <w:gridSpan w:val="3"/>
            <w:shd w:val="clear" w:color="auto" w:fill="auto"/>
          </w:tcPr>
          <w:p w14:paraId="5EA21786" w14:textId="77777777" w:rsidR="003C66EB" w:rsidRDefault="003C66EB">
            <w:pPr>
              <w:rPr>
                <w:rFonts w:ascii="宋体"/>
                <w:vanish/>
              </w:rPr>
            </w:pPr>
          </w:p>
        </w:tc>
        <w:tc>
          <w:tcPr>
            <w:tcW w:w="0" w:type="auto"/>
            <w:gridSpan w:val="3"/>
            <w:shd w:val="clear" w:color="auto" w:fill="auto"/>
          </w:tcPr>
          <w:p w14:paraId="5EA21787" w14:textId="77777777" w:rsidR="003C66EB" w:rsidRDefault="003C66EB">
            <w:pPr>
              <w:rPr>
                <w:rFonts w:ascii="宋体"/>
                <w:vanish/>
              </w:rPr>
            </w:pPr>
          </w:p>
        </w:tc>
        <w:tc>
          <w:tcPr>
            <w:tcW w:w="0" w:type="auto"/>
            <w:gridSpan w:val="3"/>
            <w:shd w:val="clear" w:color="auto" w:fill="auto"/>
          </w:tcPr>
          <w:p w14:paraId="5EA21788" w14:textId="77777777" w:rsidR="003C66EB" w:rsidRDefault="003C66EB">
            <w:pPr>
              <w:rPr>
                <w:rFonts w:ascii="宋体"/>
                <w:vanish/>
              </w:rPr>
            </w:pPr>
          </w:p>
        </w:tc>
        <w:tc>
          <w:tcPr>
            <w:tcW w:w="0" w:type="auto"/>
            <w:gridSpan w:val="3"/>
            <w:shd w:val="clear" w:color="auto" w:fill="auto"/>
          </w:tcPr>
          <w:p w14:paraId="5EA21789" w14:textId="77777777" w:rsidR="003C66EB" w:rsidRDefault="003C66EB">
            <w:pPr>
              <w:rPr>
                <w:rFonts w:ascii="宋体"/>
                <w:vanish/>
              </w:rPr>
            </w:pPr>
          </w:p>
        </w:tc>
        <w:tc>
          <w:tcPr>
            <w:tcW w:w="0" w:type="auto"/>
            <w:gridSpan w:val="3"/>
            <w:shd w:val="clear" w:color="auto" w:fill="auto"/>
          </w:tcPr>
          <w:p w14:paraId="5EA2178A" w14:textId="77777777" w:rsidR="003C66EB" w:rsidRDefault="003C66EB">
            <w:pPr>
              <w:rPr>
                <w:rFonts w:ascii="宋体"/>
                <w:vanish/>
              </w:rPr>
            </w:pPr>
          </w:p>
        </w:tc>
      </w:tr>
      <w:tr w:rsidR="003C66EB" w14:paraId="5EA21798" w14:textId="77777777">
        <w:trPr>
          <w:hidden/>
        </w:trPr>
        <w:tc>
          <w:tcPr>
            <w:tcW w:w="0" w:type="auto"/>
            <w:gridSpan w:val="3"/>
            <w:shd w:val="clear" w:color="auto" w:fill="auto"/>
          </w:tcPr>
          <w:p w14:paraId="5EA2178C" w14:textId="77777777" w:rsidR="003C66EB" w:rsidRDefault="003C66EB">
            <w:pPr>
              <w:rPr>
                <w:rFonts w:ascii="宋体"/>
                <w:vanish/>
              </w:rPr>
            </w:pPr>
          </w:p>
        </w:tc>
        <w:tc>
          <w:tcPr>
            <w:tcW w:w="0" w:type="auto"/>
            <w:gridSpan w:val="3"/>
            <w:shd w:val="clear" w:color="auto" w:fill="auto"/>
          </w:tcPr>
          <w:p w14:paraId="5EA2178D" w14:textId="77777777" w:rsidR="003C66EB" w:rsidRDefault="003C66EB">
            <w:pPr>
              <w:rPr>
                <w:rFonts w:ascii="宋体"/>
                <w:vanish/>
              </w:rPr>
            </w:pPr>
          </w:p>
        </w:tc>
        <w:tc>
          <w:tcPr>
            <w:tcW w:w="0" w:type="auto"/>
            <w:gridSpan w:val="3"/>
            <w:shd w:val="clear" w:color="auto" w:fill="auto"/>
          </w:tcPr>
          <w:p w14:paraId="5EA2178E" w14:textId="77777777" w:rsidR="003C66EB" w:rsidRDefault="003C66EB">
            <w:pPr>
              <w:rPr>
                <w:rFonts w:ascii="宋体"/>
                <w:vanish/>
              </w:rPr>
            </w:pPr>
          </w:p>
        </w:tc>
        <w:tc>
          <w:tcPr>
            <w:tcW w:w="0" w:type="auto"/>
            <w:gridSpan w:val="3"/>
            <w:shd w:val="clear" w:color="auto" w:fill="auto"/>
          </w:tcPr>
          <w:p w14:paraId="5EA2178F" w14:textId="77777777" w:rsidR="003C66EB" w:rsidRDefault="003C66EB">
            <w:pPr>
              <w:rPr>
                <w:rFonts w:ascii="宋体"/>
                <w:vanish/>
              </w:rPr>
            </w:pPr>
          </w:p>
        </w:tc>
        <w:tc>
          <w:tcPr>
            <w:tcW w:w="0" w:type="auto"/>
            <w:gridSpan w:val="3"/>
            <w:shd w:val="clear" w:color="auto" w:fill="auto"/>
          </w:tcPr>
          <w:p w14:paraId="5EA21790" w14:textId="77777777" w:rsidR="003C66EB" w:rsidRDefault="003C66EB">
            <w:pPr>
              <w:rPr>
                <w:rFonts w:ascii="宋体"/>
                <w:vanish/>
              </w:rPr>
            </w:pPr>
          </w:p>
        </w:tc>
        <w:tc>
          <w:tcPr>
            <w:tcW w:w="0" w:type="auto"/>
            <w:gridSpan w:val="3"/>
            <w:shd w:val="clear" w:color="auto" w:fill="auto"/>
          </w:tcPr>
          <w:p w14:paraId="5EA21791" w14:textId="77777777" w:rsidR="003C66EB" w:rsidRDefault="003C66EB">
            <w:pPr>
              <w:rPr>
                <w:rFonts w:ascii="宋体"/>
                <w:vanish/>
              </w:rPr>
            </w:pPr>
          </w:p>
        </w:tc>
        <w:tc>
          <w:tcPr>
            <w:tcW w:w="0" w:type="auto"/>
            <w:gridSpan w:val="3"/>
            <w:shd w:val="clear" w:color="auto" w:fill="auto"/>
          </w:tcPr>
          <w:p w14:paraId="5EA21792" w14:textId="77777777" w:rsidR="003C66EB" w:rsidRDefault="003C66EB">
            <w:pPr>
              <w:rPr>
                <w:rFonts w:ascii="宋体"/>
                <w:vanish/>
              </w:rPr>
            </w:pPr>
          </w:p>
        </w:tc>
        <w:tc>
          <w:tcPr>
            <w:tcW w:w="0" w:type="auto"/>
            <w:gridSpan w:val="3"/>
            <w:shd w:val="clear" w:color="auto" w:fill="auto"/>
          </w:tcPr>
          <w:p w14:paraId="5EA21793" w14:textId="77777777" w:rsidR="003C66EB" w:rsidRDefault="003C66EB">
            <w:pPr>
              <w:rPr>
                <w:rFonts w:ascii="宋体"/>
                <w:vanish/>
              </w:rPr>
            </w:pPr>
          </w:p>
        </w:tc>
        <w:tc>
          <w:tcPr>
            <w:tcW w:w="0" w:type="auto"/>
            <w:gridSpan w:val="3"/>
            <w:shd w:val="clear" w:color="auto" w:fill="auto"/>
          </w:tcPr>
          <w:p w14:paraId="5EA21794" w14:textId="77777777" w:rsidR="003C66EB" w:rsidRDefault="003C66EB">
            <w:pPr>
              <w:rPr>
                <w:rFonts w:ascii="宋体"/>
                <w:vanish/>
              </w:rPr>
            </w:pPr>
          </w:p>
        </w:tc>
        <w:tc>
          <w:tcPr>
            <w:tcW w:w="0" w:type="auto"/>
            <w:gridSpan w:val="3"/>
            <w:shd w:val="clear" w:color="auto" w:fill="auto"/>
          </w:tcPr>
          <w:p w14:paraId="5EA21795" w14:textId="77777777" w:rsidR="003C66EB" w:rsidRDefault="003C66EB">
            <w:pPr>
              <w:rPr>
                <w:rFonts w:ascii="宋体"/>
                <w:vanish/>
              </w:rPr>
            </w:pPr>
          </w:p>
        </w:tc>
        <w:tc>
          <w:tcPr>
            <w:tcW w:w="0" w:type="auto"/>
            <w:gridSpan w:val="3"/>
            <w:shd w:val="clear" w:color="auto" w:fill="auto"/>
          </w:tcPr>
          <w:p w14:paraId="5EA21796" w14:textId="77777777" w:rsidR="003C66EB" w:rsidRDefault="003C66EB">
            <w:pPr>
              <w:rPr>
                <w:rFonts w:ascii="宋体"/>
                <w:vanish/>
              </w:rPr>
            </w:pPr>
          </w:p>
        </w:tc>
        <w:tc>
          <w:tcPr>
            <w:tcW w:w="0" w:type="auto"/>
            <w:gridSpan w:val="3"/>
            <w:shd w:val="clear" w:color="auto" w:fill="auto"/>
          </w:tcPr>
          <w:p w14:paraId="5EA21797" w14:textId="77777777" w:rsidR="003C66EB" w:rsidRDefault="003C66EB">
            <w:pPr>
              <w:rPr>
                <w:rFonts w:ascii="宋体"/>
                <w:vanish/>
              </w:rPr>
            </w:pPr>
          </w:p>
        </w:tc>
      </w:tr>
      <w:tr w:rsidR="003C66EB" w14:paraId="5EA217A5" w14:textId="77777777">
        <w:trPr>
          <w:hidden/>
        </w:trPr>
        <w:tc>
          <w:tcPr>
            <w:tcW w:w="0" w:type="auto"/>
            <w:gridSpan w:val="3"/>
            <w:shd w:val="clear" w:color="auto" w:fill="auto"/>
          </w:tcPr>
          <w:p w14:paraId="5EA21799" w14:textId="77777777" w:rsidR="003C66EB" w:rsidRDefault="003C66EB">
            <w:pPr>
              <w:rPr>
                <w:rFonts w:ascii="宋体"/>
                <w:vanish/>
              </w:rPr>
            </w:pPr>
          </w:p>
        </w:tc>
        <w:tc>
          <w:tcPr>
            <w:tcW w:w="0" w:type="auto"/>
            <w:gridSpan w:val="3"/>
            <w:shd w:val="clear" w:color="auto" w:fill="auto"/>
          </w:tcPr>
          <w:p w14:paraId="5EA2179A" w14:textId="77777777" w:rsidR="003C66EB" w:rsidRDefault="003C66EB">
            <w:pPr>
              <w:rPr>
                <w:rFonts w:ascii="宋体"/>
                <w:vanish/>
              </w:rPr>
            </w:pPr>
          </w:p>
        </w:tc>
        <w:tc>
          <w:tcPr>
            <w:tcW w:w="0" w:type="auto"/>
            <w:gridSpan w:val="3"/>
            <w:shd w:val="clear" w:color="auto" w:fill="auto"/>
          </w:tcPr>
          <w:p w14:paraId="5EA2179B" w14:textId="77777777" w:rsidR="003C66EB" w:rsidRDefault="003C66EB">
            <w:pPr>
              <w:rPr>
                <w:rFonts w:ascii="宋体"/>
                <w:vanish/>
              </w:rPr>
            </w:pPr>
          </w:p>
        </w:tc>
        <w:tc>
          <w:tcPr>
            <w:tcW w:w="0" w:type="auto"/>
            <w:gridSpan w:val="3"/>
            <w:shd w:val="clear" w:color="auto" w:fill="auto"/>
          </w:tcPr>
          <w:p w14:paraId="5EA2179C" w14:textId="77777777" w:rsidR="003C66EB" w:rsidRDefault="003C66EB">
            <w:pPr>
              <w:rPr>
                <w:rFonts w:ascii="宋体"/>
                <w:vanish/>
              </w:rPr>
            </w:pPr>
          </w:p>
        </w:tc>
        <w:tc>
          <w:tcPr>
            <w:tcW w:w="0" w:type="auto"/>
            <w:gridSpan w:val="3"/>
            <w:shd w:val="clear" w:color="auto" w:fill="auto"/>
          </w:tcPr>
          <w:p w14:paraId="5EA2179D" w14:textId="77777777" w:rsidR="003C66EB" w:rsidRDefault="003C66EB">
            <w:pPr>
              <w:rPr>
                <w:rFonts w:ascii="宋体"/>
                <w:vanish/>
              </w:rPr>
            </w:pPr>
          </w:p>
        </w:tc>
        <w:tc>
          <w:tcPr>
            <w:tcW w:w="0" w:type="auto"/>
            <w:gridSpan w:val="3"/>
            <w:shd w:val="clear" w:color="auto" w:fill="auto"/>
          </w:tcPr>
          <w:p w14:paraId="5EA2179E" w14:textId="77777777" w:rsidR="003C66EB" w:rsidRDefault="003C66EB">
            <w:pPr>
              <w:rPr>
                <w:rFonts w:ascii="宋体"/>
                <w:vanish/>
              </w:rPr>
            </w:pPr>
          </w:p>
        </w:tc>
        <w:tc>
          <w:tcPr>
            <w:tcW w:w="0" w:type="auto"/>
            <w:gridSpan w:val="3"/>
            <w:shd w:val="clear" w:color="auto" w:fill="auto"/>
          </w:tcPr>
          <w:p w14:paraId="5EA2179F" w14:textId="77777777" w:rsidR="003C66EB" w:rsidRDefault="003C66EB">
            <w:pPr>
              <w:rPr>
                <w:rFonts w:ascii="宋体"/>
                <w:vanish/>
              </w:rPr>
            </w:pPr>
          </w:p>
        </w:tc>
        <w:tc>
          <w:tcPr>
            <w:tcW w:w="0" w:type="auto"/>
            <w:gridSpan w:val="3"/>
            <w:shd w:val="clear" w:color="auto" w:fill="auto"/>
          </w:tcPr>
          <w:p w14:paraId="5EA217A0" w14:textId="77777777" w:rsidR="003C66EB" w:rsidRDefault="003C66EB">
            <w:pPr>
              <w:rPr>
                <w:rFonts w:ascii="宋体"/>
                <w:vanish/>
              </w:rPr>
            </w:pPr>
          </w:p>
        </w:tc>
        <w:tc>
          <w:tcPr>
            <w:tcW w:w="0" w:type="auto"/>
            <w:gridSpan w:val="3"/>
            <w:shd w:val="clear" w:color="auto" w:fill="auto"/>
          </w:tcPr>
          <w:p w14:paraId="5EA217A1" w14:textId="77777777" w:rsidR="003C66EB" w:rsidRDefault="003C66EB">
            <w:pPr>
              <w:rPr>
                <w:rFonts w:ascii="宋体"/>
                <w:vanish/>
              </w:rPr>
            </w:pPr>
          </w:p>
        </w:tc>
        <w:tc>
          <w:tcPr>
            <w:tcW w:w="0" w:type="auto"/>
            <w:gridSpan w:val="3"/>
            <w:shd w:val="clear" w:color="auto" w:fill="auto"/>
          </w:tcPr>
          <w:p w14:paraId="5EA217A2" w14:textId="77777777" w:rsidR="003C66EB" w:rsidRDefault="003C66EB">
            <w:pPr>
              <w:rPr>
                <w:rFonts w:ascii="宋体"/>
                <w:vanish/>
              </w:rPr>
            </w:pPr>
          </w:p>
        </w:tc>
        <w:tc>
          <w:tcPr>
            <w:tcW w:w="0" w:type="auto"/>
            <w:gridSpan w:val="3"/>
            <w:shd w:val="clear" w:color="auto" w:fill="auto"/>
          </w:tcPr>
          <w:p w14:paraId="5EA217A3" w14:textId="77777777" w:rsidR="003C66EB" w:rsidRDefault="003C66EB">
            <w:pPr>
              <w:rPr>
                <w:rFonts w:ascii="宋体"/>
                <w:vanish/>
              </w:rPr>
            </w:pPr>
          </w:p>
        </w:tc>
        <w:tc>
          <w:tcPr>
            <w:tcW w:w="0" w:type="auto"/>
            <w:gridSpan w:val="3"/>
            <w:shd w:val="clear" w:color="auto" w:fill="auto"/>
          </w:tcPr>
          <w:p w14:paraId="5EA217A4" w14:textId="77777777" w:rsidR="003C66EB" w:rsidRDefault="003C66EB">
            <w:pPr>
              <w:rPr>
                <w:rFonts w:ascii="宋体"/>
                <w:vanish/>
              </w:rPr>
            </w:pPr>
          </w:p>
        </w:tc>
      </w:tr>
      <w:tr w:rsidR="003C66EB" w14:paraId="5EA217B2" w14:textId="77777777">
        <w:trPr>
          <w:hidden/>
        </w:trPr>
        <w:tc>
          <w:tcPr>
            <w:tcW w:w="0" w:type="auto"/>
            <w:gridSpan w:val="3"/>
            <w:shd w:val="clear" w:color="auto" w:fill="auto"/>
          </w:tcPr>
          <w:p w14:paraId="5EA217A6" w14:textId="77777777" w:rsidR="003C66EB" w:rsidRDefault="003C66EB">
            <w:pPr>
              <w:rPr>
                <w:rFonts w:ascii="宋体"/>
                <w:vanish/>
              </w:rPr>
            </w:pPr>
          </w:p>
        </w:tc>
        <w:tc>
          <w:tcPr>
            <w:tcW w:w="0" w:type="auto"/>
            <w:gridSpan w:val="3"/>
            <w:shd w:val="clear" w:color="auto" w:fill="auto"/>
          </w:tcPr>
          <w:p w14:paraId="5EA217A7" w14:textId="77777777" w:rsidR="003C66EB" w:rsidRDefault="003C66EB">
            <w:pPr>
              <w:rPr>
                <w:rFonts w:ascii="宋体"/>
                <w:vanish/>
              </w:rPr>
            </w:pPr>
          </w:p>
        </w:tc>
        <w:tc>
          <w:tcPr>
            <w:tcW w:w="0" w:type="auto"/>
            <w:gridSpan w:val="3"/>
            <w:shd w:val="clear" w:color="auto" w:fill="auto"/>
          </w:tcPr>
          <w:p w14:paraId="5EA217A8" w14:textId="77777777" w:rsidR="003C66EB" w:rsidRDefault="003C66EB">
            <w:pPr>
              <w:rPr>
                <w:rFonts w:ascii="宋体"/>
                <w:vanish/>
              </w:rPr>
            </w:pPr>
          </w:p>
        </w:tc>
        <w:tc>
          <w:tcPr>
            <w:tcW w:w="0" w:type="auto"/>
            <w:gridSpan w:val="3"/>
            <w:shd w:val="clear" w:color="auto" w:fill="auto"/>
          </w:tcPr>
          <w:p w14:paraId="5EA217A9" w14:textId="77777777" w:rsidR="003C66EB" w:rsidRDefault="003C66EB">
            <w:pPr>
              <w:rPr>
                <w:rFonts w:ascii="宋体"/>
                <w:vanish/>
              </w:rPr>
            </w:pPr>
          </w:p>
        </w:tc>
        <w:tc>
          <w:tcPr>
            <w:tcW w:w="0" w:type="auto"/>
            <w:gridSpan w:val="3"/>
            <w:shd w:val="clear" w:color="auto" w:fill="auto"/>
          </w:tcPr>
          <w:p w14:paraId="5EA217AA" w14:textId="77777777" w:rsidR="003C66EB" w:rsidRDefault="003C66EB">
            <w:pPr>
              <w:rPr>
                <w:rFonts w:ascii="宋体"/>
                <w:vanish/>
              </w:rPr>
            </w:pPr>
          </w:p>
        </w:tc>
        <w:tc>
          <w:tcPr>
            <w:tcW w:w="0" w:type="auto"/>
            <w:gridSpan w:val="3"/>
            <w:shd w:val="clear" w:color="auto" w:fill="auto"/>
          </w:tcPr>
          <w:p w14:paraId="5EA217AB" w14:textId="77777777" w:rsidR="003C66EB" w:rsidRDefault="003C66EB">
            <w:pPr>
              <w:rPr>
                <w:rFonts w:ascii="宋体"/>
                <w:vanish/>
              </w:rPr>
            </w:pPr>
          </w:p>
        </w:tc>
        <w:tc>
          <w:tcPr>
            <w:tcW w:w="0" w:type="auto"/>
            <w:gridSpan w:val="3"/>
            <w:shd w:val="clear" w:color="auto" w:fill="auto"/>
          </w:tcPr>
          <w:p w14:paraId="5EA217AC" w14:textId="77777777" w:rsidR="003C66EB" w:rsidRDefault="003C66EB">
            <w:pPr>
              <w:rPr>
                <w:rFonts w:ascii="宋体"/>
                <w:vanish/>
              </w:rPr>
            </w:pPr>
          </w:p>
        </w:tc>
        <w:tc>
          <w:tcPr>
            <w:tcW w:w="0" w:type="auto"/>
            <w:gridSpan w:val="3"/>
            <w:shd w:val="clear" w:color="auto" w:fill="auto"/>
          </w:tcPr>
          <w:p w14:paraId="5EA217AD" w14:textId="77777777" w:rsidR="003C66EB" w:rsidRDefault="003C66EB">
            <w:pPr>
              <w:rPr>
                <w:rFonts w:ascii="宋体"/>
                <w:vanish/>
              </w:rPr>
            </w:pPr>
          </w:p>
        </w:tc>
        <w:tc>
          <w:tcPr>
            <w:tcW w:w="0" w:type="auto"/>
            <w:gridSpan w:val="3"/>
            <w:shd w:val="clear" w:color="auto" w:fill="auto"/>
          </w:tcPr>
          <w:p w14:paraId="5EA217AE" w14:textId="77777777" w:rsidR="003C66EB" w:rsidRDefault="003C66EB">
            <w:pPr>
              <w:rPr>
                <w:rFonts w:ascii="宋体"/>
                <w:vanish/>
              </w:rPr>
            </w:pPr>
          </w:p>
        </w:tc>
        <w:tc>
          <w:tcPr>
            <w:tcW w:w="0" w:type="auto"/>
            <w:gridSpan w:val="3"/>
            <w:shd w:val="clear" w:color="auto" w:fill="auto"/>
          </w:tcPr>
          <w:p w14:paraId="5EA217AF" w14:textId="77777777" w:rsidR="003C66EB" w:rsidRDefault="003C66EB">
            <w:pPr>
              <w:rPr>
                <w:rFonts w:ascii="宋体"/>
                <w:vanish/>
              </w:rPr>
            </w:pPr>
          </w:p>
        </w:tc>
        <w:tc>
          <w:tcPr>
            <w:tcW w:w="0" w:type="auto"/>
            <w:gridSpan w:val="3"/>
            <w:shd w:val="clear" w:color="auto" w:fill="auto"/>
          </w:tcPr>
          <w:p w14:paraId="5EA217B0" w14:textId="77777777" w:rsidR="003C66EB" w:rsidRDefault="003C66EB">
            <w:pPr>
              <w:rPr>
                <w:rFonts w:ascii="宋体"/>
                <w:vanish/>
              </w:rPr>
            </w:pPr>
          </w:p>
        </w:tc>
        <w:tc>
          <w:tcPr>
            <w:tcW w:w="0" w:type="auto"/>
            <w:gridSpan w:val="3"/>
            <w:shd w:val="clear" w:color="auto" w:fill="auto"/>
          </w:tcPr>
          <w:p w14:paraId="5EA217B1" w14:textId="77777777" w:rsidR="003C66EB" w:rsidRDefault="003C66EB">
            <w:pPr>
              <w:rPr>
                <w:rFonts w:ascii="宋体"/>
                <w:vanish/>
              </w:rPr>
            </w:pPr>
          </w:p>
        </w:tc>
      </w:tr>
      <w:tr w:rsidR="003C66EB" w14:paraId="5EA217BF" w14:textId="77777777">
        <w:trPr>
          <w:hidden/>
        </w:trPr>
        <w:tc>
          <w:tcPr>
            <w:tcW w:w="0" w:type="auto"/>
            <w:gridSpan w:val="3"/>
            <w:shd w:val="clear" w:color="auto" w:fill="auto"/>
          </w:tcPr>
          <w:p w14:paraId="5EA217B3" w14:textId="77777777" w:rsidR="003C66EB" w:rsidRDefault="003C66EB">
            <w:pPr>
              <w:rPr>
                <w:rFonts w:ascii="宋体"/>
                <w:vanish/>
              </w:rPr>
            </w:pPr>
          </w:p>
        </w:tc>
        <w:tc>
          <w:tcPr>
            <w:tcW w:w="0" w:type="auto"/>
            <w:gridSpan w:val="3"/>
            <w:shd w:val="clear" w:color="auto" w:fill="auto"/>
          </w:tcPr>
          <w:p w14:paraId="5EA217B4" w14:textId="77777777" w:rsidR="003C66EB" w:rsidRDefault="003C66EB">
            <w:pPr>
              <w:rPr>
                <w:rFonts w:ascii="宋体"/>
                <w:vanish/>
              </w:rPr>
            </w:pPr>
          </w:p>
        </w:tc>
        <w:tc>
          <w:tcPr>
            <w:tcW w:w="0" w:type="auto"/>
            <w:gridSpan w:val="3"/>
            <w:shd w:val="clear" w:color="auto" w:fill="auto"/>
          </w:tcPr>
          <w:p w14:paraId="5EA217B5" w14:textId="77777777" w:rsidR="003C66EB" w:rsidRDefault="003C66EB">
            <w:pPr>
              <w:rPr>
                <w:rFonts w:ascii="宋体"/>
                <w:vanish/>
              </w:rPr>
            </w:pPr>
          </w:p>
        </w:tc>
        <w:tc>
          <w:tcPr>
            <w:tcW w:w="0" w:type="auto"/>
            <w:gridSpan w:val="3"/>
            <w:shd w:val="clear" w:color="auto" w:fill="auto"/>
          </w:tcPr>
          <w:p w14:paraId="5EA217B6" w14:textId="77777777" w:rsidR="003C66EB" w:rsidRDefault="003C66EB">
            <w:pPr>
              <w:rPr>
                <w:rFonts w:ascii="宋体"/>
                <w:vanish/>
              </w:rPr>
            </w:pPr>
          </w:p>
        </w:tc>
        <w:tc>
          <w:tcPr>
            <w:tcW w:w="0" w:type="auto"/>
            <w:gridSpan w:val="3"/>
            <w:shd w:val="clear" w:color="auto" w:fill="auto"/>
          </w:tcPr>
          <w:p w14:paraId="5EA217B7" w14:textId="77777777" w:rsidR="003C66EB" w:rsidRDefault="003C66EB">
            <w:pPr>
              <w:rPr>
                <w:rFonts w:ascii="宋体"/>
                <w:vanish/>
              </w:rPr>
            </w:pPr>
          </w:p>
        </w:tc>
        <w:tc>
          <w:tcPr>
            <w:tcW w:w="0" w:type="auto"/>
            <w:gridSpan w:val="3"/>
            <w:shd w:val="clear" w:color="auto" w:fill="auto"/>
          </w:tcPr>
          <w:p w14:paraId="5EA217B8" w14:textId="77777777" w:rsidR="003C66EB" w:rsidRDefault="003C66EB">
            <w:pPr>
              <w:rPr>
                <w:rFonts w:ascii="宋体"/>
                <w:vanish/>
              </w:rPr>
            </w:pPr>
          </w:p>
        </w:tc>
        <w:tc>
          <w:tcPr>
            <w:tcW w:w="0" w:type="auto"/>
            <w:gridSpan w:val="3"/>
            <w:shd w:val="clear" w:color="auto" w:fill="auto"/>
          </w:tcPr>
          <w:p w14:paraId="5EA217B9" w14:textId="77777777" w:rsidR="003C66EB" w:rsidRDefault="003C66EB">
            <w:pPr>
              <w:rPr>
                <w:rFonts w:ascii="宋体"/>
                <w:vanish/>
              </w:rPr>
            </w:pPr>
          </w:p>
        </w:tc>
        <w:tc>
          <w:tcPr>
            <w:tcW w:w="0" w:type="auto"/>
            <w:gridSpan w:val="3"/>
            <w:shd w:val="clear" w:color="auto" w:fill="auto"/>
          </w:tcPr>
          <w:p w14:paraId="5EA217BA" w14:textId="77777777" w:rsidR="003C66EB" w:rsidRDefault="003C66EB">
            <w:pPr>
              <w:rPr>
                <w:rFonts w:ascii="宋体"/>
                <w:vanish/>
              </w:rPr>
            </w:pPr>
          </w:p>
        </w:tc>
        <w:tc>
          <w:tcPr>
            <w:tcW w:w="0" w:type="auto"/>
            <w:gridSpan w:val="3"/>
            <w:shd w:val="clear" w:color="auto" w:fill="auto"/>
          </w:tcPr>
          <w:p w14:paraId="5EA217BB" w14:textId="77777777" w:rsidR="003C66EB" w:rsidRDefault="003C66EB">
            <w:pPr>
              <w:rPr>
                <w:rFonts w:ascii="宋体"/>
                <w:vanish/>
              </w:rPr>
            </w:pPr>
          </w:p>
        </w:tc>
        <w:tc>
          <w:tcPr>
            <w:tcW w:w="0" w:type="auto"/>
            <w:gridSpan w:val="3"/>
            <w:shd w:val="clear" w:color="auto" w:fill="auto"/>
          </w:tcPr>
          <w:p w14:paraId="5EA217BC" w14:textId="77777777" w:rsidR="003C66EB" w:rsidRDefault="003C66EB">
            <w:pPr>
              <w:rPr>
                <w:rFonts w:ascii="宋体"/>
                <w:vanish/>
              </w:rPr>
            </w:pPr>
          </w:p>
        </w:tc>
        <w:tc>
          <w:tcPr>
            <w:tcW w:w="0" w:type="auto"/>
            <w:gridSpan w:val="3"/>
            <w:shd w:val="clear" w:color="auto" w:fill="auto"/>
          </w:tcPr>
          <w:p w14:paraId="5EA217BD" w14:textId="77777777" w:rsidR="003C66EB" w:rsidRDefault="003C66EB">
            <w:pPr>
              <w:rPr>
                <w:rFonts w:ascii="宋体"/>
                <w:vanish/>
              </w:rPr>
            </w:pPr>
          </w:p>
        </w:tc>
        <w:tc>
          <w:tcPr>
            <w:tcW w:w="0" w:type="auto"/>
            <w:gridSpan w:val="3"/>
            <w:shd w:val="clear" w:color="auto" w:fill="auto"/>
          </w:tcPr>
          <w:p w14:paraId="5EA217BE" w14:textId="77777777" w:rsidR="003C66EB" w:rsidRDefault="003C66EB">
            <w:pPr>
              <w:rPr>
                <w:rFonts w:ascii="宋体"/>
                <w:vanish/>
              </w:rPr>
            </w:pPr>
          </w:p>
        </w:tc>
      </w:tr>
      <w:tr w:rsidR="003C66EB" w14:paraId="5EA217CC" w14:textId="77777777">
        <w:trPr>
          <w:hidden/>
        </w:trPr>
        <w:tc>
          <w:tcPr>
            <w:tcW w:w="0" w:type="auto"/>
            <w:gridSpan w:val="3"/>
            <w:shd w:val="clear" w:color="auto" w:fill="auto"/>
          </w:tcPr>
          <w:p w14:paraId="5EA217C0" w14:textId="77777777" w:rsidR="003C66EB" w:rsidRDefault="003C66EB">
            <w:pPr>
              <w:rPr>
                <w:rFonts w:ascii="宋体"/>
                <w:vanish/>
              </w:rPr>
            </w:pPr>
          </w:p>
        </w:tc>
        <w:tc>
          <w:tcPr>
            <w:tcW w:w="0" w:type="auto"/>
            <w:gridSpan w:val="3"/>
            <w:shd w:val="clear" w:color="auto" w:fill="auto"/>
          </w:tcPr>
          <w:p w14:paraId="5EA217C1" w14:textId="77777777" w:rsidR="003C66EB" w:rsidRDefault="003C66EB">
            <w:pPr>
              <w:rPr>
                <w:rFonts w:ascii="宋体"/>
                <w:vanish/>
              </w:rPr>
            </w:pPr>
          </w:p>
        </w:tc>
        <w:tc>
          <w:tcPr>
            <w:tcW w:w="0" w:type="auto"/>
            <w:gridSpan w:val="3"/>
            <w:shd w:val="clear" w:color="auto" w:fill="auto"/>
          </w:tcPr>
          <w:p w14:paraId="5EA217C2" w14:textId="77777777" w:rsidR="003C66EB" w:rsidRDefault="003C66EB">
            <w:pPr>
              <w:rPr>
                <w:rFonts w:ascii="宋体"/>
                <w:vanish/>
              </w:rPr>
            </w:pPr>
          </w:p>
        </w:tc>
        <w:tc>
          <w:tcPr>
            <w:tcW w:w="0" w:type="auto"/>
            <w:gridSpan w:val="3"/>
            <w:shd w:val="clear" w:color="auto" w:fill="auto"/>
          </w:tcPr>
          <w:p w14:paraId="5EA217C3" w14:textId="77777777" w:rsidR="003C66EB" w:rsidRDefault="003C66EB">
            <w:pPr>
              <w:rPr>
                <w:rFonts w:ascii="宋体"/>
                <w:vanish/>
              </w:rPr>
            </w:pPr>
          </w:p>
        </w:tc>
        <w:tc>
          <w:tcPr>
            <w:tcW w:w="0" w:type="auto"/>
            <w:gridSpan w:val="3"/>
            <w:shd w:val="clear" w:color="auto" w:fill="auto"/>
          </w:tcPr>
          <w:p w14:paraId="5EA217C4" w14:textId="77777777" w:rsidR="003C66EB" w:rsidRDefault="003C66EB">
            <w:pPr>
              <w:rPr>
                <w:rFonts w:ascii="宋体"/>
                <w:vanish/>
              </w:rPr>
            </w:pPr>
          </w:p>
        </w:tc>
        <w:tc>
          <w:tcPr>
            <w:tcW w:w="0" w:type="auto"/>
            <w:gridSpan w:val="3"/>
            <w:shd w:val="clear" w:color="auto" w:fill="auto"/>
          </w:tcPr>
          <w:p w14:paraId="5EA217C5" w14:textId="77777777" w:rsidR="003C66EB" w:rsidRDefault="003C66EB">
            <w:pPr>
              <w:rPr>
                <w:rFonts w:ascii="宋体"/>
                <w:vanish/>
              </w:rPr>
            </w:pPr>
          </w:p>
        </w:tc>
        <w:tc>
          <w:tcPr>
            <w:tcW w:w="0" w:type="auto"/>
            <w:gridSpan w:val="3"/>
            <w:shd w:val="clear" w:color="auto" w:fill="auto"/>
          </w:tcPr>
          <w:p w14:paraId="5EA217C6" w14:textId="77777777" w:rsidR="003C66EB" w:rsidRDefault="003C66EB">
            <w:pPr>
              <w:rPr>
                <w:rFonts w:ascii="宋体"/>
                <w:vanish/>
              </w:rPr>
            </w:pPr>
          </w:p>
        </w:tc>
        <w:tc>
          <w:tcPr>
            <w:tcW w:w="0" w:type="auto"/>
            <w:gridSpan w:val="3"/>
            <w:shd w:val="clear" w:color="auto" w:fill="auto"/>
          </w:tcPr>
          <w:p w14:paraId="5EA217C7" w14:textId="77777777" w:rsidR="003C66EB" w:rsidRDefault="003C66EB">
            <w:pPr>
              <w:rPr>
                <w:rFonts w:ascii="宋体"/>
                <w:vanish/>
              </w:rPr>
            </w:pPr>
          </w:p>
        </w:tc>
        <w:tc>
          <w:tcPr>
            <w:tcW w:w="0" w:type="auto"/>
            <w:gridSpan w:val="3"/>
            <w:shd w:val="clear" w:color="auto" w:fill="auto"/>
          </w:tcPr>
          <w:p w14:paraId="5EA217C8" w14:textId="77777777" w:rsidR="003C66EB" w:rsidRDefault="003C66EB">
            <w:pPr>
              <w:rPr>
                <w:rFonts w:ascii="宋体"/>
                <w:vanish/>
              </w:rPr>
            </w:pPr>
          </w:p>
        </w:tc>
        <w:tc>
          <w:tcPr>
            <w:tcW w:w="0" w:type="auto"/>
            <w:gridSpan w:val="3"/>
            <w:shd w:val="clear" w:color="auto" w:fill="auto"/>
          </w:tcPr>
          <w:p w14:paraId="5EA217C9" w14:textId="77777777" w:rsidR="003C66EB" w:rsidRDefault="003C66EB">
            <w:pPr>
              <w:rPr>
                <w:rFonts w:ascii="宋体"/>
                <w:vanish/>
              </w:rPr>
            </w:pPr>
          </w:p>
        </w:tc>
        <w:tc>
          <w:tcPr>
            <w:tcW w:w="0" w:type="auto"/>
            <w:gridSpan w:val="3"/>
            <w:shd w:val="clear" w:color="auto" w:fill="auto"/>
          </w:tcPr>
          <w:p w14:paraId="5EA217CA" w14:textId="77777777" w:rsidR="003C66EB" w:rsidRDefault="003C66EB">
            <w:pPr>
              <w:rPr>
                <w:rFonts w:ascii="宋体"/>
                <w:vanish/>
              </w:rPr>
            </w:pPr>
          </w:p>
        </w:tc>
        <w:tc>
          <w:tcPr>
            <w:tcW w:w="0" w:type="auto"/>
            <w:gridSpan w:val="3"/>
            <w:shd w:val="clear" w:color="auto" w:fill="auto"/>
          </w:tcPr>
          <w:p w14:paraId="5EA217CB" w14:textId="77777777" w:rsidR="003C66EB" w:rsidRDefault="003C66EB">
            <w:pPr>
              <w:rPr>
                <w:rFonts w:ascii="宋体"/>
                <w:vanish/>
              </w:rPr>
            </w:pPr>
          </w:p>
        </w:tc>
      </w:tr>
      <w:tr w:rsidR="003C66EB" w14:paraId="5EA217D9" w14:textId="77777777">
        <w:trPr>
          <w:hidden/>
        </w:trPr>
        <w:tc>
          <w:tcPr>
            <w:tcW w:w="0" w:type="auto"/>
            <w:gridSpan w:val="3"/>
            <w:shd w:val="clear" w:color="auto" w:fill="auto"/>
          </w:tcPr>
          <w:p w14:paraId="5EA217CD" w14:textId="77777777" w:rsidR="003C66EB" w:rsidRDefault="003C66EB">
            <w:pPr>
              <w:rPr>
                <w:rFonts w:ascii="宋体"/>
                <w:vanish/>
              </w:rPr>
            </w:pPr>
          </w:p>
        </w:tc>
        <w:tc>
          <w:tcPr>
            <w:tcW w:w="0" w:type="auto"/>
            <w:gridSpan w:val="3"/>
            <w:shd w:val="clear" w:color="auto" w:fill="auto"/>
          </w:tcPr>
          <w:p w14:paraId="5EA217CE" w14:textId="77777777" w:rsidR="003C66EB" w:rsidRDefault="003C66EB">
            <w:pPr>
              <w:rPr>
                <w:rFonts w:ascii="宋体"/>
                <w:vanish/>
              </w:rPr>
            </w:pPr>
          </w:p>
        </w:tc>
        <w:tc>
          <w:tcPr>
            <w:tcW w:w="0" w:type="auto"/>
            <w:gridSpan w:val="3"/>
            <w:shd w:val="clear" w:color="auto" w:fill="auto"/>
          </w:tcPr>
          <w:p w14:paraId="5EA217CF" w14:textId="77777777" w:rsidR="003C66EB" w:rsidRDefault="003C66EB">
            <w:pPr>
              <w:rPr>
                <w:rFonts w:ascii="宋体"/>
                <w:vanish/>
              </w:rPr>
            </w:pPr>
          </w:p>
        </w:tc>
        <w:tc>
          <w:tcPr>
            <w:tcW w:w="0" w:type="auto"/>
            <w:gridSpan w:val="3"/>
            <w:shd w:val="clear" w:color="auto" w:fill="auto"/>
          </w:tcPr>
          <w:p w14:paraId="5EA217D0" w14:textId="77777777" w:rsidR="003C66EB" w:rsidRDefault="003C66EB">
            <w:pPr>
              <w:rPr>
                <w:rFonts w:ascii="宋体"/>
                <w:vanish/>
              </w:rPr>
            </w:pPr>
          </w:p>
        </w:tc>
        <w:tc>
          <w:tcPr>
            <w:tcW w:w="0" w:type="auto"/>
            <w:gridSpan w:val="3"/>
            <w:shd w:val="clear" w:color="auto" w:fill="auto"/>
          </w:tcPr>
          <w:p w14:paraId="5EA217D1" w14:textId="77777777" w:rsidR="003C66EB" w:rsidRDefault="003C66EB">
            <w:pPr>
              <w:rPr>
                <w:rFonts w:ascii="宋体"/>
                <w:vanish/>
              </w:rPr>
            </w:pPr>
          </w:p>
        </w:tc>
        <w:tc>
          <w:tcPr>
            <w:tcW w:w="0" w:type="auto"/>
            <w:gridSpan w:val="3"/>
            <w:shd w:val="clear" w:color="auto" w:fill="auto"/>
          </w:tcPr>
          <w:p w14:paraId="5EA217D2" w14:textId="77777777" w:rsidR="003C66EB" w:rsidRDefault="003C66EB">
            <w:pPr>
              <w:rPr>
                <w:rFonts w:ascii="宋体"/>
                <w:vanish/>
              </w:rPr>
            </w:pPr>
          </w:p>
        </w:tc>
        <w:tc>
          <w:tcPr>
            <w:tcW w:w="0" w:type="auto"/>
            <w:gridSpan w:val="3"/>
            <w:shd w:val="clear" w:color="auto" w:fill="auto"/>
          </w:tcPr>
          <w:p w14:paraId="5EA217D3" w14:textId="77777777" w:rsidR="003C66EB" w:rsidRDefault="003C66EB">
            <w:pPr>
              <w:rPr>
                <w:rFonts w:ascii="宋体"/>
                <w:vanish/>
              </w:rPr>
            </w:pPr>
          </w:p>
        </w:tc>
        <w:tc>
          <w:tcPr>
            <w:tcW w:w="0" w:type="auto"/>
            <w:gridSpan w:val="3"/>
            <w:shd w:val="clear" w:color="auto" w:fill="auto"/>
          </w:tcPr>
          <w:p w14:paraId="5EA217D4" w14:textId="77777777" w:rsidR="003C66EB" w:rsidRDefault="003C66EB">
            <w:pPr>
              <w:rPr>
                <w:rFonts w:ascii="宋体"/>
                <w:vanish/>
              </w:rPr>
            </w:pPr>
          </w:p>
        </w:tc>
        <w:tc>
          <w:tcPr>
            <w:tcW w:w="0" w:type="auto"/>
            <w:gridSpan w:val="3"/>
            <w:shd w:val="clear" w:color="auto" w:fill="auto"/>
          </w:tcPr>
          <w:p w14:paraId="5EA217D5" w14:textId="77777777" w:rsidR="003C66EB" w:rsidRDefault="003C66EB">
            <w:pPr>
              <w:rPr>
                <w:rFonts w:ascii="宋体"/>
                <w:vanish/>
              </w:rPr>
            </w:pPr>
          </w:p>
        </w:tc>
        <w:tc>
          <w:tcPr>
            <w:tcW w:w="0" w:type="auto"/>
            <w:gridSpan w:val="3"/>
            <w:shd w:val="clear" w:color="auto" w:fill="auto"/>
          </w:tcPr>
          <w:p w14:paraId="5EA217D6" w14:textId="77777777" w:rsidR="003C66EB" w:rsidRDefault="003C66EB">
            <w:pPr>
              <w:rPr>
                <w:rFonts w:ascii="宋体"/>
                <w:vanish/>
              </w:rPr>
            </w:pPr>
          </w:p>
        </w:tc>
        <w:tc>
          <w:tcPr>
            <w:tcW w:w="0" w:type="auto"/>
            <w:gridSpan w:val="3"/>
            <w:shd w:val="clear" w:color="auto" w:fill="auto"/>
          </w:tcPr>
          <w:p w14:paraId="5EA217D7" w14:textId="77777777" w:rsidR="003C66EB" w:rsidRDefault="003C66EB">
            <w:pPr>
              <w:rPr>
                <w:rFonts w:ascii="宋体"/>
                <w:vanish/>
              </w:rPr>
            </w:pPr>
          </w:p>
        </w:tc>
        <w:tc>
          <w:tcPr>
            <w:tcW w:w="0" w:type="auto"/>
            <w:gridSpan w:val="3"/>
            <w:shd w:val="clear" w:color="auto" w:fill="auto"/>
          </w:tcPr>
          <w:p w14:paraId="5EA217D8" w14:textId="77777777" w:rsidR="003C66EB" w:rsidRDefault="003C66EB">
            <w:pPr>
              <w:rPr>
                <w:rFonts w:ascii="宋体"/>
                <w:vanish/>
              </w:rPr>
            </w:pPr>
          </w:p>
        </w:tc>
      </w:tr>
      <w:tr w:rsidR="003C66EB" w14:paraId="5EA217E6" w14:textId="77777777">
        <w:trPr>
          <w:hidden/>
        </w:trPr>
        <w:tc>
          <w:tcPr>
            <w:tcW w:w="0" w:type="auto"/>
            <w:gridSpan w:val="3"/>
            <w:shd w:val="clear" w:color="auto" w:fill="auto"/>
          </w:tcPr>
          <w:p w14:paraId="5EA217DA" w14:textId="77777777" w:rsidR="003C66EB" w:rsidRDefault="003C66EB">
            <w:pPr>
              <w:rPr>
                <w:rFonts w:ascii="宋体"/>
                <w:vanish/>
              </w:rPr>
            </w:pPr>
          </w:p>
        </w:tc>
        <w:tc>
          <w:tcPr>
            <w:tcW w:w="0" w:type="auto"/>
            <w:gridSpan w:val="3"/>
            <w:shd w:val="clear" w:color="auto" w:fill="auto"/>
          </w:tcPr>
          <w:p w14:paraId="5EA217DB" w14:textId="77777777" w:rsidR="003C66EB" w:rsidRDefault="003C66EB">
            <w:pPr>
              <w:rPr>
                <w:rFonts w:ascii="宋体"/>
                <w:vanish/>
              </w:rPr>
            </w:pPr>
          </w:p>
        </w:tc>
        <w:tc>
          <w:tcPr>
            <w:tcW w:w="0" w:type="auto"/>
            <w:gridSpan w:val="3"/>
            <w:shd w:val="clear" w:color="auto" w:fill="auto"/>
          </w:tcPr>
          <w:p w14:paraId="5EA217DC" w14:textId="77777777" w:rsidR="003C66EB" w:rsidRDefault="003C66EB">
            <w:pPr>
              <w:rPr>
                <w:rFonts w:ascii="宋体"/>
                <w:vanish/>
              </w:rPr>
            </w:pPr>
          </w:p>
        </w:tc>
        <w:tc>
          <w:tcPr>
            <w:tcW w:w="0" w:type="auto"/>
            <w:gridSpan w:val="3"/>
            <w:shd w:val="clear" w:color="auto" w:fill="auto"/>
          </w:tcPr>
          <w:p w14:paraId="5EA217DD" w14:textId="77777777" w:rsidR="003C66EB" w:rsidRDefault="003C66EB">
            <w:pPr>
              <w:rPr>
                <w:rFonts w:ascii="宋体"/>
                <w:vanish/>
              </w:rPr>
            </w:pPr>
          </w:p>
        </w:tc>
        <w:tc>
          <w:tcPr>
            <w:tcW w:w="0" w:type="auto"/>
            <w:gridSpan w:val="3"/>
            <w:shd w:val="clear" w:color="auto" w:fill="auto"/>
          </w:tcPr>
          <w:p w14:paraId="5EA217DE" w14:textId="77777777" w:rsidR="003C66EB" w:rsidRDefault="003C66EB">
            <w:pPr>
              <w:rPr>
                <w:rFonts w:ascii="宋体"/>
                <w:vanish/>
              </w:rPr>
            </w:pPr>
          </w:p>
        </w:tc>
        <w:tc>
          <w:tcPr>
            <w:tcW w:w="0" w:type="auto"/>
            <w:gridSpan w:val="3"/>
            <w:shd w:val="clear" w:color="auto" w:fill="auto"/>
          </w:tcPr>
          <w:p w14:paraId="5EA217DF" w14:textId="77777777" w:rsidR="003C66EB" w:rsidRDefault="003C66EB">
            <w:pPr>
              <w:rPr>
                <w:rFonts w:ascii="宋体"/>
                <w:vanish/>
              </w:rPr>
            </w:pPr>
          </w:p>
        </w:tc>
        <w:tc>
          <w:tcPr>
            <w:tcW w:w="0" w:type="auto"/>
            <w:gridSpan w:val="3"/>
            <w:shd w:val="clear" w:color="auto" w:fill="auto"/>
          </w:tcPr>
          <w:p w14:paraId="5EA217E0" w14:textId="77777777" w:rsidR="003C66EB" w:rsidRDefault="003C66EB">
            <w:pPr>
              <w:rPr>
                <w:rFonts w:ascii="宋体"/>
                <w:vanish/>
              </w:rPr>
            </w:pPr>
          </w:p>
        </w:tc>
        <w:tc>
          <w:tcPr>
            <w:tcW w:w="0" w:type="auto"/>
            <w:gridSpan w:val="3"/>
            <w:shd w:val="clear" w:color="auto" w:fill="auto"/>
          </w:tcPr>
          <w:p w14:paraId="5EA217E1" w14:textId="77777777" w:rsidR="003C66EB" w:rsidRDefault="003C66EB">
            <w:pPr>
              <w:rPr>
                <w:rFonts w:ascii="宋体"/>
                <w:vanish/>
              </w:rPr>
            </w:pPr>
          </w:p>
        </w:tc>
        <w:tc>
          <w:tcPr>
            <w:tcW w:w="0" w:type="auto"/>
            <w:gridSpan w:val="3"/>
            <w:shd w:val="clear" w:color="auto" w:fill="auto"/>
          </w:tcPr>
          <w:p w14:paraId="5EA217E2" w14:textId="77777777" w:rsidR="003C66EB" w:rsidRDefault="003C66EB">
            <w:pPr>
              <w:rPr>
                <w:rFonts w:ascii="宋体"/>
                <w:vanish/>
              </w:rPr>
            </w:pPr>
          </w:p>
        </w:tc>
        <w:tc>
          <w:tcPr>
            <w:tcW w:w="0" w:type="auto"/>
            <w:gridSpan w:val="3"/>
            <w:shd w:val="clear" w:color="auto" w:fill="auto"/>
          </w:tcPr>
          <w:p w14:paraId="5EA217E3" w14:textId="77777777" w:rsidR="003C66EB" w:rsidRDefault="003C66EB">
            <w:pPr>
              <w:rPr>
                <w:rFonts w:ascii="宋体"/>
                <w:vanish/>
              </w:rPr>
            </w:pPr>
          </w:p>
        </w:tc>
        <w:tc>
          <w:tcPr>
            <w:tcW w:w="0" w:type="auto"/>
            <w:gridSpan w:val="3"/>
            <w:shd w:val="clear" w:color="auto" w:fill="auto"/>
          </w:tcPr>
          <w:p w14:paraId="5EA217E4" w14:textId="77777777" w:rsidR="003C66EB" w:rsidRDefault="003C66EB">
            <w:pPr>
              <w:rPr>
                <w:rFonts w:ascii="宋体"/>
                <w:vanish/>
              </w:rPr>
            </w:pPr>
          </w:p>
        </w:tc>
        <w:tc>
          <w:tcPr>
            <w:tcW w:w="0" w:type="auto"/>
            <w:gridSpan w:val="3"/>
            <w:shd w:val="clear" w:color="auto" w:fill="auto"/>
          </w:tcPr>
          <w:p w14:paraId="5EA217E5" w14:textId="77777777" w:rsidR="003C66EB" w:rsidRDefault="003C66EB">
            <w:pPr>
              <w:rPr>
                <w:rFonts w:ascii="宋体"/>
                <w:vanish/>
              </w:rPr>
            </w:pPr>
          </w:p>
        </w:tc>
      </w:tr>
      <w:tr w:rsidR="003C66EB" w14:paraId="5EA217F3" w14:textId="77777777">
        <w:trPr>
          <w:hidden/>
        </w:trPr>
        <w:tc>
          <w:tcPr>
            <w:tcW w:w="0" w:type="auto"/>
            <w:gridSpan w:val="3"/>
            <w:shd w:val="clear" w:color="auto" w:fill="auto"/>
          </w:tcPr>
          <w:p w14:paraId="5EA217E7" w14:textId="77777777" w:rsidR="003C66EB" w:rsidRDefault="003C66EB">
            <w:pPr>
              <w:rPr>
                <w:rFonts w:ascii="宋体"/>
                <w:vanish/>
              </w:rPr>
            </w:pPr>
          </w:p>
        </w:tc>
        <w:tc>
          <w:tcPr>
            <w:tcW w:w="0" w:type="auto"/>
            <w:gridSpan w:val="3"/>
            <w:shd w:val="clear" w:color="auto" w:fill="auto"/>
          </w:tcPr>
          <w:p w14:paraId="5EA217E8" w14:textId="77777777" w:rsidR="003C66EB" w:rsidRDefault="003C66EB">
            <w:pPr>
              <w:rPr>
                <w:rFonts w:ascii="宋体"/>
                <w:vanish/>
              </w:rPr>
            </w:pPr>
          </w:p>
        </w:tc>
        <w:tc>
          <w:tcPr>
            <w:tcW w:w="0" w:type="auto"/>
            <w:gridSpan w:val="3"/>
            <w:shd w:val="clear" w:color="auto" w:fill="auto"/>
          </w:tcPr>
          <w:p w14:paraId="5EA217E9" w14:textId="77777777" w:rsidR="003C66EB" w:rsidRDefault="003C66EB">
            <w:pPr>
              <w:rPr>
                <w:rFonts w:ascii="宋体"/>
                <w:vanish/>
              </w:rPr>
            </w:pPr>
          </w:p>
        </w:tc>
        <w:tc>
          <w:tcPr>
            <w:tcW w:w="0" w:type="auto"/>
            <w:gridSpan w:val="3"/>
            <w:shd w:val="clear" w:color="auto" w:fill="auto"/>
          </w:tcPr>
          <w:p w14:paraId="5EA217EA" w14:textId="77777777" w:rsidR="003C66EB" w:rsidRDefault="003C66EB">
            <w:pPr>
              <w:rPr>
                <w:rFonts w:ascii="宋体"/>
                <w:vanish/>
              </w:rPr>
            </w:pPr>
          </w:p>
        </w:tc>
        <w:tc>
          <w:tcPr>
            <w:tcW w:w="0" w:type="auto"/>
            <w:gridSpan w:val="3"/>
            <w:shd w:val="clear" w:color="auto" w:fill="auto"/>
          </w:tcPr>
          <w:p w14:paraId="5EA217EB" w14:textId="77777777" w:rsidR="003C66EB" w:rsidRDefault="003C66EB">
            <w:pPr>
              <w:rPr>
                <w:rFonts w:ascii="宋体"/>
                <w:vanish/>
              </w:rPr>
            </w:pPr>
          </w:p>
        </w:tc>
        <w:tc>
          <w:tcPr>
            <w:tcW w:w="0" w:type="auto"/>
            <w:gridSpan w:val="3"/>
            <w:shd w:val="clear" w:color="auto" w:fill="auto"/>
          </w:tcPr>
          <w:p w14:paraId="5EA217EC" w14:textId="77777777" w:rsidR="003C66EB" w:rsidRDefault="003C66EB">
            <w:pPr>
              <w:rPr>
                <w:rFonts w:ascii="宋体"/>
                <w:vanish/>
              </w:rPr>
            </w:pPr>
          </w:p>
        </w:tc>
        <w:tc>
          <w:tcPr>
            <w:tcW w:w="0" w:type="auto"/>
            <w:gridSpan w:val="3"/>
            <w:shd w:val="clear" w:color="auto" w:fill="auto"/>
          </w:tcPr>
          <w:p w14:paraId="5EA217ED" w14:textId="77777777" w:rsidR="003C66EB" w:rsidRDefault="003C66EB">
            <w:pPr>
              <w:rPr>
                <w:rFonts w:ascii="宋体"/>
                <w:vanish/>
              </w:rPr>
            </w:pPr>
          </w:p>
        </w:tc>
        <w:tc>
          <w:tcPr>
            <w:tcW w:w="0" w:type="auto"/>
            <w:gridSpan w:val="3"/>
            <w:shd w:val="clear" w:color="auto" w:fill="auto"/>
          </w:tcPr>
          <w:p w14:paraId="5EA217EE" w14:textId="77777777" w:rsidR="003C66EB" w:rsidRDefault="003C66EB">
            <w:pPr>
              <w:rPr>
                <w:rFonts w:ascii="宋体"/>
                <w:vanish/>
              </w:rPr>
            </w:pPr>
          </w:p>
        </w:tc>
        <w:tc>
          <w:tcPr>
            <w:tcW w:w="0" w:type="auto"/>
            <w:gridSpan w:val="3"/>
            <w:shd w:val="clear" w:color="auto" w:fill="auto"/>
          </w:tcPr>
          <w:p w14:paraId="5EA217EF" w14:textId="77777777" w:rsidR="003C66EB" w:rsidRDefault="003C66EB">
            <w:pPr>
              <w:rPr>
                <w:rFonts w:ascii="宋体"/>
                <w:vanish/>
              </w:rPr>
            </w:pPr>
          </w:p>
        </w:tc>
        <w:tc>
          <w:tcPr>
            <w:tcW w:w="0" w:type="auto"/>
            <w:gridSpan w:val="3"/>
            <w:shd w:val="clear" w:color="auto" w:fill="auto"/>
          </w:tcPr>
          <w:p w14:paraId="5EA217F0" w14:textId="77777777" w:rsidR="003C66EB" w:rsidRDefault="003C66EB">
            <w:pPr>
              <w:rPr>
                <w:rFonts w:ascii="宋体"/>
                <w:vanish/>
              </w:rPr>
            </w:pPr>
          </w:p>
        </w:tc>
        <w:tc>
          <w:tcPr>
            <w:tcW w:w="0" w:type="auto"/>
            <w:gridSpan w:val="3"/>
            <w:shd w:val="clear" w:color="auto" w:fill="auto"/>
          </w:tcPr>
          <w:p w14:paraId="5EA217F1" w14:textId="77777777" w:rsidR="003C66EB" w:rsidRDefault="003C66EB">
            <w:pPr>
              <w:rPr>
                <w:rFonts w:ascii="宋体"/>
                <w:vanish/>
              </w:rPr>
            </w:pPr>
          </w:p>
        </w:tc>
        <w:tc>
          <w:tcPr>
            <w:tcW w:w="0" w:type="auto"/>
            <w:gridSpan w:val="3"/>
            <w:shd w:val="clear" w:color="auto" w:fill="auto"/>
          </w:tcPr>
          <w:p w14:paraId="5EA217F2" w14:textId="77777777" w:rsidR="003C66EB" w:rsidRDefault="003C66EB">
            <w:pPr>
              <w:rPr>
                <w:rFonts w:ascii="宋体"/>
                <w:vanish/>
              </w:rPr>
            </w:pPr>
          </w:p>
        </w:tc>
      </w:tr>
      <w:tr w:rsidR="003C66EB" w14:paraId="5EA21800" w14:textId="77777777">
        <w:trPr>
          <w:hidden/>
        </w:trPr>
        <w:tc>
          <w:tcPr>
            <w:tcW w:w="0" w:type="auto"/>
            <w:gridSpan w:val="3"/>
            <w:shd w:val="clear" w:color="auto" w:fill="auto"/>
          </w:tcPr>
          <w:p w14:paraId="5EA217F4" w14:textId="77777777" w:rsidR="003C66EB" w:rsidRDefault="003C66EB">
            <w:pPr>
              <w:rPr>
                <w:rFonts w:ascii="宋体"/>
                <w:vanish/>
              </w:rPr>
            </w:pPr>
          </w:p>
        </w:tc>
        <w:tc>
          <w:tcPr>
            <w:tcW w:w="0" w:type="auto"/>
            <w:gridSpan w:val="3"/>
            <w:shd w:val="clear" w:color="auto" w:fill="auto"/>
          </w:tcPr>
          <w:p w14:paraId="5EA217F5" w14:textId="77777777" w:rsidR="003C66EB" w:rsidRDefault="003C66EB">
            <w:pPr>
              <w:rPr>
                <w:rFonts w:ascii="宋体"/>
                <w:vanish/>
              </w:rPr>
            </w:pPr>
          </w:p>
        </w:tc>
        <w:tc>
          <w:tcPr>
            <w:tcW w:w="0" w:type="auto"/>
            <w:gridSpan w:val="3"/>
            <w:shd w:val="clear" w:color="auto" w:fill="auto"/>
          </w:tcPr>
          <w:p w14:paraId="5EA217F6" w14:textId="77777777" w:rsidR="003C66EB" w:rsidRDefault="003C66EB">
            <w:pPr>
              <w:rPr>
                <w:rFonts w:ascii="宋体"/>
                <w:vanish/>
              </w:rPr>
            </w:pPr>
          </w:p>
        </w:tc>
        <w:tc>
          <w:tcPr>
            <w:tcW w:w="0" w:type="auto"/>
            <w:gridSpan w:val="3"/>
            <w:shd w:val="clear" w:color="auto" w:fill="auto"/>
          </w:tcPr>
          <w:p w14:paraId="5EA217F7" w14:textId="77777777" w:rsidR="003C66EB" w:rsidRDefault="003C66EB">
            <w:pPr>
              <w:rPr>
                <w:rFonts w:ascii="宋体"/>
                <w:vanish/>
              </w:rPr>
            </w:pPr>
          </w:p>
        </w:tc>
        <w:tc>
          <w:tcPr>
            <w:tcW w:w="0" w:type="auto"/>
            <w:gridSpan w:val="3"/>
            <w:shd w:val="clear" w:color="auto" w:fill="auto"/>
          </w:tcPr>
          <w:p w14:paraId="5EA217F8" w14:textId="77777777" w:rsidR="003C66EB" w:rsidRDefault="003C66EB">
            <w:pPr>
              <w:rPr>
                <w:rFonts w:ascii="宋体"/>
                <w:vanish/>
              </w:rPr>
            </w:pPr>
          </w:p>
        </w:tc>
        <w:tc>
          <w:tcPr>
            <w:tcW w:w="0" w:type="auto"/>
            <w:gridSpan w:val="3"/>
            <w:shd w:val="clear" w:color="auto" w:fill="auto"/>
          </w:tcPr>
          <w:p w14:paraId="5EA217F9" w14:textId="77777777" w:rsidR="003C66EB" w:rsidRDefault="003C66EB">
            <w:pPr>
              <w:rPr>
                <w:rFonts w:ascii="宋体"/>
                <w:vanish/>
              </w:rPr>
            </w:pPr>
          </w:p>
        </w:tc>
        <w:tc>
          <w:tcPr>
            <w:tcW w:w="0" w:type="auto"/>
            <w:gridSpan w:val="3"/>
            <w:shd w:val="clear" w:color="auto" w:fill="auto"/>
          </w:tcPr>
          <w:p w14:paraId="5EA217FA" w14:textId="77777777" w:rsidR="003C66EB" w:rsidRDefault="003C66EB">
            <w:pPr>
              <w:rPr>
                <w:rFonts w:ascii="宋体"/>
                <w:vanish/>
              </w:rPr>
            </w:pPr>
          </w:p>
        </w:tc>
        <w:tc>
          <w:tcPr>
            <w:tcW w:w="0" w:type="auto"/>
            <w:gridSpan w:val="3"/>
            <w:shd w:val="clear" w:color="auto" w:fill="auto"/>
          </w:tcPr>
          <w:p w14:paraId="5EA217FB" w14:textId="77777777" w:rsidR="003C66EB" w:rsidRDefault="003C66EB">
            <w:pPr>
              <w:rPr>
                <w:rFonts w:ascii="宋体"/>
                <w:vanish/>
              </w:rPr>
            </w:pPr>
          </w:p>
        </w:tc>
        <w:tc>
          <w:tcPr>
            <w:tcW w:w="0" w:type="auto"/>
            <w:gridSpan w:val="3"/>
            <w:shd w:val="clear" w:color="auto" w:fill="auto"/>
          </w:tcPr>
          <w:p w14:paraId="5EA217FC" w14:textId="77777777" w:rsidR="003C66EB" w:rsidRDefault="003C66EB">
            <w:pPr>
              <w:rPr>
                <w:rFonts w:ascii="宋体"/>
                <w:vanish/>
              </w:rPr>
            </w:pPr>
          </w:p>
        </w:tc>
        <w:tc>
          <w:tcPr>
            <w:tcW w:w="0" w:type="auto"/>
            <w:gridSpan w:val="3"/>
            <w:shd w:val="clear" w:color="auto" w:fill="auto"/>
          </w:tcPr>
          <w:p w14:paraId="5EA217FD" w14:textId="77777777" w:rsidR="003C66EB" w:rsidRDefault="003C66EB">
            <w:pPr>
              <w:rPr>
                <w:rFonts w:ascii="宋体"/>
                <w:vanish/>
              </w:rPr>
            </w:pPr>
          </w:p>
        </w:tc>
        <w:tc>
          <w:tcPr>
            <w:tcW w:w="0" w:type="auto"/>
            <w:gridSpan w:val="3"/>
            <w:shd w:val="clear" w:color="auto" w:fill="auto"/>
          </w:tcPr>
          <w:p w14:paraId="5EA217FE" w14:textId="77777777" w:rsidR="003C66EB" w:rsidRDefault="003C66EB">
            <w:pPr>
              <w:rPr>
                <w:rFonts w:ascii="宋体"/>
                <w:vanish/>
              </w:rPr>
            </w:pPr>
          </w:p>
        </w:tc>
        <w:tc>
          <w:tcPr>
            <w:tcW w:w="0" w:type="auto"/>
            <w:gridSpan w:val="3"/>
            <w:shd w:val="clear" w:color="auto" w:fill="auto"/>
          </w:tcPr>
          <w:p w14:paraId="5EA217FF" w14:textId="77777777" w:rsidR="003C66EB" w:rsidRDefault="003C66EB">
            <w:pPr>
              <w:rPr>
                <w:rFonts w:ascii="宋体"/>
                <w:vanish/>
              </w:rPr>
            </w:pPr>
          </w:p>
        </w:tc>
      </w:tr>
      <w:tr w:rsidR="003C66EB" w14:paraId="5EA21803" w14:textId="77777777">
        <w:tc>
          <w:tcPr>
            <w:tcW w:w="0" w:type="auto"/>
            <w:gridSpan w:val="3"/>
            <w:shd w:val="clear" w:color="auto" w:fill="auto"/>
            <w:tcMar>
              <w:top w:w="0" w:type="dxa"/>
              <w:left w:w="20" w:type="dxa"/>
              <w:bottom w:w="0" w:type="dxa"/>
              <w:right w:w="20" w:type="dxa"/>
            </w:tcMar>
          </w:tcPr>
          <w:p w14:paraId="5EA21801" w14:textId="77777777" w:rsidR="003C66EB" w:rsidRDefault="003C66E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A21802" w14:textId="77777777" w:rsidR="003C66EB" w:rsidRDefault="00D96C4E">
            <w:pPr>
              <w:jc w:val="center"/>
              <w:textAlignment w:val="bottom"/>
            </w:pPr>
            <w:r>
              <w:rPr>
                <w:rFonts w:ascii="Arial" w:eastAsia="宋体" w:hAnsi="Arial" w:cs="Arial"/>
                <w:b/>
                <w:bCs/>
                <w:color w:val="000000"/>
                <w:sz w:val="16"/>
                <w:szCs w:val="16"/>
              </w:rPr>
              <w:t>Three Months Ended March 31,</w:t>
            </w:r>
          </w:p>
        </w:tc>
      </w:tr>
      <w:tr w:rsidR="003C66EB" w14:paraId="5EA21808" w14:textId="77777777">
        <w:tc>
          <w:tcPr>
            <w:tcW w:w="0" w:type="auto"/>
            <w:gridSpan w:val="3"/>
            <w:shd w:val="clear" w:color="auto" w:fill="auto"/>
            <w:tcMar>
              <w:top w:w="0" w:type="dxa"/>
              <w:left w:w="20" w:type="dxa"/>
              <w:bottom w:w="0" w:type="dxa"/>
              <w:right w:w="20" w:type="dxa"/>
            </w:tcMar>
          </w:tcPr>
          <w:p w14:paraId="5EA21804"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1805" w14:textId="77777777" w:rsidR="003C66EB" w:rsidRDefault="00D96C4E">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1806"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1807" w14:textId="77777777" w:rsidR="003C66EB" w:rsidRDefault="00D96C4E">
            <w:pPr>
              <w:jc w:val="center"/>
              <w:textAlignment w:val="bottom"/>
            </w:pPr>
            <w:r>
              <w:rPr>
                <w:rFonts w:ascii="Arial" w:eastAsia="宋体" w:hAnsi="Arial" w:cs="Arial"/>
                <w:b/>
                <w:bCs/>
                <w:color w:val="000000"/>
                <w:sz w:val="16"/>
                <w:szCs w:val="16"/>
              </w:rPr>
              <w:t>2020</w:t>
            </w:r>
          </w:p>
        </w:tc>
      </w:tr>
      <w:tr w:rsidR="003C66EB" w14:paraId="5EA21815" w14:textId="77777777">
        <w:tc>
          <w:tcPr>
            <w:tcW w:w="0" w:type="auto"/>
            <w:gridSpan w:val="3"/>
            <w:shd w:val="clear" w:color="auto" w:fill="auto"/>
            <w:tcMar>
              <w:top w:w="40" w:type="dxa"/>
              <w:left w:w="20" w:type="dxa"/>
              <w:bottom w:w="40" w:type="dxa"/>
              <w:right w:w="20" w:type="dxa"/>
            </w:tcMar>
            <w:vAlign w:val="bottom"/>
          </w:tcPr>
          <w:p w14:paraId="5EA21809" w14:textId="77777777" w:rsidR="003C66EB" w:rsidRDefault="00D96C4E">
            <w:pPr>
              <w:textAlignment w:val="bottom"/>
            </w:pPr>
            <w:r>
              <w:rPr>
                <w:rFonts w:ascii="Arial" w:eastAsia="宋体" w:hAnsi="Arial" w:cs="Arial"/>
                <w:b/>
                <w:bCs/>
                <w:color w:val="000000"/>
                <w:sz w:val="16"/>
                <w:szCs w:val="16"/>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80A" w14:textId="77777777" w:rsidR="003C66EB" w:rsidRDefault="00D96C4E">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80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80C" w14:textId="77777777" w:rsidR="003C66EB" w:rsidRDefault="00D96C4E">
            <w:pPr>
              <w:jc w:val="center"/>
              <w:textAlignment w:val="bottom"/>
            </w:pPr>
            <w:r>
              <w:rPr>
                <w:rFonts w:ascii="Arial" w:eastAsia="宋体" w:hAnsi="Arial" w:cs="Arial"/>
                <w:b/>
                <w:bCs/>
                <w:color w:val="000000"/>
                <w:sz w:val="16"/>
                <w:szCs w:val="16"/>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80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80E" w14:textId="77777777" w:rsidR="003C66EB" w:rsidRDefault="00D96C4E">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tcPr>
          <w:p w14:paraId="5EA2180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810" w14:textId="77777777" w:rsidR="003C66EB" w:rsidRDefault="00D96C4E">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81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812" w14:textId="77777777" w:rsidR="003C66EB" w:rsidRDefault="00D96C4E">
            <w:pPr>
              <w:jc w:val="center"/>
              <w:textAlignment w:val="bottom"/>
            </w:pPr>
            <w:r>
              <w:rPr>
                <w:rFonts w:ascii="Arial" w:eastAsia="宋体" w:hAnsi="Arial" w:cs="Arial"/>
                <w:b/>
                <w:bCs/>
                <w:color w:val="000000"/>
                <w:sz w:val="16"/>
                <w:szCs w:val="16"/>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81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814" w14:textId="77777777" w:rsidR="003C66EB" w:rsidRDefault="00D96C4E">
            <w:pPr>
              <w:jc w:val="center"/>
              <w:textAlignment w:val="bottom"/>
            </w:pPr>
            <w:r>
              <w:rPr>
                <w:rFonts w:ascii="Arial" w:eastAsia="宋体" w:hAnsi="Arial" w:cs="Arial"/>
                <w:b/>
                <w:bCs/>
                <w:color w:val="000000"/>
                <w:sz w:val="16"/>
                <w:szCs w:val="16"/>
              </w:rPr>
              <w:t>Total</w:t>
            </w:r>
          </w:p>
        </w:tc>
      </w:tr>
      <w:tr w:rsidR="003C66EB" w14:paraId="5EA21822" w14:textId="77777777">
        <w:tc>
          <w:tcPr>
            <w:tcW w:w="0" w:type="auto"/>
            <w:gridSpan w:val="3"/>
            <w:shd w:val="clear" w:color="auto" w:fill="FFFFFF"/>
            <w:tcMar>
              <w:top w:w="40" w:type="dxa"/>
              <w:left w:w="20" w:type="dxa"/>
              <w:bottom w:w="40" w:type="dxa"/>
              <w:right w:w="20" w:type="dxa"/>
            </w:tcMar>
            <w:vAlign w:val="bottom"/>
          </w:tcPr>
          <w:p w14:paraId="5EA21816" w14:textId="77777777" w:rsidR="003C66EB" w:rsidRDefault="00D96C4E">
            <w:pPr>
              <w:textAlignment w:val="bottom"/>
            </w:pPr>
            <w:r>
              <w:rPr>
                <w:rFonts w:ascii="Arial" w:eastAsia="宋体" w:hAnsi="Arial" w:cs="Arial"/>
                <w:b/>
                <w:bCs/>
                <w:color w:val="000000"/>
                <w:sz w:val="16"/>
                <w:szCs w:val="16"/>
              </w:rPr>
              <w:t>Preferred Stock:</w:t>
            </w:r>
          </w:p>
        </w:tc>
        <w:tc>
          <w:tcPr>
            <w:tcW w:w="0" w:type="auto"/>
            <w:gridSpan w:val="3"/>
            <w:tcBorders>
              <w:top w:val="single" w:sz="8" w:space="0" w:color="000000"/>
            </w:tcBorders>
            <w:shd w:val="clear" w:color="auto" w:fill="FFFFFF"/>
            <w:tcMar>
              <w:top w:w="0" w:type="dxa"/>
              <w:left w:w="20" w:type="dxa"/>
              <w:bottom w:w="0" w:type="dxa"/>
              <w:right w:w="20" w:type="dxa"/>
            </w:tcMar>
          </w:tcPr>
          <w:p w14:paraId="5EA2181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18"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81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1A"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81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1C"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81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1E"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81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20"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1821" w14:textId="77777777" w:rsidR="003C66EB" w:rsidRDefault="003C66EB">
            <w:pPr>
              <w:rPr>
                <w:rFonts w:ascii="宋体"/>
              </w:rPr>
            </w:pPr>
          </w:p>
        </w:tc>
      </w:tr>
      <w:tr w:rsidR="003C66EB" w14:paraId="5EA2183B" w14:textId="77777777">
        <w:tc>
          <w:tcPr>
            <w:tcW w:w="0" w:type="auto"/>
            <w:gridSpan w:val="3"/>
            <w:shd w:val="clear" w:color="auto" w:fill="CCEEFF"/>
            <w:tcMar>
              <w:top w:w="40" w:type="dxa"/>
              <w:left w:w="20" w:type="dxa"/>
              <w:bottom w:w="40" w:type="dxa"/>
              <w:right w:w="20" w:type="dxa"/>
            </w:tcMar>
            <w:vAlign w:val="bottom"/>
          </w:tcPr>
          <w:p w14:paraId="5EA21823" w14:textId="77777777" w:rsidR="003C66EB" w:rsidRDefault="00D96C4E">
            <w:pPr>
              <w:textAlignment w:val="bottom"/>
            </w:pPr>
            <w:r>
              <w:rPr>
                <w:rFonts w:ascii="Arial" w:eastAsia="宋体" w:hAnsi="Arial" w:cs="Arial"/>
                <w:color w:val="000000"/>
                <w:sz w:val="16"/>
                <w:szCs w:val="16"/>
              </w:rPr>
              <w:t>Series C</w:t>
            </w:r>
          </w:p>
        </w:tc>
        <w:tc>
          <w:tcPr>
            <w:tcW w:w="0" w:type="auto"/>
            <w:shd w:val="clear" w:color="auto" w:fill="CCEEFF"/>
            <w:tcMar>
              <w:top w:w="40" w:type="dxa"/>
              <w:left w:w="20" w:type="dxa"/>
              <w:bottom w:w="40" w:type="dxa"/>
              <w:right w:w="0" w:type="dxa"/>
            </w:tcMar>
            <w:vAlign w:val="bottom"/>
          </w:tcPr>
          <w:p w14:paraId="5EA21824"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A21825"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2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828"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A21829"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2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2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82C"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A2182D"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2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2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830" w14:textId="77777777" w:rsidR="003C66EB" w:rsidRDefault="00D96C4E">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EA21831" w14:textId="77777777" w:rsidR="003C66EB" w:rsidRDefault="00D96C4E">
            <w:pPr>
              <w:jc w:val="right"/>
              <w:textAlignment w:val="bottom"/>
            </w:pPr>
            <w:r>
              <w:rPr>
                <w:rFonts w:ascii="Arial" w:eastAsia="宋体" w:hAnsi="Arial" w:cs="Arial"/>
                <w:color w:val="000000"/>
                <w:sz w:val="16"/>
                <w:szCs w:val="16"/>
              </w:rPr>
              <w:t>1,313 </w:t>
            </w:r>
          </w:p>
        </w:tc>
        <w:tc>
          <w:tcPr>
            <w:tcW w:w="0" w:type="auto"/>
            <w:shd w:val="clear" w:color="auto" w:fill="CCEEFF"/>
            <w:tcMar>
              <w:top w:w="40" w:type="dxa"/>
              <w:left w:w="0" w:type="dxa"/>
              <w:bottom w:w="40" w:type="dxa"/>
              <w:right w:w="20" w:type="dxa"/>
            </w:tcMar>
            <w:vAlign w:val="bottom"/>
          </w:tcPr>
          <w:p w14:paraId="5EA2183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3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834" w14:textId="77777777" w:rsidR="003C66EB" w:rsidRDefault="00D96C4E">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EA21835" w14:textId="77777777" w:rsidR="003C66EB" w:rsidRDefault="00D96C4E">
            <w:pPr>
              <w:jc w:val="right"/>
              <w:textAlignment w:val="bottom"/>
            </w:pPr>
            <w:r>
              <w:rPr>
                <w:rFonts w:ascii="Arial" w:eastAsia="宋体" w:hAnsi="Arial" w:cs="Arial"/>
                <w:color w:val="000000"/>
                <w:sz w:val="16"/>
                <w:szCs w:val="16"/>
              </w:rPr>
              <w:t>0.33 </w:t>
            </w:r>
          </w:p>
        </w:tc>
        <w:tc>
          <w:tcPr>
            <w:tcW w:w="0" w:type="auto"/>
            <w:shd w:val="clear" w:color="auto" w:fill="CCEEFF"/>
            <w:tcMar>
              <w:top w:w="40" w:type="dxa"/>
              <w:left w:w="0" w:type="dxa"/>
              <w:bottom w:w="40" w:type="dxa"/>
              <w:right w:w="20" w:type="dxa"/>
            </w:tcMar>
            <w:vAlign w:val="bottom"/>
          </w:tcPr>
          <w:p w14:paraId="5EA2183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3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838" w14:textId="77777777" w:rsidR="003C66EB" w:rsidRDefault="00D96C4E">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EA21839" w14:textId="77777777" w:rsidR="003C66EB" w:rsidRDefault="00D96C4E">
            <w:pPr>
              <w:jc w:val="right"/>
              <w:textAlignment w:val="bottom"/>
            </w:pPr>
            <w:r>
              <w:rPr>
                <w:rFonts w:ascii="Arial" w:eastAsia="宋体" w:hAnsi="Arial" w:cs="Arial"/>
                <w:color w:val="000000"/>
                <w:sz w:val="16"/>
                <w:szCs w:val="16"/>
              </w:rPr>
              <w:t>6 </w:t>
            </w:r>
          </w:p>
        </w:tc>
        <w:tc>
          <w:tcPr>
            <w:tcW w:w="0" w:type="auto"/>
            <w:shd w:val="clear" w:color="auto" w:fill="CCEEFF"/>
            <w:tcMar>
              <w:top w:w="40" w:type="dxa"/>
              <w:left w:w="0" w:type="dxa"/>
              <w:bottom w:w="40" w:type="dxa"/>
              <w:right w:w="20" w:type="dxa"/>
            </w:tcMar>
            <w:vAlign w:val="bottom"/>
          </w:tcPr>
          <w:p w14:paraId="5EA2183A" w14:textId="77777777" w:rsidR="003C66EB" w:rsidRDefault="003C66EB">
            <w:pPr>
              <w:jc w:val="right"/>
              <w:rPr>
                <w:rFonts w:ascii="宋体"/>
              </w:rPr>
            </w:pPr>
          </w:p>
        </w:tc>
      </w:tr>
      <w:tr w:rsidR="003C66EB" w14:paraId="5EA2184E" w14:textId="77777777">
        <w:tc>
          <w:tcPr>
            <w:tcW w:w="0" w:type="auto"/>
            <w:gridSpan w:val="3"/>
            <w:shd w:val="clear" w:color="auto" w:fill="FFFFFF"/>
            <w:tcMar>
              <w:top w:w="40" w:type="dxa"/>
              <w:left w:w="20" w:type="dxa"/>
              <w:bottom w:w="40" w:type="dxa"/>
              <w:right w:w="20" w:type="dxa"/>
            </w:tcMar>
            <w:vAlign w:val="bottom"/>
          </w:tcPr>
          <w:p w14:paraId="5EA2183C" w14:textId="77777777" w:rsidR="003C66EB" w:rsidRDefault="00D96C4E">
            <w:pPr>
              <w:textAlignment w:val="bottom"/>
            </w:pPr>
            <w:r>
              <w:rPr>
                <w:rFonts w:ascii="Arial" w:eastAsia="宋体" w:hAnsi="Arial" w:cs="Arial"/>
                <w:color w:val="000000"/>
                <w:sz w:val="16"/>
                <w:szCs w:val="16"/>
              </w:rPr>
              <w:t>Series D</w:t>
            </w:r>
          </w:p>
        </w:tc>
        <w:tc>
          <w:tcPr>
            <w:tcW w:w="0" w:type="auto"/>
            <w:gridSpan w:val="2"/>
            <w:shd w:val="clear" w:color="auto" w:fill="FFFFFF"/>
            <w:tcMar>
              <w:top w:w="40" w:type="dxa"/>
              <w:left w:w="20" w:type="dxa"/>
              <w:bottom w:w="40" w:type="dxa"/>
              <w:right w:w="0" w:type="dxa"/>
            </w:tcMar>
            <w:vAlign w:val="bottom"/>
          </w:tcPr>
          <w:p w14:paraId="5EA2183D" w14:textId="77777777" w:rsidR="003C66EB" w:rsidRDefault="00D96C4E">
            <w:pPr>
              <w:jc w:val="right"/>
              <w:textAlignment w:val="bottom"/>
            </w:pPr>
            <w:r>
              <w:rPr>
                <w:rFonts w:ascii="Arial" w:eastAsia="宋体" w:hAnsi="Arial" w:cs="Arial"/>
                <w:b/>
                <w:bCs/>
                <w:color w:val="000000"/>
                <w:sz w:val="16"/>
                <w:szCs w:val="16"/>
              </w:rPr>
              <w:t>1,475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183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3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40" w14:textId="77777777" w:rsidR="003C66EB" w:rsidRDefault="00D96C4E">
            <w:pPr>
              <w:jc w:val="right"/>
              <w:textAlignment w:val="bottom"/>
            </w:pPr>
            <w:r>
              <w:rPr>
                <w:rFonts w:ascii="Arial" w:eastAsia="宋体" w:hAnsi="Arial" w:cs="Arial"/>
                <w:b/>
                <w:bCs/>
                <w:color w:val="000000"/>
                <w:sz w:val="16"/>
                <w:szCs w:val="16"/>
              </w:rPr>
              <w:t>0.37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18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4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43" w14:textId="77777777" w:rsidR="003C66EB" w:rsidRDefault="00D96C4E">
            <w:pPr>
              <w:jc w:val="right"/>
              <w:textAlignment w:val="bottom"/>
            </w:pPr>
            <w:r>
              <w:rPr>
                <w:rFonts w:ascii="Arial" w:eastAsia="宋体" w:hAnsi="Arial" w:cs="Arial"/>
                <w:b/>
                <w:bCs/>
                <w:color w:val="000000"/>
                <w:sz w:val="16"/>
                <w:szCs w:val="16"/>
              </w:rPr>
              <w:t>11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184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4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46" w14:textId="77777777" w:rsidR="003C66EB" w:rsidRDefault="00D96C4E">
            <w:pPr>
              <w:jc w:val="right"/>
              <w:textAlignment w:val="bottom"/>
            </w:pPr>
            <w:r>
              <w:rPr>
                <w:rFonts w:ascii="Arial" w:eastAsia="宋体" w:hAnsi="Arial" w:cs="Arial"/>
                <w:color w:val="000000"/>
                <w:sz w:val="16"/>
                <w:szCs w:val="16"/>
              </w:rPr>
              <w:t>1,475 </w:t>
            </w:r>
          </w:p>
        </w:tc>
        <w:tc>
          <w:tcPr>
            <w:tcW w:w="0" w:type="auto"/>
            <w:shd w:val="clear" w:color="auto" w:fill="FFFFFF"/>
            <w:tcMar>
              <w:top w:w="40" w:type="dxa"/>
              <w:left w:w="0" w:type="dxa"/>
              <w:bottom w:w="40" w:type="dxa"/>
              <w:right w:w="20" w:type="dxa"/>
            </w:tcMar>
            <w:vAlign w:val="bottom"/>
          </w:tcPr>
          <w:p w14:paraId="5EA2184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4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49" w14:textId="77777777" w:rsidR="003C66EB" w:rsidRDefault="00D96C4E">
            <w:pPr>
              <w:jc w:val="right"/>
              <w:textAlignment w:val="bottom"/>
            </w:pPr>
            <w:r>
              <w:rPr>
                <w:rFonts w:ascii="Arial" w:eastAsia="宋体" w:hAnsi="Arial" w:cs="Arial"/>
                <w:color w:val="000000"/>
                <w:sz w:val="16"/>
                <w:szCs w:val="16"/>
              </w:rPr>
              <w:t>0.37 </w:t>
            </w:r>
          </w:p>
        </w:tc>
        <w:tc>
          <w:tcPr>
            <w:tcW w:w="0" w:type="auto"/>
            <w:shd w:val="clear" w:color="auto" w:fill="FFFFFF"/>
            <w:tcMar>
              <w:top w:w="40" w:type="dxa"/>
              <w:left w:w="0" w:type="dxa"/>
              <w:bottom w:w="40" w:type="dxa"/>
              <w:right w:w="20" w:type="dxa"/>
            </w:tcMar>
            <w:vAlign w:val="bottom"/>
          </w:tcPr>
          <w:p w14:paraId="5EA218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4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4C" w14:textId="77777777" w:rsidR="003C66EB" w:rsidRDefault="00D96C4E">
            <w:pPr>
              <w:jc w:val="right"/>
              <w:textAlignment w:val="bottom"/>
            </w:pPr>
            <w:r>
              <w:rPr>
                <w:rFonts w:ascii="Arial" w:eastAsia="宋体" w:hAnsi="Arial" w:cs="Arial"/>
                <w:color w:val="000000"/>
                <w:sz w:val="16"/>
                <w:szCs w:val="16"/>
              </w:rPr>
              <w:t>11 </w:t>
            </w:r>
          </w:p>
        </w:tc>
        <w:tc>
          <w:tcPr>
            <w:tcW w:w="0" w:type="auto"/>
            <w:shd w:val="clear" w:color="auto" w:fill="FFFFFF"/>
            <w:tcMar>
              <w:top w:w="40" w:type="dxa"/>
              <w:left w:w="0" w:type="dxa"/>
              <w:bottom w:w="40" w:type="dxa"/>
              <w:right w:w="20" w:type="dxa"/>
            </w:tcMar>
            <w:vAlign w:val="bottom"/>
          </w:tcPr>
          <w:p w14:paraId="5EA2184D" w14:textId="77777777" w:rsidR="003C66EB" w:rsidRDefault="003C66EB">
            <w:pPr>
              <w:jc w:val="right"/>
              <w:rPr>
                <w:rFonts w:ascii="宋体"/>
              </w:rPr>
            </w:pPr>
          </w:p>
        </w:tc>
      </w:tr>
      <w:tr w:rsidR="003C66EB" w14:paraId="5EA2185B" w14:textId="77777777">
        <w:trPr>
          <w:hidden/>
        </w:trPr>
        <w:tc>
          <w:tcPr>
            <w:tcW w:w="0" w:type="auto"/>
            <w:gridSpan w:val="3"/>
            <w:shd w:val="clear" w:color="auto" w:fill="auto"/>
          </w:tcPr>
          <w:p w14:paraId="5EA2184F" w14:textId="77777777" w:rsidR="003C66EB" w:rsidRDefault="003C66EB">
            <w:pPr>
              <w:rPr>
                <w:rFonts w:ascii="宋体"/>
                <w:vanish/>
              </w:rPr>
            </w:pPr>
          </w:p>
        </w:tc>
        <w:tc>
          <w:tcPr>
            <w:tcW w:w="0" w:type="auto"/>
            <w:gridSpan w:val="3"/>
            <w:shd w:val="clear" w:color="auto" w:fill="auto"/>
          </w:tcPr>
          <w:p w14:paraId="5EA21850" w14:textId="77777777" w:rsidR="003C66EB" w:rsidRDefault="003C66EB">
            <w:pPr>
              <w:rPr>
                <w:rFonts w:ascii="宋体"/>
                <w:vanish/>
              </w:rPr>
            </w:pPr>
          </w:p>
        </w:tc>
        <w:tc>
          <w:tcPr>
            <w:tcW w:w="0" w:type="auto"/>
            <w:gridSpan w:val="3"/>
            <w:shd w:val="clear" w:color="auto" w:fill="auto"/>
          </w:tcPr>
          <w:p w14:paraId="5EA21851" w14:textId="77777777" w:rsidR="003C66EB" w:rsidRDefault="003C66EB">
            <w:pPr>
              <w:rPr>
                <w:rFonts w:ascii="宋体"/>
                <w:vanish/>
              </w:rPr>
            </w:pPr>
          </w:p>
        </w:tc>
        <w:tc>
          <w:tcPr>
            <w:tcW w:w="0" w:type="auto"/>
            <w:gridSpan w:val="3"/>
            <w:shd w:val="clear" w:color="auto" w:fill="auto"/>
          </w:tcPr>
          <w:p w14:paraId="5EA21852" w14:textId="77777777" w:rsidR="003C66EB" w:rsidRDefault="003C66EB">
            <w:pPr>
              <w:rPr>
                <w:rFonts w:ascii="宋体"/>
                <w:vanish/>
              </w:rPr>
            </w:pPr>
          </w:p>
        </w:tc>
        <w:tc>
          <w:tcPr>
            <w:tcW w:w="0" w:type="auto"/>
            <w:gridSpan w:val="3"/>
            <w:shd w:val="clear" w:color="auto" w:fill="auto"/>
          </w:tcPr>
          <w:p w14:paraId="5EA21853" w14:textId="77777777" w:rsidR="003C66EB" w:rsidRDefault="003C66EB">
            <w:pPr>
              <w:rPr>
                <w:rFonts w:ascii="宋体"/>
                <w:vanish/>
              </w:rPr>
            </w:pPr>
          </w:p>
        </w:tc>
        <w:tc>
          <w:tcPr>
            <w:tcW w:w="0" w:type="auto"/>
            <w:gridSpan w:val="3"/>
            <w:shd w:val="clear" w:color="auto" w:fill="auto"/>
          </w:tcPr>
          <w:p w14:paraId="5EA21854" w14:textId="77777777" w:rsidR="003C66EB" w:rsidRDefault="003C66EB">
            <w:pPr>
              <w:rPr>
                <w:rFonts w:ascii="宋体"/>
                <w:vanish/>
              </w:rPr>
            </w:pPr>
          </w:p>
        </w:tc>
        <w:tc>
          <w:tcPr>
            <w:tcW w:w="0" w:type="auto"/>
            <w:gridSpan w:val="3"/>
            <w:shd w:val="clear" w:color="auto" w:fill="auto"/>
          </w:tcPr>
          <w:p w14:paraId="5EA21855" w14:textId="77777777" w:rsidR="003C66EB" w:rsidRDefault="003C66EB">
            <w:pPr>
              <w:rPr>
                <w:rFonts w:ascii="宋体"/>
                <w:vanish/>
              </w:rPr>
            </w:pPr>
          </w:p>
        </w:tc>
        <w:tc>
          <w:tcPr>
            <w:tcW w:w="0" w:type="auto"/>
            <w:gridSpan w:val="3"/>
            <w:shd w:val="clear" w:color="auto" w:fill="auto"/>
          </w:tcPr>
          <w:p w14:paraId="5EA21856" w14:textId="77777777" w:rsidR="003C66EB" w:rsidRDefault="003C66EB">
            <w:pPr>
              <w:rPr>
                <w:rFonts w:ascii="宋体"/>
                <w:vanish/>
              </w:rPr>
            </w:pPr>
          </w:p>
        </w:tc>
        <w:tc>
          <w:tcPr>
            <w:tcW w:w="0" w:type="auto"/>
            <w:gridSpan w:val="3"/>
            <w:shd w:val="clear" w:color="auto" w:fill="auto"/>
          </w:tcPr>
          <w:p w14:paraId="5EA21857" w14:textId="77777777" w:rsidR="003C66EB" w:rsidRDefault="003C66EB">
            <w:pPr>
              <w:rPr>
                <w:rFonts w:ascii="宋体"/>
                <w:vanish/>
              </w:rPr>
            </w:pPr>
          </w:p>
        </w:tc>
        <w:tc>
          <w:tcPr>
            <w:tcW w:w="0" w:type="auto"/>
            <w:gridSpan w:val="3"/>
            <w:shd w:val="clear" w:color="auto" w:fill="auto"/>
          </w:tcPr>
          <w:p w14:paraId="5EA21858" w14:textId="77777777" w:rsidR="003C66EB" w:rsidRDefault="003C66EB">
            <w:pPr>
              <w:rPr>
                <w:rFonts w:ascii="宋体"/>
                <w:vanish/>
              </w:rPr>
            </w:pPr>
          </w:p>
        </w:tc>
        <w:tc>
          <w:tcPr>
            <w:tcW w:w="0" w:type="auto"/>
            <w:gridSpan w:val="3"/>
            <w:shd w:val="clear" w:color="auto" w:fill="auto"/>
          </w:tcPr>
          <w:p w14:paraId="5EA21859" w14:textId="77777777" w:rsidR="003C66EB" w:rsidRDefault="003C66EB">
            <w:pPr>
              <w:rPr>
                <w:rFonts w:ascii="宋体"/>
                <w:vanish/>
              </w:rPr>
            </w:pPr>
          </w:p>
        </w:tc>
        <w:tc>
          <w:tcPr>
            <w:tcW w:w="0" w:type="auto"/>
            <w:gridSpan w:val="3"/>
            <w:shd w:val="clear" w:color="auto" w:fill="auto"/>
          </w:tcPr>
          <w:p w14:paraId="5EA2185A" w14:textId="77777777" w:rsidR="003C66EB" w:rsidRDefault="003C66EB">
            <w:pPr>
              <w:rPr>
                <w:rFonts w:ascii="宋体"/>
                <w:vanish/>
              </w:rPr>
            </w:pPr>
          </w:p>
        </w:tc>
      </w:tr>
      <w:tr w:rsidR="003C66EB" w14:paraId="5EA2186E" w14:textId="77777777">
        <w:tc>
          <w:tcPr>
            <w:tcW w:w="0" w:type="auto"/>
            <w:gridSpan w:val="3"/>
            <w:shd w:val="clear" w:color="auto" w:fill="CCEEFF"/>
            <w:tcMar>
              <w:top w:w="40" w:type="dxa"/>
              <w:left w:w="20" w:type="dxa"/>
              <w:bottom w:w="40" w:type="dxa"/>
              <w:right w:w="20" w:type="dxa"/>
            </w:tcMar>
            <w:vAlign w:val="bottom"/>
          </w:tcPr>
          <w:p w14:paraId="5EA2185C" w14:textId="77777777" w:rsidR="003C66EB" w:rsidRDefault="00D96C4E">
            <w:pPr>
              <w:textAlignment w:val="bottom"/>
            </w:pPr>
            <w:r>
              <w:rPr>
                <w:rFonts w:ascii="Arial" w:eastAsia="宋体" w:hAnsi="Arial" w:cs="Arial"/>
                <w:color w:val="000000"/>
                <w:sz w:val="16"/>
                <w:szCs w:val="16"/>
              </w:rPr>
              <w:t>Series F</w:t>
            </w:r>
          </w:p>
        </w:tc>
        <w:tc>
          <w:tcPr>
            <w:tcW w:w="0" w:type="auto"/>
            <w:gridSpan w:val="2"/>
            <w:shd w:val="clear" w:color="auto" w:fill="CCEEFF"/>
            <w:tcMar>
              <w:top w:w="40" w:type="dxa"/>
              <w:left w:w="20" w:type="dxa"/>
              <w:bottom w:w="40" w:type="dxa"/>
              <w:right w:w="0" w:type="dxa"/>
            </w:tcMar>
            <w:vAlign w:val="bottom"/>
          </w:tcPr>
          <w:p w14:paraId="5EA2185D" w14:textId="77777777" w:rsidR="003C66EB" w:rsidRDefault="00D96C4E">
            <w:pPr>
              <w:jc w:val="right"/>
              <w:textAlignment w:val="bottom"/>
            </w:pPr>
            <w:r>
              <w:rPr>
                <w:rFonts w:ascii="Arial" w:eastAsia="宋体" w:hAnsi="Arial" w:cs="Arial"/>
                <w:b/>
                <w:bCs/>
                <w:color w:val="000000"/>
                <w:sz w:val="16"/>
                <w:szCs w:val="16"/>
              </w:rPr>
              <w:t>953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5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60" w14:textId="77777777" w:rsidR="003C66EB" w:rsidRDefault="00D96C4E">
            <w:pPr>
              <w:jc w:val="right"/>
              <w:textAlignment w:val="bottom"/>
            </w:pPr>
            <w:r>
              <w:rPr>
                <w:rFonts w:ascii="Arial" w:eastAsia="宋体" w:hAnsi="Arial" w:cs="Arial"/>
                <w:b/>
                <w:bCs/>
                <w:color w:val="000000"/>
                <w:sz w:val="16"/>
                <w:szCs w:val="16"/>
              </w:rPr>
              <w:t>9.53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6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63" w14:textId="77777777" w:rsidR="003C66EB" w:rsidRDefault="00D96C4E">
            <w:pPr>
              <w:jc w:val="right"/>
              <w:textAlignment w:val="bottom"/>
            </w:pPr>
            <w:r>
              <w:rPr>
                <w:rFonts w:ascii="Arial" w:eastAsia="宋体" w:hAnsi="Arial" w:cs="Arial"/>
                <w:b/>
                <w:bCs/>
                <w:color w:val="000000"/>
                <w:sz w:val="16"/>
                <w:szCs w:val="16"/>
              </w:rPr>
              <w:t>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6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66" w14:textId="77777777" w:rsidR="003C66EB" w:rsidRDefault="00D96C4E">
            <w:pPr>
              <w:jc w:val="right"/>
              <w:textAlignment w:val="bottom"/>
            </w:pPr>
            <w:r>
              <w:rPr>
                <w:rFonts w:ascii="Arial" w:eastAsia="宋体" w:hAnsi="Arial" w:cs="Arial"/>
                <w:color w:val="000000"/>
                <w:sz w:val="16"/>
                <w:szCs w:val="16"/>
              </w:rPr>
              <w:t>2,625 </w:t>
            </w:r>
          </w:p>
        </w:tc>
        <w:tc>
          <w:tcPr>
            <w:tcW w:w="0" w:type="auto"/>
            <w:shd w:val="clear" w:color="auto" w:fill="CCEEFF"/>
            <w:tcMar>
              <w:top w:w="40" w:type="dxa"/>
              <w:left w:w="0" w:type="dxa"/>
              <w:bottom w:w="40" w:type="dxa"/>
              <w:right w:w="20" w:type="dxa"/>
            </w:tcMar>
            <w:vAlign w:val="bottom"/>
          </w:tcPr>
          <w:p w14:paraId="5EA218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6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69" w14:textId="77777777" w:rsidR="003C66EB" w:rsidRDefault="00D96C4E">
            <w:pPr>
              <w:jc w:val="right"/>
              <w:textAlignment w:val="bottom"/>
            </w:pPr>
            <w:r>
              <w:rPr>
                <w:rFonts w:ascii="Arial" w:eastAsia="宋体" w:hAnsi="Arial" w:cs="Arial"/>
                <w:color w:val="000000"/>
                <w:sz w:val="16"/>
                <w:szCs w:val="16"/>
              </w:rPr>
              <w:t>26.25 </w:t>
            </w:r>
          </w:p>
        </w:tc>
        <w:tc>
          <w:tcPr>
            <w:tcW w:w="0" w:type="auto"/>
            <w:shd w:val="clear" w:color="auto" w:fill="CCEEFF"/>
            <w:tcMar>
              <w:top w:w="40" w:type="dxa"/>
              <w:left w:w="0" w:type="dxa"/>
              <w:bottom w:w="40" w:type="dxa"/>
              <w:right w:w="20" w:type="dxa"/>
            </w:tcMar>
            <w:vAlign w:val="bottom"/>
          </w:tcPr>
          <w:p w14:paraId="5EA218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6C" w14:textId="77777777" w:rsidR="003C66EB" w:rsidRDefault="00D96C4E">
            <w:pPr>
              <w:jc w:val="right"/>
              <w:textAlignment w:val="bottom"/>
            </w:pPr>
            <w:r>
              <w:rPr>
                <w:rFonts w:ascii="Arial" w:eastAsia="宋体" w:hAnsi="Arial" w:cs="Arial"/>
                <w:color w:val="000000"/>
                <w:sz w:val="16"/>
                <w:szCs w:val="16"/>
              </w:rPr>
              <w:t>20 </w:t>
            </w:r>
          </w:p>
        </w:tc>
        <w:tc>
          <w:tcPr>
            <w:tcW w:w="0" w:type="auto"/>
            <w:shd w:val="clear" w:color="auto" w:fill="CCEEFF"/>
            <w:tcMar>
              <w:top w:w="40" w:type="dxa"/>
              <w:left w:w="0" w:type="dxa"/>
              <w:bottom w:w="40" w:type="dxa"/>
              <w:right w:w="20" w:type="dxa"/>
            </w:tcMar>
            <w:vAlign w:val="bottom"/>
          </w:tcPr>
          <w:p w14:paraId="5EA2186D" w14:textId="77777777" w:rsidR="003C66EB" w:rsidRDefault="003C66EB">
            <w:pPr>
              <w:jc w:val="right"/>
              <w:rPr>
                <w:rFonts w:ascii="宋体"/>
              </w:rPr>
            </w:pPr>
          </w:p>
        </w:tc>
      </w:tr>
      <w:tr w:rsidR="003C66EB" w14:paraId="5EA21881" w14:textId="77777777">
        <w:tc>
          <w:tcPr>
            <w:tcW w:w="0" w:type="auto"/>
            <w:gridSpan w:val="3"/>
            <w:shd w:val="clear" w:color="auto" w:fill="FFFFFF"/>
            <w:tcMar>
              <w:top w:w="40" w:type="dxa"/>
              <w:left w:w="20" w:type="dxa"/>
              <w:bottom w:w="40" w:type="dxa"/>
              <w:right w:w="20" w:type="dxa"/>
            </w:tcMar>
            <w:vAlign w:val="bottom"/>
          </w:tcPr>
          <w:p w14:paraId="5EA2186F" w14:textId="77777777" w:rsidR="003C66EB" w:rsidRDefault="00D96C4E">
            <w:pPr>
              <w:textAlignment w:val="bottom"/>
            </w:pPr>
            <w:r>
              <w:rPr>
                <w:rFonts w:ascii="Arial" w:eastAsia="宋体" w:hAnsi="Arial" w:cs="Arial"/>
                <w:color w:val="000000"/>
                <w:sz w:val="16"/>
                <w:szCs w:val="16"/>
              </w:rPr>
              <w:t>Series G</w:t>
            </w:r>
          </w:p>
        </w:tc>
        <w:tc>
          <w:tcPr>
            <w:tcW w:w="0" w:type="auto"/>
            <w:gridSpan w:val="2"/>
            <w:shd w:val="clear" w:color="auto" w:fill="FFFFFF"/>
            <w:tcMar>
              <w:top w:w="40" w:type="dxa"/>
              <w:left w:w="20" w:type="dxa"/>
              <w:bottom w:w="40" w:type="dxa"/>
              <w:right w:w="0" w:type="dxa"/>
            </w:tcMar>
            <w:vAlign w:val="bottom"/>
          </w:tcPr>
          <w:p w14:paraId="5EA21870" w14:textId="77777777" w:rsidR="003C66EB" w:rsidRDefault="00D96C4E">
            <w:pPr>
              <w:jc w:val="right"/>
              <w:textAlignment w:val="bottom"/>
            </w:pPr>
            <w:r>
              <w:rPr>
                <w:rFonts w:ascii="Arial" w:eastAsia="宋体" w:hAnsi="Arial" w:cs="Arial"/>
                <w:b/>
                <w:bCs/>
                <w:color w:val="000000"/>
                <w:sz w:val="16"/>
                <w:szCs w:val="16"/>
              </w:rPr>
              <w:t>1,338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18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73" w14:textId="77777777" w:rsidR="003C66EB" w:rsidRDefault="00D96C4E">
            <w:pPr>
              <w:jc w:val="right"/>
              <w:textAlignment w:val="bottom"/>
            </w:pPr>
            <w:r>
              <w:rPr>
                <w:rFonts w:ascii="Arial" w:eastAsia="宋体" w:hAnsi="Arial" w:cs="Arial"/>
                <w:b/>
                <w:bCs/>
                <w:color w:val="000000"/>
                <w:sz w:val="16"/>
                <w:szCs w:val="16"/>
              </w:rPr>
              <w:t>0.33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18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76" w14:textId="77777777" w:rsidR="003C66EB" w:rsidRDefault="00D96C4E">
            <w:pPr>
              <w:jc w:val="right"/>
              <w:textAlignment w:val="bottom"/>
            </w:pPr>
            <w:r>
              <w:rPr>
                <w:rFonts w:ascii="Arial" w:eastAsia="宋体" w:hAnsi="Arial" w:cs="Arial"/>
                <w:b/>
                <w:bCs/>
                <w:color w:val="000000"/>
                <w:sz w:val="16"/>
                <w:szCs w:val="16"/>
              </w:rPr>
              <w:t>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18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7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79" w14:textId="77777777" w:rsidR="003C66EB" w:rsidRDefault="00D96C4E">
            <w:pPr>
              <w:jc w:val="right"/>
              <w:textAlignment w:val="bottom"/>
            </w:pPr>
            <w:r>
              <w:rPr>
                <w:rFonts w:ascii="Arial" w:eastAsia="宋体" w:hAnsi="Arial" w:cs="Arial"/>
                <w:color w:val="000000"/>
                <w:sz w:val="16"/>
                <w:szCs w:val="16"/>
              </w:rPr>
              <w:t>1,338 </w:t>
            </w:r>
          </w:p>
        </w:tc>
        <w:tc>
          <w:tcPr>
            <w:tcW w:w="0" w:type="auto"/>
            <w:shd w:val="clear" w:color="auto" w:fill="FFFFFF"/>
            <w:tcMar>
              <w:top w:w="40" w:type="dxa"/>
              <w:left w:w="0" w:type="dxa"/>
              <w:bottom w:w="40" w:type="dxa"/>
              <w:right w:w="20" w:type="dxa"/>
            </w:tcMar>
            <w:vAlign w:val="bottom"/>
          </w:tcPr>
          <w:p w14:paraId="5EA2187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7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7C" w14:textId="77777777" w:rsidR="003C66EB" w:rsidRDefault="00D96C4E">
            <w:pPr>
              <w:jc w:val="right"/>
              <w:textAlignment w:val="bottom"/>
            </w:pPr>
            <w:r>
              <w:rPr>
                <w:rFonts w:ascii="Arial" w:eastAsia="宋体" w:hAnsi="Arial" w:cs="Arial"/>
                <w:color w:val="000000"/>
                <w:sz w:val="16"/>
                <w:szCs w:val="16"/>
              </w:rPr>
              <w:t>0.33 </w:t>
            </w:r>
          </w:p>
        </w:tc>
        <w:tc>
          <w:tcPr>
            <w:tcW w:w="0" w:type="auto"/>
            <w:shd w:val="clear" w:color="auto" w:fill="FFFFFF"/>
            <w:tcMar>
              <w:top w:w="40" w:type="dxa"/>
              <w:left w:w="0" w:type="dxa"/>
              <w:bottom w:w="40" w:type="dxa"/>
              <w:right w:w="20" w:type="dxa"/>
            </w:tcMar>
            <w:vAlign w:val="bottom"/>
          </w:tcPr>
          <w:p w14:paraId="5EA2187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7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87F" w14:textId="77777777" w:rsidR="003C66EB" w:rsidRDefault="00D96C4E">
            <w:pPr>
              <w:jc w:val="right"/>
              <w:textAlignment w:val="bottom"/>
            </w:pPr>
            <w:r>
              <w:rPr>
                <w:rFonts w:ascii="Arial" w:eastAsia="宋体" w:hAnsi="Arial" w:cs="Arial"/>
                <w:color w:val="000000"/>
                <w:sz w:val="16"/>
                <w:szCs w:val="16"/>
              </w:rPr>
              <w:t>7 </w:t>
            </w:r>
          </w:p>
        </w:tc>
        <w:tc>
          <w:tcPr>
            <w:tcW w:w="0" w:type="auto"/>
            <w:shd w:val="clear" w:color="auto" w:fill="FFFFFF"/>
            <w:tcMar>
              <w:top w:w="40" w:type="dxa"/>
              <w:left w:w="0" w:type="dxa"/>
              <w:bottom w:w="40" w:type="dxa"/>
              <w:right w:w="20" w:type="dxa"/>
            </w:tcMar>
            <w:vAlign w:val="bottom"/>
          </w:tcPr>
          <w:p w14:paraId="5EA21880" w14:textId="77777777" w:rsidR="003C66EB" w:rsidRDefault="003C66EB">
            <w:pPr>
              <w:jc w:val="right"/>
              <w:rPr>
                <w:rFonts w:ascii="宋体"/>
              </w:rPr>
            </w:pPr>
          </w:p>
        </w:tc>
      </w:tr>
      <w:tr w:rsidR="003C66EB" w14:paraId="5EA21894" w14:textId="77777777">
        <w:tc>
          <w:tcPr>
            <w:tcW w:w="0" w:type="auto"/>
            <w:gridSpan w:val="3"/>
            <w:shd w:val="clear" w:color="auto" w:fill="CCEEFF"/>
            <w:tcMar>
              <w:top w:w="40" w:type="dxa"/>
              <w:left w:w="20" w:type="dxa"/>
              <w:bottom w:w="40" w:type="dxa"/>
              <w:right w:w="20" w:type="dxa"/>
            </w:tcMar>
            <w:vAlign w:val="bottom"/>
          </w:tcPr>
          <w:p w14:paraId="5EA21882" w14:textId="77777777" w:rsidR="003C66EB" w:rsidRDefault="00D96C4E">
            <w:pPr>
              <w:textAlignment w:val="bottom"/>
            </w:pPr>
            <w:r>
              <w:rPr>
                <w:rFonts w:ascii="Arial" w:eastAsia="宋体" w:hAnsi="Arial" w:cs="Arial"/>
                <w:color w:val="000000"/>
                <w:sz w:val="16"/>
                <w:szCs w:val="16"/>
              </w:rPr>
              <w:t>Series H</w:t>
            </w:r>
          </w:p>
        </w:tc>
        <w:tc>
          <w:tcPr>
            <w:tcW w:w="0" w:type="auto"/>
            <w:gridSpan w:val="2"/>
            <w:shd w:val="clear" w:color="auto" w:fill="CCEEFF"/>
            <w:tcMar>
              <w:top w:w="40" w:type="dxa"/>
              <w:left w:w="20" w:type="dxa"/>
              <w:bottom w:w="40" w:type="dxa"/>
              <w:right w:w="0" w:type="dxa"/>
            </w:tcMar>
            <w:vAlign w:val="bottom"/>
          </w:tcPr>
          <w:p w14:paraId="5EA21883"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86"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89"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8C" w14:textId="77777777" w:rsidR="003C66EB" w:rsidRDefault="00D96C4E">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8F" w14:textId="77777777" w:rsidR="003C66EB" w:rsidRDefault="00D96C4E">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89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892" w14:textId="77777777" w:rsidR="003C66EB" w:rsidRDefault="00D96C4E">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1893" w14:textId="77777777" w:rsidR="003C66EB" w:rsidRDefault="003C66EB">
            <w:pPr>
              <w:jc w:val="right"/>
              <w:rPr>
                <w:rFonts w:ascii="宋体"/>
              </w:rPr>
            </w:pPr>
          </w:p>
        </w:tc>
      </w:tr>
      <w:tr w:rsidR="003C66EB" w14:paraId="5EA218A5" w14:textId="77777777">
        <w:tc>
          <w:tcPr>
            <w:tcW w:w="0" w:type="auto"/>
            <w:gridSpan w:val="3"/>
            <w:shd w:val="clear" w:color="auto" w:fill="FFFFFF"/>
            <w:tcMar>
              <w:top w:w="40" w:type="dxa"/>
              <w:left w:w="20" w:type="dxa"/>
              <w:bottom w:w="40" w:type="dxa"/>
              <w:right w:w="20" w:type="dxa"/>
            </w:tcMar>
            <w:vAlign w:val="bottom"/>
          </w:tcPr>
          <w:p w14:paraId="5EA21895" w14:textId="77777777" w:rsidR="003C66EB" w:rsidRDefault="00D96C4E">
            <w:pPr>
              <w:textAlignment w:val="bottom"/>
            </w:pPr>
            <w:r>
              <w:rPr>
                <w:rFonts w:ascii="Arial" w:eastAsia="宋体" w:hAnsi="Arial" w:cs="Arial"/>
                <w:color w:val="000000"/>
                <w:sz w:val="16"/>
                <w:szCs w:val="16"/>
              </w:rPr>
              <w:t>Total</w:t>
            </w:r>
          </w:p>
        </w:tc>
        <w:tc>
          <w:tcPr>
            <w:tcW w:w="0" w:type="auto"/>
            <w:gridSpan w:val="3"/>
            <w:shd w:val="clear" w:color="auto" w:fill="FFFFFF"/>
            <w:tcMar>
              <w:top w:w="0" w:type="dxa"/>
              <w:left w:w="20" w:type="dxa"/>
              <w:bottom w:w="0" w:type="dxa"/>
              <w:right w:w="20" w:type="dxa"/>
            </w:tcMar>
          </w:tcPr>
          <w:p w14:paraId="5EA2189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9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9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9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89A"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89B" w14:textId="77777777" w:rsidR="003C66EB" w:rsidRDefault="00D96C4E">
            <w:pPr>
              <w:jc w:val="right"/>
              <w:textAlignment w:val="bottom"/>
            </w:pPr>
            <w:r>
              <w:rPr>
                <w:rFonts w:ascii="Arial" w:eastAsia="宋体" w:hAnsi="Arial" w:cs="Arial"/>
                <w:b/>
                <w:bCs/>
                <w:color w:val="000000"/>
                <w:sz w:val="16"/>
                <w:szCs w:val="16"/>
              </w:rPr>
              <w:t>25</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8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89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9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9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A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8A1"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18A2"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18A3" w14:textId="77777777" w:rsidR="003C66EB" w:rsidRDefault="00D96C4E">
            <w:pPr>
              <w:jc w:val="right"/>
              <w:textAlignment w:val="bottom"/>
            </w:pPr>
            <w:r>
              <w:rPr>
                <w:rFonts w:ascii="Arial" w:eastAsia="宋体" w:hAnsi="Arial" w:cs="Arial"/>
                <w:color w:val="000000"/>
                <w:sz w:val="16"/>
                <w:szCs w:val="16"/>
              </w:rPr>
              <w:t>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18A4" w14:textId="77777777" w:rsidR="003C66EB" w:rsidRDefault="003C66EB">
            <w:pPr>
              <w:jc w:val="right"/>
              <w:rPr>
                <w:rFonts w:ascii="宋体"/>
              </w:rPr>
            </w:pPr>
          </w:p>
        </w:tc>
      </w:tr>
    </w:tbl>
    <w:p w14:paraId="5EA218A6" w14:textId="77777777" w:rsidR="003C66EB" w:rsidRDefault="00D96C4E">
      <w:pPr>
        <w:spacing w:before="60"/>
      </w:pPr>
      <w:r>
        <w:rPr>
          <w:rFonts w:ascii="Arial" w:eastAsia="宋体" w:hAnsi="Arial" w:cs="Arial"/>
          <w:i/>
          <w:iCs/>
          <w:color w:val="000000"/>
          <w:sz w:val="20"/>
          <w:szCs w:val="20"/>
        </w:rPr>
        <w:t>Common Stock</w:t>
      </w:r>
    </w:p>
    <w:p w14:paraId="5EA218A7" w14:textId="77777777" w:rsidR="003C66EB" w:rsidRDefault="00D96C4E">
      <w:pPr>
        <w:spacing w:before="60"/>
        <w:ind w:firstLine="450"/>
        <w:jc w:val="both"/>
      </w:pPr>
      <w:r>
        <w:rPr>
          <w:rFonts w:ascii="Arial" w:eastAsia="宋体" w:hAnsi="Arial" w:cs="Arial"/>
          <w:color w:val="000000"/>
          <w:sz w:val="20"/>
          <w:szCs w:val="20"/>
        </w:rPr>
        <w:t>In June 2019, the Federal Reserve issued a non-objection to our capital plan submitted as part of the 2019 CCAR submission; and in connection with that capital plan, our Board approved a common stock p</w:t>
      </w:r>
      <w:r>
        <w:rPr>
          <w:rFonts w:ascii="Arial" w:eastAsia="宋体" w:hAnsi="Arial" w:cs="Arial"/>
          <w:color w:val="000000"/>
          <w:sz w:val="20"/>
          <w:szCs w:val="20"/>
        </w:rPr>
        <w:t>urchase program authorizing the purchase of up to $2.0 billion of our common stock from July 1, 2019 through June 30, 2020 (the 2019 Program). We repurchased $500 million of our common stock in the first quarter of 2020 under the 2019 Program.</w:t>
      </w:r>
    </w:p>
    <w:p w14:paraId="5EA218A8" w14:textId="77777777" w:rsidR="003C66EB" w:rsidRDefault="00D96C4E">
      <w:pPr>
        <w:spacing w:before="60"/>
        <w:ind w:firstLine="450"/>
        <w:jc w:val="both"/>
      </w:pPr>
      <w:r>
        <w:rPr>
          <w:rFonts w:ascii="Arial" w:eastAsia="宋体" w:hAnsi="Arial" w:cs="Arial"/>
          <w:color w:val="000000"/>
          <w:sz w:val="20"/>
          <w:szCs w:val="20"/>
        </w:rPr>
        <w:t>On March 16, 2020, we, along with the other U.S. G-SIBs, suspended common share repurchases and maintained this suspension through the fourth quarter of 2020 in response to the COVID-19 pandemic. This suspension was consistent with limitations imposed by t</w:t>
      </w:r>
      <w:r>
        <w:rPr>
          <w:rFonts w:ascii="Arial" w:eastAsia="宋体" w:hAnsi="Arial" w:cs="Arial"/>
          <w:color w:val="000000"/>
          <w:sz w:val="20"/>
          <w:szCs w:val="20"/>
        </w:rPr>
        <w:t>he Federal Reserve beginning in the second quarter of 2020. As a result, we had no repurchases of our common stock in the second, third or fourth quarters of 2020. In December 2020, the Federal Reserve issued results of 2020 resubmission stress tests and a</w:t>
      </w:r>
      <w:r>
        <w:rPr>
          <w:rFonts w:ascii="Arial" w:eastAsia="宋体" w:hAnsi="Arial" w:cs="Arial"/>
          <w:color w:val="000000"/>
          <w:sz w:val="20"/>
          <w:szCs w:val="20"/>
        </w:rPr>
        <w:t>uthorized us to continue to pay common stock dividends at current levels and to resume repurchasing common shares in the first quarter of 2021. In January 2021, our Board authorized a common share repurchase program for the purchase of up to $475 million o</w:t>
      </w:r>
      <w:r>
        <w:rPr>
          <w:rFonts w:ascii="Arial" w:eastAsia="宋体" w:hAnsi="Arial" w:cs="Arial"/>
          <w:color w:val="000000"/>
          <w:sz w:val="20"/>
          <w:szCs w:val="20"/>
        </w:rPr>
        <w:t>f our common stock through March 31, 2021. We repurchased $475 million of our common stock in the first quarter of 2021. In April 2021, our Board authorized a common share repurchase program for the purchase of up to $425 million of our common stock throug</w:t>
      </w:r>
      <w:r>
        <w:rPr>
          <w:rFonts w:ascii="Arial" w:eastAsia="宋体" w:hAnsi="Arial" w:cs="Arial"/>
          <w:color w:val="000000"/>
          <w:sz w:val="20"/>
          <w:szCs w:val="20"/>
        </w:rPr>
        <w:t xml:space="preserve">h June 30, 2021, in compliance with the limit set by the Federal Reserve. </w:t>
      </w:r>
    </w:p>
    <w:p w14:paraId="5EA218A9" w14:textId="77777777" w:rsidR="003C66EB" w:rsidRDefault="00D96C4E">
      <w:pPr>
        <w:spacing w:before="60"/>
        <w:ind w:firstLine="450"/>
        <w:jc w:val="both"/>
      </w:pPr>
      <w:r>
        <w:rPr>
          <w:rFonts w:ascii="Arial" w:eastAsia="宋体" w:hAnsi="Arial" w:cs="Arial"/>
          <w:color w:val="000000"/>
          <w:sz w:val="20"/>
          <w:szCs w:val="20"/>
        </w:rPr>
        <w:t>The tables below present the activity under our common stock purchase program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6"/>
        <w:gridCol w:w="36"/>
        <w:gridCol w:w="103"/>
        <w:gridCol w:w="103"/>
        <w:gridCol w:w="103"/>
        <w:gridCol w:w="103"/>
        <w:gridCol w:w="37"/>
        <w:gridCol w:w="2269"/>
        <w:gridCol w:w="37"/>
        <w:gridCol w:w="36"/>
        <w:gridCol w:w="36"/>
        <w:gridCol w:w="36"/>
        <w:gridCol w:w="110"/>
        <w:gridCol w:w="2235"/>
        <w:gridCol w:w="37"/>
        <w:gridCol w:w="36"/>
        <w:gridCol w:w="36"/>
        <w:gridCol w:w="36"/>
        <w:gridCol w:w="110"/>
        <w:gridCol w:w="2235"/>
        <w:gridCol w:w="37"/>
        <w:gridCol w:w="36"/>
        <w:gridCol w:w="36"/>
        <w:gridCol w:w="36"/>
        <w:gridCol w:w="36"/>
        <w:gridCol w:w="36"/>
        <w:gridCol w:w="36"/>
        <w:gridCol w:w="36"/>
        <w:gridCol w:w="36"/>
        <w:gridCol w:w="36"/>
        <w:gridCol w:w="36"/>
        <w:gridCol w:w="36"/>
        <w:gridCol w:w="36"/>
        <w:gridCol w:w="36"/>
        <w:gridCol w:w="36"/>
      </w:tblGrid>
      <w:tr w:rsidR="003C66EB" w14:paraId="5EA218C5" w14:textId="77777777">
        <w:trPr>
          <w:hidden/>
        </w:trPr>
        <w:tc>
          <w:tcPr>
            <w:tcW w:w="0" w:type="auto"/>
            <w:shd w:val="clear" w:color="auto" w:fill="auto"/>
          </w:tcPr>
          <w:p w14:paraId="5EA218AA" w14:textId="77777777" w:rsidR="003C66EB" w:rsidRDefault="003C66EB">
            <w:pPr>
              <w:rPr>
                <w:rFonts w:ascii="宋体"/>
                <w:vanish/>
              </w:rPr>
            </w:pPr>
          </w:p>
        </w:tc>
        <w:tc>
          <w:tcPr>
            <w:tcW w:w="0" w:type="auto"/>
            <w:shd w:val="clear" w:color="auto" w:fill="auto"/>
          </w:tcPr>
          <w:p w14:paraId="5EA218AB" w14:textId="77777777" w:rsidR="003C66EB" w:rsidRDefault="003C66EB">
            <w:pPr>
              <w:rPr>
                <w:rFonts w:ascii="宋体"/>
                <w:vanish/>
              </w:rPr>
            </w:pPr>
          </w:p>
        </w:tc>
        <w:tc>
          <w:tcPr>
            <w:tcW w:w="0" w:type="auto"/>
            <w:shd w:val="clear" w:color="auto" w:fill="auto"/>
          </w:tcPr>
          <w:p w14:paraId="5EA218AC" w14:textId="77777777" w:rsidR="003C66EB" w:rsidRDefault="003C66EB">
            <w:pPr>
              <w:rPr>
                <w:rFonts w:ascii="宋体"/>
                <w:vanish/>
              </w:rPr>
            </w:pPr>
          </w:p>
        </w:tc>
        <w:tc>
          <w:tcPr>
            <w:tcW w:w="0" w:type="auto"/>
            <w:shd w:val="clear" w:color="auto" w:fill="auto"/>
          </w:tcPr>
          <w:p w14:paraId="5EA218AD" w14:textId="77777777" w:rsidR="003C66EB" w:rsidRDefault="003C66EB">
            <w:pPr>
              <w:rPr>
                <w:rFonts w:ascii="宋体"/>
                <w:vanish/>
              </w:rPr>
            </w:pPr>
          </w:p>
        </w:tc>
        <w:tc>
          <w:tcPr>
            <w:tcW w:w="0" w:type="auto"/>
            <w:shd w:val="clear" w:color="auto" w:fill="auto"/>
          </w:tcPr>
          <w:p w14:paraId="5EA218AE" w14:textId="77777777" w:rsidR="003C66EB" w:rsidRDefault="003C66EB">
            <w:pPr>
              <w:rPr>
                <w:rFonts w:ascii="宋体"/>
                <w:vanish/>
              </w:rPr>
            </w:pPr>
          </w:p>
        </w:tc>
        <w:tc>
          <w:tcPr>
            <w:tcW w:w="0" w:type="auto"/>
            <w:shd w:val="clear" w:color="auto" w:fill="auto"/>
          </w:tcPr>
          <w:p w14:paraId="5EA218AF" w14:textId="77777777" w:rsidR="003C66EB" w:rsidRDefault="003C66EB">
            <w:pPr>
              <w:rPr>
                <w:rFonts w:ascii="宋体"/>
                <w:vanish/>
              </w:rPr>
            </w:pPr>
          </w:p>
        </w:tc>
        <w:tc>
          <w:tcPr>
            <w:tcW w:w="50" w:type="pct"/>
            <w:shd w:val="clear" w:color="auto" w:fill="auto"/>
          </w:tcPr>
          <w:p w14:paraId="5EA218B0" w14:textId="77777777" w:rsidR="003C66EB" w:rsidRDefault="003C66EB">
            <w:pPr>
              <w:rPr>
                <w:rFonts w:ascii="宋体"/>
              </w:rPr>
            </w:pPr>
          </w:p>
        </w:tc>
        <w:tc>
          <w:tcPr>
            <w:tcW w:w="1587" w:type="pct"/>
            <w:shd w:val="clear" w:color="auto" w:fill="auto"/>
          </w:tcPr>
          <w:p w14:paraId="5EA218B1" w14:textId="77777777" w:rsidR="003C66EB" w:rsidRDefault="003C66EB">
            <w:pPr>
              <w:rPr>
                <w:rFonts w:ascii="宋体"/>
              </w:rPr>
            </w:pPr>
          </w:p>
        </w:tc>
        <w:tc>
          <w:tcPr>
            <w:tcW w:w="5" w:type="pct"/>
            <w:shd w:val="clear" w:color="auto" w:fill="auto"/>
          </w:tcPr>
          <w:p w14:paraId="5EA218B2" w14:textId="77777777" w:rsidR="003C66EB" w:rsidRDefault="003C66EB">
            <w:pPr>
              <w:rPr>
                <w:rFonts w:ascii="宋体"/>
              </w:rPr>
            </w:pPr>
          </w:p>
        </w:tc>
        <w:tc>
          <w:tcPr>
            <w:tcW w:w="5" w:type="pct"/>
            <w:shd w:val="clear" w:color="auto" w:fill="auto"/>
          </w:tcPr>
          <w:p w14:paraId="5EA218B3" w14:textId="77777777" w:rsidR="003C66EB" w:rsidRDefault="003C66EB">
            <w:pPr>
              <w:rPr>
                <w:rFonts w:ascii="宋体"/>
              </w:rPr>
            </w:pPr>
          </w:p>
        </w:tc>
        <w:tc>
          <w:tcPr>
            <w:tcW w:w="26" w:type="pct"/>
            <w:shd w:val="clear" w:color="auto" w:fill="auto"/>
          </w:tcPr>
          <w:p w14:paraId="5EA218B4" w14:textId="77777777" w:rsidR="003C66EB" w:rsidRDefault="003C66EB">
            <w:pPr>
              <w:rPr>
                <w:rFonts w:ascii="宋体"/>
              </w:rPr>
            </w:pPr>
          </w:p>
        </w:tc>
        <w:tc>
          <w:tcPr>
            <w:tcW w:w="5" w:type="pct"/>
            <w:shd w:val="clear" w:color="auto" w:fill="auto"/>
          </w:tcPr>
          <w:p w14:paraId="5EA218B5" w14:textId="77777777" w:rsidR="003C66EB" w:rsidRDefault="003C66EB">
            <w:pPr>
              <w:rPr>
                <w:rFonts w:ascii="宋体"/>
              </w:rPr>
            </w:pPr>
          </w:p>
        </w:tc>
        <w:tc>
          <w:tcPr>
            <w:tcW w:w="50" w:type="pct"/>
            <w:shd w:val="clear" w:color="auto" w:fill="auto"/>
          </w:tcPr>
          <w:p w14:paraId="5EA218B6" w14:textId="77777777" w:rsidR="003C66EB" w:rsidRDefault="003C66EB">
            <w:pPr>
              <w:rPr>
                <w:rFonts w:ascii="宋体"/>
              </w:rPr>
            </w:pPr>
          </w:p>
        </w:tc>
        <w:tc>
          <w:tcPr>
            <w:tcW w:w="1587" w:type="pct"/>
            <w:shd w:val="clear" w:color="auto" w:fill="auto"/>
          </w:tcPr>
          <w:p w14:paraId="5EA218B7" w14:textId="77777777" w:rsidR="003C66EB" w:rsidRDefault="003C66EB">
            <w:pPr>
              <w:rPr>
                <w:rFonts w:ascii="宋体"/>
              </w:rPr>
            </w:pPr>
          </w:p>
        </w:tc>
        <w:tc>
          <w:tcPr>
            <w:tcW w:w="5" w:type="pct"/>
            <w:shd w:val="clear" w:color="auto" w:fill="auto"/>
          </w:tcPr>
          <w:p w14:paraId="5EA218B8" w14:textId="77777777" w:rsidR="003C66EB" w:rsidRDefault="003C66EB">
            <w:pPr>
              <w:rPr>
                <w:rFonts w:ascii="宋体"/>
              </w:rPr>
            </w:pPr>
          </w:p>
        </w:tc>
        <w:tc>
          <w:tcPr>
            <w:tcW w:w="5" w:type="pct"/>
            <w:shd w:val="clear" w:color="auto" w:fill="auto"/>
          </w:tcPr>
          <w:p w14:paraId="5EA218B9" w14:textId="77777777" w:rsidR="003C66EB" w:rsidRDefault="003C66EB">
            <w:pPr>
              <w:rPr>
                <w:rFonts w:ascii="宋体"/>
              </w:rPr>
            </w:pPr>
          </w:p>
        </w:tc>
        <w:tc>
          <w:tcPr>
            <w:tcW w:w="26" w:type="pct"/>
            <w:shd w:val="clear" w:color="auto" w:fill="auto"/>
          </w:tcPr>
          <w:p w14:paraId="5EA218BA" w14:textId="77777777" w:rsidR="003C66EB" w:rsidRDefault="003C66EB">
            <w:pPr>
              <w:rPr>
                <w:rFonts w:ascii="宋体"/>
              </w:rPr>
            </w:pPr>
          </w:p>
        </w:tc>
        <w:tc>
          <w:tcPr>
            <w:tcW w:w="5" w:type="pct"/>
            <w:shd w:val="clear" w:color="auto" w:fill="auto"/>
          </w:tcPr>
          <w:p w14:paraId="5EA218BB" w14:textId="77777777" w:rsidR="003C66EB" w:rsidRDefault="003C66EB">
            <w:pPr>
              <w:rPr>
                <w:rFonts w:ascii="宋体"/>
              </w:rPr>
            </w:pPr>
          </w:p>
        </w:tc>
        <w:tc>
          <w:tcPr>
            <w:tcW w:w="50" w:type="pct"/>
            <w:shd w:val="clear" w:color="auto" w:fill="auto"/>
          </w:tcPr>
          <w:p w14:paraId="5EA218BC" w14:textId="77777777" w:rsidR="003C66EB" w:rsidRDefault="003C66EB">
            <w:pPr>
              <w:rPr>
                <w:rFonts w:ascii="宋体"/>
              </w:rPr>
            </w:pPr>
          </w:p>
        </w:tc>
        <w:tc>
          <w:tcPr>
            <w:tcW w:w="1587" w:type="pct"/>
            <w:shd w:val="clear" w:color="auto" w:fill="auto"/>
          </w:tcPr>
          <w:p w14:paraId="5EA218BD" w14:textId="77777777" w:rsidR="003C66EB" w:rsidRDefault="003C66EB">
            <w:pPr>
              <w:rPr>
                <w:rFonts w:ascii="宋体"/>
              </w:rPr>
            </w:pPr>
          </w:p>
        </w:tc>
        <w:tc>
          <w:tcPr>
            <w:tcW w:w="5" w:type="pct"/>
            <w:shd w:val="clear" w:color="auto" w:fill="auto"/>
          </w:tcPr>
          <w:p w14:paraId="5EA218BE" w14:textId="77777777" w:rsidR="003C66EB" w:rsidRDefault="003C66EB">
            <w:pPr>
              <w:rPr>
                <w:rFonts w:ascii="宋体"/>
              </w:rPr>
            </w:pPr>
          </w:p>
        </w:tc>
        <w:tc>
          <w:tcPr>
            <w:tcW w:w="0" w:type="auto"/>
            <w:shd w:val="clear" w:color="auto" w:fill="auto"/>
          </w:tcPr>
          <w:p w14:paraId="5EA218BF" w14:textId="77777777" w:rsidR="003C66EB" w:rsidRDefault="003C66EB">
            <w:pPr>
              <w:rPr>
                <w:rFonts w:ascii="宋体"/>
                <w:vanish/>
              </w:rPr>
            </w:pPr>
          </w:p>
        </w:tc>
        <w:tc>
          <w:tcPr>
            <w:tcW w:w="0" w:type="auto"/>
            <w:shd w:val="clear" w:color="auto" w:fill="auto"/>
          </w:tcPr>
          <w:p w14:paraId="5EA218C0" w14:textId="77777777" w:rsidR="003C66EB" w:rsidRDefault="003C66EB">
            <w:pPr>
              <w:rPr>
                <w:rFonts w:ascii="宋体"/>
                <w:vanish/>
              </w:rPr>
            </w:pPr>
          </w:p>
        </w:tc>
        <w:tc>
          <w:tcPr>
            <w:tcW w:w="0" w:type="auto"/>
            <w:gridSpan w:val="3"/>
            <w:shd w:val="clear" w:color="auto" w:fill="auto"/>
          </w:tcPr>
          <w:p w14:paraId="5EA218C1" w14:textId="77777777" w:rsidR="003C66EB" w:rsidRDefault="003C66EB">
            <w:pPr>
              <w:rPr>
                <w:rFonts w:ascii="宋体"/>
                <w:vanish/>
              </w:rPr>
            </w:pPr>
          </w:p>
        </w:tc>
        <w:tc>
          <w:tcPr>
            <w:tcW w:w="0" w:type="auto"/>
            <w:gridSpan w:val="3"/>
            <w:shd w:val="clear" w:color="auto" w:fill="auto"/>
          </w:tcPr>
          <w:p w14:paraId="5EA218C2" w14:textId="77777777" w:rsidR="003C66EB" w:rsidRDefault="003C66EB">
            <w:pPr>
              <w:rPr>
                <w:rFonts w:ascii="宋体"/>
                <w:vanish/>
              </w:rPr>
            </w:pPr>
          </w:p>
        </w:tc>
        <w:tc>
          <w:tcPr>
            <w:tcW w:w="0" w:type="auto"/>
            <w:gridSpan w:val="3"/>
            <w:shd w:val="clear" w:color="auto" w:fill="auto"/>
          </w:tcPr>
          <w:p w14:paraId="5EA218C3" w14:textId="77777777" w:rsidR="003C66EB" w:rsidRDefault="003C66EB">
            <w:pPr>
              <w:rPr>
                <w:rFonts w:ascii="宋体"/>
                <w:vanish/>
              </w:rPr>
            </w:pPr>
          </w:p>
        </w:tc>
        <w:tc>
          <w:tcPr>
            <w:tcW w:w="0" w:type="auto"/>
            <w:gridSpan w:val="3"/>
            <w:shd w:val="clear" w:color="auto" w:fill="auto"/>
          </w:tcPr>
          <w:p w14:paraId="5EA218C4" w14:textId="77777777" w:rsidR="003C66EB" w:rsidRDefault="003C66EB">
            <w:pPr>
              <w:rPr>
                <w:rFonts w:ascii="宋体"/>
                <w:vanish/>
              </w:rPr>
            </w:pPr>
          </w:p>
        </w:tc>
      </w:tr>
      <w:tr w:rsidR="003C66EB" w14:paraId="5EA218D3" w14:textId="77777777">
        <w:trPr>
          <w:hidden/>
        </w:trPr>
        <w:tc>
          <w:tcPr>
            <w:tcW w:w="0" w:type="auto"/>
            <w:shd w:val="clear" w:color="auto" w:fill="auto"/>
          </w:tcPr>
          <w:p w14:paraId="5EA218C6" w14:textId="77777777" w:rsidR="003C66EB" w:rsidRDefault="003C66EB">
            <w:pPr>
              <w:rPr>
                <w:rFonts w:ascii="宋体"/>
                <w:vanish/>
              </w:rPr>
            </w:pPr>
          </w:p>
        </w:tc>
        <w:tc>
          <w:tcPr>
            <w:tcW w:w="0" w:type="auto"/>
            <w:shd w:val="clear" w:color="auto" w:fill="auto"/>
          </w:tcPr>
          <w:p w14:paraId="5EA218C7" w14:textId="77777777" w:rsidR="003C66EB" w:rsidRDefault="003C66EB">
            <w:pPr>
              <w:rPr>
                <w:rFonts w:ascii="宋体"/>
                <w:vanish/>
              </w:rPr>
            </w:pPr>
          </w:p>
        </w:tc>
        <w:tc>
          <w:tcPr>
            <w:tcW w:w="0" w:type="auto"/>
            <w:shd w:val="clear" w:color="auto" w:fill="auto"/>
          </w:tcPr>
          <w:p w14:paraId="5EA218C8" w14:textId="77777777" w:rsidR="003C66EB" w:rsidRDefault="003C66EB">
            <w:pPr>
              <w:rPr>
                <w:rFonts w:ascii="宋体"/>
                <w:vanish/>
              </w:rPr>
            </w:pPr>
          </w:p>
        </w:tc>
        <w:tc>
          <w:tcPr>
            <w:tcW w:w="0" w:type="auto"/>
            <w:shd w:val="clear" w:color="auto" w:fill="auto"/>
          </w:tcPr>
          <w:p w14:paraId="5EA218C9" w14:textId="77777777" w:rsidR="003C66EB" w:rsidRDefault="003C66EB">
            <w:pPr>
              <w:rPr>
                <w:rFonts w:ascii="宋体"/>
                <w:vanish/>
              </w:rPr>
            </w:pPr>
          </w:p>
        </w:tc>
        <w:tc>
          <w:tcPr>
            <w:tcW w:w="0" w:type="auto"/>
            <w:shd w:val="clear" w:color="auto" w:fill="auto"/>
          </w:tcPr>
          <w:p w14:paraId="5EA218CA" w14:textId="77777777" w:rsidR="003C66EB" w:rsidRDefault="003C66EB">
            <w:pPr>
              <w:rPr>
                <w:rFonts w:ascii="宋体"/>
                <w:vanish/>
              </w:rPr>
            </w:pPr>
          </w:p>
        </w:tc>
        <w:tc>
          <w:tcPr>
            <w:tcW w:w="0" w:type="auto"/>
            <w:shd w:val="clear" w:color="auto" w:fill="auto"/>
          </w:tcPr>
          <w:p w14:paraId="5EA218CB" w14:textId="77777777" w:rsidR="003C66EB" w:rsidRDefault="003C66EB">
            <w:pPr>
              <w:rPr>
                <w:rFonts w:ascii="宋体"/>
                <w:vanish/>
              </w:rPr>
            </w:pPr>
          </w:p>
        </w:tc>
        <w:tc>
          <w:tcPr>
            <w:tcW w:w="0" w:type="auto"/>
            <w:gridSpan w:val="15"/>
            <w:shd w:val="clear" w:color="auto" w:fill="auto"/>
            <w:tcMar>
              <w:top w:w="40" w:type="dxa"/>
              <w:left w:w="20" w:type="dxa"/>
              <w:bottom w:w="40" w:type="dxa"/>
              <w:right w:w="20" w:type="dxa"/>
            </w:tcMar>
            <w:vAlign w:val="bottom"/>
          </w:tcPr>
          <w:p w14:paraId="5EA218CC" w14:textId="77777777" w:rsidR="003C66EB" w:rsidRDefault="00D96C4E">
            <w:pPr>
              <w:textAlignment w:val="bottom"/>
            </w:pPr>
            <w:r>
              <w:rPr>
                <w:rFonts w:ascii="Arial" w:eastAsia="宋体" w:hAnsi="Arial" w:cs="Arial"/>
                <w:b/>
                <w:bCs/>
                <w:color w:val="000000"/>
                <w:sz w:val="16"/>
                <w:szCs w:val="16"/>
              </w:rPr>
              <w:t>TABLE 42: SHARES REPURCHASED</w:t>
            </w:r>
          </w:p>
        </w:tc>
        <w:tc>
          <w:tcPr>
            <w:tcW w:w="0" w:type="auto"/>
            <w:shd w:val="clear" w:color="auto" w:fill="auto"/>
          </w:tcPr>
          <w:p w14:paraId="5EA218CD" w14:textId="77777777" w:rsidR="003C66EB" w:rsidRDefault="003C66EB">
            <w:pPr>
              <w:rPr>
                <w:rFonts w:ascii="宋体"/>
                <w:vanish/>
              </w:rPr>
            </w:pPr>
          </w:p>
        </w:tc>
        <w:tc>
          <w:tcPr>
            <w:tcW w:w="0" w:type="auto"/>
            <w:shd w:val="clear" w:color="auto" w:fill="auto"/>
          </w:tcPr>
          <w:p w14:paraId="5EA218CE" w14:textId="77777777" w:rsidR="003C66EB" w:rsidRDefault="003C66EB">
            <w:pPr>
              <w:rPr>
                <w:rFonts w:ascii="宋体"/>
                <w:vanish/>
              </w:rPr>
            </w:pPr>
          </w:p>
        </w:tc>
        <w:tc>
          <w:tcPr>
            <w:tcW w:w="0" w:type="auto"/>
            <w:gridSpan w:val="3"/>
            <w:shd w:val="clear" w:color="auto" w:fill="auto"/>
          </w:tcPr>
          <w:p w14:paraId="5EA218CF" w14:textId="77777777" w:rsidR="003C66EB" w:rsidRDefault="003C66EB">
            <w:pPr>
              <w:rPr>
                <w:rFonts w:ascii="宋体"/>
                <w:vanish/>
              </w:rPr>
            </w:pPr>
          </w:p>
        </w:tc>
        <w:tc>
          <w:tcPr>
            <w:tcW w:w="0" w:type="auto"/>
            <w:gridSpan w:val="3"/>
            <w:shd w:val="clear" w:color="auto" w:fill="auto"/>
          </w:tcPr>
          <w:p w14:paraId="5EA218D0" w14:textId="77777777" w:rsidR="003C66EB" w:rsidRDefault="003C66EB">
            <w:pPr>
              <w:rPr>
                <w:rFonts w:ascii="宋体"/>
                <w:vanish/>
              </w:rPr>
            </w:pPr>
          </w:p>
        </w:tc>
        <w:tc>
          <w:tcPr>
            <w:tcW w:w="0" w:type="auto"/>
            <w:gridSpan w:val="3"/>
            <w:shd w:val="clear" w:color="auto" w:fill="auto"/>
          </w:tcPr>
          <w:p w14:paraId="5EA218D1" w14:textId="77777777" w:rsidR="003C66EB" w:rsidRDefault="003C66EB">
            <w:pPr>
              <w:rPr>
                <w:rFonts w:ascii="宋体"/>
                <w:vanish/>
              </w:rPr>
            </w:pPr>
          </w:p>
        </w:tc>
        <w:tc>
          <w:tcPr>
            <w:tcW w:w="0" w:type="auto"/>
            <w:gridSpan w:val="3"/>
            <w:shd w:val="clear" w:color="auto" w:fill="auto"/>
          </w:tcPr>
          <w:p w14:paraId="5EA218D2" w14:textId="77777777" w:rsidR="003C66EB" w:rsidRDefault="003C66EB">
            <w:pPr>
              <w:rPr>
                <w:rFonts w:ascii="宋体"/>
                <w:vanish/>
              </w:rPr>
            </w:pPr>
          </w:p>
        </w:tc>
      </w:tr>
      <w:tr w:rsidR="003C66EB" w14:paraId="5EA218E9" w14:textId="77777777">
        <w:trPr>
          <w:hidden/>
        </w:trPr>
        <w:tc>
          <w:tcPr>
            <w:tcW w:w="0" w:type="auto"/>
            <w:shd w:val="clear" w:color="auto" w:fill="auto"/>
          </w:tcPr>
          <w:p w14:paraId="5EA218D4" w14:textId="77777777" w:rsidR="003C66EB" w:rsidRDefault="003C66EB">
            <w:pPr>
              <w:rPr>
                <w:rFonts w:ascii="宋体"/>
                <w:vanish/>
              </w:rPr>
            </w:pPr>
          </w:p>
        </w:tc>
        <w:tc>
          <w:tcPr>
            <w:tcW w:w="0" w:type="auto"/>
            <w:shd w:val="clear" w:color="auto" w:fill="auto"/>
          </w:tcPr>
          <w:p w14:paraId="5EA218D5" w14:textId="77777777" w:rsidR="003C66EB" w:rsidRDefault="003C66EB">
            <w:pPr>
              <w:rPr>
                <w:rFonts w:ascii="宋体"/>
                <w:vanish/>
              </w:rPr>
            </w:pPr>
          </w:p>
        </w:tc>
        <w:tc>
          <w:tcPr>
            <w:tcW w:w="0" w:type="auto"/>
            <w:gridSpan w:val="7"/>
            <w:shd w:val="clear" w:color="auto" w:fill="auto"/>
            <w:tcMar>
              <w:top w:w="40" w:type="dxa"/>
              <w:left w:w="20" w:type="dxa"/>
              <w:bottom w:w="40" w:type="dxa"/>
              <w:right w:w="20" w:type="dxa"/>
            </w:tcMar>
            <w:vAlign w:val="bottom"/>
          </w:tcPr>
          <w:p w14:paraId="5EA218D6" w14:textId="77777777" w:rsidR="003C66EB" w:rsidRDefault="00D96C4E">
            <w:pPr>
              <w:jc w:val="center"/>
              <w:textAlignment w:val="bottom"/>
            </w:pPr>
            <w:r>
              <w:rPr>
                <w:rFonts w:ascii="Arial" w:eastAsia="宋体" w:hAnsi="Arial" w:cs="Arial"/>
                <w:b/>
                <w:bCs/>
                <w:color w:val="000000"/>
                <w:sz w:val="16"/>
                <w:szCs w:val="16"/>
              </w:rPr>
              <w:t>Three Months Ended March 31, 2021</w:t>
            </w:r>
          </w:p>
        </w:tc>
        <w:tc>
          <w:tcPr>
            <w:tcW w:w="0" w:type="auto"/>
            <w:gridSpan w:val="3"/>
            <w:shd w:val="clear" w:color="auto" w:fill="auto"/>
          </w:tcPr>
          <w:p w14:paraId="5EA218D7" w14:textId="77777777" w:rsidR="003C66EB" w:rsidRDefault="003C66EB">
            <w:pPr>
              <w:rPr>
                <w:rFonts w:ascii="宋体"/>
                <w:vanish/>
              </w:rPr>
            </w:pPr>
          </w:p>
        </w:tc>
        <w:tc>
          <w:tcPr>
            <w:tcW w:w="0" w:type="auto"/>
            <w:gridSpan w:val="3"/>
            <w:shd w:val="clear" w:color="auto" w:fill="auto"/>
          </w:tcPr>
          <w:p w14:paraId="5EA218D8" w14:textId="77777777" w:rsidR="003C66EB" w:rsidRDefault="003C66EB">
            <w:pPr>
              <w:rPr>
                <w:rFonts w:ascii="宋体"/>
                <w:vanish/>
              </w:rPr>
            </w:pPr>
          </w:p>
        </w:tc>
        <w:tc>
          <w:tcPr>
            <w:tcW w:w="0" w:type="auto"/>
            <w:gridSpan w:val="3"/>
            <w:shd w:val="clear" w:color="auto" w:fill="auto"/>
          </w:tcPr>
          <w:p w14:paraId="5EA218D9" w14:textId="77777777" w:rsidR="003C66EB" w:rsidRDefault="003C66EB">
            <w:pPr>
              <w:rPr>
                <w:rFonts w:ascii="宋体"/>
                <w:vanish/>
              </w:rPr>
            </w:pPr>
          </w:p>
        </w:tc>
        <w:tc>
          <w:tcPr>
            <w:tcW w:w="0" w:type="auto"/>
            <w:gridSpan w:val="3"/>
            <w:shd w:val="clear" w:color="auto" w:fill="auto"/>
          </w:tcPr>
          <w:p w14:paraId="5EA218DA" w14:textId="77777777" w:rsidR="003C66EB" w:rsidRDefault="003C66EB">
            <w:pPr>
              <w:rPr>
                <w:rFonts w:ascii="宋体"/>
                <w:vanish/>
              </w:rPr>
            </w:pPr>
          </w:p>
        </w:tc>
        <w:tc>
          <w:tcPr>
            <w:tcW w:w="0" w:type="auto"/>
            <w:shd w:val="clear" w:color="auto" w:fill="auto"/>
          </w:tcPr>
          <w:p w14:paraId="5EA218DB" w14:textId="77777777" w:rsidR="003C66EB" w:rsidRDefault="003C66EB">
            <w:pPr>
              <w:rPr>
                <w:rFonts w:ascii="宋体"/>
                <w:vanish/>
              </w:rPr>
            </w:pPr>
          </w:p>
        </w:tc>
        <w:tc>
          <w:tcPr>
            <w:tcW w:w="0" w:type="auto"/>
            <w:shd w:val="clear" w:color="auto" w:fill="auto"/>
          </w:tcPr>
          <w:p w14:paraId="5EA218DC" w14:textId="77777777" w:rsidR="003C66EB" w:rsidRDefault="003C66EB">
            <w:pPr>
              <w:rPr>
                <w:rFonts w:ascii="宋体"/>
                <w:vanish/>
              </w:rPr>
            </w:pPr>
          </w:p>
        </w:tc>
        <w:tc>
          <w:tcPr>
            <w:tcW w:w="0" w:type="auto"/>
            <w:shd w:val="clear" w:color="auto" w:fill="auto"/>
          </w:tcPr>
          <w:p w14:paraId="5EA218DD" w14:textId="77777777" w:rsidR="003C66EB" w:rsidRDefault="003C66EB">
            <w:pPr>
              <w:rPr>
                <w:rFonts w:ascii="宋体"/>
              </w:rPr>
            </w:pPr>
          </w:p>
        </w:tc>
        <w:tc>
          <w:tcPr>
            <w:tcW w:w="0" w:type="auto"/>
            <w:shd w:val="clear" w:color="auto" w:fill="auto"/>
          </w:tcPr>
          <w:p w14:paraId="5EA218DE" w14:textId="77777777" w:rsidR="003C66EB" w:rsidRDefault="003C66EB">
            <w:pPr>
              <w:rPr>
                <w:rFonts w:ascii="宋体"/>
              </w:rPr>
            </w:pPr>
          </w:p>
        </w:tc>
        <w:tc>
          <w:tcPr>
            <w:tcW w:w="0" w:type="auto"/>
            <w:shd w:val="clear" w:color="auto" w:fill="auto"/>
          </w:tcPr>
          <w:p w14:paraId="5EA218DF" w14:textId="77777777" w:rsidR="003C66EB" w:rsidRDefault="003C66EB">
            <w:pPr>
              <w:rPr>
                <w:rFonts w:ascii="宋体"/>
              </w:rPr>
            </w:pPr>
          </w:p>
        </w:tc>
        <w:tc>
          <w:tcPr>
            <w:tcW w:w="0" w:type="auto"/>
            <w:shd w:val="clear" w:color="auto" w:fill="auto"/>
          </w:tcPr>
          <w:p w14:paraId="5EA218E0" w14:textId="77777777" w:rsidR="003C66EB" w:rsidRDefault="003C66EB">
            <w:pPr>
              <w:rPr>
                <w:rFonts w:ascii="宋体"/>
              </w:rPr>
            </w:pPr>
          </w:p>
        </w:tc>
        <w:tc>
          <w:tcPr>
            <w:tcW w:w="0" w:type="auto"/>
            <w:shd w:val="clear" w:color="auto" w:fill="auto"/>
          </w:tcPr>
          <w:p w14:paraId="5EA218E1" w14:textId="77777777" w:rsidR="003C66EB" w:rsidRDefault="003C66EB">
            <w:pPr>
              <w:rPr>
                <w:rFonts w:ascii="宋体"/>
              </w:rPr>
            </w:pPr>
          </w:p>
        </w:tc>
        <w:tc>
          <w:tcPr>
            <w:tcW w:w="0" w:type="auto"/>
            <w:shd w:val="clear" w:color="auto" w:fill="auto"/>
          </w:tcPr>
          <w:p w14:paraId="5EA218E2" w14:textId="77777777" w:rsidR="003C66EB" w:rsidRDefault="003C66EB">
            <w:pPr>
              <w:rPr>
                <w:rFonts w:ascii="宋体"/>
              </w:rPr>
            </w:pPr>
          </w:p>
        </w:tc>
        <w:tc>
          <w:tcPr>
            <w:tcW w:w="0" w:type="auto"/>
            <w:shd w:val="clear" w:color="auto" w:fill="auto"/>
          </w:tcPr>
          <w:p w14:paraId="5EA218E3" w14:textId="77777777" w:rsidR="003C66EB" w:rsidRDefault="003C66EB">
            <w:pPr>
              <w:rPr>
                <w:rFonts w:ascii="宋体"/>
              </w:rPr>
            </w:pPr>
          </w:p>
        </w:tc>
        <w:tc>
          <w:tcPr>
            <w:tcW w:w="0" w:type="auto"/>
            <w:shd w:val="clear" w:color="auto" w:fill="auto"/>
          </w:tcPr>
          <w:p w14:paraId="5EA218E4" w14:textId="77777777" w:rsidR="003C66EB" w:rsidRDefault="003C66EB">
            <w:pPr>
              <w:rPr>
                <w:rFonts w:ascii="宋体"/>
              </w:rPr>
            </w:pPr>
          </w:p>
        </w:tc>
        <w:tc>
          <w:tcPr>
            <w:tcW w:w="0" w:type="auto"/>
            <w:shd w:val="clear" w:color="auto" w:fill="auto"/>
          </w:tcPr>
          <w:p w14:paraId="5EA218E5" w14:textId="77777777" w:rsidR="003C66EB" w:rsidRDefault="003C66EB">
            <w:pPr>
              <w:rPr>
                <w:rFonts w:ascii="宋体"/>
              </w:rPr>
            </w:pPr>
          </w:p>
        </w:tc>
        <w:tc>
          <w:tcPr>
            <w:tcW w:w="0" w:type="auto"/>
            <w:shd w:val="clear" w:color="auto" w:fill="auto"/>
          </w:tcPr>
          <w:p w14:paraId="5EA218E6" w14:textId="77777777" w:rsidR="003C66EB" w:rsidRDefault="003C66EB">
            <w:pPr>
              <w:rPr>
                <w:rFonts w:ascii="宋体"/>
              </w:rPr>
            </w:pPr>
          </w:p>
        </w:tc>
        <w:tc>
          <w:tcPr>
            <w:tcW w:w="0" w:type="auto"/>
            <w:shd w:val="clear" w:color="auto" w:fill="auto"/>
          </w:tcPr>
          <w:p w14:paraId="5EA218E7" w14:textId="77777777" w:rsidR="003C66EB" w:rsidRDefault="003C66EB">
            <w:pPr>
              <w:rPr>
                <w:rFonts w:ascii="宋体"/>
              </w:rPr>
            </w:pPr>
          </w:p>
        </w:tc>
        <w:tc>
          <w:tcPr>
            <w:tcW w:w="0" w:type="auto"/>
            <w:shd w:val="clear" w:color="auto" w:fill="auto"/>
          </w:tcPr>
          <w:p w14:paraId="5EA218E8" w14:textId="77777777" w:rsidR="003C66EB" w:rsidRDefault="003C66EB">
            <w:pPr>
              <w:rPr>
                <w:rFonts w:ascii="宋体"/>
              </w:rPr>
            </w:pPr>
          </w:p>
        </w:tc>
      </w:tr>
      <w:tr w:rsidR="003C66EB" w14:paraId="5EA218FB" w14:textId="77777777">
        <w:trPr>
          <w:hidden/>
        </w:trPr>
        <w:tc>
          <w:tcPr>
            <w:tcW w:w="0" w:type="auto"/>
            <w:shd w:val="clear" w:color="auto" w:fill="auto"/>
          </w:tcPr>
          <w:p w14:paraId="5EA218EA" w14:textId="77777777" w:rsidR="003C66EB" w:rsidRDefault="003C66EB">
            <w:pPr>
              <w:rPr>
                <w:rFonts w:ascii="宋体"/>
                <w:vanish/>
              </w:rPr>
            </w:pPr>
          </w:p>
        </w:tc>
        <w:tc>
          <w:tcPr>
            <w:tcW w:w="0" w:type="auto"/>
            <w:shd w:val="clear" w:color="auto" w:fill="auto"/>
          </w:tcPr>
          <w:p w14:paraId="5EA218EB" w14:textId="77777777" w:rsidR="003C66EB" w:rsidRDefault="003C66EB">
            <w:pPr>
              <w:rPr>
                <w:rFonts w:ascii="宋体"/>
                <w:vanish/>
              </w:rPr>
            </w:pPr>
          </w:p>
        </w:tc>
        <w:tc>
          <w:tcPr>
            <w:tcW w:w="0" w:type="auto"/>
            <w:shd w:val="clear" w:color="auto" w:fill="auto"/>
          </w:tcPr>
          <w:p w14:paraId="5EA218EC" w14:textId="77777777" w:rsidR="003C66EB" w:rsidRDefault="003C66EB">
            <w:pPr>
              <w:rPr>
                <w:rFonts w:ascii="宋体"/>
                <w:vanish/>
              </w:rPr>
            </w:pPr>
          </w:p>
        </w:tc>
        <w:tc>
          <w:tcPr>
            <w:tcW w:w="0" w:type="auto"/>
            <w:shd w:val="clear" w:color="auto" w:fill="auto"/>
          </w:tcPr>
          <w:p w14:paraId="5EA218ED" w14:textId="77777777" w:rsidR="003C66EB" w:rsidRDefault="003C66EB">
            <w:pPr>
              <w:rPr>
                <w:rFonts w:ascii="宋体"/>
                <w:vanish/>
              </w:rPr>
            </w:pPr>
          </w:p>
        </w:tc>
        <w:tc>
          <w:tcPr>
            <w:tcW w:w="0" w:type="auto"/>
            <w:shd w:val="clear" w:color="auto" w:fill="auto"/>
          </w:tcPr>
          <w:p w14:paraId="5EA218EE" w14:textId="77777777" w:rsidR="003C66EB" w:rsidRDefault="003C66EB">
            <w:pPr>
              <w:rPr>
                <w:rFonts w:ascii="宋体"/>
                <w:vanish/>
              </w:rPr>
            </w:pPr>
          </w:p>
        </w:tc>
        <w:tc>
          <w:tcPr>
            <w:tcW w:w="0" w:type="auto"/>
            <w:shd w:val="clear" w:color="auto" w:fill="auto"/>
          </w:tcPr>
          <w:p w14:paraId="5EA218EF" w14:textId="77777777" w:rsidR="003C66EB" w:rsidRDefault="003C66EB">
            <w:pPr>
              <w:rPr>
                <w:rFonts w:ascii="宋体"/>
                <w:vanish/>
              </w:rPr>
            </w:pPr>
          </w:p>
        </w:tc>
        <w:tc>
          <w:tcPr>
            <w:tcW w:w="0" w:type="auto"/>
            <w:gridSpan w:val="3"/>
            <w:shd w:val="clear" w:color="auto" w:fill="auto"/>
          </w:tcPr>
          <w:p w14:paraId="5EA218F0" w14:textId="77777777" w:rsidR="003C66EB" w:rsidRDefault="003C66EB">
            <w:pPr>
              <w:rPr>
                <w:rFonts w:ascii="宋体"/>
                <w:vanish/>
              </w:rPr>
            </w:pPr>
          </w:p>
        </w:tc>
        <w:tc>
          <w:tcPr>
            <w:tcW w:w="0" w:type="auto"/>
            <w:gridSpan w:val="3"/>
            <w:shd w:val="clear" w:color="auto" w:fill="auto"/>
          </w:tcPr>
          <w:p w14:paraId="5EA218F1" w14:textId="77777777" w:rsidR="003C66EB" w:rsidRDefault="003C66EB">
            <w:pPr>
              <w:rPr>
                <w:rFonts w:ascii="宋体"/>
                <w:vanish/>
              </w:rPr>
            </w:pPr>
          </w:p>
        </w:tc>
        <w:tc>
          <w:tcPr>
            <w:tcW w:w="0" w:type="auto"/>
            <w:gridSpan w:val="3"/>
            <w:shd w:val="clear" w:color="auto" w:fill="auto"/>
          </w:tcPr>
          <w:p w14:paraId="5EA218F2" w14:textId="77777777" w:rsidR="003C66EB" w:rsidRDefault="003C66EB">
            <w:pPr>
              <w:rPr>
                <w:rFonts w:ascii="宋体"/>
                <w:vanish/>
              </w:rPr>
            </w:pPr>
          </w:p>
        </w:tc>
        <w:tc>
          <w:tcPr>
            <w:tcW w:w="0" w:type="auto"/>
            <w:gridSpan w:val="3"/>
            <w:shd w:val="clear" w:color="auto" w:fill="auto"/>
          </w:tcPr>
          <w:p w14:paraId="5EA218F3" w14:textId="77777777" w:rsidR="003C66EB" w:rsidRDefault="003C66EB">
            <w:pPr>
              <w:rPr>
                <w:rFonts w:ascii="宋体"/>
                <w:vanish/>
              </w:rPr>
            </w:pPr>
          </w:p>
        </w:tc>
        <w:tc>
          <w:tcPr>
            <w:tcW w:w="0" w:type="auto"/>
            <w:gridSpan w:val="3"/>
            <w:shd w:val="clear" w:color="auto" w:fill="auto"/>
          </w:tcPr>
          <w:p w14:paraId="5EA218F4" w14:textId="77777777" w:rsidR="003C66EB" w:rsidRDefault="003C66EB">
            <w:pPr>
              <w:rPr>
                <w:rFonts w:ascii="宋体"/>
                <w:vanish/>
              </w:rPr>
            </w:pPr>
          </w:p>
        </w:tc>
        <w:tc>
          <w:tcPr>
            <w:tcW w:w="0" w:type="auto"/>
            <w:shd w:val="clear" w:color="auto" w:fill="auto"/>
          </w:tcPr>
          <w:p w14:paraId="5EA218F5" w14:textId="77777777" w:rsidR="003C66EB" w:rsidRDefault="003C66EB">
            <w:pPr>
              <w:rPr>
                <w:rFonts w:ascii="宋体"/>
                <w:vanish/>
              </w:rPr>
            </w:pPr>
          </w:p>
        </w:tc>
        <w:tc>
          <w:tcPr>
            <w:tcW w:w="0" w:type="auto"/>
            <w:shd w:val="clear" w:color="auto" w:fill="auto"/>
          </w:tcPr>
          <w:p w14:paraId="5EA218F6" w14:textId="77777777" w:rsidR="003C66EB" w:rsidRDefault="003C66EB">
            <w:pPr>
              <w:rPr>
                <w:rFonts w:ascii="宋体"/>
                <w:vanish/>
              </w:rPr>
            </w:pPr>
          </w:p>
        </w:tc>
        <w:tc>
          <w:tcPr>
            <w:tcW w:w="0" w:type="auto"/>
            <w:gridSpan w:val="3"/>
            <w:shd w:val="clear" w:color="auto" w:fill="auto"/>
          </w:tcPr>
          <w:p w14:paraId="5EA218F7" w14:textId="77777777" w:rsidR="003C66EB" w:rsidRDefault="003C66EB">
            <w:pPr>
              <w:rPr>
                <w:rFonts w:ascii="宋体"/>
                <w:vanish/>
              </w:rPr>
            </w:pPr>
          </w:p>
        </w:tc>
        <w:tc>
          <w:tcPr>
            <w:tcW w:w="0" w:type="auto"/>
            <w:gridSpan w:val="3"/>
            <w:shd w:val="clear" w:color="auto" w:fill="auto"/>
          </w:tcPr>
          <w:p w14:paraId="5EA218F8" w14:textId="77777777" w:rsidR="003C66EB" w:rsidRDefault="003C66EB">
            <w:pPr>
              <w:rPr>
                <w:rFonts w:ascii="宋体"/>
                <w:vanish/>
              </w:rPr>
            </w:pPr>
          </w:p>
        </w:tc>
        <w:tc>
          <w:tcPr>
            <w:tcW w:w="0" w:type="auto"/>
            <w:gridSpan w:val="3"/>
            <w:shd w:val="clear" w:color="auto" w:fill="auto"/>
          </w:tcPr>
          <w:p w14:paraId="5EA218F9" w14:textId="77777777" w:rsidR="003C66EB" w:rsidRDefault="003C66EB">
            <w:pPr>
              <w:rPr>
                <w:rFonts w:ascii="宋体"/>
                <w:vanish/>
              </w:rPr>
            </w:pPr>
          </w:p>
        </w:tc>
        <w:tc>
          <w:tcPr>
            <w:tcW w:w="0" w:type="auto"/>
            <w:gridSpan w:val="3"/>
            <w:shd w:val="clear" w:color="auto" w:fill="auto"/>
          </w:tcPr>
          <w:p w14:paraId="5EA218FA" w14:textId="77777777" w:rsidR="003C66EB" w:rsidRDefault="003C66EB">
            <w:pPr>
              <w:rPr>
                <w:rFonts w:ascii="宋体"/>
                <w:vanish/>
              </w:rPr>
            </w:pPr>
          </w:p>
        </w:tc>
      </w:tr>
      <w:tr w:rsidR="003C66EB" w14:paraId="5EA2190D" w14:textId="77777777">
        <w:trPr>
          <w:hidden/>
        </w:trPr>
        <w:tc>
          <w:tcPr>
            <w:tcW w:w="0" w:type="auto"/>
            <w:shd w:val="clear" w:color="auto" w:fill="auto"/>
          </w:tcPr>
          <w:p w14:paraId="5EA218FC" w14:textId="77777777" w:rsidR="003C66EB" w:rsidRDefault="003C66EB">
            <w:pPr>
              <w:rPr>
                <w:rFonts w:ascii="宋体"/>
                <w:vanish/>
              </w:rPr>
            </w:pPr>
          </w:p>
        </w:tc>
        <w:tc>
          <w:tcPr>
            <w:tcW w:w="0" w:type="auto"/>
            <w:shd w:val="clear" w:color="auto" w:fill="auto"/>
          </w:tcPr>
          <w:p w14:paraId="5EA218FD" w14:textId="77777777" w:rsidR="003C66EB" w:rsidRDefault="003C66EB">
            <w:pPr>
              <w:rPr>
                <w:rFonts w:ascii="宋体"/>
                <w:vanish/>
              </w:rPr>
            </w:pPr>
          </w:p>
        </w:tc>
        <w:tc>
          <w:tcPr>
            <w:tcW w:w="0" w:type="auto"/>
            <w:shd w:val="clear" w:color="auto" w:fill="auto"/>
          </w:tcPr>
          <w:p w14:paraId="5EA218FE" w14:textId="77777777" w:rsidR="003C66EB" w:rsidRDefault="003C66EB">
            <w:pPr>
              <w:rPr>
                <w:rFonts w:ascii="宋体"/>
                <w:vanish/>
              </w:rPr>
            </w:pPr>
          </w:p>
        </w:tc>
        <w:tc>
          <w:tcPr>
            <w:tcW w:w="0" w:type="auto"/>
            <w:shd w:val="clear" w:color="auto" w:fill="auto"/>
          </w:tcPr>
          <w:p w14:paraId="5EA218FF" w14:textId="77777777" w:rsidR="003C66EB" w:rsidRDefault="003C66EB">
            <w:pPr>
              <w:rPr>
                <w:rFonts w:ascii="宋体"/>
                <w:vanish/>
              </w:rPr>
            </w:pPr>
          </w:p>
        </w:tc>
        <w:tc>
          <w:tcPr>
            <w:tcW w:w="0" w:type="auto"/>
            <w:shd w:val="clear" w:color="auto" w:fill="auto"/>
          </w:tcPr>
          <w:p w14:paraId="5EA21900" w14:textId="77777777" w:rsidR="003C66EB" w:rsidRDefault="003C66EB">
            <w:pPr>
              <w:rPr>
                <w:rFonts w:ascii="宋体"/>
                <w:vanish/>
              </w:rPr>
            </w:pPr>
          </w:p>
        </w:tc>
        <w:tc>
          <w:tcPr>
            <w:tcW w:w="0" w:type="auto"/>
            <w:shd w:val="clear" w:color="auto" w:fill="auto"/>
          </w:tcPr>
          <w:p w14:paraId="5EA21901" w14:textId="77777777" w:rsidR="003C66EB" w:rsidRDefault="003C66EB">
            <w:pPr>
              <w:rPr>
                <w:rFonts w:ascii="宋体"/>
                <w:vanish/>
              </w:rPr>
            </w:pPr>
          </w:p>
        </w:tc>
        <w:tc>
          <w:tcPr>
            <w:tcW w:w="0" w:type="auto"/>
            <w:gridSpan w:val="3"/>
            <w:shd w:val="clear" w:color="auto" w:fill="auto"/>
          </w:tcPr>
          <w:p w14:paraId="5EA21902" w14:textId="77777777" w:rsidR="003C66EB" w:rsidRDefault="003C66EB">
            <w:pPr>
              <w:rPr>
                <w:rFonts w:ascii="宋体"/>
                <w:vanish/>
              </w:rPr>
            </w:pPr>
          </w:p>
        </w:tc>
        <w:tc>
          <w:tcPr>
            <w:tcW w:w="0" w:type="auto"/>
            <w:gridSpan w:val="3"/>
            <w:shd w:val="clear" w:color="auto" w:fill="auto"/>
          </w:tcPr>
          <w:p w14:paraId="5EA21903" w14:textId="77777777" w:rsidR="003C66EB" w:rsidRDefault="003C66EB">
            <w:pPr>
              <w:rPr>
                <w:rFonts w:ascii="宋体"/>
                <w:vanish/>
              </w:rPr>
            </w:pPr>
          </w:p>
        </w:tc>
        <w:tc>
          <w:tcPr>
            <w:tcW w:w="0" w:type="auto"/>
            <w:gridSpan w:val="3"/>
            <w:shd w:val="clear" w:color="auto" w:fill="auto"/>
          </w:tcPr>
          <w:p w14:paraId="5EA21904" w14:textId="77777777" w:rsidR="003C66EB" w:rsidRDefault="003C66EB">
            <w:pPr>
              <w:rPr>
                <w:rFonts w:ascii="宋体"/>
                <w:vanish/>
              </w:rPr>
            </w:pPr>
          </w:p>
        </w:tc>
        <w:tc>
          <w:tcPr>
            <w:tcW w:w="0" w:type="auto"/>
            <w:gridSpan w:val="3"/>
            <w:shd w:val="clear" w:color="auto" w:fill="auto"/>
          </w:tcPr>
          <w:p w14:paraId="5EA21905" w14:textId="77777777" w:rsidR="003C66EB" w:rsidRDefault="003C66EB">
            <w:pPr>
              <w:rPr>
                <w:rFonts w:ascii="宋体"/>
                <w:vanish/>
              </w:rPr>
            </w:pPr>
          </w:p>
        </w:tc>
        <w:tc>
          <w:tcPr>
            <w:tcW w:w="0" w:type="auto"/>
            <w:gridSpan w:val="3"/>
            <w:shd w:val="clear" w:color="auto" w:fill="auto"/>
          </w:tcPr>
          <w:p w14:paraId="5EA21906" w14:textId="77777777" w:rsidR="003C66EB" w:rsidRDefault="003C66EB">
            <w:pPr>
              <w:rPr>
                <w:rFonts w:ascii="宋体"/>
                <w:vanish/>
              </w:rPr>
            </w:pPr>
          </w:p>
        </w:tc>
        <w:tc>
          <w:tcPr>
            <w:tcW w:w="0" w:type="auto"/>
            <w:shd w:val="clear" w:color="auto" w:fill="auto"/>
          </w:tcPr>
          <w:p w14:paraId="5EA21907" w14:textId="77777777" w:rsidR="003C66EB" w:rsidRDefault="003C66EB">
            <w:pPr>
              <w:rPr>
                <w:rFonts w:ascii="宋体"/>
                <w:vanish/>
              </w:rPr>
            </w:pPr>
          </w:p>
        </w:tc>
        <w:tc>
          <w:tcPr>
            <w:tcW w:w="0" w:type="auto"/>
            <w:shd w:val="clear" w:color="auto" w:fill="auto"/>
          </w:tcPr>
          <w:p w14:paraId="5EA21908" w14:textId="77777777" w:rsidR="003C66EB" w:rsidRDefault="003C66EB">
            <w:pPr>
              <w:rPr>
                <w:rFonts w:ascii="宋体"/>
                <w:vanish/>
              </w:rPr>
            </w:pPr>
          </w:p>
        </w:tc>
        <w:tc>
          <w:tcPr>
            <w:tcW w:w="0" w:type="auto"/>
            <w:gridSpan w:val="3"/>
            <w:shd w:val="clear" w:color="auto" w:fill="auto"/>
          </w:tcPr>
          <w:p w14:paraId="5EA21909" w14:textId="77777777" w:rsidR="003C66EB" w:rsidRDefault="003C66EB">
            <w:pPr>
              <w:rPr>
                <w:rFonts w:ascii="宋体"/>
                <w:vanish/>
              </w:rPr>
            </w:pPr>
          </w:p>
        </w:tc>
        <w:tc>
          <w:tcPr>
            <w:tcW w:w="0" w:type="auto"/>
            <w:gridSpan w:val="3"/>
            <w:shd w:val="clear" w:color="auto" w:fill="auto"/>
          </w:tcPr>
          <w:p w14:paraId="5EA2190A" w14:textId="77777777" w:rsidR="003C66EB" w:rsidRDefault="003C66EB">
            <w:pPr>
              <w:rPr>
                <w:rFonts w:ascii="宋体"/>
                <w:vanish/>
              </w:rPr>
            </w:pPr>
          </w:p>
        </w:tc>
        <w:tc>
          <w:tcPr>
            <w:tcW w:w="0" w:type="auto"/>
            <w:gridSpan w:val="3"/>
            <w:shd w:val="clear" w:color="auto" w:fill="auto"/>
          </w:tcPr>
          <w:p w14:paraId="5EA2190B" w14:textId="77777777" w:rsidR="003C66EB" w:rsidRDefault="003C66EB">
            <w:pPr>
              <w:rPr>
                <w:rFonts w:ascii="宋体"/>
                <w:vanish/>
              </w:rPr>
            </w:pPr>
          </w:p>
        </w:tc>
        <w:tc>
          <w:tcPr>
            <w:tcW w:w="0" w:type="auto"/>
            <w:gridSpan w:val="3"/>
            <w:shd w:val="clear" w:color="auto" w:fill="auto"/>
          </w:tcPr>
          <w:p w14:paraId="5EA2190C" w14:textId="77777777" w:rsidR="003C66EB" w:rsidRDefault="003C66EB">
            <w:pPr>
              <w:rPr>
                <w:rFonts w:ascii="宋体"/>
                <w:vanish/>
              </w:rPr>
            </w:pPr>
          </w:p>
        </w:tc>
      </w:tr>
      <w:tr w:rsidR="003C66EB" w14:paraId="5EA2191F" w14:textId="77777777">
        <w:trPr>
          <w:hidden/>
        </w:trPr>
        <w:tc>
          <w:tcPr>
            <w:tcW w:w="0" w:type="auto"/>
            <w:shd w:val="clear" w:color="auto" w:fill="auto"/>
          </w:tcPr>
          <w:p w14:paraId="5EA2190E" w14:textId="77777777" w:rsidR="003C66EB" w:rsidRDefault="003C66EB">
            <w:pPr>
              <w:rPr>
                <w:rFonts w:ascii="宋体"/>
                <w:vanish/>
              </w:rPr>
            </w:pPr>
          </w:p>
        </w:tc>
        <w:tc>
          <w:tcPr>
            <w:tcW w:w="0" w:type="auto"/>
            <w:shd w:val="clear" w:color="auto" w:fill="auto"/>
          </w:tcPr>
          <w:p w14:paraId="5EA2190F" w14:textId="77777777" w:rsidR="003C66EB" w:rsidRDefault="003C66EB">
            <w:pPr>
              <w:rPr>
                <w:rFonts w:ascii="宋体"/>
                <w:vanish/>
              </w:rPr>
            </w:pPr>
          </w:p>
        </w:tc>
        <w:tc>
          <w:tcPr>
            <w:tcW w:w="0" w:type="auto"/>
            <w:shd w:val="clear" w:color="auto" w:fill="auto"/>
          </w:tcPr>
          <w:p w14:paraId="5EA21910" w14:textId="77777777" w:rsidR="003C66EB" w:rsidRDefault="003C66EB">
            <w:pPr>
              <w:rPr>
                <w:rFonts w:ascii="宋体"/>
                <w:vanish/>
              </w:rPr>
            </w:pPr>
          </w:p>
        </w:tc>
        <w:tc>
          <w:tcPr>
            <w:tcW w:w="0" w:type="auto"/>
            <w:shd w:val="clear" w:color="auto" w:fill="auto"/>
          </w:tcPr>
          <w:p w14:paraId="5EA21911" w14:textId="77777777" w:rsidR="003C66EB" w:rsidRDefault="003C66EB">
            <w:pPr>
              <w:rPr>
                <w:rFonts w:ascii="宋体"/>
                <w:vanish/>
              </w:rPr>
            </w:pPr>
          </w:p>
        </w:tc>
        <w:tc>
          <w:tcPr>
            <w:tcW w:w="0" w:type="auto"/>
            <w:shd w:val="clear" w:color="auto" w:fill="auto"/>
          </w:tcPr>
          <w:p w14:paraId="5EA21912" w14:textId="77777777" w:rsidR="003C66EB" w:rsidRDefault="003C66EB">
            <w:pPr>
              <w:rPr>
                <w:rFonts w:ascii="宋体"/>
                <w:vanish/>
              </w:rPr>
            </w:pPr>
          </w:p>
        </w:tc>
        <w:tc>
          <w:tcPr>
            <w:tcW w:w="0" w:type="auto"/>
            <w:shd w:val="clear" w:color="auto" w:fill="auto"/>
          </w:tcPr>
          <w:p w14:paraId="5EA21913" w14:textId="77777777" w:rsidR="003C66EB" w:rsidRDefault="003C66EB">
            <w:pPr>
              <w:rPr>
                <w:rFonts w:ascii="宋体"/>
                <w:vanish/>
              </w:rPr>
            </w:pPr>
          </w:p>
        </w:tc>
        <w:tc>
          <w:tcPr>
            <w:tcW w:w="0" w:type="auto"/>
            <w:gridSpan w:val="3"/>
            <w:shd w:val="clear" w:color="auto" w:fill="auto"/>
          </w:tcPr>
          <w:p w14:paraId="5EA21914" w14:textId="77777777" w:rsidR="003C66EB" w:rsidRDefault="003C66EB">
            <w:pPr>
              <w:rPr>
                <w:rFonts w:ascii="宋体"/>
                <w:vanish/>
              </w:rPr>
            </w:pPr>
          </w:p>
        </w:tc>
        <w:tc>
          <w:tcPr>
            <w:tcW w:w="0" w:type="auto"/>
            <w:gridSpan w:val="3"/>
            <w:shd w:val="clear" w:color="auto" w:fill="auto"/>
          </w:tcPr>
          <w:p w14:paraId="5EA21915" w14:textId="77777777" w:rsidR="003C66EB" w:rsidRDefault="003C66EB">
            <w:pPr>
              <w:rPr>
                <w:rFonts w:ascii="宋体"/>
                <w:vanish/>
              </w:rPr>
            </w:pPr>
          </w:p>
        </w:tc>
        <w:tc>
          <w:tcPr>
            <w:tcW w:w="0" w:type="auto"/>
            <w:gridSpan w:val="3"/>
            <w:shd w:val="clear" w:color="auto" w:fill="auto"/>
          </w:tcPr>
          <w:p w14:paraId="5EA21916" w14:textId="77777777" w:rsidR="003C66EB" w:rsidRDefault="003C66EB">
            <w:pPr>
              <w:rPr>
                <w:rFonts w:ascii="宋体"/>
                <w:vanish/>
              </w:rPr>
            </w:pPr>
          </w:p>
        </w:tc>
        <w:tc>
          <w:tcPr>
            <w:tcW w:w="0" w:type="auto"/>
            <w:gridSpan w:val="3"/>
            <w:shd w:val="clear" w:color="auto" w:fill="auto"/>
          </w:tcPr>
          <w:p w14:paraId="5EA21917" w14:textId="77777777" w:rsidR="003C66EB" w:rsidRDefault="003C66EB">
            <w:pPr>
              <w:rPr>
                <w:rFonts w:ascii="宋体"/>
                <w:vanish/>
              </w:rPr>
            </w:pPr>
          </w:p>
        </w:tc>
        <w:tc>
          <w:tcPr>
            <w:tcW w:w="0" w:type="auto"/>
            <w:gridSpan w:val="3"/>
            <w:shd w:val="clear" w:color="auto" w:fill="auto"/>
          </w:tcPr>
          <w:p w14:paraId="5EA21918" w14:textId="77777777" w:rsidR="003C66EB" w:rsidRDefault="003C66EB">
            <w:pPr>
              <w:rPr>
                <w:rFonts w:ascii="宋体"/>
                <w:vanish/>
              </w:rPr>
            </w:pPr>
          </w:p>
        </w:tc>
        <w:tc>
          <w:tcPr>
            <w:tcW w:w="0" w:type="auto"/>
            <w:shd w:val="clear" w:color="auto" w:fill="auto"/>
          </w:tcPr>
          <w:p w14:paraId="5EA21919" w14:textId="77777777" w:rsidR="003C66EB" w:rsidRDefault="003C66EB">
            <w:pPr>
              <w:rPr>
                <w:rFonts w:ascii="宋体"/>
                <w:vanish/>
              </w:rPr>
            </w:pPr>
          </w:p>
        </w:tc>
        <w:tc>
          <w:tcPr>
            <w:tcW w:w="0" w:type="auto"/>
            <w:shd w:val="clear" w:color="auto" w:fill="auto"/>
          </w:tcPr>
          <w:p w14:paraId="5EA2191A" w14:textId="77777777" w:rsidR="003C66EB" w:rsidRDefault="003C66EB">
            <w:pPr>
              <w:rPr>
                <w:rFonts w:ascii="宋体"/>
                <w:vanish/>
              </w:rPr>
            </w:pPr>
          </w:p>
        </w:tc>
        <w:tc>
          <w:tcPr>
            <w:tcW w:w="0" w:type="auto"/>
            <w:gridSpan w:val="3"/>
            <w:shd w:val="clear" w:color="auto" w:fill="auto"/>
          </w:tcPr>
          <w:p w14:paraId="5EA2191B" w14:textId="77777777" w:rsidR="003C66EB" w:rsidRDefault="003C66EB">
            <w:pPr>
              <w:rPr>
                <w:rFonts w:ascii="宋体"/>
                <w:vanish/>
              </w:rPr>
            </w:pPr>
          </w:p>
        </w:tc>
        <w:tc>
          <w:tcPr>
            <w:tcW w:w="0" w:type="auto"/>
            <w:gridSpan w:val="3"/>
            <w:shd w:val="clear" w:color="auto" w:fill="auto"/>
          </w:tcPr>
          <w:p w14:paraId="5EA2191C" w14:textId="77777777" w:rsidR="003C66EB" w:rsidRDefault="003C66EB">
            <w:pPr>
              <w:rPr>
                <w:rFonts w:ascii="宋体"/>
                <w:vanish/>
              </w:rPr>
            </w:pPr>
          </w:p>
        </w:tc>
        <w:tc>
          <w:tcPr>
            <w:tcW w:w="0" w:type="auto"/>
            <w:gridSpan w:val="3"/>
            <w:shd w:val="clear" w:color="auto" w:fill="auto"/>
          </w:tcPr>
          <w:p w14:paraId="5EA2191D" w14:textId="77777777" w:rsidR="003C66EB" w:rsidRDefault="003C66EB">
            <w:pPr>
              <w:rPr>
                <w:rFonts w:ascii="宋体"/>
                <w:vanish/>
              </w:rPr>
            </w:pPr>
          </w:p>
        </w:tc>
        <w:tc>
          <w:tcPr>
            <w:tcW w:w="0" w:type="auto"/>
            <w:gridSpan w:val="3"/>
            <w:shd w:val="clear" w:color="auto" w:fill="auto"/>
          </w:tcPr>
          <w:p w14:paraId="5EA2191E" w14:textId="77777777" w:rsidR="003C66EB" w:rsidRDefault="003C66EB">
            <w:pPr>
              <w:rPr>
                <w:rFonts w:ascii="宋体"/>
                <w:vanish/>
              </w:rPr>
            </w:pPr>
          </w:p>
        </w:tc>
      </w:tr>
      <w:tr w:rsidR="003C66EB" w14:paraId="5EA21931" w14:textId="77777777">
        <w:trPr>
          <w:hidden/>
        </w:trPr>
        <w:tc>
          <w:tcPr>
            <w:tcW w:w="0" w:type="auto"/>
            <w:shd w:val="clear" w:color="auto" w:fill="auto"/>
          </w:tcPr>
          <w:p w14:paraId="5EA21920" w14:textId="77777777" w:rsidR="003C66EB" w:rsidRDefault="003C66EB">
            <w:pPr>
              <w:rPr>
                <w:rFonts w:ascii="宋体"/>
                <w:vanish/>
              </w:rPr>
            </w:pPr>
          </w:p>
        </w:tc>
        <w:tc>
          <w:tcPr>
            <w:tcW w:w="0" w:type="auto"/>
            <w:shd w:val="clear" w:color="auto" w:fill="auto"/>
          </w:tcPr>
          <w:p w14:paraId="5EA21921" w14:textId="77777777" w:rsidR="003C66EB" w:rsidRDefault="003C66EB">
            <w:pPr>
              <w:rPr>
                <w:rFonts w:ascii="宋体"/>
                <w:vanish/>
              </w:rPr>
            </w:pPr>
          </w:p>
        </w:tc>
        <w:tc>
          <w:tcPr>
            <w:tcW w:w="0" w:type="auto"/>
            <w:shd w:val="clear" w:color="auto" w:fill="auto"/>
          </w:tcPr>
          <w:p w14:paraId="5EA21922" w14:textId="77777777" w:rsidR="003C66EB" w:rsidRDefault="003C66EB">
            <w:pPr>
              <w:rPr>
                <w:rFonts w:ascii="宋体"/>
                <w:vanish/>
              </w:rPr>
            </w:pPr>
          </w:p>
        </w:tc>
        <w:tc>
          <w:tcPr>
            <w:tcW w:w="0" w:type="auto"/>
            <w:shd w:val="clear" w:color="auto" w:fill="auto"/>
          </w:tcPr>
          <w:p w14:paraId="5EA21923" w14:textId="77777777" w:rsidR="003C66EB" w:rsidRDefault="003C66EB">
            <w:pPr>
              <w:rPr>
                <w:rFonts w:ascii="宋体"/>
                <w:vanish/>
              </w:rPr>
            </w:pPr>
          </w:p>
        </w:tc>
        <w:tc>
          <w:tcPr>
            <w:tcW w:w="0" w:type="auto"/>
            <w:shd w:val="clear" w:color="auto" w:fill="auto"/>
          </w:tcPr>
          <w:p w14:paraId="5EA21924" w14:textId="77777777" w:rsidR="003C66EB" w:rsidRDefault="003C66EB">
            <w:pPr>
              <w:rPr>
                <w:rFonts w:ascii="宋体"/>
                <w:vanish/>
              </w:rPr>
            </w:pPr>
          </w:p>
        </w:tc>
        <w:tc>
          <w:tcPr>
            <w:tcW w:w="0" w:type="auto"/>
            <w:shd w:val="clear" w:color="auto" w:fill="auto"/>
          </w:tcPr>
          <w:p w14:paraId="5EA21925"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926" w14:textId="77777777" w:rsidR="003C66EB" w:rsidRDefault="00D96C4E">
            <w:pPr>
              <w:jc w:val="center"/>
              <w:textAlignment w:val="bottom"/>
            </w:pPr>
            <w:r>
              <w:rPr>
                <w:rFonts w:ascii="Arial" w:eastAsia="宋体" w:hAnsi="Arial" w:cs="Arial"/>
                <w:b/>
                <w:bCs/>
                <w:color w:val="000000"/>
                <w:sz w:val="16"/>
                <w:szCs w:val="16"/>
              </w:rPr>
              <w:t xml:space="preserve">Shares Acquired </w:t>
            </w:r>
            <w:r>
              <w:rPr>
                <w:rFonts w:ascii="Arial" w:eastAsia="宋体" w:hAnsi="Arial" w:cs="Arial"/>
                <w:b/>
                <w:bCs/>
                <w:color w:val="000000"/>
                <w:sz w:val="16"/>
                <w:szCs w:val="16"/>
              </w:rPr>
              <w:br/>
              <w:t>(In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5EA2192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928" w14:textId="77777777" w:rsidR="003C66EB" w:rsidRDefault="00D96C4E">
            <w:pPr>
              <w:jc w:val="center"/>
              <w:textAlignment w:val="bottom"/>
            </w:pPr>
            <w:r>
              <w:rPr>
                <w:rFonts w:ascii="Arial" w:eastAsia="宋体" w:hAnsi="Arial" w:cs="Arial"/>
                <w:b/>
                <w:bCs/>
                <w:color w:val="000000"/>
                <w:sz w:val="16"/>
                <w:szCs w:val="16"/>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92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92A" w14:textId="77777777" w:rsidR="003C66EB" w:rsidRDefault="00D96C4E">
            <w:pPr>
              <w:jc w:val="center"/>
              <w:textAlignment w:val="bottom"/>
            </w:pPr>
            <w:r>
              <w:rPr>
                <w:rFonts w:ascii="Arial" w:eastAsia="宋体" w:hAnsi="Arial" w:cs="Arial"/>
                <w:b/>
                <w:bCs/>
                <w:color w:val="000000"/>
                <w:sz w:val="16"/>
                <w:szCs w:val="16"/>
              </w:rPr>
              <w:t xml:space="preserve">Total Acquired </w:t>
            </w:r>
            <w:r>
              <w:rPr>
                <w:rFonts w:ascii="Arial" w:eastAsia="宋体" w:hAnsi="Arial" w:cs="Arial"/>
                <w:b/>
                <w:bCs/>
                <w:color w:val="000000"/>
                <w:sz w:val="16"/>
                <w:szCs w:val="16"/>
              </w:rPr>
              <w:br/>
              <w:t>(In millions)</w:t>
            </w:r>
          </w:p>
        </w:tc>
        <w:tc>
          <w:tcPr>
            <w:tcW w:w="0" w:type="auto"/>
            <w:shd w:val="clear" w:color="auto" w:fill="auto"/>
          </w:tcPr>
          <w:p w14:paraId="5EA2192B" w14:textId="77777777" w:rsidR="003C66EB" w:rsidRDefault="003C66EB">
            <w:pPr>
              <w:rPr>
                <w:rFonts w:ascii="宋体"/>
                <w:vanish/>
              </w:rPr>
            </w:pPr>
          </w:p>
        </w:tc>
        <w:tc>
          <w:tcPr>
            <w:tcW w:w="0" w:type="auto"/>
            <w:shd w:val="clear" w:color="auto" w:fill="auto"/>
          </w:tcPr>
          <w:p w14:paraId="5EA2192C" w14:textId="77777777" w:rsidR="003C66EB" w:rsidRDefault="003C66EB">
            <w:pPr>
              <w:rPr>
                <w:rFonts w:ascii="宋体"/>
                <w:vanish/>
              </w:rPr>
            </w:pPr>
          </w:p>
        </w:tc>
        <w:tc>
          <w:tcPr>
            <w:tcW w:w="0" w:type="auto"/>
            <w:gridSpan w:val="3"/>
            <w:shd w:val="clear" w:color="auto" w:fill="auto"/>
          </w:tcPr>
          <w:p w14:paraId="5EA2192D" w14:textId="77777777" w:rsidR="003C66EB" w:rsidRDefault="003C66EB">
            <w:pPr>
              <w:rPr>
                <w:rFonts w:ascii="宋体"/>
                <w:vanish/>
              </w:rPr>
            </w:pPr>
          </w:p>
        </w:tc>
        <w:tc>
          <w:tcPr>
            <w:tcW w:w="0" w:type="auto"/>
            <w:gridSpan w:val="3"/>
            <w:shd w:val="clear" w:color="auto" w:fill="auto"/>
          </w:tcPr>
          <w:p w14:paraId="5EA2192E" w14:textId="77777777" w:rsidR="003C66EB" w:rsidRDefault="003C66EB">
            <w:pPr>
              <w:rPr>
                <w:rFonts w:ascii="宋体"/>
                <w:vanish/>
              </w:rPr>
            </w:pPr>
          </w:p>
        </w:tc>
        <w:tc>
          <w:tcPr>
            <w:tcW w:w="0" w:type="auto"/>
            <w:gridSpan w:val="3"/>
            <w:shd w:val="clear" w:color="auto" w:fill="auto"/>
          </w:tcPr>
          <w:p w14:paraId="5EA2192F" w14:textId="77777777" w:rsidR="003C66EB" w:rsidRDefault="003C66EB">
            <w:pPr>
              <w:rPr>
                <w:rFonts w:ascii="宋体"/>
                <w:vanish/>
              </w:rPr>
            </w:pPr>
          </w:p>
        </w:tc>
        <w:tc>
          <w:tcPr>
            <w:tcW w:w="0" w:type="auto"/>
            <w:gridSpan w:val="3"/>
            <w:shd w:val="clear" w:color="auto" w:fill="auto"/>
          </w:tcPr>
          <w:p w14:paraId="5EA21930" w14:textId="77777777" w:rsidR="003C66EB" w:rsidRDefault="003C66EB">
            <w:pPr>
              <w:rPr>
                <w:rFonts w:ascii="宋体"/>
                <w:vanish/>
              </w:rPr>
            </w:pPr>
          </w:p>
        </w:tc>
      </w:tr>
      <w:tr w:rsidR="003C66EB" w14:paraId="5EA21943" w14:textId="77777777">
        <w:trPr>
          <w:hidden/>
        </w:trPr>
        <w:tc>
          <w:tcPr>
            <w:tcW w:w="0" w:type="auto"/>
            <w:shd w:val="clear" w:color="auto" w:fill="auto"/>
          </w:tcPr>
          <w:p w14:paraId="5EA21932" w14:textId="77777777" w:rsidR="003C66EB" w:rsidRDefault="003C66EB">
            <w:pPr>
              <w:rPr>
                <w:rFonts w:ascii="宋体"/>
                <w:vanish/>
              </w:rPr>
            </w:pPr>
          </w:p>
        </w:tc>
        <w:tc>
          <w:tcPr>
            <w:tcW w:w="0" w:type="auto"/>
            <w:shd w:val="clear" w:color="auto" w:fill="auto"/>
          </w:tcPr>
          <w:p w14:paraId="5EA21933" w14:textId="77777777" w:rsidR="003C66EB" w:rsidRDefault="003C66EB">
            <w:pPr>
              <w:rPr>
                <w:rFonts w:ascii="宋体"/>
                <w:vanish/>
              </w:rPr>
            </w:pPr>
          </w:p>
        </w:tc>
        <w:tc>
          <w:tcPr>
            <w:tcW w:w="0" w:type="auto"/>
            <w:shd w:val="clear" w:color="auto" w:fill="auto"/>
          </w:tcPr>
          <w:p w14:paraId="5EA21934" w14:textId="77777777" w:rsidR="003C66EB" w:rsidRDefault="003C66EB">
            <w:pPr>
              <w:rPr>
                <w:rFonts w:ascii="宋体"/>
                <w:vanish/>
              </w:rPr>
            </w:pPr>
          </w:p>
        </w:tc>
        <w:tc>
          <w:tcPr>
            <w:tcW w:w="0" w:type="auto"/>
            <w:shd w:val="clear" w:color="auto" w:fill="auto"/>
          </w:tcPr>
          <w:p w14:paraId="5EA21935" w14:textId="77777777" w:rsidR="003C66EB" w:rsidRDefault="003C66EB">
            <w:pPr>
              <w:rPr>
                <w:rFonts w:ascii="宋体"/>
                <w:vanish/>
              </w:rPr>
            </w:pPr>
          </w:p>
        </w:tc>
        <w:tc>
          <w:tcPr>
            <w:tcW w:w="0" w:type="auto"/>
            <w:shd w:val="clear" w:color="auto" w:fill="auto"/>
          </w:tcPr>
          <w:p w14:paraId="5EA21936" w14:textId="77777777" w:rsidR="003C66EB" w:rsidRDefault="003C66EB">
            <w:pPr>
              <w:rPr>
                <w:rFonts w:ascii="宋体"/>
                <w:vanish/>
              </w:rPr>
            </w:pPr>
          </w:p>
        </w:tc>
        <w:tc>
          <w:tcPr>
            <w:tcW w:w="0" w:type="auto"/>
            <w:shd w:val="clear" w:color="auto" w:fill="auto"/>
          </w:tcPr>
          <w:p w14:paraId="5EA21937" w14:textId="77777777" w:rsidR="003C66EB" w:rsidRDefault="003C66EB">
            <w:pPr>
              <w:rPr>
                <w:rFonts w:ascii="宋体"/>
                <w:vanish/>
              </w:rPr>
            </w:pPr>
          </w:p>
        </w:tc>
        <w:tc>
          <w:tcPr>
            <w:tcW w:w="0" w:type="auto"/>
            <w:gridSpan w:val="3"/>
            <w:shd w:val="clear" w:color="auto" w:fill="auto"/>
          </w:tcPr>
          <w:p w14:paraId="5EA21938" w14:textId="77777777" w:rsidR="003C66EB" w:rsidRDefault="003C66EB">
            <w:pPr>
              <w:rPr>
                <w:rFonts w:ascii="宋体"/>
                <w:vanish/>
              </w:rPr>
            </w:pPr>
          </w:p>
        </w:tc>
        <w:tc>
          <w:tcPr>
            <w:tcW w:w="0" w:type="auto"/>
            <w:gridSpan w:val="3"/>
            <w:shd w:val="clear" w:color="auto" w:fill="auto"/>
          </w:tcPr>
          <w:p w14:paraId="5EA21939" w14:textId="77777777" w:rsidR="003C66EB" w:rsidRDefault="003C66EB">
            <w:pPr>
              <w:rPr>
                <w:rFonts w:ascii="宋体"/>
                <w:vanish/>
              </w:rPr>
            </w:pPr>
          </w:p>
        </w:tc>
        <w:tc>
          <w:tcPr>
            <w:tcW w:w="0" w:type="auto"/>
            <w:gridSpan w:val="3"/>
            <w:shd w:val="clear" w:color="auto" w:fill="auto"/>
          </w:tcPr>
          <w:p w14:paraId="5EA2193A" w14:textId="77777777" w:rsidR="003C66EB" w:rsidRDefault="003C66EB">
            <w:pPr>
              <w:rPr>
                <w:rFonts w:ascii="宋体"/>
                <w:vanish/>
              </w:rPr>
            </w:pPr>
          </w:p>
        </w:tc>
        <w:tc>
          <w:tcPr>
            <w:tcW w:w="0" w:type="auto"/>
            <w:gridSpan w:val="3"/>
            <w:shd w:val="clear" w:color="auto" w:fill="auto"/>
          </w:tcPr>
          <w:p w14:paraId="5EA2193B" w14:textId="77777777" w:rsidR="003C66EB" w:rsidRDefault="003C66EB">
            <w:pPr>
              <w:rPr>
                <w:rFonts w:ascii="宋体"/>
                <w:vanish/>
              </w:rPr>
            </w:pPr>
          </w:p>
        </w:tc>
        <w:tc>
          <w:tcPr>
            <w:tcW w:w="0" w:type="auto"/>
            <w:gridSpan w:val="3"/>
            <w:shd w:val="clear" w:color="auto" w:fill="auto"/>
          </w:tcPr>
          <w:p w14:paraId="5EA2193C" w14:textId="77777777" w:rsidR="003C66EB" w:rsidRDefault="003C66EB">
            <w:pPr>
              <w:rPr>
                <w:rFonts w:ascii="宋体"/>
                <w:vanish/>
              </w:rPr>
            </w:pPr>
          </w:p>
        </w:tc>
        <w:tc>
          <w:tcPr>
            <w:tcW w:w="0" w:type="auto"/>
            <w:shd w:val="clear" w:color="auto" w:fill="auto"/>
          </w:tcPr>
          <w:p w14:paraId="5EA2193D" w14:textId="77777777" w:rsidR="003C66EB" w:rsidRDefault="003C66EB">
            <w:pPr>
              <w:rPr>
                <w:rFonts w:ascii="宋体"/>
                <w:vanish/>
              </w:rPr>
            </w:pPr>
          </w:p>
        </w:tc>
        <w:tc>
          <w:tcPr>
            <w:tcW w:w="0" w:type="auto"/>
            <w:shd w:val="clear" w:color="auto" w:fill="auto"/>
          </w:tcPr>
          <w:p w14:paraId="5EA2193E" w14:textId="77777777" w:rsidR="003C66EB" w:rsidRDefault="003C66EB">
            <w:pPr>
              <w:rPr>
                <w:rFonts w:ascii="宋体"/>
                <w:vanish/>
              </w:rPr>
            </w:pPr>
          </w:p>
        </w:tc>
        <w:tc>
          <w:tcPr>
            <w:tcW w:w="0" w:type="auto"/>
            <w:gridSpan w:val="3"/>
            <w:shd w:val="clear" w:color="auto" w:fill="auto"/>
          </w:tcPr>
          <w:p w14:paraId="5EA2193F" w14:textId="77777777" w:rsidR="003C66EB" w:rsidRDefault="003C66EB">
            <w:pPr>
              <w:rPr>
                <w:rFonts w:ascii="宋体"/>
                <w:vanish/>
              </w:rPr>
            </w:pPr>
          </w:p>
        </w:tc>
        <w:tc>
          <w:tcPr>
            <w:tcW w:w="0" w:type="auto"/>
            <w:gridSpan w:val="3"/>
            <w:shd w:val="clear" w:color="auto" w:fill="auto"/>
          </w:tcPr>
          <w:p w14:paraId="5EA21940" w14:textId="77777777" w:rsidR="003C66EB" w:rsidRDefault="003C66EB">
            <w:pPr>
              <w:rPr>
                <w:rFonts w:ascii="宋体"/>
                <w:vanish/>
              </w:rPr>
            </w:pPr>
          </w:p>
        </w:tc>
        <w:tc>
          <w:tcPr>
            <w:tcW w:w="0" w:type="auto"/>
            <w:gridSpan w:val="3"/>
            <w:shd w:val="clear" w:color="auto" w:fill="auto"/>
          </w:tcPr>
          <w:p w14:paraId="5EA21941" w14:textId="77777777" w:rsidR="003C66EB" w:rsidRDefault="003C66EB">
            <w:pPr>
              <w:rPr>
                <w:rFonts w:ascii="宋体"/>
                <w:vanish/>
              </w:rPr>
            </w:pPr>
          </w:p>
        </w:tc>
        <w:tc>
          <w:tcPr>
            <w:tcW w:w="0" w:type="auto"/>
            <w:gridSpan w:val="3"/>
            <w:shd w:val="clear" w:color="auto" w:fill="auto"/>
          </w:tcPr>
          <w:p w14:paraId="5EA21942" w14:textId="77777777" w:rsidR="003C66EB" w:rsidRDefault="003C66EB">
            <w:pPr>
              <w:rPr>
                <w:rFonts w:ascii="宋体"/>
                <w:vanish/>
              </w:rPr>
            </w:pPr>
          </w:p>
        </w:tc>
      </w:tr>
      <w:tr w:rsidR="003C66EB" w14:paraId="5EA2195A" w14:textId="77777777">
        <w:trPr>
          <w:hidden/>
        </w:trPr>
        <w:tc>
          <w:tcPr>
            <w:tcW w:w="0" w:type="auto"/>
            <w:shd w:val="clear" w:color="auto" w:fill="auto"/>
          </w:tcPr>
          <w:p w14:paraId="5EA21944" w14:textId="77777777" w:rsidR="003C66EB" w:rsidRDefault="003C66EB">
            <w:pPr>
              <w:rPr>
                <w:rFonts w:ascii="宋体"/>
                <w:vanish/>
              </w:rPr>
            </w:pPr>
          </w:p>
        </w:tc>
        <w:tc>
          <w:tcPr>
            <w:tcW w:w="0" w:type="auto"/>
            <w:shd w:val="clear" w:color="auto" w:fill="auto"/>
          </w:tcPr>
          <w:p w14:paraId="5EA21945" w14:textId="77777777" w:rsidR="003C66EB" w:rsidRDefault="003C66EB">
            <w:pPr>
              <w:rPr>
                <w:rFonts w:ascii="宋体"/>
                <w:vanish/>
              </w:rPr>
            </w:pPr>
          </w:p>
        </w:tc>
        <w:tc>
          <w:tcPr>
            <w:tcW w:w="0" w:type="auto"/>
            <w:shd w:val="clear" w:color="auto" w:fill="auto"/>
          </w:tcPr>
          <w:p w14:paraId="5EA21946" w14:textId="77777777" w:rsidR="003C66EB" w:rsidRDefault="003C66EB">
            <w:pPr>
              <w:rPr>
                <w:rFonts w:ascii="宋体"/>
                <w:vanish/>
              </w:rPr>
            </w:pPr>
          </w:p>
        </w:tc>
        <w:tc>
          <w:tcPr>
            <w:tcW w:w="0" w:type="auto"/>
            <w:shd w:val="clear" w:color="auto" w:fill="auto"/>
          </w:tcPr>
          <w:p w14:paraId="5EA21947" w14:textId="77777777" w:rsidR="003C66EB" w:rsidRDefault="003C66EB">
            <w:pPr>
              <w:rPr>
                <w:rFonts w:ascii="宋体"/>
                <w:vanish/>
              </w:rPr>
            </w:pPr>
          </w:p>
        </w:tc>
        <w:tc>
          <w:tcPr>
            <w:tcW w:w="0" w:type="auto"/>
            <w:shd w:val="clear" w:color="auto" w:fill="auto"/>
          </w:tcPr>
          <w:p w14:paraId="5EA21948" w14:textId="77777777" w:rsidR="003C66EB" w:rsidRDefault="003C66EB">
            <w:pPr>
              <w:rPr>
                <w:rFonts w:ascii="宋体"/>
                <w:vanish/>
              </w:rPr>
            </w:pPr>
          </w:p>
        </w:tc>
        <w:tc>
          <w:tcPr>
            <w:tcW w:w="0" w:type="auto"/>
            <w:shd w:val="clear" w:color="auto" w:fill="auto"/>
          </w:tcPr>
          <w:p w14:paraId="5EA21949"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94A" w14:textId="77777777" w:rsidR="003C66EB" w:rsidRDefault="00D96C4E">
            <w:pPr>
              <w:jc w:val="right"/>
              <w:textAlignment w:val="bottom"/>
            </w:pPr>
            <w:r>
              <w:rPr>
                <w:rFonts w:ascii="Arial" w:eastAsia="宋体" w:hAnsi="Arial" w:cs="Arial"/>
                <w:b/>
                <w:bCs/>
                <w:color w:val="000000"/>
                <w:sz w:val="16"/>
                <w:szCs w:val="16"/>
              </w:rPr>
              <w:t>6.2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9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94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94D"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94E" w14:textId="77777777" w:rsidR="003C66EB" w:rsidRDefault="00D96C4E">
            <w:pPr>
              <w:jc w:val="right"/>
              <w:textAlignment w:val="bottom"/>
            </w:pPr>
            <w:r>
              <w:rPr>
                <w:rFonts w:ascii="Arial" w:eastAsia="宋体" w:hAnsi="Arial" w:cs="Arial"/>
                <w:b/>
                <w:bCs/>
                <w:color w:val="000000"/>
                <w:sz w:val="16"/>
                <w:szCs w:val="16"/>
              </w:rPr>
              <w:t>76.21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9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95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951"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952" w14:textId="77777777" w:rsidR="003C66EB" w:rsidRDefault="00D96C4E">
            <w:pPr>
              <w:jc w:val="right"/>
              <w:textAlignment w:val="bottom"/>
            </w:pPr>
            <w:r>
              <w:rPr>
                <w:rFonts w:ascii="Arial" w:eastAsia="宋体" w:hAnsi="Arial" w:cs="Arial"/>
                <w:b/>
                <w:bCs/>
                <w:color w:val="000000"/>
                <w:sz w:val="16"/>
                <w:szCs w:val="16"/>
              </w:rPr>
              <w:t>475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953" w14:textId="77777777" w:rsidR="003C66EB" w:rsidRDefault="003C66EB">
            <w:pPr>
              <w:jc w:val="right"/>
              <w:rPr>
                <w:rFonts w:ascii="宋体"/>
              </w:rPr>
            </w:pPr>
          </w:p>
        </w:tc>
        <w:tc>
          <w:tcPr>
            <w:tcW w:w="0" w:type="auto"/>
            <w:shd w:val="clear" w:color="auto" w:fill="auto"/>
          </w:tcPr>
          <w:p w14:paraId="5EA21954" w14:textId="77777777" w:rsidR="003C66EB" w:rsidRDefault="003C66EB">
            <w:pPr>
              <w:rPr>
                <w:rFonts w:ascii="宋体"/>
                <w:vanish/>
              </w:rPr>
            </w:pPr>
          </w:p>
        </w:tc>
        <w:tc>
          <w:tcPr>
            <w:tcW w:w="0" w:type="auto"/>
            <w:shd w:val="clear" w:color="auto" w:fill="auto"/>
          </w:tcPr>
          <w:p w14:paraId="5EA21955" w14:textId="77777777" w:rsidR="003C66EB" w:rsidRDefault="003C66EB">
            <w:pPr>
              <w:rPr>
                <w:rFonts w:ascii="宋体"/>
                <w:vanish/>
              </w:rPr>
            </w:pPr>
          </w:p>
        </w:tc>
        <w:tc>
          <w:tcPr>
            <w:tcW w:w="0" w:type="auto"/>
            <w:gridSpan w:val="3"/>
            <w:shd w:val="clear" w:color="auto" w:fill="auto"/>
          </w:tcPr>
          <w:p w14:paraId="5EA21956" w14:textId="77777777" w:rsidR="003C66EB" w:rsidRDefault="003C66EB">
            <w:pPr>
              <w:rPr>
                <w:rFonts w:ascii="宋体"/>
                <w:vanish/>
              </w:rPr>
            </w:pPr>
          </w:p>
        </w:tc>
        <w:tc>
          <w:tcPr>
            <w:tcW w:w="0" w:type="auto"/>
            <w:gridSpan w:val="3"/>
            <w:shd w:val="clear" w:color="auto" w:fill="auto"/>
          </w:tcPr>
          <w:p w14:paraId="5EA21957" w14:textId="77777777" w:rsidR="003C66EB" w:rsidRDefault="003C66EB">
            <w:pPr>
              <w:rPr>
                <w:rFonts w:ascii="宋体"/>
                <w:vanish/>
              </w:rPr>
            </w:pPr>
          </w:p>
        </w:tc>
        <w:tc>
          <w:tcPr>
            <w:tcW w:w="0" w:type="auto"/>
            <w:gridSpan w:val="3"/>
            <w:shd w:val="clear" w:color="auto" w:fill="auto"/>
          </w:tcPr>
          <w:p w14:paraId="5EA21958" w14:textId="77777777" w:rsidR="003C66EB" w:rsidRDefault="003C66EB">
            <w:pPr>
              <w:rPr>
                <w:rFonts w:ascii="宋体"/>
                <w:vanish/>
              </w:rPr>
            </w:pPr>
          </w:p>
        </w:tc>
        <w:tc>
          <w:tcPr>
            <w:tcW w:w="0" w:type="auto"/>
            <w:gridSpan w:val="3"/>
            <w:shd w:val="clear" w:color="auto" w:fill="auto"/>
          </w:tcPr>
          <w:p w14:paraId="5EA21959" w14:textId="77777777" w:rsidR="003C66EB" w:rsidRDefault="003C66EB">
            <w:pPr>
              <w:rPr>
                <w:rFonts w:ascii="宋体"/>
                <w:vanish/>
              </w:rPr>
            </w:pPr>
          </w:p>
        </w:tc>
      </w:tr>
      <w:tr w:rsidR="003C66EB" w14:paraId="5EA2196C" w14:textId="77777777">
        <w:trPr>
          <w:hidden/>
        </w:trPr>
        <w:tc>
          <w:tcPr>
            <w:tcW w:w="0" w:type="auto"/>
            <w:shd w:val="clear" w:color="auto" w:fill="auto"/>
          </w:tcPr>
          <w:p w14:paraId="5EA2195B" w14:textId="77777777" w:rsidR="003C66EB" w:rsidRDefault="003C66EB">
            <w:pPr>
              <w:rPr>
                <w:rFonts w:ascii="宋体"/>
                <w:vanish/>
              </w:rPr>
            </w:pPr>
          </w:p>
        </w:tc>
        <w:tc>
          <w:tcPr>
            <w:tcW w:w="0" w:type="auto"/>
            <w:shd w:val="clear" w:color="auto" w:fill="auto"/>
          </w:tcPr>
          <w:p w14:paraId="5EA2195C" w14:textId="77777777" w:rsidR="003C66EB" w:rsidRDefault="003C66EB">
            <w:pPr>
              <w:rPr>
                <w:rFonts w:ascii="宋体"/>
                <w:vanish/>
              </w:rPr>
            </w:pPr>
          </w:p>
        </w:tc>
        <w:tc>
          <w:tcPr>
            <w:tcW w:w="0" w:type="auto"/>
            <w:shd w:val="clear" w:color="auto" w:fill="auto"/>
          </w:tcPr>
          <w:p w14:paraId="5EA2195D" w14:textId="77777777" w:rsidR="003C66EB" w:rsidRDefault="003C66EB">
            <w:pPr>
              <w:rPr>
                <w:rFonts w:ascii="宋体"/>
                <w:vanish/>
              </w:rPr>
            </w:pPr>
          </w:p>
        </w:tc>
        <w:tc>
          <w:tcPr>
            <w:tcW w:w="0" w:type="auto"/>
            <w:shd w:val="clear" w:color="auto" w:fill="auto"/>
          </w:tcPr>
          <w:p w14:paraId="5EA2195E" w14:textId="77777777" w:rsidR="003C66EB" w:rsidRDefault="003C66EB">
            <w:pPr>
              <w:rPr>
                <w:rFonts w:ascii="宋体"/>
                <w:vanish/>
              </w:rPr>
            </w:pPr>
          </w:p>
        </w:tc>
        <w:tc>
          <w:tcPr>
            <w:tcW w:w="0" w:type="auto"/>
            <w:shd w:val="clear" w:color="auto" w:fill="auto"/>
          </w:tcPr>
          <w:p w14:paraId="5EA2195F" w14:textId="77777777" w:rsidR="003C66EB" w:rsidRDefault="003C66EB">
            <w:pPr>
              <w:rPr>
                <w:rFonts w:ascii="宋体"/>
                <w:vanish/>
              </w:rPr>
            </w:pPr>
          </w:p>
        </w:tc>
        <w:tc>
          <w:tcPr>
            <w:tcW w:w="0" w:type="auto"/>
            <w:shd w:val="clear" w:color="auto" w:fill="auto"/>
          </w:tcPr>
          <w:p w14:paraId="5EA21960" w14:textId="77777777" w:rsidR="003C66EB" w:rsidRDefault="003C66EB">
            <w:pPr>
              <w:rPr>
                <w:rFonts w:ascii="宋体"/>
                <w:vanish/>
              </w:rPr>
            </w:pPr>
          </w:p>
        </w:tc>
        <w:tc>
          <w:tcPr>
            <w:tcW w:w="0" w:type="auto"/>
            <w:gridSpan w:val="3"/>
            <w:shd w:val="clear" w:color="auto" w:fill="auto"/>
          </w:tcPr>
          <w:p w14:paraId="5EA21961" w14:textId="77777777" w:rsidR="003C66EB" w:rsidRDefault="003C66EB">
            <w:pPr>
              <w:rPr>
                <w:rFonts w:ascii="宋体"/>
                <w:vanish/>
              </w:rPr>
            </w:pPr>
          </w:p>
        </w:tc>
        <w:tc>
          <w:tcPr>
            <w:tcW w:w="0" w:type="auto"/>
            <w:gridSpan w:val="3"/>
            <w:shd w:val="clear" w:color="auto" w:fill="auto"/>
          </w:tcPr>
          <w:p w14:paraId="5EA21962" w14:textId="77777777" w:rsidR="003C66EB" w:rsidRDefault="003C66EB">
            <w:pPr>
              <w:rPr>
                <w:rFonts w:ascii="宋体"/>
                <w:vanish/>
              </w:rPr>
            </w:pPr>
          </w:p>
        </w:tc>
        <w:tc>
          <w:tcPr>
            <w:tcW w:w="0" w:type="auto"/>
            <w:gridSpan w:val="3"/>
            <w:shd w:val="clear" w:color="auto" w:fill="auto"/>
          </w:tcPr>
          <w:p w14:paraId="5EA21963" w14:textId="77777777" w:rsidR="003C66EB" w:rsidRDefault="003C66EB">
            <w:pPr>
              <w:rPr>
                <w:rFonts w:ascii="宋体"/>
                <w:vanish/>
              </w:rPr>
            </w:pPr>
          </w:p>
        </w:tc>
        <w:tc>
          <w:tcPr>
            <w:tcW w:w="0" w:type="auto"/>
            <w:gridSpan w:val="3"/>
            <w:shd w:val="clear" w:color="auto" w:fill="auto"/>
          </w:tcPr>
          <w:p w14:paraId="5EA21964" w14:textId="77777777" w:rsidR="003C66EB" w:rsidRDefault="003C66EB">
            <w:pPr>
              <w:rPr>
                <w:rFonts w:ascii="宋体"/>
                <w:vanish/>
              </w:rPr>
            </w:pPr>
          </w:p>
        </w:tc>
        <w:tc>
          <w:tcPr>
            <w:tcW w:w="0" w:type="auto"/>
            <w:gridSpan w:val="3"/>
            <w:shd w:val="clear" w:color="auto" w:fill="auto"/>
          </w:tcPr>
          <w:p w14:paraId="5EA21965" w14:textId="77777777" w:rsidR="003C66EB" w:rsidRDefault="003C66EB">
            <w:pPr>
              <w:rPr>
                <w:rFonts w:ascii="宋体"/>
                <w:vanish/>
              </w:rPr>
            </w:pPr>
          </w:p>
        </w:tc>
        <w:tc>
          <w:tcPr>
            <w:tcW w:w="0" w:type="auto"/>
            <w:shd w:val="clear" w:color="auto" w:fill="auto"/>
          </w:tcPr>
          <w:p w14:paraId="5EA21966" w14:textId="77777777" w:rsidR="003C66EB" w:rsidRDefault="003C66EB">
            <w:pPr>
              <w:rPr>
                <w:rFonts w:ascii="宋体"/>
                <w:vanish/>
              </w:rPr>
            </w:pPr>
          </w:p>
        </w:tc>
        <w:tc>
          <w:tcPr>
            <w:tcW w:w="0" w:type="auto"/>
            <w:shd w:val="clear" w:color="auto" w:fill="auto"/>
          </w:tcPr>
          <w:p w14:paraId="5EA21967" w14:textId="77777777" w:rsidR="003C66EB" w:rsidRDefault="003C66EB">
            <w:pPr>
              <w:rPr>
                <w:rFonts w:ascii="宋体"/>
                <w:vanish/>
              </w:rPr>
            </w:pPr>
          </w:p>
        </w:tc>
        <w:tc>
          <w:tcPr>
            <w:tcW w:w="0" w:type="auto"/>
            <w:gridSpan w:val="3"/>
            <w:shd w:val="clear" w:color="auto" w:fill="auto"/>
          </w:tcPr>
          <w:p w14:paraId="5EA21968" w14:textId="77777777" w:rsidR="003C66EB" w:rsidRDefault="003C66EB">
            <w:pPr>
              <w:rPr>
                <w:rFonts w:ascii="宋体"/>
                <w:vanish/>
              </w:rPr>
            </w:pPr>
          </w:p>
        </w:tc>
        <w:tc>
          <w:tcPr>
            <w:tcW w:w="0" w:type="auto"/>
            <w:gridSpan w:val="3"/>
            <w:shd w:val="clear" w:color="auto" w:fill="auto"/>
          </w:tcPr>
          <w:p w14:paraId="5EA21969" w14:textId="77777777" w:rsidR="003C66EB" w:rsidRDefault="003C66EB">
            <w:pPr>
              <w:rPr>
                <w:rFonts w:ascii="宋体"/>
                <w:vanish/>
              </w:rPr>
            </w:pPr>
          </w:p>
        </w:tc>
        <w:tc>
          <w:tcPr>
            <w:tcW w:w="0" w:type="auto"/>
            <w:gridSpan w:val="3"/>
            <w:shd w:val="clear" w:color="auto" w:fill="auto"/>
          </w:tcPr>
          <w:p w14:paraId="5EA2196A" w14:textId="77777777" w:rsidR="003C66EB" w:rsidRDefault="003C66EB">
            <w:pPr>
              <w:rPr>
                <w:rFonts w:ascii="宋体"/>
                <w:vanish/>
              </w:rPr>
            </w:pPr>
          </w:p>
        </w:tc>
        <w:tc>
          <w:tcPr>
            <w:tcW w:w="0" w:type="auto"/>
            <w:gridSpan w:val="3"/>
            <w:shd w:val="clear" w:color="auto" w:fill="auto"/>
          </w:tcPr>
          <w:p w14:paraId="5EA2196B" w14:textId="77777777" w:rsidR="003C66EB" w:rsidRDefault="003C66EB">
            <w:pPr>
              <w:rPr>
                <w:rFonts w:ascii="宋体"/>
                <w:vanish/>
              </w:rPr>
            </w:pPr>
          </w:p>
        </w:tc>
      </w:tr>
      <w:tr w:rsidR="003C66EB" w14:paraId="5EA2197E" w14:textId="77777777">
        <w:trPr>
          <w:hidden/>
        </w:trPr>
        <w:tc>
          <w:tcPr>
            <w:tcW w:w="0" w:type="auto"/>
            <w:shd w:val="clear" w:color="auto" w:fill="auto"/>
          </w:tcPr>
          <w:p w14:paraId="5EA2196D" w14:textId="77777777" w:rsidR="003C66EB" w:rsidRDefault="003C66EB">
            <w:pPr>
              <w:rPr>
                <w:rFonts w:ascii="宋体"/>
                <w:vanish/>
              </w:rPr>
            </w:pPr>
          </w:p>
        </w:tc>
        <w:tc>
          <w:tcPr>
            <w:tcW w:w="0" w:type="auto"/>
            <w:shd w:val="clear" w:color="auto" w:fill="auto"/>
          </w:tcPr>
          <w:p w14:paraId="5EA2196E" w14:textId="77777777" w:rsidR="003C66EB" w:rsidRDefault="003C66EB">
            <w:pPr>
              <w:rPr>
                <w:rFonts w:ascii="宋体"/>
                <w:vanish/>
              </w:rPr>
            </w:pPr>
          </w:p>
        </w:tc>
        <w:tc>
          <w:tcPr>
            <w:tcW w:w="0" w:type="auto"/>
            <w:shd w:val="clear" w:color="auto" w:fill="auto"/>
          </w:tcPr>
          <w:p w14:paraId="5EA2196F" w14:textId="77777777" w:rsidR="003C66EB" w:rsidRDefault="003C66EB">
            <w:pPr>
              <w:rPr>
                <w:rFonts w:ascii="宋体"/>
                <w:vanish/>
              </w:rPr>
            </w:pPr>
          </w:p>
        </w:tc>
        <w:tc>
          <w:tcPr>
            <w:tcW w:w="0" w:type="auto"/>
            <w:shd w:val="clear" w:color="auto" w:fill="auto"/>
          </w:tcPr>
          <w:p w14:paraId="5EA21970" w14:textId="77777777" w:rsidR="003C66EB" w:rsidRDefault="003C66EB">
            <w:pPr>
              <w:rPr>
                <w:rFonts w:ascii="宋体"/>
                <w:vanish/>
              </w:rPr>
            </w:pPr>
          </w:p>
        </w:tc>
        <w:tc>
          <w:tcPr>
            <w:tcW w:w="0" w:type="auto"/>
            <w:shd w:val="clear" w:color="auto" w:fill="auto"/>
          </w:tcPr>
          <w:p w14:paraId="5EA21971" w14:textId="77777777" w:rsidR="003C66EB" w:rsidRDefault="003C66EB">
            <w:pPr>
              <w:rPr>
                <w:rFonts w:ascii="宋体"/>
                <w:vanish/>
              </w:rPr>
            </w:pPr>
          </w:p>
        </w:tc>
        <w:tc>
          <w:tcPr>
            <w:tcW w:w="0" w:type="auto"/>
            <w:shd w:val="clear" w:color="auto" w:fill="auto"/>
          </w:tcPr>
          <w:p w14:paraId="5EA21972" w14:textId="77777777" w:rsidR="003C66EB" w:rsidRDefault="003C66EB">
            <w:pPr>
              <w:rPr>
                <w:rFonts w:ascii="宋体"/>
                <w:vanish/>
              </w:rPr>
            </w:pPr>
          </w:p>
        </w:tc>
        <w:tc>
          <w:tcPr>
            <w:tcW w:w="0" w:type="auto"/>
            <w:gridSpan w:val="3"/>
            <w:shd w:val="clear" w:color="auto" w:fill="auto"/>
          </w:tcPr>
          <w:p w14:paraId="5EA21973" w14:textId="77777777" w:rsidR="003C66EB" w:rsidRDefault="003C66EB">
            <w:pPr>
              <w:rPr>
                <w:rFonts w:ascii="宋体"/>
                <w:vanish/>
              </w:rPr>
            </w:pPr>
          </w:p>
        </w:tc>
        <w:tc>
          <w:tcPr>
            <w:tcW w:w="0" w:type="auto"/>
            <w:gridSpan w:val="3"/>
            <w:shd w:val="clear" w:color="auto" w:fill="auto"/>
          </w:tcPr>
          <w:p w14:paraId="5EA21974" w14:textId="77777777" w:rsidR="003C66EB" w:rsidRDefault="003C66EB">
            <w:pPr>
              <w:rPr>
                <w:rFonts w:ascii="宋体"/>
                <w:vanish/>
              </w:rPr>
            </w:pPr>
          </w:p>
        </w:tc>
        <w:tc>
          <w:tcPr>
            <w:tcW w:w="0" w:type="auto"/>
            <w:gridSpan w:val="3"/>
            <w:shd w:val="clear" w:color="auto" w:fill="auto"/>
          </w:tcPr>
          <w:p w14:paraId="5EA21975" w14:textId="77777777" w:rsidR="003C66EB" w:rsidRDefault="003C66EB">
            <w:pPr>
              <w:rPr>
                <w:rFonts w:ascii="宋体"/>
                <w:vanish/>
              </w:rPr>
            </w:pPr>
          </w:p>
        </w:tc>
        <w:tc>
          <w:tcPr>
            <w:tcW w:w="0" w:type="auto"/>
            <w:gridSpan w:val="3"/>
            <w:shd w:val="clear" w:color="auto" w:fill="auto"/>
          </w:tcPr>
          <w:p w14:paraId="5EA21976" w14:textId="77777777" w:rsidR="003C66EB" w:rsidRDefault="003C66EB">
            <w:pPr>
              <w:rPr>
                <w:rFonts w:ascii="宋体"/>
                <w:vanish/>
              </w:rPr>
            </w:pPr>
          </w:p>
        </w:tc>
        <w:tc>
          <w:tcPr>
            <w:tcW w:w="0" w:type="auto"/>
            <w:gridSpan w:val="3"/>
            <w:shd w:val="clear" w:color="auto" w:fill="auto"/>
          </w:tcPr>
          <w:p w14:paraId="5EA21977" w14:textId="77777777" w:rsidR="003C66EB" w:rsidRDefault="003C66EB">
            <w:pPr>
              <w:rPr>
                <w:rFonts w:ascii="宋体"/>
                <w:vanish/>
              </w:rPr>
            </w:pPr>
          </w:p>
        </w:tc>
        <w:tc>
          <w:tcPr>
            <w:tcW w:w="0" w:type="auto"/>
            <w:shd w:val="clear" w:color="auto" w:fill="auto"/>
          </w:tcPr>
          <w:p w14:paraId="5EA21978" w14:textId="77777777" w:rsidR="003C66EB" w:rsidRDefault="003C66EB">
            <w:pPr>
              <w:rPr>
                <w:rFonts w:ascii="宋体"/>
                <w:vanish/>
              </w:rPr>
            </w:pPr>
          </w:p>
        </w:tc>
        <w:tc>
          <w:tcPr>
            <w:tcW w:w="0" w:type="auto"/>
            <w:shd w:val="clear" w:color="auto" w:fill="auto"/>
          </w:tcPr>
          <w:p w14:paraId="5EA21979" w14:textId="77777777" w:rsidR="003C66EB" w:rsidRDefault="003C66EB">
            <w:pPr>
              <w:rPr>
                <w:rFonts w:ascii="宋体"/>
                <w:vanish/>
              </w:rPr>
            </w:pPr>
          </w:p>
        </w:tc>
        <w:tc>
          <w:tcPr>
            <w:tcW w:w="0" w:type="auto"/>
            <w:gridSpan w:val="3"/>
            <w:shd w:val="clear" w:color="auto" w:fill="auto"/>
          </w:tcPr>
          <w:p w14:paraId="5EA2197A" w14:textId="77777777" w:rsidR="003C66EB" w:rsidRDefault="003C66EB">
            <w:pPr>
              <w:rPr>
                <w:rFonts w:ascii="宋体"/>
                <w:vanish/>
              </w:rPr>
            </w:pPr>
          </w:p>
        </w:tc>
        <w:tc>
          <w:tcPr>
            <w:tcW w:w="0" w:type="auto"/>
            <w:gridSpan w:val="3"/>
            <w:shd w:val="clear" w:color="auto" w:fill="auto"/>
          </w:tcPr>
          <w:p w14:paraId="5EA2197B" w14:textId="77777777" w:rsidR="003C66EB" w:rsidRDefault="003C66EB">
            <w:pPr>
              <w:rPr>
                <w:rFonts w:ascii="宋体"/>
                <w:vanish/>
              </w:rPr>
            </w:pPr>
          </w:p>
        </w:tc>
        <w:tc>
          <w:tcPr>
            <w:tcW w:w="0" w:type="auto"/>
            <w:gridSpan w:val="3"/>
            <w:shd w:val="clear" w:color="auto" w:fill="auto"/>
          </w:tcPr>
          <w:p w14:paraId="5EA2197C" w14:textId="77777777" w:rsidR="003C66EB" w:rsidRDefault="003C66EB">
            <w:pPr>
              <w:rPr>
                <w:rFonts w:ascii="宋体"/>
                <w:vanish/>
              </w:rPr>
            </w:pPr>
          </w:p>
        </w:tc>
        <w:tc>
          <w:tcPr>
            <w:tcW w:w="0" w:type="auto"/>
            <w:gridSpan w:val="3"/>
            <w:shd w:val="clear" w:color="auto" w:fill="auto"/>
          </w:tcPr>
          <w:p w14:paraId="5EA2197D" w14:textId="77777777" w:rsidR="003C66EB" w:rsidRDefault="003C66EB">
            <w:pPr>
              <w:rPr>
                <w:rFonts w:ascii="宋体"/>
                <w:vanish/>
              </w:rPr>
            </w:pPr>
          </w:p>
        </w:tc>
      </w:tr>
    </w:tbl>
    <w:p w14:paraId="5EA2197F" w14:textId="77777777" w:rsidR="003C66EB" w:rsidRDefault="003C66EB">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122"/>
        <w:gridCol w:w="122"/>
        <w:gridCol w:w="122"/>
        <w:gridCol w:w="122"/>
        <w:gridCol w:w="122"/>
        <w:gridCol w:w="36"/>
        <w:gridCol w:w="36"/>
        <w:gridCol w:w="36"/>
        <w:gridCol w:w="36"/>
        <w:gridCol w:w="36"/>
        <w:gridCol w:w="36"/>
        <w:gridCol w:w="36"/>
        <w:gridCol w:w="36"/>
        <w:gridCol w:w="36"/>
        <w:gridCol w:w="37"/>
        <w:gridCol w:w="2239"/>
        <w:gridCol w:w="36"/>
        <w:gridCol w:w="36"/>
        <w:gridCol w:w="36"/>
        <w:gridCol w:w="36"/>
        <w:gridCol w:w="110"/>
        <w:gridCol w:w="2206"/>
        <w:gridCol w:w="36"/>
        <w:gridCol w:w="36"/>
        <w:gridCol w:w="36"/>
        <w:gridCol w:w="36"/>
        <w:gridCol w:w="110"/>
        <w:gridCol w:w="2207"/>
        <w:gridCol w:w="36"/>
      </w:tblGrid>
      <w:tr w:rsidR="003C66EB" w14:paraId="5EA2199B" w14:textId="77777777">
        <w:trPr>
          <w:hidden/>
        </w:trPr>
        <w:tc>
          <w:tcPr>
            <w:tcW w:w="0" w:type="auto"/>
            <w:shd w:val="clear" w:color="auto" w:fill="auto"/>
          </w:tcPr>
          <w:p w14:paraId="5EA21980" w14:textId="77777777" w:rsidR="003C66EB" w:rsidRDefault="003C66EB">
            <w:pPr>
              <w:rPr>
                <w:rFonts w:ascii="宋体"/>
                <w:vanish/>
              </w:rPr>
            </w:pPr>
          </w:p>
        </w:tc>
        <w:tc>
          <w:tcPr>
            <w:tcW w:w="0" w:type="auto"/>
            <w:shd w:val="clear" w:color="auto" w:fill="auto"/>
          </w:tcPr>
          <w:p w14:paraId="5EA21981" w14:textId="77777777" w:rsidR="003C66EB" w:rsidRDefault="003C66EB">
            <w:pPr>
              <w:rPr>
                <w:rFonts w:ascii="宋体"/>
                <w:vanish/>
              </w:rPr>
            </w:pPr>
          </w:p>
        </w:tc>
        <w:tc>
          <w:tcPr>
            <w:tcW w:w="0" w:type="auto"/>
            <w:shd w:val="clear" w:color="auto" w:fill="auto"/>
          </w:tcPr>
          <w:p w14:paraId="5EA21982" w14:textId="77777777" w:rsidR="003C66EB" w:rsidRDefault="003C66EB">
            <w:pPr>
              <w:rPr>
                <w:rFonts w:ascii="宋体"/>
                <w:vanish/>
              </w:rPr>
            </w:pPr>
          </w:p>
        </w:tc>
        <w:tc>
          <w:tcPr>
            <w:tcW w:w="0" w:type="auto"/>
            <w:shd w:val="clear" w:color="auto" w:fill="auto"/>
          </w:tcPr>
          <w:p w14:paraId="5EA21983" w14:textId="77777777" w:rsidR="003C66EB" w:rsidRDefault="003C66EB">
            <w:pPr>
              <w:rPr>
                <w:rFonts w:ascii="宋体"/>
                <w:vanish/>
              </w:rPr>
            </w:pPr>
          </w:p>
        </w:tc>
        <w:tc>
          <w:tcPr>
            <w:tcW w:w="0" w:type="auto"/>
            <w:shd w:val="clear" w:color="auto" w:fill="auto"/>
          </w:tcPr>
          <w:p w14:paraId="5EA21984" w14:textId="77777777" w:rsidR="003C66EB" w:rsidRDefault="003C66EB">
            <w:pPr>
              <w:rPr>
                <w:rFonts w:ascii="宋体"/>
                <w:vanish/>
              </w:rPr>
            </w:pPr>
          </w:p>
        </w:tc>
        <w:tc>
          <w:tcPr>
            <w:tcW w:w="0" w:type="auto"/>
            <w:shd w:val="clear" w:color="auto" w:fill="auto"/>
          </w:tcPr>
          <w:p w14:paraId="5EA21985" w14:textId="77777777" w:rsidR="003C66EB" w:rsidRDefault="003C66EB">
            <w:pPr>
              <w:rPr>
                <w:rFonts w:ascii="宋体"/>
                <w:vanish/>
              </w:rPr>
            </w:pPr>
          </w:p>
        </w:tc>
        <w:tc>
          <w:tcPr>
            <w:tcW w:w="0" w:type="auto"/>
            <w:shd w:val="clear" w:color="auto" w:fill="auto"/>
          </w:tcPr>
          <w:p w14:paraId="5EA21986" w14:textId="77777777" w:rsidR="003C66EB" w:rsidRDefault="003C66EB">
            <w:pPr>
              <w:rPr>
                <w:rFonts w:ascii="宋体"/>
                <w:vanish/>
              </w:rPr>
            </w:pPr>
          </w:p>
        </w:tc>
        <w:tc>
          <w:tcPr>
            <w:tcW w:w="0" w:type="auto"/>
            <w:shd w:val="clear" w:color="auto" w:fill="auto"/>
          </w:tcPr>
          <w:p w14:paraId="5EA21987" w14:textId="77777777" w:rsidR="003C66EB" w:rsidRDefault="003C66EB">
            <w:pPr>
              <w:rPr>
                <w:rFonts w:ascii="宋体"/>
                <w:vanish/>
              </w:rPr>
            </w:pPr>
          </w:p>
        </w:tc>
        <w:tc>
          <w:tcPr>
            <w:tcW w:w="0" w:type="auto"/>
            <w:shd w:val="clear" w:color="auto" w:fill="auto"/>
          </w:tcPr>
          <w:p w14:paraId="5EA21988" w14:textId="77777777" w:rsidR="003C66EB" w:rsidRDefault="003C66EB">
            <w:pPr>
              <w:rPr>
                <w:rFonts w:ascii="宋体"/>
                <w:vanish/>
              </w:rPr>
            </w:pPr>
          </w:p>
        </w:tc>
        <w:tc>
          <w:tcPr>
            <w:tcW w:w="0" w:type="auto"/>
            <w:gridSpan w:val="3"/>
            <w:shd w:val="clear" w:color="auto" w:fill="auto"/>
          </w:tcPr>
          <w:p w14:paraId="5EA21989" w14:textId="77777777" w:rsidR="003C66EB" w:rsidRDefault="003C66EB">
            <w:pPr>
              <w:rPr>
                <w:rFonts w:ascii="宋体"/>
                <w:vanish/>
              </w:rPr>
            </w:pPr>
          </w:p>
        </w:tc>
        <w:tc>
          <w:tcPr>
            <w:tcW w:w="0" w:type="auto"/>
            <w:gridSpan w:val="3"/>
            <w:shd w:val="clear" w:color="auto" w:fill="auto"/>
          </w:tcPr>
          <w:p w14:paraId="5EA2198A" w14:textId="77777777" w:rsidR="003C66EB" w:rsidRDefault="003C66EB">
            <w:pPr>
              <w:rPr>
                <w:rFonts w:ascii="宋体"/>
                <w:vanish/>
              </w:rPr>
            </w:pPr>
          </w:p>
        </w:tc>
        <w:tc>
          <w:tcPr>
            <w:tcW w:w="0" w:type="auto"/>
            <w:gridSpan w:val="3"/>
            <w:shd w:val="clear" w:color="auto" w:fill="auto"/>
          </w:tcPr>
          <w:p w14:paraId="5EA2198B" w14:textId="77777777" w:rsidR="003C66EB" w:rsidRDefault="003C66EB">
            <w:pPr>
              <w:rPr>
                <w:rFonts w:ascii="宋体"/>
                <w:vanish/>
              </w:rPr>
            </w:pPr>
          </w:p>
        </w:tc>
        <w:tc>
          <w:tcPr>
            <w:tcW w:w="50" w:type="pct"/>
            <w:shd w:val="clear" w:color="auto" w:fill="auto"/>
          </w:tcPr>
          <w:p w14:paraId="5EA2198C" w14:textId="77777777" w:rsidR="003C66EB" w:rsidRDefault="003C66EB">
            <w:pPr>
              <w:rPr>
                <w:rFonts w:ascii="宋体"/>
              </w:rPr>
            </w:pPr>
          </w:p>
        </w:tc>
        <w:tc>
          <w:tcPr>
            <w:tcW w:w="1587" w:type="pct"/>
            <w:shd w:val="clear" w:color="auto" w:fill="auto"/>
          </w:tcPr>
          <w:p w14:paraId="5EA2198D" w14:textId="77777777" w:rsidR="003C66EB" w:rsidRDefault="003C66EB">
            <w:pPr>
              <w:rPr>
                <w:rFonts w:ascii="宋体"/>
              </w:rPr>
            </w:pPr>
          </w:p>
        </w:tc>
        <w:tc>
          <w:tcPr>
            <w:tcW w:w="5" w:type="pct"/>
            <w:shd w:val="clear" w:color="auto" w:fill="auto"/>
          </w:tcPr>
          <w:p w14:paraId="5EA2198E" w14:textId="77777777" w:rsidR="003C66EB" w:rsidRDefault="003C66EB">
            <w:pPr>
              <w:rPr>
                <w:rFonts w:ascii="宋体"/>
              </w:rPr>
            </w:pPr>
          </w:p>
        </w:tc>
        <w:tc>
          <w:tcPr>
            <w:tcW w:w="5" w:type="pct"/>
            <w:shd w:val="clear" w:color="auto" w:fill="auto"/>
          </w:tcPr>
          <w:p w14:paraId="5EA2198F" w14:textId="77777777" w:rsidR="003C66EB" w:rsidRDefault="003C66EB">
            <w:pPr>
              <w:rPr>
                <w:rFonts w:ascii="宋体"/>
              </w:rPr>
            </w:pPr>
          </w:p>
        </w:tc>
        <w:tc>
          <w:tcPr>
            <w:tcW w:w="26" w:type="pct"/>
            <w:shd w:val="clear" w:color="auto" w:fill="auto"/>
          </w:tcPr>
          <w:p w14:paraId="5EA21990" w14:textId="77777777" w:rsidR="003C66EB" w:rsidRDefault="003C66EB">
            <w:pPr>
              <w:rPr>
                <w:rFonts w:ascii="宋体"/>
              </w:rPr>
            </w:pPr>
          </w:p>
        </w:tc>
        <w:tc>
          <w:tcPr>
            <w:tcW w:w="5" w:type="pct"/>
            <w:shd w:val="clear" w:color="auto" w:fill="auto"/>
          </w:tcPr>
          <w:p w14:paraId="5EA21991" w14:textId="77777777" w:rsidR="003C66EB" w:rsidRDefault="003C66EB">
            <w:pPr>
              <w:rPr>
                <w:rFonts w:ascii="宋体"/>
              </w:rPr>
            </w:pPr>
          </w:p>
        </w:tc>
        <w:tc>
          <w:tcPr>
            <w:tcW w:w="50" w:type="pct"/>
            <w:shd w:val="clear" w:color="auto" w:fill="auto"/>
          </w:tcPr>
          <w:p w14:paraId="5EA21992" w14:textId="77777777" w:rsidR="003C66EB" w:rsidRDefault="003C66EB">
            <w:pPr>
              <w:rPr>
                <w:rFonts w:ascii="宋体"/>
              </w:rPr>
            </w:pPr>
          </w:p>
        </w:tc>
        <w:tc>
          <w:tcPr>
            <w:tcW w:w="1587" w:type="pct"/>
            <w:shd w:val="clear" w:color="auto" w:fill="auto"/>
          </w:tcPr>
          <w:p w14:paraId="5EA21993" w14:textId="77777777" w:rsidR="003C66EB" w:rsidRDefault="003C66EB">
            <w:pPr>
              <w:rPr>
                <w:rFonts w:ascii="宋体"/>
              </w:rPr>
            </w:pPr>
          </w:p>
        </w:tc>
        <w:tc>
          <w:tcPr>
            <w:tcW w:w="5" w:type="pct"/>
            <w:shd w:val="clear" w:color="auto" w:fill="auto"/>
          </w:tcPr>
          <w:p w14:paraId="5EA21994" w14:textId="77777777" w:rsidR="003C66EB" w:rsidRDefault="003C66EB">
            <w:pPr>
              <w:rPr>
                <w:rFonts w:ascii="宋体"/>
              </w:rPr>
            </w:pPr>
          </w:p>
        </w:tc>
        <w:tc>
          <w:tcPr>
            <w:tcW w:w="5" w:type="pct"/>
            <w:shd w:val="clear" w:color="auto" w:fill="auto"/>
          </w:tcPr>
          <w:p w14:paraId="5EA21995" w14:textId="77777777" w:rsidR="003C66EB" w:rsidRDefault="003C66EB">
            <w:pPr>
              <w:rPr>
                <w:rFonts w:ascii="宋体"/>
              </w:rPr>
            </w:pPr>
          </w:p>
        </w:tc>
        <w:tc>
          <w:tcPr>
            <w:tcW w:w="26" w:type="pct"/>
            <w:shd w:val="clear" w:color="auto" w:fill="auto"/>
          </w:tcPr>
          <w:p w14:paraId="5EA21996" w14:textId="77777777" w:rsidR="003C66EB" w:rsidRDefault="003C66EB">
            <w:pPr>
              <w:rPr>
                <w:rFonts w:ascii="宋体"/>
              </w:rPr>
            </w:pPr>
          </w:p>
        </w:tc>
        <w:tc>
          <w:tcPr>
            <w:tcW w:w="5" w:type="pct"/>
            <w:shd w:val="clear" w:color="auto" w:fill="auto"/>
          </w:tcPr>
          <w:p w14:paraId="5EA21997" w14:textId="77777777" w:rsidR="003C66EB" w:rsidRDefault="003C66EB">
            <w:pPr>
              <w:rPr>
                <w:rFonts w:ascii="宋体"/>
              </w:rPr>
            </w:pPr>
          </w:p>
        </w:tc>
        <w:tc>
          <w:tcPr>
            <w:tcW w:w="50" w:type="pct"/>
            <w:shd w:val="clear" w:color="auto" w:fill="auto"/>
          </w:tcPr>
          <w:p w14:paraId="5EA21998" w14:textId="77777777" w:rsidR="003C66EB" w:rsidRDefault="003C66EB">
            <w:pPr>
              <w:rPr>
                <w:rFonts w:ascii="宋体"/>
              </w:rPr>
            </w:pPr>
          </w:p>
        </w:tc>
        <w:tc>
          <w:tcPr>
            <w:tcW w:w="1587" w:type="pct"/>
            <w:shd w:val="clear" w:color="auto" w:fill="auto"/>
          </w:tcPr>
          <w:p w14:paraId="5EA21999" w14:textId="77777777" w:rsidR="003C66EB" w:rsidRDefault="003C66EB">
            <w:pPr>
              <w:rPr>
                <w:rFonts w:ascii="宋体"/>
              </w:rPr>
            </w:pPr>
          </w:p>
        </w:tc>
        <w:tc>
          <w:tcPr>
            <w:tcW w:w="5" w:type="pct"/>
            <w:shd w:val="clear" w:color="auto" w:fill="auto"/>
          </w:tcPr>
          <w:p w14:paraId="5EA2199A" w14:textId="77777777" w:rsidR="003C66EB" w:rsidRDefault="003C66EB">
            <w:pPr>
              <w:rPr>
                <w:rFonts w:ascii="宋体"/>
              </w:rPr>
            </w:pPr>
          </w:p>
        </w:tc>
      </w:tr>
      <w:tr w:rsidR="003C66EB" w14:paraId="5EA219B9" w14:textId="77777777">
        <w:trPr>
          <w:hidden/>
        </w:trPr>
        <w:tc>
          <w:tcPr>
            <w:tcW w:w="0" w:type="auto"/>
            <w:shd w:val="clear" w:color="auto" w:fill="auto"/>
          </w:tcPr>
          <w:p w14:paraId="5EA2199C" w14:textId="77777777" w:rsidR="003C66EB" w:rsidRDefault="003C66EB">
            <w:pPr>
              <w:rPr>
                <w:rFonts w:ascii="宋体"/>
                <w:vanish/>
              </w:rPr>
            </w:pPr>
          </w:p>
        </w:tc>
        <w:tc>
          <w:tcPr>
            <w:tcW w:w="0" w:type="auto"/>
            <w:shd w:val="clear" w:color="auto" w:fill="auto"/>
          </w:tcPr>
          <w:p w14:paraId="5EA2199D" w14:textId="77777777" w:rsidR="003C66EB" w:rsidRDefault="003C66EB">
            <w:pPr>
              <w:rPr>
                <w:rFonts w:ascii="宋体"/>
                <w:vanish/>
              </w:rPr>
            </w:pPr>
          </w:p>
        </w:tc>
        <w:tc>
          <w:tcPr>
            <w:tcW w:w="0" w:type="auto"/>
            <w:shd w:val="clear" w:color="auto" w:fill="auto"/>
          </w:tcPr>
          <w:p w14:paraId="5EA2199E" w14:textId="77777777" w:rsidR="003C66EB" w:rsidRDefault="003C66EB">
            <w:pPr>
              <w:rPr>
                <w:rFonts w:ascii="宋体"/>
                <w:vanish/>
              </w:rPr>
            </w:pPr>
          </w:p>
        </w:tc>
        <w:tc>
          <w:tcPr>
            <w:tcW w:w="0" w:type="auto"/>
            <w:shd w:val="clear" w:color="auto" w:fill="auto"/>
          </w:tcPr>
          <w:p w14:paraId="5EA2199F" w14:textId="77777777" w:rsidR="003C66EB" w:rsidRDefault="003C66EB">
            <w:pPr>
              <w:rPr>
                <w:rFonts w:ascii="宋体"/>
                <w:vanish/>
              </w:rPr>
            </w:pPr>
          </w:p>
        </w:tc>
        <w:tc>
          <w:tcPr>
            <w:tcW w:w="0" w:type="auto"/>
            <w:gridSpan w:val="5"/>
            <w:shd w:val="clear" w:color="auto" w:fill="auto"/>
            <w:tcMar>
              <w:top w:w="40" w:type="dxa"/>
              <w:left w:w="20" w:type="dxa"/>
              <w:bottom w:w="40" w:type="dxa"/>
              <w:right w:w="20" w:type="dxa"/>
            </w:tcMar>
            <w:vAlign w:val="bottom"/>
          </w:tcPr>
          <w:p w14:paraId="5EA219A0" w14:textId="77777777" w:rsidR="003C66EB" w:rsidRDefault="00D96C4E">
            <w:pPr>
              <w:jc w:val="center"/>
              <w:textAlignment w:val="bottom"/>
            </w:pPr>
            <w:r>
              <w:rPr>
                <w:rFonts w:ascii="Arial" w:eastAsia="宋体" w:hAnsi="Arial" w:cs="Arial"/>
                <w:b/>
                <w:bCs/>
                <w:color w:val="000000"/>
                <w:sz w:val="16"/>
                <w:szCs w:val="16"/>
              </w:rPr>
              <w:t>Three Months Ended March 31, 2020</w:t>
            </w:r>
          </w:p>
        </w:tc>
        <w:tc>
          <w:tcPr>
            <w:tcW w:w="0" w:type="auto"/>
            <w:shd w:val="clear" w:color="auto" w:fill="auto"/>
          </w:tcPr>
          <w:p w14:paraId="5EA219A1" w14:textId="77777777" w:rsidR="003C66EB" w:rsidRDefault="003C66EB">
            <w:pPr>
              <w:rPr>
                <w:rFonts w:ascii="宋体"/>
              </w:rPr>
            </w:pPr>
          </w:p>
        </w:tc>
        <w:tc>
          <w:tcPr>
            <w:tcW w:w="0" w:type="auto"/>
            <w:shd w:val="clear" w:color="auto" w:fill="auto"/>
          </w:tcPr>
          <w:p w14:paraId="5EA219A2" w14:textId="77777777" w:rsidR="003C66EB" w:rsidRDefault="003C66EB">
            <w:pPr>
              <w:rPr>
                <w:rFonts w:ascii="宋体"/>
              </w:rPr>
            </w:pPr>
          </w:p>
        </w:tc>
        <w:tc>
          <w:tcPr>
            <w:tcW w:w="0" w:type="auto"/>
            <w:shd w:val="clear" w:color="auto" w:fill="auto"/>
          </w:tcPr>
          <w:p w14:paraId="5EA219A3" w14:textId="77777777" w:rsidR="003C66EB" w:rsidRDefault="003C66EB">
            <w:pPr>
              <w:rPr>
                <w:rFonts w:ascii="宋体"/>
              </w:rPr>
            </w:pPr>
          </w:p>
        </w:tc>
        <w:tc>
          <w:tcPr>
            <w:tcW w:w="0" w:type="auto"/>
            <w:shd w:val="clear" w:color="auto" w:fill="auto"/>
          </w:tcPr>
          <w:p w14:paraId="5EA219A4" w14:textId="77777777" w:rsidR="003C66EB" w:rsidRDefault="003C66EB">
            <w:pPr>
              <w:rPr>
                <w:rFonts w:ascii="宋体"/>
              </w:rPr>
            </w:pPr>
          </w:p>
        </w:tc>
        <w:tc>
          <w:tcPr>
            <w:tcW w:w="0" w:type="auto"/>
            <w:shd w:val="clear" w:color="auto" w:fill="auto"/>
          </w:tcPr>
          <w:p w14:paraId="5EA219A5" w14:textId="77777777" w:rsidR="003C66EB" w:rsidRDefault="003C66EB">
            <w:pPr>
              <w:rPr>
                <w:rFonts w:ascii="宋体"/>
              </w:rPr>
            </w:pPr>
          </w:p>
        </w:tc>
        <w:tc>
          <w:tcPr>
            <w:tcW w:w="0" w:type="auto"/>
            <w:shd w:val="clear" w:color="auto" w:fill="auto"/>
          </w:tcPr>
          <w:p w14:paraId="5EA219A6" w14:textId="77777777" w:rsidR="003C66EB" w:rsidRDefault="003C66EB">
            <w:pPr>
              <w:rPr>
                <w:rFonts w:ascii="宋体"/>
              </w:rPr>
            </w:pPr>
          </w:p>
        </w:tc>
        <w:tc>
          <w:tcPr>
            <w:tcW w:w="0" w:type="auto"/>
            <w:shd w:val="clear" w:color="auto" w:fill="auto"/>
          </w:tcPr>
          <w:p w14:paraId="5EA219A7" w14:textId="77777777" w:rsidR="003C66EB" w:rsidRDefault="003C66EB">
            <w:pPr>
              <w:rPr>
                <w:rFonts w:ascii="宋体"/>
              </w:rPr>
            </w:pPr>
          </w:p>
        </w:tc>
        <w:tc>
          <w:tcPr>
            <w:tcW w:w="0" w:type="auto"/>
            <w:shd w:val="clear" w:color="auto" w:fill="auto"/>
          </w:tcPr>
          <w:p w14:paraId="5EA219A8" w14:textId="77777777" w:rsidR="003C66EB" w:rsidRDefault="003C66EB">
            <w:pPr>
              <w:rPr>
                <w:rFonts w:ascii="宋体"/>
              </w:rPr>
            </w:pPr>
          </w:p>
        </w:tc>
        <w:tc>
          <w:tcPr>
            <w:tcW w:w="0" w:type="auto"/>
            <w:shd w:val="clear" w:color="auto" w:fill="auto"/>
          </w:tcPr>
          <w:p w14:paraId="5EA219A9" w14:textId="77777777" w:rsidR="003C66EB" w:rsidRDefault="003C66EB">
            <w:pPr>
              <w:rPr>
                <w:rFonts w:ascii="宋体"/>
              </w:rPr>
            </w:pPr>
          </w:p>
        </w:tc>
        <w:tc>
          <w:tcPr>
            <w:tcW w:w="0" w:type="auto"/>
            <w:shd w:val="clear" w:color="auto" w:fill="auto"/>
          </w:tcPr>
          <w:p w14:paraId="5EA219AA" w14:textId="77777777" w:rsidR="003C66EB" w:rsidRDefault="003C66EB">
            <w:pPr>
              <w:rPr>
                <w:rFonts w:ascii="宋体"/>
              </w:rPr>
            </w:pPr>
          </w:p>
        </w:tc>
        <w:tc>
          <w:tcPr>
            <w:tcW w:w="0" w:type="auto"/>
            <w:shd w:val="clear" w:color="auto" w:fill="auto"/>
          </w:tcPr>
          <w:p w14:paraId="5EA219AB" w14:textId="77777777" w:rsidR="003C66EB" w:rsidRDefault="003C66EB">
            <w:pPr>
              <w:rPr>
                <w:rFonts w:ascii="宋体"/>
              </w:rPr>
            </w:pPr>
          </w:p>
        </w:tc>
        <w:tc>
          <w:tcPr>
            <w:tcW w:w="0" w:type="auto"/>
            <w:shd w:val="clear" w:color="auto" w:fill="auto"/>
          </w:tcPr>
          <w:p w14:paraId="5EA219AC" w14:textId="77777777" w:rsidR="003C66EB" w:rsidRDefault="003C66EB">
            <w:pPr>
              <w:rPr>
                <w:rFonts w:ascii="宋体"/>
              </w:rPr>
            </w:pPr>
          </w:p>
        </w:tc>
        <w:tc>
          <w:tcPr>
            <w:tcW w:w="0" w:type="auto"/>
            <w:shd w:val="clear" w:color="auto" w:fill="auto"/>
          </w:tcPr>
          <w:p w14:paraId="5EA219AD" w14:textId="77777777" w:rsidR="003C66EB" w:rsidRDefault="003C66EB">
            <w:pPr>
              <w:rPr>
                <w:rFonts w:ascii="宋体"/>
              </w:rPr>
            </w:pPr>
          </w:p>
        </w:tc>
        <w:tc>
          <w:tcPr>
            <w:tcW w:w="0" w:type="auto"/>
            <w:shd w:val="clear" w:color="auto" w:fill="auto"/>
          </w:tcPr>
          <w:p w14:paraId="5EA219AE" w14:textId="77777777" w:rsidR="003C66EB" w:rsidRDefault="003C66EB">
            <w:pPr>
              <w:rPr>
                <w:rFonts w:ascii="宋体"/>
              </w:rPr>
            </w:pPr>
          </w:p>
        </w:tc>
        <w:tc>
          <w:tcPr>
            <w:tcW w:w="0" w:type="auto"/>
            <w:shd w:val="clear" w:color="auto" w:fill="auto"/>
          </w:tcPr>
          <w:p w14:paraId="5EA219AF" w14:textId="77777777" w:rsidR="003C66EB" w:rsidRDefault="003C66EB">
            <w:pPr>
              <w:rPr>
                <w:rFonts w:ascii="宋体"/>
              </w:rPr>
            </w:pPr>
          </w:p>
        </w:tc>
        <w:tc>
          <w:tcPr>
            <w:tcW w:w="0" w:type="auto"/>
            <w:shd w:val="clear" w:color="auto" w:fill="auto"/>
          </w:tcPr>
          <w:p w14:paraId="5EA219B0" w14:textId="77777777" w:rsidR="003C66EB" w:rsidRDefault="003C66EB">
            <w:pPr>
              <w:rPr>
                <w:rFonts w:ascii="宋体"/>
              </w:rPr>
            </w:pPr>
          </w:p>
        </w:tc>
        <w:tc>
          <w:tcPr>
            <w:tcW w:w="0" w:type="auto"/>
            <w:shd w:val="clear" w:color="auto" w:fill="auto"/>
          </w:tcPr>
          <w:p w14:paraId="5EA219B1" w14:textId="77777777" w:rsidR="003C66EB" w:rsidRDefault="003C66EB">
            <w:pPr>
              <w:rPr>
                <w:rFonts w:ascii="宋体"/>
              </w:rPr>
            </w:pPr>
          </w:p>
        </w:tc>
        <w:tc>
          <w:tcPr>
            <w:tcW w:w="0" w:type="auto"/>
            <w:shd w:val="clear" w:color="auto" w:fill="auto"/>
          </w:tcPr>
          <w:p w14:paraId="5EA219B2" w14:textId="77777777" w:rsidR="003C66EB" w:rsidRDefault="003C66EB">
            <w:pPr>
              <w:rPr>
                <w:rFonts w:ascii="宋体"/>
              </w:rPr>
            </w:pPr>
          </w:p>
        </w:tc>
        <w:tc>
          <w:tcPr>
            <w:tcW w:w="0" w:type="auto"/>
            <w:shd w:val="clear" w:color="auto" w:fill="auto"/>
          </w:tcPr>
          <w:p w14:paraId="5EA219B3" w14:textId="77777777" w:rsidR="003C66EB" w:rsidRDefault="003C66EB">
            <w:pPr>
              <w:rPr>
                <w:rFonts w:ascii="宋体"/>
              </w:rPr>
            </w:pPr>
          </w:p>
        </w:tc>
        <w:tc>
          <w:tcPr>
            <w:tcW w:w="0" w:type="auto"/>
            <w:shd w:val="clear" w:color="auto" w:fill="auto"/>
          </w:tcPr>
          <w:p w14:paraId="5EA219B4" w14:textId="77777777" w:rsidR="003C66EB" w:rsidRDefault="003C66EB">
            <w:pPr>
              <w:rPr>
                <w:rFonts w:ascii="宋体"/>
              </w:rPr>
            </w:pPr>
          </w:p>
        </w:tc>
        <w:tc>
          <w:tcPr>
            <w:tcW w:w="0" w:type="auto"/>
            <w:shd w:val="clear" w:color="auto" w:fill="auto"/>
          </w:tcPr>
          <w:p w14:paraId="5EA219B5" w14:textId="77777777" w:rsidR="003C66EB" w:rsidRDefault="003C66EB">
            <w:pPr>
              <w:rPr>
                <w:rFonts w:ascii="宋体"/>
              </w:rPr>
            </w:pPr>
          </w:p>
        </w:tc>
        <w:tc>
          <w:tcPr>
            <w:tcW w:w="0" w:type="auto"/>
            <w:shd w:val="clear" w:color="auto" w:fill="auto"/>
          </w:tcPr>
          <w:p w14:paraId="5EA219B6" w14:textId="77777777" w:rsidR="003C66EB" w:rsidRDefault="003C66EB">
            <w:pPr>
              <w:rPr>
                <w:rFonts w:ascii="宋体"/>
              </w:rPr>
            </w:pPr>
          </w:p>
        </w:tc>
        <w:tc>
          <w:tcPr>
            <w:tcW w:w="0" w:type="auto"/>
            <w:shd w:val="clear" w:color="auto" w:fill="auto"/>
          </w:tcPr>
          <w:p w14:paraId="5EA219B7" w14:textId="77777777" w:rsidR="003C66EB" w:rsidRDefault="003C66EB">
            <w:pPr>
              <w:rPr>
                <w:rFonts w:ascii="宋体"/>
              </w:rPr>
            </w:pPr>
          </w:p>
        </w:tc>
        <w:tc>
          <w:tcPr>
            <w:tcW w:w="0" w:type="auto"/>
            <w:shd w:val="clear" w:color="auto" w:fill="auto"/>
          </w:tcPr>
          <w:p w14:paraId="5EA219B8" w14:textId="77777777" w:rsidR="003C66EB" w:rsidRDefault="003C66EB">
            <w:pPr>
              <w:rPr>
                <w:rFonts w:ascii="宋体"/>
              </w:rPr>
            </w:pPr>
          </w:p>
        </w:tc>
      </w:tr>
      <w:tr w:rsidR="003C66EB" w14:paraId="5EA219CB" w14:textId="77777777">
        <w:trPr>
          <w:hidden/>
        </w:trPr>
        <w:tc>
          <w:tcPr>
            <w:tcW w:w="0" w:type="auto"/>
            <w:shd w:val="clear" w:color="auto" w:fill="auto"/>
          </w:tcPr>
          <w:p w14:paraId="5EA219BA" w14:textId="77777777" w:rsidR="003C66EB" w:rsidRDefault="003C66EB">
            <w:pPr>
              <w:rPr>
                <w:rFonts w:ascii="宋体"/>
                <w:vanish/>
              </w:rPr>
            </w:pPr>
          </w:p>
        </w:tc>
        <w:tc>
          <w:tcPr>
            <w:tcW w:w="0" w:type="auto"/>
            <w:shd w:val="clear" w:color="auto" w:fill="auto"/>
          </w:tcPr>
          <w:p w14:paraId="5EA219BB" w14:textId="77777777" w:rsidR="003C66EB" w:rsidRDefault="003C66EB">
            <w:pPr>
              <w:rPr>
                <w:rFonts w:ascii="宋体"/>
                <w:vanish/>
              </w:rPr>
            </w:pPr>
          </w:p>
        </w:tc>
        <w:tc>
          <w:tcPr>
            <w:tcW w:w="0" w:type="auto"/>
            <w:shd w:val="clear" w:color="auto" w:fill="auto"/>
          </w:tcPr>
          <w:p w14:paraId="5EA219BC" w14:textId="77777777" w:rsidR="003C66EB" w:rsidRDefault="003C66EB">
            <w:pPr>
              <w:rPr>
                <w:rFonts w:ascii="宋体"/>
                <w:vanish/>
              </w:rPr>
            </w:pPr>
          </w:p>
        </w:tc>
        <w:tc>
          <w:tcPr>
            <w:tcW w:w="0" w:type="auto"/>
            <w:shd w:val="clear" w:color="auto" w:fill="auto"/>
          </w:tcPr>
          <w:p w14:paraId="5EA219BD" w14:textId="77777777" w:rsidR="003C66EB" w:rsidRDefault="003C66EB">
            <w:pPr>
              <w:rPr>
                <w:rFonts w:ascii="宋体"/>
                <w:vanish/>
              </w:rPr>
            </w:pPr>
          </w:p>
        </w:tc>
        <w:tc>
          <w:tcPr>
            <w:tcW w:w="0" w:type="auto"/>
            <w:shd w:val="clear" w:color="auto" w:fill="auto"/>
          </w:tcPr>
          <w:p w14:paraId="5EA219BE" w14:textId="77777777" w:rsidR="003C66EB" w:rsidRDefault="003C66EB">
            <w:pPr>
              <w:rPr>
                <w:rFonts w:ascii="宋体"/>
                <w:vanish/>
              </w:rPr>
            </w:pPr>
          </w:p>
        </w:tc>
        <w:tc>
          <w:tcPr>
            <w:tcW w:w="0" w:type="auto"/>
            <w:shd w:val="clear" w:color="auto" w:fill="auto"/>
          </w:tcPr>
          <w:p w14:paraId="5EA219BF" w14:textId="77777777" w:rsidR="003C66EB" w:rsidRDefault="003C66EB">
            <w:pPr>
              <w:rPr>
                <w:rFonts w:ascii="宋体"/>
                <w:vanish/>
              </w:rPr>
            </w:pPr>
          </w:p>
        </w:tc>
        <w:tc>
          <w:tcPr>
            <w:tcW w:w="0" w:type="auto"/>
            <w:shd w:val="clear" w:color="auto" w:fill="auto"/>
          </w:tcPr>
          <w:p w14:paraId="5EA219C0" w14:textId="77777777" w:rsidR="003C66EB" w:rsidRDefault="003C66EB">
            <w:pPr>
              <w:rPr>
                <w:rFonts w:ascii="宋体"/>
                <w:vanish/>
              </w:rPr>
            </w:pPr>
          </w:p>
        </w:tc>
        <w:tc>
          <w:tcPr>
            <w:tcW w:w="0" w:type="auto"/>
            <w:shd w:val="clear" w:color="auto" w:fill="auto"/>
          </w:tcPr>
          <w:p w14:paraId="5EA219C1" w14:textId="77777777" w:rsidR="003C66EB" w:rsidRDefault="003C66EB">
            <w:pPr>
              <w:rPr>
                <w:rFonts w:ascii="宋体"/>
                <w:vanish/>
              </w:rPr>
            </w:pPr>
          </w:p>
        </w:tc>
        <w:tc>
          <w:tcPr>
            <w:tcW w:w="0" w:type="auto"/>
            <w:shd w:val="clear" w:color="auto" w:fill="auto"/>
          </w:tcPr>
          <w:p w14:paraId="5EA219C2" w14:textId="77777777" w:rsidR="003C66EB" w:rsidRDefault="003C66EB">
            <w:pPr>
              <w:rPr>
                <w:rFonts w:ascii="宋体"/>
                <w:vanish/>
              </w:rPr>
            </w:pPr>
          </w:p>
        </w:tc>
        <w:tc>
          <w:tcPr>
            <w:tcW w:w="0" w:type="auto"/>
            <w:gridSpan w:val="3"/>
            <w:shd w:val="clear" w:color="auto" w:fill="auto"/>
          </w:tcPr>
          <w:p w14:paraId="5EA219C3" w14:textId="77777777" w:rsidR="003C66EB" w:rsidRDefault="003C66EB">
            <w:pPr>
              <w:rPr>
                <w:rFonts w:ascii="宋体"/>
                <w:vanish/>
              </w:rPr>
            </w:pPr>
          </w:p>
        </w:tc>
        <w:tc>
          <w:tcPr>
            <w:tcW w:w="0" w:type="auto"/>
            <w:gridSpan w:val="3"/>
            <w:shd w:val="clear" w:color="auto" w:fill="auto"/>
          </w:tcPr>
          <w:p w14:paraId="5EA219C4" w14:textId="77777777" w:rsidR="003C66EB" w:rsidRDefault="003C66EB">
            <w:pPr>
              <w:rPr>
                <w:rFonts w:ascii="宋体"/>
                <w:vanish/>
              </w:rPr>
            </w:pPr>
          </w:p>
        </w:tc>
        <w:tc>
          <w:tcPr>
            <w:tcW w:w="0" w:type="auto"/>
            <w:gridSpan w:val="3"/>
            <w:shd w:val="clear" w:color="auto" w:fill="auto"/>
          </w:tcPr>
          <w:p w14:paraId="5EA219C5"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9C6" w14:textId="77777777" w:rsidR="003C66EB" w:rsidRDefault="00D96C4E">
            <w:pPr>
              <w:jc w:val="center"/>
              <w:textAlignment w:val="bottom"/>
            </w:pPr>
            <w:r>
              <w:rPr>
                <w:rFonts w:ascii="Arial" w:eastAsia="宋体" w:hAnsi="Arial" w:cs="Arial"/>
                <w:b/>
                <w:bCs/>
                <w:color w:val="000000"/>
                <w:sz w:val="16"/>
                <w:szCs w:val="16"/>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5EA219C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9C8" w14:textId="77777777" w:rsidR="003C66EB" w:rsidRDefault="00D96C4E">
            <w:pPr>
              <w:jc w:val="center"/>
              <w:textAlignment w:val="bottom"/>
            </w:pPr>
            <w:r>
              <w:rPr>
                <w:rFonts w:ascii="Arial" w:eastAsia="宋体" w:hAnsi="Arial" w:cs="Arial"/>
                <w:b/>
                <w:bCs/>
                <w:color w:val="000000"/>
                <w:sz w:val="16"/>
                <w:szCs w:val="16"/>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9C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9CA" w14:textId="77777777" w:rsidR="003C66EB" w:rsidRDefault="00D96C4E">
            <w:pPr>
              <w:jc w:val="center"/>
              <w:textAlignment w:val="bottom"/>
            </w:pPr>
            <w:r>
              <w:rPr>
                <w:rFonts w:ascii="Arial" w:eastAsia="宋体" w:hAnsi="Arial" w:cs="Arial"/>
                <w:b/>
                <w:bCs/>
                <w:color w:val="000000"/>
                <w:sz w:val="16"/>
                <w:szCs w:val="16"/>
              </w:rPr>
              <w:t>Total Acquired (In millions)</w:t>
            </w:r>
          </w:p>
        </w:tc>
      </w:tr>
      <w:tr w:rsidR="003C66EB" w14:paraId="5EA219DD" w14:textId="77777777">
        <w:trPr>
          <w:hidden/>
        </w:trPr>
        <w:tc>
          <w:tcPr>
            <w:tcW w:w="0" w:type="auto"/>
            <w:shd w:val="clear" w:color="auto" w:fill="auto"/>
          </w:tcPr>
          <w:p w14:paraId="5EA219CC" w14:textId="77777777" w:rsidR="003C66EB" w:rsidRDefault="003C66EB">
            <w:pPr>
              <w:rPr>
                <w:rFonts w:ascii="宋体"/>
                <w:vanish/>
              </w:rPr>
            </w:pPr>
          </w:p>
        </w:tc>
        <w:tc>
          <w:tcPr>
            <w:tcW w:w="0" w:type="auto"/>
            <w:shd w:val="clear" w:color="auto" w:fill="auto"/>
          </w:tcPr>
          <w:p w14:paraId="5EA219CD" w14:textId="77777777" w:rsidR="003C66EB" w:rsidRDefault="003C66EB">
            <w:pPr>
              <w:rPr>
                <w:rFonts w:ascii="宋体"/>
                <w:vanish/>
              </w:rPr>
            </w:pPr>
          </w:p>
        </w:tc>
        <w:tc>
          <w:tcPr>
            <w:tcW w:w="0" w:type="auto"/>
            <w:shd w:val="clear" w:color="auto" w:fill="auto"/>
          </w:tcPr>
          <w:p w14:paraId="5EA219CE" w14:textId="77777777" w:rsidR="003C66EB" w:rsidRDefault="003C66EB">
            <w:pPr>
              <w:rPr>
                <w:rFonts w:ascii="宋体"/>
                <w:vanish/>
              </w:rPr>
            </w:pPr>
          </w:p>
        </w:tc>
        <w:tc>
          <w:tcPr>
            <w:tcW w:w="0" w:type="auto"/>
            <w:shd w:val="clear" w:color="auto" w:fill="auto"/>
          </w:tcPr>
          <w:p w14:paraId="5EA219CF" w14:textId="77777777" w:rsidR="003C66EB" w:rsidRDefault="003C66EB">
            <w:pPr>
              <w:rPr>
                <w:rFonts w:ascii="宋体"/>
                <w:vanish/>
              </w:rPr>
            </w:pPr>
          </w:p>
        </w:tc>
        <w:tc>
          <w:tcPr>
            <w:tcW w:w="0" w:type="auto"/>
            <w:shd w:val="clear" w:color="auto" w:fill="auto"/>
          </w:tcPr>
          <w:p w14:paraId="5EA219D0" w14:textId="77777777" w:rsidR="003C66EB" w:rsidRDefault="003C66EB">
            <w:pPr>
              <w:rPr>
                <w:rFonts w:ascii="宋体"/>
                <w:vanish/>
              </w:rPr>
            </w:pPr>
          </w:p>
        </w:tc>
        <w:tc>
          <w:tcPr>
            <w:tcW w:w="0" w:type="auto"/>
            <w:shd w:val="clear" w:color="auto" w:fill="auto"/>
          </w:tcPr>
          <w:p w14:paraId="5EA219D1" w14:textId="77777777" w:rsidR="003C66EB" w:rsidRDefault="003C66EB">
            <w:pPr>
              <w:rPr>
                <w:rFonts w:ascii="宋体"/>
                <w:vanish/>
              </w:rPr>
            </w:pPr>
          </w:p>
        </w:tc>
        <w:tc>
          <w:tcPr>
            <w:tcW w:w="0" w:type="auto"/>
            <w:shd w:val="clear" w:color="auto" w:fill="auto"/>
          </w:tcPr>
          <w:p w14:paraId="5EA219D2" w14:textId="77777777" w:rsidR="003C66EB" w:rsidRDefault="003C66EB">
            <w:pPr>
              <w:rPr>
                <w:rFonts w:ascii="宋体"/>
                <w:vanish/>
              </w:rPr>
            </w:pPr>
          </w:p>
        </w:tc>
        <w:tc>
          <w:tcPr>
            <w:tcW w:w="0" w:type="auto"/>
            <w:shd w:val="clear" w:color="auto" w:fill="auto"/>
          </w:tcPr>
          <w:p w14:paraId="5EA219D3" w14:textId="77777777" w:rsidR="003C66EB" w:rsidRDefault="003C66EB">
            <w:pPr>
              <w:rPr>
                <w:rFonts w:ascii="宋体"/>
                <w:vanish/>
              </w:rPr>
            </w:pPr>
          </w:p>
        </w:tc>
        <w:tc>
          <w:tcPr>
            <w:tcW w:w="0" w:type="auto"/>
            <w:shd w:val="clear" w:color="auto" w:fill="auto"/>
          </w:tcPr>
          <w:p w14:paraId="5EA219D4" w14:textId="77777777" w:rsidR="003C66EB" w:rsidRDefault="003C66EB">
            <w:pPr>
              <w:rPr>
                <w:rFonts w:ascii="宋体"/>
                <w:vanish/>
              </w:rPr>
            </w:pPr>
          </w:p>
        </w:tc>
        <w:tc>
          <w:tcPr>
            <w:tcW w:w="0" w:type="auto"/>
            <w:gridSpan w:val="3"/>
            <w:shd w:val="clear" w:color="auto" w:fill="auto"/>
          </w:tcPr>
          <w:p w14:paraId="5EA219D5" w14:textId="77777777" w:rsidR="003C66EB" w:rsidRDefault="003C66EB">
            <w:pPr>
              <w:rPr>
                <w:rFonts w:ascii="宋体"/>
                <w:vanish/>
              </w:rPr>
            </w:pPr>
          </w:p>
        </w:tc>
        <w:tc>
          <w:tcPr>
            <w:tcW w:w="0" w:type="auto"/>
            <w:gridSpan w:val="3"/>
            <w:shd w:val="clear" w:color="auto" w:fill="auto"/>
          </w:tcPr>
          <w:p w14:paraId="5EA219D6" w14:textId="77777777" w:rsidR="003C66EB" w:rsidRDefault="003C66EB">
            <w:pPr>
              <w:rPr>
                <w:rFonts w:ascii="宋体"/>
                <w:vanish/>
              </w:rPr>
            </w:pPr>
          </w:p>
        </w:tc>
        <w:tc>
          <w:tcPr>
            <w:tcW w:w="0" w:type="auto"/>
            <w:gridSpan w:val="3"/>
            <w:shd w:val="clear" w:color="auto" w:fill="auto"/>
          </w:tcPr>
          <w:p w14:paraId="5EA219D7" w14:textId="77777777" w:rsidR="003C66EB" w:rsidRDefault="003C66EB">
            <w:pPr>
              <w:rPr>
                <w:rFonts w:ascii="宋体"/>
                <w:vanish/>
              </w:rPr>
            </w:pPr>
          </w:p>
        </w:tc>
        <w:tc>
          <w:tcPr>
            <w:tcW w:w="0" w:type="auto"/>
            <w:gridSpan w:val="3"/>
            <w:shd w:val="clear" w:color="auto" w:fill="auto"/>
          </w:tcPr>
          <w:p w14:paraId="5EA219D8" w14:textId="77777777" w:rsidR="003C66EB" w:rsidRDefault="003C66EB">
            <w:pPr>
              <w:rPr>
                <w:rFonts w:ascii="宋体"/>
                <w:vanish/>
              </w:rPr>
            </w:pPr>
          </w:p>
        </w:tc>
        <w:tc>
          <w:tcPr>
            <w:tcW w:w="0" w:type="auto"/>
            <w:gridSpan w:val="3"/>
            <w:shd w:val="clear" w:color="auto" w:fill="auto"/>
          </w:tcPr>
          <w:p w14:paraId="5EA219D9" w14:textId="77777777" w:rsidR="003C66EB" w:rsidRDefault="003C66EB">
            <w:pPr>
              <w:rPr>
                <w:rFonts w:ascii="宋体"/>
                <w:vanish/>
              </w:rPr>
            </w:pPr>
          </w:p>
        </w:tc>
        <w:tc>
          <w:tcPr>
            <w:tcW w:w="0" w:type="auto"/>
            <w:gridSpan w:val="3"/>
            <w:shd w:val="clear" w:color="auto" w:fill="auto"/>
          </w:tcPr>
          <w:p w14:paraId="5EA219DA" w14:textId="77777777" w:rsidR="003C66EB" w:rsidRDefault="003C66EB">
            <w:pPr>
              <w:rPr>
                <w:rFonts w:ascii="宋体"/>
                <w:vanish/>
              </w:rPr>
            </w:pPr>
          </w:p>
        </w:tc>
        <w:tc>
          <w:tcPr>
            <w:tcW w:w="0" w:type="auto"/>
            <w:gridSpan w:val="3"/>
            <w:shd w:val="clear" w:color="auto" w:fill="auto"/>
          </w:tcPr>
          <w:p w14:paraId="5EA219DB" w14:textId="77777777" w:rsidR="003C66EB" w:rsidRDefault="003C66EB">
            <w:pPr>
              <w:rPr>
                <w:rFonts w:ascii="宋体"/>
                <w:vanish/>
              </w:rPr>
            </w:pPr>
          </w:p>
        </w:tc>
        <w:tc>
          <w:tcPr>
            <w:tcW w:w="0" w:type="auto"/>
            <w:gridSpan w:val="3"/>
            <w:shd w:val="clear" w:color="auto" w:fill="auto"/>
          </w:tcPr>
          <w:p w14:paraId="5EA219DC" w14:textId="77777777" w:rsidR="003C66EB" w:rsidRDefault="003C66EB">
            <w:pPr>
              <w:rPr>
                <w:rFonts w:ascii="宋体"/>
                <w:vanish/>
              </w:rPr>
            </w:pPr>
          </w:p>
        </w:tc>
      </w:tr>
      <w:tr w:rsidR="003C66EB" w14:paraId="5EA219F4" w14:textId="77777777">
        <w:trPr>
          <w:hidden/>
        </w:trPr>
        <w:tc>
          <w:tcPr>
            <w:tcW w:w="0" w:type="auto"/>
            <w:shd w:val="clear" w:color="auto" w:fill="auto"/>
          </w:tcPr>
          <w:p w14:paraId="5EA219DE" w14:textId="77777777" w:rsidR="003C66EB" w:rsidRDefault="003C66EB">
            <w:pPr>
              <w:rPr>
                <w:rFonts w:ascii="宋体"/>
                <w:vanish/>
              </w:rPr>
            </w:pPr>
          </w:p>
        </w:tc>
        <w:tc>
          <w:tcPr>
            <w:tcW w:w="0" w:type="auto"/>
            <w:shd w:val="clear" w:color="auto" w:fill="auto"/>
          </w:tcPr>
          <w:p w14:paraId="5EA219DF" w14:textId="77777777" w:rsidR="003C66EB" w:rsidRDefault="003C66EB">
            <w:pPr>
              <w:rPr>
                <w:rFonts w:ascii="宋体"/>
                <w:vanish/>
              </w:rPr>
            </w:pPr>
          </w:p>
        </w:tc>
        <w:tc>
          <w:tcPr>
            <w:tcW w:w="0" w:type="auto"/>
            <w:shd w:val="clear" w:color="auto" w:fill="auto"/>
          </w:tcPr>
          <w:p w14:paraId="5EA219E0" w14:textId="77777777" w:rsidR="003C66EB" w:rsidRDefault="003C66EB">
            <w:pPr>
              <w:rPr>
                <w:rFonts w:ascii="宋体"/>
                <w:vanish/>
              </w:rPr>
            </w:pPr>
          </w:p>
        </w:tc>
        <w:tc>
          <w:tcPr>
            <w:tcW w:w="0" w:type="auto"/>
            <w:shd w:val="clear" w:color="auto" w:fill="auto"/>
          </w:tcPr>
          <w:p w14:paraId="5EA219E1" w14:textId="77777777" w:rsidR="003C66EB" w:rsidRDefault="003C66EB">
            <w:pPr>
              <w:rPr>
                <w:rFonts w:ascii="宋体"/>
                <w:vanish/>
              </w:rPr>
            </w:pPr>
          </w:p>
        </w:tc>
        <w:tc>
          <w:tcPr>
            <w:tcW w:w="0" w:type="auto"/>
            <w:shd w:val="clear" w:color="auto" w:fill="auto"/>
          </w:tcPr>
          <w:p w14:paraId="5EA219E2" w14:textId="77777777" w:rsidR="003C66EB" w:rsidRDefault="003C66EB">
            <w:pPr>
              <w:rPr>
                <w:rFonts w:ascii="宋体"/>
                <w:vanish/>
              </w:rPr>
            </w:pPr>
          </w:p>
        </w:tc>
        <w:tc>
          <w:tcPr>
            <w:tcW w:w="0" w:type="auto"/>
            <w:shd w:val="clear" w:color="auto" w:fill="auto"/>
          </w:tcPr>
          <w:p w14:paraId="5EA219E3" w14:textId="77777777" w:rsidR="003C66EB" w:rsidRDefault="003C66EB">
            <w:pPr>
              <w:rPr>
                <w:rFonts w:ascii="宋体"/>
                <w:vanish/>
              </w:rPr>
            </w:pPr>
          </w:p>
        </w:tc>
        <w:tc>
          <w:tcPr>
            <w:tcW w:w="0" w:type="auto"/>
            <w:shd w:val="clear" w:color="auto" w:fill="auto"/>
          </w:tcPr>
          <w:p w14:paraId="5EA219E4" w14:textId="77777777" w:rsidR="003C66EB" w:rsidRDefault="003C66EB">
            <w:pPr>
              <w:rPr>
                <w:rFonts w:ascii="宋体"/>
                <w:vanish/>
              </w:rPr>
            </w:pPr>
          </w:p>
        </w:tc>
        <w:tc>
          <w:tcPr>
            <w:tcW w:w="0" w:type="auto"/>
            <w:shd w:val="clear" w:color="auto" w:fill="auto"/>
          </w:tcPr>
          <w:p w14:paraId="5EA219E5" w14:textId="77777777" w:rsidR="003C66EB" w:rsidRDefault="003C66EB">
            <w:pPr>
              <w:rPr>
                <w:rFonts w:ascii="宋体"/>
                <w:vanish/>
              </w:rPr>
            </w:pPr>
          </w:p>
        </w:tc>
        <w:tc>
          <w:tcPr>
            <w:tcW w:w="0" w:type="auto"/>
            <w:shd w:val="clear" w:color="auto" w:fill="auto"/>
          </w:tcPr>
          <w:p w14:paraId="5EA219E6" w14:textId="77777777" w:rsidR="003C66EB" w:rsidRDefault="003C66EB">
            <w:pPr>
              <w:rPr>
                <w:rFonts w:ascii="宋体"/>
                <w:vanish/>
              </w:rPr>
            </w:pPr>
          </w:p>
        </w:tc>
        <w:tc>
          <w:tcPr>
            <w:tcW w:w="0" w:type="auto"/>
            <w:gridSpan w:val="3"/>
            <w:shd w:val="clear" w:color="auto" w:fill="auto"/>
          </w:tcPr>
          <w:p w14:paraId="5EA219E7" w14:textId="77777777" w:rsidR="003C66EB" w:rsidRDefault="003C66EB">
            <w:pPr>
              <w:rPr>
                <w:rFonts w:ascii="宋体"/>
                <w:vanish/>
              </w:rPr>
            </w:pPr>
          </w:p>
        </w:tc>
        <w:tc>
          <w:tcPr>
            <w:tcW w:w="0" w:type="auto"/>
            <w:gridSpan w:val="3"/>
            <w:shd w:val="clear" w:color="auto" w:fill="auto"/>
          </w:tcPr>
          <w:p w14:paraId="5EA219E8" w14:textId="77777777" w:rsidR="003C66EB" w:rsidRDefault="003C66EB">
            <w:pPr>
              <w:rPr>
                <w:rFonts w:ascii="宋体"/>
                <w:vanish/>
              </w:rPr>
            </w:pPr>
          </w:p>
        </w:tc>
        <w:tc>
          <w:tcPr>
            <w:tcW w:w="0" w:type="auto"/>
            <w:gridSpan w:val="3"/>
            <w:shd w:val="clear" w:color="auto" w:fill="auto"/>
          </w:tcPr>
          <w:p w14:paraId="5EA219E9"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9EA" w14:textId="77777777" w:rsidR="003C66EB" w:rsidRDefault="00D96C4E">
            <w:pPr>
              <w:jc w:val="right"/>
              <w:textAlignment w:val="bottom"/>
            </w:pPr>
            <w:r>
              <w:rPr>
                <w:rFonts w:ascii="Arial" w:eastAsia="宋体" w:hAnsi="Arial" w:cs="Arial"/>
                <w:color w:val="000000"/>
                <w:sz w:val="16"/>
                <w:szCs w:val="16"/>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9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9E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9ED"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9EE" w14:textId="77777777" w:rsidR="003C66EB" w:rsidRDefault="00D96C4E">
            <w:pPr>
              <w:jc w:val="right"/>
              <w:textAlignment w:val="bottom"/>
            </w:pPr>
            <w:r>
              <w:rPr>
                <w:rFonts w:ascii="Arial" w:eastAsia="宋体" w:hAnsi="Arial" w:cs="Arial"/>
                <w:color w:val="000000"/>
                <w:sz w:val="16"/>
                <w:szCs w:val="16"/>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9E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9F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9F1"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9F2" w14:textId="77777777" w:rsidR="003C66EB" w:rsidRDefault="00D96C4E">
            <w:pPr>
              <w:jc w:val="right"/>
              <w:textAlignment w:val="bottom"/>
            </w:pPr>
            <w:r>
              <w:rPr>
                <w:rFonts w:ascii="Arial" w:eastAsia="宋体" w:hAnsi="Arial" w:cs="Arial"/>
                <w:color w:val="000000"/>
                <w:sz w:val="16"/>
                <w:szCs w:val="16"/>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9F3" w14:textId="77777777" w:rsidR="003C66EB" w:rsidRDefault="003C66EB">
            <w:pPr>
              <w:jc w:val="right"/>
              <w:rPr>
                <w:rFonts w:ascii="宋体"/>
              </w:rPr>
            </w:pPr>
          </w:p>
        </w:tc>
      </w:tr>
      <w:tr w:rsidR="003C66EB" w14:paraId="5EA21A06" w14:textId="77777777">
        <w:trPr>
          <w:hidden/>
        </w:trPr>
        <w:tc>
          <w:tcPr>
            <w:tcW w:w="0" w:type="auto"/>
            <w:shd w:val="clear" w:color="auto" w:fill="auto"/>
          </w:tcPr>
          <w:p w14:paraId="5EA219F5" w14:textId="77777777" w:rsidR="003C66EB" w:rsidRDefault="003C66EB">
            <w:pPr>
              <w:rPr>
                <w:rFonts w:ascii="宋体"/>
                <w:vanish/>
              </w:rPr>
            </w:pPr>
          </w:p>
        </w:tc>
        <w:tc>
          <w:tcPr>
            <w:tcW w:w="0" w:type="auto"/>
            <w:shd w:val="clear" w:color="auto" w:fill="auto"/>
          </w:tcPr>
          <w:p w14:paraId="5EA219F6" w14:textId="77777777" w:rsidR="003C66EB" w:rsidRDefault="003C66EB">
            <w:pPr>
              <w:rPr>
                <w:rFonts w:ascii="宋体"/>
                <w:vanish/>
              </w:rPr>
            </w:pPr>
          </w:p>
        </w:tc>
        <w:tc>
          <w:tcPr>
            <w:tcW w:w="0" w:type="auto"/>
            <w:shd w:val="clear" w:color="auto" w:fill="auto"/>
          </w:tcPr>
          <w:p w14:paraId="5EA219F7" w14:textId="77777777" w:rsidR="003C66EB" w:rsidRDefault="003C66EB">
            <w:pPr>
              <w:rPr>
                <w:rFonts w:ascii="宋体"/>
                <w:vanish/>
              </w:rPr>
            </w:pPr>
          </w:p>
        </w:tc>
        <w:tc>
          <w:tcPr>
            <w:tcW w:w="0" w:type="auto"/>
            <w:shd w:val="clear" w:color="auto" w:fill="auto"/>
          </w:tcPr>
          <w:p w14:paraId="5EA219F8" w14:textId="77777777" w:rsidR="003C66EB" w:rsidRDefault="003C66EB">
            <w:pPr>
              <w:rPr>
                <w:rFonts w:ascii="宋体"/>
                <w:vanish/>
              </w:rPr>
            </w:pPr>
          </w:p>
        </w:tc>
        <w:tc>
          <w:tcPr>
            <w:tcW w:w="0" w:type="auto"/>
            <w:shd w:val="clear" w:color="auto" w:fill="auto"/>
          </w:tcPr>
          <w:p w14:paraId="5EA219F9" w14:textId="77777777" w:rsidR="003C66EB" w:rsidRDefault="003C66EB">
            <w:pPr>
              <w:rPr>
                <w:rFonts w:ascii="宋体"/>
                <w:vanish/>
              </w:rPr>
            </w:pPr>
          </w:p>
        </w:tc>
        <w:tc>
          <w:tcPr>
            <w:tcW w:w="0" w:type="auto"/>
            <w:shd w:val="clear" w:color="auto" w:fill="auto"/>
          </w:tcPr>
          <w:p w14:paraId="5EA219FA" w14:textId="77777777" w:rsidR="003C66EB" w:rsidRDefault="003C66EB">
            <w:pPr>
              <w:rPr>
                <w:rFonts w:ascii="宋体"/>
                <w:vanish/>
              </w:rPr>
            </w:pPr>
          </w:p>
        </w:tc>
        <w:tc>
          <w:tcPr>
            <w:tcW w:w="0" w:type="auto"/>
            <w:shd w:val="clear" w:color="auto" w:fill="auto"/>
          </w:tcPr>
          <w:p w14:paraId="5EA219FB" w14:textId="77777777" w:rsidR="003C66EB" w:rsidRDefault="003C66EB">
            <w:pPr>
              <w:rPr>
                <w:rFonts w:ascii="宋体"/>
                <w:vanish/>
              </w:rPr>
            </w:pPr>
          </w:p>
        </w:tc>
        <w:tc>
          <w:tcPr>
            <w:tcW w:w="0" w:type="auto"/>
            <w:shd w:val="clear" w:color="auto" w:fill="auto"/>
          </w:tcPr>
          <w:p w14:paraId="5EA219FC" w14:textId="77777777" w:rsidR="003C66EB" w:rsidRDefault="003C66EB">
            <w:pPr>
              <w:rPr>
                <w:rFonts w:ascii="宋体"/>
                <w:vanish/>
              </w:rPr>
            </w:pPr>
          </w:p>
        </w:tc>
        <w:tc>
          <w:tcPr>
            <w:tcW w:w="0" w:type="auto"/>
            <w:shd w:val="clear" w:color="auto" w:fill="auto"/>
          </w:tcPr>
          <w:p w14:paraId="5EA219FD" w14:textId="77777777" w:rsidR="003C66EB" w:rsidRDefault="003C66EB">
            <w:pPr>
              <w:rPr>
                <w:rFonts w:ascii="宋体"/>
                <w:vanish/>
              </w:rPr>
            </w:pPr>
          </w:p>
        </w:tc>
        <w:tc>
          <w:tcPr>
            <w:tcW w:w="0" w:type="auto"/>
            <w:gridSpan w:val="3"/>
            <w:shd w:val="clear" w:color="auto" w:fill="auto"/>
          </w:tcPr>
          <w:p w14:paraId="5EA219FE" w14:textId="77777777" w:rsidR="003C66EB" w:rsidRDefault="003C66EB">
            <w:pPr>
              <w:rPr>
                <w:rFonts w:ascii="宋体"/>
                <w:vanish/>
              </w:rPr>
            </w:pPr>
          </w:p>
        </w:tc>
        <w:tc>
          <w:tcPr>
            <w:tcW w:w="0" w:type="auto"/>
            <w:gridSpan w:val="3"/>
            <w:shd w:val="clear" w:color="auto" w:fill="auto"/>
          </w:tcPr>
          <w:p w14:paraId="5EA219FF" w14:textId="77777777" w:rsidR="003C66EB" w:rsidRDefault="003C66EB">
            <w:pPr>
              <w:rPr>
                <w:rFonts w:ascii="宋体"/>
                <w:vanish/>
              </w:rPr>
            </w:pPr>
          </w:p>
        </w:tc>
        <w:tc>
          <w:tcPr>
            <w:tcW w:w="0" w:type="auto"/>
            <w:gridSpan w:val="3"/>
            <w:shd w:val="clear" w:color="auto" w:fill="auto"/>
          </w:tcPr>
          <w:p w14:paraId="5EA21A00" w14:textId="77777777" w:rsidR="003C66EB" w:rsidRDefault="003C66EB">
            <w:pPr>
              <w:rPr>
                <w:rFonts w:ascii="宋体"/>
                <w:vanish/>
              </w:rPr>
            </w:pPr>
          </w:p>
        </w:tc>
        <w:tc>
          <w:tcPr>
            <w:tcW w:w="0" w:type="auto"/>
            <w:gridSpan w:val="3"/>
            <w:shd w:val="clear" w:color="auto" w:fill="auto"/>
          </w:tcPr>
          <w:p w14:paraId="5EA21A01" w14:textId="77777777" w:rsidR="003C66EB" w:rsidRDefault="003C66EB">
            <w:pPr>
              <w:rPr>
                <w:rFonts w:ascii="宋体"/>
                <w:vanish/>
              </w:rPr>
            </w:pPr>
          </w:p>
        </w:tc>
        <w:tc>
          <w:tcPr>
            <w:tcW w:w="0" w:type="auto"/>
            <w:gridSpan w:val="3"/>
            <w:shd w:val="clear" w:color="auto" w:fill="auto"/>
          </w:tcPr>
          <w:p w14:paraId="5EA21A02" w14:textId="77777777" w:rsidR="003C66EB" w:rsidRDefault="003C66EB">
            <w:pPr>
              <w:rPr>
                <w:rFonts w:ascii="宋体"/>
                <w:vanish/>
              </w:rPr>
            </w:pPr>
          </w:p>
        </w:tc>
        <w:tc>
          <w:tcPr>
            <w:tcW w:w="0" w:type="auto"/>
            <w:gridSpan w:val="3"/>
            <w:shd w:val="clear" w:color="auto" w:fill="auto"/>
          </w:tcPr>
          <w:p w14:paraId="5EA21A03" w14:textId="77777777" w:rsidR="003C66EB" w:rsidRDefault="003C66EB">
            <w:pPr>
              <w:rPr>
                <w:rFonts w:ascii="宋体"/>
                <w:vanish/>
              </w:rPr>
            </w:pPr>
          </w:p>
        </w:tc>
        <w:tc>
          <w:tcPr>
            <w:tcW w:w="0" w:type="auto"/>
            <w:gridSpan w:val="3"/>
            <w:shd w:val="clear" w:color="auto" w:fill="auto"/>
          </w:tcPr>
          <w:p w14:paraId="5EA21A04" w14:textId="77777777" w:rsidR="003C66EB" w:rsidRDefault="003C66EB">
            <w:pPr>
              <w:rPr>
                <w:rFonts w:ascii="宋体"/>
                <w:vanish/>
              </w:rPr>
            </w:pPr>
          </w:p>
        </w:tc>
        <w:tc>
          <w:tcPr>
            <w:tcW w:w="0" w:type="auto"/>
            <w:gridSpan w:val="3"/>
            <w:shd w:val="clear" w:color="auto" w:fill="auto"/>
          </w:tcPr>
          <w:p w14:paraId="5EA21A05" w14:textId="77777777" w:rsidR="003C66EB" w:rsidRDefault="003C66EB">
            <w:pPr>
              <w:rPr>
                <w:rFonts w:ascii="宋体"/>
                <w:vanish/>
              </w:rPr>
            </w:pPr>
          </w:p>
        </w:tc>
      </w:tr>
    </w:tbl>
    <w:p w14:paraId="5EA21A07" w14:textId="77777777" w:rsidR="003C66EB" w:rsidRDefault="00D96C4E">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7"/>
        <w:gridCol w:w="2303"/>
        <w:gridCol w:w="36"/>
        <w:gridCol w:w="110"/>
        <w:gridCol w:w="1080"/>
        <w:gridCol w:w="36"/>
        <w:gridCol w:w="36"/>
        <w:gridCol w:w="36"/>
        <w:gridCol w:w="36"/>
        <w:gridCol w:w="110"/>
        <w:gridCol w:w="1032"/>
        <w:gridCol w:w="36"/>
        <w:gridCol w:w="36"/>
        <w:gridCol w:w="36"/>
        <w:gridCol w:w="36"/>
        <w:gridCol w:w="110"/>
        <w:gridCol w:w="1032"/>
        <w:gridCol w:w="36"/>
        <w:gridCol w:w="36"/>
        <w:gridCol w:w="36"/>
        <w:gridCol w:w="36"/>
        <w:gridCol w:w="110"/>
        <w:gridCol w:w="103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21A28" w14:textId="77777777">
        <w:tc>
          <w:tcPr>
            <w:tcW w:w="50" w:type="pct"/>
            <w:shd w:val="clear" w:color="auto" w:fill="auto"/>
          </w:tcPr>
          <w:p w14:paraId="5EA21A08" w14:textId="77777777" w:rsidR="003C66EB" w:rsidRDefault="003C66EB">
            <w:pPr>
              <w:rPr>
                <w:rFonts w:ascii="宋体"/>
              </w:rPr>
            </w:pPr>
          </w:p>
        </w:tc>
        <w:tc>
          <w:tcPr>
            <w:tcW w:w="1584" w:type="pct"/>
            <w:shd w:val="clear" w:color="auto" w:fill="auto"/>
          </w:tcPr>
          <w:p w14:paraId="5EA21A09" w14:textId="77777777" w:rsidR="003C66EB" w:rsidRDefault="003C66EB">
            <w:pPr>
              <w:rPr>
                <w:rFonts w:ascii="宋体"/>
              </w:rPr>
            </w:pPr>
          </w:p>
        </w:tc>
        <w:tc>
          <w:tcPr>
            <w:tcW w:w="5" w:type="pct"/>
            <w:shd w:val="clear" w:color="auto" w:fill="auto"/>
          </w:tcPr>
          <w:p w14:paraId="5EA21A0A" w14:textId="77777777" w:rsidR="003C66EB" w:rsidRDefault="003C66EB">
            <w:pPr>
              <w:rPr>
                <w:rFonts w:ascii="宋体"/>
              </w:rPr>
            </w:pPr>
          </w:p>
        </w:tc>
        <w:tc>
          <w:tcPr>
            <w:tcW w:w="50" w:type="pct"/>
            <w:shd w:val="clear" w:color="auto" w:fill="auto"/>
          </w:tcPr>
          <w:p w14:paraId="5EA21A0B" w14:textId="77777777" w:rsidR="003C66EB" w:rsidRDefault="003C66EB">
            <w:pPr>
              <w:rPr>
                <w:rFonts w:ascii="宋体"/>
              </w:rPr>
            </w:pPr>
          </w:p>
        </w:tc>
        <w:tc>
          <w:tcPr>
            <w:tcW w:w="757" w:type="pct"/>
            <w:shd w:val="clear" w:color="auto" w:fill="auto"/>
          </w:tcPr>
          <w:p w14:paraId="5EA21A0C" w14:textId="77777777" w:rsidR="003C66EB" w:rsidRDefault="003C66EB">
            <w:pPr>
              <w:rPr>
                <w:rFonts w:ascii="宋体"/>
              </w:rPr>
            </w:pPr>
          </w:p>
        </w:tc>
        <w:tc>
          <w:tcPr>
            <w:tcW w:w="5" w:type="pct"/>
            <w:shd w:val="clear" w:color="auto" w:fill="auto"/>
          </w:tcPr>
          <w:p w14:paraId="5EA21A0D" w14:textId="77777777" w:rsidR="003C66EB" w:rsidRDefault="003C66EB">
            <w:pPr>
              <w:rPr>
                <w:rFonts w:ascii="宋体"/>
              </w:rPr>
            </w:pPr>
          </w:p>
        </w:tc>
        <w:tc>
          <w:tcPr>
            <w:tcW w:w="5" w:type="pct"/>
            <w:shd w:val="clear" w:color="auto" w:fill="auto"/>
          </w:tcPr>
          <w:p w14:paraId="5EA21A0E" w14:textId="77777777" w:rsidR="003C66EB" w:rsidRDefault="003C66EB">
            <w:pPr>
              <w:rPr>
                <w:rFonts w:ascii="宋体"/>
              </w:rPr>
            </w:pPr>
          </w:p>
        </w:tc>
        <w:tc>
          <w:tcPr>
            <w:tcW w:w="26" w:type="pct"/>
            <w:shd w:val="clear" w:color="auto" w:fill="auto"/>
          </w:tcPr>
          <w:p w14:paraId="5EA21A0F" w14:textId="77777777" w:rsidR="003C66EB" w:rsidRDefault="003C66EB">
            <w:pPr>
              <w:rPr>
                <w:rFonts w:ascii="宋体"/>
              </w:rPr>
            </w:pPr>
          </w:p>
        </w:tc>
        <w:tc>
          <w:tcPr>
            <w:tcW w:w="5" w:type="pct"/>
            <w:shd w:val="clear" w:color="auto" w:fill="auto"/>
          </w:tcPr>
          <w:p w14:paraId="5EA21A10" w14:textId="77777777" w:rsidR="003C66EB" w:rsidRDefault="003C66EB">
            <w:pPr>
              <w:rPr>
                <w:rFonts w:ascii="宋体"/>
              </w:rPr>
            </w:pPr>
          </w:p>
        </w:tc>
        <w:tc>
          <w:tcPr>
            <w:tcW w:w="50" w:type="pct"/>
            <w:shd w:val="clear" w:color="auto" w:fill="auto"/>
          </w:tcPr>
          <w:p w14:paraId="5EA21A11" w14:textId="77777777" w:rsidR="003C66EB" w:rsidRDefault="003C66EB">
            <w:pPr>
              <w:rPr>
                <w:rFonts w:ascii="宋体"/>
              </w:rPr>
            </w:pPr>
          </w:p>
        </w:tc>
        <w:tc>
          <w:tcPr>
            <w:tcW w:w="757" w:type="pct"/>
            <w:shd w:val="clear" w:color="auto" w:fill="auto"/>
          </w:tcPr>
          <w:p w14:paraId="5EA21A12" w14:textId="77777777" w:rsidR="003C66EB" w:rsidRDefault="003C66EB">
            <w:pPr>
              <w:rPr>
                <w:rFonts w:ascii="宋体"/>
              </w:rPr>
            </w:pPr>
          </w:p>
        </w:tc>
        <w:tc>
          <w:tcPr>
            <w:tcW w:w="5" w:type="pct"/>
            <w:shd w:val="clear" w:color="auto" w:fill="auto"/>
          </w:tcPr>
          <w:p w14:paraId="5EA21A13" w14:textId="77777777" w:rsidR="003C66EB" w:rsidRDefault="003C66EB">
            <w:pPr>
              <w:rPr>
                <w:rFonts w:ascii="宋体"/>
              </w:rPr>
            </w:pPr>
          </w:p>
        </w:tc>
        <w:tc>
          <w:tcPr>
            <w:tcW w:w="5" w:type="pct"/>
            <w:shd w:val="clear" w:color="auto" w:fill="auto"/>
          </w:tcPr>
          <w:p w14:paraId="5EA21A14" w14:textId="77777777" w:rsidR="003C66EB" w:rsidRDefault="003C66EB">
            <w:pPr>
              <w:rPr>
                <w:rFonts w:ascii="宋体"/>
              </w:rPr>
            </w:pPr>
          </w:p>
        </w:tc>
        <w:tc>
          <w:tcPr>
            <w:tcW w:w="26" w:type="pct"/>
            <w:shd w:val="clear" w:color="auto" w:fill="auto"/>
          </w:tcPr>
          <w:p w14:paraId="5EA21A15" w14:textId="77777777" w:rsidR="003C66EB" w:rsidRDefault="003C66EB">
            <w:pPr>
              <w:rPr>
                <w:rFonts w:ascii="宋体"/>
              </w:rPr>
            </w:pPr>
          </w:p>
        </w:tc>
        <w:tc>
          <w:tcPr>
            <w:tcW w:w="5" w:type="pct"/>
            <w:shd w:val="clear" w:color="auto" w:fill="auto"/>
          </w:tcPr>
          <w:p w14:paraId="5EA21A16" w14:textId="77777777" w:rsidR="003C66EB" w:rsidRDefault="003C66EB">
            <w:pPr>
              <w:rPr>
                <w:rFonts w:ascii="宋体"/>
              </w:rPr>
            </w:pPr>
          </w:p>
        </w:tc>
        <w:tc>
          <w:tcPr>
            <w:tcW w:w="50" w:type="pct"/>
            <w:shd w:val="clear" w:color="auto" w:fill="auto"/>
          </w:tcPr>
          <w:p w14:paraId="5EA21A17" w14:textId="77777777" w:rsidR="003C66EB" w:rsidRDefault="003C66EB">
            <w:pPr>
              <w:rPr>
                <w:rFonts w:ascii="宋体"/>
              </w:rPr>
            </w:pPr>
          </w:p>
        </w:tc>
        <w:tc>
          <w:tcPr>
            <w:tcW w:w="757" w:type="pct"/>
            <w:shd w:val="clear" w:color="auto" w:fill="auto"/>
          </w:tcPr>
          <w:p w14:paraId="5EA21A18" w14:textId="77777777" w:rsidR="003C66EB" w:rsidRDefault="003C66EB">
            <w:pPr>
              <w:rPr>
                <w:rFonts w:ascii="宋体"/>
              </w:rPr>
            </w:pPr>
          </w:p>
        </w:tc>
        <w:tc>
          <w:tcPr>
            <w:tcW w:w="5" w:type="pct"/>
            <w:shd w:val="clear" w:color="auto" w:fill="auto"/>
          </w:tcPr>
          <w:p w14:paraId="5EA21A19" w14:textId="77777777" w:rsidR="003C66EB" w:rsidRDefault="003C66EB">
            <w:pPr>
              <w:rPr>
                <w:rFonts w:ascii="宋体"/>
              </w:rPr>
            </w:pPr>
          </w:p>
        </w:tc>
        <w:tc>
          <w:tcPr>
            <w:tcW w:w="5" w:type="pct"/>
            <w:shd w:val="clear" w:color="auto" w:fill="auto"/>
          </w:tcPr>
          <w:p w14:paraId="5EA21A1A" w14:textId="77777777" w:rsidR="003C66EB" w:rsidRDefault="003C66EB">
            <w:pPr>
              <w:rPr>
                <w:rFonts w:ascii="宋体"/>
              </w:rPr>
            </w:pPr>
          </w:p>
        </w:tc>
        <w:tc>
          <w:tcPr>
            <w:tcW w:w="26" w:type="pct"/>
            <w:shd w:val="clear" w:color="auto" w:fill="auto"/>
          </w:tcPr>
          <w:p w14:paraId="5EA21A1B" w14:textId="77777777" w:rsidR="003C66EB" w:rsidRDefault="003C66EB">
            <w:pPr>
              <w:rPr>
                <w:rFonts w:ascii="宋体"/>
              </w:rPr>
            </w:pPr>
          </w:p>
        </w:tc>
        <w:tc>
          <w:tcPr>
            <w:tcW w:w="5" w:type="pct"/>
            <w:shd w:val="clear" w:color="auto" w:fill="auto"/>
          </w:tcPr>
          <w:p w14:paraId="5EA21A1C" w14:textId="77777777" w:rsidR="003C66EB" w:rsidRDefault="003C66EB">
            <w:pPr>
              <w:rPr>
                <w:rFonts w:ascii="宋体"/>
              </w:rPr>
            </w:pPr>
          </w:p>
        </w:tc>
        <w:tc>
          <w:tcPr>
            <w:tcW w:w="50" w:type="pct"/>
            <w:shd w:val="clear" w:color="auto" w:fill="auto"/>
          </w:tcPr>
          <w:p w14:paraId="5EA21A1D" w14:textId="77777777" w:rsidR="003C66EB" w:rsidRDefault="003C66EB">
            <w:pPr>
              <w:rPr>
                <w:rFonts w:ascii="宋体"/>
              </w:rPr>
            </w:pPr>
          </w:p>
        </w:tc>
        <w:tc>
          <w:tcPr>
            <w:tcW w:w="757" w:type="pct"/>
            <w:shd w:val="clear" w:color="auto" w:fill="auto"/>
          </w:tcPr>
          <w:p w14:paraId="5EA21A1E" w14:textId="77777777" w:rsidR="003C66EB" w:rsidRDefault="003C66EB">
            <w:pPr>
              <w:rPr>
                <w:rFonts w:ascii="宋体"/>
              </w:rPr>
            </w:pPr>
          </w:p>
        </w:tc>
        <w:tc>
          <w:tcPr>
            <w:tcW w:w="5" w:type="pct"/>
            <w:shd w:val="clear" w:color="auto" w:fill="auto"/>
          </w:tcPr>
          <w:p w14:paraId="5EA21A1F" w14:textId="77777777" w:rsidR="003C66EB" w:rsidRDefault="003C66EB">
            <w:pPr>
              <w:rPr>
                <w:rFonts w:ascii="宋体"/>
              </w:rPr>
            </w:pPr>
          </w:p>
        </w:tc>
        <w:tc>
          <w:tcPr>
            <w:tcW w:w="0" w:type="auto"/>
            <w:gridSpan w:val="3"/>
            <w:shd w:val="clear" w:color="auto" w:fill="auto"/>
          </w:tcPr>
          <w:p w14:paraId="5EA21A20" w14:textId="77777777" w:rsidR="003C66EB" w:rsidRDefault="003C66EB">
            <w:pPr>
              <w:rPr>
                <w:rFonts w:ascii="宋体"/>
                <w:vanish/>
              </w:rPr>
            </w:pPr>
          </w:p>
        </w:tc>
        <w:tc>
          <w:tcPr>
            <w:tcW w:w="0" w:type="auto"/>
            <w:gridSpan w:val="3"/>
            <w:shd w:val="clear" w:color="auto" w:fill="auto"/>
          </w:tcPr>
          <w:p w14:paraId="5EA21A21" w14:textId="77777777" w:rsidR="003C66EB" w:rsidRDefault="003C66EB">
            <w:pPr>
              <w:rPr>
                <w:rFonts w:ascii="宋体"/>
                <w:vanish/>
              </w:rPr>
            </w:pPr>
          </w:p>
        </w:tc>
        <w:tc>
          <w:tcPr>
            <w:tcW w:w="0" w:type="auto"/>
            <w:gridSpan w:val="3"/>
            <w:shd w:val="clear" w:color="auto" w:fill="auto"/>
          </w:tcPr>
          <w:p w14:paraId="5EA21A22" w14:textId="77777777" w:rsidR="003C66EB" w:rsidRDefault="003C66EB">
            <w:pPr>
              <w:rPr>
                <w:rFonts w:ascii="宋体"/>
                <w:vanish/>
              </w:rPr>
            </w:pPr>
          </w:p>
        </w:tc>
        <w:tc>
          <w:tcPr>
            <w:tcW w:w="0" w:type="auto"/>
            <w:gridSpan w:val="3"/>
            <w:shd w:val="clear" w:color="auto" w:fill="auto"/>
          </w:tcPr>
          <w:p w14:paraId="5EA21A23" w14:textId="77777777" w:rsidR="003C66EB" w:rsidRDefault="003C66EB">
            <w:pPr>
              <w:rPr>
                <w:rFonts w:ascii="宋体"/>
                <w:vanish/>
              </w:rPr>
            </w:pPr>
          </w:p>
        </w:tc>
        <w:tc>
          <w:tcPr>
            <w:tcW w:w="0" w:type="auto"/>
            <w:gridSpan w:val="3"/>
            <w:shd w:val="clear" w:color="auto" w:fill="auto"/>
          </w:tcPr>
          <w:p w14:paraId="5EA21A24" w14:textId="77777777" w:rsidR="003C66EB" w:rsidRDefault="003C66EB">
            <w:pPr>
              <w:rPr>
                <w:rFonts w:ascii="宋体"/>
                <w:vanish/>
              </w:rPr>
            </w:pPr>
          </w:p>
        </w:tc>
        <w:tc>
          <w:tcPr>
            <w:tcW w:w="0" w:type="auto"/>
            <w:gridSpan w:val="3"/>
            <w:shd w:val="clear" w:color="auto" w:fill="auto"/>
          </w:tcPr>
          <w:p w14:paraId="5EA21A25" w14:textId="77777777" w:rsidR="003C66EB" w:rsidRDefault="003C66EB">
            <w:pPr>
              <w:rPr>
                <w:rFonts w:ascii="宋体"/>
                <w:vanish/>
              </w:rPr>
            </w:pPr>
          </w:p>
        </w:tc>
        <w:tc>
          <w:tcPr>
            <w:tcW w:w="0" w:type="auto"/>
            <w:gridSpan w:val="3"/>
            <w:shd w:val="clear" w:color="auto" w:fill="auto"/>
          </w:tcPr>
          <w:p w14:paraId="5EA21A26" w14:textId="77777777" w:rsidR="003C66EB" w:rsidRDefault="003C66EB">
            <w:pPr>
              <w:rPr>
                <w:rFonts w:ascii="宋体"/>
                <w:vanish/>
              </w:rPr>
            </w:pPr>
          </w:p>
        </w:tc>
        <w:tc>
          <w:tcPr>
            <w:tcW w:w="0" w:type="auto"/>
            <w:gridSpan w:val="3"/>
            <w:shd w:val="clear" w:color="auto" w:fill="auto"/>
          </w:tcPr>
          <w:p w14:paraId="5EA21A27" w14:textId="77777777" w:rsidR="003C66EB" w:rsidRDefault="003C66EB">
            <w:pPr>
              <w:rPr>
                <w:rFonts w:ascii="宋体"/>
                <w:vanish/>
              </w:rPr>
            </w:pPr>
          </w:p>
        </w:tc>
      </w:tr>
      <w:tr w:rsidR="003C66EB" w14:paraId="5EA21A32" w14:textId="77777777">
        <w:tc>
          <w:tcPr>
            <w:tcW w:w="0" w:type="auto"/>
            <w:gridSpan w:val="24"/>
            <w:shd w:val="clear" w:color="auto" w:fill="auto"/>
            <w:tcMar>
              <w:top w:w="40" w:type="dxa"/>
              <w:left w:w="20" w:type="dxa"/>
              <w:bottom w:w="40" w:type="dxa"/>
              <w:right w:w="20" w:type="dxa"/>
            </w:tcMar>
            <w:vAlign w:val="bottom"/>
          </w:tcPr>
          <w:p w14:paraId="5EA21A29" w14:textId="77777777" w:rsidR="003C66EB" w:rsidRDefault="00D96C4E">
            <w:pPr>
              <w:textAlignment w:val="bottom"/>
            </w:pPr>
            <w:r>
              <w:rPr>
                <w:rFonts w:ascii="Arial" w:eastAsia="宋体" w:hAnsi="Arial" w:cs="Arial"/>
                <w:b/>
                <w:bCs/>
                <w:color w:val="000000"/>
                <w:sz w:val="16"/>
                <w:szCs w:val="16"/>
              </w:rPr>
              <w:t>TABLE 43: COMMON STOCK DIVIDENDS</w:t>
            </w:r>
          </w:p>
        </w:tc>
        <w:tc>
          <w:tcPr>
            <w:tcW w:w="0" w:type="auto"/>
            <w:gridSpan w:val="3"/>
            <w:shd w:val="clear" w:color="auto" w:fill="auto"/>
          </w:tcPr>
          <w:p w14:paraId="5EA21A2A" w14:textId="77777777" w:rsidR="003C66EB" w:rsidRDefault="003C66EB">
            <w:pPr>
              <w:rPr>
                <w:rFonts w:ascii="宋体"/>
                <w:vanish/>
              </w:rPr>
            </w:pPr>
          </w:p>
        </w:tc>
        <w:tc>
          <w:tcPr>
            <w:tcW w:w="0" w:type="auto"/>
            <w:gridSpan w:val="3"/>
            <w:shd w:val="clear" w:color="auto" w:fill="auto"/>
          </w:tcPr>
          <w:p w14:paraId="5EA21A2B" w14:textId="77777777" w:rsidR="003C66EB" w:rsidRDefault="003C66EB">
            <w:pPr>
              <w:rPr>
                <w:rFonts w:ascii="宋体"/>
                <w:vanish/>
              </w:rPr>
            </w:pPr>
          </w:p>
        </w:tc>
        <w:tc>
          <w:tcPr>
            <w:tcW w:w="0" w:type="auto"/>
            <w:gridSpan w:val="3"/>
            <w:shd w:val="clear" w:color="auto" w:fill="auto"/>
          </w:tcPr>
          <w:p w14:paraId="5EA21A2C" w14:textId="77777777" w:rsidR="003C66EB" w:rsidRDefault="003C66EB">
            <w:pPr>
              <w:rPr>
                <w:rFonts w:ascii="宋体"/>
                <w:vanish/>
              </w:rPr>
            </w:pPr>
          </w:p>
        </w:tc>
        <w:tc>
          <w:tcPr>
            <w:tcW w:w="0" w:type="auto"/>
            <w:gridSpan w:val="3"/>
            <w:shd w:val="clear" w:color="auto" w:fill="auto"/>
          </w:tcPr>
          <w:p w14:paraId="5EA21A2D" w14:textId="77777777" w:rsidR="003C66EB" w:rsidRDefault="003C66EB">
            <w:pPr>
              <w:rPr>
                <w:rFonts w:ascii="宋体"/>
                <w:vanish/>
              </w:rPr>
            </w:pPr>
          </w:p>
        </w:tc>
        <w:tc>
          <w:tcPr>
            <w:tcW w:w="0" w:type="auto"/>
            <w:gridSpan w:val="3"/>
            <w:shd w:val="clear" w:color="auto" w:fill="auto"/>
          </w:tcPr>
          <w:p w14:paraId="5EA21A2E" w14:textId="77777777" w:rsidR="003C66EB" w:rsidRDefault="003C66EB">
            <w:pPr>
              <w:rPr>
                <w:rFonts w:ascii="宋体"/>
                <w:vanish/>
              </w:rPr>
            </w:pPr>
          </w:p>
        </w:tc>
        <w:tc>
          <w:tcPr>
            <w:tcW w:w="0" w:type="auto"/>
            <w:gridSpan w:val="3"/>
            <w:shd w:val="clear" w:color="auto" w:fill="auto"/>
          </w:tcPr>
          <w:p w14:paraId="5EA21A2F" w14:textId="77777777" w:rsidR="003C66EB" w:rsidRDefault="003C66EB">
            <w:pPr>
              <w:rPr>
                <w:rFonts w:ascii="宋体"/>
                <w:vanish/>
              </w:rPr>
            </w:pPr>
          </w:p>
        </w:tc>
        <w:tc>
          <w:tcPr>
            <w:tcW w:w="0" w:type="auto"/>
            <w:gridSpan w:val="3"/>
            <w:shd w:val="clear" w:color="auto" w:fill="auto"/>
          </w:tcPr>
          <w:p w14:paraId="5EA21A30" w14:textId="77777777" w:rsidR="003C66EB" w:rsidRDefault="003C66EB">
            <w:pPr>
              <w:rPr>
                <w:rFonts w:ascii="宋体"/>
                <w:vanish/>
              </w:rPr>
            </w:pPr>
          </w:p>
        </w:tc>
        <w:tc>
          <w:tcPr>
            <w:tcW w:w="0" w:type="auto"/>
            <w:gridSpan w:val="3"/>
            <w:shd w:val="clear" w:color="auto" w:fill="auto"/>
          </w:tcPr>
          <w:p w14:paraId="5EA21A31" w14:textId="77777777" w:rsidR="003C66EB" w:rsidRDefault="003C66EB">
            <w:pPr>
              <w:rPr>
                <w:rFonts w:ascii="宋体"/>
                <w:vanish/>
              </w:rPr>
            </w:pPr>
          </w:p>
        </w:tc>
      </w:tr>
      <w:tr w:rsidR="003C66EB" w14:paraId="5EA21A5B" w14:textId="77777777">
        <w:trPr>
          <w:hidden/>
        </w:trPr>
        <w:tc>
          <w:tcPr>
            <w:tcW w:w="0" w:type="auto"/>
            <w:gridSpan w:val="3"/>
            <w:shd w:val="clear" w:color="auto" w:fill="auto"/>
          </w:tcPr>
          <w:p w14:paraId="5EA21A33" w14:textId="77777777" w:rsidR="003C66EB" w:rsidRDefault="003C66EB">
            <w:pPr>
              <w:rPr>
                <w:rFonts w:ascii="宋体"/>
                <w:vanish/>
              </w:rPr>
            </w:pPr>
          </w:p>
        </w:tc>
        <w:tc>
          <w:tcPr>
            <w:tcW w:w="0" w:type="auto"/>
            <w:gridSpan w:val="3"/>
            <w:shd w:val="clear" w:color="auto" w:fill="auto"/>
          </w:tcPr>
          <w:p w14:paraId="5EA21A34" w14:textId="77777777" w:rsidR="003C66EB" w:rsidRDefault="003C66EB">
            <w:pPr>
              <w:rPr>
                <w:rFonts w:ascii="宋体"/>
                <w:vanish/>
              </w:rPr>
            </w:pPr>
          </w:p>
        </w:tc>
        <w:tc>
          <w:tcPr>
            <w:tcW w:w="0" w:type="auto"/>
            <w:gridSpan w:val="3"/>
            <w:shd w:val="clear" w:color="auto" w:fill="auto"/>
          </w:tcPr>
          <w:p w14:paraId="5EA21A35" w14:textId="77777777" w:rsidR="003C66EB" w:rsidRDefault="003C66EB">
            <w:pPr>
              <w:rPr>
                <w:rFonts w:ascii="宋体"/>
                <w:vanish/>
              </w:rPr>
            </w:pPr>
          </w:p>
        </w:tc>
        <w:tc>
          <w:tcPr>
            <w:tcW w:w="0" w:type="auto"/>
            <w:gridSpan w:val="3"/>
            <w:shd w:val="clear" w:color="auto" w:fill="auto"/>
          </w:tcPr>
          <w:p w14:paraId="5EA21A36" w14:textId="77777777" w:rsidR="003C66EB" w:rsidRDefault="003C66EB">
            <w:pPr>
              <w:rPr>
                <w:rFonts w:ascii="宋体"/>
                <w:vanish/>
              </w:rPr>
            </w:pPr>
          </w:p>
        </w:tc>
        <w:tc>
          <w:tcPr>
            <w:tcW w:w="0" w:type="auto"/>
            <w:shd w:val="clear" w:color="auto" w:fill="auto"/>
          </w:tcPr>
          <w:p w14:paraId="5EA21A37" w14:textId="77777777" w:rsidR="003C66EB" w:rsidRDefault="003C66EB">
            <w:pPr>
              <w:rPr>
                <w:rFonts w:ascii="宋体"/>
              </w:rPr>
            </w:pPr>
          </w:p>
        </w:tc>
        <w:tc>
          <w:tcPr>
            <w:tcW w:w="0" w:type="auto"/>
            <w:shd w:val="clear" w:color="auto" w:fill="auto"/>
          </w:tcPr>
          <w:p w14:paraId="5EA21A38" w14:textId="77777777" w:rsidR="003C66EB" w:rsidRDefault="003C66EB">
            <w:pPr>
              <w:rPr>
                <w:rFonts w:ascii="宋体"/>
              </w:rPr>
            </w:pPr>
          </w:p>
        </w:tc>
        <w:tc>
          <w:tcPr>
            <w:tcW w:w="0" w:type="auto"/>
            <w:shd w:val="clear" w:color="auto" w:fill="auto"/>
          </w:tcPr>
          <w:p w14:paraId="5EA21A39" w14:textId="77777777" w:rsidR="003C66EB" w:rsidRDefault="003C66EB">
            <w:pPr>
              <w:rPr>
                <w:rFonts w:ascii="宋体"/>
              </w:rPr>
            </w:pPr>
          </w:p>
        </w:tc>
        <w:tc>
          <w:tcPr>
            <w:tcW w:w="0" w:type="auto"/>
            <w:shd w:val="clear" w:color="auto" w:fill="auto"/>
          </w:tcPr>
          <w:p w14:paraId="5EA21A3A" w14:textId="77777777" w:rsidR="003C66EB" w:rsidRDefault="003C66EB">
            <w:pPr>
              <w:rPr>
                <w:rFonts w:ascii="宋体"/>
              </w:rPr>
            </w:pPr>
          </w:p>
        </w:tc>
        <w:tc>
          <w:tcPr>
            <w:tcW w:w="0" w:type="auto"/>
            <w:shd w:val="clear" w:color="auto" w:fill="auto"/>
          </w:tcPr>
          <w:p w14:paraId="5EA21A3B" w14:textId="77777777" w:rsidR="003C66EB" w:rsidRDefault="003C66EB">
            <w:pPr>
              <w:rPr>
                <w:rFonts w:ascii="宋体"/>
              </w:rPr>
            </w:pPr>
          </w:p>
        </w:tc>
        <w:tc>
          <w:tcPr>
            <w:tcW w:w="0" w:type="auto"/>
            <w:shd w:val="clear" w:color="auto" w:fill="auto"/>
          </w:tcPr>
          <w:p w14:paraId="5EA21A3C" w14:textId="77777777" w:rsidR="003C66EB" w:rsidRDefault="003C66EB">
            <w:pPr>
              <w:rPr>
                <w:rFonts w:ascii="宋体"/>
              </w:rPr>
            </w:pPr>
          </w:p>
        </w:tc>
        <w:tc>
          <w:tcPr>
            <w:tcW w:w="0" w:type="auto"/>
            <w:shd w:val="clear" w:color="auto" w:fill="auto"/>
          </w:tcPr>
          <w:p w14:paraId="5EA21A3D" w14:textId="77777777" w:rsidR="003C66EB" w:rsidRDefault="003C66EB">
            <w:pPr>
              <w:rPr>
                <w:rFonts w:ascii="宋体"/>
              </w:rPr>
            </w:pPr>
          </w:p>
        </w:tc>
        <w:tc>
          <w:tcPr>
            <w:tcW w:w="0" w:type="auto"/>
            <w:shd w:val="clear" w:color="auto" w:fill="auto"/>
          </w:tcPr>
          <w:p w14:paraId="5EA21A3E" w14:textId="77777777" w:rsidR="003C66EB" w:rsidRDefault="003C66EB">
            <w:pPr>
              <w:rPr>
                <w:rFonts w:ascii="宋体"/>
              </w:rPr>
            </w:pPr>
          </w:p>
        </w:tc>
        <w:tc>
          <w:tcPr>
            <w:tcW w:w="0" w:type="auto"/>
            <w:shd w:val="clear" w:color="auto" w:fill="auto"/>
          </w:tcPr>
          <w:p w14:paraId="5EA21A3F" w14:textId="77777777" w:rsidR="003C66EB" w:rsidRDefault="003C66EB">
            <w:pPr>
              <w:rPr>
                <w:rFonts w:ascii="宋体"/>
              </w:rPr>
            </w:pPr>
          </w:p>
        </w:tc>
        <w:tc>
          <w:tcPr>
            <w:tcW w:w="0" w:type="auto"/>
            <w:shd w:val="clear" w:color="auto" w:fill="auto"/>
          </w:tcPr>
          <w:p w14:paraId="5EA21A40" w14:textId="77777777" w:rsidR="003C66EB" w:rsidRDefault="003C66EB">
            <w:pPr>
              <w:rPr>
                <w:rFonts w:ascii="宋体"/>
              </w:rPr>
            </w:pPr>
          </w:p>
        </w:tc>
        <w:tc>
          <w:tcPr>
            <w:tcW w:w="0" w:type="auto"/>
            <w:shd w:val="clear" w:color="auto" w:fill="auto"/>
          </w:tcPr>
          <w:p w14:paraId="5EA21A41" w14:textId="77777777" w:rsidR="003C66EB" w:rsidRDefault="003C66EB">
            <w:pPr>
              <w:rPr>
                <w:rFonts w:ascii="宋体"/>
              </w:rPr>
            </w:pPr>
          </w:p>
        </w:tc>
        <w:tc>
          <w:tcPr>
            <w:tcW w:w="0" w:type="auto"/>
            <w:shd w:val="clear" w:color="auto" w:fill="auto"/>
          </w:tcPr>
          <w:p w14:paraId="5EA21A42" w14:textId="77777777" w:rsidR="003C66EB" w:rsidRDefault="003C66EB">
            <w:pPr>
              <w:rPr>
                <w:rFonts w:ascii="宋体"/>
              </w:rPr>
            </w:pPr>
          </w:p>
        </w:tc>
        <w:tc>
          <w:tcPr>
            <w:tcW w:w="0" w:type="auto"/>
            <w:shd w:val="clear" w:color="auto" w:fill="auto"/>
          </w:tcPr>
          <w:p w14:paraId="5EA21A43" w14:textId="77777777" w:rsidR="003C66EB" w:rsidRDefault="003C66EB">
            <w:pPr>
              <w:rPr>
                <w:rFonts w:ascii="宋体"/>
              </w:rPr>
            </w:pPr>
          </w:p>
        </w:tc>
        <w:tc>
          <w:tcPr>
            <w:tcW w:w="0" w:type="auto"/>
            <w:shd w:val="clear" w:color="auto" w:fill="auto"/>
          </w:tcPr>
          <w:p w14:paraId="5EA21A44" w14:textId="77777777" w:rsidR="003C66EB" w:rsidRDefault="003C66EB">
            <w:pPr>
              <w:rPr>
                <w:rFonts w:ascii="宋体"/>
              </w:rPr>
            </w:pPr>
          </w:p>
        </w:tc>
        <w:tc>
          <w:tcPr>
            <w:tcW w:w="0" w:type="auto"/>
            <w:shd w:val="clear" w:color="auto" w:fill="auto"/>
          </w:tcPr>
          <w:p w14:paraId="5EA21A45" w14:textId="77777777" w:rsidR="003C66EB" w:rsidRDefault="003C66EB">
            <w:pPr>
              <w:rPr>
                <w:rFonts w:ascii="宋体"/>
              </w:rPr>
            </w:pPr>
          </w:p>
        </w:tc>
        <w:tc>
          <w:tcPr>
            <w:tcW w:w="0" w:type="auto"/>
            <w:shd w:val="clear" w:color="auto" w:fill="auto"/>
          </w:tcPr>
          <w:p w14:paraId="5EA21A46" w14:textId="77777777" w:rsidR="003C66EB" w:rsidRDefault="003C66EB">
            <w:pPr>
              <w:rPr>
                <w:rFonts w:ascii="宋体"/>
              </w:rPr>
            </w:pPr>
          </w:p>
        </w:tc>
        <w:tc>
          <w:tcPr>
            <w:tcW w:w="0" w:type="auto"/>
            <w:shd w:val="clear" w:color="auto" w:fill="auto"/>
          </w:tcPr>
          <w:p w14:paraId="5EA21A47" w14:textId="77777777" w:rsidR="003C66EB" w:rsidRDefault="003C66EB">
            <w:pPr>
              <w:rPr>
                <w:rFonts w:ascii="宋体"/>
              </w:rPr>
            </w:pPr>
          </w:p>
        </w:tc>
        <w:tc>
          <w:tcPr>
            <w:tcW w:w="0" w:type="auto"/>
            <w:shd w:val="clear" w:color="auto" w:fill="auto"/>
          </w:tcPr>
          <w:p w14:paraId="5EA21A48" w14:textId="77777777" w:rsidR="003C66EB" w:rsidRDefault="003C66EB">
            <w:pPr>
              <w:rPr>
                <w:rFonts w:ascii="宋体"/>
              </w:rPr>
            </w:pPr>
          </w:p>
        </w:tc>
        <w:tc>
          <w:tcPr>
            <w:tcW w:w="0" w:type="auto"/>
            <w:shd w:val="clear" w:color="auto" w:fill="auto"/>
          </w:tcPr>
          <w:p w14:paraId="5EA21A49" w14:textId="77777777" w:rsidR="003C66EB" w:rsidRDefault="003C66EB">
            <w:pPr>
              <w:rPr>
                <w:rFonts w:ascii="宋体"/>
              </w:rPr>
            </w:pPr>
          </w:p>
        </w:tc>
        <w:tc>
          <w:tcPr>
            <w:tcW w:w="0" w:type="auto"/>
            <w:shd w:val="clear" w:color="auto" w:fill="auto"/>
          </w:tcPr>
          <w:p w14:paraId="5EA21A4A" w14:textId="77777777" w:rsidR="003C66EB" w:rsidRDefault="003C66EB">
            <w:pPr>
              <w:rPr>
                <w:rFonts w:ascii="宋体"/>
              </w:rPr>
            </w:pPr>
          </w:p>
        </w:tc>
        <w:tc>
          <w:tcPr>
            <w:tcW w:w="0" w:type="auto"/>
            <w:shd w:val="clear" w:color="auto" w:fill="auto"/>
          </w:tcPr>
          <w:p w14:paraId="5EA21A4B" w14:textId="77777777" w:rsidR="003C66EB" w:rsidRDefault="003C66EB">
            <w:pPr>
              <w:rPr>
                <w:rFonts w:ascii="宋体"/>
              </w:rPr>
            </w:pPr>
          </w:p>
        </w:tc>
        <w:tc>
          <w:tcPr>
            <w:tcW w:w="0" w:type="auto"/>
            <w:shd w:val="clear" w:color="auto" w:fill="auto"/>
          </w:tcPr>
          <w:p w14:paraId="5EA21A4C" w14:textId="77777777" w:rsidR="003C66EB" w:rsidRDefault="003C66EB">
            <w:pPr>
              <w:rPr>
                <w:rFonts w:ascii="宋体"/>
              </w:rPr>
            </w:pPr>
          </w:p>
        </w:tc>
        <w:tc>
          <w:tcPr>
            <w:tcW w:w="0" w:type="auto"/>
            <w:shd w:val="clear" w:color="auto" w:fill="auto"/>
          </w:tcPr>
          <w:p w14:paraId="5EA21A4D" w14:textId="77777777" w:rsidR="003C66EB" w:rsidRDefault="003C66EB">
            <w:pPr>
              <w:rPr>
                <w:rFonts w:ascii="宋体"/>
              </w:rPr>
            </w:pPr>
          </w:p>
        </w:tc>
        <w:tc>
          <w:tcPr>
            <w:tcW w:w="0" w:type="auto"/>
            <w:shd w:val="clear" w:color="auto" w:fill="auto"/>
          </w:tcPr>
          <w:p w14:paraId="5EA21A4E" w14:textId="77777777" w:rsidR="003C66EB" w:rsidRDefault="003C66EB">
            <w:pPr>
              <w:rPr>
                <w:rFonts w:ascii="宋体"/>
              </w:rPr>
            </w:pPr>
          </w:p>
        </w:tc>
        <w:tc>
          <w:tcPr>
            <w:tcW w:w="0" w:type="auto"/>
            <w:shd w:val="clear" w:color="auto" w:fill="auto"/>
          </w:tcPr>
          <w:p w14:paraId="5EA21A4F" w14:textId="77777777" w:rsidR="003C66EB" w:rsidRDefault="003C66EB">
            <w:pPr>
              <w:rPr>
                <w:rFonts w:ascii="宋体"/>
              </w:rPr>
            </w:pPr>
          </w:p>
        </w:tc>
        <w:tc>
          <w:tcPr>
            <w:tcW w:w="0" w:type="auto"/>
            <w:shd w:val="clear" w:color="auto" w:fill="auto"/>
          </w:tcPr>
          <w:p w14:paraId="5EA21A50" w14:textId="77777777" w:rsidR="003C66EB" w:rsidRDefault="003C66EB">
            <w:pPr>
              <w:rPr>
                <w:rFonts w:ascii="宋体"/>
              </w:rPr>
            </w:pPr>
          </w:p>
        </w:tc>
        <w:tc>
          <w:tcPr>
            <w:tcW w:w="0" w:type="auto"/>
            <w:shd w:val="clear" w:color="auto" w:fill="auto"/>
          </w:tcPr>
          <w:p w14:paraId="5EA21A51" w14:textId="77777777" w:rsidR="003C66EB" w:rsidRDefault="003C66EB">
            <w:pPr>
              <w:rPr>
                <w:rFonts w:ascii="宋体"/>
              </w:rPr>
            </w:pPr>
          </w:p>
        </w:tc>
        <w:tc>
          <w:tcPr>
            <w:tcW w:w="0" w:type="auto"/>
            <w:shd w:val="clear" w:color="auto" w:fill="auto"/>
          </w:tcPr>
          <w:p w14:paraId="5EA21A52" w14:textId="77777777" w:rsidR="003C66EB" w:rsidRDefault="003C66EB">
            <w:pPr>
              <w:rPr>
                <w:rFonts w:ascii="宋体"/>
              </w:rPr>
            </w:pPr>
          </w:p>
        </w:tc>
        <w:tc>
          <w:tcPr>
            <w:tcW w:w="0" w:type="auto"/>
            <w:shd w:val="clear" w:color="auto" w:fill="auto"/>
          </w:tcPr>
          <w:p w14:paraId="5EA21A53" w14:textId="77777777" w:rsidR="003C66EB" w:rsidRDefault="003C66EB">
            <w:pPr>
              <w:rPr>
                <w:rFonts w:ascii="宋体"/>
              </w:rPr>
            </w:pPr>
          </w:p>
        </w:tc>
        <w:tc>
          <w:tcPr>
            <w:tcW w:w="0" w:type="auto"/>
            <w:shd w:val="clear" w:color="auto" w:fill="auto"/>
          </w:tcPr>
          <w:p w14:paraId="5EA21A54" w14:textId="77777777" w:rsidR="003C66EB" w:rsidRDefault="003C66EB">
            <w:pPr>
              <w:rPr>
                <w:rFonts w:ascii="宋体"/>
              </w:rPr>
            </w:pPr>
          </w:p>
        </w:tc>
        <w:tc>
          <w:tcPr>
            <w:tcW w:w="0" w:type="auto"/>
            <w:shd w:val="clear" w:color="auto" w:fill="auto"/>
          </w:tcPr>
          <w:p w14:paraId="5EA21A55" w14:textId="77777777" w:rsidR="003C66EB" w:rsidRDefault="003C66EB">
            <w:pPr>
              <w:rPr>
                <w:rFonts w:ascii="宋体"/>
              </w:rPr>
            </w:pPr>
          </w:p>
        </w:tc>
        <w:tc>
          <w:tcPr>
            <w:tcW w:w="0" w:type="auto"/>
            <w:shd w:val="clear" w:color="auto" w:fill="auto"/>
          </w:tcPr>
          <w:p w14:paraId="5EA21A56" w14:textId="77777777" w:rsidR="003C66EB" w:rsidRDefault="003C66EB">
            <w:pPr>
              <w:rPr>
                <w:rFonts w:ascii="宋体"/>
              </w:rPr>
            </w:pPr>
          </w:p>
        </w:tc>
        <w:tc>
          <w:tcPr>
            <w:tcW w:w="0" w:type="auto"/>
            <w:shd w:val="clear" w:color="auto" w:fill="auto"/>
          </w:tcPr>
          <w:p w14:paraId="5EA21A57" w14:textId="77777777" w:rsidR="003C66EB" w:rsidRDefault="003C66EB">
            <w:pPr>
              <w:rPr>
                <w:rFonts w:ascii="宋体"/>
              </w:rPr>
            </w:pPr>
          </w:p>
        </w:tc>
        <w:tc>
          <w:tcPr>
            <w:tcW w:w="0" w:type="auto"/>
            <w:shd w:val="clear" w:color="auto" w:fill="auto"/>
          </w:tcPr>
          <w:p w14:paraId="5EA21A58" w14:textId="77777777" w:rsidR="003C66EB" w:rsidRDefault="003C66EB">
            <w:pPr>
              <w:rPr>
                <w:rFonts w:ascii="宋体"/>
              </w:rPr>
            </w:pPr>
          </w:p>
        </w:tc>
        <w:tc>
          <w:tcPr>
            <w:tcW w:w="0" w:type="auto"/>
            <w:shd w:val="clear" w:color="auto" w:fill="auto"/>
          </w:tcPr>
          <w:p w14:paraId="5EA21A59" w14:textId="77777777" w:rsidR="003C66EB" w:rsidRDefault="003C66EB">
            <w:pPr>
              <w:rPr>
                <w:rFonts w:ascii="宋体"/>
              </w:rPr>
            </w:pPr>
          </w:p>
        </w:tc>
        <w:tc>
          <w:tcPr>
            <w:tcW w:w="0" w:type="auto"/>
            <w:shd w:val="clear" w:color="auto" w:fill="auto"/>
          </w:tcPr>
          <w:p w14:paraId="5EA21A5A" w14:textId="77777777" w:rsidR="003C66EB" w:rsidRDefault="003C66EB">
            <w:pPr>
              <w:rPr>
                <w:rFonts w:ascii="宋体"/>
              </w:rPr>
            </w:pPr>
          </w:p>
        </w:tc>
      </w:tr>
      <w:tr w:rsidR="003C66EB" w14:paraId="5EA21A6C" w14:textId="77777777">
        <w:trPr>
          <w:hidden/>
        </w:trPr>
        <w:tc>
          <w:tcPr>
            <w:tcW w:w="0" w:type="auto"/>
            <w:gridSpan w:val="3"/>
            <w:shd w:val="clear" w:color="auto" w:fill="auto"/>
          </w:tcPr>
          <w:p w14:paraId="5EA21A5C" w14:textId="77777777" w:rsidR="003C66EB" w:rsidRDefault="003C66EB">
            <w:pPr>
              <w:rPr>
                <w:rFonts w:ascii="宋体"/>
                <w:vanish/>
              </w:rPr>
            </w:pPr>
          </w:p>
        </w:tc>
        <w:tc>
          <w:tcPr>
            <w:tcW w:w="0" w:type="auto"/>
            <w:gridSpan w:val="3"/>
            <w:shd w:val="clear" w:color="auto" w:fill="auto"/>
          </w:tcPr>
          <w:p w14:paraId="5EA21A5D" w14:textId="77777777" w:rsidR="003C66EB" w:rsidRDefault="003C66EB">
            <w:pPr>
              <w:rPr>
                <w:rFonts w:ascii="宋体"/>
                <w:vanish/>
              </w:rPr>
            </w:pPr>
          </w:p>
        </w:tc>
        <w:tc>
          <w:tcPr>
            <w:tcW w:w="0" w:type="auto"/>
            <w:gridSpan w:val="3"/>
            <w:shd w:val="clear" w:color="auto" w:fill="auto"/>
          </w:tcPr>
          <w:p w14:paraId="5EA21A5E" w14:textId="77777777" w:rsidR="003C66EB" w:rsidRDefault="003C66EB">
            <w:pPr>
              <w:rPr>
                <w:rFonts w:ascii="宋体"/>
                <w:vanish/>
              </w:rPr>
            </w:pPr>
          </w:p>
        </w:tc>
        <w:tc>
          <w:tcPr>
            <w:tcW w:w="0" w:type="auto"/>
            <w:gridSpan w:val="3"/>
            <w:shd w:val="clear" w:color="auto" w:fill="auto"/>
          </w:tcPr>
          <w:p w14:paraId="5EA21A5F" w14:textId="77777777" w:rsidR="003C66EB" w:rsidRDefault="003C66EB">
            <w:pPr>
              <w:rPr>
                <w:rFonts w:ascii="宋体"/>
                <w:vanish/>
              </w:rPr>
            </w:pPr>
          </w:p>
        </w:tc>
        <w:tc>
          <w:tcPr>
            <w:tcW w:w="0" w:type="auto"/>
            <w:gridSpan w:val="3"/>
            <w:shd w:val="clear" w:color="auto" w:fill="auto"/>
          </w:tcPr>
          <w:p w14:paraId="5EA21A60" w14:textId="77777777" w:rsidR="003C66EB" w:rsidRDefault="003C66EB">
            <w:pPr>
              <w:rPr>
                <w:rFonts w:ascii="宋体"/>
                <w:vanish/>
              </w:rPr>
            </w:pPr>
          </w:p>
        </w:tc>
        <w:tc>
          <w:tcPr>
            <w:tcW w:w="0" w:type="auto"/>
            <w:gridSpan w:val="3"/>
            <w:shd w:val="clear" w:color="auto" w:fill="auto"/>
          </w:tcPr>
          <w:p w14:paraId="5EA21A61" w14:textId="77777777" w:rsidR="003C66EB" w:rsidRDefault="003C66EB">
            <w:pPr>
              <w:rPr>
                <w:rFonts w:ascii="宋体"/>
                <w:vanish/>
              </w:rPr>
            </w:pPr>
          </w:p>
        </w:tc>
        <w:tc>
          <w:tcPr>
            <w:tcW w:w="0" w:type="auto"/>
            <w:gridSpan w:val="3"/>
            <w:shd w:val="clear" w:color="auto" w:fill="auto"/>
          </w:tcPr>
          <w:p w14:paraId="5EA21A62" w14:textId="77777777" w:rsidR="003C66EB" w:rsidRDefault="003C66EB">
            <w:pPr>
              <w:rPr>
                <w:rFonts w:ascii="宋体"/>
                <w:vanish/>
              </w:rPr>
            </w:pPr>
          </w:p>
        </w:tc>
        <w:tc>
          <w:tcPr>
            <w:tcW w:w="0" w:type="auto"/>
            <w:gridSpan w:val="3"/>
            <w:shd w:val="clear" w:color="auto" w:fill="auto"/>
          </w:tcPr>
          <w:p w14:paraId="5EA21A63" w14:textId="77777777" w:rsidR="003C66EB" w:rsidRDefault="003C66EB">
            <w:pPr>
              <w:rPr>
                <w:rFonts w:ascii="宋体"/>
                <w:vanish/>
              </w:rPr>
            </w:pPr>
          </w:p>
        </w:tc>
        <w:tc>
          <w:tcPr>
            <w:tcW w:w="0" w:type="auto"/>
            <w:gridSpan w:val="3"/>
            <w:shd w:val="clear" w:color="auto" w:fill="auto"/>
          </w:tcPr>
          <w:p w14:paraId="5EA21A64" w14:textId="77777777" w:rsidR="003C66EB" w:rsidRDefault="003C66EB">
            <w:pPr>
              <w:rPr>
                <w:rFonts w:ascii="宋体"/>
                <w:vanish/>
              </w:rPr>
            </w:pPr>
          </w:p>
        </w:tc>
        <w:tc>
          <w:tcPr>
            <w:tcW w:w="0" w:type="auto"/>
            <w:gridSpan w:val="3"/>
            <w:shd w:val="clear" w:color="auto" w:fill="auto"/>
          </w:tcPr>
          <w:p w14:paraId="5EA21A65" w14:textId="77777777" w:rsidR="003C66EB" w:rsidRDefault="003C66EB">
            <w:pPr>
              <w:rPr>
                <w:rFonts w:ascii="宋体"/>
                <w:vanish/>
              </w:rPr>
            </w:pPr>
          </w:p>
        </w:tc>
        <w:tc>
          <w:tcPr>
            <w:tcW w:w="0" w:type="auto"/>
            <w:gridSpan w:val="3"/>
            <w:shd w:val="clear" w:color="auto" w:fill="auto"/>
          </w:tcPr>
          <w:p w14:paraId="5EA21A66" w14:textId="77777777" w:rsidR="003C66EB" w:rsidRDefault="003C66EB">
            <w:pPr>
              <w:rPr>
                <w:rFonts w:ascii="宋体"/>
                <w:vanish/>
              </w:rPr>
            </w:pPr>
          </w:p>
        </w:tc>
        <w:tc>
          <w:tcPr>
            <w:tcW w:w="0" w:type="auto"/>
            <w:gridSpan w:val="3"/>
            <w:shd w:val="clear" w:color="auto" w:fill="auto"/>
          </w:tcPr>
          <w:p w14:paraId="5EA21A67" w14:textId="77777777" w:rsidR="003C66EB" w:rsidRDefault="003C66EB">
            <w:pPr>
              <w:rPr>
                <w:rFonts w:ascii="宋体"/>
                <w:vanish/>
              </w:rPr>
            </w:pPr>
          </w:p>
        </w:tc>
        <w:tc>
          <w:tcPr>
            <w:tcW w:w="0" w:type="auto"/>
            <w:gridSpan w:val="3"/>
            <w:shd w:val="clear" w:color="auto" w:fill="auto"/>
          </w:tcPr>
          <w:p w14:paraId="5EA21A68" w14:textId="77777777" w:rsidR="003C66EB" w:rsidRDefault="003C66EB">
            <w:pPr>
              <w:rPr>
                <w:rFonts w:ascii="宋体"/>
                <w:vanish/>
              </w:rPr>
            </w:pPr>
          </w:p>
        </w:tc>
        <w:tc>
          <w:tcPr>
            <w:tcW w:w="0" w:type="auto"/>
            <w:gridSpan w:val="3"/>
            <w:shd w:val="clear" w:color="auto" w:fill="auto"/>
          </w:tcPr>
          <w:p w14:paraId="5EA21A69" w14:textId="77777777" w:rsidR="003C66EB" w:rsidRDefault="003C66EB">
            <w:pPr>
              <w:rPr>
                <w:rFonts w:ascii="宋体"/>
                <w:vanish/>
              </w:rPr>
            </w:pPr>
          </w:p>
        </w:tc>
        <w:tc>
          <w:tcPr>
            <w:tcW w:w="0" w:type="auto"/>
            <w:gridSpan w:val="3"/>
            <w:shd w:val="clear" w:color="auto" w:fill="auto"/>
          </w:tcPr>
          <w:p w14:paraId="5EA21A6A" w14:textId="77777777" w:rsidR="003C66EB" w:rsidRDefault="003C66EB">
            <w:pPr>
              <w:rPr>
                <w:rFonts w:ascii="宋体"/>
                <w:vanish/>
              </w:rPr>
            </w:pPr>
          </w:p>
        </w:tc>
        <w:tc>
          <w:tcPr>
            <w:tcW w:w="0" w:type="auto"/>
            <w:gridSpan w:val="3"/>
            <w:shd w:val="clear" w:color="auto" w:fill="auto"/>
          </w:tcPr>
          <w:p w14:paraId="5EA21A6B" w14:textId="77777777" w:rsidR="003C66EB" w:rsidRDefault="003C66EB">
            <w:pPr>
              <w:rPr>
                <w:rFonts w:ascii="宋体"/>
                <w:vanish/>
              </w:rPr>
            </w:pPr>
          </w:p>
        </w:tc>
      </w:tr>
      <w:tr w:rsidR="003C66EB" w14:paraId="5EA21A8D" w14:textId="77777777">
        <w:trPr>
          <w:hidden/>
        </w:trPr>
        <w:tc>
          <w:tcPr>
            <w:tcW w:w="0" w:type="auto"/>
            <w:gridSpan w:val="3"/>
            <w:shd w:val="clear" w:color="auto" w:fill="auto"/>
          </w:tcPr>
          <w:p w14:paraId="5EA21A6D" w14:textId="77777777" w:rsidR="003C66EB" w:rsidRDefault="003C66EB">
            <w:pPr>
              <w:rPr>
                <w:rFonts w:ascii="宋体"/>
                <w:vanish/>
              </w:rPr>
            </w:pPr>
          </w:p>
        </w:tc>
        <w:tc>
          <w:tcPr>
            <w:tcW w:w="0" w:type="auto"/>
            <w:gridSpan w:val="3"/>
            <w:shd w:val="clear" w:color="auto" w:fill="auto"/>
          </w:tcPr>
          <w:p w14:paraId="5EA21A6E" w14:textId="77777777" w:rsidR="003C66EB" w:rsidRDefault="003C66EB">
            <w:pPr>
              <w:rPr>
                <w:rFonts w:ascii="宋体"/>
                <w:vanish/>
              </w:rPr>
            </w:pPr>
          </w:p>
        </w:tc>
        <w:tc>
          <w:tcPr>
            <w:tcW w:w="0" w:type="auto"/>
            <w:gridSpan w:val="3"/>
            <w:shd w:val="clear" w:color="auto" w:fill="auto"/>
          </w:tcPr>
          <w:p w14:paraId="5EA21A6F" w14:textId="77777777" w:rsidR="003C66EB" w:rsidRDefault="003C66EB">
            <w:pPr>
              <w:rPr>
                <w:rFonts w:ascii="宋体"/>
                <w:vanish/>
              </w:rPr>
            </w:pPr>
          </w:p>
        </w:tc>
        <w:tc>
          <w:tcPr>
            <w:tcW w:w="0" w:type="auto"/>
            <w:gridSpan w:val="3"/>
            <w:shd w:val="clear" w:color="auto" w:fill="auto"/>
          </w:tcPr>
          <w:p w14:paraId="5EA21A70" w14:textId="77777777" w:rsidR="003C66EB" w:rsidRDefault="003C66EB">
            <w:pPr>
              <w:rPr>
                <w:rFonts w:ascii="宋体"/>
                <w:vanish/>
              </w:rPr>
            </w:pPr>
          </w:p>
        </w:tc>
        <w:tc>
          <w:tcPr>
            <w:tcW w:w="0" w:type="auto"/>
            <w:gridSpan w:val="3"/>
            <w:shd w:val="clear" w:color="auto" w:fill="auto"/>
          </w:tcPr>
          <w:p w14:paraId="5EA21A71" w14:textId="77777777" w:rsidR="003C66EB" w:rsidRDefault="003C66EB">
            <w:pPr>
              <w:rPr>
                <w:rFonts w:ascii="宋体"/>
                <w:vanish/>
              </w:rPr>
            </w:pPr>
          </w:p>
        </w:tc>
        <w:tc>
          <w:tcPr>
            <w:tcW w:w="0" w:type="auto"/>
            <w:gridSpan w:val="3"/>
            <w:shd w:val="clear" w:color="auto" w:fill="auto"/>
          </w:tcPr>
          <w:p w14:paraId="5EA21A72" w14:textId="77777777" w:rsidR="003C66EB" w:rsidRDefault="003C66EB">
            <w:pPr>
              <w:rPr>
                <w:rFonts w:ascii="宋体"/>
                <w:vanish/>
              </w:rPr>
            </w:pPr>
          </w:p>
        </w:tc>
        <w:tc>
          <w:tcPr>
            <w:tcW w:w="0" w:type="auto"/>
            <w:gridSpan w:val="3"/>
            <w:shd w:val="clear" w:color="auto" w:fill="auto"/>
          </w:tcPr>
          <w:p w14:paraId="5EA21A73" w14:textId="77777777" w:rsidR="003C66EB" w:rsidRDefault="003C66EB">
            <w:pPr>
              <w:rPr>
                <w:rFonts w:ascii="宋体"/>
                <w:vanish/>
              </w:rPr>
            </w:pPr>
          </w:p>
        </w:tc>
        <w:tc>
          <w:tcPr>
            <w:tcW w:w="0" w:type="auto"/>
            <w:gridSpan w:val="3"/>
            <w:shd w:val="clear" w:color="auto" w:fill="auto"/>
          </w:tcPr>
          <w:p w14:paraId="5EA21A74" w14:textId="77777777" w:rsidR="003C66EB" w:rsidRDefault="003C66EB">
            <w:pPr>
              <w:rPr>
                <w:rFonts w:ascii="宋体"/>
                <w:vanish/>
              </w:rPr>
            </w:pPr>
          </w:p>
        </w:tc>
        <w:tc>
          <w:tcPr>
            <w:tcW w:w="0" w:type="auto"/>
            <w:shd w:val="clear" w:color="auto" w:fill="auto"/>
          </w:tcPr>
          <w:p w14:paraId="5EA21A75" w14:textId="77777777" w:rsidR="003C66EB" w:rsidRDefault="003C66EB">
            <w:pPr>
              <w:rPr>
                <w:rFonts w:ascii="宋体"/>
              </w:rPr>
            </w:pPr>
          </w:p>
        </w:tc>
        <w:tc>
          <w:tcPr>
            <w:tcW w:w="0" w:type="auto"/>
            <w:shd w:val="clear" w:color="auto" w:fill="auto"/>
          </w:tcPr>
          <w:p w14:paraId="5EA21A76" w14:textId="77777777" w:rsidR="003C66EB" w:rsidRDefault="003C66EB">
            <w:pPr>
              <w:rPr>
                <w:rFonts w:ascii="宋体"/>
              </w:rPr>
            </w:pPr>
          </w:p>
        </w:tc>
        <w:tc>
          <w:tcPr>
            <w:tcW w:w="0" w:type="auto"/>
            <w:shd w:val="clear" w:color="auto" w:fill="auto"/>
          </w:tcPr>
          <w:p w14:paraId="5EA21A77" w14:textId="77777777" w:rsidR="003C66EB" w:rsidRDefault="003C66EB">
            <w:pPr>
              <w:rPr>
                <w:rFonts w:ascii="宋体"/>
              </w:rPr>
            </w:pPr>
          </w:p>
        </w:tc>
        <w:tc>
          <w:tcPr>
            <w:tcW w:w="0" w:type="auto"/>
            <w:shd w:val="clear" w:color="auto" w:fill="auto"/>
          </w:tcPr>
          <w:p w14:paraId="5EA21A78" w14:textId="77777777" w:rsidR="003C66EB" w:rsidRDefault="003C66EB">
            <w:pPr>
              <w:rPr>
                <w:rFonts w:ascii="宋体"/>
              </w:rPr>
            </w:pPr>
          </w:p>
        </w:tc>
        <w:tc>
          <w:tcPr>
            <w:tcW w:w="0" w:type="auto"/>
            <w:shd w:val="clear" w:color="auto" w:fill="auto"/>
          </w:tcPr>
          <w:p w14:paraId="5EA21A79" w14:textId="77777777" w:rsidR="003C66EB" w:rsidRDefault="003C66EB">
            <w:pPr>
              <w:rPr>
                <w:rFonts w:ascii="宋体"/>
              </w:rPr>
            </w:pPr>
          </w:p>
        </w:tc>
        <w:tc>
          <w:tcPr>
            <w:tcW w:w="0" w:type="auto"/>
            <w:shd w:val="clear" w:color="auto" w:fill="auto"/>
          </w:tcPr>
          <w:p w14:paraId="5EA21A7A" w14:textId="77777777" w:rsidR="003C66EB" w:rsidRDefault="003C66EB">
            <w:pPr>
              <w:rPr>
                <w:rFonts w:ascii="宋体"/>
              </w:rPr>
            </w:pPr>
          </w:p>
        </w:tc>
        <w:tc>
          <w:tcPr>
            <w:tcW w:w="0" w:type="auto"/>
            <w:shd w:val="clear" w:color="auto" w:fill="auto"/>
          </w:tcPr>
          <w:p w14:paraId="5EA21A7B" w14:textId="77777777" w:rsidR="003C66EB" w:rsidRDefault="003C66EB">
            <w:pPr>
              <w:rPr>
                <w:rFonts w:ascii="宋体"/>
              </w:rPr>
            </w:pPr>
          </w:p>
        </w:tc>
        <w:tc>
          <w:tcPr>
            <w:tcW w:w="0" w:type="auto"/>
            <w:shd w:val="clear" w:color="auto" w:fill="auto"/>
          </w:tcPr>
          <w:p w14:paraId="5EA21A7C" w14:textId="77777777" w:rsidR="003C66EB" w:rsidRDefault="003C66EB">
            <w:pPr>
              <w:rPr>
                <w:rFonts w:ascii="宋体"/>
              </w:rPr>
            </w:pPr>
          </w:p>
        </w:tc>
        <w:tc>
          <w:tcPr>
            <w:tcW w:w="0" w:type="auto"/>
            <w:shd w:val="clear" w:color="auto" w:fill="auto"/>
          </w:tcPr>
          <w:p w14:paraId="5EA21A7D" w14:textId="77777777" w:rsidR="003C66EB" w:rsidRDefault="003C66EB">
            <w:pPr>
              <w:rPr>
                <w:rFonts w:ascii="宋体"/>
              </w:rPr>
            </w:pPr>
          </w:p>
        </w:tc>
        <w:tc>
          <w:tcPr>
            <w:tcW w:w="0" w:type="auto"/>
            <w:shd w:val="clear" w:color="auto" w:fill="auto"/>
          </w:tcPr>
          <w:p w14:paraId="5EA21A7E" w14:textId="77777777" w:rsidR="003C66EB" w:rsidRDefault="003C66EB">
            <w:pPr>
              <w:rPr>
                <w:rFonts w:ascii="宋体"/>
              </w:rPr>
            </w:pPr>
          </w:p>
        </w:tc>
        <w:tc>
          <w:tcPr>
            <w:tcW w:w="0" w:type="auto"/>
            <w:shd w:val="clear" w:color="auto" w:fill="auto"/>
          </w:tcPr>
          <w:p w14:paraId="5EA21A7F" w14:textId="77777777" w:rsidR="003C66EB" w:rsidRDefault="003C66EB">
            <w:pPr>
              <w:rPr>
                <w:rFonts w:ascii="宋体"/>
              </w:rPr>
            </w:pPr>
          </w:p>
        </w:tc>
        <w:tc>
          <w:tcPr>
            <w:tcW w:w="0" w:type="auto"/>
            <w:shd w:val="clear" w:color="auto" w:fill="auto"/>
          </w:tcPr>
          <w:p w14:paraId="5EA21A80" w14:textId="77777777" w:rsidR="003C66EB" w:rsidRDefault="003C66EB">
            <w:pPr>
              <w:rPr>
                <w:rFonts w:ascii="宋体"/>
              </w:rPr>
            </w:pPr>
          </w:p>
        </w:tc>
        <w:tc>
          <w:tcPr>
            <w:tcW w:w="0" w:type="auto"/>
            <w:shd w:val="clear" w:color="auto" w:fill="auto"/>
          </w:tcPr>
          <w:p w14:paraId="5EA21A81" w14:textId="77777777" w:rsidR="003C66EB" w:rsidRDefault="003C66EB">
            <w:pPr>
              <w:rPr>
                <w:rFonts w:ascii="宋体"/>
              </w:rPr>
            </w:pPr>
          </w:p>
        </w:tc>
        <w:tc>
          <w:tcPr>
            <w:tcW w:w="0" w:type="auto"/>
            <w:shd w:val="clear" w:color="auto" w:fill="auto"/>
          </w:tcPr>
          <w:p w14:paraId="5EA21A82" w14:textId="77777777" w:rsidR="003C66EB" w:rsidRDefault="003C66EB">
            <w:pPr>
              <w:rPr>
                <w:rFonts w:ascii="宋体"/>
              </w:rPr>
            </w:pPr>
          </w:p>
        </w:tc>
        <w:tc>
          <w:tcPr>
            <w:tcW w:w="0" w:type="auto"/>
            <w:shd w:val="clear" w:color="auto" w:fill="auto"/>
          </w:tcPr>
          <w:p w14:paraId="5EA21A83" w14:textId="77777777" w:rsidR="003C66EB" w:rsidRDefault="003C66EB">
            <w:pPr>
              <w:rPr>
                <w:rFonts w:ascii="宋体"/>
              </w:rPr>
            </w:pPr>
          </w:p>
        </w:tc>
        <w:tc>
          <w:tcPr>
            <w:tcW w:w="0" w:type="auto"/>
            <w:shd w:val="clear" w:color="auto" w:fill="auto"/>
          </w:tcPr>
          <w:p w14:paraId="5EA21A84" w14:textId="77777777" w:rsidR="003C66EB" w:rsidRDefault="003C66EB">
            <w:pPr>
              <w:rPr>
                <w:rFonts w:ascii="宋体"/>
              </w:rPr>
            </w:pPr>
          </w:p>
        </w:tc>
        <w:tc>
          <w:tcPr>
            <w:tcW w:w="0" w:type="auto"/>
            <w:shd w:val="clear" w:color="auto" w:fill="auto"/>
          </w:tcPr>
          <w:p w14:paraId="5EA21A85" w14:textId="77777777" w:rsidR="003C66EB" w:rsidRDefault="003C66EB">
            <w:pPr>
              <w:rPr>
                <w:rFonts w:ascii="宋体"/>
              </w:rPr>
            </w:pPr>
          </w:p>
        </w:tc>
        <w:tc>
          <w:tcPr>
            <w:tcW w:w="0" w:type="auto"/>
            <w:shd w:val="clear" w:color="auto" w:fill="auto"/>
          </w:tcPr>
          <w:p w14:paraId="5EA21A86" w14:textId="77777777" w:rsidR="003C66EB" w:rsidRDefault="003C66EB">
            <w:pPr>
              <w:rPr>
                <w:rFonts w:ascii="宋体"/>
              </w:rPr>
            </w:pPr>
          </w:p>
        </w:tc>
        <w:tc>
          <w:tcPr>
            <w:tcW w:w="0" w:type="auto"/>
            <w:shd w:val="clear" w:color="auto" w:fill="auto"/>
          </w:tcPr>
          <w:p w14:paraId="5EA21A87" w14:textId="77777777" w:rsidR="003C66EB" w:rsidRDefault="003C66EB">
            <w:pPr>
              <w:rPr>
                <w:rFonts w:ascii="宋体"/>
              </w:rPr>
            </w:pPr>
          </w:p>
        </w:tc>
        <w:tc>
          <w:tcPr>
            <w:tcW w:w="0" w:type="auto"/>
            <w:shd w:val="clear" w:color="auto" w:fill="auto"/>
          </w:tcPr>
          <w:p w14:paraId="5EA21A88" w14:textId="77777777" w:rsidR="003C66EB" w:rsidRDefault="003C66EB">
            <w:pPr>
              <w:rPr>
                <w:rFonts w:ascii="宋体"/>
              </w:rPr>
            </w:pPr>
          </w:p>
        </w:tc>
        <w:tc>
          <w:tcPr>
            <w:tcW w:w="0" w:type="auto"/>
            <w:shd w:val="clear" w:color="auto" w:fill="auto"/>
          </w:tcPr>
          <w:p w14:paraId="5EA21A89" w14:textId="77777777" w:rsidR="003C66EB" w:rsidRDefault="003C66EB">
            <w:pPr>
              <w:rPr>
                <w:rFonts w:ascii="宋体"/>
              </w:rPr>
            </w:pPr>
          </w:p>
        </w:tc>
        <w:tc>
          <w:tcPr>
            <w:tcW w:w="0" w:type="auto"/>
            <w:shd w:val="clear" w:color="auto" w:fill="auto"/>
          </w:tcPr>
          <w:p w14:paraId="5EA21A8A" w14:textId="77777777" w:rsidR="003C66EB" w:rsidRDefault="003C66EB">
            <w:pPr>
              <w:rPr>
                <w:rFonts w:ascii="宋体"/>
              </w:rPr>
            </w:pPr>
          </w:p>
        </w:tc>
        <w:tc>
          <w:tcPr>
            <w:tcW w:w="0" w:type="auto"/>
            <w:shd w:val="clear" w:color="auto" w:fill="auto"/>
          </w:tcPr>
          <w:p w14:paraId="5EA21A8B" w14:textId="77777777" w:rsidR="003C66EB" w:rsidRDefault="003C66EB">
            <w:pPr>
              <w:rPr>
                <w:rFonts w:ascii="宋体"/>
              </w:rPr>
            </w:pPr>
          </w:p>
        </w:tc>
        <w:tc>
          <w:tcPr>
            <w:tcW w:w="0" w:type="auto"/>
            <w:shd w:val="clear" w:color="auto" w:fill="auto"/>
          </w:tcPr>
          <w:p w14:paraId="5EA21A8C" w14:textId="77777777" w:rsidR="003C66EB" w:rsidRDefault="003C66EB">
            <w:pPr>
              <w:rPr>
                <w:rFonts w:ascii="宋体"/>
              </w:rPr>
            </w:pPr>
          </w:p>
        </w:tc>
      </w:tr>
      <w:tr w:rsidR="003C66EB" w14:paraId="5EA21A9E" w14:textId="77777777">
        <w:trPr>
          <w:hidden/>
        </w:trPr>
        <w:tc>
          <w:tcPr>
            <w:tcW w:w="0" w:type="auto"/>
            <w:gridSpan w:val="3"/>
            <w:shd w:val="clear" w:color="auto" w:fill="auto"/>
          </w:tcPr>
          <w:p w14:paraId="5EA21A8E" w14:textId="77777777" w:rsidR="003C66EB" w:rsidRDefault="003C66EB">
            <w:pPr>
              <w:rPr>
                <w:rFonts w:ascii="宋体"/>
                <w:vanish/>
              </w:rPr>
            </w:pPr>
          </w:p>
        </w:tc>
        <w:tc>
          <w:tcPr>
            <w:tcW w:w="0" w:type="auto"/>
            <w:gridSpan w:val="3"/>
            <w:shd w:val="clear" w:color="auto" w:fill="auto"/>
          </w:tcPr>
          <w:p w14:paraId="5EA21A8F" w14:textId="77777777" w:rsidR="003C66EB" w:rsidRDefault="003C66EB">
            <w:pPr>
              <w:rPr>
                <w:rFonts w:ascii="宋体"/>
                <w:vanish/>
              </w:rPr>
            </w:pPr>
          </w:p>
        </w:tc>
        <w:tc>
          <w:tcPr>
            <w:tcW w:w="0" w:type="auto"/>
            <w:gridSpan w:val="3"/>
            <w:shd w:val="clear" w:color="auto" w:fill="auto"/>
          </w:tcPr>
          <w:p w14:paraId="5EA21A90" w14:textId="77777777" w:rsidR="003C66EB" w:rsidRDefault="003C66EB">
            <w:pPr>
              <w:rPr>
                <w:rFonts w:ascii="宋体"/>
                <w:vanish/>
              </w:rPr>
            </w:pPr>
          </w:p>
        </w:tc>
        <w:tc>
          <w:tcPr>
            <w:tcW w:w="0" w:type="auto"/>
            <w:gridSpan w:val="3"/>
            <w:shd w:val="clear" w:color="auto" w:fill="auto"/>
          </w:tcPr>
          <w:p w14:paraId="5EA21A91" w14:textId="77777777" w:rsidR="003C66EB" w:rsidRDefault="003C66EB">
            <w:pPr>
              <w:rPr>
                <w:rFonts w:ascii="宋体"/>
                <w:vanish/>
              </w:rPr>
            </w:pPr>
          </w:p>
        </w:tc>
        <w:tc>
          <w:tcPr>
            <w:tcW w:w="0" w:type="auto"/>
            <w:gridSpan w:val="3"/>
            <w:shd w:val="clear" w:color="auto" w:fill="auto"/>
          </w:tcPr>
          <w:p w14:paraId="5EA21A92" w14:textId="77777777" w:rsidR="003C66EB" w:rsidRDefault="003C66EB">
            <w:pPr>
              <w:rPr>
                <w:rFonts w:ascii="宋体"/>
                <w:vanish/>
              </w:rPr>
            </w:pPr>
          </w:p>
        </w:tc>
        <w:tc>
          <w:tcPr>
            <w:tcW w:w="0" w:type="auto"/>
            <w:gridSpan w:val="3"/>
            <w:shd w:val="clear" w:color="auto" w:fill="auto"/>
          </w:tcPr>
          <w:p w14:paraId="5EA21A93" w14:textId="77777777" w:rsidR="003C66EB" w:rsidRDefault="003C66EB">
            <w:pPr>
              <w:rPr>
                <w:rFonts w:ascii="宋体"/>
                <w:vanish/>
              </w:rPr>
            </w:pPr>
          </w:p>
        </w:tc>
        <w:tc>
          <w:tcPr>
            <w:tcW w:w="0" w:type="auto"/>
            <w:gridSpan w:val="3"/>
            <w:shd w:val="clear" w:color="auto" w:fill="auto"/>
          </w:tcPr>
          <w:p w14:paraId="5EA21A94" w14:textId="77777777" w:rsidR="003C66EB" w:rsidRDefault="003C66EB">
            <w:pPr>
              <w:rPr>
                <w:rFonts w:ascii="宋体"/>
                <w:vanish/>
              </w:rPr>
            </w:pPr>
          </w:p>
        </w:tc>
        <w:tc>
          <w:tcPr>
            <w:tcW w:w="0" w:type="auto"/>
            <w:gridSpan w:val="3"/>
            <w:shd w:val="clear" w:color="auto" w:fill="auto"/>
          </w:tcPr>
          <w:p w14:paraId="5EA21A95" w14:textId="77777777" w:rsidR="003C66EB" w:rsidRDefault="003C66EB">
            <w:pPr>
              <w:rPr>
                <w:rFonts w:ascii="宋体"/>
                <w:vanish/>
              </w:rPr>
            </w:pPr>
          </w:p>
        </w:tc>
        <w:tc>
          <w:tcPr>
            <w:tcW w:w="0" w:type="auto"/>
            <w:gridSpan w:val="3"/>
            <w:shd w:val="clear" w:color="auto" w:fill="auto"/>
          </w:tcPr>
          <w:p w14:paraId="5EA21A96" w14:textId="77777777" w:rsidR="003C66EB" w:rsidRDefault="003C66EB">
            <w:pPr>
              <w:rPr>
                <w:rFonts w:ascii="宋体"/>
                <w:vanish/>
              </w:rPr>
            </w:pPr>
          </w:p>
        </w:tc>
        <w:tc>
          <w:tcPr>
            <w:tcW w:w="0" w:type="auto"/>
            <w:gridSpan w:val="3"/>
            <w:shd w:val="clear" w:color="auto" w:fill="auto"/>
          </w:tcPr>
          <w:p w14:paraId="5EA21A97" w14:textId="77777777" w:rsidR="003C66EB" w:rsidRDefault="003C66EB">
            <w:pPr>
              <w:rPr>
                <w:rFonts w:ascii="宋体"/>
                <w:vanish/>
              </w:rPr>
            </w:pPr>
          </w:p>
        </w:tc>
        <w:tc>
          <w:tcPr>
            <w:tcW w:w="0" w:type="auto"/>
            <w:gridSpan w:val="3"/>
            <w:shd w:val="clear" w:color="auto" w:fill="auto"/>
          </w:tcPr>
          <w:p w14:paraId="5EA21A98" w14:textId="77777777" w:rsidR="003C66EB" w:rsidRDefault="003C66EB">
            <w:pPr>
              <w:rPr>
                <w:rFonts w:ascii="宋体"/>
                <w:vanish/>
              </w:rPr>
            </w:pPr>
          </w:p>
        </w:tc>
        <w:tc>
          <w:tcPr>
            <w:tcW w:w="0" w:type="auto"/>
            <w:gridSpan w:val="3"/>
            <w:shd w:val="clear" w:color="auto" w:fill="auto"/>
          </w:tcPr>
          <w:p w14:paraId="5EA21A99" w14:textId="77777777" w:rsidR="003C66EB" w:rsidRDefault="003C66EB">
            <w:pPr>
              <w:rPr>
                <w:rFonts w:ascii="宋体"/>
                <w:vanish/>
              </w:rPr>
            </w:pPr>
          </w:p>
        </w:tc>
        <w:tc>
          <w:tcPr>
            <w:tcW w:w="0" w:type="auto"/>
            <w:gridSpan w:val="3"/>
            <w:shd w:val="clear" w:color="auto" w:fill="auto"/>
          </w:tcPr>
          <w:p w14:paraId="5EA21A9A" w14:textId="77777777" w:rsidR="003C66EB" w:rsidRDefault="003C66EB">
            <w:pPr>
              <w:rPr>
                <w:rFonts w:ascii="宋体"/>
                <w:vanish/>
              </w:rPr>
            </w:pPr>
          </w:p>
        </w:tc>
        <w:tc>
          <w:tcPr>
            <w:tcW w:w="0" w:type="auto"/>
            <w:gridSpan w:val="3"/>
            <w:shd w:val="clear" w:color="auto" w:fill="auto"/>
          </w:tcPr>
          <w:p w14:paraId="5EA21A9B" w14:textId="77777777" w:rsidR="003C66EB" w:rsidRDefault="003C66EB">
            <w:pPr>
              <w:rPr>
                <w:rFonts w:ascii="宋体"/>
                <w:vanish/>
              </w:rPr>
            </w:pPr>
          </w:p>
        </w:tc>
        <w:tc>
          <w:tcPr>
            <w:tcW w:w="0" w:type="auto"/>
            <w:gridSpan w:val="3"/>
            <w:shd w:val="clear" w:color="auto" w:fill="auto"/>
          </w:tcPr>
          <w:p w14:paraId="5EA21A9C" w14:textId="77777777" w:rsidR="003C66EB" w:rsidRDefault="003C66EB">
            <w:pPr>
              <w:rPr>
                <w:rFonts w:ascii="宋体"/>
                <w:vanish/>
              </w:rPr>
            </w:pPr>
          </w:p>
        </w:tc>
        <w:tc>
          <w:tcPr>
            <w:tcW w:w="0" w:type="auto"/>
            <w:gridSpan w:val="3"/>
            <w:shd w:val="clear" w:color="auto" w:fill="auto"/>
          </w:tcPr>
          <w:p w14:paraId="5EA21A9D" w14:textId="77777777" w:rsidR="003C66EB" w:rsidRDefault="003C66EB">
            <w:pPr>
              <w:rPr>
                <w:rFonts w:ascii="宋体"/>
                <w:vanish/>
              </w:rPr>
            </w:pPr>
          </w:p>
        </w:tc>
      </w:tr>
      <w:tr w:rsidR="003C66EB" w14:paraId="5EA21AAF" w14:textId="77777777">
        <w:trPr>
          <w:hidden/>
        </w:trPr>
        <w:tc>
          <w:tcPr>
            <w:tcW w:w="0" w:type="auto"/>
            <w:gridSpan w:val="3"/>
            <w:shd w:val="clear" w:color="auto" w:fill="auto"/>
          </w:tcPr>
          <w:p w14:paraId="5EA21A9F" w14:textId="77777777" w:rsidR="003C66EB" w:rsidRDefault="003C66EB">
            <w:pPr>
              <w:rPr>
                <w:rFonts w:ascii="宋体"/>
                <w:vanish/>
              </w:rPr>
            </w:pPr>
          </w:p>
        </w:tc>
        <w:tc>
          <w:tcPr>
            <w:tcW w:w="0" w:type="auto"/>
            <w:gridSpan w:val="3"/>
            <w:shd w:val="clear" w:color="auto" w:fill="auto"/>
          </w:tcPr>
          <w:p w14:paraId="5EA21AA0" w14:textId="77777777" w:rsidR="003C66EB" w:rsidRDefault="003C66EB">
            <w:pPr>
              <w:rPr>
                <w:rFonts w:ascii="宋体"/>
                <w:vanish/>
              </w:rPr>
            </w:pPr>
          </w:p>
        </w:tc>
        <w:tc>
          <w:tcPr>
            <w:tcW w:w="0" w:type="auto"/>
            <w:gridSpan w:val="3"/>
            <w:shd w:val="clear" w:color="auto" w:fill="auto"/>
          </w:tcPr>
          <w:p w14:paraId="5EA21AA1" w14:textId="77777777" w:rsidR="003C66EB" w:rsidRDefault="003C66EB">
            <w:pPr>
              <w:rPr>
                <w:rFonts w:ascii="宋体"/>
                <w:vanish/>
              </w:rPr>
            </w:pPr>
          </w:p>
        </w:tc>
        <w:tc>
          <w:tcPr>
            <w:tcW w:w="0" w:type="auto"/>
            <w:gridSpan w:val="3"/>
            <w:shd w:val="clear" w:color="auto" w:fill="auto"/>
          </w:tcPr>
          <w:p w14:paraId="5EA21AA2" w14:textId="77777777" w:rsidR="003C66EB" w:rsidRDefault="003C66EB">
            <w:pPr>
              <w:rPr>
                <w:rFonts w:ascii="宋体"/>
                <w:vanish/>
              </w:rPr>
            </w:pPr>
          </w:p>
        </w:tc>
        <w:tc>
          <w:tcPr>
            <w:tcW w:w="0" w:type="auto"/>
            <w:gridSpan w:val="3"/>
            <w:shd w:val="clear" w:color="auto" w:fill="auto"/>
          </w:tcPr>
          <w:p w14:paraId="5EA21AA3" w14:textId="77777777" w:rsidR="003C66EB" w:rsidRDefault="003C66EB">
            <w:pPr>
              <w:rPr>
                <w:rFonts w:ascii="宋体"/>
                <w:vanish/>
              </w:rPr>
            </w:pPr>
          </w:p>
        </w:tc>
        <w:tc>
          <w:tcPr>
            <w:tcW w:w="0" w:type="auto"/>
            <w:gridSpan w:val="3"/>
            <w:shd w:val="clear" w:color="auto" w:fill="auto"/>
          </w:tcPr>
          <w:p w14:paraId="5EA21AA4" w14:textId="77777777" w:rsidR="003C66EB" w:rsidRDefault="003C66EB">
            <w:pPr>
              <w:rPr>
                <w:rFonts w:ascii="宋体"/>
                <w:vanish/>
              </w:rPr>
            </w:pPr>
          </w:p>
        </w:tc>
        <w:tc>
          <w:tcPr>
            <w:tcW w:w="0" w:type="auto"/>
            <w:gridSpan w:val="3"/>
            <w:shd w:val="clear" w:color="auto" w:fill="auto"/>
          </w:tcPr>
          <w:p w14:paraId="5EA21AA5" w14:textId="77777777" w:rsidR="003C66EB" w:rsidRDefault="003C66EB">
            <w:pPr>
              <w:rPr>
                <w:rFonts w:ascii="宋体"/>
                <w:vanish/>
              </w:rPr>
            </w:pPr>
          </w:p>
        </w:tc>
        <w:tc>
          <w:tcPr>
            <w:tcW w:w="0" w:type="auto"/>
            <w:gridSpan w:val="3"/>
            <w:shd w:val="clear" w:color="auto" w:fill="auto"/>
          </w:tcPr>
          <w:p w14:paraId="5EA21AA6" w14:textId="77777777" w:rsidR="003C66EB" w:rsidRDefault="003C66EB">
            <w:pPr>
              <w:rPr>
                <w:rFonts w:ascii="宋体"/>
                <w:vanish/>
              </w:rPr>
            </w:pPr>
          </w:p>
        </w:tc>
        <w:tc>
          <w:tcPr>
            <w:tcW w:w="0" w:type="auto"/>
            <w:gridSpan w:val="3"/>
            <w:shd w:val="clear" w:color="auto" w:fill="auto"/>
          </w:tcPr>
          <w:p w14:paraId="5EA21AA7" w14:textId="77777777" w:rsidR="003C66EB" w:rsidRDefault="003C66EB">
            <w:pPr>
              <w:rPr>
                <w:rFonts w:ascii="宋体"/>
                <w:vanish/>
              </w:rPr>
            </w:pPr>
          </w:p>
        </w:tc>
        <w:tc>
          <w:tcPr>
            <w:tcW w:w="0" w:type="auto"/>
            <w:gridSpan w:val="3"/>
            <w:shd w:val="clear" w:color="auto" w:fill="auto"/>
          </w:tcPr>
          <w:p w14:paraId="5EA21AA8" w14:textId="77777777" w:rsidR="003C66EB" w:rsidRDefault="003C66EB">
            <w:pPr>
              <w:rPr>
                <w:rFonts w:ascii="宋体"/>
                <w:vanish/>
              </w:rPr>
            </w:pPr>
          </w:p>
        </w:tc>
        <w:tc>
          <w:tcPr>
            <w:tcW w:w="0" w:type="auto"/>
            <w:gridSpan w:val="3"/>
            <w:shd w:val="clear" w:color="auto" w:fill="auto"/>
          </w:tcPr>
          <w:p w14:paraId="5EA21AA9" w14:textId="77777777" w:rsidR="003C66EB" w:rsidRDefault="003C66EB">
            <w:pPr>
              <w:rPr>
                <w:rFonts w:ascii="宋体"/>
                <w:vanish/>
              </w:rPr>
            </w:pPr>
          </w:p>
        </w:tc>
        <w:tc>
          <w:tcPr>
            <w:tcW w:w="0" w:type="auto"/>
            <w:gridSpan w:val="3"/>
            <w:shd w:val="clear" w:color="auto" w:fill="auto"/>
          </w:tcPr>
          <w:p w14:paraId="5EA21AAA" w14:textId="77777777" w:rsidR="003C66EB" w:rsidRDefault="003C66EB">
            <w:pPr>
              <w:rPr>
                <w:rFonts w:ascii="宋体"/>
                <w:vanish/>
              </w:rPr>
            </w:pPr>
          </w:p>
        </w:tc>
        <w:tc>
          <w:tcPr>
            <w:tcW w:w="0" w:type="auto"/>
            <w:gridSpan w:val="3"/>
            <w:shd w:val="clear" w:color="auto" w:fill="auto"/>
          </w:tcPr>
          <w:p w14:paraId="5EA21AAB" w14:textId="77777777" w:rsidR="003C66EB" w:rsidRDefault="003C66EB">
            <w:pPr>
              <w:rPr>
                <w:rFonts w:ascii="宋体"/>
                <w:vanish/>
              </w:rPr>
            </w:pPr>
          </w:p>
        </w:tc>
        <w:tc>
          <w:tcPr>
            <w:tcW w:w="0" w:type="auto"/>
            <w:gridSpan w:val="3"/>
            <w:shd w:val="clear" w:color="auto" w:fill="auto"/>
          </w:tcPr>
          <w:p w14:paraId="5EA21AAC" w14:textId="77777777" w:rsidR="003C66EB" w:rsidRDefault="003C66EB">
            <w:pPr>
              <w:rPr>
                <w:rFonts w:ascii="宋体"/>
                <w:vanish/>
              </w:rPr>
            </w:pPr>
          </w:p>
        </w:tc>
        <w:tc>
          <w:tcPr>
            <w:tcW w:w="0" w:type="auto"/>
            <w:gridSpan w:val="3"/>
            <w:shd w:val="clear" w:color="auto" w:fill="auto"/>
          </w:tcPr>
          <w:p w14:paraId="5EA21AAD" w14:textId="77777777" w:rsidR="003C66EB" w:rsidRDefault="003C66EB">
            <w:pPr>
              <w:rPr>
                <w:rFonts w:ascii="宋体"/>
                <w:vanish/>
              </w:rPr>
            </w:pPr>
          </w:p>
        </w:tc>
        <w:tc>
          <w:tcPr>
            <w:tcW w:w="0" w:type="auto"/>
            <w:gridSpan w:val="3"/>
            <w:shd w:val="clear" w:color="auto" w:fill="auto"/>
          </w:tcPr>
          <w:p w14:paraId="5EA21AAE" w14:textId="77777777" w:rsidR="003C66EB" w:rsidRDefault="003C66EB">
            <w:pPr>
              <w:rPr>
                <w:rFonts w:ascii="宋体"/>
                <w:vanish/>
              </w:rPr>
            </w:pPr>
          </w:p>
        </w:tc>
      </w:tr>
      <w:tr w:rsidR="003C66EB" w14:paraId="5EA21ACC" w14:textId="77777777">
        <w:trPr>
          <w:hidden/>
        </w:trPr>
        <w:tc>
          <w:tcPr>
            <w:tcW w:w="0" w:type="auto"/>
            <w:gridSpan w:val="3"/>
            <w:shd w:val="clear" w:color="auto" w:fill="auto"/>
          </w:tcPr>
          <w:p w14:paraId="5EA21AB0" w14:textId="77777777" w:rsidR="003C66EB" w:rsidRDefault="003C66EB">
            <w:pPr>
              <w:rPr>
                <w:rFonts w:ascii="宋体"/>
                <w:vanish/>
              </w:rPr>
            </w:pPr>
          </w:p>
        </w:tc>
        <w:tc>
          <w:tcPr>
            <w:tcW w:w="0" w:type="auto"/>
            <w:gridSpan w:val="3"/>
            <w:shd w:val="clear" w:color="auto" w:fill="auto"/>
          </w:tcPr>
          <w:p w14:paraId="5EA21AB1" w14:textId="77777777" w:rsidR="003C66EB" w:rsidRDefault="003C66EB">
            <w:pPr>
              <w:rPr>
                <w:rFonts w:ascii="宋体"/>
                <w:vanish/>
              </w:rPr>
            </w:pPr>
          </w:p>
        </w:tc>
        <w:tc>
          <w:tcPr>
            <w:tcW w:w="0" w:type="auto"/>
            <w:gridSpan w:val="3"/>
            <w:shd w:val="clear" w:color="auto" w:fill="auto"/>
          </w:tcPr>
          <w:p w14:paraId="5EA21AB2" w14:textId="77777777" w:rsidR="003C66EB" w:rsidRDefault="003C66EB">
            <w:pPr>
              <w:rPr>
                <w:rFonts w:ascii="宋体"/>
                <w:vanish/>
              </w:rPr>
            </w:pPr>
          </w:p>
        </w:tc>
        <w:tc>
          <w:tcPr>
            <w:tcW w:w="0" w:type="auto"/>
            <w:gridSpan w:val="3"/>
            <w:shd w:val="clear" w:color="auto" w:fill="auto"/>
          </w:tcPr>
          <w:p w14:paraId="5EA21AB3" w14:textId="77777777" w:rsidR="003C66EB" w:rsidRDefault="003C66EB">
            <w:pPr>
              <w:rPr>
                <w:rFonts w:ascii="宋体"/>
                <w:vanish/>
              </w:rPr>
            </w:pPr>
          </w:p>
        </w:tc>
        <w:tc>
          <w:tcPr>
            <w:tcW w:w="0" w:type="auto"/>
            <w:gridSpan w:val="3"/>
            <w:shd w:val="clear" w:color="auto" w:fill="auto"/>
          </w:tcPr>
          <w:p w14:paraId="5EA21AB4" w14:textId="77777777" w:rsidR="003C66EB" w:rsidRDefault="003C66EB">
            <w:pPr>
              <w:rPr>
                <w:rFonts w:ascii="宋体"/>
                <w:vanish/>
              </w:rPr>
            </w:pPr>
          </w:p>
        </w:tc>
        <w:tc>
          <w:tcPr>
            <w:tcW w:w="0" w:type="auto"/>
            <w:gridSpan w:val="3"/>
            <w:shd w:val="clear" w:color="auto" w:fill="auto"/>
          </w:tcPr>
          <w:p w14:paraId="5EA21AB5" w14:textId="77777777" w:rsidR="003C66EB" w:rsidRDefault="003C66EB">
            <w:pPr>
              <w:rPr>
                <w:rFonts w:ascii="宋体"/>
                <w:vanish/>
              </w:rPr>
            </w:pPr>
          </w:p>
        </w:tc>
        <w:tc>
          <w:tcPr>
            <w:tcW w:w="0" w:type="auto"/>
            <w:gridSpan w:val="3"/>
            <w:shd w:val="clear" w:color="auto" w:fill="auto"/>
          </w:tcPr>
          <w:p w14:paraId="5EA21AB6" w14:textId="77777777" w:rsidR="003C66EB" w:rsidRDefault="003C66EB">
            <w:pPr>
              <w:rPr>
                <w:rFonts w:ascii="宋体"/>
                <w:vanish/>
              </w:rPr>
            </w:pPr>
          </w:p>
        </w:tc>
        <w:tc>
          <w:tcPr>
            <w:tcW w:w="0" w:type="auto"/>
            <w:gridSpan w:val="3"/>
            <w:shd w:val="clear" w:color="auto" w:fill="auto"/>
          </w:tcPr>
          <w:p w14:paraId="5EA21AB7" w14:textId="77777777" w:rsidR="003C66EB" w:rsidRDefault="003C66EB">
            <w:pPr>
              <w:rPr>
                <w:rFonts w:ascii="宋体"/>
                <w:vanish/>
              </w:rPr>
            </w:pPr>
          </w:p>
        </w:tc>
        <w:tc>
          <w:tcPr>
            <w:tcW w:w="0" w:type="auto"/>
            <w:gridSpan w:val="3"/>
            <w:shd w:val="clear" w:color="auto" w:fill="auto"/>
          </w:tcPr>
          <w:p w14:paraId="5EA21AB8" w14:textId="77777777" w:rsidR="003C66EB" w:rsidRDefault="003C66EB">
            <w:pPr>
              <w:rPr>
                <w:rFonts w:ascii="宋体"/>
                <w:vanish/>
              </w:rPr>
            </w:pPr>
          </w:p>
        </w:tc>
        <w:tc>
          <w:tcPr>
            <w:tcW w:w="0" w:type="auto"/>
            <w:gridSpan w:val="3"/>
            <w:shd w:val="clear" w:color="auto" w:fill="auto"/>
          </w:tcPr>
          <w:p w14:paraId="5EA21AB9" w14:textId="77777777" w:rsidR="003C66EB" w:rsidRDefault="003C66EB">
            <w:pPr>
              <w:rPr>
                <w:rFonts w:ascii="宋体"/>
                <w:vanish/>
              </w:rPr>
            </w:pPr>
          </w:p>
        </w:tc>
        <w:tc>
          <w:tcPr>
            <w:tcW w:w="0" w:type="auto"/>
            <w:shd w:val="clear" w:color="auto" w:fill="auto"/>
          </w:tcPr>
          <w:p w14:paraId="5EA21ABA" w14:textId="77777777" w:rsidR="003C66EB" w:rsidRDefault="003C66EB">
            <w:pPr>
              <w:rPr>
                <w:rFonts w:ascii="宋体"/>
              </w:rPr>
            </w:pPr>
          </w:p>
        </w:tc>
        <w:tc>
          <w:tcPr>
            <w:tcW w:w="0" w:type="auto"/>
            <w:shd w:val="clear" w:color="auto" w:fill="auto"/>
          </w:tcPr>
          <w:p w14:paraId="5EA21ABB" w14:textId="77777777" w:rsidR="003C66EB" w:rsidRDefault="003C66EB">
            <w:pPr>
              <w:rPr>
                <w:rFonts w:ascii="宋体"/>
              </w:rPr>
            </w:pPr>
          </w:p>
        </w:tc>
        <w:tc>
          <w:tcPr>
            <w:tcW w:w="0" w:type="auto"/>
            <w:shd w:val="clear" w:color="auto" w:fill="auto"/>
          </w:tcPr>
          <w:p w14:paraId="5EA21ABC" w14:textId="77777777" w:rsidR="003C66EB" w:rsidRDefault="003C66EB">
            <w:pPr>
              <w:rPr>
                <w:rFonts w:ascii="宋体"/>
              </w:rPr>
            </w:pPr>
          </w:p>
        </w:tc>
        <w:tc>
          <w:tcPr>
            <w:tcW w:w="0" w:type="auto"/>
            <w:shd w:val="clear" w:color="auto" w:fill="auto"/>
          </w:tcPr>
          <w:p w14:paraId="5EA21ABD" w14:textId="77777777" w:rsidR="003C66EB" w:rsidRDefault="003C66EB">
            <w:pPr>
              <w:rPr>
                <w:rFonts w:ascii="宋体"/>
              </w:rPr>
            </w:pPr>
          </w:p>
        </w:tc>
        <w:tc>
          <w:tcPr>
            <w:tcW w:w="0" w:type="auto"/>
            <w:shd w:val="clear" w:color="auto" w:fill="auto"/>
          </w:tcPr>
          <w:p w14:paraId="5EA21ABE" w14:textId="77777777" w:rsidR="003C66EB" w:rsidRDefault="003C66EB">
            <w:pPr>
              <w:rPr>
                <w:rFonts w:ascii="宋体"/>
              </w:rPr>
            </w:pPr>
          </w:p>
        </w:tc>
        <w:tc>
          <w:tcPr>
            <w:tcW w:w="0" w:type="auto"/>
            <w:shd w:val="clear" w:color="auto" w:fill="auto"/>
          </w:tcPr>
          <w:p w14:paraId="5EA21ABF" w14:textId="77777777" w:rsidR="003C66EB" w:rsidRDefault="003C66EB">
            <w:pPr>
              <w:rPr>
                <w:rFonts w:ascii="宋体"/>
              </w:rPr>
            </w:pPr>
          </w:p>
        </w:tc>
        <w:tc>
          <w:tcPr>
            <w:tcW w:w="0" w:type="auto"/>
            <w:shd w:val="clear" w:color="auto" w:fill="auto"/>
          </w:tcPr>
          <w:p w14:paraId="5EA21AC0" w14:textId="77777777" w:rsidR="003C66EB" w:rsidRDefault="003C66EB">
            <w:pPr>
              <w:rPr>
                <w:rFonts w:ascii="宋体"/>
              </w:rPr>
            </w:pPr>
          </w:p>
        </w:tc>
        <w:tc>
          <w:tcPr>
            <w:tcW w:w="0" w:type="auto"/>
            <w:shd w:val="clear" w:color="auto" w:fill="auto"/>
          </w:tcPr>
          <w:p w14:paraId="5EA21AC1" w14:textId="77777777" w:rsidR="003C66EB" w:rsidRDefault="003C66EB">
            <w:pPr>
              <w:rPr>
                <w:rFonts w:ascii="宋体"/>
              </w:rPr>
            </w:pPr>
          </w:p>
        </w:tc>
        <w:tc>
          <w:tcPr>
            <w:tcW w:w="0" w:type="auto"/>
            <w:shd w:val="clear" w:color="auto" w:fill="auto"/>
          </w:tcPr>
          <w:p w14:paraId="5EA21AC2" w14:textId="77777777" w:rsidR="003C66EB" w:rsidRDefault="003C66EB">
            <w:pPr>
              <w:rPr>
                <w:rFonts w:ascii="宋体"/>
              </w:rPr>
            </w:pPr>
          </w:p>
        </w:tc>
        <w:tc>
          <w:tcPr>
            <w:tcW w:w="0" w:type="auto"/>
            <w:shd w:val="clear" w:color="auto" w:fill="auto"/>
          </w:tcPr>
          <w:p w14:paraId="5EA21AC3" w14:textId="77777777" w:rsidR="003C66EB" w:rsidRDefault="003C66EB">
            <w:pPr>
              <w:rPr>
                <w:rFonts w:ascii="宋体"/>
              </w:rPr>
            </w:pPr>
          </w:p>
        </w:tc>
        <w:tc>
          <w:tcPr>
            <w:tcW w:w="0" w:type="auto"/>
            <w:shd w:val="clear" w:color="auto" w:fill="auto"/>
          </w:tcPr>
          <w:p w14:paraId="5EA21AC4" w14:textId="77777777" w:rsidR="003C66EB" w:rsidRDefault="003C66EB">
            <w:pPr>
              <w:rPr>
                <w:rFonts w:ascii="宋体"/>
              </w:rPr>
            </w:pPr>
          </w:p>
        </w:tc>
        <w:tc>
          <w:tcPr>
            <w:tcW w:w="0" w:type="auto"/>
            <w:shd w:val="clear" w:color="auto" w:fill="auto"/>
          </w:tcPr>
          <w:p w14:paraId="5EA21AC5" w14:textId="77777777" w:rsidR="003C66EB" w:rsidRDefault="003C66EB">
            <w:pPr>
              <w:rPr>
                <w:rFonts w:ascii="宋体"/>
              </w:rPr>
            </w:pPr>
          </w:p>
        </w:tc>
        <w:tc>
          <w:tcPr>
            <w:tcW w:w="0" w:type="auto"/>
            <w:shd w:val="clear" w:color="auto" w:fill="auto"/>
          </w:tcPr>
          <w:p w14:paraId="5EA21AC6" w14:textId="77777777" w:rsidR="003C66EB" w:rsidRDefault="003C66EB">
            <w:pPr>
              <w:rPr>
                <w:rFonts w:ascii="宋体"/>
              </w:rPr>
            </w:pPr>
          </w:p>
        </w:tc>
        <w:tc>
          <w:tcPr>
            <w:tcW w:w="0" w:type="auto"/>
            <w:shd w:val="clear" w:color="auto" w:fill="auto"/>
          </w:tcPr>
          <w:p w14:paraId="5EA21AC7" w14:textId="77777777" w:rsidR="003C66EB" w:rsidRDefault="003C66EB">
            <w:pPr>
              <w:rPr>
                <w:rFonts w:ascii="宋体"/>
              </w:rPr>
            </w:pPr>
          </w:p>
        </w:tc>
        <w:tc>
          <w:tcPr>
            <w:tcW w:w="0" w:type="auto"/>
            <w:shd w:val="clear" w:color="auto" w:fill="auto"/>
          </w:tcPr>
          <w:p w14:paraId="5EA21AC8" w14:textId="77777777" w:rsidR="003C66EB" w:rsidRDefault="003C66EB">
            <w:pPr>
              <w:rPr>
                <w:rFonts w:ascii="宋体"/>
              </w:rPr>
            </w:pPr>
          </w:p>
        </w:tc>
        <w:tc>
          <w:tcPr>
            <w:tcW w:w="0" w:type="auto"/>
            <w:shd w:val="clear" w:color="auto" w:fill="auto"/>
          </w:tcPr>
          <w:p w14:paraId="5EA21AC9" w14:textId="77777777" w:rsidR="003C66EB" w:rsidRDefault="003C66EB">
            <w:pPr>
              <w:rPr>
                <w:rFonts w:ascii="宋体"/>
              </w:rPr>
            </w:pPr>
          </w:p>
        </w:tc>
        <w:tc>
          <w:tcPr>
            <w:tcW w:w="0" w:type="auto"/>
            <w:shd w:val="clear" w:color="auto" w:fill="auto"/>
          </w:tcPr>
          <w:p w14:paraId="5EA21ACA" w14:textId="77777777" w:rsidR="003C66EB" w:rsidRDefault="003C66EB">
            <w:pPr>
              <w:rPr>
                <w:rFonts w:ascii="宋体"/>
              </w:rPr>
            </w:pPr>
          </w:p>
        </w:tc>
        <w:tc>
          <w:tcPr>
            <w:tcW w:w="0" w:type="auto"/>
            <w:shd w:val="clear" w:color="auto" w:fill="auto"/>
          </w:tcPr>
          <w:p w14:paraId="5EA21ACB" w14:textId="77777777" w:rsidR="003C66EB" w:rsidRDefault="003C66EB">
            <w:pPr>
              <w:rPr>
                <w:rFonts w:ascii="宋体"/>
              </w:rPr>
            </w:pPr>
          </w:p>
        </w:tc>
      </w:tr>
      <w:tr w:rsidR="003C66EB" w14:paraId="5EA21AE5" w14:textId="77777777">
        <w:trPr>
          <w:hidden/>
        </w:trPr>
        <w:tc>
          <w:tcPr>
            <w:tcW w:w="0" w:type="auto"/>
            <w:gridSpan w:val="3"/>
            <w:shd w:val="clear" w:color="auto" w:fill="auto"/>
          </w:tcPr>
          <w:p w14:paraId="5EA21ACD" w14:textId="77777777" w:rsidR="003C66EB" w:rsidRDefault="003C66EB">
            <w:pPr>
              <w:rPr>
                <w:rFonts w:ascii="宋体"/>
                <w:vanish/>
              </w:rPr>
            </w:pPr>
          </w:p>
        </w:tc>
        <w:tc>
          <w:tcPr>
            <w:tcW w:w="0" w:type="auto"/>
            <w:gridSpan w:val="3"/>
            <w:shd w:val="clear" w:color="auto" w:fill="auto"/>
          </w:tcPr>
          <w:p w14:paraId="5EA21ACE" w14:textId="77777777" w:rsidR="003C66EB" w:rsidRDefault="003C66EB">
            <w:pPr>
              <w:rPr>
                <w:rFonts w:ascii="宋体"/>
                <w:vanish/>
              </w:rPr>
            </w:pPr>
          </w:p>
        </w:tc>
        <w:tc>
          <w:tcPr>
            <w:tcW w:w="0" w:type="auto"/>
            <w:gridSpan w:val="3"/>
            <w:shd w:val="clear" w:color="auto" w:fill="auto"/>
          </w:tcPr>
          <w:p w14:paraId="5EA21ACF" w14:textId="77777777" w:rsidR="003C66EB" w:rsidRDefault="003C66EB">
            <w:pPr>
              <w:rPr>
                <w:rFonts w:ascii="宋体"/>
                <w:vanish/>
              </w:rPr>
            </w:pPr>
          </w:p>
        </w:tc>
        <w:tc>
          <w:tcPr>
            <w:tcW w:w="0" w:type="auto"/>
            <w:gridSpan w:val="3"/>
            <w:shd w:val="clear" w:color="auto" w:fill="auto"/>
          </w:tcPr>
          <w:p w14:paraId="5EA21AD0" w14:textId="77777777" w:rsidR="003C66EB" w:rsidRDefault="003C66EB">
            <w:pPr>
              <w:rPr>
                <w:rFonts w:ascii="宋体"/>
                <w:vanish/>
              </w:rPr>
            </w:pPr>
          </w:p>
        </w:tc>
        <w:tc>
          <w:tcPr>
            <w:tcW w:w="0" w:type="auto"/>
            <w:gridSpan w:val="3"/>
            <w:shd w:val="clear" w:color="auto" w:fill="auto"/>
          </w:tcPr>
          <w:p w14:paraId="5EA21AD1" w14:textId="77777777" w:rsidR="003C66EB" w:rsidRDefault="003C66EB">
            <w:pPr>
              <w:rPr>
                <w:rFonts w:ascii="宋体"/>
                <w:vanish/>
              </w:rPr>
            </w:pPr>
          </w:p>
        </w:tc>
        <w:tc>
          <w:tcPr>
            <w:tcW w:w="0" w:type="auto"/>
            <w:gridSpan w:val="3"/>
            <w:shd w:val="clear" w:color="auto" w:fill="auto"/>
          </w:tcPr>
          <w:p w14:paraId="5EA21AD2" w14:textId="77777777" w:rsidR="003C66EB" w:rsidRDefault="003C66EB">
            <w:pPr>
              <w:rPr>
                <w:rFonts w:ascii="宋体"/>
                <w:vanish/>
              </w:rPr>
            </w:pPr>
          </w:p>
        </w:tc>
        <w:tc>
          <w:tcPr>
            <w:tcW w:w="0" w:type="auto"/>
            <w:gridSpan w:val="3"/>
            <w:shd w:val="clear" w:color="auto" w:fill="auto"/>
          </w:tcPr>
          <w:p w14:paraId="5EA21AD3" w14:textId="77777777" w:rsidR="003C66EB" w:rsidRDefault="003C66EB">
            <w:pPr>
              <w:rPr>
                <w:rFonts w:ascii="宋体"/>
                <w:vanish/>
              </w:rPr>
            </w:pPr>
          </w:p>
        </w:tc>
        <w:tc>
          <w:tcPr>
            <w:tcW w:w="0" w:type="auto"/>
            <w:gridSpan w:val="3"/>
            <w:shd w:val="clear" w:color="auto" w:fill="auto"/>
          </w:tcPr>
          <w:p w14:paraId="5EA21AD4" w14:textId="77777777" w:rsidR="003C66EB" w:rsidRDefault="003C66EB">
            <w:pPr>
              <w:rPr>
                <w:rFonts w:ascii="宋体"/>
                <w:vanish/>
              </w:rPr>
            </w:pPr>
          </w:p>
        </w:tc>
        <w:tc>
          <w:tcPr>
            <w:tcW w:w="0" w:type="auto"/>
            <w:gridSpan w:val="3"/>
            <w:shd w:val="clear" w:color="auto" w:fill="auto"/>
          </w:tcPr>
          <w:p w14:paraId="5EA21AD5" w14:textId="77777777" w:rsidR="003C66EB" w:rsidRDefault="003C66EB">
            <w:pPr>
              <w:rPr>
                <w:rFonts w:ascii="宋体"/>
                <w:vanish/>
              </w:rPr>
            </w:pPr>
          </w:p>
        </w:tc>
        <w:tc>
          <w:tcPr>
            <w:tcW w:w="0" w:type="auto"/>
            <w:gridSpan w:val="3"/>
            <w:shd w:val="clear" w:color="auto" w:fill="auto"/>
          </w:tcPr>
          <w:p w14:paraId="5EA21AD6" w14:textId="77777777" w:rsidR="003C66EB" w:rsidRDefault="003C66EB">
            <w:pPr>
              <w:rPr>
                <w:rFonts w:ascii="宋体"/>
                <w:vanish/>
              </w:rPr>
            </w:pPr>
          </w:p>
        </w:tc>
        <w:tc>
          <w:tcPr>
            <w:tcW w:w="0" w:type="auto"/>
            <w:gridSpan w:val="3"/>
            <w:shd w:val="clear" w:color="auto" w:fill="auto"/>
          </w:tcPr>
          <w:p w14:paraId="5EA21AD7" w14:textId="77777777" w:rsidR="003C66EB" w:rsidRDefault="003C66EB">
            <w:pPr>
              <w:rPr>
                <w:rFonts w:ascii="宋体"/>
                <w:vanish/>
              </w:rPr>
            </w:pPr>
          </w:p>
        </w:tc>
        <w:tc>
          <w:tcPr>
            <w:tcW w:w="0" w:type="auto"/>
            <w:gridSpan w:val="3"/>
            <w:shd w:val="clear" w:color="auto" w:fill="auto"/>
          </w:tcPr>
          <w:p w14:paraId="5EA21AD8" w14:textId="77777777" w:rsidR="003C66EB" w:rsidRDefault="003C66EB">
            <w:pPr>
              <w:rPr>
                <w:rFonts w:ascii="宋体"/>
                <w:vanish/>
              </w:rPr>
            </w:pPr>
          </w:p>
        </w:tc>
        <w:tc>
          <w:tcPr>
            <w:tcW w:w="0" w:type="auto"/>
            <w:shd w:val="clear" w:color="auto" w:fill="auto"/>
          </w:tcPr>
          <w:p w14:paraId="5EA21AD9" w14:textId="77777777" w:rsidR="003C66EB" w:rsidRDefault="003C66EB">
            <w:pPr>
              <w:rPr>
                <w:rFonts w:ascii="宋体"/>
              </w:rPr>
            </w:pPr>
          </w:p>
        </w:tc>
        <w:tc>
          <w:tcPr>
            <w:tcW w:w="0" w:type="auto"/>
            <w:shd w:val="clear" w:color="auto" w:fill="auto"/>
          </w:tcPr>
          <w:p w14:paraId="5EA21ADA" w14:textId="77777777" w:rsidR="003C66EB" w:rsidRDefault="003C66EB">
            <w:pPr>
              <w:rPr>
                <w:rFonts w:ascii="宋体"/>
              </w:rPr>
            </w:pPr>
          </w:p>
        </w:tc>
        <w:tc>
          <w:tcPr>
            <w:tcW w:w="0" w:type="auto"/>
            <w:shd w:val="clear" w:color="auto" w:fill="auto"/>
          </w:tcPr>
          <w:p w14:paraId="5EA21ADB" w14:textId="77777777" w:rsidR="003C66EB" w:rsidRDefault="003C66EB">
            <w:pPr>
              <w:rPr>
                <w:rFonts w:ascii="宋体"/>
              </w:rPr>
            </w:pPr>
          </w:p>
        </w:tc>
        <w:tc>
          <w:tcPr>
            <w:tcW w:w="0" w:type="auto"/>
            <w:shd w:val="clear" w:color="auto" w:fill="auto"/>
          </w:tcPr>
          <w:p w14:paraId="5EA21ADC" w14:textId="77777777" w:rsidR="003C66EB" w:rsidRDefault="003C66EB">
            <w:pPr>
              <w:rPr>
                <w:rFonts w:ascii="宋体"/>
              </w:rPr>
            </w:pPr>
          </w:p>
        </w:tc>
        <w:tc>
          <w:tcPr>
            <w:tcW w:w="0" w:type="auto"/>
            <w:shd w:val="clear" w:color="auto" w:fill="auto"/>
          </w:tcPr>
          <w:p w14:paraId="5EA21ADD" w14:textId="77777777" w:rsidR="003C66EB" w:rsidRDefault="003C66EB">
            <w:pPr>
              <w:rPr>
                <w:rFonts w:ascii="宋体"/>
              </w:rPr>
            </w:pPr>
          </w:p>
        </w:tc>
        <w:tc>
          <w:tcPr>
            <w:tcW w:w="0" w:type="auto"/>
            <w:shd w:val="clear" w:color="auto" w:fill="auto"/>
          </w:tcPr>
          <w:p w14:paraId="5EA21ADE" w14:textId="77777777" w:rsidR="003C66EB" w:rsidRDefault="003C66EB">
            <w:pPr>
              <w:rPr>
                <w:rFonts w:ascii="宋体"/>
              </w:rPr>
            </w:pPr>
          </w:p>
        </w:tc>
        <w:tc>
          <w:tcPr>
            <w:tcW w:w="0" w:type="auto"/>
            <w:shd w:val="clear" w:color="auto" w:fill="auto"/>
          </w:tcPr>
          <w:p w14:paraId="5EA21ADF" w14:textId="77777777" w:rsidR="003C66EB" w:rsidRDefault="003C66EB">
            <w:pPr>
              <w:rPr>
                <w:rFonts w:ascii="宋体"/>
              </w:rPr>
            </w:pPr>
          </w:p>
        </w:tc>
        <w:tc>
          <w:tcPr>
            <w:tcW w:w="0" w:type="auto"/>
            <w:shd w:val="clear" w:color="auto" w:fill="auto"/>
          </w:tcPr>
          <w:p w14:paraId="5EA21AE0" w14:textId="77777777" w:rsidR="003C66EB" w:rsidRDefault="003C66EB">
            <w:pPr>
              <w:rPr>
                <w:rFonts w:ascii="宋体"/>
              </w:rPr>
            </w:pPr>
          </w:p>
        </w:tc>
        <w:tc>
          <w:tcPr>
            <w:tcW w:w="0" w:type="auto"/>
            <w:shd w:val="clear" w:color="auto" w:fill="auto"/>
          </w:tcPr>
          <w:p w14:paraId="5EA21AE1" w14:textId="77777777" w:rsidR="003C66EB" w:rsidRDefault="003C66EB">
            <w:pPr>
              <w:rPr>
                <w:rFonts w:ascii="宋体"/>
              </w:rPr>
            </w:pPr>
          </w:p>
        </w:tc>
        <w:tc>
          <w:tcPr>
            <w:tcW w:w="0" w:type="auto"/>
            <w:shd w:val="clear" w:color="auto" w:fill="auto"/>
          </w:tcPr>
          <w:p w14:paraId="5EA21AE2" w14:textId="77777777" w:rsidR="003C66EB" w:rsidRDefault="003C66EB">
            <w:pPr>
              <w:rPr>
                <w:rFonts w:ascii="宋体"/>
              </w:rPr>
            </w:pPr>
          </w:p>
        </w:tc>
        <w:tc>
          <w:tcPr>
            <w:tcW w:w="0" w:type="auto"/>
            <w:shd w:val="clear" w:color="auto" w:fill="auto"/>
          </w:tcPr>
          <w:p w14:paraId="5EA21AE3" w14:textId="77777777" w:rsidR="003C66EB" w:rsidRDefault="003C66EB">
            <w:pPr>
              <w:rPr>
                <w:rFonts w:ascii="宋体"/>
              </w:rPr>
            </w:pPr>
          </w:p>
        </w:tc>
        <w:tc>
          <w:tcPr>
            <w:tcW w:w="0" w:type="auto"/>
            <w:shd w:val="clear" w:color="auto" w:fill="auto"/>
          </w:tcPr>
          <w:p w14:paraId="5EA21AE4" w14:textId="77777777" w:rsidR="003C66EB" w:rsidRDefault="003C66EB">
            <w:pPr>
              <w:rPr>
                <w:rFonts w:ascii="宋体"/>
              </w:rPr>
            </w:pPr>
          </w:p>
        </w:tc>
      </w:tr>
      <w:tr w:rsidR="003C66EB" w14:paraId="5EA21AF6" w14:textId="77777777">
        <w:trPr>
          <w:hidden/>
        </w:trPr>
        <w:tc>
          <w:tcPr>
            <w:tcW w:w="0" w:type="auto"/>
            <w:gridSpan w:val="3"/>
            <w:shd w:val="clear" w:color="auto" w:fill="auto"/>
          </w:tcPr>
          <w:p w14:paraId="5EA21AE6" w14:textId="77777777" w:rsidR="003C66EB" w:rsidRDefault="003C66EB">
            <w:pPr>
              <w:rPr>
                <w:rFonts w:ascii="宋体"/>
                <w:vanish/>
              </w:rPr>
            </w:pPr>
          </w:p>
        </w:tc>
        <w:tc>
          <w:tcPr>
            <w:tcW w:w="0" w:type="auto"/>
            <w:gridSpan w:val="3"/>
            <w:shd w:val="clear" w:color="auto" w:fill="auto"/>
          </w:tcPr>
          <w:p w14:paraId="5EA21AE7" w14:textId="77777777" w:rsidR="003C66EB" w:rsidRDefault="003C66EB">
            <w:pPr>
              <w:rPr>
                <w:rFonts w:ascii="宋体"/>
                <w:vanish/>
              </w:rPr>
            </w:pPr>
          </w:p>
        </w:tc>
        <w:tc>
          <w:tcPr>
            <w:tcW w:w="0" w:type="auto"/>
            <w:gridSpan w:val="3"/>
            <w:shd w:val="clear" w:color="auto" w:fill="auto"/>
          </w:tcPr>
          <w:p w14:paraId="5EA21AE8" w14:textId="77777777" w:rsidR="003C66EB" w:rsidRDefault="003C66EB">
            <w:pPr>
              <w:rPr>
                <w:rFonts w:ascii="宋体"/>
                <w:vanish/>
              </w:rPr>
            </w:pPr>
          </w:p>
        </w:tc>
        <w:tc>
          <w:tcPr>
            <w:tcW w:w="0" w:type="auto"/>
            <w:gridSpan w:val="3"/>
            <w:shd w:val="clear" w:color="auto" w:fill="auto"/>
          </w:tcPr>
          <w:p w14:paraId="5EA21AE9" w14:textId="77777777" w:rsidR="003C66EB" w:rsidRDefault="003C66EB">
            <w:pPr>
              <w:rPr>
                <w:rFonts w:ascii="宋体"/>
                <w:vanish/>
              </w:rPr>
            </w:pPr>
          </w:p>
        </w:tc>
        <w:tc>
          <w:tcPr>
            <w:tcW w:w="0" w:type="auto"/>
            <w:gridSpan w:val="3"/>
            <w:shd w:val="clear" w:color="auto" w:fill="auto"/>
          </w:tcPr>
          <w:p w14:paraId="5EA21AEA" w14:textId="77777777" w:rsidR="003C66EB" w:rsidRDefault="003C66EB">
            <w:pPr>
              <w:rPr>
                <w:rFonts w:ascii="宋体"/>
                <w:vanish/>
              </w:rPr>
            </w:pPr>
          </w:p>
        </w:tc>
        <w:tc>
          <w:tcPr>
            <w:tcW w:w="0" w:type="auto"/>
            <w:gridSpan w:val="3"/>
            <w:shd w:val="clear" w:color="auto" w:fill="auto"/>
          </w:tcPr>
          <w:p w14:paraId="5EA21AEB" w14:textId="77777777" w:rsidR="003C66EB" w:rsidRDefault="003C66EB">
            <w:pPr>
              <w:rPr>
                <w:rFonts w:ascii="宋体"/>
                <w:vanish/>
              </w:rPr>
            </w:pPr>
          </w:p>
        </w:tc>
        <w:tc>
          <w:tcPr>
            <w:tcW w:w="0" w:type="auto"/>
            <w:gridSpan w:val="3"/>
            <w:shd w:val="clear" w:color="auto" w:fill="auto"/>
          </w:tcPr>
          <w:p w14:paraId="5EA21AEC" w14:textId="77777777" w:rsidR="003C66EB" w:rsidRDefault="003C66EB">
            <w:pPr>
              <w:rPr>
                <w:rFonts w:ascii="宋体"/>
                <w:vanish/>
              </w:rPr>
            </w:pPr>
          </w:p>
        </w:tc>
        <w:tc>
          <w:tcPr>
            <w:tcW w:w="0" w:type="auto"/>
            <w:gridSpan w:val="3"/>
            <w:shd w:val="clear" w:color="auto" w:fill="auto"/>
          </w:tcPr>
          <w:p w14:paraId="5EA21AED" w14:textId="77777777" w:rsidR="003C66EB" w:rsidRDefault="003C66EB">
            <w:pPr>
              <w:rPr>
                <w:rFonts w:ascii="宋体"/>
                <w:vanish/>
              </w:rPr>
            </w:pPr>
          </w:p>
        </w:tc>
        <w:tc>
          <w:tcPr>
            <w:tcW w:w="0" w:type="auto"/>
            <w:gridSpan w:val="3"/>
            <w:shd w:val="clear" w:color="auto" w:fill="auto"/>
          </w:tcPr>
          <w:p w14:paraId="5EA21AEE" w14:textId="77777777" w:rsidR="003C66EB" w:rsidRDefault="003C66EB">
            <w:pPr>
              <w:rPr>
                <w:rFonts w:ascii="宋体"/>
                <w:vanish/>
              </w:rPr>
            </w:pPr>
          </w:p>
        </w:tc>
        <w:tc>
          <w:tcPr>
            <w:tcW w:w="0" w:type="auto"/>
            <w:gridSpan w:val="3"/>
            <w:shd w:val="clear" w:color="auto" w:fill="auto"/>
          </w:tcPr>
          <w:p w14:paraId="5EA21AEF" w14:textId="77777777" w:rsidR="003C66EB" w:rsidRDefault="003C66EB">
            <w:pPr>
              <w:rPr>
                <w:rFonts w:ascii="宋体"/>
                <w:vanish/>
              </w:rPr>
            </w:pPr>
          </w:p>
        </w:tc>
        <w:tc>
          <w:tcPr>
            <w:tcW w:w="0" w:type="auto"/>
            <w:gridSpan w:val="3"/>
            <w:shd w:val="clear" w:color="auto" w:fill="auto"/>
          </w:tcPr>
          <w:p w14:paraId="5EA21AF0" w14:textId="77777777" w:rsidR="003C66EB" w:rsidRDefault="003C66EB">
            <w:pPr>
              <w:rPr>
                <w:rFonts w:ascii="宋体"/>
                <w:vanish/>
              </w:rPr>
            </w:pPr>
          </w:p>
        </w:tc>
        <w:tc>
          <w:tcPr>
            <w:tcW w:w="0" w:type="auto"/>
            <w:gridSpan w:val="3"/>
            <w:shd w:val="clear" w:color="auto" w:fill="auto"/>
          </w:tcPr>
          <w:p w14:paraId="5EA21AF1" w14:textId="77777777" w:rsidR="003C66EB" w:rsidRDefault="003C66EB">
            <w:pPr>
              <w:rPr>
                <w:rFonts w:ascii="宋体"/>
                <w:vanish/>
              </w:rPr>
            </w:pPr>
          </w:p>
        </w:tc>
        <w:tc>
          <w:tcPr>
            <w:tcW w:w="0" w:type="auto"/>
            <w:gridSpan w:val="3"/>
            <w:shd w:val="clear" w:color="auto" w:fill="auto"/>
          </w:tcPr>
          <w:p w14:paraId="5EA21AF2" w14:textId="77777777" w:rsidR="003C66EB" w:rsidRDefault="003C66EB">
            <w:pPr>
              <w:rPr>
                <w:rFonts w:ascii="宋体"/>
                <w:vanish/>
              </w:rPr>
            </w:pPr>
          </w:p>
        </w:tc>
        <w:tc>
          <w:tcPr>
            <w:tcW w:w="0" w:type="auto"/>
            <w:gridSpan w:val="3"/>
            <w:shd w:val="clear" w:color="auto" w:fill="auto"/>
          </w:tcPr>
          <w:p w14:paraId="5EA21AF3" w14:textId="77777777" w:rsidR="003C66EB" w:rsidRDefault="003C66EB">
            <w:pPr>
              <w:rPr>
                <w:rFonts w:ascii="宋体"/>
                <w:vanish/>
              </w:rPr>
            </w:pPr>
          </w:p>
        </w:tc>
        <w:tc>
          <w:tcPr>
            <w:tcW w:w="0" w:type="auto"/>
            <w:gridSpan w:val="3"/>
            <w:shd w:val="clear" w:color="auto" w:fill="auto"/>
          </w:tcPr>
          <w:p w14:paraId="5EA21AF4" w14:textId="77777777" w:rsidR="003C66EB" w:rsidRDefault="003C66EB">
            <w:pPr>
              <w:rPr>
                <w:rFonts w:ascii="宋体"/>
                <w:vanish/>
              </w:rPr>
            </w:pPr>
          </w:p>
        </w:tc>
        <w:tc>
          <w:tcPr>
            <w:tcW w:w="0" w:type="auto"/>
            <w:gridSpan w:val="3"/>
            <w:shd w:val="clear" w:color="auto" w:fill="auto"/>
          </w:tcPr>
          <w:p w14:paraId="5EA21AF5" w14:textId="77777777" w:rsidR="003C66EB" w:rsidRDefault="003C66EB">
            <w:pPr>
              <w:rPr>
                <w:rFonts w:ascii="宋体"/>
                <w:vanish/>
              </w:rPr>
            </w:pPr>
          </w:p>
        </w:tc>
      </w:tr>
      <w:tr w:rsidR="003C66EB" w14:paraId="5EA21B0F" w14:textId="77777777">
        <w:trPr>
          <w:hidden/>
        </w:trPr>
        <w:tc>
          <w:tcPr>
            <w:tcW w:w="0" w:type="auto"/>
            <w:gridSpan w:val="3"/>
            <w:shd w:val="clear" w:color="auto" w:fill="auto"/>
          </w:tcPr>
          <w:p w14:paraId="5EA21AF7" w14:textId="77777777" w:rsidR="003C66EB" w:rsidRDefault="003C66EB">
            <w:pPr>
              <w:rPr>
                <w:rFonts w:ascii="宋体"/>
                <w:vanish/>
              </w:rPr>
            </w:pPr>
          </w:p>
        </w:tc>
        <w:tc>
          <w:tcPr>
            <w:tcW w:w="0" w:type="auto"/>
            <w:gridSpan w:val="3"/>
            <w:shd w:val="clear" w:color="auto" w:fill="auto"/>
          </w:tcPr>
          <w:p w14:paraId="5EA21AF8" w14:textId="77777777" w:rsidR="003C66EB" w:rsidRDefault="003C66EB">
            <w:pPr>
              <w:rPr>
                <w:rFonts w:ascii="宋体"/>
                <w:vanish/>
              </w:rPr>
            </w:pPr>
          </w:p>
        </w:tc>
        <w:tc>
          <w:tcPr>
            <w:tcW w:w="0" w:type="auto"/>
            <w:gridSpan w:val="3"/>
            <w:shd w:val="clear" w:color="auto" w:fill="auto"/>
          </w:tcPr>
          <w:p w14:paraId="5EA21AF9" w14:textId="77777777" w:rsidR="003C66EB" w:rsidRDefault="003C66EB">
            <w:pPr>
              <w:rPr>
                <w:rFonts w:ascii="宋体"/>
                <w:vanish/>
              </w:rPr>
            </w:pPr>
          </w:p>
        </w:tc>
        <w:tc>
          <w:tcPr>
            <w:tcW w:w="0" w:type="auto"/>
            <w:gridSpan w:val="3"/>
            <w:shd w:val="clear" w:color="auto" w:fill="auto"/>
          </w:tcPr>
          <w:p w14:paraId="5EA21AFA" w14:textId="77777777" w:rsidR="003C66EB" w:rsidRDefault="003C66EB">
            <w:pPr>
              <w:rPr>
                <w:rFonts w:ascii="宋体"/>
                <w:vanish/>
              </w:rPr>
            </w:pPr>
          </w:p>
        </w:tc>
        <w:tc>
          <w:tcPr>
            <w:tcW w:w="0" w:type="auto"/>
            <w:gridSpan w:val="3"/>
            <w:shd w:val="clear" w:color="auto" w:fill="auto"/>
          </w:tcPr>
          <w:p w14:paraId="5EA21AFB" w14:textId="77777777" w:rsidR="003C66EB" w:rsidRDefault="003C66EB">
            <w:pPr>
              <w:rPr>
                <w:rFonts w:ascii="宋体"/>
                <w:vanish/>
              </w:rPr>
            </w:pPr>
          </w:p>
        </w:tc>
        <w:tc>
          <w:tcPr>
            <w:tcW w:w="0" w:type="auto"/>
            <w:gridSpan w:val="3"/>
            <w:shd w:val="clear" w:color="auto" w:fill="auto"/>
          </w:tcPr>
          <w:p w14:paraId="5EA21AFC" w14:textId="77777777" w:rsidR="003C66EB" w:rsidRDefault="003C66EB">
            <w:pPr>
              <w:rPr>
                <w:rFonts w:ascii="宋体"/>
                <w:vanish/>
              </w:rPr>
            </w:pPr>
          </w:p>
        </w:tc>
        <w:tc>
          <w:tcPr>
            <w:tcW w:w="0" w:type="auto"/>
            <w:gridSpan w:val="3"/>
            <w:shd w:val="clear" w:color="auto" w:fill="auto"/>
          </w:tcPr>
          <w:p w14:paraId="5EA21AFD" w14:textId="77777777" w:rsidR="003C66EB" w:rsidRDefault="003C66EB">
            <w:pPr>
              <w:rPr>
                <w:rFonts w:ascii="宋体"/>
                <w:vanish/>
              </w:rPr>
            </w:pPr>
          </w:p>
        </w:tc>
        <w:tc>
          <w:tcPr>
            <w:tcW w:w="0" w:type="auto"/>
            <w:gridSpan w:val="3"/>
            <w:shd w:val="clear" w:color="auto" w:fill="auto"/>
          </w:tcPr>
          <w:p w14:paraId="5EA21AFE" w14:textId="77777777" w:rsidR="003C66EB" w:rsidRDefault="003C66EB">
            <w:pPr>
              <w:rPr>
                <w:rFonts w:ascii="宋体"/>
                <w:vanish/>
              </w:rPr>
            </w:pPr>
          </w:p>
        </w:tc>
        <w:tc>
          <w:tcPr>
            <w:tcW w:w="0" w:type="auto"/>
            <w:gridSpan w:val="3"/>
            <w:shd w:val="clear" w:color="auto" w:fill="auto"/>
          </w:tcPr>
          <w:p w14:paraId="5EA21AFF" w14:textId="77777777" w:rsidR="003C66EB" w:rsidRDefault="003C66EB">
            <w:pPr>
              <w:rPr>
                <w:rFonts w:ascii="宋体"/>
                <w:vanish/>
              </w:rPr>
            </w:pPr>
          </w:p>
        </w:tc>
        <w:tc>
          <w:tcPr>
            <w:tcW w:w="0" w:type="auto"/>
            <w:gridSpan w:val="3"/>
            <w:shd w:val="clear" w:color="auto" w:fill="auto"/>
          </w:tcPr>
          <w:p w14:paraId="5EA21B00" w14:textId="77777777" w:rsidR="003C66EB" w:rsidRDefault="003C66EB">
            <w:pPr>
              <w:rPr>
                <w:rFonts w:ascii="宋体"/>
                <w:vanish/>
              </w:rPr>
            </w:pPr>
          </w:p>
        </w:tc>
        <w:tc>
          <w:tcPr>
            <w:tcW w:w="0" w:type="auto"/>
            <w:gridSpan w:val="3"/>
            <w:shd w:val="clear" w:color="auto" w:fill="auto"/>
          </w:tcPr>
          <w:p w14:paraId="5EA21B01" w14:textId="77777777" w:rsidR="003C66EB" w:rsidRDefault="003C66EB">
            <w:pPr>
              <w:rPr>
                <w:rFonts w:ascii="宋体"/>
                <w:vanish/>
              </w:rPr>
            </w:pPr>
          </w:p>
        </w:tc>
        <w:tc>
          <w:tcPr>
            <w:tcW w:w="0" w:type="auto"/>
            <w:gridSpan w:val="3"/>
            <w:shd w:val="clear" w:color="auto" w:fill="auto"/>
          </w:tcPr>
          <w:p w14:paraId="5EA21B02" w14:textId="77777777" w:rsidR="003C66EB" w:rsidRDefault="003C66EB">
            <w:pPr>
              <w:rPr>
                <w:rFonts w:ascii="宋体"/>
                <w:vanish/>
              </w:rPr>
            </w:pPr>
          </w:p>
        </w:tc>
        <w:tc>
          <w:tcPr>
            <w:tcW w:w="0" w:type="auto"/>
            <w:shd w:val="clear" w:color="auto" w:fill="auto"/>
          </w:tcPr>
          <w:p w14:paraId="5EA21B03" w14:textId="77777777" w:rsidR="003C66EB" w:rsidRDefault="003C66EB">
            <w:pPr>
              <w:rPr>
                <w:rFonts w:ascii="宋体"/>
              </w:rPr>
            </w:pPr>
          </w:p>
        </w:tc>
        <w:tc>
          <w:tcPr>
            <w:tcW w:w="0" w:type="auto"/>
            <w:shd w:val="clear" w:color="auto" w:fill="auto"/>
          </w:tcPr>
          <w:p w14:paraId="5EA21B04" w14:textId="77777777" w:rsidR="003C66EB" w:rsidRDefault="003C66EB">
            <w:pPr>
              <w:rPr>
                <w:rFonts w:ascii="宋体"/>
              </w:rPr>
            </w:pPr>
          </w:p>
        </w:tc>
        <w:tc>
          <w:tcPr>
            <w:tcW w:w="0" w:type="auto"/>
            <w:shd w:val="clear" w:color="auto" w:fill="auto"/>
          </w:tcPr>
          <w:p w14:paraId="5EA21B05" w14:textId="77777777" w:rsidR="003C66EB" w:rsidRDefault="003C66EB">
            <w:pPr>
              <w:rPr>
                <w:rFonts w:ascii="宋体"/>
              </w:rPr>
            </w:pPr>
          </w:p>
        </w:tc>
        <w:tc>
          <w:tcPr>
            <w:tcW w:w="0" w:type="auto"/>
            <w:shd w:val="clear" w:color="auto" w:fill="auto"/>
          </w:tcPr>
          <w:p w14:paraId="5EA21B06" w14:textId="77777777" w:rsidR="003C66EB" w:rsidRDefault="003C66EB">
            <w:pPr>
              <w:rPr>
                <w:rFonts w:ascii="宋体"/>
              </w:rPr>
            </w:pPr>
          </w:p>
        </w:tc>
        <w:tc>
          <w:tcPr>
            <w:tcW w:w="0" w:type="auto"/>
            <w:shd w:val="clear" w:color="auto" w:fill="auto"/>
          </w:tcPr>
          <w:p w14:paraId="5EA21B07" w14:textId="77777777" w:rsidR="003C66EB" w:rsidRDefault="003C66EB">
            <w:pPr>
              <w:rPr>
                <w:rFonts w:ascii="宋体"/>
              </w:rPr>
            </w:pPr>
          </w:p>
        </w:tc>
        <w:tc>
          <w:tcPr>
            <w:tcW w:w="0" w:type="auto"/>
            <w:shd w:val="clear" w:color="auto" w:fill="auto"/>
          </w:tcPr>
          <w:p w14:paraId="5EA21B08" w14:textId="77777777" w:rsidR="003C66EB" w:rsidRDefault="003C66EB">
            <w:pPr>
              <w:rPr>
                <w:rFonts w:ascii="宋体"/>
              </w:rPr>
            </w:pPr>
          </w:p>
        </w:tc>
        <w:tc>
          <w:tcPr>
            <w:tcW w:w="0" w:type="auto"/>
            <w:shd w:val="clear" w:color="auto" w:fill="auto"/>
          </w:tcPr>
          <w:p w14:paraId="5EA21B09" w14:textId="77777777" w:rsidR="003C66EB" w:rsidRDefault="003C66EB">
            <w:pPr>
              <w:rPr>
                <w:rFonts w:ascii="宋体"/>
              </w:rPr>
            </w:pPr>
          </w:p>
        </w:tc>
        <w:tc>
          <w:tcPr>
            <w:tcW w:w="0" w:type="auto"/>
            <w:shd w:val="clear" w:color="auto" w:fill="auto"/>
          </w:tcPr>
          <w:p w14:paraId="5EA21B0A" w14:textId="77777777" w:rsidR="003C66EB" w:rsidRDefault="003C66EB">
            <w:pPr>
              <w:rPr>
                <w:rFonts w:ascii="宋体"/>
              </w:rPr>
            </w:pPr>
          </w:p>
        </w:tc>
        <w:tc>
          <w:tcPr>
            <w:tcW w:w="0" w:type="auto"/>
            <w:shd w:val="clear" w:color="auto" w:fill="auto"/>
          </w:tcPr>
          <w:p w14:paraId="5EA21B0B" w14:textId="77777777" w:rsidR="003C66EB" w:rsidRDefault="003C66EB">
            <w:pPr>
              <w:rPr>
                <w:rFonts w:ascii="宋体"/>
              </w:rPr>
            </w:pPr>
          </w:p>
        </w:tc>
        <w:tc>
          <w:tcPr>
            <w:tcW w:w="0" w:type="auto"/>
            <w:shd w:val="clear" w:color="auto" w:fill="auto"/>
          </w:tcPr>
          <w:p w14:paraId="5EA21B0C" w14:textId="77777777" w:rsidR="003C66EB" w:rsidRDefault="003C66EB">
            <w:pPr>
              <w:rPr>
                <w:rFonts w:ascii="宋体"/>
              </w:rPr>
            </w:pPr>
          </w:p>
        </w:tc>
        <w:tc>
          <w:tcPr>
            <w:tcW w:w="0" w:type="auto"/>
            <w:shd w:val="clear" w:color="auto" w:fill="auto"/>
          </w:tcPr>
          <w:p w14:paraId="5EA21B0D" w14:textId="77777777" w:rsidR="003C66EB" w:rsidRDefault="003C66EB">
            <w:pPr>
              <w:rPr>
                <w:rFonts w:ascii="宋体"/>
              </w:rPr>
            </w:pPr>
          </w:p>
        </w:tc>
        <w:tc>
          <w:tcPr>
            <w:tcW w:w="0" w:type="auto"/>
            <w:shd w:val="clear" w:color="auto" w:fill="auto"/>
          </w:tcPr>
          <w:p w14:paraId="5EA21B0E" w14:textId="77777777" w:rsidR="003C66EB" w:rsidRDefault="003C66EB">
            <w:pPr>
              <w:rPr>
                <w:rFonts w:ascii="宋体"/>
              </w:rPr>
            </w:pPr>
          </w:p>
        </w:tc>
      </w:tr>
      <w:tr w:rsidR="003C66EB" w14:paraId="5EA21B20" w14:textId="77777777">
        <w:trPr>
          <w:hidden/>
        </w:trPr>
        <w:tc>
          <w:tcPr>
            <w:tcW w:w="0" w:type="auto"/>
            <w:gridSpan w:val="3"/>
            <w:shd w:val="clear" w:color="auto" w:fill="auto"/>
          </w:tcPr>
          <w:p w14:paraId="5EA21B10" w14:textId="77777777" w:rsidR="003C66EB" w:rsidRDefault="003C66EB">
            <w:pPr>
              <w:rPr>
                <w:rFonts w:ascii="宋体"/>
                <w:vanish/>
              </w:rPr>
            </w:pPr>
          </w:p>
        </w:tc>
        <w:tc>
          <w:tcPr>
            <w:tcW w:w="0" w:type="auto"/>
            <w:gridSpan w:val="3"/>
            <w:shd w:val="clear" w:color="auto" w:fill="auto"/>
          </w:tcPr>
          <w:p w14:paraId="5EA21B11" w14:textId="77777777" w:rsidR="003C66EB" w:rsidRDefault="003C66EB">
            <w:pPr>
              <w:rPr>
                <w:rFonts w:ascii="宋体"/>
                <w:vanish/>
              </w:rPr>
            </w:pPr>
          </w:p>
        </w:tc>
        <w:tc>
          <w:tcPr>
            <w:tcW w:w="0" w:type="auto"/>
            <w:gridSpan w:val="3"/>
            <w:shd w:val="clear" w:color="auto" w:fill="auto"/>
          </w:tcPr>
          <w:p w14:paraId="5EA21B12" w14:textId="77777777" w:rsidR="003C66EB" w:rsidRDefault="003C66EB">
            <w:pPr>
              <w:rPr>
                <w:rFonts w:ascii="宋体"/>
                <w:vanish/>
              </w:rPr>
            </w:pPr>
          </w:p>
        </w:tc>
        <w:tc>
          <w:tcPr>
            <w:tcW w:w="0" w:type="auto"/>
            <w:gridSpan w:val="3"/>
            <w:shd w:val="clear" w:color="auto" w:fill="auto"/>
          </w:tcPr>
          <w:p w14:paraId="5EA21B13" w14:textId="77777777" w:rsidR="003C66EB" w:rsidRDefault="003C66EB">
            <w:pPr>
              <w:rPr>
                <w:rFonts w:ascii="宋体"/>
                <w:vanish/>
              </w:rPr>
            </w:pPr>
          </w:p>
        </w:tc>
        <w:tc>
          <w:tcPr>
            <w:tcW w:w="0" w:type="auto"/>
            <w:gridSpan w:val="3"/>
            <w:shd w:val="clear" w:color="auto" w:fill="auto"/>
          </w:tcPr>
          <w:p w14:paraId="5EA21B14" w14:textId="77777777" w:rsidR="003C66EB" w:rsidRDefault="003C66EB">
            <w:pPr>
              <w:rPr>
                <w:rFonts w:ascii="宋体"/>
                <w:vanish/>
              </w:rPr>
            </w:pPr>
          </w:p>
        </w:tc>
        <w:tc>
          <w:tcPr>
            <w:tcW w:w="0" w:type="auto"/>
            <w:gridSpan w:val="3"/>
            <w:shd w:val="clear" w:color="auto" w:fill="auto"/>
          </w:tcPr>
          <w:p w14:paraId="5EA21B15" w14:textId="77777777" w:rsidR="003C66EB" w:rsidRDefault="003C66EB">
            <w:pPr>
              <w:rPr>
                <w:rFonts w:ascii="宋体"/>
                <w:vanish/>
              </w:rPr>
            </w:pPr>
          </w:p>
        </w:tc>
        <w:tc>
          <w:tcPr>
            <w:tcW w:w="0" w:type="auto"/>
            <w:gridSpan w:val="3"/>
            <w:shd w:val="clear" w:color="auto" w:fill="auto"/>
          </w:tcPr>
          <w:p w14:paraId="5EA21B16" w14:textId="77777777" w:rsidR="003C66EB" w:rsidRDefault="003C66EB">
            <w:pPr>
              <w:rPr>
                <w:rFonts w:ascii="宋体"/>
                <w:vanish/>
              </w:rPr>
            </w:pPr>
          </w:p>
        </w:tc>
        <w:tc>
          <w:tcPr>
            <w:tcW w:w="0" w:type="auto"/>
            <w:gridSpan w:val="3"/>
            <w:shd w:val="clear" w:color="auto" w:fill="auto"/>
          </w:tcPr>
          <w:p w14:paraId="5EA21B17" w14:textId="77777777" w:rsidR="003C66EB" w:rsidRDefault="003C66EB">
            <w:pPr>
              <w:rPr>
                <w:rFonts w:ascii="宋体"/>
                <w:vanish/>
              </w:rPr>
            </w:pPr>
          </w:p>
        </w:tc>
        <w:tc>
          <w:tcPr>
            <w:tcW w:w="0" w:type="auto"/>
            <w:gridSpan w:val="3"/>
            <w:shd w:val="clear" w:color="auto" w:fill="auto"/>
          </w:tcPr>
          <w:p w14:paraId="5EA21B18" w14:textId="77777777" w:rsidR="003C66EB" w:rsidRDefault="003C66EB">
            <w:pPr>
              <w:rPr>
                <w:rFonts w:ascii="宋体"/>
                <w:vanish/>
              </w:rPr>
            </w:pPr>
          </w:p>
        </w:tc>
        <w:tc>
          <w:tcPr>
            <w:tcW w:w="0" w:type="auto"/>
            <w:gridSpan w:val="3"/>
            <w:shd w:val="clear" w:color="auto" w:fill="auto"/>
          </w:tcPr>
          <w:p w14:paraId="5EA21B19" w14:textId="77777777" w:rsidR="003C66EB" w:rsidRDefault="003C66EB">
            <w:pPr>
              <w:rPr>
                <w:rFonts w:ascii="宋体"/>
                <w:vanish/>
              </w:rPr>
            </w:pPr>
          </w:p>
        </w:tc>
        <w:tc>
          <w:tcPr>
            <w:tcW w:w="0" w:type="auto"/>
            <w:gridSpan w:val="3"/>
            <w:shd w:val="clear" w:color="auto" w:fill="auto"/>
          </w:tcPr>
          <w:p w14:paraId="5EA21B1A" w14:textId="77777777" w:rsidR="003C66EB" w:rsidRDefault="003C66EB">
            <w:pPr>
              <w:rPr>
                <w:rFonts w:ascii="宋体"/>
                <w:vanish/>
              </w:rPr>
            </w:pPr>
          </w:p>
        </w:tc>
        <w:tc>
          <w:tcPr>
            <w:tcW w:w="0" w:type="auto"/>
            <w:gridSpan w:val="3"/>
            <w:shd w:val="clear" w:color="auto" w:fill="auto"/>
          </w:tcPr>
          <w:p w14:paraId="5EA21B1B" w14:textId="77777777" w:rsidR="003C66EB" w:rsidRDefault="003C66EB">
            <w:pPr>
              <w:rPr>
                <w:rFonts w:ascii="宋体"/>
                <w:vanish/>
              </w:rPr>
            </w:pPr>
          </w:p>
        </w:tc>
        <w:tc>
          <w:tcPr>
            <w:tcW w:w="0" w:type="auto"/>
            <w:gridSpan w:val="3"/>
            <w:shd w:val="clear" w:color="auto" w:fill="auto"/>
          </w:tcPr>
          <w:p w14:paraId="5EA21B1C" w14:textId="77777777" w:rsidR="003C66EB" w:rsidRDefault="003C66EB">
            <w:pPr>
              <w:rPr>
                <w:rFonts w:ascii="宋体"/>
                <w:vanish/>
              </w:rPr>
            </w:pPr>
          </w:p>
        </w:tc>
        <w:tc>
          <w:tcPr>
            <w:tcW w:w="0" w:type="auto"/>
            <w:gridSpan w:val="3"/>
            <w:shd w:val="clear" w:color="auto" w:fill="auto"/>
          </w:tcPr>
          <w:p w14:paraId="5EA21B1D" w14:textId="77777777" w:rsidR="003C66EB" w:rsidRDefault="003C66EB">
            <w:pPr>
              <w:rPr>
                <w:rFonts w:ascii="宋体"/>
                <w:vanish/>
              </w:rPr>
            </w:pPr>
          </w:p>
        </w:tc>
        <w:tc>
          <w:tcPr>
            <w:tcW w:w="0" w:type="auto"/>
            <w:gridSpan w:val="3"/>
            <w:shd w:val="clear" w:color="auto" w:fill="auto"/>
          </w:tcPr>
          <w:p w14:paraId="5EA21B1E" w14:textId="77777777" w:rsidR="003C66EB" w:rsidRDefault="003C66EB">
            <w:pPr>
              <w:rPr>
                <w:rFonts w:ascii="宋体"/>
                <w:vanish/>
              </w:rPr>
            </w:pPr>
          </w:p>
        </w:tc>
        <w:tc>
          <w:tcPr>
            <w:tcW w:w="0" w:type="auto"/>
            <w:gridSpan w:val="3"/>
            <w:shd w:val="clear" w:color="auto" w:fill="auto"/>
          </w:tcPr>
          <w:p w14:paraId="5EA21B1F" w14:textId="77777777" w:rsidR="003C66EB" w:rsidRDefault="003C66EB">
            <w:pPr>
              <w:rPr>
                <w:rFonts w:ascii="宋体"/>
                <w:vanish/>
              </w:rPr>
            </w:pPr>
          </w:p>
        </w:tc>
      </w:tr>
      <w:tr w:rsidR="003C66EB" w14:paraId="5EA21B31" w14:textId="77777777">
        <w:trPr>
          <w:hidden/>
        </w:trPr>
        <w:tc>
          <w:tcPr>
            <w:tcW w:w="0" w:type="auto"/>
            <w:gridSpan w:val="3"/>
            <w:shd w:val="clear" w:color="auto" w:fill="auto"/>
          </w:tcPr>
          <w:p w14:paraId="5EA21B21" w14:textId="77777777" w:rsidR="003C66EB" w:rsidRDefault="003C66EB">
            <w:pPr>
              <w:rPr>
                <w:rFonts w:ascii="宋体"/>
                <w:vanish/>
              </w:rPr>
            </w:pPr>
          </w:p>
        </w:tc>
        <w:tc>
          <w:tcPr>
            <w:tcW w:w="0" w:type="auto"/>
            <w:gridSpan w:val="3"/>
            <w:shd w:val="clear" w:color="auto" w:fill="auto"/>
          </w:tcPr>
          <w:p w14:paraId="5EA21B22" w14:textId="77777777" w:rsidR="003C66EB" w:rsidRDefault="003C66EB">
            <w:pPr>
              <w:rPr>
                <w:rFonts w:ascii="宋体"/>
                <w:vanish/>
              </w:rPr>
            </w:pPr>
          </w:p>
        </w:tc>
        <w:tc>
          <w:tcPr>
            <w:tcW w:w="0" w:type="auto"/>
            <w:gridSpan w:val="3"/>
            <w:shd w:val="clear" w:color="auto" w:fill="auto"/>
          </w:tcPr>
          <w:p w14:paraId="5EA21B23" w14:textId="77777777" w:rsidR="003C66EB" w:rsidRDefault="003C66EB">
            <w:pPr>
              <w:rPr>
                <w:rFonts w:ascii="宋体"/>
                <w:vanish/>
              </w:rPr>
            </w:pPr>
          </w:p>
        </w:tc>
        <w:tc>
          <w:tcPr>
            <w:tcW w:w="0" w:type="auto"/>
            <w:gridSpan w:val="3"/>
            <w:shd w:val="clear" w:color="auto" w:fill="auto"/>
          </w:tcPr>
          <w:p w14:paraId="5EA21B24" w14:textId="77777777" w:rsidR="003C66EB" w:rsidRDefault="003C66EB">
            <w:pPr>
              <w:rPr>
                <w:rFonts w:ascii="宋体"/>
                <w:vanish/>
              </w:rPr>
            </w:pPr>
          </w:p>
        </w:tc>
        <w:tc>
          <w:tcPr>
            <w:tcW w:w="0" w:type="auto"/>
            <w:gridSpan w:val="3"/>
            <w:shd w:val="clear" w:color="auto" w:fill="auto"/>
          </w:tcPr>
          <w:p w14:paraId="5EA21B25" w14:textId="77777777" w:rsidR="003C66EB" w:rsidRDefault="003C66EB">
            <w:pPr>
              <w:rPr>
                <w:rFonts w:ascii="宋体"/>
                <w:vanish/>
              </w:rPr>
            </w:pPr>
          </w:p>
        </w:tc>
        <w:tc>
          <w:tcPr>
            <w:tcW w:w="0" w:type="auto"/>
            <w:gridSpan w:val="3"/>
            <w:shd w:val="clear" w:color="auto" w:fill="auto"/>
          </w:tcPr>
          <w:p w14:paraId="5EA21B26" w14:textId="77777777" w:rsidR="003C66EB" w:rsidRDefault="003C66EB">
            <w:pPr>
              <w:rPr>
                <w:rFonts w:ascii="宋体"/>
                <w:vanish/>
              </w:rPr>
            </w:pPr>
          </w:p>
        </w:tc>
        <w:tc>
          <w:tcPr>
            <w:tcW w:w="0" w:type="auto"/>
            <w:gridSpan w:val="3"/>
            <w:shd w:val="clear" w:color="auto" w:fill="auto"/>
          </w:tcPr>
          <w:p w14:paraId="5EA21B27" w14:textId="77777777" w:rsidR="003C66EB" w:rsidRDefault="003C66EB">
            <w:pPr>
              <w:rPr>
                <w:rFonts w:ascii="宋体"/>
                <w:vanish/>
              </w:rPr>
            </w:pPr>
          </w:p>
        </w:tc>
        <w:tc>
          <w:tcPr>
            <w:tcW w:w="0" w:type="auto"/>
            <w:gridSpan w:val="3"/>
            <w:shd w:val="clear" w:color="auto" w:fill="auto"/>
          </w:tcPr>
          <w:p w14:paraId="5EA21B28" w14:textId="77777777" w:rsidR="003C66EB" w:rsidRDefault="003C66EB">
            <w:pPr>
              <w:rPr>
                <w:rFonts w:ascii="宋体"/>
                <w:vanish/>
              </w:rPr>
            </w:pPr>
          </w:p>
        </w:tc>
        <w:tc>
          <w:tcPr>
            <w:tcW w:w="0" w:type="auto"/>
            <w:gridSpan w:val="3"/>
            <w:shd w:val="clear" w:color="auto" w:fill="auto"/>
          </w:tcPr>
          <w:p w14:paraId="5EA21B29" w14:textId="77777777" w:rsidR="003C66EB" w:rsidRDefault="003C66EB">
            <w:pPr>
              <w:rPr>
                <w:rFonts w:ascii="宋体"/>
                <w:vanish/>
              </w:rPr>
            </w:pPr>
          </w:p>
        </w:tc>
        <w:tc>
          <w:tcPr>
            <w:tcW w:w="0" w:type="auto"/>
            <w:gridSpan w:val="3"/>
            <w:shd w:val="clear" w:color="auto" w:fill="auto"/>
          </w:tcPr>
          <w:p w14:paraId="5EA21B2A" w14:textId="77777777" w:rsidR="003C66EB" w:rsidRDefault="003C66EB">
            <w:pPr>
              <w:rPr>
                <w:rFonts w:ascii="宋体"/>
                <w:vanish/>
              </w:rPr>
            </w:pPr>
          </w:p>
        </w:tc>
        <w:tc>
          <w:tcPr>
            <w:tcW w:w="0" w:type="auto"/>
            <w:gridSpan w:val="3"/>
            <w:shd w:val="clear" w:color="auto" w:fill="auto"/>
          </w:tcPr>
          <w:p w14:paraId="5EA21B2B" w14:textId="77777777" w:rsidR="003C66EB" w:rsidRDefault="003C66EB">
            <w:pPr>
              <w:rPr>
                <w:rFonts w:ascii="宋体"/>
                <w:vanish/>
              </w:rPr>
            </w:pPr>
          </w:p>
        </w:tc>
        <w:tc>
          <w:tcPr>
            <w:tcW w:w="0" w:type="auto"/>
            <w:gridSpan w:val="3"/>
            <w:shd w:val="clear" w:color="auto" w:fill="auto"/>
          </w:tcPr>
          <w:p w14:paraId="5EA21B2C" w14:textId="77777777" w:rsidR="003C66EB" w:rsidRDefault="003C66EB">
            <w:pPr>
              <w:rPr>
                <w:rFonts w:ascii="宋体"/>
                <w:vanish/>
              </w:rPr>
            </w:pPr>
          </w:p>
        </w:tc>
        <w:tc>
          <w:tcPr>
            <w:tcW w:w="0" w:type="auto"/>
            <w:gridSpan w:val="3"/>
            <w:shd w:val="clear" w:color="auto" w:fill="auto"/>
          </w:tcPr>
          <w:p w14:paraId="5EA21B2D" w14:textId="77777777" w:rsidR="003C66EB" w:rsidRDefault="003C66EB">
            <w:pPr>
              <w:rPr>
                <w:rFonts w:ascii="宋体"/>
                <w:vanish/>
              </w:rPr>
            </w:pPr>
          </w:p>
        </w:tc>
        <w:tc>
          <w:tcPr>
            <w:tcW w:w="0" w:type="auto"/>
            <w:gridSpan w:val="3"/>
            <w:shd w:val="clear" w:color="auto" w:fill="auto"/>
          </w:tcPr>
          <w:p w14:paraId="5EA21B2E" w14:textId="77777777" w:rsidR="003C66EB" w:rsidRDefault="003C66EB">
            <w:pPr>
              <w:rPr>
                <w:rFonts w:ascii="宋体"/>
                <w:vanish/>
              </w:rPr>
            </w:pPr>
          </w:p>
        </w:tc>
        <w:tc>
          <w:tcPr>
            <w:tcW w:w="0" w:type="auto"/>
            <w:gridSpan w:val="3"/>
            <w:shd w:val="clear" w:color="auto" w:fill="auto"/>
          </w:tcPr>
          <w:p w14:paraId="5EA21B2F" w14:textId="77777777" w:rsidR="003C66EB" w:rsidRDefault="003C66EB">
            <w:pPr>
              <w:rPr>
                <w:rFonts w:ascii="宋体"/>
                <w:vanish/>
              </w:rPr>
            </w:pPr>
          </w:p>
        </w:tc>
        <w:tc>
          <w:tcPr>
            <w:tcW w:w="0" w:type="auto"/>
            <w:gridSpan w:val="3"/>
            <w:shd w:val="clear" w:color="auto" w:fill="auto"/>
          </w:tcPr>
          <w:p w14:paraId="5EA21B30" w14:textId="77777777" w:rsidR="003C66EB" w:rsidRDefault="003C66EB">
            <w:pPr>
              <w:rPr>
                <w:rFonts w:ascii="宋体"/>
                <w:vanish/>
              </w:rPr>
            </w:pPr>
          </w:p>
        </w:tc>
      </w:tr>
      <w:tr w:rsidR="003C66EB" w14:paraId="5EA21B3C" w14:textId="77777777">
        <w:tc>
          <w:tcPr>
            <w:tcW w:w="0" w:type="auto"/>
            <w:gridSpan w:val="3"/>
            <w:shd w:val="clear" w:color="auto" w:fill="auto"/>
            <w:tcMar>
              <w:top w:w="0" w:type="dxa"/>
              <w:left w:w="20" w:type="dxa"/>
              <w:bottom w:w="0" w:type="dxa"/>
              <w:right w:w="20" w:type="dxa"/>
            </w:tcMar>
          </w:tcPr>
          <w:p w14:paraId="5EA21B32" w14:textId="77777777" w:rsidR="003C66EB" w:rsidRDefault="003C66E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A21B33" w14:textId="77777777" w:rsidR="003C66EB" w:rsidRDefault="00D96C4E">
            <w:pPr>
              <w:jc w:val="center"/>
              <w:textAlignment w:val="bottom"/>
            </w:pPr>
            <w:r>
              <w:rPr>
                <w:rFonts w:ascii="Arial" w:eastAsia="宋体" w:hAnsi="Arial" w:cs="Arial"/>
                <w:b/>
                <w:bCs/>
                <w:color w:val="000000"/>
                <w:sz w:val="16"/>
                <w:szCs w:val="16"/>
              </w:rPr>
              <w:t xml:space="preserve">Three Months Ended </w:t>
            </w:r>
            <w:r>
              <w:rPr>
                <w:rFonts w:ascii="Arial" w:eastAsia="宋体" w:hAnsi="Arial" w:cs="Arial"/>
                <w:b/>
                <w:bCs/>
                <w:color w:val="000000"/>
                <w:sz w:val="16"/>
                <w:szCs w:val="16"/>
              </w:rPr>
              <w:t>March 31,</w:t>
            </w:r>
          </w:p>
        </w:tc>
        <w:tc>
          <w:tcPr>
            <w:tcW w:w="0" w:type="auto"/>
            <w:gridSpan w:val="3"/>
            <w:shd w:val="clear" w:color="auto" w:fill="auto"/>
          </w:tcPr>
          <w:p w14:paraId="5EA21B34" w14:textId="77777777" w:rsidR="003C66EB" w:rsidRDefault="003C66EB">
            <w:pPr>
              <w:rPr>
                <w:rFonts w:ascii="宋体"/>
                <w:vanish/>
              </w:rPr>
            </w:pPr>
          </w:p>
        </w:tc>
        <w:tc>
          <w:tcPr>
            <w:tcW w:w="0" w:type="auto"/>
            <w:gridSpan w:val="3"/>
            <w:shd w:val="clear" w:color="auto" w:fill="auto"/>
          </w:tcPr>
          <w:p w14:paraId="5EA21B35" w14:textId="77777777" w:rsidR="003C66EB" w:rsidRDefault="003C66EB">
            <w:pPr>
              <w:rPr>
                <w:rFonts w:ascii="宋体"/>
                <w:vanish/>
              </w:rPr>
            </w:pPr>
          </w:p>
        </w:tc>
        <w:tc>
          <w:tcPr>
            <w:tcW w:w="0" w:type="auto"/>
            <w:gridSpan w:val="3"/>
            <w:shd w:val="clear" w:color="auto" w:fill="auto"/>
          </w:tcPr>
          <w:p w14:paraId="5EA21B36" w14:textId="77777777" w:rsidR="003C66EB" w:rsidRDefault="003C66EB">
            <w:pPr>
              <w:rPr>
                <w:rFonts w:ascii="宋体"/>
                <w:vanish/>
              </w:rPr>
            </w:pPr>
          </w:p>
        </w:tc>
        <w:tc>
          <w:tcPr>
            <w:tcW w:w="0" w:type="auto"/>
            <w:gridSpan w:val="3"/>
            <w:shd w:val="clear" w:color="auto" w:fill="auto"/>
          </w:tcPr>
          <w:p w14:paraId="5EA21B37" w14:textId="77777777" w:rsidR="003C66EB" w:rsidRDefault="003C66EB">
            <w:pPr>
              <w:rPr>
                <w:rFonts w:ascii="宋体"/>
                <w:vanish/>
              </w:rPr>
            </w:pPr>
          </w:p>
        </w:tc>
        <w:tc>
          <w:tcPr>
            <w:tcW w:w="0" w:type="auto"/>
            <w:gridSpan w:val="3"/>
            <w:shd w:val="clear" w:color="auto" w:fill="auto"/>
          </w:tcPr>
          <w:p w14:paraId="5EA21B38" w14:textId="77777777" w:rsidR="003C66EB" w:rsidRDefault="003C66EB">
            <w:pPr>
              <w:rPr>
                <w:rFonts w:ascii="宋体"/>
                <w:vanish/>
              </w:rPr>
            </w:pPr>
          </w:p>
        </w:tc>
        <w:tc>
          <w:tcPr>
            <w:tcW w:w="0" w:type="auto"/>
            <w:gridSpan w:val="3"/>
            <w:shd w:val="clear" w:color="auto" w:fill="auto"/>
          </w:tcPr>
          <w:p w14:paraId="5EA21B39" w14:textId="77777777" w:rsidR="003C66EB" w:rsidRDefault="003C66EB">
            <w:pPr>
              <w:rPr>
                <w:rFonts w:ascii="宋体"/>
                <w:vanish/>
              </w:rPr>
            </w:pPr>
          </w:p>
        </w:tc>
        <w:tc>
          <w:tcPr>
            <w:tcW w:w="0" w:type="auto"/>
            <w:gridSpan w:val="3"/>
            <w:shd w:val="clear" w:color="auto" w:fill="auto"/>
          </w:tcPr>
          <w:p w14:paraId="5EA21B3A" w14:textId="77777777" w:rsidR="003C66EB" w:rsidRDefault="003C66EB">
            <w:pPr>
              <w:rPr>
                <w:rFonts w:ascii="宋体"/>
                <w:vanish/>
              </w:rPr>
            </w:pPr>
          </w:p>
        </w:tc>
        <w:tc>
          <w:tcPr>
            <w:tcW w:w="0" w:type="auto"/>
            <w:gridSpan w:val="3"/>
            <w:shd w:val="clear" w:color="auto" w:fill="auto"/>
          </w:tcPr>
          <w:p w14:paraId="5EA21B3B" w14:textId="77777777" w:rsidR="003C66EB" w:rsidRDefault="003C66EB">
            <w:pPr>
              <w:rPr>
                <w:rFonts w:ascii="宋体"/>
                <w:vanish/>
              </w:rPr>
            </w:pPr>
          </w:p>
        </w:tc>
      </w:tr>
      <w:tr w:rsidR="003C66EB" w14:paraId="5EA21B49" w14:textId="77777777">
        <w:tc>
          <w:tcPr>
            <w:tcW w:w="0" w:type="auto"/>
            <w:gridSpan w:val="3"/>
            <w:shd w:val="clear" w:color="auto" w:fill="auto"/>
            <w:tcMar>
              <w:top w:w="0" w:type="dxa"/>
              <w:left w:w="20" w:type="dxa"/>
              <w:bottom w:w="0" w:type="dxa"/>
              <w:right w:w="20" w:type="dxa"/>
            </w:tcMar>
          </w:tcPr>
          <w:p w14:paraId="5EA21B3D"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1B3E" w14:textId="77777777" w:rsidR="003C66EB" w:rsidRDefault="00D96C4E">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1B3F"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1B40" w14:textId="77777777" w:rsidR="003C66EB" w:rsidRDefault="00D96C4E">
            <w:pPr>
              <w:jc w:val="center"/>
              <w:textAlignment w:val="bottom"/>
            </w:pPr>
            <w:r>
              <w:rPr>
                <w:rFonts w:ascii="Arial" w:eastAsia="宋体" w:hAnsi="Arial" w:cs="Arial"/>
                <w:b/>
                <w:bCs/>
                <w:color w:val="000000"/>
                <w:sz w:val="16"/>
                <w:szCs w:val="16"/>
              </w:rPr>
              <w:t>2020</w:t>
            </w:r>
          </w:p>
        </w:tc>
        <w:tc>
          <w:tcPr>
            <w:tcW w:w="0" w:type="auto"/>
            <w:gridSpan w:val="3"/>
            <w:shd w:val="clear" w:color="auto" w:fill="auto"/>
          </w:tcPr>
          <w:p w14:paraId="5EA21B41" w14:textId="77777777" w:rsidR="003C66EB" w:rsidRDefault="003C66EB">
            <w:pPr>
              <w:rPr>
                <w:rFonts w:ascii="宋体"/>
                <w:vanish/>
              </w:rPr>
            </w:pPr>
          </w:p>
        </w:tc>
        <w:tc>
          <w:tcPr>
            <w:tcW w:w="0" w:type="auto"/>
            <w:gridSpan w:val="3"/>
            <w:shd w:val="clear" w:color="auto" w:fill="auto"/>
          </w:tcPr>
          <w:p w14:paraId="5EA21B42" w14:textId="77777777" w:rsidR="003C66EB" w:rsidRDefault="003C66EB">
            <w:pPr>
              <w:rPr>
                <w:rFonts w:ascii="宋体"/>
                <w:vanish/>
              </w:rPr>
            </w:pPr>
          </w:p>
        </w:tc>
        <w:tc>
          <w:tcPr>
            <w:tcW w:w="0" w:type="auto"/>
            <w:gridSpan w:val="3"/>
            <w:shd w:val="clear" w:color="auto" w:fill="auto"/>
          </w:tcPr>
          <w:p w14:paraId="5EA21B43" w14:textId="77777777" w:rsidR="003C66EB" w:rsidRDefault="003C66EB">
            <w:pPr>
              <w:rPr>
                <w:rFonts w:ascii="宋体"/>
                <w:vanish/>
              </w:rPr>
            </w:pPr>
          </w:p>
        </w:tc>
        <w:tc>
          <w:tcPr>
            <w:tcW w:w="0" w:type="auto"/>
            <w:gridSpan w:val="3"/>
            <w:shd w:val="clear" w:color="auto" w:fill="auto"/>
          </w:tcPr>
          <w:p w14:paraId="5EA21B44" w14:textId="77777777" w:rsidR="003C66EB" w:rsidRDefault="003C66EB">
            <w:pPr>
              <w:rPr>
                <w:rFonts w:ascii="宋体"/>
                <w:vanish/>
              </w:rPr>
            </w:pPr>
          </w:p>
        </w:tc>
        <w:tc>
          <w:tcPr>
            <w:tcW w:w="0" w:type="auto"/>
            <w:gridSpan w:val="3"/>
            <w:shd w:val="clear" w:color="auto" w:fill="auto"/>
          </w:tcPr>
          <w:p w14:paraId="5EA21B45" w14:textId="77777777" w:rsidR="003C66EB" w:rsidRDefault="003C66EB">
            <w:pPr>
              <w:rPr>
                <w:rFonts w:ascii="宋体"/>
                <w:vanish/>
              </w:rPr>
            </w:pPr>
          </w:p>
        </w:tc>
        <w:tc>
          <w:tcPr>
            <w:tcW w:w="0" w:type="auto"/>
            <w:gridSpan w:val="3"/>
            <w:shd w:val="clear" w:color="auto" w:fill="auto"/>
          </w:tcPr>
          <w:p w14:paraId="5EA21B46" w14:textId="77777777" w:rsidR="003C66EB" w:rsidRDefault="003C66EB">
            <w:pPr>
              <w:rPr>
                <w:rFonts w:ascii="宋体"/>
                <w:vanish/>
              </w:rPr>
            </w:pPr>
          </w:p>
        </w:tc>
        <w:tc>
          <w:tcPr>
            <w:tcW w:w="0" w:type="auto"/>
            <w:gridSpan w:val="3"/>
            <w:shd w:val="clear" w:color="auto" w:fill="auto"/>
          </w:tcPr>
          <w:p w14:paraId="5EA21B47" w14:textId="77777777" w:rsidR="003C66EB" w:rsidRDefault="003C66EB">
            <w:pPr>
              <w:rPr>
                <w:rFonts w:ascii="宋体"/>
                <w:vanish/>
              </w:rPr>
            </w:pPr>
          </w:p>
        </w:tc>
        <w:tc>
          <w:tcPr>
            <w:tcW w:w="0" w:type="auto"/>
            <w:gridSpan w:val="3"/>
            <w:shd w:val="clear" w:color="auto" w:fill="auto"/>
          </w:tcPr>
          <w:p w14:paraId="5EA21B48" w14:textId="77777777" w:rsidR="003C66EB" w:rsidRDefault="003C66EB">
            <w:pPr>
              <w:rPr>
                <w:rFonts w:ascii="宋体"/>
                <w:vanish/>
              </w:rPr>
            </w:pPr>
          </w:p>
        </w:tc>
      </w:tr>
      <w:tr w:rsidR="003C66EB" w14:paraId="5EA21B5A" w14:textId="77777777">
        <w:tc>
          <w:tcPr>
            <w:tcW w:w="0" w:type="auto"/>
            <w:gridSpan w:val="3"/>
            <w:shd w:val="clear" w:color="auto" w:fill="auto"/>
            <w:tcMar>
              <w:top w:w="0" w:type="dxa"/>
              <w:left w:w="20" w:type="dxa"/>
              <w:bottom w:w="0" w:type="dxa"/>
              <w:right w:w="20" w:type="dxa"/>
            </w:tcMar>
          </w:tcPr>
          <w:p w14:paraId="5EA21B4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B4B" w14:textId="77777777" w:rsidR="003C66EB" w:rsidRDefault="00D96C4E">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B4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B4D" w14:textId="77777777" w:rsidR="003C66EB" w:rsidRDefault="00D96C4E">
            <w:pPr>
              <w:jc w:val="center"/>
              <w:textAlignment w:val="bottom"/>
            </w:pPr>
            <w:r>
              <w:rPr>
                <w:rFonts w:ascii="Arial" w:eastAsia="宋体" w:hAnsi="Arial" w:cs="Arial"/>
                <w:b/>
                <w:bCs/>
                <w:color w:val="000000"/>
                <w:sz w:val="16"/>
                <w:szCs w:val="16"/>
              </w:rPr>
              <w:t>Total</w:t>
            </w:r>
            <w:r>
              <w:rPr>
                <w:rFonts w:ascii="Arial" w:eastAsia="宋体" w:hAnsi="Arial" w:cs="Arial"/>
                <w:b/>
                <w:bCs/>
                <w:color w:val="000000"/>
                <w:sz w:val="16"/>
                <w:szCs w:val="16"/>
              </w:rPr>
              <w:br/>
              <w:t>(In millions)</w:t>
            </w:r>
          </w:p>
        </w:tc>
        <w:tc>
          <w:tcPr>
            <w:tcW w:w="0" w:type="auto"/>
            <w:gridSpan w:val="3"/>
            <w:shd w:val="clear" w:color="auto" w:fill="auto"/>
            <w:tcMar>
              <w:top w:w="0" w:type="dxa"/>
              <w:left w:w="20" w:type="dxa"/>
              <w:bottom w:w="0" w:type="dxa"/>
              <w:right w:w="20" w:type="dxa"/>
            </w:tcMar>
          </w:tcPr>
          <w:p w14:paraId="5EA21B4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B4F" w14:textId="77777777" w:rsidR="003C66EB" w:rsidRDefault="00D96C4E">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1B5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B51" w14:textId="77777777" w:rsidR="003C66EB" w:rsidRDefault="00D96C4E">
            <w:pPr>
              <w:jc w:val="center"/>
              <w:textAlignment w:val="bottom"/>
            </w:pPr>
            <w:r>
              <w:rPr>
                <w:rFonts w:ascii="Arial" w:eastAsia="宋体" w:hAnsi="Arial" w:cs="Arial"/>
                <w:b/>
                <w:bCs/>
                <w:color w:val="000000"/>
                <w:sz w:val="16"/>
                <w:szCs w:val="16"/>
              </w:rPr>
              <w:t>Total</w:t>
            </w:r>
            <w:r>
              <w:rPr>
                <w:rFonts w:ascii="Arial" w:eastAsia="宋体" w:hAnsi="Arial" w:cs="Arial"/>
                <w:b/>
                <w:bCs/>
                <w:color w:val="000000"/>
                <w:sz w:val="16"/>
                <w:szCs w:val="16"/>
              </w:rPr>
              <w:br/>
              <w:t>(In millions)</w:t>
            </w:r>
          </w:p>
        </w:tc>
        <w:tc>
          <w:tcPr>
            <w:tcW w:w="0" w:type="auto"/>
            <w:gridSpan w:val="3"/>
            <w:shd w:val="clear" w:color="auto" w:fill="auto"/>
          </w:tcPr>
          <w:p w14:paraId="5EA21B52" w14:textId="77777777" w:rsidR="003C66EB" w:rsidRDefault="003C66EB">
            <w:pPr>
              <w:rPr>
                <w:rFonts w:ascii="宋体"/>
                <w:vanish/>
              </w:rPr>
            </w:pPr>
          </w:p>
        </w:tc>
        <w:tc>
          <w:tcPr>
            <w:tcW w:w="0" w:type="auto"/>
            <w:gridSpan w:val="3"/>
            <w:shd w:val="clear" w:color="auto" w:fill="auto"/>
          </w:tcPr>
          <w:p w14:paraId="5EA21B53" w14:textId="77777777" w:rsidR="003C66EB" w:rsidRDefault="003C66EB">
            <w:pPr>
              <w:rPr>
                <w:rFonts w:ascii="宋体"/>
                <w:vanish/>
              </w:rPr>
            </w:pPr>
          </w:p>
        </w:tc>
        <w:tc>
          <w:tcPr>
            <w:tcW w:w="0" w:type="auto"/>
            <w:gridSpan w:val="3"/>
            <w:shd w:val="clear" w:color="auto" w:fill="auto"/>
          </w:tcPr>
          <w:p w14:paraId="5EA21B54" w14:textId="77777777" w:rsidR="003C66EB" w:rsidRDefault="003C66EB">
            <w:pPr>
              <w:rPr>
                <w:rFonts w:ascii="宋体"/>
                <w:vanish/>
              </w:rPr>
            </w:pPr>
          </w:p>
        </w:tc>
        <w:tc>
          <w:tcPr>
            <w:tcW w:w="0" w:type="auto"/>
            <w:gridSpan w:val="3"/>
            <w:shd w:val="clear" w:color="auto" w:fill="auto"/>
          </w:tcPr>
          <w:p w14:paraId="5EA21B55" w14:textId="77777777" w:rsidR="003C66EB" w:rsidRDefault="003C66EB">
            <w:pPr>
              <w:rPr>
                <w:rFonts w:ascii="宋体"/>
                <w:vanish/>
              </w:rPr>
            </w:pPr>
          </w:p>
        </w:tc>
        <w:tc>
          <w:tcPr>
            <w:tcW w:w="0" w:type="auto"/>
            <w:gridSpan w:val="3"/>
            <w:shd w:val="clear" w:color="auto" w:fill="auto"/>
          </w:tcPr>
          <w:p w14:paraId="5EA21B56" w14:textId="77777777" w:rsidR="003C66EB" w:rsidRDefault="003C66EB">
            <w:pPr>
              <w:rPr>
                <w:rFonts w:ascii="宋体"/>
                <w:vanish/>
              </w:rPr>
            </w:pPr>
          </w:p>
        </w:tc>
        <w:tc>
          <w:tcPr>
            <w:tcW w:w="0" w:type="auto"/>
            <w:gridSpan w:val="3"/>
            <w:shd w:val="clear" w:color="auto" w:fill="auto"/>
          </w:tcPr>
          <w:p w14:paraId="5EA21B57" w14:textId="77777777" w:rsidR="003C66EB" w:rsidRDefault="003C66EB">
            <w:pPr>
              <w:rPr>
                <w:rFonts w:ascii="宋体"/>
                <w:vanish/>
              </w:rPr>
            </w:pPr>
          </w:p>
        </w:tc>
        <w:tc>
          <w:tcPr>
            <w:tcW w:w="0" w:type="auto"/>
            <w:gridSpan w:val="3"/>
            <w:shd w:val="clear" w:color="auto" w:fill="auto"/>
          </w:tcPr>
          <w:p w14:paraId="5EA21B58" w14:textId="77777777" w:rsidR="003C66EB" w:rsidRDefault="003C66EB">
            <w:pPr>
              <w:rPr>
                <w:rFonts w:ascii="宋体"/>
                <w:vanish/>
              </w:rPr>
            </w:pPr>
          </w:p>
        </w:tc>
        <w:tc>
          <w:tcPr>
            <w:tcW w:w="0" w:type="auto"/>
            <w:gridSpan w:val="3"/>
            <w:shd w:val="clear" w:color="auto" w:fill="auto"/>
          </w:tcPr>
          <w:p w14:paraId="5EA21B59" w14:textId="77777777" w:rsidR="003C66EB" w:rsidRDefault="003C66EB">
            <w:pPr>
              <w:rPr>
                <w:rFonts w:ascii="宋体"/>
                <w:vanish/>
              </w:rPr>
            </w:pPr>
          </w:p>
        </w:tc>
      </w:tr>
      <w:tr w:rsidR="003C66EB" w14:paraId="5EA21B73" w14:textId="77777777">
        <w:tc>
          <w:tcPr>
            <w:tcW w:w="0" w:type="auto"/>
            <w:gridSpan w:val="3"/>
            <w:shd w:val="clear" w:color="auto" w:fill="CCEEFF"/>
            <w:tcMar>
              <w:top w:w="40" w:type="dxa"/>
              <w:left w:w="20" w:type="dxa"/>
              <w:bottom w:w="40" w:type="dxa"/>
              <w:right w:w="20" w:type="dxa"/>
            </w:tcMar>
            <w:vAlign w:val="bottom"/>
          </w:tcPr>
          <w:p w14:paraId="5EA21B5B" w14:textId="77777777" w:rsidR="003C66EB" w:rsidRDefault="00D96C4E">
            <w:pPr>
              <w:textAlignment w:val="bottom"/>
            </w:pPr>
            <w:r>
              <w:rPr>
                <w:rFonts w:ascii="Arial" w:eastAsia="宋体" w:hAnsi="Arial" w:cs="Arial"/>
                <w:color w:val="000000"/>
                <w:sz w:val="16"/>
                <w:szCs w:val="16"/>
              </w:rPr>
              <w:t>Common Stoc</w:t>
            </w:r>
            <w:r>
              <w:rPr>
                <w:rFonts w:ascii="Arial" w:eastAsia="宋体" w:hAnsi="Arial" w:cs="Arial"/>
                <w:color w:val="000000"/>
                <w:sz w:val="16"/>
                <w:szCs w:val="16"/>
              </w:rPr>
              <w:t>k</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1B5C"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B5D" w14:textId="77777777" w:rsidR="003C66EB" w:rsidRDefault="00D96C4E">
            <w:pPr>
              <w:jc w:val="right"/>
              <w:textAlignment w:val="bottom"/>
            </w:pPr>
            <w:r>
              <w:rPr>
                <w:rFonts w:ascii="Arial" w:eastAsia="宋体" w:hAnsi="Arial" w:cs="Arial"/>
                <w:b/>
                <w:bCs/>
                <w:color w:val="000000"/>
                <w:sz w:val="16"/>
                <w:szCs w:val="16"/>
              </w:rPr>
              <w:t>0.52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B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B5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B60"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B61" w14:textId="77777777" w:rsidR="003C66EB" w:rsidRDefault="00D96C4E">
            <w:pPr>
              <w:jc w:val="right"/>
              <w:textAlignment w:val="bottom"/>
            </w:pPr>
            <w:r>
              <w:rPr>
                <w:rFonts w:ascii="Arial" w:eastAsia="宋体" w:hAnsi="Arial" w:cs="Arial"/>
                <w:b/>
                <w:bCs/>
                <w:color w:val="000000"/>
                <w:sz w:val="16"/>
                <w:szCs w:val="16"/>
              </w:rPr>
              <w:t>182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B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B6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B64"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B65" w14:textId="77777777" w:rsidR="003C66EB" w:rsidRDefault="00D96C4E">
            <w:pPr>
              <w:jc w:val="right"/>
              <w:textAlignment w:val="bottom"/>
            </w:pPr>
            <w:r>
              <w:rPr>
                <w:rFonts w:ascii="Arial" w:eastAsia="宋体" w:hAnsi="Arial" w:cs="Arial"/>
                <w:color w:val="000000"/>
                <w:sz w:val="16"/>
                <w:szCs w:val="16"/>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B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B6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B68"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B69" w14:textId="77777777" w:rsidR="003C66EB" w:rsidRDefault="00D96C4E">
            <w:pPr>
              <w:jc w:val="right"/>
              <w:textAlignment w:val="bottom"/>
            </w:pPr>
            <w:r>
              <w:rPr>
                <w:rFonts w:ascii="Arial" w:eastAsia="宋体" w:hAnsi="Arial" w:cs="Arial"/>
                <w:color w:val="000000"/>
                <w:sz w:val="16"/>
                <w:szCs w:val="16"/>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B6A" w14:textId="77777777" w:rsidR="003C66EB" w:rsidRDefault="003C66EB">
            <w:pPr>
              <w:jc w:val="right"/>
              <w:rPr>
                <w:rFonts w:ascii="宋体"/>
              </w:rPr>
            </w:pPr>
          </w:p>
        </w:tc>
        <w:tc>
          <w:tcPr>
            <w:tcW w:w="0" w:type="auto"/>
            <w:gridSpan w:val="3"/>
            <w:shd w:val="clear" w:color="auto" w:fill="auto"/>
          </w:tcPr>
          <w:p w14:paraId="5EA21B6B" w14:textId="77777777" w:rsidR="003C66EB" w:rsidRDefault="003C66EB">
            <w:pPr>
              <w:rPr>
                <w:rFonts w:ascii="宋体"/>
                <w:vanish/>
              </w:rPr>
            </w:pPr>
          </w:p>
        </w:tc>
        <w:tc>
          <w:tcPr>
            <w:tcW w:w="0" w:type="auto"/>
            <w:gridSpan w:val="3"/>
            <w:shd w:val="clear" w:color="auto" w:fill="auto"/>
          </w:tcPr>
          <w:p w14:paraId="5EA21B6C" w14:textId="77777777" w:rsidR="003C66EB" w:rsidRDefault="003C66EB">
            <w:pPr>
              <w:rPr>
                <w:rFonts w:ascii="宋体"/>
                <w:vanish/>
              </w:rPr>
            </w:pPr>
          </w:p>
        </w:tc>
        <w:tc>
          <w:tcPr>
            <w:tcW w:w="0" w:type="auto"/>
            <w:gridSpan w:val="3"/>
            <w:shd w:val="clear" w:color="auto" w:fill="auto"/>
          </w:tcPr>
          <w:p w14:paraId="5EA21B6D" w14:textId="77777777" w:rsidR="003C66EB" w:rsidRDefault="003C66EB">
            <w:pPr>
              <w:rPr>
                <w:rFonts w:ascii="宋体"/>
                <w:vanish/>
              </w:rPr>
            </w:pPr>
          </w:p>
        </w:tc>
        <w:tc>
          <w:tcPr>
            <w:tcW w:w="0" w:type="auto"/>
            <w:gridSpan w:val="3"/>
            <w:shd w:val="clear" w:color="auto" w:fill="auto"/>
          </w:tcPr>
          <w:p w14:paraId="5EA21B6E" w14:textId="77777777" w:rsidR="003C66EB" w:rsidRDefault="003C66EB">
            <w:pPr>
              <w:rPr>
                <w:rFonts w:ascii="宋体"/>
                <w:vanish/>
              </w:rPr>
            </w:pPr>
          </w:p>
        </w:tc>
        <w:tc>
          <w:tcPr>
            <w:tcW w:w="0" w:type="auto"/>
            <w:gridSpan w:val="3"/>
            <w:shd w:val="clear" w:color="auto" w:fill="auto"/>
          </w:tcPr>
          <w:p w14:paraId="5EA21B6F" w14:textId="77777777" w:rsidR="003C66EB" w:rsidRDefault="003C66EB">
            <w:pPr>
              <w:rPr>
                <w:rFonts w:ascii="宋体"/>
                <w:vanish/>
              </w:rPr>
            </w:pPr>
          </w:p>
        </w:tc>
        <w:tc>
          <w:tcPr>
            <w:tcW w:w="0" w:type="auto"/>
            <w:gridSpan w:val="3"/>
            <w:shd w:val="clear" w:color="auto" w:fill="auto"/>
          </w:tcPr>
          <w:p w14:paraId="5EA21B70" w14:textId="77777777" w:rsidR="003C66EB" w:rsidRDefault="003C66EB">
            <w:pPr>
              <w:rPr>
                <w:rFonts w:ascii="宋体"/>
                <w:vanish/>
              </w:rPr>
            </w:pPr>
          </w:p>
        </w:tc>
        <w:tc>
          <w:tcPr>
            <w:tcW w:w="0" w:type="auto"/>
            <w:gridSpan w:val="3"/>
            <w:shd w:val="clear" w:color="auto" w:fill="auto"/>
          </w:tcPr>
          <w:p w14:paraId="5EA21B71" w14:textId="77777777" w:rsidR="003C66EB" w:rsidRDefault="003C66EB">
            <w:pPr>
              <w:rPr>
                <w:rFonts w:ascii="宋体"/>
                <w:vanish/>
              </w:rPr>
            </w:pPr>
          </w:p>
        </w:tc>
        <w:tc>
          <w:tcPr>
            <w:tcW w:w="0" w:type="auto"/>
            <w:gridSpan w:val="3"/>
            <w:shd w:val="clear" w:color="auto" w:fill="auto"/>
          </w:tcPr>
          <w:p w14:paraId="5EA21B72" w14:textId="77777777" w:rsidR="003C66EB" w:rsidRDefault="003C66EB">
            <w:pPr>
              <w:rPr>
                <w:rFonts w:ascii="宋体"/>
                <w:vanish/>
              </w:rPr>
            </w:pPr>
          </w:p>
        </w:tc>
      </w:tr>
      <w:tr w:rsidR="003C66EB" w14:paraId="5EA21B84" w14:textId="77777777">
        <w:trPr>
          <w:hidden/>
        </w:trPr>
        <w:tc>
          <w:tcPr>
            <w:tcW w:w="0" w:type="auto"/>
            <w:gridSpan w:val="3"/>
            <w:shd w:val="clear" w:color="auto" w:fill="auto"/>
          </w:tcPr>
          <w:p w14:paraId="5EA21B74" w14:textId="77777777" w:rsidR="003C66EB" w:rsidRDefault="003C66EB">
            <w:pPr>
              <w:rPr>
                <w:rFonts w:ascii="宋体"/>
                <w:vanish/>
              </w:rPr>
            </w:pPr>
          </w:p>
        </w:tc>
        <w:tc>
          <w:tcPr>
            <w:tcW w:w="0" w:type="auto"/>
            <w:gridSpan w:val="3"/>
            <w:shd w:val="clear" w:color="auto" w:fill="auto"/>
          </w:tcPr>
          <w:p w14:paraId="5EA21B75" w14:textId="77777777" w:rsidR="003C66EB" w:rsidRDefault="003C66EB">
            <w:pPr>
              <w:rPr>
                <w:rFonts w:ascii="宋体"/>
                <w:vanish/>
              </w:rPr>
            </w:pPr>
          </w:p>
        </w:tc>
        <w:tc>
          <w:tcPr>
            <w:tcW w:w="0" w:type="auto"/>
            <w:gridSpan w:val="3"/>
            <w:shd w:val="clear" w:color="auto" w:fill="auto"/>
          </w:tcPr>
          <w:p w14:paraId="5EA21B76" w14:textId="77777777" w:rsidR="003C66EB" w:rsidRDefault="003C66EB">
            <w:pPr>
              <w:rPr>
                <w:rFonts w:ascii="宋体"/>
                <w:vanish/>
              </w:rPr>
            </w:pPr>
          </w:p>
        </w:tc>
        <w:tc>
          <w:tcPr>
            <w:tcW w:w="0" w:type="auto"/>
            <w:gridSpan w:val="3"/>
            <w:shd w:val="clear" w:color="auto" w:fill="auto"/>
          </w:tcPr>
          <w:p w14:paraId="5EA21B77" w14:textId="77777777" w:rsidR="003C66EB" w:rsidRDefault="003C66EB">
            <w:pPr>
              <w:rPr>
                <w:rFonts w:ascii="宋体"/>
                <w:vanish/>
              </w:rPr>
            </w:pPr>
          </w:p>
        </w:tc>
        <w:tc>
          <w:tcPr>
            <w:tcW w:w="0" w:type="auto"/>
            <w:gridSpan w:val="3"/>
            <w:shd w:val="clear" w:color="auto" w:fill="auto"/>
          </w:tcPr>
          <w:p w14:paraId="5EA21B78" w14:textId="77777777" w:rsidR="003C66EB" w:rsidRDefault="003C66EB">
            <w:pPr>
              <w:rPr>
                <w:rFonts w:ascii="宋体"/>
                <w:vanish/>
              </w:rPr>
            </w:pPr>
          </w:p>
        </w:tc>
        <w:tc>
          <w:tcPr>
            <w:tcW w:w="0" w:type="auto"/>
            <w:gridSpan w:val="3"/>
            <w:shd w:val="clear" w:color="auto" w:fill="auto"/>
          </w:tcPr>
          <w:p w14:paraId="5EA21B79" w14:textId="77777777" w:rsidR="003C66EB" w:rsidRDefault="003C66EB">
            <w:pPr>
              <w:rPr>
                <w:rFonts w:ascii="宋体"/>
                <w:vanish/>
              </w:rPr>
            </w:pPr>
          </w:p>
        </w:tc>
        <w:tc>
          <w:tcPr>
            <w:tcW w:w="0" w:type="auto"/>
            <w:gridSpan w:val="3"/>
            <w:shd w:val="clear" w:color="auto" w:fill="auto"/>
          </w:tcPr>
          <w:p w14:paraId="5EA21B7A" w14:textId="77777777" w:rsidR="003C66EB" w:rsidRDefault="003C66EB">
            <w:pPr>
              <w:rPr>
                <w:rFonts w:ascii="宋体"/>
                <w:vanish/>
              </w:rPr>
            </w:pPr>
          </w:p>
        </w:tc>
        <w:tc>
          <w:tcPr>
            <w:tcW w:w="0" w:type="auto"/>
            <w:gridSpan w:val="3"/>
            <w:shd w:val="clear" w:color="auto" w:fill="auto"/>
          </w:tcPr>
          <w:p w14:paraId="5EA21B7B" w14:textId="77777777" w:rsidR="003C66EB" w:rsidRDefault="003C66EB">
            <w:pPr>
              <w:rPr>
                <w:rFonts w:ascii="宋体"/>
                <w:vanish/>
              </w:rPr>
            </w:pPr>
          </w:p>
        </w:tc>
        <w:tc>
          <w:tcPr>
            <w:tcW w:w="0" w:type="auto"/>
            <w:gridSpan w:val="3"/>
            <w:shd w:val="clear" w:color="auto" w:fill="auto"/>
          </w:tcPr>
          <w:p w14:paraId="5EA21B7C" w14:textId="77777777" w:rsidR="003C66EB" w:rsidRDefault="003C66EB">
            <w:pPr>
              <w:rPr>
                <w:rFonts w:ascii="宋体"/>
                <w:vanish/>
              </w:rPr>
            </w:pPr>
          </w:p>
        </w:tc>
        <w:tc>
          <w:tcPr>
            <w:tcW w:w="0" w:type="auto"/>
            <w:gridSpan w:val="3"/>
            <w:shd w:val="clear" w:color="auto" w:fill="auto"/>
          </w:tcPr>
          <w:p w14:paraId="5EA21B7D" w14:textId="77777777" w:rsidR="003C66EB" w:rsidRDefault="003C66EB">
            <w:pPr>
              <w:rPr>
                <w:rFonts w:ascii="宋体"/>
                <w:vanish/>
              </w:rPr>
            </w:pPr>
          </w:p>
        </w:tc>
        <w:tc>
          <w:tcPr>
            <w:tcW w:w="0" w:type="auto"/>
            <w:gridSpan w:val="3"/>
            <w:shd w:val="clear" w:color="auto" w:fill="auto"/>
          </w:tcPr>
          <w:p w14:paraId="5EA21B7E" w14:textId="77777777" w:rsidR="003C66EB" w:rsidRDefault="003C66EB">
            <w:pPr>
              <w:rPr>
                <w:rFonts w:ascii="宋体"/>
                <w:vanish/>
              </w:rPr>
            </w:pPr>
          </w:p>
        </w:tc>
        <w:tc>
          <w:tcPr>
            <w:tcW w:w="0" w:type="auto"/>
            <w:gridSpan w:val="3"/>
            <w:shd w:val="clear" w:color="auto" w:fill="auto"/>
          </w:tcPr>
          <w:p w14:paraId="5EA21B7F" w14:textId="77777777" w:rsidR="003C66EB" w:rsidRDefault="003C66EB">
            <w:pPr>
              <w:rPr>
                <w:rFonts w:ascii="宋体"/>
                <w:vanish/>
              </w:rPr>
            </w:pPr>
          </w:p>
        </w:tc>
        <w:tc>
          <w:tcPr>
            <w:tcW w:w="0" w:type="auto"/>
            <w:gridSpan w:val="3"/>
            <w:shd w:val="clear" w:color="auto" w:fill="auto"/>
          </w:tcPr>
          <w:p w14:paraId="5EA21B80" w14:textId="77777777" w:rsidR="003C66EB" w:rsidRDefault="003C66EB">
            <w:pPr>
              <w:rPr>
                <w:rFonts w:ascii="宋体"/>
                <w:vanish/>
              </w:rPr>
            </w:pPr>
          </w:p>
        </w:tc>
        <w:tc>
          <w:tcPr>
            <w:tcW w:w="0" w:type="auto"/>
            <w:gridSpan w:val="3"/>
            <w:shd w:val="clear" w:color="auto" w:fill="auto"/>
          </w:tcPr>
          <w:p w14:paraId="5EA21B81" w14:textId="77777777" w:rsidR="003C66EB" w:rsidRDefault="003C66EB">
            <w:pPr>
              <w:rPr>
                <w:rFonts w:ascii="宋体"/>
                <w:vanish/>
              </w:rPr>
            </w:pPr>
          </w:p>
        </w:tc>
        <w:tc>
          <w:tcPr>
            <w:tcW w:w="0" w:type="auto"/>
            <w:gridSpan w:val="3"/>
            <w:shd w:val="clear" w:color="auto" w:fill="auto"/>
          </w:tcPr>
          <w:p w14:paraId="5EA21B82" w14:textId="77777777" w:rsidR="003C66EB" w:rsidRDefault="003C66EB">
            <w:pPr>
              <w:rPr>
                <w:rFonts w:ascii="宋体"/>
                <w:vanish/>
              </w:rPr>
            </w:pPr>
          </w:p>
        </w:tc>
        <w:tc>
          <w:tcPr>
            <w:tcW w:w="0" w:type="auto"/>
            <w:gridSpan w:val="3"/>
            <w:shd w:val="clear" w:color="auto" w:fill="auto"/>
          </w:tcPr>
          <w:p w14:paraId="5EA21B83" w14:textId="77777777" w:rsidR="003C66EB" w:rsidRDefault="003C66EB">
            <w:pPr>
              <w:rPr>
                <w:rFonts w:ascii="宋体"/>
                <w:vanish/>
              </w:rPr>
            </w:pPr>
          </w:p>
        </w:tc>
      </w:tr>
      <w:tr w:rsidR="003C66EB" w14:paraId="5EA21B95" w14:textId="77777777">
        <w:trPr>
          <w:hidden/>
        </w:trPr>
        <w:tc>
          <w:tcPr>
            <w:tcW w:w="0" w:type="auto"/>
            <w:gridSpan w:val="3"/>
            <w:shd w:val="clear" w:color="auto" w:fill="auto"/>
          </w:tcPr>
          <w:p w14:paraId="5EA21B85" w14:textId="77777777" w:rsidR="003C66EB" w:rsidRDefault="003C66EB">
            <w:pPr>
              <w:rPr>
                <w:rFonts w:ascii="宋体"/>
                <w:vanish/>
              </w:rPr>
            </w:pPr>
          </w:p>
        </w:tc>
        <w:tc>
          <w:tcPr>
            <w:tcW w:w="0" w:type="auto"/>
            <w:gridSpan w:val="3"/>
            <w:shd w:val="clear" w:color="auto" w:fill="auto"/>
          </w:tcPr>
          <w:p w14:paraId="5EA21B86" w14:textId="77777777" w:rsidR="003C66EB" w:rsidRDefault="003C66EB">
            <w:pPr>
              <w:rPr>
                <w:rFonts w:ascii="宋体"/>
                <w:vanish/>
              </w:rPr>
            </w:pPr>
          </w:p>
        </w:tc>
        <w:tc>
          <w:tcPr>
            <w:tcW w:w="0" w:type="auto"/>
            <w:gridSpan w:val="3"/>
            <w:shd w:val="clear" w:color="auto" w:fill="auto"/>
          </w:tcPr>
          <w:p w14:paraId="5EA21B87" w14:textId="77777777" w:rsidR="003C66EB" w:rsidRDefault="003C66EB">
            <w:pPr>
              <w:rPr>
                <w:rFonts w:ascii="宋体"/>
                <w:vanish/>
              </w:rPr>
            </w:pPr>
          </w:p>
        </w:tc>
        <w:tc>
          <w:tcPr>
            <w:tcW w:w="0" w:type="auto"/>
            <w:gridSpan w:val="3"/>
            <w:shd w:val="clear" w:color="auto" w:fill="auto"/>
          </w:tcPr>
          <w:p w14:paraId="5EA21B88" w14:textId="77777777" w:rsidR="003C66EB" w:rsidRDefault="003C66EB">
            <w:pPr>
              <w:rPr>
                <w:rFonts w:ascii="宋体"/>
                <w:vanish/>
              </w:rPr>
            </w:pPr>
          </w:p>
        </w:tc>
        <w:tc>
          <w:tcPr>
            <w:tcW w:w="0" w:type="auto"/>
            <w:gridSpan w:val="3"/>
            <w:shd w:val="clear" w:color="auto" w:fill="auto"/>
          </w:tcPr>
          <w:p w14:paraId="5EA21B89" w14:textId="77777777" w:rsidR="003C66EB" w:rsidRDefault="003C66EB">
            <w:pPr>
              <w:rPr>
                <w:rFonts w:ascii="宋体"/>
                <w:vanish/>
              </w:rPr>
            </w:pPr>
          </w:p>
        </w:tc>
        <w:tc>
          <w:tcPr>
            <w:tcW w:w="0" w:type="auto"/>
            <w:gridSpan w:val="3"/>
            <w:shd w:val="clear" w:color="auto" w:fill="auto"/>
          </w:tcPr>
          <w:p w14:paraId="5EA21B8A" w14:textId="77777777" w:rsidR="003C66EB" w:rsidRDefault="003C66EB">
            <w:pPr>
              <w:rPr>
                <w:rFonts w:ascii="宋体"/>
                <w:vanish/>
              </w:rPr>
            </w:pPr>
          </w:p>
        </w:tc>
        <w:tc>
          <w:tcPr>
            <w:tcW w:w="0" w:type="auto"/>
            <w:gridSpan w:val="3"/>
            <w:shd w:val="clear" w:color="auto" w:fill="auto"/>
          </w:tcPr>
          <w:p w14:paraId="5EA21B8B" w14:textId="77777777" w:rsidR="003C66EB" w:rsidRDefault="003C66EB">
            <w:pPr>
              <w:rPr>
                <w:rFonts w:ascii="宋体"/>
                <w:vanish/>
              </w:rPr>
            </w:pPr>
          </w:p>
        </w:tc>
        <w:tc>
          <w:tcPr>
            <w:tcW w:w="0" w:type="auto"/>
            <w:gridSpan w:val="3"/>
            <w:shd w:val="clear" w:color="auto" w:fill="auto"/>
          </w:tcPr>
          <w:p w14:paraId="5EA21B8C" w14:textId="77777777" w:rsidR="003C66EB" w:rsidRDefault="003C66EB">
            <w:pPr>
              <w:rPr>
                <w:rFonts w:ascii="宋体"/>
                <w:vanish/>
              </w:rPr>
            </w:pPr>
          </w:p>
        </w:tc>
        <w:tc>
          <w:tcPr>
            <w:tcW w:w="0" w:type="auto"/>
            <w:gridSpan w:val="3"/>
            <w:shd w:val="clear" w:color="auto" w:fill="auto"/>
          </w:tcPr>
          <w:p w14:paraId="5EA21B8D" w14:textId="77777777" w:rsidR="003C66EB" w:rsidRDefault="003C66EB">
            <w:pPr>
              <w:rPr>
                <w:rFonts w:ascii="宋体"/>
                <w:vanish/>
              </w:rPr>
            </w:pPr>
          </w:p>
        </w:tc>
        <w:tc>
          <w:tcPr>
            <w:tcW w:w="0" w:type="auto"/>
            <w:gridSpan w:val="3"/>
            <w:shd w:val="clear" w:color="auto" w:fill="auto"/>
          </w:tcPr>
          <w:p w14:paraId="5EA21B8E" w14:textId="77777777" w:rsidR="003C66EB" w:rsidRDefault="003C66EB">
            <w:pPr>
              <w:rPr>
                <w:rFonts w:ascii="宋体"/>
                <w:vanish/>
              </w:rPr>
            </w:pPr>
          </w:p>
        </w:tc>
        <w:tc>
          <w:tcPr>
            <w:tcW w:w="0" w:type="auto"/>
            <w:gridSpan w:val="3"/>
            <w:shd w:val="clear" w:color="auto" w:fill="auto"/>
          </w:tcPr>
          <w:p w14:paraId="5EA21B8F" w14:textId="77777777" w:rsidR="003C66EB" w:rsidRDefault="003C66EB">
            <w:pPr>
              <w:rPr>
                <w:rFonts w:ascii="宋体"/>
                <w:vanish/>
              </w:rPr>
            </w:pPr>
          </w:p>
        </w:tc>
        <w:tc>
          <w:tcPr>
            <w:tcW w:w="0" w:type="auto"/>
            <w:gridSpan w:val="3"/>
            <w:shd w:val="clear" w:color="auto" w:fill="auto"/>
          </w:tcPr>
          <w:p w14:paraId="5EA21B90" w14:textId="77777777" w:rsidR="003C66EB" w:rsidRDefault="003C66EB">
            <w:pPr>
              <w:rPr>
                <w:rFonts w:ascii="宋体"/>
                <w:vanish/>
              </w:rPr>
            </w:pPr>
          </w:p>
        </w:tc>
        <w:tc>
          <w:tcPr>
            <w:tcW w:w="0" w:type="auto"/>
            <w:gridSpan w:val="3"/>
            <w:shd w:val="clear" w:color="auto" w:fill="auto"/>
          </w:tcPr>
          <w:p w14:paraId="5EA21B91" w14:textId="77777777" w:rsidR="003C66EB" w:rsidRDefault="003C66EB">
            <w:pPr>
              <w:rPr>
                <w:rFonts w:ascii="宋体"/>
                <w:vanish/>
              </w:rPr>
            </w:pPr>
          </w:p>
        </w:tc>
        <w:tc>
          <w:tcPr>
            <w:tcW w:w="0" w:type="auto"/>
            <w:gridSpan w:val="3"/>
            <w:shd w:val="clear" w:color="auto" w:fill="auto"/>
          </w:tcPr>
          <w:p w14:paraId="5EA21B92" w14:textId="77777777" w:rsidR="003C66EB" w:rsidRDefault="003C66EB">
            <w:pPr>
              <w:rPr>
                <w:rFonts w:ascii="宋体"/>
                <w:vanish/>
              </w:rPr>
            </w:pPr>
          </w:p>
        </w:tc>
        <w:tc>
          <w:tcPr>
            <w:tcW w:w="0" w:type="auto"/>
            <w:gridSpan w:val="3"/>
            <w:shd w:val="clear" w:color="auto" w:fill="auto"/>
          </w:tcPr>
          <w:p w14:paraId="5EA21B93" w14:textId="77777777" w:rsidR="003C66EB" w:rsidRDefault="003C66EB">
            <w:pPr>
              <w:rPr>
                <w:rFonts w:ascii="宋体"/>
                <w:vanish/>
              </w:rPr>
            </w:pPr>
          </w:p>
        </w:tc>
        <w:tc>
          <w:tcPr>
            <w:tcW w:w="0" w:type="auto"/>
            <w:gridSpan w:val="3"/>
            <w:shd w:val="clear" w:color="auto" w:fill="auto"/>
          </w:tcPr>
          <w:p w14:paraId="5EA21B94" w14:textId="77777777" w:rsidR="003C66EB" w:rsidRDefault="003C66EB">
            <w:pPr>
              <w:rPr>
                <w:rFonts w:ascii="宋体"/>
                <w:vanish/>
              </w:rPr>
            </w:pPr>
          </w:p>
        </w:tc>
      </w:tr>
    </w:tbl>
    <w:p w14:paraId="5EA21B96" w14:textId="77777777" w:rsidR="003C66EB" w:rsidRDefault="00D96C4E">
      <w:pPr>
        <w:ind w:firstLine="450"/>
        <w:jc w:val="right"/>
      </w:pPr>
      <w:r>
        <w:rPr>
          <w:rFonts w:ascii="Arial" w:eastAsia="宋体" w:hAnsi="Arial" w:cs="Arial"/>
          <w:color w:val="000000"/>
          <w:sz w:val="18"/>
          <w:szCs w:val="18"/>
        </w:rPr>
        <w:t>State Street Corporation | 45</w:t>
      </w:r>
    </w:p>
    <w:p w14:paraId="5EA21B97" w14:textId="77777777" w:rsidR="003C66EB" w:rsidRDefault="003C66EB">
      <w:pPr>
        <w:ind w:firstLine="450"/>
        <w:jc w:val="center"/>
      </w:pPr>
    </w:p>
    <w:p w14:paraId="5EA21B98" w14:textId="77777777" w:rsidR="003C66EB" w:rsidRDefault="00D96C4E">
      <w:r>
        <w:pict w14:anchorId="5EA287DD">
          <v:rect id="_x0000_i1069" style="width:415.3pt;height:1.5pt" o:hralign="center" o:hrstd="t" o:hr="t" fillcolor="#a0a0a0" stroked="f"/>
        </w:pict>
      </w:r>
    </w:p>
    <w:p w14:paraId="5EA21B99" w14:textId="77777777" w:rsidR="003C66EB" w:rsidRDefault="00D96C4E">
      <w:pPr>
        <w:ind w:firstLine="450"/>
        <w:jc w:val="center"/>
      </w:pPr>
      <w:r>
        <w:rPr>
          <w:rFonts w:ascii="Arial" w:eastAsia="宋体" w:hAnsi="Arial" w:cs="Arial"/>
          <w:b/>
          <w:bCs/>
          <w:color w:val="000000"/>
          <w:sz w:val="20"/>
          <w:szCs w:val="20"/>
        </w:rPr>
        <w:t>MANAGEMENT’S DISCUSSION AND ANALYSIS OF FINANCIAL CONDITION</w:t>
      </w:r>
    </w:p>
    <w:p w14:paraId="5EA21B9A" w14:textId="77777777" w:rsidR="003C66EB" w:rsidRDefault="00D96C4E">
      <w:pPr>
        <w:ind w:firstLine="450"/>
        <w:jc w:val="center"/>
      </w:pPr>
      <w:r>
        <w:rPr>
          <w:rFonts w:ascii="Arial" w:eastAsia="宋体" w:hAnsi="Arial" w:cs="Arial"/>
          <w:b/>
          <w:bCs/>
          <w:color w:val="000000"/>
          <w:sz w:val="20"/>
          <w:szCs w:val="20"/>
        </w:rPr>
        <w:t>AND RESULTS OF OPERATIONS</w:t>
      </w:r>
    </w:p>
    <w:p w14:paraId="5EA21B9B" w14:textId="77777777" w:rsidR="003C66EB" w:rsidRDefault="00D96C4E">
      <w:pPr>
        <w:spacing w:before="60"/>
        <w:ind w:firstLine="450"/>
        <w:jc w:val="both"/>
        <w:textAlignment w:val="top"/>
      </w:pPr>
      <w:r>
        <w:rPr>
          <w:rFonts w:ascii="Arial" w:eastAsia="宋体" w:hAnsi="Arial" w:cs="Arial"/>
          <w:color w:val="000000"/>
          <w:sz w:val="20"/>
          <w:szCs w:val="20"/>
        </w:rPr>
        <w:t xml:space="preserve">Federal and state banking regulations place certain restrictions on dividends paid by subsidiary banks to the parent holding company. In addition, banking </w:t>
      </w:r>
      <w:r>
        <w:rPr>
          <w:rFonts w:ascii="Arial" w:eastAsia="宋体" w:hAnsi="Arial" w:cs="Arial"/>
          <w:color w:val="000000"/>
          <w:sz w:val="20"/>
          <w:szCs w:val="20"/>
        </w:rPr>
        <w:t>regulators have the authority to prohibit bank holding companies from paying dividends. For information concerning limitations on dividends from our subsidiary banks, refer to pages 55 and 57 in "Related Stockholder Matters" included under Item 5, Market f</w:t>
      </w:r>
      <w:r>
        <w:rPr>
          <w:rFonts w:ascii="Arial" w:eastAsia="宋体" w:hAnsi="Arial" w:cs="Arial"/>
          <w:color w:val="000000"/>
          <w:sz w:val="20"/>
          <w:szCs w:val="20"/>
        </w:rPr>
        <w:t>or Registrant’s Common Equity, Related Stockholder Matters and Issuer Purchases of Equity Securities, in our 2020 Form 10-K, and to pages 171 to 173 in Note 15 to the consolidated financial statements included under Item 8. Our common stock and preferred s</w:t>
      </w:r>
      <w:r>
        <w:rPr>
          <w:rFonts w:ascii="Arial" w:eastAsia="宋体" w:hAnsi="Arial" w:cs="Arial"/>
          <w:color w:val="000000"/>
          <w:sz w:val="20"/>
          <w:szCs w:val="20"/>
        </w:rPr>
        <w:t>tock dividends, including the declaration, timing and amount thereof, are subject to consideration and approval by the Board at the relevant times.</w:t>
      </w:r>
    </w:p>
    <w:p w14:paraId="5EA21B9C" w14:textId="77777777" w:rsidR="003C66EB" w:rsidRDefault="00D96C4E">
      <w:pPr>
        <w:spacing w:before="60"/>
        <w:ind w:firstLine="450"/>
        <w:jc w:val="both"/>
        <w:textAlignment w:val="top"/>
      </w:pPr>
      <w:r>
        <w:rPr>
          <w:rFonts w:ascii="Arial" w:eastAsia="宋体" w:hAnsi="Arial" w:cs="Arial"/>
          <w:color w:val="000000"/>
          <w:sz w:val="20"/>
          <w:szCs w:val="20"/>
        </w:rPr>
        <w:t xml:space="preserve">Stock purchases may be made using various types of mechanisms, including open market purchases, accelerated </w:t>
      </w:r>
      <w:r>
        <w:rPr>
          <w:rFonts w:ascii="Arial" w:eastAsia="宋体" w:hAnsi="Arial" w:cs="Arial"/>
          <w:color w:val="000000"/>
          <w:sz w:val="20"/>
          <w:szCs w:val="20"/>
        </w:rPr>
        <w:t>share repurchases or transactions off market and may be made under Rule 10b5-1 trading programs. The timing of stock purchases, types of transactions and number of shares purchased will depend on several factors, including, market conditions and our capita</w:t>
      </w:r>
      <w:r>
        <w:rPr>
          <w:rFonts w:ascii="Arial" w:eastAsia="宋体" w:hAnsi="Arial" w:cs="Arial"/>
          <w:color w:val="000000"/>
          <w:sz w:val="20"/>
          <w:szCs w:val="20"/>
        </w:rPr>
        <w:t>l positions, financial performance and investment opportunities. The common stock purchase program does not have specific price targets and may be suspended at any time.</w:t>
      </w:r>
    </w:p>
    <w:p w14:paraId="5EA21B9D" w14:textId="77777777" w:rsidR="003C66EB" w:rsidRDefault="00D96C4E">
      <w:pPr>
        <w:spacing w:before="90"/>
        <w:textAlignment w:val="top"/>
      </w:pPr>
      <w:r>
        <w:rPr>
          <w:rFonts w:ascii="Arial" w:eastAsia="宋体" w:hAnsi="Arial" w:cs="Arial"/>
          <w:b/>
          <w:bCs/>
          <w:color w:val="000000"/>
          <w:sz w:val="20"/>
          <w:szCs w:val="20"/>
        </w:rPr>
        <w:t>OFF-BALANCE SHEET ARRANGEMENTS</w:t>
      </w:r>
    </w:p>
    <w:p w14:paraId="5EA21B9E" w14:textId="77777777" w:rsidR="003C66EB" w:rsidRDefault="00D96C4E">
      <w:pPr>
        <w:spacing w:before="60"/>
        <w:ind w:firstLine="450"/>
        <w:jc w:val="both"/>
        <w:textAlignment w:val="top"/>
      </w:pPr>
      <w:r>
        <w:rPr>
          <w:rFonts w:ascii="Arial" w:eastAsia="宋体" w:hAnsi="Arial" w:cs="Arial"/>
          <w:color w:val="000000"/>
          <w:sz w:val="20"/>
          <w:szCs w:val="20"/>
        </w:rPr>
        <w:t xml:space="preserve">On behalf of clients enrolled in our </w:t>
      </w:r>
      <w:r>
        <w:rPr>
          <w:rFonts w:ascii="Arial" w:eastAsia="宋体" w:hAnsi="Arial" w:cs="Arial"/>
          <w:color w:val="000000"/>
          <w:sz w:val="20"/>
          <w:szCs w:val="20"/>
        </w:rPr>
        <w:t>securities lending program, we lend securities to banks, broker/dealers and other institutions. In most circumstances, we indemnify our clients for the fair market value of those securities against a failure of the borrower to return such securities. Thoug</w:t>
      </w:r>
      <w:r>
        <w:rPr>
          <w:rFonts w:ascii="Arial" w:eastAsia="宋体" w:hAnsi="Arial" w:cs="Arial"/>
          <w:color w:val="000000"/>
          <w:sz w:val="20"/>
          <w:szCs w:val="20"/>
        </w:rPr>
        <w:t>h these transactions are collateralized, the substantial volume of these activities necessitates detailed credit-based underwriting and monitoring processes. The aggregate amount of indemnified securities on loan totaled $436.04 billion and $440.88 billion</w:t>
      </w:r>
      <w:r>
        <w:rPr>
          <w:rFonts w:ascii="Arial" w:eastAsia="宋体" w:hAnsi="Arial" w:cs="Arial"/>
          <w:color w:val="000000"/>
          <w:sz w:val="20"/>
          <w:szCs w:val="20"/>
        </w:rPr>
        <w:t xml:space="preserve"> as of March 31, 2021 and December 31, 2020, respectively. We require the borrower to provide collateral in an amount in excess of 100% of the fair market value of the securities borrowed. We hold the collateral received in connection with these securities</w:t>
      </w:r>
      <w:r>
        <w:rPr>
          <w:rFonts w:ascii="Arial" w:eastAsia="宋体" w:hAnsi="Arial" w:cs="Arial"/>
          <w:color w:val="000000"/>
          <w:sz w:val="20"/>
          <w:szCs w:val="20"/>
        </w:rPr>
        <w:t xml:space="preserve"> lending services as agent, and the collateral is not recorded in our consolidated statement of condition. We revalue the securities on loan and the collateral daily to determine if additional collateral is necessary or if excess collateral is required to </w:t>
      </w:r>
      <w:r>
        <w:rPr>
          <w:rFonts w:ascii="Arial" w:eastAsia="宋体" w:hAnsi="Arial" w:cs="Arial"/>
          <w:color w:val="000000"/>
          <w:sz w:val="20"/>
          <w:szCs w:val="20"/>
        </w:rPr>
        <w:t>be returned to the borrower. We held, as agent, cash and securities totaling $457.37 billion and $463.27 billion as collateral for indemnified securities on loan as of March 31, 2021 and December 31, 2020, respectively.</w:t>
      </w:r>
    </w:p>
    <w:p w14:paraId="5EA21B9F" w14:textId="77777777" w:rsidR="003C66EB" w:rsidRDefault="00D96C4E">
      <w:pPr>
        <w:spacing w:before="60"/>
        <w:ind w:firstLine="450"/>
        <w:jc w:val="both"/>
        <w:textAlignment w:val="top"/>
      </w:pPr>
      <w:r>
        <w:rPr>
          <w:rFonts w:ascii="Arial" w:eastAsia="宋体" w:hAnsi="Arial" w:cs="Arial"/>
          <w:color w:val="000000"/>
          <w:sz w:val="20"/>
          <w:szCs w:val="20"/>
        </w:rPr>
        <w:t>The cash collateral held by us as ag</w:t>
      </w:r>
      <w:r>
        <w:rPr>
          <w:rFonts w:ascii="Arial" w:eastAsia="宋体" w:hAnsi="Arial" w:cs="Arial"/>
          <w:color w:val="000000"/>
          <w:sz w:val="20"/>
          <w:szCs w:val="20"/>
        </w:rPr>
        <w:t>ent is invested on behalf of our clients. In certain cases, the cash collateral is invested in third-party repurchase agreements, for which we indemnify the client against loss of the principal invested. We require the counterparty to the indemnified repur</w:t>
      </w:r>
      <w:r>
        <w:rPr>
          <w:rFonts w:ascii="Arial" w:eastAsia="宋体" w:hAnsi="Arial" w:cs="Arial"/>
          <w:color w:val="000000"/>
          <w:sz w:val="20"/>
          <w:szCs w:val="20"/>
        </w:rPr>
        <w:t>chase agreement to provide collateral in an amount in excess of 100% of the amount of the repurchase agreement. In our role as agent, the indemnified repurchase agreements and the related collateral held by us are not recorded in our consolidated statement</w:t>
      </w:r>
      <w:r>
        <w:rPr>
          <w:rFonts w:ascii="Arial" w:eastAsia="宋体" w:hAnsi="Arial" w:cs="Arial"/>
          <w:color w:val="000000"/>
          <w:sz w:val="20"/>
          <w:szCs w:val="20"/>
        </w:rPr>
        <w:t xml:space="preserve"> of condition. Of the collateral of $457.37 billion and $463.27 billion, referenced above, $59.31 billion and $54.43 billion was invested in indemnified repurchase agreements as of March 31, 2021 and December 31, 2020, respectively. We or our agents held $</w:t>
      </w:r>
      <w:r>
        <w:rPr>
          <w:rFonts w:ascii="Arial" w:eastAsia="宋体" w:hAnsi="Arial" w:cs="Arial"/>
          <w:color w:val="000000"/>
          <w:sz w:val="20"/>
          <w:szCs w:val="20"/>
        </w:rPr>
        <w:t>64.15 billion and $58.09 billion as collateral for indemnified investments in repurchase agreements as of March 31, 2021 and December 31, 2020, respectively.</w:t>
      </w:r>
    </w:p>
    <w:p w14:paraId="5EA21BA0" w14:textId="77777777" w:rsidR="003C66EB" w:rsidRDefault="00D96C4E">
      <w:pPr>
        <w:spacing w:before="60"/>
        <w:ind w:firstLine="450"/>
        <w:jc w:val="both"/>
        <w:textAlignment w:val="top"/>
      </w:pPr>
      <w:r>
        <w:rPr>
          <w:rFonts w:ascii="Arial" w:eastAsia="宋体" w:hAnsi="Arial" w:cs="Arial"/>
          <w:color w:val="000000"/>
          <w:sz w:val="20"/>
          <w:szCs w:val="20"/>
        </w:rPr>
        <w:t>Additional information about our securities finance activities and other off-balance sheet arrange</w:t>
      </w:r>
      <w:r>
        <w:rPr>
          <w:rFonts w:ascii="Arial" w:eastAsia="宋体" w:hAnsi="Arial" w:cs="Arial"/>
          <w:color w:val="000000"/>
          <w:sz w:val="20"/>
          <w:szCs w:val="20"/>
        </w:rPr>
        <w:t>ments is provided in Notes 7, 9 and 11 to the consolidated financial statements in this Form 10-Q.</w:t>
      </w:r>
    </w:p>
    <w:p w14:paraId="5EA21BA1" w14:textId="77777777" w:rsidR="003C66EB" w:rsidRDefault="00D96C4E">
      <w:pPr>
        <w:spacing w:before="90" w:after="60"/>
        <w:jc w:val="both"/>
        <w:textAlignment w:val="top"/>
      </w:pPr>
      <w:r>
        <w:rPr>
          <w:rFonts w:ascii="Arial" w:eastAsia="宋体" w:hAnsi="Arial" w:cs="Arial"/>
          <w:b/>
          <w:bCs/>
          <w:color w:val="000000"/>
          <w:sz w:val="20"/>
          <w:szCs w:val="20"/>
        </w:rPr>
        <w:t>RECENT ACCOUNTING DEVELOPMENTS</w:t>
      </w:r>
    </w:p>
    <w:p w14:paraId="5EA21BA2" w14:textId="77777777" w:rsidR="003C66EB" w:rsidRDefault="00D96C4E">
      <w:pPr>
        <w:spacing w:before="60" w:after="60"/>
        <w:ind w:firstLine="450"/>
        <w:jc w:val="both"/>
        <w:textAlignment w:val="top"/>
      </w:pPr>
      <w:r>
        <w:rPr>
          <w:rFonts w:ascii="Arial" w:eastAsia="宋体" w:hAnsi="Arial" w:cs="Arial"/>
          <w:color w:val="000000"/>
          <w:sz w:val="20"/>
          <w:szCs w:val="20"/>
        </w:rPr>
        <w:t>Information with respect to recent accounting developments is provided in Note 1 to the consolidated financial statements in t</w:t>
      </w:r>
      <w:r>
        <w:rPr>
          <w:rFonts w:ascii="Arial" w:eastAsia="宋体" w:hAnsi="Arial" w:cs="Arial"/>
          <w:color w:val="000000"/>
          <w:sz w:val="20"/>
          <w:szCs w:val="20"/>
        </w:rPr>
        <w:t xml:space="preserve">his Form 10-Q. </w:t>
      </w:r>
    </w:p>
    <w:p w14:paraId="5EA21BA3" w14:textId="77777777" w:rsidR="003C66EB" w:rsidRDefault="00D96C4E">
      <w:pPr>
        <w:ind w:firstLine="450"/>
        <w:jc w:val="right"/>
      </w:pPr>
      <w:r>
        <w:rPr>
          <w:rFonts w:ascii="Arial" w:eastAsia="宋体" w:hAnsi="Arial" w:cs="Arial"/>
          <w:color w:val="000000"/>
          <w:sz w:val="18"/>
          <w:szCs w:val="18"/>
        </w:rPr>
        <w:t>State Street Corporation | 46</w:t>
      </w:r>
    </w:p>
    <w:p w14:paraId="5EA21BA4" w14:textId="77777777" w:rsidR="003C66EB" w:rsidRDefault="003C66EB">
      <w:pPr>
        <w:ind w:firstLine="450"/>
        <w:jc w:val="center"/>
      </w:pPr>
    </w:p>
    <w:p w14:paraId="5EA21BA5" w14:textId="77777777" w:rsidR="003C66EB" w:rsidRDefault="00D96C4E">
      <w:r>
        <w:pict w14:anchorId="5EA287DE">
          <v:rect id="_x0000_i1070" style="width:415.3pt;height:1.5pt" o:hralign="center" o:hrstd="t" o:hr="t" fillcolor="#a0a0a0" stroked="f"/>
        </w:pict>
      </w:r>
    </w:p>
    <w:p w14:paraId="5EA21BA6" w14:textId="77777777" w:rsidR="003C66EB" w:rsidRDefault="003C66EB">
      <w:pPr>
        <w:ind w:firstLine="450"/>
      </w:pPr>
    </w:p>
    <w:p w14:paraId="5EA21BA7" w14:textId="77777777" w:rsidR="003C66EB" w:rsidRDefault="00D96C4E">
      <w:pPr>
        <w:spacing w:before="90" w:after="60"/>
        <w:jc w:val="both"/>
        <w:textAlignment w:val="top"/>
      </w:pPr>
      <w:r>
        <w:rPr>
          <w:rFonts w:ascii="Arial" w:eastAsia="宋体" w:hAnsi="Arial" w:cs="Arial"/>
          <w:b/>
          <w:bCs/>
          <w:color w:val="000000"/>
          <w:sz w:val="20"/>
          <w:szCs w:val="20"/>
        </w:rPr>
        <w:t>QUANTITATIVE AND QUALITATIVE DISCLOSURES ABOUT MARKET RISK</w:t>
      </w:r>
    </w:p>
    <w:p w14:paraId="5EA21BA8" w14:textId="77777777" w:rsidR="003C66EB" w:rsidRDefault="00D96C4E">
      <w:pPr>
        <w:spacing w:before="90"/>
        <w:ind w:firstLine="450"/>
        <w:jc w:val="both"/>
        <w:textAlignment w:val="top"/>
      </w:pPr>
      <w:r>
        <w:rPr>
          <w:rFonts w:ascii="Arial" w:eastAsia="宋体" w:hAnsi="Arial" w:cs="Arial"/>
          <w:color w:val="000000"/>
          <w:sz w:val="20"/>
          <w:szCs w:val="20"/>
        </w:rPr>
        <w:t xml:space="preserve">The information provided under “Market Risk Management” in "Financial Condition" in our Management's Discussion and Analysis in this Form 10-Q, is </w:t>
      </w:r>
      <w:r>
        <w:rPr>
          <w:rFonts w:ascii="Arial" w:eastAsia="宋体" w:hAnsi="Arial" w:cs="Arial"/>
          <w:color w:val="000000"/>
          <w:sz w:val="20"/>
          <w:szCs w:val="20"/>
        </w:rPr>
        <w:t xml:space="preserve">incorporated by reference herein. </w:t>
      </w:r>
    </w:p>
    <w:p w14:paraId="5EA21BA9" w14:textId="77777777" w:rsidR="003C66EB" w:rsidRDefault="00D96C4E">
      <w:pPr>
        <w:spacing w:before="90"/>
        <w:ind w:firstLine="450"/>
        <w:jc w:val="both"/>
        <w:textAlignment w:val="top"/>
      </w:pPr>
      <w:r>
        <w:rPr>
          <w:rFonts w:ascii="Arial" w:eastAsia="宋体" w:hAnsi="Arial" w:cs="Arial"/>
          <w:color w:val="000000"/>
          <w:sz w:val="20"/>
          <w:szCs w:val="20"/>
        </w:rPr>
        <w:t>For more information on our market risk refer to pages 104 to 112 included under Item 7, Management's Discussion and Analysis of Financial Condition and Results of Operations, in our 2020 Form 10-K.</w:t>
      </w:r>
    </w:p>
    <w:p w14:paraId="5EA21BAA" w14:textId="77777777" w:rsidR="003C66EB" w:rsidRDefault="00D96C4E">
      <w:pPr>
        <w:spacing w:before="180"/>
        <w:jc w:val="both"/>
        <w:textAlignment w:val="top"/>
      </w:pPr>
      <w:r>
        <w:rPr>
          <w:rFonts w:ascii="Arial" w:eastAsia="宋体" w:hAnsi="Arial" w:cs="Arial"/>
          <w:b/>
          <w:bCs/>
          <w:color w:val="000000"/>
          <w:sz w:val="20"/>
          <w:szCs w:val="20"/>
        </w:rPr>
        <w:t>CONTROLS AND PROCEDURE</w:t>
      </w:r>
      <w:r>
        <w:rPr>
          <w:rFonts w:ascii="Arial" w:eastAsia="宋体" w:hAnsi="Arial" w:cs="Arial"/>
          <w:b/>
          <w:bCs/>
          <w:color w:val="000000"/>
          <w:sz w:val="20"/>
          <w:szCs w:val="20"/>
        </w:rPr>
        <w:t>S</w:t>
      </w:r>
    </w:p>
    <w:p w14:paraId="5EA21BAB" w14:textId="77777777" w:rsidR="003C66EB" w:rsidRDefault="00D96C4E">
      <w:pPr>
        <w:spacing w:before="60"/>
        <w:ind w:firstLine="450"/>
        <w:jc w:val="both"/>
        <w:textAlignment w:val="top"/>
      </w:pPr>
      <w:r>
        <w:rPr>
          <w:rFonts w:ascii="Arial" w:eastAsia="宋体" w:hAnsi="Arial" w:cs="Arial"/>
          <w:color w:val="000000"/>
          <w:sz w:val="20"/>
          <w:szCs w:val="20"/>
        </w:rPr>
        <w:t>We have established and maintain disclosure controls and procedures that are designed to ensure that information related to us and our subsidiaries on a consolidated basis required to be disclosed in our reports filed or submitted under the Securities Ex</w:t>
      </w:r>
      <w:r>
        <w:rPr>
          <w:rFonts w:ascii="Arial" w:eastAsia="宋体" w:hAnsi="Arial" w:cs="Arial"/>
          <w:color w:val="000000"/>
          <w:sz w:val="20"/>
          <w:szCs w:val="20"/>
        </w:rPr>
        <w:t xml:space="preserve">change Act of 1934 is recorded, processed, summarized and reported within the time periods specified in the SEC's rules and forms, and that such information is accumulated and communicated to our management, including our Chief Executive Officer and Chief </w:t>
      </w:r>
      <w:r>
        <w:rPr>
          <w:rFonts w:ascii="Arial" w:eastAsia="宋体" w:hAnsi="Arial" w:cs="Arial"/>
          <w:color w:val="000000"/>
          <w:sz w:val="20"/>
          <w:szCs w:val="20"/>
        </w:rPr>
        <w:t>Financial Officer, as appropriate, to allow timely decisions regarding required disclosure. For the quarter ended March 31, 2021, our management carried out an evaluation, with the participation of the Chief Executive Officer and Chief Financial Officer, o</w:t>
      </w:r>
      <w:r>
        <w:rPr>
          <w:rFonts w:ascii="Arial" w:eastAsia="宋体" w:hAnsi="Arial" w:cs="Arial"/>
          <w:color w:val="000000"/>
          <w:sz w:val="20"/>
          <w:szCs w:val="20"/>
        </w:rPr>
        <w:t>f the effectiveness of the design and operation of our disclosure controls and procedures. Based on the evaluation of these disclosure controls and procedures, the Chief Executive Officer and Chief Financial Officer concluded that our disclosure controls a</w:t>
      </w:r>
      <w:r>
        <w:rPr>
          <w:rFonts w:ascii="Arial" w:eastAsia="宋体" w:hAnsi="Arial" w:cs="Arial"/>
          <w:color w:val="000000"/>
          <w:sz w:val="20"/>
          <w:szCs w:val="20"/>
        </w:rPr>
        <w:t xml:space="preserve">nd procedures were effective as of March 31, 2021. </w:t>
      </w:r>
    </w:p>
    <w:p w14:paraId="5EA21BAC" w14:textId="77777777" w:rsidR="003C66EB" w:rsidRDefault="00D96C4E">
      <w:pPr>
        <w:spacing w:before="60"/>
        <w:ind w:firstLine="450"/>
        <w:jc w:val="both"/>
        <w:textAlignment w:val="top"/>
      </w:pPr>
      <w:r>
        <w:rPr>
          <w:rFonts w:ascii="Arial" w:eastAsia="宋体" w:hAnsi="Arial" w:cs="Arial"/>
          <w:color w:val="000000"/>
          <w:sz w:val="20"/>
          <w:szCs w:val="20"/>
        </w:rPr>
        <w:t>We have established and maintain internal control over financial reporting as a process designed to provide reasonable assurance regarding the reliability of financial reporting and the preparation of con</w:t>
      </w:r>
      <w:r>
        <w:rPr>
          <w:rFonts w:ascii="Arial" w:eastAsia="宋体" w:hAnsi="Arial" w:cs="Arial"/>
          <w:color w:val="000000"/>
          <w:sz w:val="20"/>
          <w:szCs w:val="20"/>
        </w:rPr>
        <w:t>solidated financial statements for external purposes in conformity with U.S. GAAP. In the ordinary course of business, we routinely enhance our internal controls and procedures for financial reporting by either upgrading our current systems or implementing</w:t>
      </w:r>
      <w:r>
        <w:rPr>
          <w:rFonts w:ascii="Arial" w:eastAsia="宋体" w:hAnsi="Arial" w:cs="Arial"/>
          <w:color w:val="000000"/>
          <w:sz w:val="20"/>
          <w:szCs w:val="20"/>
        </w:rPr>
        <w:t xml:space="preserve"> new systems. Changes have been made and may be made to our internal controls and procedures for financial reporting as a result of these efforts. During the quarter ended March 31, 2021, no change occurred in our internal control over financial reporting </w:t>
      </w:r>
      <w:r>
        <w:rPr>
          <w:rFonts w:ascii="Arial" w:eastAsia="宋体" w:hAnsi="Arial" w:cs="Arial"/>
          <w:color w:val="000000"/>
          <w:sz w:val="20"/>
          <w:szCs w:val="20"/>
        </w:rPr>
        <w:t xml:space="preserve">that has materially affected, or is reasonably likely to materially affect, our internal control over financial reporting. </w:t>
      </w:r>
    </w:p>
    <w:p w14:paraId="5EA21BAD" w14:textId="77777777" w:rsidR="003C66EB" w:rsidRDefault="003C66EB">
      <w:pPr>
        <w:spacing w:before="90" w:after="60"/>
        <w:jc w:val="both"/>
        <w:textAlignment w:val="top"/>
      </w:pPr>
    </w:p>
    <w:p w14:paraId="5EA21BAE" w14:textId="77777777" w:rsidR="003C66EB" w:rsidRDefault="003C66EB">
      <w:pPr>
        <w:spacing w:before="100"/>
        <w:ind w:firstLine="450"/>
        <w:textAlignment w:val="top"/>
      </w:pPr>
    </w:p>
    <w:p w14:paraId="5EA21BAF" w14:textId="77777777" w:rsidR="003C66EB" w:rsidRDefault="00D96C4E">
      <w:pPr>
        <w:ind w:firstLine="450"/>
        <w:jc w:val="right"/>
      </w:pPr>
      <w:r>
        <w:rPr>
          <w:rFonts w:ascii="Arial" w:eastAsia="宋体" w:hAnsi="Arial" w:cs="Arial"/>
          <w:color w:val="000000"/>
          <w:sz w:val="18"/>
          <w:szCs w:val="18"/>
        </w:rPr>
        <w:t>State Street Corporation | 47</w:t>
      </w:r>
    </w:p>
    <w:p w14:paraId="5EA21BB0" w14:textId="77777777" w:rsidR="003C66EB" w:rsidRDefault="003C66EB">
      <w:pPr>
        <w:ind w:firstLine="450"/>
        <w:jc w:val="center"/>
      </w:pPr>
    </w:p>
    <w:p w14:paraId="5EA21BB1" w14:textId="77777777" w:rsidR="003C66EB" w:rsidRDefault="00D96C4E">
      <w:r>
        <w:pict w14:anchorId="5EA287DF">
          <v:rect id="_x0000_i1071" style="width:415.3pt;height:1.5pt" o:hralign="center" o:hrstd="t" o:hr="t" fillcolor="#a0a0a0" stroked="f"/>
        </w:pict>
      </w:r>
    </w:p>
    <w:p w14:paraId="5EA21BB2" w14:textId="77777777" w:rsidR="003C66EB" w:rsidRDefault="003C66EB">
      <w:pPr>
        <w:ind w:firstLine="450"/>
      </w:pPr>
    </w:p>
    <w:p w14:paraId="5EA21BB3" w14:textId="77777777" w:rsidR="003C66EB" w:rsidRDefault="00D96C4E">
      <w:pPr>
        <w:ind w:firstLine="450"/>
        <w:jc w:val="center"/>
      </w:pPr>
      <w:r>
        <w:rPr>
          <w:rFonts w:ascii="Arial" w:eastAsia="宋体" w:hAnsi="Arial" w:cs="Arial"/>
          <w:b/>
          <w:bCs/>
          <w:color w:val="000000"/>
          <w:sz w:val="20"/>
          <w:szCs w:val="20"/>
        </w:rPr>
        <w:t>STATE STREET CORPORATION</w:t>
      </w:r>
    </w:p>
    <w:p w14:paraId="5EA21BB4" w14:textId="77777777" w:rsidR="003C66EB" w:rsidRDefault="00D96C4E">
      <w:pPr>
        <w:ind w:firstLine="450"/>
        <w:jc w:val="center"/>
      </w:pPr>
      <w:r>
        <w:rPr>
          <w:rFonts w:ascii="Arial" w:eastAsia="宋体" w:hAnsi="Arial" w:cs="Arial"/>
          <w:b/>
          <w:bCs/>
          <w:color w:val="000000"/>
          <w:sz w:val="20"/>
          <w:szCs w:val="20"/>
        </w:rPr>
        <w:t>CONSOLIDATED STATEMENT OF INCOME</w:t>
      </w:r>
    </w:p>
    <w:p w14:paraId="5EA21BB5"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9"/>
        <w:gridCol w:w="122"/>
        <w:gridCol w:w="1229"/>
        <w:gridCol w:w="36"/>
        <w:gridCol w:w="36"/>
        <w:gridCol w:w="36"/>
        <w:gridCol w:w="36"/>
        <w:gridCol w:w="122"/>
        <w:gridCol w:w="1189"/>
        <w:gridCol w:w="36"/>
        <w:gridCol w:w="36"/>
        <w:gridCol w:w="36"/>
        <w:gridCol w:w="36"/>
        <w:gridCol w:w="36"/>
        <w:gridCol w:w="36"/>
        <w:gridCol w:w="36"/>
        <w:gridCol w:w="36"/>
        <w:gridCol w:w="36"/>
        <w:gridCol w:w="36"/>
        <w:gridCol w:w="36"/>
        <w:gridCol w:w="36"/>
        <w:gridCol w:w="36"/>
        <w:gridCol w:w="36"/>
        <w:gridCol w:w="36"/>
      </w:tblGrid>
      <w:tr w:rsidR="003C66EB" w14:paraId="5EA21BC8" w14:textId="77777777">
        <w:tc>
          <w:tcPr>
            <w:tcW w:w="50" w:type="pct"/>
            <w:shd w:val="clear" w:color="auto" w:fill="auto"/>
          </w:tcPr>
          <w:p w14:paraId="5EA21BB6" w14:textId="77777777" w:rsidR="003C66EB" w:rsidRDefault="003C66EB">
            <w:pPr>
              <w:rPr>
                <w:rFonts w:ascii="宋体"/>
              </w:rPr>
            </w:pPr>
          </w:p>
        </w:tc>
        <w:tc>
          <w:tcPr>
            <w:tcW w:w="3168" w:type="pct"/>
            <w:shd w:val="clear" w:color="auto" w:fill="auto"/>
          </w:tcPr>
          <w:p w14:paraId="5EA21BB7" w14:textId="77777777" w:rsidR="003C66EB" w:rsidRDefault="003C66EB">
            <w:pPr>
              <w:rPr>
                <w:rFonts w:ascii="宋体"/>
              </w:rPr>
            </w:pPr>
          </w:p>
        </w:tc>
        <w:tc>
          <w:tcPr>
            <w:tcW w:w="5" w:type="pct"/>
            <w:shd w:val="clear" w:color="auto" w:fill="auto"/>
          </w:tcPr>
          <w:p w14:paraId="5EA21BB8" w14:textId="77777777" w:rsidR="003C66EB" w:rsidRDefault="003C66EB">
            <w:pPr>
              <w:rPr>
                <w:rFonts w:ascii="宋体"/>
              </w:rPr>
            </w:pPr>
          </w:p>
        </w:tc>
        <w:tc>
          <w:tcPr>
            <w:tcW w:w="50" w:type="pct"/>
            <w:shd w:val="clear" w:color="auto" w:fill="auto"/>
          </w:tcPr>
          <w:p w14:paraId="5EA21BB9" w14:textId="77777777" w:rsidR="003C66EB" w:rsidRDefault="003C66EB">
            <w:pPr>
              <w:rPr>
                <w:rFonts w:ascii="宋体"/>
              </w:rPr>
            </w:pPr>
          </w:p>
        </w:tc>
        <w:tc>
          <w:tcPr>
            <w:tcW w:w="814" w:type="pct"/>
            <w:shd w:val="clear" w:color="auto" w:fill="auto"/>
          </w:tcPr>
          <w:p w14:paraId="5EA21BBA" w14:textId="77777777" w:rsidR="003C66EB" w:rsidRDefault="003C66EB">
            <w:pPr>
              <w:rPr>
                <w:rFonts w:ascii="宋体"/>
              </w:rPr>
            </w:pPr>
          </w:p>
        </w:tc>
        <w:tc>
          <w:tcPr>
            <w:tcW w:w="5" w:type="pct"/>
            <w:shd w:val="clear" w:color="auto" w:fill="auto"/>
          </w:tcPr>
          <w:p w14:paraId="5EA21BBB" w14:textId="77777777" w:rsidR="003C66EB" w:rsidRDefault="003C66EB">
            <w:pPr>
              <w:rPr>
                <w:rFonts w:ascii="宋体"/>
              </w:rPr>
            </w:pPr>
          </w:p>
        </w:tc>
        <w:tc>
          <w:tcPr>
            <w:tcW w:w="5" w:type="pct"/>
            <w:shd w:val="clear" w:color="auto" w:fill="auto"/>
          </w:tcPr>
          <w:p w14:paraId="5EA21BBC" w14:textId="77777777" w:rsidR="003C66EB" w:rsidRDefault="003C66EB">
            <w:pPr>
              <w:rPr>
                <w:rFonts w:ascii="宋体"/>
              </w:rPr>
            </w:pPr>
          </w:p>
        </w:tc>
        <w:tc>
          <w:tcPr>
            <w:tcW w:w="26" w:type="pct"/>
            <w:shd w:val="clear" w:color="auto" w:fill="auto"/>
          </w:tcPr>
          <w:p w14:paraId="5EA21BBD" w14:textId="77777777" w:rsidR="003C66EB" w:rsidRDefault="003C66EB">
            <w:pPr>
              <w:rPr>
                <w:rFonts w:ascii="宋体"/>
              </w:rPr>
            </w:pPr>
          </w:p>
        </w:tc>
        <w:tc>
          <w:tcPr>
            <w:tcW w:w="5" w:type="pct"/>
            <w:shd w:val="clear" w:color="auto" w:fill="auto"/>
          </w:tcPr>
          <w:p w14:paraId="5EA21BBE" w14:textId="77777777" w:rsidR="003C66EB" w:rsidRDefault="003C66EB">
            <w:pPr>
              <w:rPr>
                <w:rFonts w:ascii="宋体"/>
              </w:rPr>
            </w:pPr>
          </w:p>
        </w:tc>
        <w:tc>
          <w:tcPr>
            <w:tcW w:w="50" w:type="pct"/>
            <w:shd w:val="clear" w:color="auto" w:fill="auto"/>
          </w:tcPr>
          <w:p w14:paraId="5EA21BBF" w14:textId="77777777" w:rsidR="003C66EB" w:rsidRDefault="003C66EB">
            <w:pPr>
              <w:rPr>
                <w:rFonts w:ascii="宋体"/>
              </w:rPr>
            </w:pPr>
          </w:p>
        </w:tc>
        <w:tc>
          <w:tcPr>
            <w:tcW w:w="815" w:type="pct"/>
            <w:shd w:val="clear" w:color="auto" w:fill="auto"/>
          </w:tcPr>
          <w:p w14:paraId="5EA21BC0" w14:textId="77777777" w:rsidR="003C66EB" w:rsidRDefault="003C66EB">
            <w:pPr>
              <w:rPr>
                <w:rFonts w:ascii="宋体"/>
              </w:rPr>
            </w:pPr>
          </w:p>
        </w:tc>
        <w:tc>
          <w:tcPr>
            <w:tcW w:w="5" w:type="pct"/>
            <w:shd w:val="clear" w:color="auto" w:fill="auto"/>
          </w:tcPr>
          <w:p w14:paraId="5EA21BC1" w14:textId="77777777" w:rsidR="003C66EB" w:rsidRDefault="003C66EB">
            <w:pPr>
              <w:rPr>
                <w:rFonts w:ascii="宋体"/>
              </w:rPr>
            </w:pPr>
          </w:p>
        </w:tc>
        <w:tc>
          <w:tcPr>
            <w:tcW w:w="0" w:type="auto"/>
            <w:shd w:val="clear" w:color="auto" w:fill="auto"/>
          </w:tcPr>
          <w:p w14:paraId="5EA21BC2" w14:textId="77777777" w:rsidR="003C66EB" w:rsidRDefault="003C66EB">
            <w:pPr>
              <w:rPr>
                <w:rFonts w:ascii="宋体"/>
                <w:vanish/>
              </w:rPr>
            </w:pPr>
          </w:p>
        </w:tc>
        <w:tc>
          <w:tcPr>
            <w:tcW w:w="0" w:type="auto"/>
            <w:shd w:val="clear" w:color="auto" w:fill="auto"/>
          </w:tcPr>
          <w:p w14:paraId="5EA21BC3" w14:textId="77777777" w:rsidR="003C66EB" w:rsidRDefault="003C66EB">
            <w:pPr>
              <w:rPr>
                <w:rFonts w:ascii="宋体"/>
                <w:vanish/>
              </w:rPr>
            </w:pPr>
          </w:p>
        </w:tc>
        <w:tc>
          <w:tcPr>
            <w:tcW w:w="0" w:type="auto"/>
            <w:gridSpan w:val="3"/>
            <w:shd w:val="clear" w:color="auto" w:fill="auto"/>
          </w:tcPr>
          <w:p w14:paraId="5EA21BC4" w14:textId="77777777" w:rsidR="003C66EB" w:rsidRDefault="003C66EB">
            <w:pPr>
              <w:rPr>
                <w:rFonts w:ascii="宋体"/>
                <w:vanish/>
              </w:rPr>
            </w:pPr>
          </w:p>
        </w:tc>
        <w:tc>
          <w:tcPr>
            <w:tcW w:w="0" w:type="auto"/>
            <w:gridSpan w:val="3"/>
            <w:shd w:val="clear" w:color="auto" w:fill="auto"/>
          </w:tcPr>
          <w:p w14:paraId="5EA21BC5" w14:textId="77777777" w:rsidR="003C66EB" w:rsidRDefault="003C66EB">
            <w:pPr>
              <w:rPr>
                <w:rFonts w:ascii="宋体"/>
                <w:vanish/>
              </w:rPr>
            </w:pPr>
          </w:p>
        </w:tc>
        <w:tc>
          <w:tcPr>
            <w:tcW w:w="0" w:type="auto"/>
            <w:gridSpan w:val="3"/>
            <w:shd w:val="clear" w:color="auto" w:fill="auto"/>
          </w:tcPr>
          <w:p w14:paraId="5EA21BC6" w14:textId="77777777" w:rsidR="003C66EB" w:rsidRDefault="003C66EB">
            <w:pPr>
              <w:rPr>
                <w:rFonts w:ascii="宋体"/>
                <w:vanish/>
              </w:rPr>
            </w:pPr>
          </w:p>
        </w:tc>
        <w:tc>
          <w:tcPr>
            <w:tcW w:w="0" w:type="auto"/>
            <w:gridSpan w:val="3"/>
            <w:shd w:val="clear" w:color="auto" w:fill="auto"/>
          </w:tcPr>
          <w:p w14:paraId="5EA21BC7" w14:textId="77777777" w:rsidR="003C66EB" w:rsidRDefault="003C66EB">
            <w:pPr>
              <w:rPr>
                <w:rFonts w:ascii="宋体"/>
                <w:vanish/>
              </w:rPr>
            </w:pPr>
          </w:p>
        </w:tc>
      </w:tr>
      <w:tr w:rsidR="003C66EB" w14:paraId="5EA21BD9" w14:textId="77777777">
        <w:tc>
          <w:tcPr>
            <w:tcW w:w="0" w:type="auto"/>
            <w:gridSpan w:val="3"/>
            <w:shd w:val="clear" w:color="auto" w:fill="auto"/>
            <w:tcMar>
              <w:top w:w="0" w:type="dxa"/>
              <w:left w:w="20" w:type="dxa"/>
              <w:bottom w:w="0" w:type="dxa"/>
              <w:right w:w="20" w:type="dxa"/>
            </w:tcMar>
          </w:tcPr>
          <w:p w14:paraId="5EA21BC9"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1BCA" w14:textId="77777777" w:rsidR="003C66EB" w:rsidRDefault="00D96C4E">
            <w:pPr>
              <w:jc w:val="center"/>
              <w:textAlignment w:val="bottom"/>
            </w:pPr>
            <w:r>
              <w:rPr>
                <w:rFonts w:ascii="Arial" w:eastAsia="宋体" w:hAnsi="Arial" w:cs="Arial"/>
                <w:b/>
                <w:bCs/>
                <w:color w:val="000000"/>
                <w:sz w:val="18"/>
                <w:szCs w:val="18"/>
              </w:rPr>
              <w:t>Three Months Ended March 31,</w:t>
            </w:r>
          </w:p>
        </w:tc>
        <w:tc>
          <w:tcPr>
            <w:tcW w:w="0" w:type="auto"/>
            <w:shd w:val="clear" w:color="auto" w:fill="auto"/>
          </w:tcPr>
          <w:p w14:paraId="5EA21BCB" w14:textId="77777777" w:rsidR="003C66EB" w:rsidRDefault="003C66EB">
            <w:pPr>
              <w:rPr>
                <w:rFonts w:ascii="宋体"/>
                <w:vanish/>
              </w:rPr>
            </w:pPr>
          </w:p>
        </w:tc>
        <w:tc>
          <w:tcPr>
            <w:tcW w:w="0" w:type="auto"/>
            <w:shd w:val="clear" w:color="auto" w:fill="auto"/>
          </w:tcPr>
          <w:p w14:paraId="5EA21BCC" w14:textId="77777777" w:rsidR="003C66EB" w:rsidRDefault="003C66EB">
            <w:pPr>
              <w:rPr>
                <w:rFonts w:ascii="宋体"/>
                <w:vanish/>
              </w:rPr>
            </w:pPr>
          </w:p>
        </w:tc>
        <w:tc>
          <w:tcPr>
            <w:tcW w:w="0" w:type="auto"/>
            <w:shd w:val="clear" w:color="auto" w:fill="auto"/>
          </w:tcPr>
          <w:p w14:paraId="5EA21BCD" w14:textId="77777777" w:rsidR="003C66EB" w:rsidRDefault="003C66EB">
            <w:pPr>
              <w:rPr>
                <w:rFonts w:ascii="宋体"/>
              </w:rPr>
            </w:pPr>
          </w:p>
        </w:tc>
        <w:tc>
          <w:tcPr>
            <w:tcW w:w="0" w:type="auto"/>
            <w:shd w:val="clear" w:color="auto" w:fill="auto"/>
          </w:tcPr>
          <w:p w14:paraId="5EA21BCE" w14:textId="77777777" w:rsidR="003C66EB" w:rsidRDefault="003C66EB">
            <w:pPr>
              <w:rPr>
                <w:rFonts w:ascii="宋体"/>
              </w:rPr>
            </w:pPr>
          </w:p>
        </w:tc>
        <w:tc>
          <w:tcPr>
            <w:tcW w:w="0" w:type="auto"/>
            <w:shd w:val="clear" w:color="auto" w:fill="auto"/>
          </w:tcPr>
          <w:p w14:paraId="5EA21BCF" w14:textId="77777777" w:rsidR="003C66EB" w:rsidRDefault="003C66EB">
            <w:pPr>
              <w:rPr>
                <w:rFonts w:ascii="宋体"/>
              </w:rPr>
            </w:pPr>
          </w:p>
        </w:tc>
        <w:tc>
          <w:tcPr>
            <w:tcW w:w="0" w:type="auto"/>
            <w:shd w:val="clear" w:color="auto" w:fill="auto"/>
          </w:tcPr>
          <w:p w14:paraId="5EA21BD0" w14:textId="77777777" w:rsidR="003C66EB" w:rsidRDefault="003C66EB">
            <w:pPr>
              <w:rPr>
                <w:rFonts w:ascii="宋体"/>
              </w:rPr>
            </w:pPr>
          </w:p>
        </w:tc>
        <w:tc>
          <w:tcPr>
            <w:tcW w:w="0" w:type="auto"/>
            <w:shd w:val="clear" w:color="auto" w:fill="auto"/>
          </w:tcPr>
          <w:p w14:paraId="5EA21BD1" w14:textId="77777777" w:rsidR="003C66EB" w:rsidRDefault="003C66EB">
            <w:pPr>
              <w:rPr>
                <w:rFonts w:ascii="宋体"/>
              </w:rPr>
            </w:pPr>
          </w:p>
        </w:tc>
        <w:tc>
          <w:tcPr>
            <w:tcW w:w="0" w:type="auto"/>
            <w:shd w:val="clear" w:color="auto" w:fill="auto"/>
          </w:tcPr>
          <w:p w14:paraId="5EA21BD2" w14:textId="77777777" w:rsidR="003C66EB" w:rsidRDefault="003C66EB">
            <w:pPr>
              <w:rPr>
                <w:rFonts w:ascii="宋体"/>
              </w:rPr>
            </w:pPr>
          </w:p>
        </w:tc>
        <w:tc>
          <w:tcPr>
            <w:tcW w:w="0" w:type="auto"/>
            <w:shd w:val="clear" w:color="auto" w:fill="auto"/>
          </w:tcPr>
          <w:p w14:paraId="5EA21BD3" w14:textId="77777777" w:rsidR="003C66EB" w:rsidRDefault="003C66EB">
            <w:pPr>
              <w:rPr>
                <w:rFonts w:ascii="宋体"/>
              </w:rPr>
            </w:pPr>
          </w:p>
        </w:tc>
        <w:tc>
          <w:tcPr>
            <w:tcW w:w="0" w:type="auto"/>
            <w:shd w:val="clear" w:color="auto" w:fill="auto"/>
          </w:tcPr>
          <w:p w14:paraId="5EA21BD4" w14:textId="77777777" w:rsidR="003C66EB" w:rsidRDefault="003C66EB">
            <w:pPr>
              <w:rPr>
                <w:rFonts w:ascii="宋体"/>
              </w:rPr>
            </w:pPr>
          </w:p>
        </w:tc>
        <w:tc>
          <w:tcPr>
            <w:tcW w:w="0" w:type="auto"/>
            <w:shd w:val="clear" w:color="auto" w:fill="auto"/>
          </w:tcPr>
          <w:p w14:paraId="5EA21BD5" w14:textId="77777777" w:rsidR="003C66EB" w:rsidRDefault="003C66EB">
            <w:pPr>
              <w:rPr>
                <w:rFonts w:ascii="宋体"/>
              </w:rPr>
            </w:pPr>
          </w:p>
        </w:tc>
        <w:tc>
          <w:tcPr>
            <w:tcW w:w="0" w:type="auto"/>
            <w:shd w:val="clear" w:color="auto" w:fill="auto"/>
          </w:tcPr>
          <w:p w14:paraId="5EA21BD6" w14:textId="77777777" w:rsidR="003C66EB" w:rsidRDefault="003C66EB">
            <w:pPr>
              <w:rPr>
                <w:rFonts w:ascii="宋体"/>
              </w:rPr>
            </w:pPr>
          </w:p>
        </w:tc>
        <w:tc>
          <w:tcPr>
            <w:tcW w:w="0" w:type="auto"/>
            <w:shd w:val="clear" w:color="auto" w:fill="auto"/>
          </w:tcPr>
          <w:p w14:paraId="5EA21BD7" w14:textId="77777777" w:rsidR="003C66EB" w:rsidRDefault="003C66EB">
            <w:pPr>
              <w:rPr>
                <w:rFonts w:ascii="宋体"/>
              </w:rPr>
            </w:pPr>
          </w:p>
        </w:tc>
        <w:tc>
          <w:tcPr>
            <w:tcW w:w="0" w:type="auto"/>
            <w:shd w:val="clear" w:color="auto" w:fill="auto"/>
          </w:tcPr>
          <w:p w14:paraId="5EA21BD8" w14:textId="77777777" w:rsidR="003C66EB" w:rsidRDefault="003C66EB">
            <w:pPr>
              <w:rPr>
                <w:rFonts w:ascii="宋体"/>
              </w:rPr>
            </w:pPr>
          </w:p>
        </w:tc>
      </w:tr>
      <w:tr w:rsidR="003C66EB" w14:paraId="5EA21BE4" w14:textId="77777777">
        <w:tc>
          <w:tcPr>
            <w:tcW w:w="0" w:type="auto"/>
            <w:gridSpan w:val="3"/>
            <w:shd w:val="clear" w:color="auto" w:fill="auto"/>
            <w:tcMar>
              <w:top w:w="40" w:type="dxa"/>
              <w:left w:w="20" w:type="dxa"/>
              <w:bottom w:w="40" w:type="dxa"/>
              <w:right w:w="20" w:type="dxa"/>
            </w:tcMar>
            <w:vAlign w:val="bottom"/>
          </w:tcPr>
          <w:p w14:paraId="5EA21BDA" w14:textId="77777777" w:rsidR="003C66EB" w:rsidRDefault="00D96C4E">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BDB" w14:textId="77777777" w:rsidR="003C66EB" w:rsidRDefault="00D96C4E">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1BD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BDD" w14:textId="77777777" w:rsidR="003C66EB" w:rsidRDefault="00D96C4E">
            <w:pPr>
              <w:jc w:val="center"/>
              <w:textAlignment w:val="bottom"/>
            </w:pPr>
            <w:r>
              <w:rPr>
                <w:rFonts w:ascii="Arial" w:eastAsia="宋体" w:hAnsi="Arial" w:cs="Arial"/>
                <w:b/>
                <w:bCs/>
                <w:color w:val="000000"/>
                <w:sz w:val="18"/>
                <w:szCs w:val="18"/>
              </w:rPr>
              <w:t>2020</w:t>
            </w:r>
          </w:p>
        </w:tc>
        <w:tc>
          <w:tcPr>
            <w:tcW w:w="0" w:type="auto"/>
            <w:shd w:val="clear" w:color="auto" w:fill="auto"/>
          </w:tcPr>
          <w:p w14:paraId="5EA21BDE" w14:textId="77777777" w:rsidR="003C66EB" w:rsidRDefault="003C66EB">
            <w:pPr>
              <w:rPr>
                <w:rFonts w:ascii="宋体"/>
                <w:vanish/>
              </w:rPr>
            </w:pPr>
          </w:p>
        </w:tc>
        <w:tc>
          <w:tcPr>
            <w:tcW w:w="0" w:type="auto"/>
            <w:shd w:val="clear" w:color="auto" w:fill="auto"/>
          </w:tcPr>
          <w:p w14:paraId="5EA21BDF" w14:textId="77777777" w:rsidR="003C66EB" w:rsidRDefault="003C66EB">
            <w:pPr>
              <w:rPr>
                <w:rFonts w:ascii="宋体"/>
                <w:vanish/>
              </w:rPr>
            </w:pPr>
          </w:p>
        </w:tc>
        <w:tc>
          <w:tcPr>
            <w:tcW w:w="0" w:type="auto"/>
            <w:gridSpan w:val="3"/>
            <w:shd w:val="clear" w:color="auto" w:fill="auto"/>
          </w:tcPr>
          <w:p w14:paraId="5EA21BE0" w14:textId="77777777" w:rsidR="003C66EB" w:rsidRDefault="003C66EB">
            <w:pPr>
              <w:rPr>
                <w:rFonts w:ascii="宋体"/>
                <w:vanish/>
              </w:rPr>
            </w:pPr>
          </w:p>
        </w:tc>
        <w:tc>
          <w:tcPr>
            <w:tcW w:w="0" w:type="auto"/>
            <w:gridSpan w:val="3"/>
            <w:shd w:val="clear" w:color="auto" w:fill="auto"/>
          </w:tcPr>
          <w:p w14:paraId="5EA21BE1" w14:textId="77777777" w:rsidR="003C66EB" w:rsidRDefault="003C66EB">
            <w:pPr>
              <w:rPr>
                <w:rFonts w:ascii="宋体"/>
                <w:vanish/>
              </w:rPr>
            </w:pPr>
          </w:p>
        </w:tc>
        <w:tc>
          <w:tcPr>
            <w:tcW w:w="0" w:type="auto"/>
            <w:gridSpan w:val="3"/>
            <w:shd w:val="clear" w:color="auto" w:fill="auto"/>
          </w:tcPr>
          <w:p w14:paraId="5EA21BE2" w14:textId="77777777" w:rsidR="003C66EB" w:rsidRDefault="003C66EB">
            <w:pPr>
              <w:rPr>
                <w:rFonts w:ascii="宋体"/>
                <w:vanish/>
              </w:rPr>
            </w:pPr>
          </w:p>
        </w:tc>
        <w:tc>
          <w:tcPr>
            <w:tcW w:w="0" w:type="auto"/>
            <w:gridSpan w:val="3"/>
            <w:shd w:val="clear" w:color="auto" w:fill="auto"/>
          </w:tcPr>
          <w:p w14:paraId="5EA21BE3" w14:textId="77777777" w:rsidR="003C66EB" w:rsidRDefault="003C66EB">
            <w:pPr>
              <w:rPr>
                <w:rFonts w:ascii="宋体"/>
                <w:vanish/>
              </w:rPr>
            </w:pPr>
          </w:p>
        </w:tc>
      </w:tr>
      <w:tr w:rsidR="003C66EB" w14:paraId="5EA21BEF" w14:textId="77777777">
        <w:tc>
          <w:tcPr>
            <w:tcW w:w="0" w:type="auto"/>
            <w:gridSpan w:val="3"/>
            <w:shd w:val="clear" w:color="auto" w:fill="auto"/>
            <w:tcMar>
              <w:top w:w="40" w:type="dxa"/>
              <w:left w:w="20" w:type="dxa"/>
              <w:bottom w:w="40" w:type="dxa"/>
              <w:right w:w="20" w:type="dxa"/>
            </w:tcMar>
            <w:vAlign w:val="bottom"/>
          </w:tcPr>
          <w:p w14:paraId="5EA21BE5" w14:textId="77777777" w:rsidR="003C66EB" w:rsidRDefault="00D96C4E">
            <w:pPr>
              <w:textAlignment w:val="bottom"/>
            </w:pPr>
            <w:r>
              <w:rPr>
                <w:rFonts w:ascii="Arial" w:eastAsia="宋体" w:hAnsi="Arial" w:cs="Arial"/>
                <w:b/>
                <w:bCs/>
                <w:color w:val="000000"/>
                <w:sz w:val="18"/>
                <w:szCs w:val="18"/>
              </w:rPr>
              <w:t>Fee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1BE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BE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BE8" w14:textId="77777777" w:rsidR="003C66EB" w:rsidRDefault="003C66EB">
            <w:pPr>
              <w:rPr>
                <w:rFonts w:ascii="宋体"/>
              </w:rPr>
            </w:pPr>
          </w:p>
        </w:tc>
        <w:tc>
          <w:tcPr>
            <w:tcW w:w="0" w:type="auto"/>
            <w:shd w:val="clear" w:color="auto" w:fill="auto"/>
          </w:tcPr>
          <w:p w14:paraId="5EA21BE9" w14:textId="77777777" w:rsidR="003C66EB" w:rsidRDefault="003C66EB">
            <w:pPr>
              <w:rPr>
                <w:rFonts w:ascii="宋体"/>
                <w:vanish/>
              </w:rPr>
            </w:pPr>
          </w:p>
        </w:tc>
        <w:tc>
          <w:tcPr>
            <w:tcW w:w="0" w:type="auto"/>
            <w:shd w:val="clear" w:color="auto" w:fill="auto"/>
          </w:tcPr>
          <w:p w14:paraId="5EA21BEA" w14:textId="77777777" w:rsidR="003C66EB" w:rsidRDefault="003C66EB">
            <w:pPr>
              <w:rPr>
                <w:rFonts w:ascii="宋体"/>
                <w:vanish/>
              </w:rPr>
            </w:pPr>
          </w:p>
        </w:tc>
        <w:tc>
          <w:tcPr>
            <w:tcW w:w="0" w:type="auto"/>
            <w:gridSpan w:val="3"/>
            <w:shd w:val="clear" w:color="auto" w:fill="auto"/>
          </w:tcPr>
          <w:p w14:paraId="5EA21BEB" w14:textId="77777777" w:rsidR="003C66EB" w:rsidRDefault="003C66EB">
            <w:pPr>
              <w:rPr>
                <w:rFonts w:ascii="宋体"/>
                <w:vanish/>
              </w:rPr>
            </w:pPr>
          </w:p>
        </w:tc>
        <w:tc>
          <w:tcPr>
            <w:tcW w:w="0" w:type="auto"/>
            <w:gridSpan w:val="3"/>
            <w:shd w:val="clear" w:color="auto" w:fill="auto"/>
          </w:tcPr>
          <w:p w14:paraId="5EA21BEC" w14:textId="77777777" w:rsidR="003C66EB" w:rsidRDefault="003C66EB">
            <w:pPr>
              <w:rPr>
                <w:rFonts w:ascii="宋体"/>
                <w:vanish/>
              </w:rPr>
            </w:pPr>
          </w:p>
        </w:tc>
        <w:tc>
          <w:tcPr>
            <w:tcW w:w="0" w:type="auto"/>
            <w:gridSpan w:val="3"/>
            <w:shd w:val="clear" w:color="auto" w:fill="auto"/>
          </w:tcPr>
          <w:p w14:paraId="5EA21BED" w14:textId="77777777" w:rsidR="003C66EB" w:rsidRDefault="003C66EB">
            <w:pPr>
              <w:rPr>
                <w:rFonts w:ascii="宋体"/>
                <w:vanish/>
              </w:rPr>
            </w:pPr>
          </w:p>
        </w:tc>
        <w:tc>
          <w:tcPr>
            <w:tcW w:w="0" w:type="auto"/>
            <w:gridSpan w:val="3"/>
            <w:shd w:val="clear" w:color="auto" w:fill="auto"/>
          </w:tcPr>
          <w:p w14:paraId="5EA21BEE" w14:textId="77777777" w:rsidR="003C66EB" w:rsidRDefault="003C66EB">
            <w:pPr>
              <w:rPr>
                <w:rFonts w:ascii="宋体"/>
                <w:vanish/>
              </w:rPr>
            </w:pPr>
          </w:p>
        </w:tc>
      </w:tr>
      <w:tr w:rsidR="003C66EB" w14:paraId="5EA21BFE" w14:textId="77777777">
        <w:tc>
          <w:tcPr>
            <w:tcW w:w="0" w:type="auto"/>
            <w:gridSpan w:val="3"/>
            <w:shd w:val="clear" w:color="auto" w:fill="CCEEFF"/>
            <w:tcMar>
              <w:top w:w="40" w:type="dxa"/>
              <w:left w:w="20" w:type="dxa"/>
              <w:bottom w:w="40" w:type="dxa"/>
              <w:right w:w="20" w:type="dxa"/>
            </w:tcMar>
            <w:vAlign w:val="bottom"/>
          </w:tcPr>
          <w:p w14:paraId="5EA21BF0" w14:textId="77777777" w:rsidR="003C66EB" w:rsidRDefault="00D96C4E">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right w:w="0" w:type="dxa"/>
            </w:tcMar>
            <w:vAlign w:val="bottom"/>
          </w:tcPr>
          <w:p w14:paraId="5EA21BF1" w14:textId="77777777" w:rsidR="003C66EB" w:rsidRDefault="00D96C4E">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A21BF2" w14:textId="77777777" w:rsidR="003C66EB" w:rsidRDefault="00D96C4E">
            <w:pPr>
              <w:jc w:val="right"/>
              <w:textAlignment w:val="bottom"/>
            </w:pPr>
            <w:r>
              <w:rPr>
                <w:rFonts w:ascii="Arial" w:eastAsia="宋体" w:hAnsi="Arial" w:cs="Arial"/>
                <w:b/>
                <w:bCs/>
                <w:color w:val="000000"/>
                <w:sz w:val="18"/>
                <w:szCs w:val="18"/>
              </w:rPr>
              <w:t>1,371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BF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BF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BF5" w14:textId="77777777" w:rsidR="003C66EB" w:rsidRDefault="00D96C4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A21BF6" w14:textId="77777777" w:rsidR="003C66EB" w:rsidRDefault="00D96C4E">
            <w:pPr>
              <w:jc w:val="right"/>
              <w:textAlignment w:val="bottom"/>
            </w:pPr>
            <w:r>
              <w:rPr>
                <w:rFonts w:ascii="Arial" w:eastAsia="宋体" w:hAnsi="Arial" w:cs="Arial"/>
                <w:color w:val="000000"/>
                <w:sz w:val="18"/>
                <w:szCs w:val="18"/>
              </w:rPr>
              <w:t>1,287 </w:t>
            </w:r>
          </w:p>
        </w:tc>
        <w:tc>
          <w:tcPr>
            <w:tcW w:w="0" w:type="auto"/>
            <w:shd w:val="clear" w:color="auto" w:fill="CCEEFF"/>
            <w:tcMar>
              <w:top w:w="40" w:type="dxa"/>
              <w:left w:w="0" w:type="dxa"/>
              <w:bottom w:w="40" w:type="dxa"/>
              <w:right w:w="20" w:type="dxa"/>
            </w:tcMar>
            <w:vAlign w:val="bottom"/>
          </w:tcPr>
          <w:p w14:paraId="5EA21BF7" w14:textId="77777777" w:rsidR="003C66EB" w:rsidRDefault="003C66EB">
            <w:pPr>
              <w:jc w:val="right"/>
              <w:rPr>
                <w:rFonts w:ascii="宋体"/>
              </w:rPr>
            </w:pPr>
          </w:p>
        </w:tc>
        <w:tc>
          <w:tcPr>
            <w:tcW w:w="0" w:type="auto"/>
            <w:shd w:val="clear" w:color="auto" w:fill="auto"/>
          </w:tcPr>
          <w:p w14:paraId="5EA21BF8" w14:textId="77777777" w:rsidR="003C66EB" w:rsidRDefault="003C66EB">
            <w:pPr>
              <w:rPr>
                <w:rFonts w:ascii="宋体"/>
                <w:vanish/>
              </w:rPr>
            </w:pPr>
          </w:p>
        </w:tc>
        <w:tc>
          <w:tcPr>
            <w:tcW w:w="0" w:type="auto"/>
            <w:shd w:val="clear" w:color="auto" w:fill="auto"/>
          </w:tcPr>
          <w:p w14:paraId="5EA21BF9" w14:textId="77777777" w:rsidR="003C66EB" w:rsidRDefault="003C66EB">
            <w:pPr>
              <w:rPr>
                <w:rFonts w:ascii="宋体"/>
                <w:vanish/>
              </w:rPr>
            </w:pPr>
          </w:p>
        </w:tc>
        <w:tc>
          <w:tcPr>
            <w:tcW w:w="0" w:type="auto"/>
            <w:gridSpan w:val="3"/>
            <w:shd w:val="clear" w:color="auto" w:fill="auto"/>
          </w:tcPr>
          <w:p w14:paraId="5EA21BFA" w14:textId="77777777" w:rsidR="003C66EB" w:rsidRDefault="003C66EB">
            <w:pPr>
              <w:rPr>
                <w:rFonts w:ascii="宋体"/>
                <w:vanish/>
              </w:rPr>
            </w:pPr>
          </w:p>
        </w:tc>
        <w:tc>
          <w:tcPr>
            <w:tcW w:w="0" w:type="auto"/>
            <w:gridSpan w:val="3"/>
            <w:shd w:val="clear" w:color="auto" w:fill="auto"/>
          </w:tcPr>
          <w:p w14:paraId="5EA21BFB" w14:textId="77777777" w:rsidR="003C66EB" w:rsidRDefault="003C66EB">
            <w:pPr>
              <w:rPr>
                <w:rFonts w:ascii="宋体"/>
                <w:vanish/>
              </w:rPr>
            </w:pPr>
          </w:p>
        </w:tc>
        <w:tc>
          <w:tcPr>
            <w:tcW w:w="0" w:type="auto"/>
            <w:gridSpan w:val="3"/>
            <w:shd w:val="clear" w:color="auto" w:fill="auto"/>
          </w:tcPr>
          <w:p w14:paraId="5EA21BFC" w14:textId="77777777" w:rsidR="003C66EB" w:rsidRDefault="003C66EB">
            <w:pPr>
              <w:rPr>
                <w:rFonts w:ascii="宋体"/>
                <w:vanish/>
              </w:rPr>
            </w:pPr>
          </w:p>
        </w:tc>
        <w:tc>
          <w:tcPr>
            <w:tcW w:w="0" w:type="auto"/>
            <w:gridSpan w:val="3"/>
            <w:shd w:val="clear" w:color="auto" w:fill="auto"/>
          </w:tcPr>
          <w:p w14:paraId="5EA21BFD" w14:textId="77777777" w:rsidR="003C66EB" w:rsidRDefault="003C66EB">
            <w:pPr>
              <w:rPr>
                <w:rFonts w:ascii="宋体"/>
                <w:vanish/>
              </w:rPr>
            </w:pPr>
          </w:p>
        </w:tc>
      </w:tr>
      <w:tr w:rsidR="003C66EB" w14:paraId="5EA21C0B" w14:textId="77777777">
        <w:tc>
          <w:tcPr>
            <w:tcW w:w="0" w:type="auto"/>
            <w:gridSpan w:val="3"/>
            <w:shd w:val="clear" w:color="auto" w:fill="FFFFFF"/>
            <w:tcMar>
              <w:top w:w="40" w:type="dxa"/>
              <w:left w:w="20" w:type="dxa"/>
              <w:bottom w:w="40" w:type="dxa"/>
              <w:right w:w="20" w:type="dxa"/>
            </w:tcMar>
            <w:vAlign w:val="bottom"/>
          </w:tcPr>
          <w:p w14:paraId="5EA21BFF" w14:textId="77777777" w:rsidR="003C66EB" w:rsidRDefault="00D96C4E">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5EA21C00" w14:textId="77777777" w:rsidR="003C66EB" w:rsidRDefault="00D96C4E">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C0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0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C03" w14:textId="77777777" w:rsidR="003C66EB" w:rsidRDefault="00D96C4E">
            <w:pPr>
              <w:jc w:val="right"/>
              <w:textAlignment w:val="bottom"/>
            </w:pPr>
            <w:r>
              <w:rPr>
                <w:rFonts w:ascii="Arial" w:eastAsia="宋体" w:hAnsi="Arial" w:cs="Arial"/>
                <w:color w:val="000000"/>
                <w:sz w:val="18"/>
                <w:szCs w:val="18"/>
              </w:rPr>
              <w:t>464 </w:t>
            </w:r>
          </w:p>
        </w:tc>
        <w:tc>
          <w:tcPr>
            <w:tcW w:w="0" w:type="auto"/>
            <w:shd w:val="clear" w:color="auto" w:fill="FFFFFF"/>
            <w:tcMar>
              <w:top w:w="40" w:type="dxa"/>
              <w:left w:w="0" w:type="dxa"/>
              <w:bottom w:w="40" w:type="dxa"/>
              <w:right w:w="20" w:type="dxa"/>
            </w:tcMar>
            <w:vAlign w:val="bottom"/>
          </w:tcPr>
          <w:p w14:paraId="5EA21C04" w14:textId="77777777" w:rsidR="003C66EB" w:rsidRDefault="003C66EB">
            <w:pPr>
              <w:jc w:val="right"/>
              <w:rPr>
                <w:rFonts w:ascii="宋体"/>
              </w:rPr>
            </w:pPr>
          </w:p>
        </w:tc>
        <w:tc>
          <w:tcPr>
            <w:tcW w:w="0" w:type="auto"/>
            <w:shd w:val="clear" w:color="auto" w:fill="auto"/>
          </w:tcPr>
          <w:p w14:paraId="5EA21C05" w14:textId="77777777" w:rsidR="003C66EB" w:rsidRDefault="003C66EB">
            <w:pPr>
              <w:rPr>
                <w:rFonts w:ascii="宋体"/>
                <w:vanish/>
              </w:rPr>
            </w:pPr>
          </w:p>
        </w:tc>
        <w:tc>
          <w:tcPr>
            <w:tcW w:w="0" w:type="auto"/>
            <w:shd w:val="clear" w:color="auto" w:fill="auto"/>
          </w:tcPr>
          <w:p w14:paraId="5EA21C06" w14:textId="77777777" w:rsidR="003C66EB" w:rsidRDefault="003C66EB">
            <w:pPr>
              <w:rPr>
                <w:rFonts w:ascii="宋体"/>
                <w:vanish/>
              </w:rPr>
            </w:pPr>
          </w:p>
        </w:tc>
        <w:tc>
          <w:tcPr>
            <w:tcW w:w="0" w:type="auto"/>
            <w:gridSpan w:val="3"/>
            <w:shd w:val="clear" w:color="auto" w:fill="auto"/>
          </w:tcPr>
          <w:p w14:paraId="5EA21C07" w14:textId="77777777" w:rsidR="003C66EB" w:rsidRDefault="003C66EB">
            <w:pPr>
              <w:rPr>
                <w:rFonts w:ascii="宋体"/>
                <w:vanish/>
              </w:rPr>
            </w:pPr>
          </w:p>
        </w:tc>
        <w:tc>
          <w:tcPr>
            <w:tcW w:w="0" w:type="auto"/>
            <w:gridSpan w:val="3"/>
            <w:shd w:val="clear" w:color="auto" w:fill="auto"/>
          </w:tcPr>
          <w:p w14:paraId="5EA21C08" w14:textId="77777777" w:rsidR="003C66EB" w:rsidRDefault="003C66EB">
            <w:pPr>
              <w:rPr>
                <w:rFonts w:ascii="宋体"/>
                <w:vanish/>
              </w:rPr>
            </w:pPr>
          </w:p>
        </w:tc>
        <w:tc>
          <w:tcPr>
            <w:tcW w:w="0" w:type="auto"/>
            <w:gridSpan w:val="3"/>
            <w:shd w:val="clear" w:color="auto" w:fill="auto"/>
          </w:tcPr>
          <w:p w14:paraId="5EA21C09" w14:textId="77777777" w:rsidR="003C66EB" w:rsidRDefault="003C66EB">
            <w:pPr>
              <w:rPr>
                <w:rFonts w:ascii="宋体"/>
                <w:vanish/>
              </w:rPr>
            </w:pPr>
          </w:p>
        </w:tc>
        <w:tc>
          <w:tcPr>
            <w:tcW w:w="0" w:type="auto"/>
            <w:gridSpan w:val="3"/>
            <w:shd w:val="clear" w:color="auto" w:fill="auto"/>
          </w:tcPr>
          <w:p w14:paraId="5EA21C0A" w14:textId="77777777" w:rsidR="003C66EB" w:rsidRDefault="003C66EB">
            <w:pPr>
              <w:rPr>
                <w:rFonts w:ascii="宋体"/>
                <w:vanish/>
              </w:rPr>
            </w:pPr>
          </w:p>
        </w:tc>
      </w:tr>
      <w:tr w:rsidR="003C66EB" w14:paraId="5EA21C18" w14:textId="77777777">
        <w:tc>
          <w:tcPr>
            <w:tcW w:w="0" w:type="auto"/>
            <w:gridSpan w:val="3"/>
            <w:shd w:val="clear" w:color="auto" w:fill="CCEEFF"/>
            <w:tcMar>
              <w:top w:w="40" w:type="dxa"/>
              <w:left w:w="20" w:type="dxa"/>
              <w:bottom w:w="40" w:type="dxa"/>
              <w:right w:w="20" w:type="dxa"/>
            </w:tcMar>
            <w:vAlign w:val="bottom"/>
          </w:tcPr>
          <w:p w14:paraId="5EA21C0C" w14:textId="77777777" w:rsidR="003C66EB" w:rsidRDefault="00D96C4E">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EA21C0D" w14:textId="77777777" w:rsidR="003C66EB" w:rsidRDefault="00D96C4E">
            <w:pPr>
              <w:jc w:val="right"/>
              <w:textAlignment w:val="bottom"/>
            </w:pPr>
            <w:r>
              <w:rPr>
                <w:rFonts w:ascii="Arial" w:eastAsia="宋体" w:hAnsi="Arial" w:cs="Arial"/>
                <w:b/>
                <w:bCs/>
                <w:color w:val="000000"/>
                <w:sz w:val="18"/>
                <w:szCs w:val="18"/>
              </w:rPr>
              <w:t>346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C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C0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C10" w14:textId="77777777" w:rsidR="003C66EB" w:rsidRDefault="00D96C4E">
            <w:pPr>
              <w:jc w:val="right"/>
              <w:textAlignment w:val="bottom"/>
            </w:pPr>
            <w:r>
              <w:rPr>
                <w:rFonts w:ascii="Arial" w:eastAsia="宋体" w:hAnsi="Arial" w:cs="Arial"/>
                <w:color w:val="000000"/>
                <w:sz w:val="18"/>
                <w:szCs w:val="18"/>
              </w:rPr>
              <w:t>444 </w:t>
            </w:r>
          </w:p>
        </w:tc>
        <w:tc>
          <w:tcPr>
            <w:tcW w:w="0" w:type="auto"/>
            <w:shd w:val="clear" w:color="auto" w:fill="CCEEFF"/>
            <w:tcMar>
              <w:top w:w="40" w:type="dxa"/>
              <w:left w:w="0" w:type="dxa"/>
              <w:bottom w:w="40" w:type="dxa"/>
              <w:right w:w="20" w:type="dxa"/>
            </w:tcMar>
            <w:vAlign w:val="bottom"/>
          </w:tcPr>
          <w:p w14:paraId="5EA21C11" w14:textId="77777777" w:rsidR="003C66EB" w:rsidRDefault="003C66EB">
            <w:pPr>
              <w:jc w:val="right"/>
              <w:rPr>
                <w:rFonts w:ascii="宋体"/>
              </w:rPr>
            </w:pPr>
          </w:p>
        </w:tc>
        <w:tc>
          <w:tcPr>
            <w:tcW w:w="0" w:type="auto"/>
            <w:shd w:val="clear" w:color="auto" w:fill="auto"/>
          </w:tcPr>
          <w:p w14:paraId="5EA21C12" w14:textId="77777777" w:rsidR="003C66EB" w:rsidRDefault="003C66EB">
            <w:pPr>
              <w:rPr>
                <w:rFonts w:ascii="宋体"/>
                <w:vanish/>
              </w:rPr>
            </w:pPr>
          </w:p>
        </w:tc>
        <w:tc>
          <w:tcPr>
            <w:tcW w:w="0" w:type="auto"/>
            <w:shd w:val="clear" w:color="auto" w:fill="auto"/>
          </w:tcPr>
          <w:p w14:paraId="5EA21C13" w14:textId="77777777" w:rsidR="003C66EB" w:rsidRDefault="003C66EB">
            <w:pPr>
              <w:rPr>
                <w:rFonts w:ascii="宋体"/>
                <w:vanish/>
              </w:rPr>
            </w:pPr>
          </w:p>
        </w:tc>
        <w:tc>
          <w:tcPr>
            <w:tcW w:w="0" w:type="auto"/>
            <w:gridSpan w:val="3"/>
            <w:shd w:val="clear" w:color="auto" w:fill="auto"/>
          </w:tcPr>
          <w:p w14:paraId="5EA21C14" w14:textId="77777777" w:rsidR="003C66EB" w:rsidRDefault="003C66EB">
            <w:pPr>
              <w:rPr>
                <w:rFonts w:ascii="宋体"/>
                <w:vanish/>
              </w:rPr>
            </w:pPr>
          </w:p>
        </w:tc>
        <w:tc>
          <w:tcPr>
            <w:tcW w:w="0" w:type="auto"/>
            <w:gridSpan w:val="3"/>
            <w:shd w:val="clear" w:color="auto" w:fill="auto"/>
          </w:tcPr>
          <w:p w14:paraId="5EA21C15" w14:textId="77777777" w:rsidR="003C66EB" w:rsidRDefault="003C66EB">
            <w:pPr>
              <w:rPr>
                <w:rFonts w:ascii="宋体"/>
                <w:vanish/>
              </w:rPr>
            </w:pPr>
          </w:p>
        </w:tc>
        <w:tc>
          <w:tcPr>
            <w:tcW w:w="0" w:type="auto"/>
            <w:gridSpan w:val="3"/>
            <w:shd w:val="clear" w:color="auto" w:fill="auto"/>
          </w:tcPr>
          <w:p w14:paraId="5EA21C16" w14:textId="77777777" w:rsidR="003C66EB" w:rsidRDefault="003C66EB">
            <w:pPr>
              <w:rPr>
                <w:rFonts w:ascii="宋体"/>
                <w:vanish/>
              </w:rPr>
            </w:pPr>
          </w:p>
        </w:tc>
        <w:tc>
          <w:tcPr>
            <w:tcW w:w="0" w:type="auto"/>
            <w:gridSpan w:val="3"/>
            <w:shd w:val="clear" w:color="auto" w:fill="auto"/>
          </w:tcPr>
          <w:p w14:paraId="5EA21C17" w14:textId="77777777" w:rsidR="003C66EB" w:rsidRDefault="003C66EB">
            <w:pPr>
              <w:rPr>
                <w:rFonts w:ascii="宋体"/>
                <w:vanish/>
              </w:rPr>
            </w:pPr>
          </w:p>
        </w:tc>
      </w:tr>
      <w:tr w:rsidR="003C66EB" w14:paraId="5EA21C25" w14:textId="77777777">
        <w:tc>
          <w:tcPr>
            <w:tcW w:w="0" w:type="auto"/>
            <w:gridSpan w:val="3"/>
            <w:shd w:val="clear" w:color="auto" w:fill="FFFFFF"/>
            <w:tcMar>
              <w:top w:w="40" w:type="dxa"/>
              <w:left w:w="20" w:type="dxa"/>
              <w:bottom w:w="40" w:type="dxa"/>
              <w:right w:w="20" w:type="dxa"/>
            </w:tcMar>
            <w:vAlign w:val="bottom"/>
          </w:tcPr>
          <w:p w14:paraId="5EA21C19" w14:textId="77777777" w:rsidR="003C66EB" w:rsidRDefault="00D96C4E">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5EA21C1A" w14:textId="77777777" w:rsidR="003C66EB" w:rsidRDefault="00D96C4E">
            <w:pPr>
              <w:jc w:val="right"/>
              <w:textAlignment w:val="bottom"/>
            </w:pPr>
            <w:r>
              <w:rPr>
                <w:rFonts w:ascii="Arial" w:eastAsia="宋体" w:hAnsi="Arial" w:cs="Arial"/>
                <w:b/>
                <w:bCs/>
                <w:color w:val="000000"/>
                <w:sz w:val="18"/>
                <w:szCs w:val="18"/>
              </w:rPr>
              <w:t>99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C1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1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C1D" w14:textId="77777777" w:rsidR="003C66EB" w:rsidRDefault="00D96C4E">
            <w:pPr>
              <w:jc w:val="right"/>
              <w:textAlignment w:val="bottom"/>
            </w:pPr>
            <w:r>
              <w:rPr>
                <w:rFonts w:ascii="Arial" w:eastAsia="宋体" w:hAnsi="Arial" w:cs="Arial"/>
                <w:color w:val="000000"/>
                <w:sz w:val="18"/>
                <w:szCs w:val="18"/>
              </w:rPr>
              <w:t>92 </w:t>
            </w:r>
          </w:p>
        </w:tc>
        <w:tc>
          <w:tcPr>
            <w:tcW w:w="0" w:type="auto"/>
            <w:shd w:val="clear" w:color="auto" w:fill="FFFFFF"/>
            <w:tcMar>
              <w:top w:w="40" w:type="dxa"/>
              <w:left w:w="0" w:type="dxa"/>
              <w:bottom w:w="40" w:type="dxa"/>
              <w:right w:w="20" w:type="dxa"/>
            </w:tcMar>
            <w:vAlign w:val="bottom"/>
          </w:tcPr>
          <w:p w14:paraId="5EA21C1E" w14:textId="77777777" w:rsidR="003C66EB" w:rsidRDefault="003C66EB">
            <w:pPr>
              <w:jc w:val="right"/>
              <w:rPr>
                <w:rFonts w:ascii="宋体"/>
              </w:rPr>
            </w:pPr>
          </w:p>
        </w:tc>
        <w:tc>
          <w:tcPr>
            <w:tcW w:w="0" w:type="auto"/>
            <w:shd w:val="clear" w:color="auto" w:fill="auto"/>
          </w:tcPr>
          <w:p w14:paraId="5EA21C1F" w14:textId="77777777" w:rsidR="003C66EB" w:rsidRDefault="003C66EB">
            <w:pPr>
              <w:rPr>
                <w:rFonts w:ascii="宋体"/>
                <w:vanish/>
              </w:rPr>
            </w:pPr>
          </w:p>
        </w:tc>
        <w:tc>
          <w:tcPr>
            <w:tcW w:w="0" w:type="auto"/>
            <w:shd w:val="clear" w:color="auto" w:fill="auto"/>
          </w:tcPr>
          <w:p w14:paraId="5EA21C20" w14:textId="77777777" w:rsidR="003C66EB" w:rsidRDefault="003C66EB">
            <w:pPr>
              <w:rPr>
                <w:rFonts w:ascii="宋体"/>
                <w:vanish/>
              </w:rPr>
            </w:pPr>
          </w:p>
        </w:tc>
        <w:tc>
          <w:tcPr>
            <w:tcW w:w="0" w:type="auto"/>
            <w:gridSpan w:val="3"/>
            <w:shd w:val="clear" w:color="auto" w:fill="auto"/>
          </w:tcPr>
          <w:p w14:paraId="5EA21C21" w14:textId="77777777" w:rsidR="003C66EB" w:rsidRDefault="003C66EB">
            <w:pPr>
              <w:rPr>
                <w:rFonts w:ascii="宋体"/>
                <w:vanish/>
              </w:rPr>
            </w:pPr>
          </w:p>
        </w:tc>
        <w:tc>
          <w:tcPr>
            <w:tcW w:w="0" w:type="auto"/>
            <w:gridSpan w:val="3"/>
            <w:shd w:val="clear" w:color="auto" w:fill="auto"/>
          </w:tcPr>
          <w:p w14:paraId="5EA21C22" w14:textId="77777777" w:rsidR="003C66EB" w:rsidRDefault="003C66EB">
            <w:pPr>
              <w:rPr>
                <w:rFonts w:ascii="宋体"/>
                <w:vanish/>
              </w:rPr>
            </w:pPr>
          </w:p>
        </w:tc>
        <w:tc>
          <w:tcPr>
            <w:tcW w:w="0" w:type="auto"/>
            <w:gridSpan w:val="3"/>
            <w:shd w:val="clear" w:color="auto" w:fill="auto"/>
          </w:tcPr>
          <w:p w14:paraId="5EA21C23" w14:textId="77777777" w:rsidR="003C66EB" w:rsidRDefault="003C66EB">
            <w:pPr>
              <w:rPr>
                <w:rFonts w:ascii="宋体"/>
                <w:vanish/>
              </w:rPr>
            </w:pPr>
          </w:p>
        </w:tc>
        <w:tc>
          <w:tcPr>
            <w:tcW w:w="0" w:type="auto"/>
            <w:gridSpan w:val="3"/>
            <w:shd w:val="clear" w:color="auto" w:fill="auto"/>
          </w:tcPr>
          <w:p w14:paraId="5EA21C24" w14:textId="77777777" w:rsidR="003C66EB" w:rsidRDefault="003C66EB">
            <w:pPr>
              <w:rPr>
                <w:rFonts w:ascii="宋体"/>
                <w:vanish/>
              </w:rPr>
            </w:pPr>
          </w:p>
        </w:tc>
      </w:tr>
      <w:tr w:rsidR="003C66EB" w14:paraId="5EA21C32" w14:textId="77777777">
        <w:tc>
          <w:tcPr>
            <w:tcW w:w="0" w:type="auto"/>
            <w:gridSpan w:val="3"/>
            <w:shd w:val="clear" w:color="auto" w:fill="CCEEFF"/>
            <w:tcMar>
              <w:top w:w="40" w:type="dxa"/>
              <w:left w:w="20" w:type="dxa"/>
              <w:bottom w:w="40" w:type="dxa"/>
              <w:right w:w="20" w:type="dxa"/>
            </w:tcMar>
            <w:vAlign w:val="bottom"/>
          </w:tcPr>
          <w:p w14:paraId="5EA21C26" w14:textId="77777777" w:rsidR="003C66EB" w:rsidRDefault="00D96C4E">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5EA21C27" w14:textId="77777777" w:rsidR="003C66EB" w:rsidRDefault="00D96C4E">
            <w:pPr>
              <w:jc w:val="right"/>
              <w:textAlignment w:val="bottom"/>
            </w:pPr>
            <w:r>
              <w:rPr>
                <w:rFonts w:ascii="Arial" w:eastAsia="宋体" w:hAnsi="Arial" w:cs="Arial"/>
                <w:b/>
                <w:bCs/>
                <w:color w:val="000000"/>
                <w:sz w:val="18"/>
                <w:szCs w:val="18"/>
              </w:rPr>
              <w:t>174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C2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C2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C2A" w14:textId="77777777" w:rsidR="003C66EB" w:rsidRDefault="00D96C4E">
            <w:pPr>
              <w:jc w:val="right"/>
              <w:textAlignment w:val="bottom"/>
            </w:pPr>
            <w:r>
              <w:rPr>
                <w:rFonts w:ascii="Arial" w:eastAsia="宋体" w:hAnsi="Arial" w:cs="Arial"/>
                <w:color w:val="000000"/>
                <w:sz w:val="18"/>
                <w:szCs w:val="18"/>
              </w:rPr>
              <w:t>112 </w:t>
            </w:r>
          </w:p>
        </w:tc>
        <w:tc>
          <w:tcPr>
            <w:tcW w:w="0" w:type="auto"/>
            <w:shd w:val="clear" w:color="auto" w:fill="CCEEFF"/>
            <w:tcMar>
              <w:top w:w="40" w:type="dxa"/>
              <w:left w:w="0" w:type="dxa"/>
              <w:bottom w:w="40" w:type="dxa"/>
              <w:right w:w="20" w:type="dxa"/>
            </w:tcMar>
            <w:vAlign w:val="bottom"/>
          </w:tcPr>
          <w:p w14:paraId="5EA21C2B" w14:textId="77777777" w:rsidR="003C66EB" w:rsidRDefault="003C66EB">
            <w:pPr>
              <w:jc w:val="right"/>
              <w:rPr>
                <w:rFonts w:ascii="宋体"/>
              </w:rPr>
            </w:pPr>
          </w:p>
        </w:tc>
        <w:tc>
          <w:tcPr>
            <w:tcW w:w="0" w:type="auto"/>
            <w:shd w:val="clear" w:color="auto" w:fill="auto"/>
          </w:tcPr>
          <w:p w14:paraId="5EA21C2C" w14:textId="77777777" w:rsidR="003C66EB" w:rsidRDefault="003C66EB">
            <w:pPr>
              <w:rPr>
                <w:rFonts w:ascii="宋体"/>
                <w:vanish/>
              </w:rPr>
            </w:pPr>
          </w:p>
        </w:tc>
        <w:tc>
          <w:tcPr>
            <w:tcW w:w="0" w:type="auto"/>
            <w:shd w:val="clear" w:color="auto" w:fill="auto"/>
          </w:tcPr>
          <w:p w14:paraId="5EA21C2D" w14:textId="77777777" w:rsidR="003C66EB" w:rsidRDefault="003C66EB">
            <w:pPr>
              <w:rPr>
                <w:rFonts w:ascii="宋体"/>
                <w:vanish/>
              </w:rPr>
            </w:pPr>
          </w:p>
        </w:tc>
        <w:tc>
          <w:tcPr>
            <w:tcW w:w="0" w:type="auto"/>
            <w:gridSpan w:val="3"/>
            <w:shd w:val="clear" w:color="auto" w:fill="auto"/>
          </w:tcPr>
          <w:p w14:paraId="5EA21C2E" w14:textId="77777777" w:rsidR="003C66EB" w:rsidRDefault="003C66EB">
            <w:pPr>
              <w:rPr>
                <w:rFonts w:ascii="宋体"/>
                <w:vanish/>
              </w:rPr>
            </w:pPr>
          </w:p>
        </w:tc>
        <w:tc>
          <w:tcPr>
            <w:tcW w:w="0" w:type="auto"/>
            <w:gridSpan w:val="3"/>
            <w:shd w:val="clear" w:color="auto" w:fill="auto"/>
          </w:tcPr>
          <w:p w14:paraId="5EA21C2F" w14:textId="77777777" w:rsidR="003C66EB" w:rsidRDefault="003C66EB">
            <w:pPr>
              <w:rPr>
                <w:rFonts w:ascii="宋体"/>
                <w:vanish/>
              </w:rPr>
            </w:pPr>
          </w:p>
        </w:tc>
        <w:tc>
          <w:tcPr>
            <w:tcW w:w="0" w:type="auto"/>
            <w:gridSpan w:val="3"/>
            <w:shd w:val="clear" w:color="auto" w:fill="auto"/>
          </w:tcPr>
          <w:p w14:paraId="5EA21C30" w14:textId="77777777" w:rsidR="003C66EB" w:rsidRDefault="003C66EB">
            <w:pPr>
              <w:rPr>
                <w:rFonts w:ascii="宋体"/>
                <w:vanish/>
              </w:rPr>
            </w:pPr>
          </w:p>
        </w:tc>
        <w:tc>
          <w:tcPr>
            <w:tcW w:w="0" w:type="auto"/>
            <w:gridSpan w:val="3"/>
            <w:shd w:val="clear" w:color="auto" w:fill="auto"/>
          </w:tcPr>
          <w:p w14:paraId="5EA21C31" w14:textId="77777777" w:rsidR="003C66EB" w:rsidRDefault="003C66EB">
            <w:pPr>
              <w:rPr>
                <w:rFonts w:ascii="宋体"/>
                <w:vanish/>
              </w:rPr>
            </w:pPr>
          </w:p>
        </w:tc>
      </w:tr>
      <w:tr w:rsidR="003C66EB" w14:paraId="5EA21C3F" w14:textId="77777777">
        <w:tc>
          <w:tcPr>
            <w:tcW w:w="0" w:type="auto"/>
            <w:gridSpan w:val="3"/>
            <w:shd w:val="clear" w:color="auto" w:fill="FFFFFF"/>
            <w:tcMar>
              <w:top w:w="40" w:type="dxa"/>
              <w:left w:w="20" w:type="dxa"/>
              <w:bottom w:w="40" w:type="dxa"/>
              <w:right w:w="20" w:type="dxa"/>
            </w:tcMar>
            <w:vAlign w:val="bottom"/>
          </w:tcPr>
          <w:p w14:paraId="5EA21C33" w14:textId="77777777" w:rsidR="003C66EB" w:rsidRDefault="00D96C4E">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C34" w14:textId="77777777" w:rsidR="003C66EB" w:rsidRDefault="00D96C4E">
            <w:pPr>
              <w:jc w:val="right"/>
              <w:textAlignment w:val="bottom"/>
            </w:pPr>
            <w:r>
              <w:rPr>
                <w:rFonts w:ascii="Arial" w:eastAsia="宋体" w:hAnsi="Arial" w:cs="Arial"/>
                <w:b/>
                <w:bCs/>
                <w:color w:val="000000"/>
                <w:sz w:val="18"/>
                <w:szCs w:val="18"/>
              </w:rPr>
              <w:t>2,483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C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3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C37" w14:textId="77777777" w:rsidR="003C66EB" w:rsidRDefault="00D96C4E">
            <w:pPr>
              <w:jc w:val="right"/>
              <w:textAlignment w:val="bottom"/>
            </w:pPr>
            <w:r>
              <w:rPr>
                <w:rFonts w:ascii="Arial" w:eastAsia="宋体" w:hAnsi="Arial" w:cs="Arial"/>
                <w:color w:val="000000"/>
                <w:sz w:val="18"/>
                <w:szCs w:val="18"/>
              </w:rPr>
              <w:t>2,399 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C38" w14:textId="77777777" w:rsidR="003C66EB" w:rsidRDefault="003C66EB">
            <w:pPr>
              <w:jc w:val="right"/>
              <w:rPr>
                <w:rFonts w:ascii="宋体"/>
              </w:rPr>
            </w:pPr>
          </w:p>
        </w:tc>
        <w:tc>
          <w:tcPr>
            <w:tcW w:w="0" w:type="auto"/>
            <w:shd w:val="clear" w:color="auto" w:fill="auto"/>
          </w:tcPr>
          <w:p w14:paraId="5EA21C39" w14:textId="77777777" w:rsidR="003C66EB" w:rsidRDefault="003C66EB">
            <w:pPr>
              <w:rPr>
                <w:rFonts w:ascii="宋体"/>
                <w:vanish/>
              </w:rPr>
            </w:pPr>
          </w:p>
        </w:tc>
        <w:tc>
          <w:tcPr>
            <w:tcW w:w="0" w:type="auto"/>
            <w:shd w:val="clear" w:color="auto" w:fill="auto"/>
          </w:tcPr>
          <w:p w14:paraId="5EA21C3A" w14:textId="77777777" w:rsidR="003C66EB" w:rsidRDefault="003C66EB">
            <w:pPr>
              <w:rPr>
                <w:rFonts w:ascii="宋体"/>
                <w:vanish/>
              </w:rPr>
            </w:pPr>
          </w:p>
        </w:tc>
        <w:tc>
          <w:tcPr>
            <w:tcW w:w="0" w:type="auto"/>
            <w:gridSpan w:val="3"/>
            <w:shd w:val="clear" w:color="auto" w:fill="auto"/>
          </w:tcPr>
          <w:p w14:paraId="5EA21C3B" w14:textId="77777777" w:rsidR="003C66EB" w:rsidRDefault="003C66EB">
            <w:pPr>
              <w:rPr>
                <w:rFonts w:ascii="宋体"/>
                <w:vanish/>
              </w:rPr>
            </w:pPr>
          </w:p>
        </w:tc>
        <w:tc>
          <w:tcPr>
            <w:tcW w:w="0" w:type="auto"/>
            <w:gridSpan w:val="3"/>
            <w:shd w:val="clear" w:color="auto" w:fill="auto"/>
          </w:tcPr>
          <w:p w14:paraId="5EA21C3C" w14:textId="77777777" w:rsidR="003C66EB" w:rsidRDefault="003C66EB">
            <w:pPr>
              <w:rPr>
                <w:rFonts w:ascii="宋体"/>
                <w:vanish/>
              </w:rPr>
            </w:pPr>
          </w:p>
        </w:tc>
        <w:tc>
          <w:tcPr>
            <w:tcW w:w="0" w:type="auto"/>
            <w:gridSpan w:val="3"/>
            <w:shd w:val="clear" w:color="auto" w:fill="auto"/>
          </w:tcPr>
          <w:p w14:paraId="5EA21C3D" w14:textId="77777777" w:rsidR="003C66EB" w:rsidRDefault="003C66EB">
            <w:pPr>
              <w:rPr>
                <w:rFonts w:ascii="宋体"/>
                <w:vanish/>
              </w:rPr>
            </w:pPr>
          </w:p>
        </w:tc>
        <w:tc>
          <w:tcPr>
            <w:tcW w:w="0" w:type="auto"/>
            <w:gridSpan w:val="3"/>
            <w:shd w:val="clear" w:color="auto" w:fill="auto"/>
          </w:tcPr>
          <w:p w14:paraId="5EA21C3E" w14:textId="77777777" w:rsidR="003C66EB" w:rsidRDefault="003C66EB">
            <w:pPr>
              <w:rPr>
                <w:rFonts w:ascii="宋体"/>
                <w:vanish/>
              </w:rPr>
            </w:pPr>
          </w:p>
        </w:tc>
      </w:tr>
      <w:tr w:rsidR="003C66EB" w14:paraId="5EA21C4A" w14:textId="77777777">
        <w:tc>
          <w:tcPr>
            <w:tcW w:w="0" w:type="auto"/>
            <w:gridSpan w:val="3"/>
            <w:shd w:val="clear" w:color="auto" w:fill="CCEEFF"/>
            <w:tcMar>
              <w:top w:w="40" w:type="dxa"/>
              <w:left w:w="20" w:type="dxa"/>
              <w:bottom w:w="40" w:type="dxa"/>
              <w:right w:w="20" w:type="dxa"/>
            </w:tcMar>
            <w:vAlign w:val="bottom"/>
          </w:tcPr>
          <w:p w14:paraId="5EA21C40" w14:textId="77777777" w:rsidR="003C66EB" w:rsidRDefault="00D96C4E">
            <w:pPr>
              <w:textAlignment w:val="bottom"/>
            </w:pPr>
            <w:r>
              <w:rPr>
                <w:rFonts w:ascii="Arial" w:eastAsia="宋体" w:hAnsi="Arial" w:cs="Arial"/>
                <w:b/>
                <w:bCs/>
                <w:color w:val="000000"/>
                <w:sz w:val="18"/>
                <w:szCs w:val="18"/>
              </w:rPr>
              <w:t>Net interest income:</w:t>
            </w:r>
          </w:p>
        </w:tc>
        <w:tc>
          <w:tcPr>
            <w:tcW w:w="0" w:type="auto"/>
            <w:gridSpan w:val="3"/>
            <w:shd w:val="clear" w:color="auto" w:fill="CCEEFF"/>
            <w:tcMar>
              <w:top w:w="0" w:type="dxa"/>
              <w:left w:w="20" w:type="dxa"/>
              <w:bottom w:w="0" w:type="dxa"/>
              <w:right w:w="20" w:type="dxa"/>
            </w:tcMar>
          </w:tcPr>
          <w:p w14:paraId="5EA21C4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C4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C43" w14:textId="77777777" w:rsidR="003C66EB" w:rsidRDefault="003C66EB">
            <w:pPr>
              <w:rPr>
                <w:rFonts w:ascii="宋体"/>
              </w:rPr>
            </w:pPr>
          </w:p>
        </w:tc>
        <w:tc>
          <w:tcPr>
            <w:tcW w:w="0" w:type="auto"/>
            <w:shd w:val="clear" w:color="auto" w:fill="auto"/>
          </w:tcPr>
          <w:p w14:paraId="5EA21C44" w14:textId="77777777" w:rsidR="003C66EB" w:rsidRDefault="003C66EB">
            <w:pPr>
              <w:rPr>
                <w:rFonts w:ascii="宋体"/>
                <w:vanish/>
              </w:rPr>
            </w:pPr>
          </w:p>
        </w:tc>
        <w:tc>
          <w:tcPr>
            <w:tcW w:w="0" w:type="auto"/>
            <w:shd w:val="clear" w:color="auto" w:fill="auto"/>
          </w:tcPr>
          <w:p w14:paraId="5EA21C45" w14:textId="77777777" w:rsidR="003C66EB" w:rsidRDefault="003C66EB">
            <w:pPr>
              <w:rPr>
                <w:rFonts w:ascii="宋体"/>
                <w:vanish/>
              </w:rPr>
            </w:pPr>
          </w:p>
        </w:tc>
        <w:tc>
          <w:tcPr>
            <w:tcW w:w="0" w:type="auto"/>
            <w:gridSpan w:val="3"/>
            <w:shd w:val="clear" w:color="auto" w:fill="auto"/>
          </w:tcPr>
          <w:p w14:paraId="5EA21C46" w14:textId="77777777" w:rsidR="003C66EB" w:rsidRDefault="003C66EB">
            <w:pPr>
              <w:rPr>
                <w:rFonts w:ascii="宋体"/>
                <w:vanish/>
              </w:rPr>
            </w:pPr>
          </w:p>
        </w:tc>
        <w:tc>
          <w:tcPr>
            <w:tcW w:w="0" w:type="auto"/>
            <w:gridSpan w:val="3"/>
            <w:shd w:val="clear" w:color="auto" w:fill="auto"/>
          </w:tcPr>
          <w:p w14:paraId="5EA21C47" w14:textId="77777777" w:rsidR="003C66EB" w:rsidRDefault="003C66EB">
            <w:pPr>
              <w:rPr>
                <w:rFonts w:ascii="宋体"/>
                <w:vanish/>
              </w:rPr>
            </w:pPr>
          </w:p>
        </w:tc>
        <w:tc>
          <w:tcPr>
            <w:tcW w:w="0" w:type="auto"/>
            <w:gridSpan w:val="3"/>
            <w:shd w:val="clear" w:color="auto" w:fill="auto"/>
          </w:tcPr>
          <w:p w14:paraId="5EA21C48" w14:textId="77777777" w:rsidR="003C66EB" w:rsidRDefault="003C66EB">
            <w:pPr>
              <w:rPr>
                <w:rFonts w:ascii="宋体"/>
                <w:vanish/>
              </w:rPr>
            </w:pPr>
          </w:p>
        </w:tc>
        <w:tc>
          <w:tcPr>
            <w:tcW w:w="0" w:type="auto"/>
            <w:gridSpan w:val="3"/>
            <w:shd w:val="clear" w:color="auto" w:fill="auto"/>
          </w:tcPr>
          <w:p w14:paraId="5EA21C49" w14:textId="77777777" w:rsidR="003C66EB" w:rsidRDefault="003C66EB">
            <w:pPr>
              <w:rPr>
                <w:rFonts w:ascii="宋体"/>
                <w:vanish/>
              </w:rPr>
            </w:pPr>
          </w:p>
        </w:tc>
      </w:tr>
      <w:tr w:rsidR="003C66EB" w14:paraId="5EA21C57" w14:textId="77777777">
        <w:tc>
          <w:tcPr>
            <w:tcW w:w="0" w:type="auto"/>
            <w:gridSpan w:val="3"/>
            <w:shd w:val="clear" w:color="auto" w:fill="FFFFFF"/>
            <w:tcMar>
              <w:top w:w="40" w:type="dxa"/>
              <w:left w:w="20" w:type="dxa"/>
              <w:bottom w:w="40" w:type="dxa"/>
              <w:right w:w="20" w:type="dxa"/>
            </w:tcMar>
            <w:vAlign w:val="bottom"/>
          </w:tcPr>
          <w:p w14:paraId="5EA21C4B" w14:textId="77777777" w:rsidR="003C66EB" w:rsidRDefault="00D96C4E">
            <w:pPr>
              <w:textAlignment w:val="bottom"/>
            </w:pPr>
            <w:r>
              <w:rPr>
                <w:rFonts w:ascii="Arial" w:eastAsia="宋体" w:hAnsi="Arial" w:cs="Arial"/>
                <w:color w:val="000000"/>
                <w:sz w:val="18"/>
                <w:szCs w:val="18"/>
              </w:rPr>
              <w:t>Interest income</w:t>
            </w:r>
          </w:p>
        </w:tc>
        <w:tc>
          <w:tcPr>
            <w:tcW w:w="0" w:type="auto"/>
            <w:gridSpan w:val="2"/>
            <w:shd w:val="clear" w:color="auto" w:fill="FFFFFF"/>
            <w:tcMar>
              <w:top w:w="40" w:type="dxa"/>
              <w:left w:w="20" w:type="dxa"/>
              <w:bottom w:w="40" w:type="dxa"/>
              <w:right w:w="0" w:type="dxa"/>
            </w:tcMar>
            <w:vAlign w:val="bottom"/>
          </w:tcPr>
          <w:p w14:paraId="5EA21C4C" w14:textId="77777777" w:rsidR="003C66EB" w:rsidRDefault="00D96C4E">
            <w:pPr>
              <w:jc w:val="right"/>
              <w:textAlignment w:val="bottom"/>
            </w:pPr>
            <w:r>
              <w:rPr>
                <w:rFonts w:ascii="Arial" w:eastAsia="宋体" w:hAnsi="Arial" w:cs="Arial"/>
                <w:b/>
                <w:bCs/>
                <w:color w:val="000000"/>
                <w:sz w:val="18"/>
                <w:szCs w:val="18"/>
              </w:rPr>
              <w:t>471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C4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4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C4F" w14:textId="77777777" w:rsidR="003C66EB" w:rsidRDefault="00D96C4E">
            <w:pPr>
              <w:jc w:val="right"/>
              <w:textAlignment w:val="bottom"/>
            </w:pPr>
            <w:r>
              <w:rPr>
                <w:rFonts w:ascii="Arial" w:eastAsia="宋体" w:hAnsi="Arial" w:cs="Arial"/>
                <w:color w:val="000000"/>
                <w:sz w:val="18"/>
                <w:szCs w:val="18"/>
              </w:rPr>
              <w:t>868 </w:t>
            </w:r>
          </w:p>
        </w:tc>
        <w:tc>
          <w:tcPr>
            <w:tcW w:w="0" w:type="auto"/>
            <w:shd w:val="clear" w:color="auto" w:fill="FFFFFF"/>
            <w:tcMar>
              <w:top w:w="40" w:type="dxa"/>
              <w:left w:w="0" w:type="dxa"/>
              <w:bottom w:w="40" w:type="dxa"/>
              <w:right w:w="20" w:type="dxa"/>
            </w:tcMar>
            <w:vAlign w:val="bottom"/>
          </w:tcPr>
          <w:p w14:paraId="5EA21C50" w14:textId="77777777" w:rsidR="003C66EB" w:rsidRDefault="003C66EB">
            <w:pPr>
              <w:jc w:val="right"/>
              <w:rPr>
                <w:rFonts w:ascii="宋体"/>
              </w:rPr>
            </w:pPr>
          </w:p>
        </w:tc>
        <w:tc>
          <w:tcPr>
            <w:tcW w:w="0" w:type="auto"/>
            <w:shd w:val="clear" w:color="auto" w:fill="auto"/>
          </w:tcPr>
          <w:p w14:paraId="5EA21C51" w14:textId="77777777" w:rsidR="003C66EB" w:rsidRDefault="003C66EB">
            <w:pPr>
              <w:rPr>
                <w:rFonts w:ascii="宋体"/>
                <w:vanish/>
              </w:rPr>
            </w:pPr>
          </w:p>
        </w:tc>
        <w:tc>
          <w:tcPr>
            <w:tcW w:w="0" w:type="auto"/>
            <w:shd w:val="clear" w:color="auto" w:fill="auto"/>
          </w:tcPr>
          <w:p w14:paraId="5EA21C52" w14:textId="77777777" w:rsidR="003C66EB" w:rsidRDefault="003C66EB">
            <w:pPr>
              <w:rPr>
                <w:rFonts w:ascii="宋体"/>
                <w:vanish/>
              </w:rPr>
            </w:pPr>
          </w:p>
        </w:tc>
        <w:tc>
          <w:tcPr>
            <w:tcW w:w="0" w:type="auto"/>
            <w:gridSpan w:val="3"/>
            <w:shd w:val="clear" w:color="auto" w:fill="auto"/>
          </w:tcPr>
          <w:p w14:paraId="5EA21C53" w14:textId="77777777" w:rsidR="003C66EB" w:rsidRDefault="003C66EB">
            <w:pPr>
              <w:rPr>
                <w:rFonts w:ascii="宋体"/>
                <w:vanish/>
              </w:rPr>
            </w:pPr>
          </w:p>
        </w:tc>
        <w:tc>
          <w:tcPr>
            <w:tcW w:w="0" w:type="auto"/>
            <w:gridSpan w:val="3"/>
            <w:shd w:val="clear" w:color="auto" w:fill="auto"/>
          </w:tcPr>
          <w:p w14:paraId="5EA21C54" w14:textId="77777777" w:rsidR="003C66EB" w:rsidRDefault="003C66EB">
            <w:pPr>
              <w:rPr>
                <w:rFonts w:ascii="宋体"/>
                <w:vanish/>
              </w:rPr>
            </w:pPr>
          </w:p>
        </w:tc>
        <w:tc>
          <w:tcPr>
            <w:tcW w:w="0" w:type="auto"/>
            <w:gridSpan w:val="3"/>
            <w:shd w:val="clear" w:color="auto" w:fill="auto"/>
          </w:tcPr>
          <w:p w14:paraId="5EA21C55" w14:textId="77777777" w:rsidR="003C66EB" w:rsidRDefault="003C66EB">
            <w:pPr>
              <w:rPr>
                <w:rFonts w:ascii="宋体"/>
                <w:vanish/>
              </w:rPr>
            </w:pPr>
          </w:p>
        </w:tc>
        <w:tc>
          <w:tcPr>
            <w:tcW w:w="0" w:type="auto"/>
            <w:gridSpan w:val="3"/>
            <w:shd w:val="clear" w:color="auto" w:fill="auto"/>
          </w:tcPr>
          <w:p w14:paraId="5EA21C56" w14:textId="77777777" w:rsidR="003C66EB" w:rsidRDefault="003C66EB">
            <w:pPr>
              <w:rPr>
                <w:rFonts w:ascii="宋体"/>
                <w:vanish/>
              </w:rPr>
            </w:pPr>
          </w:p>
        </w:tc>
      </w:tr>
      <w:tr w:rsidR="003C66EB" w14:paraId="5EA21C64" w14:textId="77777777">
        <w:tc>
          <w:tcPr>
            <w:tcW w:w="0" w:type="auto"/>
            <w:gridSpan w:val="3"/>
            <w:shd w:val="clear" w:color="auto" w:fill="CCEEFF"/>
            <w:tcMar>
              <w:top w:w="40" w:type="dxa"/>
              <w:left w:w="20" w:type="dxa"/>
              <w:bottom w:w="40" w:type="dxa"/>
              <w:right w:w="20" w:type="dxa"/>
            </w:tcMar>
            <w:vAlign w:val="bottom"/>
          </w:tcPr>
          <w:p w14:paraId="5EA21C58" w14:textId="77777777" w:rsidR="003C66EB" w:rsidRDefault="00D96C4E">
            <w:pPr>
              <w:textAlignment w:val="bottom"/>
            </w:pPr>
            <w:r>
              <w:rPr>
                <w:rFonts w:ascii="Arial" w:eastAsia="宋体" w:hAnsi="Arial" w:cs="Arial"/>
                <w:color w:val="000000"/>
                <w:sz w:val="18"/>
                <w:szCs w:val="18"/>
              </w:rPr>
              <w:t>Interest expense</w:t>
            </w:r>
          </w:p>
        </w:tc>
        <w:tc>
          <w:tcPr>
            <w:tcW w:w="0" w:type="auto"/>
            <w:gridSpan w:val="2"/>
            <w:shd w:val="clear" w:color="auto" w:fill="CCEEFF"/>
            <w:tcMar>
              <w:top w:w="40" w:type="dxa"/>
              <w:left w:w="20" w:type="dxa"/>
              <w:bottom w:w="40" w:type="dxa"/>
              <w:right w:w="0" w:type="dxa"/>
            </w:tcMar>
            <w:vAlign w:val="bottom"/>
          </w:tcPr>
          <w:p w14:paraId="5EA21C59" w14:textId="77777777" w:rsidR="003C66EB" w:rsidRDefault="00D96C4E">
            <w:pPr>
              <w:jc w:val="right"/>
              <w:textAlignment w:val="bottom"/>
            </w:pPr>
            <w:r>
              <w:rPr>
                <w:rFonts w:ascii="Arial" w:eastAsia="宋体" w:hAnsi="Arial" w:cs="Arial"/>
                <w:b/>
                <w:bCs/>
                <w:color w:val="000000"/>
                <w:sz w:val="18"/>
                <w:szCs w:val="18"/>
              </w:rPr>
              <w:t>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C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C5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C5C" w14:textId="77777777" w:rsidR="003C66EB" w:rsidRDefault="00D96C4E">
            <w:pPr>
              <w:jc w:val="right"/>
              <w:textAlignment w:val="bottom"/>
            </w:pPr>
            <w:r>
              <w:rPr>
                <w:rFonts w:ascii="Arial" w:eastAsia="宋体" w:hAnsi="Arial" w:cs="Arial"/>
                <w:color w:val="000000"/>
                <w:sz w:val="18"/>
                <w:szCs w:val="18"/>
              </w:rPr>
              <w:t>204 </w:t>
            </w:r>
          </w:p>
        </w:tc>
        <w:tc>
          <w:tcPr>
            <w:tcW w:w="0" w:type="auto"/>
            <w:shd w:val="clear" w:color="auto" w:fill="CCEEFF"/>
            <w:tcMar>
              <w:top w:w="40" w:type="dxa"/>
              <w:left w:w="0" w:type="dxa"/>
              <w:bottom w:w="40" w:type="dxa"/>
              <w:right w:w="20" w:type="dxa"/>
            </w:tcMar>
            <w:vAlign w:val="bottom"/>
          </w:tcPr>
          <w:p w14:paraId="5EA21C5D" w14:textId="77777777" w:rsidR="003C66EB" w:rsidRDefault="003C66EB">
            <w:pPr>
              <w:jc w:val="right"/>
              <w:rPr>
                <w:rFonts w:ascii="宋体"/>
              </w:rPr>
            </w:pPr>
          </w:p>
        </w:tc>
        <w:tc>
          <w:tcPr>
            <w:tcW w:w="0" w:type="auto"/>
            <w:shd w:val="clear" w:color="auto" w:fill="auto"/>
          </w:tcPr>
          <w:p w14:paraId="5EA21C5E" w14:textId="77777777" w:rsidR="003C66EB" w:rsidRDefault="003C66EB">
            <w:pPr>
              <w:rPr>
                <w:rFonts w:ascii="宋体"/>
                <w:vanish/>
              </w:rPr>
            </w:pPr>
          </w:p>
        </w:tc>
        <w:tc>
          <w:tcPr>
            <w:tcW w:w="0" w:type="auto"/>
            <w:shd w:val="clear" w:color="auto" w:fill="auto"/>
          </w:tcPr>
          <w:p w14:paraId="5EA21C5F" w14:textId="77777777" w:rsidR="003C66EB" w:rsidRDefault="003C66EB">
            <w:pPr>
              <w:rPr>
                <w:rFonts w:ascii="宋体"/>
                <w:vanish/>
              </w:rPr>
            </w:pPr>
          </w:p>
        </w:tc>
        <w:tc>
          <w:tcPr>
            <w:tcW w:w="0" w:type="auto"/>
            <w:gridSpan w:val="3"/>
            <w:shd w:val="clear" w:color="auto" w:fill="auto"/>
          </w:tcPr>
          <w:p w14:paraId="5EA21C60" w14:textId="77777777" w:rsidR="003C66EB" w:rsidRDefault="003C66EB">
            <w:pPr>
              <w:rPr>
                <w:rFonts w:ascii="宋体"/>
                <w:vanish/>
              </w:rPr>
            </w:pPr>
          </w:p>
        </w:tc>
        <w:tc>
          <w:tcPr>
            <w:tcW w:w="0" w:type="auto"/>
            <w:gridSpan w:val="3"/>
            <w:shd w:val="clear" w:color="auto" w:fill="auto"/>
          </w:tcPr>
          <w:p w14:paraId="5EA21C61" w14:textId="77777777" w:rsidR="003C66EB" w:rsidRDefault="003C66EB">
            <w:pPr>
              <w:rPr>
                <w:rFonts w:ascii="宋体"/>
                <w:vanish/>
              </w:rPr>
            </w:pPr>
          </w:p>
        </w:tc>
        <w:tc>
          <w:tcPr>
            <w:tcW w:w="0" w:type="auto"/>
            <w:gridSpan w:val="3"/>
            <w:shd w:val="clear" w:color="auto" w:fill="auto"/>
          </w:tcPr>
          <w:p w14:paraId="5EA21C62" w14:textId="77777777" w:rsidR="003C66EB" w:rsidRDefault="003C66EB">
            <w:pPr>
              <w:rPr>
                <w:rFonts w:ascii="宋体"/>
                <w:vanish/>
              </w:rPr>
            </w:pPr>
          </w:p>
        </w:tc>
        <w:tc>
          <w:tcPr>
            <w:tcW w:w="0" w:type="auto"/>
            <w:gridSpan w:val="3"/>
            <w:shd w:val="clear" w:color="auto" w:fill="auto"/>
          </w:tcPr>
          <w:p w14:paraId="5EA21C63" w14:textId="77777777" w:rsidR="003C66EB" w:rsidRDefault="003C66EB">
            <w:pPr>
              <w:rPr>
                <w:rFonts w:ascii="宋体"/>
                <w:vanish/>
              </w:rPr>
            </w:pPr>
          </w:p>
        </w:tc>
      </w:tr>
      <w:tr w:rsidR="003C66EB" w14:paraId="5EA21C71" w14:textId="77777777">
        <w:tc>
          <w:tcPr>
            <w:tcW w:w="0" w:type="auto"/>
            <w:gridSpan w:val="3"/>
            <w:shd w:val="clear" w:color="auto" w:fill="FFFFFF"/>
            <w:tcMar>
              <w:top w:w="40" w:type="dxa"/>
              <w:left w:w="20" w:type="dxa"/>
              <w:bottom w:w="40" w:type="dxa"/>
              <w:right w:w="20" w:type="dxa"/>
            </w:tcMar>
            <w:vAlign w:val="bottom"/>
          </w:tcPr>
          <w:p w14:paraId="5EA21C65" w14:textId="77777777" w:rsidR="003C66EB" w:rsidRDefault="00D96C4E">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C66" w14:textId="77777777" w:rsidR="003C66EB" w:rsidRDefault="00D96C4E">
            <w:pPr>
              <w:jc w:val="right"/>
              <w:textAlignment w:val="bottom"/>
            </w:pPr>
            <w:r>
              <w:rPr>
                <w:rFonts w:ascii="Arial" w:eastAsia="宋体" w:hAnsi="Arial" w:cs="Arial"/>
                <w:b/>
                <w:bCs/>
                <w:color w:val="000000"/>
                <w:sz w:val="18"/>
                <w:szCs w:val="18"/>
              </w:rPr>
              <w:t>467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C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6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C69" w14:textId="77777777" w:rsidR="003C66EB" w:rsidRDefault="00D96C4E">
            <w:pPr>
              <w:jc w:val="right"/>
              <w:textAlignment w:val="bottom"/>
            </w:pPr>
            <w:r>
              <w:rPr>
                <w:rFonts w:ascii="Arial" w:eastAsia="宋体" w:hAnsi="Arial" w:cs="Arial"/>
                <w:color w:val="000000"/>
                <w:sz w:val="18"/>
                <w:szCs w:val="18"/>
              </w:rPr>
              <w:t>664 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C6A" w14:textId="77777777" w:rsidR="003C66EB" w:rsidRDefault="003C66EB">
            <w:pPr>
              <w:jc w:val="right"/>
              <w:rPr>
                <w:rFonts w:ascii="宋体"/>
              </w:rPr>
            </w:pPr>
          </w:p>
        </w:tc>
        <w:tc>
          <w:tcPr>
            <w:tcW w:w="0" w:type="auto"/>
            <w:shd w:val="clear" w:color="auto" w:fill="auto"/>
          </w:tcPr>
          <w:p w14:paraId="5EA21C6B" w14:textId="77777777" w:rsidR="003C66EB" w:rsidRDefault="003C66EB">
            <w:pPr>
              <w:rPr>
                <w:rFonts w:ascii="宋体"/>
                <w:vanish/>
              </w:rPr>
            </w:pPr>
          </w:p>
        </w:tc>
        <w:tc>
          <w:tcPr>
            <w:tcW w:w="0" w:type="auto"/>
            <w:shd w:val="clear" w:color="auto" w:fill="auto"/>
          </w:tcPr>
          <w:p w14:paraId="5EA21C6C" w14:textId="77777777" w:rsidR="003C66EB" w:rsidRDefault="003C66EB">
            <w:pPr>
              <w:rPr>
                <w:rFonts w:ascii="宋体"/>
                <w:vanish/>
              </w:rPr>
            </w:pPr>
          </w:p>
        </w:tc>
        <w:tc>
          <w:tcPr>
            <w:tcW w:w="0" w:type="auto"/>
            <w:gridSpan w:val="3"/>
            <w:shd w:val="clear" w:color="auto" w:fill="auto"/>
          </w:tcPr>
          <w:p w14:paraId="5EA21C6D" w14:textId="77777777" w:rsidR="003C66EB" w:rsidRDefault="003C66EB">
            <w:pPr>
              <w:rPr>
                <w:rFonts w:ascii="宋体"/>
                <w:vanish/>
              </w:rPr>
            </w:pPr>
          </w:p>
        </w:tc>
        <w:tc>
          <w:tcPr>
            <w:tcW w:w="0" w:type="auto"/>
            <w:gridSpan w:val="3"/>
            <w:shd w:val="clear" w:color="auto" w:fill="auto"/>
          </w:tcPr>
          <w:p w14:paraId="5EA21C6E" w14:textId="77777777" w:rsidR="003C66EB" w:rsidRDefault="003C66EB">
            <w:pPr>
              <w:rPr>
                <w:rFonts w:ascii="宋体"/>
                <w:vanish/>
              </w:rPr>
            </w:pPr>
          </w:p>
        </w:tc>
        <w:tc>
          <w:tcPr>
            <w:tcW w:w="0" w:type="auto"/>
            <w:gridSpan w:val="3"/>
            <w:shd w:val="clear" w:color="auto" w:fill="auto"/>
          </w:tcPr>
          <w:p w14:paraId="5EA21C6F" w14:textId="77777777" w:rsidR="003C66EB" w:rsidRDefault="003C66EB">
            <w:pPr>
              <w:rPr>
                <w:rFonts w:ascii="宋体"/>
                <w:vanish/>
              </w:rPr>
            </w:pPr>
          </w:p>
        </w:tc>
        <w:tc>
          <w:tcPr>
            <w:tcW w:w="0" w:type="auto"/>
            <w:gridSpan w:val="3"/>
            <w:shd w:val="clear" w:color="auto" w:fill="auto"/>
          </w:tcPr>
          <w:p w14:paraId="5EA21C70" w14:textId="77777777" w:rsidR="003C66EB" w:rsidRDefault="003C66EB">
            <w:pPr>
              <w:rPr>
                <w:rFonts w:ascii="宋体"/>
                <w:vanish/>
              </w:rPr>
            </w:pPr>
          </w:p>
        </w:tc>
      </w:tr>
      <w:tr w:rsidR="003C66EB" w14:paraId="5EA21C7C" w14:textId="77777777">
        <w:tc>
          <w:tcPr>
            <w:tcW w:w="0" w:type="auto"/>
            <w:gridSpan w:val="3"/>
            <w:shd w:val="clear" w:color="auto" w:fill="CCEEFF"/>
            <w:tcMar>
              <w:top w:w="40" w:type="dxa"/>
              <w:left w:w="20" w:type="dxa"/>
              <w:bottom w:w="40" w:type="dxa"/>
              <w:right w:w="20" w:type="dxa"/>
            </w:tcMar>
            <w:vAlign w:val="bottom"/>
          </w:tcPr>
          <w:p w14:paraId="5EA21C72" w14:textId="77777777" w:rsidR="003C66EB" w:rsidRDefault="00D96C4E">
            <w:pPr>
              <w:textAlignment w:val="bottom"/>
            </w:pPr>
            <w:r>
              <w:rPr>
                <w:rFonts w:ascii="Arial" w:eastAsia="宋体" w:hAnsi="Arial" w:cs="Arial"/>
                <w:b/>
                <w:bCs/>
                <w:color w:val="000000"/>
                <w:sz w:val="18"/>
                <w:szCs w:val="18"/>
              </w:rPr>
              <w:t>Other income:</w:t>
            </w:r>
          </w:p>
        </w:tc>
        <w:tc>
          <w:tcPr>
            <w:tcW w:w="0" w:type="auto"/>
            <w:gridSpan w:val="3"/>
            <w:shd w:val="clear" w:color="auto" w:fill="CCEEFF"/>
            <w:tcMar>
              <w:top w:w="0" w:type="dxa"/>
              <w:left w:w="20" w:type="dxa"/>
              <w:bottom w:w="0" w:type="dxa"/>
              <w:right w:w="20" w:type="dxa"/>
            </w:tcMar>
          </w:tcPr>
          <w:p w14:paraId="5EA21C7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C7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C75" w14:textId="77777777" w:rsidR="003C66EB" w:rsidRDefault="003C66EB">
            <w:pPr>
              <w:rPr>
                <w:rFonts w:ascii="宋体"/>
              </w:rPr>
            </w:pPr>
          </w:p>
        </w:tc>
        <w:tc>
          <w:tcPr>
            <w:tcW w:w="0" w:type="auto"/>
            <w:shd w:val="clear" w:color="auto" w:fill="auto"/>
          </w:tcPr>
          <w:p w14:paraId="5EA21C76" w14:textId="77777777" w:rsidR="003C66EB" w:rsidRDefault="003C66EB">
            <w:pPr>
              <w:rPr>
                <w:rFonts w:ascii="宋体"/>
                <w:vanish/>
              </w:rPr>
            </w:pPr>
          </w:p>
        </w:tc>
        <w:tc>
          <w:tcPr>
            <w:tcW w:w="0" w:type="auto"/>
            <w:shd w:val="clear" w:color="auto" w:fill="auto"/>
          </w:tcPr>
          <w:p w14:paraId="5EA21C77" w14:textId="77777777" w:rsidR="003C66EB" w:rsidRDefault="003C66EB">
            <w:pPr>
              <w:rPr>
                <w:rFonts w:ascii="宋体"/>
                <w:vanish/>
              </w:rPr>
            </w:pPr>
          </w:p>
        </w:tc>
        <w:tc>
          <w:tcPr>
            <w:tcW w:w="0" w:type="auto"/>
            <w:gridSpan w:val="3"/>
            <w:shd w:val="clear" w:color="auto" w:fill="auto"/>
          </w:tcPr>
          <w:p w14:paraId="5EA21C78" w14:textId="77777777" w:rsidR="003C66EB" w:rsidRDefault="003C66EB">
            <w:pPr>
              <w:rPr>
                <w:rFonts w:ascii="宋体"/>
                <w:vanish/>
              </w:rPr>
            </w:pPr>
          </w:p>
        </w:tc>
        <w:tc>
          <w:tcPr>
            <w:tcW w:w="0" w:type="auto"/>
            <w:gridSpan w:val="3"/>
            <w:shd w:val="clear" w:color="auto" w:fill="auto"/>
          </w:tcPr>
          <w:p w14:paraId="5EA21C79" w14:textId="77777777" w:rsidR="003C66EB" w:rsidRDefault="003C66EB">
            <w:pPr>
              <w:rPr>
                <w:rFonts w:ascii="宋体"/>
                <w:vanish/>
              </w:rPr>
            </w:pPr>
          </w:p>
        </w:tc>
        <w:tc>
          <w:tcPr>
            <w:tcW w:w="0" w:type="auto"/>
            <w:gridSpan w:val="3"/>
            <w:shd w:val="clear" w:color="auto" w:fill="auto"/>
          </w:tcPr>
          <w:p w14:paraId="5EA21C7A" w14:textId="77777777" w:rsidR="003C66EB" w:rsidRDefault="003C66EB">
            <w:pPr>
              <w:rPr>
                <w:rFonts w:ascii="宋体"/>
                <w:vanish/>
              </w:rPr>
            </w:pPr>
          </w:p>
        </w:tc>
        <w:tc>
          <w:tcPr>
            <w:tcW w:w="0" w:type="auto"/>
            <w:gridSpan w:val="3"/>
            <w:shd w:val="clear" w:color="auto" w:fill="auto"/>
          </w:tcPr>
          <w:p w14:paraId="5EA21C7B" w14:textId="77777777" w:rsidR="003C66EB" w:rsidRDefault="003C66EB">
            <w:pPr>
              <w:rPr>
                <w:rFonts w:ascii="宋体"/>
                <w:vanish/>
              </w:rPr>
            </w:pPr>
          </w:p>
        </w:tc>
      </w:tr>
      <w:tr w:rsidR="003C66EB" w14:paraId="5EA21C87" w14:textId="77777777">
        <w:trPr>
          <w:hidden/>
        </w:trPr>
        <w:tc>
          <w:tcPr>
            <w:tcW w:w="0" w:type="auto"/>
            <w:gridSpan w:val="3"/>
            <w:shd w:val="clear" w:color="auto" w:fill="auto"/>
          </w:tcPr>
          <w:p w14:paraId="5EA21C7D" w14:textId="77777777" w:rsidR="003C66EB" w:rsidRDefault="003C66EB">
            <w:pPr>
              <w:rPr>
                <w:rFonts w:ascii="宋体"/>
                <w:vanish/>
              </w:rPr>
            </w:pPr>
          </w:p>
        </w:tc>
        <w:tc>
          <w:tcPr>
            <w:tcW w:w="0" w:type="auto"/>
            <w:gridSpan w:val="3"/>
            <w:shd w:val="clear" w:color="auto" w:fill="auto"/>
          </w:tcPr>
          <w:p w14:paraId="5EA21C7E" w14:textId="77777777" w:rsidR="003C66EB" w:rsidRDefault="003C66EB">
            <w:pPr>
              <w:rPr>
                <w:rFonts w:ascii="宋体"/>
                <w:vanish/>
              </w:rPr>
            </w:pPr>
          </w:p>
        </w:tc>
        <w:tc>
          <w:tcPr>
            <w:tcW w:w="0" w:type="auto"/>
            <w:gridSpan w:val="3"/>
            <w:shd w:val="clear" w:color="auto" w:fill="auto"/>
          </w:tcPr>
          <w:p w14:paraId="5EA21C7F" w14:textId="77777777" w:rsidR="003C66EB" w:rsidRDefault="003C66EB">
            <w:pPr>
              <w:rPr>
                <w:rFonts w:ascii="宋体"/>
                <w:vanish/>
              </w:rPr>
            </w:pPr>
          </w:p>
        </w:tc>
        <w:tc>
          <w:tcPr>
            <w:tcW w:w="0" w:type="auto"/>
            <w:gridSpan w:val="3"/>
            <w:shd w:val="clear" w:color="auto" w:fill="auto"/>
          </w:tcPr>
          <w:p w14:paraId="5EA21C80" w14:textId="77777777" w:rsidR="003C66EB" w:rsidRDefault="003C66EB">
            <w:pPr>
              <w:rPr>
                <w:rFonts w:ascii="宋体"/>
                <w:vanish/>
              </w:rPr>
            </w:pPr>
          </w:p>
        </w:tc>
        <w:tc>
          <w:tcPr>
            <w:tcW w:w="0" w:type="auto"/>
            <w:shd w:val="clear" w:color="auto" w:fill="auto"/>
          </w:tcPr>
          <w:p w14:paraId="5EA21C81" w14:textId="77777777" w:rsidR="003C66EB" w:rsidRDefault="003C66EB">
            <w:pPr>
              <w:rPr>
                <w:rFonts w:ascii="宋体"/>
                <w:vanish/>
              </w:rPr>
            </w:pPr>
          </w:p>
        </w:tc>
        <w:tc>
          <w:tcPr>
            <w:tcW w:w="0" w:type="auto"/>
            <w:shd w:val="clear" w:color="auto" w:fill="auto"/>
          </w:tcPr>
          <w:p w14:paraId="5EA21C82" w14:textId="77777777" w:rsidR="003C66EB" w:rsidRDefault="003C66EB">
            <w:pPr>
              <w:rPr>
                <w:rFonts w:ascii="宋体"/>
                <w:vanish/>
              </w:rPr>
            </w:pPr>
          </w:p>
        </w:tc>
        <w:tc>
          <w:tcPr>
            <w:tcW w:w="0" w:type="auto"/>
            <w:gridSpan w:val="3"/>
            <w:shd w:val="clear" w:color="auto" w:fill="auto"/>
          </w:tcPr>
          <w:p w14:paraId="5EA21C83" w14:textId="77777777" w:rsidR="003C66EB" w:rsidRDefault="003C66EB">
            <w:pPr>
              <w:rPr>
                <w:rFonts w:ascii="宋体"/>
                <w:vanish/>
              </w:rPr>
            </w:pPr>
          </w:p>
        </w:tc>
        <w:tc>
          <w:tcPr>
            <w:tcW w:w="0" w:type="auto"/>
            <w:gridSpan w:val="3"/>
            <w:shd w:val="clear" w:color="auto" w:fill="auto"/>
          </w:tcPr>
          <w:p w14:paraId="5EA21C84" w14:textId="77777777" w:rsidR="003C66EB" w:rsidRDefault="003C66EB">
            <w:pPr>
              <w:rPr>
                <w:rFonts w:ascii="宋体"/>
                <w:vanish/>
              </w:rPr>
            </w:pPr>
          </w:p>
        </w:tc>
        <w:tc>
          <w:tcPr>
            <w:tcW w:w="0" w:type="auto"/>
            <w:gridSpan w:val="3"/>
            <w:shd w:val="clear" w:color="auto" w:fill="auto"/>
          </w:tcPr>
          <w:p w14:paraId="5EA21C85" w14:textId="77777777" w:rsidR="003C66EB" w:rsidRDefault="003C66EB">
            <w:pPr>
              <w:rPr>
                <w:rFonts w:ascii="宋体"/>
                <w:vanish/>
              </w:rPr>
            </w:pPr>
          </w:p>
        </w:tc>
        <w:tc>
          <w:tcPr>
            <w:tcW w:w="0" w:type="auto"/>
            <w:gridSpan w:val="3"/>
            <w:shd w:val="clear" w:color="auto" w:fill="auto"/>
          </w:tcPr>
          <w:p w14:paraId="5EA21C86" w14:textId="77777777" w:rsidR="003C66EB" w:rsidRDefault="003C66EB">
            <w:pPr>
              <w:rPr>
                <w:rFonts w:ascii="宋体"/>
                <w:vanish/>
              </w:rPr>
            </w:pPr>
          </w:p>
        </w:tc>
      </w:tr>
      <w:tr w:rsidR="003C66EB" w14:paraId="5EA21C92" w14:textId="77777777">
        <w:trPr>
          <w:hidden/>
        </w:trPr>
        <w:tc>
          <w:tcPr>
            <w:tcW w:w="0" w:type="auto"/>
            <w:gridSpan w:val="3"/>
            <w:shd w:val="clear" w:color="auto" w:fill="auto"/>
          </w:tcPr>
          <w:p w14:paraId="5EA21C88" w14:textId="77777777" w:rsidR="003C66EB" w:rsidRDefault="003C66EB">
            <w:pPr>
              <w:rPr>
                <w:rFonts w:ascii="宋体"/>
                <w:vanish/>
              </w:rPr>
            </w:pPr>
          </w:p>
        </w:tc>
        <w:tc>
          <w:tcPr>
            <w:tcW w:w="0" w:type="auto"/>
            <w:gridSpan w:val="3"/>
            <w:shd w:val="clear" w:color="auto" w:fill="auto"/>
          </w:tcPr>
          <w:p w14:paraId="5EA21C89" w14:textId="77777777" w:rsidR="003C66EB" w:rsidRDefault="003C66EB">
            <w:pPr>
              <w:rPr>
                <w:rFonts w:ascii="宋体"/>
                <w:vanish/>
              </w:rPr>
            </w:pPr>
          </w:p>
        </w:tc>
        <w:tc>
          <w:tcPr>
            <w:tcW w:w="0" w:type="auto"/>
            <w:gridSpan w:val="3"/>
            <w:shd w:val="clear" w:color="auto" w:fill="auto"/>
          </w:tcPr>
          <w:p w14:paraId="5EA21C8A" w14:textId="77777777" w:rsidR="003C66EB" w:rsidRDefault="003C66EB">
            <w:pPr>
              <w:rPr>
                <w:rFonts w:ascii="宋体"/>
                <w:vanish/>
              </w:rPr>
            </w:pPr>
          </w:p>
        </w:tc>
        <w:tc>
          <w:tcPr>
            <w:tcW w:w="0" w:type="auto"/>
            <w:gridSpan w:val="3"/>
            <w:shd w:val="clear" w:color="auto" w:fill="auto"/>
          </w:tcPr>
          <w:p w14:paraId="5EA21C8B" w14:textId="77777777" w:rsidR="003C66EB" w:rsidRDefault="003C66EB">
            <w:pPr>
              <w:rPr>
                <w:rFonts w:ascii="宋体"/>
                <w:vanish/>
              </w:rPr>
            </w:pPr>
          </w:p>
        </w:tc>
        <w:tc>
          <w:tcPr>
            <w:tcW w:w="0" w:type="auto"/>
            <w:shd w:val="clear" w:color="auto" w:fill="auto"/>
          </w:tcPr>
          <w:p w14:paraId="5EA21C8C" w14:textId="77777777" w:rsidR="003C66EB" w:rsidRDefault="003C66EB">
            <w:pPr>
              <w:rPr>
                <w:rFonts w:ascii="宋体"/>
                <w:vanish/>
              </w:rPr>
            </w:pPr>
          </w:p>
        </w:tc>
        <w:tc>
          <w:tcPr>
            <w:tcW w:w="0" w:type="auto"/>
            <w:shd w:val="clear" w:color="auto" w:fill="auto"/>
          </w:tcPr>
          <w:p w14:paraId="5EA21C8D" w14:textId="77777777" w:rsidR="003C66EB" w:rsidRDefault="003C66EB">
            <w:pPr>
              <w:rPr>
                <w:rFonts w:ascii="宋体"/>
                <w:vanish/>
              </w:rPr>
            </w:pPr>
          </w:p>
        </w:tc>
        <w:tc>
          <w:tcPr>
            <w:tcW w:w="0" w:type="auto"/>
            <w:gridSpan w:val="3"/>
            <w:shd w:val="clear" w:color="auto" w:fill="auto"/>
          </w:tcPr>
          <w:p w14:paraId="5EA21C8E" w14:textId="77777777" w:rsidR="003C66EB" w:rsidRDefault="003C66EB">
            <w:pPr>
              <w:rPr>
                <w:rFonts w:ascii="宋体"/>
                <w:vanish/>
              </w:rPr>
            </w:pPr>
          </w:p>
        </w:tc>
        <w:tc>
          <w:tcPr>
            <w:tcW w:w="0" w:type="auto"/>
            <w:gridSpan w:val="3"/>
            <w:shd w:val="clear" w:color="auto" w:fill="auto"/>
          </w:tcPr>
          <w:p w14:paraId="5EA21C8F" w14:textId="77777777" w:rsidR="003C66EB" w:rsidRDefault="003C66EB">
            <w:pPr>
              <w:rPr>
                <w:rFonts w:ascii="宋体"/>
                <w:vanish/>
              </w:rPr>
            </w:pPr>
          </w:p>
        </w:tc>
        <w:tc>
          <w:tcPr>
            <w:tcW w:w="0" w:type="auto"/>
            <w:gridSpan w:val="3"/>
            <w:shd w:val="clear" w:color="auto" w:fill="auto"/>
          </w:tcPr>
          <w:p w14:paraId="5EA21C90" w14:textId="77777777" w:rsidR="003C66EB" w:rsidRDefault="003C66EB">
            <w:pPr>
              <w:rPr>
                <w:rFonts w:ascii="宋体"/>
                <w:vanish/>
              </w:rPr>
            </w:pPr>
          </w:p>
        </w:tc>
        <w:tc>
          <w:tcPr>
            <w:tcW w:w="0" w:type="auto"/>
            <w:gridSpan w:val="3"/>
            <w:shd w:val="clear" w:color="auto" w:fill="auto"/>
          </w:tcPr>
          <w:p w14:paraId="5EA21C91" w14:textId="77777777" w:rsidR="003C66EB" w:rsidRDefault="003C66EB">
            <w:pPr>
              <w:rPr>
                <w:rFonts w:ascii="宋体"/>
                <w:vanish/>
              </w:rPr>
            </w:pPr>
          </w:p>
        </w:tc>
      </w:tr>
      <w:tr w:rsidR="003C66EB" w14:paraId="5EA21C9D" w14:textId="77777777">
        <w:trPr>
          <w:hidden/>
        </w:trPr>
        <w:tc>
          <w:tcPr>
            <w:tcW w:w="0" w:type="auto"/>
            <w:gridSpan w:val="3"/>
            <w:shd w:val="clear" w:color="auto" w:fill="auto"/>
          </w:tcPr>
          <w:p w14:paraId="5EA21C93" w14:textId="77777777" w:rsidR="003C66EB" w:rsidRDefault="003C66EB">
            <w:pPr>
              <w:rPr>
                <w:rFonts w:ascii="宋体"/>
                <w:vanish/>
              </w:rPr>
            </w:pPr>
          </w:p>
        </w:tc>
        <w:tc>
          <w:tcPr>
            <w:tcW w:w="0" w:type="auto"/>
            <w:gridSpan w:val="3"/>
            <w:shd w:val="clear" w:color="auto" w:fill="auto"/>
          </w:tcPr>
          <w:p w14:paraId="5EA21C94" w14:textId="77777777" w:rsidR="003C66EB" w:rsidRDefault="003C66EB">
            <w:pPr>
              <w:rPr>
                <w:rFonts w:ascii="宋体"/>
                <w:vanish/>
              </w:rPr>
            </w:pPr>
          </w:p>
        </w:tc>
        <w:tc>
          <w:tcPr>
            <w:tcW w:w="0" w:type="auto"/>
            <w:gridSpan w:val="3"/>
            <w:shd w:val="clear" w:color="auto" w:fill="auto"/>
          </w:tcPr>
          <w:p w14:paraId="5EA21C95" w14:textId="77777777" w:rsidR="003C66EB" w:rsidRDefault="003C66EB">
            <w:pPr>
              <w:rPr>
                <w:rFonts w:ascii="宋体"/>
                <w:vanish/>
              </w:rPr>
            </w:pPr>
          </w:p>
        </w:tc>
        <w:tc>
          <w:tcPr>
            <w:tcW w:w="0" w:type="auto"/>
            <w:gridSpan w:val="3"/>
            <w:shd w:val="clear" w:color="auto" w:fill="auto"/>
          </w:tcPr>
          <w:p w14:paraId="5EA21C96" w14:textId="77777777" w:rsidR="003C66EB" w:rsidRDefault="003C66EB">
            <w:pPr>
              <w:rPr>
                <w:rFonts w:ascii="宋体"/>
                <w:vanish/>
              </w:rPr>
            </w:pPr>
          </w:p>
        </w:tc>
        <w:tc>
          <w:tcPr>
            <w:tcW w:w="0" w:type="auto"/>
            <w:shd w:val="clear" w:color="auto" w:fill="auto"/>
          </w:tcPr>
          <w:p w14:paraId="5EA21C97" w14:textId="77777777" w:rsidR="003C66EB" w:rsidRDefault="003C66EB">
            <w:pPr>
              <w:rPr>
                <w:rFonts w:ascii="宋体"/>
                <w:vanish/>
              </w:rPr>
            </w:pPr>
          </w:p>
        </w:tc>
        <w:tc>
          <w:tcPr>
            <w:tcW w:w="0" w:type="auto"/>
            <w:shd w:val="clear" w:color="auto" w:fill="auto"/>
          </w:tcPr>
          <w:p w14:paraId="5EA21C98" w14:textId="77777777" w:rsidR="003C66EB" w:rsidRDefault="003C66EB">
            <w:pPr>
              <w:rPr>
                <w:rFonts w:ascii="宋体"/>
                <w:vanish/>
              </w:rPr>
            </w:pPr>
          </w:p>
        </w:tc>
        <w:tc>
          <w:tcPr>
            <w:tcW w:w="0" w:type="auto"/>
            <w:gridSpan w:val="3"/>
            <w:shd w:val="clear" w:color="auto" w:fill="auto"/>
          </w:tcPr>
          <w:p w14:paraId="5EA21C99" w14:textId="77777777" w:rsidR="003C66EB" w:rsidRDefault="003C66EB">
            <w:pPr>
              <w:rPr>
                <w:rFonts w:ascii="宋体"/>
                <w:vanish/>
              </w:rPr>
            </w:pPr>
          </w:p>
        </w:tc>
        <w:tc>
          <w:tcPr>
            <w:tcW w:w="0" w:type="auto"/>
            <w:gridSpan w:val="3"/>
            <w:shd w:val="clear" w:color="auto" w:fill="auto"/>
          </w:tcPr>
          <w:p w14:paraId="5EA21C9A" w14:textId="77777777" w:rsidR="003C66EB" w:rsidRDefault="003C66EB">
            <w:pPr>
              <w:rPr>
                <w:rFonts w:ascii="宋体"/>
                <w:vanish/>
              </w:rPr>
            </w:pPr>
          </w:p>
        </w:tc>
        <w:tc>
          <w:tcPr>
            <w:tcW w:w="0" w:type="auto"/>
            <w:gridSpan w:val="3"/>
            <w:shd w:val="clear" w:color="auto" w:fill="auto"/>
          </w:tcPr>
          <w:p w14:paraId="5EA21C9B" w14:textId="77777777" w:rsidR="003C66EB" w:rsidRDefault="003C66EB">
            <w:pPr>
              <w:rPr>
                <w:rFonts w:ascii="宋体"/>
                <w:vanish/>
              </w:rPr>
            </w:pPr>
          </w:p>
        </w:tc>
        <w:tc>
          <w:tcPr>
            <w:tcW w:w="0" w:type="auto"/>
            <w:gridSpan w:val="3"/>
            <w:shd w:val="clear" w:color="auto" w:fill="auto"/>
          </w:tcPr>
          <w:p w14:paraId="5EA21C9C" w14:textId="77777777" w:rsidR="003C66EB" w:rsidRDefault="003C66EB">
            <w:pPr>
              <w:rPr>
                <w:rFonts w:ascii="宋体"/>
                <w:vanish/>
              </w:rPr>
            </w:pPr>
          </w:p>
        </w:tc>
      </w:tr>
      <w:tr w:rsidR="003C66EB" w14:paraId="5EA21CAA" w14:textId="77777777">
        <w:tc>
          <w:tcPr>
            <w:tcW w:w="0" w:type="auto"/>
            <w:gridSpan w:val="3"/>
            <w:shd w:val="clear" w:color="auto" w:fill="FFFFFF"/>
            <w:tcMar>
              <w:top w:w="40" w:type="dxa"/>
              <w:left w:w="20" w:type="dxa"/>
              <w:bottom w:w="40" w:type="dxa"/>
              <w:right w:w="20" w:type="dxa"/>
            </w:tcMar>
            <w:vAlign w:val="bottom"/>
          </w:tcPr>
          <w:p w14:paraId="5EA21C9E" w14:textId="77777777" w:rsidR="003C66EB" w:rsidRDefault="00D96C4E">
            <w:pPr>
              <w:textAlignment w:val="bottom"/>
            </w:pPr>
            <w:r>
              <w:rPr>
                <w:rFonts w:ascii="Arial" w:eastAsia="宋体" w:hAnsi="Arial" w:cs="Arial"/>
                <w:color w:val="000000"/>
                <w:sz w:val="18"/>
                <w:szCs w:val="18"/>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5EA21C9F" w14:textId="77777777" w:rsidR="003C66EB" w:rsidRDefault="00D96C4E">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C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A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CA2" w14:textId="77777777" w:rsidR="003C66EB" w:rsidRDefault="00D96C4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5EA21CA3" w14:textId="77777777" w:rsidR="003C66EB" w:rsidRDefault="003C66EB">
            <w:pPr>
              <w:jc w:val="right"/>
              <w:rPr>
                <w:rFonts w:ascii="宋体"/>
              </w:rPr>
            </w:pPr>
          </w:p>
        </w:tc>
        <w:tc>
          <w:tcPr>
            <w:tcW w:w="0" w:type="auto"/>
            <w:shd w:val="clear" w:color="auto" w:fill="auto"/>
          </w:tcPr>
          <w:p w14:paraId="5EA21CA4" w14:textId="77777777" w:rsidR="003C66EB" w:rsidRDefault="003C66EB">
            <w:pPr>
              <w:rPr>
                <w:rFonts w:ascii="宋体"/>
                <w:vanish/>
              </w:rPr>
            </w:pPr>
          </w:p>
        </w:tc>
        <w:tc>
          <w:tcPr>
            <w:tcW w:w="0" w:type="auto"/>
            <w:shd w:val="clear" w:color="auto" w:fill="auto"/>
          </w:tcPr>
          <w:p w14:paraId="5EA21CA5" w14:textId="77777777" w:rsidR="003C66EB" w:rsidRDefault="003C66EB">
            <w:pPr>
              <w:rPr>
                <w:rFonts w:ascii="宋体"/>
                <w:vanish/>
              </w:rPr>
            </w:pPr>
          </w:p>
        </w:tc>
        <w:tc>
          <w:tcPr>
            <w:tcW w:w="0" w:type="auto"/>
            <w:gridSpan w:val="3"/>
            <w:shd w:val="clear" w:color="auto" w:fill="auto"/>
          </w:tcPr>
          <w:p w14:paraId="5EA21CA6" w14:textId="77777777" w:rsidR="003C66EB" w:rsidRDefault="003C66EB">
            <w:pPr>
              <w:rPr>
                <w:rFonts w:ascii="宋体"/>
                <w:vanish/>
              </w:rPr>
            </w:pPr>
          </w:p>
        </w:tc>
        <w:tc>
          <w:tcPr>
            <w:tcW w:w="0" w:type="auto"/>
            <w:gridSpan w:val="3"/>
            <w:shd w:val="clear" w:color="auto" w:fill="auto"/>
          </w:tcPr>
          <w:p w14:paraId="5EA21CA7" w14:textId="77777777" w:rsidR="003C66EB" w:rsidRDefault="003C66EB">
            <w:pPr>
              <w:rPr>
                <w:rFonts w:ascii="宋体"/>
                <w:vanish/>
              </w:rPr>
            </w:pPr>
          </w:p>
        </w:tc>
        <w:tc>
          <w:tcPr>
            <w:tcW w:w="0" w:type="auto"/>
            <w:gridSpan w:val="3"/>
            <w:shd w:val="clear" w:color="auto" w:fill="auto"/>
          </w:tcPr>
          <w:p w14:paraId="5EA21CA8" w14:textId="77777777" w:rsidR="003C66EB" w:rsidRDefault="003C66EB">
            <w:pPr>
              <w:rPr>
                <w:rFonts w:ascii="宋体"/>
                <w:vanish/>
              </w:rPr>
            </w:pPr>
          </w:p>
        </w:tc>
        <w:tc>
          <w:tcPr>
            <w:tcW w:w="0" w:type="auto"/>
            <w:gridSpan w:val="3"/>
            <w:shd w:val="clear" w:color="auto" w:fill="auto"/>
          </w:tcPr>
          <w:p w14:paraId="5EA21CA9" w14:textId="77777777" w:rsidR="003C66EB" w:rsidRDefault="003C66EB">
            <w:pPr>
              <w:rPr>
                <w:rFonts w:ascii="宋体"/>
                <w:vanish/>
              </w:rPr>
            </w:pPr>
          </w:p>
        </w:tc>
      </w:tr>
      <w:tr w:rsidR="003C66EB" w14:paraId="5EA21CB7" w14:textId="77777777">
        <w:tc>
          <w:tcPr>
            <w:tcW w:w="0" w:type="auto"/>
            <w:gridSpan w:val="3"/>
            <w:shd w:val="clear" w:color="auto" w:fill="CCEEFF"/>
            <w:tcMar>
              <w:top w:w="40" w:type="dxa"/>
              <w:left w:w="20" w:type="dxa"/>
              <w:bottom w:w="40" w:type="dxa"/>
              <w:right w:w="20" w:type="dxa"/>
            </w:tcMar>
            <w:vAlign w:val="bottom"/>
          </w:tcPr>
          <w:p w14:paraId="5EA21CAB" w14:textId="77777777" w:rsidR="003C66EB" w:rsidRDefault="00D96C4E">
            <w:pPr>
              <w:textAlignment w:val="bottom"/>
            </w:pPr>
            <w:r>
              <w:rPr>
                <w:rFonts w:ascii="Arial" w:eastAsia="宋体" w:hAnsi="Arial" w:cs="Arial"/>
                <w:color w:val="000000"/>
                <w:sz w:val="18"/>
                <w:szCs w:val="18"/>
              </w:rPr>
              <w:t>Other income</w:t>
            </w:r>
          </w:p>
        </w:tc>
        <w:tc>
          <w:tcPr>
            <w:tcW w:w="0" w:type="auto"/>
            <w:gridSpan w:val="2"/>
            <w:shd w:val="clear" w:color="auto" w:fill="CCEEFF"/>
            <w:tcMar>
              <w:top w:w="40" w:type="dxa"/>
              <w:left w:w="20" w:type="dxa"/>
              <w:bottom w:w="40" w:type="dxa"/>
              <w:right w:w="0" w:type="dxa"/>
            </w:tcMar>
            <w:vAlign w:val="bottom"/>
          </w:tcPr>
          <w:p w14:paraId="5EA21CAC" w14:textId="77777777" w:rsidR="003C66EB" w:rsidRDefault="00D96C4E">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C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CA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CAF" w14:textId="77777777" w:rsidR="003C66EB" w:rsidRDefault="00D96C4E">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CB0" w14:textId="77777777" w:rsidR="003C66EB" w:rsidRDefault="003C66EB">
            <w:pPr>
              <w:jc w:val="right"/>
              <w:rPr>
                <w:rFonts w:ascii="宋体"/>
              </w:rPr>
            </w:pPr>
          </w:p>
        </w:tc>
        <w:tc>
          <w:tcPr>
            <w:tcW w:w="0" w:type="auto"/>
            <w:shd w:val="clear" w:color="auto" w:fill="auto"/>
          </w:tcPr>
          <w:p w14:paraId="5EA21CB1" w14:textId="77777777" w:rsidR="003C66EB" w:rsidRDefault="003C66EB">
            <w:pPr>
              <w:rPr>
                <w:rFonts w:ascii="宋体"/>
                <w:vanish/>
              </w:rPr>
            </w:pPr>
          </w:p>
        </w:tc>
        <w:tc>
          <w:tcPr>
            <w:tcW w:w="0" w:type="auto"/>
            <w:shd w:val="clear" w:color="auto" w:fill="auto"/>
          </w:tcPr>
          <w:p w14:paraId="5EA21CB2" w14:textId="77777777" w:rsidR="003C66EB" w:rsidRDefault="003C66EB">
            <w:pPr>
              <w:rPr>
                <w:rFonts w:ascii="宋体"/>
                <w:vanish/>
              </w:rPr>
            </w:pPr>
          </w:p>
        </w:tc>
        <w:tc>
          <w:tcPr>
            <w:tcW w:w="0" w:type="auto"/>
            <w:gridSpan w:val="3"/>
            <w:shd w:val="clear" w:color="auto" w:fill="auto"/>
          </w:tcPr>
          <w:p w14:paraId="5EA21CB3" w14:textId="77777777" w:rsidR="003C66EB" w:rsidRDefault="003C66EB">
            <w:pPr>
              <w:rPr>
                <w:rFonts w:ascii="宋体"/>
                <w:vanish/>
              </w:rPr>
            </w:pPr>
          </w:p>
        </w:tc>
        <w:tc>
          <w:tcPr>
            <w:tcW w:w="0" w:type="auto"/>
            <w:gridSpan w:val="3"/>
            <w:shd w:val="clear" w:color="auto" w:fill="auto"/>
          </w:tcPr>
          <w:p w14:paraId="5EA21CB4" w14:textId="77777777" w:rsidR="003C66EB" w:rsidRDefault="003C66EB">
            <w:pPr>
              <w:rPr>
                <w:rFonts w:ascii="宋体"/>
                <w:vanish/>
              </w:rPr>
            </w:pPr>
          </w:p>
        </w:tc>
        <w:tc>
          <w:tcPr>
            <w:tcW w:w="0" w:type="auto"/>
            <w:gridSpan w:val="3"/>
            <w:shd w:val="clear" w:color="auto" w:fill="auto"/>
          </w:tcPr>
          <w:p w14:paraId="5EA21CB5" w14:textId="77777777" w:rsidR="003C66EB" w:rsidRDefault="003C66EB">
            <w:pPr>
              <w:rPr>
                <w:rFonts w:ascii="宋体"/>
                <w:vanish/>
              </w:rPr>
            </w:pPr>
          </w:p>
        </w:tc>
        <w:tc>
          <w:tcPr>
            <w:tcW w:w="0" w:type="auto"/>
            <w:gridSpan w:val="3"/>
            <w:shd w:val="clear" w:color="auto" w:fill="auto"/>
          </w:tcPr>
          <w:p w14:paraId="5EA21CB6" w14:textId="77777777" w:rsidR="003C66EB" w:rsidRDefault="003C66EB">
            <w:pPr>
              <w:rPr>
                <w:rFonts w:ascii="宋体"/>
                <w:vanish/>
              </w:rPr>
            </w:pPr>
          </w:p>
        </w:tc>
      </w:tr>
      <w:tr w:rsidR="003C66EB" w14:paraId="5EA21CC3" w14:textId="77777777">
        <w:tc>
          <w:tcPr>
            <w:tcW w:w="0" w:type="auto"/>
            <w:gridSpan w:val="3"/>
            <w:shd w:val="clear" w:color="auto" w:fill="FFFFFF"/>
            <w:tcMar>
              <w:top w:w="40" w:type="dxa"/>
              <w:left w:w="20" w:type="dxa"/>
              <w:bottom w:w="40" w:type="dxa"/>
              <w:right w:w="20" w:type="dxa"/>
            </w:tcMar>
            <w:vAlign w:val="bottom"/>
          </w:tcPr>
          <w:p w14:paraId="5EA21CB8" w14:textId="77777777" w:rsidR="003C66EB" w:rsidRDefault="00D96C4E">
            <w:pPr>
              <w:textAlignment w:val="bottom"/>
            </w:pPr>
            <w:r>
              <w:rPr>
                <w:rFonts w:ascii="Arial" w:eastAsia="宋体" w:hAnsi="Arial" w:cs="Arial"/>
                <w:color w:val="000000"/>
                <w:sz w:val="18"/>
                <w:szCs w:val="18"/>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CB9" w14:textId="77777777" w:rsidR="003C66EB" w:rsidRDefault="00D96C4E">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CB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BB"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1CBC" w14:textId="77777777" w:rsidR="003C66EB" w:rsidRDefault="00D96C4E">
            <w:pPr>
              <w:jc w:val="right"/>
              <w:textAlignment w:val="bottom"/>
            </w:pPr>
            <w:r>
              <w:rPr>
                <w:rFonts w:ascii="Arial" w:eastAsia="宋体" w:hAnsi="Arial" w:cs="Arial"/>
                <w:color w:val="000000"/>
                <w:sz w:val="18"/>
                <w:szCs w:val="18"/>
              </w:rPr>
              <w:t>2</w:t>
            </w:r>
          </w:p>
        </w:tc>
        <w:tc>
          <w:tcPr>
            <w:tcW w:w="0" w:type="auto"/>
            <w:shd w:val="clear" w:color="auto" w:fill="auto"/>
          </w:tcPr>
          <w:p w14:paraId="5EA21CBD" w14:textId="77777777" w:rsidR="003C66EB" w:rsidRDefault="003C66EB">
            <w:pPr>
              <w:rPr>
                <w:rFonts w:ascii="宋体"/>
                <w:vanish/>
              </w:rPr>
            </w:pPr>
          </w:p>
        </w:tc>
        <w:tc>
          <w:tcPr>
            <w:tcW w:w="0" w:type="auto"/>
            <w:shd w:val="clear" w:color="auto" w:fill="auto"/>
          </w:tcPr>
          <w:p w14:paraId="5EA21CBE" w14:textId="77777777" w:rsidR="003C66EB" w:rsidRDefault="003C66EB">
            <w:pPr>
              <w:rPr>
                <w:rFonts w:ascii="宋体"/>
                <w:vanish/>
              </w:rPr>
            </w:pPr>
          </w:p>
        </w:tc>
        <w:tc>
          <w:tcPr>
            <w:tcW w:w="0" w:type="auto"/>
            <w:gridSpan w:val="3"/>
            <w:shd w:val="clear" w:color="auto" w:fill="auto"/>
          </w:tcPr>
          <w:p w14:paraId="5EA21CBF" w14:textId="77777777" w:rsidR="003C66EB" w:rsidRDefault="003C66EB">
            <w:pPr>
              <w:rPr>
                <w:rFonts w:ascii="宋体"/>
                <w:vanish/>
              </w:rPr>
            </w:pPr>
          </w:p>
        </w:tc>
        <w:tc>
          <w:tcPr>
            <w:tcW w:w="0" w:type="auto"/>
            <w:gridSpan w:val="3"/>
            <w:shd w:val="clear" w:color="auto" w:fill="auto"/>
          </w:tcPr>
          <w:p w14:paraId="5EA21CC0" w14:textId="77777777" w:rsidR="003C66EB" w:rsidRDefault="003C66EB">
            <w:pPr>
              <w:rPr>
                <w:rFonts w:ascii="宋体"/>
                <w:vanish/>
              </w:rPr>
            </w:pPr>
          </w:p>
        </w:tc>
        <w:tc>
          <w:tcPr>
            <w:tcW w:w="0" w:type="auto"/>
            <w:gridSpan w:val="3"/>
            <w:shd w:val="clear" w:color="auto" w:fill="auto"/>
          </w:tcPr>
          <w:p w14:paraId="5EA21CC1" w14:textId="77777777" w:rsidR="003C66EB" w:rsidRDefault="003C66EB">
            <w:pPr>
              <w:rPr>
                <w:rFonts w:ascii="宋体"/>
                <w:vanish/>
              </w:rPr>
            </w:pPr>
          </w:p>
        </w:tc>
        <w:tc>
          <w:tcPr>
            <w:tcW w:w="0" w:type="auto"/>
            <w:gridSpan w:val="3"/>
            <w:shd w:val="clear" w:color="auto" w:fill="auto"/>
          </w:tcPr>
          <w:p w14:paraId="5EA21CC2" w14:textId="77777777" w:rsidR="003C66EB" w:rsidRDefault="003C66EB">
            <w:pPr>
              <w:rPr>
                <w:rFonts w:ascii="宋体"/>
                <w:vanish/>
              </w:rPr>
            </w:pPr>
          </w:p>
        </w:tc>
      </w:tr>
      <w:tr w:rsidR="003C66EB" w14:paraId="5EA21CD0" w14:textId="77777777">
        <w:tc>
          <w:tcPr>
            <w:tcW w:w="0" w:type="auto"/>
            <w:gridSpan w:val="3"/>
            <w:shd w:val="clear" w:color="auto" w:fill="CCEEFF"/>
            <w:tcMar>
              <w:top w:w="40" w:type="dxa"/>
              <w:left w:w="20" w:type="dxa"/>
              <w:bottom w:w="40" w:type="dxa"/>
              <w:right w:w="20" w:type="dxa"/>
            </w:tcMar>
            <w:vAlign w:val="bottom"/>
          </w:tcPr>
          <w:p w14:paraId="5EA21CC4" w14:textId="77777777" w:rsidR="003C66EB" w:rsidRDefault="00D96C4E">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CC5" w14:textId="77777777" w:rsidR="003C66EB" w:rsidRDefault="00D96C4E">
            <w:pPr>
              <w:jc w:val="right"/>
              <w:textAlignment w:val="bottom"/>
            </w:pPr>
            <w:r>
              <w:rPr>
                <w:rFonts w:ascii="Arial" w:eastAsia="宋体" w:hAnsi="Arial" w:cs="Arial"/>
                <w:b/>
                <w:bCs/>
                <w:color w:val="000000"/>
                <w:sz w:val="18"/>
                <w:szCs w:val="18"/>
              </w:rPr>
              <w:t>2,950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C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CC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CC8" w14:textId="77777777" w:rsidR="003C66EB" w:rsidRDefault="00D96C4E">
            <w:pPr>
              <w:jc w:val="right"/>
              <w:textAlignment w:val="bottom"/>
            </w:pPr>
            <w:r>
              <w:rPr>
                <w:rFonts w:ascii="Arial" w:eastAsia="宋体" w:hAnsi="Arial" w:cs="Arial"/>
                <w:color w:val="000000"/>
                <w:sz w:val="18"/>
                <w:szCs w:val="18"/>
              </w:rPr>
              <w:t>3,065 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CC9" w14:textId="77777777" w:rsidR="003C66EB" w:rsidRDefault="003C66EB">
            <w:pPr>
              <w:jc w:val="right"/>
              <w:rPr>
                <w:rFonts w:ascii="宋体"/>
              </w:rPr>
            </w:pPr>
          </w:p>
        </w:tc>
        <w:tc>
          <w:tcPr>
            <w:tcW w:w="0" w:type="auto"/>
            <w:shd w:val="clear" w:color="auto" w:fill="auto"/>
          </w:tcPr>
          <w:p w14:paraId="5EA21CCA" w14:textId="77777777" w:rsidR="003C66EB" w:rsidRDefault="003C66EB">
            <w:pPr>
              <w:rPr>
                <w:rFonts w:ascii="宋体"/>
                <w:vanish/>
              </w:rPr>
            </w:pPr>
          </w:p>
        </w:tc>
        <w:tc>
          <w:tcPr>
            <w:tcW w:w="0" w:type="auto"/>
            <w:shd w:val="clear" w:color="auto" w:fill="auto"/>
          </w:tcPr>
          <w:p w14:paraId="5EA21CCB" w14:textId="77777777" w:rsidR="003C66EB" w:rsidRDefault="003C66EB">
            <w:pPr>
              <w:rPr>
                <w:rFonts w:ascii="宋体"/>
                <w:vanish/>
              </w:rPr>
            </w:pPr>
          </w:p>
        </w:tc>
        <w:tc>
          <w:tcPr>
            <w:tcW w:w="0" w:type="auto"/>
            <w:gridSpan w:val="3"/>
            <w:shd w:val="clear" w:color="auto" w:fill="auto"/>
          </w:tcPr>
          <w:p w14:paraId="5EA21CCC" w14:textId="77777777" w:rsidR="003C66EB" w:rsidRDefault="003C66EB">
            <w:pPr>
              <w:rPr>
                <w:rFonts w:ascii="宋体"/>
                <w:vanish/>
              </w:rPr>
            </w:pPr>
          </w:p>
        </w:tc>
        <w:tc>
          <w:tcPr>
            <w:tcW w:w="0" w:type="auto"/>
            <w:gridSpan w:val="3"/>
            <w:shd w:val="clear" w:color="auto" w:fill="auto"/>
          </w:tcPr>
          <w:p w14:paraId="5EA21CCD" w14:textId="77777777" w:rsidR="003C66EB" w:rsidRDefault="003C66EB">
            <w:pPr>
              <w:rPr>
                <w:rFonts w:ascii="宋体"/>
                <w:vanish/>
              </w:rPr>
            </w:pPr>
          </w:p>
        </w:tc>
        <w:tc>
          <w:tcPr>
            <w:tcW w:w="0" w:type="auto"/>
            <w:gridSpan w:val="3"/>
            <w:shd w:val="clear" w:color="auto" w:fill="auto"/>
          </w:tcPr>
          <w:p w14:paraId="5EA21CCE" w14:textId="77777777" w:rsidR="003C66EB" w:rsidRDefault="003C66EB">
            <w:pPr>
              <w:rPr>
                <w:rFonts w:ascii="宋体"/>
                <w:vanish/>
              </w:rPr>
            </w:pPr>
          </w:p>
        </w:tc>
        <w:tc>
          <w:tcPr>
            <w:tcW w:w="0" w:type="auto"/>
            <w:gridSpan w:val="3"/>
            <w:shd w:val="clear" w:color="auto" w:fill="auto"/>
          </w:tcPr>
          <w:p w14:paraId="5EA21CCF" w14:textId="77777777" w:rsidR="003C66EB" w:rsidRDefault="003C66EB">
            <w:pPr>
              <w:rPr>
                <w:rFonts w:ascii="宋体"/>
                <w:vanish/>
              </w:rPr>
            </w:pPr>
          </w:p>
        </w:tc>
      </w:tr>
      <w:tr w:rsidR="003C66EB" w14:paraId="5EA21CDD" w14:textId="77777777">
        <w:tc>
          <w:tcPr>
            <w:tcW w:w="0" w:type="auto"/>
            <w:gridSpan w:val="3"/>
            <w:shd w:val="clear" w:color="auto" w:fill="FFFFFF"/>
            <w:tcMar>
              <w:top w:w="40" w:type="dxa"/>
              <w:left w:w="20" w:type="dxa"/>
              <w:bottom w:w="40" w:type="dxa"/>
              <w:right w:w="20" w:type="dxa"/>
            </w:tcMar>
            <w:vAlign w:val="bottom"/>
          </w:tcPr>
          <w:p w14:paraId="5EA21CD1" w14:textId="77777777" w:rsidR="003C66EB" w:rsidRDefault="00D96C4E">
            <w:pPr>
              <w:textAlignment w:val="bottom"/>
            </w:pPr>
            <w:r>
              <w:rPr>
                <w:rFonts w:ascii="Arial" w:eastAsia="宋体" w:hAnsi="Arial" w:cs="Arial"/>
                <w:color w:val="000000"/>
                <w:sz w:val="18"/>
                <w:szCs w:val="18"/>
              </w:rPr>
              <w:t>Provision for credit losses</w:t>
            </w:r>
          </w:p>
        </w:tc>
        <w:tc>
          <w:tcPr>
            <w:tcW w:w="0" w:type="auto"/>
            <w:gridSpan w:val="2"/>
            <w:shd w:val="clear" w:color="auto" w:fill="FFFFFF"/>
            <w:tcMar>
              <w:top w:w="40" w:type="dxa"/>
              <w:left w:w="20" w:type="dxa"/>
              <w:bottom w:w="40" w:type="dxa"/>
              <w:right w:w="0" w:type="dxa"/>
            </w:tcMar>
            <w:vAlign w:val="bottom"/>
          </w:tcPr>
          <w:p w14:paraId="5EA21CD2" w14:textId="77777777" w:rsidR="003C66EB" w:rsidRDefault="00D96C4E">
            <w:pPr>
              <w:jc w:val="right"/>
              <w:textAlignment w:val="bottom"/>
            </w:pPr>
            <w:r>
              <w:rPr>
                <w:rFonts w:ascii="Arial" w:eastAsia="宋体" w:hAnsi="Arial" w:cs="Arial"/>
                <w:b/>
                <w:bCs/>
                <w:color w:val="000000"/>
                <w:sz w:val="18"/>
                <w:szCs w:val="18"/>
              </w:rPr>
              <w:t>(9)</w:t>
            </w:r>
          </w:p>
        </w:tc>
        <w:tc>
          <w:tcPr>
            <w:tcW w:w="0" w:type="auto"/>
            <w:shd w:val="clear" w:color="auto" w:fill="FFFFFF"/>
            <w:tcMar>
              <w:top w:w="40" w:type="dxa"/>
              <w:left w:w="0" w:type="dxa"/>
              <w:bottom w:w="40" w:type="dxa"/>
              <w:right w:w="20" w:type="dxa"/>
            </w:tcMar>
            <w:vAlign w:val="bottom"/>
          </w:tcPr>
          <w:p w14:paraId="5EA21CD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D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CD5" w14:textId="77777777" w:rsidR="003C66EB" w:rsidRDefault="00D96C4E">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5EA21CD6" w14:textId="77777777" w:rsidR="003C66EB" w:rsidRDefault="003C66EB">
            <w:pPr>
              <w:jc w:val="right"/>
              <w:rPr>
                <w:rFonts w:ascii="宋体"/>
              </w:rPr>
            </w:pPr>
          </w:p>
        </w:tc>
        <w:tc>
          <w:tcPr>
            <w:tcW w:w="0" w:type="auto"/>
            <w:shd w:val="clear" w:color="auto" w:fill="auto"/>
          </w:tcPr>
          <w:p w14:paraId="5EA21CD7" w14:textId="77777777" w:rsidR="003C66EB" w:rsidRDefault="003C66EB">
            <w:pPr>
              <w:rPr>
                <w:rFonts w:ascii="宋体"/>
                <w:vanish/>
              </w:rPr>
            </w:pPr>
          </w:p>
        </w:tc>
        <w:tc>
          <w:tcPr>
            <w:tcW w:w="0" w:type="auto"/>
            <w:shd w:val="clear" w:color="auto" w:fill="auto"/>
          </w:tcPr>
          <w:p w14:paraId="5EA21CD8" w14:textId="77777777" w:rsidR="003C66EB" w:rsidRDefault="003C66EB">
            <w:pPr>
              <w:rPr>
                <w:rFonts w:ascii="宋体"/>
                <w:vanish/>
              </w:rPr>
            </w:pPr>
          </w:p>
        </w:tc>
        <w:tc>
          <w:tcPr>
            <w:tcW w:w="0" w:type="auto"/>
            <w:gridSpan w:val="3"/>
            <w:shd w:val="clear" w:color="auto" w:fill="auto"/>
          </w:tcPr>
          <w:p w14:paraId="5EA21CD9" w14:textId="77777777" w:rsidR="003C66EB" w:rsidRDefault="003C66EB">
            <w:pPr>
              <w:rPr>
                <w:rFonts w:ascii="宋体"/>
                <w:vanish/>
              </w:rPr>
            </w:pPr>
          </w:p>
        </w:tc>
        <w:tc>
          <w:tcPr>
            <w:tcW w:w="0" w:type="auto"/>
            <w:gridSpan w:val="3"/>
            <w:shd w:val="clear" w:color="auto" w:fill="auto"/>
          </w:tcPr>
          <w:p w14:paraId="5EA21CDA" w14:textId="77777777" w:rsidR="003C66EB" w:rsidRDefault="003C66EB">
            <w:pPr>
              <w:rPr>
                <w:rFonts w:ascii="宋体"/>
                <w:vanish/>
              </w:rPr>
            </w:pPr>
          </w:p>
        </w:tc>
        <w:tc>
          <w:tcPr>
            <w:tcW w:w="0" w:type="auto"/>
            <w:gridSpan w:val="3"/>
            <w:shd w:val="clear" w:color="auto" w:fill="auto"/>
          </w:tcPr>
          <w:p w14:paraId="5EA21CDB" w14:textId="77777777" w:rsidR="003C66EB" w:rsidRDefault="003C66EB">
            <w:pPr>
              <w:rPr>
                <w:rFonts w:ascii="宋体"/>
                <w:vanish/>
              </w:rPr>
            </w:pPr>
          </w:p>
        </w:tc>
        <w:tc>
          <w:tcPr>
            <w:tcW w:w="0" w:type="auto"/>
            <w:gridSpan w:val="3"/>
            <w:shd w:val="clear" w:color="auto" w:fill="auto"/>
          </w:tcPr>
          <w:p w14:paraId="5EA21CDC" w14:textId="77777777" w:rsidR="003C66EB" w:rsidRDefault="003C66EB">
            <w:pPr>
              <w:rPr>
                <w:rFonts w:ascii="宋体"/>
                <w:vanish/>
              </w:rPr>
            </w:pPr>
          </w:p>
        </w:tc>
      </w:tr>
      <w:tr w:rsidR="003C66EB" w14:paraId="5EA21CE8" w14:textId="77777777">
        <w:tc>
          <w:tcPr>
            <w:tcW w:w="0" w:type="auto"/>
            <w:gridSpan w:val="3"/>
            <w:shd w:val="clear" w:color="auto" w:fill="CCEEFF"/>
            <w:tcMar>
              <w:top w:w="40" w:type="dxa"/>
              <w:left w:w="20" w:type="dxa"/>
              <w:bottom w:w="40" w:type="dxa"/>
              <w:right w:w="20" w:type="dxa"/>
            </w:tcMar>
            <w:vAlign w:val="bottom"/>
          </w:tcPr>
          <w:p w14:paraId="5EA21CDE" w14:textId="77777777" w:rsidR="003C66EB" w:rsidRDefault="00D96C4E">
            <w:pPr>
              <w:textAlignment w:val="bottom"/>
            </w:pPr>
            <w:r>
              <w:rPr>
                <w:rFonts w:ascii="Arial" w:eastAsia="宋体" w:hAnsi="Arial" w:cs="Arial"/>
                <w:b/>
                <w:bCs/>
                <w:color w:val="000000"/>
                <w:sz w:val="18"/>
                <w:szCs w:val="18"/>
              </w:rPr>
              <w:t>Expenses:</w:t>
            </w:r>
          </w:p>
        </w:tc>
        <w:tc>
          <w:tcPr>
            <w:tcW w:w="0" w:type="auto"/>
            <w:gridSpan w:val="3"/>
            <w:shd w:val="clear" w:color="auto" w:fill="CCEEFF"/>
            <w:tcMar>
              <w:top w:w="0" w:type="dxa"/>
              <w:left w:w="20" w:type="dxa"/>
              <w:bottom w:w="0" w:type="dxa"/>
              <w:right w:w="20" w:type="dxa"/>
            </w:tcMar>
          </w:tcPr>
          <w:p w14:paraId="5EA21CD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CE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CE1" w14:textId="77777777" w:rsidR="003C66EB" w:rsidRDefault="003C66EB">
            <w:pPr>
              <w:rPr>
                <w:rFonts w:ascii="宋体"/>
              </w:rPr>
            </w:pPr>
          </w:p>
        </w:tc>
        <w:tc>
          <w:tcPr>
            <w:tcW w:w="0" w:type="auto"/>
            <w:shd w:val="clear" w:color="auto" w:fill="auto"/>
          </w:tcPr>
          <w:p w14:paraId="5EA21CE2" w14:textId="77777777" w:rsidR="003C66EB" w:rsidRDefault="003C66EB">
            <w:pPr>
              <w:rPr>
                <w:rFonts w:ascii="宋体"/>
                <w:vanish/>
              </w:rPr>
            </w:pPr>
          </w:p>
        </w:tc>
        <w:tc>
          <w:tcPr>
            <w:tcW w:w="0" w:type="auto"/>
            <w:shd w:val="clear" w:color="auto" w:fill="auto"/>
          </w:tcPr>
          <w:p w14:paraId="5EA21CE3" w14:textId="77777777" w:rsidR="003C66EB" w:rsidRDefault="003C66EB">
            <w:pPr>
              <w:rPr>
                <w:rFonts w:ascii="宋体"/>
                <w:vanish/>
              </w:rPr>
            </w:pPr>
          </w:p>
        </w:tc>
        <w:tc>
          <w:tcPr>
            <w:tcW w:w="0" w:type="auto"/>
            <w:gridSpan w:val="3"/>
            <w:shd w:val="clear" w:color="auto" w:fill="auto"/>
          </w:tcPr>
          <w:p w14:paraId="5EA21CE4" w14:textId="77777777" w:rsidR="003C66EB" w:rsidRDefault="003C66EB">
            <w:pPr>
              <w:rPr>
                <w:rFonts w:ascii="宋体"/>
                <w:vanish/>
              </w:rPr>
            </w:pPr>
          </w:p>
        </w:tc>
        <w:tc>
          <w:tcPr>
            <w:tcW w:w="0" w:type="auto"/>
            <w:gridSpan w:val="3"/>
            <w:shd w:val="clear" w:color="auto" w:fill="auto"/>
          </w:tcPr>
          <w:p w14:paraId="5EA21CE5" w14:textId="77777777" w:rsidR="003C66EB" w:rsidRDefault="003C66EB">
            <w:pPr>
              <w:rPr>
                <w:rFonts w:ascii="宋体"/>
                <w:vanish/>
              </w:rPr>
            </w:pPr>
          </w:p>
        </w:tc>
        <w:tc>
          <w:tcPr>
            <w:tcW w:w="0" w:type="auto"/>
            <w:gridSpan w:val="3"/>
            <w:shd w:val="clear" w:color="auto" w:fill="auto"/>
          </w:tcPr>
          <w:p w14:paraId="5EA21CE6" w14:textId="77777777" w:rsidR="003C66EB" w:rsidRDefault="003C66EB">
            <w:pPr>
              <w:rPr>
                <w:rFonts w:ascii="宋体"/>
                <w:vanish/>
              </w:rPr>
            </w:pPr>
          </w:p>
        </w:tc>
        <w:tc>
          <w:tcPr>
            <w:tcW w:w="0" w:type="auto"/>
            <w:gridSpan w:val="3"/>
            <w:shd w:val="clear" w:color="auto" w:fill="auto"/>
          </w:tcPr>
          <w:p w14:paraId="5EA21CE7" w14:textId="77777777" w:rsidR="003C66EB" w:rsidRDefault="003C66EB">
            <w:pPr>
              <w:rPr>
                <w:rFonts w:ascii="宋体"/>
                <w:vanish/>
              </w:rPr>
            </w:pPr>
          </w:p>
        </w:tc>
      </w:tr>
      <w:tr w:rsidR="003C66EB" w14:paraId="5EA21CF5" w14:textId="77777777">
        <w:tc>
          <w:tcPr>
            <w:tcW w:w="0" w:type="auto"/>
            <w:gridSpan w:val="3"/>
            <w:shd w:val="clear" w:color="auto" w:fill="FFFFFF"/>
            <w:tcMar>
              <w:top w:w="40" w:type="dxa"/>
              <w:left w:w="20" w:type="dxa"/>
              <w:bottom w:w="40" w:type="dxa"/>
              <w:right w:w="20" w:type="dxa"/>
            </w:tcMar>
            <w:vAlign w:val="bottom"/>
          </w:tcPr>
          <w:p w14:paraId="5EA21CE9" w14:textId="77777777" w:rsidR="003C66EB" w:rsidRDefault="00D96C4E">
            <w:pPr>
              <w:textAlignment w:val="bottom"/>
            </w:pPr>
            <w:r>
              <w:rPr>
                <w:rFonts w:ascii="Arial" w:eastAsia="宋体" w:hAnsi="Arial" w:cs="Arial"/>
                <w:color w:val="000000"/>
                <w:sz w:val="18"/>
                <w:szCs w:val="18"/>
              </w:rPr>
              <w:t>Compensation and employee benefits</w:t>
            </w:r>
          </w:p>
        </w:tc>
        <w:tc>
          <w:tcPr>
            <w:tcW w:w="0" w:type="auto"/>
            <w:gridSpan w:val="2"/>
            <w:shd w:val="clear" w:color="auto" w:fill="FFFFFF"/>
            <w:tcMar>
              <w:top w:w="40" w:type="dxa"/>
              <w:left w:w="20" w:type="dxa"/>
              <w:bottom w:w="40" w:type="dxa"/>
              <w:right w:w="0" w:type="dxa"/>
            </w:tcMar>
            <w:vAlign w:val="bottom"/>
          </w:tcPr>
          <w:p w14:paraId="5EA21CEA" w14:textId="77777777" w:rsidR="003C66EB" w:rsidRDefault="00D96C4E">
            <w:pPr>
              <w:jc w:val="right"/>
              <w:textAlignment w:val="bottom"/>
            </w:pPr>
            <w:r>
              <w:rPr>
                <w:rFonts w:ascii="Arial" w:eastAsia="宋体" w:hAnsi="Arial" w:cs="Arial"/>
                <w:b/>
                <w:bCs/>
                <w:color w:val="000000"/>
                <w:sz w:val="18"/>
                <w:szCs w:val="18"/>
              </w:rPr>
              <w:t>1,242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C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CE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CED" w14:textId="77777777" w:rsidR="003C66EB" w:rsidRDefault="00D96C4E">
            <w:pPr>
              <w:jc w:val="right"/>
              <w:textAlignment w:val="bottom"/>
            </w:pPr>
            <w:r>
              <w:rPr>
                <w:rFonts w:ascii="Arial" w:eastAsia="宋体" w:hAnsi="Arial" w:cs="Arial"/>
                <w:color w:val="000000"/>
                <w:sz w:val="18"/>
                <w:szCs w:val="18"/>
              </w:rPr>
              <w:t>1,208 </w:t>
            </w:r>
          </w:p>
        </w:tc>
        <w:tc>
          <w:tcPr>
            <w:tcW w:w="0" w:type="auto"/>
            <w:shd w:val="clear" w:color="auto" w:fill="FFFFFF"/>
            <w:tcMar>
              <w:top w:w="40" w:type="dxa"/>
              <w:left w:w="0" w:type="dxa"/>
              <w:bottom w:w="40" w:type="dxa"/>
              <w:right w:w="20" w:type="dxa"/>
            </w:tcMar>
            <w:vAlign w:val="bottom"/>
          </w:tcPr>
          <w:p w14:paraId="5EA21CEE" w14:textId="77777777" w:rsidR="003C66EB" w:rsidRDefault="003C66EB">
            <w:pPr>
              <w:jc w:val="right"/>
              <w:rPr>
                <w:rFonts w:ascii="宋体"/>
              </w:rPr>
            </w:pPr>
          </w:p>
        </w:tc>
        <w:tc>
          <w:tcPr>
            <w:tcW w:w="0" w:type="auto"/>
            <w:shd w:val="clear" w:color="auto" w:fill="auto"/>
          </w:tcPr>
          <w:p w14:paraId="5EA21CEF" w14:textId="77777777" w:rsidR="003C66EB" w:rsidRDefault="003C66EB">
            <w:pPr>
              <w:rPr>
                <w:rFonts w:ascii="宋体"/>
                <w:vanish/>
              </w:rPr>
            </w:pPr>
          </w:p>
        </w:tc>
        <w:tc>
          <w:tcPr>
            <w:tcW w:w="0" w:type="auto"/>
            <w:shd w:val="clear" w:color="auto" w:fill="auto"/>
          </w:tcPr>
          <w:p w14:paraId="5EA21CF0" w14:textId="77777777" w:rsidR="003C66EB" w:rsidRDefault="003C66EB">
            <w:pPr>
              <w:rPr>
                <w:rFonts w:ascii="宋体"/>
                <w:vanish/>
              </w:rPr>
            </w:pPr>
          </w:p>
        </w:tc>
        <w:tc>
          <w:tcPr>
            <w:tcW w:w="0" w:type="auto"/>
            <w:gridSpan w:val="3"/>
            <w:shd w:val="clear" w:color="auto" w:fill="auto"/>
          </w:tcPr>
          <w:p w14:paraId="5EA21CF1" w14:textId="77777777" w:rsidR="003C66EB" w:rsidRDefault="003C66EB">
            <w:pPr>
              <w:rPr>
                <w:rFonts w:ascii="宋体"/>
                <w:vanish/>
              </w:rPr>
            </w:pPr>
          </w:p>
        </w:tc>
        <w:tc>
          <w:tcPr>
            <w:tcW w:w="0" w:type="auto"/>
            <w:gridSpan w:val="3"/>
            <w:shd w:val="clear" w:color="auto" w:fill="auto"/>
          </w:tcPr>
          <w:p w14:paraId="5EA21CF2" w14:textId="77777777" w:rsidR="003C66EB" w:rsidRDefault="003C66EB">
            <w:pPr>
              <w:rPr>
                <w:rFonts w:ascii="宋体"/>
                <w:vanish/>
              </w:rPr>
            </w:pPr>
          </w:p>
        </w:tc>
        <w:tc>
          <w:tcPr>
            <w:tcW w:w="0" w:type="auto"/>
            <w:gridSpan w:val="3"/>
            <w:shd w:val="clear" w:color="auto" w:fill="auto"/>
          </w:tcPr>
          <w:p w14:paraId="5EA21CF3" w14:textId="77777777" w:rsidR="003C66EB" w:rsidRDefault="003C66EB">
            <w:pPr>
              <w:rPr>
                <w:rFonts w:ascii="宋体"/>
                <w:vanish/>
              </w:rPr>
            </w:pPr>
          </w:p>
        </w:tc>
        <w:tc>
          <w:tcPr>
            <w:tcW w:w="0" w:type="auto"/>
            <w:gridSpan w:val="3"/>
            <w:shd w:val="clear" w:color="auto" w:fill="auto"/>
          </w:tcPr>
          <w:p w14:paraId="5EA21CF4" w14:textId="77777777" w:rsidR="003C66EB" w:rsidRDefault="003C66EB">
            <w:pPr>
              <w:rPr>
                <w:rFonts w:ascii="宋体"/>
                <w:vanish/>
              </w:rPr>
            </w:pPr>
          </w:p>
        </w:tc>
      </w:tr>
      <w:tr w:rsidR="003C66EB" w14:paraId="5EA21D02" w14:textId="77777777">
        <w:tc>
          <w:tcPr>
            <w:tcW w:w="0" w:type="auto"/>
            <w:gridSpan w:val="3"/>
            <w:shd w:val="clear" w:color="auto" w:fill="CCEEFF"/>
            <w:tcMar>
              <w:top w:w="40" w:type="dxa"/>
              <w:left w:w="20" w:type="dxa"/>
              <w:bottom w:w="40" w:type="dxa"/>
              <w:right w:w="20" w:type="dxa"/>
            </w:tcMar>
            <w:vAlign w:val="bottom"/>
          </w:tcPr>
          <w:p w14:paraId="5EA21CF6" w14:textId="77777777" w:rsidR="003C66EB" w:rsidRDefault="00D96C4E">
            <w:pPr>
              <w:textAlignment w:val="bottom"/>
            </w:pPr>
            <w:r>
              <w:rPr>
                <w:rFonts w:ascii="Arial" w:eastAsia="宋体" w:hAnsi="Arial" w:cs="Arial"/>
                <w:color w:val="000000"/>
                <w:sz w:val="18"/>
                <w:szCs w:val="18"/>
              </w:rPr>
              <w:t>Information systems and communications</w:t>
            </w:r>
          </w:p>
        </w:tc>
        <w:tc>
          <w:tcPr>
            <w:tcW w:w="0" w:type="auto"/>
            <w:gridSpan w:val="2"/>
            <w:shd w:val="clear" w:color="auto" w:fill="CCEEFF"/>
            <w:tcMar>
              <w:top w:w="40" w:type="dxa"/>
              <w:left w:w="20" w:type="dxa"/>
              <w:bottom w:w="40" w:type="dxa"/>
              <w:right w:w="0" w:type="dxa"/>
            </w:tcMar>
            <w:vAlign w:val="bottom"/>
          </w:tcPr>
          <w:p w14:paraId="5EA21CF7" w14:textId="77777777" w:rsidR="003C66EB" w:rsidRDefault="00D96C4E">
            <w:pPr>
              <w:jc w:val="right"/>
              <w:textAlignment w:val="bottom"/>
            </w:pPr>
            <w:r>
              <w:rPr>
                <w:rFonts w:ascii="Arial" w:eastAsia="宋体" w:hAnsi="Arial" w:cs="Arial"/>
                <w:b/>
                <w:bCs/>
                <w:color w:val="000000"/>
                <w:sz w:val="18"/>
                <w:szCs w:val="18"/>
              </w:rPr>
              <w:t>421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C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CF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CFA" w14:textId="77777777" w:rsidR="003C66EB" w:rsidRDefault="00D96C4E">
            <w:pPr>
              <w:jc w:val="right"/>
              <w:textAlignment w:val="bottom"/>
            </w:pPr>
            <w:r>
              <w:rPr>
                <w:rFonts w:ascii="Arial" w:eastAsia="宋体" w:hAnsi="Arial" w:cs="Arial"/>
                <w:color w:val="000000"/>
                <w:sz w:val="18"/>
                <w:szCs w:val="18"/>
              </w:rPr>
              <w:t>385 </w:t>
            </w:r>
          </w:p>
        </w:tc>
        <w:tc>
          <w:tcPr>
            <w:tcW w:w="0" w:type="auto"/>
            <w:shd w:val="clear" w:color="auto" w:fill="CCEEFF"/>
            <w:tcMar>
              <w:top w:w="40" w:type="dxa"/>
              <w:left w:w="0" w:type="dxa"/>
              <w:bottom w:w="40" w:type="dxa"/>
              <w:right w:w="20" w:type="dxa"/>
            </w:tcMar>
            <w:vAlign w:val="bottom"/>
          </w:tcPr>
          <w:p w14:paraId="5EA21CFB" w14:textId="77777777" w:rsidR="003C66EB" w:rsidRDefault="003C66EB">
            <w:pPr>
              <w:jc w:val="right"/>
              <w:rPr>
                <w:rFonts w:ascii="宋体"/>
              </w:rPr>
            </w:pPr>
          </w:p>
        </w:tc>
        <w:tc>
          <w:tcPr>
            <w:tcW w:w="0" w:type="auto"/>
            <w:shd w:val="clear" w:color="auto" w:fill="auto"/>
          </w:tcPr>
          <w:p w14:paraId="5EA21CFC" w14:textId="77777777" w:rsidR="003C66EB" w:rsidRDefault="003C66EB">
            <w:pPr>
              <w:rPr>
                <w:rFonts w:ascii="宋体"/>
                <w:vanish/>
              </w:rPr>
            </w:pPr>
          </w:p>
        </w:tc>
        <w:tc>
          <w:tcPr>
            <w:tcW w:w="0" w:type="auto"/>
            <w:shd w:val="clear" w:color="auto" w:fill="auto"/>
          </w:tcPr>
          <w:p w14:paraId="5EA21CFD" w14:textId="77777777" w:rsidR="003C66EB" w:rsidRDefault="003C66EB">
            <w:pPr>
              <w:rPr>
                <w:rFonts w:ascii="宋体"/>
                <w:vanish/>
              </w:rPr>
            </w:pPr>
          </w:p>
        </w:tc>
        <w:tc>
          <w:tcPr>
            <w:tcW w:w="0" w:type="auto"/>
            <w:gridSpan w:val="3"/>
            <w:shd w:val="clear" w:color="auto" w:fill="auto"/>
          </w:tcPr>
          <w:p w14:paraId="5EA21CFE" w14:textId="77777777" w:rsidR="003C66EB" w:rsidRDefault="003C66EB">
            <w:pPr>
              <w:rPr>
                <w:rFonts w:ascii="宋体"/>
                <w:vanish/>
              </w:rPr>
            </w:pPr>
          </w:p>
        </w:tc>
        <w:tc>
          <w:tcPr>
            <w:tcW w:w="0" w:type="auto"/>
            <w:gridSpan w:val="3"/>
            <w:shd w:val="clear" w:color="auto" w:fill="auto"/>
          </w:tcPr>
          <w:p w14:paraId="5EA21CFF" w14:textId="77777777" w:rsidR="003C66EB" w:rsidRDefault="003C66EB">
            <w:pPr>
              <w:rPr>
                <w:rFonts w:ascii="宋体"/>
                <w:vanish/>
              </w:rPr>
            </w:pPr>
          </w:p>
        </w:tc>
        <w:tc>
          <w:tcPr>
            <w:tcW w:w="0" w:type="auto"/>
            <w:gridSpan w:val="3"/>
            <w:shd w:val="clear" w:color="auto" w:fill="auto"/>
          </w:tcPr>
          <w:p w14:paraId="5EA21D00" w14:textId="77777777" w:rsidR="003C66EB" w:rsidRDefault="003C66EB">
            <w:pPr>
              <w:rPr>
                <w:rFonts w:ascii="宋体"/>
                <w:vanish/>
              </w:rPr>
            </w:pPr>
          </w:p>
        </w:tc>
        <w:tc>
          <w:tcPr>
            <w:tcW w:w="0" w:type="auto"/>
            <w:gridSpan w:val="3"/>
            <w:shd w:val="clear" w:color="auto" w:fill="auto"/>
          </w:tcPr>
          <w:p w14:paraId="5EA21D01" w14:textId="77777777" w:rsidR="003C66EB" w:rsidRDefault="003C66EB">
            <w:pPr>
              <w:rPr>
                <w:rFonts w:ascii="宋体"/>
                <w:vanish/>
              </w:rPr>
            </w:pPr>
          </w:p>
        </w:tc>
      </w:tr>
      <w:tr w:rsidR="003C66EB" w14:paraId="5EA21D0F" w14:textId="77777777">
        <w:tc>
          <w:tcPr>
            <w:tcW w:w="0" w:type="auto"/>
            <w:gridSpan w:val="3"/>
            <w:shd w:val="clear" w:color="auto" w:fill="FFFFFF"/>
            <w:tcMar>
              <w:top w:w="40" w:type="dxa"/>
              <w:left w:w="20" w:type="dxa"/>
              <w:bottom w:w="40" w:type="dxa"/>
              <w:right w:w="20" w:type="dxa"/>
            </w:tcMar>
            <w:vAlign w:val="bottom"/>
          </w:tcPr>
          <w:p w14:paraId="5EA21D03" w14:textId="77777777" w:rsidR="003C66EB" w:rsidRDefault="00D96C4E">
            <w:pPr>
              <w:textAlignment w:val="bottom"/>
            </w:pPr>
            <w:r>
              <w:rPr>
                <w:rFonts w:ascii="Arial" w:eastAsia="宋体" w:hAnsi="Arial" w:cs="Arial"/>
                <w:color w:val="000000"/>
                <w:sz w:val="18"/>
                <w:szCs w:val="18"/>
              </w:rPr>
              <w:t xml:space="preserve">Transaction </w:t>
            </w:r>
            <w:r>
              <w:rPr>
                <w:rFonts w:ascii="Arial" w:eastAsia="宋体" w:hAnsi="Arial" w:cs="Arial"/>
                <w:color w:val="000000"/>
                <w:sz w:val="18"/>
                <w:szCs w:val="18"/>
              </w:rPr>
              <w:t>processing services</w:t>
            </w:r>
          </w:p>
        </w:tc>
        <w:tc>
          <w:tcPr>
            <w:tcW w:w="0" w:type="auto"/>
            <w:gridSpan w:val="2"/>
            <w:shd w:val="clear" w:color="auto" w:fill="FFFFFF"/>
            <w:tcMar>
              <w:top w:w="40" w:type="dxa"/>
              <w:left w:w="20" w:type="dxa"/>
              <w:bottom w:w="40" w:type="dxa"/>
              <w:right w:w="0" w:type="dxa"/>
            </w:tcMar>
            <w:vAlign w:val="bottom"/>
          </w:tcPr>
          <w:p w14:paraId="5EA21D04" w14:textId="77777777" w:rsidR="003C66EB" w:rsidRDefault="00D96C4E">
            <w:pPr>
              <w:jc w:val="right"/>
              <w:textAlignment w:val="bottom"/>
            </w:pPr>
            <w:r>
              <w:rPr>
                <w:rFonts w:ascii="Arial" w:eastAsia="宋体" w:hAnsi="Arial" w:cs="Arial"/>
                <w:b/>
                <w:bCs/>
                <w:color w:val="000000"/>
                <w:sz w:val="18"/>
                <w:szCs w:val="18"/>
              </w:rPr>
              <w:t>270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D0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0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D07" w14:textId="77777777" w:rsidR="003C66EB" w:rsidRDefault="00D96C4E">
            <w:pPr>
              <w:jc w:val="right"/>
              <w:textAlignment w:val="bottom"/>
            </w:pPr>
            <w:r>
              <w:rPr>
                <w:rFonts w:ascii="Arial" w:eastAsia="宋体" w:hAnsi="Arial" w:cs="Arial"/>
                <w:color w:val="000000"/>
                <w:sz w:val="18"/>
                <w:szCs w:val="18"/>
              </w:rPr>
              <w:t>254 </w:t>
            </w:r>
          </w:p>
        </w:tc>
        <w:tc>
          <w:tcPr>
            <w:tcW w:w="0" w:type="auto"/>
            <w:shd w:val="clear" w:color="auto" w:fill="FFFFFF"/>
            <w:tcMar>
              <w:top w:w="40" w:type="dxa"/>
              <w:left w:w="0" w:type="dxa"/>
              <w:bottom w:w="40" w:type="dxa"/>
              <w:right w:w="20" w:type="dxa"/>
            </w:tcMar>
            <w:vAlign w:val="bottom"/>
          </w:tcPr>
          <w:p w14:paraId="5EA21D08" w14:textId="77777777" w:rsidR="003C66EB" w:rsidRDefault="003C66EB">
            <w:pPr>
              <w:jc w:val="right"/>
              <w:rPr>
                <w:rFonts w:ascii="宋体"/>
              </w:rPr>
            </w:pPr>
          </w:p>
        </w:tc>
        <w:tc>
          <w:tcPr>
            <w:tcW w:w="0" w:type="auto"/>
            <w:shd w:val="clear" w:color="auto" w:fill="auto"/>
          </w:tcPr>
          <w:p w14:paraId="5EA21D09" w14:textId="77777777" w:rsidR="003C66EB" w:rsidRDefault="003C66EB">
            <w:pPr>
              <w:rPr>
                <w:rFonts w:ascii="宋体"/>
                <w:vanish/>
              </w:rPr>
            </w:pPr>
          </w:p>
        </w:tc>
        <w:tc>
          <w:tcPr>
            <w:tcW w:w="0" w:type="auto"/>
            <w:shd w:val="clear" w:color="auto" w:fill="auto"/>
          </w:tcPr>
          <w:p w14:paraId="5EA21D0A" w14:textId="77777777" w:rsidR="003C66EB" w:rsidRDefault="003C66EB">
            <w:pPr>
              <w:rPr>
                <w:rFonts w:ascii="宋体"/>
                <w:vanish/>
              </w:rPr>
            </w:pPr>
          </w:p>
        </w:tc>
        <w:tc>
          <w:tcPr>
            <w:tcW w:w="0" w:type="auto"/>
            <w:gridSpan w:val="3"/>
            <w:shd w:val="clear" w:color="auto" w:fill="auto"/>
          </w:tcPr>
          <w:p w14:paraId="5EA21D0B" w14:textId="77777777" w:rsidR="003C66EB" w:rsidRDefault="003C66EB">
            <w:pPr>
              <w:rPr>
                <w:rFonts w:ascii="宋体"/>
                <w:vanish/>
              </w:rPr>
            </w:pPr>
          </w:p>
        </w:tc>
        <w:tc>
          <w:tcPr>
            <w:tcW w:w="0" w:type="auto"/>
            <w:gridSpan w:val="3"/>
            <w:shd w:val="clear" w:color="auto" w:fill="auto"/>
          </w:tcPr>
          <w:p w14:paraId="5EA21D0C" w14:textId="77777777" w:rsidR="003C66EB" w:rsidRDefault="003C66EB">
            <w:pPr>
              <w:rPr>
                <w:rFonts w:ascii="宋体"/>
                <w:vanish/>
              </w:rPr>
            </w:pPr>
          </w:p>
        </w:tc>
        <w:tc>
          <w:tcPr>
            <w:tcW w:w="0" w:type="auto"/>
            <w:gridSpan w:val="3"/>
            <w:shd w:val="clear" w:color="auto" w:fill="auto"/>
          </w:tcPr>
          <w:p w14:paraId="5EA21D0D" w14:textId="77777777" w:rsidR="003C66EB" w:rsidRDefault="003C66EB">
            <w:pPr>
              <w:rPr>
                <w:rFonts w:ascii="宋体"/>
                <w:vanish/>
              </w:rPr>
            </w:pPr>
          </w:p>
        </w:tc>
        <w:tc>
          <w:tcPr>
            <w:tcW w:w="0" w:type="auto"/>
            <w:gridSpan w:val="3"/>
            <w:shd w:val="clear" w:color="auto" w:fill="auto"/>
          </w:tcPr>
          <w:p w14:paraId="5EA21D0E" w14:textId="77777777" w:rsidR="003C66EB" w:rsidRDefault="003C66EB">
            <w:pPr>
              <w:rPr>
                <w:rFonts w:ascii="宋体"/>
                <w:vanish/>
              </w:rPr>
            </w:pPr>
          </w:p>
        </w:tc>
      </w:tr>
      <w:tr w:rsidR="003C66EB" w14:paraId="5EA21D1C" w14:textId="77777777">
        <w:tc>
          <w:tcPr>
            <w:tcW w:w="0" w:type="auto"/>
            <w:gridSpan w:val="3"/>
            <w:shd w:val="clear" w:color="auto" w:fill="CCEEFF"/>
            <w:tcMar>
              <w:top w:w="40" w:type="dxa"/>
              <w:left w:w="20" w:type="dxa"/>
              <w:bottom w:w="40" w:type="dxa"/>
              <w:right w:w="20" w:type="dxa"/>
            </w:tcMar>
            <w:vAlign w:val="bottom"/>
          </w:tcPr>
          <w:p w14:paraId="5EA21D10" w14:textId="77777777" w:rsidR="003C66EB" w:rsidRDefault="00D96C4E">
            <w:pPr>
              <w:textAlignment w:val="bottom"/>
            </w:pPr>
            <w:r>
              <w:rPr>
                <w:rFonts w:ascii="Arial" w:eastAsia="宋体" w:hAnsi="Arial" w:cs="Arial"/>
                <w:color w:val="000000"/>
                <w:sz w:val="18"/>
                <w:szCs w:val="18"/>
              </w:rPr>
              <w:t>Occupancy</w:t>
            </w:r>
          </w:p>
        </w:tc>
        <w:tc>
          <w:tcPr>
            <w:tcW w:w="0" w:type="auto"/>
            <w:gridSpan w:val="2"/>
            <w:shd w:val="clear" w:color="auto" w:fill="CCEEFF"/>
            <w:tcMar>
              <w:top w:w="40" w:type="dxa"/>
              <w:left w:w="20" w:type="dxa"/>
              <w:bottom w:w="40" w:type="dxa"/>
              <w:right w:w="0" w:type="dxa"/>
            </w:tcMar>
            <w:vAlign w:val="bottom"/>
          </w:tcPr>
          <w:p w14:paraId="5EA21D11" w14:textId="77777777" w:rsidR="003C66EB" w:rsidRDefault="00D96C4E">
            <w:pPr>
              <w:jc w:val="right"/>
              <w:textAlignment w:val="bottom"/>
            </w:pPr>
            <w:r>
              <w:rPr>
                <w:rFonts w:ascii="Arial" w:eastAsia="宋体" w:hAnsi="Arial" w:cs="Arial"/>
                <w:b/>
                <w:bCs/>
                <w:color w:val="000000"/>
                <w:sz w:val="18"/>
                <w:szCs w:val="18"/>
              </w:rPr>
              <w:t>109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D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1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D14" w14:textId="77777777" w:rsidR="003C66EB" w:rsidRDefault="00D96C4E">
            <w:pPr>
              <w:jc w:val="right"/>
              <w:textAlignment w:val="bottom"/>
            </w:pPr>
            <w:r>
              <w:rPr>
                <w:rFonts w:ascii="Arial" w:eastAsia="宋体" w:hAnsi="Arial" w:cs="Arial"/>
                <w:color w:val="000000"/>
                <w:sz w:val="18"/>
                <w:szCs w:val="18"/>
              </w:rPr>
              <w:t>109 </w:t>
            </w:r>
          </w:p>
        </w:tc>
        <w:tc>
          <w:tcPr>
            <w:tcW w:w="0" w:type="auto"/>
            <w:shd w:val="clear" w:color="auto" w:fill="CCEEFF"/>
            <w:tcMar>
              <w:top w:w="40" w:type="dxa"/>
              <w:left w:w="0" w:type="dxa"/>
              <w:bottom w:w="40" w:type="dxa"/>
              <w:right w:w="20" w:type="dxa"/>
            </w:tcMar>
            <w:vAlign w:val="bottom"/>
          </w:tcPr>
          <w:p w14:paraId="5EA21D15" w14:textId="77777777" w:rsidR="003C66EB" w:rsidRDefault="003C66EB">
            <w:pPr>
              <w:jc w:val="right"/>
              <w:rPr>
                <w:rFonts w:ascii="宋体"/>
              </w:rPr>
            </w:pPr>
          </w:p>
        </w:tc>
        <w:tc>
          <w:tcPr>
            <w:tcW w:w="0" w:type="auto"/>
            <w:shd w:val="clear" w:color="auto" w:fill="auto"/>
          </w:tcPr>
          <w:p w14:paraId="5EA21D16" w14:textId="77777777" w:rsidR="003C66EB" w:rsidRDefault="003C66EB">
            <w:pPr>
              <w:rPr>
                <w:rFonts w:ascii="宋体"/>
                <w:vanish/>
              </w:rPr>
            </w:pPr>
          </w:p>
        </w:tc>
        <w:tc>
          <w:tcPr>
            <w:tcW w:w="0" w:type="auto"/>
            <w:shd w:val="clear" w:color="auto" w:fill="auto"/>
          </w:tcPr>
          <w:p w14:paraId="5EA21D17" w14:textId="77777777" w:rsidR="003C66EB" w:rsidRDefault="003C66EB">
            <w:pPr>
              <w:rPr>
                <w:rFonts w:ascii="宋体"/>
                <w:vanish/>
              </w:rPr>
            </w:pPr>
          </w:p>
        </w:tc>
        <w:tc>
          <w:tcPr>
            <w:tcW w:w="0" w:type="auto"/>
            <w:gridSpan w:val="3"/>
            <w:shd w:val="clear" w:color="auto" w:fill="auto"/>
          </w:tcPr>
          <w:p w14:paraId="5EA21D18" w14:textId="77777777" w:rsidR="003C66EB" w:rsidRDefault="003C66EB">
            <w:pPr>
              <w:rPr>
                <w:rFonts w:ascii="宋体"/>
                <w:vanish/>
              </w:rPr>
            </w:pPr>
          </w:p>
        </w:tc>
        <w:tc>
          <w:tcPr>
            <w:tcW w:w="0" w:type="auto"/>
            <w:gridSpan w:val="3"/>
            <w:shd w:val="clear" w:color="auto" w:fill="auto"/>
          </w:tcPr>
          <w:p w14:paraId="5EA21D19" w14:textId="77777777" w:rsidR="003C66EB" w:rsidRDefault="003C66EB">
            <w:pPr>
              <w:rPr>
                <w:rFonts w:ascii="宋体"/>
                <w:vanish/>
              </w:rPr>
            </w:pPr>
          </w:p>
        </w:tc>
        <w:tc>
          <w:tcPr>
            <w:tcW w:w="0" w:type="auto"/>
            <w:gridSpan w:val="3"/>
            <w:shd w:val="clear" w:color="auto" w:fill="auto"/>
          </w:tcPr>
          <w:p w14:paraId="5EA21D1A" w14:textId="77777777" w:rsidR="003C66EB" w:rsidRDefault="003C66EB">
            <w:pPr>
              <w:rPr>
                <w:rFonts w:ascii="宋体"/>
                <w:vanish/>
              </w:rPr>
            </w:pPr>
          </w:p>
        </w:tc>
        <w:tc>
          <w:tcPr>
            <w:tcW w:w="0" w:type="auto"/>
            <w:gridSpan w:val="3"/>
            <w:shd w:val="clear" w:color="auto" w:fill="auto"/>
          </w:tcPr>
          <w:p w14:paraId="5EA21D1B" w14:textId="77777777" w:rsidR="003C66EB" w:rsidRDefault="003C66EB">
            <w:pPr>
              <w:rPr>
                <w:rFonts w:ascii="宋体"/>
                <w:vanish/>
              </w:rPr>
            </w:pPr>
          </w:p>
        </w:tc>
      </w:tr>
      <w:tr w:rsidR="003C66EB" w14:paraId="5EA21D29" w14:textId="77777777">
        <w:tc>
          <w:tcPr>
            <w:tcW w:w="0" w:type="auto"/>
            <w:gridSpan w:val="3"/>
            <w:shd w:val="clear" w:color="auto" w:fill="FFFFFF"/>
            <w:tcMar>
              <w:top w:w="40" w:type="dxa"/>
              <w:left w:w="20" w:type="dxa"/>
              <w:bottom w:w="40" w:type="dxa"/>
              <w:right w:w="20" w:type="dxa"/>
            </w:tcMar>
            <w:vAlign w:val="bottom"/>
          </w:tcPr>
          <w:p w14:paraId="5EA21D1D" w14:textId="77777777" w:rsidR="003C66EB" w:rsidRDefault="00D96C4E">
            <w:pPr>
              <w:textAlignment w:val="bottom"/>
            </w:pPr>
            <w:r>
              <w:rPr>
                <w:rFonts w:ascii="Arial" w:eastAsia="宋体" w:hAnsi="Arial" w:cs="Arial"/>
                <w:color w:val="000000"/>
                <w:sz w:val="18"/>
                <w:szCs w:val="18"/>
              </w:rPr>
              <w:t>Acquisition and restructuring costs</w:t>
            </w:r>
          </w:p>
        </w:tc>
        <w:tc>
          <w:tcPr>
            <w:tcW w:w="0" w:type="auto"/>
            <w:gridSpan w:val="2"/>
            <w:shd w:val="clear" w:color="auto" w:fill="FFFFFF"/>
            <w:tcMar>
              <w:top w:w="40" w:type="dxa"/>
              <w:left w:w="20" w:type="dxa"/>
              <w:bottom w:w="40" w:type="dxa"/>
              <w:right w:w="0" w:type="dxa"/>
            </w:tcMar>
            <w:vAlign w:val="bottom"/>
          </w:tcPr>
          <w:p w14:paraId="5EA21D1E" w14:textId="77777777" w:rsidR="003C66EB" w:rsidRDefault="00D96C4E">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D1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2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D21" w14:textId="77777777" w:rsidR="003C66EB" w:rsidRDefault="00D96C4E">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5EA21D22" w14:textId="77777777" w:rsidR="003C66EB" w:rsidRDefault="003C66EB">
            <w:pPr>
              <w:jc w:val="right"/>
              <w:rPr>
                <w:rFonts w:ascii="宋体"/>
              </w:rPr>
            </w:pPr>
          </w:p>
        </w:tc>
        <w:tc>
          <w:tcPr>
            <w:tcW w:w="0" w:type="auto"/>
            <w:shd w:val="clear" w:color="auto" w:fill="auto"/>
          </w:tcPr>
          <w:p w14:paraId="5EA21D23" w14:textId="77777777" w:rsidR="003C66EB" w:rsidRDefault="003C66EB">
            <w:pPr>
              <w:rPr>
                <w:rFonts w:ascii="宋体"/>
                <w:vanish/>
              </w:rPr>
            </w:pPr>
          </w:p>
        </w:tc>
        <w:tc>
          <w:tcPr>
            <w:tcW w:w="0" w:type="auto"/>
            <w:shd w:val="clear" w:color="auto" w:fill="auto"/>
          </w:tcPr>
          <w:p w14:paraId="5EA21D24" w14:textId="77777777" w:rsidR="003C66EB" w:rsidRDefault="003C66EB">
            <w:pPr>
              <w:rPr>
                <w:rFonts w:ascii="宋体"/>
                <w:vanish/>
              </w:rPr>
            </w:pPr>
          </w:p>
        </w:tc>
        <w:tc>
          <w:tcPr>
            <w:tcW w:w="0" w:type="auto"/>
            <w:gridSpan w:val="3"/>
            <w:shd w:val="clear" w:color="auto" w:fill="auto"/>
          </w:tcPr>
          <w:p w14:paraId="5EA21D25" w14:textId="77777777" w:rsidR="003C66EB" w:rsidRDefault="003C66EB">
            <w:pPr>
              <w:rPr>
                <w:rFonts w:ascii="宋体"/>
                <w:vanish/>
              </w:rPr>
            </w:pPr>
          </w:p>
        </w:tc>
        <w:tc>
          <w:tcPr>
            <w:tcW w:w="0" w:type="auto"/>
            <w:gridSpan w:val="3"/>
            <w:shd w:val="clear" w:color="auto" w:fill="auto"/>
          </w:tcPr>
          <w:p w14:paraId="5EA21D26" w14:textId="77777777" w:rsidR="003C66EB" w:rsidRDefault="003C66EB">
            <w:pPr>
              <w:rPr>
                <w:rFonts w:ascii="宋体"/>
                <w:vanish/>
              </w:rPr>
            </w:pPr>
          </w:p>
        </w:tc>
        <w:tc>
          <w:tcPr>
            <w:tcW w:w="0" w:type="auto"/>
            <w:gridSpan w:val="3"/>
            <w:shd w:val="clear" w:color="auto" w:fill="auto"/>
          </w:tcPr>
          <w:p w14:paraId="5EA21D27" w14:textId="77777777" w:rsidR="003C66EB" w:rsidRDefault="003C66EB">
            <w:pPr>
              <w:rPr>
                <w:rFonts w:ascii="宋体"/>
                <w:vanish/>
              </w:rPr>
            </w:pPr>
          </w:p>
        </w:tc>
        <w:tc>
          <w:tcPr>
            <w:tcW w:w="0" w:type="auto"/>
            <w:gridSpan w:val="3"/>
            <w:shd w:val="clear" w:color="auto" w:fill="auto"/>
          </w:tcPr>
          <w:p w14:paraId="5EA21D28" w14:textId="77777777" w:rsidR="003C66EB" w:rsidRDefault="003C66EB">
            <w:pPr>
              <w:rPr>
                <w:rFonts w:ascii="宋体"/>
                <w:vanish/>
              </w:rPr>
            </w:pPr>
          </w:p>
        </w:tc>
      </w:tr>
      <w:tr w:rsidR="003C66EB" w14:paraId="5EA21D36" w14:textId="77777777">
        <w:tc>
          <w:tcPr>
            <w:tcW w:w="0" w:type="auto"/>
            <w:gridSpan w:val="3"/>
            <w:shd w:val="clear" w:color="auto" w:fill="CCEEFF"/>
            <w:tcMar>
              <w:top w:w="40" w:type="dxa"/>
              <w:left w:w="20" w:type="dxa"/>
              <w:bottom w:w="40" w:type="dxa"/>
              <w:right w:w="20" w:type="dxa"/>
            </w:tcMar>
            <w:vAlign w:val="bottom"/>
          </w:tcPr>
          <w:p w14:paraId="5EA21D2A" w14:textId="77777777" w:rsidR="003C66EB" w:rsidRDefault="00D96C4E">
            <w:pPr>
              <w:textAlignment w:val="bottom"/>
            </w:pPr>
            <w:r>
              <w:rPr>
                <w:rFonts w:ascii="Arial" w:eastAsia="宋体" w:hAnsi="Arial" w:cs="Arial"/>
                <w:color w:val="000000"/>
                <w:sz w:val="18"/>
                <w:szCs w:val="18"/>
              </w:rPr>
              <w:t>Amortization of other intangible assets</w:t>
            </w:r>
          </w:p>
        </w:tc>
        <w:tc>
          <w:tcPr>
            <w:tcW w:w="0" w:type="auto"/>
            <w:gridSpan w:val="2"/>
            <w:shd w:val="clear" w:color="auto" w:fill="CCEEFF"/>
            <w:tcMar>
              <w:top w:w="40" w:type="dxa"/>
              <w:left w:w="20" w:type="dxa"/>
              <w:bottom w:w="40" w:type="dxa"/>
              <w:right w:w="0" w:type="dxa"/>
            </w:tcMar>
            <w:vAlign w:val="bottom"/>
          </w:tcPr>
          <w:p w14:paraId="5EA21D2B" w14:textId="77777777" w:rsidR="003C66EB" w:rsidRDefault="00D96C4E">
            <w:pPr>
              <w:jc w:val="right"/>
              <w:textAlignment w:val="bottom"/>
            </w:pPr>
            <w:r>
              <w:rPr>
                <w:rFonts w:ascii="Arial" w:eastAsia="宋体" w:hAnsi="Arial" w:cs="Arial"/>
                <w:b/>
                <w:bCs/>
                <w:color w:val="000000"/>
                <w:sz w:val="18"/>
                <w:szCs w:val="18"/>
              </w:rPr>
              <w:t>58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D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2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D2E" w14:textId="77777777" w:rsidR="003C66EB" w:rsidRDefault="00D96C4E">
            <w:pPr>
              <w:jc w:val="right"/>
              <w:textAlignment w:val="bottom"/>
            </w:pPr>
            <w:r>
              <w:rPr>
                <w:rFonts w:ascii="Arial" w:eastAsia="宋体" w:hAnsi="Arial" w:cs="Arial"/>
                <w:color w:val="000000"/>
                <w:sz w:val="18"/>
                <w:szCs w:val="18"/>
              </w:rPr>
              <w:t>58 </w:t>
            </w:r>
          </w:p>
        </w:tc>
        <w:tc>
          <w:tcPr>
            <w:tcW w:w="0" w:type="auto"/>
            <w:shd w:val="clear" w:color="auto" w:fill="CCEEFF"/>
            <w:tcMar>
              <w:top w:w="40" w:type="dxa"/>
              <w:left w:w="0" w:type="dxa"/>
              <w:bottom w:w="40" w:type="dxa"/>
              <w:right w:w="20" w:type="dxa"/>
            </w:tcMar>
            <w:vAlign w:val="bottom"/>
          </w:tcPr>
          <w:p w14:paraId="5EA21D2F" w14:textId="77777777" w:rsidR="003C66EB" w:rsidRDefault="003C66EB">
            <w:pPr>
              <w:jc w:val="right"/>
              <w:rPr>
                <w:rFonts w:ascii="宋体"/>
              </w:rPr>
            </w:pPr>
          </w:p>
        </w:tc>
        <w:tc>
          <w:tcPr>
            <w:tcW w:w="0" w:type="auto"/>
            <w:shd w:val="clear" w:color="auto" w:fill="auto"/>
          </w:tcPr>
          <w:p w14:paraId="5EA21D30" w14:textId="77777777" w:rsidR="003C66EB" w:rsidRDefault="003C66EB">
            <w:pPr>
              <w:rPr>
                <w:rFonts w:ascii="宋体"/>
                <w:vanish/>
              </w:rPr>
            </w:pPr>
          </w:p>
        </w:tc>
        <w:tc>
          <w:tcPr>
            <w:tcW w:w="0" w:type="auto"/>
            <w:shd w:val="clear" w:color="auto" w:fill="auto"/>
          </w:tcPr>
          <w:p w14:paraId="5EA21D31" w14:textId="77777777" w:rsidR="003C66EB" w:rsidRDefault="003C66EB">
            <w:pPr>
              <w:rPr>
                <w:rFonts w:ascii="宋体"/>
                <w:vanish/>
              </w:rPr>
            </w:pPr>
          </w:p>
        </w:tc>
        <w:tc>
          <w:tcPr>
            <w:tcW w:w="0" w:type="auto"/>
            <w:gridSpan w:val="3"/>
            <w:shd w:val="clear" w:color="auto" w:fill="auto"/>
          </w:tcPr>
          <w:p w14:paraId="5EA21D32" w14:textId="77777777" w:rsidR="003C66EB" w:rsidRDefault="003C66EB">
            <w:pPr>
              <w:rPr>
                <w:rFonts w:ascii="宋体"/>
                <w:vanish/>
              </w:rPr>
            </w:pPr>
          </w:p>
        </w:tc>
        <w:tc>
          <w:tcPr>
            <w:tcW w:w="0" w:type="auto"/>
            <w:gridSpan w:val="3"/>
            <w:shd w:val="clear" w:color="auto" w:fill="auto"/>
          </w:tcPr>
          <w:p w14:paraId="5EA21D33" w14:textId="77777777" w:rsidR="003C66EB" w:rsidRDefault="003C66EB">
            <w:pPr>
              <w:rPr>
                <w:rFonts w:ascii="宋体"/>
                <w:vanish/>
              </w:rPr>
            </w:pPr>
          </w:p>
        </w:tc>
        <w:tc>
          <w:tcPr>
            <w:tcW w:w="0" w:type="auto"/>
            <w:gridSpan w:val="3"/>
            <w:shd w:val="clear" w:color="auto" w:fill="auto"/>
          </w:tcPr>
          <w:p w14:paraId="5EA21D34" w14:textId="77777777" w:rsidR="003C66EB" w:rsidRDefault="003C66EB">
            <w:pPr>
              <w:rPr>
                <w:rFonts w:ascii="宋体"/>
                <w:vanish/>
              </w:rPr>
            </w:pPr>
          </w:p>
        </w:tc>
        <w:tc>
          <w:tcPr>
            <w:tcW w:w="0" w:type="auto"/>
            <w:gridSpan w:val="3"/>
            <w:shd w:val="clear" w:color="auto" w:fill="auto"/>
          </w:tcPr>
          <w:p w14:paraId="5EA21D35" w14:textId="77777777" w:rsidR="003C66EB" w:rsidRDefault="003C66EB">
            <w:pPr>
              <w:rPr>
                <w:rFonts w:ascii="宋体"/>
                <w:vanish/>
              </w:rPr>
            </w:pPr>
          </w:p>
        </w:tc>
      </w:tr>
      <w:tr w:rsidR="003C66EB" w14:paraId="5EA21D43" w14:textId="77777777">
        <w:tc>
          <w:tcPr>
            <w:tcW w:w="0" w:type="auto"/>
            <w:gridSpan w:val="3"/>
            <w:shd w:val="clear" w:color="auto" w:fill="FFFFFF"/>
            <w:tcMar>
              <w:top w:w="40" w:type="dxa"/>
              <w:left w:w="20" w:type="dxa"/>
              <w:bottom w:w="40" w:type="dxa"/>
              <w:right w:w="20" w:type="dxa"/>
            </w:tcMar>
            <w:vAlign w:val="bottom"/>
          </w:tcPr>
          <w:p w14:paraId="5EA21D37" w14:textId="77777777" w:rsidR="003C66EB" w:rsidRDefault="00D96C4E">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EA21D38" w14:textId="77777777" w:rsidR="003C66EB" w:rsidRDefault="00D96C4E">
            <w:pPr>
              <w:jc w:val="right"/>
              <w:textAlignment w:val="bottom"/>
            </w:pPr>
            <w:r>
              <w:rPr>
                <w:rFonts w:ascii="Arial" w:eastAsia="宋体" w:hAnsi="Arial" w:cs="Arial"/>
                <w:b/>
                <w:bCs/>
                <w:color w:val="000000"/>
                <w:sz w:val="18"/>
                <w:szCs w:val="18"/>
              </w:rPr>
              <w:t>222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D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3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D3B" w14:textId="77777777" w:rsidR="003C66EB" w:rsidRDefault="00D96C4E">
            <w:pPr>
              <w:jc w:val="right"/>
              <w:textAlignment w:val="bottom"/>
            </w:pPr>
            <w:r>
              <w:rPr>
                <w:rFonts w:ascii="Arial" w:eastAsia="宋体" w:hAnsi="Arial" w:cs="Arial"/>
                <w:color w:val="000000"/>
                <w:sz w:val="18"/>
                <w:szCs w:val="18"/>
              </w:rPr>
              <w:t>230 </w:t>
            </w:r>
          </w:p>
        </w:tc>
        <w:tc>
          <w:tcPr>
            <w:tcW w:w="0" w:type="auto"/>
            <w:shd w:val="clear" w:color="auto" w:fill="FFFFFF"/>
            <w:tcMar>
              <w:top w:w="40" w:type="dxa"/>
              <w:left w:w="0" w:type="dxa"/>
              <w:bottom w:w="40" w:type="dxa"/>
              <w:right w:w="20" w:type="dxa"/>
            </w:tcMar>
            <w:vAlign w:val="bottom"/>
          </w:tcPr>
          <w:p w14:paraId="5EA21D3C" w14:textId="77777777" w:rsidR="003C66EB" w:rsidRDefault="003C66EB">
            <w:pPr>
              <w:jc w:val="right"/>
              <w:rPr>
                <w:rFonts w:ascii="宋体"/>
              </w:rPr>
            </w:pPr>
          </w:p>
        </w:tc>
        <w:tc>
          <w:tcPr>
            <w:tcW w:w="0" w:type="auto"/>
            <w:shd w:val="clear" w:color="auto" w:fill="auto"/>
          </w:tcPr>
          <w:p w14:paraId="5EA21D3D" w14:textId="77777777" w:rsidR="003C66EB" w:rsidRDefault="003C66EB">
            <w:pPr>
              <w:rPr>
                <w:rFonts w:ascii="宋体"/>
                <w:vanish/>
              </w:rPr>
            </w:pPr>
          </w:p>
        </w:tc>
        <w:tc>
          <w:tcPr>
            <w:tcW w:w="0" w:type="auto"/>
            <w:shd w:val="clear" w:color="auto" w:fill="auto"/>
          </w:tcPr>
          <w:p w14:paraId="5EA21D3E" w14:textId="77777777" w:rsidR="003C66EB" w:rsidRDefault="003C66EB">
            <w:pPr>
              <w:rPr>
                <w:rFonts w:ascii="宋体"/>
                <w:vanish/>
              </w:rPr>
            </w:pPr>
          </w:p>
        </w:tc>
        <w:tc>
          <w:tcPr>
            <w:tcW w:w="0" w:type="auto"/>
            <w:gridSpan w:val="3"/>
            <w:shd w:val="clear" w:color="auto" w:fill="auto"/>
          </w:tcPr>
          <w:p w14:paraId="5EA21D3F" w14:textId="77777777" w:rsidR="003C66EB" w:rsidRDefault="003C66EB">
            <w:pPr>
              <w:rPr>
                <w:rFonts w:ascii="宋体"/>
                <w:vanish/>
              </w:rPr>
            </w:pPr>
          </w:p>
        </w:tc>
        <w:tc>
          <w:tcPr>
            <w:tcW w:w="0" w:type="auto"/>
            <w:gridSpan w:val="3"/>
            <w:shd w:val="clear" w:color="auto" w:fill="auto"/>
          </w:tcPr>
          <w:p w14:paraId="5EA21D40" w14:textId="77777777" w:rsidR="003C66EB" w:rsidRDefault="003C66EB">
            <w:pPr>
              <w:rPr>
                <w:rFonts w:ascii="宋体"/>
                <w:vanish/>
              </w:rPr>
            </w:pPr>
          </w:p>
        </w:tc>
        <w:tc>
          <w:tcPr>
            <w:tcW w:w="0" w:type="auto"/>
            <w:gridSpan w:val="3"/>
            <w:shd w:val="clear" w:color="auto" w:fill="auto"/>
          </w:tcPr>
          <w:p w14:paraId="5EA21D41" w14:textId="77777777" w:rsidR="003C66EB" w:rsidRDefault="003C66EB">
            <w:pPr>
              <w:rPr>
                <w:rFonts w:ascii="宋体"/>
                <w:vanish/>
              </w:rPr>
            </w:pPr>
          </w:p>
        </w:tc>
        <w:tc>
          <w:tcPr>
            <w:tcW w:w="0" w:type="auto"/>
            <w:gridSpan w:val="3"/>
            <w:shd w:val="clear" w:color="auto" w:fill="auto"/>
          </w:tcPr>
          <w:p w14:paraId="5EA21D42" w14:textId="77777777" w:rsidR="003C66EB" w:rsidRDefault="003C66EB">
            <w:pPr>
              <w:rPr>
                <w:rFonts w:ascii="宋体"/>
                <w:vanish/>
              </w:rPr>
            </w:pPr>
          </w:p>
        </w:tc>
      </w:tr>
      <w:tr w:rsidR="003C66EB" w14:paraId="5EA21D50" w14:textId="77777777">
        <w:tc>
          <w:tcPr>
            <w:tcW w:w="0" w:type="auto"/>
            <w:gridSpan w:val="3"/>
            <w:shd w:val="clear" w:color="auto" w:fill="CCEEFF"/>
            <w:tcMar>
              <w:top w:w="40" w:type="dxa"/>
              <w:left w:w="20" w:type="dxa"/>
              <w:bottom w:w="40" w:type="dxa"/>
              <w:right w:w="20" w:type="dxa"/>
            </w:tcMar>
            <w:vAlign w:val="bottom"/>
          </w:tcPr>
          <w:p w14:paraId="5EA21D44" w14:textId="77777777" w:rsidR="003C66EB" w:rsidRDefault="00D96C4E">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D45" w14:textId="77777777" w:rsidR="003C66EB" w:rsidRDefault="00D96C4E">
            <w:pPr>
              <w:jc w:val="right"/>
              <w:textAlignment w:val="bottom"/>
            </w:pPr>
            <w:r>
              <w:rPr>
                <w:rFonts w:ascii="Arial" w:eastAsia="宋体" w:hAnsi="Arial" w:cs="Arial"/>
                <w:b/>
                <w:bCs/>
                <w:color w:val="000000"/>
                <w:sz w:val="18"/>
                <w:szCs w:val="18"/>
              </w:rPr>
              <w:t>2,332</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D4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4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1D48" w14:textId="77777777" w:rsidR="003C66EB" w:rsidRDefault="00D96C4E">
            <w:pPr>
              <w:jc w:val="right"/>
              <w:textAlignment w:val="bottom"/>
            </w:pPr>
            <w:r>
              <w:rPr>
                <w:rFonts w:ascii="Arial" w:eastAsia="宋体" w:hAnsi="Arial" w:cs="Arial"/>
                <w:color w:val="000000"/>
                <w:sz w:val="18"/>
                <w:szCs w:val="18"/>
              </w:rPr>
              <w:t>2,255 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D49" w14:textId="77777777" w:rsidR="003C66EB" w:rsidRDefault="003C66EB">
            <w:pPr>
              <w:jc w:val="right"/>
              <w:rPr>
                <w:rFonts w:ascii="宋体"/>
              </w:rPr>
            </w:pPr>
          </w:p>
        </w:tc>
        <w:tc>
          <w:tcPr>
            <w:tcW w:w="0" w:type="auto"/>
            <w:shd w:val="clear" w:color="auto" w:fill="auto"/>
          </w:tcPr>
          <w:p w14:paraId="5EA21D4A" w14:textId="77777777" w:rsidR="003C66EB" w:rsidRDefault="003C66EB">
            <w:pPr>
              <w:rPr>
                <w:rFonts w:ascii="宋体"/>
                <w:vanish/>
              </w:rPr>
            </w:pPr>
          </w:p>
        </w:tc>
        <w:tc>
          <w:tcPr>
            <w:tcW w:w="0" w:type="auto"/>
            <w:shd w:val="clear" w:color="auto" w:fill="auto"/>
          </w:tcPr>
          <w:p w14:paraId="5EA21D4B" w14:textId="77777777" w:rsidR="003C66EB" w:rsidRDefault="003C66EB">
            <w:pPr>
              <w:rPr>
                <w:rFonts w:ascii="宋体"/>
                <w:vanish/>
              </w:rPr>
            </w:pPr>
          </w:p>
        </w:tc>
        <w:tc>
          <w:tcPr>
            <w:tcW w:w="0" w:type="auto"/>
            <w:gridSpan w:val="3"/>
            <w:shd w:val="clear" w:color="auto" w:fill="auto"/>
          </w:tcPr>
          <w:p w14:paraId="5EA21D4C" w14:textId="77777777" w:rsidR="003C66EB" w:rsidRDefault="003C66EB">
            <w:pPr>
              <w:rPr>
                <w:rFonts w:ascii="宋体"/>
                <w:vanish/>
              </w:rPr>
            </w:pPr>
          </w:p>
        </w:tc>
        <w:tc>
          <w:tcPr>
            <w:tcW w:w="0" w:type="auto"/>
            <w:gridSpan w:val="3"/>
            <w:shd w:val="clear" w:color="auto" w:fill="auto"/>
          </w:tcPr>
          <w:p w14:paraId="5EA21D4D" w14:textId="77777777" w:rsidR="003C66EB" w:rsidRDefault="003C66EB">
            <w:pPr>
              <w:rPr>
                <w:rFonts w:ascii="宋体"/>
                <w:vanish/>
              </w:rPr>
            </w:pPr>
          </w:p>
        </w:tc>
        <w:tc>
          <w:tcPr>
            <w:tcW w:w="0" w:type="auto"/>
            <w:gridSpan w:val="3"/>
            <w:shd w:val="clear" w:color="auto" w:fill="auto"/>
          </w:tcPr>
          <w:p w14:paraId="5EA21D4E" w14:textId="77777777" w:rsidR="003C66EB" w:rsidRDefault="003C66EB">
            <w:pPr>
              <w:rPr>
                <w:rFonts w:ascii="宋体"/>
                <w:vanish/>
              </w:rPr>
            </w:pPr>
          </w:p>
        </w:tc>
        <w:tc>
          <w:tcPr>
            <w:tcW w:w="0" w:type="auto"/>
            <w:gridSpan w:val="3"/>
            <w:shd w:val="clear" w:color="auto" w:fill="auto"/>
          </w:tcPr>
          <w:p w14:paraId="5EA21D4F" w14:textId="77777777" w:rsidR="003C66EB" w:rsidRDefault="003C66EB">
            <w:pPr>
              <w:rPr>
                <w:rFonts w:ascii="宋体"/>
                <w:vanish/>
              </w:rPr>
            </w:pPr>
          </w:p>
        </w:tc>
      </w:tr>
      <w:tr w:rsidR="003C66EB" w14:paraId="5EA21D5D" w14:textId="77777777">
        <w:tc>
          <w:tcPr>
            <w:tcW w:w="0" w:type="auto"/>
            <w:gridSpan w:val="3"/>
            <w:shd w:val="clear" w:color="auto" w:fill="FFFFFF"/>
            <w:tcMar>
              <w:top w:w="40" w:type="dxa"/>
              <w:left w:w="20" w:type="dxa"/>
              <w:bottom w:w="40" w:type="dxa"/>
              <w:right w:w="20" w:type="dxa"/>
            </w:tcMar>
            <w:vAlign w:val="bottom"/>
          </w:tcPr>
          <w:p w14:paraId="5EA21D51" w14:textId="77777777" w:rsidR="003C66EB" w:rsidRDefault="00D96C4E">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D52" w14:textId="77777777" w:rsidR="003C66EB" w:rsidRDefault="00D96C4E">
            <w:pPr>
              <w:jc w:val="right"/>
              <w:textAlignment w:val="bottom"/>
            </w:pPr>
            <w:r>
              <w:rPr>
                <w:rFonts w:ascii="Arial" w:eastAsia="宋体" w:hAnsi="Arial" w:cs="Arial"/>
                <w:b/>
                <w:bCs/>
                <w:color w:val="000000"/>
                <w:sz w:val="18"/>
                <w:szCs w:val="18"/>
              </w:rPr>
              <w:t>627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D5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5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D55" w14:textId="77777777" w:rsidR="003C66EB" w:rsidRDefault="00D96C4E">
            <w:pPr>
              <w:jc w:val="right"/>
              <w:textAlignment w:val="bottom"/>
            </w:pPr>
            <w:r>
              <w:rPr>
                <w:rFonts w:ascii="Arial" w:eastAsia="宋体" w:hAnsi="Arial" w:cs="Arial"/>
                <w:color w:val="000000"/>
                <w:sz w:val="18"/>
                <w:szCs w:val="18"/>
              </w:rPr>
              <w:t>774 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D56" w14:textId="77777777" w:rsidR="003C66EB" w:rsidRDefault="003C66EB">
            <w:pPr>
              <w:jc w:val="right"/>
              <w:rPr>
                <w:rFonts w:ascii="宋体"/>
              </w:rPr>
            </w:pPr>
          </w:p>
        </w:tc>
        <w:tc>
          <w:tcPr>
            <w:tcW w:w="0" w:type="auto"/>
            <w:shd w:val="clear" w:color="auto" w:fill="auto"/>
          </w:tcPr>
          <w:p w14:paraId="5EA21D57" w14:textId="77777777" w:rsidR="003C66EB" w:rsidRDefault="003C66EB">
            <w:pPr>
              <w:rPr>
                <w:rFonts w:ascii="宋体"/>
                <w:vanish/>
              </w:rPr>
            </w:pPr>
          </w:p>
        </w:tc>
        <w:tc>
          <w:tcPr>
            <w:tcW w:w="0" w:type="auto"/>
            <w:shd w:val="clear" w:color="auto" w:fill="auto"/>
          </w:tcPr>
          <w:p w14:paraId="5EA21D58" w14:textId="77777777" w:rsidR="003C66EB" w:rsidRDefault="003C66EB">
            <w:pPr>
              <w:rPr>
                <w:rFonts w:ascii="宋体"/>
                <w:vanish/>
              </w:rPr>
            </w:pPr>
          </w:p>
        </w:tc>
        <w:tc>
          <w:tcPr>
            <w:tcW w:w="0" w:type="auto"/>
            <w:gridSpan w:val="3"/>
            <w:shd w:val="clear" w:color="auto" w:fill="auto"/>
          </w:tcPr>
          <w:p w14:paraId="5EA21D59" w14:textId="77777777" w:rsidR="003C66EB" w:rsidRDefault="003C66EB">
            <w:pPr>
              <w:rPr>
                <w:rFonts w:ascii="宋体"/>
                <w:vanish/>
              </w:rPr>
            </w:pPr>
          </w:p>
        </w:tc>
        <w:tc>
          <w:tcPr>
            <w:tcW w:w="0" w:type="auto"/>
            <w:gridSpan w:val="3"/>
            <w:shd w:val="clear" w:color="auto" w:fill="auto"/>
          </w:tcPr>
          <w:p w14:paraId="5EA21D5A" w14:textId="77777777" w:rsidR="003C66EB" w:rsidRDefault="003C66EB">
            <w:pPr>
              <w:rPr>
                <w:rFonts w:ascii="宋体"/>
                <w:vanish/>
              </w:rPr>
            </w:pPr>
          </w:p>
        </w:tc>
        <w:tc>
          <w:tcPr>
            <w:tcW w:w="0" w:type="auto"/>
            <w:gridSpan w:val="3"/>
            <w:shd w:val="clear" w:color="auto" w:fill="auto"/>
          </w:tcPr>
          <w:p w14:paraId="5EA21D5B" w14:textId="77777777" w:rsidR="003C66EB" w:rsidRDefault="003C66EB">
            <w:pPr>
              <w:rPr>
                <w:rFonts w:ascii="宋体"/>
                <w:vanish/>
              </w:rPr>
            </w:pPr>
          </w:p>
        </w:tc>
        <w:tc>
          <w:tcPr>
            <w:tcW w:w="0" w:type="auto"/>
            <w:gridSpan w:val="3"/>
            <w:shd w:val="clear" w:color="auto" w:fill="auto"/>
          </w:tcPr>
          <w:p w14:paraId="5EA21D5C" w14:textId="77777777" w:rsidR="003C66EB" w:rsidRDefault="003C66EB">
            <w:pPr>
              <w:rPr>
                <w:rFonts w:ascii="宋体"/>
                <w:vanish/>
              </w:rPr>
            </w:pPr>
          </w:p>
        </w:tc>
      </w:tr>
      <w:tr w:rsidR="003C66EB" w14:paraId="5EA21D6A" w14:textId="77777777">
        <w:tc>
          <w:tcPr>
            <w:tcW w:w="0" w:type="auto"/>
            <w:gridSpan w:val="3"/>
            <w:shd w:val="clear" w:color="auto" w:fill="CCEEFF"/>
            <w:tcMar>
              <w:top w:w="40" w:type="dxa"/>
              <w:left w:w="20" w:type="dxa"/>
              <w:bottom w:w="40" w:type="dxa"/>
              <w:right w:w="20" w:type="dxa"/>
            </w:tcMar>
            <w:vAlign w:val="bottom"/>
          </w:tcPr>
          <w:p w14:paraId="5EA21D5E" w14:textId="77777777" w:rsidR="003C66EB" w:rsidRDefault="00D96C4E">
            <w:pPr>
              <w:textAlignment w:val="bottom"/>
            </w:pPr>
            <w:r>
              <w:rPr>
                <w:rFonts w:ascii="Arial" w:eastAsia="宋体" w:hAnsi="Arial" w:cs="Arial"/>
                <w:color w:val="000000"/>
                <w:sz w:val="18"/>
                <w:szCs w:val="18"/>
              </w:rPr>
              <w:t xml:space="preserve">Income tax expense </w:t>
            </w:r>
          </w:p>
        </w:tc>
        <w:tc>
          <w:tcPr>
            <w:tcW w:w="0" w:type="auto"/>
            <w:gridSpan w:val="2"/>
            <w:shd w:val="clear" w:color="auto" w:fill="CCEEFF"/>
            <w:tcMar>
              <w:top w:w="40" w:type="dxa"/>
              <w:left w:w="20" w:type="dxa"/>
              <w:bottom w:w="40" w:type="dxa"/>
              <w:right w:w="0" w:type="dxa"/>
            </w:tcMar>
            <w:vAlign w:val="bottom"/>
          </w:tcPr>
          <w:p w14:paraId="5EA21D5F" w14:textId="77777777" w:rsidR="003C66EB" w:rsidRDefault="00D96C4E">
            <w:pPr>
              <w:jc w:val="right"/>
              <w:textAlignment w:val="bottom"/>
            </w:pPr>
            <w:r>
              <w:rPr>
                <w:rFonts w:ascii="Arial" w:eastAsia="宋体" w:hAnsi="Arial" w:cs="Arial"/>
                <w:b/>
                <w:bCs/>
                <w:color w:val="000000"/>
                <w:sz w:val="18"/>
                <w:szCs w:val="18"/>
              </w:rPr>
              <w:t>108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D6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6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D62" w14:textId="77777777" w:rsidR="003C66EB" w:rsidRDefault="00D96C4E">
            <w:pPr>
              <w:jc w:val="right"/>
              <w:textAlignment w:val="bottom"/>
            </w:pPr>
            <w:r>
              <w:rPr>
                <w:rFonts w:ascii="Arial" w:eastAsia="宋体" w:hAnsi="Arial" w:cs="Arial"/>
                <w:color w:val="000000"/>
                <w:sz w:val="18"/>
                <w:szCs w:val="18"/>
              </w:rPr>
              <w:t>140 </w:t>
            </w:r>
          </w:p>
        </w:tc>
        <w:tc>
          <w:tcPr>
            <w:tcW w:w="0" w:type="auto"/>
            <w:shd w:val="clear" w:color="auto" w:fill="CCEEFF"/>
            <w:tcMar>
              <w:top w:w="40" w:type="dxa"/>
              <w:left w:w="0" w:type="dxa"/>
              <w:bottom w:w="40" w:type="dxa"/>
              <w:right w:w="20" w:type="dxa"/>
            </w:tcMar>
            <w:vAlign w:val="bottom"/>
          </w:tcPr>
          <w:p w14:paraId="5EA21D63" w14:textId="77777777" w:rsidR="003C66EB" w:rsidRDefault="003C66EB">
            <w:pPr>
              <w:jc w:val="right"/>
              <w:rPr>
                <w:rFonts w:ascii="宋体"/>
              </w:rPr>
            </w:pPr>
          </w:p>
        </w:tc>
        <w:tc>
          <w:tcPr>
            <w:tcW w:w="0" w:type="auto"/>
            <w:shd w:val="clear" w:color="auto" w:fill="auto"/>
          </w:tcPr>
          <w:p w14:paraId="5EA21D64" w14:textId="77777777" w:rsidR="003C66EB" w:rsidRDefault="003C66EB">
            <w:pPr>
              <w:rPr>
                <w:rFonts w:ascii="宋体"/>
                <w:vanish/>
              </w:rPr>
            </w:pPr>
          </w:p>
        </w:tc>
        <w:tc>
          <w:tcPr>
            <w:tcW w:w="0" w:type="auto"/>
            <w:shd w:val="clear" w:color="auto" w:fill="auto"/>
          </w:tcPr>
          <w:p w14:paraId="5EA21D65" w14:textId="77777777" w:rsidR="003C66EB" w:rsidRDefault="003C66EB">
            <w:pPr>
              <w:rPr>
                <w:rFonts w:ascii="宋体"/>
                <w:vanish/>
              </w:rPr>
            </w:pPr>
          </w:p>
        </w:tc>
        <w:tc>
          <w:tcPr>
            <w:tcW w:w="0" w:type="auto"/>
            <w:gridSpan w:val="3"/>
            <w:shd w:val="clear" w:color="auto" w:fill="auto"/>
          </w:tcPr>
          <w:p w14:paraId="5EA21D66" w14:textId="77777777" w:rsidR="003C66EB" w:rsidRDefault="003C66EB">
            <w:pPr>
              <w:rPr>
                <w:rFonts w:ascii="宋体"/>
                <w:vanish/>
              </w:rPr>
            </w:pPr>
          </w:p>
        </w:tc>
        <w:tc>
          <w:tcPr>
            <w:tcW w:w="0" w:type="auto"/>
            <w:gridSpan w:val="3"/>
            <w:shd w:val="clear" w:color="auto" w:fill="auto"/>
          </w:tcPr>
          <w:p w14:paraId="5EA21D67" w14:textId="77777777" w:rsidR="003C66EB" w:rsidRDefault="003C66EB">
            <w:pPr>
              <w:rPr>
                <w:rFonts w:ascii="宋体"/>
                <w:vanish/>
              </w:rPr>
            </w:pPr>
          </w:p>
        </w:tc>
        <w:tc>
          <w:tcPr>
            <w:tcW w:w="0" w:type="auto"/>
            <w:gridSpan w:val="3"/>
            <w:shd w:val="clear" w:color="auto" w:fill="auto"/>
          </w:tcPr>
          <w:p w14:paraId="5EA21D68" w14:textId="77777777" w:rsidR="003C66EB" w:rsidRDefault="003C66EB">
            <w:pPr>
              <w:rPr>
                <w:rFonts w:ascii="宋体"/>
                <w:vanish/>
              </w:rPr>
            </w:pPr>
          </w:p>
        </w:tc>
        <w:tc>
          <w:tcPr>
            <w:tcW w:w="0" w:type="auto"/>
            <w:gridSpan w:val="3"/>
            <w:shd w:val="clear" w:color="auto" w:fill="auto"/>
          </w:tcPr>
          <w:p w14:paraId="5EA21D69" w14:textId="77777777" w:rsidR="003C66EB" w:rsidRDefault="003C66EB">
            <w:pPr>
              <w:rPr>
                <w:rFonts w:ascii="宋体"/>
                <w:vanish/>
              </w:rPr>
            </w:pPr>
          </w:p>
        </w:tc>
      </w:tr>
      <w:tr w:rsidR="003C66EB" w14:paraId="5EA21D75" w14:textId="77777777">
        <w:trPr>
          <w:hidden/>
        </w:trPr>
        <w:tc>
          <w:tcPr>
            <w:tcW w:w="0" w:type="auto"/>
            <w:gridSpan w:val="3"/>
            <w:shd w:val="clear" w:color="auto" w:fill="auto"/>
          </w:tcPr>
          <w:p w14:paraId="5EA21D6B" w14:textId="77777777" w:rsidR="003C66EB" w:rsidRDefault="003C66EB">
            <w:pPr>
              <w:rPr>
                <w:rFonts w:ascii="宋体"/>
                <w:vanish/>
              </w:rPr>
            </w:pPr>
          </w:p>
        </w:tc>
        <w:tc>
          <w:tcPr>
            <w:tcW w:w="0" w:type="auto"/>
            <w:gridSpan w:val="3"/>
            <w:shd w:val="clear" w:color="auto" w:fill="auto"/>
          </w:tcPr>
          <w:p w14:paraId="5EA21D6C" w14:textId="77777777" w:rsidR="003C66EB" w:rsidRDefault="003C66EB">
            <w:pPr>
              <w:rPr>
                <w:rFonts w:ascii="宋体"/>
                <w:vanish/>
              </w:rPr>
            </w:pPr>
          </w:p>
        </w:tc>
        <w:tc>
          <w:tcPr>
            <w:tcW w:w="0" w:type="auto"/>
            <w:gridSpan w:val="3"/>
            <w:shd w:val="clear" w:color="auto" w:fill="auto"/>
          </w:tcPr>
          <w:p w14:paraId="5EA21D6D" w14:textId="77777777" w:rsidR="003C66EB" w:rsidRDefault="003C66EB">
            <w:pPr>
              <w:rPr>
                <w:rFonts w:ascii="宋体"/>
                <w:vanish/>
              </w:rPr>
            </w:pPr>
          </w:p>
        </w:tc>
        <w:tc>
          <w:tcPr>
            <w:tcW w:w="0" w:type="auto"/>
            <w:gridSpan w:val="3"/>
            <w:shd w:val="clear" w:color="auto" w:fill="auto"/>
          </w:tcPr>
          <w:p w14:paraId="5EA21D6E" w14:textId="77777777" w:rsidR="003C66EB" w:rsidRDefault="003C66EB">
            <w:pPr>
              <w:rPr>
                <w:rFonts w:ascii="宋体"/>
                <w:vanish/>
              </w:rPr>
            </w:pPr>
          </w:p>
        </w:tc>
        <w:tc>
          <w:tcPr>
            <w:tcW w:w="0" w:type="auto"/>
            <w:shd w:val="clear" w:color="auto" w:fill="auto"/>
          </w:tcPr>
          <w:p w14:paraId="5EA21D6F" w14:textId="77777777" w:rsidR="003C66EB" w:rsidRDefault="003C66EB">
            <w:pPr>
              <w:rPr>
                <w:rFonts w:ascii="宋体"/>
                <w:vanish/>
              </w:rPr>
            </w:pPr>
          </w:p>
        </w:tc>
        <w:tc>
          <w:tcPr>
            <w:tcW w:w="0" w:type="auto"/>
            <w:shd w:val="clear" w:color="auto" w:fill="auto"/>
          </w:tcPr>
          <w:p w14:paraId="5EA21D70" w14:textId="77777777" w:rsidR="003C66EB" w:rsidRDefault="003C66EB">
            <w:pPr>
              <w:rPr>
                <w:rFonts w:ascii="宋体"/>
                <w:vanish/>
              </w:rPr>
            </w:pPr>
          </w:p>
        </w:tc>
        <w:tc>
          <w:tcPr>
            <w:tcW w:w="0" w:type="auto"/>
            <w:gridSpan w:val="3"/>
            <w:shd w:val="clear" w:color="auto" w:fill="auto"/>
          </w:tcPr>
          <w:p w14:paraId="5EA21D71" w14:textId="77777777" w:rsidR="003C66EB" w:rsidRDefault="003C66EB">
            <w:pPr>
              <w:rPr>
                <w:rFonts w:ascii="宋体"/>
                <w:vanish/>
              </w:rPr>
            </w:pPr>
          </w:p>
        </w:tc>
        <w:tc>
          <w:tcPr>
            <w:tcW w:w="0" w:type="auto"/>
            <w:gridSpan w:val="3"/>
            <w:shd w:val="clear" w:color="auto" w:fill="auto"/>
          </w:tcPr>
          <w:p w14:paraId="5EA21D72" w14:textId="77777777" w:rsidR="003C66EB" w:rsidRDefault="003C66EB">
            <w:pPr>
              <w:rPr>
                <w:rFonts w:ascii="宋体"/>
                <w:vanish/>
              </w:rPr>
            </w:pPr>
          </w:p>
        </w:tc>
        <w:tc>
          <w:tcPr>
            <w:tcW w:w="0" w:type="auto"/>
            <w:gridSpan w:val="3"/>
            <w:shd w:val="clear" w:color="auto" w:fill="auto"/>
          </w:tcPr>
          <w:p w14:paraId="5EA21D73" w14:textId="77777777" w:rsidR="003C66EB" w:rsidRDefault="003C66EB">
            <w:pPr>
              <w:rPr>
                <w:rFonts w:ascii="宋体"/>
                <w:vanish/>
              </w:rPr>
            </w:pPr>
          </w:p>
        </w:tc>
        <w:tc>
          <w:tcPr>
            <w:tcW w:w="0" w:type="auto"/>
            <w:gridSpan w:val="3"/>
            <w:shd w:val="clear" w:color="auto" w:fill="auto"/>
          </w:tcPr>
          <w:p w14:paraId="5EA21D74" w14:textId="77777777" w:rsidR="003C66EB" w:rsidRDefault="003C66EB">
            <w:pPr>
              <w:rPr>
                <w:rFonts w:ascii="宋体"/>
                <w:vanish/>
              </w:rPr>
            </w:pPr>
          </w:p>
        </w:tc>
      </w:tr>
      <w:tr w:rsidR="003C66EB" w14:paraId="5EA21D84" w14:textId="77777777">
        <w:tc>
          <w:tcPr>
            <w:tcW w:w="0" w:type="auto"/>
            <w:gridSpan w:val="3"/>
            <w:shd w:val="clear" w:color="auto" w:fill="FFFFFF"/>
            <w:tcMar>
              <w:top w:w="40" w:type="dxa"/>
              <w:left w:w="20" w:type="dxa"/>
              <w:bottom w:w="40" w:type="dxa"/>
              <w:right w:w="20" w:type="dxa"/>
            </w:tcMar>
            <w:vAlign w:val="bottom"/>
          </w:tcPr>
          <w:p w14:paraId="5EA21D76" w14:textId="77777777" w:rsidR="003C66EB" w:rsidRDefault="00D96C4E">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1D77" w14:textId="77777777" w:rsidR="003C66EB" w:rsidRDefault="00D96C4E">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1D78" w14:textId="77777777" w:rsidR="003C66EB" w:rsidRDefault="00D96C4E">
            <w:pPr>
              <w:jc w:val="right"/>
              <w:textAlignment w:val="bottom"/>
            </w:pPr>
            <w:r>
              <w:rPr>
                <w:rFonts w:ascii="Arial" w:eastAsia="宋体" w:hAnsi="Arial" w:cs="Arial"/>
                <w:b/>
                <w:bCs/>
                <w:color w:val="000000"/>
                <w:sz w:val="18"/>
                <w:szCs w:val="18"/>
              </w:rPr>
              <w:t>519</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D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7A"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1D7B" w14:textId="77777777" w:rsidR="003C66EB" w:rsidRDefault="00D96C4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1D7C" w14:textId="77777777" w:rsidR="003C66EB" w:rsidRDefault="00D96C4E">
            <w:pPr>
              <w:jc w:val="right"/>
              <w:textAlignment w:val="bottom"/>
            </w:pPr>
            <w:r>
              <w:rPr>
                <w:rFonts w:ascii="Arial" w:eastAsia="宋体" w:hAnsi="Arial" w:cs="Arial"/>
                <w:color w:val="000000"/>
                <w:sz w:val="18"/>
                <w:szCs w:val="18"/>
              </w:rPr>
              <w:t>634 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D7D" w14:textId="77777777" w:rsidR="003C66EB" w:rsidRDefault="003C66EB">
            <w:pPr>
              <w:jc w:val="right"/>
              <w:rPr>
                <w:rFonts w:ascii="宋体"/>
              </w:rPr>
            </w:pPr>
          </w:p>
        </w:tc>
        <w:tc>
          <w:tcPr>
            <w:tcW w:w="0" w:type="auto"/>
            <w:shd w:val="clear" w:color="auto" w:fill="auto"/>
          </w:tcPr>
          <w:p w14:paraId="5EA21D7E" w14:textId="77777777" w:rsidR="003C66EB" w:rsidRDefault="003C66EB">
            <w:pPr>
              <w:rPr>
                <w:rFonts w:ascii="宋体"/>
                <w:vanish/>
              </w:rPr>
            </w:pPr>
          </w:p>
        </w:tc>
        <w:tc>
          <w:tcPr>
            <w:tcW w:w="0" w:type="auto"/>
            <w:shd w:val="clear" w:color="auto" w:fill="auto"/>
          </w:tcPr>
          <w:p w14:paraId="5EA21D7F" w14:textId="77777777" w:rsidR="003C66EB" w:rsidRDefault="003C66EB">
            <w:pPr>
              <w:rPr>
                <w:rFonts w:ascii="宋体"/>
                <w:vanish/>
              </w:rPr>
            </w:pPr>
          </w:p>
        </w:tc>
        <w:tc>
          <w:tcPr>
            <w:tcW w:w="0" w:type="auto"/>
            <w:gridSpan w:val="3"/>
            <w:shd w:val="clear" w:color="auto" w:fill="auto"/>
          </w:tcPr>
          <w:p w14:paraId="5EA21D80" w14:textId="77777777" w:rsidR="003C66EB" w:rsidRDefault="003C66EB">
            <w:pPr>
              <w:rPr>
                <w:rFonts w:ascii="宋体"/>
                <w:vanish/>
              </w:rPr>
            </w:pPr>
          </w:p>
        </w:tc>
        <w:tc>
          <w:tcPr>
            <w:tcW w:w="0" w:type="auto"/>
            <w:gridSpan w:val="3"/>
            <w:shd w:val="clear" w:color="auto" w:fill="auto"/>
          </w:tcPr>
          <w:p w14:paraId="5EA21D81" w14:textId="77777777" w:rsidR="003C66EB" w:rsidRDefault="003C66EB">
            <w:pPr>
              <w:rPr>
                <w:rFonts w:ascii="宋体"/>
                <w:vanish/>
              </w:rPr>
            </w:pPr>
          </w:p>
        </w:tc>
        <w:tc>
          <w:tcPr>
            <w:tcW w:w="0" w:type="auto"/>
            <w:gridSpan w:val="3"/>
            <w:shd w:val="clear" w:color="auto" w:fill="auto"/>
          </w:tcPr>
          <w:p w14:paraId="5EA21D82" w14:textId="77777777" w:rsidR="003C66EB" w:rsidRDefault="003C66EB">
            <w:pPr>
              <w:rPr>
                <w:rFonts w:ascii="宋体"/>
                <w:vanish/>
              </w:rPr>
            </w:pPr>
          </w:p>
        </w:tc>
        <w:tc>
          <w:tcPr>
            <w:tcW w:w="0" w:type="auto"/>
            <w:gridSpan w:val="3"/>
            <w:shd w:val="clear" w:color="auto" w:fill="auto"/>
          </w:tcPr>
          <w:p w14:paraId="5EA21D83" w14:textId="77777777" w:rsidR="003C66EB" w:rsidRDefault="003C66EB">
            <w:pPr>
              <w:rPr>
                <w:rFonts w:ascii="宋体"/>
                <w:vanish/>
              </w:rPr>
            </w:pPr>
          </w:p>
        </w:tc>
      </w:tr>
      <w:tr w:rsidR="003C66EB" w14:paraId="5EA21D93" w14:textId="77777777">
        <w:tc>
          <w:tcPr>
            <w:tcW w:w="0" w:type="auto"/>
            <w:gridSpan w:val="3"/>
            <w:shd w:val="clear" w:color="auto" w:fill="CCEEFF"/>
            <w:tcMar>
              <w:top w:w="40" w:type="dxa"/>
              <w:left w:w="20" w:type="dxa"/>
              <w:bottom w:w="40" w:type="dxa"/>
              <w:right w:w="20" w:type="dxa"/>
            </w:tcMar>
            <w:vAlign w:val="bottom"/>
          </w:tcPr>
          <w:p w14:paraId="5EA21D85" w14:textId="77777777" w:rsidR="003C66EB" w:rsidRDefault="00D96C4E">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CCEEFF"/>
            <w:tcMar>
              <w:top w:w="40" w:type="dxa"/>
              <w:left w:w="20" w:type="dxa"/>
              <w:bottom w:w="40" w:type="dxa"/>
              <w:right w:w="0" w:type="dxa"/>
            </w:tcMar>
            <w:vAlign w:val="bottom"/>
          </w:tcPr>
          <w:p w14:paraId="5EA21D86" w14:textId="77777777" w:rsidR="003C66EB" w:rsidRDefault="00D96C4E">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EA21D87" w14:textId="77777777" w:rsidR="003C66EB" w:rsidRDefault="00D96C4E">
            <w:pPr>
              <w:jc w:val="right"/>
              <w:textAlignment w:val="bottom"/>
            </w:pPr>
            <w:r>
              <w:rPr>
                <w:rFonts w:ascii="Arial" w:eastAsia="宋体" w:hAnsi="Arial" w:cs="Arial"/>
                <w:b/>
                <w:bCs/>
                <w:color w:val="000000"/>
                <w:sz w:val="18"/>
                <w:szCs w:val="18"/>
              </w:rPr>
              <w:t>489</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A21D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89" w14:textId="77777777" w:rsidR="003C66EB" w:rsidRDefault="003C66E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EA21D8A" w14:textId="77777777" w:rsidR="003C66EB" w:rsidRDefault="00D96C4E">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EA21D8B" w14:textId="77777777" w:rsidR="003C66EB" w:rsidRDefault="00D96C4E">
            <w:pPr>
              <w:jc w:val="right"/>
              <w:textAlignment w:val="bottom"/>
            </w:pPr>
            <w:r>
              <w:rPr>
                <w:rFonts w:ascii="Arial" w:eastAsia="宋体" w:hAnsi="Arial" w:cs="Arial"/>
                <w:color w:val="000000"/>
                <w:sz w:val="18"/>
                <w:szCs w:val="18"/>
              </w:rPr>
              <w:t>580 </w:t>
            </w:r>
          </w:p>
        </w:tc>
        <w:tc>
          <w:tcPr>
            <w:tcW w:w="0" w:type="auto"/>
            <w:tcBorders>
              <w:top w:val="double" w:sz="6" w:space="0" w:color="000000"/>
            </w:tcBorders>
            <w:shd w:val="clear" w:color="auto" w:fill="CCEEFF"/>
            <w:tcMar>
              <w:top w:w="40" w:type="dxa"/>
              <w:left w:w="0" w:type="dxa"/>
              <w:bottom w:w="40" w:type="dxa"/>
              <w:right w:w="20" w:type="dxa"/>
            </w:tcMar>
            <w:vAlign w:val="bottom"/>
          </w:tcPr>
          <w:p w14:paraId="5EA21D8C" w14:textId="77777777" w:rsidR="003C66EB" w:rsidRDefault="003C66EB">
            <w:pPr>
              <w:jc w:val="right"/>
              <w:rPr>
                <w:rFonts w:ascii="宋体"/>
              </w:rPr>
            </w:pPr>
          </w:p>
        </w:tc>
        <w:tc>
          <w:tcPr>
            <w:tcW w:w="0" w:type="auto"/>
            <w:shd w:val="clear" w:color="auto" w:fill="auto"/>
          </w:tcPr>
          <w:p w14:paraId="5EA21D8D" w14:textId="77777777" w:rsidR="003C66EB" w:rsidRDefault="003C66EB">
            <w:pPr>
              <w:rPr>
                <w:rFonts w:ascii="宋体"/>
                <w:vanish/>
              </w:rPr>
            </w:pPr>
          </w:p>
        </w:tc>
        <w:tc>
          <w:tcPr>
            <w:tcW w:w="0" w:type="auto"/>
            <w:shd w:val="clear" w:color="auto" w:fill="auto"/>
          </w:tcPr>
          <w:p w14:paraId="5EA21D8E" w14:textId="77777777" w:rsidR="003C66EB" w:rsidRDefault="003C66EB">
            <w:pPr>
              <w:rPr>
                <w:rFonts w:ascii="宋体"/>
                <w:vanish/>
              </w:rPr>
            </w:pPr>
          </w:p>
        </w:tc>
        <w:tc>
          <w:tcPr>
            <w:tcW w:w="0" w:type="auto"/>
            <w:gridSpan w:val="3"/>
            <w:shd w:val="clear" w:color="auto" w:fill="auto"/>
          </w:tcPr>
          <w:p w14:paraId="5EA21D8F" w14:textId="77777777" w:rsidR="003C66EB" w:rsidRDefault="003C66EB">
            <w:pPr>
              <w:rPr>
                <w:rFonts w:ascii="宋体"/>
                <w:vanish/>
              </w:rPr>
            </w:pPr>
          </w:p>
        </w:tc>
        <w:tc>
          <w:tcPr>
            <w:tcW w:w="0" w:type="auto"/>
            <w:gridSpan w:val="3"/>
            <w:shd w:val="clear" w:color="auto" w:fill="auto"/>
          </w:tcPr>
          <w:p w14:paraId="5EA21D90" w14:textId="77777777" w:rsidR="003C66EB" w:rsidRDefault="003C66EB">
            <w:pPr>
              <w:rPr>
                <w:rFonts w:ascii="宋体"/>
                <w:vanish/>
              </w:rPr>
            </w:pPr>
          </w:p>
        </w:tc>
        <w:tc>
          <w:tcPr>
            <w:tcW w:w="0" w:type="auto"/>
            <w:gridSpan w:val="3"/>
            <w:shd w:val="clear" w:color="auto" w:fill="auto"/>
          </w:tcPr>
          <w:p w14:paraId="5EA21D91" w14:textId="77777777" w:rsidR="003C66EB" w:rsidRDefault="003C66EB">
            <w:pPr>
              <w:rPr>
                <w:rFonts w:ascii="宋体"/>
                <w:vanish/>
              </w:rPr>
            </w:pPr>
          </w:p>
        </w:tc>
        <w:tc>
          <w:tcPr>
            <w:tcW w:w="0" w:type="auto"/>
            <w:gridSpan w:val="3"/>
            <w:shd w:val="clear" w:color="auto" w:fill="auto"/>
          </w:tcPr>
          <w:p w14:paraId="5EA21D92" w14:textId="77777777" w:rsidR="003C66EB" w:rsidRDefault="003C66EB">
            <w:pPr>
              <w:rPr>
                <w:rFonts w:ascii="宋体"/>
                <w:vanish/>
              </w:rPr>
            </w:pPr>
          </w:p>
        </w:tc>
      </w:tr>
      <w:tr w:rsidR="003C66EB" w14:paraId="5EA21D9E" w14:textId="77777777">
        <w:tc>
          <w:tcPr>
            <w:tcW w:w="0" w:type="auto"/>
            <w:gridSpan w:val="3"/>
            <w:shd w:val="clear" w:color="auto" w:fill="FFFFFF"/>
            <w:tcMar>
              <w:top w:w="40" w:type="dxa"/>
              <w:left w:w="20" w:type="dxa"/>
              <w:bottom w:w="40" w:type="dxa"/>
              <w:right w:w="20" w:type="dxa"/>
            </w:tcMar>
            <w:vAlign w:val="bottom"/>
          </w:tcPr>
          <w:p w14:paraId="5EA21D94" w14:textId="77777777" w:rsidR="003C66EB" w:rsidRDefault="00D96C4E">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FFFFFF"/>
            <w:tcMar>
              <w:top w:w="0" w:type="dxa"/>
              <w:left w:w="20" w:type="dxa"/>
              <w:bottom w:w="0" w:type="dxa"/>
              <w:right w:w="20" w:type="dxa"/>
            </w:tcMar>
          </w:tcPr>
          <w:p w14:paraId="5EA21D9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D96"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1D97" w14:textId="77777777" w:rsidR="003C66EB" w:rsidRDefault="003C66EB">
            <w:pPr>
              <w:rPr>
                <w:rFonts w:ascii="宋体"/>
              </w:rPr>
            </w:pPr>
          </w:p>
        </w:tc>
        <w:tc>
          <w:tcPr>
            <w:tcW w:w="0" w:type="auto"/>
            <w:shd w:val="clear" w:color="auto" w:fill="auto"/>
          </w:tcPr>
          <w:p w14:paraId="5EA21D98" w14:textId="77777777" w:rsidR="003C66EB" w:rsidRDefault="003C66EB">
            <w:pPr>
              <w:rPr>
                <w:rFonts w:ascii="宋体"/>
                <w:vanish/>
              </w:rPr>
            </w:pPr>
          </w:p>
        </w:tc>
        <w:tc>
          <w:tcPr>
            <w:tcW w:w="0" w:type="auto"/>
            <w:shd w:val="clear" w:color="auto" w:fill="auto"/>
          </w:tcPr>
          <w:p w14:paraId="5EA21D99" w14:textId="77777777" w:rsidR="003C66EB" w:rsidRDefault="003C66EB">
            <w:pPr>
              <w:rPr>
                <w:rFonts w:ascii="宋体"/>
                <w:vanish/>
              </w:rPr>
            </w:pPr>
          </w:p>
        </w:tc>
        <w:tc>
          <w:tcPr>
            <w:tcW w:w="0" w:type="auto"/>
            <w:gridSpan w:val="3"/>
            <w:shd w:val="clear" w:color="auto" w:fill="auto"/>
          </w:tcPr>
          <w:p w14:paraId="5EA21D9A" w14:textId="77777777" w:rsidR="003C66EB" w:rsidRDefault="003C66EB">
            <w:pPr>
              <w:rPr>
                <w:rFonts w:ascii="宋体"/>
                <w:vanish/>
              </w:rPr>
            </w:pPr>
          </w:p>
        </w:tc>
        <w:tc>
          <w:tcPr>
            <w:tcW w:w="0" w:type="auto"/>
            <w:gridSpan w:val="3"/>
            <w:shd w:val="clear" w:color="auto" w:fill="auto"/>
          </w:tcPr>
          <w:p w14:paraId="5EA21D9B" w14:textId="77777777" w:rsidR="003C66EB" w:rsidRDefault="003C66EB">
            <w:pPr>
              <w:rPr>
                <w:rFonts w:ascii="宋体"/>
                <w:vanish/>
              </w:rPr>
            </w:pPr>
          </w:p>
        </w:tc>
        <w:tc>
          <w:tcPr>
            <w:tcW w:w="0" w:type="auto"/>
            <w:gridSpan w:val="3"/>
            <w:shd w:val="clear" w:color="auto" w:fill="auto"/>
          </w:tcPr>
          <w:p w14:paraId="5EA21D9C" w14:textId="77777777" w:rsidR="003C66EB" w:rsidRDefault="003C66EB">
            <w:pPr>
              <w:rPr>
                <w:rFonts w:ascii="宋体"/>
                <w:vanish/>
              </w:rPr>
            </w:pPr>
          </w:p>
        </w:tc>
        <w:tc>
          <w:tcPr>
            <w:tcW w:w="0" w:type="auto"/>
            <w:gridSpan w:val="3"/>
            <w:shd w:val="clear" w:color="auto" w:fill="auto"/>
          </w:tcPr>
          <w:p w14:paraId="5EA21D9D" w14:textId="77777777" w:rsidR="003C66EB" w:rsidRDefault="003C66EB">
            <w:pPr>
              <w:rPr>
                <w:rFonts w:ascii="宋体"/>
                <w:vanish/>
              </w:rPr>
            </w:pPr>
          </w:p>
        </w:tc>
      </w:tr>
      <w:tr w:rsidR="003C66EB" w14:paraId="5EA21DAD" w14:textId="77777777">
        <w:tc>
          <w:tcPr>
            <w:tcW w:w="0" w:type="auto"/>
            <w:gridSpan w:val="3"/>
            <w:shd w:val="clear" w:color="auto" w:fill="CCEEFF"/>
            <w:tcMar>
              <w:top w:w="40" w:type="dxa"/>
              <w:left w:w="20" w:type="dxa"/>
              <w:bottom w:w="40" w:type="dxa"/>
              <w:right w:w="20" w:type="dxa"/>
            </w:tcMar>
            <w:vAlign w:val="bottom"/>
          </w:tcPr>
          <w:p w14:paraId="5EA21D9F" w14:textId="77777777" w:rsidR="003C66EB" w:rsidRDefault="00D96C4E">
            <w:pPr>
              <w:textAlignment w:val="bottom"/>
            </w:pPr>
            <w:r>
              <w:rPr>
                <w:rFonts w:ascii="Arial" w:eastAsia="宋体" w:hAnsi="Arial" w:cs="Arial"/>
                <w:color w:val="000000"/>
                <w:sz w:val="18"/>
                <w:szCs w:val="18"/>
              </w:rPr>
              <w:t>Basic</w:t>
            </w:r>
          </w:p>
        </w:tc>
        <w:tc>
          <w:tcPr>
            <w:tcW w:w="0" w:type="auto"/>
            <w:shd w:val="clear" w:color="auto" w:fill="CCEEFF"/>
            <w:tcMar>
              <w:top w:w="40" w:type="dxa"/>
              <w:left w:w="20" w:type="dxa"/>
              <w:bottom w:w="40" w:type="dxa"/>
              <w:right w:w="0" w:type="dxa"/>
            </w:tcMar>
            <w:vAlign w:val="bottom"/>
          </w:tcPr>
          <w:p w14:paraId="5EA21DA0" w14:textId="77777777" w:rsidR="003C66EB" w:rsidRDefault="00D96C4E">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A21DA1" w14:textId="77777777" w:rsidR="003C66EB" w:rsidRDefault="00D96C4E">
            <w:pPr>
              <w:jc w:val="right"/>
              <w:textAlignment w:val="bottom"/>
            </w:pPr>
            <w:r>
              <w:rPr>
                <w:rFonts w:ascii="Arial" w:eastAsia="宋体" w:hAnsi="Arial" w:cs="Arial"/>
                <w:b/>
                <w:bCs/>
                <w:color w:val="000000"/>
                <w:sz w:val="18"/>
                <w:szCs w:val="18"/>
              </w:rPr>
              <w:t>1.39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D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A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DA4" w14:textId="77777777" w:rsidR="003C66EB" w:rsidRDefault="00D96C4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A21DA5" w14:textId="77777777" w:rsidR="003C66EB" w:rsidRDefault="00D96C4E">
            <w:pPr>
              <w:jc w:val="right"/>
              <w:textAlignment w:val="bottom"/>
            </w:pPr>
            <w:r>
              <w:rPr>
                <w:rFonts w:ascii="Arial" w:eastAsia="宋体" w:hAnsi="Arial" w:cs="Arial"/>
                <w:color w:val="000000"/>
                <w:sz w:val="18"/>
                <w:szCs w:val="18"/>
              </w:rPr>
              <w:t>1.64 </w:t>
            </w:r>
          </w:p>
        </w:tc>
        <w:tc>
          <w:tcPr>
            <w:tcW w:w="0" w:type="auto"/>
            <w:shd w:val="clear" w:color="auto" w:fill="CCEEFF"/>
            <w:tcMar>
              <w:top w:w="40" w:type="dxa"/>
              <w:left w:w="0" w:type="dxa"/>
              <w:bottom w:w="40" w:type="dxa"/>
              <w:right w:w="20" w:type="dxa"/>
            </w:tcMar>
            <w:vAlign w:val="bottom"/>
          </w:tcPr>
          <w:p w14:paraId="5EA21DA6" w14:textId="77777777" w:rsidR="003C66EB" w:rsidRDefault="003C66EB">
            <w:pPr>
              <w:jc w:val="right"/>
              <w:rPr>
                <w:rFonts w:ascii="宋体"/>
              </w:rPr>
            </w:pPr>
          </w:p>
        </w:tc>
        <w:tc>
          <w:tcPr>
            <w:tcW w:w="0" w:type="auto"/>
            <w:shd w:val="clear" w:color="auto" w:fill="auto"/>
          </w:tcPr>
          <w:p w14:paraId="5EA21DA7" w14:textId="77777777" w:rsidR="003C66EB" w:rsidRDefault="003C66EB">
            <w:pPr>
              <w:rPr>
                <w:rFonts w:ascii="宋体"/>
                <w:vanish/>
              </w:rPr>
            </w:pPr>
          </w:p>
        </w:tc>
        <w:tc>
          <w:tcPr>
            <w:tcW w:w="0" w:type="auto"/>
            <w:shd w:val="clear" w:color="auto" w:fill="auto"/>
          </w:tcPr>
          <w:p w14:paraId="5EA21DA8" w14:textId="77777777" w:rsidR="003C66EB" w:rsidRDefault="003C66EB">
            <w:pPr>
              <w:rPr>
                <w:rFonts w:ascii="宋体"/>
                <w:vanish/>
              </w:rPr>
            </w:pPr>
          </w:p>
        </w:tc>
        <w:tc>
          <w:tcPr>
            <w:tcW w:w="0" w:type="auto"/>
            <w:gridSpan w:val="3"/>
            <w:shd w:val="clear" w:color="auto" w:fill="auto"/>
          </w:tcPr>
          <w:p w14:paraId="5EA21DA9" w14:textId="77777777" w:rsidR="003C66EB" w:rsidRDefault="003C66EB">
            <w:pPr>
              <w:rPr>
                <w:rFonts w:ascii="宋体"/>
                <w:vanish/>
              </w:rPr>
            </w:pPr>
          </w:p>
        </w:tc>
        <w:tc>
          <w:tcPr>
            <w:tcW w:w="0" w:type="auto"/>
            <w:gridSpan w:val="3"/>
            <w:shd w:val="clear" w:color="auto" w:fill="auto"/>
          </w:tcPr>
          <w:p w14:paraId="5EA21DAA" w14:textId="77777777" w:rsidR="003C66EB" w:rsidRDefault="003C66EB">
            <w:pPr>
              <w:rPr>
                <w:rFonts w:ascii="宋体"/>
                <w:vanish/>
              </w:rPr>
            </w:pPr>
          </w:p>
        </w:tc>
        <w:tc>
          <w:tcPr>
            <w:tcW w:w="0" w:type="auto"/>
            <w:gridSpan w:val="3"/>
            <w:shd w:val="clear" w:color="auto" w:fill="auto"/>
          </w:tcPr>
          <w:p w14:paraId="5EA21DAB" w14:textId="77777777" w:rsidR="003C66EB" w:rsidRDefault="003C66EB">
            <w:pPr>
              <w:rPr>
                <w:rFonts w:ascii="宋体"/>
                <w:vanish/>
              </w:rPr>
            </w:pPr>
          </w:p>
        </w:tc>
        <w:tc>
          <w:tcPr>
            <w:tcW w:w="0" w:type="auto"/>
            <w:gridSpan w:val="3"/>
            <w:shd w:val="clear" w:color="auto" w:fill="auto"/>
          </w:tcPr>
          <w:p w14:paraId="5EA21DAC" w14:textId="77777777" w:rsidR="003C66EB" w:rsidRDefault="003C66EB">
            <w:pPr>
              <w:rPr>
                <w:rFonts w:ascii="宋体"/>
                <w:vanish/>
              </w:rPr>
            </w:pPr>
          </w:p>
        </w:tc>
      </w:tr>
      <w:tr w:rsidR="003C66EB" w14:paraId="5EA21DBA" w14:textId="77777777">
        <w:tc>
          <w:tcPr>
            <w:tcW w:w="0" w:type="auto"/>
            <w:gridSpan w:val="3"/>
            <w:shd w:val="clear" w:color="auto" w:fill="FFFFFF"/>
            <w:tcMar>
              <w:top w:w="40" w:type="dxa"/>
              <w:left w:w="20" w:type="dxa"/>
              <w:bottom w:w="40" w:type="dxa"/>
              <w:right w:w="20" w:type="dxa"/>
            </w:tcMar>
            <w:vAlign w:val="bottom"/>
          </w:tcPr>
          <w:p w14:paraId="5EA21DAE" w14:textId="77777777" w:rsidR="003C66EB" w:rsidRDefault="00D96C4E">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5EA21DAF" w14:textId="77777777" w:rsidR="003C66EB" w:rsidRDefault="00D96C4E">
            <w:pPr>
              <w:jc w:val="right"/>
              <w:textAlignment w:val="bottom"/>
            </w:pPr>
            <w:r>
              <w:rPr>
                <w:rFonts w:ascii="Arial" w:eastAsia="宋体" w:hAnsi="Arial" w:cs="Arial"/>
                <w:b/>
                <w:bCs/>
                <w:color w:val="000000"/>
                <w:sz w:val="18"/>
                <w:szCs w:val="18"/>
              </w:rPr>
              <w:t>1.37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DB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B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DB2" w14:textId="77777777" w:rsidR="003C66EB" w:rsidRDefault="00D96C4E">
            <w:pPr>
              <w:jc w:val="right"/>
              <w:textAlignment w:val="bottom"/>
            </w:pPr>
            <w:r>
              <w:rPr>
                <w:rFonts w:ascii="Arial" w:eastAsia="宋体" w:hAnsi="Arial" w:cs="Arial"/>
                <w:color w:val="000000"/>
                <w:sz w:val="18"/>
                <w:szCs w:val="18"/>
              </w:rPr>
              <w:t>1.62 </w:t>
            </w:r>
          </w:p>
        </w:tc>
        <w:tc>
          <w:tcPr>
            <w:tcW w:w="0" w:type="auto"/>
            <w:shd w:val="clear" w:color="auto" w:fill="FFFFFF"/>
            <w:tcMar>
              <w:top w:w="40" w:type="dxa"/>
              <w:left w:w="0" w:type="dxa"/>
              <w:bottom w:w="40" w:type="dxa"/>
              <w:right w:w="20" w:type="dxa"/>
            </w:tcMar>
            <w:vAlign w:val="bottom"/>
          </w:tcPr>
          <w:p w14:paraId="5EA21DB3" w14:textId="77777777" w:rsidR="003C66EB" w:rsidRDefault="003C66EB">
            <w:pPr>
              <w:jc w:val="right"/>
              <w:rPr>
                <w:rFonts w:ascii="宋体"/>
              </w:rPr>
            </w:pPr>
          </w:p>
        </w:tc>
        <w:tc>
          <w:tcPr>
            <w:tcW w:w="0" w:type="auto"/>
            <w:shd w:val="clear" w:color="auto" w:fill="auto"/>
          </w:tcPr>
          <w:p w14:paraId="5EA21DB4" w14:textId="77777777" w:rsidR="003C66EB" w:rsidRDefault="003C66EB">
            <w:pPr>
              <w:rPr>
                <w:rFonts w:ascii="宋体"/>
                <w:vanish/>
              </w:rPr>
            </w:pPr>
          </w:p>
        </w:tc>
        <w:tc>
          <w:tcPr>
            <w:tcW w:w="0" w:type="auto"/>
            <w:shd w:val="clear" w:color="auto" w:fill="auto"/>
          </w:tcPr>
          <w:p w14:paraId="5EA21DB5" w14:textId="77777777" w:rsidR="003C66EB" w:rsidRDefault="003C66EB">
            <w:pPr>
              <w:rPr>
                <w:rFonts w:ascii="宋体"/>
                <w:vanish/>
              </w:rPr>
            </w:pPr>
          </w:p>
        </w:tc>
        <w:tc>
          <w:tcPr>
            <w:tcW w:w="0" w:type="auto"/>
            <w:gridSpan w:val="3"/>
            <w:shd w:val="clear" w:color="auto" w:fill="auto"/>
          </w:tcPr>
          <w:p w14:paraId="5EA21DB6" w14:textId="77777777" w:rsidR="003C66EB" w:rsidRDefault="003C66EB">
            <w:pPr>
              <w:rPr>
                <w:rFonts w:ascii="宋体"/>
                <w:vanish/>
              </w:rPr>
            </w:pPr>
          </w:p>
        </w:tc>
        <w:tc>
          <w:tcPr>
            <w:tcW w:w="0" w:type="auto"/>
            <w:gridSpan w:val="3"/>
            <w:shd w:val="clear" w:color="auto" w:fill="auto"/>
          </w:tcPr>
          <w:p w14:paraId="5EA21DB7" w14:textId="77777777" w:rsidR="003C66EB" w:rsidRDefault="003C66EB">
            <w:pPr>
              <w:rPr>
                <w:rFonts w:ascii="宋体"/>
                <w:vanish/>
              </w:rPr>
            </w:pPr>
          </w:p>
        </w:tc>
        <w:tc>
          <w:tcPr>
            <w:tcW w:w="0" w:type="auto"/>
            <w:gridSpan w:val="3"/>
            <w:shd w:val="clear" w:color="auto" w:fill="auto"/>
          </w:tcPr>
          <w:p w14:paraId="5EA21DB8" w14:textId="77777777" w:rsidR="003C66EB" w:rsidRDefault="003C66EB">
            <w:pPr>
              <w:rPr>
                <w:rFonts w:ascii="宋体"/>
                <w:vanish/>
              </w:rPr>
            </w:pPr>
          </w:p>
        </w:tc>
        <w:tc>
          <w:tcPr>
            <w:tcW w:w="0" w:type="auto"/>
            <w:gridSpan w:val="3"/>
            <w:shd w:val="clear" w:color="auto" w:fill="auto"/>
          </w:tcPr>
          <w:p w14:paraId="5EA21DB9" w14:textId="77777777" w:rsidR="003C66EB" w:rsidRDefault="003C66EB">
            <w:pPr>
              <w:rPr>
                <w:rFonts w:ascii="宋体"/>
                <w:vanish/>
              </w:rPr>
            </w:pPr>
          </w:p>
        </w:tc>
      </w:tr>
      <w:tr w:rsidR="003C66EB" w14:paraId="5EA21DC5" w14:textId="77777777">
        <w:tc>
          <w:tcPr>
            <w:tcW w:w="0" w:type="auto"/>
            <w:gridSpan w:val="3"/>
            <w:shd w:val="clear" w:color="auto" w:fill="CCEEFF"/>
            <w:tcMar>
              <w:top w:w="40" w:type="dxa"/>
              <w:left w:w="20" w:type="dxa"/>
              <w:bottom w:w="40" w:type="dxa"/>
              <w:right w:w="20" w:type="dxa"/>
            </w:tcMar>
            <w:vAlign w:val="bottom"/>
          </w:tcPr>
          <w:p w14:paraId="5EA21DBB" w14:textId="77777777" w:rsidR="003C66EB" w:rsidRDefault="00D96C4E">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CCEEFF"/>
            <w:tcMar>
              <w:top w:w="0" w:type="dxa"/>
              <w:left w:w="20" w:type="dxa"/>
              <w:bottom w:w="0" w:type="dxa"/>
              <w:right w:w="20" w:type="dxa"/>
            </w:tcMar>
          </w:tcPr>
          <w:p w14:paraId="5EA21DB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DB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DBE" w14:textId="77777777" w:rsidR="003C66EB" w:rsidRDefault="003C66EB">
            <w:pPr>
              <w:rPr>
                <w:rFonts w:ascii="宋体"/>
              </w:rPr>
            </w:pPr>
          </w:p>
        </w:tc>
        <w:tc>
          <w:tcPr>
            <w:tcW w:w="0" w:type="auto"/>
            <w:shd w:val="clear" w:color="auto" w:fill="auto"/>
          </w:tcPr>
          <w:p w14:paraId="5EA21DBF" w14:textId="77777777" w:rsidR="003C66EB" w:rsidRDefault="003C66EB">
            <w:pPr>
              <w:rPr>
                <w:rFonts w:ascii="宋体"/>
                <w:vanish/>
              </w:rPr>
            </w:pPr>
          </w:p>
        </w:tc>
        <w:tc>
          <w:tcPr>
            <w:tcW w:w="0" w:type="auto"/>
            <w:shd w:val="clear" w:color="auto" w:fill="auto"/>
          </w:tcPr>
          <w:p w14:paraId="5EA21DC0" w14:textId="77777777" w:rsidR="003C66EB" w:rsidRDefault="003C66EB">
            <w:pPr>
              <w:rPr>
                <w:rFonts w:ascii="宋体"/>
                <w:vanish/>
              </w:rPr>
            </w:pPr>
          </w:p>
        </w:tc>
        <w:tc>
          <w:tcPr>
            <w:tcW w:w="0" w:type="auto"/>
            <w:gridSpan w:val="3"/>
            <w:shd w:val="clear" w:color="auto" w:fill="auto"/>
          </w:tcPr>
          <w:p w14:paraId="5EA21DC1" w14:textId="77777777" w:rsidR="003C66EB" w:rsidRDefault="003C66EB">
            <w:pPr>
              <w:rPr>
                <w:rFonts w:ascii="宋体"/>
                <w:vanish/>
              </w:rPr>
            </w:pPr>
          </w:p>
        </w:tc>
        <w:tc>
          <w:tcPr>
            <w:tcW w:w="0" w:type="auto"/>
            <w:gridSpan w:val="3"/>
            <w:shd w:val="clear" w:color="auto" w:fill="auto"/>
          </w:tcPr>
          <w:p w14:paraId="5EA21DC2" w14:textId="77777777" w:rsidR="003C66EB" w:rsidRDefault="003C66EB">
            <w:pPr>
              <w:rPr>
                <w:rFonts w:ascii="宋体"/>
                <w:vanish/>
              </w:rPr>
            </w:pPr>
          </w:p>
        </w:tc>
        <w:tc>
          <w:tcPr>
            <w:tcW w:w="0" w:type="auto"/>
            <w:gridSpan w:val="3"/>
            <w:shd w:val="clear" w:color="auto" w:fill="auto"/>
          </w:tcPr>
          <w:p w14:paraId="5EA21DC3" w14:textId="77777777" w:rsidR="003C66EB" w:rsidRDefault="003C66EB">
            <w:pPr>
              <w:rPr>
                <w:rFonts w:ascii="宋体"/>
                <w:vanish/>
              </w:rPr>
            </w:pPr>
          </w:p>
        </w:tc>
        <w:tc>
          <w:tcPr>
            <w:tcW w:w="0" w:type="auto"/>
            <w:gridSpan w:val="3"/>
            <w:shd w:val="clear" w:color="auto" w:fill="auto"/>
          </w:tcPr>
          <w:p w14:paraId="5EA21DC4" w14:textId="77777777" w:rsidR="003C66EB" w:rsidRDefault="003C66EB">
            <w:pPr>
              <w:rPr>
                <w:rFonts w:ascii="宋体"/>
                <w:vanish/>
              </w:rPr>
            </w:pPr>
          </w:p>
        </w:tc>
      </w:tr>
      <w:tr w:rsidR="003C66EB" w14:paraId="5EA21DD2" w14:textId="77777777">
        <w:tc>
          <w:tcPr>
            <w:tcW w:w="0" w:type="auto"/>
            <w:gridSpan w:val="3"/>
            <w:shd w:val="clear" w:color="auto" w:fill="FFFFFF"/>
            <w:tcMar>
              <w:top w:w="40" w:type="dxa"/>
              <w:left w:w="20" w:type="dxa"/>
              <w:bottom w:w="40" w:type="dxa"/>
              <w:right w:w="20" w:type="dxa"/>
            </w:tcMar>
            <w:vAlign w:val="bottom"/>
          </w:tcPr>
          <w:p w14:paraId="5EA21DC6" w14:textId="77777777" w:rsidR="003C66EB" w:rsidRDefault="00D96C4E">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5EA21DC7" w14:textId="77777777" w:rsidR="003C66EB" w:rsidRDefault="00D96C4E">
            <w:pPr>
              <w:jc w:val="right"/>
              <w:textAlignment w:val="bottom"/>
            </w:pPr>
            <w:r>
              <w:rPr>
                <w:rFonts w:ascii="Arial" w:eastAsia="宋体" w:hAnsi="Arial" w:cs="Arial"/>
                <w:b/>
                <w:bCs/>
                <w:color w:val="000000"/>
                <w:sz w:val="18"/>
                <w:szCs w:val="18"/>
              </w:rPr>
              <w:t>350,743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D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DCA" w14:textId="77777777" w:rsidR="003C66EB" w:rsidRDefault="00D96C4E">
            <w:pPr>
              <w:jc w:val="right"/>
              <w:textAlignment w:val="bottom"/>
            </w:pPr>
            <w:r>
              <w:rPr>
                <w:rFonts w:ascii="Arial" w:eastAsia="宋体" w:hAnsi="Arial" w:cs="Arial"/>
                <w:color w:val="000000"/>
                <w:sz w:val="18"/>
                <w:szCs w:val="18"/>
              </w:rPr>
              <w:t>353,746 </w:t>
            </w:r>
          </w:p>
        </w:tc>
        <w:tc>
          <w:tcPr>
            <w:tcW w:w="0" w:type="auto"/>
            <w:shd w:val="clear" w:color="auto" w:fill="FFFFFF"/>
            <w:tcMar>
              <w:top w:w="40" w:type="dxa"/>
              <w:left w:w="0" w:type="dxa"/>
              <w:bottom w:w="40" w:type="dxa"/>
              <w:right w:w="20" w:type="dxa"/>
            </w:tcMar>
            <w:vAlign w:val="bottom"/>
          </w:tcPr>
          <w:p w14:paraId="5EA21DCB" w14:textId="77777777" w:rsidR="003C66EB" w:rsidRDefault="003C66EB">
            <w:pPr>
              <w:jc w:val="right"/>
              <w:rPr>
                <w:rFonts w:ascii="宋体"/>
              </w:rPr>
            </w:pPr>
          </w:p>
        </w:tc>
        <w:tc>
          <w:tcPr>
            <w:tcW w:w="0" w:type="auto"/>
            <w:shd w:val="clear" w:color="auto" w:fill="auto"/>
          </w:tcPr>
          <w:p w14:paraId="5EA21DCC" w14:textId="77777777" w:rsidR="003C66EB" w:rsidRDefault="003C66EB">
            <w:pPr>
              <w:rPr>
                <w:rFonts w:ascii="宋体"/>
                <w:vanish/>
              </w:rPr>
            </w:pPr>
          </w:p>
        </w:tc>
        <w:tc>
          <w:tcPr>
            <w:tcW w:w="0" w:type="auto"/>
            <w:shd w:val="clear" w:color="auto" w:fill="auto"/>
          </w:tcPr>
          <w:p w14:paraId="5EA21DCD" w14:textId="77777777" w:rsidR="003C66EB" w:rsidRDefault="003C66EB">
            <w:pPr>
              <w:rPr>
                <w:rFonts w:ascii="宋体"/>
                <w:vanish/>
              </w:rPr>
            </w:pPr>
          </w:p>
        </w:tc>
        <w:tc>
          <w:tcPr>
            <w:tcW w:w="0" w:type="auto"/>
            <w:gridSpan w:val="3"/>
            <w:shd w:val="clear" w:color="auto" w:fill="auto"/>
          </w:tcPr>
          <w:p w14:paraId="5EA21DCE" w14:textId="77777777" w:rsidR="003C66EB" w:rsidRDefault="003C66EB">
            <w:pPr>
              <w:rPr>
                <w:rFonts w:ascii="宋体"/>
                <w:vanish/>
              </w:rPr>
            </w:pPr>
          </w:p>
        </w:tc>
        <w:tc>
          <w:tcPr>
            <w:tcW w:w="0" w:type="auto"/>
            <w:gridSpan w:val="3"/>
            <w:shd w:val="clear" w:color="auto" w:fill="auto"/>
          </w:tcPr>
          <w:p w14:paraId="5EA21DCF" w14:textId="77777777" w:rsidR="003C66EB" w:rsidRDefault="003C66EB">
            <w:pPr>
              <w:rPr>
                <w:rFonts w:ascii="宋体"/>
                <w:vanish/>
              </w:rPr>
            </w:pPr>
          </w:p>
        </w:tc>
        <w:tc>
          <w:tcPr>
            <w:tcW w:w="0" w:type="auto"/>
            <w:gridSpan w:val="3"/>
            <w:shd w:val="clear" w:color="auto" w:fill="auto"/>
          </w:tcPr>
          <w:p w14:paraId="5EA21DD0" w14:textId="77777777" w:rsidR="003C66EB" w:rsidRDefault="003C66EB">
            <w:pPr>
              <w:rPr>
                <w:rFonts w:ascii="宋体"/>
                <w:vanish/>
              </w:rPr>
            </w:pPr>
          </w:p>
        </w:tc>
        <w:tc>
          <w:tcPr>
            <w:tcW w:w="0" w:type="auto"/>
            <w:gridSpan w:val="3"/>
            <w:shd w:val="clear" w:color="auto" w:fill="auto"/>
          </w:tcPr>
          <w:p w14:paraId="5EA21DD1" w14:textId="77777777" w:rsidR="003C66EB" w:rsidRDefault="003C66EB">
            <w:pPr>
              <w:rPr>
                <w:rFonts w:ascii="宋体"/>
                <w:vanish/>
              </w:rPr>
            </w:pPr>
          </w:p>
        </w:tc>
      </w:tr>
      <w:tr w:rsidR="003C66EB" w14:paraId="5EA21DDF" w14:textId="77777777">
        <w:tc>
          <w:tcPr>
            <w:tcW w:w="0" w:type="auto"/>
            <w:gridSpan w:val="3"/>
            <w:shd w:val="clear" w:color="auto" w:fill="CCEEFF"/>
            <w:tcMar>
              <w:top w:w="40" w:type="dxa"/>
              <w:left w:w="20" w:type="dxa"/>
              <w:bottom w:w="40" w:type="dxa"/>
              <w:right w:w="20" w:type="dxa"/>
            </w:tcMar>
            <w:vAlign w:val="bottom"/>
          </w:tcPr>
          <w:p w14:paraId="5EA21DD3" w14:textId="77777777" w:rsidR="003C66EB" w:rsidRDefault="00D96C4E">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5EA21DD4" w14:textId="77777777" w:rsidR="003C66EB" w:rsidRDefault="00D96C4E">
            <w:pPr>
              <w:jc w:val="right"/>
              <w:textAlignment w:val="bottom"/>
            </w:pPr>
            <w:r>
              <w:rPr>
                <w:rFonts w:ascii="Arial" w:eastAsia="宋体" w:hAnsi="Arial" w:cs="Arial"/>
                <w:b/>
                <w:bCs/>
                <w:color w:val="000000"/>
                <w:sz w:val="18"/>
                <w:szCs w:val="18"/>
              </w:rPr>
              <w:t>355,690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D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DD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DD7" w14:textId="77777777" w:rsidR="003C66EB" w:rsidRDefault="00D96C4E">
            <w:pPr>
              <w:jc w:val="right"/>
              <w:textAlignment w:val="bottom"/>
            </w:pPr>
            <w:r>
              <w:rPr>
                <w:rFonts w:ascii="Arial" w:eastAsia="宋体" w:hAnsi="Arial" w:cs="Arial"/>
                <w:color w:val="000000"/>
                <w:sz w:val="18"/>
                <w:szCs w:val="18"/>
              </w:rPr>
              <w:t>357,993 </w:t>
            </w:r>
          </w:p>
        </w:tc>
        <w:tc>
          <w:tcPr>
            <w:tcW w:w="0" w:type="auto"/>
            <w:shd w:val="clear" w:color="auto" w:fill="CCEEFF"/>
            <w:tcMar>
              <w:top w:w="40" w:type="dxa"/>
              <w:left w:w="0" w:type="dxa"/>
              <w:bottom w:w="40" w:type="dxa"/>
              <w:right w:w="20" w:type="dxa"/>
            </w:tcMar>
            <w:vAlign w:val="bottom"/>
          </w:tcPr>
          <w:p w14:paraId="5EA21DD8" w14:textId="77777777" w:rsidR="003C66EB" w:rsidRDefault="003C66EB">
            <w:pPr>
              <w:jc w:val="right"/>
              <w:rPr>
                <w:rFonts w:ascii="宋体"/>
              </w:rPr>
            </w:pPr>
          </w:p>
        </w:tc>
        <w:tc>
          <w:tcPr>
            <w:tcW w:w="0" w:type="auto"/>
            <w:shd w:val="clear" w:color="auto" w:fill="auto"/>
          </w:tcPr>
          <w:p w14:paraId="5EA21DD9" w14:textId="77777777" w:rsidR="003C66EB" w:rsidRDefault="003C66EB">
            <w:pPr>
              <w:rPr>
                <w:rFonts w:ascii="宋体"/>
                <w:vanish/>
              </w:rPr>
            </w:pPr>
          </w:p>
        </w:tc>
        <w:tc>
          <w:tcPr>
            <w:tcW w:w="0" w:type="auto"/>
            <w:shd w:val="clear" w:color="auto" w:fill="auto"/>
          </w:tcPr>
          <w:p w14:paraId="5EA21DDA" w14:textId="77777777" w:rsidR="003C66EB" w:rsidRDefault="003C66EB">
            <w:pPr>
              <w:rPr>
                <w:rFonts w:ascii="宋体"/>
                <w:vanish/>
              </w:rPr>
            </w:pPr>
          </w:p>
        </w:tc>
        <w:tc>
          <w:tcPr>
            <w:tcW w:w="0" w:type="auto"/>
            <w:gridSpan w:val="3"/>
            <w:shd w:val="clear" w:color="auto" w:fill="auto"/>
          </w:tcPr>
          <w:p w14:paraId="5EA21DDB" w14:textId="77777777" w:rsidR="003C66EB" w:rsidRDefault="003C66EB">
            <w:pPr>
              <w:rPr>
                <w:rFonts w:ascii="宋体"/>
                <w:vanish/>
              </w:rPr>
            </w:pPr>
          </w:p>
        </w:tc>
        <w:tc>
          <w:tcPr>
            <w:tcW w:w="0" w:type="auto"/>
            <w:gridSpan w:val="3"/>
            <w:shd w:val="clear" w:color="auto" w:fill="auto"/>
          </w:tcPr>
          <w:p w14:paraId="5EA21DDC" w14:textId="77777777" w:rsidR="003C66EB" w:rsidRDefault="003C66EB">
            <w:pPr>
              <w:rPr>
                <w:rFonts w:ascii="宋体"/>
                <w:vanish/>
              </w:rPr>
            </w:pPr>
          </w:p>
        </w:tc>
        <w:tc>
          <w:tcPr>
            <w:tcW w:w="0" w:type="auto"/>
            <w:gridSpan w:val="3"/>
            <w:shd w:val="clear" w:color="auto" w:fill="auto"/>
          </w:tcPr>
          <w:p w14:paraId="5EA21DDD" w14:textId="77777777" w:rsidR="003C66EB" w:rsidRDefault="003C66EB">
            <w:pPr>
              <w:rPr>
                <w:rFonts w:ascii="宋体"/>
                <w:vanish/>
              </w:rPr>
            </w:pPr>
          </w:p>
        </w:tc>
        <w:tc>
          <w:tcPr>
            <w:tcW w:w="0" w:type="auto"/>
            <w:gridSpan w:val="3"/>
            <w:shd w:val="clear" w:color="auto" w:fill="auto"/>
          </w:tcPr>
          <w:p w14:paraId="5EA21DDE" w14:textId="77777777" w:rsidR="003C66EB" w:rsidRDefault="003C66EB">
            <w:pPr>
              <w:rPr>
                <w:rFonts w:ascii="宋体"/>
                <w:vanish/>
              </w:rPr>
            </w:pPr>
          </w:p>
        </w:tc>
      </w:tr>
      <w:tr w:rsidR="003C66EB" w14:paraId="5EA21DEE" w14:textId="77777777">
        <w:tc>
          <w:tcPr>
            <w:tcW w:w="0" w:type="auto"/>
            <w:gridSpan w:val="3"/>
            <w:shd w:val="clear" w:color="auto" w:fill="FFFFFF"/>
            <w:tcMar>
              <w:top w:w="40" w:type="dxa"/>
              <w:left w:w="20" w:type="dxa"/>
              <w:bottom w:w="40" w:type="dxa"/>
              <w:right w:w="20" w:type="dxa"/>
            </w:tcMar>
            <w:vAlign w:val="bottom"/>
          </w:tcPr>
          <w:p w14:paraId="5EA21DE0" w14:textId="77777777" w:rsidR="003C66EB" w:rsidRDefault="00D96C4E">
            <w:pPr>
              <w:textAlignment w:val="bottom"/>
            </w:pPr>
            <w:r>
              <w:rPr>
                <w:rFonts w:ascii="Arial" w:eastAsia="宋体" w:hAnsi="Arial" w:cs="Arial"/>
                <w:b/>
                <w:bCs/>
                <w:color w:val="000000"/>
                <w:sz w:val="18"/>
                <w:szCs w:val="18"/>
              </w:rPr>
              <w:t xml:space="preserve">Cash dividends </w:t>
            </w:r>
            <w:r>
              <w:rPr>
                <w:rFonts w:ascii="Arial" w:eastAsia="宋体" w:hAnsi="Arial" w:cs="Arial"/>
                <w:b/>
                <w:bCs/>
                <w:color w:val="000000"/>
                <w:sz w:val="18"/>
                <w:szCs w:val="18"/>
              </w:rPr>
              <w:t>declared per common share</w:t>
            </w:r>
          </w:p>
        </w:tc>
        <w:tc>
          <w:tcPr>
            <w:tcW w:w="0" w:type="auto"/>
            <w:shd w:val="clear" w:color="auto" w:fill="FFFFFF"/>
            <w:tcMar>
              <w:top w:w="40" w:type="dxa"/>
              <w:left w:w="20" w:type="dxa"/>
              <w:bottom w:w="40" w:type="dxa"/>
              <w:right w:w="0" w:type="dxa"/>
            </w:tcMar>
            <w:vAlign w:val="bottom"/>
          </w:tcPr>
          <w:p w14:paraId="5EA21DE1" w14:textId="77777777" w:rsidR="003C66EB" w:rsidRDefault="00D96C4E">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5EA21DE2" w14:textId="77777777" w:rsidR="003C66EB" w:rsidRDefault="00D96C4E">
            <w:pPr>
              <w:jc w:val="right"/>
              <w:textAlignment w:val="bottom"/>
            </w:pPr>
            <w:r>
              <w:rPr>
                <w:rFonts w:ascii="Arial" w:eastAsia="宋体" w:hAnsi="Arial" w:cs="Arial"/>
                <w:b/>
                <w:bCs/>
                <w:color w:val="000000"/>
                <w:sz w:val="18"/>
                <w:szCs w:val="18"/>
              </w:rPr>
              <w:t>.52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D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DE4"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1DE5" w14:textId="77777777" w:rsidR="003C66EB" w:rsidRDefault="00D96C4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EA21DE6" w14:textId="77777777" w:rsidR="003C66EB" w:rsidRDefault="00D96C4E">
            <w:pPr>
              <w:jc w:val="right"/>
              <w:textAlignment w:val="bottom"/>
            </w:pPr>
            <w:r>
              <w:rPr>
                <w:rFonts w:ascii="Arial" w:eastAsia="宋体" w:hAnsi="Arial" w:cs="Arial"/>
                <w:color w:val="000000"/>
                <w:sz w:val="18"/>
                <w:szCs w:val="18"/>
              </w:rPr>
              <w:t>.52 </w:t>
            </w:r>
          </w:p>
        </w:tc>
        <w:tc>
          <w:tcPr>
            <w:tcW w:w="0" w:type="auto"/>
            <w:shd w:val="clear" w:color="auto" w:fill="FFFFFF"/>
            <w:tcMar>
              <w:top w:w="40" w:type="dxa"/>
              <w:left w:w="0" w:type="dxa"/>
              <w:bottom w:w="40" w:type="dxa"/>
              <w:right w:w="20" w:type="dxa"/>
            </w:tcMar>
            <w:vAlign w:val="bottom"/>
          </w:tcPr>
          <w:p w14:paraId="5EA21DE7" w14:textId="77777777" w:rsidR="003C66EB" w:rsidRDefault="003C66EB">
            <w:pPr>
              <w:jc w:val="right"/>
              <w:rPr>
                <w:rFonts w:ascii="宋体"/>
              </w:rPr>
            </w:pPr>
          </w:p>
        </w:tc>
        <w:tc>
          <w:tcPr>
            <w:tcW w:w="0" w:type="auto"/>
            <w:shd w:val="clear" w:color="auto" w:fill="auto"/>
          </w:tcPr>
          <w:p w14:paraId="5EA21DE8" w14:textId="77777777" w:rsidR="003C66EB" w:rsidRDefault="003C66EB">
            <w:pPr>
              <w:rPr>
                <w:rFonts w:ascii="宋体"/>
                <w:vanish/>
              </w:rPr>
            </w:pPr>
          </w:p>
        </w:tc>
        <w:tc>
          <w:tcPr>
            <w:tcW w:w="0" w:type="auto"/>
            <w:shd w:val="clear" w:color="auto" w:fill="auto"/>
          </w:tcPr>
          <w:p w14:paraId="5EA21DE9" w14:textId="77777777" w:rsidR="003C66EB" w:rsidRDefault="003C66EB">
            <w:pPr>
              <w:rPr>
                <w:rFonts w:ascii="宋体"/>
                <w:vanish/>
              </w:rPr>
            </w:pPr>
          </w:p>
        </w:tc>
        <w:tc>
          <w:tcPr>
            <w:tcW w:w="0" w:type="auto"/>
            <w:gridSpan w:val="3"/>
            <w:shd w:val="clear" w:color="auto" w:fill="auto"/>
          </w:tcPr>
          <w:p w14:paraId="5EA21DEA" w14:textId="77777777" w:rsidR="003C66EB" w:rsidRDefault="003C66EB">
            <w:pPr>
              <w:rPr>
                <w:rFonts w:ascii="宋体"/>
                <w:vanish/>
              </w:rPr>
            </w:pPr>
          </w:p>
        </w:tc>
        <w:tc>
          <w:tcPr>
            <w:tcW w:w="0" w:type="auto"/>
            <w:gridSpan w:val="3"/>
            <w:shd w:val="clear" w:color="auto" w:fill="auto"/>
          </w:tcPr>
          <w:p w14:paraId="5EA21DEB" w14:textId="77777777" w:rsidR="003C66EB" w:rsidRDefault="003C66EB">
            <w:pPr>
              <w:rPr>
                <w:rFonts w:ascii="宋体"/>
                <w:vanish/>
              </w:rPr>
            </w:pPr>
          </w:p>
        </w:tc>
        <w:tc>
          <w:tcPr>
            <w:tcW w:w="0" w:type="auto"/>
            <w:gridSpan w:val="3"/>
            <w:shd w:val="clear" w:color="auto" w:fill="auto"/>
          </w:tcPr>
          <w:p w14:paraId="5EA21DEC" w14:textId="77777777" w:rsidR="003C66EB" w:rsidRDefault="003C66EB">
            <w:pPr>
              <w:rPr>
                <w:rFonts w:ascii="宋体"/>
                <w:vanish/>
              </w:rPr>
            </w:pPr>
          </w:p>
        </w:tc>
        <w:tc>
          <w:tcPr>
            <w:tcW w:w="0" w:type="auto"/>
            <w:gridSpan w:val="3"/>
            <w:shd w:val="clear" w:color="auto" w:fill="auto"/>
          </w:tcPr>
          <w:p w14:paraId="5EA21DED" w14:textId="77777777" w:rsidR="003C66EB" w:rsidRDefault="003C66EB">
            <w:pPr>
              <w:rPr>
                <w:rFonts w:ascii="宋体"/>
                <w:vanish/>
              </w:rPr>
            </w:pPr>
          </w:p>
        </w:tc>
      </w:tr>
      <w:tr w:rsidR="003C66EB" w14:paraId="5EA21DF9" w14:textId="77777777">
        <w:trPr>
          <w:hidden/>
        </w:trPr>
        <w:tc>
          <w:tcPr>
            <w:tcW w:w="0" w:type="auto"/>
            <w:gridSpan w:val="3"/>
            <w:shd w:val="clear" w:color="auto" w:fill="auto"/>
          </w:tcPr>
          <w:p w14:paraId="5EA21DEF" w14:textId="77777777" w:rsidR="003C66EB" w:rsidRDefault="003C66EB">
            <w:pPr>
              <w:rPr>
                <w:rFonts w:ascii="宋体"/>
                <w:vanish/>
              </w:rPr>
            </w:pPr>
          </w:p>
        </w:tc>
        <w:tc>
          <w:tcPr>
            <w:tcW w:w="0" w:type="auto"/>
            <w:gridSpan w:val="3"/>
            <w:shd w:val="clear" w:color="auto" w:fill="auto"/>
          </w:tcPr>
          <w:p w14:paraId="5EA21DF0" w14:textId="77777777" w:rsidR="003C66EB" w:rsidRDefault="003C66EB">
            <w:pPr>
              <w:rPr>
                <w:rFonts w:ascii="宋体"/>
                <w:vanish/>
              </w:rPr>
            </w:pPr>
          </w:p>
        </w:tc>
        <w:tc>
          <w:tcPr>
            <w:tcW w:w="0" w:type="auto"/>
            <w:gridSpan w:val="3"/>
            <w:shd w:val="clear" w:color="auto" w:fill="auto"/>
          </w:tcPr>
          <w:p w14:paraId="5EA21DF1" w14:textId="77777777" w:rsidR="003C66EB" w:rsidRDefault="003C66EB">
            <w:pPr>
              <w:rPr>
                <w:rFonts w:ascii="宋体"/>
                <w:vanish/>
              </w:rPr>
            </w:pPr>
          </w:p>
        </w:tc>
        <w:tc>
          <w:tcPr>
            <w:tcW w:w="0" w:type="auto"/>
            <w:gridSpan w:val="3"/>
            <w:shd w:val="clear" w:color="auto" w:fill="auto"/>
          </w:tcPr>
          <w:p w14:paraId="5EA21DF2" w14:textId="77777777" w:rsidR="003C66EB" w:rsidRDefault="003C66EB">
            <w:pPr>
              <w:rPr>
                <w:rFonts w:ascii="宋体"/>
                <w:vanish/>
              </w:rPr>
            </w:pPr>
          </w:p>
        </w:tc>
        <w:tc>
          <w:tcPr>
            <w:tcW w:w="0" w:type="auto"/>
            <w:shd w:val="clear" w:color="auto" w:fill="auto"/>
          </w:tcPr>
          <w:p w14:paraId="5EA21DF3" w14:textId="77777777" w:rsidR="003C66EB" w:rsidRDefault="003C66EB">
            <w:pPr>
              <w:rPr>
                <w:rFonts w:ascii="宋体"/>
                <w:vanish/>
              </w:rPr>
            </w:pPr>
          </w:p>
        </w:tc>
        <w:tc>
          <w:tcPr>
            <w:tcW w:w="0" w:type="auto"/>
            <w:shd w:val="clear" w:color="auto" w:fill="auto"/>
          </w:tcPr>
          <w:p w14:paraId="5EA21DF4" w14:textId="77777777" w:rsidR="003C66EB" w:rsidRDefault="003C66EB">
            <w:pPr>
              <w:rPr>
                <w:rFonts w:ascii="宋体"/>
                <w:vanish/>
              </w:rPr>
            </w:pPr>
          </w:p>
        </w:tc>
        <w:tc>
          <w:tcPr>
            <w:tcW w:w="0" w:type="auto"/>
            <w:gridSpan w:val="3"/>
            <w:shd w:val="clear" w:color="auto" w:fill="auto"/>
          </w:tcPr>
          <w:p w14:paraId="5EA21DF5" w14:textId="77777777" w:rsidR="003C66EB" w:rsidRDefault="003C66EB">
            <w:pPr>
              <w:rPr>
                <w:rFonts w:ascii="宋体"/>
                <w:vanish/>
              </w:rPr>
            </w:pPr>
          </w:p>
        </w:tc>
        <w:tc>
          <w:tcPr>
            <w:tcW w:w="0" w:type="auto"/>
            <w:gridSpan w:val="3"/>
            <w:shd w:val="clear" w:color="auto" w:fill="auto"/>
          </w:tcPr>
          <w:p w14:paraId="5EA21DF6" w14:textId="77777777" w:rsidR="003C66EB" w:rsidRDefault="003C66EB">
            <w:pPr>
              <w:rPr>
                <w:rFonts w:ascii="宋体"/>
                <w:vanish/>
              </w:rPr>
            </w:pPr>
          </w:p>
        </w:tc>
        <w:tc>
          <w:tcPr>
            <w:tcW w:w="0" w:type="auto"/>
            <w:gridSpan w:val="3"/>
            <w:shd w:val="clear" w:color="auto" w:fill="auto"/>
          </w:tcPr>
          <w:p w14:paraId="5EA21DF7" w14:textId="77777777" w:rsidR="003C66EB" w:rsidRDefault="003C66EB">
            <w:pPr>
              <w:rPr>
                <w:rFonts w:ascii="宋体"/>
                <w:vanish/>
              </w:rPr>
            </w:pPr>
          </w:p>
        </w:tc>
        <w:tc>
          <w:tcPr>
            <w:tcW w:w="0" w:type="auto"/>
            <w:gridSpan w:val="3"/>
            <w:shd w:val="clear" w:color="auto" w:fill="auto"/>
          </w:tcPr>
          <w:p w14:paraId="5EA21DF8" w14:textId="77777777" w:rsidR="003C66EB" w:rsidRDefault="003C66EB">
            <w:pPr>
              <w:rPr>
                <w:rFonts w:ascii="宋体"/>
                <w:vanish/>
              </w:rPr>
            </w:pPr>
          </w:p>
        </w:tc>
      </w:tr>
      <w:tr w:rsidR="003C66EB" w14:paraId="5EA21E04" w14:textId="77777777">
        <w:trPr>
          <w:hidden/>
        </w:trPr>
        <w:tc>
          <w:tcPr>
            <w:tcW w:w="0" w:type="auto"/>
            <w:gridSpan w:val="3"/>
            <w:shd w:val="clear" w:color="auto" w:fill="auto"/>
          </w:tcPr>
          <w:p w14:paraId="5EA21DFA" w14:textId="77777777" w:rsidR="003C66EB" w:rsidRDefault="003C66EB">
            <w:pPr>
              <w:rPr>
                <w:rFonts w:ascii="宋体"/>
                <w:vanish/>
              </w:rPr>
            </w:pPr>
          </w:p>
        </w:tc>
        <w:tc>
          <w:tcPr>
            <w:tcW w:w="0" w:type="auto"/>
            <w:gridSpan w:val="3"/>
            <w:shd w:val="clear" w:color="auto" w:fill="auto"/>
          </w:tcPr>
          <w:p w14:paraId="5EA21DFB" w14:textId="77777777" w:rsidR="003C66EB" w:rsidRDefault="003C66EB">
            <w:pPr>
              <w:rPr>
                <w:rFonts w:ascii="宋体"/>
                <w:vanish/>
              </w:rPr>
            </w:pPr>
          </w:p>
        </w:tc>
        <w:tc>
          <w:tcPr>
            <w:tcW w:w="0" w:type="auto"/>
            <w:gridSpan w:val="3"/>
            <w:shd w:val="clear" w:color="auto" w:fill="auto"/>
          </w:tcPr>
          <w:p w14:paraId="5EA21DFC" w14:textId="77777777" w:rsidR="003C66EB" w:rsidRDefault="003C66EB">
            <w:pPr>
              <w:rPr>
                <w:rFonts w:ascii="宋体"/>
                <w:vanish/>
              </w:rPr>
            </w:pPr>
          </w:p>
        </w:tc>
        <w:tc>
          <w:tcPr>
            <w:tcW w:w="0" w:type="auto"/>
            <w:gridSpan w:val="3"/>
            <w:shd w:val="clear" w:color="auto" w:fill="auto"/>
          </w:tcPr>
          <w:p w14:paraId="5EA21DFD" w14:textId="77777777" w:rsidR="003C66EB" w:rsidRDefault="003C66EB">
            <w:pPr>
              <w:rPr>
                <w:rFonts w:ascii="宋体"/>
                <w:vanish/>
              </w:rPr>
            </w:pPr>
          </w:p>
        </w:tc>
        <w:tc>
          <w:tcPr>
            <w:tcW w:w="0" w:type="auto"/>
            <w:shd w:val="clear" w:color="auto" w:fill="auto"/>
          </w:tcPr>
          <w:p w14:paraId="5EA21DFE" w14:textId="77777777" w:rsidR="003C66EB" w:rsidRDefault="003C66EB">
            <w:pPr>
              <w:rPr>
                <w:rFonts w:ascii="宋体"/>
                <w:vanish/>
              </w:rPr>
            </w:pPr>
          </w:p>
        </w:tc>
        <w:tc>
          <w:tcPr>
            <w:tcW w:w="0" w:type="auto"/>
            <w:shd w:val="clear" w:color="auto" w:fill="auto"/>
          </w:tcPr>
          <w:p w14:paraId="5EA21DFF" w14:textId="77777777" w:rsidR="003C66EB" w:rsidRDefault="003C66EB">
            <w:pPr>
              <w:rPr>
                <w:rFonts w:ascii="宋体"/>
                <w:vanish/>
              </w:rPr>
            </w:pPr>
          </w:p>
        </w:tc>
        <w:tc>
          <w:tcPr>
            <w:tcW w:w="0" w:type="auto"/>
            <w:gridSpan w:val="3"/>
            <w:shd w:val="clear" w:color="auto" w:fill="auto"/>
          </w:tcPr>
          <w:p w14:paraId="5EA21E00" w14:textId="77777777" w:rsidR="003C66EB" w:rsidRDefault="003C66EB">
            <w:pPr>
              <w:rPr>
                <w:rFonts w:ascii="宋体"/>
                <w:vanish/>
              </w:rPr>
            </w:pPr>
          </w:p>
        </w:tc>
        <w:tc>
          <w:tcPr>
            <w:tcW w:w="0" w:type="auto"/>
            <w:gridSpan w:val="3"/>
            <w:shd w:val="clear" w:color="auto" w:fill="auto"/>
          </w:tcPr>
          <w:p w14:paraId="5EA21E01" w14:textId="77777777" w:rsidR="003C66EB" w:rsidRDefault="003C66EB">
            <w:pPr>
              <w:rPr>
                <w:rFonts w:ascii="宋体"/>
                <w:vanish/>
              </w:rPr>
            </w:pPr>
          </w:p>
        </w:tc>
        <w:tc>
          <w:tcPr>
            <w:tcW w:w="0" w:type="auto"/>
            <w:gridSpan w:val="3"/>
            <w:shd w:val="clear" w:color="auto" w:fill="auto"/>
          </w:tcPr>
          <w:p w14:paraId="5EA21E02" w14:textId="77777777" w:rsidR="003C66EB" w:rsidRDefault="003C66EB">
            <w:pPr>
              <w:rPr>
                <w:rFonts w:ascii="宋体"/>
                <w:vanish/>
              </w:rPr>
            </w:pPr>
          </w:p>
        </w:tc>
        <w:tc>
          <w:tcPr>
            <w:tcW w:w="0" w:type="auto"/>
            <w:gridSpan w:val="3"/>
            <w:shd w:val="clear" w:color="auto" w:fill="auto"/>
          </w:tcPr>
          <w:p w14:paraId="5EA21E03" w14:textId="77777777" w:rsidR="003C66EB" w:rsidRDefault="003C66EB">
            <w:pPr>
              <w:rPr>
                <w:rFonts w:ascii="宋体"/>
                <w:vanish/>
              </w:rPr>
            </w:pPr>
          </w:p>
        </w:tc>
      </w:tr>
      <w:tr w:rsidR="003C66EB" w14:paraId="5EA21E0F" w14:textId="77777777">
        <w:trPr>
          <w:hidden/>
        </w:trPr>
        <w:tc>
          <w:tcPr>
            <w:tcW w:w="0" w:type="auto"/>
            <w:gridSpan w:val="3"/>
            <w:shd w:val="clear" w:color="auto" w:fill="auto"/>
          </w:tcPr>
          <w:p w14:paraId="5EA21E05" w14:textId="77777777" w:rsidR="003C66EB" w:rsidRDefault="003C66EB">
            <w:pPr>
              <w:rPr>
                <w:rFonts w:ascii="宋体"/>
                <w:vanish/>
              </w:rPr>
            </w:pPr>
          </w:p>
        </w:tc>
        <w:tc>
          <w:tcPr>
            <w:tcW w:w="0" w:type="auto"/>
            <w:gridSpan w:val="3"/>
            <w:shd w:val="clear" w:color="auto" w:fill="auto"/>
          </w:tcPr>
          <w:p w14:paraId="5EA21E06" w14:textId="77777777" w:rsidR="003C66EB" w:rsidRDefault="003C66EB">
            <w:pPr>
              <w:rPr>
                <w:rFonts w:ascii="宋体"/>
                <w:vanish/>
              </w:rPr>
            </w:pPr>
          </w:p>
        </w:tc>
        <w:tc>
          <w:tcPr>
            <w:tcW w:w="0" w:type="auto"/>
            <w:gridSpan w:val="3"/>
            <w:shd w:val="clear" w:color="auto" w:fill="auto"/>
          </w:tcPr>
          <w:p w14:paraId="5EA21E07" w14:textId="77777777" w:rsidR="003C66EB" w:rsidRDefault="003C66EB">
            <w:pPr>
              <w:rPr>
                <w:rFonts w:ascii="宋体"/>
                <w:vanish/>
              </w:rPr>
            </w:pPr>
          </w:p>
        </w:tc>
        <w:tc>
          <w:tcPr>
            <w:tcW w:w="0" w:type="auto"/>
            <w:gridSpan w:val="3"/>
            <w:shd w:val="clear" w:color="auto" w:fill="auto"/>
          </w:tcPr>
          <w:p w14:paraId="5EA21E08" w14:textId="77777777" w:rsidR="003C66EB" w:rsidRDefault="003C66EB">
            <w:pPr>
              <w:rPr>
                <w:rFonts w:ascii="宋体"/>
                <w:vanish/>
              </w:rPr>
            </w:pPr>
          </w:p>
        </w:tc>
        <w:tc>
          <w:tcPr>
            <w:tcW w:w="0" w:type="auto"/>
            <w:shd w:val="clear" w:color="auto" w:fill="auto"/>
          </w:tcPr>
          <w:p w14:paraId="5EA21E09" w14:textId="77777777" w:rsidR="003C66EB" w:rsidRDefault="003C66EB">
            <w:pPr>
              <w:rPr>
                <w:rFonts w:ascii="宋体"/>
                <w:vanish/>
              </w:rPr>
            </w:pPr>
          </w:p>
        </w:tc>
        <w:tc>
          <w:tcPr>
            <w:tcW w:w="0" w:type="auto"/>
            <w:shd w:val="clear" w:color="auto" w:fill="auto"/>
          </w:tcPr>
          <w:p w14:paraId="5EA21E0A" w14:textId="77777777" w:rsidR="003C66EB" w:rsidRDefault="003C66EB">
            <w:pPr>
              <w:rPr>
                <w:rFonts w:ascii="宋体"/>
                <w:vanish/>
              </w:rPr>
            </w:pPr>
          </w:p>
        </w:tc>
        <w:tc>
          <w:tcPr>
            <w:tcW w:w="0" w:type="auto"/>
            <w:gridSpan w:val="3"/>
            <w:shd w:val="clear" w:color="auto" w:fill="auto"/>
          </w:tcPr>
          <w:p w14:paraId="5EA21E0B" w14:textId="77777777" w:rsidR="003C66EB" w:rsidRDefault="003C66EB">
            <w:pPr>
              <w:rPr>
                <w:rFonts w:ascii="宋体"/>
                <w:vanish/>
              </w:rPr>
            </w:pPr>
          </w:p>
        </w:tc>
        <w:tc>
          <w:tcPr>
            <w:tcW w:w="0" w:type="auto"/>
            <w:gridSpan w:val="3"/>
            <w:shd w:val="clear" w:color="auto" w:fill="auto"/>
          </w:tcPr>
          <w:p w14:paraId="5EA21E0C" w14:textId="77777777" w:rsidR="003C66EB" w:rsidRDefault="003C66EB">
            <w:pPr>
              <w:rPr>
                <w:rFonts w:ascii="宋体"/>
                <w:vanish/>
              </w:rPr>
            </w:pPr>
          </w:p>
        </w:tc>
        <w:tc>
          <w:tcPr>
            <w:tcW w:w="0" w:type="auto"/>
            <w:gridSpan w:val="3"/>
            <w:shd w:val="clear" w:color="auto" w:fill="auto"/>
          </w:tcPr>
          <w:p w14:paraId="5EA21E0D" w14:textId="77777777" w:rsidR="003C66EB" w:rsidRDefault="003C66EB">
            <w:pPr>
              <w:rPr>
                <w:rFonts w:ascii="宋体"/>
                <w:vanish/>
              </w:rPr>
            </w:pPr>
          </w:p>
        </w:tc>
        <w:tc>
          <w:tcPr>
            <w:tcW w:w="0" w:type="auto"/>
            <w:gridSpan w:val="3"/>
            <w:shd w:val="clear" w:color="auto" w:fill="auto"/>
          </w:tcPr>
          <w:p w14:paraId="5EA21E0E" w14:textId="77777777" w:rsidR="003C66EB" w:rsidRDefault="003C66EB">
            <w:pPr>
              <w:rPr>
                <w:rFonts w:ascii="宋体"/>
                <w:vanish/>
              </w:rPr>
            </w:pPr>
          </w:p>
        </w:tc>
      </w:tr>
    </w:tbl>
    <w:p w14:paraId="5EA21E10" w14:textId="77777777" w:rsidR="003C66EB" w:rsidRDefault="003C66EB">
      <w:pPr>
        <w:spacing w:before="90"/>
      </w:pPr>
    </w:p>
    <w:p w14:paraId="5EA21E11" w14:textId="77777777" w:rsidR="003C66EB" w:rsidRDefault="003C66EB">
      <w:pPr>
        <w:spacing w:before="90"/>
      </w:pPr>
    </w:p>
    <w:p w14:paraId="5EA21E12" w14:textId="77777777" w:rsidR="003C66EB" w:rsidRDefault="003C66EB">
      <w:pPr>
        <w:spacing w:before="90"/>
      </w:pPr>
    </w:p>
    <w:p w14:paraId="5EA21E13" w14:textId="77777777" w:rsidR="003C66EB" w:rsidRDefault="003C66EB">
      <w:pPr>
        <w:spacing w:before="90"/>
      </w:pPr>
    </w:p>
    <w:p w14:paraId="5EA21E14" w14:textId="77777777" w:rsidR="003C66EB" w:rsidRDefault="003C66EB">
      <w:pPr>
        <w:spacing w:before="90"/>
      </w:pPr>
    </w:p>
    <w:p w14:paraId="5EA21E15" w14:textId="77777777" w:rsidR="003C66EB" w:rsidRDefault="003C66EB">
      <w:pPr>
        <w:spacing w:before="90"/>
      </w:pPr>
    </w:p>
    <w:p w14:paraId="5EA21E16" w14:textId="77777777" w:rsidR="003C66EB" w:rsidRDefault="003C66EB">
      <w:pPr>
        <w:spacing w:before="90"/>
      </w:pPr>
    </w:p>
    <w:p w14:paraId="5EA21E17" w14:textId="77777777" w:rsidR="003C66EB" w:rsidRDefault="003C66EB">
      <w:pPr>
        <w:spacing w:before="90"/>
      </w:pPr>
    </w:p>
    <w:p w14:paraId="5EA21E18" w14:textId="77777777" w:rsidR="003C66EB" w:rsidRDefault="00D96C4E">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A21E19" w14:textId="77777777" w:rsidR="003C66EB" w:rsidRDefault="00D96C4E">
      <w:pPr>
        <w:ind w:firstLine="450"/>
        <w:jc w:val="right"/>
      </w:pPr>
      <w:r>
        <w:rPr>
          <w:rFonts w:ascii="Arial" w:eastAsia="宋体" w:hAnsi="Arial" w:cs="Arial"/>
          <w:color w:val="000000"/>
          <w:sz w:val="18"/>
          <w:szCs w:val="18"/>
        </w:rPr>
        <w:t>State Street Corporation | 48</w:t>
      </w:r>
    </w:p>
    <w:p w14:paraId="5EA21E1A" w14:textId="77777777" w:rsidR="003C66EB" w:rsidRDefault="003C66EB">
      <w:pPr>
        <w:ind w:firstLine="450"/>
        <w:jc w:val="center"/>
      </w:pPr>
    </w:p>
    <w:p w14:paraId="5EA21E1B" w14:textId="77777777" w:rsidR="003C66EB" w:rsidRDefault="00D96C4E">
      <w:r>
        <w:pict w14:anchorId="5EA287E0">
          <v:rect id="_x0000_i1072" style="width:415.3pt;height:1.5pt" o:hralign="center" o:hrstd="t" o:hr="t" fillcolor="#a0a0a0" stroked="f"/>
        </w:pict>
      </w:r>
    </w:p>
    <w:p w14:paraId="5EA21E1C" w14:textId="77777777" w:rsidR="003C66EB" w:rsidRDefault="003C66EB">
      <w:pPr>
        <w:ind w:firstLine="450"/>
      </w:pPr>
    </w:p>
    <w:p w14:paraId="5EA21E1D" w14:textId="77777777" w:rsidR="003C66EB" w:rsidRDefault="003C66EB">
      <w:pPr>
        <w:ind w:firstLine="450"/>
        <w:jc w:val="center"/>
      </w:pPr>
    </w:p>
    <w:p w14:paraId="5EA21E1E" w14:textId="77777777" w:rsidR="003C66EB" w:rsidRDefault="00D96C4E">
      <w:pPr>
        <w:ind w:firstLine="450"/>
        <w:jc w:val="center"/>
      </w:pPr>
      <w:r>
        <w:rPr>
          <w:rFonts w:ascii="Arial" w:eastAsia="宋体" w:hAnsi="Arial" w:cs="Arial"/>
          <w:b/>
          <w:bCs/>
          <w:color w:val="000000"/>
          <w:sz w:val="20"/>
          <w:szCs w:val="20"/>
        </w:rPr>
        <w:t>STATE STREET CORPORATION</w:t>
      </w:r>
    </w:p>
    <w:p w14:paraId="5EA21E1F" w14:textId="77777777" w:rsidR="003C66EB" w:rsidRDefault="00D96C4E">
      <w:pPr>
        <w:ind w:firstLine="450"/>
        <w:jc w:val="center"/>
      </w:pPr>
      <w:r>
        <w:rPr>
          <w:rFonts w:ascii="Arial" w:eastAsia="宋体" w:hAnsi="Arial" w:cs="Arial"/>
          <w:b/>
          <w:bCs/>
          <w:color w:val="000000"/>
          <w:sz w:val="20"/>
          <w:szCs w:val="20"/>
        </w:rPr>
        <w:t>CONSOLIDATED STATEMENT OF COMPREHENSIVE INCOME(LOSS)</w:t>
      </w:r>
    </w:p>
    <w:p w14:paraId="5EA21E20"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58"/>
        <w:gridCol w:w="36"/>
        <w:gridCol w:w="121"/>
        <w:gridCol w:w="1101"/>
        <w:gridCol w:w="36"/>
        <w:gridCol w:w="36"/>
        <w:gridCol w:w="36"/>
        <w:gridCol w:w="36"/>
        <w:gridCol w:w="121"/>
        <w:gridCol w:w="1065"/>
        <w:gridCol w:w="36"/>
        <w:gridCol w:w="36"/>
        <w:gridCol w:w="36"/>
        <w:gridCol w:w="36"/>
        <w:gridCol w:w="36"/>
        <w:gridCol w:w="36"/>
        <w:gridCol w:w="36"/>
      </w:tblGrid>
      <w:tr w:rsidR="003C66EB" w14:paraId="5EA21E2F" w14:textId="77777777">
        <w:tc>
          <w:tcPr>
            <w:tcW w:w="50" w:type="pct"/>
            <w:shd w:val="clear" w:color="auto" w:fill="auto"/>
          </w:tcPr>
          <w:p w14:paraId="5EA21E21" w14:textId="77777777" w:rsidR="003C66EB" w:rsidRDefault="003C66EB">
            <w:pPr>
              <w:rPr>
                <w:rFonts w:ascii="宋体"/>
              </w:rPr>
            </w:pPr>
          </w:p>
        </w:tc>
        <w:tc>
          <w:tcPr>
            <w:tcW w:w="3387" w:type="pct"/>
            <w:shd w:val="clear" w:color="auto" w:fill="auto"/>
          </w:tcPr>
          <w:p w14:paraId="5EA21E22" w14:textId="77777777" w:rsidR="003C66EB" w:rsidRDefault="003C66EB">
            <w:pPr>
              <w:rPr>
                <w:rFonts w:ascii="宋体"/>
              </w:rPr>
            </w:pPr>
          </w:p>
        </w:tc>
        <w:tc>
          <w:tcPr>
            <w:tcW w:w="5" w:type="pct"/>
            <w:shd w:val="clear" w:color="auto" w:fill="auto"/>
          </w:tcPr>
          <w:p w14:paraId="5EA21E23" w14:textId="77777777" w:rsidR="003C66EB" w:rsidRDefault="003C66EB">
            <w:pPr>
              <w:rPr>
                <w:rFonts w:ascii="宋体"/>
              </w:rPr>
            </w:pPr>
          </w:p>
        </w:tc>
        <w:tc>
          <w:tcPr>
            <w:tcW w:w="50" w:type="pct"/>
            <w:shd w:val="clear" w:color="auto" w:fill="auto"/>
          </w:tcPr>
          <w:p w14:paraId="5EA21E24" w14:textId="77777777" w:rsidR="003C66EB" w:rsidRDefault="003C66EB">
            <w:pPr>
              <w:rPr>
                <w:rFonts w:ascii="宋体"/>
              </w:rPr>
            </w:pPr>
          </w:p>
        </w:tc>
        <w:tc>
          <w:tcPr>
            <w:tcW w:w="705" w:type="pct"/>
            <w:shd w:val="clear" w:color="auto" w:fill="auto"/>
          </w:tcPr>
          <w:p w14:paraId="5EA21E25" w14:textId="77777777" w:rsidR="003C66EB" w:rsidRDefault="003C66EB">
            <w:pPr>
              <w:rPr>
                <w:rFonts w:ascii="宋体"/>
              </w:rPr>
            </w:pPr>
          </w:p>
        </w:tc>
        <w:tc>
          <w:tcPr>
            <w:tcW w:w="5" w:type="pct"/>
            <w:shd w:val="clear" w:color="auto" w:fill="auto"/>
          </w:tcPr>
          <w:p w14:paraId="5EA21E26" w14:textId="77777777" w:rsidR="003C66EB" w:rsidRDefault="003C66EB">
            <w:pPr>
              <w:rPr>
                <w:rFonts w:ascii="宋体"/>
              </w:rPr>
            </w:pPr>
          </w:p>
        </w:tc>
        <w:tc>
          <w:tcPr>
            <w:tcW w:w="5" w:type="pct"/>
            <w:shd w:val="clear" w:color="auto" w:fill="auto"/>
          </w:tcPr>
          <w:p w14:paraId="5EA21E27" w14:textId="77777777" w:rsidR="003C66EB" w:rsidRDefault="003C66EB">
            <w:pPr>
              <w:rPr>
                <w:rFonts w:ascii="宋体"/>
              </w:rPr>
            </w:pPr>
          </w:p>
        </w:tc>
        <w:tc>
          <w:tcPr>
            <w:tcW w:w="26" w:type="pct"/>
            <w:shd w:val="clear" w:color="auto" w:fill="auto"/>
          </w:tcPr>
          <w:p w14:paraId="5EA21E28" w14:textId="77777777" w:rsidR="003C66EB" w:rsidRDefault="003C66EB">
            <w:pPr>
              <w:rPr>
                <w:rFonts w:ascii="宋体"/>
              </w:rPr>
            </w:pPr>
          </w:p>
        </w:tc>
        <w:tc>
          <w:tcPr>
            <w:tcW w:w="5" w:type="pct"/>
            <w:shd w:val="clear" w:color="auto" w:fill="auto"/>
          </w:tcPr>
          <w:p w14:paraId="5EA21E29" w14:textId="77777777" w:rsidR="003C66EB" w:rsidRDefault="003C66EB">
            <w:pPr>
              <w:rPr>
                <w:rFonts w:ascii="宋体"/>
              </w:rPr>
            </w:pPr>
          </w:p>
        </w:tc>
        <w:tc>
          <w:tcPr>
            <w:tcW w:w="50" w:type="pct"/>
            <w:shd w:val="clear" w:color="auto" w:fill="auto"/>
          </w:tcPr>
          <w:p w14:paraId="5EA21E2A" w14:textId="77777777" w:rsidR="003C66EB" w:rsidRDefault="003C66EB">
            <w:pPr>
              <w:rPr>
                <w:rFonts w:ascii="宋体"/>
              </w:rPr>
            </w:pPr>
          </w:p>
        </w:tc>
        <w:tc>
          <w:tcPr>
            <w:tcW w:w="705" w:type="pct"/>
            <w:shd w:val="clear" w:color="auto" w:fill="auto"/>
          </w:tcPr>
          <w:p w14:paraId="5EA21E2B" w14:textId="77777777" w:rsidR="003C66EB" w:rsidRDefault="003C66EB">
            <w:pPr>
              <w:rPr>
                <w:rFonts w:ascii="宋体"/>
              </w:rPr>
            </w:pPr>
          </w:p>
        </w:tc>
        <w:tc>
          <w:tcPr>
            <w:tcW w:w="5" w:type="pct"/>
            <w:shd w:val="clear" w:color="auto" w:fill="auto"/>
          </w:tcPr>
          <w:p w14:paraId="5EA21E2C" w14:textId="77777777" w:rsidR="003C66EB" w:rsidRDefault="003C66EB">
            <w:pPr>
              <w:rPr>
                <w:rFonts w:ascii="宋体"/>
              </w:rPr>
            </w:pPr>
          </w:p>
        </w:tc>
        <w:tc>
          <w:tcPr>
            <w:tcW w:w="0" w:type="auto"/>
            <w:gridSpan w:val="3"/>
            <w:shd w:val="clear" w:color="auto" w:fill="auto"/>
          </w:tcPr>
          <w:p w14:paraId="5EA21E2D" w14:textId="77777777" w:rsidR="003C66EB" w:rsidRDefault="003C66EB">
            <w:pPr>
              <w:rPr>
                <w:rFonts w:ascii="宋体"/>
                <w:vanish/>
              </w:rPr>
            </w:pPr>
          </w:p>
        </w:tc>
        <w:tc>
          <w:tcPr>
            <w:tcW w:w="0" w:type="auto"/>
            <w:gridSpan w:val="3"/>
            <w:shd w:val="clear" w:color="auto" w:fill="auto"/>
          </w:tcPr>
          <w:p w14:paraId="5EA21E2E" w14:textId="77777777" w:rsidR="003C66EB" w:rsidRDefault="003C66EB">
            <w:pPr>
              <w:rPr>
                <w:rFonts w:ascii="宋体"/>
                <w:vanish/>
              </w:rPr>
            </w:pPr>
          </w:p>
        </w:tc>
      </w:tr>
      <w:tr w:rsidR="003C66EB" w14:paraId="5EA21E38" w14:textId="77777777">
        <w:tc>
          <w:tcPr>
            <w:tcW w:w="0" w:type="auto"/>
            <w:gridSpan w:val="3"/>
            <w:shd w:val="clear" w:color="auto" w:fill="auto"/>
            <w:tcMar>
              <w:top w:w="0" w:type="dxa"/>
              <w:left w:w="20" w:type="dxa"/>
              <w:bottom w:w="0" w:type="dxa"/>
              <w:right w:w="20" w:type="dxa"/>
            </w:tcMar>
          </w:tcPr>
          <w:p w14:paraId="5EA21E30"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1E31" w14:textId="77777777" w:rsidR="003C66EB" w:rsidRDefault="00D96C4E">
            <w:pPr>
              <w:jc w:val="center"/>
              <w:textAlignment w:val="bottom"/>
            </w:pPr>
            <w:r>
              <w:rPr>
                <w:rFonts w:ascii="Arial" w:eastAsia="宋体" w:hAnsi="Arial" w:cs="Arial"/>
                <w:b/>
                <w:bCs/>
                <w:color w:val="000000"/>
                <w:sz w:val="18"/>
                <w:szCs w:val="18"/>
              </w:rPr>
              <w:t xml:space="preserve">Three </w:t>
            </w:r>
            <w:r>
              <w:rPr>
                <w:rFonts w:ascii="Arial" w:eastAsia="宋体" w:hAnsi="Arial" w:cs="Arial"/>
                <w:b/>
                <w:bCs/>
                <w:color w:val="000000"/>
                <w:sz w:val="18"/>
                <w:szCs w:val="18"/>
              </w:rPr>
              <w:t>Months Ended March 31,</w:t>
            </w:r>
          </w:p>
        </w:tc>
        <w:tc>
          <w:tcPr>
            <w:tcW w:w="0" w:type="auto"/>
            <w:shd w:val="clear" w:color="auto" w:fill="auto"/>
          </w:tcPr>
          <w:p w14:paraId="5EA21E32" w14:textId="77777777" w:rsidR="003C66EB" w:rsidRDefault="003C66EB">
            <w:pPr>
              <w:rPr>
                <w:rFonts w:ascii="宋体"/>
              </w:rPr>
            </w:pPr>
          </w:p>
        </w:tc>
        <w:tc>
          <w:tcPr>
            <w:tcW w:w="0" w:type="auto"/>
            <w:shd w:val="clear" w:color="auto" w:fill="auto"/>
          </w:tcPr>
          <w:p w14:paraId="5EA21E33" w14:textId="77777777" w:rsidR="003C66EB" w:rsidRDefault="003C66EB">
            <w:pPr>
              <w:rPr>
                <w:rFonts w:ascii="宋体"/>
              </w:rPr>
            </w:pPr>
          </w:p>
        </w:tc>
        <w:tc>
          <w:tcPr>
            <w:tcW w:w="0" w:type="auto"/>
            <w:shd w:val="clear" w:color="auto" w:fill="auto"/>
          </w:tcPr>
          <w:p w14:paraId="5EA21E34" w14:textId="77777777" w:rsidR="003C66EB" w:rsidRDefault="003C66EB">
            <w:pPr>
              <w:rPr>
                <w:rFonts w:ascii="宋体"/>
              </w:rPr>
            </w:pPr>
          </w:p>
        </w:tc>
        <w:tc>
          <w:tcPr>
            <w:tcW w:w="0" w:type="auto"/>
            <w:shd w:val="clear" w:color="auto" w:fill="auto"/>
          </w:tcPr>
          <w:p w14:paraId="5EA21E35" w14:textId="77777777" w:rsidR="003C66EB" w:rsidRDefault="003C66EB">
            <w:pPr>
              <w:rPr>
                <w:rFonts w:ascii="宋体"/>
              </w:rPr>
            </w:pPr>
          </w:p>
        </w:tc>
        <w:tc>
          <w:tcPr>
            <w:tcW w:w="0" w:type="auto"/>
            <w:shd w:val="clear" w:color="auto" w:fill="auto"/>
          </w:tcPr>
          <w:p w14:paraId="5EA21E36" w14:textId="77777777" w:rsidR="003C66EB" w:rsidRDefault="003C66EB">
            <w:pPr>
              <w:rPr>
                <w:rFonts w:ascii="宋体"/>
              </w:rPr>
            </w:pPr>
          </w:p>
        </w:tc>
        <w:tc>
          <w:tcPr>
            <w:tcW w:w="0" w:type="auto"/>
            <w:shd w:val="clear" w:color="auto" w:fill="auto"/>
          </w:tcPr>
          <w:p w14:paraId="5EA21E37" w14:textId="77777777" w:rsidR="003C66EB" w:rsidRDefault="003C66EB">
            <w:pPr>
              <w:rPr>
                <w:rFonts w:ascii="宋体"/>
              </w:rPr>
            </w:pPr>
          </w:p>
        </w:tc>
      </w:tr>
      <w:tr w:rsidR="003C66EB" w14:paraId="5EA21E3F" w14:textId="77777777">
        <w:tc>
          <w:tcPr>
            <w:tcW w:w="0" w:type="auto"/>
            <w:gridSpan w:val="3"/>
            <w:shd w:val="clear" w:color="auto" w:fill="auto"/>
            <w:tcMar>
              <w:top w:w="40" w:type="dxa"/>
              <w:left w:w="20" w:type="dxa"/>
              <w:bottom w:w="40" w:type="dxa"/>
              <w:right w:w="20" w:type="dxa"/>
            </w:tcMar>
            <w:vAlign w:val="bottom"/>
          </w:tcPr>
          <w:p w14:paraId="5EA21E39" w14:textId="77777777" w:rsidR="003C66EB" w:rsidRDefault="00D96C4E">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E3A" w14:textId="77777777" w:rsidR="003C66EB" w:rsidRDefault="00D96C4E">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1E3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E3C" w14:textId="77777777" w:rsidR="003C66EB" w:rsidRDefault="00D96C4E">
            <w:pPr>
              <w:jc w:val="center"/>
              <w:textAlignment w:val="bottom"/>
            </w:pPr>
            <w:r>
              <w:rPr>
                <w:rFonts w:ascii="Arial" w:eastAsia="宋体" w:hAnsi="Arial" w:cs="Arial"/>
                <w:b/>
                <w:bCs/>
                <w:color w:val="000000"/>
                <w:sz w:val="18"/>
                <w:szCs w:val="18"/>
              </w:rPr>
              <w:t>2020</w:t>
            </w:r>
          </w:p>
        </w:tc>
        <w:tc>
          <w:tcPr>
            <w:tcW w:w="0" w:type="auto"/>
            <w:gridSpan w:val="3"/>
            <w:shd w:val="clear" w:color="auto" w:fill="auto"/>
          </w:tcPr>
          <w:p w14:paraId="5EA21E3D" w14:textId="77777777" w:rsidR="003C66EB" w:rsidRDefault="003C66EB">
            <w:pPr>
              <w:rPr>
                <w:rFonts w:ascii="宋体"/>
                <w:vanish/>
              </w:rPr>
            </w:pPr>
          </w:p>
        </w:tc>
        <w:tc>
          <w:tcPr>
            <w:tcW w:w="0" w:type="auto"/>
            <w:gridSpan w:val="3"/>
            <w:shd w:val="clear" w:color="auto" w:fill="auto"/>
          </w:tcPr>
          <w:p w14:paraId="5EA21E3E" w14:textId="77777777" w:rsidR="003C66EB" w:rsidRDefault="003C66EB">
            <w:pPr>
              <w:rPr>
                <w:rFonts w:ascii="宋体"/>
                <w:vanish/>
              </w:rPr>
            </w:pPr>
          </w:p>
        </w:tc>
      </w:tr>
      <w:tr w:rsidR="003C66EB" w14:paraId="5EA21E4A" w14:textId="77777777">
        <w:tc>
          <w:tcPr>
            <w:tcW w:w="0" w:type="auto"/>
            <w:gridSpan w:val="3"/>
            <w:shd w:val="clear" w:color="auto" w:fill="CCEEFF"/>
            <w:tcMar>
              <w:top w:w="40" w:type="dxa"/>
              <w:left w:w="20" w:type="dxa"/>
              <w:bottom w:w="40" w:type="dxa"/>
              <w:right w:w="20" w:type="dxa"/>
            </w:tcMar>
            <w:vAlign w:val="bottom"/>
          </w:tcPr>
          <w:p w14:paraId="5EA21E40" w14:textId="77777777" w:rsidR="003C66EB" w:rsidRDefault="00D96C4E">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1E41" w14:textId="77777777" w:rsidR="003C66EB" w:rsidRDefault="00D96C4E">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E42" w14:textId="77777777" w:rsidR="003C66EB" w:rsidRDefault="00D96C4E">
            <w:pPr>
              <w:jc w:val="right"/>
              <w:textAlignment w:val="bottom"/>
            </w:pPr>
            <w:r>
              <w:rPr>
                <w:rFonts w:ascii="Arial" w:eastAsia="宋体" w:hAnsi="Arial" w:cs="Arial"/>
                <w:b/>
                <w:bCs/>
                <w:color w:val="000000"/>
                <w:sz w:val="18"/>
                <w:szCs w:val="18"/>
              </w:rPr>
              <w:t>519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E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E4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1E45" w14:textId="77777777" w:rsidR="003C66EB" w:rsidRDefault="00D96C4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1E46" w14:textId="77777777" w:rsidR="003C66EB" w:rsidRDefault="00D96C4E">
            <w:pPr>
              <w:jc w:val="right"/>
              <w:textAlignment w:val="bottom"/>
            </w:pPr>
            <w:r>
              <w:rPr>
                <w:rFonts w:ascii="Arial" w:eastAsia="宋体" w:hAnsi="Arial" w:cs="Arial"/>
                <w:color w:val="000000"/>
                <w:sz w:val="18"/>
                <w:szCs w:val="18"/>
              </w:rPr>
              <w:t>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1E47" w14:textId="77777777" w:rsidR="003C66EB" w:rsidRDefault="003C66EB">
            <w:pPr>
              <w:jc w:val="right"/>
              <w:rPr>
                <w:rFonts w:ascii="宋体"/>
              </w:rPr>
            </w:pPr>
          </w:p>
        </w:tc>
        <w:tc>
          <w:tcPr>
            <w:tcW w:w="0" w:type="auto"/>
            <w:gridSpan w:val="3"/>
            <w:shd w:val="clear" w:color="auto" w:fill="auto"/>
          </w:tcPr>
          <w:p w14:paraId="5EA21E48" w14:textId="77777777" w:rsidR="003C66EB" w:rsidRDefault="003C66EB">
            <w:pPr>
              <w:rPr>
                <w:rFonts w:ascii="宋体"/>
                <w:vanish/>
              </w:rPr>
            </w:pPr>
          </w:p>
        </w:tc>
        <w:tc>
          <w:tcPr>
            <w:tcW w:w="0" w:type="auto"/>
            <w:gridSpan w:val="3"/>
            <w:shd w:val="clear" w:color="auto" w:fill="auto"/>
          </w:tcPr>
          <w:p w14:paraId="5EA21E49" w14:textId="77777777" w:rsidR="003C66EB" w:rsidRDefault="003C66EB">
            <w:pPr>
              <w:rPr>
                <w:rFonts w:ascii="宋体"/>
                <w:vanish/>
              </w:rPr>
            </w:pPr>
          </w:p>
        </w:tc>
      </w:tr>
      <w:tr w:rsidR="003C66EB" w14:paraId="5EA21E51" w14:textId="77777777">
        <w:tc>
          <w:tcPr>
            <w:tcW w:w="0" w:type="auto"/>
            <w:gridSpan w:val="3"/>
            <w:shd w:val="clear" w:color="auto" w:fill="FFFFFF"/>
            <w:tcMar>
              <w:top w:w="40" w:type="dxa"/>
              <w:left w:w="20" w:type="dxa"/>
              <w:bottom w:w="40" w:type="dxa"/>
              <w:right w:w="20" w:type="dxa"/>
            </w:tcMar>
            <w:vAlign w:val="bottom"/>
          </w:tcPr>
          <w:p w14:paraId="5EA21E4B" w14:textId="77777777" w:rsidR="003C66EB" w:rsidRDefault="00D96C4E">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tcPr>
          <w:p w14:paraId="5EA21E4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E4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E4E" w14:textId="77777777" w:rsidR="003C66EB" w:rsidRDefault="003C66EB">
            <w:pPr>
              <w:rPr>
                <w:rFonts w:ascii="宋体"/>
              </w:rPr>
            </w:pPr>
          </w:p>
        </w:tc>
        <w:tc>
          <w:tcPr>
            <w:tcW w:w="0" w:type="auto"/>
            <w:gridSpan w:val="3"/>
            <w:shd w:val="clear" w:color="auto" w:fill="auto"/>
          </w:tcPr>
          <w:p w14:paraId="5EA21E4F" w14:textId="77777777" w:rsidR="003C66EB" w:rsidRDefault="003C66EB">
            <w:pPr>
              <w:rPr>
                <w:rFonts w:ascii="宋体"/>
                <w:vanish/>
              </w:rPr>
            </w:pPr>
          </w:p>
        </w:tc>
        <w:tc>
          <w:tcPr>
            <w:tcW w:w="0" w:type="auto"/>
            <w:gridSpan w:val="3"/>
            <w:shd w:val="clear" w:color="auto" w:fill="auto"/>
          </w:tcPr>
          <w:p w14:paraId="5EA21E50" w14:textId="77777777" w:rsidR="003C66EB" w:rsidRDefault="003C66EB">
            <w:pPr>
              <w:rPr>
                <w:rFonts w:ascii="宋体"/>
                <w:vanish/>
              </w:rPr>
            </w:pPr>
          </w:p>
        </w:tc>
      </w:tr>
      <w:tr w:rsidR="003C66EB" w14:paraId="5EA21E5A" w14:textId="77777777">
        <w:tc>
          <w:tcPr>
            <w:tcW w:w="0" w:type="auto"/>
            <w:gridSpan w:val="3"/>
            <w:shd w:val="clear" w:color="auto" w:fill="CCEEFF"/>
            <w:tcMar>
              <w:top w:w="40" w:type="dxa"/>
              <w:left w:w="20" w:type="dxa"/>
              <w:bottom w:w="40" w:type="dxa"/>
              <w:right w:w="20" w:type="dxa"/>
            </w:tcMar>
            <w:vAlign w:val="bottom"/>
          </w:tcPr>
          <w:p w14:paraId="5EA21E52" w14:textId="77777777" w:rsidR="003C66EB" w:rsidRDefault="00D96C4E">
            <w:pPr>
              <w:jc w:val="both"/>
              <w:textAlignment w:val="bottom"/>
            </w:pPr>
            <w:r>
              <w:rPr>
                <w:rFonts w:ascii="Arial" w:eastAsia="宋体" w:hAnsi="Arial" w:cs="Arial"/>
                <w:color w:val="000000"/>
                <w:sz w:val="18"/>
                <w:szCs w:val="18"/>
              </w:rPr>
              <w:t>Foreign currency translation, net of related taxes of $53 and ($10), respectively</w:t>
            </w:r>
          </w:p>
        </w:tc>
        <w:tc>
          <w:tcPr>
            <w:tcW w:w="0" w:type="auto"/>
            <w:gridSpan w:val="2"/>
            <w:shd w:val="clear" w:color="auto" w:fill="CCEEFF"/>
            <w:tcMar>
              <w:top w:w="40" w:type="dxa"/>
              <w:left w:w="20" w:type="dxa"/>
              <w:bottom w:w="40" w:type="dxa"/>
              <w:right w:w="0" w:type="dxa"/>
            </w:tcMar>
            <w:vAlign w:val="bottom"/>
          </w:tcPr>
          <w:p w14:paraId="5EA21E53" w14:textId="77777777" w:rsidR="003C66EB" w:rsidRDefault="00D96C4E">
            <w:pPr>
              <w:jc w:val="right"/>
              <w:textAlignment w:val="bottom"/>
            </w:pPr>
            <w:r>
              <w:rPr>
                <w:rFonts w:ascii="Arial" w:eastAsia="宋体" w:hAnsi="Arial" w:cs="Arial"/>
                <w:b/>
                <w:bCs/>
                <w:color w:val="000000"/>
                <w:sz w:val="18"/>
                <w:szCs w:val="18"/>
              </w:rPr>
              <w:t>(200)</w:t>
            </w:r>
          </w:p>
        </w:tc>
        <w:tc>
          <w:tcPr>
            <w:tcW w:w="0" w:type="auto"/>
            <w:shd w:val="clear" w:color="auto" w:fill="CCEEFF"/>
            <w:tcMar>
              <w:top w:w="40" w:type="dxa"/>
              <w:left w:w="0" w:type="dxa"/>
              <w:bottom w:w="40" w:type="dxa"/>
              <w:right w:w="20" w:type="dxa"/>
            </w:tcMar>
            <w:vAlign w:val="bottom"/>
          </w:tcPr>
          <w:p w14:paraId="5EA21E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E5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E56" w14:textId="77777777" w:rsidR="003C66EB" w:rsidRDefault="00D96C4E">
            <w:pPr>
              <w:jc w:val="right"/>
              <w:textAlignment w:val="bottom"/>
            </w:pPr>
            <w:r>
              <w:rPr>
                <w:rFonts w:ascii="Arial" w:eastAsia="宋体" w:hAnsi="Arial" w:cs="Arial"/>
                <w:color w:val="000000"/>
                <w:sz w:val="18"/>
                <w:szCs w:val="18"/>
              </w:rPr>
              <w:t>(300)</w:t>
            </w:r>
          </w:p>
        </w:tc>
        <w:tc>
          <w:tcPr>
            <w:tcW w:w="0" w:type="auto"/>
            <w:shd w:val="clear" w:color="auto" w:fill="CCEEFF"/>
            <w:tcMar>
              <w:top w:w="40" w:type="dxa"/>
              <w:left w:w="0" w:type="dxa"/>
              <w:bottom w:w="40" w:type="dxa"/>
              <w:right w:w="20" w:type="dxa"/>
            </w:tcMar>
            <w:vAlign w:val="bottom"/>
          </w:tcPr>
          <w:p w14:paraId="5EA21E57" w14:textId="77777777" w:rsidR="003C66EB" w:rsidRDefault="003C66EB">
            <w:pPr>
              <w:jc w:val="right"/>
              <w:rPr>
                <w:rFonts w:ascii="宋体"/>
              </w:rPr>
            </w:pPr>
          </w:p>
        </w:tc>
        <w:tc>
          <w:tcPr>
            <w:tcW w:w="0" w:type="auto"/>
            <w:gridSpan w:val="3"/>
            <w:shd w:val="clear" w:color="auto" w:fill="auto"/>
          </w:tcPr>
          <w:p w14:paraId="5EA21E58" w14:textId="77777777" w:rsidR="003C66EB" w:rsidRDefault="003C66EB">
            <w:pPr>
              <w:rPr>
                <w:rFonts w:ascii="宋体"/>
                <w:vanish/>
              </w:rPr>
            </w:pPr>
          </w:p>
        </w:tc>
        <w:tc>
          <w:tcPr>
            <w:tcW w:w="0" w:type="auto"/>
            <w:gridSpan w:val="3"/>
            <w:shd w:val="clear" w:color="auto" w:fill="auto"/>
          </w:tcPr>
          <w:p w14:paraId="5EA21E59" w14:textId="77777777" w:rsidR="003C66EB" w:rsidRDefault="003C66EB">
            <w:pPr>
              <w:rPr>
                <w:rFonts w:ascii="宋体"/>
                <w:vanish/>
              </w:rPr>
            </w:pPr>
          </w:p>
        </w:tc>
      </w:tr>
      <w:tr w:rsidR="003C66EB" w14:paraId="5EA21E63" w14:textId="77777777">
        <w:tc>
          <w:tcPr>
            <w:tcW w:w="0" w:type="auto"/>
            <w:gridSpan w:val="3"/>
            <w:shd w:val="clear" w:color="auto" w:fill="FFFFFF"/>
            <w:tcMar>
              <w:top w:w="40" w:type="dxa"/>
              <w:left w:w="20" w:type="dxa"/>
              <w:bottom w:w="40" w:type="dxa"/>
              <w:right w:w="20" w:type="dxa"/>
            </w:tcMar>
            <w:vAlign w:val="bottom"/>
          </w:tcPr>
          <w:p w14:paraId="5EA21E5B" w14:textId="77777777" w:rsidR="003C66EB" w:rsidRDefault="00D96C4E">
            <w:pPr>
              <w:jc w:val="both"/>
              <w:textAlignment w:val="bottom"/>
            </w:pPr>
            <w:r>
              <w:rPr>
                <w:rFonts w:ascii="Arial" w:eastAsia="宋体" w:hAnsi="Arial" w:cs="Arial"/>
                <w:color w:val="000000"/>
                <w:sz w:val="18"/>
                <w:szCs w:val="18"/>
              </w:rPr>
              <w:t>Net unrealized gains (losses) on available-for-sale securities, net of reclassification adjustment and net of related taxes of ($161) and $35, respectively</w:t>
            </w:r>
          </w:p>
        </w:tc>
        <w:tc>
          <w:tcPr>
            <w:tcW w:w="0" w:type="auto"/>
            <w:gridSpan w:val="2"/>
            <w:shd w:val="clear" w:color="auto" w:fill="FFFFFF"/>
            <w:tcMar>
              <w:top w:w="40" w:type="dxa"/>
              <w:left w:w="20" w:type="dxa"/>
              <w:bottom w:w="40" w:type="dxa"/>
              <w:right w:w="0" w:type="dxa"/>
            </w:tcMar>
            <w:vAlign w:val="bottom"/>
          </w:tcPr>
          <w:p w14:paraId="5EA21E5C" w14:textId="77777777" w:rsidR="003C66EB" w:rsidRDefault="00D96C4E">
            <w:pPr>
              <w:jc w:val="right"/>
              <w:textAlignment w:val="bottom"/>
            </w:pPr>
            <w:r>
              <w:rPr>
                <w:rFonts w:ascii="Arial" w:eastAsia="宋体" w:hAnsi="Arial" w:cs="Arial"/>
                <w:b/>
                <w:bCs/>
                <w:color w:val="000000"/>
                <w:sz w:val="18"/>
                <w:szCs w:val="18"/>
              </w:rPr>
              <w:t>(425)</w:t>
            </w:r>
          </w:p>
        </w:tc>
        <w:tc>
          <w:tcPr>
            <w:tcW w:w="0" w:type="auto"/>
            <w:shd w:val="clear" w:color="auto" w:fill="FFFFFF"/>
            <w:tcMar>
              <w:top w:w="40" w:type="dxa"/>
              <w:left w:w="0" w:type="dxa"/>
              <w:bottom w:w="40" w:type="dxa"/>
              <w:right w:w="20" w:type="dxa"/>
            </w:tcMar>
            <w:vAlign w:val="bottom"/>
          </w:tcPr>
          <w:p w14:paraId="5EA21E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E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E5F" w14:textId="77777777" w:rsidR="003C66EB" w:rsidRDefault="00D96C4E">
            <w:pPr>
              <w:jc w:val="right"/>
              <w:textAlignment w:val="bottom"/>
            </w:pPr>
            <w:r>
              <w:rPr>
                <w:rFonts w:ascii="Arial" w:eastAsia="宋体" w:hAnsi="Arial" w:cs="Arial"/>
                <w:color w:val="000000"/>
                <w:sz w:val="18"/>
                <w:szCs w:val="18"/>
              </w:rPr>
              <w:t>134 </w:t>
            </w:r>
          </w:p>
        </w:tc>
        <w:tc>
          <w:tcPr>
            <w:tcW w:w="0" w:type="auto"/>
            <w:shd w:val="clear" w:color="auto" w:fill="FFFFFF"/>
            <w:tcMar>
              <w:top w:w="40" w:type="dxa"/>
              <w:left w:w="0" w:type="dxa"/>
              <w:bottom w:w="40" w:type="dxa"/>
              <w:right w:w="20" w:type="dxa"/>
            </w:tcMar>
            <w:vAlign w:val="bottom"/>
          </w:tcPr>
          <w:p w14:paraId="5EA21E60" w14:textId="77777777" w:rsidR="003C66EB" w:rsidRDefault="003C66EB">
            <w:pPr>
              <w:jc w:val="right"/>
              <w:rPr>
                <w:rFonts w:ascii="宋体"/>
              </w:rPr>
            </w:pPr>
          </w:p>
        </w:tc>
        <w:tc>
          <w:tcPr>
            <w:tcW w:w="0" w:type="auto"/>
            <w:gridSpan w:val="3"/>
            <w:shd w:val="clear" w:color="auto" w:fill="auto"/>
          </w:tcPr>
          <w:p w14:paraId="5EA21E61" w14:textId="77777777" w:rsidR="003C66EB" w:rsidRDefault="003C66EB">
            <w:pPr>
              <w:rPr>
                <w:rFonts w:ascii="宋体"/>
                <w:vanish/>
              </w:rPr>
            </w:pPr>
          </w:p>
        </w:tc>
        <w:tc>
          <w:tcPr>
            <w:tcW w:w="0" w:type="auto"/>
            <w:gridSpan w:val="3"/>
            <w:shd w:val="clear" w:color="auto" w:fill="auto"/>
          </w:tcPr>
          <w:p w14:paraId="5EA21E62" w14:textId="77777777" w:rsidR="003C66EB" w:rsidRDefault="003C66EB">
            <w:pPr>
              <w:rPr>
                <w:rFonts w:ascii="宋体"/>
                <w:vanish/>
              </w:rPr>
            </w:pPr>
          </w:p>
        </w:tc>
      </w:tr>
      <w:tr w:rsidR="003C66EB" w14:paraId="5EA21E6C" w14:textId="77777777">
        <w:tc>
          <w:tcPr>
            <w:tcW w:w="0" w:type="auto"/>
            <w:gridSpan w:val="3"/>
            <w:shd w:val="clear" w:color="auto" w:fill="CCEEFF"/>
            <w:tcMar>
              <w:top w:w="40" w:type="dxa"/>
              <w:left w:w="20" w:type="dxa"/>
              <w:bottom w:w="40" w:type="dxa"/>
              <w:right w:w="20" w:type="dxa"/>
            </w:tcMar>
            <w:vAlign w:val="bottom"/>
          </w:tcPr>
          <w:p w14:paraId="5EA21E64" w14:textId="77777777" w:rsidR="003C66EB" w:rsidRDefault="00D96C4E">
            <w:pPr>
              <w:jc w:val="both"/>
              <w:textAlignment w:val="bottom"/>
            </w:pPr>
            <w:r>
              <w:rPr>
                <w:rFonts w:ascii="Arial" w:eastAsia="宋体" w:hAnsi="Arial" w:cs="Arial"/>
                <w:color w:val="000000"/>
                <w:sz w:val="18"/>
                <w:szCs w:val="18"/>
              </w:rPr>
              <w:t xml:space="preserve">Net unrealized gains (losses) on available-for-sale securities designated in </w:t>
            </w:r>
            <w:r>
              <w:rPr>
                <w:rFonts w:ascii="Arial" w:eastAsia="宋体" w:hAnsi="Arial" w:cs="Arial"/>
                <w:color w:val="000000"/>
                <w:sz w:val="18"/>
                <w:szCs w:val="18"/>
              </w:rPr>
              <w:t>fair value hedges, net of related taxes of $4 and ($3), respectively</w:t>
            </w:r>
          </w:p>
        </w:tc>
        <w:tc>
          <w:tcPr>
            <w:tcW w:w="0" w:type="auto"/>
            <w:gridSpan w:val="2"/>
            <w:shd w:val="clear" w:color="auto" w:fill="CCEEFF"/>
            <w:tcMar>
              <w:top w:w="40" w:type="dxa"/>
              <w:left w:w="20" w:type="dxa"/>
              <w:bottom w:w="40" w:type="dxa"/>
              <w:right w:w="0" w:type="dxa"/>
            </w:tcMar>
            <w:vAlign w:val="bottom"/>
          </w:tcPr>
          <w:p w14:paraId="5EA21E65" w14:textId="77777777" w:rsidR="003C66EB" w:rsidRDefault="00D96C4E">
            <w:pPr>
              <w:jc w:val="right"/>
              <w:textAlignment w:val="bottom"/>
            </w:pPr>
            <w:r>
              <w:rPr>
                <w:rFonts w:ascii="Arial" w:eastAsia="宋体" w:hAnsi="Arial" w:cs="Arial"/>
                <w:b/>
                <w:bCs/>
                <w:color w:val="000000"/>
                <w:sz w:val="18"/>
                <w:szCs w:val="18"/>
              </w:rPr>
              <w:t>12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E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E6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E68" w14:textId="77777777" w:rsidR="003C66EB" w:rsidRDefault="00D96C4E">
            <w:pPr>
              <w:jc w:val="right"/>
              <w:textAlignment w:val="bottom"/>
            </w:pPr>
            <w:r>
              <w:rPr>
                <w:rFonts w:ascii="Arial" w:eastAsia="宋体" w:hAnsi="Arial" w:cs="Arial"/>
                <w:color w:val="000000"/>
                <w:sz w:val="18"/>
                <w:szCs w:val="18"/>
              </w:rPr>
              <w:t>(7)</w:t>
            </w:r>
          </w:p>
        </w:tc>
        <w:tc>
          <w:tcPr>
            <w:tcW w:w="0" w:type="auto"/>
            <w:shd w:val="clear" w:color="auto" w:fill="CCEEFF"/>
            <w:tcMar>
              <w:top w:w="40" w:type="dxa"/>
              <w:left w:w="0" w:type="dxa"/>
              <w:bottom w:w="40" w:type="dxa"/>
              <w:right w:w="20" w:type="dxa"/>
            </w:tcMar>
            <w:vAlign w:val="bottom"/>
          </w:tcPr>
          <w:p w14:paraId="5EA21E69" w14:textId="77777777" w:rsidR="003C66EB" w:rsidRDefault="003C66EB">
            <w:pPr>
              <w:jc w:val="right"/>
              <w:rPr>
                <w:rFonts w:ascii="宋体"/>
              </w:rPr>
            </w:pPr>
          </w:p>
        </w:tc>
        <w:tc>
          <w:tcPr>
            <w:tcW w:w="0" w:type="auto"/>
            <w:gridSpan w:val="3"/>
            <w:shd w:val="clear" w:color="auto" w:fill="auto"/>
          </w:tcPr>
          <w:p w14:paraId="5EA21E6A" w14:textId="77777777" w:rsidR="003C66EB" w:rsidRDefault="003C66EB">
            <w:pPr>
              <w:rPr>
                <w:rFonts w:ascii="宋体"/>
                <w:vanish/>
              </w:rPr>
            </w:pPr>
          </w:p>
        </w:tc>
        <w:tc>
          <w:tcPr>
            <w:tcW w:w="0" w:type="auto"/>
            <w:gridSpan w:val="3"/>
            <w:shd w:val="clear" w:color="auto" w:fill="auto"/>
          </w:tcPr>
          <w:p w14:paraId="5EA21E6B" w14:textId="77777777" w:rsidR="003C66EB" w:rsidRDefault="003C66EB">
            <w:pPr>
              <w:rPr>
                <w:rFonts w:ascii="宋体"/>
                <w:vanish/>
              </w:rPr>
            </w:pPr>
          </w:p>
        </w:tc>
      </w:tr>
      <w:tr w:rsidR="003C66EB" w14:paraId="5EA21E73" w14:textId="77777777">
        <w:trPr>
          <w:hidden/>
        </w:trPr>
        <w:tc>
          <w:tcPr>
            <w:tcW w:w="0" w:type="auto"/>
            <w:gridSpan w:val="3"/>
            <w:shd w:val="clear" w:color="auto" w:fill="auto"/>
          </w:tcPr>
          <w:p w14:paraId="5EA21E6D" w14:textId="77777777" w:rsidR="003C66EB" w:rsidRDefault="003C66EB">
            <w:pPr>
              <w:rPr>
                <w:rFonts w:ascii="宋体"/>
                <w:vanish/>
              </w:rPr>
            </w:pPr>
          </w:p>
        </w:tc>
        <w:tc>
          <w:tcPr>
            <w:tcW w:w="0" w:type="auto"/>
            <w:gridSpan w:val="3"/>
            <w:shd w:val="clear" w:color="auto" w:fill="auto"/>
          </w:tcPr>
          <w:p w14:paraId="5EA21E6E" w14:textId="77777777" w:rsidR="003C66EB" w:rsidRDefault="003C66EB">
            <w:pPr>
              <w:rPr>
                <w:rFonts w:ascii="宋体"/>
                <w:vanish/>
              </w:rPr>
            </w:pPr>
          </w:p>
        </w:tc>
        <w:tc>
          <w:tcPr>
            <w:tcW w:w="0" w:type="auto"/>
            <w:gridSpan w:val="3"/>
            <w:shd w:val="clear" w:color="auto" w:fill="auto"/>
          </w:tcPr>
          <w:p w14:paraId="5EA21E6F" w14:textId="77777777" w:rsidR="003C66EB" w:rsidRDefault="003C66EB">
            <w:pPr>
              <w:rPr>
                <w:rFonts w:ascii="宋体"/>
                <w:vanish/>
              </w:rPr>
            </w:pPr>
          </w:p>
        </w:tc>
        <w:tc>
          <w:tcPr>
            <w:tcW w:w="0" w:type="auto"/>
            <w:gridSpan w:val="3"/>
            <w:shd w:val="clear" w:color="auto" w:fill="auto"/>
          </w:tcPr>
          <w:p w14:paraId="5EA21E70" w14:textId="77777777" w:rsidR="003C66EB" w:rsidRDefault="003C66EB">
            <w:pPr>
              <w:rPr>
                <w:rFonts w:ascii="宋体"/>
                <w:vanish/>
              </w:rPr>
            </w:pPr>
          </w:p>
        </w:tc>
        <w:tc>
          <w:tcPr>
            <w:tcW w:w="0" w:type="auto"/>
            <w:gridSpan w:val="3"/>
            <w:shd w:val="clear" w:color="auto" w:fill="auto"/>
          </w:tcPr>
          <w:p w14:paraId="5EA21E71" w14:textId="77777777" w:rsidR="003C66EB" w:rsidRDefault="003C66EB">
            <w:pPr>
              <w:rPr>
                <w:rFonts w:ascii="宋体"/>
                <w:vanish/>
              </w:rPr>
            </w:pPr>
          </w:p>
        </w:tc>
        <w:tc>
          <w:tcPr>
            <w:tcW w:w="0" w:type="auto"/>
            <w:gridSpan w:val="3"/>
            <w:shd w:val="clear" w:color="auto" w:fill="auto"/>
          </w:tcPr>
          <w:p w14:paraId="5EA21E72" w14:textId="77777777" w:rsidR="003C66EB" w:rsidRDefault="003C66EB">
            <w:pPr>
              <w:rPr>
                <w:rFonts w:ascii="宋体"/>
                <w:vanish/>
              </w:rPr>
            </w:pPr>
          </w:p>
        </w:tc>
      </w:tr>
      <w:tr w:rsidR="003C66EB" w14:paraId="5EA21E7C" w14:textId="77777777">
        <w:tc>
          <w:tcPr>
            <w:tcW w:w="0" w:type="auto"/>
            <w:gridSpan w:val="3"/>
            <w:shd w:val="clear" w:color="auto" w:fill="FFFFFF"/>
            <w:tcMar>
              <w:top w:w="40" w:type="dxa"/>
              <w:left w:w="20" w:type="dxa"/>
              <w:bottom w:w="40" w:type="dxa"/>
              <w:right w:w="20" w:type="dxa"/>
            </w:tcMar>
            <w:vAlign w:val="bottom"/>
          </w:tcPr>
          <w:p w14:paraId="5EA21E74" w14:textId="77777777" w:rsidR="003C66EB" w:rsidRDefault="00D96C4E">
            <w:pPr>
              <w:jc w:val="both"/>
              <w:textAlignment w:val="bottom"/>
            </w:pPr>
            <w:r>
              <w:rPr>
                <w:rFonts w:ascii="Arial" w:eastAsia="宋体" w:hAnsi="Arial" w:cs="Arial"/>
                <w:color w:val="000000"/>
                <w:sz w:val="18"/>
                <w:szCs w:val="18"/>
              </w:rPr>
              <w:t>Net unrealized gains (losses) on cash flow hedges, net of related taxes of $0 and $44, respectively</w:t>
            </w:r>
          </w:p>
        </w:tc>
        <w:tc>
          <w:tcPr>
            <w:tcW w:w="0" w:type="auto"/>
            <w:gridSpan w:val="2"/>
            <w:shd w:val="clear" w:color="auto" w:fill="FFFFFF"/>
            <w:tcMar>
              <w:top w:w="40" w:type="dxa"/>
              <w:left w:w="20" w:type="dxa"/>
              <w:bottom w:w="40" w:type="dxa"/>
              <w:right w:w="0" w:type="dxa"/>
            </w:tcMar>
            <w:vAlign w:val="bottom"/>
          </w:tcPr>
          <w:p w14:paraId="5EA21E75" w14:textId="77777777" w:rsidR="003C66EB" w:rsidRDefault="00D96C4E">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E7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E7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E78" w14:textId="77777777" w:rsidR="003C66EB" w:rsidRDefault="00D96C4E">
            <w:pPr>
              <w:jc w:val="right"/>
              <w:textAlignment w:val="bottom"/>
            </w:pPr>
            <w:r>
              <w:rPr>
                <w:rFonts w:ascii="Arial" w:eastAsia="宋体" w:hAnsi="Arial" w:cs="Arial"/>
                <w:color w:val="000000"/>
                <w:sz w:val="18"/>
                <w:szCs w:val="18"/>
              </w:rPr>
              <w:t>117 </w:t>
            </w:r>
          </w:p>
        </w:tc>
        <w:tc>
          <w:tcPr>
            <w:tcW w:w="0" w:type="auto"/>
            <w:shd w:val="clear" w:color="auto" w:fill="FFFFFF"/>
            <w:tcMar>
              <w:top w:w="40" w:type="dxa"/>
              <w:left w:w="0" w:type="dxa"/>
              <w:bottom w:w="40" w:type="dxa"/>
              <w:right w:w="20" w:type="dxa"/>
            </w:tcMar>
            <w:vAlign w:val="bottom"/>
          </w:tcPr>
          <w:p w14:paraId="5EA21E79" w14:textId="77777777" w:rsidR="003C66EB" w:rsidRDefault="003C66EB">
            <w:pPr>
              <w:jc w:val="right"/>
              <w:rPr>
                <w:rFonts w:ascii="宋体"/>
              </w:rPr>
            </w:pPr>
          </w:p>
        </w:tc>
        <w:tc>
          <w:tcPr>
            <w:tcW w:w="0" w:type="auto"/>
            <w:gridSpan w:val="3"/>
            <w:shd w:val="clear" w:color="auto" w:fill="auto"/>
          </w:tcPr>
          <w:p w14:paraId="5EA21E7A" w14:textId="77777777" w:rsidR="003C66EB" w:rsidRDefault="003C66EB">
            <w:pPr>
              <w:rPr>
                <w:rFonts w:ascii="宋体"/>
                <w:vanish/>
              </w:rPr>
            </w:pPr>
          </w:p>
        </w:tc>
        <w:tc>
          <w:tcPr>
            <w:tcW w:w="0" w:type="auto"/>
            <w:gridSpan w:val="3"/>
            <w:shd w:val="clear" w:color="auto" w:fill="auto"/>
          </w:tcPr>
          <w:p w14:paraId="5EA21E7B" w14:textId="77777777" w:rsidR="003C66EB" w:rsidRDefault="003C66EB">
            <w:pPr>
              <w:rPr>
                <w:rFonts w:ascii="宋体"/>
                <w:vanish/>
              </w:rPr>
            </w:pPr>
          </w:p>
        </w:tc>
      </w:tr>
      <w:tr w:rsidR="003C66EB" w14:paraId="5EA21E85" w14:textId="77777777">
        <w:tc>
          <w:tcPr>
            <w:tcW w:w="0" w:type="auto"/>
            <w:gridSpan w:val="3"/>
            <w:shd w:val="clear" w:color="auto" w:fill="CCEEFF"/>
            <w:tcMar>
              <w:top w:w="40" w:type="dxa"/>
              <w:left w:w="20" w:type="dxa"/>
              <w:bottom w:w="40" w:type="dxa"/>
              <w:right w:w="20" w:type="dxa"/>
            </w:tcMar>
            <w:vAlign w:val="bottom"/>
          </w:tcPr>
          <w:p w14:paraId="5EA21E7D" w14:textId="77777777" w:rsidR="003C66EB" w:rsidRDefault="00D96C4E">
            <w:pPr>
              <w:jc w:val="both"/>
              <w:textAlignment w:val="bottom"/>
            </w:pPr>
            <w:r>
              <w:rPr>
                <w:rFonts w:ascii="Arial" w:eastAsia="宋体" w:hAnsi="Arial" w:cs="Arial"/>
                <w:color w:val="000000"/>
                <w:sz w:val="18"/>
                <w:szCs w:val="18"/>
              </w:rPr>
              <w:t xml:space="preserve">Net unrealized gains (losses) on </w:t>
            </w:r>
            <w:r>
              <w:rPr>
                <w:rFonts w:ascii="Arial" w:eastAsia="宋体" w:hAnsi="Arial" w:cs="Arial"/>
                <w:color w:val="000000"/>
                <w:sz w:val="18"/>
                <w:szCs w:val="18"/>
              </w:rPr>
              <w:t>retirement plans, net of related taxes of $3 and $4, respectively</w:t>
            </w:r>
          </w:p>
        </w:tc>
        <w:tc>
          <w:tcPr>
            <w:tcW w:w="0" w:type="auto"/>
            <w:gridSpan w:val="2"/>
            <w:shd w:val="clear" w:color="auto" w:fill="CCEEFF"/>
            <w:tcMar>
              <w:top w:w="40" w:type="dxa"/>
              <w:left w:w="20" w:type="dxa"/>
              <w:bottom w:w="40" w:type="dxa"/>
              <w:right w:w="0" w:type="dxa"/>
            </w:tcMar>
            <w:vAlign w:val="bottom"/>
          </w:tcPr>
          <w:p w14:paraId="5EA21E7E" w14:textId="77777777" w:rsidR="003C66EB" w:rsidRDefault="00D96C4E">
            <w:pPr>
              <w:jc w:val="right"/>
              <w:textAlignment w:val="bottom"/>
            </w:pPr>
            <w:r>
              <w:rPr>
                <w:rFonts w:ascii="Arial" w:eastAsia="宋体" w:hAnsi="Arial" w:cs="Arial"/>
                <w:b/>
                <w:bCs/>
                <w:color w:val="000000"/>
                <w:sz w:val="18"/>
                <w:szCs w:val="18"/>
              </w:rPr>
              <w:t>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E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E8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E81" w14:textId="77777777" w:rsidR="003C66EB" w:rsidRDefault="00D96C4E">
            <w:pPr>
              <w:jc w:val="right"/>
              <w:textAlignment w:val="bottom"/>
            </w:pPr>
            <w:r>
              <w:rPr>
                <w:rFonts w:ascii="Arial" w:eastAsia="宋体" w:hAnsi="Arial" w:cs="Arial"/>
                <w:color w:val="000000"/>
                <w:sz w:val="18"/>
                <w:szCs w:val="18"/>
              </w:rPr>
              <w:t>12 </w:t>
            </w:r>
          </w:p>
        </w:tc>
        <w:tc>
          <w:tcPr>
            <w:tcW w:w="0" w:type="auto"/>
            <w:shd w:val="clear" w:color="auto" w:fill="CCEEFF"/>
            <w:tcMar>
              <w:top w:w="40" w:type="dxa"/>
              <w:left w:w="0" w:type="dxa"/>
              <w:bottom w:w="40" w:type="dxa"/>
              <w:right w:w="20" w:type="dxa"/>
            </w:tcMar>
            <w:vAlign w:val="bottom"/>
          </w:tcPr>
          <w:p w14:paraId="5EA21E82" w14:textId="77777777" w:rsidR="003C66EB" w:rsidRDefault="003C66EB">
            <w:pPr>
              <w:jc w:val="right"/>
              <w:rPr>
                <w:rFonts w:ascii="宋体"/>
              </w:rPr>
            </w:pPr>
          </w:p>
        </w:tc>
        <w:tc>
          <w:tcPr>
            <w:tcW w:w="0" w:type="auto"/>
            <w:gridSpan w:val="3"/>
            <w:shd w:val="clear" w:color="auto" w:fill="auto"/>
          </w:tcPr>
          <w:p w14:paraId="5EA21E83" w14:textId="77777777" w:rsidR="003C66EB" w:rsidRDefault="003C66EB">
            <w:pPr>
              <w:rPr>
                <w:rFonts w:ascii="宋体"/>
                <w:vanish/>
              </w:rPr>
            </w:pPr>
          </w:p>
        </w:tc>
        <w:tc>
          <w:tcPr>
            <w:tcW w:w="0" w:type="auto"/>
            <w:gridSpan w:val="3"/>
            <w:shd w:val="clear" w:color="auto" w:fill="auto"/>
          </w:tcPr>
          <w:p w14:paraId="5EA21E84" w14:textId="77777777" w:rsidR="003C66EB" w:rsidRDefault="003C66EB">
            <w:pPr>
              <w:rPr>
                <w:rFonts w:ascii="宋体"/>
                <w:vanish/>
              </w:rPr>
            </w:pPr>
          </w:p>
        </w:tc>
      </w:tr>
      <w:tr w:rsidR="003C66EB" w14:paraId="5EA21E8E" w14:textId="77777777">
        <w:tc>
          <w:tcPr>
            <w:tcW w:w="0" w:type="auto"/>
            <w:gridSpan w:val="3"/>
            <w:shd w:val="clear" w:color="auto" w:fill="FFFFFF"/>
            <w:tcMar>
              <w:top w:w="40" w:type="dxa"/>
              <w:left w:w="20" w:type="dxa"/>
              <w:bottom w:w="40" w:type="dxa"/>
              <w:right w:w="20" w:type="dxa"/>
            </w:tcMar>
            <w:vAlign w:val="bottom"/>
          </w:tcPr>
          <w:p w14:paraId="5EA21E86" w14:textId="77777777" w:rsidR="003C66EB" w:rsidRDefault="00D96C4E">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E87" w14:textId="77777777" w:rsidR="003C66EB" w:rsidRDefault="00D96C4E">
            <w:pPr>
              <w:jc w:val="right"/>
              <w:textAlignment w:val="bottom"/>
            </w:pPr>
            <w:r>
              <w:rPr>
                <w:rFonts w:ascii="Arial" w:eastAsia="宋体" w:hAnsi="Arial" w:cs="Arial"/>
                <w:b/>
                <w:bCs/>
                <w:color w:val="000000"/>
                <w:sz w:val="18"/>
                <w:szCs w:val="18"/>
              </w:rPr>
              <w:t>(605)</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E8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E8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E8A" w14:textId="77777777" w:rsidR="003C66EB" w:rsidRDefault="00D96C4E">
            <w:pPr>
              <w:jc w:val="right"/>
              <w:textAlignment w:val="bottom"/>
            </w:pPr>
            <w:r>
              <w:rPr>
                <w:rFonts w:ascii="Arial" w:eastAsia="宋体" w:hAnsi="Arial" w:cs="Arial"/>
                <w:color w:val="000000"/>
                <w:sz w:val="18"/>
                <w:szCs w:val="18"/>
              </w:rPr>
              <w:t>(44)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E8B" w14:textId="77777777" w:rsidR="003C66EB" w:rsidRDefault="003C66EB">
            <w:pPr>
              <w:jc w:val="right"/>
              <w:rPr>
                <w:rFonts w:ascii="宋体"/>
              </w:rPr>
            </w:pPr>
          </w:p>
        </w:tc>
        <w:tc>
          <w:tcPr>
            <w:tcW w:w="0" w:type="auto"/>
            <w:gridSpan w:val="3"/>
            <w:shd w:val="clear" w:color="auto" w:fill="auto"/>
          </w:tcPr>
          <w:p w14:paraId="5EA21E8C" w14:textId="77777777" w:rsidR="003C66EB" w:rsidRDefault="003C66EB">
            <w:pPr>
              <w:rPr>
                <w:rFonts w:ascii="宋体"/>
                <w:vanish/>
              </w:rPr>
            </w:pPr>
          </w:p>
        </w:tc>
        <w:tc>
          <w:tcPr>
            <w:tcW w:w="0" w:type="auto"/>
            <w:gridSpan w:val="3"/>
            <w:shd w:val="clear" w:color="auto" w:fill="auto"/>
          </w:tcPr>
          <w:p w14:paraId="5EA21E8D" w14:textId="77777777" w:rsidR="003C66EB" w:rsidRDefault="003C66EB">
            <w:pPr>
              <w:rPr>
                <w:rFonts w:ascii="宋体"/>
                <w:vanish/>
              </w:rPr>
            </w:pPr>
          </w:p>
        </w:tc>
      </w:tr>
      <w:tr w:rsidR="003C66EB" w14:paraId="5EA21E99" w14:textId="77777777">
        <w:tc>
          <w:tcPr>
            <w:tcW w:w="0" w:type="auto"/>
            <w:gridSpan w:val="3"/>
            <w:shd w:val="clear" w:color="auto" w:fill="CCEEFF"/>
            <w:tcMar>
              <w:top w:w="40" w:type="dxa"/>
              <w:left w:w="20" w:type="dxa"/>
              <w:bottom w:w="40" w:type="dxa"/>
              <w:right w:w="20" w:type="dxa"/>
            </w:tcMar>
            <w:vAlign w:val="bottom"/>
          </w:tcPr>
          <w:p w14:paraId="5EA21E8F" w14:textId="77777777" w:rsidR="003C66EB" w:rsidRDefault="00D96C4E">
            <w:pPr>
              <w:textAlignment w:val="bottom"/>
            </w:pPr>
            <w:r>
              <w:rPr>
                <w:rFonts w:ascii="Arial" w:eastAsia="宋体" w:hAnsi="Arial" w:cs="Arial"/>
                <w:b/>
                <w:bCs/>
                <w:color w:val="000000"/>
                <w:sz w:val="18"/>
                <w:szCs w:val="18"/>
              </w:rPr>
              <w:t>Total comprehensive income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1E90" w14:textId="77777777" w:rsidR="003C66EB" w:rsidRDefault="00D96C4E">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1E91" w14:textId="77777777" w:rsidR="003C66EB" w:rsidRDefault="00D96C4E">
            <w:pPr>
              <w:jc w:val="right"/>
              <w:textAlignment w:val="bottom"/>
            </w:pPr>
            <w:r>
              <w:rPr>
                <w:rFonts w:ascii="Arial" w:eastAsia="宋体" w:hAnsi="Arial" w:cs="Arial"/>
                <w:b/>
                <w:bCs/>
                <w:color w:val="000000"/>
                <w:sz w:val="18"/>
                <w:szCs w:val="18"/>
              </w:rPr>
              <w:t>(86)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1E9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E93"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1E94" w14:textId="77777777" w:rsidR="003C66EB" w:rsidRDefault="00D96C4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1E95" w14:textId="77777777" w:rsidR="003C66EB" w:rsidRDefault="00D96C4E">
            <w:pPr>
              <w:jc w:val="right"/>
              <w:textAlignment w:val="bottom"/>
            </w:pPr>
            <w:r>
              <w:rPr>
                <w:rFonts w:ascii="Arial" w:eastAsia="宋体" w:hAnsi="Arial" w:cs="Arial"/>
                <w:color w:val="000000"/>
                <w:sz w:val="18"/>
                <w:szCs w:val="18"/>
              </w:rPr>
              <w:t>590 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1E96" w14:textId="77777777" w:rsidR="003C66EB" w:rsidRDefault="003C66EB">
            <w:pPr>
              <w:jc w:val="right"/>
              <w:rPr>
                <w:rFonts w:ascii="宋体"/>
              </w:rPr>
            </w:pPr>
          </w:p>
        </w:tc>
        <w:tc>
          <w:tcPr>
            <w:tcW w:w="0" w:type="auto"/>
            <w:gridSpan w:val="3"/>
            <w:shd w:val="clear" w:color="auto" w:fill="auto"/>
          </w:tcPr>
          <w:p w14:paraId="5EA21E97" w14:textId="77777777" w:rsidR="003C66EB" w:rsidRDefault="003C66EB">
            <w:pPr>
              <w:rPr>
                <w:rFonts w:ascii="宋体"/>
                <w:vanish/>
              </w:rPr>
            </w:pPr>
          </w:p>
        </w:tc>
        <w:tc>
          <w:tcPr>
            <w:tcW w:w="0" w:type="auto"/>
            <w:gridSpan w:val="3"/>
            <w:shd w:val="clear" w:color="auto" w:fill="auto"/>
          </w:tcPr>
          <w:p w14:paraId="5EA21E98" w14:textId="77777777" w:rsidR="003C66EB" w:rsidRDefault="003C66EB">
            <w:pPr>
              <w:rPr>
                <w:rFonts w:ascii="宋体"/>
                <w:vanish/>
              </w:rPr>
            </w:pPr>
          </w:p>
        </w:tc>
      </w:tr>
      <w:tr w:rsidR="003C66EB" w14:paraId="5EA21EA0" w14:textId="77777777">
        <w:trPr>
          <w:hidden/>
        </w:trPr>
        <w:tc>
          <w:tcPr>
            <w:tcW w:w="0" w:type="auto"/>
            <w:gridSpan w:val="3"/>
            <w:shd w:val="clear" w:color="auto" w:fill="auto"/>
          </w:tcPr>
          <w:p w14:paraId="5EA21E9A" w14:textId="77777777" w:rsidR="003C66EB" w:rsidRDefault="003C66EB">
            <w:pPr>
              <w:rPr>
                <w:rFonts w:ascii="宋体"/>
                <w:vanish/>
              </w:rPr>
            </w:pPr>
          </w:p>
        </w:tc>
        <w:tc>
          <w:tcPr>
            <w:tcW w:w="0" w:type="auto"/>
            <w:gridSpan w:val="3"/>
            <w:shd w:val="clear" w:color="auto" w:fill="auto"/>
          </w:tcPr>
          <w:p w14:paraId="5EA21E9B" w14:textId="77777777" w:rsidR="003C66EB" w:rsidRDefault="003C66EB">
            <w:pPr>
              <w:rPr>
                <w:rFonts w:ascii="宋体"/>
                <w:vanish/>
              </w:rPr>
            </w:pPr>
          </w:p>
        </w:tc>
        <w:tc>
          <w:tcPr>
            <w:tcW w:w="0" w:type="auto"/>
            <w:gridSpan w:val="3"/>
            <w:shd w:val="clear" w:color="auto" w:fill="auto"/>
          </w:tcPr>
          <w:p w14:paraId="5EA21E9C" w14:textId="77777777" w:rsidR="003C66EB" w:rsidRDefault="003C66EB">
            <w:pPr>
              <w:rPr>
                <w:rFonts w:ascii="宋体"/>
                <w:vanish/>
              </w:rPr>
            </w:pPr>
          </w:p>
        </w:tc>
        <w:tc>
          <w:tcPr>
            <w:tcW w:w="0" w:type="auto"/>
            <w:gridSpan w:val="3"/>
            <w:shd w:val="clear" w:color="auto" w:fill="auto"/>
          </w:tcPr>
          <w:p w14:paraId="5EA21E9D" w14:textId="77777777" w:rsidR="003C66EB" w:rsidRDefault="003C66EB">
            <w:pPr>
              <w:rPr>
                <w:rFonts w:ascii="宋体"/>
                <w:vanish/>
              </w:rPr>
            </w:pPr>
          </w:p>
        </w:tc>
        <w:tc>
          <w:tcPr>
            <w:tcW w:w="0" w:type="auto"/>
            <w:gridSpan w:val="3"/>
            <w:shd w:val="clear" w:color="auto" w:fill="auto"/>
          </w:tcPr>
          <w:p w14:paraId="5EA21E9E" w14:textId="77777777" w:rsidR="003C66EB" w:rsidRDefault="003C66EB">
            <w:pPr>
              <w:rPr>
                <w:rFonts w:ascii="宋体"/>
                <w:vanish/>
              </w:rPr>
            </w:pPr>
          </w:p>
        </w:tc>
        <w:tc>
          <w:tcPr>
            <w:tcW w:w="0" w:type="auto"/>
            <w:gridSpan w:val="3"/>
            <w:shd w:val="clear" w:color="auto" w:fill="auto"/>
          </w:tcPr>
          <w:p w14:paraId="5EA21E9F" w14:textId="77777777" w:rsidR="003C66EB" w:rsidRDefault="003C66EB">
            <w:pPr>
              <w:rPr>
                <w:rFonts w:ascii="宋体"/>
                <w:vanish/>
              </w:rPr>
            </w:pPr>
          </w:p>
        </w:tc>
      </w:tr>
      <w:tr w:rsidR="003C66EB" w14:paraId="5EA21EAF" w14:textId="77777777">
        <w:trPr>
          <w:hidden/>
        </w:trPr>
        <w:tc>
          <w:tcPr>
            <w:tcW w:w="0" w:type="auto"/>
            <w:gridSpan w:val="3"/>
            <w:shd w:val="clear" w:color="auto" w:fill="auto"/>
          </w:tcPr>
          <w:p w14:paraId="5EA21EA1" w14:textId="77777777" w:rsidR="003C66EB" w:rsidRDefault="003C66EB">
            <w:pPr>
              <w:rPr>
                <w:rFonts w:ascii="宋体"/>
                <w:vanish/>
              </w:rPr>
            </w:pPr>
          </w:p>
        </w:tc>
        <w:tc>
          <w:tcPr>
            <w:tcW w:w="0" w:type="auto"/>
            <w:gridSpan w:val="3"/>
            <w:shd w:val="clear" w:color="auto" w:fill="auto"/>
          </w:tcPr>
          <w:p w14:paraId="5EA21EA2" w14:textId="77777777" w:rsidR="003C66EB" w:rsidRDefault="003C66EB">
            <w:pPr>
              <w:rPr>
                <w:rFonts w:ascii="宋体"/>
                <w:vanish/>
              </w:rPr>
            </w:pPr>
          </w:p>
        </w:tc>
        <w:tc>
          <w:tcPr>
            <w:tcW w:w="0" w:type="auto"/>
            <w:shd w:val="clear" w:color="auto" w:fill="auto"/>
          </w:tcPr>
          <w:p w14:paraId="5EA21EA3" w14:textId="77777777" w:rsidR="003C66EB" w:rsidRDefault="003C66EB">
            <w:pPr>
              <w:rPr>
                <w:rFonts w:ascii="宋体"/>
              </w:rPr>
            </w:pPr>
          </w:p>
        </w:tc>
        <w:tc>
          <w:tcPr>
            <w:tcW w:w="0" w:type="auto"/>
            <w:shd w:val="clear" w:color="auto" w:fill="auto"/>
          </w:tcPr>
          <w:p w14:paraId="5EA21EA4" w14:textId="77777777" w:rsidR="003C66EB" w:rsidRDefault="003C66EB">
            <w:pPr>
              <w:rPr>
                <w:rFonts w:ascii="宋体"/>
              </w:rPr>
            </w:pPr>
          </w:p>
        </w:tc>
        <w:tc>
          <w:tcPr>
            <w:tcW w:w="0" w:type="auto"/>
            <w:shd w:val="clear" w:color="auto" w:fill="auto"/>
          </w:tcPr>
          <w:p w14:paraId="5EA21EA5" w14:textId="77777777" w:rsidR="003C66EB" w:rsidRDefault="003C66EB">
            <w:pPr>
              <w:rPr>
                <w:rFonts w:ascii="宋体"/>
              </w:rPr>
            </w:pPr>
          </w:p>
        </w:tc>
        <w:tc>
          <w:tcPr>
            <w:tcW w:w="0" w:type="auto"/>
            <w:shd w:val="clear" w:color="auto" w:fill="auto"/>
          </w:tcPr>
          <w:p w14:paraId="5EA21EA6" w14:textId="77777777" w:rsidR="003C66EB" w:rsidRDefault="003C66EB">
            <w:pPr>
              <w:rPr>
                <w:rFonts w:ascii="宋体"/>
              </w:rPr>
            </w:pPr>
          </w:p>
        </w:tc>
        <w:tc>
          <w:tcPr>
            <w:tcW w:w="0" w:type="auto"/>
            <w:shd w:val="clear" w:color="auto" w:fill="auto"/>
          </w:tcPr>
          <w:p w14:paraId="5EA21EA7" w14:textId="77777777" w:rsidR="003C66EB" w:rsidRDefault="003C66EB">
            <w:pPr>
              <w:rPr>
                <w:rFonts w:ascii="宋体"/>
              </w:rPr>
            </w:pPr>
          </w:p>
        </w:tc>
        <w:tc>
          <w:tcPr>
            <w:tcW w:w="0" w:type="auto"/>
            <w:shd w:val="clear" w:color="auto" w:fill="auto"/>
          </w:tcPr>
          <w:p w14:paraId="5EA21EA8" w14:textId="77777777" w:rsidR="003C66EB" w:rsidRDefault="003C66EB">
            <w:pPr>
              <w:rPr>
                <w:rFonts w:ascii="宋体"/>
              </w:rPr>
            </w:pPr>
          </w:p>
        </w:tc>
        <w:tc>
          <w:tcPr>
            <w:tcW w:w="0" w:type="auto"/>
            <w:shd w:val="clear" w:color="auto" w:fill="auto"/>
          </w:tcPr>
          <w:p w14:paraId="5EA21EA9" w14:textId="77777777" w:rsidR="003C66EB" w:rsidRDefault="003C66EB">
            <w:pPr>
              <w:rPr>
                <w:rFonts w:ascii="宋体"/>
              </w:rPr>
            </w:pPr>
          </w:p>
        </w:tc>
        <w:tc>
          <w:tcPr>
            <w:tcW w:w="0" w:type="auto"/>
            <w:shd w:val="clear" w:color="auto" w:fill="auto"/>
          </w:tcPr>
          <w:p w14:paraId="5EA21EAA" w14:textId="77777777" w:rsidR="003C66EB" w:rsidRDefault="003C66EB">
            <w:pPr>
              <w:rPr>
                <w:rFonts w:ascii="宋体"/>
              </w:rPr>
            </w:pPr>
          </w:p>
        </w:tc>
        <w:tc>
          <w:tcPr>
            <w:tcW w:w="0" w:type="auto"/>
            <w:shd w:val="clear" w:color="auto" w:fill="auto"/>
          </w:tcPr>
          <w:p w14:paraId="5EA21EAB" w14:textId="77777777" w:rsidR="003C66EB" w:rsidRDefault="003C66EB">
            <w:pPr>
              <w:rPr>
                <w:rFonts w:ascii="宋体"/>
              </w:rPr>
            </w:pPr>
          </w:p>
        </w:tc>
        <w:tc>
          <w:tcPr>
            <w:tcW w:w="0" w:type="auto"/>
            <w:shd w:val="clear" w:color="auto" w:fill="auto"/>
          </w:tcPr>
          <w:p w14:paraId="5EA21EAC" w14:textId="77777777" w:rsidR="003C66EB" w:rsidRDefault="003C66EB">
            <w:pPr>
              <w:rPr>
                <w:rFonts w:ascii="宋体"/>
              </w:rPr>
            </w:pPr>
          </w:p>
        </w:tc>
        <w:tc>
          <w:tcPr>
            <w:tcW w:w="0" w:type="auto"/>
            <w:shd w:val="clear" w:color="auto" w:fill="auto"/>
          </w:tcPr>
          <w:p w14:paraId="5EA21EAD" w14:textId="77777777" w:rsidR="003C66EB" w:rsidRDefault="003C66EB">
            <w:pPr>
              <w:rPr>
                <w:rFonts w:ascii="宋体"/>
              </w:rPr>
            </w:pPr>
          </w:p>
        </w:tc>
        <w:tc>
          <w:tcPr>
            <w:tcW w:w="0" w:type="auto"/>
            <w:shd w:val="clear" w:color="auto" w:fill="auto"/>
          </w:tcPr>
          <w:p w14:paraId="5EA21EAE" w14:textId="77777777" w:rsidR="003C66EB" w:rsidRDefault="003C66EB">
            <w:pPr>
              <w:rPr>
                <w:rFonts w:ascii="宋体"/>
              </w:rPr>
            </w:pPr>
          </w:p>
        </w:tc>
      </w:tr>
      <w:tr w:rsidR="003C66EB" w14:paraId="5EA21EB6" w14:textId="77777777">
        <w:trPr>
          <w:hidden/>
        </w:trPr>
        <w:tc>
          <w:tcPr>
            <w:tcW w:w="0" w:type="auto"/>
            <w:gridSpan w:val="3"/>
            <w:shd w:val="clear" w:color="auto" w:fill="auto"/>
          </w:tcPr>
          <w:p w14:paraId="5EA21EB0" w14:textId="77777777" w:rsidR="003C66EB" w:rsidRDefault="003C66EB">
            <w:pPr>
              <w:rPr>
                <w:rFonts w:ascii="宋体"/>
                <w:vanish/>
              </w:rPr>
            </w:pPr>
          </w:p>
        </w:tc>
        <w:tc>
          <w:tcPr>
            <w:tcW w:w="0" w:type="auto"/>
            <w:gridSpan w:val="3"/>
            <w:shd w:val="clear" w:color="auto" w:fill="auto"/>
          </w:tcPr>
          <w:p w14:paraId="5EA21EB1" w14:textId="77777777" w:rsidR="003C66EB" w:rsidRDefault="003C66EB">
            <w:pPr>
              <w:rPr>
                <w:rFonts w:ascii="宋体"/>
                <w:vanish/>
              </w:rPr>
            </w:pPr>
          </w:p>
        </w:tc>
        <w:tc>
          <w:tcPr>
            <w:tcW w:w="0" w:type="auto"/>
            <w:gridSpan w:val="3"/>
            <w:shd w:val="clear" w:color="auto" w:fill="auto"/>
          </w:tcPr>
          <w:p w14:paraId="5EA21EB2" w14:textId="77777777" w:rsidR="003C66EB" w:rsidRDefault="003C66EB">
            <w:pPr>
              <w:rPr>
                <w:rFonts w:ascii="宋体"/>
                <w:vanish/>
              </w:rPr>
            </w:pPr>
          </w:p>
        </w:tc>
        <w:tc>
          <w:tcPr>
            <w:tcW w:w="0" w:type="auto"/>
            <w:gridSpan w:val="3"/>
            <w:shd w:val="clear" w:color="auto" w:fill="auto"/>
          </w:tcPr>
          <w:p w14:paraId="5EA21EB3" w14:textId="77777777" w:rsidR="003C66EB" w:rsidRDefault="003C66EB">
            <w:pPr>
              <w:rPr>
                <w:rFonts w:ascii="宋体"/>
                <w:vanish/>
              </w:rPr>
            </w:pPr>
          </w:p>
        </w:tc>
        <w:tc>
          <w:tcPr>
            <w:tcW w:w="0" w:type="auto"/>
            <w:gridSpan w:val="3"/>
            <w:shd w:val="clear" w:color="auto" w:fill="auto"/>
          </w:tcPr>
          <w:p w14:paraId="5EA21EB4" w14:textId="77777777" w:rsidR="003C66EB" w:rsidRDefault="003C66EB">
            <w:pPr>
              <w:rPr>
                <w:rFonts w:ascii="宋体"/>
                <w:vanish/>
              </w:rPr>
            </w:pPr>
          </w:p>
        </w:tc>
        <w:tc>
          <w:tcPr>
            <w:tcW w:w="0" w:type="auto"/>
            <w:gridSpan w:val="3"/>
            <w:shd w:val="clear" w:color="auto" w:fill="auto"/>
          </w:tcPr>
          <w:p w14:paraId="5EA21EB5" w14:textId="77777777" w:rsidR="003C66EB" w:rsidRDefault="003C66EB">
            <w:pPr>
              <w:rPr>
                <w:rFonts w:ascii="宋体"/>
                <w:vanish/>
              </w:rPr>
            </w:pPr>
          </w:p>
        </w:tc>
      </w:tr>
      <w:tr w:rsidR="003C66EB" w14:paraId="5EA21EBD" w14:textId="77777777">
        <w:trPr>
          <w:hidden/>
        </w:trPr>
        <w:tc>
          <w:tcPr>
            <w:tcW w:w="0" w:type="auto"/>
            <w:gridSpan w:val="3"/>
            <w:shd w:val="clear" w:color="auto" w:fill="auto"/>
          </w:tcPr>
          <w:p w14:paraId="5EA21EB7" w14:textId="77777777" w:rsidR="003C66EB" w:rsidRDefault="003C66EB">
            <w:pPr>
              <w:rPr>
                <w:rFonts w:ascii="宋体"/>
                <w:vanish/>
              </w:rPr>
            </w:pPr>
          </w:p>
        </w:tc>
        <w:tc>
          <w:tcPr>
            <w:tcW w:w="0" w:type="auto"/>
            <w:gridSpan w:val="3"/>
            <w:shd w:val="clear" w:color="auto" w:fill="auto"/>
          </w:tcPr>
          <w:p w14:paraId="5EA21EB8" w14:textId="77777777" w:rsidR="003C66EB" w:rsidRDefault="003C66EB">
            <w:pPr>
              <w:rPr>
                <w:rFonts w:ascii="宋体"/>
                <w:vanish/>
              </w:rPr>
            </w:pPr>
          </w:p>
        </w:tc>
        <w:tc>
          <w:tcPr>
            <w:tcW w:w="0" w:type="auto"/>
            <w:gridSpan w:val="3"/>
            <w:shd w:val="clear" w:color="auto" w:fill="auto"/>
          </w:tcPr>
          <w:p w14:paraId="5EA21EB9" w14:textId="77777777" w:rsidR="003C66EB" w:rsidRDefault="003C66EB">
            <w:pPr>
              <w:rPr>
                <w:rFonts w:ascii="宋体"/>
                <w:vanish/>
              </w:rPr>
            </w:pPr>
          </w:p>
        </w:tc>
        <w:tc>
          <w:tcPr>
            <w:tcW w:w="0" w:type="auto"/>
            <w:gridSpan w:val="3"/>
            <w:shd w:val="clear" w:color="auto" w:fill="auto"/>
          </w:tcPr>
          <w:p w14:paraId="5EA21EBA" w14:textId="77777777" w:rsidR="003C66EB" w:rsidRDefault="003C66EB">
            <w:pPr>
              <w:rPr>
                <w:rFonts w:ascii="宋体"/>
                <w:vanish/>
              </w:rPr>
            </w:pPr>
          </w:p>
        </w:tc>
        <w:tc>
          <w:tcPr>
            <w:tcW w:w="0" w:type="auto"/>
            <w:gridSpan w:val="3"/>
            <w:shd w:val="clear" w:color="auto" w:fill="auto"/>
          </w:tcPr>
          <w:p w14:paraId="5EA21EBB" w14:textId="77777777" w:rsidR="003C66EB" w:rsidRDefault="003C66EB">
            <w:pPr>
              <w:rPr>
                <w:rFonts w:ascii="宋体"/>
                <w:vanish/>
              </w:rPr>
            </w:pPr>
          </w:p>
        </w:tc>
        <w:tc>
          <w:tcPr>
            <w:tcW w:w="0" w:type="auto"/>
            <w:gridSpan w:val="3"/>
            <w:shd w:val="clear" w:color="auto" w:fill="auto"/>
          </w:tcPr>
          <w:p w14:paraId="5EA21EBC" w14:textId="77777777" w:rsidR="003C66EB" w:rsidRDefault="003C66EB">
            <w:pPr>
              <w:rPr>
                <w:rFonts w:ascii="宋体"/>
                <w:vanish/>
              </w:rPr>
            </w:pPr>
          </w:p>
        </w:tc>
      </w:tr>
      <w:tr w:rsidR="003C66EB" w14:paraId="5EA21EC4" w14:textId="77777777">
        <w:trPr>
          <w:hidden/>
        </w:trPr>
        <w:tc>
          <w:tcPr>
            <w:tcW w:w="0" w:type="auto"/>
            <w:gridSpan w:val="3"/>
            <w:shd w:val="clear" w:color="auto" w:fill="auto"/>
          </w:tcPr>
          <w:p w14:paraId="5EA21EBE" w14:textId="77777777" w:rsidR="003C66EB" w:rsidRDefault="003C66EB">
            <w:pPr>
              <w:rPr>
                <w:rFonts w:ascii="宋体"/>
                <w:vanish/>
              </w:rPr>
            </w:pPr>
          </w:p>
        </w:tc>
        <w:tc>
          <w:tcPr>
            <w:tcW w:w="0" w:type="auto"/>
            <w:gridSpan w:val="3"/>
            <w:shd w:val="clear" w:color="auto" w:fill="auto"/>
          </w:tcPr>
          <w:p w14:paraId="5EA21EBF" w14:textId="77777777" w:rsidR="003C66EB" w:rsidRDefault="003C66EB">
            <w:pPr>
              <w:rPr>
                <w:rFonts w:ascii="宋体"/>
                <w:vanish/>
              </w:rPr>
            </w:pPr>
          </w:p>
        </w:tc>
        <w:tc>
          <w:tcPr>
            <w:tcW w:w="0" w:type="auto"/>
            <w:gridSpan w:val="3"/>
            <w:shd w:val="clear" w:color="auto" w:fill="auto"/>
          </w:tcPr>
          <w:p w14:paraId="5EA21EC0" w14:textId="77777777" w:rsidR="003C66EB" w:rsidRDefault="003C66EB">
            <w:pPr>
              <w:rPr>
                <w:rFonts w:ascii="宋体"/>
                <w:vanish/>
              </w:rPr>
            </w:pPr>
          </w:p>
        </w:tc>
        <w:tc>
          <w:tcPr>
            <w:tcW w:w="0" w:type="auto"/>
            <w:gridSpan w:val="3"/>
            <w:shd w:val="clear" w:color="auto" w:fill="auto"/>
          </w:tcPr>
          <w:p w14:paraId="5EA21EC1" w14:textId="77777777" w:rsidR="003C66EB" w:rsidRDefault="003C66EB">
            <w:pPr>
              <w:rPr>
                <w:rFonts w:ascii="宋体"/>
                <w:vanish/>
              </w:rPr>
            </w:pPr>
          </w:p>
        </w:tc>
        <w:tc>
          <w:tcPr>
            <w:tcW w:w="0" w:type="auto"/>
            <w:gridSpan w:val="3"/>
            <w:shd w:val="clear" w:color="auto" w:fill="auto"/>
          </w:tcPr>
          <w:p w14:paraId="5EA21EC2" w14:textId="77777777" w:rsidR="003C66EB" w:rsidRDefault="003C66EB">
            <w:pPr>
              <w:rPr>
                <w:rFonts w:ascii="宋体"/>
                <w:vanish/>
              </w:rPr>
            </w:pPr>
          </w:p>
        </w:tc>
        <w:tc>
          <w:tcPr>
            <w:tcW w:w="0" w:type="auto"/>
            <w:gridSpan w:val="3"/>
            <w:shd w:val="clear" w:color="auto" w:fill="auto"/>
          </w:tcPr>
          <w:p w14:paraId="5EA21EC3" w14:textId="77777777" w:rsidR="003C66EB" w:rsidRDefault="003C66EB">
            <w:pPr>
              <w:rPr>
                <w:rFonts w:ascii="宋体"/>
                <w:vanish/>
              </w:rPr>
            </w:pPr>
          </w:p>
        </w:tc>
      </w:tr>
      <w:tr w:rsidR="003C66EB" w14:paraId="5EA21ECB" w14:textId="77777777">
        <w:trPr>
          <w:hidden/>
        </w:trPr>
        <w:tc>
          <w:tcPr>
            <w:tcW w:w="0" w:type="auto"/>
            <w:gridSpan w:val="3"/>
            <w:shd w:val="clear" w:color="auto" w:fill="auto"/>
          </w:tcPr>
          <w:p w14:paraId="5EA21EC5" w14:textId="77777777" w:rsidR="003C66EB" w:rsidRDefault="003C66EB">
            <w:pPr>
              <w:rPr>
                <w:rFonts w:ascii="宋体"/>
                <w:vanish/>
              </w:rPr>
            </w:pPr>
          </w:p>
        </w:tc>
        <w:tc>
          <w:tcPr>
            <w:tcW w:w="0" w:type="auto"/>
            <w:gridSpan w:val="3"/>
            <w:shd w:val="clear" w:color="auto" w:fill="auto"/>
          </w:tcPr>
          <w:p w14:paraId="5EA21EC6" w14:textId="77777777" w:rsidR="003C66EB" w:rsidRDefault="003C66EB">
            <w:pPr>
              <w:rPr>
                <w:rFonts w:ascii="宋体"/>
                <w:vanish/>
              </w:rPr>
            </w:pPr>
          </w:p>
        </w:tc>
        <w:tc>
          <w:tcPr>
            <w:tcW w:w="0" w:type="auto"/>
            <w:gridSpan w:val="3"/>
            <w:shd w:val="clear" w:color="auto" w:fill="auto"/>
          </w:tcPr>
          <w:p w14:paraId="5EA21EC7" w14:textId="77777777" w:rsidR="003C66EB" w:rsidRDefault="003C66EB">
            <w:pPr>
              <w:rPr>
                <w:rFonts w:ascii="宋体"/>
                <w:vanish/>
              </w:rPr>
            </w:pPr>
          </w:p>
        </w:tc>
        <w:tc>
          <w:tcPr>
            <w:tcW w:w="0" w:type="auto"/>
            <w:gridSpan w:val="3"/>
            <w:shd w:val="clear" w:color="auto" w:fill="auto"/>
          </w:tcPr>
          <w:p w14:paraId="5EA21EC8" w14:textId="77777777" w:rsidR="003C66EB" w:rsidRDefault="003C66EB">
            <w:pPr>
              <w:rPr>
                <w:rFonts w:ascii="宋体"/>
                <w:vanish/>
              </w:rPr>
            </w:pPr>
          </w:p>
        </w:tc>
        <w:tc>
          <w:tcPr>
            <w:tcW w:w="0" w:type="auto"/>
            <w:gridSpan w:val="3"/>
            <w:shd w:val="clear" w:color="auto" w:fill="auto"/>
          </w:tcPr>
          <w:p w14:paraId="5EA21EC9" w14:textId="77777777" w:rsidR="003C66EB" w:rsidRDefault="003C66EB">
            <w:pPr>
              <w:rPr>
                <w:rFonts w:ascii="宋体"/>
                <w:vanish/>
              </w:rPr>
            </w:pPr>
          </w:p>
        </w:tc>
        <w:tc>
          <w:tcPr>
            <w:tcW w:w="0" w:type="auto"/>
            <w:gridSpan w:val="3"/>
            <w:shd w:val="clear" w:color="auto" w:fill="auto"/>
          </w:tcPr>
          <w:p w14:paraId="5EA21ECA" w14:textId="77777777" w:rsidR="003C66EB" w:rsidRDefault="003C66EB">
            <w:pPr>
              <w:rPr>
                <w:rFonts w:ascii="宋体"/>
                <w:vanish/>
              </w:rPr>
            </w:pPr>
          </w:p>
        </w:tc>
      </w:tr>
      <w:tr w:rsidR="003C66EB" w14:paraId="5EA21ED2" w14:textId="77777777">
        <w:trPr>
          <w:hidden/>
        </w:trPr>
        <w:tc>
          <w:tcPr>
            <w:tcW w:w="0" w:type="auto"/>
            <w:gridSpan w:val="3"/>
            <w:shd w:val="clear" w:color="auto" w:fill="auto"/>
          </w:tcPr>
          <w:p w14:paraId="5EA21ECC" w14:textId="77777777" w:rsidR="003C66EB" w:rsidRDefault="003C66EB">
            <w:pPr>
              <w:rPr>
                <w:rFonts w:ascii="宋体"/>
                <w:vanish/>
              </w:rPr>
            </w:pPr>
          </w:p>
        </w:tc>
        <w:tc>
          <w:tcPr>
            <w:tcW w:w="0" w:type="auto"/>
            <w:gridSpan w:val="3"/>
            <w:shd w:val="clear" w:color="auto" w:fill="auto"/>
          </w:tcPr>
          <w:p w14:paraId="5EA21ECD" w14:textId="77777777" w:rsidR="003C66EB" w:rsidRDefault="003C66EB">
            <w:pPr>
              <w:rPr>
                <w:rFonts w:ascii="宋体"/>
                <w:vanish/>
              </w:rPr>
            </w:pPr>
          </w:p>
        </w:tc>
        <w:tc>
          <w:tcPr>
            <w:tcW w:w="0" w:type="auto"/>
            <w:gridSpan w:val="3"/>
            <w:shd w:val="clear" w:color="auto" w:fill="auto"/>
          </w:tcPr>
          <w:p w14:paraId="5EA21ECE" w14:textId="77777777" w:rsidR="003C66EB" w:rsidRDefault="003C66EB">
            <w:pPr>
              <w:rPr>
                <w:rFonts w:ascii="宋体"/>
                <w:vanish/>
              </w:rPr>
            </w:pPr>
          </w:p>
        </w:tc>
        <w:tc>
          <w:tcPr>
            <w:tcW w:w="0" w:type="auto"/>
            <w:gridSpan w:val="3"/>
            <w:shd w:val="clear" w:color="auto" w:fill="auto"/>
          </w:tcPr>
          <w:p w14:paraId="5EA21ECF" w14:textId="77777777" w:rsidR="003C66EB" w:rsidRDefault="003C66EB">
            <w:pPr>
              <w:rPr>
                <w:rFonts w:ascii="宋体"/>
                <w:vanish/>
              </w:rPr>
            </w:pPr>
          </w:p>
        </w:tc>
        <w:tc>
          <w:tcPr>
            <w:tcW w:w="0" w:type="auto"/>
            <w:gridSpan w:val="3"/>
            <w:shd w:val="clear" w:color="auto" w:fill="auto"/>
          </w:tcPr>
          <w:p w14:paraId="5EA21ED0" w14:textId="77777777" w:rsidR="003C66EB" w:rsidRDefault="003C66EB">
            <w:pPr>
              <w:rPr>
                <w:rFonts w:ascii="宋体"/>
                <w:vanish/>
              </w:rPr>
            </w:pPr>
          </w:p>
        </w:tc>
        <w:tc>
          <w:tcPr>
            <w:tcW w:w="0" w:type="auto"/>
            <w:gridSpan w:val="3"/>
            <w:shd w:val="clear" w:color="auto" w:fill="auto"/>
          </w:tcPr>
          <w:p w14:paraId="5EA21ED1" w14:textId="77777777" w:rsidR="003C66EB" w:rsidRDefault="003C66EB">
            <w:pPr>
              <w:rPr>
                <w:rFonts w:ascii="宋体"/>
                <w:vanish/>
              </w:rPr>
            </w:pPr>
          </w:p>
        </w:tc>
      </w:tr>
      <w:tr w:rsidR="003C66EB" w14:paraId="5EA21ED9" w14:textId="77777777">
        <w:trPr>
          <w:hidden/>
        </w:trPr>
        <w:tc>
          <w:tcPr>
            <w:tcW w:w="0" w:type="auto"/>
            <w:gridSpan w:val="3"/>
            <w:shd w:val="clear" w:color="auto" w:fill="auto"/>
          </w:tcPr>
          <w:p w14:paraId="5EA21ED3" w14:textId="77777777" w:rsidR="003C66EB" w:rsidRDefault="003C66EB">
            <w:pPr>
              <w:rPr>
                <w:rFonts w:ascii="宋体"/>
                <w:vanish/>
              </w:rPr>
            </w:pPr>
          </w:p>
        </w:tc>
        <w:tc>
          <w:tcPr>
            <w:tcW w:w="0" w:type="auto"/>
            <w:gridSpan w:val="3"/>
            <w:shd w:val="clear" w:color="auto" w:fill="auto"/>
          </w:tcPr>
          <w:p w14:paraId="5EA21ED4" w14:textId="77777777" w:rsidR="003C66EB" w:rsidRDefault="003C66EB">
            <w:pPr>
              <w:rPr>
                <w:rFonts w:ascii="宋体"/>
                <w:vanish/>
              </w:rPr>
            </w:pPr>
          </w:p>
        </w:tc>
        <w:tc>
          <w:tcPr>
            <w:tcW w:w="0" w:type="auto"/>
            <w:gridSpan w:val="3"/>
            <w:shd w:val="clear" w:color="auto" w:fill="auto"/>
          </w:tcPr>
          <w:p w14:paraId="5EA21ED5" w14:textId="77777777" w:rsidR="003C66EB" w:rsidRDefault="003C66EB">
            <w:pPr>
              <w:rPr>
                <w:rFonts w:ascii="宋体"/>
                <w:vanish/>
              </w:rPr>
            </w:pPr>
          </w:p>
        </w:tc>
        <w:tc>
          <w:tcPr>
            <w:tcW w:w="0" w:type="auto"/>
            <w:gridSpan w:val="3"/>
            <w:shd w:val="clear" w:color="auto" w:fill="auto"/>
          </w:tcPr>
          <w:p w14:paraId="5EA21ED6" w14:textId="77777777" w:rsidR="003C66EB" w:rsidRDefault="003C66EB">
            <w:pPr>
              <w:rPr>
                <w:rFonts w:ascii="宋体"/>
                <w:vanish/>
              </w:rPr>
            </w:pPr>
          </w:p>
        </w:tc>
        <w:tc>
          <w:tcPr>
            <w:tcW w:w="0" w:type="auto"/>
            <w:gridSpan w:val="3"/>
            <w:shd w:val="clear" w:color="auto" w:fill="auto"/>
          </w:tcPr>
          <w:p w14:paraId="5EA21ED7" w14:textId="77777777" w:rsidR="003C66EB" w:rsidRDefault="003C66EB">
            <w:pPr>
              <w:rPr>
                <w:rFonts w:ascii="宋体"/>
                <w:vanish/>
              </w:rPr>
            </w:pPr>
          </w:p>
        </w:tc>
        <w:tc>
          <w:tcPr>
            <w:tcW w:w="0" w:type="auto"/>
            <w:gridSpan w:val="3"/>
            <w:shd w:val="clear" w:color="auto" w:fill="auto"/>
          </w:tcPr>
          <w:p w14:paraId="5EA21ED8" w14:textId="77777777" w:rsidR="003C66EB" w:rsidRDefault="003C66EB">
            <w:pPr>
              <w:rPr>
                <w:rFonts w:ascii="宋体"/>
                <w:vanish/>
              </w:rPr>
            </w:pPr>
          </w:p>
        </w:tc>
      </w:tr>
      <w:tr w:rsidR="003C66EB" w14:paraId="5EA21EE0" w14:textId="77777777">
        <w:trPr>
          <w:hidden/>
        </w:trPr>
        <w:tc>
          <w:tcPr>
            <w:tcW w:w="0" w:type="auto"/>
            <w:gridSpan w:val="3"/>
            <w:shd w:val="clear" w:color="auto" w:fill="auto"/>
          </w:tcPr>
          <w:p w14:paraId="5EA21EDA" w14:textId="77777777" w:rsidR="003C66EB" w:rsidRDefault="003C66EB">
            <w:pPr>
              <w:rPr>
                <w:rFonts w:ascii="宋体"/>
                <w:vanish/>
              </w:rPr>
            </w:pPr>
          </w:p>
        </w:tc>
        <w:tc>
          <w:tcPr>
            <w:tcW w:w="0" w:type="auto"/>
            <w:gridSpan w:val="3"/>
            <w:shd w:val="clear" w:color="auto" w:fill="auto"/>
          </w:tcPr>
          <w:p w14:paraId="5EA21EDB" w14:textId="77777777" w:rsidR="003C66EB" w:rsidRDefault="003C66EB">
            <w:pPr>
              <w:rPr>
                <w:rFonts w:ascii="宋体"/>
                <w:vanish/>
              </w:rPr>
            </w:pPr>
          </w:p>
        </w:tc>
        <w:tc>
          <w:tcPr>
            <w:tcW w:w="0" w:type="auto"/>
            <w:gridSpan w:val="3"/>
            <w:shd w:val="clear" w:color="auto" w:fill="auto"/>
          </w:tcPr>
          <w:p w14:paraId="5EA21EDC" w14:textId="77777777" w:rsidR="003C66EB" w:rsidRDefault="003C66EB">
            <w:pPr>
              <w:rPr>
                <w:rFonts w:ascii="宋体"/>
                <w:vanish/>
              </w:rPr>
            </w:pPr>
          </w:p>
        </w:tc>
        <w:tc>
          <w:tcPr>
            <w:tcW w:w="0" w:type="auto"/>
            <w:gridSpan w:val="3"/>
            <w:shd w:val="clear" w:color="auto" w:fill="auto"/>
          </w:tcPr>
          <w:p w14:paraId="5EA21EDD" w14:textId="77777777" w:rsidR="003C66EB" w:rsidRDefault="003C66EB">
            <w:pPr>
              <w:rPr>
                <w:rFonts w:ascii="宋体"/>
                <w:vanish/>
              </w:rPr>
            </w:pPr>
          </w:p>
        </w:tc>
        <w:tc>
          <w:tcPr>
            <w:tcW w:w="0" w:type="auto"/>
            <w:gridSpan w:val="3"/>
            <w:shd w:val="clear" w:color="auto" w:fill="auto"/>
          </w:tcPr>
          <w:p w14:paraId="5EA21EDE" w14:textId="77777777" w:rsidR="003C66EB" w:rsidRDefault="003C66EB">
            <w:pPr>
              <w:rPr>
                <w:rFonts w:ascii="宋体"/>
                <w:vanish/>
              </w:rPr>
            </w:pPr>
          </w:p>
        </w:tc>
        <w:tc>
          <w:tcPr>
            <w:tcW w:w="0" w:type="auto"/>
            <w:gridSpan w:val="3"/>
            <w:shd w:val="clear" w:color="auto" w:fill="auto"/>
          </w:tcPr>
          <w:p w14:paraId="5EA21EDF" w14:textId="77777777" w:rsidR="003C66EB" w:rsidRDefault="003C66EB">
            <w:pPr>
              <w:rPr>
                <w:rFonts w:ascii="宋体"/>
                <w:vanish/>
              </w:rPr>
            </w:pPr>
          </w:p>
        </w:tc>
      </w:tr>
      <w:tr w:rsidR="003C66EB" w14:paraId="5EA21EE7" w14:textId="77777777">
        <w:trPr>
          <w:hidden/>
        </w:trPr>
        <w:tc>
          <w:tcPr>
            <w:tcW w:w="0" w:type="auto"/>
            <w:gridSpan w:val="3"/>
            <w:shd w:val="clear" w:color="auto" w:fill="auto"/>
          </w:tcPr>
          <w:p w14:paraId="5EA21EE1" w14:textId="77777777" w:rsidR="003C66EB" w:rsidRDefault="003C66EB">
            <w:pPr>
              <w:rPr>
                <w:rFonts w:ascii="宋体"/>
                <w:vanish/>
              </w:rPr>
            </w:pPr>
          </w:p>
        </w:tc>
        <w:tc>
          <w:tcPr>
            <w:tcW w:w="0" w:type="auto"/>
            <w:gridSpan w:val="3"/>
            <w:shd w:val="clear" w:color="auto" w:fill="auto"/>
          </w:tcPr>
          <w:p w14:paraId="5EA21EE2" w14:textId="77777777" w:rsidR="003C66EB" w:rsidRDefault="003C66EB">
            <w:pPr>
              <w:rPr>
                <w:rFonts w:ascii="宋体"/>
                <w:vanish/>
              </w:rPr>
            </w:pPr>
          </w:p>
        </w:tc>
        <w:tc>
          <w:tcPr>
            <w:tcW w:w="0" w:type="auto"/>
            <w:gridSpan w:val="3"/>
            <w:shd w:val="clear" w:color="auto" w:fill="auto"/>
          </w:tcPr>
          <w:p w14:paraId="5EA21EE3" w14:textId="77777777" w:rsidR="003C66EB" w:rsidRDefault="003C66EB">
            <w:pPr>
              <w:rPr>
                <w:rFonts w:ascii="宋体"/>
                <w:vanish/>
              </w:rPr>
            </w:pPr>
          </w:p>
        </w:tc>
        <w:tc>
          <w:tcPr>
            <w:tcW w:w="0" w:type="auto"/>
            <w:gridSpan w:val="3"/>
            <w:shd w:val="clear" w:color="auto" w:fill="auto"/>
          </w:tcPr>
          <w:p w14:paraId="5EA21EE4" w14:textId="77777777" w:rsidR="003C66EB" w:rsidRDefault="003C66EB">
            <w:pPr>
              <w:rPr>
                <w:rFonts w:ascii="宋体"/>
                <w:vanish/>
              </w:rPr>
            </w:pPr>
          </w:p>
        </w:tc>
        <w:tc>
          <w:tcPr>
            <w:tcW w:w="0" w:type="auto"/>
            <w:gridSpan w:val="3"/>
            <w:shd w:val="clear" w:color="auto" w:fill="auto"/>
          </w:tcPr>
          <w:p w14:paraId="5EA21EE5" w14:textId="77777777" w:rsidR="003C66EB" w:rsidRDefault="003C66EB">
            <w:pPr>
              <w:rPr>
                <w:rFonts w:ascii="宋体"/>
                <w:vanish/>
              </w:rPr>
            </w:pPr>
          </w:p>
        </w:tc>
        <w:tc>
          <w:tcPr>
            <w:tcW w:w="0" w:type="auto"/>
            <w:gridSpan w:val="3"/>
            <w:shd w:val="clear" w:color="auto" w:fill="auto"/>
          </w:tcPr>
          <w:p w14:paraId="5EA21EE6" w14:textId="77777777" w:rsidR="003C66EB" w:rsidRDefault="003C66EB">
            <w:pPr>
              <w:rPr>
                <w:rFonts w:ascii="宋体"/>
                <w:vanish/>
              </w:rPr>
            </w:pPr>
          </w:p>
        </w:tc>
      </w:tr>
      <w:tr w:rsidR="003C66EB" w14:paraId="5EA21EEE" w14:textId="77777777">
        <w:trPr>
          <w:hidden/>
        </w:trPr>
        <w:tc>
          <w:tcPr>
            <w:tcW w:w="0" w:type="auto"/>
            <w:gridSpan w:val="3"/>
            <w:shd w:val="clear" w:color="auto" w:fill="auto"/>
          </w:tcPr>
          <w:p w14:paraId="5EA21EE8" w14:textId="77777777" w:rsidR="003C66EB" w:rsidRDefault="003C66EB">
            <w:pPr>
              <w:rPr>
                <w:rFonts w:ascii="宋体"/>
                <w:vanish/>
              </w:rPr>
            </w:pPr>
          </w:p>
        </w:tc>
        <w:tc>
          <w:tcPr>
            <w:tcW w:w="0" w:type="auto"/>
            <w:gridSpan w:val="3"/>
            <w:shd w:val="clear" w:color="auto" w:fill="auto"/>
          </w:tcPr>
          <w:p w14:paraId="5EA21EE9" w14:textId="77777777" w:rsidR="003C66EB" w:rsidRDefault="003C66EB">
            <w:pPr>
              <w:rPr>
                <w:rFonts w:ascii="宋体"/>
                <w:vanish/>
              </w:rPr>
            </w:pPr>
          </w:p>
        </w:tc>
        <w:tc>
          <w:tcPr>
            <w:tcW w:w="0" w:type="auto"/>
            <w:gridSpan w:val="3"/>
            <w:shd w:val="clear" w:color="auto" w:fill="auto"/>
          </w:tcPr>
          <w:p w14:paraId="5EA21EEA" w14:textId="77777777" w:rsidR="003C66EB" w:rsidRDefault="003C66EB">
            <w:pPr>
              <w:rPr>
                <w:rFonts w:ascii="宋体"/>
                <w:vanish/>
              </w:rPr>
            </w:pPr>
          </w:p>
        </w:tc>
        <w:tc>
          <w:tcPr>
            <w:tcW w:w="0" w:type="auto"/>
            <w:gridSpan w:val="3"/>
            <w:shd w:val="clear" w:color="auto" w:fill="auto"/>
          </w:tcPr>
          <w:p w14:paraId="5EA21EEB" w14:textId="77777777" w:rsidR="003C66EB" w:rsidRDefault="003C66EB">
            <w:pPr>
              <w:rPr>
                <w:rFonts w:ascii="宋体"/>
                <w:vanish/>
              </w:rPr>
            </w:pPr>
          </w:p>
        </w:tc>
        <w:tc>
          <w:tcPr>
            <w:tcW w:w="0" w:type="auto"/>
            <w:gridSpan w:val="3"/>
            <w:shd w:val="clear" w:color="auto" w:fill="auto"/>
          </w:tcPr>
          <w:p w14:paraId="5EA21EEC" w14:textId="77777777" w:rsidR="003C66EB" w:rsidRDefault="003C66EB">
            <w:pPr>
              <w:rPr>
                <w:rFonts w:ascii="宋体"/>
                <w:vanish/>
              </w:rPr>
            </w:pPr>
          </w:p>
        </w:tc>
        <w:tc>
          <w:tcPr>
            <w:tcW w:w="0" w:type="auto"/>
            <w:gridSpan w:val="3"/>
            <w:shd w:val="clear" w:color="auto" w:fill="auto"/>
          </w:tcPr>
          <w:p w14:paraId="5EA21EED" w14:textId="77777777" w:rsidR="003C66EB" w:rsidRDefault="003C66EB">
            <w:pPr>
              <w:rPr>
                <w:rFonts w:ascii="宋体"/>
                <w:vanish/>
              </w:rPr>
            </w:pPr>
          </w:p>
        </w:tc>
      </w:tr>
      <w:tr w:rsidR="003C66EB" w14:paraId="5EA21EF5" w14:textId="77777777">
        <w:trPr>
          <w:hidden/>
        </w:trPr>
        <w:tc>
          <w:tcPr>
            <w:tcW w:w="0" w:type="auto"/>
            <w:gridSpan w:val="3"/>
            <w:shd w:val="clear" w:color="auto" w:fill="auto"/>
          </w:tcPr>
          <w:p w14:paraId="5EA21EEF" w14:textId="77777777" w:rsidR="003C66EB" w:rsidRDefault="003C66EB">
            <w:pPr>
              <w:rPr>
                <w:rFonts w:ascii="宋体"/>
                <w:vanish/>
              </w:rPr>
            </w:pPr>
          </w:p>
        </w:tc>
        <w:tc>
          <w:tcPr>
            <w:tcW w:w="0" w:type="auto"/>
            <w:gridSpan w:val="3"/>
            <w:shd w:val="clear" w:color="auto" w:fill="auto"/>
          </w:tcPr>
          <w:p w14:paraId="5EA21EF0" w14:textId="77777777" w:rsidR="003C66EB" w:rsidRDefault="003C66EB">
            <w:pPr>
              <w:rPr>
                <w:rFonts w:ascii="宋体"/>
                <w:vanish/>
              </w:rPr>
            </w:pPr>
          </w:p>
        </w:tc>
        <w:tc>
          <w:tcPr>
            <w:tcW w:w="0" w:type="auto"/>
            <w:gridSpan w:val="3"/>
            <w:shd w:val="clear" w:color="auto" w:fill="auto"/>
          </w:tcPr>
          <w:p w14:paraId="5EA21EF1" w14:textId="77777777" w:rsidR="003C66EB" w:rsidRDefault="003C66EB">
            <w:pPr>
              <w:rPr>
                <w:rFonts w:ascii="宋体"/>
                <w:vanish/>
              </w:rPr>
            </w:pPr>
          </w:p>
        </w:tc>
        <w:tc>
          <w:tcPr>
            <w:tcW w:w="0" w:type="auto"/>
            <w:gridSpan w:val="3"/>
            <w:shd w:val="clear" w:color="auto" w:fill="auto"/>
          </w:tcPr>
          <w:p w14:paraId="5EA21EF2" w14:textId="77777777" w:rsidR="003C66EB" w:rsidRDefault="003C66EB">
            <w:pPr>
              <w:rPr>
                <w:rFonts w:ascii="宋体"/>
                <w:vanish/>
              </w:rPr>
            </w:pPr>
          </w:p>
        </w:tc>
        <w:tc>
          <w:tcPr>
            <w:tcW w:w="0" w:type="auto"/>
            <w:gridSpan w:val="3"/>
            <w:shd w:val="clear" w:color="auto" w:fill="auto"/>
          </w:tcPr>
          <w:p w14:paraId="5EA21EF3" w14:textId="77777777" w:rsidR="003C66EB" w:rsidRDefault="003C66EB">
            <w:pPr>
              <w:rPr>
                <w:rFonts w:ascii="宋体"/>
                <w:vanish/>
              </w:rPr>
            </w:pPr>
          </w:p>
        </w:tc>
        <w:tc>
          <w:tcPr>
            <w:tcW w:w="0" w:type="auto"/>
            <w:gridSpan w:val="3"/>
            <w:shd w:val="clear" w:color="auto" w:fill="auto"/>
          </w:tcPr>
          <w:p w14:paraId="5EA21EF4" w14:textId="77777777" w:rsidR="003C66EB" w:rsidRDefault="003C66EB">
            <w:pPr>
              <w:rPr>
                <w:rFonts w:ascii="宋体"/>
                <w:vanish/>
              </w:rPr>
            </w:pPr>
          </w:p>
        </w:tc>
      </w:tr>
      <w:tr w:rsidR="003C66EB" w14:paraId="5EA21EFC" w14:textId="77777777">
        <w:trPr>
          <w:hidden/>
        </w:trPr>
        <w:tc>
          <w:tcPr>
            <w:tcW w:w="0" w:type="auto"/>
            <w:gridSpan w:val="3"/>
            <w:shd w:val="clear" w:color="auto" w:fill="auto"/>
          </w:tcPr>
          <w:p w14:paraId="5EA21EF6" w14:textId="77777777" w:rsidR="003C66EB" w:rsidRDefault="003C66EB">
            <w:pPr>
              <w:rPr>
                <w:rFonts w:ascii="宋体"/>
                <w:vanish/>
              </w:rPr>
            </w:pPr>
          </w:p>
        </w:tc>
        <w:tc>
          <w:tcPr>
            <w:tcW w:w="0" w:type="auto"/>
            <w:gridSpan w:val="3"/>
            <w:shd w:val="clear" w:color="auto" w:fill="auto"/>
          </w:tcPr>
          <w:p w14:paraId="5EA21EF7" w14:textId="77777777" w:rsidR="003C66EB" w:rsidRDefault="003C66EB">
            <w:pPr>
              <w:rPr>
                <w:rFonts w:ascii="宋体"/>
                <w:vanish/>
              </w:rPr>
            </w:pPr>
          </w:p>
        </w:tc>
        <w:tc>
          <w:tcPr>
            <w:tcW w:w="0" w:type="auto"/>
            <w:gridSpan w:val="3"/>
            <w:shd w:val="clear" w:color="auto" w:fill="auto"/>
          </w:tcPr>
          <w:p w14:paraId="5EA21EF8" w14:textId="77777777" w:rsidR="003C66EB" w:rsidRDefault="003C66EB">
            <w:pPr>
              <w:rPr>
                <w:rFonts w:ascii="宋体"/>
                <w:vanish/>
              </w:rPr>
            </w:pPr>
          </w:p>
        </w:tc>
        <w:tc>
          <w:tcPr>
            <w:tcW w:w="0" w:type="auto"/>
            <w:gridSpan w:val="3"/>
            <w:shd w:val="clear" w:color="auto" w:fill="auto"/>
          </w:tcPr>
          <w:p w14:paraId="5EA21EF9" w14:textId="77777777" w:rsidR="003C66EB" w:rsidRDefault="003C66EB">
            <w:pPr>
              <w:rPr>
                <w:rFonts w:ascii="宋体"/>
                <w:vanish/>
              </w:rPr>
            </w:pPr>
          </w:p>
        </w:tc>
        <w:tc>
          <w:tcPr>
            <w:tcW w:w="0" w:type="auto"/>
            <w:gridSpan w:val="3"/>
            <w:shd w:val="clear" w:color="auto" w:fill="auto"/>
          </w:tcPr>
          <w:p w14:paraId="5EA21EFA" w14:textId="77777777" w:rsidR="003C66EB" w:rsidRDefault="003C66EB">
            <w:pPr>
              <w:rPr>
                <w:rFonts w:ascii="宋体"/>
                <w:vanish/>
              </w:rPr>
            </w:pPr>
          </w:p>
        </w:tc>
        <w:tc>
          <w:tcPr>
            <w:tcW w:w="0" w:type="auto"/>
            <w:gridSpan w:val="3"/>
            <w:shd w:val="clear" w:color="auto" w:fill="auto"/>
          </w:tcPr>
          <w:p w14:paraId="5EA21EFB" w14:textId="77777777" w:rsidR="003C66EB" w:rsidRDefault="003C66EB">
            <w:pPr>
              <w:rPr>
                <w:rFonts w:ascii="宋体"/>
                <w:vanish/>
              </w:rPr>
            </w:pPr>
          </w:p>
        </w:tc>
      </w:tr>
    </w:tbl>
    <w:p w14:paraId="5EA21EFD" w14:textId="77777777" w:rsidR="003C66EB" w:rsidRDefault="003C66EB">
      <w:pPr>
        <w:spacing w:before="90"/>
        <w:ind w:firstLine="450"/>
        <w:jc w:val="center"/>
      </w:pPr>
    </w:p>
    <w:p w14:paraId="5EA21EFE" w14:textId="77777777" w:rsidR="003C66EB" w:rsidRDefault="003C66EB">
      <w:pPr>
        <w:spacing w:before="90"/>
        <w:ind w:firstLine="450"/>
        <w:jc w:val="center"/>
      </w:pPr>
    </w:p>
    <w:p w14:paraId="5EA21EFF" w14:textId="77777777" w:rsidR="003C66EB" w:rsidRDefault="003C66EB">
      <w:pPr>
        <w:spacing w:before="90"/>
        <w:ind w:firstLine="450"/>
        <w:jc w:val="center"/>
      </w:pPr>
    </w:p>
    <w:p w14:paraId="5EA21F00" w14:textId="77777777" w:rsidR="003C66EB" w:rsidRDefault="003C66EB">
      <w:pPr>
        <w:spacing w:before="90"/>
        <w:ind w:firstLine="450"/>
        <w:jc w:val="center"/>
      </w:pPr>
    </w:p>
    <w:p w14:paraId="5EA21F01" w14:textId="77777777" w:rsidR="003C66EB" w:rsidRDefault="003C66EB">
      <w:pPr>
        <w:spacing w:before="90"/>
        <w:ind w:firstLine="450"/>
        <w:jc w:val="center"/>
      </w:pPr>
    </w:p>
    <w:p w14:paraId="5EA21F02" w14:textId="77777777" w:rsidR="003C66EB" w:rsidRDefault="003C66EB">
      <w:pPr>
        <w:ind w:firstLine="450"/>
      </w:pPr>
    </w:p>
    <w:p w14:paraId="5EA21F03" w14:textId="77777777" w:rsidR="003C66EB" w:rsidRDefault="003C66EB">
      <w:pPr>
        <w:ind w:firstLine="450"/>
      </w:pPr>
    </w:p>
    <w:p w14:paraId="5EA21F04" w14:textId="77777777" w:rsidR="003C66EB" w:rsidRDefault="003C66EB">
      <w:pPr>
        <w:spacing w:before="60"/>
        <w:ind w:firstLine="450"/>
      </w:pPr>
    </w:p>
    <w:p w14:paraId="5EA21F05" w14:textId="77777777" w:rsidR="003C66EB" w:rsidRDefault="003C66EB">
      <w:pPr>
        <w:spacing w:before="60"/>
        <w:ind w:firstLine="450"/>
      </w:pPr>
    </w:p>
    <w:p w14:paraId="5EA21F06" w14:textId="77777777" w:rsidR="003C66EB" w:rsidRDefault="003C66EB">
      <w:pPr>
        <w:spacing w:before="60"/>
        <w:ind w:firstLine="450"/>
      </w:pPr>
    </w:p>
    <w:p w14:paraId="5EA21F07" w14:textId="77777777" w:rsidR="003C66EB" w:rsidRDefault="003C66EB">
      <w:pPr>
        <w:spacing w:before="60"/>
        <w:ind w:firstLine="450"/>
      </w:pPr>
    </w:p>
    <w:p w14:paraId="5EA21F08" w14:textId="77777777" w:rsidR="003C66EB" w:rsidRDefault="003C66EB">
      <w:pPr>
        <w:spacing w:before="60"/>
        <w:ind w:firstLine="450"/>
      </w:pPr>
    </w:p>
    <w:p w14:paraId="5EA21F09" w14:textId="77777777" w:rsidR="003C66EB" w:rsidRDefault="003C66EB">
      <w:pPr>
        <w:spacing w:before="60"/>
        <w:ind w:firstLine="450"/>
      </w:pPr>
    </w:p>
    <w:p w14:paraId="5EA21F0A" w14:textId="77777777" w:rsidR="003C66EB" w:rsidRDefault="003C66EB">
      <w:pPr>
        <w:spacing w:before="60"/>
        <w:ind w:firstLine="450"/>
      </w:pPr>
    </w:p>
    <w:p w14:paraId="5EA21F0B" w14:textId="77777777" w:rsidR="003C66EB" w:rsidRDefault="003C66EB">
      <w:pPr>
        <w:spacing w:before="60"/>
        <w:ind w:firstLine="450"/>
      </w:pPr>
    </w:p>
    <w:p w14:paraId="5EA21F0C" w14:textId="77777777" w:rsidR="003C66EB" w:rsidRDefault="003C66EB">
      <w:pPr>
        <w:spacing w:before="60"/>
        <w:ind w:firstLine="450"/>
      </w:pPr>
    </w:p>
    <w:p w14:paraId="5EA21F0D" w14:textId="77777777" w:rsidR="003C66EB" w:rsidRDefault="003C66EB">
      <w:pPr>
        <w:spacing w:before="60"/>
        <w:ind w:firstLine="450"/>
      </w:pPr>
    </w:p>
    <w:p w14:paraId="5EA21F0E" w14:textId="77777777" w:rsidR="003C66EB" w:rsidRDefault="003C66EB">
      <w:pPr>
        <w:spacing w:before="60"/>
        <w:ind w:firstLine="450"/>
      </w:pPr>
    </w:p>
    <w:p w14:paraId="5EA21F0F" w14:textId="77777777" w:rsidR="003C66EB" w:rsidRDefault="003C66EB">
      <w:pPr>
        <w:spacing w:before="60"/>
        <w:ind w:firstLine="450"/>
      </w:pPr>
    </w:p>
    <w:p w14:paraId="5EA21F10" w14:textId="77777777" w:rsidR="003C66EB" w:rsidRDefault="003C66EB">
      <w:pPr>
        <w:spacing w:before="60"/>
        <w:ind w:firstLine="450"/>
      </w:pPr>
    </w:p>
    <w:p w14:paraId="5EA21F11" w14:textId="77777777" w:rsidR="003C66EB" w:rsidRDefault="003C66EB">
      <w:pPr>
        <w:spacing w:before="60"/>
        <w:ind w:firstLine="450"/>
      </w:pPr>
    </w:p>
    <w:p w14:paraId="5EA21F12" w14:textId="77777777" w:rsidR="003C66EB" w:rsidRDefault="003C66EB">
      <w:pPr>
        <w:spacing w:before="60"/>
        <w:ind w:firstLine="450"/>
      </w:pPr>
    </w:p>
    <w:p w14:paraId="5EA21F13" w14:textId="77777777" w:rsidR="003C66EB" w:rsidRDefault="003C66EB">
      <w:pPr>
        <w:spacing w:before="60"/>
        <w:ind w:firstLine="450"/>
      </w:pPr>
    </w:p>
    <w:p w14:paraId="5EA21F14" w14:textId="77777777" w:rsidR="003C66EB" w:rsidRDefault="003C66EB">
      <w:pPr>
        <w:spacing w:before="60"/>
        <w:ind w:firstLine="450"/>
      </w:pPr>
    </w:p>
    <w:p w14:paraId="5EA21F15" w14:textId="77777777" w:rsidR="003C66EB" w:rsidRDefault="003C66EB">
      <w:pPr>
        <w:spacing w:before="60"/>
        <w:ind w:firstLine="450"/>
      </w:pPr>
    </w:p>
    <w:p w14:paraId="5EA21F16" w14:textId="77777777" w:rsidR="003C66EB" w:rsidRDefault="003C66EB">
      <w:pPr>
        <w:spacing w:before="60"/>
        <w:ind w:firstLine="450"/>
      </w:pPr>
    </w:p>
    <w:p w14:paraId="5EA21F17" w14:textId="77777777" w:rsidR="003C66EB" w:rsidRDefault="003C66EB">
      <w:pPr>
        <w:spacing w:before="60"/>
        <w:ind w:firstLine="450"/>
      </w:pPr>
    </w:p>
    <w:p w14:paraId="5EA21F18" w14:textId="77777777" w:rsidR="003C66EB" w:rsidRDefault="003C66EB">
      <w:pPr>
        <w:spacing w:before="60"/>
        <w:ind w:firstLine="450"/>
      </w:pPr>
    </w:p>
    <w:p w14:paraId="5EA21F19" w14:textId="77777777" w:rsidR="003C66EB" w:rsidRDefault="003C66EB">
      <w:pPr>
        <w:spacing w:before="60"/>
        <w:ind w:firstLine="450"/>
      </w:pPr>
    </w:p>
    <w:p w14:paraId="5EA21F1A" w14:textId="77777777" w:rsidR="003C66EB" w:rsidRDefault="003C66EB">
      <w:pPr>
        <w:spacing w:before="60"/>
        <w:ind w:firstLine="450"/>
      </w:pPr>
    </w:p>
    <w:p w14:paraId="5EA21F1B" w14:textId="77777777" w:rsidR="003C66EB" w:rsidRDefault="003C66EB">
      <w:pPr>
        <w:spacing w:before="60"/>
        <w:ind w:firstLine="450"/>
      </w:pPr>
    </w:p>
    <w:p w14:paraId="5EA21F1C" w14:textId="77777777" w:rsidR="003C66EB" w:rsidRDefault="00D96C4E">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A21F1D" w14:textId="77777777" w:rsidR="003C66EB" w:rsidRDefault="00D96C4E">
      <w:pPr>
        <w:ind w:firstLine="450"/>
        <w:jc w:val="right"/>
      </w:pPr>
      <w:r>
        <w:rPr>
          <w:rFonts w:ascii="Arial" w:eastAsia="宋体" w:hAnsi="Arial" w:cs="Arial"/>
          <w:color w:val="000000"/>
          <w:sz w:val="18"/>
          <w:szCs w:val="18"/>
        </w:rPr>
        <w:t>State Street Corporation | 49</w:t>
      </w:r>
    </w:p>
    <w:p w14:paraId="5EA21F1E" w14:textId="77777777" w:rsidR="003C66EB" w:rsidRDefault="003C66EB">
      <w:pPr>
        <w:ind w:firstLine="450"/>
        <w:jc w:val="center"/>
      </w:pPr>
    </w:p>
    <w:p w14:paraId="5EA21F1F" w14:textId="77777777" w:rsidR="003C66EB" w:rsidRDefault="00D96C4E">
      <w:r>
        <w:pict w14:anchorId="5EA287E1">
          <v:rect id="_x0000_i1073" style="width:415.3pt;height:1.5pt" o:hralign="center" o:hrstd="t" o:hr="t" fillcolor="#a0a0a0" stroked="f"/>
        </w:pict>
      </w:r>
    </w:p>
    <w:p w14:paraId="5EA21F20" w14:textId="77777777" w:rsidR="003C66EB" w:rsidRDefault="003C66EB">
      <w:pPr>
        <w:ind w:firstLine="450"/>
      </w:pPr>
    </w:p>
    <w:p w14:paraId="5EA21F21" w14:textId="77777777" w:rsidR="003C66EB" w:rsidRDefault="00D96C4E">
      <w:pPr>
        <w:ind w:firstLine="450"/>
        <w:jc w:val="center"/>
      </w:pPr>
      <w:r>
        <w:rPr>
          <w:rFonts w:ascii="Arial" w:eastAsia="宋体" w:hAnsi="Arial" w:cs="Arial"/>
          <w:b/>
          <w:bCs/>
          <w:color w:val="000000"/>
          <w:sz w:val="20"/>
          <w:szCs w:val="20"/>
        </w:rPr>
        <w:t>STATE STREET CORPORATION</w:t>
      </w:r>
    </w:p>
    <w:p w14:paraId="5EA21F22" w14:textId="77777777" w:rsidR="003C66EB" w:rsidRDefault="00D96C4E">
      <w:pPr>
        <w:spacing w:after="40"/>
        <w:ind w:firstLine="450"/>
        <w:jc w:val="center"/>
      </w:pPr>
      <w:r>
        <w:rPr>
          <w:rFonts w:ascii="Arial" w:eastAsia="宋体" w:hAnsi="Arial" w:cs="Arial"/>
          <w:b/>
          <w:bCs/>
          <w:color w:val="000000"/>
          <w:sz w:val="20"/>
          <w:szCs w:val="20"/>
        </w:rPr>
        <w:t xml:space="preserve">CONSOLIDATED STATEMENT OF </w:t>
      </w:r>
      <w:r>
        <w:rPr>
          <w:rFonts w:ascii="Arial" w:eastAsia="宋体" w:hAnsi="Arial" w:cs="Arial"/>
          <w:b/>
          <w:bCs/>
          <w:color w:val="000000"/>
          <w:sz w:val="20"/>
          <w:szCs w:val="20"/>
        </w:rPr>
        <w:t>CONDITION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068"/>
        <w:gridCol w:w="39"/>
        <w:gridCol w:w="122"/>
        <w:gridCol w:w="1400"/>
        <w:gridCol w:w="37"/>
        <w:gridCol w:w="36"/>
        <w:gridCol w:w="36"/>
        <w:gridCol w:w="36"/>
        <w:gridCol w:w="122"/>
        <w:gridCol w:w="1364"/>
        <w:gridCol w:w="36"/>
      </w:tblGrid>
      <w:tr w:rsidR="003C66EB" w14:paraId="5EA21F2F" w14:textId="77777777">
        <w:tc>
          <w:tcPr>
            <w:tcW w:w="50" w:type="pct"/>
            <w:shd w:val="clear" w:color="auto" w:fill="auto"/>
          </w:tcPr>
          <w:p w14:paraId="5EA21F23" w14:textId="77777777" w:rsidR="003C66EB" w:rsidRDefault="003C66EB">
            <w:pPr>
              <w:rPr>
                <w:rFonts w:ascii="宋体"/>
              </w:rPr>
            </w:pPr>
          </w:p>
        </w:tc>
        <w:tc>
          <w:tcPr>
            <w:tcW w:w="3066" w:type="pct"/>
            <w:shd w:val="clear" w:color="auto" w:fill="auto"/>
          </w:tcPr>
          <w:p w14:paraId="5EA21F24" w14:textId="77777777" w:rsidR="003C66EB" w:rsidRDefault="003C66EB">
            <w:pPr>
              <w:rPr>
                <w:rFonts w:ascii="宋体"/>
              </w:rPr>
            </w:pPr>
          </w:p>
        </w:tc>
        <w:tc>
          <w:tcPr>
            <w:tcW w:w="5" w:type="pct"/>
            <w:shd w:val="clear" w:color="auto" w:fill="auto"/>
          </w:tcPr>
          <w:p w14:paraId="5EA21F25" w14:textId="77777777" w:rsidR="003C66EB" w:rsidRDefault="003C66EB">
            <w:pPr>
              <w:rPr>
                <w:rFonts w:ascii="宋体"/>
              </w:rPr>
            </w:pPr>
          </w:p>
        </w:tc>
        <w:tc>
          <w:tcPr>
            <w:tcW w:w="50" w:type="pct"/>
            <w:shd w:val="clear" w:color="auto" w:fill="auto"/>
          </w:tcPr>
          <w:p w14:paraId="5EA21F26" w14:textId="77777777" w:rsidR="003C66EB" w:rsidRDefault="003C66EB">
            <w:pPr>
              <w:rPr>
                <w:rFonts w:ascii="宋体"/>
              </w:rPr>
            </w:pPr>
          </w:p>
        </w:tc>
        <w:tc>
          <w:tcPr>
            <w:tcW w:w="866" w:type="pct"/>
            <w:shd w:val="clear" w:color="auto" w:fill="auto"/>
          </w:tcPr>
          <w:p w14:paraId="5EA21F27" w14:textId="77777777" w:rsidR="003C66EB" w:rsidRDefault="003C66EB">
            <w:pPr>
              <w:rPr>
                <w:rFonts w:ascii="宋体"/>
              </w:rPr>
            </w:pPr>
          </w:p>
        </w:tc>
        <w:tc>
          <w:tcPr>
            <w:tcW w:w="5" w:type="pct"/>
            <w:shd w:val="clear" w:color="auto" w:fill="auto"/>
          </w:tcPr>
          <w:p w14:paraId="5EA21F28" w14:textId="77777777" w:rsidR="003C66EB" w:rsidRDefault="003C66EB">
            <w:pPr>
              <w:rPr>
                <w:rFonts w:ascii="宋体"/>
              </w:rPr>
            </w:pPr>
          </w:p>
        </w:tc>
        <w:tc>
          <w:tcPr>
            <w:tcW w:w="5" w:type="pct"/>
            <w:shd w:val="clear" w:color="auto" w:fill="auto"/>
          </w:tcPr>
          <w:p w14:paraId="5EA21F29" w14:textId="77777777" w:rsidR="003C66EB" w:rsidRDefault="003C66EB">
            <w:pPr>
              <w:rPr>
                <w:rFonts w:ascii="宋体"/>
              </w:rPr>
            </w:pPr>
          </w:p>
        </w:tc>
        <w:tc>
          <w:tcPr>
            <w:tcW w:w="26" w:type="pct"/>
            <w:shd w:val="clear" w:color="auto" w:fill="auto"/>
          </w:tcPr>
          <w:p w14:paraId="5EA21F2A" w14:textId="77777777" w:rsidR="003C66EB" w:rsidRDefault="003C66EB">
            <w:pPr>
              <w:rPr>
                <w:rFonts w:ascii="宋体"/>
              </w:rPr>
            </w:pPr>
          </w:p>
        </w:tc>
        <w:tc>
          <w:tcPr>
            <w:tcW w:w="5" w:type="pct"/>
            <w:shd w:val="clear" w:color="auto" w:fill="auto"/>
          </w:tcPr>
          <w:p w14:paraId="5EA21F2B" w14:textId="77777777" w:rsidR="003C66EB" w:rsidRDefault="003C66EB">
            <w:pPr>
              <w:rPr>
                <w:rFonts w:ascii="宋体"/>
              </w:rPr>
            </w:pPr>
          </w:p>
        </w:tc>
        <w:tc>
          <w:tcPr>
            <w:tcW w:w="50" w:type="pct"/>
            <w:shd w:val="clear" w:color="auto" w:fill="auto"/>
          </w:tcPr>
          <w:p w14:paraId="5EA21F2C" w14:textId="77777777" w:rsidR="003C66EB" w:rsidRDefault="003C66EB">
            <w:pPr>
              <w:rPr>
                <w:rFonts w:ascii="宋体"/>
              </w:rPr>
            </w:pPr>
          </w:p>
        </w:tc>
        <w:tc>
          <w:tcPr>
            <w:tcW w:w="866" w:type="pct"/>
            <w:shd w:val="clear" w:color="auto" w:fill="auto"/>
          </w:tcPr>
          <w:p w14:paraId="5EA21F2D" w14:textId="77777777" w:rsidR="003C66EB" w:rsidRDefault="003C66EB">
            <w:pPr>
              <w:rPr>
                <w:rFonts w:ascii="宋体"/>
              </w:rPr>
            </w:pPr>
          </w:p>
        </w:tc>
        <w:tc>
          <w:tcPr>
            <w:tcW w:w="5" w:type="pct"/>
            <w:shd w:val="clear" w:color="auto" w:fill="auto"/>
          </w:tcPr>
          <w:p w14:paraId="5EA21F2E" w14:textId="77777777" w:rsidR="003C66EB" w:rsidRDefault="003C66EB">
            <w:pPr>
              <w:rPr>
                <w:rFonts w:ascii="宋体"/>
              </w:rPr>
            </w:pPr>
          </w:p>
        </w:tc>
      </w:tr>
      <w:tr w:rsidR="003C66EB" w14:paraId="5EA21F34" w14:textId="77777777">
        <w:tc>
          <w:tcPr>
            <w:tcW w:w="0" w:type="auto"/>
            <w:gridSpan w:val="3"/>
            <w:shd w:val="clear" w:color="auto" w:fill="auto"/>
            <w:tcMar>
              <w:top w:w="0" w:type="dxa"/>
              <w:left w:w="20" w:type="dxa"/>
              <w:bottom w:w="0" w:type="dxa"/>
              <w:right w:w="20" w:type="dxa"/>
            </w:tcMar>
          </w:tcPr>
          <w:p w14:paraId="5EA21F3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F31" w14:textId="77777777" w:rsidR="003C66EB" w:rsidRDefault="00D96C4E">
            <w:pPr>
              <w:jc w:val="center"/>
              <w:textAlignment w:val="bottom"/>
            </w:pPr>
            <w:r>
              <w:rPr>
                <w:rFonts w:ascii="Arial" w:eastAsia="宋体" w:hAnsi="Arial" w:cs="Arial"/>
                <w:b/>
                <w:bCs/>
                <w:color w:val="000000"/>
                <w:sz w:val="18"/>
                <w:szCs w:val="18"/>
              </w:rPr>
              <w:t>March 31, 2021</w:t>
            </w:r>
          </w:p>
        </w:tc>
        <w:tc>
          <w:tcPr>
            <w:tcW w:w="0" w:type="auto"/>
            <w:gridSpan w:val="3"/>
            <w:shd w:val="clear" w:color="auto" w:fill="auto"/>
            <w:tcMar>
              <w:top w:w="0" w:type="dxa"/>
              <w:left w:w="20" w:type="dxa"/>
              <w:bottom w:w="0" w:type="dxa"/>
              <w:right w:w="20" w:type="dxa"/>
            </w:tcMar>
          </w:tcPr>
          <w:p w14:paraId="5EA21F32"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1F33" w14:textId="77777777" w:rsidR="003C66EB" w:rsidRDefault="00D96C4E">
            <w:pPr>
              <w:jc w:val="center"/>
              <w:textAlignment w:val="bottom"/>
            </w:pPr>
            <w:r>
              <w:rPr>
                <w:rFonts w:ascii="Arial" w:eastAsia="宋体" w:hAnsi="Arial" w:cs="Arial"/>
                <w:b/>
                <w:bCs/>
                <w:color w:val="000000"/>
                <w:sz w:val="18"/>
                <w:szCs w:val="18"/>
              </w:rPr>
              <w:t>December 31, 2020</w:t>
            </w:r>
          </w:p>
        </w:tc>
      </w:tr>
      <w:tr w:rsidR="003C66EB" w14:paraId="5EA21F3D" w14:textId="77777777">
        <w:trPr>
          <w:hidden/>
        </w:trPr>
        <w:tc>
          <w:tcPr>
            <w:tcW w:w="0" w:type="auto"/>
            <w:gridSpan w:val="3"/>
            <w:shd w:val="clear" w:color="auto" w:fill="auto"/>
          </w:tcPr>
          <w:p w14:paraId="5EA21F35" w14:textId="77777777" w:rsidR="003C66EB" w:rsidRDefault="003C66EB">
            <w:pPr>
              <w:rPr>
                <w:rFonts w:ascii="宋体"/>
                <w:vanish/>
              </w:rPr>
            </w:pPr>
          </w:p>
        </w:tc>
        <w:tc>
          <w:tcPr>
            <w:tcW w:w="0" w:type="auto"/>
            <w:gridSpan w:val="3"/>
            <w:shd w:val="clear" w:color="auto" w:fill="auto"/>
          </w:tcPr>
          <w:p w14:paraId="5EA21F36" w14:textId="77777777" w:rsidR="003C66EB" w:rsidRDefault="003C66EB">
            <w:pPr>
              <w:rPr>
                <w:rFonts w:ascii="宋体"/>
                <w:vanish/>
              </w:rPr>
            </w:pPr>
          </w:p>
        </w:tc>
        <w:tc>
          <w:tcPr>
            <w:tcW w:w="0" w:type="auto"/>
            <w:shd w:val="clear" w:color="auto" w:fill="auto"/>
          </w:tcPr>
          <w:p w14:paraId="5EA21F37" w14:textId="77777777" w:rsidR="003C66EB" w:rsidRDefault="003C66EB">
            <w:pPr>
              <w:rPr>
                <w:rFonts w:ascii="宋体"/>
              </w:rPr>
            </w:pPr>
          </w:p>
        </w:tc>
        <w:tc>
          <w:tcPr>
            <w:tcW w:w="0" w:type="auto"/>
            <w:shd w:val="clear" w:color="auto" w:fill="auto"/>
          </w:tcPr>
          <w:p w14:paraId="5EA21F38" w14:textId="77777777" w:rsidR="003C66EB" w:rsidRDefault="003C66EB">
            <w:pPr>
              <w:rPr>
                <w:rFonts w:ascii="宋体"/>
              </w:rPr>
            </w:pPr>
          </w:p>
        </w:tc>
        <w:tc>
          <w:tcPr>
            <w:tcW w:w="0" w:type="auto"/>
            <w:shd w:val="clear" w:color="auto" w:fill="auto"/>
          </w:tcPr>
          <w:p w14:paraId="5EA21F39" w14:textId="77777777" w:rsidR="003C66EB" w:rsidRDefault="003C66EB">
            <w:pPr>
              <w:rPr>
                <w:rFonts w:ascii="宋体"/>
              </w:rPr>
            </w:pPr>
          </w:p>
        </w:tc>
        <w:tc>
          <w:tcPr>
            <w:tcW w:w="0" w:type="auto"/>
            <w:shd w:val="clear" w:color="auto" w:fill="auto"/>
          </w:tcPr>
          <w:p w14:paraId="5EA21F3A" w14:textId="77777777" w:rsidR="003C66EB" w:rsidRDefault="003C66EB">
            <w:pPr>
              <w:rPr>
                <w:rFonts w:ascii="宋体"/>
              </w:rPr>
            </w:pPr>
          </w:p>
        </w:tc>
        <w:tc>
          <w:tcPr>
            <w:tcW w:w="0" w:type="auto"/>
            <w:shd w:val="clear" w:color="auto" w:fill="auto"/>
          </w:tcPr>
          <w:p w14:paraId="5EA21F3B" w14:textId="77777777" w:rsidR="003C66EB" w:rsidRDefault="003C66EB">
            <w:pPr>
              <w:rPr>
                <w:rFonts w:ascii="宋体"/>
              </w:rPr>
            </w:pPr>
          </w:p>
        </w:tc>
        <w:tc>
          <w:tcPr>
            <w:tcW w:w="0" w:type="auto"/>
            <w:shd w:val="clear" w:color="auto" w:fill="auto"/>
          </w:tcPr>
          <w:p w14:paraId="5EA21F3C" w14:textId="77777777" w:rsidR="003C66EB" w:rsidRDefault="003C66EB">
            <w:pPr>
              <w:rPr>
                <w:rFonts w:ascii="宋体"/>
              </w:rPr>
            </w:pPr>
          </w:p>
        </w:tc>
      </w:tr>
      <w:tr w:rsidR="003C66EB" w14:paraId="5EA21F42" w14:textId="77777777">
        <w:tc>
          <w:tcPr>
            <w:tcW w:w="0" w:type="auto"/>
            <w:gridSpan w:val="3"/>
            <w:shd w:val="clear" w:color="auto" w:fill="auto"/>
            <w:tcMar>
              <w:top w:w="40" w:type="dxa"/>
              <w:left w:w="20" w:type="dxa"/>
              <w:bottom w:w="40" w:type="dxa"/>
              <w:right w:w="20" w:type="dxa"/>
            </w:tcMar>
            <w:vAlign w:val="bottom"/>
          </w:tcPr>
          <w:p w14:paraId="5EA21F3E" w14:textId="77777777" w:rsidR="003C66EB" w:rsidRDefault="00D96C4E">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1F3F" w14:textId="77777777" w:rsidR="003C66EB" w:rsidRDefault="00D96C4E">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top w:w="0" w:type="dxa"/>
              <w:left w:w="20" w:type="dxa"/>
              <w:bottom w:w="0" w:type="dxa"/>
              <w:right w:w="20" w:type="dxa"/>
            </w:tcMar>
          </w:tcPr>
          <w:p w14:paraId="5EA21F4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1F41" w14:textId="77777777" w:rsidR="003C66EB" w:rsidRDefault="003C66EB">
            <w:pPr>
              <w:rPr>
                <w:rFonts w:ascii="宋体"/>
              </w:rPr>
            </w:pPr>
          </w:p>
        </w:tc>
      </w:tr>
      <w:tr w:rsidR="003C66EB" w14:paraId="5EA21F47" w14:textId="77777777">
        <w:tc>
          <w:tcPr>
            <w:tcW w:w="0" w:type="auto"/>
            <w:gridSpan w:val="3"/>
            <w:shd w:val="clear" w:color="auto" w:fill="auto"/>
            <w:tcMar>
              <w:top w:w="40" w:type="dxa"/>
              <w:left w:w="20" w:type="dxa"/>
              <w:bottom w:w="40" w:type="dxa"/>
              <w:right w:w="20" w:type="dxa"/>
            </w:tcMar>
            <w:vAlign w:val="bottom"/>
          </w:tcPr>
          <w:p w14:paraId="5EA21F43" w14:textId="77777777" w:rsidR="003C66EB" w:rsidRDefault="00D96C4E">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tcPr>
          <w:p w14:paraId="5EA21F4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F4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1F46" w14:textId="77777777" w:rsidR="003C66EB" w:rsidRDefault="003C66EB">
            <w:pPr>
              <w:rPr>
                <w:rFonts w:ascii="宋体"/>
              </w:rPr>
            </w:pPr>
          </w:p>
        </w:tc>
      </w:tr>
      <w:tr w:rsidR="003C66EB" w14:paraId="5EA21F50" w14:textId="77777777">
        <w:tc>
          <w:tcPr>
            <w:tcW w:w="0" w:type="auto"/>
            <w:gridSpan w:val="3"/>
            <w:shd w:val="clear" w:color="auto" w:fill="CCEEFF"/>
            <w:tcMar>
              <w:top w:w="40" w:type="dxa"/>
              <w:left w:w="20" w:type="dxa"/>
              <w:bottom w:w="40" w:type="dxa"/>
              <w:right w:w="20" w:type="dxa"/>
            </w:tcMar>
            <w:vAlign w:val="bottom"/>
          </w:tcPr>
          <w:p w14:paraId="5EA21F48" w14:textId="77777777" w:rsidR="003C66EB" w:rsidRDefault="00D96C4E">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5EA21F49" w14:textId="77777777" w:rsidR="003C66EB" w:rsidRDefault="00D96C4E">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A21F4A" w14:textId="77777777" w:rsidR="003C66EB" w:rsidRDefault="00D96C4E">
            <w:pPr>
              <w:jc w:val="right"/>
              <w:textAlignment w:val="bottom"/>
            </w:pPr>
            <w:r>
              <w:rPr>
                <w:rFonts w:ascii="Arial" w:eastAsia="宋体" w:hAnsi="Arial" w:cs="Arial"/>
                <w:b/>
                <w:bCs/>
                <w:color w:val="000000"/>
                <w:sz w:val="18"/>
                <w:szCs w:val="18"/>
              </w:rPr>
              <w:t>4,552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4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F4D" w14:textId="77777777" w:rsidR="003C66EB" w:rsidRDefault="00D96C4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A21F4E" w14:textId="77777777" w:rsidR="003C66EB" w:rsidRDefault="00D96C4E">
            <w:pPr>
              <w:jc w:val="right"/>
              <w:textAlignment w:val="bottom"/>
            </w:pPr>
            <w:r>
              <w:rPr>
                <w:rFonts w:ascii="Arial" w:eastAsia="宋体" w:hAnsi="Arial" w:cs="Arial"/>
                <w:color w:val="000000"/>
                <w:sz w:val="18"/>
                <w:szCs w:val="18"/>
              </w:rPr>
              <w:t>3,467 </w:t>
            </w:r>
          </w:p>
        </w:tc>
        <w:tc>
          <w:tcPr>
            <w:tcW w:w="0" w:type="auto"/>
            <w:shd w:val="clear" w:color="auto" w:fill="CCEEFF"/>
            <w:tcMar>
              <w:top w:w="40" w:type="dxa"/>
              <w:left w:w="0" w:type="dxa"/>
              <w:bottom w:w="40" w:type="dxa"/>
              <w:right w:w="20" w:type="dxa"/>
            </w:tcMar>
            <w:vAlign w:val="bottom"/>
          </w:tcPr>
          <w:p w14:paraId="5EA21F4F" w14:textId="77777777" w:rsidR="003C66EB" w:rsidRDefault="003C66EB">
            <w:pPr>
              <w:jc w:val="right"/>
              <w:rPr>
                <w:rFonts w:ascii="宋体"/>
              </w:rPr>
            </w:pPr>
          </w:p>
        </w:tc>
      </w:tr>
      <w:tr w:rsidR="003C66EB" w14:paraId="5EA21F57" w14:textId="77777777">
        <w:tc>
          <w:tcPr>
            <w:tcW w:w="0" w:type="auto"/>
            <w:gridSpan w:val="3"/>
            <w:shd w:val="clear" w:color="auto" w:fill="FFFFFF"/>
            <w:tcMar>
              <w:top w:w="40" w:type="dxa"/>
              <w:left w:w="20" w:type="dxa"/>
              <w:bottom w:w="40" w:type="dxa"/>
              <w:right w:w="20" w:type="dxa"/>
            </w:tcMar>
            <w:vAlign w:val="bottom"/>
          </w:tcPr>
          <w:p w14:paraId="5EA21F51" w14:textId="77777777" w:rsidR="003C66EB" w:rsidRDefault="00D96C4E">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5EA21F52" w14:textId="77777777" w:rsidR="003C66EB" w:rsidRDefault="00D96C4E">
            <w:pPr>
              <w:jc w:val="right"/>
              <w:textAlignment w:val="bottom"/>
            </w:pPr>
            <w:r>
              <w:rPr>
                <w:rFonts w:ascii="Arial" w:eastAsia="宋体" w:hAnsi="Arial" w:cs="Arial"/>
                <w:b/>
                <w:bCs/>
                <w:color w:val="000000"/>
                <w:sz w:val="18"/>
                <w:szCs w:val="18"/>
              </w:rPr>
              <w:t>107,554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5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5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55" w14:textId="77777777" w:rsidR="003C66EB" w:rsidRDefault="00D96C4E">
            <w:pPr>
              <w:jc w:val="right"/>
              <w:textAlignment w:val="bottom"/>
            </w:pPr>
            <w:r>
              <w:rPr>
                <w:rFonts w:ascii="Arial" w:eastAsia="宋体" w:hAnsi="Arial" w:cs="Arial"/>
                <w:color w:val="000000"/>
                <w:sz w:val="18"/>
                <w:szCs w:val="18"/>
              </w:rPr>
              <w:t>116,960 </w:t>
            </w:r>
          </w:p>
        </w:tc>
        <w:tc>
          <w:tcPr>
            <w:tcW w:w="0" w:type="auto"/>
            <w:shd w:val="clear" w:color="auto" w:fill="FFFFFF"/>
            <w:tcMar>
              <w:top w:w="40" w:type="dxa"/>
              <w:left w:w="0" w:type="dxa"/>
              <w:bottom w:w="40" w:type="dxa"/>
              <w:right w:w="20" w:type="dxa"/>
            </w:tcMar>
            <w:vAlign w:val="bottom"/>
          </w:tcPr>
          <w:p w14:paraId="5EA21F56" w14:textId="77777777" w:rsidR="003C66EB" w:rsidRDefault="003C66EB">
            <w:pPr>
              <w:jc w:val="right"/>
              <w:rPr>
                <w:rFonts w:ascii="宋体"/>
              </w:rPr>
            </w:pPr>
          </w:p>
        </w:tc>
      </w:tr>
      <w:tr w:rsidR="003C66EB" w14:paraId="5EA21F5E" w14:textId="77777777">
        <w:tc>
          <w:tcPr>
            <w:tcW w:w="0" w:type="auto"/>
            <w:gridSpan w:val="3"/>
            <w:shd w:val="clear" w:color="auto" w:fill="CCEEFF"/>
            <w:tcMar>
              <w:top w:w="40" w:type="dxa"/>
              <w:left w:w="20" w:type="dxa"/>
              <w:bottom w:w="40" w:type="dxa"/>
              <w:right w:w="20" w:type="dxa"/>
            </w:tcMar>
            <w:vAlign w:val="bottom"/>
          </w:tcPr>
          <w:p w14:paraId="5EA21F58" w14:textId="77777777" w:rsidR="003C66EB" w:rsidRDefault="00D96C4E">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A21F59" w14:textId="77777777" w:rsidR="003C66EB" w:rsidRDefault="00D96C4E">
            <w:pPr>
              <w:jc w:val="right"/>
              <w:textAlignment w:val="bottom"/>
            </w:pPr>
            <w:r>
              <w:rPr>
                <w:rFonts w:ascii="Arial" w:eastAsia="宋体" w:hAnsi="Arial" w:cs="Arial"/>
                <w:b/>
                <w:bCs/>
                <w:color w:val="000000"/>
                <w:sz w:val="18"/>
                <w:szCs w:val="18"/>
              </w:rPr>
              <w:t>5,238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5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5C" w14:textId="77777777" w:rsidR="003C66EB" w:rsidRDefault="00D96C4E">
            <w:pPr>
              <w:jc w:val="right"/>
              <w:textAlignment w:val="bottom"/>
            </w:pPr>
            <w:r>
              <w:rPr>
                <w:rFonts w:ascii="Arial" w:eastAsia="宋体" w:hAnsi="Arial" w:cs="Arial"/>
                <w:color w:val="000000"/>
                <w:sz w:val="18"/>
                <w:szCs w:val="18"/>
              </w:rPr>
              <w:t>3,106 </w:t>
            </w:r>
          </w:p>
        </w:tc>
        <w:tc>
          <w:tcPr>
            <w:tcW w:w="0" w:type="auto"/>
            <w:shd w:val="clear" w:color="auto" w:fill="CCEEFF"/>
            <w:tcMar>
              <w:top w:w="40" w:type="dxa"/>
              <w:left w:w="0" w:type="dxa"/>
              <w:bottom w:w="40" w:type="dxa"/>
              <w:right w:w="20" w:type="dxa"/>
            </w:tcMar>
            <w:vAlign w:val="bottom"/>
          </w:tcPr>
          <w:p w14:paraId="5EA21F5D" w14:textId="77777777" w:rsidR="003C66EB" w:rsidRDefault="003C66EB">
            <w:pPr>
              <w:jc w:val="right"/>
              <w:rPr>
                <w:rFonts w:ascii="宋体"/>
              </w:rPr>
            </w:pPr>
          </w:p>
        </w:tc>
      </w:tr>
      <w:tr w:rsidR="003C66EB" w14:paraId="5EA21F65" w14:textId="77777777">
        <w:tc>
          <w:tcPr>
            <w:tcW w:w="0" w:type="auto"/>
            <w:gridSpan w:val="3"/>
            <w:shd w:val="clear" w:color="auto" w:fill="FFFFFF"/>
            <w:tcMar>
              <w:top w:w="40" w:type="dxa"/>
              <w:left w:w="20" w:type="dxa"/>
              <w:bottom w:w="40" w:type="dxa"/>
              <w:right w:w="20" w:type="dxa"/>
            </w:tcMar>
            <w:vAlign w:val="bottom"/>
          </w:tcPr>
          <w:p w14:paraId="5EA21F5F" w14:textId="77777777" w:rsidR="003C66EB" w:rsidRDefault="00D96C4E">
            <w:pPr>
              <w:textAlignment w:val="bottom"/>
            </w:pPr>
            <w:r>
              <w:rPr>
                <w:rFonts w:ascii="Arial" w:eastAsia="宋体" w:hAnsi="Arial" w:cs="Arial"/>
                <w:color w:val="000000"/>
                <w:sz w:val="18"/>
                <w:szCs w:val="18"/>
              </w:rPr>
              <w:t>Trading account assets</w:t>
            </w:r>
          </w:p>
        </w:tc>
        <w:tc>
          <w:tcPr>
            <w:tcW w:w="0" w:type="auto"/>
            <w:gridSpan w:val="2"/>
            <w:shd w:val="clear" w:color="auto" w:fill="FFFFFF"/>
            <w:tcMar>
              <w:top w:w="40" w:type="dxa"/>
              <w:left w:w="20" w:type="dxa"/>
              <w:bottom w:w="40" w:type="dxa"/>
              <w:right w:w="0" w:type="dxa"/>
            </w:tcMar>
            <w:vAlign w:val="bottom"/>
          </w:tcPr>
          <w:p w14:paraId="5EA21F60" w14:textId="77777777" w:rsidR="003C66EB" w:rsidRDefault="00D96C4E">
            <w:pPr>
              <w:jc w:val="right"/>
              <w:textAlignment w:val="bottom"/>
            </w:pPr>
            <w:r>
              <w:rPr>
                <w:rFonts w:ascii="Arial" w:eastAsia="宋体" w:hAnsi="Arial" w:cs="Arial"/>
                <w:b/>
                <w:bCs/>
                <w:color w:val="000000"/>
                <w:sz w:val="18"/>
                <w:szCs w:val="18"/>
              </w:rPr>
              <w:t>786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6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63" w14:textId="77777777" w:rsidR="003C66EB" w:rsidRDefault="00D96C4E">
            <w:pPr>
              <w:jc w:val="right"/>
              <w:textAlignment w:val="bottom"/>
            </w:pPr>
            <w:r>
              <w:rPr>
                <w:rFonts w:ascii="Arial" w:eastAsia="宋体" w:hAnsi="Arial" w:cs="Arial"/>
                <w:color w:val="000000"/>
                <w:sz w:val="18"/>
                <w:szCs w:val="18"/>
              </w:rPr>
              <w:t>815 </w:t>
            </w:r>
          </w:p>
        </w:tc>
        <w:tc>
          <w:tcPr>
            <w:tcW w:w="0" w:type="auto"/>
            <w:shd w:val="clear" w:color="auto" w:fill="FFFFFF"/>
            <w:tcMar>
              <w:top w:w="40" w:type="dxa"/>
              <w:left w:w="0" w:type="dxa"/>
              <w:bottom w:w="40" w:type="dxa"/>
              <w:right w:w="20" w:type="dxa"/>
            </w:tcMar>
            <w:vAlign w:val="bottom"/>
          </w:tcPr>
          <w:p w14:paraId="5EA21F64" w14:textId="77777777" w:rsidR="003C66EB" w:rsidRDefault="003C66EB">
            <w:pPr>
              <w:jc w:val="right"/>
              <w:rPr>
                <w:rFonts w:ascii="宋体"/>
              </w:rPr>
            </w:pPr>
          </w:p>
        </w:tc>
      </w:tr>
      <w:tr w:rsidR="003C66EB" w14:paraId="5EA21F6C" w14:textId="77777777">
        <w:tc>
          <w:tcPr>
            <w:tcW w:w="0" w:type="auto"/>
            <w:gridSpan w:val="3"/>
            <w:shd w:val="clear" w:color="auto" w:fill="CCEEFF"/>
            <w:tcMar>
              <w:top w:w="40" w:type="dxa"/>
              <w:left w:w="20" w:type="dxa"/>
              <w:bottom w:w="40" w:type="dxa"/>
              <w:right w:w="20" w:type="dxa"/>
            </w:tcMar>
            <w:vAlign w:val="bottom"/>
          </w:tcPr>
          <w:p w14:paraId="5EA21F66" w14:textId="77777777" w:rsidR="003C66EB" w:rsidRDefault="00D96C4E">
            <w:pPr>
              <w:textAlignment w:val="bottom"/>
            </w:pPr>
            <w:r>
              <w:rPr>
                <w:rFonts w:ascii="Arial" w:eastAsia="宋体" w:hAnsi="Arial" w:cs="Arial"/>
                <w:color w:val="000000"/>
                <w:sz w:val="18"/>
                <w:szCs w:val="18"/>
              </w:rPr>
              <w:t>Investment securities available-for-sale</w:t>
            </w:r>
          </w:p>
        </w:tc>
        <w:tc>
          <w:tcPr>
            <w:tcW w:w="0" w:type="auto"/>
            <w:gridSpan w:val="2"/>
            <w:shd w:val="clear" w:color="auto" w:fill="CCEEFF"/>
            <w:tcMar>
              <w:top w:w="40" w:type="dxa"/>
              <w:left w:w="20" w:type="dxa"/>
              <w:bottom w:w="40" w:type="dxa"/>
              <w:right w:w="0" w:type="dxa"/>
            </w:tcMar>
            <w:vAlign w:val="bottom"/>
          </w:tcPr>
          <w:p w14:paraId="5EA21F67" w14:textId="77777777" w:rsidR="003C66EB" w:rsidRDefault="00D96C4E">
            <w:pPr>
              <w:jc w:val="right"/>
              <w:textAlignment w:val="bottom"/>
            </w:pPr>
            <w:r>
              <w:rPr>
                <w:rFonts w:ascii="Arial" w:eastAsia="宋体" w:hAnsi="Arial" w:cs="Arial"/>
                <w:b/>
                <w:bCs/>
                <w:color w:val="000000"/>
                <w:sz w:val="18"/>
                <w:szCs w:val="18"/>
              </w:rPr>
              <w:t>60,512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6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6A" w14:textId="77777777" w:rsidR="003C66EB" w:rsidRDefault="00D96C4E">
            <w:pPr>
              <w:jc w:val="right"/>
              <w:textAlignment w:val="bottom"/>
            </w:pPr>
            <w:r>
              <w:rPr>
                <w:rFonts w:ascii="Arial" w:eastAsia="宋体" w:hAnsi="Arial" w:cs="Arial"/>
                <w:color w:val="000000"/>
                <w:sz w:val="18"/>
                <w:szCs w:val="18"/>
              </w:rPr>
              <w:t>59,048 </w:t>
            </w:r>
          </w:p>
        </w:tc>
        <w:tc>
          <w:tcPr>
            <w:tcW w:w="0" w:type="auto"/>
            <w:shd w:val="clear" w:color="auto" w:fill="CCEEFF"/>
            <w:tcMar>
              <w:top w:w="40" w:type="dxa"/>
              <w:left w:w="0" w:type="dxa"/>
              <w:bottom w:w="40" w:type="dxa"/>
              <w:right w:w="20" w:type="dxa"/>
            </w:tcMar>
            <w:vAlign w:val="bottom"/>
          </w:tcPr>
          <w:p w14:paraId="5EA21F6B" w14:textId="77777777" w:rsidR="003C66EB" w:rsidRDefault="003C66EB">
            <w:pPr>
              <w:jc w:val="right"/>
              <w:rPr>
                <w:rFonts w:ascii="宋体"/>
              </w:rPr>
            </w:pPr>
          </w:p>
        </w:tc>
      </w:tr>
      <w:tr w:rsidR="003C66EB" w14:paraId="5EA21F73" w14:textId="77777777">
        <w:tc>
          <w:tcPr>
            <w:tcW w:w="0" w:type="auto"/>
            <w:gridSpan w:val="3"/>
            <w:shd w:val="clear" w:color="auto" w:fill="FFFFFF"/>
            <w:tcMar>
              <w:top w:w="40" w:type="dxa"/>
              <w:left w:w="20" w:type="dxa"/>
              <w:bottom w:w="40" w:type="dxa"/>
              <w:right w:w="20" w:type="dxa"/>
            </w:tcMar>
            <w:vAlign w:val="bottom"/>
          </w:tcPr>
          <w:p w14:paraId="5EA21F6D" w14:textId="77777777" w:rsidR="003C66EB" w:rsidRDefault="00D96C4E">
            <w:pPr>
              <w:jc w:val="both"/>
              <w:textAlignment w:val="bottom"/>
            </w:pPr>
            <w:r>
              <w:rPr>
                <w:rFonts w:ascii="Arial" w:eastAsia="宋体" w:hAnsi="Arial" w:cs="Arial"/>
                <w:color w:val="000000"/>
                <w:sz w:val="18"/>
                <w:szCs w:val="18"/>
              </w:rPr>
              <w:t xml:space="preserve">Investment securities held-to-maturity purchased under money market liquidity facility </w:t>
            </w:r>
            <w:r>
              <w:rPr>
                <w:rFonts w:ascii="Arial" w:eastAsia="宋体" w:hAnsi="Arial" w:cs="Arial"/>
                <w:color w:val="000000"/>
                <w:sz w:val="18"/>
                <w:szCs w:val="18"/>
              </w:rPr>
              <w:t>(less allowance for credit losses of $0 and $1) (fair value of $201 and $3,304)</w:t>
            </w:r>
          </w:p>
        </w:tc>
        <w:tc>
          <w:tcPr>
            <w:tcW w:w="0" w:type="auto"/>
            <w:gridSpan w:val="2"/>
            <w:shd w:val="clear" w:color="auto" w:fill="FFFFFF"/>
            <w:tcMar>
              <w:top w:w="40" w:type="dxa"/>
              <w:left w:w="20" w:type="dxa"/>
              <w:bottom w:w="40" w:type="dxa"/>
              <w:right w:w="0" w:type="dxa"/>
            </w:tcMar>
            <w:vAlign w:val="bottom"/>
          </w:tcPr>
          <w:p w14:paraId="5EA21F6E" w14:textId="77777777" w:rsidR="003C66EB" w:rsidRDefault="00D96C4E">
            <w:pPr>
              <w:jc w:val="right"/>
              <w:textAlignment w:val="bottom"/>
            </w:pPr>
            <w:r>
              <w:rPr>
                <w:rFonts w:ascii="Arial" w:eastAsia="宋体" w:hAnsi="Arial" w:cs="Arial"/>
                <w:b/>
                <w:bCs/>
                <w:color w:val="000000"/>
                <w:sz w:val="18"/>
                <w:szCs w:val="18"/>
              </w:rPr>
              <w:t>201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6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7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71" w14:textId="77777777" w:rsidR="003C66EB" w:rsidRDefault="00D96C4E">
            <w:pPr>
              <w:jc w:val="right"/>
              <w:textAlignment w:val="bottom"/>
            </w:pPr>
            <w:r>
              <w:rPr>
                <w:rFonts w:ascii="Arial" w:eastAsia="宋体" w:hAnsi="Arial" w:cs="Arial"/>
                <w:color w:val="000000"/>
                <w:sz w:val="18"/>
                <w:szCs w:val="18"/>
              </w:rPr>
              <w:t>3,299 </w:t>
            </w:r>
          </w:p>
        </w:tc>
        <w:tc>
          <w:tcPr>
            <w:tcW w:w="0" w:type="auto"/>
            <w:shd w:val="clear" w:color="auto" w:fill="FFFFFF"/>
            <w:tcMar>
              <w:top w:w="40" w:type="dxa"/>
              <w:left w:w="0" w:type="dxa"/>
              <w:bottom w:w="40" w:type="dxa"/>
              <w:right w:w="20" w:type="dxa"/>
            </w:tcMar>
            <w:vAlign w:val="bottom"/>
          </w:tcPr>
          <w:p w14:paraId="5EA21F72" w14:textId="77777777" w:rsidR="003C66EB" w:rsidRDefault="003C66EB">
            <w:pPr>
              <w:jc w:val="right"/>
              <w:rPr>
                <w:rFonts w:ascii="宋体"/>
              </w:rPr>
            </w:pPr>
          </w:p>
        </w:tc>
      </w:tr>
      <w:tr w:rsidR="003C66EB" w14:paraId="5EA21F7A" w14:textId="77777777">
        <w:tc>
          <w:tcPr>
            <w:tcW w:w="0" w:type="auto"/>
            <w:gridSpan w:val="3"/>
            <w:shd w:val="clear" w:color="auto" w:fill="CCEEFF"/>
            <w:tcMar>
              <w:top w:w="40" w:type="dxa"/>
              <w:left w:w="20" w:type="dxa"/>
              <w:bottom w:w="40" w:type="dxa"/>
              <w:right w:w="20" w:type="dxa"/>
            </w:tcMar>
            <w:vAlign w:val="bottom"/>
          </w:tcPr>
          <w:p w14:paraId="5EA21F74" w14:textId="77777777" w:rsidR="003C66EB" w:rsidRDefault="00D96C4E">
            <w:pPr>
              <w:jc w:val="both"/>
              <w:textAlignment w:val="bottom"/>
            </w:pPr>
            <w:r>
              <w:rPr>
                <w:rFonts w:ascii="Arial" w:eastAsia="宋体" w:hAnsi="Arial" w:cs="Arial"/>
                <w:color w:val="000000"/>
                <w:sz w:val="18"/>
                <w:szCs w:val="18"/>
              </w:rPr>
              <w:t>Investment securities held-to-maturity (less allowance for credit losses of $2 and $2) (fair value of $46,752 and $50,003)</w:t>
            </w:r>
          </w:p>
        </w:tc>
        <w:tc>
          <w:tcPr>
            <w:tcW w:w="0" w:type="auto"/>
            <w:gridSpan w:val="2"/>
            <w:shd w:val="clear" w:color="auto" w:fill="CCEEFF"/>
            <w:tcMar>
              <w:top w:w="40" w:type="dxa"/>
              <w:left w:w="20" w:type="dxa"/>
              <w:bottom w:w="40" w:type="dxa"/>
              <w:right w:w="0" w:type="dxa"/>
            </w:tcMar>
            <w:vAlign w:val="bottom"/>
          </w:tcPr>
          <w:p w14:paraId="5EA21F75" w14:textId="77777777" w:rsidR="003C66EB" w:rsidRDefault="00D96C4E">
            <w:pPr>
              <w:jc w:val="right"/>
              <w:textAlignment w:val="bottom"/>
            </w:pPr>
            <w:r>
              <w:rPr>
                <w:rFonts w:ascii="Arial" w:eastAsia="宋体" w:hAnsi="Arial" w:cs="Arial"/>
                <w:b/>
                <w:bCs/>
                <w:color w:val="000000"/>
                <w:sz w:val="18"/>
                <w:szCs w:val="18"/>
              </w:rPr>
              <w:t>46,261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7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78" w14:textId="77777777" w:rsidR="003C66EB" w:rsidRDefault="00D96C4E">
            <w:pPr>
              <w:jc w:val="right"/>
              <w:textAlignment w:val="bottom"/>
            </w:pPr>
            <w:r>
              <w:rPr>
                <w:rFonts w:ascii="Arial" w:eastAsia="宋体" w:hAnsi="Arial" w:cs="Arial"/>
                <w:color w:val="000000"/>
                <w:sz w:val="18"/>
                <w:szCs w:val="18"/>
              </w:rPr>
              <w:t>48,929 </w:t>
            </w:r>
          </w:p>
        </w:tc>
        <w:tc>
          <w:tcPr>
            <w:tcW w:w="0" w:type="auto"/>
            <w:shd w:val="clear" w:color="auto" w:fill="CCEEFF"/>
            <w:tcMar>
              <w:top w:w="40" w:type="dxa"/>
              <w:left w:w="0" w:type="dxa"/>
              <w:bottom w:w="40" w:type="dxa"/>
              <w:right w:w="20" w:type="dxa"/>
            </w:tcMar>
            <w:vAlign w:val="bottom"/>
          </w:tcPr>
          <w:p w14:paraId="5EA21F79" w14:textId="77777777" w:rsidR="003C66EB" w:rsidRDefault="003C66EB">
            <w:pPr>
              <w:jc w:val="right"/>
              <w:rPr>
                <w:rFonts w:ascii="宋体"/>
              </w:rPr>
            </w:pPr>
          </w:p>
        </w:tc>
      </w:tr>
      <w:tr w:rsidR="003C66EB" w14:paraId="5EA21F81" w14:textId="77777777">
        <w:tc>
          <w:tcPr>
            <w:tcW w:w="0" w:type="auto"/>
            <w:gridSpan w:val="3"/>
            <w:shd w:val="clear" w:color="auto" w:fill="FFFFFF"/>
            <w:tcMar>
              <w:top w:w="40" w:type="dxa"/>
              <w:left w:w="20" w:type="dxa"/>
              <w:bottom w:w="40" w:type="dxa"/>
              <w:right w:w="20" w:type="dxa"/>
            </w:tcMar>
            <w:vAlign w:val="bottom"/>
          </w:tcPr>
          <w:p w14:paraId="5EA21F7B" w14:textId="77777777" w:rsidR="003C66EB" w:rsidRDefault="00D96C4E">
            <w:pPr>
              <w:textAlignment w:val="bottom"/>
            </w:pPr>
            <w:r>
              <w:rPr>
                <w:rFonts w:ascii="Arial" w:eastAsia="宋体" w:hAnsi="Arial" w:cs="Arial"/>
                <w:color w:val="000000"/>
                <w:sz w:val="18"/>
                <w:szCs w:val="18"/>
              </w:rPr>
              <w:t xml:space="preserve">Loans (less </w:t>
            </w:r>
            <w:r>
              <w:rPr>
                <w:rFonts w:ascii="Arial" w:eastAsia="宋体" w:hAnsi="Arial" w:cs="Arial"/>
                <w:color w:val="000000"/>
                <w:sz w:val="18"/>
                <w:szCs w:val="18"/>
              </w:rPr>
              <w:t>allowance for credit losses on loans of $118 and $122)</w:t>
            </w:r>
          </w:p>
        </w:tc>
        <w:tc>
          <w:tcPr>
            <w:tcW w:w="0" w:type="auto"/>
            <w:gridSpan w:val="2"/>
            <w:shd w:val="clear" w:color="auto" w:fill="FFFFFF"/>
            <w:tcMar>
              <w:top w:w="40" w:type="dxa"/>
              <w:left w:w="20" w:type="dxa"/>
              <w:bottom w:w="40" w:type="dxa"/>
              <w:right w:w="0" w:type="dxa"/>
            </w:tcMar>
            <w:vAlign w:val="bottom"/>
          </w:tcPr>
          <w:p w14:paraId="5EA21F7C" w14:textId="77777777" w:rsidR="003C66EB" w:rsidRDefault="00D96C4E">
            <w:pPr>
              <w:jc w:val="right"/>
              <w:textAlignment w:val="bottom"/>
            </w:pPr>
            <w:r>
              <w:rPr>
                <w:rFonts w:ascii="Arial" w:eastAsia="宋体" w:hAnsi="Arial" w:cs="Arial"/>
                <w:b/>
                <w:bCs/>
                <w:color w:val="000000"/>
                <w:sz w:val="18"/>
                <w:szCs w:val="18"/>
              </w:rPr>
              <w:t>31,467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7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7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7F" w14:textId="77777777" w:rsidR="003C66EB" w:rsidRDefault="00D96C4E">
            <w:pPr>
              <w:jc w:val="right"/>
              <w:textAlignment w:val="bottom"/>
            </w:pPr>
            <w:r>
              <w:rPr>
                <w:rFonts w:ascii="Arial" w:eastAsia="宋体" w:hAnsi="Arial" w:cs="Arial"/>
                <w:color w:val="000000"/>
                <w:sz w:val="18"/>
                <w:szCs w:val="18"/>
              </w:rPr>
              <w:t>27,803 </w:t>
            </w:r>
          </w:p>
        </w:tc>
        <w:tc>
          <w:tcPr>
            <w:tcW w:w="0" w:type="auto"/>
            <w:shd w:val="clear" w:color="auto" w:fill="FFFFFF"/>
            <w:tcMar>
              <w:top w:w="40" w:type="dxa"/>
              <w:left w:w="0" w:type="dxa"/>
              <w:bottom w:w="40" w:type="dxa"/>
              <w:right w:w="20" w:type="dxa"/>
            </w:tcMar>
            <w:vAlign w:val="bottom"/>
          </w:tcPr>
          <w:p w14:paraId="5EA21F80" w14:textId="77777777" w:rsidR="003C66EB" w:rsidRDefault="003C66EB">
            <w:pPr>
              <w:jc w:val="right"/>
              <w:rPr>
                <w:rFonts w:ascii="宋体"/>
              </w:rPr>
            </w:pPr>
          </w:p>
        </w:tc>
      </w:tr>
      <w:tr w:rsidR="003C66EB" w14:paraId="5EA21F88" w14:textId="77777777">
        <w:tc>
          <w:tcPr>
            <w:tcW w:w="0" w:type="auto"/>
            <w:gridSpan w:val="3"/>
            <w:shd w:val="clear" w:color="auto" w:fill="CCEEFF"/>
            <w:tcMar>
              <w:top w:w="40" w:type="dxa"/>
              <w:left w:w="20" w:type="dxa"/>
              <w:bottom w:w="40" w:type="dxa"/>
              <w:right w:w="20" w:type="dxa"/>
            </w:tcMar>
            <w:vAlign w:val="bottom"/>
          </w:tcPr>
          <w:p w14:paraId="5EA21F82" w14:textId="77777777" w:rsidR="003C66EB" w:rsidRDefault="00D96C4E">
            <w:pPr>
              <w:jc w:val="both"/>
              <w:textAlignment w:val="bottom"/>
            </w:pPr>
            <w:r>
              <w:rPr>
                <w:rFonts w:ascii="Arial" w:eastAsia="宋体" w:hAnsi="Arial" w:cs="Arial"/>
                <w:color w:val="000000"/>
                <w:sz w:val="18"/>
                <w:szCs w:val="18"/>
              </w:rPr>
              <w:t>Premises and equipment (net of accumulated depreciation of $4,960 and $4,825)</w:t>
            </w:r>
          </w:p>
        </w:tc>
        <w:tc>
          <w:tcPr>
            <w:tcW w:w="0" w:type="auto"/>
            <w:gridSpan w:val="2"/>
            <w:shd w:val="clear" w:color="auto" w:fill="CCEEFF"/>
            <w:tcMar>
              <w:top w:w="40" w:type="dxa"/>
              <w:left w:w="20" w:type="dxa"/>
              <w:bottom w:w="40" w:type="dxa"/>
              <w:right w:w="0" w:type="dxa"/>
            </w:tcMar>
            <w:vAlign w:val="bottom"/>
          </w:tcPr>
          <w:p w14:paraId="5EA21F83" w14:textId="77777777" w:rsidR="003C66EB" w:rsidRDefault="00D96C4E">
            <w:pPr>
              <w:jc w:val="right"/>
              <w:textAlignment w:val="bottom"/>
            </w:pPr>
            <w:r>
              <w:rPr>
                <w:rFonts w:ascii="Arial" w:eastAsia="宋体" w:hAnsi="Arial" w:cs="Arial"/>
                <w:b/>
                <w:bCs/>
                <w:color w:val="000000"/>
                <w:sz w:val="18"/>
                <w:szCs w:val="18"/>
              </w:rPr>
              <w:t>2,143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86" w14:textId="77777777" w:rsidR="003C66EB" w:rsidRDefault="00D96C4E">
            <w:pPr>
              <w:jc w:val="right"/>
              <w:textAlignment w:val="bottom"/>
            </w:pPr>
            <w:r>
              <w:rPr>
                <w:rFonts w:ascii="Arial" w:eastAsia="宋体" w:hAnsi="Arial" w:cs="Arial"/>
                <w:color w:val="000000"/>
                <w:sz w:val="18"/>
                <w:szCs w:val="18"/>
              </w:rPr>
              <w:t>2,154 </w:t>
            </w:r>
          </w:p>
        </w:tc>
        <w:tc>
          <w:tcPr>
            <w:tcW w:w="0" w:type="auto"/>
            <w:shd w:val="clear" w:color="auto" w:fill="CCEEFF"/>
            <w:tcMar>
              <w:top w:w="40" w:type="dxa"/>
              <w:left w:w="0" w:type="dxa"/>
              <w:bottom w:w="40" w:type="dxa"/>
              <w:right w:w="20" w:type="dxa"/>
            </w:tcMar>
            <w:vAlign w:val="bottom"/>
          </w:tcPr>
          <w:p w14:paraId="5EA21F87" w14:textId="77777777" w:rsidR="003C66EB" w:rsidRDefault="003C66EB">
            <w:pPr>
              <w:jc w:val="right"/>
              <w:rPr>
                <w:rFonts w:ascii="宋体"/>
              </w:rPr>
            </w:pPr>
          </w:p>
        </w:tc>
      </w:tr>
      <w:tr w:rsidR="003C66EB" w14:paraId="5EA21F8F" w14:textId="77777777">
        <w:tc>
          <w:tcPr>
            <w:tcW w:w="0" w:type="auto"/>
            <w:gridSpan w:val="3"/>
            <w:shd w:val="clear" w:color="auto" w:fill="FFFFFF"/>
            <w:tcMar>
              <w:top w:w="40" w:type="dxa"/>
              <w:left w:w="20" w:type="dxa"/>
              <w:bottom w:w="40" w:type="dxa"/>
              <w:right w:w="20" w:type="dxa"/>
            </w:tcMar>
            <w:vAlign w:val="bottom"/>
          </w:tcPr>
          <w:p w14:paraId="5EA21F89" w14:textId="77777777" w:rsidR="003C66EB" w:rsidRDefault="00D96C4E">
            <w:pPr>
              <w:textAlignment w:val="bottom"/>
            </w:pPr>
            <w:r>
              <w:rPr>
                <w:rFonts w:ascii="Arial" w:eastAsia="宋体" w:hAnsi="Arial" w:cs="Arial"/>
                <w:color w:val="000000"/>
                <w:sz w:val="18"/>
                <w:szCs w:val="18"/>
              </w:rPr>
              <w:t>Accrued interest and fees receivable</w:t>
            </w:r>
          </w:p>
        </w:tc>
        <w:tc>
          <w:tcPr>
            <w:tcW w:w="0" w:type="auto"/>
            <w:gridSpan w:val="2"/>
            <w:shd w:val="clear" w:color="auto" w:fill="FFFFFF"/>
            <w:tcMar>
              <w:top w:w="40" w:type="dxa"/>
              <w:left w:w="20" w:type="dxa"/>
              <w:bottom w:w="40" w:type="dxa"/>
              <w:right w:w="0" w:type="dxa"/>
            </w:tcMar>
            <w:vAlign w:val="bottom"/>
          </w:tcPr>
          <w:p w14:paraId="5EA21F8A" w14:textId="77777777" w:rsidR="003C66EB" w:rsidRDefault="00D96C4E">
            <w:pPr>
              <w:jc w:val="right"/>
              <w:textAlignment w:val="bottom"/>
            </w:pPr>
            <w:r>
              <w:rPr>
                <w:rFonts w:ascii="Arial" w:eastAsia="宋体" w:hAnsi="Arial" w:cs="Arial"/>
                <w:b/>
                <w:bCs/>
                <w:color w:val="000000"/>
                <w:sz w:val="18"/>
                <w:szCs w:val="18"/>
              </w:rPr>
              <w:t>3,302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8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8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8D" w14:textId="77777777" w:rsidR="003C66EB" w:rsidRDefault="00D96C4E">
            <w:pPr>
              <w:jc w:val="right"/>
              <w:textAlignment w:val="bottom"/>
            </w:pPr>
            <w:r>
              <w:rPr>
                <w:rFonts w:ascii="Arial" w:eastAsia="宋体" w:hAnsi="Arial" w:cs="Arial"/>
                <w:color w:val="000000"/>
                <w:sz w:val="18"/>
                <w:szCs w:val="18"/>
              </w:rPr>
              <w:t>3,105 </w:t>
            </w:r>
          </w:p>
        </w:tc>
        <w:tc>
          <w:tcPr>
            <w:tcW w:w="0" w:type="auto"/>
            <w:shd w:val="clear" w:color="auto" w:fill="FFFFFF"/>
            <w:tcMar>
              <w:top w:w="40" w:type="dxa"/>
              <w:left w:w="0" w:type="dxa"/>
              <w:bottom w:w="40" w:type="dxa"/>
              <w:right w:w="20" w:type="dxa"/>
            </w:tcMar>
            <w:vAlign w:val="bottom"/>
          </w:tcPr>
          <w:p w14:paraId="5EA21F8E" w14:textId="77777777" w:rsidR="003C66EB" w:rsidRDefault="003C66EB">
            <w:pPr>
              <w:jc w:val="right"/>
              <w:rPr>
                <w:rFonts w:ascii="宋体"/>
              </w:rPr>
            </w:pPr>
          </w:p>
        </w:tc>
      </w:tr>
      <w:tr w:rsidR="003C66EB" w14:paraId="5EA21F94" w14:textId="77777777">
        <w:trPr>
          <w:hidden/>
        </w:trPr>
        <w:tc>
          <w:tcPr>
            <w:tcW w:w="0" w:type="auto"/>
            <w:gridSpan w:val="3"/>
            <w:shd w:val="clear" w:color="auto" w:fill="auto"/>
          </w:tcPr>
          <w:p w14:paraId="5EA21F90" w14:textId="77777777" w:rsidR="003C66EB" w:rsidRDefault="003C66EB">
            <w:pPr>
              <w:rPr>
                <w:rFonts w:ascii="宋体"/>
                <w:vanish/>
              </w:rPr>
            </w:pPr>
          </w:p>
        </w:tc>
        <w:tc>
          <w:tcPr>
            <w:tcW w:w="0" w:type="auto"/>
            <w:gridSpan w:val="3"/>
            <w:shd w:val="clear" w:color="auto" w:fill="auto"/>
          </w:tcPr>
          <w:p w14:paraId="5EA21F91" w14:textId="77777777" w:rsidR="003C66EB" w:rsidRDefault="003C66EB">
            <w:pPr>
              <w:rPr>
                <w:rFonts w:ascii="宋体"/>
                <w:vanish/>
              </w:rPr>
            </w:pPr>
          </w:p>
        </w:tc>
        <w:tc>
          <w:tcPr>
            <w:tcW w:w="0" w:type="auto"/>
            <w:gridSpan w:val="3"/>
            <w:shd w:val="clear" w:color="auto" w:fill="auto"/>
          </w:tcPr>
          <w:p w14:paraId="5EA21F92" w14:textId="77777777" w:rsidR="003C66EB" w:rsidRDefault="003C66EB">
            <w:pPr>
              <w:rPr>
                <w:rFonts w:ascii="宋体"/>
                <w:vanish/>
              </w:rPr>
            </w:pPr>
          </w:p>
        </w:tc>
        <w:tc>
          <w:tcPr>
            <w:tcW w:w="0" w:type="auto"/>
            <w:gridSpan w:val="3"/>
            <w:shd w:val="clear" w:color="auto" w:fill="auto"/>
          </w:tcPr>
          <w:p w14:paraId="5EA21F93" w14:textId="77777777" w:rsidR="003C66EB" w:rsidRDefault="003C66EB">
            <w:pPr>
              <w:rPr>
                <w:rFonts w:ascii="宋体"/>
                <w:vanish/>
              </w:rPr>
            </w:pPr>
          </w:p>
        </w:tc>
      </w:tr>
      <w:tr w:rsidR="003C66EB" w14:paraId="5EA21F9B" w14:textId="77777777">
        <w:tc>
          <w:tcPr>
            <w:tcW w:w="0" w:type="auto"/>
            <w:gridSpan w:val="3"/>
            <w:shd w:val="clear" w:color="auto" w:fill="CCEEFF"/>
            <w:tcMar>
              <w:top w:w="40" w:type="dxa"/>
              <w:left w:w="20" w:type="dxa"/>
              <w:bottom w:w="40" w:type="dxa"/>
              <w:right w:w="20" w:type="dxa"/>
            </w:tcMar>
            <w:vAlign w:val="bottom"/>
          </w:tcPr>
          <w:p w14:paraId="5EA21F95" w14:textId="77777777" w:rsidR="003C66EB" w:rsidRDefault="00D96C4E">
            <w:pPr>
              <w:textAlignment w:val="bottom"/>
            </w:pPr>
            <w:r>
              <w:rPr>
                <w:rFonts w:ascii="Arial" w:eastAsia="宋体" w:hAnsi="Arial" w:cs="Arial"/>
                <w:color w:val="000000"/>
                <w:sz w:val="18"/>
                <w:szCs w:val="18"/>
              </w:rPr>
              <w:t>Goodwill</w:t>
            </w:r>
          </w:p>
        </w:tc>
        <w:tc>
          <w:tcPr>
            <w:tcW w:w="0" w:type="auto"/>
            <w:gridSpan w:val="2"/>
            <w:shd w:val="clear" w:color="auto" w:fill="CCEEFF"/>
            <w:tcMar>
              <w:top w:w="40" w:type="dxa"/>
              <w:left w:w="20" w:type="dxa"/>
              <w:bottom w:w="40" w:type="dxa"/>
              <w:right w:w="0" w:type="dxa"/>
            </w:tcMar>
            <w:vAlign w:val="bottom"/>
          </w:tcPr>
          <w:p w14:paraId="5EA21F96" w14:textId="77777777" w:rsidR="003C66EB" w:rsidRDefault="00D96C4E">
            <w:pPr>
              <w:jc w:val="right"/>
              <w:textAlignment w:val="bottom"/>
            </w:pPr>
            <w:r>
              <w:rPr>
                <w:rFonts w:ascii="Arial" w:eastAsia="宋体" w:hAnsi="Arial" w:cs="Arial"/>
                <w:b/>
                <w:bCs/>
                <w:color w:val="000000"/>
                <w:sz w:val="18"/>
                <w:szCs w:val="18"/>
              </w:rPr>
              <w:t>7,629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9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99" w14:textId="77777777" w:rsidR="003C66EB" w:rsidRDefault="00D96C4E">
            <w:pPr>
              <w:jc w:val="right"/>
              <w:textAlignment w:val="bottom"/>
            </w:pPr>
            <w:r>
              <w:rPr>
                <w:rFonts w:ascii="Arial" w:eastAsia="宋体" w:hAnsi="Arial" w:cs="Arial"/>
                <w:color w:val="000000"/>
                <w:sz w:val="18"/>
                <w:szCs w:val="18"/>
              </w:rPr>
              <w:t>7,683 </w:t>
            </w:r>
          </w:p>
        </w:tc>
        <w:tc>
          <w:tcPr>
            <w:tcW w:w="0" w:type="auto"/>
            <w:shd w:val="clear" w:color="auto" w:fill="CCEEFF"/>
            <w:tcMar>
              <w:top w:w="40" w:type="dxa"/>
              <w:left w:w="0" w:type="dxa"/>
              <w:bottom w:w="40" w:type="dxa"/>
              <w:right w:w="20" w:type="dxa"/>
            </w:tcMar>
            <w:vAlign w:val="bottom"/>
          </w:tcPr>
          <w:p w14:paraId="5EA21F9A" w14:textId="77777777" w:rsidR="003C66EB" w:rsidRDefault="003C66EB">
            <w:pPr>
              <w:jc w:val="right"/>
              <w:rPr>
                <w:rFonts w:ascii="宋体"/>
              </w:rPr>
            </w:pPr>
          </w:p>
        </w:tc>
      </w:tr>
      <w:tr w:rsidR="003C66EB" w14:paraId="5EA21FA2" w14:textId="77777777">
        <w:tc>
          <w:tcPr>
            <w:tcW w:w="0" w:type="auto"/>
            <w:gridSpan w:val="3"/>
            <w:shd w:val="clear" w:color="auto" w:fill="FFFFFF"/>
            <w:tcMar>
              <w:top w:w="40" w:type="dxa"/>
              <w:left w:w="20" w:type="dxa"/>
              <w:bottom w:w="40" w:type="dxa"/>
              <w:right w:w="20" w:type="dxa"/>
            </w:tcMar>
            <w:vAlign w:val="bottom"/>
          </w:tcPr>
          <w:p w14:paraId="5EA21F9C" w14:textId="77777777" w:rsidR="003C66EB" w:rsidRDefault="00D96C4E">
            <w:pPr>
              <w:textAlignment w:val="bottom"/>
            </w:pPr>
            <w:r>
              <w:rPr>
                <w:rFonts w:ascii="Arial" w:eastAsia="宋体" w:hAnsi="Arial" w:cs="Arial"/>
                <w:color w:val="000000"/>
                <w:sz w:val="18"/>
                <w:szCs w:val="18"/>
              </w:rPr>
              <w:t>Other intangible assets</w:t>
            </w:r>
          </w:p>
        </w:tc>
        <w:tc>
          <w:tcPr>
            <w:tcW w:w="0" w:type="auto"/>
            <w:gridSpan w:val="2"/>
            <w:shd w:val="clear" w:color="auto" w:fill="FFFFFF"/>
            <w:tcMar>
              <w:top w:w="40" w:type="dxa"/>
              <w:left w:w="20" w:type="dxa"/>
              <w:bottom w:w="40" w:type="dxa"/>
              <w:right w:w="0" w:type="dxa"/>
            </w:tcMar>
            <w:vAlign w:val="bottom"/>
          </w:tcPr>
          <w:p w14:paraId="5EA21F9D" w14:textId="77777777" w:rsidR="003C66EB" w:rsidRDefault="00D96C4E">
            <w:pPr>
              <w:jc w:val="right"/>
              <w:textAlignment w:val="bottom"/>
            </w:pPr>
            <w:r>
              <w:rPr>
                <w:rFonts w:ascii="Arial" w:eastAsia="宋体" w:hAnsi="Arial" w:cs="Arial"/>
                <w:b/>
                <w:bCs/>
                <w:color w:val="000000"/>
                <w:sz w:val="18"/>
                <w:szCs w:val="18"/>
              </w:rPr>
              <w:t>2,007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9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9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A0" w14:textId="77777777" w:rsidR="003C66EB" w:rsidRDefault="00D96C4E">
            <w:pPr>
              <w:jc w:val="right"/>
              <w:textAlignment w:val="bottom"/>
            </w:pPr>
            <w:r>
              <w:rPr>
                <w:rFonts w:ascii="Arial" w:eastAsia="宋体" w:hAnsi="Arial" w:cs="Arial"/>
                <w:color w:val="000000"/>
                <w:sz w:val="18"/>
                <w:szCs w:val="18"/>
              </w:rPr>
              <w:t>1,827 </w:t>
            </w:r>
          </w:p>
        </w:tc>
        <w:tc>
          <w:tcPr>
            <w:tcW w:w="0" w:type="auto"/>
            <w:shd w:val="clear" w:color="auto" w:fill="FFFFFF"/>
            <w:tcMar>
              <w:top w:w="40" w:type="dxa"/>
              <w:left w:w="0" w:type="dxa"/>
              <w:bottom w:w="40" w:type="dxa"/>
              <w:right w:w="20" w:type="dxa"/>
            </w:tcMar>
            <w:vAlign w:val="bottom"/>
          </w:tcPr>
          <w:p w14:paraId="5EA21FA1" w14:textId="77777777" w:rsidR="003C66EB" w:rsidRDefault="003C66EB">
            <w:pPr>
              <w:jc w:val="right"/>
              <w:rPr>
                <w:rFonts w:ascii="宋体"/>
              </w:rPr>
            </w:pPr>
          </w:p>
        </w:tc>
      </w:tr>
      <w:tr w:rsidR="003C66EB" w14:paraId="5EA21FA9" w14:textId="77777777">
        <w:tc>
          <w:tcPr>
            <w:tcW w:w="0" w:type="auto"/>
            <w:gridSpan w:val="3"/>
            <w:shd w:val="clear" w:color="auto" w:fill="CCEEFF"/>
            <w:tcMar>
              <w:top w:w="40" w:type="dxa"/>
              <w:left w:w="20" w:type="dxa"/>
              <w:bottom w:w="40" w:type="dxa"/>
              <w:right w:w="20" w:type="dxa"/>
            </w:tcMar>
            <w:vAlign w:val="bottom"/>
          </w:tcPr>
          <w:p w14:paraId="5EA21FA3" w14:textId="77777777" w:rsidR="003C66EB" w:rsidRDefault="00D96C4E">
            <w:pPr>
              <w:textAlignment w:val="bottom"/>
            </w:pPr>
            <w:r>
              <w:rPr>
                <w:rFonts w:ascii="Arial" w:eastAsia="宋体" w:hAnsi="Arial" w:cs="Arial"/>
                <w:color w:val="000000"/>
                <w:sz w:val="18"/>
                <w:szCs w:val="18"/>
              </w:rPr>
              <w:t>Other assets</w:t>
            </w:r>
          </w:p>
        </w:tc>
        <w:tc>
          <w:tcPr>
            <w:tcW w:w="0" w:type="auto"/>
            <w:gridSpan w:val="2"/>
            <w:shd w:val="clear" w:color="auto" w:fill="CCEEFF"/>
            <w:tcMar>
              <w:top w:w="40" w:type="dxa"/>
              <w:left w:w="20" w:type="dxa"/>
              <w:bottom w:w="40" w:type="dxa"/>
              <w:right w:w="0" w:type="dxa"/>
            </w:tcMar>
            <w:vAlign w:val="bottom"/>
          </w:tcPr>
          <w:p w14:paraId="5EA21FA4" w14:textId="77777777" w:rsidR="003C66EB" w:rsidRDefault="00D96C4E">
            <w:pPr>
              <w:jc w:val="right"/>
              <w:textAlignment w:val="bottom"/>
            </w:pPr>
            <w:r>
              <w:rPr>
                <w:rFonts w:ascii="Arial" w:eastAsia="宋体" w:hAnsi="Arial" w:cs="Arial"/>
                <w:b/>
                <w:bCs/>
                <w:color w:val="000000"/>
                <w:sz w:val="18"/>
                <w:szCs w:val="18"/>
              </w:rPr>
              <w:t>45,233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A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A7" w14:textId="77777777" w:rsidR="003C66EB" w:rsidRDefault="00D96C4E">
            <w:pPr>
              <w:jc w:val="right"/>
              <w:textAlignment w:val="bottom"/>
            </w:pPr>
            <w:r>
              <w:rPr>
                <w:rFonts w:ascii="Arial" w:eastAsia="宋体" w:hAnsi="Arial" w:cs="Arial"/>
                <w:color w:val="000000"/>
                <w:sz w:val="18"/>
                <w:szCs w:val="18"/>
              </w:rPr>
              <w:t>36,510 </w:t>
            </w:r>
          </w:p>
        </w:tc>
        <w:tc>
          <w:tcPr>
            <w:tcW w:w="0" w:type="auto"/>
            <w:shd w:val="clear" w:color="auto" w:fill="CCEEFF"/>
            <w:tcMar>
              <w:top w:w="40" w:type="dxa"/>
              <w:left w:w="0" w:type="dxa"/>
              <w:bottom w:w="40" w:type="dxa"/>
              <w:right w:w="20" w:type="dxa"/>
            </w:tcMar>
            <w:vAlign w:val="bottom"/>
          </w:tcPr>
          <w:p w14:paraId="5EA21FA8" w14:textId="77777777" w:rsidR="003C66EB" w:rsidRDefault="003C66EB">
            <w:pPr>
              <w:jc w:val="right"/>
              <w:rPr>
                <w:rFonts w:ascii="宋体"/>
              </w:rPr>
            </w:pPr>
          </w:p>
        </w:tc>
      </w:tr>
      <w:tr w:rsidR="003C66EB" w14:paraId="5EA21FB2" w14:textId="77777777">
        <w:tc>
          <w:tcPr>
            <w:tcW w:w="0" w:type="auto"/>
            <w:gridSpan w:val="3"/>
            <w:shd w:val="clear" w:color="auto" w:fill="FFFFFF"/>
            <w:tcMar>
              <w:top w:w="40" w:type="dxa"/>
              <w:left w:w="20" w:type="dxa"/>
              <w:bottom w:w="40" w:type="dxa"/>
              <w:right w:w="20" w:type="dxa"/>
            </w:tcMar>
            <w:vAlign w:val="bottom"/>
          </w:tcPr>
          <w:p w14:paraId="5EA21FAA" w14:textId="77777777" w:rsidR="003C66EB" w:rsidRDefault="00D96C4E">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1FAB" w14:textId="77777777" w:rsidR="003C66EB" w:rsidRDefault="00D96C4E">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1FAC" w14:textId="77777777" w:rsidR="003C66EB" w:rsidRDefault="00D96C4E">
            <w:pPr>
              <w:jc w:val="right"/>
              <w:textAlignment w:val="bottom"/>
            </w:pPr>
            <w:r>
              <w:rPr>
                <w:rFonts w:ascii="Arial" w:eastAsia="宋体" w:hAnsi="Arial" w:cs="Arial"/>
                <w:b/>
                <w:bCs/>
                <w:color w:val="000000"/>
                <w:sz w:val="18"/>
                <w:szCs w:val="18"/>
              </w:rPr>
              <w:t>316,885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F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A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1FAF" w14:textId="77777777" w:rsidR="003C66EB" w:rsidRDefault="00D96C4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1FB0" w14:textId="77777777" w:rsidR="003C66EB" w:rsidRDefault="00D96C4E">
            <w:pPr>
              <w:jc w:val="right"/>
              <w:textAlignment w:val="bottom"/>
            </w:pPr>
            <w:r>
              <w:rPr>
                <w:rFonts w:ascii="Arial" w:eastAsia="宋体" w:hAnsi="Arial" w:cs="Arial"/>
                <w:color w:val="000000"/>
                <w:sz w:val="18"/>
                <w:szCs w:val="18"/>
              </w:rPr>
              <w:t>314,706 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FB1" w14:textId="77777777" w:rsidR="003C66EB" w:rsidRDefault="003C66EB">
            <w:pPr>
              <w:jc w:val="right"/>
              <w:rPr>
                <w:rFonts w:ascii="宋体"/>
              </w:rPr>
            </w:pPr>
          </w:p>
        </w:tc>
      </w:tr>
      <w:tr w:rsidR="003C66EB" w14:paraId="5EA21FB7" w14:textId="77777777">
        <w:tc>
          <w:tcPr>
            <w:tcW w:w="0" w:type="auto"/>
            <w:gridSpan w:val="3"/>
            <w:shd w:val="clear" w:color="auto" w:fill="CCEEFF"/>
            <w:tcMar>
              <w:top w:w="40" w:type="dxa"/>
              <w:left w:w="20" w:type="dxa"/>
              <w:bottom w:w="40" w:type="dxa"/>
              <w:right w:w="20" w:type="dxa"/>
            </w:tcMar>
            <w:vAlign w:val="bottom"/>
          </w:tcPr>
          <w:p w14:paraId="5EA21FB3" w14:textId="77777777" w:rsidR="003C66EB" w:rsidRDefault="00D96C4E">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5EA21FB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1FB5"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1FB6" w14:textId="77777777" w:rsidR="003C66EB" w:rsidRDefault="003C66EB">
            <w:pPr>
              <w:rPr>
                <w:rFonts w:ascii="宋体"/>
              </w:rPr>
            </w:pPr>
          </w:p>
        </w:tc>
      </w:tr>
      <w:tr w:rsidR="003C66EB" w14:paraId="5EA21FBC" w14:textId="77777777">
        <w:tc>
          <w:tcPr>
            <w:tcW w:w="0" w:type="auto"/>
            <w:gridSpan w:val="3"/>
            <w:shd w:val="clear" w:color="auto" w:fill="FFFFFF"/>
            <w:tcMar>
              <w:top w:w="40" w:type="dxa"/>
              <w:left w:w="20" w:type="dxa"/>
              <w:bottom w:w="40" w:type="dxa"/>
              <w:right w:w="20" w:type="dxa"/>
            </w:tcMar>
            <w:vAlign w:val="bottom"/>
          </w:tcPr>
          <w:p w14:paraId="5EA21FB8" w14:textId="77777777" w:rsidR="003C66EB" w:rsidRDefault="00D96C4E">
            <w:pPr>
              <w:textAlignment w:val="bottom"/>
            </w:pPr>
            <w:r>
              <w:rPr>
                <w:rFonts w:ascii="Arial" w:eastAsia="宋体" w:hAnsi="Arial" w:cs="Arial"/>
                <w:color w:val="000000"/>
                <w:sz w:val="18"/>
                <w:szCs w:val="18"/>
              </w:rPr>
              <w:t>Deposits:</w:t>
            </w:r>
          </w:p>
        </w:tc>
        <w:tc>
          <w:tcPr>
            <w:tcW w:w="0" w:type="auto"/>
            <w:gridSpan w:val="3"/>
            <w:shd w:val="clear" w:color="auto" w:fill="FFFFFF"/>
            <w:tcMar>
              <w:top w:w="0" w:type="dxa"/>
              <w:left w:w="20" w:type="dxa"/>
              <w:bottom w:w="0" w:type="dxa"/>
              <w:right w:w="20" w:type="dxa"/>
            </w:tcMar>
          </w:tcPr>
          <w:p w14:paraId="5EA21FB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FB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1FBB" w14:textId="77777777" w:rsidR="003C66EB" w:rsidRDefault="003C66EB">
            <w:pPr>
              <w:rPr>
                <w:rFonts w:ascii="宋体"/>
              </w:rPr>
            </w:pPr>
          </w:p>
        </w:tc>
      </w:tr>
      <w:tr w:rsidR="003C66EB" w14:paraId="5EA21FC5" w14:textId="77777777">
        <w:tc>
          <w:tcPr>
            <w:tcW w:w="0" w:type="auto"/>
            <w:gridSpan w:val="3"/>
            <w:shd w:val="clear" w:color="auto" w:fill="CCEEFF"/>
            <w:tcMar>
              <w:top w:w="40" w:type="dxa"/>
              <w:left w:w="245" w:type="dxa"/>
              <w:bottom w:w="40" w:type="dxa"/>
              <w:right w:w="20" w:type="dxa"/>
            </w:tcMar>
            <w:vAlign w:val="bottom"/>
          </w:tcPr>
          <w:p w14:paraId="5EA21FBD" w14:textId="77777777" w:rsidR="003C66EB" w:rsidRDefault="00D96C4E">
            <w:pPr>
              <w:textAlignment w:val="bottom"/>
            </w:pPr>
            <w:r>
              <w:rPr>
                <w:rFonts w:ascii="Arial" w:eastAsia="宋体" w:hAnsi="Arial" w:cs="Arial"/>
                <w:color w:val="000000"/>
                <w:sz w:val="18"/>
                <w:szCs w:val="18"/>
              </w:rPr>
              <w:t>Non-interest-bearing</w:t>
            </w:r>
          </w:p>
        </w:tc>
        <w:tc>
          <w:tcPr>
            <w:tcW w:w="0" w:type="auto"/>
            <w:shd w:val="clear" w:color="auto" w:fill="CCEEFF"/>
            <w:tcMar>
              <w:top w:w="40" w:type="dxa"/>
              <w:left w:w="20" w:type="dxa"/>
              <w:bottom w:w="40" w:type="dxa"/>
              <w:right w:w="0" w:type="dxa"/>
            </w:tcMar>
            <w:vAlign w:val="bottom"/>
          </w:tcPr>
          <w:p w14:paraId="5EA21FBE" w14:textId="77777777" w:rsidR="003C66EB" w:rsidRDefault="00D96C4E">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A21FBF" w14:textId="77777777" w:rsidR="003C66EB" w:rsidRDefault="00D96C4E">
            <w:pPr>
              <w:jc w:val="right"/>
              <w:textAlignment w:val="bottom"/>
            </w:pPr>
            <w:r>
              <w:rPr>
                <w:rFonts w:ascii="Arial" w:eastAsia="宋体" w:hAnsi="Arial" w:cs="Arial"/>
                <w:b/>
                <w:bCs/>
                <w:color w:val="000000"/>
                <w:sz w:val="18"/>
                <w:szCs w:val="18"/>
              </w:rPr>
              <w:t>57,079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C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C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1FC2" w14:textId="77777777" w:rsidR="003C66EB" w:rsidRDefault="00D96C4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A21FC3" w14:textId="77777777" w:rsidR="003C66EB" w:rsidRDefault="00D96C4E">
            <w:pPr>
              <w:jc w:val="right"/>
              <w:textAlignment w:val="bottom"/>
            </w:pPr>
            <w:r>
              <w:rPr>
                <w:rFonts w:ascii="Arial" w:eastAsia="宋体" w:hAnsi="Arial" w:cs="Arial"/>
                <w:color w:val="000000"/>
                <w:sz w:val="18"/>
                <w:szCs w:val="18"/>
              </w:rPr>
              <w:t>49,439 </w:t>
            </w:r>
          </w:p>
        </w:tc>
        <w:tc>
          <w:tcPr>
            <w:tcW w:w="0" w:type="auto"/>
            <w:shd w:val="clear" w:color="auto" w:fill="CCEEFF"/>
            <w:tcMar>
              <w:top w:w="40" w:type="dxa"/>
              <w:left w:w="0" w:type="dxa"/>
              <w:bottom w:w="40" w:type="dxa"/>
              <w:right w:w="20" w:type="dxa"/>
            </w:tcMar>
            <w:vAlign w:val="bottom"/>
          </w:tcPr>
          <w:p w14:paraId="5EA21FC4" w14:textId="77777777" w:rsidR="003C66EB" w:rsidRDefault="003C66EB">
            <w:pPr>
              <w:jc w:val="right"/>
              <w:rPr>
                <w:rFonts w:ascii="宋体"/>
              </w:rPr>
            </w:pPr>
          </w:p>
        </w:tc>
      </w:tr>
      <w:tr w:rsidR="003C66EB" w14:paraId="5EA21FCC" w14:textId="77777777">
        <w:tc>
          <w:tcPr>
            <w:tcW w:w="0" w:type="auto"/>
            <w:gridSpan w:val="3"/>
            <w:shd w:val="clear" w:color="auto" w:fill="FFFFFF"/>
            <w:tcMar>
              <w:top w:w="40" w:type="dxa"/>
              <w:left w:w="245" w:type="dxa"/>
              <w:bottom w:w="40" w:type="dxa"/>
              <w:right w:w="20" w:type="dxa"/>
            </w:tcMar>
            <w:vAlign w:val="bottom"/>
          </w:tcPr>
          <w:p w14:paraId="5EA21FC6" w14:textId="77777777" w:rsidR="003C66EB" w:rsidRDefault="00D96C4E">
            <w:pPr>
              <w:textAlignment w:val="bottom"/>
            </w:pPr>
            <w:r>
              <w:rPr>
                <w:rFonts w:ascii="Arial" w:eastAsia="宋体" w:hAnsi="Arial" w:cs="Arial"/>
                <w:color w:val="000000"/>
                <w:sz w:val="18"/>
                <w:szCs w:val="18"/>
              </w:rPr>
              <w:t>Interest-bearing - U.S.</w:t>
            </w:r>
          </w:p>
        </w:tc>
        <w:tc>
          <w:tcPr>
            <w:tcW w:w="0" w:type="auto"/>
            <w:gridSpan w:val="2"/>
            <w:shd w:val="clear" w:color="auto" w:fill="FFFFFF"/>
            <w:tcMar>
              <w:top w:w="40" w:type="dxa"/>
              <w:left w:w="20" w:type="dxa"/>
              <w:bottom w:w="40" w:type="dxa"/>
              <w:right w:w="0" w:type="dxa"/>
            </w:tcMar>
            <w:vAlign w:val="bottom"/>
          </w:tcPr>
          <w:p w14:paraId="5EA21FC7" w14:textId="77777777" w:rsidR="003C66EB" w:rsidRDefault="00D96C4E">
            <w:pPr>
              <w:jc w:val="right"/>
              <w:textAlignment w:val="bottom"/>
            </w:pPr>
            <w:r>
              <w:rPr>
                <w:rFonts w:ascii="Arial" w:eastAsia="宋体" w:hAnsi="Arial" w:cs="Arial"/>
                <w:b/>
                <w:bCs/>
                <w:color w:val="000000"/>
                <w:sz w:val="18"/>
                <w:szCs w:val="18"/>
              </w:rPr>
              <w:t>108,372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CA" w14:textId="77777777" w:rsidR="003C66EB" w:rsidRDefault="00D96C4E">
            <w:pPr>
              <w:jc w:val="right"/>
              <w:textAlignment w:val="bottom"/>
            </w:pPr>
            <w:r>
              <w:rPr>
                <w:rFonts w:ascii="Arial" w:eastAsia="宋体" w:hAnsi="Arial" w:cs="Arial"/>
                <w:color w:val="000000"/>
                <w:sz w:val="18"/>
                <w:szCs w:val="18"/>
              </w:rPr>
              <w:t>102,331 </w:t>
            </w:r>
          </w:p>
        </w:tc>
        <w:tc>
          <w:tcPr>
            <w:tcW w:w="0" w:type="auto"/>
            <w:shd w:val="clear" w:color="auto" w:fill="FFFFFF"/>
            <w:tcMar>
              <w:top w:w="40" w:type="dxa"/>
              <w:left w:w="0" w:type="dxa"/>
              <w:bottom w:w="40" w:type="dxa"/>
              <w:right w:w="20" w:type="dxa"/>
            </w:tcMar>
            <w:vAlign w:val="bottom"/>
          </w:tcPr>
          <w:p w14:paraId="5EA21FCB" w14:textId="77777777" w:rsidR="003C66EB" w:rsidRDefault="003C66EB">
            <w:pPr>
              <w:jc w:val="right"/>
              <w:rPr>
                <w:rFonts w:ascii="宋体"/>
              </w:rPr>
            </w:pPr>
          </w:p>
        </w:tc>
      </w:tr>
      <w:tr w:rsidR="003C66EB" w14:paraId="5EA21FD3" w14:textId="77777777">
        <w:tc>
          <w:tcPr>
            <w:tcW w:w="0" w:type="auto"/>
            <w:gridSpan w:val="3"/>
            <w:shd w:val="clear" w:color="auto" w:fill="CCEEFF"/>
            <w:tcMar>
              <w:top w:w="40" w:type="dxa"/>
              <w:left w:w="245" w:type="dxa"/>
              <w:bottom w:w="40" w:type="dxa"/>
              <w:right w:w="20" w:type="dxa"/>
            </w:tcMar>
            <w:vAlign w:val="bottom"/>
          </w:tcPr>
          <w:p w14:paraId="5EA21FCD" w14:textId="77777777" w:rsidR="003C66EB" w:rsidRDefault="00D96C4E">
            <w:pPr>
              <w:textAlignment w:val="bottom"/>
            </w:pPr>
            <w:r>
              <w:rPr>
                <w:rFonts w:ascii="Arial" w:eastAsia="宋体" w:hAnsi="Arial" w:cs="Arial"/>
                <w:color w:val="000000"/>
                <w:sz w:val="18"/>
                <w:szCs w:val="18"/>
              </w:rPr>
              <w:t>Interest-bearing - non-U.S.</w:t>
            </w:r>
          </w:p>
        </w:tc>
        <w:tc>
          <w:tcPr>
            <w:tcW w:w="0" w:type="auto"/>
            <w:gridSpan w:val="2"/>
            <w:shd w:val="clear" w:color="auto" w:fill="CCEEFF"/>
            <w:tcMar>
              <w:top w:w="40" w:type="dxa"/>
              <w:left w:w="20" w:type="dxa"/>
              <w:bottom w:w="40" w:type="dxa"/>
              <w:right w:w="0" w:type="dxa"/>
            </w:tcMar>
            <w:vAlign w:val="bottom"/>
          </w:tcPr>
          <w:p w14:paraId="5EA21FCE" w14:textId="77777777" w:rsidR="003C66EB" w:rsidRDefault="00D96C4E">
            <w:pPr>
              <w:jc w:val="right"/>
              <w:textAlignment w:val="bottom"/>
            </w:pPr>
            <w:r>
              <w:rPr>
                <w:rFonts w:ascii="Arial" w:eastAsia="宋体" w:hAnsi="Arial" w:cs="Arial"/>
                <w:b/>
                <w:bCs/>
                <w:color w:val="000000"/>
                <w:sz w:val="18"/>
                <w:szCs w:val="18"/>
              </w:rPr>
              <w:t>79,442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D1" w14:textId="77777777" w:rsidR="003C66EB" w:rsidRDefault="00D96C4E">
            <w:pPr>
              <w:jc w:val="right"/>
              <w:textAlignment w:val="bottom"/>
            </w:pPr>
            <w:r>
              <w:rPr>
                <w:rFonts w:ascii="Arial" w:eastAsia="宋体" w:hAnsi="Arial" w:cs="Arial"/>
                <w:color w:val="000000"/>
                <w:sz w:val="18"/>
                <w:szCs w:val="18"/>
              </w:rPr>
              <w:t>88,028 </w:t>
            </w:r>
          </w:p>
        </w:tc>
        <w:tc>
          <w:tcPr>
            <w:tcW w:w="0" w:type="auto"/>
            <w:shd w:val="clear" w:color="auto" w:fill="CCEEFF"/>
            <w:tcMar>
              <w:top w:w="40" w:type="dxa"/>
              <w:left w:w="0" w:type="dxa"/>
              <w:bottom w:w="40" w:type="dxa"/>
              <w:right w:w="20" w:type="dxa"/>
            </w:tcMar>
            <w:vAlign w:val="bottom"/>
          </w:tcPr>
          <w:p w14:paraId="5EA21FD2" w14:textId="77777777" w:rsidR="003C66EB" w:rsidRDefault="003C66EB">
            <w:pPr>
              <w:jc w:val="right"/>
              <w:rPr>
                <w:rFonts w:ascii="宋体"/>
              </w:rPr>
            </w:pPr>
          </w:p>
        </w:tc>
      </w:tr>
      <w:tr w:rsidR="003C66EB" w14:paraId="5EA21FDA" w14:textId="77777777">
        <w:tc>
          <w:tcPr>
            <w:tcW w:w="0" w:type="auto"/>
            <w:gridSpan w:val="3"/>
            <w:shd w:val="clear" w:color="auto" w:fill="FFFFFF"/>
            <w:tcMar>
              <w:top w:w="40" w:type="dxa"/>
              <w:left w:w="20" w:type="dxa"/>
              <w:bottom w:w="40" w:type="dxa"/>
              <w:right w:w="20" w:type="dxa"/>
            </w:tcMar>
            <w:vAlign w:val="bottom"/>
          </w:tcPr>
          <w:p w14:paraId="5EA21FD4" w14:textId="77777777" w:rsidR="003C66EB" w:rsidRDefault="00D96C4E">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FD5" w14:textId="77777777" w:rsidR="003C66EB" w:rsidRDefault="00D96C4E">
            <w:pPr>
              <w:jc w:val="right"/>
              <w:textAlignment w:val="bottom"/>
            </w:pPr>
            <w:r>
              <w:rPr>
                <w:rFonts w:ascii="Arial" w:eastAsia="宋体" w:hAnsi="Arial" w:cs="Arial"/>
                <w:b/>
                <w:bCs/>
                <w:color w:val="000000"/>
                <w:sz w:val="18"/>
                <w:szCs w:val="18"/>
              </w:rPr>
              <w:t>244,893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FD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D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FD8" w14:textId="77777777" w:rsidR="003C66EB" w:rsidRDefault="00D96C4E">
            <w:pPr>
              <w:jc w:val="right"/>
              <w:textAlignment w:val="bottom"/>
            </w:pPr>
            <w:r>
              <w:rPr>
                <w:rFonts w:ascii="Arial" w:eastAsia="宋体" w:hAnsi="Arial" w:cs="Arial"/>
                <w:color w:val="000000"/>
                <w:sz w:val="18"/>
                <w:szCs w:val="18"/>
              </w:rPr>
              <w:t>239,798 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1FD9" w14:textId="77777777" w:rsidR="003C66EB" w:rsidRDefault="003C66EB">
            <w:pPr>
              <w:jc w:val="right"/>
              <w:rPr>
                <w:rFonts w:ascii="宋体"/>
              </w:rPr>
            </w:pPr>
          </w:p>
        </w:tc>
      </w:tr>
      <w:tr w:rsidR="003C66EB" w14:paraId="5EA21FE1" w14:textId="77777777">
        <w:tc>
          <w:tcPr>
            <w:tcW w:w="0" w:type="auto"/>
            <w:gridSpan w:val="3"/>
            <w:shd w:val="clear" w:color="auto" w:fill="CCEEFF"/>
            <w:tcMar>
              <w:top w:w="40" w:type="dxa"/>
              <w:left w:w="20" w:type="dxa"/>
              <w:bottom w:w="40" w:type="dxa"/>
              <w:right w:w="20" w:type="dxa"/>
            </w:tcMar>
            <w:vAlign w:val="bottom"/>
          </w:tcPr>
          <w:p w14:paraId="5EA21FDB" w14:textId="77777777" w:rsidR="003C66EB" w:rsidRDefault="00D96C4E">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EA21FDC" w14:textId="77777777" w:rsidR="003C66EB" w:rsidRDefault="00D96C4E">
            <w:pPr>
              <w:jc w:val="right"/>
              <w:textAlignment w:val="bottom"/>
            </w:pPr>
            <w:r>
              <w:rPr>
                <w:rFonts w:ascii="Arial" w:eastAsia="宋体" w:hAnsi="Arial" w:cs="Arial"/>
                <w:b/>
                <w:bCs/>
                <w:color w:val="000000"/>
                <w:sz w:val="18"/>
                <w:szCs w:val="18"/>
              </w:rPr>
              <w:t>587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D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DF" w14:textId="77777777" w:rsidR="003C66EB" w:rsidRDefault="00D96C4E">
            <w:pPr>
              <w:jc w:val="right"/>
              <w:textAlignment w:val="bottom"/>
            </w:pPr>
            <w:r>
              <w:rPr>
                <w:rFonts w:ascii="Arial" w:eastAsia="宋体" w:hAnsi="Arial" w:cs="Arial"/>
                <w:color w:val="000000"/>
                <w:sz w:val="18"/>
                <w:szCs w:val="18"/>
              </w:rPr>
              <w:t>3,413 </w:t>
            </w:r>
          </w:p>
        </w:tc>
        <w:tc>
          <w:tcPr>
            <w:tcW w:w="0" w:type="auto"/>
            <w:shd w:val="clear" w:color="auto" w:fill="CCEEFF"/>
            <w:tcMar>
              <w:top w:w="40" w:type="dxa"/>
              <w:left w:w="0" w:type="dxa"/>
              <w:bottom w:w="40" w:type="dxa"/>
              <w:right w:w="20" w:type="dxa"/>
            </w:tcMar>
            <w:vAlign w:val="bottom"/>
          </w:tcPr>
          <w:p w14:paraId="5EA21FE0" w14:textId="77777777" w:rsidR="003C66EB" w:rsidRDefault="003C66EB">
            <w:pPr>
              <w:jc w:val="right"/>
              <w:rPr>
                <w:rFonts w:ascii="宋体"/>
              </w:rPr>
            </w:pPr>
          </w:p>
        </w:tc>
      </w:tr>
      <w:tr w:rsidR="003C66EB" w14:paraId="5EA21FE8" w14:textId="77777777">
        <w:tc>
          <w:tcPr>
            <w:tcW w:w="0" w:type="auto"/>
            <w:gridSpan w:val="3"/>
            <w:shd w:val="clear" w:color="auto" w:fill="FFFFFF"/>
            <w:tcMar>
              <w:top w:w="40" w:type="dxa"/>
              <w:left w:w="20" w:type="dxa"/>
              <w:bottom w:w="40" w:type="dxa"/>
              <w:right w:w="20" w:type="dxa"/>
            </w:tcMar>
            <w:vAlign w:val="bottom"/>
          </w:tcPr>
          <w:p w14:paraId="5EA21FE2" w14:textId="77777777" w:rsidR="003C66EB" w:rsidRDefault="00D96C4E">
            <w:pPr>
              <w:textAlignment w:val="bottom"/>
            </w:pPr>
            <w:r>
              <w:rPr>
                <w:rFonts w:ascii="Arial" w:eastAsia="宋体" w:hAnsi="Arial" w:cs="Arial"/>
                <w:color w:val="000000"/>
                <w:sz w:val="18"/>
                <w:szCs w:val="18"/>
              </w:rPr>
              <w:t>Short 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5EA21FE3" w14:textId="77777777" w:rsidR="003C66EB" w:rsidRDefault="00D96C4E">
            <w:pPr>
              <w:jc w:val="right"/>
              <w:textAlignment w:val="bottom"/>
            </w:pPr>
            <w:r>
              <w:rPr>
                <w:rFonts w:ascii="Arial" w:eastAsia="宋体" w:hAnsi="Arial" w:cs="Arial"/>
                <w:b/>
                <w:bCs/>
                <w:color w:val="000000"/>
                <w:sz w:val="18"/>
                <w:szCs w:val="18"/>
              </w:rPr>
              <w:t>200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E6" w14:textId="77777777" w:rsidR="003C66EB" w:rsidRDefault="00D96C4E">
            <w:pPr>
              <w:jc w:val="right"/>
              <w:textAlignment w:val="bottom"/>
            </w:pPr>
            <w:r>
              <w:rPr>
                <w:rFonts w:ascii="Arial" w:eastAsia="宋体" w:hAnsi="Arial" w:cs="Arial"/>
                <w:color w:val="000000"/>
                <w:sz w:val="18"/>
                <w:szCs w:val="18"/>
              </w:rPr>
              <w:t>3,302 </w:t>
            </w:r>
          </w:p>
        </w:tc>
        <w:tc>
          <w:tcPr>
            <w:tcW w:w="0" w:type="auto"/>
            <w:shd w:val="clear" w:color="auto" w:fill="FFFFFF"/>
            <w:tcMar>
              <w:top w:w="40" w:type="dxa"/>
              <w:left w:w="0" w:type="dxa"/>
              <w:bottom w:w="40" w:type="dxa"/>
              <w:right w:w="20" w:type="dxa"/>
            </w:tcMar>
            <w:vAlign w:val="bottom"/>
          </w:tcPr>
          <w:p w14:paraId="5EA21FE7" w14:textId="77777777" w:rsidR="003C66EB" w:rsidRDefault="003C66EB">
            <w:pPr>
              <w:jc w:val="right"/>
              <w:rPr>
                <w:rFonts w:ascii="宋体"/>
              </w:rPr>
            </w:pPr>
          </w:p>
        </w:tc>
      </w:tr>
      <w:tr w:rsidR="003C66EB" w14:paraId="5EA21FEF" w14:textId="77777777">
        <w:tc>
          <w:tcPr>
            <w:tcW w:w="0" w:type="auto"/>
            <w:gridSpan w:val="3"/>
            <w:shd w:val="clear" w:color="auto" w:fill="CCEEFF"/>
            <w:tcMar>
              <w:top w:w="40" w:type="dxa"/>
              <w:left w:w="20" w:type="dxa"/>
              <w:bottom w:w="40" w:type="dxa"/>
              <w:right w:w="20" w:type="dxa"/>
            </w:tcMar>
            <w:vAlign w:val="bottom"/>
          </w:tcPr>
          <w:p w14:paraId="5EA21FE9" w14:textId="77777777" w:rsidR="003C66EB" w:rsidRDefault="00D96C4E">
            <w:pPr>
              <w:textAlignment w:val="bottom"/>
            </w:pPr>
            <w:r>
              <w:rPr>
                <w:rFonts w:ascii="Arial" w:eastAsia="宋体" w:hAnsi="Arial" w:cs="Arial"/>
                <w:color w:val="000000"/>
                <w:sz w:val="18"/>
                <w:szCs w:val="18"/>
              </w:rPr>
              <w:t xml:space="preserve">Other short-term </w:t>
            </w:r>
            <w:r>
              <w:rPr>
                <w:rFonts w:ascii="Arial" w:eastAsia="宋体" w:hAnsi="Arial" w:cs="Arial"/>
                <w:color w:val="000000"/>
                <w:sz w:val="18"/>
                <w:szCs w:val="18"/>
              </w:rPr>
              <w:t>borrowings</w:t>
            </w:r>
          </w:p>
        </w:tc>
        <w:tc>
          <w:tcPr>
            <w:tcW w:w="0" w:type="auto"/>
            <w:gridSpan w:val="2"/>
            <w:shd w:val="clear" w:color="auto" w:fill="CCEEFF"/>
            <w:tcMar>
              <w:top w:w="40" w:type="dxa"/>
              <w:left w:w="20" w:type="dxa"/>
              <w:bottom w:w="40" w:type="dxa"/>
              <w:right w:w="0" w:type="dxa"/>
            </w:tcMar>
            <w:vAlign w:val="bottom"/>
          </w:tcPr>
          <w:p w14:paraId="5EA21FEA" w14:textId="77777777" w:rsidR="003C66EB" w:rsidRDefault="00D96C4E">
            <w:pPr>
              <w:jc w:val="right"/>
              <w:textAlignment w:val="bottom"/>
            </w:pPr>
            <w:r>
              <w:rPr>
                <w:rFonts w:ascii="Arial" w:eastAsia="宋体" w:hAnsi="Arial" w:cs="Arial"/>
                <w:b/>
                <w:bCs/>
                <w:color w:val="000000"/>
                <w:sz w:val="18"/>
                <w:szCs w:val="18"/>
              </w:rPr>
              <w:t>642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E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ED" w14:textId="77777777" w:rsidR="003C66EB" w:rsidRDefault="00D96C4E">
            <w:pPr>
              <w:jc w:val="right"/>
              <w:textAlignment w:val="bottom"/>
            </w:pPr>
            <w:r>
              <w:rPr>
                <w:rFonts w:ascii="Arial" w:eastAsia="宋体" w:hAnsi="Arial" w:cs="Arial"/>
                <w:color w:val="000000"/>
                <w:sz w:val="18"/>
                <w:szCs w:val="18"/>
              </w:rPr>
              <w:t>685 </w:t>
            </w:r>
          </w:p>
        </w:tc>
        <w:tc>
          <w:tcPr>
            <w:tcW w:w="0" w:type="auto"/>
            <w:shd w:val="clear" w:color="auto" w:fill="CCEEFF"/>
            <w:tcMar>
              <w:top w:w="40" w:type="dxa"/>
              <w:left w:w="0" w:type="dxa"/>
              <w:bottom w:w="40" w:type="dxa"/>
              <w:right w:w="20" w:type="dxa"/>
            </w:tcMar>
            <w:vAlign w:val="bottom"/>
          </w:tcPr>
          <w:p w14:paraId="5EA21FEE" w14:textId="77777777" w:rsidR="003C66EB" w:rsidRDefault="003C66EB">
            <w:pPr>
              <w:jc w:val="right"/>
              <w:rPr>
                <w:rFonts w:ascii="宋体"/>
              </w:rPr>
            </w:pPr>
          </w:p>
        </w:tc>
      </w:tr>
      <w:tr w:rsidR="003C66EB" w14:paraId="5EA21FF6" w14:textId="77777777">
        <w:tc>
          <w:tcPr>
            <w:tcW w:w="0" w:type="auto"/>
            <w:gridSpan w:val="3"/>
            <w:shd w:val="clear" w:color="auto" w:fill="FFFFFF"/>
            <w:tcMar>
              <w:top w:w="40" w:type="dxa"/>
              <w:left w:w="20" w:type="dxa"/>
              <w:bottom w:w="40" w:type="dxa"/>
              <w:right w:w="20" w:type="dxa"/>
            </w:tcMar>
            <w:vAlign w:val="bottom"/>
          </w:tcPr>
          <w:p w14:paraId="5EA21FF0" w14:textId="77777777" w:rsidR="003C66EB" w:rsidRDefault="00D96C4E">
            <w:pPr>
              <w:textAlignment w:val="bottom"/>
            </w:pPr>
            <w:r>
              <w:rPr>
                <w:rFonts w:ascii="Arial" w:eastAsia="宋体" w:hAnsi="Arial" w:cs="Arial"/>
                <w:color w:val="000000"/>
                <w:sz w:val="18"/>
                <w:szCs w:val="18"/>
              </w:rPr>
              <w:t>Accrued expenses and other liabilities</w:t>
            </w:r>
          </w:p>
        </w:tc>
        <w:tc>
          <w:tcPr>
            <w:tcW w:w="0" w:type="auto"/>
            <w:gridSpan w:val="2"/>
            <w:shd w:val="clear" w:color="auto" w:fill="FFFFFF"/>
            <w:tcMar>
              <w:top w:w="40" w:type="dxa"/>
              <w:left w:w="20" w:type="dxa"/>
              <w:bottom w:w="40" w:type="dxa"/>
              <w:right w:w="0" w:type="dxa"/>
            </w:tcMar>
            <w:vAlign w:val="bottom"/>
          </w:tcPr>
          <w:p w14:paraId="5EA21FF1" w14:textId="77777777" w:rsidR="003C66EB" w:rsidRDefault="00D96C4E">
            <w:pPr>
              <w:jc w:val="right"/>
              <w:textAlignment w:val="bottom"/>
            </w:pPr>
            <w:r>
              <w:rPr>
                <w:rFonts w:ascii="Arial" w:eastAsia="宋体" w:hAnsi="Arial" w:cs="Arial"/>
                <w:b/>
                <w:bCs/>
                <w:color w:val="000000"/>
                <w:sz w:val="18"/>
                <w:szCs w:val="18"/>
              </w:rPr>
              <w:t>31,722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1FF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1FF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1FF4" w14:textId="77777777" w:rsidR="003C66EB" w:rsidRDefault="00D96C4E">
            <w:pPr>
              <w:jc w:val="right"/>
              <w:textAlignment w:val="bottom"/>
            </w:pPr>
            <w:r>
              <w:rPr>
                <w:rFonts w:ascii="Arial" w:eastAsia="宋体" w:hAnsi="Arial" w:cs="Arial"/>
                <w:color w:val="000000"/>
                <w:sz w:val="18"/>
                <w:szCs w:val="18"/>
              </w:rPr>
              <w:t>27,503 </w:t>
            </w:r>
          </w:p>
        </w:tc>
        <w:tc>
          <w:tcPr>
            <w:tcW w:w="0" w:type="auto"/>
            <w:shd w:val="clear" w:color="auto" w:fill="FFFFFF"/>
            <w:tcMar>
              <w:top w:w="40" w:type="dxa"/>
              <w:left w:w="0" w:type="dxa"/>
              <w:bottom w:w="40" w:type="dxa"/>
              <w:right w:w="20" w:type="dxa"/>
            </w:tcMar>
            <w:vAlign w:val="bottom"/>
          </w:tcPr>
          <w:p w14:paraId="5EA21FF5" w14:textId="77777777" w:rsidR="003C66EB" w:rsidRDefault="003C66EB">
            <w:pPr>
              <w:jc w:val="right"/>
              <w:rPr>
                <w:rFonts w:ascii="宋体"/>
              </w:rPr>
            </w:pPr>
          </w:p>
        </w:tc>
      </w:tr>
      <w:tr w:rsidR="003C66EB" w14:paraId="5EA21FFD" w14:textId="77777777">
        <w:tc>
          <w:tcPr>
            <w:tcW w:w="0" w:type="auto"/>
            <w:gridSpan w:val="3"/>
            <w:shd w:val="clear" w:color="auto" w:fill="CCEEFF"/>
            <w:tcMar>
              <w:top w:w="40" w:type="dxa"/>
              <w:left w:w="20" w:type="dxa"/>
              <w:bottom w:w="40" w:type="dxa"/>
              <w:right w:w="20" w:type="dxa"/>
            </w:tcMar>
            <w:vAlign w:val="bottom"/>
          </w:tcPr>
          <w:p w14:paraId="5EA21FF7" w14:textId="77777777" w:rsidR="003C66EB" w:rsidRDefault="00D96C4E">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5EA21FF8" w14:textId="77777777" w:rsidR="003C66EB" w:rsidRDefault="00D96C4E">
            <w:pPr>
              <w:jc w:val="right"/>
              <w:textAlignment w:val="bottom"/>
            </w:pPr>
            <w:r>
              <w:rPr>
                <w:rFonts w:ascii="Arial" w:eastAsia="宋体" w:hAnsi="Arial" w:cs="Arial"/>
                <w:b/>
                <w:bCs/>
                <w:color w:val="000000"/>
                <w:sz w:val="18"/>
                <w:szCs w:val="18"/>
              </w:rPr>
              <w:t>13,836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1F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1FF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1FFB" w14:textId="77777777" w:rsidR="003C66EB" w:rsidRDefault="00D96C4E">
            <w:pPr>
              <w:jc w:val="right"/>
              <w:textAlignment w:val="bottom"/>
            </w:pPr>
            <w:r>
              <w:rPr>
                <w:rFonts w:ascii="Arial" w:eastAsia="宋体" w:hAnsi="Arial" w:cs="Arial"/>
                <w:color w:val="000000"/>
                <w:sz w:val="18"/>
                <w:szCs w:val="18"/>
              </w:rPr>
              <w:t>13,805 </w:t>
            </w:r>
          </w:p>
        </w:tc>
        <w:tc>
          <w:tcPr>
            <w:tcW w:w="0" w:type="auto"/>
            <w:shd w:val="clear" w:color="auto" w:fill="CCEEFF"/>
            <w:tcMar>
              <w:top w:w="40" w:type="dxa"/>
              <w:left w:w="0" w:type="dxa"/>
              <w:bottom w:w="40" w:type="dxa"/>
              <w:right w:w="20" w:type="dxa"/>
            </w:tcMar>
            <w:vAlign w:val="bottom"/>
          </w:tcPr>
          <w:p w14:paraId="5EA21FFC" w14:textId="77777777" w:rsidR="003C66EB" w:rsidRDefault="003C66EB">
            <w:pPr>
              <w:jc w:val="right"/>
              <w:rPr>
                <w:rFonts w:ascii="宋体"/>
              </w:rPr>
            </w:pPr>
          </w:p>
        </w:tc>
      </w:tr>
      <w:tr w:rsidR="003C66EB" w14:paraId="5EA22004" w14:textId="77777777">
        <w:tc>
          <w:tcPr>
            <w:tcW w:w="0" w:type="auto"/>
            <w:gridSpan w:val="3"/>
            <w:shd w:val="clear" w:color="auto" w:fill="FFFFFF"/>
            <w:tcMar>
              <w:top w:w="40" w:type="dxa"/>
              <w:left w:w="20" w:type="dxa"/>
              <w:bottom w:w="40" w:type="dxa"/>
              <w:right w:w="20" w:type="dxa"/>
            </w:tcMar>
            <w:vAlign w:val="bottom"/>
          </w:tcPr>
          <w:p w14:paraId="5EA21FFE" w14:textId="77777777" w:rsidR="003C66EB" w:rsidRDefault="00D96C4E">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1FFF" w14:textId="77777777" w:rsidR="003C66EB" w:rsidRDefault="00D96C4E">
            <w:pPr>
              <w:jc w:val="right"/>
              <w:textAlignment w:val="bottom"/>
            </w:pPr>
            <w:r>
              <w:rPr>
                <w:rFonts w:ascii="Arial" w:eastAsia="宋体" w:hAnsi="Arial" w:cs="Arial"/>
                <w:b/>
                <w:bCs/>
                <w:color w:val="000000"/>
                <w:sz w:val="18"/>
                <w:szCs w:val="18"/>
              </w:rPr>
              <w:t>291,880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00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00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002" w14:textId="77777777" w:rsidR="003C66EB" w:rsidRDefault="00D96C4E">
            <w:pPr>
              <w:jc w:val="right"/>
              <w:textAlignment w:val="bottom"/>
            </w:pPr>
            <w:r>
              <w:rPr>
                <w:rFonts w:ascii="Arial" w:eastAsia="宋体" w:hAnsi="Arial" w:cs="Arial"/>
                <w:color w:val="000000"/>
                <w:sz w:val="18"/>
                <w:szCs w:val="18"/>
              </w:rPr>
              <w:t>288,506 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003" w14:textId="77777777" w:rsidR="003C66EB" w:rsidRDefault="003C66EB">
            <w:pPr>
              <w:jc w:val="right"/>
              <w:rPr>
                <w:rFonts w:ascii="宋体"/>
              </w:rPr>
            </w:pPr>
          </w:p>
        </w:tc>
      </w:tr>
      <w:tr w:rsidR="003C66EB" w14:paraId="5EA22009" w14:textId="77777777">
        <w:tc>
          <w:tcPr>
            <w:tcW w:w="0" w:type="auto"/>
            <w:gridSpan w:val="3"/>
            <w:shd w:val="clear" w:color="auto" w:fill="CCEEFF"/>
            <w:tcMar>
              <w:top w:w="40" w:type="dxa"/>
              <w:left w:w="20" w:type="dxa"/>
              <w:bottom w:w="40" w:type="dxa"/>
              <w:right w:w="20" w:type="dxa"/>
            </w:tcMar>
            <w:vAlign w:val="bottom"/>
          </w:tcPr>
          <w:p w14:paraId="5EA22005" w14:textId="77777777" w:rsidR="003C66EB" w:rsidRDefault="00D96C4E">
            <w:pPr>
              <w:textAlignment w:val="bottom"/>
            </w:pPr>
            <w:r>
              <w:rPr>
                <w:rFonts w:ascii="Arial" w:eastAsia="宋体" w:hAnsi="Arial" w:cs="Arial"/>
                <w:color w:val="000000"/>
                <w:sz w:val="18"/>
                <w:szCs w:val="18"/>
              </w:rPr>
              <w:t>Commitments, guarantees and contingencies (Notes 9 and 10)</w:t>
            </w:r>
          </w:p>
        </w:tc>
        <w:tc>
          <w:tcPr>
            <w:tcW w:w="0" w:type="auto"/>
            <w:gridSpan w:val="3"/>
            <w:shd w:val="clear" w:color="auto" w:fill="CCEEFF"/>
            <w:tcMar>
              <w:top w:w="0" w:type="dxa"/>
              <w:left w:w="20" w:type="dxa"/>
              <w:bottom w:w="0" w:type="dxa"/>
              <w:right w:w="20" w:type="dxa"/>
            </w:tcMar>
          </w:tcPr>
          <w:p w14:paraId="5EA2200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00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008" w14:textId="77777777" w:rsidR="003C66EB" w:rsidRDefault="003C66EB">
            <w:pPr>
              <w:rPr>
                <w:rFonts w:ascii="宋体"/>
              </w:rPr>
            </w:pPr>
          </w:p>
        </w:tc>
      </w:tr>
      <w:tr w:rsidR="003C66EB" w14:paraId="5EA2200E" w14:textId="77777777">
        <w:tc>
          <w:tcPr>
            <w:tcW w:w="0" w:type="auto"/>
            <w:gridSpan w:val="3"/>
            <w:shd w:val="clear" w:color="auto" w:fill="FFFFFF"/>
            <w:tcMar>
              <w:top w:w="40" w:type="dxa"/>
              <w:left w:w="20" w:type="dxa"/>
              <w:bottom w:w="40" w:type="dxa"/>
              <w:right w:w="20" w:type="dxa"/>
            </w:tcMar>
            <w:vAlign w:val="bottom"/>
          </w:tcPr>
          <w:p w14:paraId="5EA2200A" w14:textId="77777777" w:rsidR="003C66EB" w:rsidRDefault="00D96C4E">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tcPr>
          <w:p w14:paraId="5EA220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0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00D" w14:textId="77777777" w:rsidR="003C66EB" w:rsidRDefault="003C66EB">
            <w:pPr>
              <w:rPr>
                <w:rFonts w:ascii="宋体"/>
              </w:rPr>
            </w:pPr>
          </w:p>
        </w:tc>
      </w:tr>
      <w:tr w:rsidR="003C66EB" w14:paraId="5EA22013" w14:textId="77777777">
        <w:tc>
          <w:tcPr>
            <w:tcW w:w="0" w:type="auto"/>
            <w:gridSpan w:val="3"/>
            <w:shd w:val="clear" w:color="auto" w:fill="CCEEFF"/>
            <w:tcMar>
              <w:top w:w="40" w:type="dxa"/>
              <w:left w:w="20" w:type="dxa"/>
              <w:bottom w:w="40" w:type="dxa"/>
              <w:right w:w="20" w:type="dxa"/>
            </w:tcMar>
            <w:vAlign w:val="bottom"/>
          </w:tcPr>
          <w:p w14:paraId="5EA2200F" w14:textId="77777777" w:rsidR="003C66EB" w:rsidRDefault="00D96C4E">
            <w:pPr>
              <w:textAlignment w:val="bottom"/>
            </w:pPr>
            <w:r>
              <w:rPr>
                <w:rFonts w:ascii="Arial" w:eastAsia="宋体" w:hAnsi="Arial" w:cs="Arial"/>
                <w:color w:val="000000"/>
                <w:sz w:val="18"/>
                <w:szCs w:val="18"/>
              </w:rPr>
              <w:t>Preferred stock, no par, 3,500,000 shares authorized:</w:t>
            </w:r>
          </w:p>
        </w:tc>
        <w:tc>
          <w:tcPr>
            <w:tcW w:w="0" w:type="auto"/>
            <w:gridSpan w:val="3"/>
            <w:shd w:val="clear" w:color="auto" w:fill="CCEEFF"/>
            <w:tcMar>
              <w:top w:w="0" w:type="dxa"/>
              <w:left w:w="20" w:type="dxa"/>
              <w:bottom w:w="0" w:type="dxa"/>
              <w:right w:w="20" w:type="dxa"/>
            </w:tcMar>
          </w:tcPr>
          <w:p w14:paraId="5EA2201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01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012" w14:textId="77777777" w:rsidR="003C66EB" w:rsidRDefault="003C66EB">
            <w:pPr>
              <w:rPr>
                <w:rFonts w:ascii="宋体"/>
              </w:rPr>
            </w:pPr>
          </w:p>
        </w:tc>
      </w:tr>
      <w:tr w:rsidR="003C66EB" w14:paraId="5EA22018" w14:textId="77777777">
        <w:trPr>
          <w:hidden/>
        </w:trPr>
        <w:tc>
          <w:tcPr>
            <w:tcW w:w="0" w:type="auto"/>
            <w:gridSpan w:val="3"/>
            <w:shd w:val="clear" w:color="auto" w:fill="auto"/>
          </w:tcPr>
          <w:p w14:paraId="5EA22014" w14:textId="77777777" w:rsidR="003C66EB" w:rsidRDefault="003C66EB">
            <w:pPr>
              <w:rPr>
                <w:rFonts w:ascii="宋体"/>
                <w:vanish/>
              </w:rPr>
            </w:pPr>
          </w:p>
        </w:tc>
        <w:tc>
          <w:tcPr>
            <w:tcW w:w="0" w:type="auto"/>
            <w:gridSpan w:val="3"/>
            <w:shd w:val="clear" w:color="auto" w:fill="auto"/>
          </w:tcPr>
          <w:p w14:paraId="5EA22015" w14:textId="77777777" w:rsidR="003C66EB" w:rsidRDefault="003C66EB">
            <w:pPr>
              <w:rPr>
                <w:rFonts w:ascii="宋体"/>
                <w:vanish/>
              </w:rPr>
            </w:pPr>
          </w:p>
        </w:tc>
        <w:tc>
          <w:tcPr>
            <w:tcW w:w="0" w:type="auto"/>
            <w:gridSpan w:val="3"/>
            <w:shd w:val="clear" w:color="auto" w:fill="auto"/>
          </w:tcPr>
          <w:p w14:paraId="5EA22016" w14:textId="77777777" w:rsidR="003C66EB" w:rsidRDefault="003C66EB">
            <w:pPr>
              <w:rPr>
                <w:rFonts w:ascii="宋体"/>
                <w:vanish/>
              </w:rPr>
            </w:pPr>
          </w:p>
        </w:tc>
        <w:tc>
          <w:tcPr>
            <w:tcW w:w="0" w:type="auto"/>
            <w:gridSpan w:val="3"/>
            <w:shd w:val="clear" w:color="auto" w:fill="auto"/>
          </w:tcPr>
          <w:p w14:paraId="5EA22017" w14:textId="77777777" w:rsidR="003C66EB" w:rsidRDefault="003C66EB">
            <w:pPr>
              <w:rPr>
                <w:rFonts w:ascii="宋体"/>
                <w:vanish/>
              </w:rPr>
            </w:pPr>
          </w:p>
        </w:tc>
      </w:tr>
      <w:tr w:rsidR="003C66EB" w14:paraId="5EA2201F" w14:textId="77777777">
        <w:tc>
          <w:tcPr>
            <w:tcW w:w="0" w:type="auto"/>
            <w:gridSpan w:val="3"/>
            <w:shd w:val="clear" w:color="auto" w:fill="FFFFFF"/>
            <w:tcMar>
              <w:top w:w="40" w:type="dxa"/>
              <w:left w:w="20" w:type="dxa"/>
              <w:bottom w:w="40" w:type="dxa"/>
              <w:right w:w="20" w:type="dxa"/>
            </w:tcMar>
            <w:vAlign w:val="bottom"/>
          </w:tcPr>
          <w:p w14:paraId="5EA22019" w14:textId="77777777" w:rsidR="003C66EB" w:rsidRDefault="00D96C4E">
            <w:pPr>
              <w:textAlignment w:val="bottom"/>
            </w:pPr>
            <w:r>
              <w:rPr>
                <w:rFonts w:ascii="Arial" w:eastAsia="宋体" w:hAnsi="Arial" w:cs="Arial"/>
                <w:color w:val="000000"/>
                <w:sz w:val="18"/>
                <w:szCs w:val="18"/>
              </w:rPr>
              <w:t>Series D, 7,500 shares issued and outstanding</w:t>
            </w:r>
          </w:p>
        </w:tc>
        <w:tc>
          <w:tcPr>
            <w:tcW w:w="0" w:type="auto"/>
            <w:gridSpan w:val="2"/>
            <w:shd w:val="clear" w:color="auto" w:fill="FFFFFF"/>
            <w:tcMar>
              <w:top w:w="40" w:type="dxa"/>
              <w:left w:w="20" w:type="dxa"/>
              <w:bottom w:w="40" w:type="dxa"/>
              <w:right w:w="0" w:type="dxa"/>
            </w:tcMar>
            <w:vAlign w:val="bottom"/>
          </w:tcPr>
          <w:p w14:paraId="5EA2201A" w14:textId="77777777" w:rsidR="003C66EB" w:rsidRDefault="00D96C4E">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201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01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01D" w14:textId="77777777" w:rsidR="003C66EB" w:rsidRDefault="00D96C4E">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5EA2201E" w14:textId="77777777" w:rsidR="003C66EB" w:rsidRDefault="003C66EB">
            <w:pPr>
              <w:jc w:val="right"/>
              <w:rPr>
                <w:rFonts w:ascii="宋体"/>
              </w:rPr>
            </w:pPr>
          </w:p>
        </w:tc>
      </w:tr>
      <w:tr w:rsidR="003C66EB" w14:paraId="5EA22024" w14:textId="77777777">
        <w:trPr>
          <w:hidden/>
        </w:trPr>
        <w:tc>
          <w:tcPr>
            <w:tcW w:w="0" w:type="auto"/>
            <w:gridSpan w:val="3"/>
            <w:shd w:val="clear" w:color="auto" w:fill="auto"/>
          </w:tcPr>
          <w:p w14:paraId="5EA22020" w14:textId="77777777" w:rsidR="003C66EB" w:rsidRDefault="003C66EB">
            <w:pPr>
              <w:rPr>
                <w:rFonts w:ascii="宋体"/>
                <w:vanish/>
              </w:rPr>
            </w:pPr>
          </w:p>
        </w:tc>
        <w:tc>
          <w:tcPr>
            <w:tcW w:w="0" w:type="auto"/>
            <w:gridSpan w:val="3"/>
            <w:shd w:val="clear" w:color="auto" w:fill="auto"/>
          </w:tcPr>
          <w:p w14:paraId="5EA22021" w14:textId="77777777" w:rsidR="003C66EB" w:rsidRDefault="003C66EB">
            <w:pPr>
              <w:rPr>
                <w:rFonts w:ascii="宋体"/>
                <w:vanish/>
              </w:rPr>
            </w:pPr>
          </w:p>
        </w:tc>
        <w:tc>
          <w:tcPr>
            <w:tcW w:w="0" w:type="auto"/>
            <w:gridSpan w:val="3"/>
            <w:shd w:val="clear" w:color="auto" w:fill="auto"/>
          </w:tcPr>
          <w:p w14:paraId="5EA22022" w14:textId="77777777" w:rsidR="003C66EB" w:rsidRDefault="003C66EB">
            <w:pPr>
              <w:rPr>
                <w:rFonts w:ascii="宋体"/>
                <w:vanish/>
              </w:rPr>
            </w:pPr>
          </w:p>
        </w:tc>
        <w:tc>
          <w:tcPr>
            <w:tcW w:w="0" w:type="auto"/>
            <w:gridSpan w:val="3"/>
            <w:shd w:val="clear" w:color="auto" w:fill="auto"/>
          </w:tcPr>
          <w:p w14:paraId="5EA22023" w14:textId="77777777" w:rsidR="003C66EB" w:rsidRDefault="003C66EB">
            <w:pPr>
              <w:rPr>
                <w:rFonts w:ascii="宋体"/>
                <w:vanish/>
              </w:rPr>
            </w:pPr>
          </w:p>
        </w:tc>
      </w:tr>
      <w:tr w:rsidR="003C66EB" w14:paraId="5EA2202B" w14:textId="77777777">
        <w:tc>
          <w:tcPr>
            <w:tcW w:w="0" w:type="auto"/>
            <w:gridSpan w:val="3"/>
            <w:shd w:val="clear" w:color="auto" w:fill="CCEEFF"/>
            <w:tcMar>
              <w:top w:w="40" w:type="dxa"/>
              <w:left w:w="20" w:type="dxa"/>
              <w:bottom w:w="40" w:type="dxa"/>
              <w:right w:w="20" w:type="dxa"/>
            </w:tcMar>
            <w:vAlign w:val="bottom"/>
          </w:tcPr>
          <w:p w14:paraId="5EA22025" w14:textId="77777777" w:rsidR="003C66EB" w:rsidRDefault="00D96C4E">
            <w:pP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5EA22026" w14:textId="77777777" w:rsidR="003C66EB" w:rsidRDefault="00D96C4E">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20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02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029" w14:textId="77777777" w:rsidR="003C66EB" w:rsidRDefault="00D96C4E">
            <w:pPr>
              <w:jc w:val="right"/>
              <w:textAlignment w:val="bottom"/>
            </w:pPr>
            <w:r>
              <w:rPr>
                <w:rFonts w:ascii="Arial" w:eastAsia="宋体" w:hAnsi="Arial" w:cs="Arial"/>
                <w:color w:val="000000"/>
                <w:sz w:val="18"/>
                <w:szCs w:val="18"/>
              </w:rPr>
              <w:t>742 </w:t>
            </w:r>
          </w:p>
        </w:tc>
        <w:tc>
          <w:tcPr>
            <w:tcW w:w="0" w:type="auto"/>
            <w:shd w:val="clear" w:color="auto" w:fill="CCEEFF"/>
            <w:tcMar>
              <w:top w:w="40" w:type="dxa"/>
              <w:left w:w="0" w:type="dxa"/>
              <w:bottom w:w="40" w:type="dxa"/>
              <w:right w:w="20" w:type="dxa"/>
            </w:tcMar>
            <w:vAlign w:val="bottom"/>
          </w:tcPr>
          <w:p w14:paraId="5EA2202A" w14:textId="77777777" w:rsidR="003C66EB" w:rsidRDefault="003C66EB">
            <w:pPr>
              <w:jc w:val="right"/>
              <w:rPr>
                <w:rFonts w:ascii="宋体"/>
              </w:rPr>
            </w:pPr>
          </w:p>
        </w:tc>
      </w:tr>
      <w:tr w:rsidR="003C66EB" w14:paraId="5EA22032" w14:textId="77777777">
        <w:tc>
          <w:tcPr>
            <w:tcW w:w="0" w:type="auto"/>
            <w:gridSpan w:val="3"/>
            <w:shd w:val="clear" w:color="auto" w:fill="FFFFFF"/>
            <w:tcMar>
              <w:top w:w="40" w:type="dxa"/>
              <w:left w:w="20" w:type="dxa"/>
              <w:bottom w:w="40" w:type="dxa"/>
              <w:right w:w="20" w:type="dxa"/>
            </w:tcMar>
            <w:vAlign w:val="bottom"/>
          </w:tcPr>
          <w:p w14:paraId="5EA2202C" w14:textId="77777777" w:rsidR="003C66EB" w:rsidRDefault="00D96C4E">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5EA2202D" w14:textId="77777777" w:rsidR="003C66EB" w:rsidRDefault="00D96C4E">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202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02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030" w14:textId="77777777" w:rsidR="003C66EB" w:rsidRDefault="00D96C4E">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5EA22031" w14:textId="77777777" w:rsidR="003C66EB" w:rsidRDefault="003C66EB">
            <w:pPr>
              <w:jc w:val="right"/>
              <w:rPr>
                <w:rFonts w:ascii="宋体"/>
              </w:rPr>
            </w:pPr>
          </w:p>
        </w:tc>
      </w:tr>
      <w:tr w:rsidR="003C66EB" w14:paraId="5EA22039" w14:textId="77777777">
        <w:tc>
          <w:tcPr>
            <w:tcW w:w="0" w:type="auto"/>
            <w:gridSpan w:val="3"/>
            <w:shd w:val="clear" w:color="auto" w:fill="CCEEFF"/>
            <w:tcMar>
              <w:top w:w="40" w:type="dxa"/>
              <w:left w:w="20" w:type="dxa"/>
              <w:bottom w:w="40" w:type="dxa"/>
              <w:right w:w="20" w:type="dxa"/>
            </w:tcMar>
            <w:vAlign w:val="bottom"/>
          </w:tcPr>
          <w:p w14:paraId="5EA22033" w14:textId="77777777" w:rsidR="003C66EB" w:rsidRDefault="00D96C4E">
            <w:pPr>
              <w:textAlignment w:val="bottom"/>
            </w:pPr>
            <w:r>
              <w:rPr>
                <w:rFonts w:ascii="Arial" w:eastAsia="宋体" w:hAnsi="Arial" w:cs="Arial"/>
                <w:color w:val="000000"/>
                <w:sz w:val="18"/>
                <w:szCs w:val="18"/>
              </w:rPr>
              <w:t>Series H, 5,000 shares issued and outstanding</w:t>
            </w:r>
          </w:p>
        </w:tc>
        <w:tc>
          <w:tcPr>
            <w:tcW w:w="0" w:type="auto"/>
            <w:gridSpan w:val="2"/>
            <w:shd w:val="clear" w:color="auto" w:fill="CCEEFF"/>
            <w:tcMar>
              <w:top w:w="40" w:type="dxa"/>
              <w:left w:w="20" w:type="dxa"/>
              <w:bottom w:w="40" w:type="dxa"/>
              <w:right w:w="0" w:type="dxa"/>
            </w:tcMar>
            <w:vAlign w:val="bottom"/>
          </w:tcPr>
          <w:p w14:paraId="5EA22034" w14:textId="77777777" w:rsidR="003C66EB" w:rsidRDefault="00D96C4E">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203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03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037" w14:textId="77777777" w:rsidR="003C66EB" w:rsidRDefault="00D96C4E">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5EA22038" w14:textId="77777777" w:rsidR="003C66EB" w:rsidRDefault="003C66EB">
            <w:pPr>
              <w:jc w:val="right"/>
              <w:rPr>
                <w:rFonts w:ascii="宋体"/>
              </w:rPr>
            </w:pPr>
          </w:p>
        </w:tc>
      </w:tr>
      <w:tr w:rsidR="003C66EB" w14:paraId="5EA2203E" w14:textId="77777777">
        <w:tc>
          <w:tcPr>
            <w:tcW w:w="0" w:type="auto"/>
            <w:gridSpan w:val="3"/>
            <w:shd w:val="clear" w:color="auto" w:fill="FFFFFF"/>
            <w:tcMar>
              <w:top w:w="40" w:type="dxa"/>
              <w:left w:w="20" w:type="dxa"/>
              <w:bottom w:w="40" w:type="dxa"/>
              <w:right w:w="20" w:type="dxa"/>
            </w:tcMar>
            <w:vAlign w:val="bottom"/>
          </w:tcPr>
          <w:p w14:paraId="5EA2203A" w14:textId="77777777" w:rsidR="003C66EB" w:rsidRDefault="00D96C4E">
            <w:pPr>
              <w:textAlignment w:val="bottom"/>
            </w:pPr>
            <w:r>
              <w:rPr>
                <w:rFonts w:ascii="Arial" w:eastAsia="宋体" w:hAnsi="Arial" w:cs="Arial"/>
                <w:color w:val="000000"/>
                <w:sz w:val="18"/>
                <w:szCs w:val="18"/>
              </w:rPr>
              <w:t>Common stock, $1 par, 750,000,000 shares authorized:</w:t>
            </w:r>
          </w:p>
        </w:tc>
        <w:tc>
          <w:tcPr>
            <w:tcW w:w="0" w:type="auto"/>
            <w:gridSpan w:val="3"/>
            <w:shd w:val="clear" w:color="auto" w:fill="FFFFFF"/>
            <w:tcMar>
              <w:top w:w="0" w:type="dxa"/>
              <w:left w:w="20" w:type="dxa"/>
              <w:bottom w:w="0" w:type="dxa"/>
              <w:right w:w="20" w:type="dxa"/>
            </w:tcMar>
          </w:tcPr>
          <w:p w14:paraId="5EA2203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03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03D" w14:textId="77777777" w:rsidR="003C66EB" w:rsidRDefault="003C66EB">
            <w:pPr>
              <w:rPr>
                <w:rFonts w:ascii="宋体"/>
              </w:rPr>
            </w:pPr>
          </w:p>
        </w:tc>
      </w:tr>
      <w:tr w:rsidR="003C66EB" w14:paraId="5EA22045" w14:textId="77777777">
        <w:tc>
          <w:tcPr>
            <w:tcW w:w="0" w:type="auto"/>
            <w:gridSpan w:val="3"/>
            <w:shd w:val="clear" w:color="auto" w:fill="CCEEFF"/>
            <w:tcMar>
              <w:top w:w="40" w:type="dxa"/>
              <w:left w:w="20" w:type="dxa"/>
              <w:bottom w:w="40" w:type="dxa"/>
              <w:right w:w="20" w:type="dxa"/>
            </w:tcMar>
            <w:vAlign w:val="bottom"/>
          </w:tcPr>
          <w:p w14:paraId="5EA2203F" w14:textId="77777777" w:rsidR="003C66EB" w:rsidRDefault="00D96C4E">
            <w:pPr>
              <w:jc w:val="both"/>
              <w:textAlignment w:val="bottom"/>
            </w:pPr>
            <w:r>
              <w:rPr>
                <w:rFonts w:ascii="Arial" w:eastAsia="宋体" w:hAnsi="Arial" w:cs="Arial"/>
                <w:color w:val="000000"/>
                <w:sz w:val="18"/>
                <w:szCs w:val="18"/>
              </w:rPr>
              <w:t>503,879,642 and 503,879,642 shares issued, and 348,032,982 and 353,156,279</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5EA22040" w14:textId="77777777" w:rsidR="003C66EB" w:rsidRDefault="00D96C4E">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20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04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043" w14:textId="77777777" w:rsidR="003C66EB" w:rsidRDefault="00D96C4E">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5EA22044" w14:textId="77777777" w:rsidR="003C66EB" w:rsidRDefault="003C66EB">
            <w:pPr>
              <w:jc w:val="right"/>
              <w:rPr>
                <w:rFonts w:ascii="宋体"/>
              </w:rPr>
            </w:pPr>
          </w:p>
        </w:tc>
      </w:tr>
      <w:tr w:rsidR="003C66EB" w14:paraId="5EA2204C" w14:textId="77777777">
        <w:tc>
          <w:tcPr>
            <w:tcW w:w="0" w:type="auto"/>
            <w:gridSpan w:val="3"/>
            <w:shd w:val="clear" w:color="auto" w:fill="FFFFFF"/>
            <w:tcMar>
              <w:top w:w="40" w:type="dxa"/>
              <w:left w:w="20" w:type="dxa"/>
              <w:bottom w:w="40" w:type="dxa"/>
              <w:right w:w="20" w:type="dxa"/>
            </w:tcMar>
            <w:vAlign w:val="bottom"/>
          </w:tcPr>
          <w:p w14:paraId="5EA22046" w14:textId="77777777" w:rsidR="003C66EB" w:rsidRDefault="00D96C4E">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5EA22047" w14:textId="77777777" w:rsidR="003C66EB" w:rsidRDefault="00D96C4E">
            <w:pPr>
              <w:jc w:val="right"/>
              <w:textAlignment w:val="bottom"/>
            </w:pPr>
            <w:r>
              <w:rPr>
                <w:rFonts w:ascii="Arial" w:eastAsia="宋体" w:hAnsi="Arial" w:cs="Arial"/>
                <w:b/>
                <w:bCs/>
                <w:color w:val="000000"/>
                <w:sz w:val="18"/>
                <w:szCs w:val="18"/>
              </w:rPr>
              <w:t>10,227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A220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0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04A" w14:textId="77777777" w:rsidR="003C66EB" w:rsidRDefault="00D96C4E">
            <w:pPr>
              <w:jc w:val="right"/>
              <w:textAlignment w:val="bottom"/>
            </w:pPr>
            <w:r>
              <w:rPr>
                <w:rFonts w:ascii="Arial" w:eastAsia="宋体" w:hAnsi="Arial" w:cs="Arial"/>
                <w:color w:val="000000"/>
                <w:sz w:val="18"/>
                <w:szCs w:val="18"/>
              </w:rPr>
              <w:t>10,205 </w:t>
            </w:r>
          </w:p>
        </w:tc>
        <w:tc>
          <w:tcPr>
            <w:tcW w:w="0" w:type="auto"/>
            <w:shd w:val="clear" w:color="auto" w:fill="FFFFFF"/>
            <w:tcMar>
              <w:top w:w="40" w:type="dxa"/>
              <w:left w:w="0" w:type="dxa"/>
              <w:bottom w:w="40" w:type="dxa"/>
              <w:right w:w="20" w:type="dxa"/>
            </w:tcMar>
            <w:vAlign w:val="bottom"/>
          </w:tcPr>
          <w:p w14:paraId="5EA2204B" w14:textId="77777777" w:rsidR="003C66EB" w:rsidRDefault="003C66EB">
            <w:pPr>
              <w:jc w:val="right"/>
              <w:rPr>
                <w:rFonts w:ascii="宋体"/>
              </w:rPr>
            </w:pPr>
          </w:p>
        </w:tc>
      </w:tr>
      <w:tr w:rsidR="003C66EB" w14:paraId="5EA22053" w14:textId="77777777">
        <w:tc>
          <w:tcPr>
            <w:tcW w:w="0" w:type="auto"/>
            <w:gridSpan w:val="3"/>
            <w:shd w:val="clear" w:color="auto" w:fill="CCEEFF"/>
            <w:tcMar>
              <w:top w:w="40" w:type="dxa"/>
              <w:left w:w="20" w:type="dxa"/>
              <w:bottom w:w="40" w:type="dxa"/>
              <w:right w:w="20" w:type="dxa"/>
            </w:tcMar>
            <w:vAlign w:val="bottom"/>
          </w:tcPr>
          <w:p w14:paraId="5EA2204D" w14:textId="77777777" w:rsidR="003C66EB" w:rsidRDefault="00D96C4E">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5EA2204E" w14:textId="77777777" w:rsidR="003C66EB" w:rsidRDefault="00D96C4E">
            <w:pPr>
              <w:jc w:val="right"/>
              <w:textAlignment w:val="bottom"/>
            </w:pPr>
            <w:r>
              <w:rPr>
                <w:rFonts w:ascii="Arial" w:eastAsia="宋体" w:hAnsi="Arial" w:cs="Arial"/>
                <w:b/>
                <w:bCs/>
                <w:color w:val="000000"/>
                <w:sz w:val="18"/>
                <w:szCs w:val="18"/>
              </w:rPr>
              <w:t>23,751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A220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0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051" w14:textId="77777777" w:rsidR="003C66EB" w:rsidRDefault="00D96C4E">
            <w:pPr>
              <w:jc w:val="right"/>
              <w:textAlignment w:val="bottom"/>
            </w:pPr>
            <w:r>
              <w:rPr>
                <w:rFonts w:ascii="Arial" w:eastAsia="宋体" w:hAnsi="Arial" w:cs="Arial"/>
                <w:color w:val="000000"/>
                <w:sz w:val="18"/>
                <w:szCs w:val="18"/>
              </w:rPr>
              <w:t>23,442 </w:t>
            </w:r>
          </w:p>
        </w:tc>
        <w:tc>
          <w:tcPr>
            <w:tcW w:w="0" w:type="auto"/>
            <w:shd w:val="clear" w:color="auto" w:fill="CCEEFF"/>
            <w:tcMar>
              <w:top w:w="40" w:type="dxa"/>
              <w:left w:w="0" w:type="dxa"/>
              <w:bottom w:w="40" w:type="dxa"/>
              <w:right w:w="20" w:type="dxa"/>
            </w:tcMar>
            <w:vAlign w:val="bottom"/>
          </w:tcPr>
          <w:p w14:paraId="5EA22052" w14:textId="77777777" w:rsidR="003C66EB" w:rsidRDefault="003C66EB">
            <w:pPr>
              <w:jc w:val="right"/>
              <w:rPr>
                <w:rFonts w:ascii="宋体"/>
              </w:rPr>
            </w:pPr>
          </w:p>
        </w:tc>
      </w:tr>
      <w:tr w:rsidR="003C66EB" w14:paraId="5EA2205A" w14:textId="77777777">
        <w:tc>
          <w:tcPr>
            <w:tcW w:w="0" w:type="auto"/>
            <w:gridSpan w:val="3"/>
            <w:shd w:val="clear" w:color="auto" w:fill="FFFFFF"/>
            <w:tcMar>
              <w:top w:w="40" w:type="dxa"/>
              <w:left w:w="20" w:type="dxa"/>
              <w:bottom w:w="40" w:type="dxa"/>
              <w:right w:w="20" w:type="dxa"/>
            </w:tcMar>
            <w:vAlign w:val="bottom"/>
          </w:tcPr>
          <w:p w14:paraId="5EA22054" w14:textId="77777777" w:rsidR="003C66EB" w:rsidRDefault="00D96C4E">
            <w:pPr>
              <w:textAlignment w:val="bottom"/>
            </w:pPr>
            <w:r>
              <w:rPr>
                <w:rFonts w:ascii="Arial" w:eastAsia="宋体" w:hAnsi="Arial" w:cs="Arial"/>
                <w:color w:val="000000"/>
                <w:sz w:val="18"/>
                <w:szCs w:val="18"/>
              </w:rPr>
              <w:t>Accumulated other comprehensive income (loss)</w:t>
            </w:r>
          </w:p>
        </w:tc>
        <w:tc>
          <w:tcPr>
            <w:tcW w:w="0" w:type="auto"/>
            <w:gridSpan w:val="2"/>
            <w:shd w:val="clear" w:color="auto" w:fill="FFFFFF"/>
            <w:tcMar>
              <w:top w:w="40" w:type="dxa"/>
              <w:left w:w="20" w:type="dxa"/>
              <w:bottom w:w="40" w:type="dxa"/>
              <w:right w:w="0" w:type="dxa"/>
            </w:tcMar>
            <w:vAlign w:val="bottom"/>
          </w:tcPr>
          <w:p w14:paraId="5EA22055" w14:textId="77777777" w:rsidR="003C66EB" w:rsidRDefault="00D96C4E">
            <w:pPr>
              <w:jc w:val="right"/>
              <w:textAlignment w:val="bottom"/>
            </w:pPr>
            <w:r>
              <w:rPr>
                <w:rFonts w:ascii="Arial" w:eastAsia="宋体" w:hAnsi="Arial" w:cs="Arial"/>
                <w:b/>
                <w:bCs/>
                <w:color w:val="000000"/>
                <w:sz w:val="18"/>
                <w:szCs w:val="18"/>
              </w:rPr>
              <w:t>(418)</w:t>
            </w:r>
          </w:p>
        </w:tc>
        <w:tc>
          <w:tcPr>
            <w:tcW w:w="0" w:type="auto"/>
            <w:shd w:val="clear" w:color="auto" w:fill="FFFFFF"/>
            <w:tcMar>
              <w:top w:w="40" w:type="dxa"/>
              <w:left w:w="0" w:type="dxa"/>
              <w:bottom w:w="40" w:type="dxa"/>
              <w:right w:w="20" w:type="dxa"/>
            </w:tcMar>
            <w:vAlign w:val="bottom"/>
          </w:tcPr>
          <w:p w14:paraId="5EA2205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05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058" w14:textId="77777777" w:rsidR="003C66EB" w:rsidRDefault="00D96C4E">
            <w:pPr>
              <w:jc w:val="right"/>
              <w:textAlignment w:val="bottom"/>
            </w:pPr>
            <w:r>
              <w:rPr>
                <w:rFonts w:ascii="Arial" w:eastAsia="宋体" w:hAnsi="Arial" w:cs="Arial"/>
                <w:color w:val="000000"/>
                <w:sz w:val="18"/>
                <w:szCs w:val="18"/>
              </w:rPr>
              <w:t>187 </w:t>
            </w:r>
          </w:p>
        </w:tc>
        <w:tc>
          <w:tcPr>
            <w:tcW w:w="0" w:type="auto"/>
            <w:shd w:val="clear" w:color="auto" w:fill="FFFFFF"/>
            <w:tcMar>
              <w:top w:w="40" w:type="dxa"/>
              <w:left w:w="0" w:type="dxa"/>
              <w:bottom w:w="40" w:type="dxa"/>
              <w:right w:w="20" w:type="dxa"/>
            </w:tcMar>
            <w:vAlign w:val="bottom"/>
          </w:tcPr>
          <w:p w14:paraId="5EA22059" w14:textId="77777777" w:rsidR="003C66EB" w:rsidRDefault="003C66EB">
            <w:pPr>
              <w:jc w:val="right"/>
              <w:rPr>
                <w:rFonts w:ascii="宋体"/>
              </w:rPr>
            </w:pPr>
          </w:p>
        </w:tc>
      </w:tr>
      <w:tr w:rsidR="003C66EB" w14:paraId="5EA22061" w14:textId="77777777">
        <w:tc>
          <w:tcPr>
            <w:tcW w:w="0" w:type="auto"/>
            <w:gridSpan w:val="3"/>
            <w:shd w:val="clear" w:color="auto" w:fill="CCEEFF"/>
            <w:tcMar>
              <w:top w:w="40" w:type="dxa"/>
              <w:left w:w="20" w:type="dxa"/>
              <w:bottom w:w="40" w:type="dxa"/>
              <w:right w:w="20" w:type="dxa"/>
            </w:tcMar>
            <w:vAlign w:val="bottom"/>
          </w:tcPr>
          <w:p w14:paraId="5EA2205B" w14:textId="77777777" w:rsidR="003C66EB" w:rsidRDefault="00D96C4E">
            <w:pPr>
              <w:textAlignment w:val="bottom"/>
            </w:pPr>
            <w:r>
              <w:rPr>
                <w:rFonts w:ascii="Arial" w:eastAsia="宋体" w:hAnsi="Arial" w:cs="Arial"/>
                <w:color w:val="000000"/>
                <w:sz w:val="18"/>
                <w:szCs w:val="18"/>
              </w:rPr>
              <w:t>Treasury stock, at cost (155,846,660 and 150,723,363 shares)</w:t>
            </w:r>
          </w:p>
        </w:tc>
        <w:tc>
          <w:tcPr>
            <w:tcW w:w="0" w:type="auto"/>
            <w:gridSpan w:val="2"/>
            <w:shd w:val="clear" w:color="auto" w:fill="CCEEFF"/>
            <w:tcMar>
              <w:top w:w="40" w:type="dxa"/>
              <w:left w:w="20" w:type="dxa"/>
              <w:bottom w:w="40" w:type="dxa"/>
              <w:right w:w="0" w:type="dxa"/>
            </w:tcMar>
            <w:vAlign w:val="bottom"/>
          </w:tcPr>
          <w:p w14:paraId="5EA2205C" w14:textId="77777777" w:rsidR="003C66EB" w:rsidRDefault="00D96C4E">
            <w:pPr>
              <w:jc w:val="right"/>
              <w:textAlignment w:val="bottom"/>
            </w:pPr>
            <w:r>
              <w:rPr>
                <w:rFonts w:ascii="Arial" w:eastAsia="宋体" w:hAnsi="Arial" w:cs="Arial"/>
                <w:b/>
                <w:bCs/>
                <w:color w:val="000000"/>
                <w:sz w:val="18"/>
                <w:szCs w:val="18"/>
              </w:rPr>
              <w:t>(11,035)</w:t>
            </w:r>
          </w:p>
        </w:tc>
        <w:tc>
          <w:tcPr>
            <w:tcW w:w="0" w:type="auto"/>
            <w:shd w:val="clear" w:color="auto" w:fill="CCEEFF"/>
            <w:tcMar>
              <w:top w:w="40" w:type="dxa"/>
              <w:left w:w="0" w:type="dxa"/>
              <w:bottom w:w="40" w:type="dxa"/>
              <w:right w:w="20" w:type="dxa"/>
            </w:tcMar>
            <w:vAlign w:val="bottom"/>
          </w:tcPr>
          <w:p w14:paraId="5EA220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05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05F" w14:textId="77777777" w:rsidR="003C66EB" w:rsidRDefault="00D96C4E">
            <w:pPr>
              <w:jc w:val="right"/>
              <w:textAlignment w:val="bottom"/>
            </w:pPr>
            <w:r>
              <w:rPr>
                <w:rFonts w:ascii="Arial" w:eastAsia="宋体" w:hAnsi="Arial" w:cs="Arial"/>
                <w:color w:val="000000"/>
                <w:sz w:val="18"/>
                <w:szCs w:val="18"/>
              </w:rPr>
              <w:t>(10,609)</w:t>
            </w:r>
          </w:p>
        </w:tc>
        <w:tc>
          <w:tcPr>
            <w:tcW w:w="0" w:type="auto"/>
            <w:shd w:val="clear" w:color="auto" w:fill="CCEEFF"/>
            <w:tcMar>
              <w:top w:w="40" w:type="dxa"/>
              <w:left w:w="0" w:type="dxa"/>
              <w:bottom w:w="40" w:type="dxa"/>
              <w:right w:w="20" w:type="dxa"/>
            </w:tcMar>
            <w:vAlign w:val="bottom"/>
          </w:tcPr>
          <w:p w14:paraId="5EA22060" w14:textId="77777777" w:rsidR="003C66EB" w:rsidRDefault="003C66EB">
            <w:pPr>
              <w:jc w:val="right"/>
              <w:rPr>
                <w:rFonts w:ascii="宋体"/>
              </w:rPr>
            </w:pPr>
          </w:p>
        </w:tc>
      </w:tr>
      <w:tr w:rsidR="003C66EB" w14:paraId="5EA22068" w14:textId="77777777">
        <w:tc>
          <w:tcPr>
            <w:tcW w:w="0" w:type="auto"/>
            <w:gridSpan w:val="3"/>
            <w:shd w:val="clear" w:color="auto" w:fill="FFFFFF"/>
            <w:tcMar>
              <w:top w:w="40" w:type="dxa"/>
              <w:left w:w="20" w:type="dxa"/>
              <w:bottom w:w="40" w:type="dxa"/>
              <w:right w:w="20" w:type="dxa"/>
            </w:tcMar>
            <w:vAlign w:val="bottom"/>
          </w:tcPr>
          <w:p w14:paraId="5EA22062" w14:textId="77777777" w:rsidR="003C66EB" w:rsidRDefault="00D96C4E">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063" w14:textId="77777777" w:rsidR="003C66EB" w:rsidRDefault="00D96C4E">
            <w:pPr>
              <w:jc w:val="right"/>
              <w:textAlignment w:val="bottom"/>
            </w:pPr>
            <w:r>
              <w:rPr>
                <w:rFonts w:ascii="Arial" w:eastAsia="宋体" w:hAnsi="Arial" w:cs="Arial"/>
                <w:b/>
                <w:bCs/>
                <w:color w:val="000000"/>
                <w:sz w:val="18"/>
                <w:szCs w:val="18"/>
              </w:rPr>
              <w:t>25,005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0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06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066" w14:textId="77777777" w:rsidR="003C66EB" w:rsidRDefault="00D96C4E">
            <w:pPr>
              <w:jc w:val="right"/>
              <w:textAlignment w:val="bottom"/>
            </w:pPr>
            <w:r>
              <w:rPr>
                <w:rFonts w:ascii="Arial" w:eastAsia="宋体" w:hAnsi="Arial" w:cs="Arial"/>
                <w:color w:val="000000"/>
                <w:sz w:val="18"/>
                <w:szCs w:val="18"/>
              </w:rPr>
              <w:t>26,200 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067" w14:textId="77777777" w:rsidR="003C66EB" w:rsidRDefault="003C66EB">
            <w:pPr>
              <w:jc w:val="right"/>
              <w:rPr>
                <w:rFonts w:ascii="宋体"/>
              </w:rPr>
            </w:pPr>
          </w:p>
        </w:tc>
      </w:tr>
      <w:tr w:rsidR="003C66EB" w14:paraId="5EA2206D" w14:textId="77777777">
        <w:trPr>
          <w:hidden/>
        </w:trPr>
        <w:tc>
          <w:tcPr>
            <w:tcW w:w="0" w:type="auto"/>
            <w:gridSpan w:val="3"/>
            <w:shd w:val="clear" w:color="auto" w:fill="auto"/>
          </w:tcPr>
          <w:p w14:paraId="5EA22069" w14:textId="77777777" w:rsidR="003C66EB" w:rsidRDefault="003C66EB">
            <w:pPr>
              <w:rPr>
                <w:rFonts w:ascii="宋体"/>
                <w:vanish/>
              </w:rPr>
            </w:pPr>
          </w:p>
        </w:tc>
        <w:tc>
          <w:tcPr>
            <w:tcW w:w="0" w:type="auto"/>
            <w:gridSpan w:val="3"/>
            <w:shd w:val="clear" w:color="auto" w:fill="auto"/>
          </w:tcPr>
          <w:p w14:paraId="5EA2206A" w14:textId="77777777" w:rsidR="003C66EB" w:rsidRDefault="003C66EB">
            <w:pPr>
              <w:rPr>
                <w:rFonts w:ascii="宋体"/>
                <w:vanish/>
              </w:rPr>
            </w:pPr>
          </w:p>
        </w:tc>
        <w:tc>
          <w:tcPr>
            <w:tcW w:w="0" w:type="auto"/>
            <w:gridSpan w:val="3"/>
            <w:shd w:val="clear" w:color="auto" w:fill="auto"/>
          </w:tcPr>
          <w:p w14:paraId="5EA2206B" w14:textId="77777777" w:rsidR="003C66EB" w:rsidRDefault="003C66EB">
            <w:pPr>
              <w:rPr>
                <w:rFonts w:ascii="宋体"/>
                <w:vanish/>
              </w:rPr>
            </w:pPr>
          </w:p>
        </w:tc>
        <w:tc>
          <w:tcPr>
            <w:tcW w:w="0" w:type="auto"/>
            <w:gridSpan w:val="3"/>
            <w:shd w:val="clear" w:color="auto" w:fill="auto"/>
          </w:tcPr>
          <w:p w14:paraId="5EA2206C" w14:textId="77777777" w:rsidR="003C66EB" w:rsidRDefault="003C66EB">
            <w:pPr>
              <w:rPr>
                <w:rFonts w:ascii="宋体"/>
                <w:vanish/>
              </w:rPr>
            </w:pPr>
          </w:p>
        </w:tc>
      </w:tr>
      <w:tr w:rsidR="003C66EB" w14:paraId="5EA22072" w14:textId="77777777">
        <w:trPr>
          <w:hidden/>
        </w:trPr>
        <w:tc>
          <w:tcPr>
            <w:tcW w:w="0" w:type="auto"/>
            <w:gridSpan w:val="3"/>
            <w:shd w:val="clear" w:color="auto" w:fill="auto"/>
          </w:tcPr>
          <w:p w14:paraId="5EA2206E" w14:textId="77777777" w:rsidR="003C66EB" w:rsidRDefault="003C66EB">
            <w:pPr>
              <w:rPr>
                <w:rFonts w:ascii="宋体"/>
                <w:vanish/>
              </w:rPr>
            </w:pPr>
          </w:p>
        </w:tc>
        <w:tc>
          <w:tcPr>
            <w:tcW w:w="0" w:type="auto"/>
            <w:gridSpan w:val="3"/>
            <w:shd w:val="clear" w:color="auto" w:fill="auto"/>
          </w:tcPr>
          <w:p w14:paraId="5EA2206F" w14:textId="77777777" w:rsidR="003C66EB" w:rsidRDefault="003C66EB">
            <w:pPr>
              <w:rPr>
                <w:rFonts w:ascii="宋体"/>
                <w:vanish/>
              </w:rPr>
            </w:pPr>
          </w:p>
        </w:tc>
        <w:tc>
          <w:tcPr>
            <w:tcW w:w="0" w:type="auto"/>
            <w:gridSpan w:val="3"/>
            <w:shd w:val="clear" w:color="auto" w:fill="auto"/>
          </w:tcPr>
          <w:p w14:paraId="5EA22070" w14:textId="77777777" w:rsidR="003C66EB" w:rsidRDefault="003C66EB">
            <w:pPr>
              <w:rPr>
                <w:rFonts w:ascii="宋体"/>
                <w:vanish/>
              </w:rPr>
            </w:pPr>
          </w:p>
        </w:tc>
        <w:tc>
          <w:tcPr>
            <w:tcW w:w="0" w:type="auto"/>
            <w:gridSpan w:val="3"/>
            <w:shd w:val="clear" w:color="auto" w:fill="auto"/>
          </w:tcPr>
          <w:p w14:paraId="5EA22071" w14:textId="77777777" w:rsidR="003C66EB" w:rsidRDefault="003C66EB">
            <w:pPr>
              <w:rPr>
                <w:rFonts w:ascii="宋体"/>
                <w:vanish/>
              </w:rPr>
            </w:pPr>
          </w:p>
        </w:tc>
      </w:tr>
      <w:tr w:rsidR="003C66EB" w14:paraId="5EA2207B" w14:textId="77777777">
        <w:tc>
          <w:tcPr>
            <w:tcW w:w="0" w:type="auto"/>
            <w:gridSpan w:val="3"/>
            <w:shd w:val="clear" w:color="auto" w:fill="CCEEFF"/>
            <w:tcMar>
              <w:top w:w="40" w:type="dxa"/>
              <w:left w:w="20" w:type="dxa"/>
              <w:bottom w:w="40" w:type="dxa"/>
              <w:right w:w="20" w:type="dxa"/>
            </w:tcMar>
            <w:vAlign w:val="bottom"/>
          </w:tcPr>
          <w:p w14:paraId="5EA22073" w14:textId="77777777" w:rsidR="003C66EB" w:rsidRDefault="00D96C4E">
            <w:pPr>
              <w:textAlignment w:val="bottom"/>
            </w:pPr>
            <w:r>
              <w:rPr>
                <w:rFonts w:ascii="Arial" w:eastAsia="宋体" w:hAnsi="Arial" w:cs="Arial"/>
                <w:b/>
                <w:bCs/>
                <w:color w:val="000000"/>
                <w:sz w:val="18"/>
                <w:szCs w:val="18"/>
              </w:rPr>
              <w:t>Total liabilities and 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074" w14:textId="77777777" w:rsidR="003C66EB" w:rsidRDefault="00D96C4E">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075" w14:textId="77777777" w:rsidR="003C66EB" w:rsidRDefault="00D96C4E">
            <w:pPr>
              <w:jc w:val="right"/>
              <w:textAlignment w:val="bottom"/>
            </w:pPr>
            <w:r>
              <w:rPr>
                <w:rFonts w:ascii="Arial" w:eastAsia="宋体" w:hAnsi="Arial" w:cs="Arial"/>
                <w:b/>
                <w:bCs/>
                <w:color w:val="000000"/>
                <w:sz w:val="18"/>
                <w:szCs w:val="18"/>
              </w:rPr>
              <w:t>316,885</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0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077"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078" w14:textId="77777777" w:rsidR="003C66EB" w:rsidRDefault="00D96C4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079" w14:textId="77777777" w:rsidR="003C66EB" w:rsidRDefault="00D96C4E">
            <w:pPr>
              <w:jc w:val="right"/>
              <w:textAlignment w:val="bottom"/>
            </w:pPr>
            <w:r>
              <w:rPr>
                <w:rFonts w:ascii="Arial" w:eastAsia="宋体" w:hAnsi="Arial" w:cs="Arial"/>
                <w:color w:val="000000"/>
                <w:sz w:val="18"/>
                <w:szCs w:val="18"/>
              </w:rPr>
              <w:t>314,706 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07A" w14:textId="77777777" w:rsidR="003C66EB" w:rsidRDefault="003C66EB">
            <w:pPr>
              <w:jc w:val="right"/>
              <w:rPr>
                <w:rFonts w:ascii="宋体"/>
              </w:rPr>
            </w:pPr>
          </w:p>
        </w:tc>
      </w:tr>
    </w:tbl>
    <w:p w14:paraId="5EA2207C" w14:textId="77777777" w:rsidR="003C66EB" w:rsidRDefault="003C66EB">
      <w:pPr>
        <w:ind w:firstLine="450"/>
        <w:jc w:val="center"/>
      </w:pPr>
    </w:p>
    <w:p w14:paraId="5EA2207D" w14:textId="77777777" w:rsidR="003C66EB" w:rsidRDefault="003C66EB">
      <w:pPr>
        <w:ind w:firstLine="450"/>
      </w:pPr>
    </w:p>
    <w:p w14:paraId="5EA2207E" w14:textId="77777777" w:rsidR="003C66EB" w:rsidRDefault="003C66EB">
      <w:pPr>
        <w:ind w:firstLine="450"/>
      </w:pPr>
    </w:p>
    <w:p w14:paraId="5EA2207F" w14:textId="77777777" w:rsidR="003C66EB" w:rsidRDefault="003C66EB">
      <w:pPr>
        <w:ind w:firstLine="450"/>
      </w:pPr>
    </w:p>
    <w:p w14:paraId="5EA22080" w14:textId="77777777" w:rsidR="003C66EB" w:rsidRDefault="003C66EB">
      <w:pPr>
        <w:ind w:firstLine="450"/>
      </w:pPr>
    </w:p>
    <w:p w14:paraId="5EA22081" w14:textId="77777777" w:rsidR="003C66EB" w:rsidRDefault="003C66EB">
      <w:pPr>
        <w:ind w:firstLine="450"/>
      </w:pPr>
    </w:p>
    <w:p w14:paraId="5EA22082" w14:textId="77777777" w:rsidR="003C66EB" w:rsidRDefault="00D96C4E">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A22083" w14:textId="77777777" w:rsidR="003C66EB" w:rsidRDefault="00D96C4E">
      <w:pPr>
        <w:ind w:firstLine="450"/>
        <w:jc w:val="right"/>
      </w:pPr>
      <w:r>
        <w:rPr>
          <w:rFonts w:ascii="Arial" w:eastAsia="宋体" w:hAnsi="Arial" w:cs="Arial"/>
          <w:color w:val="000000"/>
          <w:sz w:val="18"/>
          <w:szCs w:val="18"/>
        </w:rPr>
        <w:t>State Street Corporation | 50</w:t>
      </w:r>
    </w:p>
    <w:p w14:paraId="5EA22084" w14:textId="77777777" w:rsidR="003C66EB" w:rsidRDefault="003C66EB">
      <w:pPr>
        <w:ind w:firstLine="450"/>
        <w:jc w:val="center"/>
      </w:pPr>
    </w:p>
    <w:p w14:paraId="5EA22085" w14:textId="77777777" w:rsidR="003C66EB" w:rsidRDefault="00D96C4E">
      <w:r>
        <w:pict w14:anchorId="5EA287E2">
          <v:rect id="_x0000_i1074" style="width:415.3pt;height:1.5pt" o:hralign="center" o:hrstd="t" o:hr="t" fillcolor="#a0a0a0" stroked="f"/>
        </w:pict>
      </w:r>
    </w:p>
    <w:p w14:paraId="5EA22086" w14:textId="77777777" w:rsidR="003C66EB" w:rsidRDefault="003C66EB">
      <w:pPr>
        <w:ind w:firstLine="450"/>
      </w:pPr>
    </w:p>
    <w:p w14:paraId="5EA22087" w14:textId="77777777" w:rsidR="003C66EB" w:rsidRDefault="00D96C4E">
      <w:pPr>
        <w:ind w:firstLine="450"/>
        <w:jc w:val="center"/>
      </w:pPr>
      <w:r>
        <w:rPr>
          <w:rFonts w:ascii="Arial" w:eastAsia="宋体" w:hAnsi="Arial" w:cs="Arial"/>
          <w:b/>
          <w:bCs/>
          <w:color w:val="000000"/>
          <w:sz w:val="20"/>
          <w:szCs w:val="20"/>
        </w:rPr>
        <w:t>STATE STREET CORPORATION</w:t>
      </w:r>
    </w:p>
    <w:p w14:paraId="5EA22088" w14:textId="77777777" w:rsidR="003C66EB" w:rsidRDefault="00D96C4E">
      <w:pPr>
        <w:ind w:firstLine="450"/>
        <w:jc w:val="center"/>
      </w:pPr>
      <w:r>
        <w:rPr>
          <w:rFonts w:ascii="Arial" w:eastAsia="宋体" w:hAnsi="Arial" w:cs="Arial"/>
          <w:b/>
          <w:bCs/>
          <w:color w:val="000000"/>
          <w:sz w:val="20"/>
          <w:szCs w:val="20"/>
        </w:rPr>
        <w:t>CONSOLIDATED STATEMENT OF CHANGES IN SHAREHOLDERS' EQUITY</w:t>
      </w:r>
    </w:p>
    <w:p w14:paraId="5EA22089"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6"/>
        <w:gridCol w:w="1033"/>
        <w:gridCol w:w="37"/>
        <w:gridCol w:w="105"/>
        <w:gridCol w:w="565"/>
        <w:gridCol w:w="36"/>
        <w:gridCol w:w="36"/>
        <w:gridCol w:w="36"/>
        <w:gridCol w:w="36"/>
        <w:gridCol w:w="83"/>
        <w:gridCol w:w="521"/>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91"/>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3C66EB" w14:paraId="5EA220C0" w14:textId="77777777">
        <w:tc>
          <w:tcPr>
            <w:tcW w:w="50" w:type="pct"/>
            <w:shd w:val="clear" w:color="auto" w:fill="auto"/>
          </w:tcPr>
          <w:p w14:paraId="5EA2208A" w14:textId="77777777" w:rsidR="003C66EB" w:rsidRDefault="003C66EB">
            <w:pPr>
              <w:rPr>
                <w:rFonts w:ascii="宋体"/>
              </w:rPr>
            </w:pPr>
          </w:p>
        </w:tc>
        <w:tc>
          <w:tcPr>
            <w:tcW w:w="1114" w:type="pct"/>
            <w:shd w:val="clear" w:color="auto" w:fill="auto"/>
          </w:tcPr>
          <w:p w14:paraId="5EA2208B" w14:textId="77777777" w:rsidR="003C66EB" w:rsidRDefault="003C66EB">
            <w:pPr>
              <w:rPr>
                <w:rFonts w:ascii="宋体"/>
              </w:rPr>
            </w:pPr>
          </w:p>
        </w:tc>
        <w:tc>
          <w:tcPr>
            <w:tcW w:w="5" w:type="pct"/>
            <w:shd w:val="clear" w:color="auto" w:fill="auto"/>
          </w:tcPr>
          <w:p w14:paraId="5EA2208C" w14:textId="77777777" w:rsidR="003C66EB" w:rsidRDefault="003C66EB">
            <w:pPr>
              <w:rPr>
                <w:rFonts w:ascii="宋体"/>
              </w:rPr>
            </w:pPr>
          </w:p>
        </w:tc>
        <w:tc>
          <w:tcPr>
            <w:tcW w:w="50" w:type="pct"/>
            <w:shd w:val="clear" w:color="auto" w:fill="auto"/>
          </w:tcPr>
          <w:p w14:paraId="5EA2208D" w14:textId="77777777" w:rsidR="003C66EB" w:rsidRDefault="003C66EB">
            <w:pPr>
              <w:rPr>
                <w:rFonts w:ascii="宋体"/>
              </w:rPr>
            </w:pPr>
          </w:p>
        </w:tc>
        <w:tc>
          <w:tcPr>
            <w:tcW w:w="317" w:type="pct"/>
            <w:shd w:val="clear" w:color="auto" w:fill="auto"/>
          </w:tcPr>
          <w:p w14:paraId="5EA2208E" w14:textId="77777777" w:rsidR="003C66EB" w:rsidRDefault="003C66EB">
            <w:pPr>
              <w:rPr>
                <w:rFonts w:ascii="宋体"/>
              </w:rPr>
            </w:pPr>
          </w:p>
        </w:tc>
        <w:tc>
          <w:tcPr>
            <w:tcW w:w="5" w:type="pct"/>
            <w:shd w:val="clear" w:color="auto" w:fill="auto"/>
          </w:tcPr>
          <w:p w14:paraId="5EA2208F" w14:textId="77777777" w:rsidR="003C66EB" w:rsidRDefault="003C66EB">
            <w:pPr>
              <w:rPr>
                <w:rFonts w:ascii="宋体"/>
              </w:rPr>
            </w:pPr>
          </w:p>
        </w:tc>
        <w:tc>
          <w:tcPr>
            <w:tcW w:w="5" w:type="pct"/>
            <w:shd w:val="clear" w:color="auto" w:fill="auto"/>
          </w:tcPr>
          <w:p w14:paraId="5EA22090" w14:textId="77777777" w:rsidR="003C66EB" w:rsidRDefault="003C66EB">
            <w:pPr>
              <w:rPr>
                <w:rFonts w:ascii="宋体"/>
              </w:rPr>
            </w:pPr>
          </w:p>
        </w:tc>
        <w:tc>
          <w:tcPr>
            <w:tcW w:w="26" w:type="pct"/>
            <w:shd w:val="clear" w:color="auto" w:fill="auto"/>
          </w:tcPr>
          <w:p w14:paraId="5EA22091" w14:textId="77777777" w:rsidR="003C66EB" w:rsidRDefault="003C66EB">
            <w:pPr>
              <w:rPr>
                <w:rFonts w:ascii="宋体"/>
              </w:rPr>
            </w:pPr>
          </w:p>
        </w:tc>
        <w:tc>
          <w:tcPr>
            <w:tcW w:w="5" w:type="pct"/>
            <w:shd w:val="clear" w:color="auto" w:fill="auto"/>
          </w:tcPr>
          <w:p w14:paraId="5EA22092" w14:textId="77777777" w:rsidR="003C66EB" w:rsidRDefault="003C66EB">
            <w:pPr>
              <w:rPr>
                <w:rFonts w:ascii="宋体"/>
              </w:rPr>
            </w:pPr>
          </w:p>
        </w:tc>
        <w:tc>
          <w:tcPr>
            <w:tcW w:w="50" w:type="pct"/>
            <w:shd w:val="clear" w:color="auto" w:fill="auto"/>
          </w:tcPr>
          <w:p w14:paraId="5EA22093" w14:textId="77777777" w:rsidR="003C66EB" w:rsidRDefault="003C66EB">
            <w:pPr>
              <w:rPr>
                <w:rFonts w:ascii="宋体"/>
              </w:rPr>
            </w:pPr>
          </w:p>
        </w:tc>
        <w:tc>
          <w:tcPr>
            <w:tcW w:w="317" w:type="pct"/>
            <w:shd w:val="clear" w:color="auto" w:fill="auto"/>
          </w:tcPr>
          <w:p w14:paraId="5EA22094" w14:textId="77777777" w:rsidR="003C66EB" w:rsidRDefault="003C66EB">
            <w:pPr>
              <w:rPr>
                <w:rFonts w:ascii="宋体"/>
              </w:rPr>
            </w:pPr>
          </w:p>
        </w:tc>
        <w:tc>
          <w:tcPr>
            <w:tcW w:w="5" w:type="pct"/>
            <w:shd w:val="clear" w:color="auto" w:fill="auto"/>
          </w:tcPr>
          <w:p w14:paraId="5EA22095" w14:textId="77777777" w:rsidR="003C66EB" w:rsidRDefault="003C66EB">
            <w:pPr>
              <w:rPr>
                <w:rFonts w:ascii="宋体"/>
              </w:rPr>
            </w:pPr>
          </w:p>
        </w:tc>
        <w:tc>
          <w:tcPr>
            <w:tcW w:w="5" w:type="pct"/>
            <w:shd w:val="clear" w:color="auto" w:fill="auto"/>
          </w:tcPr>
          <w:p w14:paraId="5EA22096" w14:textId="77777777" w:rsidR="003C66EB" w:rsidRDefault="003C66EB">
            <w:pPr>
              <w:rPr>
                <w:rFonts w:ascii="宋体"/>
              </w:rPr>
            </w:pPr>
          </w:p>
        </w:tc>
        <w:tc>
          <w:tcPr>
            <w:tcW w:w="26" w:type="pct"/>
            <w:shd w:val="clear" w:color="auto" w:fill="auto"/>
          </w:tcPr>
          <w:p w14:paraId="5EA22097" w14:textId="77777777" w:rsidR="003C66EB" w:rsidRDefault="003C66EB">
            <w:pPr>
              <w:rPr>
                <w:rFonts w:ascii="宋体"/>
              </w:rPr>
            </w:pPr>
          </w:p>
        </w:tc>
        <w:tc>
          <w:tcPr>
            <w:tcW w:w="5" w:type="pct"/>
            <w:shd w:val="clear" w:color="auto" w:fill="auto"/>
          </w:tcPr>
          <w:p w14:paraId="5EA22098" w14:textId="77777777" w:rsidR="003C66EB" w:rsidRDefault="003C66EB">
            <w:pPr>
              <w:rPr>
                <w:rFonts w:ascii="宋体"/>
              </w:rPr>
            </w:pPr>
          </w:p>
        </w:tc>
        <w:tc>
          <w:tcPr>
            <w:tcW w:w="50" w:type="pct"/>
            <w:shd w:val="clear" w:color="auto" w:fill="auto"/>
          </w:tcPr>
          <w:p w14:paraId="5EA22099" w14:textId="77777777" w:rsidR="003C66EB" w:rsidRDefault="003C66EB">
            <w:pPr>
              <w:rPr>
                <w:rFonts w:ascii="宋体"/>
              </w:rPr>
            </w:pPr>
          </w:p>
        </w:tc>
        <w:tc>
          <w:tcPr>
            <w:tcW w:w="273" w:type="pct"/>
            <w:shd w:val="clear" w:color="auto" w:fill="auto"/>
          </w:tcPr>
          <w:p w14:paraId="5EA2209A" w14:textId="77777777" w:rsidR="003C66EB" w:rsidRDefault="003C66EB">
            <w:pPr>
              <w:rPr>
                <w:rFonts w:ascii="宋体"/>
              </w:rPr>
            </w:pPr>
          </w:p>
        </w:tc>
        <w:tc>
          <w:tcPr>
            <w:tcW w:w="5" w:type="pct"/>
            <w:shd w:val="clear" w:color="auto" w:fill="auto"/>
          </w:tcPr>
          <w:p w14:paraId="5EA2209B" w14:textId="77777777" w:rsidR="003C66EB" w:rsidRDefault="003C66EB">
            <w:pPr>
              <w:rPr>
                <w:rFonts w:ascii="宋体"/>
              </w:rPr>
            </w:pPr>
          </w:p>
        </w:tc>
        <w:tc>
          <w:tcPr>
            <w:tcW w:w="5" w:type="pct"/>
            <w:shd w:val="clear" w:color="auto" w:fill="auto"/>
          </w:tcPr>
          <w:p w14:paraId="5EA2209C" w14:textId="77777777" w:rsidR="003C66EB" w:rsidRDefault="003C66EB">
            <w:pPr>
              <w:rPr>
                <w:rFonts w:ascii="宋体"/>
              </w:rPr>
            </w:pPr>
          </w:p>
        </w:tc>
        <w:tc>
          <w:tcPr>
            <w:tcW w:w="26" w:type="pct"/>
            <w:shd w:val="clear" w:color="auto" w:fill="auto"/>
          </w:tcPr>
          <w:p w14:paraId="5EA2209D" w14:textId="77777777" w:rsidR="003C66EB" w:rsidRDefault="003C66EB">
            <w:pPr>
              <w:rPr>
                <w:rFonts w:ascii="宋体"/>
              </w:rPr>
            </w:pPr>
          </w:p>
        </w:tc>
        <w:tc>
          <w:tcPr>
            <w:tcW w:w="5" w:type="pct"/>
            <w:shd w:val="clear" w:color="auto" w:fill="auto"/>
          </w:tcPr>
          <w:p w14:paraId="5EA2209E" w14:textId="77777777" w:rsidR="003C66EB" w:rsidRDefault="003C66EB">
            <w:pPr>
              <w:rPr>
                <w:rFonts w:ascii="宋体"/>
              </w:rPr>
            </w:pPr>
          </w:p>
        </w:tc>
        <w:tc>
          <w:tcPr>
            <w:tcW w:w="50" w:type="pct"/>
            <w:shd w:val="clear" w:color="auto" w:fill="auto"/>
          </w:tcPr>
          <w:p w14:paraId="5EA2209F" w14:textId="77777777" w:rsidR="003C66EB" w:rsidRDefault="003C66EB">
            <w:pPr>
              <w:rPr>
                <w:rFonts w:ascii="宋体"/>
              </w:rPr>
            </w:pPr>
          </w:p>
        </w:tc>
        <w:tc>
          <w:tcPr>
            <w:tcW w:w="295" w:type="pct"/>
            <w:shd w:val="clear" w:color="auto" w:fill="auto"/>
          </w:tcPr>
          <w:p w14:paraId="5EA220A0" w14:textId="77777777" w:rsidR="003C66EB" w:rsidRDefault="003C66EB">
            <w:pPr>
              <w:rPr>
                <w:rFonts w:ascii="宋体"/>
              </w:rPr>
            </w:pPr>
          </w:p>
        </w:tc>
        <w:tc>
          <w:tcPr>
            <w:tcW w:w="5" w:type="pct"/>
            <w:shd w:val="clear" w:color="auto" w:fill="auto"/>
          </w:tcPr>
          <w:p w14:paraId="5EA220A1" w14:textId="77777777" w:rsidR="003C66EB" w:rsidRDefault="003C66EB">
            <w:pPr>
              <w:rPr>
                <w:rFonts w:ascii="宋体"/>
              </w:rPr>
            </w:pPr>
          </w:p>
        </w:tc>
        <w:tc>
          <w:tcPr>
            <w:tcW w:w="5" w:type="pct"/>
            <w:shd w:val="clear" w:color="auto" w:fill="auto"/>
          </w:tcPr>
          <w:p w14:paraId="5EA220A2" w14:textId="77777777" w:rsidR="003C66EB" w:rsidRDefault="003C66EB">
            <w:pPr>
              <w:rPr>
                <w:rFonts w:ascii="宋体"/>
              </w:rPr>
            </w:pPr>
          </w:p>
        </w:tc>
        <w:tc>
          <w:tcPr>
            <w:tcW w:w="26" w:type="pct"/>
            <w:shd w:val="clear" w:color="auto" w:fill="auto"/>
          </w:tcPr>
          <w:p w14:paraId="5EA220A3" w14:textId="77777777" w:rsidR="003C66EB" w:rsidRDefault="003C66EB">
            <w:pPr>
              <w:rPr>
                <w:rFonts w:ascii="宋体"/>
              </w:rPr>
            </w:pPr>
          </w:p>
        </w:tc>
        <w:tc>
          <w:tcPr>
            <w:tcW w:w="5" w:type="pct"/>
            <w:shd w:val="clear" w:color="auto" w:fill="auto"/>
          </w:tcPr>
          <w:p w14:paraId="5EA220A4" w14:textId="77777777" w:rsidR="003C66EB" w:rsidRDefault="003C66EB">
            <w:pPr>
              <w:rPr>
                <w:rFonts w:ascii="宋体"/>
              </w:rPr>
            </w:pPr>
          </w:p>
        </w:tc>
        <w:tc>
          <w:tcPr>
            <w:tcW w:w="50" w:type="pct"/>
            <w:shd w:val="clear" w:color="auto" w:fill="auto"/>
          </w:tcPr>
          <w:p w14:paraId="5EA220A5" w14:textId="77777777" w:rsidR="003C66EB" w:rsidRDefault="003C66EB">
            <w:pPr>
              <w:rPr>
                <w:rFonts w:ascii="宋体"/>
              </w:rPr>
            </w:pPr>
          </w:p>
        </w:tc>
        <w:tc>
          <w:tcPr>
            <w:tcW w:w="295" w:type="pct"/>
            <w:shd w:val="clear" w:color="auto" w:fill="auto"/>
          </w:tcPr>
          <w:p w14:paraId="5EA220A6" w14:textId="77777777" w:rsidR="003C66EB" w:rsidRDefault="003C66EB">
            <w:pPr>
              <w:rPr>
                <w:rFonts w:ascii="宋体"/>
              </w:rPr>
            </w:pPr>
          </w:p>
        </w:tc>
        <w:tc>
          <w:tcPr>
            <w:tcW w:w="5" w:type="pct"/>
            <w:shd w:val="clear" w:color="auto" w:fill="auto"/>
          </w:tcPr>
          <w:p w14:paraId="5EA220A7" w14:textId="77777777" w:rsidR="003C66EB" w:rsidRDefault="003C66EB">
            <w:pPr>
              <w:rPr>
                <w:rFonts w:ascii="宋体"/>
              </w:rPr>
            </w:pPr>
          </w:p>
        </w:tc>
        <w:tc>
          <w:tcPr>
            <w:tcW w:w="5" w:type="pct"/>
            <w:shd w:val="clear" w:color="auto" w:fill="auto"/>
          </w:tcPr>
          <w:p w14:paraId="5EA220A8" w14:textId="77777777" w:rsidR="003C66EB" w:rsidRDefault="003C66EB">
            <w:pPr>
              <w:rPr>
                <w:rFonts w:ascii="宋体"/>
              </w:rPr>
            </w:pPr>
          </w:p>
        </w:tc>
        <w:tc>
          <w:tcPr>
            <w:tcW w:w="26" w:type="pct"/>
            <w:shd w:val="clear" w:color="auto" w:fill="auto"/>
          </w:tcPr>
          <w:p w14:paraId="5EA220A9" w14:textId="77777777" w:rsidR="003C66EB" w:rsidRDefault="003C66EB">
            <w:pPr>
              <w:rPr>
                <w:rFonts w:ascii="宋体"/>
              </w:rPr>
            </w:pPr>
          </w:p>
        </w:tc>
        <w:tc>
          <w:tcPr>
            <w:tcW w:w="5" w:type="pct"/>
            <w:shd w:val="clear" w:color="auto" w:fill="auto"/>
          </w:tcPr>
          <w:p w14:paraId="5EA220AA" w14:textId="77777777" w:rsidR="003C66EB" w:rsidRDefault="003C66EB">
            <w:pPr>
              <w:rPr>
                <w:rFonts w:ascii="宋体"/>
              </w:rPr>
            </w:pPr>
          </w:p>
        </w:tc>
        <w:tc>
          <w:tcPr>
            <w:tcW w:w="50" w:type="pct"/>
            <w:shd w:val="clear" w:color="auto" w:fill="auto"/>
          </w:tcPr>
          <w:p w14:paraId="5EA220AB" w14:textId="77777777" w:rsidR="003C66EB" w:rsidRDefault="003C66EB">
            <w:pPr>
              <w:rPr>
                <w:rFonts w:ascii="宋体"/>
              </w:rPr>
            </w:pPr>
          </w:p>
        </w:tc>
        <w:tc>
          <w:tcPr>
            <w:tcW w:w="551" w:type="pct"/>
            <w:shd w:val="clear" w:color="auto" w:fill="auto"/>
          </w:tcPr>
          <w:p w14:paraId="5EA220AC" w14:textId="77777777" w:rsidR="003C66EB" w:rsidRDefault="003C66EB">
            <w:pPr>
              <w:rPr>
                <w:rFonts w:ascii="宋体"/>
              </w:rPr>
            </w:pPr>
          </w:p>
        </w:tc>
        <w:tc>
          <w:tcPr>
            <w:tcW w:w="5" w:type="pct"/>
            <w:shd w:val="clear" w:color="auto" w:fill="auto"/>
          </w:tcPr>
          <w:p w14:paraId="5EA220AD" w14:textId="77777777" w:rsidR="003C66EB" w:rsidRDefault="003C66EB">
            <w:pPr>
              <w:rPr>
                <w:rFonts w:ascii="宋体"/>
              </w:rPr>
            </w:pPr>
          </w:p>
        </w:tc>
        <w:tc>
          <w:tcPr>
            <w:tcW w:w="5" w:type="pct"/>
            <w:shd w:val="clear" w:color="auto" w:fill="auto"/>
          </w:tcPr>
          <w:p w14:paraId="5EA220AE" w14:textId="77777777" w:rsidR="003C66EB" w:rsidRDefault="003C66EB">
            <w:pPr>
              <w:rPr>
                <w:rFonts w:ascii="宋体"/>
              </w:rPr>
            </w:pPr>
          </w:p>
        </w:tc>
        <w:tc>
          <w:tcPr>
            <w:tcW w:w="26" w:type="pct"/>
            <w:shd w:val="clear" w:color="auto" w:fill="auto"/>
          </w:tcPr>
          <w:p w14:paraId="5EA220AF" w14:textId="77777777" w:rsidR="003C66EB" w:rsidRDefault="003C66EB">
            <w:pPr>
              <w:rPr>
                <w:rFonts w:ascii="宋体"/>
              </w:rPr>
            </w:pPr>
          </w:p>
        </w:tc>
        <w:tc>
          <w:tcPr>
            <w:tcW w:w="5" w:type="pct"/>
            <w:shd w:val="clear" w:color="auto" w:fill="auto"/>
          </w:tcPr>
          <w:p w14:paraId="5EA220B0" w14:textId="77777777" w:rsidR="003C66EB" w:rsidRDefault="003C66EB">
            <w:pPr>
              <w:rPr>
                <w:rFonts w:ascii="宋体"/>
              </w:rPr>
            </w:pPr>
          </w:p>
        </w:tc>
        <w:tc>
          <w:tcPr>
            <w:tcW w:w="50" w:type="pct"/>
            <w:shd w:val="clear" w:color="auto" w:fill="auto"/>
          </w:tcPr>
          <w:p w14:paraId="5EA220B1" w14:textId="77777777" w:rsidR="003C66EB" w:rsidRDefault="003C66EB">
            <w:pPr>
              <w:rPr>
                <w:rFonts w:ascii="宋体"/>
              </w:rPr>
            </w:pPr>
          </w:p>
        </w:tc>
        <w:tc>
          <w:tcPr>
            <w:tcW w:w="376" w:type="pct"/>
            <w:shd w:val="clear" w:color="auto" w:fill="auto"/>
          </w:tcPr>
          <w:p w14:paraId="5EA220B2" w14:textId="77777777" w:rsidR="003C66EB" w:rsidRDefault="003C66EB">
            <w:pPr>
              <w:rPr>
                <w:rFonts w:ascii="宋体"/>
              </w:rPr>
            </w:pPr>
          </w:p>
        </w:tc>
        <w:tc>
          <w:tcPr>
            <w:tcW w:w="5" w:type="pct"/>
            <w:shd w:val="clear" w:color="auto" w:fill="auto"/>
          </w:tcPr>
          <w:p w14:paraId="5EA220B3" w14:textId="77777777" w:rsidR="003C66EB" w:rsidRDefault="003C66EB">
            <w:pPr>
              <w:rPr>
                <w:rFonts w:ascii="宋体"/>
              </w:rPr>
            </w:pPr>
          </w:p>
        </w:tc>
        <w:tc>
          <w:tcPr>
            <w:tcW w:w="5" w:type="pct"/>
            <w:shd w:val="clear" w:color="auto" w:fill="auto"/>
          </w:tcPr>
          <w:p w14:paraId="5EA220B4" w14:textId="77777777" w:rsidR="003C66EB" w:rsidRDefault="003C66EB">
            <w:pPr>
              <w:rPr>
                <w:rFonts w:ascii="宋体"/>
              </w:rPr>
            </w:pPr>
          </w:p>
        </w:tc>
        <w:tc>
          <w:tcPr>
            <w:tcW w:w="26" w:type="pct"/>
            <w:shd w:val="clear" w:color="auto" w:fill="auto"/>
          </w:tcPr>
          <w:p w14:paraId="5EA220B5" w14:textId="77777777" w:rsidR="003C66EB" w:rsidRDefault="003C66EB">
            <w:pPr>
              <w:rPr>
                <w:rFonts w:ascii="宋体"/>
              </w:rPr>
            </w:pPr>
          </w:p>
        </w:tc>
        <w:tc>
          <w:tcPr>
            <w:tcW w:w="5" w:type="pct"/>
            <w:shd w:val="clear" w:color="auto" w:fill="auto"/>
          </w:tcPr>
          <w:p w14:paraId="5EA220B6" w14:textId="77777777" w:rsidR="003C66EB" w:rsidRDefault="003C66EB">
            <w:pPr>
              <w:rPr>
                <w:rFonts w:ascii="宋体"/>
              </w:rPr>
            </w:pPr>
          </w:p>
        </w:tc>
        <w:tc>
          <w:tcPr>
            <w:tcW w:w="50" w:type="pct"/>
            <w:shd w:val="clear" w:color="auto" w:fill="auto"/>
          </w:tcPr>
          <w:p w14:paraId="5EA220B7" w14:textId="77777777" w:rsidR="003C66EB" w:rsidRDefault="003C66EB">
            <w:pPr>
              <w:rPr>
                <w:rFonts w:ascii="宋体"/>
              </w:rPr>
            </w:pPr>
          </w:p>
        </w:tc>
        <w:tc>
          <w:tcPr>
            <w:tcW w:w="317" w:type="pct"/>
            <w:shd w:val="clear" w:color="auto" w:fill="auto"/>
          </w:tcPr>
          <w:p w14:paraId="5EA220B8" w14:textId="77777777" w:rsidR="003C66EB" w:rsidRDefault="003C66EB">
            <w:pPr>
              <w:rPr>
                <w:rFonts w:ascii="宋体"/>
              </w:rPr>
            </w:pPr>
          </w:p>
        </w:tc>
        <w:tc>
          <w:tcPr>
            <w:tcW w:w="5" w:type="pct"/>
            <w:shd w:val="clear" w:color="auto" w:fill="auto"/>
          </w:tcPr>
          <w:p w14:paraId="5EA220B9" w14:textId="77777777" w:rsidR="003C66EB" w:rsidRDefault="003C66EB">
            <w:pPr>
              <w:rPr>
                <w:rFonts w:ascii="宋体"/>
              </w:rPr>
            </w:pPr>
          </w:p>
        </w:tc>
        <w:tc>
          <w:tcPr>
            <w:tcW w:w="5" w:type="pct"/>
            <w:shd w:val="clear" w:color="auto" w:fill="auto"/>
          </w:tcPr>
          <w:p w14:paraId="5EA220BA" w14:textId="77777777" w:rsidR="003C66EB" w:rsidRDefault="003C66EB">
            <w:pPr>
              <w:rPr>
                <w:rFonts w:ascii="宋体"/>
              </w:rPr>
            </w:pPr>
          </w:p>
        </w:tc>
        <w:tc>
          <w:tcPr>
            <w:tcW w:w="26" w:type="pct"/>
            <w:shd w:val="clear" w:color="auto" w:fill="auto"/>
          </w:tcPr>
          <w:p w14:paraId="5EA220BB" w14:textId="77777777" w:rsidR="003C66EB" w:rsidRDefault="003C66EB">
            <w:pPr>
              <w:rPr>
                <w:rFonts w:ascii="宋体"/>
              </w:rPr>
            </w:pPr>
          </w:p>
        </w:tc>
        <w:tc>
          <w:tcPr>
            <w:tcW w:w="5" w:type="pct"/>
            <w:shd w:val="clear" w:color="auto" w:fill="auto"/>
          </w:tcPr>
          <w:p w14:paraId="5EA220BC" w14:textId="77777777" w:rsidR="003C66EB" w:rsidRDefault="003C66EB">
            <w:pPr>
              <w:rPr>
                <w:rFonts w:ascii="宋体"/>
              </w:rPr>
            </w:pPr>
          </w:p>
        </w:tc>
        <w:tc>
          <w:tcPr>
            <w:tcW w:w="50" w:type="pct"/>
            <w:shd w:val="clear" w:color="auto" w:fill="auto"/>
          </w:tcPr>
          <w:p w14:paraId="5EA220BD" w14:textId="77777777" w:rsidR="003C66EB" w:rsidRDefault="003C66EB">
            <w:pPr>
              <w:rPr>
                <w:rFonts w:ascii="宋体"/>
              </w:rPr>
            </w:pPr>
          </w:p>
        </w:tc>
        <w:tc>
          <w:tcPr>
            <w:tcW w:w="296" w:type="pct"/>
            <w:shd w:val="clear" w:color="auto" w:fill="auto"/>
          </w:tcPr>
          <w:p w14:paraId="5EA220BE" w14:textId="77777777" w:rsidR="003C66EB" w:rsidRDefault="003C66EB">
            <w:pPr>
              <w:rPr>
                <w:rFonts w:ascii="宋体"/>
              </w:rPr>
            </w:pPr>
          </w:p>
        </w:tc>
        <w:tc>
          <w:tcPr>
            <w:tcW w:w="5" w:type="pct"/>
            <w:shd w:val="clear" w:color="auto" w:fill="auto"/>
          </w:tcPr>
          <w:p w14:paraId="5EA220BF" w14:textId="77777777" w:rsidR="003C66EB" w:rsidRDefault="003C66EB">
            <w:pPr>
              <w:rPr>
                <w:rFonts w:ascii="宋体"/>
              </w:rPr>
            </w:pPr>
          </w:p>
        </w:tc>
      </w:tr>
      <w:tr w:rsidR="003C66EB" w14:paraId="5EA220D4"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5EA220C1" w14:textId="77777777" w:rsidR="003C66EB" w:rsidRDefault="00D96C4E">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5EA220C2" w14:textId="77777777" w:rsidR="003C66EB" w:rsidRDefault="00D96C4E">
            <w:pPr>
              <w:jc w:val="center"/>
              <w:textAlignment w:val="bottom"/>
            </w:pPr>
            <w:r>
              <w:rPr>
                <w:rFonts w:ascii="Arial" w:eastAsia="宋体" w:hAnsi="Arial" w:cs="Arial"/>
                <w:b/>
                <w:bCs/>
                <w:color w:val="000000"/>
                <w:sz w:val="14"/>
                <w:szCs w:val="14"/>
              </w:rPr>
              <w:t>Preferred</w:t>
            </w:r>
          </w:p>
          <w:p w14:paraId="5EA220C3" w14:textId="77777777" w:rsidR="003C66EB" w:rsidRDefault="00D96C4E">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tcPr>
          <w:p w14:paraId="5EA220C4"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20C5" w14:textId="77777777" w:rsidR="003C66EB" w:rsidRDefault="00D96C4E">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tcPr>
          <w:p w14:paraId="5EA220C6"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20C7" w14:textId="77777777" w:rsidR="003C66EB" w:rsidRDefault="00D96C4E">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tcPr>
          <w:p w14:paraId="5EA220C8"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20C9" w14:textId="77777777" w:rsidR="003C66EB" w:rsidRDefault="00D96C4E">
            <w:pPr>
              <w:jc w:val="center"/>
              <w:textAlignment w:val="bottom"/>
            </w:pPr>
            <w:r>
              <w:rPr>
                <w:rFonts w:ascii="Arial" w:eastAsia="宋体" w:hAnsi="Arial" w:cs="Arial"/>
                <w:b/>
                <w:bCs/>
                <w:color w:val="000000"/>
                <w:sz w:val="14"/>
                <w:szCs w:val="14"/>
              </w:rPr>
              <w:t>Retained</w:t>
            </w:r>
          </w:p>
          <w:p w14:paraId="5EA220CA" w14:textId="77777777" w:rsidR="003C66EB" w:rsidRDefault="00D96C4E">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tcPr>
          <w:p w14:paraId="5EA220CB"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20CC" w14:textId="77777777" w:rsidR="003C66EB" w:rsidRDefault="00D96C4E">
            <w:pPr>
              <w:jc w:val="center"/>
              <w:textAlignment w:val="bottom"/>
            </w:pPr>
            <w:r>
              <w:rPr>
                <w:rFonts w:ascii="Arial" w:eastAsia="宋体" w:hAnsi="Arial" w:cs="Arial"/>
                <w:b/>
                <w:bCs/>
                <w:color w:val="000000"/>
                <w:sz w:val="14"/>
                <w:szCs w:val="14"/>
              </w:rPr>
              <w:t>Accumulated</w:t>
            </w:r>
          </w:p>
          <w:p w14:paraId="5EA220CD" w14:textId="77777777" w:rsidR="003C66EB" w:rsidRDefault="00D96C4E">
            <w:pPr>
              <w:jc w:val="center"/>
              <w:textAlignment w:val="bottom"/>
            </w:pPr>
            <w:r>
              <w:rPr>
                <w:rFonts w:ascii="Arial" w:eastAsia="宋体" w:hAnsi="Arial" w:cs="Arial"/>
                <w:b/>
                <w:bCs/>
                <w:color w:val="000000"/>
                <w:sz w:val="14"/>
                <w:szCs w:val="14"/>
              </w:rPr>
              <w:t>Other</w:t>
            </w:r>
          </w:p>
          <w:p w14:paraId="5EA220CE" w14:textId="77777777" w:rsidR="003C66EB" w:rsidRDefault="00D96C4E">
            <w:pPr>
              <w:jc w:val="center"/>
              <w:textAlignment w:val="bottom"/>
            </w:pPr>
            <w:r>
              <w:rPr>
                <w:rFonts w:ascii="Arial" w:eastAsia="宋体" w:hAnsi="Arial" w:cs="Arial"/>
                <w:b/>
                <w:bCs/>
                <w:color w:val="000000"/>
                <w:sz w:val="14"/>
                <w:szCs w:val="14"/>
              </w:rPr>
              <w:t>Comprehensive</w:t>
            </w:r>
          </w:p>
          <w:p w14:paraId="5EA220CF" w14:textId="77777777" w:rsidR="003C66EB" w:rsidRDefault="00D96C4E">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tcPr>
          <w:p w14:paraId="5EA220D0"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20D1" w14:textId="77777777" w:rsidR="003C66EB" w:rsidRDefault="00D96C4E">
            <w:pPr>
              <w:jc w:val="center"/>
              <w:textAlignment w:val="bottom"/>
            </w:pPr>
            <w:r>
              <w:rPr>
                <w:rFonts w:ascii="Arial" w:eastAsia="宋体" w:hAnsi="Arial" w:cs="Arial"/>
                <w:b/>
                <w:bCs/>
                <w:color w:val="000000"/>
                <w:sz w:val="14"/>
                <w:szCs w:val="14"/>
              </w:rPr>
              <w:t xml:space="preserve">Treasury </w:t>
            </w:r>
            <w:r>
              <w:rPr>
                <w:rFonts w:ascii="Arial" w:eastAsia="宋体" w:hAnsi="Arial" w:cs="Arial"/>
                <w:b/>
                <w:bCs/>
                <w:color w:val="000000"/>
                <w:sz w:val="14"/>
                <w:szCs w:val="14"/>
              </w:rPr>
              <w:t>Stock</w:t>
            </w:r>
          </w:p>
        </w:tc>
        <w:tc>
          <w:tcPr>
            <w:tcW w:w="0" w:type="auto"/>
            <w:gridSpan w:val="3"/>
            <w:shd w:val="clear" w:color="auto" w:fill="auto"/>
            <w:tcMar>
              <w:top w:w="0" w:type="dxa"/>
              <w:left w:w="20" w:type="dxa"/>
              <w:bottom w:w="0" w:type="dxa"/>
              <w:right w:w="20" w:type="dxa"/>
            </w:tcMar>
          </w:tcPr>
          <w:p w14:paraId="5EA220D2"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20D3" w14:textId="77777777" w:rsidR="003C66EB" w:rsidRDefault="00D96C4E">
            <w:pPr>
              <w:jc w:val="center"/>
              <w:textAlignment w:val="bottom"/>
            </w:pPr>
            <w:r>
              <w:rPr>
                <w:rFonts w:ascii="Arial" w:eastAsia="宋体" w:hAnsi="Arial" w:cs="Arial"/>
                <w:b/>
                <w:bCs/>
                <w:color w:val="000000"/>
                <w:sz w:val="14"/>
                <w:szCs w:val="14"/>
              </w:rPr>
              <w:t>Total</w:t>
            </w:r>
          </w:p>
        </w:tc>
      </w:tr>
      <w:tr w:rsidR="003C66EB" w14:paraId="5EA220E7" w14:textId="77777777">
        <w:trPr>
          <w:trHeight w:val="520"/>
        </w:trPr>
        <w:tc>
          <w:tcPr>
            <w:tcW w:w="0" w:type="auto"/>
            <w:gridSpan w:val="3"/>
            <w:vMerge/>
            <w:shd w:val="clear" w:color="auto" w:fill="auto"/>
            <w:tcMar>
              <w:top w:w="40" w:type="dxa"/>
              <w:left w:w="20" w:type="dxa"/>
              <w:bottom w:w="40" w:type="dxa"/>
              <w:right w:w="20" w:type="dxa"/>
            </w:tcMar>
            <w:vAlign w:val="bottom"/>
          </w:tcPr>
          <w:p w14:paraId="5EA220D5"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20D6" w14:textId="77777777" w:rsidR="003C66EB" w:rsidRDefault="003C66EB">
            <w:pPr>
              <w:rPr>
                <w:rFonts w:ascii="宋体"/>
              </w:rPr>
            </w:pPr>
          </w:p>
        </w:tc>
        <w:tc>
          <w:tcPr>
            <w:tcW w:w="0" w:type="auto"/>
            <w:gridSpan w:val="3"/>
            <w:vMerge/>
            <w:shd w:val="clear" w:color="auto" w:fill="auto"/>
            <w:tcMar>
              <w:top w:w="0" w:type="dxa"/>
              <w:left w:w="20" w:type="dxa"/>
              <w:bottom w:w="0" w:type="dxa"/>
              <w:right w:w="20" w:type="dxa"/>
            </w:tcMar>
          </w:tcPr>
          <w:p w14:paraId="5EA220D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0D8" w14:textId="77777777" w:rsidR="003C66EB" w:rsidRDefault="00D96C4E">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5EA220D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0DA" w14:textId="77777777" w:rsidR="003C66EB" w:rsidRDefault="00D96C4E">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tcPr>
          <w:p w14:paraId="5EA220DB"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20DC"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20DD"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20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0DF"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20E0" w14:textId="77777777" w:rsidR="003C66EB" w:rsidRDefault="003C66EB">
            <w:pPr>
              <w:rPr>
                <w:rFonts w:ascii="宋体"/>
              </w:rPr>
            </w:pPr>
          </w:p>
        </w:tc>
        <w:tc>
          <w:tcPr>
            <w:tcW w:w="0" w:type="auto"/>
            <w:gridSpan w:val="3"/>
            <w:vMerge/>
            <w:shd w:val="clear" w:color="auto" w:fill="auto"/>
            <w:tcMar>
              <w:top w:w="0" w:type="dxa"/>
              <w:left w:w="20" w:type="dxa"/>
              <w:bottom w:w="0" w:type="dxa"/>
              <w:right w:w="20" w:type="dxa"/>
            </w:tcMar>
          </w:tcPr>
          <w:p w14:paraId="5EA220E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0E2" w14:textId="77777777" w:rsidR="003C66EB" w:rsidRDefault="00D96C4E">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5EA220E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0E4" w14:textId="77777777" w:rsidR="003C66EB" w:rsidRDefault="00D96C4E">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tcPr>
          <w:p w14:paraId="5EA220E5"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20E6" w14:textId="77777777" w:rsidR="003C66EB" w:rsidRDefault="003C66EB">
            <w:pPr>
              <w:jc w:val="center"/>
              <w:rPr>
                <w:rFonts w:ascii="宋体"/>
              </w:rPr>
            </w:pPr>
          </w:p>
        </w:tc>
      </w:tr>
      <w:tr w:rsidR="003C66EB" w14:paraId="5EA220FA" w14:textId="77777777">
        <w:trPr>
          <w:hidden/>
        </w:trPr>
        <w:tc>
          <w:tcPr>
            <w:tcW w:w="0" w:type="auto"/>
            <w:gridSpan w:val="3"/>
            <w:shd w:val="clear" w:color="auto" w:fill="auto"/>
          </w:tcPr>
          <w:p w14:paraId="5EA220E8" w14:textId="77777777" w:rsidR="003C66EB" w:rsidRDefault="003C66EB">
            <w:pPr>
              <w:rPr>
                <w:rFonts w:ascii="宋体"/>
                <w:vanish/>
              </w:rPr>
            </w:pPr>
          </w:p>
        </w:tc>
        <w:tc>
          <w:tcPr>
            <w:tcW w:w="0" w:type="auto"/>
            <w:gridSpan w:val="3"/>
            <w:shd w:val="clear" w:color="auto" w:fill="auto"/>
          </w:tcPr>
          <w:p w14:paraId="5EA220E9" w14:textId="77777777" w:rsidR="003C66EB" w:rsidRDefault="003C66EB">
            <w:pPr>
              <w:rPr>
                <w:rFonts w:ascii="宋体"/>
                <w:vanish/>
              </w:rPr>
            </w:pPr>
          </w:p>
        </w:tc>
        <w:tc>
          <w:tcPr>
            <w:tcW w:w="0" w:type="auto"/>
            <w:gridSpan w:val="3"/>
            <w:shd w:val="clear" w:color="auto" w:fill="auto"/>
          </w:tcPr>
          <w:p w14:paraId="5EA220EA" w14:textId="77777777" w:rsidR="003C66EB" w:rsidRDefault="003C66EB">
            <w:pPr>
              <w:rPr>
                <w:rFonts w:ascii="宋体"/>
                <w:vanish/>
              </w:rPr>
            </w:pPr>
          </w:p>
        </w:tc>
        <w:tc>
          <w:tcPr>
            <w:tcW w:w="0" w:type="auto"/>
            <w:gridSpan w:val="3"/>
            <w:shd w:val="clear" w:color="auto" w:fill="auto"/>
          </w:tcPr>
          <w:p w14:paraId="5EA220EB" w14:textId="77777777" w:rsidR="003C66EB" w:rsidRDefault="003C66EB">
            <w:pPr>
              <w:rPr>
                <w:rFonts w:ascii="宋体"/>
                <w:vanish/>
              </w:rPr>
            </w:pPr>
          </w:p>
        </w:tc>
        <w:tc>
          <w:tcPr>
            <w:tcW w:w="0" w:type="auto"/>
            <w:gridSpan w:val="3"/>
            <w:shd w:val="clear" w:color="auto" w:fill="auto"/>
          </w:tcPr>
          <w:p w14:paraId="5EA220EC" w14:textId="77777777" w:rsidR="003C66EB" w:rsidRDefault="003C66EB">
            <w:pPr>
              <w:rPr>
                <w:rFonts w:ascii="宋体"/>
                <w:vanish/>
              </w:rPr>
            </w:pPr>
          </w:p>
        </w:tc>
        <w:tc>
          <w:tcPr>
            <w:tcW w:w="0" w:type="auto"/>
            <w:gridSpan w:val="3"/>
            <w:shd w:val="clear" w:color="auto" w:fill="auto"/>
          </w:tcPr>
          <w:p w14:paraId="5EA220ED" w14:textId="77777777" w:rsidR="003C66EB" w:rsidRDefault="003C66EB">
            <w:pPr>
              <w:rPr>
                <w:rFonts w:ascii="宋体"/>
                <w:vanish/>
              </w:rPr>
            </w:pPr>
          </w:p>
        </w:tc>
        <w:tc>
          <w:tcPr>
            <w:tcW w:w="0" w:type="auto"/>
            <w:gridSpan w:val="3"/>
            <w:shd w:val="clear" w:color="auto" w:fill="auto"/>
          </w:tcPr>
          <w:p w14:paraId="5EA220EE" w14:textId="77777777" w:rsidR="003C66EB" w:rsidRDefault="003C66EB">
            <w:pPr>
              <w:rPr>
                <w:rFonts w:ascii="宋体"/>
                <w:vanish/>
              </w:rPr>
            </w:pPr>
          </w:p>
        </w:tc>
        <w:tc>
          <w:tcPr>
            <w:tcW w:w="0" w:type="auto"/>
            <w:gridSpan w:val="3"/>
            <w:shd w:val="clear" w:color="auto" w:fill="auto"/>
          </w:tcPr>
          <w:p w14:paraId="5EA220EF" w14:textId="77777777" w:rsidR="003C66EB" w:rsidRDefault="003C66EB">
            <w:pPr>
              <w:rPr>
                <w:rFonts w:ascii="宋体"/>
                <w:vanish/>
              </w:rPr>
            </w:pPr>
          </w:p>
        </w:tc>
        <w:tc>
          <w:tcPr>
            <w:tcW w:w="0" w:type="auto"/>
            <w:gridSpan w:val="3"/>
            <w:shd w:val="clear" w:color="auto" w:fill="auto"/>
          </w:tcPr>
          <w:p w14:paraId="5EA220F0" w14:textId="77777777" w:rsidR="003C66EB" w:rsidRDefault="003C66EB">
            <w:pPr>
              <w:rPr>
                <w:rFonts w:ascii="宋体"/>
                <w:vanish/>
              </w:rPr>
            </w:pPr>
          </w:p>
        </w:tc>
        <w:tc>
          <w:tcPr>
            <w:tcW w:w="0" w:type="auto"/>
            <w:gridSpan w:val="3"/>
            <w:shd w:val="clear" w:color="auto" w:fill="auto"/>
          </w:tcPr>
          <w:p w14:paraId="5EA220F1" w14:textId="77777777" w:rsidR="003C66EB" w:rsidRDefault="003C66EB">
            <w:pPr>
              <w:rPr>
                <w:rFonts w:ascii="宋体"/>
                <w:vanish/>
              </w:rPr>
            </w:pPr>
          </w:p>
        </w:tc>
        <w:tc>
          <w:tcPr>
            <w:tcW w:w="0" w:type="auto"/>
            <w:gridSpan w:val="3"/>
            <w:shd w:val="clear" w:color="auto" w:fill="auto"/>
          </w:tcPr>
          <w:p w14:paraId="5EA220F2" w14:textId="77777777" w:rsidR="003C66EB" w:rsidRDefault="003C66EB">
            <w:pPr>
              <w:rPr>
                <w:rFonts w:ascii="宋体"/>
                <w:vanish/>
              </w:rPr>
            </w:pPr>
          </w:p>
        </w:tc>
        <w:tc>
          <w:tcPr>
            <w:tcW w:w="0" w:type="auto"/>
            <w:gridSpan w:val="3"/>
            <w:shd w:val="clear" w:color="auto" w:fill="auto"/>
          </w:tcPr>
          <w:p w14:paraId="5EA220F3" w14:textId="77777777" w:rsidR="003C66EB" w:rsidRDefault="003C66EB">
            <w:pPr>
              <w:rPr>
                <w:rFonts w:ascii="宋体"/>
                <w:vanish/>
              </w:rPr>
            </w:pPr>
          </w:p>
        </w:tc>
        <w:tc>
          <w:tcPr>
            <w:tcW w:w="0" w:type="auto"/>
            <w:gridSpan w:val="3"/>
            <w:shd w:val="clear" w:color="auto" w:fill="auto"/>
          </w:tcPr>
          <w:p w14:paraId="5EA220F4" w14:textId="77777777" w:rsidR="003C66EB" w:rsidRDefault="003C66EB">
            <w:pPr>
              <w:rPr>
                <w:rFonts w:ascii="宋体"/>
                <w:vanish/>
              </w:rPr>
            </w:pPr>
          </w:p>
        </w:tc>
        <w:tc>
          <w:tcPr>
            <w:tcW w:w="0" w:type="auto"/>
            <w:gridSpan w:val="3"/>
            <w:shd w:val="clear" w:color="auto" w:fill="auto"/>
          </w:tcPr>
          <w:p w14:paraId="5EA220F5" w14:textId="77777777" w:rsidR="003C66EB" w:rsidRDefault="003C66EB">
            <w:pPr>
              <w:rPr>
                <w:rFonts w:ascii="宋体"/>
                <w:vanish/>
              </w:rPr>
            </w:pPr>
          </w:p>
        </w:tc>
        <w:tc>
          <w:tcPr>
            <w:tcW w:w="0" w:type="auto"/>
            <w:gridSpan w:val="3"/>
            <w:shd w:val="clear" w:color="auto" w:fill="auto"/>
          </w:tcPr>
          <w:p w14:paraId="5EA220F6" w14:textId="77777777" w:rsidR="003C66EB" w:rsidRDefault="003C66EB">
            <w:pPr>
              <w:rPr>
                <w:rFonts w:ascii="宋体"/>
                <w:vanish/>
              </w:rPr>
            </w:pPr>
          </w:p>
        </w:tc>
        <w:tc>
          <w:tcPr>
            <w:tcW w:w="0" w:type="auto"/>
            <w:gridSpan w:val="3"/>
            <w:shd w:val="clear" w:color="auto" w:fill="auto"/>
          </w:tcPr>
          <w:p w14:paraId="5EA220F7" w14:textId="77777777" w:rsidR="003C66EB" w:rsidRDefault="003C66EB">
            <w:pPr>
              <w:rPr>
                <w:rFonts w:ascii="宋体"/>
                <w:vanish/>
              </w:rPr>
            </w:pPr>
          </w:p>
        </w:tc>
        <w:tc>
          <w:tcPr>
            <w:tcW w:w="0" w:type="auto"/>
            <w:gridSpan w:val="3"/>
            <w:shd w:val="clear" w:color="auto" w:fill="auto"/>
          </w:tcPr>
          <w:p w14:paraId="5EA220F8" w14:textId="77777777" w:rsidR="003C66EB" w:rsidRDefault="003C66EB">
            <w:pPr>
              <w:rPr>
                <w:rFonts w:ascii="宋体"/>
                <w:vanish/>
              </w:rPr>
            </w:pPr>
          </w:p>
        </w:tc>
        <w:tc>
          <w:tcPr>
            <w:tcW w:w="0" w:type="auto"/>
            <w:gridSpan w:val="3"/>
            <w:shd w:val="clear" w:color="auto" w:fill="auto"/>
          </w:tcPr>
          <w:p w14:paraId="5EA220F9" w14:textId="77777777" w:rsidR="003C66EB" w:rsidRDefault="003C66EB">
            <w:pPr>
              <w:rPr>
                <w:rFonts w:ascii="宋体"/>
                <w:vanish/>
              </w:rPr>
            </w:pPr>
          </w:p>
        </w:tc>
      </w:tr>
      <w:tr w:rsidR="003C66EB" w14:paraId="5EA2210D" w14:textId="77777777">
        <w:trPr>
          <w:hidden/>
        </w:trPr>
        <w:tc>
          <w:tcPr>
            <w:tcW w:w="0" w:type="auto"/>
            <w:gridSpan w:val="3"/>
            <w:shd w:val="clear" w:color="auto" w:fill="auto"/>
          </w:tcPr>
          <w:p w14:paraId="5EA220FB" w14:textId="77777777" w:rsidR="003C66EB" w:rsidRDefault="003C66EB">
            <w:pPr>
              <w:rPr>
                <w:rFonts w:ascii="宋体"/>
                <w:vanish/>
              </w:rPr>
            </w:pPr>
          </w:p>
        </w:tc>
        <w:tc>
          <w:tcPr>
            <w:tcW w:w="0" w:type="auto"/>
            <w:gridSpan w:val="3"/>
            <w:shd w:val="clear" w:color="auto" w:fill="auto"/>
          </w:tcPr>
          <w:p w14:paraId="5EA220FC" w14:textId="77777777" w:rsidR="003C66EB" w:rsidRDefault="003C66EB">
            <w:pPr>
              <w:rPr>
                <w:rFonts w:ascii="宋体"/>
                <w:vanish/>
              </w:rPr>
            </w:pPr>
          </w:p>
        </w:tc>
        <w:tc>
          <w:tcPr>
            <w:tcW w:w="0" w:type="auto"/>
            <w:gridSpan w:val="3"/>
            <w:shd w:val="clear" w:color="auto" w:fill="auto"/>
          </w:tcPr>
          <w:p w14:paraId="5EA220FD" w14:textId="77777777" w:rsidR="003C66EB" w:rsidRDefault="003C66EB">
            <w:pPr>
              <w:rPr>
                <w:rFonts w:ascii="宋体"/>
                <w:vanish/>
              </w:rPr>
            </w:pPr>
          </w:p>
        </w:tc>
        <w:tc>
          <w:tcPr>
            <w:tcW w:w="0" w:type="auto"/>
            <w:gridSpan w:val="3"/>
            <w:shd w:val="clear" w:color="auto" w:fill="auto"/>
          </w:tcPr>
          <w:p w14:paraId="5EA220FE" w14:textId="77777777" w:rsidR="003C66EB" w:rsidRDefault="003C66EB">
            <w:pPr>
              <w:rPr>
                <w:rFonts w:ascii="宋体"/>
                <w:vanish/>
              </w:rPr>
            </w:pPr>
          </w:p>
        </w:tc>
        <w:tc>
          <w:tcPr>
            <w:tcW w:w="0" w:type="auto"/>
            <w:gridSpan w:val="3"/>
            <w:shd w:val="clear" w:color="auto" w:fill="auto"/>
          </w:tcPr>
          <w:p w14:paraId="5EA220FF" w14:textId="77777777" w:rsidR="003C66EB" w:rsidRDefault="003C66EB">
            <w:pPr>
              <w:rPr>
                <w:rFonts w:ascii="宋体"/>
                <w:vanish/>
              </w:rPr>
            </w:pPr>
          </w:p>
        </w:tc>
        <w:tc>
          <w:tcPr>
            <w:tcW w:w="0" w:type="auto"/>
            <w:gridSpan w:val="3"/>
            <w:shd w:val="clear" w:color="auto" w:fill="auto"/>
          </w:tcPr>
          <w:p w14:paraId="5EA22100" w14:textId="77777777" w:rsidR="003C66EB" w:rsidRDefault="003C66EB">
            <w:pPr>
              <w:rPr>
                <w:rFonts w:ascii="宋体"/>
                <w:vanish/>
              </w:rPr>
            </w:pPr>
          </w:p>
        </w:tc>
        <w:tc>
          <w:tcPr>
            <w:tcW w:w="0" w:type="auto"/>
            <w:gridSpan w:val="3"/>
            <w:shd w:val="clear" w:color="auto" w:fill="auto"/>
          </w:tcPr>
          <w:p w14:paraId="5EA22101" w14:textId="77777777" w:rsidR="003C66EB" w:rsidRDefault="003C66EB">
            <w:pPr>
              <w:rPr>
                <w:rFonts w:ascii="宋体"/>
                <w:vanish/>
              </w:rPr>
            </w:pPr>
          </w:p>
        </w:tc>
        <w:tc>
          <w:tcPr>
            <w:tcW w:w="0" w:type="auto"/>
            <w:gridSpan w:val="3"/>
            <w:shd w:val="clear" w:color="auto" w:fill="auto"/>
          </w:tcPr>
          <w:p w14:paraId="5EA22102" w14:textId="77777777" w:rsidR="003C66EB" w:rsidRDefault="003C66EB">
            <w:pPr>
              <w:rPr>
                <w:rFonts w:ascii="宋体"/>
                <w:vanish/>
              </w:rPr>
            </w:pPr>
          </w:p>
        </w:tc>
        <w:tc>
          <w:tcPr>
            <w:tcW w:w="0" w:type="auto"/>
            <w:gridSpan w:val="3"/>
            <w:shd w:val="clear" w:color="auto" w:fill="auto"/>
          </w:tcPr>
          <w:p w14:paraId="5EA22103" w14:textId="77777777" w:rsidR="003C66EB" w:rsidRDefault="003C66EB">
            <w:pPr>
              <w:rPr>
                <w:rFonts w:ascii="宋体"/>
                <w:vanish/>
              </w:rPr>
            </w:pPr>
          </w:p>
        </w:tc>
        <w:tc>
          <w:tcPr>
            <w:tcW w:w="0" w:type="auto"/>
            <w:gridSpan w:val="3"/>
            <w:shd w:val="clear" w:color="auto" w:fill="auto"/>
          </w:tcPr>
          <w:p w14:paraId="5EA22104" w14:textId="77777777" w:rsidR="003C66EB" w:rsidRDefault="003C66EB">
            <w:pPr>
              <w:rPr>
                <w:rFonts w:ascii="宋体"/>
                <w:vanish/>
              </w:rPr>
            </w:pPr>
          </w:p>
        </w:tc>
        <w:tc>
          <w:tcPr>
            <w:tcW w:w="0" w:type="auto"/>
            <w:gridSpan w:val="3"/>
            <w:shd w:val="clear" w:color="auto" w:fill="auto"/>
          </w:tcPr>
          <w:p w14:paraId="5EA22105" w14:textId="77777777" w:rsidR="003C66EB" w:rsidRDefault="003C66EB">
            <w:pPr>
              <w:rPr>
                <w:rFonts w:ascii="宋体"/>
                <w:vanish/>
              </w:rPr>
            </w:pPr>
          </w:p>
        </w:tc>
        <w:tc>
          <w:tcPr>
            <w:tcW w:w="0" w:type="auto"/>
            <w:gridSpan w:val="3"/>
            <w:shd w:val="clear" w:color="auto" w:fill="auto"/>
          </w:tcPr>
          <w:p w14:paraId="5EA22106" w14:textId="77777777" w:rsidR="003C66EB" w:rsidRDefault="003C66EB">
            <w:pPr>
              <w:rPr>
                <w:rFonts w:ascii="宋体"/>
                <w:vanish/>
              </w:rPr>
            </w:pPr>
          </w:p>
        </w:tc>
        <w:tc>
          <w:tcPr>
            <w:tcW w:w="0" w:type="auto"/>
            <w:gridSpan w:val="3"/>
            <w:shd w:val="clear" w:color="auto" w:fill="auto"/>
          </w:tcPr>
          <w:p w14:paraId="5EA22107" w14:textId="77777777" w:rsidR="003C66EB" w:rsidRDefault="003C66EB">
            <w:pPr>
              <w:rPr>
                <w:rFonts w:ascii="宋体"/>
                <w:vanish/>
              </w:rPr>
            </w:pPr>
          </w:p>
        </w:tc>
        <w:tc>
          <w:tcPr>
            <w:tcW w:w="0" w:type="auto"/>
            <w:gridSpan w:val="3"/>
            <w:shd w:val="clear" w:color="auto" w:fill="auto"/>
          </w:tcPr>
          <w:p w14:paraId="5EA22108" w14:textId="77777777" w:rsidR="003C66EB" w:rsidRDefault="003C66EB">
            <w:pPr>
              <w:rPr>
                <w:rFonts w:ascii="宋体"/>
                <w:vanish/>
              </w:rPr>
            </w:pPr>
          </w:p>
        </w:tc>
        <w:tc>
          <w:tcPr>
            <w:tcW w:w="0" w:type="auto"/>
            <w:gridSpan w:val="3"/>
            <w:shd w:val="clear" w:color="auto" w:fill="auto"/>
          </w:tcPr>
          <w:p w14:paraId="5EA22109" w14:textId="77777777" w:rsidR="003C66EB" w:rsidRDefault="003C66EB">
            <w:pPr>
              <w:rPr>
                <w:rFonts w:ascii="宋体"/>
                <w:vanish/>
              </w:rPr>
            </w:pPr>
          </w:p>
        </w:tc>
        <w:tc>
          <w:tcPr>
            <w:tcW w:w="0" w:type="auto"/>
            <w:gridSpan w:val="3"/>
            <w:shd w:val="clear" w:color="auto" w:fill="auto"/>
          </w:tcPr>
          <w:p w14:paraId="5EA2210A" w14:textId="77777777" w:rsidR="003C66EB" w:rsidRDefault="003C66EB">
            <w:pPr>
              <w:rPr>
                <w:rFonts w:ascii="宋体"/>
                <w:vanish/>
              </w:rPr>
            </w:pPr>
          </w:p>
        </w:tc>
        <w:tc>
          <w:tcPr>
            <w:tcW w:w="0" w:type="auto"/>
            <w:gridSpan w:val="3"/>
            <w:shd w:val="clear" w:color="auto" w:fill="auto"/>
          </w:tcPr>
          <w:p w14:paraId="5EA2210B" w14:textId="77777777" w:rsidR="003C66EB" w:rsidRDefault="003C66EB">
            <w:pPr>
              <w:rPr>
                <w:rFonts w:ascii="宋体"/>
                <w:vanish/>
              </w:rPr>
            </w:pPr>
          </w:p>
        </w:tc>
        <w:tc>
          <w:tcPr>
            <w:tcW w:w="0" w:type="auto"/>
            <w:gridSpan w:val="3"/>
            <w:shd w:val="clear" w:color="auto" w:fill="auto"/>
          </w:tcPr>
          <w:p w14:paraId="5EA2210C" w14:textId="77777777" w:rsidR="003C66EB" w:rsidRDefault="003C66EB">
            <w:pPr>
              <w:rPr>
                <w:rFonts w:ascii="宋体"/>
                <w:vanish/>
              </w:rPr>
            </w:pPr>
          </w:p>
        </w:tc>
      </w:tr>
      <w:tr w:rsidR="003C66EB" w14:paraId="5EA22120" w14:textId="77777777">
        <w:trPr>
          <w:hidden/>
        </w:trPr>
        <w:tc>
          <w:tcPr>
            <w:tcW w:w="0" w:type="auto"/>
            <w:gridSpan w:val="3"/>
            <w:shd w:val="clear" w:color="auto" w:fill="auto"/>
          </w:tcPr>
          <w:p w14:paraId="5EA2210E" w14:textId="77777777" w:rsidR="003C66EB" w:rsidRDefault="003C66EB">
            <w:pPr>
              <w:rPr>
                <w:rFonts w:ascii="宋体"/>
                <w:vanish/>
              </w:rPr>
            </w:pPr>
          </w:p>
        </w:tc>
        <w:tc>
          <w:tcPr>
            <w:tcW w:w="0" w:type="auto"/>
            <w:gridSpan w:val="3"/>
            <w:shd w:val="clear" w:color="auto" w:fill="auto"/>
          </w:tcPr>
          <w:p w14:paraId="5EA2210F" w14:textId="77777777" w:rsidR="003C66EB" w:rsidRDefault="003C66EB">
            <w:pPr>
              <w:rPr>
                <w:rFonts w:ascii="宋体"/>
                <w:vanish/>
              </w:rPr>
            </w:pPr>
          </w:p>
        </w:tc>
        <w:tc>
          <w:tcPr>
            <w:tcW w:w="0" w:type="auto"/>
            <w:gridSpan w:val="3"/>
            <w:shd w:val="clear" w:color="auto" w:fill="auto"/>
          </w:tcPr>
          <w:p w14:paraId="5EA22110" w14:textId="77777777" w:rsidR="003C66EB" w:rsidRDefault="003C66EB">
            <w:pPr>
              <w:rPr>
                <w:rFonts w:ascii="宋体"/>
                <w:vanish/>
              </w:rPr>
            </w:pPr>
          </w:p>
        </w:tc>
        <w:tc>
          <w:tcPr>
            <w:tcW w:w="0" w:type="auto"/>
            <w:gridSpan w:val="3"/>
            <w:shd w:val="clear" w:color="auto" w:fill="auto"/>
          </w:tcPr>
          <w:p w14:paraId="5EA22111" w14:textId="77777777" w:rsidR="003C66EB" w:rsidRDefault="003C66EB">
            <w:pPr>
              <w:rPr>
                <w:rFonts w:ascii="宋体"/>
                <w:vanish/>
              </w:rPr>
            </w:pPr>
          </w:p>
        </w:tc>
        <w:tc>
          <w:tcPr>
            <w:tcW w:w="0" w:type="auto"/>
            <w:gridSpan w:val="3"/>
            <w:shd w:val="clear" w:color="auto" w:fill="auto"/>
          </w:tcPr>
          <w:p w14:paraId="5EA22112" w14:textId="77777777" w:rsidR="003C66EB" w:rsidRDefault="003C66EB">
            <w:pPr>
              <w:rPr>
                <w:rFonts w:ascii="宋体"/>
                <w:vanish/>
              </w:rPr>
            </w:pPr>
          </w:p>
        </w:tc>
        <w:tc>
          <w:tcPr>
            <w:tcW w:w="0" w:type="auto"/>
            <w:gridSpan w:val="3"/>
            <w:shd w:val="clear" w:color="auto" w:fill="auto"/>
          </w:tcPr>
          <w:p w14:paraId="5EA22113" w14:textId="77777777" w:rsidR="003C66EB" w:rsidRDefault="003C66EB">
            <w:pPr>
              <w:rPr>
                <w:rFonts w:ascii="宋体"/>
                <w:vanish/>
              </w:rPr>
            </w:pPr>
          </w:p>
        </w:tc>
        <w:tc>
          <w:tcPr>
            <w:tcW w:w="0" w:type="auto"/>
            <w:gridSpan w:val="3"/>
            <w:shd w:val="clear" w:color="auto" w:fill="auto"/>
          </w:tcPr>
          <w:p w14:paraId="5EA22114" w14:textId="77777777" w:rsidR="003C66EB" w:rsidRDefault="003C66EB">
            <w:pPr>
              <w:rPr>
                <w:rFonts w:ascii="宋体"/>
                <w:vanish/>
              </w:rPr>
            </w:pPr>
          </w:p>
        </w:tc>
        <w:tc>
          <w:tcPr>
            <w:tcW w:w="0" w:type="auto"/>
            <w:gridSpan w:val="3"/>
            <w:shd w:val="clear" w:color="auto" w:fill="auto"/>
          </w:tcPr>
          <w:p w14:paraId="5EA22115" w14:textId="77777777" w:rsidR="003C66EB" w:rsidRDefault="003C66EB">
            <w:pPr>
              <w:rPr>
                <w:rFonts w:ascii="宋体"/>
                <w:vanish/>
              </w:rPr>
            </w:pPr>
          </w:p>
        </w:tc>
        <w:tc>
          <w:tcPr>
            <w:tcW w:w="0" w:type="auto"/>
            <w:gridSpan w:val="3"/>
            <w:shd w:val="clear" w:color="auto" w:fill="auto"/>
          </w:tcPr>
          <w:p w14:paraId="5EA22116" w14:textId="77777777" w:rsidR="003C66EB" w:rsidRDefault="003C66EB">
            <w:pPr>
              <w:rPr>
                <w:rFonts w:ascii="宋体"/>
                <w:vanish/>
              </w:rPr>
            </w:pPr>
          </w:p>
        </w:tc>
        <w:tc>
          <w:tcPr>
            <w:tcW w:w="0" w:type="auto"/>
            <w:gridSpan w:val="3"/>
            <w:shd w:val="clear" w:color="auto" w:fill="auto"/>
          </w:tcPr>
          <w:p w14:paraId="5EA22117" w14:textId="77777777" w:rsidR="003C66EB" w:rsidRDefault="003C66EB">
            <w:pPr>
              <w:rPr>
                <w:rFonts w:ascii="宋体"/>
                <w:vanish/>
              </w:rPr>
            </w:pPr>
          </w:p>
        </w:tc>
        <w:tc>
          <w:tcPr>
            <w:tcW w:w="0" w:type="auto"/>
            <w:gridSpan w:val="3"/>
            <w:shd w:val="clear" w:color="auto" w:fill="auto"/>
          </w:tcPr>
          <w:p w14:paraId="5EA22118" w14:textId="77777777" w:rsidR="003C66EB" w:rsidRDefault="003C66EB">
            <w:pPr>
              <w:rPr>
                <w:rFonts w:ascii="宋体"/>
                <w:vanish/>
              </w:rPr>
            </w:pPr>
          </w:p>
        </w:tc>
        <w:tc>
          <w:tcPr>
            <w:tcW w:w="0" w:type="auto"/>
            <w:gridSpan w:val="3"/>
            <w:shd w:val="clear" w:color="auto" w:fill="auto"/>
          </w:tcPr>
          <w:p w14:paraId="5EA22119" w14:textId="77777777" w:rsidR="003C66EB" w:rsidRDefault="003C66EB">
            <w:pPr>
              <w:rPr>
                <w:rFonts w:ascii="宋体"/>
                <w:vanish/>
              </w:rPr>
            </w:pPr>
          </w:p>
        </w:tc>
        <w:tc>
          <w:tcPr>
            <w:tcW w:w="0" w:type="auto"/>
            <w:gridSpan w:val="3"/>
            <w:shd w:val="clear" w:color="auto" w:fill="auto"/>
          </w:tcPr>
          <w:p w14:paraId="5EA2211A" w14:textId="77777777" w:rsidR="003C66EB" w:rsidRDefault="003C66EB">
            <w:pPr>
              <w:rPr>
                <w:rFonts w:ascii="宋体"/>
                <w:vanish/>
              </w:rPr>
            </w:pPr>
          </w:p>
        </w:tc>
        <w:tc>
          <w:tcPr>
            <w:tcW w:w="0" w:type="auto"/>
            <w:gridSpan w:val="3"/>
            <w:shd w:val="clear" w:color="auto" w:fill="auto"/>
          </w:tcPr>
          <w:p w14:paraId="5EA2211B" w14:textId="77777777" w:rsidR="003C66EB" w:rsidRDefault="003C66EB">
            <w:pPr>
              <w:rPr>
                <w:rFonts w:ascii="宋体"/>
                <w:vanish/>
              </w:rPr>
            </w:pPr>
          </w:p>
        </w:tc>
        <w:tc>
          <w:tcPr>
            <w:tcW w:w="0" w:type="auto"/>
            <w:gridSpan w:val="3"/>
            <w:shd w:val="clear" w:color="auto" w:fill="auto"/>
          </w:tcPr>
          <w:p w14:paraId="5EA2211C" w14:textId="77777777" w:rsidR="003C66EB" w:rsidRDefault="003C66EB">
            <w:pPr>
              <w:rPr>
                <w:rFonts w:ascii="宋体"/>
                <w:vanish/>
              </w:rPr>
            </w:pPr>
          </w:p>
        </w:tc>
        <w:tc>
          <w:tcPr>
            <w:tcW w:w="0" w:type="auto"/>
            <w:gridSpan w:val="3"/>
            <w:shd w:val="clear" w:color="auto" w:fill="auto"/>
          </w:tcPr>
          <w:p w14:paraId="5EA2211D" w14:textId="77777777" w:rsidR="003C66EB" w:rsidRDefault="003C66EB">
            <w:pPr>
              <w:rPr>
                <w:rFonts w:ascii="宋体"/>
                <w:vanish/>
              </w:rPr>
            </w:pPr>
          </w:p>
        </w:tc>
        <w:tc>
          <w:tcPr>
            <w:tcW w:w="0" w:type="auto"/>
            <w:gridSpan w:val="3"/>
            <w:shd w:val="clear" w:color="auto" w:fill="auto"/>
          </w:tcPr>
          <w:p w14:paraId="5EA2211E" w14:textId="77777777" w:rsidR="003C66EB" w:rsidRDefault="003C66EB">
            <w:pPr>
              <w:rPr>
                <w:rFonts w:ascii="宋体"/>
                <w:vanish/>
              </w:rPr>
            </w:pPr>
          </w:p>
        </w:tc>
        <w:tc>
          <w:tcPr>
            <w:tcW w:w="0" w:type="auto"/>
            <w:gridSpan w:val="3"/>
            <w:shd w:val="clear" w:color="auto" w:fill="auto"/>
          </w:tcPr>
          <w:p w14:paraId="5EA2211F" w14:textId="77777777" w:rsidR="003C66EB" w:rsidRDefault="003C66EB">
            <w:pPr>
              <w:rPr>
                <w:rFonts w:ascii="宋体"/>
                <w:vanish/>
              </w:rPr>
            </w:pPr>
          </w:p>
        </w:tc>
      </w:tr>
      <w:tr w:rsidR="003C66EB" w14:paraId="5EA22133" w14:textId="77777777">
        <w:trPr>
          <w:hidden/>
        </w:trPr>
        <w:tc>
          <w:tcPr>
            <w:tcW w:w="0" w:type="auto"/>
            <w:gridSpan w:val="3"/>
            <w:shd w:val="clear" w:color="auto" w:fill="auto"/>
          </w:tcPr>
          <w:p w14:paraId="5EA22121" w14:textId="77777777" w:rsidR="003C66EB" w:rsidRDefault="003C66EB">
            <w:pPr>
              <w:rPr>
                <w:rFonts w:ascii="宋体"/>
                <w:vanish/>
              </w:rPr>
            </w:pPr>
          </w:p>
        </w:tc>
        <w:tc>
          <w:tcPr>
            <w:tcW w:w="0" w:type="auto"/>
            <w:gridSpan w:val="3"/>
            <w:shd w:val="clear" w:color="auto" w:fill="auto"/>
          </w:tcPr>
          <w:p w14:paraId="5EA22122" w14:textId="77777777" w:rsidR="003C66EB" w:rsidRDefault="003C66EB">
            <w:pPr>
              <w:rPr>
                <w:rFonts w:ascii="宋体"/>
                <w:vanish/>
              </w:rPr>
            </w:pPr>
          </w:p>
        </w:tc>
        <w:tc>
          <w:tcPr>
            <w:tcW w:w="0" w:type="auto"/>
            <w:gridSpan w:val="3"/>
            <w:shd w:val="clear" w:color="auto" w:fill="auto"/>
          </w:tcPr>
          <w:p w14:paraId="5EA22123" w14:textId="77777777" w:rsidR="003C66EB" w:rsidRDefault="003C66EB">
            <w:pPr>
              <w:rPr>
                <w:rFonts w:ascii="宋体"/>
                <w:vanish/>
              </w:rPr>
            </w:pPr>
          </w:p>
        </w:tc>
        <w:tc>
          <w:tcPr>
            <w:tcW w:w="0" w:type="auto"/>
            <w:gridSpan w:val="3"/>
            <w:shd w:val="clear" w:color="auto" w:fill="auto"/>
          </w:tcPr>
          <w:p w14:paraId="5EA22124" w14:textId="77777777" w:rsidR="003C66EB" w:rsidRDefault="003C66EB">
            <w:pPr>
              <w:rPr>
                <w:rFonts w:ascii="宋体"/>
                <w:vanish/>
              </w:rPr>
            </w:pPr>
          </w:p>
        </w:tc>
        <w:tc>
          <w:tcPr>
            <w:tcW w:w="0" w:type="auto"/>
            <w:gridSpan w:val="3"/>
            <w:shd w:val="clear" w:color="auto" w:fill="auto"/>
          </w:tcPr>
          <w:p w14:paraId="5EA22125" w14:textId="77777777" w:rsidR="003C66EB" w:rsidRDefault="003C66EB">
            <w:pPr>
              <w:rPr>
                <w:rFonts w:ascii="宋体"/>
                <w:vanish/>
              </w:rPr>
            </w:pPr>
          </w:p>
        </w:tc>
        <w:tc>
          <w:tcPr>
            <w:tcW w:w="0" w:type="auto"/>
            <w:gridSpan w:val="3"/>
            <w:shd w:val="clear" w:color="auto" w:fill="auto"/>
          </w:tcPr>
          <w:p w14:paraId="5EA22126" w14:textId="77777777" w:rsidR="003C66EB" w:rsidRDefault="003C66EB">
            <w:pPr>
              <w:rPr>
                <w:rFonts w:ascii="宋体"/>
                <w:vanish/>
              </w:rPr>
            </w:pPr>
          </w:p>
        </w:tc>
        <w:tc>
          <w:tcPr>
            <w:tcW w:w="0" w:type="auto"/>
            <w:gridSpan w:val="3"/>
            <w:shd w:val="clear" w:color="auto" w:fill="auto"/>
          </w:tcPr>
          <w:p w14:paraId="5EA22127" w14:textId="77777777" w:rsidR="003C66EB" w:rsidRDefault="003C66EB">
            <w:pPr>
              <w:rPr>
                <w:rFonts w:ascii="宋体"/>
                <w:vanish/>
              </w:rPr>
            </w:pPr>
          </w:p>
        </w:tc>
        <w:tc>
          <w:tcPr>
            <w:tcW w:w="0" w:type="auto"/>
            <w:gridSpan w:val="3"/>
            <w:shd w:val="clear" w:color="auto" w:fill="auto"/>
          </w:tcPr>
          <w:p w14:paraId="5EA22128" w14:textId="77777777" w:rsidR="003C66EB" w:rsidRDefault="003C66EB">
            <w:pPr>
              <w:rPr>
                <w:rFonts w:ascii="宋体"/>
                <w:vanish/>
              </w:rPr>
            </w:pPr>
          </w:p>
        </w:tc>
        <w:tc>
          <w:tcPr>
            <w:tcW w:w="0" w:type="auto"/>
            <w:gridSpan w:val="3"/>
            <w:shd w:val="clear" w:color="auto" w:fill="auto"/>
          </w:tcPr>
          <w:p w14:paraId="5EA22129" w14:textId="77777777" w:rsidR="003C66EB" w:rsidRDefault="003C66EB">
            <w:pPr>
              <w:rPr>
                <w:rFonts w:ascii="宋体"/>
                <w:vanish/>
              </w:rPr>
            </w:pPr>
          </w:p>
        </w:tc>
        <w:tc>
          <w:tcPr>
            <w:tcW w:w="0" w:type="auto"/>
            <w:gridSpan w:val="3"/>
            <w:shd w:val="clear" w:color="auto" w:fill="auto"/>
          </w:tcPr>
          <w:p w14:paraId="5EA2212A" w14:textId="77777777" w:rsidR="003C66EB" w:rsidRDefault="003C66EB">
            <w:pPr>
              <w:rPr>
                <w:rFonts w:ascii="宋体"/>
                <w:vanish/>
              </w:rPr>
            </w:pPr>
          </w:p>
        </w:tc>
        <w:tc>
          <w:tcPr>
            <w:tcW w:w="0" w:type="auto"/>
            <w:gridSpan w:val="3"/>
            <w:shd w:val="clear" w:color="auto" w:fill="auto"/>
          </w:tcPr>
          <w:p w14:paraId="5EA2212B" w14:textId="77777777" w:rsidR="003C66EB" w:rsidRDefault="003C66EB">
            <w:pPr>
              <w:rPr>
                <w:rFonts w:ascii="宋体"/>
                <w:vanish/>
              </w:rPr>
            </w:pPr>
          </w:p>
        </w:tc>
        <w:tc>
          <w:tcPr>
            <w:tcW w:w="0" w:type="auto"/>
            <w:gridSpan w:val="3"/>
            <w:shd w:val="clear" w:color="auto" w:fill="auto"/>
          </w:tcPr>
          <w:p w14:paraId="5EA2212C" w14:textId="77777777" w:rsidR="003C66EB" w:rsidRDefault="003C66EB">
            <w:pPr>
              <w:rPr>
                <w:rFonts w:ascii="宋体"/>
                <w:vanish/>
              </w:rPr>
            </w:pPr>
          </w:p>
        </w:tc>
        <w:tc>
          <w:tcPr>
            <w:tcW w:w="0" w:type="auto"/>
            <w:gridSpan w:val="3"/>
            <w:shd w:val="clear" w:color="auto" w:fill="auto"/>
          </w:tcPr>
          <w:p w14:paraId="5EA2212D" w14:textId="77777777" w:rsidR="003C66EB" w:rsidRDefault="003C66EB">
            <w:pPr>
              <w:rPr>
                <w:rFonts w:ascii="宋体"/>
                <w:vanish/>
              </w:rPr>
            </w:pPr>
          </w:p>
        </w:tc>
        <w:tc>
          <w:tcPr>
            <w:tcW w:w="0" w:type="auto"/>
            <w:gridSpan w:val="3"/>
            <w:shd w:val="clear" w:color="auto" w:fill="auto"/>
          </w:tcPr>
          <w:p w14:paraId="5EA2212E" w14:textId="77777777" w:rsidR="003C66EB" w:rsidRDefault="003C66EB">
            <w:pPr>
              <w:rPr>
                <w:rFonts w:ascii="宋体"/>
                <w:vanish/>
              </w:rPr>
            </w:pPr>
          </w:p>
        </w:tc>
        <w:tc>
          <w:tcPr>
            <w:tcW w:w="0" w:type="auto"/>
            <w:gridSpan w:val="3"/>
            <w:shd w:val="clear" w:color="auto" w:fill="auto"/>
          </w:tcPr>
          <w:p w14:paraId="5EA2212F" w14:textId="77777777" w:rsidR="003C66EB" w:rsidRDefault="003C66EB">
            <w:pPr>
              <w:rPr>
                <w:rFonts w:ascii="宋体"/>
                <w:vanish/>
              </w:rPr>
            </w:pPr>
          </w:p>
        </w:tc>
        <w:tc>
          <w:tcPr>
            <w:tcW w:w="0" w:type="auto"/>
            <w:gridSpan w:val="3"/>
            <w:shd w:val="clear" w:color="auto" w:fill="auto"/>
          </w:tcPr>
          <w:p w14:paraId="5EA22130" w14:textId="77777777" w:rsidR="003C66EB" w:rsidRDefault="003C66EB">
            <w:pPr>
              <w:rPr>
                <w:rFonts w:ascii="宋体"/>
                <w:vanish/>
              </w:rPr>
            </w:pPr>
          </w:p>
        </w:tc>
        <w:tc>
          <w:tcPr>
            <w:tcW w:w="0" w:type="auto"/>
            <w:gridSpan w:val="3"/>
            <w:shd w:val="clear" w:color="auto" w:fill="auto"/>
          </w:tcPr>
          <w:p w14:paraId="5EA22131" w14:textId="77777777" w:rsidR="003C66EB" w:rsidRDefault="003C66EB">
            <w:pPr>
              <w:rPr>
                <w:rFonts w:ascii="宋体"/>
                <w:vanish/>
              </w:rPr>
            </w:pPr>
          </w:p>
        </w:tc>
        <w:tc>
          <w:tcPr>
            <w:tcW w:w="0" w:type="auto"/>
            <w:gridSpan w:val="3"/>
            <w:shd w:val="clear" w:color="auto" w:fill="auto"/>
          </w:tcPr>
          <w:p w14:paraId="5EA22132" w14:textId="77777777" w:rsidR="003C66EB" w:rsidRDefault="003C66EB">
            <w:pPr>
              <w:rPr>
                <w:rFonts w:ascii="宋体"/>
                <w:vanish/>
              </w:rPr>
            </w:pPr>
          </w:p>
        </w:tc>
      </w:tr>
      <w:tr w:rsidR="003C66EB" w14:paraId="5EA22146" w14:textId="77777777">
        <w:trPr>
          <w:hidden/>
        </w:trPr>
        <w:tc>
          <w:tcPr>
            <w:tcW w:w="0" w:type="auto"/>
            <w:gridSpan w:val="3"/>
            <w:shd w:val="clear" w:color="auto" w:fill="auto"/>
          </w:tcPr>
          <w:p w14:paraId="5EA22134" w14:textId="77777777" w:rsidR="003C66EB" w:rsidRDefault="003C66EB">
            <w:pPr>
              <w:rPr>
                <w:rFonts w:ascii="宋体"/>
                <w:vanish/>
              </w:rPr>
            </w:pPr>
          </w:p>
        </w:tc>
        <w:tc>
          <w:tcPr>
            <w:tcW w:w="0" w:type="auto"/>
            <w:gridSpan w:val="3"/>
            <w:shd w:val="clear" w:color="auto" w:fill="auto"/>
          </w:tcPr>
          <w:p w14:paraId="5EA22135" w14:textId="77777777" w:rsidR="003C66EB" w:rsidRDefault="003C66EB">
            <w:pPr>
              <w:rPr>
                <w:rFonts w:ascii="宋体"/>
                <w:vanish/>
              </w:rPr>
            </w:pPr>
          </w:p>
        </w:tc>
        <w:tc>
          <w:tcPr>
            <w:tcW w:w="0" w:type="auto"/>
            <w:gridSpan w:val="3"/>
            <w:shd w:val="clear" w:color="auto" w:fill="auto"/>
          </w:tcPr>
          <w:p w14:paraId="5EA22136" w14:textId="77777777" w:rsidR="003C66EB" w:rsidRDefault="003C66EB">
            <w:pPr>
              <w:rPr>
                <w:rFonts w:ascii="宋体"/>
                <w:vanish/>
              </w:rPr>
            </w:pPr>
          </w:p>
        </w:tc>
        <w:tc>
          <w:tcPr>
            <w:tcW w:w="0" w:type="auto"/>
            <w:gridSpan w:val="3"/>
            <w:shd w:val="clear" w:color="auto" w:fill="auto"/>
          </w:tcPr>
          <w:p w14:paraId="5EA22137" w14:textId="77777777" w:rsidR="003C66EB" w:rsidRDefault="003C66EB">
            <w:pPr>
              <w:rPr>
                <w:rFonts w:ascii="宋体"/>
                <w:vanish/>
              </w:rPr>
            </w:pPr>
          </w:p>
        </w:tc>
        <w:tc>
          <w:tcPr>
            <w:tcW w:w="0" w:type="auto"/>
            <w:gridSpan w:val="3"/>
            <w:shd w:val="clear" w:color="auto" w:fill="auto"/>
          </w:tcPr>
          <w:p w14:paraId="5EA22138" w14:textId="77777777" w:rsidR="003C66EB" w:rsidRDefault="003C66EB">
            <w:pPr>
              <w:rPr>
                <w:rFonts w:ascii="宋体"/>
                <w:vanish/>
              </w:rPr>
            </w:pPr>
          </w:p>
        </w:tc>
        <w:tc>
          <w:tcPr>
            <w:tcW w:w="0" w:type="auto"/>
            <w:gridSpan w:val="3"/>
            <w:shd w:val="clear" w:color="auto" w:fill="auto"/>
          </w:tcPr>
          <w:p w14:paraId="5EA22139" w14:textId="77777777" w:rsidR="003C66EB" w:rsidRDefault="003C66EB">
            <w:pPr>
              <w:rPr>
                <w:rFonts w:ascii="宋体"/>
                <w:vanish/>
              </w:rPr>
            </w:pPr>
          </w:p>
        </w:tc>
        <w:tc>
          <w:tcPr>
            <w:tcW w:w="0" w:type="auto"/>
            <w:gridSpan w:val="3"/>
            <w:shd w:val="clear" w:color="auto" w:fill="auto"/>
          </w:tcPr>
          <w:p w14:paraId="5EA2213A" w14:textId="77777777" w:rsidR="003C66EB" w:rsidRDefault="003C66EB">
            <w:pPr>
              <w:rPr>
                <w:rFonts w:ascii="宋体"/>
                <w:vanish/>
              </w:rPr>
            </w:pPr>
          </w:p>
        </w:tc>
        <w:tc>
          <w:tcPr>
            <w:tcW w:w="0" w:type="auto"/>
            <w:gridSpan w:val="3"/>
            <w:shd w:val="clear" w:color="auto" w:fill="auto"/>
          </w:tcPr>
          <w:p w14:paraId="5EA2213B" w14:textId="77777777" w:rsidR="003C66EB" w:rsidRDefault="003C66EB">
            <w:pPr>
              <w:rPr>
                <w:rFonts w:ascii="宋体"/>
                <w:vanish/>
              </w:rPr>
            </w:pPr>
          </w:p>
        </w:tc>
        <w:tc>
          <w:tcPr>
            <w:tcW w:w="0" w:type="auto"/>
            <w:gridSpan w:val="3"/>
            <w:shd w:val="clear" w:color="auto" w:fill="auto"/>
          </w:tcPr>
          <w:p w14:paraId="5EA2213C" w14:textId="77777777" w:rsidR="003C66EB" w:rsidRDefault="003C66EB">
            <w:pPr>
              <w:rPr>
                <w:rFonts w:ascii="宋体"/>
                <w:vanish/>
              </w:rPr>
            </w:pPr>
          </w:p>
        </w:tc>
        <w:tc>
          <w:tcPr>
            <w:tcW w:w="0" w:type="auto"/>
            <w:gridSpan w:val="3"/>
            <w:shd w:val="clear" w:color="auto" w:fill="auto"/>
          </w:tcPr>
          <w:p w14:paraId="5EA2213D" w14:textId="77777777" w:rsidR="003C66EB" w:rsidRDefault="003C66EB">
            <w:pPr>
              <w:rPr>
                <w:rFonts w:ascii="宋体"/>
                <w:vanish/>
              </w:rPr>
            </w:pPr>
          </w:p>
        </w:tc>
        <w:tc>
          <w:tcPr>
            <w:tcW w:w="0" w:type="auto"/>
            <w:gridSpan w:val="3"/>
            <w:shd w:val="clear" w:color="auto" w:fill="auto"/>
          </w:tcPr>
          <w:p w14:paraId="5EA2213E" w14:textId="77777777" w:rsidR="003C66EB" w:rsidRDefault="003C66EB">
            <w:pPr>
              <w:rPr>
                <w:rFonts w:ascii="宋体"/>
                <w:vanish/>
              </w:rPr>
            </w:pPr>
          </w:p>
        </w:tc>
        <w:tc>
          <w:tcPr>
            <w:tcW w:w="0" w:type="auto"/>
            <w:gridSpan w:val="3"/>
            <w:shd w:val="clear" w:color="auto" w:fill="auto"/>
          </w:tcPr>
          <w:p w14:paraId="5EA2213F" w14:textId="77777777" w:rsidR="003C66EB" w:rsidRDefault="003C66EB">
            <w:pPr>
              <w:rPr>
                <w:rFonts w:ascii="宋体"/>
                <w:vanish/>
              </w:rPr>
            </w:pPr>
          </w:p>
        </w:tc>
        <w:tc>
          <w:tcPr>
            <w:tcW w:w="0" w:type="auto"/>
            <w:gridSpan w:val="3"/>
            <w:shd w:val="clear" w:color="auto" w:fill="auto"/>
          </w:tcPr>
          <w:p w14:paraId="5EA22140" w14:textId="77777777" w:rsidR="003C66EB" w:rsidRDefault="003C66EB">
            <w:pPr>
              <w:rPr>
                <w:rFonts w:ascii="宋体"/>
                <w:vanish/>
              </w:rPr>
            </w:pPr>
          </w:p>
        </w:tc>
        <w:tc>
          <w:tcPr>
            <w:tcW w:w="0" w:type="auto"/>
            <w:gridSpan w:val="3"/>
            <w:shd w:val="clear" w:color="auto" w:fill="auto"/>
          </w:tcPr>
          <w:p w14:paraId="5EA22141" w14:textId="77777777" w:rsidR="003C66EB" w:rsidRDefault="003C66EB">
            <w:pPr>
              <w:rPr>
                <w:rFonts w:ascii="宋体"/>
                <w:vanish/>
              </w:rPr>
            </w:pPr>
          </w:p>
        </w:tc>
        <w:tc>
          <w:tcPr>
            <w:tcW w:w="0" w:type="auto"/>
            <w:gridSpan w:val="3"/>
            <w:shd w:val="clear" w:color="auto" w:fill="auto"/>
          </w:tcPr>
          <w:p w14:paraId="5EA22142" w14:textId="77777777" w:rsidR="003C66EB" w:rsidRDefault="003C66EB">
            <w:pPr>
              <w:rPr>
                <w:rFonts w:ascii="宋体"/>
                <w:vanish/>
              </w:rPr>
            </w:pPr>
          </w:p>
        </w:tc>
        <w:tc>
          <w:tcPr>
            <w:tcW w:w="0" w:type="auto"/>
            <w:gridSpan w:val="3"/>
            <w:shd w:val="clear" w:color="auto" w:fill="auto"/>
          </w:tcPr>
          <w:p w14:paraId="5EA22143" w14:textId="77777777" w:rsidR="003C66EB" w:rsidRDefault="003C66EB">
            <w:pPr>
              <w:rPr>
                <w:rFonts w:ascii="宋体"/>
                <w:vanish/>
              </w:rPr>
            </w:pPr>
          </w:p>
        </w:tc>
        <w:tc>
          <w:tcPr>
            <w:tcW w:w="0" w:type="auto"/>
            <w:gridSpan w:val="3"/>
            <w:shd w:val="clear" w:color="auto" w:fill="auto"/>
          </w:tcPr>
          <w:p w14:paraId="5EA22144" w14:textId="77777777" w:rsidR="003C66EB" w:rsidRDefault="003C66EB">
            <w:pPr>
              <w:rPr>
                <w:rFonts w:ascii="宋体"/>
                <w:vanish/>
              </w:rPr>
            </w:pPr>
          </w:p>
        </w:tc>
        <w:tc>
          <w:tcPr>
            <w:tcW w:w="0" w:type="auto"/>
            <w:gridSpan w:val="3"/>
            <w:shd w:val="clear" w:color="auto" w:fill="auto"/>
          </w:tcPr>
          <w:p w14:paraId="5EA22145" w14:textId="77777777" w:rsidR="003C66EB" w:rsidRDefault="003C66EB">
            <w:pPr>
              <w:rPr>
                <w:rFonts w:ascii="宋体"/>
                <w:vanish/>
              </w:rPr>
            </w:pPr>
          </w:p>
        </w:tc>
      </w:tr>
      <w:tr w:rsidR="003C66EB" w14:paraId="5EA22159" w14:textId="77777777">
        <w:trPr>
          <w:hidden/>
        </w:trPr>
        <w:tc>
          <w:tcPr>
            <w:tcW w:w="0" w:type="auto"/>
            <w:gridSpan w:val="3"/>
            <w:shd w:val="clear" w:color="auto" w:fill="auto"/>
          </w:tcPr>
          <w:p w14:paraId="5EA22147" w14:textId="77777777" w:rsidR="003C66EB" w:rsidRDefault="003C66EB">
            <w:pPr>
              <w:rPr>
                <w:rFonts w:ascii="宋体"/>
                <w:vanish/>
              </w:rPr>
            </w:pPr>
          </w:p>
        </w:tc>
        <w:tc>
          <w:tcPr>
            <w:tcW w:w="0" w:type="auto"/>
            <w:gridSpan w:val="3"/>
            <w:shd w:val="clear" w:color="auto" w:fill="auto"/>
          </w:tcPr>
          <w:p w14:paraId="5EA22148" w14:textId="77777777" w:rsidR="003C66EB" w:rsidRDefault="003C66EB">
            <w:pPr>
              <w:rPr>
                <w:rFonts w:ascii="宋体"/>
                <w:vanish/>
              </w:rPr>
            </w:pPr>
          </w:p>
        </w:tc>
        <w:tc>
          <w:tcPr>
            <w:tcW w:w="0" w:type="auto"/>
            <w:gridSpan w:val="3"/>
            <w:shd w:val="clear" w:color="auto" w:fill="auto"/>
          </w:tcPr>
          <w:p w14:paraId="5EA22149" w14:textId="77777777" w:rsidR="003C66EB" w:rsidRDefault="003C66EB">
            <w:pPr>
              <w:rPr>
                <w:rFonts w:ascii="宋体"/>
                <w:vanish/>
              </w:rPr>
            </w:pPr>
          </w:p>
        </w:tc>
        <w:tc>
          <w:tcPr>
            <w:tcW w:w="0" w:type="auto"/>
            <w:gridSpan w:val="3"/>
            <w:shd w:val="clear" w:color="auto" w:fill="auto"/>
          </w:tcPr>
          <w:p w14:paraId="5EA2214A" w14:textId="77777777" w:rsidR="003C66EB" w:rsidRDefault="003C66EB">
            <w:pPr>
              <w:rPr>
                <w:rFonts w:ascii="宋体"/>
                <w:vanish/>
              </w:rPr>
            </w:pPr>
          </w:p>
        </w:tc>
        <w:tc>
          <w:tcPr>
            <w:tcW w:w="0" w:type="auto"/>
            <w:gridSpan w:val="3"/>
            <w:shd w:val="clear" w:color="auto" w:fill="auto"/>
          </w:tcPr>
          <w:p w14:paraId="5EA2214B" w14:textId="77777777" w:rsidR="003C66EB" w:rsidRDefault="003C66EB">
            <w:pPr>
              <w:rPr>
                <w:rFonts w:ascii="宋体"/>
                <w:vanish/>
              </w:rPr>
            </w:pPr>
          </w:p>
        </w:tc>
        <w:tc>
          <w:tcPr>
            <w:tcW w:w="0" w:type="auto"/>
            <w:gridSpan w:val="3"/>
            <w:shd w:val="clear" w:color="auto" w:fill="auto"/>
          </w:tcPr>
          <w:p w14:paraId="5EA2214C" w14:textId="77777777" w:rsidR="003C66EB" w:rsidRDefault="003C66EB">
            <w:pPr>
              <w:rPr>
                <w:rFonts w:ascii="宋体"/>
                <w:vanish/>
              </w:rPr>
            </w:pPr>
          </w:p>
        </w:tc>
        <w:tc>
          <w:tcPr>
            <w:tcW w:w="0" w:type="auto"/>
            <w:gridSpan w:val="3"/>
            <w:shd w:val="clear" w:color="auto" w:fill="auto"/>
          </w:tcPr>
          <w:p w14:paraId="5EA2214D" w14:textId="77777777" w:rsidR="003C66EB" w:rsidRDefault="003C66EB">
            <w:pPr>
              <w:rPr>
                <w:rFonts w:ascii="宋体"/>
                <w:vanish/>
              </w:rPr>
            </w:pPr>
          </w:p>
        </w:tc>
        <w:tc>
          <w:tcPr>
            <w:tcW w:w="0" w:type="auto"/>
            <w:gridSpan w:val="3"/>
            <w:shd w:val="clear" w:color="auto" w:fill="auto"/>
          </w:tcPr>
          <w:p w14:paraId="5EA2214E" w14:textId="77777777" w:rsidR="003C66EB" w:rsidRDefault="003C66EB">
            <w:pPr>
              <w:rPr>
                <w:rFonts w:ascii="宋体"/>
                <w:vanish/>
              </w:rPr>
            </w:pPr>
          </w:p>
        </w:tc>
        <w:tc>
          <w:tcPr>
            <w:tcW w:w="0" w:type="auto"/>
            <w:gridSpan w:val="3"/>
            <w:shd w:val="clear" w:color="auto" w:fill="auto"/>
          </w:tcPr>
          <w:p w14:paraId="5EA2214F" w14:textId="77777777" w:rsidR="003C66EB" w:rsidRDefault="003C66EB">
            <w:pPr>
              <w:rPr>
                <w:rFonts w:ascii="宋体"/>
                <w:vanish/>
              </w:rPr>
            </w:pPr>
          </w:p>
        </w:tc>
        <w:tc>
          <w:tcPr>
            <w:tcW w:w="0" w:type="auto"/>
            <w:gridSpan w:val="3"/>
            <w:shd w:val="clear" w:color="auto" w:fill="auto"/>
          </w:tcPr>
          <w:p w14:paraId="5EA22150" w14:textId="77777777" w:rsidR="003C66EB" w:rsidRDefault="003C66EB">
            <w:pPr>
              <w:rPr>
                <w:rFonts w:ascii="宋体"/>
                <w:vanish/>
              </w:rPr>
            </w:pPr>
          </w:p>
        </w:tc>
        <w:tc>
          <w:tcPr>
            <w:tcW w:w="0" w:type="auto"/>
            <w:gridSpan w:val="3"/>
            <w:shd w:val="clear" w:color="auto" w:fill="auto"/>
          </w:tcPr>
          <w:p w14:paraId="5EA22151" w14:textId="77777777" w:rsidR="003C66EB" w:rsidRDefault="003C66EB">
            <w:pPr>
              <w:rPr>
                <w:rFonts w:ascii="宋体"/>
                <w:vanish/>
              </w:rPr>
            </w:pPr>
          </w:p>
        </w:tc>
        <w:tc>
          <w:tcPr>
            <w:tcW w:w="0" w:type="auto"/>
            <w:gridSpan w:val="3"/>
            <w:shd w:val="clear" w:color="auto" w:fill="auto"/>
          </w:tcPr>
          <w:p w14:paraId="5EA22152" w14:textId="77777777" w:rsidR="003C66EB" w:rsidRDefault="003C66EB">
            <w:pPr>
              <w:rPr>
                <w:rFonts w:ascii="宋体"/>
                <w:vanish/>
              </w:rPr>
            </w:pPr>
          </w:p>
        </w:tc>
        <w:tc>
          <w:tcPr>
            <w:tcW w:w="0" w:type="auto"/>
            <w:gridSpan w:val="3"/>
            <w:shd w:val="clear" w:color="auto" w:fill="auto"/>
          </w:tcPr>
          <w:p w14:paraId="5EA22153" w14:textId="77777777" w:rsidR="003C66EB" w:rsidRDefault="003C66EB">
            <w:pPr>
              <w:rPr>
                <w:rFonts w:ascii="宋体"/>
                <w:vanish/>
              </w:rPr>
            </w:pPr>
          </w:p>
        </w:tc>
        <w:tc>
          <w:tcPr>
            <w:tcW w:w="0" w:type="auto"/>
            <w:gridSpan w:val="3"/>
            <w:shd w:val="clear" w:color="auto" w:fill="auto"/>
          </w:tcPr>
          <w:p w14:paraId="5EA22154" w14:textId="77777777" w:rsidR="003C66EB" w:rsidRDefault="003C66EB">
            <w:pPr>
              <w:rPr>
                <w:rFonts w:ascii="宋体"/>
                <w:vanish/>
              </w:rPr>
            </w:pPr>
          </w:p>
        </w:tc>
        <w:tc>
          <w:tcPr>
            <w:tcW w:w="0" w:type="auto"/>
            <w:gridSpan w:val="3"/>
            <w:shd w:val="clear" w:color="auto" w:fill="auto"/>
          </w:tcPr>
          <w:p w14:paraId="5EA22155" w14:textId="77777777" w:rsidR="003C66EB" w:rsidRDefault="003C66EB">
            <w:pPr>
              <w:rPr>
                <w:rFonts w:ascii="宋体"/>
                <w:vanish/>
              </w:rPr>
            </w:pPr>
          </w:p>
        </w:tc>
        <w:tc>
          <w:tcPr>
            <w:tcW w:w="0" w:type="auto"/>
            <w:gridSpan w:val="3"/>
            <w:shd w:val="clear" w:color="auto" w:fill="auto"/>
          </w:tcPr>
          <w:p w14:paraId="5EA22156" w14:textId="77777777" w:rsidR="003C66EB" w:rsidRDefault="003C66EB">
            <w:pPr>
              <w:rPr>
                <w:rFonts w:ascii="宋体"/>
                <w:vanish/>
              </w:rPr>
            </w:pPr>
          </w:p>
        </w:tc>
        <w:tc>
          <w:tcPr>
            <w:tcW w:w="0" w:type="auto"/>
            <w:gridSpan w:val="3"/>
            <w:shd w:val="clear" w:color="auto" w:fill="auto"/>
          </w:tcPr>
          <w:p w14:paraId="5EA22157" w14:textId="77777777" w:rsidR="003C66EB" w:rsidRDefault="003C66EB">
            <w:pPr>
              <w:rPr>
                <w:rFonts w:ascii="宋体"/>
                <w:vanish/>
              </w:rPr>
            </w:pPr>
          </w:p>
        </w:tc>
        <w:tc>
          <w:tcPr>
            <w:tcW w:w="0" w:type="auto"/>
            <w:gridSpan w:val="3"/>
            <w:shd w:val="clear" w:color="auto" w:fill="auto"/>
          </w:tcPr>
          <w:p w14:paraId="5EA22158" w14:textId="77777777" w:rsidR="003C66EB" w:rsidRDefault="003C66EB">
            <w:pPr>
              <w:rPr>
                <w:rFonts w:ascii="宋体"/>
                <w:vanish/>
              </w:rPr>
            </w:pPr>
          </w:p>
        </w:tc>
      </w:tr>
      <w:tr w:rsidR="003C66EB" w14:paraId="5EA2216C" w14:textId="77777777">
        <w:trPr>
          <w:hidden/>
        </w:trPr>
        <w:tc>
          <w:tcPr>
            <w:tcW w:w="0" w:type="auto"/>
            <w:gridSpan w:val="3"/>
            <w:shd w:val="clear" w:color="auto" w:fill="auto"/>
          </w:tcPr>
          <w:p w14:paraId="5EA2215A" w14:textId="77777777" w:rsidR="003C66EB" w:rsidRDefault="003C66EB">
            <w:pPr>
              <w:rPr>
                <w:rFonts w:ascii="宋体"/>
                <w:vanish/>
              </w:rPr>
            </w:pPr>
          </w:p>
        </w:tc>
        <w:tc>
          <w:tcPr>
            <w:tcW w:w="0" w:type="auto"/>
            <w:gridSpan w:val="3"/>
            <w:shd w:val="clear" w:color="auto" w:fill="auto"/>
          </w:tcPr>
          <w:p w14:paraId="5EA2215B" w14:textId="77777777" w:rsidR="003C66EB" w:rsidRDefault="003C66EB">
            <w:pPr>
              <w:rPr>
                <w:rFonts w:ascii="宋体"/>
                <w:vanish/>
              </w:rPr>
            </w:pPr>
          </w:p>
        </w:tc>
        <w:tc>
          <w:tcPr>
            <w:tcW w:w="0" w:type="auto"/>
            <w:gridSpan w:val="3"/>
            <w:shd w:val="clear" w:color="auto" w:fill="auto"/>
          </w:tcPr>
          <w:p w14:paraId="5EA2215C" w14:textId="77777777" w:rsidR="003C66EB" w:rsidRDefault="003C66EB">
            <w:pPr>
              <w:rPr>
                <w:rFonts w:ascii="宋体"/>
                <w:vanish/>
              </w:rPr>
            </w:pPr>
          </w:p>
        </w:tc>
        <w:tc>
          <w:tcPr>
            <w:tcW w:w="0" w:type="auto"/>
            <w:gridSpan w:val="3"/>
            <w:shd w:val="clear" w:color="auto" w:fill="auto"/>
          </w:tcPr>
          <w:p w14:paraId="5EA2215D" w14:textId="77777777" w:rsidR="003C66EB" w:rsidRDefault="003C66EB">
            <w:pPr>
              <w:rPr>
                <w:rFonts w:ascii="宋体"/>
                <w:vanish/>
              </w:rPr>
            </w:pPr>
          </w:p>
        </w:tc>
        <w:tc>
          <w:tcPr>
            <w:tcW w:w="0" w:type="auto"/>
            <w:gridSpan w:val="3"/>
            <w:shd w:val="clear" w:color="auto" w:fill="auto"/>
          </w:tcPr>
          <w:p w14:paraId="5EA2215E" w14:textId="77777777" w:rsidR="003C66EB" w:rsidRDefault="003C66EB">
            <w:pPr>
              <w:rPr>
                <w:rFonts w:ascii="宋体"/>
                <w:vanish/>
              </w:rPr>
            </w:pPr>
          </w:p>
        </w:tc>
        <w:tc>
          <w:tcPr>
            <w:tcW w:w="0" w:type="auto"/>
            <w:gridSpan w:val="3"/>
            <w:shd w:val="clear" w:color="auto" w:fill="auto"/>
          </w:tcPr>
          <w:p w14:paraId="5EA2215F" w14:textId="77777777" w:rsidR="003C66EB" w:rsidRDefault="003C66EB">
            <w:pPr>
              <w:rPr>
                <w:rFonts w:ascii="宋体"/>
                <w:vanish/>
              </w:rPr>
            </w:pPr>
          </w:p>
        </w:tc>
        <w:tc>
          <w:tcPr>
            <w:tcW w:w="0" w:type="auto"/>
            <w:gridSpan w:val="3"/>
            <w:shd w:val="clear" w:color="auto" w:fill="auto"/>
          </w:tcPr>
          <w:p w14:paraId="5EA22160" w14:textId="77777777" w:rsidR="003C66EB" w:rsidRDefault="003C66EB">
            <w:pPr>
              <w:rPr>
                <w:rFonts w:ascii="宋体"/>
                <w:vanish/>
              </w:rPr>
            </w:pPr>
          </w:p>
        </w:tc>
        <w:tc>
          <w:tcPr>
            <w:tcW w:w="0" w:type="auto"/>
            <w:gridSpan w:val="3"/>
            <w:shd w:val="clear" w:color="auto" w:fill="auto"/>
          </w:tcPr>
          <w:p w14:paraId="5EA22161" w14:textId="77777777" w:rsidR="003C66EB" w:rsidRDefault="003C66EB">
            <w:pPr>
              <w:rPr>
                <w:rFonts w:ascii="宋体"/>
                <w:vanish/>
              </w:rPr>
            </w:pPr>
          </w:p>
        </w:tc>
        <w:tc>
          <w:tcPr>
            <w:tcW w:w="0" w:type="auto"/>
            <w:gridSpan w:val="3"/>
            <w:shd w:val="clear" w:color="auto" w:fill="auto"/>
          </w:tcPr>
          <w:p w14:paraId="5EA22162" w14:textId="77777777" w:rsidR="003C66EB" w:rsidRDefault="003C66EB">
            <w:pPr>
              <w:rPr>
                <w:rFonts w:ascii="宋体"/>
                <w:vanish/>
              </w:rPr>
            </w:pPr>
          </w:p>
        </w:tc>
        <w:tc>
          <w:tcPr>
            <w:tcW w:w="0" w:type="auto"/>
            <w:gridSpan w:val="3"/>
            <w:shd w:val="clear" w:color="auto" w:fill="auto"/>
          </w:tcPr>
          <w:p w14:paraId="5EA22163" w14:textId="77777777" w:rsidR="003C66EB" w:rsidRDefault="003C66EB">
            <w:pPr>
              <w:rPr>
                <w:rFonts w:ascii="宋体"/>
                <w:vanish/>
              </w:rPr>
            </w:pPr>
          </w:p>
        </w:tc>
        <w:tc>
          <w:tcPr>
            <w:tcW w:w="0" w:type="auto"/>
            <w:gridSpan w:val="3"/>
            <w:shd w:val="clear" w:color="auto" w:fill="auto"/>
          </w:tcPr>
          <w:p w14:paraId="5EA22164" w14:textId="77777777" w:rsidR="003C66EB" w:rsidRDefault="003C66EB">
            <w:pPr>
              <w:rPr>
                <w:rFonts w:ascii="宋体"/>
                <w:vanish/>
              </w:rPr>
            </w:pPr>
          </w:p>
        </w:tc>
        <w:tc>
          <w:tcPr>
            <w:tcW w:w="0" w:type="auto"/>
            <w:gridSpan w:val="3"/>
            <w:shd w:val="clear" w:color="auto" w:fill="auto"/>
          </w:tcPr>
          <w:p w14:paraId="5EA22165" w14:textId="77777777" w:rsidR="003C66EB" w:rsidRDefault="003C66EB">
            <w:pPr>
              <w:rPr>
                <w:rFonts w:ascii="宋体"/>
                <w:vanish/>
              </w:rPr>
            </w:pPr>
          </w:p>
        </w:tc>
        <w:tc>
          <w:tcPr>
            <w:tcW w:w="0" w:type="auto"/>
            <w:gridSpan w:val="3"/>
            <w:shd w:val="clear" w:color="auto" w:fill="auto"/>
          </w:tcPr>
          <w:p w14:paraId="5EA22166" w14:textId="77777777" w:rsidR="003C66EB" w:rsidRDefault="003C66EB">
            <w:pPr>
              <w:rPr>
                <w:rFonts w:ascii="宋体"/>
                <w:vanish/>
              </w:rPr>
            </w:pPr>
          </w:p>
        </w:tc>
        <w:tc>
          <w:tcPr>
            <w:tcW w:w="0" w:type="auto"/>
            <w:gridSpan w:val="3"/>
            <w:shd w:val="clear" w:color="auto" w:fill="auto"/>
          </w:tcPr>
          <w:p w14:paraId="5EA22167" w14:textId="77777777" w:rsidR="003C66EB" w:rsidRDefault="003C66EB">
            <w:pPr>
              <w:rPr>
                <w:rFonts w:ascii="宋体"/>
                <w:vanish/>
              </w:rPr>
            </w:pPr>
          </w:p>
        </w:tc>
        <w:tc>
          <w:tcPr>
            <w:tcW w:w="0" w:type="auto"/>
            <w:gridSpan w:val="3"/>
            <w:shd w:val="clear" w:color="auto" w:fill="auto"/>
          </w:tcPr>
          <w:p w14:paraId="5EA22168" w14:textId="77777777" w:rsidR="003C66EB" w:rsidRDefault="003C66EB">
            <w:pPr>
              <w:rPr>
                <w:rFonts w:ascii="宋体"/>
                <w:vanish/>
              </w:rPr>
            </w:pPr>
          </w:p>
        </w:tc>
        <w:tc>
          <w:tcPr>
            <w:tcW w:w="0" w:type="auto"/>
            <w:gridSpan w:val="3"/>
            <w:shd w:val="clear" w:color="auto" w:fill="auto"/>
          </w:tcPr>
          <w:p w14:paraId="5EA22169" w14:textId="77777777" w:rsidR="003C66EB" w:rsidRDefault="003C66EB">
            <w:pPr>
              <w:rPr>
                <w:rFonts w:ascii="宋体"/>
                <w:vanish/>
              </w:rPr>
            </w:pPr>
          </w:p>
        </w:tc>
        <w:tc>
          <w:tcPr>
            <w:tcW w:w="0" w:type="auto"/>
            <w:gridSpan w:val="3"/>
            <w:shd w:val="clear" w:color="auto" w:fill="auto"/>
          </w:tcPr>
          <w:p w14:paraId="5EA2216A" w14:textId="77777777" w:rsidR="003C66EB" w:rsidRDefault="003C66EB">
            <w:pPr>
              <w:rPr>
                <w:rFonts w:ascii="宋体"/>
                <w:vanish/>
              </w:rPr>
            </w:pPr>
          </w:p>
        </w:tc>
        <w:tc>
          <w:tcPr>
            <w:tcW w:w="0" w:type="auto"/>
            <w:gridSpan w:val="3"/>
            <w:shd w:val="clear" w:color="auto" w:fill="auto"/>
          </w:tcPr>
          <w:p w14:paraId="5EA2216B" w14:textId="77777777" w:rsidR="003C66EB" w:rsidRDefault="003C66EB">
            <w:pPr>
              <w:rPr>
                <w:rFonts w:ascii="宋体"/>
                <w:vanish/>
              </w:rPr>
            </w:pPr>
          </w:p>
        </w:tc>
      </w:tr>
      <w:tr w:rsidR="003C66EB" w14:paraId="5EA2217F" w14:textId="77777777">
        <w:trPr>
          <w:hidden/>
        </w:trPr>
        <w:tc>
          <w:tcPr>
            <w:tcW w:w="0" w:type="auto"/>
            <w:gridSpan w:val="3"/>
            <w:shd w:val="clear" w:color="auto" w:fill="auto"/>
          </w:tcPr>
          <w:p w14:paraId="5EA2216D" w14:textId="77777777" w:rsidR="003C66EB" w:rsidRDefault="003C66EB">
            <w:pPr>
              <w:rPr>
                <w:rFonts w:ascii="宋体"/>
                <w:vanish/>
              </w:rPr>
            </w:pPr>
          </w:p>
        </w:tc>
        <w:tc>
          <w:tcPr>
            <w:tcW w:w="0" w:type="auto"/>
            <w:gridSpan w:val="3"/>
            <w:shd w:val="clear" w:color="auto" w:fill="auto"/>
          </w:tcPr>
          <w:p w14:paraId="5EA2216E" w14:textId="77777777" w:rsidR="003C66EB" w:rsidRDefault="003C66EB">
            <w:pPr>
              <w:rPr>
                <w:rFonts w:ascii="宋体"/>
                <w:vanish/>
              </w:rPr>
            </w:pPr>
          </w:p>
        </w:tc>
        <w:tc>
          <w:tcPr>
            <w:tcW w:w="0" w:type="auto"/>
            <w:gridSpan w:val="3"/>
            <w:shd w:val="clear" w:color="auto" w:fill="auto"/>
          </w:tcPr>
          <w:p w14:paraId="5EA2216F" w14:textId="77777777" w:rsidR="003C66EB" w:rsidRDefault="003C66EB">
            <w:pPr>
              <w:rPr>
                <w:rFonts w:ascii="宋体"/>
                <w:vanish/>
              </w:rPr>
            </w:pPr>
          </w:p>
        </w:tc>
        <w:tc>
          <w:tcPr>
            <w:tcW w:w="0" w:type="auto"/>
            <w:gridSpan w:val="3"/>
            <w:shd w:val="clear" w:color="auto" w:fill="auto"/>
          </w:tcPr>
          <w:p w14:paraId="5EA22170" w14:textId="77777777" w:rsidR="003C66EB" w:rsidRDefault="003C66EB">
            <w:pPr>
              <w:rPr>
                <w:rFonts w:ascii="宋体"/>
                <w:vanish/>
              </w:rPr>
            </w:pPr>
          </w:p>
        </w:tc>
        <w:tc>
          <w:tcPr>
            <w:tcW w:w="0" w:type="auto"/>
            <w:gridSpan w:val="3"/>
            <w:shd w:val="clear" w:color="auto" w:fill="auto"/>
          </w:tcPr>
          <w:p w14:paraId="5EA22171" w14:textId="77777777" w:rsidR="003C66EB" w:rsidRDefault="003C66EB">
            <w:pPr>
              <w:rPr>
                <w:rFonts w:ascii="宋体"/>
                <w:vanish/>
              </w:rPr>
            </w:pPr>
          </w:p>
        </w:tc>
        <w:tc>
          <w:tcPr>
            <w:tcW w:w="0" w:type="auto"/>
            <w:gridSpan w:val="3"/>
            <w:shd w:val="clear" w:color="auto" w:fill="auto"/>
          </w:tcPr>
          <w:p w14:paraId="5EA22172" w14:textId="77777777" w:rsidR="003C66EB" w:rsidRDefault="003C66EB">
            <w:pPr>
              <w:rPr>
                <w:rFonts w:ascii="宋体"/>
                <w:vanish/>
              </w:rPr>
            </w:pPr>
          </w:p>
        </w:tc>
        <w:tc>
          <w:tcPr>
            <w:tcW w:w="0" w:type="auto"/>
            <w:gridSpan w:val="3"/>
            <w:shd w:val="clear" w:color="auto" w:fill="auto"/>
          </w:tcPr>
          <w:p w14:paraId="5EA22173" w14:textId="77777777" w:rsidR="003C66EB" w:rsidRDefault="003C66EB">
            <w:pPr>
              <w:rPr>
                <w:rFonts w:ascii="宋体"/>
                <w:vanish/>
              </w:rPr>
            </w:pPr>
          </w:p>
        </w:tc>
        <w:tc>
          <w:tcPr>
            <w:tcW w:w="0" w:type="auto"/>
            <w:gridSpan w:val="3"/>
            <w:shd w:val="clear" w:color="auto" w:fill="auto"/>
          </w:tcPr>
          <w:p w14:paraId="5EA22174" w14:textId="77777777" w:rsidR="003C66EB" w:rsidRDefault="003C66EB">
            <w:pPr>
              <w:rPr>
                <w:rFonts w:ascii="宋体"/>
                <w:vanish/>
              </w:rPr>
            </w:pPr>
          </w:p>
        </w:tc>
        <w:tc>
          <w:tcPr>
            <w:tcW w:w="0" w:type="auto"/>
            <w:gridSpan w:val="3"/>
            <w:shd w:val="clear" w:color="auto" w:fill="auto"/>
          </w:tcPr>
          <w:p w14:paraId="5EA22175" w14:textId="77777777" w:rsidR="003C66EB" w:rsidRDefault="003C66EB">
            <w:pPr>
              <w:rPr>
                <w:rFonts w:ascii="宋体"/>
                <w:vanish/>
              </w:rPr>
            </w:pPr>
          </w:p>
        </w:tc>
        <w:tc>
          <w:tcPr>
            <w:tcW w:w="0" w:type="auto"/>
            <w:gridSpan w:val="3"/>
            <w:shd w:val="clear" w:color="auto" w:fill="auto"/>
          </w:tcPr>
          <w:p w14:paraId="5EA22176" w14:textId="77777777" w:rsidR="003C66EB" w:rsidRDefault="003C66EB">
            <w:pPr>
              <w:rPr>
                <w:rFonts w:ascii="宋体"/>
                <w:vanish/>
              </w:rPr>
            </w:pPr>
          </w:p>
        </w:tc>
        <w:tc>
          <w:tcPr>
            <w:tcW w:w="0" w:type="auto"/>
            <w:gridSpan w:val="3"/>
            <w:shd w:val="clear" w:color="auto" w:fill="auto"/>
          </w:tcPr>
          <w:p w14:paraId="5EA22177" w14:textId="77777777" w:rsidR="003C66EB" w:rsidRDefault="003C66EB">
            <w:pPr>
              <w:rPr>
                <w:rFonts w:ascii="宋体"/>
                <w:vanish/>
              </w:rPr>
            </w:pPr>
          </w:p>
        </w:tc>
        <w:tc>
          <w:tcPr>
            <w:tcW w:w="0" w:type="auto"/>
            <w:gridSpan w:val="3"/>
            <w:shd w:val="clear" w:color="auto" w:fill="auto"/>
          </w:tcPr>
          <w:p w14:paraId="5EA22178" w14:textId="77777777" w:rsidR="003C66EB" w:rsidRDefault="003C66EB">
            <w:pPr>
              <w:rPr>
                <w:rFonts w:ascii="宋体"/>
                <w:vanish/>
              </w:rPr>
            </w:pPr>
          </w:p>
        </w:tc>
        <w:tc>
          <w:tcPr>
            <w:tcW w:w="0" w:type="auto"/>
            <w:gridSpan w:val="3"/>
            <w:shd w:val="clear" w:color="auto" w:fill="auto"/>
          </w:tcPr>
          <w:p w14:paraId="5EA22179" w14:textId="77777777" w:rsidR="003C66EB" w:rsidRDefault="003C66EB">
            <w:pPr>
              <w:rPr>
                <w:rFonts w:ascii="宋体"/>
                <w:vanish/>
              </w:rPr>
            </w:pPr>
          </w:p>
        </w:tc>
        <w:tc>
          <w:tcPr>
            <w:tcW w:w="0" w:type="auto"/>
            <w:gridSpan w:val="3"/>
            <w:shd w:val="clear" w:color="auto" w:fill="auto"/>
          </w:tcPr>
          <w:p w14:paraId="5EA2217A" w14:textId="77777777" w:rsidR="003C66EB" w:rsidRDefault="003C66EB">
            <w:pPr>
              <w:rPr>
                <w:rFonts w:ascii="宋体"/>
                <w:vanish/>
              </w:rPr>
            </w:pPr>
          </w:p>
        </w:tc>
        <w:tc>
          <w:tcPr>
            <w:tcW w:w="0" w:type="auto"/>
            <w:gridSpan w:val="3"/>
            <w:shd w:val="clear" w:color="auto" w:fill="auto"/>
          </w:tcPr>
          <w:p w14:paraId="5EA2217B" w14:textId="77777777" w:rsidR="003C66EB" w:rsidRDefault="003C66EB">
            <w:pPr>
              <w:rPr>
                <w:rFonts w:ascii="宋体"/>
                <w:vanish/>
              </w:rPr>
            </w:pPr>
          </w:p>
        </w:tc>
        <w:tc>
          <w:tcPr>
            <w:tcW w:w="0" w:type="auto"/>
            <w:gridSpan w:val="3"/>
            <w:shd w:val="clear" w:color="auto" w:fill="auto"/>
          </w:tcPr>
          <w:p w14:paraId="5EA2217C" w14:textId="77777777" w:rsidR="003C66EB" w:rsidRDefault="003C66EB">
            <w:pPr>
              <w:rPr>
                <w:rFonts w:ascii="宋体"/>
                <w:vanish/>
              </w:rPr>
            </w:pPr>
          </w:p>
        </w:tc>
        <w:tc>
          <w:tcPr>
            <w:tcW w:w="0" w:type="auto"/>
            <w:gridSpan w:val="3"/>
            <w:shd w:val="clear" w:color="auto" w:fill="auto"/>
          </w:tcPr>
          <w:p w14:paraId="5EA2217D" w14:textId="77777777" w:rsidR="003C66EB" w:rsidRDefault="003C66EB">
            <w:pPr>
              <w:rPr>
                <w:rFonts w:ascii="宋体"/>
                <w:vanish/>
              </w:rPr>
            </w:pPr>
          </w:p>
        </w:tc>
        <w:tc>
          <w:tcPr>
            <w:tcW w:w="0" w:type="auto"/>
            <w:gridSpan w:val="3"/>
            <w:shd w:val="clear" w:color="auto" w:fill="auto"/>
          </w:tcPr>
          <w:p w14:paraId="5EA2217E" w14:textId="77777777" w:rsidR="003C66EB" w:rsidRDefault="003C66EB">
            <w:pPr>
              <w:rPr>
                <w:rFonts w:ascii="宋体"/>
                <w:vanish/>
              </w:rPr>
            </w:pPr>
          </w:p>
        </w:tc>
      </w:tr>
      <w:tr w:rsidR="003C66EB" w14:paraId="5EA22192" w14:textId="77777777">
        <w:trPr>
          <w:hidden/>
        </w:trPr>
        <w:tc>
          <w:tcPr>
            <w:tcW w:w="0" w:type="auto"/>
            <w:gridSpan w:val="3"/>
            <w:shd w:val="clear" w:color="auto" w:fill="auto"/>
          </w:tcPr>
          <w:p w14:paraId="5EA22180" w14:textId="77777777" w:rsidR="003C66EB" w:rsidRDefault="003C66EB">
            <w:pPr>
              <w:rPr>
                <w:rFonts w:ascii="宋体"/>
                <w:vanish/>
              </w:rPr>
            </w:pPr>
          </w:p>
        </w:tc>
        <w:tc>
          <w:tcPr>
            <w:tcW w:w="0" w:type="auto"/>
            <w:gridSpan w:val="3"/>
            <w:shd w:val="clear" w:color="auto" w:fill="auto"/>
          </w:tcPr>
          <w:p w14:paraId="5EA22181" w14:textId="77777777" w:rsidR="003C66EB" w:rsidRDefault="003C66EB">
            <w:pPr>
              <w:rPr>
                <w:rFonts w:ascii="宋体"/>
                <w:vanish/>
              </w:rPr>
            </w:pPr>
          </w:p>
        </w:tc>
        <w:tc>
          <w:tcPr>
            <w:tcW w:w="0" w:type="auto"/>
            <w:gridSpan w:val="3"/>
            <w:shd w:val="clear" w:color="auto" w:fill="auto"/>
          </w:tcPr>
          <w:p w14:paraId="5EA22182" w14:textId="77777777" w:rsidR="003C66EB" w:rsidRDefault="003C66EB">
            <w:pPr>
              <w:rPr>
                <w:rFonts w:ascii="宋体"/>
                <w:vanish/>
              </w:rPr>
            </w:pPr>
          </w:p>
        </w:tc>
        <w:tc>
          <w:tcPr>
            <w:tcW w:w="0" w:type="auto"/>
            <w:gridSpan w:val="3"/>
            <w:shd w:val="clear" w:color="auto" w:fill="auto"/>
          </w:tcPr>
          <w:p w14:paraId="5EA22183" w14:textId="77777777" w:rsidR="003C66EB" w:rsidRDefault="003C66EB">
            <w:pPr>
              <w:rPr>
                <w:rFonts w:ascii="宋体"/>
                <w:vanish/>
              </w:rPr>
            </w:pPr>
          </w:p>
        </w:tc>
        <w:tc>
          <w:tcPr>
            <w:tcW w:w="0" w:type="auto"/>
            <w:gridSpan w:val="3"/>
            <w:shd w:val="clear" w:color="auto" w:fill="auto"/>
          </w:tcPr>
          <w:p w14:paraId="5EA22184" w14:textId="77777777" w:rsidR="003C66EB" w:rsidRDefault="003C66EB">
            <w:pPr>
              <w:rPr>
                <w:rFonts w:ascii="宋体"/>
                <w:vanish/>
              </w:rPr>
            </w:pPr>
          </w:p>
        </w:tc>
        <w:tc>
          <w:tcPr>
            <w:tcW w:w="0" w:type="auto"/>
            <w:gridSpan w:val="3"/>
            <w:shd w:val="clear" w:color="auto" w:fill="auto"/>
          </w:tcPr>
          <w:p w14:paraId="5EA22185" w14:textId="77777777" w:rsidR="003C66EB" w:rsidRDefault="003C66EB">
            <w:pPr>
              <w:rPr>
                <w:rFonts w:ascii="宋体"/>
                <w:vanish/>
              </w:rPr>
            </w:pPr>
          </w:p>
        </w:tc>
        <w:tc>
          <w:tcPr>
            <w:tcW w:w="0" w:type="auto"/>
            <w:gridSpan w:val="3"/>
            <w:shd w:val="clear" w:color="auto" w:fill="auto"/>
          </w:tcPr>
          <w:p w14:paraId="5EA22186" w14:textId="77777777" w:rsidR="003C66EB" w:rsidRDefault="003C66EB">
            <w:pPr>
              <w:rPr>
                <w:rFonts w:ascii="宋体"/>
                <w:vanish/>
              </w:rPr>
            </w:pPr>
          </w:p>
        </w:tc>
        <w:tc>
          <w:tcPr>
            <w:tcW w:w="0" w:type="auto"/>
            <w:gridSpan w:val="3"/>
            <w:shd w:val="clear" w:color="auto" w:fill="auto"/>
          </w:tcPr>
          <w:p w14:paraId="5EA22187" w14:textId="77777777" w:rsidR="003C66EB" w:rsidRDefault="003C66EB">
            <w:pPr>
              <w:rPr>
                <w:rFonts w:ascii="宋体"/>
                <w:vanish/>
              </w:rPr>
            </w:pPr>
          </w:p>
        </w:tc>
        <w:tc>
          <w:tcPr>
            <w:tcW w:w="0" w:type="auto"/>
            <w:gridSpan w:val="3"/>
            <w:shd w:val="clear" w:color="auto" w:fill="auto"/>
          </w:tcPr>
          <w:p w14:paraId="5EA22188" w14:textId="77777777" w:rsidR="003C66EB" w:rsidRDefault="003C66EB">
            <w:pPr>
              <w:rPr>
                <w:rFonts w:ascii="宋体"/>
                <w:vanish/>
              </w:rPr>
            </w:pPr>
          </w:p>
        </w:tc>
        <w:tc>
          <w:tcPr>
            <w:tcW w:w="0" w:type="auto"/>
            <w:gridSpan w:val="3"/>
            <w:shd w:val="clear" w:color="auto" w:fill="auto"/>
          </w:tcPr>
          <w:p w14:paraId="5EA22189" w14:textId="77777777" w:rsidR="003C66EB" w:rsidRDefault="003C66EB">
            <w:pPr>
              <w:rPr>
                <w:rFonts w:ascii="宋体"/>
                <w:vanish/>
              </w:rPr>
            </w:pPr>
          </w:p>
        </w:tc>
        <w:tc>
          <w:tcPr>
            <w:tcW w:w="0" w:type="auto"/>
            <w:gridSpan w:val="3"/>
            <w:shd w:val="clear" w:color="auto" w:fill="auto"/>
          </w:tcPr>
          <w:p w14:paraId="5EA2218A" w14:textId="77777777" w:rsidR="003C66EB" w:rsidRDefault="003C66EB">
            <w:pPr>
              <w:rPr>
                <w:rFonts w:ascii="宋体"/>
                <w:vanish/>
              </w:rPr>
            </w:pPr>
          </w:p>
        </w:tc>
        <w:tc>
          <w:tcPr>
            <w:tcW w:w="0" w:type="auto"/>
            <w:gridSpan w:val="3"/>
            <w:shd w:val="clear" w:color="auto" w:fill="auto"/>
          </w:tcPr>
          <w:p w14:paraId="5EA2218B" w14:textId="77777777" w:rsidR="003C66EB" w:rsidRDefault="003C66EB">
            <w:pPr>
              <w:rPr>
                <w:rFonts w:ascii="宋体"/>
                <w:vanish/>
              </w:rPr>
            </w:pPr>
          </w:p>
        </w:tc>
        <w:tc>
          <w:tcPr>
            <w:tcW w:w="0" w:type="auto"/>
            <w:gridSpan w:val="3"/>
            <w:shd w:val="clear" w:color="auto" w:fill="auto"/>
          </w:tcPr>
          <w:p w14:paraId="5EA2218C" w14:textId="77777777" w:rsidR="003C66EB" w:rsidRDefault="003C66EB">
            <w:pPr>
              <w:rPr>
                <w:rFonts w:ascii="宋体"/>
                <w:vanish/>
              </w:rPr>
            </w:pPr>
          </w:p>
        </w:tc>
        <w:tc>
          <w:tcPr>
            <w:tcW w:w="0" w:type="auto"/>
            <w:gridSpan w:val="3"/>
            <w:shd w:val="clear" w:color="auto" w:fill="auto"/>
          </w:tcPr>
          <w:p w14:paraId="5EA2218D" w14:textId="77777777" w:rsidR="003C66EB" w:rsidRDefault="003C66EB">
            <w:pPr>
              <w:rPr>
                <w:rFonts w:ascii="宋体"/>
                <w:vanish/>
              </w:rPr>
            </w:pPr>
          </w:p>
        </w:tc>
        <w:tc>
          <w:tcPr>
            <w:tcW w:w="0" w:type="auto"/>
            <w:gridSpan w:val="3"/>
            <w:shd w:val="clear" w:color="auto" w:fill="auto"/>
          </w:tcPr>
          <w:p w14:paraId="5EA2218E" w14:textId="77777777" w:rsidR="003C66EB" w:rsidRDefault="003C66EB">
            <w:pPr>
              <w:rPr>
                <w:rFonts w:ascii="宋体"/>
                <w:vanish/>
              </w:rPr>
            </w:pPr>
          </w:p>
        </w:tc>
        <w:tc>
          <w:tcPr>
            <w:tcW w:w="0" w:type="auto"/>
            <w:gridSpan w:val="3"/>
            <w:shd w:val="clear" w:color="auto" w:fill="auto"/>
          </w:tcPr>
          <w:p w14:paraId="5EA2218F" w14:textId="77777777" w:rsidR="003C66EB" w:rsidRDefault="003C66EB">
            <w:pPr>
              <w:rPr>
                <w:rFonts w:ascii="宋体"/>
                <w:vanish/>
              </w:rPr>
            </w:pPr>
          </w:p>
        </w:tc>
        <w:tc>
          <w:tcPr>
            <w:tcW w:w="0" w:type="auto"/>
            <w:gridSpan w:val="3"/>
            <w:shd w:val="clear" w:color="auto" w:fill="auto"/>
          </w:tcPr>
          <w:p w14:paraId="5EA22190" w14:textId="77777777" w:rsidR="003C66EB" w:rsidRDefault="003C66EB">
            <w:pPr>
              <w:rPr>
                <w:rFonts w:ascii="宋体"/>
                <w:vanish/>
              </w:rPr>
            </w:pPr>
          </w:p>
        </w:tc>
        <w:tc>
          <w:tcPr>
            <w:tcW w:w="0" w:type="auto"/>
            <w:gridSpan w:val="3"/>
            <w:shd w:val="clear" w:color="auto" w:fill="auto"/>
          </w:tcPr>
          <w:p w14:paraId="5EA22191" w14:textId="77777777" w:rsidR="003C66EB" w:rsidRDefault="003C66EB">
            <w:pPr>
              <w:rPr>
                <w:rFonts w:ascii="宋体"/>
                <w:vanish/>
              </w:rPr>
            </w:pPr>
          </w:p>
        </w:tc>
      </w:tr>
      <w:tr w:rsidR="003C66EB" w14:paraId="5EA221A5" w14:textId="77777777">
        <w:trPr>
          <w:hidden/>
        </w:trPr>
        <w:tc>
          <w:tcPr>
            <w:tcW w:w="0" w:type="auto"/>
            <w:gridSpan w:val="3"/>
            <w:shd w:val="clear" w:color="auto" w:fill="auto"/>
          </w:tcPr>
          <w:p w14:paraId="5EA22193" w14:textId="77777777" w:rsidR="003C66EB" w:rsidRDefault="003C66EB">
            <w:pPr>
              <w:rPr>
                <w:rFonts w:ascii="宋体"/>
                <w:vanish/>
              </w:rPr>
            </w:pPr>
          </w:p>
        </w:tc>
        <w:tc>
          <w:tcPr>
            <w:tcW w:w="0" w:type="auto"/>
            <w:gridSpan w:val="3"/>
            <w:shd w:val="clear" w:color="auto" w:fill="auto"/>
          </w:tcPr>
          <w:p w14:paraId="5EA22194" w14:textId="77777777" w:rsidR="003C66EB" w:rsidRDefault="003C66EB">
            <w:pPr>
              <w:rPr>
                <w:rFonts w:ascii="宋体"/>
                <w:vanish/>
              </w:rPr>
            </w:pPr>
          </w:p>
        </w:tc>
        <w:tc>
          <w:tcPr>
            <w:tcW w:w="0" w:type="auto"/>
            <w:gridSpan w:val="3"/>
            <w:shd w:val="clear" w:color="auto" w:fill="auto"/>
          </w:tcPr>
          <w:p w14:paraId="5EA22195" w14:textId="77777777" w:rsidR="003C66EB" w:rsidRDefault="003C66EB">
            <w:pPr>
              <w:rPr>
                <w:rFonts w:ascii="宋体"/>
                <w:vanish/>
              </w:rPr>
            </w:pPr>
          </w:p>
        </w:tc>
        <w:tc>
          <w:tcPr>
            <w:tcW w:w="0" w:type="auto"/>
            <w:gridSpan w:val="3"/>
            <w:shd w:val="clear" w:color="auto" w:fill="auto"/>
          </w:tcPr>
          <w:p w14:paraId="5EA22196" w14:textId="77777777" w:rsidR="003C66EB" w:rsidRDefault="003C66EB">
            <w:pPr>
              <w:rPr>
                <w:rFonts w:ascii="宋体"/>
                <w:vanish/>
              </w:rPr>
            </w:pPr>
          </w:p>
        </w:tc>
        <w:tc>
          <w:tcPr>
            <w:tcW w:w="0" w:type="auto"/>
            <w:gridSpan w:val="3"/>
            <w:shd w:val="clear" w:color="auto" w:fill="auto"/>
          </w:tcPr>
          <w:p w14:paraId="5EA22197" w14:textId="77777777" w:rsidR="003C66EB" w:rsidRDefault="003C66EB">
            <w:pPr>
              <w:rPr>
                <w:rFonts w:ascii="宋体"/>
                <w:vanish/>
              </w:rPr>
            </w:pPr>
          </w:p>
        </w:tc>
        <w:tc>
          <w:tcPr>
            <w:tcW w:w="0" w:type="auto"/>
            <w:gridSpan w:val="3"/>
            <w:shd w:val="clear" w:color="auto" w:fill="auto"/>
          </w:tcPr>
          <w:p w14:paraId="5EA22198" w14:textId="77777777" w:rsidR="003C66EB" w:rsidRDefault="003C66EB">
            <w:pPr>
              <w:rPr>
                <w:rFonts w:ascii="宋体"/>
                <w:vanish/>
              </w:rPr>
            </w:pPr>
          </w:p>
        </w:tc>
        <w:tc>
          <w:tcPr>
            <w:tcW w:w="0" w:type="auto"/>
            <w:gridSpan w:val="3"/>
            <w:shd w:val="clear" w:color="auto" w:fill="auto"/>
          </w:tcPr>
          <w:p w14:paraId="5EA22199" w14:textId="77777777" w:rsidR="003C66EB" w:rsidRDefault="003C66EB">
            <w:pPr>
              <w:rPr>
                <w:rFonts w:ascii="宋体"/>
                <w:vanish/>
              </w:rPr>
            </w:pPr>
          </w:p>
        </w:tc>
        <w:tc>
          <w:tcPr>
            <w:tcW w:w="0" w:type="auto"/>
            <w:gridSpan w:val="3"/>
            <w:shd w:val="clear" w:color="auto" w:fill="auto"/>
          </w:tcPr>
          <w:p w14:paraId="5EA2219A" w14:textId="77777777" w:rsidR="003C66EB" w:rsidRDefault="003C66EB">
            <w:pPr>
              <w:rPr>
                <w:rFonts w:ascii="宋体"/>
                <w:vanish/>
              </w:rPr>
            </w:pPr>
          </w:p>
        </w:tc>
        <w:tc>
          <w:tcPr>
            <w:tcW w:w="0" w:type="auto"/>
            <w:gridSpan w:val="3"/>
            <w:shd w:val="clear" w:color="auto" w:fill="auto"/>
          </w:tcPr>
          <w:p w14:paraId="5EA2219B" w14:textId="77777777" w:rsidR="003C66EB" w:rsidRDefault="003C66EB">
            <w:pPr>
              <w:rPr>
                <w:rFonts w:ascii="宋体"/>
                <w:vanish/>
              </w:rPr>
            </w:pPr>
          </w:p>
        </w:tc>
        <w:tc>
          <w:tcPr>
            <w:tcW w:w="0" w:type="auto"/>
            <w:gridSpan w:val="3"/>
            <w:shd w:val="clear" w:color="auto" w:fill="auto"/>
          </w:tcPr>
          <w:p w14:paraId="5EA2219C" w14:textId="77777777" w:rsidR="003C66EB" w:rsidRDefault="003C66EB">
            <w:pPr>
              <w:rPr>
                <w:rFonts w:ascii="宋体"/>
                <w:vanish/>
              </w:rPr>
            </w:pPr>
          </w:p>
        </w:tc>
        <w:tc>
          <w:tcPr>
            <w:tcW w:w="0" w:type="auto"/>
            <w:gridSpan w:val="3"/>
            <w:shd w:val="clear" w:color="auto" w:fill="auto"/>
          </w:tcPr>
          <w:p w14:paraId="5EA2219D" w14:textId="77777777" w:rsidR="003C66EB" w:rsidRDefault="003C66EB">
            <w:pPr>
              <w:rPr>
                <w:rFonts w:ascii="宋体"/>
                <w:vanish/>
              </w:rPr>
            </w:pPr>
          </w:p>
        </w:tc>
        <w:tc>
          <w:tcPr>
            <w:tcW w:w="0" w:type="auto"/>
            <w:gridSpan w:val="3"/>
            <w:shd w:val="clear" w:color="auto" w:fill="auto"/>
          </w:tcPr>
          <w:p w14:paraId="5EA2219E" w14:textId="77777777" w:rsidR="003C66EB" w:rsidRDefault="003C66EB">
            <w:pPr>
              <w:rPr>
                <w:rFonts w:ascii="宋体"/>
                <w:vanish/>
              </w:rPr>
            </w:pPr>
          </w:p>
        </w:tc>
        <w:tc>
          <w:tcPr>
            <w:tcW w:w="0" w:type="auto"/>
            <w:gridSpan w:val="3"/>
            <w:shd w:val="clear" w:color="auto" w:fill="auto"/>
          </w:tcPr>
          <w:p w14:paraId="5EA2219F" w14:textId="77777777" w:rsidR="003C66EB" w:rsidRDefault="003C66EB">
            <w:pPr>
              <w:rPr>
                <w:rFonts w:ascii="宋体"/>
                <w:vanish/>
              </w:rPr>
            </w:pPr>
          </w:p>
        </w:tc>
        <w:tc>
          <w:tcPr>
            <w:tcW w:w="0" w:type="auto"/>
            <w:gridSpan w:val="3"/>
            <w:shd w:val="clear" w:color="auto" w:fill="auto"/>
          </w:tcPr>
          <w:p w14:paraId="5EA221A0" w14:textId="77777777" w:rsidR="003C66EB" w:rsidRDefault="003C66EB">
            <w:pPr>
              <w:rPr>
                <w:rFonts w:ascii="宋体"/>
                <w:vanish/>
              </w:rPr>
            </w:pPr>
          </w:p>
        </w:tc>
        <w:tc>
          <w:tcPr>
            <w:tcW w:w="0" w:type="auto"/>
            <w:gridSpan w:val="3"/>
            <w:shd w:val="clear" w:color="auto" w:fill="auto"/>
          </w:tcPr>
          <w:p w14:paraId="5EA221A1" w14:textId="77777777" w:rsidR="003C66EB" w:rsidRDefault="003C66EB">
            <w:pPr>
              <w:rPr>
                <w:rFonts w:ascii="宋体"/>
                <w:vanish/>
              </w:rPr>
            </w:pPr>
          </w:p>
        </w:tc>
        <w:tc>
          <w:tcPr>
            <w:tcW w:w="0" w:type="auto"/>
            <w:gridSpan w:val="3"/>
            <w:shd w:val="clear" w:color="auto" w:fill="auto"/>
          </w:tcPr>
          <w:p w14:paraId="5EA221A2" w14:textId="77777777" w:rsidR="003C66EB" w:rsidRDefault="003C66EB">
            <w:pPr>
              <w:rPr>
                <w:rFonts w:ascii="宋体"/>
                <w:vanish/>
              </w:rPr>
            </w:pPr>
          </w:p>
        </w:tc>
        <w:tc>
          <w:tcPr>
            <w:tcW w:w="0" w:type="auto"/>
            <w:gridSpan w:val="3"/>
            <w:shd w:val="clear" w:color="auto" w:fill="auto"/>
          </w:tcPr>
          <w:p w14:paraId="5EA221A3" w14:textId="77777777" w:rsidR="003C66EB" w:rsidRDefault="003C66EB">
            <w:pPr>
              <w:rPr>
                <w:rFonts w:ascii="宋体"/>
                <w:vanish/>
              </w:rPr>
            </w:pPr>
          </w:p>
        </w:tc>
        <w:tc>
          <w:tcPr>
            <w:tcW w:w="0" w:type="auto"/>
            <w:gridSpan w:val="3"/>
            <w:shd w:val="clear" w:color="auto" w:fill="auto"/>
          </w:tcPr>
          <w:p w14:paraId="5EA221A4" w14:textId="77777777" w:rsidR="003C66EB" w:rsidRDefault="003C66EB">
            <w:pPr>
              <w:rPr>
                <w:rFonts w:ascii="宋体"/>
                <w:vanish/>
              </w:rPr>
            </w:pPr>
          </w:p>
        </w:tc>
      </w:tr>
      <w:tr w:rsidR="003C66EB" w14:paraId="5EA221B8" w14:textId="77777777">
        <w:trPr>
          <w:hidden/>
        </w:trPr>
        <w:tc>
          <w:tcPr>
            <w:tcW w:w="0" w:type="auto"/>
            <w:gridSpan w:val="3"/>
            <w:shd w:val="clear" w:color="auto" w:fill="auto"/>
          </w:tcPr>
          <w:p w14:paraId="5EA221A6" w14:textId="77777777" w:rsidR="003C66EB" w:rsidRDefault="003C66EB">
            <w:pPr>
              <w:rPr>
                <w:rFonts w:ascii="宋体"/>
                <w:vanish/>
              </w:rPr>
            </w:pPr>
          </w:p>
        </w:tc>
        <w:tc>
          <w:tcPr>
            <w:tcW w:w="0" w:type="auto"/>
            <w:gridSpan w:val="3"/>
            <w:shd w:val="clear" w:color="auto" w:fill="auto"/>
          </w:tcPr>
          <w:p w14:paraId="5EA221A7" w14:textId="77777777" w:rsidR="003C66EB" w:rsidRDefault="003C66EB">
            <w:pPr>
              <w:rPr>
                <w:rFonts w:ascii="宋体"/>
                <w:vanish/>
              </w:rPr>
            </w:pPr>
          </w:p>
        </w:tc>
        <w:tc>
          <w:tcPr>
            <w:tcW w:w="0" w:type="auto"/>
            <w:gridSpan w:val="3"/>
            <w:shd w:val="clear" w:color="auto" w:fill="auto"/>
          </w:tcPr>
          <w:p w14:paraId="5EA221A8" w14:textId="77777777" w:rsidR="003C66EB" w:rsidRDefault="003C66EB">
            <w:pPr>
              <w:rPr>
                <w:rFonts w:ascii="宋体"/>
                <w:vanish/>
              </w:rPr>
            </w:pPr>
          </w:p>
        </w:tc>
        <w:tc>
          <w:tcPr>
            <w:tcW w:w="0" w:type="auto"/>
            <w:gridSpan w:val="3"/>
            <w:shd w:val="clear" w:color="auto" w:fill="auto"/>
          </w:tcPr>
          <w:p w14:paraId="5EA221A9" w14:textId="77777777" w:rsidR="003C66EB" w:rsidRDefault="003C66EB">
            <w:pPr>
              <w:rPr>
                <w:rFonts w:ascii="宋体"/>
                <w:vanish/>
              </w:rPr>
            </w:pPr>
          </w:p>
        </w:tc>
        <w:tc>
          <w:tcPr>
            <w:tcW w:w="0" w:type="auto"/>
            <w:gridSpan w:val="3"/>
            <w:shd w:val="clear" w:color="auto" w:fill="auto"/>
          </w:tcPr>
          <w:p w14:paraId="5EA221AA" w14:textId="77777777" w:rsidR="003C66EB" w:rsidRDefault="003C66EB">
            <w:pPr>
              <w:rPr>
                <w:rFonts w:ascii="宋体"/>
                <w:vanish/>
              </w:rPr>
            </w:pPr>
          </w:p>
        </w:tc>
        <w:tc>
          <w:tcPr>
            <w:tcW w:w="0" w:type="auto"/>
            <w:gridSpan w:val="3"/>
            <w:shd w:val="clear" w:color="auto" w:fill="auto"/>
          </w:tcPr>
          <w:p w14:paraId="5EA221AB" w14:textId="77777777" w:rsidR="003C66EB" w:rsidRDefault="003C66EB">
            <w:pPr>
              <w:rPr>
                <w:rFonts w:ascii="宋体"/>
                <w:vanish/>
              </w:rPr>
            </w:pPr>
          </w:p>
        </w:tc>
        <w:tc>
          <w:tcPr>
            <w:tcW w:w="0" w:type="auto"/>
            <w:gridSpan w:val="3"/>
            <w:shd w:val="clear" w:color="auto" w:fill="auto"/>
          </w:tcPr>
          <w:p w14:paraId="5EA221AC" w14:textId="77777777" w:rsidR="003C66EB" w:rsidRDefault="003C66EB">
            <w:pPr>
              <w:rPr>
                <w:rFonts w:ascii="宋体"/>
                <w:vanish/>
              </w:rPr>
            </w:pPr>
          </w:p>
        </w:tc>
        <w:tc>
          <w:tcPr>
            <w:tcW w:w="0" w:type="auto"/>
            <w:gridSpan w:val="3"/>
            <w:shd w:val="clear" w:color="auto" w:fill="auto"/>
          </w:tcPr>
          <w:p w14:paraId="5EA221AD" w14:textId="77777777" w:rsidR="003C66EB" w:rsidRDefault="003C66EB">
            <w:pPr>
              <w:rPr>
                <w:rFonts w:ascii="宋体"/>
                <w:vanish/>
              </w:rPr>
            </w:pPr>
          </w:p>
        </w:tc>
        <w:tc>
          <w:tcPr>
            <w:tcW w:w="0" w:type="auto"/>
            <w:gridSpan w:val="3"/>
            <w:shd w:val="clear" w:color="auto" w:fill="auto"/>
          </w:tcPr>
          <w:p w14:paraId="5EA221AE" w14:textId="77777777" w:rsidR="003C66EB" w:rsidRDefault="003C66EB">
            <w:pPr>
              <w:rPr>
                <w:rFonts w:ascii="宋体"/>
                <w:vanish/>
              </w:rPr>
            </w:pPr>
          </w:p>
        </w:tc>
        <w:tc>
          <w:tcPr>
            <w:tcW w:w="0" w:type="auto"/>
            <w:gridSpan w:val="3"/>
            <w:shd w:val="clear" w:color="auto" w:fill="auto"/>
          </w:tcPr>
          <w:p w14:paraId="5EA221AF" w14:textId="77777777" w:rsidR="003C66EB" w:rsidRDefault="003C66EB">
            <w:pPr>
              <w:rPr>
                <w:rFonts w:ascii="宋体"/>
                <w:vanish/>
              </w:rPr>
            </w:pPr>
          </w:p>
        </w:tc>
        <w:tc>
          <w:tcPr>
            <w:tcW w:w="0" w:type="auto"/>
            <w:gridSpan w:val="3"/>
            <w:shd w:val="clear" w:color="auto" w:fill="auto"/>
          </w:tcPr>
          <w:p w14:paraId="5EA221B0" w14:textId="77777777" w:rsidR="003C66EB" w:rsidRDefault="003C66EB">
            <w:pPr>
              <w:rPr>
                <w:rFonts w:ascii="宋体"/>
                <w:vanish/>
              </w:rPr>
            </w:pPr>
          </w:p>
        </w:tc>
        <w:tc>
          <w:tcPr>
            <w:tcW w:w="0" w:type="auto"/>
            <w:gridSpan w:val="3"/>
            <w:shd w:val="clear" w:color="auto" w:fill="auto"/>
          </w:tcPr>
          <w:p w14:paraId="5EA221B1" w14:textId="77777777" w:rsidR="003C66EB" w:rsidRDefault="003C66EB">
            <w:pPr>
              <w:rPr>
                <w:rFonts w:ascii="宋体"/>
                <w:vanish/>
              </w:rPr>
            </w:pPr>
          </w:p>
        </w:tc>
        <w:tc>
          <w:tcPr>
            <w:tcW w:w="0" w:type="auto"/>
            <w:gridSpan w:val="3"/>
            <w:shd w:val="clear" w:color="auto" w:fill="auto"/>
          </w:tcPr>
          <w:p w14:paraId="5EA221B2" w14:textId="77777777" w:rsidR="003C66EB" w:rsidRDefault="003C66EB">
            <w:pPr>
              <w:rPr>
                <w:rFonts w:ascii="宋体"/>
                <w:vanish/>
              </w:rPr>
            </w:pPr>
          </w:p>
        </w:tc>
        <w:tc>
          <w:tcPr>
            <w:tcW w:w="0" w:type="auto"/>
            <w:gridSpan w:val="3"/>
            <w:shd w:val="clear" w:color="auto" w:fill="auto"/>
          </w:tcPr>
          <w:p w14:paraId="5EA221B3" w14:textId="77777777" w:rsidR="003C66EB" w:rsidRDefault="003C66EB">
            <w:pPr>
              <w:rPr>
                <w:rFonts w:ascii="宋体"/>
                <w:vanish/>
              </w:rPr>
            </w:pPr>
          </w:p>
        </w:tc>
        <w:tc>
          <w:tcPr>
            <w:tcW w:w="0" w:type="auto"/>
            <w:gridSpan w:val="3"/>
            <w:shd w:val="clear" w:color="auto" w:fill="auto"/>
          </w:tcPr>
          <w:p w14:paraId="5EA221B4" w14:textId="77777777" w:rsidR="003C66EB" w:rsidRDefault="003C66EB">
            <w:pPr>
              <w:rPr>
                <w:rFonts w:ascii="宋体"/>
                <w:vanish/>
              </w:rPr>
            </w:pPr>
          </w:p>
        </w:tc>
        <w:tc>
          <w:tcPr>
            <w:tcW w:w="0" w:type="auto"/>
            <w:gridSpan w:val="3"/>
            <w:shd w:val="clear" w:color="auto" w:fill="auto"/>
          </w:tcPr>
          <w:p w14:paraId="5EA221B5" w14:textId="77777777" w:rsidR="003C66EB" w:rsidRDefault="003C66EB">
            <w:pPr>
              <w:rPr>
                <w:rFonts w:ascii="宋体"/>
                <w:vanish/>
              </w:rPr>
            </w:pPr>
          </w:p>
        </w:tc>
        <w:tc>
          <w:tcPr>
            <w:tcW w:w="0" w:type="auto"/>
            <w:gridSpan w:val="3"/>
            <w:shd w:val="clear" w:color="auto" w:fill="auto"/>
          </w:tcPr>
          <w:p w14:paraId="5EA221B6" w14:textId="77777777" w:rsidR="003C66EB" w:rsidRDefault="003C66EB">
            <w:pPr>
              <w:rPr>
                <w:rFonts w:ascii="宋体"/>
                <w:vanish/>
              </w:rPr>
            </w:pPr>
          </w:p>
        </w:tc>
        <w:tc>
          <w:tcPr>
            <w:tcW w:w="0" w:type="auto"/>
            <w:gridSpan w:val="3"/>
            <w:shd w:val="clear" w:color="auto" w:fill="auto"/>
          </w:tcPr>
          <w:p w14:paraId="5EA221B7" w14:textId="77777777" w:rsidR="003C66EB" w:rsidRDefault="003C66EB">
            <w:pPr>
              <w:rPr>
                <w:rFonts w:ascii="宋体"/>
                <w:vanish/>
              </w:rPr>
            </w:pPr>
          </w:p>
        </w:tc>
      </w:tr>
      <w:tr w:rsidR="003C66EB" w14:paraId="5EA221CB" w14:textId="77777777">
        <w:trPr>
          <w:hidden/>
        </w:trPr>
        <w:tc>
          <w:tcPr>
            <w:tcW w:w="0" w:type="auto"/>
            <w:gridSpan w:val="3"/>
            <w:shd w:val="clear" w:color="auto" w:fill="auto"/>
          </w:tcPr>
          <w:p w14:paraId="5EA221B9" w14:textId="77777777" w:rsidR="003C66EB" w:rsidRDefault="003C66EB">
            <w:pPr>
              <w:rPr>
                <w:rFonts w:ascii="宋体"/>
                <w:vanish/>
              </w:rPr>
            </w:pPr>
          </w:p>
        </w:tc>
        <w:tc>
          <w:tcPr>
            <w:tcW w:w="0" w:type="auto"/>
            <w:gridSpan w:val="3"/>
            <w:shd w:val="clear" w:color="auto" w:fill="auto"/>
          </w:tcPr>
          <w:p w14:paraId="5EA221BA" w14:textId="77777777" w:rsidR="003C66EB" w:rsidRDefault="003C66EB">
            <w:pPr>
              <w:rPr>
                <w:rFonts w:ascii="宋体"/>
                <w:vanish/>
              </w:rPr>
            </w:pPr>
          </w:p>
        </w:tc>
        <w:tc>
          <w:tcPr>
            <w:tcW w:w="0" w:type="auto"/>
            <w:gridSpan w:val="3"/>
            <w:shd w:val="clear" w:color="auto" w:fill="auto"/>
          </w:tcPr>
          <w:p w14:paraId="5EA221BB" w14:textId="77777777" w:rsidR="003C66EB" w:rsidRDefault="003C66EB">
            <w:pPr>
              <w:rPr>
                <w:rFonts w:ascii="宋体"/>
                <w:vanish/>
              </w:rPr>
            </w:pPr>
          </w:p>
        </w:tc>
        <w:tc>
          <w:tcPr>
            <w:tcW w:w="0" w:type="auto"/>
            <w:gridSpan w:val="3"/>
            <w:shd w:val="clear" w:color="auto" w:fill="auto"/>
          </w:tcPr>
          <w:p w14:paraId="5EA221BC" w14:textId="77777777" w:rsidR="003C66EB" w:rsidRDefault="003C66EB">
            <w:pPr>
              <w:rPr>
                <w:rFonts w:ascii="宋体"/>
                <w:vanish/>
              </w:rPr>
            </w:pPr>
          </w:p>
        </w:tc>
        <w:tc>
          <w:tcPr>
            <w:tcW w:w="0" w:type="auto"/>
            <w:gridSpan w:val="3"/>
            <w:shd w:val="clear" w:color="auto" w:fill="auto"/>
          </w:tcPr>
          <w:p w14:paraId="5EA221BD" w14:textId="77777777" w:rsidR="003C66EB" w:rsidRDefault="003C66EB">
            <w:pPr>
              <w:rPr>
                <w:rFonts w:ascii="宋体"/>
                <w:vanish/>
              </w:rPr>
            </w:pPr>
          </w:p>
        </w:tc>
        <w:tc>
          <w:tcPr>
            <w:tcW w:w="0" w:type="auto"/>
            <w:gridSpan w:val="3"/>
            <w:shd w:val="clear" w:color="auto" w:fill="auto"/>
          </w:tcPr>
          <w:p w14:paraId="5EA221BE" w14:textId="77777777" w:rsidR="003C66EB" w:rsidRDefault="003C66EB">
            <w:pPr>
              <w:rPr>
                <w:rFonts w:ascii="宋体"/>
                <w:vanish/>
              </w:rPr>
            </w:pPr>
          </w:p>
        </w:tc>
        <w:tc>
          <w:tcPr>
            <w:tcW w:w="0" w:type="auto"/>
            <w:gridSpan w:val="3"/>
            <w:shd w:val="clear" w:color="auto" w:fill="auto"/>
          </w:tcPr>
          <w:p w14:paraId="5EA221BF" w14:textId="77777777" w:rsidR="003C66EB" w:rsidRDefault="003C66EB">
            <w:pPr>
              <w:rPr>
                <w:rFonts w:ascii="宋体"/>
                <w:vanish/>
              </w:rPr>
            </w:pPr>
          </w:p>
        </w:tc>
        <w:tc>
          <w:tcPr>
            <w:tcW w:w="0" w:type="auto"/>
            <w:gridSpan w:val="3"/>
            <w:shd w:val="clear" w:color="auto" w:fill="auto"/>
          </w:tcPr>
          <w:p w14:paraId="5EA221C0" w14:textId="77777777" w:rsidR="003C66EB" w:rsidRDefault="003C66EB">
            <w:pPr>
              <w:rPr>
                <w:rFonts w:ascii="宋体"/>
                <w:vanish/>
              </w:rPr>
            </w:pPr>
          </w:p>
        </w:tc>
        <w:tc>
          <w:tcPr>
            <w:tcW w:w="0" w:type="auto"/>
            <w:gridSpan w:val="3"/>
            <w:shd w:val="clear" w:color="auto" w:fill="auto"/>
          </w:tcPr>
          <w:p w14:paraId="5EA221C1" w14:textId="77777777" w:rsidR="003C66EB" w:rsidRDefault="003C66EB">
            <w:pPr>
              <w:rPr>
                <w:rFonts w:ascii="宋体"/>
                <w:vanish/>
              </w:rPr>
            </w:pPr>
          </w:p>
        </w:tc>
        <w:tc>
          <w:tcPr>
            <w:tcW w:w="0" w:type="auto"/>
            <w:gridSpan w:val="3"/>
            <w:shd w:val="clear" w:color="auto" w:fill="auto"/>
          </w:tcPr>
          <w:p w14:paraId="5EA221C2" w14:textId="77777777" w:rsidR="003C66EB" w:rsidRDefault="003C66EB">
            <w:pPr>
              <w:rPr>
                <w:rFonts w:ascii="宋体"/>
                <w:vanish/>
              </w:rPr>
            </w:pPr>
          </w:p>
        </w:tc>
        <w:tc>
          <w:tcPr>
            <w:tcW w:w="0" w:type="auto"/>
            <w:gridSpan w:val="3"/>
            <w:shd w:val="clear" w:color="auto" w:fill="auto"/>
          </w:tcPr>
          <w:p w14:paraId="5EA221C3" w14:textId="77777777" w:rsidR="003C66EB" w:rsidRDefault="003C66EB">
            <w:pPr>
              <w:rPr>
                <w:rFonts w:ascii="宋体"/>
                <w:vanish/>
              </w:rPr>
            </w:pPr>
          </w:p>
        </w:tc>
        <w:tc>
          <w:tcPr>
            <w:tcW w:w="0" w:type="auto"/>
            <w:gridSpan w:val="3"/>
            <w:shd w:val="clear" w:color="auto" w:fill="auto"/>
          </w:tcPr>
          <w:p w14:paraId="5EA221C4" w14:textId="77777777" w:rsidR="003C66EB" w:rsidRDefault="003C66EB">
            <w:pPr>
              <w:rPr>
                <w:rFonts w:ascii="宋体"/>
                <w:vanish/>
              </w:rPr>
            </w:pPr>
          </w:p>
        </w:tc>
        <w:tc>
          <w:tcPr>
            <w:tcW w:w="0" w:type="auto"/>
            <w:gridSpan w:val="3"/>
            <w:shd w:val="clear" w:color="auto" w:fill="auto"/>
          </w:tcPr>
          <w:p w14:paraId="5EA221C5" w14:textId="77777777" w:rsidR="003C66EB" w:rsidRDefault="003C66EB">
            <w:pPr>
              <w:rPr>
                <w:rFonts w:ascii="宋体"/>
                <w:vanish/>
              </w:rPr>
            </w:pPr>
          </w:p>
        </w:tc>
        <w:tc>
          <w:tcPr>
            <w:tcW w:w="0" w:type="auto"/>
            <w:gridSpan w:val="3"/>
            <w:shd w:val="clear" w:color="auto" w:fill="auto"/>
          </w:tcPr>
          <w:p w14:paraId="5EA221C6" w14:textId="77777777" w:rsidR="003C66EB" w:rsidRDefault="003C66EB">
            <w:pPr>
              <w:rPr>
                <w:rFonts w:ascii="宋体"/>
                <w:vanish/>
              </w:rPr>
            </w:pPr>
          </w:p>
        </w:tc>
        <w:tc>
          <w:tcPr>
            <w:tcW w:w="0" w:type="auto"/>
            <w:gridSpan w:val="3"/>
            <w:shd w:val="clear" w:color="auto" w:fill="auto"/>
          </w:tcPr>
          <w:p w14:paraId="5EA221C7" w14:textId="77777777" w:rsidR="003C66EB" w:rsidRDefault="003C66EB">
            <w:pPr>
              <w:rPr>
                <w:rFonts w:ascii="宋体"/>
                <w:vanish/>
              </w:rPr>
            </w:pPr>
          </w:p>
        </w:tc>
        <w:tc>
          <w:tcPr>
            <w:tcW w:w="0" w:type="auto"/>
            <w:gridSpan w:val="3"/>
            <w:shd w:val="clear" w:color="auto" w:fill="auto"/>
          </w:tcPr>
          <w:p w14:paraId="5EA221C8" w14:textId="77777777" w:rsidR="003C66EB" w:rsidRDefault="003C66EB">
            <w:pPr>
              <w:rPr>
                <w:rFonts w:ascii="宋体"/>
                <w:vanish/>
              </w:rPr>
            </w:pPr>
          </w:p>
        </w:tc>
        <w:tc>
          <w:tcPr>
            <w:tcW w:w="0" w:type="auto"/>
            <w:gridSpan w:val="3"/>
            <w:shd w:val="clear" w:color="auto" w:fill="auto"/>
          </w:tcPr>
          <w:p w14:paraId="5EA221C9" w14:textId="77777777" w:rsidR="003C66EB" w:rsidRDefault="003C66EB">
            <w:pPr>
              <w:rPr>
                <w:rFonts w:ascii="宋体"/>
                <w:vanish/>
              </w:rPr>
            </w:pPr>
          </w:p>
        </w:tc>
        <w:tc>
          <w:tcPr>
            <w:tcW w:w="0" w:type="auto"/>
            <w:gridSpan w:val="3"/>
            <w:shd w:val="clear" w:color="auto" w:fill="auto"/>
          </w:tcPr>
          <w:p w14:paraId="5EA221CA" w14:textId="77777777" w:rsidR="003C66EB" w:rsidRDefault="003C66EB">
            <w:pPr>
              <w:rPr>
                <w:rFonts w:ascii="宋体"/>
                <w:vanish/>
              </w:rPr>
            </w:pPr>
          </w:p>
        </w:tc>
      </w:tr>
      <w:tr w:rsidR="003C66EB" w14:paraId="5EA221DE" w14:textId="77777777">
        <w:trPr>
          <w:hidden/>
        </w:trPr>
        <w:tc>
          <w:tcPr>
            <w:tcW w:w="0" w:type="auto"/>
            <w:gridSpan w:val="3"/>
            <w:shd w:val="clear" w:color="auto" w:fill="auto"/>
          </w:tcPr>
          <w:p w14:paraId="5EA221CC" w14:textId="77777777" w:rsidR="003C66EB" w:rsidRDefault="003C66EB">
            <w:pPr>
              <w:rPr>
                <w:rFonts w:ascii="宋体"/>
                <w:vanish/>
              </w:rPr>
            </w:pPr>
          </w:p>
        </w:tc>
        <w:tc>
          <w:tcPr>
            <w:tcW w:w="0" w:type="auto"/>
            <w:gridSpan w:val="3"/>
            <w:shd w:val="clear" w:color="auto" w:fill="auto"/>
          </w:tcPr>
          <w:p w14:paraId="5EA221CD" w14:textId="77777777" w:rsidR="003C66EB" w:rsidRDefault="003C66EB">
            <w:pPr>
              <w:rPr>
                <w:rFonts w:ascii="宋体"/>
                <w:vanish/>
              </w:rPr>
            </w:pPr>
          </w:p>
        </w:tc>
        <w:tc>
          <w:tcPr>
            <w:tcW w:w="0" w:type="auto"/>
            <w:gridSpan w:val="3"/>
            <w:shd w:val="clear" w:color="auto" w:fill="auto"/>
          </w:tcPr>
          <w:p w14:paraId="5EA221CE" w14:textId="77777777" w:rsidR="003C66EB" w:rsidRDefault="003C66EB">
            <w:pPr>
              <w:rPr>
                <w:rFonts w:ascii="宋体"/>
                <w:vanish/>
              </w:rPr>
            </w:pPr>
          </w:p>
        </w:tc>
        <w:tc>
          <w:tcPr>
            <w:tcW w:w="0" w:type="auto"/>
            <w:gridSpan w:val="3"/>
            <w:shd w:val="clear" w:color="auto" w:fill="auto"/>
          </w:tcPr>
          <w:p w14:paraId="5EA221CF" w14:textId="77777777" w:rsidR="003C66EB" w:rsidRDefault="003C66EB">
            <w:pPr>
              <w:rPr>
                <w:rFonts w:ascii="宋体"/>
                <w:vanish/>
              </w:rPr>
            </w:pPr>
          </w:p>
        </w:tc>
        <w:tc>
          <w:tcPr>
            <w:tcW w:w="0" w:type="auto"/>
            <w:gridSpan w:val="3"/>
            <w:shd w:val="clear" w:color="auto" w:fill="auto"/>
          </w:tcPr>
          <w:p w14:paraId="5EA221D0" w14:textId="77777777" w:rsidR="003C66EB" w:rsidRDefault="003C66EB">
            <w:pPr>
              <w:rPr>
                <w:rFonts w:ascii="宋体"/>
                <w:vanish/>
              </w:rPr>
            </w:pPr>
          </w:p>
        </w:tc>
        <w:tc>
          <w:tcPr>
            <w:tcW w:w="0" w:type="auto"/>
            <w:gridSpan w:val="3"/>
            <w:shd w:val="clear" w:color="auto" w:fill="auto"/>
          </w:tcPr>
          <w:p w14:paraId="5EA221D1" w14:textId="77777777" w:rsidR="003C66EB" w:rsidRDefault="003C66EB">
            <w:pPr>
              <w:rPr>
                <w:rFonts w:ascii="宋体"/>
                <w:vanish/>
              </w:rPr>
            </w:pPr>
          </w:p>
        </w:tc>
        <w:tc>
          <w:tcPr>
            <w:tcW w:w="0" w:type="auto"/>
            <w:gridSpan w:val="3"/>
            <w:shd w:val="clear" w:color="auto" w:fill="auto"/>
          </w:tcPr>
          <w:p w14:paraId="5EA221D2" w14:textId="77777777" w:rsidR="003C66EB" w:rsidRDefault="003C66EB">
            <w:pPr>
              <w:rPr>
                <w:rFonts w:ascii="宋体"/>
                <w:vanish/>
              </w:rPr>
            </w:pPr>
          </w:p>
        </w:tc>
        <w:tc>
          <w:tcPr>
            <w:tcW w:w="0" w:type="auto"/>
            <w:gridSpan w:val="3"/>
            <w:shd w:val="clear" w:color="auto" w:fill="auto"/>
          </w:tcPr>
          <w:p w14:paraId="5EA221D3" w14:textId="77777777" w:rsidR="003C66EB" w:rsidRDefault="003C66EB">
            <w:pPr>
              <w:rPr>
                <w:rFonts w:ascii="宋体"/>
                <w:vanish/>
              </w:rPr>
            </w:pPr>
          </w:p>
        </w:tc>
        <w:tc>
          <w:tcPr>
            <w:tcW w:w="0" w:type="auto"/>
            <w:gridSpan w:val="3"/>
            <w:shd w:val="clear" w:color="auto" w:fill="auto"/>
          </w:tcPr>
          <w:p w14:paraId="5EA221D4" w14:textId="77777777" w:rsidR="003C66EB" w:rsidRDefault="003C66EB">
            <w:pPr>
              <w:rPr>
                <w:rFonts w:ascii="宋体"/>
                <w:vanish/>
              </w:rPr>
            </w:pPr>
          </w:p>
        </w:tc>
        <w:tc>
          <w:tcPr>
            <w:tcW w:w="0" w:type="auto"/>
            <w:gridSpan w:val="3"/>
            <w:shd w:val="clear" w:color="auto" w:fill="auto"/>
          </w:tcPr>
          <w:p w14:paraId="5EA221D5" w14:textId="77777777" w:rsidR="003C66EB" w:rsidRDefault="003C66EB">
            <w:pPr>
              <w:rPr>
                <w:rFonts w:ascii="宋体"/>
                <w:vanish/>
              </w:rPr>
            </w:pPr>
          </w:p>
        </w:tc>
        <w:tc>
          <w:tcPr>
            <w:tcW w:w="0" w:type="auto"/>
            <w:gridSpan w:val="3"/>
            <w:shd w:val="clear" w:color="auto" w:fill="auto"/>
          </w:tcPr>
          <w:p w14:paraId="5EA221D6" w14:textId="77777777" w:rsidR="003C66EB" w:rsidRDefault="003C66EB">
            <w:pPr>
              <w:rPr>
                <w:rFonts w:ascii="宋体"/>
                <w:vanish/>
              </w:rPr>
            </w:pPr>
          </w:p>
        </w:tc>
        <w:tc>
          <w:tcPr>
            <w:tcW w:w="0" w:type="auto"/>
            <w:gridSpan w:val="3"/>
            <w:shd w:val="clear" w:color="auto" w:fill="auto"/>
          </w:tcPr>
          <w:p w14:paraId="5EA221D7" w14:textId="77777777" w:rsidR="003C66EB" w:rsidRDefault="003C66EB">
            <w:pPr>
              <w:rPr>
                <w:rFonts w:ascii="宋体"/>
                <w:vanish/>
              </w:rPr>
            </w:pPr>
          </w:p>
        </w:tc>
        <w:tc>
          <w:tcPr>
            <w:tcW w:w="0" w:type="auto"/>
            <w:gridSpan w:val="3"/>
            <w:shd w:val="clear" w:color="auto" w:fill="auto"/>
          </w:tcPr>
          <w:p w14:paraId="5EA221D8" w14:textId="77777777" w:rsidR="003C66EB" w:rsidRDefault="003C66EB">
            <w:pPr>
              <w:rPr>
                <w:rFonts w:ascii="宋体"/>
                <w:vanish/>
              </w:rPr>
            </w:pPr>
          </w:p>
        </w:tc>
        <w:tc>
          <w:tcPr>
            <w:tcW w:w="0" w:type="auto"/>
            <w:gridSpan w:val="3"/>
            <w:shd w:val="clear" w:color="auto" w:fill="auto"/>
          </w:tcPr>
          <w:p w14:paraId="5EA221D9" w14:textId="77777777" w:rsidR="003C66EB" w:rsidRDefault="003C66EB">
            <w:pPr>
              <w:rPr>
                <w:rFonts w:ascii="宋体"/>
                <w:vanish/>
              </w:rPr>
            </w:pPr>
          </w:p>
        </w:tc>
        <w:tc>
          <w:tcPr>
            <w:tcW w:w="0" w:type="auto"/>
            <w:gridSpan w:val="3"/>
            <w:shd w:val="clear" w:color="auto" w:fill="auto"/>
          </w:tcPr>
          <w:p w14:paraId="5EA221DA" w14:textId="77777777" w:rsidR="003C66EB" w:rsidRDefault="003C66EB">
            <w:pPr>
              <w:rPr>
                <w:rFonts w:ascii="宋体"/>
                <w:vanish/>
              </w:rPr>
            </w:pPr>
          </w:p>
        </w:tc>
        <w:tc>
          <w:tcPr>
            <w:tcW w:w="0" w:type="auto"/>
            <w:gridSpan w:val="3"/>
            <w:shd w:val="clear" w:color="auto" w:fill="auto"/>
          </w:tcPr>
          <w:p w14:paraId="5EA221DB" w14:textId="77777777" w:rsidR="003C66EB" w:rsidRDefault="003C66EB">
            <w:pPr>
              <w:rPr>
                <w:rFonts w:ascii="宋体"/>
                <w:vanish/>
              </w:rPr>
            </w:pPr>
          </w:p>
        </w:tc>
        <w:tc>
          <w:tcPr>
            <w:tcW w:w="0" w:type="auto"/>
            <w:gridSpan w:val="3"/>
            <w:shd w:val="clear" w:color="auto" w:fill="auto"/>
          </w:tcPr>
          <w:p w14:paraId="5EA221DC" w14:textId="77777777" w:rsidR="003C66EB" w:rsidRDefault="003C66EB">
            <w:pPr>
              <w:rPr>
                <w:rFonts w:ascii="宋体"/>
                <w:vanish/>
              </w:rPr>
            </w:pPr>
          </w:p>
        </w:tc>
        <w:tc>
          <w:tcPr>
            <w:tcW w:w="0" w:type="auto"/>
            <w:gridSpan w:val="3"/>
            <w:shd w:val="clear" w:color="auto" w:fill="auto"/>
          </w:tcPr>
          <w:p w14:paraId="5EA221DD" w14:textId="77777777" w:rsidR="003C66EB" w:rsidRDefault="003C66EB">
            <w:pPr>
              <w:rPr>
                <w:rFonts w:ascii="宋体"/>
                <w:vanish/>
              </w:rPr>
            </w:pPr>
          </w:p>
        </w:tc>
      </w:tr>
      <w:tr w:rsidR="003C66EB" w14:paraId="5EA221F1" w14:textId="77777777">
        <w:trPr>
          <w:hidden/>
        </w:trPr>
        <w:tc>
          <w:tcPr>
            <w:tcW w:w="0" w:type="auto"/>
            <w:gridSpan w:val="3"/>
            <w:shd w:val="clear" w:color="auto" w:fill="auto"/>
          </w:tcPr>
          <w:p w14:paraId="5EA221DF" w14:textId="77777777" w:rsidR="003C66EB" w:rsidRDefault="003C66EB">
            <w:pPr>
              <w:rPr>
                <w:rFonts w:ascii="宋体"/>
                <w:vanish/>
              </w:rPr>
            </w:pPr>
          </w:p>
        </w:tc>
        <w:tc>
          <w:tcPr>
            <w:tcW w:w="0" w:type="auto"/>
            <w:gridSpan w:val="3"/>
            <w:shd w:val="clear" w:color="auto" w:fill="auto"/>
          </w:tcPr>
          <w:p w14:paraId="5EA221E0" w14:textId="77777777" w:rsidR="003C66EB" w:rsidRDefault="003C66EB">
            <w:pPr>
              <w:rPr>
                <w:rFonts w:ascii="宋体"/>
                <w:vanish/>
              </w:rPr>
            </w:pPr>
          </w:p>
        </w:tc>
        <w:tc>
          <w:tcPr>
            <w:tcW w:w="0" w:type="auto"/>
            <w:gridSpan w:val="3"/>
            <w:shd w:val="clear" w:color="auto" w:fill="auto"/>
          </w:tcPr>
          <w:p w14:paraId="5EA221E1" w14:textId="77777777" w:rsidR="003C66EB" w:rsidRDefault="003C66EB">
            <w:pPr>
              <w:rPr>
                <w:rFonts w:ascii="宋体"/>
                <w:vanish/>
              </w:rPr>
            </w:pPr>
          </w:p>
        </w:tc>
        <w:tc>
          <w:tcPr>
            <w:tcW w:w="0" w:type="auto"/>
            <w:gridSpan w:val="3"/>
            <w:shd w:val="clear" w:color="auto" w:fill="auto"/>
          </w:tcPr>
          <w:p w14:paraId="5EA221E2" w14:textId="77777777" w:rsidR="003C66EB" w:rsidRDefault="003C66EB">
            <w:pPr>
              <w:rPr>
                <w:rFonts w:ascii="宋体"/>
                <w:vanish/>
              </w:rPr>
            </w:pPr>
          </w:p>
        </w:tc>
        <w:tc>
          <w:tcPr>
            <w:tcW w:w="0" w:type="auto"/>
            <w:gridSpan w:val="3"/>
            <w:shd w:val="clear" w:color="auto" w:fill="auto"/>
          </w:tcPr>
          <w:p w14:paraId="5EA221E3" w14:textId="77777777" w:rsidR="003C66EB" w:rsidRDefault="003C66EB">
            <w:pPr>
              <w:rPr>
                <w:rFonts w:ascii="宋体"/>
                <w:vanish/>
              </w:rPr>
            </w:pPr>
          </w:p>
        </w:tc>
        <w:tc>
          <w:tcPr>
            <w:tcW w:w="0" w:type="auto"/>
            <w:gridSpan w:val="3"/>
            <w:shd w:val="clear" w:color="auto" w:fill="auto"/>
          </w:tcPr>
          <w:p w14:paraId="5EA221E4" w14:textId="77777777" w:rsidR="003C66EB" w:rsidRDefault="003C66EB">
            <w:pPr>
              <w:rPr>
                <w:rFonts w:ascii="宋体"/>
                <w:vanish/>
              </w:rPr>
            </w:pPr>
          </w:p>
        </w:tc>
        <w:tc>
          <w:tcPr>
            <w:tcW w:w="0" w:type="auto"/>
            <w:gridSpan w:val="3"/>
            <w:shd w:val="clear" w:color="auto" w:fill="auto"/>
          </w:tcPr>
          <w:p w14:paraId="5EA221E5" w14:textId="77777777" w:rsidR="003C66EB" w:rsidRDefault="003C66EB">
            <w:pPr>
              <w:rPr>
                <w:rFonts w:ascii="宋体"/>
                <w:vanish/>
              </w:rPr>
            </w:pPr>
          </w:p>
        </w:tc>
        <w:tc>
          <w:tcPr>
            <w:tcW w:w="0" w:type="auto"/>
            <w:gridSpan w:val="3"/>
            <w:shd w:val="clear" w:color="auto" w:fill="auto"/>
          </w:tcPr>
          <w:p w14:paraId="5EA221E6" w14:textId="77777777" w:rsidR="003C66EB" w:rsidRDefault="003C66EB">
            <w:pPr>
              <w:rPr>
                <w:rFonts w:ascii="宋体"/>
                <w:vanish/>
              </w:rPr>
            </w:pPr>
          </w:p>
        </w:tc>
        <w:tc>
          <w:tcPr>
            <w:tcW w:w="0" w:type="auto"/>
            <w:gridSpan w:val="3"/>
            <w:shd w:val="clear" w:color="auto" w:fill="auto"/>
          </w:tcPr>
          <w:p w14:paraId="5EA221E7" w14:textId="77777777" w:rsidR="003C66EB" w:rsidRDefault="003C66EB">
            <w:pPr>
              <w:rPr>
                <w:rFonts w:ascii="宋体"/>
                <w:vanish/>
              </w:rPr>
            </w:pPr>
          </w:p>
        </w:tc>
        <w:tc>
          <w:tcPr>
            <w:tcW w:w="0" w:type="auto"/>
            <w:gridSpan w:val="3"/>
            <w:shd w:val="clear" w:color="auto" w:fill="auto"/>
          </w:tcPr>
          <w:p w14:paraId="5EA221E8" w14:textId="77777777" w:rsidR="003C66EB" w:rsidRDefault="003C66EB">
            <w:pPr>
              <w:rPr>
                <w:rFonts w:ascii="宋体"/>
                <w:vanish/>
              </w:rPr>
            </w:pPr>
          </w:p>
        </w:tc>
        <w:tc>
          <w:tcPr>
            <w:tcW w:w="0" w:type="auto"/>
            <w:gridSpan w:val="3"/>
            <w:shd w:val="clear" w:color="auto" w:fill="auto"/>
          </w:tcPr>
          <w:p w14:paraId="5EA221E9" w14:textId="77777777" w:rsidR="003C66EB" w:rsidRDefault="003C66EB">
            <w:pPr>
              <w:rPr>
                <w:rFonts w:ascii="宋体"/>
                <w:vanish/>
              </w:rPr>
            </w:pPr>
          </w:p>
        </w:tc>
        <w:tc>
          <w:tcPr>
            <w:tcW w:w="0" w:type="auto"/>
            <w:gridSpan w:val="3"/>
            <w:shd w:val="clear" w:color="auto" w:fill="auto"/>
          </w:tcPr>
          <w:p w14:paraId="5EA221EA" w14:textId="77777777" w:rsidR="003C66EB" w:rsidRDefault="003C66EB">
            <w:pPr>
              <w:rPr>
                <w:rFonts w:ascii="宋体"/>
                <w:vanish/>
              </w:rPr>
            </w:pPr>
          </w:p>
        </w:tc>
        <w:tc>
          <w:tcPr>
            <w:tcW w:w="0" w:type="auto"/>
            <w:gridSpan w:val="3"/>
            <w:shd w:val="clear" w:color="auto" w:fill="auto"/>
          </w:tcPr>
          <w:p w14:paraId="5EA221EB" w14:textId="77777777" w:rsidR="003C66EB" w:rsidRDefault="003C66EB">
            <w:pPr>
              <w:rPr>
                <w:rFonts w:ascii="宋体"/>
                <w:vanish/>
              </w:rPr>
            </w:pPr>
          </w:p>
        </w:tc>
        <w:tc>
          <w:tcPr>
            <w:tcW w:w="0" w:type="auto"/>
            <w:gridSpan w:val="3"/>
            <w:shd w:val="clear" w:color="auto" w:fill="auto"/>
          </w:tcPr>
          <w:p w14:paraId="5EA221EC" w14:textId="77777777" w:rsidR="003C66EB" w:rsidRDefault="003C66EB">
            <w:pPr>
              <w:rPr>
                <w:rFonts w:ascii="宋体"/>
                <w:vanish/>
              </w:rPr>
            </w:pPr>
          </w:p>
        </w:tc>
        <w:tc>
          <w:tcPr>
            <w:tcW w:w="0" w:type="auto"/>
            <w:gridSpan w:val="3"/>
            <w:shd w:val="clear" w:color="auto" w:fill="auto"/>
          </w:tcPr>
          <w:p w14:paraId="5EA221ED" w14:textId="77777777" w:rsidR="003C66EB" w:rsidRDefault="003C66EB">
            <w:pPr>
              <w:rPr>
                <w:rFonts w:ascii="宋体"/>
                <w:vanish/>
              </w:rPr>
            </w:pPr>
          </w:p>
        </w:tc>
        <w:tc>
          <w:tcPr>
            <w:tcW w:w="0" w:type="auto"/>
            <w:gridSpan w:val="3"/>
            <w:shd w:val="clear" w:color="auto" w:fill="auto"/>
          </w:tcPr>
          <w:p w14:paraId="5EA221EE" w14:textId="77777777" w:rsidR="003C66EB" w:rsidRDefault="003C66EB">
            <w:pPr>
              <w:rPr>
                <w:rFonts w:ascii="宋体"/>
                <w:vanish/>
              </w:rPr>
            </w:pPr>
          </w:p>
        </w:tc>
        <w:tc>
          <w:tcPr>
            <w:tcW w:w="0" w:type="auto"/>
            <w:gridSpan w:val="3"/>
            <w:shd w:val="clear" w:color="auto" w:fill="auto"/>
          </w:tcPr>
          <w:p w14:paraId="5EA221EF" w14:textId="77777777" w:rsidR="003C66EB" w:rsidRDefault="003C66EB">
            <w:pPr>
              <w:rPr>
                <w:rFonts w:ascii="宋体"/>
                <w:vanish/>
              </w:rPr>
            </w:pPr>
          </w:p>
        </w:tc>
        <w:tc>
          <w:tcPr>
            <w:tcW w:w="0" w:type="auto"/>
            <w:gridSpan w:val="3"/>
            <w:shd w:val="clear" w:color="auto" w:fill="auto"/>
          </w:tcPr>
          <w:p w14:paraId="5EA221F0" w14:textId="77777777" w:rsidR="003C66EB" w:rsidRDefault="003C66EB">
            <w:pPr>
              <w:rPr>
                <w:rFonts w:ascii="宋体"/>
                <w:vanish/>
              </w:rPr>
            </w:pPr>
          </w:p>
        </w:tc>
      </w:tr>
      <w:tr w:rsidR="003C66EB" w14:paraId="5EA22204" w14:textId="77777777">
        <w:trPr>
          <w:hidden/>
        </w:trPr>
        <w:tc>
          <w:tcPr>
            <w:tcW w:w="0" w:type="auto"/>
            <w:gridSpan w:val="3"/>
            <w:shd w:val="clear" w:color="auto" w:fill="auto"/>
          </w:tcPr>
          <w:p w14:paraId="5EA221F2" w14:textId="77777777" w:rsidR="003C66EB" w:rsidRDefault="003C66EB">
            <w:pPr>
              <w:rPr>
                <w:rFonts w:ascii="宋体"/>
                <w:vanish/>
              </w:rPr>
            </w:pPr>
          </w:p>
        </w:tc>
        <w:tc>
          <w:tcPr>
            <w:tcW w:w="0" w:type="auto"/>
            <w:gridSpan w:val="3"/>
            <w:shd w:val="clear" w:color="auto" w:fill="auto"/>
          </w:tcPr>
          <w:p w14:paraId="5EA221F3" w14:textId="77777777" w:rsidR="003C66EB" w:rsidRDefault="003C66EB">
            <w:pPr>
              <w:rPr>
                <w:rFonts w:ascii="宋体"/>
                <w:vanish/>
              </w:rPr>
            </w:pPr>
          </w:p>
        </w:tc>
        <w:tc>
          <w:tcPr>
            <w:tcW w:w="0" w:type="auto"/>
            <w:gridSpan w:val="3"/>
            <w:shd w:val="clear" w:color="auto" w:fill="auto"/>
          </w:tcPr>
          <w:p w14:paraId="5EA221F4" w14:textId="77777777" w:rsidR="003C66EB" w:rsidRDefault="003C66EB">
            <w:pPr>
              <w:rPr>
                <w:rFonts w:ascii="宋体"/>
                <w:vanish/>
              </w:rPr>
            </w:pPr>
          </w:p>
        </w:tc>
        <w:tc>
          <w:tcPr>
            <w:tcW w:w="0" w:type="auto"/>
            <w:gridSpan w:val="3"/>
            <w:shd w:val="clear" w:color="auto" w:fill="auto"/>
          </w:tcPr>
          <w:p w14:paraId="5EA221F5" w14:textId="77777777" w:rsidR="003C66EB" w:rsidRDefault="003C66EB">
            <w:pPr>
              <w:rPr>
                <w:rFonts w:ascii="宋体"/>
                <w:vanish/>
              </w:rPr>
            </w:pPr>
          </w:p>
        </w:tc>
        <w:tc>
          <w:tcPr>
            <w:tcW w:w="0" w:type="auto"/>
            <w:gridSpan w:val="3"/>
            <w:shd w:val="clear" w:color="auto" w:fill="auto"/>
          </w:tcPr>
          <w:p w14:paraId="5EA221F6" w14:textId="77777777" w:rsidR="003C66EB" w:rsidRDefault="003C66EB">
            <w:pPr>
              <w:rPr>
                <w:rFonts w:ascii="宋体"/>
                <w:vanish/>
              </w:rPr>
            </w:pPr>
          </w:p>
        </w:tc>
        <w:tc>
          <w:tcPr>
            <w:tcW w:w="0" w:type="auto"/>
            <w:gridSpan w:val="3"/>
            <w:shd w:val="clear" w:color="auto" w:fill="auto"/>
          </w:tcPr>
          <w:p w14:paraId="5EA221F7" w14:textId="77777777" w:rsidR="003C66EB" w:rsidRDefault="003C66EB">
            <w:pPr>
              <w:rPr>
                <w:rFonts w:ascii="宋体"/>
                <w:vanish/>
              </w:rPr>
            </w:pPr>
          </w:p>
        </w:tc>
        <w:tc>
          <w:tcPr>
            <w:tcW w:w="0" w:type="auto"/>
            <w:gridSpan w:val="3"/>
            <w:shd w:val="clear" w:color="auto" w:fill="auto"/>
          </w:tcPr>
          <w:p w14:paraId="5EA221F8" w14:textId="77777777" w:rsidR="003C66EB" w:rsidRDefault="003C66EB">
            <w:pPr>
              <w:rPr>
                <w:rFonts w:ascii="宋体"/>
                <w:vanish/>
              </w:rPr>
            </w:pPr>
          </w:p>
        </w:tc>
        <w:tc>
          <w:tcPr>
            <w:tcW w:w="0" w:type="auto"/>
            <w:gridSpan w:val="3"/>
            <w:shd w:val="clear" w:color="auto" w:fill="auto"/>
          </w:tcPr>
          <w:p w14:paraId="5EA221F9" w14:textId="77777777" w:rsidR="003C66EB" w:rsidRDefault="003C66EB">
            <w:pPr>
              <w:rPr>
                <w:rFonts w:ascii="宋体"/>
                <w:vanish/>
              </w:rPr>
            </w:pPr>
          </w:p>
        </w:tc>
        <w:tc>
          <w:tcPr>
            <w:tcW w:w="0" w:type="auto"/>
            <w:gridSpan w:val="3"/>
            <w:shd w:val="clear" w:color="auto" w:fill="auto"/>
          </w:tcPr>
          <w:p w14:paraId="5EA221FA" w14:textId="77777777" w:rsidR="003C66EB" w:rsidRDefault="003C66EB">
            <w:pPr>
              <w:rPr>
                <w:rFonts w:ascii="宋体"/>
                <w:vanish/>
              </w:rPr>
            </w:pPr>
          </w:p>
        </w:tc>
        <w:tc>
          <w:tcPr>
            <w:tcW w:w="0" w:type="auto"/>
            <w:gridSpan w:val="3"/>
            <w:shd w:val="clear" w:color="auto" w:fill="auto"/>
          </w:tcPr>
          <w:p w14:paraId="5EA221FB" w14:textId="77777777" w:rsidR="003C66EB" w:rsidRDefault="003C66EB">
            <w:pPr>
              <w:rPr>
                <w:rFonts w:ascii="宋体"/>
                <w:vanish/>
              </w:rPr>
            </w:pPr>
          </w:p>
        </w:tc>
        <w:tc>
          <w:tcPr>
            <w:tcW w:w="0" w:type="auto"/>
            <w:gridSpan w:val="3"/>
            <w:shd w:val="clear" w:color="auto" w:fill="auto"/>
          </w:tcPr>
          <w:p w14:paraId="5EA221FC" w14:textId="77777777" w:rsidR="003C66EB" w:rsidRDefault="003C66EB">
            <w:pPr>
              <w:rPr>
                <w:rFonts w:ascii="宋体"/>
                <w:vanish/>
              </w:rPr>
            </w:pPr>
          </w:p>
        </w:tc>
        <w:tc>
          <w:tcPr>
            <w:tcW w:w="0" w:type="auto"/>
            <w:gridSpan w:val="3"/>
            <w:shd w:val="clear" w:color="auto" w:fill="auto"/>
          </w:tcPr>
          <w:p w14:paraId="5EA221FD" w14:textId="77777777" w:rsidR="003C66EB" w:rsidRDefault="003C66EB">
            <w:pPr>
              <w:rPr>
                <w:rFonts w:ascii="宋体"/>
                <w:vanish/>
              </w:rPr>
            </w:pPr>
          </w:p>
        </w:tc>
        <w:tc>
          <w:tcPr>
            <w:tcW w:w="0" w:type="auto"/>
            <w:gridSpan w:val="3"/>
            <w:shd w:val="clear" w:color="auto" w:fill="auto"/>
          </w:tcPr>
          <w:p w14:paraId="5EA221FE" w14:textId="77777777" w:rsidR="003C66EB" w:rsidRDefault="003C66EB">
            <w:pPr>
              <w:rPr>
                <w:rFonts w:ascii="宋体"/>
                <w:vanish/>
              </w:rPr>
            </w:pPr>
          </w:p>
        </w:tc>
        <w:tc>
          <w:tcPr>
            <w:tcW w:w="0" w:type="auto"/>
            <w:gridSpan w:val="3"/>
            <w:shd w:val="clear" w:color="auto" w:fill="auto"/>
          </w:tcPr>
          <w:p w14:paraId="5EA221FF" w14:textId="77777777" w:rsidR="003C66EB" w:rsidRDefault="003C66EB">
            <w:pPr>
              <w:rPr>
                <w:rFonts w:ascii="宋体"/>
                <w:vanish/>
              </w:rPr>
            </w:pPr>
          </w:p>
        </w:tc>
        <w:tc>
          <w:tcPr>
            <w:tcW w:w="0" w:type="auto"/>
            <w:gridSpan w:val="3"/>
            <w:shd w:val="clear" w:color="auto" w:fill="auto"/>
          </w:tcPr>
          <w:p w14:paraId="5EA22200" w14:textId="77777777" w:rsidR="003C66EB" w:rsidRDefault="003C66EB">
            <w:pPr>
              <w:rPr>
                <w:rFonts w:ascii="宋体"/>
                <w:vanish/>
              </w:rPr>
            </w:pPr>
          </w:p>
        </w:tc>
        <w:tc>
          <w:tcPr>
            <w:tcW w:w="0" w:type="auto"/>
            <w:gridSpan w:val="3"/>
            <w:shd w:val="clear" w:color="auto" w:fill="auto"/>
          </w:tcPr>
          <w:p w14:paraId="5EA22201" w14:textId="77777777" w:rsidR="003C66EB" w:rsidRDefault="003C66EB">
            <w:pPr>
              <w:rPr>
                <w:rFonts w:ascii="宋体"/>
                <w:vanish/>
              </w:rPr>
            </w:pPr>
          </w:p>
        </w:tc>
        <w:tc>
          <w:tcPr>
            <w:tcW w:w="0" w:type="auto"/>
            <w:gridSpan w:val="3"/>
            <w:shd w:val="clear" w:color="auto" w:fill="auto"/>
          </w:tcPr>
          <w:p w14:paraId="5EA22202" w14:textId="77777777" w:rsidR="003C66EB" w:rsidRDefault="003C66EB">
            <w:pPr>
              <w:rPr>
                <w:rFonts w:ascii="宋体"/>
                <w:vanish/>
              </w:rPr>
            </w:pPr>
          </w:p>
        </w:tc>
        <w:tc>
          <w:tcPr>
            <w:tcW w:w="0" w:type="auto"/>
            <w:gridSpan w:val="3"/>
            <w:shd w:val="clear" w:color="auto" w:fill="auto"/>
          </w:tcPr>
          <w:p w14:paraId="5EA22203" w14:textId="77777777" w:rsidR="003C66EB" w:rsidRDefault="003C66EB">
            <w:pPr>
              <w:rPr>
                <w:rFonts w:ascii="宋体"/>
                <w:vanish/>
              </w:rPr>
            </w:pPr>
          </w:p>
        </w:tc>
      </w:tr>
      <w:tr w:rsidR="003C66EB" w14:paraId="5EA22217" w14:textId="77777777">
        <w:trPr>
          <w:hidden/>
        </w:trPr>
        <w:tc>
          <w:tcPr>
            <w:tcW w:w="0" w:type="auto"/>
            <w:gridSpan w:val="3"/>
            <w:shd w:val="clear" w:color="auto" w:fill="auto"/>
          </w:tcPr>
          <w:p w14:paraId="5EA22205" w14:textId="77777777" w:rsidR="003C66EB" w:rsidRDefault="003C66EB">
            <w:pPr>
              <w:rPr>
                <w:rFonts w:ascii="宋体"/>
                <w:vanish/>
              </w:rPr>
            </w:pPr>
          </w:p>
        </w:tc>
        <w:tc>
          <w:tcPr>
            <w:tcW w:w="0" w:type="auto"/>
            <w:gridSpan w:val="3"/>
            <w:shd w:val="clear" w:color="auto" w:fill="auto"/>
          </w:tcPr>
          <w:p w14:paraId="5EA22206" w14:textId="77777777" w:rsidR="003C66EB" w:rsidRDefault="003C66EB">
            <w:pPr>
              <w:rPr>
                <w:rFonts w:ascii="宋体"/>
                <w:vanish/>
              </w:rPr>
            </w:pPr>
          </w:p>
        </w:tc>
        <w:tc>
          <w:tcPr>
            <w:tcW w:w="0" w:type="auto"/>
            <w:gridSpan w:val="3"/>
            <w:shd w:val="clear" w:color="auto" w:fill="auto"/>
          </w:tcPr>
          <w:p w14:paraId="5EA22207" w14:textId="77777777" w:rsidR="003C66EB" w:rsidRDefault="003C66EB">
            <w:pPr>
              <w:rPr>
                <w:rFonts w:ascii="宋体"/>
                <w:vanish/>
              </w:rPr>
            </w:pPr>
          </w:p>
        </w:tc>
        <w:tc>
          <w:tcPr>
            <w:tcW w:w="0" w:type="auto"/>
            <w:gridSpan w:val="3"/>
            <w:shd w:val="clear" w:color="auto" w:fill="auto"/>
          </w:tcPr>
          <w:p w14:paraId="5EA22208" w14:textId="77777777" w:rsidR="003C66EB" w:rsidRDefault="003C66EB">
            <w:pPr>
              <w:rPr>
                <w:rFonts w:ascii="宋体"/>
                <w:vanish/>
              </w:rPr>
            </w:pPr>
          </w:p>
        </w:tc>
        <w:tc>
          <w:tcPr>
            <w:tcW w:w="0" w:type="auto"/>
            <w:gridSpan w:val="3"/>
            <w:shd w:val="clear" w:color="auto" w:fill="auto"/>
          </w:tcPr>
          <w:p w14:paraId="5EA22209" w14:textId="77777777" w:rsidR="003C66EB" w:rsidRDefault="003C66EB">
            <w:pPr>
              <w:rPr>
                <w:rFonts w:ascii="宋体"/>
                <w:vanish/>
              </w:rPr>
            </w:pPr>
          </w:p>
        </w:tc>
        <w:tc>
          <w:tcPr>
            <w:tcW w:w="0" w:type="auto"/>
            <w:gridSpan w:val="3"/>
            <w:shd w:val="clear" w:color="auto" w:fill="auto"/>
          </w:tcPr>
          <w:p w14:paraId="5EA2220A" w14:textId="77777777" w:rsidR="003C66EB" w:rsidRDefault="003C66EB">
            <w:pPr>
              <w:rPr>
                <w:rFonts w:ascii="宋体"/>
                <w:vanish/>
              </w:rPr>
            </w:pPr>
          </w:p>
        </w:tc>
        <w:tc>
          <w:tcPr>
            <w:tcW w:w="0" w:type="auto"/>
            <w:gridSpan w:val="3"/>
            <w:shd w:val="clear" w:color="auto" w:fill="auto"/>
          </w:tcPr>
          <w:p w14:paraId="5EA2220B" w14:textId="77777777" w:rsidR="003C66EB" w:rsidRDefault="003C66EB">
            <w:pPr>
              <w:rPr>
                <w:rFonts w:ascii="宋体"/>
                <w:vanish/>
              </w:rPr>
            </w:pPr>
          </w:p>
        </w:tc>
        <w:tc>
          <w:tcPr>
            <w:tcW w:w="0" w:type="auto"/>
            <w:gridSpan w:val="3"/>
            <w:shd w:val="clear" w:color="auto" w:fill="auto"/>
          </w:tcPr>
          <w:p w14:paraId="5EA2220C" w14:textId="77777777" w:rsidR="003C66EB" w:rsidRDefault="003C66EB">
            <w:pPr>
              <w:rPr>
                <w:rFonts w:ascii="宋体"/>
                <w:vanish/>
              </w:rPr>
            </w:pPr>
          </w:p>
        </w:tc>
        <w:tc>
          <w:tcPr>
            <w:tcW w:w="0" w:type="auto"/>
            <w:gridSpan w:val="3"/>
            <w:shd w:val="clear" w:color="auto" w:fill="auto"/>
          </w:tcPr>
          <w:p w14:paraId="5EA2220D" w14:textId="77777777" w:rsidR="003C66EB" w:rsidRDefault="003C66EB">
            <w:pPr>
              <w:rPr>
                <w:rFonts w:ascii="宋体"/>
                <w:vanish/>
              </w:rPr>
            </w:pPr>
          </w:p>
        </w:tc>
        <w:tc>
          <w:tcPr>
            <w:tcW w:w="0" w:type="auto"/>
            <w:gridSpan w:val="3"/>
            <w:shd w:val="clear" w:color="auto" w:fill="auto"/>
          </w:tcPr>
          <w:p w14:paraId="5EA2220E" w14:textId="77777777" w:rsidR="003C66EB" w:rsidRDefault="003C66EB">
            <w:pPr>
              <w:rPr>
                <w:rFonts w:ascii="宋体"/>
                <w:vanish/>
              </w:rPr>
            </w:pPr>
          </w:p>
        </w:tc>
        <w:tc>
          <w:tcPr>
            <w:tcW w:w="0" w:type="auto"/>
            <w:gridSpan w:val="3"/>
            <w:shd w:val="clear" w:color="auto" w:fill="auto"/>
          </w:tcPr>
          <w:p w14:paraId="5EA2220F" w14:textId="77777777" w:rsidR="003C66EB" w:rsidRDefault="003C66EB">
            <w:pPr>
              <w:rPr>
                <w:rFonts w:ascii="宋体"/>
                <w:vanish/>
              </w:rPr>
            </w:pPr>
          </w:p>
        </w:tc>
        <w:tc>
          <w:tcPr>
            <w:tcW w:w="0" w:type="auto"/>
            <w:gridSpan w:val="3"/>
            <w:shd w:val="clear" w:color="auto" w:fill="auto"/>
          </w:tcPr>
          <w:p w14:paraId="5EA22210" w14:textId="77777777" w:rsidR="003C66EB" w:rsidRDefault="003C66EB">
            <w:pPr>
              <w:rPr>
                <w:rFonts w:ascii="宋体"/>
                <w:vanish/>
              </w:rPr>
            </w:pPr>
          </w:p>
        </w:tc>
        <w:tc>
          <w:tcPr>
            <w:tcW w:w="0" w:type="auto"/>
            <w:gridSpan w:val="3"/>
            <w:shd w:val="clear" w:color="auto" w:fill="auto"/>
          </w:tcPr>
          <w:p w14:paraId="5EA22211" w14:textId="77777777" w:rsidR="003C66EB" w:rsidRDefault="003C66EB">
            <w:pPr>
              <w:rPr>
                <w:rFonts w:ascii="宋体"/>
                <w:vanish/>
              </w:rPr>
            </w:pPr>
          </w:p>
        </w:tc>
        <w:tc>
          <w:tcPr>
            <w:tcW w:w="0" w:type="auto"/>
            <w:gridSpan w:val="3"/>
            <w:shd w:val="clear" w:color="auto" w:fill="auto"/>
          </w:tcPr>
          <w:p w14:paraId="5EA22212" w14:textId="77777777" w:rsidR="003C66EB" w:rsidRDefault="003C66EB">
            <w:pPr>
              <w:rPr>
                <w:rFonts w:ascii="宋体"/>
                <w:vanish/>
              </w:rPr>
            </w:pPr>
          </w:p>
        </w:tc>
        <w:tc>
          <w:tcPr>
            <w:tcW w:w="0" w:type="auto"/>
            <w:gridSpan w:val="3"/>
            <w:shd w:val="clear" w:color="auto" w:fill="auto"/>
          </w:tcPr>
          <w:p w14:paraId="5EA22213" w14:textId="77777777" w:rsidR="003C66EB" w:rsidRDefault="003C66EB">
            <w:pPr>
              <w:rPr>
                <w:rFonts w:ascii="宋体"/>
                <w:vanish/>
              </w:rPr>
            </w:pPr>
          </w:p>
        </w:tc>
        <w:tc>
          <w:tcPr>
            <w:tcW w:w="0" w:type="auto"/>
            <w:gridSpan w:val="3"/>
            <w:shd w:val="clear" w:color="auto" w:fill="auto"/>
          </w:tcPr>
          <w:p w14:paraId="5EA22214" w14:textId="77777777" w:rsidR="003C66EB" w:rsidRDefault="003C66EB">
            <w:pPr>
              <w:rPr>
                <w:rFonts w:ascii="宋体"/>
                <w:vanish/>
              </w:rPr>
            </w:pPr>
          </w:p>
        </w:tc>
        <w:tc>
          <w:tcPr>
            <w:tcW w:w="0" w:type="auto"/>
            <w:gridSpan w:val="3"/>
            <w:shd w:val="clear" w:color="auto" w:fill="auto"/>
          </w:tcPr>
          <w:p w14:paraId="5EA22215" w14:textId="77777777" w:rsidR="003C66EB" w:rsidRDefault="003C66EB">
            <w:pPr>
              <w:rPr>
                <w:rFonts w:ascii="宋体"/>
                <w:vanish/>
              </w:rPr>
            </w:pPr>
          </w:p>
        </w:tc>
        <w:tc>
          <w:tcPr>
            <w:tcW w:w="0" w:type="auto"/>
            <w:gridSpan w:val="3"/>
            <w:shd w:val="clear" w:color="auto" w:fill="auto"/>
          </w:tcPr>
          <w:p w14:paraId="5EA22216" w14:textId="77777777" w:rsidR="003C66EB" w:rsidRDefault="003C66EB">
            <w:pPr>
              <w:rPr>
                <w:rFonts w:ascii="宋体"/>
                <w:vanish/>
              </w:rPr>
            </w:pPr>
          </w:p>
        </w:tc>
      </w:tr>
      <w:tr w:rsidR="003C66EB" w14:paraId="5EA2222A" w14:textId="77777777">
        <w:trPr>
          <w:hidden/>
        </w:trPr>
        <w:tc>
          <w:tcPr>
            <w:tcW w:w="0" w:type="auto"/>
            <w:gridSpan w:val="3"/>
            <w:shd w:val="clear" w:color="auto" w:fill="auto"/>
          </w:tcPr>
          <w:p w14:paraId="5EA22218" w14:textId="77777777" w:rsidR="003C66EB" w:rsidRDefault="003C66EB">
            <w:pPr>
              <w:rPr>
                <w:rFonts w:ascii="宋体"/>
                <w:vanish/>
              </w:rPr>
            </w:pPr>
          </w:p>
        </w:tc>
        <w:tc>
          <w:tcPr>
            <w:tcW w:w="0" w:type="auto"/>
            <w:gridSpan w:val="3"/>
            <w:shd w:val="clear" w:color="auto" w:fill="auto"/>
          </w:tcPr>
          <w:p w14:paraId="5EA22219" w14:textId="77777777" w:rsidR="003C66EB" w:rsidRDefault="003C66EB">
            <w:pPr>
              <w:rPr>
                <w:rFonts w:ascii="宋体"/>
                <w:vanish/>
              </w:rPr>
            </w:pPr>
          </w:p>
        </w:tc>
        <w:tc>
          <w:tcPr>
            <w:tcW w:w="0" w:type="auto"/>
            <w:gridSpan w:val="3"/>
            <w:shd w:val="clear" w:color="auto" w:fill="auto"/>
          </w:tcPr>
          <w:p w14:paraId="5EA2221A" w14:textId="77777777" w:rsidR="003C66EB" w:rsidRDefault="003C66EB">
            <w:pPr>
              <w:rPr>
                <w:rFonts w:ascii="宋体"/>
                <w:vanish/>
              </w:rPr>
            </w:pPr>
          </w:p>
        </w:tc>
        <w:tc>
          <w:tcPr>
            <w:tcW w:w="0" w:type="auto"/>
            <w:gridSpan w:val="3"/>
            <w:shd w:val="clear" w:color="auto" w:fill="auto"/>
          </w:tcPr>
          <w:p w14:paraId="5EA2221B" w14:textId="77777777" w:rsidR="003C66EB" w:rsidRDefault="003C66EB">
            <w:pPr>
              <w:rPr>
                <w:rFonts w:ascii="宋体"/>
                <w:vanish/>
              </w:rPr>
            </w:pPr>
          </w:p>
        </w:tc>
        <w:tc>
          <w:tcPr>
            <w:tcW w:w="0" w:type="auto"/>
            <w:gridSpan w:val="3"/>
            <w:shd w:val="clear" w:color="auto" w:fill="auto"/>
          </w:tcPr>
          <w:p w14:paraId="5EA2221C" w14:textId="77777777" w:rsidR="003C66EB" w:rsidRDefault="003C66EB">
            <w:pPr>
              <w:rPr>
                <w:rFonts w:ascii="宋体"/>
                <w:vanish/>
              </w:rPr>
            </w:pPr>
          </w:p>
        </w:tc>
        <w:tc>
          <w:tcPr>
            <w:tcW w:w="0" w:type="auto"/>
            <w:gridSpan w:val="3"/>
            <w:shd w:val="clear" w:color="auto" w:fill="auto"/>
          </w:tcPr>
          <w:p w14:paraId="5EA2221D" w14:textId="77777777" w:rsidR="003C66EB" w:rsidRDefault="003C66EB">
            <w:pPr>
              <w:rPr>
                <w:rFonts w:ascii="宋体"/>
                <w:vanish/>
              </w:rPr>
            </w:pPr>
          </w:p>
        </w:tc>
        <w:tc>
          <w:tcPr>
            <w:tcW w:w="0" w:type="auto"/>
            <w:gridSpan w:val="3"/>
            <w:shd w:val="clear" w:color="auto" w:fill="auto"/>
          </w:tcPr>
          <w:p w14:paraId="5EA2221E" w14:textId="77777777" w:rsidR="003C66EB" w:rsidRDefault="003C66EB">
            <w:pPr>
              <w:rPr>
                <w:rFonts w:ascii="宋体"/>
                <w:vanish/>
              </w:rPr>
            </w:pPr>
          </w:p>
        </w:tc>
        <w:tc>
          <w:tcPr>
            <w:tcW w:w="0" w:type="auto"/>
            <w:gridSpan w:val="3"/>
            <w:shd w:val="clear" w:color="auto" w:fill="auto"/>
          </w:tcPr>
          <w:p w14:paraId="5EA2221F" w14:textId="77777777" w:rsidR="003C66EB" w:rsidRDefault="003C66EB">
            <w:pPr>
              <w:rPr>
                <w:rFonts w:ascii="宋体"/>
                <w:vanish/>
              </w:rPr>
            </w:pPr>
          </w:p>
        </w:tc>
        <w:tc>
          <w:tcPr>
            <w:tcW w:w="0" w:type="auto"/>
            <w:gridSpan w:val="3"/>
            <w:shd w:val="clear" w:color="auto" w:fill="auto"/>
          </w:tcPr>
          <w:p w14:paraId="5EA22220" w14:textId="77777777" w:rsidR="003C66EB" w:rsidRDefault="003C66EB">
            <w:pPr>
              <w:rPr>
                <w:rFonts w:ascii="宋体"/>
                <w:vanish/>
              </w:rPr>
            </w:pPr>
          </w:p>
        </w:tc>
        <w:tc>
          <w:tcPr>
            <w:tcW w:w="0" w:type="auto"/>
            <w:gridSpan w:val="3"/>
            <w:shd w:val="clear" w:color="auto" w:fill="auto"/>
          </w:tcPr>
          <w:p w14:paraId="5EA22221" w14:textId="77777777" w:rsidR="003C66EB" w:rsidRDefault="003C66EB">
            <w:pPr>
              <w:rPr>
                <w:rFonts w:ascii="宋体"/>
                <w:vanish/>
              </w:rPr>
            </w:pPr>
          </w:p>
        </w:tc>
        <w:tc>
          <w:tcPr>
            <w:tcW w:w="0" w:type="auto"/>
            <w:gridSpan w:val="3"/>
            <w:shd w:val="clear" w:color="auto" w:fill="auto"/>
          </w:tcPr>
          <w:p w14:paraId="5EA22222" w14:textId="77777777" w:rsidR="003C66EB" w:rsidRDefault="003C66EB">
            <w:pPr>
              <w:rPr>
                <w:rFonts w:ascii="宋体"/>
                <w:vanish/>
              </w:rPr>
            </w:pPr>
          </w:p>
        </w:tc>
        <w:tc>
          <w:tcPr>
            <w:tcW w:w="0" w:type="auto"/>
            <w:gridSpan w:val="3"/>
            <w:shd w:val="clear" w:color="auto" w:fill="auto"/>
          </w:tcPr>
          <w:p w14:paraId="5EA22223" w14:textId="77777777" w:rsidR="003C66EB" w:rsidRDefault="003C66EB">
            <w:pPr>
              <w:rPr>
                <w:rFonts w:ascii="宋体"/>
                <w:vanish/>
              </w:rPr>
            </w:pPr>
          </w:p>
        </w:tc>
        <w:tc>
          <w:tcPr>
            <w:tcW w:w="0" w:type="auto"/>
            <w:gridSpan w:val="3"/>
            <w:shd w:val="clear" w:color="auto" w:fill="auto"/>
          </w:tcPr>
          <w:p w14:paraId="5EA22224" w14:textId="77777777" w:rsidR="003C66EB" w:rsidRDefault="003C66EB">
            <w:pPr>
              <w:rPr>
                <w:rFonts w:ascii="宋体"/>
                <w:vanish/>
              </w:rPr>
            </w:pPr>
          </w:p>
        </w:tc>
        <w:tc>
          <w:tcPr>
            <w:tcW w:w="0" w:type="auto"/>
            <w:gridSpan w:val="3"/>
            <w:shd w:val="clear" w:color="auto" w:fill="auto"/>
          </w:tcPr>
          <w:p w14:paraId="5EA22225" w14:textId="77777777" w:rsidR="003C66EB" w:rsidRDefault="003C66EB">
            <w:pPr>
              <w:rPr>
                <w:rFonts w:ascii="宋体"/>
                <w:vanish/>
              </w:rPr>
            </w:pPr>
          </w:p>
        </w:tc>
        <w:tc>
          <w:tcPr>
            <w:tcW w:w="0" w:type="auto"/>
            <w:gridSpan w:val="3"/>
            <w:shd w:val="clear" w:color="auto" w:fill="auto"/>
          </w:tcPr>
          <w:p w14:paraId="5EA22226" w14:textId="77777777" w:rsidR="003C66EB" w:rsidRDefault="003C66EB">
            <w:pPr>
              <w:rPr>
                <w:rFonts w:ascii="宋体"/>
                <w:vanish/>
              </w:rPr>
            </w:pPr>
          </w:p>
        </w:tc>
        <w:tc>
          <w:tcPr>
            <w:tcW w:w="0" w:type="auto"/>
            <w:gridSpan w:val="3"/>
            <w:shd w:val="clear" w:color="auto" w:fill="auto"/>
          </w:tcPr>
          <w:p w14:paraId="5EA22227" w14:textId="77777777" w:rsidR="003C66EB" w:rsidRDefault="003C66EB">
            <w:pPr>
              <w:rPr>
                <w:rFonts w:ascii="宋体"/>
                <w:vanish/>
              </w:rPr>
            </w:pPr>
          </w:p>
        </w:tc>
        <w:tc>
          <w:tcPr>
            <w:tcW w:w="0" w:type="auto"/>
            <w:gridSpan w:val="3"/>
            <w:shd w:val="clear" w:color="auto" w:fill="auto"/>
          </w:tcPr>
          <w:p w14:paraId="5EA22228" w14:textId="77777777" w:rsidR="003C66EB" w:rsidRDefault="003C66EB">
            <w:pPr>
              <w:rPr>
                <w:rFonts w:ascii="宋体"/>
                <w:vanish/>
              </w:rPr>
            </w:pPr>
          </w:p>
        </w:tc>
        <w:tc>
          <w:tcPr>
            <w:tcW w:w="0" w:type="auto"/>
            <w:gridSpan w:val="3"/>
            <w:shd w:val="clear" w:color="auto" w:fill="auto"/>
          </w:tcPr>
          <w:p w14:paraId="5EA22229" w14:textId="77777777" w:rsidR="003C66EB" w:rsidRDefault="003C66EB">
            <w:pPr>
              <w:rPr>
                <w:rFonts w:ascii="宋体"/>
                <w:vanish/>
              </w:rPr>
            </w:pPr>
          </w:p>
        </w:tc>
      </w:tr>
      <w:tr w:rsidR="003C66EB" w14:paraId="5EA2223D" w14:textId="77777777">
        <w:trPr>
          <w:hidden/>
        </w:trPr>
        <w:tc>
          <w:tcPr>
            <w:tcW w:w="0" w:type="auto"/>
            <w:gridSpan w:val="3"/>
            <w:shd w:val="clear" w:color="auto" w:fill="auto"/>
          </w:tcPr>
          <w:p w14:paraId="5EA2222B" w14:textId="77777777" w:rsidR="003C66EB" w:rsidRDefault="003C66EB">
            <w:pPr>
              <w:rPr>
                <w:rFonts w:ascii="宋体"/>
                <w:vanish/>
              </w:rPr>
            </w:pPr>
          </w:p>
        </w:tc>
        <w:tc>
          <w:tcPr>
            <w:tcW w:w="0" w:type="auto"/>
            <w:gridSpan w:val="3"/>
            <w:shd w:val="clear" w:color="auto" w:fill="auto"/>
          </w:tcPr>
          <w:p w14:paraId="5EA2222C" w14:textId="77777777" w:rsidR="003C66EB" w:rsidRDefault="003C66EB">
            <w:pPr>
              <w:rPr>
                <w:rFonts w:ascii="宋体"/>
                <w:vanish/>
              </w:rPr>
            </w:pPr>
          </w:p>
        </w:tc>
        <w:tc>
          <w:tcPr>
            <w:tcW w:w="0" w:type="auto"/>
            <w:gridSpan w:val="3"/>
            <w:shd w:val="clear" w:color="auto" w:fill="auto"/>
          </w:tcPr>
          <w:p w14:paraId="5EA2222D" w14:textId="77777777" w:rsidR="003C66EB" w:rsidRDefault="003C66EB">
            <w:pPr>
              <w:rPr>
                <w:rFonts w:ascii="宋体"/>
                <w:vanish/>
              </w:rPr>
            </w:pPr>
          </w:p>
        </w:tc>
        <w:tc>
          <w:tcPr>
            <w:tcW w:w="0" w:type="auto"/>
            <w:gridSpan w:val="3"/>
            <w:shd w:val="clear" w:color="auto" w:fill="auto"/>
          </w:tcPr>
          <w:p w14:paraId="5EA2222E" w14:textId="77777777" w:rsidR="003C66EB" w:rsidRDefault="003C66EB">
            <w:pPr>
              <w:rPr>
                <w:rFonts w:ascii="宋体"/>
                <w:vanish/>
              </w:rPr>
            </w:pPr>
          </w:p>
        </w:tc>
        <w:tc>
          <w:tcPr>
            <w:tcW w:w="0" w:type="auto"/>
            <w:gridSpan w:val="3"/>
            <w:shd w:val="clear" w:color="auto" w:fill="auto"/>
          </w:tcPr>
          <w:p w14:paraId="5EA2222F" w14:textId="77777777" w:rsidR="003C66EB" w:rsidRDefault="003C66EB">
            <w:pPr>
              <w:rPr>
                <w:rFonts w:ascii="宋体"/>
                <w:vanish/>
              </w:rPr>
            </w:pPr>
          </w:p>
        </w:tc>
        <w:tc>
          <w:tcPr>
            <w:tcW w:w="0" w:type="auto"/>
            <w:gridSpan w:val="3"/>
            <w:shd w:val="clear" w:color="auto" w:fill="auto"/>
          </w:tcPr>
          <w:p w14:paraId="5EA22230" w14:textId="77777777" w:rsidR="003C66EB" w:rsidRDefault="003C66EB">
            <w:pPr>
              <w:rPr>
                <w:rFonts w:ascii="宋体"/>
                <w:vanish/>
              </w:rPr>
            </w:pPr>
          </w:p>
        </w:tc>
        <w:tc>
          <w:tcPr>
            <w:tcW w:w="0" w:type="auto"/>
            <w:gridSpan w:val="3"/>
            <w:shd w:val="clear" w:color="auto" w:fill="auto"/>
          </w:tcPr>
          <w:p w14:paraId="5EA22231" w14:textId="77777777" w:rsidR="003C66EB" w:rsidRDefault="003C66EB">
            <w:pPr>
              <w:rPr>
                <w:rFonts w:ascii="宋体"/>
                <w:vanish/>
              </w:rPr>
            </w:pPr>
          </w:p>
        </w:tc>
        <w:tc>
          <w:tcPr>
            <w:tcW w:w="0" w:type="auto"/>
            <w:gridSpan w:val="3"/>
            <w:shd w:val="clear" w:color="auto" w:fill="auto"/>
          </w:tcPr>
          <w:p w14:paraId="5EA22232" w14:textId="77777777" w:rsidR="003C66EB" w:rsidRDefault="003C66EB">
            <w:pPr>
              <w:rPr>
                <w:rFonts w:ascii="宋体"/>
                <w:vanish/>
              </w:rPr>
            </w:pPr>
          </w:p>
        </w:tc>
        <w:tc>
          <w:tcPr>
            <w:tcW w:w="0" w:type="auto"/>
            <w:gridSpan w:val="3"/>
            <w:shd w:val="clear" w:color="auto" w:fill="auto"/>
          </w:tcPr>
          <w:p w14:paraId="5EA22233" w14:textId="77777777" w:rsidR="003C66EB" w:rsidRDefault="003C66EB">
            <w:pPr>
              <w:rPr>
                <w:rFonts w:ascii="宋体"/>
                <w:vanish/>
              </w:rPr>
            </w:pPr>
          </w:p>
        </w:tc>
        <w:tc>
          <w:tcPr>
            <w:tcW w:w="0" w:type="auto"/>
            <w:gridSpan w:val="3"/>
            <w:shd w:val="clear" w:color="auto" w:fill="auto"/>
          </w:tcPr>
          <w:p w14:paraId="5EA22234" w14:textId="77777777" w:rsidR="003C66EB" w:rsidRDefault="003C66EB">
            <w:pPr>
              <w:rPr>
                <w:rFonts w:ascii="宋体"/>
                <w:vanish/>
              </w:rPr>
            </w:pPr>
          </w:p>
        </w:tc>
        <w:tc>
          <w:tcPr>
            <w:tcW w:w="0" w:type="auto"/>
            <w:gridSpan w:val="3"/>
            <w:shd w:val="clear" w:color="auto" w:fill="auto"/>
          </w:tcPr>
          <w:p w14:paraId="5EA22235" w14:textId="77777777" w:rsidR="003C66EB" w:rsidRDefault="003C66EB">
            <w:pPr>
              <w:rPr>
                <w:rFonts w:ascii="宋体"/>
                <w:vanish/>
              </w:rPr>
            </w:pPr>
          </w:p>
        </w:tc>
        <w:tc>
          <w:tcPr>
            <w:tcW w:w="0" w:type="auto"/>
            <w:gridSpan w:val="3"/>
            <w:shd w:val="clear" w:color="auto" w:fill="auto"/>
          </w:tcPr>
          <w:p w14:paraId="5EA22236" w14:textId="77777777" w:rsidR="003C66EB" w:rsidRDefault="003C66EB">
            <w:pPr>
              <w:rPr>
                <w:rFonts w:ascii="宋体"/>
                <w:vanish/>
              </w:rPr>
            </w:pPr>
          </w:p>
        </w:tc>
        <w:tc>
          <w:tcPr>
            <w:tcW w:w="0" w:type="auto"/>
            <w:gridSpan w:val="3"/>
            <w:shd w:val="clear" w:color="auto" w:fill="auto"/>
          </w:tcPr>
          <w:p w14:paraId="5EA22237" w14:textId="77777777" w:rsidR="003C66EB" w:rsidRDefault="003C66EB">
            <w:pPr>
              <w:rPr>
                <w:rFonts w:ascii="宋体"/>
                <w:vanish/>
              </w:rPr>
            </w:pPr>
          </w:p>
        </w:tc>
        <w:tc>
          <w:tcPr>
            <w:tcW w:w="0" w:type="auto"/>
            <w:gridSpan w:val="3"/>
            <w:shd w:val="clear" w:color="auto" w:fill="auto"/>
          </w:tcPr>
          <w:p w14:paraId="5EA22238" w14:textId="77777777" w:rsidR="003C66EB" w:rsidRDefault="003C66EB">
            <w:pPr>
              <w:rPr>
                <w:rFonts w:ascii="宋体"/>
                <w:vanish/>
              </w:rPr>
            </w:pPr>
          </w:p>
        </w:tc>
        <w:tc>
          <w:tcPr>
            <w:tcW w:w="0" w:type="auto"/>
            <w:gridSpan w:val="3"/>
            <w:shd w:val="clear" w:color="auto" w:fill="auto"/>
          </w:tcPr>
          <w:p w14:paraId="5EA22239" w14:textId="77777777" w:rsidR="003C66EB" w:rsidRDefault="003C66EB">
            <w:pPr>
              <w:rPr>
                <w:rFonts w:ascii="宋体"/>
                <w:vanish/>
              </w:rPr>
            </w:pPr>
          </w:p>
        </w:tc>
        <w:tc>
          <w:tcPr>
            <w:tcW w:w="0" w:type="auto"/>
            <w:gridSpan w:val="3"/>
            <w:shd w:val="clear" w:color="auto" w:fill="auto"/>
          </w:tcPr>
          <w:p w14:paraId="5EA2223A" w14:textId="77777777" w:rsidR="003C66EB" w:rsidRDefault="003C66EB">
            <w:pPr>
              <w:rPr>
                <w:rFonts w:ascii="宋体"/>
                <w:vanish/>
              </w:rPr>
            </w:pPr>
          </w:p>
        </w:tc>
        <w:tc>
          <w:tcPr>
            <w:tcW w:w="0" w:type="auto"/>
            <w:gridSpan w:val="3"/>
            <w:shd w:val="clear" w:color="auto" w:fill="auto"/>
          </w:tcPr>
          <w:p w14:paraId="5EA2223B" w14:textId="77777777" w:rsidR="003C66EB" w:rsidRDefault="003C66EB">
            <w:pPr>
              <w:rPr>
                <w:rFonts w:ascii="宋体"/>
                <w:vanish/>
              </w:rPr>
            </w:pPr>
          </w:p>
        </w:tc>
        <w:tc>
          <w:tcPr>
            <w:tcW w:w="0" w:type="auto"/>
            <w:gridSpan w:val="3"/>
            <w:shd w:val="clear" w:color="auto" w:fill="auto"/>
          </w:tcPr>
          <w:p w14:paraId="5EA2223C" w14:textId="77777777" w:rsidR="003C66EB" w:rsidRDefault="003C66EB">
            <w:pPr>
              <w:rPr>
                <w:rFonts w:ascii="宋体"/>
                <w:vanish/>
              </w:rPr>
            </w:pPr>
          </w:p>
        </w:tc>
      </w:tr>
      <w:tr w:rsidR="003C66EB" w14:paraId="5EA22250" w14:textId="77777777">
        <w:trPr>
          <w:hidden/>
        </w:trPr>
        <w:tc>
          <w:tcPr>
            <w:tcW w:w="0" w:type="auto"/>
            <w:gridSpan w:val="3"/>
            <w:shd w:val="clear" w:color="auto" w:fill="auto"/>
          </w:tcPr>
          <w:p w14:paraId="5EA2223E" w14:textId="77777777" w:rsidR="003C66EB" w:rsidRDefault="003C66EB">
            <w:pPr>
              <w:rPr>
                <w:rFonts w:ascii="宋体"/>
                <w:vanish/>
              </w:rPr>
            </w:pPr>
          </w:p>
        </w:tc>
        <w:tc>
          <w:tcPr>
            <w:tcW w:w="0" w:type="auto"/>
            <w:gridSpan w:val="3"/>
            <w:shd w:val="clear" w:color="auto" w:fill="auto"/>
          </w:tcPr>
          <w:p w14:paraId="5EA2223F" w14:textId="77777777" w:rsidR="003C66EB" w:rsidRDefault="003C66EB">
            <w:pPr>
              <w:rPr>
                <w:rFonts w:ascii="宋体"/>
                <w:vanish/>
              </w:rPr>
            </w:pPr>
          </w:p>
        </w:tc>
        <w:tc>
          <w:tcPr>
            <w:tcW w:w="0" w:type="auto"/>
            <w:gridSpan w:val="3"/>
            <w:shd w:val="clear" w:color="auto" w:fill="auto"/>
          </w:tcPr>
          <w:p w14:paraId="5EA22240" w14:textId="77777777" w:rsidR="003C66EB" w:rsidRDefault="003C66EB">
            <w:pPr>
              <w:rPr>
                <w:rFonts w:ascii="宋体"/>
                <w:vanish/>
              </w:rPr>
            </w:pPr>
          </w:p>
        </w:tc>
        <w:tc>
          <w:tcPr>
            <w:tcW w:w="0" w:type="auto"/>
            <w:gridSpan w:val="3"/>
            <w:shd w:val="clear" w:color="auto" w:fill="auto"/>
          </w:tcPr>
          <w:p w14:paraId="5EA22241" w14:textId="77777777" w:rsidR="003C66EB" w:rsidRDefault="003C66EB">
            <w:pPr>
              <w:rPr>
                <w:rFonts w:ascii="宋体"/>
                <w:vanish/>
              </w:rPr>
            </w:pPr>
          </w:p>
        </w:tc>
        <w:tc>
          <w:tcPr>
            <w:tcW w:w="0" w:type="auto"/>
            <w:gridSpan w:val="3"/>
            <w:shd w:val="clear" w:color="auto" w:fill="auto"/>
          </w:tcPr>
          <w:p w14:paraId="5EA22242" w14:textId="77777777" w:rsidR="003C66EB" w:rsidRDefault="003C66EB">
            <w:pPr>
              <w:rPr>
                <w:rFonts w:ascii="宋体"/>
                <w:vanish/>
              </w:rPr>
            </w:pPr>
          </w:p>
        </w:tc>
        <w:tc>
          <w:tcPr>
            <w:tcW w:w="0" w:type="auto"/>
            <w:gridSpan w:val="3"/>
            <w:shd w:val="clear" w:color="auto" w:fill="auto"/>
          </w:tcPr>
          <w:p w14:paraId="5EA22243" w14:textId="77777777" w:rsidR="003C66EB" w:rsidRDefault="003C66EB">
            <w:pPr>
              <w:rPr>
                <w:rFonts w:ascii="宋体"/>
                <w:vanish/>
              </w:rPr>
            </w:pPr>
          </w:p>
        </w:tc>
        <w:tc>
          <w:tcPr>
            <w:tcW w:w="0" w:type="auto"/>
            <w:gridSpan w:val="3"/>
            <w:shd w:val="clear" w:color="auto" w:fill="auto"/>
          </w:tcPr>
          <w:p w14:paraId="5EA22244" w14:textId="77777777" w:rsidR="003C66EB" w:rsidRDefault="003C66EB">
            <w:pPr>
              <w:rPr>
                <w:rFonts w:ascii="宋体"/>
                <w:vanish/>
              </w:rPr>
            </w:pPr>
          </w:p>
        </w:tc>
        <w:tc>
          <w:tcPr>
            <w:tcW w:w="0" w:type="auto"/>
            <w:gridSpan w:val="3"/>
            <w:shd w:val="clear" w:color="auto" w:fill="auto"/>
          </w:tcPr>
          <w:p w14:paraId="5EA22245" w14:textId="77777777" w:rsidR="003C66EB" w:rsidRDefault="003C66EB">
            <w:pPr>
              <w:rPr>
                <w:rFonts w:ascii="宋体"/>
                <w:vanish/>
              </w:rPr>
            </w:pPr>
          </w:p>
        </w:tc>
        <w:tc>
          <w:tcPr>
            <w:tcW w:w="0" w:type="auto"/>
            <w:gridSpan w:val="3"/>
            <w:shd w:val="clear" w:color="auto" w:fill="auto"/>
          </w:tcPr>
          <w:p w14:paraId="5EA22246" w14:textId="77777777" w:rsidR="003C66EB" w:rsidRDefault="003C66EB">
            <w:pPr>
              <w:rPr>
                <w:rFonts w:ascii="宋体"/>
                <w:vanish/>
              </w:rPr>
            </w:pPr>
          </w:p>
        </w:tc>
        <w:tc>
          <w:tcPr>
            <w:tcW w:w="0" w:type="auto"/>
            <w:gridSpan w:val="3"/>
            <w:shd w:val="clear" w:color="auto" w:fill="auto"/>
          </w:tcPr>
          <w:p w14:paraId="5EA22247" w14:textId="77777777" w:rsidR="003C66EB" w:rsidRDefault="003C66EB">
            <w:pPr>
              <w:rPr>
                <w:rFonts w:ascii="宋体"/>
                <w:vanish/>
              </w:rPr>
            </w:pPr>
          </w:p>
        </w:tc>
        <w:tc>
          <w:tcPr>
            <w:tcW w:w="0" w:type="auto"/>
            <w:gridSpan w:val="3"/>
            <w:shd w:val="clear" w:color="auto" w:fill="auto"/>
          </w:tcPr>
          <w:p w14:paraId="5EA22248" w14:textId="77777777" w:rsidR="003C66EB" w:rsidRDefault="003C66EB">
            <w:pPr>
              <w:rPr>
                <w:rFonts w:ascii="宋体"/>
                <w:vanish/>
              </w:rPr>
            </w:pPr>
          </w:p>
        </w:tc>
        <w:tc>
          <w:tcPr>
            <w:tcW w:w="0" w:type="auto"/>
            <w:gridSpan w:val="3"/>
            <w:shd w:val="clear" w:color="auto" w:fill="auto"/>
          </w:tcPr>
          <w:p w14:paraId="5EA22249" w14:textId="77777777" w:rsidR="003C66EB" w:rsidRDefault="003C66EB">
            <w:pPr>
              <w:rPr>
                <w:rFonts w:ascii="宋体"/>
                <w:vanish/>
              </w:rPr>
            </w:pPr>
          </w:p>
        </w:tc>
        <w:tc>
          <w:tcPr>
            <w:tcW w:w="0" w:type="auto"/>
            <w:gridSpan w:val="3"/>
            <w:shd w:val="clear" w:color="auto" w:fill="auto"/>
          </w:tcPr>
          <w:p w14:paraId="5EA2224A" w14:textId="77777777" w:rsidR="003C66EB" w:rsidRDefault="003C66EB">
            <w:pPr>
              <w:rPr>
                <w:rFonts w:ascii="宋体"/>
                <w:vanish/>
              </w:rPr>
            </w:pPr>
          </w:p>
        </w:tc>
        <w:tc>
          <w:tcPr>
            <w:tcW w:w="0" w:type="auto"/>
            <w:gridSpan w:val="3"/>
            <w:shd w:val="clear" w:color="auto" w:fill="auto"/>
          </w:tcPr>
          <w:p w14:paraId="5EA2224B" w14:textId="77777777" w:rsidR="003C66EB" w:rsidRDefault="003C66EB">
            <w:pPr>
              <w:rPr>
                <w:rFonts w:ascii="宋体"/>
                <w:vanish/>
              </w:rPr>
            </w:pPr>
          </w:p>
        </w:tc>
        <w:tc>
          <w:tcPr>
            <w:tcW w:w="0" w:type="auto"/>
            <w:gridSpan w:val="3"/>
            <w:shd w:val="clear" w:color="auto" w:fill="auto"/>
          </w:tcPr>
          <w:p w14:paraId="5EA2224C" w14:textId="77777777" w:rsidR="003C66EB" w:rsidRDefault="003C66EB">
            <w:pPr>
              <w:rPr>
                <w:rFonts w:ascii="宋体"/>
                <w:vanish/>
              </w:rPr>
            </w:pPr>
          </w:p>
        </w:tc>
        <w:tc>
          <w:tcPr>
            <w:tcW w:w="0" w:type="auto"/>
            <w:gridSpan w:val="3"/>
            <w:shd w:val="clear" w:color="auto" w:fill="auto"/>
          </w:tcPr>
          <w:p w14:paraId="5EA2224D" w14:textId="77777777" w:rsidR="003C66EB" w:rsidRDefault="003C66EB">
            <w:pPr>
              <w:rPr>
                <w:rFonts w:ascii="宋体"/>
                <w:vanish/>
              </w:rPr>
            </w:pPr>
          </w:p>
        </w:tc>
        <w:tc>
          <w:tcPr>
            <w:tcW w:w="0" w:type="auto"/>
            <w:gridSpan w:val="3"/>
            <w:shd w:val="clear" w:color="auto" w:fill="auto"/>
          </w:tcPr>
          <w:p w14:paraId="5EA2224E" w14:textId="77777777" w:rsidR="003C66EB" w:rsidRDefault="003C66EB">
            <w:pPr>
              <w:rPr>
                <w:rFonts w:ascii="宋体"/>
                <w:vanish/>
              </w:rPr>
            </w:pPr>
          </w:p>
        </w:tc>
        <w:tc>
          <w:tcPr>
            <w:tcW w:w="0" w:type="auto"/>
            <w:gridSpan w:val="3"/>
            <w:shd w:val="clear" w:color="auto" w:fill="auto"/>
          </w:tcPr>
          <w:p w14:paraId="5EA2224F" w14:textId="77777777" w:rsidR="003C66EB" w:rsidRDefault="003C66EB">
            <w:pPr>
              <w:rPr>
                <w:rFonts w:ascii="宋体"/>
                <w:vanish/>
              </w:rPr>
            </w:pPr>
          </w:p>
        </w:tc>
      </w:tr>
      <w:tr w:rsidR="003C66EB" w14:paraId="5EA22263" w14:textId="77777777">
        <w:trPr>
          <w:hidden/>
        </w:trPr>
        <w:tc>
          <w:tcPr>
            <w:tcW w:w="0" w:type="auto"/>
            <w:gridSpan w:val="3"/>
            <w:shd w:val="clear" w:color="auto" w:fill="auto"/>
          </w:tcPr>
          <w:p w14:paraId="5EA22251" w14:textId="77777777" w:rsidR="003C66EB" w:rsidRDefault="003C66EB">
            <w:pPr>
              <w:rPr>
                <w:rFonts w:ascii="宋体"/>
                <w:vanish/>
              </w:rPr>
            </w:pPr>
          </w:p>
        </w:tc>
        <w:tc>
          <w:tcPr>
            <w:tcW w:w="0" w:type="auto"/>
            <w:gridSpan w:val="3"/>
            <w:shd w:val="clear" w:color="auto" w:fill="auto"/>
          </w:tcPr>
          <w:p w14:paraId="5EA22252" w14:textId="77777777" w:rsidR="003C66EB" w:rsidRDefault="003C66EB">
            <w:pPr>
              <w:rPr>
                <w:rFonts w:ascii="宋体"/>
                <w:vanish/>
              </w:rPr>
            </w:pPr>
          </w:p>
        </w:tc>
        <w:tc>
          <w:tcPr>
            <w:tcW w:w="0" w:type="auto"/>
            <w:gridSpan w:val="3"/>
            <w:shd w:val="clear" w:color="auto" w:fill="auto"/>
          </w:tcPr>
          <w:p w14:paraId="5EA22253" w14:textId="77777777" w:rsidR="003C66EB" w:rsidRDefault="003C66EB">
            <w:pPr>
              <w:rPr>
                <w:rFonts w:ascii="宋体"/>
                <w:vanish/>
              </w:rPr>
            </w:pPr>
          </w:p>
        </w:tc>
        <w:tc>
          <w:tcPr>
            <w:tcW w:w="0" w:type="auto"/>
            <w:gridSpan w:val="3"/>
            <w:shd w:val="clear" w:color="auto" w:fill="auto"/>
          </w:tcPr>
          <w:p w14:paraId="5EA22254" w14:textId="77777777" w:rsidR="003C66EB" w:rsidRDefault="003C66EB">
            <w:pPr>
              <w:rPr>
                <w:rFonts w:ascii="宋体"/>
                <w:vanish/>
              </w:rPr>
            </w:pPr>
          </w:p>
        </w:tc>
        <w:tc>
          <w:tcPr>
            <w:tcW w:w="0" w:type="auto"/>
            <w:gridSpan w:val="3"/>
            <w:shd w:val="clear" w:color="auto" w:fill="auto"/>
          </w:tcPr>
          <w:p w14:paraId="5EA22255" w14:textId="77777777" w:rsidR="003C66EB" w:rsidRDefault="003C66EB">
            <w:pPr>
              <w:rPr>
                <w:rFonts w:ascii="宋体"/>
                <w:vanish/>
              </w:rPr>
            </w:pPr>
          </w:p>
        </w:tc>
        <w:tc>
          <w:tcPr>
            <w:tcW w:w="0" w:type="auto"/>
            <w:gridSpan w:val="3"/>
            <w:shd w:val="clear" w:color="auto" w:fill="auto"/>
          </w:tcPr>
          <w:p w14:paraId="5EA22256" w14:textId="77777777" w:rsidR="003C66EB" w:rsidRDefault="003C66EB">
            <w:pPr>
              <w:rPr>
                <w:rFonts w:ascii="宋体"/>
                <w:vanish/>
              </w:rPr>
            </w:pPr>
          </w:p>
        </w:tc>
        <w:tc>
          <w:tcPr>
            <w:tcW w:w="0" w:type="auto"/>
            <w:gridSpan w:val="3"/>
            <w:shd w:val="clear" w:color="auto" w:fill="auto"/>
          </w:tcPr>
          <w:p w14:paraId="5EA22257" w14:textId="77777777" w:rsidR="003C66EB" w:rsidRDefault="003C66EB">
            <w:pPr>
              <w:rPr>
                <w:rFonts w:ascii="宋体"/>
                <w:vanish/>
              </w:rPr>
            </w:pPr>
          </w:p>
        </w:tc>
        <w:tc>
          <w:tcPr>
            <w:tcW w:w="0" w:type="auto"/>
            <w:gridSpan w:val="3"/>
            <w:shd w:val="clear" w:color="auto" w:fill="auto"/>
          </w:tcPr>
          <w:p w14:paraId="5EA22258" w14:textId="77777777" w:rsidR="003C66EB" w:rsidRDefault="003C66EB">
            <w:pPr>
              <w:rPr>
                <w:rFonts w:ascii="宋体"/>
                <w:vanish/>
              </w:rPr>
            </w:pPr>
          </w:p>
        </w:tc>
        <w:tc>
          <w:tcPr>
            <w:tcW w:w="0" w:type="auto"/>
            <w:gridSpan w:val="3"/>
            <w:shd w:val="clear" w:color="auto" w:fill="auto"/>
          </w:tcPr>
          <w:p w14:paraId="5EA22259" w14:textId="77777777" w:rsidR="003C66EB" w:rsidRDefault="003C66EB">
            <w:pPr>
              <w:rPr>
                <w:rFonts w:ascii="宋体"/>
                <w:vanish/>
              </w:rPr>
            </w:pPr>
          </w:p>
        </w:tc>
        <w:tc>
          <w:tcPr>
            <w:tcW w:w="0" w:type="auto"/>
            <w:gridSpan w:val="3"/>
            <w:shd w:val="clear" w:color="auto" w:fill="auto"/>
          </w:tcPr>
          <w:p w14:paraId="5EA2225A" w14:textId="77777777" w:rsidR="003C66EB" w:rsidRDefault="003C66EB">
            <w:pPr>
              <w:rPr>
                <w:rFonts w:ascii="宋体"/>
                <w:vanish/>
              </w:rPr>
            </w:pPr>
          </w:p>
        </w:tc>
        <w:tc>
          <w:tcPr>
            <w:tcW w:w="0" w:type="auto"/>
            <w:gridSpan w:val="3"/>
            <w:shd w:val="clear" w:color="auto" w:fill="auto"/>
          </w:tcPr>
          <w:p w14:paraId="5EA2225B" w14:textId="77777777" w:rsidR="003C66EB" w:rsidRDefault="003C66EB">
            <w:pPr>
              <w:rPr>
                <w:rFonts w:ascii="宋体"/>
                <w:vanish/>
              </w:rPr>
            </w:pPr>
          </w:p>
        </w:tc>
        <w:tc>
          <w:tcPr>
            <w:tcW w:w="0" w:type="auto"/>
            <w:gridSpan w:val="3"/>
            <w:shd w:val="clear" w:color="auto" w:fill="auto"/>
          </w:tcPr>
          <w:p w14:paraId="5EA2225C" w14:textId="77777777" w:rsidR="003C66EB" w:rsidRDefault="003C66EB">
            <w:pPr>
              <w:rPr>
                <w:rFonts w:ascii="宋体"/>
                <w:vanish/>
              </w:rPr>
            </w:pPr>
          </w:p>
        </w:tc>
        <w:tc>
          <w:tcPr>
            <w:tcW w:w="0" w:type="auto"/>
            <w:gridSpan w:val="3"/>
            <w:shd w:val="clear" w:color="auto" w:fill="auto"/>
          </w:tcPr>
          <w:p w14:paraId="5EA2225D" w14:textId="77777777" w:rsidR="003C66EB" w:rsidRDefault="003C66EB">
            <w:pPr>
              <w:rPr>
                <w:rFonts w:ascii="宋体"/>
                <w:vanish/>
              </w:rPr>
            </w:pPr>
          </w:p>
        </w:tc>
        <w:tc>
          <w:tcPr>
            <w:tcW w:w="0" w:type="auto"/>
            <w:gridSpan w:val="3"/>
            <w:shd w:val="clear" w:color="auto" w:fill="auto"/>
          </w:tcPr>
          <w:p w14:paraId="5EA2225E" w14:textId="77777777" w:rsidR="003C66EB" w:rsidRDefault="003C66EB">
            <w:pPr>
              <w:rPr>
                <w:rFonts w:ascii="宋体"/>
                <w:vanish/>
              </w:rPr>
            </w:pPr>
          </w:p>
        </w:tc>
        <w:tc>
          <w:tcPr>
            <w:tcW w:w="0" w:type="auto"/>
            <w:gridSpan w:val="3"/>
            <w:shd w:val="clear" w:color="auto" w:fill="auto"/>
          </w:tcPr>
          <w:p w14:paraId="5EA2225F" w14:textId="77777777" w:rsidR="003C66EB" w:rsidRDefault="003C66EB">
            <w:pPr>
              <w:rPr>
                <w:rFonts w:ascii="宋体"/>
                <w:vanish/>
              </w:rPr>
            </w:pPr>
          </w:p>
        </w:tc>
        <w:tc>
          <w:tcPr>
            <w:tcW w:w="0" w:type="auto"/>
            <w:gridSpan w:val="3"/>
            <w:shd w:val="clear" w:color="auto" w:fill="auto"/>
          </w:tcPr>
          <w:p w14:paraId="5EA22260" w14:textId="77777777" w:rsidR="003C66EB" w:rsidRDefault="003C66EB">
            <w:pPr>
              <w:rPr>
                <w:rFonts w:ascii="宋体"/>
                <w:vanish/>
              </w:rPr>
            </w:pPr>
          </w:p>
        </w:tc>
        <w:tc>
          <w:tcPr>
            <w:tcW w:w="0" w:type="auto"/>
            <w:gridSpan w:val="3"/>
            <w:shd w:val="clear" w:color="auto" w:fill="auto"/>
          </w:tcPr>
          <w:p w14:paraId="5EA22261" w14:textId="77777777" w:rsidR="003C66EB" w:rsidRDefault="003C66EB">
            <w:pPr>
              <w:rPr>
                <w:rFonts w:ascii="宋体"/>
                <w:vanish/>
              </w:rPr>
            </w:pPr>
          </w:p>
        </w:tc>
        <w:tc>
          <w:tcPr>
            <w:tcW w:w="0" w:type="auto"/>
            <w:gridSpan w:val="3"/>
            <w:shd w:val="clear" w:color="auto" w:fill="auto"/>
          </w:tcPr>
          <w:p w14:paraId="5EA22262" w14:textId="77777777" w:rsidR="003C66EB" w:rsidRDefault="003C66EB">
            <w:pPr>
              <w:rPr>
                <w:rFonts w:ascii="宋体"/>
                <w:vanish/>
              </w:rPr>
            </w:pPr>
          </w:p>
        </w:tc>
      </w:tr>
      <w:tr w:rsidR="003C66EB" w14:paraId="5EA22276" w14:textId="77777777">
        <w:trPr>
          <w:hidden/>
        </w:trPr>
        <w:tc>
          <w:tcPr>
            <w:tcW w:w="0" w:type="auto"/>
            <w:gridSpan w:val="3"/>
            <w:shd w:val="clear" w:color="auto" w:fill="auto"/>
          </w:tcPr>
          <w:p w14:paraId="5EA22264" w14:textId="77777777" w:rsidR="003C66EB" w:rsidRDefault="003C66EB">
            <w:pPr>
              <w:rPr>
                <w:rFonts w:ascii="宋体"/>
                <w:vanish/>
              </w:rPr>
            </w:pPr>
          </w:p>
        </w:tc>
        <w:tc>
          <w:tcPr>
            <w:tcW w:w="0" w:type="auto"/>
            <w:gridSpan w:val="3"/>
            <w:shd w:val="clear" w:color="auto" w:fill="auto"/>
          </w:tcPr>
          <w:p w14:paraId="5EA22265" w14:textId="77777777" w:rsidR="003C66EB" w:rsidRDefault="003C66EB">
            <w:pPr>
              <w:rPr>
                <w:rFonts w:ascii="宋体"/>
                <w:vanish/>
              </w:rPr>
            </w:pPr>
          </w:p>
        </w:tc>
        <w:tc>
          <w:tcPr>
            <w:tcW w:w="0" w:type="auto"/>
            <w:gridSpan w:val="3"/>
            <w:shd w:val="clear" w:color="auto" w:fill="auto"/>
          </w:tcPr>
          <w:p w14:paraId="5EA22266" w14:textId="77777777" w:rsidR="003C66EB" w:rsidRDefault="003C66EB">
            <w:pPr>
              <w:rPr>
                <w:rFonts w:ascii="宋体"/>
                <w:vanish/>
              </w:rPr>
            </w:pPr>
          </w:p>
        </w:tc>
        <w:tc>
          <w:tcPr>
            <w:tcW w:w="0" w:type="auto"/>
            <w:gridSpan w:val="3"/>
            <w:shd w:val="clear" w:color="auto" w:fill="auto"/>
          </w:tcPr>
          <w:p w14:paraId="5EA22267" w14:textId="77777777" w:rsidR="003C66EB" w:rsidRDefault="003C66EB">
            <w:pPr>
              <w:rPr>
                <w:rFonts w:ascii="宋体"/>
                <w:vanish/>
              </w:rPr>
            </w:pPr>
          </w:p>
        </w:tc>
        <w:tc>
          <w:tcPr>
            <w:tcW w:w="0" w:type="auto"/>
            <w:gridSpan w:val="3"/>
            <w:shd w:val="clear" w:color="auto" w:fill="auto"/>
          </w:tcPr>
          <w:p w14:paraId="5EA22268" w14:textId="77777777" w:rsidR="003C66EB" w:rsidRDefault="003C66EB">
            <w:pPr>
              <w:rPr>
                <w:rFonts w:ascii="宋体"/>
                <w:vanish/>
              </w:rPr>
            </w:pPr>
          </w:p>
        </w:tc>
        <w:tc>
          <w:tcPr>
            <w:tcW w:w="0" w:type="auto"/>
            <w:gridSpan w:val="3"/>
            <w:shd w:val="clear" w:color="auto" w:fill="auto"/>
          </w:tcPr>
          <w:p w14:paraId="5EA22269" w14:textId="77777777" w:rsidR="003C66EB" w:rsidRDefault="003C66EB">
            <w:pPr>
              <w:rPr>
                <w:rFonts w:ascii="宋体"/>
                <w:vanish/>
              </w:rPr>
            </w:pPr>
          </w:p>
        </w:tc>
        <w:tc>
          <w:tcPr>
            <w:tcW w:w="0" w:type="auto"/>
            <w:gridSpan w:val="3"/>
            <w:shd w:val="clear" w:color="auto" w:fill="auto"/>
          </w:tcPr>
          <w:p w14:paraId="5EA2226A" w14:textId="77777777" w:rsidR="003C66EB" w:rsidRDefault="003C66EB">
            <w:pPr>
              <w:rPr>
                <w:rFonts w:ascii="宋体"/>
                <w:vanish/>
              </w:rPr>
            </w:pPr>
          </w:p>
        </w:tc>
        <w:tc>
          <w:tcPr>
            <w:tcW w:w="0" w:type="auto"/>
            <w:gridSpan w:val="3"/>
            <w:shd w:val="clear" w:color="auto" w:fill="auto"/>
          </w:tcPr>
          <w:p w14:paraId="5EA2226B" w14:textId="77777777" w:rsidR="003C66EB" w:rsidRDefault="003C66EB">
            <w:pPr>
              <w:rPr>
                <w:rFonts w:ascii="宋体"/>
                <w:vanish/>
              </w:rPr>
            </w:pPr>
          </w:p>
        </w:tc>
        <w:tc>
          <w:tcPr>
            <w:tcW w:w="0" w:type="auto"/>
            <w:gridSpan w:val="3"/>
            <w:shd w:val="clear" w:color="auto" w:fill="auto"/>
          </w:tcPr>
          <w:p w14:paraId="5EA2226C" w14:textId="77777777" w:rsidR="003C66EB" w:rsidRDefault="003C66EB">
            <w:pPr>
              <w:rPr>
                <w:rFonts w:ascii="宋体"/>
                <w:vanish/>
              </w:rPr>
            </w:pPr>
          </w:p>
        </w:tc>
        <w:tc>
          <w:tcPr>
            <w:tcW w:w="0" w:type="auto"/>
            <w:gridSpan w:val="3"/>
            <w:shd w:val="clear" w:color="auto" w:fill="auto"/>
          </w:tcPr>
          <w:p w14:paraId="5EA2226D" w14:textId="77777777" w:rsidR="003C66EB" w:rsidRDefault="003C66EB">
            <w:pPr>
              <w:rPr>
                <w:rFonts w:ascii="宋体"/>
                <w:vanish/>
              </w:rPr>
            </w:pPr>
          </w:p>
        </w:tc>
        <w:tc>
          <w:tcPr>
            <w:tcW w:w="0" w:type="auto"/>
            <w:gridSpan w:val="3"/>
            <w:shd w:val="clear" w:color="auto" w:fill="auto"/>
          </w:tcPr>
          <w:p w14:paraId="5EA2226E" w14:textId="77777777" w:rsidR="003C66EB" w:rsidRDefault="003C66EB">
            <w:pPr>
              <w:rPr>
                <w:rFonts w:ascii="宋体"/>
                <w:vanish/>
              </w:rPr>
            </w:pPr>
          </w:p>
        </w:tc>
        <w:tc>
          <w:tcPr>
            <w:tcW w:w="0" w:type="auto"/>
            <w:gridSpan w:val="3"/>
            <w:shd w:val="clear" w:color="auto" w:fill="auto"/>
          </w:tcPr>
          <w:p w14:paraId="5EA2226F" w14:textId="77777777" w:rsidR="003C66EB" w:rsidRDefault="003C66EB">
            <w:pPr>
              <w:rPr>
                <w:rFonts w:ascii="宋体"/>
                <w:vanish/>
              </w:rPr>
            </w:pPr>
          </w:p>
        </w:tc>
        <w:tc>
          <w:tcPr>
            <w:tcW w:w="0" w:type="auto"/>
            <w:gridSpan w:val="3"/>
            <w:shd w:val="clear" w:color="auto" w:fill="auto"/>
          </w:tcPr>
          <w:p w14:paraId="5EA22270" w14:textId="77777777" w:rsidR="003C66EB" w:rsidRDefault="003C66EB">
            <w:pPr>
              <w:rPr>
                <w:rFonts w:ascii="宋体"/>
                <w:vanish/>
              </w:rPr>
            </w:pPr>
          </w:p>
        </w:tc>
        <w:tc>
          <w:tcPr>
            <w:tcW w:w="0" w:type="auto"/>
            <w:gridSpan w:val="3"/>
            <w:shd w:val="clear" w:color="auto" w:fill="auto"/>
          </w:tcPr>
          <w:p w14:paraId="5EA22271" w14:textId="77777777" w:rsidR="003C66EB" w:rsidRDefault="003C66EB">
            <w:pPr>
              <w:rPr>
                <w:rFonts w:ascii="宋体"/>
                <w:vanish/>
              </w:rPr>
            </w:pPr>
          </w:p>
        </w:tc>
        <w:tc>
          <w:tcPr>
            <w:tcW w:w="0" w:type="auto"/>
            <w:gridSpan w:val="3"/>
            <w:shd w:val="clear" w:color="auto" w:fill="auto"/>
          </w:tcPr>
          <w:p w14:paraId="5EA22272" w14:textId="77777777" w:rsidR="003C66EB" w:rsidRDefault="003C66EB">
            <w:pPr>
              <w:rPr>
                <w:rFonts w:ascii="宋体"/>
                <w:vanish/>
              </w:rPr>
            </w:pPr>
          </w:p>
        </w:tc>
        <w:tc>
          <w:tcPr>
            <w:tcW w:w="0" w:type="auto"/>
            <w:gridSpan w:val="3"/>
            <w:shd w:val="clear" w:color="auto" w:fill="auto"/>
          </w:tcPr>
          <w:p w14:paraId="5EA22273" w14:textId="77777777" w:rsidR="003C66EB" w:rsidRDefault="003C66EB">
            <w:pPr>
              <w:rPr>
                <w:rFonts w:ascii="宋体"/>
                <w:vanish/>
              </w:rPr>
            </w:pPr>
          </w:p>
        </w:tc>
        <w:tc>
          <w:tcPr>
            <w:tcW w:w="0" w:type="auto"/>
            <w:gridSpan w:val="3"/>
            <w:shd w:val="clear" w:color="auto" w:fill="auto"/>
          </w:tcPr>
          <w:p w14:paraId="5EA22274" w14:textId="77777777" w:rsidR="003C66EB" w:rsidRDefault="003C66EB">
            <w:pPr>
              <w:rPr>
                <w:rFonts w:ascii="宋体"/>
                <w:vanish/>
              </w:rPr>
            </w:pPr>
          </w:p>
        </w:tc>
        <w:tc>
          <w:tcPr>
            <w:tcW w:w="0" w:type="auto"/>
            <w:gridSpan w:val="3"/>
            <w:shd w:val="clear" w:color="auto" w:fill="auto"/>
          </w:tcPr>
          <w:p w14:paraId="5EA22275" w14:textId="77777777" w:rsidR="003C66EB" w:rsidRDefault="003C66EB">
            <w:pPr>
              <w:rPr>
                <w:rFonts w:ascii="宋体"/>
                <w:vanish/>
              </w:rPr>
            </w:pPr>
          </w:p>
        </w:tc>
      </w:tr>
      <w:tr w:rsidR="003C66EB" w14:paraId="5EA22289" w14:textId="77777777">
        <w:trPr>
          <w:hidden/>
        </w:trPr>
        <w:tc>
          <w:tcPr>
            <w:tcW w:w="0" w:type="auto"/>
            <w:gridSpan w:val="3"/>
            <w:shd w:val="clear" w:color="auto" w:fill="auto"/>
          </w:tcPr>
          <w:p w14:paraId="5EA22277" w14:textId="77777777" w:rsidR="003C66EB" w:rsidRDefault="003C66EB">
            <w:pPr>
              <w:rPr>
                <w:rFonts w:ascii="宋体"/>
                <w:vanish/>
              </w:rPr>
            </w:pPr>
          </w:p>
        </w:tc>
        <w:tc>
          <w:tcPr>
            <w:tcW w:w="0" w:type="auto"/>
            <w:gridSpan w:val="3"/>
            <w:shd w:val="clear" w:color="auto" w:fill="auto"/>
          </w:tcPr>
          <w:p w14:paraId="5EA22278" w14:textId="77777777" w:rsidR="003C66EB" w:rsidRDefault="003C66EB">
            <w:pPr>
              <w:rPr>
                <w:rFonts w:ascii="宋体"/>
                <w:vanish/>
              </w:rPr>
            </w:pPr>
          </w:p>
        </w:tc>
        <w:tc>
          <w:tcPr>
            <w:tcW w:w="0" w:type="auto"/>
            <w:gridSpan w:val="3"/>
            <w:shd w:val="clear" w:color="auto" w:fill="auto"/>
          </w:tcPr>
          <w:p w14:paraId="5EA22279" w14:textId="77777777" w:rsidR="003C66EB" w:rsidRDefault="003C66EB">
            <w:pPr>
              <w:rPr>
                <w:rFonts w:ascii="宋体"/>
                <w:vanish/>
              </w:rPr>
            </w:pPr>
          </w:p>
        </w:tc>
        <w:tc>
          <w:tcPr>
            <w:tcW w:w="0" w:type="auto"/>
            <w:gridSpan w:val="3"/>
            <w:shd w:val="clear" w:color="auto" w:fill="auto"/>
          </w:tcPr>
          <w:p w14:paraId="5EA2227A" w14:textId="77777777" w:rsidR="003C66EB" w:rsidRDefault="003C66EB">
            <w:pPr>
              <w:rPr>
                <w:rFonts w:ascii="宋体"/>
                <w:vanish/>
              </w:rPr>
            </w:pPr>
          </w:p>
        </w:tc>
        <w:tc>
          <w:tcPr>
            <w:tcW w:w="0" w:type="auto"/>
            <w:gridSpan w:val="3"/>
            <w:shd w:val="clear" w:color="auto" w:fill="auto"/>
          </w:tcPr>
          <w:p w14:paraId="5EA2227B" w14:textId="77777777" w:rsidR="003C66EB" w:rsidRDefault="003C66EB">
            <w:pPr>
              <w:rPr>
                <w:rFonts w:ascii="宋体"/>
                <w:vanish/>
              </w:rPr>
            </w:pPr>
          </w:p>
        </w:tc>
        <w:tc>
          <w:tcPr>
            <w:tcW w:w="0" w:type="auto"/>
            <w:gridSpan w:val="3"/>
            <w:shd w:val="clear" w:color="auto" w:fill="auto"/>
          </w:tcPr>
          <w:p w14:paraId="5EA2227C" w14:textId="77777777" w:rsidR="003C66EB" w:rsidRDefault="003C66EB">
            <w:pPr>
              <w:rPr>
                <w:rFonts w:ascii="宋体"/>
                <w:vanish/>
              </w:rPr>
            </w:pPr>
          </w:p>
        </w:tc>
        <w:tc>
          <w:tcPr>
            <w:tcW w:w="0" w:type="auto"/>
            <w:gridSpan w:val="3"/>
            <w:shd w:val="clear" w:color="auto" w:fill="auto"/>
          </w:tcPr>
          <w:p w14:paraId="5EA2227D" w14:textId="77777777" w:rsidR="003C66EB" w:rsidRDefault="003C66EB">
            <w:pPr>
              <w:rPr>
                <w:rFonts w:ascii="宋体"/>
                <w:vanish/>
              </w:rPr>
            </w:pPr>
          </w:p>
        </w:tc>
        <w:tc>
          <w:tcPr>
            <w:tcW w:w="0" w:type="auto"/>
            <w:gridSpan w:val="3"/>
            <w:shd w:val="clear" w:color="auto" w:fill="auto"/>
          </w:tcPr>
          <w:p w14:paraId="5EA2227E" w14:textId="77777777" w:rsidR="003C66EB" w:rsidRDefault="003C66EB">
            <w:pPr>
              <w:rPr>
                <w:rFonts w:ascii="宋体"/>
                <w:vanish/>
              </w:rPr>
            </w:pPr>
          </w:p>
        </w:tc>
        <w:tc>
          <w:tcPr>
            <w:tcW w:w="0" w:type="auto"/>
            <w:gridSpan w:val="3"/>
            <w:shd w:val="clear" w:color="auto" w:fill="auto"/>
          </w:tcPr>
          <w:p w14:paraId="5EA2227F" w14:textId="77777777" w:rsidR="003C66EB" w:rsidRDefault="003C66EB">
            <w:pPr>
              <w:rPr>
                <w:rFonts w:ascii="宋体"/>
                <w:vanish/>
              </w:rPr>
            </w:pPr>
          </w:p>
        </w:tc>
        <w:tc>
          <w:tcPr>
            <w:tcW w:w="0" w:type="auto"/>
            <w:gridSpan w:val="3"/>
            <w:shd w:val="clear" w:color="auto" w:fill="auto"/>
          </w:tcPr>
          <w:p w14:paraId="5EA22280" w14:textId="77777777" w:rsidR="003C66EB" w:rsidRDefault="003C66EB">
            <w:pPr>
              <w:rPr>
                <w:rFonts w:ascii="宋体"/>
                <w:vanish/>
              </w:rPr>
            </w:pPr>
          </w:p>
        </w:tc>
        <w:tc>
          <w:tcPr>
            <w:tcW w:w="0" w:type="auto"/>
            <w:gridSpan w:val="3"/>
            <w:shd w:val="clear" w:color="auto" w:fill="auto"/>
          </w:tcPr>
          <w:p w14:paraId="5EA22281" w14:textId="77777777" w:rsidR="003C66EB" w:rsidRDefault="003C66EB">
            <w:pPr>
              <w:rPr>
                <w:rFonts w:ascii="宋体"/>
                <w:vanish/>
              </w:rPr>
            </w:pPr>
          </w:p>
        </w:tc>
        <w:tc>
          <w:tcPr>
            <w:tcW w:w="0" w:type="auto"/>
            <w:gridSpan w:val="3"/>
            <w:shd w:val="clear" w:color="auto" w:fill="auto"/>
          </w:tcPr>
          <w:p w14:paraId="5EA22282" w14:textId="77777777" w:rsidR="003C66EB" w:rsidRDefault="003C66EB">
            <w:pPr>
              <w:rPr>
                <w:rFonts w:ascii="宋体"/>
                <w:vanish/>
              </w:rPr>
            </w:pPr>
          </w:p>
        </w:tc>
        <w:tc>
          <w:tcPr>
            <w:tcW w:w="0" w:type="auto"/>
            <w:gridSpan w:val="3"/>
            <w:shd w:val="clear" w:color="auto" w:fill="auto"/>
          </w:tcPr>
          <w:p w14:paraId="5EA22283" w14:textId="77777777" w:rsidR="003C66EB" w:rsidRDefault="003C66EB">
            <w:pPr>
              <w:rPr>
                <w:rFonts w:ascii="宋体"/>
                <w:vanish/>
              </w:rPr>
            </w:pPr>
          </w:p>
        </w:tc>
        <w:tc>
          <w:tcPr>
            <w:tcW w:w="0" w:type="auto"/>
            <w:gridSpan w:val="3"/>
            <w:shd w:val="clear" w:color="auto" w:fill="auto"/>
          </w:tcPr>
          <w:p w14:paraId="5EA22284" w14:textId="77777777" w:rsidR="003C66EB" w:rsidRDefault="003C66EB">
            <w:pPr>
              <w:rPr>
                <w:rFonts w:ascii="宋体"/>
                <w:vanish/>
              </w:rPr>
            </w:pPr>
          </w:p>
        </w:tc>
        <w:tc>
          <w:tcPr>
            <w:tcW w:w="0" w:type="auto"/>
            <w:gridSpan w:val="3"/>
            <w:shd w:val="clear" w:color="auto" w:fill="auto"/>
          </w:tcPr>
          <w:p w14:paraId="5EA22285" w14:textId="77777777" w:rsidR="003C66EB" w:rsidRDefault="003C66EB">
            <w:pPr>
              <w:rPr>
                <w:rFonts w:ascii="宋体"/>
                <w:vanish/>
              </w:rPr>
            </w:pPr>
          </w:p>
        </w:tc>
        <w:tc>
          <w:tcPr>
            <w:tcW w:w="0" w:type="auto"/>
            <w:gridSpan w:val="3"/>
            <w:shd w:val="clear" w:color="auto" w:fill="auto"/>
          </w:tcPr>
          <w:p w14:paraId="5EA22286" w14:textId="77777777" w:rsidR="003C66EB" w:rsidRDefault="003C66EB">
            <w:pPr>
              <w:rPr>
                <w:rFonts w:ascii="宋体"/>
                <w:vanish/>
              </w:rPr>
            </w:pPr>
          </w:p>
        </w:tc>
        <w:tc>
          <w:tcPr>
            <w:tcW w:w="0" w:type="auto"/>
            <w:gridSpan w:val="3"/>
            <w:shd w:val="clear" w:color="auto" w:fill="auto"/>
          </w:tcPr>
          <w:p w14:paraId="5EA22287" w14:textId="77777777" w:rsidR="003C66EB" w:rsidRDefault="003C66EB">
            <w:pPr>
              <w:rPr>
                <w:rFonts w:ascii="宋体"/>
                <w:vanish/>
              </w:rPr>
            </w:pPr>
          </w:p>
        </w:tc>
        <w:tc>
          <w:tcPr>
            <w:tcW w:w="0" w:type="auto"/>
            <w:gridSpan w:val="3"/>
            <w:shd w:val="clear" w:color="auto" w:fill="auto"/>
          </w:tcPr>
          <w:p w14:paraId="5EA22288" w14:textId="77777777" w:rsidR="003C66EB" w:rsidRDefault="003C66EB">
            <w:pPr>
              <w:rPr>
                <w:rFonts w:ascii="宋体"/>
                <w:vanish/>
              </w:rPr>
            </w:pPr>
          </w:p>
        </w:tc>
      </w:tr>
      <w:tr w:rsidR="003C66EB" w14:paraId="5EA2229C" w14:textId="77777777">
        <w:trPr>
          <w:hidden/>
        </w:trPr>
        <w:tc>
          <w:tcPr>
            <w:tcW w:w="0" w:type="auto"/>
            <w:gridSpan w:val="3"/>
            <w:shd w:val="clear" w:color="auto" w:fill="auto"/>
          </w:tcPr>
          <w:p w14:paraId="5EA2228A" w14:textId="77777777" w:rsidR="003C66EB" w:rsidRDefault="003C66EB">
            <w:pPr>
              <w:rPr>
                <w:rFonts w:ascii="宋体"/>
                <w:vanish/>
              </w:rPr>
            </w:pPr>
          </w:p>
        </w:tc>
        <w:tc>
          <w:tcPr>
            <w:tcW w:w="0" w:type="auto"/>
            <w:gridSpan w:val="3"/>
            <w:shd w:val="clear" w:color="auto" w:fill="auto"/>
          </w:tcPr>
          <w:p w14:paraId="5EA2228B" w14:textId="77777777" w:rsidR="003C66EB" w:rsidRDefault="003C66EB">
            <w:pPr>
              <w:rPr>
                <w:rFonts w:ascii="宋体"/>
                <w:vanish/>
              </w:rPr>
            </w:pPr>
          </w:p>
        </w:tc>
        <w:tc>
          <w:tcPr>
            <w:tcW w:w="0" w:type="auto"/>
            <w:gridSpan w:val="3"/>
            <w:shd w:val="clear" w:color="auto" w:fill="auto"/>
          </w:tcPr>
          <w:p w14:paraId="5EA2228C" w14:textId="77777777" w:rsidR="003C66EB" w:rsidRDefault="003C66EB">
            <w:pPr>
              <w:rPr>
                <w:rFonts w:ascii="宋体"/>
                <w:vanish/>
              </w:rPr>
            </w:pPr>
          </w:p>
        </w:tc>
        <w:tc>
          <w:tcPr>
            <w:tcW w:w="0" w:type="auto"/>
            <w:gridSpan w:val="3"/>
            <w:shd w:val="clear" w:color="auto" w:fill="auto"/>
          </w:tcPr>
          <w:p w14:paraId="5EA2228D" w14:textId="77777777" w:rsidR="003C66EB" w:rsidRDefault="003C66EB">
            <w:pPr>
              <w:rPr>
                <w:rFonts w:ascii="宋体"/>
                <w:vanish/>
              </w:rPr>
            </w:pPr>
          </w:p>
        </w:tc>
        <w:tc>
          <w:tcPr>
            <w:tcW w:w="0" w:type="auto"/>
            <w:gridSpan w:val="3"/>
            <w:shd w:val="clear" w:color="auto" w:fill="auto"/>
          </w:tcPr>
          <w:p w14:paraId="5EA2228E" w14:textId="77777777" w:rsidR="003C66EB" w:rsidRDefault="003C66EB">
            <w:pPr>
              <w:rPr>
                <w:rFonts w:ascii="宋体"/>
                <w:vanish/>
              </w:rPr>
            </w:pPr>
          </w:p>
        </w:tc>
        <w:tc>
          <w:tcPr>
            <w:tcW w:w="0" w:type="auto"/>
            <w:gridSpan w:val="3"/>
            <w:shd w:val="clear" w:color="auto" w:fill="auto"/>
          </w:tcPr>
          <w:p w14:paraId="5EA2228F" w14:textId="77777777" w:rsidR="003C66EB" w:rsidRDefault="003C66EB">
            <w:pPr>
              <w:rPr>
                <w:rFonts w:ascii="宋体"/>
                <w:vanish/>
              </w:rPr>
            </w:pPr>
          </w:p>
        </w:tc>
        <w:tc>
          <w:tcPr>
            <w:tcW w:w="0" w:type="auto"/>
            <w:gridSpan w:val="3"/>
            <w:shd w:val="clear" w:color="auto" w:fill="auto"/>
          </w:tcPr>
          <w:p w14:paraId="5EA22290" w14:textId="77777777" w:rsidR="003C66EB" w:rsidRDefault="003C66EB">
            <w:pPr>
              <w:rPr>
                <w:rFonts w:ascii="宋体"/>
                <w:vanish/>
              </w:rPr>
            </w:pPr>
          </w:p>
        </w:tc>
        <w:tc>
          <w:tcPr>
            <w:tcW w:w="0" w:type="auto"/>
            <w:gridSpan w:val="3"/>
            <w:shd w:val="clear" w:color="auto" w:fill="auto"/>
          </w:tcPr>
          <w:p w14:paraId="5EA22291" w14:textId="77777777" w:rsidR="003C66EB" w:rsidRDefault="003C66EB">
            <w:pPr>
              <w:rPr>
                <w:rFonts w:ascii="宋体"/>
                <w:vanish/>
              </w:rPr>
            </w:pPr>
          </w:p>
        </w:tc>
        <w:tc>
          <w:tcPr>
            <w:tcW w:w="0" w:type="auto"/>
            <w:gridSpan w:val="3"/>
            <w:shd w:val="clear" w:color="auto" w:fill="auto"/>
          </w:tcPr>
          <w:p w14:paraId="5EA22292" w14:textId="77777777" w:rsidR="003C66EB" w:rsidRDefault="003C66EB">
            <w:pPr>
              <w:rPr>
                <w:rFonts w:ascii="宋体"/>
                <w:vanish/>
              </w:rPr>
            </w:pPr>
          </w:p>
        </w:tc>
        <w:tc>
          <w:tcPr>
            <w:tcW w:w="0" w:type="auto"/>
            <w:gridSpan w:val="3"/>
            <w:shd w:val="clear" w:color="auto" w:fill="auto"/>
          </w:tcPr>
          <w:p w14:paraId="5EA22293" w14:textId="77777777" w:rsidR="003C66EB" w:rsidRDefault="003C66EB">
            <w:pPr>
              <w:rPr>
                <w:rFonts w:ascii="宋体"/>
                <w:vanish/>
              </w:rPr>
            </w:pPr>
          </w:p>
        </w:tc>
        <w:tc>
          <w:tcPr>
            <w:tcW w:w="0" w:type="auto"/>
            <w:gridSpan w:val="3"/>
            <w:shd w:val="clear" w:color="auto" w:fill="auto"/>
          </w:tcPr>
          <w:p w14:paraId="5EA22294" w14:textId="77777777" w:rsidR="003C66EB" w:rsidRDefault="003C66EB">
            <w:pPr>
              <w:rPr>
                <w:rFonts w:ascii="宋体"/>
                <w:vanish/>
              </w:rPr>
            </w:pPr>
          </w:p>
        </w:tc>
        <w:tc>
          <w:tcPr>
            <w:tcW w:w="0" w:type="auto"/>
            <w:gridSpan w:val="3"/>
            <w:shd w:val="clear" w:color="auto" w:fill="auto"/>
          </w:tcPr>
          <w:p w14:paraId="5EA22295" w14:textId="77777777" w:rsidR="003C66EB" w:rsidRDefault="003C66EB">
            <w:pPr>
              <w:rPr>
                <w:rFonts w:ascii="宋体"/>
                <w:vanish/>
              </w:rPr>
            </w:pPr>
          </w:p>
        </w:tc>
        <w:tc>
          <w:tcPr>
            <w:tcW w:w="0" w:type="auto"/>
            <w:gridSpan w:val="3"/>
            <w:shd w:val="clear" w:color="auto" w:fill="auto"/>
          </w:tcPr>
          <w:p w14:paraId="5EA22296" w14:textId="77777777" w:rsidR="003C66EB" w:rsidRDefault="003C66EB">
            <w:pPr>
              <w:rPr>
                <w:rFonts w:ascii="宋体"/>
                <w:vanish/>
              </w:rPr>
            </w:pPr>
          </w:p>
        </w:tc>
        <w:tc>
          <w:tcPr>
            <w:tcW w:w="0" w:type="auto"/>
            <w:gridSpan w:val="3"/>
            <w:shd w:val="clear" w:color="auto" w:fill="auto"/>
          </w:tcPr>
          <w:p w14:paraId="5EA22297" w14:textId="77777777" w:rsidR="003C66EB" w:rsidRDefault="003C66EB">
            <w:pPr>
              <w:rPr>
                <w:rFonts w:ascii="宋体"/>
                <w:vanish/>
              </w:rPr>
            </w:pPr>
          </w:p>
        </w:tc>
        <w:tc>
          <w:tcPr>
            <w:tcW w:w="0" w:type="auto"/>
            <w:gridSpan w:val="3"/>
            <w:shd w:val="clear" w:color="auto" w:fill="auto"/>
          </w:tcPr>
          <w:p w14:paraId="5EA22298" w14:textId="77777777" w:rsidR="003C66EB" w:rsidRDefault="003C66EB">
            <w:pPr>
              <w:rPr>
                <w:rFonts w:ascii="宋体"/>
                <w:vanish/>
              </w:rPr>
            </w:pPr>
          </w:p>
        </w:tc>
        <w:tc>
          <w:tcPr>
            <w:tcW w:w="0" w:type="auto"/>
            <w:gridSpan w:val="3"/>
            <w:shd w:val="clear" w:color="auto" w:fill="auto"/>
          </w:tcPr>
          <w:p w14:paraId="5EA22299" w14:textId="77777777" w:rsidR="003C66EB" w:rsidRDefault="003C66EB">
            <w:pPr>
              <w:rPr>
                <w:rFonts w:ascii="宋体"/>
                <w:vanish/>
              </w:rPr>
            </w:pPr>
          </w:p>
        </w:tc>
        <w:tc>
          <w:tcPr>
            <w:tcW w:w="0" w:type="auto"/>
            <w:gridSpan w:val="3"/>
            <w:shd w:val="clear" w:color="auto" w:fill="auto"/>
          </w:tcPr>
          <w:p w14:paraId="5EA2229A" w14:textId="77777777" w:rsidR="003C66EB" w:rsidRDefault="003C66EB">
            <w:pPr>
              <w:rPr>
                <w:rFonts w:ascii="宋体"/>
                <w:vanish/>
              </w:rPr>
            </w:pPr>
          </w:p>
        </w:tc>
        <w:tc>
          <w:tcPr>
            <w:tcW w:w="0" w:type="auto"/>
            <w:gridSpan w:val="3"/>
            <w:shd w:val="clear" w:color="auto" w:fill="auto"/>
          </w:tcPr>
          <w:p w14:paraId="5EA2229B" w14:textId="77777777" w:rsidR="003C66EB" w:rsidRDefault="003C66EB">
            <w:pPr>
              <w:rPr>
                <w:rFonts w:ascii="宋体"/>
                <w:vanish/>
              </w:rPr>
            </w:pPr>
          </w:p>
        </w:tc>
      </w:tr>
      <w:tr w:rsidR="003C66EB" w14:paraId="5EA222AF" w14:textId="77777777">
        <w:trPr>
          <w:hidden/>
        </w:trPr>
        <w:tc>
          <w:tcPr>
            <w:tcW w:w="0" w:type="auto"/>
            <w:gridSpan w:val="3"/>
            <w:shd w:val="clear" w:color="auto" w:fill="auto"/>
          </w:tcPr>
          <w:p w14:paraId="5EA2229D" w14:textId="77777777" w:rsidR="003C66EB" w:rsidRDefault="003C66EB">
            <w:pPr>
              <w:rPr>
                <w:rFonts w:ascii="宋体"/>
                <w:vanish/>
              </w:rPr>
            </w:pPr>
          </w:p>
        </w:tc>
        <w:tc>
          <w:tcPr>
            <w:tcW w:w="0" w:type="auto"/>
            <w:gridSpan w:val="3"/>
            <w:shd w:val="clear" w:color="auto" w:fill="auto"/>
          </w:tcPr>
          <w:p w14:paraId="5EA2229E" w14:textId="77777777" w:rsidR="003C66EB" w:rsidRDefault="003C66EB">
            <w:pPr>
              <w:rPr>
                <w:rFonts w:ascii="宋体"/>
                <w:vanish/>
              </w:rPr>
            </w:pPr>
          </w:p>
        </w:tc>
        <w:tc>
          <w:tcPr>
            <w:tcW w:w="0" w:type="auto"/>
            <w:gridSpan w:val="3"/>
            <w:shd w:val="clear" w:color="auto" w:fill="auto"/>
          </w:tcPr>
          <w:p w14:paraId="5EA2229F" w14:textId="77777777" w:rsidR="003C66EB" w:rsidRDefault="003C66EB">
            <w:pPr>
              <w:rPr>
                <w:rFonts w:ascii="宋体"/>
                <w:vanish/>
              </w:rPr>
            </w:pPr>
          </w:p>
        </w:tc>
        <w:tc>
          <w:tcPr>
            <w:tcW w:w="0" w:type="auto"/>
            <w:gridSpan w:val="3"/>
            <w:shd w:val="clear" w:color="auto" w:fill="auto"/>
          </w:tcPr>
          <w:p w14:paraId="5EA222A0" w14:textId="77777777" w:rsidR="003C66EB" w:rsidRDefault="003C66EB">
            <w:pPr>
              <w:rPr>
                <w:rFonts w:ascii="宋体"/>
                <w:vanish/>
              </w:rPr>
            </w:pPr>
          </w:p>
        </w:tc>
        <w:tc>
          <w:tcPr>
            <w:tcW w:w="0" w:type="auto"/>
            <w:gridSpan w:val="3"/>
            <w:shd w:val="clear" w:color="auto" w:fill="auto"/>
          </w:tcPr>
          <w:p w14:paraId="5EA222A1" w14:textId="77777777" w:rsidR="003C66EB" w:rsidRDefault="003C66EB">
            <w:pPr>
              <w:rPr>
                <w:rFonts w:ascii="宋体"/>
                <w:vanish/>
              </w:rPr>
            </w:pPr>
          </w:p>
        </w:tc>
        <w:tc>
          <w:tcPr>
            <w:tcW w:w="0" w:type="auto"/>
            <w:gridSpan w:val="3"/>
            <w:shd w:val="clear" w:color="auto" w:fill="auto"/>
          </w:tcPr>
          <w:p w14:paraId="5EA222A2" w14:textId="77777777" w:rsidR="003C66EB" w:rsidRDefault="003C66EB">
            <w:pPr>
              <w:rPr>
                <w:rFonts w:ascii="宋体"/>
                <w:vanish/>
              </w:rPr>
            </w:pPr>
          </w:p>
        </w:tc>
        <w:tc>
          <w:tcPr>
            <w:tcW w:w="0" w:type="auto"/>
            <w:gridSpan w:val="3"/>
            <w:shd w:val="clear" w:color="auto" w:fill="auto"/>
          </w:tcPr>
          <w:p w14:paraId="5EA222A3" w14:textId="77777777" w:rsidR="003C66EB" w:rsidRDefault="003C66EB">
            <w:pPr>
              <w:rPr>
                <w:rFonts w:ascii="宋体"/>
                <w:vanish/>
              </w:rPr>
            </w:pPr>
          </w:p>
        </w:tc>
        <w:tc>
          <w:tcPr>
            <w:tcW w:w="0" w:type="auto"/>
            <w:gridSpan w:val="3"/>
            <w:shd w:val="clear" w:color="auto" w:fill="auto"/>
          </w:tcPr>
          <w:p w14:paraId="5EA222A4" w14:textId="77777777" w:rsidR="003C66EB" w:rsidRDefault="003C66EB">
            <w:pPr>
              <w:rPr>
                <w:rFonts w:ascii="宋体"/>
                <w:vanish/>
              </w:rPr>
            </w:pPr>
          </w:p>
        </w:tc>
        <w:tc>
          <w:tcPr>
            <w:tcW w:w="0" w:type="auto"/>
            <w:gridSpan w:val="3"/>
            <w:shd w:val="clear" w:color="auto" w:fill="auto"/>
          </w:tcPr>
          <w:p w14:paraId="5EA222A5" w14:textId="77777777" w:rsidR="003C66EB" w:rsidRDefault="003C66EB">
            <w:pPr>
              <w:rPr>
                <w:rFonts w:ascii="宋体"/>
                <w:vanish/>
              </w:rPr>
            </w:pPr>
          </w:p>
        </w:tc>
        <w:tc>
          <w:tcPr>
            <w:tcW w:w="0" w:type="auto"/>
            <w:gridSpan w:val="3"/>
            <w:shd w:val="clear" w:color="auto" w:fill="auto"/>
          </w:tcPr>
          <w:p w14:paraId="5EA222A6" w14:textId="77777777" w:rsidR="003C66EB" w:rsidRDefault="003C66EB">
            <w:pPr>
              <w:rPr>
                <w:rFonts w:ascii="宋体"/>
                <w:vanish/>
              </w:rPr>
            </w:pPr>
          </w:p>
        </w:tc>
        <w:tc>
          <w:tcPr>
            <w:tcW w:w="0" w:type="auto"/>
            <w:gridSpan w:val="3"/>
            <w:shd w:val="clear" w:color="auto" w:fill="auto"/>
          </w:tcPr>
          <w:p w14:paraId="5EA222A7" w14:textId="77777777" w:rsidR="003C66EB" w:rsidRDefault="003C66EB">
            <w:pPr>
              <w:rPr>
                <w:rFonts w:ascii="宋体"/>
                <w:vanish/>
              </w:rPr>
            </w:pPr>
          </w:p>
        </w:tc>
        <w:tc>
          <w:tcPr>
            <w:tcW w:w="0" w:type="auto"/>
            <w:gridSpan w:val="3"/>
            <w:shd w:val="clear" w:color="auto" w:fill="auto"/>
          </w:tcPr>
          <w:p w14:paraId="5EA222A8" w14:textId="77777777" w:rsidR="003C66EB" w:rsidRDefault="003C66EB">
            <w:pPr>
              <w:rPr>
                <w:rFonts w:ascii="宋体"/>
                <w:vanish/>
              </w:rPr>
            </w:pPr>
          </w:p>
        </w:tc>
        <w:tc>
          <w:tcPr>
            <w:tcW w:w="0" w:type="auto"/>
            <w:gridSpan w:val="3"/>
            <w:shd w:val="clear" w:color="auto" w:fill="auto"/>
          </w:tcPr>
          <w:p w14:paraId="5EA222A9" w14:textId="77777777" w:rsidR="003C66EB" w:rsidRDefault="003C66EB">
            <w:pPr>
              <w:rPr>
                <w:rFonts w:ascii="宋体"/>
                <w:vanish/>
              </w:rPr>
            </w:pPr>
          </w:p>
        </w:tc>
        <w:tc>
          <w:tcPr>
            <w:tcW w:w="0" w:type="auto"/>
            <w:gridSpan w:val="3"/>
            <w:shd w:val="clear" w:color="auto" w:fill="auto"/>
          </w:tcPr>
          <w:p w14:paraId="5EA222AA" w14:textId="77777777" w:rsidR="003C66EB" w:rsidRDefault="003C66EB">
            <w:pPr>
              <w:rPr>
                <w:rFonts w:ascii="宋体"/>
                <w:vanish/>
              </w:rPr>
            </w:pPr>
          </w:p>
        </w:tc>
        <w:tc>
          <w:tcPr>
            <w:tcW w:w="0" w:type="auto"/>
            <w:gridSpan w:val="3"/>
            <w:shd w:val="clear" w:color="auto" w:fill="auto"/>
          </w:tcPr>
          <w:p w14:paraId="5EA222AB" w14:textId="77777777" w:rsidR="003C66EB" w:rsidRDefault="003C66EB">
            <w:pPr>
              <w:rPr>
                <w:rFonts w:ascii="宋体"/>
                <w:vanish/>
              </w:rPr>
            </w:pPr>
          </w:p>
        </w:tc>
        <w:tc>
          <w:tcPr>
            <w:tcW w:w="0" w:type="auto"/>
            <w:gridSpan w:val="3"/>
            <w:shd w:val="clear" w:color="auto" w:fill="auto"/>
          </w:tcPr>
          <w:p w14:paraId="5EA222AC" w14:textId="77777777" w:rsidR="003C66EB" w:rsidRDefault="003C66EB">
            <w:pPr>
              <w:rPr>
                <w:rFonts w:ascii="宋体"/>
                <w:vanish/>
              </w:rPr>
            </w:pPr>
          </w:p>
        </w:tc>
        <w:tc>
          <w:tcPr>
            <w:tcW w:w="0" w:type="auto"/>
            <w:gridSpan w:val="3"/>
            <w:shd w:val="clear" w:color="auto" w:fill="auto"/>
          </w:tcPr>
          <w:p w14:paraId="5EA222AD" w14:textId="77777777" w:rsidR="003C66EB" w:rsidRDefault="003C66EB">
            <w:pPr>
              <w:rPr>
                <w:rFonts w:ascii="宋体"/>
                <w:vanish/>
              </w:rPr>
            </w:pPr>
          </w:p>
        </w:tc>
        <w:tc>
          <w:tcPr>
            <w:tcW w:w="0" w:type="auto"/>
            <w:gridSpan w:val="3"/>
            <w:shd w:val="clear" w:color="auto" w:fill="auto"/>
          </w:tcPr>
          <w:p w14:paraId="5EA222AE" w14:textId="77777777" w:rsidR="003C66EB" w:rsidRDefault="003C66EB">
            <w:pPr>
              <w:rPr>
                <w:rFonts w:ascii="宋体"/>
                <w:vanish/>
              </w:rPr>
            </w:pPr>
          </w:p>
        </w:tc>
      </w:tr>
      <w:tr w:rsidR="003C66EB" w14:paraId="5EA222C2" w14:textId="77777777">
        <w:trPr>
          <w:hidden/>
        </w:trPr>
        <w:tc>
          <w:tcPr>
            <w:tcW w:w="0" w:type="auto"/>
            <w:gridSpan w:val="3"/>
            <w:shd w:val="clear" w:color="auto" w:fill="auto"/>
          </w:tcPr>
          <w:p w14:paraId="5EA222B0" w14:textId="77777777" w:rsidR="003C66EB" w:rsidRDefault="003C66EB">
            <w:pPr>
              <w:rPr>
                <w:rFonts w:ascii="宋体"/>
                <w:vanish/>
              </w:rPr>
            </w:pPr>
          </w:p>
        </w:tc>
        <w:tc>
          <w:tcPr>
            <w:tcW w:w="0" w:type="auto"/>
            <w:gridSpan w:val="3"/>
            <w:shd w:val="clear" w:color="auto" w:fill="auto"/>
          </w:tcPr>
          <w:p w14:paraId="5EA222B1" w14:textId="77777777" w:rsidR="003C66EB" w:rsidRDefault="003C66EB">
            <w:pPr>
              <w:rPr>
                <w:rFonts w:ascii="宋体"/>
                <w:vanish/>
              </w:rPr>
            </w:pPr>
          </w:p>
        </w:tc>
        <w:tc>
          <w:tcPr>
            <w:tcW w:w="0" w:type="auto"/>
            <w:gridSpan w:val="3"/>
            <w:shd w:val="clear" w:color="auto" w:fill="auto"/>
          </w:tcPr>
          <w:p w14:paraId="5EA222B2" w14:textId="77777777" w:rsidR="003C66EB" w:rsidRDefault="003C66EB">
            <w:pPr>
              <w:rPr>
                <w:rFonts w:ascii="宋体"/>
                <w:vanish/>
              </w:rPr>
            </w:pPr>
          </w:p>
        </w:tc>
        <w:tc>
          <w:tcPr>
            <w:tcW w:w="0" w:type="auto"/>
            <w:gridSpan w:val="3"/>
            <w:shd w:val="clear" w:color="auto" w:fill="auto"/>
          </w:tcPr>
          <w:p w14:paraId="5EA222B3" w14:textId="77777777" w:rsidR="003C66EB" w:rsidRDefault="003C66EB">
            <w:pPr>
              <w:rPr>
                <w:rFonts w:ascii="宋体"/>
                <w:vanish/>
              </w:rPr>
            </w:pPr>
          </w:p>
        </w:tc>
        <w:tc>
          <w:tcPr>
            <w:tcW w:w="0" w:type="auto"/>
            <w:gridSpan w:val="3"/>
            <w:shd w:val="clear" w:color="auto" w:fill="auto"/>
          </w:tcPr>
          <w:p w14:paraId="5EA222B4" w14:textId="77777777" w:rsidR="003C66EB" w:rsidRDefault="003C66EB">
            <w:pPr>
              <w:rPr>
                <w:rFonts w:ascii="宋体"/>
                <w:vanish/>
              </w:rPr>
            </w:pPr>
          </w:p>
        </w:tc>
        <w:tc>
          <w:tcPr>
            <w:tcW w:w="0" w:type="auto"/>
            <w:gridSpan w:val="3"/>
            <w:shd w:val="clear" w:color="auto" w:fill="auto"/>
          </w:tcPr>
          <w:p w14:paraId="5EA222B5" w14:textId="77777777" w:rsidR="003C66EB" w:rsidRDefault="003C66EB">
            <w:pPr>
              <w:rPr>
                <w:rFonts w:ascii="宋体"/>
                <w:vanish/>
              </w:rPr>
            </w:pPr>
          </w:p>
        </w:tc>
        <w:tc>
          <w:tcPr>
            <w:tcW w:w="0" w:type="auto"/>
            <w:gridSpan w:val="3"/>
            <w:shd w:val="clear" w:color="auto" w:fill="auto"/>
          </w:tcPr>
          <w:p w14:paraId="5EA222B6" w14:textId="77777777" w:rsidR="003C66EB" w:rsidRDefault="003C66EB">
            <w:pPr>
              <w:rPr>
                <w:rFonts w:ascii="宋体"/>
                <w:vanish/>
              </w:rPr>
            </w:pPr>
          </w:p>
        </w:tc>
        <w:tc>
          <w:tcPr>
            <w:tcW w:w="0" w:type="auto"/>
            <w:gridSpan w:val="3"/>
            <w:shd w:val="clear" w:color="auto" w:fill="auto"/>
          </w:tcPr>
          <w:p w14:paraId="5EA222B7" w14:textId="77777777" w:rsidR="003C66EB" w:rsidRDefault="003C66EB">
            <w:pPr>
              <w:rPr>
                <w:rFonts w:ascii="宋体"/>
                <w:vanish/>
              </w:rPr>
            </w:pPr>
          </w:p>
        </w:tc>
        <w:tc>
          <w:tcPr>
            <w:tcW w:w="0" w:type="auto"/>
            <w:gridSpan w:val="3"/>
            <w:shd w:val="clear" w:color="auto" w:fill="auto"/>
          </w:tcPr>
          <w:p w14:paraId="5EA222B8" w14:textId="77777777" w:rsidR="003C66EB" w:rsidRDefault="003C66EB">
            <w:pPr>
              <w:rPr>
                <w:rFonts w:ascii="宋体"/>
                <w:vanish/>
              </w:rPr>
            </w:pPr>
          </w:p>
        </w:tc>
        <w:tc>
          <w:tcPr>
            <w:tcW w:w="0" w:type="auto"/>
            <w:gridSpan w:val="3"/>
            <w:shd w:val="clear" w:color="auto" w:fill="auto"/>
          </w:tcPr>
          <w:p w14:paraId="5EA222B9" w14:textId="77777777" w:rsidR="003C66EB" w:rsidRDefault="003C66EB">
            <w:pPr>
              <w:rPr>
                <w:rFonts w:ascii="宋体"/>
                <w:vanish/>
              </w:rPr>
            </w:pPr>
          </w:p>
        </w:tc>
        <w:tc>
          <w:tcPr>
            <w:tcW w:w="0" w:type="auto"/>
            <w:gridSpan w:val="3"/>
            <w:shd w:val="clear" w:color="auto" w:fill="auto"/>
          </w:tcPr>
          <w:p w14:paraId="5EA222BA" w14:textId="77777777" w:rsidR="003C66EB" w:rsidRDefault="003C66EB">
            <w:pPr>
              <w:rPr>
                <w:rFonts w:ascii="宋体"/>
                <w:vanish/>
              </w:rPr>
            </w:pPr>
          </w:p>
        </w:tc>
        <w:tc>
          <w:tcPr>
            <w:tcW w:w="0" w:type="auto"/>
            <w:gridSpan w:val="3"/>
            <w:shd w:val="clear" w:color="auto" w:fill="auto"/>
          </w:tcPr>
          <w:p w14:paraId="5EA222BB" w14:textId="77777777" w:rsidR="003C66EB" w:rsidRDefault="003C66EB">
            <w:pPr>
              <w:rPr>
                <w:rFonts w:ascii="宋体"/>
                <w:vanish/>
              </w:rPr>
            </w:pPr>
          </w:p>
        </w:tc>
        <w:tc>
          <w:tcPr>
            <w:tcW w:w="0" w:type="auto"/>
            <w:gridSpan w:val="3"/>
            <w:shd w:val="clear" w:color="auto" w:fill="auto"/>
          </w:tcPr>
          <w:p w14:paraId="5EA222BC" w14:textId="77777777" w:rsidR="003C66EB" w:rsidRDefault="003C66EB">
            <w:pPr>
              <w:rPr>
                <w:rFonts w:ascii="宋体"/>
                <w:vanish/>
              </w:rPr>
            </w:pPr>
          </w:p>
        </w:tc>
        <w:tc>
          <w:tcPr>
            <w:tcW w:w="0" w:type="auto"/>
            <w:gridSpan w:val="3"/>
            <w:shd w:val="clear" w:color="auto" w:fill="auto"/>
          </w:tcPr>
          <w:p w14:paraId="5EA222BD" w14:textId="77777777" w:rsidR="003C66EB" w:rsidRDefault="003C66EB">
            <w:pPr>
              <w:rPr>
                <w:rFonts w:ascii="宋体"/>
                <w:vanish/>
              </w:rPr>
            </w:pPr>
          </w:p>
        </w:tc>
        <w:tc>
          <w:tcPr>
            <w:tcW w:w="0" w:type="auto"/>
            <w:gridSpan w:val="3"/>
            <w:shd w:val="clear" w:color="auto" w:fill="auto"/>
          </w:tcPr>
          <w:p w14:paraId="5EA222BE" w14:textId="77777777" w:rsidR="003C66EB" w:rsidRDefault="003C66EB">
            <w:pPr>
              <w:rPr>
                <w:rFonts w:ascii="宋体"/>
                <w:vanish/>
              </w:rPr>
            </w:pPr>
          </w:p>
        </w:tc>
        <w:tc>
          <w:tcPr>
            <w:tcW w:w="0" w:type="auto"/>
            <w:gridSpan w:val="3"/>
            <w:shd w:val="clear" w:color="auto" w:fill="auto"/>
          </w:tcPr>
          <w:p w14:paraId="5EA222BF" w14:textId="77777777" w:rsidR="003C66EB" w:rsidRDefault="003C66EB">
            <w:pPr>
              <w:rPr>
                <w:rFonts w:ascii="宋体"/>
                <w:vanish/>
              </w:rPr>
            </w:pPr>
          </w:p>
        </w:tc>
        <w:tc>
          <w:tcPr>
            <w:tcW w:w="0" w:type="auto"/>
            <w:gridSpan w:val="3"/>
            <w:shd w:val="clear" w:color="auto" w:fill="auto"/>
          </w:tcPr>
          <w:p w14:paraId="5EA222C0" w14:textId="77777777" w:rsidR="003C66EB" w:rsidRDefault="003C66EB">
            <w:pPr>
              <w:rPr>
                <w:rFonts w:ascii="宋体"/>
                <w:vanish/>
              </w:rPr>
            </w:pPr>
          </w:p>
        </w:tc>
        <w:tc>
          <w:tcPr>
            <w:tcW w:w="0" w:type="auto"/>
            <w:gridSpan w:val="3"/>
            <w:shd w:val="clear" w:color="auto" w:fill="auto"/>
          </w:tcPr>
          <w:p w14:paraId="5EA222C1" w14:textId="77777777" w:rsidR="003C66EB" w:rsidRDefault="003C66EB">
            <w:pPr>
              <w:rPr>
                <w:rFonts w:ascii="宋体"/>
                <w:vanish/>
              </w:rPr>
            </w:pPr>
          </w:p>
        </w:tc>
      </w:tr>
      <w:tr w:rsidR="003C66EB" w14:paraId="5EA222D5" w14:textId="77777777">
        <w:trPr>
          <w:hidden/>
        </w:trPr>
        <w:tc>
          <w:tcPr>
            <w:tcW w:w="0" w:type="auto"/>
            <w:gridSpan w:val="3"/>
            <w:shd w:val="clear" w:color="auto" w:fill="auto"/>
          </w:tcPr>
          <w:p w14:paraId="5EA222C3" w14:textId="77777777" w:rsidR="003C66EB" w:rsidRDefault="003C66EB">
            <w:pPr>
              <w:rPr>
                <w:rFonts w:ascii="宋体"/>
                <w:vanish/>
              </w:rPr>
            </w:pPr>
          </w:p>
        </w:tc>
        <w:tc>
          <w:tcPr>
            <w:tcW w:w="0" w:type="auto"/>
            <w:gridSpan w:val="3"/>
            <w:shd w:val="clear" w:color="auto" w:fill="auto"/>
          </w:tcPr>
          <w:p w14:paraId="5EA222C4" w14:textId="77777777" w:rsidR="003C66EB" w:rsidRDefault="003C66EB">
            <w:pPr>
              <w:rPr>
                <w:rFonts w:ascii="宋体"/>
                <w:vanish/>
              </w:rPr>
            </w:pPr>
          </w:p>
        </w:tc>
        <w:tc>
          <w:tcPr>
            <w:tcW w:w="0" w:type="auto"/>
            <w:gridSpan w:val="3"/>
            <w:shd w:val="clear" w:color="auto" w:fill="auto"/>
          </w:tcPr>
          <w:p w14:paraId="5EA222C5" w14:textId="77777777" w:rsidR="003C66EB" w:rsidRDefault="003C66EB">
            <w:pPr>
              <w:rPr>
                <w:rFonts w:ascii="宋体"/>
                <w:vanish/>
              </w:rPr>
            </w:pPr>
          </w:p>
        </w:tc>
        <w:tc>
          <w:tcPr>
            <w:tcW w:w="0" w:type="auto"/>
            <w:gridSpan w:val="3"/>
            <w:shd w:val="clear" w:color="auto" w:fill="auto"/>
          </w:tcPr>
          <w:p w14:paraId="5EA222C6" w14:textId="77777777" w:rsidR="003C66EB" w:rsidRDefault="003C66EB">
            <w:pPr>
              <w:rPr>
                <w:rFonts w:ascii="宋体"/>
                <w:vanish/>
              </w:rPr>
            </w:pPr>
          </w:p>
        </w:tc>
        <w:tc>
          <w:tcPr>
            <w:tcW w:w="0" w:type="auto"/>
            <w:gridSpan w:val="3"/>
            <w:shd w:val="clear" w:color="auto" w:fill="auto"/>
          </w:tcPr>
          <w:p w14:paraId="5EA222C7" w14:textId="77777777" w:rsidR="003C66EB" w:rsidRDefault="003C66EB">
            <w:pPr>
              <w:rPr>
                <w:rFonts w:ascii="宋体"/>
                <w:vanish/>
              </w:rPr>
            </w:pPr>
          </w:p>
        </w:tc>
        <w:tc>
          <w:tcPr>
            <w:tcW w:w="0" w:type="auto"/>
            <w:gridSpan w:val="3"/>
            <w:shd w:val="clear" w:color="auto" w:fill="auto"/>
          </w:tcPr>
          <w:p w14:paraId="5EA222C8" w14:textId="77777777" w:rsidR="003C66EB" w:rsidRDefault="003C66EB">
            <w:pPr>
              <w:rPr>
                <w:rFonts w:ascii="宋体"/>
                <w:vanish/>
              </w:rPr>
            </w:pPr>
          </w:p>
        </w:tc>
        <w:tc>
          <w:tcPr>
            <w:tcW w:w="0" w:type="auto"/>
            <w:gridSpan w:val="3"/>
            <w:shd w:val="clear" w:color="auto" w:fill="auto"/>
          </w:tcPr>
          <w:p w14:paraId="5EA222C9" w14:textId="77777777" w:rsidR="003C66EB" w:rsidRDefault="003C66EB">
            <w:pPr>
              <w:rPr>
                <w:rFonts w:ascii="宋体"/>
                <w:vanish/>
              </w:rPr>
            </w:pPr>
          </w:p>
        </w:tc>
        <w:tc>
          <w:tcPr>
            <w:tcW w:w="0" w:type="auto"/>
            <w:gridSpan w:val="3"/>
            <w:shd w:val="clear" w:color="auto" w:fill="auto"/>
          </w:tcPr>
          <w:p w14:paraId="5EA222CA" w14:textId="77777777" w:rsidR="003C66EB" w:rsidRDefault="003C66EB">
            <w:pPr>
              <w:rPr>
                <w:rFonts w:ascii="宋体"/>
                <w:vanish/>
              </w:rPr>
            </w:pPr>
          </w:p>
        </w:tc>
        <w:tc>
          <w:tcPr>
            <w:tcW w:w="0" w:type="auto"/>
            <w:gridSpan w:val="3"/>
            <w:shd w:val="clear" w:color="auto" w:fill="auto"/>
          </w:tcPr>
          <w:p w14:paraId="5EA222CB" w14:textId="77777777" w:rsidR="003C66EB" w:rsidRDefault="003C66EB">
            <w:pPr>
              <w:rPr>
                <w:rFonts w:ascii="宋体"/>
                <w:vanish/>
              </w:rPr>
            </w:pPr>
          </w:p>
        </w:tc>
        <w:tc>
          <w:tcPr>
            <w:tcW w:w="0" w:type="auto"/>
            <w:gridSpan w:val="3"/>
            <w:shd w:val="clear" w:color="auto" w:fill="auto"/>
          </w:tcPr>
          <w:p w14:paraId="5EA222CC" w14:textId="77777777" w:rsidR="003C66EB" w:rsidRDefault="003C66EB">
            <w:pPr>
              <w:rPr>
                <w:rFonts w:ascii="宋体"/>
                <w:vanish/>
              </w:rPr>
            </w:pPr>
          </w:p>
        </w:tc>
        <w:tc>
          <w:tcPr>
            <w:tcW w:w="0" w:type="auto"/>
            <w:gridSpan w:val="3"/>
            <w:shd w:val="clear" w:color="auto" w:fill="auto"/>
          </w:tcPr>
          <w:p w14:paraId="5EA222CD" w14:textId="77777777" w:rsidR="003C66EB" w:rsidRDefault="003C66EB">
            <w:pPr>
              <w:rPr>
                <w:rFonts w:ascii="宋体"/>
                <w:vanish/>
              </w:rPr>
            </w:pPr>
          </w:p>
        </w:tc>
        <w:tc>
          <w:tcPr>
            <w:tcW w:w="0" w:type="auto"/>
            <w:gridSpan w:val="3"/>
            <w:shd w:val="clear" w:color="auto" w:fill="auto"/>
          </w:tcPr>
          <w:p w14:paraId="5EA222CE" w14:textId="77777777" w:rsidR="003C66EB" w:rsidRDefault="003C66EB">
            <w:pPr>
              <w:rPr>
                <w:rFonts w:ascii="宋体"/>
                <w:vanish/>
              </w:rPr>
            </w:pPr>
          </w:p>
        </w:tc>
        <w:tc>
          <w:tcPr>
            <w:tcW w:w="0" w:type="auto"/>
            <w:gridSpan w:val="3"/>
            <w:shd w:val="clear" w:color="auto" w:fill="auto"/>
          </w:tcPr>
          <w:p w14:paraId="5EA222CF" w14:textId="77777777" w:rsidR="003C66EB" w:rsidRDefault="003C66EB">
            <w:pPr>
              <w:rPr>
                <w:rFonts w:ascii="宋体"/>
                <w:vanish/>
              </w:rPr>
            </w:pPr>
          </w:p>
        </w:tc>
        <w:tc>
          <w:tcPr>
            <w:tcW w:w="0" w:type="auto"/>
            <w:gridSpan w:val="3"/>
            <w:shd w:val="clear" w:color="auto" w:fill="auto"/>
          </w:tcPr>
          <w:p w14:paraId="5EA222D0" w14:textId="77777777" w:rsidR="003C66EB" w:rsidRDefault="003C66EB">
            <w:pPr>
              <w:rPr>
                <w:rFonts w:ascii="宋体"/>
                <w:vanish/>
              </w:rPr>
            </w:pPr>
          </w:p>
        </w:tc>
        <w:tc>
          <w:tcPr>
            <w:tcW w:w="0" w:type="auto"/>
            <w:gridSpan w:val="3"/>
            <w:shd w:val="clear" w:color="auto" w:fill="auto"/>
          </w:tcPr>
          <w:p w14:paraId="5EA222D1" w14:textId="77777777" w:rsidR="003C66EB" w:rsidRDefault="003C66EB">
            <w:pPr>
              <w:rPr>
                <w:rFonts w:ascii="宋体"/>
                <w:vanish/>
              </w:rPr>
            </w:pPr>
          </w:p>
        </w:tc>
        <w:tc>
          <w:tcPr>
            <w:tcW w:w="0" w:type="auto"/>
            <w:gridSpan w:val="3"/>
            <w:shd w:val="clear" w:color="auto" w:fill="auto"/>
          </w:tcPr>
          <w:p w14:paraId="5EA222D2" w14:textId="77777777" w:rsidR="003C66EB" w:rsidRDefault="003C66EB">
            <w:pPr>
              <w:rPr>
                <w:rFonts w:ascii="宋体"/>
                <w:vanish/>
              </w:rPr>
            </w:pPr>
          </w:p>
        </w:tc>
        <w:tc>
          <w:tcPr>
            <w:tcW w:w="0" w:type="auto"/>
            <w:gridSpan w:val="3"/>
            <w:shd w:val="clear" w:color="auto" w:fill="auto"/>
          </w:tcPr>
          <w:p w14:paraId="5EA222D3" w14:textId="77777777" w:rsidR="003C66EB" w:rsidRDefault="003C66EB">
            <w:pPr>
              <w:rPr>
                <w:rFonts w:ascii="宋体"/>
                <w:vanish/>
              </w:rPr>
            </w:pPr>
          </w:p>
        </w:tc>
        <w:tc>
          <w:tcPr>
            <w:tcW w:w="0" w:type="auto"/>
            <w:gridSpan w:val="3"/>
            <w:shd w:val="clear" w:color="auto" w:fill="auto"/>
          </w:tcPr>
          <w:p w14:paraId="5EA222D4" w14:textId="77777777" w:rsidR="003C66EB" w:rsidRDefault="003C66EB">
            <w:pPr>
              <w:rPr>
                <w:rFonts w:ascii="宋体"/>
                <w:vanish/>
              </w:rPr>
            </w:pPr>
          </w:p>
        </w:tc>
      </w:tr>
      <w:tr w:rsidR="003C66EB" w14:paraId="5EA222E8" w14:textId="77777777">
        <w:trPr>
          <w:hidden/>
        </w:trPr>
        <w:tc>
          <w:tcPr>
            <w:tcW w:w="0" w:type="auto"/>
            <w:gridSpan w:val="3"/>
            <w:shd w:val="clear" w:color="auto" w:fill="auto"/>
          </w:tcPr>
          <w:p w14:paraId="5EA222D6" w14:textId="77777777" w:rsidR="003C66EB" w:rsidRDefault="003C66EB">
            <w:pPr>
              <w:rPr>
                <w:rFonts w:ascii="宋体"/>
                <w:vanish/>
              </w:rPr>
            </w:pPr>
          </w:p>
        </w:tc>
        <w:tc>
          <w:tcPr>
            <w:tcW w:w="0" w:type="auto"/>
            <w:gridSpan w:val="3"/>
            <w:shd w:val="clear" w:color="auto" w:fill="auto"/>
          </w:tcPr>
          <w:p w14:paraId="5EA222D7" w14:textId="77777777" w:rsidR="003C66EB" w:rsidRDefault="003C66EB">
            <w:pPr>
              <w:rPr>
                <w:rFonts w:ascii="宋体"/>
                <w:vanish/>
              </w:rPr>
            </w:pPr>
          </w:p>
        </w:tc>
        <w:tc>
          <w:tcPr>
            <w:tcW w:w="0" w:type="auto"/>
            <w:gridSpan w:val="3"/>
            <w:shd w:val="clear" w:color="auto" w:fill="auto"/>
          </w:tcPr>
          <w:p w14:paraId="5EA222D8" w14:textId="77777777" w:rsidR="003C66EB" w:rsidRDefault="003C66EB">
            <w:pPr>
              <w:rPr>
                <w:rFonts w:ascii="宋体"/>
                <w:vanish/>
              </w:rPr>
            </w:pPr>
          </w:p>
        </w:tc>
        <w:tc>
          <w:tcPr>
            <w:tcW w:w="0" w:type="auto"/>
            <w:gridSpan w:val="3"/>
            <w:shd w:val="clear" w:color="auto" w:fill="auto"/>
          </w:tcPr>
          <w:p w14:paraId="5EA222D9" w14:textId="77777777" w:rsidR="003C66EB" w:rsidRDefault="003C66EB">
            <w:pPr>
              <w:rPr>
                <w:rFonts w:ascii="宋体"/>
                <w:vanish/>
              </w:rPr>
            </w:pPr>
          </w:p>
        </w:tc>
        <w:tc>
          <w:tcPr>
            <w:tcW w:w="0" w:type="auto"/>
            <w:gridSpan w:val="3"/>
            <w:shd w:val="clear" w:color="auto" w:fill="auto"/>
          </w:tcPr>
          <w:p w14:paraId="5EA222DA" w14:textId="77777777" w:rsidR="003C66EB" w:rsidRDefault="003C66EB">
            <w:pPr>
              <w:rPr>
                <w:rFonts w:ascii="宋体"/>
                <w:vanish/>
              </w:rPr>
            </w:pPr>
          </w:p>
        </w:tc>
        <w:tc>
          <w:tcPr>
            <w:tcW w:w="0" w:type="auto"/>
            <w:gridSpan w:val="3"/>
            <w:shd w:val="clear" w:color="auto" w:fill="auto"/>
          </w:tcPr>
          <w:p w14:paraId="5EA222DB" w14:textId="77777777" w:rsidR="003C66EB" w:rsidRDefault="003C66EB">
            <w:pPr>
              <w:rPr>
                <w:rFonts w:ascii="宋体"/>
                <w:vanish/>
              </w:rPr>
            </w:pPr>
          </w:p>
        </w:tc>
        <w:tc>
          <w:tcPr>
            <w:tcW w:w="0" w:type="auto"/>
            <w:gridSpan w:val="3"/>
            <w:shd w:val="clear" w:color="auto" w:fill="auto"/>
          </w:tcPr>
          <w:p w14:paraId="5EA222DC" w14:textId="77777777" w:rsidR="003C66EB" w:rsidRDefault="003C66EB">
            <w:pPr>
              <w:rPr>
                <w:rFonts w:ascii="宋体"/>
                <w:vanish/>
              </w:rPr>
            </w:pPr>
          </w:p>
        </w:tc>
        <w:tc>
          <w:tcPr>
            <w:tcW w:w="0" w:type="auto"/>
            <w:gridSpan w:val="3"/>
            <w:shd w:val="clear" w:color="auto" w:fill="auto"/>
          </w:tcPr>
          <w:p w14:paraId="5EA222DD" w14:textId="77777777" w:rsidR="003C66EB" w:rsidRDefault="003C66EB">
            <w:pPr>
              <w:rPr>
                <w:rFonts w:ascii="宋体"/>
                <w:vanish/>
              </w:rPr>
            </w:pPr>
          </w:p>
        </w:tc>
        <w:tc>
          <w:tcPr>
            <w:tcW w:w="0" w:type="auto"/>
            <w:gridSpan w:val="3"/>
            <w:shd w:val="clear" w:color="auto" w:fill="auto"/>
          </w:tcPr>
          <w:p w14:paraId="5EA222DE" w14:textId="77777777" w:rsidR="003C66EB" w:rsidRDefault="003C66EB">
            <w:pPr>
              <w:rPr>
                <w:rFonts w:ascii="宋体"/>
                <w:vanish/>
              </w:rPr>
            </w:pPr>
          </w:p>
        </w:tc>
        <w:tc>
          <w:tcPr>
            <w:tcW w:w="0" w:type="auto"/>
            <w:gridSpan w:val="3"/>
            <w:shd w:val="clear" w:color="auto" w:fill="auto"/>
          </w:tcPr>
          <w:p w14:paraId="5EA222DF" w14:textId="77777777" w:rsidR="003C66EB" w:rsidRDefault="003C66EB">
            <w:pPr>
              <w:rPr>
                <w:rFonts w:ascii="宋体"/>
                <w:vanish/>
              </w:rPr>
            </w:pPr>
          </w:p>
        </w:tc>
        <w:tc>
          <w:tcPr>
            <w:tcW w:w="0" w:type="auto"/>
            <w:gridSpan w:val="3"/>
            <w:shd w:val="clear" w:color="auto" w:fill="auto"/>
          </w:tcPr>
          <w:p w14:paraId="5EA222E0" w14:textId="77777777" w:rsidR="003C66EB" w:rsidRDefault="003C66EB">
            <w:pPr>
              <w:rPr>
                <w:rFonts w:ascii="宋体"/>
                <w:vanish/>
              </w:rPr>
            </w:pPr>
          </w:p>
        </w:tc>
        <w:tc>
          <w:tcPr>
            <w:tcW w:w="0" w:type="auto"/>
            <w:gridSpan w:val="3"/>
            <w:shd w:val="clear" w:color="auto" w:fill="auto"/>
          </w:tcPr>
          <w:p w14:paraId="5EA222E1" w14:textId="77777777" w:rsidR="003C66EB" w:rsidRDefault="003C66EB">
            <w:pPr>
              <w:rPr>
                <w:rFonts w:ascii="宋体"/>
                <w:vanish/>
              </w:rPr>
            </w:pPr>
          </w:p>
        </w:tc>
        <w:tc>
          <w:tcPr>
            <w:tcW w:w="0" w:type="auto"/>
            <w:gridSpan w:val="3"/>
            <w:shd w:val="clear" w:color="auto" w:fill="auto"/>
          </w:tcPr>
          <w:p w14:paraId="5EA222E2" w14:textId="77777777" w:rsidR="003C66EB" w:rsidRDefault="003C66EB">
            <w:pPr>
              <w:rPr>
                <w:rFonts w:ascii="宋体"/>
                <w:vanish/>
              </w:rPr>
            </w:pPr>
          </w:p>
        </w:tc>
        <w:tc>
          <w:tcPr>
            <w:tcW w:w="0" w:type="auto"/>
            <w:gridSpan w:val="3"/>
            <w:shd w:val="clear" w:color="auto" w:fill="auto"/>
          </w:tcPr>
          <w:p w14:paraId="5EA222E3" w14:textId="77777777" w:rsidR="003C66EB" w:rsidRDefault="003C66EB">
            <w:pPr>
              <w:rPr>
                <w:rFonts w:ascii="宋体"/>
                <w:vanish/>
              </w:rPr>
            </w:pPr>
          </w:p>
        </w:tc>
        <w:tc>
          <w:tcPr>
            <w:tcW w:w="0" w:type="auto"/>
            <w:gridSpan w:val="3"/>
            <w:shd w:val="clear" w:color="auto" w:fill="auto"/>
          </w:tcPr>
          <w:p w14:paraId="5EA222E4" w14:textId="77777777" w:rsidR="003C66EB" w:rsidRDefault="003C66EB">
            <w:pPr>
              <w:rPr>
                <w:rFonts w:ascii="宋体"/>
                <w:vanish/>
              </w:rPr>
            </w:pPr>
          </w:p>
        </w:tc>
        <w:tc>
          <w:tcPr>
            <w:tcW w:w="0" w:type="auto"/>
            <w:gridSpan w:val="3"/>
            <w:shd w:val="clear" w:color="auto" w:fill="auto"/>
          </w:tcPr>
          <w:p w14:paraId="5EA222E5" w14:textId="77777777" w:rsidR="003C66EB" w:rsidRDefault="003C66EB">
            <w:pPr>
              <w:rPr>
                <w:rFonts w:ascii="宋体"/>
                <w:vanish/>
              </w:rPr>
            </w:pPr>
          </w:p>
        </w:tc>
        <w:tc>
          <w:tcPr>
            <w:tcW w:w="0" w:type="auto"/>
            <w:gridSpan w:val="3"/>
            <w:shd w:val="clear" w:color="auto" w:fill="auto"/>
          </w:tcPr>
          <w:p w14:paraId="5EA222E6" w14:textId="77777777" w:rsidR="003C66EB" w:rsidRDefault="003C66EB">
            <w:pPr>
              <w:rPr>
                <w:rFonts w:ascii="宋体"/>
                <w:vanish/>
              </w:rPr>
            </w:pPr>
          </w:p>
        </w:tc>
        <w:tc>
          <w:tcPr>
            <w:tcW w:w="0" w:type="auto"/>
            <w:gridSpan w:val="3"/>
            <w:shd w:val="clear" w:color="auto" w:fill="auto"/>
          </w:tcPr>
          <w:p w14:paraId="5EA222E7" w14:textId="77777777" w:rsidR="003C66EB" w:rsidRDefault="003C66EB">
            <w:pPr>
              <w:rPr>
                <w:rFonts w:ascii="宋体"/>
                <w:vanish/>
              </w:rPr>
            </w:pPr>
          </w:p>
        </w:tc>
      </w:tr>
      <w:tr w:rsidR="003C66EB" w14:paraId="5EA222FB" w14:textId="77777777">
        <w:trPr>
          <w:hidden/>
        </w:trPr>
        <w:tc>
          <w:tcPr>
            <w:tcW w:w="0" w:type="auto"/>
            <w:gridSpan w:val="3"/>
            <w:shd w:val="clear" w:color="auto" w:fill="auto"/>
          </w:tcPr>
          <w:p w14:paraId="5EA222E9" w14:textId="77777777" w:rsidR="003C66EB" w:rsidRDefault="003C66EB">
            <w:pPr>
              <w:rPr>
                <w:rFonts w:ascii="宋体"/>
                <w:vanish/>
              </w:rPr>
            </w:pPr>
          </w:p>
        </w:tc>
        <w:tc>
          <w:tcPr>
            <w:tcW w:w="0" w:type="auto"/>
            <w:gridSpan w:val="3"/>
            <w:shd w:val="clear" w:color="auto" w:fill="auto"/>
          </w:tcPr>
          <w:p w14:paraId="5EA222EA" w14:textId="77777777" w:rsidR="003C66EB" w:rsidRDefault="003C66EB">
            <w:pPr>
              <w:rPr>
                <w:rFonts w:ascii="宋体"/>
                <w:vanish/>
              </w:rPr>
            </w:pPr>
          </w:p>
        </w:tc>
        <w:tc>
          <w:tcPr>
            <w:tcW w:w="0" w:type="auto"/>
            <w:gridSpan w:val="3"/>
            <w:shd w:val="clear" w:color="auto" w:fill="auto"/>
          </w:tcPr>
          <w:p w14:paraId="5EA222EB" w14:textId="77777777" w:rsidR="003C66EB" w:rsidRDefault="003C66EB">
            <w:pPr>
              <w:rPr>
                <w:rFonts w:ascii="宋体"/>
                <w:vanish/>
              </w:rPr>
            </w:pPr>
          </w:p>
        </w:tc>
        <w:tc>
          <w:tcPr>
            <w:tcW w:w="0" w:type="auto"/>
            <w:gridSpan w:val="3"/>
            <w:shd w:val="clear" w:color="auto" w:fill="auto"/>
          </w:tcPr>
          <w:p w14:paraId="5EA222EC" w14:textId="77777777" w:rsidR="003C66EB" w:rsidRDefault="003C66EB">
            <w:pPr>
              <w:rPr>
                <w:rFonts w:ascii="宋体"/>
                <w:vanish/>
              </w:rPr>
            </w:pPr>
          </w:p>
        </w:tc>
        <w:tc>
          <w:tcPr>
            <w:tcW w:w="0" w:type="auto"/>
            <w:gridSpan w:val="3"/>
            <w:shd w:val="clear" w:color="auto" w:fill="auto"/>
          </w:tcPr>
          <w:p w14:paraId="5EA222ED" w14:textId="77777777" w:rsidR="003C66EB" w:rsidRDefault="003C66EB">
            <w:pPr>
              <w:rPr>
                <w:rFonts w:ascii="宋体"/>
                <w:vanish/>
              </w:rPr>
            </w:pPr>
          </w:p>
        </w:tc>
        <w:tc>
          <w:tcPr>
            <w:tcW w:w="0" w:type="auto"/>
            <w:gridSpan w:val="3"/>
            <w:shd w:val="clear" w:color="auto" w:fill="auto"/>
          </w:tcPr>
          <w:p w14:paraId="5EA222EE" w14:textId="77777777" w:rsidR="003C66EB" w:rsidRDefault="003C66EB">
            <w:pPr>
              <w:rPr>
                <w:rFonts w:ascii="宋体"/>
                <w:vanish/>
              </w:rPr>
            </w:pPr>
          </w:p>
        </w:tc>
        <w:tc>
          <w:tcPr>
            <w:tcW w:w="0" w:type="auto"/>
            <w:gridSpan w:val="3"/>
            <w:shd w:val="clear" w:color="auto" w:fill="auto"/>
          </w:tcPr>
          <w:p w14:paraId="5EA222EF" w14:textId="77777777" w:rsidR="003C66EB" w:rsidRDefault="003C66EB">
            <w:pPr>
              <w:rPr>
                <w:rFonts w:ascii="宋体"/>
                <w:vanish/>
              </w:rPr>
            </w:pPr>
          </w:p>
        </w:tc>
        <w:tc>
          <w:tcPr>
            <w:tcW w:w="0" w:type="auto"/>
            <w:gridSpan w:val="3"/>
            <w:shd w:val="clear" w:color="auto" w:fill="auto"/>
          </w:tcPr>
          <w:p w14:paraId="5EA222F0" w14:textId="77777777" w:rsidR="003C66EB" w:rsidRDefault="003C66EB">
            <w:pPr>
              <w:rPr>
                <w:rFonts w:ascii="宋体"/>
                <w:vanish/>
              </w:rPr>
            </w:pPr>
          </w:p>
        </w:tc>
        <w:tc>
          <w:tcPr>
            <w:tcW w:w="0" w:type="auto"/>
            <w:gridSpan w:val="3"/>
            <w:shd w:val="clear" w:color="auto" w:fill="auto"/>
          </w:tcPr>
          <w:p w14:paraId="5EA222F1" w14:textId="77777777" w:rsidR="003C66EB" w:rsidRDefault="003C66EB">
            <w:pPr>
              <w:rPr>
                <w:rFonts w:ascii="宋体"/>
                <w:vanish/>
              </w:rPr>
            </w:pPr>
          </w:p>
        </w:tc>
        <w:tc>
          <w:tcPr>
            <w:tcW w:w="0" w:type="auto"/>
            <w:gridSpan w:val="3"/>
            <w:shd w:val="clear" w:color="auto" w:fill="auto"/>
          </w:tcPr>
          <w:p w14:paraId="5EA222F2" w14:textId="77777777" w:rsidR="003C66EB" w:rsidRDefault="003C66EB">
            <w:pPr>
              <w:rPr>
                <w:rFonts w:ascii="宋体"/>
                <w:vanish/>
              </w:rPr>
            </w:pPr>
          </w:p>
        </w:tc>
        <w:tc>
          <w:tcPr>
            <w:tcW w:w="0" w:type="auto"/>
            <w:gridSpan w:val="3"/>
            <w:shd w:val="clear" w:color="auto" w:fill="auto"/>
          </w:tcPr>
          <w:p w14:paraId="5EA222F3" w14:textId="77777777" w:rsidR="003C66EB" w:rsidRDefault="003C66EB">
            <w:pPr>
              <w:rPr>
                <w:rFonts w:ascii="宋体"/>
                <w:vanish/>
              </w:rPr>
            </w:pPr>
          </w:p>
        </w:tc>
        <w:tc>
          <w:tcPr>
            <w:tcW w:w="0" w:type="auto"/>
            <w:gridSpan w:val="3"/>
            <w:shd w:val="clear" w:color="auto" w:fill="auto"/>
          </w:tcPr>
          <w:p w14:paraId="5EA222F4" w14:textId="77777777" w:rsidR="003C66EB" w:rsidRDefault="003C66EB">
            <w:pPr>
              <w:rPr>
                <w:rFonts w:ascii="宋体"/>
                <w:vanish/>
              </w:rPr>
            </w:pPr>
          </w:p>
        </w:tc>
        <w:tc>
          <w:tcPr>
            <w:tcW w:w="0" w:type="auto"/>
            <w:gridSpan w:val="3"/>
            <w:shd w:val="clear" w:color="auto" w:fill="auto"/>
          </w:tcPr>
          <w:p w14:paraId="5EA222F5" w14:textId="77777777" w:rsidR="003C66EB" w:rsidRDefault="003C66EB">
            <w:pPr>
              <w:rPr>
                <w:rFonts w:ascii="宋体"/>
                <w:vanish/>
              </w:rPr>
            </w:pPr>
          </w:p>
        </w:tc>
        <w:tc>
          <w:tcPr>
            <w:tcW w:w="0" w:type="auto"/>
            <w:gridSpan w:val="3"/>
            <w:shd w:val="clear" w:color="auto" w:fill="auto"/>
          </w:tcPr>
          <w:p w14:paraId="5EA222F6" w14:textId="77777777" w:rsidR="003C66EB" w:rsidRDefault="003C66EB">
            <w:pPr>
              <w:rPr>
                <w:rFonts w:ascii="宋体"/>
                <w:vanish/>
              </w:rPr>
            </w:pPr>
          </w:p>
        </w:tc>
        <w:tc>
          <w:tcPr>
            <w:tcW w:w="0" w:type="auto"/>
            <w:gridSpan w:val="3"/>
            <w:shd w:val="clear" w:color="auto" w:fill="auto"/>
          </w:tcPr>
          <w:p w14:paraId="5EA222F7" w14:textId="77777777" w:rsidR="003C66EB" w:rsidRDefault="003C66EB">
            <w:pPr>
              <w:rPr>
                <w:rFonts w:ascii="宋体"/>
                <w:vanish/>
              </w:rPr>
            </w:pPr>
          </w:p>
        </w:tc>
        <w:tc>
          <w:tcPr>
            <w:tcW w:w="0" w:type="auto"/>
            <w:gridSpan w:val="3"/>
            <w:shd w:val="clear" w:color="auto" w:fill="auto"/>
          </w:tcPr>
          <w:p w14:paraId="5EA222F8" w14:textId="77777777" w:rsidR="003C66EB" w:rsidRDefault="003C66EB">
            <w:pPr>
              <w:rPr>
                <w:rFonts w:ascii="宋体"/>
                <w:vanish/>
              </w:rPr>
            </w:pPr>
          </w:p>
        </w:tc>
        <w:tc>
          <w:tcPr>
            <w:tcW w:w="0" w:type="auto"/>
            <w:gridSpan w:val="3"/>
            <w:shd w:val="clear" w:color="auto" w:fill="auto"/>
          </w:tcPr>
          <w:p w14:paraId="5EA222F9" w14:textId="77777777" w:rsidR="003C66EB" w:rsidRDefault="003C66EB">
            <w:pPr>
              <w:rPr>
                <w:rFonts w:ascii="宋体"/>
                <w:vanish/>
              </w:rPr>
            </w:pPr>
          </w:p>
        </w:tc>
        <w:tc>
          <w:tcPr>
            <w:tcW w:w="0" w:type="auto"/>
            <w:gridSpan w:val="3"/>
            <w:shd w:val="clear" w:color="auto" w:fill="auto"/>
          </w:tcPr>
          <w:p w14:paraId="5EA222FA" w14:textId="77777777" w:rsidR="003C66EB" w:rsidRDefault="003C66EB">
            <w:pPr>
              <w:rPr>
                <w:rFonts w:ascii="宋体"/>
                <w:vanish/>
              </w:rPr>
            </w:pPr>
          </w:p>
        </w:tc>
      </w:tr>
      <w:tr w:rsidR="003C66EB" w14:paraId="5EA2230E" w14:textId="77777777">
        <w:trPr>
          <w:hidden/>
        </w:trPr>
        <w:tc>
          <w:tcPr>
            <w:tcW w:w="0" w:type="auto"/>
            <w:gridSpan w:val="3"/>
            <w:shd w:val="clear" w:color="auto" w:fill="auto"/>
          </w:tcPr>
          <w:p w14:paraId="5EA222FC" w14:textId="77777777" w:rsidR="003C66EB" w:rsidRDefault="003C66EB">
            <w:pPr>
              <w:rPr>
                <w:rFonts w:ascii="宋体"/>
                <w:vanish/>
              </w:rPr>
            </w:pPr>
          </w:p>
        </w:tc>
        <w:tc>
          <w:tcPr>
            <w:tcW w:w="0" w:type="auto"/>
            <w:gridSpan w:val="3"/>
            <w:shd w:val="clear" w:color="auto" w:fill="auto"/>
          </w:tcPr>
          <w:p w14:paraId="5EA222FD" w14:textId="77777777" w:rsidR="003C66EB" w:rsidRDefault="003C66EB">
            <w:pPr>
              <w:rPr>
                <w:rFonts w:ascii="宋体"/>
                <w:vanish/>
              </w:rPr>
            </w:pPr>
          </w:p>
        </w:tc>
        <w:tc>
          <w:tcPr>
            <w:tcW w:w="0" w:type="auto"/>
            <w:gridSpan w:val="3"/>
            <w:shd w:val="clear" w:color="auto" w:fill="auto"/>
          </w:tcPr>
          <w:p w14:paraId="5EA222FE" w14:textId="77777777" w:rsidR="003C66EB" w:rsidRDefault="003C66EB">
            <w:pPr>
              <w:rPr>
                <w:rFonts w:ascii="宋体"/>
                <w:vanish/>
              </w:rPr>
            </w:pPr>
          </w:p>
        </w:tc>
        <w:tc>
          <w:tcPr>
            <w:tcW w:w="0" w:type="auto"/>
            <w:gridSpan w:val="3"/>
            <w:shd w:val="clear" w:color="auto" w:fill="auto"/>
          </w:tcPr>
          <w:p w14:paraId="5EA222FF" w14:textId="77777777" w:rsidR="003C66EB" w:rsidRDefault="003C66EB">
            <w:pPr>
              <w:rPr>
                <w:rFonts w:ascii="宋体"/>
                <w:vanish/>
              </w:rPr>
            </w:pPr>
          </w:p>
        </w:tc>
        <w:tc>
          <w:tcPr>
            <w:tcW w:w="0" w:type="auto"/>
            <w:gridSpan w:val="3"/>
            <w:shd w:val="clear" w:color="auto" w:fill="auto"/>
          </w:tcPr>
          <w:p w14:paraId="5EA22300" w14:textId="77777777" w:rsidR="003C66EB" w:rsidRDefault="003C66EB">
            <w:pPr>
              <w:rPr>
                <w:rFonts w:ascii="宋体"/>
                <w:vanish/>
              </w:rPr>
            </w:pPr>
          </w:p>
        </w:tc>
        <w:tc>
          <w:tcPr>
            <w:tcW w:w="0" w:type="auto"/>
            <w:gridSpan w:val="3"/>
            <w:shd w:val="clear" w:color="auto" w:fill="auto"/>
          </w:tcPr>
          <w:p w14:paraId="5EA22301" w14:textId="77777777" w:rsidR="003C66EB" w:rsidRDefault="003C66EB">
            <w:pPr>
              <w:rPr>
                <w:rFonts w:ascii="宋体"/>
                <w:vanish/>
              </w:rPr>
            </w:pPr>
          </w:p>
        </w:tc>
        <w:tc>
          <w:tcPr>
            <w:tcW w:w="0" w:type="auto"/>
            <w:gridSpan w:val="3"/>
            <w:shd w:val="clear" w:color="auto" w:fill="auto"/>
          </w:tcPr>
          <w:p w14:paraId="5EA22302" w14:textId="77777777" w:rsidR="003C66EB" w:rsidRDefault="003C66EB">
            <w:pPr>
              <w:rPr>
                <w:rFonts w:ascii="宋体"/>
                <w:vanish/>
              </w:rPr>
            </w:pPr>
          </w:p>
        </w:tc>
        <w:tc>
          <w:tcPr>
            <w:tcW w:w="0" w:type="auto"/>
            <w:gridSpan w:val="3"/>
            <w:shd w:val="clear" w:color="auto" w:fill="auto"/>
          </w:tcPr>
          <w:p w14:paraId="5EA22303" w14:textId="77777777" w:rsidR="003C66EB" w:rsidRDefault="003C66EB">
            <w:pPr>
              <w:rPr>
                <w:rFonts w:ascii="宋体"/>
                <w:vanish/>
              </w:rPr>
            </w:pPr>
          </w:p>
        </w:tc>
        <w:tc>
          <w:tcPr>
            <w:tcW w:w="0" w:type="auto"/>
            <w:gridSpan w:val="3"/>
            <w:shd w:val="clear" w:color="auto" w:fill="auto"/>
          </w:tcPr>
          <w:p w14:paraId="5EA22304" w14:textId="77777777" w:rsidR="003C66EB" w:rsidRDefault="003C66EB">
            <w:pPr>
              <w:rPr>
                <w:rFonts w:ascii="宋体"/>
                <w:vanish/>
              </w:rPr>
            </w:pPr>
          </w:p>
        </w:tc>
        <w:tc>
          <w:tcPr>
            <w:tcW w:w="0" w:type="auto"/>
            <w:gridSpan w:val="3"/>
            <w:shd w:val="clear" w:color="auto" w:fill="auto"/>
          </w:tcPr>
          <w:p w14:paraId="5EA22305" w14:textId="77777777" w:rsidR="003C66EB" w:rsidRDefault="003C66EB">
            <w:pPr>
              <w:rPr>
                <w:rFonts w:ascii="宋体"/>
                <w:vanish/>
              </w:rPr>
            </w:pPr>
          </w:p>
        </w:tc>
        <w:tc>
          <w:tcPr>
            <w:tcW w:w="0" w:type="auto"/>
            <w:gridSpan w:val="3"/>
            <w:shd w:val="clear" w:color="auto" w:fill="auto"/>
          </w:tcPr>
          <w:p w14:paraId="5EA22306" w14:textId="77777777" w:rsidR="003C66EB" w:rsidRDefault="003C66EB">
            <w:pPr>
              <w:rPr>
                <w:rFonts w:ascii="宋体"/>
                <w:vanish/>
              </w:rPr>
            </w:pPr>
          </w:p>
        </w:tc>
        <w:tc>
          <w:tcPr>
            <w:tcW w:w="0" w:type="auto"/>
            <w:gridSpan w:val="3"/>
            <w:shd w:val="clear" w:color="auto" w:fill="auto"/>
          </w:tcPr>
          <w:p w14:paraId="5EA22307" w14:textId="77777777" w:rsidR="003C66EB" w:rsidRDefault="003C66EB">
            <w:pPr>
              <w:rPr>
                <w:rFonts w:ascii="宋体"/>
                <w:vanish/>
              </w:rPr>
            </w:pPr>
          </w:p>
        </w:tc>
        <w:tc>
          <w:tcPr>
            <w:tcW w:w="0" w:type="auto"/>
            <w:gridSpan w:val="3"/>
            <w:shd w:val="clear" w:color="auto" w:fill="auto"/>
          </w:tcPr>
          <w:p w14:paraId="5EA22308" w14:textId="77777777" w:rsidR="003C66EB" w:rsidRDefault="003C66EB">
            <w:pPr>
              <w:rPr>
                <w:rFonts w:ascii="宋体"/>
                <w:vanish/>
              </w:rPr>
            </w:pPr>
          </w:p>
        </w:tc>
        <w:tc>
          <w:tcPr>
            <w:tcW w:w="0" w:type="auto"/>
            <w:gridSpan w:val="3"/>
            <w:shd w:val="clear" w:color="auto" w:fill="auto"/>
          </w:tcPr>
          <w:p w14:paraId="5EA22309" w14:textId="77777777" w:rsidR="003C66EB" w:rsidRDefault="003C66EB">
            <w:pPr>
              <w:rPr>
                <w:rFonts w:ascii="宋体"/>
                <w:vanish/>
              </w:rPr>
            </w:pPr>
          </w:p>
        </w:tc>
        <w:tc>
          <w:tcPr>
            <w:tcW w:w="0" w:type="auto"/>
            <w:gridSpan w:val="3"/>
            <w:shd w:val="clear" w:color="auto" w:fill="auto"/>
          </w:tcPr>
          <w:p w14:paraId="5EA2230A" w14:textId="77777777" w:rsidR="003C66EB" w:rsidRDefault="003C66EB">
            <w:pPr>
              <w:rPr>
                <w:rFonts w:ascii="宋体"/>
                <w:vanish/>
              </w:rPr>
            </w:pPr>
          </w:p>
        </w:tc>
        <w:tc>
          <w:tcPr>
            <w:tcW w:w="0" w:type="auto"/>
            <w:gridSpan w:val="3"/>
            <w:shd w:val="clear" w:color="auto" w:fill="auto"/>
          </w:tcPr>
          <w:p w14:paraId="5EA2230B" w14:textId="77777777" w:rsidR="003C66EB" w:rsidRDefault="003C66EB">
            <w:pPr>
              <w:rPr>
                <w:rFonts w:ascii="宋体"/>
                <w:vanish/>
              </w:rPr>
            </w:pPr>
          </w:p>
        </w:tc>
        <w:tc>
          <w:tcPr>
            <w:tcW w:w="0" w:type="auto"/>
            <w:gridSpan w:val="3"/>
            <w:shd w:val="clear" w:color="auto" w:fill="auto"/>
          </w:tcPr>
          <w:p w14:paraId="5EA2230C" w14:textId="77777777" w:rsidR="003C66EB" w:rsidRDefault="003C66EB">
            <w:pPr>
              <w:rPr>
                <w:rFonts w:ascii="宋体"/>
                <w:vanish/>
              </w:rPr>
            </w:pPr>
          </w:p>
        </w:tc>
        <w:tc>
          <w:tcPr>
            <w:tcW w:w="0" w:type="auto"/>
            <w:gridSpan w:val="3"/>
            <w:shd w:val="clear" w:color="auto" w:fill="auto"/>
          </w:tcPr>
          <w:p w14:paraId="5EA2230D" w14:textId="77777777" w:rsidR="003C66EB" w:rsidRDefault="003C66EB">
            <w:pPr>
              <w:rPr>
                <w:rFonts w:ascii="宋体"/>
                <w:vanish/>
              </w:rPr>
            </w:pPr>
          </w:p>
        </w:tc>
      </w:tr>
      <w:tr w:rsidR="003C66EB" w14:paraId="5EA22321" w14:textId="77777777">
        <w:trPr>
          <w:hidden/>
        </w:trPr>
        <w:tc>
          <w:tcPr>
            <w:tcW w:w="0" w:type="auto"/>
            <w:gridSpan w:val="3"/>
            <w:shd w:val="clear" w:color="auto" w:fill="auto"/>
          </w:tcPr>
          <w:p w14:paraId="5EA2230F" w14:textId="77777777" w:rsidR="003C66EB" w:rsidRDefault="003C66EB">
            <w:pPr>
              <w:rPr>
                <w:rFonts w:ascii="宋体"/>
                <w:vanish/>
              </w:rPr>
            </w:pPr>
          </w:p>
        </w:tc>
        <w:tc>
          <w:tcPr>
            <w:tcW w:w="0" w:type="auto"/>
            <w:gridSpan w:val="3"/>
            <w:shd w:val="clear" w:color="auto" w:fill="auto"/>
          </w:tcPr>
          <w:p w14:paraId="5EA22310" w14:textId="77777777" w:rsidR="003C66EB" w:rsidRDefault="003C66EB">
            <w:pPr>
              <w:rPr>
                <w:rFonts w:ascii="宋体"/>
                <w:vanish/>
              </w:rPr>
            </w:pPr>
          </w:p>
        </w:tc>
        <w:tc>
          <w:tcPr>
            <w:tcW w:w="0" w:type="auto"/>
            <w:gridSpan w:val="3"/>
            <w:shd w:val="clear" w:color="auto" w:fill="auto"/>
          </w:tcPr>
          <w:p w14:paraId="5EA22311" w14:textId="77777777" w:rsidR="003C66EB" w:rsidRDefault="003C66EB">
            <w:pPr>
              <w:rPr>
                <w:rFonts w:ascii="宋体"/>
                <w:vanish/>
              </w:rPr>
            </w:pPr>
          </w:p>
        </w:tc>
        <w:tc>
          <w:tcPr>
            <w:tcW w:w="0" w:type="auto"/>
            <w:gridSpan w:val="3"/>
            <w:shd w:val="clear" w:color="auto" w:fill="auto"/>
          </w:tcPr>
          <w:p w14:paraId="5EA22312" w14:textId="77777777" w:rsidR="003C66EB" w:rsidRDefault="003C66EB">
            <w:pPr>
              <w:rPr>
                <w:rFonts w:ascii="宋体"/>
                <w:vanish/>
              </w:rPr>
            </w:pPr>
          </w:p>
        </w:tc>
        <w:tc>
          <w:tcPr>
            <w:tcW w:w="0" w:type="auto"/>
            <w:gridSpan w:val="3"/>
            <w:shd w:val="clear" w:color="auto" w:fill="auto"/>
          </w:tcPr>
          <w:p w14:paraId="5EA22313" w14:textId="77777777" w:rsidR="003C66EB" w:rsidRDefault="003C66EB">
            <w:pPr>
              <w:rPr>
                <w:rFonts w:ascii="宋体"/>
                <w:vanish/>
              </w:rPr>
            </w:pPr>
          </w:p>
        </w:tc>
        <w:tc>
          <w:tcPr>
            <w:tcW w:w="0" w:type="auto"/>
            <w:gridSpan w:val="3"/>
            <w:shd w:val="clear" w:color="auto" w:fill="auto"/>
          </w:tcPr>
          <w:p w14:paraId="5EA22314" w14:textId="77777777" w:rsidR="003C66EB" w:rsidRDefault="003C66EB">
            <w:pPr>
              <w:rPr>
                <w:rFonts w:ascii="宋体"/>
                <w:vanish/>
              </w:rPr>
            </w:pPr>
          </w:p>
        </w:tc>
        <w:tc>
          <w:tcPr>
            <w:tcW w:w="0" w:type="auto"/>
            <w:gridSpan w:val="3"/>
            <w:shd w:val="clear" w:color="auto" w:fill="auto"/>
          </w:tcPr>
          <w:p w14:paraId="5EA22315" w14:textId="77777777" w:rsidR="003C66EB" w:rsidRDefault="003C66EB">
            <w:pPr>
              <w:rPr>
                <w:rFonts w:ascii="宋体"/>
                <w:vanish/>
              </w:rPr>
            </w:pPr>
          </w:p>
        </w:tc>
        <w:tc>
          <w:tcPr>
            <w:tcW w:w="0" w:type="auto"/>
            <w:gridSpan w:val="3"/>
            <w:shd w:val="clear" w:color="auto" w:fill="auto"/>
          </w:tcPr>
          <w:p w14:paraId="5EA22316" w14:textId="77777777" w:rsidR="003C66EB" w:rsidRDefault="003C66EB">
            <w:pPr>
              <w:rPr>
                <w:rFonts w:ascii="宋体"/>
                <w:vanish/>
              </w:rPr>
            </w:pPr>
          </w:p>
        </w:tc>
        <w:tc>
          <w:tcPr>
            <w:tcW w:w="0" w:type="auto"/>
            <w:gridSpan w:val="3"/>
            <w:shd w:val="clear" w:color="auto" w:fill="auto"/>
          </w:tcPr>
          <w:p w14:paraId="5EA22317" w14:textId="77777777" w:rsidR="003C66EB" w:rsidRDefault="003C66EB">
            <w:pPr>
              <w:rPr>
                <w:rFonts w:ascii="宋体"/>
                <w:vanish/>
              </w:rPr>
            </w:pPr>
          </w:p>
        </w:tc>
        <w:tc>
          <w:tcPr>
            <w:tcW w:w="0" w:type="auto"/>
            <w:gridSpan w:val="3"/>
            <w:shd w:val="clear" w:color="auto" w:fill="auto"/>
          </w:tcPr>
          <w:p w14:paraId="5EA22318" w14:textId="77777777" w:rsidR="003C66EB" w:rsidRDefault="003C66EB">
            <w:pPr>
              <w:rPr>
                <w:rFonts w:ascii="宋体"/>
                <w:vanish/>
              </w:rPr>
            </w:pPr>
          </w:p>
        </w:tc>
        <w:tc>
          <w:tcPr>
            <w:tcW w:w="0" w:type="auto"/>
            <w:gridSpan w:val="3"/>
            <w:shd w:val="clear" w:color="auto" w:fill="auto"/>
          </w:tcPr>
          <w:p w14:paraId="5EA22319" w14:textId="77777777" w:rsidR="003C66EB" w:rsidRDefault="003C66EB">
            <w:pPr>
              <w:rPr>
                <w:rFonts w:ascii="宋体"/>
                <w:vanish/>
              </w:rPr>
            </w:pPr>
          </w:p>
        </w:tc>
        <w:tc>
          <w:tcPr>
            <w:tcW w:w="0" w:type="auto"/>
            <w:gridSpan w:val="3"/>
            <w:shd w:val="clear" w:color="auto" w:fill="auto"/>
          </w:tcPr>
          <w:p w14:paraId="5EA2231A" w14:textId="77777777" w:rsidR="003C66EB" w:rsidRDefault="003C66EB">
            <w:pPr>
              <w:rPr>
                <w:rFonts w:ascii="宋体"/>
                <w:vanish/>
              </w:rPr>
            </w:pPr>
          </w:p>
        </w:tc>
        <w:tc>
          <w:tcPr>
            <w:tcW w:w="0" w:type="auto"/>
            <w:gridSpan w:val="3"/>
            <w:shd w:val="clear" w:color="auto" w:fill="auto"/>
          </w:tcPr>
          <w:p w14:paraId="5EA2231B" w14:textId="77777777" w:rsidR="003C66EB" w:rsidRDefault="003C66EB">
            <w:pPr>
              <w:rPr>
                <w:rFonts w:ascii="宋体"/>
                <w:vanish/>
              </w:rPr>
            </w:pPr>
          </w:p>
        </w:tc>
        <w:tc>
          <w:tcPr>
            <w:tcW w:w="0" w:type="auto"/>
            <w:gridSpan w:val="3"/>
            <w:shd w:val="clear" w:color="auto" w:fill="auto"/>
          </w:tcPr>
          <w:p w14:paraId="5EA2231C" w14:textId="77777777" w:rsidR="003C66EB" w:rsidRDefault="003C66EB">
            <w:pPr>
              <w:rPr>
                <w:rFonts w:ascii="宋体"/>
                <w:vanish/>
              </w:rPr>
            </w:pPr>
          </w:p>
        </w:tc>
        <w:tc>
          <w:tcPr>
            <w:tcW w:w="0" w:type="auto"/>
            <w:gridSpan w:val="3"/>
            <w:shd w:val="clear" w:color="auto" w:fill="auto"/>
          </w:tcPr>
          <w:p w14:paraId="5EA2231D" w14:textId="77777777" w:rsidR="003C66EB" w:rsidRDefault="003C66EB">
            <w:pPr>
              <w:rPr>
                <w:rFonts w:ascii="宋体"/>
                <w:vanish/>
              </w:rPr>
            </w:pPr>
          </w:p>
        </w:tc>
        <w:tc>
          <w:tcPr>
            <w:tcW w:w="0" w:type="auto"/>
            <w:gridSpan w:val="3"/>
            <w:shd w:val="clear" w:color="auto" w:fill="auto"/>
          </w:tcPr>
          <w:p w14:paraId="5EA2231E" w14:textId="77777777" w:rsidR="003C66EB" w:rsidRDefault="003C66EB">
            <w:pPr>
              <w:rPr>
                <w:rFonts w:ascii="宋体"/>
                <w:vanish/>
              </w:rPr>
            </w:pPr>
          </w:p>
        </w:tc>
        <w:tc>
          <w:tcPr>
            <w:tcW w:w="0" w:type="auto"/>
            <w:gridSpan w:val="3"/>
            <w:shd w:val="clear" w:color="auto" w:fill="auto"/>
          </w:tcPr>
          <w:p w14:paraId="5EA2231F" w14:textId="77777777" w:rsidR="003C66EB" w:rsidRDefault="003C66EB">
            <w:pPr>
              <w:rPr>
                <w:rFonts w:ascii="宋体"/>
                <w:vanish/>
              </w:rPr>
            </w:pPr>
          </w:p>
        </w:tc>
        <w:tc>
          <w:tcPr>
            <w:tcW w:w="0" w:type="auto"/>
            <w:gridSpan w:val="3"/>
            <w:shd w:val="clear" w:color="auto" w:fill="auto"/>
          </w:tcPr>
          <w:p w14:paraId="5EA22320" w14:textId="77777777" w:rsidR="003C66EB" w:rsidRDefault="003C66EB">
            <w:pPr>
              <w:rPr>
                <w:rFonts w:ascii="宋体"/>
                <w:vanish/>
              </w:rPr>
            </w:pPr>
          </w:p>
        </w:tc>
      </w:tr>
      <w:tr w:rsidR="003C66EB" w14:paraId="5EA22334" w14:textId="77777777">
        <w:trPr>
          <w:hidden/>
        </w:trPr>
        <w:tc>
          <w:tcPr>
            <w:tcW w:w="0" w:type="auto"/>
            <w:gridSpan w:val="3"/>
            <w:shd w:val="clear" w:color="auto" w:fill="auto"/>
          </w:tcPr>
          <w:p w14:paraId="5EA22322" w14:textId="77777777" w:rsidR="003C66EB" w:rsidRDefault="003C66EB">
            <w:pPr>
              <w:rPr>
                <w:rFonts w:ascii="宋体"/>
                <w:vanish/>
              </w:rPr>
            </w:pPr>
          </w:p>
        </w:tc>
        <w:tc>
          <w:tcPr>
            <w:tcW w:w="0" w:type="auto"/>
            <w:gridSpan w:val="3"/>
            <w:shd w:val="clear" w:color="auto" w:fill="auto"/>
          </w:tcPr>
          <w:p w14:paraId="5EA22323" w14:textId="77777777" w:rsidR="003C66EB" w:rsidRDefault="003C66EB">
            <w:pPr>
              <w:rPr>
                <w:rFonts w:ascii="宋体"/>
                <w:vanish/>
              </w:rPr>
            </w:pPr>
          </w:p>
        </w:tc>
        <w:tc>
          <w:tcPr>
            <w:tcW w:w="0" w:type="auto"/>
            <w:gridSpan w:val="3"/>
            <w:shd w:val="clear" w:color="auto" w:fill="auto"/>
          </w:tcPr>
          <w:p w14:paraId="5EA22324" w14:textId="77777777" w:rsidR="003C66EB" w:rsidRDefault="003C66EB">
            <w:pPr>
              <w:rPr>
                <w:rFonts w:ascii="宋体"/>
                <w:vanish/>
              </w:rPr>
            </w:pPr>
          </w:p>
        </w:tc>
        <w:tc>
          <w:tcPr>
            <w:tcW w:w="0" w:type="auto"/>
            <w:gridSpan w:val="3"/>
            <w:shd w:val="clear" w:color="auto" w:fill="auto"/>
          </w:tcPr>
          <w:p w14:paraId="5EA22325" w14:textId="77777777" w:rsidR="003C66EB" w:rsidRDefault="003C66EB">
            <w:pPr>
              <w:rPr>
                <w:rFonts w:ascii="宋体"/>
                <w:vanish/>
              </w:rPr>
            </w:pPr>
          </w:p>
        </w:tc>
        <w:tc>
          <w:tcPr>
            <w:tcW w:w="0" w:type="auto"/>
            <w:gridSpan w:val="3"/>
            <w:shd w:val="clear" w:color="auto" w:fill="auto"/>
          </w:tcPr>
          <w:p w14:paraId="5EA22326" w14:textId="77777777" w:rsidR="003C66EB" w:rsidRDefault="003C66EB">
            <w:pPr>
              <w:rPr>
                <w:rFonts w:ascii="宋体"/>
                <w:vanish/>
              </w:rPr>
            </w:pPr>
          </w:p>
        </w:tc>
        <w:tc>
          <w:tcPr>
            <w:tcW w:w="0" w:type="auto"/>
            <w:gridSpan w:val="3"/>
            <w:shd w:val="clear" w:color="auto" w:fill="auto"/>
          </w:tcPr>
          <w:p w14:paraId="5EA22327" w14:textId="77777777" w:rsidR="003C66EB" w:rsidRDefault="003C66EB">
            <w:pPr>
              <w:rPr>
                <w:rFonts w:ascii="宋体"/>
                <w:vanish/>
              </w:rPr>
            </w:pPr>
          </w:p>
        </w:tc>
        <w:tc>
          <w:tcPr>
            <w:tcW w:w="0" w:type="auto"/>
            <w:gridSpan w:val="3"/>
            <w:shd w:val="clear" w:color="auto" w:fill="auto"/>
          </w:tcPr>
          <w:p w14:paraId="5EA22328" w14:textId="77777777" w:rsidR="003C66EB" w:rsidRDefault="003C66EB">
            <w:pPr>
              <w:rPr>
                <w:rFonts w:ascii="宋体"/>
                <w:vanish/>
              </w:rPr>
            </w:pPr>
          </w:p>
        </w:tc>
        <w:tc>
          <w:tcPr>
            <w:tcW w:w="0" w:type="auto"/>
            <w:gridSpan w:val="3"/>
            <w:shd w:val="clear" w:color="auto" w:fill="auto"/>
          </w:tcPr>
          <w:p w14:paraId="5EA22329" w14:textId="77777777" w:rsidR="003C66EB" w:rsidRDefault="003C66EB">
            <w:pPr>
              <w:rPr>
                <w:rFonts w:ascii="宋体"/>
                <w:vanish/>
              </w:rPr>
            </w:pPr>
          </w:p>
        </w:tc>
        <w:tc>
          <w:tcPr>
            <w:tcW w:w="0" w:type="auto"/>
            <w:gridSpan w:val="3"/>
            <w:shd w:val="clear" w:color="auto" w:fill="auto"/>
          </w:tcPr>
          <w:p w14:paraId="5EA2232A" w14:textId="77777777" w:rsidR="003C66EB" w:rsidRDefault="003C66EB">
            <w:pPr>
              <w:rPr>
                <w:rFonts w:ascii="宋体"/>
                <w:vanish/>
              </w:rPr>
            </w:pPr>
          </w:p>
        </w:tc>
        <w:tc>
          <w:tcPr>
            <w:tcW w:w="0" w:type="auto"/>
            <w:gridSpan w:val="3"/>
            <w:shd w:val="clear" w:color="auto" w:fill="auto"/>
          </w:tcPr>
          <w:p w14:paraId="5EA2232B" w14:textId="77777777" w:rsidR="003C66EB" w:rsidRDefault="003C66EB">
            <w:pPr>
              <w:rPr>
                <w:rFonts w:ascii="宋体"/>
                <w:vanish/>
              </w:rPr>
            </w:pPr>
          </w:p>
        </w:tc>
        <w:tc>
          <w:tcPr>
            <w:tcW w:w="0" w:type="auto"/>
            <w:gridSpan w:val="3"/>
            <w:shd w:val="clear" w:color="auto" w:fill="auto"/>
          </w:tcPr>
          <w:p w14:paraId="5EA2232C" w14:textId="77777777" w:rsidR="003C66EB" w:rsidRDefault="003C66EB">
            <w:pPr>
              <w:rPr>
                <w:rFonts w:ascii="宋体"/>
                <w:vanish/>
              </w:rPr>
            </w:pPr>
          </w:p>
        </w:tc>
        <w:tc>
          <w:tcPr>
            <w:tcW w:w="0" w:type="auto"/>
            <w:gridSpan w:val="3"/>
            <w:shd w:val="clear" w:color="auto" w:fill="auto"/>
          </w:tcPr>
          <w:p w14:paraId="5EA2232D" w14:textId="77777777" w:rsidR="003C66EB" w:rsidRDefault="003C66EB">
            <w:pPr>
              <w:rPr>
                <w:rFonts w:ascii="宋体"/>
                <w:vanish/>
              </w:rPr>
            </w:pPr>
          </w:p>
        </w:tc>
        <w:tc>
          <w:tcPr>
            <w:tcW w:w="0" w:type="auto"/>
            <w:gridSpan w:val="3"/>
            <w:shd w:val="clear" w:color="auto" w:fill="auto"/>
          </w:tcPr>
          <w:p w14:paraId="5EA2232E" w14:textId="77777777" w:rsidR="003C66EB" w:rsidRDefault="003C66EB">
            <w:pPr>
              <w:rPr>
                <w:rFonts w:ascii="宋体"/>
                <w:vanish/>
              </w:rPr>
            </w:pPr>
          </w:p>
        </w:tc>
        <w:tc>
          <w:tcPr>
            <w:tcW w:w="0" w:type="auto"/>
            <w:gridSpan w:val="3"/>
            <w:shd w:val="clear" w:color="auto" w:fill="auto"/>
          </w:tcPr>
          <w:p w14:paraId="5EA2232F" w14:textId="77777777" w:rsidR="003C66EB" w:rsidRDefault="003C66EB">
            <w:pPr>
              <w:rPr>
                <w:rFonts w:ascii="宋体"/>
                <w:vanish/>
              </w:rPr>
            </w:pPr>
          </w:p>
        </w:tc>
        <w:tc>
          <w:tcPr>
            <w:tcW w:w="0" w:type="auto"/>
            <w:gridSpan w:val="3"/>
            <w:shd w:val="clear" w:color="auto" w:fill="auto"/>
          </w:tcPr>
          <w:p w14:paraId="5EA22330" w14:textId="77777777" w:rsidR="003C66EB" w:rsidRDefault="003C66EB">
            <w:pPr>
              <w:rPr>
                <w:rFonts w:ascii="宋体"/>
                <w:vanish/>
              </w:rPr>
            </w:pPr>
          </w:p>
        </w:tc>
        <w:tc>
          <w:tcPr>
            <w:tcW w:w="0" w:type="auto"/>
            <w:gridSpan w:val="3"/>
            <w:shd w:val="clear" w:color="auto" w:fill="auto"/>
          </w:tcPr>
          <w:p w14:paraId="5EA22331" w14:textId="77777777" w:rsidR="003C66EB" w:rsidRDefault="003C66EB">
            <w:pPr>
              <w:rPr>
                <w:rFonts w:ascii="宋体"/>
                <w:vanish/>
              </w:rPr>
            </w:pPr>
          </w:p>
        </w:tc>
        <w:tc>
          <w:tcPr>
            <w:tcW w:w="0" w:type="auto"/>
            <w:gridSpan w:val="3"/>
            <w:shd w:val="clear" w:color="auto" w:fill="auto"/>
          </w:tcPr>
          <w:p w14:paraId="5EA22332" w14:textId="77777777" w:rsidR="003C66EB" w:rsidRDefault="003C66EB">
            <w:pPr>
              <w:rPr>
                <w:rFonts w:ascii="宋体"/>
                <w:vanish/>
              </w:rPr>
            </w:pPr>
          </w:p>
        </w:tc>
        <w:tc>
          <w:tcPr>
            <w:tcW w:w="0" w:type="auto"/>
            <w:gridSpan w:val="3"/>
            <w:shd w:val="clear" w:color="auto" w:fill="auto"/>
          </w:tcPr>
          <w:p w14:paraId="5EA22333" w14:textId="77777777" w:rsidR="003C66EB" w:rsidRDefault="003C66EB">
            <w:pPr>
              <w:rPr>
                <w:rFonts w:ascii="宋体"/>
                <w:vanish/>
              </w:rPr>
            </w:pPr>
          </w:p>
        </w:tc>
      </w:tr>
      <w:tr w:rsidR="003C66EB" w14:paraId="5EA22347" w14:textId="77777777">
        <w:trPr>
          <w:hidden/>
        </w:trPr>
        <w:tc>
          <w:tcPr>
            <w:tcW w:w="0" w:type="auto"/>
            <w:gridSpan w:val="3"/>
            <w:shd w:val="clear" w:color="auto" w:fill="auto"/>
          </w:tcPr>
          <w:p w14:paraId="5EA22335" w14:textId="77777777" w:rsidR="003C66EB" w:rsidRDefault="003C66EB">
            <w:pPr>
              <w:rPr>
                <w:rFonts w:ascii="宋体"/>
                <w:vanish/>
              </w:rPr>
            </w:pPr>
          </w:p>
        </w:tc>
        <w:tc>
          <w:tcPr>
            <w:tcW w:w="0" w:type="auto"/>
            <w:gridSpan w:val="3"/>
            <w:shd w:val="clear" w:color="auto" w:fill="auto"/>
          </w:tcPr>
          <w:p w14:paraId="5EA22336" w14:textId="77777777" w:rsidR="003C66EB" w:rsidRDefault="003C66EB">
            <w:pPr>
              <w:rPr>
                <w:rFonts w:ascii="宋体"/>
                <w:vanish/>
              </w:rPr>
            </w:pPr>
          </w:p>
        </w:tc>
        <w:tc>
          <w:tcPr>
            <w:tcW w:w="0" w:type="auto"/>
            <w:gridSpan w:val="3"/>
            <w:shd w:val="clear" w:color="auto" w:fill="auto"/>
          </w:tcPr>
          <w:p w14:paraId="5EA22337" w14:textId="77777777" w:rsidR="003C66EB" w:rsidRDefault="003C66EB">
            <w:pPr>
              <w:rPr>
                <w:rFonts w:ascii="宋体"/>
                <w:vanish/>
              </w:rPr>
            </w:pPr>
          </w:p>
        </w:tc>
        <w:tc>
          <w:tcPr>
            <w:tcW w:w="0" w:type="auto"/>
            <w:gridSpan w:val="3"/>
            <w:shd w:val="clear" w:color="auto" w:fill="auto"/>
          </w:tcPr>
          <w:p w14:paraId="5EA22338" w14:textId="77777777" w:rsidR="003C66EB" w:rsidRDefault="003C66EB">
            <w:pPr>
              <w:rPr>
                <w:rFonts w:ascii="宋体"/>
                <w:vanish/>
              </w:rPr>
            </w:pPr>
          </w:p>
        </w:tc>
        <w:tc>
          <w:tcPr>
            <w:tcW w:w="0" w:type="auto"/>
            <w:gridSpan w:val="3"/>
            <w:shd w:val="clear" w:color="auto" w:fill="auto"/>
          </w:tcPr>
          <w:p w14:paraId="5EA22339" w14:textId="77777777" w:rsidR="003C66EB" w:rsidRDefault="003C66EB">
            <w:pPr>
              <w:rPr>
                <w:rFonts w:ascii="宋体"/>
                <w:vanish/>
              </w:rPr>
            </w:pPr>
          </w:p>
        </w:tc>
        <w:tc>
          <w:tcPr>
            <w:tcW w:w="0" w:type="auto"/>
            <w:gridSpan w:val="3"/>
            <w:shd w:val="clear" w:color="auto" w:fill="auto"/>
          </w:tcPr>
          <w:p w14:paraId="5EA2233A" w14:textId="77777777" w:rsidR="003C66EB" w:rsidRDefault="003C66EB">
            <w:pPr>
              <w:rPr>
                <w:rFonts w:ascii="宋体"/>
                <w:vanish/>
              </w:rPr>
            </w:pPr>
          </w:p>
        </w:tc>
        <w:tc>
          <w:tcPr>
            <w:tcW w:w="0" w:type="auto"/>
            <w:gridSpan w:val="3"/>
            <w:shd w:val="clear" w:color="auto" w:fill="auto"/>
          </w:tcPr>
          <w:p w14:paraId="5EA2233B" w14:textId="77777777" w:rsidR="003C66EB" w:rsidRDefault="003C66EB">
            <w:pPr>
              <w:rPr>
                <w:rFonts w:ascii="宋体"/>
                <w:vanish/>
              </w:rPr>
            </w:pPr>
          </w:p>
        </w:tc>
        <w:tc>
          <w:tcPr>
            <w:tcW w:w="0" w:type="auto"/>
            <w:gridSpan w:val="3"/>
            <w:shd w:val="clear" w:color="auto" w:fill="auto"/>
          </w:tcPr>
          <w:p w14:paraId="5EA2233C" w14:textId="77777777" w:rsidR="003C66EB" w:rsidRDefault="003C66EB">
            <w:pPr>
              <w:rPr>
                <w:rFonts w:ascii="宋体"/>
                <w:vanish/>
              </w:rPr>
            </w:pPr>
          </w:p>
        </w:tc>
        <w:tc>
          <w:tcPr>
            <w:tcW w:w="0" w:type="auto"/>
            <w:gridSpan w:val="3"/>
            <w:shd w:val="clear" w:color="auto" w:fill="auto"/>
          </w:tcPr>
          <w:p w14:paraId="5EA2233D" w14:textId="77777777" w:rsidR="003C66EB" w:rsidRDefault="003C66EB">
            <w:pPr>
              <w:rPr>
                <w:rFonts w:ascii="宋体"/>
                <w:vanish/>
              </w:rPr>
            </w:pPr>
          </w:p>
        </w:tc>
        <w:tc>
          <w:tcPr>
            <w:tcW w:w="0" w:type="auto"/>
            <w:gridSpan w:val="3"/>
            <w:shd w:val="clear" w:color="auto" w:fill="auto"/>
          </w:tcPr>
          <w:p w14:paraId="5EA2233E" w14:textId="77777777" w:rsidR="003C66EB" w:rsidRDefault="003C66EB">
            <w:pPr>
              <w:rPr>
                <w:rFonts w:ascii="宋体"/>
                <w:vanish/>
              </w:rPr>
            </w:pPr>
          </w:p>
        </w:tc>
        <w:tc>
          <w:tcPr>
            <w:tcW w:w="0" w:type="auto"/>
            <w:gridSpan w:val="3"/>
            <w:shd w:val="clear" w:color="auto" w:fill="auto"/>
          </w:tcPr>
          <w:p w14:paraId="5EA2233F" w14:textId="77777777" w:rsidR="003C66EB" w:rsidRDefault="003C66EB">
            <w:pPr>
              <w:rPr>
                <w:rFonts w:ascii="宋体"/>
                <w:vanish/>
              </w:rPr>
            </w:pPr>
          </w:p>
        </w:tc>
        <w:tc>
          <w:tcPr>
            <w:tcW w:w="0" w:type="auto"/>
            <w:gridSpan w:val="3"/>
            <w:shd w:val="clear" w:color="auto" w:fill="auto"/>
          </w:tcPr>
          <w:p w14:paraId="5EA22340" w14:textId="77777777" w:rsidR="003C66EB" w:rsidRDefault="003C66EB">
            <w:pPr>
              <w:rPr>
                <w:rFonts w:ascii="宋体"/>
                <w:vanish/>
              </w:rPr>
            </w:pPr>
          </w:p>
        </w:tc>
        <w:tc>
          <w:tcPr>
            <w:tcW w:w="0" w:type="auto"/>
            <w:gridSpan w:val="3"/>
            <w:shd w:val="clear" w:color="auto" w:fill="auto"/>
          </w:tcPr>
          <w:p w14:paraId="5EA22341" w14:textId="77777777" w:rsidR="003C66EB" w:rsidRDefault="003C66EB">
            <w:pPr>
              <w:rPr>
                <w:rFonts w:ascii="宋体"/>
                <w:vanish/>
              </w:rPr>
            </w:pPr>
          </w:p>
        </w:tc>
        <w:tc>
          <w:tcPr>
            <w:tcW w:w="0" w:type="auto"/>
            <w:gridSpan w:val="3"/>
            <w:shd w:val="clear" w:color="auto" w:fill="auto"/>
          </w:tcPr>
          <w:p w14:paraId="5EA22342" w14:textId="77777777" w:rsidR="003C66EB" w:rsidRDefault="003C66EB">
            <w:pPr>
              <w:rPr>
                <w:rFonts w:ascii="宋体"/>
                <w:vanish/>
              </w:rPr>
            </w:pPr>
          </w:p>
        </w:tc>
        <w:tc>
          <w:tcPr>
            <w:tcW w:w="0" w:type="auto"/>
            <w:gridSpan w:val="3"/>
            <w:shd w:val="clear" w:color="auto" w:fill="auto"/>
          </w:tcPr>
          <w:p w14:paraId="5EA22343" w14:textId="77777777" w:rsidR="003C66EB" w:rsidRDefault="003C66EB">
            <w:pPr>
              <w:rPr>
                <w:rFonts w:ascii="宋体"/>
                <w:vanish/>
              </w:rPr>
            </w:pPr>
          </w:p>
        </w:tc>
        <w:tc>
          <w:tcPr>
            <w:tcW w:w="0" w:type="auto"/>
            <w:gridSpan w:val="3"/>
            <w:shd w:val="clear" w:color="auto" w:fill="auto"/>
          </w:tcPr>
          <w:p w14:paraId="5EA22344" w14:textId="77777777" w:rsidR="003C66EB" w:rsidRDefault="003C66EB">
            <w:pPr>
              <w:rPr>
                <w:rFonts w:ascii="宋体"/>
                <w:vanish/>
              </w:rPr>
            </w:pPr>
          </w:p>
        </w:tc>
        <w:tc>
          <w:tcPr>
            <w:tcW w:w="0" w:type="auto"/>
            <w:gridSpan w:val="3"/>
            <w:shd w:val="clear" w:color="auto" w:fill="auto"/>
          </w:tcPr>
          <w:p w14:paraId="5EA22345" w14:textId="77777777" w:rsidR="003C66EB" w:rsidRDefault="003C66EB">
            <w:pPr>
              <w:rPr>
                <w:rFonts w:ascii="宋体"/>
                <w:vanish/>
              </w:rPr>
            </w:pPr>
          </w:p>
        </w:tc>
        <w:tc>
          <w:tcPr>
            <w:tcW w:w="0" w:type="auto"/>
            <w:gridSpan w:val="3"/>
            <w:shd w:val="clear" w:color="auto" w:fill="auto"/>
          </w:tcPr>
          <w:p w14:paraId="5EA22346" w14:textId="77777777" w:rsidR="003C66EB" w:rsidRDefault="003C66EB">
            <w:pPr>
              <w:rPr>
                <w:rFonts w:ascii="宋体"/>
                <w:vanish/>
              </w:rPr>
            </w:pPr>
          </w:p>
        </w:tc>
      </w:tr>
      <w:tr w:rsidR="003C66EB" w14:paraId="5EA2235A" w14:textId="77777777">
        <w:trPr>
          <w:hidden/>
        </w:trPr>
        <w:tc>
          <w:tcPr>
            <w:tcW w:w="0" w:type="auto"/>
            <w:gridSpan w:val="3"/>
            <w:shd w:val="clear" w:color="auto" w:fill="auto"/>
          </w:tcPr>
          <w:p w14:paraId="5EA22348" w14:textId="77777777" w:rsidR="003C66EB" w:rsidRDefault="003C66EB">
            <w:pPr>
              <w:rPr>
                <w:rFonts w:ascii="宋体"/>
                <w:vanish/>
              </w:rPr>
            </w:pPr>
          </w:p>
        </w:tc>
        <w:tc>
          <w:tcPr>
            <w:tcW w:w="0" w:type="auto"/>
            <w:gridSpan w:val="3"/>
            <w:shd w:val="clear" w:color="auto" w:fill="auto"/>
          </w:tcPr>
          <w:p w14:paraId="5EA22349" w14:textId="77777777" w:rsidR="003C66EB" w:rsidRDefault="003C66EB">
            <w:pPr>
              <w:rPr>
                <w:rFonts w:ascii="宋体"/>
                <w:vanish/>
              </w:rPr>
            </w:pPr>
          </w:p>
        </w:tc>
        <w:tc>
          <w:tcPr>
            <w:tcW w:w="0" w:type="auto"/>
            <w:gridSpan w:val="3"/>
            <w:shd w:val="clear" w:color="auto" w:fill="auto"/>
          </w:tcPr>
          <w:p w14:paraId="5EA2234A" w14:textId="77777777" w:rsidR="003C66EB" w:rsidRDefault="003C66EB">
            <w:pPr>
              <w:rPr>
                <w:rFonts w:ascii="宋体"/>
                <w:vanish/>
              </w:rPr>
            </w:pPr>
          </w:p>
        </w:tc>
        <w:tc>
          <w:tcPr>
            <w:tcW w:w="0" w:type="auto"/>
            <w:gridSpan w:val="3"/>
            <w:shd w:val="clear" w:color="auto" w:fill="auto"/>
          </w:tcPr>
          <w:p w14:paraId="5EA2234B" w14:textId="77777777" w:rsidR="003C66EB" w:rsidRDefault="003C66EB">
            <w:pPr>
              <w:rPr>
                <w:rFonts w:ascii="宋体"/>
                <w:vanish/>
              </w:rPr>
            </w:pPr>
          </w:p>
        </w:tc>
        <w:tc>
          <w:tcPr>
            <w:tcW w:w="0" w:type="auto"/>
            <w:gridSpan w:val="3"/>
            <w:shd w:val="clear" w:color="auto" w:fill="auto"/>
          </w:tcPr>
          <w:p w14:paraId="5EA2234C" w14:textId="77777777" w:rsidR="003C66EB" w:rsidRDefault="003C66EB">
            <w:pPr>
              <w:rPr>
                <w:rFonts w:ascii="宋体"/>
                <w:vanish/>
              </w:rPr>
            </w:pPr>
          </w:p>
        </w:tc>
        <w:tc>
          <w:tcPr>
            <w:tcW w:w="0" w:type="auto"/>
            <w:gridSpan w:val="3"/>
            <w:shd w:val="clear" w:color="auto" w:fill="auto"/>
          </w:tcPr>
          <w:p w14:paraId="5EA2234D" w14:textId="77777777" w:rsidR="003C66EB" w:rsidRDefault="003C66EB">
            <w:pPr>
              <w:rPr>
                <w:rFonts w:ascii="宋体"/>
                <w:vanish/>
              </w:rPr>
            </w:pPr>
          </w:p>
        </w:tc>
        <w:tc>
          <w:tcPr>
            <w:tcW w:w="0" w:type="auto"/>
            <w:gridSpan w:val="3"/>
            <w:shd w:val="clear" w:color="auto" w:fill="auto"/>
          </w:tcPr>
          <w:p w14:paraId="5EA2234E" w14:textId="77777777" w:rsidR="003C66EB" w:rsidRDefault="003C66EB">
            <w:pPr>
              <w:rPr>
                <w:rFonts w:ascii="宋体"/>
                <w:vanish/>
              </w:rPr>
            </w:pPr>
          </w:p>
        </w:tc>
        <w:tc>
          <w:tcPr>
            <w:tcW w:w="0" w:type="auto"/>
            <w:gridSpan w:val="3"/>
            <w:shd w:val="clear" w:color="auto" w:fill="auto"/>
          </w:tcPr>
          <w:p w14:paraId="5EA2234F" w14:textId="77777777" w:rsidR="003C66EB" w:rsidRDefault="003C66EB">
            <w:pPr>
              <w:rPr>
                <w:rFonts w:ascii="宋体"/>
                <w:vanish/>
              </w:rPr>
            </w:pPr>
          </w:p>
        </w:tc>
        <w:tc>
          <w:tcPr>
            <w:tcW w:w="0" w:type="auto"/>
            <w:gridSpan w:val="3"/>
            <w:shd w:val="clear" w:color="auto" w:fill="auto"/>
          </w:tcPr>
          <w:p w14:paraId="5EA22350" w14:textId="77777777" w:rsidR="003C66EB" w:rsidRDefault="003C66EB">
            <w:pPr>
              <w:rPr>
                <w:rFonts w:ascii="宋体"/>
                <w:vanish/>
              </w:rPr>
            </w:pPr>
          </w:p>
        </w:tc>
        <w:tc>
          <w:tcPr>
            <w:tcW w:w="0" w:type="auto"/>
            <w:gridSpan w:val="3"/>
            <w:shd w:val="clear" w:color="auto" w:fill="auto"/>
          </w:tcPr>
          <w:p w14:paraId="5EA22351" w14:textId="77777777" w:rsidR="003C66EB" w:rsidRDefault="003C66EB">
            <w:pPr>
              <w:rPr>
                <w:rFonts w:ascii="宋体"/>
                <w:vanish/>
              </w:rPr>
            </w:pPr>
          </w:p>
        </w:tc>
        <w:tc>
          <w:tcPr>
            <w:tcW w:w="0" w:type="auto"/>
            <w:gridSpan w:val="3"/>
            <w:shd w:val="clear" w:color="auto" w:fill="auto"/>
          </w:tcPr>
          <w:p w14:paraId="5EA22352" w14:textId="77777777" w:rsidR="003C66EB" w:rsidRDefault="003C66EB">
            <w:pPr>
              <w:rPr>
                <w:rFonts w:ascii="宋体"/>
                <w:vanish/>
              </w:rPr>
            </w:pPr>
          </w:p>
        </w:tc>
        <w:tc>
          <w:tcPr>
            <w:tcW w:w="0" w:type="auto"/>
            <w:gridSpan w:val="3"/>
            <w:shd w:val="clear" w:color="auto" w:fill="auto"/>
          </w:tcPr>
          <w:p w14:paraId="5EA22353" w14:textId="77777777" w:rsidR="003C66EB" w:rsidRDefault="003C66EB">
            <w:pPr>
              <w:rPr>
                <w:rFonts w:ascii="宋体"/>
                <w:vanish/>
              </w:rPr>
            </w:pPr>
          </w:p>
        </w:tc>
        <w:tc>
          <w:tcPr>
            <w:tcW w:w="0" w:type="auto"/>
            <w:gridSpan w:val="3"/>
            <w:shd w:val="clear" w:color="auto" w:fill="auto"/>
          </w:tcPr>
          <w:p w14:paraId="5EA22354" w14:textId="77777777" w:rsidR="003C66EB" w:rsidRDefault="003C66EB">
            <w:pPr>
              <w:rPr>
                <w:rFonts w:ascii="宋体"/>
                <w:vanish/>
              </w:rPr>
            </w:pPr>
          </w:p>
        </w:tc>
        <w:tc>
          <w:tcPr>
            <w:tcW w:w="0" w:type="auto"/>
            <w:gridSpan w:val="3"/>
            <w:shd w:val="clear" w:color="auto" w:fill="auto"/>
          </w:tcPr>
          <w:p w14:paraId="5EA22355" w14:textId="77777777" w:rsidR="003C66EB" w:rsidRDefault="003C66EB">
            <w:pPr>
              <w:rPr>
                <w:rFonts w:ascii="宋体"/>
                <w:vanish/>
              </w:rPr>
            </w:pPr>
          </w:p>
        </w:tc>
        <w:tc>
          <w:tcPr>
            <w:tcW w:w="0" w:type="auto"/>
            <w:gridSpan w:val="3"/>
            <w:shd w:val="clear" w:color="auto" w:fill="auto"/>
          </w:tcPr>
          <w:p w14:paraId="5EA22356" w14:textId="77777777" w:rsidR="003C66EB" w:rsidRDefault="003C66EB">
            <w:pPr>
              <w:rPr>
                <w:rFonts w:ascii="宋体"/>
                <w:vanish/>
              </w:rPr>
            </w:pPr>
          </w:p>
        </w:tc>
        <w:tc>
          <w:tcPr>
            <w:tcW w:w="0" w:type="auto"/>
            <w:gridSpan w:val="3"/>
            <w:shd w:val="clear" w:color="auto" w:fill="auto"/>
          </w:tcPr>
          <w:p w14:paraId="5EA22357" w14:textId="77777777" w:rsidR="003C66EB" w:rsidRDefault="003C66EB">
            <w:pPr>
              <w:rPr>
                <w:rFonts w:ascii="宋体"/>
                <w:vanish/>
              </w:rPr>
            </w:pPr>
          </w:p>
        </w:tc>
        <w:tc>
          <w:tcPr>
            <w:tcW w:w="0" w:type="auto"/>
            <w:gridSpan w:val="3"/>
            <w:shd w:val="clear" w:color="auto" w:fill="auto"/>
          </w:tcPr>
          <w:p w14:paraId="5EA22358" w14:textId="77777777" w:rsidR="003C66EB" w:rsidRDefault="003C66EB">
            <w:pPr>
              <w:rPr>
                <w:rFonts w:ascii="宋体"/>
                <w:vanish/>
              </w:rPr>
            </w:pPr>
          </w:p>
        </w:tc>
        <w:tc>
          <w:tcPr>
            <w:tcW w:w="0" w:type="auto"/>
            <w:gridSpan w:val="3"/>
            <w:shd w:val="clear" w:color="auto" w:fill="auto"/>
          </w:tcPr>
          <w:p w14:paraId="5EA22359" w14:textId="77777777" w:rsidR="003C66EB" w:rsidRDefault="003C66EB">
            <w:pPr>
              <w:rPr>
                <w:rFonts w:ascii="宋体"/>
                <w:vanish/>
              </w:rPr>
            </w:pPr>
          </w:p>
        </w:tc>
      </w:tr>
      <w:tr w:rsidR="003C66EB" w14:paraId="5EA2236D" w14:textId="77777777">
        <w:trPr>
          <w:hidden/>
        </w:trPr>
        <w:tc>
          <w:tcPr>
            <w:tcW w:w="0" w:type="auto"/>
            <w:gridSpan w:val="3"/>
            <w:shd w:val="clear" w:color="auto" w:fill="auto"/>
          </w:tcPr>
          <w:p w14:paraId="5EA2235B" w14:textId="77777777" w:rsidR="003C66EB" w:rsidRDefault="003C66EB">
            <w:pPr>
              <w:rPr>
                <w:rFonts w:ascii="宋体"/>
                <w:vanish/>
              </w:rPr>
            </w:pPr>
          </w:p>
        </w:tc>
        <w:tc>
          <w:tcPr>
            <w:tcW w:w="0" w:type="auto"/>
            <w:gridSpan w:val="3"/>
            <w:shd w:val="clear" w:color="auto" w:fill="auto"/>
          </w:tcPr>
          <w:p w14:paraId="5EA2235C" w14:textId="77777777" w:rsidR="003C66EB" w:rsidRDefault="003C66EB">
            <w:pPr>
              <w:rPr>
                <w:rFonts w:ascii="宋体"/>
                <w:vanish/>
              </w:rPr>
            </w:pPr>
          </w:p>
        </w:tc>
        <w:tc>
          <w:tcPr>
            <w:tcW w:w="0" w:type="auto"/>
            <w:gridSpan w:val="3"/>
            <w:shd w:val="clear" w:color="auto" w:fill="auto"/>
          </w:tcPr>
          <w:p w14:paraId="5EA2235D" w14:textId="77777777" w:rsidR="003C66EB" w:rsidRDefault="003C66EB">
            <w:pPr>
              <w:rPr>
                <w:rFonts w:ascii="宋体"/>
                <w:vanish/>
              </w:rPr>
            </w:pPr>
          </w:p>
        </w:tc>
        <w:tc>
          <w:tcPr>
            <w:tcW w:w="0" w:type="auto"/>
            <w:gridSpan w:val="3"/>
            <w:shd w:val="clear" w:color="auto" w:fill="auto"/>
          </w:tcPr>
          <w:p w14:paraId="5EA2235E" w14:textId="77777777" w:rsidR="003C66EB" w:rsidRDefault="003C66EB">
            <w:pPr>
              <w:rPr>
                <w:rFonts w:ascii="宋体"/>
                <w:vanish/>
              </w:rPr>
            </w:pPr>
          </w:p>
        </w:tc>
        <w:tc>
          <w:tcPr>
            <w:tcW w:w="0" w:type="auto"/>
            <w:gridSpan w:val="3"/>
            <w:shd w:val="clear" w:color="auto" w:fill="auto"/>
          </w:tcPr>
          <w:p w14:paraId="5EA2235F" w14:textId="77777777" w:rsidR="003C66EB" w:rsidRDefault="003C66EB">
            <w:pPr>
              <w:rPr>
                <w:rFonts w:ascii="宋体"/>
                <w:vanish/>
              </w:rPr>
            </w:pPr>
          </w:p>
        </w:tc>
        <w:tc>
          <w:tcPr>
            <w:tcW w:w="0" w:type="auto"/>
            <w:gridSpan w:val="3"/>
            <w:shd w:val="clear" w:color="auto" w:fill="auto"/>
          </w:tcPr>
          <w:p w14:paraId="5EA22360" w14:textId="77777777" w:rsidR="003C66EB" w:rsidRDefault="003C66EB">
            <w:pPr>
              <w:rPr>
                <w:rFonts w:ascii="宋体"/>
                <w:vanish/>
              </w:rPr>
            </w:pPr>
          </w:p>
        </w:tc>
        <w:tc>
          <w:tcPr>
            <w:tcW w:w="0" w:type="auto"/>
            <w:gridSpan w:val="3"/>
            <w:shd w:val="clear" w:color="auto" w:fill="auto"/>
          </w:tcPr>
          <w:p w14:paraId="5EA22361" w14:textId="77777777" w:rsidR="003C66EB" w:rsidRDefault="003C66EB">
            <w:pPr>
              <w:rPr>
                <w:rFonts w:ascii="宋体"/>
                <w:vanish/>
              </w:rPr>
            </w:pPr>
          </w:p>
        </w:tc>
        <w:tc>
          <w:tcPr>
            <w:tcW w:w="0" w:type="auto"/>
            <w:gridSpan w:val="3"/>
            <w:shd w:val="clear" w:color="auto" w:fill="auto"/>
          </w:tcPr>
          <w:p w14:paraId="5EA22362" w14:textId="77777777" w:rsidR="003C66EB" w:rsidRDefault="003C66EB">
            <w:pPr>
              <w:rPr>
                <w:rFonts w:ascii="宋体"/>
                <w:vanish/>
              </w:rPr>
            </w:pPr>
          </w:p>
        </w:tc>
        <w:tc>
          <w:tcPr>
            <w:tcW w:w="0" w:type="auto"/>
            <w:gridSpan w:val="3"/>
            <w:shd w:val="clear" w:color="auto" w:fill="auto"/>
          </w:tcPr>
          <w:p w14:paraId="5EA22363" w14:textId="77777777" w:rsidR="003C66EB" w:rsidRDefault="003C66EB">
            <w:pPr>
              <w:rPr>
                <w:rFonts w:ascii="宋体"/>
                <w:vanish/>
              </w:rPr>
            </w:pPr>
          </w:p>
        </w:tc>
        <w:tc>
          <w:tcPr>
            <w:tcW w:w="0" w:type="auto"/>
            <w:gridSpan w:val="3"/>
            <w:shd w:val="clear" w:color="auto" w:fill="auto"/>
          </w:tcPr>
          <w:p w14:paraId="5EA22364" w14:textId="77777777" w:rsidR="003C66EB" w:rsidRDefault="003C66EB">
            <w:pPr>
              <w:rPr>
                <w:rFonts w:ascii="宋体"/>
                <w:vanish/>
              </w:rPr>
            </w:pPr>
          </w:p>
        </w:tc>
        <w:tc>
          <w:tcPr>
            <w:tcW w:w="0" w:type="auto"/>
            <w:gridSpan w:val="3"/>
            <w:shd w:val="clear" w:color="auto" w:fill="auto"/>
          </w:tcPr>
          <w:p w14:paraId="5EA22365" w14:textId="77777777" w:rsidR="003C66EB" w:rsidRDefault="003C66EB">
            <w:pPr>
              <w:rPr>
                <w:rFonts w:ascii="宋体"/>
                <w:vanish/>
              </w:rPr>
            </w:pPr>
          </w:p>
        </w:tc>
        <w:tc>
          <w:tcPr>
            <w:tcW w:w="0" w:type="auto"/>
            <w:gridSpan w:val="3"/>
            <w:shd w:val="clear" w:color="auto" w:fill="auto"/>
          </w:tcPr>
          <w:p w14:paraId="5EA22366" w14:textId="77777777" w:rsidR="003C66EB" w:rsidRDefault="003C66EB">
            <w:pPr>
              <w:rPr>
                <w:rFonts w:ascii="宋体"/>
                <w:vanish/>
              </w:rPr>
            </w:pPr>
          </w:p>
        </w:tc>
        <w:tc>
          <w:tcPr>
            <w:tcW w:w="0" w:type="auto"/>
            <w:gridSpan w:val="3"/>
            <w:shd w:val="clear" w:color="auto" w:fill="auto"/>
          </w:tcPr>
          <w:p w14:paraId="5EA22367" w14:textId="77777777" w:rsidR="003C66EB" w:rsidRDefault="003C66EB">
            <w:pPr>
              <w:rPr>
                <w:rFonts w:ascii="宋体"/>
                <w:vanish/>
              </w:rPr>
            </w:pPr>
          </w:p>
        </w:tc>
        <w:tc>
          <w:tcPr>
            <w:tcW w:w="0" w:type="auto"/>
            <w:gridSpan w:val="3"/>
            <w:shd w:val="clear" w:color="auto" w:fill="auto"/>
          </w:tcPr>
          <w:p w14:paraId="5EA22368" w14:textId="77777777" w:rsidR="003C66EB" w:rsidRDefault="003C66EB">
            <w:pPr>
              <w:rPr>
                <w:rFonts w:ascii="宋体"/>
                <w:vanish/>
              </w:rPr>
            </w:pPr>
          </w:p>
        </w:tc>
        <w:tc>
          <w:tcPr>
            <w:tcW w:w="0" w:type="auto"/>
            <w:gridSpan w:val="3"/>
            <w:shd w:val="clear" w:color="auto" w:fill="auto"/>
          </w:tcPr>
          <w:p w14:paraId="5EA22369" w14:textId="77777777" w:rsidR="003C66EB" w:rsidRDefault="003C66EB">
            <w:pPr>
              <w:rPr>
                <w:rFonts w:ascii="宋体"/>
                <w:vanish/>
              </w:rPr>
            </w:pPr>
          </w:p>
        </w:tc>
        <w:tc>
          <w:tcPr>
            <w:tcW w:w="0" w:type="auto"/>
            <w:gridSpan w:val="3"/>
            <w:shd w:val="clear" w:color="auto" w:fill="auto"/>
          </w:tcPr>
          <w:p w14:paraId="5EA2236A" w14:textId="77777777" w:rsidR="003C66EB" w:rsidRDefault="003C66EB">
            <w:pPr>
              <w:rPr>
                <w:rFonts w:ascii="宋体"/>
                <w:vanish/>
              </w:rPr>
            </w:pPr>
          </w:p>
        </w:tc>
        <w:tc>
          <w:tcPr>
            <w:tcW w:w="0" w:type="auto"/>
            <w:gridSpan w:val="3"/>
            <w:shd w:val="clear" w:color="auto" w:fill="auto"/>
          </w:tcPr>
          <w:p w14:paraId="5EA2236B" w14:textId="77777777" w:rsidR="003C66EB" w:rsidRDefault="003C66EB">
            <w:pPr>
              <w:rPr>
                <w:rFonts w:ascii="宋体"/>
                <w:vanish/>
              </w:rPr>
            </w:pPr>
          </w:p>
        </w:tc>
        <w:tc>
          <w:tcPr>
            <w:tcW w:w="0" w:type="auto"/>
            <w:gridSpan w:val="3"/>
            <w:shd w:val="clear" w:color="auto" w:fill="auto"/>
          </w:tcPr>
          <w:p w14:paraId="5EA2236C" w14:textId="77777777" w:rsidR="003C66EB" w:rsidRDefault="003C66EB">
            <w:pPr>
              <w:rPr>
                <w:rFonts w:ascii="宋体"/>
                <w:vanish/>
              </w:rPr>
            </w:pPr>
          </w:p>
        </w:tc>
      </w:tr>
      <w:tr w:rsidR="003C66EB" w14:paraId="5EA22380" w14:textId="77777777">
        <w:trPr>
          <w:hidden/>
        </w:trPr>
        <w:tc>
          <w:tcPr>
            <w:tcW w:w="0" w:type="auto"/>
            <w:gridSpan w:val="3"/>
            <w:shd w:val="clear" w:color="auto" w:fill="auto"/>
          </w:tcPr>
          <w:p w14:paraId="5EA2236E" w14:textId="77777777" w:rsidR="003C66EB" w:rsidRDefault="003C66EB">
            <w:pPr>
              <w:rPr>
                <w:rFonts w:ascii="宋体"/>
                <w:vanish/>
              </w:rPr>
            </w:pPr>
          </w:p>
        </w:tc>
        <w:tc>
          <w:tcPr>
            <w:tcW w:w="0" w:type="auto"/>
            <w:gridSpan w:val="3"/>
            <w:shd w:val="clear" w:color="auto" w:fill="auto"/>
          </w:tcPr>
          <w:p w14:paraId="5EA2236F" w14:textId="77777777" w:rsidR="003C66EB" w:rsidRDefault="003C66EB">
            <w:pPr>
              <w:rPr>
                <w:rFonts w:ascii="宋体"/>
                <w:vanish/>
              </w:rPr>
            </w:pPr>
          </w:p>
        </w:tc>
        <w:tc>
          <w:tcPr>
            <w:tcW w:w="0" w:type="auto"/>
            <w:gridSpan w:val="3"/>
            <w:shd w:val="clear" w:color="auto" w:fill="auto"/>
          </w:tcPr>
          <w:p w14:paraId="5EA22370" w14:textId="77777777" w:rsidR="003C66EB" w:rsidRDefault="003C66EB">
            <w:pPr>
              <w:rPr>
                <w:rFonts w:ascii="宋体"/>
                <w:vanish/>
              </w:rPr>
            </w:pPr>
          </w:p>
        </w:tc>
        <w:tc>
          <w:tcPr>
            <w:tcW w:w="0" w:type="auto"/>
            <w:gridSpan w:val="3"/>
            <w:shd w:val="clear" w:color="auto" w:fill="auto"/>
          </w:tcPr>
          <w:p w14:paraId="5EA22371" w14:textId="77777777" w:rsidR="003C66EB" w:rsidRDefault="003C66EB">
            <w:pPr>
              <w:rPr>
                <w:rFonts w:ascii="宋体"/>
                <w:vanish/>
              </w:rPr>
            </w:pPr>
          </w:p>
        </w:tc>
        <w:tc>
          <w:tcPr>
            <w:tcW w:w="0" w:type="auto"/>
            <w:gridSpan w:val="3"/>
            <w:shd w:val="clear" w:color="auto" w:fill="auto"/>
          </w:tcPr>
          <w:p w14:paraId="5EA22372" w14:textId="77777777" w:rsidR="003C66EB" w:rsidRDefault="003C66EB">
            <w:pPr>
              <w:rPr>
                <w:rFonts w:ascii="宋体"/>
                <w:vanish/>
              </w:rPr>
            </w:pPr>
          </w:p>
        </w:tc>
        <w:tc>
          <w:tcPr>
            <w:tcW w:w="0" w:type="auto"/>
            <w:gridSpan w:val="3"/>
            <w:shd w:val="clear" w:color="auto" w:fill="auto"/>
          </w:tcPr>
          <w:p w14:paraId="5EA22373" w14:textId="77777777" w:rsidR="003C66EB" w:rsidRDefault="003C66EB">
            <w:pPr>
              <w:rPr>
                <w:rFonts w:ascii="宋体"/>
                <w:vanish/>
              </w:rPr>
            </w:pPr>
          </w:p>
        </w:tc>
        <w:tc>
          <w:tcPr>
            <w:tcW w:w="0" w:type="auto"/>
            <w:gridSpan w:val="3"/>
            <w:shd w:val="clear" w:color="auto" w:fill="auto"/>
          </w:tcPr>
          <w:p w14:paraId="5EA22374" w14:textId="77777777" w:rsidR="003C66EB" w:rsidRDefault="003C66EB">
            <w:pPr>
              <w:rPr>
                <w:rFonts w:ascii="宋体"/>
                <w:vanish/>
              </w:rPr>
            </w:pPr>
          </w:p>
        </w:tc>
        <w:tc>
          <w:tcPr>
            <w:tcW w:w="0" w:type="auto"/>
            <w:gridSpan w:val="3"/>
            <w:shd w:val="clear" w:color="auto" w:fill="auto"/>
          </w:tcPr>
          <w:p w14:paraId="5EA22375" w14:textId="77777777" w:rsidR="003C66EB" w:rsidRDefault="003C66EB">
            <w:pPr>
              <w:rPr>
                <w:rFonts w:ascii="宋体"/>
                <w:vanish/>
              </w:rPr>
            </w:pPr>
          </w:p>
        </w:tc>
        <w:tc>
          <w:tcPr>
            <w:tcW w:w="0" w:type="auto"/>
            <w:gridSpan w:val="3"/>
            <w:shd w:val="clear" w:color="auto" w:fill="auto"/>
          </w:tcPr>
          <w:p w14:paraId="5EA22376" w14:textId="77777777" w:rsidR="003C66EB" w:rsidRDefault="003C66EB">
            <w:pPr>
              <w:rPr>
                <w:rFonts w:ascii="宋体"/>
                <w:vanish/>
              </w:rPr>
            </w:pPr>
          </w:p>
        </w:tc>
        <w:tc>
          <w:tcPr>
            <w:tcW w:w="0" w:type="auto"/>
            <w:gridSpan w:val="3"/>
            <w:shd w:val="clear" w:color="auto" w:fill="auto"/>
          </w:tcPr>
          <w:p w14:paraId="5EA22377" w14:textId="77777777" w:rsidR="003C66EB" w:rsidRDefault="003C66EB">
            <w:pPr>
              <w:rPr>
                <w:rFonts w:ascii="宋体"/>
                <w:vanish/>
              </w:rPr>
            </w:pPr>
          </w:p>
        </w:tc>
        <w:tc>
          <w:tcPr>
            <w:tcW w:w="0" w:type="auto"/>
            <w:gridSpan w:val="3"/>
            <w:shd w:val="clear" w:color="auto" w:fill="auto"/>
          </w:tcPr>
          <w:p w14:paraId="5EA22378" w14:textId="77777777" w:rsidR="003C66EB" w:rsidRDefault="003C66EB">
            <w:pPr>
              <w:rPr>
                <w:rFonts w:ascii="宋体"/>
                <w:vanish/>
              </w:rPr>
            </w:pPr>
          </w:p>
        </w:tc>
        <w:tc>
          <w:tcPr>
            <w:tcW w:w="0" w:type="auto"/>
            <w:gridSpan w:val="3"/>
            <w:shd w:val="clear" w:color="auto" w:fill="auto"/>
          </w:tcPr>
          <w:p w14:paraId="5EA22379" w14:textId="77777777" w:rsidR="003C66EB" w:rsidRDefault="003C66EB">
            <w:pPr>
              <w:rPr>
                <w:rFonts w:ascii="宋体"/>
                <w:vanish/>
              </w:rPr>
            </w:pPr>
          </w:p>
        </w:tc>
        <w:tc>
          <w:tcPr>
            <w:tcW w:w="0" w:type="auto"/>
            <w:gridSpan w:val="3"/>
            <w:shd w:val="clear" w:color="auto" w:fill="auto"/>
          </w:tcPr>
          <w:p w14:paraId="5EA2237A" w14:textId="77777777" w:rsidR="003C66EB" w:rsidRDefault="003C66EB">
            <w:pPr>
              <w:rPr>
                <w:rFonts w:ascii="宋体"/>
                <w:vanish/>
              </w:rPr>
            </w:pPr>
          </w:p>
        </w:tc>
        <w:tc>
          <w:tcPr>
            <w:tcW w:w="0" w:type="auto"/>
            <w:gridSpan w:val="3"/>
            <w:shd w:val="clear" w:color="auto" w:fill="auto"/>
          </w:tcPr>
          <w:p w14:paraId="5EA2237B" w14:textId="77777777" w:rsidR="003C66EB" w:rsidRDefault="003C66EB">
            <w:pPr>
              <w:rPr>
                <w:rFonts w:ascii="宋体"/>
                <w:vanish/>
              </w:rPr>
            </w:pPr>
          </w:p>
        </w:tc>
        <w:tc>
          <w:tcPr>
            <w:tcW w:w="0" w:type="auto"/>
            <w:gridSpan w:val="3"/>
            <w:shd w:val="clear" w:color="auto" w:fill="auto"/>
          </w:tcPr>
          <w:p w14:paraId="5EA2237C" w14:textId="77777777" w:rsidR="003C66EB" w:rsidRDefault="003C66EB">
            <w:pPr>
              <w:rPr>
                <w:rFonts w:ascii="宋体"/>
                <w:vanish/>
              </w:rPr>
            </w:pPr>
          </w:p>
        </w:tc>
        <w:tc>
          <w:tcPr>
            <w:tcW w:w="0" w:type="auto"/>
            <w:gridSpan w:val="3"/>
            <w:shd w:val="clear" w:color="auto" w:fill="auto"/>
          </w:tcPr>
          <w:p w14:paraId="5EA2237D" w14:textId="77777777" w:rsidR="003C66EB" w:rsidRDefault="003C66EB">
            <w:pPr>
              <w:rPr>
                <w:rFonts w:ascii="宋体"/>
                <w:vanish/>
              </w:rPr>
            </w:pPr>
          </w:p>
        </w:tc>
        <w:tc>
          <w:tcPr>
            <w:tcW w:w="0" w:type="auto"/>
            <w:gridSpan w:val="3"/>
            <w:shd w:val="clear" w:color="auto" w:fill="auto"/>
          </w:tcPr>
          <w:p w14:paraId="5EA2237E" w14:textId="77777777" w:rsidR="003C66EB" w:rsidRDefault="003C66EB">
            <w:pPr>
              <w:rPr>
                <w:rFonts w:ascii="宋体"/>
                <w:vanish/>
              </w:rPr>
            </w:pPr>
          </w:p>
        </w:tc>
        <w:tc>
          <w:tcPr>
            <w:tcW w:w="0" w:type="auto"/>
            <w:gridSpan w:val="3"/>
            <w:shd w:val="clear" w:color="auto" w:fill="auto"/>
          </w:tcPr>
          <w:p w14:paraId="5EA2237F" w14:textId="77777777" w:rsidR="003C66EB" w:rsidRDefault="003C66EB">
            <w:pPr>
              <w:rPr>
                <w:rFonts w:ascii="宋体"/>
                <w:vanish/>
              </w:rPr>
            </w:pPr>
          </w:p>
        </w:tc>
      </w:tr>
      <w:tr w:rsidR="003C66EB" w14:paraId="5EA22393" w14:textId="77777777">
        <w:trPr>
          <w:hidden/>
        </w:trPr>
        <w:tc>
          <w:tcPr>
            <w:tcW w:w="0" w:type="auto"/>
            <w:gridSpan w:val="3"/>
            <w:shd w:val="clear" w:color="auto" w:fill="auto"/>
          </w:tcPr>
          <w:p w14:paraId="5EA22381" w14:textId="77777777" w:rsidR="003C66EB" w:rsidRDefault="003C66EB">
            <w:pPr>
              <w:rPr>
                <w:rFonts w:ascii="宋体"/>
                <w:vanish/>
              </w:rPr>
            </w:pPr>
          </w:p>
        </w:tc>
        <w:tc>
          <w:tcPr>
            <w:tcW w:w="0" w:type="auto"/>
            <w:gridSpan w:val="3"/>
            <w:shd w:val="clear" w:color="auto" w:fill="auto"/>
          </w:tcPr>
          <w:p w14:paraId="5EA22382" w14:textId="77777777" w:rsidR="003C66EB" w:rsidRDefault="003C66EB">
            <w:pPr>
              <w:rPr>
                <w:rFonts w:ascii="宋体"/>
                <w:vanish/>
              </w:rPr>
            </w:pPr>
          </w:p>
        </w:tc>
        <w:tc>
          <w:tcPr>
            <w:tcW w:w="0" w:type="auto"/>
            <w:gridSpan w:val="3"/>
            <w:shd w:val="clear" w:color="auto" w:fill="auto"/>
          </w:tcPr>
          <w:p w14:paraId="5EA22383" w14:textId="77777777" w:rsidR="003C66EB" w:rsidRDefault="003C66EB">
            <w:pPr>
              <w:rPr>
                <w:rFonts w:ascii="宋体"/>
                <w:vanish/>
              </w:rPr>
            </w:pPr>
          </w:p>
        </w:tc>
        <w:tc>
          <w:tcPr>
            <w:tcW w:w="0" w:type="auto"/>
            <w:gridSpan w:val="3"/>
            <w:shd w:val="clear" w:color="auto" w:fill="auto"/>
          </w:tcPr>
          <w:p w14:paraId="5EA22384" w14:textId="77777777" w:rsidR="003C66EB" w:rsidRDefault="003C66EB">
            <w:pPr>
              <w:rPr>
                <w:rFonts w:ascii="宋体"/>
                <w:vanish/>
              </w:rPr>
            </w:pPr>
          </w:p>
        </w:tc>
        <w:tc>
          <w:tcPr>
            <w:tcW w:w="0" w:type="auto"/>
            <w:gridSpan w:val="3"/>
            <w:shd w:val="clear" w:color="auto" w:fill="auto"/>
          </w:tcPr>
          <w:p w14:paraId="5EA22385" w14:textId="77777777" w:rsidR="003C66EB" w:rsidRDefault="003C66EB">
            <w:pPr>
              <w:rPr>
                <w:rFonts w:ascii="宋体"/>
                <w:vanish/>
              </w:rPr>
            </w:pPr>
          </w:p>
        </w:tc>
        <w:tc>
          <w:tcPr>
            <w:tcW w:w="0" w:type="auto"/>
            <w:gridSpan w:val="3"/>
            <w:shd w:val="clear" w:color="auto" w:fill="auto"/>
          </w:tcPr>
          <w:p w14:paraId="5EA22386" w14:textId="77777777" w:rsidR="003C66EB" w:rsidRDefault="003C66EB">
            <w:pPr>
              <w:rPr>
                <w:rFonts w:ascii="宋体"/>
                <w:vanish/>
              </w:rPr>
            </w:pPr>
          </w:p>
        </w:tc>
        <w:tc>
          <w:tcPr>
            <w:tcW w:w="0" w:type="auto"/>
            <w:gridSpan w:val="3"/>
            <w:shd w:val="clear" w:color="auto" w:fill="auto"/>
          </w:tcPr>
          <w:p w14:paraId="5EA22387" w14:textId="77777777" w:rsidR="003C66EB" w:rsidRDefault="003C66EB">
            <w:pPr>
              <w:rPr>
                <w:rFonts w:ascii="宋体"/>
                <w:vanish/>
              </w:rPr>
            </w:pPr>
          </w:p>
        </w:tc>
        <w:tc>
          <w:tcPr>
            <w:tcW w:w="0" w:type="auto"/>
            <w:gridSpan w:val="3"/>
            <w:shd w:val="clear" w:color="auto" w:fill="auto"/>
          </w:tcPr>
          <w:p w14:paraId="5EA22388" w14:textId="77777777" w:rsidR="003C66EB" w:rsidRDefault="003C66EB">
            <w:pPr>
              <w:rPr>
                <w:rFonts w:ascii="宋体"/>
                <w:vanish/>
              </w:rPr>
            </w:pPr>
          </w:p>
        </w:tc>
        <w:tc>
          <w:tcPr>
            <w:tcW w:w="0" w:type="auto"/>
            <w:gridSpan w:val="3"/>
            <w:shd w:val="clear" w:color="auto" w:fill="auto"/>
          </w:tcPr>
          <w:p w14:paraId="5EA22389" w14:textId="77777777" w:rsidR="003C66EB" w:rsidRDefault="003C66EB">
            <w:pPr>
              <w:rPr>
                <w:rFonts w:ascii="宋体"/>
                <w:vanish/>
              </w:rPr>
            </w:pPr>
          </w:p>
        </w:tc>
        <w:tc>
          <w:tcPr>
            <w:tcW w:w="0" w:type="auto"/>
            <w:gridSpan w:val="3"/>
            <w:shd w:val="clear" w:color="auto" w:fill="auto"/>
          </w:tcPr>
          <w:p w14:paraId="5EA2238A" w14:textId="77777777" w:rsidR="003C66EB" w:rsidRDefault="003C66EB">
            <w:pPr>
              <w:rPr>
                <w:rFonts w:ascii="宋体"/>
                <w:vanish/>
              </w:rPr>
            </w:pPr>
          </w:p>
        </w:tc>
        <w:tc>
          <w:tcPr>
            <w:tcW w:w="0" w:type="auto"/>
            <w:gridSpan w:val="3"/>
            <w:shd w:val="clear" w:color="auto" w:fill="auto"/>
          </w:tcPr>
          <w:p w14:paraId="5EA2238B" w14:textId="77777777" w:rsidR="003C66EB" w:rsidRDefault="003C66EB">
            <w:pPr>
              <w:rPr>
                <w:rFonts w:ascii="宋体"/>
                <w:vanish/>
              </w:rPr>
            </w:pPr>
          </w:p>
        </w:tc>
        <w:tc>
          <w:tcPr>
            <w:tcW w:w="0" w:type="auto"/>
            <w:gridSpan w:val="3"/>
            <w:shd w:val="clear" w:color="auto" w:fill="auto"/>
          </w:tcPr>
          <w:p w14:paraId="5EA2238C" w14:textId="77777777" w:rsidR="003C66EB" w:rsidRDefault="003C66EB">
            <w:pPr>
              <w:rPr>
                <w:rFonts w:ascii="宋体"/>
                <w:vanish/>
              </w:rPr>
            </w:pPr>
          </w:p>
        </w:tc>
        <w:tc>
          <w:tcPr>
            <w:tcW w:w="0" w:type="auto"/>
            <w:gridSpan w:val="3"/>
            <w:shd w:val="clear" w:color="auto" w:fill="auto"/>
          </w:tcPr>
          <w:p w14:paraId="5EA2238D" w14:textId="77777777" w:rsidR="003C66EB" w:rsidRDefault="003C66EB">
            <w:pPr>
              <w:rPr>
                <w:rFonts w:ascii="宋体"/>
                <w:vanish/>
              </w:rPr>
            </w:pPr>
          </w:p>
        </w:tc>
        <w:tc>
          <w:tcPr>
            <w:tcW w:w="0" w:type="auto"/>
            <w:gridSpan w:val="3"/>
            <w:shd w:val="clear" w:color="auto" w:fill="auto"/>
          </w:tcPr>
          <w:p w14:paraId="5EA2238E" w14:textId="77777777" w:rsidR="003C66EB" w:rsidRDefault="003C66EB">
            <w:pPr>
              <w:rPr>
                <w:rFonts w:ascii="宋体"/>
                <w:vanish/>
              </w:rPr>
            </w:pPr>
          </w:p>
        </w:tc>
        <w:tc>
          <w:tcPr>
            <w:tcW w:w="0" w:type="auto"/>
            <w:gridSpan w:val="3"/>
            <w:shd w:val="clear" w:color="auto" w:fill="auto"/>
          </w:tcPr>
          <w:p w14:paraId="5EA2238F" w14:textId="77777777" w:rsidR="003C66EB" w:rsidRDefault="003C66EB">
            <w:pPr>
              <w:rPr>
                <w:rFonts w:ascii="宋体"/>
                <w:vanish/>
              </w:rPr>
            </w:pPr>
          </w:p>
        </w:tc>
        <w:tc>
          <w:tcPr>
            <w:tcW w:w="0" w:type="auto"/>
            <w:gridSpan w:val="3"/>
            <w:shd w:val="clear" w:color="auto" w:fill="auto"/>
          </w:tcPr>
          <w:p w14:paraId="5EA22390" w14:textId="77777777" w:rsidR="003C66EB" w:rsidRDefault="003C66EB">
            <w:pPr>
              <w:rPr>
                <w:rFonts w:ascii="宋体"/>
                <w:vanish/>
              </w:rPr>
            </w:pPr>
          </w:p>
        </w:tc>
        <w:tc>
          <w:tcPr>
            <w:tcW w:w="0" w:type="auto"/>
            <w:gridSpan w:val="3"/>
            <w:shd w:val="clear" w:color="auto" w:fill="auto"/>
          </w:tcPr>
          <w:p w14:paraId="5EA22391" w14:textId="77777777" w:rsidR="003C66EB" w:rsidRDefault="003C66EB">
            <w:pPr>
              <w:rPr>
                <w:rFonts w:ascii="宋体"/>
                <w:vanish/>
              </w:rPr>
            </w:pPr>
          </w:p>
        </w:tc>
        <w:tc>
          <w:tcPr>
            <w:tcW w:w="0" w:type="auto"/>
            <w:gridSpan w:val="3"/>
            <w:shd w:val="clear" w:color="auto" w:fill="auto"/>
          </w:tcPr>
          <w:p w14:paraId="5EA22392" w14:textId="77777777" w:rsidR="003C66EB" w:rsidRDefault="003C66EB">
            <w:pPr>
              <w:rPr>
                <w:rFonts w:ascii="宋体"/>
                <w:vanish/>
              </w:rPr>
            </w:pPr>
          </w:p>
        </w:tc>
      </w:tr>
      <w:tr w:rsidR="00D96C4E" w14:paraId="5EA223B6" w14:textId="77777777">
        <w:tc>
          <w:tcPr>
            <w:tcW w:w="0" w:type="auto"/>
            <w:gridSpan w:val="3"/>
            <w:shd w:val="clear" w:color="auto" w:fill="CCEEFF"/>
            <w:tcMar>
              <w:top w:w="40" w:type="dxa"/>
              <w:left w:w="20" w:type="dxa"/>
              <w:bottom w:w="40" w:type="dxa"/>
              <w:right w:w="20" w:type="dxa"/>
            </w:tcMar>
            <w:vAlign w:val="bottom"/>
          </w:tcPr>
          <w:p w14:paraId="5EA22394" w14:textId="77777777" w:rsidR="003C66EB" w:rsidRDefault="00D96C4E">
            <w:pPr>
              <w:textAlignment w:val="bottom"/>
            </w:pPr>
            <w:r>
              <w:rPr>
                <w:rFonts w:ascii="Arial" w:eastAsia="宋体" w:hAnsi="Arial" w:cs="Arial"/>
                <w:b/>
                <w:bCs/>
                <w:color w:val="000000"/>
                <w:sz w:val="15"/>
                <w:szCs w:val="15"/>
              </w:rPr>
              <w:t>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239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96" w14:textId="77777777" w:rsidR="003C66EB" w:rsidRDefault="00D96C4E">
            <w:pPr>
              <w:jc w:val="right"/>
              <w:textAlignment w:val="bottom"/>
            </w:pPr>
            <w:r>
              <w:rPr>
                <w:rFonts w:ascii="Arial" w:eastAsia="宋体" w:hAnsi="Arial" w:cs="Arial"/>
                <w:color w:val="000000"/>
                <w:sz w:val="15"/>
                <w:szCs w:val="15"/>
              </w:rPr>
              <w:t>2,962 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9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399" w14:textId="77777777" w:rsidR="003C66EB" w:rsidRDefault="00D96C4E">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9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39C"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9D" w14:textId="77777777" w:rsidR="003C66EB" w:rsidRDefault="00D96C4E">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9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3A0"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A1" w14:textId="77777777" w:rsidR="003C66EB" w:rsidRDefault="00D96C4E">
            <w:pPr>
              <w:jc w:val="right"/>
              <w:textAlignment w:val="bottom"/>
            </w:pPr>
            <w:r>
              <w:rPr>
                <w:rFonts w:ascii="Arial" w:eastAsia="宋体" w:hAnsi="Arial" w:cs="Arial"/>
                <w:color w:val="000000"/>
                <w:sz w:val="15"/>
                <w:szCs w:val="15"/>
              </w:rPr>
              <w:t>10,132 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A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3A4"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A5" w14:textId="77777777" w:rsidR="003C66EB" w:rsidRDefault="00D96C4E">
            <w:pPr>
              <w:jc w:val="right"/>
              <w:textAlignment w:val="bottom"/>
            </w:pPr>
            <w:r>
              <w:rPr>
                <w:rFonts w:ascii="Arial" w:eastAsia="宋体" w:hAnsi="Arial" w:cs="Arial"/>
                <w:color w:val="000000"/>
                <w:sz w:val="15"/>
                <w:szCs w:val="15"/>
              </w:rPr>
              <w:t>21,918 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A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3A8"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A9" w14:textId="77777777" w:rsidR="003C66EB" w:rsidRDefault="00D96C4E">
            <w:pPr>
              <w:jc w:val="right"/>
              <w:textAlignment w:val="bottom"/>
            </w:pPr>
            <w:r>
              <w:rPr>
                <w:rFonts w:ascii="Arial" w:eastAsia="宋体" w:hAnsi="Arial" w:cs="Arial"/>
                <w:color w:val="000000"/>
                <w:sz w:val="15"/>
                <w:szCs w:val="15"/>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A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A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3AC" w14:textId="77777777" w:rsidR="003C66EB" w:rsidRDefault="00D96C4E">
            <w:pPr>
              <w:jc w:val="right"/>
              <w:textAlignment w:val="bottom"/>
            </w:pPr>
            <w:r>
              <w:rPr>
                <w:rFonts w:ascii="Arial" w:eastAsia="宋体" w:hAnsi="Arial" w:cs="Arial"/>
                <w:color w:val="000000"/>
                <w:sz w:val="15"/>
                <w:szCs w:val="15"/>
              </w:rPr>
              <w:t>146,490 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A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3AF"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B0" w14:textId="77777777" w:rsidR="003C66EB" w:rsidRDefault="00D96C4E">
            <w:pPr>
              <w:jc w:val="right"/>
              <w:textAlignment w:val="bottom"/>
            </w:pPr>
            <w:r>
              <w:rPr>
                <w:rFonts w:ascii="Arial" w:eastAsia="宋体" w:hAnsi="Arial" w:cs="Arial"/>
                <w:color w:val="000000"/>
                <w:sz w:val="15"/>
                <w:szCs w:val="15"/>
              </w:rPr>
              <w:t>(10,209)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B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3B3"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3B4" w14:textId="77777777" w:rsidR="003C66EB" w:rsidRDefault="00D96C4E">
            <w:pPr>
              <w:jc w:val="right"/>
              <w:textAlignment w:val="bottom"/>
            </w:pPr>
            <w:r>
              <w:rPr>
                <w:rFonts w:ascii="Arial" w:eastAsia="宋体" w:hAnsi="Arial" w:cs="Arial"/>
                <w:color w:val="000000"/>
                <w:sz w:val="15"/>
                <w:szCs w:val="15"/>
              </w:rPr>
              <w:t>24,431 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3B5" w14:textId="77777777" w:rsidR="003C66EB" w:rsidRDefault="003C66EB">
            <w:pPr>
              <w:jc w:val="right"/>
              <w:rPr>
                <w:rFonts w:ascii="宋体"/>
              </w:rPr>
            </w:pPr>
          </w:p>
        </w:tc>
      </w:tr>
      <w:tr w:rsidR="003C66EB" w14:paraId="5EA223CB" w14:textId="77777777">
        <w:tc>
          <w:tcPr>
            <w:tcW w:w="0" w:type="auto"/>
            <w:gridSpan w:val="3"/>
            <w:shd w:val="clear" w:color="auto" w:fill="FFFFFF"/>
            <w:tcMar>
              <w:top w:w="40" w:type="dxa"/>
              <w:left w:w="20" w:type="dxa"/>
              <w:bottom w:w="40" w:type="dxa"/>
              <w:right w:w="20" w:type="dxa"/>
            </w:tcMar>
            <w:vAlign w:val="bottom"/>
          </w:tcPr>
          <w:p w14:paraId="5EA223B7" w14:textId="77777777" w:rsidR="003C66EB" w:rsidRDefault="00D96C4E">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tcPr>
          <w:p w14:paraId="5EA223B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B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3C0" w14:textId="77777777" w:rsidR="003C66EB" w:rsidRDefault="00D96C4E">
            <w:pPr>
              <w:jc w:val="right"/>
              <w:textAlignment w:val="bottom"/>
            </w:pPr>
            <w:r>
              <w:rPr>
                <w:rFonts w:ascii="Arial" w:eastAsia="宋体" w:hAnsi="Arial" w:cs="Arial"/>
                <w:color w:val="000000"/>
                <w:sz w:val="15"/>
                <w:szCs w:val="15"/>
              </w:rPr>
              <w:t>634 </w:t>
            </w:r>
          </w:p>
        </w:tc>
        <w:tc>
          <w:tcPr>
            <w:tcW w:w="0" w:type="auto"/>
            <w:shd w:val="clear" w:color="auto" w:fill="FFFFFF"/>
            <w:tcMar>
              <w:top w:w="40" w:type="dxa"/>
              <w:left w:w="0" w:type="dxa"/>
              <w:bottom w:w="40" w:type="dxa"/>
              <w:right w:w="20" w:type="dxa"/>
            </w:tcMar>
            <w:vAlign w:val="bottom"/>
          </w:tcPr>
          <w:p w14:paraId="5EA223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3C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C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C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C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C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C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C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3C9" w14:textId="77777777" w:rsidR="003C66EB" w:rsidRDefault="00D96C4E">
            <w:pPr>
              <w:jc w:val="right"/>
              <w:textAlignment w:val="bottom"/>
            </w:pPr>
            <w:r>
              <w:rPr>
                <w:rFonts w:ascii="Arial" w:eastAsia="宋体" w:hAnsi="Arial" w:cs="Arial"/>
                <w:color w:val="000000"/>
                <w:sz w:val="15"/>
                <w:szCs w:val="15"/>
              </w:rPr>
              <w:t>634 </w:t>
            </w:r>
          </w:p>
        </w:tc>
        <w:tc>
          <w:tcPr>
            <w:tcW w:w="0" w:type="auto"/>
            <w:shd w:val="clear" w:color="auto" w:fill="FFFFFF"/>
            <w:tcMar>
              <w:top w:w="40" w:type="dxa"/>
              <w:left w:w="0" w:type="dxa"/>
              <w:bottom w:w="40" w:type="dxa"/>
              <w:right w:w="20" w:type="dxa"/>
            </w:tcMar>
            <w:vAlign w:val="bottom"/>
          </w:tcPr>
          <w:p w14:paraId="5EA223CA" w14:textId="77777777" w:rsidR="003C66EB" w:rsidRDefault="003C66EB">
            <w:pPr>
              <w:jc w:val="right"/>
              <w:rPr>
                <w:rFonts w:ascii="宋体"/>
              </w:rPr>
            </w:pPr>
          </w:p>
        </w:tc>
      </w:tr>
      <w:tr w:rsidR="003C66EB" w14:paraId="5EA223E0" w14:textId="77777777">
        <w:tc>
          <w:tcPr>
            <w:tcW w:w="0" w:type="auto"/>
            <w:gridSpan w:val="3"/>
            <w:shd w:val="clear" w:color="auto" w:fill="CCEEFF"/>
            <w:tcMar>
              <w:top w:w="40" w:type="dxa"/>
              <w:left w:w="20" w:type="dxa"/>
              <w:bottom w:w="40" w:type="dxa"/>
              <w:right w:w="20" w:type="dxa"/>
            </w:tcMar>
            <w:vAlign w:val="bottom"/>
          </w:tcPr>
          <w:p w14:paraId="5EA223CC" w14:textId="77777777" w:rsidR="003C66EB" w:rsidRDefault="00D96C4E">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tcPr>
          <w:p w14:paraId="5EA223C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C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C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3D7" w14:textId="77777777" w:rsidR="003C66EB" w:rsidRDefault="00D96C4E">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A223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3D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D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3DE" w14:textId="77777777" w:rsidR="003C66EB" w:rsidRDefault="00D96C4E">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A223DF" w14:textId="77777777" w:rsidR="003C66EB" w:rsidRDefault="003C66EB">
            <w:pPr>
              <w:jc w:val="right"/>
              <w:rPr>
                <w:rFonts w:ascii="宋体"/>
              </w:rPr>
            </w:pPr>
          </w:p>
        </w:tc>
      </w:tr>
      <w:tr w:rsidR="003C66EB" w14:paraId="5EA223F6" w14:textId="77777777">
        <w:tc>
          <w:tcPr>
            <w:tcW w:w="0" w:type="auto"/>
            <w:gridSpan w:val="3"/>
            <w:shd w:val="clear" w:color="auto" w:fill="FFFFFF"/>
            <w:tcMar>
              <w:top w:w="40" w:type="dxa"/>
              <w:left w:w="20" w:type="dxa"/>
              <w:bottom w:w="40" w:type="dxa"/>
              <w:right w:w="20" w:type="dxa"/>
            </w:tcMar>
            <w:vAlign w:val="bottom"/>
          </w:tcPr>
          <w:p w14:paraId="5EA223E1" w14:textId="77777777" w:rsidR="003C66EB" w:rsidRDefault="00D96C4E">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5EA223E2" w14:textId="77777777" w:rsidR="003C66EB" w:rsidRDefault="00D96C4E">
            <w:pPr>
              <w:jc w:val="right"/>
              <w:textAlignment w:val="bottom"/>
            </w:pPr>
            <w:r>
              <w:rPr>
                <w:rFonts w:ascii="Arial" w:eastAsia="宋体" w:hAnsi="Arial" w:cs="Arial"/>
                <w:color w:val="000000"/>
                <w:sz w:val="15"/>
                <w:szCs w:val="15"/>
              </w:rPr>
              <w:t>(491)</w:t>
            </w:r>
          </w:p>
        </w:tc>
        <w:tc>
          <w:tcPr>
            <w:tcW w:w="0" w:type="auto"/>
            <w:shd w:val="clear" w:color="auto" w:fill="FFFFFF"/>
            <w:tcMar>
              <w:top w:w="40" w:type="dxa"/>
              <w:left w:w="0" w:type="dxa"/>
              <w:bottom w:w="40" w:type="dxa"/>
              <w:right w:w="20" w:type="dxa"/>
            </w:tcMar>
            <w:vAlign w:val="bottom"/>
          </w:tcPr>
          <w:p w14:paraId="5EA223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3E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3EB" w14:textId="77777777" w:rsidR="003C66EB" w:rsidRDefault="00D96C4E">
            <w:pPr>
              <w:jc w:val="right"/>
              <w:textAlignment w:val="bottom"/>
            </w:pPr>
            <w:r>
              <w:rPr>
                <w:rFonts w:ascii="Arial" w:eastAsia="宋体" w:hAnsi="Arial" w:cs="Arial"/>
                <w:color w:val="000000"/>
                <w:sz w:val="15"/>
                <w:szCs w:val="15"/>
              </w:rPr>
              <w:t>(9)</w:t>
            </w:r>
          </w:p>
        </w:tc>
        <w:tc>
          <w:tcPr>
            <w:tcW w:w="0" w:type="auto"/>
            <w:shd w:val="clear" w:color="auto" w:fill="FFFFFF"/>
            <w:tcMar>
              <w:top w:w="40" w:type="dxa"/>
              <w:left w:w="0" w:type="dxa"/>
              <w:bottom w:w="40" w:type="dxa"/>
              <w:right w:w="20" w:type="dxa"/>
            </w:tcMar>
            <w:vAlign w:val="bottom"/>
          </w:tcPr>
          <w:p w14:paraId="5EA223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3E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E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F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F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F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3F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3F4" w14:textId="77777777" w:rsidR="003C66EB" w:rsidRDefault="00D96C4E">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A223F5" w14:textId="77777777" w:rsidR="003C66EB" w:rsidRDefault="003C66EB">
            <w:pPr>
              <w:jc w:val="right"/>
              <w:rPr>
                <w:rFonts w:ascii="宋体"/>
              </w:rPr>
            </w:pPr>
          </w:p>
        </w:tc>
      </w:tr>
      <w:tr w:rsidR="003C66EB" w14:paraId="5EA22409" w14:textId="77777777">
        <w:tc>
          <w:tcPr>
            <w:tcW w:w="0" w:type="auto"/>
            <w:gridSpan w:val="3"/>
            <w:shd w:val="clear" w:color="auto" w:fill="CCEEFF"/>
            <w:tcMar>
              <w:top w:w="40" w:type="dxa"/>
              <w:left w:w="20" w:type="dxa"/>
              <w:bottom w:w="40" w:type="dxa"/>
              <w:right w:w="20" w:type="dxa"/>
            </w:tcMar>
            <w:vAlign w:val="bottom"/>
          </w:tcPr>
          <w:p w14:paraId="5EA223F7" w14:textId="77777777" w:rsidR="003C66EB" w:rsidRDefault="00D96C4E">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tcPr>
          <w:p w14:paraId="5EA223F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3F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08" w14:textId="77777777" w:rsidR="003C66EB" w:rsidRDefault="003C66EB">
            <w:pPr>
              <w:rPr>
                <w:rFonts w:ascii="宋体"/>
              </w:rPr>
            </w:pPr>
          </w:p>
        </w:tc>
      </w:tr>
      <w:tr w:rsidR="003C66EB" w14:paraId="5EA2241E" w14:textId="77777777">
        <w:tc>
          <w:tcPr>
            <w:tcW w:w="0" w:type="auto"/>
            <w:gridSpan w:val="3"/>
            <w:shd w:val="clear" w:color="auto" w:fill="FFFFFF"/>
            <w:tcMar>
              <w:top w:w="40" w:type="dxa"/>
              <w:left w:w="20" w:type="dxa"/>
              <w:bottom w:w="40" w:type="dxa"/>
              <w:right w:w="20" w:type="dxa"/>
            </w:tcMar>
            <w:vAlign w:val="bottom"/>
          </w:tcPr>
          <w:p w14:paraId="5EA2240A" w14:textId="77777777" w:rsidR="003C66EB" w:rsidRDefault="00D96C4E">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tcPr>
          <w:p w14:paraId="5EA224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0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13" w14:textId="77777777" w:rsidR="003C66EB" w:rsidRDefault="00D96C4E">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5EA224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1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1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1C" w14:textId="77777777" w:rsidR="003C66EB" w:rsidRDefault="00D96C4E">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5EA2241D" w14:textId="77777777" w:rsidR="003C66EB" w:rsidRDefault="003C66EB">
            <w:pPr>
              <w:jc w:val="right"/>
              <w:rPr>
                <w:rFonts w:ascii="宋体"/>
              </w:rPr>
            </w:pPr>
          </w:p>
        </w:tc>
      </w:tr>
      <w:tr w:rsidR="003C66EB" w14:paraId="5EA22433" w14:textId="77777777">
        <w:tc>
          <w:tcPr>
            <w:tcW w:w="0" w:type="auto"/>
            <w:gridSpan w:val="3"/>
            <w:shd w:val="clear" w:color="auto" w:fill="CCEEFF"/>
            <w:tcMar>
              <w:top w:w="40" w:type="dxa"/>
              <w:left w:w="20" w:type="dxa"/>
              <w:bottom w:w="40" w:type="dxa"/>
              <w:right w:w="20" w:type="dxa"/>
            </w:tcMar>
            <w:vAlign w:val="bottom"/>
          </w:tcPr>
          <w:p w14:paraId="5EA2241F" w14:textId="77777777" w:rsidR="003C66EB" w:rsidRDefault="00D96C4E">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tcPr>
          <w:p w14:paraId="5EA2242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28" w14:textId="77777777" w:rsidR="003C66EB" w:rsidRDefault="00D96C4E">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A2242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2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2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3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31" w14:textId="77777777" w:rsidR="003C66EB" w:rsidRDefault="00D96C4E">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A22432" w14:textId="77777777" w:rsidR="003C66EB" w:rsidRDefault="003C66EB">
            <w:pPr>
              <w:jc w:val="right"/>
              <w:rPr>
                <w:rFonts w:ascii="宋体"/>
              </w:rPr>
            </w:pPr>
          </w:p>
        </w:tc>
      </w:tr>
      <w:tr w:rsidR="003C66EB" w14:paraId="5EA22449" w14:textId="77777777">
        <w:tc>
          <w:tcPr>
            <w:tcW w:w="0" w:type="auto"/>
            <w:gridSpan w:val="3"/>
            <w:shd w:val="clear" w:color="auto" w:fill="FFFFFF"/>
            <w:tcMar>
              <w:top w:w="40" w:type="dxa"/>
              <w:left w:w="20" w:type="dxa"/>
              <w:bottom w:w="40" w:type="dxa"/>
              <w:right w:w="20" w:type="dxa"/>
            </w:tcMar>
            <w:vAlign w:val="bottom"/>
          </w:tcPr>
          <w:p w14:paraId="5EA22434" w14:textId="77777777" w:rsidR="003C66EB" w:rsidRDefault="00D96C4E">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tcPr>
          <w:p w14:paraId="5EA2243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3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4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41" w14:textId="77777777" w:rsidR="003C66EB" w:rsidRDefault="00D96C4E">
            <w:pPr>
              <w:jc w:val="right"/>
              <w:textAlignment w:val="bottom"/>
            </w:pPr>
            <w:r>
              <w:rPr>
                <w:rFonts w:ascii="Arial" w:eastAsia="宋体" w:hAnsi="Arial" w:cs="Arial"/>
                <w:color w:val="000000"/>
                <w:sz w:val="15"/>
                <w:szCs w:val="15"/>
              </w:rPr>
              <w:t>6,464 </w:t>
            </w:r>
          </w:p>
        </w:tc>
        <w:tc>
          <w:tcPr>
            <w:tcW w:w="0" w:type="auto"/>
            <w:shd w:val="clear" w:color="auto" w:fill="FFFFFF"/>
            <w:tcMar>
              <w:top w:w="40" w:type="dxa"/>
              <w:left w:w="0" w:type="dxa"/>
              <w:bottom w:w="40" w:type="dxa"/>
              <w:right w:w="20" w:type="dxa"/>
            </w:tcMar>
            <w:vAlign w:val="bottom"/>
          </w:tcPr>
          <w:p w14:paraId="5EA224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44" w14:textId="77777777" w:rsidR="003C66EB" w:rsidRDefault="00D96C4E">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A224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47" w14:textId="77777777" w:rsidR="003C66EB" w:rsidRDefault="00D96C4E">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A22448" w14:textId="77777777" w:rsidR="003C66EB" w:rsidRDefault="003C66EB">
            <w:pPr>
              <w:jc w:val="right"/>
              <w:rPr>
                <w:rFonts w:ascii="宋体"/>
              </w:rPr>
            </w:pPr>
          </w:p>
        </w:tc>
      </w:tr>
      <w:tr w:rsidR="003C66EB" w14:paraId="5EA22460" w14:textId="77777777">
        <w:tc>
          <w:tcPr>
            <w:tcW w:w="0" w:type="auto"/>
            <w:gridSpan w:val="3"/>
            <w:shd w:val="clear" w:color="auto" w:fill="CCEEFF"/>
            <w:tcMar>
              <w:top w:w="40" w:type="dxa"/>
              <w:left w:w="20" w:type="dxa"/>
              <w:bottom w:w="40" w:type="dxa"/>
              <w:right w:w="20" w:type="dxa"/>
            </w:tcMar>
            <w:vAlign w:val="bottom"/>
          </w:tcPr>
          <w:p w14:paraId="5EA2244A" w14:textId="77777777" w:rsidR="003C66EB" w:rsidRDefault="00D96C4E">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tcPr>
          <w:p w14:paraId="5EA2244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4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4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4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4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51" w14:textId="77777777" w:rsidR="003C66EB" w:rsidRDefault="00D96C4E">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5EA224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5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5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5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5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5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58" w14:textId="77777777" w:rsidR="003C66EB" w:rsidRDefault="00D96C4E">
            <w:pPr>
              <w:jc w:val="right"/>
              <w:textAlignment w:val="bottom"/>
            </w:pPr>
            <w:r>
              <w:rPr>
                <w:rFonts w:ascii="Arial" w:eastAsia="宋体" w:hAnsi="Arial" w:cs="Arial"/>
                <w:color w:val="000000"/>
                <w:sz w:val="15"/>
                <w:szCs w:val="15"/>
              </w:rPr>
              <w:t>(1,017)</w:t>
            </w:r>
          </w:p>
        </w:tc>
        <w:tc>
          <w:tcPr>
            <w:tcW w:w="0" w:type="auto"/>
            <w:shd w:val="clear" w:color="auto" w:fill="CCEEFF"/>
            <w:tcMar>
              <w:top w:w="40" w:type="dxa"/>
              <w:left w:w="0" w:type="dxa"/>
              <w:bottom w:w="40" w:type="dxa"/>
              <w:right w:w="20" w:type="dxa"/>
            </w:tcMar>
            <w:vAlign w:val="bottom"/>
          </w:tcPr>
          <w:p w14:paraId="5EA2245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5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5B" w14:textId="77777777" w:rsidR="003C66EB" w:rsidRDefault="00D96C4E">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5EA224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5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5E" w14:textId="77777777" w:rsidR="003C66EB" w:rsidRDefault="00D96C4E">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5EA2245F" w14:textId="77777777" w:rsidR="003C66EB" w:rsidRDefault="003C66EB">
            <w:pPr>
              <w:jc w:val="right"/>
              <w:rPr>
                <w:rFonts w:ascii="宋体"/>
              </w:rPr>
            </w:pPr>
          </w:p>
        </w:tc>
      </w:tr>
      <w:tr w:rsidR="003C66EB" w14:paraId="5EA22478" w14:textId="77777777">
        <w:tc>
          <w:tcPr>
            <w:tcW w:w="0" w:type="auto"/>
            <w:gridSpan w:val="3"/>
            <w:shd w:val="clear" w:color="auto" w:fill="FFFFFF"/>
            <w:tcMar>
              <w:top w:w="40" w:type="dxa"/>
              <w:left w:w="20" w:type="dxa"/>
              <w:bottom w:w="40" w:type="dxa"/>
              <w:right w:w="20" w:type="dxa"/>
            </w:tcMar>
            <w:vAlign w:val="bottom"/>
          </w:tcPr>
          <w:p w14:paraId="5EA22461"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 xml:space="preserve"> (1)</w:t>
            </w:r>
          </w:p>
        </w:tc>
        <w:tc>
          <w:tcPr>
            <w:tcW w:w="0" w:type="auto"/>
            <w:gridSpan w:val="3"/>
            <w:shd w:val="clear" w:color="auto" w:fill="FFFFFF"/>
            <w:tcMar>
              <w:top w:w="0" w:type="dxa"/>
              <w:left w:w="20" w:type="dxa"/>
              <w:bottom w:w="0" w:type="dxa"/>
              <w:right w:w="20" w:type="dxa"/>
            </w:tcMar>
          </w:tcPr>
          <w:p w14:paraId="5EA2246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68"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4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6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6B" w14:textId="77777777" w:rsidR="003C66EB" w:rsidRDefault="00D96C4E">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A224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6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6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70" w14:textId="77777777" w:rsidR="003C66EB" w:rsidRDefault="00D96C4E">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A224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73"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4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76" w14:textId="77777777" w:rsidR="003C66EB" w:rsidRDefault="00D96C4E">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A22477" w14:textId="77777777" w:rsidR="003C66EB" w:rsidRDefault="003C66EB">
            <w:pPr>
              <w:jc w:val="right"/>
              <w:rPr>
                <w:rFonts w:ascii="宋体"/>
              </w:rPr>
            </w:pPr>
          </w:p>
        </w:tc>
      </w:tr>
      <w:tr w:rsidR="00D96C4E" w14:paraId="5EA2249B" w14:textId="77777777">
        <w:tc>
          <w:tcPr>
            <w:tcW w:w="0" w:type="auto"/>
            <w:gridSpan w:val="3"/>
            <w:shd w:val="clear" w:color="auto" w:fill="CCEEFF"/>
            <w:tcMar>
              <w:top w:w="40" w:type="dxa"/>
              <w:left w:w="20" w:type="dxa"/>
              <w:bottom w:w="40" w:type="dxa"/>
              <w:right w:w="20" w:type="dxa"/>
            </w:tcMar>
            <w:vAlign w:val="bottom"/>
          </w:tcPr>
          <w:p w14:paraId="5EA22479" w14:textId="77777777" w:rsidR="003C66EB" w:rsidRDefault="00D96C4E">
            <w:pPr>
              <w:textAlignment w:val="bottom"/>
            </w:pPr>
            <w:r>
              <w:rPr>
                <w:rFonts w:ascii="Arial" w:eastAsia="宋体" w:hAnsi="Arial" w:cs="Arial"/>
                <w:b/>
                <w:bCs/>
                <w:color w:val="000000"/>
                <w:sz w:val="15"/>
                <w:szCs w:val="15"/>
              </w:rPr>
              <w:t>Balance at March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247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7B" w14:textId="77777777" w:rsidR="003C66EB" w:rsidRDefault="00D96C4E">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7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47E" w14:textId="77777777" w:rsidR="003C66EB" w:rsidRDefault="00D96C4E">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8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48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82" w14:textId="77777777" w:rsidR="003C66EB" w:rsidRDefault="00D96C4E">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8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48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86" w14:textId="77777777" w:rsidR="003C66EB" w:rsidRDefault="00D96C4E">
            <w:pPr>
              <w:jc w:val="right"/>
              <w:textAlignment w:val="bottom"/>
            </w:pPr>
            <w:r>
              <w:rPr>
                <w:rFonts w:ascii="Arial" w:eastAsia="宋体" w:hAnsi="Arial" w:cs="Arial"/>
                <w:color w:val="000000"/>
                <w:sz w:val="15"/>
                <w:szCs w:val="15"/>
              </w:rPr>
              <w:t>10,155 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8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48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8A" w14:textId="77777777" w:rsidR="003C66EB" w:rsidRDefault="00D96C4E">
            <w:pPr>
              <w:jc w:val="right"/>
              <w:textAlignment w:val="bottom"/>
            </w:pPr>
            <w:r>
              <w:rPr>
                <w:rFonts w:ascii="Arial" w:eastAsia="宋体" w:hAnsi="Arial" w:cs="Arial"/>
                <w:color w:val="000000"/>
                <w:sz w:val="15"/>
                <w:szCs w:val="15"/>
              </w:rPr>
              <w:t>22,315 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8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8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48D"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8E" w14:textId="77777777" w:rsidR="003C66EB" w:rsidRDefault="00D96C4E">
            <w:pPr>
              <w:jc w:val="right"/>
              <w:textAlignment w:val="bottom"/>
            </w:pPr>
            <w:r>
              <w:rPr>
                <w:rFonts w:ascii="Arial" w:eastAsia="宋体" w:hAnsi="Arial" w:cs="Arial"/>
                <w:color w:val="000000"/>
                <w:sz w:val="15"/>
                <w:szCs w:val="15"/>
              </w:rPr>
              <w:t>(920)</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8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9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491" w14:textId="77777777" w:rsidR="003C66EB" w:rsidRDefault="00D96C4E">
            <w:pPr>
              <w:jc w:val="right"/>
              <w:textAlignment w:val="bottom"/>
            </w:pPr>
            <w:r>
              <w:rPr>
                <w:rFonts w:ascii="Arial" w:eastAsia="宋体" w:hAnsi="Arial" w:cs="Arial"/>
                <w:color w:val="000000"/>
                <w:sz w:val="15"/>
                <w:szCs w:val="15"/>
              </w:rPr>
              <w:t>151,936 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9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9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494"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95" w14:textId="77777777" w:rsidR="003C66EB" w:rsidRDefault="00D96C4E">
            <w:pPr>
              <w:jc w:val="right"/>
              <w:textAlignment w:val="bottom"/>
            </w:pPr>
            <w:r>
              <w:rPr>
                <w:rFonts w:ascii="Arial" w:eastAsia="宋体" w:hAnsi="Arial" w:cs="Arial"/>
                <w:color w:val="000000"/>
                <w:sz w:val="15"/>
                <w:szCs w:val="15"/>
              </w:rPr>
              <w:t>(10,664)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9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498"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499" w14:textId="77777777" w:rsidR="003C66EB" w:rsidRDefault="00D96C4E">
            <w:pPr>
              <w:jc w:val="right"/>
              <w:textAlignment w:val="bottom"/>
            </w:pPr>
            <w:r>
              <w:rPr>
                <w:rFonts w:ascii="Arial" w:eastAsia="宋体" w:hAnsi="Arial" w:cs="Arial"/>
                <w:color w:val="000000"/>
                <w:sz w:val="15"/>
                <w:szCs w:val="15"/>
              </w:rPr>
              <w:t>23,861 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49A" w14:textId="77777777" w:rsidR="003C66EB" w:rsidRDefault="003C66EB">
            <w:pPr>
              <w:jc w:val="right"/>
              <w:rPr>
                <w:rFonts w:ascii="宋体"/>
              </w:rPr>
            </w:pPr>
          </w:p>
        </w:tc>
      </w:tr>
      <w:tr w:rsidR="00D96C4E" w14:paraId="5EA224BE" w14:textId="77777777">
        <w:tc>
          <w:tcPr>
            <w:tcW w:w="0" w:type="auto"/>
            <w:gridSpan w:val="3"/>
            <w:shd w:val="clear" w:color="auto" w:fill="FFFFFF"/>
            <w:tcMar>
              <w:top w:w="40" w:type="dxa"/>
              <w:left w:w="20" w:type="dxa"/>
              <w:bottom w:w="40" w:type="dxa"/>
              <w:right w:w="20" w:type="dxa"/>
            </w:tcMar>
            <w:vAlign w:val="bottom"/>
          </w:tcPr>
          <w:p w14:paraId="5EA2249C" w14:textId="77777777" w:rsidR="003C66EB" w:rsidRDefault="00D96C4E">
            <w:pPr>
              <w:textAlignment w:val="bottom"/>
            </w:pPr>
            <w:r>
              <w:rPr>
                <w:rFonts w:ascii="Arial" w:eastAsia="宋体" w:hAnsi="Arial" w:cs="Arial"/>
                <w:b/>
                <w:bCs/>
                <w:color w:val="000000"/>
                <w:sz w:val="15"/>
                <w:szCs w:val="15"/>
              </w:rPr>
              <w:t>Balance at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5EA2249D"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9E" w14:textId="77777777" w:rsidR="003C66EB" w:rsidRDefault="00D96C4E">
            <w:pPr>
              <w:jc w:val="right"/>
              <w:textAlignment w:val="bottom"/>
            </w:pPr>
            <w:r>
              <w:rPr>
                <w:rFonts w:ascii="Arial" w:eastAsia="宋体" w:hAnsi="Arial" w:cs="Arial"/>
                <w:color w:val="000000"/>
                <w:sz w:val="15"/>
                <w:szCs w:val="15"/>
              </w:rPr>
              <w:t>2,471 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A0" w14:textId="77777777" w:rsidR="003C66EB" w:rsidRDefault="003C66E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224A1" w14:textId="77777777" w:rsidR="003C66EB" w:rsidRDefault="00D96C4E">
            <w:pPr>
              <w:jc w:val="right"/>
              <w:textAlignment w:val="bottom"/>
            </w:pPr>
            <w:r>
              <w:rPr>
                <w:rFonts w:ascii="Arial" w:eastAsia="宋体" w:hAnsi="Arial" w:cs="Arial"/>
                <w:color w:val="000000"/>
                <w:sz w:val="15"/>
                <w:szCs w:val="15"/>
              </w:rPr>
              <w:t>503,880 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A3"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24A4"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A5" w14:textId="77777777" w:rsidR="003C66EB" w:rsidRDefault="00D96C4E">
            <w:pPr>
              <w:jc w:val="right"/>
              <w:textAlignment w:val="bottom"/>
            </w:pPr>
            <w:r>
              <w:rPr>
                <w:rFonts w:ascii="Arial" w:eastAsia="宋体" w:hAnsi="Arial" w:cs="Arial"/>
                <w:color w:val="000000"/>
                <w:sz w:val="15"/>
                <w:szCs w:val="15"/>
              </w:rPr>
              <w:t>504 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A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A7"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24A8"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A9" w14:textId="77777777" w:rsidR="003C66EB" w:rsidRDefault="00D96C4E">
            <w:pPr>
              <w:jc w:val="right"/>
              <w:textAlignment w:val="bottom"/>
            </w:pPr>
            <w:r>
              <w:rPr>
                <w:rFonts w:ascii="Arial" w:eastAsia="宋体" w:hAnsi="Arial" w:cs="Arial"/>
                <w:color w:val="000000"/>
                <w:sz w:val="15"/>
                <w:szCs w:val="15"/>
              </w:rPr>
              <w:t>10,205 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A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AB"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24AC"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AD" w14:textId="77777777" w:rsidR="003C66EB" w:rsidRDefault="00D96C4E">
            <w:pPr>
              <w:jc w:val="right"/>
              <w:textAlignment w:val="bottom"/>
            </w:pPr>
            <w:r>
              <w:rPr>
                <w:rFonts w:ascii="Arial" w:eastAsia="宋体" w:hAnsi="Arial" w:cs="Arial"/>
                <w:color w:val="000000"/>
                <w:sz w:val="15"/>
                <w:szCs w:val="15"/>
              </w:rPr>
              <w:t>23,442 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AF"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24B0"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B1" w14:textId="77777777" w:rsidR="003C66EB" w:rsidRDefault="00D96C4E">
            <w:pPr>
              <w:jc w:val="right"/>
              <w:textAlignment w:val="bottom"/>
            </w:pPr>
            <w:r>
              <w:rPr>
                <w:rFonts w:ascii="Arial" w:eastAsia="宋体" w:hAnsi="Arial" w:cs="Arial"/>
                <w:color w:val="000000"/>
                <w:sz w:val="15"/>
                <w:szCs w:val="15"/>
              </w:rPr>
              <w:t>187 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B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B3" w14:textId="77777777" w:rsidR="003C66EB" w:rsidRDefault="003C66E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A224B4" w14:textId="77777777" w:rsidR="003C66EB" w:rsidRDefault="00D96C4E">
            <w:pPr>
              <w:jc w:val="right"/>
              <w:textAlignment w:val="bottom"/>
            </w:pPr>
            <w:r>
              <w:rPr>
                <w:rFonts w:ascii="Arial" w:eastAsia="宋体" w:hAnsi="Arial" w:cs="Arial"/>
                <w:color w:val="000000"/>
                <w:sz w:val="15"/>
                <w:szCs w:val="15"/>
              </w:rPr>
              <w:t>150,723 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B5" w14:textId="77777777" w:rsidR="003C66EB" w:rsidRDefault="003C66E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4B6"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24B7"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B8" w14:textId="77777777" w:rsidR="003C66EB" w:rsidRDefault="00D96C4E">
            <w:pPr>
              <w:jc w:val="right"/>
              <w:textAlignment w:val="bottom"/>
            </w:pPr>
            <w:r>
              <w:rPr>
                <w:rFonts w:ascii="Arial" w:eastAsia="宋体" w:hAnsi="Arial" w:cs="Arial"/>
                <w:color w:val="000000"/>
                <w:sz w:val="15"/>
                <w:szCs w:val="15"/>
              </w:rPr>
              <w:t>(10,609)</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B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BA"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24BB" w14:textId="77777777" w:rsidR="003C66EB" w:rsidRDefault="00D96C4E">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24BC" w14:textId="77777777" w:rsidR="003C66EB" w:rsidRDefault="00D96C4E">
            <w:pPr>
              <w:jc w:val="right"/>
              <w:textAlignment w:val="bottom"/>
            </w:pPr>
            <w:r>
              <w:rPr>
                <w:rFonts w:ascii="Arial" w:eastAsia="宋体" w:hAnsi="Arial" w:cs="Arial"/>
                <w:color w:val="000000"/>
                <w:sz w:val="15"/>
                <w:szCs w:val="15"/>
              </w:rPr>
              <w:t>26,200 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24BD" w14:textId="77777777" w:rsidR="003C66EB" w:rsidRDefault="003C66EB">
            <w:pPr>
              <w:jc w:val="right"/>
              <w:rPr>
                <w:rFonts w:ascii="宋体"/>
              </w:rPr>
            </w:pPr>
          </w:p>
        </w:tc>
      </w:tr>
      <w:tr w:rsidR="003C66EB" w14:paraId="5EA224D3" w14:textId="77777777">
        <w:tc>
          <w:tcPr>
            <w:tcW w:w="0" w:type="auto"/>
            <w:gridSpan w:val="3"/>
            <w:shd w:val="clear" w:color="auto" w:fill="CCEEFF"/>
            <w:tcMar>
              <w:top w:w="40" w:type="dxa"/>
              <w:left w:w="20" w:type="dxa"/>
              <w:bottom w:w="40" w:type="dxa"/>
              <w:right w:w="20" w:type="dxa"/>
            </w:tcMar>
            <w:vAlign w:val="bottom"/>
          </w:tcPr>
          <w:p w14:paraId="5EA224BF" w14:textId="77777777" w:rsidR="003C66EB" w:rsidRDefault="00D96C4E">
            <w:pPr>
              <w:textAlignment w:val="bottom"/>
            </w:pPr>
            <w:r>
              <w:rPr>
                <w:rFonts w:ascii="Arial" w:eastAsia="宋体" w:hAnsi="Arial" w:cs="Arial"/>
                <w:color w:val="000000"/>
                <w:sz w:val="15"/>
                <w:szCs w:val="15"/>
              </w:rPr>
              <w:t>Net income</w:t>
            </w:r>
          </w:p>
        </w:tc>
        <w:tc>
          <w:tcPr>
            <w:tcW w:w="0" w:type="auto"/>
            <w:gridSpan w:val="3"/>
            <w:shd w:val="clear" w:color="auto" w:fill="CCEEFF"/>
            <w:tcMar>
              <w:top w:w="0" w:type="dxa"/>
              <w:left w:w="20" w:type="dxa"/>
              <w:bottom w:w="0" w:type="dxa"/>
              <w:right w:w="20" w:type="dxa"/>
            </w:tcMar>
          </w:tcPr>
          <w:p w14:paraId="5EA224C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C8" w14:textId="77777777" w:rsidR="003C66EB" w:rsidRDefault="00D96C4E">
            <w:pPr>
              <w:jc w:val="right"/>
              <w:textAlignment w:val="bottom"/>
            </w:pPr>
            <w:r>
              <w:rPr>
                <w:rFonts w:ascii="Arial" w:eastAsia="宋体" w:hAnsi="Arial" w:cs="Arial"/>
                <w:b/>
                <w:bCs/>
                <w:color w:val="000000"/>
                <w:sz w:val="15"/>
                <w:szCs w:val="15"/>
              </w:rPr>
              <w:t>519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4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C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C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D1" w14:textId="77777777" w:rsidR="003C66EB" w:rsidRDefault="00D96C4E">
            <w:pPr>
              <w:jc w:val="right"/>
              <w:textAlignment w:val="bottom"/>
            </w:pPr>
            <w:r>
              <w:rPr>
                <w:rFonts w:ascii="Arial" w:eastAsia="宋体" w:hAnsi="Arial" w:cs="Arial"/>
                <w:b/>
                <w:bCs/>
                <w:color w:val="000000"/>
                <w:sz w:val="15"/>
                <w:szCs w:val="15"/>
              </w:rPr>
              <w:t>519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4D2" w14:textId="77777777" w:rsidR="003C66EB" w:rsidRDefault="003C66EB">
            <w:pPr>
              <w:jc w:val="right"/>
              <w:rPr>
                <w:rFonts w:ascii="宋体"/>
              </w:rPr>
            </w:pPr>
          </w:p>
        </w:tc>
      </w:tr>
      <w:tr w:rsidR="003C66EB" w14:paraId="5EA224E8" w14:textId="77777777">
        <w:tc>
          <w:tcPr>
            <w:tcW w:w="0" w:type="auto"/>
            <w:gridSpan w:val="3"/>
            <w:shd w:val="clear" w:color="auto" w:fill="FFFFFF"/>
            <w:tcMar>
              <w:top w:w="40" w:type="dxa"/>
              <w:left w:w="20" w:type="dxa"/>
              <w:bottom w:w="40" w:type="dxa"/>
              <w:right w:w="20" w:type="dxa"/>
            </w:tcMar>
            <w:vAlign w:val="bottom"/>
          </w:tcPr>
          <w:p w14:paraId="5EA224D4" w14:textId="77777777" w:rsidR="003C66EB" w:rsidRDefault="00D96C4E">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tcPr>
          <w:p w14:paraId="5EA224D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D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DF" w14:textId="77777777" w:rsidR="003C66EB" w:rsidRDefault="00D96C4E">
            <w:pPr>
              <w:jc w:val="right"/>
              <w:textAlignment w:val="bottom"/>
            </w:pPr>
            <w:r>
              <w:rPr>
                <w:rFonts w:ascii="Arial" w:eastAsia="宋体" w:hAnsi="Arial" w:cs="Arial"/>
                <w:b/>
                <w:bCs/>
                <w:color w:val="000000"/>
                <w:sz w:val="15"/>
                <w:szCs w:val="15"/>
              </w:rPr>
              <w:t>(605)</w:t>
            </w:r>
          </w:p>
        </w:tc>
        <w:tc>
          <w:tcPr>
            <w:tcW w:w="0" w:type="auto"/>
            <w:shd w:val="clear" w:color="auto" w:fill="FFFFFF"/>
            <w:tcMar>
              <w:top w:w="40" w:type="dxa"/>
              <w:left w:w="0" w:type="dxa"/>
              <w:bottom w:w="40" w:type="dxa"/>
              <w:right w:w="20" w:type="dxa"/>
            </w:tcMar>
            <w:vAlign w:val="bottom"/>
          </w:tcPr>
          <w:p w14:paraId="5EA224E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4E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E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E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E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4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4E6" w14:textId="77777777" w:rsidR="003C66EB" w:rsidRDefault="00D96C4E">
            <w:pPr>
              <w:jc w:val="right"/>
              <w:textAlignment w:val="bottom"/>
            </w:pPr>
            <w:r>
              <w:rPr>
                <w:rFonts w:ascii="Arial" w:eastAsia="宋体" w:hAnsi="Arial" w:cs="Arial"/>
                <w:b/>
                <w:bCs/>
                <w:color w:val="000000"/>
                <w:sz w:val="15"/>
                <w:szCs w:val="15"/>
              </w:rPr>
              <w:t>(605)</w:t>
            </w:r>
          </w:p>
        </w:tc>
        <w:tc>
          <w:tcPr>
            <w:tcW w:w="0" w:type="auto"/>
            <w:shd w:val="clear" w:color="auto" w:fill="FFFFFF"/>
            <w:tcMar>
              <w:top w:w="40" w:type="dxa"/>
              <w:left w:w="0" w:type="dxa"/>
              <w:bottom w:w="40" w:type="dxa"/>
              <w:right w:w="20" w:type="dxa"/>
            </w:tcMar>
            <w:vAlign w:val="bottom"/>
          </w:tcPr>
          <w:p w14:paraId="5EA224E7" w14:textId="77777777" w:rsidR="003C66EB" w:rsidRDefault="003C66EB">
            <w:pPr>
              <w:jc w:val="right"/>
              <w:rPr>
                <w:rFonts w:ascii="宋体"/>
              </w:rPr>
            </w:pPr>
          </w:p>
        </w:tc>
      </w:tr>
      <w:tr w:rsidR="003C66EB" w14:paraId="5EA224FE" w14:textId="77777777">
        <w:tc>
          <w:tcPr>
            <w:tcW w:w="0" w:type="auto"/>
            <w:gridSpan w:val="3"/>
            <w:shd w:val="clear" w:color="auto" w:fill="CCEEFF"/>
            <w:tcMar>
              <w:top w:w="40" w:type="dxa"/>
              <w:left w:w="20" w:type="dxa"/>
              <w:bottom w:w="40" w:type="dxa"/>
              <w:right w:w="20" w:type="dxa"/>
            </w:tcMar>
            <w:vAlign w:val="bottom"/>
          </w:tcPr>
          <w:p w14:paraId="5EA224E9" w14:textId="77777777" w:rsidR="003C66EB" w:rsidRDefault="00D96C4E">
            <w:pPr>
              <w:textAlignment w:val="bottom"/>
            </w:pPr>
            <w:r>
              <w:rPr>
                <w:rFonts w:ascii="Arial" w:eastAsia="宋体" w:hAnsi="Arial" w:cs="Arial"/>
                <w:color w:val="000000"/>
                <w:sz w:val="15"/>
                <w:szCs w:val="15"/>
              </w:rPr>
              <w:t>Preferred stock redeemed</w:t>
            </w:r>
          </w:p>
        </w:tc>
        <w:tc>
          <w:tcPr>
            <w:tcW w:w="0" w:type="auto"/>
            <w:gridSpan w:val="2"/>
            <w:shd w:val="clear" w:color="auto" w:fill="CCEEFF"/>
            <w:tcMar>
              <w:top w:w="40" w:type="dxa"/>
              <w:left w:w="20" w:type="dxa"/>
              <w:bottom w:w="40" w:type="dxa"/>
              <w:right w:w="0" w:type="dxa"/>
            </w:tcMar>
            <w:vAlign w:val="bottom"/>
          </w:tcPr>
          <w:p w14:paraId="5EA224EA" w14:textId="77777777" w:rsidR="003C66EB" w:rsidRDefault="00D96C4E">
            <w:pPr>
              <w:jc w:val="right"/>
              <w:textAlignment w:val="bottom"/>
            </w:pPr>
            <w:r>
              <w:rPr>
                <w:rFonts w:ascii="Arial" w:eastAsia="宋体" w:hAnsi="Arial" w:cs="Arial"/>
                <w:b/>
                <w:bCs/>
                <w:color w:val="000000"/>
                <w:sz w:val="15"/>
                <w:szCs w:val="15"/>
              </w:rPr>
              <w:t>(495)</w:t>
            </w:r>
          </w:p>
        </w:tc>
        <w:tc>
          <w:tcPr>
            <w:tcW w:w="0" w:type="auto"/>
            <w:shd w:val="clear" w:color="auto" w:fill="CCEEFF"/>
            <w:tcMar>
              <w:top w:w="40" w:type="dxa"/>
              <w:left w:w="0" w:type="dxa"/>
              <w:bottom w:w="40" w:type="dxa"/>
              <w:right w:w="20" w:type="dxa"/>
            </w:tcMar>
            <w:vAlign w:val="bottom"/>
          </w:tcPr>
          <w:p w14:paraId="5EA224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E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E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E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E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F3" w14:textId="77777777" w:rsidR="003C66EB" w:rsidRDefault="00D96C4E">
            <w:pPr>
              <w:jc w:val="right"/>
              <w:textAlignment w:val="bottom"/>
            </w:pPr>
            <w:r>
              <w:rPr>
                <w:rFonts w:ascii="Arial" w:eastAsia="宋体" w:hAnsi="Arial" w:cs="Arial"/>
                <w:b/>
                <w:bCs/>
                <w:color w:val="000000"/>
                <w:sz w:val="15"/>
                <w:szCs w:val="15"/>
              </w:rPr>
              <w:t>(5)</w:t>
            </w:r>
          </w:p>
        </w:tc>
        <w:tc>
          <w:tcPr>
            <w:tcW w:w="0" w:type="auto"/>
            <w:shd w:val="clear" w:color="auto" w:fill="CCEEFF"/>
            <w:tcMar>
              <w:top w:w="40" w:type="dxa"/>
              <w:left w:w="0" w:type="dxa"/>
              <w:bottom w:w="40" w:type="dxa"/>
              <w:right w:w="20" w:type="dxa"/>
            </w:tcMar>
            <w:vAlign w:val="bottom"/>
          </w:tcPr>
          <w:p w14:paraId="5EA224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4F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4F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4FC" w14:textId="77777777" w:rsidR="003C66EB" w:rsidRDefault="00D96C4E">
            <w:pPr>
              <w:jc w:val="right"/>
              <w:textAlignment w:val="bottom"/>
            </w:pPr>
            <w:r>
              <w:rPr>
                <w:rFonts w:ascii="Arial" w:eastAsia="宋体" w:hAnsi="Arial" w:cs="Arial"/>
                <w:b/>
                <w:bCs/>
                <w:color w:val="000000"/>
                <w:sz w:val="15"/>
                <w:szCs w:val="15"/>
              </w:rPr>
              <w:t>(500)</w:t>
            </w:r>
          </w:p>
        </w:tc>
        <w:tc>
          <w:tcPr>
            <w:tcW w:w="0" w:type="auto"/>
            <w:shd w:val="clear" w:color="auto" w:fill="CCEEFF"/>
            <w:tcMar>
              <w:top w:w="40" w:type="dxa"/>
              <w:left w:w="0" w:type="dxa"/>
              <w:bottom w:w="40" w:type="dxa"/>
              <w:right w:w="20" w:type="dxa"/>
            </w:tcMar>
            <w:vAlign w:val="bottom"/>
          </w:tcPr>
          <w:p w14:paraId="5EA224FD" w14:textId="77777777" w:rsidR="003C66EB" w:rsidRDefault="003C66EB">
            <w:pPr>
              <w:jc w:val="right"/>
              <w:rPr>
                <w:rFonts w:ascii="宋体"/>
              </w:rPr>
            </w:pPr>
          </w:p>
        </w:tc>
      </w:tr>
      <w:tr w:rsidR="003C66EB" w14:paraId="5EA22511" w14:textId="77777777">
        <w:tc>
          <w:tcPr>
            <w:tcW w:w="0" w:type="auto"/>
            <w:gridSpan w:val="3"/>
            <w:shd w:val="clear" w:color="auto" w:fill="FFFFFF"/>
            <w:tcMar>
              <w:top w:w="40" w:type="dxa"/>
              <w:left w:w="20" w:type="dxa"/>
              <w:bottom w:w="40" w:type="dxa"/>
              <w:right w:w="20" w:type="dxa"/>
            </w:tcMar>
            <w:vAlign w:val="bottom"/>
          </w:tcPr>
          <w:p w14:paraId="5EA224FF" w14:textId="77777777" w:rsidR="003C66EB" w:rsidRDefault="00D96C4E">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tcPr>
          <w:p w14:paraId="5EA2250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10" w14:textId="77777777" w:rsidR="003C66EB" w:rsidRDefault="003C66EB">
            <w:pPr>
              <w:rPr>
                <w:rFonts w:ascii="宋体"/>
              </w:rPr>
            </w:pPr>
          </w:p>
        </w:tc>
      </w:tr>
      <w:tr w:rsidR="003C66EB" w14:paraId="5EA22526" w14:textId="77777777">
        <w:tc>
          <w:tcPr>
            <w:tcW w:w="0" w:type="auto"/>
            <w:gridSpan w:val="3"/>
            <w:shd w:val="clear" w:color="auto" w:fill="CCEEFF"/>
            <w:tcMar>
              <w:top w:w="40" w:type="dxa"/>
              <w:left w:w="20" w:type="dxa"/>
              <w:bottom w:w="40" w:type="dxa"/>
              <w:right w:w="20" w:type="dxa"/>
            </w:tcMar>
            <w:vAlign w:val="bottom"/>
          </w:tcPr>
          <w:p w14:paraId="5EA22512" w14:textId="77777777" w:rsidR="003C66EB" w:rsidRDefault="00D96C4E">
            <w:pPr>
              <w:textAlignment w:val="bottom"/>
            </w:pPr>
            <w:r>
              <w:rPr>
                <w:rFonts w:ascii="Arial" w:eastAsia="宋体" w:hAnsi="Arial" w:cs="Arial"/>
                <w:color w:val="000000"/>
                <w:sz w:val="15"/>
                <w:szCs w:val="15"/>
              </w:rPr>
              <w:t>Common stock - $0.52 per share</w:t>
            </w:r>
          </w:p>
        </w:tc>
        <w:tc>
          <w:tcPr>
            <w:tcW w:w="0" w:type="auto"/>
            <w:gridSpan w:val="3"/>
            <w:shd w:val="clear" w:color="auto" w:fill="CCEEFF"/>
            <w:tcMar>
              <w:top w:w="0" w:type="dxa"/>
              <w:left w:w="20" w:type="dxa"/>
              <w:bottom w:w="0" w:type="dxa"/>
              <w:right w:w="20" w:type="dxa"/>
            </w:tcMar>
          </w:tcPr>
          <w:p w14:paraId="5EA2251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1B" w14:textId="77777777" w:rsidR="003C66EB" w:rsidRDefault="00D96C4E">
            <w:pPr>
              <w:jc w:val="right"/>
              <w:textAlignment w:val="bottom"/>
            </w:pPr>
            <w:r>
              <w:rPr>
                <w:rFonts w:ascii="Arial" w:eastAsia="宋体" w:hAnsi="Arial" w:cs="Arial"/>
                <w:b/>
                <w:bCs/>
                <w:color w:val="000000"/>
                <w:sz w:val="15"/>
                <w:szCs w:val="15"/>
              </w:rPr>
              <w:t>(182)</w:t>
            </w:r>
          </w:p>
        </w:tc>
        <w:tc>
          <w:tcPr>
            <w:tcW w:w="0" w:type="auto"/>
            <w:shd w:val="clear" w:color="auto" w:fill="CCEEFF"/>
            <w:tcMar>
              <w:top w:w="40" w:type="dxa"/>
              <w:left w:w="0" w:type="dxa"/>
              <w:bottom w:w="40" w:type="dxa"/>
              <w:right w:w="20" w:type="dxa"/>
            </w:tcMar>
            <w:vAlign w:val="bottom"/>
          </w:tcPr>
          <w:p w14:paraId="5EA225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51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1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2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2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2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2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24" w14:textId="77777777" w:rsidR="003C66EB" w:rsidRDefault="00D96C4E">
            <w:pPr>
              <w:jc w:val="right"/>
              <w:textAlignment w:val="bottom"/>
            </w:pPr>
            <w:r>
              <w:rPr>
                <w:rFonts w:ascii="Arial" w:eastAsia="宋体" w:hAnsi="Arial" w:cs="Arial"/>
                <w:b/>
                <w:bCs/>
                <w:color w:val="000000"/>
                <w:sz w:val="15"/>
                <w:szCs w:val="15"/>
              </w:rPr>
              <w:t>(182)</w:t>
            </w:r>
          </w:p>
        </w:tc>
        <w:tc>
          <w:tcPr>
            <w:tcW w:w="0" w:type="auto"/>
            <w:shd w:val="clear" w:color="auto" w:fill="CCEEFF"/>
            <w:tcMar>
              <w:top w:w="40" w:type="dxa"/>
              <w:left w:w="0" w:type="dxa"/>
              <w:bottom w:w="40" w:type="dxa"/>
              <w:right w:w="20" w:type="dxa"/>
            </w:tcMar>
            <w:vAlign w:val="bottom"/>
          </w:tcPr>
          <w:p w14:paraId="5EA22525" w14:textId="77777777" w:rsidR="003C66EB" w:rsidRDefault="003C66EB">
            <w:pPr>
              <w:jc w:val="right"/>
              <w:rPr>
                <w:rFonts w:ascii="宋体"/>
              </w:rPr>
            </w:pPr>
          </w:p>
        </w:tc>
      </w:tr>
      <w:tr w:rsidR="003C66EB" w14:paraId="5EA2253B" w14:textId="77777777">
        <w:tc>
          <w:tcPr>
            <w:tcW w:w="0" w:type="auto"/>
            <w:gridSpan w:val="3"/>
            <w:shd w:val="clear" w:color="auto" w:fill="FFFFFF"/>
            <w:tcMar>
              <w:top w:w="40" w:type="dxa"/>
              <w:left w:w="20" w:type="dxa"/>
              <w:bottom w:w="40" w:type="dxa"/>
              <w:right w:w="20" w:type="dxa"/>
            </w:tcMar>
            <w:vAlign w:val="bottom"/>
          </w:tcPr>
          <w:p w14:paraId="5EA22527" w14:textId="77777777" w:rsidR="003C66EB" w:rsidRDefault="00D96C4E">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tcPr>
          <w:p w14:paraId="5EA2252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2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530" w14:textId="77777777" w:rsidR="003C66EB" w:rsidRDefault="00D96C4E">
            <w:pPr>
              <w:jc w:val="right"/>
              <w:textAlignment w:val="bottom"/>
            </w:pPr>
            <w:r>
              <w:rPr>
                <w:rFonts w:ascii="Arial" w:eastAsia="宋体" w:hAnsi="Arial" w:cs="Arial"/>
                <w:b/>
                <w:bCs/>
                <w:color w:val="000000"/>
                <w:sz w:val="15"/>
                <w:szCs w:val="15"/>
              </w:rPr>
              <w:t>(25)</w:t>
            </w:r>
          </w:p>
        </w:tc>
        <w:tc>
          <w:tcPr>
            <w:tcW w:w="0" w:type="auto"/>
            <w:shd w:val="clear" w:color="auto" w:fill="FFFFFF"/>
            <w:tcMar>
              <w:top w:w="40" w:type="dxa"/>
              <w:left w:w="0" w:type="dxa"/>
              <w:bottom w:w="40" w:type="dxa"/>
              <w:right w:w="20" w:type="dxa"/>
            </w:tcMar>
            <w:vAlign w:val="bottom"/>
          </w:tcPr>
          <w:p w14:paraId="5EA225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3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3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3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3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3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3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539" w14:textId="77777777" w:rsidR="003C66EB" w:rsidRDefault="00D96C4E">
            <w:pPr>
              <w:jc w:val="right"/>
              <w:textAlignment w:val="bottom"/>
            </w:pPr>
            <w:r>
              <w:rPr>
                <w:rFonts w:ascii="Arial" w:eastAsia="宋体" w:hAnsi="Arial" w:cs="Arial"/>
                <w:b/>
                <w:bCs/>
                <w:color w:val="000000"/>
                <w:sz w:val="15"/>
                <w:szCs w:val="15"/>
              </w:rPr>
              <w:t>(25)</w:t>
            </w:r>
          </w:p>
        </w:tc>
        <w:tc>
          <w:tcPr>
            <w:tcW w:w="0" w:type="auto"/>
            <w:shd w:val="clear" w:color="auto" w:fill="FFFFFF"/>
            <w:tcMar>
              <w:top w:w="40" w:type="dxa"/>
              <w:left w:w="0" w:type="dxa"/>
              <w:bottom w:w="40" w:type="dxa"/>
              <w:right w:w="20" w:type="dxa"/>
            </w:tcMar>
            <w:vAlign w:val="bottom"/>
          </w:tcPr>
          <w:p w14:paraId="5EA2253A" w14:textId="77777777" w:rsidR="003C66EB" w:rsidRDefault="003C66EB">
            <w:pPr>
              <w:jc w:val="right"/>
              <w:rPr>
                <w:rFonts w:ascii="宋体"/>
              </w:rPr>
            </w:pPr>
          </w:p>
        </w:tc>
      </w:tr>
      <w:tr w:rsidR="003C66EB" w14:paraId="5EA22551" w14:textId="77777777">
        <w:tc>
          <w:tcPr>
            <w:tcW w:w="0" w:type="auto"/>
            <w:gridSpan w:val="3"/>
            <w:shd w:val="clear" w:color="auto" w:fill="CCEEFF"/>
            <w:tcMar>
              <w:top w:w="40" w:type="dxa"/>
              <w:left w:w="20" w:type="dxa"/>
              <w:bottom w:w="40" w:type="dxa"/>
              <w:right w:w="20" w:type="dxa"/>
            </w:tcMar>
            <w:vAlign w:val="bottom"/>
          </w:tcPr>
          <w:p w14:paraId="5EA2253C" w14:textId="77777777" w:rsidR="003C66EB" w:rsidRDefault="00D96C4E">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tcPr>
          <w:p w14:paraId="5EA2253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3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3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4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49" w14:textId="77777777" w:rsidR="003C66EB" w:rsidRDefault="00D96C4E">
            <w:pPr>
              <w:jc w:val="right"/>
              <w:textAlignment w:val="bottom"/>
            </w:pPr>
            <w:r>
              <w:rPr>
                <w:rFonts w:ascii="Arial" w:eastAsia="宋体" w:hAnsi="Arial" w:cs="Arial"/>
                <w:b/>
                <w:bCs/>
                <w:color w:val="000000"/>
                <w:sz w:val="15"/>
                <w:szCs w:val="15"/>
              </w:rPr>
              <w:t>6,233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5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54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4C" w14:textId="77777777" w:rsidR="003C66EB" w:rsidRDefault="00D96C4E">
            <w:pPr>
              <w:jc w:val="right"/>
              <w:textAlignment w:val="bottom"/>
            </w:pPr>
            <w:r>
              <w:rPr>
                <w:rFonts w:ascii="Arial" w:eastAsia="宋体" w:hAnsi="Arial" w:cs="Arial"/>
                <w:b/>
                <w:bCs/>
                <w:color w:val="000000"/>
                <w:sz w:val="15"/>
                <w:szCs w:val="15"/>
              </w:rPr>
              <w:t>(475)</w:t>
            </w:r>
          </w:p>
        </w:tc>
        <w:tc>
          <w:tcPr>
            <w:tcW w:w="0" w:type="auto"/>
            <w:shd w:val="clear" w:color="auto" w:fill="CCEEFF"/>
            <w:tcMar>
              <w:top w:w="40" w:type="dxa"/>
              <w:left w:w="0" w:type="dxa"/>
              <w:bottom w:w="40" w:type="dxa"/>
              <w:right w:w="20" w:type="dxa"/>
            </w:tcMar>
            <w:vAlign w:val="bottom"/>
          </w:tcPr>
          <w:p w14:paraId="5EA225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5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4F" w14:textId="77777777" w:rsidR="003C66EB" w:rsidRDefault="00D96C4E">
            <w:pPr>
              <w:jc w:val="right"/>
              <w:textAlignment w:val="bottom"/>
            </w:pPr>
            <w:r>
              <w:rPr>
                <w:rFonts w:ascii="Arial" w:eastAsia="宋体" w:hAnsi="Arial" w:cs="Arial"/>
                <w:b/>
                <w:bCs/>
                <w:color w:val="000000"/>
                <w:sz w:val="15"/>
                <w:szCs w:val="15"/>
              </w:rPr>
              <w:t>(475)</w:t>
            </w:r>
          </w:p>
        </w:tc>
        <w:tc>
          <w:tcPr>
            <w:tcW w:w="0" w:type="auto"/>
            <w:shd w:val="clear" w:color="auto" w:fill="CCEEFF"/>
            <w:tcMar>
              <w:top w:w="40" w:type="dxa"/>
              <w:left w:w="0" w:type="dxa"/>
              <w:bottom w:w="40" w:type="dxa"/>
              <w:right w:w="20" w:type="dxa"/>
            </w:tcMar>
            <w:vAlign w:val="bottom"/>
          </w:tcPr>
          <w:p w14:paraId="5EA22550" w14:textId="77777777" w:rsidR="003C66EB" w:rsidRDefault="003C66EB">
            <w:pPr>
              <w:jc w:val="right"/>
              <w:rPr>
                <w:rFonts w:ascii="宋体"/>
              </w:rPr>
            </w:pPr>
          </w:p>
        </w:tc>
      </w:tr>
      <w:tr w:rsidR="003C66EB" w14:paraId="5EA22568" w14:textId="77777777">
        <w:tc>
          <w:tcPr>
            <w:tcW w:w="0" w:type="auto"/>
            <w:gridSpan w:val="3"/>
            <w:shd w:val="clear" w:color="auto" w:fill="FFFFFF"/>
            <w:tcMar>
              <w:top w:w="40" w:type="dxa"/>
              <w:left w:w="20" w:type="dxa"/>
              <w:bottom w:w="40" w:type="dxa"/>
              <w:right w:w="20" w:type="dxa"/>
            </w:tcMar>
            <w:vAlign w:val="bottom"/>
          </w:tcPr>
          <w:p w14:paraId="5EA22552" w14:textId="77777777" w:rsidR="003C66EB" w:rsidRDefault="00D96C4E">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tcPr>
          <w:p w14:paraId="5EA2255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559" w14:textId="77777777" w:rsidR="003C66EB" w:rsidRDefault="00D96C4E">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5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5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5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560" w14:textId="77777777" w:rsidR="003C66EB" w:rsidRDefault="00D96C4E">
            <w:pPr>
              <w:jc w:val="right"/>
              <w:textAlignment w:val="bottom"/>
            </w:pPr>
            <w:r>
              <w:rPr>
                <w:rFonts w:ascii="Arial" w:eastAsia="宋体" w:hAnsi="Arial" w:cs="Arial"/>
                <w:b/>
                <w:bCs/>
                <w:color w:val="000000"/>
                <w:sz w:val="15"/>
                <w:szCs w:val="15"/>
              </w:rPr>
              <w:t>(1,111)</w:t>
            </w:r>
          </w:p>
        </w:tc>
        <w:tc>
          <w:tcPr>
            <w:tcW w:w="0" w:type="auto"/>
            <w:shd w:val="clear" w:color="auto" w:fill="FFFFFF"/>
            <w:tcMar>
              <w:top w:w="40" w:type="dxa"/>
              <w:left w:w="0" w:type="dxa"/>
              <w:bottom w:w="40" w:type="dxa"/>
              <w:right w:w="20" w:type="dxa"/>
            </w:tcMar>
            <w:vAlign w:val="bottom"/>
          </w:tcPr>
          <w:p w14:paraId="5EA225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6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563" w14:textId="77777777" w:rsidR="003C66EB" w:rsidRDefault="00D96C4E">
            <w:pPr>
              <w:jc w:val="right"/>
              <w:textAlignment w:val="bottom"/>
            </w:pPr>
            <w:r>
              <w:rPr>
                <w:rFonts w:ascii="Arial" w:eastAsia="宋体" w:hAnsi="Arial" w:cs="Arial"/>
                <w:b/>
                <w:bCs/>
                <w:color w:val="000000"/>
                <w:sz w:val="15"/>
                <w:szCs w:val="15"/>
              </w:rPr>
              <w:t>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5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6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566" w14:textId="77777777" w:rsidR="003C66EB" w:rsidRDefault="00D96C4E">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567" w14:textId="77777777" w:rsidR="003C66EB" w:rsidRDefault="003C66EB">
            <w:pPr>
              <w:jc w:val="right"/>
              <w:rPr>
                <w:rFonts w:ascii="宋体"/>
              </w:rPr>
            </w:pPr>
          </w:p>
        </w:tc>
      </w:tr>
      <w:tr w:rsidR="003C66EB" w14:paraId="5EA2257E" w14:textId="77777777">
        <w:tc>
          <w:tcPr>
            <w:tcW w:w="0" w:type="auto"/>
            <w:gridSpan w:val="3"/>
            <w:shd w:val="clear" w:color="auto" w:fill="CCEEFF"/>
            <w:tcMar>
              <w:top w:w="40" w:type="dxa"/>
              <w:left w:w="20" w:type="dxa"/>
              <w:bottom w:w="40" w:type="dxa"/>
              <w:right w:w="20" w:type="dxa"/>
            </w:tcMar>
            <w:vAlign w:val="bottom"/>
          </w:tcPr>
          <w:p w14:paraId="5EA22569" w14:textId="77777777" w:rsidR="003C66EB" w:rsidRDefault="00D96C4E">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tcPr>
          <w:p w14:paraId="5EA2256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6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6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6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6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6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7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7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72"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5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57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7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7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77"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57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57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7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57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57C"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57D" w14:textId="77777777" w:rsidR="003C66EB" w:rsidRDefault="003C66EB">
            <w:pPr>
              <w:jc w:val="right"/>
              <w:rPr>
                <w:rFonts w:ascii="宋体"/>
              </w:rPr>
            </w:pPr>
          </w:p>
        </w:tc>
      </w:tr>
      <w:tr w:rsidR="00D96C4E" w14:paraId="5EA225A1" w14:textId="77777777">
        <w:tc>
          <w:tcPr>
            <w:tcW w:w="0" w:type="auto"/>
            <w:gridSpan w:val="3"/>
            <w:shd w:val="clear" w:color="auto" w:fill="FFFFFF"/>
            <w:tcMar>
              <w:top w:w="40" w:type="dxa"/>
              <w:left w:w="20" w:type="dxa"/>
              <w:bottom w:w="40" w:type="dxa"/>
              <w:right w:w="20" w:type="dxa"/>
            </w:tcMar>
            <w:vAlign w:val="bottom"/>
          </w:tcPr>
          <w:p w14:paraId="5EA2257F" w14:textId="77777777" w:rsidR="003C66EB" w:rsidRDefault="00D96C4E">
            <w:pPr>
              <w:textAlignment w:val="bottom"/>
            </w:pPr>
            <w:r>
              <w:rPr>
                <w:rFonts w:ascii="Arial" w:eastAsia="宋体" w:hAnsi="Arial" w:cs="Arial"/>
                <w:b/>
                <w:bCs/>
                <w:color w:val="000000"/>
                <w:sz w:val="15"/>
                <w:szCs w:val="15"/>
              </w:rPr>
              <w:t>Balance at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8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81" w14:textId="77777777" w:rsidR="003C66EB" w:rsidRDefault="00D96C4E">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83"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84" w14:textId="77777777" w:rsidR="003C66EB" w:rsidRDefault="00D96C4E">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8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87"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88" w14:textId="77777777" w:rsidR="003C66EB" w:rsidRDefault="00D96C4E">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8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8B"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8C" w14:textId="77777777" w:rsidR="003C66EB" w:rsidRDefault="00D96C4E">
            <w:pPr>
              <w:jc w:val="right"/>
              <w:textAlignment w:val="bottom"/>
            </w:pPr>
            <w:r>
              <w:rPr>
                <w:rFonts w:ascii="Arial" w:eastAsia="宋体" w:hAnsi="Arial" w:cs="Arial"/>
                <w:b/>
                <w:bCs/>
                <w:color w:val="000000"/>
                <w:sz w:val="15"/>
                <w:szCs w:val="15"/>
              </w:rPr>
              <w:t>10,227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8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8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8F"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90" w14:textId="77777777" w:rsidR="003C66EB" w:rsidRDefault="00D96C4E">
            <w:pPr>
              <w:jc w:val="right"/>
              <w:textAlignment w:val="bottom"/>
            </w:pPr>
            <w:r>
              <w:rPr>
                <w:rFonts w:ascii="Arial" w:eastAsia="宋体" w:hAnsi="Arial" w:cs="Arial"/>
                <w:b/>
                <w:bCs/>
                <w:color w:val="000000"/>
                <w:sz w:val="15"/>
                <w:szCs w:val="15"/>
              </w:rPr>
              <w:t>23,751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9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9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93"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94" w14:textId="77777777" w:rsidR="003C66EB" w:rsidRDefault="00D96C4E">
            <w:pPr>
              <w:jc w:val="right"/>
              <w:textAlignment w:val="bottom"/>
            </w:pPr>
            <w:r>
              <w:rPr>
                <w:rFonts w:ascii="Arial" w:eastAsia="宋体" w:hAnsi="Arial" w:cs="Arial"/>
                <w:b/>
                <w:bCs/>
                <w:color w:val="000000"/>
                <w:sz w:val="15"/>
                <w:szCs w:val="15"/>
              </w:rPr>
              <w:t>(418)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96"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97" w14:textId="77777777" w:rsidR="003C66EB" w:rsidRDefault="00D96C4E">
            <w:pPr>
              <w:jc w:val="right"/>
              <w:textAlignment w:val="bottom"/>
            </w:pPr>
            <w:r>
              <w:rPr>
                <w:rFonts w:ascii="Arial" w:eastAsia="宋体" w:hAnsi="Arial" w:cs="Arial"/>
                <w:b/>
                <w:bCs/>
                <w:color w:val="000000"/>
                <w:sz w:val="15"/>
                <w:szCs w:val="15"/>
              </w:rPr>
              <w:t>155,847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98" w14:textId="77777777" w:rsidR="003C66EB" w:rsidRDefault="003C66EB">
            <w:pPr>
              <w:jc w:val="right"/>
              <w:rPr>
                <w:rFonts w:ascii="宋体"/>
              </w:rPr>
            </w:pPr>
          </w:p>
        </w:tc>
        <w:tc>
          <w:tcPr>
            <w:tcW w:w="0" w:type="auto"/>
            <w:gridSpan w:val="3"/>
            <w:tcBorders>
              <w:bottom w:val="single" w:sz="8" w:space="0" w:color="000000"/>
            </w:tcBorders>
            <w:shd w:val="clear" w:color="auto" w:fill="FFFFFF"/>
            <w:tcMar>
              <w:top w:w="0" w:type="dxa"/>
              <w:left w:w="20" w:type="dxa"/>
              <w:bottom w:w="0" w:type="dxa"/>
              <w:right w:w="20" w:type="dxa"/>
            </w:tcMar>
          </w:tcPr>
          <w:p w14:paraId="5EA2259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9A"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9B" w14:textId="77777777" w:rsidR="003C66EB" w:rsidRDefault="00D96C4E">
            <w:pPr>
              <w:jc w:val="right"/>
              <w:textAlignment w:val="bottom"/>
            </w:pPr>
            <w:r>
              <w:rPr>
                <w:rFonts w:ascii="Arial" w:eastAsia="宋体" w:hAnsi="Arial" w:cs="Arial"/>
                <w:b/>
                <w:bCs/>
                <w:color w:val="000000"/>
                <w:sz w:val="15"/>
                <w:szCs w:val="15"/>
              </w:rPr>
              <w:t>(11,035)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59D"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259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259F" w14:textId="77777777" w:rsidR="003C66EB" w:rsidRDefault="00D96C4E">
            <w:pPr>
              <w:jc w:val="right"/>
              <w:textAlignment w:val="bottom"/>
            </w:pPr>
            <w:r>
              <w:rPr>
                <w:rFonts w:ascii="Arial" w:eastAsia="宋体" w:hAnsi="Arial" w:cs="Arial"/>
                <w:b/>
                <w:bCs/>
                <w:color w:val="000000"/>
                <w:sz w:val="15"/>
                <w:szCs w:val="15"/>
              </w:rPr>
              <w:t>25,005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25A0" w14:textId="77777777" w:rsidR="003C66EB" w:rsidRDefault="003C66EB">
            <w:pPr>
              <w:jc w:val="right"/>
              <w:rPr>
                <w:rFonts w:ascii="宋体"/>
              </w:rPr>
            </w:pPr>
          </w:p>
        </w:tc>
      </w:tr>
      <w:tr w:rsidR="003C66EB" w14:paraId="5EA225B4" w14:textId="77777777">
        <w:trPr>
          <w:hidden/>
        </w:trPr>
        <w:tc>
          <w:tcPr>
            <w:tcW w:w="0" w:type="auto"/>
            <w:gridSpan w:val="3"/>
            <w:shd w:val="clear" w:color="auto" w:fill="auto"/>
          </w:tcPr>
          <w:p w14:paraId="5EA225A2" w14:textId="77777777" w:rsidR="003C66EB" w:rsidRDefault="003C66EB">
            <w:pPr>
              <w:rPr>
                <w:rFonts w:ascii="宋体"/>
                <w:vanish/>
              </w:rPr>
            </w:pPr>
          </w:p>
        </w:tc>
        <w:tc>
          <w:tcPr>
            <w:tcW w:w="0" w:type="auto"/>
            <w:gridSpan w:val="3"/>
            <w:shd w:val="clear" w:color="auto" w:fill="auto"/>
          </w:tcPr>
          <w:p w14:paraId="5EA225A3" w14:textId="77777777" w:rsidR="003C66EB" w:rsidRDefault="003C66EB">
            <w:pPr>
              <w:rPr>
                <w:rFonts w:ascii="宋体"/>
                <w:vanish/>
              </w:rPr>
            </w:pPr>
          </w:p>
        </w:tc>
        <w:tc>
          <w:tcPr>
            <w:tcW w:w="0" w:type="auto"/>
            <w:gridSpan w:val="3"/>
            <w:shd w:val="clear" w:color="auto" w:fill="auto"/>
          </w:tcPr>
          <w:p w14:paraId="5EA225A4" w14:textId="77777777" w:rsidR="003C66EB" w:rsidRDefault="003C66EB">
            <w:pPr>
              <w:rPr>
                <w:rFonts w:ascii="宋体"/>
                <w:vanish/>
              </w:rPr>
            </w:pPr>
          </w:p>
        </w:tc>
        <w:tc>
          <w:tcPr>
            <w:tcW w:w="0" w:type="auto"/>
            <w:gridSpan w:val="3"/>
            <w:shd w:val="clear" w:color="auto" w:fill="auto"/>
          </w:tcPr>
          <w:p w14:paraId="5EA225A5" w14:textId="77777777" w:rsidR="003C66EB" w:rsidRDefault="003C66EB">
            <w:pPr>
              <w:rPr>
                <w:rFonts w:ascii="宋体"/>
                <w:vanish/>
              </w:rPr>
            </w:pPr>
          </w:p>
        </w:tc>
        <w:tc>
          <w:tcPr>
            <w:tcW w:w="0" w:type="auto"/>
            <w:gridSpan w:val="3"/>
            <w:shd w:val="clear" w:color="auto" w:fill="auto"/>
          </w:tcPr>
          <w:p w14:paraId="5EA225A6" w14:textId="77777777" w:rsidR="003C66EB" w:rsidRDefault="003C66EB">
            <w:pPr>
              <w:rPr>
                <w:rFonts w:ascii="宋体"/>
                <w:vanish/>
              </w:rPr>
            </w:pPr>
          </w:p>
        </w:tc>
        <w:tc>
          <w:tcPr>
            <w:tcW w:w="0" w:type="auto"/>
            <w:gridSpan w:val="3"/>
            <w:shd w:val="clear" w:color="auto" w:fill="auto"/>
          </w:tcPr>
          <w:p w14:paraId="5EA225A7" w14:textId="77777777" w:rsidR="003C66EB" w:rsidRDefault="003C66EB">
            <w:pPr>
              <w:rPr>
                <w:rFonts w:ascii="宋体"/>
                <w:vanish/>
              </w:rPr>
            </w:pPr>
          </w:p>
        </w:tc>
        <w:tc>
          <w:tcPr>
            <w:tcW w:w="0" w:type="auto"/>
            <w:gridSpan w:val="3"/>
            <w:shd w:val="clear" w:color="auto" w:fill="auto"/>
          </w:tcPr>
          <w:p w14:paraId="5EA225A8" w14:textId="77777777" w:rsidR="003C66EB" w:rsidRDefault="003C66EB">
            <w:pPr>
              <w:rPr>
                <w:rFonts w:ascii="宋体"/>
                <w:vanish/>
              </w:rPr>
            </w:pPr>
          </w:p>
        </w:tc>
        <w:tc>
          <w:tcPr>
            <w:tcW w:w="0" w:type="auto"/>
            <w:gridSpan w:val="3"/>
            <w:shd w:val="clear" w:color="auto" w:fill="auto"/>
          </w:tcPr>
          <w:p w14:paraId="5EA225A9" w14:textId="77777777" w:rsidR="003C66EB" w:rsidRDefault="003C66EB">
            <w:pPr>
              <w:rPr>
                <w:rFonts w:ascii="宋体"/>
                <w:vanish/>
              </w:rPr>
            </w:pPr>
          </w:p>
        </w:tc>
        <w:tc>
          <w:tcPr>
            <w:tcW w:w="0" w:type="auto"/>
            <w:gridSpan w:val="3"/>
            <w:shd w:val="clear" w:color="auto" w:fill="auto"/>
          </w:tcPr>
          <w:p w14:paraId="5EA225AA" w14:textId="77777777" w:rsidR="003C66EB" w:rsidRDefault="003C66EB">
            <w:pPr>
              <w:rPr>
                <w:rFonts w:ascii="宋体"/>
                <w:vanish/>
              </w:rPr>
            </w:pPr>
          </w:p>
        </w:tc>
        <w:tc>
          <w:tcPr>
            <w:tcW w:w="0" w:type="auto"/>
            <w:gridSpan w:val="3"/>
            <w:shd w:val="clear" w:color="auto" w:fill="auto"/>
          </w:tcPr>
          <w:p w14:paraId="5EA225AB" w14:textId="77777777" w:rsidR="003C66EB" w:rsidRDefault="003C66EB">
            <w:pPr>
              <w:rPr>
                <w:rFonts w:ascii="宋体"/>
                <w:vanish/>
              </w:rPr>
            </w:pPr>
          </w:p>
        </w:tc>
        <w:tc>
          <w:tcPr>
            <w:tcW w:w="0" w:type="auto"/>
            <w:gridSpan w:val="3"/>
            <w:shd w:val="clear" w:color="auto" w:fill="auto"/>
          </w:tcPr>
          <w:p w14:paraId="5EA225AC" w14:textId="77777777" w:rsidR="003C66EB" w:rsidRDefault="003C66EB">
            <w:pPr>
              <w:rPr>
                <w:rFonts w:ascii="宋体"/>
                <w:vanish/>
              </w:rPr>
            </w:pPr>
          </w:p>
        </w:tc>
        <w:tc>
          <w:tcPr>
            <w:tcW w:w="0" w:type="auto"/>
            <w:gridSpan w:val="3"/>
            <w:shd w:val="clear" w:color="auto" w:fill="auto"/>
          </w:tcPr>
          <w:p w14:paraId="5EA225AD" w14:textId="77777777" w:rsidR="003C66EB" w:rsidRDefault="003C66EB">
            <w:pPr>
              <w:rPr>
                <w:rFonts w:ascii="宋体"/>
                <w:vanish/>
              </w:rPr>
            </w:pPr>
          </w:p>
        </w:tc>
        <w:tc>
          <w:tcPr>
            <w:tcW w:w="0" w:type="auto"/>
            <w:gridSpan w:val="3"/>
            <w:shd w:val="clear" w:color="auto" w:fill="auto"/>
          </w:tcPr>
          <w:p w14:paraId="5EA225AE" w14:textId="77777777" w:rsidR="003C66EB" w:rsidRDefault="003C66EB">
            <w:pPr>
              <w:rPr>
                <w:rFonts w:ascii="宋体"/>
                <w:vanish/>
              </w:rPr>
            </w:pPr>
          </w:p>
        </w:tc>
        <w:tc>
          <w:tcPr>
            <w:tcW w:w="0" w:type="auto"/>
            <w:gridSpan w:val="3"/>
            <w:shd w:val="clear" w:color="auto" w:fill="auto"/>
          </w:tcPr>
          <w:p w14:paraId="5EA225AF" w14:textId="77777777" w:rsidR="003C66EB" w:rsidRDefault="003C66EB">
            <w:pPr>
              <w:rPr>
                <w:rFonts w:ascii="宋体"/>
                <w:vanish/>
              </w:rPr>
            </w:pPr>
          </w:p>
        </w:tc>
        <w:tc>
          <w:tcPr>
            <w:tcW w:w="0" w:type="auto"/>
            <w:gridSpan w:val="3"/>
            <w:shd w:val="clear" w:color="auto" w:fill="auto"/>
          </w:tcPr>
          <w:p w14:paraId="5EA225B0" w14:textId="77777777" w:rsidR="003C66EB" w:rsidRDefault="003C66EB">
            <w:pPr>
              <w:rPr>
                <w:rFonts w:ascii="宋体"/>
                <w:vanish/>
              </w:rPr>
            </w:pPr>
          </w:p>
        </w:tc>
        <w:tc>
          <w:tcPr>
            <w:tcW w:w="0" w:type="auto"/>
            <w:gridSpan w:val="3"/>
            <w:shd w:val="clear" w:color="auto" w:fill="auto"/>
          </w:tcPr>
          <w:p w14:paraId="5EA225B1" w14:textId="77777777" w:rsidR="003C66EB" w:rsidRDefault="003C66EB">
            <w:pPr>
              <w:rPr>
                <w:rFonts w:ascii="宋体"/>
                <w:vanish/>
              </w:rPr>
            </w:pPr>
          </w:p>
        </w:tc>
        <w:tc>
          <w:tcPr>
            <w:tcW w:w="0" w:type="auto"/>
            <w:gridSpan w:val="3"/>
            <w:shd w:val="clear" w:color="auto" w:fill="auto"/>
          </w:tcPr>
          <w:p w14:paraId="5EA225B2" w14:textId="77777777" w:rsidR="003C66EB" w:rsidRDefault="003C66EB">
            <w:pPr>
              <w:rPr>
                <w:rFonts w:ascii="宋体"/>
                <w:vanish/>
              </w:rPr>
            </w:pPr>
          </w:p>
        </w:tc>
        <w:tc>
          <w:tcPr>
            <w:tcW w:w="0" w:type="auto"/>
            <w:gridSpan w:val="3"/>
            <w:shd w:val="clear" w:color="auto" w:fill="auto"/>
          </w:tcPr>
          <w:p w14:paraId="5EA225B3" w14:textId="77777777" w:rsidR="003C66EB" w:rsidRDefault="003C66EB">
            <w:pPr>
              <w:rPr>
                <w:rFonts w:ascii="宋体"/>
                <w:vanish/>
              </w:rPr>
            </w:pPr>
          </w:p>
        </w:tc>
      </w:tr>
    </w:tbl>
    <w:p w14:paraId="5EA225B5" w14:textId="77777777" w:rsidR="003C66EB" w:rsidRDefault="003C66E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868"/>
        <w:gridCol w:w="36"/>
        <w:gridCol w:w="69"/>
        <w:gridCol w:w="1564"/>
        <w:gridCol w:w="36"/>
        <w:gridCol w:w="69"/>
        <w:gridCol w:w="1564"/>
        <w:gridCol w:w="36"/>
        <w:gridCol w:w="70"/>
        <w:gridCol w:w="1567"/>
        <w:gridCol w:w="36"/>
      </w:tblGrid>
      <w:tr w:rsidR="003C66EB" w14:paraId="5EA225C5" w14:textId="77777777">
        <w:tc>
          <w:tcPr>
            <w:tcW w:w="50" w:type="pct"/>
            <w:shd w:val="clear" w:color="auto" w:fill="auto"/>
          </w:tcPr>
          <w:p w14:paraId="5EA225B6" w14:textId="77777777" w:rsidR="003C66EB" w:rsidRDefault="003C66EB">
            <w:pPr>
              <w:rPr>
                <w:rFonts w:ascii="宋体"/>
              </w:rPr>
            </w:pPr>
          </w:p>
        </w:tc>
        <w:tc>
          <w:tcPr>
            <w:tcW w:w="1350" w:type="pct"/>
            <w:shd w:val="clear" w:color="auto" w:fill="auto"/>
          </w:tcPr>
          <w:p w14:paraId="5EA225B7" w14:textId="77777777" w:rsidR="003C66EB" w:rsidRDefault="003C66EB">
            <w:pPr>
              <w:rPr>
                <w:rFonts w:ascii="宋体"/>
              </w:rPr>
            </w:pPr>
          </w:p>
        </w:tc>
        <w:tc>
          <w:tcPr>
            <w:tcW w:w="5" w:type="pct"/>
            <w:shd w:val="clear" w:color="auto" w:fill="auto"/>
          </w:tcPr>
          <w:p w14:paraId="5EA225B8" w14:textId="77777777" w:rsidR="003C66EB" w:rsidRDefault="003C66EB">
            <w:pPr>
              <w:rPr>
                <w:rFonts w:ascii="宋体"/>
              </w:rPr>
            </w:pPr>
          </w:p>
        </w:tc>
        <w:tc>
          <w:tcPr>
            <w:tcW w:w="50" w:type="pct"/>
            <w:shd w:val="clear" w:color="auto" w:fill="auto"/>
          </w:tcPr>
          <w:p w14:paraId="5EA225B9" w14:textId="77777777" w:rsidR="003C66EB" w:rsidRDefault="003C66EB">
            <w:pPr>
              <w:rPr>
                <w:rFonts w:ascii="宋体"/>
              </w:rPr>
            </w:pPr>
          </w:p>
        </w:tc>
        <w:tc>
          <w:tcPr>
            <w:tcW w:w="530" w:type="pct"/>
            <w:shd w:val="clear" w:color="auto" w:fill="auto"/>
          </w:tcPr>
          <w:p w14:paraId="5EA225BA" w14:textId="77777777" w:rsidR="003C66EB" w:rsidRDefault="003C66EB">
            <w:pPr>
              <w:rPr>
                <w:rFonts w:ascii="宋体"/>
              </w:rPr>
            </w:pPr>
          </w:p>
        </w:tc>
        <w:tc>
          <w:tcPr>
            <w:tcW w:w="5" w:type="pct"/>
            <w:shd w:val="clear" w:color="auto" w:fill="auto"/>
          </w:tcPr>
          <w:p w14:paraId="5EA225BB" w14:textId="77777777" w:rsidR="003C66EB" w:rsidRDefault="003C66EB">
            <w:pPr>
              <w:rPr>
                <w:rFonts w:ascii="宋体"/>
              </w:rPr>
            </w:pPr>
          </w:p>
        </w:tc>
        <w:tc>
          <w:tcPr>
            <w:tcW w:w="50" w:type="pct"/>
            <w:shd w:val="clear" w:color="auto" w:fill="auto"/>
          </w:tcPr>
          <w:p w14:paraId="5EA225BC" w14:textId="77777777" w:rsidR="003C66EB" w:rsidRDefault="003C66EB">
            <w:pPr>
              <w:rPr>
                <w:rFonts w:ascii="宋体"/>
              </w:rPr>
            </w:pPr>
          </w:p>
        </w:tc>
        <w:tc>
          <w:tcPr>
            <w:tcW w:w="947" w:type="pct"/>
            <w:shd w:val="clear" w:color="auto" w:fill="auto"/>
          </w:tcPr>
          <w:p w14:paraId="5EA225BD" w14:textId="77777777" w:rsidR="003C66EB" w:rsidRDefault="003C66EB">
            <w:pPr>
              <w:rPr>
                <w:rFonts w:ascii="宋体"/>
              </w:rPr>
            </w:pPr>
          </w:p>
        </w:tc>
        <w:tc>
          <w:tcPr>
            <w:tcW w:w="5" w:type="pct"/>
            <w:shd w:val="clear" w:color="auto" w:fill="auto"/>
          </w:tcPr>
          <w:p w14:paraId="5EA225BE" w14:textId="77777777" w:rsidR="003C66EB" w:rsidRDefault="003C66EB">
            <w:pPr>
              <w:rPr>
                <w:rFonts w:ascii="宋体"/>
              </w:rPr>
            </w:pPr>
          </w:p>
        </w:tc>
        <w:tc>
          <w:tcPr>
            <w:tcW w:w="50" w:type="pct"/>
            <w:shd w:val="clear" w:color="auto" w:fill="auto"/>
          </w:tcPr>
          <w:p w14:paraId="5EA225BF" w14:textId="77777777" w:rsidR="003C66EB" w:rsidRDefault="003C66EB">
            <w:pPr>
              <w:rPr>
                <w:rFonts w:ascii="宋体"/>
              </w:rPr>
            </w:pPr>
          </w:p>
        </w:tc>
        <w:tc>
          <w:tcPr>
            <w:tcW w:w="947" w:type="pct"/>
            <w:shd w:val="clear" w:color="auto" w:fill="auto"/>
          </w:tcPr>
          <w:p w14:paraId="5EA225C0" w14:textId="77777777" w:rsidR="003C66EB" w:rsidRDefault="003C66EB">
            <w:pPr>
              <w:rPr>
                <w:rFonts w:ascii="宋体"/>
              </w:rPr>
            </w:pPr>
          </w:p>
        </w:tc>
        <w:tc>
          <w:tcPr>
            <w:tcW w:w="5" w:type="pct"/>
            <w:shd w:val="clear" w:color="auto" w:fill="auto"/>
          </w:tcPr>
          <w:p w14:paraId="5EA225C1" w14:textId="77777777" w:rsidR="003C66EB" w:rsidRDefault="003C66EB">
            <w:pPr>
              <w:rPr>
                <w:rFonts w:ascii="宋体"/>
              </w:rPr>
            </w:pPr>
          </w:p>
        </w:tc>
        <w:tc>
          <w:tcPr>
            <w:tcW w:w="50" w:type="pct"/>
            <w:shd w:val="clear" w:color="auto" w:fill="auto"/>
          </w:tcPr>
          <w:p w14:paraId="5EA225C2" w14:textId="77777777" w:rsidR="003C66EB" w:rsidRDefault="003C66EB">
            <w:pPr>
              <w:rPr>
                <w:rFonts w:ascii="宋体"/>
              </w:rPr>
            </w:pPr>
          </w:p>
        </w:tc>
        <w:tc>
          <w:tcPr>
            <w:tcW w:w="948" w:type="pct"/>
            <w:shd w:val="clear" w:color="auto" w:fill="auto"/>
          </w:tcPr>
          <w:p w14:paraId="5EA225C3" w14:textId="77777777" w:rsidR="003C66EB" w:rsidRDefault="003C66EB">
            <w:pPr>
              <w:rPr>
                <w:rFonts w:ascii="宋体"/>
              </w:rPr>
            </w:pPr>
          </w:p>
        </w:tc>
        <w:tc>
          <w:tcPr>
            <w:tcW w:w="5" w:type="pct"/>
            <w:shd w:val="clear" w:color="auto" w:fill="auto"/>
          </w:tcPr>
          <w:p w14:paraId="5EA225C4" w14:textId="77777777" w:rsidR="003C66EB" w:rsidRDefault="003C66EB">
            <w:pPr>
              <w:rPr>
                <w:rFonts w:ascii="宋体"/>
              </w:rPr>
            </w:pPr>
          </w:p>
        </w:tc>
      </w:tr>
      <w:tr w:rsidR="003C66EB" w14:paraId="5EA225C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25C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5C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5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5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5CA" w14:textId="77777777" w:rsidR="003C66EB" w:rsidRDefault="003C66EB">
            <w:pPr>
              <w:rPr>
                <w:rFonts w:ascii="宋体"/>
              </w:rPr>
            </w:pPr>
          </w:p>
        </w:tc>
      </w:tr>
    </w:tbl>
    <w:p w14:paraId="5EA225CC" w14:textId="77777777" w:rsidR="003C66EB" w:rsidRDefault="00D96C4E">
      <w:pPr>
        <w:spacing w:before="9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the impact of transitioning to ASC 326: Measurement of Credit Losses on Financial Instruments, </w:t>
      </w:r>
      <w:r>
        <w:rPr>
          <w:rFonts w:ascii="Arial" w:eastAsia="宋体" w:hAnsi="Arial" w:cs="Arial"/>
          <w:color w:val="000000"/>
          <w:sz w:val="14"/>
          <w:szCs w:val="14"/>
        </w:rPr>
        <w:t>consisting of a decrease in retained earnings of $3 million in the first quarter of 2020.</w:t>
      </w:r>
    </w:p>
    <w:p w14:paraId="5EA225CD" w14:textId="77777777" w:rsidR="003C66EB" w:rsidRDefault="003C66EB">
      <w:pPr>
        <w:ind w:firstLine="450"/>
      </w:pPr>
    </w:p>
    <w:p w14:paraId="5EA225CE" w14:textId="77777777" w:rsidR="003C66EB" w:rsidRDefault="003C66EB">
      <w:pPr>
        <w:ind w:firstLine="450"/>
      </w:pPr>
    </w:p>
    <w:p w14:paraId="5EA225CF" w14:textId="77777777" w:rsidR="003C66EB" w:rsidRDefault="003C66EB">
      <w:pPr>
        <w:ind w:firstLine="450"/>
      </w:pPr>
    </w:p>
    <w:p w14:paraId="5EA225D0" w14:textId="77777777" w:rsidR="003C66EB" w:rsidRDefault="003C66EB">
      <w:pPr>
        <w:ind w:firstLine="450"/>
      </w:pPr>
    </w:p>
    <w:p w14:paraId="5EA225D1" w14:textId="77777777" w:rsidR="003C66EB" w:rsidRDefault="003C66EB">
      <w:pPr>
        <w:ind w:firstLine="450"/>
      </w:pPr>
    </w:p>
    <w:p w14:paraId="5EA225D2" w14:textId="77777777" w:rsidR="003C66EB" w:rsidRDefault="003C66EB">
      <w:pPr>
        <w:ind w:firstLine="450"/>
      </w:pPr>
    </w:p>
    <w:p w14:paraId="5EA225D3" w14:textId="77777777" w:rsidR="003C66EB" w:rsidRDefault="003C66EB">
      <w:pPr>
        <w:ind w:firstLine="450"/>
      </w:pPr>
    </w:p>
    <w:p w14:paraId="5EA225D4" w14:textId="77777777" w:rsidR="003C66EB" w:rsidRDefault="003C66EB">
      <w:pPr>
        <w:ind w:firstLine="450"/>
      </w:pPr>
    </w:p>
    <w:p w14:paraId="5EA225D5" w14:textId="77777777" w:rsidR="003C66EB" w:rsidRDefault="003C66EB">
      <w:pPr>
        <w:ind w:firstLine="450"/>
      </w:pPr>
    </w:p>
    <w:p w14:paraId="5EA225D6" w14:textId="77777777" w:rsidR="003C66EB" w:rsidRDefault="003C66EB">
      <w:pPr>
        <w:ind w:firstLine="450"/>
      </w:pPr>
    </w:p>
    <w:p w14:paraId="5EA225D7" w14:textId="77777777" w:rsidR="003C66EB" w:rsidRDefault="003C66EB">
      <w:pPr>
        <w:ind w:firstLine="450"/>
      </w:pPr>
    </w:p>
    <w:p w14:paraId="5EA225D8" w14:textId="77777777" w:rsidR="003C66EB" w:rsidRDefault="003C66EB">
      <w:pPr>
        <w:ind w:firstLine="450"/>
      </w:pPr>
    </w:p>
    <w:p w14:paraId="5EA225D9" w14:textId="77777777" w:rsidR="003C66EB" w:rsidRDefault="003C66EB">
      <w:pPr>
        <w:ind w:firstLine="450"/>
      </w:pPr>
    </w:p>
    <w:p w14:paraId="5EA225DA" w14:textId="77777777" w:rsidR="003C66EB" w:rsidRDefault="003C66EB">
      <w:pPr>
        <w:ind w:firstLine="450"/>
      </w:pPr>
    </w:p>
    <w:p w14:paraId="5EA225DB" w14:textId="77777777" w:rsidR="003C66EB" w:rsidRDefault="003C66EB">
      <w:pPr>
        <w:ind w:firstLine="450"/>
      </w:pPr>
    </w:p>
    <w:p w14:paraId="5EA225DC" w14:textId="77777777" w:rsidR="003C66EB" w:rsidRDefault="003C66EB">
      <w:pPr>
        <w:ind w:firstLine="450"/>
      </w:pPr>
    </w:p>
    <w:p w14:paraId="5EA225DD" w14:textId="77777777" w:rsidR="003C66EB" w:rsidRDefault="003C66EB">
      <w:pPr>
        <w:ind w:firstLine="450"/>
      </w:pPr>
    </w:p>
    <w:p w14:paraId="5EA225DE" w14:textId="77777777" w:rsidR="003C66EB" w:rsidRDefault="003C66EB">
      <w:pPr>
        <w:ind w:firstLine="450"/>
      </w:pPr>
    </w:p>
    <w:p w14:paraId="5EA225DF" w14:textId="77777777" w:rsidR="003C66EB" w:rsidRDefault="003C66EB">
      <w:pPr>
        <w:ind w:firstLine="450"/>
      </w:pPr>
    </w:p>
    <w:p w14:paraId="5EA225E0" w14:textId="77777777" w:rsidR="003C66EB" w:rsidRDefault="003C66EB">
      <w:pPr>
        <w:ind w:firstLine="450"/>
      </w:pPr>
    </w:p>
    <w:p w14:paraId="5EA225E1" w14:textId="77777777" w:rsidR="003C66EB" w:rsidRDefault="003C66EB">
      <w:pPr>
        <w:ind w:firstLine="450"/>
      </w:pPr>
    </w:p>
    <w:p w14:paraId="5EA225E2" w14:textId="77777777" w:rsidR="003C66EB" w:rsidRDefault="003C66EB">
      <w:pPr>
        <w:ind w:firstLine="450"/>
      </w:pPr>
    </w:p>
    <w:p w14:paraId="5EA225E3" w14:textId="77777777" w:rsidR="003C66EB" w:rsidRDefault="003C66EB">
      <w:pPr>
        <w:ind w:firstLine="450"/>
      </w:pPr>
    </w:p>
    <w:p w14:paraId="5EA225E4" w14:textId="77777777" w:rsidR="003C66EB" w:rsidRDefault="00D96C4E">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A225E5" w14:textId="77777777" w:rsidR="003C66EB" w:rsidRDefault="00D96C4E">
      <w:pPr>
        <w:ind w:firstLine="450"/>
        <w:jc w:val="right"/>
      </w:pPr>
      <w:r>
        <w:rPr>
          <w:rFonts w:ascii="Arial" w:eastAsia="宋体" w:hAnsi="Arial" w:cs="Arial"/>
          <w:color w:val="000000"/>
          <w:sz w:val="18"/>
          <w:szCs w:val="18"/>
        </w:rPr>
        <w:t>State Street Corporation | 51</w:t>
      </w:r>
    </w:p>
    <w:p w14:paraId="5EA225E6" w14:textId="77777777" w:rsidR="003C66EB" w:rsidRDefault="003C66EB">
      <w:pPr>
        <w:ind w:firstLine="450"/>
        <w:jc w:val="center"/>
      </w:pPr>
    </w:p>
    <w:p w14:paraId="5EA225E7" w14:textId="77777777" w:rsidR="003C66EB" w:rsidRDefault="00D96C4E">
      <w:r>
        <w:pict w14:anchorId="5EA287E3">
          <v:rect id="_x0000_i1075" style="width:415.3pt;height:1.5pt" o:hralign="center" o:hrstd="t" o:hr="t" fillcolor="#a0a0a0" stroked="f"/>
        </w:pict>
      </w:r>
    </w:p>
    <w:p w14:paraId="5EA225E8" w14:textId="77777777" w:rsidR="003C66EB" w:rsidRDefault="003C66EB">
      <w:pPr>
        <w:ind w:firstLine="450"/>
      </w:pPr>
    </w:p>
    <w:p w14:paraId="5EA225E9" w14:textId="77777777" w:rsidR="003C66EB" w:rsidRDefault="00D96C4E">
      <w:pPr>
        <w:ind w:firstLine="450"/>
        <w:jc w:val="center"/>
      </w:pPr>
      <w:r>
        <w:rPr>
          <w:rFonts w:ascii="Arial" w:eastAsia="宋体" w:hAnsi="Arial" w:cs="Arial"/>
          <w:b/>
          <w:bCs/>
          <w:color w:val="000000"/>
          <w:sz w:val="20"/>
          <w:szCs w:val="20"/>
        </w:rPr>
        <w:t>STATE STREET CORPORATION</w:t>
      </w:r>
    </w:p>
    <w:p w14:paraId="5EA225EA" w14:textId="77777777" w:rsidR="003C66EB" w:rsidRDefault="00D96C4E">
      <w:pPr>
        <w:ind w:firstLine="450"/>
        <w:jc w:val="center"/>
      </w:pPr>
      <w:r>
        <w:rPr>
          <w:rFonts w:ascii="Arial" w:eastAsia="宋体" w:hAnsi="Arial" w:cs="Arial"/>
          <w:b/>
          <w:bCs/>
          <w:color w:val="000000"/>
          <w:sz w:val="20"/>
          <w:szCs w:val="20"/>
        </w:rPr>
        <w:t xml:space="preserve">CONSOLIDATED STATEMENT OF CASH FLOWS </w:t>
      </w:r>
    </w:p>
    <w:p w14:paraId="5EA225EB"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3"/>
        <w:gridCol w:w="5738"/>
        <w:gridCol w:w="40"/>
        <w:gridCol w:w="105"/>
        <w:gridCol w:w="976"/>
        <w:gridCol w:w="36"/>
        <w:gridCol w:w="36"/>
        <w:gridCol w:w="36"/>
        <w:gridCol w:w="36"/>
        <w:gridCol w:w="106"/>
        <w:gridCol w:w="932"/>
        <w:gridCol w:w="36"/>
        <w:gridCol w:w="36"/>
        <w:gridCol w:w="36"/>
        <w:gridCol w:w="36"/>
        <w:gridCol w:w="36"/>
        <w:gridCol w:w="36"/>
        <w:gridCol w:w="36"/>
      </w:tblGrid>
      <w:tr w:rsidR="003C66EB" w14:paraId="5EA225FA" w14:textId="77777777">
        <w:tc>
          <w:tcPr>
            <w:tcW w:w="50" w:type="pct"/>
            <w:shd w:val="clear" w:color="auto" w:fill="auto"/>
          </w:tcPr>
          <w:p w14:paraId="5EA225EC" w14:textId="77777777" w:rsidR="003C66EB" w:rsidRDefault="003C66EB">
            <w:pPr>
              <w:rPr>
                <w:rFonts w:ascii="宋体"/>
              </w:rPr>
            </w:pPr>
          </w:p>
        </w:tc>
        <w:tc>
          <w:tcPr>
            <w:tcW w:w="3556" w:type="pct"/>
            <w:shd w:val="clear" w:color="auto" w:fill="auto"/>
          </w:tcPr>
          <w:p w14:paraId="5EA225ED" w14:textId="77777777" w:rsidR="003C66EB" w:rsidRDefault="003C66EB">
            <w:pPr>
              <w:rPr>
                <w:rFonts w:ascii="宋体"/>
              </w:rPr>
            </w:pPr>
          </w:p>
        </w:tc>
        <w:tc>
          <w:tcPr>
            <w:tcW w:w="5" w:type="pct"/>
            <w:shd w:val="clear" w:color="auto" w:fill="auto"/>
          </w:tcPr>
          <w:p w14:paraId="5EA225EE" w14:textId="77777777" w:rsidR="003C66EB" w:rsidRDefault="003C66EB">
            <w:pPr>
              <w:rPr>
                <w:rFonts w:ascii="宋体"/>
              </w:rPr>
            </w:pPr>
          </w:p>
        </w:tc>
        <w:tc>
          <w:tcPr>
            <w:tcW w:w="50" w:type="pct"/>
            <w:shd w:val="clear" w:color="auto" w:fill="auto"/>
          </w:tcPr>
          <w:p w14:paraId="5EA225EF" w14:textId="77777777" w:rsidR="003C66EB" w:rsidRDefault="003C66EB">
            <w:pPr>
              <w:rPr>
                <w:rFonts w:ascii="宋体"/>
              </w:rPr>
            </w:pPr>
          </w:p>
        </w:tc>
        <w:tc>
          <w:tcPr>
            <w:tcW w:w="624" w:type="pct"/>
            <w:shd w:val="clear" w:color="auto" w:fill="auto"/>
          </w:tcPr>
          <w:p w14:paraId="5EA225F0" w14:textId="77777777" w:rsidR="003C66EB" w:rsidRDefault="003C66EB">
            <w:pPr>
              <w:rPr>
                <w:rFonts w:ascii="宋体"/>
              </w:rPr>
            </w:pPr>
          </w:p>
        </w:tc>
        <w:tc>
          <w:tcPr>
            <w:tcW w:w="5" w:type="pct"/>
            <w:shd w:val="clear" w:color="auto" w:fill="auto"/>
          </w:tcPr>
          <w:p w14:paraId="5EA225F1" w14:textId="77777777" w:rsidR="003C66EB" w:rsidRDefault="003C66EB">
            <w:pPr>
              <w:rPr>
                <w:rFonts w:ascii="宋体"/>
              </w:rPr>
            </w:pPr>
          </w:p>
        </w:tc>
        <w:tc>
          <w:tcPr>
            <w:tcW w:w="5" w:type="pct"/>
            <w:shd w:val="clear" w:color="auto" w:fill="auto"/>
          </w:tcPr>
          <w:p w14:paraId="5EA225F2" w14:textId="77777777" w:rsidR="003C66EB" w:rsidRDefault="003C66EB">
            <w:pPr>
              <w:rPr>
                <w:rFonts w:ascii="宋体"/>
              </w:rPr>
            </w:pPr>
          </w:p>
        </w:tc>
        <w:tc>
          <w:tcPr>
            <w:tcW w:w="26" w:type="pct"/>
            <w:shd w:val="clear" w:color="auto" w:fill="auto"/>
          </w:tcPr>
          <w:p w14:paraId="5EA225F3" w14:textId="77777777" w:rsidR="003C66EB" w:rsidRDefault="003C66EB">
            <w:pPr>
              <w:rPr>
                <w:rFonts w:ascii="宋体"/>
              </w:rPr>
            </w:pPr>
          </w:p>
        </w:tc>
        <w:tc>
          <w:tcPr>
            <w:tcW w:w="5" w:type="pct"/>
            <w:shd w:val="clear" w:color="auto" w:fill="auto"/>
          </w:tcPr>
          <w:p w14:paraId="5EA225F4" w14:textId="77777777" w:rsidR="003C66EB" w:rsidRDefault="003C66EB">
            <w:pPr>
              <w:rPr>
                <w:rFonts w:ascii="宋体"/>
              </w:rPr>
            </w:pPr>
          </w:p>
        </w:tc>
        <w:tc>
          <w:tcPr>
            <w:tcW w:w="50" w:type="pct"/>
            <w:shd w:val="clear" w:color="auto" w:fill="auto"/>
          </w:tcPr>
          <w:p w14:paraId="5EA225F5" w14:textId="77777777" w:rsidR="003C66EB" w:rsidRDefault="003C66EB">
            <w:pPr>
              <w:rPr>
                <w:rFonts w:ascii="宋体"/>
              </w:rPr>
            </w:pPr>
          </w:p>
        </w:tc>
        <w:tc>
          <w:tcPr>
            <w:tcW w:w="617" w:type="pct"/>
            <w:shd w:val="clear" w:color="auto" w:fill="auto"/>
          </w:tcPr>
          <w:p w14:paraId="5EA225F6" w14:textId="77777777" w:rsidR="003C66EB" w:rsidRDefault="003C66EB">
            <w:pPr>
              <w:rPr>
                <w:rFonts w:ascii="宋体"/>
              </w:rPr>
            </w:pPr>
          </w:p>
        </w:tc>
        <w:tc>
          <w:tcPr>
            <w:tcW w:w="5" w:type="pct"/>
            <w:shd w:val="clear" w:color="auto" w:fill="auto"/>
          </w:tcPr>
          <w:p w14:paraId="5EA225F7" w14:textId="77777777" w:rsidR="003C66EB" w:rsidRDefault="003C66EB">
            <w:pPr>
              <w:rPr>
                <w:rFonts w:ascii="宋体"/>
              </w:rPr>
            </w:pPr>
          </w:p>
        </w:tc>
        <w:tc>
          <w:tcPr>
            <w:tcW w:w="0" w:type="auto"/>
            <w:gridSpan w:val="3"/>
            <w:shd w:val="clear" w:color="auto" w:fill="auto"/>
          </w:tcPr>
          <w:p w14:paraId="5EA225F8" w14:textId="77777777" w:rsidR="003C66EB" w:rsidRDefault="003C66EB">
            <w:pPr>
              <w:rPr>
                <w:rFonts w:ascii="宋体"/>
                <w:vanish/>
              </w:rPr>
            </w:pPr>
          </w:p>
        </w:tc>
        <w:tc>
          <w:tcPr>
            <w:tcW w:w="0" w:type="auto"/>
            <w:gridSpan w:val="3"/>
            <w:shd w:val="clear" w:color="auto" w:fill="auto"/>
          </w:tcPr>
          <w:p w14:paraId="5EA225F9" w14:textId="77777777" w:rsidR="003C66EB" w:rsidRDefault="003C66EB">
            <w:pPr>
              <w:rPr>
                <w:rFonts w:ascii="宋体"/>
                <w:vanish/>
              </w:rPr>
            </w:pPr>
          </w:p>
        </w:tc>
      </w:tr>
      <w:tr w:rsidR="003C66EB" w14:paraId="5EA22603" w14:textId="77777777">
        <w:tc>
          <w:tcPr>
            <w:tcW w:w="0" w:type="auto"/>
            <w:gridSpan w:val="3"/>
            <w:shd w:val="clear" w:color="auto" w:fill="auto"/>
            <w:tcMar>
              <w:top w:w="0" w:type="dxa"/>
              <w:left w:w="20" w:type="dxa"/>
              <w:bottom w:w="0" w:type="dxa"/>
              <w:right w:w="20" w:type="dxa"/>
            </w:tcMar>
          </w:tcPr>
          <w:p w14:paraId="5EA225FB"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25FC" w14:textId="77777777" w:rsidR="003C66EB" w:rsidRDefault="00D96C4E">
            <w:pPr>
              <w:jc w:val="center"/>
              <w:textAlignment w:val="bottom"/>
            </w:pPr>
            <w:r>
              <w:rPr>
                <w:rFonts w:ascii="Arial" w:eastAsia="宋体" w:hAnsi="Arial" w:cs="Arial"/>
                <w:b/>
                <w:bCs/>
                <w:color w:val="000000"/>
                <w:sz w:val="15"/>
                <w:szCs w:val="15"/>
              </w:rPr>
              <w:t>Three Months Ended March 31,</w:t>
            </w:r>
          </w:p>
        </w:tc>
        <w:tc>
          <w:tcPr>
            <w:tcW w:w="0" w:type="auto"/>
            <w:shd w:val="clear" w:color="auto" w:fill="auto"/>
          </w:tcPr>
          <w:p w14:paraId="5EA225FD" w14:textId="77777777" w:rsidR="003C66EB" w:rsidRDefault="003C66EB">
            <w:pPr>
              <w:rPr>
                <w:rFonts w:ascii="宋体"/>
              </w:rPr>
            </w:pPr>
          </w:p>
        </w:tc>
        <w:tc>
          <w:tcPr>
            <w:tcW w:w="0" w:type="auto"/>
            <w:shd w:val="clear" w:color="auto" w:fill="auto"/>
          </w:tcPr>
          <w:p w14:paraId="5EA225FE" w14:textId="77777777" w:rsidR="003C66EB" w:rsidRDefault="003C66EB">
            <w:pPr>
              <w:rPr>
                <w:rFonts w:ascii="宋体"/>
              </w:rPr>
            </w:pPr>
          </w:p>
        </w:tc>
        <w:tc>
          <w:tcPr>
            <w:tcW w:w="0" w:type="auto"/>
            <w:shd w:val="clear" w:color="auto" w:fill="auto"/>
          </w:tcPr>
          <w:p w14:paraId="5EA225FF" w14:textId="77777777" w:rsidR="003C66EB" w:rsidRDefault="003C66EB">
            <w:pPr>
              <w:rPr>
                <w:rFonts w:ascii="宋体"/>
              </w:rPr>
            </w:pPr>
          </w:p>
        </w:tc>
        <w:tc>
          <w:tcPr>
            <w:tcW w:w="0" w:type="auto"/>
            <w:shd w:val="clear" w:color="auto" w:fill="auto"/>
          </w:tcPr>
          <w:p w14:paraId="5EA22600" w14:textId="77777777" w:rsidR="003C66EB" w:rsidRDefault="003C66EB">
            <w:pPr>
              <w:rPr>
                <w:rFonts w:ascii="宋体"/>
              </w:rPr>
            </w:pPr>
          </w:p>
        </w:tc>
        <w:tc>
          <w:tcPr>
            <w:tcW w:w="0" w:type="auto"/>
            <w:shd w:val="clear" w:color="auto" w:fill="auto"/>
          </w:tcPr>
          <w:p w14:paraId="5EA22601" w14:textId="77777777" w:rsidR="003C66EB" w:rsidRDefault="003C66EB">
            <w:pPr>
              <w:rPr>
                <w:rFonts w:ascii="宋体"/>
              </w:rPr>
            </w:pPr>
          </w:p>
        </w:tc>
        <w:tc>
          <w:tcPr>
            <w:tcW w:w="0" w:type="auto"/>
            <w:shd w:val="clear" w:color="auto" w:fill="auto"/>
          </w:tcPr>
          <w:p w14:paraId="5EA22602" w14:textId="77777777" w:rsidR="003C66EB" w:rsidRDefault="003C66EB">
            <w:pPr>
              <w:rPr>
                <w:rFonts w:ascii="宋体"/>
              </w:rPr>
            </w:pPr>
          </w:p>
        </w:tc>
      </w:tr>
      <w:tr w:rsidR="003C66EB" w14:paraId="5EA2260A" w14:textId="77777777">
        <w:tc>
          <w:tcPr>
            <w:tcW w:w="0" w:type="auto"/>
            <w:gridSpan w:val="3"/>
            <w:shd w:val="clear" w:color="auto" w:fill="auto"/>
            <w:tcMar>
              <w:top w:w="40" w:type="dxa"/>
              <w:left w:w="20" w:type="dxa"/>
              <w:bottom w:w="40" w:type="dxa"/>
              <w:right w:w="20" w:type="dxa"/>
            </w:tcMar>
            <w:vAlign w:val="bottom"/>
          </w:tcPr>
          <w:p w14:paraId="5EA22604"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605" w14:textId="77777777" w:rsidR="003C66EB" w:rsidRDefault="00D96C4E">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260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607" w14:textId="77777777" w:rsidR="003C66EB" w:rsidRDefault="00D96C4E">
            <w:pPr>
              <w:jc w:val="center"/>
              <w:textAlignment w:val="bottom"/>
            </w:pPr>
            <w:r>
              <w:rPr>
                <w:rFonts w:ascii="Arial" w:eastAsia="宋体" w:hAnsi="Arial" w:cs="Arial"/>
                <w:b/>
                <w:bCs/>
                <w:color w:val="000000"/>
                <w:sz w:val="15"/>
                <w:szCs w:val="15"/>
              </w:rPr>
              <w:t>2020</w:t>
            </w:r>
          </w:p>
        </w:tc>
        <w:tc>
          <w:tcPr>
            <w:tcW w:w="0" w:type="auto"/>
            <w:gridSpan w:val="3"/>
            <w:shd w:val="clear" w:color="auto" w:fill="auto"/>
          </w:tcPr>
          <w:p w14:paraId="5EA22608" w14:textId="77777777" w:rsidR="003C66EB" w:rsidRDefault="003C66EB">
            <w:pPr>
              <w:rPr>
                <w:rFonts w:ascii="宋体"/>
                <w:vanish/>
              </w:rPr>
            </w:pPr>
          </w:p>
        </w:tc>
        <w:tc>
          <w:tcPr>
            <w:tcW w:w="0" w:type="auto"/>
            <w:gridSpan w:val="3"/>
            <w:shd w:val="clear" w:color="auto" w:fill="auto"/>
          </w:tcPr>
          <w:p w14:paraId="5EA22609" w14:textId="77777777" w:rsidR="003C66EB" w:rsidRDefault="003C66EB">
            <w:pPr>
              <w:rPr>
                <w:rFonts w:ascii="宋体"/>
                <w:vanish/>
              </w:rPr>
            </w:pPr>
          </w:p>
        </w:tc>
      </w:tr>
      <w:tr w:rsidR="003C66EB" w14:paraId="5EA22611" w14:textId="77777777">
        <w:tc>
          <w:tcPr>
            <w:tcW w:w="0" w:type="auto"/>
            <w:gridSpan w:val="3"/>
            <w:shd w:val="clear" w:color="auto" w:fill="auto"/>
            <w:tcMar>
              <w:top w:w="40" w:type="dxa"/>
              <w:left w:w="20" w:type="dxa"/>
              <w:bottom w:w="40" w:type="dxa"/>
              <w:right w:w="20" w:type="dxa"/>
            </w:tcMar>
            <w:vAlign w:val="bottom"/>
          </w:tcPr>
          <w:p w14:paraId="5EA2260B" w14:textId="77777777" w:rsidR="003C66EB" w:rsidRDefault="00D96C4E">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tcPr>
          <w:p w14:paraId="5EA226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60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60E" w14:textId="77777777" w:rsidR="003C66EB" w:rsidRDefault="003C66EB">
            <w:pPr>
              <w:rPr>
                <w:rFonts w:ascii="宋体"/>
              </w:rPr>
            </w:pPr>
          </w:p>
        </w:tc>
        <w:tc>
          <w:tcPr>
            <w:tcW w:w="0" w:type="auto"/>
            <w:gridSpan w:val="3"/>
            <w:shd w:val="clear" w:color="auto" w:fill="auto"/>
          </w:tcPr>
          <w:p w14:paraId="5EA2260F" w14:textId="77777777" w:rsidR="003C66EB" w:rsidRDefault="003C66EB">
            <w:pPr>
              <w:rPr>
                <w:rFonts w:ascii="宋体"/>
                <w:vanish/>
              </w:rPr>
            </w:pPr>
          </w:p>
        </w:tc>
        <w:tc>
          <w:tcPr>
            <w:tcW w:w="0" w:type="auto"/>
            <w:gridSpan w:val="3"/>
            <w:shd w:val="clear" w:color="auto" w:fill="auto"/>
          </w:tcPr>
          <w:p w14:paraId="5EA22610" w14:textId="77777777" w:rsidR="003C66EB" w:rsidRDefault="003C66EB">
            <w:pPr>
              <w:rPr>
                <w:rFonts w:ascii="宋体"/>
                <w:vanish/>
              </w:rPr>
            </w:pPr>
          </w:p>
        </w:tc>
      </w:tr>
      <w:tr w:rsidR="003C66EB" w14:paraId="5EA2261C" w14:textId="77777777">
        <w:tc>
          <w:tcPr>
            <w:tcW w:w="0" w:type="auto"/>
            <w:gridSpan w:val="3"/>
            <w:shd w:val="clear" w:color="auto" w:fill="CCEEFF"/>
            <w:tcMar>
              <w:top w:w="40" w:type="dxa"/>
              <w:left w:w="20" w:type="dxa"/>
              <w:bottom w:w="40" w:type="dxa"/>
              <w:right w:w="20" w:type="dxa"/>
            </w:tcMar>
            <w:vAlign w:val="bottom"/>
          </w:tcPr>
          <w:p w14:paraId="5EA22612" w14:textId="77777777" w:rsidR="003C66EB" w:rsidRDefault="00D96C4E">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5EA22613"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614" w14:textId="77777777" w:rsidR="003C66EB" w:rsidRDefault="00D96C4E">
            <w:pPr>
              <w:jc w:val="right"/>
              <w:textAlignment w:val="bottom"/>
            </w:pPr>
            <w:r>
              <w:rPr>
                <w:rFonts w:ascii="Arial" w:eastAsia="宋体" w:hAnsi="Arial" w:cs="Arial"/>
                <w:b/>
                <w:bCs/>
                <w:color w:val="000000"/>
                <w:sz w:val="15"/>
                <w:szCs w:val="15"/>
              </w:rPr>
              <w:t>519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61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1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617"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2618" w14:textId="77777777" w:rsidR="003C66EB" w:rsidRDefault="00D96C4E">
            <w:pPr>
              <w:jc w:val="right"/>
              <w:textAlignment w:val="bottom"/>
            </w:pPr>
            <w:r>
              <w:rPr>
                <w:rFonts w:ascii="Arial" w:eastAsia="宋体" w:hAnsi="Arial" w:cs="Arial"/>
                <w:color w:val="000000"/>
                <w:sz w:val="15"/>
                <w:szCs w:val="15"/>
              </w:rPr>
              <w:t>634 </w:t>
            </w:r>
          </w:p>
        </w:tc>
        <w:tc>
          <w:tcPr>
            <w:tcW w:w="0" w:type="auto"/>
            <w:shd w:val="clear" w:color="auto" w:fill="CCEEFF"/>
            <w:tcMar>
              <w:top w:w="40" w:type="dxa"/>
              <w:left w:w="0" w:type="dxa"/>
              <w:bottom w:w="40" w:type="dxa"/>
              <w:right w:w="20" w:type="dxa"/>
            </w:tcMar>
            <w:vAlign w:val="bottom"/>
          </w:tcPr>
          <w:p w14:paraId="5EA22619" w14:textId="77777777" w:rsidR="003C66EB" w:rsidRDefault="003C66EB">
            <w:pPr>
              <w:jc w:val="right"/>
              <w:rPr>
                <w:rFonts w:ascii="宋体"/>
              </w:rPr>
            </w:pPr>
          </w:p>
        </w:tc>
        <w:tc>
          <w:tcPr>
            <w:tcW w:w="0" w:type="auto"/>
            <w:gridSpan w:val="3"/>
            <w:shd w:val="clear" w:color="auto" w:fill="auto"/>
          </w:tcPr>
          <w:p w14:paraId="5EA2261A" w14:textId="77777777" w:rsidR="003C66EB" w:rsidRDefault="003C66EB">
            <w:pPr>
              <w:rPr>
                <w:rFonts w:ascii="宋体"/>
                <w:vanish/>
              </w:rPr>
            </w:pPr>
          </w:p>
        </w:tc>
        <w:tc>
          <w:tcPr>
            <w:tcW w:w="0" w:type="auto"/>
            <w:gridSpan w:val="3"/>
            <w:shd w:val="clear" w:color="auto" w:fill="auto"/>
          </w:tcPr>
          <w:p w14:paraId="5EA2261B" w14:textId="77777777" w:rsidR="003C66EB" w:rsidRDefault="003C66EB">
            <w:pPr>
              <w:rPr>
                <w:rFonts w:ascii="宋体"/>
                <w:vanish/>
              </w:rPr>
            </w:pPr>
          </w:p>
        </w:tc>
      </w:tr>
      <w:tr w:rsidR="003C66EB" w14:paraId="5EA22623" w14:textId="77777777">
        <w:tc>
          <w:tcPr>
            <w:tcW w:w="0" w:type="auto"/>
            <w:gridSpan w:val="3"/>
            <w:shd w:val="clear" w:color="auto" w:fill="FFFFFF"/>
            <w:tcMar>
              <w:top w:w="40" w:type="dxa"/>
              <w:left w:w="20" w:type="dxa"/>
              <w:bottom w:w="40" w:type="dxa"/>
              <w:right w:w="20" w:type="dxa"/>
            </w:tcMar>
            <w:vAlign w:val="bottom"/>
          </w:tcPr>
          <w:p w14:paraId="5EA2261D" w14:textId="77777777" w:rsidR="003C66EB" w:rsidRDefault="00D96C4E">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top w:w="0" w:type="dxa"/>
              <w:left w:w="20" w:type="dxa"/>
              <w:bottom w:w="0" w:type="dxa"/>
              <w:right w:w="20" w:type="dxa"/>
            </w:tcMar>
          </w:tcPr>
          <w:p w14:paraId="5EA2261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61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620" w14:textId="77777777" w:rsidR="003C66EB" w:rsidRDefault="003C66EB">
            <w:pPr>
              <w:rPr>
                <w:rFonts w:ascii="宋体"/>
              </w:rPr>
            </w:pPr>
          </w:p>
        </w:tc>
        <w:tc>
          <w:tcPr>
            <w:tcW w:w="0" w:type="auto"/>
            <w:gridSpan w:val="3"/>
            <w:shd w:val="clear" w:color="auto" w:fill="auto"/>
          </w:tcPr>
          <w:p w14:paraId="5EA22621" w14:textId="77777777" w:rsidR="003C66EB" w:rsidRDefault="003C66EB">
            <w:pPr>
              <w:rPr>
                <w:rFonts w:ascii="宋体"/>
                <w:vanish/>
              </w:rPr>
            </w:pPr>
          </w:p>
        </w:tc>
        <w:tc>
          <w:tcPr>
            <w:tcW w:w="0" w:type="auto"/>
            <w:gridSpan w:val="3"/>
            <w:shd w:val="clear" w:color="auto" w:fill="auto"/>
          </w:tcPr>
          <w:p w14:paraId="5EA22622" w14:textId="77777777" w:rsidR="003C66EB" w:rsidRDefault="003C66EB">
            <w:pPr>
              <w:rPr>
                <w:rFonts w:ascii="宋体"/>
                <w:vanish/>
              </w:rPr>
            </w:pPr>
          </w:p>
        </w:tc>
      </w:tr>
      <w:tr w:rsidR="003C66EB" w14:paraId="5EA2262C" w14:textId="77777777">
        <w:tc>
          <w:tcPr>
            <w:tcW w:w="0" w:type="auto"/>
            <w:gridSpan w:val="3"/>
            <w:shd w:val="clear" w:color="auto" w:fill="CCEEFF"/>
            <w:tcMar>
              <w:top w:w="40" w:type="dxa"/>
              <w:left w:w="20" w:type="dxa"/>
              <w:bottom w:w="40" w:type="dxa"/>
              <w:right w:w="20" w:type="dxa"/>
            </w:tcMar>
            <w:vAlign w:val="bottom"/>
          </w:tcPr>
          <w:p w14:paraId="5EA22624" w14:textId="77777777" w:rsidR="003C66EB" w:rsidRDefault="00D96C4E">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5EA22625" w14:textId="77777777" w:rsidR="003C66EB" w:rsidRDefault="00D96C4E">
            <w:pPr>
              <w:jc w:val="right"/>
              <w:textAlignment w:val="bottom"/>
            </w:pPr>
            <w:r>
              <w:rPr>
                <w:rFonts w:ascii="Arial" w:eastAsia="宋体" w:hAnsi="Arial" w:cs="Arial"/>
                <w:b/>
                <w:bCs/>
                <w:color w:val="000000"/>
                <w:sz w:val="15"/>
                <w:szCs w:val="15"/>
              </w:rPr>
              <w:t>(26)</w:t>
            </w:r>
          </w:p>
        </w:tc>
        <w:tc>
          <w:tcPr>
            <w:tcW w:w="0" w:type="auto"/>
            <w:shd w:val="clear" w:color="auto" w:fill="CCEEFF"/>
            <w:tcMar>
              <w:top w:w="40" w:type="dxa"/>
              <w:left w:w="0" w:type="dxa"/>
              <w:bottom w:w="40" w:type="dxa"/>
              <w:right w:w="20" w:type="dxa"/>
            </w:tcMar>
            <w:vAlign w:val="bottom"/>
          </w:tcPr>
          <w:p w14:paraId="5EA226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2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28" w14:textId="77777777" w:rsidR="003C66EB" w:rsidRDefault="00D96C4E">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5EA22629" w14:textId="77777777" w:rsidR="003C66EB" w:rsidRDefault="003C66EB">
            <w:pPr>
              <w:jc w:val="right"/>
              <w:rPr>
                <w:rFonts w:ascii="宋体"/>
              </w:rPr>
            </w:pPr>
          </w:p>
        </w:tc>
        <w:tc>
          <w:tcPr>
            <w:tcW w:w="0" w:type="auto"/>
            <w:gridSpan w:val="3"/>
            <w:shd w:val="clear" w:color="auto" w:fill="auto"/>
          </w:tcPr>
          <w:p w14:paraId="5EA2262A" w14:textId="77777777" w:rsidR="003C66EB" w:rsidRDefault="003C66EB">
            <w:pPr>
              <w:rPr>
                <w:rFonts w:ascii="宋体"/>
                <w:vanish/>
              </w:rPr>
            </w:pPr>
          </w:p>
        </w:tc>
        <w:tc>
          <w:tcPr>
            <w:tcW w:w="0" w:type="auto"/>
            <w:gridSpan w:val="3"/>
            <w:shd w:val="clear" w:color="auto" w:fill="auto"/>
          </w:tcPr>
          <w:p w14:paraId="5EA2262B" w14:textId="77777777" w:rsidR="003C66EB" w:rsidRDefault="003C66EB">
            <w:pPr>
              <w:rPr>
                <w:rFonts w:ascii="宋体"/>
                <w:vanish/>
              </w:rPr>
            </w:pPr>
          </w:p>
        </w:tc>
      </w:tr>
      <w:tr w:rsidR="003C66EB" w14:paraId="5EA22635" w14:textId="77777777">
        <w:tc>
          <w:tcPr>
            <w:tcW w:w="0" w:type="auto"/>
            <w:gridSpan w:val="3"/>
            <w:shd w:val="clear" w:color="auto" w:fill="FFFFFF"/>
            <w:tcMar>
              <w:top w:w="40" w:type="dxa"/>
              <w:left w:w="20" w:type="dxa"/>
              <w:bottom w:w="40" w:type="dxa"/>
              <w:right w:w="20" w:type="dxa"/>
            </w:tcMar>
            <w:vAlign w:val="bottom"/>
          </w:tcPr>
          <w:p w14:paraId="5EA2262D" w14:textId="77777777" w:rsidR="003C66EB" w:rsidRDefault="00D96C4E">
            <w:pPr>
              <w:textAlignment w:val="bottom"/>
            </w:pPr>
            <w:r>
              <w:rPr>
                <w:rFonts w:ascii="Arial" w:eastAsia="宋体" w:hAnsi="Arial" w:cs="Arial"/>
                <w:color w:val="000000"/>
                <w:sz w:val="15"/>
                <w:szCs w:val="15"/>
              </w:rPr>
              <w:t xml:space="preserve">Amortization of other </w:t>
            </w:r>
            <w:r>
              <w:rPr>
                <w:rFonts w:ascii="Arial" w:eastAsia="宋体" w:hAnsi="Arial" w:cs="Arial"/>
                <w:color w:val="000000"/>
                <w:sz w:val="15"/>
                <w:szCs w:val="15"/>
              </w:rPr>
              <w:t>intangible assets</w:t>
            </w:r>
          </w:p>
        </w:tc>
        <w:tc>
          <w:tcPr>
            <w:tcW w:w="0" w:type="auto"/>
            <w:gridSpan w:val="2"/>
            <w:shd w:val="clear" w:color="auto" w:fill="FFFFFF"/>
            <w:tcMar>
              <w:top w:w="40" w:type="dxa"/>
              <w:left w:w="20" w:type="dxa"/>
              <w:bottom w:w="40" w:type="dxa"/>
              <w:right w:w="0" w:type="dxa"/>
            </w:tcMar>
            <w:vAlign w:val="bottom"/>
          </w:tcPr>
          <w:p w14:paraId="5EA2262E" w14:textId="77777777" w:rsidR="003C66EB" w:rsidRDefault="00D96C4E">
            <w:pPr>
              <w:jc w:val="right"/>
              <w:textAlignment w:val="bottom"/>
            </w:pPr>
            <w:r>
              <w:rPr>
                <w:rFonts w:ascii="Arial" w:eastAsia="宋体" w:hAnsi="Arial" w:cs="Arial"/>
                <w:b/>
                <w:bCs/>
                <w:color w:val="000000"/>
                <w:sz w:val="15"/>
                <w:szCs w:val="15"/>
              </w:rPr>
              <w:t>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2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3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31" w14:textId="77777777" w:rsidR="003C66EB" w:rsidRDefault="00D96C4E">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5EA22632" w14:textId="77777777" w:rsidR="003C66EB" w:rsidRDefault="003C66EB">
            <w:pPr>
              <w:jc w:val="right"/>
              <w:rPr>
                <w:rFonts w:ascii="宋体"/>
              </w:rPr>
            </w:pPr>
          </w:p>
        </w:tc>
        <w:tc>
          <w:tcPr>
            <w:tcW w:w="0" w:type="auto"/>
            <w:gridSpan w:val="3"/>
            <w:shd w:val="clear" w:color="auto" w:fill="auto"/>
          </w:tcPr>
          <w:p w14:paraId="5EA22633" w14:textId="77777777" w:rsidR="003C66EB" w:rsidRDefault="003C66EB">
            <w:pPr>
              <w:rPr>
                <w:rFonts w:ascii="宋体"/>
                <w:vanish/>
              </w:rPr>
            </w:pPr>
          </w:p>
        </w:tc>
        <w:tc>
          <w:tcPr>
            <w:tcW w:w="0" w:type="auto"/>
            <w:gridSpan w:val="3"/>
            <w:shd w:val="clear" w:color="auto" w:fill="auto"/>
          </w:tcPr>
          <w:p w14:paraId="5EA22634" w14:textId="77777777" w:rsidR="003C66EB" w:rsidRDefault="003C66EB">
            <w:pPr>
              <w:rPr>
                <w:rFonts w:ascii="宋体"/>
                <w:vanish/>
              </w:rPr>
            </w:pPr>
          </w:p>
        </w:tc>
      </w:tr>
      <w:tr w:rsidR="003C66EB" w14:paraId="5EA2263E" w14:textId="77777777">
        <w:tc>
          <w:tcPr>
            <w:tcW w:w="0" w:type="auto"/>
            <w:gridSpan w:val="3"/>
            <w:shd w:val="clear" w:color="auto" w:fill="CCEEFF"/>
            <w:tcMar>
              <w:top w:w="40" w:type="dxa"/>
              <w:left w:w="20" w:type="dxa"/>
              <w:bottom w:w="40" w:type="dxa"/>
              <w:right w:w="20" w:type="dxa"/>
            </w:tcMar>
            <w:vAlign w:val="bottom"/>
          </w:tcPr>
          <w:p w14:paraId="5EA22636" w14:textId="77777777" w:rsidR="003C66EB" w:rsidRDefault="00D96C4E">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5EA22637" w14:textId="77777777" w:rsidR="003C66EB" w:rsidRDefault="00D96C4E">
            <w:pPr>
              <w:jc w:val="right"/>
              <w:textAlignment w:val="bottom"/>
            </w:pPr>
            <w:r>
              <w:rPr>
                <w:rFonts w:ascii="Arial" w:eastAsia="宋体" w:hAnsi="Arial" w:cs="Arial"/>
                <w:b/>
                <w:bCs/>
                <w:color w:val="000000"/>
                <w:sz w:val="15"/>
                <w:szCs w:val="15"/>
              </w:rPr>
              <w:t>359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63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3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3A" w14:textId="77777777" w:rsidR="003C66EB" w:rsidRDefault="00D96C4E">
            <w:pPr>
              <w:jc w:val="right"/>
              <w:textAlignment w:val="bottom"/>
            </w:pPr>
            <w:r>
              <w:rPr>
                <w:rFonts w:ascii="Arial" w:eastAsia="宋体" w:hAnsi="Arial" w:cs="Arial"/>
                <w:color w:val="000000"/>
                <w:sz w:val="15"/>
                <w:szCs w:val="15"/>
              </w:rPr>
              <w:t>274 </w:t>
            </w:r>
          </w:p>
        </w:tc>
        <w:tc>
          <w:tcPr>
            <w:tcW w:w="0" w:type="auto"/>
            <w:shd w:val="clear" w:color="auto" w:fill="CCEEFF"/>
            <w:tcMar>
              <w:top w:w="40" w:type="dxa"/>
              <w:left w:w="0" w:type="dxa"/>
              <w:bottom w:w="40" w:type="dxa"/>
              <w:right w:w="20" w:type="dxa"/>
            </w:tcMar>
            <w:vAlign w:val="bottom"/>
          </w:tcPr>
          <w:p w14:paraId="5EA2263B" w14:textId="77777777" w:rsidR="003C66EB" w:rsidRDefault="003C66EB">
            <w:pPr>
              <w:jc w:val="right"/>
              <w:rPr>
                <w:rFonts w:ascii="宋体"/>
              </w:rPr>
            </w:pPr>
          </w:p>
        </w:tc>
        <w:tc>
          <w:tcPr>
            <w:tcW w:w="0" w:type="auto"/>
            <w:gridSpan w:val="3"/>
            <w:shd w:val="clear" w:color="auto" w:fill="auto"/>
          </w:tcPr>
          <w:p w14:paraId="5EA2263C" w14:textId="77777777" w:rsidR="003C66EB" w:rsidRDefault="003C66EB">
            <w:pPr>
              <w:rPr>
                <w:rFonts w:ascii="宋体"/>
                <w:vanish/>
              </w:rPr>
            </w:pPr>
          </w:p>
        </w:tc>
        <w:tc>
          <w:tcPr>
            <w:tcW w:w="0" w:type="auto"/>
            <w:gridSpan w:val="3"/>
            <w:shd w:val="clear" w:color="auto" w:fill="auto"/>
          </w:tcPr>
          <w:p w14:paraId="5EA2263D" w14:textId="77777777" w:rsidR="003C66EB" w:rsidRDefault="003C66EB">
            <w:pPr>
              <w:rPr>
                <w:rFonts w:ascii="宋体"/>
                <w:vanish/>
              </w:rPr>
            </w:pPr>
          </w:p>
        </w:tc>
      </w:tr>
      <w:tr w:rsidR="003C66EB" w14:paraId="5EA22647" w14:textId="77777777">
        <w:tc>
          <w:tcPr>
            <w:tcW w:w="0" w:type="auto"/>
            <w:gridSpan w:val="3"/>
            <w:shd w:val="clear" w:color="auto" w:fill="FFFFFF"/>
            <w:tcMar>
              <w:top w:w="40" w:type="dxa"/>
              <w:left w:w="20" w:type="dxa"/>
              <w:bottom w:w="40" w:type="dxa"/>
              <w:right w:w="20" w:type="dxa"/>
            </w:tcMar>
            <w:vAlign w:val="bottom"/>
          </w:tcPr>
          <w:p w14:paraId="5EA2263F" w14:textId="77777777" w:rsidR="003C66EB" w:rsidRDefault="00D96C4E">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5EA22640"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4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43" w14:textId="77777777" w:rsidR="003C66EB" w:rsidRDefault="00D96C4E">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5EA22644" w14:textId="77777777" w:rsidR="003C66EB" w:rsidRDefault="003C66EB">
            <w:pPr>
              <w:jc w:val="right"/>
              <w:rPr>
                <w:rFonts w:ascii="宋体"/>
              </w:rPr>
            </w:pPr>
          </w:p>
        </w:tc>
        <w:tc>
          <w:tcPr>
            <w:tcW w:w="0" w:type="auto"/>
            <w:gridSpan w:val="3"/>
            <w:shd w:val="clear" w:color="auto" w:fill="auto"/>
          </w:tcPr>
          <w:p w14:paraId="5EA22645" w14:textId="77777777" w:rsidR="003C66EB" w:rsidRDefault="003C66EB">
            <w:pPr>
              <w:rPr>
                <w:rFonts w:ascii="宋体"/>
                <w:vanish/>
              </w:rPr>
            </w:pPr>
          </w:p>
        </w:tc>
        <w:tc>
          <w:tcPr>
            <w:tcW w:w="0" w:type="auto"/>
            <w:gridSpan w:val="3"/>
            <w:shd w:val="clear" w:color="auto" w:fill="auto"/>
          </w:tcPr>
          <w:p w14:paraId="5EA22646" w14:textId="77777777" w:rsidR="003C66EB" w:rsidRDefault="003C66EB">
            <w:pPr>
              <w:rPr>
                <w:rFonts w:ascii="宋体"/>
                <w:vanish/>
              </w:rPr>
            </w:pPr>
          </w:p>
        </w:tc>
      </w:tr>
      <w:tr w:rsidR="003C66EB" w14:paraId="5EA22650" w14:textId="77777777">
        <w:tc>
          <w:tcPr>
            <w:tcW w:w="0" w:type="auto"/>
            <w:gridSpan w:val="3"/>
            <w:shd w:val="clear" w:color="auto" w:fill="CCEEFF"/>
            <w:tcMar>
              <w:top w:w="40" w:type="dxa"/>
              <w:left w:w="20" w:type="dxa"/>
              <w:bottom w:w="40" w:type="dxa"/>
              <w:right w:w="20" w:type="dxa"/>
            </w:tcMar>
            <w:vAlign w:val="bottom"/>
          </w:tcPr>
          <w:p w14:paraId="5EA22648" w14:textId="77777777" w:rsidR="003C66EB" w:rsidRDefault="00D96C4E">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5EA22649" w14:textId="77777777" w:rsidR="003C66EB" w:rsidRDefault="00D96C4E">
            <w:pPr>
              <w:jc w:val="right"/>
              <w:textAlignment w:val="bottom"/>
            </w:pPr>
            <w:r>
              <w:rPr>
                <w:rFonts w:ascii="Arial" w:eastAsia="宋体" w:hAnsi="Arial" w:cs="Arial"/>
                <w:b/>
                <w:bCs/>
                <w:color w:val="000000"/>
                <w:sz w:val="15"/>
                <w:szCs w:val="15"/>
              </w:rPr>
              <w:t>(9)</w:t>
            </w:r>
          </w:p>
        </w:tc>
        <w:tc>
          <w:tcPr>
            <w:tcW w:w="0" w:type="auto"/>
            <w:shd w:val="clear" w:color="auto" w:fill="CCEEFF"/>
            <w:tcMar>
              <w:top w:w="40" w:type="dxa"/>
              <w:left w:w="0" w:type="dxa"/>
              <w:bottom w:w="40" w:type="dxa"/>
              <w:right w:w="20" w:type="dxa"/>
            </w:tcMar>
            <w:vAlign w:val="bottom"/>
          </w:tcPr>
          <w:p w14:paraId="5EA226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4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4C" w14:textId="77777777" w:rsidR="003C66EB" w:rsidRDefault="00D96C4E">
            <w:pPr>
              <w:jc w:val="right"/>
              <w:textAlignment w:val="bottom"/>
            </w:pPr>
            <w:r>
              <w:rPr>
                <w:rFonts w:ascii="Arial" w:eastAsia="宋体" w:hAnsi="Arial" w:cs="Arial"/>
                <w:color w:val="000000"/>
                <w:sz w:val="15"/>
                <w:szCs w:val="15"/>
              </w:rPr>
              <w:t>36 </w:t>
            </w:r>
          </w:p>
        </w:tc>
        <w:tc>
          <w:tcPr>
            <w:tcW w:w="0" w:type="auto"/>
            <w:shd w:val="clear" w:color="auto" w:fill="CCEEFF"/>
            <w:tcMar>
              <w:top w:w="40" w:type="dxa"/>
              <w:left w:w="0" w:type="dxa"/>
              <w:bottom w:w="40" w:type="dxa"/>
              <w:right w:w="20" w:type="dxa"/>
            </w:tcMar>
            <w:vAlign w:val="bottom"/>
          </w:tcPr>
          <w:p w14:paraId="5EA2264D" w14:textId="77777777" w:rsidR="003C66EB" w:rsidRDefault="003C66EB">
            <w:pPr>
              <w:jc w:val="right"/>
              <w:rPr>
                <w:rFonts w:ascii="宋体"/>
              </w:rPr>
            </w:pPr>
          </w:p>
        </w:tc>
        <w:tc>
          <w:tcPr>
            <w:tcW w:w="0" w:type="auto"/>
            <w:gridSpan w:val="3"/>
            <w:shd w:val="clear" w:color="auto" w:fill="auto"/>
          </w:tcPr>
          <w:p w14:paraId="5EA2264E" w14:textId="77777777" w:rsidR="003C66EB" w:rsidRDefault="003C66EB">
            <w:pPr>
              <w:rPr>
                <w:rFonts w:ascii="宋体"/>
                <w:vanish/>
              </w:rPr>
            </w:pPr>
          </w:p>
        </w:tc>
        <w:tc>
          <w:tcPr>
            <w:tcW w:w="0" w:type="auto"/>
            <w:gridSpan w:val="3"/>
            <w:shd w:val="clear" w:color="auto" w:fill="auto"/>
          </w:tcPr>
          <w:p w14:paraId="5EA2264F" w14:textId="77777777" w:rsidR="003C66EB" w:rsidRDefault="003C66EB">
            <w:pPr>
              <w:rPr>
                <w:rFonts w:ascii="宋体"/>
                <w:vanish/>
              </w:rPr>
            </w:pPr>
          </w:p>
        </w:tc>
      </w:tr>
      <w:tr w:rsidR="003C66EB" w14:paraId="5EA22659" w14:textId="77777777">
        <w:tc>
          <w:tcPr>
            <w:tcW w:w="0" w:type="auto"/>
            <w:gridSpan w:val="3"/>
            <w:shd w:val="clear" w:color="auto" w:fill="FFFFFF"/>
            <w:tcMar>
              <w:top w:w="40" w:type="dxa"/>
              <w:left w:w="20" w:type="dxa"/>
              <w:bottom w:w="40" w:type="dxa"/>
              <w:right w:w="20" w:type="dxa"/>
            </w:tcMar>
            <w:vAlign w:val="bottom"/>
          </w:tcPr>
          <w:p w14:paraId="5EA22651" w14:textId="77777777" w:rsidR="003C66EB" w:rsidRDefault="00D96C4E">
            <w:pPr>
              <w:textAlignment w:val="bottom"/>
            </w:pPr>
            <w:r>
              <w:rPr>
                <w:rFonts w:ascii="Arial" w:eastAsia="宋体" w:hAnsi="Arial" w:cs="Arial"/>
                <w:color w:val="000000"/>
                <w:sz w:val="15"/>
                <w:szCs w:val="15"/>
              </w:rPr>
              <w:t xml:space="preserve">Change in </w:t>
            </w:r>
            <w:r>
              <w:rPr>
                <w:rFonts w:ascii="Arial" w:eastAsia="宋体" w:hAnsi="Arial" w:cs="Arial"/>
                <w:color w:val="000000"/>
                <w:sz w:val="15"/>
                <w:szCs w:val="15"/>
              </w:rPr>
              <w:t>trading account assets, net</w:t>
            </w:r>
          </w:p>
        </w:tc>
        <w:tc>
          <w:tcPr>
            <w:tcW w:w="0" w:type="auto"/>
            <w:gridSpan w:val="2"/>
            <w:shd w:val="clear" w:color="auto" w:fill="FFFFFF"/>
            <w:tcMar>
              <w:top w:w="40" w:type="dxa"/>
              <w:left w:w="20" w:type="dxa"/>
              <w:bottom w:w="40" w:type="dxa"/>
              <w:right w:w="0" w:type="dxa"/>
            </w:tcMar>
            <w:vAlign w:val="bottom"/>
          </w:tcPr>
          <w:p w14:paraId="5EA22652" w14:textId="77777777" w:rsidR="003C66EB" w:rsidRDefault="00D96C4E">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5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5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55" w14:textId="77777777" w:rsidR="003C66EB" w:rsidRDefault="00D96C4E">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A22656" w14:textId="77777777" w:rsidR="003C66EB" w:rsidRDefault="003C66EB">
            <w:pPr>
              <w:jc w:val="right"/>
              <w:rPr>
                <w:rFonts w:ascii="宋体"/>
              </w:rPr>
            </w:pPr>
          </w:p>
        </w:tc>
        <w:tc>
          <w:tcPr>
            <w:tcW w:w="0" w:type="auto"/>
            <w:gridSpan w:val="3"/>
            <w:shd w:val="clear" w:color="auto" w:fill="auto"/>
          </w:tcPr>
          <w:p w14:paraId="5EA22657" w14:textId="77777777" w:rsidR="003C66EB" w:rsidRDefault="003C66EB">
            <w:pPr>
              <w:rPr>
                <w:rFonts w:ascii="宋体"/>
                <w:vanish/>
              </w:rPr>
            </w:pPr>
          </w:p>
        </w:tc>
        <w:tc>
          <w:tcPr>
            <w:tcW w:w="0" w:type="auto"/>
            <w:gridSpan w:val="3"/>
            <w:shd w:val="clear" w:color="auto" w:fill="auto"/>
          </w:tcPr>
          <w:p w14:paraId="5EA22658" w14:textId="77777777" w:rsidR="003C66EB" w:rsidRDefault="003C66EB">
            <w:pPr>
              <w:rPr>
                <w:rFonts w:ascii="宋体"/>
                <w:vanish/>
              </w:rPr>
            </w:pPr>
          </w:p>
        </w:tc>
      </w:tr>
      <w:tr w:rsidR="003C66EB" w14:paraId="5EA22662" w14:textId="77777777">
        <w:tc>
          <w:tcPr>
            <w:tcW w:w="0" w:type="auto"/>
            <w:gridSpan w:val="3"/>
            <w:shd w:val="clear" w:color="auto" w:fill="CCEEFF"/>
            <w:tcMar>
              <w:top w:w="40" w:type="dxa"/>
              <w:left w:w="20" w:type="dxa"/>
              <w:bottom w:w="40" w:type="dxa"/>
              <w:right w:w="20" w:type="dxa"/>
            </w:tcMar>
            <w:vAlign w:val="bottom"/>
          </w:tcPr>
          <w:p w14:paraId="5EA2265A" w14:textId="77777777" w:rsidR="003C66EB" w:rsidRDefault="00D96C4E">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5EA2265B" w14:textId="77777777" w:rsidR="003C66EB" w:rsidRDefault="00D96C4E">
            <w:pPr>
              <w:jc w:val="right"/>
              <w:textAlignment w:val="bottom"/>
            </w:pPr>
            <w:r>
              <w:rPr>
                <w:rFonts w:ascii="Arial" w:eastAsia="宋体" w:hAnsi="Arial" w:cs="Arial"/>
                <w:b/>
                <w:bCs/>
                <w:color w:val="000000"/>
                <w:sz w:val="15"/>
                <w:szCs w:val="15"/>
              </w:rPr>
              <w:t>(197)</w:t>
            </w:r>
          </w:p>
        </w:tc>
        <w:tc>
          <w:tcPr>
            <w:tcW w:w="0" w:type="auto"/>
            <w:shd w:val="clear" w:color="auto" w:fill="CCEEFF"/>
            <w:tcMar>
              <w:top w:w="40" w:type="dxa"/>
              <w:left w:w="0" w:type="dxa"/>
              <w:bottom w:w="40" w:type="dxa"/>
              <w:right w:w="20" w:type="dxa"/>
            </w:tcMar>
            <w:vAlign w:val="bottom"/>
          </w:tcPr>
          <w:p w14:paraId="5EA226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5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5E" w14:textId="77777777" w:rsidR="003C66EB" w:rsidRDefault="00D96C4E">
            <w:pPr>
              <w:jc w:val="right"/>
              <w:textAlignment w:val="bottom"/>
            </w:pPr>
            <w:r>
              <w:rPr>
                <w:rFonts w:ascii="Arial" w:eastAsia="宋体" w:hAnsi="Arial" w:cs="Arial"/>
                <w:color w:val="000000"/>
                <w:sz w:val="15"/>
                <w:szCs w:val="15"/>
              </w:rPr>
              <w:t>(43)</w:t>
            </w:r>
          </w:p>
        </w:tc>
        <w:tc>
          <w:tcPr>
            <w:tcW w:w="0" w:type="auto"/>
            <w:shd w:val="clear" w:color="auto" w:fill="CCEEFF"/>
            <w:tcMar>
              <w:top w:w="40" w:type="dxa"/>
              <w:left w:w="0" w:type="dxa"/>
              <w:bottom w:w="40" w:type="dxa"/>
              <w:right w:w="20" w:type="dxa"/>
            </w:tcMar>
            <w:vAlign w:val="bottom"/>
          </w:tcPr>
          <w:p w14:paraId="5EA2265F" w14:textId="77777777" w:rsidR="003C66EB" w:rsidRDefault="003C66EB">
            <w:pPr>
              <w:jc w:val="right"/>
              <w:rPr>
                <w:rFonts w:ascii="宋体"/>
              </w:rPr>
            </w:pPr>
          </w:p>
        </w:tc>
        <w:tc>
          <w:tcPr>
            <w:tcW w:w="0" w:type="auto"/>
            <w:gridSpan w:val="3"/>
            <w:shd w:val="clear" w:color="auto" w:fill="auto"/>
          </w:tcPr>
          <w:p w14:paraId="5EA22660" w14:textId="77777777" w:rsidR="003C66EB" w:rsidRDefault="003C66EB">
            <w:pPr>
              <w:rPr>
                <w:rFonts w:ascii="宋体"/>
                <w:vanish/>
              </w:rPr>
            </w:pPr>
          </w:p>
        </w:tc>
        <w:tc>
          <w:tcPr>
            <w:tcW w:w="0" w:type="auto"/>
            <w:gridSpan w:val="3"/>
            <w:shd w:val="clear" w:color="auto" w:fill="auto"/>
          </w:tcPr>
          <w:p w14:paraId="5EA22661" w14:textId="77777777" w:rsidR="003C66EB" w:rsidRDefault="003C66EB">
            <w:pPr>
              <w:rPr>
                <w:rFonts w:ascii="宋体"/>
                <w:vanish/>
              </w:rPr>
            </w:pPr>
          </w:p>
        </w:tc>
      </w:tr>
      <w:tr w:rsidR="003C66EB" w14:paraId="5EA2266B" w14:textId="77777777">
        <w:tc>
          <w:tcPr>
            <w:tcW w:w="0" w:type="auto"/>
            <w:gridSpan w:val="3"/>
            <w:shd w:val="clear" w:color="auto" w:fill="FFFFFF"/>
            <w:tcMar>
              <w:top w:w="40" w:type="dxa"/>
              <w:left w:w="20" w:type="dxa"/>
              <w:bottom w:w="40" w:type="dxa"/>
              <w:right w:w="20" w:type="dxa"/>
            </w:tcMar>
            <w:vAlign w:val="bottom"/>
          </w:tcPr>
          <w:p w14:paraId="5EA22663" w14:textId="77777777" w:rsidR="003C66EB" w:rsidRDefault="00D96C4E">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5EA22664" w14:textId="77777777" w:rsidR="003C66EB" w:rsidRDefault="00D96C4E">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6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67" w14:textId="77777777" w:rsidR="003C66EB" w:rsidRDefault="00D96C4E">
            <w:pPr>
              <w:jc w:val="right"/>
              <w:textAlignment w:val="bottom"/>
            </w:pPr>
            <w:r>
              <w:rPr>
                <w:rFonts w:ascii="Arial" w:eastAsia="宋体" w:hAnsi="Arial" w:cs="Arial"/>
                <w:color w:val="000000"/>
                <w:sz w:val="15"/>
                <w:szCs w:val="15"/>
              </w:rPr>
              <w:t>2,685 </w:t>
            </w:r>
          </w:p>
        </w:tc>
        <w:tc>
          <w:tcPr>
            <w:tcW w:w="0" w:type="auto"/>
            <w:shd w:val="clear" w:color="auto" w:fill="FFFFFF"/>
            <w:tcMar>
              <w:top w:w="40" w:type="dxa"/>
              <w:left w:w="0" w:type="dxa"/>
              <w:bottom w:w="40" w:type="dxa"/>
              <w:right w:w="20" w:type="dxa"/>
            </w:tcMar>
            <w:vAlign w:val="bottom"/>
          </w:tcPr>
          <w:p w14:paraId="5EA22668" w14:textId="77777777" w:rsidR="003C66EB" w:rsidRDefault="003C66EB">
            <w:pPr>
              <w:jc w:val="right"/>
              <w:rPr>
                <w:rFonts w:ascii="宋体"/>
              </w:rPr>
            </w:pPr>
          </w:p>
        </w:tc>
        <w:tc>
          <w:tcPr>
            <w:tcW w:w="0" w:type="auto"/>
            <w:gridSpan w:val="3"/>
            <w:shd w:val="clear" w:color="auto" w:fill="auto"/>
          </w:tcPr>
          <w:p w14:paraId="5EA22669" w14:textId="77777777" w:rsidR="003C66EB" w:rsidRDefault="003C66EB">
            <w:pPr>
              <w:rPr>
                <w:rFonts w:ascii="宋体"/>
                <w:vanish/>
              </w:rPr>
            </w:pPr>
          </w:p>
        </w:tc>
        <w:tc>
          <w:tcPr>
            <w:tcW w:w="0" w:type="auto"/>
            <w:gridSpan w:val="3"/>
            <w:shd w:val="clear" w:color="auto" w:fill="auto"/>
          </w:tcPr>
          <w:p w14:paraId="5EA2266A" w14:textId="77777777" w:rsidR="003C66EB" w:rsidRDefault="003C66EB">
            <w:pPr>
              <w:rPr>
                <w:rFonts w:ascii="宋体"/>
                <w:vanish/>
              </w:rPr>
            </w:pPr>
          </w:p>
        </w:tc>
      </w:tr>
      <w:tr w:rsidR="003C66EB" w14:paraId="5EA22674" w14:textId="77777777">
        <w:tc>
          <w:tcPr>
            <w:tcW w:w="0" w:type="auto"/>
            <w:gridSpan w:val="3"/>
            <w:shd w:val="clear" w:color="auto" w:fill="CCEEFF"/>
            <w:tcMar>
              <w:top w:w="40" w:type="dxa"/>
              <w:left w:w="20" w:type="dxa"/>
              <w:bottom w:w="40" w:type="dxa"/>
              <w:right w:w="20" w:type="dxa"/>
            </w:tcMar>
            <w:vAlign w:val="bottom"/>
          </w:tcPr>
          <w:p w14:paraId="5EA2266C" w14:textId="77777777" w:rsidR="003C66EB" w:rsidRDefault="00D96C4E">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5EA2266D" w14:textId="77777777" w:rsidR="003C66EB" w:rsidRDefault="00D96C4E">
            <w:pPr>
              <w:jc w:val="right"/>
              <w:textAlignment w:val="bottom"/>
            </w:pPr>
            <w:r>
              <w:rPr>
                <w:rFonts w:ascii="Arial" w:eastAsia="宋体" w:hAnsi="Arial" w:cs="Arial"/>
                <w:b/>
                <w:bCs/>
                <w:color w:val="000000"/>
                <w:sz w:val="15"/>
                <w:szCs w:val="15"/>
              </w:rPr>
              <w:t>(6,250)</w:t>
            </w:r>
          </w:p>
        </w:tc>
        <w:tc>
          <w:tcPr>
            <w:tcW w:w="0" w:type="auto"/>
            <w:shd w:val="clear" w:color="auto" w:fill="CCEEFF"/>
            <w:tcMar>
              <w:top w:w="40" w:type="dxa"/>
              <w:left w:w="0" w:type="dxa"/>
              <w:bottom w:w="40" w:type="dxa"/>
              <w:right w:w="20" w:type="dxa"/>
            </w:tcMar>
            <w:vAlign w:val="bottom"/>
          </w:tcPr>
          <w:p w14:paraId="5EA2266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6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70" w14:textId="77777777" w:rsidR="003C66EB" w:rsidRDefault="00D96C4E">
            <w:pPr>
              <w:jc w:val="right"/>
              <w:textAlignment w:val="bottom"/>
            </w:pPr>
            <w:r>
              <w:rPr>
                <w:rFonts w:ascii="Arial" w:eastAsia="宋体" w:hAnsi="Arial" w:cs="Arial"/>
                <w:color w:val="000000"/>
                <w:sz w:val="15"/>
                <w:szCs w:val="15"/>
              </w:rPr>
              <w:t>(3,090)</w:t>
            </w:r>
          </w:p>
        </w:tc>
        <w:tc>
          <w:tcPr>
            <w:tcW w:w="0" w:type="auto"/>
            <w:shd w:val="clear" w:color="auto" w:fill="CCEEFF"/>
            <w:tcMar>
              <w:top w:w="40" w:type="dxa"/>
              <w:left w:w="0" w:type="dxa"/>
              <w:bottom w:w="40" w:type="dxa"/>
              <w:right w:w="20" w:type="dxa"/>
            </w:tcMar>
            <w:vAlign w:val="bottom"/>
          </w:tcPr>
          <w:p w14:paraId="5EA22671" w14:textId="77777777" w:rsidR="003C66EB" w:rsidRDefault="003C66EB">
            <w:pPr>
              <w:jc w:val="right"/>
              <w:rPr>
                <w:rFonts w:ascii="宋体"/>
              </w:rPr>
            </w:pPr>
          </w:p>
        </w:tc>
        <w:tc>
          <w:tcPr>
            <w:tcW w:w="0" w:type="auto"/>
            <w:gridSpan w:val="3"/>
            <w:shd w:val="clear" w:color="auto" w:fill="auto"/>
          </w:tcPr>
          <w:p w14:paraId="5EA22672" w14:textId="77777777" w:rsidR="003C66EB" w:rsidRDefault="003C66EB">
            <w:pPr>
              <w:rPr>
                <w:rFonts w:ascii="宋体"/>
                <w:vanish/>
              </w:rPr>
            </w:pPr>
          </w:p>
        </w:tc>
        <w:tc>
          <w:tcPr>
            <w:tcW w:w="0" w:type="auto"/>
            <w:gridSpan w:val="3"/>
            <w:shd w:val="clear" w:color="auto" w:fill="auto"/>
          </w:tcPr>
          <w:p w14:paraId="5EA22673" w14:textId="77777777" w:rsidR="003C66EB" w:rsidRDefault="003C66EB">
            <w:pPr>
              <w:rPr>
                <w:rFonts w:ascii="宋体"/>
                <w:vanish/>
              </w:rPr>
            </w:pPr>
          </w:p>
        </w:tc>
      </w:tr>
      <w:tr w:rsidR="003C66EB" w14:paraId="5EA2267D" w14:textId="77777777">
        <w:tc>
          <w:tcPr>
            <w:tcW w:w="0" w:type="auto"/>
            <w:gridSpan w:val="3"/>
            <w:shd w:val="clear" w:color="auto" w:fill="FFFFFF"/>
            <w:tcMar>
              <w:top w:w="40" w:type="dxa"/>
              <w:left w:w="20" w:type="dxa"/>
              <w:bottom w:w="40" w:type="dxa"/>
              <w:right w:w="20" w:type="dxa"/>
            </w:tcMar>
            <w:vAlign w:val="bottom"/>
          </w:tcPr>
          <w:p w14:paraId="5EA22675" w14:textId="77777777" w:rsidR="003C66EB" w:rsidRDefault="00D96C4E">
            <w:pPr>
              <w:textAlignment w:val="bottom"/>
            </w:pPr>
            <w:r>
              <w:rPr>
                <w:rFonts w:ascii="Arial" w:eastAsia="宋体" w:hAnsi="Arial" w:cs="Arial"/>
                <w:color w:val="000000"/>
                <w:sz w:val="15"/>
                <w:szCs w:val="15"/>
              </w:rPr>
              <w:t>Change in other assets, net</w:t>
            </w:r>
          </w:p>
        </w:tc>
        <w:tc>
          <w:tcPr>
            <w:tcW w:w="0" w:type="auto"/>
            <w:gridSpan w:val="2"/>
            <w:shd w:val="clear" w:color="auto" w:fill="FFFFFF"/>
            <w:tcMar>
              <w:top w:w="40" w:type="dxa"/>
              <w:left w:w="20" w:type="dxa"/>
              <w:bottom w:w="40" w:type="dxa"/>
              <w:right w:w="0" w:type="dxa"/>
            </w:tcMar>
            <w:vAlign w:val="bottom"/>
          </w:tcPr>
          <w:p w14:paraId="5EA22676" w14:textId="77777777" w:rsidR="003C66EB" w:rsidRDefault="00D96C4E">
            <w:pPr>
              <w:jc w:val="right"/>
              <w:textAlignment w:val="bottom"/>
            </w:pPr>
            <w:r>
              <w:rPr>
                <w:rFonts w:ascii="Arial" w:eastAsia="宋体" w:hAnsi="Arial" w:cs="Arial"/>
                <w:b/>
                <w:bCs/>
                <w:color w:val="000000"/>
                <w:sz w:val="15"/>
                <w:szCs w:val="15"/>
              </w:rPr>
              <w:t>(377)</w:t>
            </w:r>
          </w:p>
        </w:tc>
        <w:tc>
          <w:tcPr>
            <w:tcW w:w="0" w:type="auto"/>
            <w:shd w:val="clear" w:color="auto" w:fill="FFFFFF"/>
            <w:tcMar>
              <w:top w:w="40" w:type="dxa"/>
              <w:left w:w="0" w:type="dxa"/>
              <w:bottom w:w="40" w:type="dxa"/>
              <w:right w:w="20" w:type="dxa"/>
            </w:tcMar>
            <w:vAlign w:val="bottom"/>
          </w:tcPr>
          <w:p w14:paraId="5EA226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7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79" w14:textId="77777777" w:rsidR="003C66EB" w:rsidRDefault="00D96C4E">
            <w:pPr>
              <w:jc w:val="right"/>
              <w:textAlignment w:val="bottom"/>
            </w:pPr>
            <w:r>
              <w:rPr>
                <w:rFonts w:ascii="Arial" w:eastAsia="宋体" w:hAnsi="Arial" w:cs="Arial"/>
                <w:color w:val="000000"/>
                <w:sz w:val="15"/>
                <w:szCs w:val="15"/>
              </w:rPr>
              <w:t>(891)</w:t>
            </w:r>
          </w:p>
        </w:tc>
        <w:tc>
          <w:tcPr>
            <w:tcW w:w="0" w:type="auto"/>
            <w:shd w:val="clear" w:color="auto" w:fill="FFFFFF"/>
            <w:tcMar>
              <w:top w:w="40" w:type="dxa"/>
              <w:left w:w="0" w:type="dxa"/>
              <w:bottom w:w="40" w:type="dxa"/>
              <w:right w:w="20" w:type="dxa"/>
            </w:tcMar>
            <w:vAlign w:val="bottom"/>
          </w:tcPr>
          <w:p w14:paraId="5EA2267A" w14:textId="77777777" w:rsidR="003C66EB" w:rsidRDefault="003C66EB">
            <w:pPr>
              <w:jc w:val="right"/>
              <w:rPr>
                <w:rFonts w:ascii="宋体"/>
              </w:rPr>
            </w:pPr>
          </w:p>
        </w:tc>
        <w:tc>
          <w:tcPr>
            <w:tcW w:w="0" w:type="auto"/>
            <w:gridSpan w:val="3"/>
            <w:shd w:val="clear" w:color="auto" w:fill="auto"/>
          </w:tcPr>
          <w:p w14:paraId="5EA2267B" w14:textId="77777777" w:rsidR="003C66EB" w:rsidRDefault="003C66EB">
            <w:pPr>
              <w:rPr>
                <w:rFonts w:ascii="宋体"/>
                <w:vanish/>
              </w:rPr>
            </w:pPr>
          </w:p>
        </w:tc>
        <w:tc>
          <w:tcPr>
            <w:tcW w:w="0" w:type="auto"/>
            <w:gridSpan w:val="3"/>
            <w:shd w:val="clear" w:color="auto" w:fill="auto"/>
          </w:tcPr>
          <w:p w14:paraId="5EA2267C" w14:textId="77777777" w:rsidR="003C66EB" w:rsidRDefault="003C66EB">
            <w:pPr>
              <w:rPr>
                <w:rFonts w:ascii="宋体"/>
                <w:vanish/>
              </w:rPr>
            </w:pPr>
          </w:p>
        </w:tc>
      </w:tr>
      <w:tr w:rsidR="003C66EB" w14:paraId="5EA22684" w14:textId="77777777">
        <w:trPr>
          <w:hidden/>
        </w:trPr>
        <w:tc>
          <w:tcPr>
            <w:tcW w:w="0" w:type="auto"/>
            <w:gridSpan w:val="3"/>
            <w:shd w:val="clear" w:color="auto" w:fill="auto"/>
          </w:tcPr>
          <w:p w14:paraId="5EA2267E" w14:textId="77777777" w:rsidR="003C66EB" w:rsidRDefault="003C66EB">
            <w:pPr>
              <w:rPr>
                <w:rFonts w:ascii="宋体"/>
                <w:vanish/>
              </w:rPr>
            </w:pPr>
          </w:p>
        </w:tc>
        <w:tc>
          <w:tcPr>
            <w:tcW w:w="0" w:type="auto"/>
            <w:gridSpan w:val="3"/>
            <w:shd w:val="clear" w:color="auto" w:fill="auto"/>
          </w:tcPr>
          <w:p w14:paraId="5EA2267F" w14:textId="77777777" w:rsidR="003C66EB" w:rsidRDefault="003C66EB">
            <w:pPr>
              <w:rPr>
                <w:rFonts w:ascii="宋体"/>
                <w:vanish/>
              </w:rPr>
            </w:pPr>
          </w:p>
        </w:tc>
        <w:tc>
          <w:tcPr>
            <w:tcW w:w="0" w:type="auto"/>
            <w:gridSpan w:val="3"/>
            <w:shd w:val="clear" w:color="auto" w:fill="auto"/>
          </w:tcPr>
          <w:p w14:paraId="5EA22680" w14:textId="77777777" w:rsidR="003C66EB" w:rsidRDefault="003C66EB">
            <w:pPr>
              <w:rPr>
                <w:rFonts w:ascii="宋体"/>
                <w:vanish/>
              </w:rPr>
            </w:pPr>
          </w:p>
        </w:tc>
        <w:tc>
          <w:tcPr>
            <w:tcW w:w="0" w:type="auto"/>
            <w:gridSpan w:val="3"/>
            <w:shd w:val="clear" w:color="auto" w:fill="auto"/>
          </w:tcPr>
          <w:p w14:paraId="5EA22681" w14:textId="77777777" w:rsidR="003C66EB" w:rsidRDefault="003C66EB">
            <w:pPr>
              <w:rPr>
                <w:rFonts w:ascii="宋体"/>
                <w:vanish/>
              </w:rPr>
            </w:pPr>
          </w:p>
        </w:tc>
        <w:tc>
          <w:tcPr>
            <w:tcW w:w="0" w:type="auto"/>
            <w:gridSpan w:val="3"/>
            <w:shd w:val="clear" w:color="auto" w:fill="auto"/>
          </w:tcPr>
          <w:p w14:paraId="5EA22682" w14:textId="77777777" w:rsidR="003C66EB" w:rsidRDefault="003C66EB">
            <w:pPr>
              <w:rPr>
                <w:rFonts w:ascii="宋体"/>
                <w:vanish/>
              </w:rPr>
            </w:pPr>
          </w:p>
        </w:tc>
        <w:tc>
          <w:tcPr>
            <w:tcW w:w="0" w:type="auto"/>
            <w:gridSpan w:val="3"/>
            <w:shd w:val="clear" w:color="auto" w:fill="auto"/>
          </w:tcPr>
          <w:p w14:paraId="5EA22683" w14:textId="77777777" w:rsidR="003C66EB" w:rsidRDefault="003C66EB">
            <w:pPr>
              <w:rPr>
                <w:rFonts w:ascii="宋体"/>
                <w:vanish/>
              </w:rPr>
            </w:pPr>
          </w:p>
        </w:tc>
      </w:tr>
      <w:tr w:rsidR="003C66EB" w14:paraId="5EA2268D" w14:textId="77777777">
        <w:tc>
          <w:tcPr>
            <w:tcW w:w="0" w:type="auto"/>
            <w:gridSpan w:val="3"/>
            <w:shd w:val="clear" w:color="auto" w:fill="CCEEFF"/>
            <w:tcMar>
              <w:top w:w="40" w:type="dxa"/>
              <w:left w:w="20" w:type="dxa"/>
              <w:bottom w:w="40" w:type="dxa"/>
              <w:right w:w="20" w:type="dxa"/>
            </w:tcMar>
            <w:vAlign w:val="bottom"/>
          </w:tcPr>
          <w:p w14:paraId="5EA22685" w14:textId="77777777" w:rsidR="003C66EB" w:rsidRDefault="00D96C4E">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5EA22686" w14:textId="77777777" w:rsidR="003C66EB" w:rsidRDefault="00D96C4E">
            <w:pPr>
              <w:jc w:val="right"/>
              <w:textAlignment w:val="bottom"/>
            </w:pPr>
            <w:r>
              <w:rPr>
                <w:rFonts w:ascii="Arial" w:eastAsia="宋体" w:hAnsi="Arial" w:cs="Arial"/>
                <w:b/>
                <w:bCs/>
                <w:color w:val="000000"/>
                <w:sz w:val="15"/>
                <w:szCs w:val="15"/>
              </w:rPr>
              <w:t>2,000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6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89" w14:textId="77777777" w:rsidR="003C66EB" w:rsidRDefault="00D96C4E">
            <w:pPr>
              <w:jc w:val="right"/>
              <w:textAlignment w:val="bottom"/>
            </w:pPr>
            <w:r>
              <w:rPr>
                <w:rFonts w:ascii="Arial" w:eastAsia="宋体" w:hAnsi="Arial" w:cs="Arial"/>
                <w:color w:val="000000"/>
                <w:sz w:val="15"/>
                <w:szCs w:val="15"/>
              </w:rPr>
              <w:t>4,179 </w:t>
            </w:r>
          </w:p>
        </w:tc>
        <w:tc>
          <w:tcPr>
            <w:tcW w:w="0" w:type="auto"/>
            <w:shd w:val="clear" w:color="auto" w:fill="CCEEFF"/>
            <w:tcMar>
              <w:top w:w="40" w:type="dxa"/>
              <w:left w:w="0" w:type="dxa"/>
              <w:bottom w:w="40" w:type="dxa"/>
              <w:right w:w="20" w:type="dxa"/>
            </w:tcMar>
            <w:vAlign w:val="bottom"/>
          </w:tcPr>
          <w:p w14:paraId="5EA2268A" w14:textId="77777777" w:rsidR="003C66EB" w:rsidRDefault="003C66EB">
            <w:pPr>
              <w:jc w:val="right"/>
              <w:rPr>
                <w:rFonts w:ascii="宋体"/>
              </w:rPr>
            </w:pPr>
          </w:p>
        </w:tc>
        <w:tc>
          <w:tcPr>
            <w:tcW w:w="0" w:type="auto"/>
            <w:gridSpan w:val="3"/>
            <w:shd w:val="clear" w:color="auto" w:fill="auto"/>
          </w:tcPr>
          <w:p w14:paraId="5EA2268B" w14:textId="77777777" w:rsidR="003C66EB" w:rsidRDefault="003C66EB">
            <w:pPr>
              <w:rPr>
                <w:rFonts w:ascii="宋体"/>
                <w:vanish/>
              </w:rPr>
            </w:pPr>
          </w:p>
        </w:tc>
        <w:tc>
          <w:tcPr>
            <w:tcW w:w="0" w:type="auto"/>
            <w:gridSpan w:val="3"/>
            <w:shd w:val="clear" w:color="auto" w:fill="auto"/>
          </w:tcPr>
          <w:p w14:paraId="5EA2268C" w14:textId="77777777" w:rsidR="003C66EB" w:rsidRDefault="003C66EB">
            <w:pPr>
              <w:rPr>
                <w:rFonts w:ascii="宋体"/>
                <w:vanish/>
              </w:rPr>
            </w:pPr>
          </w:p>
        </w:tc>
      </w:tr>
      <w:tr w:rsidR="003C66EB" w14:paraId="5EA22694" w14:textId="77777777">
        <w:trPr>
          <w:hidden/>
        </w:trPr>
        <w:tc>
          <w:tcPr>
            <w:tcW w:w="0" w:type="auto"/>
            <w:gridSpan w:val="3"/>
            <w:shd w:val="clear" w:color="auto" w:fill="auto"/>
          </w:tcPr>
          <w:p w14:paraId="5EA2268E" w14:textId="77777777" w:rsidR="003C66EB" w:rsidRDefault="003C66EB">
            <w:pPr>
              <w:rPr>
                <w:rFonts w:ascii="宋体"/>
                <w:vanish/>
              </w:rPr>
            </w:pPr>
          </w:p>
        </w:tc>
        <w:tc>
          <w:tcPr>
            <w:tcW w:w="0" w:type="auto"/>
            <w:gridSpan w:val="3"/>
            <w:shd w:val="clear" w:color="auto" w:fill="auto"/>
          </w:tcPr>
          <w:p w14:paraId="5EA2268F" w14:textId="77777777" w:rsidR="003C66EB" w:rsidRDefault="003C66EB">
            <w:pPr>
              <w:rPr>
                <w:rFonts w:ascii="宋体"/>
                <w:vanish/>
              </w:rPr>
            </w:pPr>
          </w:p>
        </w:tc>
        <w:tc>
          <w:tcPr>
            <w:tcW w:w="0" w:type="auto"/>
            <w:gridSpan w:val="3"/>
            <w:shd w:val="clear" w:color="auto" w:fill="auto"/>
          </w:tcPr>
          <w:p w14:paraId="5EA22690" w14:textId="77777777" w:rsidR="003C66EB" w:rsidRDefault="003C66EB">
            <w:pPr>
              <w:rPr>
                <w:rFonts w:ascii="宋体"/>
                <w:vanish/>
              </w:rPr>
            </w:pPr>
          </w:p>
        </w:tc>
        <w:tc>
          <w:tcPr>
            <w:tcW w:w="0" w:type="auto"/>
            <w:gridSpan w:val="3"/>
            <w:shd w:val="clear" w:color="auto" w:fill="auto"/>
          </w:tcPr>
          <w:p w14:paraId="5EA22691" w14:textId="77777777" w:rsidR="003C66EB" w:rsidRDefault="003C66EB">
            <w:pPr>
              <w:rPr>
                <w:rFonts w:ascii="宋体"/>
                <w:vanish/>
              </w:rPr>
            </w:pPr>
          </w:p>
        </w:tc>
        <w:tc>
          <w:tcPr>
            <w:tcW w:w="0" w:type="auto"/>
            <w:gridSpan w:val="3"/>
            <w:shd w:val="clear" w:color="auto" w:fill="auto"/>
          </w:tcPr>
          <w:p w14:paraId="5EA22692" w14:textId="77777777" w:rsidR="003C66EB" w:rsidRDefault="003C66EB">
            <w:pPr>
              <w:rPr>
                <w:rFonts w:ascii="宋体"/>
                <w:vanish/>
              </w:rPr>
            </w:pPr>
          </w:p>
        </w:tc>
        <w:tc>
          <w:tcPr>
            <w:tcW w:w="0" w:type="auto"/>
            <w:gridSpan w:val="3"/>
            <w:shd w:val="clear" w:color="auto" w:fill="auto"/>
          </w:tcPr>
          <w:p w14:paraId="5EA22693" w14:textId="77777777" w:rsidR="003C66EB" w:rsidRDefault="003C66EB">
            <w:pPr>
              <w:rPr>
                <w:rFonts w:ascii="宋体"/>
                <w:vanish/>
              </w:rPr>
            </w:pPr>
          </w:p>
        </w:tc>
      </w:tr>
      <w:tr w:rsidR="003C66EB" w14:paraId="5EA2269D" w14:textId="77777777">
        <w:tc>
          <w:tcPr>
            <w:tcW w:w="0" w:type="auto"/>
            <w:gridSpan w:val="3"/>
            <w:shd w:val="clear" w:color="auto" w:fill="FFFFFF"/>
            <w:tcMar>
              <w:top w:w="40" w:type="dxa"/>
              <w:left w:w="20" w:type="dxa"/>
              <w:bottom w:w="40" w:type="dxa"/>
              <w:right w:w="20" w:type="dxa"/>
            </w:tcMar>
            <w:vAlign w:val="bottom"/>
          </w:tcPr>
          <w:p w14:paraId="5EA22695" w14:textId="77777777" w:rsidR="003C66EB" w:rsidRDefault="00D96C4E">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5EA22696" w14:textId="77777777" w:rsidR="003C66EB" w:rsidRDefault="00D96C4E">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9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9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99" w14:textId="77777777" w:rsidR="003C66EB" w:rsidRDefault="00D96C4E">
            <w:pPr>
              <w:jc w:val="right"/>
              <w:textAlignment w:val="bottom"/>
            </w:pPr>
            <w:r>
              <w:rPr>
                <w:rFonts w:ascii="Arial" w:eastAsia="宋体" w:hAnsi="Arial" w:cs="Arial"/>
                <w:color w:val="000000"/>
                <w:sz w:val="15"/>
                <w:szCs w:val="15"/>
              </w:rPr>
              <w:t>149 </w:t>
            </w:r>
          </w:p>
        </w:tc>
        <w:tc>
          <w:tcPr>
            <w:tcW w:w="0" w:type="auto"/>
            <w:shd w:val="clear" w:color="auto" w:fill="FFFFFF"/>
            <w:tcMar>
              <w:top w:w="40" w:type="dxa"/>
              <w:left w:w="0" w:type="dxa"/>
              <w:bottom w:w="40" w:type="dxa"/>
              <w:right w:w="20" w:type="dxa"/>
            </w:tcMar>
            <w:vAlign w:val="bottom"/>
          </w:tcPr>
          <w:p w14:paraId="5EA2269A" w14:textId="77777777" w:rsidR="003C66EB" w:rsidRDefault="003C66EB">
            <w:pPr>
              <w:jc w:val="right"/>
              <w:rPr>
                <w:rFonts w:ascii="宋体"/>
              </w:rPr>
            </w:pPr>
          </w:p>
        </w:tc>
        <w:tc>
          <w:tcPr>
            <w:tcW w:w="0" w:type="auto"/>
            <w:gridSpan w:val="3"/>
            <w:shd w:val="clear" w:color="auto" w:fill="auto"/>
          </w:tcPr>
          <w:p w14:paraId="5EA2269B" w14:textId="77777777" w:rsidR="003C66EB" w:rsidRDefault="003C66EB">
            <w:pPr>
              <w:rPr>
                <w:rFonts w:ascii="宋体"/>
                <w:vanish/>
              </w:rPr>
            </w:pPr>
          </w:p>
        </w:tc>
        <w:tc>
          <w:tcPr>
            <w:tcW w:w="0" w:type="auto"/>
            <w:gridSpan w:val="3"/>
            <w:shd w:val="clear" w:color="auto" w:fill="auto"/>
          </w:tcPr>
          <w:p w14:paraId="5EA2269C" w14:textId="77777777" w:rsidR="003C66EB" w:rsidRDefault="003C66EB">
            <w:pPr>
              <w:rPr>
                <w:rFonts w:ascii="宋体"/>
                <w:vanish/>
              </w:rPr>
            </w:pPr>
          </w:p>
        </w:tc>
      </w:tr>
      <w:tr w:rsidR="003C66EB" w14:paraId="5EA226A6" w14:textId="77777777">
        <w:tc>
          <w:tcPr>
            <w:tcW w:w="0" w:type="auto"/>
            <w:gridSpan w:val="3"/>
            <w:shd w:val="clear" w:color="auto" w:fill="CCEEFF"/>
            <w:tcMar>
              <w:top w:w="40" w:type="dxa"/>
              <w:left w:w="20" w:type="dxa"/>
              <w:bottom w:w="40" w:type="dxa"/>
              <w:right w:w="20" w:type="dxa"/>
            </w:tcMar>
            <w:vAlign w:val="bottom"/>
          </w:tcPr>
          <w:p w14:paraId="5EA2269E" w14:textId="77777777" w:rsidR="003C66EB" w:rsidRDefault="00D96C4E">
            <w:pPr>
              <w:textAlignment w:val="bottom"/>
            </w:pPr>
            <w:r>
              <w:rPr>
                <w:rFonts w:ascii="Arial" w:eastAsia="宋体" w:hAnsi="Arial" w:cs="Arial"/>
                <w:color w:val="000000"/>
                <w:sz w:val="15"/>
                <w:szCs w:val="15"/>
              </w:rPr>
              <w:t>Net cash (used in)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69F" w14:textId="77777777" w:rsidR="003C66EB" w:rsidRDefault="00D96C4E">
            <w:pPr>
              <w:jc w:val="right"/>
              <w:textAlignment w:val="bottom"/>
            </w:pPr>
            <w:r>
              <w:rPr>
                <w:rFonts w:ascii="Arial" w:eastAsia="宋体" w:hAnsi="Arial" w:cs="Arial"/>
                <w:b/>
                <w:bCs/>
                <w:color w:val="000000"/>
                <w:sz w:val="15"/>
                <w:szCs w:val="15"/>
              </w:rPr>
              <w:t>(3,732)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6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A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6A2" w14:textId="77777777" w:rsidR="003C66EB" w:rsidRDefault="00D96C4E">
            <w:pPr>
              <w:jc w:val="right"/>
              <w:textAlignment w:val="bottom"/>
            </w:pPr>
            <w:r>
              <w:rPr>
                <w:rFonts w:ascii="Arial" w:eastAsia="宋体" w:hAnsi="Arial" w:cs="Arial"/>
                <w:color w:val="000000"/>
                <w:sz w:val="15"/>
                <w:szCs w:val="15"/>
              </w:rPr>
              <w:t>4,039 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6A3" w14:textId="77777777" w:rsidR="003C66EB" w:rsidRDefault="003C66EB">
            <w:pPr>
              <w:jc w:val="right"/>
              <w:rPr>
                <w:rFonts w:ascii="宋体"/>
              </w:rPr>
            </w:pPr>
          </w:p>
        </w:tc>
        <w:tc>
          <w:tcPr>
            <w:tcW w:w="0" w:type="auto"/>
            <w:gridSpan w:val="3"/>
            <w:shd w:val="clear" w:color="auto" w:fill="auto"/>
          </w:tcPr>
          <w:p w14:paraId="5EA226A4" w14:textId="77777777" w:rsidR="003C66EB" w:rsidRDefault="003C66EB">
            <w:pPr>
              <w:rPr>
                <w:rFonts w:ascii="宋体"/>
                <w:vanish/>
              </w:rPr>
            </w:pPr>
          </w:p>
        </w:tc>
        <w:tc>
          <w:tcPr>
            <w:tcW w:w="0" w:type="auto"/>
            <w:gridSpan w:val="3"/>
            <w:shd w:val="clear" w:color="auto" w:fill="auto"/>
          </w:tcPr>
          <w:p w14:paraId="5EA226A5" w14:textId="77777777" w:rsidR="003C66EB" w:rsidRDefault="003C66EB">
            <w:pPr>
              <w:rPr>
                <w:rFonts w:ascii="宋体"/>
                <w:vanish/>
              </w:rPr>
            </w:pPr>
          </w:p>
        </w:tc>
      </w:tr>
      <w:tr w:rsidR="003C66EB" w14:paraId="5EA226AD" w14:textId="77777777">
        <w:tc>
          <w:tcPr>
            <w:tcW w:w="0" w:type="auto"/>
            <w:gridSpan w:val="3"/>
            <w:shd w:val="clear" w:color="auto" w:fill="FFFFFF"/>
            <w:tcMar>
              <w:top w:w="40" w:type="dxa"/>
              <w:left w:w="20" w:type="dxa"/>
              <w:bottom w:w="40" w:type="dxa"/>
              <w:right w:w="20" w:type="dxa"/>
            </w:tcMar>
            <w:vAlign w:val="bottom"/>
          </w:tcPr>
          <w:p w14:paraId="5EA226A7" w14:textId="77777777" w:rsidR="003C66EB" w:rsidRDefault="00D96C4E">
            <w:pPr>
              <w:textAlignment w:val="bottom"/>
            </w:pPr>
            <w:r>
              <w:rPr>
                <w:rFonts w:ascii="Arial" w:eastAsia="宋体" w:hAnsi="Arial" w:cs="Arial"/>
                <w:b/>
                <w:bCs/>
                <w:color w:val="000000"/>
                <w:sz w:val="15"/>
                <w:szCs w:val="15"/>
              </w:rPr>
              <w:t>Investing Activities:</w:t>
            </w:r>
          </w:p>
        </w:tc>
        <w:tc>
          <w:tcPr>
            <w:tcW w:w="0" w:type="auto"/>
            <w:gridSpan w:val="3"/>
            <w:shd w:val="clear" w:color="auto" w:fill="FFFFFF"/>
            <w:tcMar>
              <w:top w:w="0" w:type="dxa"/>
              <w:left w:w="20" w:type="dxa"/>
              <w:bottom w:w="0" w:type="dxa"/>
              <w:right w:w="20" w:type="dxa"/>
            </w:tcMar>
          </w:tcPr>
          <w:p w14:paraId="5EA226A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6A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6AA" w14:textId="77777777" w:rsidR="003C66EB" w:rsidRDefault="003C66EB">
            <w:pPr>
              <w:rPr>
                <w:rFonts w:ascii="宋体"/>
              </w:rPr>
            </w:pPr>
          </w:p>
        </w:tc>
        <w:tc>
          <w:tcPr>
            <w:tcW w:w="0" w:type="auto"/>
            <w:gridSpan w:val="3"/>
            <w:shd w:val="clear" w:color="auto" w:fill="auto"/>
          </w:tcPr>
          <w:p w14:paraId="5EA226AB" w14:textId="77777777" w:rsidR="003C66EB" w:rsidRDefault="003C66EB">
            <w:pPr>
              <w:rPr>
                <w:rFonts w:ascii="宋体"/>
                <w:vanish/>
              </w:rPr>
            </w:pPr>
          </w:p>
        </w:tc>
        <w:tc>
          <w:tcPr>
            <w:tcW w:w="0" w:type="auto"/>
            <w:gridSpan w:val="3"/>
            <w:shd w:val="clear" w:color="auto" w:fill="auto"/>
          </w:tcPr>
          <w:p w14:paraId="5EA226AC" w14:textId="77777777" w:rsidR="003C66EB" w:rsidRDefault="003C66EB">
            <w:pPr>
              <w:rPr>
                <w:rFonts w:ascii="宋体"/>
                <w:vanish/>
              </w:rPr>
            </w:pPr>
          </w:p>
        </w:tc>
      </w:tr>
      <w:tr w:rsidR="003C66EB" w14:paraId="5EA226B6" w14:textId="77777777">
        <w:tc>
          <w:tcPr>
            <w:tcW w:w="0" w:type="auto"/>
            <w:gridSpan w:val="3"/>
            <w:shd w:val="clear" w:color="auto" w:fill="CCEEFF"/>
            <w:tcMar>
              <w:top w:w="40" w:type="dxa"/>
              <w:left w:w="20" w:type="dxa"/>
              <w:bottom w:w="40" w:type="dxa"/>
              <w:right w:w="20" w:type="dxa"/>
            </w:tcMar>
            <w:vAlign w:val="bottom"/>
          </w:tcPr>
          <w:p w14:paraId="5EA226AE" w14:textId="77777777" w:rsidR="003C66EB" w:rsidRDefault="00D96C4E">
            <w:pPr>
              <w:textAlignment w:val="bottom"/>
            </w:pPr>
            <w:r>
              <w:rPr>
                <w:rFonts w:ascii="Arial" w:eastAsia="宋体" w:hAnsi="Arial" w:cs="Arial"/>
                <w:color w:val="000000"/>
                <w:sz w:val="15"/>
                <w:szCs w:val="15"/>
              </w:rPr>
              <w:t>Net (increase) decrease in interest-bearing deposits with banks</w:t>
            </w:r>
          </w:p>
        </w:tc>
        <w:tc>
          <w:tcPr>
            <w:tcW w:w="0" w:type="auto"/>
            <w:gridSpan w:val="2"/>
            <w:shd w:val="clear" w:color="auto" w:fill="CCEEFF"/>
            <w:tcMar>
              <w:top w:w="40" w:type="dxa"/>
              <w:left w:w="20" w:type="dxa"/>
              <w:bottom w:w="40" w:type="dxa"/>
              <w:right w:w="0" w:type="dxa"/>
            </w:tcMar>
            <w:vAlign w:val="bottom"/>
          </w:tcPr>
          <w:p w14:paraId="5EA226AF" w14:textId="77777777" w:rsidR="003C66EB" w:rsidRDefault="00D96C4E">
            <w:pPr>
              <w:jc w:val="right"/>
              <w:textAlignment w:val="bottom"/>
            </w:pPr>
            <w:r>
              <w:rPr>
                <w:rFonts w:ascii="Arial" w:eastAsia="宋体" w:hAnsi="Arial" w:cs="Arial"/>
                <w:b/>
                <w:bCs/>
                <w:color w:val="000000"/>
                <w:sz w:val="15"/>
                <w:szCs w:val="15"/>
              </w:rPr>
              <w:t>9,406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6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B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B2" w14:textId="77777777" w:rsidR="003C66EB" w:rsidRDefault="00D96C4E">
            <w:pPr>
              <w:jc w:val="right"/>
              <w:textAlignment w:val="bottom"/>
            </w:pPr>
            <w:r>
              <w:rPr>
                <w:rFonts w:ascii="Arial" w:eastAsia="宋体" w:hAnsi="Arial" w:cs="Arial"/>
                <w:color w:val="000000"/>
                <w:sz w:val="15"/>
                <w:szCs w:val="15"/>
              </w:rPr>
              <w:t>(78,770)</w:t>
            </w:r>
          </w:p>
        </w:tc>
        <w:tc>
          <w:tcPr>
            <w:tcW w:w="0" w:type="auto"/>
            <w:shd w:val="clear" w:color="auto" w:fill="CCEEFF"/>
            <w:tcMar>
              <w:top w:w="40" w:type="dxa"/>
              <w:left w:w="0" w:type="dxa"/>
              <w:bottom w:w="40" w:type="dxa"/>
              <w:right w:w="20" w:type="dxa"/>
            </w:tcMar>
            <w:vAlign w:val="bottom"/>
          </w:tcPr>
          <w:p w14:paraId="5EA226B3" w14:textId="77777777" w:rsidR="003C66EB" w:rsidRDefault="003C66EB">
            <w:pPr>
              <w:jc w:val="right"/>
              <w:rPr>
                <w:rFonts w:ascii="宋体"/>
              </w:rPr>
            </w:pPr>
          </w:p>
        </w:tc>
        <w:tc>
          <w:tcPr>
            <w:tcW w:w="0" w:type="auto"/>
            <w:gridSpan w:val="3"/>
            <w:shd w:val="clear" w:color="auto" w:fill="auto"/>
          </w:tcPr>
          <w:p w14:paraId="5EA226B4" w14:textId="77777777" w:rsidR="003C66EB" w:rsidRDefault="003C66EB">
            <w:pPr>
              <w:rPr>
                <w:rFonts w:ascii="宋体"/>
                <w:vanish/>
              </w:rPr>
            </w:pPr>
          </w:p>
        </w:tc>
        <w:tc>
          <w:tcPr>
            <w:tcW w:w="0" w:type="auto"/>
            <w:gridSpan w:val="3"/>
            <w:shd w:val="clear" w:color="auto" w:fill="auto"/>
          </w:tcPr>
          <w:p w14:paraId="5EA226B5" w14:textId="77777777" w:rsidR="003C66EB" w:rsidRDefault="003C66EB">
            <w:pPr>
              <w:rPr>
                <w:rFonts w:ascii="宋体"/>
                <w:vanish/>
              </w:rPr>
            </w:pPr>
          </w:p>
        </w:tc>
      </w:tr>
      <w:tr w:rsidR="003C66EB" w14:paraId="5EA226BF" w14:textId="77777777">
        <w:tc>
          <w:tcPr>
            <w:tcW w:w="0" w:type="auto"/>
            <w:gridSpan w:val="3"/>
            <w:shd w:val="clear" w:color="auto" w:fill="FFFFFF"/>
            <w:tcMar>
              <w:top w:w="40" w:type="dxa"/>
              <w:left w:w="20" w:type="dxa"/>
              <w:bottom w:w="40" w:type="dxa"/>
              <w:right w:w="20" w:type="dxa"/>
            </w:tcMar>
            <w:vAlign w:val="bottom"/>
          </w:tcPr>
          <w:p w14:paraId="5EA226B7" w14:textId="77777777" w:rsidR="003C66EB" w:rsidRDefault="00D96C4E">
            <w:pPr>
              <w:textAlignment w:val="bottom"/>
            </w:pPr>
            <w:r>
              <w:rPr>
                <w:rFonts w:ascii="Arial" w:eastAsia="宋体" w:hAnsi="Arial" w:cs="Arial"/>
                <w:color w:val="000000"/>
                <w:sz w:val="15"/>
                <w:szCs w:val="15"/>
              </w:rPr>
              <w:t>Net (increase) decrease in securities purchased under resale agreements</w:t>
            </w:r>
          </w:p>
        </w:tc>
        <w:tc>
          <w:tcPr>
            <w:tcW w:w="0" w:type="auto"/>
            <w:gridSpan w:val="2"/>
            <w:shd w:val="clear" w:color="auto" w:fill="FFFFFF"/>
            <w:tcMar>
              <w:top w:w="40" w:type="dxa"/>
              <w:left w:w="20" w:type="dxa"/>
              <w:bottom w:w="40" w:type="dxa"/>
              <w:right w:w="0" w:type="dxa"/>
            </w:tcMar>
            <w:vAlign w:val="bottom"/>
          </w:tcPr>
          <w:p w14:paraId="5EA226B8" w14:textId="77777777" w:rsidR="003C66EB" w:rsidRDefault="00D96C4E">
            <w:pPr>
              <w:jc w:val="right"/>
              <w:textAlignment w:val="bottom"/>
            </w:pPr>
            <w:r>
              <w:rPr>
                <w:rFonts w:ascii="Arial" w:eastAsia="宋体" w:hAnsi="Arial" w:cs="Arial"/>
                <w:b/>
                <w:bCs/>
                <w:color w:val="000000"/>
                <w:sz w:val="15"/>
                <w:szCs w:val="15"/>
              </w:rPr>
              <w:t>(2,132)</w:t>
            </w:r>
          </w:p>
        </w:tc>
        <w:tc>
          <w:tcPr>
            <w:tcW w:w="0" w:type="auto"/>
            <w:shd w:val="clear" w:color="auto" w:fill="FFFFFF"/>
            <w:tcMar>
              <w:top w:w="40" w:type="dxa"/>
              <w:left w:w="0" w:type="dxa"/>
              <w:bottom w:w="40" w:type="dxa"/>
              <w:right w:w="20" w:type="dxa"/>
            </w:tcMar>
            <w:vAlign w:val="bottom"/>
          </w:tcPr>
          <w:p w14:paraId="5EA226B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B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BB" w14:textId="77777777" w:rsidR="003C66EB" w:rsidRDefault="00D96C4E">
            <w:pPr>
              <w:jc w:val="right"/>
              <w:textAlignment w:val="bottom"/>
            </w:pPr>
            <w:r>
              <w:rPr>
                <w:rFonts w:ascii="Arial" w:eastAsia="宋体" w:hAnsi="Arial" w:cs="Arial"/>
                <w:color w:val="000000"/>
                <w:sz w:val="15"/>
                <w:szCs w:val="15"/>
              </w:rPr>
              <w:t>450 </w:t>
            </w:r>
          </w:p>
        </w:tc>
        <w:tc>
          <w:tcPr>
            <w:tcW w:w="0" w:type="auto"/>
            <w:shd w:val="clear" w:color="auto" w:fill="FFFFFF"/>
            <w:tcMar>
              <w:top w:w="40" w:type="dxa"/>
              <w:left w:w="0" w:type="dxa"/>
              <w:bottom w:w="40" w:type="dxa"/>
              <w:right w:w="20" w:type="dxa"/>
            </w:tcMar>
            <w:vAlign w:val="bottom"/>
          </w:tcPr>
          <w:p w14:paraId="5EA226BC" w14:textId="77777777" w:rsidR="003C66EB" w:rsidRDefault="003C66EB">
            <w:pPr>
              <w:jc w:val="right"/>
              <w:rPr>
                <w:rFonts w:ascii="宋体"/>
              </w:rPr>
            </w:pPr>
          </w:p>
        </w:tc>
        <w:tc>
          <w:tcPr>
            <w:tcW w:w="0" w:type="auto"/>
            <w:gridSpan w:val="3"/>
            <w:shd w:val="clear" w:color="auto" w:fill="auto"/>
          </w:tcPr>
          <w:p w14:paraId="5EA226BD" w14:textId="77777777" w:rsidR="003C66EB" w:rsidRDefault="003C66EB">
            <w:pPr>
              <w:rPr>
                <w:rFonts w:ascii="宋体"/>
                <w:vanish/>
              </w:rPr>
            </w:pPr>
          </w:p>
        </w:tc>
        <w:tc>
          <w:tcPr>
            <w:tcW w:w="0" w:type="auto"/>
            <w:gridSpan w:val="3"/>
            <w:shd w:val="clear" w:color="auto" w:fill="auto"/>
          </w:tcPr>
          <w:p w14:paraId="5EA226BE" w14:textId="77777777" w:rsidR="003C66EB" w:rsidRDefault="003C66EB">
            <w:pPr>
              <w:rPr>
                <w:rFonts w:ascii="宋体"/>
                <w:vanish/>
              </w:rPr>
            </w:pPr>
          </w:p>
        </w:tc>
      </w:tr>
      <w:tr w:rsidR="003C66EB" w14:paraId="5EA226C8" w14:textId="77777777">
        <w:tc>
          <w:tcPr>
            <w:tcW w:w="0" w:type="auto"/>
            <w:gridSpan w:val="3"/>
            <w:shd w:val="clear" w:color="auto" w:fill="CCEEFF"/>
            <w:tcMar>
              <w:top w:w="40" w:type="dxa"/>
              <w:left w:w="20" w:type="dxa"/>
              <w:bottom w:w="40" w:type="dxa"/>
              <w:right w:w="20" w:type="dxa"/>
            </w:tcMar>
            <w:vAlign w:val="bottom"/>
          </w:tcPr>
          <w:p w14:paraId="5EA226C0" w14:textId="77777777" w:rsidR="003C66EB" w:rsidRDefault="00D96C4E">
            <w:pPr>
              <w:textAlignment w:val="bottom"/>
            </w:pPr>
            <w:r>
              <w:rPr>
                <w:rFonts w:ascii="Arial" w:eastAsia="宋体" w:hAnsi="Arial" w:cs="Arial"/>
                <w:color w:val="000000"/>
                <w:sz w:val="15"/>
                <w:szCs w:val="15"/>
              </w:rPr>
              <w:t xml:space="preserve">Proceeds from sales of </w:t>
            </w:r>
            <w:r>
              <w:rPr>
                <w:rFonts w:ascii="Arial" w:eastAsia="宋体" w:hAnsi="Arial" w:cs="Arial"/>
                <w:color w:val="000000"/>
                <w:sz w:val="15"/>
                <w:szCs w:val="15"/>
              </w:rPr>
              <w:t>available-for-sale securities</w:t>
            </w:r>
          </w:p>
        </w:tc>
        <w:tc>
          <w:tcPr>
            <w:tcW w:w="0" w:type="auto"/>
            <w:gridSpan w:val="2"/>
            <w:shd w:val="clear" w:color="auto" w:fill="CCEEFF"/>
            <w:tcMar>
              <w:top w:w="40" w:type="dxa"/>
              <w:left w:w="20" w:type="dxa"/>
              <w:bottom w:w="40" w:type="dxa"/>
              <w:right w:w="0" w:type="dxa"/>
            </w:tcMar>
            <w:vAlign w:val="bottom"/>
          </w:tcPr>
          <w:p w14:paraId="5EA226C1" w14:textId="77777777" w:rsidR="003C66EB" w:rsidRDefault="00D96C4E">
            <w:pPr>
              <w:jc w:val="right"/>
              <w:textAlignment w:val="bottom"/>
            </w:pPr>
            <w:r>
              <w:rPr>
                <w:rFonts w:ascii="Arial" w:eastAsia="宋体" w:hAnsi="Arial" w:cs="Arial"/>
                <w:b/>
                <w:bCs/>
                <w:color w:val="000000"/>
                <w:sz w:val="15"/>
                <w:szCs w:val="15"/>
              </w:rPr>
              <w:t>5,168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6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C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C4" w14:textId="77777777" w:rsidR="003C66EB" w:rsidRDefault="00D96C4E">
            <w:pPr>
              <w:jc w:val="right"/>
              <w:textAlignment w:val="bottom"/>
            </w:pPr>
            <w:r>
              <w:rPr>
                <w:rFonts w:ascii="Arial" w:eastAsia="宋体" w:hAnsi="Arial" w:cs="Arial"/>
                <w:color w:val="000000"/>
                <w:sz w:val="15"/>
                <w:szCs w:val="15"/>
              </w:rPr>
              <w:t>1,657 </w:t>
            </w:r>
          </w:p>
        </w:tc>
        <w:tc>
          <w:tcPr>
            <w:tcW w:w="0" w:type="auto"/>
            <w:shd w:val="clear" w:color="auto" w:fill="CCEEFF"/>
            <w:tcMar>
              <w:top w:w="40" w:type="dxa"/>
              <w:left w:w="0" w:type="dxa"/>
              <w:bottom w:w="40" w:type="dxa"/>
              <w:right w:w="20" w:type="dxa"/>
            </w:tcMar>
            <w:vAlign w:val="bottom"/>
          </w:tcPr>
          <w:p w14:paraId="5EA226C5" w14:textId="77777777" w:rsidR="003C66EB" w:rsidRDefault="003C66EB">
            <w:pPr>
              <w:jc w:val="right"/>
              <w:rPr>
                <w:rFonts w:ascii="宋体"/>
              </w:rPr>
            </w:pPr>
          </w:p>
        </w:tc>
        <w:tc>
          <w:tcPr>
            <w:tcW w:w="0" w:type="auto"/>
            <w:gridSpan w:val="3"/>
            <w:shd w:val="clear" w:color="auto" w:fill="auto"/>
          </w:tcPr>
          <w:p w14:paraId="5EA226C6" w14:textId="77777777" w:rsidR="003C66EB" w:rsidRDefault="003C66EB">
            <w:pPr>
              <w:rPr>
                <w:rFonts w:ascii="宋体"/>
                <w:vanish/>
              </w:rPr>
            </w:pPr>
          </w:p>
        </w:tc>
        <w:tc>
          <w:tcPr>
            <w:tcW w:w="0" w:type="auto"/>
            <w:gridSpan w:val="3"/>
            <w:shd w:val="clear" w:color="auto" w:fill="auto"/>
          </w:tcPr>
          <w:p w14:paraId="5EA226C7" w14:textId="77777777" w:rsidR="003C66EB" w:rsidRDefault="003C66EB">
            <w:pPr>
              <w:rPr>
                <w:rFonts w:ascii="宋体"/>
                <w:vanish/>
              </w:rPr>
            </w:pPr>
          </w:p>
        </w:tc>
      </w:tr>
      <w:tr w:rsidR="003C66EB" w14:paraId="5EA226D1" w14:textId="77777777">
        <w:tc>
          <w:tcPr>
            <w:tcW w:w="0" w:type="auto"/>
            <w:gridSpan w:val="3"/>
            <w:shd w:val="clear" w:color="auto" w:fill="FFFFFF"/>
            <w:tcMar>
              <w:top w:w="40" w:type="dxa"/>
              <w:left w:w="20" w:type="dxa"/>
              <w:bottom w:w="40" w:type="dxa"/>
              <w:right w:w="20" w:type="dxa"/>
            </w:tcMar>
            <w:vAlign w:val="bottom"/>
          </w:tcPr>
          <w:p w14:paraId="5EA226C9" w14:textId="77777777" w:rsidR="003C66EB" w:rsidRDefault="00D96C4E">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5EA226CA" w14:textId="77777777" w:rsidR="003C66EB" w:rsidRDefault="00D96C4E">
            <w:pPr>
              <w:jc w:val="right"/>
              <w:textAlignment w:val="bottom"/>
            </w:pPr>
            <w:r>
              <w:rPr>
                <w:rFonts w:ascii="Arial" w:eastAsia="宋体" w:hAnsi="Arial" w:cs="Arial"/>
                <w:b/>
                <w:bCs/>
                <w:color w:val="000000"/>
                <w:sz w:val="15"/>
                <w:szCs w:val="15"/>
              </w:rPr>
              <w:t>5,004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C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C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CD" w14:textId="77777777" w:rsidR="003C66EB" w:rsidRDefault="00D96C4E">
            <w:pPr>
              <w:jc w:val="right"/>
              <w:textAlignment w:val="bottom"/>
            </w:pPr>
            <w:r>
              <w:rPr>
                <w:rFonts w:ascii="Arial" w:eastAsia="宋体" w:hAnsi="Arial" w:cs="Arial"/>
                <w:color w:val="000000"/>
                <w:sz w:val="15"/>
                <w:szCs w:val="15"/>
              </w:rPr>
              <w:t>4,219 </w:t>
            </w:r>
          </w:p>
        </w:tc>
        <w:tc>
          <w:tcPr>
            <w:tcW w:w="0" w:type="auto"/>
            <w:shd w:val="clear" w:color="auto" w:fill="FFFFFF"/>
            <w:tcMar>
              <w:top w:w="40" w:type="dxa"/>
              <w:left w:w="0" w:type="dxa"/>
              <w:bottom w:w="40" w:type="dxa"/>
              <w:right w:w="20" w:type="dxa"/>
            </w:tcMar>
            <w:vAlign w:val="bottom"/>
          </w:tcPr>
          <w:p w14:paraId="5EA226CE" w14:textId="77777777" w:rsidR="003C66EB" w:rsidRDefault="003C66EB">
            <w:pPr>
              <w:jc w:val="right"/>
              <w:rPr>
                <w:rFonts w:ascii="宋体"/>
              </w:rPr>
            </w:pPr>
          </w:p>
        </w:tc>
        <w:tc>
          <w:tcPr>
            <w:tcW w:w="0" w:type="auto"/>
            <w:gridSpan w:val="3"/>
            <w:shd w:val="clear" w:color="auto" w:fill="auto"/>
          </w:tcPr>
          <w:p w14:paraId="5EA226CF" w14:textId="77777777" w:rsidR="003C66EB" w:rsidRDefault="003C66EB">
            <w:pPr>
              <w:rPr>
                <w:rFonts w:ascii="宋体"/>
                <w:vanish/>
              </w:rPr>
            </w:pPr>
          </w:p>
        </w:tc>
        <w:tc>
          <w:tcPr>
            <w:tcW w:w="0" w:type="auto"/>
            <w:gridSpan w:val="3"/>
            <w:shd w:val="clear" w:color="auto" w:fill="auto"/>
          </w:tcPr>
          <w:p w14:paraId="5EA226D0" w14:textId="77777777" w:rsidR="003C66EB" w:rsidRDefault="003C66EB">
            <w:pPr>
              <w:rPr>
                <w:rFonts w:ascii="宋体"/>
                <w:vanish/>
              </w:rPr>
            </w:pPr>
          </w:p>
        </w:tc>
      </w:tr>
      <w:tr w:rsidR="003C66EB" w14:paraId="5EA226DA" w14:textId="77777777">
        <w:tc>
          <w:tcPr>
            <w:tcW w:w="0" w:type="auto"/>
            <w:gridSpan w:val="3"/>
            <w:shd w:val="clear" w:color="auto" w:fill="CCEEFF"/>
            <w:tcMar>
              <w:top w:w="40" w:type="dxa"/>
              <w:left w:w="20" w:type="dxa"/>
              <w:bottom w:w="40" w:type="dxa"/>
              <w:right w:w="20" w:type="dxa"/>
            </w:tcMar>
            <w:vAlign w:val="bottom"/>
          </w:tcPr>
          <w:p w14:paraId="5EA226D2" w14:textId="77777777" w:rsidR="003C66EB" w:rsidRDefault="00D96C4E">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5EA226D3" w14:textId="77777777" w:rsidR="003C66EB" w:rsidRDefault="00D96C4E">
            <w:pPr>
              <w:jc w:val="right"/>
              <w:textAlignment w:val="bottom"/>
            </w:pPr>
            <w:r>
              <w:rPr>
                <w:rFonts w:ascii="Arial" w:eastAsia="宋体" w:hAnsi="Arial" w:cs="Arial"/>
                <w:b/>
                <w:bCs/>
                <w:color w:val="000000"/>
                <w:sz w:val="15"/>
                <w:szCs w:val="15"/>
              </w:rPr>
              <w:t>(12,324)</w:t>
            </w:r>
          </w:p>
        </w:tc>
        <w:tc>
          <w:tcPr>
            <w:tcW w:w="0" w:type="auto"/>
            <w:shd w:val="clear" w:color="auto" w:fill="CCEEFF"/>
            <w:tcMar>
              <w:top w:w="40" w:type="dxa"/>
              <w:left w:w="0" w:type="dxa"/>
              <w:bottom w:w="40" w:type="dxa"/>
              <w:right w:w="20" w:type="dxa"/>
            </w:tcMar>
            <w:vAlign w:val="bottom"/>
          </w:tcPr>
          <w:p w14:paraId="5EA226D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D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D6" w14:textId="77777777" w:rsidR="003C66EB" w:rsidRDefault="00D96C4E">
            <w:pPr>
              <w:jc w:val="right"/>
              <w:textAlignment w:val="bottom"/>
            </w:pPr>
            <w:r>
              <w:rPr>
                <w:rFonts w:ascii="Arial" w:eastAsia="宋体" w:hAnsi="Arial" w:cs="Arial"/>
                <w:color w:val="000000"/>
                <w:sz w:val="15"/>
                <w:szCs w:val="15"/>
              </w:rPr>
              <w:t>(8,935)</w:t>
            </w:r>
          </w:p>
        </w:tc>
        <w:tc>
          <w:tcPr>
            <w:tcW w:w="0" w:type="auto"/>
            <w:shd w:val="clear" w:color="auto" w:fill="CCEEFF"/>
            <w:tcMar>
              <w:top w:w="40" w:type="dxa"/>
              <w:left w:w="0" w:type="dxa"/>
              <w:bottom w:w="40" w:type="dxa"/>
              <w:right w:w="20" w:type="dxa"/>
            </w:tcMar>
            <w:vAlign w:val="bottom"/>
          </w:tcPr>
          <w:p w14:paraId="5EA226D7" w14:textId="77777777" w:rsidR="003C66EB" w:rsidRDefault="003C66EB">
            <w:pPr>
              <w:jc w:val="right"/>
              <w:rPr>
                <w:rFonts w:ascii="宋体"/>
              </w:rPr>
            </w:pPr>
          </w:p>
        </w:tc>
        <w:tc>
          <w:tcPr>
            <w:tcW w:w="0" w:type="auto"/>
            <w:gridSpan w:val="3"/>
            <w:shd w:val="clear" w:color="auto" w:fill="auto"/>
          </w:tcPr>
          <w:p w14:paraId="5EA226D8" w14:textId="77777777" w:rsidR="003C66EB" w:rsidRDefault="003C66EB">
            <w:pPr>
              <w:rPr>
                <w:rFonts w:ascii="宋体"/>
                <w:vanish/>
              </w:rPr>
            </w:pPr>
          </w:p>
        </w:tc>
        <w:tc>
          <w:tcPr>
            <w:tcW w:w="0" w:type="auto"/>
            <w:gridSpan w:val="3"/>
            <w:shd w:val="clear" w:color="auto" w:fill="auto"/>
          </w:tcPr>
          <w:p w14:paraId="5EA226D9" w14:textId="77777777" w:rsidR="003C66EB" w:rsidRDefault="003C66EB">
            <w:pPr>
              <w:rPr>
                <w:rFonts w:ascii="宋体"/>
                <w:vanish/>
              </w:rPr>
            </w:pPr>
          </w:p>
        </w:tc>
      </w:tr>
      <w:tr w:rsidR="003C66EB" w14:paraId="5EA226E1" w14:textId="77777777">
        <w:trPr>
          <w:hidden/>
        </w:trPr>
        <w:tc>
          <w:tcPr>
            <w:tcW w:w="0" w:type="auto"/>
            <w:gridSpan w:val="3"/>
            <w:shd w:val="clear" w:color="auto" w:fill="auto"/>
          </w:tcPr>
          <w:p w14:paraId="5EA226DB" w14:textId="77777777" w:rsidR="003C66EB" w:rsidRDefault="003C66EB">
            <w:pPr>
              <w:rPr>
                <w:rFonts w:ascii="宋体"/>
                <w:vanish/>
              </w:rPr>
            </w:pPr>
          </w:p>
        </w:tc>
        <w:tc>
          <w:tcPr>
            <w:tcW w:w="0" w:type="auto"/>
            <w:gridSpan w:val="3"/>
            <w:shd w:val="clear" w:color="auto" w:fill="auto"/>
          </w:tcPr>
          <w:p w14:paraId="5EA226DC" w14:textId="77777777" w:rsidR="003C66EB" w:rsidRDefault="003C66EB">
            <w:pPr>
              <w:rPr>
                <w:rFonts w:ascii="宋体"/>
                <w:vanish/>
              </w:rPr>
            </w:pPr>
          </w:p>
        </w:tc>
        <w:tc>
          <w:tcPr>
            <w:tcW w:w="0" w:type="auto"/>
            <w:gridSpan w:val="3"/>
            <w:shd w:val="clear" w:color="auto" w:fill="auto"/>
          </w:tcPr>
          <w:p w14:paraId="5EA226DD" w14:textId="77777777" w:rsidR="003C66EB" w:rsidRDefault="003C66EB">
            <w:pPr>
              <w:rPr>
                <w:rFonts w:ascii="宋体"/>
                <w:vanish/>
              </w:rPr>
            </w:pPr>
          </w:p>
        </w:tc>
        <w:tc>
          <w:tcPr>
            <w:tcW w:w="0" w:type="auto"/>
            <w:gridSpan w:val="3"/>
            <w:shd w:val="clear" w:color="auto" w:fill="auto"/>
          </w:tcPr>
          <w:p w14:paraId="5EA226DE" w14:textId="77777777" w:rsidR="003C66EB" w:rsidRDefault="003C66EB">
            <w:pPr>
              <w:rPr>
                <w:rFonts w:ascii="宋体"/>
                <w:vanish/>
              </w:rPr>
            </w:pPr>
          </w:p>
        </w:tc>
        <w:tc>
          <w:tcPr>
            <w:tcW w:w="0" w:type="auto"/>
            <w:gridSpan w:val="3"/>
            <w:shd w:val="clear" w:color="auto" w:fill="auto"/>
          </w:tcPr>
          <w:p w14:paraId="5EA226DF" w14:textId="77777777" w:rsidR="003C66EB" w:rsidRDefault="003C66EB">
            <w:pPr>
              <w:rPr>
                <w:rFonts w:ascii="宋体"/>
                <w:vanish/>
              </w:rPr>
            </w:pPr>
          </w:p>
        </w:tc>
        <w:tc>
          <w:tcPr>
            <w:tcW w:w="0" w:type="auto"/>
            <w:gridSpan w:val="3"/>
            <w:shd w:val="clear" w:color="auto" w:fill="auto"/>
          </w:tcPr>
          <w:p w14:paraId="5EA226E0" w14:textId="77777777" w:rsidR="003C66EB" w:rsidRDefault="003C66EB">
            <w:pPr>
              <w:rPr>
                <w:rFonts w:ascii="宋体"/>
                <w:vanish/>
              </w:rPr>
            </w:pPr>
          </w:p>
        </w:tc>
      </w:tr>
      <w:tr w:rsidR="003C66EB" w14:paraId="5EA226EA" w14:textId="77777777">
        <w:tc>
          <w:tcPr>
            <w:tcW w:w="0" w:type="auto"/>
            <w:gridSpan w:val="3"/>
            <w:shd w:val="clear" w:color="auto" w:fill="FFFFFF"/>
            <w:tcMar>
              <w:top w:w="40" w:type="dxa"/>
              <w:left w:w="20" w:type="dxa"/>
              <w:bottom w:w="40" w:type="dxa"/>
              <w:right w:w="20" w:type="dxa"/>
            </w:tcMar>
            <w:vAlign w:val="bottom"/>
          </w:tcPr>
          <w:p w14:paraId="5EA226E2" w14:textId="77777777" w:rsidR="003C66EB" w:rsidRDefault="00D96C4E">
            <w:pPr>
              <w:textAlignment w:val="bottom"/>
            </w:pPr>
            <w:r>
              <w:rPr>
                <w:rFonts w:ascii="Arial" w:eastAsia="宋体" w:hAnsi="Arial" w:cs="Arial"/>
                <w:color w:val="000000"/>
                <w:sz w:val="15"/>
                <w:szCs w:val="15"/>
              </w:rPr>
              <w:t xml:space="preserve">Purchases of held-to-maturity securities under the </w:t>
            </w:r>
            <w:r>
              <w:rPr>
                <w:rFonts w:ascii="Arial" w:eastAsia="宋体" w:hAnsi="Arial" w:cs="Arial"/>
                <w:color w:val="000000"/>
                <w:sz w:val="15"/>
                <w:szCs w:val="15"/>
              </w:rPr>
              <w:t>MMLF program</w:t>
            </w:r>
          </w:p>
        </w:tc>
        <w:tc>
          <w:tcPr>
            <w:tcW w:w="0" w:type="auto"/>
            <w:gridSpan w:val="2"/>
            <w:shd w:val="clear" w:color="auto" w:fill="FFFFFF"/>
            <w:tcMar>
              <w:top w:w="40" w:type="dxa"/>
              <w:left w:w="20" w:type="dxa"/>
              <w:bottom w:w="40" w:type="dxa"/>
              <w:right w:w="0" w:type="dxa"/>
            </w:tcMar>
            <w:vAlign w:val="bottom"/>
          </w:tcPr>
          <w:p w14:paraId="5EA226E3"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E6" w14:textId="77777777" w:rsidR="003C66EB" w:rsidRDefault="00D96C4E">
            <w:pPr>
              <w:jc w:val="right"/>
              <w:textAlignment w:val="bottom"/>
            </w:pPr>
            <w:r>
              <w:rPr>
                <w:rFonts w:ascii="Arial" w:eastAsia="宋体" w:hAnsi="Arial" w:cs="Arial"/>
                <w:color w:val="000000"/>
                <w:sz w:val="15"/>
                <w:szCs w:val="15"/>
              </w:rPr>
              <w:t>(26,061)</w:t>
            </w:r>
          </w:p>
        </w:tc>
        <w:tc>
          <w:tcPr>
            <w:tcW w:w="0" w:type="auto"/>
            <w:shd w:val="clear" w:color="auto" w:fill="FFFFFF"/>
            <w:tcMar>
              <w:top w:w="40" w:type="dxa"/>
              <w:left w:w="0" w:type="dxa"/>
              <w:bottom w:w="40" w:type="dxa"/>
              <w:right w:w="20" w:type="dxa"/>
            </w:tcMar>
            <w:vAlign w:val="bottom"/>
          </w:tcPr>
          <w:p w14:paraId="5EA226E7" w14:textId="77777777" w:rsidR="003C66EB" w:rsidRDefault="003C66EB">
            <w:pPr>
              <w:jc w:val="right"/>
              <w:rPr>
                <w:rFonts w:ascii="宋体"/>
              </w:rPr>
            </w:pPr>
          </w:p>
        </w:tc>
        <w:tc>
          <w:tcPr>
            <w:tcW w:w="0" w:type="auto"/>
            <w:gridSpan w:val="3"/>
            <w:shd w:val="clear" w:color="auto" w:fill="auto"/>
          </w:tcPr>
          <w:p w14:paraId="5EA226E8" w14:textId="77777777" w:rsidR="003C66EB" w:rsidRDefault="003C66EB">
            <w:pPr>
              <w:rPr>
                <w:rFonts w:ascii="宋体"/>
                <w:vanish/>
              </w:rPr>
            </w:pPr>
          </w:p>
        </w:tc>
        <w:tc>
          <w:tcPr>
            <w:tcW w:w="0" w:type="auto"/>
            <w:gridSpan w:val="3"/>
            <w:shd w:val="clear" w:color="auto" w:fill="auto"/>
          </w:tcPr>
          <w:p w14:paraId="5EA226E9" w14:textId="77777777" w:rsidR="003C66EB" w:rsidRDefault="003C66EB">
            <w:pPr>
              <w:rPr>
                <w:rFonts w:ascii="宋体"/>
                <w:vanish/>
              </w:rPr>
            </w:pPr>
          </w:p>
        </w:tc>
      </w:tr>
      <w:tr w:rsidR="003C66EB" w14:paraId="5EA226F1" w14:textId="77777777">
        <w:trPr>
          <w:hidden/>
        </w:trPr>
        <w:tc>
          <w:tcPr>
            <w:tcW w:w="0" w:type="auto"/>
            <w:gridSpan w:val="3"/>
            <w:shd w:val="clear" w:color="auto" w:fill="auto"/>
          </w:tcPr>
          <w:p w14:paraId="5EA226EB" w14:textId="77777777" w:rsidR="003C66EB" w:rsidRDefault="003C66EB">
            <w:pPr>
              <w:rPr>
                <w:rFonts w:ascii="宋体"/>
                <w:vanish/>
              </w:rPr>
            </w:pPr>
          </w:p>
        </w:tc>
        <w:tc>
          <w:tcPr>
            <w:tcW w:w="0" w:type="auto"/>
            <w:gridSpan w:val="3"/>
            <w:shd w:val="clear" w:color="auto" w:fill="auto"/>
          </w:tcPr>
          <w:p w14:paraId="5EA226EC" w14:textId="77777777" w:rsidR="003C66EB" w:rsidRDefault="003C66EB">
            <w:pPr>
              <w:rPr>
                <w:rFonts w:ascii="宋体"/>
                <w:vanish/>
              </w:rPr>
            </w:pPr>
          </w:p>
        </w:tc>
        <w:tc>
          <w:tcPr>
            <w:tcW w:w="0" w:type="auto"/>
            <w:gridSpan w:val="3"/>
            <w:shd w:val="clear" w:color="auto" w:fill="auto"/>
          </w:tcPr>
          <w:p w14:paraId="5EA226ED" w14:textId="77777777" w:rsidR="003C66EB" w:rsidRDefault="003C66EB">
            <w:pPr>
              <w:rPr>
                <w:rFonts w:ascii="宋体"/>
                <w:vanish/>
              </w:rPr>
            </w:pPr>
          </w:p>
        </w:tc>
        <w:tc>
          <w:tcPr>
            <w:tcW w:w="0" w:type="auto"/>
            <w:gridSpan w:val="3"/>
            <w:shd w:val="clear" w:color="auto" w:fill="auto"/>
          </w:tcPr>
          <w:p w14:paraId="5EA226EE" w14:textId="77777777" w:rsidR="003C66EB" w:rsidRDefault="003C66EB">
            <w:pPr>
              <w:rPr>
                <w:rFonts w:ascii="宋体"/>
                <w:vanish/>
              </w:rPr>
            </w:pPr>
          </w:p>
        </w:tc>
        <w:tc>
          <w:tcPr>
            <w:tcW w:w="0" w:type="auto"/>
            <w:gridSpan w:val="3"/>
            <w:shd w:val="clear" w:color="auto" w:fill="auto"/>
          </w:tcPr>
          <w:p w14:paraId="5EA226EF" w14:textId="77777777" w:rsidR="003C66EB" w:rsidRDefault="003C66EB">
            <w:pPr>
              <w:rPr>
                <w:rFonts w:ascii="宋体"/>
                <w:vanish/>
              </w:rPr>
            </w:pPr>
          </w:p>
        </w:tc>
        <w:tc>
          <w:tcPr>
            <w:tcW w:w="0" w:type="auto"/>
            <w:gridSpan w:val="3"/>
            <w:shd w:val="clear" w:color="auto" w:fill="auto"/>
          </w:tcPr>
          <w:p w14:paraId="5EA226F0" w14:textId="77777777" w:rsidR="003C66EB" w:rsidRDefault="003C66EB">
            <w:pPr>
              <w:rPr>
                <w:rFonts w:ascii="宋体"/>
                <w:vanish/>
              </w:rPr>
            </w:pPr>
          </w:p>
        </w:tc>
      </w:tr>
      <w:tr w:rsidR="003C66EB" w14:paraId="5EA226FA" w14:textId="77777777">
        <w:tc>
          <w:tcPr>
            <w:tcW w:w="0" w:type="auto"/>
            <w:gridSpan w:val="3"/>
            <w:shd w:val="clear" w:color="auto" w:fill="CCEEFF"/>
            <w:tcMar>
              <w:top w:w="40" w:type="dxa"/>
              <w:left w:w="20" w:type="dxa"/>
              <w:bottom w:w="40" w:type="dxa"/>
              <w:right w:w="20" w:type="dxa"/>
            </w:tcMar>
            <w:vAlign w:val="bottom"/>
          </w:tcPr>
          <w:p w14:paraId="5EA226F2" w14:textId="77777777" w:rsidR="003C66EB" w:rsidRDefault="00D96C4E">
            <w:pPr>
              <w:textAlignment w:val="bottom"/>
            </w:pPr>
            <w:r>
              <w:rPr>
                <w:rFonts w:ascii="Arial" w:eastAsia="宋体" w:hAnsi="Arial" w:cs="Arial"/>
                <w:color w:val="000000"/>
                <w:sz w:val="15"/>
                <w:szCs w:val="15"/>
              </w:rPr>
              <w:t>Proceeds from maturities of held-to-maturity securities under the MMLF program</w:t>
            </w:r>
          </w:p>
        </w:tc>
        <w:tc>
          <w:tcPr>
            <w:tcW w:w="0" w:type="auto"/>
            <w:gridSpan w:val="2"/>
            <w:shd w:val="clear" w:color="auto" w:fill="CCEEFF"/>
            <w:tcMar>
              <w:top w:w="40" w:type="dxa"/>
              <w:left w:w="20" w:type="dxa"/>
              <w:bottom w:w="40" w:type="dxa"/>
              <w:right w:w="0" w:type="dxa"/>
            </w:tcMar>
            <w:vAlign w:val="bottom"/>
          </w:tcPr>
          <w:p w14:paraId="5EA226F3" w14:textId="77777777" w:rsidR="003C66EB" w:rsidRDefault="00D96C4E">
            <w:pPr>
              <w:jc w:val="right"/>
              <w:textAlignment w:val="bottom"/>
            </w:pPr>
            <w:r>
              <w:rPr>
                <w:rFonts w:ascii="Arial" w:eastAsia="宋体" w:hAnsi="Arial" w:cs="Arial"/>
                <w:b/>
                <w:bCs/>
                <w:color w:val="000000"/>
                <w:sz w:val="15"/>
                <w:szCs w:val="15"/>
              </w:rPr>
              <w:t>3,099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6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6F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6F6" w14:textId="77777777" w:rsidR="003C66EB" w:rsidRDefault="00D96C4E">
            <w:pPr>
              <w:jc w:val="right"/>
              <w:textAlignment w:val="bottom"/>
            </w:pPr>
            <w:r>
              <w:rPr>
                <w:rFonts w:ascii="Arial" w:eastAsia="宋体" w:hAnsi="Arial" w:cs="Arial"/>
                <w:color w:val="000000"/>
                <w:sz w:val="15"/>
                <w:szCs w:val="15"/>
              </w:rPr>
              <w:t>451 </w:t>
            </w:r>
          </w:p>
        </w:tc>
        <w:tc>
          <w:tcPr>
            <w:tcW w:w="0" w:type="auto"/>
            <w:shd w:val="clear" w:color="auto" w:fill="CCEEFF"/>
            <w:tcMar>
              <w:top w:w="40" w:type="dxa"/>
              <w:left w:w="0" w:type="dxa"/>
              <w:bottom w:w="40" w:type="dxa"/>
              <w:right w:w="20" w:type="dxa"/>
            </w:tcMar>
            <w:vAlign w:val="bottom"/>
          </w:tcPr>
          <w:p w14:paraId="5EA226F7" w14:textId="77777777" w:rsidR="003C66EB" w:rsidRDefault="003C66EB">
            <w:pPr>
              <w:jc w:val="right"/>
              <w:rPr>
                <w:rFonts w:ascii="宋体"/>
              </w:rPr>
            </w:pPr>
          </w:p>
        </w:tc>
        <w:tc>
          <w:tcPr>
            <w:tcW w:w="0" w:type="auto"/>
            <w:gridSpan w:val="3"/>
            <w:shd w:val="clear" w:color="auto" w:fill="auto"/>
          </w:tcPr>
          <w:p w14:paraId="5EA226F8" w14:textId="77777777" w:rsidR="003C66EB" w:rsidRDefault="003C66EB">
            <w:pPr>
              <w:rPr>
                <w:rFonts w:ascii="宋体"/>
                <w:vanish/>
              </w:rPr>
            </w:pPr>
          </w:p>
        </w:tc>
        <w:tc>
          <w:tcPr>
            <w:tcW w:w="0" w:type="auto"/>
            <w:gridSpan w:val="3"/>
            <w:shd w:val="clear" w:color="auto" w:fill="auto"/>
          </w:tcPr>
          <w:p w14:paraId="5EA226F9" w14:textId="77777777" w:rsidR="003C66EB" w:rsidRDefault="003C66EB">
            <w:pPr>
              <w:rPr>
                <w:rFonts w:ascii="宋体"/>
                <w:vanish/>
              </w:rPr>
            </w:pPr>
          </w:p>
        </w:tc>
      </w:tr>
      <w:tr w:rsidR="003C66EB" w14:paraId="5EA22703" w14:textId="77777777">
        <w:tc>
          <w:tcPr>
            <w:tcW w:w="0" w:type="auto"/>
            <w:gridSpan w:val="3"/>
            <w:shd w:val="clear" w:color="auto" w:fill="FFFFFF"/>
            <w:tcMar>
              <w:top w:w="40" w:type="dxa"/>
              <w:left w:w="20" w:type="dxa"/>
              <w:bottom w:w="40" w:type="dxa"/>
              <w:right w:w="20" w:type="dxa"/>
            </w:tcMar>
            <w:vAlign w:val="bottom"/>
          </w:tcPr>
          <w:p w14:paraId="5EA226FB" w14:textId="77777777" w:rsidR="003C66EB" w:rsidRDefault="00D96C4E">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FFFFFF"/>
            <w:tcMar>
              <w:top w:w="40" w:type="dxa"/>
              <w:left w:w="20" w:type="dxa"/>
              <w:bottom w:w="40" w:type="dxa"/>
              <w:right w:w="0" w:type="dxa"/>
            </w:tcMar>
            <w:vAlign w:val="bottom"/>
          </w:tcPr>
          <w:p w14:paraId="5EA226FC" w14:textId="77777777" w:rsidR="003C66EB" w:rsidRDefault="00D96C4E">
            <w:pPr>
              <w:jc w:val="right"/>
              <w:textAlignment w:val="bottom"/>
            </w:pPr>
            <w:r>
              <w:rPr>
                <w:rFonts w:ascii="Arial" w:eastAsia="宋体" w:hAnsi="Arial" w:cs="Arial"/>
                <w:b/>
                <w:bCs/>
                <w:color w:val="000000"/>
                <w:sz w:val="15"/>
                <w:szCs w:val="15"/>
              </w:rPr>
              <w:t>3,840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6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6F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6FF" w14:textId="77777777" w:rsidR="003C66EB" w:rsidRDefault="00D96C4E">
            <w:pPr>
              <w:jc w:val="right"/>
              <w:textAlignment w:val="bottom"/>
            </w:pPr>
            <w:r>
              <w:rPr>
                <w:rFonts w:ascii="Arial" w:eastAsia="宋体" w:hAnsi="Arial" w:cs="Arial"/>
                <w:color w:val="000000"/>
                <w:sz w:val="15"/>
                <w:szCs w:val="15"/>
              </w:rPr>
              <w:t>2,695 </w:t>
            </w:r>
          </w:p>
        </w:tc>
        <w:tc>
          <w:tcPr>
            <w:tcW w:w="0" w:type="auto"/>
            <w:shd w:val="clear" w:color="auto" w:fill="FFFFFF"/>
            <w:tcMar>
              <w:top w:w="40" w:type="dxa"/>
              <w:left w:w="0" w:type="dxa"/>
              <w:bottom w:w="40" w:type="dxa"/>
              <w:right w:w="20" w:type="dxa"/>
            </w:tcMar>
            <w:vAlign w:val="bottom"/>
          </w:tcPr>
          <w:p w14:paraId="5EA22700" w14:textId="77777777" w:rsidR="003C66EB" w:rsidRDefault="003C66EB">
            <w:pPr>
              <w:jc w:val="right"/>
              <w:rPr>
                <w:rFonts w:ascii="宋体"/>
              </w:rPr>
            </w:pPr>
          </w:p>
        </w:tc>
        <w:tc>
          <w:tcPr>
            <w:tcW w:w="0" w:type="auto"/>
            <w:gridSpan w:val="3"/>
            <w:shd w:val="clear" w:color="auto" w:fill="auto"/>
          </w:tcPr>
          <w:p w14:paraId="5EA22701" w14:textId="77777777" w:rsidR="003C66EB" w:rsidRDefault="003C66EB">
            <w:pPr>
              <w:rPr>
                <w:rFonts w:ascii="宋体"/>
                <w:vanish/>
              </w:rPr>
            </w:pPr>
          </w:p>
        </w:tc>
        <w:tc>
          <w:tcPr>
            <w:tcW w:w="0" w:type="auto"/>
            <w:gridSpan w:val="3"/>
            <w:shd w:val="clear" w:color="auto" w:fill="auto"/>
          </w:tcPr>
          <w:p w14:paraId="5EA22702" w14:textId="77777777" w:rsidR="003C66EB" w:rsidRDefault="003C66EB">
            <w:pPr>
              <w:rPr>
                <w:rFonts w:ascii="宋体"/>
                <w:vanish/>
              </w:rPr>
            </w:pPr>
          </w:p>
        </w:tc>
      </w:tr>
      <w:tr w:rsidR="003C66EB" w14:paraId="5EA2270C" w14:textId="77777777">
        <w:tc>
          <w:tcPr>
            <w:tcW w:w="0" w:type="auto"/>
            <w:gridSpan w:val="3"/>
            <w:shd w:val="clear" w:color="auto" w:fill="CCEEFF"/>
            <w:tcMar>
              <w:top w:w="40" w:type="dxa"/>
              <w:left w:w="20" w:type="dxa"/>
              <w:bottom w:w="40" w:type="dxa"/>
              <w:right w:w="20" w:type="dxa"/>
            </w:tcMar>
            <w:vAlign w:val="bottom"/>
          </w:tcPr>
          <w:p w14:paraId="5EA22704" w14:textId="77777777" w:rsidR="003C66EB" w:rsidRDefault="00D96C4E">
            <w:pPr>
              <w:textAlignment w:val="bottom"/>
            </w:pPr>
            <w:r>
              <w:rPr>
                <w:rFonts w:ascii="Arial" w:eastAsia="宋体" w:hAnsi="Arial" w:cs="Arial"/>
                <w:color w:val="000000"/>
                <w:sz w:val="15"/>
                <w:szCs w:val="15"/>
              </w:rPr>
              <w:t xml:space="preserve">Purchases of held-to-maturity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EA22705" w14:textId="77777777" w:rsidR="003C66EB" w:rsidRDefault="00D96C4E">
            <w:pPr>
              <w:jc w:val="right"/>
              <w:textAlignment w:val="bottom"/>
            </w:pPr>
            <w:r>
              <w:rPr>
                <w:rFonts w:ascii="Arial" w:eastAsia="宋体" w:hAnsi="Arial" w:cs="Arial"/>
                <w:b/>
                <w:bCs/>
                <w:color w:val="000000"/>
                <w:sz w:val="15"/>
                <w:szCs w:val="15"/>
              </w:rPr>
              <w:t>(1,268)</w:t>
            </w:r>
          </w:p>
        </w:tc>
        <w:tc>
          <w:tcPr>
            <w:tcW w:w="0" w:type="auto"/>
            <w:shd w:val="clear" w:color="auto" w:fill="CCEEFF"/>
            <w:tcMar>
              <w:top w:w="40" w:type="dxa"/>
              <w:left w:w="0" w:type="dxa"/>
              <w:bottom w:w="40" w:type="dxa"/>
              <w:right w:w="20" w:type="dxa"/>
            </w:tcMar>
            <w:vAlign w:val="bottom"/>
          </w:tcPr>
          <w:p w14:paraId="5EA2270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0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08" w14:textId="77777777" w:rsidR="003C66EB" w:rsidRDefault="00D96C4E">
            <w:pPr>
              <w:jc w:val="right"/>
              <w:textAlignment w:val="bottom"/>
            </w:pPr>
            <w:r>
              <w:rPr>
                <w:rFonts w:ascii="Arial" w:eastAsia="宋体" w:hAnsi="Arial" w:cs="Arial"/>
                <w:color w:val="000000"/>
                <w:sz w:val="15"/>
                <w:szCs w:val="15"/>
              </w:rPr>
              <w:t>(2,141)</w:t>
            </w:r>
          </w:p>
        </w:tc>
        <w:tc>
          <w:tcPr>
            <w:tcW w:w="0" w:type="auto"/>
            <w:shd w:val="clear" w:color="auto" w:fill="CCEEFF"/>
            <w:tcMar>
              <w:top w:w="40" w:type="dxa"/>
              <w:left w:w="0" w:type="dxa"/>
              <w:bottom w:w="40" w:type="dxa"/>
              <w:right w:w="20" w:type="dxa"/>
            </w:tcMar>
            <w:vAlign w:val="bottom"/>
          </w:tcPr>
          <w:p w14:paraId="5EA22709" w14:textId="77777777" w:rsidR="003C66EB" w:rsidRDefault="003C66EB">
            <w:pPr>
              <w:jc w:val="right"/>
              <w:rPr>
                <w:rFonts w:ascii="宋体"/>
              </w:rPr>
            </w:pPr>
          </w:p>
        </w:tc>
        <w:tc>
          <w:tcPr>
            <w:tcW w:w="0" w:type="auto"/>
            <w:gridSpan w:val="3"/>
            <w:shd w:val="clear" w:color="auto" w:fill="auto"/>
          </w:tcPr>
          <w:p w14:paraId="5EA2270A" w14:textId="77777777" w:rsidR="003C66EB" w:rsidRDefault="003C66EB">
            <w:pPr>
              <w:rPr>
                <w:rFonts w:ascii="宋体"/>
                <w:vanish/>
              </w:rPr>
            </w:pPr>
          </w:p>
        </w:tc>
        <w:tc>
          <w:tcPr>
            <w:tcW w:w="0" w:type="auto"/>
            <w:gridSpan w:val="3"/>
            <w:shd w:val="clear" w:color="auto" w:fill="auto"/>
          </w:tcPr>
          <w:p w14:paraId="5EA2270B" w14:textId="77777777" w:rsidR="003C66EB" w:rsidRDefault="003C66EB">
            <w:pPr>
              <w:rPr>
                <w:rFonts w:ascii="宋体"/>
                <w:vanish/>
              </w:rPr>
            </w:pPr>
          </w:p>
        </w:tc>
      </w:tr>
      <w:tr w:rsidR="003C66EB" w14:paraId="5EA22715" w14:textId="77777777">
        <w:tc>
          <w:tcPr>
            <w:tcW w:w="0" w:type="auto"/>
            <w:gridSpan w:val="3"/>
            <w:shd w:val="clear" w:color="auto" w:fill="FFFFFF"/>
            <w:tcMar>
              <w:top w:w="40" w:type="dxa"/>
              <w:left w:w="20" w:type="dxa"/>
              <w:bottom w:w="40" w:type="dxa"/>
              <w:right w:w="20" w:type="dxa"/>
            </w:tcMar>
            <w:vAlign w:val="bottom"/>
          </w:tcPr>
          <w:p w14:paraId="5EA2270D" w14:textId="77777777" w:rsidR="003C66EB" w:rsidRDefault="00D96C4E">
            <w:pPr>
              <w:textAlignment w:val="bottom"/>
            </w:pPr>
            <w:r>
              <w:rPr>
                <w:rFonts w:ascii="Arial" w:eastAsia="宋体" w:hAnsi="Arial" w:cs="Arial"/>
                <w:color w:val="000000"/>
                <w:sz w:val="15"/>
                <w:szCs w:val="15"/>
              </w:rPr>
              <w:t>Sale of loans</w:t>
            </w:r>
          </w:p>
        </w:tc>
        <w:tc>
          <w:tcPr>
            <w:tcW w:w="0" w:type="auto"/>
            <w:gridSpan w:val="2"/>
            <w:shd w:val="clear" w:color="auto" w:fill="FFFFFF"/>
            <w:tcMar>
              <w:top w:w="40" w:type="dxa"/>
              <w:left w:w="20" w:type="dxa"/>
              <w:bottom w:w="40" w:type="dxa"/>
              <w:right w:w="0" w:type="dxa"/>
            </w:tcMar>
            <w:vAlign w:val="bottom"/>
          </w:tcPr>
          <w:p w14:paraId="5EA2270E" w14:textId="77777777" w:rsidR="003C66EB" w:rsidRDefault="00D96C4E">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70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1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11" w14:textId="77777777" w:rsidR="003C66EB" w:rsidRDefault="00D96C4E">
            <w:pPr>
              <w:jc w:val="right"/>
              <w:textAlignment w:val="bottom"/>
            </w:pPr>
            <w:r>
              <w:rPr>
                <w:rFonts w:ascii="Arial" w:eastAsia="宋体" w:hAnsi="Arial" w:cs="Arial"/>
                <w:color w:val="000000"/>
                <w:sz w:val="15"/>
                <w:szCs w:val="15"/>
              </w:rPr>
              <w:t>93 </w:t>
            </w:r>
          </w:p>
        </w:tc>
        <w:tc>
          <w:tcPr>
            <w:tcW w:w="0" w:type="auto"/>
            <w:shd w:val="clear" w:color="auto" w:fill="FFFFFF"/>
            <w:tcMar>
              <w:top w:w="40" w:type="dxa"/>
              <w:left w:w="0" w:type="dxa"/>
              <w:bottom w:w="40" w:type="dxa"/>
              <w:right w:w="20" w:type="dxa"/>
            </w:tcMar>
            <w:vAlign w:val="bottom"/>
          </w:tcPr>
          <w:p w14:paraId="5EA22712" w14:textId="77777777" w:rsidR="003C66EB" w:rsidRDefault="003C66EB">
            <w:pPr>
              <w:jc w:val="right"/>
              <w:rPr>
                <w:rFonts w:ascii="宋体"/>
              </w:rPr>
            </w:pPr>
          </w:p>
        </w:tc>
        <w:tc>
          <w:tcPr>
            <w:tcW w:w="0" w:type="auto"/>
            <w:gridSpan w:val="3"/>
            <w:shd w:val="clear" w:color="auto" w:fill="auto"/>
          </w:tcPr>
          <w:p w14:paraId="5EA22713" w14:textId="77777777" w:rsidR="003C66EB" w:rsidRDefault="003C66EB">
            <w:pPr>
              <w:rPr>
                <w:rFonts w:ascii="宋体"/>
                <w:vanish/>
              </w:rPr>
            </w:pPr>
          </w:p>
        </w:tc>
        <w:tc>
          <w:tcPr>
            <w:tcW w:w="0" w:type="auto"/>
            <w:gridSpan w:val="3"/>
            <w:shd w:val="clear" w:color="auto" w:fill="auto"/>
          </w:tcPr>
          <w:p w14:paraId="5EA22714" w14:textId="77777777" w:rsidR="003C66EB" w:rsidRDefault="003C66EB">
            <w:pPr>
              <w:rPr>
                <w:rFonts w:ascii="宋体"/>
                <w:vanish/>
              </w:rPr>
            </w:pPr>
          </w:p>
        </w:tc>
      </w:tr>
      <w:tr w:rsidR="003C66EB" w14:paraId="5EA2271E" w14:textId="77777777">
        <w:tc>
          <w:tcPr>
            <w:tcW w:w="0" w:type="auto"/>
            <w:gridSpan w:val="3"/>
            <w:shd w:val="clear" w:color="auto" w:fill="CCEEFF"/>
            <w:tcMar>
              <w:top w:w="40" w:type="dxa"/>
              <w:left w:w="20" w:type="dxa"/>
              <w:bottom w:w="40" w:type="dxa"/>
              <w:right w:w="20" w:type="dxa"/>
            </w:tcMar>
            <w:vAlign w:val="bottom"/>
          </w:tcPr>
          <w:p w14:paraId="5EA22716" w14:textId="77777777" w:rsidR="003C66EB" w:rsidRDefault="00D96C4E">
            <w:pPr>
              <w:textAlignment w:val="bottom"/>
            </w:pPr>
            <w:r>
              <w:rPr>
                <w:rFonts w:ascii="Arial" w:eastAsia="宋体" w:hAnsi="Arial" w:cs="Arial"/>
                <w:color w:val="000000"/>
                <w:sz w:val="15"/>
                <w:szCs w:val="15"/>
              </w:rPr>
              <w:t>Net (increase) in loans</w:t>
            </w:r>
          </w:p>
        </w:tc>
        <w:tc>
          <w:tcPr>
            <w:tcW w:w="0" w:type="auto"/>
            <w:gridSpan w:val="2"/>
            <w:shd w:val="clear" w:color="auto" w:fill="CCEEFF"/>
            <w:tcMar>
              <w:top w:w="40" w:type="dxa"/>
              <w:left w:w="20" w:type="dxa"/>
              <w:bottom w:w="40" w:type="dxa"/>
              <w:right w:w="0" w:type="dxa"/>
            </w:tcMar>
            <w:vAlign w:val="bottom"/>
          </w:tcPr>
          <w:p w14:paraId="5EA22717" w14:textId="77777777" w:rsidR="003C66EB" w:rsidRDefault="00D96C4E">
            <w:pPr>
              <w:jc w:val="right"/>
              <w:textAlignment w:val="bottom"/>
            </w:pPr>
            <w:r>
              <w:rPr>
                <w:rFonts w:ascii="Arial" w:eastAsia="宋体" w:hAnsi="Arial" w:cs="Arial"/>
                <w:b/>
                <w:bCs/>
                <w:color w:val="000000"/>
                <w:sz w:val="15"/>
                <w:szCs w:val="15"/>
              </w:rPr>
              <w:t>(3,695)</w:t>
            </w:r>
          </w:p>
        </w:tc>
        <w:tc>
          <w:tcPr>
            <w:tcW w:w="0" w:type="auto"/>
            <w:shd w:val="clear" w:color="auto" w:fill="CCEEFF"/>
            <w:tcMar>
              <w:top w:w="40" w:type="dxa"/>
              <w:left w:w="0" w:type="dxa"/>
              <w:bottom w:w="40" w:type="dxa"/>
              <w:right w:w="20" w:type="dxa"/>
            </w:tcMar>
            <w:vAlign w:val="bottom"/>
          </w:tcPr>
          <w:p w14:paraId="5EA2271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1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1A" w14:textId="77777777" w:rsidR="003C66EB" w:rsidRDefault="00D96C4E">
            <w:pPr>
              <w:jc w:val="right"/>
              <w:textAlignment w:val="bottom"/>
            </w:pPr>
            <w:r>
              <w:rPr>
                <w:rFonts w:ascii="Arial" w:eastAsia="宋体" w:hAnsi="Arial" w:cs="Arial"/>
                <w:color w:val="000000"/>
                <w:sz w:val="15"/>
                <w:szCs w:val="15"/>
              </w:rPr>
              <w:t>(6,164)</w:t>
            </w:r>
          </w:p>
        </w:tc>
        <w:tc>
          <w:tcPr>
            <w:tcW w:w="0" w:type="auto"/>
            <w:shd w:val="clear" w:color="auto" w:fill="CCEEFF"/>
            <w:tcMar>
              <w:top w:w="40" w:type="dxa"/>
              <w:left w:w="0" w:type="dxa"/>
              <w:bottom w:w="40" w:type="dxa"/>
              <w:right w:w="20" w:type="dxa"/>
            </w:tcMar>
            <w:vAlign w:val="bottom"/>
          </w:tcPr>
          <w:p w14:paraId="5EA2271B" w14:textId="77777777" w:rsidR="003C66EB" w:rsidRDefault="003C66EB">
            <w:pPr>
              <w:jc w:val="right"/>
              <w:rPr>
                <w:rFonts w:ascii="宋体"/>
              </w:rPr>
            </w:pPr>
          </w:p>
        </w:tc>
        <w:tc>
          <w:tcPr>
            <w:tcW w:w="0" w:type="auto"/>
            <w:gridSpan w:val="3"/>
            <w:shd w:val="clear" w:color="auto" w:fill="auto"/>
          </w:tcPr>
          <w:p w14:paraId="5EA2271C" w14:textId="77777777" w:rsidR="003C66EB" w:rsidRDefault="003C66EB">
            <w:pPr>
              <w:rPr>
                <w:rFonts w:ascii="宋体"/>
                <w:vanish/>
              </w:rPr>
            </w:pPr>
          </w:p>
        </w:tc>
        <w:tc>
          <w:tcPr>
            <w:tcW w:w="0" w:type="auto"/>
            <w:gridSpan w:val="3"/>
            <w:shd w:val="clear" w:color="auto" w:fill="auto"/>
          </w:tcPr>
          <w:p w14:paraId="5EA2271D" w14:textId="77777777" w:rsidR="003C66EB" w:rsidRDefault="003C66EB">
            <w:pPr>
              <w:rPr>
                <w:rFonts w:ascii="宋体"/>
                <w:vanish/>
              </w:rPr>
            </w:pPr>
          </w:p>
        </w:tc>
      </w:tr>
      <w:tr w:rsidR="003C66EB" w14:paraId="5EA22727" w14:textId="77777777">
        <w:tc>
          <w:tcPr>
            <w:tcW w:w="0" w:type="auto"/>
            <w:gridSpan w:val="3"/>
            <w:shd w:val="clear" w:color="auto" w:fill="FFFFFF"/>
            <w:tcMar>
              <w:top w:w="40" w:type="dxa"/>
              <w:left w:w="20" w:type="dxa"/>
              <w:bottom w:w="40" w:type="dxa"/>
              <w:right w:w="20" w:type="dxa"/>
            </w:tcMar>
            <w:vAlign w:val="bottom"/>
          </w:tcPr>
          <w:p w14:paraId="5EA2271F" w14:textId="77777777" w:rsidR="003C66EB" w:rsidRDefault="00D96C4E">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FFFFFF"/>
            <w:tcMar>
              <w:top w:w="40" w:type="dxa"/>
              <w:left w:w="20" w:type="dxa"/>
              <w:bottom w:w="40" w:type="dxa"/>
              <w:right w:w="0" w:type="dxa"/>
            </w:tcMar>
            <w:vAlign w:val="bottom"/>
          </w:tcPr>
          <w:p w14:paraId="5EA22720" w14:textId="77777777" w:rsidR="003C66EB" w:rsidRDefault="00D96C4E">
            <w:pPr>
              <w:jc w:val="right"/>
              <w:textAlignment w:val="bottom"/>
            </w:pPr>
            <w:r>
              <w:rPr>
                <w:rFonts w:ascii="Arial" w:eastAsia="宋体" w:hAnsi="Arial" w:cs="Arial"/>
                <w:b/>
                <w:bCs/>
                <w:color w:val="000000"/>
                <w:sz w:val="15"/>
                <w:szCs w:val="15"/>
              </w:rPr>
              <w:t>(214)</w:t>
            </w:r>
          </w:p>
        </w:tc>
        <w:tc>
          <w:tcPr>
            <w:tcW w:w="0" w:type="auto"/>
            <w:shd w:val="clear" w:color="auto" w:fill="FFFFFF"/>
            <w:tcMar>
              <w:top w:w="40" w:type="dxa"/>
              <w:left w:w="0" w:type="dxa"/>
              <w:bottom w:w="40" w:type="dxa"/>
              <w:right w:w="20" w:type="dxa"/>
            </w:tcMar>
            <w:vAlign w:val="bottom"/>
          </w:tcPr>
          <w:p w14:paraId="5EA227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2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23"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724" w14:textId="77777777" w:rsidR="003C66EB" w:rsidRDefault="003C66EB">
            <w:pPr>
              <w:jc w:val="right"/>
              <w:rPr>
                <w:rFonts w:ascii="宋体"/>
              </w:rPr>
            </w:pPr>
          </w:p>
        </w:tc>
        <w:tc>
          <w:tcPr>
            <w:tcW w:w="0" w:type="auto"/>
            <w:gridSpan w:val="3"/>
            <w:shd w:val="clear" w:color="auto" w:fill="auto"/>
          </w:tcPr>
          <w:p w14:paraId="5EA22725" w14:textId="77777777" w:rsidR="003C66EB" w:rsidRDefault="003C66EB">
            <w:pPr>
              <w:rPr>
                <w:rFonts w:ascii="宋体"/>
                <w:vanish/>
              </w:rPr>
            </w:pPr>
          </w:p>
        </w:tc>
        <w:tc>
          <w:tcPr>
            <w:tcW w:w="0" w:type="auto"/>
            <w:gridSpan w:val="3"/>
            <w:shd w:val="clear" w:color="auto" w:fill="auto"/>
          </w:tcPr>
          <w:p w14:paraId="5EA22726" w14:textId="77777777" w:rsidR="003C66EB" w:rsidRDefault="003C66EB">
            <w:pPr>
              <w:rPr>
                <w:rFonts w:ascii="宋体"/>
                <w:vanish/>
              </w:rPr>
            </w:pPr>
          </w:p>
        </w:tc>
      </w:tr>
      <w:tr w:rsidR="003C66EB" w14:paraId="5EA22730" w14:textId="77777777">
        <w:tc>
          <w:tcPr>
            <w:tcW w:w="0" w:type="auto"/>
            <w:gridSpan w:val="3"/>
            <w:shd w:val="clear" w:color="auto" w:fill="CCEEFF"/>
            <w:tcMar>
              <w:top w:w="40" w:type="dxa"/>
              <w:left w:w="20" w:type="dxa"/>
              <w:bottom w:w="40" w:type="dxa"/>
              <w:right w:w="20" w:type="dxa"/>
            </w:tcMar>
            <w:vAlign w:val="bottom"/>
          </w:tcPr>
          <w:p w14:paraId="5EA22728" w14:textId="77777777" w:rsidR="003C66EB" w:rsidRDefault="00D96C4E">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CCEEFF"/>
            <w:tcMar>
              <w:top w:w="40" w:type="dxa"/>
              <w:left w:w="20" w:type="dxa"/>
              <w:bottom w:w="40" w:type="dxa"/>
              <w:right w:w="0" w:type="dxa"/>
            </w:tcMar>
            <w:vAlign w:val="bottom"/>
          </w:tcPr>
          <w:p w14:paraId="5EA22729" w14:textId="77777777" w:rsidR="003C66EB" w:rsidRDefault="00D96C4E">
            <w:pPr>
              <w:jc w:val="right"/>
              <w:textAlignment w:val="bottom"/>
            </w:pPr>
            <w:r>
              <w:rPr>
                <w:rFonts w:ascii="Arial" w:eastAsia="宋体" w:hAnsi="Arial" w:cs="Arial"/>
                <w:b/>
                <w:bCs/>
                <w:color w:val="000000"/>
                <w:sz w:val="15"/>
                <w:szCs w:val="15"/>
              </w:rPr>
              <w:t>(34)</w:t>
            </w:r>
          </w:p>
        </w:tc>
        <w:tc>
          <w:tcPr>
            <w:tcW w:w="0" w:type="auto"/>
            <w:shd w:val="clear" w:color="auto" w:fill="CCEEFF"/>
            <w:tcMar>
              <w:top w:w="40" w:type="dxa"/>
              <w:left w:w="0" w:type="dxa"/>
              <w:bottom w:w="40" w:type="dxa"/>
              <w:right w:w="20" w:type="dxa"/>
            </w:tcMar>
            <w:vAlign w:val="bottom"/>
          </w:tcPr>
          <w:p w14:paraId="5EA2272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2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2C" w14:textId="77777777" w:rsidR="003C66EB" w:rsidRDefault="00D96C4E">
            <w:pPr>
              <w:jc w:val="right"/>
              <w:textAlignment w:val="bottom"/>
            </w:pPr>
            <w:r>
              <w:rPr>
                <w:rFonts w:ascii="Arial" w:eastAsia="宋体" w:hAnsi="Arial" w:cs="Arial"/>
                <w:color w:val="000000"/>
                <w:sz w:val="15"/>
                <w:szCs w:val="15"/>
              </w:rPr>
              <w:t>(794)</w:t>
            </w:r>
          </w:p>
        </w:tc>
        <w:tc>
          <w:tcPr>
            <w:tcW w:w="0" w:type="auto"/>
            <w:shd w:val="clear" w:color="auto" w:fill="CCEEFF"/>
            <w:tcMar>
              <w:top w:w="40" w:type="dxa"/>
              <w:left w:w="0" w:type="dxa"/>
              <w:bottom w:w="40" w:type="dxa"/>
              <w:right w:w="20" w:type="dxa"/>
            </w:tcMar>
            <w:vAlign w:val="bottom"/>
          </w:tcPr>
          <w:p w14:paraId="5EA2272D" w14:textId="77777777" w:rsidR="003C66EB" w:rsidRDefault="003C66EB">
            <w:pPr>
              <w:jc w:val="right"/>
              <w:rPr>
                <w:rFonts w:ascii="宋体"/>
              </w:rPr>
            </w:pPr>
          </w:p>
        </w:tc>
        <w:tc>
          <w:tcPr>
            <w:tcW w:w="0" w:type="auto"/>
            <w:gridSpan w:val="3"/>
            <w:shd w:val="clear" w:color="auto" w:fill="auto"/>
          </w:tcPr>
          <w:p w14:paraId="5EA2272E" w14:textId="77777777" w:rsidR="003C66EB" w:rsidRDefault="003C66EB">
            <w:pPr>
              <w:rPr>
                <w:rFonts w:ascii="宋体"/>
                <w:vanish/>
              </w:rPr>
            </w:pPr>
          </w:p>
        </w:tc>
        <w:tc>
          <w:tcPr>
            <w:tcW w:w="0" w:type="auto"/>
            <w:gridSpan w:val="3"/>
            <w:shd w:val="clear" w:color="auto" w:fill="auto"/>
          </w:tcPr>
          <w:p w14:paraId="5EA2272F" w14:textId="77777777" w:rsidR="003C66EB" w:rsidRDefault="003C66EB">
            <w:pPr>
              <w:rPr>
                <w:rFonts w:ascii="宋体"/>
                <w:vanish/>
              </w:rPr>
            </w:pPr>
          </w:p>
        </w:tc>
      </w:tr>
      <w:tr w:rsidR="003C66EB" w14:paraId="5EA22739" w14:textId="77777777">
        <w:tc>
          <w:tcPr>
            <w:tcW w:w="0" w:type="auto"/>
            <w:gridSpan w:val="3"/>
            <w:shd w:val="clear" w:color="auto" w:fill="FFFFFF"/>
            <w:tcMar>
              <w:top w:w="40" w:type="dxa"/>
              <w:left w:w="20" w:type="dxa"/>
              <w:bottom w:w="40" w:type="dxa"/>
              <w:right w:w="20" w:type="dxa"/>
            </w:tcMar>
            <w:vAlign w:val="bottom"/>
          </w:tcPr>
          <w:p w14:paraId="5EA22731" w14:textId="77777777" w:rsidR="003C66EB" w:rsidRDefault="00D96C4E">
            <w:pPr>
              <w:textAlignment w:val="bottom"/>
            </w:pPr>
            <w:r>
              <w:rPr>
                <w:rFonts w:ascii="Arial" w:eastAsia="宋体" w:hAnsi="Arial" w:cs="Arial"/>
                <w:color w:val="000000"/>
                <w:sz w:val="15"/>
                <w:szCs w:val="15"/>
              </w:rPr>
              <w:t>Purchases of premises and equipment, net</w:t>
            </w:r>
          </w:p>
        </w:tc>
        <w:tc>
          <w:tcPr>
            <w:tcW w:w="0" w:type="auto"/>
            <w:gridSpan w:val="2"/>
            <w:shd w:val="clear" w:color="auto" w:fill="FFFFFF"/>
            <w:tcMar>
              <w:top w:w="40" w:type="dxa"/>
              <w:left w:w="20" w:type="dxa"/>
              <w:bottom w:w="40" w:type="dxa"/>
              <w:right w:w="0" w:type="dxa"/>
            </w:tcMar>
            <w:vAlign w:val="bottom"/>
          </w:tcPr>
          <w:p w14:paraId="5EA22732" w14:textId="77777777" w:rsidR="003C66EB" w:rsidRDefault="00D96C4E">
            <w:pPr>
              <w:jc w:val="right"/>
              <w:textAlignment w:val="bottom"/>
            </w:pPr>
            <w:r>
              <w:rPr>
                <w:rFonts w:ascii="Arial" w:eastAsia="宋体" w:hAnsi="Arial" w:cs="Arial"/>
                <w:b/>
                <w:bCs/>
                <w:color w:val="000000"/>
                <w:sz w:val="15"/>
                <w:szCs w:val="15"/>
              </w:rPr>
              <w:t>(162)</w:t>
            </w:r>
          </w:p>
        </w:tc>
        <w:tc>
          <w:tcPr>
            <w:tcW w:w="0" w:type="auto"/>
            <w:shd w:val="clear" w:color="auto" w:fill="FFFFFF"/>
            <w:tcMar>
              <w:top w:w="40" w:type="dxa"/>
              <w:left w:w="0" w:type="dxa"/>
              <w:bottom w:w="40" w:type="dxa"/>
              <w:right w:w="20" w:type="dxa"/>
            </w:tcMar>
            <w:vAlign w:val="bottom"/>
          </w:tcPr>
          <w:p w14:paraId="5EA227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35" w14:textId="77777777" w:rsidR="003C66EB" w:rsidRDefault="00D96C4E">
            <w:pPr>
              <w:jc w:val="right"/>
              <w:textAlignment w:val="bottom"/>
            </w:pPr>
            <w:r>
              <w:rPr>
                <w:rFonts w:ascii="Arial" w:eastAsia="宋体" w:hAnsi="Arial" w:cs="Arial"/>
                <w:color w:val="000000"/>
                <w:sz w:val="15"/>
                <w:szCs w:val="15"/>
              </w:rPr>
              <w:t>(114)</w:t>
            </w:r>
          </w:p>
        </w:tc>
        <w:tc>
          <w:tcPr>
            <w:tcW w:w="0" w:type="auto"/>
            <w:shd w:val="clear" w:color="auto" w:fill="FFFFFF"/>
            <w:tcMar>
              <w:top w:w="40" w:type="dxa"/>
              <w:left w:w="0" w:type="dxa"/>
              <w:bottom w:w="40" w:type="dxa"/>
              <w:right w:w="20" w:type="dxa"/>
            </w:tcMar>
            <w:vAlign w:val="bottom"/>
          </w:tcPr>
          <w:p w14:paraId="5EA22736" w14:textId="77777777" w:rsidR="003C66EB" w:rsidRDefault="003C66EB">
            <w:pPr>
              <w:jc w:val="right"/>
              <w:rPr>
                <w:rFonts w:ascii="宋体"/>
              </w:rPr>
            </w:pPr>
          </w:p>
        </w:tc>
        <w:tc>
          <w:tcPr>
            <w:tcW w:w="0" w:type="auto"/>
            <w:gridSpan w:val="3"/>
            <w:shd w:val="clear" w:color="auto" w:fill="auto"/>
          </w:tcPr>
          <w:p w14:paraId="5EA22737" w14:textId="77777777" w:rsidR="003C66EB" w:rsidRDefault="003C66EB">
            <w:pPr>
              <w:rPr>
                <w:rFonts w:ascii="宋体"/>
                <w:vanish/>
              </w:rPr>
            </w:pPr>
          </w:p>
        </w:tc>
        <w:tc>
          <w:tcPr>
            <w:tcW w:w="0" w:type="auto"/>
            <w:gridSpan w:val="3"/>
            <w:shd w:val="clear" w:color="auto" w:fill="auto"/>
          </w:tcPr>
          <w:p w14:paraId="5EA22738" w14:textId="77777777" w:rsidR="003C66EB" w:rsidRDefault="003C66EB">
            <w:pPr>
              <w:rPr>
                <w:rFonts w:ascii="宋体"/>
                <w:vanish/>
              </w:rPr>
            </w:pPr>
          </w:p>
        </w:tc>
      </w:tr>
      <w:tr w:rsidR="003C66EB" w14:paraId="5EA22740" w14:textId="77777777">
        <w:trPr>
          <w:hidden/>
        </w:trPr>
        <w:tc>
          <w:tcPr>
            <w:tcW w:w="0" w:type="auto"/>
            <w:gridSpan w:val="3"/>
            <w:shd w:val="clear" w:color="auto" w:fill="auto"/>
          </w:tcPr>
          <w:p w14:paraId="5EA2273A" w14:textId="77777777" w:rsidR="003C66EB" w:rsidRDefault="003C66EB">
            <w:pPr>
              <w:rPr>
                <w:rFonts w:ascii="宋体"/>
                <w:vanish/>
              </w:rPr>
            </w:pPr>
          </w:p>
        </w:tc>
        <w:tc>
          <w:tcPr>
            <w:tcW w:w="0" w:type="auto"/>
            <w:gridSpan w:val="3"/>
            <w:shd w:val="clear" w:color="auto" w:fill="auto"/>
          </w:tcPr>
          <w:p w14:paraId="5EA2273B" w14:textId="77777777" w:rsidR="003C66EB" w:rsidRDefault="003C66EB">
            <w:pPr>
              <w:rPr>
                <w:rFonts w:ascii="宋体"/>
                <w:vanish/>
              </w:rPr>
            </w:pPr>
          </w:p>
        </w:tc>
        <w:tc>
          <w:tcPr>
            <w:tcW w:w="0" w:type="auto"/>
            <w:gridSpan w:val="3"/>
            <w:shd w:val="clear" w:color="auto" w:fill="auto"/>
          </w:tcPr>
          <w:p w14:paraId="5EA2273C" w14:textId="77777777" w:rsidR="003C66EB" w:rsidRDefault="003C66EB">
            <w:pPr>
              <w:rPr>
                <w:rFonts w:ascii="宋体"/>
                <w:vanish/>
              </w:rPr>
            </w:pPr>
          </w:p>
        </w:tc>
        <w:tc>
          <w:tcPr>
            <w:tcW w:w="0" w:type="auto"/>
            <w:gridSpan w:val="3"/>
            <w:shd w:val="clear" w:color="auto" w:fill="auto"/>
          </w:tcPr>
          <w:p w14:paraId="5EA2273D" w14:textId="77777777" w:rsidR="003C66EB" w:rsidRDefault="003C66EB">
            <w:pPr>
              <w:rPr>
                <w:rFonts w:ascii="宋体"/>
                <w:vanish/>
              </w:rPr>
            </w:pPr>
          </w:p>
        </w:tc>
        <w:tc>
          <w:tcPr>
            <w:tcW w:w="0" w:type="auto"/>
            <w:gridSpan w:val="3"/>
            <w:shd w:val="clear" w:color="auto" w:fill="auto"/>
          </w:tcPr>
          <w:p w14:paraId="5EA2273E" w14:textId="77777777" w:rsidR="003C66EB" w:rsidRDefault="003C66EB">
            <w:pPr>
              <w:rPr>
                <w:rFonts w:ascii="宋体"/>
                <w:vanish/>
              </w:rPr>
            </w:pPr>
          </w:p>
        </w:tc>
        <w:tc>
          <w:tcPr>
            <w:tcW w:w="0" w:type="auto"/>
            <w:gridSpan w:val="3"/>
            <w:shd w:val="clear" w:color="auto" w:fill="auto"/>
          </w:tcPr>
          <w:p w14:paraId="5EA2273F" w14:textId="77777777" w:rsidR="003C66EB" w:rsidRDefault="003C66EB">
            <w:pPr>
              <w:rPr>
                <w:rFonts w:ascii="宋体"/>
                <w:vanish/>
              </w:rPr>
            </w:pPr>
          </w:p>
        </w:tc>
      </w:tr>
      <w:tr w:rsidR="003C66EB" w14:paraId="5EA22749" w14:textId="77777777">
        <w:tc>
          <w:tcPr>
            <w:tcW w:w="0" w:type="auto"/>
            <w:gridSpan w:val="3"/>
            <w:shd w:val="clear" w:color="auto" w:fill="CCEEFF"/>
            <w:tcMar>
              <w:top w:w="40" w:type="dxa"/>
              <w:left w:w="20" w:type="dxa"/>
              <w:bottom w:w="40" w:type="dxa"/>
              <w:right w:w="20" w:type="dxa"/>
            </w:tcMar>
            <w:vAlign w:val="bottom"/>
          </w:tcPr>
          <w:p w14:paraId="5EA22741" w14:textId="77777777" w:rsidR="003C66EB" w:rsidRDefault="00D96C4E">
            <w:pPr>
              <w:textAlignment w:val="bottom"/>
            </w:pPr>
            <w:r>
              <w:rPr>
                <w:rFonts w:ascii="Arial" w:eastAsia="宋体" w:hAnsi="Arial" w:cs="Arial"/>
                <w:color w:val="000000"/>
                <w:sz w:val="15"/>
                <w:szCs w:val="15"/>
              </w:rPr>
              <w:t>Other, net</w:t>
            </w:r>
          </w:p>
        </w:tc>
        <w:tc>
          <w:tcPr>
            <w:tcW w:w="0" w:type="auto"/>
            <w:gridSpan w:val="2"/>
            <w:shd w:val="clear" w:color="auto" w:fill="CCEEFF"/>
            <w:tcMar>
              <w:top w:w="40" w:type="dxa"/>
              <w:left w:w="20" w:type="dxa"/>
              <w:bottom w:w="40" w:type="dxa"/>
              <w:right w:w="0" w:type="dxa"/>
            </w:tcMar>
            <w:vAlign w:val="bottom"/>
          </w:tcPr>
          <w:p w14:paraId="5EA22742" w14:textId="77777777" w:rsidR="003C66EB" w:rsidRDefault="00D96C4E">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7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4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45" w14:textId="77777777" w:rsidR="003C66EB" w:rsidRDefault="00D96C4E">
            <w:pPr>
              <w:jc w:val="right"/>
              <w:textAlignment w:val="bottom"/>
            </w:pPr>
            <w:r>
              <w:rPr>
                <w:rFonts w:ascii="Arial" w:eastAsia="宋体" w:hAnsi="Arial" w:cs="Arial"/>
                <w:color w:val="000000"/>
                <w:sz w:val="15"/>
                <w:szCs w:val="15"/>
              </w:rPr>
              <w:t>641 </w:t>
            </w:r>
          </w:p>
        </w:tc>
        <w:tc>
          <w:tcPr>
            <w:tcW w:w="0" w:type="auto"/>
            <w:shd w:val="clear" w:color="auto" w:fill="CCEEFF"/>
            <w:tcMar>
              <w:top w:w="40" w:type="dxa"/>
              <w:left w:w="0" w:type="dxa"/>
              <w:bottom w:w="40" w:type="dxa"/>
              <w:right w:w="20" w:type="dxa"/>
            </w:tcMar>
            <w:vAlign w:val="bottom"/>
          </w:tcPr>
          <w:p w14:paraId="5EA22746" w14:textId="77777777" w:rsidR="003C66EB" w:rsidRDefault="003C66EB">
            <w:pPr>
              <w:jc w:val="right"/>
              <w:rPr>
                <w:rFonts w:ascii="宋体"/>
              </w:rPr>
            </w:pPr>
          </w:p>
        </w:tc>
        <w:tc>
          <w:tcPr>
            <w:tcW w:w="0" w:type="auto"/>
            <w:gridSpan w:val="3"/>
            <w:shd w:val="clear" w:color="auto" w:fill="auto"/>
          </w:tcPr>
          <w:p w14:paraId="5EA22747" w14:textId="77777777" w:rsidR="003C66EB" w:rsidRDefault="003C66EB">
            <w:pPr>
              <w:rPr>
                <w:rFonts w:ascii="宋体"/>
                <w:vanish/>
              </w:rPr>
            </w:pPr>
          </w:p>
        </w:tc>
        <w:tc>
          <w:tcPr>
            <w:tcW w:w="0" w:type="auto"/>
            <w:gridSpan w:val="3"/>
            <w:shd w:val="clear" w:color="auto" w:fill="auto"/>
          </w:tcPr>
          <w:p w14:paraId="5EA22748" w14:textId="77777777" w:rsidR="003C66EB" w:rsidRDefault="003C66EB">
            <w:pPr>
              <w:rPr>
                <w:rFonts w:ascii="宋体"/>
                <w:vanish/>
              </w:rPr>
            </w:pPr>
          </w:p>
        </w:tc>
      </w:tr>
      <w:tr w:rsidR="003C66EB" w14:paraId="5EA22752" w14:textId="77777777">
        <w:tc>
          <w:tcPr>
            <w:tcW w:w="0" w:type="auto"/>
            <w:gridSpan w:val="3"/>
            <w:shd w:val="clear" w:color="auto" w:fill="FFFFFF"/>
            <w:tcMar>
              <w:top w:w="40" w:type="dxa"/>
              <w:left w:w="20" w:type="dxa"/>
              <w:bottom w:w="40" w:type="dxa"/>
              <w:right w:w="20" w:type="dxa"/>
            </w:tcMar>
            <w:vAlign w:val="bottom"/>
          </w:tcPr>
          <w:p w14:paraId="5EA2274A" w14:textId="77777777" w:rsidR="003C66EB" w:rsidRDefault="00D96C4E">
            <w:pPr>
              <w:textAlignment w:val="bottom"/>
            </w:pPr>
            <w:r>
              <w:rPr>
                <w:rFonts w:ascii="Arial" w:eastAsia="宋体" w:hAnsi="Arial" w:cs="Arial"/>
                <w:color w:val="000000"/>
                <w:sz w:val="15"/>
                <w:szCs w:val="15"/>
              </w:rPr>
              <w:t>Net 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74B" w14:textId="77777777" w:rsidR="003C66EB" w:rsidRDefault="00D96C4E">
            <w:pPr>
              <w:jc w:val="right"/>
              <w:textAlignment w:val="bottom"/>
            </w:pPr>
            <w:r>
              <w:rPr>
                <w:rFonts w:ascii="Arial" w:eastAsia="宋体" w:hAnsi="Arial" w:cs="Arial"/>
                <w:b/>
                <w:bCs/>
                <w:color w:val="000000"/>
                <w:sz w:val="15"/>
                <w:szCs w:val="15"/>
              </w:rPr>
              <w:t>6,804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74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4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74E" w14:textId="77777777" w:rsidR="003C66EB" w:rsidRDefault="00D96C4E">
            <w:pPr>
              <w:jc w:val="right"/>
              <w:textAlignment w:val="bottom"/>
            </w:pPr>
            <w:r>
              <w:rPr>
                <w:rFonts w:ascii="Arial" w:eastAsia="宋体" w:hAnsi="Arial" w:cs="Arial"/>
                <w:color w:val="000000"/>
                <w:sz w:val="15"/>
                <w:szCs w:val="15"/>
              </w:rPr>
              <w:t>(112,773)</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74F" w14:textId="77777777" w:rsidR="003C66EB" w:rsidRDefault="003C66EB">
            <w:pPr>
              <w:jc w:val="right"/>
              <w:rPr>
                <w:rFonts w:ascii="宋体"/>
              </w:rPr>
            </w:pPr>
          </w:p>
        </w:tc>
        <w:tc>
          <w:tcPr>
            <w:tcW w:w="0" w:type="auto"/>
            <w:gridSpan w:val="3"/>
            <w:shd w:val="clear" w:color="auto" w:fill="auto"/>
          </w:tcPr>
          <w:p w14:paraId="5EA22750" w14:textId="77777777" w:rsidR="003C66EB" w:rsidRDefault="003C66EB">
            <w:pPr>
              <w:rPr>
                <w:rFonts w:ascii="宋体"/>
                <w:vanish/>
              </w:rPr>
            </w:pPr>
          </w:p>
        </w:tc>
        <w:tc>
          <w:tcPr>
            <w:tcW w:w="0" w:type="auto"/>
            <w:gridSpan w:val="3"/>
            <w:shd w:val="clear" w:color="auto" w:fill="auto"/>
          </w:tcPr>
          <w:p w14:paraId="5EA22751" w14:textId="77777777" w:rsidR="003C66EB" w:rsidRDefault="003C66EB">
            <w:pPr>
              <w:rPr>
                <w:rFonts w:ascii="宋体"/>
                <w:vanish/>
              </w:rPr>
            </w:pPr>
          </w:p>
        </w:tc>
      </w:tr>
      <w:tr w:rsidR="003C66EB" w14:paraId="5EA22759" w14:textId="77777777">
        <w:tc>
          <w:tcPr>
            <w:tcW w:w="0" w:type="auto"/>
            <w:gridSpan w:val="3"/>
            <w:shd w:val="clear" w:color="auto" w:fill="CCEEFF"/>
            <w:tcMar>
              <w:top w:w="40" w:type="dxa"/>
              <w:left w:w="20" w:type="dxa"/>
              <w:bottom w:w="40" w:type="dxa"/>
              <w:right w:w="20" w:type="dxa"/>
            </w:tcMar>
            <w:vAlign w:val="bottom"/>
          </w:tcPr>
          <w:p w14:paraId="5EA22753" w14:textId="77777777" w:rsidR="003C66EB" w:rsidRDefault="00D96C4E">
            <w:pPr>
              <w:textAlignment w:val="bottom"/>
            </w:pPr>
            <w:r>
              <w:rPr>
                <w:rFonts w:ascii="Arial" w:eastAsia="宋体" w:hAnsi="Arial" w:cs="Arial"/>
                <w:b/>
                <w:bCs/>
                <w:color w:val="000000"/>
                <w:sz w:val="15"/>
                <w:szCs w:val="15"/>
              </w:rPr>
              <w:t>Financing Activities:</w:t>
            </w:r>
          </w:p>
        </w:tc>
        <w:tc>
          <w:tcPr>
            <w:tcW w:w="0" w:type="auto"/>
            <w:gridSpan w:val="3"/>
            <w:shd w:val="clear" w:color="auto" w:fill="CCEEFF"/>
            <w:tcMar>
              <w:top w:w="0" w:type="dxa"/>
              <w:left w:w="20" w:type="dxa"/>
              <w:bottom w:w="0" w:type="dxa"/>
              <w:right w:w="20" w:type="dxa"/>
            </w:tcMar>
          </w:tcPr>
          <w:p w14:paraId="5EA2275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75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756" w14:textId="77777777" w:rsidR="003C66EB" w:rsidRDefault="003C66EB">
            <w:pPr>
              <w:rPr>
                <w:rFonts w:ascii="宋体"/>
              </w:rPr>
            </w:pPr>
          </w:p>
        </w:tc>
        <w:tc>
          <w:tcPr>
            <w:tcW w:w="0" w:type="auto"/>
            <w:gridSpan w:val="3"/>
            <w:shd w:val="clear" w:color="auto" w:fill="auto"/>
          </w:tcPr>
          <w:p w14:paraId="5EA22757" w14:textId="77777777" w:rsidR="003C66EB" w:rsidRDefault="003C66EB">
            <w:pPr>
              <w:rPr>
                <w:rFonts w:ascii="宋体"/>
                <w:vanish/>
              </w:rPr>
            </w:pPr>
          </w:p>
        </w:tc>
        <w:tc>
          <w:tcPr>
            <w:tcW w:w="0" w:type="auto"/>
            <w:gridSpan w:val="3"/>
            <w:shd w:val="clear" w:color="auto" w:fill="auto"/>
          </w:tcPr>
          <w:p w14:paraId="5EA22758" w14:textId="77777777" w:rsidR="003C66EB" w:rsidRDefault="003C66EB">
            <w:pPr>
              <w:rPr>
                <w:rFonts w:ascii="宋体"/>
                <w:vanish/>
              </w:rPr>
            </w:pPr>
          </w:p>
        </w:tc>
      </w:tr>
      <w:tr w:rsidR="003C66EB" w14:paraId="5EA22762" w14:textId="77777777">
        <w:tc>
          <w:tcPr>
            <w:tcW w:w="0" w:type="auto"/>
            <w:gridSpan w:val="3"/>
            <w:shd w:val="clear" w:color="auto" w:fill="FFFFFF"/>
            <w:tcMar>
              <w:top w:w="40" w:type="dxa"/>
              <w:left w:w="20" w:type="dxa"/>
              <w:bottom w:w="40" w:type="dxa"/>
              <w:right w:w="20" w:type="dxa"/>
            </w:tcMar>
            <w:vAlign w:val="bottom"/>
          </w:tcPr>
          <w:p w14:paraId="5EA2275A" w14:textId="77777777" w:rsidR="003C66EB" w:rsidRDefault="00D96C4E">
            <w:pPr>
              <w:textAlignment w:val="bottom"/>
            </w:pPr>
            <w:r>
              <w:rPr>
                <w:rFonts w:ascii="Arial" w:eastAsia="宋体" w:hAnsi="Arial" w:cs="Arial"/>
                <w:color w:val="000000"/>
                <w:sz w:val="15"/>
                <w:szCs w:val="15"/>
              </w:rPr>
              <w:t>Net (decrease) increase in time deposits</w:t>
            </w:r>
          </w:p>
        </w:tc>
        <w:tc>
          <w:tcPr>
            <w:tcW w:w="0" w:type="auto"/>
            <w:gridSpan w:val="2"/>
            <w:shd w:val="clear" w:color="auto" w:fill="FFFFFF"/>
            <w:tcMar>
              <w:top w:w="40" w:type="dxa"/>
              <w:left w:w="20" w:type="dxa"/>
              <w:bottom w:w="40" w:type="dxa"/>
              <w:right w:w="0" w:type="dxa"/>
            </w:tcMar>
            <w:vAlign w:val="bottom"/>
          </w:tcPr>
          <w:p w14:paraId="5EA2275B" w14:textId="77777777" w:rsidR="003C66EB" w:rsidRDefault="00D96C4E">
            <w:pPr>
              <w:jc w:val="right"/>
              <w:textAlignment w:val="bottom"/>
            </w:pPr>
            <w:r>
              <w:rPr>
                <w:rFonts w:ascii="Arial" w:eastAsia="宋体" w:hAnsi="Arial" w:cs="Arial"/>
                <w:b/>
                <w:bCs/>
                <w:color w:val="000000"/>
                <w:sz w:val="15"/>
                <w:szCs w:val="15"/>
              </w:rPr>
              <w:t>(1,580)</w:t>
            </w:r>
          </w:p>
        </w:tc>
        <w:tc>
          <w:tcPr>
            <w:tcW w:w="0" w:type="auto"/>
            <w:shd w:val="clear" w:color="auto" w:fill="FFFFFF"/>
            <w:tcMar>
              <w:top w:w="40" w:type="dxa"/>
              <w:left w:w="0" w:type="dxa"/>
              <w:bottom w:w="40" w:type="dxa"/>
              <w:right w:w="20" w:type="dxa"/>
            </w:tcMar>
            <w:vAlign w:val="bottom"/>
          </w:tcPr>
          <w:p w14:paraId="5EA2275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5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5E" w14:textId="77777777" w:rsidR="003C66EB" w:rsidRDefault="00D96C4E">
            <w:pPr>
              <w:jc w:val="right"/>
              <w:textAlignment w:val="bottom"/>
            </w:pPr>
            <w:r>
              <w:rPr>
                <w:rFonts w:ascii="Arial" w:eastAsia="宋体" w:hAnsi="Arial" w:cs="Arial"/>
                <w:color w:val="000000"/>
                <w:sz w:val="15"/>
                <w:szCs w:val="15"/>
              </w:rPr>
              <w:t>18,635 </w:t>
            </w:r>
          </w:p>
        </w:tc>
        <w:tc>
          <w:tcPr>
            <w:tcW w:w="0" w:type="auto"/>
            <w:shd w:val="clear" w:color="auto" w:fill="FFFFFF"/>
            <w:tcMar>
              <w:top w:w="40" w:type="dxa"/>
              <w:left w:w="0" w:type="dxa"/>
              <w:bottom w:w="40" w:type="dxa"/>
              <w:right w:w="20" w:type="dxa"/>
            </w:tcMar>
            <w:vAlign w:val="bottom"/>
          </w:tcPr>
          <w:p w14:paraId="5EA2275F" w14:textId="77777777" w:rsidR="003C66EB" w:rsidRDefault="003C66EB">
            <w:pPr>
              <w:jc w:val="right"/>
              <w:rPr>
                <w:rFonts w:ascii="宋体"/>
              </w:rPr>
            </w:pPr>
          </w:p>
        </w:tc>
        <w:tc>
          <w:tcPr>
            <w:tcW w:w="0" w:type="auto"/>
            <w:gridSpan w:val="3"/>
            <w:shd w:val="clear" w:color="auto" w:fill="auto"/>
          </w:tcPr>
          <w:p w14:paraId="5EA22760" w14:textId="77777777" w:rsidR="003C66EB" w:rsidRDefault="003C66EB">
            <w:pPr>
              <w:rPr>
                <w:rFonts w:ascii="宋体"/>
                <w:vanish/>
              </w:rPr>
            </w:pPr>
          </w:p>
        </w:tc>
        <w:tc>
          <w:tcPr>
            <w:tcW w:w="0" w:type="auto"/>
            <w:gridSpan w:val="3"/>
            <w:shd w:val="clear" w:color="auto" w:fill="auto"/>
          </w:tcPr>
          <w:p w14:paraId="5EA22761" w14:textId="77777777" w:rsidR="003C66EB" w:rsidRDefault="003C66EB">
            <w:pPr>
              <w:rPr>
                <w:rFonts w:ascii="宋体"/>
                <w:vanish/>
              </w:rPr>
            </w:pPr>
          </w:p>
        </w:tc>
      </w:tr>
      <w:tr w:rsidR="003C66EB" w14:paraId="5EA2276B" w14:textId="77777777">
        <w:tc>
          <w:tcPr>
            <w:tcW w:w="0" w:type="auto"/>
            <w:gridSpan w:val="3"/>
            <w:shd w:val="clear" w:color="auto" w:fill="CCEEFF"/>
            <w:tcMar>
              <w:top w:w="40" w:type="dxa"/>
              <w:left w:w="20" w:type="dxa"/>
              <w:bottom w:w="40" w:type="dxa"/>
              <w:right w:w="20" w:type="dxa"/>
            </w:tcMar>
            <w:vAlign w:val="bottom"/>
          </w:tcPr>
          <w:p w14:paraId="5EA22763" w14:textId="77777777" w:rsidR="003C66EB" w:rsidRDefault="00D96C4E">
            <w:pPr>
              <w:textAlignment w:val="bottom"/>
            </w:pPr>
            <w:r>
              <w:rPr>
                <w:rFonts w:ascii="Arial" w:eastAsia="宋体" w:hAnsi="Arial" w:cs="Arial"/>
                <w:color w:val="000000"/>
                <w:sz w:val="15"/>
                <w:szCs w:val="15"/>
              </w:rPr>
              <w:t>Net increase (decrease) in all other deposits</w:t>
            </w:r>
          </w:p>
        </w:tc>
        <w:tc>
          <w:tcPr>
            <w:tcW w:w="0" w:type="auto"/>
            <w:gridSpan w:val="2"/>
            <w:shd w:val="clear" w:color="auto" w:fill="CCEEFF"/>
            <w:tcMar>
              <w:top w:w="40" w:type="dxa"/>
              <w:left w:w="20" w:type="dxa"/>
              <w:bottom w:w="40" w:type="dxa"/>
              <w:right w:w="0" w:type="dxa"/>
            </w:tcMar>
            <w:vAlign w:val="bottom"/>
          </w:tcPr>
          <w:p w14:paraId="5EA22764" w14:textId="77777777" w:rsidR="003C66EB" w:rsidRDefault="00D96C4E">
            <w:pPr>
              <w:jc w:val="right"/>
              <w:textAlignment w:val="bottom"/>
            </w:pPr>
            <w:r>
              <w:rPr>
                <w:rFonts w:ascii="Arial" w:eastAsia="宋体" w:hAnsi="Arial" w:cs="Arial"/>
                <w:b/>
                <w:bCs/>
                <w:color w:val="000000"/>
                <w:sz w:val="15"/>
                <w:szCs w:val="15"/>
              </w:rPr>
              <w:t>6,674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7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67" w14:textId="77777777" w:rsidR="003C66EB" w:rsidRDefault="00D96C4E">
            <w:pPr>
              <w:jc w:val="right"/>
              <w:textAlignment w:val="bottom"/>
            </w:pPr>
            <w:r>
              <w:rPr>
                <w:rFonts w:ascii="Arial" w:eastAsia="宋体" w:hAnsi="Arial" w:cs="Arial"/>
                <w:color w:val="000000"/>
                <w:sz w:val="15"/>
                <w:szCs w:val="15"/>
              </w:rPr>
              <w:t>56,596 </w:t>
            </w:r>
          </w:p>
        </w:tc>
        <w:tc>
          <w:tcPr>
            <w:tcW w:w="0" w:type="auto"/>
            <w:shd w:val="clear" w:color="auto" w:fill="CCEEFF"/>
            <w:tcMar>
              <w:top w:w="40" w:type="dxa"/>
              <w:left w:w="0" w:type="dxa"/>
              <w:bottom w:w="40" w:type="dxa"/>
              <w:right w:w="20" w:type="dxa"/>
            </w:tcMar>
            <w:vAlign w:val="bottom"/>
          </w:tcPr>
          <w:p w14:paraId="5EA22768" w14:textId="77777777" w:rsidR="003C66EB" w:rsidRDefault="003C66EB">
            <w:pPr>
              <w:jc w:val="right"/>
              <w:rPr>
                <w:rFonts w:ascii="宋体"/>
              </w:rPr>
            </w:pPr>
          </w:p>
        </w:tc>
        <w:tc>
          <w:tcPr>
            <w:tcW w:w="0" w:type="auto"/>
            <w:gridSpan w:val="3"/>
            <w:shd w:val="clear" w:color="auto" w:fill="auto"/>
          </w:tcPr>
          <w:p w14:paraId="5EA22769" w14:textId="77777777" w:rsidR="003C66EB" w:rsidRDefault="003C66EB">
            <w:pPr>
              <w:rPr>
                <w:rFonts w:ascii="宋体"/>
                <w:vanish/>
              </w:rPr>
            </w:pPr>
          </w:p>
        </w:tc>
        <w:tc>
          <w:tcPr>
            <w:tcW w:w="0" w:type="auto"/>
            <w:gridSpan w:val="3"/>
            <w:shd w:val="clear" w:color="auto" w:fill="auto"/>
          </w:tcPr>
          <w:p w14:paraId="5EA2276A" w14:textId="77777777" w:rsidR="003C66EB" w:rsidRDefault="003C66EB">
            <w:pPr>
              <w:rPr>
                <w:rFonts w:ascii="宋体"/>
                <w:vanish/>
              </w:rPr>
            </w:pPr>
          </w:p>
        </w:tc>
      </w:tr>
      <w:tr w:rsidR="003C66EB" w14:paraId="5EA22774" w14:textId="77777777">
        <w:tc>
          <w:tcPr>
            <w:tcW w:w="0" w:type="auto"/>
            <w:gridSpan w:val="3"/>
            <w:shd w:val="clear" w:color="auto" w:fill="FFFFFF"/>
            <w:tcMar>
              <w:top w:w="40" w:type="dxa"/>
              <w:left w:w="20" w:type="dxa"/>
              <w:bottom w:w="40" w:type="dxa"/>
              <w:right w:w="20" w:type="dxa"/>
            </w:tcMar>
            <w:vAlign w:val="bottom"/>
          </w:tcPr>
          <w:p w14:paraId="5EA2276C" w14:textId="77777777" w:rsidR="003C66EB" w:rsidRDefault="00D96C4E">
            <w:pPr>
              <w:textAlignment w:val="bottom"/>
            </w:pPr>
            <w:r>
              <w:rPr>
                <w:rFonts w:ascii="Arial" w:eastAsia="宋体" w:hAnsi="Arial" w:cs="Arial"/>
                <w:color w:val="000000"/>
                <w:sz w:val="15"/>
                <w:szCs w:val="15"/>
              </w:rPr>
              <w:t>Net (decrease) increase in securities sold under repurchase agreements</w:t>
            </w:r>
          </w:p>
        </w:tc>
        <w:tc>
          <w:tcPr>
            <w:tcW w:w="0" w:type="auto"/>
            <w:gridSpan w:val="2"/>
            <w:shd w:val="clear" w:color="auto" w:fill="FFFFFF"/>
            <w:tcMar>
              <w:top w:w="40" w:type="dxa"/>
              <w:left w:w="20" w:type="dxa"/>
              <w:bottom w:w="40" w:type="dxa"/>
              <w:right w:w="0" w:type="dxa"/>
            </w:tcMar>
            <w:vAlign w:val="bottom"/>
          </w:tcPr>
          <w:p w14:paraId="5EA2276D" w14:textId="77777777" w:rsidR="003C66EB" w:rsidRDefault="00D96C4E">
            <w:pPr>
              <w:jc w:val="right"/>
              <w:textAlignment w:val="bottom"/>
            </w:pPr>
            <w:r>
              <w:rPr>
                <w:rFonts w:ascii="Arial" w:eastAsia="宋体" w:hAnsi="Arial" w:cs="Arial"/>
                <w:b/>
                <w:bCs/>
                <w:color w:val="000000"/>
                <w:sz w:val="15"/>
                <w:szCs w:val="15"/>
              </w:rPr>
              <w:t>(2,826)</w:t>
            </w:r>
          </w:p>
        </w:tc>
        <w:tc>
          <w:tcPr>
            <w:tcW w:w="0" w:type="auto"/>
            <w:shd w:val="clear" w:color="auto" w:fill="FFFFFF"/>
            <w:tcMar>
              <w:top w:w="40" w:type="dxa"/>
              <w:left w:w="0" w:type="dxa"/>
              <w:bottom w:w="40" w:type="dxa"/>
              <w:right w:w="20" w:type="dxa"/>
            </w:tcMar>
            <w:vAlign w:val="bottom"/>
          </w:tcPr>
          <w:p w14:paraId="5EA227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6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70" w14:textId="77777777" w:rsidR="003C66EB" w:rsidRDefault="00D96C4E">
            <w:pPr>
              <w:jc w:val="right"/>
              <w:textAlignment w:val="bottom"/>
            </w:pPr>
            <w:r>
              <w:rPr>
                <w:rFonts w:ascii="Arial" w:eastAsia="宋体" w:hAnsi="Arial" w:cs="Arial"/>
                <w:color w:val="000000"/>
                <w:sz w:val="15"/>
                <w:szCs w:val="15"/>
              </w:rPr>
              <w:t>4,271 </w:t>
            </w:r>
          </w:p>
        </w:tc>
        <w:tc>
          <w:tcPr>
            <w:tcW w:w="0" w:type="auto"/>
            <w:shd w:val="clear" w:color="auto" w:fill="FFFFFF"/>
            <w:tcMar>
              <w:top w:w="40" w:type="dxa"/>
              <w:left w:w="0" w:type="dxa"/>
              <w:bottom w:w="40" w:type="dxa"/>
              <w:right w:w="20" w:type="dxa"/>
            </w:tcMar>
            <w:vAlign w:val="bottom"/>
          </w:tcPr>
          <w:p w14:paraId="5EA22771" w14:textId="77777777" w:rsidR="003C66EB" w:rsidRDefault="003C66EB">
            <w:pPr>
              <w:jc w:val="right"/>
              <w:rPr>
                <w:rFonts w:ascii="宋体"/>
              </w:rPr>
            </w:pPr>
          </w:p>
        </w:tc>
        <w:tc>
          <w:tcPr>
            <w:tcW w:w="0" w:type="auto"/>
            <w:gridSpan w:val="3"/>
            <w:shd w:val="clear" w:color="auto" w:fill="auto"/>
          </w:tcPr>
          <w:p w14:paraId="5EA22772" w14:textId="77777777" w:rsidR="003C66EB" w:rsidRDefault="003C66EB">
            <w:pPr>
              <w:rPr>
                <w:rFonts w:ascii="宋体"/>
                <w:vanish/>
              </w:rPr>
            </w:pPr>
          </w:p>
        </w:tc>
        <w:tc>
          <w:tcPr>
            <w:tcW w:w="0" w:type="auto"/>
            <w:gridSpan w:val="3"/>
            <w:shd w:val="clear" w:color="auto" w:fill="auto"/>
          </w:tcPr>
          <w:p w14:paraId="5EA22773" w14:textId="77777777" w:rsidR="003C66EB" w:rsidRDefault="003C66EB">
            <w:pPr>
              <w:rPr>
                <w:rFonts w:ascii="宋体"/>
                <w:vanish/>
              </w:rPr>
            </w:pPr>
          </w:p>
        </w:tc>
      </w:tr>
      <w:tr w:rsidR="003C66EB" w14:paraId="5EA2277D" w14:textId="77777777">
        <w:tc>
          <w:tcPr>
            <w:tcW w:w="0" w:type="auto"/>
            <w:gridSpan w:val="3"/>
            <w:shd w:val="clear" w:color="auto" w:fill="CCEEFF"/>
            <w:tcMar>
              <w:top w:w="40" w:type="dxa"/>
              <w:left w:w="20" w:type="dxa"/>
              <w:bottom w:w="40" w:type="dxa"/>
              <w:right w:w="20" w:type="dxa"/>
            </w:tcMar>
            <w:vAlign w:val="bottom"/>
          </w:tcPr>
          <w:p w14:paraId="5EA22775" w14:textId="77777777" w:rsidR="003C66EB" w:rsidRDefault="00D96C4E">
            <w:pPr>
              <w:textAlignment w:val="bottom"/>
            </w:pPr>
            <w:r>
              <w:rPr>
                <w:rFonts w:ascii="Arial" w:eastAsia="宋体" w:hAnsi="Arial" w:cs="Arial"/>
                <w:color w:val="000000"/>
                <w:sz w:val="15"/>
                <w:szCs w:val="15"/>
              </w:rPr>
              <w:t xml:space="preserve">Net (decrease) increase in short-term borrowings under money market </w:t>
            </w:r>
            <w:r>
              <w:rPr>
                <w:rFonts w:ascii="Arial" w:eastAsia="宋体" w:hAnsi="Arial" w:cs="Arial"/>
                <w:color w:val="000000"/>
                <w:sz w:val="15"/>
                <w:szCs w:val="15"/>
              </w:rPr>
              <w:t>liquidity facility</w:t>
            </w:r>
          </w:p>
        </w:tc>
        <w:tc>
          <w:tcPr>
            <w:tcW w:w="0" w:type="auto"/>
            <w:gridSpan w:val="2"/>
            <w:shd w:val="clear" w:color="auto" w:fill="CCEEFF"/>
            <w:tcMar>
              <w:top w:w="40" w:type="dxa"/>
              <w:left w:w="20" w:type="dxa"/>
              <w:bottom w:w="40" w:type="dxa"/>
              <w:right w:w="0" w:type="dxa"/>
            </w:tcMar>
            <w:vAlign w:val="bottom"/>
          </w:tcPr>
          <w:p w14:paraId="5EA22776" w14:textId="77777777" w:rsidR="003C66EB" w:rsidRDefault="00D96C4E">
            <w:pPr>
              <w:jc w:val="right"/>
              <w:textAlignment w:val="bottom"/>
            </w:pPr>
            <w:r>
              <w:rPr>
                <w:rFonts w:ascii="Arial" w:eastAsia="宋体" w:hAnsi="Arial" w:cs="Arial"/>
                <w:b/>
                <w:bCs/>
                <w:color w:val="000000"/>
                <w:sz w:val="15"/>
                <w:szCs w:val="15"/>
              </w:rPr>
              <w:t>(3,102)</w:t>
            </w:r>
          </w:p>
        </w:tc>
        <w:tc>
          <w:tcPr>
            <w:tcW w:w="0" w:type="auto"/>
            <w:shd w:val="clear" w:color="auto" w:fill="CCEEFF"/>
            <w:tcMar>
              <w:top w:w="40" w:type="dxa"/>
              <w:left w:w="0" w:type="dxa"/>
              <w:bottom w:w="40" w:type="dxa"/>
              <w:right w:w="20" w:type="dxa"/>
            </w:tcMar>
            <w:vAlign w:val="bottom"/>
          </w:tcPr>
          <w:p w14:paraId="5EA227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7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79" w14:textId="77777777" w:rsidR="003C66EB" w:rsidRDefault="00D96C4E">
            <w:pPr>
              <w:jc w:val="right"/>
              <w:textAlignment w:val="bottom"/>
            </w:pPr>
            <w:r>
              <w:rPr>
                <w:rFonts w:ascii="Arial" w:eastAsia="宋体" w:hAnsi="Arial" w:cs="Arial"/>
                <w:color w:val="000000"/>
                <w:sz w:val="15"/>
                <w:szCs w:val="15"/>
              </w:rPr>
              <w:t>25,665 </w:t>
            </w:r>
          </w:p>
        </w:tc>
        <w:tc>
          <w:tcPr>
            <w:tcW w:w="0" w:type="auto"/>
            <w:shd w:val="clear" w:color="auto" w:fill="CCEEFF"/>
            <w:tcMar>
              <w:top w:w="40" w:type="dxa"/>
              <w:left w:w="0" w:type="dxa"/>
              <w:bottom w:w="40" w:type="dxa"/>
              <w:right w:w="20" w:type="dxa"/>
            </w:tcMar>
            <w:vAlign w:val="bottom"/>
          </w:tcPr>
          <w:p w14:paraId="5EA2277A" w14:textId="77777777" w:rsidR="003C66EB" w:rsidRDefault="003C66EB">
            <w:pPr>
              <w:jc w:val="right"/>
              <w:rPr>
                <w:rFonts w:ascii="宋体"/>
              </w:rPr>
            </w:pPr>
          </w:p>
        </w:tc>
        <w:tc>
          <w:tcPr>
            <w:tcW w:w="0" w:type="auto"/>
            <w:gridSpan w:val="3"/>
            <w:shd w:val="clear" w:color="auto" w:fill="auto"/>
          </w:tcPr>
          <w:p w14:paraId="5EA2277B" w14:textId="77777777" w:rsidR="003C66EB" w:rsidRDefault="003C66EB">
            <w:pPr>
              <w:rPr>
                <w:rFonts w:ascii="宋体"/>
                <w:vanish/>
              </w:rPr>
            </w:pPr>
          </w:p>
        </w:tc>
        <w:tc>
          <w:tcPr>
            <w:tcW w:w="0" w:type="auto"/>
            <w:gridSpan w:val="3"/>
            <w:shd w:val="clear" w:color="auto" w:fill="auto"/>
          </w:tcPr>
          <w:p w14:paraId="5EA2277C" w14:textId="77777777" w:rsidR="003C66EB" w:rsidRDefault="003C66EB">
            <w:pPr>
              <w:rPr>
                <w:rFonts w:ascii="宋体"/>
                <w:vanish/>
              </w:rPr>
            </w:pPr>
          </w:p>
        </w:tc>
      </w:tr>
      <w:tr w:rsidR="003C66EB" w14:paraId="5EA22786" w14:textId="77777777">
        <w:tc>
          <w:tcPr>
            <w:tcW w:w="0" w:type="auto"/>
            <w:gridSpan w:val="3"/>
            <w:shd w:val="clear" w:color="auto" w:fill="FFFFFF"/>
            <w:tcMar>
              <w:top w:w="40" w:type="dxa"/>
              <w:left w:w="20" w:type="dxa"/>
              <w:bottom w:w="40" w:type="dxa"/>
              <w:right w:w="20" w:type="dxa"/>
            </w:tcMar>
            <w:vAlign w:val="bottom"/>
          </w:tcPr>
          <w:p w14:paraId="5EA2277E" w14:textId="77777777" w:rsidR="003C66EB" w:rsidRDefault="00D96C4E">
            <w:pPr>
              <w:textAlignment w:val="bottom"/>
            </w:pPr>
            <w:r>
              <w:rPr>
                <w:rFonts w:ascii="Arial" w:eastAsia="宋体" w:hAnsi="Arial" w:cs="Arial"/>
                <w:color w:val="000000"/>
                <w:sz w:val="15"/>
                <w:szCs w:val="15"/>
              </w:rPr>
              <w:t xml:space="preserve">Net (decrease) increase in other short-term borrowings </w:t>
            </w:r>
          </w:p>
        </w:tc>
        <w:tc>
          <w:tcPr>
            <w:tcW w:w="0" w:type="auto"/>
            <w:gridSpan w:val="2"/>
            <w:shd w:val="clear" w:color="auto" w:fill="FFFFFF"/>
            <w:tcMar>
              <w:top w:w="40" w:type="dxa"/>
              <w:left w:w="20" w:type="dxa"/>
              <w:bottom w:w="40" w:type="dxa"/>
              <w:right w:w="0" w:type="dxa"/>
            </w:tcMar>
            <w:vAlign w:val="bottom"/>
          </w:tcPr>
          <w:p w14:paraId="5EA2277F" w14:textId="77777777" w:rsidR="003C66EB" w:rsidRDefault="00D96C4E">
            <w:pPr>
              <w:jc w:val="right"/>
              <w:textAlignment w:val="bottom"/>
            </w:pPr>
            <w:r>
              <w:rPr>
                <w:rFonts w:ascii="Arial" w:eastAsia="宋体" w:hAnsi="Arial" w:cs="Arial"/>
                <w:b/>
                <w:bCs/>
                <w:color w:val="000000"/>
                <w:sz w:val="15"/>
                <w:szCs w:val="15"/>
              </w:rPr>
              <w:t>(43)</w:t>
            </w:r>
          </w:p>
        </w:tc>
        <w:tc>
          <w:tcPr>
            <w:tcW w:w="0" w:type="auto"/>
            <w:shd w:val="clear" w:color="auto" w:fill="FFFFFF"/>
            <w:tcMar>
              <w:top w:w="40" w:type="dxa"/>
              <w:left w:w="0" w:type="dxa"/>
              <w:bottom w:w="40" w:type="dxa"/>
              <w:right w:w="20" w:type="dxa"/>
            </w:tcMar>
            <w:vAlign w:val="bottom"/>
          </w:tcPr>
          <w:p w14:paraId="5EA2278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8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82" w14:textId="77777777" w:rsidR="003C66EB" w:rsidRDefault="00D96C4E">
            <w:pPr>
              <w:jc w:val="right"/>
              <w:textAlignment w:val="bottom"/>
            </w:pPr>
            <w:r>
              <w:rPr>
                <w:rFonts w:ascii="Arial" w:eastAsia="宋体" w:hAnsi="Arial" w:cs="Arial"/>
                <w:color w:val="000000"/>
                <w:sz w:val="15"/>
                <w:szCs w:val="15"/>
              </w:rPr>
              <w:t>3,996 </w:t>
            </w:r>
          </w:p>
        </w:tc>
        <w:tc>
          <w:tcPr>
            <w:tcW w:w="0" w:type="auto"/>
            <w:shd w:val="clear" w:color="auto" w:fill="FFFFFF"/>
            <w:tcMar>
              <w:top w:w="40" w:type="dxa"/>
              <w:left w:w="0" w:type="dxa"/>
              <w:bottom w:w="40" w:type="dxa"/>
              <w:right w:w="20" w:type="dxa"/>
            </w:tcMar>
            <w:vAlign w:val="bottom"/>
          </w:tcPr>
          <w:p w14:paraId="5EA22783" w14:textId="77777777" w:rsidR="003C66EB" w:rsidRDefault="003C66EB">
            <w:pPr>
              <w:jc w:val="right"/>
              <w:rPr>
                <w:rFonts w:ascii="宋体"/>
              </w:rPr>
            </w:pPr>
          </w:p>
        </w:tc>
        <w:tc>
          <w:tcPr>
            <w:tcW w:w="0" w:type="auto"/>
            <w:gridSpan w:val="3"/>
            <w:shd w:val="clear" w:color="auto" w:fill="auto"/>
          </w:tcPr>
          <w:p w14:paraId="5EA22784" w14:textId="77777777" w:rsidR="003C66EB" w:rsidRDefault="003C66EB">
            <w:pPr>
              <w:rPr>
                <w:rFonts w:ascii="宋体"/>
                <w:vanish/>
              </w:rPr>
            </w:pPr>
          </w:p>
        </w:tc>
        <w:tc>
          <w:tcPr>
            <w:tcW w:w="0" w:type="auto"/>
            <w:gridSpan w:val="3"/>
            <w:shd w:val="clear" w:color="auto" w:fill="auto"/>
          </w:tcPr>
          <w:p w14:paraId="5EA22785" w14:textId="77777777" w:rsidR="003C66EB" w:rsidRDefault="003C66EB">
            <w:pPr>
              <w:rPr>
                <w:rFonts w:ascii="宋体"/>
                <w:vanish/>
              </w:rPr>
            </w:pPr>
          </w:p>
        </w:tc>
      </w:tr>
      <w:tr w:rsidR="003C66EB" w14:paraId="5EA2278F" w14:textId="77777777">
        <w:tc>
          <w:tcPr>
            <w:tcW w:w="0" w:type="auto"/>
            <w:gridSpan w:val="3"/>
            <w:shd w:val="clear" w:color="auto" w:fill="CCEEFF"/>
            <w:tcMar>
              <w:top w:w="40" w:type="dxa"/>
              <w:left w:w="20" w:type="dxa"/>
              <w:bottom w:w="40" w:type="dxa"/>
              <w:right w:w="20" w:type="dxa"/>
            </w:tcMar>
            <w:vAlign w:val="bottom"/>
          </w:tcPr>
          <w:p w14:paraId="5EA22787" w14:textId="77777777" w:rsidR="003C66EB" w:rsidRDefault="00D96C4E">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CCEEFF"/>
            <w:tcMar>
              <w:top w:w="40" w:type="dxa"/>
              <w:left w:w="20" w:type="dxa"/>
              <w:bottom w:w="40" w:type="dxa"/>
              <w:right w:w="0" w:type="dxa"/>
            </w:tcMar>
            <w:vAlign w:val="bottom"/>
          </w:tcPr>
          <w:p w14:paraId="5EA22788" w14:textId="77777777" w:rsidR="003C66EB" w:rsidRDefault="00D96C4E">
            <w:pPr>
              <w:jc w:val="right"/>
              <w:textAlignment w:val="bottom"/>
            </w:pPr>
            <w:r>
              <w:rPr>
                <w:rFonts w:ascii="Arial" w:eastAsia="宋体" w:hAnsi="Arial" w:cs="Arial"/>
                <w:b/>
                <w:bCs/>
                <w:color w:val="000000"/>
                <w:sz w:val="15"/>
                <w:szCs w:val="15"/>
              </w:rPr>
              <w:t>844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7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8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8B" w14:textId="77777777" w:rsidR="003C66EB" w:rsidRDefault="00D96C4E">
            <w:pPr>
              <w:jc w:val="right"/>
              <w:textAlignment w:val="bottom"/>
            </w:pPr>
            <w:r>
              <w:rPr>
                <w:rFonts w:ascii="Arial" w:eastAsia="宋体" w:hAnsi="Arial" w:cs="Arial"/>
                <w:color w:val="000000"/>
                <w:sz w:val="15"/>
                <w:szCs w:val="15"/>
              </w:rPr>
              <w:t>2,497 </w:t>
            </w:r>
          </w:p>
        </w:tc>
        <w:tc>
          <w:tcPr>
            <w:tcW w:w="0" w:type="auto"/>
            <w:shd w:val="clear" w:color="auto" w:fill="CCEEFF"/>
            <w:tcMar>
              <w:top w:w="40" w:type="dxa"/>
              <w:left w:w="0" w:type="dxa"/>
              <w:bottom w:w="40" w:type="dxa"/>
              <w:right w:w="20" w:type="dxa"/>
            </w:tcMar>
            <w:vAlign w:val="bottom"/>
          </w:tcPr>
          <w:p w14:paraId="5EA2278C" w14:textId="77777777" w:rsidR="003C66EB" w:rsidRDefault="003C66EB">
            <w:pPr>
              <w:jc w:val="right"/>
              <w:rPr>
                <w:rFonts w:ascii="宋体"/>
              </w:rPr>
            </w:pPr>
          </w:p>
        </w:tc>
        <w:tc>
          <w:tcPr>
            <w:tcW w:w="0" w:type="auto"/>
            <w:gridSpan w:val="3"/>
            <w:shd w:val="clear" w:color="auto" w:fill="auto"/>
          </w:tcPr>
          <w:p w14:paraId="5EA2278D" w14:textId="77777777" w:rsidR="003C66EB" w:rsidRDefault="003C66EB">
            <w:pPr>
              <w:rPr>
                <w:rFonts w:ascii="宋体"/>
                <w:vanish/>
              </w:rPr>
            </w:pPr>
          </w:p>
        </w:tc>
        <w:tc>
          <w:tcPr>
            <w:tcW w:w="0" w:type="auto"/>
            <w:gridSpan w:val="3"/>
            <w:shd w:val="clear" w:color="auto" w:fill="auto"/>
          </w:tcPr>
          <w:p w14:paraId="5EA2278E" w14:textId="77777777" w:rsidR="003C66EB" w:rsidRDefault="003C66EB">
            <w:pPr>
              <w:rPr>
                <w:rFonts w:ascii="宋体"/>
                <w:vanish/>
              </w:rPr>
            </w:pPr>
          </w:p>
        </w:tc>
      </w:tr>
      <w:tr w:rsidR="003C66EB" w14:paraId="5EA22798" w14:textId="77777777">
        <w:tc>
          <w:tcPr>
            <w:tcW w:w="0" w:type="auto"/>
            <w:gridSpan w:val="3"/>
            <w:shd w:val="clear" w:color="auto" w:fill="FFFFFF"/>
            <w:tcMar>
              <w:top w:w="40" w:type="dxa"/>
              <w:left w:w="20" w:type="dxa"/>
              <w:bottom w:w="40" w:type="dxa"/>
              <w:right w:w="20" w:type="dxa"/>
            </w:tcMar>
            <w:vAlign w:val="bottom"/>
          </w:tcPr>
          <w:p w14:paraId="5EA22790" w14:textId="77777777" w:rsidR="003C66EB" w:rsidRDefault="00D96C4E">
            <w:pPr>
              <w:textAlignment w:val="bottom"/>
            </w:pPr>
            <w:r>
              <w:rPr>
                <w:rFonts w:ascii="Arial" w:eastAsia="宋体" w:hAnsi="Arial" w:cs="Arial"/>
                <w:color w:val="000000"/>
                <w:sz w:val="15"/>
                <w:szCs w:val="15"/>
              </w:rPr>
              <w:t xml:space="preserve">Payments for long-term debt and obligations under </w:t>
            </w:r>
            <w:r>
              <w:rPr>
                <w:rFonts w:ascii="Arial" w:eastAsia="宋体" w:hAnsi="Arial" w:cs="Arial"/>
                <w:color w:val="000000"/>
                <w:sz w:val="15"/>
                <w:szCs w:val="15"/>
              </w:rPr>
              <w:t>finance leases</w:t>
            </w:r>
          </w:p>
        </w:tc>
        <w:tc>
          <w:tcPr>
            <w:tcW w:w="0" w:type="auto"/>
            <w:gridSpan w:val="2"/>
            <w:shd w:val="clear" w:color="auto" w:fill="FFFFFF"/>
            <w:tcMar>
              <w:top w:w="40" w:type="dxa"/>
              <w:left w:w="20" w:type="dxa"/>
              <w:bottom w:w="40" w:type="dxa"/>
              <w:right w:w="0" w:type="dxa"/>
            </w:tcMar>
            <w:vAlign w:val="bottom"/>
          </w:tcPr>
          <w:p w14:paraId="5EA22791" w14:textId="77777777" w:rsidR="003C66EB" w:rsidRDefault="00D96C4E">
            <w:pPr>
              <w:jc w:val="right"/>
              <w:textAlignment w:val="bottom"/>
            </w:pPr>
            <w:r>
              <w:rPr>
                <w:rFonts w:ascii="Arial" w:eastAsia="宋体" w:hAnsi="Arial" w:cs="Arial"/>
                <w:b/>
                <w:bCs/>
                <w:color w:val="000000"/>
                <w:sz w:val="15"/>
                <w:szCs w:val="15"/>
              </w:rPr>
              <w:t>(764)</w:t>
            </w:r>
          </w:p>
        </w:tc>
        <w:tc>
          <w:tcPr>
            <w:tcW w:w="0" w:type="auto"/>
            <w:shd w:val="clear" w:color="auto" w:fill="FFFFFF"/>
            <w:tcMar>
              <w:top w:w="40" w:type="dxa"/>
              <w:left w:w="0" w:type="dxa"/>
              <w:bottom w:w="40" w:type="dxa"/>
              <w:right w:w="20" w:type="dxa"/>
            </w:tcMar>
            <w:vAlign w:val="bottom"/>
          </w:tcPr>
          <w:p w14:paraId="5EA227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94" w14:textId="77777777" w:rsidR="003C66EB" w:rsidRDefault="00D96C4E">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5EA22795" w14:textId="77777777" w:rsidR="003C66EB" w:rsidRDefault="003C66EB">
            <w:pPr>
              <w:jc w:val="right"/>
              <w:rPr>
                <w:rFonts w:ascii="宋体"/>
              </w:rPr>
            </w:pPr>
          </w:p>
        </w:tc>
        <w:tc>
          <w:tcPr>
            <w:tcW w:w="0" w:type="auto"/>
            <w:gridSpan w:val="3"/>
            <w:shd w:val="clear" w:color="auto" w:fill="auto"/>
          </w:tcPr>
          <w:p w14:paraId="5EA22796" w14:textId="77777777" w:rsidR="003C66EB" w:rsidRDefault="003C66EB">
            <w:pPr>
              <w:rPr>
                <w:rFonts w:ascii="宋体"/>
                <w:vanish/>
              </w:rPr>
            </w:pPr>
          </w:p>
        </w:tc>
        <w:tc>
          <w:tcPr>
            <w:tcW w:w="0" w:type="auto"/>
            <w:gridSpan w:val="3"/>
            <w:shd w:val="clear" w:color="auto" w:fill="auto"/>
          </w:tcPr>
          <w:p w14:paraId="5EA22797" w14:textId="77777777" w:rsidR="003C66EB" w:rsidRDefault="003C66EB">
            <w:pPr>
              <w:rPr>
                <w:rFonts w:ascii="宋体"/>
                <w:vanish/>
              </w:rPr>
            </w:pPr>
          </w:p>
        </w:tc>
      </w:tr>
      <w:tr w:rsidR="003C66EB" w14:paraId="5EA227A1" w14:textId="77777777">
        <w:tc>
          <w:tcPr>
            <w:tcW w:w="0" w:type="auto"/>
            <w:gridSpan w:val="3"/>
            <w:shd w:val="clear" w:color="auto" w:fill="CCEEFF"/>
            <w:tcMar>
              <w:top w:w="40" w:type="dxa"/>
              <w:left w:w="20" w:type="dxa"/>
              <w:bottom w:w="40" w:type="dxa"/>
              <w:right w:w="20" w:type="dxa"/>
            </w:tcMar>
            <w:vAlign w:val="bottom"/>
          </w:tcPr>
          <w:p w14:paraId="5EA22799" w14:textId="77777777" w:rsidR="003C66EB" w:rsidRDefault="00D96C4E">
            <w:pPr>
              <w:textAlignment w:val="bottom"/>
            </w:pPr>
            <w:r>
              <w:rPr>
                <w:rFonts w:ascii="Arial" w:eastAsia="宋体" w:hAnsi="Arial" w:cs="Arial"/>
                <w:color w:val="000000"/>
                <w:sz w:val="15"/>
                <w:szCs w:val="15"/>
              </w:rPr>
              <w:t>Payments for redemption of preferred stock</w:t>
            </w:r>
          </w:p>
        </w:tc>
        <w:tc>
          <w:tcPr>
            <w:tcW w:w="0" w:type="auto"/>
            <w:gridSpan w:val="2"/>
            <w:shd w:val="clear" w:color="auto" w:fill="CCEEFF"/>
            <w:tcMar>
              <w:top w:w="40" w:type="dxa"/>
              <w:left w:w="20" w:type="dxa"/>
              <w:bottom w:w="40" w:type="dxa"/>
              <w:right w:w="0" w:type="dxa"/>
            </w:tcMar>
            <w:vAlign w:val="bottom"/>
          </w:tcPr>
          <w:p w14:paraId="5EA2279A" w14:textId="77777777" w:rsidR="003C66EB" w:rsidRDefault="00D96C4E">
            <w:pPr>
              <w:jc w:val="right"/>
              <w:textAlignment w:val="bottom"/>
            </w:pPr>
            <w:r>
              <w:rPr>
                <w:rFonts w:ascii="Arial" w:eastAsia="宋体" w:hAnsi="Arial" w:cs="Arial"/>
                <w:b/>
                <w:bCs/>
                <w:color w:val="000000"/>
                <w:sz w:val="15"/>
                <w:szCs w:val="15"/>
              </w:rPr>
              <w:t>(500)</w:t>
            </w:r>
          </w:p>
        </w:tc>
        <w:tc>
          <w:tcPr>
            <w:tcW w:w="0" w:type="auto"/>
            <w:shd w:val="clear" w:color="auto" w:fill="CCEEFF"/>
            <w:tcMar>
              <w:top w:w="40" w:type="dxa"/>
              <w:left w:w="0" w:type="dxa"/>
              <w:bottom w:w="40" w:type="dxa"/>
              <w:right w:w="20" w:type="dxa"/>
            </w:tcMar>
            <w:vAlign w:val="bottom"/>
          </w:tcPr>
          <w:p w14:paraId="5EA227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9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9D" w14:textId="77777777" w:rsidR="003C66EB" w:rsidRDefault="00D96C4E">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5EA2279E" w14:textId="77777777" w:rsidR="003C66EB" w:rsidRDefault="003C66EB">
            <w:pPr>
              <w:jc w:val="right"/>
              <w:rPr>
                <w:rFonts w:ascii="宋体"/>
              </w:rPr>
            </w:pPr>
          </w:p>
        </w:tc>
        <w:tc>
          <w:tcPr>
            <w:tcW w:w="0" w:type="auto"/>
            <w:gridSpan w:val="3"/>
            <w:shd w:val="clear" w:color="auto" w:fill="auto"/>
          </w:tcPr>
          <w:p w14:paraId="5EA2279F" w14:textId="77777777" w:rsidR="003C66EB" w:rsidRDefault="003C66EB">
            <w:pPr>
              <w:rPr>
                <w:rFonts w:ascii="宋体"/>
                <w:vanish/>
              </w:rPr>
            </w:pPr>
          </w:p>
        </w:tc>
        <w:tc>
          <w:tcPr>
            <w:tcW w:w="0" w:type="auto"/>
            <w:gridSpan w:val="3"/>
            <w:shd w:val="clear" w:color="auto" w:fill="auto"/>
          </w:tcPr>
          <w:p w14:paraId="5EA227A0" w14:textId="77777777" w:rsidR="003C66EB" w:rsidRDefault="003C66EB">
            <w:pPr>
              <w:rPr>
                <w:rFonts w:ascii="宋体"/>
                <w:vanish/>
              </w:rPr>
            </w:pPr>
          </w:p>
        </w:tc>
      </w:tr>
      <w:tr w:rsidR="003C66EB" w14:paraId="5EA227A8" w14:textId="77777777">
        <w:trPr>
          <w:hidden/>
        </w:trPr>
        <w:tc>
          <w:tcPr>
            <w:tcW w:w="0" w:type="auto"/>
            <w:gridSpan w:val="3"/>
            <w:shd w:val="clear" w:color="auto" w:fill="auto"/>
          </w:tcPr>
          <w:p w14:paraId="5EA227A2" w14:textId="77777777" w:rsidR="003C66EB" w:rsidRDefault="003C66EB">
            <w:pPr>
              <w:rPr>
                <w:rFonts w:ascii="宋体"/>
                <w:vanish/>
              </w:rPr>
            </w:pPr>
          </w:p>
        </w:tc>
        <w:tc>
          <w:tcPr>
            <w:tcW w:w="0" w:type="auto"/>
            <w:gridSpan w:val="3"/>
            <w:shd w:val="clear" w:color="auto" w:fill="auto"/>
          </w:tcPr>
          <w:p w14:paraId="5EA227A3" w14:textId="77777777" w:rsidR="003C66EB" w:rsidRDefault="003C66EB">
            <w:pPr>
              <w:rPr>
                <w:rFonts w:ascii="宋体"/>
                <w:vanish/>
              </w:rPr>
            </w:pPr>
          </w:p>
        </w:tc>
        <w:tc>
          <w:tcPr>
            <w:tcW w:w="0" w:type="auto"/>
            <w:gridSpan w:val="3"/>
            <w:shd w:val="clear" w:color="auto" w:fill="auto"/>
          </w:tcPr>
          <w:p w14:paraId="5EA227A4" w14:textId="77777777" w:rsidR="003C66EB" w:rsidRDefault="003C66EB">
            <w:pPr>
              <w:rPr>
                <w:rFonts w:ascii="宋体"/>
                <w:vanish/>
              </w:rPr>
            </w:pPr>
          </w:p>
        </w:tc>
        <w:tc>
          <w:tcPr>
            <w:tcW w:w="0" w:type="auto"/>
            <w:gridSpan w:val="3"/>
            <w:shd w:val="clear" w:color="auto" w:fill="auto"/>
          </w:tcPr>
          <w:p w14:paraId="5EA227A5" w14:textId="77777777" w:rsidR="003C66EB" w:rsidRDefault="003C66EB">
            <w:pPr>
              <w:rPr>
                <w:rFonts w:ascii="宋体"/>
                <w:vanish/>
              </w:rPr>
            </w:pPr>
          </w:p>
        </w:tc>
        <w:tc>
          <w:tcPr>
            <w:tcW w:w="0" w:type="auto"/>
            <w:gridSpan w:val="3"/>
            <w:shd w:val="clear" w:color="auto" w:fill="auto"/>
          </w:tcPr>
          <w:p w14:paraId="5EA227A6" w14:textId="77777777" w:rsidR="003C66EB" w:rsidRDefault="003C66EB">
            <w:pPr>
              <w:rPr>
                <w:rFonts w:ascii="宋体"/>
                <w:vanish/>
              </w:rPr>
            </w:pPr>
          </w:p>
        </w:tc>
        <w:tc>
          <w:tcPr>
            <w:tcW w:w="0" w:type="auto"/>
            <w:gridSpan w:val="3"/>
            <w:shd w:val="clear" w:color="auto" w:fill="auto"/>
          </w:tcPr>
          <w:p w14:paraId="5EA227A7" w14:textId="77777777" w:rsidR="003C66EB" w:rsidRDefault="003C66EB">
            <w:pPr>
              <w:rPr>
                <w:rFonts w:ascii="宋体"/>
                <w:vanish/>
              </w:rPr>
            </w:pPr>
          </w:p>
        </w:tc>
      </w:tr>
      <w:tr w:rsidR="003C66EB" w14:paraId="5EA227AF" w14:textId="77777777">
        <w:trPr>
          <w:hidden/>
        </w:trPr>
        <w:tc>
          <w:tcPr>
            <w:tcW w:w="0" w:type="auto"/>
            <w:gridSpan w:val="3"/>
            <w:shd w:val="clear" w:color="auto" w:fill="auto"/>
          </w:tcPr>
          <w:p w14:paraId="5EA227A9" w14:textId="77777777" w:rsidR="003C66EB" w:rsidRDefault="003C66EB">
            <w:pPr>
              <w:rPr>
                <w:rFonts w:ascii="宋体"/>
                <w:vanish/>
              </w:rPr>
            </w:pPr>
          </w:p>
        </w:tc>
        <w:tc>
          <w:tcPr>
            <w:tcW w:w="0" w:type="auto"/>
            <w:gridSpan w:val="3"/>
            <w:shd w:val="clear" w:color="auto" w:fill="auto"/>
          </w:tcPr>
          <w:p w14:paraId="5EA227AA" w14:textId="77777777" w:rsidR="003C66EB" w:rsidRDefault="003C66EB">
            <w:pPr>
              <w:rPr>
                <w:rFonts w:ascii="宋体"/>
                <w:vanish/>
              </w:rPr>
            </w:pPr>
          </w:p>
        </w:tc>
        <w:tc>
          <w:tcPr>
            <w:tcW w:w="0" w:type="auto"/>
            <w:gridSpan w:val="3"/>
            <w:shd w:val="clear" w:color="auto" w:fill="auto"/>
          </w:tcPr>
          <w:p w14:paraId="5EA227AB" w14:textId="77777777" w:rsidR="003C66EB" w:rsidRDefault="003C66EB">
            <w:pPr>
              <w:rPr>
                <w:rFonts w:ascii="宋体"/>
                <w:vanish/>
              </w:rPr>
            </w:pPr>
          </w:p>
        </w:tc>
        <w:tc>
          <w:tcPr>
            <w:tcW w:w="0" w:type="auto"/>
            <w:gridSpan w:val="3"/>
            <w:shd w:val="clear" w:color="auto" w:fill="auto"/>
          </w:tcPr>
          <w:p w14:paraId="5EA227AC" w14:textId="77777777" w:rsidR="003C66EB" w:rsidRDefault="003C66EB">
            <w:pPr>
              <w:rPr>
                <w:rFonts w:ascii="宋体"/>
                <w:vanish/>
              </w:rPr>
            </w:pPr>
          </w:p>
        </w:tc>
        <w:tc>
          <w:tcPr>
            <w:tcW w:w="0" w:type="auto"/>
            <w:gridSpan w:val="3"/>
            <w:shd w:val="clear" w:color="auto" w:fill="auto"/>
          </w:tcPr>
          <w:p w14:paraId="5EA227AD" w14:textId="77777777" w:rsidR="003C66EB" w:rsidRDefault="003C66EB">
            <w:pPr>
              <w:rPr>
                <w:rFonts w:ascii="宋体"/>
                <w:vanish/>
              </w:rPr>
            </w:pPr>
          </w:p>
        </w:tc>
        <w:tc>
          <w:tcPr>
            <w:tcW w:w="0" w:type="auto"/>
            <w:gridSpan w:val="3"/>
            <w:shd w:val="clear" w:color="auto" w:fill="auto"/>
          </w:tcPr>
          <w:p w14:paraId="5EA227AE" w14:textId="77777777" w:rsidR="003C66EB" w:rsidRDefault="003C66EB">
            <w:pPr>
              <w:rPr>
                <w:rFonts w:ascii="宋体"/>
                <w:vanish/>
              </w:rPr>
            </w:pPr>
          </w:p>
        </w:tc>
      </w:tr>
      <w:tr w:rsidR="003C66EB" w14:paraId="5EA227B8" w14:textId="77777777">
        <w:tc>
          <w:tcPr>
            <w:tcW w:w="0" w:type="auto"/>
            <w:gridSpan w:val="3"/>
            <w:shd w:val="clear" w:color="auto" w:fill="FFFFFF"/>
            <w:tcMar>
              <w:top w:w="40" w:type="dxa"/>
              <w:left w:w="20" w:type="dxa"/>
              <w:bottom w:w="40" w:type="dxa"/>
              <w:right w:w="20" w:type="dxa"/>
            </w:tcMar>
            <w:vAlign w:val="bottom"/>
          </w:tcPr>
          <w:p w14:paraId="5EA227B0" w14:textId="77777777" w:rsidR="003C66EB" w:rsidRDefault="00D96C4E">
            <w:pPr>
              <w:textAlignment w:val="bottom"/>
            </w:pPr>
            <w:r>
              <w:rPr>
                <w:rFonts w:ascii="Arial" w:eastAsia="宋体" w:hAnsi="Arial" w:cs="Arial"/>
                <w:color w:val="000000"/>
                <w:sz w:val="15"/>
                <w:szCs w:val="15"/>
              </w:rPr>
              <w:t>Repurchases of common stock</w:t>
            </w:r>
          </w:p>
        </w:tc>
        <w:tc>
          <w:tcPr>
            <w:tcW w:w="0" w:type="auto"/>
            <w:gridSpan w:val="2"/>
            <w:shd w:val="clear" w:color="auto" w:fill="FFFFFF"/>
            <w:tcMar>
              <w:top w:w="40" w:type="dxa"/>
              <w:left w:w="20" w:type="dxa"/>
              <w:bottom w:w="40" w:type="dxa"/>
              <w:right w:w="0" w:type="dxa"/>
            </w:tcMar>
            <w:vAlign w:val="bottom"/>
          </w:tcPr>
          <w:p w14:paraId="5EA227B1" w14:textId="77777777" w:rsidR="003C66EB" w:rsidRDefault="00D96C4E">
            <w:pPr>
              <w:jc w:val="right"/>
              <w:textAlignment w:val="bottom"/>
            </w:pPr>
            <w:r>
              <w:rPr>
                <w:rFonts w:ascii="Arial" w:eastAsia="宋体" w:hAnsi="Arial" w:cs="Arial"/>
                <w:b/>
                <w:bCs/>
                <w:color w:val="000000"/>
                <w:sz w:val="15"/>
                <w:szCs w:val="15"/>
              </w:rPr>
              <w:t>(475)</w:t>
            </w:r>
          </w:p>
        </w:tc>
        <w:tc>
          <w:tcPr>
            <w:tcW w:w="0" w:type="auto"/>
            <w:shd w:val="clear" w:color="auto" w:fill="FFFFFF"/>
            <w:tcMar>
              <w:top w:w="40" w:type="dxa"/>
              <w:left w:w="0" w:type="dxa"/>
              <w:bottom w:w="40" w:type="dxa"/>
              <w:right w:w="20" w:type="dxa"/>
            </w:tcMar>
            <w:vAlign w:val="bottom"/>
          </w:tcPr>
          <w:p w14:paraId="5EA227B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B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B4" w14:textId="77777777" w:rsidR="003C66EB" w:rsidRDefault="00D96C4E">
            <w:pPr>
              <w:jc w:val="right"/>
              <w:textAlignment w:val="bottom"/>
            </w:pPr>
            <w:r>
              <w:rPr>
                <w:rFonts w:ascii="Arial" w:eastAsia="宋体" w:hAnsi="Arial" w:cs="Arial"/>
                <w:color w:val="000000"/>
                <w:sz w:val="15"/>
                <w:szCs w:val="15"/>
              </w:rPr>
              <w:t>(515)</w:t>
            </w:r>
          </w:p>
        </w:tc>
        <w:tc>
          <w:tcPr>
            <w:tcW w:w="0" w:type="auto"/>
            <w:shd w:val="clear" w:color="auto" w:fill="FFFFFF"/>
            <w:tcMar>
              <w:top w:w="40" w:type="dxa"/>
              <w:left w:w="0" w:type="dxa"/>
              <w:bottom w:w="40" w:type="dxa"/>
              <w:right w:w="20" w:type="dxa"/>
            </w:tcMar>
            <w:vAlign w:val="bottom"/>
          </w:tcPr>
          <w:p w14:paraId="5EA227B5" w14:textId="77777777" w:rsidR="003C66EB" w:rsidRDefault="003C66EB">
            <w:pPr>
              <w:jc w:val="right"/>
              <w:rPr>
                <w:rFonts w:ascii="宋体"/>
              </w:rPr>
            </w:pPr>
          </w:p>
        </w:tc>
        <w:tc>
          <w:tcPr>
            <w:tcW w:w="0" w:type="auto"/>
            <w:gridSpan w:val="3"/>
            <w:shd w:val="clear" w:color="auto" w:fill="auto"/>
          </w:tcPr>
          <w:p w14:paraId="5EA227B6" w14:textId="77777777" w:rsidR="003C66EB" w:rsidRDefault="003C66EB">
            <w:pPr>
              <w:rPr>
                <w:rFonts w:ascii="宋体"/>
                <w:vanish/>
              </w:rPr>
            </w:pPr>
          </w:p>
        </w:tc>
        <w:tc>
          <w:tcPr>
            <w:tcW w:w="0" w:type="auto"/>
            <w:gridSpan w:val="3"/>
            <w:shd w:val="clear" w:color="auto" w:fill="auto"/>
          </w:tcPr>
          <w:p w14:paraId="5EA227B7" w14:textId="77777777" w:rsidR="003C66EB" w:rsidRDefault="003C66EB">
            <w:pPr>
              <w:rPr>
                <w:rFonts w:ascii="宋体"/>
                <w:vanish/>
              </w:rPr>
            </w:pPr>
          </w:p>
        </w:tc>
      </w:tr>
      <w:tr w:rsidR="003C66EB" w14:paraId="5EA227BF" w14:textId="77777777">
        <w:trPr>
          <w:hidden/>
        </w:trPr>
        <w:tc>
          <w:tcPr>
            <w:tcW w:w="0" w:type="auto"/>
            <w:gridSpan w:val="3"/>
            <w:shd w:val="clear" w:color="auto" w:fill="auto"/>
          </w:tcPr>
          <w:p w14:paraId="5EA227B9" w14:textId="77777777" w:rsidR="003C66EB" w:rsidRDefault="003C66EB">
            <w:pPr>
              <w:rPr>
                <w:rFonts w:ascii="宋体"/>
                <w:vanish/>
              </w:rPr>
            </w:pPr>
          </w:p>
        </w:tc>
        <w:tc>
          <w:tcPr>
            <w:tcW w:w="0" w:type="auto"/>
            <w:gridSpan w:val="3"/>
            <w:shd w:val="clear" w:color="auto" w:fill="auto"/>
          </w:tcPr>
          <w:p w14:paraId="5EA227BA" w14:textId="77777777" w:rsidR="003C66EB" w:rsidRDefault="003C66EB">
            <w:pPr>
              <w:rPr>
                <w:rFonts w:ascii="宋体"/>
                <w:vanish/>
              </w:rPr>
            </w:pPr>
          </w:p>
        </w:tc>
        <w:tc>
          <w:tcPr>
            <w:tcW w:w="0" w:type="auto"/>
            <w:gridSpan w:val="3"/>
            <w:shd w:val="clear" w:color="auto" w:fill="auto"/>
          </w:tcPr>
          <w:p w14:paraId="5EA227BB" w14:textId="77777777" w:rsidR="003C66EB" w:rsidRDefault="003C66EB">
            <w:pPr>
              <w:rPr>
                <w:rFonts w:ascii="宋体"/>
                <w:vanish/>
              </w:rPr>
            </w:pPr>
          </w:p>
        </w:tc>
        <w:tc>
          <w:tcPr>
            <w:tcW w:w="0" w:type="auto"/>
            <w:gridSpan w:val="3"/>
            <w:shd w:val="clear" w:color="auto" w:fill="auto"/>
          </w:tcPr>
          <w:p w14:paraId="5EA227BC" w14:textId="77777777" w:rsidR="003C66EB" w:rsidRDefault="003C66EB">
            <w:pPr>
              <w:rPr>
                <w:rFonts w:ascii="宋体"/>
                <w:vanish/>
              </w:rPr>
            </w:pPr>
          </w:p>
        </w:tc>
        <w:tc>
          <w:tcPr>
            <w:tcW w:w="0" w:type="auto"/>
            <w:gridSpan w:val="3"/>
            <w:shd w:val="clear" w:color="auto" w:fill="auto"/>
          </w:tcPr>
          <w:p w14:paraId="5EA227BD" w14:textId="77777777" w:rsidR="003C66EB" w:rsidRDefault="003C66EB">
            <w:pPr>
              <w:rPr>
                <w:rFonts w:ascii="宋体"/>
                <w:vanish/>
              </w:rPr>
            </w:pPr>
          </w:p>
        </w:tc>
        <w:tc>
          <w:tcPr>
            <w:tcW w:w="0" w:type="auto"/>
            <w:gridSpan w:val="3"/>
            <w:shd w:val="clear" w:color="auto" w:fill="auto"/>
          </w:tcPr>
          <w:p w14:paraId="5EA227BE" w14:textId="77777777" w:rsidR="003C66EB" w:rsidRDefault="003C66EB">
            <w:pPr>
              <w:rPr>
                <w:rFonts w:ascii="宋体"/>
                <w:vanish/>
              </w:rPr>
            </w:pPr>
          </w:p>
        </w:tc>
      </w:tr>
      <w:tr w:rsidR="003C66EB" w14:paraId="5EA227C8" w14:textId="77777777">
        <w:tc>
          <w:tcPr>
            <w:tcW w:w="0" w:type="auto"/>
            <w:gridSpan w:val="3"/>
            <w:shd w:val="clear" w:color="auto" w:fill="CCEEFF"/>
            <w:tcMar>
              <w:top w:w="40" w:type="dxa"/>
              <w:left w:w="20" w:type="dxa"/>
              <w:bottom w:w="40" w:type="dxa"/>
              <w:right w:w="20" w:type="dxa"/>
            </w:tcMar>
            <w:vAlign w:val="bottom"/>
          </w:tcPr>
          <w:p w14:paraId="5EA227C0" w14:textId="77777777" w:rsidR="003C66EB" w:rsidRDefault="00D96C4E">
            <w:pPr>
              <w:textAlignment w:val="bottom"/>
            </w:pPr>
            <w:r>
              <w:rPr>
                <w:rFonts w:ascii="Arial" w:eastAsia="宋体" w:hAnsi="Arial" w:cs="Arial"/>
                <w:color w:val="000000"/>
                <w:sz w:val="15"/>
                <w:szCs w:val="15"/>
              </w:rPr>
              <w:t>Repurchases of common stock for employee tax withholding</w:t>
            </w:r>
          </w:p>
        </w:tc>
        <w:tc>
          <w:tcPr>
            <w:tcW w:w="0" w:type="auto"/>
            <w:gridSpan w:val="2"/>
            <w:shd w:val="clear" w:color="auto" w:fill="CCEEFF"/>
            <w:tcMar>
              <w:top w:w="40" w:type="dxa"/>
              <w:left w:w="20" w:type="dxa"/>
              <w:bottom w:w="40" w:type="dxa"/>
              <w:right w:w="0" w:type="dxa"/>
            </w:tcMar>
            <w:vAlign w:val="bottom"/>
          </w:tcPr>
          <w:p w14:paraId="5EA227C1" w14:textId="77777777" w:rsidR="003C66EB" w:rsidRDefault="00D96C4E">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5EA227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C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C4" w14:textId="77777777" w:rsidR="003C66EB" w:rsidRDefault="00D96C4E">
            <w:pPr>
              <w:jc w:val="right"/>
              <w:textAlignment w:val="bottom"/>
            </w:pPr>
            <w:r>
              <w:rPr>
                <w:rFonts w:ascii="Arial" w:eastAsia="宋体" w:hAnsi="Arial" w:cs="Arial"/>
                <w:color w:val="000000"/>
                <w:sz w:val="15"/>
                <w:szCs w:val="15"/>
              </w:rPr>
              <w:t>(43)</w:t>
            </w:r>
          </w:p>
        </w:tc>
        <w:tc>
          <w:tcPr>
            <w:tcW w:w="0" w:type="auto"/>
            <w:shd w:val="clear" w:color="auto" w:fill="CCEEFF"/>
            <w:tcMar>
              <w:top w:w="40" w:type="dxa"/>
              <w:left w:w="0" w:type="dxa"/>
              <w:bottom w:w="40" w:type="dxa"/>
              <w:right w:w="20" w:type="dxa"/>
            </w:tcMar>
            <w:vAlign w:val="bottom"/>
          </w:tcPr>
          <w:p w14:paraId="5EA227C5" w14:textId="77777777" w:rsidR="003C66EB" w:rsidRDefault="003C66EB">
            <w:pPr>
              <w:jc w:val="right"/>
              <w:rPr>
                <w:rFonts w:ascii="宋体"/>
              </w:rPr>
            </w:pPr>
          </w:p>
        </w:tc>
        <w:tc>
          <w:tcPr>
            <w:tcW w:w="0" w:type="auto"/>
            <w:gridSpan w:val="3"/>
            <w:shd w:val="clear" w:color="auto" w:fill="auto"/>
          </w:tcPr>
          <w:p w14:paraId="5EA227C6" w14:textId="77777777" w:rsidR="003C66EB" w:rsidRDefault="003C66EB">
            <w:pPr>
              <w:rPr>
                <w:rFonts w:ascii="宋体"/>
                <w:vanish/>
              </w:rPr>
            </w:pPr>
          </w:p>
        </w:tc>
        <w:tc>
          <w:tcPr>
            <w:tcW w:w="0" w:type="auto"/>
            <w:gridSpan w:val="3"/>
            <w:shd w:val="clear" w:color="auto" w:fill="auto"/>
          </w:tcPr>
          <w:p w14:paraId="5EA227C7" w14:textId="77777777" w:rsidR="003C66EB" w:rsidRDefault="003C66EB">
            <w:pPr>
              <w:rPr>
                <w:rFonts w:ascii="宋体"/>
                <w:vanish/>
              </w:rPr>
            </w:pPr>
          </w:p>
        </w:tc>
      </w:tr>
      <w:tr w:rsidR="003C66EB" w14:paraId="5EA227D1" w14:textId="77777777">
        <w:tc>
          <w:tcPr>
            <w:tcW w:w="0" w:type="auto"/>
            <w:gridSpan w:val="3"/>
            <w:shd w:val="clear" w:color="auto" w:fill="FFFFFF"/>
            <w:tcMar>
              <w:top w:w="40" w:type="dxa"/>
              <w:left w:w="20" w:type="dxa"/>
              <w:bottom w:w="40" w:type="dxa"/>
              <w:right w:w="20" w:type="dxa"/>
            </w:tcMar>
            <w:vAlign w:val="bottom"/>
          </w:tcPr>
          <w:p w14:paraId="5EA227C9" w14:textId="77777777" w:rsidR="003C66EB" w:rsidRDefault="00D96C4E">
            <w:pPr>
              <w:textAlignment w:val="bottom"/>
            </w:pPr>
            <w:r>
              <w:rPr>
                <w:rFonts w:ascii="Arial" w:eastAsia="宋体" w:hAnsi="Arial" w:cs="Arial"/>
                <w:color w:val="000000"/>
                <w:sz w:val="15"/>
                <w:szCs w:val="15"/>
              </w:rPr>
              <w:t xml:space="preserve">Payments for cash </w:t>
            </w:r>
            <w:r>
              <w:rPr>
                <w:rFonts w:ascii="Arial" w:eastAsia="宋体" w:hAnsi="Arial" w:cs="Arial"/>
                <w:color w:val="000000"/>
                <w:sz w:val="15"/>
                <w:szCs w:val="15"/>
              </w:rPr>
              <w:t>dividends</w:t>
            </w:r>
          </w:p>
        </w:tc>
        <w:tc>
          <w:tcPr>
            <w:tcW w:w="0" w:type="auto"/>
            <w:gridSpan w:val="2"/>
            <w:shd w:val="clear" w:color="auto" w:fill="FFFFFF"/>
            <w:tcMar>
              <w:top w:w="40" w:type="dxa"/>
              <w:left w:w="20" w:type="dxa"/>
              <w:bottom w:w="40" w:type="dxa"/>
              <w:right w:w="0" w:type="dxa"/>
            </w:tcMar>
            <w:vAlign w:val="bottom"/>
          </w:tcPr>
          <w:p w14:paraId="5EA227CA" w14:textId="77777777" w:rsidR="003C66EB" w:rsidRDefault="00D96C4E">
            <w:pPr>
              <w:jc w:val="right"/>
              <w:textAlignment w:val="bottom"/>
            </w:pPr>
            <w:r>
              <w:rPr>
                <w:rFonts w:ascii="Arial" w:eastAsia="宋体" w:hAnsi="Arial" w:cs="Arial"/>
                <w:b/>
                <w:bCs/>
                <w:color w:val="000000"/>
                <w:sz w:val="15"/>
                <w:szCs w:val="15"/>
              </w:rPr>
              <w:t>(209)</w:t>
            </w:r>
          </w:p>
        </w:tc>
        <w:tc>
          <w:tcPr>
            <w:tcW w:w="0" w:type="auto"/>
            <w:shd w:val="clear" w:color="auto" w:fill="FFFFFF"/>
            <w:tcMar>
              <w:top w:w="40" w:type="dxa"/>
              <w:left w:w="0" w:type="dxa"/>
              <w:bottom w:w="40" w:type="dxa"/>
              <w:right w:w="20" w:type="dxa"/>
            </w:tcMar>
            <w:vAlign w:val="bottom"/>
          </w:tcPr>
          <w:p w14:paraId="5EA227C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C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7CD" w14:textId="77777777" w:rsidR="003C66EB" w:rsidRDefault="00D96C4E">
            <w:pPr>
              <w:jc w:val="right"/>
              <w:textAlignment w:val="bottom"/>
            </w:pPr>
            <w:r>
              <w:rPr>
                <w:rFonts w:ascii="Arial" w:eastAsia="宋体" w:hAnsi="Arial" w:cs="Arial"/>
                <w:color w:val="000000"/>
                <w:sz w:val="15"/>
                <w:szCs w:val="15"/>
              </w:rPr>
              <w:t>(230)</w:t>
            </w:r>
          </w:p>
        </w:tc>
        <w:tc>
          <w:tcPr>
            <w:tcW w:w="0" w:type="auto"/>
            <w:shd w:val="clear" w:color="auto" w:fill="FFFFFF"/>
            <w:tcMar>
              <w:top w:w="40" w:type="dxa"/>
              <w:left w:w="0" w:type="dxa"/>
              <w:bottom w:w="40" w:type="dxa"/>
              <w:right w:w="20" w:type="dxa"/>
            </w:tcMar>
            <w:vAlign w:val="bottom"/>
          </w:tcPr>
          <w:p w14:paraId="5EA227CE" w14:textId="77777777" w:rsidR="003C66EB" w:rsidRDefault="003C66EB">
            <w:pPr>
              <w:jc w:val="right"/>
              <w:rPr>
                <w:rFonts w:ascii="宋体"/>
              </w:rPr>
            </w:pPr>
          </w:p>
        </w:tc>
        <w:tc>
          <w:tcPr>
            <w:tcW w:w="0" w:type="auto"/>
            <w:gridSpan w:val="3"/>
            <w:shd w:val="clear" w:color="auto" w:fill="auto"/>
          </w:tcPr>
          <w:p w14:paraId="5EA227CF" w14:textId="77777777" w:rsidR="003C66EB" w:rsidRDefault="003C66EB">
            <w:pPr>
              <w:rPr>
                <w:rFonts w:ascii="宋体"/>
                <w:vanish/>
              </w:rPr>
            </w:pPr>
          </w:p>
        </w:tc>
        <w:tc>
          <w:tcPr>
            <w:tcW w:w="0" w:type="auto"/>
            <w:gridSpan w:val="3"/>
            <w:shd w:val="clear" w:color="auto" w:fill="auto"/>
          </w:tcPr>
          <w:p w14:paraId="5EA227D0" w14:textId="77777777" w:rsidR="003C66EB" w:rsidRDefault="003C66EB">
            <w:pPr>
              <w:rPr>
                <w:rFonts w:ascii="宋体"/>
                <w:vanish/>
              </w:rPr>
            </w:pPr>
          </w:p>
        </w:tc>
      </w:tr>
      <w:tr w:rsidR="003C66EB" w14:paraId="5EA227D8" w14:textId="77777777">
        <w:trPr>
          <w:hidden/>
        </w:trPr>
        <w:tc>
          <w:tcPr>
            <w:tcW w:w="0" w:type="auto"/>
            <w:gridSpan w:val="3"/>
            <w:shd w:val="clear" w:color="auto" w:fill="auto"/>
          </w:tcPr>
          <w:p w14:paraId="5EA227D2" w14:textId="77777777" w:rsidR="003C66EB" w:rsidRDefault="003C66EB">
            <w:pPr>
              <w:rPr>
                <w:rFonts w:ascii="宋体"/>
                <w:vanish/>
              </w:rPr>
            </w:pPr>
          </w:p>
        </w:tc>
        <w:tc>
          <w:tcPr>
            <w:tcW w:w="0" w:type="auto"/>
            <w:gridSpan w:val="3"/>
            <w:shd w:val="clear" w:color="auto" w:fill="auto"/>
          </w:tcPr>
          <w:p w14:paraId="5EA227D3" w14:textId="77777777" w:rsidR="003C66EB" w:rsidRDefault="003C66EB">
            <w:pPr>
              <w:rPr>
                <w:rFonts w:ascii="宋体"/>
                <w:vanish/>
              </w:rPr>
            </w:pPr>
          </w:p>
        </w:tc>
        <w:tc>
          <w:tcPr>
            <w:tcW w:w="0" w:type="auto"/>
            <w:gridSpan w:val="3"/>
            <w:shd w:val="clear" w:color="auto" w:fill="auto"/>
          </w:tcPr>
          <w:p w14:paraId="5EA227D4" w14:textId="77777777" w:rsidR="003C66EB" w:rsidRDefault="003C66EB">
            <w:pPr>
              <w:rPr>
                <w:rFonts w:ascii="宋体"/>
                <w:vanish/>
              </w:rPr>
            </w:pPr>
          </w:p>
        </w:tc>
        <w:tc>
          <w:tcPr>
            <w:tcW w:w="0" w:type="auto"/>
            <w:gridSpan w:val="3"/>
            <w:shd w:val="clear" w:color="auto" w:fill="auto"/>
          </w:tcPr>
          <w:p w14:paraId="5EA227D5" w14:textId="77777777" w:rsidR="003C66EB" w:rsidRDefault="003C66EB">
            <w:pPr>
              <w:rPr>
                <w:rFonts w:ascii="宋体"/>
                <w:vanish/>
              </w:rPr>
            </w:pPr>
          </w:p>
        </w:tc>
        <w:tc>
          <w:tcPr>
            <w:tcW w:w="0" w:type="auto"/>
            <w:gridSpan w:val="3"/>
            <w:shd w:val="clear" w:color="auto" w:fill="auto"/>
          </w:tcPr>
          <w:p w14:paraId="5EA227D6" w14:textId="77777777" w:rsidR="003C66EB" w:rsidRDefault="003C66EB">
            <w:pPr>
              <w:rPr>
                <w:rFonts w:ascii="宋体"/>
                <w:vanish/>
              </w:rPr>
            </w:pPr>
          </w:p>
        </w:tc>
        <w:tc>
          <w:tcPr>
            <w:tcW w:w="0" w:type="auto"/>
            <w:gridSpan w:val="3"/>
            <w:shd w:val="clear" w:color="auto" w:fill="auto"/>
          </w:tcPr>
          <w:p w14:paraId="5EA227D7" w14:textId="77777777" w:rsidR="003C66EB" w:rsidRDefault="003C66EB">
            <w:pPr>
              <w:rPr>
                <w:rFonts w:ascii="宋体"/>
                <w:vanish/>
              </w:rPr>
            </w:pPr>
          </w:p>
        </w:tc>
      </w:tr>
      <w:tr w:rsidR="003C66EB" w14:paraId="5EA227E1" w14:textId="77777777">
        <w:tc>
          <w:tcPr>
            <w:tcW w:w="0" w:type="auto"/>
            <w:gridSpan w:val="3"/>
            <w:shd w:val="clear" w:color="auto" w:fill="CCEEFF"/>
            <w:tcMar>
              <w:top w:w="40" w:type="dxa"/>
              <w:left w:w="20" w:type="dxa"/>
              <w:bottom w:w="40" w:type="dxa"/>
              <w:right w:w="20" w:type="dxa"/>
            </w:tcMar>
            <w:vAlign w:val="bottom"/>
          </w:tcPr>
          <w:p w14:paraId="5EA227D9" w14:textId="77777777" w:rsidR="003C66EB" w:rsidRDefault="00D96C4E">
            <w:pPr>
              <w:textAlignment w:val="bottom"/>
            </w:pPr>
            <w:r>
              <w:rPr>
                <w:rFonts w:ascii="Arial" w:eastAsia="宋体" w:hAnsi="Arial" w:cs="Arial"/>
                <w:color w:val="000000"/>
                <w:sz w:val="15"/>
                <w:szCs w:val="15"/>
              </w:rPr>
              <w:t>Net cash (used in) provided by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7DA" w14:textId="77777777" w:rsidR="003C66EB" w:rsidRDefault="00D96C4E">
            <w:pPr>
              <w:jc w:val="right"/>
              <w:textAlignment w:val="bottom"/>
            </w:pPr>
            <w:r>
              <w:rPr>
                <w:rFonts w:ascii="Arial" w:eastAsia="宋体" w:hAnsi="Arial" w:cs="Arial"/>
                <w:b/>
                <w:bCs/>
                <w:color w:val="000000"/>
                <w:sz w:val="15"/>
                <w:szCs w:val="15"/>
              </w:rPr>
              <w:t>(1,987)</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7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D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7DD" w14:textId="77777777" w:rsidR="003C66EB" w:rsidRDefault="00D96C4E">
            <w:pPr>
              <w:jc w:val="right"/>
              <w:textAlignment w:val="bottom"/>
            </w:pPr>
            <w:r>
              <w:rPr>
                <w:rFonts w:ascii="Arial" w:eastAsia="宋体" w:hAnsi="Arial" w:cs="Arial"/>
                <w:color w:val="000000"/>
                <w:sz w:val="15"/>
                <w:szCs w:val="15"/>
              </w:rPr>
              <w:t>110,364 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7DE" w14:textId="77777777" w:rsidR="003C66EB" w:rsidRDefault="003C66EB">
            <w:pPr>
              <w:jc w:val="right"/>
              <w:rPr>
                <w:rFonts w:ascii="宋体"/>
              </w:rPr>
            </w:pPr>
          </w:p>
        </w:tc>
        <w:tc>
          <w:tcPr>
            <w:tcW w:w="0" w:type="auto"/>
            <w:gridSpan w:val="3"/>
            <w:shd w:val="clear" w:color="auto" w:fill="auto"/>
          </w:tcPr>
          <w:p w14:paraId="5EA227DF" w14:textId="77777777" w:rsidR="003C66EB" w:rsidRDefault="003C66EB">
            <w:pPr>
              <w:rPr>
                <w:rFonts w:ascii="宋体"/>
                <w:vanish/>
              </w:rPr>
            </w:pPr>
          </w:p>
        </w:tc>
        <w:tc>
          <w:tcPr>
            <w:tcW w:w="0" w:type="auto"/>
            <w:gridSpan w:val="3"/>
            <w:shd w:val="clear" w:color="auto" w:fill="auto"/>
          </w:tcPr>
          <w:p w14:paraId="5EA227E0" w14:textId="77777777" w:rsidR="003C66EB" w:rsidRDefault="003C66EB">
            <w:pPr>
              <w:rPr>
                <w:rFonts w:ascii="宋体"/>
                <w:vanish/>
              </w:rPr>
            </w:pPr>
          </w:p>
        </w:tc>
      </w:tr>
      <w:tr w:rsidR="003C66EB" w14:paraId="5EA227EA" w14:textId="77777777">
        <w:tc>
          <w:tcPr>
            <w:tcW w:w="0" w:type="auto"/>
            <w:gridSpan w:val="3"/>
            <w:shd w:val="clear" w:color="auto" w:fill="FFFFFF"/>
            <w:tcMar>
              <w:top w:w="40" w:type="dxa"/>
              <w:left w:w="20" w:type="dxa"/>
              <w:bottom w:w="40" w:type="dxa"/>
              <w:right w:w="20" w:type="dxa"/>
            </w:tcMar>
            <w:vAlign w:val="bottom"/>
          </w:tcPr>
          <w:p w14:paraId="5EA227E2" w14:textId="77777777" w:rsidR="003C66EB" w:rsidRDefault="00D96C4E">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7E3" w14:textId="77777777" w:rsidR="003C66EB" w:rsidRDefault="00D96C4E">
            <w:pPr>
              <w:jc w:val="right"/>
              <w:textAlignment w:val="bottom"/>
            </w:pPr>
            <w:r>
              <w:rPr>
                <w:rFonts w:ascii="Arial" w:eastAsia="宋体" w:hAnsi="Arial" w:cs="Arial"/>
                <w:b/>
                <w:bCs/>
                <w:color w:val="000000"/>
                <w:sz w:val="15"/>
                <w:szCs w:val="15"/>
              </w:rPr>
              <w:t>1,085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7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E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7E6" w14:textId="77777777" w:rsidR="003C66EB" w:rsidRDefault="00D96C4E">
            <w:pPr>
              <w:jc w:val="right"/>
              <w:textAlignment w:val="bottom"/>
            </w:pPr>
            <w:r>
              <w:rPr>
                <w:rFonts w:ascii="Arial" w:eastAsia="宋体" w:hAnsi="Arial" w:cs="Arial"/>
                <w:color w:val="000000"/>
                <w:sz w:val="15"/>
                <w:szCs w:val="15"/>
              </w:rPr>
              <w:t>1,630 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7E7" w14:textId="77777777" w:rsidR="003C66EB" w:rsidRDefault="003C66EB">
            <w:pPr>
              <w:jc w:val="right"/>
              <w:rPr>
                <w:rFonts w:ascii="宋体"/>
              </w:rPr>
            </w:pPr>
          </w:p>
        </w:tc>
        <w:tc>
          <w:tcPr>
            <w:tcW w:w="0" w:type="auto"/>
            <w:gridSpan w:val="3"/>
            <w:shd w:val="clear" w:color="auto" w:fill="auto"/>
          </w:tcPr>
          <w:p w14:paraId="5EA227E8" w14:textId="77777777" w:rsidR="003C66EB" w:rsidRDefault="003C66EB">
            <w:pPr>
              <w:rPr>
                <w:rFonts w:ascii="宋体"/>
                <w:vanish/>
              </w:rPr>
            </w:pPr>
          </w:p>
        </w:tc>
        <w:tc>
          <w:tcPr>
            <w:tcW w:w="0" w:type="auto"/>
            <w:gridSpan w:val="3"/>
            <w:shd w:val="clear" w:color="auto" w:fill="auto"/>
          </w:tcPr>
          <w:p w14:paraId="5EA227E9" w14:textId="77777777" w:rsidR="003C66EB" w:rsidRDefault="003C66EB">
            <w:pPr>
              <w:rPr>
                <w:rFonts w:ascii="宋体"/>
                <w:vanish/>
              </w:rPr>
            </w:pPr>
          </w:p>
        </w:tc>
      </w:tr>
      <w:tr w:rsidR="003C66EB" w14:paraId="5EA227F3" w14:textId="77777777">
        <w:tc>
          <w:tcPr>
            <w:tcW w:w="0" w:type="auto"/>
            <w:gridSpan w:val="3"/>
            <w:shd w:val="clear" w:color="auto" w:fill="CCEEFF"/>
            <w:tcMar>
              <w:top w:w="40" w:type="dxa"/>
              <w:left w:w="20" w:type="dxa"/>
              <w:bottom w:w="40" w:type="dxa"/>
              <w:right w:w="20" w:type="dxa"/>
            </w:tcMar>
            <w:vAlign w:val="bottom"/>
          </w:tcPr>
          <w:p w14:paraId="5EA227EB" w14:textId="77777777" w:rsidR="003C66EB" w:rsidRDefault="00D96C4E">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CCEEFF"/>
            <w:tcMar>
              <w:top w:w="40" w:type="dxa"/>
              <w:left w:w="20" w:type="dxa"/>
              <w:bottom w:w="40" w:type="dxa"/>
              <w:right w:w="0" w:type="dxa"/>
            </w:tcMar>
            <w:vAlign w:val="bottom"/>
          </w:tcPr>
          <w:p w14:paraId="5EA227EC" w14:textId="77777777" w:rsidR="003C66EB" w:rsidRDefault="00D96C4E">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7E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7E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7EF" w14:textId="77777777" w:rsidR="003C66EB" w:rsidRDefault="00D96C4E">
            <w:pPr>
              <w:jc w:val="right"/>
              <w:textAlignment w:val="bottom"/>
            </w:pPr>
            <w:r>
              <w:rPr>
                <w:rFonts w:ascii="Arial" w:eastAsia="宋体" w:hAnsi="Arial" w:cs="Arial"/>
                <w:color w:val="000000"/>
                <w:sz w:val="15"/>
                <w:szCs w:val="15"/>
              </w:rPr>
              <w:t>3,302 </w:t>
            </w:r>
          </w:p>
        </w:tc>
        <w:tc>
          <w:tcPr>
            <w:tcW w:w="0" w:type="auto"/>
            <w:shd w:val="clear" w:color="auto" w:fill="CCEEFF"/>
            <w:tcMar>
              <w:top w:w="40" w:type="dxa"/>
              <w:left w:w="0" w:type="dxa"/>
              <w:bottom w:w="40" w:type="dxa"/>
              <w:right w:w="20" w:type="dxa"/>
            </w:tcMar>
            <w:vAlign w:val="bottom"/>
          </w:tcPr>
          <w:p w14:paraId="5EA227F0" w14:textId="77777777" w:rsidR="003C66EB" w:rsidRDefault="003C66EB">
            <w:pPr>
              <w:jc w:val="right"/>
              <w:rPr>
                <w:rFonts w:ascii="宋体"/>
              </w:rPr>
            </w:pPr>
          </w:p>
        </w:tc>
        <w:tc>
          <w:tcPr>
            <w:tcW w:w="0" w:type="auto"/>
            <w:gridSpan w:val="3"/>
            <w:shd w:val="clear" w:color="auto" w:fill="auto"/>
          </w:tcPr>
          <w:p w14:paraId="5EA227F1" w14:textId="77777777" w:rsidR="003C66EB" w:rsidRDefault="003C66EB">
            <w:pPr>
              <w:rPr>
                <w:rFonts w:ascii="宋体"/>
                <w:vanish/>
              </w:rPr>
            </w:pPr>
          </w:p>
        </w:tc>
        <w:tc>
          <w:tcPr>
            <w:tcW w:w="0" w:type="auto"/>
            <w:gridSpan w:val="3"/>
            <w:shd w:val="clear" w:color="auto" w:fill="auto"/>
          </w:tcPr>
          <w:p w14:paraId="5EA227F2" w14:textId="77777777" w:rsidR="003C66EB" w:rsidRDefault="003C66EB">
            <w:pPr>
              <w:rPr>
                <w:rFonts w:ascii="宋体"/>
                <w:vanish/>
              </w:rPr>
            </w:pPr>
          </w:p>
        </w:tc>
      </w:tr>
      <w:tr w:rsidR="003C66EB" w14:paraId="5EA227FE" w14:textId="77777777">
        <w:tc>
          <w:tcPr>
            <w:tcW w:w="0" w:type="auto"/>
            <w:gridSpan w:val="3"/>
            <w:shd w:val="clear" w:color="auto" w:fill="FFFFFF"/>
            <w:tcMar>
              <w:top w:w="40" w:type="dxa"/>
              <w:left w:w="20" w:type="dxa"/>
              <w:bottom w:w="40" w:type="dxa"/>
              <w:right w:w="20" w:type="dxa"/>
            </w:tcMar>
            <w:vAlign w:val="bottom"/>
          </w:tcPr>
          <w:p w14:paraId="5EA227F4" w14:textId="77777777" w:rsidR="003C66EB" w:rsidRDefault="00D96C4E">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27F5"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27F6" w14:textId="77777777" w:rsidR="003C66EB" w:rsidRDefault="00D96C4E">
            <w:pPr>
              <w:jc w:val="right"/>
              <w:textAlignment w:val="bottom"/>
            </w:pPr>
            <w:r>
              <w:rPr>
                <w:rFonts w:ascii="Arial" w:eastAsia="宋体" w:hAnsi="Arial" w:cs="Arial"/>
                <w:b/>
                <w:bCs/>
                <w:color w:val="000000"/>
                <w:sz w:val="15"/>
                <w:szCs w:val="15"/>
              </w:rPr>
              <w:t>4,552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7F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7F8"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27F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27FA" w14:textId="77777777" w:rsidR="003C66EB" w:rsidRDefault="00D96C4E">
            <w:pPr>
              <w:jc w:val="right"/>
              <w:textAlignment w:val="bottom"/>
            </w:pPr>
            <w:r>
              <w:rPr>
                <w:rFonts w:ascii="Arial" w:eastAsia="宋体" w:hAnsi="Arial" w:cs="Arial"/>
                <w:color w:val="000000"/>
                <w:sz w:val="15"/>
                <w:szCs w:val="15"/>
              </w:rPr>
              <w:t>4,932 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7FB" w14:textId="77777777" w:rsidR="003C66EB" w:rsidRDefault="003C66EB">
            <w:pPr>
              <w:jc w:val="right"/>
              <w:rPr>
                <w:rFonts w:ascii="宋体"/>
              </w:rPr>
            </w:pPr>
          </w:p>
        </w:tc>
        <w:tc>
          <w:tcPr>
            <w:tcW w:w="0" w:type="auto"/>
            <w:gridSpan w:val="3"/>
            <w:shd w:val="clear" w:color="auto" w:fill="auto"/>
          </w:tcPr>
          <w:p w14:paraId="5EA227FC" w14:textId="77777777" w:rsidR="003C66EB" w:rsidRDefault="003C66EB">
            <w:pPr>
              <w:rPr>
                <w:rFonts w:ascii="宋体"/>
                <w:vanish/>
              </w:rPr>
            </w:pPr>
          </w:p>
        </w:tc>
        <w:tc>
          <w:tcPr>
            <w:tcW w:w="0" w:type="auto"/>
            <w:gridSpan w:val="3"/>
            <w:shd w:val="clear" w:color="auto" w:fill="auto"/>
          </w:tcPr>
          <w:p w14:paraId="5EA227FD" w14:textId="77777777" w:rsidR="003C66EB" w:rsidRDefault="003C66EB">
            <w:pPr>
              <w:rPr>
                <w:rFonts w:ascii="宋体"/>
                <w:vanish/>
              </w:rPr>
            </w:pPr>
          </w:p>
        </w:tc>
      </w:tr>
      <w:tr w:rsidR="003C66EB" w14:paraId="5EA22805" w14:textId="77777777">
        <w:trPr>
          <w:trHeight w:val="60"/>
        </w:trPr>
        <w:tc>
          <w:tcPr>
            <w:tcW w:w="0" w:type="auto"/>
            <w:gridSpan w:val="3"/>
            <w:shd w:val="clear" w:color="auto" w:fill="auto"/>
            <w:tcMar>
              <w:top w:w="0" w:type="dxa"/>
              <w:left w:w="20" w:type="dxa"/>
              <w:bottom w:w="0" w:type="dxa"/>
              <w:right w:w="20" w:type="dxa"/>
            </w:tcMar>
          </w:tcPr>
          <w:p w14:paraId="5EA227F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280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0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2802" w14:textId="77777777" w:rsidR="003C66EB" w:rsidRDefault="003C66EB">
            <w:pPr>
              <w:rPr>
                <w:rFonts w:ascii="宋体"/>
              </w:rPr>
            </w:pPr>
          </w:p>
        </w:tc>
        <w:tc>
          <w:tcPr>
            <w:tcW w:w="0" w:type="auto"/>
            <w:gridSpan w:val="3"/>
            <w:shd w:val="clear" w:color="auto" w:fill="auto"/>
          </w:tcPr>
          <w:p w14:paraId="5EA22803" w14:textId="77777777" w:rsidR="003C66EB" w:rsidRDefault="003C66EB">
            <w:pPr>
              <w:rPr>
                <w:rFonts w:ascii="宋体"/>
                <w:vanish/>
              </w:rPr>
            </w:pPr>
          </w:p>
        </w:tc>
        <w:tc>
          <w:tcPr>
            <w:tcW w:w="0" w:type="auto"/>
            <w:gridSpan w:val="3"/>
            <w:shd w:val="clear" w:color="auto" w:fill="auto"/>
          </w:tcPr>
          <w:p w14:paraId="5EA22804" w14:textId="77777777" w:rsidR="003C66EB" w:rsidRDefault="003C66EB">
            <w:pPr>
              <w:rPr>
                <w:rFonts w:ascii="宋体"/>
                <w:vanish/>
              </w:rPr>
            </w:pPr>
          </w:p>
        </w:tc>
      </w:tr>
      <w:tr w:rsidR="003C66EB" w14:paraId="5EA2280C" w14:textId="77777777">
        <w:trPr>
          <w:hidden/>
        </w:trPr>
        <w:tc>
          <w:tcPr>
            <w:tcW w:w="0" w:type="auto"/>
            <w:gridSpan w:val="3"/>
            <w:shd w:val="clear" w:color="auto" w:fill="auto"/>
          </w:tcPr>
          <w:p w14:paraId="5EA22806" w14:textId="77777777" w:rsidR="003C66EB" w:rsidRDefault="003C66EB">
            <w:pPr>
              <w:rPr>
                <w:rFonts w:ascii="宋体"/>
                <w:vanish/>
              </w:rPr>
            </w:pPr>
          </w:p>
        </w:tc>
        <w:tc>
          <w:tcPr>
            <w:tcW w:w="0" w:type="auto"/>
            <w:gridSpan w:val="3"/>
            <w:shd w:val="clear" w:color="auto" w:fill="auto"/>
          </w:tcPr>
          <w:p w14:paraId="5EA22807" w14:textId="77777777" w:rsidR="003C66EB" w:rsidRDefault="003C66EB">
            <w:pPr>
              <w:rPr>
                <w:rFonts w:ascii="宋体"/>
                <w:vanish/>
              </w:rPr>
            </w:pPr>
          </w:p>
        </w:tc>
        <w:tc>
          <w:tcPr>
            <w:tcW w:w="0" w:type="auto"/>
            <w:gridSpan w:val="3"/>
            <w:shd w:val="clear" w:color="auto" w:fill="auto"/>
          </w:tcPr>
          <w:p w14:paraId="5EA22808" w14:textId="77777777" w:rsidR="003C66EB" w:rsidRDefault="003C66EB">
            <w:pPr>
              <w:rPr>
                <w:rFonts w:ascii="宋体"/>
                <w:vanish/>
              </w:rPr>
            </w:pPr>
          </w:p>
        </w:tc>
        <w:tc>
          <w:tcPr>
            <w:tcW w:w="0" w:type="auto"/>
            <w:gridSpan w:val="3"/>
            <w:shd w:val="clear" w:color="auto" w:fill="auto"/>
          </w:tcPr>
          <w:p w14:paraId="5EA22809" w14:textId="77777777" w:rsidR="003C66EB" w:rsidRDefault="003C66EB">
            <w:pPr>
              <w:rPr>
                <w:rFonts w:ascii="宋体"/>
                <w:vanish/>
              </w:rPr>
            </w:pPr>
          </w:p>
        </w:tc>
        <w:tc>
          <w:tcPr>
            <w:tcW w:w="0" w:type="auto"/>
            <w:gridSpan w:val="3"/>
            <w:shd w:val="clear" w:color="auto" w:fill="auto"/>
          </w:tcPr>
          <w:p w14:paraId="5EA2280A" w14:textId="77777777" w:rsidR="003C66EB" w:rsidRDefault="003C66EB">
            <w:pPr>
              <w:rPr>
                <w:rFonts w:ascii="宋体"/>
                <w:vanish/>
              </w:rPr>
            </w:pPr>
          </w:p>
        </w:tc>
        <w:tc>
          <w:tcPr>
            <w:tcW w:w="0" w:type="auto"/>
            <w:gridSpan w:val="3"/>
            <w:shd w:val="clear" w:color="auto" w:fill="auto"/>
          </w:tcPr>
          <w:p w14:paraId="5EA2280B" w14:textId="77777777" w:rsidR="003C66EB" w:rsidRDefault="003C66EB">
            <w:pPr>
              <w:rPr>
                <w:rFonts w:ascii="宋体"/>
                <w:vanish/>
              </w:rPr>
            </w:pPr>
          </w:p>
        </w:tc>
      </w:tr>
      <w:tr w:rsidR="003C66EB" w14:paraId="5EA22813" w14:textId="77777777">
        <w:trPr>
          <w:hidden/>
        </w:trPr>
        <w:tc>
          <w:tcPr>
            <w:tcW w:w="0" w:type="auto"/>
            <w:gridSpan w:val="3"/>
            <w:shd w:val="clear" w:color="auto" w:fill="auto"/>
          </w:tcPr>
          <w:p w14:paraId="5EA2280D" w14:textId="77777777" w:rsidR="003C66EB" w:rsidRDefault="003C66EB">
            <w:pPr>
              <w:rPr>
                <w:rFonts w:ascii="宋体"/>
                <w:vanish/>
              </w:rPr>
            </w:pPr>
          </w:p>
        </w:tc>
        <w:tc>
          <w:tcPr>
            <w:tcW w:w="0" w:type="auto"/>
            <w:gridSpan w:val="3"/>
            <w:shd w:val="clear" w:color="auto" w:fill="auto"/>
          </w:tcPr>
          <w:p w14:paraId="5EA2280E" w14:textId="77777777" w:rsidR="003C66EB" w:rsidRDefault="003C66EB">
            <w:pPr>
              <w:rPr>
                <w:rFonts w:ascii="宋体"/>
                <w:vanish/>
              </w:rPr>
            </w:pPr>
          </w:p>
        </w:tc>
        <w:tc>
          <w:tcPr>
            <w:tcW w:w="0" w:type="auto"/>
            <w:gridSpan w:val="3"/>
            <w:shd w:val="clear" w:color="auto" w:fill="auto"/>
          </w:tcPr>
          <w:p w14:paraId="5EA2280F" w14:textId="77777777" w:rsidR="003C66EB" w:rsidRDefault="003C66EB">
            <w:pPr>
              <w:rPr>
                <w:rFonts w:ascii="宋体"/>
                <w:vanish/>
              </w:rPr>
            </w:pPr>
          </w:p>
        </w:tc>
        <w:tc>
          <w:tcPr>
            <w:tcW w:w="0" w:type="auto"/>
            <w:gridSpan w:val="3"/>
            <w:shd w:val="clear" w:color="auto" w:fill="auto"/>
          </w:tcPr>
          <w:p w14:paraId="5EA22810" w14:textId="77777777" w:rsidR="003C66EB" w:rsidRDefault="003C66EB">
            <w:pPr>
              <w:rPr>
                <w:rFonts w:ascii="宋体"/>
                <w:vanish/>
              </w:rPr>
            </w:pPr>
          </w:p>
        </w:tc>
        <w:tc>
          <w:tcPr>
            <w:tcW w:w="0" w:type="auto"/>
            <w:gridSpan w:val="3"/>
            <w:shd w:val="clear" w:color="auto" w:fill="auto"/>
          </w:tcPr>
          <w:p w14:paraId="5EA22811" w14:textId="77777777" w:rsidR="003C66EB" w:rsidRDefault="003C66EB">
            <w:pPr>
              <w:rPr>
                <w:rFonts w:ascii="宋体"/>
                <w:vanish/>
              </w:rPr>
            </w:pPr>
          </w:p>
        </w:tc>
        <w:tc>
          <w:tcPr>
            <w:tcW w:w="0" w:type="auto"/>
            <w:gridSpan w:val="3"/>
            <w:shd w:val="clear" w:color="auto" w:fill="auto"/>
          </w:tcPr>
          <w:p w14:paraId="5EA22812" w14:textId="77777777" w:rsidR="003C66EB" w:rsidRDefault="003C66EB">
            <w:pPr>
              <w:rPr>
                <w:rFonts w:ascii="宋体"/>
                <w:vanish/>
              </w:rPr>
            </w:pPr>
          </w:p>
        </w:tc>
      </w:tr>
      <w:tr w:rsidR="003C66EB" w14:paraId="5EA2281A" w14:textId="77777777">
        <w:trPr>
          <w:hidden/>
        </w:trPr>
        <w:tc>
          <w:tcPr>
            <w:tcW w:w="0" w:type="auto"/>
            <w:gridSpan w:val="3"/>
            <w:shd w:val="clear" w:color="auto" w:fill="auto"/>
          </w:tcPr>
          <w:p w14:paraId="5EA22814" w14:textId="77777777" w:rsidR="003C66EB" w:rsidRDefault="003C66EB">
            <w:pPr>
              <w:rPr>
                <w:rFonts w:ascii="宋体"/>
                <w:vanish/>
              </w:rPr>
            </w:pPr>
          </w:p>
        </w:tc>
        <w:tc>
          <w:tcPr>
            <w:tcW w:w="0" w:type="auto"/>
            <w:gridSpan w:val="3"/>
            <w:shd w:val="clear" w:color="auto" w:fill="auto"/>
          </w:tcPr>
          <w:p w14:paraId="5EA22815" w14:textId="77777777" w:rsidR="003C66EB" w:rsidRDefault="003C66EB">
            <w:pPr>
              <w:rPr>
                <w:rFonts w:ascii="宋体"/>
                <w:vanish/>
              </w:rPr>
            </w:pPr>
          </w:p>
        </w:tc>
        <w:tc>
          <w:tcPr>
            <w:tcW w:w="0" w:type="auto"/>
            <w:gridSpan w:val="3"/>
            <w:shd w:val="clear" w:color="auto" w:fill="auto"/>
          </w:tcPr>
          <w:p w14:paraId="5EA22816" w14:textId="77777777" w:rsidR="003C66EB" w:rsidRDefault="003C66EB">
            <w:pPr>
              <w:rPr>
                <w:rFonts w:ascii="宋体"/>
                <w:vanish/>
              </w:rPr>
            </w:pPr>
          </w:p>
        </w:tc>
        <w:tc>
          <w:tcPr>
            <w:tcW w:w="0" w:type="auto"/>
            <w:gridSpan w:val="3"/>
            <w:shd w:val="clear" w:color="auto" w:fill="auto"/>
          </w:tcPr>
          <w:p w14:paraId="5EA22817" w14:textId="77777777" w:rsidR="003C66EB" w:rsidRDefault="003C66EB">
            <w:pPr>
              <w:rPr>
                <w:rFonts w:ascii="宋体"/>
                <w:vanish/>
              </w:rPr>
            </w:pPr>
          </w:p>
        </w:tc>
        <w:tc>
          <w:tcPr>
            <w:tcW w:w="0" w:type="auto"/>
            <w:gridSpan w:val="3"/>
            <w:shd w:val="clear" w:color="auto" w:fill="auto"/>
          </w:tcPr>
          <w:p w14:paraId="5EA22818" w14:textId="77777777" w:rsidR="003C66EB" w:rsidRDefault="003C66EB">
            <w:pPr>
              <w:rPr>
                <w:rFonts w:ascii="宋体"/>
                <w:vanish/>
              </w:rPr>
            </w:pPr>
          </w:p>
        </w:tc>
        <w:tc>
          <w:tcPr>
            <w:tcW w:w="0" w:type="auto"/>
            <w:gridSpan w:val="3"/>
            <w:shd w:val="clear" w:color="auto" w:fill="auto"/>
          </w:tcPr>
          <w:p w14:paraId="5EA22819" w14:textId="77777777" w:rsidR="003C66EB" w:rsidRDefault="003C66EB">
            <w:pPr>
              <w:rPr>
                <w:rFonts w:ascii="宋体"/>
                <w:vanish/>
              </w:rPr>
            </w:pPr>
          </w:p>
        </w:tc>
      </w:tr>
    </w:tbl>
    <w:p w14:paraId="5EA2281B" w14:textId="77777777" w:rsidR="003C66EB" w:rsidRDefault="003C66EB">
      <w:pPr>
        <w:ind w:firstLine="450"/>
      </w:pPr>
    </w:p>
    <w:p w14:paraId="5EA2281C" w14:textId="77777777" w:rsidR="003C66EB" w:rsidRDefault="003C66EB">
      <w:pPr>
        <w:ind w:firstLine="450"/>
      </w:pPr>
    </w:p>
    <w:p w14:paraId="5EA2281D" w14:textId="77777777" w:rsidR="003C66EB" w:rsidRDefault="003C66EB">
      <w:pPr>
        <w:ind w:firstLine="450"/>
      </w:pPr>
    </w:p>
    <w:p w14:paraId="5EA2281E" w14:textId="77777777" w:rsidR="003C66EB" w:rsidRDefault="003C66EB">
      <w:pPr>
        <w:ind w:firstLine="450"/>
      </w:pPr>
    </w:p>
    <w:p w14:paraId="5EA2281F" w14:textId="77777777" w:rsidR="003C66EB" w:rsidRDefault="003C66EB">
      <w:pPr>
        <w:ind w:firstLine="450"/>
      </w:pPr>
    </w:p>
    <w:p w14:paraId="5EA22820" w14:textId="77777777" w:rsidR="003C66EB" w:rsidRDefault="003C66EB">
      <w:pPr>
        <w:ind w:firstLine="450"/>
      </w:pPr>
    </w:p>
    <w:p w14:paraId="5EA22821" w14:textId="77777777" w:rsidR="003C66EB" w:rsidRDefault="003C66EB">
      <w:pPr>
        <w:ind w:firstLine="450"/>
      </w:pPr>
    </w:p>
    <w:p w14:paraId="5EA22822" w14:textId="77777777" w:rsidR="003C66EB" w:rsidRDefault="00D96C4E">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A22823" w14:textId="77777777" w:rsidR="003C66EB" w:rsidRDefault="00D96C4E">
      <w:pPr>
        <w:ind w:firstLine="450"/>
        <w:jc w:val="right"/>
      </w:pPr>
      <w:r>
        <w:rPr>
          <w:rFonts w:ascii="Arial" w:eastAsia="宋体" w:hAnsi="Arial" w:cs="Arial"/>
          <w:color w:val="000000"/>
          <w:sz w:val="18"/>
          <w:szCs w:val="18"/>
        </w:rPr>
        <w:t>State Street Corporation | 52</w:t>
      </w:r>
    </w:p>
    <w:p w14:paraId="5EA22824" w14:textId="77777777" w:rsidR="003C66EB" w:rsidRDefault="003C66EB">
      <w:pPr>
        <w:ind w:firstLine="450"/>
        <w:jc w:val="center"/>
      </w:pPr>
    </w:p>
    <w:p w14:paraId="5EA22825" w14:textId="77777777" w:rsidR="003C66EB" w:rsidRDefault="00D96C4E">
      <w:r>
        <w:pict w14:anchorId="5EA287E4">
          <v:rect id="_x0000_i1076" style="width:415.3pt;height:1.5pt" o:hralign="center" o:hrstd="t" o:hr="t" fillcolor="#a0a0a0" stroked="f"/>
        </w:pict>
      </w:r>
    </w:p>
    <w:p w14:paraId="5EA22826" w14:textId="77777777" w:rsidR="003C66EB" w:rsidRDefault="00D96C4E">
      <w:pPr>
        <w:ind w:firstLine="450"/>
        <w:jc w:val="center"/>
      </w:pPr>
      <w:r>
        <w:rPr>
          <w:rFonts w:ascii="Arial" w:eastAsia="宋体" w:hAnsi="Arial" w:cs="Arial"/>
          <w:b/>
          <w:bCs/>
          <w:color w:val="000000"/>
          <w:sz w:val="20"/>
          <w:szCs w:val="20"/>
        </w:rPr>
        <w:t>STATE STREET CORPORATION</w:t>
      </w:r>
    </w:p>
    <w:p w14:paraId="5EA22827" w14:textId="77777777" w:rsidR="003C66EB" w:rsidRDefault="00D96C4E">
      <w:pPr>
        <w:ind w:firstLine="450"/>
        <w:jc w:val="center"/>
      </w:pPr>
      <w:r>
        <w:rPr>
          <w:rFonts w:ascii="Arial" w:eastAsia="宋体" w:hAnsi="Arial" w:cs="Arial"/>
          <w:b/>
          <w:bCs/>
          <w:color w:val="000000"/>
          <w:sz w:val="20"/>
          <w:szCs w:val="20"/>
        </w:rPr>
        <w:t xml:space="preserve">CONDENSED NOTES TO </w:t>
      </w:r>
      <w:r>
        <w:rPr>
          <w:rFonts w:ascii="Arial" w:eastAsia="宋体" w:hAnsi="Arial" w:cs="Arial"/>
          <w:b/>
          <w:bCs/>
          <w:color w:val="000000"/>
          <w:sz w:val="20"/>
          <w:szCs w:val="20"/>
        </w:rPr>
        <w:t>CONSOLIDATED FINANCIAL STATEMENTS</w:t>
      </w:r>
    </w:p>
    <w:p w14:paraId="5EA22828" w14:textId="77777777" w:rsidR="003C66EB" w:rsidRDefault="00D96C4E">
      <w:pPr>
        <w:ind w:firstLine="450"/>
        <w:jc w:val="center"/>
      </w:pPr>
      <w:r>
        <w:rPr>
          <w:rFonts w:ascii="Arial" w:eastAsia="宋体" w:hAnsi="Arial" w:cs="Arial"/>
          <w:b/>
          <w:bCs/>
          <w:color w:val="000000"/>
          <w:sz w:val="20"/>
          <w:szCs w:val="20"/>
        </w:rPr>
        <w:t>(UNAUDITED)</w:t>
      </w:r>
    </w:p>
    <w:p w14:paraId="5EA22829" w14:textId="77777777" w:rsidR="003C66EB" w:rsidRDefault="00D96C4E">
      <w:pPr>
        <w:spacing w:before="90"/>
        <w:jc w:val="both"/>
        <w:textAlignment w:val="top"/>
      </w:pPr>
      <w:r>
        <w:rPr>
          <w:rFonts w:ascii="Arial" w:eastAsia="宋体" w:hAnsi="Arial" w:cs="Arial"/>
          <w:b/>
          <w:bCs/>
          <w:color w:val="000000"/>
          <w:sz w:val="20"/>
          <w:szCs w:val="20"/>
        </w:rPr>
        <w:t>Note 1.    Summary of Significant Accounting Policies</w:t>
      </w:r>
    </w:p>
    <w:p w14:paraId="5EA2282A" w14:textId="77777777" w:rsidR="003C66EB" w:rsidRDefault="00D96C4E">
      <w:pPr>
        <w:spacing w:before="60"/>
        <w:jc w:val="both"/>
        <w:textAlignment w:val="top"/>
      </w:pPr>
      <w:r>
        <w:rPr>
          <w:rFonts w:ascii="Arial" w:eastAsia="宋体" w:hAnsi="Arial" w:cs="Arial"/>
          <w:b/>
          <w:bCs/>
          <w:i/>
          <w:iCs/>
          <w:color w:val="000000"/>
          <w:sz w:val="20"/>
          <w:szCs w:val="20"/>
        </w:rPr>
        <w:t>Basis of Presentation</w:t>
      </w:r>
    </w:p>
    <w:p w14:paraId="5EA2282B" w14:textId="77777777" w:rsidR="003C66EB" w:rsidRDefault="00D96C4E">
      <w:pPr>
        <w:spacing w:before="60"/>
        <w:ind w:firstLine="450"/>
        <w:jc w:val="both"/>
        <w:textAlignment w:val="top"/>
      </w:pPr>
      <w:r>
        <w:rPr>
          <w:rFonts w:ascii="Arial" w:eastAsia="宋体" w:hAnsi="Arial" w:cs="Arial"/>
          <w:color w:val="000000"/>
          <w:sz w:val="20"/>
          <w:szCs w:val="20"/>
        </w:rPr>
        <w:t>The accounting and financial reporting policies of State Street Corporation conform to U.S. GAAP. State Street Corporation, the Parent</w:t>
      </w:r>
      <w:r>
        <w:rPr>
          <w:rFonts w:ascii="Arial" w:eastAsia="宋体" w:hAnsi="Arial" w:cs="Arial"/>
          <w:color w:val="000000"/>
          <w:sz w:val="20"/>
          <w:szCs w:val="20"/>
        </w:rPr>
        <w:t xml:space="preserve"> Company, is a financial holding company headquartered in Boston, Massachusetts. Unless otherwise indicated or unless the context requires otherwise, all references in these notes to consolidated financial statements to “State Street,” “we,” “us,” “our” or</w:t>
      </w:r>
      <w:r>
        <w:rPr>
          <w:rFonts w:ascii="Arial" w:eastAsia="宋体" w:hAnsi="Arial" w:cs="Arial"/>
          <w:color w:val="000000"/>
          <w:sz w:val="20"/>
          <w:szCs w:val="20"/>
        </w:rPr>
        <w:t xml:space="preserve"> similar references mean State Street Corporation and its subsidiaries on a consolidated basis, including our principal banking subsidiary, State Street Bank.</w:t>
      </w:r>
    </w:p>
    <w:p w14:paraId="5EA2282C" w14:textId="77777777" w:rsidR="003C66EB" w:rsidRDefault="00D96C4E">
      <w:pPr>
        <w:spacing w:before="60"/>
        <w:ind w:firstLine="450"/>
        <w:jc w:val="both"/>
        <w:textAlignment w:val="top"/>
      </w:pPr>
      <w:r>
        <w:rPr>
          <w:rFonts w:ascii="Arial" w:eastAsia="宋体" w:hAnsi="Arial" w:cs="Arial"/>
          <w:color w:val="000000"/>
          <w:sz w:val="20"/>
          <w:szCs w:val="20"/>
        </w:rPr>
        <w:t>The accompanying consolidated financial statements should be read in conjunction with the financi</w:t>
      </w:r>
      <w:r>
        <w:rPr>
          <w:rFonts w:ascii="Arial" w:eastAsia="宋体" w:hAnsi="Arial" w:cs="Arial"/>
          <w:color w:val="000000"/>
          <w:sz w:val="20"/>
          <w:szCs w:val="20"/>
        </w:rPr>
        <w:t>al and risk factor information included in our 2020 Form 10-K, which we previously filed with the SEC.</w:t>
      </w:r>
    </w:p>
    <w:p w14:paraId="5EA2282D" w14:textId="77777777" w:rsidR="003C66EB" w:rsidRDefault="00D96C4E">
      <w:pPr>
        <w:spacing w:before="60"/>
        <w:ind w:firstLine="450"/>
        <w:jc w:val="both"/>
        <w:textAlignment w:val="top"/>
      </w:pPr>
      <w:r>
        <w:rPr>
          <w:rFonts w:ascii="Arial" w:eastAsia="宋体" w:hAnsi="Arial" w:cs="Arial"/>
          <w:color w:val="000000"/>
          <w:sz w:val="20"/>
          <w:szCs w:val="20"/>
        </w:rPr>
        <w:t>The consolidated financial statements accompanying these condensed notes are unaudited. In the opinion of management, all adjustments, consisting only of</w:t>
      </w:r>
      <w:r>
        <w:rPr>
          <w:rFonts w:ascii="Arial" w:eastAsia="宋体" w:hAnsi="Arial" w:cs="Arial"/>
          <w:color w:val="000000"/>
          <w:sz w:val="20"/>
          <w:szCs w:val="20"/>
        </w:rPr>
        <w:t xml:space="preserve"> normal recurring adjustments, which are necessary for a fair statement of the consolidated results of operations in these financial statements, have been made. Certain previously reported amounts presented in this Form 10-Q have been reclassified to confo</w:t>
      </w:r>
      <w:r>
        <w:rPr>
          <w:rFonts w:ascii="Arial" w:eastAsia="宋体" w:hAnsi="Arial" w:cs="Arial"/>
          <w:color w:val="000000"/>
          <w:sz w:val="20"/>
          <w:szCs w:val="20"/>
        </w:rPr>
        <w:t>rm to current-period presentation. Events occurring subsequent to the date of our consolidated statement of condition were evaluated for potential recognition or disclosure in our consolidated financial statements through the date we filed this Form 10-Q w</w:t>
      </w:r>
      <w:r>
        <w:rPr>
          <w:rFonts w:ascii="Arial" w:eastAsia="宋体" w:hAnsi="Arial" w:cs="Arial"/>
          <w:color w:val="000000"/>
          <w:sz w:val="20"/>
          <w:szCs w:val="20"/>
        </w:rPr>
        <w:t>ith the SEC.</w:t>
      </w:r>
    </w:p>
    <w:p w14:paraId="5EA2282E" w14:textId="77777777" w:rsidR="003C66EB" w:rsidRDefault="00D96C4E">
      <w:pPr>
        <w:spacing w:before="60"/>
        <w:ind w:firstLine="450"/>
        <w:jc w:val="both"/>
        <w:textAlignment w:val="top"/>
      </w:pPr>
      <w:r>
        <w:rPr>
          <w:rFonts w:ascii="Arial" w:eastAsia="宋体" w:hAnsi="Arial" w:cs="Arial"/>
          <w:color w:val="000000"/>
          <w:sz w:val="20"/>
          <w:szCs w:val="20"/>
        </w:rPr>
        <w:t>The preparation of consolidated financial statements in conformity with U.S. GAAP requires management to make estimates and assumptions in the application of certain of our significant accounting policies that may materially affect the reporte</w:t>
      </w:r>
      <w:r>
        <w:rPr>
          <w:rFonts w:ascii="Arial" w:eastAsia="宋体" w:hAnsi="Arial" w:cs="Arial"/>
          <w:color w:val="000000"/>
          <w:sz w:val="20"/>
          <w:szCs w:val="20"/>
        </w:rPr>
        <w:t>d amounts of assets, liabilities, equity, revenue and expenses. As a result of unanticipated events or circumstances, actual results could differ from those estimates. These accounting estimates reflect the best judgment of management, but actual results c</w:t>
      </w:r>
      <w:r>
        <w:rPr>
          <w:rFonts w:ascii="Arial" w:eastAsia="宋体" w:hAnsi="Arial" w:cs="Arial"/>
          <w:color w:val="000000"/>
          <w:sz w:val="20"/>
          <w:szCs w:val="20"/>
        </w:rPr>
        <w:t>ould differ.</w:t>
      </w:r>
    </w:p>
    <w:p w14:paraId="5EA2282F" w14:textId="77777777" w:rsidR="003C66EB" w:rsidRDefault="00D96C4E">
      <w:pPr>
        <w:spacing w:before="60"/>
        <w:ind w:firstLine="450"/>
        <w:jc w:val="both"/>
        <w:textAlignment w:val="top"/>
      </w:pPr>
      <w:r>
        <w:rPr>
          <w:rFonts w:ascii="Arial" w:eastAsia="宋体" w:hAnsi="Arial" w:cs="Arial"/>
          <w:color w:val="000000"/>
          <w:sz w:val="20"/>
          <w:szCs w:val="20"/>
        </w:rPr>
        <w:t>Our consolidated statement of condition as of December 31, 2020 included in the accompanying consolidated financial statements was derived from the audited financial statements as of that date, but does not include all notes required by U.S. G</w:t>
      </w:r>
      <w:r>
        <w:rPr>
          <w:rFonts w:ascii="Arial" w:eastAsia="宋体" w:hAnsi="Arial" w:cs="Arial"/>
          <w:color w:val="000000"/>
          <w:sz w:val="20"/>
          <w:szCs w:val="20"/>
        </w:rPr>
        <w:t>AAP for a complete set of consolidated financial statements.</w:t>
      </w:r>
    </w:p>
    <w:p w14:paraId="5EA22830" w14:textId="77777777" w:rsidR="003C66EB" w:rsidRDefault="00D96C4E">
      <w:pPr>
        <w:spacing w:before="60"/>
        <w:jc w:val="both"/>
        <w:textAlignment w:val="top"/>
      </w:pPr>
      <w:r>
        <w:rPr>
          <w:rFonts w:ascii="Arial" w:eastAsia="宋体" w:hAnsi="Arial" w:cs="Arial"/>
          <w:b/>
          <w:bCs/>
          <w:i/>
          <w:iCs/>
          <w:color w:val="000000"/>
          <w:sz w:val="20"/>
          <w:szCs w:val="20"/>
        </w:rPr>
        <w:t>Recent Accounting Developments</w:t>
      </w:r>
    </w:p>
    <w:p w14:paraId="5EA22831" w14:textId="77777777" w:rsidR="003C66EB" w:rsidRDefault="00D96C4E">
      <w:pPr>
        <w:spacing w:before="60"/>
        <w:jc w:val="both"/>
        <w:textAlignment w:val="top"/>
      </w:pPr>
      <w:r>
        <w:rPr>
          <w:rFonts w:ascii="Arial" w:eastAsia="宋体" w:hAnsi="Arial" w:cs="Arial"/>
          <w:color w:val="000000"/>
          <w:sz w:val="20"/>
          <w:szCs w:val="20"/>
        </w:rPr>
        <w:t>We did not adopt any new accounting standards in the first quarter of 2021 that had a material impact to our financial statements. Additionally, we continue to eval</w:t>
      </w:r>
      <w:r>
        <w:rPr>
          <w:rFonts w:ascii="Arial" w:eastAsia="宋体" w:hAnsi="Arial" w:cs="Arial"/>
          <w:color w:val="000000"/>
          <w:sz w:val="20"/>
          <w:szCs w:val="20"/>
        </w:rPr>
        <w:t xml:space="preserve">uate accounting standards that were recently issued but not yet adopted as of March 31, 2021; none are expected to have a material impact to our financial statements. </w:t>
      </w:r>
    </w:p>
    <w:p w14:paraId="5EA22832" w14:textId="77777777" w:rsidR="003C66EB" w:rsidRDefault="00D96C4E">
      <w:pPr>
        <w:spacing w:before="180"/>
        <w:textAlignment w:val="top"/>
      </w:pPr>
      <w:r>
        <w:rPr>
          <w:rFonts w:ascii="Arial" w:eastAsia="宋体" w:hAnsi="Arial" w:cs="Arial"/>
          <w:b/>
          <w:bCs/>
          <w:color w:val="000000"/>
          <w:sz w:val="20"/>
          <w:szCs w:val="20"/>
        </w:rPr>
        <w:t>Note 2.    Fair Value</w:t>
      </w:r>
    </w:p>
    <w:p w14:paraId="5EA22833" w14:textId="77777777" w:rsidR="003C66EB" w:rsidRDefault="00D96C4E">
      <w:pPr>
        <w:spacing w:before="60"/>
        <w:jc w:val="both"/>
        <w:textAlignment w:val="top"/>
      </w:pPr>
      <w:r>
        <w:rPr>
          <w:rFonts w:ascii="Arial" w:eastAsia="宋体" w:hAnsi="Arial" w:cs="Arial"/>
          <w:b/>
          <w:bCs/>
          <w:i/>
          <w:iCs/>
          <w:color w:val="000000"/>
          <w:sz w:val="20"/>
          <w:szCs w:val="20"/>
        </w:rPr>
        <w:t>Fair Value Measurements</w:t>
      </w:r>
    </w:p>
    <w:p w14:paraId="5EA22834" w14:textId="77777777" w:rsidR="003C66EB" w:rsidRDefault="00D96C4E">
      <w:pPr>
        <w:spacing w:before="60"/>
        <w:ind w:firstLine="450"/>
        <w:jc w:val="both"/>
        <w:textAlignment w:val="top"/>
      </w:pPr>
      <w:r>
        <w:rPr>
          <w:rFonts w:ascii="Arial" w:eastAsia="宋体" w:hAnsi="Arial" w:cs="Arial"/>
          <w:color w:val="000000"/>
          <w:sz w:val="20"/>
          <w:szCs w:val="20"/>
        </w:rPr>
        <w:t xml:space="preserve">We carry trading account assets and </w:t>
      </w:r>
      <w:r>
        <w:rPr>
          <w:rFonts w:ascii="Arial" w:eastAsia="宋体" w:hAnsi="Arial" w:cs="Arial"/>
          <w:color w:val="000000"/>
          <w:sz w:val="20"/>
          <w:szCs w:val="20"/>
        </w:rPr>
        <w:t>liabilities, AFS debt securities, certain equity securities and various types of derivative financial instruments, at fair value in our consolidated statement of condition on a recurring basis. Changes in the fair values of these financial assets and liabi</w:t>
      </w:r>
      <w:r>
        <w:rPr>
          <w:rFonts w:ascii="Arial" w:eastAsia="宋体" w:hAnsi="Arial" w:cs="Arial"/>
          <w:color w:val="000000"/>
          <w:sz w:val="20"/>
          <w:szCs w:val="20"/>
        </w:rPr>
        <w:t>lities are recorded either as components of our consolidated statement of income or as components of AOCI within shareholders' equity in our consolidated statement of condition.</w:t>
      </w:r>
    </w:p>
    <w:p w14:paraId="5EA22835" w14:textId="77777777" w:rsidR="003C66EB" w:rsidRDefault="00D96C4E">
      <w:pPr>
        <w:spacing w:before="60"/>
        <w:ind w:firstLine="450"/>
        <w:jc w:val="both"/>
        <w:textAlignment w:val="top"/>
      </w:pPr>
      <w:r>
        <w:rPr>
          <w:rFonts w:ascii="Arial" w:eastAsia="宋体" w:hAnsi="Arial" w:cs="Arial"/>
          <w:color w:val="000000"/>
          <w:sz w:val="20"/>
          <w:szCs w:val="20"/>
        </w:rPr>
        <w:t>We measure fair value for the above-described financial assets and liabilities</w:t>
      </w:r>
      <w:r>
        <w:rPr>
          <w:rFonts w:ascii="Arial" w:eastAsia="宋体" w:hAnsi="Arial" w:cs="Arial"/>
          <w:color w:val="000000"/>
          <w:sz w:val="20"/>
          <w:szCs w:val="20"/>
        </w:rPr>
        <w:t xml:space="preserve"> in conformity with U.S. GAAP that governs the measurement of the fair value of financial instruments. Management believes that its valuation techniques and underlying assumptions used to measure fair value conform to the provisions of U.S. GAAP. We catego</w:t>
      </w:r>
      <w:r>
        <w:rPr>
          <w:rFonts w:ascii="Arial" w:eastAsia="宋体" w:hAnsi="Arial" w:cs="Arial"/>
          <w:color w:val="000000"/>
          <w:sz w:val="20"/>
          <w:szCs w:val="20"/>
        </w:rPr>
        <w:t>rize the financial assets and liabilities that we carry at fair value based on a prescribed three-level valuation hierarchy. For information about our valuation techniques for financial assets and financial liabilities measured at fair value and the fair v</w:t>
      </w:r>
      <w:r>
        <w:rPr>
          <w:rFonts w:ascii="Arial" w:eastAsia="宋体" w:hAnsi="Arial" w:cs="Arial"/>
          <w:color w:val="000000"/>
          <w:sz w:val="20"/>
          <w:szCs w:val="20"/>
        </w:rPr>
        <w:t>alue hierarchy, refer to pages 135 to 142 in Note 2 to the consolidated financial statements included under Item 8, Financial Statements and Supplementary Data, in our 2020 Form 10-K.</w:t>
      </w:r>
    </w:p>
    <w:p w14:paraId="5EA22836" w14:textId="77777777" w:rsidR="003C66EB" w:rsidRDefault="003C66EB">
      <w:pPr>
        <w:spacing w:before="60"/>
        <w:ind w:firstLine="450"/>
        <w:jc w:val="both"/>
        <w:textAlignment w:val="top"/>
      </w:pPr>
    </w:p>
    <w:p w14:paraId="5EA22837" w14:textId="77777777" w:rsidR="003C66EB" w:rsidRDefault="00D96C4E">
      <w:pPr>
        <w:ind w:firstLine="450"/>
        <w:jc w:val="right"/>
      </w:pPr>
      <w:r>
        <w:rPr>
          <w:rFonts w:ascii="Arial" w:eastAsia="宋体" w:hAnsi="Arial" w:cs="Arial"/>
          <w:color w:val="000000"/>
          <w:sz w:val="18"/>
          <w:szCs w:val="18"/>
        </w:rPr>
        <w:t>State Street Corporation | 53</w:t>
      </w:r>
    </w:p>
    <w:p w14:paraId="5EA22838" w14:textId="77777777" w:rsidR="003C66EB" w:rsidRDefault="003C66EB">
      <w:pPr>
        <w:ind w:firstLine="450"/>
        <w:jc w:val="center"/>
      </w:pPr>
    </w:p>
    <w:p w14:paraId="5EA22839" w14:textId="77777777" w:rsidR="003C66EB" w:rsidRDefault="00D96C4E">
      <w:r>
        <w:pict w14:anchorId="5EA287E5">
          <v:rect id="_x0000_i1077" style="width:415.3pt;height:1.5pt" o:hralign="center" o:hrstd="t" o:hr="t" fillcolor="#a0a0a0" stroked="f"/>
        </w:pict>
      </w:r>
    </w:p>
    <w:p w14:paraId="5EA2283A" w14:textId="77777777" w:rsidR="003C66EB" w:rsidRDefault="00D96C4E">
      <w:pPr>
        <w:ind w:firstLine="450"/>
        <w:jc w:val="center"/>
      </w:pPr>
      <w:r>
        <w:rPr>
          <w:rFonts w:ascii="Arial" w:eastAsia="宋体" w:hAnsi="Arial" w:cs="Arial"/>
          <w:b/>
          <w:bCs/>
          <w:color w:val="000000"/>
          <w:sz w:val="20"/>
          <w:szCs w:val="20"/>
        </w:rPr>
        <w:t>STATE STREET CORPORATION</w:t>
      </w:r>
    </w:p>
    <w:p w14:paraId="5EA2283B" w14:textId="77777777" w:rsidR="003C66EB" w:rsidRDefault="00D96C4E">
      <w:pPr>
        <w:ind w:firstLine="450"/>
        <w:jc w:val="center"/>
      </w:pPr>
      <w:r>
        <w:rPr>
          <w:rFonts w:ascii="Arial" w:eastAsia="宋体" w:hAnsi="Arial" w:cs="Arial"/>
          <w:b/>
          <w:bCs/>
          <w:color w:val="000000"/>
          <w:sz w:val="20"/>
          <w:szCs w:val="20"/>
        </w:rPr>
        <w:t>CONDENSED NOT</w:t>
      </w:r>
      <w:r>
        <w:rPr>
          <w:rFonts w:ascii="Arial" w:eastAsia="宋体" w:hAnsi="Arial" w:cs="Arial"/>
          <w:b/>
          <w:bCs/>
          <w:color w:val="000000"/>
          <w:sz w:val="20"/>
          <w:szCs w:val="20"/>
        </w:rPr>
        <w:t>ES TO CONSOLIDATED FINANCIAL STATEMENTS</w:t>
      </w:r>
    </w:p>
    <w:p w14:paraId="5EA2283C" w14:textId="77777777" w:rsidR="003C66EB" w:rsidRDefault="00D96C4E">
      <w:pPr>
        <w:ind w:firstLine="450"/>
        <w:jc w:val="center"/>
      </w:pPr>
      <w:r>
        <w:rPr>
          <w:rFonts w:ascii="Arial" w:eastAsia="宋体" w:hAnsi="Arial" w:cs="Arial"/>
          <w:b/>
          <w:bCs/>
          <w:color w:val="000000"/>
          <w:sz w:val="20"/>
          <w:szCs w:val="20"/>
        </w:rPr>
        <w:t>(UNAUDITED)</w:t>
      </w:r>
    </w:p>
    <w:p w14:paraId="5EA2283D" w14:textId="77777777" w:rsidR="003C66EB" w:rsidRDefault="00D96C4E">
      <w:pPr>
        <w:spacing w:before="60"/>
        <w:ind w:firstLine="450"/>
        <w:jc w:val="both"/>
      </w:pPr>
      <w:r>
        <w:rPr>
          <w:rFonts w:ascii="Arial" w:eastAsia="宋体" w:hAnsi="Arial" w:cs="Arial"/>
          <w:color w:val="000000"/>
          <w:sz w:val="20"/>
          <w:szCs w:val="20"/>
        </w:rPr>
        <w:t>The following tables present information with respect to our financial assets and liabilities carried at fair value in our consolidated statement of condition on a recurring basis as of the dates indicate</w:t>
      </w:r>
      <w:r>
        <w:rPr>
          <w:rFonts w:ascii="Arial" w:eastAsia="宋体" w:hAnsi="Arial" w:cs="Arial"/>
          <w:color w:val="000000"/>
          <w:sz w:val="20"/>
          <w:szCs w:val="20"/>
        </w:rPr>
        <w:t>d:</w:t>
      </w:r>
    </w:p>
    <w:tbl>
      <w:tblPr>
        <w:tblW w:w="4993" w:type="pct"/>
        <w:tblCellMar>
          <w:top w:w="15" w:type="dxa"/>
          <w:left w:w="15" w:type="dxa"/>
          <w:bottom w:w="15" w:type="dxa"/>
          <w:right w:w="15" w:type="dxa"/>
        </w:tblCellMar>
        <w:tblLook w:val="04A0" w:firstRow="1" w:lastRow="0" w:firstColumn="1" w:lastColumn="0" w:noHBand="0" w:noVBand="1"/>
      </w:tblPr>
      <w:tblGrid>
        <w:gridCol w:w="53"/>
        <w:gridCol w:w="2204"/>
        <w:gridCol w:w="40"/>
        <w:gridCol w:w="105"/>
        <w:gridCol w:w="1057"/>
        <w:gridCol w:w="36"/>
        <w:gridCol w:w="36"/>
        <w:gridCol w:w="36"/>
        <w:gridCol w:w="36"/>
        <w:gridCol w:w="105"/>
        <w:gridCol w:w="1104"/>
        <w:gridCol w:w="36"/>
        <w:gridCol w:w="36"/>
        <w:gridCol w:w="36"/>
        <w:gridCol w:w="36"/>
        <w:gridCol w:w="105"/>
        <w:gridCol w:w="1105"/>
        <w:gridCol w:w="36"/>
        <w:gridCol w:w="36"/>
        <w:gridCol w:w="36"/>
        <w:gridCol w:w="36"/>
        <w:gridCol w:w="105"/>
        <w:gridCol w:w="612"/>
        <w:gridCol w:w="36"/>
        <w:gridCol w:w="36"/>
        <w:gridCol w:w="36"/>
        <w:gridCol w:w="36"/>
        <w:gridCol w:w="105"/>
        <w:gridCol w:w="1012"/>
        <w:gridCol w:w="36"/>
      </w:tblGrid>
      <w:tr w:rsidR="003C66EB" w14:paraId="5EA2285C" w14:textId="77777777">
        <w:tc>
          <w:tcPr>
            <w:tcW w:w="50" w:type="pct"/>
            <w:shd w:val="clear" w:color="auto" w:fill="auto"/>
          </w:tcPr>
          <w:p w14:paraId="5EA2283E" w14:textId="77777777" w:rsidR="003C66EB" w:rsidRDefault="003C66EB">
            <w:pPr>
              <w:rPr>
                <w:rFonts w:ascii="宋体"/>
              </w:rPr>
            </w:pPr>
          </w:p>
        </w:tc>
        <w:tc>
          <w:tcPr>
            <w:tcW w:w="1760" w:type="pct"/>
            <w:shd w:val="clear" w:color="auto" w:fill="auto"/>
          </w:tcPr>
          <w:p w14:paraId="5EA2283F" w14:textId="77777777" w:rsidR="003C66EB" w:rsidRDefault="003C66EB">
            <w:pPr>
              <w:rPr>
                <w:rFonts w:ascii="宋体"/>
              </w:rPr>
            </w:pPr>
          </w:p>
        </w:tc>
        <w:tc>
          <w:tcPr>
            <w:tcW w:w="5" w:type="pct"/>
            <w:shd w:val="clear" w:color="auto" w:fill="auto"/>
          </w:tcPr>
          <w:p w14:paraId="5EA22840" w14:textId="77777777" w:rsidR="003C66EB" w:rsidRDefault="003C66EB">
            <w:pPr>
              <w:rPr>
                <w:rFonts w:ascii="宋体"/>
              </w:rPr>
            </w:pPr>
          </w:p>
        </w:tc>
        <w:tc>
          <w:tcPr>
            <w:tcW w:w="50" w:type="pct"/>
            <w:shd w:val="clear" w:color="auto" w:fill="auto"/>
          </w:tcPr>
          <w:p w14:paraId="5EA22841" w14:textId="77777777" w:rsidR="003C66EB" w:rsidRDefault="003C66EB">
            <w:pPr>
              <w:rPr>
                <w:rFonts w:ascii="宋体"/>
              </w:rPr>
            </w:pPr>
          </w:p>
        </w:tc>
        <w:tc>
          <w:tcPr>
            <w:tcW w:w="581" w:type="pct"/>
            <w:shd w:val="clear" w:color="auto" w:fill="auto"/>
          </w:tcPr>
          <w:p w14:paraId="5EA22842" w14:textId="77777777" w:rsidR="003C66EB" w:rsidRDefault="003C66EB">
            <w:pPr>
              <w:rPr>
                <w:rFonts w:ascii="宋体"/>
              </w:rPr>
            </w:pPr>
          </w:p>
        </w:tc>
        <w:tc>
          <w:tcPr>
            <w:tcW w:w="5" w:type="pct"/>
            <w:shd w:val="clear" w:color="auto" w:fill="auto"/>
          </w:tcPr>
          <w:p w14:paraId="5EA22843" w14:textId="77777777" w:rsidR="003C66EB" w:rsidRDefault="003C66EB">
            <w:pPr>
              <w:rPr>
                <w:rFonts w:ascii="宋体"/>
              </w:rPr>
            </w:pPr>
          </w:p>
        </w:tc>
        <w:tc>
          <w:tcPr>
            <w:tcW w:w="5" w:type="pct"/>
            <w:shd w:val="clear" w:color="auto" w:fill="auto"/>
          </w:tcPr>
          <w:p w14:paraId="5EA22844" w14:textId="77777777" w:rsidR="003C66EB" w:rsidRDefault="003C66EB">
            <w:pPr>
              <w:rPr>
                <w:rFonts w:ascii="宋体"/>
              </w:rPr>
            </w:pPr>
          </w:p>
        </w:tc>
        <w:tc>
          <w:tcPr>
            <w:tcW w:w="26" w:type="pct"/>
            <w:shd w:val="clear" w:color="auto" w:fill="auto"/>
          </w:tcPr>
          <w:p w14:paraId="5EA22845" w14:textId="77777777" w:rsidR="003C66EB" w:rsidRDefault="003C66EB">
            <w:pPr>
              <w:rPr>
                <w:rFonts w:ascii="宋体"/>
              </w:rPr>
            </w:pPr>
          </w:p>
        </w:tc>
        <w:tc>
          <w:tcPr>
            <w:tcW w:w="5" w:type="pct"/>
            <w:shd w:val="clear" w:color="auto" w:fill="auto"/>
          </w:tcPr>
          <w:p w14:paraId="5EA22846" w14:textId="77777777" w:rsidR="003C66EB" w:rsidRDefault="003C66EB">
            <w:pPr>
              <w:rPr>
                <w:rFonts w:ascii="宋体"/>
              </w:rPr>
            </w:pPr>
          </w:p>
        </w:tc>
        <w:tc>
          <w:tcPr>
            <w:tcW w:w="50" w:type="pct"/>
            <w:shd w:val="clear" w:color="auto" w:fill="auto"/>
          </w:tcPr>
          <w:p w14:paraId="5EA22847" w14:textId="77777777" w:rsidR="003C66EB" w:rsidRDefault="003C66EB">
            <w:pPr>
              <w:rPr>
                <w:rFonts w:ascii="宋体"/>
              </w:rPr>
            </w:pPr>
          </w:p>
        </w:tc>
        <w:tc>
          <w:tcPr>
            <w:tcW w:w="589" w:type="pct"/>
            <w:shd w:val="clear" w:color="auto" w:fill="auto"/>
          </w:tcPr>
          <w:p w14:paraId="5EA22848" w14:textId="77777777" w:rsidR="003C66EB" w:rsidRDefault="003C66EB">
            <w:pPr>
              <w:rPr>
                <w:rFonts w:ascii="宋体"/>
              </w:rPr>
            </w:pPr>
          </w:p>
        </w:tc>
        <w:tc>
          <w:tcPr>
            <w:tcW w:w="5" w:type="pct"/>
            <w:shd w:val="clear" w:color="auto" w:fill="auto"/>
          </w:tcPr>
          <w:p w14:paraId="5EA22849" w14:textId="77777777" w:rsidR="003C66EB" w:rsidRDefault="003C66EB">
            <w:pPr>
              <w:rPr>
                <w:rFonts w:ascii="宋体"/>
              </w:rPr>
            </w:pPr>
          </w:p>
        </w:tc>
        <w:tc>
          <w:tcPr>
            <w:tcW w:w="5" w:type="pct"/>
            <w:shd w:val="clear" w:color="auto" w:fill="auto"/>
          </w:tcPr>
          <w:p w14:paraId="5EA2284A" w14:textId="77777777" w:rsidR="003C66EB" w:rsidRDefault="003C66EB">
            <w:pPr>
              <w:rPr>
                <w:rFonts w:ascii="宋体"/>
              </w:rPr>
            </w:pPr>
          </w:p>
        </w:tc>
        <w:tc>
          <w:tcPr>
            <w:tcW w:w="26" w:type="pct"/>
            <w:shd w:val="clear" w:color="auto" w:fill="auto"/>
          </w:tcPr>
          <w:p w14:paraId="5EA2284B" w14:textId="77777777" w:rsidR="003C66EB" w:rsidRDefault="003C66EB">
            <w:pPr>
              <w:rPr>
                <w:rFonts w:ascii="宋体"/>
              </w:rPr>
            </w:pPr>
          </w:p>
        </w:tc>
        <w:tc>
          <w:tcPr>
            <w:tcW w:w="5" w:type="pct"/>
            <w:shd w:val="clear" w:color="auto" w:fill="auto"/>
          </w:tcPr>
          <w:p w14:paraId="5EA2284C" w14:textId="77777777" w:rsidR="003C66EB" w:rsidRDefault="003C66EB">
            <w:pPr>
              <w:rPr>
                <w:rFonts w:ascii="宋体"/>
              </w:rPr>
            </w:pPr>
          </w:p>
        </w:tc>
        <w:tc>
          <w:tcPr>
            <w:tcW w:w="50" w:type="pct"/>
            <w:shd w:val="clear" w:color="auto" w:fill="auto"/>
          </w:tcPr>
          <w:p w14:paraId="5EA2284D" w14:textId="77777777" w:rsidR="003C66EB" w:rsidRDefault="003C66EB">
            <w:pPr>
              <w:rPr>
                <w:rFonts w:ascii="宋体"/>
              </w:rPr>
            </w:pPr>
          </w:p>
        </w:tc>
        <w:tc>
          <w:tcPr>
            <w:tcW w:w="596" w:type="pct"/>
            <w:shd w:val="clear" w:color="auto" w:fill="auto"/>
          </w:tcPr>
          <w:p w14:paraId="5EA2284E" w14:textId="77777777" w:rsidR="003C66EB" w:rsidRDefault="003C66EB">
            <w:pPr>
              <w:rPr>
                <w:rFonts w:ascii="宋体"/>
              </w:rPr>
            </w:pPr>
          </w:p>
        </w:tc>
        <w:tc>
          <w:tcPr>
            <w:tcW w:w="5" w:type="pct"/>
            <w:shd w:val="clear" w:color="auto" w:fill="auto"/>
          </w:tcPr>
          <w:p w14:paraId="5EA2284F" w14:textId="77777777" w:rsidR="003C66EB" w:rsidRDefault="003C66EB">
            <w:pPr>
              <w:rPr>
                <w:rFonts w:ascii="宋体"/>
              </w:rPr>
            </w:pPr>
          </w:p>
        </w:tc>
        <w:tc>
          <w:tcPr>
            <w:tcW w:w="5" w:type="pct"/>
            <w:shd w:val="clear" w:color="auto" w:fill="auto"/>
          </w:tcPr>
          <w:p w14:paraId="5EA22850" w14:textId="77777777" w:rsidR="003C66EB" w:rsidRDefault="003C66EB">
            <w:pPr>
              <w:rPr>
                <w:rFonts w:ascii="宋体"/>
              </w:rPr>
            </w:pPr>
          </w:p>
        </w:tc>
        <w:tc>
          <w:tcPr>
            <w:tcW w:w="26" w:type="pct"/>
            <w:shd w:val="clear" w:color="auto" w:fill="auto"/>
          </w:tcPr>
          <w:p w14:paraId="5EA22851" w14:textId="77777777" w:rsidR="003C66EB" w:rsidRDefault="003C66EB">
            <w:pPr>
              <w:rPr>
                <w:rFonts w:ascii="宋体"/>
              </w:rPr>
            </w:pPr>
          </w:p>
        </w:tc>
        <w:tc>
          <w:tcPr>
            <w:tcW w:w="5" w:type="pct"/>
            <w:shd w:val="clear" w:color="auto" w:fill="auto"/>
          </w:tcPr>
          <w:p w14:paraId="5EA22852" w14:textId="77777777" w:rsidR="003C66EB" w:rsidRDefault="003C66EB">
            <w:pPr>
              <w:rPr>
                <w:rFonts w:ascii="宋体"/>
              </w:rPr>
            </w:pPr>
          </w:p>
        </w:tc>
        <w:tc>
          <w:tcPr>
            <w:tcW w:w="50" w:type="pct"/>
            <w:shd w:val="clear" w:color="auto" w:fill="auto"/>
          </w:tcPr>
          <w:p w14:paraId="5EA22853" w14:textId="77777777" w:rsidR="003C66EB" w:rsidRDefault="003C66EB">
            <w:pPr>
              <w:rPr>
                <w:rFonts w:ascii="宋体"/>
              </w:rPr>
            </w:pPr>
          </w:p>
        </w:tc>
        <w:tc>
          <w:tcPr>
            <w:tcW w:w="354" w:type="pct"/>
            <w:shd w:val="clear" w:color="auto" w:fill="auto"/>
          </w:tcPr>
          <w:p w14:paraId="5EA22854" w14:textId="77777777" w:rsidR="003C66EB" w:rsidRDefault="003C66EB">
            <w:pPr>
              <w:rPr>
                <w:rFonts w:ascii="宋体"/>
              </w:rPr>
            </w:pPr>
          </w:p>
        </w:tc>
        <w:tc>
          <w:tcPr>
            <w:tcW w:w="5" w:type="pct"/>
            <w:shd w:val="clear" w:color="auto" w:fill="auto"/>
          </w:tcPr>
          <w:p w14:paraId="5EA22855" w14:textId="77777777" w:rsidR="003C66EB" w:rsidRDefault="003C66EB">
            <w:pPr>
              <w:rPr>
                <w:rFonts w:ascii="宋体"/>
              </w:rPr>
            </w:pPr>
          </w:p>
        </w:tc>
        <w:tc>
          <w:tcPr>
            <w:tcW w:w="5" w:type="pct"/>
            <w:shd w:val="clear" w:color="auto" w:fill="auto"/>
          </w:tcPr>
          <w:p w14:paraId="5EA22856" w14:textId="77777777" w:rsidR="003C66EB" w:rsidRDefault="003C66EB">
            <w:pPr>
              <w:rPr>
                <w:rFonts w:ascii="宋体"/>
              </w:rPr>
            </w:pPr>
          </w:p>
        </w:tc>
        <w:tc>
          <w:tcPr>
            <w:tcW w:w="26" w:type="pct"/>
            <w:shd w:val="clear" w:color="auto" w:fill="auto"/>
          </w:tcPr>
          <w:p w14:paraId="5EA22857" w14:textId="77777777" w:rsidR="003C66EB" w:rsidRDefault="003C66EB">
            <w:pPr>
              <w:rPr>
                <w:rFonts w:ascii="宋体"/>
              </w:rPr>
            </w:pPr>
          </w:p>
        </w:tc>
        <w:tc>
          <w:tcPr>
            <w:tcW w:w="5" w:type="pct"/>
            <w:shd w:val="clear" w:color="auto" w:fill="auto"/>
          </w:tcPr>
          <w:p w14:paraId="5EA22858" w14:textId="77777777" w:rsidR="003C66EB" w:rsidRDefault="003C66EB">
            <w:pPr>
              <w:rPr>
                <w:rFonts w:ascii="宋体"/>
              </w:rPr>
            </w:pPr>
          </w:p>
        </w:tc>
        <w:tc>
          <w:tcPr>
            <w:tcW w:w="50" w:type="pct"/>
            <w:shd w:val="clear" w:color="auto" w:fill="auto"/>
          </w:tcPr>
          <w:p w14:paraId="5EA22859" w14:textId="77777777" w:rsidR="003C66EB" w:rsidRDefault="003C66EB">
            <w:pPr>
              <w:rPr>
                <w:rFonts w:ascii="宋体"/>
              </w:rPr>
            </w:pPr>
          </w:p>
        </w:tc>
        <w:tc>
          <w:tcPr>
            <w:tcW w:w="640" w:type="pct"/>
            <w:shd w:val="clear" w:color="auto" w:fill="auto"/>
          </w:tcPr>
          <w:p w14:paraId="5EA2285A" w14:textId="77777777" w:rsidR="003C66EB" w:rsidRDefault="003C66EB">
            <w:pPr>
              <w:rPr>
                <w:rFonts w:ascii="宋体"/>
              </w:rPr>
            </w:pPr>
          </w:p>
        </w:tc>
        <w:tc>
          <w:tcPr>
            <w:tcW w:w="5" w:type="pct"/>
            <w:shd w:val="clear" w:color="auto" w:fill="auto"/>
          </w:tcPr>
          <w:p w14:paraId="5EA2285B" w14:textId="77777777" w:rsidR="003C66EB" w:rsidRDefault="003C66EB">
            <w:pPr>
              <w:rPr>
                <w:rFonts w:ascii="宋体"/>
              </w:rPr>
            </w:pPr>
          </w:p>
        </w:tc>
      </w:tr>
      <w:tr w:rsidR="003C66EB" w14:paraId="5EA2285F" w14:textId="77777777">
        <w:tc>
          <w:tcPr>
            <w:tcW w:w="0" w:type="auto"/>
            <w:gridSpan w:val="3"/>
            <w:shd w:val="clear" w:color="auto" w:fill="auto"/>
            <w:tcMar>
              <w:top w:w="0" w:type="dxa"/>
              <w:left w:w="20" w:type="dxa"/>
              <w:bottom w:w="0" w:type="dxa"/>
              <w:right w:w="20" w:type="dxa"/>
            </w:tcMar>
          </w:tcPr>
          <w:p w14:paraId="5EA2285D" w14:textId="77777777" w:rsidR="003C66EB" w:rsidRDefault="003C66EB">
            <w:pPr>
              <w:rPr>
                <w:rFonts w:ascii="宋体"/>
              </w:rPr>
            </w:pPr>
          </w:p>
        </w:tc>
        <w:tc>
          <w:tcPr>
            <w:tcW w:w="0" w:type="auto"/>
            <w:gridSpan w:val="27"/>
            <w:shd w:val="clear" w:color="auto" w:fill="auto"/>
            <w:tcMar>
              <w:top w:w="40" w:type="dxa"/>
              <w:left w:w="20" w:type="dxa"/>
              <w:bottom w:w="40" w:type="dxa"/>
              <w:right w:w="20" w:type="dxa"/>
            </w:tcMar>
            <w:vAlign w:val="bottom"/>
          </w:tcPr>
          <w:p w14:paraId="5EA2285E" w14:textId="77777777" w:rsidR="003C66EB" w:rsidRDefault="00D96C4E">
            <w:pPr>
              <w:jc w:val="center"/>
              <w:textAlignment w:val="bottom"/>
            </w:pPr>
            <w:r>
              <w:rPr>
                <w:rFonts w:ascii="Arial" w:eastAsia="宋体" w:hAnsi="Arial" w:cs="Arial"/>
                <w:b/>
                <w:bCs/>
                <w:color w:val="000000"/>
                <w:sz w:val="15"/>
                <w:szCs w:val="15"/>
              </w:rPr>
              <w:t>Fair Value Measurements on a Recurring Basis</w:t>
            </w:r>
          </w:p>
        </w:tc>
      </w:tr>
      <w:tr w:rsidR="003C66EB" w14:paraId="5EA22862" w14:textId="77777777">
        <w:tc>
          <w:tcPr>
            <w:tcW w:w="0" w:type="auto"/>
            <w:gridSpan w:val="3"/>
            <w:shd w:val="clear" w:color="auto" w:fill="auto"/>
            <w:tcMar>
              <w:top w:w="0" w:type="dxa"/>
              <w:left w:w="20" w:type="dxa"/>
              <w:bottom w:w="0" w:type="dxa"/>
              <w:right w:w="20" w:type="dxa"/>
            </w:tcMar>
          </w:tcPr>
          <w:p w14:paraId="5EA22860" w14:textId="77777777" w:rsidR="003C66EB" w:rsidRDefault="003C66EB">
            <w:pPr>
              <w:rPr>
                <w:rFonts w:ascii="宋体"/>
              </w:rPr>
            </w:pPr>
          </w:p>
        </w:tc>
        <w:tc>
          <w:tcPr>
            <w:tcW w:w="0" w:type="auto"/>
            <w:gridSpan w:val="27"/>
            <w:shd w:val="clear" w:color="auto" w:fill="auto"/>
            <w:tcMar>
              <w:top w:w="40" w:type="dxa"/>
              <w:left w:w="20" w:type="dxa"/>
              <w:bottom w:w="40" w:type="dxa"/>
              <w:right w:w="20" w:type="dxa"/>
            </w:tcMar>
            <w:vAlign w:val="bottom"/>
          </w:tcPr>
          <w:p w14:paraId="5EA22861" w14:textId="77777777" w:rsidR="003C66EB" w:rsidRDefault="00D96C4E">
            <w:pPr>
              <w:jc w:val="center"/>
              <w:textAlignment w:val="bottom"/>
            </w:pPr>
            <w:r>
              <w:rPr>
                <w:rFonts w:ascii="Arial" w:eastAsia="宋体" w:hAnsi="Arial" w:cs="Arial"/>
                <w:b/>
                <w:bCs/>
                <w:color w:val="000000"/>
                <w:sz w:val="15"/>
                <w:szCs w:val="15"/>
              </w:rPr>
              <w:t>As of March 31, 2021</w:t>
            </w:r>
          </w:p>
        </w:tc>
      </w:tr>
      <w:tr w:rsidR="003C66EB" w14:paraId="5EA2287C" w14:textId="77777777">
        <w:tc>
          <w:tcPr>
            <w:tcW w:w="0" w:type="auto"/>
            <w:gridSpan w:val="3"/>
            <w:shd w:val="clear" w:color="auto" w:fill="auto"/>
            <w:tcMar>
              <w:top w:w="40" w:type="dxa"/>
              <w:left w:w="20" w:type="dxa"/>
              <w:bottom w:w="40" w:type="dxa"/>
              <w:right w:w="20" w:type="dxa"/>
            </w:tcMar>
            <w:vAlign w:val="bottom"/>
          </w:tcPr>
          <w:p w14:paraId="5EA22863"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864" w14:textId="77777777" w:rsidR="003C66EB" w:rsidRDefault="00D96C4E">
            <w:pPr>
              <w:jc w:val="center"/>
              <w:textAlignment w:val="bottom"/>
            </w:pPr>
            <w:r>
              <w:rPr>
                <w:rFonts w:ascii="Arial" w:eastAsia="宋体" w:hAnsi="Arial" w:cs="Arial"/>
                <w:b/>
                <w:bCs/>
                <w:color w:val="000000"/>
                <w:sz w:val="15"/>
                <w:szCs w:val="15"/>
              </w:rPr>
              <w:t>Quoted Market</w:t>
            </w:r>
          </w:p>
          <w:p w14:paraId="5EA22865" w14:textId="77777777" w:rsidR="003C66EB" w:rsidRDefault="00D96C4E">
            <w:pPr>
              <w:jc w:val="center"/>
              <w:textAlignment w:val="bottom"/>
            </w:pPr>
            <w:r>
              <w:rPr>
                <w:rFonts w:ascii="Arial" w:eastAsia="宋体" w:hAnsi="Arial" w:cs="Arial"/>
                <w:b/>
                <w:bCs/>
                <w:color w:val="000000"/>
                <w:sz w:val="15"/>
                <w:szCs w:val="15"/>
              </w:rPr>
              <w:t>Prices in Active</w:t>
            </w:r>
          </w:p>
          <w:p w14:paraId="5EA22866" w14:textId="77777777" w:rsidR="003C66EB" w:rsidRDefault="00D96C4E">
            <w:pPr>
              <w:jc w:val="center"/>
              <w:textAlignment w:val="bottom"/>
            </w:pPr>
            <w:r>
              <w:rPr>
                <w:rFonts w:ascii="Arial" w:eastAsia="宋体" w:hAnsi="Arial" w:cs="Arial"/>
                <w:b/>
                <w:bCs/>
                <w:color w:val="000000"/>
                <w:sz w:val="15"/>
                <w:szCs w:val="15"/>
              </w:rPr>
              <w:t>Markets</w:t>
            </w:r>
          </w:p>
          <w:p w14:paraId="5EA22867" w14:textId="77777777" w:rsidR="003C66EB" w:rsidRDefault="00D96C4E">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5EA2286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869" w14:textId="77777777" w:rsidR="003C66EB" w:rsidRDefault="00D96C4E">
            <w:pPr>
              <w:jc w:val="center"/>
              <w:textAlignment w:val="bottom"/>
            </w:pPr>
            <w:r>
              <w:rPr>
                <w:rFonts w:ascii="Arial" w:eastAsia="宋体" w:hAnsi="Arial" w:cs="Arial"/>
                <w:b/>
                <w:bCs/>
                <w:color w:val="000000"/>
                <w:sz w:val="15"/>
                <w:szCs w:val="15"/>
              </w:rPr>
              <w:t>Pricing Methods</w:t>
            </w:r>
          </w:p>
          <w:p w14:paraId="5EA2286A" w14:textId="77777777" w:rsidR="003C66EB" w:rsidRDefault="00D96C4E">
            <w:pPr>
              <w:jc w:val="center"/>
              <w:textAlignment w:val="bottom"/>
            </w:pPr>
            <w:r>
              <w:rPr>
                <w:rFonts w:ascii="Arial" w:eastAsia="宋体" w:hAnsi="Arial" w:cs="Arial"/>
                <w:b/>
                <w:bCs/>
                <w:color w:val="000000"/>
                <w:sz w:val="15"/>
                <w:szCs w:val="15"/>
              </w:rPr>
              <w:t xml:space="preserve">with </w:t>
            </w:r>
            <w:r>
              <w:rPr>
                <w:rFonts w:ascii="Arial" w:eastAsia="宋体" w:hAnsi="Arial" w:cs="Arial"/>
                <w:b/>
                <w:bCs/>
                <w:color w:val="000000"/>
                <w:sz w:val="15"/>
                <w:szCs w:val="15"/>
              </w:rPr>
              <w:t>Significant</w:t>
            </w:r>
          </w:p>
          <w:p w14:paraId="5EA2286B" w14:textId="77777777" w:rsidR="003C66EB" w:rsidRDefault="00D96C4E">
            <w:pPr>
              <w:jc w:val="center"/>
              <w:textAlignment w:val="bottom"/>
            </w:pPr>
            <w:r>
              <w:rPr>
                <w:rFonts w:ascii="Arial" w:eastAsia="宋体" w:hAnsi="Arial" w:cs="Arial"/>
                <w:b/>
                <w:bCs/>
                <w:color w:val="000000"/>
                <w:sz w:val="15"/>
                <w:szCs w:val="15"/>
              </w:rPr>
              <w:t>Observable</w:t>
            </w:r>
          </w:p>
          <w:p w14:paraId="5EA2286C" w14:textId="77777777" w:rsidR="003C66EB" w:rsidRDefault="00D96C4E">
            <w:pPr>
              <w:jc w:val="center"/>
              <w:textAlignment w:val="bottom"/>
            </w:pPr>
            <w:r>
              <w:rPr>
                <w:rFonts w:ascii="Arial" w:eastAsia="宋体" w:hAnsi="Arial" w:cs="Arial"/>
                <w:b/>
                <w:bCs/>
                <w:color w:val="000000"/>
                <w:sz w:val="15"/>
                <w:szCs w:val="15"/>
              </w:rPr>
              <w:t>Market Inputs</w:t>
            </w:r>
          </w:p>
          <w:p w14:paraId="5EA2286D" w14:textId="77777777" w:rsidR="003C66EB" w:rsidRDefault="00D96C4E">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5EA2286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86F" w14:textId="77777777" w:rsidR="003C66EB" w:rsidRDefault="00D96C4E">
            <w:pPr>
              <w:jc w:val="center"/>
              <w:textAlignment w:val="bottom"/>
            </w:pPr>
            <w:r>
              <w:rPr>
                <w:rFonts w:ascii="Arial" w:eastAsia="宋体" w:hAnsi="Arial" w:cs="Arial"/>
                <w:b/>
                <w:bCs/>
                <w:color w:val="000000"/>
                <w:sz w:val="15"/>
                <w:szCs w:val="15"/>
              </w:rPr>
              <w:t>Pricing Methods</w:t>
            </w:r>
          </w:p>
          <w:p w14:paraId="5EA22870" w14:textId="77777777" w:rsidR="003C66EB" w:rsidRDefault="00D96C4E">
            <w:pPr>
              <w:jc w:val="center"/>
              <w:textAlignment w:val="bottom"/>
            </w:pPr>
            <w:r>
              <w:rPr>
                <w:rFonts w:ascii="Arial" w:eastAsia="宋体" w:hAnsi="Arial" w:cs="Arial"/>
                <w:b/>
                <w:bCs/>
                <w:color w:val="000000"/>
                <w:sz w:val="15"/>
                <w:szCs w:val="15"/>
              </w:rPr>
              <w:t>with Significant</w:t>
            </w:r>
          </w:p>
          <w:p w14:paraId="5EA22871" w14:textId="77777777" w:rsidR="003C66EB" w:rsidRDefault="00D96C4E">
            <w:pPr>
              <w:jc w:val="center"/>
              <w:textAlignment w:val="bottom"/>
            </w:pPr>
            <w:r>
              <w:rPr>
                <w:rFonts w:ascii="Arial" w:eastAsia="宋体" w:hAnsi="Arial" w:cs="Arial"/>
                <w:b/>
                <w:bCs/>
                <w:color w:val="000000"/>
                <w:sz w:val="15"/>
                <w:szCs w:val="15"/>
              </w:rPr>
              <w:t>Unobservable</w:t>
            </w:r>
          </w:p>
          <w:p w14:paraId="5EA22872" w14:textId="77777777" w:rsidR="003C66EB" w:rsidRDefault="00D96C4E">
            <w:pPr>
              <w:jc w:val="center"/>
              <w:textAlignment w:val="bottom"/>
            </w:pPr>
            <w:r>
              <w:rPr>
                <w:rFonts w:ascii="Arial" w:eastAsia="宋体" w:hAnsi="Arial" w:cs="Arial"/>
                <w:b/>
                <w:bCs/>
                <w:color w:val="000000"/>
                <w:sz w:val="15"/>
                <w:szCs w:val="15"/>
              </w:rPr>
              <w:t>Market Inputs</w:t>
            </w:r>
          </w:p>
          <w:p w14:paraId="5EA22873" w14:textId="77777777" w:rsidR="003C66EB" w:rsidRDefault="00D96C4E">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5EA2287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875" w14:textId="77777777" w:rsidR="003C66EB" w:rsidRDefault="00D96C4E">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tcPr>
          <w:p w14:paraId="5EA2287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877" w14:textId="77777777" w:rsidR="003C66EB" w:rsidRDefault="00D96C4E">
            <w:pPr>
              <w:jc w:val="center"/>
              <w:textAlignment w:val="bottom"/>
            </w:pPr>
            <w:r>
              <w:rPr>
                <w:rFonts w:ascii="Arial" w:eastAsia="宋体" w:hAnsi="Arial" w:cs="Arial"/>
                <w:b/>
                <w:bCs/>
                <w:color w:val="000000"/>
                <w:sz w:val="15"/>
                <w:szCs w:val="15"/>
              </w:rPr>
              <w:t>Total Net</w:t>
            </w:r>
          </w:p>
          <w:p w14:paraId="5EA22878" w14:textId="77777777" w:rsidR="003C66EB" w:rsidRDefault="00D96C4E">
            <w:pPr>
              <w:jc w:val="center"/>
              <w:textAlignment w:val="bottom"/>
            </w:pPr>
            <w:r>
              <w:rPr>
                <w:rFonts w:ascii="Arial" w:eastAsia="宋体" w:hAnsi="Arial" w:cs="Arial"/>
                <w:b/>
                <w:bCs/>
                <w:color w:val="000000"/>
                <w:sz w:val="15"/>
                <w:szCs w:val="15"/>
              </w:rPr>
              <w:t>Carrying Value</w:t>
            </w:r>
          </w:p>
          <w:p w14:paraId="5EA22879" w14:textId="77777777" w:rsidR="003C66EB" w:rsidRDefault="00D96C4E">
            <w:pPr>
              <w:jc w:val="center"/>
              <w:textAlignment w:val="bottom"/>
            </w:pPr>
            <w:r>
              <w:rPr>
                <w:rFonts w:ascii="Arial" w:eastAsia="宋体" w:hAnsi="Arial" w:cs="Arial"/>
                <w:b/>
                <w:bCs/>
                <w:color w:val="000000"/>
                <w:sz w:val="15"/>
                <w:szCs w:val="15"/>
              </w:rPr>
              <w:t>in Consolidated</w:t>
            </w:r>
          </w:p>
          <w:p w14:paraId="5EA2287A" w14:textId="77777777" w:rsidR="003C66EB" w:rsidRDefault="00D96C4E">
            <w:pPr>
              <w:jc w:val="center"/>
              <w:textAlignment w:val="bottom"/>
            </w:pPr>
            <w:r>
              <w:rPr>
                <w:rFonts w:ascii="Arial" w:eastAsia="宋体" w:hAnsi="Arial" w:cs="Arial"/>
                <w:b/>
                <w:bCs/>
                <w:color w:val="000000"/>
                <w:sz w:val="15"/>
                <w:szCs w:val="15"/>
              </w:rPr>
              <w:t>Statement of</w:t>
            </w:r>
          </w:p>
          <w:p w14:paraId="5EA2287B" w14:textId="77777777" w:rsidR="003C66EB" w:rsidRDefault="00D96C4E">
            <w:pPr>
              <w:jc w:val="center"/>
              <w:textAlignment w:val="bottom"/>
            </w:pPr>
            <w:r>
              <w:rPr>
                <w:rFonts w:ascii="Arial" w:eastAsia="宋体" w:hAnsi="Arial" w:cs="Arial"/>
                <w:b/>
                <w:bCs/>
                <w:color w:val="000000"/>
                <w:sz w:val="15"/>
                <w:szCs w:val="15"/>
              </w:rPr>
              <w:t>Condition</w:t>
            </w:r>
          </w:p>
        </w:tc>
      </w:tr>
      <w:tr w:rsidR="003C66EB" w14:paraId="5EA22887" w14:textId="77777777">
        <w:tc>
          <w:tcPr>
            <w:tcW w:w="0" w:type="auto"/>
            <w:gridSpan w:val="3"/>
            <w:shd w:val="clear" w:color="auto" w:fill="auto"/>
            <w:tcMar>
              <w:top w:w="40" w:type="dxa"/>
              <w:left w:w="20" w:type="dxa"/>
              <w:bottom w:w="40" w:type="dxa"/>
              <w:right w:w="20" w:type="dxa"/>
            </w:tcMar>
            <w:vAlign w:val="bottom"/>
          </w:tcPr>
          <w:p w14:paraId="5EA2287D" w14:textId="77777777" w:rsidR="003C66EB" w:rsidRDefault="00D96C4E">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287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7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88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88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88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886" w14:textId="77777777" w:rsidR="003C66EB" w:rsidRDefault="003C66EB">
            <w:pPr>
              <w:rPr>
                <w:rFonts w:ascii="宋体"/>
              </w:rPr>
            </w:pPr>
          </w:p>
        </w:tc>
      </w:tr>
      <w:tr w:rsidR="003C66EB" w14:paraId="5EA22892" w14:textId="77777777">
        <w:tc>
          <w:tcPr>
            <w:tcW w:w="0" w:type="auto"/>
            <w:gridSpan w:val="3"/>
            <w:shd w:val="clear" w:color="auto" w:fill="auto"/>
            <w:tcMar>
              <w:top w:w="40" w:type="dxa"/>
              <w:left w:w="20" w:type="dxa"/>
              <w:bottom w:w="40" w:type="dxa"/>
              <w:right w:w="20" w:type="dxa"/>
            </w:tcMar>
            <w:vAlign w:val="bottom"/>
          </w:tcPr>
          <w:p w14:paraId="5EA22888" w14:textId="77777777" w:rsidR="003C66EB" w:rsidRDefault="00D96C4E">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tcPr>
          <w:p w14:paraId="5EA2288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8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9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891" w14:textId="77777777" w:rsidR="003C66EB" w:rsidRDefault="003C66EB">
            <w:pPr>
              <w:rPr>
                <w:rFonts w:ascii="宋体"/>
              </w:rPr>
            </w:pPr>
          </w:p>
        </w:tc>
      </w:tr>
      <w:tr w:rsidR="003C66EB" w14:paraId="5EA228A5" w14:textId="77777777">
        <w:tc>
          <w:tcPr>
            <w:tcW w:w="0" w:type="auto"/>
            <w:gridSpan w:val="3"/>
            <w:shd w:val="clear" w:color="auto" w:fill="CCEEFF"/>
            <w:tcMar>
              <w:top w:w="40" w:type="dxa"/>
              <w:left w:w="245" w:type="dxa"/>
              <w:bottom w:w="40" w:type="dxa"/>
              <w:right w:w="20" w:type="dxa"/>
            </w:tcMar>
            <w:vAlign w:val="bottom"/>
          </w:tcPr>
          <w:p w14:paraId="5EA22893" w14:textId="77777777" w:rsidR="003C66EB" w:rsidRDefault="00D96C4E">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5EA22894"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895" w14:textId="77777777" w:rsidR="003C66EB" w:rsidRDefault="00D96C4E">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9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898"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899"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9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89C"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89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9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A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A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8A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8A3" w14:textId="77777777" w:rsidR="003C66EB" w:rsidRDefault="00D96C4E">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A4" w14:textId="77777777" w:rsidR="003C66EB" w:rsidRDefault="003C66EB">
            <w:pPr>
              <w:jc w:val="right"/>
              <w:rPr>
                <w:rFonts w:ascii="宋体"/>
              </w:rPr>
            </w:pPr>
          </w:p>
        </w:tc>
      </w:tr>
      <w:tr w:rsidR="003C66EB" w14:paraId="5EA228B4" w14:textId="77777777">
        <w:tc>
          <w:tcPr>
            <w:tcW w:w="0" w:type="auto"/>
            <w:gridSpan w:val="3"/>
            <w:shd w:val="clear" w:color="auto" w:fill="FFFFFF"/>
            <w:tcMar>
              <w:top w:w="40" w:type="dxa"/>
              <w:left w:w="245" w:type="dxa"/>
              <w:bottom w:w="40" w:type="dxa"/>
              <w:right w:w="20" w:type="dxa"/>
            </w:tcMar>
            <w:vAlign w:val="bottom"/>
          </w:tcPr>
          <w:p w14:paraId="5EA228A6" w14:textId="77777777" w:rsidR="003C66EB" w:rsidRDefault="00D96C4E">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5EA228A7"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8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8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8AA" w14:textId="77777777" w:rsidR="003C66EB" w:rsidRDefault="00D96C4E">
            <w:pPr>
              <w:jc w:val="right"/>
              <w:textAlignment w:val="bottom"/>
            </w:pPr>
            <w:r>
              <w:rPr>
                <w:rFonts w:ascii="Arial" w:eastAsia="宋体" w:hAnsi="Arial" w:cs="Arial"/>
                <w:b/>
                <w:bCs/>
                <w:color w:val="000000"/>
                <w:sz w:val="15"/>
                <w:szCs w:val="15"/>
              </w:rPr>
              <w:t>222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8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8A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8A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8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8A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B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B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8B2" w14:textId="77777777" w:rsidR="003C66EB" w:rsidRDefault="00D96C4E">
            <w:pPr>
              <w:jc w:val="right"/>
              <w:textAlignment w:val="bottom"/>
            </w:pPr>
            <w:r>
              <w:rPr>
                <w:rFonts w:ascii="Arial" w:eastAsia="宋体" w:hAnsi="Arial" w:cs="Arial"/>
                <w:b/>
                <w:bCs/>
                <w:color w:val="000000"/>
                <w:sz w:val="15"/>
                <w:szCs w:val="15"/>
              </w:rPr>
              <w:t>222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8B3" w14:textId="77777777" w:rsidR="003C66EB" w:rsidRDefault="003C66EB">
            <w:pPr>
              <w:jc w:val="right"/>
              <w:rPr>
                <w:rFonts w:ascii="宋体"/>
              </w:rPr>
            </w:pPr>
          </w:p>
        </w:tc>
      </w:tr>
      <w:tr w:rsidR="003C66EB" w14:paraId="5EA228C3" w14:textId="77777777">
        <w:tc>
          <w:tcPr>
            <w:tcW w:w="0" w:type="auto"/>
            <w:gridSpan w:val="3"/>
            <w:shd w:val="clear" w:color="auto" w:fill="CCEEFF"/>
            <w:tcMar>
              <w:top w:w="40" w:type="dxa"/>
              <w:left w:w="245" w:type="dxa"/>
              <w:bottom w:w="40" w:type="dxa"/>
              <w:right w:w="20" w:type="dxa"/>
            </w:tcMar>
            <w:vAlign w:val="bottom"/>
          </w:tcPr>
          <w:p w14:paraId="5EA228B5" w14:textId="77777777" w:rsidR="003C66EB" w:rsidRDefault="00D96C4E">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5EA228B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B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8B9" w14:textId="77777777" w:rsidR="003C66EB" w:rsidRDefault="00D96C4E">
            <w:pPr>
              <w:jc w:val="right"/>
              <w:textAlignment w:val="bottom"/>
            </w:pPr>
            <w:r>
              <w:rPr>
                <w:rFonts w:ascii="Arial" w:eastAsia="宋体" w:hAnsi="Arial" w:cs="Arial"/>
                <w:b/>
                <w:bCs/>
                <w:color w:val="000000"/>
                <w:sz w:val="15"/>
                <w:szCs w:val="15"/>
              </w:rPr>
              <w:t>524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B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8B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B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B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B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C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8C1" w14:textId="77777777" w:rsidR="003C66EB" w:rsidRDefault="00D96C4E">
            <w:pPr>
              <w:jc w:val="right"/>
              <w:textAlignment w:val="bottom"/>
            </w:pPr>
            <w:r>
              <w:rPr>
                <w:rFonts w:ascii="Arial" w:eastAsia="宋体" w:hAnsi="Arial" w:cs="Arial"/>
                <w:b/>
                <w:bCs/>
                <w:color w:val="000000"/>
                <w:sz w:val="15"/>
                <w:szCs w:val="15"/>
              </w:rPr>
              <w:t>524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C2" w14:textId="77777777" w:rsidR="003C66EB" w:rsidRDefault="003C66EB">
            <w:pPr>
              <w:jc w:val="right"/>
              <w:rPr>
                <w:rFonts w:ascii="宋体"/>
              </w:rPr>
            </w:pPr>
          </w:p>
        </w:tc>
      </w:tr>
      <w:tr w:rsidR="003C66EB" w14:paraId="5EA228CE" w14:textId="77777777">
        <w:trPr>
          <w:hidden/>
        </w:trPr>
        <w:tc>
          <w:tcPr>
            <w:tcW w:w="0" w:type="auto"/>
            <w:gridSpan w:val="3"/>
            <w:shd w:val="clear" w:color="auto" w:fill="auto"/>
          </w:tcPr>
          <w:p w14:paraId="5EA228C4" w14:textId="77777777" w:rsidR="003C66EB" w:rsidRDefault="003C66EB">
            <w:pPr>
              <w:rPr>
                <w:rFonts w:ascii="宋体"/>
                <w:vanish/>
              </w:rPr>
            </w:pPr>
          </w:p>
        </w:tc>
        <w:tc>
          <w:tcPr>
            <w:tcW w:w="0" w:type="auto"/>
            <w:gridSpan w:val="3"/>
            <w:shd w:val="clear" w:color="auto" w:fill="auto"/>
          </w:tcPr>
          <w:p w14:paraId="5EA228C5" w14:textId="77777777" w:rsidR="003C66EB" w:rsidRDefault="003C66EB">
            <w:pPr>
              <w:rPr>
                <w:rFonts w:ascii="宋体"/>
                <w:vanish/>
              </w:rPr>
            </w:pPr>
          </w:p>
        </w:tc>
        <w:tc>
          <w:tcPr>
            <w:tcW w:w="0" w:type="auto"/>
            <w:gridSpan w:val="3"/>
            <w:shd w:val="clear" w:color="auto" w:fill="auto"/>
          </w:tcPr>
          <w:p w14:paraId="5EA228C6" w14:textId="77777777" w:rsidR="003C66EB" w:rsidRDefault="003C66EB">
            <w:pPr>
              <w:rPr>
                <w:rFonts w:ascii="宋体"/>
                <w:vanish/>
              </w:rPr>
            </w:pPr>
          </w:p>
        </w:tc>
        <w:tc>
          <w:tcPr>
            <w:tcW w:w="0" w:type="auto"/>
            <w:gridSpan w:val="3"/>
            <w:shd w:val="clear" w:color="auto" w:fill="auto"/>
          </w:tcPr>
          <w:p w14:paraId="5EA228C7" w14:textId="77777777" w:rsidR="003C66EB" w:rsidRDefault="003C66EB">
            <w:pPr>
              <w:rPr>
                <w:rFonts w:ascii="宋体"/>
                <w:vanish/>
              </w:rPr>
            </w:pPr>
          </w:p>
        </w:tc>
        <w:tc>
          <w:tcPr>
            <w:tcW w:w="0" w:type="auto"/>
            <w:gridSpan w:val="3"/>
            <w:shd w:val="clear" w:color="auto" w:fill="auto"/>
          </w:tcPr>
          <w:p w14:paraId="5EA228C8" w14:textId="77777777" w:rsidR="003C66EB" w:rsidRDefault="003C66EB">
            <w:pPr>
              <w:rPr>
                <w:rFonts w:ascii="宋体"/>
                <w:vanish/>
              </w:rPr>
            </w:pPr>
          </w:p>
        </w:tc>
        <w:tc>
          <w:tcPr>
            <w:tcW w:w="0" w:type="auto"/>
            <w:gridSpan w:val="3"/>
            <w:shd w:val="clear" w:color="auto" w:fill="auto"/>
          </w:tcPr>
          <w:p w14:paraId="5EA228C9" w14:textId="77777777" w:rsidR="003C66EB" w:rsidRDefault="003C66EB">
            <w:pPr>
              <w:rPr>
                <w:rFonts w:ascii="宋体"/>
                <w:vanish/>
              </w:rPr>
            </w:pPr>
          </w:p>
        </w:tc>
        <w:tc>
          <w:tcPr>
            <w:tcW w:w="0" w:type="auto"/>
            <w:gridSpan w:val="3"/>
            <w:shd w:val="clear" w:color="auto" w:fill="auto"/>
          </w:tcPr>
          <w:p w14:paraId="5EA228CA" w14:textId="77777777" w:rsidR="003C66EB" w:rsidRDefault="003C66EB">
            <w:pPr>
              <w:rPr>
                <w:rFonts w:ascii="宋体"/>
                <w:vanish/>
              </w:rPr>
            </w:pPr>
          </w:p>
        </w:tc>
        <w:tc>
          <w:tcPr>
            <w:tcW w:w="0" w:type="auto"/>
            <w:gridSpan w:val="3"/>
            <w:shd w:val="clear" w:color="auto" w:fill="auto"/>
          </w:tcPr>
          <w:p w14:paraId="5EA228CB" w14:textId="77777777" w:rsidR="003C66EB" w:rsidRDefault="003C66EB">
            <w:pPr>
              <w:rPr>
                <w:rFonts w:ascii="宋体"/>
                <w:vanish/>
              </w:rPr>
            </w:pPr>
          </w:p>
        </w:tc>
        <w:tc>
          <w:tcPr>
            <w:tcW w:w="0" w:type="auto"/>
            <w:gridSpan w:val="3"/>
            <w:shd w:val="clear" w:color="auto" w:fill="auto"/>
          </w:tcPr>
          <w:p w14:paraId="5EA228CC" w14:textId="77777777" w:rsidR="003C66EB" w:rsidRDefault="003C66EB">
            <w:pPr>
              <w:rPr>
                <w:rFonts w:ascii="宋体"/>
                <w:vanish/>
              </w:rPr>
            </w:pPr>
          </w:p>
        </w:tc>
        <w:tc>
          <w:tcPr>
            <w:tcW w:w="0" w:type="auto"/>
            <w:gridSpan w:val="3"/>
            <w:shd w:val="clear" w:color="auto" w:fill="auto"/>
          </w:tcPr>
          <w:p w14:paraId="5EA228CD" w14:textId="77777777" w:rsidR="003C66EB" w:rsidRDefault="003C66EB">
            <w:pPr>
              <w:rPr>
                <w:rFonts w:ascii="宋体"/>
                <w:vanish/>
              </w:rPr>
            </w:pPr>
          </w:p>
        </w:tc>
      </w:tr>
      <w:tr w:rsidR="003C66EB" w14:paraId="5EA228DD" w14:textId="77777777">
        <w:tc>
          <w:tcPr>
            <w:tcW w:w="0" w:type="auto"/>
            <w:gridSpan w:val="3"/>
            <w:shd w:val="clear" w:color="auto" w:fill="FFFFFF"/>
            <w:tcMar>
              <w:top w:w="40" w:type="dxa"/>
              <w:left w:w="740" w:type="dxa"/>
              <w:bottom w:w="40" w:type="dxa"/>
              <w:right w:w="20" w:type="dxa"/>
            </w:tcMar>
            <w:vAlign w:val="bottom"/>
          </w:tcPr>
          <w:p w14:paraId="5EA228CF" w14:textId="77777777" w:rsidR="003C66EB" w:rsidRDefault="00D96C4E">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8D0" w14:textId="77777777" w:rsidR="003C66EB" w:rsidRDefault="00D96C4E">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8D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8D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8D3" w14:textId="77777777" w:rsidR="003C66EB" w:rsidRDefault="00D96C4E">
            <w:pPr>
              <w:jc w:val="right"/>
              <w:textAlignment w:val="bottom"/>
            </w:pPr>
            <w:r>
              <w:rPr>
                <w:rFonts w:ascii="Arial" w:eastAsia="宋体" w:hAnsi="Arial" w:cs="Arial"/>
                <w:b/>
                <w:bCs/>
                <w:color w:val="000000"/>
                <w:sz w:val="15"/>
                <w:szCs w:val="15"/>
              </w:rPr>
              <w:t>746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8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8D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8D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8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8D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D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D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8DB" w14:textId="77777777" w:rsidR="003C66EB" w:rsidRDefault="00D96C4E">
            <w:pPr>
              <w:jc w:val="right"/>
              <w:textAlignment w:val="bottom"/>
            </w:pPr>
            <w:r>
              <w:rPr>
                <w:rFonts w:ascii="Arial" w:eastAsia="宋体" w:hAnsi="Arial" w:cs="Arial"/>
                <w:b/>
                <w:bCs/>
                <w:color w:val="000000"/>
                <w:sz w:val="15"/>
                <w:szCs w:val="15"/>
              </w:rPr>
              <w:t>786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8DC" w14:textId="77777777" w:rsidR="003C66EB" w:rsidRDefault="003C66EB">
            <w:pPr>
              <w:jc w:val="right"/>
              <w:rPr>
                <w:rFonts w:ascii="宋体"/>
              </w:rPr>
            </w:pPr>
          </w:p>
        </w:tc>
      </w:tr>
      <w:tr w:rsidR="003C66EB" w14:paraId="5EA228E8" w14:textId="77777777">
        <w:tc>
          <w:tcPr>
            <w:tcW w:w="0" w:type="auto"/>
            <w:gridSpan w:val="3"/>
            <w:shd w:val="clear" w:color="auto" w:fill="CCEEFF"/>
            <w:tcMar>
              <w:top w:w="40" w:type="dxa"/>
              <w:left w:w="20" w:type="dxa"/>
              <w:bottom w:w="40" w:type="dxa"/>
              <w:right w:w="20" w:type="dxa"/>
            </w:tcMar>
            <w:vAlign w:val="bottom"/>
          </w:tcPr>
          <w:p w14:paraId="5EA228DE" w14:textId="77777777" w:rsidR="003C66EB" w:rsidRDefault="00D96C4E">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5EA228D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E0"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28E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E2"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28E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E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E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E6"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28E7" w14:textId="77777777" w:rsidR="003C66EB" w:rsidRDefault="003C66EB">
            <w:pPr>
              <w:rPr>
                <w:rFonts w:ascii="宋体"/>
              </w:rPr>
            </w:pPr>
          </w:p>
        </w:tc>
      </w:tr>
      <w:tr w:rsidR="003C66EB" w14:paraId="5EA228F3" w14:textId="77777777">
        <w:tc>
          <w:tcPr>
            <w:tcW w:w="0" w:type="auto"/>
            <w:gridSpan w:val="3"/>
            <w:shd w:val="clear" w:color="auto" w:fill="FFFFFF"/>
            <w:tcMar>
              <w:top w:w="40" w:type="dxa"/>
              <w:left w:w="245" w:type="dxa"/>
              <w:bottom w:w="40" w:type="dxa"/>
              <w:right w:w="20" w:type="dxa"/>
            </w:tcMar>
            <w:vAlign w:val="bottom"/>
          </w:tcPr>
          <w:p w14:paraId="5EA228E9" w14:textId="77777777" w:rsidR="003C66EB" w:rsidRDefault="00D96C4E">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tcPr>
          <w:p w14:paraId="5EA228E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E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E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E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E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E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F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F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8F2" w14:textId="77777777" w:rsidR="003C66EB" w:rsidRDefault="003C66EB">
            <w:pPr>
              <w:rPr>
                <w:rFonts w:ascii="宋体"/>
              </w:rPr>
            </w:pPr>
          </w:p>
        </w:tc>
      </w:tr>
      <w:tr w:rsidR="003C66EB" w14:paraId="5EA22902" w14:textId="77777777">
        <w:tc>
          <w:tcPr>
            <w:tcW w:w="0" w:type="auto"/>
            <w:gridSpan w:val="3"/>
            <w:shd w:val="clear" w:color="auto" w:fill="CCEEFF"/>
            <w:tcMar>
              <w:top w:w="40" w:type="dxa"/>
              <w:left w:w="515" w:type="dxa"/>
              <w:bottom w:w="40" w:type="dxa"/>
              <w:right w:w="20" w:type="dxa"/>
            </w:tcMar>
            <w:vAlign w:val="bottom"/>
          </w:tcPr>
          <w:p w14:paraId="5EA228F4" w14:textId="77777777" w:rsidR="003C66EB" w:rsidRDefault="00D96C4E">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5EA228F5" w14:textId="77777777" w:rsidR="003C66EB" w:rsidRDefault="00D96C4E">
            <w:pPr>
              <w:jc w:val="right"/>
              <w:textAlignment w:val="bottom"/>
            </w:pPr>
            <w:r>
              <w:rPr>
                <w:rFonts w:ascii="Arial" w:eastAsia="宋体" w:hAnsi="Arial" w:cs="Arial"/>
                <w:b/>
                <w:bCs/>
                <w:color w:val="000000"/>
                <w:sz w:val="15"/>
                <w:szCs w:val="15"/>
              </w:rPr>
              <w:t>8,937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F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8F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F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8FB"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8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8F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F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8F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00" w14:textId="77777777" w:rsidR="003C66EB" w:rsidRDefault="00D96C4E">
            <w:pPr>
              <w:jc w:val="right"/>
              <w:textAlignment w:val="bottom"/>
            </w:pPr>
            <w:r>
              <w:rPr>
                <w:rFonts w:ascii="Arial" w:eastAsia="宋体" w:hAnsi="Arial" w:cs="Arial"/>
                <w:b/>
                <w:bCs/>
                <w:color w:val="000000"/>
                <w:sz w:val="15"/>
                <w:szCs w:val="15"/>
              </w:rPr>
              <w:t>8,937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01" w14:textId="77777777" w:rsidR="003C66EB" w:rsidRDefault="003C66EB">
            <w:pPr>
              <w:jc w:val="right"/>
              <w:rPr>
                <w:rFonts w:ascii="宋体"/>
              </w:rPr>
            </w:pPr>
          </w:p>
        </w:tc>
      </w:tr>
      <w:tr w:rsidR="003C66EB" w14:paraId="5EA22911" w14:textId="77777777">
        <w:tc>
          <w:tcPr>
            <w:tcW w:w="0" w:type="auto"/>
            <w:gridSpan w:val="3"/>
            <w:shd w:val="clear" w:color="auto" w:fill="FFFFFF"/>
            <w:tcMar>
              <w:top w:w="40" w:type="dxa"/>
              <w:left w:w="515" w:type="dxa"/>
              <w:bottom w:w="40" w:type="dxa"/>
              <w:right w:w="20" w:type="dxa"/>
            </w:tcMar>
            <w:vAlign w:val="bottom"/>
          </w:tcPr>
          <w:p w14:paraId="5EA22903"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A22904"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0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0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07" w14:textId="77777777" w:rsidR="003C66EB" w:rsidRDefault="00D96C4E">
            <w:pPr>
              <w:jc w:val="right"/>
              <w:textAlignment w:val="bottom"/>
            </w:pPr>
            <w:r>
              <w:rPr>
                <w:rFonts w:ascii="Arial" w:eastAsia="宋体" w:hAnsi="Arial" w:cs="Arial"/>
                <w:b/>
                <w:bCs/>
                <w:color w:val="000000"/>
                <w:sz w:val="15"/>
                <w:szCs w:val="15"/>
              </w:rPr>
              <w:t>14,425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0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0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0A"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0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0F" w14:textId="77777777" w:rsidR="003C66EB" w:rsidRDefault="00D96C4E">
            <w:pPr>
              <w:jc w:val="right"/>
              <w:textAlignment w:val="bottom"/>
            </w:pPr>
            <w:r>
              <w:rPr>
                <w:rFonts w:ascii="Arial" w:eastAsia="宋体" w:hAnsi="Arial" w:cs="Arial"/>
                <w:b/>
                <w:bCs/>
                <w:color w:val="000000"/>
                <w:sz w:val="15"/>
                <w:szCs w:val="15"/>
              </w:rPr>
              <w:t>14,425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10" w14:textId="77777777" w:rsidR="003C66EB" w:rsidRDefault="003C66EB">
            <w:pPr>
              <w:jc w:val="right"/>
              <w:rPr>
                <w:rFonts w:ascii="宋体"/>
              </w:rPr>
            </w:pPr>
          </w:p>
        </w:tc>
      </w:tr>
      <w:tr w:rsidR="003C66EB" w14:paraId="5EA22920" w14:textId="77777777">
        <w:tc>
          <w:tcPr>
            <w:tcW w:w="0" w:type="auto"/>
            <w:gridSpan w:val="3"/>
            <w:shd w:val="clear" w:color="auto" w:fill="CCEEFF"/>
            <w:tcMar>
              <w:top w:w="40" w:type="dxa"/>
              <w:left w:w="740" w:type="dxa"/>
              <w:bottom w:w="40" w:type="dxa"/>
              <w:right w:w="20" w:type="dxa"/>
            </w:tcMar>
            <w:vAlign w:val="bottom"/>
          </w:tcPr>
          <w:p w14:paraId="5EA22912" w14:textId="77777777" w:rsidR="003C66EB" w:rsidRDefault="00D96C4E">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13" w14:textId="77777777" w:rsidR="003C66EB" w:rsidRDefault="00D96C4E">
            <w:pPr>
              <w:jc w:val="right"/>
              <w:textAlignment w:val="bottom"/>
            </w:pPr>
            <w:r>
              <w:rPr>
                <w:rFonts w:ascii="Arial" w:eastAsia="宋体" w:hAnsi="Arial" w:cs="Arial"/>
                <w:b/>
                <w:bCs/>
                <w:color w:val="000000"/>
                <w:sz w:val="15"/>
                <w:szCs w:val="15"/>
              </w:rPr>
              <w:t>8,937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1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16" w14:textId="77777777" w:rsidR="003C66EB" w:rsidRDefault="00D96C4E">
            <w:pPr>
              <w:jc w:val="right"/>
              <w:textAlignment w:val="bottom"/>
            </w:pPr>
            <w:r>
              <w:rPr>
                <w:rFonts w:ascii="Arial" w:eastAsia="宋体" w:hAnsi="Arial" w:cs="Arial"/>
                <w:b/>
                <w:bCs/>
                <w:color w:val="000000"/>
                <w:sz w:val="15"/>
                <w:szCs w:val="15"/>
              </w:rPr>
              <w:t>14,425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1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19"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1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1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1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1E" w14:textId="77777777" w:rsidR="003C66EB" w:rsidRDefault="00D96C4E">
            <w:pPr>
              <w:jc w:val="right"/>
              <w:textAlignment w:val="bottom"/>
            </w:pPr>
            <w:r>
              <w:rPr>
                <w:rFonts w:ascii="Arial" w:eastAsia="宋体" w:hAnsi="Arial" w:cs="Arial"/>
                <w:b/>
                <w:bCs/>
                <w:color w:val="000000"/>
                <w:sz w:val="15"/>
                <w:szCs w:val="15"/>
              </w:rPr>
              <w:t>23,362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1F" w14:textId="77777777" w:rsidR="003C66EB" w:rsidRDefault="003C66EB">
            <w:pPr>
              <w:jc w:val="right"/>
              <w:rPr>
                <w:rFonts w:ascii="宋体"/>
              </w:rPr>
            </w:pPr>
          </w:p>
        </w:tc>
      </w:tr>
      <w:tr w:rsidR="003C66EB" w14:paraId="5EA2292B" w14:textId="77777777">
        <w:tc>
          <w:tcPr>
            <w:tcW w:w="0" w:type="auto"/>
            <w:gridSpan w:val="3"/>
            <w:shd w:val="clear" w:color="auto" w:fill="FFFFFF"/>
            <w:tcMar>
              <w:top w:w="40" w:type="dxa"/>
              <w:left w:w="245" w:type="dxa"/>
              <w:bottom w:w="40" w:type="dxa"/>
              <w:right w:w="20" w:type="dxa"/>
            </w:tcMar>
            <w:vAlign w:val="bottom"/>
          </w:tcPr>
          <w:p w14:paraId="5EA22921"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292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23"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92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25"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92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2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2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2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92A" w14:textId="77777777" w:rsidR="003C66EB" w:rsidRDefault="003C66EB">
            <w:pPr>
              <w:rPr>
                <w:rFonts w:ascii="宋体"/>
              </w:rPr>
            </w:pPr>
          </w:p>
        </w:tc>
      </w:tr>
      <w:tr w:rsidR="003C66EB" w14:paraId="5EA2293A" w14:textId="77777777">
        <w:tc>
          <w:tcPr>
            <w:tcW w:w="0" w:type="auto"/>
            <w:gridSpan w:val="3"/>
            <w:shd w:val="clear" w:color="auto" w:fill="CCEEFF"/>
            <w:tcMar>
              <w:top w:w="40" w:type="dxa"/>
              <w:left w:w="515" w:type="dxa"/>
              <w:bottom w:w="40" w:type="dxa"/>
              <w:right w:w="20" w:type="dxa"/>
            </w:tcMar>
            <w:vAlign w:val="bottom"/>
          </w:tcPr>
          <w:p w14:paraId="5EA2292C" w14:textId="77777777" w:rsidR="003C66EB" w:rsidRDefault="00D96C4E">
            <w:pPr>
              <w:textAlignment w:val="bottom"/>
            </w:pPr>
            <w:r>
              <w:rPr>
                <w:rFonts w:ascii="Arial" w:eastAsia="宋体" w:hAnsi="Arial" w:cs="Arial"/>
                <w:color w:val="000000"/>
                <w:sz w:val="15"/>
                <w:szCs w:val="15"/>
              </w:rPr>
              <w:t xml:space="preserve">Student </w:t>
            </w:r>
            <w:r>
              <w:rPr>
                <w:rFonts w:ascii="Arial" w:eastAsia="宋体" w:hAnsi="Arial" w:cs="Arial"/>
                <w:color w:val="000000"/>
                <w:sz w:val="15"/>
                <w:szCs w:val="15"/>
              </w:rPr>
              <w:t>loans</w:t>
            </w:r>
          </w:p>
        </w:tc>
        <w:tc>
          <w:tcPr>
            <w:tcW w:w="0" w:type="auto"/>
            <w:gridSpan w:val="2"/>
            <w:shd w:val="clear" w:color="auto" w:fill="CCEEFF"/>
            <w:tcMar>
              <w:top w:w="40" w:type="dxa"/>
              <w:left w:w="20" w:type="dxa"/>
              <w:bottom w:w="40" w:type="dxa"/>
              <w:right w:w="0" w:type="dxa"/>
            </w:tcMar>
            <w:vAlign w:val="bottom"/>
          </w:tcPr>
          <w:p w14:paraId="5EA2292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2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2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30" w14:textId="77777777" w:rsidR="003C66EB" w:rsidRDefault="00D96C4E">
            <w:pPr>
              <w:jc w:val="right"/>
              <w:textAlignment w:val="bottom"/>
            </w:pPr>
            <w:r>
              <w:rPr>
                <w:rFonts w:ascii="Arial" w:eastAsia="宋体" w:hAnsi="Arial" w:cs="Arial"/>
                <w:b/>
                <w:bCs/>
                <w:color w:val="000000"/>
                <w:sz w:val="15"/>
                <w:szCs w:val="15"/>
              </w:rPr>
              <w:t>288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3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33"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3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3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3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38" w14:textId="77777777" w:rsidR="003C66EB" w:rsidRDefault="00D96C4E">
            <w:pPr>
              <w:jc w:val="right"/>
              <w:textAlignment w:val="bottom"/>
            </w:pPr>
            <w:r>
              <w:rPr>
                <w:rFonts w:ascii="Arial" w:eastAsia="宋体" w:hAnsi="Arial" w:cs="Arial"/>
                <w:b/>
                <w:bCs/>
                <w:color w:val="000000"/>
                <w:sz w:val="15"/>
                <w:szCs w:val="15"/>
              </w:rPr>
              <w:t>288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39" w14:textId="77777777" w:rsidR="003C66EB" w:rsidRDefault="003C66EB">
            <w:pPr>
              <w:jc w:val="right"/>
              <w:rPr>
                <w:rFonts w:ascii="宋体"/>
              </w:rPr>
            </w:pPr>
          </w:p>
        </w:tc>
      </w:tr>
      <w:tr w:rsidR="003C66EB" w14:paraId="5EA22949" w14:textId="77777777">
        <w:tc>
          <w:tcPr>
            <w:tcW w:w="0" w:type="auto"/>
            <w:gridSpan w:val="3"/>
            <w:shd w:val="clear" w:color="auto" w:fill="FFFFFF"/>
            <w:tcMar>
              <w:top w:w="40" w:type="dxa"/>
              <w:left w:w="515" w:type="dxa"/>
              <w:bottom w:w="40" w:type="dxa"/>
              <w:right w:w="20" w:type="dxa"/>
            </w:tcMar>
            <w:vAlign w:val="bottom"/>
          </w:tcPr>
          <w:p w14:paraId="5EA2293B" w14:textId="77777777" w:rsidR="003C66EB" w:rsidRDefault="00D96C4E">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5EA2293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3F" w14:textId="77777777" w:rsidR="003C66EB" w:rsidRDefault="00D96C4E">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4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4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4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47" w14:textId="77777777" w:rsidR="003C66EB" w:rsidRDefault="00D96C4E">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48" w14:textId="77777777" w:rsidR="003C66EB" w:rsidRDefault="003C66EB">
            <w:pPr>
              <w:jc w:val="right"/>
              <w:rPr>
                <w:rFonts w:ascii="宋体"/>
              </w:rPr>
            </w:pPr>
          </w:p>
        </w:tc>
      </w:tr>
      <w:tr w:rsidR="003C66EB" w14:paraId="5EA22954" w14:textId="77777777">
        <w:trPr>
          <w:hidden/>
        </w:trPr>
        <w:tc>
          <w:tcPr>
            <w:tcW w:w="0" w:type="auto"/>
            <w:gridSpan w:val="3"/>
            <w:shd w:val="clear" w:color="auto" w:fill="auto"/>
          </w:tcPr>
          <w:p w14:paraId="5EA2294A" w14:textId="77777777" w:rsidR="003C66EB" w:rsidRDefault="003C66EB">
            <w:pPr>
              <w:rPr>
                <w:rFonts w:ascii="宋体"/>
                <w:vanish/>
              </w:rPr>
            </w:pPr>
          </w:p>
        </w:tc>
        <w:tc>
          <w:tcPr>
            <w:tcW w:w="0" w:type="auto"/>
            <w:gridSpan w:val="3"/>
            <w:shd w:val="clear" w:color="auto" w:fill="auto"/>
          </w:tcPr>
          <w:p w14:paraId="5EA2294B" w14:textId="77777777" w:rsidR="003C66EB" w:rsidRDefault="003C66EB">
            <w:pPr>
              <w:rPr>
                <w:rFonts w:ascii="宋体"/>
                <w:vanish/>
              </w:rPr>
            </w:pPr>
          </w:p>
        </w:tc>
        <w:tc>
          <w:tcPr>
            <w:tcW w:w="0" w:type="auto"/>
            <w:gridSpan w:val="3"/>
            <w:shd w:val="clear" w:color="auto" w:fill="auto"/>
          </w:tcPr>
          <w:p w14:paraId="5EA2294C" w14:textId="77777777" w:rsidR="003C66EB" w:rsidRDefault="003C66EB">
            <w:pPr>
              <w:rPr>
                <w:rFonts w:ascii="宋体"/>
                <w:vanish/>
              </w:rPr>
            </w:pPr>
          </w:p>
        </w:tc>
        <w:tc>
          <w:tcPr>
            <w:tcW w:w="0" w:type="auto"/>
            <w:gridSpan w:val="3"/>
            <w:shd w:val="clear" w:color="auto" w:fill="auto"/>
          </w:tcPr>
          <w:p w14:paraId="5EA2294D" w14:textId="77777777" w:rsidR="003C66EB" w:rsidRDefault="003C66EB">
            <w:pPr>
              <w:rPr>
                <w:rFonts w:ascii="宋体"/>
                <w:vanish/>
              </w:rPr>
            </w:pPr>
          </w:p>
        </w:tc>
        <w:tc>
          <w:tcPr>
            <w:tcW w:w="0" w:type="auto"/>
            <w:gridSpan w:val="3"/>
            <w:shd w:val="clear" w:color="auto" w:fill="auto"/>
          </w:tcPr>
          <w:p w14:paraId="5EA2294E" w14:textId="77777777" w:rsidR="003C66EB" w:rsidRDefault="003C66EB">
            <w:pPr>
              <w:rPr>
                <w:rFonts w:ascii="宋体"/>
                <w:vanish/>
              </w:rPr>
            </w:pPr>
          </w:p>
        </w:tc>
        <w:tc>
          <w:tcPr>
            <w:tcW w:w="0" w:type="auto"/>
            <w:gridSpan w:val="3"/>
            <w:shd w:val="clear" w:color="auto" w:fill="auto"/>
          </w:tcPr>
          <w:p w14:paraId="5EA2294F" w14:textId="77777777" w:rsidR="003C66EB" w:rsidRDefault="003C66EB">
            <w:pPr>
              <w:rPr>
                <w:rFonts w:ascii="宋体"/>
                <w:vanish/>
              </w:rPr>
            </w:pPr>
          </w:p>
        </w:tc>
        <w:tc>
          <w:tcPr>
            <w:tcW w:w="0" w:type="auto"/>
            <w:gridSpan w:val="3"/>
            <w:shd w:val="clear" w:color="auto" w:fill="auto"/>
          </w:tcPr>
          <w:p w14:paraId="5EA22950" w14:textId="77777777" w:rsidR="003C66EB" w:rsidRDefault="003C66EB">
            <w:pPr>
              <w:rPr>
                <w:rFonts w:ascii="宋体"/>
                <w:vanish/>
              </w:rPr>
            </w:pPr>
          </w:p>
        </w:tc>
        <w:tc>
          <w:tcPr>
            <w:tcW w:w="0" w:type="auto"/>
            <w:gridSpan w:val="3"/>
            <w:shd w:val="clear" w:color="auto" w:fill="auto"/>
          </w:tcPr>
          <w:p w14:paraId="5EA22951" w14:textId="77777777" w:rsidR="003C66EB" w:rsidRDefault="003C66EB">
            <w:pPr>
              <w:rPr>
                <w:rFonts w:ascii="宋体"/>
                <w:vanish/>
              </w:rPr>
            </w:pPr>
          </w:p>
        </w:tc>
        <w:tc>
          <w:tcPr>
            <w:tcW w:w="0" w:type="auto"/>
            <w:gridSpan w:val="3"/>
            <w:shd w:val="clear" w:color="auto" w:fill="auto"/>
          </w:tcPr>
          <w:p w14:paraId="5EA22952" w14:textId="77777777" w:rsidR="003C66EB" w:rsidRDefault="003C66EB">
            <w:pPr>
              <w:rPr>
                <w:rFonts w:ascii="宋体"/>
                <w:vanish/>
              </w:rPr>
            </w:pPr>
          </w:p>
        </w:tc>
        <w:tc>
          <w:tcPr>
            <w:tcW w:w="0" w:type="auto"/>
            <w:gridSpan w:val="3"/>
            <w:shd w:val="clear" w:color="auto" w:fill="auto"/>
          </w:tcPr>
          <w:p w14:paraId="5EA22953" w14:textId="77777777" w:rsidR="003C66EB" w:rsidRDefault="003C66EB">
            <w:pPr>
              <w:rPr>
                <w:rFonts w:ascii="宋体"/>
                <w:vanish/>
              </w:rPr>
            </w:pPr>
          </w:p>
        </w:tc>
      </w:tr>
      <w:tr w:rsidR="003C66EB" w14:paraId="5EA2295F" w14:textId="77777777">
        <w:trPr>
          <w:hidden/>
        </w:trPr>
        <w:tc>
          <w:tcPr>
            <w:tcW w:w="0" w:type="auto"/>
            <w:gridSpan w:val="3"/>
            <w:shd w:val="clear" w:color="auto" w:fill="auto"/>
          </w:tcPr>
          <w:p w14:paraId="5EA22955" w14:textId="77777777" w:rsidR="003C66EB" w:rsidRDefault="003C66EB">
            <w:pPr>
              <w:rPr>
                <w:rFonts w:ascii="宋体"/>
                <w:vanish/>
              </w:rPr>
            </w:pPr>
          </w:p>
        </w:tc>
        <w:tc>
          <w:tcPr>
            <w:tcW w:w="0" w:type="auto"/>
            <w:gridSpan w:val="3"/>
            <w:shd w:val="clear" w:color="auto" w:fill="auto"/>
          </w:tcPr>
          <w:p w14:paraId="5EA22956" w14:textId="77777777" w:rsidR="003C66EB" w:rsidRDefault="003C66EB">
            <w:pPr>
              <w:rPr>
                <w:rFonts w:ascii="宋体"/>
                <w:vanish/>
              </w:rPr>
            </w:pPr>
          </w:p>
        </w:tc>
        <w:tc>
          <w:tcPr>
            <w:tcW w:w="0" w:type="auto"/>
            <w:gridSpan w:val="3"/>
            <w:shd w:val="clear" w:color="auto" w:fill="auto"/>
          </w:tcPr>
          <w:p w14:paraId="5EA22957" w14:textId="77777777" w:rsidR="003C66EB" w:rsidRDefault="003C66EB">
            <w:pPr>
              <w:rPr>
                <w:rFonts w:ascii="宋体"/>
                <w:vanish/>
              </w:rPr>
            </w:pPr>
          </w:p>
        </w:tc>
        <w:tc>
          <w:tcPr>
            <w:tcW w:w="0" w:type="auto"/>
            <w:gridSpan w:val="3"/>
            <w:shd w:val="clear" w:color="auto" w:fill="auto"/>
          </w:tcPr>
          <w:p w14:paraId="5EA22958" w14:textId="77777777" w:rsidR="003C66EB" w:rsidRDefault="003C66EB">
            <w:pPr>
              <w:rPr>
                <w:rFonts w:ascii="宋体"/>
                <w:vanish/>
              </w:rPr>
            </w:pPr>
          </w:p>
        </w:tc>
        <w:tc>
          <w:tcPr>
            <w:tcW w:w="0" w:type="auto"/>
            <w:gridSpan w:val="3"/>
            <w:shd w:val="clear" w:color="auto" w:fill="auto"/>
          </w:tcPr>
          <w:p w14:paraId="5EA22959" w14:textId="77777777" w:rsidR="003C66EB" w:rsidRDefault="003C66EB">
            <w:pPr>
              <w:rPr>
                <w:rFonts w:ascii="宋体"/>
                <w:vanish/>
              </w:rPr>
            </w:pPr>
          </w:p>
        </w:tc>
        <w:tc>
          <w:tcPr>
            <w:tcW w:w="0" w:type="auto"/>
            <w:gridSpan w:val="3"/>
            <w:shd w:val="clear" w:color="auto" w:fill="auto"/>
          </w:tcPr>
          <w:p w14:paraId="5EA2295A" w14:textId="77777777" w:rsidR="003C66EB" w:rsidRDefault="003C66EB">
            <w:pPr>
              <w:rPr>
                <w:rFonts w:ascii="宋体"/>
                <w:vanish/>
              </w:rPr>
            </w:pPr>
          </w:p>
        </w:tc>
        <w:tc>
          <w:tcPr>
            <w:tcW w:w="0" w:type="auto"/>
            <w:gridSpan w:val="3"/>
            <w:shd w:val="clear" w:color="auto" w:fill="auto"/>
          </w:tcPr>
          <w:p w14:paraId="5EA2295B" w14:textId="77777777" w:rsidR="003C66EB" w:rsidRDefault="003C66EB">
            <w:pPr>
              <w:rPr>
                <w:rFonts w:ascii="宋体"/>
                <w:vanish/>
              </w:rPr>
            </w:pPr>
          </w:p>
        </w:tc>
        <w:tc>
          <w:tcPr>
            <w:tcW w:w="0" w:type="auto"/>
            <w:gridSpan w:val="3"/>
            <w:shd w:val="clear" w:color="auto" w:fill="auto"/>
          </w:tcPr>
          <w:p w14:paraId="5EA2295C" w14:textId="77777777" w:rsidR="003C66EB" w:rsidRDefault="003C66EB">
            <w:pPr>
              <w:rPr>
                <w:rFonts w:ascii="宋体"/>
                <w:vanish/>
              </w:rPr>
            </w:pPr>
          </w:p>
        </w:tc>
        <w:tc>
          <w:tcPr>
            <w:tcW w:w="0" w:type="auto"/>
            <w:gridSpan w:val="3"/>
            <w:shd w:val="clear" w:color="auto" w:fill="auto"/>
          </w:tcPr>
          <w:p w14:paraId="5EA2295D" w14:textId="77777777" w:rsidR="003C66EB" w:rsidRDefault="003C66EB">
            <w:pPr>
              <w:rPr>
                <w:rFonts w:ascii="宋体"/>
                <w:vanish/>
              </w:rPr>
            </w:pPr>
          </w:p>
        </w:tc>
        <w:tc>
          <w:tcPr>
            <w:tcW w:w="0" w:type="auto"/>
            <w:gridSpan w:val="3"/>
            <w:shd w:val="clear" w:color="auto" w:fill="auto"/>
          </w:tcPr>
          <w:p w14:paraId="5EA2295E" w14:textId="77777777" w:rsidR="003C66EB" w:rsidRDefault="003C66EB">
            <w:pPr>
              <w:rPr>
                <w:rFonts w:ascii="宋体"/>
                <w:vanish/>
              </w:rPr>
            </w:pPr>
          </w:p>
        </w:tc>
      </w:tr>
      <w:tr w:rsidR="003C66EB" w14:paraId="5EA2296E" w14:textId="77777777">
        <w:tc>
          <w:tcPr>
            <w:tcW w:w="0" w:type="auto"/>
            <w:gridSpan w:val="3"/>
            <w:shd w:val="clear" w:color="auto" w:fill="CCEEFF"/>
            <w:tcMar>
              <w:top w:w="40" w:type="dxa"/>
              <w:left w:w="515" w:type="dxa"/>
              <w:bottom w:w="40" w:type="dxa"/>
              <w:right w:w="20" w:type="dxa"/>
            </w:tcMar>
            <w:vAlign w:val="bottom"/>
          </w:tcPr>
          <w:p w14:paraId="5EA22960" w14:textId="77777777" w:rsidR="003C66EB" w:rsidRDefault="00D96C4E">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5EA22961"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64" w14:textId="77777777" w:rsidR="003C66EB" w:rsidRDefault="00D96C4E">
            <w:pPr>
              <w:jc w:val="right"/>
              <w:textAlignment w:val="bottom"/>
            </w:pPr>
            <w:r>
              <w:rPr>
                <w:rFonts w:ascii="Arial" w:eastAsia="宋体" w:hAnsi="Arial" w:cs="Arial"/>
                <w:b/>
                <w:bCs/>
                <w:color w:val="000000"/>
                <w:sz w:val="15"/>
                <w:szCs w:val="15"/>
              </w:rPr>
              <w:t>3,669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67" w14:textId="77777777" w:rsidR="003C66EB" w:rsidRDefault="00D96C4E">
            <w:pPr>
              <w:jc w:val="right"/>
              <w:textAlignment w:val="bottom"/>
            </w:pPr>
            <w:r>
              <w:rPr>
                <w:rFonts w:ascii="Arial" w:eastAsia="宋体" w:hAnsi="Arial" w:cs="Arial"/>
                <w:b/>
                <w:bCs/>
                <w:color w:val="000000"/>
                <w:sz w:val="15"/>
                <w:szCs w:val="15"/>
              </w:rPr>
              <w:t>106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6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6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6C" w14:textId="77777777" w:rsidR="003C66EB" w:rsidRDefault="00D96C4E">
            <w:pPr>
              <w:jc w:val="right"/>
              <w:textAlignment w:val="bottom"/>
            </w:pPr>
            <w:r>
              <w:rPr>
                <w:rFonts w:ascii="Arial" w:eastAsia="宋体" w:hAnsi="Arial" w:cs="Arial"/>
                <w:b/>
                <w:bCs/>
                <w:color w:val="000000"/>
                <w:sz w:val="15"/>
                <w:szCs w:val="15"/>
              </w:rPr>
              <w:t>3,775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6D" w14:textId="77777777" w:rsidR="003C66EB" w:rsidRDefault="003C66EB">
            <w:pPr>
              <w:jc w:val="right"/>
              <w:rPr>
                <w:rFonts w:ascii="宋体"/>
              </w:rPr>
            </w:pPr>
          </w:p>
        </w:tc>
      </w:tr>
      <w:tr w:rsidR="003C66EB" w14:paraId="5EA2297D" w14:textId="77777777">
        <w:tc>
          <w:tcPr>
            <w:tcW w:w="0" w:type="auto"/>
            <w:gridSpan w:val="3"/>
            <w:shd w:val="clear" w:color="auto" w:fill="FFFFFF"/>
            <w:tcMar>
              <w:top w:w="40" w:type="dxa"/>
              <w:left w:w="20" w:type="dxa"/>
              <w:bottom w:w="40" w:type="dxa"/>
              <w:right w:w="20" w:type="dxa"/>
            </w:tcMar>
            <w:vAlign w:val="bottom"/>
          </w:tcPr>
          <w:p w14:paraId="5EA2296F" w14:textId="77777777" w:rsidR="003C66EB" w:rsidRDefault="00D96C4E">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2970"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73" w14:textId="77777777" w:rsidR="003C66EB" w:rsidRDefault="00D96C4E">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7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7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7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7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7B" w14:textId="77777777" w:rsidR="003C66EB" w:rsidRDefault="00D96C4E">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7C" w14:textId="77777777" w:rsidR="003C66EB" w:rsidRDefault="003C66EB">
            <w:pPr>
              <w:jc w:val="right"/>
              <w:rPr>
                <w:rFonts w:ascii="宋体"/>
              </w:rPr>
            </w:pPr>
          </w:p>
        </w:tc>
      </w:tr>
      <w:tr w:rsidR="003C66EB" w14:paraId="5EA2298C" w14:textId="77777777">
        <w:tc>
          <w:tcPr>
            <w:tcW w:w="0" w:type="auto"/>
            <w:gridSpan w:val="3"/>
            <w:shd w:val="clear" w:color="auto" w:fill="CCEEFF"/>
            <w:tcMar>
              <w:top w:w="40" w:type="dxa"/>
              <w:left w:w="740" w:type="dxa"/>
              <w:bottom w:w="40" w:type="dxa"/>
              <w:right w:w="20" w:type="dxa"/>
            </w:tcMar>
            <w:vAlign w:val="bottom"/>
          </w:tcPr>
          <w:p w14:paraId="5EA2297E" w14:textId="77777777" w:rsidR="003C66EB" w:rsidRDefault="00D96C4E">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7F"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8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82" w14:textId="77777777" w:rsidR="003C66EB" w:rsidRDefault="00D96C4E">
            <w:pPr>
              <w:jc w:val="right"/>
              <w:textAlignment w:val="bottom"/>
            </w:pPr>
            <w:r>
              <w:rPr>
                <w:rFonts w:ascii="Arial" w:eastAsia="宋体" w:hAnsi="Arial" w:cs="Arial"/>
                <w:b/>
                <w:bCs/>
                <w:color w:val="000000"/>
                <w:sz w:val="15"/>
                <w:szCs w:val="15"/>
              </w:rPr>
              <w:t>4,119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8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85" w14:textId="77777777" w:rsidR="003C66EB" w:rsidRDefault="00D96C4E">
            <w:pPr>
              <w:jc w:val="right"/>
              <w:textAlignment w:val="bottom"/>
            </w:pPr>
            <w:r>
              <w:rPr>
                <w:rFonts w:ascii="Arial" w:eastAsia="宋体" w:hAnsi="Arial" w:cs="Arial"/>
                <w:b/>
                <w:bCs/>
                <w:color w:val="000000"/>
                <w:sz w:val="15"/>
                <w:szCs w:val="15"/>
              </w:rPr>
              <w:t>106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8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8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8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8A" w14:textId="77777777" w:rsidR="003C66EB" w:rsidRDefault="00D96C4E">
            <w:pPr>
              <w:jc w:val="right"/>
              <w:textAlignment w:val="bottom"/>
            </w:pPr>
            <w:r>
              <w:rPr>
                <w:rFonts w:ascii="Arial" w:eastAsia="宋体" w:hAnsi="Arial" w:cs="Arial"/>
                <w:b/>
                <w:bCs/>
                <w:color w:val="000000"/>
                <w:sz w:val="15"/>
                <w:szCs w:val="15"/>
              </w:rPr>
              <w:t>4,225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8B" w14:textId="77777777" w:rsidR="003C66EB" w:rsidRDefault="003C66EB">
            <w:pPr>
              <w:jc w:val="right"/>
              <w:rPr>
                <w:rFonts w:ascii="宋体"/>
              </w:rPr>
            </w:pPr>
          </w:p>
        </w:tc>
      </w:tr>
      <w:tr w:rsidR="003C66EB" w14:paraId="5EA22997" w14:textId="77777777">
        <w:tc>
          <w:tcPr>
            <w:tcW w:w="0" w:type="auto"/>
            <w:gridSpan w:val="3"/>
            <w:shd w:val="clear" w:color="auto" w:fill="FFFFFF"/>
            <w:tcMar>
              <w:top w:w="40" w:type="dxa"/>
              <w:left w:w="245" w:type="dxa"/>
              <w:bottom w:w="40" w:type="dxa"/>
              <w:right w:w="20" w:type="dxa"/>
            </w:tcMar>
            <w:vAlign w:val="bottom"/>
          </w:tcPr>
          <w:p w14:paraId="5EA2298D" w14:textId="77777777" w:rsidR="003C66EB" w:rsidRDefault="00D96C4E">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tcPr>
          <w:p w14:paraId="5EA2298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8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96" w14:textId="77777777" w:rsidR="003C66EB" w:rsidRDefault="003C66EB">
            <w:pPr>
              <w:rPr>
                <w:rFonts w:ascii="宋体"/>
              </w:rPr>
            </w:pPr>
          </w:p>
        </w:tc>
      </w:tr>
      <w:tr w:rsidR="003C66EB" w14:paraId="5EA229A6" w14:textId="77777777">
        <w:tc>
          <w:tcPr>
            <w:tcW w:w="0" w:type="auto"/>
            <w:gridSpan w:val="3"/>
            <w:shd w:val="clear" w:color="auto" w:fill="CCEEFF"/>
            <w:tcMar>
              <w:top w:w="40" w:type="dxa"/>
              <w:left w:w="515" w:type="dxa"/>
              <w:bottom w:w="40" w:type="dxa"/>
              <w:right w:w="20" w:type="dxa"/>
            </w:tcMar>
            <w:vAlign w:val="bottom"/>
          </w:tcPr>
          <w:p w14:paraId="5EA22998"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EA22999"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9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9C" w14:textId="77777777" w:rsidR="003C66EB" w:rsidRDefault="00D96C4E">
            <w:pPr>
              <w:jc w:val="right"/>
              <w:textAlignment w:val="bottom"/>
            </w:pPr>
            <w:r>
              <w:rPr>
                <w:rFonts w:ascii="Arial" w:eastAsia="宋体" w:hAnsi="Arial" w:cs="Arial"/>
                <w:b/>
                <w:bCs/>
                <w:color w:val="000000"/>
                <w:sz w:val="15"/>
                <w:szCs w:val="15"/>
              </w:rPr>
              <w:t>2,032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9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9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9F"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A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A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A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A4" w14:textId="77777777" w:rsidR="003C66EB" w:rsidRDefault="00D96C4E">
            <w:pPr>
              <w:jc w:val="right"/>
              <w:textAlignment w:val="bottom"/>
            </w:pPr>
            <w:r>
              <w:rPr>
                <w:rFonts w:ascii="Arial" w:eastAsia="宋体" w:hAnsi="Arial" w:cs="Arial"/>
                <w:b/>
                <w:bCs/>
                <w:color w:val="000000"/>
                <w:sz w:val="15"/>
                <w:szCs w:val="15"/>
              </w:rPr>
              <w:t>2,032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A5" w14:textId="77777777" w:rsidR="003C66EB" w:rsidRDefault="003C66EB">
            <w:pPr>
              <w:jc w:val="right"/>
              <w:rPr>
                <w:rFonts w:ascii="宋体"/>
              </w:rPr>
            </w:pPr>
          </w:p>
        </w:tc>
      </w:tr>
      <w:tr w:rsidR="003C66EB" w14:paraId="5EA229B5" w14:textId="77777777">
        <w:tc>
          <w:tcPr>
            <w:tcW w:w="0" w:type="auto"/>
            <w:gridSpan w:val="3"/>
            <w:shd w:val="clear" w:color="auto" w:fill="FFFFFF"/>
            <w:tcMar>
              <w:top w:w="40" w:type="dxa"/>
              <w:left w:w="515" w:type="dxa"/>
              <w:bottom w:w="40" w:type="dxa"/>
              <w:right w:w="20" w:type="dxa"/>
            </w:tcMar>
            <w:vAlign w:val="bottom"/>
          </w:tcPr>
          <w:p w14:paraId="5EA229A7"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EA229A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A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AB" w14:textId="77777777" w:rsidR="003C66EB" w:rsidRDefault="00D96C4E">
            <w:pPr>
              <w:jc w:val="right"/>
              <w:textAlignment w:val="bottom"/>
            </w:pPr>
            <w:r>
              <w:rPr>
                <w:rFonts w:ascii="Arial" w:eastAsia="宋体" w:hAnsi="Arial" w:cs="Arial"/>
                <w:b/>
                <w:bCs/>
                <w:color w:val="000000"/>
                <w:sz w:val="15"/>
                <w:szCs w:val="15"/>
              </w:rPr>
              <w:t>2,297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A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A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AE"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A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B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B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B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B3" w14:textId="77777777" w:rsidR="003C66EB" w:rsidRDefault="00D96C4E">
            <w:pPr>
              <w:jc w:val="right"/>
              <w:textAlignment w:val="bottom"/>
            </w:pPr>
            <w:r>
              <w:rPr>
                <w:rFonts w:ascii="Arial" w:eastAsia="宋体" w:hAnsi="Arial" w:cs="Arial"/>
                <w:b/>
                <w:bCs/>
                <w:color w:val="000000"/>
                <w:sz w:val="15"/>
                <w:szCs w:val="15"/>
              </w:rPr>
              <w:t>2,297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B4" w14:textId="77777777" w:rsidR="003C66EB" w:rsidRDefault="003C66EB">
            <w:pPr>
              <w:jc w:val="right"/>
              <w:rPr>
                <w:rFonts w:ascii="宋体"/>
              </w:rPr>
            </w:pPr>
          </w:p>
        </w:tc>
      </w:tr>
      <w:tr w:rsidR="003C66EB" w14:paraId="5EA229C4" w14:textId="77777777">
        <w:tc>
          <w:tcPr>
            <w:tcW w:w="0" w:type="auto"/>
            <w:gridSpan w:val="3"/>
            <w:shd w:val="clear" w:color="auto" w:fill="CCEEFF"/>
            <w:tcMar>
              <w:top w:w="40" w:type="dxa"/>
              <w:left w:w="515" w:type="dxa"/>
              <w:bottom w:w="40" w:type="dxa"/>
              <w:right w:w="20" w:type="dxa"/>
            </w:tcMar>
            <w:vAlign w:val="bottom"/>
          </w:tcPr>
          <w:p w14:paraId="5EA229B6" w14:textId="77777777" w:rsidR="003C66EB" w:rsidRDefault="00D96C4E">
            <w:pPr>
              <w:textAlignment w:val="bottom"/>
            </w:pPr>
            <w:r>
              <w:rPr>
                <w:rFonts w:ascii="Arial" w:eastAsia="宋体" w:hAnsi="Arial" w:cs="Arial"/>
                <w:color w:val="000000"/>
                <w:sz w:val="15"/>
                <w:szCs w:val="15"/>
              </w:rPr>
              <w:t>Government securities</w:t>
            </w:r>
          </w:p>
        </w:tc>
        <w:tc>
          <w:tcPr>
            <w:tcW w:w="0" w:type="auto"/>
            <w:gridSpan w:val="2"/>
            <w:shd w:val="clear" w:color="auto" w:fill="CCEEFF"/>
            <w:tcMar>
              <w:top w:w="40" w:type="dxa"/>
              <w:left w:w="20" w:type="dxa"/>
              <w:bottom w:w="40" w:type="dxa"/>
              <w:right w:w="0" w:type="dxa"/>
            </w:tcMar>
            <w:vAlign w:val="bottom"/>
          </w:tcPr>
          <w:p w14:paraId="5EA229B7"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B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BA" w14:textId="77777777" w:rsidR="003C66EB" w:rsidRDefault="00D96C4E">
            <w:pPr>
              <w:jc w:val="right"/>
              <w:textAlignment w:val="bottom"/>
            </w:pPr>
            <w:r>
              <w:rPr>
                <w:rFonts w:ascii="Arial" w:eastAsia="宋体" w:hAnsi="Arial" w:cs="Arial"/>
                <w:b/>
                <w:bCs/>
                <w:color w:val="000000"/>
                <w:sz w:val="15"/>
                <w:szCs w:val="15"/>
              </w:rPr>
              <w:t>9,910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B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B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B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C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C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9C2" w14:textId="77777777" w:rsidR="003C66EB" w:rsidRDefault="00D96C4E">
            <w:pPr>
              <w:jc w:val="right"/>
              <w:textAlignment w:val="bottom"/>
            </w:pPr>
            <w:r>
              <w:rPr>
                <w:rFonts w:ascii="Arial" w:eastAsia="宋体" w:hAnsi="Arial" w:cs="Arial"/>
                <w:b/>
                <w:bCs/>
                <w:color w:val="000000"/>
                <w:sz w:val="15"/>
                <w:szCs w:val="15"/>
              </w:rPr>
              <w:t>9,910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C3" w14:textId="77777777" w:rsidR="003C66EB" w:rsidRDefault="003C66EB">
            <w:pPr>
              <w:jc w:val="right"/>
              <w:rPr>
                <w:rFonts w:ascii="宋体"/>
              </w:rPr>
            </w:pPr>
          </w:p>
        </w:tc>
      </w:tr>
      <w:tr w:rsidR="003C66EB" w14:paraId="5EA229D3" w14:textId="77777777">
        <w:tc>
          <w:tcPr>
            <w:tcW w:w="0" w:type="auto"/>
            <w:gridSpan w:val="3"/>
            <w:shd w:val="clear" w:color="auto" w:fill="FFFFFF"/>
            <w:tcMar>
              <w:top w:w="40" w:type="dxa"/>
              <w:left w:w="20" w:type="dxa"/>
              <w:bottom w:w="40" w:type="dxa"/>
              <w:right w:w="20" w:type="dxa"/>
            </w:tcMar>
            <w:vAlign w:val="bottom"/>
          </w:tcPr>
          <w:p w14:paraId="5EA229C5"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29C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C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C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C9" w14:textId="77777777" w:rsidR="003C66EB" w:rsidRDefault="00D96C4E">
            <w:pPr>
              <w:jc w:val="right"/>
              <w:textAlignment w:val="bottom"/>
            </w:pPr>
            <w:r>
              <w:rPr>
                <w:rFonts w:ascii="Arial" w:eastAsia="宋体" w:hAnsi="Arial" w:cs="Arial"/>
                <w:b/>
                <w:bCs/>
                <w:color w:val="000000"/>
                <w:sz w:val="15"/>
                <w:szCs w:val="15"/>
              </w:rPr>
              <w:t>13,709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C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C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C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C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C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D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9D1" w14:textId="77777777" w:rsidR="003C66EB" w:rsidRDefault="00D96C4E">
            <w:pPr>
              <w:jc w:val="right"/>
              <w:textAlignment w:val="bottom"/>
            </w:pPr>
            <w:r>
              <w:rPr>
                <w:rFonts w:ascii="Arial" w:eastAsia="宋体" w:hAnsi="Arial" w:cs="Arial"/>
                <w:b/>
                <w:bCs/>
                <w:color w:val="000000"/>
                <w:sz w:val="15"/>
                <w:szCs w:val="15"/>
              </w:rPr>
              <w:t>13,709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9D2" w14:textId="77777777" w:rsidR="003C66EB" w:rsidRDefault="003C66EB">
            <w:pPr>
              <w:jc w:val="right"/>
              <w:rPr>
                <w:rFonts w:ascii="宋体"/>
              </w:rPr>
            </w:pPr>
          </w:p>
        </w:tc>
      </w:tr>
      <w:tr w:rsidR="003C66EB" w14:paraId="5EA229E2" w14:textId="77777777">
        <w:tc>
          <w:tcPr>
            <w:tcW w:w="0" w:type="auto"/>
            <w:gridSpan w:val="3"/>
            <w:shd w:val="clear" w:color="auto" w:fill="CCEEFF"/>
            <w:tcMar>
              <w:top w:w="40" w:type="dxa"/>
              <w:left w:w="740" w:type="dxa"/>
              <w:bottom w:w="40" w:type="dxa"/>
              <w:right w:w="20" w:type="dxa"/>
            </w:tcMar>
            <w:vAlign w:val="bottom"/>
          </w:tcPr>
          <w:p w14:paraId="5EA229D4" w14:textId="77777777" w:rsidR="003C66EB" w:rsidRDefault="00D96C4E">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D5"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D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D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D8" w14:textId="77777777" w:rsidR="003C66EB" w:rsidRDefault="00D96C4E">
            <w:pPr>
              <w:jc w:val="right"/>
              <w:textAlignment w:val="bottom"/>
            </w:pPr>
            <w:r>
              <w:rPr>
                <w:rFonts w:ascii="Arial" w:eastAsia="宋体" w:hAnsi="Arial" w:cs="Arial"/>
                <w:b/>
                <w:bCs/>
                <w:color w:val="000000"/>
                <w:sz w:val="15"/>
                <w:szCs w:val="15"/>
              </w:rPr>
              <w:t>27,948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D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DB"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9D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D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9D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9E0" w14:textId="77777777" w:rsidR="003C66EB" w:rsidRDefault="00D96C4E">
            <w:pPr>
              <w:jc w:val="right"/>
              <w:textAlignment w:val="bottom"/>
            </w:pPr>
            <w:r>
              <w:rPr>
                <w:rFonts w:ascii="Arial" w:eastAsia="宋体" w:hAnsi="Arial" w:cs="Arial"/>
                <w:b/>
                <w:bCs/>
                <w:color w:val="000000"/>
                <w:sz w:val="15"/>
                <w:szCs w:val="15"/>
              </w:rPr>
              <w:t>27,948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9E1" w14:textId="77777777" w:rsidR="003C66EB" w:rsidRDefault="003C66EB">
            <w:pPr>
              <w:jc w:val="right"/>
              <w:rPr>
                <w:rFonts w:ascii="宋体"/>
              </w:rPr>
            </w:pPr>
          </w:p>
        </w:tc>
      </w:tr>
      <w:tr w:rsidR="003C66EB" w14:paraId="5EA229F1" w14:textId="77777777">
        <w:tc>
          <w:tcPr>
            <w:tcW w:w="0" w:type="auto"/>
            <w:gridSpan w:val="3"/>
            <w:shd w:val="clear" w:color="auto" w:fill="FFFFFF"/>
            <w:tcMar>
              <w:top w:w="40" w:type="dxa"/>
              <w:left w:w="245" w:type="dxa"/>
              <w:bottom w:w="40" w:type="dxa"/>
              <w:right w:w="20" w:type="dxa"/>
            </w:tcMar>
            <w:vAlign w:val="bottom"/>
          </w:tcPr>
          <w:p w14:paraId="5EA229E3" w14:textId="77777777" w:rsidR="003C66EB" w:rsidRDefault="00D96C4E">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9E4"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9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E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9E7" w14:textId="77777777" w:rsidR="003C66EB" w:rsidRDefault="00D96C4E">
            <w:pPr>
              <w:jc w:val="right"/>
              <w:textAlignment w:val="bottom"/>
            </w:pPr>
            <w:r>
              <w:rPr>
                <w:rFonts w:ascii="Arial" w:eastAsia="宋体" w:hAnsi="Arial" w:cs="Arial"/>
                <w:b/>
                <w:bCs/>
                <w:color w:val="000000"/>
                <w:sz w:val="15"/>
                <w:szCs w:val="15"/>
              </w:rPr>
              <w:t>1,498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9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E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9EA"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9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9E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E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9E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9EF" w14:textId="77777777" w:rsidR="003C66EB" w:rsidRDefault="00D96C4E">
            <w:pPr>
              <w:jc w:val="right"/>
              <w:textAlignment w:val="bottom"/>
            </w:pPr>
            <w:r>
              <w:rPr>
                <w:rFonts w:ascii="Arial" w:eastAsia="宋体" w:hAnsi="Arial" w:cs="Arial"/>
                <w:b/>
                <w:bCs/>
                <w:color w:val="000000"/>
                <w:sz w:val="15"/>
                <w:szCs w:val="15"/>
              </w:rPr>
              <w:t>1,498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9F0" w14:textId="77777777" w:rsidR="003C66EB" w:rsidRDefault="003C66EB">
            <w:pPr>
              <w:jc w:val="right"/>
              <w:rPr>
                <w:rFonts w:ascii="宋体"/>
              </w:rPr>
            </w:pPr>
          </w:p>
        </w:tc>
      </w:tr>
      <w:tr w:rsidR="003C66EB" w14:paraId="5EA229FC" w14:textId="77777777">
        <w:trPr>
          <w:hidden/>
        </w:trPr>
        <w:tc>
          <w:tcPr>
            <w:tcW w:w="0" w:type="auto"/>
            <w:gridSpan w:val="3"/>
            <w:shd w:val="clear" w:color="auto" w:fill="auto"/>
          </w:tcPr>
          <w:p w14:paraId="5EA229F2" w14:textId="77777777" w:rsidR="003C66EB" w:rsidRDefault="003C66EB">
            <w:pPr>
              <w:rPr>
                <w:rFonts w:ascii="宋体"/>
                <w:vanish/>
              </w:rPr>
            </w:pPr>
          </w:p>
        </w:tc>
        <w:tc>
          <w:tcPr>
            <w:tcW w:w="0" w:type="auto"/>
            <w:gridSpan w:val="3"/>
            <w:shd w:val="clear" w:color="auto" w:fill="auto"/>
          </w:tcPr>
          <w:p w14:paraId="5EA229F3" w14:textId="77777777" w:rsidR="003C66EB" w:rsidRDefault="003C66EB">
            <w:pPr>
              <w:rPr>
                <w:rFonts w:ascii="宋体"/>
                <w:vanish/>
              </w:rPr>
            </w:pPr>
          </w:p>
        </w:tc>
        <w:tc>
          <w:tcPr>
            <w:tcW w:w="0" w:type="auto"/>
            <w:gridSpan w:val="3"/>
            <w:shd w:val="clear" w:color="auto" w:fill="auto"/>
          </w:tcPr>
          <w:p w14:paraId="5EA229F4" w14:textId="77777777" w:rsidR="003C66EB" w:rsidRDefault="003C66EB">
            <w:pPr>
              <w:rPr>
                <w:rFonts w:ascii="宋体"/>
                <w:vanish/>
              </w:rPr>
            </w:pPr>
          </w:p>
        </w:tc>
        <w:tc>
          <w:tcPr>
            <w:tcW w:w="0" w:type="auto"/>
            <w:gridSpan w:val="3"/>
            <w:shd w:val="clear" w:color="auto" w:fill="auto"/>
          </w:tcPr>
          <w:p w14:paraId="5EA229F5" w14:textId="77777777" w:rsidR="003C66EB" w:rsidRDefault="003C66EB">
            <w:pPr>
              <w:rPr>
                <w:rFonts w:ascii="宋体"/>
                <w:vanish/>
              </w:rPr>
            </w:pPr>
          </w:p>
        </w:tc>
        <w:tc>
          <w:tcPr>
            <w:tcW w:w="0" w:type="auto"/>
            <w:gridSpan w:val="3"/>
            <w:shd w:val="clear" w:color="auto" w:fill="auto"/>
          </w:tcPr>
          <w:p w14:paraId="5EA229F6" w14:textId="77777777" w:rsidR="003C66EB" w:rsidRDefault="003C66EB">
            <w:pPr>
              <w:rPr>
                <w:rFonts w:ascii="宋体"/>
                <w:vanish/>
              </w:rPr>
            </w:pPr>
          </w:p>
        </w:tc>
        <w:tc>
          <w:tcPr>
            <w:tcW w:w="0" w:type="auto"/>
            <w:gridSpan w:val="3"/>
            <w:shd w:val="clear" w:color="auto" w:fill="auto"/>
          </w:tcPr>
          <w:p w14:paraId="5EA229F7" w14:textId="77777777" w:rsidR="003C66EB" w:rsidRDefault="003C66EB">
            <w:pPr>
              <w:rPr>
                <w:rFonts w:ascii="宋体"/>
                <w:vanish/>
              </w:rPr>
            </w:pPr>
          </w:p>
        </w:tc>
        <w:tc>
          <w:tcPr>
            <w:tcW w:w="0" w:type="auto"/>
            <w:gridSpan w:val="3"/>
            <w:shd w:val="clear" w:color="auto" w:fill="auto"/>
          </w:tcPr>
          <w:p w14:paraId="5EA229F8" w14:textId="77777777" w:rsidR="003C66EB" w:rsidRDefault="003C66EB">
            <w:pPr>
              <w:rPr>
                <w:rFonts w:ascii="宋体"/>
                <w:vanish/>
              </w:rPr>
            </w:pPr>
          </w:p>
        </w:tc>
        <w:tc>
          <w:tcPr>
            <w:tcW w:w="0" w:type="auto"/>
            <w:gridSpan w:val="3"/>
            <w:shd w:val="clear" w:color="auto" w:fill="auto"/>
          </w:tcPr>
          <w:p w14:paraId="5EA229F9" w14:textId="77777777" w:rsidR="003C66EB" w:rsidRDefault="003C66EB">
            <w:pPr>
              <w:rPr>
                <w:rFonts w:ascii="宋体"/>
                <w:vanish/>
              </w:rPr>
            </w:pPr>
          </w:p>
        </w:tc>
        <w:tc>
          <w:tcPr>
            <w:tcW w:w="0" w:type="auto"/>
            <w:gridSpan w:val="3"/>
            <w:shd w:val="clear" w:color="auto" w:fill="auto"/>
          </w:tcPr>
          <w:p w14:paraId="5EA229FA" w14:textId="77777777" w:rsidR="003C66EB" w:rsidRDefault="003C66EB">
            <w:pPr>
              <w:rPr>
                <w:rFonts w:ascii="宋体"/>
                <w:vanish/>
              </w:rPr>
            </w:pPr>
          </w:p>
        </w:tc>
        <w:tc>
          <w:tcPr>
            <w:tcW w:w="0" w:type="auto"/>
            <w:gridSpan w:val="3"/>
            <w:shd w:val="clear" w:color="auto" w:fill="auto"/>
          </w:tcPr>
          <w:p w14:paraId="5EA229FB" w14:textId="77777777" w:rsidR="003C66EB" w:rsidRDefault="003C66EB">
            <w:pPr>
              <w:rPr>
                <w:rFonts w:ascii="宋体"/>
                <w:vanish/>
              </w:rPr>
            </w:pPr>
          </w:p>
        </w:tc>
      </w:tr>
      <w:tr w:rsidR="003C66EB" w14:paraId="5EA22A0B" w14:textId="77777777">
        <w:tc>
          <w:tcPr>
            <w:tcW w:w="0" w:type="auto"/>
            <w:gridSpan w:val="3"/>
            <w:shd w:val="clear" w:color="auto" w:fill="CCEEFF"/>
            <w:tcMar>
              <w:top w:w="40" w:type="dxa"/>
              <w:left w:w="245" w:type="dxa"/>
              <w:bottom w:w="40" w:type="dxa"/>
              <w:right w:w="20" w:type="dxa"/>
            </w:tcMar>
            <w:vAlign w:val="bottom"/>
          </w:tcPr>
          <w:p w14:paraId="5EA229FD" w14:textId="77777777" w:rsidR="003C66EB" w:rsidRDefault="00D96C4E">
            <w:pPr>
              <w:textAlignment w:val="bottom"/>
            </w:pPr>
            <w:r>
              <w:rPr>
                <w:rFonts w:ascii="Arial" w:eastAsia="宋体" w:hAnsi="Arial" w:cs="Arial"/>
                <w:color w:val="000000"/>
                <w:sz w:val="15"/>
                <w:szCs w:val="15"/>
              </w:rPr>
              <w:t xml:space="preserve">Other U.S. debt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EA229FE"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9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0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A01" w14:textId="77777777" w:rsidR="003C66EB" w:rsidRDefault="00D96C4E">
            <w:pPr>
              <w:jc w:val="right"/>
              <w:textAlignment w:val="bottom"/>
            </w:pPr>
            <w:r>
              <w:rPr>
                <w:rFonts w:ascii="Arial" w:eastAsia="宋体" w:hAnsi="Arial" w:cs="Arial"/>
                <w:b/>
                <w:bCs/>
                <w:color w:val="000000"/>
                <w:sz w:val="15"/>
                <w:szCs w:val="15"/>
              </w:rPr>
              <w:t>3,464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0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A04" w14:textId="77777777" w:rsidR="003C66EB" w:rsidRDefault="00D96C4E">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0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0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0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A09" w14:textId="77777777" w:rsidR="003C66EB" w:rsidRDefault="00D96C4E">
            <w:pPr>
              <w:jc w:val="right"/>
              <w:textAlignment w:val="bottom"/>
            </w:pPr>
            <w:r>
              <w:rPr>
                <w:rFonts w:ascii="Arial" w:eastAsia="宋体" w:hAnsi="Arial" w:cs="Arial"/>
                <w:b/>
                <w:bCs/>
                <w:color w:val="000000"/>
                <w:sz w:val="15"/>
                <w:szCs w:val="15"/>
              </w:rPr>
              <w:t>3,479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0A" w14:textId="77777777" w:rsidR="003C66EB" w:rsidRDefault="003C66EB">
            <w:pPr>
              <w:jc w:val="right"/>
              <w:rPr>
                <w:rFonts w:ascii="宋体"/>
              </w:rPr>
            </w:pPr>
          </w:p>
        </w:tc>
      </w:tr>
      <w:tr w:rsidR="003C66EB" w14:paraId="5EA22A16" w14:textId="77777777">
        <w:trPr>
          <w:hidden/>
        </w:trPr>
        <w:tc>
          <w:tcPr>
            <w:tcW w:w="0" w:type="auto"/>
            <w:gridSpan w:val="3"/>
            <w:shd w:val="clear" w:color="auto" w:fill="auto"/>
          </w:tcPr>
          <w:p w14:paraId="5EA22A0C" w14:textId="77777777" w:rsidR="003C66EB" w:rsidRDefault="003C66EB">
            <w:pPr>
              <w:rPr>
                <w:rFonts w:ascii="宋体"/>
                <w:vanish/>
              </w:rPr>
            </w:pPr>
          </w:p>
        </w:tc>
        <w:tc>
          <w:tcPr>
            <w:tcW w:w="0" w:type="auto"/>
            <w:gridSpan w:val="3"/>
            <w:shd w:val="clear" w:color="auto" w:fill="auto"/>
          </w:tcPr>
          <w:p w14:paraId="5EA22A0D" w14:textId="77777777" w:rsidR="003C66EB" w:rsidRDefault="003C66EB">
            <w:pPr>
              <w:rPr>
                <w:rFonts w:ascii="宋体"/>
                <w:vanish/>
              </w:rPr>
            </w:pPr>
          </w:p>
        </w:tc>
        <w:tc>
          <w:tcPr>
            <w:tcW w:w="0" w:type="auto"/>
            <w:gridSpan w:val="3"/>
            <w:shd w:val="clear" w:color="auto" w:fill="auto"/>
          </w:tcPr>
          <w:p w14:paraId="5EA22A0E" w14:textId="77777777" w:rsidR="003C66EB" w:rsidRDefault="003C66EB">
            <w:pPr>
              <w:rPr>
                <w:rFonts w:ascii="宋体"/>
                <w:vanish/>
              </w:rPr>
            </w:pPr>
          </w:p>
        </w:tc>
        <w:tc>
          <w:tcPr>
            <w:tcW w:w="0" w:type="auto"/>
            <w:gridSpan w:val="3"/>
            <w:shd w:val="clear" w:color="auto" w:fill="auto"/>
          </w:tcPr>
          <w:p w14:paraId="5EA22A0F" w14:textId="77777777" w:rsidR="003C66EB" w:rsidRDefault="003C66EB">
            <w:pPr>
              <w:rPr>
                <w:rFonts w:ascii="宋体"/>
                <w:vanish/>
              </w:rPr>
            </w:pPr>
          </w:p>
        </w:tc>
        <w:tc>
          <w:tcPr>
            <w:tcW w:w="0" w:type="auto"/>
            <w:gridSpan w:val="3"/>
            <w:shd w:val="clear" w:color="auto" w:fill="auto"/>
          </w:tcPr>
          <w:p w14:paraId="5EA22A10" w14:textId="77777777" w:rsidR="003C66EB" w:rsidRDefault="003C66EB">
            <w:pPr>
              <w:rPr>
                <w:rFonts w:ascii="宋体"/>
                <w:vanish/>
              </w:rPr>
            </w:pPr>
          </w:p>
        </w:tc>
        <w:tc>
          <w:tcPr>
            <w:tcW w:w="0" w:type="auto"/>
            <w:gridSpan w:val="3"/>
            <w:shd w:val="clear" w:color="auto" w:fill="auto"/>
          </w:tcPr>
          <w:p w14:paraId="5EA22A11" w14:textId="77777777" w:rsidR="003C66EB" w:rsidRDefault="003C66EB">
            <w:pPr>
              <w:rPr>
                <w:rFonts w:ascii="宋体"/>
                <w:vanish/>
              </w:rPr>
            </w:pPr>
          </w:p>
        </w:tc>
        <w:tc>
          <w:tcPr>
            <w:tcW w:w="0" w:type="auto"/>
            <w:gridSpan w:val="3"/>
            <w:shd w:val="clear" w:color="auto" w:fill="auto"/>
          </w:tcPr>
          <w:p w14:paraId="5EA22A12" w14:textId="77777777" w:rsidR="003C66EB" w:rsidRDefault="003C66EB">
            <w:pPr>
              <w:rPr>
                <w:rFonts w:ascii="宋体"/>
                <w:vanish/>
              </w:rPr>
            </w:pPr>
          </w:p>
        </w:tc>
        <w:tc>
          <w:tcPr>
            <w:tcW w:w="0" w:type="auto"/>
            <w:gridSpan w:val="3"/>
            <w:shd w:val="clear" w:color="auto" w:fill="auto"/>
          </w:tcPr>
          <w:p w14:paraId="5EA22A13" w14:textId="77777777" w:rsidR="003C66EB" w:rsidRDefault="003C66EB">
            <w:pPr>
              <w:rPr>
                <w:rFonts w:ascii="宋体"/>
                <w:vanish/>
              </w:rPr>
            </w:pPr>
          </w:p>
        </w:tc>
        <w:tc>
          <w:tcPr>
            <w:tcW w:w="0" w:type="auto"/>
            <w:gridSpan w:val="3"/>
            <w:shd w:val="clear" w:color="auto" w:fill="auto"/>
          </w:tcPr>
          <w:p w14:paraId="5EA22A14" w14:textId="77777777" w:rsidR="003C66EB" w:rsidRDefault="003C66EB">
            <w:pPr>
              <w:rPr>
                <w:rFonts w:ascii="宋体"/>
                <w:vanish/>
              </w:rPr>
            </w:pPr>
          </w:p>
        </w:tc>
        <w:tc>
          <w:tcPr>
            <w:tcW w:w="0" w:type="auto"/>
            <w:gridSpan w:val="3"/>
            <w:shd w:val="clear" w:color="auto" w:fill="auto"/>
          </w:tcPr>
          <w:p w14:paraId="5EA22A15" w14:textId="77777777" w:rsidR="003C66EB" w:rsidRDefault="003C66EB">
            <w:pPr>
              <w:rPr>
                <w:rFonts w:ascii="宋体"/>
                <w:vanish/>
              </w:rPr>
            </w:pPr>
          </w:p>
        </w:tc>
      </w:tr>
      <w:tr w:rsidR="003C66EB" w14:paraId="5EA22A21" w14:textId="77777777">
        <w:trPr>
          <w:hidden/>
        </w:trPr>
        <w:tc>
          <w:tcPr>
            <w:tcW w:w="0" w:type="auto"/>
            <w:gridSpan w:val="3"/>
            <w:shd w:val="clear" w:color="auto" w:fill="auto"/>
          </w:tcPr>
          <w:p w14:paraId="5EA22A17" w14:textId="77777777" w:rsidR="003C66EB" w:rsidRDefault="003C66EB">
            <w:pPr>
              <w:rPr>
                <w:rFonts w:ascii="宋体"/>
                <w:vanish/>
              </w:rPr>
            </w:pPr>
          </w:p>
        </w:tc>
        <w:tc>
          <w:tcPr>
            <w:tcW w:w="0" w:type="auto"/>
            <w:gridSpan w:val="3"/>
            <w:shd w:val="clear" w:color="auto" w:fill="auto"/>
          </w:tcPr>
          <w:p w14:paraId="5EA22A18" w14:textId="77777777" w:rsidR="003C66EB" w:rsidRDefault="003C66EB">
            <w:pPr>
              <w:rPr>
                <w:rFonts w:ascii="宋体"/>
                <w:vanish/>
              </w:rPr>
            </w:pPr>
          </w:p>
        </w:tc>
        <w:tc>
          <w:tcPr>
            <w:tcW w:w="0" w:type="auto"/>
            <w:gridSpan w:val="3"/>
            <w:shd w:val="clear" w:color="auto" w:fill="auto"/>
          </w:tcPr>
          <w:p w14:paraId="5EA22A19" w14:textId="77777777" w:rsidR="003C66EB" w:rsidRDefault="003C66EB">
            <w:pPr>
              <w:rPr>
                <w:rFonts w:ascii="宋体"/>
                <w:vanish/>
              </w:rPr>
            </w:pPr>
          </w:p>
        </w:tc>
        <w:tc>
          <w:tcPr>
            <w:tcW w:w="0" w:type="auto"/>
            <w:gridSpan w:val="3"/>
            <w:shd w:val="clear" w:color="auto" w:fill="auto"/>
          </w:tcPr>
          <w:p w14:paraId="5EA22A1A" w14:textId="77777777" w:rsidR="003C66EB" w:rsidRDefault="003C66EB">
            <w:pPr>
              <w:rPr>
                <w:rFonts w:ascii="宋体"/>
                <w:vanish/>
              </w:rPr>
            </w:pPr>
          </w:p>
        </w:tc>
        <w:tc>
          <w:tcPr>
            <w:tcW w:w="0" w:type="auto"/>
            <w:gridSpan w:val="3"/>
            <w:shd w:val="clear" w:color="auto" w:fill="auto"/>
          </w:tcPr>
          <w:p w14:paraId="5EA22A1B" w14:textId="77777777" w:rsidR="003C66EB" w:rsidRDefault="003C66EB">
            <w:pPr>
              <w:rPr>
                <w:rFonts w:ascii="宋体"/>
                <w:vanish/>
              </w:rPr>
            </w:pPr>
          </w:p>
        </w:tc>
        <w:tc>
          <w:tcPr>
            <w:tcW w:w="0" w:type="auto"/>
            <w:gridSpan w:val="3"/>
            <w:shd w:val="clear" w:color="auto" w:fill="auto"/>
          </w:tcPr>
          <w:p w14:paraId="5EA22A1C" w14:textId="77777777" w:rsidR="003C66EB" w:rsidRDefault="003C66EB">
            <w:pPr>
              <w:rPr>
                <w:rFonts w:ascii="宋体"/>
                <w:vanish/>
              </w:rPr>
            </w:pPr>
          </w:p>
        </w:tc>
        <w:tc>
          <w:tcPr>
            <w:tcW w:w="0" w:type="auto"/>
            <w:gridSpan w:val="3"/>
            <w:shd w:val="clear" w:color="auto" w:fill="auto"/>
          </w:tcPr>
          <w:p w14:paraId="5EA22A1D" w14:textId="77777777" w:rsidR="003C66EB" w:rsidRDefault="003C66EB">
            <w:pPr>
              <w:rPr>
                <w:rFonts w:ascii="宋体"/>
                <w:vanish/>
              </w:rPr>
            </w:pPr>
          </w:p>
        </w:tc>
        <w:tc>
          <w:tcPr>
            <w:tcW w:w="0" w:type="auto"/>
            <w:gridSpan w:val="3"/>
            <w:shd w:val="clear" w:color="auto" w:fill="auto"/>
          </w:tcPr>
          <w:p w14:paraId="5EA22A1E" w14:textId="77777777" w:rsidR="003C66EB" w:rsidRDefault="003C66EB">
            <w:pPr>
              <w:rPr>
                <w:rFonts w:ascii="宋体"/>
                <w:vanish/>
              </w:rPr>
            </w:pPr>
          </w:p>
        </w:tc>
        <w:tc>
          <w:tcPr>
            <w:tcW w:w="0" w:type="auto"/>
            <w:gridSpan w:val="3"/>
            <w:shd w:val="clear" w:color="auto" w:fill="auto"/>
          </w:tcPr>
          <w:p w14:paraId="5EA22A1F" w14:textId="77777777" w:rsidR="003C66EB" w:rsidRDefault="003C66EB">
            <w:pPr>
              <w:rPr>
                <w:rFonts w:ascii="宋体"/>
                <w:vanish/>
              </w:rPr>
            </w:pPr>
          </w:p>
        </w:tc>
        <w:tc>
          <w:tcPr>
            <w:tcW w:w="0" w:type="auto"/>
            <w:gridSpan w:val="3"/>
            <w:shd w:val="clear" w:color="auto" w:fill="auto"/>
          </w:tcPr>
          <w:p w14:paraId="5EA22A20" w14:textId="77777777" w:rsidR="003C66EB" w:rsidRDefault="003C66EB">
            <w:pPr>
              <w:rPr>
                <w:rFonts w:ascii="宋体"/>
                <w:vanish/>
              </w:rPr>
            </w:pPr>
          </w:p>
        </w:tc>
      </w:tr>
      <w:tr w:rsidR="003C66EB" w14:paraId="5EA22A2C" w14:textId="77777777">
        <w:trPr>
          <w:hidden/>
        </w:trPr>
        <w:tc>
          <w:tcPr>
            <w:tcW w:w="0" w:type="auto"/>
            <w:gridSpan w:val="3"/>
            <w:shd w:val="clear" w:color="auto" w:fill="auto"/>
          </w:tcPr>
          <w:p w14:paraId="5EA22A22" w14:textId="77777777" w:rsidR="003C66EB" w:rsidRDefault="003C66EB">
            <w:pPr>
              <w:rPr>
                <w:rFonts w:ascii="宋体"/>
                <w:vanish/>
              </w:rPr>
            </w:pPr>
          </w:p>
        </w:tc>
        <w:tc>
          <w:tcPr>
            <w:tcW w:w="0" w:type="auto"/>
            <w:gridSpan w:val="3"/>
            <w:shd w:val="clear" w:color="auto" w:fill="auto"/>
          </w:tcPr>
          <w:p w14:paraId="5EA22A23" w14:textId="77777777" w:rsidR="003C66EB" w:rsidRDefault="003C66EB">
            <w:pPr>
              <w:rPr>
                <w:rFonts w:ascii="宋体"/>
                <w:vanish/>
              </w:rPr>
            </w:pPr>
          </w:p>
        </w:tc>
        <w:tc>
          <w:tcPr>
            <w:tcW w:w="0" w:type="auto"/>
            <w:gridSpan w:val="3"/>
            <w:shd w:val="clear" w:color="auto" w:fill="auto"/>
          </w:tcPr>
          <w:p w14:paraId="5EA22A24" w14:textId="77777777" w:rsidR="003C66EB" w:rsidRDefault="003C66EB">
            <w:pPr>
              <w:rPr>
                <w:rFonts w:ascii="宋体"/>
                <w:vanish/>
              </w:rPr>
            </w:pPr>
          </w:p>
        </w:tc>
        <w:tc>
          <w:tcPr>
            <w:tcW w:w="0" w:type="auto"/>
            <w:gridSpan w:val="3"/>
            <w:shd w:val="clear" w:color="auto" w:fill="auto"/>
          </w:tcPr>
          <w:p w14:paraId="5EA22A25" w14:textId="77777777" w:rsidR="003C66EB" w:rsidRDefault="003C66EB">
            <w:pPr>
              <w:rPr>
                <w:rFonts w:ascii="宋体"/>
                <w:vanish/>
              </w:rPr>
            </w:pPr>
          </w:p>
        </w:tc>
        <w:tc>
          <w:tcPr>
            <w:tcW w:w="0" w:type="auto"/>
            <w:gridSpan w:val="3"/>
            <w:shd w:val="clear" w:color="auto" w:fill="auto"/>
          </w:tcPr>
          <w:p w14:paraId="5EA22A26" w14:textId="77777777" w:rsidR="003C66EB" w:rsidRDefault="003C66EB">
            <w:pPr>
              <w:rPr>
                <w:rFonts w:ascii="宋体"/>
                <w:vanish/>
              </w:rPr>
            </w:pPr>
          </w:p>
        </w:tc>
        <w:tc>
          <w:tcPr>
            <w:tcW w:w="0" w:type="auto"/>
            <w:gridSpan w:val="3"/>
            <w:shd w:val="clear" w:color="auto" w:fill="auto"/>
          </w:tcPr>
          <w:p w14:paraId="5EA22A27" w14:textId="77777777" w:rsidR="003C66EB" w:rsidRDefault="003C66EB">
            <w:pPr>
              <w:rPr>
                <w:rFonts w:ascii="宋体"/>
                <w:vanish/>
              </w:rPr>
            </w:pPr>
          </w:p>
        </w:tc>
        <w:tc>
          <w:tcPr>
            <w:tcW w:w="0" w:type="auto"/>
            <w:gridSpan w:val="3"/>
            <w:shd w:val="clear" w:color="auto" w:fill="auto"/>
          </w:tcPr>
          <w:p w14:paraId="5EA22A28" w14:textId="77777777" w:rsidR="003C66EB" w:rsidRDefault="003C66EB">
            <w:pPr>
              <w:rPr>
                <w:rFonts w:ascii="宋体"/>
                <w:vanish/>
              </w:rPr>
            </w:pPr>
          </w:p>
        </w:tc>
        <w:tc>
          <w:tcPr>
            <w:tcW w:w="0" w:type="auto"/>
            <w:gridSpan w:val="3"/>
            <w:shd w:val="clear" w:color="auto" w:fill="auto"/>
          </w:tcPr>
          <w:p w14:paraId="5EA22A29" w14:textId="77777777" w:rsidR="003C66EB" w:rsidRDefault="003C66EB">
            <w:pPr>
              <w:rPr>
                <w:rFonts w:ascii="宋体"/>
                <w:vanish/>
              </w:rPr>
            </w:pPr>
          </w:p>
        </w:tc>
        <w:tc>
          <w:tcPr>
            <w:tcW w:w="0" w:type="auto"/>
            <w:gridSpan w:val="3"/>
            <w:shd w:val="clear" w:color="auto" w:fill="auto"/>
          </w:tcPr>
          <w:p w14:paraId="5EA22A2A" w14:textId="77777777" w:rsidR="003C66EB" w:rsidRDefault="003C66EB">
            <w:pPr>
              <w:rPr>
                <w:rFonts w:ascii="宋体"/>
                <w:vanish/>
              </w:rPr>
            </w:pPr>
          </w:p>
        </w:tc>
        <w:tc>
          <w:tcPr>
            <w:tcW w:w="0" w:type="auto"/>
            <w:gridSpan w:val="3"/>
            <w:shd w:val="clear" w:color="auto" w:fill="auto"/>
          </w:tcPr>
          <w:p w14:paraId="5EA22A2B" w14:textId="77777777" w:rsidR="003C66EB" w:rsidRDefault="003C66EB">
            <w:pPr>
              <w:rPr>
                <w:rFonts w:ascii="宋体"/>
                <w:vanish/>
              </w:rPr>
            </w:pPr>
          </w:p>
        </w:tc>
      </w:tr>
      <w:tr w:rsidR="003C66EB" w14:paraId="5EA22A37" w14:textId="77777777">
        <w:trPr>
          <w:hidden/>
        </w:trPr>
        <w:tc>
          <w:tcPr>
            <w:tcW w:w="0" w:type="auto"/>
            <w:gridSpan w:val="3"/>
            <w:shd w:val="clear" w:color="auto" w:fill="auto"/>
          </w:tcPr>
          <w:p w14:paraId="5EA22A2D" w14:textId="77777777" w:rsidR="003C66EB" w:rsidRDefault="003C66EB">
            <w:pPr>
              <w:rPr>
                <w:rFonts w:ascii="宋体"/>
                <w:vanish/>
              </w:rPr>
            </w:pPr>
          </w:p>
        </w:tc>
        <w:tc>
          <w:tcPr>
            <w:tcW w:w="0" w:type="auto"/>
            <w:gridSpan w:val="3"/>
            <w:shd w:val="clear" w:color="auto" w:fill="auto"/>
          </w:tcPr>
          <w:p w14:paraId="5EA22A2E" w14:textId="77777777" w:rsidR="003C66EB" w:rsidRDefault="003C66EB">
            <w:pPr>
              <w:rPr>
                <w:rFonts w:ascii="宋体"/>
                <w:vanish/>
              </w:rPr>
            </w:pPr>
          </w:p>
        </w:tc>
        <w:tc>
          <w:tcPr>
            <w:tcW w:w="0" w:type="auto"/>
            <w:gridSpan w:val="3"/>
            <w:shd w:val="clear" w:color="auto" w:fill="auto"/>
          </w:tcPr>
          <w:p w14:paraId="5EA22A2F" w14:textId="77777777" w:rsidR="003C66EB" w:rsidRDefault="003C66EB">
            <w:pPr>
              <w:rPr>
                <w:rFonts w:ascii="宋体"/>
                <w:vanish/>
              </w:rPr>
            </w:pPr>
          </w:p>
        </w:tc>
        <w:tc>
          <w:tcPr>
            <w:tcW w:w="0" w:type="auto"/>
            <w:gridSpan w:val="3"/>
            <w:shd w:val="clear" w:color="auto" w:fill="auto"/>
          </w:tcPr>
          <w:p w14:paraId="5EA22A30" w14:textId="77777777" w:rsidR="003C66EB" w:rsidRDefault="003C66EB">
            <w:pPr>
              <w:rPr>
                <w:rFonts w:ascii="宋体"/>
                <w:vanish/>
              </w:rPr>
            </w:pPr>
          </w:p>
        </w:tc>
        <w:tc>
          <w:tcPr>
            <w:tcW w:w="0" w:type="auto"/>
            <w:gridSpan w:val="3"/>
            <w:shd w:val="clear" w:color="auto" w:fill="auto"/>
          </w:tcPr>
          <w:p w14:paraId="5EA22A31" w14:textId="77777777" w:rsidR="003C66EB" w:rsidRDefault="003C66EB">
            <w:pPr>
              <w:rPr>
                <w:rFonts w:ascii="宋体"/>
                <w:vanish/>
              </w:rPr>
            </w:pPr>
          </w:p>
        </w:tc>
        <w:tc>
          <w:tcPr>
            <w:tcW w:w="0" w:type="auto"/>
            <w:gridSpan w:val="3"/>
            <w:shd w:val="clear" w:color="auto" w:fill="auto"/>
          </w:tcPr>
          <w:p w14:paraId="5EA22A32" w14:textId="77777777" w:rsidR="003C66EB" w:rsidRDefault="003C66EB">
            <w:pPr>
              <w:rPr>
                <w:rFonts w:ascii="宋体"/>
                <w:vanish/>
              </w:rPr>
            </w:pPr>
          </w:p>
        </w:tc>
        <w:tc>
          <w:tcPr>
            <w:tcW w:w="0" w:type="auto"/>
            <w:gridSpan w:val="3"/>
            <w:shd w:val="clear" w:color="auto" w:fill="auto"/>
          </w:tcPr>
          <w:p w14:paraId="5EA22A33" w14:textId="77777777" w:rsidR="003C66EB" w:rsidRDefault="003C66EB">
            <w:pPr>
              <w:rPr>
                <w:rFonts w:ascii="宋体"/>
                <w:vanish/>
              </w:rPr>
            </w:pPr>
          </w:p>
        </w:tc>
        <w:tc>
          <w:tcPr>
            <w:tcW w:w="0" w:type="auto"/>
            <w:gridSpan w:val="3"/>
            <w:shd w:val="clear" w:color="auto" w:fill="auto"/>
          </w:tcPr>
          <w:p w14:paraId="5EA22A34" w14:textId="77777777" w:rsidR="003C66EB" w:rsidRDefault="003C66EB">
            <w:pPr>
              <w:rPr>
                <w:rFonts w:ascii="宋体"/>
                <w:vanish/>
              </w:rPr>
            </w:pPr>
          </w:p>
        </w:tc>
        <w:tc>
          <w:tcPr>
            <w:tcW w:w="0" w:type="auto"/>
            <w:gridSpan w:val="3"/>
            <w:shd w:val="clear" w:color="auto" w:fill="auto"/>
          </w:tcPr>
          <w:p w14:paraId="5EA22A35" w14:textId="77777777" w:rsidR="003C66EB" w:rsidRDefault="003C66EB">
            <w:pPr>
              <w:rPr>
                <w:rFonts w:ascii="宋体"/>
                <w:vanish/>
              </w:rPr>
            </w:pPr>
          </w:p>
        </w:tc>
        <w:tc>
          <w:tcPr>
            <w:tcW w:w="0" w:type="auto"/>
            <w:gridSpan w:val="3"/>
            <w:shd w:val="clear" w:color="auto" w:fill="auto"/>
          </w:tcPr>
          <w:p w14:paraId="5EA22A36" w14:textId="77777777" w:rsidR="003C66EB" w:rsidRDefault="003C66EB">
            <w:pPr>
              <w:rPr>
                <w:rFonts w:ascii="宋体"/>
                <w:vanish/>
              </w:rPr>
            </w:pPr>
          </w:p>
        </w:tc>
      </w:tr>
      <w:tr w:rsidR="003C66EB" w14:paraId="5EA22A42" w14:textId="77777777">
        <w:trPr>
          <w:hidden/>
        </w:trPr>
        <w:tc>
          <w:tcPr>
            <w:tcW w:w="0" w:type="auto"/>
            <w:gridSpan w:val="3"/>
            <w:shd w:val="clear" w:color="auto" w:fill="auto"/>
          </w:tcPr>
          <w:p w14:paraId="5EA22A38" w14:textId="77777777" w:rsidR="003C66EB" w:rsidRDefault="003C66EB">
            <w:pPr>
              <w:rPr>
                <w:rFonts w:ascii="宋体"/>
                <w:vanish/>
              </w:rPr>
            </w:pPr>
          </w:p>
        </w:tc>
        <w:tc>
          <w:tcPr>
            <w:tcW w:w="0" w:type="auto"/>
            <w:gridSpan w:val="3"/>
            <w:shd w:val="clear" w:color="auto" w:fill="auto"/>
          </w:tcPr>
          <w:p w14:paraId="5EA22A39" w14:textId="77777777" w:rsidR="003C66EB" w:rsidRDefault="003C66EB">
            <w:pPr>
              <w:rPr>
                <w:rFonts w:ascii="宋体"/>
                <w:vanish/>
              </w:rPr>
            </w:pPr>
          </w:p>
        </w:tc>
        <w:tc>
          <w:tcPr>
            <w:tcW w:w="0" w:type="auto"/>
            <w:gridSpan w:val="3"/>
            <w:shd w:val="clear" w:color="auto" w:fill="auto"/>
          </w:tcPr>
          <w:p w14:paraId="5EA22A3A" w14:textId="77777777" w:rsidR="003C66EB" w:rsidRDefault="003C66EB">
            <w:pPr>
              <w:rPr>
                <w:rFonts w:ascii="宋体"/>
                <w:vanish/>
              </w:rPr>
            </w:pPr>
          </w:p>
        </w:tc>
        <w:tc>
          <w:tcPr>
            <w:tcW w:w="0" w:type="auto"/>
            <w:gridSpan w:val="3"/>
            <w:shd w:val="clear" w:color="auto" w:fill="auto"/>
          </w:tcPr>
          <w:p w14:paraId="5EA22A3B" w14:textId="77777777" w:rsidR="003C66EB" w:rsidRDefault="003C66EB">
            <w:pPr>
              <w:rPr>
                <w:rFonts w:ascii="宋体"/>
                <w:vanish/>
              </w:rPr>
            </w:pPr>
          </w:p>
        </w:tc>
        <w:tc>
          <w:tcPr>
            <w:tcW w:w="0" w:type="auto"/>
            <w:gridSpan w:val="3"/>
            <w:shd w:val="clear" w:color="auto" w:fill="auto"/>
          </w:tcPr>
          <w:p w14:paraId="5EA22A3C" w14:textId="77777777" w:rsidR="003C66EB" w:rsidRDefault="003C66EB">
            <w:pPr>
              <w:rPr>
                <w:rFonts w:ascii="宋体"/>
                <w:vanish/>
              </w:rPr>
            </w:pPr>
          </w:p>
        </w:tc>
        <w:tc>
          <w:tcPr>
            <w:tcW w:w="0" w:type="auto"/>
            <w:gridSpan w:val="3"/>
            <w:shd w:val="clear" w:color="auto" w:fill="auto"/>
          </w:tcPr>
          <w:p w14:paraId="5EA22A3D" w14:textId="77777777" w:rsidR="003C66EB" w:rsidRDefault="003C66EB">
            <w:pPr>
              <w:rPr>
                <w:rFonts w:ascii="宋体"/>
                <w:vanish/>
              </w:rPr>
            </w:pPr>
          </w:p>
        </w:tc>
        <w:tc>
          <w:tcPr>
            <w:tcW w:w="0" w:type="auto"/>
            <w:gridSpan w:val="3"/>
            <w:shd w:val="clear" w:color="auto" w:fill="auto"/>
          </w:tcPr>
          <w:p w14:paraId="5EA22A3E" w14:textId="77777777" w:rsidR="003C66EB" w:rsidRDefault="003C66EB">
            <w:pPr>
              <w:rPr>
                <w:rFonts w:ascii="宋体"/>
                <w:vanish/>
              </w:rPr>
            </w:pPr>
          </w:p>
        </w:tc>
        <w:tc>
          <w:tcPr>
            <w:tcW w:w="0" w:type="auto"/>
            <w:gridSpan w:val="3"/>
            <w:shd w:val="clear" w:color="auto" w:fill="auto"/>
          </w:tcPr>
          <w:p w14:paraId="5EA22A3F" w14:textId="77777777" w:rsidR="003C66EB" w:rsidRDefault="003C66EB">
            <w:pPr>
              <w:rPr>
                <w:rFonts w:ascii="宋体"/>
                <w:vanish/>
              </w:rPr>
            </w:pPr>
          </w:p>
        </w:tc>
        <w:tc>
          <w:tcPr>
            <w:tcW w:w="0" w:type="auto"/>
            <w:gridSpan w:val="3"/>
            <w:shd w:val="clear" w:color="auto" w:fill="auto"/>
          </w:tcPr>
          <w:p w14:paraId="5EA22A40" w14:textId="77777777" w:rsidR="003C66EB" w:rsidRDefault="003C66EB">
            <w:pPr>
              <w:rPr>
                <w:rFonts w:ascii="宋体"/>
                <w:vanish/>
              </w:rPr>
            </w:pPr>
          </w:p>
        </w:tc>
        <w:tc>
          <w:tcPr>
            <w:tcW w:w="0" w:type="auto"/>
            <w:gridSpan w:val="3"/>
            <w:shd w:val="clear" w:color="auto" w:fill="auto"/>
          </w:tcPr>
          <w:p w14:paraId="5EA22A41" w14:textId="77777777" w:rsidR="003C66EB" w:rsidRDefault="003C66EB">
            <w:pPr>
              <w:rPr>
                <w:rFonts w:ascii="宋体"/>
                <w:vanish/>
              </w:rPr>
            </w:pPr>
          </w:p>
        </w:tc>
      </w:tr>
      <w:tr w:rsidR="003C66EB" w14:paraId="5EA22A51" w14:textId="77777777">
        <w:tc>
          <w:tcPr>
            <w:tcW w:w="0" w:type="auto"/>
            <w:gridSpan w:val="3"/>
            <w:shd w:val="clear" w:color="auto" w:fill="FFFFFF"/>
            <w:tcMar>
              <w:top w:w="40" w:type="dxa"/>
              <w:left w:w="740" w:type="dxa"/>
              <w:bottom w:w="40" w:type="dxa"/>
              <w:right w:w="20" w:type="dxa"/>
            </w:tcMar>
            <w:vAlign w:val="bottom"/>
          </w:tcPr>
          <w:p w14:paraId="5EA22A43" w14:textId="77777777" w:rsidR="003C66EB" w:rsidRDefault="00D96C4E">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A44" w14:textId="77777777" w:rsidR="003C66EB" w:rsidRDefault="00D96C4E">
            <w:pPr>
              <w:jc w:val="right"/>
              <w:textAlignment w:val="bottom"/>
            </w:pPr>
            <w:r>
              <w:rPr>
                <w:rFonts w:ascii="Arial" w:eastAsia="宋体" w:hAnsi="Arial" w:cs="Arial"/>
                <w:b/>
                <w:bCs/>
                <w:color w:val="000000"/>
                <w:sz w:val="15"/>
                <w:szCs w:val="15"/>
              </w:rPr>
              <w:t>8,937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A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4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A47" w14:textId="77777777" w:rsidR="003C66EB" w:rsidRDefault="00D96C4E">
            <w:pPr>
              <w:jc w:val="right"/>
              <w:textAlignment w:val="bottom"/>
            </w:pPr>
            <w:r>
              <w:rPr>
                <w:rFonts w:ascii="Arial" w:eastAsia="宋体" w:hAnsi="Arial" w:cs="Arial"/>
                <w:b/>
                <w:bCs/>
                <w:color w:val="000000"/>
                <w:sz w:val="15"/>
                <w:szCs w:val="15"/>
              </w:rPr>
              <w:t>51,454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A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4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A4A" w14:textId="77777777" w:rsidR="003C66EB" w:rsidRDefault="00D96C4E">
            <w:pPr>
              <w:jc w:val="right"/>
              <w:textAlignment w:val="bottom"/>
            </w:pPr>
            <w:r>
              <w:rPr>
                <w:rFonts w:ascii="Arial" w:eastAsia="宋体" w:hAnsi="Arial" w:cs="Arial"/>
                <w:b/>
                <w:bCs/>
                <w:color w:val="000000"/>
                <w:sz w:val="15"/>
                <w:szCs w:val="15"/>
              </w:rPr>
              <w:t>121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A4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4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4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4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A4F" w14:textId="77777777" w:rsidR="003C66EB" w:rsidRDefault="00D96C4E">
            <w:pPr>
              <w:jc w:val="right"/>
              <w:textAlignment w:val="bottom"/>
            </w:pPr>
            <w:r>
              <w:rPr>
                <w:rFonts w:ascii="Arial" w:eastAsia="宋体" w:hAnsi="Arial" w:cs="Arial"/>
                <w:b/>
                <w:bCs/>
                <w:color w:val="000000"/>
                <w:sz w:val="15"/>
                <w:szCs w:val="15"/>
              </w:rPr>
              <w:t>60,512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A50" w14:textId="77777777" w:rsidR="003C66EB" w:rsidRDefault="003C66EB">
            <w:pPr>
              <w:jc w:val="right"/>
              <w:rPr>
                <w:rFonts w:ascii="宋体"/>
              </w:rPr>
            </w:pPr>
          </w:p>
        </w:tc>
      </w:tr>
      <w:tr w:rsidR="003C66EB" w14:paraId="5EA22A5C" w14:textId="77777777">
        <w:tc>
          <w:tcPr>
            <w:tcW w:w="0" w:type="auto"/>
            <w:gridSpan w:val="3"/>
            <w:shd w:val="clear" w:color="auto" w:fill="CCEEFF"/>
            <w:tcMar>
              <w:top w:w="40" w:type="dxa"/>
              <w:left w:w="20" w:type="dxa"/>
              <w:bottom w:w="40" w:type="dxa"/>
              <w:right w:w="20" w:type="dxa"/>
            </w:tcMar>
            <w:vAlign w:val="bottom"/>
          </w:tcPr>
          <w:p w14:paraId="5EA22A52" w14:textId="77777777" w:rsidR="003C66EB" w:rsidRDefault="00D96C4E">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tcPr>
          <w:p w14:paraId="5EA22A5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5B" w14:textId="77777777" w:rsidR="003C66EB" w:rsidRDefault="003C66EB">
            <w:pPr>
              <w:rPr>
                <w:rFonts w:ascii="宋体"/>
              </w:rPr>
            </w:pPr>
          </w:p>
        </w:tc>
      </w:tr>
      <w:tr w:rsidR="003C66EB" w14:paraId="5EA22A67" w14:textId="77777777">
        <w:tc>
          <w:tcPr>
            <w:tcW w:w="0" w:type="auto"/>
            <w:gridSpan w:val="3"/>
            <w:shd w:val="clear" w:color="auto" w:fill="FFFFFF"/>
            <w:tcMar>
              <w:top w:w="40" w:type="dxa"/>
              <w:left w:w="245" w:type="dxa"/>
              <w:bottom w:w="40" w:type="dxa"/>
              <w:right w:w="20" w:type="dxa"/>
            </w:tcMar>
            <w:vAlign w:val="bottom"/>
          </w:tcPr>
          <w:p w14:paraId="5EA22A5D" w14:textId="77777777" w:rsidR="003C66EB" w:rsidRDefault="00D96C4E">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5EA22A5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5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66" w14:textId="77777777" w:rsidR="003C66EB" w:rsidRDefault="003C66EB">
            <w:pPr>
              <w:rPr>
                <w:rFonts w:ascii="宋体"/>
              </w:rPr>
            </w:pPr>
          </w:p>
        </w:tc>
      </w:tr>
      <w:tr w:rsidR="003C66EB" w14:paraId="5EA22A78" w14:textId="77777777">
        <w:tc>
          <w:tcPr>
            <w:tcW w:w="0" w:type="auto"/>
            <w:gridSpan w:val="3"/>
            <w:shd w:val="clear" w:color="auto" w:fill="CCEEFF"/>
            <w:tcMar>
              <w:top w:w="40" w:type="dxa"/>
              <w:left w:w="515" w:type="dxa"/>
              <w:bottom w:w="40" w:type="dxa"/>
              <w:right w:w="20" w:type="dxa"/>
            </w:tcMar>
            <w:vAlign w:val="bottom"/>
          </w:tcPr>
          <w:p w14:paraId="5EA22A68" w14:textId="77777777" w:rsidR="003C66EB" w:rsidRDefault="00D96C4E">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EA22A69"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A6C" w14:textId="77777777" w:rsidR="003C66EB" w:rsidRDefault="00D96C4E">
            <w:pPr>
              <w:jc w:val="right"/>
              <w:textAlignment w:val="bottom"/>
            </w:pPr>
            <w:r>
              <w:rPr>
                <w:rFonts w:ascii="Arial" w:eastAsia="宋体" w:hAnsi="Arial" w:cs="Arial"/>
                <w:b/>
                <w:bCs/>
                <w:color w:val="000000"/>
                <w:sz w:val="15"/>
                <w:szCs w:val="15"/>
              </w:rPr>
              <w:t>21,892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6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A6F" w14:textId="77777777" w:rsidR="003C66EB" w:rsidRDefault="00D96C4E">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7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A7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A73" w14:textId="77777777" w:rsidR="003C66EB" w:rsidRDefault="00D96C4E">
            <w:pPr>
              <w:jc w:val="right"/>
              <w:textAlignment w:val="bottom"/>
            </w:pPr>
            <w:r>
              <w:rPr>
                <w:rFonts w:ascii="Arial" w:eastAsia="宋体" w:hAnsi="Arial" w:cs="Arial"/>
                <w:b/>
                <w:bCs/>
                <w:color w:val="000000"/>
                <w:sz w:val="15"/>
                <w:szCs w:val="15"/>
              </w:rPr>
              <w:t>(13,728)</w:t>
            </w:r>
          </w:p>
        </w:tc>
        <w:tc>
          <w:tcPr>
            <w:tcW w:w="0" w:type="auto"/>
            <w:shd w:val="clear" w:color="auto" w:fill="CCEEFF"/>
            <w:tcMar>
              <w:top w:w="40" w:type="dxa"/>
              <w:left w:w="0" w:type="dxa"/>
              <w:bottom w:w="40" w:type="dxa"/>
              <w:right w:w="20" w:type="dxa"/>
            </w:tcMar>
            <w:vAlign w:val="bottom"/>
          </w:tcPr>
          <w:p w14:paraId="5EA22A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7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A76" w14:textId="77777777" w:rsidR="003C66EB" w:rsidRDefault="00D96C4E">
            <w:pPr>
              <w:jc w:val="right"/>
              <w:textAlignment w:val="bottom"/>
            </w:pPr>
            <w:r>
              <w:rPr>
                <w:rFonts w:ascii="Arial" w:eastAsia="宋体" w:hAnsi="Arial" w:cs="Arial"/>
                <w:b/>
                <w:bCs/>
                <w:color w:val="000000"/>
                <w:sz w:val="15"/>
                <w:szCs w:val="15"/>
              </w:rPr>
              <w:t>8,170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A77" w14:textId="77777777" w:rsidR="003C66EB" w:rsidRDefault="003C66EB">
            <w:pPr>
              <w:jc w:val="right"/>
              <w:rPr>
                <w:rFonts w:ascii="宋体"/>
              </w:rPr>
            </w:pPr>
          </w:p>
        </w:tc>
      </w:tr>
      <w:tr w:rsidR="003C66EB" w14:paraId="5EA22A88" w14:textId="77777777">
        <w:tc>
          <w:tcPr>
            <w:tcW w:w="0" w:type="auto"/>
            <w:gridSpan w:val="3"/>
            <w:shd w:val="clear" w:color="auto" w:fill="FFFFFF"/>
            <w:tcMar>
              <w:top w:w="40" w:type="dxa"/>
              <w:left w:w="515" w:type="dxa"/>
              <w:bottom w:w="40" w:type="dxa"/>
              <w:right w:w="20" w:type="dxa"/>
            </w:tcMar>
            <w:vAlign w:val="bottom"/>
          </w:tcPr>
          <w:p w14:paraId="5EA22A79" w14:textId="77777777" w:rsidR="003C66EB" w:rsidRDefault="00D96C4E">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A22A7A"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7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7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7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7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7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80"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8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8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83"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A22A8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8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8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87" w14:textId="77777777" w:rsidR="003C66EB" w:rsidRDefault="003C66EB">
            <w:pPr>
              <w:jc w:val="right"/>
              <w:rPr>
                <w:rFonts w:ascii="宋体"/>
              </w:rPr>
            </w:pPr>
          </w:p>
        </w:tc>
      </w:tr>
      <w:tr w:rsidR="003C66EB" w14:paraId="5EA22A93" w14:textId="77777777">
        <w:trPr>
          <w:hidden/>
        </w:trPr>
        <w:tc>
          <w:tcPr>
            <w:tcW w:w="0" w:type="auto"/>
            <w:gridSpan w:val="3"/>
            <w:shd w:val="clear" w:color="auto" w:fill="auto"/>
          </w:tcPr>
          <w:p w14:paraId="5EA22A89" w14:textId="77777777" w:rsidR="003C66EB" w:rsidRDefault="003C66EB">
            <w:pPr>
              <w:rPr>
                <w:rFonts w:ascii="宋体"/>
                <w:vanish/>
              </w:rPr>
            </w:pPr>
          </w:p>
        </w:tc>
        <w:tc>
          <w:tcPr>
            <w:tcW w:w="0" w:type="auto"/>
            <w:gridSpan w:val="3"/>
            <w:shd w:val="clear" w:color="auto" w:fill="auto"/>
          </w:tcPr>
          <w:p w14:paraId="5EA22A8A" w14:textId="77777777" w:rsidR="003C66EB" w:rsidRDefault="003C66EB">
            <w:pPr>
              <w:rPr>
                <w:rFonts w:ascii="宋体"/>
                <w:vanish/>
              </w:rPr>
            </w:pPr>
          </w:p>
        </w:tc>
        <w:tc>
          <w:tcPr>
            <w:tcW w:w="0" w:type="auto"/>
            <w:gridSpan w:val="3"/>
            <w:shd w:val="clear" w:color="auto" w:fill="auto"/>
          </w:tcPr>
          <w:p w14:paraId="5EA22A8B" w14:textId="77777777" w:rsidR="003C66EB" w:rsidRDefault="003C66EB">
            <w:pPr>
              <w:rPr>
                <w:rFonts w:ascii="宋体"/>
                <w:vanish/>
              </w:rPr>
            </w:pPr>
          </w:p>
        </w:tc>
        <w:tc>
          <w:tcPr>
            <w:tcW w:w="0" w:type="auto"/>
            <w:gridSpan w:val="3"/>
            <w:shd w:val="clear" w:color="auto" w:fill="auto"/>
          </w:tcPr>
          <w:p w14:paraId="5EA22A8C" w14:textId="77777777" w:rsidR="003C66EB" w:rsidRDefault="003C66EB">
            <w:pPr>
              <w:rPr>
                <w:rFonts w:ascii="宋体"/>
                <w:vanish/>
              </w:rPr>
            </w:pPr>
          </w:p>
        </w:tc>
        <w:tc>
          <w:tcPr>
            <w:tcW w:w="0" w:type="auto"/>
            <w:gridSpan w:val="3"/>
            <w:shd w:val="clear" w:color="auto" w:fill="auto"/>
          </w:tcPr>
          <w:p w14:paraId="5EA22A8D" w14:textId="77777777" w:rsidR="003C66EB" w:rsidRDefault="003C66EB">
            <w:pPr>
              <w:rPr>
                <w:rFonts w:ascii="宋体"/>
                <w:vanish/>
              </w:rPr>
            </w:pPr>
          </w:p>
        </w:tc>
        <w:tc>
          <w:tcPr>
            <w:tcW w:w="0" w:type="auto"/>
            <w:gridSpan w:val="3"/>
            <w:shd w:val="clear" w:color="auto" w:fill="auto"/>
          </w:tcPr>
          <w:p w14:paraId="5EA22A8E" w14:textId="77777777" w:rsidR="003C66EB" w:rsidRDefault="003C66EB">
            <w:pPr>
              <w:rPr>
                <w:rFonts w:ascii="宋体"/>
                <w:vanish/>
              </w:rPr>
            </w:pPr>
          </w:p>
        </w:tc>
        <w:tc>
          <w:tcPr>
            <w:tcW w:w="0" w:type="auto"/>
            <w:gridSpan w:val="3"/>
            <w:shd w:val="clear" w:color="auto" w:fill="auto"/>
          </w:tcPr>
          <w:p w14:paraId="5EA22A8F" w14:textId="77777777" w:rsidR="003C66EB" w:rsidRDefault="003C66EB">
            <w:pPr>
              <w:rPr>
                <w:rFonts w:ascii="宋体"/>
                <w:vanish/>
              </w:rPr>
            </w:pPr>
          </w:p>
        </w:tc>
        <w:tc>
          <w:tcPr>
            <w:tcW w:w="0" w:type="auto"/>
            <w:gridSpan w:val="3"/>
            <w:shd w:val="clear" w:color="auto" w:fill="auto"/>
          </w:tcPr>
          <w:p w14:paraId="5EA22A90" w14:textId="77777777" w:rsidR="003C66EB" w:rsidRDefault="003C66EB">
            <w:pPr>
              <w:rPr>
                <w:rFonts w:ascii="宋体"/>
                <w:vanish/>
              </w:rPr>
            </w:pPr>
          </w:p>
        </w:tc>
        <w:tc>
          <w:tcPr>
            <w:tcW w:w="0" w:type="auto"/>
            <w:gridSpan w:val="3"/>
            <w:shd w:val="clear" w:color="auto" w:fill="auto"/>
          </w:tcPr>
          <w:p w14:paraId="5EA22A91" w14:textId="77777777" w:rsidR="003C66EB" w:rsidRDefault="003C66EB">
            <w:pPr>
              <w:rPr>
                <w:rFonts w:ascii="宋体"/>
                <w:vanish/>
              </w:rPr>
            </w:pPr>
          </w:p>
        </w:tc>
        <w:tc>
          <w:tcPr>
            <w:tcW w:w="0" w:type="auto"/>
            <w:gridSpan w:val="3"/>
            <w:shd w:val="clear" w:color="auto" w:fill="auto"/>
          </w:tcPr>
          <w:p w14:paraId="5EA22A92" w14:textId="77777777" w:rsidR="003C66EB" w:rsidRDefault="003C66EB">
            <w:pPr>
              <w:rPr>
                <w:rFonts w:ascii="宋体"/>
                <w:vanish/>
              </w:rPr>
            </w:pPr>
          </w:p>
        </w:tc>
      </w:tr>
      <w:tr w:rsidR="003C66EB" w14:paraId="5EA22AA3" w14:textId="77777777">
        <w:tc>
          <w:tcPr>
            <w:tcW w:w="0" w:type="auto"/>
            <w:gridSpan w:val="3"/>
            <w:shd w:val="clear" w:color="auto" w:fill="CCEEFF"/>
            <w:tcMar>
              <w:top w:w="40" w:type="dxa"/>
              <w:left w:w="740" w:type="dxa"/>
              <w:bottom w:w="40" w:type="dxa"/>
              <w:right w:w="20" w:type="dxa"/>
            </w:tcMar>
            <w:vAlign w:val="bottom"/>
          </w:tcPr>
          <w:p w14:paraId="5EA22A94" w14:textId="77777777" w:rsidR="003C66EB" w:rsidRDefault="00D96C4E">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A95"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9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A98" w14:textId="77777777" w:rsidR="003C66EB" w:rsidRDefault="00D96C4E">
            <w:pPr>
              <w:jc w:val="right"/>
              <w:textAlignment w:val="bottom"/>
            </w:pPr>
            <w:r>
              <w:rPr>
                <w:rFonts w:ascii="Arial" w:eastAsia="宋体" w:hAnsi="Arial" w:cs="Arial"/>
                <w:b/>
                <w:bCs/>
                <w:color w:val="000000"/>
                <w:sz w:val="15"/>
                <w:szCs w:val="15"/>
              </w:rPr>
              <w:t>21,892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9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9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A9B" w14:textId="77777777" w:rsidR="003C66EB" w:rsidRDefault="00D96C4E">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9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9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A9E" w14:textId="77777777" w:rsidR="003C66EB" w:rsidRDefault="00D96C4E">
            <w:pPr>
              <w:jc w:val="right"/>
              <w:textAlignment w:val="bottom"/>
            </w:pPr>
            <w:r>
              <w:rPr>
                <w:rFonts w:ascii="Arial" w:eastAsia="宋体" w:hAnsi="Arial" w:cs="Arial"/>
                <w:b/>
                <w:bCs/>
                <w:color w:val="000000"/>
                <w:sz w:val="15"/>
                <w:szCs w:val="15"/>
              </w:rPr>
              <w:t>(13,729)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A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AA1" w14:textId="77777777" w:rsidR="003C66EB" w:rsidRDefault="00D96C4E">
            <w:pPr>
              <w:jc w:val="right"/>
              <w:textAlignment w:val="bottom"/>
            </w:pPr>
            <w:r>
              <w:rPr>
                <w:rFonts w:ascii="Arial" w:eastAsia="宋体" w:hAnsi="Arial" w:cs="Arial"/>
                <w:b/>
                <w:bCs/>
                <w:color w:val="000000"/>
                <w:sz w:val="15"/>
                <w:szCs w:val="15"/>
              </w:rPr>
              <w:t>8,170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A2" w14:textId="77777777" w:rsidR="003C66EB" w:rsidRDefault="003C66EB">
            <w:pPr>
              <w:jc w:val="right"/>
              <w:rPr>
                <w:rFonts w:ascii="宋体"/>
              </w:rPr>
            </w:pPr>
          </w:p>
        </w:tc>
      </w:tr>
      <w:tr w:rsidR="003C66EB" w14:paraId="5EA22AAE" w14:textId="77777777">
        <w:trPr>
          <w:hidden/>
        </w:trPr>
        <w:tc>
          <w:tcPr>
            <w:tcW w:w="0" w:type="auto"/>
            <w:gridSpan w:val="3"/>
            <w:shd w:val="clear" w:color="auto" w:fill="auto"/>
          </w:tcPr>
          <w:p w14:paraId="5EA22AA4" w14:textId="77777777" w:rsidR="003C66EB" w:rsidRDefault="003C66EB">
            <w:pPr>
              <w:rPr>
                <w:rFonts w:ascii="宋体"/>
                <w:vanish/>
              </w:rPr>
            </w:pPr>
          </w:p>
        </w:tc>
        <w:tc>
          <w:tcPr>
            <w:tcW w:w="0" w:type="auto"/>
            <w:gridSpan w:val="3"/>
            <w:shd w:val="clear" w:color="auto" w:fill="auto"/>
          </w:tcPr>
          <w:p w14:paraId="5EA22AA5" w14:textId="77777777" w:rsidR="003C66EB" w:rsidRDefault="003C66EB">
            <w:pPr>
              <w:rPr>
                <w:rFonts w:ascii="宋体"/>
                <w:vanish/>
              </w:rPr>
            </w:pPr>
          </w:p>
        </w:tc>
        <w:tc>
          <w:tcPr>
            <w:tcW w:w="0" w:type="auto"/>
            <w:gridSpan w:val="3"/>
            <w:shd w:val="clear" w:color="auto" w:fill="auto"/>
          </w:tcPr>
          <w:p w14:paraId="5EA22AA6" w14:textId="77777777" w:rsidR="003C66EB" w:rsidRDefault="003C66EB">
            <w:pPr>
              <w:rPr>
                <w:rFonts w:ascii="宋体"/>
                <w:vanish/>
              </w:rPr>
            </w:pPr>
          </w:p>
        </w:tc>
        <w:tc>
          <w:tcPr>
            <w:tcW w:w="0" w:type="auto"/>
            <w:gridSpan w:val="3"/>
            <w:shd w:val="clear" w:color="auto" w:fill="auto"/>
          </w:tcPr>
          <w:p w14:paraId="5EA22AA7" w14:textId="77777777" w:rsidR="003C66EB" w:rsidRDefault="003C66EB">
            <w:pPr>
              <w:rPr>
                <w:rFonts w:ascii="宋体"/>
                <w:vanish/>
              </w:rPr>
            </w:pPr>
          </w:p>
        </w:tc>
        <w:tc>
          <w:tcPr>
            <w:tcW w:w="0" w:type="auto"/>
            <w:gridSpan w:val="3"/>
            <w:shd w:val="clear" w:color="auto" w:fill="auto"/>
          </w:tcPr>
          <w:p w14:paraId="5EA22AA8" w14:textId="77777777" w:rsidR="003C66EB" w:rsidRDefault="003C66EB">
            <w:pPr>
              <w:rPr>
                <w:rFonts w:ascii="宋体"/>
                <w:vanish/>
              </w:rPr>
            </w:pPr>
          </w:p>
        </w:tc>
        <w:tc>
          <w:tcPr>
            <w:tcW w:w="0" w:type="auto"/>
            <w:gridSpan w:val="3"/>
            <w:shd w:val="clear" w:color="auto" w:fill="auto"/>
          </w:tcPr>
          <w:p w14:paraId="5EA22AA9" w14:textId="77777777" w:rsidR="003C66EB" w:rsidRDefault="003C66EB">
            <w:pPr>
              <w:rPr>
                <w:rFonts w:ascii="宋体"/>
                <w:vanish/>
              </w:rPr>
            </w:pPr>
          </w:p>
        </w:tc>
        <w:tc>
          <w:tcPr>
            <w:tcW w:w="0" w:type="auto"/>
            <w:gridSpan w:val="3"/>
            <w:shd w:val="clear" w:color="auto" w:fill="auto"/>
          </w:tcPr>
          <w:p w14:paraId="5EA22AAA" w14:textId="77777777" w:rsidR="003C66EB" w:rsidRDefault="003C66EB">
            <w:pPr>
              <w:rPr>
                <w:rFonts w:ascii="宋体"/>
                <w:vanish/>
              </w:rPr>
            </w:pPr>
          </w:p>
        </w:tc>
        <w:tc>
          <w:tcPr>
            <w:tcW w:w="0" w:type="auto"/>
            <w:gridSpan w:val="3"/>
            <w:shd w:val="clear" w:color="auto" w:fill="auto"/>
          </w:tcPr>
          <w:p w14:paraId="5EA22AAB" w14:textId="77777777" w:rsidR="003C66EB" w:rsidRDefault="003C66EB">
            <w:pPr>
              <w:rPr>
                <w:rFonts w:ascii="宋体"/>
                <w:vanish/>
              </w:rPr>
            </w:pPr>
          </w:p>
        </w:tc>
        <w:tc>
          <w:tcPr>
            <w:tcW w:w="0" w:type="auto"/>
            <w:gridSpan w:val="3"/>
            <w:shd w:val="clear" w:color="auto" w:fill="auto"/>
          </w:tcPr>
          <w:p w14:paraId="5EA22AAC" w14:textId="77777777" w:rsidR="003C66EB" w:rsidRDefault="003C66EB">
            <w:pPr>
              <w:rPr>
                <w:rFonts w:ascii="宋体"/>
                <w:vanish/>
              </w:rPr>
            </w:pPr>
          </w:p>
        </w:tc>
        <w:tc>
          <w:tcPr>
            <w:tcW w:w="0" w:type="auto"/>
            <w:gridSpan w:val="3"/>
            <w:shd w:val="clear" w:color="auto" w:fill="auto"/>
          </w:tcPr>
          <w:p w14:paraId="5EA22AAD" w14:textId="77777777" w:rsidR="003C66EB" w:rsidRDefault="003C66EB">
            <w:pPr>
              <w:rPr>
                <w:rFonts w:ascii="宋体"/>
                <w:vanish/>
              </w:rPr>
            </w:pPr>
          </w:p>
        </w:tc>
      </w:tr>
      <w:tr w:rsidR="003C66EB" w14:paraId="5EA22AB9" w14:textId="77777777">
        <w:trPr>
          <w:hidden/>
        </w:trPr>
        <w:tc>
          <w:tcPr>
            <w:tcW w:w="0" w:type="auto"/>
            <w:gridSpan w:val="3"/>
            <w:shd w:val="clear" w:color="auto" w:fill="auto"/>
          </w:tcPr>
          <w:p w14:paraId="5EA22AAF" w14:textId="77777777" w:rsidR="003C66EB" w:rsidRDefault="003C66EB">
            <w:pPr>
              <w:rPr>
                <w:rFonts w:ascii="宋体"/>
                <w:vanish/>
              </w:rPr>
            </w:pPr>
          </w:p>
        </w:tc>
        <w:tc>
          <w:tcPr>
            <w:tcW w:w="0" w:type="auto"/>
            <w:gridSpan w:val="3"/>
            <w:shd w:val="clear" w:color="auto" w:fill="auto"/>
          </w:tcPr>
          <w:p w14:paraId="5EA22AB0" w14:textId="77777777" w:rsidR="003C66EB" w:rsidRDefault="003C66EB">
            <w:pPr>
              <w:rPr>
                <w:rFonts w:ascii="宋体"/>
                <w:vanish/>
              </w:rPr>
            </w:pPr>
          </w:p>
        </w:tc>
        <w:tc>
          <w:tcPr>
            <w:tcW w:w="0" w:type="auto"/>
            <w:gridSpan w:val="3"/>
            <w:shd w:val="clear" w:color="auto" w:fill="auto"/>
          </w:tcPr>
          <w:p w14:paraId="5EA22AB1" w14:textId="77777777" w:rsidR="003C66EB" w:rsidRDefault="003C66EB">
            <w:pPr>
              <w:rPr>
                <w:rFonts w:ascii="宋体"/>
                <w:vanish/>
              </w:rPr>
            </w:pPr>
          </w:p>
        </w:tc>
        <w:tc>
          <w:tcPr>
            <w:tcW w:w="0" w:type="auto"/>
            <w:gridSpan w:val="3"/>
            <w:shd w:val="clear" w:color="auto" w:fill="auto"/>
          </w:tcPr>
          <w:p w14:paraId="5EA22AB2" w14:textId="77777777" w:rsidR="003C66EB" w:rsidRDefault="003C66EB">
            <w:pPr>
              <w:rPr>
                <w:rFonts w:ascii="宋体"/>
                <w:vanish/>
              </w:rPr>
            </w:pPr>
          </w:p>
        </w:tc>
        <w:tc>
          <w:tcPr>
            <w:tcW w:w="0" w:type="auto"/>
            <w:gridSpan w:val="3"/>
            <w:shd w:val="clear" w:color="auto" w:fill="auto"/>
          </w:tcPr>
          <w:p w14:paraId="5EA22AB3" w14:textId="77777777" w:rsidR="003C66EB" w:rsidRDefault="003C66EB">
            <w:pPr>
              <w:rPr>
                <w:rFonts w:ascii="宋体"/>
                <w:vanish/>
              </w:rPr>
            </w:pPr>
          </w:p>
        </w:tc>
        <w:tc>
          <w:tcPr>
            <w:tcW w:w="0" w:type="auto"/>
            <w:gridSpan w:val="3"/>
            <w:shd w:val="clear" w:color="auto" w:fill="auto"/>
          </w:tcPr>
          <w:p w14:paraId="5EA22AB4" w14:textId="77777777" w:rsidR="003C66EB" w:rsidRDefault="003C66EB">
            <w:pPr>
              <w:rPr>
                <w:rFonts w:ascii="宋体"/>
                <w:vanish/>
              </w:rPr>
            </w:pPr>
          </w:p>
        </w:tc>
        <w:tc>
          <w:tcPr>
            <w:tcW w:w="0" w:type="auto"/>
            <w:gridSpan w:val="3"/>
            <w:shd w:val="clear" w:color="auto" w:fill="auto"/>
          </w:tcPr>
          <w:p w14:paraId="5EA22AB5" w14:textId="77777777" w:rsidR="003C66EB" w:rsidRDefault="003C66EB">
            <w:pPr>
              <w:rPr>
                <w:rFonts w:ascii="宋体"/>
                <w:vanish/>
              </w:rPr>
            </w:pPr>
          </w:p>
        </w:tc>
        <w:tc>
          <w:tcPr>
            <w:tcW w:w="0" w:type="auto"/>
            <w:gridSpan w:val="3"/>
            <w:shd w:val="clear" w:color="auto" w:fill="auto"/>
          </w:tcPr>
          <w:p w14:paraId="5EA22AB6" w14:textId="77777777" w:rsidR="003C66EB" w:rsidRDefault="003C66EB">
            <w:pPr>
              <w:rPr>
                <w:rFonts w:ascii="宋体"/>
                <w:vanish/>
              </w:rPr>
            </w:pPr>
          </w:p>
        </w:tc>
        <w:tc>
          <w:tcPr>
            <w:tcW w:w="0" w:type="auto"/>
            <w:gridSpan w:val="3"/>
            <w:shd w:val="clear" w:color="auto" w:fill="auto"/>
          </w:tcPr>
          <w:p w14:paraId="5EA22AB7" w14:textId="77777777" w:rsidR="003C66EB" w:rsidRDefault="003C66EB">
            <w:pPr>
              <w:rPr>
                <w:rFonts w:ascii="宋体"/>
                <w:vanish/>
              </w:rPr>
            </w:pPr>
          </w:p>
        </w:tc>
        <w:tc>
          <w:tcPr>
            <w:tcW w:w="0" w:type="auto"/>
            <w:gridSpan w:val="3"/>
            <w:shd w:val="clear" w:color="auto" w:fill="auto"/>
          </w:tcPr>
          <w:p w14:paraId="5EA22AB8" w14:textId="77777777" w:rsidR="003C66EB" w:rsidRDefault="003C66EB">
            <w:pPr>
              <w:rPr>
                <w:rFonts w:ascii="宋体"/>
                <w:vanish/>
              </w:rPr>
            </w:pPr>
          </w:p>
        </w:tc>
      </w:tr>
      <w:tr w:rsidR="003C66EB" w14:paraId="5EA22AC9" w14:textId="77777777">
        <w:tc>
          <w:tcPr>
            <w:tcW w:w="0" w:type="auto"/>
            <w:gridSpan w:val="3"/>
            <w:shd w:val="clear" w:color="auto" w:fill="FFFFFF"/>
            <w:tcMar>
              <w:top w:w="40" w:type="dxa"/>
              <w:left w:w="245" w:type="dxa"/>
              <w:bottom w:w="40" w:type="dxa"/>
              <w:right w:w="20" w:type="dxa"/>
            </w:tcMar>
            <w:vAlign w:val="bottom"/>
          </w:tcPr>
          <w:p w14:paraId="5EA22ABA" w14:textId="77777777" w:rsidR="003C66EB" w:rsidRDefault="00D96C4E">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A22ABB"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B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B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BE" w14:textId="77777777" w:rsidR="003C66EB" w:rsidRDefault="00D96C4E">
            <w:pPr>
              <w:jc w:val="right"/>
              <w:textAlignment w:val="bottom"/>
            </w:pPr>
            <w:r>
              <w:rPr>
                <w:rFonts w:ascii="Arial" w:eastAsia="宋体" w:hAnsi="Arial" w:cs="Arial"/>
                <w:b/>
                <w:bCs/>
                <w:color w:val="000000"/>
                <w:sz w:val="15"/>
                <w:szCs w:val="15"/>
              </w:rPr>
              <w:t>549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B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C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C1"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C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C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C4"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C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AC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AC7" w14:textId="77777777" w:rsidR="003C66EB" w:rsidRDefault="00D96C4E">
            <w:pPr>
              <w:jc w:val="right"/>
              <w:textAlignment w:val="bottom"/>
            </w:pPr>
            <w:r>
              <w:rPr>
                <w:rFonts w:ascii="Arial" w:eastAsia="宋体" w:hAnsi="Arial" w:cs="Arial"/>
                <w:b/>
                <w:bCs/>
                <w:color w:val="000000"/>
                <w:sz w:val="15"/>
                <w:szCs w:val="15"/>
              </w:rPr>
              <w:t>549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AC8" w14:textId="77777777" w:rsidR="003C66EB" w:rsidRDefault="003C66EB">
            <w:pPr>
              <w:jc w:val="right"/>
              <w:rPr>
                <w:rFonts w:ascii="宋体"/>
              </w:rPr>
            </w:pPr>
          </w:p>
        </w:tc>
      </w:tr>
      <w:tr w:rsidR="003C66EB" w14:paraId="5EA22ADE" w14:textId="77777777">
        <w:tc>
          <w:tcPr>
            <w:tcW w:w="0" w:type="auto"/>
            <w:gridSpan w:val="3"/>
            <w:shd w:val="clear" w:color="auto" w:fill="CCEEFF"/>
            <w:tcMar>
              <w:top w:w="40" w:type="dxa"/>
              <w:left w:w="20" w:type="dxa"/>
              <w:bottom w:w="40" w:type="dxa"/>
              <w:right w:w="20" w:type="dxa"/>
            </w:tcMar>
            <w:vAlign w:val="bottom"/>
          </w:tcPr>
          <w:p w14:paraId="5EA22ACA" w14:textId="77777777" w:rsidR="003C66EB" w:rsidRDefault="00D96C4E">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2ACB"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ACC" w14:textId="77777777" w:rsidR="003C66EB" w:rsidRDefault="00D96C4E">
            <w:pPr>
              <w:jc w:val="right"/>
              <w:textAlignment w:val="bottom"/>
            </w:pPr>
            <w:r>
              <w:rPr>
                <w:rFonts w:ascii="Arial" w:eastAsia="宋体" w:hAnsi="Arial" w:cs="Arial"/>
                <w:b/>
                <w:bCs/>
                <w:color w:val="000000"/>
                <w:sz w:val="15"/>
                <w:szCs w:val="15"/>
              </w:rPr>
              <w:t>8,978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C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ACF"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AD0" w14:textId="77777777" w:rsidR="003C66EB" w:rsidRDefault="00D96C4E">
            <w:pPr>
              <w:jc w:val="right"/>
              <w:textAlignment w:val="bottom"/>
            </w:pPr>
            <w:r>
              <w:rPr>
                <w:rFonts w:ascii="Arial" w:eastAsia="宋体" w:hAnsi="Arial" w:cs="Arial"/>
                <w:b/>
                <w:bCs/>
                <w:color w:val="000000"/>
                <w:sz w:val="15"/>
                <w:szCs w:val="15"/>
              </w:rPr>
              <w:t>74,641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D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AD3"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AD4" w14:textId="77777777" w:rsidR="003C66EB" w:rsidRDefault="00D96C4E">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D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AD7"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AD8" w14:textId="77777777" w:rsidR="003C66EB" w:rsidRDefault="00D96C4E">
            <w:pPr>
              <w:jc w:val="right"/>
              <w:textAlignment w:val="bottom"/>
            </w:pPr>
            <w:r>
              <w:rPr>
                <w:rFonts w:ascii="Arial" w:eastAsia="宋体" w:hAnsi="Arial" w:cs="Arial"/>
                <w:b/>
                <w:bCs/>
                <w:color w:val="000000"/>
                <w:sz w:val="15"/>
                <w:szCs w:val="15"/>
              </w:rPr>
              <w:t>(13,729)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AD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ADB"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ADC" w14:textId="77777777" w:rsidR="003C66EB" w:rsidRDefault="00D96C4E">
            <w:pPr>
              <w:jc w:val="right"/>
              <w:textAlignment w:val="bottom"/>
            </w:pPr>
            <w:r>
              <w:rPr>
                <w:rFonts w:ascii="Arial" w:eastAsia="宋体" w:hAnsi="Arial" w:cs="Arial"/>
                <w:b/>
                <w:bCs/>
                <w:color w:val="000000"/>
                <w:sz w:val="15"/>
                <w:szCs w:val="15"/>
              </w:rPr>
              <w:t>70,017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ADD" w14:textId="77777777" w:rsidR="003C66EB" w:rsidRDefault="003C66EB">
            <w:pPr>
              <w:jc w:val="right"/>
              <w:rPr>
                <w:rFonts w:ascii="宋体"/>
              </w:rPr>
            </w:pPr>
          </w:p>
        </w:tc>
      </w:tr>
      <w:tr w:rsidR="003C66EB" w14:paraId="5EA22AE9" w14:textId="77777777">
        <w:tc>
          <w:tcPr>
            <w:tcW w:w="0" w:type="auto"/>
            <w:gridSpan w:val="3"/>
            <w:shd w:val="clear" w:color="auto" w:fill="FFFFFF"/>
            <w:tcMar>
              <w:top w:w="40" w:type="dxa"/>
              <w:left w:w="20" w:type="dxa"/>
              <w:bottom w:w="40" w:type="dxa"/>
              <w:right w:w="20" w:type="dxa"/>
            </w:tcMar>
            <w:vAlign w:val="bottom"/>
          </w:tcPr>
          <w:p w14:paraId="5EA22ADF" w14:textId="77777777" w:rsidR="003C66EB" w:rsidRDefault="00D96C4E">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5EA22AE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E1"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AE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E3"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AE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E5"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AE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AE7"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AE8" w14:textId="77777777" w:rsidR="003C66EB" w:rsidRDefault="003C66EB">
            <w:pPr>
              <w:rPr>
                <w:rFonts w:ascii="宋体"/>
              </w:rPr>
            </w:pPr>
          </w:p>
        </w:tc>
      </w:tr>
      <w:tr w:rsidR="003C66EB" w14:paraId="5EA22AF4" w14:textId="77777777">
        <w:tc>
          <w:tcPr>
            <w:tcW w:w="0" w:type="auto"/>
            <w:gridSpan w:val="3"/>
            <w:shd w:val="clear" w:color="auto" w:fill="CCEEFF"/>
            <w:tcMar>
              <w:top w:w="40" w:type="dxa"/>
              <w:left w:w="20" w:type="dxa"/>
              <w:bottom w:w="40" w:type="dxa"/>
              <w:right w:w="20" w:type="dxa"/>
            </w:tcMar>
            <w:vAlign w:val="bottom"/>
          </w:tcPr>
          <w:p w14:paraId="5EA22AEA" w14:textId="77777777" w:rsidR="003C66EB" w:rsidRDefault="00D96C4E">
            <w:pPr>
              <w:textAlignment w:val="bottom"/>
            </w:pPr>
            <w:r>
              <w:rPr>
                <w:rFonts w:ascii="Arial" w:eastAsia="宋体" w:hAnsi="Arial" w:cs="Arial"/>
                <w:color w:val="000000"/>
                <w:sz w:val="15"/>
                <w:szCs w:val="15"/>
              </w:rPr>
              <w:t xml:space="preserve">Accrued </w:t>
            </w:r>
            <w:r>
              <w:rPr>
                <w:rFonts w:ascii="Arial" w:eastAsia="宋体" w:hAnsi="Arial" w:cs="Arial"/>
                <w:color w:val="000000"/>
                <w:sz w:val="15"/>
                <w:szCs w:val="15"/>
              </w:rPr>
              <w:t>expenses and other liabilities:</w:t>
            </w:r>
          </w:p>
        </w:tc>
        <w:tc>
          <w:tcPr>
            <w:tcW w:w="0" w:type="auto"/>
            <w:gridSpan w:val="3"/>
            <w:shd w:val="clear" w:color="auto" w:fill="CCEEFF"/>
            <w:tcMar>
              <w:top w:w="0" w:type="dxa"/>
              <w:left w:w="20" w:type="dxa"/>
              <w:bottom w:w="0" w:type="dxa"/>
              <w:right w:w="20" w:type="dxa"/>
            </w:tcMar>
          </w:tcPr>
          <w:p w14:paraId="5EA22AE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E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E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E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E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F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F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F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AF3" w14:textId="77777777" w:rsidR="003C66EB" w:rsidRDefault="003C66EB">
            <w:pPr>
              <w:rPr>
                <w:rFonts w:ascii="宋体"/>
              </w:rPr>
            </w:pPr>
          </w:p>
        </w:tc>
      </w:tr>
      <w:tr w:rsidR="003C66EB" w14:paraId="5EA22AFF" w14:textId="77777777">
        <w:trPr>
          <w:hidden/>
        </w:trPr>
        <w:tc>
          <w:tcPr>
            <w:tcW w:w="0" w:type="auto"/>
            <w:gridSpan w:val="3"/>
            <w:shd w:val="clear" w:color="auto" w:fill="auto"/>
          </w:tcPr>
          <w:p w14:paraId="5EA22AF5" w14:textId="77777777" w:rsidR="003C66EB" w:rsidRDefault="003C66EB">
            <w:pPr>
              <w:rPr>
                <w:rFonts w:ascii="宋体"/>
                <w:vanish/>
              </w:rPr>
            </w:pPr>
          </w:p>
        </w:tc>
        <w:tc>
          <w:tcPr>
            <w:tcW w:w="0" w:type="auto"/>
            <w:gridSpan w:val="3"/>
            <w:shd w:val="clear" w:color="auto" w:fill="auto"/>
          </w:tcPr>
          <w:p w14:paraId="5EA22AF6" w14:textId="77777777" w:rsidR="003C66EB" w:rsidRDefault="003C66EB">
            <w:pPr>
              <w:rPr>
                <w:rFonts w:ascii="宋体"/>
                <w:vanish/>
              </w:rPr>
            </w:pPr>
          </w:p>
        </w:tc>
        <w:tc>
          <w:tcPr>
            <w:tcW w:w="0" w:type="auto"/>
            <w:gridSpan w:val="3"/>
            <w:shd w:val="clear" w:color="auto" w:fill="auto"/>
          </w:tcPr>
          <w:p w14:paraId="5EA22AF7" w14:textId="77777777" w:rsidR="003C66EB" w:rsidRDefault="003C66EB">
            <w:pPr>
              <w:rPr>
                <w:rFonts w:ascii="宋体"/>
                <w:vanish/>
              </w:rPr>
            </w:pPr>
          </w:p>
        </w:tc>
        <w:tc>
          <w:tcPr>
            <w:tcW w:w="0" w:type="auto"/>
            <w:gridSpan w:val="3"/>
            <w:shd w:val="clear" w:color="auto" w:fill="auto"/>
          </w:tcPr>
          <w:p w14:paraId="5EA22AF8" w14:textId="77777777" w:rsidR="003C66EB" w:rsidRDefault="003C66EB">
            <w:pPr>
              <w:rPr>
                <w:rFonts w:ascii="宋体"/>
                <w:vanish/>
              </w:rPr>
            </w:pPr>
          </w:p>
        </w:tc>
        <w:tc>
          <w:tcPr>
            <w:tcW w:w="0" w:type="auto"/>
            <w:gridSpan w:val="3"/>
            <w:shd w:val="clear" w:color="auto" w:fill="auto"/>
          </w:tcPr>
          <w:p w14:paraId="5EA22AF9" w14:textId="77777777" w:rsidR="003C66EB" w:rsidRDefault="003C66EB">
            <w:pPr>
              <w:rPr>
                <w:rFonts w:ascii="宋体"/>
                <w:vanish/>
              </w:rPr>
            </w:pPr>
          </w:p>
        </w:tc>
        <w:tc>
          <w:tcPr>
            <w:tcW w:w="0" w:type="auto"/>
            <w:gridSpan w:val="3"/>
            <w:shd w:val="clear" w:color="auto" w:fill="auto"/>
          </w:tcPr>
          <w:p w14:paraId="5EA22AFA" w14:textId="77777777" w:rsidR="003C66EB" w:rsidRDefault="003C66EB">
            <w:pPr>
              <w:rPr>
                <w:rFonts w:ascii="宋体"/>
                <w:vanish/>
              </w:rPr>
            </w:pPr>
          </w:p>
        </w:tc>
        <w:tc>
          <w:tcPr>
            <w:tcW w:w="0" w:type="auto"/>
            <w:gridSpan w:val="3"/>
            <w:shd w:val="clear" w:color="auto" w:fill="auto"/>
          </w:tcPr>
          <w:p w14:paraId="5EA22AFB" w14:textId="77777777" w:rsidR="003C66EB" w:rsidRDefault="003C66EB">
            <w:pPr>
              <w:rPr>
                <w:rFonts w:ascii="宋体"/>
                <w:vanish/>
              </w:rPr>
            </w:pPr>
          </w:p>
        </w:tc>
        <w:tc>
          <w:tcPr>
            <w:tcW w:w="0" w:type="auto"/>
            <w:gridSpan w:val="3"/>
            <w:shd w:val="clear" w:color="auto" w:fill="auto"/>
          </w:tcPr>
          <w:p w14:paraId="5EA22AFC" w14:textId="77777777" w:rsidR="003C66EB" w:rsidRDefault="003C66EB">
            <w:pPr>
              <w:rPr>
                <w:rFonts w:ascii="宋体"/>
                <w:vanish/>
              </w:rPr>
            </w:pPr>
          </w:p>
        </w:tc>
        <w:tc>
          <w:tcPr>
            <w:tcW w:w="0" w:type="auto"/>
            <w:gridSpan w:val="3"/>
            <w:shd w:val="clear" w:color="auto" w:fill="auto"/>
          </w:tcPr>
          <w:p w14:paraId="5EA22AFD" w14:textId="77777777" w:rsidR="003C66EB" w:rsidRDefault="003C66EB">
            <w:pPr>
              <w:rPr>
                <w:rFonts w:ascii="宋体"/>
                <w:vanish/>
              </w:rPr>
            </w:pPr>
          </w:p>
        </w:tc>
        <w:tc>
          <w:tcPr>
            <w:tcW w:w="0" w:type="auto"/>
            <w:gridSpan w:val="3"/>
            <w:shd w:val="clear" w:color="auto" w:fill="auto"/>
          </w:tcPr>
          <w:p w14:paraId="5EA22AFE" w14:textId="77777777" w:rsidR="003C66EB" w:rsidRDefault="003C66EB">
            <w:pPr>
              <w:rPr>
                <w:rFonts w:ascii="宋体"/>
                <w:vanish/>
              </w:rPr>
            </w:pPr>
          </w:p>
        </w:tc>
      </w:tr>
      <w:tr w:rsidR="003C66EB" w14:paraId="5EA22B0A" w14:textId="77777777">
        <w:trPr>
          <w:hidden/>
        </w:trPr>
        <w:tc>
          <w:tcPr>
            <w:tcW w:w="0" w:type="auto"/>
            <w:gridSpan w:val="3"/>
            <w:shd w:val="clear" w:color="auto" w:fill="auto"/>
          </w:tcPr>
          <w:p w14:paraId="5EA22B00" w14:textId="77777777" w:rsidR="003C66EB" w:rsidRDefault="003C66EB">
            <w:pPr>
              <w:rPr>
                <w:rFonts w:ascii="宋体"/>
                <w:vanish/>
              </w:rPr>
            </w:pPr>
          </w:p>
        </w:tc>
        <w:tc>
          <w:tcPr>
            <w:tcW w:w="0" w:type="auto"/>
            <w:gridSpan w:val="3"/>
            <w:shd w:val="clear" w:color="auto" w:fill="auto"/>
          </w:tcPr>
          <w:p w14:paraId="5EA22B01" w14:textId="77777777" w:rsidR="003C66EB" w:rsidRDefault="003C66EB">
            <w:pPr>
              <w:rPr>
                <w:rFonts w:ascii="宋体"/>
                <w:vanish/>
              </w:rPr>
            </w:pPr>
          </w:p>
        </w:tc>
        <w:tc>
          <w:tcPr>
            <w:tcW w:w="0" w:type="auto"/>
            <w:gridSpan w:val="3"/>
            <w:shd w:val="clear" w:color="auto" w:fill="auto"/>
          </w:tcPr>
          <w:p w14:paraId="5EA22B02" w14:textId="77777777" w:rsidR="003C66EB" w:rsidRDefault="003C66EB">
            <w:pPr>
              <w:rPr>
                <w:rFonts w:ascii="宋体"/>
                <w:vanish/>
              </w:rPr>
            </w:pPr>
          </w:p>
        </w:tc>
        <w:tc>
          <w:tcPr>
            <w:tcW w:w="0" w:type="auto"/>
            <w:gridSpan w:val="3"/>
            <w:shd w:val="clear" w:color="auto" w:fill="auto"/>
          </w:tcPr>
          <w:p w14:paraId="5EA22B03" w14:textId="77777777" w:rsidR="003C66EB" w:rsidRDefault="003C66EB">
            <w:pPr>
              <w:rPr>
                <w:rFonts w:ascii="宋体"/>
                <w:vanish/>
              </w:rPr>
            </w:pPr>
          </w:p>
        </w:tc>
        <w:tc>
          <w:tcPr>
            <w:tcW w:w="0" w:type="auto"/>
            <w:gridSpan w:val="3"/>
            <w:shd w:val="clear" w:color="auto" w:fill="auto"/>
          </w:tcPr>
          <w:p w14:paraId="5EA22B04" w14:textId="77777777" w:rsidR="003C66EB" w:rsidRDefault="003C66EB">
            <w:pPr>
              <w:rPr>
                <w:rFonts w:ascii="宋体"/>
                <w:vanish/>
              </w:rPr>
            </w:pPr>
          </w:p>
        </w:tc>
        <w:tc>
          <w:tcPr>
            <w:tcW w:w="0" w:type="auto"/>
            <w:gridSpan w:val="3"/>
            <w:shd w:val="clear" w:color="auto" w:fill="auto"/>
          </w:tcPr>
          <w:p w14:paraId="5EA22B05" w14:textId="77777777" w:rsidR="003C66EB" w:rsidRDefault="003C66EB">
            <w:pPr>
              <w:rPr>
                <w:rFonts w:ascii="宋体"/>
                <w:vanish/>
              </w:rPr>
            </w:pPr>
          </w:p>
        </w:tc>
        <w:tc>
          <w:tcPr>
            <w:tcW w:w="0" w:type="auto"/>
            <w:gridSpan w:val="3"/>
            <w:shd w:val="clear" w:color="auto" w:fill="auto"/>
          </w:tcPr>
          <w:p w14:paraId="5EA22B06" w14:textId="77777777" w:rsidR="003C66EB" w:rsidRDefault="003C66EB">
            <w:pPr>
              <w:rPr>
                <w:rFonts w:ascii="宋体"/>
                <w:vanish/>
              </w:rPr>
            </w:pPr>
          </w:p>
        </w:tc>
        <w:tc>
          <w:tcPr>
            <w:tcW w:w="0" w:type="auto"/>
            <w:gridSpan w:val="3"/>
            <w:shd w:val="clear" w:color="auto" w:fill="auto"/>
          </w:tcPr>
          <w:p w14:paraId="5EA22B07" w14:textId="77777777" w:rsidR="003C66EB" w:rsidRDefault="003C66EB">
            <w:pPr>
              <w:rPr>
                <w:rFonts w:ascii="宋体"/>
                <w:vanish/>
              </w:rPr>
            </w:pPr>
          </w:p>
        </w:tc>
        <w:tc>
          <w:tcPr>
            <w:tcW w:w="0" w:type="auto"/>
            <w:gridSpan w:val="3"/>
            <w:shd w:val="clear" w:color="auto" w:fill="auto"/>
          </w:tcPr>
          <w:p w14:paraId="5EA22B08" w14:textId="77777777" w:rsidR="003C66EB" w:rsidRDefault="003C66EB">
            <w:pPr>
              <w:rPr>
                <w:rFonts w:ascii="宋体"/>
                <w:vanish/>
              </w:rPr>
            </w:pPr>
          </w:p>
        </w:tc>
        <w:tc>
          <w:tcPr>
            <w:tcW w:w="0" w:type="auto"/>
            <w:gridSpan w:val="3"/>
            <w:shd w:val="clear" w:color="auto" w:fill="auto"/>
          </w:tcPr>
          <w:p w14:paraId="5EA22B09" w14:textId="77777777" w:rsidR="003C66EB" w:rsidRDefault="003C66EB">
            <w:pPr>
              <w:rPr>
                <w:rFonts w:ascii="宋体"/>
                <w:vanish/>
              </w:rPr>
            </w:pPr>
          </w:p>
        </w:tc>
      </w:tr>
      <w:tr w:rsidR="003C66EB" w14:paraId="5EA22B15" w14:textId="77777777">
        <w:trPr>
          <w:hidden/>
        </w:trPr>
        <w:tc>
          <w:tcPr>
            <w:tcW w:w="0" w:type="auto"/>
            <w:gridSpan w:val="3"/>
            <w:shd w:val="clear" w:color="auto" w:fill="auto"/>
          </w:tcPr>
          <w:p w14:paraId="5EA22B0B" w14:textId="77777777" w:rsidR="003C66EB" w:rsidRDefault="003C66EB">
            <w:pPr>
              <w:rPr>
                <w:rFonts w:ascii="宋体"/>
                <w:vanish/>
              </w:rPr>
            </w:pPr>
          </w:p>
        </w:tc>
        <w:tc>
          <w:tcPr>
            <w:tcW w:w="0" w:type="auto"/>
            <w:gridSpan w:val="3"/>
            <w:shd w:val="clear" w:color="auto" w:fill="auto"/>
          </w:tcPr>
          <w:p w14:paraId="5EA22B0C" w14:textId="77777777" w:rsidR="003C66EB" w:rsidRDefault="003C66EB">
            <w:pPr>
              <w:rPr>
                <w:rFonts w:ascii="宋体"/>
                <w:vanish/>
              </w:rPr>
            </w:pPr>
          </w:p>
        </w:tc>
        <w:tc>
          <w:tcPr>
            <w:tcW w:w="0" w:type="auto"/>
            <w:gridSpan w:val="3"/>
            <w:shd w:val="clear" w:color="auto" w:fill="auto"/>
          </w:tcPr>
          <w:p w14:paraId="5EA22B0D" w14:textId="77777777" w:rsidR="003C66EB" w:rsidRDefault="003C66EB">
            <w:pPr>
              <w:rPr>
                <w:rFonts w:ascii="宋体"/>
                <w:vanish/>
              </w:rPr>
            </w:pPr>
          </w:p>
        </w:tc>
        <w:tc>
          <w:tcPr>
            <w:tcW w:w="0" w:type="auto"/>
            <w:gridSpan w:val="3"/>
            <w:shd w:val="clear" w:color="auto" w:fill="auto"/>
          </w:tcPr>
          <w:p w14:paraId="5EA22B0E" w14:textId="77777777" w:rsidR="003C66EB" w:rsidRDefault="003C66EB">
            <w:pPr>
              <w:rPr>
                <w:rFonts w:ascii="宋体"/>
                <w:vanish/>
              </w:rPr>
            </w:pPr>
          </w:p>
        </w:tc>
        <w:tc>
          <w:tcPr>
            <w:tcW w:w="0" w:type="auto"/>
            <w:gridSpan w:val="3"/>
            <w:shd w:val="clear" w:color="auto" w:fill="auto"/>
          </w:tcPr>
          <w:p w14:paraId="5EA22B0F" w14:textId="77777777" w:rsidR="003C66EB" w:rsidRDefault="003C66EB">
            <w:pPr>
              <w:rPr>
                <w:rFonts w:ascii="宋体"/>
                <w:vanish/>
              </w:rPr>
            </w:pPr>
          </w:p>
        </w:tc>
        <w:tc>
          <w:tcPr>
            <w:tcW w:w="0" w:type="auto"/>
            <w:gridSpan w:val="3"/>
            <w:shd w:val="clear" w:color="auto" w:fill="auto"/>
          </w:tcPr>
          <w:p w14:paraId="5EA22B10" w14:textId="77777777" w:rsidR="003C66EB" w:rsidRDefault="003C66EB">
            <w:pPr>
              <w:rPr>
                <w:rFonts w:ascii="宋体"/>
                <w:vanish/>
              </w:rPr>
            </w:pPr>
          </w:p>
        </w:tc>
        <w:tc>
          <w:tcPr>
            <w:tcW w:w="0" w:type="auto"/>
            <w:gridSpan w:val="3"/>
            <w:shd w:val="clear" w:color="auto" w:fill="auto"/>
          </w:tcPr>
          <w:p w14:paraId="5EA22B11" w14:textId="77777777" w:rsidR="003C66EB" w:rsidRDefault="003C66EB">
            <w:pPr>
              <w:rPr>
                <w:rFonts w:ascii="宋体"/>
                <w:vanish/>
              </w:rPr>
            </w:pPr>
          </w:p>
        </w:tc>
        <w:tc>
          <w:tcPr>
            <w:tcW w:w="0" w:type="auto"/>
            <w:gridSpan w:val="3"/>
            <w:shd w:val="clear" w:color="auto" w:fill="auto"/>
          </w:tcPr>
          <w:p w14:paraId="5EA22B12" w14:textId="77777777" w:rsidR="003C66EB" w:rsidRDefault="003C66EB">
            <w:pPr>
              <w:rPr>
                <w:rFonts w:ascii="宋体"/>
                <w:vanish/>
              </w:rPr>
            </w:pPr>
          </w:p>
        </w:tc>
        <w:tc>
          <w:tcPr>
            <w:tcW w:w="0" w:type="auto"/>
            <w:gridSpan w:val="3"/>
            <w:shd w:val="clear" w:color="auto" w:fill="auto"/>
          </w:tcPr>
          <w:p w14:paraId="5EA22B13" w14:textId="77777777" w:rsidR="003C66EB" w:rsidRDefault="003C66EB">
            <w:pPr>
              <w:rPr>
                <w:rFonts w:ascii="宋体"/>
                <w:vanish/>
              </w:rPr>
            </w:pPr>
          </w:p>
        </w:tc>
        <w:tc>
          <w:tcPr>
            <w:tcW w:w="0" w:type="auto"/>
            <w:gridSpan w:val="3"/>
            <w:shd w:val="clear" w:color="auto" w:fill="auto"/>
          </w:tcPr>
          <w:p w14:paraId="5EA22B14" w14:textId="77777777" w:rsidR="003C66EB" w:rsidRDefault="003C66EB">
            <w:pPr>
              <w:rPr>
                <w:rFonts w:ascii="宋体"/>
                <w:vanish/>
              </w:rPr>
            </w:pPr>
          </w:p>
        </w:tc>
      </w:tr>
      <w:tr w:rsidR="003C66EB" w14:paraId="5EA22B20" w14:textId="77777777">
        <w:trPr>
          <w:hidden/>
        </w:trPr>
        <w:tc>
          <w:tcPr>
            <w:tcW w:w="0" w:type="auto"/>
            <w:gridSpan w:val="3"/>
            <w:shd w:val="clear" w:color="auto" w:fill="auto"/>
          </w:tcPr>
          <w:p w14:paraId="5EA22B16" w14:textId="77777777" w:rsidR="003C66EB" w:rsidRDefault="003C66EB">
            <w:pPr>
              <w:rPr>
                <w:rFonts w:ascii="宋体"/>
                <w:vanish/>
              </w:rPr>
            </w:pPr>
          </w:p>
        </w:tc>
        <w:tc>
          <w:tcPr>
            <w:tcW w:w="0" w:type="auto"/>
            <w:gridSpan w:val="3"/>
            <w:shd w:val="clear" w:color="auto" w:fill="auto"/>
          </w:tcPr>
          <w:p w14:paraId="5EA22B17" w14:textId="77777777" w:rsidR="003C66EB" w:rsidRDefault="003C66EB">
            <w:pPr>
              <w:rPr>
                <w:rFonts w:ascii="宋体"/>
                <w:vanish/>
              </w:rPr>
            </w:pPr>
          </w:p>
        </w:tc>
        <w:tc>
          <w:tcPr>
            <w:tcW w:w="0" w:type="auto"/>
            <w:gridSpan w:val="3"/>
            <w:shd w:val="clear" w:color="auto" w:fill="auto"/>
          </w:tcPr>
          <w:p w14:paraId="5EA22B18" w14:textId="77777777" w:rsidR="003C66EB" w:rsidRDefault="003C66EB">
            <w:pPr>
              <w:rPr>
                <w:rFonts w:ascii="宋体"/>
                <w:vanish/>
              </w:rPr>
            </w:pPr>
          </w:p>
        </w:tc>
        <w:tc>
          <w:tcPr>
            <w:tcW w:w="0" w:type="auto"/>
            <w:gridSpan w:val="3"/>
            <w:shd w:val="clear" w:color="auto" w:fill="auto"/>
          </w:tcPr>
          <w:p w14:paraId="5EA22B19" w14:textId="77777777" w:rsidR="003C66EB" w:rsidRDefault="003C66EB">
            <w:pPr>
              <w:rPr>
                <w:rFonts w:ascii="宋体"/>
                <w:vanish/>
              </w:rPr>
            </w:pPr>
          </w:p>
        </w:tc>
        <w:tc>
          <w:tcPr>
            <w:tcW w:w="0" w:type="auto"/>
            <w:gridSpan w:val="3"/>
            <w:shd w:val="clear" w:color="auto" w:fill="auto"/>
          </w:tcPr>
          <w:p w14:paraId="5EA22B1A" w14:textId="77777777" w:rsidR="003C66EB" w:rsidRDefault="003C66EB">
            <w:pPr>
              <w:rPr>
                <w:rFonts w:ascii="宋体"/>
                <w:vanish/>
              </w:rPr>
            </w:pPr>
          </w:p>
        </w:tc>
        <w:tc>
          <w:tcPr>
            <w:tcW w:w="0" w:type="auto"/>
            <w:gridSpan w:val="3"/>
            <w:shd w:val="clear" w:color="auto" w:fill="auto"/>
          </w:tcPr>
          <w:p w14:paraId="5EA22B1B" w14:textId="77777777" w:rsidR="003C66EB" w:rsidRDefault="003C66EB">
            <w:pPr>
              <w:rPr>
                <w:rFonts w:ascii="宋体"/>
                <w:vanish/>
              </w:rPr>
            </w:pPr>
          </w:p>
        </w:tc>
        <w:tc>
          <w:tcPr>
            <w:tcW w:w="0" w:type="auto"/>
            <w:gridSpan w:val="3"/>
            <w:shd w:val="clear" w:color="auto" w:fill="auto"/>
          </w:tcPr>
          <w:p w14:paraId="5EA22B1C" w14:textId="77777777" w:rsidR="003C66EB" w:rsidRDefault="003C66EB">
            <w:pPr>
              <w:rPr>
                <w:rFonts w:ascii="宋体"/>
                <w:vanish/>
              </w:rPr>
            </w:pPr>
          </w:p>
        </w:tc>
        <w:tc>
          <w:tcPr>
            <w:tcW w:w="0" w:type="auto"/>
            <w:gridSpan w:val="3"/>
            <w:shd w:val="clear" w:color="auto" w:fill="auto"/>
          </w:tcPr>
          <w:p w14:paraId="5EA22B1D" w14:textId="77777777" w:rsidR="003C66EB" w:rsidRDefault="003C66EB">
            <w:pPr>
              <w:rPr>
                <w:rFonts w:ascii="宋体"/>
                <w:vanish/>
              </w:rPr>
            </w:pPr>
          </w:p>
        </w:tc>
        <w:tc>
          <w:tcPr>
            <w:tcW w:w="0" w:type="auto"/>
            <w:gridSpan w:val="3"/>
            <w:shd w:val="clear" w:color="auto" w:fill="auto"/>
          </w:tcPr>
          <w:p w14:paraId="5EA22B1E" w14:textId="77777777" w:rsidR="003C66EB" w:rsidRDefault="003C66EB">
            <w:pPr>
              <w:rPr>
                <w:rFonts w:ascii="宋体"/>
                <w:vanish/>
              </w:rPr>
            </w:pPr>
          </w:p>
        </w:tc>
        <w:tc>
          <w:tcPr>
            <w:tcW w:w="0" w:type="auto"/>
            <w:gridSpan w:val="3"/>
            <w:shd w:val="clear" w:color="auto" w:fill="auto"/>
          </w:tcPr>
          <w:p w14:paraId="5EA22B1F" w14:textId="77777777" w:rsidR="003C66EB" w:rsidRDefault="003C66EB">
            <w:pPr>
              <w:rPr>
                <w:rFonts w:ascii="宋体"/>
                <w:vanish/>
              </w:rPr>
            </w:pPr>
          </w:p>
        </w:tc>
      </w:tr>
      <w:tr w:rsidR="003C66EB" w14:paraId="5EA22B2B" w14:textId="77777777">
        <w:tc>
          <w:tcPr>
            <w:tcW w:w="0" w:type="auto"/>
            <w:gridSpan w:val="3"/>
            <w:shd w:val="clear" w:color="auto" w:fill="FFFFFF"/>
            <w:tcMar>
              <w:top w:w="40" w:type="dxa"/>
              <w:left w:w="245" w:type="dxa"/>
              <w:bottom w:w="40" w:type="dxa"/>
              <w:right w:w="20" w:type="dxa"/>
            </w:tcMar>
            <w:vAlign w:val="bottom"/>
          </w:tcPr>
          <w:p w14:paraId="5EA22B21" w14:textId="77777777" w:rsidR="003C66EB" w:rsidRDefault="00D96C4E">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5EA22B2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B2A" w14:textId="77777777" w:rsidR="003C66EB" w:rsidRDefault="003C66EB">
            <w:pPr>
              <w:rPr>
                <w:rFonts w:ascii="宋体"/>
              </w:rPr>
            </w:pPr>
          </w:p>
        </w:tc>
      </w:tr>
      <w:tr w:rsidR="003C66EB" w14:paraId="5EA22B40" w14:textId="77777777">
        <w:tc>
          <w:tcPr>
            <w:tcW w:w="0" w:type="auto"/>
            <w:gridSpan w:val="3"/>
            <w:shd w:val="clear" w:color="auto" w:fill="CCEEFF"/>
            <w:tcMar>
              <w:top w:w="40" w:type="dxa"/>
              <w:left w:w="515" w:type="dxa"/>
              <w:bottom w:w="40" w:type="dxa"/>
              <w:right w:w="20" w:type="dxa"/>
            </w:tcMar>
            <w:vAlign w:val="bottom"/>
          </w:tcPr>
          <w:p w14:paraId="5EA22B2C"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2B2D"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B2E" w14:textId="77777777" w:rsidR="003C66EB" w:rsidRDefault="00D96C4E">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3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B31"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B32" w14:textId="77777777" w:rsidR="003C66EB" w:rsidRDefault="00D96C4E">
            <w:pPr>
              <w:jc w:val="right"/>
              <w:textAlignment w:val="bottom"/>
            </w:pPr>
            <w:r>
              <w:rPr>
                <w:rFonts w:ascii="Arial" w:eastAsia="宋体" w:hAnsi="Arial" w:cs="Arial"/>
                <w:b/>
                <w:bCs/>
                <w:color w:val="000000"/>
                <w:sz w:val="15"/>
                <w:szCs w:val="15"/>
              </w:rPr>
              <w:t>22,036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3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3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B35"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B3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3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B39"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B3A" w14:textId="77777777" w:rsidR="003C66EB" w:rsidRDefault="00D96C4E">
            <w:pPr>
              <w:jc w:val="right"/>
              <w:textAlignment w:val="bottom"/>
            </w:pPr>
            <w:r>
              <w:rPr>
                <w:rFonts w:ascii="Arial" w:eastAsia="宋体" w:hAnsi="Arial" w:cs="Arial"/>
                <w:b/>
                <w:bCs/>
                <w:color w:val="000000"/>
                <w:sz w:val="15"/>
                <w:szCs w:val="15"/>
              </w:rPr>
              <w:t>(15,533)</w:t>
            </w:r>
          </w:p>
        </w:tc>
        <w:tc>
          <w:tcPr>
            <w:tcW w:w="0" w:type="auto"/>
            <w:shd w:val="clear" w:color="auto" w:fill="CCEEFF"/>
            <w:tcMar>
              <w:top w:w="40" w:type="dxa"/>
              <w:left w:w="0" w:type="dxa"/>
              <w:bottom w:w="40" w:type="dxa"/>
              <w:right w:w="20" w:type="dxa"/>
            </w:tcMar>
            <w:vAlign w:val="bottom"/>
          </w:tcPr>
          <w:p w14:paraId="5EA22B3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3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B3D"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2B3E" w14:textId="77777777" w:rsidR="003C66EB" w:rsidRDefault="00D96C4E">
            <w:pPr>
              <w:jc w:val="right"/>
              <w:textAlignment w:val="bottom"/>
            </w:pPr>
            <w:r>
              <w:rPr>
                <w:rFonts w:ascii="Arial" w:eastAsia="宋体" w:hAnsi="Arial" w:cs="Arial"/>
                <w:b/>
                <w:bCs/>
                <w:color w:val="000000"/>
                <w:sz w:val="15"/>
                <w:szCs w:val="15"/>
              </w:rPr>
              <w:t>6,512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3F" w14:textId="77777777" w:rsidR="003C66EB" w:rsidRDefault="003C66EB">
            <w:pPr>
              <w:jc w:val="right"/>
              <w:rPr>
                <w:rFonts w:ascii="宋体"/>
              </w:rPr>
            </w:pPr>
          </w:p>
        </w:tc>
      </w:tr>
      <w:tr w:rsidR="003C66EB" w14:paraId="5EA22B50" w14:textId="77777777">
        <w:tc>
          <w:tcPr>
            <w:tcW w:w="0" w:type="auto"/>
            <w:gridSpan w:val="3"/>
            <w:shd w:val="clear" w:color="auto" w:fill="FFFFFF"/>
            <w:tcMar>
              <w:top w:w="40" w:type="dxa"/>
              <w:left w:w="515" w:type="dxa"/>
              <w:bottom w:w="40" w:type="dxa"/>
              <w:right w:w="20" w:type="dxa"/>
            </w:tcMar>
            <w:vAlign w:val="bottom"/>
          </w:tcPr>
          <w:p w14:paraId="5EA22B41" w14:textId="77777777" w:rsidR="003C66EB" w:rsidRDefault="00D96C4E">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A22B4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B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4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B45" w14:textId="77777777" w:rsidR="003C66EB" w:rsidRDefault="00D96C4E">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B4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4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B4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B4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4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B4B"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A22B4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4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B4E" w14:textId="77777777" w:rsidR="003C66EB" w:rsidRDefault="00D96C4E">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2B4F" w14:textId="77777777" w:rsidR="003C66EB" w:rsidRDefault="003C66EB">
            <w:pPr>
              <w:jc w:val="right"/>
              <w:rPr>
                <w:rFonts w:ascii="宋体"/>
              </w:rPr>
            </w:pPr>
          </w:p>
        </w:tc>
      </w:tr>
      <w:tr w:rsidR="003C66EB" w14:paraId="5EA22B60" w14:textId="77777777">
        <w:tc>
          <w:tcPr>
            <w:tcW w:w="0" w:type="auto"/>
            <w:gridSpan w:val="3"/>
            <w:shd w:val="clear" w:color="auto" w:fill="CCEEFF"/>
            <w:tcMar>
              <w:top w:w="40" w:type="dxa"/>
              <w:left w:w="515" w:type="dxa"/>
              <w:bottom w:w="40" w:type="dxa"/>
              <w:right w:w="20" w:type="dxa"/>
            </w:tcMar>
            <w:vAlign w:val="bottom"/>
          </w:tcPr>
          <w:p w14:paraId="5EA22B51" w14:textId="77777777" w:rsidR="003C66EB" w:rsidRDefault="00D96C4E">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A22B5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5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B55" w14:textId="77777777" w:rsidR="003C66EB" w:rsidRDefault="00D96C4E">
            <w:pPr>
              <w:jc w:val="right"/>
              <w:textAlignment w:val="bottom"/>
            </w:pPr>
            <w:r>
              <w:rPr>
                <w:rFonts w:ascii="Arial" w:eastAsia="宋体" w:hAnsi="Arial" w:cs="Arial"/>
                <w:b/>
                <w:bCs/>
                <w:color w:val="000000"/>
                <w:sz w:val="15"/>
                <w:szCs w:val="15"/>
              </w:rPr>
              <w:t>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5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5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B5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5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5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B5B"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5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B5E" w14:textId="77777777" w:rsidR="003C66EB" w:rsidRDefault="00D96C4E">
            <w:pPr>
              <w:jc w:val="right"/>
              <w:textAlignment w:val="bottom"/>
            </w:pPr>
            <w:r>
              <w:rPr>
                <w:rFonts w:ascii="Arial" w:eastAsia="宋体" w:hAnsi="Arial" w:cs="Arial"/>
                <w:b/>
                <w:bCs/>
                <w:color w:val="000000"/>
                <w:sz w:val="15"/>
                <w:szCs w:val="15"/>
              </w:rPr>
              <w:t>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2B5F" w14:textId="77777777" w:rsidR="003C66EB" w:rsidRDefault="003C66EB">
            <w:pPr>
              <w:jc w:val="right"/>
              <w:rPr>
                <w:rFonts w:ascii="宋体"/>
              </w:rPr>
            </w:pPr>
          </w:p>
        </w:tc>
      </w:tr>
      <w:tr w:rsidR="003C66EB" w14:paraId="5EA22B70" w14:textId="77777777">
        <w:tc>
          <w:tcPr>
            <w:tcW w:w="0" w:type="auto"/>
            <w:gridSpan w:val="3"/>
            <w:shd w:val="clear" w:color="auto" w:fill="FFFFFF"/>
            <w:tcMar>
              <w:top w:w="40" w:type="dxa"/>
              <w:left w:w="740" w:type="dxa"/>
              <w:bottom w:w="40" w:type="dxa"/>
              <w:right w:w="20" w:type="dxa"/>
            </w:tcMar>
            <w:vAlign w:val="bottom"/>
          </w:tcPr>
          <w:p w14:paraId="5EA22B61" w14:textId="77777777" w:rsidR="003C66EB" w:rsidRDefault="00D96C4E">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B62" w14:textId="77777777" w:rsidR="003C66EB" w:rsidRDefault="00D96C4E">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B6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6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B65" w14:textId="77777777" w:rsidR="003C66EB" w:rsidRDefault="00D96C4E">
            <w:pPr>
              <w:jc w:val="right"/>
              <w:textAlignment w:val="bottom"/>
            </w:pPr>
            <w:r>
              <w:rPr>
                <w:rFonts w:ascii="Arial" w:eastAsia="宋体" w:hAnsi="Arial" w:cs="Arial"/>
                <w:b/>
                <w:bCs/>
                <w:color w:val="000000"/>
                <w:sz w:val="15"/>
                <w:szCs w:val="15"/>
              </w:rPr>
              <w:t>22,252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B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6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B6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B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6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B6B" w14:textId="77777777" w:rsidR="003C66EB" w:rsidRDefault="00D96C4E">
            <w:pPr>
              <w:jc w:val="right"/>
              <w:textAlignment w:val="bottom"/>
            </w:pPr>
            <w:r>
              <w:rPr>
                <w:rFonts w:ascii="Arial" w:eastAsia="宋体" w:hAnsi="Arial" w:cs="Arial"/>
                <w:b/>
                <w:bCs/>
                <w:color w:val="000000"/>
                <w:sz w:val="15"/>
                <w:szCs w:val="15"/>
              </w:rPr>
              <w:t>(15,534)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B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B6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B6E" w14:textId="77777777" w:rsidR="003C66EB" w:rsidRDefault="00D96C4E">
            <w:pPr>
              <w:jc w:val="right"/>
              <w:textAlignment w:val="bottom"/>
            </w:pPr>
            <w:r>
              <w:rPr>
                <w:rFonts w:ascii="Arial" w:eastAsia="宋体" w:hAnsi="Arial" w:cs="Arial"/>
                <w:b/>
                <w:bCs/>
                <w:color w:val="000000"/>
                <w:sz w:val="15"/>
                <w:szCs w:val="15"/>
              </w:rPr>
              <w:t>6,727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B6F" w14:textId="77777777" w:rsidR="003C66EB" w:rsidRDefault="003C66EB">
            <w:pPr>
              <w:jc w:val="right"/>
              <w:rPr>
                <w:rFonts w:ascii="宋体"/>
              </w:rPr>
            </w:pPr>
          </w:p>
        </w:tc>
      </w:tr>
      <w:tr w:rsidR="003C66EB" w14:paraId="5EA22B7B" w14:textId="77777777">
        <w:trPr>
          <w:hidden/>
        </w:trPr>
        <w:tc>
          <w:tcPr>
            <w:tcW w:w="0" w:type="auto"/>
            <w:gridSpan w:val="3"/>
            <w:shd w:val="clear" w:color="auto" w:fill="auto"/>
          </w:tcPr>
          <w:p w14:paraId="5EA22B71" w14:textId="77777777" w:rsidR="003C66EB" w:rsidRDefault="003C66EB">
            <w:pPr>
              <w:rPr>
                <w:rFonts w:ascii="宋体"/>
                <w:vanish/>
              </w:rPr>
            </w:pPr>
          </w:p>
        </w:tc>
        <w:tc>
          <w:tcPr>
            <w:tcW w:w="0" w:type="auto"/>
            <w:gridSpan w:val="3"/>
            <w:shd w:val="clear" w:color="auto" w:fill="auto"/>
          </w:tcPr>
          <w:p w14:paraId="5EA22B72" w14:textId="77777777" w:rsidR="003C66EB" w:rsidRDefault="003C66EB">
            <w:pPr>
              <w:rPr>
                <w:rFonts w:ascii="宋体"/>
                <w:vanish/>
              </w:rPr>
            </w:pPr>
          </w:p>
        </w:tc>
        <w:tc>
          <w:tcPr>
            <w:tcW w:w="0" w:type="auto"/>
            <w:gridSpan w:val="3"/>
            <w:shd w:val="clear" w:color="auto" w:fill="auto"/>
          </w:tcPr>
          <w:p w14:paraId="5EA22B73" w14:textId="77777777" w:rsidR="003C66EB" w:rsidRDefault="003C66EB">
            <w:pPr>
              <w:rPr>
                <w:rFonts w:ascii="宋体"/>
                <w:vanish/>
              </w:rPr>
            </w:pPr>
          </w:p>
        </w:tc>
        <w:tc>
          <w:tcPr>
            <w:tcW w:w="0" w:type="auto"/>
            <w:gridSpan w:val="3"/>
            <w:shd w:val="clear" w:color="auto" w:fill="auto"/>
          </w:tcPr>
          <w:p w14:paraId="5EA22B74" w14:textId="77777777" w:rsidR="003C66EB" w:rsidRDefault="003C66EB">
            <w:pPr>
              <w:rPr>
                <w:rFonts w:ascii="宋体"/>
                <w:vanish/>
              </w:rPr>
            </w:pPr>
          </w:p>
        </w:tc>
        <w:tc>
          <w:tcPr>
            <w:tcW w:w="0" w:type="auto"/>
            <w:gridSpan w:val="3"/>
            <w:shd w:val="clear" w:color="auto" w:fill="auto"/>
          </w:tcPr>
          <w:p w14:paraId="5EA22B75" w14:textId="77777777" w:rsidR="003C66EB" w:rsidRDefault="003C66EB">
            <w:pPr>
              <w:rPr>
                <w:rFonts w:ascii="宋体"/>
                <w:vanish/>
              </w:rPr>
            </w:pPr>
          </w:p>
        </w:tc>
        <w:tc>
          <w:tcPr>
            <w:tcW w:w="0" w:type="auto"/>
            <w:gridSpan w:val="3"/>
            <w:shd w:val="clear" w:color="auto" w:fill="auto"/>
          </w:tcPr>
          <w:p w14:paraId="5EA22B76" w14:textId="77777777" w:rsidR="003C66EB" w:rsidRDefault="003C66EB">
            <w:pPr>
              <w:rPr>
                <w:rFonts w:ascii="宋体"/>
                <w:vanish/>
              </w:rPr>
            </w:pPr>
          </w:p>
        </w:tc>
        <w:tc>
          <w:tcPr>
            <w:tcW w:w="0" w:type="auto"/>
            <w:gridSpan w:val="3"/>
            <w:shd w:val="clear" w:color="auto" w:fill="auto"/>
          </w:tcPr>
          <w:p w14:paraId="5EA22B77" w14:textId="77777777" w:rsidR="003C66EB" w:rsidRDefault="003C66EB">
            <w:pPr>
              <w:rPr>
                <w:rFonts w:ascii="宋体"/>
                <w:vanish/>
              </w:rPr>
            </w:pPr>
          </w:p>
        </w:tc>
        <w:tc>
          <w:tcPr>
            <w:tcW w:w="0" w:type="auto"/>
            <w:gridSpan w:val="3"/>
            <w:shd w:val="clear" w:color="auto" w:fill="auto"/>
          </w:tcPr>
          <w:p w14:paraId="5EA22B78" w14:textId="77777777" w:rsidR="003C66EB" w:rsidRDefault="003C66EB">
            <w:pPr>
              <w:rPr>
                <w:rFonts w:ascii="宋体"/>
                <w:vanish/>
              </w:rPr>
            </w:pPr>
          </w:p>
        </w:tc>
        <w:tc>
          <w:tcPr>
            <w:tcW w:w="0" w:type="auto"/>
            <w:gridSpan w:val="3"/>
            <w:shd w:val="clear" w:color="auto" w:fill="auto"/>
          </w:tcPr>
          <w:p w14:paraId="5EA22B79" w14:textId="77777777" w:rsidR="003C66EB" w:rsidRDefault="003C66EB">
            <w:pPr>
              <w:rPr>
                <w:rFonts w:ascii="宋体"/>
                <w:vanish/>
              </w:rPr>
            </w:pPr>
          </w:p>
        </w:tc>
        <w:tc>
          <w:tcPr>
            <w:tcW w:w="0" w:type="auto"/>
            <w:gridSpan w:val="3"/>
            <w:shd w:val="clear" w:color="auto" w:fill="auto"/>
          </w:tcPr>
          <w:p w14:paraId="5EA22B7A" w14:textId="77777777" w:rsidR="003C66EB" w:rsidRDefault="003C66EB">
            <w:pPr>
              <w:rPr>
                <w:rFonts w:ascii="宋体"/>
                <w:vanish/>
              </w:rPr>
            </w:pPr>
          </w:p>
        </w:tc>
      </w:tr>
      <w:tr w:rsidR="003C66EB" w14:paraId="5EA22B90" w14:textId="77777777">
        <w:tc>
          <w:tcPr>
            <w:tcW w:w="0" w:type="auto"/>
            <w:gridSpan w:val="3"/>
            <w:shd w:val="clear" w:color="auto" w:fill="CCEEFF"/>
            <w:tcMar>
              <w:top w:w="40" w:type="dxa"/>
              <w:left w:w="20" w:type="dxa"/>
              <w:bottom w:w="40" w:type="dxa"/>
              <w:right w:w="20" w:type="dxa"/>
            </w:tcMar>
            <w:vAlign w:val="bottom"/>
          </w:tcPr>
          <w:p w14:paraId="5EA22B7C" w14:textId="77777777" w:rsidR="003C66EB" w:rsidRDefault="00D96C4E">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B7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B7E" w14:textId="77777777" w:rsidR="003C66EB" w:rsidRDefault="00D96C4E">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B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80"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B81"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B82" w14:textId="77777777" w:rsidR="003C66EB" w:rsidRDefault="00D96C4E">
            <w:pPr>
              <w:jc w:val="right"/>
              <w:textAlignment w:val="bottom"/>
            </w:pPr>
            <w:r>
              <w:rPr>
                <w:rFonts w:ascii="Arial" w:eastAsia="宋体" w:hAnsi="Arial" w:cs="Arial"/>
                <w:b/>
                <w:bCs/>
                <w:color w:val="000000"/>
                <w:sz w:val="15"/>
                <w:szCs w:val="15"/>
              </w:rPr>
              <w:t>22,252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B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84"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B85"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B8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B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88"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B89"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B8A" w14:textId="77777777" w:rsidR="003C66EB" w:rsidRDefault="00D96C4E">
            <w:pPr>
              <w:jc w:val="right"/>
              <w:textAlignment w:val="bottom"/>
            </w:pPr>
            <w:r>
              <w:rPr>
                <w:rFonts w:ascii="Arial" w:eastAsia="宋体" w:hAnsi="Arial" w:cs="Arial"/>
                <w:b/>
                <w:bCs/>
                <w:color w:val="000000"/>
                <w:sz w:val="15"/>
                <w:szCs w:val="15"/>
              </w:rPr>
              <w:t>(15,534)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B8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8C"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B8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B8E" w14:textId="77777777" w:rsidR="003C66EB" w:rsidRDefault="00D96C4E">
            <w:pPr>
              <w:jc w:val="right"/>
              <w:textAlignment w:val="bottom"/>
            </w:pPr>
            <w:r>
              <w:rPr>
                <w:rFonts w:ascii="Arial" w:eastAsia="宋体" w:hAnsi="Arial" w:cs="Arial"/>
                <w:b/>
                <w:bCs/>
                <w:color w:val="000000"/>
                <w:sz w:val="15"/>
                <w:szCs w:val="15"/>
              </w:rPr>
              <w:t>6,727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B8F" w14:textId="77777777" w:rsidR="003C66EB" w:rsidRDefault="003C66EB">
            <w:pPr>
              <w:jc w:val="right"/>
              <w:rPr>
                <w:rFonts w:ascii="宋体"/>
              </w:rPr>
            </w:pPr>
          </w:p>
        </w:tc>
      </w:tr>
    </w:tbl>
    <w:p w14:paraId="5EA22B9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3C66EB" w14:paraId="5EA22B9E" w14:textId="77777777">
        <w:tc>
          <w:tcPr>
            <w:tcW w:w="50" w:type="pct"/>
            <w:shd w:val="clear" w:color="auto" w:fill="auto"/>
          </w:tcPr>
          <w:p w14:paraId="5EA22B92" w14:textId="77777777" w:rsidR="003C66EB" w:rsidRDefault="003C66EB">
            <w:pPr>
              <w:rPr>
                <w:rFonts w:ascii="宋体"/>
              </w:rPr>
            </w:pPr>
          </w:p>
        </w:tc>
        <w:tc>
          <w:tcPr>
            <w:tcW w:w="1348" w:type="pct"/>
            <w:shd w:val="clear" w:color="auto" w:fill="auto"/>
          </w:tcPr>
          <w:p w14:paraId="5EA22B93" w14:textId="77777777" w:rsidR="003C66EB" w:rsidRDefault="003C66EB">
            <w:pPr>
              <w:rPr>
                <w:rFonts w:ascii="宋体"/>
              </w:rPr>
            </w:pPr>
          </w:p>
        </w:tc>
        <w:tc>
          <w:tcPr>
            <w:tcW w:w="5" w:type="pct"/>
            <w:shd w:val="clear" w:color="auto" w:fill="auto"/>
          </w:tcPr>
          <w:p w14:paraId="5EA22B94" w14:textId="77777777" w:rsidR="003C66EB" w:rsidRDefault="003C66EB">
            <w:pPr>
              <w:rPr>
                <w:rFonts w:ascii="宋体"/>
              </w:rPr>
            </w:pPr>
          </w:p>
        </w:tc>
        <w:tc>
          <w:tcPr>
            <w:tcW w:w="50" w:type="pct"/>
            <w:shd w:val="clear" w:color="auto" w:fill="auto"/>
          </w:tcPr>
          <w:p w14:paraId="5EA22B95" w14:textId="77777777" w:rsidR="003C66EB" w:rsidRDefault="003C66EB">
            <w:pPr>
              <w:rPr>
                <w:rFonts w:ascii="宋体"/>
              </w:rPr>
            </w:pPr>
          </w:p>
        </w:tc>
        <w:tc>
          <w:tcPr>
            <w:tcW w:w="668" w:type="pct"/>
            <w:shd w:val="clear" w:color="auto" w:fill="auto"/>
          </w:tcPr>
          <w:p w14:paraId="5EA22B96" w14:textId="77777777" w:rsidR="003C66EB" w:rsidRDefault="003C66EB">
            <w:pPr>
              <w:rPr>
                <w:rFonts w:ascii="宋体"/>
              </w:rPr>
            </w:pPr>
          </w:p>
        </w:tc>
        <w:tc>
          <w:tcPr>
            <w:tcW w:w="5" w:type="pct"/>
            <w:shd w:val="clear" w:color="auto" w:fill="auto"/>
          </w:tcPr>
          <w:p w14:paraId="5EA22B97" w14:textId="77777777" w:rsidR="003C66EB" w:rsidRDefault="003C66EB">
            <w:pPr>
              <w:rPr>
                <w:rFonts w:ascii="宋体"/>
              </w:rPr>
            </w:pPr>
          </w:p>
        </w:tc>
        <w:tc>
          <w:tcPr>
            <w:tcW w:w="50" w:type="pct"/>
            <w:shd w:val="clear" w:color="auto" w:fill="auto"/>
          </w:tcPr>
          <w:p w14:paraId="5EA22B98" w14:textId="77777777" w:rsidR="003C66EB" w:rsidRDefault="003C66EB">
            <w:pPr>
              <w:rPr>
                <w:rFonts w:ascii="宋体"/>
              </w:rPr>
            </w:pPr>
          </w:p>
        </w:tc>
        <w:tc>
          <w:tcPr>
            <w:tcW w:w="909" w:type="pct"/>
            <w:shd w:val="clear" w:color="auto" w:fill="auto"/>
          </w:tcPr>
          <w:p w14:paraId="5EA22B99" w14:textId="77777777" w:rsidR="003C66EB" w:rsidRDefault="003C66EB">
            <w:pPr>
              <w:rPr>
                <w:rFonts w:ascii="宋体"/>
              </w:rPr>
            </w:pPr>
          </w:p>
        </w:tc>
        <w:tc>
          <w:tcPr>
            <w:tcW w:w="5" w:type="pct"/>
            <w:shd w:val="clear" w:color="auto" w:fill="auto"/>
          </w:tcPr>
          <w:p w14:paraId="5EA22B9A" w14:textId="77777777" w:rsidR="003C66EB" w:rsidRDefault="003C66EB">
            <w:pPr>
              <w:rPr>
                <w:rFonts w:ascii="宋体"/>
              </w:rPr>
            </w:pPr>
          </w:p>
        </w:tc>
        <w:tc>
          <w:tcPr>
            <w:tcW w:w="50" w:type="pct"/>
            <w:shd w:val="clear" w:color="auto" w:fill="auto"/>
          </w:tcPr>
          <w:p w14:paraId="5EA22B9B" w14:textId="77777777" w:rsidR="003C66EB" w:rsidRDefault="003C66EB">
            <w:pPr>
              <w:rPr>
                <w:rFonts w:ascii="宋体"/>
              </w:rPr>
            </w:pPr>
          </w:p>
        </w:tc>
        <w:tc>
          <w:tcPr>
            <w:tcW w:w="1852" w:type="pct"/>
            <w:shd w:val="clear" w:color="auto" w:fill="auto"/>
          </w:tcPr>
          <w:p w14:paraId="5EA22B9C" w14:textId="77777777" w:rsidR="003C66EB" w:rsidRDefault="003C66EB">
            <w:pPr>
              <w:rPr>
                <w:rFonts w:ascii="宋体"/>
              </w:rPr>
            </w:pPr>
          </w:p>
        </w:tc>
        <w:tc>
          <w:tcPr>
            <w:tcW w:w="5" w:type="pct"/>
            <w:shd w:val="clear" w:color="auto" w:fill="auto"/>
          </w:tcPr>
          <w:p w14:paraId="5EA22B9D" w14:textId="77777777" w:rsidR="003C66EB" w:rsidRDefault="003C66EB">
            <w:pPr>
              <w:rPr>
                <w:rFonts w:ascii="宋体"/>
              </w:rPr>
            </w:pPr>
          </w:p>
        </w:tc>
      </w:tr>
      <w:tr w:rsidR="003C66EB" w14:paraId="5EA22BA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2B9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A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A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A2" w14:textId="77777777" w:rsidR="003C66EB" w:rsidRDefault="003C66EB">
            <w:pPr>
              <w:rPr>
                <w:rFonts w:ascii="宋体"/>
              </w:rPr>
            </w:pPr>
          </w:p>
        </w:tc>
      </w:tr>
    </w:tbl>
    <w:p w14:paraId="5EA22BA4" w14:textId="77777777" w:rsidR="003C66EB" w:rsidRDefault="00D96C4E">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reductions of $1.81 </w:t>
      </w:r>
      <w:r>
        <w:rPr>
          <w:rFonts w:ascii="Arial" w:eastAsia="宋体" w:hAnsi="Arial" w:cs="Arial"/>
          <w:color w:val="000000"/>
          <w:sz w:val="14"/>
          <w:szCs w:val="14"/>
        </w:rPr>
        <w:t>billion and $3.61 billion, respectively, for cash collateral received from and provided to derivative counterparties.</w:t>
      </w:r>
    </w:p>
    <w:p w14:paraId="5EA22BA5" w14:textId="77777777" w:rsidR="003C66EB" w:rsidRDefault="00D96C4E">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Consists entirely of non-agency CMBS.</w:t>
      </w:r>
    </w:p>
    <w:p w14:paraId="5EA22BA6" w14:textId="77777777" w:rsidR="003C66EB" w:rsidRDefault="00D96C4E">
      <w:pPr>
        <w:spacing w:before="90"/>
        <w:jc w:val="both"/>
      </w:pPr>
      <w:r>
        <w:rPr>
          <w:rFonts w:ascii="Arial" w:eastAsia="宋体" w:hAnsi="Arial" w:cs="Arial"/>
          <w:color w:val="000000"/>
          <w:sz w:val="9"/>
          <w:szCs w:val="9"/>
        </w:rPr>
        <w:t>(3)</w:t>
      </w:r>
      <w:r>
        <w:rPr>
          <w:rFonts w:ascii="Arial" w:eastAsia="宋体" w:hAnsi="Arial" w:cs="Arial"/>
          <w:color w:val="000000"/>
          <w:sz w:val="14"/>
          <w:szCs w:val="14"/>
        </w:rPr>
        <w:t xml:space="preserve"> As of March 31, 2021, the fair value of other non-U.S. debt securities included $10.13 billi</w:t>
      </w:r>
      <w:r>
        <w:rPr>
          <w:rFonts w:ascii="Arial" w:eastAsia="宋体" w:hAnsi="Arial" w:cs="Arial"/>
          <w:color w:val="000000"/>
          <w:sz w:val="14"/>
          <w:szCs w:val="14"/>
        </w:rPr>
        <w:t>on of supranational and non-U.S. agency bonds, $1.90 billion of corporate bonds and $0.43 billion of covered bonds.</w:t>
      </w:r>
    </w:p>
    <w:p w14:paraId="5EA22BA7" w14:textId="77777777" w:rsidR="003C66EB" w:rsidRDefault="00D96C4E">
      <w:pPr>
        <w:ind w:firstLine="450"/>
        <w:jc w:val="right"/>
      </w:pPr>
      <w:r>
        <w:rPr>
          <w:rFonts w:ascii="Arial" w:eastAsia="宋体" w:hAnsi="Arial" w:cs="Arial"/>
          <w:color w:val="000000"/>
          <w:sz w:val="18"/>
          <w:szCs w:val="18"/>
        </w:rPr>
        <w:t>State Street Corporation | 54</w:t>
      </w:r>
    </w:p>
    <w:p w14:paraId="5EA22BA8" w14:textId="77777777" w:rsidR="003C66EB" w:rsidRDefault="003C66EB">
      <w:pPr>
        <w:ind w:firstLine="450"/>
        <w:jc w:val="center"/>
      </w:pPr>
    </w:p>
    <w:p w14:paraId="5EA22BA9" w14:textId="77777777" w:rsidR="003C66EB" w:rsidRDefault="00D96C4E">
      <w:r>
        <w:pict w14:anchorId="5EA287E6">
          <v:rect id="_x0000_i1078" style="width:415.3pt;height:1.5pt" o:hralign="center" o:hrstd="t" o:hr="t" fillcolor="#a0a0a0" stroked="f"/>
        </w:pict>
      </w:r>
    </w:p>
    <w:p w14:paraId="5EA22BAA" w14:textId="77777777" w:rsidR="003C66EB" w:rsidRDefault="00D96C4E">
      <w:pPr>
        <w:ind w:firstLine="450"/>
        <w:jc w:val="center"/>
      </w:pPr>
      <w:r>
        <w:rPr>
          <w:rFonts w:ascii="Arial" w:eastAsia="宋体" w:hAnsi="Arial" w:cs="Arial"/>
          <w:b/>
          <w:bCs/>
          <w:color w:val="000000"/>
          <w:sz w:val="20"/>
          <w:szCs w:val="20"/>
        </w:rPr>
        <w:t>STATE STREET CORPORATION</w:t>
      </w:r>
    </w:p>
    <w:p w14:paraId="5EA22BAB"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2BAC"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239"/>
        <w:gridCol w:w="40"/>
        <w:gridCol w:w="99"/>
        <w:gridCol w:w="1062"/>
        <w:gridCol w:w="36"/>
        <w:gridCol w:w="36"/>
        <w:gridCol w:w="36"/>
        <w:gridCol w:w="36"/>
        <w:gridCol w:w="99"/>
        <w:gridCol w:w="1107"/>
        <w:gridCol w:w="36"/>
        <w:gridCol w:w="36"/>
        <w:gridCol w:w="36"/>
        <w:gridCol w:w="36"/>
        <w:gridCol w:w="99"/>
        <w:gridCol w:w="1107"/>
        <w:gridCol w:w="36"/>
        <w:gridCol w:w="36"/>
        <w:gridCol w:w="36"/>
        <w:gridCol w:w="36"/>
        <w:gridCol w:w="99"/>
        <w:gridCol w:w="611"/>
        <w:gridCol w:w="37"/>
        <w:gridCol w:w="36"/>
        <w:gridCol w:w="36"/>
        <w:gridCol w:w="36"/>
        <w:gridCol w:w="99"/>
        <w:gridCol w:w="1008"/>
        <w:gridCol w:w="36"/>
      </w:tblGrid>
      <w:tr w:rsidR="003C66EB" w14:paraId="5EA22BCB" w14:textId="77777777">
        <w:tc>
          <w:tcPr>
            <w:tcW w:w="50" w:type="pct"/>
            <w:shd w:val="clear" w:color="auto" w:fill="auto"/>
          </w:tcPr>
          <w:p w14:paraId="5EA22BAD" w14:textId="77777777" w:rsidR="003C66EB" w:rsidRDefault="003C66EB">
            <w:pPr>
              <w:rPr>
                <w:rFonts w:ascii="宋体"/>
              </w:rPr>
            </w:pPr>
          </w:p>
        </w:tc>
        <w:tc>
          <w:tcPr>
            <w:tcW w:w="1728" w:type="pct"/>
            <w:shd w:val="clear" w:color="auto" w:fill="auto"/>
          </w:tcPr>
          <w:p w14:paraId="5EA22BAE" w14:textId="77777777" w:rsidR="003C66EB" w:rsidRDefault="003C66EB">
            <w:pPr>
              <w:rPr>
                <w:rFonts w:ascii="宋体"/>
              </w:rPr>
            </w:pPr>
          </w:p>
        </w:tc>
        <w:tc>
          <w:tcPr>
            <w:tcW w:w="5" w:type="pct"/>
            <w:shd w:val="clear" w:color="auto" w:fill="auto"/>
          </w:tcPr>
          <w:p w14:paraId="5EA22BAF" w14:textId="77777777" w:rsidR="003C66EB" w:rsidRDefault="003C66EB">
            <w:pPr>
              <w:rPr>
                <w:rFonts w:ascii="宋体"/>
              </w:rPr>
            </w:pPr>
          </w:p>
        </w:tc>
        <w:tc>
          <w:tcPr>
            <w:tcW w:w="50" w:type="pct"/>
            <w:shd w:val="clear" w:color="auto" w:fill="auto"/>
          </w:tcPr>
          <w:p w14:paraId="5EA22BB0" w14:textId="77777777" w:rsidR="003C66EB" w:rsidRDefault="003C66EB">
            <w:pPr>
              <w:rPr>
                <w:rFonts w:ascii="宋体"/>
              </w:rPr>
            </w:pPr>
          </w:p>
        </w:tc>
        <w:tc>
          <w:tcPr>
            <w:tcW w:w="610" w:type="pct"/>
            <w:shd w:val="clear" w:color="auto" w:fill="auto"/>
          </w:tcPr>
          <w:p w14:paraId="5EA22BB1" w14:textId="77777777" w:rsidR="003C66EB" w:rsidRDefault="003C66EB">
            <w:pPr>
              <w:rPr>
                <w:rFonts w:ascii="宋体"/>
              </w:rPr>
            </w:pPr>
          </w:p>
        </w:tc>
        <w:tc>
          <w:tcPr>
            <w:tcW w:w="5" w:type="pct"/>
            <w:shd w:val="clear" w:color="auto" w:fill="auto"/>
          </w:tcPr>
          <w:p w14:paraId="5EA22BB2" w14:textId="77777777" w:rsidR="003C66EB" w:rsidRDefault="003C66EB">
            <w:pPr>
              <w:rPr>
                <w:rFonts w:ascii="宋体"/>
              </w:rPr>
            </w:pPr>
          </w:p>
        </w:tc>
        <w:tc>
          <w:tcPr>
            <w:tcW w:w="5" w:type="pct"/>
            <w:shd w:val="clear" w:color="auto" w:fill="auto"/>
          </w:tcPr>
          <w:p w14:paraId="5EA22BB3" w14:textId="77777777" w:rsidR="003C66EB" w:rsidRDefault="003C66EB">
            <w:pPr>
              <w:rPr>
                <w:rFonts w:ascii="宋体"/>
              </w:rPr>
            </w:pPr>
          </w:p>
        </w:tc>
        <w:tc>
          <w:tcPr>
            <w:tcW w:w="26" w:type="pct"/>
            <w:shd w:val="clear" w:color="auto" w:fill="auto"/>
          </w:tcPr>
          <w:p w14:paraId="5EA22BB4" w14:textId="77777777" w:rsidR="003C66EB" w:rsidRDefault="003C66EB">
            <w:pPr>
              <w:rPr>
                <w:rFonts w:ascii="宋体"/>
              </w:rPr>
            </w:pPr>
          </w:p>
        </w:tc>
        <w:tc>
          <w:tcPr>
            <w:tcW w:w="5" w:type="pct"/>
            <w:shd w:val="clear" w:color="auto" w:fill="auto"/>
          </w:tcPr>
          <w:p w14:paraId="5EA22BB5" w14:textId="77777777" w:rsidR="003C66EB" w:rsidRDefault="003C66EB">
            <w:pPr>
              <w:rPr>
                <w:rFonts w:ascii="宋体"/>
              </w:rPr>
            </w:pPr>
          </w:p>
        </w:tc>
        <w:tc>
          <w:tcPr>
            <w:tcW w:w="50" w:type="pct"/>
            <w:shd w:val="clear" w:color="auto" w:fill="auto"/>
          </w:tcPr>
          <w:p w14:paraId="5EA22BB6" w14:textId="77777777" w:rsidR="003C66EB" w:rsidRDefault="003C66EB">
            <w:pPr>
              <w:rPr>
                <w:rFonts w:ascii="宋体"/>
              </w:rPr>
            </w:pPr>
          </w:p>
        </w:tc>
        <w:tc>
          <w:tcPr>
            <w:tcW w:w="610" w:type="pct"/>
            <w:shd w:val="clear" w:color="auto" w:fill="auto"/>
          </w:tcPr>
          <w:p w14:paraId="5EA22BB7" w14:textId="77777777" w:rsidR="003C66EB" w:rsidRDefault="003C66EB">
            <w:pPr>
              <w:rPr>
                <w:rFonts w:ascii="宋体"/>
              </w:rPr>
            </w:pPr>
          </w:p>
        </w:tc>
        <w:tc>
          <w:tcPr>
            <w:tcW w:w="5" w:type="pct"/>
            <w:shd w:val="clear" w:color="auto" w:fill="auto"/>
          </w:tcPr>
          <w:p w14:paraId="5EA22BB8" w14:textId="77777777" w:rsidR="003C66EB" w:rsidRDefault="003C66EB">
            <w:pPr>
              <w:rPr>
                <w:rFonts w:ascii="宋体"/>
              </w:rPr>
            </w:pPr>
          </w:p>
        </w:tc>
        <w:tc>
          <w:tcPr>
            <w:tcW w:w="5" w:type="pct"/>
            <w:shd w:val="clear" w:color="auto" w:fill="auto"/>
          </w:tcPr>
          <w:p w14:paraId="5EA22BB9" w14:textId="77777777" w:rsidR="003C66EB" w:rsidRDefault="003C66EB">
            <w:pPr>
              <w:rPr>
                <w:rFonts w:ascii="宋体"/>
              </w:rPr>
            </w:pPr>
          </w:p>
        </w:tc>
        <w:tc>
          <w:tcPr>
            <w:tcW w:w="26" w:type="pct"/>
            <w:shd w:val="clear" w:color="auto" w:fill="auto"/>
          </w:tcPr>
          <w:p w14:paraId="5EA22BBA" w14:textId="77777777" w:rsidR="003C66EB" w:rsidRDefault="003C66EB">
            <w:pPr>
              <w:rPr>
                <w:rFonts w:ascii="宋体"/>
              </w:rPr>
            </w:pPr>
          </w:p>
        </w:tc>
        <w:tc>
          <w:tcPr>
            <w:tcW w:w="5" w:type="pct"/>
            <w:shd w:val="clear" w:color="auto" w:fill="auto"/>
          </w:tcPr>
          <w:p w14:paraId="5EA22BBB" w14:textId="77777777" w:rsidR="003C66EB" w:rsidRDefault="003C66EB">
            <w:pPr>
              <w:rPr>
                <w:rFonts w:ascii="宋体"/>
              </w:rPr>
            </w:pPr>
          </w:p>
        </w:tc>
        <w:tc>
          <w:tcPr>
            <w:tcW w:w="50" w:type="pct"/>
            <w:shd w:val="clear" w:color="auto" w:fill="auto"/>
          </w:tcPr>
          <w:p w14:paraId="5EA22BBC" w14:textId="77777777" w:rsidR="003C66EB" w:rsidRDefault="003C66EB">
            <w:pPr>
              <w:rPr>
                <w:rFonts w:ascii="宋体"/>
              </w:rPr>
            </w:pPr>
          </w:p>
        </w:tc>
        <w:tc>
          <w:tcPr>
            <w:tcW w:w="610" w:type="pct"/>
            <w:shd w:val="clear" w:color="auto" w:fill="auto"/>
          </w:tcPr>
          <w:p w14:paraId="5EA22BBD" w14:textId="77777777" w:rsidR="003C66EB" w:rsidRDefault="003C66EB">
            <w:pPr>
              <w:rPr>
                <w:rFonts w:ascii="宋体"/>
              </w:rPr>
            </w:pPr>
          </w:p>
        </w:tc>
        <w:tc>
          <w:tcPr>
            <w:tcW w:w="5" w:type="pct"/>
            <w:shd w:val="clear" w:color="auto" w:fill="auto"/>
          </w:tcPr>
          <w:p w14:paraId="5EA22BBE" w14:textId="77777777" w:rsidR="003C66EB" w:rsidRDefault="003C66EB">
            <w:pPr>
              <w:rPr>
                <w:rFonts w:ascii="宋体"/>
              </w:rPr>
            </w:pPr>
          </w:p>
        </w:tc>
        <w:tc>
          <w:tcPr>
            <w:tcW w:w="5" w:type="pct"/>
            <w:shd w:val="clear" w:color="auto" w:fill="auto"/>
          </w:tcPr>
          <w:p w14:paraId="5EA22BBF" w14:textId="77777777" w:rsidR="003C66EB" w:rsidRDefault="003C66EB">
            <w:pPr>
              <w:rPr>
                <w:rFonts w:ascii="宋体"/>
              </w:rPr>
            </w:pPr>
          </w:p>
        </w:tc>
        <w:tc>
          <w:tcPr>
            <w:tcW w:w="26" w:type="pct"/>
            <w:shd w:val="clear" w:color="auto" w:fill="auto"/>
          </w:tcPr>
          <w:p w14:paraId="5EA22BC0" w14:textId="77777777" w:rsidR="003C66EB" w:rsidRDefault="003C66EB">
            <w:pPr>
              <w:rPr>
                <w:rFonts w:ascii="宋体"/>
              </w:rPr>
            </w:pPr>
          </w:p>
        </w:tc>
        <w:tc>
          <w:tcPr>
            <w:tcW w:w="5" w:type="pct"/>
            <w:shd w:val="clear" w:color="auto" w:fill="auto"/>
          </w:tcPr>
          <w:p w14:paraId="5EA22BC1" w14:textId="77777777" w:rsidR="003C66EB" w:rsidRDefault="003C66EB">
            <w:pPr>
              <w:rPr>
                <w:rFonts w:ascii="宋体"/>
              </w:rPr>
            </w:pPr>
          </w:p>
        </w:tc>
        <w:tc>
          <w:tcPr>
            <w:tcW w:w="50" w:type="pct"/>
            <w:shd w:val="clear" w:color="auto" w:fill="auto"/>
          </w:tcPr>
          <w:p w14:paraId="5EA22BC2" w14:textId="77777777" w:rsidR="003C66EB" w:rsidRDefault="003C66EB">
            <w:pPr>
              <w:rPr>
                <w:rFonts w:ascii="宋体"/>
              </w:rPr>
            </w:pPr>
          </w:p>
        </w:tc>
        <w:tc>
          <w:tcPr>
            <w:tcW w:w="354" w:type="pct"/>
            <w:shd w:val="clear" w:color="auto" w:fill="auto"/>
          </w:tcPr>
          <w:p w14:paraId="5EA22BC3" w14:textId="77777777" w:rsidR="003C66EB" w:rsidRDefault="003C66EB">
            <w:pPr>
              <w:rPr>
                <w:rFonts w:ascii="宋体"/>
              </w:rPr>
            </w:pPr>
          </w:p>
        </w:tc>
        <w:tc>
          <w:tcPr>
            <w:tcW w:w="5" w:type="pct"/>
            <w:shd w:val="clear" w:color="auto" w:fill="auto"/>
          </w:tcPr>
          <w:p w14:paraId="5EA22BC4" w14:textId="77777777" w:rsidR="003C66EB" w:rsidRDefault="003C66EB">
            <w:pPr>
              <w:rPr>
                <w:rFonts w:ascii="宋体"/>
              </w:rPr>
            </w:pPr>
          </w:p>
        </w:tc>
        <w:tc>
          <w:tcPr>
            <w:tcW w:w="5" w:type="pct"/>
            <w:shd w:val="clear" w:color="auto" w:fill="auto"/>
          </w:tcPr>
          <w:p w14:paraId="5EA22BC5" w14:textId="77777777" w:rsidR="003C66EB" w:rsidRDefault="003C66EB">
            <w:pPr>
              <w:rPr>
                <w:rFonts w:ascii="宋体"/>
              </w:rPr>
            </w:pPr>
          </w:p>
        </w:tc>
        <w:tc>
          <w:tcPr>
            <w:tcW w:w="26" w:type="pct"/>
            <w:shd w:val="clear" w:color="auto" w:fill="auto"/>
          </w:tcPr>
          <w:p w14:paraId="5EA22BC6" w14:textId="77777777" w:rsidR="003C66EB" w:rsidRDefault="003C66EB">
            <w:pPr>
              <w:rPr>
                <w:rFonts w:ascii="宋体"/>
              </w:rPr>
            </w:pPr>
          </w:p>
        </w:tc>
        <w:tc>
          <w:tcPr>
            <w:tcW w:w="5" w:type="pct"/>
            <w:shd w:val="clear" w:color="auto" w:fill="auto"/>
          </w:tcPr>
          <w:p w14:paraId="5EA22BC7" w14:textId="77777777" w:rsidR="003C66EB" w:rsidRDefault="003C66EB">
            <w:pPr>
              <w:rPr>
                <w:rFonts w:ascii="宋体"/>
              </w:rPr>
            </w:pPr>
          </w:p>
        </w:tc>
        <w:tc>
          <w:tcPr>
            <w:tcW w:w="50" w:type="pct"/>
            <w:shd w:val="clear" w:color="auto" w:fill="auto"/>
          </w:tcPr>
          <w:p w14:paraId="5EA22BC8" w14:textId="77777777" w:rsidR="003C66EB" w:rsidRDefault="003C66EB">
            <w:pPr>
              <w:rPr>
                <w:rFonts w:ascii="宋体"/>
              </w:rPr>
            </w:pPr>
          </w:p>
        </w:tc>
        <w:tc>
          <w:tcPr>
            <w:tcW w:w="610" w:type="pct"/>
            <w:shd w:val="clear" w:color="auto" w:fill="auto"/>
          </w:tcPr>
          <w:p w14:paraId="5EA22BC9" w14:textId="77777777" w:rsidR="003C66EB" w:rsidRDefault="003C66EB">
            <w:pPr>
              <w:rPr>
                <w:rFonts w:ascii="宋体"/>
              </w:rPr>
            </w:pPr>
          </w:p>
        </w:tc>
        <w:tc>
          <w:tcPr>
            <w:tcW w:w="5" w:type="pct"/>
            <w:shd w:val="clear" w:color="auto" w:fill="auto"/>
          </w:tcPr>
          <w:p w14:paraId="5EA22BCA" w14:textId="77777777" w:rsidR="003C66EB" w:rsidRDefault="003C66EB">
            <w:pPr>
              <w:rPr>
                <w:rFonts w:ascii="宋体"/>
              </w:rPr>
            </w:pPr>
          </w:p>
        </w:tc>
      </w:tr>
      <w:tr w:rsidR="003C66EB" w14:paraId="5EA22BCE" w14:textId="77777777">
        <w:tc>
          <w:tcPr>
            <w:tcW w:w="0" w:type="auto"/>
            <w:gridSpan w:val="3"/>
            <w:shd w:val="clear" w:color="auto" w:fill="auto"/>
            <w:tcMar>
              <w:top w:w="0" w:type="dxa"/>
              <w:left w:w="20" w:type="dxa"/>
              <w:bottom w:w="0" w:type="dxa"/>
              <w:right w:w="20" w:type="dxa"/>
            </w:tcMar>
          </w:tcPr>
          <w:p w14:paraId="5EA22BCC" w14:textId="77777777" w:rsidR="003C66EB" w:rsidRDefault="003C66EB">
            <w:pPr>
              <w:rPr>
                <w:rFonts w:ascii="宋体"/>
              </w:rPr>
            </w:pPr>
          </w:p>
        </w:tc>
        <w:tc>
          <w:tcPr>
            <w:tcW w:w="0" w:type="auto"/>
            <w:gridSpan w:val="27"/>
            <w:shd w:val="clear" w:color="auto" w:fill="auto"/>
            <w:tcMar>
              <w:top w:w="40" w:type="dxa"/>
              <w:left w:w="20" w:type="dxa"/>
              <w:bottom w:w="40" w:type="dxa"/>
              <w:right w:w="20" w:type="dxa"/>
            </w:tcMar>
            <w:vAlign w:val="bottom"/>
          </w:tcPr>
          <w:p w14:paraId="5EA22BCD" w14:textId="77777777" w:rsidR="003C66EB" w:rsidRDefault="00D96C4E">
            <w:pPr>
              <w:jc w:val="center"/>
              <w:textAlignment w:val="bottom"/>
            </w:pPr>
            <w:r>
              <w:rPr>
                <w:rFonts w:ascii="Arial" w:eastAsia="宋体" w:hAnsi="Arial" w:cs="Arial"/>
                <w:b/>
                <w:bCs/>
                <w:color w:val="000000"/>
                <w:sz w:val="15"/>
                <w:szCs w:val="15"/>
              </w:rPr>
              <w:t>Fair Value Measurements on a Recurring Basis</w:t>
            </w:r>
          </w:p>
        </w:tc>
      </w:tr>
      <w:tr w:rsidR="003C66EB" w14:paraId="5EA22BD1" w14:textId="77777777">
        <w:tc>
          <w:tcPr>
            <w:tcW w:w="0" w:type="auto"/>
            <w:gridSpan w:val="3"/>
            <w:shd w:val="clear" w:color="auto" w:fill="auto"/>
            <w:tcMar>
              <w:top w:w="0" w:type="dxa"/>
              <w:left w:w="20" w:type="dxa"/>
              <w:bottom w:w="0" w:type="dxa"/>
              <w:right w:w="20" w:type="dxa"/>
            </w:tcMar>
          </w:tcPr>
          <w:p w14:paraId="5EA22BCF" w14:textId="77777777" w:rsidR="003C66EB" w:rsidRDefault="003C66EB">
            <w:pPr>
              <w:rPr>
                <w:rFonts w:ascii="宋体"/>
              </w:rPr>
            </w:pPr>
          </w:p>
        </w:tc>
        <w:tc>
          <w:tcPr>
            <w:tcW w:w="0" w:type="auto"/>
            <w:gridSpan w:val="27"/>
            <w:shd w:val="clear" w:color="auto" w:fill="auto"/>
            <w:tcMar>
              <w:top w:w="40" w:type="dxa"/>
              <w:left w:w="20" w:type="dxa"/>
              <w:bottom w:w="40" w:type="dxa"/>
              <w:right w:w="20" w:type="dxa"/>
            </w:tcMar>
            <w:vAlign w:val="bottom"/>
          </w:tcPr>
          <w:p w14:paraId="5EA22BD0" w14:textId="77777777" w:rsidR="003C66EB" w:rsidRDefault="00D96C4E">
            <w:pPr>
              <w:jc w:val="center"/>
              <w:textAlignment w:val="bottom"/>
            </w:pPr>
            <w:r>
              <w:rPr>
                <w:rFonts w:ascii="Arial" w:eastAsia="宋体" w:hAnsi="Arial" w:cs="Arial"/>
                <w:b/>
                <w:bCs/>
                <w:color w:val="000000"/>
                <w:sz w:val="15"/>
                <w:szCs w:val="15"/>
              </w:rPr>
              <w:t>As of December 31, 2020</w:t>
            </w:r>
          </w:p>
        </w:tc>
      </w:tr>
      <w:tr w:rsidR="003C66EB" w14:paraId="5EA22BDC" w14:textId="77777777">
        <w:tc>
          <w:tcPr>
            <w:tcW w:w="0" w:type="auto"/>
            <w:gridSpan w:val="3"/>
            <w:shd w:val="clear" w:color="auto" w:fill="auto"/>
            <w:tcMar>
              <w:top w:w="40" w:type="dxa"/>
              <w:left w:w="20" w:type="dxa"/>
              <w:bottom w:w="40" w:type="dxa"/>
              <w:right w:w="20" w:type="dxa"/>
            </w:tcMar>
            <w:vAlign w:val="bottom"/>
          </w:tcPr>
          <w:p w14:paraId="5EA22BD2" w14:textId="77777777" w:rsidR="003C66EB" w:rsidRDefault="00D96C4E">
            <w:pPr>
              <w:spacing w:before="90"/>
              <w:textAlignment w:val="bottom"/>
            </w:pPr>
            <w:r>
              <w:rPr>
                <w:rFonts w:ascii="Arial" w:eastAsia="宋体" w:hAnsi="Arial" w:cs="Arial"/>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BD3" w14:textId="77777777" w:rsidR="003C66EB" w:rsidRDefault="00D96C4E">
            <w:pPr>
              <w:jc w:val="center"/>
              <w:textAlignment w:val="bottom"/>
            </w:pPr>
            <w:r>
              <w:rPr>
                <w:rFonts w:ascii="Arial" w:eastAsia="宋体" w:hAnsi="Arial" w:cs="Arial"/>
                <w:b/>
                <w:bCs/>
                <w:color w:val="000000"/>
                <w:sz w:val="15"/>
                <w:szCs w:val="15"/>
              </w:rPr>
              <w:t>Quoted Market</w:t>
            </w:r>
            <w:r>
              <w:rPr>
                <w:rFonts w:ascii="Arial" w:eastAsia="宋体" w:hAnsi="Arial" w:cs="Arial"/>
                <w:b/>
                <w:bCs/>
                <w:color w:val="000000"/>
                <w:sz w:val="15"/>
                <w:szCs w:val="15"/>
              </w:rPr>
              <w:br/>
              <w:t>Prices in Active</w:t>
            </w:r>
            <w:r>
              <w:rPr>
                <w:rFonts w:ascii="Arial" w:eastAsia="宋体" w:hAnsi="Arial" w:cs="Arial"/>
                <w:b/>
                <w:bCs/>
                <w:color w:val="000000"/>
                <w:sz w:val="15"/>
                <w:szCs w:val="15"/>
              </w:rPr>
              <w:br/>
              <w:t>Markets</w:t>
            </w:r>
            <w:r>
              <w:rPr>
                <w:rFonts w:ascii="Arial" w:eastAsia="宋体" w:hAnsi="Arial" w:cs="Arial"/>
                <w:b/>
                <w:bCs/>
                <w:color w:val="000000"/>
                <w:sz w:val="15"/>
                <w:szCs w:val="15"/>
              </w:rPr>
              <w:b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5EA22BD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BD5" w14:textId="77777777" w:rsidR="003C66EB" w:rsidRDefault="00D96C4E">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5EA22BD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BD7" w14:textId="77777777" w:rsidR="003C66EB" w:rsidRDefault="00D96C4E">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Unobservable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5EA22BD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BD9" w14:textId="77777777" w:rsidR="003C66EB" w:rsidRDefault="00D96C4E">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tcPr>
          <w:p w14:paraId="5EA22BD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BDB" w14:textId="77777777" w:rsidR="003C66EB" w:rsidRDefault="00D96C4E">
            <w:pPr>
              <w:jc w:val="center"/>
              <w:textAlignment w:val="bottom"/>
            </w:pPr>
            <w:r>
              <w:rPr>
                <w:rFonts w:ascii="Arial" w:eastAsia="宋体" w:hAnsi="Arial" w:cs="Arial"/>
                <w:b/>
                <w:bCs/>
                <w:color w:val="000000"/>
                <w:sz w:val="15"/>
                <w:szCs w:val="15"/>
              </w:rPr>
              <w:t>Total Net</w:t>
            </w:r>
            <w:r>
              <w:rPr>
                <w:rFonts w:ascii="Arial" w:eastAsia="宋体" w:hAnsi="Arial" w:cs="Arial"/>
                <w:b/>
                <w:bCs/>
                <w:color w:val="000000"/>
                <w:sz w:val="15"/>
                <w:szCs w:val="15"/>
              </w:rPr>
              <w:br/>
              <w:t>Carrying Value</w:t>
            </w:r>
            <w:r>
              <w:rPr>
                <w:rFonts w:ascii="Arial" w:eastAsia="宋体" w:hAnsi="Arial" w:cs="Arial"/>
                <w:b/>
                <w:bCs/>
                <w:color w:val="000000"/>
                <w:sz w:val="15"/>
                <w:szCs w:val="15"/>
              </w:rPr>
              <w:br/>
              <w:t>in Consolidated</w:t>
            </w:r>
            <w:r>
              <w:rPr>
                <w:rFonts w:ascii="Arial" w:eastAsia="宋体" w:hAnsi="Arial" w:cs="Arial"/>
                <w:b/>
                <w:bCs/>
                <w:color w:val="000000"/>
                <w:sz w:val="15"/>
                <w:szCs w:val="15"/>
              </w:rPr>
              <w:br/>
              <w:t>Statement of</w:t>
            </w:r>
            <w:r>
              <w:rPr>
                <w:rFonts w:ascii="Arial" w:eastAsia="宋体" w:hAnsi="Arial" w:cs="Arial"/>
                <w:b/>
                <w:bCs/>
                <w:color w:val="000000"/>
                <w:sz w:val="15"/>
                <w:szCs w:val="15"/>
              </w:rPr>
              <w:br/>
              <w:t>Condition</w:t>
            </w:r>
          </w:p>
        </w:tc>
      </w:tr>
      <w:tr w:rsidR="003C66EB" w14:paraId="5EA22BE7" w14:textId="77777777">
        <w:tc>
          <w:tcPr>
            <w:tcW w:w="0" w:type="auto"/>
            <w:gridSpan w:val="3"/>
            <w:shd w:val="clear" w:color="auto" w:fill="auto"/>
            <w:tcMar>
              <w:top w:w="40" w:type="dxa"/>
              <w:left w:w="20" w:type="dxa"/>
              <w:bottom w:w="40" w:type="dxa"/>
              <w:right w:w="20" w:type="dxa"/>
            </w:tcMar>
            <w:vAlign w:val="bottom"/>
          </w:tcPr>
          <w:p w14:paraId="5EA22BDD" w14:textId="77777777" w:rsidR="003C66EB" w:rsidRDefault="00D96C4E">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2B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D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BE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B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BE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BE6" w14:textId="77777777" w:rsidR="003C66EB" w:rsidRDefault="003C66EB">
            <w:pPr>
              <w:rPr>
                <w:rFonts w:ascii="宋体"/>
              </w:rPr>
            </w:pPr>
          </w:p>
        </w:tc>
      </w:tr>
      <w:tr w:rsidR="003C66EB" w14:paraId="5EA22BF2" w14:textId="77777777">
        <w:tc>
          <w:tcPr>
            <w:tcW w:w="0" w:type="auto"/>
            <w:gridSpan w:val="3"/>
            <w:shd w:val="clear" w:color="auto" w:fill="auto"/>
            <w:tcMar>
              <w:top w:w="40" w:type="dxa"/>
              <w:left w:w="20" w:type="dxa"/>
              <w:bottom w:w="40" w:type="dxa"/>
              <w:right w:w="20" w:type="dxa"/>
            </w:tcMar>
            <w:vAlign w:val="bottom"/>
          </w:tcPr>
          <w:p w14:paraId="5EA22BE8" w14:textId="77777777" w:rsidR="003C66EB" w:rsidRDefault="00D96C4E">
            <w:pPr>
              <w:textAlignment w:val="bottom"/>
            </w:pPr>
            <w:r>
              <w:rPr>
                <w:rFonts w:ascii="Arial" w:eastAsia="宋体" w:hAnsi="Arial" w:cs="Arial"/>
                <w:color w:val="000000"/>
                <w:sz w:val="14"/>
                <w:szCs w:val="14"/>
              </w:rPr>
              <w:t>Trading account assets:</w:t>
            </w:r>
          </w:p>
        </w:tc>
        <w:tc>
          <w:tcPr>
            <w:tcW w:w="0" w:type="auto"/>
            <w:gridSpan w:val="3"/>
            <w:shd w:val="clear" w:color="auto" w:fill="auto"/>
            <w:tcMar>
              <w:top w:w="0" w:type="dxa"/>
              <w:left w:w="20" w:type="dxa"/>
              <w:bottom w:w="0" w:type="dxa"/>
              <w:right w:w="20" w:type="dxa"/>
            </w:tcMar>
          </w:tcPr>
          <w:p w14:paraId="5EA22B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BF1" w14:textId="77777777" w:rsidR="003C66EB" w:rsidRDefault="003C66EB">
            <w:pPr>
              <w:rPr>
                <w:rFonts w:ascii="宋体"/>
              </w:rPr>
            </w:pPr>
          </w:p>
        </w:tc>
      </w:tr>
      <w:tr w:rsidR="003C66EB" w14:paraId="5EA22C05" w14:textId="77777777">
        <w:tc>
          <w:tcPr>
            <w:tcW w:w="0" w:type="auto"/>
            <w:gridSpan w:val="3"/>
            <w:shd w:val="clear" w:color="auto" w:fill="CCEEFF"/>
            <w:tcMar>
              <w:top w:w="40" w:type="dxa"/>
              <w:left w:w="245" w:type="dxa"/>
              <w:bottom w:w="40" w:type="dxa"/>
              <w:right w:w="20" w:type="dxa"/>
            </w:tcMar>
            <w:vAlign w:val="bottom"/>
          </w:tcPr>
          <w:p w14:paraId="5EA22BF3" w14:textId="77777777" w:rsidR="003C66EB" w:rsidRDefault="00D96C4E">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5EA22BF4"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BF5" w14:textId="77777777" w:rsidR="003C66EB" w:rsidRDefault="00D96C4E">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5EA22B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F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BF8"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BF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BF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F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BFC"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BF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B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BF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0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0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C02"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C03" w14:textId="77777777" w:rsidR="003C66EB" w:rsidRDefault="00D96C4E">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5EA22C04" w14:textId="77777777" w:rsidR="003C66EB" w:rsidRDefault="003C66EB">
            <w:pPr>
              <w:jc w:val="right"/>
              <w:rPr>
                <w:rFonts w:ascii="宋体"/>
              </w:rPr>
            </w:pPr>
          </w:p>
        </w:tc>
      </w:tr>
      <w:tr w:rsidR="003C66EB" w14:paraId="5EA22C14" w14:textId="77777777">
        <w:tc>
          <w:tcPr>
            <w:tcW w:w="0" w:type="auto"/>
            <w:gridSpan w:val="3"/>
            <w:shd w:val="clear" w:color="auto" w:fill="FFFFFF"/>
            <w:tcMar>
              <w:top w:w="40" w:type="dxa"/>
              <w:left w:w="245" w:type="dxa"/>
              <w:bottom w:w="40" w:type="dxa"/>
              <w:right w:w="20" w:type="dxa"/>
            </w:tcMar>
            <w:vAlign w:val="bottom"/>
          </w:tcPr>
          <w:p w14:paraId="5EA22C06" w14:textId="77777777" w:rsidR="003C66EB" w:rsidRDefault="00D96C4E">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5EA22C0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0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0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0A" w14:textId="77777777" w:rsidR="003C66EB" w:rsidRDefault="00D96C4E">
            <w:pPr>
              <w:jc w:val="right"/>
              <w:textAlignment w:val="bottom"/>
            </w:pPr>
            <w:r>
              <w:rPr>
                <w:rFonts w:ascii="Arial" w:eastAsia="宋体" w:hAnsi="Arial" w:cs="Arial"/>
                <w:color w:val="000000"/>
                <w:sz w:val="14"/>
                <w:szCs w:val="14"/>
              </w:rPr>
              <w:t>239 </w:t>
            </w:r>
          </w:p>
        </w:tc>
        <w:tc>
          <w:tcPr>
            <w:tcW w:w="0" w:type="auto"/>
            <w:shd w:val="clear" w:color="auto" w:fill="FFFFFF"/>
            <w:tcMar>
              <w:top w:w="40" w:type="dxa"/>
              <w:left w:w="0" w:type="dxa"/>
              <w:bottom w:w="40" w:type="dxa"/>
              <w:right w:w="20" w:type="dxa"/>
            </w:tcMar>
            <w:vAlign w:val="bottom"/>
          </w:tcPr>
          <w:p w14:paraId="5EA22C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0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0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0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1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12" w14:textId="77777777" w:rsidR="003C66EB" w:rsidRDefault="00D96C4E">
            <w:pPr>
              <w:jc w:val="right"/>
              <w:textAlignment w:val="bottom"/>
            </w:pPr>
            <w:r>
              <w:rPr>
                <w:rFonts w:ascii="Arial" w:eastAsia="宋体" w:hAnsi="Arial" w:cs="Arial"/>
                <w:color w:val="000000"/>
                <w:sz w:val="14"/>
                <w:szCs w:val="14"/>
              </w:rPr>
              <w:t>239 </w:t>
            </w:r>
          </w:p>
        </w:tc>
        <w:tc>
          <w:tcPr>
            <w:tcW w:w="0" w:type="auto"/>
            <w:shd w:val="clear" w:color="auto" w:fill="FFFFFF"/>
            <w:tcMar>
              <w:top w:w="40" w:type="dxa"/>
              <w:left w:w="0" w:type="dxa"/>
              <w:bottom w:w="40" w:type="dxa"/>
              <w:right w:w="20" w:type="dxa"/>
            </w:tcMar>
            <w:vAlign w:val="bottom"/>
          </w:tcPr>
          <w:p w14:paraId="5EA22C13" w14:textId="77777777" w:rsidR="003C66EB" w:rsidRDefault="003C66EB">
            <w:pPr>
              <w:jc w:val="right"/>
              <w:rPr>
                <w:rFonts w:ascii="宋体"/>
              </w:rPr>
            </w:pPr>
          </w:p>
        </w:tc>
      </w:tr>
      <w:tr w:rsidR="003C66EB" w14:paraId="5EA22C23" w14:textId="77777777">
        <w:tc>
          <w:tcPr>
            <w:tcW w:w="0" w:type="auto"/>
            <w:gridSpan w:val="3"/>
            <w:shd w:val="clear" w:color="auto" w:fill="CCEEFF"/>
            <w:tcMar>
              <w:top w:w="40" w:type="dxa"/>
              <w:left w:w="245" w:type="dxa"/>
              <w:bottom w:w="40" w:type="dxa"/>
              <w:right w:w="20" w:type="dxa"/>
            </w:tcMar>
            <w:vAlign w:val="bottom"/>
          </w:tcPr>
          <w:p w14:paraId="5EA22C15" w14:textId="77777777" w:rsidR="003C66EB" w:rsidRDefault="00D96C4E">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5EA22C16"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2C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19" w14:textId="77777777" w:rsidR="003C66EB" w:rsidRDefault="00D96C4E">
            <w:pPr>
              <w:jc w:val="right"/>
              <w:textAlignment w:val="bottom"/>
            </w:pPr>
            <w:r>
              <w:rPr>
                <w:rFonts w:ascii="Arial" w:eastAsia="宋体" w:hAnsi="Arial" w:cs="Arial"/>
                <w:color w:val="000000"/>
                <w:sz w:val="14"/>
                <w:szCs w:val="14"/>
              </w:rPr>
              <w:t>519 </w:t>
            </w:r>
          </w:p>
        </w:tc>
        <w:tc>
          <w:tcPr>
            <w:tcW w:w="0" w:type="auto"/>
            <w:shd w:val="clear" w:color="auto" w:fill="CCEEFF"/>
            <w:tcMar>
              <w:top w:w="40" w:type="dxa"/>
              <w:left w:w="0" w:type="dxa"/>
              <w:bottom w:w="40" w:type="dxa"/>
              <w:right w:w="20" w:type="dxa"/>
            </w:tcMar>
            <w:vAlign w:val="bottom"/>
          </w:tcPr>
          <w:p w14:paraId="5EA22C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1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1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1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1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2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21" w14:textId="77777777" w:rsidR="003C66EB" w:rsidRDefault="00D96C4E">
            <w:pPr>
              <w:jc w:val="right"/>
              <w:textAlignment w:val="bottom"/>
            </w:pPr>
            <w:r>
              <w:rPr>
                <w:rFonts w:ascii="Arial" w:eastAsia="宋体" w:hAnsi="Arial" w:cs="Arial"/>
                <w:color w:val="000000"/>
                <w:sz w:val="14"/>
                <w:szCs w:val="14"/>
              </w:rPr>
              <w:t>536 </w:t>
            </w:r>
          </w:p>
        </w:tc>
        <w:tc>
          <w:tcPr>
            <w:tcW w:w="0" w:type="auto"/>
            <w:shd w:val="clear" w:color="auto" w:fill="CCEEFF"/>
            <w:tcMar>
              <w:top w:w="40" w:type="dxa"/>
              <w:left w:w="0" w:type="dxa"/>
              <w:bottom w:w="40" w:type="dxa"/>
              <w:right w:w="20" w:type="dxa"/>
            </w:tcMar>
            <w:vAlign w:val="bottom"/>
          </w:tcPr>
          <w:p w14:paraId="5EA22C22" w14:textId="77777777" w:rsidR="003C66EB" w:rsidRDefault="003C66EB">
            <w:pPr>
              <w:jc w:val="right"/>
              <w:rPr>
                <w:rFonts w:ascii="宋体"/>
              </w:rPr>
            </w:pPr>
          </w:p>
        </w:tc>
      </w:tr>
      <w:tr w:rsidR="003C66EB" w14:paraId="5EA22C32" w14:textId="77777777">
        <w:tc>
          <w:tcPr>
            <w:tcW w:w="0" w:type="auto"/>
            <w:gridSpan w:val="3"/>
            <w:shd w:val="clear" w:color="auto" w:fill="FFFFFF"/>
            <w:tcMar>
              <w:top w:w="40" w:type="dxa"/>
              <w:left w:w="740" w:type="dxa"/>
              <w:bottom w:w="40" w:type="dxa"/>
              <w:right w:w="20" w:type="dxa"/>
            </w:tcMar>
            <w:vAlign w:val="bottom"/>
          </w:tcPr>
          <w:p w14:paraId="5EA22C24" w14:textId="77777777" w:rsidR="003C66EB" w:rsidRDefault="00D96C4E">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C25" w14:textId="77777777" w:rsidR="003C66EB" w:rsidRDefault="00D96C4E">
            <w:pPr>
              <w:jc w:val="right"/>
              <w:textAlignment w:val="bottom"/>
            </w:pPr>
            <w:r>
              <w:rPr>
                <w:rFonts w:ascii="Arial" w:eastAsia="宋体" w:hAnsi="Arial" w:cs="Arial"/>
                <w:color w:val="000000"/>
                <w:sz w:val="14"/>
                <w:szCs w:val="14"/>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C2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2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C28" w14:textId="77777777" w:rsidR="003C66EB" w:rsidRDefault="00D96C4E">
            <w:pPr>
              <w:jc w:val="right"/>
              <w:textAlignment w:val="bottom"/>
            </w:pPr>
            <w:r>
              <w:rPr>
                <w:rFonts w:ascii="Arial" w:eastAsia="宋体" w:hAnsi="Arial" w:cs="Arial"/>
                <w:color w:val="000000"/>
                <w:sz w:val="14"/>
                <w:szCs w:val="14"/>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C2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2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C2B"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C2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2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2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2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C30" w14:textId="77777777" w:rsidR="003C66EB" w:rsidRDefault="00D96C4E">
            <w:pPr>
              <w:jc w:val="right"/>
              <w:textAlignment w:val="bottom"/>
            </w:pPr>
            <w:r>
              <w:rPr>
                <w:rFonts w:ascii="Arial" w:eastAsia="宋体" w:hAnsi="Arial" w:cs="Arial"/>
                <w:color w:val="000000"/>
                <w:sz w:val="14"/>
                <w:szCs w:val="14"/>
              </w:rPr>
              <w:t>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C31" w14:textId="77777777" w:rsidR="003C66EB" w:rsidRDefault="003C66EB">
            <w:pPr>
              <w:jc w:val="right"/>
              <w:rPr>
                <w:rFonts w:ascii="宋体"/>
              </w:rPr>
            </w:pPr>
          </w:p>
        </w:tc>
      </w:tr>
      <w:tr w:rsidR="003C66EB" w14:paraId="5EA22C3D" w14:textId="77777777">
        <w:tc>
          <w:tcPr>
            <w:tcW w:w="0" w:type="auto"/>
            <w:gridSpan w:val="3"/>
            <w:shd w:val="clear" w:color="auto" w:fill="CCEEFF"/>
            <w:tcMar>
              <w:top w:w="40" w:type="dxa"/>
              <w:left w:w="20" w:type="dxa"/>
              <w:bottom w:w="40" w:type="dxa"/>
              <w:right w:w="20" w:type="dxa"/>
            </w:tcMar>
            <w:vAlign w:val="bottom"/>
          </w:tcPr>
          <w:p w14:paraId="5EA22C33" w14:textId="77777777" w:rsidR="003C66EB" w:rsidRDefault="00D96C4E">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5EA22C3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35"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2C3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37"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2C3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3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3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3B"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2C3C" w14:textId="77777777" w:rsidR="003C66EB" w:rsidRDefault="003C66EB">
            <w:pPr>
              <w:rPr>
                <w:rFonts w:ascii="宋体"/>
              </w:rPr>
            </w:pPr>
          </w:p>
        </w:tc>
      </w:tr>
      <w:tr w:rsidR="003C66EB" w14:paraId="5EA22C48" w14:textId="77777777">
        <w:tc>
          <w:tcPr>
            <w:tcW w:w="0" w:type="auto"/>
            <w:gridSpan w:val="3"/>
            <w:shd w:val="clear" w:color="auto" w:fill="FFFFFF"/>
            <w:tcMar>
              <w:top w:w="40" w:type="dxa"/>
              <w:left w:w="245" w:type="dxa"/>
              <w:bottom w:w="40" w:type="dxa"/>
              <w:right w:w="20" w:type="dxa"/>
            </w:tcMar>
            <w:vAlign w:val="bottom"/>
          </w:tcPr>
          <w:p w14:paraId="5EA22C3E" w14:textId="77777777" w:rsidR="003C66EB" w:rsidRDefault="00D96C4E">
            <w:pPr>
              <w:textAlignment w:val="bottom"/>
            </w:pPr>
            <w:r>
              <w:rPr>
                <w:rFonts w:ascii="Arial" w:eastAsia="宋体" w:hAnsi="Arial" w:cs="Arial"/>
                <w:color w:val="000000"/>
                <w:sz w:val="15"/>
                <w:szCs w:val="15"/>
              </w:rPr>
              <w:t xml:space="preserve">U.S. </w:t>
            </w:r>
            <w:r>
              <w:rPr>
                <w:rFonts w:ascii="Arial" w:eastAsia="宋体" w:hAnsi="Arial" w:cs="Arial"/>
                <w:color w:val="000000"/>
                <w:sz w:val="15"/>
                <w:szCs w:val="15"/>
              </w:rPr>
              <w:t>Treasury and federal agencies:</w:t>
            </w:r>
          </w:p>
        </w:tc>
        <w:tc>
          <w:tcPr>
            <w:tcW w:w="0" w:type="auto"/>
            <w:gridSpan w:val="3"/>
            <w:shd w:val="clear" w:color="auto" w:fill="FFFFFF"/>
            <w:tcMar>
              <w:top w:w="0" w:type="dxa"/>
              <w:left w:w="20" w:type="dxa"/>
              <w:bottom w:w="0" w:type="dxa"/>
              <w:right w:w="20" w:type="dxa"/>
            </w:tcMar>
          </w:tcPr>
          <w:p w14:paraId="5EA22C3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47" w14:textId="77777777" w:rsidR="003C66EB" w:rsidRDefault="003C66EB">
            <w:pPr>
              <w:rPr>
                <w:rFonts w:ascii="宋体"/>
              </w:rPr>
            </w:pPr>
          </w:p>
        </w:tc>
      </w:tr>
      <w:tr w:rsidR="003C66EB" w14:paraId="5EA22C57" w14:textId="77777777">
        <w:tc>
          <w:tcPr>
            <w:tcW w:w="0" w:type="auto"/>
            <w:gridSpan w:val="3"/>
            <w:shd w:val="clear" w:color="auto" w:fill="CCEEFF"/>
            <w:tcMar>
              <w:top w:w="40" w:type="dxa"/>
              <w:left w:w="515" w:type="dxa"/>
              <w:bottom w:w="40" w:type="dxa"/>
              <w:right w:w="20" w:type="dxa"/>
            </w:tcMar>
            <w:vAlign w:val="bottom"/>
          </w:tcPr>
          <w:p w14:paraId="5EA22C49" w14:textId="77777777" w:rsidR="003C66EB" w:rsidRDefault="00D96C4E">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5EA22C4A" w14:textId="77777777" w:rsidR="003C66EB" w:rsidRDefault="00D96C4E">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EA22C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4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4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4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5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5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5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5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55" w14:textId="77777777" w:rsidR="003C66EB" w:rsidRDefault="00D96C4E">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EA22C56" w14:textId="77777777" w:rsidR="003C66EB" w:rsidRDefault="003C66EB">
            <w:pPr>
              <w:jc w:val="right"/>
              <w:rPr>
                <w:rFonts w:ascii="宋体"/>
              </w:rPr>
            </w:pPr>
          </w:p>
        </w:tc>
      </w:tr>
      <w:tr w:rsidR="003C66EB" w14:paraId="5EA22C66" w14:textId="77777777">
        <w:tc>
          <w:tcPr>
            <w:tcW w:w="0" w:type="auto"/>
            <w:gridSpan w:val="3"/>
            <w:shd w:val="clear" w:color="auto" w:fill="FFFFFF"/>
            <w:tcMar>
              <w:top w:w="40" w:type="dxa"/>
              <w:left w:w="515" w:type="dxa"/>
              <w:bottom w:w="40" w:type="dxa"/>
              <w:right w:w="20" w:type="dxa"/>
            </w:tcMar>
            <w:vAlign w:val="bottom"/>
          </w:tcPr>
          <w:p w14:paraId="5EA22C58"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A22C5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5C" w14:textId="77777777" w:rsidR="003C66EB" w:rsidRDefault="00D96C4E">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EA22C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5F"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6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6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6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64" w14:textId="77777777" w:rsidR="003C66EB" w:rsidRDefault="00D96C4E">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EA22C65" w14:textId="77777777" w:rsidR="003C66EB" w:rsidRDefault="003C66EB">
            <w:pPr>
              <w:jc w:val="right"/>
              <w:rPr>
                <w:rFonts w:ascii="宋体"/>
              </w:rPr>
            </w:pPr>
          </w:p>
        </w:tc>
      </w:tr>
      <w:tr w:rsidR="003C66EB" w14:paraId="5EA22C75" w14:textId="77777777">
        <w:tc>
          <w:tcPr>
            <w:tcW w:w="0" w:type="auto"/>
            <w:gridSpan w:val="3"/>
            <w:shd w:val="clear" w:color="auto" w:fill="CCEEFF"/>
            <w:tcMar>
              <w:top w:w="40" w:type="dxa"/>
              <w:left w:w="740" w:type="dxa"/>
              <w:bottom w:w="40" w:type="dxa"/>
              <w:right w:w="20" w:type="dxa"/>
            </w:tcMar>
            <w:vAlign w:val="bottom"/>
          </w:tcPr>
          <w:p w14:paraId="5EA22C67" w14:textId="77777777" w:rsidR="003C66EB" w:rsidRDefault="00D96C4E">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68" w14:textId="77777777" w:rsidR="003C66EB" w:rsidRDefault="00D96C4E">
            <w:pPr>
              <w:jc w:val="right"/>
              <w:textAlignment w:val="bottom"/>
            </w:pPr>
            <w:r>
              <w:rPr>
                <w:rFonts w:ascii="Arial" w:eastAsia="宋体" w:hAnsi="Arial" w:cs="Arial"/>
                <w:color w:val="000000"/>
                <w:sz w:val="14"/>
                <w:szCs w:val="14"/>
              </w:rPr>
              <w:t>6,575 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6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6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6B" w14:textId="77777777" w:rsidR="003C66EB" w:rsidRDefault="00D96C4E">
            <w:pPr>
              <w:jc w:val="right"/>
              <w:textAlignment w:val="bottom"/>
            </w:pPr>
            <w:r>
              <w:rPr>
                <w:rFonts w:ascii="Arial" w:eastAsia="宋体" w:hAnsi="Arial" w:cs="Arial"/>
                <w:color w:val="000000"/>
                <w:sz w:val="14"/>
                <w:szCs w:val="14"/>
              </w:rPr>
              <w:t>14,305 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6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6E"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6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7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7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7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73" w14:textId="77777777" w:rsidR="003C66EB" w:rsidRDefault="00D96C4E">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74" w14:textId="77777777" w:rsidR="003C66EB" w:rsidRDefault="003C66EB">
            <w:pPr>
              <w:jc w:val="right"/>
              <w:rPr>
                <w:rFonts w:ascii="宋体"/>
              </w:rPr>
            </w:pPr>
          </w:p>
        </w:tc>
      </w:tr>
      <w:tr w:rsidR="003C66EB" w14:paraId="5EA22C80" w14:textId="77777777">
        <w:tc>
          <w:tcPr>
            <w:tcW w:w="0" w:type="auto"/>
            <w:gridSpan w:val="3"/>
            <w:shd w:val="clear" w:color="auto" w:fill="FFFFFF"/>
            <w:tcMar>
              <w:top w:w="40" w:type="dxa"/>
              <w:left w:w="245" w:type="dxa"/>
              <w:bottom w:w="40" w:type="dxa"/>
              <w:right w:w="20" w:type="dxa"/>
            </w:tcMar>
            <w:vAlign w:val="bottom"/>
          </w:tcPr>
          <w:p w14:paraId="5EA22C76"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2C7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78"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C7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7A"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C7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7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7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7E"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2C7F" w14:textId="77777777" w:rsidR="003C66EB" w:rsidRDefault="003C66EB">
            <w:pPr>
              <w:rPr>
                <w:rFonts w:ascii="宋体"/>
              </w:rPr>
            </w:pPr>
          </w:p>
        </w:tc>
      </w:tr>
      <w:tr w:rsidR="003C66EB" w14:paraId="5EA22C8F" w14:textId="77777777">
        <w:tc>
          <w:tcPr>
            <w:tcW w:w="0" w:type="auto"/>
            <w:gridSpan w:val="3"/>
            <w:shd w:val="clear" w:color="auto" w:fill="CCEEFF"/>
            <w:tcMar>
              <w:top w:w="40" w:type="dxa"/>
              <w:left w:w="515" w:type="dxa"/>
              <w:bottom w:w="40" w:type="dxa"/>
              <w:right w:w="20" w:type="dxa"/>
            </w:tcMar>
            <w:vAlign w:val="bottom"/>
          </w:tcPr>
          <w:p w14:paraId="5EA22C81" w14:textId="77777777" w:rsidR="003C66EB" w:rsidRDefault="00D96C4E">
            <w:pPr>
              <w:textAlignment w:val="bottom"/>
            </w:pPr>
            <w:r>
              <w:rPr>
                <w:rFonts w:ascii="Arial" w:eastAsia="宋体" w:hAnsi="Arial" w:cs="Arial"/>
                <w:color w:val="000000"/>
                <w:sz w:val="15"/>
                <w:szCs w:val="15"/>
              </w:rPr>
              <w:t xml:space="preserve">Student </w:t>
            </w:r>
            <w:r>
              <w:rPr>
                <w:rFonts w:ascii="Arial" w:eastAsia="宋体" w:hAnsi="Arial" w:cs="Arial"/>
                <w:color w:val="000000"/>
                <w:sz w:val="15"/>
                <w:szCs w:val="15"/>
              </w:rPr>
              <w:t>loans</w:t>
            </w:r>
          </w:p>
        </w:tc>
        <w:tc>
          <w:tcPr>
            <w:tcW w:w="0" w:type="auto"/>
            <w:gridSpan w:val="2"/>
            <w:shd w:val="clear" w:color="auto" w:fill="CCEEFF"/>
            <w:tcMar>
              <w:top w:w="40" w:type="dxa"/>
              <w:left w:w="20" w:type="dxa"/>
              <w:bottom w:w="40" w:type="dxa"/>
              <w:right w:w="0" w:type="dxa"/>
            </w:tcMar>
            <w:vAlign w:val="bottom"/>
          </w:tcPr>
          <w:p w14:paraId="5EA22C8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8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85" w14:textId="77777777" w:rsidR="003C66EB" w:rsidRDefault="00D96C4E">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EA22C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8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8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8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8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8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8D" w14:textId="77777777" w:rsidR="003C66EB" w:rsidRDefault="00D96C4E">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EA22C8E" w14:textId="77777777" w:rsidR="003C66EB" w:rsidRDefault="003C66EB">
            <w:pPr>
              <w:jc w:val="right"/>
              <w:rPr>
                <w:rFonts w:ascii="宋体"/>
              </w:rPr>
            </w:pPr>
          </w:p>
        </w:tc>
      </w:tr>
      <w:tr w:rsidR="003C66EB" w14:paraId="5EA22C9E" w14:textId="77777777">
        <w:tc>
          <w:tcPr>
            <w:tcW w:w="0" w:type="auto"/>
            <w:gridSpan w:val="3"/>
            <w:shd w:val="clear" w:color="auto" w:fill="FFFFFF"/>
            <w:tcMar>
              <w:top w:w="40" w:type="dxa"/>
              <w:left w:w="515" w:type="dxa"/>
              <w:bottom w:w="40" w:type="dxa"/>
              <w:right w:w="20" w:type="dxa"/>
            </w:tcMar>
            <w:vAlign w:val="bottom"/>
          </w:tcPr>
          <w:p w14:paraId="5EA22C90" w14:textId="77777777" w:rsidR="003C66EB" w:rsidRDefault="00D96C4E">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5EA22C91"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94" w14:textId="77777777" w:rsidR="003C66EB" w:rsidRDefault="00D96C4E">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EA22C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9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9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9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9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9C" w14:textId="77777777" w:rsidR="003C66EB" w:rsidRDefault="00D96C4E">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EA22C9D" w14:textId="77777777" w:rsidR="003C66EB" w:rsidRDefault="003C66EB">
            <w:pPr>
              <w:jc w:val="right"/>
              <w:rPr>
                <w:rFonts w:ascii="宋体"/>
              </w:rPr>
            </w:pPr>
          </w:p>
        </w:tc>
      </w:tr>
      <w:tr w:rsidR="003C66EB" w14:paraId="5EA22CA9" w14:textId="77777777">
        <w:trPr>
          <w:hidden/>
        </w:trPr>
        <w:tc>
          <w:tcPr>
            <w:tcW w:w="0" w:type="auto"/>
            <w:gridSpan w:val="3"/>
            <w:shd w:val="clear" w:color="auto" w:fill="auto"/>
          </w:tcPr>
          <w:p w14:paraId="5EA22C9F" w14:textId="77777777" w:rsidR="003C66EB" w:rsidRDefault="003C66EB">
            <w:pPr>
              <w:rPr>
                <w:rFonts w:ascii="宋体"/>
                <w:vanish/>
              </w:rPr>
            </w:pPr>
          </w:p>
        </w:tc>
        <w:tc>
          <w:tcPr>
            <w:tcW w:w="0" w:type="auto"/>
            <w:gridSpan w:val="3"/>
            <w:shd w:val="clear" w:color="auto" w:fill="auto"/>
          </w:tcPr>
          <w:p w14:paraId="5EA22CA0" w14:textId="77777777" w:rsidR="003C66EB" w:rsidRDefault="003C66EB">
            <w:pPr>
              <w:rPr>
                <w:rFonts w:ascii="宋体"/>
                <w:vanish/>
              </w:rPr>
            </w:pPr>
          </w:p>
        </w:tc>
        <w:tc>
          <w:tcPr>
            <w:tcW w:w="0" w:type="auto"/>
            <w:gridSpan w:val="3"/>
            <w:shd w:val="clear" w:color="auto" w:fill="auto"/>
          </w:tcPr>
          <w:p w14:paraId="5EA22CA1" w14:textId="77777777" w:rsidR="003C66EB" w:rsidRDefault="003C66EB">
            <w:pPr>
              <w:rPr>
                <w:rFonts w:ascii="宋体"/>
                <w:vanish/>
              </w:rPr>
            </w:pPr>
          </w:p>
        </w:tc>
        <w:tc>
          <w:tcPr>
            <w:tcW w:w="0" w:type="auto"/>
            <w:gridSpan w:val="3"/>
            <w:shd w:val="clear" w:color="auto" w:fill="auto"/>
          </w:tcPr>
          <w:p w14:paraId="5EA22CA2" w14:textId="77777777" w:rsidR="003C66EB" w:rsidRDefault="003C66EB">
            <w:pPr>
              <w:rPr>
                <w:rFonts w:ascii="宋体"/>
                <w:vanish/>
              </w:rPr>
            </w:pPr>
          </w:p>
        </w:tc>
        <w:tc>
          <w:tcPr>
            <w:tcW w:w="0" w:type="auto"/>
            <w:gridSpan w:val="3"/>
            <w:shd w:val="clear" w:color="auto" w:fill="auto"/>
          </w:tcPr>
          <w:p w14:paraId="5EA22CA3" w14:textId="77777777" w:rsidR="003C66EB" w:rsidRDefault="003C66EB">
            <w:pPr>
              <w:rPr>
                <w:rFonts w:ascii="宋体"/>
                <w:vanish/>
              </w:rPr>
            </w:pPr>
          </w:p>
        </w:tc>
        <w:tc>
          <w:tcPr>
            <w:tcW w:w="0" w:type="auto"/>
            <w:gridSpan w:val="3"/>
            <w:shd w:val="clear" w:color="auto" w:fill="auto"/>
          </w:tcPr>
          <w:p w14:paraId="5EA22CA4" w14:textId="77777777" w:rsidR="003C66EB" w:rsidRDefault="003C66EB">
            <w:pPr>
              <w:rPr>
                <w:rFonts w:ascii="宋体"/>
                <w:vanish/>
              </w:rPr>
            </w:pPr>
          </w:p>
        </w:tc>
        <w:tc>
          <w:tcPr>
            <w:tcW w:w="0" w:type="auto"/>
            <w:gridSpan w:val="3"/>
            <w:shd w:val="clear" w:color="auto" w:fill="auto"/>
          </w:tcPr>
          <w:p w14:paraId="5EA22CA5" w14:textId="77777777" w:rsidR="003C66EB" w:rsidRDefault="003C66EB">
            <w:pPr>
              <w:rPr>
                <w:rFonts w:ascii="宋体"/>
                <w:vanish/>
              </w:rPr>
            </w:pPr>
          </w:p>
        </w:tc>
        <w:tc>
          <w:tcPr>
            <w:tcW w:w="0" w:type="auto"/>
            <w:gridSpan w:val="3"/>
            <w:shd w:val="clear" w:color="auto" w:fill="auto"/>
          </w:tcPr>
          <w:p w14:paraId="5EA22CA6" w14:textId="77777777" w:rsidR="003C66EB" w:rsidRDefault="003C66EB">
            <w:pPr>
              <w:rPr>
                <w:rFonts w:ascii="宋体"/>
                <w:vanish/>
              </w:rPr>
            </w:pPr>
          </w:p>
        </w:tc>
        <w:tc>
          <w:tcPr>
            <w:tcW w:w="0" w:type="auto"/>
            <w:gridSpan w:val="3"/>
            <w:shd w:val="clear" w:color="auto" w:fill="auto"/>
          </w:tcPr>
          <w:p w14:paraId="5EA22CA7" w14:textId="77777777" w:rsidR="003C66EB" w:rsidRDefault="003C66EB">
            <w:pPr>
              <w:rPr>
                <w:rFonts w:ascii="宋体"/>
                <w:vanish/>
              </w:rPr>
            </w:pPr>
          </w:p>
        </w:tc>
        <w:tc>
          <w:tcPr>
            <w:tcW w:w="0" w:type="auto"/>
            <w:gridSpan w:val="3"/>
            <w:shd w:val="clear" w:color="auto" w:fill="auto"/>
          </w:tcPr>
          <w:p w14:paraId="5EA22CA8" w14:textId="77777777" w:rsidR="003C66EB" w:rsidRDefault="003C66EB">
            <w:pPr>
              <w:rPr>
                <w:rFonts w:ascii="宋体"/>
                <w:vanish/>
              </w:rPr>
            </w:pPr>
          </w:p>
        </w:tc>
      </w:tr>
      <w:tr w:rsidR="003C66EB" w14:paraId="5EA22CB8" w14:textId="77777777">
        <w:tc>
          <w:tcPr>
            <w:tcW w:w="0" w:type="auto"/>
            <w:gridSpan w:val="3"/>
            <w:shd w:val="clear" w:color="auto" w:fill="CCEEFF"/>
            <w:tcMar>
              <w:top w:w="40" w:type="dxa"/>
              <w:left w:w="515" w:type="dxa"/>
              <w:bottom w:w="40" w:type="dxa"/>
              <w:right w:w="20" w:type="dxa"/>
            </w:tcMar>
            <w:vAlign w:val="bottom"/>
          </w:tcPr>
          <w:p w14:paraId="5EA22CAA" w14:textId="77777777" w:rsidR="003C66EB" w:rsidRDefault="00D96C4E">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5EA22CAB"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A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AE" w14:textId="77777777" w:rsidR="003C66EB" w:rsidRDefault="00D96C4E">
            <w:pPr>
              <w:jc w:val="right"/>
              <w:textAlignment w:val="bottom"/>
            </w:pPr>
            <w:r>
              <w:rPr>
                <w:rFonts w:ascii="Arial" w:eastAsia="宋体" w:hAnsi="Arial" w:cs="Arial"/>
                <w:color w:val="000000"/>
                <w:sz w:val="14"/>
                <w:szCs w:val="14"/>
              </w:rPr>
              <w:t>2,952 </w:t>
            </w:r>
          </w:p>
        </w:tc>
        <w:tc>
          <w:tcPr>
            <w:tcW w:w="0" w:type="auto"/>
            <w:shd w:val="clear" w:color="auto" w:fill="CCEEFF"/>
            <w:tcMar>
              <w:top w:w="40" w:type="dxa"/>
              <w:left w:w="0" w:type="dxa"/>
              <w:bottom w:w="40" w:type="dxa"/>
              <w:right w:w="20" w:type="dxa"/>
            </w:tcMar>
            <w:vAlign w:val="bottom"/>
          </w:tcPr>
          <w:p w14:paraId="5EA22C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B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B1" w14:textId="77777777" w:rsidR="003C66EB" w:rsidRDefault="00D96C4E">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EA22CB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B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B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B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B6" w14:textId="77777777" w:rsidR="003C66EB" w:rsidRDefault="00D96C4E">
            <w:pPr>
              <w:jc w:val="right"/>
              <w:textAlignment w:val="bottom"/>
            </w:pPr>
            <w:r>
              <w:rPr>
                <w:rFonts w:ascii="Arial" w:eastAsia="宋体" w:hAnsi="Arial" w:cs="Arial"/>
                <w:color w:val="000000"/>
                <w:sz w:val="14"/>
                <w:szCs w:val="14"/>
              </w:rPr>
              <w:t>2,966 </w:t>
            </w:r>
          </w:p>
        </w:tc>
        <w:tc>
          <w:tcPr>
            <w:tcW w:w="0" w:type="auto"/>
            <w:shd w:val="clear" w:color="auto" w:fill="CCEEFF"/>
            <w:tcMar>
              <w:top w:w="40" w:type="dxa"/>
              <w:left w:w="0" w:type="dxa"/>
              <w:bottom w:w="40" w:type="dxa"/>
              <w:right w:w="20" w:type="dxa"/>
            </w:tcMar>
            <w:vAlign w:val="bottom"/>
          </w:tcPr>
          <w:p w14:paraId="5EA22CB7" w14:textId="77777777" w:rsidR="003C66EB" w:rsidRDefault="003C66EB">
            <w:pPr>
              <w:jc w:val="right"/>
              <w:rPr>
                <w:rFonts w:ascii="宋体"/>
              </w:rPr>
            </w:pPr>
          </w:p>
        </w:tc>
      </w:tr>
      <w:tr w:rsidR="003C66EB" w14:paraId="5EA22CC7" w14:textId="77777777">
        <w:tc>
          <w:tcPr>
            <w:tcW w:w="0" w:type="auto"/>
            <w:gridSpan w:val="3"/>
            <w:shd w:val="clear" w:color="auto" w:fill="FFFFFF"/>
            <w:tcMar>
              <w:top w:w="40" w:type="dxa"/>
              <w:left w:w="20" w:type="dxa"/>
              <w:bottom w:w="40" w:type="dxa"/>
              <w:right w:w="20" w:type="dxa"/>
            </w:tcMar>
            <w:vAlign w:val="bottom"/>
          </w:tcPr>
          <w:p w14:paraId="5EA22CB9" w14:textId="77777777" w:rsidR="003C66EB" w:rsidRDefault="00D96C4E">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2CB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B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B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BD" w14:textId="77777777" w:rsidR="003C66EB" w:rsidRDefault="00D96C4E">
            <w:pPr>
              <w:jc w:val="right"/>
              <w:textAlignment w:val="bottom"/>
            </w:pPr>
            <w:r>
              <w:rPr>
                <w:rFonts w:ascii="Arial" w:eastAsia="宋体" w:hAnsi="Arial" w:cs="Arial"/>
                <w:color w:val="000000"/>
                <w:sz w:val="14"/>
                <w:szCs w:val="14"/>
              </w:rPr>
              <w:t>78 </w:t>
            </w:r>
          </w:p>
        </w:tc>
        <w:tc>
          <w:tcPr>
            <w:tcW w:w="0" w:type="auto"/>
            <w:shd w:val="clear" w:color="auto" w:fill="FFFFFF"/>
            <w:tcMar>
              <w:top w:w="40" w:type="dxa"/>
              <w:left w:w="0" w:type="dxa"/>
              <w:bottom w:w="40" w:type="dxa"/>
              <w:right w:w="20" w:type="dxa"/>
            </w:tcMar>
            <w:vAlign w:val="bottom"/>
          </w:tcPr>
          <w:p w14:paraId="5EA22CB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B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C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C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C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C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C5" w14:textId="77777777" w:rsidR="003C66EB" w:rsidRDefault="00D96C4E">
            <w:pPr>
              <w:jc w:val="right"/>
              <w:textAlignment w:val="bottom"/>
            </w:pPr>
            <w:r>
              <w:rPr>
                <w:rFonts w:ascii="Arial" w:eastAsia="宋体" w:hAnsi="Arial" w:cs="Arial"/>
                <w:color w:val="000000"/>
                <w:sz w:val="14"/>
                <w:szCs w:val="14"/>
              </w:rPr>
              <w:t>78 </w:t>
            </w:r>
          </w:p>
        </w:tc>
        <w:tc>
          <w:tcPr>
            <w:tcW w:w="0" w:type="auto"/>
            <w:shd w:val="clear" w:color="auto" w:fill="FFFFFF"/>
            <w:tcMar>
              <w:top w:w="40" w:type="dxa"/>
              <w:left w:w="0" w:type="dxa"/>
              <w:bottom w:w="40" w:type="dxa"/>
              <w:right w:w="20" w:type="dxa"/>
            </w:tcMar>
            <w:vAlign w:val="bottom"/>
          </w:tcPr>
          <w:p w14:paraId="5EA22CC6" w14:textId="77777777" w:rsidR="003C66EB" w:rsidRDefault="003C66EB">
            <w:pPr>
              <w:jc w:val="right"/>
              <w:rPr>
                <w:rFonts w:ascii="宋体"/>
              </w:rPr>
            </w:pPr>
          </w:p>
        </w:tc>
      </w:tr>
      <w:tr w:rsidR="003C66EB" w14:paraId="5EA22CD6" w14:textId="77777777">
        <w:tc>
          <w:tcPr>
            <w:tcW w:w="0" w:type="auto"/>
            <w:gridSpan w:val="3"/>
            <w:shd w:val="clear" w:color="auto" w:fill="CCEEFF"/>
            <w:tcMar>
              <w:top w:w="40" w:type="dxa"/>
              <w:left w:w="740" w:type="dxa"/>
              <w:bottom w:w="40" w:type="dxa"/>
              <w:right w:w="20" w:type="dxa"/>
            </w:tcMar>
            <w:vAlign w:val="bottom"/>
          </w:tcPr>
          <w:p w14:paraId="5EA22CC8" w14:textId="77777777" w:rsidR="003C66EB" w:rsidRDefault="00D96C4E">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C9"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C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CC" w14:textId="77777777" w:rsidR="003C66EB" w:rsidRDefault="00D96C4E">
            <w:pPr>
              <w:jc w:val="right"/>
              <w:textAlignment w:val="bottom"/>
            </w:pPr>
            <w:r>
              <w:rPr>
                <w:rFonts w:ascii="Arial" w:eastAsia="宋体" w:hAnsi="Arial" w:cs="Arial"/>
                <w:color w:val="000000"/>
                <w:sz w:val="14"/>
                <w:szCs w:val="14"/>
              </w:rPr>
              <w:t>3,434 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C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CF" w14:textId="77777777" w:rsidR="003C66EB" w:rsidRDefault="00D96C4E">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D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D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D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CD4" w14:textId="77777777" w:rsidR="003C66EB" w:rsidRDefault="00D96C4E">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CD5" w14:textId="77777777" w:rsidR="003C66EB" w:rsidRDefault="003C66EB">
            <w:pPr>
              <w:jc w:val="right"/>
              <w:rPr>
                <w:rFonts w:ascii="宋体"/>
              </w:rPr>
            </w:pPr>
          </w:p>
        </w:tc>
      </w:tr>
      <w:tr w:rsidR="003C66EB" w14:paraId="5EA22CE1" w14:textId="77777777">
        <w:tc>
          <w:tcPr>
            <w:tcW w:w="0" w:type="auto"/>
            <w:gridSpan w:val="3"/>
            <w:shd w:val="clear" w:color="auto" w:fill="FFFFFF"/>
            <w:tcMar>
              <w:top w:w="40" w:type="dxa"/>
              <w:left w:w="245" w:type="dxa"/>
              <w:bottom w:w="40" w:type="dxa"/>
              <w:right w:w="20" w:type="dxa"/>
            </w:tcMar>
            <w:vAlign w:val="bottom"/>
          </w:tcPr>
          <w:p w14:paraId="5EA22CD7" w14:textId="77777777" w:rsidR="003C66EB" w:rsidRDefault="00D96C4E">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tcPr>
          <w:p w14:paraId="5EA22CD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D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E0" w14:textId="77777777" w:rsidR="003C66EB" w:rsidRDefault="003C66EB">
            <w:pPr>
              <w:rPr>
                <w:rFonts w:ascii="宋体"/>
              </w:rPr>
            </w:pPr>
          </w:p>
        </w:tc>
      </w:tr>
      <w:tr w:rsidR="003C66EB" w14:paraId="5EA22CF0" w14:textId="77777777">
        <w:tc>
          <w:tcPr>
            <w:tcW w:w="0" w:type="auto"/>
            <w:gridSpan w:val="3"/>
            <w:shd w:val="clear" w:color="auto" w:fill="CCEEFF"/>
            <w:tcMar>
              <w:top w:w="40" w:type="dxa"/>
              <w:left w:w="515" w:type="dxa"/>
              <w:bottom w:w="40" w:type="dxa"/>
              <w:right w:w="20" w:type="dxa"/>
            </w:tcMar>
            <w:vAlign w:val="bottom"/>
          </w:tcPr>
          <w:p w14:paraId="5EA22CE2"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EA22CE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E6" w14:textId="77777777" w:rsidR="003C66EB" w:rsidRDefault="00D96C4E">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EA22C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E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E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CE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CE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E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CE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CEE" w14:textId="77777777" w:rsidR="003C66EB" w:rsidRDefault="00D96C4E">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EA22CEF" w14:textId="77777777" w:rsidR="003C66EB" w:rsidRDefault="003C66EB">
            <w:pPr>
              <w:jc w:val="right"/>
              <w:rPr>
                <w:rFonts w:ascii="宋体"/>
              </w:rPr>
            </w:pPr>
          </w:p>
        </w:tc>
      </w:tr>
      <w:tr w:rsidR="003C66EB" w14:paraId="5EA22CFF" w14:textId="77777777">
        <w:tc>
          <w:tcPr>
            <w:tcW w:w="0" w:type="auto"/>
            <w:gridSpan w:val="3"/>
            <w:shd w:val="clear" w:color="auto" w:fill="FFFFFF"/>
            <w:tcMar>
              <w:top w:w="40" w:type="dxa"/>
              <w:left w:w="515" w:type="dxa"/>
              <w:bottom w:w="40" w:type="dxa"/>
              <w:right w:w="20" w:type="dxa"/>
            </w:tcMar>
            <w:vAlign w:val="bottom"/>
          </w:tcPr>
          <w:p w14:paraId="5EA22CF1"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EA22CF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F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F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F5" w14:textId="77777777" w:rsidR="003C66EB" w:rsidRDefault="00D96C4E">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EA22CF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F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F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CF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CF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F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C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CFD" w14:textId="77777777" w:rsidR="003C66EB" w:rsidRDefault="00D96C4E">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EA22CFE" w14:textId="77777777" w:rsidR="003C66EB" w:rsidRDefault="003C66EB">
            <w:pPr>
              <w:jc w:val="right"/>
              <w:rPr>
                <w:rFonts w:ascii="宋体"/>
              </w:rPr>
            </w:pPr>
          </w:p>
        </w:tc>
      </w:tr>
      <w:tr w:rsidR="003C66EB" w14:paraId="5EA22D0E" w14:textId="77777777">
        <w:tc>
          <w:tcPr>
            <w:tcW w:w="0" w:type="auto"/>
            <w:gridSpan w:val="3"/>
            <w:shd w:val="clear" w:color="auto" w:fill="CCEEFF"/>
            <w:tcMar>
              <w:top w:w="40" w:type="dxa"/>
              <w:left w:w="515" w:type="dxa"/>
              <w:bottom w:w="40" w:type="dxa"/>
              <w:right w:w="20" w:type="dxa"/>
            </w:tcMar>
            <w:vAlign w:val="bottom"/>
          </w:tcPr>
          <w:p w14:paraId="5EA22D00" w14:textId="77777777" w:rsidR="003C66EB" w:rsidRDefault="00D96C4E">
            <w:pPr>
              <w:textAlignment w:val="bottom"/>
            </w:pPr>
            <w:r>
              <w:rPr>
                <w:rFonts w:ascii="Arial" w:eastAsia="宋体" w:hAnsi="Arial" w:cs="Arial"/>
                <w:color w:val="000000"/>
                <w:sz w:val="15"/>
                <w:szCs w:val="15"/>
              </w:rPr>
              <w:t>Government securities</w:t>
            </w:r>
          </w:p>
        </w:tc>
        <w:tc>
          <w:tcPr>
            <w:tcW w:w="0" w:type="auto"/>
            <w:gridSpan w:val="2"/>
            <w:shd w:val="clear" w:color="auto" w:fill="CCEEFF"/>
            <w:tcMar>
              <w:top w:w="40" w:type="dxa"/>
              <w:left w:w="20" w:type="dxa"/>
              <w:bottom w:w="40" w:type="dxa"/>
              <w:right w:w="0" w:type="dxa"/>
            </w:tcMar>
            <w:vAlign w:val="bottom"/>
          </w:tcPr>
          <w:p w14:paraId="5EA22D01"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D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0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04" w14:textId="77777777" w:rsidR="003C66EB" w:rsidRDefault="00D96C4E">
            <w:pPr>
              <w:jc w:val="right"/>
              <w:textAlignment w:val="bottom"/>
            </w:pPr>
            <w:r>
              <w:rPr>
                <w:rFonts w:ascii="Arial" w:eastAsia="宋体" w:hAnsi="Arial" w:cs="Arial"/>
                <w:color w:val="000000"/>
                <w:sz w:val="14"/>
                <w:szCs w:val="14"/>
              </w:rPr>
              <w:t>12,539 </w:t>
            </w:r>
          </w:p>
        </w:tc>
        <w:tc>
          <w:tcPr>
            <w:tcW w:w="0" w:type="auto"/>
            <w:shd w:val="clear" w:color="auto" w:fill="CCEEFF"/>
            <w:tcMar>
              <w:top w:w="40" w:type="dxa"/>
              <w:left w:w="0" w:type="dxa"/>
              <w:bottom w:w="40" w:type="dxa"/>
              <w:right w:w="20" w:type="dxa"/>
            </w:tcMar>
            <w:vAlign w:val="bottom"/>
          </w:tcPr>
          <w:p w14:paraId="5EA22D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0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0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D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0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0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0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0C" w14:textId="77777777" w:rsidR="003C66EB" w:rsidRDefault="00D96C4E">
            <w:pPr>
              <w:jc w:val="right"/>
              <w:textAlignment w:val="bottom"/>
            </w:pPr>
            <w:r>
              <w:rPr>
                <w:rFonts w:ascii="Arial" w:eastAsia="宋体" w:hAnsi="Arial" w:cs="Arial"/>
                <w:color w:val="000000"/>
                <w:sz w:val="14"/>
                <w:szCs w:val="14"/>
              </w:rPr>
              <w:t>12,539 </w:t>
            </w:r>
          </w:p>
        </w:tc>
        <w:tc>
          <w:tcPr>
            <w:tcW w:w="0" w:type="auto"/>
            <w:shd w:val="clear" w:color="auto" w:fill="CCEEFF"/>
            <w:tcMar>
              <w:top w:w="40" w:type="dxa"/>
              <w:left w:w="0" w:type="dxa"/>
              <w:bottom w:w="40" w:type="dxa"/>
              <w:right w:w="20" w:type="dxa"/>
            </w:tcMar>
            <w:vAlign w:val="bottom"/>
          </w:tcPr>
          <w:p w14:paraId="5EA22D0D" w14:textId="77777777" w:rsidR="003C66EB" w:rsidRDefault="003C66EB">
            <w:pPr>
              <w:jc w:val="right"/>
              <w:rPr>
                <w:rFonts w:ascii="宋体"/>
              </w:rPr>
            </w:pPr>
          </w:p>
        </w:tc>
      </w:tr>
      <w:tr w:rsidR="003C66EB" w14:paraId="5EA22D1D" w14:textId="77777777">
        <w:tc>
          <w:tcPr>
            <w:tcW w:w="0" w:type="auto"/>
            <w:gridSpan w:val="3"/>
            <w:shd w:val="clear" w:color="auto" w:fill="FFFFFF"/>
            <w:tcMar>
              <w:top w:w="40" w:type="dxa"/>
              <w:left w:w="20" w:type="dxa"/>
              <w:bottom w:w="40" w:type="dxa"/>
              <w:right w:w="20" w:type="dxa"/>
            </w:tcMar>
            <w:vAlign w:val="bottom"/>
          </w:tcPr>
          <w:p w14:paraId="5EA22D0F"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2D1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1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1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13" w14:textId="77777777" w:rsidR="003C66EB" w:rsidRDefault="00D96C4E">
            <w:pPr>
              <w:jc w:val="right"/>
              <w:textAlignment w:val="bottom"/>
            </w:pPr>
            <w:r>
              <w:rPr>
                <w:rFonts w:ascii="Arial" w:eastAsia="宋体" w:hAnsi="Arial" w:cs="Arial"/>
                <w:color w:val="000000"/>
                <w:sz w:val="14"/>
                <w:szCs w:val="14"/>
              </w:rPr>
              <w:t>12,903 </w:t>
            </w:r>
          </w:p>
        </w:tc>
        <w:tc>
          <w:tcPr>
            <w:tcW w:w="0" w:type="auto"/>
            <w:shd w:val="clear" w:color="auto" w:fill="FFFFFF"/>
            <w:tcMar>
              <w:top w:w="40" w:type="dxa"/>
              <w:left w:w="0" w:type="dxa"/>
              <w:bottom w:w="40" w:type="dxa"/>
              <w:right w:w="20" w:type="dxa"/>
            </w:tcMar>
            <w:vAlign w:val="bottom"/>
          </w:tcPr>
          <w:p w14:paraId="5EA22D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1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1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1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1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1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1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1B" w14:textId="77777777" w:rsidR="003C66EB" w:rsidRDefault="00D96C4E">
            <w:pPr>
              <w:jc w:val="right"/>
              <w:textAlignment w:val="bottom"/>
            </w:pPr>
            <w:r>
              <w:rPr>
                <w:rFonts w:ascii="Arial" w:eastAsia="宋体" w:hAnsi="Arial" w:cs="Arial"/>
                <w:color w:val="000000"/>
                <w:sz w:val="14"/>
                <w:szCs w:val="14"/>
              </w:rPr>
              <w:t>12,903 </w:t>
            </w:r>
          </w:p>
        </w:tc>
        <w:tc>
          <w:tcPr>
            <w:tcW w:w="0" w:type="auto"/>
            <w:shd w:val="clear" w:color="auto" w:fill="FFFFFF"/>
            <w:tcMar>
              <w:top w:w="40" w:type="dxa"/>
              <w:left w:w="0" w:type="dxa"/>
              <w:bottom w:w="40" w:type="dxa"/>
              <w:right w:w="20" w:type="dxa"/>
            </w:tcMar>
            <w:vAlign w:val="bottom"/>
          </w:tcPr>
          <w:p w14:paraId="5EA22D1C" w14:textId="77777777" w:rsidR="003C66EB" w:rsidRDefault="003C66EB">
            <w:pPr>
              <w:jc w:val="right"/>
              <w:rPr>
                <w:rFonts w:ascii="宋体"/>
              </w:rPr>
            </w:pPr>
          </w:p>
        </w:tc>
      </w:tr>
      <w:tr w:rsidR="003C66EB" w14:paraId="5EA22D2C" w14:textId="77777777">
        <w:tc>
          <w:tcPr>
            <w:tcW w:w="0" w:type="auto"/>
            <w:gridSpan w:val="3"/>
            <w:shd w:val="clear" w:color="auto" w:fill="CCEEFF"/>
            <w:tcMar>
              <w:top w:w="40" w:type="dxa"/>
              <w:left w:w="740" w:type="dxa"/>
              <w:bottom w:w="40" w:type="dxa"/>
              <w:right w:w="20" w:type="dxa"/>
            </w:tcMar>
            <w:vAlign w:val="bottom"/>
          </w:tcPr>
          <w:p w14:paraId="5EA22D1E" w14:textId="77777777" w:rsidR="003C66EB" w:rsidRDefault="00D96C4E">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1F"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2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22" w14:textId="77777777" w:rsidR="003C66EB" w:rsidRDefault="00D96C4E">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2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25"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2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2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2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2A" w14:textId="77777777" w:rsidR="003C66EB" w:rsidRDefault="00D96C4E">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2B" w14:textId="77777777" w:rsidR="003C66EB" w:rsidRDefault="003C66EB">
            <w:pPr>
              <w:jc w:val="right"/>
              <w:rPr>
                <w:rFonts w:ascii="宋体"/>
              </w:rPr>
            </w:pPr>
          </w:p>
        </w:tc>
      </w:tr>
      <w:tr w:rsidR="003C66EB" w14:paraId="5EA22D3B" w14:textId="77777777">
        <w:tc>
          <w:tcPr>
            <w:tcW w:w="0" w:type="auto"/>
            <w:gridSpan w:val="3"/>
            <w:shd w:val="clear" w:color="auto" w:fill="FFFFFF"/>
            <w:tcMar>
              <w:top w:w="40" w:type="dxa"/>
              <w:left w:w="245" w:type="dxa"/>
              <w:bottom w:w="40" w:type="dxa"/>
              <w:right w:w="20" w:type="dxa"/>
            </w:tcMar>
            <w:vAlign w:val="bottom"/>
          </w:tcPr>
          <w:p w14:paraId="5EA22D2D" w14:textId="77777777" w:rsidR="003C66EB" w:rsidRDefault="00D96C4E">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2E"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2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3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31" w14:textId="77777777" w:rsidR="003C66EB" w:rsidRDefault="00D96C4E">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3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3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34"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3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3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3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39" w14:textId="77777777" w:rsidR="003C66EB" w:rsidRDefault="00D96C4E">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3A" w14:textId="77777777" w:rsidR="003C66EB" w:rsidRDefault="003C66EB">
            <w:pPr>
              <w:jc w:val="right"/>
              <w:rPr>
                <w:rFonts w:ascii="宋体"/>
              </w:rPr>
            </w:pPr>
          </w:p>
        </w:tc>
      </w:tr>
      <w:tr w:rsidR="003C66EB" w14:paraId="5EA22D46" w14:textId="77777777">
        <w:trPr>
          <w:hidden/>
        </w:trPr>
        <w:tc>
          <w:tcPr>
            <w:tcW w:w="0" w:type="auto"/>
            <w:gridSpan w:val="3"/>
            <w:shd w:val="clear" w:color="auto" w:fill="auto"/>
          </w:tcPr>
          <w:p w14:paraId="5EA22D3C" w14:textId="77777777" w:rsidR="003C66EB" w:rsidRDefault="003C66EB">
            <w:pPr>
              <w:rPr>
                <w:rFonts w:ascii="宋体"/>
                <w:vanish/>
              </w:rPr>
            </w:pPr>
          </w:p>
        </w:tc>
        <w:tc>
          <w:tcPr>
            <w:tcW w:w="0" w:type="auto"/>
            <w:gridSpan w:val="3"/>
            <w:shd w:val="clear" w:color="auto" w:fill="auto"/>
          </w:tcPr>
          <w:p w14:paraId="5EA22D3D" w14:textId="77777777" w:rsidR="003C66EB" w:rsidRDefault="003C66EB">
            <w:pPr>
              <w:rPr>
                <w:rFonts w:ascii="宋体"/>
                <w:vanish/>
              </w:rPr>
            </w:pPr>
          </w:p>
        </w:tc>
        <w:tc>
          <w:tcPr>
            <w:tcW w:w="0" w:type="auto"/>
            <w:gridSpan w:val="3"/>
            <w:shd w:val="clear" w:color="auto" w:fill="auto"/>
          </w:tcPr>
          <w:p w14:paraId="5EA22D3E" w14:textId="77777777" w:rsidR="003C66EB" w:rsidRDefault="003C66EB">
            <w:pPr>
              <w:rPr>
                <w:rFonts w:ascii="宋体"/>
                <w:vanish/>
              </w:rPr>
            </w:pPr>
          </w:p>
        </w:tc>
        <w:tc>
          <w:tcPr>
            <w:tcW w:w="0" w:type="auto"/>
            <w:gridSpan w:val="3"/>
            <w:shd w:val="clear" w:color="auto" w:fill="auto"/>
          </w:tcPr>
          <w:p w14:paraId="5EA22D3F" w14:textId="77777777" w:rsidR="003C66EB" w:rsidRDefault="003C66EB">
            <w:pPr>
              <w:rPr>
                <w:rFonts w:ascii="宋体"/>
                <w:vanish/>
              </w:rPr>
            </w:pPr>
          </w:p>
        </w:tc>
        <w:tc>
          <w:tcPr>
            <w:tcW w:w="0" w:type="auto"/>
            <w:gridSpan w:val="3"/>
            <w:shd w:val="clear" w:color="auto" w:fill="auto"/>
          </w:tcPr>
          <w:p w14:paraId="5EA22D40" w14:textId="77777777" w:rsidR="003C66EB" w:rsidRDefault="003C66EB">
            <w:pPr>
              <w:rPr>
                <w:rFonts w:ascii="宋体"/>
                <w:vanish/>
              </w:rPr>
            </w:pPr>
          </w:p>
        </w:tc>
        <w:tc>
          <w:tcPr>
            <w:tcW w:w="0" w:type="auto"/>
            <w:gridSpan w:val="3"/>
            <w:shd w:val="clear" w:color="auto" w:fill="auto"/>
          </w:tcPr>
          <w:p w14:paraId="5EA22D41" w14:textId="77777777" w:rsidR="003C66EB" w:rsidRDefault="003C66EB">
            <w:pPr>
              <w:rPr>
                <w:rFonts w:ascii="宋体"/>
                <w:vanish/>
              </w:rPr>
            </w:pPr>
          </w:p>
        </w:tc>
        <w:tc>
          <w:tcPr>
            <w:tcW w:w="0" w:type="auto"/>
            <w:gridSpan w:val="3"/>
            <w:shd w:val="clear" w:color="auto" w:fill="auto"/>
          </w:tcPr>
          <w:p w14:paraId="5EA22D42" w14:textId="77777777" w:rsidR="003C66EB" w:rsidRDefault="003C66EB">
            <w:pPr>
              <w:rPr>
                <w:rFonts w:ascii="宋体"/>
                <w:vanish/>
              </w:rPr>
            </w:pPr>
          </w:p>
        </w:tc>
        <w:tc>
          <w:tcPr>
            <w:tcW w:w="0" w:type="auto"/>
            <w:gridSpan w:val="3"/>
            <w:shd w:val="clear" w:color="auto" w:fill="auto"/>
          </w:tcPr>
          <w:p w14:paraId="5EA22D43" w14:textId="77777777" w:rsidR="003C66EB" w:rsidRDefault="003C66EB">
            <w:pPr>
              <w:rPr>
                <w:rFonts w:ascii="宋体"/>
                <w:vanish/>
              </w:rPr>
            </w:pPr>
          </w:p>
        </w:tc>
        <w:tc>
          <w:tcPr>
            <w:tcW w:w="0" w:type="auto"/>
            <w:gridSpan w:val="3"/>
            <w:shd w:val="clear" w:color="auto" w:fill="auto"/>
          </w:tcPr>
          <w:p w14:paraId="5EA22D44" w14:textId="77777777" w:rsidR="003C66EB" w:rsidRDefault="003C66EB">
            <w:pPr>
              <w:rPr>
                <w:rFonts w:ascii="宋体"/>
                <w:vanish/>
              </w:rPr>
            </w:pPr>
          </w:p>
        </w:tc>
        <w:tc>
          <w:tcPr>
            <w:tcW w:w="0" w:type="auto"/>
            <w:gridSpan w:val="3"/>
            <w:shd w:val="clear" w:color="auto" w:fill="auto"/>
          </w:tcPr>
          <w:p w14:paraId="5EA22D45" w14:textId="77777777" w:rsidR="003C66EB" w:rsidRDefault="003C66EB">
            <w:pPr>
              <w:rPr>
                <w:rFonts w:ascii="宋体"/>
                <w:vanish/>
              </w:rPr>
            </w:pPr>
          </w:p>
        </w:tc>
      </w:tr>
      <w:tr w:rsidR="003C66EB" w14:paraId="5EA22D55" w14:textId="77777777">
        <w:tc>
          <w:tcPr>
            <w:tcW w:w="0" w:type="auto"/>
            <w:gridSpan w:val="3"/>
            <w:shd w:val="clear" w:color="auto" w:fill="CCEEFF"/>
            <w:tcMar>
              <w:top w:w="40" w:type="dxa"/>
              <w:left w:w="245" w:type="dxa"/>
              <w:bottom w:w="40" w:type="dxa"/>
              <w:right w:w="20" w:type="dxa"/>
            </w:tcMar>
            <w:vAlign w:val="bottom"/>
          </w:tcPr>
          <w:p w14:paraId="5EA22D47" w14:textId="77777777" w:rsidR="003C66EB" w:rsidRDefault="00D96C4E">
            <w:pPr>
              <w:textAlignment w:val="bottom"/>
            </w:pPr>
            <w:r>
              <w:rPr>
                <w:rFonts w:ascii="Arial" w:eastAsia="宋体" w:hAnsi="Arial" w:cs="Arial"/>
                <w:color w:val="000000"/>
                <w:sz w:val="15"/>
                <w:szCs w:val="15"/>
              </w:rPr>
              <w:t xml:space="preserve">Other U.S. debt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EA22D4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D4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4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4B" w14:textId="77777777" w:rsidR="003C66EB" w:rsidRDefault="00D96C4E">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EA22D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4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4E"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D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5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5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5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53" w14:textId="77777777" w:rsidR="003C66EB" w:rsidRDefault="00D96C4E">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EA22D54" w14:textId="77777777" w:rsidR="003C66EB" w:rsidRDefault="003C66EB">
            <w:pPr>
              <w:jc w:val="right"/>
              <w:rPr>
                <w:rFonts w:ascii="宋体"/>
              </w:rPr>
            </w:pPr>
          </w:p>
        </w:tc>
      </w:tr>
      <w:tr w:rsidR="003C66EB" w14:paraId="5EA22D60" w14:textId="77777777">
        <w:trPr>
          <w:hidden/>
        </w:trPr>
        <w:tc>
          <w:tcPr>
            <w:tcW w:w="0" w:type="auto"/>
            <w:gridSpan w:val="3"/>
            <w:shd w:val="clear" w:color="auto" w:fill="auto"/>
          </w:tcPr>
          <w:p w14:paraId="5EA22D56" w14:textId="77777777" w:rsidR="003C66EB" w:rsidRDefault="003C66EB">
            <w:pPr>
              <w:rPr>
                <w:rFonts w:ascii="宋体"/>
                <w:vanish/>
              </w:rPr>
            </w:pPr>
          </w:p>
        </w:tc>
        <w:tc>
          <w:tcPr>
            <w:tcW w:w="0" w:type="auto"/>
            <w:gridSpan w:val="3"/>
            <w:shd w:val="clear" w:color="auto" w:fill="auto"/>
          </w:tcPr>
          <w:p w14:paraId="5EA22D57" w14:textId="77777777" w:rsidR="003C66EB" w:rsidRDefault="003C66EB">
            <w:pPr>
              <w:rPr>
                <w:rFonts w:ascii="宋体"/>
                <w:vanish/>
              </w:rPr>
            </w:pPr>
          </w:p>
        </w:tc>
        <w:tc>
          <w:tcPr>
            <w:tcW w:w="0" w:type="auto"/>
            <w:gridSpan w:val="3"/>
            <w:shd w:val="clear" w:color="auto" w:fill="auto"/>
          </w:tcPr>
          <w:p w14:paraId="5EA22D58" w14:textId="77777777" w:rsidR="003C66EB" w:rsidRDefault="003C66EB">
            <w:pPr>
              <w:rPr>
                <w:rFonts w:ascii="宋体"/>
                <w:vanish/>
              </w:rPr>
            </w:pPr>
          </w:p>
        </w:tc>
        <w:tc>
          <w:tcPr>
            <w:tcW w:w="0" w:type="auto"/>
            <w:gridSpan w:val="3"/>
            <w:shd w:val="clear" w:color="auto" w:fill="auto"/>
          </w:tcPr>
          <w:p w14:paraId="5EA22D59" w14:textId="77777777" w:rsidR="003C66EB" w:rsidRDefault="003C66EB">
            <w:pPr>
              <w:rPr>
                <w:rFonts w:ascii="宋体"/>
                <w:vanish/>
              </w:rPr>
            </w:pPr>
          </w:p>
        </w:tc>
        <w:tc>
          <w:tcPr>
            <w:tcW w:w="0" w:type="auto"/>
            <w:gridSpan w:val="3"/>
            <w:shd w:val="clear" w:color="auto" w:fill="auto"/>
          </w:tcPr>
          <w:p w14:paraId="5EA22D5A" w14:textId="77777777" w:rsidR="003C66EB" w:rsidRDefault="003C66EB">
            <w:pPr>
              <w:rPr>
                <w:rFonts w:ascii="宋体"/>
                <w:vanish/>
              </w:rPr>
            </w:pPr>
          </w:p>
        </w:tc>
        <w:tc>
          <w:tcPr>
            <w:tcW w:w="0" w:type="auto"/>
            <w:gridSpan w:val="3"/>
            <w:shd w:val="clear" w:color="auto" w:fill="auto"/>
          </w:tcPr>
          <w:p w14:paraId="5EA22D5B" w14:textId="77777777" w:rsidR="003C66EB" w:rsidRDefault="003C66EB">
            <w:pPr>
              <w:rPr>
                <w:rFonts w:ascii="宋体"/>
                <w:vanish/>
              </w:rPr>
            </w:pPr>
          </w:p>
        </w:tc>
        <w:tc>
          <w:tcPr>
            <w:tcW w:w="0" w:type="auto"/>
            <w:gridSpan w:val="3"/>
            <w:shd w:val="clear" w:color="auto" w:fill="auto"/>
          </w:tcPr>
          <w:p w14:paraId="5EA22D5C" w14:textId="77777777" w:rsidR="003C66EB" w:rsidRDefault="003C66EB">
            <w:pPr>
              <w:rPr>
                <w:rFonts w:ascii="宋体"/>
                <w:vanish/>
              </w:rPr>
            </w:pPr>
          </w:p>
        </w:tc>
        <w:tc>
          <w:tcPr>
            <w:tcW w:w="0" w:type="auto"/>
            <w:gridSpan w:val="3"/>
            <w:shd w:val="clear" w:color="auto" w:fill="auto"/>
          </w:tcPr>
          <w:p w14:paraId="5EA22D5D" w14:textId="77777777" w:rsidR="003C66EB" w:rsidRDefault="003C66EB">
            <w:pPr>
              <w:rPr>
                <w:rFonts w:ascii="宋体"/>
                <w:vanish/>
              </w:rPr>
            </w:pPr>
          </w:p>
        </w:tc>
        <w:tc>
          <w:tcPr>
            <w:tcW w:w="0" w:type="auto"/>
            <w:gridSpan w:val="3"/>
            <w:shd w:val="clear" w:color="auto" w:fill="auto"/>
          </w:tcPr>
          <w:p w14:paraId="5EA22D5E" w14:textId="77777777" w:rsidR="003C66EB" w:rsidRDefault="003C66EB">
            <w:pPr>
              <w:rPr>
                <w:rFonts w:ascii="宋体"/>
                <w:vanish/>
              </w:rPr>
            </w:pPr>
          </w:p>
        </w:tc>
        <w:tc>
          <w:tcPr>
            <w:tcW w:w="0" w:type="auto"/>
            <w:gridSpan w:val="3"/>
            <w:shd w:val="clear" w:color="auto" w:fill="auto"/>
          </w:tcPr>
          <w:p w14:paraId="5EA22D5F" w14:textId="77777777" w:rsidR="003C66EB" w:rsidRDefault="003C66EB">
            <w:pPr>
              <w:rPr>
                <w:rFonts w:ascii="宋体"/>
                <w:vanish/>
              </w:rPr>
            </w:pPr>
          </w:p>
        </w:tc>
      </w:tr>
      <w:tr w:rsidR="003C66EB" w14:paraId="5EA22D6B" w14:textId="77777777">
        <w:trPr>
          <w:hidden/>
        </w:trPr>
        <w:tc>
          <w:tcPr>
            <w:tcW w:w="0" w:type="auto"/>
            <w:gridSpan w:val="3"/>
            <w:shd w:val="clear" w:color="auto" w:fill="auto"/>
          </w:tcPr>
          <w:p w14:paraId="5EA22D61" w14:textId="77777777" w:rsidR="003C66EB" w:rsidRDefault="003C66EB">
            <w:pPr>
              <w:rPr>
                <w:rFonts w:ascii="宋体"/>
                <w:vanish/>
              </w:rPr>
            </w:pPr>
          </w:p>
        </w:tc>
        <w:tc>
          <w:tcPr>
            <w:tcW w:w="0" w:type="auto"/>
            <w:gridSpan w:val="3"/>
            <w:shd w:val="clear" w:color="auto" w:fill="auto"/>
          </w:tcPr>
          <w:p w14:paraId="5EA22D62" w14:textId="77777777" w:rsidR="003C66EB" w:rsidRDefault="003C66EB">
            <w:pPr>
              <w:rPr>
                <w:rFonts w:ascii="宋体"/>
                <w:vanish/>
              </w:rPr>
            </w:pPr>
          </w:p>
        </w:tc>
        <w:tc>
          <w:tcPr>
            <w:tcW w:w="0" w:type="auto"/>
            <w:gridSpan w:val="3"/>
            <w:shd w:val="clear" w:color="auto" w:fill="auto"/>
          </w:tcPr>
          <w:p w14:paraId="5EA22D63" w14:textId="77777777" w:rsidR="003C66EB" w:rsidRDefault="003C66EB">
            <w:pPr>
              <w:rPr>
                <w:rFonts w:ascii="宋体"/>
                <w:vanish/>
              </w:rPr>
            </w:pPr>
          </w:p>
        </w:tc>
        <w:tc>
          <w:tcPr>
            <w:tcW w:w="0" w:type="auto"/>
            <w:gridSpan w:val="3"/>
            <w:shd w:val="clear" w:color="auto" w:fill="auto"/>
          </w:tcPr>
          <w:p w14:paraId="5EA22D64" w14:textId="77777777" w:rsidR="003C66EB" w:rsidRDefault="003C66EB">
            <w:pPr>
              <w:rPr>
                <w:rFonts w:ascii="宋体"/>
                <w:vanish/>
              </w:rPr>
            </w:pPr>
          </w:p>
        </w:tc>
        <w:tc>
          <w:tcPr>
            <w:tcW w:w="0" w:type="auto"/>
            <w:gridSpan w:val="3"/>
            <w:shd w:val="clear" w:color="auto" w:fill="auto"/>
          </w:tcPr>
          <w:p w14:paraId="5EA22D65" w14:textId="77777777" w:rsidR="003C66EB" w:rsidRDefault="003C66EB">
            <w:pPr>
              <w:rPr>
                <w:rFonts w:ascii="宋体"/>
                <w:vanish/>
              </w:rPr>
            </w:pPr>
          </w:p>
        </w:tc>
        <w:tc>
          <w:tcPr>
            <w:tcW w:w="0" w:type="auto"/>
            <w:gridSpan w:val="3"/>
            <w:shd w:val="clear" w:color="auto" w:fill="auto"/>
          </w:tcPr>
          <w:p w14:paraId="5EA22D66" w14:textId="77777777" w:rsidR="003C66EB" w:rsidRDefault="003C66EB">
            <w:pPr>
              <w:rPr>
                <w:rFonts w:ascii="宋体"/>
                <w:vanish/>
              </w:rPr>
            </w:pPr>
          </w:p>
        </w:tc>
        <w:tc>
          <w:tcPr>
            <w:tcW w:w="0" w:type="auto"/>
            <w:gridSpan w:val="3"/>
            <w:shd w:val="clear" w:color="auto" w:fill="auto"/>
          </w:tcPr>
          <w:p w14:paraId="5EA22D67" w14:textId="77777777" w:rsidR="003C66EB" w:rsidRDefault="003C66EB">
            <w:pPr>
              <w:rPr>
                <w:rFonts w:ascii="宋体"/>
                <w:vanish/>
              </w:rPr>
            </w:pPr>
          </w:p>
        </w:tc>
        <w:tc>
          <w:tcPr>
            <w:tcW w:w="0" w:type="auto"/>
            <w:gridSpan w:val="3"/>
            <w:shd w:val="clear" w:color="auto" w:fill="auto"/>
          </w:tcPr>
          <w:p w14:paraId="5EA22D68" w14:textId="77777777" w:rsidR="003C66EB" w:rsidRDefault="003C66EB">
            <w:pPr>
              <w:rPr>
                <w:rFonts w:ascii="宋体"/>
                <w:vanish/>
              </w:rPr>
            </w:pPr>
          </w:p>
        </w:tc>
        <w:tc>
          <w:tcPr>
            <w:tcW w:w="0" w:type="auto"/>
            <w:gridSpan w:val="3"/>
            <w:shd w:val="clear" w:color="auto" w:fill="auto"/>
          </w:tcPr>
          <w:p w14:paraId="5EA22D69" w14:textId="77777777" w:rsidR="003C66EB" w:rsidRDefault="003C66EB">
            <w:pPr>
              <w:rPr>
                <w:rFonts w:ascii="宋体"/>
                <w:vanish/>
              </w:rPr>
            </w:pPr>
          </w:p>
        </w:tc>
        <w:tc>
          <w:tcPr>
            <w:tcW w:w="0" w:type="auto"/>
            <w:gridSpan w:val="3"/>
            <w:shd w:val="clear" w:color="auto" w:fill="auto"/>
          </w:tcPr>
          <w:p w14:paraId="5EA22D6A" w14:textId="77777777" w:rsidR="003C66EB" w:rsidRDefault="003C66EB">
            <w:pPr>
              <w:rPr>
                <w:rFonts w:ascii="宋体"/>
                <w:vanish/>
              </w:rPr>
            </w:pPr>
          </w:p>
        </w:tc>
      </w:tr>
      <w:tr w:rsidR="003C66EB" w14:paraId="5EA22D76" w14:textId="77777777">
        <w:trPr>
          <w:hidden/>
        </w:trPr>
        <w:tc>
          <w:tcPr>
            <w:tcW w:w="0" w:type="auto"/>
            <w:gridSpan w:val="3"/>
            <w:shd w:val="clear" w:color="auto" w:fill="auto"/>
          </w:tcPr>
          <w:p w14:paraId="5EA22D6C" w14:textId="77777777" w:rsidR="003C66EB" w:rsidRDefault="003C66EB">
            <w:pPr>
              <w:rPr>
                <w:rFonts w:ascii="宋体"/>
                <w:vanish/>
              </w:rPr>
            </w:pPr>
          </w:p>
        </w:tc>
        <w:tc>
          <w:tcPr>
            <w:tcW w:w="0" w:type="auto"/>
            <w:gridSpan w:val="3"/>
            <w:shd w:val="clear" w:color="auto" w:fill="auto"/>
          </w:tcPr>
          <w:p w14:paraId="5EA22D6D" w14:textId="77777777" w:rsidR="003C66EB" w:rsidRDefault="003C66EB">
            <w:pPr>
              <w:rPr>
                <w:rFonts w:ascii="宋体"/>
                <w:vanish/>
              </w:rPr>
            </w:pPr>
          </w:p>
        </w:tc>
        <w:tc>
          <w:tcPr>
            <w:tcW w:w="0" w:type="auto"/>
            <w:gridSpan w:val="3"/>
            <w:shd w:val="clear" w:color="auto" w:fill="auto"/>
          </w:tcPr>
          <w:p w14:paraId="5EA22D6E" w14:textId="77777777" w:rsidR="003C66EB" w:rsidRDefault="003C66EB">
            <w:pPr>
              <w:rPr>
                <w:rFonts w:ascii="宋体"/>
                <w:vanish/>
              </w:rPr>
            </w:pPr>
          </w:p>
        </w:tc>
        <w:tc>
          <w:tcPr>
            <w:tcW w:w="0" w:type="auto"/>
            <w:gridSpan w:val="3"/>
            <w:shd w:val="clear" w:color="auto" w:fill="auto"/>
          </w:tcPr>
          <w:p w14:paraId="5EA22D6F" w14:textId="77777777" w:rsidR="003C66EB" w:rsidRDefault="003C66EB">
            <w:pPr>
              <w:rPr>
                <w:rFonts w:ascii="宋体"/>
                <w:vanish/>
              </w:rPr>
            </w:pPr>
          </w:p>
        </w:tc>
        <w:tc>
          <w:tcPr>
            <w:tcW w:w="0" w:type="auto"/>
            <w:gridSpan w:val="3"/>
            <w:shd w:val="clear" w:color="auto" w:fill="auto"/>
          </w:tcPr>
          <w:p w14:paraId="5EA22D70" w14:textId="77777777" w:rsidR="003C66EB" w:rsidRDefault="003C66EB">
            <w:pPr>
              <w:rPr>
                <w:rFonts w:ascii="宋体"/>
                <w:vanish/>
              </w:rPr>
            </w:pPr>
          </w:p>
        </w:tc>
        <w:tc>
          <w:tcPr>
            <w:tcW w:w="0" w:type="auto"/>
            <w:gridSpan w:val="3"/>
            <w:shd w:val="clear" w:color="auto" w:fill="auto"/>
          </w:tcPr>
          <w:p w14:paraId="5EA22D71" w14:textId="77777777" w:rsidR="003C66EB" w:rsidRDefault="003C66EB">
            <w:pPr>
              <w:rPr>
                <w:rFonts w:ascii="宋体"/>
                <w:vanish/>
              </w:rPr>
            </w:pPr>
          </w:p>
        </w:tc>
        <w:tc>
          <w:tcPr>
            <w:tcW w:w="0" w:type="auto"/>
            <w:gridSpan w:val="3"/>
            <w:shd w:val="clear" w:color="auto" w:fill="auto"/>
          </w:tcPr>
          <w:p w14:paraId="5EA22D72" w14:textId="77777777" w:rsidR="003C66EB" w:rsidRDefault="003C66EB">
            <w:pPr>
              <w:rPr>
                <w:rFonts w:ascii="宋体"/>
                <w:vanish/>
              </w:rPr>
            </w:pPr>
          </w:p>
        </w:tc>
        <w:tc>
          <w:tcPr>
            <w:tcW w:w="0" w:type="auto"/>
            <w:gridSpan w:val="3"/>
            <w:shd w:val="clear" w:color="auto" w:fill="auto"/>
          </w:tcPr>
          <w:p w14:paraId="5EA22D73" w14:textId="77777777" w:rsidR="003C66EB" w:rsidRDefault="003C66EB">
            <w:pPr>
              <w:rPr>
                <w:rFonts w:ascii="宋体"/>
                <w:vanish/>
              </w:rPr>
            </w:pPr>
          </w:p>
        </w:tc>
        <w:tc>
          <w:tcPr>
            <w:tcW w:w="0" w:type="auto"/>
            <w:gridSpan w:val="3"/>
            <w:shd w:val="clear" w:color="auto" w:fill="auto"/>
          </w:tcPr>
          <w:p w14:paraId="5EA22D74" w14:textId="77777777" w:rsidR="003C66EB" w:rsidRDefault="003C66EB">
            <w:pPr>
              <w:rPr>
                <w:rFonts w:ascii="宋体"/>
                <w:vanish/>
              </w:rPr>
            </w:pPr>
          </w:p>
        </w:tc>
        <w:tc>
          <w:tcPr>
            <w:tcW w:w="0" w:type="auto"/>
            <w:gridSpan w:val="3"/>
            <w:shd w:val="clear" w:color="auto" w:fill="auto"/>
          </w:tcPr>
          <w:p w14:paraId="5EA22D75" w14:textId="77777777" w:rsidR="003C66EB" w:rsidRDefault="003C66EB">
            <w:pPr>
              <w:rPr>
                <w:rFonts w:ascii="宋体"/>
                <w:vanish/>
              </w:rPr>
            </w:pPr>
          </w:p>
        </w:tc>
      </w:tr>
      <w:tr w:rsidR="003C66EB" w14:paraId="5EA22D81" w14:textId="77777777">
        <w:trPr>
          <w:hidden/>
        </w:trPr>
        <w:tc>
          <w:tcPr>
            <w:tcW w:w="0" w:type="auto"/>
            <w:gridSpan w:val="3"/>
            <w:shd w:val="clear" w:color="auto" w:fill="auto"/>
          </w:tcPr>
          <w:p w14:paraId="5EA22D77" w14:textId="77777777" w:rsidR="003C66EB" w:rsidRDefault="003C66EB">
            <w:pPr>
              <w:rPr>
                <w:rFonts w:ascii="宋体"/>
                <w:vanish/>
              </w:rPr>
            </w:pPr>
          </w:p>
        </w:tc>
        <w:tc>
          <w:tcPr>
            <w:tcW w:w="0" w:type="auto"/>
            <w:gridSpan w:val="3"/>
            <w:shd w:val="clear" w:color="auto" w:fill="auto"/>
          </w:tcPr>
          <w:p w14:paraId="5EA22D78" w14:textId="77777777" w:rsidR="003C66EB" w:rsidRDefault="003C66EB">
            <w:pPr>
              <w:rPr>
                <w:rFonts w:ascii="宋体"/>
                <w:vanish/>
              </w:rPr>
            </w:pPr>
          </w:p>
        </w:tc>
        <w:tc>
          <w:tcPr>
            <w:tcW w:w="0" w:type="auto"/>
            <w:gridSpan w:val="3"/>
            <w:shd w:val="clear" w:color="auto" w:fill="auto"/>
          </w:tcPr>
          <w:p w14:paraId="5EA22D79" w14:textId="77777777" w:rsidR="003C66EB" w:rsidRDefault="003C66EB">
            <w:pPr>
              <w:rPr>
                <w:rFonts w:ascii="宋体"/>
                <w:vanish/>
              </w:rPr>
            </w:pPr>
          </w:p>
        </w:tc>
        <w:tc>
          <w:tcPr>
            <w:tcW w:w="0" w:type="auto"/>
            <w:gridSpan w:val="3"/>
            <w:shd w:val="clear" w:color="auto" w:fill="auto"/>
          </w:tcPr>
          <w:p w14:paraId="5EA22D7A" w14:textId="77777777" w:rsidR="003C66EB" w:rsidRDefault="003C66EB">
            <w:pPr>
              <w:rPr>
                <w:rFonts w:ascii="宋体"/>
                <w:vanish/>
              </w:rPr>
            </w:pPr>
          </w:p>
        </w:tc>
        <w:tc>
          <w:tcPr>
            <w:tcW w:w="0" w:type="auto"/>
            <w:gridSpan w:val="3"/>
            <w:shd w:val="clear" w:color="auto" w:fill="auto"/>
          </w:tcPr>
          <w:p w14:paraId="5EA22D7B" w14:textId="77777777" w:rsidR="003C66EB" w:rsidRDefault="003C66EB">
            <w:pPr>
              <w:rPr>
                <w:rFonts w:ascii="宋体"/>
                <w:vanish/>
              </w:rPr>
            </w:pPr>
          </w:p>
        </w:tc>
        <w:tc>
          <w:tcPr>
            <w:tcW w:w="0" w:type="auto"/>
            <w:gridSpan w:val="3"/>
            <w:shd w:val="clear" w:color="auto" w:fill="auto"/>
          </w:tcPr>
          <w:p w14:paraId="5EA22D7C" w14:textId="77777777" w:rsidR="003C66EB" w:rsidRDefault="003C66EB">
            <w:pPr>
              <w:rPr>
                <w:rFonts w:ascii="宋体"/>
                <w:vanish/>
              </w:rPr>
            </w:pPr>
          </w:p>
        </w:tc>
        <w:tc>
          <w:tcPr>
            <w:tcW w:w="0" w:type="auto"/>
            <w:gridSpan w:val="3"/>
            <w:shd w:val="clear" w:color="auto" w:fill="auto"/>
          </w:tcPr>
          <w:p w14:paraId="5EA22D7D" w14:textId="77777777" w:rsidR="003C66EB" w:rsidRDefault="003C66EB">
            <w:pPr>
              <w:rPr>
                <w:rFonts w:ascii="宋体"/>
                <w:vanish/>
              </w:rPr>
            </w:pPr>
          </w:p>
        </w:tc>
        <w:tc>
          <w:tcPr>
            <w:tcW w:w="0" w:type="auto"/>
            <w:gridSpan w:val="3"/>
            <w:shd w:val="clear" w:color="auto" w:fill="auto"/>
          </w:tcPr>
          <w:p w14:paraId="5EA22D7E" w14:textId="77777777" w:rsidR="003C66EB" w:rsidRDefault="003C66EB">
            <w:pPr>
              <w:rPr>
                <w:rFonts w:ascii="宋体"/>
                <w:vanish/>
              </w:rPr>
            </w:pPr>
          </w:p>
        </w:tc>
        <w:tc>
          <w:tcPr>
            <w:tcW w:w="0" w:type="auto"/>
            <w:gridSpan w:val="3"/>
            <w:shd w:val="clear" w:color="auto" w:fill="auto"/>
          </w:tcPr>
          <w:p w14:paraId="5EA22D7F" w14:textId="77777777" w:rsidR="003C66EB" w:rsidRDefault="003C66EB">
            <w:pPr>
              <w:rPr>
                <w:rFonts w:ascii="宋体"/>
                <w:vanish/>
              </w:rPr>
            </w:pPr>
          </w:p>
        </w:tc>
        <w:tc>
          <w:tcPr>
            <w:tcW w:w="0" w:type="auto"/>
            <w:gridSpan w:val="3"/>
            <w:shd w:val="clear" w:color="auto" w:fill="auto"/>
          </w:tcPr>
          <w:p w14:paraId="5EA22D80" w14:textId="77777777" w:rsidR="003C66EB" w:rsidRDefault="003C66EB">
            <w:pPr>
              <w:rPr>
                <w:rFonts w:ascii="宋体"/>
                <w:vanish/>
              </w:rPr>
            </w:pPr>
          </w:p>
        </w:tc>
      </w:tr>
      <w:tr w:rsidR="003C66EB" w14:paraId="5EA22D90" w14:textId="77777777">
        <w:tc>
          <w:tcPr>
            <w:tcW w:w="0" w:type="auto"/>
            <w:gridSpan w:val="3"/>
            <w:shd w:val="clear" w:color="auto" w:fill="FFFFFF"/>
            <w:tcMar>
              <w:top w:w="40" w:type="dxa"/>
              <w:left w:w="740" w:type="dxa"/>
              <w:bottom w:w="40" w:type="dxa"/>
              <w:right w:w="20" w:type="dxa"/>
            </w:tcMar>
            <w:vAlign w:val="bottom"/>
          </w:tcPr>
          <w:p w14:paraId="5EA22D82" w14:textId="77777777" w:rsidR="003C66EB" w:rsidRDefault="00D96C4E">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83" w14:textId="77777777" w:rsidR="003C66EB" w:rsidRDefault="00D96C4E">
            <w:pPr>
              <w:jc w:val="right"/>
              <w:textAlignment w:val="bottom"/>
            </w:pPr>
            <w:r>
              <w:rPr>
                <w:rFonts w:ascii="Arial" w:eastAsia="宋体" w:hAnsi="Arial" w:cs="Arial"/>
                <w:color w:val="000000"/>
                <w:sz w:val="14"/>
                <w:szCs w:val="14"/>
              </w:rPr>
              <w:t>6,575 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8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8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86" w14:textId="77777777" w:rsidR="003C66EB" w:rsidRDefault="00D96C4E">
            <w:pPr>
              <w:jc w:val="right"/>
              <w:textAlignment w:val="bottom"/>
            </w:pPr>
            <w:r>
              <w:rPr>
                <w:rFonts w:ascii="Arial" w:eastAsia="宋体" w:hAnsi="Arial" w:cs="Arial"/>
                <w:color w:val="000000"/>
                <w:sz w:val="14"/>
                <w:szCs w:val="14"/>
              </w:rPr>
              <w:t>52,459 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8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89" w14:textId="77777777" w:rsidR="003C66EB" w:rsidRDefault="00D96C4E">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8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8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8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D8E" w14:textId="77777777" w:rsidR="003C66EB" w:rsidRDefault="00D96C4E">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D8F" w14:textId="77777777" w:rsidR="003C66EB" w:rsidRDefault="003C66EB">
            <w:pPr>
              <w:jc w:val="right"/>
              <w:rPr>
                <w:rFonts w:ascii="宋体"/>
              </w:rPr>
            </w:pPr>
          </w:p>
        </w:tc>
      </w:tr>
      <w:tr w:rsidR="003C66EB" w14:paraId="5EA22D9B" w14:textId="77777777">
        <w:tc>
          <w:tcPr>
            <w:tcW w:w="0" w:type="auto"/>
            <w:gridSpan w:val="3"/>
            <w:shd w:val="clear" w:color="auto" w:fill="CCEEFF"/>
            <w:tcMar>
              <w:top w:w="40" w:type="dxa"/>
              <w:left w:w="20" w:type="dxa"/>
              <w:bottom w:w="40" w:type="dxa"/>
              <w:right w:w="20" w:type="dxa"/>
            </w:tcMar>
            <w:vAlign w:val="bottom"/>
          </w:tcPr>
          <w:p w14:paraId="5EA22D91" w14:textId="77777777" w:rsidR="003C66EB" w:rsidRDefault="00D96C4E">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tcPr>
          <w:p w14:paraId="5EA22D9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D9A" w14:textId="77777777" w:rsidR="003C66EB" w:rsidRDefault="003C66EB">
            <w:pPr>
              <w:rPr>
                <w:rFonts w:ascii="宋体"/>
              </w:rPr>
            </w:pPr>
          </w:p>
        </w:tc>
      </w:tr>
      <w:tr w:rsidR="003C66EB" w14:paraId="5EA22DA6" w14:textId="77777777">
        <w:tc>
          <w:tcPr>
            <w:tcW w:w="0" w:type="auto"/>
            <w:gridSpan w:val="3"/>
            <w:shd w:val="clear" w:color="auto" w:fill="FFFFFF"/>
            <w:tcMar>
              <w:top w:w="40" w:type="dxa"/>
              <w:left w:w="245" w:type="dxa"/>
              <w:bottom w:w="40" w:type="dxa"/>
              <w:right w:w="20" w:type="dxa"/>
            </w:tcMar>
            <w:vAlign w:val="bottom"/>
          </w:tcPr>
          <w:p w14:paraId="5EA22D9C" w14:textId="77777777" w:rsidR="003C66EB" w:rsidRDefault="00D96C4E">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5EA22D9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9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9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A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A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A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A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A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DA5" w14:textId="77777777" w:rsidR="003C66EB" w:rsidRDefault="003C66EB">
            <w:pPr>
              <w:rPr>
                <w:rFonts w:ascii="宋体"/>
              </w:rPr>
            </w:pPr>
          </w:p>
        </w:tc>
      </w:tr>
      <w:tr w:rsidR="003C66EB" w14:paraId="5EA22DB7" w14:textId="77777777">
        <w:tc>
          <w:tcPr>
            <w:tcW w:w="0" w:type="auto"/>
            <w:gridSpan w:val="3"/>
            <w:shd w:val="clear" w:color="auto" w:fill="CCEEFF"/>
            <w:tcMar>
              <w:top w:w="40" w:type="dxa"/>
              <w:left w:w="515" w:type="dxa"/>
              <w:bottom w:w="40" w:type="dxa"/>
              <w:right w:w="20" w:type="dxa"/>
            </w:tcMar>
            <w:vAlign w:val="bottom"/>
          </w:tcPr>
          <w:p w14:paraId="5EA22DA7" w14:textId="77777777" w:rsidR="003C66EB" w:rsidRDefault="00D96C4E">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EA22DA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DA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A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AB" w14:textId="77777777" w:rsidR="003C66EB" w:rsidRDefault="00D96C4E">
            <w:pPr>
              <w:jc w:val="right"/>
              <w:textAlignment w:val="bottom"/>
            </w:pPr>
            <w:r>
              <w:rPr>
                <w:rFonts w:ascii="Arial" w:eastAsia="宋体" w:hAnsi="Arial" w:cs="Arial"/>
                <w:color w:val="000000"/>
                <w:sz w:val="14"/>
                <w:szCs w:val="14"/>
              </w:rPr>
              <w:t>25,941 </w:t>
            </w:r>
          </w:p>
        </w:tc>
        <w:tc>
          <w:tcPr>
            <w:tcW w:w="0" w:type="auto"/>
            <w:shd w:val="clear" w:color="auto" w:fill="CCEEFF"/>
            <w:tcMar>
              <w:top w:w="40" w:type="dxa"/>
              <w:left w:w="0" w:type="dxa"/>
              <w:bottom w:w="40" w:type="dxa"/>
              <w:right w:w="20" w:type="dxa"/>
            </w:tcMar>
            <w:vAlign w:val="bottom"/>
          </w:tcPr>
          <w:p w14:paraId="5EA22D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A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AE"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A22D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B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DB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DB2" w14:textId="77777777" w:rsidR="003C66EB" w:rsidRDefault="00D96C4E">
            <w:pPr>
              <w:jc w:val="right"/>
              <w:textAlignment w:val="bottom"/>
            </w:pPr>
            <w:r>
              <w:rPr>
                <w:rFonts w:ascii="Arial" w:eastAsia="宋体" w:hAnsi="Arial" w:cs="Arial"/>
                <w:color w:val="000000"/>
                <w:sz w:val="14"/>
                <w:szCs w:val="14"/>
              </w:rPr>
              <w:t>(20,140)</w:t>
            </w:r>
          </w:p>
        </w:tc>
        <w:tc>
          <w:tcPr>
            <w:tcW w:w="0" w:type="auto"/>
            <w:shd w:val="clear" w:color="auto" w:fill="CCEEFF"/>
            <w:tcMar>
              <w:top w:w="40" w:type="dxa"/>
              <w:left w:w="0" w:type="dxa"/>
              <w:bottom w:w="40" w:type="dxa"/>
              <w:right w:w="20" w:type="dxa"/>
            </w:tcMar>
            <w:vAlign w:val="bottom"/>
          </w:tcPr>
          <w:p w14:paraId="5EA22D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B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DB5" w14:textId="77777777" w:rsidR="003C66EB" w:rsidRDefault="00D96C4E">
            <w:pPr>
              <w:jc w:val="right"/>
              <w:textAlignment w:val="bottom"/>
            </w:pPr>
            <w:r>
              <w:rPr>
                <w:rFonts w:ascii="Arial" w:eastAsia="宋体" w:hAnsi="Arial" w:cs="Arial"/>
                <w:color w:val="000000"/>
                <w:sz w:val="14"/>
                <w:szCs w:val="14"/>
              </w:rPr>
              <w:t>5,803 </w:t>
            </w:r>
          </w:p>
        </w:tc>
        <w:tc>
          <w:tcPr>
            <w:tcW w:w="0" w:type="auto"/>
            <w:shd w:val="clear" w:color="auto" w:fill="CCEEFF"/>
            <w:tcMar>
              <w:top w:w="40" w:type="dxa"/>
              <w:left w:w="0" w:type="dxa"/>
              <w:bottom w:w="40" w:type="dxa"/>
              <w:right w:w="20" w:type="dxa"/>
            </w:tcMar>
            <w:vAlign w:val="bottom"/>
          </w:tcPr>
          <w:p w14:paraId="5EA22DB6" w14:textId="77777777" w:rsidR="003C66EB" w:rsidRDefault="003C66EB">
            <w:pPr>
              <w:jc w:val="right"/>
              <w:rPr>
                <w:rFonts w:ascii="宋体"/>
              </w:rPr>
            </w:pPr>
          </w:p>
        </w:tc>
      </w:tr>
      <w:tr w:rsidR="003C66EB" w14:paraId="5EA22DC7" w14:textId="77777777">
        <w:tc>
          <w:tcPr>
            <w:tcW w:w="0" w:type="auto"/>
            <w:gridSpan w:val="3"/>
            <w:shd w:val="clear" w:color="auto" w:fill="FFFFFF"/>
            <w:tcMar>
              <w:top w:w="40" w:type="dxa"/>
              <w:left w:w="515" w:type="dxa"/>
              <w:bottom w:w="40" w:type="dxa"/>
              <w:right w:w="20" w:type="dxa"/>
            </w:tcMar>
            <w:vAlign w:val="bottom"/>
          </w:tcPr>
          <w:p w14:paraId="5EA22DB8" w14:textId="77777777" w:rsidR="003C66EB" w:rsidRDefault="00D96C4E">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A22DB9"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A22DB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B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B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B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B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BF"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C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C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C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C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C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C5"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A22DC6" w14:textId="77777777" w:rsidR="003C66EB" w:rsidRDefault="003C66EB">
            <w:pPr>
              <w:jc w:val="right"/>
              <w:rPr>
                <w:rFonts w:ascii="宋体"/>
              </w:rPr>
            </w:pPr>
          </w:p>
        </w:tc>
      </w:tr>
      <w:tr w:rsidR="003C66EB" w14:paraId="5EA22DD2" w14:textId="77777777">
        <w:trPr>
          <w:hidden/>
        </w:trPr>
        <w:tc>
          <w:tcPr>
            <w:tcW w:w="0" w:type="auto"/>
            <w:gridSpan w:val="3"/>
            <w:shd w:val="clear" w:color="auto" w:fill="auto"/>
          </w:tcPr>
          <w:p w14:paraId="5EA22DC8" w14:textId="77777777" w:rsidR="003C66EB" w:rsidRDefault="003C66EB">
            <w:pPr>
              <w:rPr>
                <w:rFonts w:ascii="宋体"/>
                <w:vanish/>
              </w:rPr>
            </w:pPr>
          </w:p>
        </w:tc>
        <w:tc>
          <w:tcPr>
            <w:tcW w:w="0" w:type="auto"/>
            <w:gridSpan w:val="3"/>
            <w:shd w:val="clear" w:color="auto" w:fill="auto"/>
          </w:tcPr>
          <w:p w14:paraId="5EA22DC9" w14:textId="77777777" w:rsidR="003C66EB" w:rsidRDefault="003C66EB">
            <w:pPr>
              <w:rPr>
                <w:rFonts w:ascii="宋体"/>
                <w:vanish/>
              </w:rPr>
            </w:pPr>
          </w:p>
        </w:tc>
        <w:tc>
          <w:tcPr>
            <w:tcW w:w="0" w:type="auto"/>
            <w:gridSpan w:val="3"/>
            <w:shd w:val="clear" w:color="auto" w:fill="auto"/>
          </w:tcPr>
          <w:p w14:paraId="5EA22DCA" w14:textId="77777777" w:rsidR="003C66EB" w:rsidRDefault="003C66EB">
            <w:pPr>
              <w:rPr>
                <w:rFonts w:ascii="宋体"/>
                <w:vanish/>
              </w:rPr>
            </w:pPr>
          </w:p>
        </w:tc>
        <w:tc>
          <w:tcPr>
            <w:tcW w:w="0" w:type="auto"/>
            <w:gridSpan w:val="3"/>
            <w:shd w:val="clear" w:color="auto" w:fill="auto"/>
          </w:tcPr>
          <w:p w14:paraId="5EA22DCB" w14:textId="77777777" w:rsidR="003C66EB" w:rsidRDefault="003C66EB">
            <w:pPr>
              <w:rPr>
                <w:rFonts w:ascii="宋体"/>
                <w:vanish/>
              </w:rPr>
            </w:pPr>
          </w:p>
        </w:tc>
        <w:tc>
          <w:tcPr>
            <w:tcW w:w="0" w:type="auto"/>
            <w:gridSpan w:val="3"/>
            <w:shd w:val="clear" w:color="auto" w:fill="auto"/>
          </w:tcPr>
          <w:p w14:paraId="5EA22DCC" w14:textId="77777777" w:rsidR="003C66EB" w:rsidRDefault="003C66EB">
            <w:pPr>
              <w:rPr>
                <w:rFonts w:ascii="宋体"/>
                <w:vanish/>
              </w:rPr>
            </w:pPr>
          </w:p>
        </w:tc>
        <w:tc>
          <w:tcPr>
            <w:tcW w:w="0" w:type="auto"/>
            <w:gridSpan w:val="3"/>
            <w:shd w:val="clear" w:color="auto" w:fill="auto"/>
          </w:tcPr>
          <w:p w14:paraId="5EA22DCD" w14:textId="77777777" w:rsidR="003C66EB" w:rsidRDefault="003C66EB">
            <w:pPr>
              <w:rPr>
                <w:rFonts w:ascii="宋体"/>
                <w:vanish/>
              </w:rPr>
            </w:pPr>
          </w:p>
        </w:tc>
        <w:tc>
          <w:tcPr>
            <w:tcW w:w="0" w:type="auto"/>
            <w:gridSpan w:val="3"/>
            <w:shd w:val="clear" w:color="auto" w:fill="auto"/>
          </w:tcPr>
          <w:p w14:paraId="5EA22DCE" w14:textId="77777777" w:rsidR="003C66EB" w:rsidRDefault="003C66EB">
            <w:pPr>
              <w:rPr>
                <w:rFonts w:ascii="宋体"/>
                <w:vanish/>
              </w:rPr>
            </w:pPr>
          </w:p>
        </w:tc>
        <w:tc>
          <w:tcPr>
            <w:tcW w:w="0" w:type="auto"/>
            <w:gridSpan w:val="3"/>
            <w:shd w:val="clear" w:color="auto" w:fill="auto"/>
          </w:tcPr>
          <w:p w14:paraId="5EA22DCF" w14:textId="77777777" w:rsidR="003C66EB" w:rsidRDefault="003C66EB">
            <w:pPr>
              <w:rPr>
                <w:rFonts w:ascii="宋体"/>
                <w:vanish/>
              </w:rPr>
            </w:pPr>
          </w:p>
        </w:tc>
        <w:tc>
          <w:tcPr>
            <w:tcW w:w="0" w:type="auto"/>
            <w:gridSpan w:val="3"/>
            <w:shd w:val="clear" w:color="auto" w:fill="auto"/>
          </w:tcPr>
          <w:p w14:paraId="5EA22DD0" w14:textId="77777777" w:rsidR="003C66EB" w:rsidRDefault="003C66EB">
            <w:pPr>
              <w:rPr>
                <w:rFonts w:ascii="宋体"/>
                <w:vanish/>
              </w:rPr>
            </w:pPr>
          </w:p>
        </w:tc>
        <w:tc>
          <w:tcPr>
            <w:tcW w:w="0" w:type="auto"/>
            <w:gridSpan w:val="3"/>
            <w:shd w:val="clear" w:color="auto" w:fill="auto"/>
          </w:tcPr>
          <w:p w14:paraId="5EA22DD1" w14:textId="77777777" w:rsidR="003C66EB" w:rsidRDefault="003C66EB">
            <w:pPr>
              <w:rPr>
                <w:rFonts w:ascii="宋体"/>
                <w:vanish/>
              </w:rPr>
            </w:pPr>
          </w:p>
        </w:tc>
      </w:tr>
      <w:tr w:rsidR="003C66EB" w14:paraId="5EA22DE2" w14:textId="77777777">
        <w:tc>
          <w:tcPr>
            <w:tcW w:w="0" w:type="auto"/>
            <w:gridSpan w:val="3"/>
            <w:shd w:val="clear" w:color="auto" w:fill="CCEEFF"/>
            <w:tcMar>
              <w:top w:w="40" w:type="dxa"/>
              <w:left w:w="740" w:type="dxa"/>
              <w:bottom w:w="40" w:type="dxa"/>
              <w:right w:w="20" w:type="dxa"/>
            </w:tcMar>
            <w:vAlign w:val="bottom"/>
          </w:tcPr>
          <w:p w14:paraId="5EA22DD3" w14:textId="77777777" w:rsidR="003C66EB" w:rsidRDefault="00D96C4E">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D4" w14:textId="77777777" w:rsidR="003C66EB" w:rsidRDefault="00D96C4E">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D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D7" w14:textId="77777777" w:rsidR="003C66EB" w:rsidRDefault="00D96C4E">
            <w:pPr>
              <w:jc w:val="right"/>
              <w:textAlignment w:val="bottom"/>
            </w:pPr>
            <w:r>
              <w:rPr>
                <w:rFonts w:ascii="Arial" w:eastAsia="宋体" w:hAnsi="Arial" w:cs="Arial"/>
                <w:color w:val="000000"/>
                <w:sz w:val="14"/>
                <w:szCs w:val="14"/>
              </w:rPr>
              <w:t>25,941 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D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DA" w14:textId="77777777" w:rsidR="003C66EB" w:rsidRDefault="00D96C4E">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D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DD" w14:textId="77777777" w:rsidR="003C66EB" w:rsidRDefault="00D96C4E">
            <w:pPr>
              <w:jc w:val="right"/>
              <w:textAlignment w:val="bottom"/>
            </w:pPr>
            <w:r>
              <w:rPr>
                <w:rFonts w:ascii="Arial" w:eastAsia="宋体" w:hAnsi="Arial" w:cs="Arial"/>
                <w:color w:val="000000"/>
                <w:sz w:val="14"/>
                <w:szCs w:val="14"/>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D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D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2DE0" w14:textId="77777777" w:rsidR="003C66EB" w:rsidRDefault="00D96C4E">
            <w:pPr>
              <w:jc w:val="right"/>
              <w:textAlignment w:val="bottom"/>
            </w:pPr>
            <w:r>
              <w:rPr>
                <w:rFonts w:ascii="Arial" w:eastAsia="宋体" w:hAnsi="Arial" w:cs="Arial"/>
                <w:color w:val="000000"/>
                <w:sz w:val="14"/>
                <w:szCs w:val="14"/>
              </w:rPr>
              <w:t>5,804 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E1" w14:textId="77777777" w:rsidR="003C66EB" w:rsidRDefault="003C66EB">
            <w:pPr>
              <w:jc w:val="right"/>
              <w:rPr>
                <w:rFonts w:ascii="宋体"/>
              </w:rPr>
            </w:pPr>
          </w:p>
        </w:tc>
      </w:tr>
      <w:tr w:rsidR="003C66EB" w14:paraId="5EA22DF2" w14:textId="77777777">
        <w:tc>
          <w:tcPr>
            <w:tcW w:w="0" w:type="auto"/>
            <w:gridSpan w:val="3"/>
            <w:shd w:val="clear" w:color="auto" w:fill="FFFFFF"/>
            <w:tcMar>
              <w:top w:w="40" w:type="dxa"/>
              <w:left w:w="245" w:type="dxa"/>
              <w:bottom w:w="40" w:type="dxa"/>
              <w:right w:w="20" w:type="dxa"/>
            </w:tcMar>
            <w:vAlign w:val="bottom"/>
          </w:tcPr>
          <w:p w14:paraId="5EA22DE3" w14:textId="77777777" w:rsidR="003C66EB" w:rsidRDefault="00D96C4E">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A22DE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E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E7" w14:textId="77777777" w:rsidR="003C66EB" w:rsidRDefault="00D96C4E">
            <w:pPr>
              <w:jc w:val="right"/>
              <w:textAlignment w:val="bottom"/>
            </w:pPr>
            <w:r>
              <w:rPr>
                <w:rFonts w:ascii="Arial" w:eastAsia="宋体" w:hAnsi="Arial" w:cs="Arial"/>
                <w:color w:val="000000"/>
                <w:sz w:val="14"/>
                <w:szCs w:val="14"/>
              </w:rPr>
              <w:t>525 </w:t>
            </w:r>
          </w:p>
        </w:tc>
        <w:tc>
          <w:tcPr>
            <w:tcW w:w="0" w:type="auto"/>
            <w:shd w:val="clear" w:color="auto" w:fill="FFFFFF"/>
            <w:tcMar>
              <w:top w:w="40" w:type="dxa"/>
              <w:left w:w="0" w:type="dxa"/>
              <w:bottom w:w="40" w:type="dxa"/>
              <w:right w:w="20" w:type="dxa"/>
            </w:tcMar>
            <w:vAlign w:val="bottom"/>
          </w:tcPr>
          <w:p w14:paraId="5EA22D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E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E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E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E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DE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DE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DF0" w14:textId="77777777" w:rsidR="003C66EB" w:rsidRDefault="00D96C4E">
            <w:pPr>
              <w:jc w:val="right"/>
              <w:textAlignment w:val="bottom"/>
            </w:pPr>
            <w:r>
              <w:rPr>
                <w:rFonts w:ascii="Arial" w:eastAsia="宋体" w:hAnsi="Arial" w:cs="Arial"/>
                <w:color w:val="000000"/>
                <w:sz w:val="14"/>
                <w:szCs w:val="14"/>
              </w:rPr>
              <w:t>525 </w:t>
            </w:r>
          </w:p>
        </w:tc>
        <w:tc>
          <w:tcPr>
            <w:tcW w:w="0" w:type="auto"/>
            <w:shd w:val="clear" w:color="auto" w:fill="FFFFFF"/>
            <w:tcMar>
              <w:top w:w="40" w:type="dxa"/>
              <w:left w:w="0" w:type="dxa"/>
              <w:bottom w:w="40" w:type="dxa"/>
              <w:right w:w="20" w:type="dxa"/>
            </w:tcMar>
            <w:vAlign w:val="bottom"/>
          </w:tcPr>
          <w:p w14:paraId="5EA22DF1" w14:textId="77777777" w:rsidR="003C66EB" w:rsidRDefault="003C66EB">
            <w:pPr>
              <w:jc w:val="right"/>
              <w:rPr>
                <w:rFonts w:ascii="宋体"/>
              </w:rPr>
            </w:pPr>
          </w:p>
        </w:tc>
      </w:tr>
      <w:tr w:rsidR="003C66EB" w14:paraId="5EA22E07" w14:textId="77777777">
        <w:tc>
          <w:tcPr>
            <w:tcW w:w="0" w:type="auto"/>
            <w:gridSpan w:val="3"/>
            <w:shd w:val="clear" w:color="auto" w:fill="CCEEFF"/>
            <w:tcMar>
              <w:top w:w="40" w:type="dxa"/>
              <w:left w:w="245" w:type="dxa"/>
              <w:bottom w:w="40" w:type="dxa"/>
              <w:right w:w="20" w:type="dxa"/>
            </w:tcMar>
            <w:vAlign w:val="bottom"/>
          </w:tcPr>
          <w:p w14:paraId="5EA22DF3" w14:textId="77777777" w:rsidR="003C66EB" w:rsidRDefault="00D96C4E">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2DF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DF5" w14:textId="77777777" w:rsidR="003C66EB" w:rsidRDefault="00D96C4E">
            <w:pPr>
              <w:jc w:val="right"/>
              <w:textAlignment w:val="bottom"/>
            </w:pPr>
            <w:r>
              <w:rPr>
                <w:rFonts w:ascii="Arial" w:eastAsia="宋体" w:hAnsi="Arial" w:cs="Arial"/>
                <w:color w:val="000000"/>
                <w:sz w:val="14"/>
                <w:szCs w:val="14"/>
              </w:rPr>
              <w:t>6,633 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F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DF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DF9" w14:textId="77777777" w:rsidR="003C66EB" w:rsidRDefault="00D96C4E">
            <w:pPr>
              <w:jc w:val="right"/>
              <w:textAlignment w:val="bottom"/>
            </w:pPr>
            <w:r>
              <w:rPr>
                <w:rFonts w:ascii="Arial" w:eastAsia="宋体" w:hAnsi="Arial" w:cs="Arial"/>
                <w:color w:val="000000"/>
                <w:sz w:val="14"/>
                <w:szCs w:val="14"/>
              </w:rPr>
              <w:t>79,683 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F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F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DF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DFD" w14:textId="77777777" w:rsidR="003C66EB" w:rsidRDefault="00D96C4E">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D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DF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E0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E01" w14:textId="77777777" w:rsidR="003C66EB" w:rsidRDefault="00D96C4E">
            <w:pPr>
              <w:jc w:val="right"/>
              <w:textAlignment w:val="bottom"/>
            </w:pPr>
            <w:r>
              <w:rPr>
                <w:rFonts w:ascii="Arial" w:eastAsia="宋体" w:hAnsi="Arial" w:cs="Arial"/>
                <w:color w:val="000000"/>
                <w:sz w:val="14"/>
                <w:szCs w:val="14"/>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E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0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2E0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2E05" w14:textId="77777777" w:rsidR="003C66EB" w:rsidRDefault="00D96C4E">
            <w:pPr>
              <w:jc w:val="right"/>
              <w:textAlignment w:val="bottom"/>
            </w:pPr>
            <w:r>
              <w:rPr>
                <w:rFonts w:ascii="Arial" w:eastAsia="宋体" w:hAnsi="Arial" w:cs="Arial"/>
                <w:color w:val="000000"/>
                <w:sz w:val="14"/>
                <w:szCs w:val="14"/>
              </w:rPr>
              <w:t>66,192 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2E06" w14:textId="77777777" w:rsidR="003C66EB" w:rsidRDefault="003C66EB">
            <w:pPr>
              <w:jc w:val="right"/>
              <w:rPr>
                <w:rFonts w:ascii="宋体"/>
              </w:rPr>
            </w:pPr>
          </w:p>
        </w:tc>
      </w:tr>
      <w:tr w:rsidR="003C66EB" w14:paraId="5EA22E12" w14:textId="77777777">
        <w:tc>
          <w:tcPr>
            <w:tcW w:w="0" w:type="auto"/>
            <w:gridSpan w:val="3"/>
            <w:shd w:val="clear" w:color="auto" w:fill="FFFFFF"/>
            <w:tcMar>
              <w:top w:w="40" w:type="dxa"/>
              <w:left w:w="20" w:type="dxa"/>
              <w:bottom w:w="40" w:type="dxa"/>
              <w:right w:w="20" w:type="dxa"/>
            </w:tcMar>
            <w:vAlign w:val="bottom"/>
          </w:tcPr>
          <w:p w14:paraId="5EA22E08" w14:textId="77777777" w:rsidR="003C66EB" w:rsidRDefault="00D96C4E">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5EA22E0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0A"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E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0C"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E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0E"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E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10"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2E11" w14:textId="77777777" w:rsidR="003C66EB" w:rsidRDefault="003C66EB">
            <w:pPr>
              <w:rPr>
                <w:rFonts w:ascii="宋体"/>
              </w:rPr>
            </w:pPr>
          </w:p>
        </w:tc>
      </w:tr>
      <w:tr w:rsidR="003C66EB" w14:paraId="5EA22E1D" w14:textId="77777777">
        <w:tc>
          <w:tcPr>
            <w:tcW w:w="0" w:type="auto"/>
            <w:gridSpan w:val="3"/>
            <w:shd w:val="clear" w:color="auto" w:fill="CCEEFF"/>
            <w:tcMar>
              <w:top w:w="40" w:type="dxa"/>
              <w:left w:w="20" w:type="dxa"/>
              <w:bottom w:w="40" w:type="dxa"/>
              <w:right w:w="20" w:type="dxa"/>
            </w:tcMar>
            <w:vAlign w:val="bottom"/>
          </w:tcPr>
          <w:p w14:paraId="5EA22E13" w14:textId="77777777" w:rsidR="003C66EB" w:rsidRDefault="00D96C4E">
            <w:pPr>
              <w:textAlignment w:val="bottom"/>
            </w:pPr>
            <w:r>
              <w:rPr>
                <w:rFonts w:ascii="Arial" w:eastAsia="宋体" w:hAnsi="Arial" w:cs="Arial"/>
                <w:color w:val="000000"/>
                <w:sz w:val="15"/>
                <w:szCs w:val="15"/>
              </w:rPr>
              <w:t xml:space="preserve">Accrued </w:t>
            </w:r>
            <w:r>
              <w:rPr>
                <w:rFonts w:ascii="Arial" w:eastAsia="宋体" w:hAnsi="Arial" w:cs="Arial"/>
                <w:color w:val="000000"/>
                <w:sz w:val="15"/>
                <w:szCs w:val="15"/>
              </w:rPr>
              <w:t>expenses and other liabilities:</w:t>
            </w:r>
          </w:p>
        </w:tc>
        <w:tc>
          <w:tcPr>
            <w:tcW w:w="0" w:type="auto"/>
            <w:gridSpan w:val="3"/>
            <w:shd w:val="clear" w:color="auto" w:fill="CCEEFF"/>
            <w:tcMar>
              <w:top w:w="0" w:type="dxa"/>
              <w:left w:w="20" w:type="dxa"/>
              <w:bottom w:w="0" w:type="dxa"/>
              <w:right w:w="20" w:type="dxa"/>
            </w:tcMar>
          </w:tcPr>
          <w:p w14:paraId="5EA22E1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2E1C" w14:textId="77777777" w:rsidR="003C66EB" w:rsidRDefault="003C66EB">
            <w:pPr>
              <w:rPr>
                <w:rFonts w:ascii="宋体"/>
              </w:rPr>
            </w:pPr>
          </w:p>
        </w:tc>
      </w:tr>
      <w:tr w:rsidR="003C66EB" w14:paraId="5EA22E28" w14:textId="77777777">
        <w:tc>
          <w:tcPr>
            <w:tcW w:w="0" w:type="auto"/>
            <w:gridSpan w:val="3"/>
            <w:shd w:val="clear" w:color="auto" w:fill="FFFFFF"/>
            <w:tcMar>
              <w:top w:w="40" w:type="dxa"/>
              <w:left w:w="245" w:type="dxa"/>
              <w:bottom w:w="40" w:type="dxa"/>
              <w:right w:w="20" w:type="dxa"/>
            </w:tcMar>
            <w:vAlign w:val="bottom"/>
          </w:tcPr>
          <w:p w14:paraId="5EA22E1E" w14:textId="77777777" w:rsidR="003C66EB" w:rsidRDefault="00D96C4E">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tcPr>
          <w:p w14:paraId="5EA22E1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27" w14:textId="77777777" w:rsidR="003C66EB" w:rsidRDefault="003C66EB">
            <w:pPr>
              <w:rPr>
                <w:rFonts w:ascii="宋体"/>
              </w:rPr>
            </w:pPr>
          </w:p>
        </w:tc>
      </w:tr>
      <w:tr w:rsidR="003C66EB" w14:paraId="5EA22E33" w14:textId="77777777">
        <w:trPr>
          <w:hidden/>
        </w:trPr>
        <w:tc>
          <w:tcPr>
            <w:tcW w:w="0" w:type="auto"/>
            <w:gridSpan w:val="3"/>
            <w:shd w:val="clear" w:color="auto" w:fill="auto"/>
          </w:tcPr>
          <w:p w14:paraId="5EA22E29" w14:textId="77777777" w:rsidR="003C66EB" w:rsidRDefault="003C66EB">
            <w:pPr>
              <w:rPr>
                <w:rFonts w:ascii="宋体"/>
                <w:vanish/>
              </w:rPr>
            </w:pPr>
          </w:p>
        </w:tc>
        <w:tc>
          <w:tcPr>
            <w:tcW w:w="0" w:type="auto"/>
            <w:gridSpan w:val="3"/>
            <w:shd w:val="clear" w:color="auto" w:fill="auto"/>
          </w:tcPr>
          <w:p w14:paraId="5EA22E2A" w14:textId="77777777" w:rsidR="003C66EB" w:rsidRDefault="003C66EB">
            <w:pPr>
              <w:rPr>
                <w:rFonts w:ascii="宋体"/>
                <w:vanish/>
              </w:rPr>
            </w:pPr>
          </w:p>
        </w:tc>
        <w:tc>
          <w:tcPr>
            <w:tcW w:w="0" w:type="auto"/>
            <w:gridSpan w:val="3"/>
            <w:shd w:val="clear" w:color="auto" w:fill="auto"/>
          </w:tcPr>
          <w:p w14:paraId="5EA22E2B" w14:textId="77777777" w:rsidR="003C66EB" w:rsidRDefault="003C66EB">
            <w:pPr>
              <w:rPr>
                <w:rFonts w:ascii="宋体"/>
                <w:vanish/>
              </w:rPr>
            </w:pPr>
          </w:p>
        </w:tc>
        <w:tc>
          <w:tcPr>
            <w:tcW w:w="0" w:type="auto"/>
            <w:gridSpan w:val="3"/>
            <w:shd w:val="clear" w:color="auto" w:fill="auto"/>
          </w:tcPr>
          <w:p w14:paraId="5EA22E2C" w14:textId="77777777" w:rsidR="003C66EB" w:rsidRDefault="003C66EB">
            <w:pPr>
              <w:rPr>
                <w:rFonts w:ascii="宋体"/>
                <w:vanish/>
              </w:rPr>
            </w:pPr>
          </w:p>
        </w:tc>
        <w:tc>
          <w:tcPr>
            <w:tcW w:w="0" w:type="auto"/>
            <w:gridSpan w:val="3"/>
            <w:shd w:val="clear" w:color="auto" w:fill="auto"/>
          </w:tcPr>
          <w:p w14:paraId="5EA22E2D" w14:textId="77777777" w:rsidR="003C66EB" w:rsidRDefault="003C66EB">
            <w:pPr>
              <w:rPr>
                <w:rFonts w:ascii="宋体"/>
                <w:vanish/>
              </w:rPr>
            </w:pPr>
          </w:p>
        </w:tc>
        <w:tc>
          <w:tcPr>
            <w:tcW w:w="0" w:type="auto"/>
            <w:gridSpan w:val="3"/>
            <w:shd w:val="clear" w:color="auto" w:fill="auto"/>
          </w:tcPr>
          <w:p w14:paraId="5EA22E2E" w14:textId="77777777" w:rsidR="003C66EB" w:rsidRDefault="003C66EB">
            <w:pPr>
              <w:rPr>
                <w:rFonts w:ascii="宋体"/>
                <w:vanish/>
              </w:rPr>
            </w:pPr>
          </w:p>
        </w:tc>
        <w:tc>
          <w:tcPr>
            <w:tcW w:w="0" w:type="auto"/>
            <w:gridSpan w:val="3"/>
            <w:shd w:val="clear" w:color="auto" w:fill="auto"/>
          </w:tcPr>
          <w:p w14:paraId="5EA22E2F" w14:textId="77777777" w:rsidR="003C66EB" w:rsidRDefault="003C66EB">
            <w:pPr>
              <w:rPr>
                <w:rFonts w:ascii="宋体"/>
                <w:vanish/>
              </w:rPr>
            </w:pPr>
          </w:p>
        </w:tc>
        <w:tc>
          <w:tcPr>
            <w:tcW w:w="0" w:type="auto"/>
            <w:gridSpan w:val="3"/>
            <w:shd w:val="clear" w:color="auto" w:fill="auto"/>
          </w:tcPr>
          <w:p w14:paraId="5EA22E30" w14:textId="77777777" w:rsidR="003C66EB" w:rsidRDefault="003C66EB">
            <w:pPr>
              <w:rPr>
                <w:rFonts w:ascii="宋体"/>
                <w:vanish/>
              </w:rPr>
            </w:pPr>
          </w:p>
        </w:tc>
        <w:tc>
          <w:tcPr>
            <w:tcW w:w="0" w:type="auto"/>
            <w:gridSpan w:val="3"/>
            <w:shd w:val="clear" w:color="auto" w:fill="auto"/>
          </w:tcPr>
          <w:p w14:paraId="5EA22E31" w14:textId="77777777" w:rsidR="003C66EB" w:rsidRDefault="003C66EB">
            <w:pPr>
              <w:rPr>
                <w:rFonts w:ascii="宋体"/>
                <w:vanish/>
              </w:rPr>
            </w:pPr>
          </w:p>
        </w:tc>
        <w:tc>
          <w:tcPr>
            <w:tcW w:w="0" w:type="auto"/>
            <w:gridSpan w:val="3"/>
            <w:shd w:val="clear" w:color="auto" w:fill="auto"/>
          </w:tcPr>
          <w:p w14:paraId="5EA22E32" w14:textId="77777777" w:rsidR="003C66EB" w:rsidRDefault="003C66EB">
            <w:pPr>
              <w:rPr>
                <w:rFonts w:ascii="宋体"/>
                <w:vanish/>
              </w:rPr>
            </w:pPr>
          </w:p>
        </w:tc>
      </w:tr>
      <w:tr w:rsidR="003C66EB" w14:paraId="5EA22E3E" w14:textId="77777777">
        <w:trPr>
          <w:hidden/>
        </w:trPr>
        <w:tc>
          <w:tcPr>
            <w:tcW w:w="0" w:type="auto"/>
            <w:gridSpan w:val="3"/>
            <w:shd w:val="clear" w:color="auto" w:fill="auto"/>
          </w:tcPr>
          <w:p w14:paraId="5EA22E34" w14:textId="77777777" w:rsidR="003C66EB" w:rsidRDefault="003C66EB">
            <w:pPr>
              <w:rPr>
                <w:rFonts w:ascii="宋体"/>
                <w:vanish/>
              </w:rPr>
            </w:pPr>
          </w:p>
        </w:tc>
        <w:tc>
          <w:tcPr>
            <w:tcW w:w="0" w:type="auto"/>
            <w:gridSpan w:val="3"/>
            <w:shd w:val="clear" w:color="auto" w:fill="auto"/>
          </w:tcPr>
          <w:p w14:paraId="5EA22E35" w14:textId="77777777" w:rsidR="003C66EB" w:rsidRDefault="003C66EB">
            <w:pPr>
              <w:rPr>
                <w:rFonts w:ascii="宋体"/>
                <w:vanish/>
              </w:rPr>
            </w:pPr>
          </w:p>
        </w:tc>
        <w:tc>
          <w:tcPr>
            <w:tcW w:w="0" w:type="auto"/>
            <w:gridSpan w:val="3"/>
            <w:shd w:val="clear" w:color="auto" w:fill="auto"/>
          </w:tcPr>
          <w:p w14:paraId="5EA22E36" w14:textId="77777777" w:rsidR="003C66EB" w:rsidRDefault="003C66EB">
            <w:pPr>
              <w:rPr>
                <w:rFonts w:ascii="宋体"/>
                <w:vanish/>
              </w:rPr>
            </w:pPr>
          </w:p>
        </w:tc>
        <w:tc>
          <w:tcPr>
            <w:tcW w:w="0" w:type="auto"/>
            <w:gridSpan w:val="3"/>
            <w:shd w:val="clear" w:color="auto" w:fill="auto"/>
          </w:tcPr>
          <w:p w14:paraId="5EA22E37" w14:textId="77777777" w:rsidR="003C66EB" w:rsidRDefault="003C66EB">
            <w:pPr>
              <w:rPr>
                <w:rFonts w:ascii="宋体"/>
                <w:vanish/>
              </w:rPr>
            </w:pPr>
          </w:p>
        </w:tc>
        <w:tc>
          <w:tcPr>
            <w:tcW w:w="0" w:type="auto"/>
            <w:gridSpan w:val="3"/>
            <w:shd w:val="clear" w:color="auto" w:fill="auto"/>
          </w:tcPr>
          <w:p w14:paraId="5EA22E38" w14:textId="77777777" w:rsidR="003C66EB" w:rsidRDefault="003C66EB">
            <w:pPr>
              <w:rPr>
                <w:rFonts w:ascii="宋体"/>
                <w:vanish/>
              </w:rPr>
            </w:pPr>
          </w:p>
        </w:tc>
        <w:tc>
          <w:tcPr>
            <w:tcW w:w="0" w:type="auto"/>
            <w:gridSpan w:val="3"/>
            <w:shd w:val="clear" w:color="auto" w:fill="auto"/>
          </w:tcPr>
          <w:p w14:paraId="5EA22E39" w14:textId="77777777" w:rsidR="003C66EB" w:rsidRDefault="003C66EB">
            <w:pPr>
              <w:rPr>
                <w:rFonts w:ascii="宋体"/>
                <w:vanish/>
              </w:rPr>
            </w:pPr>
          </w:p>
        </w:tc>
        <w:tc>
          <w:tcPr>
            <w:tcW w:w="0" w:type="auto"/>
            <w:gridSpan w:val="3"/>
            <w:shd w:val="clear" w:color="auto" w:fill="auto"/>
          </w:tcPr>
          <w:p w14:paraId="5EA22E3A" w14:textId="77777777" w:rsidR="003C66EB" w:rsidRDefault="003C66EB">
            <w:pPr>
              <w:rPr>
                <w:rFonts w:ascii="宋体"/>
                <w:vanish/>
              </w:rPr>
            </w:pPr>
          </w:p>
        </w:tc>
        <w:tc>
          <w:tcPr>
            <w:tcW w:w="0" w:type="auto"/>
            <w:gridSpan w:val="3"/>
            <w:shd w:val="clear" w:color="auto" w:fill="auto"/>
          </w:tcPr>
          <w:p w14:paraId="5EA22E3B" w14:textId="77777777" w:rsidR="003C66EB" w:rsidRDefault="003C66EB">
            <w:pPr>
              <w:rPr>
                <w:rFonts w:ascii="宋体"/>
                <w:vanish/>
              </w:rPr>
            </w:pPr>
          </w:p>
        </w:tc>
        <w:tc>
          <w:tcPr>
            <w:tcW w:w="0" w:type="auto"/>
            <w:gridSpan w:val="3"/>
            <w:shd w:val="clear" w:color="auto" w:fill="auto"/>
          </w:tcPr>
          <w:p w14:paraId="5EA22E3C" w14:textId="77777777" w:rsidR="003C66EB" w:rsidRDefault="003C66EB">
            <w:pPr>
              <w:rPr>
                <w:rFonts w:ascii="宋体"/>
                <w:vanish/>
              </w:rPr>
            </w:pPr>
          </w:p>
        </w:tc>
        <w:tc>
          <w:tcPr>
            <w:tcW w:w="0" w:type="auto"/>
            <w:gridSpan w:val="3"/>
            <w:shd w:val="clear" w:color="auto" w:fill="auto"/>
          </w:tcPr>
          <w:p w14:paraId="5EA22E3D" w14:textId="77777777" w:rsidR="003C66EB" w:rsidRDefault="003C66EB">
            <w:pPr>
              <w:rPr>
                <w:rFonts w:ascii="宋体"/>
                <w:vanish/>
              </w:rPr>
            </w:pPr>
          </w:p>
        </w:tc>
      </w:tr>
      <w:tr w:rsidR="003C66EB" w14:paraId="5EA22E53" w14:textId="77777777">
        <w:tc>
          <w:tcPr>
            <w:tcW w:w="0" w:type="auto"/>
            <w:gridSpan w:val="3"/>
            <w:shd w:val="clear" w:color="auto" w:fill="CCEEFF"/>
            <w:tcMar>
              <w:top w:w="40" w:type="dxa"/>
              <w:left w:w="515" w:type="dxa"/>
              <w:bottom w:w="40" w:type="dxa"/>
              <w:right w:w="20" w:type="dxa"/>
            </w:tcMar>
            <w:vAlign w:val="bottom"/>
          </w:tcPr>
          <w:p w14:paraId="5EA22E3F" w14:textId="77777777" w:rsidR="003C66EB" w:rsidRDefault="00D96C4E">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right w:w="0" w:type="dxa"/>
            </w:tcMar>
            <w:vAlign w:val="bottom"/>
          </w:tcPr>
          <w:p w14:paraId="5EA22E40"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E41"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A22E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4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E44"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E45"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E4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4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E48"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E4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E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4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E4C"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E4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E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4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2E50"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2E51"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A22E52" w14:textId="77777777" w:rsidR="003C66EB" w:rsidRDefault="003C66EB">
            <w:pPr>
              <w:jc w:val="right"/>
              <w:rPr>
                <w:rFonts w:ascii="宋体"/>
              </w:rPr>
            </w:pPr>
          </w:p>
        </w:tc>
      </w:tr>
      <w:tr w:rsidR="003C66EB" w14:paraId="5EA22E5E" w14:textId="77777777">
        <w:tc>
          <w:tcPr>
            <w:tcW w:w="0" w:type="auto"/>
            <w:gridSpan w:val="3"/>
            <w:shd w:val="clear" w:color="auto" w:fill="FFFFFF"/>
            <w:tcMar>
              <w:top w:w="40" w:type="dxa"/>
              <w:left w:w="245" w:type="dxa"/>
              <w:bottom w:w="40" w:type="dxa"/>
              <w:right w:w="20" w:type="dxa"/>
            </w:tcMar>
            <w:vAlign w:val="bottom"/>
          </w:tcPr>
          <w:p w14:paraId="5EA22E54" w14:textId="77777777" w:rsidR="003C66EB" w:rsidRDefault="00D96C4E">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5EA22E5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2E5D" w14:textId="77777777" w:rsidR="003C66EB" w:rsidRDefault="003C66EB">
            <w:pPr>
              <w:rPr>
                <w:rFonts w:ascii="宋体"/>
              </w:rPr>
            </w:pPr>
          </w:p>
        </w:tc>
      </w:tr>
      <w:tr w:rsidR="003C66EB" w14:paraId="5EA22E6E" w14:textId="77777777">
        <w:tc>
          <w:tcPr>
            <w:tcW w:w="0" w:type="auto"/>
            <w:gridSpan w:val="3"/>
            <w:shd w:val="clear" w:color="auto" w:fill="CCEEFF"/>
            <w:tcMar>
              <w:top w:w="40" w:type="dxa"/>
              <w:left w:w="515" w:type="dxa"/>
              <w:bottom w:w="40" w:type="dxa"/>
              <w:right w:w="20" w:type="dxa"/>
            </w:tcMar>
            <w:vAlign w:val="bottom"/>
          </w:tcPr>
          <w:p w14:paraId="5EA22E5F" w14:textId="77777777" w:rsidR="003C66EB" w:rsidRDefault="00D96C4E">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EA22E60"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2E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6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63" w14:textId="77777777" w:rsidR="003C66EB" w:rsidRDefault="00D96C4E">
            <w:pPr>
              <w:jc w:val="right"/>
              <w:textAlignment w:val="bottom"/>
            </w:pPr>
            <w:r>
              <w:rPr>
                <w:rFonts w:ascii="Arial" w:eastAsia="宋体" w:hAnsi="Arial" w:cs="Arial"/>
                <w:color w:val="000000"/>
                <w:sz w:val="14"/>
                <w:szCs w:val="14"/>
              </w:rPr>
              <w:t>25,925 </w:t>
            </w:r>
          </w:p>
        </w:tc>
        <w:tc>
          <w:tcPr>
            <w:tcW w:w="0" w:type="auto"/>
            <w:shd w:val="clear" w:color="auto" w:fill="CCEEFF"/>
            <w:tcMar>
              <w:top w:w="40" w:type="dxa"/>
              <w:left w:w="0" w:type="dxa"/>
              <w:bottom w:w="40" w:type="dxa"/>
              <w:right w:w="20" w:type="dxa"/>
            </w:tcMar>
            <w:vAlign w:val="bottom"/>
          </w:tcPr>
          <w:p w14:paraId="5EA22E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6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66"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2E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6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69" w14:textId="77777777" w:rsidR="003C66EB" w:rsidRDefault="00D96C4E">
            <w:pPr>
              <w:jc w:val="right"/>
              <w:textAlignment w:val="bottom"/>
            </w:pPr>
            <w:r>
              <w:rPr>
                <w:rFonts w:ascii="Arial" w:eastAsia="宋体" w:hAnsi="Arial" w:cs="Arial"/>
                <w:color w:val="000000"/>
                <w:sz w:val="14"/>
                <w:szCs w:val="14"/>
              </w:rPr>
              <w:t>(15,558)</w:t>
            </w:r>
          </w:p>
        </w:tc>
        <w:tc>
          <w:tcPr>
            <w:tcW w:w="0" w:type="auto"/>
            <w:shd w:val="clear" w:color="auto" w:fill="CCEEFF"/>
            <w:tcMar>
              <w:top w:w="40" w:type="dxa"/>
              <w:left w:w="0" w:type="dxa"/>
              <w:bottom w:w="40" w:type="dxa"/>
              <w:right w:w="20" w:type="dxa"/>
            </w:tcMar>
            <w:vAlign w:val="bottom"/>
          </w:tcPr>
          <w:p w14:paraId="5EA22E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6C" w14:textId="77777777" w:rsidR="003C66EB" w:rsidRDefault="00D96C4E">
            <w:pPr>
              <w:jc w:val="right"/>
              <w:textAlignment w:val="bottom"/>
            </w:pPr>
            <w:r>
              <w:rPr>
                <w:rFonts w:ascii="Arial" w:eastAsia="宋体" w:hAnsi="Arial" w:cs="Arial"/>
                <w:color w:val="000000"/>
                <w:sz w:val="14"/>
                <w:szCs w:val="14"/>
              </w:rPr>
              <w:t>10,369 </w:t>
            </w:r>
          </w:p>
        </w:tc>
        <w:tc>
          <w:tcPr>
            <w:tcW w:w="0" w:type="auto"/>
            <w:shd w:val="clear" w:color="auto" w:fill="CCEEFF"/>
            <w:tcMar>
              <w:top w:w="40" w:type="dxa"/>
              <w:left w:w="0" w:type="dxa"/>
              <w:bottom w:w="40" w:type="dxa"/>
              <w:right w:w="20" w:type="dxa"/>
            </w:tcMar>
            <w:vAlign w:val="bottom"/>
          </w:tcPr>
          <w:p w14:paraId="5EA22E6D" w14:textId="77777777" w:rsidR="003C66EB" w:rsidRDefault="003C66EB">
            <w:pPr>
              <w:jc w:val="right"/>
              <w:rPr>
                <w:rFonts w:ascii="宋体"/>
              </w:rPr>
            </w:pPr>
          </w:p>
        </w:tc>
      </w:tr>
      <w:tr w:rsidR="003C66EB" w14:paraId="5EA22E7E" w14:textId="77777777">
        <w:tc>
          <w:tcPr>
            <w:tcW w:w="0" w:type="auto"/>
            <w:gridSpan w:val="3"/>
            <w:shd w:val="clear" w:color="auto" w:fill="FFFFFF"/>
            <w:tcMar>
              <w:top w:w="40" w:type="dxa"/>
              <w:left w:w="515" w:type="dxa"/>
              <w:bottom w:w="40" w:type="dxa"/>
              <w:right w:w="20" w:type="dxa"/>
            </w:tcMar>
            <w:vAlign w:val="bottom"/>
          </w:tcPr>
          <w:p w14:paraId="5EA22E6F" w14:textId="77777777" w:rsidR="003C66EB" w:rsidRDefault="00D96C4E">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A22E7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E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E73" w14:textId="77777777" w:rsidR="003C66EB" w:rsidRDefault="00D96C4E">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EA22E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E7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E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7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E7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2E7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7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2E7C" w14:textId="77777777" w:rsidR="003C66EB" w:rsidRDefault="00D96C4E">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EA22E7D" w14:textId="77777777" w:rsidR="003C66EB" w:rsidRDefault="003C66EB">
            <w:pPr>
              <w:jc w:val="right"/>
              <w:rPr>
                <w:rFonts w:ascii="宋体"/>
              </w:rPr>
            </w:pPr>
          </w:p>
        </w:tc>
      </w:tr>
      <w:tr w:rsidR="003C66EB" w14:paraId="5EA22E8E" w14:textId="77777777">
        <w:tc>
          <w:tcPr>
            <w:tcW w:w="0" w:type="auto"/>
            <w:gridSpan w:val="3"/>
            <w:shd w:val="clear" w:color="auto" w:fill="CCEEFF"/>
            <w:tcMar>
              <w:top w:w="40" w:type="dxa"/>
              <w:left w:w="515" w:type="dxa"/>
              <w:bottom w:w="40" w:type="dxa"/>
              <w:right w:w="20" w:type="dxa"/>
            </w:tcMar>
            <w:vAlign w:val="bottom"/>
          </w:tcPr>
          <w:p w14:paraId="5EA22E7F" w14:textId="77777777" w:rsidR="003C66EB" w:rsidRDefault="00D96C4E">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A22E8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E8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8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83" w14:textId="77777777" w:rsidR="003C66EB" w:rsidRDefault="00D96C4E">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EA22E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8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E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8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2E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2E8C" w14:textId="77777777" w:rsidR="003C66EB" w:rsidRDefault="00D96C4E">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EA22E8D" w14:textId="77777777" w:rsidR="003C66EB" w:rsidRDefault="003C66EB">
            <w:pPr>
              <w:jc w:val="right"/>
              <w:rPr>
                <w:rFonts w:ascii="宋体"/>
              </w:rPr>
            </w:pPr>
          </w:p>
        </w:tc>
      </w:tr>
      <w:tr w:rsidR="003C66EB" w14:paraId="5EA22E9E" w14:textId="77777777">
        <w:tc>
          <w:tcPr>
            <w:tcW w:w="0" w:type="auto"/>
            <w:gridSpan w:val="3"/>
            <w:shd w:val="clear" w:color="auto" w:fill="FFFFFF"/>
            <w:tcMar>
              <w:top w:w="40" w:type="dxa"/>
              <w:left w:w="740" w:type="dxa"/>
              <w:bottom w:w="40" w:type="dxa"/>
              <w:right w:w="20" w:type="dxa"/>
            </w:tcMar>
            <w:vAlign w:val="bottom"/>
          </w:tcPr>
          <w:p w14:paraId="5EA22E8F" w14:textId="77777777" w:rsidR="003C66EB" w:rsidRDefault="00D96C4E">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E90" w14:textId="77777777" w:rsidR="003C66EB" w:rsidRDefault="00D96C4E">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E9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9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E93" w14:textId="77777777" w:rsidR="003C66EB" w:rsidRDefault="00D96C4E">
            <w:pPr>
              <w:jc w:val="right"/>
              <w:textAlignment w:val="bottom"/>
            </w:pPr>
            <w:r>
              <w:rPr>
                <w:rFonts w:ascii="Arial" w:eastAsia="宋体" w:hAnsi="Arial" w:cs="Arial"/>
                <w:color w:val="000000"/>
                <w:sz w:val="14"/>
                <w:szCs w:val="14"/>
              </w:rPr>
              <w:t>26,124 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E9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9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E96" w14:textId="77777777" w:rsidR="003C66EB" w:rsidRDefault="00D96C4E">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E9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9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E99" w14:textId="77777777" w:rsidR="003C66EB" w:rsidRDefault="00D96C4E">
            <w:pPr>
              <w:jc w:val="right"/>
              <w:textAlignment w:val="bottom"/>
            </w:pPr>
            <w:r>
              <w:rPr>
                <w:rFonts w:ascii="Arial" w:eastAsia="宋体" w:hAnsi="Arial" w:cs="Arial"/>
                <w:color w:val="000000"/>
                <w:sz w:val="14"/>
                <w:szCs w:val="14"/>
              </w:rPr>
              <w:t>(15,558)</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E9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E9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2E9C" w14:textId="77777777" w:rsidR="003C66EB" w:rsidRDefault="00D96C4E">
            <w:pPr>
              <w:jc w:val="right"/>
              <w:textAlignment w:val="bottom"/>
            </w:pPr>
            <w:r>
              <w:rPr>
                <w:rFonts w:ascii="Arial" w:eastAsia="宋体" w:hAnsi="Arial" w:cs="Arial"/>
                <w:color w:val="000000"/>
                <w:sz w:val="14"/>
                <w:szCs w:val="14"/>
              </w:rPr>
              <w:t>10,568 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2E9D" w14:textId="77777777" w:rsidR="003C66EB" w:rsidRDefault="003C66EB">
            <w:pPr>
              <w:jc w:val="right"/>
              <w:rPr>
                <w:rFonts w:ascii="宋体"/>
              </w:rPr>
            </w:pPr>
          </w:p>
        </w:tc>
      </w:tr>
      <w:tr w:rsidR="003C66EB" w14:paraId="5EA22EA9" w14:textId="77777777">
        <w:trPr>
          <w:hidden/>
        </w:trPr>
        <w:tc>
          <w:tcPr>
            <w:tcW w:w="0" w:type="auto"/>
            <w:gridSpan w:val="3"/>
            <w:shd w:val="clear" w:color="auto" w:fill="auto"/>
          </w:tcPr>
          <w:p w14:paraId="5EA22E9F" w14:textId="77777777" w:rsidR="003C66EB" w:rsidRDefault="003C66EB">
            <w:pPr>
              <w:rPr>
                <w:rFonts w:ascii="宋体"/>
                <w:vanish/>
              </w:rPr>
            </w:pPr>
          </w:p>
        </w:tc>
        <w:tc>
          <w:tcPr>
            <w:tcW w:w="0" w:type="auto"/>
            <w:gridSpan w:val="3"/>
            <w:shd w:val="clear" w:color="auto" w:fill="auto"/>
          </w:tcPr>
          <w:p w14:paraId="5EA22EA0" w14:textId="77777777" w:rsidR="003C66EB" w:rsidRDefault="003C66EB">
            <w:pPr>
              <w:rPr>
                <w:rFonts w:ascii="宋体"/>
                <w:vanish/>
              </w:rPr>
            </w:pPr>
          </w:p>
        </w:tc>
        <w:tc>
          <w:tcPr>
            <w:tcW w:w="0" w:type="auto"/>
            <w:gridSpan w:val="3"/>
            <w:shd w:val="clear" w:color="auto" w:fill="auto"/>
          </w:tcPr>
          <w:p w14:paraId="5EA22EA1" w14:textId="77777777" w:rsidR="003C66EB" w:rsidRDefault="003C66EB">
            <w:pPr>
              <w:rPr>
                <w:rFonts w:ascii="宋体"/>
                <w:vanish/>
              </w:rPr>
            </w:pPr>
          </w:p>
        </w:tc>
        <w:tc>
          <w:tcPr>
            <w:tcW w:w="0" w:type="auto"/>
            <w:gridSpan w:val="3"/>
            <w:shd w:val="clear" w:color="auto" w:fill="auto"/>
          </w:tcPr>
          <w:p w14:paraId="5EA22EA2" w14:textId="77777777" w:rsidR="003C66EB" w:rsidRDefault="003C66EB">
            <w:pPr>
              <w:rPr>
                <w:rFonts w:ascii="宋体"/>
                <w:vanish/>
              </w:rPr>
            </w:pPr>
          </w:p>
        </w:tc>
        <w:tc>
          <w:tcPr>
            <w:tcW w:w="0" w:type="auto"/>
            <w:gridSpan w:val="3"/>
            <w:shd w:val="clear" w:color="auto" w:fill="auto"/>
          </w:tcPr>
          <w:p w14:paraId="5EA22EA3" w14:textId="77777777" w:rsidR="003C66EB" w:rsidRDefault="003C66EB">
            <w:pPr>
              <w:rPr>
                <w:rFonts w:ascii="宋体"/>
                <w:vanish/>
              </w:rPr>
            </w:pPr>
          </w:p>
        </w:tc>
        <w:tc>
          <w:tcPr>
            <w:tcW w:w="0" w:type="auto"/>
            <w:gridSpan w:val="3"/>
            <w:shd w:val="clear" w:color="auto" w:fill="auto"/>
          </w:tcPr>
          <w:p w14:paraId="5EA22EA4" w14:textId="77777777" w:rsidR="003C66EB" w:rsidRDefault="003C66EB">
            <w:pPr>
              <w:rPr>
                <w:rFonts w:ascii="宋体"/>
                <w:vanish/>
              </w:rPr>
            </w:pPr>
          </w:p>
        </w:tc>
        <w:tc>
          <w:tcPr>
            <w:tcW w:w="0" w:type="auto"/>
            <w:gridSpan w:val="3"/>
            <w:shd w:val="clear" w:color="auto" w:fill="auto"/>
          </w:tcPr>
          <w:p w14:paraId="5EA22EA5" w14:textId="77777777" w:rsidR="003C66EB" w:rsidRDefault="003C66EB">
            <w:pPr>
              <w:rPr>
                <w:rFonts w:ascii="宋体"/>
                <w:vanish/>
              </w:rPr>
            </w:pPr>
          </w:p>
        </w:tc>
        <w:tc>
          <w:tcPr>
            <w:tcW w:w="0" w:type="auto"/>
            <w:gridSpan w:val="3"/>
            <w:shd w:val="clear" w:color="auto" w:fill="auto"/>
          </w:tcPr>
          <w:p w14:paraId="5EA22EA6" w14:textId="77777777" w:rsidR="003C66EB" w:rsidRDefault="003C66EB">
            <w:pPr>
              <w:rPr>
                <w:rFonts w:ascii="宋体"/>
                <w:vanish/>
              </w:rPr>
            </w:pPr>
          </w:p>
        </w:tc>
        <w:tc>
          <w:tcPr>
            <w:tcW w:w="0" w:type="auto"/>
            <w:gridSpan w:val="3"/>
            <w:shd w:val="clear" w:color="auto" w:fill="auto"/>
          </w:tcPr>
          <w:p w14:paraId="5EA22EA7" w14:textId="77777777" w:rsidR="003C66EB" w:rsidRDefault="003C66EB">
            <w:pPr>
              <w:rPr>
                <w:rFonts w:ascii="宋体"/>
                <w:vanish/>
              </w:rPr>
            </w:pPr>
          </w:p>
        </w:tc>
        <w:tc>
          <w:tcPr>
            <w:tcW w:w="0" w:type="auto"/>
            <w:gridSpan w:val="3"/>
            <w:shd w:val="clear" w:color="auto" w:fill="auto"/>
          </w:tcPr>
          <w:p w14:paraId="5EA22EA8" w14:textId="77777777" w:rsidR="003C66EB" w:rsidRDefault="003C66EB">
            <w:pPr>
              <w:rPr>
                <w:rFonts w:ascii="宋体"/>
                <w:vanish/>
              </w:rPr>
            </w:pPr>
          </w:p>
        </w:tc>
      </w:tr>
      <w:tr w:rsidR="003C66EB" w14:paraId="5EA22EBE" w14:textId="77777777">
        <w:tc>
          <w:tcPr>
            <w:tcW w:w="0" w:type="auto"/>
            <w:gridSpan w:val="3"/>
            <w:shd w:val="clear" w:color="auto" w:fill="CCEEFF"/>
            <w:tcMar>
              <w:top w:w="40" w:type="dxa"/>
              <w:left w:w="20" w:type="dxa"/>
              <w:bottom w:w="40" w:type="dxa"/>
              <w:right w:w="20" w:type="dxa"/>
            </w:tcMar>
            <w:vAlign w:val="bottom"/>
          </w:tcPr>
          <w:p w14:paraId="5EA22EAA" w14:textId="77777777" w:rsidR="003C66EB" w:rsidRDefault="00D96C4E">
            <w:pPr>
              <w:textAlignment w:val="bottom"/>
            </w:pPr>
            <w:r>
              <w:rPr>
                <w:rFonts w:ascii="Arial" w:eastAsia="宋体" w:hAnsi="Arial" w:cs="Arial"/>
                <w:color w:val="000000"/>
                <w:sz w:val="14"/>
                <w:szCs w:val="14"/>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EA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EAC" w14:textId="77777777" w:rsidR="003C66EB" w:rsidRDefault="00D96C4E">
            <w:pPr>
              <w:jc w:val="right"/>
              <w:textAlignment w:val="bottom"/>
            </w:pPr>
            <w:r>
              <w:rPr>
                <w:rFonts w:ascii="Arial" w:eastAsia="宋体" w:hAnsi="Arial" w:cs="Arial"/>
                <w:color w:val="000000"/>
                <w:sz w:val="14"/>
                <w:szCs w:val="14"/>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E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A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EA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EB0" w14:textId="77777777" w:rsidR="003C66EB" w:rsidRDefault="00D96C4E">
            <w:pPr>
              <w:jc w:val="right"/>
              <w:textAlignment w:val="bottom"/>
            </w:pPr>
            <w:r>
              <w:rPr>
                <w:rFonts w:ascii="Arial" w:eastAsia="宋体" w:hAnsi="Arial" w:cs="Arial"/>
                <w:color w:val="000000"/>
                <w:sz w:val="14"/>
                <w:szCs w:val="14"/>
              </w:rPr>
              <w:t>26,124 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E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B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EB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EB4" w14:textId="77777777" w:rsidR="003C66EB" w:rsidRDefault="00D96C4E">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EB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B6"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EB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EB8" w14:textId="77777777" w:rsidR="003C66EB" w:rsidRDefault="00D96C4E">
            <w:pPr>
              <w:jc w:val="right"/>
              <w:textAlignment w:val="bottom"/>
            </w:pPr>
            <w:r>
              <w:rPr>
                <w:rFonts w:ascii="Arial" w:eastAsia="宋体" w:hAnsi="Arial" w:cs="Arial"/>
                <w:color w:val="000000"/>
                <w:sz w:val="14"/>
                <w:szCs w:val="14"/>
              </w:rPr>
              <w:t>(15,558)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E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EB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2EB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2EBC" w14:textId="77777777" w:rsidR="003C66EB" w:rsidRDefault="00D96C4E">
            <w:pPr>
              <w:jc w:val="right"/>
              <w:textAlignment w:val="bottom"/>
            </w:pPr>
            <w:r>
              <w:rPr>
                <w:rFonts w:ascii="Arial" w:eastAsia="宋体" w:hAnsi="Arial" w:cs="Arial"/>
                <w:color w:val="000000"/>
                <w:sz w:val="14"/>
                <w:szCs w:val="14"/>
              </w:rPr>
              <w:t>10,572 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2EBD" w14:textId="77777777" w:rsidR="003C66EB" w:rsidRDefault="003C66EB">
            <w:pPr>
              <w:jc w:val="right"/>
              <w:rPr>
                <w:rFonts w:ascii="宋体"/>
              </w:rPr>
            </w:pPr>
          </w:p>
        </w:tc>
      </w:tr>
    </w:tbl>
    <w:p w14:paraId="5EA22EBF"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3C66EB" w14:paraId="5EA22ECF" w14:textId="77777777">
        <w:tc>
          <w:tcPr>
            <w:tcW w:w="50" w:type="pct"/>
            <w:shd w:val="clear" w:color="auto" w:fill="auto"/>
          </w:tcPr>
          <w:p w14:paraId="5EA22EC0" w14:textId="77777777" w:rsidR="003C66EB" w:rsidRDefault="003C66EB">
            <w:pPr>
              <w:rPr>
                <w:rFonts w:ascii="宋体"/>
              </w:rPr>
            </w:pPr>
          </w:p>
        </w:tc>
        <w:tc>
          <w:tcPr>
            <w:tcW w:w="1311" w:type="pct"/>
            <w:shd w:val="clear" w:color="auto" w:fill="auto"/>
          </w:tcPr>
          <w:p w14:paraId="5EA22EC1" w14:textId="77777777" w:rsidR="003C66EB" w:rsidRDefault="003C66EB">
            <w:pPr>
              <w:rPr>
                <w:rFonts w:ascii="宋体"/>
              </w:rPr>
            </w:pPr>
          </w:p>
        </w:tc>
        <w:tc>
          <w:tcPr>
            <w:tcW w:w="5" w:type="pct"/>
            <w:shd w:val="clear" w:color="auto" w:fill="auto"/>
          </w:tcPr>
          <w:p w14:paraId="5EA22EC2" w14:textId="77777777" w:rsidR="003C66EB" w:rsidRDefault="003C66EB">
            <w:pPr>
              <w:rPr>
                <w:rFonts w:ascii="宋体"/>
              </w:rPr>
            </w:pPr>
          </w:p>
        </w:tc>
        <w:tc>
          <w:tcPr>
            <w:tcW w:w="50" w:type="pct"/>
            <w:shd w:val="clear" w:color="auto" w:fill="auto"/>
          </w:tcPr>
          <w:p w14:paraId="5EA22EC3" w14:textId="77777777" w:rsidR="003C66EB" w:rsidRDefault="003C66EB">
            <w:pPr>
              <w:rPr>
                <w:rFonts w:ascii="宋体"/>
              </w:rPr>
            </w:pPr>
          </w:p>
        </w:tc>
        <w:tc>
          <w:tcPr>
            <w:tcW w:w="1582" w:type="pct"/>
            <w:shd w:val="clear" w:color="auto" w:fill="auto"/>
          </w:tcPr>
          <w:p w14:paraId="5EA22EC4" w14:textId="77777777" w:rsidR="003C66EB" w:rsidRDefault="003C66EB">
            <w:pPr>
              <w:rPr>
                <w:rFonts w:ascii="宋体"/>
              </w:rPr>
            </w:pPr>
          </w:p>
        </w:tc>
        <w:tc>
          <w:tcPr>
            <w:tcW w:w="5" w:type="pct"/>
            <w:shd w:val="clear" w:color="auto" w:fill="auto"/>
          </w:tcPr>
          <w:p w14:paraId="5EA22EC5" w14:textId="77777777" w:rsidR="003C66EB" w:rsidRDefault="003C66EB">
            <w:pPr>
              <w:rPr>
                <w:rFonts w:ascii="宋体"/>
              </w:rPr>
            </w:pPr>
          </w:p>
        </w:tc>
        <w:tc>
          <w:tcPr>
            <w:tcW w:w="50" w:type="pct"/>
            <w:shd w:val="clear" w:color="auto" w:fill="auto"/>
          </w:tcPr>
          <w:p w14:paraId="5EA22EC6" w14:textId="77777777" w:rsidR="003C66EB" w:rsidRDefault="003C66EB">
            <w:pPr>
              <w:rPr>
                <w:rFonts w:ascii="宋体"/>
              </w:rPr>
            </w:pPr>
          </w:p>
        </w:tc>
        <w:tc>
          <w:tcPr>
            <w:tcW w:w="537" w:type="pct"/>
            <w:shd w:val="clear" w:color="auto" w:fill="auto"/>
          </w:tcPr>
          <w:p w14:paraId="5EA22EC7" w14:textId="77777777" w:rsidR="003C66EB" w:rsidRDefault="003C66EB">
            <w:pPr>
              <w:rPr>
                <w:rFonts w:ascii="宋体"/>
              </w:rPr>
            </w:pPr>
          </w:p>
        </w:tc>
        <w:tc>
          <w:tcPr>
            <w:tcW w:w="5" w:type="pct"/>
            <w:shd w:val="clear" w:color="auto" w:fill="auto"/>
          </w:tcPr>
          <w:p w14:paraId="5EA22EC8" w14:textId="77777777" w:rsidR="003C66EB" w:rsidRDefault="003C66EB">
            <w:pPr>
              <w:rPr>
                <w:rFonts w:ascii="宋体"/>
              </w:rPr>
            </w:pPr>
          </w:p>
        </w:tc>
        <w:tc>
          <w:tcPr>
            <w:tcW w:w="50" w:type="pct"/>
            <w:shd w:val="clear" w:color="auto" w:fill="auto"/>
          </w:tcPr>
          <w:p w14:paraId="5EA22EC9" w14:textId="77777777" w:rsidR="003C66EB" w:rsidRDefault="003C66EB">
            <w:pPr>
              <w:rPr>
                <w:rFonts w:ascii="宋体"/>
              </w:rPr>
            </w:pPr>
          </w:p>
        </w:tc>
        <w:tc>
          <w:tcPr>
            <w:tcW w:w="376" w:type="pct"/>
            <w:shd w:val="clear" w:color="auto" w:fill="auto"/>
          </w:tcPr>
          <w:p w14:paraId="5EA22ECA" w14:textId="77777777" w:rsidR="003C66EB" w:rsidRDefault="003C66EB">
            <w:pPr>
              <w:rPr>
                <w:rFonts w:ascii="宋体"/>
              </w:rPr>
            </w:pPr>
          </w:p>
        </w:tc>
        <w:tc>
          <w:tcPr>
            <w:tcW w:w="5" w:type="pct"/>
            <w:shd w:val="clear" w:color="auto" w:fill="auto"/>
          </w:tcPr>
          <w:p w14:paraId="5EA22ECB" w14:textId="77777777" w:rsidR="003C66EB" w:rsidRDefault="003C66EB">
            <w:pPr>
              <w:rPr>
                <w:rFonts w:ascii="宋体"/>
              </w:rPr>
            </w:pPr>
          </w:p>
        </w:tc>
        <w:tc>
          <w:tcPr>
            <w:tcW w:w="50" w:type="pct"/>
            <w:shd w:val="clear" w:color="auto" w:fill="auto"/>
          </w:tcPr>
          <w:p w14:paraId="5EA22ECC" w14:textId="77777777" w:rsidR="003C66EB" w:rsidRDefault="003C66EB">
            <w:pPr>
              <w:rPr>
                <w:rFonts w:ascii="宋体"/>
              </w:rPr>
            </w:pPr>
          </w:p>
        </w:tc>
        <w:tc>
          <w:tcPr>
            <w:tcW w:w="917" w:type="pct"/>
            <w:shd w:val="clear" w:color="auto" w:fill="auto"/>
          </w:tcPr>
          <w:p w14:paraId="5EA22ECD" w14:textId="77777777" w:rsidR="003C66EB" w:rsidRDefault="003C66EB">
            <w:pPr>
              <w:rPr>
                <w:rFonts w:ascii="宋体"/>
              </w:rPr>
            </w:pPr>
          </w:p>
        </w:tc>
        <w:tc>
          <w:tcPr>
            <w:tcW w:w="5" w:type="pct"/>
            <w:shd w:val="clear" w:color="auto" w:fill="auto"/>
          </w:tcPr>
          <w:p w14:paraId="5EA22ECE" w14:textId="77777777" w:rsidR="003C66EB" w:rsidRDefault="003C66EB">
            <w:pPr>
              <w:rPr>
                <w:rFonts w:ascii="宋体"/>
              </w:rPr>
            </w:pPr>
          </w:p>
        </w:tc>
      </w:tr>
      <w:tr w:rsidR="003C66EB" w14:paraId="5EA22ED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2ED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ED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E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ED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ED4" w14:textId="77777777" w:rsidR="003C66EB" w:rsidRDefault="003C66EB">
            <w:pPr>
              <w:rPr>
                <w:rFonts w:ascii="宋体"/>
              </w:rPr>
            </w:pPr>
          </w:p>
        </w:tc>
      </w:tr>
    </w:tbl>
    <w:p w14:paraId="5EA22ED6" w14:textId="77777777" w:rsidR="003C66EB" w:rsidRDefault="00D96C4E">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reductions of </w:t>
      </w:r>
      <w:r>
        <w:rPr>
          <w:rFonts w:ascii="Arial" w:eastAsia="宋体" w:hAnsi="Arial" w:cs="Arial"/>
          <w:color w:val="000000"/>
          <w:sz w:val="14"/>
          <w:szCs w:val="14"/>
        </w:rPr>
        <w:t>$5.87 billion and $1.29 billion, respectively, for cash collateral received from and provided to derivative counterparties.</w:t>
      </w:r>
    </w:p>
    <w:p w14:paraId="5EA22ED7" w14:textId="77777777" w:rsidR="003C66EB" w:rsidRDefault="00D96C4E">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Consists entirely of non-agency CMBS.</w:t>
      </w:r>
    </w:p>
    <w:p w14:paraId="5EA22ED8" w14:textId="77777777" w:rsidR="003C66EB" w:rsidRDefault="00D96C4E">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 xml:space="preserve">As of December 31, 2020, the fair value of other non-U.S. debt securities </w:t>
      </w:r>
      <w:r>
        <w:rPr>
          <w:rFonts w:ascii="Arial" w:eastAsia="宋体" w:hAnsi="Arial" w:cs="Arial"/>
          <w:color w:val="000000"/>
          <w:sz w:val="14"/>
          <w:szCs w:val="14"/>
        </w:rPr>
        <w:t>included $9.55 billion of supranational and non-U.S. agency bonds, $1.88 billion of corporate bonds and $0.47 billion of covered bonds.</w:t>
      </w:r>
    </w:p>
    <w:p w14:paraId="5EA22ED9" w14:textId="77777777" w:rsidR="003C66EB" w:rsidRDefault="003C66EB">
      <w:pPr>
        <w:spacing w:before="20"/>
        <w:jc w:val="both"/>
      </w:pPr>
    </w:p>
    <w:p w14:paraId="5EA22EDA" w14:textId="77777777" w:rsidR="003C66EB" w:rsidRDefault="00D96C4E">
      <w:pPr>
        <w:ind w:firstLine="450"/>
        <w:jc w:val="right"/>
      </w:pPr>
      <w:r>
        <w:rPr>
          <w:rFonts w:ascii="Arial" w:eastAsia="宋体" w:hAnsi="Arial" w:cs="Arial"/>
          <w:color w:val="000000"/>
          <w:sz w:val="18"/>
          <w:szCs w:val="18"/>
        </w:rPr>
        <w:t>State Street Corporation | 55</w:t>
      </w:r>
    </w:p>
    <w:p w14:paraId="5EA22EDB" w14:textId="77777777" w:rsidR="003C66EB" w:rsidRDefault="003C66EB">
      <w:pPr>
        <w:ind w:firstLine="450"/>
        <w:jc w:val="center"/>
      </w:pPr>
    </w:p>
    <w:p w14:paraId="5EA22EDC" w14:textId="77777777" w:rsidR="003C66EB" w:rsidRDefault="00D96C4E">
      <w:r>
        <w:pict w14:anchorId="5EA287E7">
          <v:rect id="_x0000_i1079" style="width:415.3pt;height:1.5pt" o:hralign="center" o:hrstd="t" o:hr="t" fillcolor="#a0a0a0" stroked="f"/>
        </w:pict>
      </w:r>
    </w:p>
    <w:p w14:paraId="5EA22EDD" w14:textId="77777777" w:rsidR="003C66EB" w:rsidRDefault="00D96C4E">
      <w:pPr>
        <w:ind w:firstLine="450"/>
        <w:jc w:val="center"/>
      </w:pPr>
      <w:r>
        <w:rPr>
          <w:rFonts w:ascii="Arial" w:eastAsia="宋体" w:hAnsi="Arial" w:cs="Arial"/>
          <w:b/>
          <w:bCs/>
          <w:color w:val="000000"/>
          <w:sz w:val="20"/>
          <w:szCs w:val="20"/>
        </w:rPr>
        <w:t>STATE STREET CORPORATION</w:t>
      </w:r>
    </w:p>
    <w:p w14:paraId="5EA22EDE"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2EDF" w14:textId="77777777" w:rsidR="003C66EB" w:rsidRDefault="00D96C4E">
      <w:pPr>
        <w:ind w:firstLine="450"/>
        <w:jc w:val="center"/>
      </w:pPr>
      <w:r>
        <w:rPr>
          <w:rFonts w:ascii="Arial" w:eastAsia="宋体" w:hAnsi="Arial" w:cs="Arial"/>
          <w:b/>
          <w:bCs/>
          <w:color w:val="000000"/>
          <w:sz w:val="20"/>
          <w:szCs w:val="20"/>
        </w:rPr>
        <w:t>(UNAUDITED)</w:t>
      </w:r>
    </w:p>
    <w:p w14:paraId="5EA22EE0" w14:textId="77777777" w:rsidR="003C66EB" w:rsidRDefault="00D96C4E">
      <w:pPr>
        <w:spacing w:before="120"/>
        <w:ind w:firstLine="450"/>
        <w:jc w:val="both"/>
      </w:pPr>
      <w:r>
        <w:rPr>
          <w:rFonts w:ascii="Arial" w:eastAsia="宋体" w:hAnsi="Arial" w:cs="Arial"/>
          <w:color w:val="000000"/>
          <w:sz w:val="20"/>
          <w:szCs w:val="20"/>
        </w:rPr>
        <w:t>The following tables present activity related to our level 3 financial assets during the three months ended March 31, 2021 and 2020, respectively. Transfers into and out of level 3 are reported as of the beginning of the period presented. Durin</w:t>
      </w:r>
      <w:r>
        <w:rPr>
          <w:rFonts w:ascii="Arial" w:eastAsia="宋体" w:hAnsi="Arial" w:cs="Arial"/>
          <w:color w:val="000000"/>
          <w:sz w:val="20"/>
          <w:szCs w:val="20"/>
        </w:rPr>
        <w:t>g the three months ended March 31, 2021, transfers into level 3 were primarily related to a U.S. corporate bond, for which fair value was measured using information obtained from third party sources, including non-binding broker/dealer quotes. During the t</w:t>
      </w:r>
      <w:r>
        <w:rPr>
          <w:rFonts w:ascii="Arial" w:eastAsia="宋体" w:hAnsi="Arial" w:cs="Arial"/>
          <w:color w:val="000000"/>
          <w:sz w:val="20"/>
          <w:szCs w:val="20"/>
        </w:rPr>
        <w:t>hree months ended March 31, 2021, transfers out of level 3 were mainly related to collateralized loan obligations, for which fair value was measured using prices based on observable market information. During the three months ended March 31, 2020, there we</w:t>
      </w:r>
      <w:r>
        <w:rPr>
          <w:rFonts w:ascii="Arial" w:eastAsia="宋体" w:hAnsi="Arial" w:cs="Arial"/>
          <w:color w:val="000000"/>
          <w:sz w:val="20"/>
          <w:szCs w:val="20"/>
        </w:rPr>
        <w:t>re no transfers into or out of level 3.</w:t>
      </w:r>
    </w:p>
    <w:tbl>
      <w:tblPr>
        <w:tblW w:w="5000" w:type="pct"/>
        <w:tblCellMar>
          <w:top w:w="15" w:type="dxa"/>
          <w:left w:w="15" w:type="dxa"/>
          <w:bottom w:w="15" w:type="dxa"/>
          <w:right w:w="15" w:type="dxa"/>
        </w:tblCellMar>
        <w:tblLook w:val="04A0" w:firstRow="1" w:lastRow="0" w:firstColumn="1" w:lastColumn="0" w:noHBand="0" w:noVBand="1"/>
      </w:tblPr>
      <w:tblGrid>
        <w:gridCol w:w="58"/>
        <w:gridCol w:w="881"/>
        <w:gridCol w:w="35"/>
        <w:gridCol w:w="86"/>
        <w:gridCol w:w="521"/>
        <w:gridCol w:w="35"/>
        <w:gridCol w:w="36"/>
        <w:gridCol w:w="35"/>
        <w:gridCol w:w="36"/>
        <w:gridCol w:w="87"/>
        <w:gridCol w:w="512"/>
        <w:gridCol w:w="37"/>
        <w:gridCol w:w="36"/>
        <w:gridCol w:w="43"/>
        <w:gridCol w:w="36"/>
        <w:gridCol w:w="89"/>
        <w:gridCol w:w="816"/>
        <w:gridCol w:w="36"/>
        <w:gridCol w:w="36"/>
        <w:gridCol w:w="36"/>
        <w:gridCol w:w="36"/>
        <w:gridCol w:w="89"/>
        <w:gridCol w:w="532"/>
        <w:gridCol w:w="36"/>
        <w:gridCol w:w="36"/>
        <w:gridCol w:w="36"/>
        <w:gridCol w:w="36"/>
        <w:gridCol w:w="36"/>
        <w:gridCol w:w="36"/>
        <w:gridCol w:w="87"/>
        <w:gridCol w:w="270"/>
        <w:gridCol w:w="36"/>
        <w:gridCol w:w="36"/>
        <w:gridCol w:w="36"/>
        <w:gridCol w:w="36"/>
        <w:gridCol w:w="88"/>
        <w:gridCol w:w="604"/>
        <w:gridCol w:w="36"/>
        <w:gridCol w:w="36"/>
        <w:gridCol w:w="36"/>
        <w:gridCol w:w="36"/>
        <w:gridCol w:w="88"/>
        <w:gridCol w:w="475"/>
        <w:gridCol w:w="36"/>
        <w:gridCol w:w="36"/>
        <w:gridCol w:w="36"/>
        <w:gridCol w:w="36"/>
        <w:gridCol w:w="88"/>
        <w:gridCol w:w="475"/>
        <w:gridCol w:w="36"/>
        <w:gridCol w:w="36"/>
        <w:gridCol w:w="36"/>
        <w:gridCol w:w="36"/>
        <w:gridCol w:w="87"/>
        <w:gridCol w:w="324"/>
        <w:gridCol w:w="36"/>
        <w:gridCol w:w="36"/>
        <w:gridCol w:w="36"/>
        <w:gridCol w:w="706"/>
      </w:tblGrid>
      <w:tr w:rsidR="003C66EB" w14:paraId="5EA22F1C" w14:textId="77777777">
        <w:tc>
          <w:tcPr>
            <w:tcW w:w="50" w:type="pct"/>
            <w:shd w:val="clear" w:color="auto" w:fill="auto"/>
          </w:tcPr>
          <w:p w14:paraId="5EA22EE1" w14:textId="77777777" w:rsidR="003C66EB" w:rsidRDefault="003C66EB">
            <w:pPr>
              <w:rPr>
                <w:rFonts w:ascii="宋体"/>
              </w:rPr>
            </w:pPr>
          </w:p>
        </w:tc>
        <w:tc>
          <w:tcPr>
            <w:tcW w:w="844" w:type="pct"/>
            <w:shd w:val="clear" w:color="auto" w:fill="auto"/>
          </w:tcPr>
          <w:p w14:paraId="5EA22EE2" w14:textId="77777777" w:rsidR="003C66EB" w:rsidRDefault="003C66EB">
            <w:pPr>
              <w:rPr>
                <w:rFonts w:ascii="宋体"/>
              </w:rPr>
            </w:pPr>
          </w:p>
        </w:tc>
        <w:tc>
          <w:tcPr>
            <w:tcW w:w="5" w:type="pct"/>
            <w:shd w:val="clear" w:color="auto" w:fill="auto"/>
          </w:tcPr>
          <w:p w14:paraId="5EA22EE3" w14:textId="77777777" w:rsidR="003C66EB" w:rsidRDefault="003C66EB">
            <w:pPr>
              <w:rPr>
                <w:rFonts w:ascii="宋体"/>
              </w:rPr>
            </w:pPr>
          </w:p>
        </w:tc>
        <w:tc>
          <w:tcPr>
            <w:tcW w:w="50" w:type="pct"/>
            <w:shd w:val="clear" w:color="auto" w:fill="auto"/>
          </w:tcPr>
          <w:p w14:paraId="5EA22EE4" w14:textId="77777777" w:rsidR="003C66EB" w:rsidRDefault="003C66EB">
            <w:pPr>
              <w:rPr>
                <w:rFonts w:ascii="宋体"/>
              </w:rPr>
            </w:pPr>
          </w:p>
        </w:tc>
        <w:tc>
          <w:tcPr>
            <w:tcW w:w="354" w:type="pct"/>
            <w:shd w:val="clear" w:color="auto" w:fill="auto"/>
          </w:tcPr>
          <w:p w14:paraId="5EA22EE5" w14:textId="77777777" w:rsidR="003C66EB" w:rsidRDefault="003C66EB">
            <w:pPr>
              <w:rPr>
                <w:rFonts w:ascii="宋体"/>
              </w:rPr>
            </w:pPr>
          </w:p>
        </w:tc>
        <w:tc>
          <w:tcPr>
            <w:tcW w:w="5" w:type="pct"/>
            <w:shd w:val="clear" w:color="auto" w:fill="auto"/>
          </w:tcPr>
          <w:p w14:paraId="5EA22EE6" w14:textId="77777777" w:rsidR="003C66EB" w:rsidRDefault="003C66EB">
            <w:pPr>
              <w:rPr>
                <w:rFonts w:ascii="宋体"/>
              </w:rPr>
            </w:pPr>
          </w:p>
        </w:tc>
        <w:tc>
          <w:tcPr>
            <w:tcW w:w="5" w:type="pct"/>
            <w:shd w:val="clear" w:color="auto" w:fill="auto"/>
          </w:tcPr>
          <w:p w14:paraId="5EA22EE7" w14:textId="77777777" w:rsidR="003C66EB" w:rsidRDefault="003C66EB">
            <w:pPr>
              <w:rPr>
                <w:rFonts w:ascii="宋体"/>
              </w:rPr>
            </w:pPr>
          </w:p>
        </w:tc>
        <w:tc>
          <w:tcPr>
            <w:tcW w:w="26" w:type="pct"/>
            <w:shd w:val="clear" w:color="auto" w:fill="auto"/>
          </w:tcPr>
          <w:p w14:paraId="5EA22EE8" w14:textId="77777777" w:rsidR="003C66EB" w:rsidRDefault="003C66EB">
            <w:pPr>
              <w:rPr>
                <w:rFonts w:ascii="宋体"/>
              </w:rPr>
            </w:pPr>
          </w:p>
        </w:tc>
        <w:tc>
          <w:tcPr>
            <w:tcW w:w="5" w:type="pct"/>
            <w:shd w:val="clear" w:color="auto" w:fill="auto"/>
          </w:tcPr>
          <w:p w14:paraId="5EA22EE9" w14:textId="77777777" w:rsidR="003C66EB" w:rsidRDefault="003C66EB">
            <w:pPr>
              <w:rPr>
                <w:rFonts w:ascii="宋体"/>
              </w:rPr>
            </w:pPr>
          </w:p>
        </w:tc>
        <w:tc>
          <w:tcPr>
            <w:tcW w:w="50" w:type="pct"/>
            <w:shd w:val="clear" w:color="auto" w:fill="auto"/>
          </w:tcPr>
          <w:p w14:paraId="5EA22EEA" w14:textId="77777777" w:rsidR="003C66EB" w:rsidRDefault="003C66EB">
            <w:pPr>
              <w:rPr>
                <w:rFonts w:ascii="宋体"/>
              </w:rPr>
            </w:pPr>
          </w:p>
        </w:tc>
        <w:tc>
          <w:tcPr>
            <w:tcW w:w="317" w:type="pct"/>
            <w:shd w:val="clear" w:color="auto" w:fill="auto"/>
          </w:tcPr>
          <w:p w14:paraId="5EA22EEB" w14:textId="77777777" w:rsidR="003C66EB" w:rsidRDefault="003C66EB">
            <w:pPr>
              <w:rPr>
                <w:rFonts w:ascii="宋体"/>
              </w:rPr>
            </w:pPr>
          </w:p>
        </w:tc>
        <w:tc>
          <w:tcPr>
            <w:tcW w:w="5" w:type="pct"/>
            <w:shd w:val="clear" w:color="auto" w:fill="auto"/>
          </w:tcPr>
          <w:p w14:paraId="5EA22EEC" w14:textId="77777777" w:rsidR="003C66EB" w:rsidRDefault="003C66EB">
            <w:pPr>
              <w:rPr>
                <w:rFonts w:ascii="宋体"/>
              </w:rPr>
            </w:pPr>
          </w:p>
        </w:tc>
        <w:tc>
          <w:tcPr>
            <w:tcW w:w="5" w:type="pct"/>
            <w:shd w:val="clear" w:color="auto" w:fill="auto"/>
          </w:tcPr>
          <w:p w14:paraId="5EA22EED" w14:textId="77777777" w:rsidR="003C66EB" w:rsidRDefault="003C66EB">
            <w:pPr>
              <w:rPr>
                <w:rFonts w:ascii="宋体"/>
              </w:rPr>
            </w:pPr>
          </w:p>
        </w:tc>
        <w:tc>
          <w:tcPr>
            <w:tcW w:w="26" w:type="pct"/>
            <w:shd w:val="clear" w:color="auto" w:fill="auto"/>
          </w:tcPr>
          <w:p w14:paraId="5EA22EEE" w14:textId="77777777" w:rsidR="003C66EB" w:rsidRDefault="003C66EB">
            <w:pPr>
              <w:rPr>
                <w:rFonts w:ascii="宋体"/>
              </w:rPr>
            </w:pPr>
          </w:p>
        </w:tc>
        <w:tc>
          <w:tcPr>
            <w:tcW w:w="5" w:type="pct"/>
            <w:shd w:val="clear" w:color="auto" w:fill="auto"/>
          </w:tcPr>
          <w:p w14:paraId="5EA22EEF" w14:textId="77777777" w:rsidR="003C66EB" w:rsidRDefault="003C66EB">
            <w:pPr>
              <w:rPr>
                <w:rFonts w:ascii="宋体"/>
              </w:rPr>
            </w:pPr>
          </w:p>
        </w:tc>
        <w:tc>
          <w:tcPr>
            <w:tcW w:w="50" w:type="pct"/>
            <w:shd w:val="clear" w:color="auto" w:fill="auto"/>
          </w:tcPr>
          <w:p w14:paraId="5EA22EF0" w14:textId="77777777" w:rsidR="003C66EB" w:rsidRDefault="003C66EB">
            <w:pPr>
              <w:rPr>
                <w:rFonts w:ascii="宋体"/>
              </w:rPr>
            </w:pPr>
          </w:p>
        </w:tc>
        <w:tc>
          <w:tcPr>
            <w:tcW w:w="463" w:type="pct"/>
            <w:shd w:val="clear" w:color="auto" w:fill="auto"/>
          </w:tcPr>
          <w:p w14:paraId="5EA22EF1" w14:textId="77777777" w:rsidR="003C66EB" w:rsidRDefault="003C66EB">
            <w:pPr>
              <w:rPr>
                <w:rFonts w:ascii="宋体"/>
              </w:rPr>
            </w:pPr>
          </w:p>
        </w:tc>
        <w:tc>
          <w:tcPr>
            <w:tcW w:w="5" w:type="pct"/>
            <w:shd w:val="clear" w:color="auto" w:fill="auto"/>
          </w:tcPr>
          <w:p w14:paraId="5EA22EF2" w14:textId="77777777" w:rsidR="003C66EB" w:rsidRDefault="003C66EB">
            <w:pPr>
              <w:rPr>
                <w:rFonts w:ascii="宋体"/>
              </w:rPr>
            </w:pPr>
          </w:p>
        </w:tc>
        <w:tc>
          <w:tcPr>
            <w:tcW w:w="5" w:type="pct"/>
            <w:shd w:val="clear" w:color="auto" w:fill="auto"/>
          </w:tcPr>
          <w:p w14:paraId="5EA22EF3" w14:textId="77777777" w:rsidR="003C66EB" w:rsidRDefault="003C66EB">
            <w:pPr>
              <w:rPr>
                <w:rFonts w:ascii="宋体"/>
              </w:rPr>
            </w:pPr>
          </w:p>
        </w:tc>
        <w:tc>
          <w:tcPr>
            <w:tcW w:w="26" w:type="pct"/>
            <w:shd w:val="clear" w:color="auto" w:fill="auto"/>
          </w:tcPr>
          <w:p w14:paraId="5EA22EF4" w14:textId="77777777" w:rsidR="003C66EB" w:rsidRDefault="003C66EB">
            <w:pPr>
              <w:rPr>
                <w:rFonts w:ascii="宋体"/>
              </w:rPr>
            </w:pPr>
          </w:p>
        </w:tc>
        <w:tc>
          <w:tcPr>
            <w:tcW w:w="5" w:type="pct"/>
            <w:shd w:val="clear" w:color="auto" w:fill="auto"/>
          </w:tcPr>
          <w:p w14:paraId="5EA22EF5" w14:textId="77777777" w:rsidR="003C66EB" w:rsidRDefault="003C66EB">
            <w:pPr>
              <w:rPr>
                <w:rFonts w:ascii="宋体"/>
              </w:rPr>
            </w:pPr>
          </w:p>
        </w:tc>
        <w:tc>
          <w:tcPr>
            <w:tcW w:w="50" w:type="pct"/>
            <w:shd w:val="clear" w:color="auto" w:fill="auto"/>
          </w:tcPr>
          <w:p w14:paraId="5EA22EF6" w14:textId="77777777" w:rsidR="003C66EB" w:rsidRDefault="003C66EB">
            <w:pPr>
              <w:rPr>
                <w:rFonts w:ascii="宋体"/>
              </w:rPr>
            </w:pPr>
          </w:p>
        </w:tc>
        <w:tc>
          <w:tcPr>
            <w:tcW w:w="303" w:type="pct"/>
            <w:shd w:val="clear" w:color="auto" w:fill="auto"/>
          </w:tcPr>
          <w:p w14:paraId="5EA22EF7" w14:textId="77777777" w:rsidR="003C66EB" w:rsidRDefault="003C66EB">
            <w:pPr>
              <w:rPr>
                <w:rFonts w:ascii="宋体"/>
              </w:rPr>
            </w:pPr>
          </w:p>
        </w:tc>
        <w:tc>
          <w:tcPr>
            <w:tcW w:w="5" w:type="pct"/>
            <w:shd w:val="clear" w:color="auto" w:fill="auto"/>
          </w:tcPr>
          <w:p w14:paraId="5EA22EF8" w14:textId="77777777" w:rsidR="003C66EB" w:rsidRDefault="003C66EB">
            <w:pPr>
              <w:rPr>
                <w:rFonts w:ascii="宋体"/>
              </w:rPr>
            </w:pPr>
          </w:p>
        </w:tc>
        <w:tc>
          <w:tcPr>
            <w:tcW w:w="5" w:type="pct"/>
            <w:shd w:val="clear" w:color="auto" w:fill="auto"/>
          </w:tcPr>
          <w:p w14:paraId="5EA22EF9" w14:textId="77777777" w:rsidR="003C66EB" w:rsidRDefault="003C66EB">
            <w:pPr>
              <w:rPr>
                <w:rFonts w:ascii="宋体"/>
              </w:rPr>
            </w:pPr>
          </w:p>
        </w:tc>
        <w:tc>
          <w:tcPr>
            <w:tcW w:w="26" w:type="pct"/>
            <w:shd w:val="clear" w:color="auto" w:fill="auto"/>
          </w:tcPr>
          <w:p w14:paraId="5EA22EFA" w14:textId="77777777" w:rsidR="003C66EB" w:rsidRDefault="003C66EB">
            <w:pPr>
              <w:rPr>
                <w:rFonts w:ascii="宋体"/>
              </w:rPr>
            </w:pPr>
          </w:p>
        </w:tc>
        <w:tc>
          <w:tcPr>
            <w:tcW w:w="5" w:type="pct"/>
            <w:shd w:val="clear" w:color="auto" w:fill="auto"/>
          </w:tcPr>
          <w:p w14:paraId="5EA22EFB" w14:textId="77777777" w:rsidR="003C66EB" w:rsidRDefault="003C66EB">
            <w:pPr>
              <w:rPr>
                <w:rFonts w:ascii="宋体"/>
              </w:rPr>
            </w:pPr>
          </w:p>
        </w:tc>
        <w:tc>
          <w:tcPr>
            <w:tcW w:w="0" w:type="auto"/>
            <w:shd w:val="clear" w:color="auto" w:fill="auto"/>
          </w:tcPr>
          <w:p w14:paraId="5EA22EFC" w14:textId="77777777" w:rsidR="003C66EB" w:rsidRDefault="003C66EB">
            <w:pPr>
              <w:rPr>
                <w:rFonts w:ascii="宋体"/>
                <w:vanish/>
              </w:rPr>
            </w:pPr>
          </w:p>
        </w:tc>
        <w:tc>
          <w:tcPr>
            <w:tcW w:w="0" w:type="auto"/>
            <w:shd w:val="clear" w:color="auto" w:fill="auto"/>
          </w:tcPr>
          <w:p w14:paraId="5EA22EFD" w14:textId="77777777" w:rsidR="003C66EB" w:rsidRDefault="003C66EB">
            <w:pPr>
              <w:rPr>
                <w:rFonts w:ascii="宋体"/>
                <w:vanish/>
              </w:rPr>
            </w:pPr>
          </w:p>
        </w:tc>
        <w:tc>
          <w:tcPr>
            <w:tcW w:w="50" w:type="pct"/>
            <w:shd w:val="clear" w:color="auto" w:fill="auto"/>
          </w:tcPr>
          <w:p w14:paraId="5EA22EFE" w14:textId="77777777" w:rsidR="003C66EB" w:rsidRDefault="003C66EB">
            <w:pPr>
              <w:rPr>
                <w:rFonts w:ascii="宋体"/>
              </w:rPr>
            </w:pPr>
          </w:p>
        </w:tc>
        <w:tc>
          <w:tcPr>
            <w:tcW w:w="200" w:type="pct"/>
            <w:shd w:val="clear" w:color="auto" w:fill="auto"/>
          </w:tcPr>
          <w:p w14:paraId="5EA22EFF" w14:textId="77777777" w:rsidR="003C66EB" w:rsidRDefault="003C66EB">
            <w:pPr>
              <w:rPr>
                <w:rFonts w:ascii="宋体"/>
              </w:rPr>
            </w:pPr>
          </w:p>
        </w:tc>
        <w:tc>
          <w:tcPr>
            <w:tcW w:w="5" w:type="pct"/>
            <w:shd w:val="clear" w:color="auto" w:fill="auto"/>
          </w:tcPr>
          <w:p w14:paraId="5EA22F00" w14:textId="77777777" w:rsidR="003C66EB" w:rsidRDefault="003C66EB">
            <w:pPr>
              <w:rPr>
                <w:rFonts w:ascii="宋体"/>
              </w:rPr>
            </w:pPr>
          </w:p>
        </w:tc>
        <w:tc>
          <w:tcPr>
            <w:tcW w:w="5" w:type="pct"/>
            <w:shd w:val="clear" w:color="auto" w:fill="auto"/>
          </w:tcPr>
          <w:p w14:paraId="5EA22F01" w14:textId="77777777" w:rsidR="003C66EB" w:rsidRDefault="003C66EB">
            <w:pPr>
              <w:rPr>
                <w:rFonts w:ascii="宋体"/>
              </w:rPr>
            </w:pPr>
          </w:p>
        </w:tc>
        <w:tc>
          <w:tcPr>
            <w:tcW w:w="26" w:type="pct"/>
            <w:shd w:val="clear" w:color="auto" w:fill="auto"/>
          </w:tcPr>
          <w:p w14:paraId="5EA22F02" w14:textId="77777777" w:rsidR="003C66EB" w:rsidRDefault="003C66EB">
            <w:pPr>
              <w:rPr>
                <w:rFonts w:ascii="宋体"/>
              </w:rPr>
            </w:pPr>
          </w:p>
        </w:tc>
        <w:tc>
          <w:tcPr>
            <w:tcW w:w="5" w:type="pct"/>
            <w:shd w:val="clear" w:color="auto" w:fill="auto"/>
          </w:tcPr>
          <w:p w14:paraId="5EA22F03" w14:textId="77777777" w:rsidR="003C66EB" w:rsidRDefault="003C66EB">
            <w:pPr>
              <w:rPr>
                <w:rFonts w:ascii="宋体"/>
              </w:rPr>
            </w:pPr>
          </w:p>
        </w:tc>
        <w:tc>
          <w:tcPr>
            <w:tcW w:w="50" w:type="pct"/>
            <w:shd w:val="clear" w:color="auto" w:fill="auto"/>
          </w:tcPr>
          <w:p w14:paraId="5EA22F04" w14:textId="77777777" w:rsidR="003C66EB" w:rsidRDefault="003C66EB">
            <w:pPr>
              <w:rPr>
                <w:rFonts w:ascii="宋体"/>
              </w:rPr>
            </w:pPr>
          </w:p>
        </w:tc>
        <w:tc>
          <w:tcPr>
            <w:tcW w:w="347" w:type="pct"/>
            <w:shd w:val="clear" w:color="auto" w:fill="auto"/>
          </w:tcPr>
          <w:p w14:paraId="5EA22F05" w14:textId="77777777" w:rsidR="003C66EB" w:rsidRDefault="003C66EB">
            <w:pPr>
              <w:rPr>
                <w:rFonts w:ascii="宋体"/>
              </w:rPr>
            </w:pPr>
          </w:p>
        </w:tc>
        <w:tc>
          <w:tcPr>
            <w:tcW w:w="5" w:type="pct"/>
            <w:shd w:val="clear" w:color="auto" w:fill="auto"/>
          </w:tcPr>
          <w:p w14:paraId="5EA22F06" w14:textId="77777777" w:rsidR="003C66EB" w:rsidRDefault="003C66EB">
            <w:pPr>
              <w:rPr>
                <w:rFonts w:ascii="宋体"/>
              </w:rPr>
            </w:pPr>
          </w:p>
        </w:tc>
        <w:tc>
          <w:tcPr>
            <w:tcW w:w="5" w:type="pct"/>
            <w:shd w:val="clear" w:color="auto" w:fill="auto"/>
          </w:tcPr>
          <w:p w14:paraId="5EA22F07" w14:textId="77777777" w:rsidR="003C66EB" w:rsidRDefault="003C66EB">
            <w:pPr>
              <w:rPr>
                <w:rFonts w:ascii="宋体"/>
              </w:rPr>
            </w:pPr>
          </w:p>
        </w:tc>
        <w:tc>
          <w:tcPr>
            <w:tcW w:w="26" w:type="pct"/>
            <w:shd w:val="clear" w:color="auto" w:fill="auto"/>
          </w:tcPr>
          <w:p w14:paraId="5EA22F08" w14:textId="77777777" w:rsidR="003C66EB" w:rsidRDefault="003C66EB">
            <w:pPr>
              <w:rPr>
                <w:rFonts w:ascii="宋体"/>
              </w:rPr>
            </w:pPr>
          </w:p>
        </w:tc>
        <w:tc>
          <w:tcPr>
            <w:tcW w:w="5" w:type="pct"/>
            <w:shd w:val="clear" w:color="auto" w:fill="auto"/>
          </w:tcPr>
          <w:p w14:paraId="5EA22F09" w14:textId="77777777" w:rsidR="003C66EB" w:rsidRDefault="003C66EB">
            <w:pPr>
              <w:rPr>
                <w:rFonts w:ascii="宋体"/>
              </w:rPr>
            </w:pPr>
          </w:p>
        </w:tc>
        <w:tc>
          <w:tcPr>
            <w:tcW w:w="50" w:type="pct"/>
            <w:shd w:val="clear" w:color="auto" w:fill="auto"/>
          </w:tcPr>
          <w:p w14:paraId="5EA22F0A" w14:textId="77777777" w:rsidR="003C66EB" w:rsidRDefault="003C66EB">
            <w:pPr>
              <w:rPr>
                <w:rFonts w:ascii="宋体"/>
              </w:rPr>
            </w:pPr>
          </w:p>
        </w:tc>
        <w:tc>
          <w:tcPr>
            <w:tcW w:w="273" w:type="pct"/>
            <w:shd w:val="clear" w:color="auto" w:fill="auto"/>
          </w:tcPr>
          <w:p w14:paraId="5EA22F0B" w14:textId="77777777" w:rsidR="003C66EB" w:rsidRDefault="003C66EB">
            <w:pPr>
              <w:rPr>
                <w:rFonts w:ascii="宋体"/>
              </w:rPr>
            </w:pPr>
          </w:p>
        </w:tc>
        <w:tc>
          <w:tcPr>
            <w:tcW w:w="5" w:type="pct"/>
            <w:shd w:val="clear" w:color="auto" w:fill="auto"/>
          </w:tcPr>
          <w:p w14:paraId="5EA22F0C" w14:textId="77777777" w:rsidR="003C66EB" w:rsidRDefault="003C66EB">
            <w:pPr>
              <w:rPr>
                <w:rFonts w:ascii="宋体"/>
              </w:rPr>
            </w:pPr>
          </w:p>
        </w:tc>
        <w:tc>
          <w:tcPr>
            <w:tcW w:w="5" w:type="pct"/>
            <w:shd w:val="clear" w:color="auto" w:fill="auto"/>
          </w:tcPr>
          <w:p w14:paraId="5EA22F0D" w14:textId="77777777" w:rsidR="003C66EB" w:rsidRDefault="003C66EB">
            <w:pPr>
              <w:rPr>
                <w:rFonts w:ascii="宋体"/>
              </w:rPr>
            </w:pPr>
          </w:p>
        </w:tc>
        <w:tc>
          <w:tcPr>
            <w:tcW w:w="26" w:type="pct"/>
            <w:shd w:val="clear" w:color="auto" w:fill="auto"/>
          </w:tcPr>
          <w:p w14:paraId="5EA22F0E" w14:textId="77777777" w:rsidR="003C66EB" w:rsidRDefault="003C66EB">
            <w:pPr>
              <w:rPr>
                <w:rFonts w:ascii="宋体"/>
              </w:rPr>
            </w:pPr>
          </w:p>
        </w:tc>
        <w:tc>
          <w:tcPr>
            <w:tcW w:w="5" w:type="pct"/>
            <w:shd w:val="clear" w:color="auto" w:fill="auto"/>
          </w:tcPr>
          <w:p w14:paraId="5EA22F0F" w14:textId="77777777" w:rsidR="003C66EB" w:rsidRDefault="003C66EB">
            <w:pPr>
              <w:rPr>
                <w:rFonts w:ascii="宋体"/>
              </w:rPr>
            </w:pPr>
          </w:p>
        </w:tc>
        <w:tc>
          <w:tcPr>
            <w:tcW w:w="50" w:type="pct"/>
            <w:shd w:val="clear" w:color="auto" w:fill="auto"/>
          </w:tcPr>
          <w:p w14:paraId="5EA22F10" w14:textId="77777777" w:rsidR="003C66EB" w:rsidRDefault="003C66EB">
            <w:pPr>
              <w:rPr>
                <w:rFonts w:ascii="宋体"/>
              </w:rPr>
            </w:pPr>
          </w:p>
        </w:tc>
        <w:tc>
          <w:tcPr>
            <w:tcW w:w="273" w:type="pct"/>
            <w:shd w:val="clear" w:color="auto" w:fill="auto"/>
          </w:tcPr>
          <w:p w14:paraId="5EA22F11" w14:textId="77777777" w:rsidR="003C66EB" w:rsidRDefault="003C66EB">
            <w:pPr>
              <w:rPr>
                <w:rFonts w:ascii="宋体"/>
              </w:rPr>
            </w:pPr>
          </w:p>
        </w:tc>
        <w:tc>
          <w:tcPr>
            <w:tcW w:w="5" w:type="pct"/>
            <w:shd w:val="clear" w:color="auto" w:fill="auto"/>
          </w:tcPr>
          <w:p w14:paraId="5EA22F12" w14:textId="77777777" w:rsidR="003C66EB" w:rsidRDefault="003C66EB">
            <w:pPr>
              <w:rPr>
                <w:rFonts w:ascii="宋体"/>
              </w:rPr>
            </w:pPr>
          </w:p>
        </w:tc>
        <w:tc>
          <w:tcPr>
            <w:tcW w:w="5" w:type="pct"/>
            <w:shd w:val="clear" w:color="auto" w:fill="auto"/>
          </w:tcPr>
          <w:p w14:paraId="5EA22F13" w14:textId="77777777" w:rsidR="003C66EB" w:rsidRDefault="003C66EB">
            <w:pPr>
              <w:rPr>
                <w:rFonts w:ascii="宋体"/>
              </w:rPr>
            </w:pPr>
          </w:p>
        </w:tc>
        <w:tc>
          <w:tcPr>
            <w:tcW w:w="26" w:type="pct"/>
            <w:shd w:val="clear" w:color="auto" w:fill="auto"/>
          </w:tcPr>
          <w:p w14:paraId="5EA22F14" w14:textId="77777777" w:rsidR="003C66EB" w:rsidRDefault="003C66EB">
            <w:pPr>
              <w:rPr>
                <w:rFonts w:ascii="宋体"/>
              </w:rPr>
            </w:pPr>
          </w:p>
        </w:tc>
        <w:tc>
          <w:tcPr>
            <w:tcW w:w="5" w:type="pct"/>
            <w:shd w:val="clear" w:color="auto" w:fill="auto"/>
          </w:tcPr>
          <w:p w14:paraId="5EA22F15" w14:textId="77777777" w:rsidR="003C66EB" w:rsidRDefault="003C66EB">
            <w:pPr>
              <w:rPr>
                <w:rFonts w:ascii="宋体"/>
              </w:rPr>
            </w:pPr>
          </w:p>
        </w:tc>
        <w:tc>
          <w:tcPr>
            <w:tcW w:w="50" w:type="pct"/>
            <w:shd w:val="clear" w:color="auto" w:fill="auto"/>
          </w:tcPr>
          <w:p w14:paraId="5EA22F16" w14:textId="77777777" w:rsidR="003C66EB" w:rsidRDefault="003C66EB">
            <w:pPr>
              <w:rPr>
                <w:rFonts w:ascii="宋体"/>
              </w:rPr>
            </w:pPr>
          </w:p>
        </w:tc>
        <w:tc>
          <w:tcPr>
            <w:tcW w:w="303" w:type="pct"/>
            <w:shd w:val="clear" w:color="auto" w:fill="auto"/>
          </w:tcPr>
          <w:p w14:paraId="5EA22F17" w14:textId="77777777" w:rsidR="003C66EB" w:rsidRDefault="003C66EB">
            <w:pPr>
              <w:rPr>
                <w:rFonts w:ascii="宋体"/>
              </w:rPr>
            </w:pPr>
          </w:p>
        </w:tc>
        <w:tc>
          <w:tcPr>
            <w:tcW w:w="5" w:type="pct"/>
            <w:shd w:val="clear" w:color="auto" w:fill="auto"/>
          </w:tcPr>
          <w:p w14:paraId="5EA22F18" w14:textId="77777777" w:rsidR="003C66EB" w:rsidRDefault="003C66EB">
            <w:pPr>
              <w:rPr>
                <w:rFonts w:ascii="宋体"/>
              </w:rPr>
            </w:pPr>
          </w:p>
        </w:tc>
        <w:tc>
          <w:tcPr>
            <w:tcW w:w="5" w:type="pct"/>
            <w:shd w:val="clear" w:color="auto" w:fill="auto"/>
          </w:tcPr>
          <w:p w14:paraId="5EA22F19" w14:textId="77777777" w:rsidR="003C66EB" w:rsidRDefault="003C66EB">
            <w:pPr>
              <w:rPr>
                <w:rFonts w:ascii="宋体"/>
              </w:rPr>
            </w:pPr>
          </w:p>
        </w:tc>
        <w:tc>
          <w:tcPr>
            <w:tcW w:w="26" w:type="pct"/>
            <w:shd w:val="clear" w:color="auto" w:fill="auto"/>
          </w:tcPr>
          <w:p w14:paraId="5EA22F1A" w14:textId="77777777" w:rsidR="003C66EB" w:rsidRDefault="003C66EB">
            <w:pPr>
              <w:rPr>
                <w:rFonts w:ascii="宋体"/>
              </w:rPr>
            </w:pPr>
          </w:p>
        </w:tc>
        <w:tc>
          <w:tcPr>
            <w:tcW w:w="5" w:type="pct"/>
            <w:shd w:val="clear" w:color="auto" w:fill="auto"/>
          </w:tcPr>
          <w:p w14:paraId="5EA22F1B" w14:textId="77777777" w:rsidR="003C66EB" w:rsidRDefault="003C66EB">
            <w:pPr>
              <w:rPr>
                <w:rFonts w:ascii="宋体"/>
              </w:rPr>
            </w:pPr>
          </w:p>
        </w:tc>
      </w:tr>
      <w:tr w:rsidR="003C66EB" w14:paraId="5EA22F22" w14:textId="77777777">
        <w:tc>
          <w:tcPr>
            <w:tcW w:w="0" w:type="auto"/>
            <w:gridSpan w:val="3"/>
            <w:shd w:val="clear" w:color="auto" w:fill="auto"/>
            <w:tcMar>
              <w:top w:w="0" w:type="dxa"/>
              <w:left w:w="20" w:type="dxa"/>
              <w:bottom w:w="0" w:type="dxa"/>
              <w:right w:w="20" w:type="dxa"/>
            </w:tcMar>
          </w:tcPr>
          <w:p w14:paraId="5EA22F1D" w14:textId="77777777" w:rsidR="003C66EB" w:rsidRDefault="003C66EB">
            <w:pPr>
              <w:rPr>
                <w:rFonts w:ascii="宋体"/>
              </w:rPr>
            </w:pPr>
          </w:p>
        </w:tc>
        <w:tc>
          <w:tcPr>
            <w:tcW w:w="0" w:type="auto"/>
            <w:gridSpan w:val="53"/>
            <w:shd w:val="clear" w:color="auto" w:fill="auto"/>
            <w:tcMar>
              <w:top w:w="40" w:type="dxa"/>
              <w:left w:w="20" w:type="dxa"/>
              <w:bottom w:w="40" w:type="dxa"/>
              <w:right w:w="20" w:type="dxa"/>
            </w:tcMar>
            <w:vAlign w:val="bottom"/>
          </w:tcPr>
          <w:p w14:paraId="5EA22F1E" w14:textId="77777777" w:rsidR="003C66EB" w:rsidRDefault="00D96C4E">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tcPr>
          <w:p w14:paraId="5EA22F1F" w14:textId="77777777" w:rsidR="003C66EB" w:rsidRDefault="003C66EB">
            <w:pPr>
              <w:rPr>
                <w:rFonts w:ascii="宋体"/>
              </w:rPr>
            </w:pPr>
          </w:p>
        </w:tc>
        <w:tc>
          <w:tcPr>
            <w:tcW w:w="0" w:type="auto"/>
            <w:shd w:val="clear" w:color="auto" w:fill="auto"/>
          </w:tcPr>
          <w:p w14:paraId="5EA22F20" w14:textId="77777777" w:rsidR="003C66EB" w:rsidRDefault="003C66EB">
            <w:pPr>
              <w:rPr>
                <w:rFonts w:ascii="宋体"/>
              </w:rPr>
            </w:pPr>
          </w:p>
        </w:tc>
        <w:tc>
          <w:tcPr>
            <w:tcW w:w="0" w:type="auto"/>
            <w:shd w:val="clear" w:color="auto" w:fill="auto"/>
          </w:tcPr>
          <w:p w14:paraId="5EA22F21" w14:textId="77777777" w:rsidR="003C66EB" w:rsidRDefault="003C66EB">
            <w:pPr>
              <w:rPr>
                <w:rFonts w:ascii="宋体"/>
              </w:rPr>
            </w:pPr>
          </w:p>
        </w:tc>
      </w:tr>
      <w:tr w:rsidR="003C66EB" w14:paraId="5EA22F28" w14:textId="77777777">
        <w:tc>
          <w:tcPr>
            <w:tcW w:w="0" w:type="auto"/>
            <w:gridSpan w:val="3"/>
            <w:shd w:val="clear" w:color="auto" w:fill="auto"/>
            <w:tcMar>
              <w:top w:w="40" w:type="dxa"/>
              <w:left w:w="20" w:type="dxa"/>
              <w:bottom w:w="40" w:type="dxa"/>
              <w:right w:w="20" w:type="dxa"/>
            </w:tcMar>
            <w:vAlign w:val="bottom"/>
          </w:tcPr>
          <w:p w14:paraId="5EA22F23" w14:textId="77777777" w:rsidR="003C66EB" w:rsidRDefault="00D96C4E">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EA22F24" w14:textId="77777777" w:rsidR="003C66EB" w:rsidRDefault="00D96C4E">
            <w:pPr>
              <w:jc w:val="center"/>
              <w:textAlignment w:val="bottom"/>
            </w:pPr>
            <w:r>
              <w:rPr>
                <w:rFonts w:ascii="Arial" w:eastAsia="宋体" w:hAnsi="Arial" w:cs="Arial"/>
                <w:b/>
                <w:bCs/>
                <w:color w:val="000000"/>
                <w:sz w:val="12"/>
                <w:szCs w:val="12"/>
              </w:rPr>
              <w:t>Three Months Ended March 31, 2021</w:t>
            </w:r>
          </w:p>
        </w:tc>
        <w:tc>
          <w:tcPr>
            <w:tcW w:w="0" w:type="auto"/>
            <w:shd w:val="clear" w:color="auto" w:fill="auto"/>
          </w:tcPr>
          <w:p w14:paraId="5EA22F25" w14:textId="77777777" w:rsidR="003C66EB" w:rsidRDefault="003C66EB">
            <w:pPr>
              <w:rPr>
                <w:rFonts w:ascii="宋体"/>
              </w:rPr>
            </w:pPr>
          </w:p>
        </w:tc>
        <w:tc>
          <w:tcPr>
            <w:tcW w:w="0" w:type="auto"/>
            <w:shd w:val="clear" w:color="auto" w:fill="auto"/>
          </w:tcPr>
          <w:p w14:paraId="5EA22F26" w14:textId="77777777" w:rsidR="003C66EB" w:rsidRDefault="003C66EB">
            <w:pPr>
              <w:rPr>
                <w:rFonts w:ascii="宋体"/>
              </w:rPr>
            </w:pPr>
          </w:p>
        </w:tc>
        <w:tc>
          <w:tcPr>
            <w:tcW w:w="0" w:type="auto"/>
            <w:shd w:val="clear" w:color="auto" w:fill="auto"/>
          </w:tcPr>
          <w:p w14:paraId="5EA22F27" w14:textId="77777777" w:rsidR="003C66EB" w:rsidRDefault="003C66EB">
            <w:pPr>
              <w:rPr>
                <w:rFonts w:ascii="宋体"/>
              </w:rPr>
            </w:pPr>
          </w:p>
        </w:tc>
      </w:tr>
      <w:tr w:rsidR="003C66EB" w14:paraId="5EA22F40" w14:textId="77777777">
        <w:trPr>
          <w:trHeight w:val="480"/>
        </w:trPr>
        <w:tc>
          <w:tcPr>
            <w:tcW w:w="0" w:type="auto"/>
            <w:gridSpan w:val="3"/>
            <w:shd w:val="clear" w:color="auto" w:fill="auto"/>
            <w:tcMar>
              <w:top w:w="40" w:type="dxa"/>
              <w:left w:w="20" w:type="dxa"/>
              <w:bottom w:w="40" w:type="dxa"/>
              <w:right w:w="20" w:type="dxa"/>
            </w:tcMar>
            <w:vAlign w:val="bottom"/>
          </w:tcPr>
          <w:p w14:paraId="5EA22F29" w14:textId="77777777" w:rsidR="003C66EB" w:rsidRDefault="00D96C4E">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2A" w14:textId="77777777" w:rsidR="003C66EB" w:rsidRDefault="00D96C4E">
            <w:pPr>
              <w:jc w:val="center"/>
              <w:textAlignment w:val="bottom"/>
            </w:pPr>
            <w:r>
              <w:rPr>
                <w:rFonts w:ascii="Arial" w:eastAsia="宋体" w:hAnsi="Arial" w:cs="Arial"/>
                <w:b/>
                <w:bCs/>
                <w:color w:val="000000"/>
                <w:sz w:val="12"/>
                <w:szCs w:val="12"/>
              </w:rPr>
              <w:t>Fair Value as of</w:t>
            </w:r>
            <w:r>
              <w:rPr>
                <w:rFonts w:ascii="Arial" w:eastAsia="宋体" w:hAnsi="Arial" w:cs="Arial"/>
                <w:b/>
                <w:bCs/>
                <w:color w:val="000000"/>
                <w:sz w:val="12"/>
                <w:szCs w:val="12"/>
              </w:rPr>
              <w:br/>
              <w:t>December 31,</w:t>
            </w:r>
            <w:r>
              <w:rPr>
                <w:rFonts w:ascii="Arial" w:eastAsia="宋体" w:hAnsi="Arial" w:cs="Arial"/>
                <w:b/>
                <w:bCs/>
                <w:color w:val="000000"/>
                <w:sz w:val="12"/>
                <w:szCs w:val="12"/>
              </w:rPr>
              <w:br/>
            </w:r>
            <w:r>
              <w:rPr>
                <w:rFonts w:ascii="Arial" w:eastAsia="宋体" w:hAnsi="Arial" w:cs="Arial"/>
                <w:b/>
                <w:bCs/>
                <w:color w:val="000000"/>
                <w:sz w:val="12"/>
                <w:szCs w:val="12"/>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5EA22F2B"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2F2C" w14:textId="77777777" w:rsidR="003C66EB" w:rsidRDefault="00D96C4E">
            <w:pPr>
              <w:jc w:val="center"/>
              <w:textAlignment w:val="bottom"/>
            </w:pPr>
            <w:r>
              <w:rPr>
                <w:rFonts w:ascii="Arial" w:eastAsia="宋体" w:hAnsi="Arial" w:cs="Arial"/>
                <w:b/>
                <w:bCs/>
                <w:color w:val="000000"/>
                <w:sz w:val="12"/>
                <w:szCs w:val="12"/>
              </w:rPr>
              <w:t>Total Realized and</w:t>
            </w:r>
            <w:r>
              <w:rPr>
                <w:rFonts w:ascii="Arial" w:eastAsia="宋体" w:hAnsi="Arial" w:cs="Arial"/>
                <w:b/>
                <w:bCs/>
                <w:color w:val="000000"/>
                <w:sz w:val="12"/>
                <w:szCs w:val="12"/>
              </w:rPr>
              <w:br/>
              <w:t>Unrealized Gains (Losses)</w:t>
            </w:r>
          </w:p>
        </w:tc>
        <w:tc>
          <w:tcPr>
            <w:tcW w:w="0" w:type="auto"/>
            <w:gridSpan w:val="3"/>
            <w:tcBorders>
              <w:top w:val="single" w:sz="8" w:space="0" w:color="000000"/>
            </w:tcBorders>
            <w:shd w:val="clear" w:color="auto" w:fill="auto"/>
            <w:tcMar>
              <w:top w:w="0" w:type="dxa"/>
              <w:left w:w="20" w:type="dxa"/>
              <w:bottom w:w="0" w:type="dxa"/>
              <w:right w:w="20" w:type="dxa"/>
            </w:tcMar>
          </w:tcPr>
          <w:p w14:paraId="5EA22F2D"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2E" w14:textId="77777777" w:rsidR="003C66EB" w:rsidRDefault="00D96C4E">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tcPr>
          <w:p w14:paraId="5EA22F2F" w14:textId="77777777" w:rsidR="003C66EB" w:rsidRDefault="003C66EB">
            <w:pPr>
              <w:rPr>
                <w:rFonts w:ascii="宋体"/>
              </w:rPr>
            </w:pPr>
          </w:p>
        </w:tc>
        <w:tc>
          <w:tcPr>
            <w:tcW w:w="0" w:type="auto"/>
            <w:shd w:val="clear" w:color="auto" w:fill="auto"/>
          </w:tcPr>
          <w:p w14:paraId="5EA22F30" w14:textId="77777777" w:rsidR="003C66EB" w:rsidRDefault="003C66EB">
            <w:pPr>
              <w:rPr>
                <w:rFonts w:ascii="宋体"/>
                <w:vanish/>
              </w:rPr>
            </w:pPr>
          </w:p>
        </w:tc>
        <w:tc>
          <w:tcPr>
            <w:tcW w:w="0" w:type="auto"/>
            <w:shd w:val="clear" w:color="auto" w:fill="auto"/>
          </w:tcPr>
          <w:p w14:paraId="5EA22F31" w14:textId="77777777" w:rsidR="003C66EB" w:rsidRDefault="003C66EB">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32" w14:textId="77777777" w:rsidR="003C66EB" w:rsidRDefault="00D96C4E">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tcPr>
          <w:p w14:paraId="5EA22F33"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34" w14:textId="77777777" w:rsidR="003C66EB" w:rsidRDefault="00D96C4E">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tcPr>
          <w:p w14:paraId="5EA22F35"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36" w14:textId="77777777" w:rsidR="003C66EB" w:rsidRDefault="00D96C4E">
            <w:pPr>
              <w:jc w:val="center"/>
              <w:textAlignment w:val="bottom"/>
            </w:pPr>
            <w:r>
              <w:rPr>
                <w:rFonts w:ascii="Arial" w:eastAsia="宋体" w:hAnsi="Arial" w:cs="Arial"/>
                <w:b/>
                <w:bCs/>
                <w:color w:val="000000"/>
                <w:sz w:val="12"/>
                <w:szCs w:val="12"/>
              </w:rPr>
              <w:t xml:space="preserve">Transfers into </w:t>
            </w:r>
          </w:p>
          <w:p w14:paraId="5EA22F37" w14:textId="77777777" w:rsidR="003C66EB" w:rsidRDefault="00D96C4E">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5EA22F38"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39" w14:textId="77777777" w:rsidR="003C66EB" w:rsidRDefault="00D96C4E">
            <w:pPr>
              <w:jc w:val="center"/>
              <w:textAlignment w:val="bottom"/>
            </w:pPr>
            <w:r>
              <w:rPr>
                <w:rFonts w:ascii="Arial" w:eastAsia="宋体" w:hAnsi="Arial" w:cs="Arial"/>
                <w:b/>
                <w:bCs/>
                <w:color w:val="000000"/>
                <w:sz w:val="12"/>
                <w:szCs w:val="12"/>
              </w:rPr>
              <w:t xml:space="preserve">Transfers </w:t>
            </w:r>
          </w:p>
          <w:p w14:paraId="5EA22F3A" w14:textId="77777777" w:rsidR="003C66EB" w:rsidRDefault="00D96C4E">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tcPr>
          <w:p w14:paraId="5EA22F3B"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2F3C" w14:textId="77777777" w:rsidR="003C66EB" w:rsidRDefault="00D96C4E">
            <w:pPr>
              <w:jc w:val="center"/>
              <w:textAlignment w:val="bottom"/>
            </w:pPr>
            <w:r>
              <w:rPr>
                <w:rFonts w:ascii="Arial" w:eastAsia="宋体" w:hAnsi="Arial" w:cs="Arial"/>
                <w:b/>
                <w:bCs/>
                <w:color w:val="000000"/>
                <w:sz w:val="12"/>
                <w:szCs w:val="12"/>
              </w:rPr>
              <w:t>Fair Value </w:t>
            </w:r>
          </w:p>
          <w:p w14:paraId="5EA22F3D" w14:textId="77777777" w:rsidR="003C66EB" w:rsidRDefault="00D96C4E">
            <w:pPr>
              <w:jc w:val="center"/>
              <w:textAlignment w:val="bottom"/>
            </w:pPr>
            <w:r>
              <w:rPr>
                <w:rFonts w:ascii="Arial" w:eastAsia="宋体" w:hAnsi="Arial" w:cs="Arial"/>
                <w:b/>
                <w:bCs/>
                <w:color w:val="000000"/>
                <w:sz w:val="12"/>
                <w:szCs w:val="12"/>
              </w:rPr>
              <w:t>as of March 31,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tcPr>
          <w:p w14:paraId="5EA22F3E" w14:textId="77777777" w:rsidR="003C66EB" w:rsidRDefault="003C66EB">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EA22F3F" w14:textId="77777777" w:rsidR="003C66EB" w:rsidRDefault="00D96C4E">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March 31, 2021</w:t>
            </w:r>
          </w:p>
        </w:tc>
      </w:tr>
      <w:tr w:rsidR="003C66EB" w14:paraId="5EA22F56" w14:textId="77777777">
        <w:trPr>
          <w:trHeight w:val="780"/>
        </w:trPr>
        <w:tc>
          <w:tcPr>
            <w:tcW w:w="0" w:type="auto"/>
            <w:gridSpan w:val="3"/>
            <w:shd w:val="clear" w:color="auto" w:fill="auto"/>
            <w:tcMar>
              <w:top w:w="40" w:type="dxa"/>
              <w:left w:w="20" w:type="dxa"/>
              <w:bottom w:w="40" w:type="dxa"/>
              <w:right w:w="20" w:type="dxa"/>
            </w:tcMar>
            <w:vAlign w:val="bottom"/>
          </w:tcPr>
          <w:p w14:paraId="5EA22F41" w14:textId="77777777" w:rsidR="003C66EB" w:rsidRDefault="00D96C4E">
            <w:pPr>
              <w:textAlignment w:val="bottom"/>
            </w:pPr>
            <w:r>
              <w:rPr>
                <w:rFonts w:ascii="Arial" w:eastAsia="宋体" w:hAnsi="Arial" w:cs="Arial"/>
                <w:b/>
                <w:bCs/>
                <w:color w:val="000000"/>
                <w:sz w:val="12"/>
                <w:szCs w:val="12"/>
              </w:rPr>
              <w:t>(In mi</w:t>
            </w:r>
            <w:r>
              <w:rPr>
                <w:rFonts w:ascii="Arial" w:eastAsia="宋体" w:hAnsi="Arial" w:cs="Arial"/>
                <w:b/>
                <w:bCs/>
                <w:color w:val="000000"/>
                <w:sz w:val="12"/>
                <w:szCs w:val="12"/>
              </w:rPr>
              <w:t>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42"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2F4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F44" w14:textId="77777777" w:rsidR="003C66EB" w:rsidRDefault="00D96C4E">
            <w:pPr>
              <w:jc w:val="center"/>
              <w:textAlignment w:val="bottom"/>
            </w:pPr>
            <w:r>
              <w:rPr>
                <w:rFonts w:ascii="Arial" w:eastAsia="宋体" w:hAnsi="Arial" w:cs="Arial"/>
                <w:b/>
                <w:bCs/>
                <w:color w:val="000000"/>
                <w:sz w:val="12"/>
                <w:szCs w:val="12"/>
              </w:rPr>
              <w:t>Recorded in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tcPr>
          <w:p w14:paraId="5EA22F4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2F46" w14:textId="77777777" w:rsidR="003C66EB" w:rsidRDefault="00D96C4E">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tcPr>
          <w:p w14:paraId="5EA22F47"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48"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2F49" w14:textId="77777777" w:rsidR="003C66EB" w:rsidRDefault="003C66EB">
            <w:pPr>
              <w:rPr>
                <w:rFonts w:ascii="宋体"/>
              </w:rPr>
            </w:pPr>
          </w:p>
        </w:tc>
        <w:tc>
          <w:tcPr>
            <w:tcW w:w="0" w:type="auto"/>
            <w:shd w:val="clear" w:color="auto" w:fill="auto"/>
          </w:tcPr>
          <w:p w14:paraId="5EA22F4A" w14:textId="77777777" w:rsidR="003C66EB" w:rsidRDefault="003C66EB">
            <w:pPr>
              <w:rPr>
                <w:rFonts w:ascii="宋体"/>
                <w:vanish/>
              </w:rPr>
            </w:pPr>
          </w:p>
        </w:tc>
        <w:tc>
          <w:tcPr>
            <w:tcW w:w="0" w:type="auto"/>
            <w:shd w:val="clear" w:color="auto" w:fill="auto"/>
          </w:tcPr>
          <w:p w14:paraId="5EA22F4B" w14:textId="77777777" w:rsidR="003C66EB" w:rsidRDefault="003C66EB">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4C"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2F4D"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4E"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2F4F"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5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1"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5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3"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2F5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5" w14:textId="77777777" w:rsidR="003C66EB" w:rsidRDefault="003C66EB">
            <w:pPr>
              <w:rPr>
                <w:rFonts w:ascii="宋体"/>
              </w:rPr>
            </w:pPr>
          </w:p>
        </w:tc>
      </w:tr>
      <w:tr w:rsidR="003C66EB" w14:paraId="5EA22F6D" w14:textId="77777777">
        <w:tc>
          <w:tcPr>
            <w:tcW w:w="0" w:type="auto"/>
            <w:gridSpan w:val="3"/>
            <w:shd w:val="clear" w:color="auto" w:fill="auto"/>
            <w:tcMar>
              <w:top w:w="40" w:type="dxa"/>
              <w:left w:w="20" w:type="dxa"/>
              <w:bottom w:w="40" w:type="dxa"/>
              <w:right w:w="20" w:type="dxa"/>
            </w:tcMar>
            <w:vAlign w:val="center"/>
          </w:tcPr>
          <w:p w14:paraId="5EA22F57" w14:textId="77777777" w:rsidR="003C66EB" w:rsidRDefault="00D96C4E">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2F5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5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5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5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5F" w14:textId="77777777" w:rsidR="003C66EB" w:rsidRDefault="003C66EB">
            <w:pPr>
              <w:rPr>
                <w:rFonts w:ascii="宋体"/>
              </w:rPr>
            </w:pPr>
          </w:p>
        </w:tc>
        <w:tc>
          <w:tcPr>
            <w:tcW w:w="0" w:type="auto"/>
            <w:shd w:val="clear" w:color="auto" w:fill="auto"/>
          </w:tcPr>
          <w:p w14:paraId="5EA22F60" w14:textId="77777777" w:rsidR="003C66EB" w:rsidRDefault="003C66EB">
            <w:pPr>
              <w:rPr>
                <w:rFonts w:ascii="宋体"/>
                <w:vanish/>
              </w:rPr>
            </w:pPr>
          </w:p>
        </w:tc>
        <w:tc>
          <w:tcPr>
            <w:tcW w:w="0" w:type="auto"/>
            <w:shd w:val="clear" w:color="auto" w:fill="auto"/>
          </w:tcPr>
          <w:p w14:paraId="5EA22F61"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6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6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6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6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6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6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2F6A"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2F6B" w14:textId="77777777" w:rsidR="003C66EB" w:rsidRDefault="003C66EB">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5EA22F6C" w14:textId="77777777" w:rsidR="003C66EB" w:rsidRDefault="003C66EB">
            <w:pPr>
              <w:rPr>
                <w:rFonts w:ascii="宋体"/>
              </w:rPr>
            </w:pPr>
          </w:p>
        </w:tc>
      </w:tr>
      <w:tr w:rsidR="003C66EB" w14:paraId="5EA22F84" w14:textId="77777777">
        <w:tc>
          <w:tcPr>
            <w:tcW w:w="0" w:type="auto"/>
            <w:gridSpan w:val="3"/>
            <w:shd w:val="clear" w:color="auto" w:fill="auto"/>
            <w:tcMar>
              <w:top w:w="40" w:type="dxa"/>
              <w:left w:w="20" w:type="dxa"/>
              <w:bottom w:w="40" w:type="dxa"/>
              <w:right w:w="20" w:type="dxa"/>
            </w:tcMar>
            <w:vAlign w:val="center"/>
          </w:tcPr>
          <w:p w14:paraId="5EA22F6E" w14:textId="77777777" w:rsidR="003C66EB" w:rsidRDefault="00D96C4E">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tcPr>
          <w:p w14:paraId="5EA22F6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6" w14:textId="77777777" w:rsidR="003C66EB" w:rsidRDefault="003C66EB">
            <w:pPr>
              <w:rPr>
                <w:rFonts w:ascii="宋体"/>
              </w:rPr>
            </w:pPr>
          </w:p>
        </w:tc>
        <w:tc>
          <w:tcPr>
            <w:tcW w:w="0" w:type="auto"/>
            <w:shd w:val="clear" w:color="auto" w:fill="auto"/>
          </w:tcPr>
          <w:p w14:paraId="5EA22F77" w14:textId="77777777" w:rsidR="003C66EB" w:rsidRDefault="003C66EB">
            <w:pPr>
              <w:rPr>
                <w:rFonts w:ascii="宋体"/>
                <w:vanish/>
              </w:rPr>
            </w:pPr>
          </w:p>
        </w:tc>
        <w:tc>
          <w:tcPr>
            <w:tcW w:w="0" w:type="auto"/>
            <w:shd w:val="clear" w:color="auto" w:fill="auto"/>
          </w:tcPr>
          <w:p w14:paraId="5EA22F78"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2F7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7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8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81"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2F82" w14:textId="77777777" w:rsidR="003C66EB" w:rsidRDefault="003C66EB">
            <w:pPr>
              <w:rPr>
                <w:rFonts w:ascii="宋体"/>
              </w:rPr>
            </w:pPr>
          </w:p>
        </w:tc>
        <w:tc>
          <w:tcPr>
            <w:tcW w:w="0" w:type="auto"/>
            <w:shd w:val="clear" w:color="auto" w:fill="auto"/>
            <w:tcMar>
              <w:top w:w="0" w:type="dxa"/>
              <w:left w:w="20" w:type="dxa"/>
              <w:bottom w:w="0" w:type="dxa"/>
              <w:right w:w="20" w:type="dxa"/>
            </w:tcMar>
          </w:tcPr>
          <w:p w14:paraId="5EA22F83" w14:textId="77777777" w:rsidR="003C66EB" w:rsidRDefault="003C66EB">
            <w:pPr>
              <w:rPr>
                <w:rFonts w:ascii="宋体"/>
              </w:rPr>
            </w:pPr>
          </w:p>
        </w:tc>
      </w:tr>
      <w:tr w:rsidR="003C66EB" w14:paraId="5EA22F9B" w14:textId="77777777">
        <w:trPr>
          <w:hidden/>
        </w:trPr>
        <w:tc>
          <w:tcPr>
            <w:tcW w:w="0" w:type="auto"/>
            <w:gridSpan w:val="3"/>
            <w:shd w:val="clear" w:color="auto" w:fill="auto"/>
          </w:tcPr>
          <w:p w14:paraId="5EA22F85" w14:textId="77777777" w:rsidR="003C66EB" w:rsidRDefault="003C66EB">
            <w:pPr>
              <w:rPr>
                <w:rFonts w:ascii="宋体"/>
                <w:vanish/>
              </w:rPr>
            </w:pPr>
          </w:p>
        </w:tc>
        <w:tc>
          <w:tcPr>
            <w:tcW w:w="0" w:type="auto"/>
            <w:gridSpan w:val="3"/>
            <w:shd w:val="clear" w:color="auto" w:fill="auto"/>
          </w:tcPr>
          <w:p w14:paraId="5EA22F86" w14:textId="77777777" w:rsidR="003C66EB" w:rsidRDefault="003C66EB">
            <w:pPr>
              <w:rPr>
                <w:rFonts w:ascii="宋体"/>
                <w:vanish/>
              </w:rPr>
            </w:pPr>
          </w:p>
        </w:tc>
        <w:tc>
          <w:tcPr>
            <w:tcW w:w="0" w:type="auto"/>
            <w:gridSpan w:val="3"/>
            <w:shd w:val="clear" w:color="auto" w:fill="auto"/>
          </w:tcPr>
          <w:p w14:paraId="5EA22F87" w14:textId="77777777" w:rsidR="003C66EB" w:rsidRDefault="003C66EB">
            <w:pPr>
              <w:rPr>
                <w:rFonts w:ascii="宋体"/>
                <w:vanish/>
              </w:rPr>
            </w:pPr>
          </w:p>
        </w:tc>
        <w:tc>
          <w:tcPr>
            <w:tcW w:w="0" w:type="auto"/>
            <w:gridSpan w:val="3"/>
            <w:shd w:val="clear" w:color="auto" w:fill="auto"/>
          </w:tcPr>
          <w:p w14:paraId="5EA22F88" w14:textId="77777777" w:rsidR="003C66EB" w:rsidRDefault="003C66EB">
            <w:pPr>
              <w:rPr>
                <w:rFonts w:ascii="宋体"/>
                <w:vanish/>
              </w:rPr>
            </w:pPr>
          </w:p>
        </w:tc>
        <w:tc>
          <w:tcPr>
            <w:tcW w:w="0" w:type="auto"/>
            <w:gridSpan w:val="3"/>
            <w:shd w:val="clear" w:color="auto" w:fill="auto"/>
          </w:tcPr>
          <w:p w14:paraId="5EA22F89" w14:textId="77777777" w:rsidR="003C66EB" w:rsidRDefault="003C66EB">
            <w:pPr>
              <w:rPr>
                <w:rFonts w:ascii="宋体"/>
                <w:vanish/>
              </w:rPr>
            </w:pPr>
          </w:p>
        </w:tc>
        <w:tc>
          <w:tcPr>
            <w:tcW w:w="0" w:type="auto"/>
            <w:gridSpan w:val="3"/>
            <w:shd w:val="clear" w:color="auto" w:fill="auto"/>
          </w:tcPr>
          <w:p w14:paraId="5EA22F8A" w14:textId="77777777" w:rsidR="003C66EB" w:rsidRDefault="003C66EB">
            <w:pPr>
              <w:rPr>
                <w:rFonts w:ascii="宋体"/>
                <w:vanish/>
              </w:rPr>
            </w:pPr>
          </w:p>
        </w:tc>
        <w:tc>
          <w:tcPr>
            <w:tcW w:w="0" w:type="auto"/>
            <w:gridSpan w:val="3"/>
            <w:shd w:val="clear" w:color="auto" w:fill="auto"/>
          </w:tcPr>
          <w:p w14:paraId="5EA22F8B" w14:textId="77777777" w:rsidR="003C66EB" w:rsidRDefault="003C66EB">
            <w:pPr>
              <w:rPr>
                <w:rFonts w:ascii="宋体"/>
                <w:vanish/>
              </w:rPr>
            </w:pPr>
          </w:p>
        </w:tc>
        <w:tc>
          <w:tcPr>
            <w:tcW w:w="0" w:type="auto"/>
            <w:gridSpan w:val="3"/>
            <w:shd w:val="clear" w:color="auto" w:fill="auto"/>
          </w:tcPr>
          <w:p w14:paraId="5EA22F8C" w14:textId="77777777" w:rsidR="003C66EB" w:rsidRDefault="003C66EB">
            <w:pPr>
              <w:rPr>
                <w:rFonts w:ascii="宋体"/>
                <w:vanish/>
              </w:rPr>
            </w:pPr>
          </w:p>
        </w:tc>
        <w:tc>
          <w:tcPr>
            <w:tcW w:w="0" w:type="auto"/>
            <w:gridSpan w:val="3"/>
            <w:shd w:val="clear" w:color="auto" w:fill="auto"/>
          </w:tcPr>
          <w:p w14:paraId="5EA22F8D" w14:textId="77777777" w:rsidR="003C66EB" w:rsidRDefault="003C66EB">
            <w:pPr>
              <w:rPr>
                <w:rFonts w:ascii="宋体"/>
                <w:vanish/>
              </w:rPr>
            </w:pPr>
          </w:p>
        </w:tc>
        <w:tc>
          <w:tcPr>
            <w:tcW w:w="0" w:type="auto"/>
            <w:shd w:val="clear" w:color="auto" w:fill="auto"/>
          </w:tcPr>
          <w:p w14:paraId="5EA22F8E" w14:textId="77777777" w:rsidR="003C66EB" w:rsidRDefault="003C66EB">
            <w:pPr>
              <w:rPr>
                <w:rFonts w:ascii="宋体"/>
                <w:vanish/>
              </w:rPr>
            </w:pPr>
          </w:p>
        </w:tc>
        <w:tc>
          <w:tcPr>
            <w:tcW w:w="0" w:type="auto"/>
            <w:shd w:val="clear" w:color="auto" w:fill="auto"/>
          </w:tcPr>
          <w:p w14:paraId="5EA22F8F" w14:textId="77777777" w:rsidR="003C66EB" w:rsidRDefault="003C66EB">
            <w:pPr>
              <w:rPr>
                <w:rFonts w:ascii="宋体"/>
                <w:vanish/>
              </w:rPr>
            </w:pPr>
          </w:p>
        </w:tc>
        <w:tc>
          <w:tcPr>
            <w:tcW w:w="0" w:type="auto"/>
            <w:gridSpan w:val="3"/>
            <w:shd w:val="clear" w:color="auto" w:fill="auto"/>
          </w:tcPr>
          <w:p w14:paraId="5EA22F90" w14:textId="77777777" w:rsidR="003C66EB" w:rsidRDefault="003C66EB">
            <w:pPr>
              <w:rPr>
                <w:rFonts w:ascii="宋体"/>
                <w:vanish/>
              </w:rPr>
            </w:pPr>
          </w:p>
        </w:tc>
        <w:tc>
          <w:tcPr>
            <w:tcW w:w="0" w:type="auto"/>
            <w:gridSpan w:val="3"/>
            <w:shd w:val="clear" w:color="auto" w:fill="auto"/>
          </w:tcPr>
          <w:p w14:paraId="5EA22F91" w14:textId="77777777" w:rsidR="003C66EB" w:rsidRDefault="003C66EB">
            <w:pPr>
              <w:rPr>
                <w:rFonts w:ascii="宋体"/>
                <w:vanish/>
              </w:rPr>
            </w:pPr>
          </w:p>
        </w:tc>
        <w:tc>
          <w:tcPr>
            <w:tcW w:w="0" w:type="auto"/>
            <w:gridSpan w:val="3"/>
            <w:shd w:val="clear" w:color="auto" w:fill="auto"/>
          </w:tcPr>
          <w:p w14:paraId="5EA22F92" w14:textId="77777777" w:rsidR="003C66EB" w:rsidRDefault="003C66EB">
            <w:pPr>
              <w:rPr>
                <w:rFonts w:ascii="宋体"/>
                <w:vanish/>
              </w:rPr>
            </w:pPr>
          </w:p>
        </w:tc>
        <w:tc>
          <w:tcPr>
            <w:tcW w:w="0" w:type="auto"/>
            <w:gridSpan w:val="3"/>
            <w:shd w:val="clear" w:color="auto" w:fill="auto"/>
          </w:tcPr>
          <w:p w14:paraId="5EA22F93" w14:textId="77777777" w:rsidR="003C66EB" w:rsidRDefault="003C66EB">
            <w:pPr>
              <w:rPr>
                <w:rFonts w:ascii="宋体"/>
                <w:vanish/>
              </w:rPr>
            </w:pPr>
          </w:p>
        </w:tc>
        <w:tc>
          <w:tcPr>
            <w:tcW w:w="0" w:type="auto"/>
            <w:gridSpan w:val="3"/>
            <w:shd w:val="clear" w:color="auto" w:fill="auto"/>
          </w:tcPr>
          <w:p w14:paraId="5EA22F94" w14:textId="77777777" w:rsidR="003C66EB" w:rsidRDefault="003C66EB">
            <w:pPr>
              <w:rPr>
                <w:rFonts w:ascii="宋体"/>
                <w:vanish/>
              </w:rPr>
            </w:pPr>
          </w:p>
        </w:tc>
        <w:tc>
          <w:tcPr>
            <w:tcW w:w="0" w:type="auto"/>
            <w:gridSpan w:val="3"/>
            <w:shd w:val="clear" w:color="auto" w:fill="auto"/>
          </w:tcPr>
          <w:p w14:paraId="5EA22F95" w14:textId="77777777" w:rsidR="003C66EB" w:rsidRDefault="003C66EB">
            <w:pPr>
              <w:rPr>
                <w:rFonts w:ascii="宋体"/>
                <w:vanish/>
              </w:rPr>
            </w:pPr>
          </w:p>
        </w:tc>
        <w:tc>
          <w:tcPr>
            <w:tcW w:w="0" w:type="auto"/>
            <w:gridSpan w:val="3"/>
            <w:shd w:val="clear" w:color="auto" w:fill="auto"/>
          </w:tcPr>
          <w:p w14:paraId="5EA22F96" w14:textId="77777777" w:rsidR="003C66EB" w:rsidRDefault="003C66EB">
            <w:pPr>
              <w:rPr>
                <w:rFonts w:ascii="宋体"/>
                <w:vanish/>
              </w:rPr>
            </w:pPr>
          </w:p>
        </w:tc>
        <w:tc>
          <w:tcPr>
            <w:tcW w:w="0" w:type="auto"/>
            <w:gridSpan w:val="3"/>
            <w:shd w:val="clear" w:color="auto" w:fill="auto"/>
          </w:tcPr>
          <w:p w14:paraId="5EA22F97" w14:textId="77777777" w:rsidR="003C66EB" w:rsidRDefault="003C66EB">
            <w:pPr>
              <w:rPr>
                <w:rFonts w:ascii="宋体"/>
                <w:vanish/>
              </w:rPr>
            </w:pPr>
          </w:p>
        </w:tc>
        <w:tc>
          <w:tcPr>
            <w:tcW w:w="0" w:type="auto"/>
            <w:gridSpan w:val="3"/>
            <w:shd w:val="clear" w:color="auto" w:fill="auto"/>
          </w:tcPr>
          <w:p w14:paraId="5EA22F98" w14:textId="77777777" w:rsidR="003C66EB" w:rsidRDefault="003C66EB">
            <w:pPr>
              <w:rPr>
                <w:rFonts w:ascii="宋体"/>
                <w:vanish/>
              </w:rPr>
            </w:pPr>
          </w:p>
        </w:tc>
        <w:tc>
          <w:tcPr>
            <w:tcW w:w="0" w:type="auto"/>
            <w:gridSpan w:val="2"/>
            <w:shd w:val="clear" w:color="auto" w:fill="auto"/>
          </w:tcPr>
          <w:p w14:paraId="5EA22F99" w14:textId="77777777" w:rsidR="003C66EB" w:rsidRDefault="003C66EB">
            <w:pPr>
              <w:rPr>
                <w:rFonts w:ascii="宋体"/>
                <w:vanish/>
              </w:rPr>
            </w:pPr>
          </w:p>
        </w:tc>
        <w:tc>
          <w:tcPr>
            <w:tcW w:w="0" w:type="auto"/>
            <w:shd w:val="clear" w:color="auto" w:fill="auto"/>
          </w:tcPr>
          <w:p w14:paraId="5EA22F9A" w14:textId="77777777" w:rsidR="003C66EB" w:rsidRDefault="003C66EB">
            <w:pPr>
              <w:rPr>
                <w:rFonts w:ascii="宋体"/>
                <w:vanish/>
              </w:rPr>
            </w:pPr>
          </w:p>
        </w:tc>
      </w:tr>
      <w:tr w:rsidR="003C66EB" w14:paraId="5EA22FB2" w14:textId="77777777">
        <w:trPr>
          <w:hidden/>
        </w:trPr>
        <w:tc>
          <w:tcPr>
            <w:tcW w:w="0" w:type="auto"/>
            <w:gridSpan w:val="3"/>
            <w:shd w:val="clear" w:color="auto" w:fill="auto"/>
          </w:tcPr>
          <w:p w14:paraId="5EA22F9C" w14:textId="77777777" w:rsidR="003C66EB" w:rsidRDefault="003C66EB">
            <w:pPr>
              <w:rPr>
                <w:rFonts w:ascii="宋体"/>
                <w:vanish/>
              </w:rPr>
            </w:pPr>
          </w:p>
        </w:tc>
        <w:tc>
          <w:tcPr>
            <w:tcW w:w="0" w:type="auto"/>
            <w:gridSpan w:val="3"/>
            <w:shd w:val="clear" w:color="auto" w:fill="auto"/>
          </w:tcPr>
          <w:p w14:paraId="5EA22F9D" w14:textId="77777777" w:rsidR="003C66EB" w:rsidRDefault="003C66EB">
            <w:pPr>
              <w:rPr>
                <w:rFonts w:ascii="宋体"/>
                <w:vanish/>
              </w:rPr>
            </w:pPr>
          </w:p>
        </w:tc>
        <w:tc>
          <w:tcPr>
            <w:tcW w:w="0" w:type="auto"/>
            <w:gridSpan w:val="3"/>
            <w:shd w:val="clear" w:color="auto" w:fill="auto"/>
          </w:tcPr>
          <w:p w14:paraId="5EA22F9E" w14:textId="77777777" w:rsidR="003C66EB" w:rsidRDefault="003C66EB">
            <w:pPr>
              <w:rPr>
                <w:rFonts w:ascii="宋体"/>
                <w:vanish/>
              </w:rPr>
            </w:pPr>
          </w:p>
        </w:tc>
        <w:tc>
          <w:tcPr>
            <w:tcW w:w="0" w:type="auto"/>
            <w:gridSpan w:val="3"/>
            <w:shd w:val="clear" w:color="auto" w:fill="auto"/>
          </w:tcPr>
          <w:p w14:paraId="5EA22F9F" w14:textId="77777777" w:rsidR="003C66EB" w:rsidRDefault="003C66EB">
            <w:pPr>
              <w:rPr>
                <w:rFonts w:ascii="宋体"/>
                <w:vanish/>
              </w:rPr>
            </w:pPr>
          </w:p>
        </w:tc>
        <w:tc>
          <w:tcPr>
            <w:tcW w:w="0" w:type="auto"/>
            <w:gridSpan w:val="3"/>
            <w:shd w:val="clear" w:color="auto" w:fill="auto"/>
          </w:tcPr>
          <w:p w14:paraId="5EA22FA0" w14:textId="77777777" w:rsidR="003C66EB" w:rsidRDefault="003C66EB">
            <w:pPr>
              <w:rPr>
                <w:rFonts w:ascii="宋体"/>
                <w:vanish/>
              </w:rPr>
            </w:pPr>
          </w:p>
        </w:tc>
        <w:tc>
          <w:tcPr>
            <w:tcW w:w="0" w:type="auto"/>
            <w:gridSpan w:val="3"/>
            <w:shd w:val="clear" w:color="auto" w:fill="auto"/>
          </w:tcPr>
          <w:p w14:paraId="5EA22FA1" w14:textId="77777777" w:rsidR="003C66EB" w:rsidRDefault="003C66EB">
            <w:pPr>
              <w:rPr>
                <w:rFonts w:ascii="宋体"/>
                <w:vanish/>
              </w:rPr>
            </w:pPr>
          </w:p>
        </w:tc>
        <w:tc>
          <w:tcPr>
            <w:tcW w:w="0" w:type="auto"/>
            <w:gridSpan w:val="3"/>
            <w:shd w:val="clear" w:color="auto" w:fill="auto"/>
          </w:tcPr>
          <w:p w14:paraId="5EA22FA2" w14:textId="77777777" w:rsidR="003C66EB" w:rsidRDefault="003C66EB">
            <w:pPr>
              <w:rPr>
                <w:rFonts w:ascii="宋体"/>
                <w:vanish/>
              </w:rPr>
            </w:pPr>
          </w:p>
        </w:tc>
        <w:tc>
          <w:tcPr>
            <w:tcW w:w="0" w:type="auto"/>
            <w:gridSpan w:val="3"/>
            <w:shd w:val="clear" w:color="auto" w:fill="auto"/>
          </w:tcPr>
          <w:p w14:paraId="5EA22FA3" w14:textId="77777777" w:rsidR="003C66EB" w:rsidRDefault="003C66EB">
            <w:pPr>
              <w:rPr>
                <w:rFonts w:ascii="宋体"/>
                <w:vanish/>
              </w:rPr>
            </w:pPr>
          </w:p>
        </w:tc>
        <w:tc>
          <w:tcPr>
            <w:tcW w:w="0" w:type="auto"/>
            <w:gridSpan w:val="3"/>
            <w:shd w:val="clear" w:color="auto" w:fill="auto"/>
          </w:tcPr>
          <w:p w14:paraId="5EA22FA4" w14:textId="77777777" w:rsidR="003C66EB" w:rsidRDefault="003C66EB">
            <w:pPr>
              <w:rPr>
                <w:rFonts w:ascii="宋体"/>
                <w:vanish/>
              </w:rPr>
            </w:pPr>
          </w:p>
        </w:tc>
        <w:tc>
          <w:tcPr>
            <w:tcW w:w="0" w:type="auto"/>
            <w:shd w:val="clear" w:color="auto" w:fill="auto"/>
          </w:tcPr>
          <w:p w14:paraId="5EA22FA5" w14:textId="77777777" w:rsidR="003C66EB" w:rsidRDefault="003C66EB">
            <w:pPr>
              <w:rPr>
                <w:rFonts w:ascii="宋体"/>
                <w:vanish/>
              </w:rPr>
            </w:pPr>
          </w:p>
        </w:tc>
        <w:tc>
          <w:tcPr>
            <w:tcW w:w="0" w:type="auto"/>
            <w:shd w:val="clear" w:color="auto" w:fill="auto"/>
          </w:tcPr>
          <w:p w14:paraId="5EA22FA6" w14:textId="77777777" w:rsidR="003C66EB" w:rsidRDefault="003C66EB">
            <w:pPr>
              <w:rPr>
                <w:rFonts w:ascii="宋体"/>
                <w:vanish/>
              </w:rPr>
            </w:pPr>
          </w:p>
        </w:tc>
        <w:tc>
          <w:tcPr>
            <w:tcW w:w="0" w:type="auto"/>
            <w:gridSpan w:val="3"/>
            <w:shd w:val="clear" w:color="auto" w:fill="auto"/>
          </w:tcPr>
          <w:p w14:paraId="5EA22FA7" w14:textId="77777777" w:rsidR="003C66EB" w:rsidRDefault="003C66EB">
            <w:pPr>
              <w:rPr>
                <w:rFonts w:ascii="宋体"/>
                <w:vanish/>
              </w:rPr>
            </w:pPr>
          </w:p>
        </w:tc>
        <w:tc>
          <w:tcPr>
            <w:tcW w:w="0" w:type="auto"/>
            <w:gridSpan w:val="3"/>
            <w:shd w:val="clear" w:color="auto" w:fill="auto"/>
          </w:tcPr>
          <w:p w14:paraId="5EA22FA8" w14:textId="77777777" w:rsidR="003C66EB" w:rsidRDefault="003C66EB">
            <w:pPr>
              <w:rPr>
                <w:rFonts w:ascii="宋体"/>
                <w:vanish/>
              </w:rPr>
            </w:pPr>
          </w:p>
        </w:tc>
        <w:tc>
          <w:tcPr>
            <w:tcW w:w="0" w:type="auto"/>
            <w:gridSpan w:val="3"/>
            <w:shd w:val="clear" w:color="auto" w:fill="auto"/>
          </w:tcPr>
          <w:p w14:paraId="5EA22FA9" w14:textId="77777777" w:rsidR="003C66EB" w:rsidRDefault="003C66EB">
            <w:pPr>
              <w:rPr>
                <w:rFonts w:ascii="宋体"/>
                <w:vanish/>
              </w:rPr>
            </w:pPr>
          </w:p>
        </w:tc>
        <w:tc>
          <w:tcPr>
            <w:tcW w:w="0" w:type="auto"/>
            <w:gridSpan w:val="3"/>
            <w:shd w:val="clear" w:color="auto" w:fill="auto"/>
          </w:tcPr>
          <w:p w14:paraId="5EA22FAA" w14:textId="77777777" w:rsidR="003C66EB" w:rsidRDefault="003C66EB">
            <w:pPr>
              <w:rPr>
                <w:rFonts w:ascii="宋体"/>
                <w:vanish/>
              </w:rPr>
            </w:pPr>
          </w:p>
        </w:tc>
        <w:tc>
          <w:tcPr>
            <w:tcW w:w="0" w:type="auto"/>
            <w:gridSpan w:val="3"/>
            <w:shd w:val="clear" w:color="auto" w:fill="auto"/>
          </w:tcPr>
          <w:p w14:paraId="5EA22FAB" w14:textId="77777777" w:rsidR="003C66EB" w:rsidRDefault="003C66EB">
            <w:pPr>
              <w:rPr>
                <w:rFonts w:ascii="宋体"/>
                <w:vanish/>
              </w:rPr>
            </w:pPr>
          </w:p>
        </w:tc>
        <w:tc>
          <w:tcPr>
            <w:tcW w:w="0" w:type="auto"/>
            <w:gridSpan w:val="3"/>
            <w:shd w:val="clear" w:color="auto" w:fill="auto"/>
          </w:tcPr>
          <w:p w14:paraId="5EA22FAC" w14:textId="77777777" w:rsidR="003C66EB" w:rsidRDefault="003C66EB">
            <w:pPr>
              <w:rPr>
                <w:rFonts w:ascii="宋体"/>
                <w:vanish/>
              </w:rPr>
            </w:pPr>
          </w:p>
        </w:tc>
        <w:tc>
          <w:tcPr>
            <w:tcW w:w="0" w:type="auto"/>
            <w:gridSpan w:val="3"/>
            <w:shd w:val="clear" w:color="auto" w:fill="auto"/>
          </w:tcPr>
          <w:p w14:paraId="5EA22FAD" w14:textId="77777777" w:rsidR="003C66EB" w:rsidRDefault="003C66EB">
            <w:pPr>
              <w:rPr>
                <w:rFonts w:ascii="宋体"/>
                <w:vanish/>
              </w:rPr>
            </w:pPr>
          </w:p>
        </w:tc>
        <w:tc>
          <w:tcPr>
            <w:tcW w:w="0" w:type="auto"/>
            <w:gridSpan w:val="3"/>
            <w:shd w:val="clear" w:color="auto" w:fill="auto"/>
          </w:tcPr>
          <w:p w14:paraId="5EA22FAE" w14:textId="77777777" w:rsidR="003C66EB" w:rsidRDefault="003C66EB">
            <w:pPr>
              <w:rPr>
                <w:rFonts w:ascii="宋体"/>
                <w:vanish/>
              </w:rPr>
            </w:pPr>
          </w:p>
        </w:tc>
        <w:tc>
          <w:tcPr>
            <w:tcW w:w="0" w:type="auto"/>
            <w:gridSpan w:val="3"/>
            <w:shd w:val="clear" w:color="auto" w:fill="auto"/>
          </w:tcPr>
          <w:p w14:paraId="5EA22FAF" w14:textId="77777777" w:rsidR="003C66EB" w:rsidRDefault="003C66EB">
            <w:pPr>
              <w:rPr>
                <w:rFonts w:ascii="宋体"/>
                <w:vanish/>
              </w:rPr>
            </w:pPr>
          </w:p>
        </w:tc>
        <w:tc>
          <w:tcPr>
            <w:tcW w:w="0" w:type="auto"/>
            <w:gridSpan w:val="2"/>
            <w:shd w:val="clear" w:color="auto" w:fill="auto"/>
          </w:tcPr>
          <w:p w14:paraId="5EA22FB0" w14:textId="77777777" w:rsidR="003C66EB" w:rsidRDefault="003C66EB">
            <w:pPr>
              <w:rPr>
                <w:rFonts w:ascii="宋体"/>
                <w:vanish/>
              </w:rPr>
            </w:pPr>
          </w:p>
        </w:tc>
        <w:tc>
          <w:tcPr>
            <w:tcW w:w="0" w:type="auto"/>
            <w:shd w:val="clear" w:color="auto" w:fill="auto"/>
          </w:tcPr>
          <w:p w14:paraId="5EA22FB1" w14:textId="77777777" w:rsidR="003C66EB" w:rsidRDefault="003C66EB">
            <w:pPr>
              <w:rPr>
                <w:rFonts w:ascii="宋体"/>
                <w:vanish/>
              </w:rPr>
            </w:pPr>
          </w:p>
        </w:tc>
      </w:tr>
      <w:tr w:rsidR="003C66EB" w14:paraId="5EA22FC9" w14:textId="77777777">
        <w:tc>
          <w:tcPr>
            <w:tcW w:w="0" w:type="auto"/>
            <w:gridSpan w:val="3"/>
            <w:shd w:val="clear" w:color="auto" w:fill="auto"/>
            <w:tcMar>
              <w:top w:w="40" w:type="dxa"/>
              <w:left w:w="20" w:type="dxa"/>
              <w:bottom w:w="40" w:type="dxa"/>
              <w:right w:w="20" w:type="dxa"/>
            </w:tcMar>
            <w:vAlign w:val="center"/>
          </w:tcPr>
          <w:p w14:paraId="5EA22FB3" w14:textId="77777777" w:rsidR="003C66EB" w:rsidRDefault="00D96C4E">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tcPr>
          <w:p w14:paraId="5EA22FB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B" w14:textId="77777777" w:rsidR="003C66EB" w:rsidRDefault="003C66EB">
            <w:pPr>
              <w:rPr>
                <w:rFonts w:ascii="宋体"/>
              </w:rPr>
            </w:pPr>
          </w:p>
        </w:tc>
        <w:tc>
          <w:tcPr>
            <w:tcW w:w="0" w:type="auto"/>
            <w:shd w:val="clear" w:color="auto" w:fill="auto"/>
          </w:tcPr>
          <w:p w14:paraId="5EA22FBC" w14:textId="77777777" w:rsidR="003C66EB" w:rsidRDefault="003C66EB">
            <w:pPr>
              <w:rPr>
                <w:rFonts w:ascii="宋体"/>
                <w:vanish/>
              </w:rPr>
            </w:pPr>
          </w:p>
        </w:tc>
        <w:tc>
          <w:tcPr>
            <w:tcW w:w="0" w:type="auto"/>
            <w:shd w:val="clear" w:color="auto" w:fill="auto"/>
          </w:tcPr>
          <w:p w14:paraId="5EA22FBD"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2FB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B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2FC6"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2FC7" w14:textId="77777777" w:rsidR="003C66EB" w:rsidRDefault="003C66EB">
            <w:pPr>
              <w:rPr>
                <w:rFonts w:ascii="宋体"/>
              </w:rPr>
            </w:pPr>
          </w:p>
        </w:tc>
        <w:tc>
          <w:tcPr>
            <w:tcW w:w="0" w:type="auto"/>
            <w:shd w:val="clear" w:color="auto" w:fill="auto"/>
            <w:tcMar>
              <w:top w:w="0" w:type="dxa"/>
              <w:left w:w="20" w:type="dxa"/>
              <w:bottom w:w="0" w:type="dxa"/>
              <w:right w:w="20" w:type="dxa"/>
            </w:tcMar>
          </w:tcPr>
          <w:p w14:paraId="5EA22FC8" w14:textId="77777777" w:rsidR="003C66EB" w:rsidRDefault="003C66EB">
            <w:pPr>
              <w:rPr>
                <w:rFonts w:ascii="宋体"/>
              </w:rPr>
            </w:pPr>
          </w:p>
        </w:tc>
      </w:tr>
      <w:tr w:rsidR="00D96C4E" w14:paraId="5EA22FF2" w14:textId="77777777">
        <w:tc>
          <w:tcPr>
            <w:tcW w:w="0" w:type="auto"/>
            <w:gridSpan w:val="3"/>
            <w:shd w:val="clear" w:color="auto" w:fill="CCEEFF"/>
            <w:tcMar>
              <w:top w:w="40" w:type="dxa"/>
              <w:left w:w="155" w:type="dxa"/>
              <w:bottom w:w="40" w:type="dxa"/>
              <w:right w:w="20" w:type="dxa"/>
            </w:tcMar>
            <w:vAlign w:val="center"/>
          </w:tcPr>
          <w:p w14:paraId="5EA22FCA" w14:textId="77777777" w:rsidR="003C66EB" w:rsidRDefault="00D96C4E">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EA22FCB"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CC" w14:textId="77777777" w:rsidR="003C66EB" w:rsidRDefault="00D96C4E">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CE"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CF"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D0"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D2"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D3"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D4"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D6"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D7"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D8" w14:textId="77777777" w:rsidR="003C66EB" w:rsidRDefault="00D96C4E">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DA" w14:textId="77777777" w:rsidR="003C66EB" w:rsidRDefault="003C66EB">
            <w:pPr>
              <w:rPr>
                <w:rFonts w:ascii="宋体"/>
              </w:rPr>
            </w:pPr>
          </w:p>
        </w:tc>
        <w:tc>
          <w:tcPr>
            <w:tcW w:w="0" w:type="auto"/>
            <w:shd w:val="clear" w:color="auto" w:fill="auto"/>
          </w:tcPr>
          <w:p w14:paraId="5EA22FDB" w14:textId="77777777" w:rsidR="003C66EB" w:rsidRDefault="003C66EB">
            <w:pPr>
              <w:rPr>
                <w:rFonts w:ascii="宋体"/>
                <w:vanish/>
              </w:rPr>
            </w:pPr>
          </w:p>
        </w:tc>
        <w:tc>
          <w:tcPr>
            <w:tcW w:w="0" w:type="auto"/>
            <w:shd w:val="clear" w:color="auto" w:fill="auto"/>
          </w:tcPr>
          <w:p w14:paraId="5EA22FDC"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center"/>
          </w:tcPr>
          <w:p w14:paraId="5EA22FDD"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DE"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E0"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E1"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E2"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E4"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E5"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E6"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E8"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E9"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EA" w14:textId="77777777" w:rsidR="003C66EB" w:rsidRDefault="00D96C4E">
            <w:pPr>
              <w:jc w:val="right"/>
              <w:textAlignment w:val="center"/>
            </w:pPr>
            <w:r>
              <w:rPr>
                <w:rFonts w:ascii="Arial" w:eastAsia="宋体" w:hAnsi="Arial" w:cs="Arial"/>
                <w:b/>
                <w:bCs/>
                <w:color w:val="000000"/>
                <w:sz w:val="12"/>
                <w:szCs w:val="12"/>
              </w:rPr>
              <w:t>(14)</w:t>
            </w:r>
          </w:p>
        </w:tc>
        <w:tc>
          <w:tcPr>
            <w:tcW w:w="0" w:type="auto"/>
            <w:shd w:val="clear" w:color="auto" w:fill="CCEEFF"/>
            <w:tcMar>
              <w:top w:w="40" w:type="dxa"/>
              <w:left w:w="0" w:type="dxa"/>
              <w:bottom w:w="40" w:type="dxa"/>
              <w:right w:w="20" w:type="dxa"/>
            </w:tcMar>
            <w:vAlign w:val="center"/>
          </w:tcPr>
          <w:p w14:paraId="5EA22F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2FEC"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2FED" w14:textId="77777777" w:rsidR="003C66EB" w:rsidRDefault="00D96C4E">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A22FEE" w14:textId="77777777" w:rsidR="003C66EB" w:rsidRDefault="00D96C4E">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2FEF"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2FF0" w14:textId="77777777" w:rsidR="003C66EB" w:rsidRDefault="003C66EB">
            <w:pPr>
              <w:rPr>
                <w:rFonts w:ascii="宋体"/>
              </w:rPr>
            </w:pPr>
          </w:p>
        </w:tc>
        <w:tc>
          <w:tcPr>
            <w:tcW w:w="0" w:type="auto"/>
            <w:shd w:val="clear" w:color="auto" w:fill="CCEEFF"/>
            <w:tcMar>
              <w:top w:w="0" w:type="dxa"/>
              <w:left w:w="20" w:type="dxa"/>
              <w:bottom w:w="0" w:type="dxa"/>
              <w:right w:w="20" w:type="dxa"/>
            </w:tcMar>
          </w:tcPr>
          <w:p w14:paraId="5EA22FF1" w14:textId="77777777" w:rsidR="003C66EB" w:rsidRDefault="003C66EB">
            <w:pPr>
              <w:rPr>
                <w:rFonts w:ascii="宋体"/>
              </w:rPr>
            </w:pPr>
          </w:p>
        </w:tc>
      </w:tr>
      <w:tr w:rsidR="003C66EB" w14:paraId="5EA23012" w14:textId="77777777">
        <w:tc>
          <w:tcPr>
            <w:tcW w:w="0" w:type="auto"/>
            <w:gridSpan w:val="3"/>
            <w:shd w:val="clear" w:color="auto" w:fill="FFFFFF"/>
            <w:tcMar>
              <w:top w:w="40" w:type="dxa"/>
              <w:left w:w="20" w:type="dxa"/>
              <w:bottom w:w="40" w:type="dxa"/>
              <w:right w:w="20" w:type="dxa"/>
            </w:tcMar>
            <w:vAlign w:val="center"/>
          </w:tcPr>
          <w:p w14:paraId="5EA22FF3" w14:textId="77777777" w:rsidR="003C66EB" w:rsidRDefault="00D96C4E">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2FF4" w14:textId="77777777" w:rsidR="003C66EB" w:rsidRDefault="00D96C4E">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2F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FF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2FF7"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2F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FF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2FFA"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2F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FF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2FFD" w14:textId="77777777" w:rsidR="003C66EB" w:rsidRDefault="00D96C4E">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2F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2FFF" w14:textId="77777777" w:rsidR="003C66EB" w:rsidRDefault="003C66EB">
            <w:pPr>
              <w:rPr>
                <w:rFonts w:ascii="宋体"/>
              </w:rPr>
            </w:pPr>
          </w:p>
        </w:tc>
        <w:tc>
          <w:tcPr>
            <w:tcW w:w="0" w:type="auto"/>
            <w:shd w:val="clear" w:color="auto" w:fill="auto"/>
          </w:tcPr>
          <w:p w14:paraId="5EA23000" w14:textId="77777777" w:rsidR="003C66EB" w:rsidRDefault="003C66EB">
            <w:pPr>
              <w:rPr>
                <w:rFonts w:ascii="宋体"/>
                <w:vanish/>
              </w:rPr>
            </w:pPr>
          </w:p>
        </w:tc>
        <w:tc>
          <w:tcPr>
            <w:tcW w:w="0" w:type="auto"/>
            <w:shd w:val="clear" w:color="auto" w:fill="auto"/>
          </w:tcPr>
          <w:p w14:paraId="5EA23001"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02"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0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05"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0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08"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0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0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0B" w14:textId="77777777" w:rsidR="003C66EB" w:rsidRDefault="00D96C4E">
            <w:pPr>
              <w:jc w:val="right"/>
              <w:textAlignment w:val="center"/>
            </w:pPr>
            <w:r>
              <w:rPr>
                <w:rFonts w:ascii="Arial" w:eastAsia="宋体" w:hAnsi="Arial" w:cs="Arial"/>
                <w:b/>
                <w:bCs/>
                <w:color w:val="000000"/>
                <w:sz w:val="12"/>
                <w:szCs w:val="12"/>
              </w:rPr>
              <w:t>(14)</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0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0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0E" w14:textId="77777777" w:rsidR="003C66EB" w:rsidRDefault="00D96C4E">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0F"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010" w14:textId="77777777" w:rsidR="003C66EB" w:rsidRDefault="003C66EB">
            <w:pPr>
              <w:rPr>
                <w:rFonts w:ascii="宋体"/>
              </w:rPr>
            </w:pPr>
          </w:p>
        </w:tc>
        <w:tc>
          <w:tcPr>
            <w:tcW w:w="0" w:type="auto"/>
            <w:shd w:val="clear" w:color="auto" w:fill="FFFFFF"/>
            <w:tcMar>
              <w:top w:w="0" w:type="dxa"/>
              <w:left w:w="20" w:type="dxa"/>
              <w:bottom w:w="0" w:type="dxa"/>
              <w:right w:w="20" w:type="dxa"/>
            </w:tcMar>
          </w:tcPr>
          <w:p w14:paraId="5EA23011" w14:textId="77777777" w:rsidR="003C66EB" w:rsidRDefault="003C66EB">
            <w:pPr>
              <w:rPr>
                <w:rFonts w:ascii="宋体"/>
              </w:rPr>
            </w:pPr>
          </w:p>
        </w:tc>
      </w:tr>
      <w:tr w:rsidR="003C66EB" w14:paraId="5EA23029" w14:textId="77777777">
        <w:trPr>
          <w:hidden/>
        </w:trPr>
        <w:tc>
          <w:tcPr>
            <w:tcW w:w="0" w:type="auto"/>
            <w:gridSpan w:val="3"/>
            <w:shd w:val="clear" w:color="auto" w:fill="auto"/>
          </w:tcPr>
          <w:p w14:paraId="5EA23013" w14:textId="77777777" w:rsidR="003C66EB" w:rsidRDefault="003C66EB">
            <w:pPr>
              <w:rPr>
                <w:rFonts w:ascii="宋体"/>
                <w:vanish/>
              </w:rPr>
            </w:pPr>
          </w:p>
        </w:tc>
        <w:tc>
          <w:tcPr>
            <w:tcW w:w="0" w:type="auto"/>
            <w:gridSpan w:val="3"/>
            <w:shd w:val="clear" w:color="auto" w:fill="auto"/>
          </w:tcPr>
          <w:p w14:paraId="5EA23014" w14:textId="77777777" w:rsidR="003C66EB" w:rsidRDefault="003C66EB">
            <w:pPr>
              <w:rPr>
                <w:rFonts w:ascii="宋体"/>
                <w:vanish/>
              </w:rPr>
            </w:pPr>
          </w:p>
        </w:tc>
        <w:tc>
          <w:tcPr>
            <w:tcW w:w="0" w:type="auto"/>
            <w:gridSpan w:val="3"/>
            <w:shd w:val="clear" w:color="auto" w:fill="auto"/>
          </w:tcPr>
          <w:p w14:paraId="5EA23015" w14:textId="77777777" w:rsidR="003C66EB" w:rsidRDefault="003C66EB">
            <w:pPr>
              <w:rPr>
                <w:rFonts w:ascii="宋体"/>
                <w:vanish/>
              </w:rPr>
            </w:pPr>
          </w:p>
        </w:tc>
        <w:tc>
          <w:tcPr>
            <w:tcW w:w="0" w:type="auto"/>
            <w:gridSpan w:val="3"/>
            <w:shd w:val="clear" w:color="auto" w:fill="auto"/>
          </w:tcPr>
          <w:p w14:paraId="5EA23016" w14:textId="77777777" w:rsidR="003C66EB" w:rsidRDefault="003C66EB">
            <w:pPr>
              <w:rPr>
                <w:rFonts w:ascii="宋体"/>
                <w:vanish/>
              </w:rPr>
            </w:pPr>
          </w:p>
        </w:tc>
        <w:tc>
          <w:tcPr>
            <w:tcW w:w="0" w:type="auto"/>
            <w:gridSpan w:val="3"/>
            <w:shd w:val="clear" w:color="auto" w:fill="auto"/>
          </w:tcPr>
          <w:p w14:paraId="5EA23017" w14:textId="77777777" w:rsidR="003C66EB" w:rsidRDefault="003C66EB">
            <w:pPr>
              <w:rPr>
                <w:rFonts w:ascii="宋体"/>
                <w:vanish/>
              </w:rPr>
            </w:pPr>
          </w:p>
        </w:tc>
        <w:tc>
          <w:tcPr>
            <w:tcW w:w="0" w:type="auto"/>
            <w:gridSpan w:val="3"/>
            <w:shd w:val="clear" w:color="auto" w:fill="auto"/>
          </w:tcPr>
          <w:p w14:paraId="5EA23018" w14:textId="77777777" w:rsidR="003C66EB" w:rsidRDefault="003C66EB">
            <w:pPr>
              <w:rPr>
                <w:rFonts w:ascii="宋体"/>
                <w:vanish/>
              </w:rPr>
            </w:pPr>
          </w:p>
        </w:tc>
        <w:tc>
          <w:tcPr>
            <w:tcW w:w="0" w:type="auto"/>
            <w:gridSpan w:val="3"/>
            <w:shd w:val="clear" w:color="auto" w:fill="auto"/>
          </w:tcPr>
          <w:p w14:paraId="5EA23019" w14:textId="77777777" w:rsidR="003C66EB" w:rsidRDefault="003C66EB">
            <w:pPr>
              <w:rPr>
                <w:rFonts w:ascii="宋体"/>
                <w:vanish/>
              </w:rPr>
            </w:pPr>
          </w:p>
        </w:tc>
        <w:tc>
          <w:tcPr>
            <w:tcW w:w="0" w:type="auto"/>
            <w:gridSpan w:val="3"/>
            <w:shd w:val="clear" w:color="auto" w:fill="auto"/>
          </w:tcPr>
          <w:p w14:paraId="5EA2301A" w14:textId="77777777" w:rsidR="003C66EB" w:rsidRDefault="003C66EB">
            <w:pPr>
              <w:rPr>
                <w:rFonts w:ascii="宋体"/>
                <w:vanish/>
              </w:rPr>
            </w:pPr>
          </w:p>
        </w:tc>
        <w:tc>
          <w:tcPr>
            <w:tcW w:w="0" w:type="auto"/>
            <w:gridSpan w:val="3"/>
            <w:shd w:val="clear" w:color="auto" w:fill="auto"/>
          </w:tcPr>
          <w:p w14:paraId="5EA2301B" w14:textId="77777777" w:rsidR="003C66EB" w:rsidRDefault="003C66EB">
            <w:pPr>
              <w:rPr>
                <w:rFonts w:ascii="宋体"/>
                <w:vanish/>
              </w:rPr>
            </w:pPr>
          </w:p>
        </w:tc>
        <w:tc>
          <w:tcPr>
            <w:tcW w:w="0" w:type="auto"/>
            <w:shd w:val="clear" w:color="auto" w:fill="auto"/>
          </w:tcPr>
          <w:p w14:paraId="5EA2301C" w14:textId="77777777" w:rsidR="003C66EB" w:rsidRDefault="003C66EB">
            <w:pPr>
              <w:rPr>
                <w:rFonts w:ascii="宋体"/>
                <w:vanish/>
              </w:rPr>
            </w:pPr>
          </w:p>
        </w:tc>
        <w:tc>
          <w:tcPr>
            <w:tcW w:w="0" w:type="auto"/>
            <w:shd w:val="clear" w:color="auto" w:fill="auto"/>
          </w:tcPr>
          <w:p w14:paraId="5EA2301D" w14:textId="77777777" w:rsidR="003C66EB" w:rsidRDefault="003C66EB">
            <w:pPr>
              <w:rPr>
                <w:rFonts w:ascii="宋体"/>
                <w:vanish/>
              </w:rPr>
            </w:pPr>
          </w:p>
        </w:tc>
        <w:tc>
          <w:tcPr>
            <w:tcW w:w="0" w:type="auto"/>
            <w:gridSpan w:val="3"/>
            <w:shd w:val="clear" w:color="auto" w:fill="auto"/>
          </w:tcPr>
          <w:p w14:paraId="5EA2301E" w14:textId="77777777" w:rsidR="003C66EB" w:rsidRDefault="003C66EB">
            <w:pPr>
              <w:rPr>
                <w:rFonts w:ascii="宋体"/>
                <w:vanish/>
              </w:rPr>
            </w:pPr>
          </w:p>
        </w:tc>
        <w:tc>
          <w:tcPr>
            <w:tcW w:w="0" w:type="auto"/>
            <w:gridSpan w:val="3"/>
            <w:shd w:val="clear" w:color="auto" w:fill="auto"/>
          </w:tcPr>
          <w:p w14:paraId="5EA2301F" w14:textId="77777777" w:rsidR="003C66EB" w:rsidRDefault="003C66EB">
            <w:pPr>
              <w:rPr>
                <w:rFonts w:ascii="宋体"/>
                <w:vanish/>
              </w:rPr>
            </w:pPr>
          </w:p>
        </w:tc>
        <w:tc>
          <w:tcPr>
            <w:tcW w:w="0" w:type="auto"/>
            <w:gridSpan w:val="3"/>
            <w:shd w:val="clear" w:color="auto" w:fill="auto"/>
          </w:tcPr>
          <w:p w14:paraId="5EA23020" w14:textId="77777777" w:rsidR="003C66EB" w:rsidRDefault="003C66EB">
            <w:pPr>
              <w:rPr>
                <w:rFonts w:ascii="宋体"/>
                <w:vanish/>
              </w:rPr>
            </w:pPr>
          </w:p>
        </w:tc>
        <w:tc>
          <w:tcPr>
            <w:tcW w:w="0" w:type="auto"/>
            <w:gridSpan w:val="3"/>
            <w:shd w:val="clear" w:color="auto" w:fill="auto"/>
          </w:tcPr>
          <w:p w14:paraId="5EA23021" w14:textId="77777777" w:rsidR="003C66EB" w:rsidRDefault="003C66EB">
            <w:pPr>
              <w:rPr>
                <w:rFonts w:ascii="宋体"/>
                <w:vanish/>
              </w:rPr>
            </w:pPr>
          </w:p>
        </w:tc>
        <w:tc>
          <w:tcPr>
            <w:tcW w:w="0" w:type="auto"/>
            <w:gridSpan w:val="3"/>
            <w:shd w:val="clear" w:color="auto" w:fill="auto"/>
          </w:tcPr>
          <w:p w14:paraId="5EA23022" w14:textId="77777777" w:rsidR="003C66EB" w:rsidRDefault="003C66EB">
            <w:pPr>
              <w:rPr>
                <w:rFonts w:ascii="宋体"/>
                <w:vanish/>
              </w:rPr>
            </w:pPr>
          </w:p>
        </w:tc>
        <w:tc>
          <w:tcPr>
            <w:tcW w:w="0" w:type="auto"/>
            <w:gridSpan w:val="3"/>
            <w:shd w:val="clear" w:color="auto" w:fill="auto"/>
          </w:tcPr>
          <w:p w14:paraId="5EA23023" w14:textId="77777777" w:rsidR="003C66EB" w:rsidRDefault="003C66EB">
            <w:pPr>
              <w:rPr>
                <w:rFonts w:ascii="宋体"/>
                <w:vanish/>
              </w:rPr>
            </w:pPr>
          </w:p>
        </w:tc>
        <w:tc>
          <w:tcPr>
            <w:tcW w:w="0" w:type="auto"/>
            <w:gridSpan w:val="3"/>
            <w:shd w:val="clear" w:color="auto" w:fill="auto"/>
          </w:tcPr>
          <w:p w14:paraId="5EA23024" w14:textId="77777777" w:rsidR="003C66EB" w:rsidRDefault="003C66EB">
            <w:pPr>
              <w:rPr>
                <w:rFonts w:ascii="宋体"/>
                <w:vanish/>
              </w:rPr>
            </w:pPr>
          </w:p>
        </w:tc>
        <w:tc>
          <w:tcPr>
            <w:tcW w:w="0" w:type="auto"/>
            <w:gridSpan w:val="3"/>
            <w:shd w:val="clear" w:color="auto" w:fill="auto"/>
          </w:tcPr>
          <w:p w14:paraId="5EA23025" w14:textId="77777777" w:rsidR="003C66EB" w:rsidRDefault="003C66EB">
            <w:pPr>
              <w:rPr>
                <w:rFonts w:ascii="宋体"/>
                <w:vanish/>
              </w:rPr>
            </w:pPr>
          </w:p>
        </w:tc>
        <w:tc>
          <w:tcPr>
            <w:tcW w:w="0" w:type="auto"/>
            <w:gridSpan w:val="3"/>
            <w:shd w:val="clear" w:color="auto" w:fill="auto"/>
          </w:tcPr>
          <w:p w14:paraId="5EA23026" w14:textId="77777777" w:rsidR="003C66EB" w:rsidRDefault="003C66EB">
            <w:pPr>
              <w:rPr>
                <w:rFonts w:ascii="宋体"/>
                <w:vanish/>
              </w:rPr>
            </w:pPr>
          </w:p>
        </w:tc>
        <w:tc>
          <w:tcPr>
            <w:tcW w:w="0" w:type="auto"/>
            <w:gridSpan w:val="2"/>
            <w:shd w:val="clear" w:color="auto" w:fill="auto"/>
          </w:tcPr>
          <w:p w14:paraId="5EA23027" w14:textId="77777777" w:rsidR="003C66EB" w:rsidRDefault="003C66EB">
            <w:pPr>
              <w:rPr>
                <w:rFonts w:ascii="宋体"/>
                <w:vanish/>
              </w:rPr>
            </w:pPr>
          </w:p>
        </w:tc>
        <w:tc>
          <w:tcPr>
            <w:tcW w:w="0" w:type="auto"/>
            <w:shd w:val="clear" w:color="auto" w:fill="auto"/>
          </w:tcPr>
          <w:p w14:paraId="5EA23028" w14:textId="77777777" w:rsidR="003C66EB" w:rsidRDefault="003C66EB">
            <w:pPr>
              <w:rPr>
                <w:rFonts w:ascii="宋体"/>
                <w:vanish/>
              </w:rPr>
            </w:pPr>
          </w:p>
        </w:tc>
      </w:tr>
      <w:tr w:rsidR="003C66EB" w14:paraId="5EA23040" w14:textId="77777777">
        <w:trPr>
          <w:hidden/>
        </w:trPr>
        <w:tc>
          <w:tcPr>
            <w:tcW w:w="0" w:type="auto"/>
            <w:gridSpan w:val="3"/>
            <w:shd w:val="clear" w:color="auto" w:fill="auto"/>
          </w:tcPr>
          <w:p w14:paraId="5EA2302A" w14:textId="77777777" w:rsidR="003C66EB" w:rsidRDefault="003C66EB">
            <w:pPr>
              <w:rPr>
                <w:rFonts w:ascii="宋体"/>
                <w:vanish/>
              </w:rPr>
            </w:pPr>
          </w:p>
        </w:tc>
        <w:tc>
          <w:tcPr>
            <w:tcW w:w="0" w:type="auto"/>
            <w:gridSpan w:val="3"/>
            <w:shd w:val="clear" w:color="auto" w:fill="auto"/>
          </w:tcPr>
          <w:p w14:paraId="5EA2302B" w14:textId="77777777" w:rsidR="003C66EB" w:rsidRDefault="003C66EB">
            <w:pPr>
              <w:rPr>
                <w:rFonts w:ascii="宋体"/>
                <w:vanish/>
              </w:rPr>
            </w:pPr>
          </w:p>
        </w:tc>
        <w:tc>
          <w:tcPr>
            <w:tcW w:w="0" w:type="auto"/>
            <w:gridSpan w:val="3"/>
            <w:shd w:val="clear" w:color="auto" w:fill="auto"/>
          </w:tcPr>
          <w:p w14:paraId="5EA2302C" w14:textId="77777777" w:rsidR="003C66EB" w:rsidRDefault="003C66EB">
            <w:pPr>
              <w:rPr>
                <w:rFonts w:ascii="宋体"/>
                <w:vanish/>
              </w:rPr>
            </w:pPr>
          </w:p>
        </w:tc>
        <w:tc>
          <w:tcPr>
            <w:tcW w:w="0" w:type="auto"/>
            <w:gridSpan w:val="3"/>
            <w:shd w:val="clear" w:color="auto" w:fill="auto"/>
          </w:tcPr>
          <w:p w14:paraId="5EA2302D" w14:textId="77777777" w:rsidR="003C66EB" w:rsidRDefault="003C66EB">
            <w:pPr>
              <w:rPr>
                <w:rFonts w:ascii="宋体"/>
                <w:vanish/>
              </w:rPr>
            </w:pPr>
          </w:p>
        </w:tc>
        <w:tc>
          <w:tcPr>
            <w:tcW w:w="0" w:type="auto"/>
            <w:gridSpan w:val="3"/>
            <w:shd w:val="clear" w:color="auto" w:fill="auto"/>
          </w:tcPr>
          <w:p w14:paraId="5EA2302E" w14:textId="77777777" w:rsidR="003C66EB" w:rsidRDefault="003C66EB">
            <w:pPr>
              <w:rPr>
                <w:rFonts w:ascii="宋体"/>
                <w:vanish/>
              </w:rPr>
            </w:pPr>
          </w:p>
        </w:tc>
        <w:tc>
          <w:tcPr>
            <w:tcW w:w="0" w:type="auto"/>
            <w:gridSpan w:val="3"/>
            <w:shd w:val="clear" w:color="auto" w:fill="auto"/>
          </w:tcPr>
          <w:p w14:paraId="5EA2302F" w14:textId="77777777" w:rsidR="003C66EB" w:rsidRDefault="003C66EB">
            <w:pPr>
              <w:rPr>
                <w:rFonts w:ascii="宋体"/>
                <w:vanish/>
              </w:rPr>
            </w:pPr>
          </w:p>
        </w:tc>
        <w:tc>
          <w:tcPr>
            <w:tcW w:w="0" w:type="auto"/>
            <w:gridSpan w:val="3"/>
            <w:shd w:val="clear" w:color="auto" w:fill="auto"/>
          </w:tcPr>
          <w:p w14:paraId="5EA23030" w14:textId="77777777" w:rsidR="003C66EB" w:rsidRDefault="003C66EB">
            <w:pPr>
              <w:rPr>
                <w:rFonts w:ascii="宋体"/>
                <w:vanish/>
              </w:rPr>
            </w:pPr>
          </w:p>
        </w:tc>
        <w:tc>
          <w:tcPr>
            <w:tcW w:w="0" w:type="auto"/>
            <w:gridSpan w:val="3"/>
            <w:shd w:val="clear" w:color="auto" w:fill="auto"/>
          </w:tcPr>
          <w:p w14:paraId="5EA23031" w14:textId="77777777" w:rsidR="003C66EB" w:rsidRDefault="003C66EB">
            <w:pPr>
              <w:rPr>
                <w:rFonts w:ascii="宋体"/>
                <w:vanish/>
              </w:rPr>
            </w:pPr>
          </w:p>
        </w:tc>
        <w:tc>
          <w:tcPr>
            <w:tcW w:w="0" w:type="auto"/>
            <w:gridSpan w:val="3"/>
            <w:shd w:val="clear" w:color="auto" w:fill="auto"/>
          </w:tcPr>
          <w:p w14:paraId="5EA23032" w14:textId="77777777" w:rsidR="003C66EB" w:rsidRDefault="003C66EB">
            <w:pPr>
              <w:rPr>
                <w:rFonts w:ascii="宋体"/>
                <w:vanish/>
              </w:rPr>
            </w:pPr>
          </w:p>
        </w:tc>
        <w:tc>
          <w:tcPr>
            <w:tcW w:w="0" w:type="auto"/>
            <w:shd w:val="clear" w:color="auto" w:fill="auto"/>
          </w:tcPr>
          <w:p w14:paraId="5EA23033" w14:textId="77777777" w:rsidR="003C66EB" w:rsidRDefault="003C66EB">
            <w:pPr>
              <w:rPr>
                <w:rFonts w:ascii="宋体"/>
                <w:vanish/>
              </w:rPr>
            </w:pPr>
          </w:p>
        </w:tc>
        <w:tc>
          <w:tcPr>
            <w:tcW w:w="0" w:type="auto"/>
            <w:shd w:val="clear" w:color="auto" w:fill="auto"/>
          </w:tcPr>
          <w:p w14:paraId="5EA23034" w14:textId="77777777" w:rsidR="003C66EB" w:rsidRDefault="003C66EB">
            <w:pPr>
              <w:rPr>
                <w:rFonts w:ascii="宋体"/>
                <w:vanish/>
              </w:rPr>
            </w:pPr>
          </w:p>
        </w:tc>
        <w:tc>
          <w:tcPr>
            <w:tcW w:w="0" w:type="auto"/>
            <w:gridSpan w:val="3"/>
            <w:shd w:val="clear" w:color="auto" w:fill="auto"/>
          </w:tcPr>
          <w:p w14:paraId="5EA23035" w14:textId="77777777" w:rsidR="003C66EB" w:rsidRDefault="003C66EB">
            <w:pPr>
              <w:rPr>
                <w:rFonts w:ascii="宋体"/>
                <w:vanish/>
              </w:rPr>
            </w:pPr>
          </w:p>
        </w:tc>
        <w:tc>
          <w:tcPr>
            <w:tcW w:w="0" w:type="auto"/>
            <w:gridSpan w:val="3"/>
            <w:shd w:val="clear" w:color="auto" w:fill="auto"/>
          </w:tcPr>
          <w:p w14:paraId="5EA23036" w14:textId="77777777" w:rsidR="003C66EB" w:rsidRDefault="003C66EB">
            <w:pPr>
              <w:rPr>
                <w:rFonts w:ascii="宋体"/>
                <w:vanish/>
              </w:rPr>
            </w:pPr>
          </w:p>
        </w:tc>
        <w:tc>
          <w:tcPr>
            <w:tcW w:w="0" w:type="auto"/>
            <w:gridSpan w:val="3"/>
            <w:shd w:val="clear" w:color="auto" w:fill="auto"/>
          </w:tcPr>
          <w:p w14:paraId="5EA23037" w14:textId="77777777" w:rsidR="003C66EB" w:rsidRDefault="003C66EB">
            <w:pPr>
              <w:rPr>
                <w:rFonts w:ascii="宋体"/>
                <w:vanish/>
              </w:rPr>
            </w:pPr>
          </w:p>
        </w:tc>
        <w:tc>
          <w:tcPr>
            <w:tcW w:w="0" w:type="auto"/>
            <w:gridSpan w:val="3"/>
            <w:shd w:val="clear" w:color="auto" w:fill="auto"/>
          </w:tcPr>
          <w:p w14:paraId="5EA23038" w14:textId="77777777" w:rsidR="003C66EB" w:rsidRDefault="003C66EB">
            <w:pPr>
              <w:rPr>
                <w:rFonts w:ascii="宋体"/>
                <w:vanish/>
              </w:rPr>
            </w:pPr>
          </w:p>
        </w:tc>
        <w:tc>
          <w:tcPr>
            <w:tcW w:w="0" w:type="auto"/>
            <w:gridSpan w:val="3"/>
            <w:shd w:val="clear" w:color="auto" w:fill="auto"/>
          </w:tcPr>
          <w:p w14:paraId="5EA23039" w14:textId="77777777" w:rsidR="003C66EB" w:rsidRDefault="003C66EB">
            <w:pPr>
              <w:rPr>
                <w:rFonts w:ascii="宋体"/>
                <w:vanish/>
              </w:rPr>
            </w:pPr>
          </w:p>
        </w:tc>
        <w:tc>
          <w:tcPr>
            <w:tcW w:w="0" w:type="auto"/>
            <w:gridSpan w:val="3"/>
            <w:shd w:val="clear" w:color="auto" w:fill="auto"/>
          </w:tcPr>
          <w:p w14:paraId="5EA2303A" w14:textId="77777777" w:rsidR="003C66EB" w:rsidRDefault="003C66EB">
            <w:pPr>
              <w:rPr>
                <w:rFonts w:ascii="宋体"/>
                <w:vanish/>
              </w:rPr>
            </w:pPr>
          </w:p>
        </w:tc>
        <w:tc>
          <w:tcPr>
            <w:tcW w:w="0" w:type="auto"/>
            <w:gridSpan w:val="3"/>
            <w:shd w:val="clear" w:color="auto" w:fill="auto"/>
          </w:tcPr>
          <w:p w14:paraId="5EA2303B" w14:textId="77777777" w:rsidR="003C66EB" w:rsidRDefault="003C66EB">
            <w:pPr>
              <w:rPr>
                <w:rFonts w:ascii="宋体"/>
                <w:vanish/>
              </w:rPr>
            </w:pPr>
          </w:p>
        </w:tc>
        <w:tc>
          <w:tcPr>
            <w:tcW w:w="0" w:type="auto"/>
            <w:gridSpan w:val="3"/>
            <w:shd w:val="clear" w:color="auto" w:fill="auto"/>
          </w:tcPr>
          <w:p w14:paraId="5EA2303C" w14:textId="77777777" w:rsidR="003C66EB" w:rsidRDefault="003C66EB">
            <w:pPr>
              <w:rPr>
                <w:rFonts w:ascii="宋体"/>
                <w:vanish/>
              </w:rPr>
            </w:pPr>
          </w:p>
        </w:tc>
        <w:tc>
          <w:tcPr>
            <w:tcW w:w="0" w:type="auto"/>
            <w:gridSpan w:val="3"/>
            <w:shd w:val="clear" w:color="auto" w:fill="auto"/>
          </w:tcPr>
          <w:p w14:paraId="5EA2303D" w14:textId="77777777" w:rsidR="003C66EB" w:rsidRDefault="003C66EB">
            <w:pPr>
              <w:rPr>
                <w:rFonts w:ascii="宋体"/>
                <w:vanish/>
              </w:rPr>
            </w:pPr>
          </w:p>
        </w:tc>
        <w:tc>
          <w:tcPr>
            <w:tcW w:w="0" w:type="auto"/>
            <w:gridSpan w:val="2"/>
            <w:shd w:val="clear" w:color="auto" w:fill="auto"/>
          </w:tcPr>
          <w:p w14:paraId="5EA2303E" w14:textId="77777777" w:rsidR="003C66EB" w:rsidRDefault="003C66EB">
            <w:pPr>
              <w:rPr>
                <w:rFonts w:ascii="宋体"/>
                <w:vanish/>
              </w:rPr>
            </w:pPr>
          </w:p>
        </w:tc>
        <w:tc>
          <w:tcPr>
            <w:tcW w:w="0" w:type="auto"/>
            <w:shd w:val="clear" w:color="auto" w:fill="auto"/>
          </w:tcPr>
          <w:p w14:paraId="5EA2303F" w14:textId="77777777" w:rsidR="003C66EB" w:rsidRDefault="003C66EB">
            <w:pPr>
              <w:rPr>
                <w:rFonts w:ascii="宋体"/>
                <w:vanish/>
              </w:rPr>
            </w:pPr>
          </w:p>
        </w:tc>
      </w:tr>
      <w:tr w:rsidR="003C66EB" w14:paraId="5EA23057" w14:textId="77777777">
        <w:trPr>
          <w:hidden/>
        </w:trPr>
        <w:tc>
          <w:tcPr>
            <w:tcW w:w="0" w:type="auto"/>
            <w:gridSpan w:val="3"/>
            <w:shd w:val="clear" w:color="auto" w:fill="auto"/>
          </w:tcPr>
          <w:p w14:paraId="5EA23041" w14:textId="77777777" w:rsidR="003C66EB" w:rsidRDefault="003C66EB">
            <w:pPr>
              <w:rPr>
                <w:rFonts w:ascii="宋体"/>
                <w:vanish/>
              </w:rPr>
            </w:pPr>
          </w:p>
        </w:tc>
        <w:tc>
          <w:tcPr>
            <w:tcW w:w="0" w:type="auto"/>
            <w:gridSpan w:val="3"/>
            <w:shd w:val="clear" w:color="auto" w:fill="auto"/>
          </w:tcPr>
          <w:p w14:paraId="5EA23042" w14:textId="77777777" w:rsidR="003C66EB" w:rsidRDefault="003C66EB">
            <w:pPr>
              <w:rPr>
                <w:rFonts w:ascii="宋体"/>
                <w:vanish/>
              </w:rPr>
            </w:pPr>
          </w:p>
        </w:tc>
        <w:tc>
          <w:tcPr>
            <w:tcW w:w="0" w:type="auto"/>
            <w:gridSpan w:val="3"/>
            <w:shd w:val="clear" w:color="auto" w:fill="auto"/>
          </w:tcPr>
          <w:p w14:paraId="5EA23043" w14:textId="77777777" w:rsidR="003C66EB" w:rsidRDefault="003C66EB">
            <w:pPr>
              <w:rPr>
                <w:rFonts w:ascii="宋体"/>
                <w:vanish/>
              </w:rPr>
            </w:pPr>
          </w:p>
        </w:tc>
        <w:tc>
          <w:tcPr>
            <w:tcW w:w="0" w:type="auto"/>
            <w:gridSpan w:val="3"/>
            <w:shd w:val="clear" w:color="auto" w:fill="auto"/>
          </w:tcPr>
          <w:p w14:paraId="5EA23044" w14:textId="77777777" w:rsidR="003C66EB" w:rsidRDefault="003C66EB">
            <w:pPr>
              <w:rPr>
                <w:rFonts w:ascii="宋体"/>
                <w:vanish/>
              </w:rPr>
            </w:pPr>
          </w:p>
        </w:tc>
        <w:tc>
          <w:tcPr>
            <w:tcW w:w="0" w:type="auto"/>
            <w:gridSpan w:val="3"/>
            <w:shd w:val="clear" w:color="auto" w:fill="auto"/>
          </w:tcPr>
          <w:p w14:paraId="5EA23045" w14:textId="77777777" w:rsidR="003C66EB" w:rsidRDefault="003C66EB">
            <w:pPr>
              <w:rPr>
                <w:rFonts w:ascii="宋体"/>
                <w:vanish/>
              </w:rPr>
            </w:pPr>
          </w:p>
        </w:tc>
        <w:tc>
          <w:tcPr>
            <w:tcW w:w="0" w:type="auto"/>
            <w:gridSpan w:val="3"/>
            <w:shd w:val="clear" w:color="auto" w:fill="auto"/>
          </w:tcPr>
          <w:p w14:paraId="5EA23046" w14:textId="77777777" w:rsidR="003C66EB" w:rsidRDefault="003C66EB">
            <w:pPr>
              <w:rPr>
                <w:rFonts w:ascii="宋体"/>
                <w:vanish/>
              </w:rPr>
            </w:pPr>
          </w:p>
        </w:tc>
        <w:tc>
          <w:tcPr>
            <w:tcW w:w="0" w:type="auto"/>
            <w:gridSpan w:val="3"/>
            <w:shd w:val="clear" w:color="auto" w:fill="auto"/>
          </w:tcPr>
          <w:p w14:paraId="5EA23047" w14:textId="77777777" w:rsidR="003C66EB" w:rsidRDefault="003C66EB">
            <w:pPr>
              <w:rPr>
                <w:rFonts w:ascii="宋体"/>
                <w:vanish/>
              </w:rPr>
            </w:pPr>
          </w:p>
        </w:tc>
        <w:tc>
          <w:tcPr>
            <w:tcW w:w="0" w:type="auto"/>
            <w:gridSpan w:val="3"/>
            <w:shd w:val="clear" w:color="auto" w:fill="auto"/>
          </w:tcPr>
          <w:p w14:paraId="5EA23048" w14:textId="77777777" w:rsidR="003C66EB" w:rsidRDefault="003C66EB">
            <w:pPr>
              <w:rPr>
                <w:rFonts w:ascii="宋体"/>
                <w:vanish/>
              </w:rPr>
            </w:pPr>
          </w:p>
        </w:tc>
        <w:tc>
          <w:tcPr>
            <w:tcW w:w="0" w:type="auto"/>
            <w:gridSpan w:val="3"/>
            <w:shd w:val="clear" w:color="auto" w:fill="auto"/>
          </w:tcPr>
          <w:p w14:paraId="5EA23049" w14:textId="77777777" w:rsidR="003C66EB" w:rsidRDefault="003C66EB">
            <w:pPr>
              <w:rPr>
                <w:rFonts w:ascii="宋体"/>
                <w:vanish/>
              </w:rPr>
            </w:pPr>
          </w:p>
        </w:tc>
        <w:tc>
          <w:tcPr>
            <w:tcW w:w="0" w:type="auto"/>
            <w:shd w:val="clear" w:color="auto" w:fill="auto"/>
          </w:tcPr>
          <w:p w14:paraId="5EA2304A" w14:textId="77777777" w:rsidR="003C66EB" w:rsidRDefault="003C66EB">
            <w:pPr>
              <w:rPr>
                <w:rFonts w:ascii="宋体"/>
                <w:vanish/>
              </w:rPr>
            </w:pPr>
          </w:p>
        </w:tc>
        <w:tc>
          <w:tcPr>
            <w:tcW w:w="0" w:type="auto"/>
            <w:shd w:val="clear" w:color="auto" w:fill="auto"/>
          </w:tcPr>
          <w:p w14:paraId="5EA2304B" w14:textId="77777777" w:rsidR="003C66EB" w:rsidRDefault="003C66EB">
            <w:pPr>
              <w:rPr>
                <w:rFonts w:ascii="宋体"/>
                <w:vanish/>
              </w:rPr>
            </w:pPr>
          </w:p>
        </w:tc>
        <w:tc>
          <w:tcPr>
            <w:tcW w:w="0" w:type="auto"/>
            <w:gridSpan w:val="3"/>
            <w:shd w:val="clear" w:color="auto" w:fill="auto"/>
          </w:tcPr>
          <w:p w14:paraId="5EA2304C" w14:textId="77777777" w:rsidR="003C66EB" w:rsidRDefault="003C66EB">
            <w:pPr>
              <w:rPr>
                <w:rFonts w:ascii="宋体"/>
                <w:vanish/>
              </w:rPr>
            </w:pPr>
          </w:p>
        </w:tc>
        <w:tc>
          <w:tcPr>
            <w:tcW w:w="0" w:type="auto"/>
            <w:gridSpan w:val="3"/>
            <w:shd w:val="clear" w:color="auto" w:fill="auto"/>
          </w:tcPr>
          <w:p w14:paraId="5EA2304D" w14:textId="77777777" w:rsidR="003C66EB" w:rsidRDefault="003C66EB">
            <w:pPr>
              <w:rPr>
                <w:rFonts w:ascii="宋体"/>
                <w:vanish/>
              </w:rPr>
            </w:pPr>
          </w:p>
        </w:tc>
        <w:tc>
          <w:tcPr>
            <w:tcW w:w="0" w:type="auto"/>
            <w:gridSpan w:val="3"/>
            <w:shd w:val="clear" w:color="auto" w:fill="auto"/>
          </w:tcPr>
          <w:p w14:paraId="5EA2304E" w14:textId="77777777" w:rsidR="003C66EB" w:rsidRDefault="003C66EB">
            <w:pPr>
              <w:rPr>
                <w:rFonts w:ascii="宋体"/>
                <w:vanish/>
              </w:rPr>
            </w:pPr>
          </w:p>
        </w:tc>
        <w:tc>
          <w:tcPr>
            <w:tcW w:w="0" w:type="auto"/>
            <w:gridSpan w:val="3"/>
            <w:shd w:val="clear" w:color="auto" w:fill="auto"/>
          </w:tcPr>
          <w:p w14:paraId="5EA2304F" w14:textId="77777777" w:rsidR="003C66EB" w:rsidRDefault="003C66EB">
            <w:pPr>
              <w:rPr>
                <w:rFonts w:ascii="宋体"/>
                <w:vanish/>
              </w:rPr>
            </w:pPr>
          </w:p>
        </w:tc>
        <w:tc>
          <w:tcPr>
            <w:tcW w:w="0" w:type="auto"/>
            <w:gridSpan w:val="3"/>
            <w:shd w:val="clear" w:color="auto" w:fill="auto"/>
          </w:tcPr>
          <w:p w14:paraId="5EA23050" w14:textId="77777777" w:rsidR="003C66EB" w:rsidRDefault="003C66EB">
            <w:pPr>
              <w:rPr>
                <w:rFonts w:ascii="宋体"/>
                <w:vanish/>
              </w:rPr>
            </w:pPr>
          </w:p>
        </w:tc>
        <w:tc>
          <w:tcPr>
            <w:tcW w:w="0" w:type="auto"/>
            <w:gridSpan w:val="3"/>
            <w:shd w:val="clear" w:color="auto" w:fill="auto"/>
          </w:tcPr>
          <w:p w14:paraId="5EA23051" w14:textId="77777777" w:rsidR="003C66EB" w:rsidRDefault="003C66EB">
            <w:pPr>
              <w:rPr>
                <w:rFonts w:ascii="宋体"/>
                <w:vanish/>
              </w:rPr>
            </w:pPr>
          </w:p>
        </w:tc>
        <w:tc>
          <w:tcPr>
            <w:tcW w:w="0" w:type="auto"/>
            <w:gridSpan w:val="3"/>
            <w:shd w:val="clear" w:color="auto" w:fill="auto"/>
          </w:tcPr>
          <w:p w14:paraId="5EA23052" w14:textId="77777777" w:rsidR="003C66EB" w:rsidRDefault="003C66EB">
            <w:pPr>
              <w:rPr>
                <w:rFonts w:ascii="宋体"/>
                <w:vanish/>
              </w:rPr>
            </w:pPr>
          </w:p>
        </w:tc>
        <w:tc>
          <w:tcPr>
            <w:tcW w:w="0" w:type="auto"/>
            <w:gridSpan w:val="3"/>
            <w:shd w:val="clear" w:color="auto" w:fill="auto"/>
          </w:tcPr>
          <w:p w14:paraId="5EA23053" w14:textId="77777777" w:rsidR="003C66EB" w:rsidRDefault="003C66EB">
            <w:pPr>
              <w:rPr>
                <w:rFonts w:ascii="宋体"/>
                <w:vanish/>
              </w:rPr>
            </w:pPr>
          </w:p>
        </w:tc>
        <w:tc>
          <w:tcPr>
            <w:tcW w:w="0" w:type="auto"/>
            <w:gridSpan w:val="3"/>
            <w:shd w:val="clear" w:color="auto" w:fill="auto"/>
          </w:tcPr>
          <w:p w14:paraId="5EA23054" w14:textId="77777777" w:rsidR="003C66EB" w:rsidRDefault="003C66EB">
            <w:pPr>
              <w:rPr>
                <w:rFonts w:ascii="宋体"/>
                <w:vanish/>
              </w:rPr>
            </w:pPr>
          </w:p>
        </w:tc>
        <w:tc>
          <w:tcPr>
            <w:tcW w:w="0" w:type="auto"/>
            <w:gridSpan w:val="2"/>
            <w:shd w:val="clear" w:color="auto" w:fill="auto"/>
          </w:tcPr>
          <w:p w14:paraId="5EA23055" w14:textId="77777777" w:rsidR="003C66EB" w:rsidRDefault="003C66EB">
            <w:pPr>
              <w:rPr>
                <w:rFonts w:ascii="宋体"/>
                <w:vanish/>
              </w:rPr>
            </w:pPr>
          </w:p>
        </w:tc>
        <w:tc>
          <w:tcPr>
            <w:tcW w:w="0" w:type="auto"/>
            <w:shd w:val="clear" w:color="auto" w:fill="auto"/>
          </w:tcPr>
          <w:p w14:paraId="5EA23056" w14:textId="77777777" w:rsidR="003C66EB" w:rsidRDefault="003C66EB">
            <w:pPr>
              <w:rPr>
                <w:rFonts w:ascii="宋体"/>
                <w:vanish/>
              </w:rPr>
            </w:pPr>
          </w:p>
        </w:tc>
      </w:tr>
      <w:tr w:rsidR="003C66EB" w14:paraId="5EA2306E" w14:textId="77777777">
        <w:trPr>
          <w:hidden/>
        </w:trPr>
        <w:tc>
          <w:tcPr>
            <w:tcW w:w="0" w:type="auto"/>
            <w:gridSpan w:val="3"/>
            <w:shd w:val="clear" w:color="auto" w:fill="auto"/>
          </w:tcPr>
          <w:p w14:paraId="5EA23058" w14:textId="77777777" w:rsidR="003C66EB" w:rsidRDefault="003C66EB">
            <w:pPr>
              <w:rPr>
                <w:rFonts w:ascii="宋体"/>
                <w:vanish/>
              </w:rPr>
            </w:pPr>
          </w:p>
        </w:tc>
        <w:tc>
          <w:tcPr>
            <w:tcW w:w="0" w:type="auto"/>
            <w:gridSpan w:val="3"/>
            <w:shd w:val="clear" w:color="auto" w:fill="auto"/>
          </w:tcPr>
          <w:p w14:paraId="5EA23059" w14:textId="77777777" w:rsidR="003C66EB" w:rsidRDefault="003C66EB">
            <w:pPr>
              <w:rPr>
                <w:rFonts w:ascii="宋体"/>
                <w:vanish/>
              </w:rPr>
            </w:pPr>
          </w:p>
        </w:tc>
        <w:tc>
          <w:tcPr>
            <w:tcW w:w="0" w:type="auto"/>
            <w:gridSpan w:val="3"/>
            <w:shd w:val="clear" w:color="auto" w:fill="auto"/>
          </w:tcPr>
          <w:p w14:paraId="5EA2305A" w14:textId="77777777" w:rsidR="003C66EB" w:rsidRDefault="003C66EB">
            <w:pPr>
              <w:rPr>
                <w:rFonts w:ascii="宋体"/>
                <w:vanish/>
              </w:rPr>
            </w:pPr>
          </w:p>
        </w:tc>
        <w:tc>
          <w:tcPr>
            <w:tcW w:w="0" w:type="auto"/>
            <w:gridSpan w:val="3"/>
            <w:shd w:val="clear" w:color="auto" w:fill="auto"/>
          </w:tcPr>
          <w:p w14:paraId="5EA2305B" w14:textId="77777777" w:rsidR="003C66EB" w:rsidRDefault="003C66EB">
            <w:pPr>
              <w:rPr>
                <w:rFonts w:ascii="宋体"/>
                <w:vanish/>
              </w:rPr>
            </w:pPr>
          </w:p>
        </w:tc>
        <w:tc>
          <w:tcPr>
            <w:tcW w:w="0" w:type="auto"/>
            <w:gridSpan w:val="3"/>
            <w:shd w:val="clear" w:color="auto" w:fill="auto"/>
          </w:tcPr>
          <w:p w14:paraId="5EA2305C" w14:textId="77777777" w:rsidR="003C66EB" w:rsidRDefault="003C66EB">
            <w:pPr>
              <w:rPr>
                <w:rFonts w:ascii="宋体"/>
                <w:vanish/>
              </w:rPr>
            </w:pPr>
          </w:p>
        </w:tc>
        <w:tc>
          <w:tcPr>
            <w:tcW w:w="0" w:type="auto"/>
            <w:gridSpan w:val="3"/>
            <w:shd w:val="clear" w:color="auto" w:fill="auto"/>
          </w:tcPr>
          <w:p w14:paraId="5EA2305D" w14:textId="77777777" w:rsidR="003C66EB" w:rsidRDefault="003C66EB">
            <w:pPr>
              <w:rPr>
                <w:rFonts w:ascii="宋体"/>
                <w:vanish/>
              </w:rPr>
            </w:pPr>
          </w:p>
        </w:tc>
        <w:tc>
          <w:tcPr>
            <w:tcW w:w="0" w:type="auto"/>
            <w:gridSpan w:val="3"/>
            <w:shd w:val="clear" w:color="auto" w:fill="auto"/>
          </w:tcPr>
          <w:p w14:paraId="5EA2305E" w14:textId="77777777" w:rsidR="003C66EB" w:rsidRDefault="003C66EB">
            <w:pPr>
              <w:rPr>
                <w:rFonts w:ascii="宋体"/>
                <w:vanish/>
              </w:rPr>
            </w:pPr>
          </w:p>
        </w:tc>
        <w:tc>
          <w:tcPr>
            <w:tcW w:w="0" w:type="auto"/>
            <w:gridSpan w:val="3"/>
            <w:shd w:val="clear" w:color="auto" w:fill="auto"/>
          </w:tcPr>
          <w:p w14:paraId="5EA2305F" w14:textId="77777777" w:rsidR="003C66EB" w:rsidRDefault="003C66EB">
            <w:pPr>
              <w:rPr>
                <w:rFonts w:ascii="宋体"/>
                <w:vanish/>
              </w:rPr>
            </w:pPr>
          </w:p>
        </w:tc>
        <w:tc>
          <w:tcPr>
            <w:tcW w:w="0" w:type="auto"/>
            <w:gridSpan w:val="3"/>
            <w:shd w:val="clear" w:color="auto" w:fill="auto"/>
          </w:tcPr>
          <w:p w14:paraId="5EA23060" w14:textId="77777777" w:rsidR="003C66EB" w:rsidRDefault="003C66EB">
            <w:pPr>
              <w:rPr>
                <w:rFonts w:ascii="宋体"/>
                <w:vanish/>
              </w:rPr>
            </w:pPr>
          </w:p>
        </w:tc>
        <w:tc>
          <w:tcPr>
            <w:tcW w:w="0" w:type="auto"/>
            <w:shd w:val="clear" w:color="auto" w:fill="auto"/>
          </w:tcPr>
          <w:p w14:paraId="5EA23061" w14:textId="77777777" w:rsidR="003C66EB" w:rsidRDefault="003C66EB">
            <w:pPr>
              <w:rPr>
                <w:rFonts w:ascii="宋体"/>
                <w:vanish/>
              </w:rPr>
            </w:pPr>
          </w:p>
        </w:tc>
        <w:tc>
          <w:tcPr>
            <w:tcW w:w="0" w:type="auto"/>
            <w:shd w:val="clear" w:color="auto" w:fill="auto"/>
          </w:tcPr>
          <w:p w14:paraId="5EA23062" w14:textId="77777777" w:rsidR="003C66EB" w:rsidRDefault="003C66EB">
            <w:pPr>
              <w:rPr>
                <w:rFonts w:ascii="宋体"/>
                <w:vanish/>
              </w:rPr>
            </w:pPr>
          </w:p>
        </w:tc>
        <w:tc>
          <w:tcPr>
            <w:tcW w:w="0" w:type="auto"/>
            <w:gridSpan w:val="3"/>
            <w:shd w:val="clear" w:color="auto" w:fill="auto"/>
          </w:tcPr>
          <w:p w14:paraId="5EA23063" w14:textId="77777777" w:rsidR="003C66EB" w:rsidRDefault="003C66EB">
            <w:pPr>
              <w:rPr>
                <w:rFonts w:ascii="宋体"/>
                <w:vanish/>
              </w:rPr>
            </w:pPr>
          </w:p>
        </w:tc>
        <w:tc>
          <w:tcPr>
            <w:tcW w:w="0" w:type="auto"/>
            <w:gridSpan w:val="3"/>
            <w:shd w:val="clear" w:color="auto" w:fill="auto"/>
          </w:tcPr>
          <w:p w14:paraId="5EA23064" w14:textId="77777777" w:rsidR="003C66EB" w:rsidRDefault="003C66EB">
            <w:pPr>
              <w:rPr>
                <w:rFonts w:ascii="宋体"/>
                <w:vanish/>
              </w:rPr>
            </w:pPr>
          </w:p>
        </w:tc>
        <w:tc>
          <w:tcPr>
            <w:tcW w:w="0" w:type="auto"/>
            <w:gridSpan w:val="3"/>
            <w:shd w:val="clear" w:color="auto" w:fill="auto"/>
          </w:tcPr>
          <w:p w14:paraId="5EA23065" w14:textId="77777777" w:rsidR="003C66EB" w:rsidRDefault="003C66EB">
            <w:pPr>
              <w:rPr>
                <w:rFonts w:ascii="宋体"/>
                <w:vanish/>
              </w:rPr>
            </w:pPr>
          </w:p>
        </w:tc>
        <w:tc>
          <w:tcPr>
            <w:tcW w:w="0" w:type="auto"/>
            <w:gridSpan w:val="3"/>
            <w:shd w:val="clear" w:color="auto" w:fill="auto"/>
          </w:tcPr>
          <w:p w14:paraId="5EA23066" w14:textId="77777777" w:rsidR="003C66EB" w:rsidRDefault="003C66EB">
            <w:pPr>
              <w:rPr>
                <w:rFonts w:ascii="宋体"/>
                <w:vanish/>
              </w:rPr>
            </w:pPr>
          </w:p>
        </w:tc>
        <w:tc>
          <w:tcPr>
            <w:tcW w:w="0" w:type="auto"/>
            <w:gridSpan w:val="3"/>
            <w:shd w:val="clear" w:color="auto" w:fill="auto"/>
          </w:tcPr>
          <w:p w14:paraId="5EA23067" w14:textId="77777777" w:rsidR="003C66EB" w:rsidRDefault="003C66EB">
            <w:pPr>
              <w:rPr>
                <w:rFonts w:ascii="宋体"/>
                <w:vanish/>
              </w:rPr>
            </w:pPr>
          </w:p>
        </w:tc>
        <w:tc>
          <w:tcPr>
            <w:tcW w:w="0" w:type="auto"/>
            <w:gridSpan w:val="3"/>
            <w:shd w:val="clear" w:color="auto" w:fill="auto"/>
          </w:tcPr>
          <w:p w14:paraId="5EA23068" w14:textId="77777777" w:rsidR="003C66EB" w:rsidRDefault="003C66EB">
            <w:pPr>
              <w:rPr>
                <w:rFonts w:ascii="宋体"/>
                <w:vanish/>
              </w:rPr>
            </w:pPr>
          </w:p>
        </w:tc>
        <w:tc>
          <w:tcPr>
            <w:tcW w:w="0" w:type="auto"/>
            <w:gridSpan w:val="3"/>
            <w:shd w:val="clear" w:color="auto" w:fill="auto"/>
          </w:tcPr>
          <w:p w14:paraId="5EA23069" w14:textId="77777777" w:rsidR="003C66EB" w:rsidRDefault="003C66EB">
            <w:pPr>
              <w:rPr>
                <w:rFonts w:ascii="宋体"/>
                <w:vanish/>
              </w:rPr>
            </w:pPr>
          </w:p>
        </w:tc>
        <w:tc>
          <w:tcPr>
            <w:tcW w:w="0" w:type="auto"/>
            <w:gridSpan w:val="3"/>
            <w:shd w:val="clear" w:color="auto" w:fill="auto"/>
          </w:tcPr>
          <w:p w14:paraId="5EA2306A" w14:textId="77777777" w:rsidR="003C66EB" w:rsidRDefault="003C66EB">
            <w:pPr>
              <w:rPr>
                <w:rFonts w:ascii="宋体"/>
                <w:vanish/>
              </w:rPr>
            </w:pPr>
          </w:p>
        </w:tc>
        <w:tc>
          <w:tcPr>
            <w:tcW w:w="0" w:type="auto"/>
            <w:gridSpan w:val="3"/>
            <w:shd w:val="clear" w:color="auto" w:fill="auto"/>
          </w:tcPr>
          <w:p w14:paraId="5EA2306B" w14:textId="77777777" w:rsidR="003C66EB" w:rsidRDefault="003C66EB">
            <w:pPr>
              <w:rPr>
                <w:rFonts w:ascii="宋体"/>
                <w:vanish/>
              </w:rPr>
            </w:pPr>
          </w:p>
        </w:tc>
        <w:tc>
          <w:tcPr>
            <w:tcW w:w="0" w:type="auto"/>
            <w:gridSpan w:val="2"/>
            <w:shd w:val="clear" w:color="auto" w:fill="auto"/>
          </w:tcPr>
          <w:p w14:paraId="5EA2306C" w14:textId="77777777" w:rsidR="003C66EB" w:rsidRDefault="003C66EB">
            <w:pPr>
              <w:rPr>
                <w:rFonts w:ascii="宋体"/>
                <w:vanish/>
              </w:rPr>
            </w:pPr>
          </w:p>
        </w:tc>
        <w:tc>
          <w:tcPr>
            <w:tcW w:w="0" w:type="auto"/>
            <w:shd w:val="clear" w:color="auto" w:fill="auto"/>
          </w:tcPr>
          <w:p w14:paraId="5EA2306D" w14:textId="77777777" w:rsidR="003C66EB" w:rsidRDefault="003C66EB">
            <w:pPr>
              <w:rPr>
                <w:rFonts w:ascii="宋体"/>
                <w:vanish/>
              </w:rPr>
            </w:pPr>
          </w:p>
        </w:tc>
      </w:tr>
      <w:tr w:rsidR="003C66EB" w14:paraId="5EA23085" w14:textId="77777777">
        <w:trPr>
          <w:hidden/>
        </w:trPr>
        <w:tc>
          <w:tcPr>
            <w:tcW w:w="0" w:type="auto"/>
            <w:gridSpan w:val="3"/>
            <w:shd w:val="clear" w:color="auto" w:fill="auto"/>
          </w:tcPr>
          <w:p w14:paraId="5EA2306F" w14:textId="77777777" w:rsidR="003C66EB" w:rsidRDefault="003C66EB">
            <w:pPr>
              <w:rPr>
                <w:rFonts w:ascii="宋体"/>
                <w:vanish/>
              </w:rPr>
            </w:pPr>
          </w:p>
        </w:tc>
        <w:tc>
          <w:tcPr>
            <w:tcW w:w="0" w:type="auto"/>
            <w:gridSpan w:val="3"/>
            <w:shd w:val="clear" w:color="auto" w:fill="auto"/>
          </w:tcPr>
          <w:p w14:paraId="5EA23070" w14:textId="77777777" w:rsidR="003C66EB" w:rsidRDefault="003C66EB">
            <w:pPr>
              <w:rPr>
                <w:rFonts w:ascii="宋体"/>
                <w:vanish/>
              </w:rPr>
            </w:pPr>
          </w:p>
        </w:tc>
        <w:tc>
          <w:tcPr>
            <w:tcW w:w="0" w:type="auto"/>
            <w:gridSpan w:val="3"/>
            <w:shd w:val="clear" w:color="auto" w:fill="auto"/>
          </w:tcPr>
          <w:p w14:paraId="5EA23071" w14:textId="77777777" w:rsidR="003C66EB" w:rsidRDefault="003C66EB">
            <w:pPr>
              <w:rPr>
                <w:rFonts w:ascii="宋体"/>
                <w:vanish/>
              </w:rPr>
            </w:pPr>
          </w:p>
        </w:tc>
        <w:tc>
          <w:tcPr>
            <w:tcW w:w="0" w:type="auto"/>
            <w:gridSpan w:val="3"/>
            <w:shd w:val="clear" w:color="auto" w:fill="auto"/>
          </w:tcPr>
          <w:p w14:paraId="5EA23072" w14:textId="77777777" w:rsidR="003C66EB" w:rsidRDefault="003C66EB">
            <w:pPr>
              <w:rPr>
                <w:rFonts w:ascii="宋体"/>
                <w:vanish/>
              </w:rPr>
            </w:pPr>
          </w:p>
        </w:tc>
        <w:tc>
          <w:tcPr>
            <w:tcW w:w="0" w:type="auto"/>
            <w:gridSpan w:val="3"/>
            <w:shd w:val="clear" w:color="auto" w:fill="auto"/>
          </w:tcPr>
          <w:p w14:paraId="5EA23073" w14:textId="77777777" w:rsidR="003C66EB" w:rsidRDefault="003C66EB">
            <w:pPr>
              <w:rPr>
                <w:rFonts w:ascii="宋体"/>
                <w:vanish/>
              </w:rPr>
            </w:pPr>
          </w:p>
        </w:tc>
        <w:tc>
          <w:tcPr>
            <w:tcW w:w="0" w:type="auto"/>
            <w:gridSpan w:val="3"/>
            <w:shd w:val="clear" w:color="auto" w:fill="auto"/>
          </w:tcPr>
          <w:p w14:paraId="5EA23074" w14:textId="77777777" w:rsidR="003C66EB" w:rsidRDefault="003C66EB">
            <w:pPr>
              <w:rPr>
                <w:rFonts w:ascii="宋体"/>
                <w:vanish/>
              </w:rPr>
            </w:pPr>
          </w:p>
        </w:tc>
        <w:tc>
          <w:tcPr>
            <w:tcW w:w="0" w:type="auto"/>
            <w:gridSpan w:val="3"/>
            <w:shd w:val="clear" w:color="auto" w:fill="auto"/>
          </w:tcPr>
          <w:p w14:paraId="5EA23075" w14:textId="77777777" w:rsidR="003C66EB" w:rsidRDefault="003C66EB">
            <w:pPr>
              <w:rPr>
                <w:rFonts w:ascii="宋体"/>
                <w:vanish/>
              </w:rPr>
            </w:pPr>
          </w:p>
        </w:tc>
        <w:tc>
          <w:tcPr>
            <w:tcW w:w="0" w:type="auto"/>
            <w:gridSpan w:val="3"/>
            <w:shd w:val="clear" w:color="auto" w:fill="auto"/>
          </w:tcPr>
          <w:p w14:paraId="5EA23076" w14:textId="77777777" w:rsidR="003C66EB" w:rsidRDefault="003C66EB">
            <w:pPr>
              <w:rPr>
                <w:rFonts w:ascii="宋体"/>
                <w:vanish/>
              </w:rPr>
            </w:pPr>
          </w:p>
        </w:tc>
        <w:tc>
          <w:tcPr>
            <w:tcW w:w="0" w:type="auto"/>
            <w:gridSpan w:val="3"/>
            <w:shd w:val="clear" w:color="auto" w:fill="auto"/>
          </w:tcPr>
          <w:p w14:paraId="5EA23077" w14:textId="77777777" w:rsidR="003C66EB" w:rsidRDefault="003C66EB">
            <w:pPr>
              <w:rPr>
                <w:rFonts w:ascii="宋体"/>
                <w:vanish/>
              </w:rPr>
            </w:pPr>
          </w:p>
        </w:tc>
        <w:tc>
          <w:tcPr>
            <w:tcW w:w="0" w:type="auto"/>
            <w:shd w:val="clear" w:color="auto" w:fill="auto"/>
          </w:tcPr>
          <w:p w14:paraId="5EA23078" w14:textId="77777777" w:rsidR="003C66EB" w:rsidRDefault="003C66EB">
            <w:pPr>
              <w:rPr>
                <w:rFonts w:ascii="宋体"/>
                <w:vanish/>
              </w:rPr>
            </w:pPr>
          </w:p>
        </w:tc>
        <w:tc>
          <w:tcPr>
            <w:tcW w:w="0" w:type="auto"/>
            <w:shd w:val="clear" w:color="auto" w:fill="auto"/>
          </w:tcPr>
          <w:p w14:paraId="5EA23079" w14:textId="77777777" w:rsidR="003C66EB" w:rsidRDefault="003C66EB">
            <w:pPr>
              <w:rPr>
                <w:rFonts w:ascii="宋体"/>
                <w:vanish/>
              </w:rPr>
            </w:pPr>
          </w:p>
        </w:tc>
        <w:tc>
          <w:tcPr>
            <w:tcW w:w="0" w:type="auto"/>
            <w:gridSpan w:val="3"/>
            <w:shd w:val="clear" w:color="auto" w:fill="auto"/>
          </w:tcPr>
          <w:p w14:paraId="5EA2307A" w14:textId="77777777" w:rsidR="003C66EB" w:rsidRDefault="003C66EB">
            <w:pPr>
              <w:rPr>
                <w:rFonts w:ascii="宋体"/>
                <w:vanish/>
              </w:rPr>
            </w:pPr>
          </w:p>
        </w:tc>
        <w:tc>
          <w:tcPr>
            <w:tcW w:w="0" w:type="auto"/>
            <w:gridSpan w:val="3"/>
            <w:shd w:val="clear" w:color="auto" w:fill="auto"/>
          </w:tcPr>
          <w:p w14:paraId="5EA2307B" w14:textId="77777777" w:rsidR="003C66EB" w:rsidRDefault="003C66EB">
            <w:pPr>
              <w:rPr>
                <w:rFonts w:ascii="宋体"/>
                <w:vanish/>
              </w:rPr>
            </w:pPr>
          </w:p>
        </w:tc>
        <w:tc>
          <w:tcPr>
            <w:tcW w:w="0" w:type="auto"/>
            <w:gridSpan w:val="3"/>
            <w:shd w:val="clear" w:color="auto" w:fill="auto"/>
          </w:tcPr>
          <w:p w14:paraId="5EA2307C" w14:textId="77777777" w:rsidR="003C66EB" w:rsidRDefault="003C66EB">
            <w:pPr>
              <w:rPr>
                <w:rFonts w:ascii="宋体"/>
                <w:vanish/>
              </w:rPr>
            </w:pPr>
          </w:p>
        </w:tc>
        <w:tc>
          <w:tcPr>
            <w:tcW w:w="0" w:type="auto"/>
            <w:gridSpan w:val="3"/>
            <w:shd w:val="clear" w:color="auto" w:fill="auto"/>
          </w:tcPr>
          <w:p w14:paraId="5EA2307D" w14:textId="77777777" w:rsidR="003C66EB" w:rsidRDefault="003C66EB">
            <w:pPr>
              <w:rPr>
                <w:rFonts w:ascii="宋体"/>
                <w:vanish/>
              </w:rPr>
            </w:pPr>
          </w:p>
        </w:tc>
        <w:tc>
          <w:tcPr>
            <w:tcW w:w="0" w:type="auto"/>
            <w:gridSpan w:val="3"/>
            <w:shd w:val="clear" w:color="auto" w:fill="auto"/>
          </w:tcPr>
          <w:p w14:paraId="5EA2307E" w14:textId="77777777" w:rsidR="003C66EB" w:rsidRDefault="003C66EB">
            <w:pPr>
              <w:rPr>
                <w:rFonts w:ascii="宋体"/>
                <w:vanish/>
              </w:rPr>
            </w:pPr>
          </w:p>
        </w:tc>
        <w:tc>
          <w:tcPr>
            <w:tcW w:w="0" w:type="auto"/>
            <w:gridSpan w:val="3"/>
            <w:shd w:val="clear" w:color="auto" w:fill="auto"/>
          </w:tcPr>
          <w:p w14:paraId="5EA2307F" w14:textId="77777777" w:rsidR="003C66EB" w:rsidRDefault="003C66EB">
            <w:pPr>
              <w:rPr>
                <w:rFonts w:ascii="宋体"/>
                <w:vanish/>
              </w:rPr>
            </w:pPr>
          </w:p>
        </w:tc>
        <w:tc>
          <w:tcPr>
            <w:tcW w:w="0" w:type="auto"/>
            <w:gridSpan w:val="3"/>
            <w:shd w:val="clear" w:color="auto" w:fill="auto"/>
          </w:tcPr>
          <w:p w14:paraId="5EA23080" w14:textId="77777777" w:rsidR="003C66EB" w:rsidRDefault="003C66EB">
            <w:pPr>
              <w:rPr>
                <w:rFonts w:ascii="宋体"/>
                <w:vanish/>
              </w:rPr>
            </w:pPr>
          </w:p>
        </w:tc>
        <w:tc>
          <w:tcPr>
            <w:tcW w:w="0" w:type="auto"/>
            <w:gridSpan w:val="3"/>
            <w:shd w:val="clear" w:color="auto" w:fill="auto"/>
          </w:tcPr>
          <w:p w14:paraId="5EA23081" w14:textId="77777777" w:rsidR="003C66EB" w:rsidRDefault="003C66EB">
            <w:pPr>
              <w:rPr>
                <w:rFonts w:ascii="宋体"/>
                <w:vanish/>
              </w:rPr>
            </w:pPr>
          </w:p>
        </w:tc>
        <w:tc>
          <w:tcPr>
            <w:tcW w:w="0" w:type="auto"/>
            <w:gridSpan w:val="3"/>
            <w:shd w:val="clear" w:color="auto" w:fill="auto"/>
          </w:tcPr>
          <w:p w14:paraId="5EA23082" w14:textId="77777777" w:rsidR="003C66EB" w:rsidRDefault="003C66EB">
            <w:pPr>
              <w:rPr>
                <w:rFonts w:ascii="宋体"/>
                <w:vanish/>
              </w:rPr>
            </w:pPr>
          </w:p>
        </w:tc>
        <w:tc>
          <w:tcPr>
            <w:tcW w:w="0" w:type="auto"/>
            <w:gridSpan w:val="2"/>
            <w:shd w:val="clear" w:color="auto" w:fill="auto"/>
          </w:tcPr>
          <w:p w14:paraId="5EA23083" w14:textId="77777777" w:rsidR="003C66EB" w:rsidRDefault="003C66EB">
            <w:pPr>
              <w:rPr>
                <w:rFonts w:ascii="宋体"/>
                <w:vanish/>
              </w:rPr>
            </w:pPr>
          </w:p>
        </w:tc>
        <w:tc>
          <w:tcPr>
            <w:tcW w:w="0" w:type="auto"/>
            <w:shd w:val="clear" w:color="auto" w:fill="auto"/>
          </w:tcPr>
          <w:p w14:paraId="5EA23084" w14:textId="77777777" w:rsidR="003C66EB" w:rsidRDefault="003C66EB">
            <w:pPr>
              <w:rPr>
                <w:rFonts w:ascii="宋体"/>
                <w:vanish/>
              </w:rPr>
            </w:pPr>
          </w:p>
        </w:tc>
      </w:tr>
      <w:tr w:rsidR="003C66EB" w14:paraId="5EA2309C" w14:textId="77777777">
        <w:trPr>
          <w:hidden/>
        </w:trPr>
        <w:tc>
          <w:tcPr>
            <w:tcW w:w="0" w:type="auto"/>
            <w:gridSpan w:val="3"/>
            <w:shd w:val="clear" w:color="auto" w:fill="auto"/>
          </w:tcPr>
          <w:p w14:paraId="5EA23086" w14:textId="77777777" w:rsidR="003C66EB" w:rsidRDefault="003C66EB">
            <w:pPr>
              <w:rPr>
                <w:rFonts w:ascii="宋体"/>
                <w:vanish/>
              </w:rPr>
            </w:pPr>
          </w:p>
        </w:tc>
        <w:tc>
          <w:tcPr>
            <w:tcW w:w="0" w:type="auto"/>
            <w:gridSpan w:val="3"/>
            <w:shd w:val="clear" w:color="auto" w:fill="auto"/>
          </w:tcPr>
          <w:p w14:paraId="5EA23087" w14:textId="77777777" w:rsidR="003C66EB" w:rsidRDefault="003C66EB">
            <w:pPr>
              <w:rPr>
                <w:rFonts w:ascii="宋体"/>
                <w:vanish/>
              </w:rPr>
            </w:pPr>
          </w:p>
        </w:tc>
        <w:tc>
          <w:tcPr>
            <w:tcW w:w="0" w:type="auto"/>
            <w:gridSpan w:val="3"/>
            <w:shd w:val="clear" w:color="auto" w:fill="auto"/>
          </w:tcPr>
          <w:p w14:paraId="5EA23088" w14:textId="77777777" w:rsidR="003C66EB" w:rsidRDefault="003C66EB">
            <w:pPr>
              <w:rPr>
                <w:rFonts w:ascii="宋体"/>
                <w:vanish/>
              </w:rPr>
            </w:pPr>
          </w:p>
        </w:tc>
        <w:tc>
          <w:tcPr>
            <w:tcW w:w="0" w:type="auto"/>
            <w:gridSpan w:val="3"/>
            <w:shd w:val="clear" w:color="auto" w:fill="auto"/>
          </w:tcPr>
          <w:p w14:paraId="5EA23089" w14:textId="77777777" w:rsidR="003C66EB" w:rsidRDefault="003C66EB">
            <w:pPr>
              <w:rPr>
                <w:rFonts w:ascii="宋体"/>
                <w:vanish/>
              </w:rPr>
            </w:pPr>
          </w:p>
        </w:tc>
        <w:tc>
          <w:tcPr>
            <w:tcW w:w="0" w:type="auto"/>
            <w:gridSpan w:val="3"/>
            <w:shd w:val="clear" w:color="auto" w:fill="auto"/>
          </w:tcPr>
          <w:p w14:paraId="5EA2308A" w14:textId="77777777" w:rsidR="003C66EB" w:rsidRDefault="003C66EB">
            <w:pPr>
              <w:rPr>
                <w:rFonts w:ascii="宋体"/>
                <w:vanish/>
              </w:rPr>
            </w:pPr>
          </w:p>
        </w:tc>
        <w:tc>
          <w:tcPr>
            <w:tcW w:w="0" w:type="auto"/>
            <w:gridSpan w:val="3"/>
            <w:shd w:val="clear" w:color="auto" w:fill="auto"/>
          </w:tcPr>
          <w:p w14:paraId="5EA2308B" w14:textId="77777777" w:rsidR="003C66EB" w:rsidRDefault="003C66EB">
            <w:pPr>
              <w:rPr>
                <w:rFonts w:ascii="宋体"/>
                <w:vanish/>
              </w:rPr>
            </w:pPr>
          </w:p>
        </w:tc>
        <w:tc>
          <w:tcPr>
            <w:tcW w:w="0" w:type="auto"/>
            <w:gridSpan w:val="3"/>
            <w:shd w:val="clear" w:color="auto" w:fill="auto"/>
          </w:tcPr>
          <w:p w14:paraId="5EA2308C" w14:textId="77777777" w:rsidR="003C66EB" w:rsidRDefault="003C66EB">
            <w:pPr>
              <w:rPr>
                <w:rFonts w:ascii="宋体"/>
                <w:vanish/>
              </w:rPr>
            </w:pPr>
          </w:p>
        </w:tc>
        <w:tc>
          <w:tcPr>
            <w:tcW w:w="0" w:type="auto"/>
            <w:gridSpan w:val="3"/>
            <w:shd w:val="clear" w:color="auto" w:fill="auto"/>
          </w:tcPr>
          <w:p w14:paraId="5EA2308D" w14:textId="77777777" w:rsidR="003C66EB" w:rsidRDefault="003C66EB">
            <w:pPr>
              <w:rPr>
                <w:rFonts w:ascii="宋体"/>
                <w:vanish/>
              </w:rPr>
            </w:pPr>
          </w:p>
        </w:tc>
        <w:tc>
          <w:tcPr>
            <w:tcW w:w="0" w:type="auto"/>
            <w:gridSpan w:val="3"/>
            <w:shd w:val="clear" w:color="auto" w:fill="auto"/>
          </w:tcPr>
          <w:p w14:paraId="5EA2308E" w14:textId="77777777" w:rsidR="003C66EB" w:rsidRDefault="003C66EB">
            <w:pPr>
              <w:rPr>
                <w:rFonts w:ascii="宋体"/>
                <w:vanish/>
              </w:rPr>
            </w:pPr>
          </w:p>
        </w:tc>
        <w:tc>
          <w:tcPr>
            <w:tcW w:w="0" w:type="auto"/>
            <w:shd w:val="clear" w:color="auto" w:fill="auto"/>
          </w:tcPr>
          <w:p w14:paraId="5EA2308F" w14:textId="77777777" w:rsidR="003C66EB" w:rsidRDefault="003C66EB">
            <w:pPr>
              <w:rPr>
                <w:rFonts w:ascii="宋体"/>
                <w:vanish/>
              </w:rPr>
            </w:pPr>
          </w:p>
        </w:tc>
        <w:tc>
          <w:tcPr>
            <w:tcW w:w="0" w:type="auto"/>
            <w:shd w:val="clear" w:color="auto" w:fill="auto"/>
          </w:tcPr>
          <w:p w14:paraId="5EA23090" w14:textId="77777777" w:rsidR="003C66EB" w:rsidRDefault="003C66EB">
            <w:pPr>
              <w:rPr>
                <w:rFonts w:ascii="宋体"/>
                <w:vanish/>
              </w:rPr>
            </w:pPr>
          </w:p>
        </w:tc>
        <w:tc>
          <w:tcPr>
            <w:tcW w:w="0" w:type="auto"/>
            <w:gridSpan w:val="3"/>
            <w:shd w:val="clear" w:color="auto" w:fill="auto"/>
          </w:tcPr>
          <w:p w14:paraId="5EA23091" w14:textId="77777777" w:rsidR="003C66EB" w:rsidRDefault="003C66EB">
            <w:pPr>
              <w:rPr>
                <w:rFonts w:ascii="宋体"/>
                <w:vanish/>
              </w:rPr>
            </w:pPr>
          </w:p>
        </w:tc>
        <w:tc>
          <w:tcPr>
            <w:tcW w:w="0" w:type="auto"/>
            <w:gridSpan w:val="3"/>
            <w:shd w:val="clear" w:color="auto" w:fill="auto"/>
          </w:tcPr>
          <w:p w14:paraId="5EA23092" w14:textId="77777777" w:rsidR="003C66EB" w:rsidRDefault="003C66EB">
            <w:pPr>
              <w:rPr>
                <w:rFonts w:ascii="宋体"/>
                <w:vanish/>
              </w:rPr>
            </w:pPr>
          </w:p>
        </w:tc>
        <w:tc>
          <w:tcPr>
            <w:tcW w:w="0" w:type="auto"/>
            <w:gridSpan w:val="3"/>
            <w:shd w:val="clear" w:color="auto" w:fill="auto"/>
          </w:tcPr>
          <w:p w14:paraId="5EA23093" w14:textId="77777777" w:rsidR="003C66EB" w:rsidRDefault="003C66EB">
            <w:pPr>
              <w:rPr>
                <w:rFonts w:ascii="宋体"/>
                <w:vanish/>
              </w:rPr>
            </w:pPr>
          </w:p>
        </w:tc>
        <w:tc>
          <w:tcPr>
            <w:tcW w:w="0" w:type="auto"/>
            <w:gridSpan w:val="3"/>
            <w:shd w:val="clear" w:color="auto" w:fill="auto"/>
          </w:tcPr>
          <w:p w14:paraId="5EA23094" w14:textId="77777777" w:rsidR="003C66EB" w:rsidRDefault="003C66EB">
            <w:pPr>
              <w:rPr>
                <w:rFonts w:ascii="宋体"/>
                <w:vanish/>
              </w:rPr>
            </w:pPr>
          </w:p>
        </w:tc>
        <w:tc>
          <w:tcPr>
            <w:tcW w:w="0" w:type="auto"/>
            <w:gridSpan w:val="3"/>
            <w:shd w:val="clear" w:color="auto" w:fill="auto"/>
          </w:tcPr>
          <w:p w14:paraId="5EA23095" w14:textId="77777777" w:rsidR="003C66EB" w:rsidRDefault="003C66EB">
            <w:pPr>
              <w:rPr>
                <w:rFonts w:ascii="宋体"/>
                <w:vanish/>
              </w:rPr>
            </w:pPr>
          </w:p>
        </w:tc>
        <w:tc>
          <w:tcPr>
            <w:tcW w:w="0" w:type="auto"/>
            <w:gridSpan w:val="3"/>
            <w:shd w:val="clear" w:color="auto" w:fill="auto"/>
          </w:tcPr>
          <w:p w14:paraId="5EA23096" w14:textId="77777777" w:rsidR="003C66EB" w:rsidRDefault="003C66EB">
            <w:pPr>
              <w:rPr>
                <w:rFonts w:ascii="宋体"/>
                <w:vanish/>
              </w:rPr>
            </w:pPr>
          </w:p>
        </w:tc>
        <w:tc>
          <w:tcPr>
            <w:tcW w:w="0" w:type="auto"/>
            <w:gridSpan w:val="3"/>
            <w:shd w:val="clear" w:color="auto" w:fill="auto"/>
          </w:tcPr>
          <w:p w14:paraId="5EA23097" w14:textId="77777777" w:rsidR="003C66EB" w:rsidRDefault="003C66EB">
            <w:pPr>
              <w:rPr>
                <w:rFonts w:ascii="宋体"/>
                <w:vanish/>
              </w:rPr>
            </w:pPr>
          </w:p>
        </w:tc>
        <w:tc>
          <w:tcPr>
            <w:tcW w:w="0" w:type="auto"/>
            <w:gridSpan w:val="3"/>
            <w:shd w:val="clear" w:color="auto" w:fill="auto"/>
          </w:tcPr>
          <w:p w14:paraId="5EA23098" w14:textId="77777777" w:rsidR="003C66EB" w:rsidRDefault="003C66EB">
            <w:pPr>
              <w:rPr>
                <w:rFonts w:ascii="宋体"/>
                <w:vanish/>
              </w:rPr>
            </w:pPr>
          </w:p>
        </w:tc>
        <w:tc>
          <w:tcPr>
            <w:tcW w:w="0" w:type="auto"/>
            <w:gridSpan w:val="3"/>
            <w:shd w:val="clear" w:color="auto" w:fill="auto"/>
          </w:tcPr>
          <w:p w14:paraId="5EA23099" w14:textId="77777777" w:rsidR="003C66EB" w:rsidRDefault="003C66EB">
            <w:pPr>
              <w:rPr>
                <w:rFonts w:ascii="宋体"/>
                <w:vanish/>
              </w:rPr>
            </w:pPr>
          </w:p>
        </w:tc>
        <w:tc>
          <w:tcPr>
            <w:tcW w:w="0" w:type="auto"/>
            <w:gridSpan w:val="2"/>
            <w:shd w:val="clear" w:color="auto" w:fill="auto"/>
          </w:tcPr>
          <w:p w14:paraId="5EA2309A" w14:textId="77777777" w:rsidR="003C66EB" w:rsidRDefault="003C66EB">
            <w:pPr>
              <w:rPr>
                <w:rFonts w:ascii="宋体"/>
                <w:vanish/>
              </w:rPr>
            </w:pPr>
          </w:p>
        </w:tc>
        <w:tc>
          <w:tcPr>
            <w:tcW w:w="0" w:type="auto"/>
            <w:shd w:val="clear" w:color="auto" w:fill="auto"/>
          </w:tcPr>
          <w:p w14:paraId="5EA2309B" w14:textId="77777777" w:rsidR="003C66EB" w:rsidRDefault="003C66EB">
            <w:pPr>
              <w:rPr>
                <w:rFonts w:ascii="宋体"/>
                <w:vanish/>
              </w:rPr>
            </w:pPr>
          </w:p>
        </w:tc>
      </w:tr>
      <w:tr w:rsidR="003C66EB" w14:paraId="5EA230B3" w14:textId="77777777">
        <w:trPr>
          <w:hidden/>
        </w:trPr>
        <w:tc>
          <w:tcPr>
            <w:tcW w:w="0" w:type="auto"/>
            <w:gridSpan w:val="3"/>
            <w:shd w:val="clear" w:color="auto" w:fill="auto"/>
          </w:tcPr>
          <w:p w14:paraId="5EA2309D" w14:textId="77777777" w:rsidR="003C66EB" w:rsidRDefault="003C66EB">
            <w:pPr>
              <w:rPr>
                <w:rFonts w:ascii="宋体"/>
                <w:vanish/>
              </w:rPr>
            </w:pPr>
          </w:p>
        </w:tc>
        <w:tc>
          <w:tcPr>
            <w:tcW w:w="0" w:type="auto"/>
            <w:gridSpan w:val="3"/>
            <w:shd w:val="clear" w:color="auto" w:fill="auto"/>
          </w:tcPr>
          <w:p w14:paraId="5EA2309E" w14:textId="77777777" w:rsidR="003C66EB" w:rsidRDefault="003C66EB">
            <w:pPr>
              <w:rPr>
                <w:rFonts w:ascii="宋体"/>
                <w:vanish/>
              </w:rPr>
            </w:pPr>
          </w:p>
        </w:tc>
        <w:tc>
          <w:tcPr>
            <w:tcW w:w="0" w:type="auto"/>
            <w:gridSpan w:val="3"/>
            <w:shd w:val="clear" w:color="auto" w:fill="auto"/>
          </w:tcPr>
          <w:p w14:paraId="5EA2309F" w14:textId="77777777" w:rsidR="003C66EB" w:rsidRDefault="003C66EB">
            <w:pPr>
              <w:rPr>
                <w:rFonts w:ascii="宋体"/>
                <w:vanish/>
              </w:rPr>
            </w:pPr>
          </w:p>
        </w:tc>
        <w:tc>
          <w:tcPr>
            <w:tcW w:w="0" w:type="auto"/>
            <w:gridSpan w:val="3"/>
            <w:shd w:val="clear" w:color="auto" w:fill="auto"/>
          </w:tcPr>
          <w:p w14:paraId="5EA230A0" w14:textId="77777777" w:rsidR="003C66EB" w:rsidRDefault="003C66EB">
            <w:pPr>
              <w:rPr>
                <w:rFonts w:ascii="宋体"/>
                <w:vanish/>
              </w:rPr>
            </w:pPr>
          </w:p>
        </w:tc>
        <w:tc>
          <w:tcPr>
            <w:tcW w:w="0" w:type="auto"/>
            <w:gridSpan w:val="3"/>
            <w:shd w:val="clear" w:color="auto" w:fill="auto"/>
          </w:tcPr>
          <w:p w14:paraId="5EA230A1" w14:textId="77777777" w:rsidR="003C66EB" w:rsidRDefault="003C66EB">
            <w:pPr>
              <w:rPr>
                <w:rFonts w:ascii="宋体"/>
                <w:vanish/>
              </w:rPr>
            </w:pPr>
          </w:p>
        </w:tc>
        <w:tc>
          <w:tcPr>
            <w:tcW w:w="0" w:type="auto"/>
            <w:gridSpan w:val="3"/>
            <w:shd w:val="clear" w:color="auto" w:fill="auto"/>
          </w:tcPr>
          <w:p w14:paraId="5EA230A2" w14:textId="77777777" w:rsidR="003C66EB" w:rsidRDefault="003C66EB">
            <w:pPr>
              <w:rPr>
                <w:rFonts w:ascii="宋体"/>
                <w:vanish/>
              </w:rPr>
            </w:pPr>
          </w:p>
        </w:tc>
        <w:tc>
          <w:tcPr>
            <w:tcW w:w="0" w:type="auto"/>
            <w:gridSpan w:val="3"/>
            <w:shd w:val="clear" w:color="auto" w:fill="auto"/>
          </w:tcPr>
          <w:p w14:paraId="5EA230A3" w14:textId="77777777" w:rsidR="003C66EB" w:rsidRDefault="003C66EB">
            <w:pPr>
              <w:rPr>
                <w:rFonts w:ascii="宋体"/>
                <w:vanish/>
              </w:rPr>
            </w:pPr>
          </w:p>
        </w:tc>
        <w:tc>
          <w:tcPr>
            <w:tcW w:w="0" w:type="auto"/>
            <w:gridSpan w:val="3"/>
            <w:shd w:val="clear" w:color="auto" w:fill="auto"/>
          </w:tcPr>
          <w:p w14:paraId="5EA230A4" w14:textId="77777777" w:rsidR="003C66EB" w:rsidRDefault="003C66EB">
            <w:pPr>
              <w:rPr>
                <w:rFonts w:ascii="宋体"/>
                <w:vanish/>
              </w:rPr>
            </w:pPr>
          </w:p>
        </w:tc>
        <w:tc>
          <w:tcPr>
            <w:tcW w:w="0" w:type="auto"/>
            <w:gridSpan w:val="3"/>
            <w:shd w:val="clear" w:color="auto" w:fill="auto"/>
          </w:tcPr>
          <w:p w14:paraId="5EA230A5" w14:textId="77777777" w:rsidR="003C66EB" w:rsidRDefault="003C66EB">
            <w:pPr>
              <w:rPr>
                <w:rFonts w:ascii="宋体"/>
                <w:vanish/>
              </w:rPr>
            </w:pPr>
          </w:p>
        </w:tc>
        <w:tc>
          <w:tcPr>
            <w:tcW w:w="0" w:type="auto"/>
            <w:shd w:val="clear" w:color="auto" w:fill="auto"/>
          </w:tcPr>
          <w:p w14:paraId="5EA230A6" w14:textId="77777777" w:rsidR="003C66EB" w:rsidRDefault="003C66EB">
            <w:pPr>
              <w:rPr>
                <w:rFonts w:ascii="宋体"/>
                <w:vanish/>
              </w:rPr>
            </w:pPr>
          </w:p>
        </w:tc>
        <w:tc>
          <w:tcPr>
            <w:tcW w:w="0" w:type="auto"/>
            <w:shd w:val="clear" w:color="auto" w:fill="auto"/>
          </w:tcPr>
          <w:p w14:paraId="5EA230A7" w14:textId="77777777" w:rsidR="003C66EB" w:rsidRDefault="003C66EB">
            <w:pPr>
              <w:rPr>
                <w:rFonts w:ascii="宋体"/>
                <w:vanish/>
              </w:rPr>
            </w:pPr>
          </w:p>
        </w:tc>
        <w:tc>
          <w:tcPr>
            <w:tcW w:w="0" w:type="auto"/>
            <w:gridSpan w:val="3"/>
            <w:shd w:val="clear" w:color="auto" w:fill="auto"/>
          </w:tcPr>
          <w:p w14:paraId="5EA230A8" w14:textId="77777777" w:rsidR="003C66EB" w:rsidRDefault="003C66EB">
            <w:pPr>
              <w:rPr>
                <w:rFonts w:ascii="宋体"/>
                <w:vanish/>
              </w:rPr>
            </w:pPr>
          </w:p>
        </w:tc>
        <w:tc>
          <w:tcPr>
            <w:tcW w:w="0" w:type="auto"/>
            <w:gridSpan w:val="3"/>
            <w:shd w:val="clear" w:color="auto" w:fill="auto"/>
          </w:tcPr>
          <w:p w14:paraId="5EA230A9" w14:textId="77777777" w:rsidR="003C66EB" w:rsidRDefault="003C66EB">
            <w:pPr>
              <w:rPr>
                <w:rFonts w:ascii="宋体"/>
                <w:vanish/>
              </w:rPr>
            </w:pPr>
          </w:p>
        </w:tc>
        <w:tc>
          <w:tcPr>
            <w:tcW w:w="0" w:type="auto"/>
            <w:gridSpan w:val="3"/>
            <w:shd w:val="clear" w:color="auto" w:fill="auto"/>
          </w:tcPr>
          <w:p w14:paraId="5EA230AA" w14:textId="77777777" w:rsidR="003C66EB" w:rsidRDefault="003C66EB">
            <w:pPr>
              <w:rPr>
                <w:rFonts w:ascii="宋体"/>
                <w:vanish/>
              </w:rPr>
            </w:pPr>
          </w:p>
        </w:tc>
        <w:tc>
          <w:tcPr>
            <w:tcW w:w="0" w:type="auto"/>
            <w:gridSpan w:val="3"/>
            <w:shd w:val="clear" w:color="auto" w:fill="auto"/>
          </w:tcPr>
          <w:p w14:paraId="5EA230AB" w14:textId="77777777" w:rsidR="003C66EB" w:rsidRDefault="003C66EB">
            <w:pPr>
              <w:rPr>
                <w:rFonts w:ascii="宋体"/>
                <w:vanish/>
              </w:rPr>
            </w:pPr>
          </w:p>
        </w:tc>
        <w:tc>
          <w:tcPr>
            <w:tcW w:w="0" w:type="auto"/>
            <w:gridSpan w:val="3"/>
            <w:shd w:val="clear" w:color="auto" w:fill="auto"/>
          </w:tcPr>
          <w:p w14:paraId="5EA230AC" w14:textId="77777777" w:rsidR="003C66EB" w:rsidRDefault="003C66EB">
            <w:pPr>
              <w:rPr>
                <w:rFonts w:ascii="宋体"/>
                <w:vanish/>
              </w:rPr>
            </w:pPr>
          </w:p>
        </w:tc>
        <w:tc>
          <w:tcPr>
            <w:tcW w:w="0" w:type="auto"/>
            <w:gridSpan w:val="3"/>
            <w:shd w:val="clear" w:color="auto" w:fill="auto"/>
          </w:tcPr>
          <w:p w14:paraId="5EA230AD" w14:textId="77777777" w:rsidR="003C66EB" w:rsidRDefault="003C66EB">
            <w:pPr>
              <w:rPr>
                <w:rFonts w:ascii="宋体"/>
                <w:vanish/>
              </w:rPr>
            </w:pPr>
          </w:p>
        </w:tc>
        <w:tc>
          <w:tcPr>
            <w:tcW w:w="0" w:type="auto"/>
            <w:gridSpan w:val="3"/>
            <w:shd w:val="clear" w:color="auto" w:fill="auto"/>
          </w:tcPr>
          <w:p w14:paraId="5EA230AE" w14:textId="77777777" w:rsidR="003C66EB" w:rsidRDefault="003C66EB">
            <w:pPr>
              <w:rPr>
                <w:rFonts w:ascii="宋体"/>
                <w:vanish/>
              </w:rPr>
            </w:pPr>
          </w:p>
        </w:tc>
        <w:tc>
          <w:tcPr>
            <w:tcW w:w="0" w:type="auto"/>
            <w:gridSpan w:val="3"/>
            <w:shd w:val="clear" w:color="auto" w:fill="auto"/>
          </w:tcPr>
          <w:p w14:paraId="5EA230AF" w14:textId="77777777" w:rsidR="003C66EB" w:rsidRDefault="003C66EB">
            <w:pPr>
              <w:rPr>
                <w:rFonts w:ascii="宋体"/>
                <w:vanish/>
              </w:rPr>
            </w:pPr>
          </w:p>
        </w:tc>
        <w:tc>
          <w:tcPr>
            <w:tcW w:w="0" w:type="auto"/>
            <w:gridSpan w:val="3"/>
            <w:shd w:val="clear" w:color="auto" w:fill="auto"/>
          </w:tcPr>
          <w:p w14:paraId="5EA230B0" w14:textId="77777777" w:rsidR="003C66EB" w:rsidRDefault="003C66EB">
            <w:pPr>
              <w:rPr>
                <w:rFonts w:ascii="宋体"/>
                <w:vanish/>
              </w:rPr>
            </w:pPr>
          </w:p>
        </w:tc>
        <w:tc>
          <w:tcPr>
            <w:tcW w:w="0" w:type="auto"/>
            <w:gridSpan w:val="2"/>
            <w:shd w:val="clear" w:color="auto" w:fill="auto"/>
          </w:tcPr>
          <w:p w14:paraId="5EA230B1" w14:textId="77777777" w:rsidR="003C66EB" w:rsidRDefault="003C66EB">
            <w:pPr>
              <w:rPr>
                <w:rFonts w:ascii="宋体"/>
                <w:vanish/>
              </w:rPr>
            </w:pPr>
          </w:p>
        </w:tc>
        <w:tc>
          <w:tcPr>
            <w:tcW w:w="0" w:type="auto"/>
            <w:shd w:val="clear" w:color="auto" w:fill="auto"/>
          </w:tcPr>
          <w:p w14:paraId="5EA230B2" w14:textId="77777777" w:rsidR="003C66EB" w:rsidRDefault="003C66EB">
            <w:pPr>
              <w:rPr>
                <w:rFonts w:ascii="宋体"/>
                <w:vanish/>
              </w:rPr>
            </w:pPr>
          </w:p>
        </w:tc>
      </w:tr>
      <w:tr w:rsidR="003C66EB" w14:paraId="5EA230D2" w14:textId="77777777">
        <w:tc>
          <w:tcPr>
            <w:tcW w:w="0" w:type="auto"/>
            <w:gridSpan w:val="3"/>
            <w:shd w:val="clear" w:color="auto" w:fill="CCEEFF"/>
            <w:tcMar>
              <w:top w:w="40" w:type="dxa"/>
              <w:left w:w="20" w:type="dxa"/>
              <w:bottom w:w="40" w:type="dxa"/>
              <w:right w:w="20" w:type="dxa"/>
            </w:tcMar>
            <w:vAlign w:val="center"/>
          </w:tcPr>
          <w:p w14:paraId="5EA230B4" w14:textId="77777777" w:rsidR="003C66EB" w:rsidRDefault="00D96C4E">
            <w:pPr>
              <w:textAlignment w:val="center"/>
            </w:pPr>
            <w:r>
              <w:rPr>
                <w:rFonts w:ascii="Arial" w:eastAsia="宋体" w:hAnsi="Arial" w:cs="Arial"/>
                <w:color w:val="000000"/>
                <w:sz w:val="12"/>
                <w:szCs w:val="12"/>
              </w:rPr>
              <w:t>Other U.S. debt securities</w:t>
            </w:r>
          </w:p>
        </w:tc>
        <w:tc>
          <w:tcPr>
            <w:tcW w:w="0" w:type="auto"/>
            <w:gridSpan w:val="3"/>
            <w:shd w:val="clear" w:color="auto" w:fill="CCEEFF"/>
            <w:tcMar>
              <w:top w:w="40" w:type="dxa"/>
              <w:left w:w="20" w:type="dxa"/>
              <w:bottom w:w="40" w:type="dxa"/>
              <w:right w:w="20" w:type="dxa"/>
            </w:tcMar>
            <w:vAlign w:val="center"/>
          </w:tcPr>
          <w:p w14:paraId="5EA230B5" w14:textId="77777777" w:rsidR="003C66EB" w:rsidRDefault="00D96C4E">
            <w:pPr>
              <w:jc w:val="right"/>
              <w:textAlignment w:val="center"/>
            </w:pPr>
            <w:r>
              <w:rPr>
                <w:rFonts w:ascii="Arial" w:eastAsia="宋体" w:hAnsi="Arial" w:cs="Arial"/>
                <w:b/>
                <w:bCs/>
                <w:color w:val="000000"/>
                <w:sz w:val="12"/>
                <w:szCs w:val="12"/>
              </w:rPr>
              <w:t> </w:t>
            </w:r>
          </w:p>
        </w:tc>
        <w:tc>
          <w:tcPr>
            <w:tcW w:w="0" w:type="auto"/>
            <w:gridSpan w:val="3"/>
            <w:shd w:val="clear" w:color="auto" w:fill="CCEEFF"/>
            <w:tcMar>
              <w:top w:w="0" w:type="dxa"/>
              <w:left w:w="20" w:type="dxa"/>
              <w:bottom w:w="0" w:type="dxa"/>
              <w:right w:w="20" w:type="dxa"/>
            </w:tcMar>
          </w:tcPr>
          <w:p w14:paraId="5EA230B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B7"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B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BA"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B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BD"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BF" w14:textId="77777777" w:rsidR="003C66EB" w:rsidRDefault="003C66EB">
            <w:pPr>
              <w:rPr>
                <w:rFonts w:ascii="宋体"/>
              </w:rPr>
            </w:pPr>
          </w:p>
        </w:tc>
        <w:tc>
          <w:tcPr>
            <w:tcW w:w="0" w:type="auto"/>
            <w:shd w:val="clear" w:color="auto" w:fill="auto"/>
          </w:tcPr>
          <w:p w14:paraId="5EA230C0" w14:textId="77777777" w:rsidR="003C66EB" w:rsidRDefault="003C66EB">
            <w:pPr>
              <w:rPr>
                <w:rFonts w:ascii="宋体"/>
                <w:vanish/>
              </w:rPr>
            </w:pPr>
          </w:p>
        </w:tc>
        <w:tc>
          <w:tcPr>
            <w:tcW w:w="0" w:type="auto"/>
            <w:shd w:val="clear" w:color="auto" w:fill="auto"/>
          </w:tcPr>
          <w:p w14:paraId="5EA230C1"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center"/>
          </w:tcPr>
          <w:p w14:paraId="5EA230C2"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C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C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C5"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C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C8" w14:textId="77777777" w:rsidR="003C66EB" w:rsidRDefault="00D96C4E">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C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CB"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0C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0CE" w14:textId="77777777" w:rsidR="003C66EB" w:rsidRDefault="00D96C4E">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0CF"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0D0" w14:textId="77777777" w:rsidR="003C66EB" w:rsidRDefault="003C66EB">
            <w:pPr>
              <w:rPr>
                <w:rFonts w:ascii="宋体"/>
              </w:rPr>
            </w:pPr>
          </w:p>
        </w:tc>
        <w:tc>
          <w:tcPr>
            <w:tcW w:w="0" w:type="auto"/>
            <w:shd w:val="clear" w:color="auto" w:fill="CCEEFF"/>
            <w:tcMar>
              <w:top w:w="0" w:type="dxa"/>
              <w:left w:w="20" w:type="dxa"/>
              <w:bottom w:w="0" w:type="dxa"/>
              <w:right w:w="20" w:type="dxa"/>
            </w:tcMar>
          </w:tcPr>
          <w:p w14:paraId="5EA230D1" w14:textId="77777777" w:rsidR="003C66EB" w:rsidRDefault="003C66EB">
            <w:pPr>
              <w:rPr>
                <w:rFonts w:ascii="宋体"/>
              </w:rPr>
            </w:pPr>
          </w:p>
        </w:tc>
      </w:tr>
      <w:tr w:rsidR="003C66EB" w14:paraId="5EA230F2" w14:textId="77777777">
        <w:tc>
          <w:tcPr>
            <w:tcW w:w="0" w:type="auto"/>
            <w:gridSpan w:val="3"/>
            <w:shd w:val="clear" w:color="auto" w:fill="FFFFFF"/>
            <w:tcMar>
              <w:top w:w="40" w:type="dxa"/>
              <w:left w:w="20" w:type="dxa"/>
              <w:bottom w:w="40" w:type="dxa"/>
              <w:right w:w="20" w:type="dxa"/>
            </w:tcMar>
            <w:vAlign w:val="center"/>
          </w:tcPr>
          <w:p w14:paraId="5EA230D3" w14:textId="77777777" w:rsidR="003C66EB" w:rsidRDefault="00D96C4E">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D4" w14:textId="77777777" w:rsidR="003C66EB" w:rsidRDefault="00D96C4E">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D5" w14:textId="77777777" w:rsidR="003C66EB" w:rsidRDefault="003C66E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0D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D7"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D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DA"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D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DD" w14:textId="77777777" w:rsidR="003C66EB" w:rsidRDefault="00D96C4E">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DE" w14:textId="77777777" w:rsidR="003C66EB" w:rsidRDefault="003C66E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0DF" w14:textId="77777777" w:rsidR="003C66EB" w:rsidRDefault="003C66EB">
            <w:pPr>
              <w:rPr>
                <w:rFonts w:ascii="宋体"/>
              </w:rPr>
            </w:pPr>
          </w:p>
        </w:tc>
        <w:tc>
          <w:tcPr>
            <w:tcW w:w="0" w:type="auto"/>
            <w:shd w:val="clear" w:color="auto" w:fill="auto"/>
          </w:tcPr>
          <w:p w14:paraId="5EA230E0" w14:textId="77777777" w:rsidR="003C66EB" w:rsidRDefault="003C66EB">
            <w:pPr>
              <w:rPr>
                <w:rFonts w:ascii="宋体"/>
                <w:vanish/>
              </w:rPr>
            </w:pPr>
          </w:p>
        </w:tc>
        <w:tc>
          <w:tcPr>
            <w:tcW w:w="0" w:type="auto"/>
            <w:shd w:val="clear" w:color="auto" w:fill="auto"/>
          </w:tcPr>
          <w:p w14:paraId="5EA230E1"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E2"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E3" w14:textId="77777777" w:rsidR="003C66EB" w:rsidRDefault="003C66E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0E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E5"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E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E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E8" w14:textId="77777777" w:rsidR="003C66EB" w:rsidRDefault="00D96C4E">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E9" w14:textId="77777777" w:rsidR="003C66EB" w:rsidRDefault="003C66E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0E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EB" w14:textId="77777777" w:rsidR="003C66EB" w:rsidRDefault="00D96C4E">
            <w:pPr>
              <w:jc w:val="right"/>
              <w:textAlignment w:val="center"/>
            </w:pPr>
            <w:r>
              <w:rPr>
                <w:rFonts w:ascii="Arial" w:eastAsia="宋体" w:hAnsi="Arial" w:cs="Arial"/>
                <w:b/>
                <w:bCs/>
                <w:color w:val="000000"/>
                <w:sz w:val="12"/>
                <w:szCs w:val="12"/>
              </w:rPr>
              <w:t>(14)</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0E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0EE" w14:textId="77777777" w:rsidR="003C66EB" w:rsidRDefault="00D96C4E">
            <w:pPr>
              <w:jc w:val="right"/>
              <w:textAlignment w:val="center"/>
            </w:pPr>
            <w:r>
              <w:rPr>
                <w:rFonts w:ascii="Arial" w:eastAsia="宋体" w:hAnsi="Arial" w:cs="Arial"/>
                <w:b/>
                <w:bCs/>
                <w:color w:val="000000"/>
                <w:sz w:val="12"/>
                <w:szCs w:val="12"/>
              </w:rPr>
              <w:t>121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0EF"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0F0" w14:textId="77777777" w:rsidR="003C66EB" w:rsidRDefault="003C66EB">
            <w:pPr>
              <w:rPr>
                <w:rFonts w:ascii="宋体"/>
              </w:rPr>
            </w:pPr>
          </w:p>
        </w:tc>
        <w:tc>
          <w:tcPr>
            <w:tcW w:w="0" w:type="auto"/>
            <w:shd w:val="clear" w:color="auto" w:fill="FFFFFF"/>
            <w:tcMar>
              <w:top w:w="0" w:type="dxa"/>
              <w:left w:w="20" w:type="dxa"/>
              <w:bottom w:w="0" w:type="dxa"/>
              <w:right w:w="20" w:type="dxa"/>
            </w:tcMar>
          </w:tcPr>
          <w:p w14:paraId="5EA230F1" w14:textId="77777777" w:rsidR="003C66EB" w:rsidRDefault="003C66EB">
            <w:pPr>
              <w:rPr>
                <w:rFonts w:ascii="宋体"/>
              </w:rPr>
            </w:pPr>
          </w:p>
        </w:tc>
      </w:tr>
      <w:tr w:rsidR="003C66EB" w14:paraId="5EA23109" w14:textId="77777777">
        <w:tc>
          <w:tcPr>
            <w:tcW w:w="0" w:type="auto"/>
            <w:gridSpan w:val="3"/>
            <w:shd w:val="clear" w:color="auto" w:fill="CCEEFF"/>
            <w:tcMar>
              <w:top w:w="40" w:type="dxa"/>
              <w:left w:w="20" w:type="dxa"/>
              <w:bottom w:w="40" w:type="dxa"/>
              <w:right w:w="20" w:type="dxa"/>
            </w:tcMar>
            <w:vAlign w:val="center"/>
          </w:tcPr>
          <w:p w14:paraId="5EA230F3" w14:textId="77777777" w:rsidR="003C66EB" w:rsidRDefault="00D96C4E">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tcPr>
          <w:p w14:paraId="5EA230F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B" w14:textId="77777777" w:rsidR="003C66EB" w:rsidRDefault="003C66EB">
            <w:pPr>
              <w:rPr>
                <w:rFonts w:ascii="宋体"/>
              </w:rPr>
            </w:pPr>
          </w:p>
        </w:tc>
        <w:tc>
          <w:tcPr>
            <w:tcW w:w="0" w:type="auto"/>
            <w:shd w:val="clear" w:color="auto" w:fill="auto"/>
          </w:tcPr>
          <w:p w14:paraId="5EA230FC" w14:textId="77777777" w:rsidR="003C66EB" w:rsidRDefault="003C66EB">
            <w:pPr>
              <w:rPr>
                <w:rFonts w:ascii="宋体"/>
                <w:vanish/>
              </w:rPr>
            </w:pPr>
          </w:p>
        </w:tc>
        <w:tc>
          <w:tcPr>
            <w:tcW w:w="0" w:type="auto"/>
            <w:shd w:val="clear" w:color="auto" w:fill="auto"/>
          </w:tcPr>
          <w:p w14:paraId="5EA230FD"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0F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0F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106" w14:textId="77777777" w:rsidR="003C66EB" w:rsidRDefault="003C66EB">
            <w:pPr>
              <w:rPr>
                <w:rFonts w:ascii="宋体"/>
              </w:rPr>
            </w:pPr>
          </w:p>
        </w:tc>
        <w:tc>
          <w:tcPr>
            <w:tcW w:w="0" w:type="auto"/>
            <w:gridSpan w:val="2"/>
            <w:shd w:val="clear" w:color="auto" w:fill="CCEEFF"/>
            <w:tcMar>
              <w:top w:w="0" w:type="dxa"/>
              <w:left w:w="20" w:type="dxa"/>
              <w:bottom w:w="0" w:type="dxa"/>
              <w:right w:w="20" w:type="dxa"/>
            </w:tcMar>
          </w:tcPr>
          <w:p w14:paraId="5EA23107" w14:textId="77777777" w:rsidR="003C66EB" w:rsidRDefault="003C66EB">
            <w:pPr>
              <w:rPr>
                <w:rFonts w:ascii="宋体"/>
              </w:rPr>
            </w:pPr>
          </w:p>
        </w:tc>
        <w:tc>
          <w:tcPr>
            <w:tcW w:w="0" w:type="auto"/>
            <w:shd w:val="clear" w:color="auto" w:fill="CCEEFF"/>
            <w:tcMar>
              <w:top w:w="0" w:type="dxa"/>
              <w:left w:w="20" w:type="dxa"/>
              <w:bottom w:w="0" w:type="dxa"/>
              <w:right w:w="20" w:type="dxa"/>
            </w:tcMar>
          </w:tcPr>
          <w:p w14:paraId="5EA23108" w14:textId="77777777" w:rsidR="003C66EB" w:rsidRDefault="003C66EB">
            <w:pPr>
              <w:rPr>
                <w:rFonts w:ascii="宋体"/>
              </w:rPr>
            </w:pPr>
          </w:p>
        </w:tc>
      </w:tr>
      <w:tr w:rsidR="003C66EB" w14:paraId="5EA23120" w14:textId="77777777">
        <w:tc>
          <w:tcPr>
            <w:tcW w:w="0" w:type="auto"/>
            <w:gridSpan w:val="3"/>
            <w:shd w:val="clear" w:color="auto" w:fill="FFFFFF"/>
            <w:tcMar>
              <w:top w:w="40" w:type="dxa"/>
              <w:left w:w="20" w:type="dxa"/>
              <w:bottom w:w="40" w:type="dxa"/>
              <w:right w:w="20" w:type="dxa"/>
            </w:tcMar>
            <w:vAlign w:val="center"/>
          </w:tcPr>
          <w:p w14:paraId="5EA2310A" w14:textId="77777777" w:rsidR="003C66EB" w:rsidRDefault="00D96C4E">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tcPr>
          <w:p w14:paraId="5EA231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0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2" w14:textId="77777777" w:rsidR="003C66EB" w:rsidRDefault="003C66EB">
            <w:pPr>
              <w:rPr>
                <w:rFonts w:ascii="宋体"/>
              </w:rPr>
            </w:pPr>
          </w:p>
        </w:tc>
        <w:tc>
          <w:tcPr>
            <w:tcW w:w="0" w:type="auto"/>
            <w:shd w:val="clear" w:color="auto" w:fill="auto"/>
          </w:tcPr>
          <w:p w14:paraId="5EA23113" w14:textId="77777777" w:rsidR="003C66EB" w:rsidRDefault="003C66EB">
            <w:pPr>
              <w:rPr>
                <w:rFonts w:ascii="宋体"/>
                <w:vanish/>
              </w:rPr>
            </w:pPr>
          </w:p>
        </w:tc>
        <w:tc>
          <w:tcPr>
            <w:tcW w:w="0" w:type="auto"/>
            <w:shd w:val="clear" w:color="auto" w:fill="auto"/>
          </w:tcPr>
          <w:p w14:paraId="5EA23114"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11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11D" w14:textId="77777777" w:rsidR="003C66EB" w:rsidRDefault="003C66EB">
            <w:pPr>
              <w:rPr>
                <w:rFonts w:ascii="宋体"/>
              </w:rPr>
            </w:pPr>
          </w:p>
        </w:tc>
        <w:tc>
          <w:tcPr>
            <w:tcW w:w="0" w:type="auto"/>
            <w:gridSpan w:val="2"/>
            <w:shd w:val="clear" w:color="auto" w:fill="FFFFFF"/>
            <w:tcMar>
              <w:top w:w="0" w:type="dxa"/>
              <w:left w:w="20" w:type="dxa"/>
              <w:bottom w:w="0" w:type="dxa"/>
              <w:right w:w="20" w:type="dxa"/>
            </w:tcMar>
          </w:tcPr>
          <w:p w14:paraId="5EA2311E" w14:textId="77777777" w:rsidR="003C66EB" w:rsidRDefault="003C66EB">
            <w:pPr>
              <w:rPr>
                <w:rFonts w:ascii="宋体"/>
              </w:rPr>
            </w:pPr>
          </w:p>
        </w:tc>
        <w:tc>
          <w:tcPr>
            <w:tcW w:w="0" w:type="auto"/>
            <w:shd w:val="clear" w:color="auto" w:fill="FFFFFF"/>
            <w:tcMar>
              <w:top w:w="0" w:type="dxa"/>
              <w:left w:w="20" w:type="dxa"/>
              <w:bottom w:w="0" w:type="dxa"/>
              <w:right w:w="20" w:type="dxa"/>
            </w:tcMar>
          </w:tcPr>
          <w:p w14:paraId="5EA2311F" w14:textId="77777777" w:rsidR="003C66EB" w:rsidRDefault="003C66EB">
            <w:pPr>
              <w:rPr>
                <w:rFonts w:ascii="宋体"/>
              </w:rPr>
            </w:pPr>
          </w:p>
        </w:tc>
      </w:tr>
      <w:tr w:rsidR="003C66EB" w14:paraId="5EA23141" w14:textId="77777777">
        <w:tc>
          <w:tcPr>
            <w:tcW w:w="0" w:type="auto"/>
            <w:gridSpan w:val="3"/>
            <w:shd w:val="clear" w:color="auto" w:fill="CCEEFF"/>
            <w:tcMar>
              <w:top w:w="40" w:type="dxa"/>
              <w:left w:w="155" w:type="dxa"/>
              <w:bottom w:w="40" w:type="dxa"/>
              <w:right w:w="20" w:type="dxa"/>
            </w:tcMar>
            <w:vAlign w:val="center"/>
          </w:tcPr>
          <w:p w14:paraId="5EA23121" w14:textId="77777777" w:rsidR="003C66EB" w:rsidRDefault="00D96C4E">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5EA23122" w14:textId="77777777" w:rsidR="003C66EB" w:rsidRDefault="00D96C4E">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2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25"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2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28"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2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2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2B" w14:textId="77777777" w:rsidR="003C66EB" w:rsidRDefault="00D96C4E">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2D" w14:textId="77777777" w:rsidR="003C66EB" w:rsidRDefault="003C66EB">
            <w:pPr>
              <w:rPr>
                <w:rFonts w:ascii="宋体"/>
              </w:rPr>
            </w:pPr>
          </w:p>
        </w:tc>
        <w:tc>
          <w:tcPr>
            <w:tcW w:w="0" w:type="auto"/>
            <w:shd w:val="clear" w:color="auto" w:fill="auto"/>
          </w:tcPr>
          <w:p w14:paraId="5EA2312E" w14:textId="77777777" w:rsidR="003C66EB" w:rsidRDefault="003C66EB">
            <w:pPr>
              <w:rPr>
                <w:rFonts w:ascii="宋体"/>
                <w:vanish/>
              </w:rPr>
            </w:pPr>
          </w:p>
        </w:tc>
        <w:tc>
          <w:tcPr>
            <w:tcW w:w="0" w:type="auto"/>
            <w:shd w:val="clear" w:color="auto" w:fill="auto"/>
          </w:tcPr>
          <w:p w14:paraId="5EA2312F"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center"/>
          </w:tcPr>
          <w:p w14:paraId="5EA23130"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3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33"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3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36"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3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39"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3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13C" w14:textId="77777777" w:rsidR="003C66EB" w:rsidRDefault="00D96C4E">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13D"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13E"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313F" w14:textId="77777777" w:rsidR="003C66EB" w:rsidRDefault="00D96C4E">
            <w:pPr>
              <w:textAlignment w:val="center"/>
            </w:pPr>
            <w:r>
              <w:rPr>
                <w:rFonts w:ascii="Arial" w:eastAsia="宋体" w:hAnsi="Arial" w:cs="Arial"/>
                <w:b/>
                <w:bCs/>
                <w:color w:val="000000"/>
                <w:sz w:val="12"/>
                <w:szCs w:val="12"/>
              </w:rPr>
              <w:t>$</w:t>
            </w:r>
          </w:p>
          <w:p w14:paraId="5EA23140" w14:textId="77777777" w:rsidR="003C66EB" w:rsidRDefault="00D96C4E">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r>
      <w:tr w:rsidR="003C66EB" w14:paraId="5EA23158" w14:textId="77777777">
        <w:trPr>
          <w:hidden/>
        </w:trPr>
        <w:tc>
          <w:tcPr>
            <w:tcW w:w="0" w:type="auto"/>
            <w:gridSpan w:val="3"/>
            <w:shd w:val="clear" w:color="auto" w:fill="auto"/>
          </w:tcPr>
          <w:p w14:paraId="5EA23142" w14:textId="77777777" w:rsidR="003C66EB" w:rsidRDefault="003C66EB">
            <w:pPr>
              <w:rPr>
                <w:rFonts w:ascii="宋体"/>
                <w:vanish/>
              </w:rPr>
            </w:pPr>
          </w:p>
        </w:tc>
        <w:tc>
          <w:tcPr>
            <w:tcW w:w="0" w:type="auto"/>
            <w:gridSpan w:val="3"/>
            <w:shd w:val="clear" w:color="auto" w:fill="auto"/>
          </w:tcPr>
          <w:p w14:paraId="5EA23143" w14:textId="77777777" w:rsidR="003C66EB" w:rsidRDefault="003C66EB">
            <w:pPr>
              <w:rPr>
                <w:rFonts w:ascii="宋体"/>
                <w:vanish/>
              </w:rPr>
            </w:pPr>
          </w:p>
        </w:tc>
        <w:tc>
          <w:tcPr>
            <w:tcW w:w="0" w:type="auto"/>
            <w:gridSpan w:val="3"/>
            <w:shd w:val="clear" w:color="auto" w:fill="auto"/>
          </w:tcPr>
          <w:p w14:paraId="5EA23144" w14:textId="77777777" w:rsidR="003C66EB" w:rsidRDefault="003C66EB">
            <w:pPr>
              <w:rPr>
                <w:rFonts w:ascii="宋体"/>
                <w:vanish/>
              </w:rPr>
            </w:pPr>
          </w:p>
        </w:tc>
        <w:tc>
          <w:tcPr>
            <w:tcW w:w="0" w:type="auto"/>
            <w:gridSpan w:val="3"/>
            <w:shd w:val="clear" w:color="auto" w:fill="auto"/>
          </w:tcPr>
          <w:p w14:paraId="5EA23145" w14:textId="77777777" w:rsidR="003C66EB" w:rsidRDefault="003C66EB">
            <w:pPr>
              <w:rPr>
                <w:rFonts w:ascii="宋体"/>
                <w:vanish/>
              </w:rPr>
            </w:pPr>
          </w:p>
        </w:tc>
        <w:tc>
          <w:tcPr>
            <w:tcW w:w="0" w:type="auto"/>
            <w:gridSpan w:val="3"/>
            <w:shd w:val="clear" w:color="auto" w:fill="auto"/>
          </w:tcPr>
          <w:p w14:paraId="5EA23146" w14:textId="77777777" w:rsidR="003C66EB" w:rsidRDefault="003C66EB">
            <w:pPr>
              <w:rPr>
                <w:rFonts w:ascii="宋体"/>
                <w:vanish/>
              </w:rPr>
            </w:pPr>
          </w:p>
        </w:tc>
        <w:tc>
          <w:tcPr>
            <w:tcW w:w="0" w:type="auto"/>
            <w:gridSpan w:val="3"/>
            <w:shd w:val="clear" w:color="auto" w:fill="auto"/>
          </w:tcPr>
          <w:p w14:paraId="5EA23147" w14:textId="77777777" w:rsidR="003C66EB" w:rsidRDefault="003C66EB">
            <w:pPr>
              <w:rPr>
                <w:rFonts w:ascii="宋体"/>
                <w:vanish/>
              </w:rPr>
            </w:pPr>
          </w:p>
        </w:tc>
        <w:tc>
          <w:tcPr>
            <w:tcW w:w="0" w:type="auto"/>
            <w:gridSpan w:val="3"/>
            <w:shd w:val="clear" w:color="auto" w:fill="auto"/>
          </w:tcPr>
          <w:p w14:paraId="5EA23148" w14:textId="77777777" w:rsidR="003C66EB" w:rsidRDefault="003C66EB">
            <w:pPr>
              <w:rPr>
                <w:rFonts w:ascii="宋体"/>
                <w:vanish/>
              </w:rPr>
            </w:pPr>
          </w:p>
        </w:tc>
        <w:tc>
          <w:tcPr>
            <w:tcW w:w="0" w:type="auto"/>
            <w:gridSpan w:val="3"/>
            <w:shd w:val="clear" w:color="auto" w:fill="auto"/>
          </w:tcPr>
          <w:p w14:paraId="5EA23149" w14:textId="77777777" w:rsidR="003C66EB" w:rsidRDefault="003C66EB">
            <w:pPr>
              <w:rPr>
                <w:rFonts w:ascii="宋体"/>
                <w:vanish/>
              </w:rPr>
            </w:pPr>
          </w:p>
        </w:tc>
        <w:tc>
          <w:tcPr>
            <w:tcW w:w="0" w:type="auto"/>
            <w:gridSpan w:val="3"/>
            <w:shd w:val="clear" w:color="auto" w:fill="auto"/>
          </w:tcPr>
          <w:p w14:paraId="5EA2314A" w14:textId="77777777" w:rsidR="003C66EB" w:rsidRDefault="003C66EB">
            <w:pPr>
              <w:rPr>
                <w:rFonts w:ascii="宋体"/>
                <w:vanish/>
              </w:rPr>
            </w:pPr>
          </w:p>
        </w:tc>
        <w:tc>
          <w:tcPr>
            <w:tcW w:w="0" w:type="auto"/>
            <w:shd w:val="clear" w:color="auto" w:fill="auto"/>
          </w:tcPr>
          <w:p w14:paraId="5EA2314B" w14:textId="77777777" w:rsidR="003C66EB" w:rsidRDefault="003C66EB">
            <w:pPr>
              <w:rPr>
                <w:rFonts w:ascii="宋体"/>
                <w:vanish/>
              </w:rPr>
            </w:pPr>
          </w:p>
        </w:tc>
        <w:tc>
          <w:tcPr>
            <w:tcW w:w="0" w:type="auto"/>
            <w:shd w:val="clear" w:color="auto" w:fill="auto"/>
          </w:tcPr>
          <w:p w14:paraId="5EA2314C" w14:textId="77777777" w:rsidR="003C66EB" w:rsidRDefault="003C66EB">
            <w:pPr>
              <w:rPr>
                <w:rFonts w:ascii="宋体"/>
                <w:vanish/>
              </w:rPr>
            </w:pPr>
          </w:p>
        </w:tc>
        <w:tc>
          <w:tcPr>
            <w:tcW w:w="0" w:type="auto"/>
            <w:gridSpan w:val="3"/>
            <w:shd w:val="clear" w:color="auto" w:fill="auto"/>
          </w:tcPr>
          <w:p w14:paraId="5EA2314D" w14:textId="77777777" w:rsidR="003C66EB" w:rsidRDefault="003C66EB">
            <w:pPr>
              <w:rPr>
                <w:rFonts w:ascii="宋体"/>
                <w:vanish/>
              </w:rPr>
            </w:pPr>
          </w:p>
        </w:tc>
        <w:tc>
          <w:tcPr>
            <w:tcW w:w="0" w:type="auto"/>
            <w:gridSpan w:val="3"/>
            <w:shd w:val="clear" w:color="auto" w:fill="auto"/>
          </w:tcPr>
          <w:p w14:paraId="5EA2314E" w14:textId="77777777" w:rsidR="003C66EB" w:rsidRDefault="003C66EB">
            <w:pPr>
              <w:rPr>
                <w:rFonts w:ascii="宋体"/>
                <w:vanish/>
              </w:rPr>
            </w:pPr>
          </w:p>
        </w:tc>
        <w:tc>
          <w:tcPr>
            <w:tcW w:w="0" w:type="auto"/>
            <w:gridSpan w:val="3"/>
            <w:shd w:val="clear" w:color="auto" w:fill="auto"/>
          </w:tcPr>
          <w:p w14:paraId="5EA2314F" w14:textId="77777777" w:rsidR="003C66EB" w:rsidRDefault="003C66EB">
            <w:pPr>
              <w:rPr>
                <w:rFonts w:ascii="宋体"/>
                <w:vanish/>
              </w:rPr>
            </w:pPr>
          </w:p>
        </w:tc>
        <w:tc>
          <w:tcPr>
            <w:tcW w:w="0" w:type="auto"/>
            <w:gridSpan w:val="3"/>
            <w:shd w:val="clear" w:color="auto" w:fill="auto"/>
          </w:tcPr>
          <w:p w14:paraId="5EA23150" w14:textId="77777777" w:rsidR="003C66EB" w:rsidRDefault="003C66EB">
            <w:pPr>
              <w:rPr>
                <w:rFonts w:ascii="宋体"/>
                <w:vanish/>
              </w:rPr>
            </w:pPr>
          </w:p>
        </w:tc>
        <w:tc>
          <w:tcPr>
            <w:tcW w:w="0" w:type="auto"/>
            <w:gridSpan w:val="3"/>
            <w:shd w:val="clear" w:color="auto" w:fill="auto"/>
          </w:tcPr>
          <w:p w14:paraId="5EA23151" w14:textId="77777777" w:rsidR="003C66EB" w:rsidRDefault="003C66EB">
            <w:pPr>
              <w:rPr>
                <w:rFonts w:ascii="宋体"/>
                <w:vanish/>
              </w:rPr>
            </w:pPr>
          </w:p>
        </w:tc>
        <w:tc>
          <w:tcPr>
            <w:tcW w:w="0" w:type="auto"/>
            <w:gridSpan w:val="3"/>
            <w:shd w:val="clear" w:color="auto" w:fill="auto"/>
          </w:tcPr>
          <w:p w14:paraId="5EA23152" w14:textId="77777777" w:rsidR="003C66EB" w:rsidRDefault="003C66EB">
            <w:pPr>
              <w:rPr>
                <w:rFonts w:ascii="宋体"/>
                <w:vanish/>
              </w:rPr>
            </w:pPr>
          </w:p>
        </w:tc>
        <w:tc>
          <w:tcPr>
            <w:tcW w:w="0" w:type="auto"/>
            <w:gridSpan w:val="3"/>
            <w:shd w:val="clear" w:color="auto" w:fill="auto"/>
          </w:tcPr>
          <w:p w14:paraId="5EA23153" w14:textId="77777777" w:rsidR="003C66EB" w:rsidRDefault="003C66EB">
            <w:pPr>
              <w:rPr>
                <w:rFonts w:ascii="宋体"/>
                <w:vanish/>
              </w:rPr>
            </w:pPr>
          </w:p>
        </w:tc>
        <w:tc>
          <w:tcPr>
            <w:tcW w:w="0" w:type="auto"/>
            <w:gridSpan w:val="3"/>
            <w:shd w:val="clear" w:color="auto" w:fill="auto"/>
          </w:tcPr>
          <w:p w14:paraId="5EA23154" w14:textId="77777777" w:rsidR="003C66EB" w:rsidRDefault="003C66EB">
            <w:pPr>
              <w:rPr>
                <w:rFonts w:ascii="宋体"/>
                <w:vanish/>
              </w:rPr>
            </w:pPr>
          </w:p>
        </w:tc>
        <w:tc>
          <w:tcPr>
            <w:tcW w:w="0" w:type="auto"/>
            <w:gridSpan w:val="3"/>
            <w:shd w:val="clear" w:color="auto" w:fill="auto"/>
          </w:tcPr>
          <w:p w14:paraId="5EA23155" w14:textId="77777777" w:rsidR="003C66EB" w:rsidRDefault="003C66EB">
            <w:pPr>
              <w:rPr>
                <w:rFonts w:ascii="宋体"/>
                <w:vanish/>
              </w:rPr>
            </w:pPr>
          </w:p>
        </w:tc>
        <w:tc>
          <w:tcPr>
            <w:tcW w:w="0" w:type="auto"/>
            <w:gridSpan w:val="2"/>
            <w:shd w:val="clear" w:color="auto" w:fill="auto"/>
          </w:tcPr>
          <w:p w14:paraId="5EA23156" w14:textId="77777777" w:rsidR="003C66EB" w:rsidRDefault="003C66EB">
            <w:pPr>
              <w:rPr>
                <w:rFonts w:ascii="宋体"/>
                <w:vanish/>
              </w:rPr>
            </w:pPr>
          </w:p>
        </w:tc>
        <w:tc>
          <w:tcPr>
            <w:tcW w:w="0" w:type="auto"/>
            <w:shd w:val="clear" w:color="auto" w:fill="auto"/>
          </w:tcPr>
          <w:p w14:paraId="5EA23157" w14:textId="77777777" w:rsidR="003C66EB" w:rsidRDefault="003C66EB">
            <w:pPr>
              <w:rPr>
                <w:rFonts w:ascii="宋体"/>
                <w:vanish/>
              </w:rPr>
            </w:pPr>
          </w:p>
        </w:tc>
      </w:tr>
      <w:tr w:rsidR="003C66EB" w14:paraId="5EA2316F" w14:textId="77777777">
        <w:trPr>
          <w:hidden/>
        </w:trPr>
        <w:tc>
          <w:tcPr>
            <w:tcW w:w="0" w:type="auto"/>
            <w:gridSpan w:val="3"/>
            <w:shd w:val="clear" w:color="auto" w:fill="auto"/>
          </w:tcPr>
          <w:p w14:paraId="5EA23159" w14:textId="77777777" w:rsidR="003C66EB" w:rsidRDefault="003C66EB">
            <w:pPr>
              <w:rPr>
                <w:rFonts w:ascii="宋体"/>
                <w:vanish/>
              </w:rPr>
            </w:pPr>
          </w:p>
        </w:tc>
        <w:tc>
          <w:tcPr>
            <w:tcW w:w="0" w:type="auto"/>
            <w:gridSpan w:val="3"/>
            <w:shd w:val="clear" w:color="auto" w:fill="auto"/>
          </w:tcPr>
          <w:p w14:paraId="5EA2315A" w14:textId="77777777" w:rsidR="003C66EB" w:rsidRDefault="003C66EB">
            <w:pPr>
              <w:rPr>
                <w:rFonts w:ascii="宋体"/>
                <w:vanish/>
              </w:rPr>
            </w:pPr>
          </w:p>
        </w:tc>
        <w:tc>
          <w:tcPr>
            <w:tcW w:w="0" w:type="auto"/>
            <w:gridSpan w:val="3"/>
            <w:shd w:val="clear" w:color="auto" w:fill="auto"/>
          </w:tcPr>
          <w:p w14:paraId="5EA2315B" w14:textId="77777777" w:rsidR="003C66EB" w:rsidRDefault="003C66EB">
            <w:pPr>
              <w:rPr>
                <w:rFonts w:ascii="宋体"/>
                <w:vanish/>
              </w:rPr>
            </w:pPr>
          </w:p>
        </w:tc>
        <w:tc>
          <w:tcPr>
            <w:tcW w:w="0" w:type="auto"/>
            <w:gridSpan w:val="3"/>
            <w:shd w:val="clear" w:color="auto" w:fill="auto"/>
          </w:tcPr>
          <w:p w14:paraId="5EA2315C" w14:textId="77777777" w:rsidR="003C66EB" w:rsidRDefault="003C66EB">
            <w:pPr>
              <w:rPr>
                <w:rFonts w:ascii="宋体"/>
                <w:vanish/>
              </w:rPr>
            </w:pPr>
          </w:p>
        </w:tc>
        <w:tc>
          <w:tcPr>
            <w:tcW w:w="0" w:type="auto"/>
            <w:gridSpan w:val="3"/>
            <w:shd w:val="clear" w:color="auto" w:fill="auto"/>
          </w:tcPr>
          <w:p w14:paraId="5EA2315D" w14:textId="77777777" w:rsidR="003C66EB" w:rsidRDefault="003C66EB">
            <w:pPr>
              <w:rPr>
                <w:rFonts w:ascii="宋体"/>
                <w:vanish/>
              </w:rPr>
            </w:pPr>
          </w:p>
        </w:tc>
        <w:tc>
          <w:tcPr>
            <w:tcW w:w="0" w:type="auto"/>
            <w:gridSpan w:val="3"/>
            <w:shd w:val="clear" w:color="auto" w:fill="auto"/>
          </w:tcPr>
          <w:p w14:paraId="5EA2315E" w14:textId="77777777" w:rsidR="003C66EB" w:rsidRDefault="003C66EB">
            <w:pPr>
              <w:rPr>
                <w:rFonts w:ascii="宋体"/>
                <w:vanish/>
              </w:rPr>
            </w:pPr>
          </w:p>
        </w:tc>
        <w:tc>
          <w:tcPr>
            <w:tcW w:w="0" w:type="auto"/>
            <w:gridSpan w:val="3"/>
            <w:shd w:val="clear" w:color="auto" w:fill="auto"/>
          </w:tcPr>
          <w:p w14:paraId="5EA2315F" w14:textId="77777777" w:rsidR="003C66EB" w:rsidRDefault="003C66EB">
            <w:pPr>
              <w:rPr>
                <w:rFonts w:ascii="宋体"/>
                <w:vanish/>
              </w:rPr>
            </w:pPr>
          </w:p>
        </w:tc>
        <w:tc>
          <w:tcPr>
            <w:tcW w:w="0" w:type="auto"/>
            <w:gridSpan w:val="3"/>
            <w:shd w:val="clear" w:color="auto" w:fill="auto"/>
          </w:tcPr>
          <w:p w14:paraId="5EA23160" w14:textId="77777777" w:rsidR="003C66EB" w:rsidRDefault="003C66EB">
            <w:pPr>
              <w:rPr>
                <w:rFonts w:ascii="宋体"/>
                <w:vanish/>
              </w:rPr>
            </w:pPr>
          </w:p>
        </w:tc>
        <w:tc>
          <w:tcPr>
            <w:tcW w:w="0" w:type="auto"/>
            <w:gridSpan w:val="3"/>
            <w:shd w:val="clear" w:color="auto" w:fill="auto"/>
          </w:tcPr>
          <w:p w14:paraId="5EA23161" w14:textId="77777777" w:rsidR="003C66EB" w:rsidRDefault="003C66EB">
            <w:pPr>
              <w:rPr>
                <w:rFonts w:ascii="宋体"/>
                <w:vanish/>
              </w:rPr>
            </w:pPr>
          </w:p>
        </w:tc>
        <w:tc>
          <w:tcPr>
            <w:tcW w:w="0" w:type="auto"/>
            <w:shd w:val="clear" w:color="auto" w:fill="auto"/>
          </w:tcPr>
          <w:p w14:paraId="5EA23162" w14:textId="77777777" w:rsidR="003C66EB" w:rsidRDefault="003C66EB">
            <w:pPr>
              <w:rPr>
                <w:rFonts w:ascii="宋体"/>
                <w:vanish/>
              </w:rPr>
            </w:pPr>
          </w:p>
        </w:tc>
        <w:tc>
          <w:tcPr>
            <w:tcW w:w="0" w:type="auto"/>
            <w:shd w:val="clear" w:color="auto" w:fill="auto"/>
          </w:tcPr>
          <w:p w14:paraId="5EA23163" w14:textId="77777777" w:rsidR="003C66EB" w:rsidRDefault="003C66EB">
            <w:pPr>
              <w:rPr>
                <w:rFonts w:ascii="宋体"/>
                <w:vanish/>
              </w:rPr>
            </w:pPr>
          </w:p>
        </w:tc>
        <w:tc>
          <w:tcPr>
            <w:tcW w:w="0" w:type="auto"/>
            <w:gridSpan w:val="3"/>
            <w:shd w:val="clear" w:color="auto" w:fill="auto"/>
          </w:tcPr>
          <w:p w14:paraId="5EA23164" w14:textId="77777777" w:rsidR="003C66EB" w:rsidRDefault="003C66EB">
            <w:pPr>
              <w:rPr>
                <w:rFonts w:ascii="宋体"/>
                <w:vanish/>
              </w:rPr>
            </w:pPr>
          </w:p>
        </w:tc>
        <w:tc>
          <w:tcPr>
            <w:tcW w:w="0" w:type="auto"/>
            <w:gridSpan w:val="3"/>
            <w:shd w:val="clear" w:color="auto" w:fill="auto"/>
          </w:tcPr>
          <w:p w14:paraId="5EA23165" w14:textId="77777777" w:rsidR="003C66EB" w:rsidRDefault="003C66EB">
            <w:pPr>
              <w:rPr>
                <w:rFonts w:ascii="宋体"/>
                <w:vanish/>
              </w:rPr>
            </w:pPr>
          </w:p>
        </w:tc>
        <w:tc>
          <w:tcPr>
            <w:tcW w:w="0" w:type="auto"/>
            <w:gridSpan w:val="3"/>
            <w:shd w:val="clear" w:color="auto" w:fill="auto"/>
          </w:tcPr>
          <w:p w14:paraId="5EA23166" w14:textId="77777777" w:rsidR="003C66EB" w:rsidRDefault="003C66EB">
            <w:pPr>
              <w:rPr>
                <w:rFonts w:ascii="宋体"/>
                <w:vanish/>
              </w:rPr>
            </w:pPr>
          </w:p>
        </w:tc>
        <w:tc>
          <w:tcPr>
            <w:tcW w:w="0" w:type="auto"/>
            <w:gridSpan w:val="3"/>
            <w:shd w:val="clear" w:color="auto" w:fill="auto"/>
          </w:tcPr>
          <w:p w14:paraId="5EA23167" w14:textId="77777777" w:rsidR="003C66EB" w:rsidRDefault="003C66EB">
            <w:pPr>
              <w:rPr>
                <w:rFonts w:ascii="宋体"/>
                <w:vanish/>
              </w:rPr>
            </w:pPr>
          </w:p>
        </w:tc>
        <w:tc>
          <w:tcPr>
            <w:tcW w:w="0" w:type="auto"/>
            <w:gridSpan w:val="3"/>
            <w:shd w:val="clear" w:color="auto" w:fill="auto"/>
          </w:tcPr>
          <w:p w14:paraId="5EA23168" w14:textId="77777777" w:rsidR="003C66EB" w:rsidRDefault="003C66EB">
            <w:pPr>
              <w:rPr>
                <w:rFonts w:ascii="宋体"/>
                <w:vanish/>
              </w:rPr>
            </w:pPr>
          </w:p>
        </w:tc>
        <w:tc>
          <w:tcPr>
            <w:tcW w:w="0" w:type="auto"/>
            <w:gridSpan w:val="3"/>
            <w:shd w:val="clear" w:color="auto" w:fill="auto"/>
          </w:tcPr>
          <w:p w14:paraId="5EA23169" w14:textId="77777777" w:rsidR="003C66EB" w:rsidRDefault="003C66EB">
            <w:pPr>
              <w:rPr>
                <w:rFonts w:ascii="宋体"/>
                <w:vanish/>
              </w:rPr>
            </w:pPr>
          </w:p>
        </w:tc>
        <w:tc>
          <w:tcPr>
            <w:tcW w:w="0" w:type="auto"/>
            <w:gridSpan w:val="3"/>
            <w:shd w:val="clear" w:color="auto" w:fill="auto"/>
          </w:tcPr>
          <w:p w14:paraId="5EA2316A" w14:textId="77777777" w:rsidR="003C66EB" w:rsidRDefault="003C66EB">
            <w:pPr>
              <w:rPr>
                <w:rFonts w:ascii="宋体"/>
                <w:vanish/>
              </w:rPr>
            </w:pPr>
          </w:p>
        </w:tc>
        <w:tc>
          <w:tcPr>
            <w:tcW w:w="0" w:type="auto"/>
            <w:gridSpan w:val="3"/>
            <w:shd w:val="clear" w:color="auto" w:fill="auto"/>
          </w:tcPr>
          <w:p w14:paraId="5EA2316B" w14:textId="77777777" w:rsidR="003C66EB" w:rsidRDefault="003C66EB">
            <w:pPr>
              <w:rPr>
                <w:rFonts w:ascii="宋体"/>
                <w:vanish/>
              </w:rPr>
            </w:pPr>
          </w:p>
        </w:tc>
        <w:tc>
          <w:tcPr>
            <w:tcW w:w="0" w:type="auto"/>
            <w:gridSpan w:val="3"/>
            <w:shd w:val="clear" w:color="auto" w:fill="auto"/>
          </w:tcPr>
          <w:p w14:paraId="5EA2316C" w14:textId="77777777" w:rsidR="003C66EB" w:rsidRDefault="003C66EB">
            <w:pPr>
              <w:rPr>
                <w:rFonts w:ascii="宋体"/>
                <w:vanish/>
              </w:rPr>
            </w:pPr>
          </w:p>
        </w:tc>
        <w:tc>
          <w:tcPr>
            <w:tcW w:w="0" w:type="auto"/>
            <w:gridSpan w:val="2"/>
            <w:shd w:val="clear" w:color="auto" w:fill="auto"/>
          </w:tcPr>
          <w:p w14:paraId="5EA2316D" w14:textId="77777777" w:rsidR="003C66EB" w:rsidRDefault="003C66EB">
            <w:pPr>
              <w:rPr>
                <w:rFonts w:ascii="宋体"/>
                <w:vanish/>
              </w:rPr>
            </w:pPr>
          </w:p>
        </w:tc>
        <w:tc>
          <w:tcPr>
            <w:tcW w:w="0" w:type="auto"/>
            <w:shd w:val="clear" w:color="auto" w:fill="auto"/>
          </w:tcPr>
          <w:p w14:paraId="5EA2316E" w14:textId="77777777" w:rsidR="003C66EB" w:rsidRDefault="003C66EB">
            <w:pPr>
              <w:rPr>
                <w:rFonts w:ascii="宋体"/>
                <w:vanish/>
              </w:rPr>
            </w:pPr>
          </w:p>
        </w:tc>
      </w:tr>
      <w:tr w:rsidR="003C66EB" w14:paraId="5EA2318F" w14:textId="77777777">
        <w:tc>
          <w:tcPr>
            <w:tcW w:w="0" w:type="auto"/>
            <w:gridSpan w:val="3"/>
            <w:shd w:val="clear" w:color="auto" w:fill="FFFFFF"/>
            <w:tcMar>
              <w:top w:w="40" w:type="dxa"/>
              <w:left w:w="20" w:type="dxa"/>
              <w:bottom w:w="40" w:type="dxa"/>
              <w:right w:w="20" w:type="dxa"/>
            </w:tcMar>
            <w:vAlign w:val="center"/>
          </w:tcPr>
          <w:p w14:paraId="5EA23170" w14:textId="77777777" w:rsidR="003C66EB" w:rsidRDefault="00D96C4E">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71" w14:textId="77777777" w:rsidR="003C66EB" w:rsidRDefault="00D96C4E">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7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74"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7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7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77"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7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7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7A" w14:textId="77777777" w:rsidR="003C66EB" w:rsidRDefault="00D96C4E">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7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7C" w14:textId="77777777" w:rsidR="003C66EB" w:rsidRDefault="003C66EB">
            <w:pPr>
              <w:rPr>
                <w:rFonts w:ascii="宋体"/>
              </w:rPr>
            </w:pPr>
          </w:p>
        </w:tc>
        <w:tc>
          <w:tcPr>
            <w:tcW w:w="0" w:type="auto"/>
            <w:shd w:val="clear" w:color="auto" w:fill="auto"/>
          </w:tcPr>
          <w:p w14:paraId="5EA2317D" w14:textId="77777777" w:rsidR="003C66EB" w:rsidRDefault="003C66EB">
            <w:pPr>
              <w:rPr>
                <w:rFonts w:ascii="宋体"/>
                <w:vanish/>
              </w:rPr>
            </w:pPr>
          </w:p>
        </w:tc>
        <w:tc>
          <w:tcPr>
            <w:tcW w:w="0" w:type="auto"/>
            <w:shd w:val="clear" w:color="auto" w:fill="auto"/>
          </w:tcPr>
          <w:p w14:paraId="5EA2317E"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7F"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8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8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82"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8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85"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8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88"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18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18B" w14:textId="77777777" w:rsidR="003C66EB" w:rsidRDefault="00D96C4E">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18C"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18D"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EA2318E" w14:textId="77777777" w:rsidR="003C66EB" w:rsidRDefault="00D96C4E">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r>
      <w:tr w:rsidR="00D96C4E" w14:paraId="5EA231B9" w14:textId="77777777">
        <w:tc>
          <w:tcPr>
            <w:tcW w:w="0" w:type="auto"/>
            <w:gridSpan w:val="3"/>
            <w:shd w:val="clear" w:color="auto" w:fill="CCEEFF"/>
            <w:tcMar>
              <w:top w:w="40" w:type="dxa"/>
              <w:left w:w="20" w:type="dxa"/>
              <w:bottom w:w="40" w:type="dxa"/>
              <w:right w:w="20" w:type="dxa"/>
            </w:tcMar>
            <w:vAlign w:val="center"/>
          </w:tcPr>
          <w:p w14:paraId="5EA23190" w14:textId="77777777" w:rsidR="003C66EB" w:rsidRDefault="00D96C4E">
            <w:pPr>
              <w:textAlignment w:val="center"/>
            </w:pPr>
            <w:r>
              <w:rPr>
                <w:rFonts w:ascii="Arial" w:eastAsia="宋体" w:hAnsi="Arial" w:cs="Arial"/>
                <w:color w:val="000000"/>
                <w:sz w:val="12"/>
                <w:szCs w:val="12"/>
              </w:rPr>
              <w:t>Total assets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91"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92" w14:textId="77777777" w:rsidR="003C66EB" w:rsidRDefault="00D96C4E">
            <w:pPr>
              <w:jc w:val="right"/>
              <w:textAlignment w:val="center"/>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94"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95"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96"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98"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99"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9A"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9C"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9D"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9E" w14:textId="77777777" w:rsidR="003C66EB" w:rsidRDefault="00D96C4E">
            <w:pPr>
              <w:jc w:val="right"/>
              <w:textAlignment w:val="center"/>
            </w:pPr>
            <w:r>
              <w:rPr>
                <w:rFonts w:ascii="Arial" w:eastAsia="宋体" w:hAnsi="Arial" w:cs="Arial"/>
                <w:b/>
                <w:bCs/>
                <w:color w:val="000000"/>
                <w:sz w:val="12"/>
                <w:szCs w:val="12"/>
              </w:rPr>
              <w:t>110</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A0" w14:textId="77777777" w:rsidR="003C66EB" w:rsidRDefault="003C66EB">
            <w:pPr>
              <w:rPr>
                <w:rFonts w:ascii="宋体"/>
              </w:rPr>
            </w:pPr>
          </w:p>
        </w:tc>
        <w:tc>
          <w:tcPr>
            <w:tcW w:w="0" w:type="auto"/>
            <w:shd w:val="clear" w:color="auto" w:fill="auto"/>
          </w:tcPr>
          <w:p w14:paraId="5EA231A1" w14:textId="77777777" w:rsidR="003C66EB" w:rsidRDefault="003C66EB">
            <w:pPr>
              <w:rPr>
                <w:rFonts w:ascii="宋体"/>
                <w:vanish/>
              </w:rPr>
            </w:pPr>
          </w:p>
        </w:tc>
        <w:tc>
          <w:tcPr>
            <w:tcW w:w="0" w:type="auto"/>
            <w:shd w:val="clear" w:color="auto" w:fill="auto"/>
          </w:tcPr>
          <w:p w14:paraId="5EA231A2" w14:textId="77777777" w:rsidR="003C66EB" w:rsidRDefault="003C66EB">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A3"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A4"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A6"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A7"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A8" w14:textId="77777777" w:rsidR="003C66EB" w:rsidRDefault="00D96C4E">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A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A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AB"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AC" w14:textId="77777777" w:rsidR="003C66EB" w:rsidRDefault="00D96C4E">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A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AF"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B0" w14:textId="77777777" w:rsidR="003C66EB" w:rsidRDefault="00D96C4E">
            <w:pPr>
              <w:jc w:val="right"/>
              <w:textAlignment w:val="center"/>
            </w:pPr>
            <w:r>
              <w:rPr>
                <w:rFonts w:ascii="Arial" w:eastAsia="宋体" w:hAnsi="Arial" w:cs="Arial"/>
                <w:b/>
                <w:bCs/>
                <w:color w:val="000000"/>
                <w:sz w:val="12"/>
                <w:szCs w:val="12"/>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1B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B3" w14:textId="77777777" w:rsidR="003C66EB" w:rsidRDefault="00D96C4E">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A231B4" w14:textId="77777777" w:rsidR="003C66EB" w:rsidRDefault="00D96C4E">
            <w:pPr>
              <w:jc w:val="right"/>
              <w:textAlignment w:val="center"/>
            </w:pPr>
            <w:r>
              <w:rPr>
                <w:rFonts w:ascii="Arial" w:eastAsia="宋体" w:hAnsi="Arial" w:cs="Arial"/>
                <w:b/>
                <w:bCs/>
                <w:color w:val="000000"/>
                <w:sz w:val="12"/>
                <w:szCs w:val="12"/>
              </w:rPr>
              <w:t>127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A231B5"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1B6"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A231B7" w14:textId="77777777" w:rsidR="003C66EB" w:rsidRDefault="00D96C4E">
            <w:pPr>
              <w:textAlignment w:val="center"/>
            </w:pPr>
            <w:r>
              <w:rPr>
                <w:rFonts w:ascii="Arial" w:eastAsia="宋体" w:hAnsi="Arial" w:cs="Arial"/>
                <w:b/>
                <w:bCs/>
                <w:color w:val="000000"/>
                <w:sz w:val="12"/>
                <w:szCs w:val="12"/>
              </w:rPr>
              <w:t>$</w:t>
            </w:r>
          </w:p>
          <w:p w14:paraId="5EA231B8" w14:textId="77777777" w:rsidR="003C66EB" w:rsidRDefault="00D96C4E">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r>
    </w:tbl>
    <w:p w14:paraId="5EA231BA"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3C66EB" w14:paraId="5EA231C7" w14:textId="77777777">
        <w:tc>
          <w:tcPr>
            <w:tcW w:w="50" w:type="pct"/>
            <w:shd w:val="clear" w:color="auto" w:fill="auto"/>
          </w:tcPr>
          <w:p w14:paraId="5EA231BB" w14:textId="77777777" w:rsidR="003C66EB" w:rsidRDefault="003C66EB">
            <w:pPr>
              <w:rPr>
                <w:rFonts w:ascii="宋体"/>
              </w:rPr>
            </w:pPr>
          </w:p>
        </w:tc>
        <w:tc>
          <w:tcPr>
            <w:tcW w:w="1348" w:type="pct"/>
            <w:shd w:val="clear" w:color="auto" w:fill="auto"/>
          </w:tcPr>
          <w:p w14:paraId="5EA231BC" w14:textId="77777777" w:rsidR="003C66EB" w:rsidRDefault="003C66EB">
            <w:pPr>
              <w:rPr>
                <w:rFonts w:ascii="宋体"/>
              </w:rPr>
            </w:pPr>
          </w:p>
        </w:tc>
        <w:tc>
          <w:tcPr>
            <w:tcW w:w="5" w:type="pct"/>
            <w:shd w:val="clear" w:color="auto" w:fill="auto"/>
          </w:tcPr>
          <w:p w14:paraId="5EA231BD" w14:textId="77777777" w:rsidR="003C66EB" w:rsidRDefault="003C66EB">
            <w:pPr>
              <w:rPr>
                <w:rFonts w:ascii="宋体"/>
              </w:rPr>
            </w:pPr>
          </w:p>
        </w:tc>
        <w:tc>
          <w:tcPr>
            <w:tcW w:w="50" w:type="pct"/>
            <w:shd w:val="clear" w:color="auto" w:fill="auto"/>
          </w:tcPr>
          <w:p w14:paraId="5EA231BE" w14:textId="77777777" w:rsidR="003C66EB" w:rsidRDefault="003C66EB">
            <w:pPr>
              <w:rPr>
                <w:rFonts w:ascii="宋体"/>
              </w:rPr>
            </w:pPr>
          </w:p>
        </w:tc>
        <w:tc>
          <w:tcPr>
            <w:tcW w:w="668" w:type="pct"/>
            <w:shd w:val="clear" w:color="auto" w:fill="auto"/>
          </w:tcPr>
          <w:p w14:paraId="5EA231BF" w14:textId="77777777" w:rsidR="003C66EB" w:rsidRDefault="003C66EB">
            <w:pPr>
              <w:rPr>
                <w:rFonts w:ascii="宋体"/>
              </w:rPr>
            </w:pPr>
          </w:p>
        </w:tc>
        <w:tc>
          <w:tcPr>
            <w:tcW w:w="5" w:type="pct"/>
            <w:shd w:val="clear" w:color="auto" w:fill="auto"/>
          </w:tcPr>
          <w:p w14:paraId="5EA231C0" w14:textId="77777777" w:rsidR="003C66EB" w:rsidRDefault="003C66EB">
            <w:pPr>
              <w:rPr>
                <w:rFonts w:ascii="宋体"/>
              </w:rPr>
            </w:pPr>
          </w:p>
        </w:tc>
        <w:tc>
          <w:tcPr>
            <w:tcW w:w="50" w:type="pct"/>
            <w:shd w:val="clear" w:color="auto" w:fill="auto"/>
          </w:tcPr>
          <w:p w14:paraId="5EA231C1" w14:textId="77777777" w:rsidR="003C66EB" w:rsidRDefault="003C66EB">
            <w:pPr>
              <w:rPr>
                <w:rFonts w:ascii="宋体"/>
              </w:rPr>
            </w:pPr>
          </w:p>
        </w:tc>
        <w:tc>
          <w:tcPr>
            <w:tcW w:w="909" w:type="pct"/>
            <w:shd w:val="clear" w:color="auto" w:fill="auto"/>
          </w:tcPr>
          <w:p w14:paraId="5EA231C2" w14:textId="77777777" w:rsidR="003C66EB" w:rsidRDefault="003C66EB">
            <w:pPr>
              <w:rPr>
                <w:rFonts w:ascii="宋体"/>
              </w:rPr>
            </w:pPr>
          </w:p>
        </w:tc>
        <w:tc>
          <w:tcPr>
            <w:tcW w:w="5" w:type="pct"/>
            <w:shd w:val="clear" w:color="auto" w:fill="auto"/>
          </w:tcPr>
          <w:p w14:paraId="5EA231C3" w14:textId="77777777" w:rsidR="003C66EB" w:rsidRDefault="003C66EB">
            <w:pPr>
              <w:rPr>
                <w:rFonts w:ascii="宋体"/>
              </w:rPr>
            </w:pPr>
          </w:p>
        </w:tc>
        <w:tc>
          <w:tcPr>
            <w:tcW w:w="50" w:type="pct"/>
            <w:shd w:val="clear" w:color="auto" w:fill="auto"/>
          </w:tcPr>
          <w:p w14:paraId="5EA231C4" w14:textId="77777777" w:rsidR="003C66EB" w:rsidRDefault="003C66EB">
            <w:pPr>
              <w:rPr>
                <w:rFonts w:ascii="宋体"/>
              </w:rPr>
            </w:pPr>
          </w:p>
        </w:tc>
        <w:tc>
          <w:tcPr>
            <w:tcW w:w="1852" w:type="pct"/>
            <w:shd w:val="clear" w:color="auto" w:fill="auto"/>
          </w:tcPr>
          <w:p w14:paraId="5EA231C5" w14:textId="77777777" w:rsidR="003C66EB" w:rsidRDefault="003C66EB">
            <w:pPr>
              <w:rPr>
                <w:rFonts w:ascii="宋体"/>
              </w:rPr>
            </w:pPr>
          </w:p>
        </w:tc>
        <w:tc>
          <w:tcPr>
            <w:tcW w:w="5" w:type="pct"/>
            <w:shd w:val="clear" w:color="auto" w:fill="auto"/>
          </w:tcPr>
          <w:p w14:paraId="5EA231C6" w14:textId="77777777" w:rsidR="003C66EB" w:rsidRDefault="003C66EB">
            <w:pPr>
              <w:rPr>
                <w:rFonts w:ascii="宋体"/>
              </w:rPr>
            </w:pPr>
          </w:p>
        </w:tc>
      </w:tr>
      <w:tr w:rsidR="003C66EB" w14:paraId="5EA231C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31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1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1C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1CB" w14:textId="77777777" w:rsidR="003C66EB" w:rsidRDefault="003C66EB">
            <w:pPr>
              <w:rPr>
                <w:rFonts w:ascii="宋体"/>
              </w:rPr>
            </w:pPr>
          </w:p>
        </w:tc>
      </w:tr>
    </w:tbl>
    <w:p w14:paraId="5EA231CD" w14:textId="77777777" w:rsidR="003C66EB" w:rsidRDefault="00D96C4E">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7"/>
        <w:gridCol w:w="880"/>
        <w:gridCol w:w="36"/>
        <w:gridCol w:w="86"/>
        <w:gridCol w:w="521"/>
        <w:gridCol w:w="36"/>
        <w:gridCol w:w="36"/>
        <w:gridCol w:w="36"/>
        <w:gridCol w:w="36"/>
        <w:gridCol w:w="86"/>
        <w:gridCol w:w="519"/>
        <w:gridCol w:w="37"/>
        <w:gridCol w:w="37"/>
        <w:gridCol w:w="44"/>
        <w:gridCol w:w="36"/>
        <w:gridCol w:w="92"/>
        <w:gridCol w:w="812"/>
        <w:gridCol w:w="36"/>
        <w:gridCol w:w="36"/>
        <w:gridCol w:w="36"/>
        <w:gridCol w:w="36"/>
        <w:gridCol w:w="89"/>
        <w:gridCol w:w="531"/>
        <w:gridCol w:w="36"/>
        <w:gridCol w:w="36"/>
        <w:gridCol w:w="36"/>
        <w:gridCol w:w="36"/>
        <w:gridCol w:w="36"/>
        <w:gridCol w:w="36"/>
        <w:gridCol w:w="86"/>
        <w:gridCol w:w="270"/>
        <w:gridCol w:w="36"/>
        <w:gridCol w:w="36"/>
        <w:gridCol w:w="36"/>
        <w:gridCol w:w="36"/>
        <w:gridCol w:w="88"/>
        <w:gridCol w:w="604"/>
        <w:gridCol w:w="36"/>
        <w:gridCol w:w="36"/>
        <w:gridCol w:w="36"/>
        <w:gridCol w:w="36"/>
        <w:gridCol w:w="88"/>
        <w:gridCol w:w="474"/>
        <w:gridCol w:w="36"/>
        <w:gridCol w:w="36"/>
        <w:gridCol w:w="36"/>
        <w:gridCol w:w="36"/>
        <w:gridCol w:w="88"/>
        <w:gridCol w:w="474"/>
        <w:gridCol w:w="36"/>
        <w:gridCol w:w="36"/>
        <w:gridCol w:w="36"/>
        <w:gridCol w:w="36"/>
        <w:gridCol w:w="85"/>
        <w:gridCol w:w="324"/>
        <w:gridCol w:w="36"/>
        <w:gridCol w:w="36"/>
        <w:gridCol w:w="36"/>
        <w:gridCol w:w="704"/>
      </w:tblGrid>
      <w:tr w:rsidR="003C66EB" w14:paraId="5EA23209" w14:textId="77777777">
        <w:tc>
          <w:tcPr>
            <w:tcW w:w="50" w:type="pct"/>
            <w:shd w:val="clear" w:color="auto" w:fill="auto"/>
          </w:tcPr>
          <w:p w14:paraId="5EA231CE" w14:textId="77777777" w:rsidR="003C66EB" w:rsidRDefault="003C66EB">
            <w:pPr>
              <w:rPr>
                <w:rFonts w:ascii="宋体"/>
              </w:rPr>
            </w:pPr>
          </w:p>
        </w:tc>
        <w:tc>
          <w:tcPr>
            <w:tcW w:w="866" w:type="pct"/>
            <w:shd w:val="clear" w:color="auto" w:fill="auto"/>
          </w:tcPr>
          <w:p w14:paraId="5EA231CF" w14:textId="77777777" w:rsidR="003C66EB" w:rsidRDefault="003C66EB">
            <w:pPr>
              <w:rPr>
                <w:rFonts w:ascii="宋体"/>
              </w:rPr>
            </w:pPr>
          </w:p>
        </w:tc>
        <w:tc>
          <w:tcPr>
            <w:tcW w:w="5" w:type="pct"/>
            <w:shd w:val="clear" w:color="auto" w:fill="auto"/>
          </w:tcPr>
          <w:p w14:paraId="5EA231D0" w14:textId="77777777" w:rsidR="003C66EB" w:rsidRDefault="003C66EB">
            <w:pPr>
              <w:rPr>
                <w:rFonts w:ascii="宋体"/>
              </w:rPr>
            </w:pPr>
          </w:p>
        </w:tc>
        <w:tc>
          <w:tcPr>
            <w:tcW w:w="50" w:type="pct"/>
            <w:shd w:val="clear" w:color="auto" w:fill="auto"/>
          </w:tcPr>
          <w:p w14:paraId="5EA231D1" w14:textId="77777777" w:rsidR="003C66EB" w:rsidRDefault="003C66EB">
            <w:pPr>
              <w:rPr>
                <w:rFonts w:ascii="宋体"/>
              </w:rPr>
            </w:pPr>
          </w:p>
        </w:tc>
        <w:tc>
          <w:tcPr>
            <w:tcW w:w="354" w:type="pct"/>
            <w:shd w:val="clear" w:color="auto" w:fill="auto"/>
          </w:tcPr>
          <w:p w14:paraId="5EA231D2" w14:textId="77777777" w:rsidR="003C66EB" w:rsidRDefault="003C66EB">
            <w:pPr>
              <w:rPr>
                <w:rFonts w:ascii="宋体"/>
              </w:rPr>
            </w:pPr>
          </w:p>
        </w:tc>
        <w:tc>
          <w:tcPr>
            <w:tcW w:w="5" w:type="pct"/>
            <w:shd w:val="clear" w:color="auto" w:fill="auto"/>
          </w:tcPr>
          <w:p w14:paraId="5EA231D3" w14:textId="77777777" w:rsidR="003C66EB" w:rsidRDefault="003C66EB">
            <w:pPr>
              <w:rPr>
                <w:rFonts w:ascii="宋体"/>
              </w:rPr>
            </w:pPr>
          </w:p>
        </w:tc>
        <w:tc>
          <w:tcPr>
            <w:tcW w:w="5" w:type="pct"/>
            <w:shd w:val="clear" w:color="auto" w:fill="auto"/>
          </w:tcPr>
          <w:p w14:paraId="5EA231D4" w14:textId="77777777" w:rsidR="003C66EB" w:rsidRDefault="003C66EB">
            <w:pPr>
              <w:rPr>
                <w:rFonts w:ascii="宋体"/>
              </w:rPr>
            </w:pPr>
          </w:p>
        </w:tc>
        <w:tc>
          <w:tcPr>
            <w:tcW w:w="26" w:type="pct"/>
            <w:shd w:val="clear" w:color="auto" w:fill="auto"/>
          </w:tcPr>
          <w:p w14:paraId="5EA231D5" w14:textId="77777777" w:rsidR="003C66EB" w:rsidRDefault="003C66EB">
            <w:pPr>
              <w:rPr>
                <w:rFonts w:ascii="宋体"/>
              </w:rPr>
            </w:pPr>
          </w:p>
        </w:tc>
        <w:tc>
          <w:tcPr>
            <w:tcW w:w="5" w:type="pct"/>
            <w:shd w:val="clear" w:color="auto" w:fill="auto"/>
          </w:tcPr>
          <w:p w14:paraId="5EA231D6" w14:textId="77777777" w:rsidR="003C66EB" w:rsidRDefault="003C66EB">
            <w:pPr>
              <w:rPr>
                <w:rFonts w:ascii="宋体"/>
              </w:rPr>
            </w:pPr>
          </w:p>
        </w:tc>
        <w:tc>
          <w:tcPr>
            <w:tcW w:w="50" w:type="pct"/>
            <w:shd w:val="clear" w:color="auto" w:fill="auto"/>
          </w:tcPr>
          <w:p w14:paraId="5EA231D7" w14:textId="77777777" w:rsidR="003C66EB" w:rsidRDefault="003C66EB">
            <w:pPr>
              <w:rPr>
                <w:rFonts w:ascii="宋体"/>
              </w:rPr>
            </w:pPr>
          </w:p>
        </w:tc>
        <w:tc>
          <w:tcPr>
            <w:tcW w:w="317" w:type="pct"/>
            <w:shd w:val="clear" w:color="auto" w:fill="auto"/>
          </w:tcPr>
          <w:p w14:paraId="5EA231D8" w14:textId="77777777" w:rsidR="003C66EB" w:rsidRDefault="003C66EB">
            <w:pPr>
              <w:rPr>
                <w:rFonts w:ascii="宋体"/>
              </w:rPr>
            </w:pPr>
          </w:p>
        </w:tc>
        <w:tc>
          <w:tcPr>
            <w:tcW w:w="5" w:type="pct"/>
            <w:shd w:val="clear" w:color="auto" w:fill="auto"/>
          </w:tcPr>
          <w:p w14:paraId="5EA231D9" w14:textId="77777777" w:rsidR="003C66EB" w:rsidRDefault="003C66EB">
            <w:pPr>
              <w:rPr>
                <w:rFonts w:ascii="宋体"/>
              </w:rPr>
            </w:pPr>
          </w:p>
        </w:tc>
        <w:tc>
          <w:tcPr>
            <w:tcW w:w="5" w:type="pct"/>
            <w:shd w:val="clear" w:color="auto" w:fill="auto"/>
          </w:tcPr>
          <w:p w14:paraId="5EA231DA" w14:textId="77777777" w:rsidR="003C66EB" w:rsidRDefault="003C66EB">
            <w:pPr>
              <w:rPr>
                <w:rFonts w:ascii="宋体"/>
              </w:rPr>
            </w:pPr>
          </w:p>
        </w:tc>
        <w:tc>
          <w:tcPr>
            <w:tcW w:w="26" w:type="pct"/>
            <w:shd w:val="clear" w:color="auto" w:fill="auto"/>
          </w:tcPr>
          <w:p w14:paraId="5EA231DB" w14:textId="77777777" w:rsidR="003C66EB" w:rsidRDefault="003C66EB">
            <w:pPr>
              <w:rPr>
                <w:rFonts w:ascii="宋体"/>
              </w:rPr>
            </w:pPr>
          </w:p>
        </w:tc>
        <w:tc>
          <w:tcPr>
            <w:tcW w:w="5" w:type="pct"/>
            <w:shd w:val="clear" w:color="auto" w:fill="auto"/>
          </w:tcPr>
          <w:p w14:paraId="5EA231DC" w14:textId="77777777" w:rsidR="003C66EB" w:rsidRDefault="003C66EB">
            <w:pPr>
              <w:rPr>
                <w:rFonts w:ascii="宋体"/>
              </w:rPr>
            </w:pPr>
          </w:p>
        </w:tc>
        <w:tc>
          <w:tcPr>
            <w:tcW w:w="50" w:type="pct"/>
            <w:shd w:val="clear" w:color="auto" w:fill="auto"/>
          </w:tcPr>
          <w:p w14:paraId="5EA231DD" w14:textId="77777777" w:rsidR="003C66EB" w:rsidRDefault="003C66EB">
            <w:pPr>
              <w:rPr>
                <w:rFonts w:ascii="宋体"/>
              </w:rPr>
            </w:pPr>
          </w:p>
        </w:tc>
        <w:tc>
          <w:tcPr>
            <w:tcW w:w="449" w:type="pct"/>
            <w:shd w:val="clear" w:color="auto" w:fill="auto"/>
          </w:tcPr>
          <w:p w14:paraId="5EA231DE" w14:textId="77777777" w:rsidR="003C66EB" w:rsidRDefault="003C66EB">
            <w:pPr>
              <w:rPr>
                <w:rFonts w:ascii="宋体"/>
              </w:rPr>
            </w:pPr>
          </w:p>
        </w:tc>
        <w:tc>
          <w:tcPr>
            <w:tcW w:w="5" w:type="pct"/>
            <w:shd w:val="clear" w:color="auto" w:fill="auto"/>
          </w:tcPr>
          <w:p w14:paraId="5EA231DF" w14:textId="77777777" w:rsidR="003C66EB" w:rsidRDefault="003C66EB">
            <w:pPr>
              <w:rPr>
                <w:rFonts w:ascii="宋体"/>
              </w:rPr>
            </w:pPr>
          </w:p>
        </w:tc>
        <w:tc>
          <w:tcPr>
            <w:tcW w:w="5" w:type="pct"/>
            <w:shd w:val="clear" w:color="auto" w:fill="auto"/>
          </w:tcPr>
          <w:p w14:paraId="5EA231E0" w14:textId="77777777" w:rsidR="003C66EB" w:rsidRDefault="003C66EB">
            <w:pPr>
              <w:rPr>
                <w:rFonts w:ascii="宋体"/>
              </w:rPr>
            </w:pPr>
          </w:p>
        </w:tc>
        <w:tc>
          <w:tcPr>
            <w:tcW w:w="26" w:type="pct"/>
            <w:shd w:val="clear" w:color="auto" w:fill="auto"/>
          </w:tcPr>
          <w:p w14:paraId="5EA231E1" w14:textId="77777777" w:rsidR="003C66EB" w:rsidRDefault="003C66EB">
            <w:pPr>
              <w:rPr>
                <w:rFonts w:ascii="宋体"/>
              </w:rPr>
            </w:pPr>
          </w:p>
        </w:tc>
        <w:tc>
          <w:tcPr>
            <w:tcW w:w="5" w:type="pct"/>
            <w:shd w:val="clear" w:color="auto" w:fill="auto"/>
          </w:tcPr>
          <w:p w14:paraId="5EA231E2" w14:textId="77777777" w:rsidR="003C66EB" w:rsidRDefault="003C66EB">
            <w:pPr>
              <w:rPr>
                <w:rFonts w:ascii="宋体"/>
              </w:rPr>
            </w:pPr>
          </w:p>
        </w:tc>
        <w:tc>
          <w:tcPr>
            <w:tcW w:w="50" w:type="pct"/>
            <w:shd w:val="clear" w:color="auto" w:fill="auto"/>
          </w:tcPr>
          <w:p w14:paraId="5EA231E3" w14:textId="77777777" w:rsidR="003C66EB" w:rsidRDefault="003C66EB">
            <w:pPr>
              <w:rPr>
                <w:rFonts w:ascii="宋体"/>
              </w:rPr>
            </w:pPr>
          </w:p>
        </w:tc>
        <w:tc>
          <w:tcPr>
            <w:tcW w:w="303" w:type="pct"/>
            <w:shd w:val="clear" w:color="auto" w:fill="auto"/>
          </w:tcPr>
          <w:p w14:paraId="5EA231E4" w14:textId="77777777" w:rsidR="003C66EB" w:rsidRDefault="003C66EB">
            <w:pPr>
              <w:rPr>
                <w:rFonts w:ascii="宋体"/>
              </w:rPr>
            </w:pPr>
          </w:p>
        </w:tc>
        <w:tc>
          <w:tcPr>
            <w:tcW w:w="5" w:type="pct"/>
            <w:shd w:val="clear" w:color="auto" w:fill="auto"/>
          </w:tcPr>
          <w:p w14:paraId="5EA231E5" w14:textId="77777777" w:rsidR="003C66EB" w:rsidRDefault="003C66EB">
            <w:pPr>
              <w:rPr>
                <w:rFonts w:ascii="宋体"/>
              </w:rPr>
            </w:pPr>
          </w:p>
        </w:tc>
        <w:tc>
          <w:tcPr>
            <w:tcW w:w="0" w:type="auto"/>
            <w:shd w:val="clear" w:color="auto" w:fill="auto"/>
          </w:tcPr>
          <w:p w14:paraId="5EA231E6" w14:textId="77777777" w:rsidR="003C66EB" w:rsidRDefault="003C66EB">
            <w:pPr>
              <w:rPr>
                <w:rFonts w:ascii="宋体"/>
                <w:vanish/>
              </w:rPr>
            </w:pPr>
          </w:p>
        </w:tc>
        <w:tc>
          <w:tcPr>
            <w:tcW w:w="0" w:type="auto"/>
            <w:shd w:val="clear" w:color="auto" w:fill="auto"/>
          </w:tcPr>
          <w:p w14:paraId="5EA231E7" w14:textId="77777777" w:rsidR="003C66EB" w:rsidRDefault="003C66EB">
            <w:pPr>
              <w:rPr>
                <w:rFonts w:ascii="宋体"/>
                <w:vanish/>
              </w:rPr>
            </w:pPr>
          </w:p>
        </w:tc>
        <w:tc>
          <w:tcPr>
            <w:tcW w:w="5" w:type="pct"/>
            <w:shd w:val="clear" w:color="auto" w:fill="auto"/>
          </w:tcPr>
          <w:p w14:paraId="5EA231E8" w14:textId="77777777" w:rsidR="003C66EB" w:rsidRDefault="003C66EB">
            <w:pPr>
              <w:rPr>
                <w:rFonts w:ascii="宋体"/>
              </w:rPr>
            </w:pPr>
          </w:p>
        </w:tc>
        <w:tc>
          <w:tcPr>
            <w:tcW w:w="26" w:type="pct"/>
            <w:shd w:val="clear" w:color="auto" w:fill="auto"/>
          </w:tcPr>
          <w:p w14:paraId="5EA231E9" w14:textId="77777777" w:rsidR="003C66EB" w:rsidRDefault="003C66EB">
            <w:pPr>
              <w:rPr>
                <w:rFonts w:ascii="宋体"/>
              </w:rPr>
            </w:pPr>
          </w:p>
        </w:tc>
        <w:tc>
          <w:tcPr>
            <w:tcW w:w="5" w:type="pct"/>
            <w:shd w:val="clear" w:color="auto" w:fill="auto"/>
          </w:tcPr>
          <w:p w14:paraId="5EA231EA" w14:textId="77777777" w:rsidR="003C66EB" w:rsidRDefault="003C66EB">
            <w:pPr>
              <w:rPr>
                <w:rFonts w:ascii="宋体"/>
              </w:rPr>
            </w:pPr>
          </w:p>
        </w:tc>
        <w:tc>
          <w:tcPr>
            <w:tcW w:w="50" w:type="pct"/>
            <w:shd w:val="clear" w:color="auto" w:fill="auto"/>
          </w:tcPr>
          <w:p w14:paraId="5EA231EB" w14:textId="77777777" w:rsidR="003C66EB" w:rsidRDefault="003C66EB">
            <w:pPr>
              <w:rPr>
                <w:rFonts w:ascii="宋体"/>
              </w:rPr>
            </w:pPr>
          </w:p>
        </w:tc>
        <w:tc>
          <w:tcPr>
            <w:tcW w:w="200" w:type="pct"/>
            <w:shd w:val="clear" w:color="auto" w:fill="auto"/>
          </w:tcPr>
          <w:p w14:paraId="5EA231EC" w14:textId="77777777" w:rsidR="003C66EB" w:rsidRDefault="003C66EB">
            <w:pPr>
              <w:rPr>
                <w:rFonts w:ascii="宋体"/>
              </w:rPr>
            </w:pPr>
          </w:p>
        </w:tc>
        <w:tc>
          <w:tcPr>
            <w:tcW w:w="5" w:type="pct"/>
            <w:shd w:val="clear" w:color="auto" w:fill="auto"/>
          </w:tcPr>
          <w:p w14:paraId="5EA231ED" w14:textId="77777777" w:rsidR="003C66EB" w:rsidRDefault="003C66EB">
            <w:pPr>
              <w:rPr>
                <w:rFonts w:ascii="宋体"/>
              </w:rPr>
            </w:pPr>
          </w:p>
        </w:tc>
        <w:tc>
          <w:tcPr>
            <w:tcW w:w="5" w:type="pct"/>
            <w:shd w:val="clear" w:color="auto" w:fill="auto"/>
          </w:tcPr>
          <w:p w14:paraId="5EA231EE" w14:textId="77777777" w:rsidR="003C66EB" w:rsidRDefault="003C66EB">
            <w:pPr>
              <w:rPr>
                <w:rFonts w:ascii="宋体"/>
              </w:rPr>
            </w:pPr>
          </w:p>
        </w:tc>
        <w:tc>
          <w:tcPr>
            <w:tcW w:w="26" w:type="pct"/>
            <w:shd w:val="clear" w:color="auto" w:fill="auto"/>
          </w:tcPr>
          <w:p w14:paraId="5EA231EF" w14:textId="77777777" w:rsidR="003C66EB" w:rsidRDefault="003C66EB">
            <w:pPr>
              <w:rPr>
                <w:rFonts w:ascii="宋体"/>
              </w:rPr>
            </w:pPr>
          </w:p>
        </w:tc>
        <w:tc>
          <w:tcPr>
            <w:tcW w:w="5" w:type="pct"/>
            <w:shd w:val="clear" w:color="auto" w:fill="auto"/>
          </w:tcPr>
          <w:p w14:paraId="5EA231F0" w14:textId="77777777" w:rsidR="003C66EB" w:rsidRDefault="003C66EB">
            <w:pPr>
              <w:rPr>
                <w:rFonts w:ascii="宋体"/>
              </w:rPr>
            </w:pPr>
          </w:p>
        </w:tc>
        <w:tc>
          <w:tcPr>
            <w:tcW w:w="50" w:type="pct"/>
            <w:shd w:val="clear" w:color="auto" w:fill="auto"/>
          </w:tcPr>
          <w:p w14:paraId="5EA231F1" w14:textId="77777777" w:rsidR="003C66EB" w:rsidRDefault="003C66EB">
            <w:pPr>
              <w:rPr>
                <w:rFonts w:ascii="宋体"/>
              </w:rPr>
            </w:pPr>
          </w:p>
        </w:tc>
        <w:tc>
          <w:tcPr>
            <w:tcW w:w="347" w:type="pct"/>
            <w:shd w:val="clear" w:color="auto" w:fill="auto"/>
          </w:tcPr>
          <w:p w14:paraId="5EA231F2" w14:textId="77777777" w:rsidR="003C66EB" w:rsidRDefault="003C66EB">
            <w:pPr>
              <w:rPr>
                <w:rFonts w:ascii="宋体"/>
              </w:rPr>
            </w:pPr>
          </w:p>
        </w:tc>
        <w:tc>
          <w:tcPr>
            <w:tcW w:w="5" w:type="pct"/>
            <w:shd w:val="clear" w:color="auto" w:fill="auto"/>
          </w:tcPr>
          <w:p w14:paraId="5EA231F3" w14:textId="77777777" w:rsidR="003C66EB" w:rsidRDefault="003C66EB">
            <w:pPr>
              <w:rPr>
                <w:rFonts w:ascii="宋体"/>
              </w:rPr>
            </w:pPr>
          </w:p>
        </w:tc>
        <w:tc>
          <w:tcPr>
            <w:tcW w:w="5" w:type="pct"/>
            <w:shd w:val="clear" w:color="auto" w:fill="auto"/>
          </w:tcPr>
          <w:p w14:paraId="5EA231F4" w14:textId="77777777" w:rsidR="003C66EB" w:rsidRDefault="003C66EB">
            <w:pPr>
              <w:rPr>
                <w:rFonts w:ascii="宋体"/>
              </w:rPr>
            </w:pPr>
          </w:p>
        </w:tc>
        <w:tc>
          <w:tcPr>
            <w:tcW w:w="26" w:type="pct"/>
            <w:shd w:val="clear" w:color="auto" w:fill="auto"/>
          </w:tcPr>
          <w:p w14:paraId="5EA231F5" w14:textId="77777777" w:rsidR="003C66EB" w:rsidRDefault="003C66EB">
            <w:pPr>
              <w:rPr>
                <w:rFonts w:ascii="宋体"/>
              </w:rPr>
            </w:pPr>
          </w:p>
        </w:tc>
        <w:tc>
          <w:tcPr>
            <w:tcW w:w="5" w:type="pct"/>
            <w:shd w:val="clear" w:color="auto" w:fill="auto"/>
          </w:tcPr>
          <w:p w14:paraId="5EA231F6" w14:textId="77777777" w:rsidR="003C66EB" w:rsidRDefault="003C66EB">
            <w:pPr>
              <w:rPr>
                <w:rFonts w:ascii="宋体"/>
              </w:rPr>
            </w:pPr>
          </w:p>
        </w:tc>
        <w:tc>
          <w:tcPr>
            <w:tcW w:w="50" w:type="pct"/>
            <w:shd w:val="clear" w:color="auto" w:fill="auto"/>
          </w:tcPr>
          <w:p w14:paraId="5EA231F7" w14:textId="77777777" w:rsidR="003C66EB" w:rsidRDefault="003C66EB">
            <w:pPr>
              <w:rPr>
                <w:rFonts w:ascii="宋体"/>
              </w:rPr>
            </w:pPr>
          </w:p>
        </w:tc>
        <w:tc>
          <w:tcPr>
            <w:tcW w:w="273" w:type="pct"/>
            <w:shd w:val="clear" w:color="auto" w:fill="auto"/>
          </w:tcPr>
          <w:p w14:paraId="5EA231F8" w14:textId="77777777" w:rsidR="003C66EB" w:rsidRDefault="003C66EB">
            <w:pPr>
              <w:rPr>
                <w:rFonts w:ascii="宋体"/>
              </w:rPr>
            </w:pPr>
          </w:p>
        </w:tc>
        <w:tc>
          <w:tcPr>
            <w:tcW w:w="5" w:type="pct"/>
            <w:shd w:val="clear" w:color="auto" w:fill="auto"/>
          </w:tcPr>
          <w:p w14:paraId="5EA231F9" w14:textId="77777777" w:rsidR="003C66EB" w:rsidRDefault="003C66EB">
            <w:pPr>
              <w:rPr>
                <w:rFonts w:ascii="宋体"/>
              </w:rPr>
            </w:pPr>
          </w:p>
        </w:tc>
        <w:tc>
          <w:tcPr>
            <w:tcW w:w="5" w:type="pct"/>
            <w:shd w:val="clear" w:color="auto" w:fill="auto"/>
          </w:tcPr>
          <w:p w14:paraId="5EA231FA" w14:textId="77777777" w:rsidR="003C66EB" w:rsidRDefault="003C66EB">
            <w:pPr>
              <w:rPr>
                <w:rFonts w:ascii="宋体"/>
              </w:rPr>
            </w:pPr>
          </w:p>
        </w:tc>
        <w:tc>
          <w:tcPr>
            <w:tcW w:w="26" w:type="pct"/>
            <w:shd w:val="clear" w:color="auto" w:fill="auto"/>
          </w:tcPr>
          <w:p w14:paraId="5EA231FB" w14:textId="77777777" w:rsidR="003C66EB" w:rsidRDefault="003C66EB">
            <w:pPr>
              <w:rPr>
                <w:rFonts w:ascii="宋体"/>
              </w:rPr>
            </w:pPr>
          </w:p>
        </w:tc>
        <w:tc>
          <w:tcPr>
            <w:tcW w:w="5" w:type="pct"/>
            <w:shd w:val="clear" w:color="auto" w:fill="auto"/>
          </w:tcPr>
          <w:p w14:paraId="5EA231FC" w14:textId="77777777" w:rsidR="003C66EB" w:rsidRDefault="003C66EB">
            <w:pPr>
              <w:rPr>
                <w:rFonts w:ascii="宋体"/>
              </w:rPr>
            </w:pPr>
          </w:p>
        </w:tc>
        <w:tc>
          <w:tcPr>
            <w:tcW w:w="50" w:type="pct"/>
            <w:shd w:val="clear" w:color="auto" w:fill="auto"/>
          </w:tcPr>
          <w:p w14:paraId="5EA231FD" w14:textId="77777777" w:rsidR="003C66EB" w:rsidRDefault="003C66EB">
            <w:pPr>
              <w:rPr>
                <w:rFonts w:ascii="宋体"/>
              </w:rPr>
            </w:pPr>
          </w:p>
        </w:tc>
        <w:tc>
          <w:tcPr>
            <w:tcW w:w="273" w:type="pct"/>
            <w:shd w:val="clear" w:color="auto" w:fill="auto"/>
          </w:tcPr>
          <w:p w14:paraId="5EA231FE" w14:textId="77777777" w:rsidR="003C66EB" w:rsidRDefault="003C66EB">
            <w:pPr>
              <w:rPr>
                <w:rFonts w:ascii="宋体"/>
              </w:rPr>
            </w:pPr>
          </w:p>
        </w:tc>
        <w:tc>
          <w:tcPr>
            <w:tcW w:w="5" w:type="pct"/>
            <w:shd w:val="clear" w:color="auto" w:fill="auto"/>
          </w:tcPr>
          <w:p w14:paraId="5EA231FF" w14:textId="77777777" w:rsidR="003C66EB" w:rsidRDefault="003C66EB">
            <w:pPr>
              <w:rPr>
                <w:rFonts w:ascii="宋体"/>
              </w:rPr>
            </w:pPr>
          </w:p>
        </w:tc>
        <w:tc>
          <w:tcPr>
            <w:tcW w:w="5" w:type="pct"/>
            <w:shd w:val="clear" w:color="auto" w:fill="auto"/>
          </w:tcPr>
          <w:p w14:paraId="5EA23200" w14:textId="77777777" w:rsidR="003C66EB" w:rsidRDefault="003C66EB">
            <w:pPr>
              <w:rPr>
                <w:rFonts w:ascii="宋体"/>
              </w:rPr>
            </w:pPr>
          </w:p>
        </w:tc>
        <w:tc>
          <w:tcPr>
            <w:tcW w:w="26" w:type="pct"/>
            <w:shd w:val="clear" w:color="auto" w:fill="auto"/>
          </w:tcPr>
          <w:p w14:paraId="5EA23201" w14:textId="77777777" w:rsidR="003C66EB" w:rsidRDefault="003C66EB">
            <w:pPr>
              <w:rPr>
                <w:rFonts w:ascii="宋体"/>
              </w:rPr>
            </w:pPr>
          </w:p>
        </w:tc>
        <w:tc>
          <w:tcPr>
            <w:tcW w:w="5" w:type="pct"/>
            <w:shd w:val="clear" w:color="auto" w:fill="auto"/>
          </w:tcPr>
          <w:p w14:paraId="5EA23202" w14:textId="77777777" w:rsidR="003C66EB" w:rsidRDefault="003C66EB">
            <w:pPr>
              <w:rPr>
                <w:rFonts w:ascii="宋体"/>
              </w:rPr>
            </w:pPr>
          </w:p>
        </w:tc>
        <w:tc>
          <w:tcPr>
            <w:tcW w:w="50" w:type="pct"/>
            <w:shd w:val="clear" w:color="auto" w:fill="auto"/>
          </w:tcPr>
          <w:p w14:paraId="5EA23203" w14:textId="77777777" w:rsidR="003C66EB" w:rsidRDefault="003C66EB">
            <w:pPr>
              <w:rPr>
                <w:rFonts w:ascii="宋体"/>
              </w:rPr>
            </w:pPr>
          </w:p>
        </w:tc>
        <w:tc>
          <w:tcPr>
            <w:tcW w:w="295" w:type="pct"/>
            <w:shd w:val="clear" w:color="auto" w:fill="auto"/>
          </w:tcPr>
          <w:p w14:paraId="5EA23204" w14:textId="77777777" w:rsidR="003C66EB" w:rsidRDefault="003C66EB">
            <w:pPr>
              <w:rPr>
                <w:rFonts w:ascii="宋体"/>
              </w:rPr>
            </w:pPr>
          </w:p>
        </w:tc>
        <w:tc>
          <w:tcPr>
            <w:tcW w:w="5" w:type="pct"/>
            <w:shd w:val="clear" w:color="auto" w:fill="auto"/>
          </w:tcPr>
          <w:p w14:paraId="5EA23205" w14:textId="77777777" w:rsidR="003C66EB" w:rsidRDefault="003C66EB">
            <w:pPr>
              <w:rPr>
                <w:rFonts w:ascii="宋体"/>
              </w:rPr>
            </w:pPr>
          </w:p>
        </w:tc>
        <w:tc>
          <w:tcPr>
            <w:tcW w:w="5" w:type="pct"/>
            <w:shd w:val="clear" w:color="auto" w:fill="auto"/>
          </w:tcPr>
          <w:p w14:paraId="5EA23206" w14:textId="77777777" w:rsidR="003C66EB" w:rsidRDefault="003C66EB">
            <w:pPr>
              <w:rPr>
                <w:rFonts w:ascii="宋体"/>
              </w:rPr>
            </w:pPr>
          </w:p>
        </w:tc>
        <w:tc>
          <w:tcPr>
            <w:tcW w:w="26" w:type="pct"/>
            <w:shd w:val="clear" w:color="auto" w:fill="auto"/>
          </w:tcPr>
          <w:p w14:paraId="5EA23207" w14:textId="77777777" w:rsidR="003C66EB" w:rsidRDefault="003C66EB">
            <w:pPr>
              <w:rPr>
                <w:rFonts w:ascii="宋体"/>
              </w:rPr>
            </w:pPr>
          </w:p>
        </w:tc>
        <w:tc>
          <w:tcPr>
            <w:tcW w:w="5" w:type="pct"/>
            <w:shd w:val="clear" w:color="auto" w:fill="auto"/>
          </w:tcPr>
          <w:p w14:paraId="5EA23208" w14:textId="77777777" w:rsidR="003C66EB" w:rsidRDefault="003C66EB">
            <w:pPr>
              <w:rPr>
                <w:rFonts w:ascii="宋体"/>
              </w:rPr>
            </w:pPr>
          </w:p>
        </w:tc>
      </w:tr>
      <w:tr w:rsidR="003C66EB" w14:paraId="5EA2320F" w14:textId="77777777">
        <w:tc>
          <w:tcPr>
            <w:tcW w:w="0" w:type="auto"/>
            <w:gridSpan w:val="3"/>
            <w:shd w:val="clear" w:color="auto" w:fill="auto"/>
            <w:tcMar>
              <w:top w:w="0" w:type="dxa"/>
              <w:left w:w="20" w:type="dxa"/>
              <w:bottom w:w="0" w:type="dxa"/>
              <w:right w:w="20" w:type="dxa"/>
            </w:tcMar>
          </w:tcPr>
          <w:p w14:paraId="5EA2320A" w14:textId="77777777" w:rsidR="003C66EB" w:rsidRDefault="003C66EB">
            <w:pPr>
              <w:rPr>
                <w:rFonts w:ascii="宋体"/>
              </w:rPr>
            </w:pPr>
          </w:p>
        </w:tc>
        <w:tc>
          <w:tcPr>
            <w:tcW w:w="0" w:type="auto"/>
            <w:gridSpan w:val="53"/>
            <w:shd w:val="clear" w:color="auto" w:fill="auto"/>
            <w:tcMar>
              <w:top w:w="40" w:type="dxa"/>
              <w:left w:w="20" w:type="dxa"/>
              <w:bottom w:w="40" w:type="dxa"/>
              <w:right w:w="20" w:type="dxa"/>
            </w:tcMar>
            <w:vAlign w:val="bottom"/>
          </w:tcPr>
          <w:p w14:paraId="5EA2320B" w14:textId="77777777" w:rsidR="003C66EB" w:rsidRDefault="00D96C4E">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tcPr>
          <w:p w14:paraId="5EA2320C" w14:textId="77777777" w:rsidR="003C66EB" w:rsidRDefault="003C66EB">
            <w:pPr>
              <w:rPr>
                <w:rFonts w:ascii="宋体"/>
              </w:rPr>
            </w:pPr>
          </w:p>
        </w:tc>
        <w:tc>
          <w:tcPr>
            <w:tcW w:w="0" w:type="auto"/>
            <w:shd w:val="clear" w:color="auto" w:fill="auto"/>
          </w:tcPr>
          <w:p w14:paraId="5EA2320D" w14:textId="77777777" w:rsidR="003C66EB" w:rsidRDefault="003C66EB">
            <w:pPr>
              <w:rPr>
                <w:rFonts w:ascii="宋体"/>
              </w:rPr>
            </w:pPr>
          </w:p>
        </w:tc>
        <w:tc>
          <w:tcPr>
            <w:tcW w:w="0" w:type="auto"/>
            <w:shd w:val="clear" w:color="auto" w:fill="auto"/>
          </w:tcPr>
          <w:p w14:paraId="5EA2320E" w14:textId="77777777" w:rsidR="003C66EB" w:rsidRDefault="003C66EB">
            <w:pPr>
              <w:rPr>
                <w:rFonts w:ascii="宋体"/>
              </w:rPr>
            </w:pPr>
          </w:p>
        </w:tc>
      </w:tr>
      <w:tr w:rsidR="003C66EB" w14:paraId="5EA23215" w14:textId="77777777">
        <w:tc>
          <w:tcPr>
            <w:tcW w:w="0" w:type="auto"/>
            <w:gridSpan w:val="3"/>
            <w:shd w:val="clear" w:color="auto" w:fill="auto"/>
            <w:tcMar>
              <w:top w:w="40" w:type="dxa"/>
              <w:left w:w="20" w:type="dxa"/>
              <w:bottom w:w="40" w:type="dxa"/>
              <w:right w:w="20" w:type="dxa"/>
            </w:tcMar>
          </w:tcPr>
          <w:p w14:paraId="5EA23210" w14:textId="77777777" w:rsidR="003C66EB" w:rsidRDefault="00D96C4E">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EA23211" w14:textId="77777777" w:rsidR="003C66EB" w:rsidRDefault="00D96C4E">
            <w:pPr>
              <w:jc w:val="center"/>
              <w:textAlignment w:val="bottom"/>
            </w:pPr>
            <w:r>
              <w:rPr>
                <w:rFonts w:ascii="Arial" w:eastAsia="宋体" w:hAnsi="Arial" w:cs="Arial"/>
                <w:b/>
                <w:bCs/>
                <w:color w:val="000000"/>
                <w:sz w:val="12"/>
                <w:szCs w:val="12"/>
              </w:rPr>
              <w:t>Three Months Ended March 31, 2020</w:t>
            </w:r>
          </w:p>
        </w:tc>
        <w:tc>
          <w:tcPr>
            <w:tcW w:w="0" w:type="auto"/>
            <w:shd w:val="clear" w:color="auto" w:fill="auto"/>
          </w:tcPr>
          <w:p w14:paraId="5EA23212" w14:textId="77777777" w:rsidR="003C66EB" w:rsidRDefault="003C66EB">
            <w:pPr>
              <w:rPr>
                <w:rFonts w:ascii="宋体"/>
              </w:rPr>
            </w:pPr>
          </w:p>
        </w:tc>
        <w:tc>
          <w:tcPr>
            <w:tcW w:w="0" w:type="auto"/>
            <w:shd w:val="clear" w:color="auto" w:fill="auto"/>
          </w:tcPr>
          <w:p w14:paraId="5EA23213" w14:textId="77777777" w:rsidR="003C66EB" w:rsidRDefault="003C66EB">
            <w:pPr>
              <w:rPr>
                <w:rFonts w:ascii="宋体"/>
              </w:rPr>
            </w:pPr>
          </w:p>
        </w:tc>
        <w:tc>
          <w:tcPr>
            <w:tcW w:w="0" w:type="auto"/>
            <w:shd w:val="clear" w:color="auto" w:fill="auto"/>
          </w:tcPr>
          <w:p w14:paraId="5EA23214" w14:textId="77777777" w:rsidR="003C66EB" w:rsidRDefault="003C66EB">
            <w:pPr>
              <w:rPr>
                <w:rFonts w:ascii="宋体"/>
              </w:rPr>
            </w:pPr>
          </w:p>
        </w:tc>
      </w:tr>
      <w:tr w:rsidR="003C66EB" w14:paraId="5EA2322B" w14:textId="77777777">
        <w:trPr>
          <w:trHeight w:val="480"/>
        </w:trPr>
        <w:tc>
          <w:tcPr>
            <w:tcW w:w="0" w:type="auto"/>
            <w:gridSpan w:val="3"/>
            <w:shd w:val="clear" w:color="auto" w:fill="auto"/>
            <w:tcMar>
              <w:top w:w="40" w:type="dxa"/>
              <w:left w:w="20" w:type="dxa"/>
              <w:bottom w:w="40" w:type="dxa"/>
              <w:right w:w="20" w:type="dxa"/>
            </w:tcMar>
          </w:tcPr>
          <w:p w14:paraId="5EA23216" w14:textId="77777777" w:rsidR="003C66EB" w:rsidRDefault="00D96C4E">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17" w14:textId="77777777" w:rsidR="003C66EB" w:rsidRDefault="00D96C4E">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December 31, </w:t>
            </w:r>
            <w:r>
              <w:rPr>
                <w:rFonts w:ascii="Arial" w:eastAsia="宋体" w:hAnsi="Arial" w:cs="Arial"/>
                <w:b/>
                <w:bCs/>
                <w:color w:val="000000"/>
                <w:sz w:val="12"/>
                <w:szCs w:val="12"/>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5EA23218"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219" w14:textId="77777777" w:rsidR="003C66EB" w:rsidRDefault="00D96C4E">
            <w:pPr>
              <w:jc w:val="center"/>
              <w:textAlignment w:val="bottom"/>
            </w:pPr>
            <w:r>
              <w:rPr>
                <w:rFonts w:ascii="Arial" w:eastAsia="宋体" w:hAnsi="Arial" w:cs="Arial"/>
                <w:b/>
                <w:bCs/>
                <w:color w:val="000000"/>
                <w:sz w:val="12"/>
                <w:szCs w:val="12"/>
              </w:rPr>
              <w:t>Total Realized and</w:t>
            </w:r>
            <w:r>
              <w:rPr>
                <w:rFonts w:ascii="Arial" w:eastAsia="宋体" w:hAnsi="Arial" w:cs="Arial"/>
                <w:b/>
                <w:bCs/>
                <w:color w:val="000000"/>
                <w:sz w:val="12"/>
                <w:szCs w:val="12"/>
              </w:rPr>
              <w:br/>
              <w:t>Unrealized Gains (Losses)</w:t>
            </w:r>
          </w:p>
        </w:tc>
        <w:tc>
          <w:tcPr>
            <w:tcW w:w="0" w:type="auto"/>
            <w:gridSpan w:val="3"/>
            <w:tcBorders>
              <w:top w:val="single" w:sz="8" w:space="0" w:color="000000"/>
            </w:tcBorders>
            <w:shd w:val="clear" w:color="auto" w:fill="auto"/>
            <w:tcMar>
              <w:top w:w="0" w:type="dxa"/>
              <w:left w:w="20" w:type="dxa"/>
              <w:bottom w:w="0" w:type="dxa"/>
              <w:right w:w="20" w:type="dxa"/>
            </w:tcMar>
          </w:tcPr>
          <w:p w14:paraId="5EA2321A"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1B" w14:textId="77777777" w:rsidR="003C66EB" w:rsidRDefault="00D96C4E">
            <w:pPr>
              <w:jc w:val="center"/>
              <w:textAlignment w:val="bottom"/>
            </w:pPr>
            <w:r>
              <w:rPr>
                <w:rFonts w:ascii="Arial" w:eastAsia="宋体" w:hAnsi="Arial" w:cs="Arial"/>
                <w:b/>
                <w:bCs/>
                <w:color w:val="000000"/>
                <w:sz w:val="12"/>
                <w:szCs w:val="12"/>
              </w:rPr>
              <w:t>Purchases</w:t>
            </w:r>
          </w:p>
        </w:tc>
        <w:tc>
          <w:tcPr>
            <w:tcW w:w="0" w:type="auto"/>
            <w:shd w:val="clear" w:color="auto" w:fill="auto"/>
          </w:tcPr>
          <w:p w14:paraId="5EA2321C" w14:textId="77777777" w:rsidR="003C66EB" w:rsidRDefault="003C66EB">
            <w:pPr>
              <w:rPr>
                <w:rFonts w:ascii="宋体"/>
                <w:vanish/>
              </w:rPr>
            </w:pPr>
          </w:p>
        </w:tc>
        <w:tc>
          <w:tcPr>
            <w:tcW w:w="0" w:type="auto"/>
            <w:shd w:val="clear" w:color="auto" w:fill="auto"/>
          </w:tcPr>
          <w:p w14:paraId="5EA2321D"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1E"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1F" w14:textId="77777777" w:rsidR="003C66EB" w:rsidRDefault="00D96C4E">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tcPr>
          <w:p w14:paraId="5EA23220"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21" w14:textId="77777777" w:rsidR="003C66EB" w:rsidRDefault="00D96C4E">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tcPr>
          <w:p w14:paraId="5EA23222"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23" w14:textId="77777777" w:rsidR="003C66EB" w:rsidRDefault="00D96C4E">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5EA23224"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25" w14:textId="77777777" w:rsidR="003C66EB" w:rsidRDefault="00D96C4E">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5EA23226"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227" w14:textId="77777777" w:rsidR="003C66EB" w:rsidRDefault="00D96C4E">
            <w:pPr>
              <w:jc w:val="center"/>
              <w:textAlignment w:val="bottom"/>
            </w:pPr>
            <w:r>
              <w:rPr>
                <w:rFonts w:ascii="Arial" w:eastAsia="宋体" w:hAnsi="Arial" w:cs="Arial"/>
                <w:b/>
                <w:bCs/>
                <w:color w:val="000000"/>
                <w:sz w:val="12"/>
                <w:szCs w:val="12"/>
              </w:rPr>
              <w:t>Fair Value </w:t>
            </w:r>
          </w:p>
          <w:p w14:paraId="5EA23228" w14:textId="77777777" w:rsidR="003C66EB" w:rsidRDefault="00D96C4E">
            <w:pPr>
              <w:jc w:val="center"/>
              <w:textAlignment w:val="bottom"/>
            </w:pPr>
            <w:r>
              <w:rPr>
                <w:rFonts w:ascii="Arial" w:eastAsia="宋体" w:hAnsi="Arial" w:cs="Arial"/>
                <w:b/>
                <w:bCs/>
                <w:color w:val="000000"/>
                <w:sz w:val="12"/>
                <w:szCs w:val="12"/>
              </w:rPr>
              <w:t>as of March 31,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tcPr>
          <w:p w14:paraId="5EA23229" w14:textId="77777777" w:rsidR="003C66EB" w:rsidRDefault="003C66EB">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EA2322A" w14:textId="77777777" w:rsidR="003C66EB" w:rsidRDefault="00D96C4E">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March 31, 2020</w:t>
            </w:r>
          </w:p>
        </w:tc>
      </w:tr>
      <w:tr w:rsidR="003C66EB" w14:paraId="5EA23241" w14:textId="77777777">
        <w:trPr>
          <w:trHeight w:val="780"/>
        </w:trPr>
        <w:tc>
          <w:tcPr>
            <w:tcW w:w="0" w:type="auto"/>
            <w:gridSpan w:val="3"/>
            <w:shd w:val="clear" w:color="auto" w:fill="auto"/>
            <w:tcMar>
              <w:top w:w="40" w:type="dxa"/>
              <w:left w:w="20" w:type="dxa"/>
              <w:bottom w:w="40" w:type="dxa"/>
              <w:right w:w="20" w:type="dxa"/>
            </w:tcMar>
            <w:vAlign w:val="bottom"/>
          </w:tcPr>
          <w:p w14:paraId="5EA2322C" w14:textId="77777777" w:rsidR="003C66EB" w:rsidRDefault="00D96C4E">
            <w:pPr>
              <w:textAlignment w:val="bottom"/>
            </w:pPr>
            <w:r>
              <w:rPr>
                <w:rFonts w:ascii="Arial" w:eastAsia="宋体" w:hAnsi="Arial" w:cs="Arial"/>
                <w:b/>
                <w:bCs/>
                <w:color w:val="000000"/>
                <w:sz w:val="12"/>
                <w:szCs w:val="12"/>
              </w:rPr>
              <w:t>(In mi</w:t>
            </w:r>
            <w:r>
              <w:rPr>
                <w:rFonts w:ascii="Arial" w:eastAsia="宋体" w:hAnsi="Arial" w:cs="Arial"/>
                <w:b/>
                <w:bCs/>
                <w:color w:val="000000"/>
                <w:sz w:val="12"/>
                <w:szCs w:val="12"/>
              </w:rPr>
              <w:t>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2D"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322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22F" w14:textId="77777777" w:rsidR="003C66EB" w:rsidRDefault="00D96C4E">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tcPr>
          <w:p w14:paraId="5EA2323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231" w14:textId="77777777" w:rsidR="003C66EB" w:rsidRDefault="00D96C4E">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tcPr>
          <w:p w14:paraId="5EA23232"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33" w14:textId="77777777" w:rsidR="003C66EB" w:rsidRDefault="003C66EB">
            <w:pPr>
              <w:jc w:val="center"/>
              <w:rPr>
                <w:rFonts w:ascii="宋体"/>
              </w:rPr>
            </w:pPr>
          </w:p>
        </w:tc>
        <w:tc>
          <w:tcPr>
            <w:tcW w:w="0" w:type="auto"/>
            <w:shd w:val="clear" w:color="auto" w:fill="auto"/>
          </w:tcPr>
          <w:p w14:paraId="5EA23234" w14:textId="77777777" w:rsidR="003C66EB" w:rsidRDefault="003C66EB">
            <w:pPr>
              <w:rPr>
                <w:rFonts w:ascii="宋体"/>
                <w:vanish/>
              </w:rPr>
            </w:pPr>
          </w:p>
        </w:tc>
        <w:tc>
          <w:tcPr>
            <w:tcW w:w="0" w:type="auto"/>
            <w:shd w:val="clear" w:color="auto" w:fill="auto"/>
          </w:tcPr>
          <w:p w14:paraId="5EA23235"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3236"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37"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3238"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39"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323A"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3B"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323C"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3D"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323E"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23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40" w14:textId="77777777" w:rsidR="003C66EB" w:rsidRDefault="003C66EB">
            <w:pPr>
              <w:rPr>
                <w:rFonts w:ascii="宋体"/>
              </w:rPr>
            </w:pPr>
          </w:p>
        </w:tc>
      </w:tr>
      <w:tr w:rsidR="003C66EB" w14:paraId="5EA23258" w14:textId="77777777">
        <w:tc>
          <w:tcPr>
            <w:tcW w:w="0" w:type="auto"/>
            <w:gridSpan w:val="3"/>
            <w:shd w:val="clear" w:color="auto" w:fill="auto"/>
            <w:tcMar>
              <w:top w:w="40" w:type="dxa"/>
              <w:left w:w="20" w:type="dxa"/>
              <w:bottom w:w="40" w:type="dxa"/>
              <w:right w:w="20" w:type="dxa"/>
            </w:tcMar>
            <w:vAlign w:val="center"/>
          </w:tcPr>
          <w:p w14:paraId="5EA23242" w14:textId="77777777" w:rsidR="003C66EB" w:rsidRDefault="00D96C4E">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324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4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4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4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4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4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49" w14:textId="77777777" w:rsidR="003C66EB" w:rsidRDefault="003C66EB">
            <w:pPr>
              <w:rPr>
                <w:rFonts w:ascii="宋体"/>
              </w:rPr>
            </w:pPr>
          </w:p>
        </w:tc>
        <w:tc>
          <w:tcPr>
            <w:tcW w:w="0" w:type="auto"/>
            <w:shd w:val="clear" w:color="auto" w:fill="auto"/>
          </w:tcPr>
          <w:p w14:paraId="5EA2324A" w14:textId="77777777" w:rsidR="003C66EB" w:rsidRDefault="003C66EB">
            <w:pPr>
              <w:rPr>
                <w:rFonts w:ascii="宋体"/>
                <w:vanish/>
              </w:rPr>
            </w:pPr>
          </w:p>
        </w:tc>
        <w:tc>
          <w:tcPr>
            <w:tcW w:w="0" w:type="auto"/>
            <w:shd w:val="clear" w:color="auto" w:fill="auto"/>
          </w:tcPr>
          <w:p w14:paraId="5EA2324B"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324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4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4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4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5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5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255"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3256" w14:textId="77777777" w:rsidR="003C66EB" w:rsidRDefault="003C66EB">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5EA23257" w14:textId="77777777" w:rsidR="003C66EB" w:rsidRDefault="003C66EB">
            <w:pPr>
              <w:rPr>
                <w:rFonts w:ascii="宋体"/>
              </w:rPr>
            </w:pPr>
          </w:p>
        </w:tc>
      </w:tr>
      <w:tr w:rsidR="003C66EB" w14:paraId="5EA2326F" w14:textId="77777777">
        <w:tc>
          <w:tcPr>
            <w:tcW w:w="0" w:type="auto"/>
            <w:gridSpan w:val="3"/>
            <w:shd w:val="clear" w:color="auto" w:fill="auto"/>
            <w:tcMar>
              <w:top w:w="40" w:type="dxa"/>
              <w:left w:w="20" w:type="dxa"/>
              <w:bottom w:w="40" w:type="dxa"/>
              <w:right w:w="20" w:type="dxa"/>
            </w:tcMar>
            <w:vAlign w:val="center"/>
          </w:tcPr>
          <w:p w14:paraId="5EA23259" w14:textId="77777777" w:rsidR="003C66EB" w:rsidRDefault="00D96C4E">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tcPr>
          <w:p w14:paraId="5EA2325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5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0" w14:textId="77777777" w:rsidR="003C66EB" w:rsidRDefault="003C66EB">
            <w:pPr>
              <w:rPr>
                <w:rFonts w:ascii="宋体"/>
              </w:rPr>
            </w:pPr>
          </w:p>
        </w:tc>
        <w:tc>
          <w:tcPr>
            <w:tcW w:w="0" w:type="auto"/>
            <w:shd w:val="clear" w:color="auto" w:fill="auto"/>
          </w:tcPr>
          <w:p w14:paraId="5EA23261" w14:textId="77777777" w:rsidR="003C66EB" w:rsidRDefault="003C66EB">
            <w:pPr>
              <w:rPr>
                <w:rFonts w:ascii="宋体"/>
                <w:vanish/>
              </w:rPr>
            </w:pPr>
          </w:p>
        </w:tc>
        <w:tc>
          <w:tcPr>
            <w:tcW w:w="0" w:type="auto"/>
            <w:shd w:val="clear" w:color="auto" w:fill="auto"/>
          </w:tcPr>
          <w:p w14:paraId="5EA23262"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326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6C"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326D" w14:textId="77777777" w:rsidR="003C66EB" w:rsidRDefault="003C66EB">
            <w:pPr>
              <w:rPr>
                <w:rFonts w:ascii="宋体"/>
              </w:rPr>
            </w:pPr>
          </w:p>
        </w:tc>
        <w:tc>
          <w:tcPr>
            <w:tcW w:w="0" w:type="auto"/>
            <w:shd w:val="clear" w:color="auto" w:fill="auto"/>
            <w:tcMar>
              <w:top w:w="0" w:type="dxa"/>
              <w:left w:w="20" w:type="dxa"/>
              <w:bottom w:w="0" w:type="dxa"/>
              <w:right w:w="20" w:type="dxa"/>
            </w:tcMar>
          </w:tcPr>
          <w:p w14:paraId="5EA2326E" w14:textId="77777777" w:rsidR="003C66EB" w:rsidRDefault="003C66EB">
            <w:pPr>
              <w:rPr>
                <w:rFonts w:ascii="宋体"/>
              </w:rPr>
            </w:pPr>
          </w:p>
        </w:tc>
      </w:tr>
      <w:tr w:rsidR="003C66EB" w14:paraId="5EA23286" w14:textId="77777777">
        <w:trPr>
          <w:hidden/>
        </w:trPr>
        <w:tc>
          <w:tcPr>
            <w:tcW w:w="0" w:type="auto"/>
            <w:gridSpan w:val="3"/>
            <w:shd w:val="clear" w:color="auto" w:fill="auto"/>
          </w:tcPr>
          <w:p w14:paraId="5EA23270" w14:textId="77777777" w:rsidR="003C66EB" w:rsidRDefault="003C66EB">
            <w:pPr>
              <w:rPr>
                <w:rFonts w:ascii="宋体"/>
                <w:vanish/>
              </w:rPr>
            </w:pPr>
          </w:p>
        </w:tc>
        <w:tc>
          <w:tcPr>
            <w:tcW w:w="0" w:type="auto"/>
            <w:gridSpan w:val="3"/>
            <w:shd w:val="clear" w:color="auto" w:fill="auto"/>
          </w:tcPr>
          <w:p w14:paraId="5EA23271" w14:textId="77777777" w:rsidR="003C66EB" w:rsidRDefault="003C66EB">
            <w:pPr>
              <w:rPr>
                <w:rFonts w:ascii="宋体"/>
                <w:vanish/>
              </w:rPr>
            </w:pPr>
          </w:p>
        </w:tc>
        <w:tc>
          <w:tcPr>
            <w:tcW w:w="0" w:type="auto"/>
            <w:gridSpan w:val="3"/>
            <w:shd w:val="clear" w:color="auto" w:fill="auto"/>
          </w:tcPr>
          <w:p w14:paraId="5EA23272" w14:textId="77777777" w:rsidR="003C66EB" w:rsidRDefault="003C66EB">
            <w:pPr>
              <w:rPr>
                <w:rFonts w:ascii="宋体"/>
                <w:vanish/>
              </w:rPr>
            </w:pPr>
          </w:p>
        </w:tc>
        <w:tc>
          <w:tcPr>
            <w:tcW w:w="0" w:type="auto"/>
            <w:gridSpan w:val="3"/>
            <w:shd w:val="clear" w:color="auto" w:fill="auto"/>
          </w:tcPr>
          <w:p w14:paraId="5EA23273" w14:textId="77777777" w:rsidR="003C66EB" w:rsidRDefault="003C66EB">
            <w:pPr>
              <w:rPr>
                <w:rFonts w:ascii="宋体"/>
                <w:vanish/>
              </w:rPr>
            </w:pPr>
          </w:p>
        </w:tc>
        <w:tc>
          <w:tcPr>
            <w:tcW w:w="0" w:type="auto"/>
            <w:gridSpan w:val="3"/>
            <w:shd w:val="clear" w:color="auto" w:fill="auto"/>
          </w:tcPr>
          <w:p w14:paraId="5EA23274" w14:textId="77777777" w:rsidR="003C66EB" w:rsidRDefault="003C66EB">
            <w:pPr>
              <w:rPr>
                <w:rFonts w:ascii="宋体"/>
                <w:vanish/>
              </w:rPr>
            </w:pPr>
          </w:p>
        </w:tc>
        <w:tc>
          <w:tcPr>
            <w:tcW w:w="0" w:type="auto"/>
            <w:gridSpan w:val="3"/>
            <w:shd w:val="clear" w:color="auto" w:fill="auto"/>
          </w:tcPr>
          <w:p w14:paraId="5EA23275" w14:textId="77777777" w:rsidR="003C66EB" w:rsidRDefault="003C66EB">
            <w:pPr>
              <w:rPr>
                <w:rFonts w:ascii="宋体"/>
                <w:vanish/>
              </w:rPr>
            </w:pPr>
          </w:p>
        </w:tc>
        <w:tc>
          <w:tcPr>
            <w:tcW w:w="0" w:type="auto"/>
            <w:gridSpan w:val="3"/>
            <w:shd w:val="clear" w:color="auto" w:fill="auto"/>
          </w:tcPr>
          <w:p w14:paraId="5EA23276" w14:textId="77777777" w:rsidR="003C66EB" w:rsidRDefault="003C66EB">
            <w:pPr>
              <w:rPr>
                <w:rFonts w:ascii="宋体"/>
                <w:vanish/>
              </w:rPr>
            </w:pPr>
          </w:p>
        </w:tc>
        <w:tc>
          <w:tcPr>
            <w:tcW w:w="0" w:type="auto"/>
            <w:gridSpan w:val="3"/>
            <w:shd w:val="clear" w:color="auto" w:fill="auto"/>
          </w:tcPr>
          <w:p w14:paraId="5EA23277" w14:textId="77777777" w:rsidR="003C66EB" w:rsidRDefault="003C66EB">
            <w:pPr>
              <w:rPr>
                <w:rFonts w:ascii="宋体"/>
                <w:vanish/>
              </w:rPr>
            </w:pPr>
          </w:p>
        </w:tc>
        <w:tc>
          <w:tcPr>
            <w:tcW w:w="0" w:type="auto"/>
            <w:shd w:val="clear" w:color="auto" w:fill="auto"/>
          </w:tcPr>
          <w:p w14:paraId="5EA23278" w14:textId="77777777" w:rsidR="003C66EB" w:rsidRDefault="003C66EB">
            <w:pPr>
              <w:rPr>
                <w:rFonts w:ascii="宋体"/>
                <w:vanish/>
              </w:rPr>
            </w:pPr>
          </w:p>
        </w:tc>
        <w:tc>
          <w:tcPr>
            <w:tcW w:w="0" w:type="auto"/>
            <w:shd w:val="clear" w:color="auto" w:fill="auto"/>
          </w:tcPr>
          <w:p w14:paraId="5EA23279" w14:textId="77777777" w:rsidR="003C66EB" w:rsidRDefault="003C66EB">
            <w:pPr>
              <w:rPr>
                <w:rFonts w:ascii="宋体"/>
                <w:vanish/>
              </w:rPr>
            </w:pPr>
          </w:p>
        </w:tc>
        <w:tc>
          <w:tcPr>
            <w:tcW w:w="0" w:type="auto"/>
            <w:gridSpan w:val="3"/>
            <w:shd w:val="clear" w:color="auto" w:fill="auto"/>
          </w:tcPr>
          <w:p w14:paraId="5EA2327A" w14:textId="77777777" w:rsidR="003C66EB" w:rsidRDefault="003C66EB">
            <w:pPr>
              <w:rPr>
                <w:rFonts w:ascii="宋体"/>
                <w:vanish/>
              </w:rPr>
            </w:pPr>
          </w:p>
        </w:tc>
        <w:tc>
          <w:tcPr>
            <w:tcW w:w="0" w:type="auto"/>
            <w:gridSpan w:val="3"/>
            <w:shd w:val="clear" w:color="auto" w:fill="auto"/>
          </w:tcPr>
          <w:p w14:paraId="5EA2327B" w14:textId="77777777" w:rsidR="003C66EB" w:rsidRDefault="003C66EB">
            <w:pPr>
              <w:rPr>
                <w:rFonts w:ascii="宋体"/>
                <w:vanish/>
              </w:rPr>
            </w:pPr>
          </w:p>
        </w:tc>
        <w:tc>
          <w:tcPr>
            <w:tcW w:w="0" w:type="auto"/>
            <w:gridSpan w:val="3"/>
            <w:shd w:val="clear" w:color="auto" w:fill="auto"/>
          </w:tcPr>
          <w:p w14:paraId="5EA2327C" w14:textId="77777777" w:rsidR="003C66EB" w:rsidRDefault="003C66EB">
            <w:pPr>
              <w:rPr>
                <w:rFonts w:ascii="宋体"/>
                <w:vanish/>
              </w:rPr>
            </w:pPr>
          </w:p>
        </w:tc>
        <w:tc>
          <w:tcPr>
            <w:tcW w:w="0" w:type="auto"/>
            <w:gridSpan w:val="3"/>
            <w:shd w:val="clear" w:color="auto" w:fill="auto"/>
          </w:tcPr>
          <w:p w14:paraId="5EA2327D" w14:textId="77777777" w:rsidR="003C66EB" w:rsidRDefault="003C66EB">
            <w:pPr>
              <w:rPr>
                <w:rFonts w:ascii="宋体"/>
                <w:vanish/>
              </w:rPr>
            </w:pPr>
          </w:p>
        </w:tc>
        <w:tc>
          <w:tcPr>
            <w:tcW w:w="0" w:type="auto"/>
            <w:gridSpan w:val="3"/>
            <w:shd w:val="clear" w:color="auto" w:fill="auto"/>
          </w:tcPr>
          <w:p w14:paraId="5EA2327E" w14:textId="77777777" w:rsidR="003C66EB" w:rsidRDefault="003C66EB">
            <w:pPr>
              <w:rPr>
                <w:rFonts w:ascii="宋体"/>
                <w:vanish/>
              </w:rPr>
            </w:pPr>
          </w:p>
        </w:tc>
        <w:tc>
          <w:tcPr>
            <w:tcW w:w="0" w:type="auto"/>
            <w:gridSpan w:val="3"/>
            <w:shd w:val="clear" w:color="auto" w:fill="auto"/>
          </w:tcPr>
          <w:p w14:paraId="5EA2327F" w14:textId="77777777" w:rsidR="003C66EB" w:rsidRDefault="003C66EB">
            <w:pPr>
              <w:rPr>
                <w:rFonts w:ascii="宋体"/>
                <w:vanish/>
              </w:rPr>
            </w:pPr>
          </w:p>
        </w:tc>
        <w:tc>
          <w:tcPr>
            <w:tcW w:w="0" w:type="auto"/>
            <w:gridSpan w:val="3"/>
            <w:shd w:val="clear" w:color="auto" w:fill="auto"/>
          </w:tcPr>
          <w:p w14:paraId="5EA23280" w14:textId="77777777" w:rsidR="003C66EB" w:rsidRDefault="003C66EB">
            <w:pPr>
              <w:rPr>
                <w:rFonts w:ascii="宋体"/>
                <w:vanish/>
              </w:rPr>
            </w:pPr>
          </w:p>
        </w:tc>
        <w:tc>
          <w:tcPr>
            <w:tcW w:w="0" w:type="auto"/>
            <w:gridSpan w:val="3"/>
            <w:shd w:val="clear" w:color="auto" w:fill="auto"/>
          </w:tcPr>
          <w:p w14:paraId="5EA23281" w14:textId="77777777" w:rsidR="003C66EB" w:rsidRDefault="003C66EB">
            <w:pPr>
              <w:rPr>
                <w:rFonts w:ascii="宋体"/>
                <w:vanish/>
              </w:rPr>
            </w:pPr>
          </w:p>
        </w:tc>
        <w:tc>
          <w:tcPr>
            <w:tcW w:w="0" w:type="auto"/>
            <w:gridSpan w:val="3"/>
            <w:shd w:val="clear" w:color="auto" w:fill="auto"/>
          </w:tcPr>
          <w:p w14:paraId="5EA23282" w14:textId="77777777" w:rsidR="003C66EB" w:rsidRDefault="003C66EB">
            <w:pPr>
              <w:rPr>
                <w:rFonts w:ascii="宋体"/>
                <w:vanish/>
              </w:rPr>
            </w:pPr>
          </w:p>
        </w:tc>
        <w:tc>
          <w:tcPr>
            <w:tcW w:w="0" w:type="auto"/>
            <w:gridSpan w:val="3"/>
            <w:shd w:val="clear" w:color="auto" w:fill="auto"/>
          </w:tcPr>
          <w:p w14:paraId="5EA23283" w14:textId="77777777" w:rsidR="003C66EB" w:rsidRDefault="003C66EB">
            <w:pPr>
              <w:rPr>
                <w:rFonts w:ascii="宋体"/>
                <w:vanish/>
              </w:rPr>
            </w:pPr>
          </w:p>
        </w:tc>
        <w:tc>
          <w:tcPr>
            <w:tcW w:w="0" w:type="auto"/>
            <w:gridSpan w:val="2"/>
            <w:shd w:val="clear" w:color="auto" w:fill="auto"/>
          </w:tcPr>
          <w:p w14:paraId="5EA23284" w14:textId="77777777" w:rsidR="003C66EB" w:rsidRDefault="003C66EB">
            <w:pPr>
              <w:rPr>
                <w:rFonts w:ascii="宋体"/>
                <w:vanish/>
              </w:rPr>
            </w:pPr>
          </w:p>
        </w:tc>
        <w:tc>
          <w:tcPr>
            <w:tcW w:w="0" w:type="auto"/>
            <w:shd w:val="clear" w:color="auto" w:fill="auto"/>
          </w:tcPr>
          <w:p w14:paraId="5EA23285" w14:textId="77777777" w:rsidR="003C66EB" w:rsidRDefault="003C66EB">
            <w:pPr>
              <w:rPr>
                <w:rFonts w:ascii="宋体"/>
                <w:vanish/>
              </w:rPr>
            </w:pPr>
          </w:p>
        </w:tc>
      </w:tr>
      <w:tr w:rsidR="003C66EB" w14:paraId="5EA2329D" w14:textId="77777777">
        <w:tc>
          <w:tcPr>
            <w:tcW w:w="0" w:type="auto"/>
            <w:gridSpan w:val="3"/>
            <w:shd w:val="clear" w:color="auto" w:fill="auto"/>
            <w:tcMar>
              <w:top w:w="40" w:type="dxa"/>
              <w:left w:w="20" w:type="dxa"/>
              <w:bottom w:w="40" w:type="dxa"/>
              <w:right w:w="20" w:type="dxa"/>
            </w:tcMar>
            <w:vAlign w:val="center"/>
          </w:tcPr>
          <w:p w14:paraId="5EA23287" w14:textId="77777777" w:rsidR="003C66EB" w:rsidRDefault="00D96C4E">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tcPr>
          <w:p w14:paraId="5EA2328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8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8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8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8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8E" w14:textId="77777777" w:rsidR="003C66EB" w:rsidRDefault="003C66EB">
            <w:pPr>
              <w:rPr>
                <w:rFonts w:ascii="宋体"/>
              </w:rPr>
            </w:pPr>
          </w:p>
        </w:tc>
        <w:tc>
          <w:tcPr>
            <w:tcW w:w="0" w:type="auto"/>
            <w:shd w:val="clear" w:color="auto" w:fill="auto"/>
          </w:tcPr>
          <w:p w14:paraId="5EA2328F" w14:textId="77777777" w:rsidR="003C66EB" w:rsidRDefault="003C66EB">
            <w:pPr>
              <w:rPr>
                <w:rFonts w:ascii="宋体"/>
                <w:vanish/>
              </w:rPr>
            </w:pPr>
          </w:p>
        </w:tc>
        <w:tc>
          <w:tcPr>
            <w:tcW w:w="0" w:type="auto"/>
            <w:shd w:val="clear" w:color="auto" w:fill="auto"/>
          </w:tcPr>
          <w:p w14:paraId="5EA23290"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329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29A" w14:textId="77777777" w:rsidR="003C66EB" w:rsidRDefault="003C66EB">
            <w:pPr>
              <w:rPr>
                <w:rFonts w:ascii="宋体"/>
              </w:rPr>
            </w:pPr>
          </w:p>
        </w:tc>
        <w:tc>
          <w:tcPr>
            <w:tcW w:w="0" w:type="auto"/>
            <w:gridSpan w:val="2"/>
            <w:shd w:val="clear" w:color="auto" w:fill="auto"/>
            <w:tcMar>
              <w:top w:w="0" w:type="dxa"/>
              <w:left w:w="20" w:type="dxa"/>
              <w:bottom w:w="0" w:type="dxa"/>
              <w:right w:w="20" w:type="dxa"/>
            </w:tcMar>
          </w:tcPr>
          <w:p w14:paraId="5EA2329B" w14:textId="77777777" w:rsidR="003C66EB" w:rsidRDefault="003C66EB">
            <w:pPr>
              <w:rPr>
                <w:rFonts w:ascii="宋体"/>
              </w:rPr>
            </w:pPr>
          </w:p>
        </w:tc>
        <w:tc>
          <w:tcPr>
            <w:tcW w:w="0" w:type="auto"/>
            <w:shd w:val="clear" w:color="auto" w:fill="auto"/>
            <w:tcMar>
              <w:top w:w="0" w:type="dxa"/>
              <w:left w:w="20" w:type="dxa"/>
              <w:bottom w:w="0" w:type="dxa"/>
              <w:right w:w="20" w:type="dxa"/>
            </w:tcMar>
          </w:tcPr>
          <w:p w14:paraId="5EA2329C" w14:textId="77777777" w:rsidR="003C66EB" w:rsidRDefault="003C66EB">
            <w:pPr>
              <w:rPr>
                <w:rFonts w:ascii="宋体"/>
              </w:rPr>
            </w:pPr>
          </w:p>
        </w:tc>
      </w:tr>
      <w:tr w:rsidR="003C66EB" w14:paraId="5EA232BD" w14:textId="77777777">
        <w:tc>
          <w:tcPr>
            <w:tcW w:w="0" w:type="auto"/>
            <w:gridSpan w:val="3"/>
            <w:shd w:val="clear" w:color="auto" w:fill="CCEEFF"/>
            <w:tcMar>
              <w:top w:w="40" w:type="dxa"/>
              <w:left w:w="155" w:type="dxa"/>
              <w:bottom w:w="40" w:type="dxa"/>
              <w:right w:w="20" w:type="dxa"/>
            </w:tcMar>
            <w:vAlign w:val="center"/>
          </w:tcPr>
          <w:p w14:paraId="5EA2329E" w14:textId="77777777" w:rsidR="003C66EB" w:rsidRDefault="00D96C4E">
            <w:pPr>
              <w:textAlignment w:val="center"/>
            </w:pPr>
            <w:r>
              <w:rPr>
                <w:rFonts w:ascii="Arial" w:eastAsia="宋体" w:hAnsi="Arial" w:cs="Arial"/>
                <w:color w:val="000000"/>
                <w:sz w:val="12"/>
                <w:szCs w:val="12"/>
              </w:rPr>
              <w:t>Collateralized loan obligations</w:t>
            </w:r>
          </w:p>
        </w:tc>
        <w:tc>
          <w:tcPr>
            <w:tcW w:w="0" w:type="auto"/>
            <w:gridSpan w:val="2"/>
            <w:shd w:val="clear" w:color="auto" w:fill="CCEEFF"/>
            <w:tcMar>
              <w:top w:w="40" w:type="dxa"/>
              <w:left w:w="20" w:type="dxa"/>
              <w:bottom w:w="40" w:type="dxa"/>
              <w:right w:w="0" w:type="dxa"/>
            </w:tcMar>
            <w:vAlign w:val="center"/>
          </w:tcPr>
          <w:p w14:paraId="5EA2329F" w14:textId="77777777" w:rsidR="003C66EB" w:rsidRDefault="00D96C4E">
            <w:pPr>
              <w:jc w:val="right"/>
              <w:textAlignment w:val="center"/>
            </w:pPr>
            <w:r>
              <w:rPr>
                <w:rFonts w:ascii="Arial" w:eastAsia="宋体" w:hAnsi="Arial" w:cs="Arial"/>
                <w:color w:val="000000"/>
                <w:sz w:val="12"/>
                <w:szCs w:val="12"/>
              </w:rPr>
              <w:t>1,820 </w:t>
            </w:r>
          </w:p>
        </w:tc>
        <w:tc>
          <w:tcPr>
            <w:tcW w:w="0" w:type="auto"/>
            <w:shd w:val="clear" w:color="auto" w:fill="CCEEFF"/>
            <w:tcMar>
              <w:top w:w="40" w:type="dxa"/>
              <w:left w:w="0" w:type="dxa"/>
              <w:bottom w:w="40" w:type="dxa"/>
              <w:right w:w="20" w:type="dxa"/>
            </w:tcMar>
            <w:vAlign w:val="center"/>
          </w:tcPr>
          <w:p w14:paraId="5EA232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A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A2"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2A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A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A5" w14:textId="77777777" w:rsidR="003C66EB" w:rsidRDefault="00D96C4E">
            <w:pPr>
              <w:jc w:val="right"/>
              <w:textAlignment w:val="center"/>
            </w:pPr>
            <w:r>
              <w:rPr>
                <w:rFonts w:ascii="Arial" w:eastAsia="宋体" w:hAnsi="Arial" w:cs="Arial"/>
                <w:color w:val="000000"/>
                <w:sz w:val="12"/>
                <w:szCs w:val="12"/>
              </w:rPr>
              <w:t>(83)</w:t>
            </w:r>
          </w:p>
        </w:tc>
        <w:tc>
          <w:tcPr>
            <w:tcW w:w="0" w:type="auto"/>
            <w:shd w:val="clear" w:color="auto" w:fill="CCEEFF"/>
            <w:tcMar>
              <w:top w:w="40" w:type="dxa"/>
              <w:left w:w="0" w:type="dxa"/>
              <w:bottom w:w="40" w:type="dxa"/>
              <w:right w:w="20" w:type="dxa"/>
            </w:tcMar>
            <w:vAlign w:val="center"/>
          </w:tcPr>
          <w:p w14:paraId="5EA232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A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A8" w14:textId="77777777" w:rsidR="003C66EB" w:rsidRDefault="00D96C4E">
            <w:pPr>
              <w:jc w:val="right"/>
              <w:textAlignment w:val="center"/>
            </w:pPr>
            <w:r>
              <w:rPr>
                <w:rFonts w:ascii="Arial" w:eastAsia="宋体" w:hAnsi="Arial" w:cs="Arial"/>
                <w:color w:val="000000"/>
                <w:sz w:val="12"/>
                <w:szCs w:val="12"/>
              </w:rPr>
              <w:t>178 </w:t>
            </w:r>
          </w:p>
        </w:tc>
        <w:tc>
          <w:tcPr>
            <w:tcW w:w="0" w:type="auto"/>
            <w:shd w:val="clear" w:color="auto" w:fill="CCEEFF"/>
            <w:tcMar>
              <w:top w:w="40" w:type="dxa"/>
              <w:left w:w="0" w:type="dxa"/>
              <w:bottom w:w="40" w:type="dxa"/>
              <w:right w:w="20" w:type="dxa"/>
            </w:tcMar>
            <w:vAlign w:val="center"/>
          </w:tcPr>
          <w:p w14:paraId="5EA232A9" w14:textId="77777777" w:rsidR="003C66EB" w:rsidRDefault="003C66EB">
            <w:pPr>
              <w:jc w:val="right"/>
              <w:rPr>
                <w:rFonts w:ascii="宋体"/>
              </w:rPr>
            </w:pPr>
          </w:p>
        </w:tc>
        <w:tc>
          <w:tcPr>
            <w:tcW w:w="0" w:type="auto"/>
            <w:shd w:val="clear" w:color="auto" w:fill="auto"/>
          </w:tcPr>
          <w:p w14:paraId="5EA232AA" w14:textId="77777777" w:rsidR="003C66EB" w:rsidRDefault="003C66EB">
            <w:pPr>
              <w:rPr>
                <w:rFonts w:ascii="宋体"/>
                <w:vanish/>
              </w:rPr>
            </w:pPr>
          </w:p>
        </w:tc>
        <w:tc>
          <w:tcPr>
            <w:tcW w:w="0" w:type="auto"/>
            <w:shd w:val="clear" w:color="auto" w:fill="auto"/>
          </w:tcPr>
          <w:p w14:paraId="5EA232AB"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2A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AD" w14:textId="77777777" w:rsidR="003C66EB" w:rsidRDefault="00D96C4E">
            <w:pPr>
              <w:jc w:val="right"/>
              <w:textAlignment w:val="center"/>
            </w:pPr>
            <w:r>
              <w:rPr>
                <w:rFonts w:ascii="Arial" w:eastAsia="宋体" w:hAnsi="Arial" w:cs="Arial"/>
                <w:color w:val="000000"/>
                <w:sz w:val="12"/>
                <w:szCs w:val="12"/>
              </w:rPr>
              <w:t>(42)</w:t>
            </w:r>
          </w:p>
        </w:tc>
        <w:tc>
          <w:tcPr>
            <w:tcW w:w="0" w:type="auto"/>
            <w:shd w:val="clear" w:color="auto" w:fill="CCEEFF"/>
            <w:tcMar>
              <w:top w:w="40" w:type="dxa"/>
              <w:left w:w="0" w:type="dxa"/>
              <w:bottom w:w="40" w:type="dxa"/>
              <w:right w:w="20" w:type="dxa"/>
            </w:tcMar>
            <w:vAlign w:val="center"/>
          </w:tcPr>
          <w:p w14:paraId="5EA232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A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B0" w14:textId="77777777" w:rsidR="003C66EB" w:rsidRDefault="00D96C4E">
            <w:pPr>
              <w:jc w:val="right"/>
              <w:textAlignment w:val="center"/>
            </w:pPr>
            <w:r>
              <w:rPr>
                <w:rFonts w:ascii="Arial" w:eastAsia="宋体" w:hAnsi="Arial" w:cs="Arial"/>
                <w:color w:val="000000"/>
                <w:sz w:val="12"/>
                <w:szCs w:val="12"/>
              </w:rPr>
              <w:t>(32)</w:t>
            </w:r>
          </w:p>
        </w:tc>
        <w:tc>
          <w:tcPr>
            <w:tcW w:w="0" w:type="auto"/>
            <w:shd w:val="clear" w:color="auto" w:fill="CCEEFF"/>
            <w:tcMar>
              <w:top w:w="40" w:type="dxa"/>
              <w:left w:w="0" w:type="dxa"/>
              <w:bottom w:w="40" w:type="dxa"/>
              <w:right w:w="20" w:type="dxa"/>
            </w:tcMar>
            <w:vAlign w:val="center"/>
          </w:tcPr>
          <w:p w14:paraId="5EA232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B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B3"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2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B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B6"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2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2B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2B9" w14:textId="77777777" w:rsidR="003C66EB" w:rsidRDefault="00D96C4E">
            <w:pPr>
              <w:jc w:val="right"/>
              <w:textAlignment w:val="center"/>
            </w:pPr>
            <w:r>
              <w:rPr>
                <w:rFonts w:ascii="Arial" w:eastAsia="宋体" w:hAnsi="Arial" w:cs="Arial"/>
                <w:color w:val="000000"/>
                <w:sz w:val="12"/>
                <w:szCs w:val="12"/>
              </w:rPr>
              <w:t>1,841 </w:t>
            </w:r>
          </w:p>
        </w:tc>
        <w:tc>
          <w:tcPr>
            <w:tcW w:w="0" w:type="auto"/>
            <w:shd w:val="clear" w:color="auto" w:fill="CCEEFF"/>
            <w:tcMar>
              <w:top w:w="40" w:type="dxa"/>
              <w:left w:w="0" w:type="dxa"/>
              <w:bottom w:w="40" w:type="dxa"/>
              <w:right w:w="20" w:type="dxa"/>
            </w:tcMar>
            <w:vAlign w:val="center"/>
          </w:tcPr>
          <w:p w14:paraId="5EA232BA"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2BB"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32BC" w14:textId="77777777" w:rsidR="003C66EB" w:rsidRDefault="00D96C4E">
            <w:pPr>
              <w:jc w:val="right"/>
              <w:textAlignment w:val="center"/>
            </w:pPr>
            <w:r>
              <w:rPr>
                <w:rFonts w:ascii="Arial" w:eastAsia="宋体" w:hAnsi="Arial" w:cs="Arial"/>
                <w:color w:val="000000"/>
                <w:sz w:val="12"/>
                <w:szCs w:val="12"/>
              </w:rPr>
              <w:t>— </w:t>
            </w:r>
          </w:p>
        </w:tc>
      </w:tr>
      <w:tr w:rsidR="003C66EB" w14:paraId="5EA232D4" w14:textId="77777777">
        <w:trPr>
          <w:hidden/>
        </w:trPr>
        <w:tc>
          <w:tcPr>
            <w:tcW w:w="0" w:type="auto"/>
            <w:gridSpan w:val="3"/>
            <w:shd w:val="clear" w:color="auto" w:fill="auto"/>
          </w:tcPr>
          <w:p w14:paraId="5EA232BE" w14:textId="77777777" w:rsidR="003C66EB" w:rsidRDefault="003C66EB">
            <w:pPr>
              <w:rPr>
                <w:rFonts w:ascii="宋体"/>
                <w:vanish/>
              </w:rPr>
            </w:pPr>
          </w:p>
        </w:tc>
        <w:tc>
          <w:tcPr>
            <w:tcW w:w="0" w:type="auto"/>
            <w:gridSpan w:val="3"/>
            <w:shd w:val="clear" w:color="auto" w:fill="auto"/>
          </w:tcPr>
          <w:p w14:paraId="5EA232BF" w14:textId="77777777" w:rsidR="003C66EB" w:rsidRDefault="003C66EB">
            <w:pPr>
              <w:rPr>
                <w:rFonts w:ascii="宋体"/>
                <w:vanish/>
              </w:rPr>
            </w:pPr>
          </w:p>
        </w:tc>
        <w:tc>
          <w:tcPr>
            <w:tcW w:w="0" w:type="auto"/>
            <w:gridSpan w:val="3"/>
            <w:shd w:val="clear" w:color="auto" w:fill="auto"/>
          </w:tcPr>
          <w:p w14:paraId="5EA232C0" w14:textId="77777777" w:rsidR="003C66EB" w:rsidRDefault="003C66EB">
            <w:pPr>
              <w:rPr>
                <w:rFonts w:ascii="宋体"/>
                <w:vanish/>
              </w:rPr>
            </w:pPr>
          </w:p>
        </w:tc>
        <w:tc>
          <w:tcPr>
            <w:tcW w:w="0" w:type="auto"/>
            <w:gridSpan w:val="3"/>
            <w:shd w:val="clear" w:color="auto" w:fill="auto"/>
          </w:tcPr>
          <w:p w14:paraId="5EA232C1" w14:textId="77777777" w:rsidR="003C66EB" w:rsidRDefault="003C66EB">
            <w:pPr>
              <w:rPr>
                <w:rFonts w:ascii="宋体"/>
                <w:vanish/>
              </w:rPr>
            </w:pPr>
          </w:p>
        </w:tc>
        <w:tc>
          <w:tcPr>
            <w:tcW w:w="0" w:type="auto"/>
            <w:gridSpan w:val="3"/>
            <w:shd w:val="clear" w:color="auto" w:fill="auto"/>
          </w:tcPr>
          <w:p w14:paraId="5EA232C2" w14:textId="77777777" w:rsidR="003C66EB" w:rsidRDefault="003C66EB">
            <w:pPr>
              <w:rPr>
                <w:rFonts w:ascii="宋体"/>
                <w:vanish/>
              </w:rPr>
            </w:pPr>
          </w:p>
        </w:tc>
        <w:tc>
          <w:tcPr>
            <w:tcW w:w="0" w:type="auto"/>
            <w:gridSpan w:val="3"/>
            <w:shd w:val="clear" w:color="auto" w:fill="auto"/>
          </w:tcPr>
          <w:p w14:paraId="5EA232C3" w14:textId="77777777" w:rsidR="003C66EB" w:rsidRDefault="003C66EB">
            <w:pPr>
              <w:rPr>
                <w:rFonts w:ascii="宋体"/>
                <w:vanish/>
              </w:rPr>
            </w:pPr>
          </w:p>
        </w:tc>
        <w:tc>
          <w:tcPr>
            <w:tcW w:w="0" w:type="auto"/>
            <w:gridSpan w:val="3"/>
            <w:shd w:val="clear" w:color="auto" w:fill="auto"/>
          </w:tcPr>
          <w:p w14:paraId="5EA232C4" w14:textId="77777777" w:rsidR="003C66EB" w:rsidRDefault="003C66EB">
            <w:pPr>
              <w:rPr>
                <w:rFonts w:ascii="宋体"/>
                <w:vanish/>
              </w:rPr>
            </w:pPr>
          </w:p>
        </w:tc>
        <w:tc>
          <w:tcPr>
            <w:tcW w:w="0" w:type="auto"/>
            <w:gridSpan w:val="3"/>
            <w:shd w:val="clear" w:color="auto" w:fill="auto"/>
          </w:tcPr>
          <w:p w14:paraId="5EA232C5" w14:textId="77777777" w:rsidR="003C66EB" w:rsidRDefault="003C66EB">
            <w:pPr>
              <w:rPr>
                <w:rFonts w:ascii="宋体"/>
                <w:vanish/>
              </w:rPr>
            </w:pPr>
          </w:p>
        </w:tc>
        <w:tc>
          <w:tcPr>
            <w:tcW w:w="0" w:type="auto"/>
            <w:shd w:val="clear" w:color="auto" w:fill="auto"/>
          </w:tcPr>
          <w:p w14:paraId="5EA232C6" w14:textId="77777777" w:rsidR="003C66EB" w:rsidRDefault="003C66EB">
            <w:pPr>
              <w:rPr>
                <w:rFonts w:ascii="宋体"/>
                <w:vanish/>
              </w:rPr>
            </w:pPr>
          </w:p>
        </w:tc>
        <w:tc>
          <w:tcPr>
            <w:tcW w:w="0" w:type="auto"/>
            <w:shd w:val="clear" w:color="auto" w:fill="auto"/>
          </w:tcPr>
          <w:p w14:paraId="5EA232C7" w14:textId="77777777" w:rsidR="003C66EB" w:rsidRDefault="003C66EB">
            <w:pPr>
              <w:rPr>
                <w:rFonts w:ascii="宋体"/>
                <w:vanish/>
              </w:rPr>
            </w:pPr>
          </w:p>
        </w:tc>
        <w:tc>
          <w:tcPr>
            <w:tcW w:w="0" w:type="auto"/>
            <w:gridSpan w:val="3"/>
            <w:shd w:val="clear" w:color="auto" w:fill="auto"/>
          </w:tcPr>
          <w:p w14:paraId="5EA232C8" w14:textId="77777777" w:rsidR="003C66EB" w:rsidRDefault="003C66EB">
            <w:pPr>
              <w:rPr>
                <w:rFonts w:ascii="宋体"/>
                <w:vanish/>
              </w:rPr>
            </w:pPr>
          </w:p>
        </w:tc>
        <w:tc>
          <w:tcPr>
            <w:tcW w:w="0" w:type="auto"/>
            <w:gridSpan w:val="3"/>
            <w:shd w:val="clear" w:color="auto" w:fill="auto"/>
          </w:tcPr>
          <w:p w14:paraId="5EA232C9" w14:textId="77777777" w:rsidR="003C66EB" w:rsidRDefault="003C66EB">
            <w:pPr>
              <w:rPr>
                <w:rFonts w:ascii="宋体"/>
                <w:vanish/>
              </w:rPr>
            </w:pPr>
          </w:p>
        </w:tc>
        <w:tc>
          <w:tcPr>
            <w:tcW w:w="0" w:type="auto"/>
            <w:gridSpan w:val="3"/>
            <w:shd w:val="clear" w:color="auto" w:fill="auto"/>
          </w:tcPr>
          <w:p w14:paraId="5EA232CA" w14:textId="77777777" w:rsidR="003C66EB" w:rsidRDefault="003C66EB">
            <w:pPr>
              <w:rPr>
                <w:rFonts w:ascii="宋体"/>
                <w:vanish/>
              </w:rPr>
            </w:pPr>
          </w:p>
        </w:tc>
        <w:tc>
          <w:tcPr>
            <w:tcW w:w="0" w:type="auto"/>
            <w:gridSpan w:val="3"/>
            <w:shd w:val="clear" w:color="auto" w:fill="auto"/>
          </w:tcPr>
          <w:p w14:paraId="5EA232CB" w14:textId="77777777" w:rsidR="003C66EB" w:rsidRDefault="003C66EB">
            <w:pPr>
              <w:rPr>
                <w:rFonts w:ascii="宋体"/>
                <w:vanish/>
              </w:rPr>
            </w:pPr>
          </w:p>
        </w:tc>
        <w:tc>
          <w:tcPr>
            <w:tcW w:w="0" w:type="auto"/>
            <w:gridSpan w:val="3"/>
            <w:shd w:val="clear" w:color="auto" w:fill="auto"/>
          </w:tcPr>
          <w:p w14:paraId="5EA232CC" w14:textId="77777777" w:rsidR="003C66EB" w:rsidRDefault="003C66EB">
            <w:pPr>
              <w:rPr>
                <w:rFonts w:ascii="宋体"/>
                <w:vanish/>
              </w:rPr>
            </w:pPr>
          </w:p>
        </w:tc>
        <w:tc>
          <w:tcPr>
            <w:tcW w:w="0" w:type="auto"/>
            <w:gridSpan w:val="3"/>
            <w:shd w:val="clear" w:color="auto" w:fill="auto"/>
          </w:tcPr>
          <w:p w14:paraId="5EA232CD" w14:textId="77777777" w:rsidR="003C66EB" w:rsidRDefault="003C66EB">
            <w:pPr>
              <w:rPr>
                <w:rFonts w:ascii="宋体"/>
                <w:vanish/>
              </w:rPr>
            </w:pPr>
          </w:p>
        </w:tc>
        <w:tc>
          <w:tcPr>
            <w:tcW w:w="0" w:type="auto"/>
            <w:gridSpan w:val="3"/>
            <w:shd w:val="clear" w:color="auto" w:fill="auto"/>
          </w:tcPr>
          <w:p w14:paraId="5EA232CE" w14:textId="77777777" w:rsidR="003C66EB" w:rsidRDefault="003C66EB">
            <w:pPr>
              <w:rPr>
                <w:rFonts w:ascii="宋体"/>
                <w:vanish/>
              </w:rPr>
            </w:pPr>
          </w:p>
        </w:tc>
        <w:tc>
          <w:tcPr>
            <w:tcW w:w="0" w:type="auto"/>
            <w:gridSpan w:val="3"/>
            <w:shd w:val="clear" w:color="auto" w:fill="auto"/>
          </w:tcPr>
          <w:p w14:paraId="5EA232CF" w14:textId="77777777" w:rsidR="003C66EB" w:rsidRDefault="003C66EB">
            <w:pPr>
              <w:rPr>
                <w:rFonts w:ascii="宋体"/>
                <w:vanish/>
              </w:rPr>
            </w:pPr>
          </w:p>
        </w:tc>
        <w:tc>
          <w:tcPr>
            <w:tcW w:w="0" w:type="auto"/>
            <w:gridSpan w:val="3"/>
            <w:shd w:val="clear" w:color="auto" w:fill="auto"/>
          </w:tcPr>
          <w:p w14:paraId="5EA232D0" w14:textId="77777777" w:rsidR="003C66EB" w:rsidRDefault="003C66EB">
            <w:pPr>
              <w:rPr>
                <w:rFonts w:ascii="宋体"/>
                <w:vanish/>
              </w:rPr>
            </w:pPr>
          </w:p>
        </w:tc>
        <w:tc>
          <w:tcPr>
            <w:tcW w:w="0" w:type="auto"/>
            <w:gridSpan w:val="3"/>
            <w:shd w:val="clear" w:color="auto" w:fill="auto"/>
          </w:tcPr>
          <w:p w14:paraId="5EA232D1" w14:textId="77777777" w:rsidR="003C66EB" w:rsidRDefault="003C66EB">
            <w:pPr>
              <w:rPr>
                <w:rFonts w:ascii="宋体"/>
                <w:vanish/>
              </w:rPr>
            </w:pPr>
          </w:p>
        </w:tc>
        <w:tc>
          <w:tcPr>
            <w:tcW w:w="0" w:type="auto"/>
            <w:gridSpan w:val="2"/>
            <w:shd w:val="clear" w:color="auto" w:fill="auto"/>
          </w:tcPr>
          <w:p w14:paraId="5EA232D2" w14:textId="77777777" w:rsidR="003C66EB" w:rsidRDefault="003C66EB">
            <w:pPr>
              <w:rPr>
                <w:rFonts w:ascii="宋体"/>
                <w:vanish/>
              </w:rPr>
            </w:pPr>
          </w:p>
        </w:tc>
        <w:tc>
          <w:tcPr>
            <w:tcW w:w="0" w:type="auto"/>
            <w:shd w:val="clear" w:color="auto" w:fill="auto"/>
          </w:tcPr>
          <w:p w14:paraId="5EA232D3" w14:textId="77777777" w:rsidR="003C66EB" w:rsidRDefault="003C66EB">
            <w:pPr>
              <w:rPr>
                <w:rFonts w:ascii="宋体"/>
                <w:vanish/>
              </w:rPr>
            </w:pPr>
          </w:p>
        </w:tc>
      </w:tr>
      <w:tr w:rsidR="003C66EB" w14:paraId="5EA232F4" w14:textId="77777777">
        <w:tc>
          <w:tcPr>
            <w:tcW w:w="0" w:type="auto"/>
            <w:gridSpan w:val="3"/>
            <w:shd w:val="clear" w:color="auto" w:fill="FFFFFF"/>
            <w:tcMar>
              <w:top w:w="40" w:type="dxa"/>
              <w:left w:w="20" w:type="dxa"/>
              <w:bottom w:w="40" w:type="dxa"/>
              <w:right w:w="20" w:type="dxa"/>
            </w:tcMar>
            <w:vAlign w:val="center"/>
          </w:tcPr>
          <w:p w14:paraId="5EA232D5" w14:textId="77777777" w:rsidR="003C66EB" w:rsidRDefault="00D96C4E">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D6" w14:textId="77777777" w:rsidR="003C66EB" w:rsidRDefault="00D96C4E">
            <w:pPr>
              <w:jc w:val="right"/>
              <w:textAlignment w:val="center"/>
            </w:pPr>
            <w:r>
              <w:rPr>
                <w:rFonts w:ascii="Arial" w:eastAsia="宋体" w:hAnsi="Arial" w:cs="Arial"/>
                <w:color w:val="000000"/>
                <w:sz w:val="12"/>
                <w:szCs w:val="12"/>
              </w:rPr>
              <w:t>1,820 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D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D9"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D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DC" w14:textId="77777777" w:rsidR="003C66EB" w:rsidRDefault="00D96C4E">
            <w:pPr>
              <w:jc w:val="right"/>
              <w:textAlignment w:val="center"/>
            </w:pPr>
            <w:r>
              <w:rPr>
                <w:rFonts w:ascii="Arial" w:eastAsia="宋体" w:hAnsi="Arial" w:cs="Arial"/>
                <w:color w:val="000000"/>
                <w:sz w:val="12"/>
                <w:szCs w:val="12"/>
              </w:rPr>
              <w:t>(83)</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D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D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DF" w14:textId="77777777" w:rsidR="003C66EB" w:rsidRDefault="00D96C4E">
            <w:pPr>
              <w:jc w:val="right"/>
              <w:textAlignment w:val="center"/>
            </w:pPr>
            <w:r>
              <w:rPr>
                <w:rFonts w:ascii="Arial" w:eastAsia="宋体" w:hAnsi="Arial" w:cs="Arial"/>
                <w:color w:val="000000"/>
                <w:sz w:val="12"/>
                <w:szCs w:val="12"/>
              </w:rPr>
              <w:t>178 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E0" w14:textId="77777777" w:rsidR="003C66EB" w:rsidRDefault="003C66EB">
            <w:pPr>
              <w:jc w:val="right"/>
              <w:rPr>
                <w:rFonts w:ascii="宋体"/>
              </w:rPr>
            </w:pPr>
          </w:p>
        </w:tc>
        <w:tc>
          <w:tcPr>
            <w:tcW w:w="0" w:type="auto"/>
            <w:shd w:val="clear" w:color="auto" w:fill="auto"/>
          </w:tcPr>
          <w:p w14:paraId="5EA232E1" w14:textId="77777777" w:rsidR="003C66EB" w:rsidRDefault="003C66EB">
            <w:pPr>
              <w:rPr>
                <w:rFonts w:ascii="宋体"/>
                <w:vanish/>
              </w:rPr>
            </w:pPr>
          </w:p>
        </w:tc>
        <w:tc>
          <w:tcPr>
            <w:tcW w:w="0" w:type="auto"/>
            <w:shd w:val="clear" w:color="auto" w:fill="auto"/>
          </w:tcPr>
          <w:p w14:paraId="5EA232E2"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2E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E4" w14:textId="77777777" w:rsidR="003C66EB" w:rsidRDefault="00D96C4E">
            <w:pPr>
              <w:jc w:val="right"/>
              <w:textAlignment w:val="center"/>
            </w:pPr>
            <w:r>
              <w:rPr>
                <w:rFonts w:ascii="Arial" w:eastAsia="宋体" w:hAnsi="Arial" w:cs="Arial"/>
                <w:color w:val="000000"/>
                <w:sz w:val="12"/>
                <w:szCs w:val="12"/>
              </w:rPr>
              <w:t>(42)</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E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E7" w14:textId="77777777" w:rsidR="003C66EB" w:rsidRDefault="00D96C4E">
            <w:pPr>
              <w:jc w:val="right"/>
              <w:textAlignment w:val="center"/>
            </w:pPr>
            <w:r>
              <w:rPr>
                <w:rFonts w:ascii="Arial" w:eastAsia="宋体" w:hAnsi="Arial" w:cs="Arial"/>
                <w:color w:val="000000"/>
                <w:sz w:val="12"/>
                <w:szCs w:val="12"/>
              </w:rPr>
              <w:t>(32)</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E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EA"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E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ED"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E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2E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2F0" w14:textId="77777777" w:rsidR="003C66EB" w:rsidRDefault="00D96C4E">
            <w:pPr>
              <w:jc w:val="right"/>
              <w:textAlignment w:val="center"/>
            </w:pPr>
            <w:r>
              <w:rPr>
                <w:rFonts w:ascii="Arial" w:eastAsia="宋体" w:hAnsi="Arial" w:cs="Arial"/>
                <w:color w:val="000000"/>
                <w:sz w:val="12"/>
                <w:szCs w:val="12"/>
              </w:rPr>
              <w:t>1,841 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2F1"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2F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EA232F3" w14:textId="77777777" w:rsidR="003C66EB" w:rsidRDefault="00D96C4E">
            <w:pPr>
              <w:jc w:val="right"/>
              <w:textAlignment w:val="center"/>
            </w:pPr>
            <w:r>
              <w:rPr>
                <w:rFonts w:ascii="Arial" w:eastAsia="宋体" w:hAnsi="Arial" w:cs="Arial"/>
                <w:color w:val="000000"/>
                <w:sz w:val="12"/>
                <w:szCs w:val="12"/>
              </w:rPr>
              <w:t>— </w:t>
            </w:r>
          </w:p>
        </w:tc>
      </w:tr>
      <w:tr w:rsidR="003C66EB" w14:paraId="5EA2330B" w14:textId="77777777">
        <w:tc>
          <w:tcPr>
            <w:tcW w:w="0" w:type="auto"/>
            <w:gridSpan w:val="3"/>
            <w:shd w:val="clear" w:color="auto" w:fill="CCEEFF"/>
            <w:tcMar>
              <w:top w:w="40" w:type="dxa"/>
              <w:left w:w="20" w:type="dxa"/>
              <w:bottom w:w="40" w:type="dxa"/>
              <w:right w:w="20" w:type="dxa"/>
            </w:tcMar>
            <w:vAlign w:val="center"/>
          </w:tcPr>
          <w:p w14:paraId="5EA232F5" w14:textId="77777777" w:rsidR="003C66EB" w:rsidRDefault="00D96C4E">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tcPr>
          <w:p w14:paraId="5EA232F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2F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2F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2F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2F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2F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2FC" w14:textId="77777777" w:rsidR="003C66EB" w:rsidRDefault="003C66EB">
            <w:pPr>
              <w:rPr>
                <w:rFonts w:ascii="宋体"/>
              </w:rPr>
            </w:pPr>
          </w:p>
        </w:tc>
        <w:tc>
          <w:tcPr>
            <w:tcW w:w="0" w:type="auto"/>
            <w:shd w:val="clear" w:color="auto" w:fill="auto"/>
          </w:tcPr>
          <w:p w14:paraId="5EA232FD" w14:textId="77777777" w:rsidR="003C66EB" w:rsidRDefault="003C66EB">
            <w:pPr>
              <w:rPr>
                <w:rFonts w:ascii="宋体"/>
                <w:vanish/>
              </w:rPr>
            </w:pPr>
          </w:p>
        </w:tc>
        <w:tc>
          <w:tcPr>
            <w:tcW w:w="0" w:type="auto"/>
            <w:shd w:val="clear" w:color="auto" w:fill="auto"/>
          </w:tcPr>
          <w:p w14:paraId="5EA232FE"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2F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308" w14:textId="77777777" w:rsidR="003C66EB" w:rsidRDefault="003C66EB">
            <w:pPr>
              <w:rPr>
                <w:rFonts w:ascii="宋体"/>
              </w:rPr>
            </w:pPr>
          </w:p>
        </w:tc>
        <w:tc>
          <w:tcPr>
            <w:tcW w:w="0" w:type="auto"/>
            <w:gridSpan w:val="2"/>
            <w:shd w:val="clear" w:color="auto" w:fill="CCEEFF"/>
            <w:tcMar>
              <w:top w:w="0" w:type="dxa"/>
              <w:left w:w="20" w:type="dxa"/>
              <w:bottom w:w="0" w:type="dxa"/>
              <w:right w:w="20" w:type="dxa"/>
            </w:tcMar>
          </w:tcPr>
          <w:p w14:paraId="5EA23309" w14:textId="77777777" w:rsidR="003C66EB" w:rsidRDefault="003C66EB">
            <w:pPr>
              <w:rPr>
                <w:rFonts w:ascii="宋体"/>
              </w:rPr>
            </w:pPr>
          </w:p>
        </w:tc>
        <w:tc>
          <w:tcPr>
            <w:tcW w:w="0" w:type="auto"/>
            <w:shd w:val="clear" w:color="auto" w:fill="CCEEFF"/>
            <w:tcMar>
              <w:top w:w="0" w:type="dxa"/>
              <w:left w:w="20" w:type="dxa"/>
              <w:bottom w:w="0" w:type="dxa"/>
              <w:right w:w="20" w:type="dxa"/>
            </w:tcMar>
          </w:tcPr>
          <w:p w14:paraId="5EA2330A" w14:textId="77777777" w:rsidR="003C66EB" w:rsidRDefault="003C66EB">
            <w:pPr>
              <w:rPr>
                <w:rFonts w:ascii="宋体"/>
              </w:rPr>
            </w:pPr>
          </w:p>
        </w:tc>
      </w:tr>
      <w:tr w:rsidR="003C66EB" w14:paraId="5EA23322" w14:textId="77777777">
        <w:trPr>
          <w:hidden/>
        </w:trPr>
        <w:tc>
          <w:tcPr>
            <w:tcW w:w="0" w:type="auto"/>
            <w:gridSpan w:val="3"/>
            <w:shd w:val="clear" w:color="auto" w:fill="auto"/>
          </w:tcPr>
          <w:p w14:paraId="5EA2330C" w14:textId="77777777" w:rsidR="003C66EB" w:rsidRDefault="003C66EB">
            <w:pPr>
              <w:rPr>
                <w:rFonts w:ascii="宋体"/>
                <w:vanish/>
              </w:rPr>
            </w:pPr>
          </w:p>
        </w:tc>
        <w:tc>
          <w:tcPr>
            <w:tcW w:w="0" w:type="auto"/>
            <w:gridSpan w:val="3"/>
            <w:shd w:val="clear" w:color="auto" w:fill="auto"/>
          </w:tcPr>
          <w:p w14:paraId="5EA2330D" w14:textId="77777777" w:rsidR="003C66EB" w:rsidRDefault="003C66EB">
            <w:pPr>
              <w:rPr>
                <w:rFonts w:ascii="宋体"/>
                <w:vanish/>
              </w:rPr>
            </w:pPr>
          </w:p>
        </w:tc>
        <w:tc>
          <w:tcPr>
            <w:tcW w:w="0" w:type="auto"/>
            <w:gridSpan w:val="3"/>
            <w:shd w:val="clear" w:color="auto" w:fill="auto"/>
          </w:tcPr>
          <w:p w14:paraId="5EA2330E" w14:textId="77777777" w:rsidR="003C66EB" w:rsidRDefault="003C66EB">
            <w:pPr>
              <w:rPr>
                <w:rFonts w:ascii="宋体"/>
                <w:vanish/>
              </w:rPr>
            </w:pPr>
          </w:p>
        </w:tc>
        <w:tc>
          <w:tcPr>
            <w:tcW w:w="0" w:type="auto"/>
            <w:gridSpan w:val="3"/>
            <w:shd w:val="clear" w:color="auto" w:fill="auto"/>
          </w:tcPr>
          <w:p w14:paraId="5EA2330F" w14:textId="77777777" w:rsidR="003C66EB" w:rsidRDefault="003C66EB">
            <w:pPr>
              <w:rPr>
                <w:rFonts w:ascii="宋体"/>
                <w:vanish/>
              </w:rPr>
            </w:pPr>
          </w:p>
        </w:tc>
        <w:tc>
          <w:tcPr>
            <w:tcW w:w="0" w:type="auto"/>
            <w:gridSpan w:val="3"/>
            <w:shd w:val="clear" w:color="auto" w:fill="auto"/>
          </w:tcPr>
          <w:p w14:paraId="5EA23310" w14:textId="77777777" w:rsidR="003C66EB" w:rsidRDefault="003C66EB">
            <w:pPr>
              <w:rPr>
                <w:rFonts w:ascii="宋体"/>
                <w:vanish/>
              </w:rPr>
            </w:pPr>
          </w:p>
        </w:tc>
        <w:tc>
          <w:tcPr>
            <w:tcW w:w="0" w:type="auto"/>
            <w:gridSpan w:val="3"/>
            <w:shd w:val="clear" w:color="auto" w:fill="auto"/>
          </w:tcPr>
          <w:p w14:paraId="5EA23311" w14:textId="77777777" w:rsidR="003C66EB" w:rsidRDefault="003C66EB">
            <w:pPr>
              <w:rPr>
                <w:rFonts w:ascii="宋体"/>
                <w:vanish/>
              </w:rPr>
            </w:pPr>
          </w:p>
        </w:tc>
        <w:tc>
          <w:tcPr>
            <w:tcW w:w="0" w:type="auto"/>
            <w:gridSpan w:val="3"/>
            <w:shd w:val="clear" w:color="auto" w:fill="auto"/>
          </w:tcPr>
          <w:p w14:paraId="5EA23312" w14:textId="77777777" w:rsidR="003C66EB" w:rsidRDefault="003C66EB">
            <w:pPr>
              <w:rPr>
                <w:rFonts w:ascii="宋体"/>
                <w:vanish/>
              </w:rPr>
            </w:pPr>
          </w:p>
        </w:tc>
        <w:tc>
          <w:tcPr>
            <w:tcW w:w="0" w:type="auto"/>
            <w:gridSpan w:val="3"/>
            <w:shd w:val="clear" w:color="auto" w:fill="auto"/>
          </w:tcPr>
          <w:p w14:paraId="5EA23313" w14:textId="77777777" w:rsidR="003C66EB" w:rsidRDefault="003C66EB">
            <w:pPr>
              <w:rPr>
                <w:rFonts w:ascii="宋体"/>
                <w:vanish/>
              </w:rPr>
            </w:pPr>
          </w:p>
        </w:tc>
        <w:tc>
          <w:tcPr>
            <w:tcW w:w="0" w:type="auto"/>
            <w:shd w:val="clear" w:color="auto" w:fill="auto"/>
          </w:tcPr>
          <w:p w14:paraId="5EA23314" w14:textId="77777777" w:rsidR="003C66EB" w:rsidRDefault="003C66EB">
            <w:pPr>
              <w:rPr>
                <w:rFonts w:ascii="宋体"/>
                <w:vanish/>
              </w:rPr>
            </w:pPr>
          </w:p>
        </w:tc>
        <w:tc>
          <w:tcPr>
            <w:tcW w:w="0" w:type="auto"/>
            <w:shd w:val="clear" w:color="auto" w:fill="auto"/>
          </w:tcPr>
          <w:p w14:paraId="5EA23315" w14:textId="77777777" w:rsidR="003C66EB" w:rsidRDefault="003C66EB">
            <w:pPr>
              <w:rPr>
                <w:rFonts w:ascii="宋体"/>
                <w:vanish/>
              </w:rPr>
            </w:pPr>
          </w:p>
        </w:tc>
        <w:tc>
          <w:tcPr>
            <w:tcW w:w="0" w:type="auto"/>
            <w:gridSpan w:val="3"/>
            <w:shd w:val="clear" w:color="auto" w:fill="auto"/>
          </w:tcPr>
          <w:p w14:paraId="5EA23316" w14:textId="77777777" w:rsidR="003C66EB" w:rsidRDefault="003C66EB">
            <w:pPr>
              <w:rPr>
                <w:rFonts w:ascii="宋体"/>
                <w:vanish/>
              </w:rPr>
            </w:pPr>
          </w:p>
        </w:tc>
        <w:tc>
          <w:tcPr>
            <w:tcW w:w="0" w:type="auto"/>
            <w:gridSpan w:val="3"/>
            <w:shd w:val="clear" w:color="auto" w:fill="auto"/>
          </w:tcPr>
          <w:p w14:paraId="5EA23317" w14:textId="77777777" w:rsidR="003C66EB" w:rsidRDefault="003C66EB">
            <w:pPr>
              <w:rPr>
                <w:rFonts w:ascii="宋体"/>
                <w:vanish/>
              </w:rPr>
            </w:pPr>
          </w:p>
        </w:tc>
        <w:tc>
          <w:tcPr>
            <w:tcW w:w="0" w:type="auto"/>
            <w:gridSpan w:val="3"/>
            <w:shd w:val="clear" w:color="auto" w:fill="auto"/>
          </w:tcPr>
          <w:p w14:paraId="5EA23318" w14:textId="77777777" w:rsidR="003C66EB" w:rsidRDefault="003C66EB">
            <w:pPr>
              <w:rPr>
                <w:rFonts w:ascii="宋体"/>
                <w:vanish/>
              </w:rPr>
            </w:pPr>
          </w:p>
        </w:tc>
        <w:tc>
          <w:tcPr>
            <w:tcW w:w="0" w:type="auto"/>
            <w:gridSpan w:val="3"/>
            <w:shd w:val="clear" w:color="auto" w:fill="auto"/>
          </w:tcPr>
          <w:p w14:paraId="5EA23319" w14:textId="77777777" w:rsidR="003C66EB" w:rsidRDefault="003C66EB">
            <w:pPr>
              <w:rPr>
                <w:rFonts w:ascii="宋体"/>
                <w:vanish/>
              </w:rPr>
            </w:pPr>
          </w:p>
        </w:tc>
        <w:tc>
          <w:tcPr>
            <w:tcW w:w="0" w:type="auto"/>
            <w:gridSpan w:val="3"/>
            <w:shd w:val="clear" w:color="auto" w:fill="auto"/>
          </w:tcPr>
          <w:p w14:paraId="5EA2331A" w14:textId="77777777" w:rsidR="003C66EB" w:rsidRDefault="003C66EB">
            <w:pPr>
              <w:rPr>
                <w:rFonts w:ascii="宋体"/>
                <w:vanish/>
              </w:rPr>
            </w:pPr>
          </w:p>
        </w:tc>
        <w:tc>
          <w:tcPr>
            <w:tcW w:w="0" w:type="auto"/>
            <w:gridSpan w:val="3"/>
            <w:shd w:val="clear" w:color="auto" w:fill="auto"/>
          </w:tcPr>
          <w:p w14:paraId="5EA2331B" w14:textId="77777777" w:rsidR="003C66EB" w:rsidRDefault="003C66EB">
            <w:pPr>
              <w:rPr>
                <w:rFonts w:ascii="宋体"/>
                <w:vanish/>
              </w:rPr>
            </w:pPr>
          </w:p>
        </w:tc>
        <w:tc>
          <w:tcPr>
            <w:tcW w:w="0" w:type="auto"/>
            <w:gridSpan w:val="3"/>
            <w:shd w:val="clear" w:color="auto" w:fill="auto"/>
          </w:tcPr>
          <w:p w14:paraId="5EA2331C" w14:textId="77777777" w:rsidR="003C66EB" w:rsidRDefault="003C66EB">
            <w:pPr>
              <w:rPr>
                <w:rFonts w:ascii="宋体"/>
                <w:vanish/>
              </w:rPr>
            </w:pPr>
          </w:p>
        </w:tc>
        <w:tc>
          <w:tcPr>
            <w:tcW w:w="0" w:type="auto"/>
            <w:gridSpan w:val="3"/>
            <w:shd w:val="clear" w:color="auto" w:fill="auto"/>
          </w:tcPr>
          <w:p w14:paraId="5EA2331D" w14:textId="77777777" w:rsidR="003C66EB" w:rsidRDefault="003C66EB">
            <w:pPr>
              <w:rPr>
                <w:rFonts w:ascii="宋体"/>
                <w:vanish/>
              </w:rPr>
            </w:pPr>
          </w:p>
        </w:tc>
        <w:tc>
          <w:tcPr>
            <w:tcW w:w="0" w:type="auto"/>
            <w:gridSpan w:val="3"/>
            <w:shd w:val="clear" w:color="auto" w:fill="auto"/>
          </w:tcPr>
          <w:p w14:paraId="5EA2331E" w14:textId="77777777" w:rsidR="003C66EB" w:rsidRDefault="003C66EB">
            <w:pPr>
              <w:rPr>
                <w:rFonts w:ascii="宋体"/>
                <w:vanish/>
              </w:rPr>
            </w:pPr>
          </w:p>
        </w:tc>
        <w:tc>
          <w:tcPr>
            <w:tcW w:w="0" w:type="auto"/>
            <w:gridSpan w:val="3"/>
            <w:shd w:val="clear" w:color="auto" w:fill="auto"/>
          </w:tcPr>
          <w:p w14:paraId="5EA2331F" w14:textId="77777777" w:rsidR="003C66EB" w:rsidRDefault="003C66EB">
            <w:pPr>
              <w:rPr>
                <w:rFonts w:ascii="宋体"/>
                <w:vanish/>
              </w:rPr>
            </w:pPr>
          </w:p>
        </w:tc>
        <w:tc>
          <w:tcPr>
            <w:tcW w:w="0" w:type="auto"/>
            <w:gridSpan w:val="2"/>
            <w:shd w:val="clear" w:color="auto" w:fill="auto"/>
          </w:tcPr>
          <w:p w14:paraId="5EA23320" w14:textId="77777777" w:rsidR="003C66EB" w:rsidRDefault="003C66EB">
            <w:pPr>
              <w:rPr>
                <w:rFonts w:ascii="宋体"/>
                <w:vanish/>
              </w:rPr>
            </w:pPr>
          </w:p>
        </w:tc>
        <w:tc>
          <w:tcPr>
            <w:tcW w:w="0" w:type="auto"/>
            <w:shd w:val="clear" w:color="auto" w:fill="auto"/>
          </w:tcPr>
          <w:p w14:paraId="5EA23321" w14:textId="77777777" w:rsidR="003C66EB" w:rsidRDefault="003C66EB">
            <w:pPr>
              <w:rPr>
                <w:rFonts w:ascii="宋体"/>
                <w:vanish/>
              </w:rPr>
            </w:pPr>
          </w:p>
        </w:tc>
      </w:tr>
      <w:tr w:rsidR="003C66EB" w14:paraId="5EA23342" w14:textId="77777777">
        <w:tc>
          <w:tcPr>
            <w:tcW w:w="0" w:type="auto"/>
            <w:gridSpan w:val="3"/>
            <w:shd w:val="clear" w:color="auto" w:fill="FFFFFF"/>
            <w:tcMar>
              <w:top w:w="40" w:type="dxa"/>
              <w:left w:w="155" w:type="dxa"/>
              <w:bottom w:w="40" w:type="dxa"/>
              <w:right w:w="20" w:type="dxa"/>
            </w:tcMar>
            <w:vAlign w:val="center"/>
          </w:tcPr>
          <w:p w14:paraId="5EA23323" w14:textId="77777777" w:rsidR="003C66EB" w:rsidRDefault="00D96C4E">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5EA23324" w14:textId="77777777" w:rsidR="003C66EB" w:rsidRDefault="00D96C4E">
            <w:pPr>
              <w:jc w:val="right"/>
              <w:textAlignment w:val="center"/>
            </w:pPr>
            <w:r>
              <w:rPr>
                <w:rFonts w:ascii="Arial" w:eastAsia="宋体" w:hAnsi="Arial" w:cs="Arial"/>
                <w:color w:val="000000"/>
                <w:sz w:val="12"/>
                <w:szCs w:val="12"/>
              </w:rPr>
              <w:t>887 </w:t>
            </w:r>
          </w:p>
        </w:tc>
        <w:tc>
          <w:tcPr>
            <w:tcW w:w="0" w:type="auto"/>
            <w:shd w:val="clear" w:color="auto" w:fill="FFFFFF"/>
            <w:tcMar>
              <w:top w:w="40" w:type="dxa"/>
              <w:left w:w="0" w:type="dxa"/>
              <w:bottom w:w="40" w:type="dxa"/>
              <w:right w:w="20" w:type="dxa"/>
            </w:tcMar>
            <w:vAlign w:val="center"/>
          </w:tcPr>
          <w:p w14:paraId="5EA233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2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27"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32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2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2A" w14:textId="77777777" w:rsidR="003C66EB" w:rsidRDefault="00D96C4E">
            <w:pPr>
              <w:jc w:val="right"/>
              <w:textAlignment w:val="center"/>
            </w:pPr>
            <w:r>
              <w:rPr>
                <w:rFonts w:ascii="Arial" w:eastAsia="宋体" w:hAnsi="Arial" w:cs="Arial"/>
                <w:color w:val="000000"/>
                <w:sz w:val="12"/>
                <w:szCs w:val="12"/>
              </w:rPr>
              <w:t>(65)</w:t>
            </w:r>
          </w:p>
        </w:tc>
        <w:tc>
          <w:tcPr>
            <w:tcW w:w="0" w:type="auto"/>
            <w:shd w:val="clear" w:color="auto" w:fill="FFFFFF"/>
            <w:tcMar>
              <w:top w:w="40" w:type="dxa"/>
              <w:left w:w="0" w:type="dxa"/>
              <w:bottom w:w="40" w:type="dxa"/>
              <w:right w:w="20" w:type="dxa"/>
            </w:tcMar>
            <w:vAlign w:val="center"/>
          </w:tcPr>
          <w:p w14:paraId="5EA2332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2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2D"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32E" w14:textId="77777777" w:rsidR="003C66EB" w:rsidRDefault="003C66EB">
            <w:pPr>
              <w:jc w:val="right"/>
              <w:rPr>
                <w:rFonts w:ascii="宋体"/>
              </w:rPr>
            </w:pPr>
          </w:p>
        </w:tc>
        <w:tc>
          <w:tcPr>
            <w:tcW w:w="0" w:type="auto"/>
            <w:shd w:val="clear" w:color="auto" w:fill="auto"/>
          </w:tcPr>
          <w:p w14:paraId="5EA2332F" w14:textId="77777777" w:rsidR="003C66EB" w:rsidRDefault="003C66EB">
            <w:pPr>
              <w:rPr>
                <w:rFonts w:ascii="宋体"/>
                <w:vanish/>
              </w:rPr>
            </w:pPr>
          </w:p>
        </w:tc>
        <w:tc>
          <w:tcPr>
            <w:tcW w:w="0" w:type="auto"/>
            <w:shd w:val="clear" w:color="auto" w:fill="auto"/>
          </w:tcPr>
          <w:p w14:paraId="5EA23330"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3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32"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3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35" w14:textId="77777777" w:rsidR="003C66EB" w:rsidRDefault="00D96C4E">
            <w:pPr>
              <w:jc w:val="right"/>
              <w:textAlignment w:val="center"/>
            </w:pPr>
            <w:r>
              <w:rPr>
                <w:rFonts w:ascii="Arial" w:eastAsia="宋体" w:hAnsi="Arial" w:cs="Arial"/>
                <w:color w:val="000000"/>
                <w:sz w:val="12"/>
                <w:szCs w:val="12"/>
              </w:rPr>
              <w:t>(2)</w:t>
            </w:r>
          </w:p>
        </w:tc>
        <w:tc>
          <w:tcPr>
            <w:tcW w:w="0" w:type="auto"/>
            <w:shd w:val="clear" w:color="auto" w:fill="FFFFFF"/>
            <w:tcMar>
              <w:top w:w="40" w:type="dxa"/>
              <w:left w:w="0" w:type="dxa"/>
              <w:bottom w:w="40" w:type="dxa"/>
              <w:right w:w="20" w:type="dxa"/>
            </w:tcMar>
            <w:vAlign w:val="center"/>
          </w:tcPr>
          <w:p w14:paraId="5EA233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3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38"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3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3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3B"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33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3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33E" w14:textId="77777777" w:rsidR="003C66EB" w:rsidRDefault="00D96C4E">
            <w:pPr>
              <w:jc w:val="right"/>
              <w:textAlignment w:val="center"/>
            </w:pPr>
            <w:r>
              <w:rPr>
                <w:rFonts w:ascii="Arial" w:eastAsia="宋体" w:hAnsi="Arial" w:cs="Arial"/>
                <w:color w:val="000000"/>
                <w:sz w:val="12"/>
                <w:szCs w:val="12"/>
              </w:rPr>
              <w:t>820 </w:t>
            </w:r>
          </w:p>
        </w:tc>
        <w:tc>
          <w:tcPr>
            <w:tcW w:w="0" w:type="auto"/>
            <w:shd w:val="clear" w:color="auto" w:fill="FFFFFF"/>
            <w:tcMar>
              <w:top w:w="40" w:type="dxa"/>
              <w:left w:w="0" w:type="dxa"/>
              <w:bottom w:w="40" w:type="dxa"/>
              <w:right w:w="20" w:type="dxa"/>
            </w:tcMar>
            <w:vAlign w:val="center"/>
          </w:tcPr>
          <w:p w14:paraId="5EA2333F"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340" w14:textId="77777777" w:rsidR="003C66EB" w:rsidRDefault="003C66EB">
            <w:pPr>
              <w:rPr>
                <w:rFonts w:ascii="宋体"/>
              </w:rPr>
            </w:pPr>
          </w:p>
        </w:tc>
        <w:tc>
          <w:tcPr>
            <w:tcW w:w="0" w:type="auto"/>
            <w:shd w:val="clear" w:color="auto" w:fill="FFFFFF"/>
            <w:tcMar>
              <w:top w:w="40" w:type="dxa"/>
              <w:left w:w="20" w:type="dxa"/>
              <w:bottom w:w="40" w:type="dxa"/>
              <w:right w:w="0" w:type="dxa"/>
            </w:tcMar>
            <w:vAlign w:val="center"/>
          </w:tcPr>
          <w:p w14:paraId="5EA23341" w14:textId="77777777" w:rsidR="003C66EB" w:rsidRDefault="00D96C4E">
            <w:pPr>
              <w:jc w:val="right"/>
              <w:textAlignment w:val="center"/>
            </w:pPr>
            <w:r>
              <w:rPr>
                <w:rFonts w:ascii="Arial" w:eastAsia="宋体" w:hAnsi="Arial" w:cs="Arial"/>
                <w:color w:val="000000"/>
                <w:sz w:val="12"/>
                <w:szCs w:val="12"/>
              </w:rPr>
              <w:t>— </w:t>
            </w:r>
          </w:p>
        </w:tc>
      </w:tr>
      <w:tr w:rsidR="003C66EB" w14:paraId="5EA23359" w14:textId="77777777">
        <w:trPr>
          <w:hidden/>
        </w:trPr>
        <w:tc>
          <w:tcPr>
            <w:tcW w:w="0" w:type="auto"/>
            <w:gridSpan w:val="3"/>
            <w:shd w:val="clear" w:color="auto" w:fill="auto"/>
          </w:tcPr>
          <w:p w14:paraId="5EA23343" w14:textId="77777777" w:rsidR="003C66EB" w:rsidRDefault="003C66EB">
            <w:pPr>
              <w:rPr>
                <w:rFonts w:ascii="宋体"/>
                <w:vanish/>
              </w:rPr>
            </w:pPr>
          </w:p>
        </w:tc>
        <w:tc>
          <w:tcPr>
            <w:tcW w:w="0" w:type="auto"/>
            <w:gridSpan w:val="3"/>
            <w:shd w:val="clear" w:color="auto" w:fill="auto"/>
          </w:tcPr>
          <w:p w14:paraId="5EA23344" w14:textId="77777777" w:rsidR="003C66EB" w:rsidRDefault="003C66EB">
            <w:pPr>
              <w:rPr>
                <w:rFonts w:ascii="宋体"/>
                <w:vanish/>
              </w:rPr>
            </w:pPr>
          </w:p>
        </w:tc>
        <w:tc>
          <w:tcPr>
            <w:tcW w:w="0" w:type="auto"/>
            <w:gridSpan w:val="3"/>
            <w:shd w:val="clear" w:color="auto" w:fill="auto"/>
          </w:tcPr>
          <w:p w14:paraId="5EA23345" w14:textId="77777777" w:rsidR="003C66EB" w:rsidRDefault="003C66EB">
            <w:pPr>
              <w:rPr>
                <w:rFonts w:ascii="宋体"/>
                <w:vanish/>
              </w:rPr>
            </w:pPr>
          </w:p>
        </w:tc>
        <w:tc>
          <w:tcPr>
            <w:tcW w:w="0" w:type="auto"/>
            <w:gridSpan w:val="3"/>
            <w:shd w:val="clear" w:color="auto" w:fill="auto"/>
          </w:tcPr>
          <w:p w14:paraId="5EA23346" w14:textId="77777777" w:rsidR="003C66EB" w:rsidRDefault="003C66EB">
            <w:pPr>
              <w:rPr>
                <w:rFonts w:ascii="宋体"/>
                <w:vanish/>
              </w:rPr>
            </w:pPr>
          </w:p>
        </w:tc>
        <w:tc>
          <w:tcPr>
            <w:tcW w:w="0" w:type="auto"/>
            <w:gridSpan w:val="3"/>
            <w:shd w:val="clear" w:color="auto" w:fill="auto"/>
          </w:tcPr>
          <w:p w14:paraId="5EA23347" w14:textId="77777777" w:rsidR="003C66EB" w:rsidRDefault="003C66EB">
            <w:pPr>
              <w:rPr>
                <w:rFonts w:ascii="宋体"/>
                <w:vanish/>
              </w:rPr>
            </w:pPr>
          </w:p>
        </w:tc>
        <w:tc>
          <w:tcPr>
            <w:tcW w:w="0" w:type="auto"/>
            <w:gridSpan w:val="3"/>
            <w:shd w:val="clear" w:color="auto" w:fill="auto"/>
          </w:tcPr>
          <w:p w14:paraId="5EA23348" w14:textId="77777777" w:rsidR="003C66EB" w:rsidRDefault="003C66EB">
            <w:pPr>
              <w:rPr>
                <w:rFonts w:ascii="宋体"/>
                <w:vanish/>
              </w:rPr>
            </w:pPr>
          </w:p>
        </w:tc>
        <w:tc>
          <w:tcPr>
            <w:tcW w:w="0" w:type="auto"/>
            <w:gridSpan w:val="3"/>
            <w:shd w:val="clear" w:color="auto" w:fill="auto"/>
          </w:tcPr>
          <w:p w14:paraId="5EA23349" w14:textId="77777777" w:rsidR="003C66EB" w:rsidRDefault="003C66EB">
            <w:pPr>
              <w:rPr>
                <w:rFonts w:ascii="宋体"/>
                <w:vanish/>
              </w:rPr>
            </w:pPr>
          </w:p>
        </w:tc>
        <w:tc>
          <w:tcPr>
            <w:tcW w:w="0" w:type="auto"/>
            <w:gridSpan w:val="3"/>
            <w:shd w:val="clear" w:color="auto" w:fill="auto"/>
          </w:tcPr>
          <w:p w14:paraId="5EA2334A" w14:textId="77777777" w:rsidR="003C66EB" w:rsidRDefault="003C66EB">
            <w:pPr>
              <w:rPr>
                <w:rFonts w:ascii="宋体"/>
                <w:vanish/>
              </w:rPr>
            </w:pPr>
          </w:p>
        </w:tc>
        <w:tc>
          <w:tcPr>
            <w:tcW w:w="0" w:type="auto"/>
            <w:shd w:val="clear" w:color="auto" w:fill="auto"/>
          </w:tcPr>
          <w:p w14:paraId="5EA2334B" w14:textId="77777777" w:rsidR="003C66EB" w:rsidRDefault="003C66EB">
            <w:pPr>
              <w:rPr>
                <w:rFonts w:ascii="宋体"/>
                <w:vanish/>
              </w:rPr>
            </w:pPr>
          </w:p>
        </w:tc>
        <w:tc>
          <w:tcPr>
            <w:tcW w:w="0" w:type="auto"/>
            <w:shd w:val="clear" w:color="auto" w:fill="auto"/>
          </w:tcPr>
          <w:p w14:paraId="5EA2334C" w14:textId="77777777" w:rsidR="003C66EB" w:rsidRDefault="003C66EB">
            <w:pPr>
              <w:rPr>
                <w:rFonts w:ascii="宋体"/>
                <w:vanish/>
              </w:rPr>
            </w:pPr>
          </w:p>
        </w:tc>
        <w:tc>
          <w:tcPr>
            <w:tcW w:w="0" w:type="auto"/>
            <w:gridSpan w:val="3"/>
            <w:shd w:val="clear" w:color="auto" w:fill="auto"/>
          </w:tcPr>
          <w:p w14:paraId="5EA2334D" w14:textId="77777777" w:rsidR="003C66EB" w:rsidRDefault="003C66EB">
            <w:pPr>
              <w:rPr>
                <w:rFonts w:ascii="宋体"/>
                <w:vanish/>
              </w:rPr>
            </w:pPr>
          </w:p>
        </w:tc>
        <w:tc>
          <w:tcPr>
            <w:tcW w:w="0" w:type="auto"/>
            <w:gridSpan w:val="3"/>
            <w:shd w:val="clear" w:color="auto" w:fill="auto"/>
          </w:tcPr>
          <w:p w14:paraId="5EA2334E" w14:textId="77777777" w:rsidR="003C66EB" w:rsidRDefault="003C66EB">
            <w:pPr>
              <w:rPr>
                <w:rFonts w:ascii="宋体"/>
                <w:vanish/>
              </w:rPr>
            </w:pPr>
          </w:p>
        </w:tc>
        <w:tc>
          <w:tcPr>
            <w:tcW w:w="0" w:type="auto"/>
            <w:gridSpan w:val="3"/>
            <w:shd w:val="clear" w:color="auto" w:fill="auto"/>
          </w:tcPr>
          <w:p w14:paraId="5EA2334F" w14:textId="77777777" w:rsidR="003C66EB" w:rsidRDefault="003C66EB">
            <w:pPr>
              <w:rPr>
                <w:rFonts w:ascii="宋体"/>
                <w:vanish/>
              </w:rPr>
            </w:pPr>
          </w:p>
        </w:tc>
        <w:tc>
          <w:tcPr>
            <w:tcW w:w="0" w:type="auto"/>
            <w:gridSpan w:val="3"/>
            <w:shd w:val="clear" w:color="auto" w:fill="auto"/>
          </w:tcPr>
          <w:p w14:paraId="5EA23350" w14:textId="77777777" w:rsidR="003C66EB" w:rsidRDefault="003C66EB">
            <w:pPr>
              <w:rPr>
                <w:rFonts w:ascii="宋体"/>
                <w:vanish/>
              </w:rPr>
            </w:pPr>
          </w:p>
        </w:tc>
        <w:tc>
          <w:tcPr>
            <w:tcW w:w="0" w:type="auto"/>
            <w:gridSpan w:val="3"/>
            <w:shd w:val="clear" w:color="auto" w:fill="auto"/>
          </w:tcPr>
          <w:p w14:paraId="5EA23351" w14:textId="77777777" w:rsidR="003C66EB" w:rsidRDefault="003C66EB">
            <w:pPr>
              <w:rPr>
                <w:rFonts w:ascii="宋体"/>
                <w:vanish/>
              </w:rPr>
            </w:pPr>
          </w:p>
        </w:tc>
        <w:tc>
          <w:tcPr>
            <w:tcW w:w="0" w:type="auto"/>
            <w:gridSpan w:val="3"/>
            <w:shd w:val="clear" w:color="auto" w:fill="auto"/>
          </w:tcPr>
          <w:p w14:paraId="5EA23352" w14:textId="77777777" w:rsidR="003C66EB" w:rsidRDefault="003C66EB">
            <w:pPr>
              <w:rPr>
                <w:rFonts w:ascii="宋体"/>
                <w:vanish/>
              </w:rPr>
            </w:pPr>
          </w:p>
        </w:tc>
        <w:tc>
          <w:tcPr>
            <w:tcW w:w="0" w:type="auto"/>
            <w:gridSpan w:val="3"/>
            <w:shd w:val="clear" w:color="auto" w:fill="auto"/>
          </w:tcPr>
          <w:p w14:paraId="5EA23353" w14:textId="77777777" w:rsidR="003C66EB" w:rsidRDefault="003C66EB">
            <w:pPr>
              <w:rPr>
                <w:rFonts w:ascii="宋体"/>
                <w:vanish/>
              </w:rPr>
            </w:pPr>
          </w:p>
        </w:tc>
        <w:tc>
          <w:tcPr>
            <w:tcW w:w="0" w:type="auto"/>
            <w:gridSpan w:val="3"/>
            <w:shd w:val="clear" w:color="auto" w:fill="auto"/>
          </w:tcPr>
          <w:p w14:paraId="5EA23354" w14:textId="77777777" w:rsidR="003C66EB" w:rsidRDefault="003C66EB">
            <w:pPr>
              <w:rPr>
                <w:rFonts w:ascii="宋体"/>
                <w:vanish/>
              </w:rPr>
            </w:pPr>
          </w:p>
        </w:tc>
        <w:tc>
          <w:tcPr>
            <w:tcW w:w="0" w:type="auto"/>
            <w:gridSpan w:val="3"/>
            <w:shd w:val="clear" w:color="auto" w:fill="auto"/>
          </w:tcPr>
          <w:p w14:paraId="5EA23355" w14:textId="77777777" w:rsidR="003C66EB" w:rsidRDefault="003C66EB">
            <w:pPr>
              <w:rPr>
                <w:rFonts w:ascii="宋体"/>
                <w:vanish/>
              </w:rPr>
            </w:pPr>
          </w:p>
        </w:tc>
        <w:tc>
          <w:tcPr>
            <w:tcW w:w="0" w:type="auto"/>
            <w:gridSpan w:val="3"/>
            <w:shd w:val="clear" w:color="auto" w:fill="auto"/>
          </w:tcPr>
          <w:p w14:paraId="5EA23356" w14:textId="77777777" w:rsidR="003C66EB" w:rsidRDefault="003C66EB">
            <w:pPr>
              <w:rPr>
                <w:rFonts w:ascii="宋体"/>
                <w:vanish/>
              </w:rPr>
            </w:pPr>
          </w:p>
        </w:tc>
        <w:tc>
          <w:tcPr>
            <w:tcW w:w="0" w:type="auto"/>
            <w:gridSpan w:val="2"/>
            <w:shd w:val="clear" w:color="auto" w:fill="auto"/>
          </w:tcPr>
          <w:p w14:paraId="5EA23357" w14:textId="77777777" w:rsidR="003C66EB" w:rsidRDefault="003C66EB">
            <w:pPr>
              <w:rPr>
                <w:rFonts w:ascii="宋体"/>
                <w:vanish/>
              </w:rPr>
            </w:pPr>
          </w:p>
        </w:tc>
        <w:tc>
          <w:tcPr>
            <w:tcW w:w="0" w:type="auto"/>
            <w:shd w:val="clear" w:color="auto" w:fill="auto"/>
          </w:tcPr>
          <w:p w14:paraId="5EA23358" w14:textId="77777777" w:rsidR="003C66EB" w:rsidRDefault="003C66EB">
            <w:pPr>
              <w:rPr>
                <w:rFonts w:ascii="宋体"/>
                <w:vanish/>
              </w:rPr>
            </w:pPr>
          </w:p>
        </w:tc>
      </w:tr>
      <w:tr w:rsidR="003C66EB" w14:paraId="5EA23379" w14:textId="77777777">
        <w:tc>
          <w:tcPr>
            <w:tcW w:w="0" w:type="auto"/>
            <w:gridSpan w:val="3"/>
            <w:shd w:val="clear" w:color="auto" w:fill="CCEEFF"/>
            <w:tcMar>
              <w:top w:w="40" w:type="dxa"/>
              <w:left w:w="155" w:type="dxa"/>
              <w:bottom w:w="40" w:type="dxa"/>
              <w:right w:w="20" w:type="dxa"/>
            </w:tcMar>
            <w:vAlign w:val="center"/>
          </w:tcPr>
          <w:p w14:paraId="5EA2335A" w14:textId="77777777" w:rsidR="003C66EB" w:rsidRDefault="00D96C4E">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5EA2335B" w14:textId="77777777" w:rsidR="003C66EB" w:rsidRDefault="00D96C4E">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5EA233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5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5E"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3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6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61" w14:textId="77777777" w:rsidR="003C66EB" w:rsidRDefault="00D96C4E">
            <w:pPr>
              <w:jc w:val="right"/>
              <w:textAlignment w:val="center"/>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center"/>
          </w:tcPr>
          <w:p w14:paraId="5EA233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64"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365" w14:textId="77777777" w:rsidR="003C66EB" w:rsidRDefault="003C66EB">
            <w:pPr>
              <w:jc w:val="right"/>
              <w:rPr>
                <w:rFonts w:ascii="宋体"/>
              </w:rPr>
            </w:pPr>
          </w:p>
        </w:tc>
        <w:tc>
          <w:tcPr>
            <w:tcW w:w="0" w:type="auto"/>
            <w:shd w:val="clear" w:color="auto" w:fill="auto"/>
          </w:tcPr>
          <w:p w14:paraId="5EA23366" w14:textId="77777777" w:rsidR="003C66EB" w:rsidRDefault="003C66EB">
            <w:pPr>
              <w:rPr>
                <w:rFonts w:ascii="宋体"/>
                <w:vanish/>
              </w:rPr>
            </w:pPr>
          </w:p>
        </w:tc>
        <w:tc>
          <w:tcPr>
            <w:tcW w:w="0" w:type="auto"/>
            <w:shd w:val="clear" w:color="auto" w:fill="auto"/>
          </w:tcPr>
          <w:p w14:paraId="5EA23367"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36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69"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3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6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6C"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3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6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6F"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3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7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72"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A233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7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3375" w14:textId="77777777" w:rsidR="003C66EB" w:rsidRDefault="00D96C4E">
            <w:pPr>
              <w:jc w:val="right"/>
              <w:textAlignment w:val="center"/>
            </w:pPr>
            <w:r>
              <w:rPr>
                <w:rFonts w:ascii="Arial" w:eastAsia="宋体" w:hAnsi="Arial" w:cs="Arial"/>
                <w:color w:val="000000"/>
                <w:sz w:val="12"/>
                <w:szCs w:val="12"/>
              </w:rPr>
              <w:t>44 </w:t>
            </w:r>
          </w:p>
        </w:tc>
        <w:tc>
          <w:tcPr>
            <w:tcW w:w="0" w:type="auto"/>
            <w:shd w:val="clear" w:color="auto" w:fill="CCEEFF"/>
            <w:tcMar>
              <w:top w:w="40" w:type="dxa"/>
              <w:left w:w="0" w:type="dxa"/>
              <w:bottom w:w="40" w:type="dxa"/>
              <w:right w:w="20" w:type="dxa"/>
            </w:tcMar>
            <w:vAlign w:val="center"/>
          </w:tcPr>
          <w:p w14:paraId="5EA23376"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377" w14:textId="77777777" w:rsidR="003C66EB" w:rsidRDefault="003C66EB">
            <w:pPr>
              <w:rPr>
                <w:rFonts w:ascii="宋体"/>
              </w:rPr>
            </w:pPr>
          </w:p>
        </w:tc>
        <w:tc>
          <w:tcPr>
            <w:tcW w:w="0" w:type="auto"/>
            <w:shd w:val="clear" w:color="auto" w:fill="CCEEFF"/>
            <w:tcMar>
              <w:top w:w="40" w:type="dxa"/>
              <w:left w:w="20" w:type="dxa"/>
              <w:bottom w:w="40" w:type="dxa"/>
              <w:right w:w="0" w:type="dxa"/>
            </w:tcMar>
            <w:vAlign w:val="center"/>
          </w:tcPr>
          <w:p w14:paraId="5EA23378" w14:textId="77777777" w:rsidR="003C66EB" w:rsidRDefault="00D96C4E">
            <w:pPr>
              <w:jc w:val="right"/>
              <w:textAlignment w:val="center"/>
            </w:pPr>
            <w:r>
              <w:rPr>
                <w:rFonts w:ascii="Arial" w:eastAsia="宋体" w:hAnsi="Arial" w:cs="Arial"/>
                <w:color w:val="000000"/>
                <w:sz w:val="12"/>
                <w:szCs w:val="12"/>
              </w:rPr>
              <w:t>— </w:t>
            </w:r>
          </w:p>
        </w:tc>
      </w:tr>
      <w:tr w:rsidR="003C66EB" w14:paraId="5EA23399" w14:textId="77777777">
        <w:tc>
          <w:tcPr>
            <w:tcW w:w="0" w:type="auto"/>
            <w:gridSpan w:val="3"/>
            <w:shd w:val="clear" w:color="auto" w:fill="FFFFFF"/>
            <w:tcMar>
              <w:top w:w="40" w:type="dxa"/>
              <w:left w:w="20" w:type="dxa"/>
              <w:bottom w:w="40" w:type="dxa"/>
              <w:right w:w="20" w:type="dxa"/>
            </w:tcMar>
            <w:vAlign w:val="center"/>
          </w:tcPr>
          <w:p w14:paraId="5EA2337A" w14:textId="77777777" w:rsidR="003C66EB" w:rsidRDefault="00D96C4E">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7B" w14:textId="77777777" w:rsidR="003C66EB" w:rsidRDefault="00D96C4E">
            <w:pPr>
              <w:jc w:val="right"/>
              <w:textAlignment w:val="center"/>
            </w:pPr>
            <w:r>
              <w:rPr>
                <w:rFonts w:ascii="Arial" w:eastAsia="宋体" w:hAnsi="Arial" w:cs="Arial"/>
                <w:color w:val="000000"/>
                <w:sz w:val="12"/>
                <w:szCs w:val="12"/>
              </w:rPr>
              <w:t>932 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7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7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7E"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8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81" w14:textId="77777777" w:rsidR="003C66EB" w:rsidRDefault="00D96C4E">
            <w:pPr>
              <w:jc w:val="right"/>
              <w:textAlignment w:val="center"/>
            </w:pPr>
            <w:r>
              <w:rPr>
                <w:rFonts w:ascii="Arial" w:eastAsia="宋体" w:hAnsi="Arial" w:cs="Arial"/>
                <w:color w:val="000000"/>
                <w:sz w:val="12"/>
                <w:szCs w:val="12"/>
              </w:rPr>
              <w:t>(66)</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8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84"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85" w14:textId="77777777" w:rsidR="003C66EB" w:rsidRDefault="003C66EB">
            <w:pPr>
              <w:jc w:val="right"/>
              <w:rPr>
                <w:rFonts w:ascii="宋体"/>
              </w:rPr>
            </w:pPr>
          </w:p>
        </w:tc>
        <w:tc>
          <w:tcPr>
            <w:tcW w:w="0" w:type="auto"/>
            <w:shd w:val="clear" w:color="auto" w:fill="auto"/>
          </w:tcPr>
          <w:p w14:paraId="5EA23386" w14:textId="77777777" w:rsidR="003C66EB" w:rsidRDefault="003C66EB">
            <w:pPr>
              <w:rPr>
                <w:rFonts w:ascii="宋体"/>
                <w:vanish/>
              </w:rPr>
            </w:pPr>
          </w:p>
        </w:tc>
        <w:tc>
          <w:tcPr>
            <w:tcW w:w="0" w:type="auto"/>
            <w:shd w:val="clear" w:color="auto" w:fill="auto"/>
          </w:tcPr>
          <w:p w14:paraId="5EA23387"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38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89"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8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8C" w14:textId="77777777" w:rsidR="003C66EB" w:rsidRDefault="00D96C4E">
            <w:pPr>
              <w:jc w:val="right"/>
              <w:textAlignment w:val="center"/>
            </w:pPr>
            <w:r>
              <w:rPr>
                <w:rFonts w:ascii="Arial" w:eastAsia="宋体" w:hAnsi="Arial" w:cs="Arial"/>
                <w:color w:val="000000"/>
                <w:sz w:val="12"/>
                <w:szCs w:val="12"/>
              </w:rPr>
              <w:t>(2)</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8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8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8F"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9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9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92"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39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A23395" w14:textId="77777777" w:rsidR="003C66EB" w:rsidRDefault="00D96C4E">
            <w:pPr>
              <w:jc w:val="right"/>
              <w:textAlignment w:val="center"/>
            </w:pPr>
            <w:r>
              <w:rPr>
                <w:rFonts w:ascii="Arial" w:eastAsia="宋体" w:hAnsi="Arial" w:cs="Arial"/>
                <w:color w:val="000000"/>
                <w:sz w:val="12"/>
                <w:szCs w:val="12"/>
              </w:rPr>
              <w:t>864 </w:t>
            </w:r>
          </w:p>
        </w:tc>
        <w:tc>
          <w:tcPr>
            <w:tcW w:w="0" w:type="auto"/>
            <w:tcBorders>
              <w:top w:val="single" w:sz="8" w:space="0" w:color="000000"/>
            </w:tcBorders>
            <w:shd w:val="clear" w:color="auto" w:fill="FFFFFF"/>
            <w:tcMar>
              <w:top w:w="40" w:type="dxa"/>
              <w:left w:w="0" w:type="dxa"/>
              <w:bottom w:w="40" w:type="dxa"/>
              <w:right w:w="20" w:type="dxa"/>
            </w:tcMar>
            <w:vAlign w:val="center"/>
          </w:tcPr>
          <w:p w14:paraId="5EA23396"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397"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EA23398" w14:textId="77777777" w:rsidR="003C66EB" w:rsidRDefault="00D96C4E">
            <w:pPr>
              <w:jc w:val="right"/>
              <w:textAlignment w:val="center"/>
            </w:pPr>
            <w:r>
              <w:rPr>
                <w:rFonts w:ascii="Arial" w:eastAsia="宋体" w:hAnsi="Arial" w:cs="Arial"/>
                <w:color w:val="000000"/>
                <w:sz w:val="12"/>
                <w:szCs w:val="12"/>
              </w:rPr>
              <w:t>— </w:t>
            </w:r>
          </w:p>
        </w:tc>
      </w:tr>
      <w:tr w:rsidR="003C66EB" w14:paraId="5EA233B0" w14:textId="77777777">
        <w:trPr>
          <w:hidden/>
        </w:trPr>
        <w:tc>
          <w:tcPr>
            <w:tcW w:w="0" w:type="auto"/>
            <w:gridSpan w:val="3"/>
            <w:shd w:val="clear" w:color="auto" w:fill="auto"/>
          </w:tcPr>
          <w:p w14:paraId="5EA2339A" w14:textId="77777777" w:rsidR="003C66EB" w:rsidRDefault="003C66EB">
            <w:pPr>
              <w:rPr>
                <w:rFonts w:ascii="宋体"/>
                <w:vanish/>
              </w:rPr>
            </w:pPr>
          </w:p>
        </w:tc>
        <w:tc>
          <w:tcPr>
            <w:tcW w:w="0" w:type="auto"/>
            <w:gridSpan w:val="3"/>
            <w:shd w:val="clear" w:color="auto" w:fill="auto"/>
          </w:tcPr>
          <w:p w14:paraId="5EA2339B" w14:textId="77777777" w:rsidR="003C66EB" w:rsidRDefault="003C66EB">
            <w:pPr>
              <w:rPr>
                <w:rFonts w:ascii="宋体"/>
                <w:vanish/>
              </w:rPr>
            </w:pPr>
          </w:p>
        </w:tc>
        <w:tc>
          <w:tcPr>
            <w:tcW w:w="0" w:type="auto"/>
            <w:gridSpan w:val="3"/>
            <w:shd w:val="clear" w:color="auto" w:fill="auto"/>
          </w:tcPr>
          <w:p w14:paraId="5EA2339C" w14:textId="77777777" w:rsidR="003C66EB" w:rsidRDefault="003C66EB">
            <w:pPr>
              <w:rPr>
                <w:rFonts w:ascii="宋体"/>
                <w:vanish/>
              </w:rPr>
            </w:pPr>
          </w:p>
        </w:tc>
        <w:tc>
          <w:tcPr>
            <w:tcW w:w="0" w:type="auto"/>
            <w:gridSpan w:val="3"/>
            <w:shd w:val="clear" w:color="auto" w:fill="auto"/>
          </w:tcPr>
          <w:p w14:paraId="5EA2339D" w14:textId="77777777" w:rsidR="003C66EB" w:rsidRDefault="003C66EB">
            <w:pPr>
              <w:rPr>
                <w:rFonts w:ascii="宋体"/>
                <w:vanish/>
              </w:rPr>
            </w:pPr>
          </w:p>
        </w:tc>
        <w:tc>
          <w:tcPr>
            <w:tcW w:w="0" w:type="auto"/>
            <w:gridSpan w:val="3"/>
            <w:shd w:val="clear" w:color="auto" w:fill="auto"/>
          </w:tcPr>
          <w:p w14:paraId="5EA2339E" w14:textId="77777777" w:rsidR="003C66EB" w:rsidRDefault="003C66EB">
            <w:pPr>
              <w:rPr>
                <w:rFonts w:ascii="宋体"/>
                <w:vanish/>
              </w:rPr>
            </w:pPr>
          </w:p>
        </w:tc>
        <w:tc>
          <w:tcPr>
            <w:tcW w:w="0" w:type="auto"/>
            <w:gridSpan w:val="3"/>
            <w:shd w:val="clear" w:color="auto" w:fill="auto"/>
          </w:tcPr>
          <w:p w14:paraId="5EA2339F" w14:textId="77777777" w:rsidR="003C66EB" w:rsidRDefault="003C66EB">
            <w:pPr>
              <w:rPr>
                <w:rFonts w:ascii="宋体"/>
                <w:vanish/>
              </w:rPr>
            </w:pPr>
          </w:p>
        </w:tc>
        <w:tc>
          <w:tcPr>
            <w:tcW w:w="0" w:type="auto"/>
            <w:gridSpan w:val="3"/>
            <w:shd w:val="clear" w:color="auto" w:fill="auto"/>
          </w:tcPr>
          <w:p w14:paraId="5EA233A0" w14:textId="77777777" w:rsidR="003C66EB" w:rsidRDefault="003C66EB">
            <w:pPr>
              <w:rPr>
                <w:rFonts w:ascii="宋体"/>
                <w:vanish/>
              </w:rPr>
            </w:pPr>
          </w:p>
        </w:tc>
        <w:tc>
          <w:tcPr>
            <w:tcW w:w="0" w:type="auto"/>
            <w:gridSpan w:val="3"/>
            <w:shd w:val="clear" w:color="auto" w:fill="auto"/>
          </w:tcPr>
          <w:p w14:paraId="5EA233A1" w14:textId="77777777" w:rsidR="003C66EB" w:rsidRDefault="003C66EB">
            <w:pPr>
              <w:rPr>
                <w:rFonts w:ascii="宋体"/>
                <w:vanish/>
              </w:rPr>
            </w:pPr>
          </w:p>
        </w:tc>
        <w:tc>
          <w:tcPr>
            <w:tcW w:w="0" w:type="auto"/>
            <w:shd w:val="clear" w:color="auto" w:fill="auto"/>
          </w:tcPr>
          <w:p w14:paraId="5EA233A2" w14:textId="77777777" w:rsidR="003C66EB" w:rsidRDefault="003C66EB">
            <w:pPr>
              <w:rPr>
                <w:rFonts w:ascii="宋体"/>
                <w:vanish/>
              </w:rPr>
            </w:pPr>
          </w:p>
        </w:tc>
        <w:tc>
          <w:tcPr>
            <w:tcW w:w="0" w:type="auto"/>
            <w:shd w:val="clear" w:color="auto" w:fill="auto"/>
          </w:tcPr>
          <w:p w14:paraId="5EA233A3" w14:textId="77777777" w:rsidR="003C66EB" w:rsidRDefault="003C66EB">
            <w:pPr>
              <w:rPr>
                <w:rFonts w:ascii="宋体"/>
                <w:vanish/>
              </w:rPr>
            </w:pPr>
          </w:p>
        </w:tc>
        <w:tc>
          <w:tcPr>
            <w:tcW w:w="0" w:type="auto"/>
            <w:gridSpan w:val="3"/>
            <w:shd w:val="clear" w:color="auto" w:fill="auto"/>
          </w:tcPr>
          <w:p w14:paraId="5EA233A4" w14:textId="77777777" w:rsidR="003C66EB" w:rsidRDefault="003C66EB">
            <w:pPr>
              <w:rPr>
                <w:rFonts w:ascii="宋体"/>
                <w:vanish/>
              </w:rPr>
            </w:pPr>
          </w:p>
        </w:tc>
        <w:tc>
          <w:tcPr>
            <w:tcW w:w="0" w:type="auto"/>
            <w:gridSpan w:val="3"/>
            <w:shd w:val="clear" w:color="auto" w:fill="auto"/>
          </w:tcPr>
          <w:p w14:paraId="5EA233A5" w14:textId="77777777" w:rsidR="003C66EB" w:rsidRDefault="003C66EB">
            <w:pPr>
              <w:rPr>
                <w:rFonts w:ascii="宋体"/>
                <w:vanish/>
              </w:rPr>
            </w:pPr>
          </w:p>
        </w:tc>
        <w:tc>
          <w:tcPr>
            <w:tcW w:w="0" w:type="auto"/>
            <w:gridSpan w:val="3"/>
            <w:shd w:val="clear" w:color="auto" w:fill="auto"/>
          </w:tcPr>
          <w:p w14:paraId="5EA233A6" w14:textId="77777777" w:rsidR="003C66EB" w:rsidRDefault="003C66EB">
            <w:pPr>
              <w:rPr>
                <w:rFonts w:ascii="宋体"/>
                <w:vanish/>
              </w:rPr>
            </w:pPr>
          </w:p>
        </w:tc>
        <w:tc>
          <w:tcPr>
            <w:tcW w:w="0" w:type="auto"/>
            <w:gridSpan w:val="3"/>
            <w:shd w:val="clear" w:color="auto" w:fill="auto"/>
          </w:tcPr>
          <w:p w14:paraId="5EA233A7" w14:textId="77777777" w:rsidR="003C66EB" w:rsidRDefault="003C66EB">
            <w:pPr>
              <w:rPr>
                <w:rFonts w:ascii="宋体"/>
                <w:vanish/>
              </w:rPr>
            </w:pPr>
          </w:p>
        </w:tc>
        <w:tc>
          <w:tcPr>
            <w:tcW w:w="0" w:type="auto"/>
            <w:gridSpan w:val="3"/>
            <w:shd w:val="clear" w:color="auto" w:fill="auto"/>
          </w:tcPr>
          <w:p w14:paraId="5EA233A8" w14:textId="77777777" w:rsidR="003C66EB" w:rsidRDefault="003C66EB">
            <w:pPr>
              <w:rPr>
                <w:rFonts w:ascii="宋体"/>
                <w:vanish/>
              </w:rPr>
            </w:pPr>
          </w:p>
        </w:tc>
        <w:tc>
          <w:tcPr>
            <w:tcW w:w="0" w:type="auto"/>
            <w:gridSpan w:val="3"/>
            <w:shd w:val="clear" w:color="auto" w:fill="auto"/>
          </w:tcPr>
          <w:p w14:paraId="5EA233A9" w14:textId="77777777" w:rsidR="003C66EB" w:rsidRDefault="003C66EB">
            <w:pPr>
              <w:rPr>
                <w:rFonts w:ascii="宋体"/>
                <w:vanish/>
              </w:rPr>
            </w:pPr>
          </w:p>
        </w:tc>
        <w:tc>
          <w:tcPr>
            <w:tcW w:w="0" w:type="auto"/>
            <w:gridSpan w:val="3"/>
            <w:shd w:val="clear" w:color="auto" w:fill="auto"/>
          </w:tcPr>
          <w:p w14:paraId="5EA233AA" w14:textId="77777777" w:rsidR="003C66EB" w:rsidRDefault="003C66EB">
            <w:pPr>
              <w:rPr>
                <w:rFonts w:ascii="宋体"/>
                <w:vanish/>
              </w:rPr>
            </w:pPr>
          </w:p>
        </w:tc>
        <w:tc>
          <w:tcPr>
            <w:tcW w:w="0" w:type="auto"/>
            <w:gridSpan w:val="3"/>
            <w:shd w:val="clear" w:color="auto" w:fill="auto"/>
          </w:tcPr>
          <w:p w14:paraId="5EA233AB" w14:textId="77777777" w:rsidR="003C66EB" w:rsidRDefault="003C66EB">
            <w:pPr>
              <w:rPr>
                <w:rFonts w:ascii="宋体"/>
                <w:vanish/>
              </w:rPr>
            </w:pPr>
          </w:p>
        </w:tc>
        <w:tc>
          <w:tcPr>
            <w:tcW w:w="0" w:type="auto"/>
            <w:gridSpan w:val="3"/>
            <w:shd w:val="clear" w:color="auto" w:fill="auto"/>
          </w:tcPr>
          <w:p w14:paraId="5EA233AC" w14:textId="77777777" w:rsidR="003C66EB" w:rsidRDefault="003C66EB">
            <w:pPr>
              <w:rPr>
                <w:rFonts w:ascii="宋体"/>
                <w:vanish/>
              </w:rPr>
            </w:pPr>
          </w:p>
        </w:tc>
        <w:tc>
          <w:tcPr>
            <w:tcW w:w="0" w:type="auto"/>
            <w:gridSpan w:val="3"/>
            <w:shd w:val="clear" w:color="auto" w:fill="auto"/>
          </w:tcPr>
          <w:p w14:paraId="5EA233AD" w14:textId="77777777" w:rsidR="003C66EB" w:rsidRDefault="003C66EB">
            <w:pPr>
              <w:rPr>
                <w:rFonts w:ascii="宋体"/>
                <w:vanish/>
              </w:rPr>
            </w:pPr>
          </w:p>
        </w:tc>
        <w:tc>
          <w:tcPr>
            <w:tcW w:w="0" w:type="auto"/>
            <w:gridSpan w:val="2"/>
            <w:shd w:val="clear" w:color="auto" w:fill="auto"/>
          </w:tcPr>
          <w:p w14:paraId="5EA233AE" w14:textId="77777777" w:rsidR="003C66EB" w:rsidRDefault="003C66EB">
            <w:pPr>
              <w:rPr>
                <w:rFonts w:ascii="宋体"/>
                <w:vanish/>
              </w:rPr>
            </w:pPr>
          </w:p>
        </w:tc>
        <w:tc>
          <w:tcPr>
            <w:tcW w:w="0" w:type="auto"/>
            <w:shd w:val="clear" w:color="auto" w:fill="auto"/>
          </w:tcPr>
          <w:p w14:paraId="5EA233AF" w14:textId="77777777" w:rsidR="003C66EB" w:rsidRDefault="003C66EB">
            <w:pPr>
              <w:rPr>
                <w:rFonts w:ascii="宋体"/>
                <w:vanish/>
              </w:rPr>
            </w:pPr>
          </w:p>
        </w:tc>
      </w:tr>
      <w:tr w:rsidR="003C66EB" w14:paraId="5EA233C7" w14:textId="77777777">
        <w:trPr>
          <w:hidden/>
        </w:trPr>
        <w:tc>
          <w:tcPr>
            <w:tcW w:w="0" w:type="auto"/>
            <w:gridSpan w:val="3"/>
            <w:shd w:val="clear" w:color="auto" w:fill="auto"/>
          </w:tcPr>
          <w:p w14:paraId="5EA233B1" w14:textId="77777777" w:rsidR="003C66EB" w:rsidRDefault="003C66EB">
            <w:pPr>
              <w:rPr>
                <w:rFonts w:ascii="宋体"/>
                <w:vanish/>
              </w:rPr>
            </w:pPr>
          </w:p>
        </w:tc>
        <w:tc>
          <w:tcPr>
            <w:tcW w:w="0" w:type="auto"/>
            <w:gridSpan w:val="3"/>
            <w:shd w:val="clear" w:color="auto" w:fill="auto"/>
          </w:tcPr>
          <w:p w14:paraId="5EA233B2" w14:textId="77777777" w:rsidR="003C66EB" w:rsidRDefault="003C66EB">
            <w:pPr>
              <w:rPr>
                <w:rFonts w:ascii="宋体"/>
                <w:vanish/>
              </w:rPr>
            </w:pPr>
          </w:p>
        </w:tc>
        <w:tc>
          <w:tcPr>
            <w:tcW w:w="0" w:type="auto"/>
            <w:gridSpan w:val="3"/>
            <w:shd w:val="clear" w:color="auto" w:fill="auto"/>
          </w:tcPr>
          <w:p w14:paraId="5EA233B3" w14:textId="77777777" w:rsidR="003C66EB" w:rsidRDefault="003C66EB">
            <w:pPr>
              <w:rPr>
                <w:rFonts w:ascii="宋体"/>
                <w:vanish/>
              </w:rPr>
            </w:pPr>
          </w:p>
        </w:tc>
        <w:tc>
          <w:tcPr>
            <w:tcW w:w="0" w:type="auto"/>
            <w:gridSpan w:val="3"/>
            <w:shd w:val="clear" w:color="auto" w:fill="auto"/>
          </w:tcPr>
          <w:p w14:paraId="5EA233B4" w14:textId="77777777" w:rsidR="003C66EB" w:rsidRDefault="003C66EB">
            <w:pPr>
              <w:rPr>
                <w:rFonts w:ascii="宋体"/>
                <w:vanish/>
              </w:rPr>
            </w:pPr>
          </w:p>
        </w:tc>
        <w:tc>
          <w:tcPr>
            <w:tcW w:w="0" w:type="auto"/>
            <w:gridSpan w:val="3"/>
            <w:shd w:val="clear" w:color="auto" w:fill="auto"/>
          </w:tcPr>
          <w:p w14:paraId="5EA233B5" w14:textId="77777777" w:rsidR="003C66EB" w:rsidRDefault="003C66EB">
            <w:pPr>
              <w:rPr>
                <w:rFonts w:ascii="宋体"/>
                <w:vanish/>
              </w:rPr>
            </w:pPr>
          </w:p>
        </w:tc>
        <w:tc>
          <w:tcPr>
            <w:tcW w:w="0" w:type="auto"/>
            <w:gridSpan w:val="3"/>
            <w:shd w:val="clear" w:color="auto" w:fill="auto"/>
          </w:tcPr>
          <w:p w14:paraId="5EA233B6" w14:textId="77777777" w:rsidR="003C66EB" w:rsidRDefault="003C66EB">
            <w:pPr>
              <w:rPr>
                <w:rFonts w:ascii="宋体"/>
                <w:vanish/>
              </w:rPr>
            </w:pPr>
          </w:p>
        </w:tc>
        <w:tc>
          <w:tcPr>
            <w:tcW w:w="0" w:type="auto"/>
            <w:gridSpan w:val="3"/>
            <w:shd w:val="clear" w:color="auto" w:fill="auto"/>
          </w:tcPr>
          <w:p w14:paraId="5EA233B7" w14:textId="77777777" w:rsidR="003C66EB" w:rsidRDefault="003C66EB">
            <w:pPr>
              <w:rPr>
                <w:rFonts w:ascii="宋体"/>
                <w:vanish/>
              </w:rPr>
            </w:pPr>
          </w:p>
        </w:tc>
        <w:tc>
          <w:tcPr>
            <w:tcW w:w="0" w:type="auto"/>
            <w:gridSpan w:val="3"/>
            <w:shd w:val="clear" w:color="auto" w:fill="auto"/>
          </w:tcPr>
          <w:p w14:paraId="5EA233B8" w14:textId="77777777" w:rsidR="003C66EB" w:rsidRDefault="003C66EB">
            <w:pPr>
              <w:rPr>
                <w:rFonts w:ascii="宋体"/>
                <w:vanish/>
              </w:rPr>
            </w:pPr>
          </w:p>
        </w:tc>
        <w:tc>
          <w:tcPr>
            <w:tcW w:w="0" w:type="auto"/>
            <w:shd w:val="clear" w:color="auto" w:fill="auto"/>
          </w:tcPr>
          <w:p w14:paraId="5EA233B9" w14:textId="77777777" w:rsidR="003C66EB" w:rsidRDefault="003C66EB">
            <w:pPr>
              <w:rPr>
                <w:rFonts w:ascii="宋体"/>
                <w:vanish/>
              </w:rPr>
            </w:pPr>
          </w:p>
        </w:tc>
        <w:tc>
          <w:tcPr>
            <w:tcW w:w="0" w:type="auto"/>
            <w:shd w:val="clear" w:color="auto" w:fill="auto"/>
          </w:tcPr>
          <w:p w14:paraId="5EA233BA" w14:textId="77777777" w:rsidR="003C66EB" w:rsidRDefault="003C66EB">
            <w:pPr>
              <w:rPr>
                <w:rFonts w:ascii="宋体"/>
                <w:vanish/>
              </w:rPr>
            </w:pPr>
          </w:p>
        </w:tc>
        <w:tc>
          <w:tcPr>
            <w:tcW w:w="0" w:type="auto"/>
            <w:gridSpan w:val="3"/>
            <w:shd w:val="clear" w:color="auto" w:fill="auto"/>
          </w:tcPr>
          <w:p w14:paraId="5EA233BB" w14:textId="77777777" w:rsidR="003C66EB" w:rsidRDefault="003C66EB">
            <w:pPr>
              <w:rPr>
                <w:rFonts w:ascii="宋体"/>
                <w:vanish/>
              </w:rPr>
            </w:pPr>
          </w:p>
        </w:tc>
        <w:tc>
          <w:tcPr>
            <w:tcW w:w="0" w:type="auto"/>
            <w:gridSpan w:val="3"/>
            <w:shd w:val="clear" w:color="auto" w:fill="auto"/>
          </w:tcPr>
          <w:p w14:paraId="5EA233BC" w14:textId="77777777" w:rsidR="003C66EB" w:rsidRDefault="003C66EB">
            <w:pPr>
              <w:rPr>
                <w:rFonts w:ascii="宋体"/>
                <w:vanish/>
              </w:rPr>
            </w:pPr>
          </w:p>
        </w:tc>
        <w:tc>
          <w:tcPr>
            <w:tcW w:w="0" w:type="auto"/>
            <w:gridSpan w:val="3"/>
            <w:shd w:val="clear" w:color="auto" w:fill="auto"/>
          </w:tcPr>
          <w:p w14:paraId="5EA233BD" w14:textId="77777777" w:rsidR="003C66EB" w:rsidRDefault="003C66EB">
            <w:pPr>
              <w:rPr>
                <w:rFonts w:ascii="宋体"/>
                <w:vanish/>
              </w:rPr>
            </w:pPr>
          </w:p>
        </w:tc>
        <w:tc>
          <w:tcPr>
            <w:tcW w:w="0" w:type="auto"/>
            <w:gridSpan w:val="3"/>
            <w:shd w:val="clear" w:color="auto" w:fill="auto"/>
          </w:tcPr>
          <w:p w14:paraId="5EA233BE" w14:textId="77777777" w:rsidR="003C66EB" w:rsidRDefault="003C66EB">
            <w:pPr>
              <w:rPr>
                <w:rFonts w:ascii="宋体"/>
                <w:vanish/>
              </w:rPr>
            </w:pPr>
          </w:p>
        </w:tc>
        <w:tc>
          <w:tcPr>
            <w:tcW w:w="0" w:type="auto"/>
            <w:gridSpan w:val="3"/>
            <w:shd w:val="clear" w:color="auto" w:fill="auto"/>
          </w:tcPr>
          <w:p w14:paraId="5EA233BF" w14:textId="77777777" w:rsidR="003C66EB" w:rsidRDefault="003C66EB">
            <w:pPr>
              <w:rPr>
                <w:rFonts w:ascii="宋体"/>
                <w:vanish/>
              </w:rPr>
            </w:pPr>
          </w:p>
        </w:tc>
        <w:tc>
          <w:tcPr>
            <w:tcW w:w="0" w:type="auto"/>
            <w:gridSpan w:val="3"/>
            <w:shd w:val="clear" w:color="auto" w:fill="auto"/>
          </w:tcPr>
          <w:p w14:paraId="5EA233C0" w14:textId="77777777" w:rsidR="003C66EB" w:rsidRDefault="003C66EB">
            <w:pPr>
              <w:rPr>
                <w:rFonts w:ascii="宋体"/>
                <w:vanish/>
              </w:rPr>
            </w:pPr>
          </w:p>
        </w:tc>
        <w:tc>
          <w:tcPr>
            <w:tcW w:w="0" w:type="auto"/>
            <w:gridSpan w:val="3"/>
            <w:shd w:val="clear" w:color="auto" w:fill="auto"/>
          </w:tcPr>
          <w:p w14:paraId="5EA233C1" w14:textId="77777777" w:rsidR="003C66EB" w:rsidRDefault="003C66EB">
            <w:pPr>
              <w:rPr>
                <w:rFonts w:ascii="宋体"/>
                <w:vanish/>
              </w:rPr>
            </w:pPr>
          </w:p>
        </w:tc>
        <w:tc>
          <w:tcPr>
            <w:tcW w:w="0" w:type="auto"/>
            <w:gridSpan w:val="3"/>
            <w:shd w:val="clear" w:color="auto" w:fill="auto"/>
          </w:tcPr>
          <w:p w14:paraId="5EA233C2" w14:textId="77777777" w:rsidR="003C66EB" w:rsidRDefault="003C66EB">
            <w:pPr>
              <w:rPr>
                <w:rFonts w:ascii="宋体"/>
                <w:vanish/>
              </w:rPr>
            </w:pPr>
          </w:p>
        </w:tc>
        <w:tc>
          <w:tcPr>
            <w:tcW w:w="0" w:type="auto"/>
            <w:gridSpan w:val="3"/>
            <w:shd w:val="clear" w:color="auto" w:fill="auto"/>
          </w:tcPr>
          <w:p w14:paraId="5EA233C3" w14:textId="77777777" w:rsidR="003C66EB" w:rsidRDefault="003C66EB">
            <w:pPr>
              <w:rPr>
                <w:rFonts w:ascii="宋体"/>
                <w:vanish/>
              </w:rPr>
            </w:pPr>
          </w:p>
        </w:tc>
        <w:tc>
          <w:tcPr>
            <w:tcW w:w="0" w:type="auto"/>
            <w:gridSpan w:val="3"/>
            <w:shd w:val="clear" w:color="auto" w:fill="auto"/>
          </w:tcPr>
          <w:p w14:paraId="5EA233C4" w14:textId="77777777" w:rsidR="003C66EB" w:rsidRDefault="003C66EB">
            <w:pPr>
              <w:rPr>
                <w:rFonts w:ascii="宋体"/>
                <w:vanish/>
              </w:rPr>
            </w:pPr>
          </w:p>
        </w:tc>
        <w:tc>
          <w:tcPr>
            <w:tcW w:w="0" w:type="auto"/>
            <w:gridSpan w:val="2"/>
            <w:shd w:val="clear" w:color="auto" w:fill="auto"/>
          </w:tcPr>
          <w:p w14:paraId="5EA233C5" w14:textId="77777777" w:rsidR="003C66EB" w:rsidRDefault="003C66EB">
            <w:pPr>
              <w:rPr>
                <w:rFonts w:ascii="宋体"/>
                <w:vanish/>
              </w:rPr>
            </w:pPr>
          </w:p>
        </w:tc>
        <w:tc>
          <w:tcPr>
            <w:tcW w:w="0" w:type="auto"/>
            <w:shd w:val="clear" w:color="auto" w:fill="auto"/>
          </w:tcPr>
          <w:p w14:paraId="5EA233C6" w14:textId="77777777" w:rsidR="003C66EB" w:rsidRDefault="003C66EB">
            <w:pPr>
              <w:rPr>
                <w:rFonts w:ascii="宋体"/>
                <w:vanish/>
              </w:rPr>
            </w:pPr>
          </w:p>
        </w:tc>
      </w:tr>
      <w:tr w:rsidR="003C66EB" w14:paraId="5EA233DE" w14:textId="77777777">
        <w:trPr>
          <w:hidden/>
        </w:trPr>
        <w:tc>
          <w:tcPr>
            <w:tcW w:w="0" w:type="auto"/>
            <w:gridSpan w:val="3"/>
            <w:shd w:val="clear" w:color="auto" w:fill="auto"/>
          </w:tcPr>
          <w:p w14:paraId="5EA233C8" w14:textId="77777777" w:rsidR="003C66EB" w:rsidRDefault="003C66EB">
            <w:pPr>
              <w:rPr>
                <w:rFonts w:ascii="宋体"/>
                <w:vanish/>
              </w:rPr>
            </w:pPr>
          </w:p>
        </w:tc>
        <w:tc>
          <w:tcPr>
            <w:tcW w:w="0" w:type="auto"/>
            <w:gridSpan w:val="3"/>
            <w:shd w:val="clear" w:color="auto" w:fill="auto"/>
          </w:tcPr>
          <w:p w14:paraId="5EA233C9" w14:textId="77777777" w:rsidR="003C66EB" w:rsidRDefault="003C66EB">
            <w:pPr>
              <w:rPr>
                <w:rFonts w:ascii="宋体"/>
                <w:vanish/>
              </w:rPr>
            </w:pPr>
          </w:p>
        </w:tc>
        <w:tc>
          <w:tcPr>
            <w:tcW w:w="0" w:type="auto"/>
            <w:gridSpan w:val="3"/>
            <w:shd w:val="clear" w:color="auto" w:fill="auto"/>
          </w:tcPr>
          <w:p w14:paraId="5EA233CA" w14:textId="77777777" w:rsidR="003C66EB" w:rsidRDefault="003C66EB">
            <w:pPr>
              <w:rPr>
                <w:rFonts w:ascii="宋体"/>
                <w:vanish/>
              </w:rPr>
            </w:pPr>
          </w:p>
        </w:tc>
        <w:tc>
          <w:tcPr>
            <w:tcW w:w="0" w:type="auto"/>
            <w:gridSpan w:val="3"/>
            <w:shd w:val="clear" w:color="auto" w:fill="auto"/>
          </w:tcPr>
          <w:p w14:paraId="5EA233CB" w14:textId="77777777" w:rsidR="003C66EB" w:rsidRDefault="003C66EB">
            <w:pPr>
              <w:rPr>
                <w:rFonts w:ascii="宋体"/>
                <w:vanish/>
              </w:rPr>
            </w:pPr>
          </w:p>
        </w:tc>
        <w:tc>
          <w:tcPr>
            <w:tcW w:w="0" w:type="auto"/>
            <w:gridSpan w:val="3"/>
            <w:shd w:val="clear" w:color="auto" w:fill="auto"/>
          </w:tcPr>
          <w:p w14:paraId="5EA233CC" w14:textId="77777777" w:rsidR="003C66EB" w:rsidRDefault="003C66EB">
            <w:pPr>
              <w:rPr>
                <w:rFonts w:ascii="宋体"/>
                <w:vanish/>
              </w:rPr>
            </w:pPr>
          </w:p>
        </w:tc>
        <w:tc>
          <w:tcPr>
            <w:tcW w:w="0" w:type="auto"/>
            <w:gridSpan w:val="3"/>
            <w:shd w:val="clear" w:color="auto" w:fill="auto"/>
          </w:tcPr>
          <w:p w14:paraId="5EA233CD" w14:textId="77777777" w:rsidR="003C66EB" w:rsidRDefault="003C66EB">
            <w:pPr>
              <w:rPr>
                <w:rFonts w:ascii="宋体"/>
                <w:vanish/>
              </w:rPr>
            </w:pPr>
          </w:p>
        </w:tc>
        <w:tc>
          <w:tcPr>
            <w:tcW w:w="0" w:type="auto"/>
            <w:gridSpan w:val="3"/>
            <w:shd w:val="clear" w:color="auto" w:fill="auto"/>
          </w:tcPr>
          <w:p w14:paraId="5EA233CE" w14:textId="77777777" w:rsidR="003C66EB" w:rsidRDefault="003C66EB">
            <w:pPr>
              <w:rPr>
                <w:rFonts w:ascii="宋体"/>
                <w:vanish/>
              </w:rPr>
            </w:pPr>
          </w:p>
        </w:tc>
        <w:tc>
          <w:tcPr>
            <w:tcW w:w="0" w:type="auto"/>
            <w:gridSpan w:val="3"/>
            <w:shd w:val="clear" w:color="auto" w:fill="auto"/>
          </w:tcPr>
          <w:p w14:paraId="5EA233CF" w14:textId="77777777" w:rsidR="003C66EB" w:rsidRDefault="003C66EB">
            <w:pPr>
              <w:rPr>
                <w:rFonts w:ascii="宋体"/>
                <w:vanish/>
              </w:rPr>
            </w:pPr>
          </w:p>
        </w:tc>
        <w:tc>
          <w:tcPr>
            <w:tcW w:w="0" w:type="auto"/>
            <w:shd w:val="clear" w:color="auto" w:fill="auto"/>
          </w:tcPr>
          <w:p w14:paraId="5EA233D0" w14:textId="77777777" w:rsidR="003C66EB" w:rsidRDefault="003C66EB">
            <w:pPr>
              <w:rPr>
                <w:rFonts w:ascii="宋体"/>
                <w:vanish/>
              </w:rPr>
            </w:pPr>
          </w:p>
        </w:tc>
        <w:tc>
          <w:tcPr>
            <w:tcW w:w="0" w:type="auto"/>
            <w:shd w:val="clear" w:color="auto" w:fill="auto"/>
          </w:tcPr>
          <w:p w14:paraId="5EA233D1" w14:textId="77777777" w:rsidR="003C66EB" w:rsidRDefault="003C66EB">
            <w:pPr>
              <w:rPr>
                <w:rFonts w:ascii="宋体"/>
                <w:vanish/>
              </w:rPr>
            </w:pPr>
          </w:p>
        </w:tc>
        <w:tc>
          <w:tcPr>
            <w:tcW w:w="0" w:type="auto"/>
            <w:gridSpan w:val="3"/>
            <w:shd w:val="clear" w:color="auto" w:fill="auto"/>
          </w:tcPr>
          <w:p w14:paraId="5EA233D2" w14:textId="77777777" w:rsidR="003C66EB" w:rsidRDefault="003C66EB">
            <w:pPr>
              <w:rPr>
                <w:rFonts w:ascii="宋体"/>
                <w:vanish/>
              </w:rPr>
            </w:pPr>
          </w:p>
        </w:tc>
        <w:tc>
          <w:tcPr>
            <w:tcW w:w="0" w:type="auto"/>
            <w:gridSpan w:val="3"/>
            <w:shd w:val="clear" w:color="auto" w:fill="auto"/>
          </w:tcPr>
          <w:p w14:paraId="5EA233D3" w14:textId="77777777" w:rsidR="003C66EB" w:rsidRDefault="003C66EB">
            <w:pPr>
              <w:rPr>
                <w:rFonts w:ascii="宋体"/>
                <w:vanish/>
              </w:rPr>
            </w:pPr>
          </w:p>
        </w:tc>
        <w:tc>
          <w:tcPr>
            <w:tcW w:w="0" w:type="auto"/>
            <w:gridSpan w:val="3"/>
            <w:shd w:val="clear" w:color="auto" w:fill="auto"/>
          </w:tcPr>
          <w:p w14:paraId="5EA233D4" w14:textId="77777777" w:rsidR="003C66EB" w:rsidRDefault="003C66EB">
            <w:pPr>
              <w:rPr>
                <w:rFonts w:ascii="宋体"/>
                <w:vanish/>
              </w:rPr>
            </w:pPr>
          </w:p>
        </w:tc>
        <w:tc>
          <w:tcPr>
            <w:tcW w:w="0" w:type="auto"/>
            <w:gridSpan w:val="3"/>
            <w:shd w:val="clear" w:color="auto" w:fill="auto"/>
          </w:tcPr>
          <w:p w14:paraId="5EA233D5" w14:textId="77777777" w:rsidR="003C66EB" w:rsidRDefault="003C66EB">
            <w:pPr>
              <w:rPr>
                <w:rFonts w:ascii="宋体"/>
                <w:vanish/>
              </w:rPr>
            </w:pPr>
          </w:p>
        </w:tc>
        <w:tc>
          <w:tcPr>
            <w:tcW w:w="0" w:type="auto"/>
            <w:gridSpan w:val="3"/>
            <w:shd w:val="clear" w:color="auto" w:fill="auto"/>
          </w:tcPr>
          <w:p w14:paraId="5EA233D6" w14:textId="77777777" w:rsidR="003C66EB" w:rsidRDefault="003C66EB">
            <w:pPr>
              <w:rPr>
                <w:rFonts w:ascii="宋体"/>
                <w:vanish/>
              </w:rPr>
            </w:pPr>
          </w:p>
        </w:tc>
        <w:tc>
          <w:tcPr>
            <w:tcW w:w="0" w:type="auto"/>
            <w:gridSpan w:val="3"/>
            <w:shd w:val="clear" w:color="auto" w:fill="auto"/>
          </w:tcPr>
          <w:p w14:paraId="5EA233D7" w14:textId="77777777" w:rsidR="003C66EB" w:rsidRDefault="003C66EB">
            <w:pPr>
              <w:rPr>
                <w:rFonts w:ascii="宋体"/>
                <w:vanish/>
              </w:rPr>
            </w:pPr>
          </w:p>
        </w:tc>
        <w:tc>
          <w:tcPr>
            <w:tcW w:w="0" w:type="auto"/>
            <w:gridSpan w:val="3"/>
            <w:shd w:val="clear" w:color="auto" w:fill="auto"/>
          </w:tcPr>
          <w:p w14:paraId="5EA233D8" w14:textId="77777777" w:rsidR="003C66EB" w:rsidRDefault="003C66EB">
            <w:pPr>
              <w:rPr>
                <w:rFonts w:ascii="宋体"/>
                <w:vanish/>
              </w:rPr>
            </w:pPr>
          </w:p>
        </w:tc>
        <w:tc>
          <w:tcPr>
            <w:tcW w:w="0" w:type="auto"/>
            <w:gridSpan w:val="3"/>
            <w:shd w:val="clear" w:color="auto" w:fill="auto"/>
          </w:tcPr>
          <w:p w14:paraId="5EA233D9" w14:textId="77777777" w:rsidR="003C66EB" w:rsidRDefault="003C66EB">
            <w:pPr>
              <w:rPr>
                <w:rFonts w:ascii="宋体"/>
                <w:vanish/>
              </w:rPr>
            </w:pPr>
          </w:p>
        </w:tc>
        <w:tc>
          <w:tcPr>
            <w:tcW w:w="0" w:type="auto"/>
            <w:gridSpan w:val="3"/>
            <w:shd w:val="clear" w:color="auto" w:fill="auto"/>
          </w:tcPr>
          <w:p w14:paraId="5EA233DA" w14:textId="77777777" w:rsidR="003C66EB" w:rsidRDefault="003C66EB">
            <w:pPr>
              <w:rPr>
                <w:rFonts w:ascii="宋体"/>
                <w:vanish/>
              </w:rPr>
            </w:pPr>
          </w:p>
        </w:tc>
        <w:tc>
          <w:tcPr>
            <w:tcW w:w="0" w:type="auto"/>
            <w:gridSpan w:val="3"/>
            <w:shd w:val="clear" w:color="auto" w:fill="auto"/>
          </w:tcPr>
          <w:p w14:paraId="5EA233DB" w14:textId="77777777" w:rsidR="003C66EB" w:rsidRDefault="003C66EB">
            <w:pPr>
              <w:rPr>
                <w:rFonts w:ascii="宋体"/>
                <w:vanish/>
              </w:rPr>
            </w:pPr>
          </w:p>
        </w:tc>
        <w:tc>
          <w:tcPr>
            <w:tcW w:w="0" w:type="auto"/>
            <w:gridSpan w:val="2"/>
            <w:shd w:val="clear" w:color="auto" w:fill="auto"/>
          </w:tcPr>
          <w:p w14:paraId="5EA233DC" w14:textId="77777777" w:rsidR="003C66EB" w:rsidRDefault="003C66EB">
            <w:pPr>
              <w:rPr>
                <w:rFonts w:ascii="宋体"/>
                <w:vanish/>
              </w:rPr>
            </w:pPr>
          </w:p>
        </w:tc>
        <w:tc>
          <w:tcPr>
            <w:tcW w:w="0" w:type="auto"/>
            <w:shd w:val="clear" w:color="auto" w:fill="auto"/>
          </w:tcPr>
          <w:p w14:paraId="5EA233DD" w14:textId="77777777" w:rsidR="003C66EB" w:rsidRDefault="003C66EB">
            <w:pPr>
              <w:rPr>
                <w:rFonts w:ascii="宋体"/>
                <w:vanish/>
              </w:rPr>
            </w:pPr>
          </w:p>
        </w:tc>
      </w:tr>
      <w:tr w:rsidR="003C66EB" w14:paraId="5EA233FE" w14:textId="77777777">
        <w:tc>
          <w:tcPr>
            <w:tcW w:w="0" w:type="auto"/>
            <w:gridSpan w:val="3"/>
            <w:shd w:val="clear" w:color="auto" w:fill="CCEEFF"/>
            <w:tcMar>
              <w:top w:w="40" w:type="dxa"/>
              <w:left w:w="20" w:type="dxa"/>
              <w:bottom w:w="40" w:type="dxa"/>
              <w:right w:w="20" w:type="dxa"/>
            </w:tcMar>
            <w:vAlign w:val="center"/>
          </w:tcPr>
          <w:p w14:paraId="5EA233DF" w14:textId="77777777" w:rsidR="003C66EB" w:rsidRDefault="00D96C4E">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E0" w14:textId="77777777" w:rsidR="003C66EB" w:rsidRDefault="00D96C4E">
            <w:pPr>
              <w:jc w:val="right"/>
              <w:textAlignment w:val="center"/>
            </w:pPr>
            <w:r>
              <w:rPr>
                <w:rFonts w:ascii="Arial" w:eastAsia="宋体" w:hAnsi="Arial" w:cs="Arial"/>
                <w:color w:val="000000"/>
                <w:sz w:val="12"/>
                <w:szCs w:val="12"/>
              </w:rPr>
              <w:t>2,752 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E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E3"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E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E6" w14:textId="77777777" w:rsidR="003C66EB" w:rsidRDefault="00D96C4E">
            <w:pPr>
              <w:jc w:val="right"/>
              <w:textAlignment w:val="center"/>
            </w:pPr>
            <w:r>
              <w:rPr>
                <w:rFonts w:ascii="Arial" w:eastAsia="宋体" w:hAnsi="Arial" w:cs="Arial"/>
                <w:color w:val="000000"/>
                <w:sz w:val="12"/>
                <w:szCs w:val="12"/>
              </w:rPr>
              <w:t>(149)</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E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E9" w14:textId="77777777" w:rsidR="003C66EB" w:rsidRDefault="00D96C4E">
            <w:pPr>
              <w:jc w:val="right"/>
              <w:textAlignment w:val="center"/>
            </w:pPr>
            <w:r>
              <w:rPr>
                <w:rFonts w:ascii="Arial" w:eastAsia="宋体" w:hAnsi="Arial" w:cs="Arial"/>
                <w:color w:val="000000"/>
                <w:sz w:val="12"/>
                <w:szCs w:val="12"/>
              </w:rPr>
              <w:t>178 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EA" w14:textId="77777777" w:rsidR="003C66EB" w:rsidRDefault="003C66EB">
            <w:pPr>
              <w:jc w:val="right"/>
              <w:rPr>
                <w:rFonts w:ascii="宋体"/>
              </w:rPr>
            </w:pPr>
          </w:p>
        </w:tc>
        <w:tc>
          <w:tcPr>
            <w:tcW w:w="0" w:type="auto"/>
            <w:shd w:val="clear" w:color="auto" w:fill="auto"/>
          </w:tcPr>
          <w:p w14:paraId="5EA233EB" w14:textId="77777777" w:rsidR="003C66EB" w:rsidRDefault="003C66EB">
            <w:pPr>
              <w:rPr>
                <w:rFonts w:ascii="宋体"/>
                <w:vanish/>
              </w:rPr>
            </w:pPr>
          </w:p>
        </w:tc>
        <w:tc>
          <w:tcPr>
            <w:tcW w:w="0" w:type="auto"/>
            <w:shd w:val="clear" w:color="auto" w:fill="auto"/>
          </w:tcPr>
          <w:p w14:paraId="5EA233EC"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3E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EE" w14:textId="77777777" w:rsidR="003C66EB" w:rsidRDefault="00D96C4E">
            <w:pPr>
              <w:jc w:val="right"/>
              <w:textAlignment w:val="center"/>
            </w:pPr>
            <w:r>
              <w:rPr>
                <w:rFonts w:ascii="Arial" w:eastAsia="宋体" w:hAnsi="Arial" w:cs="Arial"/>
                <w:color w:val="000000"/>
                <w:sz w:val="12"/>
                <w:szCs w:val="12"/>
              </w:rPr>
              <w:t>(42)</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E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F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F1" w14:textId="77777777" w:rsidR="003C66EB" w:rsidRDefault="00D96C4E">
            <w:pPr>
              <w:jc w:val="right"/>
              <w:textAlignment w:val="center"/>
            </w:pPr>
            <w:r>
              <w:rPr>
                <w:rFonts w:ascii="Arial" w:eastAsia="宋体" w:hAnsi="Arial" w:cs="Arial"/>
                <w:color w:val="000000"/>
                <w:sz w:val="12"/>
                <w:szCs w:val="12"/>
              </w:rPr>
              <w:t>(34)</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F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F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F4"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F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F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F7"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3F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3FA" w14:textId="77777777" w:rsidR="003C66EB" w:rsidRDefault="00D96C4E">
            <w:pPr>
              <w:jc w:val="right"/>
              <w:textAlignment w:val="center"/>
            </w:pPr>
            <w:r>
              <w:rPr>
                <w:rFonts w:ascii="Arial" w:eastAsia="宋体" w:hAnsi="Arial" w:cs="Arial"/>
                <w:color w:val="000000"/>
                <w:sz w:val="12"/>
                <w:szCs w:val="12"/>
              </w:rPr>
              <w:t>2,705 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3FB"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3F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A233FD" w14:textId="77777777" w:rsidR="003C66EB" w:rsidRDefault="00D96C4E">
            <w:pPr>
              <w:jc w:val="right"/>
              <w:textAlignment w:val="center"/>
            </w:pPr>
            <w:r>
              <w:rPr>
                <w:rFonts w:ascii="Arial" w:eastAsia="宋体" w:hAnsi="Arial" w:cs="Arial"/>
                <w:color w:val="000000"/>
                <w:sz w:val="12"/>
                <w:szCs w:val="12"/>
              </w:rPr>
              <w:t>— </w:t>
            </w:r>
          </w:p>
        </w:tc>
      </w:tr>
      <w:tr w:rsidR="003C66EB" w14:paraId="5EA23415" w14:textId="77777777">
        <w:tc>
          <w:tcPr>
            <w:tcW w:w="0" w:type="auto"/>
            <w:gridSpan w:val="3"/>
            <w:shd w:val="clear" w:color="auto" w:fill="FFFFFF"/>
            <w:tcMar>
              <w:top w:w="40" w:type="dxa"/>
              <w:left w:w="20" w:type="dxa"/>
              <w:bottom w:w="40" w:type="dxa"/>
              <w:right w:w="20" w:type="dxa"/>
            </w:tcMar>
            <w:vAlign w:val="center"/>
          </w:tcPr>
          <w:p w14:paraId="5EA233FF" w14:textId="77777777" w:rsidR="003C66EB" w:rsidRDefault="00D96C4E">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tcPr>
          <w:p w14:paraId="5EA2340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6" w14:textId="77777777" w:rsidR="003C66EB" w:rsidRDefault="003C66EB">
            <w:pPr>
              <w:rPr>
                <w:rFonts w:ascii="宋体"/>
              </w:rPr>
            </w:pPr>
          </w:p>
        </w:tc>
        <w:tc>
          <w:tcPr>
            <w:tcW w:w="0" w:type="auto"/>
            <w:shd w:val="clear" w:color="auto" w:fill="auto"/>
          </w:tcPr>
          <w:p w14:paraId="5EA23407" w14:textId="77777777" w:rsidR="003C66EB" w:rsidRDefault="003C66EB">
            <w:pPr>
              <w:rPr>
                <w:rFonts w:ascii="宋体"/>
                <w:vanish/>
              </w:rPr>
            </w:pPr>
          </w:p>
        </w:tc>
        <w:tc>
          <w:tcPr>
            <w:tcW w:w="0" w:type="auto"/>
            <w:shd w:val="clear" w:color="auto" w:fill="auto"/>
          </w:tcPr>
          <w:p w14:paraId="5EA23408"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40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1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412" w14:textId="77777777" w:rsidR="003C66EB" w:rsidRDefault="003C66EB">
            <w:pPr>
              <w:rPr>
                <w:rFonts w:ascii="宋体"/>
              </w:rPr>
            </w:pPr>
          </w:p>
        </w:tc>
        <w:tc>
          <w:tcPr>
            <w:tcW w:w="0" w:type="auto"/>
            <w:gridSpan w:val="2"/>
            <w:shd w:val="clear" w:color="auto" w:fill="FFFFFF"/>
            <w:tcMar>
              <w:top w:w="0" w:type="dxa"/>
              <w:left w:w="20" w:type="dxa"/>
              <w:bottom w:w="0" w:type="dxa"/>
              <w:right w:w="20" w:type="dxa"/>
            </w:tcMar>
          </w:tcPr>
          <w:p w14:paraId="5EA23413" w14:textId="77777777" w:rsidR="003C66EB" w:rsidRDefault="003C66EB">
            <w:pPr>
              <w:rPr>
                <w:rFonts w:ascii="宋体"/>
              </w:rPr>
            </w:pPr>
          </w:p>
        </w:tc>
        <w:tc>
          <w:tcPr>
            <w:tcW w:w="0" w:type="auto"/>
            <w:shd w:val="clear" w:color="auto" w:fill="FFFFFF"/>
            <w:tcMar>
              <w:top w:w="0" w:type="dxa"/>
              <w:left w:w="20" w:type="dxa"/>
              <w:bottom w:w="0" w:type="dxa"/>
              <w:right w:w="20" w:type="dxa"/>
            </w:tcMar>
          </w:tcPr>
          <w:p w14:paraId="5EA23414" w14:textId="77777777" w:rsidR="003C66EB" w:rsidRDefault="003C66EB">
            <w:pPr>
              <w:rPr>
                <w:rFonts w:ascii="宋体"/>
              </w:rPr>
            </w:pPr>
          </w:p>
        </w:tc>
      </w:tr>
      <w:tr w:rsidR="003C66EB" w14:paraId="5EA2342C" w14:textId="77777777">
        <w:tc>
          <w:tcPr>
            <w:tcW w:w="0" w:type="auto"/>
            <w:gridSpan w:val="3"/>
            <w:shd w:val="clear" w:color="auto" w:fill="CCEEFF"/>
            <w:tcMar>
              <w:top w:w="40" w:type="dxa"/>
              <w:left w:w="20" w:type="dxa"/>
              <w:bottom w:w="40" w:type="dxa"/>
              <w:right w:w="20" w:type="dxa"/>
            </w:tcMar>
            <w:vAlign w:val="center"/>
          </w:tcPr>
          <w:p w14:paraId="5EA23416" w14:textId="77777777" w:rsidR="003C66EB" w:rsidRDefault="00D96C4E">
            <w:pPr>
              <w:textAlignment w:val="center"/>
            </w:pPr>
            <w:r>
              <w:rPr>
                <w:rFonts w:ascii="Arial" w:eastAsia="宋体" w:hAnsi="Arial" w:cs="Arial"/>
                <w:color w:val="000000"/>
                <w:sz w:val="12"/>
                <w:szCs w:val="12"/>
              </w:rPr>
              <w:t>Derivative instruments:</w:t>
            </w:r>
          </w:p>
        </w:tc>
        <w:tc>
          <w:tcPr>
            <w:tcW w:w="0" w:type="auto"/>
            <w:gridSpan w:val="3"/>
            <w:shd w:val="clear" w:color="auto" w:fill="CCEEFF"/>
            <w:tcMar>
              <w:top w:w="0" w:type="dxa"/>
              <w:left w:w="20" w:type="dxa"/>
              <w:bottom w:w="0" w:type="dxa"/>
              <w:right w:w="20" w:type="dxa"/>
            </w:tcMar>
          </w:tcPr>
          <w:p w14:paraId="5EA2341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1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1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1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1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1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1D" w14:textId="77777777" w:rsidR="003C66EB" w:rsidRDefault="003C66EB">
            <w:pPr>
              <w:rPr>
                <w:rFonts w:ascii="宋体"/>
              </w:rPr>
            </w:pPr>
          </w:p>
        </w:tc>
        <w:tc>
          <w:tcPr>
            <w:tcW w:w="0" w:type="auto"/>
            <w:shd w:val="clear" w:color="auto" w:fill="auto"/>
          </w:tcPr>
          <w:p w14:paraId="5EA2341E" w14:textId="77777777" w:rsidR="003C66EB" w:rsidRDefault="003C66EB">
            <w:pPr>
              <w:rPr>
                <w:rFonts w:ascii="宋体"/>
                <w:vanish/>
              </w:rPr>
            </w:pPr>
          </w:p>
        </w:tc>
        <w:tc>
          <w:tcPr>
            <w:tcW w:w="0" w:type="auto"/>
            <w:shd w:val="clear" w:color="auto" w:fill="auto"/>
          </w:tcPr>
          <w:p w14:paraId="5EA2341F"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42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429" w14:textId="77777777" w:rsidR="003C66EB" w:rsidRDefault="003C66EB">
            <w:pPr>
              <w:rPr>
                <w:rFonts w:ascii="宋体"/>
              </w:rPr>
            </w:pPr>
          </w:p>
        </w:tc>
        <w:tc>
          <w:tcPr>
            <w:tcW w:w="0" w:type="auto"/>
            <w:gridSpan w:val="2"/>
            <w:shd w:val="clear" w:color="auto" w:fill="CCEEFF"/>
            <w:tcMar>
              <w:top w:w="0" w:type="dxa"/>
              <w:left w:w="20" w:type="dxa"/>
              <w:bottom w:w="0" w:type="dxa"/>
              <w:right w:w="20" w:type="dxa"/>
            </w:tcMar>
          </w:tcPr>
          <w:p w14:paraId="5EA2342A" w14:textId="77777777" w:rsidR="003C66EB" w:rsidRDefault="003C66EB">
            <w:pPr>
              <w:rPr>
                <w:rFonts w:ascii="宋体"/>
              </w:rPr>
            </w:pPr>
          </w:p>
        </w:tc>
        <w:tc>
          <w:tcPr>
            <w:tcW w:w="0" w:type="auto"/>
            <w:shd w:val="clear" w:color="auto" w:fill="CCEEFF"/>
            <w:tcMar>
              <w:top w:w="0" w:type="dxa"/>
              <w:left w:w="20" w:type="dxa"/>
              <w:bottom w:w="0" w:type="dxa"/>
              <w:right w:w="20" w:type="dxa"/>
            </w:tcMar>
          </w:tcPr>
          <w:p w14:paraId="5EA2342B" w14:textId="77777777" w:rsidR="003C66EB" w:rsidRDefault="003C66EB">
            <w:pPr>
              <w:rPr>
                <w:rFonts w:ascii="宋体"/>
              </w:rPr>
            </w:pPr>
          </w:p>
        </w:tc>
      </w:tr>
      <w:tr w:rsidR="003C66EB" w14:paraId="5EA2344D" w14:textId="77777777">
        <w:tc>
          <w:tcPr>
            <w:tcW w:w="0" w:type="auto"/>
            <w:gridSpan w:val="3"/>
            <w:shd w:val="clear" w:color="auto" w:fill="FFFFFF"/>
            <w:tcMar>
              <w:top w:w="40" w:type="dxa"/>
              <w:left w:w="155" w:type="dxa"/>
              <w:bottom w:w="40" w:type="dxa"/>
              <w:right w:w="20" w:type="dxa"/>
            </w:tcMar>
            <w:vAlign w:val="center"/>
          </w:tcPr>
          <w:p w14:paraId="5EA2342D" w14:textId="77777777" w:rsidR="003C66EB" w:rsidRDefault="00D96C4E">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5EA2342E" w14:textId="77777777" w:rsidR="003C66EB" w:rsidRDefault="00D96C4E">
            <w:pPr>
              <w:jc w:val="right"/>
              <w:textAlignment w:val="center"/>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center"/>
          </w:tcPr>
          <w:p w14:paraId="5EA2342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3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31" w14:textId="77777777" w:rsidR="003C66EB" w:rsidRDefault="00D96C4E">
            <w:pPr>
              <w:jc w:val="right"/>
              <w:textAlignment w:val="center"/>
            </w:pPr>
            <w:r>
              <w:rPr>
                <w:rFonts w:ascii="Arial" w:eastAsia="宋体" w:hAnsi="Arial" w:cs="Arial"/>
                <w:color w:val="000000"/>
                <w:sz w:val="12"/>
                <w:szCs w:val="12"/>
              </w:rPr>
              <w:t>11 </w:t>
            </w:r>
          </w:p>
        </w:tc>
        <w:tc>
          <w:tcPr>
            <w:tcW w:w="0" w:type="auto"/>
            <w:shd w:val="clear" w:color="auto" w:fill="FFFFFF"/>
            <w:tcMar>
              <w:top w:w="40" w:type="dxa"/>
              <w:left w:w="0" w:type="dxa"/>
              <w:bottom w:w="40" w:type="dxa"/>
              <w:right w:w="20" w:type="dxa"/>
            </w:tcMar>
            <w:vAlign w:val="center"/>
          </w:tcPr>
          <w:p w14:paraId="5EA2343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3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34"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4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3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37" w14:textId="77777777" w:rsidR="003C66EB" w:rsidRDefault="00D96C4E">
            <w:pPr>
              <w:jc w:val="right"/>
              <w:textAlignment w:val="center"/>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center"/>
          </w:tcPr>
          <w:p w14:paraId="5EA23438" w14:textId="77777777" w:rsidR="003C66EB" w:rsidRDefault="003C66EB">
            <w:pPr>
              <w:jc w:val="right"/>
              <w:rPr>
                <w:rFonts w:ascii="宋体"/>
              </w:rPr>
            </w:pPr>
          </w:p>
        </w:tc>
        <w:tc>
          <w:tcPr>
            <w:tcW w:w="0" w:type="auto"/>
            <w:shd w:val="clear" w:color="auto" w:fill="auto"/>
          </w:tcPr>
          <w:p w14:paraId="5EA23439" w14:textId="77777777" w:rsidR="003C66EB" w:rsidRDefault="003C66EB">
            <w:pPr>
              <w:rPr>
                <w:rFonts w:ascii="宋体"/>
                <w:vanish/>
              </w:rPr>
            </w:pPr>
          </w:p>
        </w:tc>
        <w:tc>
          <w:tcPr>
            <w:tcW w:w="0" w:type="auto"/>
            <w:shd w:val="clear" w:color="auto" w:fill="auto"/>
          </w:tcPr>
          <w:p w14:paraId="5EA2343A"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4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3C"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4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3F" w14:textId="77777777" w:rsidR="003C66EB" w:rsidRDefault="00D96C4E">
            <w:pPr>
              <w:jc w:val="right"/>
              <w:textAlignment w:val="center"/>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center"/>
          </w:tcPr>
          <w:p w14:paraId="5EA234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42"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4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4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45" w14:textId="77777777" w:rsidR="003C66EB" w:rsidRDefault="00D96C4E">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A2344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4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3448" w14:textId="77777777" w:rsidR="003C66EB" w:rsidRDefault="00D96C4E">
            <w:pPr>
              <w:jc w:val="right"/>
              <w:textAlignment w:val="center"/>
            </w:pPr>
            <w:r>
              <w:rPr>
                <w:rFonts w:ascii="Arial" w:eastAsia="宋体" w:hAnsi="Arial" w:cs="Arial"/>
                <w:color w:val="000000"/>
                <w:sz w:val="12"/>
                <w:szCs w:val="12"/>
              </w:rPr>
              <w:t>17 </w:t>
            </w:r>
          </w:p>
        </w:tc>
        <w:tc>
          <w:tcPr>
            <w:tcW w:w="0" w:type="auto"/>
            <w:shd w:val="clear" w:color="auto" w:fill="FFFFFF"/>
            <w:tcMar>
              <w:top w:w="40" w:type="dxa"/>
              <w:left w:w="0" w:type="dxa"/>
              <w:bottom w:w="40" w:type="dxa"/>
              <w:right w:w="20" w:type="dxa"/>
            </w:tcMar>
            <w:vAlign w:val="center"/>
          </w:tcPr>
          <w:p w14:paraId="5EA23449"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44A" w14:textId="77777777" w:rsidR="003C66EB" w:rsidRDefault="003C66EB">
            <w:pPr>
              <w:rPr>
                <w:rFonts w:ascii="宋体"/>
              </w:rPr>
            </w:pPr>
          </w:p>
        </w:tc>
        <w:tc>
          <w:tcPr>
            <w:tcW w:w="0" w:type="auto"/>
            <w:shd w:val="clear" w:color="auto" w:fill="FFFFFF"/>
            <w:tcMar>
              <w:top w:w="40" w:type="dxa"/>
              <w:left w:w="20" w:type="dxa"/>
              <w:bottom w:w="40" w:type="dxa"/>
              <w:right w:w="0" w:type="dxa"/>
            </w:tcMar>
            <w:vAlign w:val="center"/>
          </w:tcPr>
          <w:p w14:paraId="5EA2344B" w14:textId="77777777" w:rsidR="003C66EB" w:rsidRDefault="00D96C4E">
            <w:pPr>
              <w:textAlignment w:val="center"/>
            </w:pPr>
            <w:r>
              <w:rPr>
                <w:rFonts w:ascii="Arial" w:eastAsia="宋体" w:hAnsi="Arial" w:cs="Arial"/>
                <w:color w:val="000000"/>
                <w:sz w:val="12"/>
                <w:szCs w:val="12"/>
              </w:rPr>
              <w:t>$</w:t>
            </w:r>
          </w:p>
          <w:p w14:paraId="5EA2344C" w14:textId="77777777" w:rsidR="003C66EB" w:rsidRDefault="00D96C4E">
            <w:pPr>
              <w:jc w:val="right"/>
              <w:textAlignment w:val="center"/>
            </w:pPr>
            <w:r>
              <w:rPr>
                <w:rFonts w:ascii="Arial" w:eastAsia="宋体" w:hAnsi="Arial" w:cs="Arial"/>
                <w:color w:val="000000"/>
                <w:sz w:val="12"/>
                <w:szCs w:val="12"/>
              </w:rPr>
              <w:t>12 </w:t>
            </w:r>
          </w:p>
        </w:tc>
      </w:tr>
      <w:tr w:rsidR="003C66EB" w14:paraId="5EA2346D" w14:textId="77777777">
        <w:tc>
          <w:tcPr>
            <w:tcW w:w="0" w:type="auto"/>
            <w:gridSpan w:val="3"/>
            <w:shd w:val="clear" w:color="auto" w:fill="CCEEFF"/>
            <w:tcMar>
              <w:top w:w="40" w:type="dxa"/>
              <w:left w:w="20" w:type="dxa"/>
              <w:bottom w:w="40" w:type="dxa"/>
              <w:right w:w="20" w:type="dxa"/>
            </w:tcMar>
            <w:vAlign w:val="center"/>
          </w:tcPr>
          <w:p w14:paraId="5EA2344E" w14:textId="77777777" w:rsidR="003C66EB" w:rsidRDefault="00D96C4E">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4F" w14:textId="77777777" w:rsidR="003C66EB" w:rsidRDefault="00D96C4E">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5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5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52" w14:textId="77777777" w:rsidR="003C66EB" w:rsidRDefault="00D96C4E">
            <w:pPr>
              <w:jc w:val="right"/>
              <w:textAlignment w:val="center"/>
            </w:pPr>
            <w:r>
              <w:rPr>
                <w:rFonts w:ascii="Arial" w:eastAsia="宋体" w:hAnsi="Arial" w:cs="Arial"/>
                <w:color w:val="000000"/>
                <w:sz w:val="12"/>
                <w:szCs w:val="12"/>
              </w:rPr>
              <w:t>11 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5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55"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5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5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58" w14:textId="77777777" w:rsidR="003C66EB" w:rsidRDefault="00D96C4E">
            <w:pPr>
              <w:jc w:val="right"/>
              <w:textAlignment w:val="center"/>
            </w:pPr>
            <w:r>
              <w:rPr>
                <w:rFonts w:ascii="Arial" w:eastAsia="宋体" w:hAnsi="Arial" w:cs="Arial"/>
                <w:color w:val="000000"/>
                <w:sz w:val="12"/>
                <w:szCs w:val="12"/>
              </w:rPr>
              <w:t>3 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59" w14:textId="77777777" w:rsidR="003C66EB" w:rsidRDefault="003C66EB">
            <w:pPr>
              <w:jc w:val="right"/>
              <w:rPr>
                <w:rFonts w:ascii="宋体"/>
              </w:rPr>
            </w:pPr>
          </w:p>
        </w:tc>
        <w:tc>
          <w:tcPr>
            <w:tcW w:w="0" w:type="auto"/>
            <w:shd w:val="clear" w:color="auto" w:fill="auto"/>
          </w:tcPr>
          <w:p w14:paraId="5EA2345A" w14:textId="77777777" w:rsidR="003C66EB" w:rsidRDefault="003C66EB">
            <w:pPr>
              <w:rPr>
                <w:rFonts w:ascii="宋体"/>
                <w:vanish/>
              </w:rPr>
            </w:pPr>
          </w:p>
        </w:tc>
        <w:tc>
          <w:tcPr>
            <w:tcW w:w="0" w:type="auto"/>
            <w:shd w:val="clear" w:color="auto" w:fill="auto"/>
          </w:tcPr>
          <w:p w14:paraId="5EA2345B"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345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5D"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5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60" w14:textId="77777777" w:rsidR="003C66EB" w:rsidRDefault="00D96C4E">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6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63"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6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66"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46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3469" w14:textId="77777777" w:rsidR="003C66EB" w:rsidRDefault="00D96C4E">
            <w:pPr>
              <w:jc w:val="right"/>
              <w:textAlignment w:val="center"/>
            </w:pPr>
            <w:r>
              <w:rPr>
                <w:rFonts w:ascii="Arial" w:eastAsia="宋体" w:hAnsi="Arial" w:cs="Arial"/>
                <w:color w:val="000000"/>
                <w:sz w:val="12"/>
                <w:szCs w:val="12"/>
              </w:rPr>
              <w:t>17 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346A"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346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A2346C" w14:textId="77777777" w:rsidR="003C66EB" w:rsidRDefault="00D96C4E">
            <w:pPr>
              <w:jc w:val="right"/>
              <w:textAlignment w:val="center"/>
            </w:pPr>
            <w:r>
              <w:rPr>
                <w:rFonts w:ascii="Arial" w:eastAsia="宋体" w:hAnsi="Arial" w:cs="Arial"/>
                <w:color w:val="000000"/>
                <w:sz w:val="12"/>
                <w:szCs w:val="12"/>
              </w:rPr>
              <w:t>12 </w:t>
            </w:r>
          </w:p>
        </w:tc>
      </w:tr>
      <w:tr w:rsidR="00D96C4E" w14:paraId="5EA23497" w14:textId="77777777">
        <w:tc>
          <w:tcPr>
            <w:tcW w:w="0" w:type="auto"/>
            <w:gridSpan w:val="3"/>
            <w:shd w:val="clear" w:color="auto" w:fill="FFFFFF"/>
            <w:tcMar>
              <w:top w:w="40" w:type="dxa"/>
              <w:left w:w="20" w:type="dxa"/>
              <w:bottom w:w="40" w:type="dxa"/>
              <w:right w:w="20" w:type="dxa"/>
            </w:tcMar>
            <w:vAlign w:val="center"/>
          </w:tcPr>
          <w:p w14:paraId="5EA2346E" w14:textId="77777777" w:rsidR="003C66EB" w:rsidRDefault="00D96C4E">
            <w:pPr>
              <w:textAlignment w:val="center"/>
            </w:pPr>
            <w:r>
              <w:rPr>
                <w:rFonts w:ascii="Arial" w:eastAsia="宋体" w:hAnsi="Arial" w:cs="Arial"/>
                <w:color w:val="000000"/>
                <w:sz w:val="12"/>
                <w:szCs w:val="12"/>
              </w:rPr>
              <w:t>Total assets 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6F"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70" w14:textId="77777777" w:rsidR="003C66EB" w:rsidRDefault="00D96C4E">
            <w:pPr>
              <w:jc w:val="right"/>
              <w:textAlignment w:val="center"/>
            </w:pPr>
            <w:r>
              <w:rPr>
                <w:rFonts w:ascii="Arial" w:eastAsia="宋体" w:hAnsi="Arial" w:cs="Arial"/>
                <w:color w:val="000000"/>
                <w:sz w:val="12"/>
                <w:szCs w:val="12"/>
              </w:rPr>
              <w:t>2,756 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7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73"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74" w14:textId="77777777" w:rsidR="003C66EB" w:rsidRDefault="00D96C4E">
            <w:pPr>
              <w:jc w:val="right"/>
              <w:textAlignment w:val="center"/>
            </w:pPr>
            <w:r>
              <w:rPr>
                <w:rFonts w:ascii="Arial" w:eastAsia="宋体" w:hAnsi="Arial" w:cs="Arial"/>
                <w:color w:val="000000"/>
                <w:sz w:val="12"/>
                <w:szCs w:val="12"/>
              </w:rPr>
              <w:t>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7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7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77"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78" w14:textId="77777777" w:rsidR="003C66EB" w:rsidRDefault="00D96C4E">
            <w:pPr>
              <w:jc w:val="right"/>
              <w:textAlignment w:val="center"/>
            </w:pPr>
            <w:r>
              <w:rPr>
                <w:rFonts w:ascii="Arial" w:eastAsia="宋体" w:hAnsi="Arial" w:cs="Arial"/>
                <w:color w:val="000000"/>
                <w:sz w:val="12"/>
                <w:szCs w:val="12"/>
              </w:rPr>
              <w:t>(149)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7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7B"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7C" w14:textId="77777777" w:rsidR="003C66EB" w:rsidRDefault="00D96C4E">
            <w:pPr>
              <w:jc w:val="right"/>
              <w:textAlignment w:val="center"/>
            </w:pPr>
            <w:r>
              <w:rPr>
                <w:rFonts w:ascii="Arial" w:eastAsia="宋体" w:hAnsi="Arial" w:cs="Arial"/>
                <w:color w:val="000000"/>
                <w:sz w:val="12"/>
                <w:szCs w:val="12"/>
              </w:rPr>
              <w:t>181 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7D" w14:textId="77777777" w:rsidR="003C66EB" w:rsidRDefault="003C66EB">
            <w:pPr>
              <w:jc w:val="right"/>
              <w:rPr>
                <w:rFonts w:ascii="宋体"/>
              </w:rPr>
            </w:pPr>
          </w:p>
        </w:tc>
        <w:tc>
          <w:tcPr>
            <w:tcW w:w="0" w:type="auto"/>
            <w:shd w:val="clear" w:color="auto" w:fill="auto"/>
          </w:tcPr>
          <w:p w14:paraId="5EA2347E" w14:textId="77777777" w:rsidR="003C66EB" w:rsidRDefault="003C66EB">
            <w:pPr>
              <w:rPr>
                <w:rFonts w:ascii="宋体"/>
                <w:vanish/>
              </w:rPr>
            </w:pPr>
          </w:p>
        </w:tc>
        <w:tc>
          <w:tcPr>
            <w:tcW w:w="0" w:type="auto"/>
            <w:shd w:val="clear" w:color="auto" w:fill="auto"/>
          </w:tcPr>
          <w:p w14:paraId="5EA2347F"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3480"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81"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82" w14:textId="77777777" w:rsidR="003C66EB" w:rsidRDefault="00D96C4E">
            <w:pPr>
              <w:jc w:val="right"/>
              <w:textAlignment w:val="center"/>
            </w:pPr>
            <w:r>
              <w:rPr>
                <w:rFonts w:ascii="Arial" w:eastAsia="宋体" w:hAnsi="Arial" w:cs="Arial"/>
                <w:color w:val="000000"/>
                <w:sz w:val="12"/>
                <w:szCs w:val="12"/>
              </w:rPr>
              <w:t>(42)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84"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85"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86" w14:textId="77777777" w:rsidR="003C66EB" w:rsidRDefault="00D96C4E">
            <w:pPr>
              <w:jc w:val="right"/>
              <w:textAlignment w:val="center"/>
            </w:pPr>
            <w:r>
              <w:rPr>
                <w:rFonts w:ascii="Arial" w:eastAsia="宋体" w:hAnsi="Arial" w:cs="Arial"/>
                <w:color w:val="000000"/>
                <w:sz w:val="12"/>
                <w:szCs w:val="12"/>
              </w:rPr>
              <w:t>(35)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88"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89"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8A"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8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8C"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8D"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8E" w14:textId="77777777" w:rsidR="003C66EB" w:rsidRDefault="00D96C4E">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490"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91"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A23492" w14:textId="77777777" w:rsidR="003C66EB" w:rsidRDefault="00D96C4E">
            <w:pPr>
              <w:jc w:val="right"/>
              <w:textAlignment w:val="center"/>
            </w:pPr>
            <w:r>
              <w:rPr>
                <w:rFonts w:ascii="Arial" w:eastAsia="宋体" w:hAnsi="Arial" w:cs="Arial"/>
                <w:color w:val="000000"/>
                <w:sz w:val="12"/>
                <w:szCs w:val="12"/>
              </w:rPr>
              <w:t>2,722 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A23493"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3494"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A23495" w14:textId="77777777" w:rsidR="003C66EB" w:rsidRDefault="00D96C4E">
            <w:pPr>
              <w:textAlignment w:val="center"/>
            </w:pPr>
            <w:r>
              <w:rPr>
                <w:rFonts w:ascii="Arial" w:eastAsia="宋体" w:hAnsi="Arial" w:cs="Arial"/>
                <w:color w:val="000000"/>
                <w:sz w:val="12"/>
                <w:szCs w:val="12"/>
              </w:rPr>
              <w:t>$</w:t>
            </w:r>
          </w:p>
          <w:p w14:paraId="5EA23496" w14:textId="77777777" w:rsidR="003C66EB" w:rsidRDefault="00D96C4E">
            <w:pPr>
              <w:jc w:val="right"/>
              <w:textAlignment w:val="center"/>
            </w:pPr>
            <w:r>
              <w:rPr>
                <w:rFonts w:ascii="Arial" w:eastAsia="宋体" w:hAnsi="Arial" w:cs="Arial"/>
                <w:color w:val="000000"/>
                <w:sz w:val="12"/>
                <w:szCs w:val="12"/>
              </w:rPr>
              <w:t>12 </w:t>
            </w:r>
          </w:p>
        </w:tc>
      </w:tr>
    </w:tbl>
    <w:p w14:paraId="5EA23498" w14:textId="77777777" w:rsidR="003C66EB" w:rsidRDefault="003C66E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3C66EB" w14:paraId="5EA234A8" w14:textId="77777777">
        <w:tc>
          <w:tcPr>
            <w:tcW w:w="50" w:type="pct"/>
            <w:shd w:val="clear" w:color="auto" w:fill="auto"/>
          </w:tcPr>
          <w:p w14:paraId="5EA23499" w14:textId="77777777" w:rsidR="003C66EB" w:rsidRDefault="003C66EB">
            <w:pPr>
              <w:rPr>
                <w:rFonts w:ascii="宋体"/>
              </w:rPr>
            </w:pPr>
          </w:p>
        </w:tc>
        <w:tc>
          <w:tcPr>
            <w:tcW w:w="1350" w:type="pct"/>
            <w:shd w:val="clear" w:color="auto" w:fill="auto"/>
          </w:tcPr>
          <w:p w14:paraId="5EA2349A" w14:textId="77777777" w:rsidR="003C66EB" w:rsidRDefault="003C66EB">
            <w:pPr>
              <w:rPr>
                <w:rFonts w:ascii="宋体"/>
              </w:rPr>
            </w:pPr>
          </w:p>
        </w:tc>
        <w:tc>
          <w:tcPr>
            <w:tcW w:w="5" w:type="pct"/>
            <w:shd w:val="clear" w:color="auto" w:fill="auto"/>
          </w:tcPr>
          <w:p w14:paraId="5EA2349B" w14:textId="77777777" w:rsidR="003C66EB" w:rsidRDefault="003C66EB">
            <w:pPr>
              <w:rPr>
                <w:rFonts w:ascii="宋体"/>
              </w:rPr>
            </w:pPr>
          </w:p>
        </w:tc>
        <w:tc>
          <w:tcPr>
            <w:tcW w:w="50" w:type="pct"/>
            <w:shd w:val="clear" w:color="auto" w:fill="auto"/>
          </w:tcPr>
          <w:p w14:paraId="5EA2349C" w14:textId="77777777" w:rsidR="003C66EB" w:rsidRDefault="003C66EB">
            <w:pPr>
              <w:rPr>
                <w:rFonts w:ascii="宋体"/>
              </w:rPr>
            </w:pPr>
          </w:p>
        </w:tc>
        <w:tc>
          <w:tcPr>
            <w:tcW w:w="911" w:type="pct"/>
            <w:shd w:val="clear" w:color="auto" w:fill="auto"/>
          </w:tcPr>
          <w:p w14:paraId="5EA2349D" w14:textId="77777777" w:rsidR="003C66EB" w:rsidRDefault="003C66EB">
            <w:pPr>
              <w:rPr>
                <w:rFonts w:ascii="宋体"/>
              </w:rPr>
            </w:pPr>
          </w:p>
        </w:tc>
        <w:tc>
          <w:tcPr>
            <w:tcW w:w="5" w:type="pct"/>
            <w:shd w:val="clear" w:color="auto" w:fill="auto"/>
          </w:tcPr>
          <w:p w14:paraId="5EA2349E" w14:textId="77777777" w:rsidR="003C66EB" w:rsidRDefault="003C66EB">
            <w:pPr>
              <w:rPr>
                <w:rFonts w:ascii="宋体"/>
              </w:rPr>
            </w:pPr>
          </w:p>
        </w:tc>
        <w:tc>
          <w:tcPr>
            <w:tcW w:w="50" w:type="pct"/>
            <w:shd w:val="clear" w:color="auto" w:fill="auto"/>
          </w:tcPr>
          <w:p w14:paraId="5EA2349F" w14:textId="77777777" w:rsidR="003C66EB" w:rsidRDefault="003C66EB">
            <w:pPr>
              <w:rPr>
                <w:rFonts w:ascii="宋体"/>
              </w:rPr>
            </w:pPr>
          </w:p>
        </w:tc>
        <w:tc>
          <w:tcPr>
            <w:tcW w:w="1562" w:type="pct"/>
            <w:shd w:val="clear" w:color="auto" w:fill="auto"/>
          </w:tcPr>
          <w:p w14:paraId="5EA234A0" w14:textId="77777777" w:rsidR="003C66EB" w:rsidRDefault="003C66EB">
            <w:pPr>
              <w:rPr>
                <w:rFonts w:ascii="宋体"/>
              </w:rPr>
            </w:pPr>
          </w:p>
        </w:tc>
        <w:tc>
          <w:tcPr>
            <w:tcW w:w="5" w:type="pct"/>
            <w:shd w:val="clear" w:color="auto" w:fill="auto"/>
          </w:tcPr>
          <w:p w14:paraId="5EA234A1" w14:textId="77777777" w:rsidR="003C66EB" w:rsidRDefault="003C66EB">
            <w:pPr>
              <w:rPr>
                <w:rFonts w:ascii="宋体"/>
              </w:rPr>
            </w:pPr>
          </w:p>
        </w:tc>
        <w:tc>
          <w:tcPr>
            <w:tcW w:w="50" w:type="pct"/>
            <w:shd w:val="clear" w:color="auto" w:fill="auto"/>
          </w:tcPr>
          <w:p w14:paraId="5EA234A2" w14:textId="77777777" w:rsidR="003C66EB" w:rsidRDefault="003C66EB">
            <w:pPr>
              <w:rPr>
                <w:rFonts w:ascii="宋体"/>
              </w:rPr>
            </w:pPr>
          </w:p>
        </w:tc>
        <w:tc>
          <w:tcPr>
            <w:tcW w:w="918" w:type="pct"/>
            <w:shd w:val="clear" w:color="auto" w:fill="auto"/>
          </w:tcPr>
          <w:p w14:paraId="5EA234A3" w14:textId="77777777" w:rsidR="003C66EB" w:rsidRDefault="003C66EB">
            <w:pPr>
              <w:rPr>
                <w:rFonts w:ascii="宋体"/>
              </w:rPr>
            </w:pPr>
          </w:p>
        </w:tc>
        <w:tc>
          <w:tcPr>
            <w:tcW w:w="5" w:type="pct"/>
            <w:shd w:val="clear" w:color="auto" w:fill="auto"/>
          </w:tcPr>
          <w:p w14:paraId="5EA234A4" w14:textId="77777777" w:rsidR="003C66EB" w:rsidRDefault="003C66EB">
            <w:pPr>
              <w:rPr>
                <w:rFonts w:ascii="宋体"/>
              </w:rPr>
            </w:pPr>
          </w:p>
        </w:tc>
        <w:tc>
          <w:tcPr>
            <w:tcW w:w="5" w:type="pct"/>
            <w:shd w:val="clear" w:color="auto" w:fill="auto"/>
          </w:tcPr>
          <w:p w14:paraId="5EA234A5" w14:textId="77777777" w:rsidR="003C66EB" w:rsidRDefault="003C66EB">
            <w:pPr>
              <w:rPr>
                <w:rFonts w:ascii="宋体"/>
              </w:rPr>
            </w:pPr>
          </w:p>
        </w:tc>
        <w:tc>
          <w:tcPr>
            <w:tcW w:w="26" w:type="pct"/>
            <w:shd w:val="clear" w:color="auto" w:fill="auto"/>
          </w:tcPr>
          <w:p w14:paraId="5EA234A6" w14:textId="77777777" w:rsidR="003C66EB" w:rsidRDefault="003C66EB">
            <w:pPr>
              <w:rPr>
                <w:rFonts w:ascii="宋体"/>
              </w:rPr>
            </w:pPr>
          </w:p>
        </w:tc>
        <w:tc>
          <w:tcPr>
            <w:tcW w:w="5" w:type="pct"/>
            <w:shd w:val="clear" w:color="auto" w:fill="auto"/>
          </w:tcPr>
          <w:p w14:paraId="5EA234A7" w14:textId="77777777" w:rsidR="003C66EB" w:rsidRDefault="003C66EB">
            <w:pPr>
              <w:rPr>
                <w:rFonts w:ascii="宋体"/>
              </w:rPr>
            </w:pPr>
          </w:p>
        </w:tc>
      </w:tr>
      <w:tr w:rsidR="003C66EB" w14:paraId="5EA234A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34A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4A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4A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4A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4AD" w14:textId="77777777" w:rsidR="003C66EB" w:rsidRDefault="003C66EB">
            <w:pPr>
              <w:rPr>
                <w:rFonts w:ascii="宋体"/>
              </w:rPr>
            </w:pPr>
          </w:p>
        </w:tc>
      </w:tr>
    </w:tbl>
    <w:p w14:paraId="5EA234AF" w14:textId="77777777" w:rsidR="003C66EB" w:rsidRDefault="00D96C4E">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5EA234B0" w14:textId="77777777" w:rsidR="003C66EB" w:rsidRDefault="00D96C4E">
      <w:pPr>
        <w:ind w:firstLine="450"/>
        <w:jc w:val="right"/>
      </w:pPr>
      <w:r>
        <w:rPr>
          <w:rFonts w:ascii="Arial" w:eastAsia="宋体" w:hAnsi="Arial" w:cs="Arial"/>
          <w:color w:val="000000"/>
          <w:sz w:val="18"/>
          <w:szCs w:val="18"/>
        </w:rPr>
        <w:t>State Street Corporation | 56</w:t>
      </w:r>
    </w:p>
    <w:p w14:paraId="5EA234B1" w14:textId="77777777" w:rsidR="003C66EB" w:rsidRDefault="003C66EB">
      <w:pPr>
        <w:ind w:firstLine="450"/>
        <w:jc w:val="center"/>
      </w:pPr>
    </w:p>
    <w:p w14:paraId="5EA234B2" w14:textId="77777777" w:rsidR="003C66EB" w:rsidRDefault="00D96C4E">
      <w:r>
        <w:pict w14:anchorId="5EA287E8">
          <v:rect id="_x0000_i1080" style="width:415.3pt;height:1.5pt" o:hralign="center" o:hrstd="t" o:hr="t" fillcolor="#a0a0a0" stroked="f"/>
        </w:pict>
      </w:r>
    </w:p>
    <w:p w14:paraId="5EA234B3" w14:textId="77777777" w:rsidR="003C66EB" w:rsidRDefault="00D96C4E">
      <w:pPr>
        <w:ind w:firstLine="450"/>
        <w:jc w:val="center"/>
      </w:pPr>
      <w:r>
        <w:rPr>
          <w:rFonts w:ascii="Arial" w:eastAsia="宋体" w:hAnsi="Arial" w:cs="Arial"/>
          <w:b/>
          <w:bCs/>
          <w:color w:val="000000"/>
          <w:sz w:val="20"/>
          <w:szCs w:val="20"/>
        </w:rPr>
        <w:t>STATE STREET CORPORATION</w:t>
      </w:r>
    </w:p>
    <w:p w14:paraId="5EA234B4"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34B5" w14:textId="77777777" w:rsidR="003C66EB" w:rsidRDefault="00D96C4E">
      <w:pPr>
        <w:ind w:firstLine="450"/>
        <w:jc w:val="center"/>
      </w:pPr>
      <w:r>
        <w:rPr>
          <w:rFonts w:ascii="Arial" w:eastAsia="宋体" w:hAnsi="Arial" w:cs="Arial"/>
          <w:b/>
          <w:bCs/>
          <w:color w:val="000000"/>
          <w:sz w:val="20"/>
          <w:szCs w:val="20"/>
        </w:rPr>
        <w:t>(UNAUDITED)</w:t>
      </w:r>
    </w:p>
    <w:p w14:paraId="5EA234B6" w14:textId="77777777" w:rsidR="003C66EB" w:rsidRDefault="00D96C4E">
      <w:pPr>
        <w:spacing w:before="60"/>
        <w:ind w:firstLine="450"/>
        <w:jc w:val="both"/>
      </w:pPr>
      <w:r>
        <w:rPr>
          <w:rFonts w:ascii="Arial" w:eastAsia="宋体" w:hAnsi="Arial" w:cs="Arial"/>
          <w:color w:val="000000"/>
          <w:sz w:val="20"/>
          <w:szCs w:val="20"/>
        </w:rPr>
        <w:t>The following table presents quantitative information, as of the dates indicated, about the valuation techniques a</w:t>
      </w:r>
      <w:r>
        <w:rPr>
          <w:rFonts w:ascii="Arial" w:eastAsia="宋体" w:hAnsi="Arial" w:cs="Arial"/>
          <w:color w:val="000000"/>
          <w:sz w:val="20"/>
          <w:szCs w:val="20"/>
        </w:rPr>
        <w:t>nd significant unobservable inputs used in the valuation of our level 3 financial assets and liabilities measured at fair value on a recurring basis for which we use internally-developed pricing models. The significant unobservable inputs for our level 3 f</w:t>
      </w:r>
      <w:r>
        <w:rPr>
          <w:rFonts w:ascii="Arial" w:eastAsia="宋体" w:hAnsi="Arial" w:cs="Arial"/>
          <w:color w:val="000000"/>
          <w:sz w:val="20"/>
          <w:szCs w:val="20"/>
        </w:rPr>
        <w:t>inancial assets and liabilities whose fair value is measured using pricing information from non-binding broker/dealer quotes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755"/>
        <w:gridCol w:w="37"/>
        <w:gridCol w:w="94"/>
        <w:gridCol w:w="652"/>
        <w:gridCol w:w="37"/>
        <w:gridCol w:w="36"/>
        <w:gridCol w:w="36"/>
        <w:gridCol w:w="36"/>
        <w:gridCol w:w="94"/>
        <w:gridCol w:w="836"/>
        <w:gridCol w:w="36"/>
        <w:gridCol w:w="36"/>
        <w:gridCol w:w="36"/>
        <w:gridCol w:w="36"/>
        <w:gridCol w:w="75"/>
        <w:gridCol w:w="559"/>
        <w:gridCol w:w="36"/>
        <w:gridCol w:w="36"/>
        <w:gridCol w:w="36"/>
        <w:gridCol w:w="36"/>
        <w:gridCol w:w="96"/>
        <w:gridCol w:w="729"/>
        <w:gridCol w:w="36"/>
        <w:gridCol w:w="36"/>
        <w:gridCol w:w="36"/>
        <w:gridCol w:w="36"/>
        <w:gridCol w:w="99"/>
        <w:gridCol w:w="349"/>
        <w:gridCol w:w="37"/>
        <w:gridCol w:w="37"/>
        <w:gridCol w:w="37"/>
        <w:gridCol w:w="37"/>
        <w:gridCol w:w="88"/>
        <w:gridCol w:w="312"/>
        <w:gridCol w:w="38"/>
        <w:gridCol w:w="36"/>
        <w:gridCol w:w="36"/>
        <w:gridCol w:w="36"/>
        <w:gridCol w:w="52"/>
        <w:gridCol w:w="463"/>
        <w:gridCol w:w="137"/>
        <w:gridCol w:w="36"/>
        <w:gridCol w:w="36"/>
        <w:gridCol w:w="36"/>
        <w:gridCol w:w="51"/>
        <w:gridCol w:w="705"/>
        <w:gridCol w:w="136"/>
      </w:tblGrid>
      <w:tr w:rsidR="003C66EB" w14:paraId="5EA234E7" w14:textId="77777777">
        <w:trPr>
          <w:jc w:val="center"/>
        </w:trPr>
        <w:tc>
          <w:tcPr>
            <w:tcW w:w="50" w:type="pct"/>
            <w:shd w:val="clear" w:color="auto" w:fill="auto"/>
          </w:tcPr>
          <w:p w14:paraId="5EA234B7" w14:textId="77777777" w:rsidR="003C66EB" w:rsidRDefault="003C66EB">
            <w:pPr>
              <w:rPr>
                <w:rFonts w:ascii="宋体"/>
              </w:rPr>
            </w:pPr>
          </w:p>
        </w:tc>
        <w:tc>
          <w:tcPr>
            <w:tcW w:w="1143" w:type="pct"/>
            <w:shd w:val="clear" w:color="auto" w:fill="auto"/>
          </w:tcPr>
          <w:p w14:paraId="5EA234B8" w14:textId="77777777" w:rsidR="003C66EB" w:rsidRDefault="003C66EB">
            <w:pPr>
              <w:rPr>
                <w:rFonts w:ascii="宋体"/>
              </w:rPr>
            </w:pPr>
          </w:p>
        </w:tc>
        <w:tc>
          <w:tcPr>
            <w:tcW w:w="5" w:type="pct"/>
            <w:shd w:val="clear" w:color="auto" w:fill="auto"/>
          </w:tcPr>
          <w:p w14:paraId="5EA234B9" w14:textId="77777777" w:rsidR="003C66EB" w:rsidRDefault="003C66EB">
            <w:pPr>
              <w:rPr>
                <w:rFonts w:ascii="宋体"/>
              </w:rPr>
            </w:pPr>
          </w:p>
        </w:tc>
        <w:tc>
          <w:tcPr>
            <w:tcW w:w="50" w:type="pct"/>
            <w:shd w:val="clear" w:color="auto" w:fill="auto"/>
          </w:tcPr>
          <w:p w14:paraId="5EA234BA" w14:textId="77777777" w:rsidR="003C66EB" w:rsidRDefault="003C66EB">
            <w:pPr>
              <w:rPr>
                <w:rFonts w:ascii="宋体"/>
              </w:rPr>
            </w:pPr>
          </w:p>
        </w:tc>
        <w:tc>
          <w:tcPr>
            <w:tcW w:w="449" w:type="pct"/>
            <w:shd w:val="clear" w:color="auto" w:fill="auto"/>
          </w:tcPr>
          <w:p w14:paraId="5EA234BB" w14:textId="77777777" w:rsidR="003C66EB" w:rsidRDefault="003C66EB">
            <w:pPr>
              <w:rPr>
                <w:rFonts w:ascii="宋体"/>
              </w:rPr>
            </w:pPr>
          </w:p>
        </w:tc>
        <w:tc>
          <w:tcPr>
            <w:tcW w:w="5" w:type="pct"/>
            <w:shd w:val="clear" w:color="auto" w:fill="auto"/>
          </w:tcPr>
          <w:p w14:paraId="5EA234BC" w14:textId="77777777" w:rsidR="003C66EB" w:rsidRDefault="003C66EB">
            <w:pPr>
              <w:rPr>
                <w:rFonts w:ascii="宋体"/>
              </w:rPr>
            </w:pPr>
          </w:p>
        </w:tc>
        <w:tc>
          <w:tcPr>
            <w:tcW w:w="5" w:type="pct"/>
            <w:shd w:val="clear" w:color="auto" w:fill="auto"/>
          </w:tcPr>
          <w:p w14:paraId="5EA234BD" w14:textId="77777777" w:rsidR="003C66EB" w:rsidRDefault="003C66EB">
            <w:pPr>
              <w:rPr>
                <w:rFonts w:ascii="宋体"/>
              </w:rPr>
            </w:pPr>
          </w:p>
        </w:tc>
        <w:tc>
          <w:tcPr>
            <w:tcW w:w="19" w:type="pct"/>
            <w:shd w:val="clear" w:color="auto" w:fill="auto"/>
          </w:tcPr>
          <w:p w14:paraId="5EA234BE" w14:textId="77777777" w:rsidR="003C66EB" w:rsidRDefault="003C66EB">
            <w:pPr>
              <w:rPr>
                <w:rFonts w:ascii="宋体"/>
              </w:rPr>
            </w:pPr>
          </w:p>
        </w:tc>
        <w:tc>
          <w:tcPr>
            <w:tcW w:w="5" w:type="pct"/>
            <w:shd w:val="clear" w:color="auto" w:fill="auto"/>
          </w:tcPr>
          <w:p w14:paraId="5EA234BF" w14:textId="77777777" w:rsidR="003C66EB" w:rsidRDefault="003C66EB">
            <w:pPr>
              <w:rPr>
                <w:rFonts w:ascii="宋体"/>
              </w:rPr>
            </w:pPr>
          </w:p>
        </w:tc>
        <w:tc>
          <w:tcPr>
            <w:tcW w:w="50" w:type="pct"/>
            <w:shd w:val="clear" w:color="auto" w:fill="auto"/>
          </w:tcPr>
          <w:p w14:paraId="5EA234C0" w14:textId="77777777" w:rsidR="003C66EB" w:rsidRDefault="003C66EB">
            <w:pPr>
              <w:rPr>
                <w:rFonts w:ascii="宋体"/>
              </w:rPr>
            </w:pPr>
          </w:p>
        </w:tc>
        <w:tc>
          <w:tcPr>
            <w:tcW w:w="559" w:type="pct"/>
            <w:shd w:val="clear" w:color="auto" w:fill="auto"/>
          </w:tcPr>
          <w:p w14:paraId="5EA234C1" w14:textId="77777777" w:rsidR="003C66EB" w:rsidRDefault="003C66EB">
            <w:pPr>
              <w:rPr>
                <w:rFonts w:ascii="宋体"/>
              </w:rPr>
            </w:pPr>
          </w:p>
        </w:tc>
        <w:tc>
          <w:tcPr>
            <w:tcW w:w="5" w:type="pct"/>
            <w:shd w:val="clear" w:color="auto" w:fill="auto"/>
          </w:tcPr>
          <w:p w14:paraId="5EA234C2" w14:textId="77777777" w:rsidR="003C66EB" w:rsidRDefault="003C66EB">
            <w:pPr>
              <w:rPr>
                <w:rFonts w:ascii="宋体"/>
              </w:rPr>
            </w:pPr>
          </w:p>
        </w:tc>
        <w:tc>
          <w:tcPr>
            <w:tcW w:w="5" w:type="pct"/>
            <w:shd w:val="clear" w:color="auto" w:fill="auto"/>
          </w:tcPr>
          <w:p w14:paraId="5EA234C3" w14:textId="77777777" w:rsidR="003C66EB" w:rsidRDefault="003C66EB">
            <w:pPr>
              <w:rPr>
                <w:rFonts w:ascii="宋体"/>
              </w:rPr>
            </w:pPr>
          </w:p>
        </w:tc>
        <w:tc>
          <w:tcPr>
            <w:tcW w:w="19" w:type="pct"/>
            <w:shd w:val="clear" w:color="auto" w:fill="auto"/>
          </w:tcPr>
          <w:p w14:paraId="5EA234C4" w14:textId="77777777" w:rsidR="003C66EB" w:rsidRDefault="003C66EB">
            <w:pPr>
              <w:rPr>
                <w:rFonts w:ascii="宋体"/>
              </w:rPr>
            </w:pPr>
          </w:p>
        </w:tc>
        <w:tc>
          <w:tcPr>
            <w:tcW w:w="5" w:type="pct"/>
            <w:shd w:val="clear" w:color="auto" w:fill="auto"/>
          </w:tcPr>
          <w:p w14:paraId="5EA234C5" w14:textId="77777777" w:rsidR="003C66EB" w:rsidRDefault="003C66EB">
            <w:pPr>
              <w:rPr>
                <w:rFonts w:ascii="宋体"/>
              </w:rPr>
            </w:pPr>
          </w:p>
        </w:tc>
        <w:tc>
          <w:tcPr>
            <w:tcW w:w="50" w:type="pct"/>
            <w:shd w:val="clear" w:color="auto" w:fill="auto"/>
          </w:tcPr>
          <w:p w14:paraId="5EA234C6" w14:textId="77777777" w:rsidR="003C66EB" w:rsidRDefault="003C66EB">
            <w:pPr>
              <w:rPr>
                <w:rFonts w:ascii="宋体"/>
              </w:rPr>
            </w:pPr>
          </w:p>
        </w:tc>
        <w:tc>
          <w:tcPr>
            <w:tcW w:w="376" w:type="pct"/>
            <w:shd w:val="clear" w:color="auto" w:fill="auto"/>
          </w:tcPr>
          <w:p w14:paraId="5EA234C7" w14:textId="77777777" w:rsidR="003C66EB" w:rsidRDefault="003C66EB">
            <w:pPr>
              <w:rPr>
                <w:rFonts w:ascii="宋体"/>
              </w:rPr>
            </w:pPr>
          </w:p>
        </w:tc>
        <w:tc>
          <w:tcPr>
            <w:tcW w:w="5" w:type="pct"/>
            <w:shd w:val="clear" w:color="auto" w:fill="auto"/>
          </w:tcPr>
          <w:p w14:paraId="5EA234C8" w14:textId="77777777" w:rsidR="003C66EB" w:rsidRDefault="003C66EB">
            <w:pPr>
              <w:rPr>
                <w:rFonts w:ascii="宋体"/>
              </w:rPr>
            </w:pPr>
          </w:p>
        </w:tc>
        <w:tc>
          <w:tcPr>
            <w:tcW w:w="5" w:type="pct"/>
            <w:shd w:val="clear" w:color="auto" w:fill="auto"/>
          </w:tcPr>
          <w:p w14:paraId="5EA234C9" w14:textId="77777777" w:rsidR="003C66EB" w:rsidRDefault="003C66EB">
            <w:pPr>
              <w:rPr>
                <w:rFonts w:ascii="宋体"/>
              </w:rPr>
            </w:pPr>
          </w:p>
        </w:tc>
        <w:tc>
          <w:tcPr>
            <w:tcW w:w="19" w:type="pct"/>
            <w:shd w:val="clear" w:color="auto" w:fill="auto"/>
          </w:tcPr>
          <w:p w14:paraId="5EA234CA" w14:textId="77777777" w:rsidR="003C66EB" w:rsidRDefault="003C66EB">
            <w:pPr>
              <w:rPr>
                <w:rFonts w:ascii="宋体"/>
              </w:rPr>
            </w:pPr>
          </w:p>
        </w:tc>
        <w:tc>
          <w:tcPr>
            <w:tcW w:w="5" w:type="pct"/>
            <w:shd w:val="clear" w:color="auto" w:fill="auto"/>
          </w:tcPr>
          <w:p w14:paraId="5EA234CB" w14:textId="77777777" w:rsidR="003C66EB" w:rsidRDefault="003C66EB">
            <w:pPr>
              <w:rPr>
                <w:rFonts w:ascii="宋体"/>
              </w:rPr>
            </w:pPr>
          </w:p>
        </w:tc>
        <w:tc>
          <w:tcPr>
            <w:tcW w:w="50" w:type="pct"/>
            <w:shd w:val="clear" w:color="auto" w:fill="auto"/>
          </w:tcPr>
          <w:p w14:paraId="5EA234CC" w14:textId="77777777" w:rsidR="003C66EB" w:rsidRDefault="003C66EB">
            <w:pPr>
              <w:rPr>
                <w:rFonts w:ascii="宋体"/>
              </w:rPr>
            </w:pPr>
          </w:p>
        </w:tc>
        <w:tc>
          <w:tcPr>
            <w:tcW w:w="383" w:type="pct"/>
            <w:shd w:val="clear" w:color="auto" w:fill="auto"/>
          </w:tcPr>
          <w:p w14:paraId="5EA234CD" w14:textId="77777777" w:rsidR="003C66EB" w:rsidRDefault="003C66EB">
            <w:pPr>
              <w:rPr>
                <w:rFonts w:ascii="宋体"/>
              </w:rPr>
            </w:pPr>
          </w:p>
        </w:tc>
        <w:tc>
          <w:tcPr>
            <w:tcW w:w="5" w:type="pct"/>
            <w:shd w:val="clear" w:color="auto" w:fill="auto"/>
          </w:tcPr>
          <w:p w14:paraId="5EA234CE" w14:textId="77777777" w:rsidR="003C66EB" w:rsidRDefault="003C66EB">
            <w:pPr>
              <w:rPr>
                <w:rFonts w:ascii="宋体"/>
              </w:rPr>
            </w:pPr>
          </w:p>
        </w:tc>
        <w:tc>
          <w:tcPr>
            <w:tcW w:w="5" w:type="pct"/>
            <w:shd w:val="clear" w:color="auto" w:fill="auto"/>
          </w:tcPr>
          <w:p w14:paraId="5EA234CF" w14:textId="77777777" w:rsidR="003C66EB" w:rsidRDefault="003C66EB">
            <w:pPr>
              <w:rPr>
                <w:rFonts w:ascii="宋体"/>
              </w:rPr>
            </w:pPr>
          </w:p>
        </w:tc>
        <w:tc>
          <w:tcPr>
            <w:tcW w:w="19" w:type="pct"/>
            <w:shd w:val="clear" w:color="auto" w:fill="auto"/>
          </w:tcPr>
          <w:p w14:paraId="5EA234D0" w14:textId="77777777" w:rsidR="003C66EB" w:rsidRDefault="003C66EB">
            <w:pPr>
              <w:rPr>
                <w:rFonts w:ascii="宋体"/>
              </w:rPr>
            </w:pPr>
          </w:p>
        </w:tc>
        <w:tc>
          <w:tcPr>
            <w:tcW w:w="5" w:type="pct"/>
            <w:shd w:val="clear" w:color="auto" w:fill="auto"/>
          </w:tcPr>
          <w:p w14:paraId="5EA234D1" w14:textId="77777777" w:rsidR="003C66EB" w:rsidRDefault="003C66EB">
            <w:pPr>
              <w:rPr>
                <w:rFonts w:ascii="宋体"/>
              </w:rPr>
            </w:pPr>
          </w:p>
        </w:tc>
        <w:tc>
          <w:tcPr>
            <w:tcW w:w="50" w:type="pct"/>
            <w:shd w:val="clear" w:color="auto" w:fill="auto"/>
          </w:tcPr>
          <w:p w14:paraId="5EA234D2" w14:textId="77777777" w:rsidR="003C66EB" w:rsidRDefault="003C66EB">
            <w:pPr>
              <w:rPr>
                <w:rFonts w:ascii="宋体"/>
              </w:rPr>
            </w:pPr>
          </w:p>
        </w:tc>
        <w:tc>
          <w:tcPr>
            <w:tcW w:w="178" w:type="pct"/>
            <w:shd w:val="clear" w:color="auto" w:fill="auto"/>
          </w:tcPr>
          <w:p w14:paraId="5EA234D3" w14:textId="77777777" w:rsidR="003C66EB" w:rsidRDefault="003C66EB">
            <w:pPr>
              <w:rPr>
                <w:rFonts w:ascii="宋体"/>
              </w:rPr>
            </w:pPr>
          </w:p>
        </w:tc>
        <w:tc>
          <w:tcPr>
            <w:tcW w:w="5" w:type="pct"/>
            <w:shd w:val="clear" w:color="auto" w:fill="auto"/>
          </w:tcPr>
          <w:p w14:paraId="5EA234D4" w14:textId="77777777" w:rsidR="003C66EB" w:rsidRDefault="003C66EB">
            <w:pPr>
              <w:rPr>
                <w:rFonts w:ascii="宋体"/>
              </w:rPr>
            </w:pPr>
          </w:p>
        </w:tc>
        <w:tc>
          <w:tcPr>
            <w:tcW w:w="5" w:type="pct"/>
            <w:shd w:val="clear" w:color="auto" w:fill="auto"/>
          </w:tcPr>
          <w:p w14:paraId="5EA234D5" w14:textId="77777777" w:rsidR="003C66EB" w:rsidRDefault="003C66EB">
            <w:pPr>
              <w:rPr>
                <w:rFonts w:ascii="宋体"/>
              </w:rPr>
            </w:pPr>
          </w:p>
        </w:tc>
        <w:tc>
          <w:tcPr>
            <w:tcW w:w="41" w:type="pct"/>
            <w:shd w:val="clear" w:color="auto" w:fill="auto"/>
          </w:tcPr>
          <w:p w14:paraId="5EA234D6" w14:textId="77777777" w:rsidR="003C66EB" w:rsidRDefault="003C66EB">
            <w:pPr>
              <w:rPr>
                <w:rFonts w:ascii="宋体"/>
              </w:rPr>
            </w:pPr>
          </w:p>
        </w:tc>
        <w:tc>
          <w:tcPr>
            <w:tcW w:w="5" w:type="pct"/>
            <w:shd w:val="clear" w:color="auto" w:fill="auto"/>
          </w:tcPr>
          <w:p w14:paraId="5EA234D7" w14:textId="77777777" w:rsidR="003C66EB" w:rsidRDefault="003C66EB">
            <w:pPr>
              <w:rPr>
                <w:rFonts w:ascii="宋体"/>
              </w:rPr>
            </w:pPr>
          </w:p>
        </w:tc>
        <w:tc>
          <w:tcPr>
            <w:tcW w:w="50" w:type="pct"/>
            <w:shd w:val="clear" w:color="auto" w:fill="auto"/>
          </w:tcPr>
          <w:p w14:paraId="5EA234D8" w14:textId="77777777" w:rsidR="003C66EB" w:rsidRDefault="003C66EB">
            <w:pPr>
              <w:rPr>
                <w:rFonts w:ascii="宋体"/>
              </w:rPr>
            </w:pPr>
          </w:p>
        </w:tc>
        <w:tc>
          <w:tcPr>
            <w:tcW w:w="178" w:type="pct"/>
            <w:shd w:val="clear" w:color="auto" w:fill="auto"/>
          </w:tcPr>
          <w:p w14:paraId="5EA234D9" w14:textId="77777777" w:rsidR="003C66EB" w:rsidRDefault="003C66EB">
            <w:pPr>
              <w:rPr>
                <w:rFonts w:ascii="宋体"/>
              </w:rPr>
            </w:pPr>
          </w:p>
        </w:tc>
        <w:tc>
          <w:tcPr>
            <w:tcW w:w="5" w:type="pct"/>
            <w:shd w:val="clear" w:color="auto" w:fill="auto"/>
          </w:tcPr>
          <w:p w14:paraId="5EA234DA" w14:textId="77777777" w:rsidR="003C66EB" w:rsidRDefault="003C66EB">
            <w:pPr>
              <w:rPr>
                <w:rFonts w:ascii="宋体"/>
              </w:rPr>
            </w:pPr>
          </w:p>
        </w:tc>
        <w:tc>
          <w:tcPr>
            <w:tcW w:w="5" w:type="pct"/>
            <w:shd w:val="clear" w:color="auto" w:fill="auto"/>
          </w:tcPr>
          <w:p w14:paraId="5EA234DB" w14:textId="77777777" w:rsidR="003C66EB" w:rsidRDefault="003C66EB">
            <w:pPr>
              <w:rPr>
                <w:rFonts w:ascii="宋体"/>
              </w:rPr>
            </w:pPr>
          </w:p>
        </w:tc>
        <w:tc>
          <w:tcPr>
            <w:tcW w:w="19" w:type="pct"/>
            <w:shd w:val="clear" w:color="auto" w:fill="auto"/>
          </w:tcPr>
          <w:p w14:paraId="5EA234DC" w14:textId="77777777" w:rsidR="003C66EB" w:rsidRDefault="003C66EB">
            <w:pPr>
              <w:rPr>
                <w:rFonts w:ascii="宋体"/>
              </w:rPr>
            </w:pPr>
          </w:p>
        </w:tc>
        <w:tc>
          <w:tcPr>
            <w:tcW w:w="5" w:type="pct"/>
            <w:shd w:val="clear" w:color="auto" w:fill="auto"/>
          </w:tcPr>
          <w:p w14:paraId="5EA234DD" w14:textId="77777777" w:rsidR="003C66EB" w:rsidRDefault="003C66EB">
            <w:pPr>
              <w:rPr>
                <w:rFonts w:ascii="宋体"/>
              </w:rPr>
            </w:pPr>
          </w:p>
        </w:tc>
        <w:tc>
          <w:tcPr>
            <w:tcW w:w="50" w:type="pct"/>
            <w:shd w:val="clear" w:color="auto" w:fill="auto"/>
          </w:tcPr>
          <w:p w14:paraId="5EA234DE" w14:textId="77777777" w:rsidR="003C66EB" w:rsidRDefault="003C66EB">
            <w:pPr>
              <w:rPr>
                <w:rFonts w:ascii="宋体"/>
              </w:rPr>
            </w:pPr>
          </w:p>
        </w:tc>
        <w:tc>
          <w:tcPr>
            <w:tcW w:w="449" w:type="pct"/>
            <w:shd w:val="clear" w:color="auto" w:fill="auto"/>
          </w:tcPr>
          <w:p w14:paraId="5EA234DF" w14:textId="77777777" w:rsidR="003C66EB" w:rsidRDefault="003C66EB">
            <w:pPr>
              <w:rPr>
                <w:rFonts w:ascii="宋体"/>
              </w:rPr>
            </w:pPr>
          </w:p>
        </w:tc>
        <w:tc>
          <w:tcPr>
            <w:tcW w:w="5" w:type="pct"/>
            <w:shd w:val="clear" w:color="auto" w:fill="auto"/>
          </w:tcPr>
          <w:p w14:paraId="5EA234E0" w14:textId="77777777" w:rsidR="003C66EB" w:rsidRDefault="003C66EB">
            <w:pPr>
              <w:rPr>
                <w:rFonts w:ascii="宋体"/>
              </w:rPr>
            </w:pPr>
          </w:p>
        </w:tc>
        <w:tc>
          <w:tcPr>
            <w:tcW w:w="5" w:type="pct"/>
            <w:shd w:val="clear" w:color="auto" w:fill="auto"/>
          </w:tcPr>
          <w:p w14:paraId="5EA234E1" w14:textId="77777777" w:rsidR="003C66EB" w:rsidRDefault="003C66EB">
            <w:pPr>
              <w:rPr>
                <w:rFonts w:ascii="宋体"/>
              </w:rPr>
            </w:pPr>
          </w:p>
        </w:tc>
        <w:tc>
          <w:tcPr>
            <w:tcW w:w="19" w:type="pct"/>
            <w:shd w:val="clear" w:color="auto" w:fill="auto"/>
          </w:tcPr>
          <w:p w14:paraId="5EA234E2" w14:textId="77777777" w:rsidR="003C66EB" w:rsidRDefault="003C66EB">
            <w:pPr>
              <w:rPr>
                <w:rFonts w:ascii="宋体"/>
              </w:rPr>
            </w:pPr>
          </w:p>
        </w:tc>
        <w:tc>
          <w:tcPr>
            <w:tcW w:w="5" w:type="pct"/>
            <w:shd w:val="clear" w:color="auto" w:fill="auto"/>
          </w:tcPr>
          <w:p w14:paraId="5EA234E3" w14:textId="77777777" w:rsidR="003C66EB" w:rsidRDefault="003C66EB">
            <w:pPr>
              <w:rPr>
                <w:rFonts w:ascii="宋体"/>
              </w:rPr>
            </w:pPr>
          </w:p>
        </w:tc>
        <w:tc>
          <w:tcPr>
            <w:tcW w:w="50" w:type="pct"/>
            <w:shd w:val="clear" w:color="auto" w:fill="auto"/>
          </w:tcPr>
          <w:p w14:paraId="5EA234E4" w14:textId="77777777" w:rsidR="003C66EB" w:rsidRDefault="003C66EB">
            <w:pPr>
              <w:rPr>
                <w:rFonts w:ascii="宋体"/>
              </w:rPr>
            </w:pPr>
          </w:p>
        </w:tc>
        <w:tc>
          <w:tcPr>
            <w:tcW w:w="559" w:type="pct"/>
            <w:shd w:val="clear" w:color="auto" w:fill="auto"/>
          </w:tcPr>
          <w:p w14:paraId="5EA234E5" w14:textId="77777777" w:rsidR="003C66EB" w:rsidRDefault="003C66EB">
            <w:pPr>
              <w:rPr>
                <w:rFonts w:ascii="宋体"/>
              </w:rPr>
            </w:pPr>
          </w:p>
        </w:tc>
        <w:tc>
          <w:tcPr>
            <w:tcW w:w="5" w:type="pct"/>
            <w:shd w:val="clear" w:color="auto" w:fill="auto"/>
          </w:tcPr>
          <w:p w14:paraId="5EA234E6" w14:textId="77777777" w:rsidR="003C66EB" w:rsidRDefault="003C66EB">
            <w:pPr>
              <w:rPr>
                <w:rFonts w:ascii="宋体"/>
              </w:rPr>
            </w:pPr>
          </w:p>
        </w:tc>
      </w:tr>
      <w:tr w:rsidR="003C66EB" w14:paraId="5EA234EA" w14:textId="77777777">
        <w:trPr>
          <w:jc w:val="center"/>
        </w:trPr>
        <w:tc>
          <w:tcPr>
            <w:tcW w:w="0" w:type="auto"/>
            <w:gridSpan w:val="3"/>
            <w:shd w:val="clear" w:color="auto" w:fill="auto"/>
            <w:tcMar>
              <w:top w:w="0" w:type="dxa"/>
              <w:left w:w="20" w:type="dxa"/>
              <w:bottom w:w="0" w:type="dxa"/>
              <w:right w:w="20" w:type="dxa"/>
            </w:tcMar>
          </w:tcPr>
          <w:p w14:paraId="5EA234E8" w14:textId="77777777" w:rsidR="003C66EB" w:rsidRDefault="003C66EB">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5EA234E9" w14:textId="77777777" w:rsidR="003C66EB" w:rsidRDefault="00D96C4E">
            <w:pPr>
              <w:jc w:val="center"/>
              <w:textAlignment w:val="bottom"/>
            </w:pPr>
            <w:r>
              <w:rPr>
                <w:rFonts w:ascii="Arial" w:eastAsia="宋体" w:hAnsi="Arial" w:cs="Arial"/>
                <w:b/>
                <w:bCs/>
                <w:color w:val="000000"/>
                <w:sz w:val="14"/>
                <w:szCs w:val="14"/>
              </w:rPr>
              <w:t>Quantitative Information about Level 3 Fair Value Measurements</w:t>
            </w:r>
          </w:p>
        </w:tc>
      </w:tr>
      <w:tr w:rsidR="003C66EB" w14:paraId="5EA234F5" w14:textId="77777777">
        <w:trPr>
          <w:jc w:val="center"/>
        </w:trPr>
        <w:tc>
          <w:tcPr>
            <w:tcW w:w="0" w:type="auto"/>
            <w:gridSpan w:val="3"/>
            <w:shd w:val="clear" w:color="auto" w:fill="auto"/>
            <w:tcMar>
              <w:top w:w="0" w:type="dxa"/>
              <w:left w:w="20" w:type="dxa"/>
              <w:bottom w:w="0" w:type="dxa"/>
              <w:right w:w="20" w:type="dxa"/>
            </w:tcMar>
          </w:tcPr>
          <w:p w14:paraId="5EA234EB"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4EC" w14:textId="77777777" w:rsidR="003C66EB" w:rsidRDefault="00D96C4E">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4E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4E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4E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4F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4F1" w14:textId="77777777" w:rsidR="003C66EB" w:rsidRDefault="003C66EB">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34F2" w14:textId="77777777" w:rsidR="003C66EB" w:rsidRDefault="00D96C4E">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tcPr>
          <w:p w14:paraId="5EA234F3"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4F4" w14:textId="77777777" w:rsidR="003C66EB" w:rsidRDefault="00D96C4E">
            <w:pPr>
              <w:jc w:val="center"/>
              <w:textAlignment w:val="bottom"/>
            </w:pPr>
            <w:r>
              <w:rPr>
                <w:rFonts w:ascii="Arial" w:eastAsia="宋体" w:hAnsi="Arial" w:cs="Arial"/>
                <w:b/>
                <w:bCs/>
                <w:color w:val="000000"/>
                <w:sz w:val="13"/>
                <w:szCs w:val="13"/>
              </w:rPr>
              <w:t>Weighted-Average</w:t>
            </w:r>
          </w:p>
        </w:tc>
      </w:tr>
      <w:tr w:rsidR="003C66EB" w14:paraId="5EA23504" w14:textId="77777777">
        <w:trPr>
          <w:jc w:val="center"/>
        </w:trPr>
        <w:tc>
          <w:tcPr>
            <w:tcW w:w="0" w:type="auto"/>
            <w:gridSpan w:val="3"/>
            <w:shd w:val="clear" w:color="auto" w:fill="auto"/>
            <w:tcMar>
              <w:top w:w="40" w:type="dxa"/>
              <w:left w:w="20" w:type="dxa"/>
              <w:bottom w:w="40" w:type="dxa"/>
              <w:right w:w="20" w:type="dxa"/>
            </w:tcMar>
            <w:vAlign w:val="bottom"/>
          </w:tcPr>
          <w:p w14:paraId="5EA234F6" w14:textId="77777777" w:rsidR="003C66EB" w:rsidRDefault="00D96C4E">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4F7" w14:textId="77777777" w:rsidR="003C66EB" w:rsidRDefault="00D96C4E">
            <w:pPr>
              <w:jc w:val="center"/>
              <w:textAlignment w:val="bottom"/>
            </w:pPr>
            <w:r>
              <w:rPr>
                <w:rFonts w:ascii="Arial" w:eastAsia="宋体" w:hAnsi="Arial" w:cs="Arial"/>
                <w:b/>
                <w:bCs/>
                <w:color w:val="000000"/>
                <w:sz w:val="12"/>
                <w:szCs w:val="12"/>
              </w:rPr>
              <w:t>As of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34F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4F9" w14:textId="77777777" w:rsidR="003C66EB" w:rsidRDefault="00D96C4E">
            <w:pPr>
              <w:jc w:val="center"/>
              <w:textAlignment w:val="bottom"/>
            </w:pPr>
            <w:r>
              <w:rPr>
                <w:rFonts w:ascii="Arial" w:eastAsia="宋体" w:hAnsi="Arial" w:cs="Arial"/>
                <w:b/>
                <w:bCs/>
                <w:color w:val="000000"/>
                <w:sz w:val="12"/>
                <w:szCs w:val="12"/>
              </w:rPr>
              <w:t>As of December 31, 2020</w:t>
            </w:r>
          </w:p>
        </w:tc>
        <w:tc>
          <w:tcPr>
            <w:tcW w:w="0" w:type="auto"/>
            <w:gridSpan w:val="3"/>
            <w:shd w:val="clear" w:color="auto" w:fill="auto"/>
            <w:tcMar>
              <w:top w:w="0" w:type="dxa"/>
              <w:left w:w="20" w:type="dxa"/>
              <w:bottom w:w="0" w:type="dxa"/>
              <w:right w:w="20" w:type="dxa"/>
            </w:tcMar>
          </w:tcPr>
          <w:p w14:paraId="5EA234F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4FB" w14:textId="77777777" w:rsidR="003C66EB" w:rsidRDefault="00D96C4E">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top w:w="0" w:type="dxa"/>
              <w:left w:w="20" w:type="dxa"/>
              <w:bottom w:w="0" w:type="dxa"/>
              <w:right w:w="20" w:type="dxa"/>
            </w:tcMar>
          </w:tcPr>
          <w:p w14:paraId="5EA234F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4FD" w14:textId="77777777" w:rsidR="003C66EB" w:rsidRDefault="00D96C4E">
            <w:pPr>
              <w:jc w:val="center"/>
              <w:textAlignment w:val="bottom"/>
            </w:pPr>
            <w:r>
              <w:rPr>
                <w:rFonts w:ascii="Arial" w:eastAsia="宋体" w:hAnsi="Arial" w:cs="Arial"/>
                <w:b/>
                <w:bCs/>
                <w:color w:val="000000"/>
                <w:sz w:val="12"/>
                <w:szCs w:val="12"/>
              </w:rPr>
              <w:t>Significant Unobservable Input</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tcPr>
          <w:p w14:paraId="5EA234FE"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4FF" w14:textId="77777777" w:rsidR="003C66EB" w:rsidRDefault="00D96C4E">
            <w:pPr>
              <w:jc w:val="center"/>
              <w:textAlignment w:val="bottom"/>
            </w:pPr>
            <w:r>
              <w:rPr>
                <w:rFonts w:ascii="Arial" w:eastAsia="宋体" w:hAnsi="Arial" w:cs="Arial"/>
                <w:b/>
                <w:bCs/>
                <w:color w:val="000000"/>
                <w:sz w:val="12"/>
                <w:szCs w:val="12"/>
              </w:rPr>
              <w:t xml:space="preserve">As of </w:t>
            </w:r>
            <w:r>
              <w:rPr>
                <w:rFonts w:ascii="Arial" w:eastAsia="宋体" w:hAnsi="Arial" w:cs="Arial"/>
                <w:b/>
                <w:bCs/>
                <w:color w:val="000000"/>
                <w:sz w:val="12"/>
                <w:szCs w:val="12"/>
              </w:rPr>
              <w:t>March 31, 2021</w:t>
            </w:r>
          </w:p>
        </w:tc>
        <w:tc>
          <w:tcPr>
            <w:tcW w:w="0" w:type="auto"/>
            <w:gridSpan w:val="3"/>
            <w:shd w:val="clear" w:color="auto" w:fill="auto"/>
            <w:tcMar>
              <w:top w:w="0" w:type="dxa"/>
              <w:left w:w="20" w:type="dxa"/>
              <w:bottom w:w="0" w:type="dxa"/>
              <w:right w:w="20" w:type="dxa"/>
            </w:tcMar>
          </w:tcPr>
          <w:p w14:paraId="5EA2350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501" w14:textId="77777777" w:rsidR="003C66EB" w:rsidRDefault="00D96C4E">
            <w:pPr>
              <w:jc w:val="center"/>
              <w:textAlignment w:val="bottom"/>
            </w:pPr>
            <w:r>
              <w:rPr>
                <w:rFonts w:ascii="Arial" w:eastAsia="宋体" w:hAnsi="Arial" w:cs="Arial"/>
                <w:b/>
                <w:bCs/>
                <w:color w:val="000000"/>
                <w:sz w:val="12"/>
                <w:szCs w:val="12"/>
              </w:rPr>
              <w:t>As of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350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503" w14:textId="77777777" w:rsidR="003C66EB" w:rsidRDefault="00D96C4E">
            <w:pPr>
              <w:jc w:val="center"/>
              <w:textAlignment w:val="bottom"/>
            </w:pPr>
            <w:r>
              <w:rPr>
                <w:rFonts w:ascii="Arial" w:eastAsia="宋体" w:hAnsi="Arial" w:cs="Arial"/>
                <w:b/>
                <w:bCs/>
                <w:color w:val="000000"/>
                <w:sz w:val="12"/>
                <w:szCs w:val="12"/>
              </w:rPr>
              <w:t>As of December 31, 2020</w:t>
            </w:r>
          </w:p>
        </w:tc>
      </w:tr>
      <w:tr w:rsidR="003C66EB" w14:paraId="5EA23515" w14:textId="77777777">
        <w:trPr>
          <w:jc w:val="center"/>
        </w:trPr>
        <w:tc>
          <w:tcPr>
            <w:tcW w:w="0" w:type="auto"/>
            <w:gridSpan w:val="3"/>
            <w:shd w:val="clear" w:color="auto" w:fill="auto"/>
            <w:tcMar>
              <w:top w:w="40" w:type="dxa"/>
              <w:left w:w="20" w:type="dxa"/>
              <w:bottom w:w="40" w:type="dxa"/>
              <w:right w:w="20" w:type="dxa"/>
            </w:tcMar>
            <w:vAlign w:val="bottom"/>
          </w:tcPr>
          <w:p w14:paraId="5EA23505" w14:textId="77777777" w:rsidR="003C66EB" w:rsidRDefault="00D96C4E">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tcPr>
          <w:p w14:paraId="5EA2350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0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508" w14:textId="77777777" w:rsidR="003C66EB" w:rsidRDefault="00D96C4E">
            <w:pPr>
              <w:textAlignment w:val="bottom"/>
            </w:pPr>
            <w:r>
              <w:rPr>
                <w:rFonts w:ascii="Arial" w:eastAsia="宋体" w:hAnsi="Arial" w:cs="Arial"/>
                <w:b/>
                <w:bCs/>
                <w:color w:val="000000"/>
                <w:sz w:val="13"/>
                <w:szCs w:val="13"/>
              </w:rPr>
              <w:t> </w:t>
            </w:r>
          </w:p>
        </w:tc>
        <w:tc>
          <w:tcPr>
            <w:tcW w:w="0" w:type="auto"/>
            <w:gridSpan w:val="3"/>
            <w:shd w:val="clear" w:color="auto" w:fill="auto"/>
            <w:tcMar>
              <w:top w:w="0" w:type="dxa"/>
              <w:left w:w="20" w:type="dxa"/>
              <w:bottom w:w="0" w:type="dxa"/>
              <w:right w:w="20" w:type="dxa"/>
            </w:tcMar>
          </w:tcPr>
          <w:p w14:paraId="5EA2350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0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0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0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0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1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14" w14:textId="77777777" w:rsidR="003C66EB" w:rsidRDefault="003C66EB">
            <w:pPr>
              <w:rPr>
                <w:rFonts w:ascii="宋体"/>
              </w:rPr>
            </w:pPr>
          </w:p>
        </w:tc>
      </w:tr>
      <w:tr w:rsidR="003C66EB" w14:paraId="5EA23526" w14:textId="77777777">
        <w:trPr>
          <w:jc w:val="center"/>
        </w:trPr>
        <w:tc>
          <w:tcPr>
            <w:tcW w:w="0" w:type="auto"/>
            <w:gridSpan w:val="3"/>
            <w:shd w:val="clear" w:color="auto" w:fill="auto"/>
            <w:tcMar>
              <w:top w:w="40" w:type="dxa"/>
              <w:left w:w="20" w:type="dxa"/>
              <w:bottom w:w="40" w:type="dxa"/>
              <w:right w:w="20" w:type="dxa"/>
            </w:tcMar>
            <w:vAlign w:val="bottom"/>
          </w:tcPr>
          <w:p w14:paraId="5EA23516" w14:textId="77777777" w:rsidR="003C66EB" w:rsidRDefault="00D96C4E">
            <w:pPr>
              <w:textAlignment w:val="bottom"/>
            </w:pPr>
            <w:r>
              <w:rPr>
                <w:rFonts w:ascii="Arial" w:eastAsia="宋体" w:hAnsi="Arial" w:cs="Arial"/>
                <w:b/>
                <w:bCs/>
                <w:color w:val="000000"/>
                <w:sz w:val="13"/>
                <w:szCs w:val="13"/>
              </w:rPr>
              <w:t>A</w:t>
            </w:r>
            <w:r>
              <w:rPr>
                <w:rFonts w:ascii="Arial" w:eastAsia="宋体" w:hAnsi="Arial" w:cs="Arial"/>
                <w:b/>
                <w:bCs/>
                <w:color w:val="000000"/>
                <w:sz w:val="13"/>
                <w:szCs w:val="13"/>
              </w:rPr>
              <w:t>ssets:</w:t>
            </w:r>
          </w:p>
        </w:tc>
        <w:tc>
          <w:tcPr>
            <w:tcW w:w="0" w:type="auto"/>
            <w:gridSpan w:val="3"/>
            <w:shd w:val="clear" w:color="auto" w:fill="auto"/>
            <w:tcMar>
              <w:top w:w="0" w:type="dxa"/>
              <w:left w:w="20" w:type="dxa"/>
              <w:bottom w:w="0" w:type="dxa"/>
              <w:right w:w="20" w:type="dxa"/>
            </w:tcMar>
          </w:tcPr>
          <w:p w14:paraId="5EA2351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1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2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2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2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25" w14:textId="77777777" w:rsidR="003C66EB" w:rsidRDefault="003C66EB">
            <w:pPr>
              <w:rPr>
                <w:rFonts w:ascii="宋体"/>
              </w:rPr>
            </w:pPr>
          </w:p>
        </w:tc>
      </w:tr>
      <w:tr w:rsidR="003C66EB" w14:paraId="5EA2353D" w14:textId="77777777">
        <w:trPr>
          <w:jc w:val="center"/>
        </w:trPr>
        <w:tc>
          <w:tcPr>
            <w:tcW w:w="0" w:type="auto"/>
            <w:gridSpan w:val="3"/>
            <w:shd w:val="clear" w:color="auto" w:fill="CCEEFF"/>
            <w:tcMar>
              <w:top w:w="40" w:type="dxa"/>
              <w:left w:w="20" w:type="dxa"/>
              <w:bottom w:w="40" w:type="dxa"/>
              <w:right w:w="20" w:type="dxa"/>
            </w:tcMar>
            <w:vAlign w:val="bottom"/>
          </w:tcPr>
          <w:p w14:paraId="5EA23527" w14:textId="77777777" w:rsidR="003C66EB" w:rsidRDefault="00D96C4E">
            <w:pPr>
              <w:textAlignment w:val="bottom"/>
            </w:pPr>
            <w:r>
              <w:rPr>
                <w:rFonts w:ascii="Arial" w:eastAsia="宋体" w:hAnsi="Arial" w:cs="Arial"/>
                <w:color w:val="000000"/>
                <w:sz w:val="13"/>
                <w:szCs w:val="13"/>
              </w:rPr>
              <w:t>Derivative Instruments, foreign exchange contracts</w:t>
            </w:r>
          </w:p>
        </w:tc>
        <w:tc>
          <w:tcPr>
            <w:tcW w:w="0" w:type="auto"/>
            <w:shd w:val="clear" w:color="auto" w:fill="CCEEFF"/>
            <w:tcMar>
              <w:top w:w="40" w:type="dxa"/>
              <w:left w:w="20" w:type="dxa"/>
              <w:bottom w:w="40" w:type="dxa"/>
              <w:right w:w="0" w:type="dxa"/>
            </w:tcMar>
            <w:vAlign w:val="bottom"/>
          </w:tcPr>
          <w:p w14:paraId="5EA23528"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3529" w14:textId="77777777" w:rsidR="003C66EB" w:rsidRDefault="00D96C4E">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52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2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52C"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352D" w14:textId="77777777" w:rsidR="003C66EB" w:rsidRDefault="00D96C4E">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5EA2352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2F"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3530" w14:textId="77777777" w:rsidR="003C66EB" w:rsidRDefault="00D96C4E">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tcPr>
          <w:p w14:paraId="5EA23531"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3532" w14:textId="77777777" w:rsidR="003C66EB" w:rsidRDefault="00D96C4E">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tcPr>
          <w:p w14:paraId="5EA23533"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3534" w14:textId="77777777" w:rsidR="003C66EB" w:rsidRDefault="00D96C4E">
            <w:pPr>
              <w:jc w:val="right"/>
              <w:textAlignment w:val="bottom"/>
            </w:pPr>
            <w:r>
              <w:rPr>
                <w:rFonts w:ascii="Arial" w:eastAsia="宋体" w:hAnsi="Arial" w:cs="Arial"/>
                <w:b/>
                <w:bCs/>
                <w:color w:val="000000"/>
                <w:sz w:val="13"/>
                <w:szCs w:val="13"/>
              </w:rPr>
              <w:t>4.2%</w:t>
            </w:r>
          </w:p>
        </w:tc>
        <w:tc>
          <w:tcPr>
            <w:tcW w:w="0" w:type="auto"/>
            <w:gridSpan w:val="3"/>
            <w:shd w:val="clear" w:color="auto" w:fill="CCEEFF"/>
            <w:tcMar>
              <w:top w:w="40" w:type="dxa"/>
              <w:left w:w="20" w:type="dxa"/>
              <w:bottom w:w="40" w:type="dxa"/>
              <w:right w:w="20" w:type="dxa"/>
            </w:tcMar>
            <w:vAlign w:val="bottom"/>
          </w:tcPr>
          <w:p w14:paraId="5EA23535" w14:textId="77777777" w:rsidR="003C66EB" w:rsidRDefault="00D96C4E">
            <w:pPr>
              <w:jc w:val="center"/>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5EA23536" w14:textId="77777777" w:rsidR="003C66EB" w:rsidRDefault="00D96C4E">
            <w:pPr>
              <w:textAlignment w:val="bottom"/>
            </w:pPr>
            <w:r>
              <w:rPr>
                <w:rFonts w:ascii="Arial" w:eastAsia="宋体" w:hAnsi="Arial" w:cs="Arial"/>
                <w:b/>
                <w:bCs/>
                <w:color w:val="000000"/>
                <w:sz w:val="13"/>
                <w:szCs w:val="13"/>
              </w:rPr>
              <w:t>17.8%</w:t>
            </w:r>
          </w:p>
        </w:tc>
        <w:tc>
          <w:tcPr>
            <w:tcW w:w="0" w:type="auto"/>
            <w:gridSpan w:val="3"/>
            <w:shd w:val="clear" w:color="auto" w:fill="CCEEFF"/>
            <w:tcMar>
              <w:top w:w="0" w:type="dxa"/>
              <w:left w:w="20" w:type="dxa"/>
              <w:bottom w:w="0" w:type="dxa"/>
              <w:right w:w="20" w:type="dxa"/>
            </w:tcMar>
          </w:tcPr>
          <w:p w14:paraId="5EA2353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538" w14:textId="77777777" w:rsidR="003C66EB" w:rsidRDefault="00D96C4E">
            <w:pPr>
              <w:jc w:val="right"/>
              <w:textAlignment w:val="bottom"/>
            </w:pPr>
            <w:r>
              <w:rPr>
                <w:rFonts w:ascii="Arial" w:eastAsia="宋体" w:hAnsi="Arial" w:cs="Arial"/>
                <w:b/>
                <w:bCs/>
                <w:color w:val="000000"/>
                <w:sz w:val="13"/>
                <w:szCs w:val="13"/>
              </w:rPr>
              <w:t>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539" w14:textId="77777777" w:rsidR="003C66EB" w:rsidRDefault="00D96C4E">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5EA2353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53B" w14:textId="77777777" w:rsidR="003C66EB" w:rsidRDefault="00D96C4E">
            <w:pPr>
              <w:jc w:val="right"/>
              <w:textAlignment w:val="bottom"/>
            </w:pPr>
            <w:r>
              <w:rPr>
                <w:rFonts w:ascii="Arial" w:eastAsia="宋体" w:hAnsi="Arial" w:cs="Arial"/>
                <w:color w:val="000000"/>
                <w:sz w:val="13"/>
                <w:szCs w:val="13"/>
              </w:rPr>
              <w:t>7.9 </w:t>
            </w:r>
          </w:p>
        </w:tc>
        <w:tc>
          <w:tcPr>
            <w:tcW w:w="0" w:type="auto"/>
            <w:shd w:val="clear" w:color="auto" w:fill="CCEEFF"/>
            <w:tcMar>
              <w:top w:w="40" w:type="dxa"/>
              <w:left w:w="0" w:type="dxa"/>
              <w:bottom w:w="40" w:type="dxa"/>
              <w:right w:w="20" w:type="dxa"/>
            </w:tcMar>
            <w:vAlign w:val="bottom"/>
          </w:tcPr>
          <w:p w14:paraId="5EA2353C" w14:textId="77777777" w:rsidR="003C66EB" w:rsidRDefault="00D96C4E">
            <w:pPr>
              <w:jc w:val="right"/>
              <w:textAlignment w:val="bottom"/>
            </w:pPr>
            <w:r>
              <w:rPr>
                <w:rFonts w:ascii="Arial" w:eastAsia="宋体" w:hAnsi="Arial" w:cs="Arial"/>
                <w:color w:val="000000"/>
                <w:sz w:val="13"/>
                <w:szCs w:val="13"/>
              </w:rPr>
              <w:t>%</w:t>
            </w:r>
          </w:p>
        </w:tc>
      </w:tr>
      <w:tr w:rsidR="003C66EB" w14:paraId="5EA23552" w14:textId="77777777">
        <w:trPr>
          <w:jc w:val="center"/>
        </w:trPr>
        <w:tc>
          <w:tcPr>
            <w:tcW w:w="0" w:type="auto"/>
            <w:gridSpan w:val="3"/>
            <w:shd w:val="clear" w:color="auto" w:fill="FFFFFF"/>
            <w:tcMar>
              <w:top w:w="40" w:type="dxa"/>
              <w:left w:w="155" w:type="dxa"/>
              <w:bottom w:w="40" w:type="dxa"/>
              <w:right w:w="20" w:type="dxa"/>
            </w:tcMar>
            <w:vAlign w:val="bottom"/>
          </w:tcPr>
          <w:p w14:paraId="5EA2353E" w14:textId="77777777" w:rsidR="003C66EB" w:rsidRDefault="00D96C4E">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353F"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540" w14:textId="77777777" w:rsidR="003C66EB" w:rsidRDefault="00D96C4E">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5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54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543"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544" w14:textId="77777777" w:rsidR="003C66EB" w:rsidRDefault="00D96C4E">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5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54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4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5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551" w14:textId="77777777" w:rsidR="003C66EB" w:rsidRDefault="003C66EB">
            <w:pPr>
              <w:rPr>
                <w:rFonts w:ascii="宋体"/>
              </w:rPr>
            </w:pPr>
          </w:p>
        </w:tc>
      </w:tr>
      <w:tr w:rsidR="003C66EB" w14:paraId="5EA23563" w14:textId="77777777">
        <w:trPr>
          <w:jc w:val="center"/>
        </w:trPr>
        <w:tc>
          <w:tcPr>
            <w:tcW w:w="0" w:type="auto"/>
            <w:gridSpan w:val="3"/>
            <w:shd w:val="clear" w:color="auto" w:fill="CCEEFF"/>
            <w:tcMar>
              <w:top w:w="40" w:type="dxa"/>
              <w:left w:w="20" w:type="dxa"/>
              <w:bottom w:w="40" w:type="dxa"/>
              <w:right w:w="20" w:type="dxa"/>
            </w:tcMar>
            <w:vAlign w:val="bottom"/>
          </w:tcPr>
          <w:p w14:paraId="5EA23553" w14:textId="77777777" w:rsidR="003C66EB" w:rsidRDefault="00D96C4E">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5EA2355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5"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55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5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6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6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62" w14:textId="77777777" w:rsidR="003C66EB" w:rsidRDefault="003C66EB">
            <w:pPr>
              <w:rPr>
                <w:rFonts w:ascii="宋体"/>
              </w:rPr>
            </w:pPr>
          </w:p>
        </w:tc>
      </w:tr>
      <w:tr w:rsidR="003C66EB" w14:paraId="5EA2357A" w14:textId="77777777">
        <w:trPr>
          <w:jc w:val="center"/>
        </w:trPr>
        <w:tc>
          <w:tcPr>
            <w:tcW w:w="0" w:type="auto"/>
            <w:gridSpan w:val="3"/>
            <w:shd w:val="clear" w:color="auto" w:fill="FFFFFF"/>
            <w:tcMar>
              <w:top w:w="40" w:type="dxa"/>
              <w:left w:w="20" w:type="dxa"/>
              <w:bottom w:w="40" w:type="dxa"/>
              <w:right w:w="20" w:type="dxa"/>
            </w:tcMar>
            <w:vAlign w:val="bottom"/>
          </w:tcPr>
          <w:p w14:paraId="5EA23564" w14:textId="77777777" w:rsidR="003C66EB" w:rsidRDefault="00D96C4E">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5EA23565"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5EA23566"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A235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568"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569"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356A" w14:textId="77777777" w:rsidR="003C66EB" w:rsidRDefault="00D96C4E">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5EA2356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56C"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356D" w14:textId="77777777" w:rsidR="003C66EB" w:rsidRDefault="00D96C4E">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tcPr>
          <w:p w14:paraId="5EA2356E"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356F" w14:textId="77777777" w:rsidR="003C66EB" w:rsidRDefault="00D96C4E">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tcPr>
          <w:p w14:paraId="5EA23570" w14:textId="77777777" w:rsidR="003C66EB" w:rsidRDefault="003C66EB">
            <w:pPr>
              <w:rPr>
                <w:rFonts w:ascii="宋体"/>
              </w:rPr>
            </w:pPr>
          </w:p>
        </w:tc>
        <w:tc>
          <w:tcPr>
            <w:tcW w:w="0" w:type="auto"/>
            <w:gridSpan w:val="3"/>
            <w:shd w:val="clear" w:color="auto" w:fill="FFFFFF"/>
            <w:tcMar>
              <w:top w:w="40" w:type="dxa"/>
              <w:left w:w="20" w:type="dxa"/>
              <w:bottom w:w="40" w:type="dxa"/>
              <w:right w:w="140" w:type="dxa"/>
            </w:tcMar>
            <w:vAlign w:val="bottom"/>
          </w:tcPr>
          <w:p w14:paraId="5EA23571" w14:textId="77777777" w:rsidR="003C66EB" w:rsidRDefault="00D96C4E">
            <w:pPr>
              <w:jc w:val="right"/>
              <w:textAlignment w:val="bottom"/>
            </w:pPr>
            <w:r>
              <w:rPr>
                <w:rFonts w:ascii="Arial" w:eastAsia="宋体" w:hAnsi="Arial" w:cs="Arial"/>
                <w:b/>
                <w:bCs/>
                <w:color w:val="000000"/>
                <w:sz w:val="13"/>
                <w:szCs w:val="13"/>
              </w:rPr>
              <w:t>4.7%</w:t>
            </w:r>
          </w:p>
        </w:tc>
        <w:tc>
          <w:tcPr>
            <w:tcW w:w="0" w:type="auto"/>
            <w:gridSpan w:val="3"/>
            <w:shd w:val="clear" w:color="auto" w:fill="FFFFFF"/>
            <w:tcMar>
              <w:top w:w="40" w:type="dxa"/>
              <w:left w:w="20" w:type="dxa"/>
              <w:bottom w:w="40" w:type="dxa"/>
              <w:right w:w="20" w:type="dxa"/>
            </w:tcMar>
            <w:vAlign w:val="bottom"/>
          </w:tcPr>
          <w:p w14:paraId="5EA23572" w14:textId="77777777" w:rsidR="003C66EB" w:rsidRDefault="00D96C4E">
            <w:pPr>
              <w:jc w:val="center"/>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5EA23573" w14:textId="77777777" w:rsidR="003C66EB" w:rsidRDefault="00D96C4E">
            <w:pPr>
              <w:textAlignment w:val="bottom"/>
            </w:pPr>
            <w:r>
              <w:rPr>
                <w:rFonts w:ascii="Arial" w:eastAsia="宋体" w:hAnsi="Arial" w:cs="Arial"/>
                <w:b/>
                <w:bCs/>
                <w:color w:val="000000"/>
                <w:sz w:val="13"/>
                <w:szCs w:val="13"/>
              </w:rPr>
              <w:t>7.4%</w:t>
            </w:r>
          </w:p>
        </w:tc>
        <w:tc>
          <w:tcPr>
            <w:tcW w:w="0" w:type="auto"/>
            <w:gridSpan w:val="3"/>
            <w:shd w:val="clear" w:color="auto" w:fill="FFFFFF"/>
            <w:tcMar>
              <w:top w:w="0" w:type="dxa"/>
              <w:left w:w="20" w:type="dxa"/>
              <w:bottom w:w="0" w:type="dxa"/>
              <w:right w:w="20" w:type="dxa"/>
            </w:tcMar>
          </w:tcPr>
          <w:p w14:paraId="5EA2357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575" w14:textId="77777777" w:rsidR="003C66EB" w:rsidRDefault="00D96C4E">
            <w:pPr>
              <w:jc w:val="right"/>
              <w:textAlignment w:val="bottom"/>
            </w:pPr>
            <w:r>
              <w:rPr>
                <w:rFonts w:ascii="Arial" w:eastAsia="宋体" w:hAnsi="Arial" w:cs="Arial"/>
                <w:b/>
                <w:bCs/>
                <w:color w:val="000000"/>
                <w:sz w:val="13"/>
                <w:szCs w:val="13"/>
              </w:rPr>
              <w:t>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576" w14:textId="77777777" w:rsidR="003C66EB" w:rsidRDefault="00D96C4E">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tcPr>
          <w:p w14:paraId="5EA2357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578" w14:textId="77777777" w:rsidR="003C66EB" w:rsidRDefault="00D96C4E">
            <w:pPr>
              <w:jc w:val="right"/>
              <w:textAlignment w:val="bottom"/>
            </w:pPr>
            <w:r>
              <w:rPr>
                <w:rFonts w:ascii="Arial" w:eastAsia="宋体" w:hAnsi="Arial" w:cs="Arial"/>
                <w:color w:val="000000"/>
                <w:sz w:val="13"/>
                <w:szCs w:val="13"/>
              </w:rPr>
              <w:t>7.7 </w:t>
            </w:r>
          </w:p>
        </w:tc>
        <w:tc>
          <w:tcPr>
            <w:tcW w:w="0" w:type="auto"/>
            <w:shd w:val="clear" w:color="auto" w:fill="FFFFFF"/>
            <w:tcMar>
              <w:top w:w="40" w:type="dxa"/>
              <w:left w:w="0" w:type="dxa"/>
              <w:bottom w:w="40" w:type="dxa"/>
              <w:right w:w="20" w:type="dxa"/>
            </w:tcMar>
            <w:vAlign w:val="bottom"/>
          </w:tcPr>
          <w:p w14:paraId="5EA23579" w14:textId="77777777" w:rsidR="003C66EB" w:rsidRDefault="00D96C4E">
            <w:pPr>
              <w:jc w:val="right"/>
              <w:textAlignment w:val="bottom"/>
            </w:pPr>
            <w:r>
              <w:rPr>
                <w:rFonts w:ascii="Arial" w:eastAsia="宋体" w:hAnsi="Arial" w:cs="Arial"/>
                <w:color w:val="000000"/>
                <w:sz w:val="13"/>
                <w:szCs w:val="13"/>
              </w:rPr>
              <w:t>%</w:t>
            </w:r>
          </w:p>
        </w:tc>
      </w:tr>
      <w:tr w:rsidR="003C66EB" w14:paraId="5EA2358F" w14:textId="77777777">
        <w:trPr>
          <w:jc w:val="center"/>
        </w:trPr>
        <w:tc>
          <w:tcPr>
            <w:tcW w:w="0" w:type="auto"/>
            <w:gridSpan w:val="3"/>
            <w:shd w:val="clear" w:color="auto" w:fill="CCEEFF"/>
            <w:tcMar>
              <w:top w:w="40" w:type="dxa"/>
              <w:left w:w="155" w:type="dxa"/>
              <w:bottom w:w="40" w:type="dxa"/>
              <w:right w:w="20" w:type="dxa"/>
            </w:tcMar>
            <w:vAlign w:val="bottom"/>
          </w:tcPr>
          <w:p w14:paraId="5EA2357B" w14:textId="77777777" w:rsidR="003C66EB" w:rsidRDefault="00D96C4E">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357C"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357D"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357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7F"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3580"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3581" w14:textId="77777777" w:rsidR="003C66EB" w:rsidRDefault="00D96C4E">
            <w:pPr>
              <w:jc w:val="right"/>
              <w:textAlignment w:val="bottom"/>
            </w:pPr>
            <w:r>
              <w:rPr>
                <w:rFonts w:ascii="Arial" w:eastAsia="宋体" w:hAnsi="Arial" w:cs="Arial"/>
                <w:color w:val="000000"/>
                <w:sz w:val="13"/>
                <w:szCs w:val="13"/>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358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8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58E" w14:textId="77777777" w:rsidR="003C66EB" w:rsidRDefault="003C66EB">
            <w:pPr>
              <w:rPr>
                <w:rFonts w:ascii="宋体"/>
              </w:rPr>
            </w:pPr>
          </w:p>
        </w:tc>
      </w:tr>
    </w:tbl>
    <w:p w14:paraId="5EA23590" w14:textId="77777777" w:rsidR="003C66EB" w:rsidRDefault="003C66E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3C66EB" w14:paraId="5EA2359D" w14:textId="77777777">
        <w:trPr>
          <w:jc w:val="center"/>
        </w:trPr>
        <w:tc>
          <w:tcPr>
            <w:tcW w:w="50" w:type="pct"/>
            <w:shd w:val="clear" w:color="auto" w:fill="auto"/>
          </w:tcPr>
          <w:p w14:paraId="5EA23591" w14:textId="77777777" w:rsidR="003C66EB" w:rsidRDefault="003C66EB">
            <w:pPr>
              <w:rPr>
                <w:rFonts w:ascii="宋体"/>
              </w:rPr>
            </w:pPr>
          </w:p>
        </w:tc>
        <w:tc>
          <w:tcPr>
            <w:tcW w:w="1348" w:type="pct"/>
            <w:shd w:val="clear" w:color="auto" w:fill="auto"/>
          </w:tcPr>
          <w:p w14:paraId="5EA23592" w14:textId="77777777" w:rsidR="003C66EB" w:rsidRDefault="003C66EB">
            <w:pPr>
              <w:rPr>
                <w:rFonts w:ascii="宋体"/>
              </w:rPr>
            </w:pPr>
          </w:p>
        </w:tc>
        <w:tc>
          <w:tcPr>
            <w:tcW w:w="5" w:type="pct"/>
            <w:shd w:val="clear" w:color="auto" w:fill="auto"/>
          </w:tcPr>
          <w:p w14:paraId="5EA23593" w14:textId="77777777" w:rsidR="003C66EB" w:rsidRDefault="003C66EB">
            <w:pPr>
              <w:rPr>
                <w:rFonts w:ascii="宋体"/>
              </w:rPr>
            </w:pPr>
          </w:p>
        </w:tc>
        <w:tc>
          <w:tcPr>
            <w:tcW w:w="50" w:type="pct"/>
            <w:shd w:val="clear" w:color="auto" w:fill="auto"/>
          </w:tcPr>
          <w:p w14:paraId="5EA23594" w14:textId="77777777" w:rsidR="003C66EB" w:rsidRDefault="003C66EB">
            <w:pPr>
              <w:rPr>
                <w:rFonts w:ascii="宋体"/>
              </w:rPr>
            </w:pPr>
          </w:p>
        </w:tc>
        <w:tc>
          <w:tcPr>
            <w:tcW w:w="668" w:type="pct"/>
            <w:shd w:val="clear" w:color="auto" w:fill="auto"/>
          </w:tcPr>
          <w:p w14:paraId="5EA23595" w14:textId="77777777" w:rsidR="003C66EB" w:rsidRDefault="003C66EB">
            <w:pPr>
              <w:rPr>
                <w:rFonts w:ascii="宋体"/>
              </w:rPr>
            </w:pPr>
          </w:p>
        </w:tc>
        <w:tc>
          <w:tcPr>
            <w:tcW w:w="5" w:type="pct"/>
            <w:shd w:val="clear" w:color="auto" w:fill="auto"/>
          </w:tcPr>
          <w:p w14:paraId="5EA23596" w14:textId="77777777" w:rsidR="003C66EB" w:rsidRDefault="003C66EB">
            <w:pPr>
              <w:rPr>
                <w:rFonts w:ascii="宋体"/>
              </w:rPr>
            </w:pPr>
          </w:p>
        </w:tc>
        <w:tc>
          <w:tcPr>
            <w:tcW w:w="50" w:type="pct"/>
            <w:shd w:val="clear" w:color="auto" w:fill="auto"/>
          </w:tcPr>
          <w:p w14:paraId="5EA23597" w14:textId="77777777" w:rsidR="003C66EB" w:rsidRDefault="003C66EB">
            <w:pPr>
              <w:rPr>
                <w:rFonts w:ascii="宋体"/>
              </w:rPr>
            </w:pPr>
          </w:p>
        </w:tc>
        <w:tc>
          <w:tcPr>
            <w:tcW w:w="909" w:type="pct"/>
            <w:shd w:val="clear" w:color="auto" w:fill="auto"/>
          </w:tcPr>
          <w:p w14:paraId="5EA23598" w14:textId="77777777" w:rsidR="003C66EB" w:rsidRDefault="003C66EB">
            <w:pPr>
              <w:rPr>
                <w:rFonts w:ascii="宋体"/>
              </w:rPr>
            </w:pPr>
          </w:p>
        </w:tc>
        <w:tc>
          <w:tcPr>
            <w:tcW w:w="5" w:type="pct"/>
            <w:shd w:val="clear" w:color="auto" w:fill="auto"/>
          </w:tcPr>
          <w:p w14:paraId="5EA23599" w14:textId="77777777" w:rsidR="003C66EB" w:rsidRDefault="003C66EB">
            <w:pPr>
              <w:rPr>
                <w:rFonts w:ascii="宋体"/>
              </w:rPr>
            </w:pPr>
          </w:p>
        </w:tc>
        <w:tc>
          <w:tcPr>
            <w:tcW w:w="50" w:type="pct"/>
            <w:shd w:val="clear" w:color="auto" w:fill="auto"/>
          </w:tcPr>
          <w:p w14:paraId="5EA2359A" w14:textId="77777777" w:rsidR="003C66EB" w:rsidRDefault="003C66EB">
            <w:pPr>
              <w:rPr>
                <w:rFonts w:ascii="宋体"/>
              </w:rPr>
            </w:pPr>
          </w:p>
        </w:tc>
        <w:tc>
          <w:tcPr>
            <w:tcW w:w="1852" w:type="pct"/>
            <w:shd w:val="clear" w:color="auto" w:fill="auto"/>
          </w:tcPr>
          <w:p w14:paraId="5EA2359B" w14:textId="77777777" w:rsidR="003C66EB" w:rsidRDefault="003C66EB">
            <w:pPr>
              <w:rPr>
                <w:rFonts w:ascii="宋体"/>
              </w:rPr>
            </w:pPr>
          </w:p>
        </w:tc>
        <w:tc>
          <w:tcPr>
            <w:tcW w:w="5" w:type="pct"/>
            <w:shd w:val="clear" w:color="auto" w:fill="auto"/>
          </w:tcPr>
          <w:p w14:paraId="5EA2359C" w14:textId="77777777" w:rsidR="003C66EB" w:rsidRDefault="003C66EB">
            <w:pPr>
              <w:rPr>
                <w:rFonts w:ascii="宋体"/>
              </w:rPr>
            </w:pPr>
          </w:p>
        </w:tc>
      </w:tr>
      <w:tr w:rsidR="003C66EB" w14:paraId="5EA235A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5EA235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9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A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A1" w14:textId="77777777" w:rsidR="003C66EB" w:rsidRDefault="003C66EB">
            <w:pPr>
              <w:rPr>
                <w:rFonts w:ascii="宋体"/>
              </w:rPr>
            </w:pPr>
          </w:p>
        </w:tc>
      </w:tr>
    </w:tbl>
    <w:p w14:paraId="5EA235A3" w14:textId="77777777" w:rsidR="003C66EB" w:rsidRDefault="00D96C4E">
      <w:pPr>
        <w:spacing w:before="20"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5EA235A4" w14:textId="77777777" w:rsidR="003C66EB" w:rsidRDefault="00D96C4E">
      <w:pPr>
        <w:spacing w:before="60"/>
      </w:pPr>
      <w:r>
        <w:rPr>
          <w:rFonts w:ascii="Arial" w:eastAsia="宋体" w:hAnsi="Arial" w:cs="Arial"/>
          <w:b/>
          <w:bCs/>
          <w:i/>
          <w:iCs/>
          <w:color w:val="000000"/>
          <w:sz w:val="20"/>
          <w:szCs w:val="20"/>
        </w:rPr>
        <w:t xml:space="preserve">Fair Value </w:t>
      </w:r>
      <w:r>
        <w:rPr>
          <w:rFonts w:ascii="Arial" w:eastAsia="宋体" w:hAnsi="Arial" w:cs="Arial"/>
          <w:b/>
          <w:bCs/>
          <w:i/>
          <w:iCs/>
          <w:color w:val="000000"/>
          <w:sz w:val="20"/>
          <w:szCs w:val="20"/>
        </w:rPr>
        <w:t>Estimates</w:t>
      </w:r>
    </w:p>
    <w:p w14:paraId="5EA235A5" w14:textId="77777777" w:rsidR="003C66EB" w:rsidRDefault="00D96C4E">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generally subjective in nature, and are determined as of a specific point in time based on the characteristics of the finan</w:t>
      </w:r>
      <w:r>
        <w:rPr>
          <w:rFonts w:ascii="Arial" w:eastAsia="宋体" w:hAnsi="Arial" w:cs="Arial"/>
          <w:color w:val="000000"/>
          <w:sz w:val="20"/>
          <w:szCs w:val="20"/>
        </w:rPr>
        <w:t xml:space="preserve">cial instruments and relevant market information. </w:t>
      </w:r>
    </w:p>
    <w:p w14:paraId="5EA235A6" w14:textId="77777777" w:rsidR="003C66EB" w:rsidRDefault="00D96C4E">
      <w:pPr>
        <w:spacing w:before="60"/>
        <w:ind w:firstLine="450"/>
        <w:jc w:val="both"/>
      </w:pPr>
      <w:r>
        <w:rPr>
          <w:rFonts w:ascii="Arial" w:eastAsia="宋体" w:hAnsi="Arial" w:cs="Arial"/>
          <w:color w:val="000000"/>
          <w:sz w:val="20"/>
          <w:szCs w:val="20"/>
        </w:rPr>
        <w:t xml:space="preserve">The following tables present the reported amounts and estimated fair values of the financial assets and liabilities not carried at fair value, as they would be categorized within the fair value hierarchy, </w:t>
      </w:r>
      <w:r>
        <w:rPr>
          <w:rFonts w:ascii="Arial" w:eastAsia="宋体" w:hAnsi="Arial" w:cs="Arial"/>
          <w:color w:val="000000"/>
          <w:sz w:val="20"/>
          <w:szCs w:val="20"/>
        </w:rPr>
        <w:t>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5"/>
        <w:gridCol w:w="2320"/>
        <w:gridCol w:w="38"/>
        <w:gridCol w:w="94"/>
        <w:gridCol w:w="726"/>
        <w:gridCol w:w="36"/>
        <w:gridCol w:w="36"/>
        <w:gridCol w:w="36"/>
        <w:gridCol w:w="36"/>
        <w:gridCol w:w="94"/>
        <w:gridCol w:w="667"/>
        <w:gridCol w:w="36"/>
        <w:gridCol w:w="36"/>
        <w:gridCol w:w="36"/>
        <w:gridCol w:w="36"/>
        <w:gridCol w:w="94"/>
        <w:gridCol w:w="1058"/>
        <w:gridCol w:w="36"/>
        <w:gridCol w:w="36"/>
        <w:gridCol w:w="36"/>
        <w:gridCol w:w="36"/>
        <w:gridCol w:w="94"/>
        <w:gridCol w:w="1117"/>
        <w:gridCol w:w="36"/>
        <w:gridCol w:w="36"/>
        <w:gridCol w:w="36"/>
        <w:gridCol w:w="36"/>
        <w:gridCol w:w="94"/>
        <w:gridCol w:w="1258"/>
        <w:gridCol w:w="36"/>
      </w:tblGrid>
      <w:tr w:rsidR="003C66EB" w14:paraId="5EA235C5" w14:textId="77777777">
        <w:tc>
          <w:tcPr>
            <w:tcW w:w="50" w:type="pct"/>
            <w:shd w:val="clear" w:color="auto" w:fill="auto"/>
          </w:tcPr>
          <w:p w14:paraId="5EA235A7" w14:textId="77777777" w:rsidR="003C66EB" w:rsidRDefault="003C66EB">
            <w:pPr>
              <w:rPr>
                <w:rFonts w:ascii="宋体"/>
              </w:rPr>
            </w:pPr>
          </w:p>
        </w:tc>
        <w:tc>
          <w:tcPr>
            <w:tcW w:w="1447" w:type="pct"/>
            <w:shd w:val="clear" w:color="auto" w:fill="auto"/>
          </w:tcPr>
          <w:p w14:paraId="5EA235A8" w14:textId="77777777" w:rsidR="003C66EB" w:rsidRDefault="003C66EB">
            <w:pPr>
              <w:rPr>
                <w:rFonts w:ascii="宋体"/>
              </w:rPr>
            </w:pPr>
          </w:p>
        </w:tc>
        <w:tc>
          <w:tcPr>
            <w:tcW w:w="5" w:type="pct"/>
            <w:shd w:val="clear" w:color="auto" w:fill="auto"/>
          </w:tcPr>
          <w:p w14:paraId="5EA235A9" w14:textId="77777777" w:rsidR="003C66EB" w:rsidRDefault="003C66EB">
            <w:pPr>
              <w:rPr>
                <w:rFonts w:ascii="宋体"/>
              </w:rPr>
            </w:pPr>
          </w:p>
        </w:tc>
        <w:tc>
          <w:tcPr>
            <w:tcW w:w="50" w:type="pct"/>
            <w:shd w:val="clear" w:color="auto" w:fill="auto"/>
          </w:tcPr>
          <w:p w14:paraId="5EA235AA" w14:textId="77777777" w:rsidR="003C66EB" w:rsidRDefault="003C66EB">
            <w:pPr>
              <w:rPr>
                <w:rFonts w:ascii="宋体"/>
              </w:rPr>
            </w:pPr>
          </w:p>
        </w:tc>
        <w:tc>
          <w:tcPr>
            <w:tcW w:w="480" w:type="pct"/>
            <w:shd w:val="clear" w:color="auto" w:fill="auto"/>
          </w:tcPr>
          <w:p w14:paraId="5EA235AB" w14:textId="77777777" w:rsidR="003C66EB" w:rsidRDefault="003C66EB">
            <w:pPr>
              <w:rPr>
                <w:rFonts w:ascii="宋体"/>
              </w:rPr>
            </w:pPr>
          </w:p>
        </w:tc>
        <w:tc>
          <w:tcPr>
            <w:tcW w:w="5" w:type="pct"/>
            <w:shd w:val="clear" w:color="auto" w:fill="auto"/>
          </w:tcPr>
          <w:p w14:paraId="5EA235AC" w14:textId="77777777" w:rsidR="003C66EB" w:rsidRDefault="003C66EB">
            <w:pPr>
              <w:rPr>
                <w:rFonts w:ascii="宋体"/>
              </w:rPr>
            </w:pPr>
          </w:p>
        </w:tc>
        <w:tc>
          <w:tcPr>
            <w:tcW w:w="5" w:type="pct"/>
            <w:shd w:val="clear" w:color="auto" w:fill="auto"/>
          </w:tcPr>
          <w:p w14:paraId="5EA235AD" w14:textId="77777777" w:rsidR="003C66EB" w:rsidRDefault="003C66EB">
            <w:pPr>
              <w:rPr>
                <w:rFonts w:ascii="宋体"/>
              </w:rPr>
            </w:pPr>
          </w:p>
        </w:tc>
        <w:tc>
          <w:tcPr>
            <w:tcW w:w="26" w:type="pct"/>
            <w:shd w:val="clear" w:color="auto" w:fill="auto"/>
          </w:tcPr>
          <w:p w14:paraId="5EA235AE" w14:textId="77777777" w:rsidR="003C66EB" w:rsidRDefault="003C66EB">
            <w:pPr>
              <w:rPr>
                <w:rFonts w:ascii="宋体"/>
              </w:rPr>
            </w:pPr>
          </w:p>
        </w:tc>
        <w:tc>
          <w:tcPr>
            <w:tcW w:w="5" w:type="pct"/>
            <w:shd w:val="clear" w:color="auto" w:fill="auto"/>
          </w:tcPr>
          <w:p w14:paraId="5EA235AF" w14:textId="77777777" w:rsidR="003C66EB" w:rsidRDefault="003C66EB">
            <w:pPr>
              <w:rPr>
                <w:rFonts w:ascii="宋体"/>
              </w:rPr>
            </w:pPr>
          </w:p>
        </w:tc>
        <w:tc>
          <w:tcPr>
            <w:tcW w:w="50" w:type="pct"/>
            <w:shd w:val="clear" w:color="auto" w:fill="auto"/>
          </w:tcPr>
          <w:p w14:paraId="5EA235B0" w14:textId="77777777" w:rsidR="003C66EB" w:rsidRDefault="003C66EB">
            <w:pPr>
              <w:rPr>
                <w:rFonts w:ascii="宋体"/>
              </w:rPr>
            </w:pPr>
          </w:p>
        </w:tc>
        <w:tc>
          <w:tcPr>
            <w:tcW w:w="472" w:type="pct"/>
            <w:shd w:val="clear" w:color="auto" w:fill="auto"/>
          </w:tcPr>
          <w:p w14:paraId="5EA235B1" w14:textId="77777777" w:rsidR="003C66EB" w:rsidRDefault="003C66EB">
            <w:pPr>
              <w:rPr>
                <w:rFonts w:ascii="宋体"/>
              </w:rPr>
            </w:pPr>
          </w:p>
        </w:tc>
        <w:tc>
          <w:tcPr>
            <w:tcW w:w="5" w:type="pct"/>
            <w:shd w:val="clear" w:color="auto" w:fill="auto"/>
          </w:tcPr>
          <w:p w14:paraId="5EA235B2" w14:textId="77777777" w:rsidR="003C66EB" w:rsidRDefault="003C66EB">
            <w:pPr>
              <w:rPr>
                <w:rFonts w:ascii="宋体"/>
              </w:rPr>
            </w:pPr>
          </w:p>
        </w:tc>
        <w:tc>
          <w:tcPr>
            <w:tcW w:w="5" w:type="pct"/>
            <w:shd w:val="clear" w:color="auto" w:fill="auto"/>
          </w:tcPr>
          <w:p w14:paraId="5EA235B3" w14:textId="77777777" w:rsidR="003C66EB" w:rsidRDefault="003C66EB">
            <w:pPr>
              <w:rPr>
                <w:rFonts w:ascii="宋体"/>
              </w:rPr>
            </w:pPr>
          </w:p>
        </w:tc>
        <w:tc>
          <w:tcPr>
            <w:tcW w:w="26" w:type="pct"/>
            <w:shd w:val="clear" w:color="auto" w:fill="auto"/>
          </w:tcPr>
          <w:p w14:paraId="5EA235B4" w14:textId="77777777" w:rsidR="003C66EB" w:rsidRDefault="003C66EB">
            <w:pPr>
              <w:rPr>
                <w:rFonts w:ascii="宋体"/>
              </w:rPr>
            </w:pPr>
          </w:p>
        </w:tc>
        <w:tc>
          <w:tcPr>
            <w:tcW w:w="5" w:type="pct"/>
            <w:shd w:val="clear" w:color="auto" w:fill="auto"/>
          </w:tcPr>
          <w:p w14:paraId="5EA235B5" w14:textId="77777777" w:rsidR="003C66EB" w:rsidRDefault="003C66EB">
            <w:pPr>
              <w:rPr>
                <w:rFonts w:ascii="宋体"/>
              </w:rPr>
            </w:pPr>
          </w:p>
        </w:tc>
        <w:tc>
          <w:tcPr>
            <w:tcW w:w="50" w:type="pct"/>
            <w:shd w:val="clear" w:color="auto" w:fill="auto"/>
          </w:tcPr>
          <w:p w14:paraId="5EA235B6" w14:textId="77777777" w:rsidR="003C66EB" w:rsidRDefault="003C66EB">
            <w:pPr>
              <w:rPr>
                <w:rFonts w:ascii="宋体"/>
              </w:rPr>
            </w:pPr>
          </w:p>
        </w:tc>
        <w:tc>
          <w:tcPr>
            <w:tcW w:w="707" w:type="pct"/>
            <w:shd w:val="clear" w:color="auto" w:fill="auto"/>
          </w:tcPr>
          <w:p w14:paraId="5EA235B7" w14:textId="77777777" w:rsidR="003C66EB" w:rsidRDefault="003C66EB">
            <w:pPr>
              <w:rPr>
                <w:rFonts w:ascii="宋体"/>
              </w:rPr>
            </w:pPr>
          </w:p>
        </w:tc>
        <w:tc>
          <w:tcPr>
            <w:tcW w:w="5" w:type="pct"/>
            <w:shd w:val="clear" w:color="auto" w:fill="auto"/>
          </w:tcPr>
          <w:p w14:paraId="5EA235B8" w14:textId="77777777" w:rsidR="003C66EB" w:rsidRDefault="003C66EB">
            <w:pPr>
              <w:rPr>
                <w:rFonts w:ascii="宋体"/>
              </w:rPr>
            </w:pPr>
          </w:p>
        </w:tc>
        <w:tc>
          <w:tcPr>
            <w:tcW w:w="5" w:type="pct"/>
            <w:shd w:val="clear" w:color="auto" w:fill="auto"/>
          </w:tcPr>
          <w:p w14:paraId="5EA235B9" w14:textId="77777777" w:rsidR="003C66EB" w:rsidRDefault="003C66EB">
            <w:pPr>
              <w:rPr>
                <w:rFonts w:ascii="宋体"/>
              </w:rPr>
            </w:pPr>
          </w:p>
        </w:tc>
        <w:tc>
          <w:tcPr>
            <w:tcW w:w="26" w:type="pct"/>
            <w:shd w:val="clear" w:color="auto" w:fill="auto"/>
          </w:tcPr>
          <w:p w14:paraId="5EA235BA" w14:textId="77777777" w:rsidR="003C66EB" w:rsidRDefault="003C66EB">
            <w:pPr>
              <w:rPr>
                <w:rFonts w:ascii="宋体"/>
              </w:rPr>
            </w:pPr>
          </w:p>
        </w:tc>
        <w:tc>
          <w:tcPr>
            <w:tcW w:w="5" w:type="pct"/>
            <w:shd w:val="clear" w:color="auto" w:fill="auto"/>
          </w:tcPr>
          <w:p w14:paraId="5EA235BB" w14:textId="77777777" w:rsidR="003C66EB" w:rsidRDefault="003C66EB">
            <w:pPr>
              <w:rPr>
                <w:rFonts w:ascii="宋体"/>
              </w:rPr>
            </w:pPr>
          </w:p>
        </w:tc>
        <w:tc>
          <w:tcPr>
            <w:tcW w:w="50" w:type="pct"/>
            <w:shd w:val="clear" w:color="auto" w:fill="auto"/>
          </w:tcPr>
          <w:p w14:paraId="5EA235BC" w14:textId="77777777" w:rsidR="003C66EB" w:rsidRDefault="003C66EB">
            <w:pPr>
              <w:rPr>
                <w:rFonts w:ascii="宋体"/>
              </w:rPr>
            </w:pPr>
          </w:p>
        </w:tc>
        <w:tc>
          <w:tcPr>
            <w:tcW w:w="707" w:type="pct"/>
            <w:shd w:val="clear" w:color="auto" w:fill="auto"/>
          </w:tcPr>
          <w:p w14:paraId="5EA235BD" w14:textId="77777777" w:rsidR="003C66EB" w:rsidRDefault="003C66EB">
            <w:pPr>
              <w:rPr>
                <w:rFonts w:ascii="宋体"/>
              </w:rPr>
            </w:pPr>
          </w:p>
        </w:tc>
        <w:tc>
          <w:tcPr>
            <w:tcW w:w="5" w:type="pct"/>
            <w:shd w:val="clear" w:color="auto" w:fill="auto"/>
          </w:tcPr>
          <w:p w14:paraId="5EA235BE" w14:textId="77777777" w:rsidR="003C66EB" w:rsidRDefault="003C66EB">
            <w:pPr>
              <w:rPr>
                <w:rFonts w:ascii="宋体"/>
              </w:rPr>
            </w:pPr>
          </w:p>
        </w:tc>
        <w:tc>
          <w:tcPr>
            <w:tcW w:w="5" w:type="pct"/>
            <w:shd w:val="clear" w:color="auto" w:fill="auto"/>
          </w:tcPr>
          <w:p w14:paraId="5EA235BF" w14:textId="77777777" w:rsidR="003C66EB" w:rsidRDefault="003C66EB">
            <w:pPr>
              <w:rPr>
                <w:rFonts w:ascii="宋体"/>
              </w:rPr>
            </w:pPr>
          </w:p>
        </w:tc>
        <w:tc>
          <w:tcPr>
            <w:tcW w:w="26" w:type="pct"/>
            <w:shd w:val="clear" w:color="auto" w:fill="auto"/>
          </w:tcPr>
          <w:p w14:paraId="5EA235C0" w14:textId="77777777" w:rsidR="003C66EB" w:rsidRDefault="003C66EB">
            <w:pPr>
              <w:rPr>
                <w:rFonts w:ascii="宋体"/>
              </w:rPr>
            </w:pPr>
          </w:p>
        </w:tc>
        <w:tc>
          <w:tcPr>
            <w:tcW w:w="5" w:type="pct"/>
            <w:shd w:val="clear" w:color="auto" w:fill="auto"/>
          </w:tcPr>
          <w:p w14:paraId="5EA235C1" w14:textId="77777777" w:rsidR="003C66EB" w:rsidRDefault="003C66EB">
            <w:pPr>
              <w:rPr>
                <w:rFonts w:ascii="宋体"/>
              </w:rPr>
            </w:pPr>
          </w:p>
        </w:tc>
        <w:tc>
          <w:tcPr>
            <w:tcW w:w="50" w:type="pct"/>
            <w:shd w:val="clear" w:color="auto" w:fill="auto"/>
          </w:tcPr>
          <w:p w14:paraId="5EA235C2" w14:textId="77777777" w:rsidR="003C66EB" w:rsidRDefault="003C66EB">
            <w:pPr>
              <w:rPr>
                <w:rFonts w:ascii="宋体"/>
              </w:rPr>
            </w:pPr>
          </w:p>
        </w:tc>
        <w:tc>
          <w:tcPr>
            <w:tcW w:w="707" w:type="pct"/>
            <w:shd w:val="clear" w:color="auto" w:fill="auto"/>
          </w:tcPr>
          <w:p w14:paraId="5EA235C3" w14:textId="77777777" w:rsidR="003C66EB" w:rsidRDefault="003C66EB">
            <w:pPr>
              <w:rPr>
                <w:rFonts w:ascii="宋体"/>
              </w:rPr>
            </w:pPr>
          </w:p>
        </w:tc>
        <w:tc>
          <w:tcPr>
            <w:tcW w:w="5" w:type="pct"/>
            <w:shd w:val="clear" w:color="auto" w:fill="auto"/>
          </w:tcPr>
          <w:p w14:paraId="5EA235C4" w14:textId="77777777" w:rsidR="003C66EB" w:rsidRDefault="003C66EB">
            <w:pPr>
              <w:rPr>
                <w:rFonts w:ascii="宋体"/>
              </w:rPr>
            </w:pPr>
          </w:p>
        </w:tc>
      </w:tr>
      <w:tr w:rsidR="003C66EB" w14:paraId="5EA235CC" w14:textId="77777777">
        <w:tc>
          <w:tcPr>
            <w:tcW w:w="0" w:type="auto"/>
            <w:gridSpan w:val="3"/>
            <w:shd w:val="clear" w:color="auto" w:fill="auto"/>
            <w:tcMar>
              <w:top w:w="40" w:type="dxa"/>
              <w:left w:w="20" w:type="dxa"/>
              <w:bottom w:w="40" w:type="dxa"/>
              <w:right w:w="20" w:type="dxa"/>
            </w:tcMar>
            <w:vAlign w:val="bottom"/>
          </w:tcPr>
          <w:p w14:paraId="5EA235C6" w14:textId="77777777" w:rsidR="003C66EB" w:rsidRDefault="00D96C4E">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tcPr>
          <w:p w14:paraId="5EA235C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CA"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235CB" w14:textId="77777777" w:rsidR="003C66EB" w:rsidRDefault="00D96C4E">
            <w:pPr>
              <w:jc w:val="center"/>
              <w:textAlignment w:val="bottom"/>
            </w:pPr>
            <w:r>
              <w:rPr>
                <w:rFonts w:ascii="Arial" w:eastAsia="宋体" w:hAnsi="Arial" w:cs="Arial"/>
                <w:b/>
                <w:bCs/>
                <w:color w:val="000000"/>
                <w:sz w:val="13"/>
                <w:szCs w:val="13"/>
              </w:rPr>
              <w:t>Fair Value Hierarchy</w:t>
            </w:r>
          </w:p>
        </w:tc>
      </w:tr>
      <w:tr w:rsidR="003C66EB" w14:paraId="5EA235D7" w14:textId="77777777">
        <w:tc>
          <w:tcPr>
            <w:tcW w:w="0" w:type="auto"/>
            <w:gridSpan w:val="3"/>
            <w:shd w:val="clear" w:color="auto" w:fill="auto"/>
            <w:tcMar>
              <w:top w:w="40" w:type="dxa"/>
              <w:left w:w="20" w:type="dxa"/>
              <w:bottom w:w="40" w:type="dxa"/>
              <w:right w:w="20" w:type="dxa"/>
            </w:tcMar>
            <w:vAlign w:val="bottom"/>
          </w:tcPr>
          <w:p w14:paraId="5EA235CD" w14:textId="77777777" w:rsidR="003C66EB" w:rsidRDefault="00D96C4E">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A235CE" w14:textId="77777777" w:rsidR="003C66EB" w:rsidRDefault="00D96C4E">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tcPr>
          <w:p w14:paraId="5EA235C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5D0" w14:textId="77777777" w:rsidR="003C66EB" w:rsidRDefault="00D96C4E">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tcPr>
          <w:p w14:paraId="5EA235D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5D2" w14:textId="77777777" w:rsidR="003C66EB" w:rsidRDefault="00D96C4E">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tcPr>
          <w:p w14:paraId="5EA235D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5D4" w14:textId="77777777" w:rsidR="003C66EB" w:rsidRDefault="00D96C4E">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tcPr>
          <w:p w14:paraId="5EA235D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5D6" w14:textId="77777777" w:rsidR="003C66EB" w:rsidRDefault="00D96C4E">
            <w:pPr>
              <w:jc w:val="center"/>
              <w:textAlignment w:val="bottom"/>
            </w:pPr>
            <w:r>
              <w:rPr>
                <w:rFonts w:ascii="Arial" w:eastAsia="宋体" w:hAnsi="Arial" w:cs="Arial"/>
                <w:b/>
                <w:bCs/>
                <w:color w:val="000000"/>
                <w:sz w:val="13"/>
                <w:szCs w:val="13"/>
              </w:rPr>
              <w:t>Pricing Methods with Significant Unobservable Market Inputs (Level 3)</w:t>
            </w:r>
          </w:p>
        </w:tc>
      </w:tr>
      <w:tr w:rsidR="003C66EB" w14:paraId="5EA235E2" w14:textId="77777777">
        <w:tc>
          <w:tcPr>
            <w:tcW w:w="0" w:type="auto"/>
            <w:gridSpan w:val="3"/>
            <w:shd w:val="clear" w:color="auto" w:fill="auto"/>
            <w:tcMar>
              <w:top w:w="40" w:type="dxa"/>
              <w:left w:w="20" w:type="dxa"/>
              <w:bottom w:w="40" w:type="dxa"/>
              <w:right w:w="20" w:type="dxa"/>
            </w:tcMar>
            <w:vAlign w:val="bottom"/>
          </w:tcPr>
          <w:p w14:paraId="5EA235D8" w14:textId="77777777" w:rsidR="003C66EB" w:rsidRDefault="00D96C4E">
            <w:pPr>
              <w:textAlignment w:val="bottom"/>
            </w:pPr>
            <w:r>
              <w:rPr>
                <w:rFonts w:ascii="Arial" w:eastAsia="宋体" w:hAnsi="Arial" w:cs="Arial"/>
                <w:b/>
                <w:bCs/>
                <w:color w:val="000000"/>
                <w:sz w:val="13"/>
                <w:szCs w:val="13"/>
              </w:rPr>
              <w:t>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35D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D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D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D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D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D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D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E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5E1" w14:textId="77777777" w:rsidR="003C66EB" w:rsidRDefault="003C66EB">
            <w:pPr>
              <w:rPr>
                <w:rFonts w:ascii="宋体"/>
              </w:rPr>
            </w:pPr>
          </w:p>
        </w:tc>
      </w:tr>
      <w:tr w:rsidR="003C66EB" w14:paraId="5EA235ED" w14:textId="77777777">
        <w:tc>
          <w:tcPr>
            <w:tcW w:w="0" w:type="auto"/>
            <w:gridSpan w:val="3"/>
            <w:shd w:val="clear" w:color="auto" w:fill="auto"/>
            <w:tcMar>
              <w:top w:w="40" w:type="dxa"/>
              <w:left w:w="20" w:type="dxa"/>
              <w:bottom w:w="40" w:type="dxa"/>
              <w:right w:w="20" w:type="dxa"/>
            </w:tcMar>
            <w:vAlign w:val="bottom"/>
          </w:tcPr>
          <w:p w14:paraId="5EA235E3" w14:textId="77777777" w:rsidR="003C66EB" w:rsidRDefault="00D96C4E">
            <w:pPr>
              <w:textAlignment w:val="bottom"/>
            </w:pPr>
            <w:r>
              <w:rPr>
                <w:rFonts w:ascii="Arial" w:eastAsia="宋体" w:hAnsi="Arial" w:cs="Arial"/>
                <w:b/>
                <w:bCs/>
                <w:color w:val="000000"/>
                <w:sz w:val="13"/>
                <w:szCs w:val="13"/>
              </w:rPr>
              <w:t>Financial Assets:</w:t>
            </w:r>
          </w:p>
        </w:tc>
        <w:tc>
          <w:tcPr>
            <w:tcW w:w="0" w:type="auto"/>
            <w:gridSpan w:val="3"/>
            <w:shd w:val="clear" w:color="auto" w:fill="FFFFFF"/>
            <w:tcMar>
              <w:top w:w="40" w:type="dxa"/>
              <w:left w:w="20" w:type="dxa"/>
              <w:bottom w:w="40" w:type="dxa"/>
              <w:right w:w="20" w:type="dxa"/>
            </w:tcMar>
            <w:vAlign w:val="bottom"/>
          </w:tcPr>
          <w:p w14:paraId="5EA235E4" w14:textId="77777777" w:rsidR="003C66EB" w:rsidRDefault="00D96C4E">
            <w:pPr>
              <w:jc w:val="right"/>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tcPr>
          <w:p w14:paraId="5EA235E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5E6" w14:textId="77777777" w:rsidR="003C66EB" w:rsidRDefault="00D96C4E">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tcPr>
          <w:p w14:paraId="5EA235E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5E8" w14:textId="77777777" w:rsidR="003C66EB" w:rsidRDefault="00D96C4E">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tcPr>
          <w:p w14:paraId="5EA235E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5EA" w14:textId="77777777" w:rsidR="003C66EB" w:rsidRDefault="00D96C4E">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tcPr>
          <w:p w14:paraId="5EA235E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5EC" w14:textId="77777777" w:rsidR="003C66EB" w:rsidRDefault="003C66EB">
            <w:pPr>
              <w:rPr>
                <w:rFonts w:ascii="宋体"/>
              </w:rPr>
            </w:pPr>
          </w:p>
        </w:tc>
      </w:tr>
      <w:tr w:rsidR="003C66EB" w14:paraId="5EA23601" w14:textId="77777777">
        <w:tc>
          <w:tcPr>
            <w:tcW w:w="0" w:type="auto"/>
            <w:gridSpan w:val="3"/>
            <w:shd w:val="clear" w:color="auto" w:fill="CCEEFF"/>
            <w:tcMar>
              <w:top w:w="40" w:type="dxa"/>
              <w:left w:w="20" w:type="dxa"/>
              <w:bottom w:w="40" w:type="dxa"/>
              <w:right w:w="20" w:type="dxa"/>
            </w:tcMar>
            <w:vAlign w:val="bottom"/>
          </w:tcPr>
          <w:p w14:paraId="5EA235EE" w14:textId="77777777" w:rsidR="003C66EB" w:rsidRDefault="00D96C4E">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5EA235EF"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35F0" w14:textId="77777777" w:rsidR="003C66EB" w:rsidRDefault="00D96C4E">
            <w:pPr>
              <w:jc w:val="right"/>
              <w:textAlignment w:val="bottom"/>
            </w:pPr>
            <w:r>
              <w:rPr>
                <w:rFonts w:ascii="Arial" w:eastAsia="宋体" w:hAnsi="Arial" w:cs="Arial"/>
                <w:b/>
                <w:bCs/>
                <w:color w:val="000000"/>
                <w:sz w:val="13"/>
                <w:szCs w:val="13"/>
              </w:rPr>
              <w:t>4,552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5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F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5F3" w14:textId="77777777" w:rsidR="003C66EB" w:rsidRDefault="00D96C4E">
            <w:pPr>
              <w:jc w:val="right"/>
              <w:textAlignment w:val="bottom"/>
            </w:pPr>
            <w:r>
              <w:rPr>
                <w:rFonts w:ascii="Arial" w:eastAsia="宋体" w:hAnsi="Arial" w:cs="Arial"/>
                <w:b/>
                <w:bCs/>
                <w:color w:val="000000"/>
                <w:sz w:val="13"/>
                <w:szCs w:val="13"/>
              </w:rPr>
              <w:t>4,552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5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F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5F6"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35F7" w14:textId="77777777" w:rsidR="003C66EB" w:rsidRDefault="00D96C4E">
            <w:pPr>
              <w:jc w:val="right"/>
              <w:textAlignment w:val="bottom"/>
            </w:pPr>
            <w:r>
              <w:rPr>
                <w:rFonts w:ascii="Arial" w:eastAsia="宋体" w:hAnsi="Arial" w:cs="Arial"/>
                <w:b/>
                <w:bCs/>
                <w:color w:val="000000"/>
                <w:sz w:val="13"/>
                <w:szCs w:val="13"/>
              </w:rPr>
              <w:t>4,552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5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F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5FA"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35FB"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5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5F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5FE"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35F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00" w14:textId="77777777" w:rsidR="003C66EB" w:rsidRDefault="003C66EB">
            <w:pPr>
              <w:jc w:val="right"/>
              <w:rPr>
                <w:rFonts w:ascii="宋体"/>
              </w:rPr>
            </w:pPr>
          </w:p>
        </w:tc>
      </w:tr>
      <w:tr w:rsidR="003C66EB" w14:paraId="5EA23611" w14:textId="77777777">
        <w:tc>
          <w:tcPr>
            <w:tcW w:w="0" w:type="auto"/>
            <w:gridSpan w:val="3"/>
            <w:shd w:val="clear" w:color="auto" w:fill="FFFFFF"/>
            <w:tcMar>
              <w:top w:w="40" w:type="dxa"/>
              <w:left w:w="20" w:type="dxa"/>
              <w:bottom w:w="40" w:type="dxa"/>
              <w:right w:w="20" w:type="dxa"/>
            </w:tcMar>
            <w:vAlign w:val="bottom"/>
          </w:tcPr>
          <w:p w14:paraId="5EA23602" w14:textId="77777777" w:rsidR="003C66EB" w:rsidRDefault="00D96C4E">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5EA23603" w14:textId="77777777" w:rsidR="003C66EB" w:rsidRDefault="00D96C4E">
            <w:pPr>
              <w:jc w:val="right"/>
              <w:textAlignment w:val="bottom"/>
            </w:pPr>
            <w:r>
              <w:rPr>
                <w:rFonts w:ascii="Arial" w:eastAsia="宋体" w:hAnsi="Arial" w:cs="Arial"/>
                <w:b/>
                <w:bCs/>
                <w:color w:val="000000"/>
                <w:sz w:val="13"/>
                <w:szCs w:val="13"/>
              </w:rPr>
              <w:t>107,554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0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0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06" w14:textId="77777777" w:rsidR="003C66EB" w:rsidRDefault="00D96C4E">
            <w:pPr>
              <w:jc w:val="right"/>
              <w:textAlignment w:val="bottom"/>
            </w:pPr>
            <w:r>
              <w:rPr>
                <w:rFonts w:ascii="Arial" w:eastAsia="宋体" w:hAnsi="Arial" w:cs="Arial"/>
                <w:b/>
                <w:bCs/>
                <w:color w:val="000000"/>
                <w:sz w:val="13"/>
                <w:szCs w:val="13"/>
              </w:rPr>
              <w:t>107,554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0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0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0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0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0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0C" w14:textId="77777777" w:rsidR="003C66EB" w:rsidRDefault="00D96C4E">
            <w:pPr>
              <w:jc w:val="right"/>
              <w:textAlignment w:val="bottom"/>
            </w:pPr>
            <w:r>
              <w:rPr>
                <w:rFonts w:ascii="Arial" w:eastAsia="宋体" w:hAnsi="Arial" w:cs="Arial"/>
                <w:b/>
                <w:bCs/>
                <w:color w:val="000000"/>
                <w:sz w:val="13"/>
                <w:szCs w:val="13"/>
              </w:rPr>
              <w:t>107,554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0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0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0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10" w14:textId="77777777" w:rsidR="003C66EB" w:rsidRDefault="003C66EB">
            <w:pPr>
              <w:jc w:val="right"/>
              <w:rPr>
                <w:rFonts w:ascii="宋体"/>
              </w:rPr>
            </w:pPr>
          </w:p>
        </w:tc>
      </w:tr>
      <w:tr w:rsidR="003C66EB" w14:paraId="5EA23621" w14:textId="77777777">
        <w:tc>
          <w:tcPr>
            <w:tcW w:w="0" w:type="auto"/>
            <w:gridSpan w:val="3"/>
            <w:shd w:val="clear" w:color="auto" w:fill="CCEEFF"/>
            <w:tcMar>
              <w:top w:w="40" w:type="dxa"/>
              <w:left w:w="20" w:type="dxa"/>
              <w:bottom w:w="40" w:type="dxa"/>
              <w:right w:w="20" w:type="dxa"/>
            </w:tcMar>
            <w:vAlign w:val="bottom"/>
          </w:tcPr>
          <w:p w14:paraId="5EA23612" w14:textId="77777777" w:rsidR="003C66EB" w:rsidRDefault="00D96C4E">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A23613" w14:textId="77777777" w:rsidR="003C66EB" w:rsidRDefault="00D96C4E">
            <w:pPr>
              <w:jc w:val="right"/>
              <w:textAlignment w:val="bottom"/>
            </w:pPr>
            <w:r>
              <w:rPr>
                <w:rFonts w:ascii="Arial" w:eastAsia="宋体" w:hAnsi="Arial" w:cs="Arial"/>
                <w:b/>
                <w:bCs/>
                <w:color w:val="000000"/>
                <w:sz w:val="13"/>
                <w:szCs w:val="13"/>
              </w:rPr>
              <w:t>5,238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1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16" w14:textId="77777777" w:rsidR="003C66EB" w:rsidRDefault="00D96C4E">
            <w:pPr>
              <w:jc w:val="right"/>
              <w:textAlignment w:val="bottom"/>
            </w:pPr>
            <w:r>
              <w:rPr>
                <w:rFonts w:ascii="Arial" w:eastAsia="宋体" w:hAnsi="Arial" w:cs="Arial"/>
                <w:b/>
                <w:bCs/>
                <w:color w:val="000000"/>
                <w:sz w:val="13"/>
                <w:szCs w:val="13"/>
              </w:rPr>
              <w:t>5,238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1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1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1C" w14:textId="77777777" w:rsidR="003C66EB" w:rsidRDefault="00D96C4E">
            <w:pPr>
              <w:jc w:val="right"/>
              <w:textAlignment w:val="bottom"/>
            </w:pPr>
            <w:r>
              <w:rPr>
                <w:rFonts w:ascii="Arial" w:eastAsia="宋体" w:hAnsi="Arial" w:cs="Arial"/>
                <w:b/>
                <w:bCs/>
                <w:color w:val="000000"/>
                <w:sz w:val="13"/>
                <w:szCs w:val="13"/>
              </w:rPr>
              <w:t>5,238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1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20" w14:textId="77777777" w:rsidR="003C66EB" w:rsidRDefault="003C66EB">
            <w:pPr>
              <w:jc w:val="right"/>
              <w:rPr>
                <w:rFonts w:ascii="宋体"/>
              </w:rPr>
            </w:pPr>
          </w:p>
        </w:tc>
      </w:tr>
      <w:tr w:rsidR="003C66EB" w14:paraId="5EA23631" w14:textId="77777777">
        <w:tc>
          <w:tcPr>
            <w:tcW w:w="0" w:type="auto"/>
            <w:gridSpan w:val="3"/>
            <w:shd w:val="clear" w:color="auto" w:fill="FFFFFF"/>
            <w:tcMar>
              <w:top w:w="40" w:type="dxa"/>
              <w:left w:w="20" w:type="dxa"/>
              <w:bottom w:w="40" w:type="dxa"/>
              <w:right w:w="20" w:type="dxa"/>
            </w:tcMar>
            <w:vAlign w:val="bottom"/>
          </w:tcPr>
          <w:p w14:paraId="5EA23622" w14:textId="77777777" w:rsidR="003C66EB" w:rsidRDefault="00D96C4E">
            <w:pPr>
              <w:textAlignment w:val="bottom"/>
            </w:pPr>
            <w:r>
              <w:rPr>
                <w:rFonts w:ascii="Arial" w:eastAsia="宋体" w:hAnsi="Arial" w:cs="Arial"/>
                <w:color w:val="000000"/>
                <w:sz w:val="13"/>
                <w:szCs w:val="13"/>
              </w:rPr>
              <w:t>HTM securities purchased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5EA23623" w14:textId="77777777" w:rsidR="003C66EB" w:rsidRDefault="00D96C4E">
            <w:pPr>
              <w:jc w:val="right"/>
              <w:textAlignment w:val="bottom"/>
            </w:pPr>
            <w:r>
              <w:rPr>
                <w:rFonts w:ascii="Arial" w:eastAsia="宋体" w:hAnsi="Arial" w:cs="Arial"/>
                <w:b/>
                <w:bCs/>
                <w:color w:val="000000"/>
                <w:sz w:val="13"/>
                <w:szCs w:val="13"/>
              </w:rPr>
              <w:t>201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2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26" w14:textId="77777777" w:rsidR="003C66EB" w:rsidRDefault="00D96C4E">
            <w:pPr>
              <w:jc w:val="right"/>
              <w:textAlignment w:val="bottom"/>
            </w:pPr>
            <w:r>
              <w:rPr>
                <w:rFonts w:ascii="Arial" w:eastAsia="宋体" w:hAnsi="Arial" w:cs="Arial"/>
                <w:b/>
                <w:bCs/>
                <w:color w:val="000000"/>
                <w:sz w:val="13"/>
                <w:szCs w:val="13"/>
              </w:rPr>
              <w:t>201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2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2C" w14:textId="77777777" w:rsidR="003C66EB" w:rsidRDefault="00D96C4E">
            <w:pPr>
              <w:jc w:val="right"/>
              <w:textAlignment w:val="bottom"/>
            </w:pPr>
            <w:r>
              <w:rPr>
                <w:rFonts w:ascii="Arial" w:eastAsia="宋体" w:hAnsi="Arial" w:cs="Arial"/>
                <w:b/>
                <w:bCs/>
                <w:color w:val="000000"/>
                <w:sz w:val="13"/>
                <w:szCs w:val="13"/>
              </w:rPr>
              <w:t>201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2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2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30" w14:textId="77777777" w:rsidR="003C66EB" w:rsidRDefault="003C66EB">
            <w:pPr>
              <w:jc w:val="right"/>
              <w:rPr>
                <w:rFonts w:ascii="宋体"/>
              </w:rPr>
            </w:pPr>
          </w:p>
        </w:tc>
      </w:tr>
      <w:tr w:rsidR="003C66EB" w14:paraId="5EA23641" w14:textId="77777777">
        <w:tc>
          <w:tcPr>
            <w:tcW w:w="0" w:type="auto"/>
            <w:gridSpan w:val="3"/>
            <w:shd w:val="clear" w:color="auto" w:fill="CCEEFF"/>
            <w:tcMar>
              <w:top w:w="40" w:type="dxa"/>
              <w:left w:w="20" w:type="dxa"/>
              <w:bottom w:w="40" w:type="dxa"/>
              <w:right w:w="20" w:type="dxa"/>
            </w:tcMar>
            <w:vAlign w:val="bottom"/>
          </w:tcPr>
          <w:p w14:paraId="5EA23632" w14:textId="77777777" w:rsidR="003C66EB" w:rsidRDefault="00D96C4E">
            <w:pPr>
              <w:textAlignment w:val="bottom"/>
            </w:pPr>
            <w:r>
              <w:rPr>
                <w:rFonts w:ascii="Arial" w:eastAsia="宋体" w:hAnsi="Arial" w:cs="Arial"/>
                <w:color w:val="000000"/>
                <w:sz w:val="13"/>
                <w:szCs w:val="13"/>
              </w:rPr>
              <w:t>Investment securities held-to-maturity</w:t>
            </w:r>
          </w:p>
        </w:tc>
        <w:tc>
          <w:tcPr>
            <w:tcW w:w="0" w:type="auto"/>
            <w:gridSpan w:val="2"/>
            <w:shd w:val="clear" w:color="auto" w:fill="CCEEFF"/>
            <w:tcMar>
              <w:top w:w="40" w:type="dxa"/>
              <w:left w:w="20" w:type="dxa"/>
              <w:bottom w:w="40" w:type="dxa"/>
              <w:right w:w="0" w:type="dxa"/>
            </w:tcMar>
            <w:vAlign w:val="bottom"/>
          </w:tcPr>
          <w:p w14:paraId="5EA23633" w14:textId="77777777" w:rsidR="003C66EB" w:rsidRDefault="00D96C4E">
            <w:pPr>
              <w:jc w:val="right"/>
              <w:textAlignment w:val="bottom"/>
            </w:pPr>
            <w:r>
              <w:rPr>
                <w:rFonts w:ascii="Arial" w:eastAsia="宋体" w:hAnsi="Arial" w:cs="Arial"/>
                <w:b/>
                <w:bCs/>
                <w:color w:val="000000"/>
                <w:sz w:val="13"/>
                <w:szCs w:val="13"/>
              </w:rPr>
              <w:t>46,261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3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36" w14:textId="77777777" w:rsidR="003C66EB" w:rsidRDefault="00D96C4E">
            <w:pPr>
              <w:jc w:val="right"/>
              <w:textAlignment w:val="bottom"/>
            </w:pPr>
            <w:r>
              <w:rPr>
                <w:rFonts w:ascii="Arial" w:eastAsia="宋体" w:hAnsi="Arial" w:cs="Arial"/>
                <w:b/>
                <w:bCs/>
                <w:color w:val="000000"/>
                <w:sz w:val="13"/>
                <w:szCs w:val="13"/>
              </w:rPr>
              <w:t>46,953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3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39" w14:textId="77777777" w:rsidR="003C66EB" w:rsidRDefault="00D96C4E">
            <w:pPr>
              <w:jc w:val="right"/>
              <w:textAlignment w:val="bottom"/>
            </w:pPr>
            <w:r>
              <w:rPr>
                <w:rFonts w:ascii="Arial" w:eastAsia="宋体" w:hAnsi="Arial" w:cs="Arial"/>
                <w:b/>
                <w:bCs/>
                <w:color w:val="000000"/>
                <w:sz w:val="13"/>
                <w:szCs w:val="13"/>
              </w:rPr>
              <w:t>5,566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3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3C" w14:textId="77777777" w:rsidR="003C66EB" w:rsidRDefault="00D96C4E">
            <w:pPr>
              <w:jc w:val="right"/>
              <w:textAlignment w:val="bottom"/>
            </w:pPr>
            <w:r>
              <w:rPr>
                <w:rFonts w:ascii="Arial" w:eastAsia="宋体" w:hAnsi="Arial" w:cs="Arial"/>
                <w:b/>
                <w:bCs/>
                <w:color w:val="000000"/>
                <w:sz w:val="13"/>
                <w:szCs w:val="13"/>
              </w:rPr>
              <w:t>41,337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3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3F" w14:textId="77777777" w:rsidR="003C66EB" w:rsidRDefault="00D96C4E">
            <w:pPr>
              <w:jc w:val="right"/>
              <w:textAlignment w:val="bottom"/>
            </w:pPr>
            <w:r>
              <w:rPr>
                <w:rFonts w:ascii="Arial" w:eastAsia="宋体" w:hAnsi="Arial" w:cs="Arial"/>
                <w:b/>
                <w:bCs/>
                <w:color w:val="000000"/>
                <w:sz w:val="13"/>
                <w:szCs w:val="13"/>
              </w:rPr>
              <w:t>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40" w14:textId="77777777" w:rsidR="003C66EB" w:rsidRDefault="003C66EB">
            <w:pPr>
              <w:jc w:val="right"/>
              <w:rPr>
                <w:rFonts w:ascii="宋体"/>
              </w:rPr>
            </w:pPr>
          </w:p>
        </w:tc>
      </w:tr>
      <w:tr w:rsidR="003C66EB" w14:paraId="5EA23651" w14:textId="77777777">
        <w:tc>
          <w:tcPr>
            <w:tcW w:w="0" w:type="auto"/>
            <w:gridSpan w:val="3"/>
            <w:shd w:val="clear" w:color="auto" w:fill="FFFFFF"/>
            <w:tcMar>
              <w:top w:w="40" w:type="dxa"/>
              <w:left w:w="20" w:type="dxa"/>
              <w:bottom w:w="40" w:type="dxa"/>
              <w:right w:w="20" w:type="dxa"/>
            </w:tcMar>
            <w:vAlign w:val="bottom"/>
          </w:tcPr>
          <w:p w14:paraId="5EA23642" w14:textId="77777777" w:rsidR="003C66EB" w:rsidRDefault="00D96C4E">
            <w:pPr>
              <w:textAlignment w:val="bottom"/>
            </w:pPr>
            <w:r>
              <w:rPr>
                <w:rFonts w:ascii="Arial" w:eastAsia="宋体" w:hAnsi="Arial" w:cs="Arial"/>
                <w:color w:val="000000"/>
                <w:sz w:val="13"/>
                <w:szCs w:val="13"/>
              </w:rPr>
              <w:t xml:space="preserve">Net loans </w:t>
            </w:r>
            <w:r>
              <w:rPr>
                <w:rFonts w:ascii="Arial" w:eastAsia="宋体" w:hAnsi="Arial" w:cs="Arial"/>
                <w:color w:val="000000"/>
                <w:sz w:val="8"/>
                <w:szCs w:val="8"/>
              </w:rPr>
              <w:t>(1)</w:t>
            </w:r>
          </w:p>
        </w:tc>
        <w:tc>
          <w:tcPr>
            <w:tcW w:w="0" w:type="auto"/>
            <w:gridSpan w:val="2"/>
            <w:shd w:val="clear" w:color="auto" w:fill="FFFFFF"/>
            <w:tcMar>
              <w:top w:w="40" w:type="dxa"/>
              <w:left w:w="20" w:type="dxa"/>
              <w:bottom w:w="40" w:type="dxa"/>
              <w:right w:w="0" w:type="dxa"/>
            </w:tcMar>
            <w:vAlign w:val="bottom"/>
          </w:tcPr>
          <w:p w14:paraId="5EA23643" w14:textId="77777777" w:rsidR="003C66EB" w:rsidRDefault="00D96C4E">
            <w:pPr>
              <w:jc w:val="right"/>
              <w:textAlignment w:val="bottom"/>
            </w:pPr>
            <w:r>
              <w:rPr>
                <w:rFonts w:ascii="Arial" w:eastAsia="宋体" w:hAnsi="Arial" w:cs="Arial"/>
                <w:b/>
                <w:bCs/>
                <w:color w:val="000000"/>
                <w:sz w:val="13"/>
                <w:szCs w:val="13"/>
              </w:rPr>
              <w:t>31,467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4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4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46" w14:textId="77777777" w:rsidR="003C66EB" w:rsidRDefault="00D96C4E">
            <w:pPr>
              <w:jc w:val="right"/>
              <w:textAlignment w:val="bottom"/>
            </w:pPr>
            <w:r>
              <w:rPr>
                <w:rFonts w:ascii="Arial" w:eastAsia="宋体" w:hAnsi="Arial" w:cs="Arial"/>
                <w:b/>
                <w:bCs/>
                <w:color w:val="000000"/>
                <w:sz w:val="13"/>
                <w:szCs w:val="13"/>
              </w:rPr>
              <w:t>31,512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4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4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4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4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4C" w14:textId="77777777" w:rsidR="003C66EB" w:rsidRDefault="00D96C4E">
            <w:pPr>
              <w:jc w:val="right"/>
              <w:textAlignment w:val="bottom"/>
            </w:pPr>
            <w:r>
              <w:rPr>
                <w:rFonts w:ascii="Arial" w:eastAsia="宋体" w:hAnsi="Arial" w:cs="Arial"/>
                <w:b/>
                <w:bCs/>
                <w:color w:val="000000"/>
                <w:sz w:val="13"/>
                <w:szCs w:val="13"/>
              </w:rPr>
              <w:t>29,340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4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4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4F" w14:textId="77777777" w:rsidR="003C66EB" w:rsidRDefault="00D96C4E">
            <w:pPr>
              <w:jc w:val="right"/>
              <w:textAlignment w:val="bottom"/>
            </w:pPr>
            <w:r>
              <w:rPr>
                <w:rFonts w:ascii="Arial" w:eastAsia="宋体" w:hAnsi="Arial" w:cs="Arial"/>
                <w:b/>
                <w:bCs/>
                <w:color w:val="000000"/>
                <w:sz w:val="13"/>
                <w:szCs w:val="13"/>
              </w:rPr>
              <w:t>2,171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50" w14:textId="77777777" w:rsidR="003C66EB" w:rsidRDefault="003C66EB">
            <w:pPr>
              <w:jc w:val="right"/>
              <w:rPr>
                <w:rFonts w:ascii="宋体"/>
              </w:rPr>
            </w:pPr>
          </w:p>
        </w:tc>
      </w:tr>
      <w:tr w:rsidR="003C66EB" w14:paraId="5EA23661" w14:textId="77777777">
        <w:tc>
          <w:tcPr>
            <w:tcW w:w="0" w:type="auto"/>
            <w:gridSpan w:val="3"/>
            <w:shd w:val="clear" w:color="auto" w:fill="CCEEFF"/>
            <w:tcMar>
              <w:top w:w="40" w:type="dxa"/>
              <w:left w:w="20" w:type="dxa"/>
              <w:bottom w:w="40" w:type="dxa"/>
              <w:right w:w="20" w:type="dxa"/>
            </w:tcMar>
            <w:vAlign w:val="bottom"/>
          </w:tcPr>
          <w:p w14:paraId="5EA23652" w14:textId="77777777" w:rsidR="003C66EB" w:rsidRDefault="00D96C4E">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CCEEFF"/>
            <w:tcMar>
              <w:top w:w="40" w:type="dxa"/>
              <w:left w:w="20" w:type="dxa"/>
              <w:bottom w:w="40" w:type="dxa"/>
              <w:right w:w="0" w:type="dxa"/>
            </w:tcMar>
            <w:vAlign w:val="bottom"/>
          </w:tcPr>
          <w:p w14:paraId="5EA23653" w14:textId="77777777" w:rsidR="003C66EB" w:rsidRDefault="00D96C4E">
            <w:pPr>
              <w:jc w:val="right"/>
              <w:textAlignment w:val="bottom"/>
            </w:pPr>
            <w:r>
              <w:rPr>
                <w:rFonts w:ascii="Arial" w:eastAsia="宋体" w:hAnsi="Arial" w:cs="Arial"/>
                <w:b/>
                <w:bCs/>
                <w:color w:val="000000"/>
                <w:sz w:val="13"/>
                <w:szCs w:val="13"/>
              </w:rPr>
              <w:t>6,757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5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56" w14:textId="77777777" w:rsidR="003C66EB" w:rsidRDefault="00D96C4E">
            <w:pPr>
              <w:jc w:val="right"/>
              <w:textAlignment w:val="bottom"/>
            </w:pPr>
            <w:r>
              <w:rPr>
                <w:rFonts w:ascii="Arial" w:eastAsia="宋体" w:hAnsi="Arial" w:cs="Arial"/>
                <w:b/>
                <w:bCs/>
                <w:color w:val="000000"/>
                <w:sz w:val="13"/>
                <w:szCs w:val="13"/>
              </w:rPr>
              <w:t>6,757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5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5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5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5C" w14:textId="77777777" w:rsidR="003C66EB" w:rsidRDefault="00D96C4E">
            <w:pPr>
              <w:jc w:val="right"/>
              <w:textAlignment w:val="bottom"/>
            </w:pPr>
            <w:r>
              <w:rPr>
                <w:rFonts w:ascii="Arial" w:eastAsia="宋体" w:hAnsi="Arial" w:cs="Arial"/>
                <w:b/>
                <w:bCs/>
                <w:color w:val="000000"/>
                <w:sz w:val="13"/>
                <w:szCs w:val="13"/>
              </w:rPr>
              <w:t>6,757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5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5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60" w14:textId="77777777" w:rsidR="003C66EB" w:rsidRDefault="003C66EB">
            <w:pPr>
              <w:jc w:val="right"/>
              <w:rPr>
                <w:rFonts w:ascii="宋体"/>
              </w:rPr>
            </w:pPr>
          </w:p>
        </w:tc>
      </w:tr>
      <w:tr w:rsidR="003C66EB" w14:paraId="5EA2366C" w14:textId="77777777">
        <w:tc>
          <w:tcPr>
            <w:tcW w:w="0" w:type="auto"/>
            <w:gridSpan w:val="3"/>
            <w:shd w:val="clear" w:color="auto" w:fill="FFFFFF"/>
            <w:tcMar>
              <w:top w:w="40" w:type="dxa"/>
              <w:left w:w="20" w:type="dxa"/>
              <w:bottom w:w="40" w:type="dxa"/>
              <w:right w:w="20" w:type="dxa"/>
            </w:tcMar>
            <w:vAlign w:val="bottom"/>
          </w:tcPr>
          <w:p w14:paraId="5EA23662" w14:textId="77777777" w:rsidR="003C66EB" w:rsidRDefault="00D96C4E">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tcPr>
          <w:p w14:paraId="5EA2366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66B" w14:textId="77777777" w:rsidR="003C66EB" w:rsidRDefault="003C66EB">
            <w:pPr>
              <w:rPr>
                <w:rFonts w:ascii="宋体"/>
              </w:rPr>
            </w:pPr>
          </w:p>
        </w:tc>
      </w:tr>
      <w:tr w:rsidR="003C66EB" w14:paraId="5EA23677" w14:textId="77777777">
        <w:tc>
          <w:tcPr>
            <w:tcW w:w="0" w:type="auto"/>
            <w:gridSpan w:val="3"/>
            <w:shd w:val="clear" w:color="auto" w:fill="CCEEFF"/>
            <w:tcMar>
              <w:top w:w="40" w:type="dxa"/>
              <w:left w:w="20" w:type="dxa"/>
              <w:bottom w:w="40" w:type="dxa"/>
              <w:right w:w="20" w:type="dxa"/>
            </w:tcMar>
            <w:vAlign w:val="bottom"/>
          </w:tcPr>
          <w:p w14:paraId="5EA2366D" w14:textId="77777777" w:rsidR="003C66EB" w:rsidRDefault="00D96C4E">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tcPr>
          <w:p w14:paraId="5EA2366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6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676" w14:textId="77777777" w:rsidR="003C66EB" w:rsidRDefault="003C66EB">
            <w:pPr>
              <w:rPr>
                <w:rFonts w:ascii="宋体"/>
              </w:rPr>
            </w:pPr>
          </w:p>
        </w:tc>
      </w:tr>
      <w:tr w:rsidR="003C66EB" w14:paraId="5EA2368C" w14:textId="77777777">
        <w:tc>
          <w:tcPr>
            <w:tcW w:w="0" w:type="auto"/>
            <w:gridSpan w:val="3"/>
            <w:shd w:val="clear" w:color="auto" w:fill="FFFFFF"/>
            <w:tcMar>
              <w:top w:w="40" w:type="dxa"/>
              <w:left w:w="20" w:type="dxa"/>
              <w:bottom w:w="40" w:type="dxa"/>
              <w:right w:w="20" w:type="dxa"/>
            </w:tcMar>
            <w:vAlign w:val="bottom"/>
          </w:tcPr>
          <w:p w14:paraId="5EA23678" w14:textId="77777777" w:rsidR="003C66EB" w:rsidRDefault="00D96C4E">
            <w:pPr>
              <w:textAlignment w:val="bottom"/>
            </w:pPr>
            <w:r>
              <w:rPr>
                <w:rFonts w:ascii="Arial" w:eastAsia="宋体" w:hAnsi="Arial" w:cs="Arial"/>
                <w:color w:val="000000"/>
                <w:sz w:val="13"/>
                <w:szCs w:val="13"/>
              </w:rPr>
              <w:t>   Non-interest-bearing</w:t>
            </w:r>
          </w:p>
        </w:tc>
        <w:tc>
          <w:tcPr>
            <w:tcW w:w="0" w:type="auto"/>
            <w:shd w:val="clear" w:color="auto" w:fill="FFFFFF"/>
            <w:tcMar>
              <w:top w:w="40" w:type="dxa"/>
              <w:left w:w="20" w:type="dxa"/>
              <w:bottom w:w="40" w:type="dxa"/>
              <w:right w:w="0" w:type="dxa"/>
            </w:tcMar>
            <w:vAlign w:val="bottom"/>
          </w:tcPr>
          <w:p w14:paraId="5EA23679"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2367A" w14:textId="77777777" w:rsidR="003C66EB" w:rsidRDefault="00D96C4E">
            <w:pPr>
              <w:jc w:val="right"/>
              <w:textAlignment w:val="bottom"/>
            </w:pPr>
            <w:r>
              <w:rPr>
                <w:rFonts w:ascii="Arial" w:eastAsia="宋体" w:hAnsi="Arial" w:cs="Arial"/>
                <w:b/>
                <w:bCs/>
                <w:color w:val="000000"/>
                <w:sz w:val="13"/>
                <w:szCs w:val="13"/>
              </w:rPr>
              <w:t>57,079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7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7C"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67D"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2367E" w14:textId="77777777" w:rsidR="003C66EB" w:rsidRDefault="00D96C4E">
            <w:pPr>
              <w:jc w:val="right"/>
              <w:textAlignment w:val="bottom"/>
            </w:pPr>
            <w:r>
              <w:rPr>
                <w:rFonts w:ascii="Arial" w:eastAsia="宋体" w:hAnsi="Arial" w:cs="Arial"/>
                <w:b/>
                <w:bCs/>
                <w:color w:val="000000"/>
                <w:sz w:val="13"/>
                <w:szCs w:val="13"/>
              </w:rPr>
              <w:t>57,079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80"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681"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23682"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84"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685"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23686" w14:textId="77777777" w:rsidR="003C66EB" w:rsidRDefault="00D96C4E">
            <w:pPr>
              <w:jc w:val="right"/>
              <w:textAlignment w:val="bottom"/>
            </w:pPr>
            <w:r>
              <w:rPr>
                <w:rFonts w:ascii="Arial" w:eastAsia="宋体" w:hAnsi="Arial" w:cs="Arial"/>
                <w:b/>
                <w:bCs/>
                <w:color w:val="000000"/>
                <w:sz w:val="13"/>
                <w:szCs w:val="13"/>
              </w:rPr>
              <w:t>57,079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88"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689"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2368A"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8B" w14:textId="77777777" w:rsidR="003C66EB" w:rsidRDefault="003C66EB">
            <w:pPr>
              <w:jc w:val="right"/>
              <w:rPr>
                <w:rFonts w:ascii="宋体"/>
              </w:rPr>
            </w:pPr>
          </w:p>
        </w:tc>
      </w:tr>
      <w:tr w:rsidR="003C66EB" w14:paraId="5EA2369C" w14:textId="77777777">
        <w:tc>
          <w:tcPr>
            <w:tcW w:w="0" w:type="auto"/>
            <w:gridSpan w:val="3"/>
            <w:shd w:val="clear" w:color="auto" w:fill="CCEEFF"/>
            <w:tcMar>
              <w:top w:w="40" w:type="dxa"/>
              <w:left w:w="20" w:type="dxa"/>
              <w:bottom w:w="40" w:type="dxa"/>
              <w:right w:w="20" w:type="dxa"/>
            </w:tcMar>
            <w:vAlign w:val="bottom"/>
          </w:tcPr>
          <w:p w14:paraId="5EA2368D" w14:textId="77777777" w:rsidR="003C66EB" w:rsidRDefault="00D96C4E">
            <w:pPr>
              <w:textAlignment w:val="bottom"/>
            </w:pPr>
            <w:r>
              <w:rPr>
                <w:rFonts w:ascii="Arial" w:eastAsia="宋体" w:hAnsi="Arial" w:cs="Arial"/>
                <w:color w:val="000000"/>
                <w:sz w:val="13"/>
                <w:szCs w:val="13"/>
              </w:rPr>
              <w:t>   Interest-bearing - U.S.</w:t>
            </w:r>
          </w:p>
        </w:tc>
        <w:tc>
          <w:tcPr>
            <w:tcW w:w="0" w:type="auto"/>
            <w:gridSpan w:val="2"/>
            <w:shd w:val="clear" w:color="auto" w:fill="CCEEFF"/>
            <w:tcMar>
              <w:top w:w="40" w:type="dxa"/>
              <w:left w:w="20" w:type="dxa"/>
              <w:bottom w:w="40" w:type="dxa"/>
              <w:right w:w="0" w:type="dxa"/>
            </w:tcMar>
            <w:vAlign w:val="bottom"/>
          </w:tcPr>
          <w:p w14:paraId="5EA2368E" w14:textId="77777777" w:rsidR="003C66EB" w:rsidRDefault="00D96C4E">
            <w:pPr>
              <w:jc w:val="right"/>
              <w:textAlignment w:val="bottom"/>
            </w:pPr>
            <w:r>
              <w:rPr>
                <w:rFonts w:ascii="Arial" w:eastAsia="宋体" w:hAnsi="Arial" w:cs="Arial"/>
                <w:b/>
                <w:bCs/>
                <w:color w:val="000000"/>
                <w:sz w:val="13"/>
                <w:szCs w:val="13"/>
              </w:rPr>
              <w:t>108,372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8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9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91" w14:textId="77777777" w:rsidR="003C66EB" w:rsidRDefault="00D96C4E">
            <w:pPr>
              <w:jc w:val="right"/>
              <w:textAlignment w:val="bottom"/>
            </w:pPr>
            <w:r>
              <w:rPr>
                <w:rFonts w:ascii="Arial" w:eastAsia="宋体" w:hAnsi="Arial" w:cs="Arial"/>
                <w:b/>
                <w:bCs/>
                <w:color w:val="000000"/>
                <w:sz w:val="13"/>
                <w:szCs w:val="13"/>
              </w:rPr>
              <w:t>108,372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9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9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94"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9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9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97" w14:textId="77777777" w:rsidR="003C66EB" w:rsidRDefault="00D96C4E">
            <w:pPr>
              <w:jc w:val="right"/>
              <w:textAlignment w:val="bottom"/>
            </w:pPr>
            <w:r>
              <w:rPr>
                <w:rFonts w:ascii="Arial" w:eastAsia="宋体" w:hAnsi="Arial" w:cs="Arial"/>
                <w:b/>
                <w:bCs/>
                <w:color w:val="000000"/>
                <w:sz w:val="13"/>
                <w:szCs w:val="13"/>
              </w:rPr>
              <w:t>108,372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9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9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9A"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9B" w14:textId="77777777" w:rsidR="003C66EB" w:rsidRDefault="003C66EB">
            <w:pPr>
              <w:jc w:val="right"/>
              <w:rPr>
                <w:rFonts w:ascii="宋体"/>
              </w:rPr>
            </w:pPr>
          </w:p>
        </w:tc>
      </w:tr>
      <w:tr w:rsidR="003C66EB" w14:paraId="5EA236AC" w14:textId="77777777">
        <w:tc>
          <w:tcPr>
            <w:tcW w:w="0" w:type="auto"/>
            <w:gridSpan w:val="3"/>
            <w:shd w:val="clear" w:color="auto" w:fill="FFFFFF"/>
            <w:tcMar>
              <w:top w:w="40" w:type="dxa"/>
              <w:left w:w="20" w:type="dxa"/>
              <w:bottom w:w="40" w:type="dxa"/>
              <w:right w:w="20" w:type="dxa"/>
            </w:tcMar>
            <w:vAlign w:val="bottom"/>
          </w:tcPr>
          <w:p w14:paraId="5EA2369D" w14:textId="77777777" w:rsidR="003C66EB" w:rsidRDefault="00D96C4E">
            <w:pPr>
              <w:textAlignment w:val="bottom"/>
            </w:pPr>
            <w:r>
              <w:rPr>
                <w:rFonts w:ascii="Arial" w:eastAsia="宋体" w:hAnsi="Arial" w:cs="Arial"/>
                <w:color w:val="000000"/>
                <w:sz w:val="13"/>
                <w:szCs w:val="13"/>
              </w:rPr>
              <w:t>   Interest-bearing - non-U.S.</w:t>
            </w:r>
          </w:p>
        </w:tc>
        <w:tc>
          <w:tcPr>
            <w:tcW w:w="0" w:type="auto"/>
            <w:gridSpan w:val="2"/>
            <w:shd w:val="clear" w:color="auto" w:fill="FFFFFF"/>
            <w:tcMar>
              <w:top w:w="40" w:type="dxa"/>
              <w:left w:w="20" w:type="dxa"/>
              <w:bottom w:w="40" w:type="dxa"/>
              <w:right w:w="0" w:type="dxa"/>
            </w:tcMar>
            <w:vAlign w:val="bottom"/>
          </w:tcPr>
          <w:p w14:paraId="5EA2369E" w14:textId="77777777" w:rsidR="003C66EB" w:rsidRDefault="00D96C4E">
            <w:pPr>
              <w:jc w:val="right"/>
              <w:textAlignment w:val="bottom"/>
            </w:pPr>
            <w:r>
              <w:rPr>
                <w:rFonts w:ascii="Arial" w:eastAsia="宋体" w:hAnsi="Arial" w:cs="Arial"/>
                <w:b/>
                <w:bCs/>
                <w:color w:val="000000"/>
                <w:sz w:val="13"/>
                <w:szCs w:val="13"/>
              </w:rPr>
              <w:t>79,442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A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A1" w14:textId="77777777" w:rsidR="003C66EB" w:rsidRDefault="00D96C4E">
            <w:pPr>
              <w:jc w:val="right"/>
              <w:textAlignment w:val="bottom"/>
            </w:pPr>
            <w:r>
              <w:rPr>
                <w:rFonts w:ascii="Arial" w:eastAsia="宋体" w:hAnsi="Arial" w:cs="Arial"/>
                <w:b/>
                <w:bCs/>
                <w:color w:val="000000"/>
                <w:sz w:val="13"/>
                <w:szCs w:val="13"/>
              </w:rPr>
              <w:t>79,442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A4"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A7" w14:textId="77777777" w:rsidR="003C66EB" w:rsidRDefault="00D96C4E">
            <w:pPr>
              <w:jc w:val="right"/>
              <w:textAlignment w:val="bottom"/>
            </w:pPr>
            <w:r>
              <w:rPr>
                <w:rFonts w:ascii="Arial" w:eastAsia="宋体" w:hAnsi="Arial" w:cs="Arial"/>
                <w:b/>
                <w:bCs/>
                <w:color w:val="000000"/>
                <w:sz w:val="13"/>
                <w:szCs w:val="13"/>
              </w:rPr>
              <w:t>79,442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AA"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AB" w14:textId="77777777" w:rsidR="003C66EB" w:rsidRDefault="003C66EB">
            <w:pPr>
              <w:jc w:val="right"/>
              <w:rPr>
                <w:rFonts w:ascii="宋体"/>
              </w:rPr>
            </w:pPr>
          </w:p>
        </w:tc>
      </w:tr>
      <w:tr w:rsidR="003C66EB" w14:paraId="5EA236BC" w14:textId="77777777">
        <w:tc>
          <w:tcPr>
            <w:tcW w:w="0" w:type="auto"/>
            <w:gridSpan w:val="3"/>
            <w:shd w:val="clear" w:color="auto" w:fill="CCEEFF"/>
            <w:tcMar>
              <w:top w:w="40" w:type="dxa"/>
              <w:left w:w="20" w:type="dxa"/>
              <w:bottom w:w="40" w:type="dxa"/>
              <w:right w:w="20" w:type="dxa"/>
            </w:tcMar>
            <w:vAlign w:val="bottom"/>
          </w:tcPr>
          <w:p w14:paraId="5EA236AD" w14:textId="77777777" w:rsidR="003C66EB" w:rsidRDefault="00D96C4E">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EA236AE" w14:textId="77777777" w:rsidR="003C66EB" w:rsidRDefault="00D96C4E">
            <w:pPr>
              <w:jc w:val="right"/>
              <w:textAlignment w:val="bottom"/>
            </w:pPr>
            <w:r>
              <w:rPr>
                <w:rFonts w:ascii="Arial" w:eastAsia="宋体" w:hAnsi="Arial" w:cs="Arial"/>
                <w:b/>
                <w:bCs/>
                <w:color w:val="000000"/>
                <w:sz w:val="13"/>
                <w:szCs w:val="13"/>
              </w:rPr>
              <w:t>587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B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B1" w14:textId="77777777" w:rsidR="003C66EB" w:rsidRDefault="00D96C4E">
            <w:pPr>
              <w:jc w:val="right"/>
              <w:textAlignment w:val="bottom"/>
            </w:pPr>
            <w:r>
              <w:rPr>
                <w:rFonts w:ascii="Arial" w:eastAsia="宋体" w:hAnsi="Arial" w:cs="Arial"/>
                <w:b/>
                <w:bCs/>
                <w:color w:val="000000"/>
                <w:sz w:val="13"/>
                <w:szCs w:val="13"/>
              </w:rPr>
              <w:t>587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B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B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B4"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B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B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B7" w14:textId="77777777" w:rsidR="003C66EB" w:rsidRDefault="00D96C4E">
            <w:pPr>
              <w:jc w:val="right"/>
              <w:textAlignment w:val="bottom"/>
            </w:pPr>
            <w:r>
              <w:rPr>
                <w:rFonts w:ascii="Arial" w:eastAsia="宋体" w:hAnsi="Arial" w:cs="Arial"/>
                <w:b/>
                <w:bCs/>
                <w:color w:val="000000"/>
                <w:sz w:val="13"/>
                <w:szCs w:val="13"/>
              </w:rPr>
              <w:t>587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B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BA"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BB" w14:textId="77777777" w:rsidR="003C66EB" w:rsidRDefault="003C66EB">
            <w:pPr>
              <w:jc w:val="right"/>
              <w:rPr>
                <w:rFonts w:ascii="宋体"/>
              </w:rPr>
            </w:pPr>
          </w:p>
        </w:tc>
      </w:tr>
      <w:tr w:rsidR="003C66EB" w14:paraId="5EA236CC" w14:textId="77777777">
        <w:tc>
          <w:tcPr>
            <w:tcW w:w="0" w:type="auto"/>
            <w:gridSpan w:val="3"/>
            <w:shd w:val="clear" w:color="auto" w:fill="FFFFFF"/>
            <w:tcMar>
              <w:top w:w="40" w:type="dxa"/>
              <w:left w:w="20" w:type="dxa"/>
              <w:bottom w:w="40" w:type="dxa"/>
              <w:right w:w="20" w:type="dxa"/>
            </w:tcMar>
            <w:vAlign w:val="bottom"/>
          </w:tcPr>
          <w:p w14:paraId="5EA236BD" w14:textId="77777777" w:rsidR="003C66EB" w:rsidRDefault="00D96C4E">
            <w:pPr>
              <w:textAlignment w:val="bottom"/>
            </w:pPr>
            <w:r>
              <w:rPr>
                <w:rFonts w:ascii="Arial" w:eastAsia="宋体" w:hAnsi="Arial" w:cs="Arial"/>
                <w:color w:val="000000"/>
                <w:sz w:val="13"/>
                <w:szCs w:val="13"/>
              </w:rPr>
              <w:t>Short-term borrowings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5EA236BE" w14:textId="77777777" w:rsidR="003C66EB" w:rsidRDefault="00D96C4E">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B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C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C1" w14:textId="77777777" w:rsidR="003C66EB" w:rsidRDefault="00D96C4E">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C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C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C4"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C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C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C7" w14:textId="77777777" w:rsidR="003C66EB" w:rsidRDefault="00D96C4E">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CA"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CB" w14:textId="77777777" w:rsidR="003C66EB" w:rsidRDefault="003C66EB">
            <w:pPr>
              <w:jc w:val="right"/>
              <w:rPr>
                <w:rFonts w:ascii="宋体"/>
              </w:rPr>
            </w:pPr>
          </w:p>
        </w:tc>
      </w:tr>
      <w:tr w:rsidR="003C66EB" w14:paraId="5EA236DC" w14:textId="77777777">
        <w:tc>
          <w:tcPr>
            <w:tcW w:w="0" w:type="auto"/>
            <w:gridSpan w:val="3"/>
            <w:shd w:val="clear" w:color="auto" w:fill="CCEEFF"/>
            <w:tcMar>
              <w:top w:w="40" w:type="dxa"/>
              <w:left w:w="20" w:type="dxa"/>
              <w:bottom w:w="40" w:type="dxa"/>
              <w:right w:w="20" w:type="dxa"/>
            </w:tcMar>
            <w:vAlign w:val="bottom"/>
          </w:tcPr>
          <w:p w14:paraId="5EA236CD" w14:textId="77777777" w:rsidR="003C66EB" w:rsidRDefault="00D96C4E">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5EA236CE" w14:textId="77777777" w:rsidR="003C66EB" w:rsidRDefault="00D96C4E">
            <w:pPr>
              <w:jc w:val="right"/>
              <w:textAlignment w:val="bottom"/>
            </w:pPr>
            <w:r>
              <w:rPr>
                <w:rFonts w:ascii="Arial" w:eastAsia="宋体" w:hAnsi="Arial" w:cs="Arial"/>
                <w:b/>
                <w:bCs/>
                <w:color w:val="000000"/>
                <w:sz w:val="13"/>
                <w:szCs w:val="13"/>
              </w:rPr>
              <w:t>642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D1" w14:textId="77777777" w:rsidR="003C66EB" w:rsidRDefault="00D96C4E">
            <w:pPr>
              <w:jc w:val="right"/>
              <w:textAlignment w:val="bottom"/>
            </w:pPr>
            <w:r>
              <w:rPr>
                <w:rFonts w:ascii="Arial" w:eastAsia="宋体" w:hAnsi="Arial" w:cs="Arial"/>
                <w:b/>
                <w:bCs/>
                <w:color w:val="000000"/>
                <w:sz w:val="13"/>
                <w:szCs w:val="13"/>
              </w:rPr>
              <w:t>642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D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D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D4"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D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D7" w14:textId="77777777" w:rsidR="003C66EB" w:rsidRDefault="00D96C4E">
            <w:pPr>
              <w:jc w:val="right"/>
              <w:textAlignment w:val="bottom"/>
            </w:pPr>
            <w:r>
              <w:rPr>
                <w:rFonts w:ascii="Arial" w:eastAsia="宋体" w:hAnsi="Arial" w:cs="Arial"/>
                <w:b/>
                <w:bCs/>
                <w:color w:val="000000"/>
                <w:sz w:val="13"/>
                <w:szCs w:val="13"/>
              </w:rPr>
              <w:t>642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D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DA"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DB" w14:textId="77777777" w:rsidR="003C66EB" w:rsidRDefault="003C66EB">
            <w:pPr>
              <w:jc w:val="right"/>
              <w:rPr>
                <w:rFonts w:ascii="宋体"/>
              </w:rPr>
            </w:pPr>
          </w:p>
        </w:tc>
      </w:tr>
      <w:tr w:rsidR="003C66EB" w14:paraId="5EA236E7" w14:textId="77777777">
        <w:trPr>
          <w:hidden/>
        </w:trPr>
        <w:tc>
          <w:tcPr>
            <w:tcW w:w="0" w:type="auto"/>
            <w:gridSpan w:val="3"/>
            <w:shd w:val="clear" w:color="auto" w:fill="auto"/>
          </w:tcPr>
          <w:p w14:paraId="5EA236DD" w14:textId="77777777" w:rsidR="003C66EB" w:rsidRDefault="003C66EB">
            <w:pPr>
              <w:rPr>
                <w:rFonts w:ascii="宋体"/>
                <w:vanish/>
              </w:rPr>
            </w:pPr>
          </w:p>
        </w:tc>
        <w:tc>
          <w:tcPr>
            <w:tcW w:w="0" w:type="auto"/>
            <w:gridSpan w:val="3"/>
            <w:shd w:val="clear" w:color="auto" w:fill="auto"/>
          </w:tcPr>
          <w:p w14:paraId="5EA236DE" w14:textId="77777777" w:rsidR="003C66EB" w:rsidRDefault="003C66EB">
            <w:pPr>
              <w:rPr>
                <w:rFonts w:ascii="宋体"/>
                <w:vanish/>
              </w:rPr>
            </w:pPr>
          </w:p>
        </w:tc>
        <w:tc>
          <w:tcPr>
            <w:tcW w:w="0" w:type="auto"/>
            <w:gridSpan w:val="3"/>
            <w:shd w:val="clear" w:color="auto" w:fill="auto"/>
          </w:tcPr>
          <w:p w14:paraId="5EA236DF" w14:textId="77777777" w:rsidR="003C66EB" w:rsidRDefault="003C66EB">
            <w:pPr>
              <w:rPr>
                <w:rFonts w:ascii="宋体"/>
                <w:vanish/>
              </w:rPr>
            </w:pPr>
          </w:p>
        </w:tc>
        <w:tc>
          <w:tcPr>
            <w:tcW w:w="0" w:type="auto"/>
            <w:gridSpan w:val="3"/>
            <w:shd w:val="clear" w:color="auto" w:fill="auto"/>
          </w:tcPr>
          <w:p w14:paraId="5EA236E0" w14:textId="77777777" w:rsidR="003C66EB" w:rsidRDefault="003C66EB">
            <w:pPr>
              <w:rPr>
                <w:rFonts w:ascii="宋体"/>
                <w:vanish/>
              </w:rPr>
            </w:pPr>
          </w:p>
        </w:tc>
        <w:tc>
          <w:tcPr>
            <w:tcW w:w="0" w:type="auto"/>
            <w:gridSpan w:val="3"/>
            <w:shd w:val="clear" w:color="auto" w:fill="auto"/>
          </w:tcPr>
          <w:p w14:paraId="5EA236E1" w14:textId="77777777" w:rsidR="003C66EB" w:rsidRDefault="003C66EB">
            <w:pPr>
              <w:rPr>
                <w:rFonts w:ascii="宋体"/>
                <w:vanish/>
              </w:rPr>
            </w:pPr>
          </w:p>
        </w:tc>
        <w:tc>
          <w:tcPr>
            <w:tcW w:w="0" w:type="auto"/>
            <w:gridSpan w:val="3"/>
            <w:shd w:val="clear" w:color="auto" w:fill="auto"/>
          </w:tcPr>
          <w:p w14:paraId="5EA236E2" w14:textId="77777777" w:rsidR="003C66EB" w:rsidRDefault="003C66EB">
            <w:pPr>
              <w:rPr>
                <w:rFonts w:ascii="宋体"/>
                <w:vanish/>
              </w:rPr>
            </w:pPr>
          </w:p>
        </w:tc>
        <w:tc>
          <w:tcPr>
            <w:tcW w:w="0" w:type="auto"/>
            <w:gridSpan w:val="3"/>
            <w:shd w:val="clear" w:color="auto" w:fill="auto"/>
          </w:tcPr>
          <w:p w14:paraId="5EA236E3" w14:textId="77777777" w:rsidR="003C66EB" w:rsidRDefault="003C66EB">
            <w:pPr>
              <w:rPr>
                <w:rFonts w:ascii="宋体"/>
                <w:vanish/>
              </w:rPr>
            </w:pPr>
          </w:p>
        </w:tc>
        <w:tc>
          <w:tcPr>
            <w:tcW w:w="0" w:type="auto"/>
            <w:gridSpan w:val="3"/>
            <w:shd w:val="clear" w:color="auto" w:fill="auto"/>
          </w:tcPr>
          <w:p w14:paraId="5EA236E4" w14:textId="77777777" w:rsidR="003C66EB" w:rsidRDefault="003C66EB">
            <w:pPr>
              <w:rPr>
                <w:rFonts w:ascii="宋体"/>
                <w:vanish/>
              </w:rPr>
            </w:pPr>
          </w:p>
        </w:tc>
        <w:tc>
          <w:tcPr>
            <w:tcW w:w="0" w:type="auto"/>
            <w:gridSpan w:val="3"/>
            <w:shd w:val="clear" w:color="auto" w:fill="auto"/>
          </w:tcPr>
          <w:p w14:paraId="5EA236E5" w14:textId="77777777" w:rsidR="003C66EB" w:rsidRDefault="003C66EB">
            <w:pPr>
              <w:rPr>
                <w:rFonts w:ascii="宋体"/>
                <w:vanish/>
              </w:rPr>
            </w:pPr>
          </w:p>
        </w:tc>
        <w:tc>
          <w:tcPr>
            <w:tcW w:w="0" w:type="auto"/>
            <w:gridSpan w:val="3"/>
            <w:shd w:val="clear" w:color="auto" w:fill="auto"/>
          </w:tcPr>
          <w:p w14:paraId="5EA236E6" w14:textId="77777777" w:rsidR="003C66EB" w:rsidRDefault="003C66EB">
            <w:pPr>
              <w:rPr>
                <w:rFonts w:ascii="宋体"/>
                <w:vanish/>
              </w:rPr>
            </w:pPr>
          </w:p>
        </w:tc>
      </w:tr>
      <w:tr w:rsidR="003C66EB" w14:paraId="5EA236F7" w14:textId="77777777">
        <w:tc>
          <w:tcPr>
            <w:tcW w:w="0" w:type="auto"/>
            <w:gridSpan w:val="3"/>
            <w:shd w:val="clear" w:color="auto" w:fill="FFFFFF"/>
            <w:tcMar>
              <w:top w:w="40" w:type="dxa"/>
              <w:left w:w="20" w:type="dxa"/>
              <w:bottom w:w="40" w:type="dxa"/>
              <w:right w:w="20" w:type="dxa"/>
            </w:tcMar>
            <w:vAlign w:val="bottom"/>
          </w:tcPr>
          <w:p w14:paraId="5EA236E8" w14:textId="77777777" w:rsidR="003C66EB" w:rsidRDefault="00D96C4E">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5EA236E9" w14:textId="77777777" w:rsidR="003C66EB" w:rsidRDefault="00D96C4E">
            <w:pPr>
              <w:jc w:val="right"/>
              <w:textAlignment w:val="bottom"/>
            </w:pPr>
            <w:r>
              <w:rPr>
                <w:rFonts w:ascii="Arial" w:eastAsia="宋体" w:hAnsi="Arial" w:cs="Arial"/>
                <w:b/>
                <w:bCs/>
                <w:color w:val="000000"/>
                <w:sz w:val="13"/>
                <w:szCs w:val="13"/>
              </w:rPr>
              <w:t>13,836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E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EC" w14:textId="77777777" w:rsidR="003C66EB" w:rsidRDefault="00D96C4E">
            <w:pPr>
              <w:jc w:val="right"/>
              <w:textAlignment w:val="bottom"/>
            </w:pPr>
            <w:r>
              <w:rPr>
                <w:rFonts w:ascii="Arial" w:eastAsia="宋体" w:hAnsi="Arial" w:cs="Arial"/>
                <w:b/>
                <w:bCs/>
                <w:color w:val="000000"/>
                <w:sz w:val="13"/>
                <w:szCs w:val="13"/>
              </w:rPr>
              <w:t>13,904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E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E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F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F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F2" w14:textId="77777777" w:rsidR="003C66EB" w:rsidRDefault="00D96C4E">
            <w:pPr>
              <w:jc w:val="right"/>
              <w:textAlignment w:val="bottom"/>
            </w:pPr>
            <w:r>
              <w:rPr>
                <w:rFonts w:ascii="Arial" w:eastAsia="宋体" w:hAnsi="Arial" w:cs="Arial"/>
                <w:b/>
                <w:bCs/>
                <w:color w:val="000000"/>
                <w:sz w:val="13"/>
                <w:szCs w:val="13"/>
              </w:rPr>
              <w:t>13,801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F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6F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6F5" w14:textId="77777777" w:rsidR="003C66EB" w:rsidRDefault="00D96C4E">
            <w:pPr>
              <w:jc w:val="right"/>
              <w:textAlignment w:val="bottom"/>
            </w:pPr>
            <w:r>
              <w:rPr>
                <w:rFonts w:ascii="Arial" w:eastAsia="宋体" w:hAnsi="Arial" w:cs="Arial"/>
                <w:b/>
                <w:bCs/>
                <w:color w:val="000000"/>
                <w:sz w:val="13"/>
                <w:szCs w:val="13"/>
              </w:rPr>
              <w:t>103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6F6" w14:textId="77777777" w:rsidR="003C66EB" w:rsidRDefault="003C66EB">
            <w:pPr>
              <w:jc w:val="right"/>
              <w:rPr>
                <w:rFonts w:ascii="宋体"/>
              </w:rPr>
            </w:pPr>
          </w:p>
        </w:tc>
      </w:tr>
      <w:tr w:rsidR="003C66EB" w14:paraId="5EA23707" w14:textId="77777777">
        <w:tc>
          <w:tcPr>
            <w:tcW w:w="0" w:type="auto"/>
            <w:gridSpan w:val="3"/>
            <w:shd w:val="clear" w:color="auto" w:fill="CCEEFF"/>
            <w:tcMar>
              <w:top w:w="40" w:type="dxa"/>
              <w:left w:w="20" w:type="dxa"/>
              <w:bottom w:w="40" w:type="dxa"/>
              <w:right w:w="20" w:type="dxa"/>
            </w:tcMar>
            <w:vAlign w:val="bottom"/>
          </w:tcPr>
          <w:p w14:paraId="5EA236F8" w14:textId="77777777" w:rsidR="003C66EB" w:rsidRDefault="00D96C4E">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A236F9" w14:textId="77777777" w:rsidR="003C66EB" w:rsidRDefault="00D96C4E">
            <w:pPr>
              <w:jc w:val="right"/>
              <w:textAlignment w:val="bottom"/>
            </w:pPr>
            <w:r>
              <w:rPr>
                <w:rFonts w:ascii="Arial" w:eastAsia="宋体" w:hAnsi="Arial" w:cs="Arial"/>
                <w:b/>
                <w:bCs/>
                <w:color w:val="000000"/>
                <w:sz w:val="13"/>
                <w:szCs w:val="13"/>
              </w:rPr>
              <w:t>6,757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F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F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FC" w14:textId="77777777" w:rsidR="003C66EB" w:rsidRDefault="00D96C4E">
            <w:pPr>
              <w:jc w:val="right"/>
              <w:textAlignment w:val="bottom"/>
            </w:pPr>
            <w:r>
              <w:rPr>
                <w:rFonts w:ascii="Arial" w:eastAsia="宋体" w:hAnsi="Arial" w:cs="Arial"/>
                <w:b/>
                <w:bCs/>
                <w:color w:val="000000"/>
                <w:sz w:val="13"/>
                <w:szCs w:val="13"/>
              </w:rPr>
              <w:t>6,757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6F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6F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6F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0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0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02" w14:textId="77777777" w:rsidR="003C66EB" w:rsidRDefault="00D96C4E">
            <w:pPr>
              <w:jc w:val="right"/>
              <w:textAlignment w:val="bottom"/>
            </w:pPr>
            <w:r>
              <w:rPr>
                <w:rFonts w:ascii="Arial" w:eastAsia="宋体" w:hAnsi="Arial" w:cs="Arial"/>
                <w:b/>
                <w:bCs/>
                <w:color w:val="000000"/>
                <w:sz w:val="13"/>
                <w:szCs w:val="13"/>
              </w:rPr>
              <w:t>6,757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0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0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05"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06" w14:textId="77777777" w:rsidR="003C66EB" w:rsidRDefault="003C66EB">
            <w:pPr>
              <w:jc w:val="right"/>
              <w:rPr>
                <w:rFonts w:ascii="宋体"/>
              </w:rPr>
            </w:pPr>
          </w:p>
        </w:tc>
      </w:tr>
    </w:tbl>
    <w:p w14:paraId="5EA23708"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3C66EB" w14:paraId="5EA23715" w14:textId="77777777">
        <w:tc>
          <w:tcPr>
            <w:tcW w:w="50" w:type="pct"/>
            <w:shd w:val="clear" w:color="auto" w:fill="auto"/>
          </w:tcPr>
          <w:p w14:paraId="5EA23709" w14:textId="77777777" w:rsidR="003C66EB" w:rsidRDefault="003C66EB">
            <w:pPr>
              <w:rPr>
                <w:rFonts w:ascii="宋体"/>
              </w:rPr>
            </w:pPr>
          </w:p>
        </w:tc>
        <w:tc>
          <w:tcPr>
            <w:tcW w:w="1348" w:type="pct"/>
            <w:shd w:val="clear" w:color="auto" w:fill="auto"/>
          </w:tcPr>
          <w:p w14:paraId="5EA2370A" w14:textId="77777777" w:rsidR="003C66EB" w:rsidRDefault="003C66EB">
            <w:pPr>
              <w:rPr>
                <w:rFonts w:ascii="宋体"/>
              </w:rPr>
            </w:pPr>
          </w:p>
        </w:tc>
        <w:tc>
          <w:tcPr>
            <w:tcW w:w="5" w:type="pct"/>
            <w:shd w:val="clear" w:color="auto" w:fill="auto"/>
          </w:tcPr>
          <w:p w14:paraId="5EA2370B" w14:textId="77777777" w:rsidR="003C66EB" w:rsidRDefault="003C66EB">
            <w:pPr>
              <w:rPr>
                <w:rFonts w:ascii="宋体"/>
              </w:rPr>
            </w:pPr>
          </w:p>
        </w:tc>
        <w:tc>
          <w:tcPr>
            <w:tcW w:w="50" w:type="pct"/>
            <w:shd w:val="clear" w:color="auto" w:fill="auto"/>
          </w:tcPr>
          <w:p w14:paraId="5EA2370C" w14:textId="77777777" w:rsidR="003C66EB" w:rsidRDefault="003C66EB">
            <w:pPr>
              <w:rPr>
                <w:rFonts w:ascii="宋体"/>
              </w:rPr>
            </w:pPr>
          </w:p>
        </w:tc>
        <w:tc>
          <w:tcPr>
            <w:tcW w:w="968" w:type="pct"/>
            <w:shd w:val="clear" w:color="auto" w:fill="auto"/>
          </w:tcPr>
          <w:p w14:paraId="5EA2370D" w14:textId="77777777" w:rsidR="003C66EB" w:rsidRDefault="003C66EB">
            <w:pPr>
              <w:rPr>
                <w:rFonts w:ascii="宋体"/>
              </w:rPr>
            </w:pPr>
          </w:p>
        </w:tc>
        <w:tc>
          <w:tcPr>
            <w:tcW w:w="5" w:type="pct"/>
            <w:shd w:val="clear" w:color="auto" w:fill="auto"/>
          </w:tcPr>
          <w:p w14:paraId="5EA2370E" w14:textId="77777777" w:rsidR="003C66EB" w:rsidRDefault="003C66EB">
            <w:pPr>
              <w:rPr>
                <w:rFonts w:ascii="宋体"/>
              </w:rPr>
            </w:pPr>
          </w:p>
        </w:tc>
        <w:tc>
          <w:tcPr>
            <w:tcW w:w="50" w:type="pct"/>
            <w:shd w:val="clear" w:color="auto" w:fill="auto"/>
          </w:tcPr>
          <w:p w14:paraId="5EA2370F" w14:textId="77777777" w:rsidR="003C66EB" w:rsidRDefault="003C66EB">
            <w:pPr>
              <w:rPr>
                <w:rFonts w:ascii="宋体"/>
              </w:rPr>
            </w:pPr>
          </w:p>
        </w:tc>
        <w:tc>
          <w:tcPr>
            <w:tcW w:w="858" w:type="pct"/>
            <w:shd w:val="clear" w:color="auto" w:fill="auto"/>
          </w:tcPr>
          <w:p w14:paraId="5EA23710" w14:textId="77777777" w:rsidR="003C66EB" w:rsidRDefault="003C66EB">
            <w:pPr>
              <w:rPr>
                <w:rFonts w:ascii="宋体"/>
              </w:rPr>
            </w:pPr>
          </w:p>
        </w:tc>
        <w:tc>
          <w:tcPr>
            <w:tcW w:w="5" w:type="pct"/>
            <w:shd w:val="clear" w:color="auto" w:fill="auto"/>
          </w:tcPr>
          <w:p w14:paraId="5EA23711" w14:textId="77777777" w:rsidR="003C66EB" w:rsidRDefault="003C66EB">
            <w:pPr>
              <w:rPr>
                <w:rFonts w:ascii="宋体"/>
              </w:rPr>
            </w:pPr>
          </w:p>
        </w:tc>
        <w:tc>
          <w:tcPr>
            <w:tcW w:w="50" w:type="pct"/>
            <w:shd w:val="clear" w:color="auto" w:fill="auto"/>
          </w:tcPr>
          <w:p w14:paraId="5EA23712" w14:textId="77777777" w:rsidR="003C66EB" w:rsidRDefault="003C66EB">
            <w:pPr>
              <w:rPr>
                <w:rFonts w:ascii="宋体"/>
              </w:rPr>
            </w:pPr>
          </w:p>
        </w:tc>
        <w:tc>
          <w:tcPr>
            <w:tcW w:w="1604" w:type="pct"/>
            <w:shd w:val="clear" w:color="auto" w:fill="auto"/>
          </w:tcPr>
          <w:p w14:paraId="5EA23713" w14:textId="77777777" w:rsidR="003C66EB" w:rsidRDefault="003C66EB">
            <w:pPr>
              <w:rPr>
                <w:rFonts w:ascii="宋体"/>
              </w:rPr>
            </w:pPr>
          </w:p>
        </w:tc>
        <w:tc>
          <w:tcPr>
            <w:tcW w:w="5" w:type="pct"/>
            <w:shd w:val="clear" w:color="auto" w:fill="auto"/>
          </w:tcPr>
          <w:p w14:paraId="5EA23714" w14:textId="77777777" w:rsidR="003C66EB" w:rsidRDefault="003C66EB">
            <w:pPr>
              <w:rPr>
                <w:rFonts w:ascii="宋体"/>
              </w:rPr>
            </w:pPr>
          </w:p>
        </w:tc>
      </w:tr>
      <w:tr w:rsidR="003C66EB" w14:paraId="5EA2371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371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1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1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19" w14:textId="77777777" w:rsidR="003C66EB" w:rsidRDefault="003C66EB">
            <w:pPr>
              <w:rPr>
                <w:rFonts w:ascii="宋体"/>
              </w:rPr>
            </w:pPr>
          </w:p>
        </w:tc>
      </w:tr>
    </w:tbl>
    <w:p w14:paraId="5EA2371B" w14:textId="77777777" w:rsidR="003C66EB" w:rsidRDefault="00D96C4E">
      <w:r>
        <w:rPr>
          <w:rFonts w:ascii="Arial" w:eastAsia="宋体" w:hAnsi="Arial" w:cs="Arial"/>
          <w:color w:val="000000"/>
          <w:sz w:val="7"/>
          <w:szCs w:val="7"/>
        </w:rPr>
        <w:t>(1)</w:t>
      </w:r>
      <w:r>
        <w:rPr>
          <w:rFonts w:ascii="Arial" w:eastAsia="宋体" w:hAnsi="Arial" w:cs="Arial"/>
          <w:color w:val="000000"/>
          <w:sz w:val="12"/>
          <w:szCs w:val="12"/>
        </w:rPr>
        <w:t xml:space="preserve"> Includes $7 million of loans classified as held-for-sale that were measured at fair value in level 2 as of March 31, 2021.</w:t>
      </w:r>
    </w:p>
    <w:p w14:paraId="5EA2371C" w14:textId="77777777" w:rsidR="003C66EB" w:rsidRDefault="00D96C4E">
      <w:pPr>
        <w:spacing w:before="90"/>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a portion of underlying client assets related to our enhanced custody business, which clients have allowed us to </w:t>
      </w:r>
      <w:r>
        <w:rPr>
          <w:rFonts w:ascii="Arial" w:eastAsia="宋体" w:hAnsi="Arial" w:cs="Arial"/>
          <w:color w:val="000000"/>
          <w:sz w:val="12"/>
          <w:szCs w:val="12"/>
        </w:rPr>
        <w:t>transfer and re-pledge.</w:t>
      </w:r>
    </w:p>
    <w:p w14:paraId="5EA2371D" w14:textId="77777777" w:rsidR="003C66EB" w:rsidRDefault="00D96C4E">
      <w:pPr>
        <w:ind w:firstLine="450"/>
        <w:jc w:val="right"/>
      </w:pPr>
      <w:r>
        <w:rPr>
          <w:rFonts w:ascii="Arial" w:eastAsia="宋体" w:hAnsi="Arial" w:cs="Arial"/>
          <w:color w:val="000000"/>
          <w:sz w:val="18"/>
          <w:szCs w:val="18"/>
        </w:rPr>
        <w:t>State Street Corporation | 57</w:t>
      </w:r>
    </w:p>
    <w:p w14:paraId="5EA2371E" w14:textId="77777777" w:rsidR="003C66EB" w:rsidRDefault="003C66EB">
      <w:pPr>
        <w:ind w:firstLine="450"/>
        <w:jc w:val="center"/>
      </w:pPr>
    </w:p>
    <w:p w14:paraId="5EA2371F" w14:textId="77777777" w:rsidR="003C66EB" w:rsidRDefault="00D96C4E">
      <w:r>
        <w:pict w14:anchorId="5EA287E9">
          <v:rect id="_x0000_i1081" style="width:415.3pt;height:1.5pt" o:hralign="center" o:hrstd="t" o:hr="t" fillcolor="#a0a0a0" stroked="f"/>
        </w:pict>
      </w:r>
    </w:p>
    <w:p w14:paraId="5EA23720" w14:textId="77777777" w:rsidR="003C66EB" w:rsidRDefault="00D96C4E">
      <w:pPr>
        <w:ind w:firstLine="450"/>
        <w:jc w:val="center"/>
      </w:pPr>
      <w:r>
        <w:rPr>
          <w:rFonts w:ascii="Arial" w:eastAsia="宋体" w:hAnsi="Arial" w:cs="Arial"/>
          <w:b/>
          <w:bCs/>
          <w:color w:val="000000"/>
          <w:sz w:val="20"/>
          <w:szCs w:val="20"/>
        </w:rPr>
        <w:t>STATE STREET CORPORATION</w:t>
      </w:r>
    </w:p>
    <w:p w14:paraId="5EA23721"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3722" w14:textId="77777777" w:rsidR="003C66EB" w:rsidRDefault="00D96C4E">
      <w:pPr>
        <w:ind w:firstLine="450"/>
        <w:jc w:val="center"/>
      </w:pPr>
      <w:r>
        <w:rPr>
          <w:rFonts w:ascii="Arial" w:eastAsia="宋体" w:hAnsi="Arial" w:cs="Arial"/>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1"/>
        <w:gridCol w:w="2324"/>
        <w:gridCol w:w="39"/>
        <w:gridCol w:w="94"/>
        <w:gridCol w:w="726"/>
        <w:gridCol w:w="36"/>
        <w:gridCol w:w="36"/>
        <w:gridCol w:w="36"/>
        <w:gridCol w:w="36"/>
        <w:gridCol w:w="94"/>
        <w:gridCol w:w="666"/>
        <w:gridCol w:w="36"/>
        <w:gridCol w:w="36"/>
        <w:gridCol w:w="36"/>
        <w:gridCol w:w="36"/>
        <w:gridCol w:w="94"/>
        <w:gridCol w:w="1058"/>
        <w:gridCol w:w="36"/>
        <w:gridCol w:w="36"/>
        <w:gridCol w:w="36"/>
        <w:gridCol w:w="36"/>
        <w:gridCol w:w="94"/>
        <w:gridCol w:w="1117"/>
        <w:gridCol w:w="36"/>
        <w:gridCol w:w="36"/>
        <w:gridCol w:w="36"/>
        <w:gridCol w:w="36"/>
        <w:gridCol w:w="94"/>
        <w:gridCol w:w="1258"/>
        <w:gridCol w:w="36"/>
      </w:tblGrid>
      <w:tr w:rsidR="003C66EB" w14:paraId="5EA23741" w14:textId="77777777">
        <w:tc>
          <w:tcPr>
            <w:tcW w:w="50" w:type="pct"/>
            <w:shd w:val="clear" w:color="auto" w:fill="auto"/>
          </w:tcPr>
          <w:p w14:paraId="5EA23723" w14:textId="77777777" w:rsidR="003C66EB" w:rsidRDefault="003C66EB">
            <w:pPr>
              <w:rPr>
                <w:rFonts w:ascii="宋体"/>
              </w:rPr>
            </w:pPr>
          </w:p>
        </w:tc>
        <w:tc>
          <w:tcPr>
            <w:tcW w:w="1447" w:type="pct"/>
            <w:shd w:val="clear" w:color="auto" w:fill="auto"/>
          </w:tcPr>
          <w:p w14:paraId="5EA23724" w14:textId="77777777" w:rsidR="003C66EB" w:rsidRDefault="003C66EB">
            <w:pPr>
              <w:rPr>
                <w:rFonts w:ascii="宋体"/>
              </w:rPr>
            </w:pPr>
          </w:p>
        </w:tc>
        <w:tc>
          <w:tcPr>
            <w:tcW w:w="5" w:type="pct"/>
            <w:shd w:val="clear" w:color="auto" w:fill="auto"/>
          </w:tcPr>
          <w:p w14:paraId="5EA23725" w14:textId="77777777" w:rsidR="003C66EB" w:rsidRDefault="003C66EB">
            <w:pPr>
              <w:rPr>
                <w:rFonts w:ascii="宋体"/>
              </w:rPr>
            </w:pPr>
          </w:p>
        </w:tc>
        <w:tc>
          <w:tcPr>
            <w:tcW w:w="50" w:type="pct"/>
            <w:shd w:val="clear" w:color="auto" w:fill="auto"/>
          </w:tcPr>
          <w:p w14:paraId="5EA23726" w14:textId="77777777" w:rsidR="003C66EB" w:rsidRDefault="003C66EB">
            <w:pPr>
              <w:rPr>
                <w:rFonts w:ascii="宋体"/>
              </w:rPr>
            </w:pPr>
          </w:p>
        </w:tc>
        <w:tc>
          <w:tcPr>
            <w:tcW w:w="480" w:type="pct"/>
            <w:shd w:val="clear" w:color="auto" w:fill="auto"/>
          </w:tcPr>
          <w:p w14:paraId="5EA23727" w14:textId="77777777" w:rsidR="003C66EB" w:rsidRDefault="003C66EB">
            <w:pPr>
              <w:rPr>
                <w:rFonts w:ascii="宋体"/>
              </w:rPr>
            </w:pPr>
          </w:p>
        </w:tc>
        <w:tc>
          <w:tcPr>
            <w:tcW w:w="5" w:type="pct"/>
            <w:shd w:val="clear" w:color="auto" w:fill="auto"/>
          </w:tcPr>
          <w:p w14:paraId="5EA23728" w14:textId="77777777" w:rsidR="003C66EB" w:rsidRDefault="003C66EB">
            <w:pPr>
              <w:rPr>
                <w:rFonts w:ascii="宋体"/>
              </w:rPr>
            </w:pPr>
          </w:p>
        </w:tc>
        <w:tc>
          <w:tcPr>
            <w:tcW w:w="5" w:type="pct"/>
            <w:shd w:val="clear" w:color="auto" w:fill="auto"/>
          </w:tcPr>
          <w:p w14:paraId="5EA23729" w14:textId="77777777" w:rsidR="003C66EB" w:rsidRDefault="003C66EB">
            <w:pPr>
              <w:rPr>
                <w:rFonts w:ascii="宋体"/>
              </w:rPr>
            </w:pPr>
          </w:p>
        </w:tc>
        <w:tc>
          <w:tcPr>
            <w:tcW w:w="26" w:type="pct"/>
            <w:shd w:val="clear" w:color="auto" w:fill="auto"/>
          </w:tcPr>
          <w:p w14:paraId="5EA2372A" w14:textId="77777777" w:rsidR="003C66EB" w:rsidRDefault="003C66EB">
            <w:pPr>
              <w:rPr>
                <w:rFonts w:ascii="宋体"/>
              </w:rPr>
            </w:pPr>
          </w:p>
        </w:tc>
        <w:tc>
          <w:tcPr>
            <w:tcW w:w="5" w:type="pct"/>
            <w:shd w:val="clear" w:color="auto" w:fill="auto"/>
          </w:tcPr>
          <w:p w14:paraId="5EA2372B" w14:textId="77777777" w:rsidR="003C66EB" w:rsidRDefault="003C66EB">
            <w:pPr>
              <w:rPr>
                <w:rFonts w:ascii="宋体"/>
              </w:rPr>
            </w:pPr>
          </w:p>
        </w:tc>
        <w:tc>
          <w:tcPr>
            <w:tcW w:w="50" w:type="pct"/>
            <w:shd w:val="clear" w:color="auto" w:fill="auto"/>
          </w:tcPr>
          <w:p w14:paraId="5EA2372C" w14:textId="77777777" w:rsidR="003C66EB" w:rsidRDefault="003C66EB">
            <w:pPr>
              <w:rPr>
                <w:rFonts w:ascii="宋体"/>
              </w:rPr>
            </w:pPr>
          </w:p>
        </w:tc>
        <w:tc>
          <w:tcPr>
            <w:tcW w:w="472" w:type="pct"/>
            <w:shd w:val="clear" w:color="auto" w:fill="auto"/>
          </w:tcPr>
          <w:p w14:paraId="5EA2372D" w14:textId="77777777" w:rsidR="003C66EB" w:rsidRDefault="003C66EB">
            <w:pPr>
              <w:rPr>
                <w:rFonts w:ascii="宋体"/>
              </w:rPr>
            </w:pPr>
          </w:p>
        </w:tc>
        <w:tc>
          <w:tcPr>
            <w:tcW w:w="5" w:type="pct"/>
            <w:shd w:val="clear" w:color="auto" w:fill="auto"/>
          </w:tcPr>
          <w:p w14:paraId="5EA2372E" w14:textId="77777777" w:rsidR="003C66EB" w:rsidRDefault="003C66EB">
            <w:pPr>
              <w:rPr>
                <w:rFonts w:ascii="宋体"/>
              </w:rPr>
            </w:pPr>
          </w:p>
        </w:tc>
        <w:tc>
          <w:tcPr>
            <w:tcW w:w="5" w:type="pct"/>
            <w:shd w:val="clear" w:color="auto" w:fill="auto"/>
          </w:tcPr>
          <w:p w14:paraId="5EA2372F" w14:textId="77777777" w:rsidR="003C66EB" w:rsidRDefault="003C66EB">
            <w:pPr>
              <w:rPr>
                <w:rFonts w:ascii="宋体"/>
              </w:rPr>
            </w:pPr>
          </w:p>
        </w:tc>
        <w:tc>
          <w:tcPr>
            <w:tcW w:w="26" w:type="pct"/>
            <w:shd w:val="clear" w:color="auto" w:fill="auto"/>
          </w:tcPr>
          <w:p w14:paraId="5EA23730" w14:textId="77777777" w:rsidR="003C66EB" w:rsidRDefault="003C66EB">
            <w:pPr>
              <w:rPr>
                <w:rFonts w:ascii="宋体"/>
              </w:rPr>
            </w:pPr>
          </w:p>
        </w:tc>
        <w:tc>
          <w:tcPr>
            <w:tcW w:w="5" w:type="pct"/>
            <w:shd w:val="clear" w:color="auto" w:fill="auto"/>
          </w:tcPr>
          <w:p w14:paraId="5EA23731" w14:textId="77777777" w:rsidR="003C66EB" w:rsidRDefault="003C66EB">
            <w:pPr>
              <w:rPr>
                <w:rFonts w:ascii="宋体"/>
              </w:rPr>
            </w:pPr>
          </w:p>
        </w:tc>
        <w:tc>
          <w:tcPr>
            <w:tcW w:w="50" w:type="pct"/>
            <w:shd w:val="clear" w:color="auto" w:fill="auto"/>
          </w:tcPr>
          <w:p w14:paraId="5EA23732" w14:textId="77777777" w:rsidR="003C66EB" w:rsidRDefault="003C66EB">
            <w:pPr>
              <w:rPr>
                <w:rFonts w:ascii="宋体"/>
              </w:rPr>
            </w:pPr>
          </w:p>
        </w:tc>
        <w:tc>
          <w:tcPr>
            <w:tcW w:w="707" w:type="pct"/>
            <w:shd w:val="clear" w:color="auto" w:fill="auto"/>
          </w:tcPr>
          <w:p w14:paraId="5EA23733" w14:textId="77777777" w:rsidR="003C66EB" w:rsidRDefault="003C66EB">
            <w:pPr>
              <w:rPr>
                <w:rFonts w:ascii="宋体"/>
              </w:rPr>
            </w:pPr>
          </w:p>
        </w:tc>
        <w:tc>
          <w:tcPr>
            <w:tcW w:w="5" w:type="pct"/>
            <w:shd w:val="clear" w:color="auto" w:fill="auto"/>
          </w:tcPr>
          <w:p w14:paraId="5EA23734" w14:textId="77777777" w:rsidR="003C66EB" w:rsidRDefault="003C66EB">
            <w:pPr>
              <w:rPr>
                <w:rFonts w:ascii="宋体"/>
              </w:rPr>
            </w:pPr>
          </w:p>
        </w:tc>
        <w:tc>
          <w:tcPr>
            <w:tcW w:w="5" w:type="pct"/>
            <w:shd w:val="clear" w:color="auto" w:fill="auto"/>
          </w:tcPr>
          <w:p w14:paraId="5EA23735" w14:textId="77777777" w:rsidR="003C66EB" w:rsidRDefault="003C66EB">
            <w:pPr>
              <w:rPr>
                <w:rFonts w:ascii="宋体"/>
              </w:rPr>
            </w:pPr>
          </w:p>
        </w:tc>
        <w:tc>
          <w:tcPr>
            <w:tcW w:w="26" w:type="pct"/>
            <w:shd w:val="clear" w:color="auto" w:fill="auto"/>
          </w:tcPr>
          <w:p w14:paraId="5EA23736" w14:textId="77777777" w:rsidR="003C66EB" w:rsidRDefault="003C66EB">
            <w:pPr>
              <w:rPr>
                <w:rFonts w:ascii="宋体"/>
              </w:rPr>
            </w:pPr>
          </w:p>
        </w:tc>
        <w:tc>
          <w:tcPr>
            <w:tcW w:w="5" w:type="pct"/>
            <w:shd w:val="clear" w:color="auto" w:fill="auto"/>
          </w:tcPr>
          <w:p w14:paraId="5EA23737" w14:textId="77777777" w:rsidR="003C66EB" w:rsidRDefault="003C66EB">
            <w:pPr>
              <w:rPr>
                <w:rFonts w:ascii="宋体"/>
              </w:rPr>
            </w:pPr>
          </w:p>
        </w:tc>
        <w:tc>
          <w:tcPr>
            <w:tcW w:w="50" w:type="pct"/>
            <w:shd w:val="clear" w:color="auto" w:fill="auto"/>
          </w:tcPr>
          <w:p w14:paraId="5EA23738" w14:textId="77777777" w:rsidR="003C66EB" w:rsidRDefault="003C66EB">
            <w:pPr>
              <w:rPr>
                <w:rFonts w:ascii="宋体"/>
              </w:rPr>
            </w:pPr>
          </w:p>
        </w:tc>
        <w:tc>
          <w:tcPr>
            <w:tcW w:w="707" w:type="pct"/>
            <w:shd w:val="clear" w:color="auto" w:fill="auto"/>
          </w:tcPr>
          <w:p w14:paraId="5EA23739" w14:textId="77777777" w:rsidR="003C66EB" w:rsidRDefault="003C66EB">
            <w:pPr>
              <w:rPr>
                <w:rFonts w:ascii="宋体"/>
              </w:rPr>
            </w:pPr>
          </w:p>
        </w:tc>
        <w:tc>
          <w:tcPr>
            <w:tcW w:w="5" w:type="pct"/>
            <w:shd w:val="clear" w:color="auto" w:fill="auto"/>
          </w:tcPr>
          <w:p w14:paraId="5EA2373A" w14:textId="77777777" w:rsidR="003C66EB" w:rsidRDefault="003C66EB">
            <w:pPr>
              <w:rPr>
                <w:rFonts w:ascii="宋体"/>
              </w:rPr>
            </w:pPr>
          </w:p>
        </w:tc>
        <w:tc>
          <w:tcPr>
            <w:tcW w:w="5" w:type="pct"/>
            <w:shd w:val="clear" w:color="auto" w:fill="auto"/>
          </w:tcPr>
          <w:p w14:paraId="5EA2373B" w14:textId="77777777" w:rsidR="003C66EB" w:rsidRDefault="003C66EB">
            <w:pPr>
              <w:rPr>
                <w:rFonts w:ascii="宋体"/>
              </w:rPr>
            </w:pPr>
          </w:p>
        </w:tc>
        <w:tc>
          <w:tcPr>
            <w:tcW w:w="26" w:type="pct"/>
            <w:shd w:val="clear" w:color="auto" w:fill="auto"/>
          </w:tcPr>
          <w:p w14:paraId="5EA2373C" w14:textId="77777777" w:rsidR="003C66EB" w:rsidRDefault="003C66EB">
            <w:pPr>
              <w:rPr>
                <w:rFonts w:ascii="宋体"/>
              </w:rPr>
            </w:pPr>
          </w:p>
        </w:tc>
        <w:tc>
          <w:tcPr>
            <w:tcW w:w="5" w:type="pct"/>
            <w:shd w:val="clear" w:color="auto" w:fill="auto"/>
          </w:tcPr>
          <w:p w14:paraId="5EA2373D" w14:textId="77777777" w:rsidR="003C66EB" w:rsidRDefault="003C66EB">
            <w:pPr>
              <w:rPr>
                <w:rFonts w:ascii="宋体"/>
              </w:rPr>
            </w:pPr>
          </w:p>
        </w:tc>
        <w:tc>
          <w:tcPr>
            <w:tcW w:w="50" w:type="pct"/>
            <w:shd w:val="clear" w:color="auto" w:fill="auto"/>
          </w:tcPr>
          <w:p w14:paraId="5EA2373E" w14:textId="77777777" w:rsidR="003C66EB" w:rsidRDefault="003C66EB">
            <w:pPr>
              <w:rPr>
                <w:rFonts w:ascii="宋体"/>
              </w:rPr>
            </w:pPr>
          </w:p>
        </w:tc>
        <w:tc>
          <w:tcPr>
            <w:tcW w:w="707" w:type="pct"/>
            <w:shd w:val="clear" w:color="auto" w:fill="auto"/>
          </w:tcPr>
          <w:p w14:paraId="5EA2373F" w14:textId="77777777" w:rsidR="003C66EB" w:rsidRDefault="003C66EB">
            <w:pPr>
              <w:rPr>
                <w:rFonts w:ascii="宋体"/>
              </w:rPr>
            </w:pPr>
          </w:p>
        </w:tc>
        <w:tc>
          <w:tcPr>
            <w:tcW w:w="5" w:type="pct"/>
            <w:shd w:val="clear" w:color="auto" w:fill="auto"/>
          </w:tcPr>
          <w:p w14:paraId="5EA23740" w14:textId="77777777" w:rsidR="003C66EB" w:rsidRDefault="003C66EB">
            <w:pPr>
              <w:rPr>
                <w:rFonts w:ascii="宋体"/>
              </w:rPr>
            </w:pPr>
          </w:p>
        </w:tc>
      </w:tr>
      <w:tr w:rsidR="003C66EB" w14:paraId="5EA23748" w14:textId="77777777">
        <w:tc>
          <w:tcPr>
            <w:tcW w:w="0" w:type="auto"/>
            <w:gridSpan w:val="3"/>
            <w:shd w:val="clear" w:color="auto" w:fill="auto"/>
            <w:tcMar>
              <w:top w:w="0" w:type="dxa"/>
              <w:left w:w="20" w:type="dxa"/>
              <w:bottom w:w="0" w:type="dxa"/>
              <w:right w:w="20" w:type="dxa"/>
            </w:tcMar>
          </w:tcPr>
          <w:p w14:paraId="5EA2374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4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4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4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46" w14:textId="77777777" w:rsidR="003C66EB" w:rsidRDefault="003C66EB">
            <w:pPr>
              <w:rPr>
                <w:rFonts w:ascii="宋体"/>
              </w:rPr>
            </w:pPr>
          </w:p>
        </w:tc>
        <w:tc>
          <w:tcPr>
            <w:tcW w:w="0" w:type="auto"/>
            <w:gridSpan w:val="15"/>
            <w:shd w:val="clear" w:color="auto" w:fill="auto"/>
            <w:tcMar>
              <w:top w:w="40" w:type="dxa"/>
              <w:left w:w="20" w:type="dxa"/>
              <w:bottom w:w="40" w:type="dxa"/>
              <w:right w:w="20" w:type="dxa"/>
            </w:tcMar>
            <w:vAlign w:val="bottom"/>
          </w:tcPr>
          <w:p w14:paraId="5EA23747" w14:textId="77777777" w:rsidR="003C66EB" w:rsidRDefault="00D96C4E">
            <w:pPr>
              <w:jc w:val="center"/>
              <w:textAlignment w:val="bottom"/>
            </w:pPr>
            <w:r>
              <w:rPr>
                <w:rFonts w:ascii="Arial" w:eastAsia="宋体" w:hAnsi="Arial" w:cs="Arial"/>
                <w:b/>
                <w:bCs/>
                <w:color w:val="000000"/>
                <w:sz w:val="13"/>
                <w:szCs w:val="13"/>
              </w:rPr>
              <w:t>Fair Value Hierarchy</w:t>
            </w:r>
          </w:p>
        </w:tc>
      </w:tr>
      <w:tr w:rsidR="003C66EB" w14:paraId="5EA23753" w14:textId="77777777">
        <w:tc>
          <w:tcPr>
            <w:tcW w:w="0" w:type="auto"/>
            <w:gridSpan w:val="3"/>
            <w:shd w:val="clear" w:color="auto" w:fill="auto"/>
            <w:tcMar>
              <w:top w:w="40" w:type="dxa"/>
              <w:left w:w="20" w:type="dxa"/>
              <w:bottom w:w="40" w:type="dxa"/>
              <w:right w:w="20" w:type="dxa"/>
            </w:tcMar>
            <w:vAlign w:val="bottom"/>
          </w:tcPr>
          <w:p w14:paraId="5EA23749" w14:textId="77777777" w:rsidR="003C66EB" w:rsidRDefault="00D96C4E">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A2374A" w14:textId="77777777" w:rsidR="003C66EB" w:rsidRDefault="00D96C4E">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tcPr>
          <w:p w14:paraId="5EA2374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374C" w14:textId="77777777" w:rsidR="003C66EB" w:rsidRDefault="00D96C4E">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tcPr>
          <w:p w14:paraId="5EA2374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74E" w14:textId="77777777" w:rsidR="003C66EB" w:rsidRDefault="00D96C4E">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tcPr>
          <w:p w14:paraId="5EA2374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750" w14:textId="77777777" w:rsidR="003C66EB" w:rsidRDefault="00D96C4E">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tcPr>
          <w:p w14:paraId="5EA2375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752" w14:textId="77777777" w:rsidR="003C66EB" w:rsidRDefault="00D96C4E">
            <w:pPr>
              <w:jc w:val="center"/>
              <w:textAlignment w:val="bottom"/>
            </w:pPr>
            <w:r>
              <w:rPr>
                <w:rFonts w:ascii="Arial" w:eastAsia="宋体" w:hAnsi="Arial" w:cs="Arial"/>
                <w:b/>
                <w:bCs/>
                <w:color w:val="000000"/>
                <w:sz w:val="13"/>
                <w:szCs w:val="13"/>
              </w:rPr>
              <w:t>Pricing Methods with Significant Unobservable Market Inputs (Level 3)</w:t>
            </w:r>
          </w:p>
        </w:tc>
      </w:tr>
      <w:tr w:rsidR="003C66EB" w14:paraId="5EA2375E" w14:textId="77777777">
        <w:tc>
          <w:tcPr>
            <w:tcW w:w="0" w:type="auto"/>
            <w:gridSpan w:val="3"/>
            <w:shd w:val="clear" w:color="auto" w:fill="auto"/>
            <w:tcMar>
              <w:top w:w="40" w:type="dxa"/>
              <w:left w:w="20" w:type="dxa"/>
              <w:bottom w:w="40" w:type="dxa"/>
              <w:right w:w="20" w:type="dxa"/>
            </w:tcMar>
            <w:vAlign w:val="bottom"/>
          </w:tcPr>
          <w:p w14:paraId="5EA23754" w14:textId="77777777" w:rsidR="003C66EB" w:rsidRDefault="00D96C4E">
            <w:pPr>
              <w:textAlignment w:val="bottom"/>
            </w:pPr>
            <w:r>
              <w:rPr>
                <w:rFonts w:ascii="Arial" w:eastAsia="宋体" w:hAnsi="Arial" w:cs="Arial"/>
                <w:b/>
                <w:bCs/>
                <w:color w:val="000000"/>
                <w:sz w:val="13"/>
                <w:szCs w:val="13"/>
              </w:rPr>
              <w:t>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375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5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75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5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75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5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75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5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75D" w14:textId="77777777" w:rsidR="003C66EB" w:rsidRDefault="003C66EB">
            <w:pPr>
              <w:rPr>
                <w:rFonts w:ascii="宋体"/>
              </w:rPr>
            </w:pPr>
          </w:p>
        </w:tc>
      </w:tr>
      <w:tr w:rsidR="003C66EB" w14:paraId="5EA23769" w14:textId="77777777">
        <w:tc>
          <w:tcPr>
            <w:tcW w:w="0" w:type="auto"/>
            <w:gridSpan w:val="3"/>
            <w:shd w:val="clear" w:color="auto" w:fill="auto"/>
            <w:tcMar>
              <w:top w:w="40" w:type="dxa"/>
              <w:left w:w="20" w:type="dxa"/>
              <w:bottom w:w="40" w:type="dxa"/>
              <w:right w:w="20" w:type="dxa"/>
            </w:tcMar>
            <w:vAlign w:val="bottom"/>
          </w:tcPr>
          <w:p w14:paraId="5EA2375F" w14:textId="77777777" w:rsidR="003C66EB" w:rsidRDefault="00D96C4E">
            <w:pPr>
              <w:textAlignment w:val="bottom"/>
            </w:pPr>
            <w:r>
              <w:rPr>
                <w:rFonts w:ascii="Arial" w:eastAsia="宋体" w:hAnsi="Arial" w:cs="Arial"/>
                <w:b/>
                <w:bCs/>
                <w:color w:val="000000"/>
                <w:sz w:val="13"/>
                <w:szCs w:val="13"/>
              </w:rPr>
              <w:t>Financial Assets:</w:t>
            </w:r>
          </w:p>
        </w:tc>
        <w:tc>
          <w:tcPr>
            <w:tcW w:w="0" w:type="auto"/>
            <w:gridSpan w:val="3"/>
            <w:shd w:val="clear" w:color="auto" w:fill="auto"/>
            <w:tcMar>
              <w:top w:w="0" w:type="dxa"/>
              <w:left w:w="20" w:type="dxa"/>
              <w:bottom w:w="0" w:type="dxa"/>
              <w:right w:w="20" w:type="dxa"/>
            </w:tcMar>
          </w:tcPr>
          <w:p w14:paraId="5EA2376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768" w14:textId="77777777" w:rsidR="003C66EB" w:rsidRDefault="003C66EB">
            <w:pPr>
              <w:rPr>
                <w:rFonts w:ascii="宋体"/>
              </w:rPr>
            </w:pPr>
          </w:p>
        </w:tc>
      </w:tr>
      <w:tr w:rsidR="003C66EB" w14:paraId="5EA2377E" w14:textId="77777777">
        <w:tc>
          <w:tcPr>
            <w:tcW w:w="0" w:type="auto"/>
            <w:gridSpan w:val="3"/>
            <w:shd w:val="clear" w:color="auto" w:fill="CCEEFF"/>
            <w:tcMar>
              <w:top w:w="40" w:type="dxa"/>
              <w:left w:w="20" w:type="dxa"/>
              <w:bottom w:w="40" w:type="dxa"/>
              <w:right w:w="20" w:type="dxa"/>
            </w:tcMar>
            <w:vAlign w:val="bottom"/>
          </w:tcPr>
          <w:p w14:paraId="5EA2376A" w14:textId="77777777" w:rsidR="003C66EB" w:rsidRDefault="00D96C4E">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5EA2376B"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376C" w14:textId="77777777" w:rsidR="003C66EB" w:rsidRDefault="00D96C4E">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5EA237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6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76F"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3770" w14:textId="77777777" w:rsidR="003C66EB" w:rsidRDefault="00D96C4E">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5EA237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7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773"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3774" w14:textId="77777777" w:rsidR="003C66EB" w:rsidRDefault="00D96C4E">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5EA2377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7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777"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3778"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7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77B"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377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7D" w14:textId="77777777" w:rsidR="003C66EB" w:rsidRDefault="003C66EB">
            <w:pPr>
              <w:jc w:val="right"/>
              <w:rPr>
                <w:rFonts w:ascii="宋体"/>
              </w:rPr>
            </w:pPr>
          </w:p>
        </w:tc>
      </w:tr>
      <w:tr w:rsidR="003C66EB" w14:paraId="5EA2378E" w14:textId="77777777">
        <w:tc>
          <w:tcPr>
            <w:tcW w:w="0" w:type="auto"/>
            <w:gridSpan w:val="3"/>
            <w:shd w:val="clear" w:color="auto" w:fill="FFFFFF"/>
            <w:tcMar>
              <w:top w:w="40" w:type="dxa"/>
              <w:left w:w="20" w:type="dxa"/>
              <w:bottom w:w="40" w:type="dxa"/>
              <w:right w:w="20" w:type="dxa"/>
            </w:tcMar>
            <w:vAlign w:val="bottom"/>
          </w:tcPr>
          <w:p w14:paraId="5EA2377F" w14:textId="77777777" w:rsidR="003C66EB" w:rsidRDefault="00D96C4E">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5EA23780" w14:textId="77777777" w:rsidR="003C66EB" w:rsidRDefault="00D96C4E">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5EA2378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8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83" w14:textId="77777777" w:rsidR="003C66EB" w:rsidRDefault="00D96C4E">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5EA2378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8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86"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7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8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89" w14:textId="77777777" w:rsidR="003C66EB" w:rsidRDefault="00D96C4E">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5EA237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8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8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78D" w14:textId="77777777" w:rsidR="003C66EB" w:rsidRDefault="003C66EB">
            <w:pPr>
              <w:jc w:val="right"/>
              <w:rPr>
                <w:rFonts w:ascii="宋体"/>
              </w:rPr>
            </w:pPr>
          </w:p>
        </w:tc>
      </w:tr>
      <w:tr w:rsidR="003C66EB" w14:paraId="5EA2379E" w14:textId="77777777">
        <w:tc>
          <w:tcPr>
            <w:tcW w:w="0" w:type="auto"/>
            <w:gridSpan w:val="3"/>
            <w:shd w:val="clear" w:color="auto" w:fill="CCEEFF"/>
            <w:tcMar>
              <w:top w:w="40" w:type="dxa"/>
              <w:left w:w="20" w:type="dxa"/>
              <w:bottom w:w="40" w:type="dxa"/>
              <w:right w:w="20" w:type="dxa"/>
            </w:tcMar>
            <w:vAlign w:val="bottom"/>
          </w:tcPr>
          <w:p w14:paraId="5EA2378F" w14:textId="77777777" w:rsidR="003C66EB" w:rsidRDefault="00D96C4E">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A23790" w14:textId="77777777" w:rsidR="003C66EB" w:rsidRDefault="00D96C4E">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5EA2379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9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93" w14:textId="77777777" w:rsidR="003C66EB" w:rsidRDefault="00D96C4E">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5EA2379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9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96"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9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99" w14:textId="77777777" w:rsidR="003C66EB" w:rsidRDefault="00D96C4E">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5EA237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9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9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9D" w14:textId="77777777" w:rsidR="003C66EB" w:rsidRDefault="003C66EB">
            <w:pPr>
              <w:jc w:val="right"/>
              <w:rPr>
                <w:rFonts w:ascii="宋体"/>
              </w:rPr>
            </w:pPr>
          </w:p>
        </w:tc>
      </w:tr>
      <w:tr w:rsidR="003C66EB" w14:paraId="5EA237AE" w14:textId="77777777">
        <w:tc>
          <w:tcPr>
            <w:tcW w:w="0" w:type="auto"/>
            <w:gridSpan w:val="3"/>
            <w:shd w:val="clear" w:color="auto" w:fill="FFFFFF"/>
            <w:tcMar>
              <w:top w:w="40" w:type="dxa"/>
              <w:left w:w="20" w:type="dxa"/>
              <w:bottom w:w="40" w:type="dxa"/>
              <w:right w:w="20" w:type="dxa"/>
            </w:tcMar>
            <w:vAlign w:val="bottom"/>
          </w:tcPr>
          <w:p w14:paraId="5EA2379F" w14:textId="77777777" w:rsidR="003C66EB" w:rsidRDefault="00D96C4E">
            <w:pPr>
              <w:textAlignment w:val="bottom"/>
            </w:pPr>
            <w:r>
              <w:rPr>
                <w:rFonts w:ascii="Arial" w:eastAsia="宋体" w:hAnsi="Arial" w:cs="Arial"/>
                <w:color w:val="000000"/>
                <w:sz w:val="13"/>
                <w:szCs w:val="13"/>
              </w:rPr>
              <w:t>HTM securities purchased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5EA237A0" w14:textId="77777777" w:rsidR="003C66EB" w:rsidRDefault="00D96C4E">
            <w:pPr>
              <w:jc w:val="right"/>
              <w:textAlignment w:val="bottom"/>
            </w:pPr>
            <w:r>
              <w:rPr>
                <w:rFonts w:ascii="Arial" w:eastAsia="宋体" w:hAnsi="Arial" w:cs="Arial"/>
                <w:color w:val="000000"/>
                <w:sz w:val="13"/>
                <w:szCs w:val="13"/>
              </w:rPr>
              <w:t>3,299 </w:t>
            </w:r>
          </w:p>
        </w:tc>
        <w:tc>
          <w:tcPr>
            <w:tcW w:w="0" w:type="auto"/>
            <w:shd w:val="clear" w:color="auto" w:fill="FFFFFF"/>
            <w:tcMar>
              <w:top w:w="40" w:type="dxa"/>
              <w:left w:w="0" w:type="dxa"/>
              <w:bottom w:w="40" w:type="dxa"/>
              <w:right w:w="20" w:type="dxa"/>
            </w:tcMar>
            <w:vAlign w:val="bottom"/>
          </w:tcPr>
          <w:p w14:paraId="5EA237A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A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A3" w14:textId="77777777" w:rsidR="003C66EB" w:rsidRDefault="00D96C4E">
            <w:pPr>
              <w:jc w:val="right"/>
              <w:textAlignment w:val="bottom"/>
            </w:pPr>
            <w:r>
              <w:rPr>
                <w:rFonts w:ascii="Arial" w:eastAsia="宋体" w:hAnsi="Arial" w:cs="Arial"/>
                <w:color w:val="000000"/>
                <w:sz w:val="13"/>
                <w:szCs w:val="13"/>
              </w:rPr>
              <w:t>3,304 </w:t>
            </w:r>
          </w:p>
        </w:tc>
        <w:tc>
          <w:tcPr>
            <w:tcW w:w="0" w:type="auto"/>
            <w:shd w:val="clear" w:color="auto" w:fill="FFFFFF"/>
            <w:tcMar>
              <w:top w:w="40" w:type="dxa"/>
              <w:left w:w="0" w:type="dxa"/>
              <w:bottom w:w="40" w:type="dxa"/>
              <w:right w:w="20" w:type="dxa"/>
            </w:tcMar>
            <w:vAlign w:val="bottom"/>
          </w:tcPr>
          <w:p w14:paraId="5EA237A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A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A6"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7A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A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A9" w14:textId="77777777" w:rsidR="003C66EB" w:rsidRDefault="00D96C4E">
            <w:pPr>
              <w:jc w:val="right"/>
              <w:textAlignment w:val="bottom"/>
            </w:pPr>
            <w:r>
              <w:rPr>
                <w:rFonts w:ascii="Arial" w:eastAsia="宋体" w:hAnsi="Arial" w:cs="Arial"/>
                <w:color w:val="000000"/>
                <w:sz w:val="13"/>
                <w:szCs w:val="13"/>
              </w:rPr>
              <w:t>3,304 </w:t>
            </w:r>
          </w:p>
        </w:tc>
        <w:tc>
          <w:tcPr>
            <w:tcW w:w="0" w:type="auto"/>
            <w:shd w:val="clear" w:color="auto" w:fill="FFFFFF"/>
            <w:tcMar>
              <w:top w:w="40" w:type="dxa"/>
              <w:left w:w="0" w:type="dxa"/>
              <w:bottom w:w="40" w:type="dxa"/>
              <w:right w:w="20" w:type="dxa"/>
            </w:tcMar>
            <w:vAlign w:val="bottom"/>
          </w:tcPr>
          <w:p w14:paraId="5EA237A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A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7A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7AD" w14:textId="77777777" w:rsidR="003C66EB" w:rsidRDefault="003C66EB">
            <w:pPr>
              <w:jc w:val="right"/>
              <w:rPr>
                <w:rFonts w:ascii="宋体"/>
              </w:rPr>
            </w:pPr>
          </w:p>
        </w:tc>
      </w:tr>
      <w:tr w:rsidR="003C66EB" w14:paraId="5EA237BE" w14:textId="77777777">
        <w:tc>
          <w:tcPr>
            <w:tcW w:w="0" w:type="auto"/>
            <w:gridSpan w:val="3"/>
            <w:shd w:val="clear" w:color="auto" w:fill="CCEEFF"/>
            <w:tcMar>
              <w:top w:w="40" w:type="dxa"/>
              <w:left w:w="20" w:type="dxa"/>
              <w:bottom w:w="40" w:type="dxa"/>
              <w:right w:w="20" w:type="dxa"/>
            </w:tcMar>
            <w:vAlign w:val="bottom"/>
          </w:tcPr>
          <w:p w14:paraId="5EA237AF" w14:textId="77777777" w:rsidR="003C66EB" w:rsidRDefault="00D96C4E">
            <w:pPr>
              <w:textAlignment w:val="bottom"/>
            </w:pPr>
            <w:r>
              <w:rPr>
                <w:rFonts w:ascii="Arial" w:eastAsia="宋体" w:hAnsi="Arial" w:cs="Arial"/>
                <w:color w:val="000000"/>
                <w:sz w:val="13"/>
                <w:szCs w:val="13"/>
              </w:rPr>
              <w:t>Investment securities held-to-maturity</w:t>
            </w:r>
          </w:p>
        </w:tc>
        <w:tc>
          <w:tcPr>
            <w:tcW w:w="0" w:type="auto"/>
            <w:gridSpan w:val="2"/>
            <w:shd w:val="clear" w:color="auto" w:fill="CCEEFF"/>
            <w:tcMar>
              <w:top w:w="40" w:type="dxa"/>
              <w:left w:w="20" w:type="dxa"/>
              <w:bottom w:w="40" w:type="dxa"/>
              <w:right w:w="0" w:type="dxa"/>
            </w:tcMar>
            <w:vAlign w:val="bottom"/>
          </w:tcPr>
          <w:p w14:paraId="5EA237B0" w14:textId="77777777" w:rsidR="003C66EB" w:rsidRDefault="00D96C4E">
            <w:pPr>
              <w:jc w:val="right"/>
              <w:textAlignment w:val="bottom"/>
            </w:pPr>
            <w:r>
              <w:rPr>
                <w:rFonts w:ascii="Arial" w:eastAsia="宋体" w:hAnsi="Arial" w:cs="Arial"/>
                <w:color w:val="000000"/>
                <w:sz w:val="13"/>
                <w:szCs w:val="13"/>
              </w:rPr>
              <w:t>48,929 </w:t>
            </w:r>
          </w:p>
        </w:tc>
        <w:tc>
          <w:tcPr>
            <w:tcW w:w="0" w:type="auto"/>
            <w:shd w:val="clear" w:color="auto" w:fill="CCEEFF"/>
            <w:tcMar>
              <w:top w:w="40" w:type="dxa"/>
              <w:left w:w="0" w:type="dxa"/>
              <w:bottom w:w="40" w:type="dxa"/>
              <w:right w:w="20" w:type="dxa"/>
            </w:tcMar>
            <w:vAlign w:val="bottom"/>
          </w:tcPr>
          <w:p w14:paraId="5EA237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B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B3" w14:textId="77777777" w:rsidR="003C66EB" w:rsidRDefault="00D96C4E">
            <w:pPr>
              <w:jc w:val="right"/>
              <w:textAlignment w:val="bottom"/>
            </w:pPr>
            <w:r>
              <w:rPr>
                <w:rFonts w:ascii="Arial" w:eastAsia="宋体" w:hAnsi="Arial" w:cs="Arial"/>
                <w:color w:val="000000"/>
                <w:sz w:val="13"/>
                <w:szCs w:val="13"/>
              </w:rPr>
              <w:t>50,003 </w:t>
            </w:r>
          </w:p>
        </w:tc>
        <w:tc>
          <w:tcPr>
            <w:tcW w:w="0" w:type="auto"/>
            <w:shd w:val="clear" w:color="auto" w:fill="CCEEFF"/>
            <w:tcMar>
              <w:top w:w="40" w:type="dxa"/>
              <w:left w:w="0" w:type="dxa"/>
              <w:bottom w:w="40" w:type="dxa"/>
              <w:right w:w="20" w:type="dxa"/>
            </w:tcMar>
            <w:vAlign w:val="bottom"/>
          </w:tcPr>
          <w:p w14:paraId="5EA237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B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B6" w14:textId="77777777" w:rsidR="003C66EB" w:rsidRDefault="00D96C4E">
            <w:pPr>
              <w:jc w:val="right"/>
              <w:textAlignment w:val="bottom"/>
            </w:pPr>
            <w:r>
              <w:rPr>
                <w:rFonts w:ascii="Arial" w:eastAsia="宋体" w:hAnsi="Arial" w:cs="Arial"/>
                <w:color w:val="000000"/>
                <w:sz w:val="13"/>
                <w:szCs w:val="13"/>
              </w:rPr>
              <w:t>6,115 </w:t>
            </w:r>
          </w:p>
        </w:tc>
        <w:tc>
          <w:tcPr>
            <w:tcW w:w="0" w:type="auto"/>
            <w:shd w:val="clear" w:color="auto" w:fill="CCEEFF"/>
            <w:tcMar>
              <w:top w:w="40" w:type="dxa"/>
              <w:left w:w="0" w:type="dxa"/>
              <w:bottom w:w="40" w:type="dxa"/>
              <w:right w:w="20" w:type="dxa"/>
            </w:tcMar>
            <w:vAlign w:val="bottom"/>
          </w:tcPr>
          <w:p w14:paraId="5EA237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B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B9" w14:textId="77777777" w:rsidR="003C66EB" w:rsidRDefault="00D96C4E">
            <w:pPr>
              <w:jc w:val="right"/>
              <w:textAlignment w:val="bottom"/>
            </w:pPr>
            <w:r>
              <w:rPr>
                <w:rFonts w:ascii="Arial" w:eastAsia="宋体" w:hAnsi="Arial" w:cs="Arial"/>
                <w:color w:val="000000"/>
                <w:sz w:val="13"/>
                <w:szCs w:val="13"/>
              </w:rPr>
              <w:t>43,888 </w:t>
            </w:r>
          </w:p>
        </w:tc>
        <w:tc>
          <w:tcPr>
            <w:tcW w:w="0" w:type="auto"/>
            <w:shd w:val="clear" w:color="auto" w:fill="CCEEFF"/>
            <w:tcMar>
              <w:top w:w="40" w:type="dxa"/>
              <w:left w:w="0" w:type="dxa"/>
              <w:bottom w:w="40" w:type="dxa"/>
              <w:right w:w="20" w:type="dxa"/>
            </w:tcMar>
            <w:vAlign w:val="bottom"/>
          </w:tcPr>
          <w:p w14:paraId="5EA237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B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B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BD" w14:textId="77777777" w:rsidR="003C66EB" w:rsidRDefault="003C66EB">
            <w:pPr>
              <w:jc w:val="right"/>
              <w:rPr>
                <w:rFonts w:ascii="宋体"/>
              </w:rPr>
            </w:pPr>
          </w:p>
        </w:tc>
      </w:tr>
      <w:tr w:rsidR="003C66EB" w14:paraId="5EA237CE" w14:textId="77777777">
        <w:tc>
          <w:tcPr>
            <w:tcW w:w="0" w:type="auto"/>
            <w:gridSpan w:val="3"/>
            <w:shd w:val="clear" w:color="auto" w:fill="FFFFFF"/>
            <w:tcMar>
              <w:top w:w="40" w:type="dxa"/>
              <w:left w:w="20" w:type="dxa"/>
              <w:bottom w:w="40" w:type="dxa"/>
              <w:right w:w="20" w:type="dxa"/>
            </w:tcMar>
            <w:vAlign w:val="bottom"/>
          </w:tcPr>
          <w:p w14:paraId="5EA237BF" w14:textId="77777777" w:rsidR="003C66EB" w:rsidRDefault="00D96C4E">
            <w:pPr>
              <w:textAlignment w:val="bottom"/>
            </w:pPr>
            <w:r>
              <w:rPr>
                <w:rFonts w:ascii="Arial" w:eastAsia="宋体" w:hAnsi="Arial" w:cs="Arial"/>
                <w:color w:val="000000"/>
                <w:sz w:val="13"/>
                <w:szCs w:val="13"/>
              </w:rPr>
              <w:t>Net loans</w:t>
            </w:r>
          </w:p>
        </w:tc>
        <w:tc>
          <w:tcPr>
            <w:tcW w:w="0" w:type="auto"/>
            <w:gridSpan w:val="2"/>
            <w:shd w:val="clear" w:color="auto" w:fill="auto"/>
            <w:tcMar>
              <w:top w:w="40" w:type="dxa"/>
              <w:left w:w="20" w:type="dxa"/>
              <w:bottom w:w="40" w:type="dxa"/>
              <w:right w:w="0" w:type="dxa"/>
            </w:tcMar>
            <w:vAlign w:val="bottom"/>
          </w:tcPr>
          <w:p w14:paraId="5EA237C0" w14:textId="77777777" w:rsidR="003C66EB" w:rsidRDefault="00D96C4E">
            <w:pPr>
              <w:jc w:val="right"/>
              <w:textAlignment w:val="bottom"/>
            </w:pPr>
            <w:r>
              <w:rPr>
                <w:rFonts w:ascii="Arial" w:eastAsia="宋体" w:hAnsi="Arial" w:cs="Arial"/>
                <w:color w:val="000000"/>
                <w:sz w:val="13"/>
                <w:szCs w:val="13"/>
              </w:rPr>
              <w:t>27,803 </w:t>
            </w:r>
          </w:p>
        </w:tc>
        <w:tc>
          <w:tcPr>
            <w:tcW w:w="0" w:type="auto"/>
            <w:shd w:val="clear" w:color="auto" w:fill="auto"/>
            <w:tcMar>
              <w:top w:w="40" w:type="dxa"/>
              <w:left w:w="0" w:type="dxa"/>
              <w:bottom w:w="40" w:type="dxa"/>
              <w:right w:w="20" w:type="dxa"/>
            </w:tcMar>
            <w:vAlign w:val="bottom"/>
          </w:tcPr>
          <w:p w14:paraId="5EA237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C2"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7C3" w14:textId="77777777" w:rsidR="003C66EB" w:rsidRDefault="00D96C4E">
            <w:pPr>
              <w:jc w:val="right"/>
              <w:textAlignment w:val="bottom"/>
            </w:pPr>
            <w:r>
              <w:rPr>
                <w:rFonts w:ascii="Arial" w:eastAsia="宋体" w:hAnsi="Arial" w:cs="Arial"/>
                <w:color w:val="000000"/>
                <w:sz w:val="13"/>
                <w:szCs w:val="13"/>
              </w:rPr>
              <w:t>27,884 </w:t>
            </w:r>
          </w:p>
        </w:tc>
        <w:tc>
          <w:tcPr>
            <w:tcW w:w="0" w:type="auto"/>
            <w:shd w:val="clear" w:color="auto" w:fill="auto"/>
            <w:tcMar>
              <w:top w:w="40" w:type="dxa"/>
              <w:left w:w="0" w:type="dxa"/>
              <w:bottom w:w="40" w:type="dxa"/>
              <w:right w:w="20" w:type="dxa"/>
            </w:tcMar>
            <w:vAlign w:val="bottom"/>
          </w:tcPr>
          <w:p w14:paraId="5EA237C4"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7C5"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7C6"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A237C7"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7C8"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7C9" w14:textId="77777777" w:rsidR="003C66EB" w:rsidRDefault="00D96C4E">
            <w:pPr>
              <w:jc w:val="right"/>
              <w:textAlignment w:val="bottom"/>
            </w:pPr>
            <w:r>
              <w:rPr>
                <w:rFonts w:ascii="Arial" w:eastAsia="宋体" w:hAnsi="Arial" w:cs="Arial"/>
                <w:color w:val="000000"/>
                <w:sz w:val="13"/>
                <w:szCs w:val="13"/>
              </w:rPr>
              <w:t>25,668 </w:t>
            </w:r>
          </w:p>
        </w:tc>
        <w:tc>
          <w:tcPr>
            <w:tcW w:w="0" w:type="auto"/>
            <w:shd w:val="clear" w:color="auto" w:fill="auto"/>
            <w:tcMar>
              <w:top w:w="40" w:type="dxa"/>
              <w:left w:w="0" w:type="dxa"/>
              <w:bottom w:w="40" w:type="dxa"/>
              <w:right w:w="20" w:type="dxa"/>
            </w:tcMar>
            <w:vAlign w:val="bottom"/>
          </w:tcPr>
          <w:p w14:paraId="5EA237CA"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7CB"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7CC" w14:textId="77777777" w:rsidR="003C66EB" w:rsidRDefault="00D96C4E">
            <w:pPr>
              <w:jc w:val="right"/>
              <w:textAlignment w:val="bottom"/>
            </w:pPr>
            <w:r>
              <w:rPr>
                <w:rFonts w:ascii="Arial" w:eastAsia="宋体" w:hAnsi="Arial" w:cs="Arial"/>
                <w:color w:val="000000"/>
                <w:sz w:val="13"/>
                <w:szCs w:val="13"/>
              </w:rPr>
              <w:t>2,216 </w:t>
            </w:r>
          </w:p>
        </w:tc>
        <w:tc>
          <w:tcPr>
            <w:tcW w:w="0" w:type="auto"/>
            <w:shd w:val="clear" w:color="auto" w:fill="auto"/>
            <w:tcMar>
              <w:top w:w="40" w:type="dxa"/>
              <w:left w:w="0" w:type="dxa"/>
              <w:bottom w:w="40" w:type="dxa"/>
              <w:right w:w="20" w:type="dxa"/>
            </w:tcMar>
            <w:vAlign w:val="bottom"/>
          </w:tcPr>
          <w:p w14:paraId="5EA237CD" w14:textId="77777777" w:rsidR="003C66EB" w:rsidRDefault="003C66EB">
            <w:pPr>
              <w:jc w:val="right"/>
              <w:rPr>
                <w:rFonts w:ascii="宋体"/>
              </w:rPr>
            </w:pPr>
          </w:p>
        </w:tc>
      </w:tr>
      <w:tr w:rsidR="003C66EB" w14:paraId="5EA237DE" w14:textId="77777777">
        <w:tc>
          <w:tcPr>
            <w:tcW w:w="0" w:type="auto"/>
            <w:gridSpan w:val="3"/>
            <w:shd w:val="clear" w:color="auto" w:fill="CCEEFF"/>
            <w:tcMar>
              <w:top w:w="40" w:type="dxa"/>
              <w:left w:w="20" w:type="dxa"/>
              <w:bottom w:w="40" w:type="dxa"/>
              <w:right w:w="20" w:type="dxa"/>
            </w:tcMar>
            <w:vAlign w:val="bottom"/>
          </w:tcPr>
          <w:p w14:paraId="5EA237CF" w14:textId="77777777" w:rsidR="003C66EB" w:rsidRDefault="00D96C4E">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A237D0" w14:textId="77777777" w:rsidR="003C66EB" w:rsidRDefault="00D96C4E">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A237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D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D3" w14:textId="77777777" w:rsidR="003C66EB" w:rsidRDefault="00D96C4E">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A237D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D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D6"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D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D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D9" w14:textId="77777777" w:rsidR="003C66EB" w:rsidRDefault="00D96C4E">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A237D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7D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7D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7DD" w14:textId="77777777" w:rsidR="003C66EB" w:rsidRDefault="003C66EB">
            <w:pPr>
              <w:jc w:val="right"/>
              <w:rPr>
                <w:rFonts w:ascii="宋体"/>
              </w:rPr>
            </w:pPr>
          </w:p>
        </w:tc>
      </w:tr>
      <w:tr w:rsidR="003C66EB" w14:paraId="5EA237E9" w14:textId="77777777">
        <w:tc>
          <w:tcPr>
            <w:tcW w:w="0" w:type="auto"/>
            <w:gridSpan w:val="3"/>
            <w:shd w:val="clear" w:color="auto" w:fill="FFFFFF"/>
            <w:tcMar>
              <w:top w:w="40" w:type="dxa"/>
              <w:left w:w="20" w:type="dxa"/>
              <w:bottom w:w="40" w:type="dxa"/>
              <w:right w:w="20" w:type="dxa"/>
            </w:tcMar>
            <w:vAlign w:val="bottom"/>
          </w:tcPr>
          <w:p w14:paraId="5EA237DF" w14:textId="77777777" w:rsidR="003C66EB" w:rsidRDefault="00D96C4E">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tcPr>
          <w:p w14:paraId="5EA237E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7E8" w14:textId="77777777" w:rsidR="003C66EB" w:rsidRDefault="003C66EB">
            <w:pPr>
              <w:rPr>
                <w:rFonts w:ascii="宋体"/>
              </w:rPr>
            </w:pPr>
          </w:p>
        </w:tc>
      </w:tr>
      <w:tr w:rsidR="003C66EB" w14:paraId="5EA237F4" w14:textId="77777777">
        <w:tc>
          <w:tcPr>
            <w:tcW w:w="0" w:type="auto"/>
            <w:gridSpan w:val="3"/>
            <w:shd w:val="clear" w:color="auto" w:fill="CCEEFF"/>
            <w:tcMar>
              <w:top w:w="40" w:type="dxa"/>
              <w:left w:w="20" w:type="dxa"/>
              <w:bottom w:w="40" w:type="dxa"/>
              <w:right w:w="20" w:type="dxa"/>
            </w:tcMar>
            <w:vAlign w:val="bottom"/>
          </w:tcPr>
          <w:p w14:paraId="5EA237EA" w14:textId="77777777" w:rsidR="003C66EB" w:rsidRDefault="00D96C4E">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tcPr>
          <w:p w14:paraId="5EA237E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E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E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E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E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F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F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F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7F3" w14:textId="77777777" w:rsidR="003C66EB" w:rsidRDefault="003C66EB">
            <w:pPr>
              <w:rPr>
                <w:rFonts w:ascii="宋体"/>
              </w:rPr>
            </w:pPr>
          </w:p>
        </w:tc>
      </w:tr>
      <w:tr w:rsidR="003C66EB" w14:paraId="5EA23809" w14:textId="77777777">
        <w:tc>
          <w:tcPr>
            <w:tcW w:w="0" w:type="auto"/>
            <w:gridSpan w:val="3"/>
            <w:shd w:val="clear" w:color="auto" w:fill="FFFFFF"/>
            <w:tcMar>
              <w:top w:w="40" w:type="dxa"/>
              <w:left w:w="20" w:type="dxa"/>
              <w:bottom w:w="40" w:type="dxa"/>
              <w:right w:w="20" w:type="dxa"/>
            </w:tcMar>
            <w:vAlign w:val="bottom"/>
          </w:tcPr>
          <w:p w14:paraId="5EA237F5" w14:textId="77777777" w:rsidR="003C66EB" w:rsidRDefault="00D96C4E">
            <w:pPr>
              <w:textAlignment w:val="bottom"/>
            </w:pPr>
            <w:r>
              <w:rPr>
                <w:rFonts w:ascii="Arial" w:eastAsia="宋体" w:hAnsi="Arial" w:cs="Arial"/>
                <w:color w:val="000000"/>
                <w:sz w:val="13"/>
                <w:szCs w:val="13"/>
              </w:rPr>
              <w:t>Non-interest-bearing</w:t>
            </w:r>
          </w:p>
        </w:tc>
        <w:tc>
          <w:tcPr>
            <w:tcW w:w="0" w:type="auto"/>
            <w:shd w:val="clear" w:color="auto" w:fill="FFFFFF"/>
            <w:tcMar>
              <w:top w:w="40" w:type="dxa"/>
              <w:left w:w="20" w:type="dxa"/>
              <w:bottom w:w="40" w:type="dxa"/>
              <w:right w:w="0" w:type="dxa"/>
            </w:tcMar>
            <w:vAlign w:val="bottom"/>
          </w:tcPr>
          <w:p w14:paraId="5EA237F6"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37F7" w14:textId="77777777" w:rsidR="003C66EB" w:rsidRDefault="00D96C4E">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5EA237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F9"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7FA"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37FB" w14:textId="77777777" w:rsidR="003C66EB" w:rsidRDefault="00D96C4E">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5EA237F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7FD"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7FE"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37FF"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80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01"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802"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3803" w14:textId="77777777" w:rsidR="003C66EB" w:rsidRDefault="00D96C4E">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5EA2380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05"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3806"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380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808" w14:textId="77777777" w:rsidR="003C66EB" w:rsidRDefault="003C66EB">
            <w:pPr>
              <w:jc w:val="right"/>
              <w:rPr>
                <w:rFonts w:ascii="宋体"/>
              </w:rPr>
            </w:pPr>
          </w:p>
        </w:tc>
      </w:tr>
      <w:tr w:rsidR="003C66EB" w14:paraId="5EA23819" w14:textId="77777777">
        <w:tc>
          <w:tcPr>
            <w:tcW w:w="0" w:type="auto"/>
            <w:gridSpan w:val="3"/>
            <w:shd w:val="clear" w:color="auto" w:fill="CCEEFF"/>
            <w:tcMar>
              <w:top w:w="40" w:type="dxa"/>
              <w:left w:w="20" w:type="dxa"/>
              <w:bottom w:w="40" w:type="dxa"/>
              <w:right w:w="20" w:type="dxa"/>
            </w:tcMar>
            <w:vAlign w:val="bottom"/>
          </w:tcPr>
          <w:p w14:paraId="5EA2380A" w14:textId="77777777" w:rsidR="003C66EB" w:rsidRDefault="00D96C4E">
            <w:pPr>
              <w:textAlignment w:val="bottom"/>
            </w:pPr>
            <w:r>
              <w:rPr>
                <w:rFonts w:ascii="Arial" w:eastAsia="宋体" w:hAnsi="Arial" w:cs="Arial"/>
                <w:color w:val="000000"/>
                <w:sz w:val="13"/>
                <w:szCs w:val="13"/>
              </w:rPr>
              <w:t>Interest-bearing - U.S.</w:t>
            </w:r>
          </w:p>
        </w:tc>
        <w:tc>
          <w:tcPr>
            <w:tcW w:w="0" w:type="auto"/>
            <w:gridSpan w:val="2"/>
            <w:shd w:val="clear" w:color="auto" w:fill="CCEEFF"/>
            <w:tcMar>
              <w:top w:w="40" w:type="dxa"/>
              <w:left w:w="20" w:type="dxa"/>
              <w:bottom w:w="40" w:type="dxa"/>
              <w:right w:w="0" w:type="dxa"/>
            </w:tcMar>
            <w:vAlign w:val="bottom"/>
          </w:tcPr>
          <w:p w14:paraId="5EA2380B" w14:textId="77777777" w:rsidR="003C66EB" w:rsidRDefault="00D96C4E">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5EA2380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0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0E" w14:textId="77777777" w:rsidR="003C66EB" w:rsidRDefault="00D96C4E">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5EA238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1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1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1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14" w14:textId="77777777" w:rsidR="003C66EB" w:rsidRDefault="00D96C4E">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5EA2381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1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1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18" w14:textId="77777777" w:rsidR="003C66EB" w:rsidRDefault="003C66EB">
            <w:pPr>
              <w:jc w:val="right"/>
              <w:rPr>
                <w:rFonts w:ascii="宋体"/>
              </w:rPr>
            </w:pPr>
          </w:p>
        </w:tc>
      </w:tr>
      <w:tr w:rsidR="003C66EB" w14:paraId="5EA23829" w14:textId="77777777">
        <w:tc>
          <w:tcPr>
            <w:tcW w:w="0" w:type="auto"/>
            <w:gridSpan w:val="3"/>
            <w:shd w:val="clear" w:color="auto" w:fill="FFFFFF"/>
            <w:tcMar>
              <w:top w:w="40" w:type="dxa"/>
              <w:left w:w="20" w:type="dxa"/>
              <w:bottom w:w="40" w:type="dxa"/>
              <w:right w:w="20" w:type="dxa"/>
            </w:tcMar>
            <w:vAlign w:val="bottom"/>
          </w:tcPr>
          <w:p w14:paraId="5EA2381A" w14:textId="77777777" w:rsidR="003C66EB" w:rsidRDefault="00D96C4E">
            <w:pPr>
              <w:textAlignment w:val="bottom"/>
            </w:pPr>
            <w:r>
              <w:rPr>
                <w:rFonts w:ascii="Arial" w:eastAsia="宋体" w:hAnsi="Arial" w:cs="Arial"/>
                <w:color w:val="000000"/>
                <w:sz w:val="13"/>
                <w:szCs w:val="13"/>
              </w:rPr>
              <w:t>Interest-bearing - non-U.S.</w:t>
            </w:r>
          </w:p>
        </w:tc>
        <w:tc>
          <w:tcPr>
            <w:tcW w:w="0" w:type="auto"/>
            <w:gridSpan w:val="2"/>
            <w:shd w:val="clear" w:color="auto" w:fill="FFFFFF"/>
            <w:tcMar>
              <w:top w:w="40" w:type="dxa"/>
              <w:left w:w="20" w:type="dxa"/>
              <w:bottom w:w="40" w:type="dxa"/>
              <w:right w:w="0" w:type="dxa"/>
            </w:tcMar>
            <w:vAlign w:val="bottom"/>
          </w:tcPr>
          <w:p w14:paraId="5EA2381B" w14:textId="77777777" w:rsidR="003C66EB" w:rsidRDefault="00D96C4E">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5EA2381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1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1E" w14:textId="77777777" w:rsidR="003C66EB" w:rsidRDefault="00D96C4E">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5EA2381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2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2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82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2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24" w14:textId="77777777" w:rsidR="003C66EB" w:rsidRDefault="00D96C4E">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5EA238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2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2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828" w14:textId="77777777" w:rsidR="003C66EB" w:rsidRDefault="003C66EB">
            <w:pPr>
              <w:jc w:val="right"/>
              <w:rPr>
                <w:rFonts w:ascii="宋体"/>
              </w:rPr>
            </w:pPr>
          </w:p>
        </w:tc>
      </w:tr>
      <w:tr w:rsidR="003C66EB" w14:paraId="5EA23839" w14:textId="77777777">
        <w:tc>
          <w:tcPr>
            <w:tcW w:w="0" w:type="auto"/>
            <w:gridSpan w:val="3"/>
            <w:shd w:val="clear" w:color="auto" w:fill="CCEEFF"/>
            <w:tcMar>
              <w:top w:w="40" w:type="dxa"/>
              <w:left w:w="20" w:type="dxa"/>
              <w:bottom w:w="40" w:type="dxa"/>
              <w:right w:w="20" w:type="dxa"/>
            </w:tcMar>
            <w:vAlign w:val="bottom"/>
          </w:tcPr>
          <w:p w14:paraId="5EA2382A" w14:textId="77777777" w:rsidR="003C66EB" w:rsidRDefault="00D96C4E">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EA2382B" w14:textId="77777777" w:rsidR="003C66EB" w:rsidRDefault="00D96C4E">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5EA238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2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2E" w14:textId="77777777" w:rsidR="003C66EB" w:rsidRDefault="00D96C4E">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5EA238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3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3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3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3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34" w14:textId="77777777" w:rsidR="003C66EB" w:rsidRDefault="00D96C4E">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5EA2383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3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3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38" w14:textId="77777777" w:rsidR="003C66EB" w:rsidRDefault="003C66EB">
            <w:pPr>
              <w:jc w:val="right"/>
              <w:rPr>
                <w:rFonts w:ascii="宋体"/>
              </w:rPr>
            </w:pPr>
          </w:p>
        </w:tc>
      </w:tr>
      <w:tr w:rsidR="003C66EB" w14:paraId="5EA23849" w14:textId="77777777">
        <w:tc>
          <w:tcPr>
            <w:tcW w:w="0" w:type="auto"/>
            <w:gridSpan w:val="3"/>
            <w:shd w:val="clear" w:color="auto" w:fill="FFFFFF"/>
            <w:tcMar>
              <w:top w:w="40" w:type="dxa"/>
              <w:left w:w="20" w:type="dxa"/>
              <w:bottom w:w="40" w:type="dxa"/>
              <w:right w:w="20" w:type="dxa"/>
            </w:tcMar>
            <w:vAlign w:val="bottom"/>
          </w:tcPr>
          <w:p w14:paraId="5EA2383A" w14:textId="77777777" w:rsidR="003C66EB" w:rsidRDefault="00D96C4E">
            <w:pPr>
              <w:textAlignment w:val="bottom"/>
            </w:pPr>
            <w:r>
              <w:rPr>
                <w:rFonts w:ascii="Arial" w:eastAsia="宋体" w:hAnsi="Arial" w:cs="Arial"/>
                <w:color w:val="000000"/>
                <w:sz w:val="13"/>
                <w:szCs w:val="13"/>
              </w:rPr>
              <w:t>Short-term borrowings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5EA2383B" w14:textId="77777777" w:rsidR="003C66EB" w:rsidRDefault="00D96C4E">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5EA2383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3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3E" w14:textId="77777777" w:rsidR="003C66EB" w:rsidRDefault="00D96C4E">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5EA238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4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4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8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44" w14:textId="77777777" w:rsidR="003C66EB" w:rsidRDefault="00D96C4E">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5EA238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8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84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3848" w14:textId="77777777" w:rsidR="003C66EB" w:rsidRDefault="003C66EB">
            <w:pPr>
              <w:jc w:val="right"/>
              <w:rPr>
                <w:rFonts w:ascii="宋体"/>
              </w:rPr>
            </w:pPr>
          </w:p>
        </w:tc>
      </w:tr>
      <w:tr w:rsidR="003C66EB" w14:paraId="5EA23859" w14:textId="77777777">
        <w:tc>
          <w:tcPr>
            <w:tcW w:w="0" w:type="auto"/>
            <w:gridSpan w:val="3"/>
            <w:shd w:val="clear" w:color="auto" w:fill="CCEEFF"/>
            <w:tcMar>
              <w:top w:w="40" w:type="dxa"/>
              <w:left w:w="20" w:type="dxa"/>
              <w:bottom w:w="40" w:type="dxa"/>
              <w:right w:w="20" w:type="dxa"/>
            </w:tcMar>
            <w:vAlign w:val="bottom"/>
          </w:tcPr>
          <w:p w14:paraId="5EA2384A" w14:textId="77777777" w:rsidR="003C66EB" w:rsidRDefault="00D96C4E">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5EA2384B" w14:textId="77777777" w:rsidR="003C66EB" w:rsidRDefault="00D96C4E">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5EA238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4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4E" w14:textId="77777777" w:rsidR="003C66EB" w:rsidRDefault="00D96C4E">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5EA238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5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5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54" w14:textId="77777777" w:rsidR="003C66EB" w:rsidRDefault="00D96C4E">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5EA238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5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5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58" w14:textId="77777777" w:rsidR="003C66EB" w:rsidRDefault="003C66EB">
            <w:pPr>
              <w:jc w:val="right"/>
              <w:rPr>
                <w:rFonts w:ascii="宋体"/>
              </w:rPr>
            </w:pPr>
          </w:p>
        </w:tc>
      </w:tr>
      <w:tr w:rsidR="003C66EB" w14:paraId="5EA23869" w14:textId="77777777">
        <w:tc>
          <w:tcPr>
            <w:tcW w:w="0" w:type="auto"/>
            <w:gridSpan w:val="3"/>
            <w:shd w:val="clear" w:color="auto" w:fill="FFFFFF"/>
            <w:tcMar>
              <w:top w:w="40" w:type="dxa"/>
              <w:left w:w="20" w:type="dxa"/>
              <w:bottom w:w="40" w:type="dxa"/>
              <w:right w:w="20" w:type="dxa"/>
            </w:tcMar>
            <w:vAlign w:val="bottom"/>
          </w:tcPr>
          <w:p w14:paraId="5EA2385A" w14:textId="77777777" w:rsidR="003C66EB" w:rsidRDefault="00D96C4E">
            <w:pPr>
              <w:textAlignment w:val="bottom"/>
            </w:pPr>
            <w:r>
              <w:rPr>
                <w:rFonts w:ascii="Arial" w:eastAsia="宋体" w:hAnsi="Arial" w:cs="Arial"/>
                <w:color w:val="000000"/>
                <w:sz w:val="13"/>
                <w:szCs w:val="13"/>
              </w:rPr>
              <w:t>Long-term debt</w:t>
            </w:r>
          </w:p>
        </w:tc>
        <w:tc>
          <w:tcPr>
            <w:tcW w:w="0" w:type="auto"/>
            <w:gridSpan w:val="2"/>
            <w:shd w:val="clear" w:color="auto" w:fill="auto"/>
            <w:tcMar>
              <w:top w:w="40" w:type="dxa"/>
              <w:left w:w="20" w:type="dxa"/>
              <w:bottom w:w="40" w:type="dxa"/>
              <w:right w:w="0" w:type="dxa"/>
            </w:tcMar>
            <w:vAlign w:val="bottom"/>
          </w:tcPr>
          <w:p w14:paraId="5EA2385B" w14:textId="77777777" w:rsidR="003C66EB" w:rsidRDefault="00D96C4E">
            <w:pPr>
              <w:jc w:val="right"/>
              <w:textAlignment w:val="bottom"/>
            </w:pPr>
            <w:r>
              <w:rPr>
                <w:rFonts w:ascii="Arial" w:eastAsia="宋体" w:hAnsi="Arial" w:cs="Arial"/>
                <w:color w:val="000000"/>
                <w:sz w:val="13"/>
                <w:szCs w:val="13"/>
              </w:rPr>
              <w:t>13,805 </w:t>
            </w:r>
          </w:p>
        </w:tc>
        <w:tc>
          <w:tcPr>
            <w:tcW w:w="0" w:type="auto"/>
            <w:shd w:val="clear" w:color="auto" w:fill="auto"/>
            <w:tcMar>
              <w:top w:w="40" w:type="dxa"/>
              <w:left w:w="0" w:type="dxa"/>
              <w:bottom w:w="40" w:type="dxa"/>
              <w:right w:w="20" w:type="dxa"/>
            </w:tcMar>
            <w:vAlign w:val="bottom"/>
          </w:tcPr>
          <w:p w14:paraId="5EA2385C"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85D"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85E" w14:textId="77777777" w:rsidR="003C66EB" w:rsidRDefault="00D96C4E">
            <w:pPr>
              <w:jc w:val="right"/>
              <w:textAlignment w:val="bottom"/>
            </w:pPr>
            <w:r>
              <w:rPr>
                <w:rFonts w:ascii="Arial" w:eastAsia="宋体" w:hAnsi="Arial" w:cs="Arial"/>
                <w:color w:val="000000"/>
                <w:sz w:val="13"/>
                <w:szCs w:val="13"/>
              </w:rPr>
              <w:t>14,162 </w:t>
            </w:r>
          </w:p>
        </w:tc>
        <w:tc>
          <w:tcPr>
            <w:tcW w:w="0" w:type="auto"/>
            <w:shd w:val="clear" w:color="auto" w:fill="auto"/>
            <w:tcMar>
              <w:top w:w="40" w:type="dxa"/>
              <w:left w:w="0" w:type="dxa"/>
              <w:bottom w:w="40" w:type="dxa"/>
              <w:right w:w="20" w:type="dxa"/>
            </w:tcMar>
            <w:vAlign w:val="bottom"/>
          </w:tcPr>
          <w:p w14:paraId="5EA2385F"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860"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86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A23862"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863"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864" w14:textId="77777777" w:rsidR="003C66EB" w:rsidRDefault="00D96C4E">
            <w:pPr>
              <w:jc w:val="right"/>
              <w:textAlignment w:val="bottom"/>
            </w:pPr>
            <w:r>
              <w:rPr>
                <w:rFonts w:ascii="Arial" w:eastAsia="宋体" w:hAnsi="Arial" w:cs="Arial"/>
                <w:color w:val="000000"/>
                <w:sz w:val="13"/>
                <w:szCs w:val="13"/>
              </w:rPr>
              <w:t>14,049 </w:t>
            </w:r>
          </w:p>
        </w:tc>
        <w:tc>
          <w:tcPr>
            <w:tcW w:w="0" w:type="auto"/>
            <w:shd w:val="clear" w:color="auto" w:fill="auto"/>
            <w:tcMar>
              <w:top w:w="40" w:type="dxa"/>
              <w:left w:w="0" w:type="dxa"/>
              <w:bottom w:w="40" w:type="dxa"/>
              <w:right w:w="20" w:type="dxa"/>
            </w:tcMar>
            <w:vAlign w:val="bottom"/>
          </w:tcPr>
          <w:p w14:paraId="5EA23865"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3866"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3867" w14:textId="77777777" w:rsidR="003C66EB" w:rsidRDefault="00D96C4E">
            <w:pPr>
              <w:jc w:val="right"/>
              <w:textAlignment w:val="bottom"/>
            </w:pPr>
            <w:r>
              <w:rPr>
                <w:rFonts w:ascii="Arial" w:eastAsia="宋体" w:hAnsi="Arial" w:cs="Arial"/>
                <w:color w:val="000000"/>
                <w:sz w:val="13"/>
                <w:szCs w:val="13"/>
              </w:rPr>
              <w:t>113 </w:t>
            </w:r>
          </w:p>
        </w:tc>
        <w:tc>
          <w:tcPr>
            <w:tcW w:w="0" w:type="auto"/>
            <w:shd w:val="clear" w:color="auto" w:fill="auto"/>
            <w:tcMar>
              <w:top w:w="40" w:type="dxa"/>
              <w:left w:w="0" w:type="dxa"/>
              <w:bottom w:w="40" w:type="dxa"/>
              <w:right w:w="20" w:type="dxa"/>
            </w:tcMar>
            <w:vAlign w:val="bottom"/>
          </w:tcPr>
          <w:p w14:paraId="5EA23868" w14:textId="77777777" w:rsidR="003C66EB" w:rsidRDefault="003C66EB">
            <w:pPr>
              <w:jc w:val="right"/>
              <w:rPr>
                <w:rFonts w:ascii="宋体"/>
              </w:rPr>
            </w:pPr>
          </w:p>
        </w:tc>
      </w:tr>
      <w:tr w:rsidR="003C66EB" w14:paraId="5EA23879" w14:textId="77777777">
        <w:tc>
          <w:tcPr>
            <w:tcW w:w="0" w:type="auto"/>
            <w:gridSpan w:val="3"/>
            <w:shd w:val="clear" w:color="auto" w:fill="CCEEFF"/>
            <w:tcMar>
              <w:top w:w="40" w:type="dxa"/>
              <w:left w:w="20" w:type="dxa"/>
              <w:bottom w:w="40" w:type="dxa"/>
              <w:right w:w="20" w:type="dxa"/>
            </w:tcMar>
            <w:vAlign w:val="bottom"/>
          </w:tcPr>
          <w:p w14:paraId="5EA2386A" w14:textId="77777777" w:rsidR="003C66EB" w:rsidRDefault="00D96C4E">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A2386B" w14:textId="77777777" w:rsidR="003C66EB" w:rsidRDefault="00D96C4E">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A238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6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6E" w14:textId="77777777" w:rsidR="003C66EB" w:rsidRDefault="00D96C4E">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A2386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7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7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7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7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74" w14:textId="77777777" w:rsidR="003C66EB" w:rsidRDefault="00D96C4E">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A2387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87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877"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3878" w14:textId="77777777" w:rsidR="003C66EB" w:rsidRDefault="003C66EB">
            <w:pPr>
              <w:jc w:val="right"/>
              <w:rPr>
                <w:rFonts w:ascii="宋体"/>
              </w:rPr>
            </w:pPr>
          </w:p>
        </w:tc>
      </w:tr>
    </w:tbl>
    <w:p w14:paraId="5EA2387A"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3C66EB" w14:paraId="5EA23887" w14:textId="77777777">
        <w:tc>
          <w:tcPr>
            <w:tcW w:w="50" w:type="pct"/>
            <w:shd w:val="clear" w:color="auto" w:fill="auto"/>
          </w:tcPr>
          <w:p w14:paraId="5EA2387B" w14:textId="77777777" w:rsidR="003C66EB" w:rsidRDefault="003C66EB">
            <w:pPr>
              <w:rPr>
                <w:rFonts w:ascii="宋体"/>
              </w:rPr>
            </w:pPr>
          </w:p>
        </w:tc>
        <w:tc>
          <w:tcPr>
            <w:tcW w:w="1348" w:type="pct"/>
            <w:shd w:val="clear" w:color="auto" w:fill="auto"/>
          </w:tcPr>
          <w:p w14:paraId="5EA2387C" w14:textId="77777777" w:rsidR="003C66EB" w:rsidRDefault="003C66EB">
            <w:pPr>
              <w:rPr>
                <w:rFonts w:ascii="宋体"/>
              </w:rPr>
            </w:pPr>
          </w:p>
        </w:tc>
        <w:tc>
          <w:tcPr>
            <w:tcW w:w="5" w:type="pct"/>
            <w:shd w:val="clear" w:color="auto" w:fill="auto"/>
          </w:tcPr>
          <w:p w14:paraId="5EA2387D" w14:textId="77777777" w:rsidR="003C66EB" w:rsidRDefault="003C66EB">
            <w:pPr>
              <w:rPr>
                <w:rFonts w:ascii="宋体"/>
              </w:rPr>
            </w:pPr>
          </w:p>
        </w:tc>
        <w:tc>
          <w:tcPr>
            <w:tcW w:w="50" w:type="pct"/>
            <w:shd w:val="clear" w:color="auto" w:fill="auto"/>
          </w:tcPr>
          <w:p w14:paraId="5EA2387E" w14:textId="77777777" w:rsidR="003C66EB" w:rsidRDefault="003C66EB">
            <w:pPr>
              <w:rPr>
                <w:rFonts w:ascii="宋体"/>
              </w:rPr>
            </w:pPr>
          </w:p>
        </w:tc>
        <w:tc>
          <w:tcPr>
            <w:tcW w:w="968" w:type="pct"/>
            <w:shd w:val="clear" w:color="auto" w:fill="auto"/>
          </w:tcPr>
          <w:p w14:paraId="5EA2387F" w14:textId="77777777" w:rsidR="003C66EB" w:rsidRDefault="003C66EB">
            <w:pPr>
              <w:rPr>
                <w:rFonts w:ascii="宋体"/>
              </w:rPr>
            </w:pPr>
          </w:p>
        </w:tc>
        <w:tc>
          <w:tcPr>
            <w:tcW w:w="5" w:type="pct"/>
            <w:shd w:val="clear" w:color="auto" w:fill="auto"/>
          </w:tcPr>
          <w:p w14:paraId="5EA23880" w14:textId="77777777" w:rsidR="003C66EB" w:rsidRDefault="003C66EB">
            <w:pPr>
              <w:rPr>
                <w:rFonts w:ascii="宋体"/>
              </w:rPr>
            </w:pPr>
          </w:p>
        </w:tc>
        <w:tc>
          <w:tcPr>
            <w:tcW w:w="50" w:type="pct"/>
            <w:shd w:val="clear" w:color="auto" w:fill="auto"/>
          </w:tcPr>
          <w:p w14:paraId="5EA23881" w14:textId="77777777" w:rsidR="003C66EB" w:rsidRDefault="003C66EB">
            <w:pPr>
              <w:rPr>
                <w:rFonts w:ascii="宋体"/>
              </w:rPr>
            </w:pPr>
          </w:p>
        </w:tc>
        <w:tc>
          <w:tcPr>
            <w:tcW w:w="858" w:type="pct"/>
            <w:shd w:val="clear" w:color="auto" w:fill="auto"/>
          </w:tcPr>
          <w:p w14:paraId="5EA23882" w14:textId="77777777" w:rsidR="003C66EB" w:rsidRDefault="003C66EB">
            <w:pPr>
              <w:rPr>
                <w:rFonts w:ascii="宋体"/>
              </w:rPr>
            </w:pPr>
          </w:p>
        </w:tc>
        <w:tc>
          <w:tcPr>
            <w:tcW w:w="5" w:type="pct"/>
            <w:shd w:val="clear" w:color="auto" w:fill="auto"/>
          </w:tcPr>
          <w:p w14:paraId="5EA23883" w14:textId="77777777" w:rsidR="003C66EB" w:rsidRDefault="003C66EB">
            <w:pPr>
              <w:rPr>
                <w:rFonts w:ascii="宋体"/>
              </w:rPr>
            </w:pPr>
          </w:p>
        </w:tc>
        <w:tc>
          <w:tcPr>
            <w:tcW w:w="50" w:type="pct"/>
            <w:shd w:val="clear" w:color="auto" w:fill="auto"/>
          </w:tcPr>
          <w:p w14:paraId="5EA23884" w14:textId="77777777" w:rsidR="003C66EB" w:rsidRDefault="003C66EB">
            <w:pPr>
              <w:rPr>
                <w:rFonts w:ascii="宋体"/>
              </w:rPr>
            </w:pPr>
          </w:p>
        </w:tc>
        <w:tc>
          <w:tcPr>
            <w:tcW w:w="1604" w:type="pct"/>
            <w:shd w:val="clear" w:color="auto" w:fill="auto"/>
          </w:tcPr>
          <w:p w14:paraId="5EA23885" w14:textId="77777777" w:rsidR="003C66EB" w:rsidRDefault="003C66EB">
            <w:pPr>
              <w:rPr>
                <w:rFonts w:ascii="宋体"/>
              </w:rPr>
            </w:pPr>
          </w:p>
        </w:tc>
        <w:tc>
          <w:tcPr>
            <w:tcW w:w="5" w:type="pct"/>
            <w:shd w:val="clear" w:color="auto" w:fill="auto"/>
          </w:tcPr>
          <w:p w14:paraId="5EA23886" w14:textId="77777777" w:rsidR="003C66EB" w:rsidRDefault="003C66EB">
            <w:pPr>
              <w:rPr>
                <w:rFonts w:ascii="宋体"/>
              </w:rPr>
            </w:pPr>
          </w:p>
        </w:tc>
      </w:tr>
      <w:tr w:rsidR="003C66EB" w14:paraId="5EA2388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388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8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8B" w14:textId="77777777" w:rsidR="003C66EB" w:rsidRDefault="003C66EB">
            <w:pPr>
              <w:rPr>
                <w:rFonts w:ascii="宋体"/>
              </w:rPr>
            </w:pPr>
          </w:p>
        </w:tc>
      </w:tr>
    </w:tbl>
    <w:p w14:paraId="5EA2388D" w14:textId="77777777" w:rsidR="003C66EB" w:rsidRDefault="00D96C4E">
      <w:pPr>
        <w:spacing w:before="60"/>
      </w:pPr>
      <w:r>
        <w:rPr>
          <w:rFonts w:ascii="Arial" w:eastAsia="宋体" w:hAnsi="Arial" w:cs="Arial"/>
          <w:color w:val="000000"/>
          <w:sz w:val="7"/>
          <w:szCs w:val="7"/>
        </w:rPr>
        <w:t>(1)</w:t>
      </w:r>
      <w:r>
        <w:rPr>
          <w:rFonts w:ascii="Arial" w:eastAsia="宋体" w:hAnsi="Arial" w:cs="Arial"/>
          <w:color w:val="000000"/>
          <w:sz w:val="12"/>
          <w:szCs w:val="12"/>
        </w:rPr>
        <w:t xml:space="preserve"> Represents a portion of underlying client assets related to our enhanced custody business, which clients have allowed us to transfer and re-pledge.</w:t>
      </w:r>
    </w:p>
    <w:p w14:paraId="5EA2388E" w14:textId="77777777" w:rsidR="003C66EB" w:rsidRDefault="003C66EB">
      <w:pPr>
        <w:spacing w:before="60"/>
      </w:pPr>
    </w:p>
    <w:p w14:paraId="5EA2388F" w14:textId="77777777" w:rsidR="003C66EB" w:rsidRDefault="00D96C4E">
      <w:pPr>
        <w:spacing w:before="60"/>
        <w:jc w:val="both"/>
      </w:pPr>
      <w:r>
        <w:rPr>
          <w:rFonts w:ascii="Arial" w:eastAsia="宋体" w:hAnsi="Arial" w:cs="Arial"/>
          <w:b/>
          <w:bCs/>
          <w:color w:val="000000"/>
          <w:sz w:val="20"/>
          <w:szCs w:val="20"/>
        </w:rPr>
        <w:t>Note 3.    Investment Securities</w:t>
      </w:r>
    </w:p>
    <w:p w14:paraId="5EA23890" w14:textId="77777777" w:rsidR="003C66EB" w:rsidRDefault="00D96C4E">
      <w:pPr>
        <w:spacing w:before="60"/>
        <w:ind w:firstLine="450"/>
        <w:jc w:val="both"/>
      </w:pPr>
      <w:r>
        <w:rPr>
          <w:rFonts w:ascii="Arial" w:eastAsia="宋体" w:hAnsi="Arial" w:cs="Arial"/>
          <w:color w:val="000000"/>
          <w:sz w:val="20"/>
          <w:szCs w:val="20"/>
        </w:rPr>
        <w:t>Investment securities held by us are classified as either trading account</w:t>
      </w:r>
      <w:r>
        <w:rPr>
          <w:rFonts w:ascii="Arial" w:eastAsia="宋体" w:hAnsi="Arial" w:cs="Arial"/>
          <w:color w:val="000000"/>
          <w:sz w:val="20"/>
          <w:szCs w:val="20"/>
        </w:rPr>
        <w:t xml:space="preserve"> assets, AFS, HTM or equity securities held at fair value at the time of purchase and reassessed periodically, based on management’s intent. For additional information on our accounting for investment securities, refer to page 143 in Note 3 to the consolid</w:t>
      </w:r>
      <w:r>
        <w:rPr>
          <w:rFonts w:ascii="Arial" w:eastAsia="宋体" w:hAnsi="Arial" w:cs="Arial"/>
          <w:color w:val="000000"/>
          <w:sz w:val="20"/>
          <w:szCs w:val="20"/>
        </w:rPr>
        <w:t>ated financial statements included under Item 8, Financial Statements and Supplementary Data, in our 2020 Form 10-K.</w:t>
      </w:r>
    </w:p>
    <w:p w14:paraId="5EA23891" w14:textId="77777777" w:rsidR="003C66EB" w:rsidRDefault="00D96C4E">
      <w:pPr>
        <w:spacing w:before="60"/>
        <w:ind w:firstLine="450"/>
        <w:jc w:val="both"/>
      </w:pPr>
      <w:r>
        <w:rPr>
          <w:rFonts w:ascii="Arial" w:eastAsia="宋体" w:hAnsi="Arial" w:cs="Arial"/>
          <w:color w:val="000000"/>
          <w:sz w:val="20"/>
          <w:szCs w:val="20"/>
        </w:rPr>
        <w:t xml:space="preserve">Trading assets are carried at fair value. Both realized and unrealized gains and losses on trading assets are recorded in foreign exchange </w:t>
      </w:r>
      <w:r>
        <w:rPr>
          <w:rFonts w:ascii="Arial" w:eastAsia="宋体" w:hAnsi="Arial" w:cs="Arial"/>
          <w:color w:val="000000"/>
          <w:sz w:val="20"/>
          <w:szCs w:val="20"/>
        </w:rPr>
        <w:t>trading services revenue in our consolidated statement of income. AFS securities are carried at fair value, with any allowance for credit losses recorded through the consolidated statement of income and after-tax net unrealized gains and losses are recorde</w:t>
      </w:r>
      <w:r>
        <w:rPr>
          <w:rFonts w:ascii="Arial" w:eastAsia="宋体" w:hAnsi="Arial" w:cs="Arial"/>
          <w:color w:val="000000"/>
          <w:sz w:val="20"/>
          <w:szCs w:val="20"/>
        </w:rPr>
        <w:t xml:space="preserve">d in AOCI. Gains or losses realized on sales of AFS investment securities are computed using the specific identification method and are recorded in gains (losses) related to investment securities, net, in our consolidated statement of income. </w:t>
      </w:r>
    </w:p>
    <w:p w14:paraId="5EA23892" w14:textId="77777777" w:rsidR="003C66EB" w:rsidRDefault="00D96C4E">
      <w:pPr>
        <w:spacing w:before="60"/>
        <w:ind w:firstLine="450"/>
        <w:jc w:val="both"/>
      </w:pPr>
      <w:r>
        <w:rPr>
          <w:rFonts w:ascii="Arial" w:eastAsia="宋体" w:hAnsi="Arial" w:cs="Arial"/>
          <w:color w:val="000000"/>
          <w:sz w:val="20"/>
          <w:szCs w:val="20"/>
        </w:rPr>
        <w:t xml:space="preserve">Starting in </w:t>
      </w:r>
      <w:r>
        <w:rPr>
          <w:rFonts w:ascii="Arial" w:eastAsia="宋体" w:hAnsi="Arial" w:cs="Arial"/>
          <w:color w:val="000000"/>
          <w:sz w:val="20"/>
          <w:szCs w:val="20"/>
        </w:rPr>
        <w:t>the first quarter of 2020, we supported our clients' liquidity needs through the MMLF program, purchasing a total of $29 billion of investment securities under that program, $0.2 billion of which remain outstanding as of March 31, 2021.</w:t>
      </w:r>
    </w:p>
    <w:p w14:paraId="5EA23893" w14:textId="77777777" w:rsidR="003C66EB" w:rsidRDefault="00D96C4E">
      <w:pPr>
        <w:spacing w:before="60"/>
        <w:ind w:firstLine="450"/>
        <w:jc w:val="both"/>
      </w:pPr>
      <w:r>
        <w:rPr>
          <w:rFonts w:ascii="Arial" w:eastAsia="宋体" w:hAnsi="Arial" w:cs="Arial"/>
          <w:color w:val="000000"/>
          <w:sz w:val="20"/>
          <w:szCs w:val="20"/>
        </w:rPr>
        <w:t>HTM investment secu</w:t>
      </w:r>
      <w:r>
        <w:rPr>
          <w:rFonts w:ascii="Arial" w:eastAsia="宋体" w:hAnsi="Arial" w:cs="Arial"/>
          <w:color w:val="000000"/>
          <w:sz w:val="20"/>
          <w:szCs w:val="20"/>
        </w:rPr>
        <w:t xml:space="preserve">rities are carried at cost, adjusted for amortization of premiums and accretion of discounts, with any allowance for credit losses recorded through the consolidated statement of income. As of March 31, 2021, we recognized an allowance for credit losses on </w:t>
      </w:r>
      <w:r>
        <w:rPr>
          <w:rFonts w:ascii="Arial" w:eastAsia="宋体" w:hAnsi="Arial" w:cs="Arial"/>
          <w:color w:val="000000"/>
          <w:sz w:val="20"/>
          <w:szCs w:val="20"/>
        </w:rPr>
        <w:t>HTM investment securities of $2 million.</w:t>
      </w:r>
    </w:p>
    <w:p w14:paraId="5EA23894" w14:textId="77777777" w:rsidR="003C66EB" w:rsidRDefault="003C66EB">
      <w:pPr>
        <w:spacing w:before="60"/>
        <w:ind w:firstLine="450"/>
        <w:jc w:val="both"/>
      </w:pPr>
    </w:p>
    <w:p w14:paraId="5EA23895" w14:textId="77777777" w:rsidR="003C66EB" w:rsidRDefault="00D96C4E">
      <w:pPr>
        <w:ind w:firstLine="450"/>
        <w:jc w:val="right"/>
      </w:pPr>
      <w:r>
        <w:rPr>
          <w:rFonts w:ascii="Arial" w:eastAsia="宋体" w:hAnsi="Arial" w:cs="Arial"/>
          <w:color w:val="000000"/>
          <w:sz w:val="18"/>
          <w:szCs w:val="18"/>
        </w:rPr>
        <w:t>State Street Corporation | 58</w:t>
      </w:r>
    </w:p>
    <w:p w14:paraId="5EA23896" w14:textId="77777777" w:rsidR="003C66EB" w:rsidRDefault="003C66EB">
      <w:pPr>
        <w:ind w:firstLine="450"/>
        <w:jc w:val="center"/>
      </w:pPr>
    </w:p>
    <w:p w14:paraId="5EA23897" w14:textId="77777777" w:rsidR="003C66EB" w:rsidRDefault="00D96C4E">
      <w:r>
        <w:pict w14:anchorId="5EA287EA">
          <v:rect id="_x0000_i1082" style="width:415.3pt;height:1.5pt" o:hralign="center" o:hrstd="t" o:hr="t" fillcolor="#a0a0a0" stroked="f"/>
        </w:pict>
      </w:r>
    </w:p>
    <w:p w14:paraId="5EA23898" w14:textId="77777777" w:rsidR="003C66EB" w:rsidRDefault="00D96C4E">
      <w:pPr>
        <w:ind w:firstLine="450"/>
        <w:jc w:val="center"/>
      </w:pPr>
      <w:r>
        <w:rPr>
          <w:rFonts w:ascii="Arial" w:eastAsia="宋体" w:hAnsi="Arial" w:cs="Arial"/>
          <w:b/>
          <w:bCs/>
          <w:color w:val="000000"/>
          <w:sz w:val="20"/>
          <w:szCs w:val="20"/>
        </w:rPr>
        <w:t>STATE STREET CORPORATION</w:t>
      </w:r>
    </w:p>
    <w:p w14:paraId="5EA23899"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389A" w14:textId="77777777" w:rsidR="003C66EB" w:rsidRDefault="00D96C4E">
      <w:pPr>
        <w:ind w:firstLine="450"/>
        <w:jc w:val="center"/>
      </w:pPr>
      <w:r>
        <w:rPr>
          <w:rFonts w:ascii="Arial" w:eastAsia="宋体" w:hAnsi="Arial" w:cs="Arial"/>
          <w:b/>
          <w:bCs/>
          <w:color w:val="000000"/>
          <w:sz w:val="20"/>
          <w:szCs w:val="20"/>
        </w:rPr>
        <w:t>(UNAUDITED)</w:t>
      </w:r>
    </w:p>
    <w:p w14:paraId="5EA2389B" w14:textId="77777777" w:rsidR="003C66EB" w:rsidRDefault="00D96C4E">
      <w:pPr>
        <w:spacing w:before="60"/>
        <w:ind w:firstLine="450"/>
        <w:jc w:val="both"/>
      </w:pPr>
      <w:r>
        <w:rPr>
          <w:rFonts w:ascii="Arial" w:eastAsia="宋体" w:hAnsi="Arial" w:cs="Arial"/>
          <w:color w:val="000000"/>
          <w:sz w:val="20"/>
          <w:szCs w:val="20"/>
        </w:rPr>
        <w:t xml:space="preserve">The following table presents the amortized cost, fair value and associated </w:t>
      </w:r>
      <w:r>
        <w:rPr>
          <w:rFonts w:ascii="Arial" w:eastAsia="宋体" w:hAnsi="Arial" w:cs="Arial"/>
          <w:color w:val="000000"/>
          <w:sz w:val="20"/>
          <w:szCs w:val="20"/>
        </w:rPr>
        <w:t>unrealized gains and losses of AFS and HTM investment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293"/>
        <w:gridCol w:w="37"/>
        <w:gridCol w:w="105"/>
        <w:gridCol w:w="679"/>
        <w:gridCol w:w="36"/>
        <w:gridCol w:w="36"/>
        <w:gridCol w:w="36"/>
        <w:gridCol w:w="36"/>
        <w:gridCol w:w="105"/>
        <w:gridCol w:w="377"/>
        <w:gridCol w:w="36"/>
        <w:gridCol w:w="36"/>
        <w:gridCol w:w="36"/>
        <w:gridCol w:w="36"/>
        <w:gridCol w:w="105"/>
        <w:gridCol w:w="464"/>
        <w:gridCol w:w="36"/>
        <w:gridCol w:w="36"/>
        <w:gridCol w:w="36"/>
        <w:gridCol w:w="36"/>
        <w:gridCol w:w="104"/>
        <w:gridCol w:w="501"/>
        <w:gridCol w:w="36"/>
        <w:gridCol w:w="36"/>
        <w:gridCol w:w="36"/>
        <w:gridCol w:w="36"/>
        <w:gridCol w:w="105"/>
        <w:gridCol w:w="679"/>
        <w:gridCol w:w="36"/>
        <w:gridCol w:w="36"/>
        <w:gridCol w:w="36"/>
        <w:gridCol w:w="36"/>
        <w:gridCol w:w="104"/>
        <w:gridCol w:w="418"/>
        <w:gridCol w:w="36"/>
        <w:gridCol w:w="36"/>
        <w:gridCol w:w="36"/>
        <w:gridCol w:w="36"/>
        <w:gridCol w:w="105"/>
        <w:gridCol w:w="464"/>
        <w:gridCol w:w="36"/>
        <w:gridCol w:w="36"/>
        <w:gridCol w:w="36"/>
        <w:gridCol w:w="36"/>
        <w:gridCol w:w="104"/>
        <w:gridCol w:w="501"/>
        <w:gridCol w:w="36"/>
      </w:tblGrid>
      <w:tr w:rsidR="003C66EB" w14:paraId="5EA238CC" w14:textId="77777777">
        <w:tc>
          <w:tcPr>
            <w:tcW w:w="50" w:type="pct"/>
            <w:shd w:val="clear" w:color="auto" w:fill="auto"/>
          </w:tcPr>
          <w:p w14:paraId="5EA2389C" w14:textId="77777777" w:rsidR="003C66EB" w:rsidRDefault="003C66EB">
            <w:pPr>
              <w:rPr>
                <w:rFonts w:ascii="宋体"/>
              </w:rPr>
            </w:pPr>
          </w:p>
        </w:tc>
        <w:tc>
          <w:tcPr>
            <w:tcW w:w="1655" w:type="pct"/>
            <w:shd w:val="clear" w:color="auto" w:fill="auto"/>
          </w:tcPr>
          <w:p w14:paraId="5EA2389D" w14:textId="77777777" w:rsidR="003C66EB" w:rsidRDefault="003C66EB">
            <w:pPr>
              <w:rPr>
                <w:rFonts w:ascii="宋体"/>
              </w:rPr>
            </w:pPr>
          </w:p>
        </w:tc>
        <w:tc>
          <w:tcPr>
            <w:tcW w:w="5" w:type="pct"/>
            <w:shd w:val="clear" w:color="auto" w:fill="auto"/>
          </w:tcPr>
          <w:p w14:paraId="5EA2389E" w14:textId="77777777" w:rsidR="003C66EB" w:rsidRDefault="003C66EB">
            <w:pPr>
              <w:rPr>
                <w:rFonts w:ascii="宋体"/>
              </w:rPr>
            </w:pPr>
          </w:p>
        </w:tc>
        <w:tc>
          <w:tcPr>
            <w:tcW w:w="50" w:type="pct"/>
            <w:shd w:val="clear" w:color="auto" w:fill="auto"/>
          </w:tcPr>
          <w:p w14:paraId="5EA2389F" w14:textId="77777777" w:rsidR="003C66EB" w:rsidRDefault="003C66EB">
            <w:pPr>
              <w:rPr>
                <w:rFonts w:ascii="宋体"/>
              </w:rPr>
            </w:pPr>
          </w:p>
        </w:tc>
        <w:tc>
          <w:tcPr>
            <w:tcW w:w="390" w:type="pct"/>
            <w:shd w:val="clear" w:color="auto" w:fill="auto"/>
          </w:tcPr>
          <w:p w14:paraId="5EA238A0" w14:textId="77777777" w:rsidR="003C66EB" w:rsidRDefault="003C66EB">
            <w:pPr>
              <w:rPr>
                <w:rFonts w:ascii="宋体"/>
              </w:rPr>
            </w:pPr>
          </w:p>
        </w:tc>
        <w:tc>
          <w:tcPr>
            <w:tcW w:w="5" w:type="pct"/>
            <w:shd w:val="clear" w:color="auto" w:fill="auto"/>
          </w:tcPr>
          <w:p w14:paraId="5EA238A1" w14:textId="77777777" w:rsidR="003C66EB" w:rsidRDefault="003C66EB">
            <w:pPr>
              <w:rPr>
                <w:rFonts w:ascii="宋体"/>
              </w:rPr>
            </w:pPr>
          </w:p>
        </w:tc>
        <w:tc>
          <w:tcPr>
            <w:tcW w:w="5" w:type="pct"/>
            <w:shd w:val="clear" w:color="auto" w:fill="auto"/>
          </w:tcPr>
          <w:p w14:paraId="5EA238A2" w14:textId="77777777" w:rsidR="003C66EB" w:rsidRDefault="003C66EB">
            <w:pPr>
              <w:rPr>
                <w:rFonts w:ascii="宋体"/>
              </w:rPr>
            </w:pPr>
          </w:p>
        </w:tc>
        <w:tc>
          <w:tcPr>
            <w:tcW w:w="26" w:type="pct"/>
            <w:shd w:val="clear" w:color="auto" w:fill="auto"/>
          </w:tcPr>
          <w:p w14:paraId="5EA238A3" w14:textId="77777777" w:rsidR="003C66EB" w:rsidRDefault="003C66EB">
            <w:pPr>
              <w:rPr>
                <w:rFonts w:ascii="宋体"/>
              </w:rPr>
            </w:pPr>
          </w:p>
        </w:tc>
        <w:tc>
          <w:tcPr>
            <w:tcW w:w="5" w:type="pct"/>
            <w:shd w:val="clear" w:color="auto" w:fill="auto"/>
          </w:tcPr>
          <w:p w14:paraId="5EA238A4" w14:textId="77777777" w:rsidR="003C66EB" w:rsidRDefault="003C66EB">
            <w:pPr>
              <w:rPr>
                <w:rFonts w:ascii="宋体"/>
              </w:rPr>
            </w:pPr>
          </w:p>
        </w:tc>
        <w:tc>
          <w:tcPr>
            <w:tcW w:w="50" w:type="pct"/>
            <w:shd w:val="clear" w:color="auto" w:fill="auto"/>
          </w:tcPr>
          <w:p w14:paraId="5EA238A5" w14:textId="77777777" w:rsidR="003C66EB" w:rsidRDefault="003C66EB">
            <w:pPr>
              <w:rPr>
                <w:rFonts w:ascii="宋体"/>
              </w:rPr>
            </w:pPr>
          </w:p>
        </w:tc>
        <w:tc>
          <w:tcPr>
            <w:tcW w:w="259" w:type="pct"/>
            <w:shd w:val="clear" w:color="auto" w:fill="auto"/>
          </w:tcPr>
          <w:p w14:paraId="5EA238A6" w14:textId="77777777" w:rsidR="003C66EB" w:rsidRDefault="003C66EB">
            <w:pPr>
              <w:rPr>
                <w:rFonts w:ascii="宋体"/>
              </w:rPr>
            </w:pPr>
          </w:p>
        </w:tc>
        <w:tc>
          <w:tcPr>
            <w:tcW w:w="5" w:type="pct"/>
            <w:shd w:val="clear" w:color="auto" w:fill="auto"/>
          </w:tcPr>
          <w:p w14:paraId="5EA238A7" w14:textId="77777777" w:rsidR="003C66EB" w:rsidRDefault="003C66EB">
            <w:pPr>
              <w:rPr>
                <w:rFonts w:ascii="宋体"/>
              </w:rPr>
            </w:pPr>
          </w:p>
        </w:tc>
        <w:tc>
          <w:tcPr>
            <w:tcW w:w="5" w:type="pct"/>
            <w:shd w:val="clear" w:color="auto" w:fill="auto"/>
          </w:tcPr>
          <w:p w14:paraId="5EA238A8" w14:textId="77777777" w:rsidR="003C66EB" w:rsidRDefault="003C66EB">
            <w:pPr>
              <w:rPr>
                <w:rFonts w:ascii="宋体"/>
              </w:rPr>
            </w:pPr>
          </w:p>
        </w:tc>
        <w:tc>
          <w:tcPr>
            <w:tcW w:w="26" w:type="pct"/>
            <w:shd w:val="clear" w:color="auto" w:fill="auto"/>
          </w:tcPr>
          <w:p w14:paraId="5EA238A9" w14:textId="77777777" w:rsidR="003C66EB" w:rsidRDefault="003C66EB">
            <w:pPr>
              <w:rPr>
                <w:rFonts w:ascii="宋体"/>
              </w:rPr>
            </w:pPr>
          </w:p>
        </w:tc>
        <w:tc>
          <w:tcPr>
            <w:tcW w:w="5" w:type="pct"/>
            <w:shd w:val="clear" w:color="auto" w:fill="auto"/>
          </w:tcPr>
          <w:p w14:paraId="5EA238AA" w14:textId="77777777" w:rsidR="003C66EB" w:rsidRDefault="003C66EB">
            <w:pPr>
              <w:rPr>
                <w:rFonts w:ascii="宋体"/>
              </w:rPr>
            </w:pPr>
          </w:p>
        </w:tc>
        <w:tc>
          <w:tcPr>
            <w:tcW w:w="50" w:type="pct"/>
            <w:shd w:val="clear" w:color="auto" w:fill="auto"/>
          </w:tcPr>
          <w:p w14:paraId="5EA238AB" w14:textId="77777777" w:rsidR="003C66EB" w:rsidRDefault="003C66EB">
            <w:pPr>
              <w:rPr>
                <w:rFonts w:ascii="宋体"/>
              </w:rPr>
            </w:pPr>
          </w:p>
        </w:tc>
        <w:tc>
          <w:tcPr>
            <w:tcW w:w="273" w:type="pct"/>
            <w:shd w:val="clear" w:color="auto" w:fill="auto"/>
          </w:tcPr>
          <w:p w14:paraId="5EA238AC" w14:textId="77777777" w:rsidR="003C66EB" w:rsidRDefault="003C66EB">
            <w:pPr>
              <w:rPr>
                <w:rFonts w:ascii="宋体"/>
              </w:rPr>
            </w:pPr>
          </w:p>
        </w:tc>
        <w:tc>
          <w:tcPr>
            <w:tcW w:w="5" w:type="pct"/>
            <w:shd w:val="clear" w:color="auto" w:fill="auto"/>
          </w:tcPr>
          <w:p w14:paraId="5EA238AD" w14:textId="77777777" w:rsidR="003C66EB" w:rsidRDefault="003C66EB">
            <w:pPr>
              <w:rPr>
                <w:rFonts w:ascii="宋体"/>
              </w:rPr>
            </w:pPr>
          </w:p>
        </w:tc>
        <w:tc>
          <w:tcPr>
            <w:tcW w:w="5" w:type="pct"/>
            <w:shd w:val="clear" w:color="auto" w:fill="auto"/>
          </w:tcPr>
          <w:p w14:paraId="5EA238AE" w14:textId="77777777" w:rsidR="003C66EB" w:rsidRDefault="003C66EB">
            <w:pPr>
              <w:rPr>
                <w:rFonts w:ascii="宋体"/>
              </w:rPr>
            </w:pPr>
          </w:p>
        </w:tc>
        <w:tc>
          <w:tcPr>
            <w:tcW w:w="26" w:type="pct"/>
            <w:shd w:val="clear" w:color="auto" w:fill="auto"/>
          </w:tcPr>
          <w:p w14:paraId="5EA238AF" w14:textId="77777777" w:rsidR="003C66EB" w:rsidRDefault="003C66EB">
            <w:pPr>
              <w:rPr>
                <w:rFonts w:ascii="宋体"/>
              </w:rPr>
            </w:pPr>
          </w:p>
        </w:tc>
        <w:tc>
          <w:tcPr>
            <w:tcW w:w="5" w:type="pct"/>
            <w:shd w:val="clear" w:color="auto" w:fill="auto"/>
          </w:tcPr>
          <w:p w14:paraId="5EA238B0" w14:textId="77777777" w:rsidR="003C66EB" w:rsidRDefault="003C66EB">
            <w:pPr>
              <w:rPr>
                <w:rFonts w:ascii="宋体"/>
              </w:rPr>
            </w:pPr>
          </w:p>
        </w:tc>
        <w:tc>
          <w:tcPr>
            <w:tcW w:w="50" w:type="pct"/>
            <w:shd w:val="clear" w:color="auto" w:fill="auto"/>
          </w:tcPr>
          <w:p w14:paraId="5EA238B1" w14:textId="77777777" w:rsidR="003C66EB" w:rsidRDefault="003C66EB">
            <w:pPr>
              <w:rPr>
                <w:rFonts w:ascii="宋体"/>
              </w:rPr>
            </w:pPr>
          </w:p>
        </w:tc>
        <w:tc>
          <w:tcPr>
            <w:tcW w:w="376" w:type="pct"/>
            <w:shd w:val="clear" w:color="auto" w:fill="auto"/>
          </w:tcPr>
          <w:p w14:paraId="5EA238B2" w14:textId="77777777" w:rsidR="003C66EB" w:rsidRDefault="003C66EB">
            <w:pPr>
              <w:rPr>
                <w:rFonts w:ascii="宋体"/>
              </w:rPr>
            </w:pPr>
          </w:p>
        </w:tc>
        <w:tc>
          <w:tcPr>
            <w:tcW w:w="5" w:type="pct"/>
            <w:shd w:val="clear" w:color="auto" w:fill="auto"/>
          </w:tcPr>
          <w:p w14:paraId="5EA238B3" w14:textId="77777777" w:rsidR="003C66EB" w:rsidRDefault="003C66EB">
            <w:pPr>
              <w:rPr>
                <w:rFonts w:ascii="宋体"/>
              </w:rPr>
            </w:pPr>
          </w:p>
        </w:tc>
        <w:tc>
          <w:tcPr>
            <w:tcW w:w="5" w:type="pct"/>
            <w:shd w:val="clear" w:color="auto" w:fill="auto"/>
          </w:tcPr>
          <w:p w14:paraId="5EA238B4" w14:textId="77777777" w:rsidR="003C66EB" w:rsidRDefault="003C66EB">
            <w:pPr>
              <w:rPr>
                <w:rFonts w:ascii="宋体"/>
              </w:rPr>
            </w:pPr>
          </w:p>
        </w:tc>
        <w:tc>
          <w:tcPr>
            <w:tcW w:w="26" w:type="pct"/>
            <w:shd w:val="clear" w:color="auto" w:fill="auto"/>
          </w:tcPr>
          <w:p w14:paraId="5EA238B5" w14:textId="77777777" w:rsidR="003C66EB" w:rsidRDefault="003C66EB">
            <w:pPr>
              <w:rPr>
                <w:rFonts w:ascii="宋体"/>
              </w:rPr>
            </w:pPr>
          </w:p>
        </w:tc>
        <w:tc>
          <w:tcPr>
            <w:tcW w:w="5" w:type="pct"/>
            <w:shd w:val="clear" w:color="auto" w:fill="auto"/>
          </w:tcPr>
          <w:p w14:paraId="5EA238B6" w14:textId="77777777" w:rsidR="003C66EB" w:rsidRDefault="003C66EB">
            <w:pPr>
              <w:rPr>
                <w:rFonts w:ascii="宋体"/>
              </w:rPr>
            </w:pPr>
          </w:p>
        </w:tc>
        <w:tc>
          <w:tcPr>
            <w:tcW w:w="50" w:type="pct"/>
            <w:shd w:val="clear" w:color="auto" w:fill="auto"/>
          </w:tcPr>
          <w:p w14:paraId="5EA238B7" w14:textId="77777777" w:rsidR="003C66EB" w:rsidRDefault="003C66EB">
            <w:pPr>
              <w:rPr>
                <w:rFonts w:ascii="宋体"/>
              </w:rPr>
            </w:pPr>
          </w:p>
        </w:tc>
        <w:tc>
          <w:tcPr>
            <w:tcW w:w="390" w:type="pct"/>
            <w:shd w:val="clear" w:color="auto" w:fill="auto"/>
          </w:tcPr>
          <w:p w14:paraId="5EA238B8" w14:textId="77777777" w:rsidR="003C66EB" w:rsidRDefault="003C66EB">
            <w:pPr>
              <w:rPr>
                <w:rFonts w:ascii="宋体"/>
              </w:rPr>
            </w:pPr>
          </w:p>
        </w:tc>
        <w:tc>
          <w:tcPr>
            <w:tcW w:w="5" w:type="pct"/>
            <w:shd w:val="clear" w:color="auto" w:fill="auto"/>
          </w:tcPr>
          <w:p w14:paraId="5EA238B9" w14:textId="77777777" w:rsidR="003C66EB" w:rsidRDefault="003C66EB">
            <w:pPr>
              <w:rPr>
                <w:rFonts w:ascii="宋体"/>
              </w:rPr>
            </w:pPr>
          </w:p>
        </w:tc>
        <w:tc>
          <w:tcPr>
            <w:tcW w:w="5" w:type="pct"/>
            <w:shd w:val="clear" w:color="auto" w:fill="auto"/>
          </w:tcPr>
          <w:p w14:paraId="5EA238BA" w14:textId="77777777" w:rsidR="003C66EB" w:rsidRDefault="003C66EB">
            <w:pPr>
              <w:rPr>
                <w:rFonts w:ascii="宋体"/>
              </w:rPr>
            </w:pPr>
          </w:p>
        </w:tc>
        <w:tc>
          <w:tcPr>
            <w:tcW w:w="26" w:type="pct"/>
            <w:shd w:val="clear" w:color="auto" w:fill="auto"/>
          </w:tcPr>
          <w:p w14:paraId="5EA238BB" w14:textId="77777777" w:rsidR="003C66EB" w:rsidRDefault="003C66EB">
            <w:pPr>
              <w:rPr>
                <w:rFonts w:ascii="宋体"/>
              </w:rPr>
            </w:pPr>
          </w:p>
        </w:tc>
        <w:tc>
          <w:tcPr>
            <w:tcW w:w="5" w:type="pct"/>
            <w:shd w:val="clear" w:color="auto" w:fill="auto"/>
          </w:tcPr>
          <w:p w14:paraId="5EA238BC" w14:textId="77777777" w:rsidR="003C66EB" w:rsidRDefault="003C66EB">
            <w:pPr>
              <w:rPr>
                <w:rFonts w:ascii="宋体"/>
              </w:rPr>
            </w:pPr>
          </w:p>
        </w:tc>
        <w:tc>
          <w:tcPr>
            <w:tcW w:w="50" w:type="pct"/>
            <w:shd w:val="clear" w:color="auto" w:fill="auto"/>
          </w:tcPr>
          <w:p w14:paraId="5EA238BD" w14:textId="77777777" w:rsidR="003C66EB" w:rsidRDefault="003C66EB">
            <w:pPr>
              <w:rPr>
                <w:rFonts w:ascii="宋体"/>
              </w:rPr>
            </w:pPr>
          </w:p>
        </w:tc>
        <w:tc>
          <w:tcPr>
            <w:tcW w:w="273" w:type="pct"/>
            <w:shd w:val="clear" w:color="auto" w:fill="auto"/>
          </w:tcPr>
          <w:p w14:paraId="5EA238BE" w14:textId="77777777" w:rsidR="003C66EB" w:rsidRDefault="003C66EB">
            <w:pPr>
              <w:rPr>
                <w:rFonts w:ascii="宋体"/>
              </w:rPr>
            </w:pPr>
          </w:p>
        </w:tc>
        <w:tc>
          <w:tcPr>
            <w:tcW w:w="5" w:type="pct"/>
            <w:shd w:val="clear" w:color="auto" w:fill="auto"/>
          </w:tcPr>
          <w:p w14:paraId="5EA238BF" w14:textId="77777777" w:rsidR="003C66EB" w:rsidRDefault="003C66EB">
            <w:pPr>
              <w:rPr>
                <w:rFonts w:ascii="宋体"/>
              </w:rPr>
            </w:pPr>
          </w:p>
        </w:tc>
        <w:tc>
          <w:tcPr>
            <w:tcW w:w="5" w:type="pct"/>
            <w:shd w:val="clear" w:color="auto" w:fill="auto"/>
          </w:tcPr>
          <w:p w14:paraId="5EA238C0" w14:textId="77777777" w:rsidR="003C66EB" w:rsidRDefault="003C66EB">
            <w:pPr>
              <w:rPr>
                <w:rFonts w:ascii="宋体"/>
              </w:rPr>
            </w:pPr>
          </w:p>
        </w:tc>
        <w:tc>
          <w:tcPr>
            <w:tcW w:w="26" w:type="pct"/>
            <w:shd w:val="clear" w:color="auto" w:fill="auto"/>
          </w:tcPr>
          <w:p w14:paraId="5EA238C1" w14:textId="77777777" w:rsidR="003C66EB" w:rsidRDefault="003C66EB">
            <w:pPr>
              <w:rPr>
                <w:rFonts w:ascii="宋体"/>
              </w:rPr>
            </w:pPr>
          </w:p>
        </w:tc>
        <w:tc>
          <w:tcPr>
            <w:tcW w:w="5" w:type="pct"/>
            <w:shd w:val="clear" w:color="auto" w:fill="auto"/>
          </w:tcPr>
          <w:p w14:paraId="5EA238C2" w14:textId="77777777" w:rsidR="003C66EB" w:rsidRDefault="003C66EB">
            <w:pPr>
              <w:rPr>
                <w:rFonts w:ascii="宋体"/>
              </w:rPr>
            </w:pPr>
          </w:p>
        </w:tc>
        <w:tc>
          <w:tcPr>
            <w:tcW w:w="50" w:type="pct"/>
            <w:shd w:val="clear" w:color="auto" w:fill="auto"/>
          </w:tcPr>
          <w:p w14:paraId="5EA238C3" w14:textId="77777777" w:rsidR="003C66EB" w:rsidRDefault="003C66EB">
            <w:pPr>
              <w:rPr>
                <w:rFonts w:ascii="宋体"/>
              </w:rPr>
            </w:pPr>
          </w:p>
        </w:tc>
        <w:tc>
          <w:tcPr>
            <w:tcW w:w="273" w:type="pct"/>
            <w:shd w:val="clear" w:color="auto" w:fill="auto"/>
          </w:tcPr>
          <w:p w14:paraId="5EA238C4" w14:textId="77777777" w:rsidR="003C66EB" w:rsidRDefault="003C66EB">
            <w:pPr>
              <w:rPr>
                <w:rFonts w:ascii="宋体"/>
              </w:rPr>
            </w:pPr>
          </w:p>
        </w:tc>
        <w:tc>
          <w:tcPr>
            <w:tcW w:w="5" w:type="pct"/>
            <w:shd w:val="clear" w:color="auto" w:fill="auto"/>
          </w:tcPr>
          <w:p w14:paraId="5EA238C5" w14:textId="77777777" w:rsidR="003C66EB" w:rsidRDefault="003C66EB">
            <w:pPr>
              <w:rPr>
                <w:rFonts w:ascii="宋体"/>
              </w:rPr>
            </w:pPr>
          </w:p>
        </w:tc>
        <w:tc>
          <w:tcPr>
            <w:tcW w:w="5" w:type="pct"/>
            <w:shd w:val="clear" w:color="auto" w:fill="auto"/>
          </w:tcPr>
          <w:p w14:paraId="5EA238C6" w14:textId="77777777" w:rsidR="003C66EB" w:rsidRDefault="003C66EB">
            <w:pPr>
              <w:rPr>
                <w:rFonts w:ascii="宋体"/>
              </w:rPr>
            </w:pPr>
          </w:p>
        </w:tc>
        <w:tc>
          <w:tcPr>
            <w:tcW w:w="26" w:type="pct"/>
            <w:shd w:val="clear" w:color="auto" w:fill="auto"/>
          </w:tcPr>
          <w:p w14:paraId="5EA238C7" w14:textId="77777777" w:rsidR="003C66EB" w:rsidRDefault="003C66EB">
            <w:pPr>
              <w:rPr>
                <w:rFonts w:ascii="宋体"/>
              </w:rPr>
            </w:pPr>
          </w:p>
        </w:tc>
        <w:tc>
          <w:tcPr>
            <w:tcW w:w="5" w:type="pct"/>
            <w:shd w:val="clear" w:color="auto" w:fill="auto"/>
          </w:tcPr>
          <w:p w14:paraId="5EA238C8" w14:textId="77777777" w:rsidR="003C66EB" w:rsidRDefault="003C66EB">
            <w:pPr>
              <w:rPr>
                <w:rFonts w:ascii="宋体"/>
              </w:rPr>
            </w:pPr>
          </w:p>
        </w:tc>
        <w:tc>
          <w:tcPr>
            <w:tcW w:w="50" w:type="pct"/>
            <w:shd w:val="clear" w:color="auto" w:fill="auto"/>
          </w:tcPr>
          <w:p w14:paraId="5EA238C9" w14:textId="77777777" w:rsidR="003C66EB" w:rsidRDefault="003C66EB">
            <w:pPr>
              <w:rPr>
                <w:rFonts w:ascii="宋体"/>
              </w:rPr>
            </w:pPr>
          </w:p>
        </w:tc>
        <w:tc>
          <w:tcPr>
            <w:tcW w:w="354" w:type="pct"/>
            <w:shd w:val="clear" w:color="auto" w:fill="auto"/>
          </w:tcPr>
          <w:p w14:paraId="5EA238CA" w14:textId="77777777" w:rsidR="003C66EB" w:rsidRDefault="003C66EB">
            <w:pPr>
              <w:rPr>
                <w:rFonts w:ascii="宋体"/>
              </w:rPr>
            </w:pPr>
          </w:p>
        </w:tc>
        <w:tc>
          <w:tcPr>
            <w:tcW w:w="5" w:type="pct"/>
            <w:shd w:val="clear" w:color="auto" w:fill="auto"/>
          </w:tcPr>
          <w:p w14:paraId="5EA238CB" w14:textId="77777777" w:rsidR="003C66EB" w:rsidRDefault="003C66EB">
            <w:pPr>
              <w:rPr>
                <w:rFonts w:ascii="宋体"/>
              </w:rPr>
            </w:pPr>
          </w:p>
        </w:tc>
      </w:tr>
      <w:tr w:rsidR="003C66EB" w14:paraId="5EA238D1" w14:textId="77777777">
        <w:tc>
          <w:tcPr>
            <w:tcW w:w="0" w:type="auto"/>
            <w:gridSpan w:val="3"/>
            <w:shd w:val="clear" w:color="auto" w:fill="auto"/>
            <w:tcMar>
              <w:top w:w="40" w:type="dxa"/>
              <w:left w:w="20" w:type="dxa"/>
              <w:bottom w:w="40" w:type="dxa"/>
              <w:right w:w="20" w:type="dxa"/>
            </w:tcMar>
            <w:vAlign w:val="bottom"/>
          </w:tcPr>
          <w:p w14:paraId="5EA238CD" w14:textId="77777777" w:rsidR="003C66EB" w:rsidRDefault="00D96C4E">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5EA238CE"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38CF" w14:textId="77777777" w:rsidR="003C66EB" w:rsidRDefault="003C66EB">
            <w:pPr>
              <w:rPr>
                <w:rFonts w:ascii="宋体"/>
              </w:rPr>
            </w:pPr>
          </w:p>
        </w:tc>
        <w:tc>
          <w:tcPr>
            <w:tcW w:w="0" w:type="auto"/>
            <w:gridSpan w:val="21"/>
            <w:shd w:val="clear" w:color="auto" w:fill="auto"/>
            <w:tcMar>
              <w:top w:w="40" w:type="dxa"/>
              <w:left w:w="20" w:type="dxa"/>
              <w:bottom w:w="40" w:type="dxa"/>
              <w:right w:w="20" w:type="dxa"/>
            </w:tcMar>
            <w:vAlign w:val="bottom"/>
          </w:tcPr>
          <w:p w14:paraId="5EA238D0"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38E4" w14:textId="77777777">
        <w:trPr>
          <w:trHeight w:val="400"/>
        </w:trPr>
        <w:tc>
          <w:tcPr>
            <w:tcW w:w="0" w:type="auto"/>
            <w:gridSpan w:val="3"/>
            <w:shd w:val="clear" w:color="auto" w:fill="auto"/>
            <w:tcMar>
              <w:top w:w="40" w:type="dxa"/>
              <w:left w:w="20" w:type="dxa"/>
              <w:bottom w:w="40" w:type="dxa"/>
              <w:right w:w="20" w:type="dxa"/>
            </w:tcMar>
            <w:vAlign w:val="bottom"/>
          </w:tcPr>
          <w:p w14:paraId="5EA238D2" w14:textId="77777777" w:rsidR="003C66EB" w:rsidRDefault="00D96C4E">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8D3" w14:textId="77777777" w:rsidR="003C66EB" w:rsidRDefault="00D96C4E">
            <w:pPr>
              <w:jc w:val="center"/>
              <w:textAlignment w:val="bottom"/>
            </w:pPr>
            <w:r>
              <w:rPr>
                <w:rFonts w:ascii="Arial" w:eastAsia="宋体" w:hAnsi="Arial" w:cs="Arial"/>
                <w:b/>
                <w:bCs/>
                <w:color w:val="000000"/>
                <w:sz w:val="15"/>
                <w:szCs w:val="15"/>
              </w:rPr>
              <w:t>Amortized</w:t>
            </w:r>
          </w:p>
          <w:p w14:paraId="5EA238D4" w14:textId="77777777" w:rsidR="003C66EB" w:rsidRDefault="00D96C4E">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5EA238D5"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8D6" w14:textId="77777777" w:rsidR="003C66EB" w:rsidRDefault="00D96C4E">
            <w:pPr>
              <w:jc w:val="center"/>
              <w:textAlignment w:val="bottom"/>
            </w:pPr>
            <w:r>
              <w:rPr>
                <w:rFonts w:ascii="Arial" w:eastAsia="宋体" w:hAnsi="Arial" w:cs="Arial"/>
                <w:b/>
                <w:bCs/>
                <w:color w:val="000000"/>
                <w:sz w:val="15"/>
                <w:szCs w:val="15"/>
              </w:rPr>
              <w:t>Gross</w:t>
            </w:r>
          </w:p>
          <w:p w14:paraId="5EA238D7" w14:textId="77777777" w:rsidR="003C66EB" w:rsidRDefault="00D96C4E">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tcPr>
          <w:p w14:paraId="5EA238D8"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8D9" w14:textId="77777777" w:rsidR="003C66EB" w:rsidRDefault="00D96C4E">
            <w:pPr>
              <w:jc w:val="center"/>
              <w:textAlignment w:val="bottom"/>
            </w:pPr>
            <w:r>
              <w:rPr>
                <w:rFonts w:ascii="Arial" w:eastAsia="宋体" w:hAnsi="Arial" w:cs="Arial"/>
                <w:b/>
                <w:bCs/>
                <w:color w:val="000000"/>
                <w:sz w:val="15"/>
                <w:szCs w:val="15"/>
              </w:rPr>
              <w:t>Fair</w:t>
            </w:r>
          </w:p>
          <w:p w14:paraId="5EA238DA" w14:textId="77777777" w:rsidR="003C66EB" w:rsidRDefault="00D96C4E">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tcPr>
          <w:p w14:paraId="5EA238DB"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8DC" w14:textId="77777777" w:rsidR="003C66EB" w:rsidRDefault="00D96C4E">
            <w:pPr>
              <w:jc w:val="center"/>
              <w:textAlignment w:val="bottom"/>
            </w:pPr>
            <w:r>
              <w:rPr>
                <w:rFonts w:ascii="Arial" w:eastAsia="宋体" w:hAnsi="Arial" w:cs="Arial"/>
                <w:b/>
                <w:bCs/>
                <w:color w:val="000000"/>
                <w:sz w:val="15"/>
                <w:szCs w:val="15"/>
              </w:rPr>
              <w:t>Amortized</w:t>
            </w:r>
          </w:p>
          <w:p w14:paraId="5EA238DD" w14:textId="77777777" w:rsidR="003C66EB" w:rsidRDefault="00D96C4E">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5EA238DE"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8DF" w14:textId="77777777" w:rsidR="003C66EB" w:rsidRDefault="00D96C4E">
            <w:pPr>
              <w:jc w:val="center"/>
              <w:textAlignment w:val="bottom"/>
            </w:pPr>
            <w:r>
              <w:rPr>
                <w:rFonts w:ascii="Arial" w:eastAsia="宋体" w:hAnsi="Arial" w:cs="Arial"/>
                <w:b/>
                <w:bCs/>
                <w:color w:val="000000"/>
                <w:sz w:val="15"/>
                <w:szCs w:val="15"/>
              </w:rPr>
              <w:t>Gross</w:t>
            </w:r>
          </w:p>
          <w:p w14:paraId="5EA238E0" w14:textId="77777777" w:rsidR="003C66EB" w:rsidRDefault="00D96C4E">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tcPr>
          <w:p w14:paraId="5EA238E1"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38E2" w14:textId="77777777" w:rsidR="003C66EB" w:rsidRDefault="00D96C4E">
            <w:pPr>
              <w:jc w:val="center"/>
              <w:textAlignment w:val="bottom"/>
            </w:pPr>
            <w:r>
              <w:rPr>
                <w:rFonts w:ascii="Arial" w:eastAsia="宋体" w:hAnsi="Arial" w:cs="Arial"/>
                <w:b/>
                <w:bCs/>
                <w:color w:val="000000"/>
                <w:sz w:val="15"/>
                <w:szCs w:val="15"/>
              </w:rPr>
              <w:t>Fair</w:t>
            </w:r>
          </w:p>
          <w:p w14:paraId="5EA238E3" w14:textId="77777777" w:rsidR="003C66EB" w:rsidRDefault="00D96C4E">
            <w:pPr>
              <w:jc w:val="center"/>
              <w:textAlignment w:val="bottom"/>
            </w:pPr>
            <w:r>
              <w:rPr>
                <w:rFonts w:ascii="Arial" w:eastAsia="宋体" w:hAnsi="Arial" w:cs="Arial"/>
                <w:b/>
                <w:bCs/>
                <w:color w:val="000000"/>
                <w:sz w:val="15"/>
                <w:szCs w:val="15"/>
              </w:rPr>
              <w:t>Value</w:t>
            </w:r>
          </w:p>
        </w:tc>
      </w:tr>
      <w:tr w:rsidR="003C66EB" w14:paraId="5EA238F5" w14:textId="77777777">
        <w:trPr>
          <w:trHeight w:val="240"/>
        </w:trPr>
        <w:tc>
          <w:tcPr>
            <w:tcW w:w="0" w:type="auto"/>
            <w:gridSpan w:val="3"/>
            <w:shd w:val="clear" w:color="auto" w:fill="auto"/>
            <w:tcMar>
              <w:top w:w="40" w:type="dxa"/>
              <w:left w:w="20" w:type="dxa"/>
              <w:bottom w:w="40" w:type="dxa"/>
              <w:right w:w="20" w:type="dxa"/>
            </w:tcMar>
            <w:vAlign w:val="bottom"/>
          </w:tcPr>
          <w:p w14:paraId="5EA238E5"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8E6" w14:textId="77777777" w:rsidR="003C66EB" w:rsidRDefault="003C66EB">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5EA238E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8E8" w14:textId="77777777" w:rsidR="003C66EB" w:rsidRDefault="00D96C4E">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tcPr>
          <w:p w14:paraId="5EA238E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8EA" w14:textId="77777777" w:rsidR="003C66EB" w:rsidRDefault="00D96C4E">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5EA238EB"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8EC" w14:textId="77777777" w:rsidR="003C66EB" w:rsidRDefault="003C66EB">
            <w:pPr>
              <w:rPr>
                <w:rFonts w:ascii="宋体"/>
              </w:rPr>
            </w:pPr>
          </w:p>
        </w:tc>
        <w:tc>
          <w:tcPr>
            <w:tcW w:w="0" w:type="auto"/>
            <w:gridSpan w:val="3"/>
            <w:vMerge/>
            <w:shd w:val="clear" w:color="auto" w:fill="auto"/>
            <w:tcMar>
              <w:top w:w="0" w:type="dxa"/>
              <w:left w:w="20" w:type="dxa"/>
              <w:bottom w:w="0" w:type="dxa"/>
              <w:right w:w="20" w:type="dxa"/>
            </w:tcMar>
          </w:tcPr>
          <w:p w14:paraId="5EA238ED"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8EE" w14:textId="77777777" w:rsidR="003C66EB" w:rsidRDefault="003C66EB">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5EA238E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8F0" w14:textId="77777777" w:rsidR="003C66EB" w:rsidRDefault="00D96C4E">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tcPr>
          <w:p w14:paraId="5EA238F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8F2" w14:textId="77777777" w:rsidR="003C66EB" w:rsidRDefault="00D96C4E">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5EA238F3"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38F4" w14:textId="77777777" w:rsidR="003C66EB" w:rsidRDefault="003C66EB">
            <w:pPr>
              <w:rPr>
                <w:rFonts w:ascii="宋体"/>
              </w:rPr>
            </w:pPr>
          </w:p>
        </w:tc>
      </w:tr>
      <w:tr w:rsidR="003C66EB" w14:paraId="5EA23906" w14:textId="77777777">
        <w:tc>
          <w:tcPr>
            <w:tcW w:w="0" w:type="auto"/>
            <w:gridSpan w:val="3"/>
            <w:shd w:val="clear" w:color="auto" w:fill="auto"/>
            <w:tcMar>
              <w:top w:w="40" w:type="dxa"/>
              <w:left w:w="20" w:type="dxa"/>
              <w:bottom w:w="40" w:type="dxa"/>
              <w:right w:w="20" w:type="dxa"/>
            </w:tcMar>
            <w:vAlign w:val="bottom"/>
          </w:tcPr>
          <w:p w14:paraId="5EA238F6" w14:textId="77777777" w:rsidR="003C66EB" w:rsidRDefault="00D96C4E">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5EA238F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F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8F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F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8F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F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8F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8F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8F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90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9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905" w14:textId="77777777" w:rsidR="003C66EB" w:rsidRDefault="003C66EB">
            <w:pPr>
              <w:rPr>
                <w:rFonts w:ascii="宋体"/>
              </w:rPr>
            </w:pPr>
          </w:p>
        </w:tc>
      </w:tr>
      <w:tr w:rsidR="003C66EB" w14:paraId="5EA23917" w14:textId="77777777">
        <w:tc>
          <w:tcPr>
            <w:tcW w:w="0" w:type="auto"/>
            <w:gridSpan w:val="3"/>
            <w:shd w:val="clear" w:color="auto" w:fill="auto"/>
            <w:tcMar>
              <w:top w:w="40" w:type="dxa"/>
              <w:left w:w="20" w:type="dxa"/>
              <w:bottom w:w="40" w:type="dxa"/>
              <w:right w:w="20" w:type="dxa"/>
            </w:tcMar>
            <w:vAlign w:val="bottom"/>
          </w:tcPr>
          <w:p w14:paraId="5EA23907" w14:textId="77777777" w:rsidR="003C66EB" w:rsidRDefault="00D96C4E">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tcPr>
          <w:p w14:paraId="5EA239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0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916" w14:textId="77777777" w:rsidR="003C66EB" w:rsidRDefault="003C66EB">
            <w:pPr>
              <w:rPr>
                <w:rFonts w:ascii="宋体"/>
              </w:rPr>
            </w:pPr>
          </w:p>
        </w:tc>
      </w:tr>
      <w:tr w:rsidR="00D96C4E" w14:paraId="5EA23938" w14:textId="77777777">
        <w:tc>
          <w:tcPr>
            <w:tcW w:w="0" w:type="auto"/>
            <w:gridSpan w:val="3"/>
            <w:shd w:val="clear" w:color="auto" w:fill="CCEEFF"/>
            <w:tcMar>
              <w:top w:w="40" w:type="dxa"/>
              <w:left w:w="245" w:type="dxa"/>
              <w:bottom w:w="40" w:type="dxa"/>
              <w:right w:w="20" w:type="dxa"/>
            </w:tcMar>
            <w:vAlign w:val="bottom"/>
          </w:tcPr>
          <w:p w14:paraId="5EA23918" w14:textId="77777777" w:rsidR="003C66EB" w:rsidRDefault="00D96C4E">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EA23919"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91A" w14:textId="77777777" w:rsidR="003C66EB" w:rsidRDefault="00D96C4E">
            <w:pPr>
              <w:jc w:val="right"/>
              <w:textAlignment w:val="bottom"/>
            </w:pPr>
            <w:r>
              <w:rPr>
                <w:rFonts w:ascii="Arial" w:eastAsia="宋体" w:hAnsi="Arial" w:cs="Arial"/>
                <w:b/>
                <w:bCs/>
                <w:color w:val="000000"/>
                <w:sz w:val="15"/>
                <w:szCs w:val="15"/>
              </w:rPr>
              <w:t>8,948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1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1D"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91E" w14:textId="77777777" w:rsidR="003C66EB" w:rsidRDefault="00D96C4E">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2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21"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922" w14:textId="77777777" w:rsidR="003C66EB" w:rsidRDefault="00D96C4E">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2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25"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926" w14:textId="77777777" w:rsidR="003C66EB" w:rsidRDefault="00D96C4E">
            <w:pPr>
              <w:jc w:val="right"/>
              <w:textAlignment w:val="bottom"/>
            </w:pPr>
            <w:r>
              <w:rPr>
                <w:rFonts w:ascii="Arial" w:eastAsia="宋体" w:hAnsi="Arial" w:cs="Arial"/>
                <w:b/>
                <w:bCs/>
                <w:color w:val="000000"/>
                <w:sz w:val="15"/>
                <w:szCs w:val="15"/>
              </w:rPr>
              <w:t>8,937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2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29"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92A" w14:textId="77777777" w:rsidR="003C66EB" w:rsidRDefault="00D96C4E">
            <w:pPr>
              <w:jc w:val="right"/>
              <w:textAlignment w:val="bottom"/>
            </w:pPr>
            <w:r>
              <w:rPr>
                <w:rFonts w:ascii="Arial" w:eastAsia="宋体" w:hAnsi="Arial" w:cs="Arial"/>
                <w:color w:val="000000"/>
                <w:sz w:val="15"/>
                <w:szCs w:val="15"/>
              </w:rPr>
              <w:t>6,453 </w:t>
            </w:r>
          </w:p>
        </w:tc>
        <w:tc>
          <w:tcPr>
            <w:tcW w:w="0" w:type="auto"/>
            <w:shd w:val="clear" w:color="auto" w:fill="CCEEFF"/>
            <w:tcMar>
              <w:top w:w="40" w:type="dxa"/>
              <w:left w:w="0" w:type="dxa"/>
              <w:bottom w:w="40" w:type="dxa"/>
              <w:right w:w="20" w:type="dxa"/>
            </w:tcMar>
            <w:vAlign w:val="bottom"/>
          </w:tcPr>
          <w:p w14:paraId="5EA2392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2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2D"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92E" w14:textId="77777777" w:rsidR="003C66EB" w:rsidRDefault="00D96C4E">
            <w:pPr>
              <w:jc w:val="right"/>
              <w:textAlignment w:val="bottom"/>
            </w:pPr>
            <w:r>
              <w:rPr>
                <w:rFonts w:ascii="Arial" w:eastAsia="宋体" w:hAnsi="Arial" w:cs="Arial"/>
                <w:color w:val="000000"/>
                <w:sz w:val="15"/>
                <w:szCs w:val="15"/>
              </w:rPr>
              <w:t>123 </w:t>
            </w:r>
          </w:p>
        </w:tc>
        <w:tc>
          <w:tcPr>
            <w:tcW w:w="0" w:type="auto"/>
            <w:shd w:val="clear" w:color="auto" w:fill="CCEEFF"/>
            <w:tcMar>
              <w:top w:w="40" w:type="dxa"/>
              <w:left w:w="0" w:type="dxa"/>
              <w:bottom w:w="40" w:type="dxa"/>
              <w:right w:w="20" w:type="dxa"/>
            </w:tcMar>
            <w:vAlign w:val="bottom"/>
          </w:tcPr>
          <w:p w14:paraId="5EA239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3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31"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932"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A2393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3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935"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936" w14:textId="77777777" w:rsidR="003C66EB" w:rsidRDefault="00D96C4E">
            <w:pPr>
              <w:jc w:val="right"/>
              <w:textAlignment w:val="bottom"/>
            </w:pPr>
            <w:r>
              <w:rPr>
                <w:rFonts w:ascii="Arial" w:eastAsia="宋体" w:hAnsi="Arial" w:cs="Arial"/>
                <w:color w:val="000000"/>
                <w:sz w:val="15"/>
                <w:szCs w:val="15"/>
              </w:rPr>
              <w:t>6,575 </w:t>
            </w:r>
          </w:p>
        </w:tc>
        <w:tc>
          <w:tcPr>
            <w:tcW w:w="0" w:type="auto"/>
            <w:shd w:val="clear" w:color="auto" w:fill="CCEEFF"/>
            <w:tcMar>
              <w:top w:w="40" w:type="dxa"/>
              <w:left w:w="0" w:type="dxa"/>
              <w:bottom w:w="40" w:type="dxa"/>
              <w:right w:w="20" w:type="dxa"/>
            </w:tcMar>
            <w:vAlign w:val="bottom"/>
          </w:tcPr>
          <w:p w14:paraId="5EA23937" w14:textId="77777777" w:rsidR="003C66EB" w:rsidRDefault="003C66EB">
            <w:pPr>
              <w:jc w:val="right"/>
              <w:rPr>
                <w:rFonts w:ascii="宋体"/>
              </w:rPr>
            </w:pPr>
          </w:p>
        </w:tc>
      </w:tr>
      <w:tr w:rsidR="003C66EB" w14:paraId="5EA23951" w14:textId="77777777">
        <w:tc>
          <w:tcPr>
            <w:tcW w:w="0" w:type="auto"/>
            <w:gridSpan w:val="3"/>
            <w:shd w:val="clear" w:color="auto" w:fill="FFFFFF"/>
            <w:tcMar>
              <w:top w:w="40" w:type="dxa"/>
              <w:left w:w="245" w:type="dxa"/>
              <w:bottom w:w="40" w:type="dxa"/>
              <w:right w:w="20" w:type="dxa"/>
            </w:tcMar>
            <w:vAlign w:val="bottom"/>
          </w:tcPr>
          <w:p w14:paraId="5EA23939"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A2393A" w14:textId="77777777" w:rsidR="003C66EB" w:rsidRDefault="00D96C4E">
            <w:pPr>
              <w:jc w:val="right"/>
              <w:textAlignment w:val="bottom"/>
            </w:pPr>
            <w:r>
              <w:rPr>
                <w:rFonts w:ascii="Arial" w:eastAsia="宋体" w:hAnsi="Arial" w:cs="Arial"/>
                <w:b/>
                <w:bCs/>
                <w:color w:val="000000"/>
                <w:sz w:val="15"/>
                <w:szCs w:val="15"/>
              </w:rPr>
              <w:t>14,181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3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3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3D" w14:textId="77777777" w:rsidR="003C66EB" w:rsidRDefault="00D96C4E">
            <w:pPr>
              <w:jc w:val="right"/>
              <w:textAlignment w:val="bottom"/>
            </w:pPr>
            <w:r>
              <w:rPr>
                <w:rFonts w:ascii="Arial" w:eastAsia="宋体" w:hAnsi="Arial" w:cs="Arial"/>
                <w:b/>
                <w:bCs/>
                <w:color w:val="000000"/>
                <w:sz w:val="15"/>
                <w:szCs w:val="15"/>
              </w:rPr>
              <w:t>326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3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3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40" w14:textId="77777777" w:rsidR="003C66EB" w:rsidRDefault="00D96C4E">
            <w:pPr>
              <w:jc w:val="right"/>
              <w:textAlignment w:val="bottom"/>
            </w:pPr>
            <w:r>
              <w:rPr>
                <w:rFonts w:ascii="Arial" w:eastAsia="宋体" w:hAnsi="Arial" w:cs="Arial"/>
                <w:b/>
                <w:bCs/>
                <w:color w:val="000000"/>
                <w:sz w:val="15"/>
                <w:szCs w:val="15"/>
              </w:rPr>
              <w:t>82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4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43" w14:textId="77777777" w:rsidR="003C66EB" w:rsidRDefault="00D96C4E">
            <w:pPr>
              <w:jc w:val="right"/>
              <w:textAlignment w:val="bottom"/>
            </w:pPr>
            <w:r>
              <w:rPr>
                <w:rFonts w:ascii="Arial" w:eastAsia="宋体" w:hAnsi="Arial" w:cs="Arial"/>
                <w:b/>
                <w:bCs/>
                <w:color w:val="000000"/>
                <w:sz w:val="15"/>
                <w:szCs w:val="15"/>
              </w:rPr>
              <w:t>14,425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4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4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46" w14:textId="77777777" w:rsidR="003C66EB" w:rsidRDefault="00D96C4E">
            <w:pPr>
              <w:jc w:val="right"/>
              <w:textAlignment w:val="bottom"/>
            </w:pPr>
            <w:r>
              <w:rPr>
                <w:rFonts w:ascii="Arial" w:eastAsia="宋体" w:hAnsi="Arial" w:cs="Arial"/>
                <w:color w:val="000000"/>
                <w:sz w:val="15"/>
                <w:szCs w:val="15"/>
              </w:rPr>
              <w:t>13,891 </w:t>
            </w:r>
          </w:p>
        </w:tc>
        <w:tc>
          <w:tcPr>
            <w:tcW w:w="0" w:type="auto"/>
            <w:shd w:val="clear" w:color="auto" w:fill="FFFFFF"/>
            <w:tcMar>
              <w:top w:w="40" w:type="dxa"/>
              <w:left w:w="0" w:type="dxa"/>
              <w:bottom w:w="40" w:type="dxa"/>
              <w:right w:w="20" w:type="dxa"/>
            </w:tcMar>
            <w:vAlign w:val="bottom"/>
          </w:tcPr>
          <w:p w14:paraId="5EA2394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4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49" w14:textId="77777777" w:rsidR="003C66EB" w:rsidRDefault="00D96C4E">
            <w:pPr>
              <w:jc w:val="right"/>
              <w:textAlignment w:val="bottom"/>
            </w:pPr>
            <w:r>
              <w:rPr>
                <w:rFonts w:ascii="Arial" w:eastAsia="宋体" w:hAnsi="Arial" w:cs="Arial"/>
                <w:color w:val="000000"/>
                <w:sz w:val="15"/>
                <w:szCs w:val="15"/>
              </w:rPr>
              <w:t>421 </w:t>
            </w:r>
          </w:p>
        </w:tc>
        <w:tc>
          <w:tcPr>
            <w:tcW w:w="0" w:type="auto"/>
            <w:shd w:val="clear" w:color="auto" w:fill="FFFFFF"/>
            <w:tcMar>
              <w:top w:w="40" w:type="dxa"/>
              <w:left w:w="0" w:type="dxa"/>
              <w:bottom w:w="40" w:type="dxa"/>
              <w:right w:w="20" w:type="dxa"/>
            </w:tcMar>
            <w:vAlign w:val="bottom"/>
          </w:tcPr>
          <w:p w14:paraId="5EA239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4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4C" w14:textId="77777777" w:rsidR="003C66EB" w:rsidRDefault="00D96C4E">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5EA2394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4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4F" w14:textId="77777777" w:rsidR="003C66EB" w:rsidRDefault="00D96C4E">
            <w:pPr>
              <w:jc w:val="right"/>
              <w:textAlignment w:val="bottom"/>
            </w:pPr>
            <w:r>
              <w:rPr>
                <w:rFonts w:ascii="Arial" w:eastAsia="宋体" w:hAnsi="Arial" w:cs="Arial"/>
                <w:color w:val="000000"/>
                <w:sz w:val="15"/>
                <w:szCs w:val="15"/>
              </w:rPr>
              <w:t>14,305 </w:t>
            </w:r>
          </w:p>
        </w:tc>
        <w:tc>
          <w:tcPr>
            <w:tcW w:w="0" w:type="auto"/>
            <w:shd w:val="clear" w:color="auto" w:fill="FFFFFF"/>
            <w:tcMar>
              <w:top w:w="40" w:type="dxa"/>
              <w:left w:w="0" w:type="dxa"/>
              <w:bottom w:w="40" w:type="dxa"/>
              <w:right w:w="20" w:type="dxa"/>
            </w:tcMar>
            <w:vAlign w:val="bottom"/>
          </w:tcPr>
          <w:p w14:paraId="5EA23950" w14:textId="77777777" w:rsidR="003C66EB" w:rsidRDefault="003C66EB">
            <w:pPr>
              <w:jc w:val="right"/>
              <w:rPr>
                <w:rFonts w:ascii="宋体"/>
              </w:rPr>
            </w:pPr>
          </w:p>
        </w:tc>
      </w:tr>
      <w:tr w:rsidR="003C66EB" w14:paraId="5EA2396A" w14:textId="77777777">
        <w:tc>
          <w:tcPr>
            <w:tcW w:w="0" w:type="auto"/>
            <w:gridSpan w:val="3"/>
            <w:shd w:val="clear" w:color="auto" w:fill="CCEEFF"/>
            <w:tcMar>
              <w:top w:w="40" w:type="dxa"/>
              <w:left w:w="380" w:type="dxa"/>
              <w:bottom w:w="40" w:type="dxa"/>
              <w:right w:w="20" w:type="dxa"/>
            </w:tcMar>
            <w:vAlign w:val="bottom"/>
          </w:tcPr>
          <w:p w14:paraId="5EA23952" w14:textId="77777777" w:rsidR="003C66EB" w:rsidRDefault="00D96C4E">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53" w14:textId="77777777" w:rsidR="003C66EB" w:rsidRDefault="00D96C4E">
            <w:pPr>
              <w:jc w:val="right"/>
              <w:textAlignment w:val="bottom"/>
            </w:pPr>
            <w:r>
              <w:rPr>
                <w:rFonts w:ascii="Arial" w:eastAsia="宋体" w:hAnsi="Arial" w:cs="Arial"/>
                <w:b/>
                <w:bCs/>
                <w:color w:val="000000"/>
                <w:sz w:val="15"/>
                <w:szCs w:val="15"/>
              </w:rPr>
              <w:t>23,129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5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5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56" w14:textId="77777777" w:rsidR="003C66EB" w:rsidRDefault="00D96C4E">
            <w:pPr>
              <w:jc w:val="right"/>
              <w:textAlignment w:val="bottom"/>
            </w:pPr>
            <w:r>
              <w:rPr>
                <w:rFonts w:ascii="Arial" w:eastAsia="宋体" w:hAnsi="Arial" w:cs="Arial"/>
                <w:b/>
                <w:bCs/>
                <w:color w:val="000000"/>
                <w:sz w:val="15"/>
                <w:szCs w:val="15"/>
              </w:rPr>
              <w:t>354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5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59" w14:textId="77777777" w:rsidR="003C66EB" w:rsidRDefault="00D96C4E">
            <w:pPr>
              <w:jc w:val="right"/>
              <w:textAlignment w:val="bottom"/>
            </w:pPr>
            <w:r>
              <w:rPr>
                <w:rFonts w:ascii="Arial" w:eastAsia="宋体" w:hAnsi="Arial" w:cs="Arial"/>
                <w:b/>
                <w:bCs/>
                <w:color w:val="000000"/>
                <w:sz w:val="15"/>
                <w:szCs w:val="15"/>
              </w:rPr>
              <w:t>121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5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5C" w14:textId="77777777" w:rsidR="003C66EB" w:rsidRDefault="00D96C4E">
            <w:pPr>
              <w:jc w:val="right"/>
              <w:textAlignment w:val="bottom"/>
            </w:pPr>
            <w:r>
              <w:rPr>
                <w:rFonts w:ascii="Arial" w:eastAsia="宋体" w:hAnsi="Arial" w:cs="Arial"/>
                <w:b/>
                <w:bCs/>
                <w:color w:val="000000"/>
                <w:sz w:val="15"/>
                <w:szCs w:val="15"/>
              </w:rPr>
              <w:t>23,362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5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5F" w14:textId="77777777" w:rsidR="003C66EB" w:rsidRDefault="00D96C4E">
            <w:pPr>
              <w:jc w:val="right"/>
              <w:textAlignment w:val="bottom"/>
            </w:pPr>
            <w:r>
              <w:rPr>
                <w:rFonts w:ascii="Arial" w:eastAsia="宋体" w:hAnsi="Arial" w:cs="Arial"/>
                <w:color w:val="000000"/>
                <w:sz w:val="15"/>
                <w:szCs w:val="15"/>
              </w:rPr>
              <w:t>20,344 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6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6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62" w14:textId="77777777" w:rsidR="003C66EB" w:rsidRDefault="00D96C4E">
            <w:pPr>
              <w:jc w:val="right"/>
              <w:textAlignment w:val="bottom"/>
            </w:pPr>
            <w:r>
              <w:rPr>
                <w:rFonts w:ascii="Arial" w:eastAsia="宋体" w:hAnsi="Arial" w:cs="Arial"/>
                <w:color w:val="000000"/>
                <w:sz w:val="15"/>
                <w:szCs w:val="15"/>
              </w:rPr>
              <w:t>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6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65" w14:textId="77777777" w:rsidR="003C66EB" w:rsidRDefault="00D96C4E">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6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68" w14:textId="77777777" w:rsidR="003C66EB" w:rsidRDefault="00D96C4E">
            <w:pPr>
              <w:jc w:val="right"/>
              <w:textAlignment w:val="bottom"/>
            </w:pPr>
            <w:r>
              <w:rPr>
                <w:rFonts w:ascii="Arial" w:eastAsia="宋体" w:hAnsi="Arial" w:cs="Arial"/>
                <w:color w:val="000000"/>
                <w:sz w:val="15"/>
                <w:szCs w:val="15"/>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69" w14:textId="77777777" w:rsidR="003C66EB" w:rsidRDefault="003C66EB">
            <w:pPr>
              <w:jc w:val="right"/>
              <w:rPr>
                <w:rFonts w:ascii="宋体"/>
              </w:rPr>
            </w:pPr>
          </w:p>
        </w:tc>
      </w:tr>
      <w:tr w:rsidR="003C66EB" w14:paraId="5EA2397B" w14:textId="77777777">
        <w:tc>
          <w:tcPr>
            <w:tcW w:w="0" w:type="auto"/>
            <w:gridSpan w:val="3"/>
            <w:shd w:val="clear" w:color="auto" w:fill="FFFFFF"/>
            <w:tcMar>
              <w:top w:w="40" w:type="dxa"/>
              <w:left w:w="20" w:type="dxa"/>
              <w:bottom w:w="40" w:type="dxa"/>
              <w:right w:w="20" w:type="dxa"/>
            </w:tcMar>
            <w:vAlign w:val="bottom"/>
          </w:tcPr>
          <w:p w14:paraId="5EA2396B"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396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6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6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6F"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7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71"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7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73"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7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75"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7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77"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7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97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97A" w14:textId="77777777" w:rsidR="003C66EB" w:rsidRDefault="003C66EB">
            <w:pPr>
              <w:rPr>
                <w:rFonts w:ascii="宋体"/>
              </w:rPr>
            </w:pPr>
          </w:p>
        </w:tc>
      </w:tr>
      <w:tr w:rsidR="003C66EB" w14:paraId="5EA23994" w14:textId="77777777">
        <w:tc>
          <w:tcPr>
            <w:tcW w:w="0" w:type="auto"/>
            <w:gridSpan w:val="3"/>
            <w:shd w:val="clear" w:color="auto" w:fill="CCEEFF"/>
            <w:tcMar>
              <w:top w:w="40" w:type="dxa"/>
              <w:left w:w="20" w:type="dxa"/>
              <w:bottom w:w="40" w:type="dxa"/>
              <w:right w:w="20" w:type="dxa"/>
            </w:tcMar>
            <w:vAlign w:val="bottom"/>
          </w:tcPr>
          <w:p w14:paraId="5EA2397C" w14:textId="77777777" w:rsidR="003C66EB" w:rsidRDefault="00D96C4E">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A2397D" w14:textId="77777777" w:rsidR="003C66EB" w:rsidRDefault="00D96C4E">
            <w:pPr>
              <w:jc w:val="right"/>
              <w:textAlignment w:val="bottom"/>
            </w:pPr>
            <w:r>
              <w:rPr>
                <w:rFonts w:ascii="Arial" w:eastAsia="宋体" w:hAnsi="Arial" w:cs="Arial"/>
                <w:b/>
                <w:bCs/>
                <w:color w:val="000000"/>
                <w:sz w:val="15"/>
                <w:szCs w:val="15"/>
              </w:rPr>
              <w:t>283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7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7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80" w14:textId="77777777" w:rsidR="003C66EB" w:rsidRDefault="00D96C4E">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8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8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83"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86" w14:textId="77777777" w:rsidR="003C66EB" w:rsidRDefault="00D96C4E">
            <w:pPr>
              <w:jc w:val="right"/>
              <w:textAlignment w:val="bottom"/>
            </w:pPr>
            <w:r>
              <w:rPr>
                <w:rFonts w:ascii="Arial" w:eastAsia="宋体" w:hAnsi="Arial" w:cs="Arial"/>
                <w:b/>
                <w:bCs/>
                <w:color w:val="000000"/>
                <w:sz w:val="15"/>
                <w:szCs w:val="15"/>
              </w:rPr>
              <w:t>288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89" w14:textId="77777777" w:rsidR="003C66EB" w:rsidRDefault="00D96C4E">
            <w:pPr>
              <w:jc w:val="right"/>
              <w:textAlignment w:val="bottom"/>
            </w:pPr>
            <w:r>
              <w:rPr>
                <w:rFonts w:ascii="Arial" w:eastAsia="宋体" w:hAnsi="Arial" w:cs="Arial"/>
                <w:color w:val="000000"/>
                <w:sz w:val="15"/>
                <w:szCs w:val="15"/>
              </w:rPr>
              <w:t>313 </w:t>
            </w:r>
          </w:p>
        </w:tc>
        <w:tc>
          <w:tcPr>
            <w:tcW w:w="0" w:type="auto"/>
            <w:shd w:val="clear" w:color="auto" w:fill="CCEEFF"/>
            <w:tcMar>
              <w:top w:w="40" w:type="dxa"/>
              <w:left w:w="0" w:type="dxa"/>
              <w:bottom w:w="40" w:type="dxa"/>
              <w:right w:w="20" w:type="dxa"/>
            </w:tcMar>
            <w:vAlign w:val="bottom"/>
          </w:tcPr>
          <w:p w14:paraId="5EA239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8C" w14:textId="77777777" w:rsidR="003C66EB" w:rsidRDefault="00D96C4E">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A239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8F"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A239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9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92" w14:textId="77777777" w:rsidR="003C66EB" w:rsidRDefault="00D96C4E">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5EA23993" w14:textId="77777777" w:rsidR="003C66EB" w:rsidRDefault="003C66EB">
            <w:pPr>
              <w:jc w:val="right"/>
              <w:rPr>
                <w:rFonts w:ascii="宋体"/>
              </w:rPr>
            </w:pPr>
          </w:p>
        </w:tc>
      </w:tr>
      <w:tr w:rsidR="003C66EB" w14:paraId="5EA239AD" w14:textId="77777777">
        <w:tc>
          <w:tcPr>
            <w:tcW w:w="0" w:type="auto"/>
            <w:gridSpan w:val="3"/>
            <w:shd w:val="clear" w:color="auto" w:fill="FFFFFF"/>
            <w:tcMar>
              <w:top w:w="40" w:type="dxa"/>
              <w:left w:w="245" w:type="dxa"/>
              <w:bottom w:w="40" w:type="dxa"/>
              <w:right w:w="20" w:type="dxa"/>
            </w:tcMar>
            <w:vAlign w:val="bottom"/>
          </w:tcPr>
          <w:p w14:paraId="5EA23995" w14:textId="77777777" w:rsidR="003C66EB" w:rsidRDefault="00D96C4E">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5EA23996" w14:textId="77777777" w:rsidR="003C66EB" w:rsidRDefault="00D96C4E">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9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9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99"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9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9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9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9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9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9F" w14:textId="77777777" w:rsidR="003C66EB" w:rsidRDefault="00D96C4E">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A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A2" w14:textId="77777777" w:rsidR="003C66EB" w:rsidRDefault="00D96C4E">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EA239A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A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A5"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A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A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A8"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A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AB" w14:textId="77777777" w:rsidR="003C66EB" w:rsidRDefault="00D96C4E">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EA239AC" w14:textId="77777777" w:rsidR="003C66EB" w:rsidRDefault="003C66EB">
            <w:pPr>
              <w:jc w:val="right"/>
              <w:rPr>
                <w:rFonts w:ascii="宋体"/>
              </w:rPr>
            </w:pPr>
          </w:p>
        </w:tc>
      </w:tr>
      <w:tr w:rsidR="003C66EB" w14:paraId="5EA239BE" w14:textId="77777777">
        <w:trPr>
          <w:hidden/>
        </w:trPr>
        <w:tc>
          <w:tcPr>
            <w:tcW w:w="0" w:type="auto"/>
            <w:gridSpan w:val="3"/>
            <w:shd w:val="clear" w:color="auto" w:fill="auto"/>
          </w:tcPr>
          <w:p w14:paraId="5EA239AE" w14:textId="77777777" w:rsidR="003C66EB" w:rsidRDefault="003C66EB">
            <w:pPr>
              <w:rPr>
                <w:rFonts w:ascii="宋体"/>
                <w:vanish/>
              </w:rPr>
            </w:pPr>
          </w:p>
        </w:tc>
        <w:tc>
          <w:tcPr>
            <w:tcW w:w="0" w:type="auto"/>
            <w:gridSpan w:val="3"/>
            <w:shd w:val="clear" w:color="auto" w:fill="auto"/>
          </w:tcPr>
          <w:p w14:paraId="5EA239AF" w14:textId="77777777" w:rsidR="003C66EB" w:rsidRDefault="003C66EB">
            <w:pPr>
              <w:rPr>
                <w:rFonts w:ascii="宋体"/>
                <w:vanish/>
              </w:rPr>
            </w:pPr>
          </w:p>
        </w:tc>
        <w:tc>
          <w:tcPr>
            <w:tcW w:w="0" w:type="auto"/>
            <w:gridSpan w:val="3"/>
            <w:shd w:val="clear" w:color="auto" w:fill="auto"/>
          </w:tcPr>
          <w:p w14:paraId="5EA239B0" w14:textId="77777777" w:rsidR="003C66EB" w:rsidRDefault="003C66EB">
            <w:pPr>
              <w:rPr>
                <w:rFonts w:ascii="宋体"/>
                <w:vanish/>
              </w:rPr>
            </w:pPr>
          </w:p>
        </w:tc>
        <w:tc>
          <w:tcPr>
            <w:tcW w:w="0" w:type="auto"/>
            <w:gridSpan w:val="3"/>
            <w:shd w:val="clear" w:color="auto" w:fill="auto"/>
          </w:tcPr>
          <w:p w14:paraId="5EA239B1" w14:textId="77777777" w:rsidR="003C66EB" w:rsidRDefault="003C66EB">
            <w:pPr>
              <w:rPr>
                <w:rFonts w:ascii="宋体"/>
                <w:vanish/>
              </w:rPr>
            </w:pPr>
          </w:p>
        </w:tc>
        <w:tc>
          <w:tcPr>
            <w:tcW w:w="0" w:type="auto"/>
            <w:gridSpan w:val="3"/>
            <w:shd w:val="clear" w:color="auto" w:fill="auto"/>
          </w:tcPr>
          <w:p w14:paraId="5EA239B2" w14:textId="77777777" w:rsidR="003C66EB" w:rsidRDefault="003C66EB">
            <w:pPr>
              <w:rPr>
                <w:rFonts w:ascii="宋体"/>
                <w:vanish/>
              </w:rPr>
            </w:pPr>
          </w:p>
        </w:tc>
        <w:tc>
          <w:tcPr>
            <w:tcW w:w="0" w:type="auto"/>
            <w:gridSpan w:val="3"/>
            <w:shd w:val="clear" w:color="auto" w:fill="auto"/>
          </w:tcPr>
          <w:p w14:paraId="5EA239B3" w14:textId="77777777" w:rsidR="003C66EB" w:rsidRDefault="003C66EB">
            <w:pPr>
              <w:rPr>
                <w:rFonts w:ascii="宋体"/>
                <w:vanish/>
              </w:rPr>
            </w:pPr>
          </w:p>
        </w:tc>
        <w:tc>
          <w:tcPr>
            <w:tcW w:w="0" w:type="auto"/>
            <w:gridSpan w:val="3"/>
            <w:shd w:val="clear" w:color="auto" w:fill="auto"/>
          </w:tcPr>
          <w:p w14:paraId="5EA239B4" w14:textId="77777777" w:rsidR="003C66EB" w:rsidRDefault="003C66EB">
            <w:pPr>
              <w:rPr>
                <w:rFonts w:ascii="宋体"/>
                <w:vanish/>
              </w:rPr>
            </w:pPr>
          </w:p>
        </w:tc>
        <w:tc>
          <w:tcPr>
            <w:tcW w:w="0" w:type="auto"/>
            <w:gridSpan w:val="3"/>
            <w:shd w:val="clear" w:color="auto" w:fill="auto"/>
          </w:tcPr>
          <w:p w14:paraId="5EA239B5" w14:textId="77777777" w:rsidR="003C66EB" w:rsidRDefault="003C66EB">
            <w:pPr>
              <w:rPr>
                <w:rFonts w:ascii="宋体"/>
                <w:vanish/>
              </w:rPr>
            </w:pPr>
          </w:p>
        </w:tc>
        <w:tc>
          <w:tcPr>
            <w:tcW w:w="0" w:type="auto"/>
            <w:gridSpan w:val="3"/>
            <w:shd w:val="clear" w:color="auto" w:fill="auto"/>
          </w:tcPr>
          <w:p w14:paraId="5EA239B6" w14:textId="77777777" w:rsidR="003C66EB" w:rsidRDefault="003C66EB">
            <w:pPr>
              <w:rPr>
                <w:rFonts w:ascii="宋体"/>
                <w:vanish/>
              </w:rPr>
            </w:pPr>
          </w:p>
        </w:tc>
        <w:tc>
          <w:tcPr>
            <w:tcW w:w="0" w:type="auto"/>
            <w:gridSpan w:val="3"/>
            <w:shd w:val="clear" w:color="auto" w:fill="auto"/>
          </w:tcPr>
          <w:p w14:paraId="5EA239B7" w14:textId="77777777" w:rsidR="003C66EB" w:rsidRDefault="003C66EB">
            <w:pPr>
              <w:rPr>
                <w:rFonts w:ascii="宋体"/>
                <w:vanish/>
              </w:rPr>
            </w:pPr>
          </w:p>
        </w:tc>
        <w:tc>
          <w:tcPr>
            <w:tcW w:w="0" w:type="auto"/>
            <w:gridSpan w:val="3"/>
            <w:shd w:val="clear" w:color="auto" w:fill="auto"/>
          </w:tcPr>
          <w:p w14:paraId="5EA239B8" w14:textId="77777777" w:rsidR="003C66EB" w:rsidRDefault="003C66EB">
            <w:pPr>
              <w:rPr>
                <w:rFonts w:ascii="宋体"/>
                <w:vanish/>
              </w:rPr>
            </w:pPr>
          </w:p>
        </w:tc>
        <w:tc>
          <w:tcPr>
            <w:tcW w:w="0" w:type="auto"/>
            <w:gridSpan w:val="3"/>
            <w:shd w:val="clear" w:color="auto" w:fill="auto"/>
          </w:tcPr>
          <w:p w14:paraId="5EA239B9" w14:textId="77777777" w:rsidR="003C66EB" w:rsidRDefault="003C66EB">
            <w:pPr>
              <w:rPr>
                <w:rFonts w:ascii="宋体"/>
                <w:vanish/>
              </w:rPr>
            </w:pPr>
          </w:p>
        </w:tc>
        <w:tc>
          <w:tcPr>
            <w:tcW w:w="0" w:type="auto"/>
            <w:gridSpan w:val="3"/>
            <w:shd w:val="clear" w:color="auto" w:fill="auto"/>
          </w:tcPr>
          <w:p w14:paraId="5EA239BA" w14:textId="77777777" w:rsidR="003C66EB" w:rsidRDefault="003C66EB">
            <w:pPr>
              <w:rPr>
                <w:rFonts w:ascii="宋体"/>
                <w:vanish/>
              </w:rPr>
            </w:pPr>
          </w:p>
        </w:tc>
        <w:tc>
          <w:tcPr>
            <w:tcW w:w="0" w:type="auto"/>
            <w:gridSpan w:val="3"/>
            <w:shd w:val="clear" w:color="auto" w:fill="auto"/>
          </w:tcPr>
          <w:p w14:paraId="5EA239BB" w14:textId="77777777" w:rsidR="003C66EB" w:rsidRDefault="003C66EB">
            <w:pPr>
              <w:rPr>
                <w:rFonts w:ascii="宋体"/>
                <w:vanish/>
              </w:rPr>
            </w:pPr>
          </w:p>
        </w:tc>
        <w:tc>
          <w:tcPr>
            <w:tcW w:w="0" w:type="auto"/>
            <w:gridSpan w:val="3"/>
            <w:shd w:val="clear" w:color="auto" w:fill="auto"/>
          </w:tcPr>
          <w:p w14:paraId="5EA239BC" w14:textId="77777777" w:rsidR="003C66EB" w:rsidRDefault="003C66EB">
            <w:pPr>
              <w:rPr>
                <w:rFonts w:ascii="宋体"/>
                <w:vanish/>
              </w:rPr>
            </w:pPr>
          </w:p>
        </w:tc>
        <w:tc>
          <w:tcPr>
            <w:tcW w:w="0" w:type="auto"/>
            <w:gridSpan w:val="3"/>
            <w:shd w:val="clear" w:color="auto" w:fill="auto"/>
          </w:tcPr>
          <w:p w14:paraId="5EA239BD" w14:textId="77777777" w:rsidR="003C66EB" w:rsidRDefault="003C66EB">
            <w:pPr>
              <w:rPr>
                <w:rFonts w:ascii="宋体"/>
                <w:vanish/>
              </w:rPr>
            </w:pPr>
          </w:p>
        </w:tc>
      </w:tr>
      <w:tr w:rsidR="003C66EB" w14:paraId="5EA239D7" w14:textId="77777777">
        <w:tc>
          <w:tcPr>
            <w:tcW w:w="0" w:type="auto"/>
            <w:gridSpan w:val="3"/>
            <w:shd w:val="clear" w:color="auto" w:fill="CCEEFF"/>
            <w:tcMar>
              <w:top w:w="40" w:type="dxa"/>
              <w:left w:w="245" w:type="dxa"/>
              <w:bottom w:w="40" w:type="dxa"/>
              <w:right w:w="20" w:type="dxa"/>
            </w:tcMar>
            <w:vAlign w:val="bottom"/>
          </w:tcPr>
          <w:p w14:paraId="5EA239BF" w14:textId="77777777" w:rsidR="003C66EB" w:rsidRDefault="00D96C4E">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5EA239C0" w14:textId="77777777" w:rsidR="003C66EB" w:rsidRDefault="00D96C4E">
            <w:pPr>
              <w:jc w:val="right"/>
              <w:textAlignment w:val="bottom"/>
            </w:pPr>
            <w:r>
              <w:rPr>
                <w:rFonts w:ascii="Arial" w:eastAsia="宋体" w:hAnsi="Arial" w:cs="Arial"/>
                <w:b/>
                <w:bCs/>
                <w:color w:val="000000"/>
                <w:sz w:val="15"/>
                <w:szCs w:val="15"/>
              </w:rPr>
              <w:t>3,770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C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C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C3" w14:textId="77777777" w:rsidR="003C66EB" w:rsidRDefault="00D96C4E">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C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C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C6"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C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C9" w14:textId="77777777" w:rsidR="003C66EB" w:rsidRDefault="00D96C4E">
            <w:pPr>
              <w:jc w:val="right"/>
              <w:textAlignment w:val="bottom"/>
            </w:pPr>
            <w:r>
              <w:rPr>
                <w:rFonts w:ascii="Arial" w:eastAsia="宋体" w:hAnsi="Arial" w:cs="Arial"/>
                <w:b/>
                <w:bCs/>
                <w:color w:val="000000"/>
                <w:sz w:val="15"/>
                <w:szCs w:val="15"/>
              </w:rPr>
              <w:t>3,775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9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C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CC" w14:textId="77777777" w:rsidR="003C66EB" w:rsidRDefault="00D96C4E">
            <w:pPr>
              <w:jc w:val="right"/>
              <w:textAlignment w:val="bottom"/>
            </w:pPr>
            <w:r>
              <w:rPr>
                <w:rFonts w:ascii="Arial" w:eastAsia="宋体" w:hAnsi="Arial" w:cs="Arial"/>
                <w:color w:val="000000"/>
                <w:sz w:val="15"/>
                <w:szCs w:val="15"/>
              </w:rPr>
              <w:t>2,969 </w:t>
            </w:r>
          </w:p>
        </w:tc>
        <w:tc>
          <w:tcPr>
            <w:tcW w:w="0" w:type="auto"/>
            <w:shd w:val="clear" w:color="auto" w:fill="CCEEFF"/>
            <w:tcMar>
              <w:top w:w="40" w:type="dxa"/>
              <w:left w:w="0" w:type="dxa"/>
              <w:bottom w:w="40" w:type="dxa"/>
              <w:right w:w="20" w:type="dxa"/>
            </w:tcMar>
            <w:vAlign w:val="bottom"/>
          </w:tcPr>
          <w:p w14:paraId="5EA239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C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CF" w14:textId="77777777" w:rsidR="003C66EB" w:rsidRDefault="00D96C4E">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EA239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D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D2" w14:textId="77777777" w:rsidR="003C66EB" w:rsidRDefault="00D96C4E">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5EA239D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D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9D5" w14:textId="77777777" w:rsidR="003C66EB" w:rsidRDefault="00D96C4E">
            <w:pPr>
              <w:jc w:val="right"/>
              <w:textAlignment w:val="bottom"/>
            </w:pPr>
            <w:r>
              <w:rPr>
                <w:rFonts w:ascii="Arial" w:eastAsia="宋体" w:hAnsi="Arial" w:cs="Arial"/>
                <w:color w:val="000000"/>
                <w:sz w:val="15"/>
                <w:szCs w:val="15"/>
              </w:rPr>
              <w:t>2,966 </w:t>
            </w:r>
          </w:p>
        </w:tc>
        <w:tc>
          <w:tcPr>
            <w:tcW w:w="0" w:type="auto"/>
            <w:shd w:val="clear" w:color="auto" w:fill="CCEEFF"/>
            <w:tcMar>
              <w:top w:w="40" w:type="dxa"/>
              <w:left w:w="0" w:type="dxa"/>
              <w:bottom w:w="40" w:type="dxa"/>
              <w:right w:w="20" w:type="dxa"/>
            </w:tcMar>
            <w:vAlign w:val="bottom"/>
          </w:tcPr>
          <w:p w14:paraId="5EA239D6" w14:textId="77777777" w:rsidR="003C66EB" w:rsidRDefault="003C66EB">
            <w:pPr>
              <w:jc w:val="right"/>
              <w:rPr>
                <w:rFonts w:ascii="宋体"/>
              </w:rPr>
            </w:pPr>
          </w:p>
        </w:tc>
      </w:tr>
      <w:tr w:rsidR="003C66EB" w14:paraId="5EA239F0" w14:textId="77777777">
        <w:tc>
          <w:tcPr>
            <w:tcW w:w="0" w:type="auto"/>
            <w:gridSpan w:val="3"/>
            <w:shd w:val="clear" w:color="auto" w:fill="FFFFFF"/>
            <w:tcMar>
              <w:top w:w="40" w:type="dxa"/>
              <w:left w:w="20" w:type="dxa"/>
              <w:bottom w:w="40" w:type="dxa"/>
              <w:right w:w="20" w:type="dxa"/>
            </w:tcMar>
            <w:vAlign w:val="bottom"/>
          </w:tcPr>
          <w:p w14:paraId="5EA239D8" w14:textId="77777777" w:rsidR="003C66EB" w:rsidRDefault="00D96C4E">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39D9" w14:textId="77777777" w:rsidR="003C66EB" w:rsidRDefault="00D96C4E">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D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DC"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D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D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DF"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E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E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E2" w14:textId="77777777" w:rsidR="003C66EB" w:rsidRDefault="00D96C4E">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E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E5" w14:textId="77777777" w:rsidR="003C66EB" w:rsidRDefault="00D96C4E">
            <w:pPr>
              <w:jc w:val="right"/>
              <w:textAlignment w:val="bottom"/>
            </w:pPr>
            <w:r>
              <w:rPr>
                <w:rFonts w:ascii="Arial" w:eastAsia="宋体" w:hAnsi="Arial" w:cs="Arial"/>
                <w:color w:val="000000"/>
                <w:sz w:val="15"/>
                <w:szCs w:val="15"/>
              </w:rPr>
              <w:t>76 </w:t>
            </w:r>
          </w:p>
        </w:tc>
        <w:tc>
          <w:tcPr>
            <w:tcW w:w="0" w:type="auto"/>
            <w:shd w:val="clear" w:color="auto" w:fill="FFFFFF"/>
            <w:tcMar>
              <w:top w:w="40" w:type="dxa"/>
              <w:left w:w="0" w:type="dxa"/>
              <w:bottom w:w="40" w:type="dxa"/>
              <w:right w:w="20" w:type="dxa"/>
            </w:tcMar>
            <w:vAlign w:val="bottom"/>
          </w:tcPr>
          <w:p w14:paraId="5EA239E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E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E8" w14:textId="77777777" w:rsidR="003C66EB" w:rsidRDefault="00D96C4E">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5EA239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E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EB"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9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9E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9EE" w14:textId="77777777" w:rsidR="003C66EB" w:rsidRDefault="00D96C4E">
            <w:pPr>
              <w:jc w:val="right"/>
              <w:textAlignment w:val="bottom"/>
            </w:pPr>
            <w:r>
              <w:rPr>
                <w:rFonts w:ascii="Arial" w:eastAsia="宋体" w:hAnsi="Arial" w:cs="Arial"/>
                <w:color w:val="000000"/>
                <w:sz w:val="15"/>
                <w:szCs w:val="15"/>
              </w:rPr>
              <w:t>78 </w:t>
            </w:r>
          </w:p>
        </w:tc>
        <w:tc>
          <w:tcPr>
            <w:tcW w:w="0" w:type="auto"/>
            <w:shd w:val="clear" w:color="auto" w:fill="FFFFFF"/>
            <w:tcMar>
              <w:top w:w="40" w:type="dxa"/>
              <w:left w:w="0" w:type="dxa"/>
              <w:bottom w:w="40" w:type="dxa"/>
              <w:right w:w="20" w:type="dxa"/>
            </w:tcMar>
            <w:vAlign w:val="bottom"/>
          </w:tcPr>
          <w:p w14:paraId="5EA239EF" w14:textId="77777777" w:rsidR="003C66EB" w:rsidRDefault="003C66EB">
            <w:pPr>
              <w:jc w:val="right"/>
              <w:rPr>
                <w:rFonts w:ascii="宋体"/>
              </w:rPr>
            </w:pPr>
          </w:p>
        </w:tc>
      </w:tr>
      <w:tr w:rsidR="003C66EB" w14:paraId="5EA23A09" w14:textId="77777777">
        <w:tc>
          <w:tcPr>
            <w:tcW w:w="0" w:type="auto"/>
            <w:gridSpan w:val="3"/>
            <w:shd w:val="clear" w:color="auto" w:fill="CCEEFF"/>
            <w:tcMar>
              <w:top w:w="40" w:type="dxa"/>
              <w:left w:w="380" w:type="dxa"/>
              <w:bottom w:w="40" w:type="dxa"/>
              <w:right w:w="20" w:type="dxa"/>
            </w:tcMar>
            <w:vAlign w:val="bottom"/>
          </w:tcPr>
          <w:p w14:paraId="5EA239F1" w14:textId="77777777" w:rsidR="003C66EB" w:rsidRDefault="00D96C4E">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F2" w14:textId="77777777" w:rsidR="003C66EB" w:rsidRDefault="00D96C4E">
            <w:pPr>
              <w:jc w:val="right"/>
              <w:textAlignment w:val="bottom"/>
            </w:pPr>
            <w:r>
              <w:rPr>
                <w:rFonts w:ascii="Arial" w:eastAsia="宋体" w:hAnsi="Arial" w:cs="Arial"/>
                <w:b/>
                <w:bCs/>
                <w:color w:val="000000"/>
                <w:sz w:val="15"/>
                <w:szCs w:val="15"/>
              </w:rPr>
              <w:t>4,213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F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F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F5" w14:textId="77777777" w:rsidR="003C66EB" w:rsidRDefault="00D96C4E">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F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F8"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F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FB" w14:textId="77777777" w:rsidR="003C66EB" w:rsidRDefault="00D96C4E">
            <w:pPr>
              <w:jc w:val="right"/>
              <w:textAlignment w:val="bottom"/>
            </w:pPr>
            <w:r>
              <w:rPr>
                <w:rFonts w:ascii="Arial" w:eastAsia="宋体" w:hAnsi="Arial" w:cs="Arial"/>
                <w:b/>
                <w:bCs/>
                <w:color w:val="000000"/>
                <w:sz w:val="15"/>
                <w:szCs w:val="15"/>
              </w:rPr>
              <w:t>4,225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9F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9FE" w14:textId="77777777" w:rsidR="003C66EB" w:rsidRDefault="00D96C4E">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9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0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01" w14:textId="77777777" w:rsidR="003C66EB" w:rsidRDefault="00D96C4E">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0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04" w14:textId="77777777" w:rsidR="003C66EB" w:rsidRDefault="00D96C4E">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0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07" w14:textId="77777777" w:rsidR="003C66EB" w:rsidRDefault="00D96C4E">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08" w14:textId="77777777" w:rsidR="003C66EB" w:rsidRDefault="003C66EB">
            <w:pPr>
              <w:jc w:val="right"/>
              <w:rPr>
                <w:rFonts w:ascii="宋体"/>
              </w:rPr>
            </w:pPr>
          </w:p>
        </w:tc>
      </w:tr>
      <w:tr w:rsidR="003C66EB" w14:paraId="5EA23A1A" w14:textId="77777777">
        <w:tc>
          <w:tcPr>
            <w:tcW w:w="0" w:type="auto"/>
            <w:gridSpan w:val="3"/>
            <w:shd w:val="clear" w:color="auto" w:fill="FFFFFF"/>
            <w:tcMar>
              <w:top w:w="40" w:type="dxa"/>
              <w:left w:w="20" w:type="dxa"/>
              <w:bottom w:w="40" w:type="dxa"/>
              <w:right w:w="20" w:type="dxa"/>
            </w:tcMar>
            <w:vAlign w:val="bottom"/>
          </w:tcPr>
          <w:p w14:paraId="5EA23A0A" w14:textId="77777777" w:rsidR="003C66EB" w:rsidRDefault="00D96C4E">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tcPr>
          <w:p w14:paraId="5EA23A0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0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0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0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0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A19" w14:textId="77777777" w:rsidR="003C66EB" w:rsidRDefault="003C66EB">
            <w:pPr>
              <w:rPr>
                <w:rFonts w:ascii="宋体"/>
              </w:rPr>
            </w:pPr>
          </w:p>
        </w:tc>
      </w:tr>
      <w:tr w:rsidR="003C66EB" w14:paraId="5EA23A33" w14:textId="77777777">
        <w:tc>
          <w:tcPr>
            <w:tcW w:w="0" w:type="auto"/>
            <w:gridSpan w:val="3"/>
            <w:shd w:val="clear" w:color="auto" w:fill="CCEEFF"/>
            <w:tcMar>
              <w:top w:w="40" w:type="dxa"/>
              <w:left w:w="245" w:type="dxa"/>
              <w:bottom w:w="40" w:type="dxa"/>
              <w:right w:w="20" w:type="dxa"/>
            </w:tcMar>
            <w:vAlign w:val="bottom"/>
          </w:tcPr>
          <w:p w14:paraId="5EA23A1B"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EA23A1C" w14:textId="77777777" w:rsidR="003C66EB" w:rsidRDefault="00D96C4E">
            <w:pPr>
              <w:jc w:val="right"/>
              <w:textAlignment w:val="bottom"/>
            </w:pPr>
            <w:r>
              <w:rPr>
                <w:rFonts w:ascii="Arial" w:eastAsia="宋体" w:hAnsi="Arial" w:cs="Arial"/>
                <w:b/>
                <w:bCs/>
                <w:color w:val="000000"/>
                <w:sz w:val="15"/>
                <w:szCs w:val="15"/>
              </w:rPr>
              <w:t>2,021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1F" w14:textId="77777777" w:rsidR="003C66EB" w:rsidRDefault="00D96C4E">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2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2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2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25" w14:textId="77777777" w:rsidR="003C66EB" w:rsidRDefault="00D96C4E">
            <w:pPr>
              <w:jc w:val="right"/>
              <w:textAlignment w:val="bottom"/>
            </w:pPr>
            <w:r>
              <w:rPr>
                <w:rFonts w:ascii="Arial" w:eastAsia="宋体" w:hAnsi="Arial" w:cs="Arial"/>
                <w:b/>
                <w:bCs/>
                <w:color w:val="000000"/>
                <w:sz w:val="15"/>
                <w:szCs w:val="15"/>
              </w:rPr>
              <w:t>2,032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2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2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28" w14:textId="77777777" w:rsidR="003C66EB" w:rsidRDefault="00D96C4E">
            <w:pPr>
              <w:jc w:val="right"/>
              <w:textAlignment w:val="bottom"/>
            </w:pPr>
            <w:r>
              <w:rPr>
                <w:rFonts w:ascii="Arial" w:eastAsia="宋体" w:hAnsi="Arial" w:cs="Arial"/>
                <w:color w:val="000000"/>
                <w:sz w:val="15"/>
                <w:szCs w:val="15"/>
              </w:rPr>
              <w:t>1,994 </w:t>
            </w:r>
          </w:p>
        </w:tc>
        <w:tc>
          <w:tcPr>
            <w:tcW w:w="0" w:type="auto"/>
            <w:shd w:val="clear" w:color="auto" w:fill="CCEEFF"/>
            <w:tcMar>
              <w:top w:w="40" w:type="dxa"/>
              <w:left w:w="0" w:type="dxa"/>
              <w:bottom w:w="40" w:type="dxa"/>
              <w:right w:w="20" w:type="dxa"/>
            </w:tcMar>
            <w:vAlign w:val="bottom"/>
          </w:tcPr>
          <w:p w14:paraId="5EA23A2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2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2B"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A23A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2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2E" w14:textId="77777777" w:rsidR="003C66EB" w:rsidRDefault="00D96C4E">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A23A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3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31" w14:textId="77777777" w:rsidR="003C66EB" w:rsidRDefault="00D96C4E">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5EA23A32" w14:textId="77777777" w:rsidR="003C66EB" w:rsidRDefault="003C66EB">
            <w:pPr>
              <w:jc w:val="right"/>
              <w:rPr>
                <w:rFonts w:ascii="宋体"/>
              </w:rPr>
            </w:pPr>
          </w:p>
        </w:tc>
      </w:tr>
      <w:tr w:rsidR="003C66EB" w14:paraId="5EA23A4C" w14:textId="77777777">
        <w:tc>
          <w:tcPr>
            <w:tcW w:w="0" w:type="auto"/>
            <w:gridSpan w:val="3"/>
            <w:shd w:val="clear" w:color="auto" w:fill="FFFFFF"/>
            <w:tcMar>
              <w:top w:w="40" w:type="dxa"/>
              <w:left w:w="245" w:type="dxa"/>
              <w:bottom w:w="40" w:type="dxa"/>
              <w:right w:w="20" w:type="dxa"/>
            </w:tcMar>
            <w:vAlign w:val="bottom"/>
          </w:tcPr>
          <w:p w14:paraId="5EA23A34"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EA23A35" w14:textId="77777777" w:rsidR="003C66EB" w:rsidRDefault="00D96C4E">
            <w:pPr>
              <w:jc w:val="right"/>
              <w:textAlignment w:val="bottom"/>
            </w:pPr>
            <w:r>
              <w:rPr>
                <w:rFonts w:ascii="Arial" w:eastAsia="宋体" w:hAnsi="Arial" w:cs="Arial"/>
                <w:b/>
                <w:bCs/>
                <w:color w:val="000000"/>
                <w:sz w:val="15"/>
                <w:szCs w:val="15"/>
              </w:rPr>
              <w:t>2,296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3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38"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3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3B"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3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3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3E" w14:textId="77777777" w:rsidR="003C66EB" w:rsidRDefault="00D96C4E">
            <w:pPr>
              <w:jc w:val="right"/>
              <w:textAlignment w:val="bottom"/>
            </w:pPr>
            <w:r>
              <w:rPr>
                <w:rFonts w:ascii="Arial" w:eastAsia="宋体" w:hAnsi="Arial" w:cs="Arial"/>
                <w:b/>
                <w:bCs/>
                <w:color w:val="000000"/>
                <w:sz w:val="15"/>
                <w:szCs w:val="15"/>
              </w:rPr>
              <w:t>2,297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4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41" w14:textId="77777777" w:rsidR="003C66EB" w:rsidRDefault="00D96C4E">
            <w:pPr>
              <w:jc w:val="right"/>
              <w:textAlignment w:val="bottom"/>
            </w:pPr>
            <w:r>
              <w:rPr>
                <w:rFonts w:ascii="Arial" w:eastAsia="宋体" w:hAnsi="Arial" w:cs="Arial"/>
                <w:color w:val="000000"/>
                <w:sz w:val="15"/>
                <w:szCs w:val="15"/>
              </w:rPr>
              <w:t>2,294 </w:t>
            </w:r>
          </w:p>
        </w:tc>
        <w:tc>
          <w:tcPr>
            <w:tcW w:w="0" w:type="auto"/>
            <w:shd w:val="clear" w:color="auto" w:fill="FFFFFF"/>
            <w:tcMar>
              <w:top w:w="40" w:type="dxa"/>
              <w:left w:w="0" w:type="dxa"/>
              <w:bottom w:w="40" w:type="dxa"/>
              <w:right w:w="20" w:type="dxa"/>
            </w:tcMar>
            <w:vAlign w:val="bottom"/>
          </w:tcPr>
          <w:p w14:paraId="5EA23A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44"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A23A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47"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A23A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4A" w14:textId="77777777" w:rsidR="003C66EB" w:rsidRDefault="00D96C4E">
            <w:pPr>
              <w:jc w:val="right"/>
              <w:textAlignment w:val="bottom"/>
            </w:pPr>
            <w:r>
              <w:rPr>
                <w:rFonts w:ascii="Arial" w:eastAsia="宋体" w:hAnsi="Arial" w:cs="Arial"/>
                <w:color w:val="000000"/>
                <w:sz w:val="15"/>
                <w:szCs w:val="15"/>
              </w:rPr>
              <w:t>2,291 </w:t>
            </w:r>
          </w:p>
        </w:tc>
        <w:tc>
          <w:tcPr>
            <w:tcW w:w="0" w:type="auto"/>
            <w:shd w:val="clear" w:color="auto" w:fill="FFFFFF"/>
            <w:tcMar>
              <w:top w:w="40" w:type="dxa"/>
              <w:left w:w="0" w:type="dxa"/>
              <w:bottom w:w="40" w:type="dxa"/>
              <w:right w:w="20" w:type="dxa"/>
            </w:tcMar>
            <w:vAlign w:val="bottom"/>
          </w:tcPr>
          <w:p w14:paraId="5EA23A4B" w14:textId="77777777" w:rsidR="003C66EB" w:rsidRDefault="003C66EB">
            <w:pPr>
              <w:jc w:val="right"/>
              <w:rPr>
                <w:rFonts w:ascii="宋体"/>
              </w:rPr>
            </w:pPr>
          </w:p>
        </w:tc>
      </w:tr>
      <w:tr w:rsidR="003C66EB" w14:paraId="5EA23A65" w14:textId="77777777">
        <w:tc>
          <w:tcPr>
            <w:tcW w:w="0" w:type="auto"/>
            <w:gridSpan w:val="3"/>
            <w:shd w:val="clear" w:color="auto" w:fill="CCEEFF"/>
            <w:tcMar>
              <w:top w:w="40" w:type="dxa"/>
              <w:left w:w="245" w:type="dxa"/>
              <w:bottom w:w="40" w:type="dxa"/>
              <w:right w:w="20" w:type="dxa"/>
            </w:tcMar>
            <w:vAlign w:val="bottom"/>
          </w:tcPr>
          <w:p w14:paraId="5EA23A4D" w14:textId="77777777" w:rsidR="003C66EB" w:rsidRDefault="00D96C4E">
            <w:pPr>
              <w:textAlignment w:val="bottom"/>
            </w:pPr>
            <w:r>
              <w:rPr>
                <w:rFonts w:ascii="Arial" w:eastAsia="宋体" w:hAnsi="Arial" w:cs="Arial"/>
                <w:color w:val="000000"/>
                <w:sz w:val="15"/>
                <w:szCs w:val="15"/>
              </w:rPr>
              <w:t>Government securities</w:t>
            </w:r>
          </w:p>
        </w:tc>
        <w:tc>
          <w:tcPr>
            <w:tcW w:w="0" w:type="auto"/>
            <w:gridSpan w:val="2"/>
            <w:shd w:val="clear" w:color="auto" w:fill="CCEEFF"/>
            <w:tcMar>
              <w:top w:w="40" w:type="dxa"/>
              <w:left w:w="20" w:type="dxa"/>
              <w:bottom w:w="40" w:type="dxa"/>
              <w:right w:w="0" w:type="dxa"/>
            </w:tcMar>
            <w:vAlign w:val="bottom"/>
          </w:tcPr>
          <w:p w14:paraId="5EA23A4E" w14:textId="77777777" w:rsidR="003C66EB" w:rsidRDefault="00D96C4E">
            <w:pPr>
              <w:jc w:val="right"/>
              <w:textAlignment w:val="bottom"/>
            </w:pPr>
            <w:r>
              <w:rPr>
                <w:rFonts w:ascii="Arial" w:eastAsia="宋体" w:hAnsi="Arial" w:cs="Arial"/>
                <w:b/>
                <w:bCs/>
                <w:color w:val="000000"/>
                <w:sz w:val="15"/>
                <w:szCs w:val="15"/>
              </w:rPr>
              <w:t>9,773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51" w14:textId="77777777" w:rsidR="003C66EB" w:rsidRDefault="00D96C4E">
            <w:pPr>
              <w:jc w:val="right"/>
              <w:textAlignment w:val="bottom"/>
            </w:pPr>
            <w:r>
              <w:rPr>
                <w:rFonts w:ascii="Arial" w:eastAsia="宋体" w:hAnsi="Arial" w:cs="Arial"/>
                <w:b/>
                <w:bCs/>
                <w:color w:val="000000"/>
                <w:sz w:val="15"/>
                <w:szCs w:val="15"/>
              </w:rPr>
              <w:t>138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5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54"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5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57" w14:textId="77777777" w:rsidR="003C66EB" w:rsidRDefault="00D96C4E">
            <w:pPr>
              <w:jc w:val="right"/>
              <w:textAlignment w:val="bottom"/>
            </w:pPr>
            <w:r>
              <w:rPr>
                <w:rFonts w:ascii="Arial" w:eastAsia="宋体" w:hAnsi="Arial" w:cs="Arial"/>
                <w:b/>
                <w:bCs/>
                <w:color w:val="000000"/>
                <w:sz w:val="15"/>
                <w:szCs w:val="15"/>
              </w:rPr>
              <w:t>9,910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5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5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5A" w14:textId="77777777" w:rsidR="003C66EB" w:rsidRDefault="00D96C4E">
            <w:pPr>
              <w:jc w:val="right"/>
              <w:textAlignment w:val="bottom"/>
            </w:pPr>
            <w:r>
              <w:rPr>
                <w:rFonts w:ascii="Arial" w:eastAsia="宋体" w:hAnsi="Arial" w:cs="Arial"/>
                <w:color w:val="000000"/>
                <w:sz w:val="15"/>
                <w:szCs w:val="15"/>
              </w:rPr>
              <w:t>12,337 </w:t>
            </w:r>
          </w:p>
        </w:tc>
        <w:tc>
          <w:tcPr>
            <w:tcW w:w="0" w:type="auto"/>
            <w:shd w:val="clear" w:color="auto" w:fill="CCEEFF"/>
            <w:tcMar>
              <w:top w:w="40" w:type="dxa"/>
              <w:left w:w="0" w:type="dxa"/>
              <w:bottom w:w="40" w:type="dxa"/>
              <w:right w:w="20" w:type="dxa"/>
            </w:tcMar>
            <w:vAlign w:val="bottom"/>
          </w:tcPr>
          <w:p w14:paraId="5EA23A5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5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5D" w14:textId="77777777" w:rsidR="003C66EB" w:rsidRDefault="00D96C4E">
            <w:pPr>
              <w:jc w:val="right"/>
              <w:textAlignment w:val="bottom"/>
            </w:pPr>
            <w:r>
              <w:rPr>
                <w:rFonts w:ascii="Arial" w:eastAsia="宋体" w:hAnsi="Arial" w:cs="Arial"/>
                <w:color w:val="000000"/>
                <w:sz w:val="15"/>
                <w:szCs w:val="15"/>
              </w:rPr>
              <w:t>202 </w:t>
            </w:r>
          </w:p>
        </w:tc>
        <w:tc>
          <w:tcPr>
            <w:tcW w:w="0" w:type="auto"/>
            <w:shd w:val="clear" w:color="auto" w:fill="CCEEFF"/>
            <w:tcMar>
              <w:top w:w="40" w:type="dxa"/>
              <w:left w:w="0" w:type="dxa"/>
              <w:bottom w:w="40" w:type="dxa"/>
              <w:right w:w="20" w:type="dxa"/>
            </w:tcMar>
            <w:vAlign w:val="bottom"/>
          </w:tcPr>
          <w:p w14:paraId="5EA23A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5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60"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6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63" w14:textId="77777777" w:rsidR="003C66EB" w:rsidRDefault="00D96C4E">
            <w:pPr>
              <w:jc w:val="right"/>
              <w:textAlignment w:val="bottom"/>
            </w:pPr>
            <w:r>
              <w:rPr>
                <w:rFonts w:ascii="Arial" w:eastAsia="宋体" w:hAnsi="Arial" w:cs="Arial"/>
                <w:color w:val="000000"/>
                <w:sz w:val="15"/>
                <w:szCs w:val="15"/>
              </w:rPr>
              <w:t>12,539 </w:t>
            </w:r>
          </w:p>
        </w:tc>
        <w:tc>
          <w:tcPr>
            <w:tcW w:w="0" w:type="auto"/>
            <w:shd w:val="clear" w:color="auto" w:fill="CCEEFF"/>
            <w:tcMar>
              <w:top w:w="40" w:type="dxa"/>
              <w:left w:w="0" w:type="dxa"/>
              <w:bottom w:w="40" w:type="dxa"/>
              <w:right w:w="20" w:type="dxa"/>
            </w:tcMar>
            <w:vAlign w:val="bottom"/>
          </w:tcPr>
          <w:p w14:paraId="5EA23A64" w14:textId="77777777" w:rsidR="003C66EB" w:rsidRDefault="003C66EB">
            <w:pPr>
              <w:jc w:val="right"/>
              <w:rPr>
                <w:rFonts w:ascii="宋体"/>
              </w:rPr>
            </w:pPr>
          </w:p>
        </w:tc>
      </w:tr>
      <w:tr w:rsidR="003C66EB" w14:paraId="5EA23A7E" w14:textId="77777777">
        <w:tc>
          <w:tcPr>
            <w:tcW w:w="0" w:type="auto"/>
            <w:gridSpan w:val="3"/>
            <w:shd w:val="clear" w:color="auto" w:fill="FFFFFF"/>
            <w:tcMar>
              <w:top w:w="40" w:type="dxa"/>
              <w:left w:w="20" w:type="dxa"/>
              <w:bottom w:w="40" w:type="dxa"/>
              <w:right w:w="20" w:type="dxa"/>
            </w:tcMar>
            <w:vAlign w:val="bottom"/>
          </w:tcPr>
          <w:p w14:paraId="5EA23A66"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3A67" w14:textId="77777777" w:rsidR="003C66EB" w:rsidRDefault="00D96C4E">
            <w:pPr>
              <w:jc w:val="right"/>
              <w:textAlignment w:val="bottom"/>
            </w:pPr>
            <w:r>
              <w:rPr>
                <w:rFonts w:ascii="Arial" w:eastAsia="宋体" w:hAnsi="Arial" w:cs="Arial"/>
                <w:b/>
                <w:bCs/>
                <w:color w:val="000000"/>
                <w:sz w:val="15"/>
                <w:szCs w:val="15"/>
              </w:rPr>
              <w:t>13,679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6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6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6A" w14:textId="77777777" w:rsidR="003C66EB" w:rsidRDefault="00D96C4E">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6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6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6D" w14:textId="77777777" w:rsidR="003C66EB" w:rsidRDefault="00D96C4E">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6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70" w14:textId="77777777" w:rsidR="003C66EB" w:rsidRDefault="00D96C4E">
            <w:pPr>
              <w:jc w:val="right"/>
              <w:textAlignment w:val="bottom"/>
            </w:pPr>
            <w:r>
              <w:rPr>
                <w:rFonts w:ascii="Arial" w:eastAsia="宋体" w:hAnsi="Arial" w:cs="Arial"/>
                <w:b/>
                <w:bCs/>
                <w:color w:val="000000"/>
                <w:sz w:val="15"/>
                <w:szCs w:val="15"/>
              </w:rPr>
              <w:t>13,709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A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73" w14:textId="77777777" w:rsidR="003C66EB" w:rsidRDefault="00D96C4E">
            <w:pPr>
              <w:jc w:val="right"/>
              <w:textAlignment w:val="bottom"/>
            </w:pPr>
            <w:r>
              <w:rPr>
                <w:rFonts w:ascii="Arial" w:eastAsia="宋体" w:hAnsi="Arial" w:cs="Arial"/>
                <w:color w:val="000000"/>
                <w:sz w:val="15"/>
                <w:szCs w:val="15"/>
              </w:rPr>
              <w:t>12,729 </w:t>
            </w:r>
          </w:p>
        </w:tc>
        <w:tc>
          <w:tcPr>
            <w:tcW w:w="0" w:type="auto"/>
            <w:shd w:val="clear" w:color="auto" w:fill="FFFFFF"/>
            <w:tcMar>
              <w:top w:w="40" w:type="dxa"/>
              <w:left w:w="0" w:type="dxa"/>
              <w:bottom w:w="40" w:type="dxa"/>
              <w:right w:w="20" w:type="dxa"/>
            </w:tcMar>
            <w:vAlign w:val="bottom"/>
          </w:tcPr>
          <w:p w14:paraId="5EA23A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76" w14:textId="77777777" w:rsidR="003C66EB" w:rsidRDefault="00D96C4E">
            <w:pPr>
              <w:jc w:val="right"/>
              <w:textAlignment w:val="bottom"/>
            </w:pPr>
            <w:r>
              <w:rPr>
                <w:rFonts w:ascii="Arial" w:eastAsia="宋体" w:hAnsi="Arial" w:cs="Arial"/>
                <w:color w:val="000000"/>
                <w:sz w:val="15"/>
                <w:szCs w:val="15"/>
              </w:rPr>
              <w:t>177 </w:t>
            </w:r>
          </w:p>
        </w:tc>
        <w:tc>
          <w:tcPr>
            <w:tcW w:w="0" w:type="auto"/>
            <w:shd w:val="clear" w:color="auto" w:fill="FFFFFF"/>
            <w:tcMar>
              <w:top w:w="40" w:type="dxa"/>
              <w:left w:w="0" w:type="dxa"/>
              <w:bottom w:w="40" w:type="dxa"/>
              <w:right w:w="20" w:type="dxa"/>
            </w:tcMar>
            <w:vAlign w:val="bottom"/>
          </w:tcPr>
          <w:p w14:paraId="5EA23A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7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79" w14:textId="77777777" w:rsidR="003C66EB" w:rsidRDefault="00D96C4E">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EA23A7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7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A7C" w14:textId="77777777" w:rsidR="003C66EB" w:rsidRDefault="00D96C4E">
            <w:pPr>
              <w:jc w:val="right"/>
              <w:textAlignment w:val="bottom"/>
            </w:pPr>
            <w:r>
              <w:rPr>
                <w:rFonts w:ascii="Arial" w:eastAsia="宋体" w:hAnsi="Arial" w:cs="Arial"/>
                <w:color w:val="000000"/>
                <w:sz w:val="15"/>
                <w:szCs w:val="15"/>
              </w:rPr>
              <w:t>12,903 </w:t>
            </w:r>
          </w:p>
        </w:tc>
        <w:tc>
          <w:tcPr>
            <w:tcW w:w="0" w:type="auto"/>
            <w:shd w:val="clear" w:color="auto" w:fill="FFFFFF"/>
            <w:tcMar>
              <w:top w:w="40" w:type="dxa"/>
              <w:left w:w="0" w:type="dxa"/>
              <w:bottom w:w="40" w:type="dxa"/>
              <w:right w:w="20" w:type="dxa"/>
            </w:tcMar>
            <w:vAlign w:val="bottom"/>
          </w:tcPr>
          <w:p w14:paraId="5EA23A7D" w14:textId="77777777" w:rsidR="003C66EB" w:rsidRDefault="003C66EB">
            <w:pPr>
              <w:jc w:val="right"/>
              <w:rPr>
                <w:rFonts w:ascii="宋体"/>
              </w:rPr>
            </w:pPr>
          </w:p>
        </w:tc>
      </w:tr>
      <w:tr w:rsidR="003C66EB" w14:paraId="5EA23A97" w14:textId="77777777">
        <w:tc>
          <w:tcPr>
            <w:tcW w:w="0" w:type="auto"/>
            <w:gridSpan w:val="3"/>
            <w:shd w:val="clear" w:color="auto" w:fill="CCEEFF"/>
            <w:tcMar>
              <w:top w:w="40" w:type="dxa"/>
              <w:left w:w="380" w:type="dxa"/>
              <w:bottom w:w="40" w:type="dxa"/>
              <w:right w:w="20" w:type="dxa"/>
            </w:tcMar>
            <w:vAlign w:val="bottom"/>
          </w:tcPr>
          <w:p w14:paraId="5EA23A7F" w14:textId="77777777" w:rsidR="003C66EB" w:rsidRDefault="00D96C4E">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80" w14:textId="77777777" w:rsidR="003C66EB" w:rsidRDefault="00D96C4E">
            <w:pPr>
              <w:jc w:val="right"/>
              <w:textAlignment w:val="bottom"/>
            </w:pPr>
            <w:r>
              <w:rPr>
                <w:rFonts w:ascii="Arial" w:eastAsia="宋体" w:hAnsi="Arial" w:cs="Arial"/>
                <w:b/>
                <w:bCs/>
                <w:color w:val="000000"/>
                <w:sz w:val="15"/>
                <w:szCs w:val="15"/>
              </w:rPr>
              <w:t>27,769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8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8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83" w14:textId="77777777" w:rsidR="003C66EB" w:rsidRDefault="00D96C4E">
            <w:pPr>
              <w:jc w:val="right"/>
              <w:textAlignment w:val="bottom"/>
            </w:pPr>
            <w:r>
              <w:rPr>
                <w:rFonts w:ascii="Arial" w:eastAsia="宋体" w:hAnsi="Arial" w:cs="Arial"/>
                <w:b/>
                <w:bCs/>
                <w:color w:val="000000"/>
                <w:sz w:val="15"/>
                <w:szCs w:val="15"/>
              </w:rPr>
              <w:t>262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8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86" w14:textId="77777777" w:rsidR="003C66EB" w:rsidRDefault="00D96C4E">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8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89" w14:textId="77777777" w:rsidR="003C66EB" w:rsidRDefault="00D96C4E">
            <w:pPr>
              <w:jc w:val="right"/>
              <w:textAlignment w:val="bottom"/>
            </w:pPr>
            <w:r>
              <w:rPr>
                <w:rFonts w:ascii="Arial" w:eastAsia="宋体" w:hAnsi="Arial" w:cs="Arial"/>
                <w:b/>
                <w:bCs/>
                <w:color w:val="000000"/>
                <w:sz w:val="15"/>
                <w:szCs w:val="15"/>
              </w:rPr>
              <w:t>27,948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8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8C" w14:textId="77777777" w:rsidR="003C66EB" w:rsidRDefault="00D96C4E">
            <w:pPr>
              <w:jc w:val="right"/>
              <w:textAlignment w:val="bottom"/>
            </w:pPr>
            <w:r>
              <w:rPr>
                <w:rFonts w:ascii="Arial" w:eastAsia="宋体" w:hAnsi="Arial" w:cs="Arial"/>
                <w:color w:val="000000"/>
                <w:sz w:val="15"/>
                <w:szCs w:val="15"/>
              </w:rPr>
              <w:t>29,354 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8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8F" w14:textId="77777777" w:rsidR="003C66EB" w:rsidRDefault="00D96C4E">
            <w:pPr>
              <w:jc w:val="right"/>
              <w:textAlignment w:val="bottom"/>
            </w:pPr>
            <w:r>
              <w:rPr>
                <w:rFonts w:ascii="Arial" w:eastAsia="宋体" w:hAnsi="Arial" w:cs="Arial"/>
                <w:color w:val="000000"/>
                <w:sz w:val="15"/>
                <w:szCs w:val="15"/>
              </w:rPr>
              <w:t>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9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92" w14:textId="77777777" w:rsidR="003C66EB" w:rsidRDefault="00D96C4E">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9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A95" w14:textId="77777777" w:rsidR="003C66EB" w:rsidRDefault="00D96C4E">
            <w:pPr>
              <w:jc w:val="right"/>
              <w:textAlignment w:val="bottom"/>
            </w:pPr>
            <w:r>
              <w:rPr>
                <w:rFonts w:ascii="Arial" w:eastAsia="宋体" w:hAnsi="Arial" w:cs="Arial"/>
                <w:color w:val="000000"/>
                <w:sz w:val="15"/>
                <w:szCs w:val="15"/>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A96" w14:textId="77777777" w:rsidR="003C66EB" w:rsidRDefault="003C66EB">
            <w:pPr>
              <w:jc w:val="right"/>
              <w:rPr>
                <w:rFonts w:ascii="宋体"/>
              </w:rPr>
            </w:pPr>
          </w:p>
        </w:tc>
      </w:tr>
      <w:tr w:rsidR="003C66EB" w14:paraId="5EA23AB0" w14:textId="77777777">
        <w:tc>
          <w:tcPr>
            <w:tcW w:w="0" w:type="auto"/>
            <w:gridSpan w:val="3"/>
            <w:shd w:val="clear" w:color="auto" w:fill="FFFFFF"/>
            <w:tcMar>
              <w:top w:w="40" w:type="dxa"/>
              <w:left w:w="20" w:type="dxa"/>
              <w:bottom w:w="40" w:type="dxa"/>
              <w:right w:w="20" w:type="dxa"/>
            </w:tcMar>
            <w:vAlign w:val="bottom"/>
          </w:tcPr>
          <w:p w14:paraId="5EA23A98" w14:textId="77777777" w:rsidR="003C66EB" w:rsidRDefault="00D96C4E">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99" w14:textId="77777777" w:rsidR="003C66EB" w:rsidRDefault="00D96C4E">
            <w:pPr>
              <w:jc w:val="right"/>
              <w:textAlignment w:val="bottom"/>
            </w:pPr>
            <w:r>
              <w:rPr>
                <w:rFonts w:ascii="Arial" w:eastAsia="宋体" w:hAnsi="Arial" w:cs="Arial"/>
                <w:b/>
                <w:bCs/>
                <w:color w:val="000000"/>
                <w:sz w:val="15"/>
                <w:szCs w:val="15"/>
              </w:rPr>
              <w:t>1,431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9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9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9C" w14:textId="77777777" w:rsidR="003C66EB" w:rsidRDefault="00D96C4E">
            <w:pPr>
              <w:jc w:val="right"/>
              <w:textAlignment w:val="bottom"/>
            </w:pPr>
            <w:r>
              <w:rPr>
                <w:rFonts w:ascii="Arial" w:eastAsia="宋体" w:hAnsi="Arial" w:cs="Arial"/>
                <w:b/>
                <w:bCs/>
                <w:color w:val="000000"/>
                <w:sz w:val="15"/>
                <w:szCs w:val="15"/>
              </w:rPr>
              <w:t>69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9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9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9F"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A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A2" w14:textId="77777777" w:rsidR="003C66EB" w:rsidRDefault="00D96C4E">
            <w:pPr>
              <w:jc w:val="right"/>
              <w:textAlignment w:val="bottom"/>
            </w:pPr>
            <w:r>
              <w:rPr>
                <w:rFonts w:ascii="Arial" w:eastAsia="宋体" w:hAnsi="Arial" w:cs="Arial"/>
                <w:b/>
                <w:bCs/>
                <w:color w:val="000000"/>
                <w:sz w:val="15"/>
                <w:szCs w:val="15"/>
              </w:rPr>
              <w:t>1,498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A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A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A5" w14:textId="77777777" w:rsidR="003C66EB" w:rsidRDefault="00D96C4E">
            <w:pPr>
              <w:jc w:val="right"/>
              <w:textAlignment w:val="bottom"/>
            </w:pPr>
            <w:r>
              <w:rPr>
                <w:rFonts w:ascii="Arial" w:eastAsia="宋体" w:hAnsi="Arial" w:cs="Arial"/>
                <w:color w:val="000000"/>
                <w:sz w:val="15"/>
                <w:szCs w:val="15"/>
              </w:rPr>
              <w:t>1,470 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A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A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A8" w14:textId="77777777" w:rsidR="003C66EB" w:rsidRDefault="00D96C4E">
            <w:pPr>
              <w:jc w:val="right"/>
              <w:textAlignment w:val="bottom"/>
            </w:pPr>
            <w:r>
              <w:rPr>
                <w:rFonts w:ascii="Arial" w:eastAsia="宋体" w:hAnsi="Arial" w:cs="Arial"/>
                <w:color w:val="000000"/>
                <w:sz w:val="15"/>
                <w:szCs w:val="15"/>
              </w:rPr>
              <w:t>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A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AB" w14:textId="77777777" w:rsidR="003C66EB" w:rsidRDefault="00D96C4E">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A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AA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AAE" w14:textId="77777777" w:rsidR="003C66EB" w:rsidRDefault="00D96C4E">
            <w:pPr>
              <w:jc w:val="right"/>
              <w:textAlignment w:val="bottom"/>
            </w:pPr>
            <w:r>
              <w:rPr>
                <w:rFonts w:ascii="Arial" w:eastAsia="宋体" w:hAnsi="Arial" w:cs="Arial"/>
                <w:color w:val="000000"/>
                <w:sz w:val="15"/>
                <w:szCs w:val="15"/>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AAF" w14:textId="77777777" w:rsidR="003C66EB" w:rsidRDefault="003C66EB">
            <w:pPr>
              <w:jc w:val="right"/>
              <w:rPr>
                <w:rFonts w:ascii="宋体"/>
              </w:rPr>
            </w:pPr>
          </w:p>
        </w:tc>
      </w:tr>
      <w:tr w:rsidR="003C66EB" w14:paraId="5EA23AC1" w14:textId="77777777">
        <w:trPr>
          <w:hidden/>
        </w:trPr>
        <w:tc>
          <w:tcPr>
            <w:tcW w:w="0" w:type="auto"/>
            <w:gridSpan w:val="3"/>
            <w:shd w:val="clear" w:color="auto" w:fill="auto"/>
          </w:tcPr>
          <w:p w14:paraId="5EA23AB1" w14:textId="77777777" w:rsidR="003C66EB" w:rsidRDefault="003C66EB">
            <w:pPr>
              <w:rPr>
                <w:rFonts w:ascii="宋体"/>
                <w:vanish/>
              </w:rPr>
            </w:pPr>
          </w:p>
        </w:tc>
        <w:tc>
          <w:tcPr>
            <w:tcW w:w="0" w:type="auto"/>
            <w:gridSpan w:val="3"/>
            <w:shd w:val="clear" w:color="auto" w:fill="auto"/>
          </w:tcPr>
          <w:p w14:paraId="5EA23AB2" w14:textId="77777777" w:rsidR="003C66EB" w:rsidRDefault="003C66EB">
            <w:pPr>
              <w:rPr>
                <w:rFonts w:ascii="宋体"/>
                <w:vanish/>
              </w:rPr>
            </w:pPr>
          </w:p>
        </w:tc>
        <w:tc>
          <w:tcPr>
            <w:tcW w:w="0" w:type="auto"/>
            <w:gridSpan w:val="3"/>
            <w:shd w:val="clear" w:color="auto" w:fill="auto"/>
          </w:tcPr>
          <w:p w14:paraId="5EA23AB3" w14:textId="77777777" w:rsidR="003C66EB" w:rsidRDefault="003C66EB">
            <w:pPr>
              <w:rPr>
                <w:rFonts w:ascii="宋体"/>
                <w:vanish/>
              </w:rPr>
            </w:pPr>
          </w:p>
        </w:tc>
        <w:tc>
          <w:tcPr>
            <w:tcW w:w="0" w:type="auto"/>
            <w:gridSpan w:val="3"/>
            <w:shd w:val="clear" w:color="auto" w:fill="auto"/>
          </w:tcPr>
          <w:p w14:paraId="5EA23AB4" w14:textId="77777777" w:rsidR="003C66EB" w:rsidRDefault="003C66EB">
            <w:pPr>
              <w:rPr>
                <w:rFonts w:ascii="宋体"/>
                <w:vanish/>
              </w:rPr>
            </w:pPr>
          </w:p>
        </w:tc>
        <w:tc>
          <w:tcPr>
            <w:tcW w:w="0" w:type="auto"/>
            <w:gridSpan w:val="3"/>
            <w:shd w:val="clear" w:color="auto" w:fill="auto"/>
          </w:tcPr>
          <w:p w14:paraId="5EA23AB5" w14:textId="77777777" w:rsidR="003C66EB" w:rsidRDefault="003C66EB">
            <w:pPr>
              <w:rPr>
                <w:rFonts w:ascii="宋体"/>
                <w:vanish/>
              </w:rPr>
            </w:pPr>
          </w:p>
        </w:tc>
        <w:tc>
          <w:tcPr>
            <w:tcW w:w="0" w:type="auto"/>
            <w:gridSpan w:val="3"/>
            <w:shd w:val="clear" w:color="auto" w:fill="auto"/>
          </w:tcPr>
          <w:p w14:paraId="5EA23AB6" w14:textId="77777777" w:rsidR="003C66EB" w:rsidRDefault="003C66EB">
            <w:pPr>
              <w:rPr>
                <w:rFonts w:ascii="宋体"/>
                <w:vanish/>
              </w:rPr>
            </w:pPr>
          </w:p>
        </w:tc>
        <w:tc>
          <w:tcPr>
            <w:tcW w:w="0" w:type="auto"/>
            <w:gridSpan w:val="3"/>
            <w:shd w:val="clear" w:color="auto" w:fill="auto"/>
          </w:tcPr>
          <w:p w14:paraId="5EA23AB7" w14:textId="77777777" w:rsidR="003C66EB" w:rsidRDefault="003C66EB">
            <w:pPr>
              <w:rPr>
                <w:rFonts w:ascii="宋体"/>
                <w:vanish/>
              </w:rPr>
            </w:pPr>
          </w:p>
        </w:tc>
        <w:tc>
          <w:tcPr>
            <w:tcW w:w="0" w:type="auto"/>
            <w:gridSpan w:val="3"/>
            <w:shd w:val="clear" w:color="auto" w:fill="auto"/>
          </w:tcPr>
          <w:p w14:paraId="5EA23AB8" w14:textId="77777777" w:rsidR="003C66EB" w:rsidRDefault="003C66EB">
            <w:pPr>
              <w:rPr>
                <w:rFonts w:ascii="宋体"/>
                <w:vanish/>
              </w:rPr>
            </w:pPr>
          </w:p>
        </w:tc>
        <w:tc>
          <w:tcPr>
            <w:tcW w:w="0" w:type="auto"/>
            <w:gridSpan w:val="3"/>
            <w:shd w:val="clear" w:color="auto" w:fill="auto"/>
          </w:tcPr>
          <w:p w14:paraId="5EA23AB9" w14:textId="77777777" w:rsidR="003C66EB" w:rsidRDefault="003C66EB">
            <w:pPr>
              <w:rPr>
                <w:rFonts w:ascii="宋体"/>
                <w:vanish/>
              </w:rPr>
            </w:pPr>
          </w:p>
        </w:tc>
        <w:tc>
          <w:tcPr>
            <w:tcW w:w="0" w:type="auto"/>
            <w:gridSpan w:val="3"/>
            <w:shd w:val="clear" w:color="auto" w:fill="auto"/>
          </w:tcPr>
          <w:p w14:paraId="5EA23ABA" w14:textId="77777777" w:rsidR="003C66EB" w:rsidRDefault="003C66EB">
            <w:pPr>
              <w:rPr>
                <w:rFonts w:ascii="宋体"/>
                <w:vanish/>
              </w:rPr>
            </w:pPr>
          </w:p>
        </w:tc>
        <w:tc>
          <w:tcPr>
            <w:tcW w:w="0" w:type="auto"/>
            <w:gridSpan w:val="3"/>
            <w:shd w:val="clear" w:color="auto" w:fill="auto"/>
          </w:tcPr>
          <w:p w14:paraId="5EA23ABB" w14:textId="77777777" w:rsidR="003C66EB" w:rsidRDefault="003C66EB">
            <w:pPr>
              <w:rPr>
                <w:rFonts w:ascii="宋体"/>
                <w:vanish/>
              </w:rPr>
            </w:pPr>
          </w:p>
        </w:tc>
        <w:tc>
          <w:tcPr>
            <w:tcW w:w="0" w:type="auto"/>
            <w:gridSpan w:val="3"/>
            <w:shd w:val="clear" w:color="auto" w:fill="auto"/>
          </w:tcPr>
          <w:p w14:paraId="5EA23ABC" w14:textId="77777777" w:rsidR="003C66EB" w:rsidRDefault="003C66EB">
            <w:pPr>
              <w:rPr>
                <w:rFonts w:ascii="宋体"/>
                <w:vanish/>
              </w:rPr>
            </w:pPr>
          </w:p>
        </w:tc>
        <w:tc>
          <w:tcPr>
            <w:tcW w:w="0" w:type="auto"/>
            <w:gridSpan w:val="3"/>
            <w:shd w:val="clear" w:color="auto" w:fill="auto"/>
          </w:tcPr>
          <w:p w14:paraId="5EA23ABD" w14:textId="77777777" w:rsidR="003C66EB" w:rsidRDefault="003C66EB">
            <w:pPr>
              <w:rPr>
                <w:rFonts w:ascii="宋体"/>
                <w:vanish/>
              </w:rPr>
            </w:pPr>
          </w:p>
        </w:tc>
        <w:tc>
          <w:tcPr>
            <w:tcW w:w="0" w:type="auto"/>
            <w:gridSpan w:val="3"/>
            <w:shd w:val="clear" w:color="auto" w:fill="auto"/>
          </w:tcPr>
          <w:p w14:paraId="5EA23ABE" w14:textId="77777777" w:rsidR="003C66EB" w:rsidRDefault="003C66EB">
            <w:pPr>
              <w:rPr>
                <w:rFonts w:ascii="宋体"/>
                <w:vanish/>
              </w:rPr>
            </w:pPr>
          </w:p>
        </w:tc>
        <w:tc>
          <w:tcPr>
            <w:tcW w:w="0" w:type="auto"/>
            <w:gridSpan w:val="3"/>
            <w:shd w:val="clear" w:color="auto" w:fill="auto"/>
          </w:tcPr>
          <w:p w14:paraId="5EA23ABF" w14:textId="77777777" w:rsidR="003C66EB" w:rsidRDefault="003C66EB">
            <w:pPr>
              <w:rPr>
                <w:rFonts w:ascii="宋体"/>
                <w:vanish/>
              </w:rPr>
            </w:pPr>
          </w:p>
        </w:tc>
        <w:tc>
          <w:tcPr>
            <w:tcW w:w="0" w:type="auto"/>
            <w:gridSpan w:val="3"/>
            <w:shd w:val="clear" w:color="auto" w:fill="auto"/>
          </w:tcPr>
          <w:p w14:paraId="5EA23AC0" w14:textId="77777777" w:rsidR="003C66EB" w:rsidRDefault="003C66EB">
            <w:pPr>
              <w:rPr>
                <w:rFonts w:ascii="宋体"/>
                <w:vanish/>
              </w:rPr>
            </w:pPr>
          </w:p>
        </w:tc>
      </w:tr>
      <w:tr w:rsidR="003C66EB" w14:paraId="5EA23ADA" w14:textId="77777777">
        <w:tc>
          <w:tcPr>
            <w:tcW w:w="0" w:type="auto"/>
            <w:gridSpan w:val="3"/>
            <w:shd w:val="clear" w:color="auto" w:fill="CCEEFF"/>
            <w:tcMar>
              <w:top w:w="40" w:type="dxa"/>
              <w:left w:w="20" w:type="dxa"/>
              <w:bottom w:w="40" w:type="dxa"/>
              <w:right w:w="20" w:type="dxa"/>
            </w:tcMar>
            <w:vAlign w:val="bottom"/>
          </w:tcPr>
          <w:p w14:paraId="5EA23AC2" w14:textId="77777777" w:rsidR="003C66EB" w:rsidRDefault="00D96C4E">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EA23AC3" w14:textId="77777777" w:rsidR="003C66EB" w:rsidRDefault="00D96C4E">
            <w:pPr>
              <w:jc w:val="right"/>
              <w:textAlignment w:val="bottom"/>
            </w:pPr>
            <w:r>
              <w:rPr>
                <w:rFonts w:ascii="Arial" w:eastAsia="宋体" w:hAnsi="Arial" w:cs="Arial"/>
                <w:b/>
                <w:bCs/>
                <w:color w:val="000000"/>
                <w:sz w:val="15"/>
                <w:szCs w:val="15"/>
              </w:rPr>
              <w:t>3,437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C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C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C6" w14:textId="77777777" w:rsidR="003C66EB" w:rsidRDefault="00D96C4E">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C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C9" w14:textId="77777777" w:rsidR="003C66EB" w:rsidRDefault="00D96C4E">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C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CC" w14:textId="77777777" w:rsidR="003C66EB" w:rsidRDefault="00D96C4E">
            <w:pPr>
              <w:jc w:val="right"/>
              <w:textAlignment w:val="bottom"/>
            </w:pPr>
            <w:r>
              <w:rPr>
                <w:rFonts w:ascii="Arial" w:eastAsia="宋体" w:hAnsi="Arial" w:cs="Arial"/>
                <w:b/>
                <w:bCs/>
                <w:color w:val="000000"/>
                <w:sz w:val="15"/>
                <w:szCs w:val="15"/>
              </w:rPr>
              <w:t>3,479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C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CF" w14:textId="77777777" w:rsidR="003C66EB" w:rsidRDefault="00D96C4E">
            <w:pPr>
              <w:jc w:val="right"/>
              <w:textAlignment w:val="bottom"/>
            </w:pPr>
            <w:r>
              <w:rPr>
                <w:rFonts w:ascii="Arial" w:eastAsia="宋体" w:hAnsi="Arial" w:cs="Arial"/>
                <w:color w:val="000000"/>
                <w:sz w:val="15"/>
                <w:szCs w:val="15"/>
              </w:rPr>
              <w:t>3,371 </w:t>
            </w:r>
          </w:p>
        </w:tc>
        <w:tc>
          <w:tcPr>
            <w:tcW w:w="0" w:type="auto"/>
            <w:shd w:val="clear" w:color="auto" w:fill="CCEEFF"/>
            <w:tcMar>
              <w:top w:w="40" w:type="dxa"/>
              <w:left w:w="0" w:type="dxa"/>
              <w:bottom w:w="40" w:type="dxa"/>
              <w:right w:w="20" w:type="dxa"/>
            </w:tcMar>
            <w:vAlign w:val="bottom"/>
          </w:tcPr>
          <w:p w14:paraId="5EA23A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D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D2" w14:textId="77777777" w:rsidR="003C66EB" w:rsidRDefault="00D96C4E">
            <w:pPr>
              <w:jc w:val="right"/>
              <w:textAlignment w:val="bottom"/>
            </w:pPr>
            <w:r>
              <w:rPr>
                <w:rFonts w:ascii="Arial" w:eastAsia="宋体" w:hAnsi="Arial" w:cs="Arial"/>
                <w:color w:val="000000"/>
                <w:sz w:val="15"/>
                <w:szCs w:val="15"/>
              </w:rPr>
              <w:t>72 </w:t>
            </w:r>
          </w:p>
        </w:tc>
        <w:tc>
          <w:tcPr>
            <w:tcW w:w="0" w:type="auto"/>
            <w:shd w:val="clear" w:color="auto" w:fill="CCEEFF"/>
            <w:tcMar>
              <w:top w:w="40" w:type="dxa"/>
              <w:left w:w="0" w:type="dxa"/>
              <w:bottom w:w="40" w:type="dxa"/>
              <w:right w:w="20" w:type="dxa"/>
            </w:tcMar>
            <w:vAlign w:val="bottom"/>
          </w:tcPr>
          <w:p w14:paraId="5EA23AD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D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D5"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AD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AD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AD8" w14:textId="77777777" w:rsidR="003C66EB" w:rsidRDefault="00D96C4E">
            <w:pPr>
              <w:jc w:val="right"/>
              <w:textAlignment w:val="bottom"/>
            </w:pPr>
            <w:r>
              <w:rPr>
                <w:rFonts w:ascii="Arial" w:eastAsia="宋体" w:hAnsi="Arial" w:cs="Arial"/>
                <w:color w:val="000000"/>
                <w:sz w:val="15"/>
                <w:szCs w:val="15"/>
              </w:rPr>
              <w:t>3,443 </w:t>
            </w:r>
          </w:p>
        </w:tc>
        <w:tc>
          <w:tcPr>
            <w:tcW w:w="0" w:type="auto"/>
            <w:shd w:val="clear" w:color="auto" w:fill="CCEEFF"/>
            <w:tcMar>
              <w:top w:w="40" w:type="dxa"/>
              <w:left w:w="0" w:type="dxa"/>
              <w:bottom w:w="40" w:type="dxa"/>
              <w:right w:w="20" w:type="dxa"/>
            </w:tcMar>
            <w:vAlign w:val="bottom"/>
          </w:tcPr>
          <w:p w14:paraId="5EA23AD9" w14:textId="77777777" w:rsidR="003C66EB" w:rsidRDefault="003C66EB">
            <w:pPr>
              <w:jc w:val="right"/>
              <w:rPr>
                <w:rFonts w:ascii="宋体"/>
              </w:rPr>
            </w:pPr>
          </w:p>
        </w:tc>
      </w:tr>
      <w:tr w:rsidR="003C66EB" w14:paraId="5EA23AEB" w14:textId="77777777">
        <w:trPr>
          <w:hidden/>
        </w:trPr>
        <w:tc>
          <w:tcPr>
            <w:tcW w:w="0" w:type="auto"/>
            <w:gridSpan w:val="3"/>
            <w:shd w:val="clear" w:color="auto" w:fill="auto"/>
          </w:tcPr>
          <w:p w14:paraId="5EA23ADB" w14:textId="77777777" w:rsidR="003C66EB" w:rsidRDefault="003C66EB">
            <w:pPr>
              <w:rPr>
                <w:rFonts w:ascii="宋体"/>
                <w:vanish/>
              </w:rPr>
            </w:pPr>
          </w:p>
        </w:tc>
        <w:tc>
          <w:tcPr>
            <w:tcW w:w="0" w:type="auto"/>
            <w:gridSpan w:val="3"/>
            <w:shd w:val="clear" w:color="auto" w:fill="auto"/>
          </w:tcPr>
          <w:p w14:paraId="5EA23ADC" w14:textId="77777777" w:rsidR="003C66EB" w:rsidRDefault="003C66EB">
            <w:pPr>
              <w:rPr>
                <w:rFonts w:ascii="宋体"/>
                <w:vanish/>
              </w:rPr>
            </w:pPr>
          </w:p>
        </w:tc>
        <w:tc>
          <w:tcPr>
            <w:tcW w:w="0" w:type="auto"/>
            <w:gridSpan w:val="3"/>
            <w:shd w:val="clear" w:color="auto" w:fill="auto"/>
          </w:tcPr>
          <w:p w14:paraId="5EA23ADD" w14:textId="77777777" w:rsidR="003C66EB" w:rsidRDefault="003C66EB">
            <w:pPr>
              <w:rPr>
                <w:rFonts w:ascii="宋体"/>
                <w:vanish/>
              </w:rPr>
            </w:pPr>
          </w:p>
        </w:tc>
        <w:tc>
          <w:tcPr>
            <w:tcW w:w="0" w:type="auto"/>
            <w:gridSpan w:val="3"/>
            <w:shd w:val="clear" w:color="auto" w:fill="auto"/>
          </w:tcPr>
          <w:p w14:paraId="5EA23ADE" w14:textId="77777777" w:rsidR="003C66EB" w:rsidRDefault="003C66EB">
            <w:pPr>
              <w:rPr>
                <w:rFonts w:ascii="宋体"/>
                <w:vanish/>
              </w:rPr>
            </w:pPr>
          </w:p>
        </w:tc>
        <w:tc>
          <w:tcPr>
            <w:tcW w:w="0" w:type="auto"/>
            <w:gridSpan w:val="3"/>
            <w:shd w:val="clear" w:color="auto" w:fill="auto"/>
          </w:tcPr>
          <w:p w14:paraId="5EA23ADF" w14:textId="77777777" w:rsidR="003C66EB" w:rsidRDefault="003C66EB">
            <w:pPr>
              <w:rPr>
                <w:rFonts w:ascii="宋体"/>
                <w:vanish/>
              </w:rPr>
            </w:pPr>
          </w:p>
        </w:tc>
        <w:tc>
          <w:tcPr>
            <w:tcW w:w="0" w:type="auto"/>
            <w:gridSpan w:val="3"/>
            <w:shd w:val="clear" w:color="auto" w:fill="auto"/>
          </w:tcPr>
          <w:p w14:paraId="5EA23AE0" w14:textId="77777777" w:rsidR="003C66EB" w:rsidRDefault="003C66EB">
            <w:pPr>
              <w:rPr>
                <w:rFonts w:ascii="宋体"/>
                <w:vanish/>
              </w:rPr>
            </w:pPr>
          </w:p>
        </w:tc>
        <w:tc>
          <w:tcPr>
            <w:tcW w:w="0" w:type="auto"/>
            <w:gridSpan w:val="3"/>
            <w:shd w:val="clear" w:color="auto" w:fill="auto"/>
          </w:tcPr>
          <w:p w14:paraId="5EA23AE1" w14:textId="77777777" w:rsidR="003C66EB" w:rsidRDefault="003C66EB">
            <w:pPr>
              <w:rPr>
                <w:rFonts w:ascii="宋体"/>
                <w:vanish/>
              </w:rPr>
            </w:pPr>
          </w:p>
        </w:tc>
        <w:tc>
          <w:tcPr>
            <w:tcW w:w="0" w:type="auto"/>
            <w:gridSpan w:val="3"/>
            <w:shd w:val="clear" w:color="auto" w:fill="auto"/>
          </w:tcPr>
          <w:p w14:paraId="5EA23AE2" w14:textId="77777777" w:rsidR="003C66EB" w:rsidRDefault="003C66EB">
            <w:pPr>
              <w:rPr>
                <w:rFonts w:ascii="宋体"/>
                <w:vanish/>
              </w:rPr>
            </w:pPr>
          </w:p>
        </w:tc>
        <w:tc>
          <w:tcPr>
            <w:tcW w:w="0" w:type="auto"/>
            <w:gridSpan w:val="3"/>
            <w:shd w:val="clear" w:color="auto" w:fill="auto"/>
          </w:tcPr>
          <w:p w14:paraId="5EA23AE3" w14:textId="77777777" w:rsidR="003C66EB" w:rsidRDefault="003C66EB">
            <w:pPr>
              <w:rPr>
                <w:rFonts w:ascii="宋体"/>
                <w:vanish/>
              </w:rPr>
            </w:pPr>
          </w:p>
        </w:tc>
        <w:tc>
          <w:tcPr>
            <w:tcW w:w="0" w:type="auto"/>
            <w:gridSpan w:val="3"/>
            <w:shd w:val="clear" w:color="auto" w:fill="auto"/>
          </w:tcPr>
          <w:p w14:paraId="5EA23AE4" w14:textId="77777777" w:rsidR="003C66EB" w:rsidRDefault="003C66EB">
            <w:pPr>
              <w:rPr>
                <w:rFonts w:ascii="宋体"/>
                <w:vanish/>
              </w:rPr>
            </w:pPr>
          </w:p>
        </w:tc>
        <w:tc>
          <w:tcPr>
            <w:tcW w:w="0" w:type="auto"/>
            <w:gridSpan w:val="3"/>
            <w:shd w:val="clear" w:color="auto" w:fill="auto"/>
          </w:tcPr>
          <w:p w14:paraId="5EA23AE5" w14:textId="77777777" w:rsidR="003C66EB" w:rsidRDefault="003C66EB">
            <w:pPr>
              <w:rPr>
                <w:rFonts w:ascii="宋体"/>
                <w:vanish/>
              </w:rPr>
            </w:pPr>
          </w:p>
        </w:tc>
        <w:tc>
          <w:tcPr>
            <w:tcW w:w="0" w:type="auto"/>
            <w:gridSpan w:val="3"/>
            <w:shd w:val="clear" w:color="auto" w:fill="auto"/>
          </w:tcPr>
          <w:p w14:paraId="5EA23AE6" w14:textId="77777777" w:rsidR="003C66EB" w:rsidRDefault="003C66EB">
            <w:pPr>
              <w:rPr>
                <w:rFonts w:ascii="宋体"/>
                <w:vanish/>
              </w:rPr>
            </w:pPr>
          </w:p>
        </w:tc>
        <w:tc>
          <w:tcPr>
            <w:tcW w:w="0" w:type="auto"/>
            <w:gridSpan w:val="3"/>
            <w:shd w:val="clear" w:color="auto" w:fill="auto"/>
          </w:tcPr>
          <w:p w14:paraId="5EA23AE7" w14:textId="77777777" w:rsidR="003C66EB" w:rsidRDefault="003C66EB">
            <w:pPr>
              <w:rPr>
                <w:rFonts w:ascii="宋体"/>
                <w:vanish/>
              </w:rPr>
            </w:pPr>
          </w:p>
        </w:tc>
        <w:tc>
          <w:tcPr>
            <w:tcW w:w="0" w:type="auto"/>
            <w:gridSpan w:val="3"/>
            <w:shd w:val="clear" w:color="auto" w:fill="auto"/>
          </w:tcPr>
          <w:p w14:paraId="5EA23AE8" w14:textId="77777777" w:rsidR="003C66EB" w:rsidRDefault="003C66EB">
            <w:pPr>
              <w:rPr>
                <w:rFonts w:ascii="宋体"/>
                <w:vanish/>
              </w:rPr>
            </w:pPr>
          </w:p>
        </w:tc>
        <w:tc>
          <w:tcPr>
            <w:tcW w:w="0" w:type="auto"/>
            <w:gridSpan w:val="3"/>
            <w:shd w:val="clear" w:color="auto" w:fill="auto"/>
          </w:tcPr>
          <w:p w14:paraId="5EA23AE9" w14:textId="77777777" w:rsidR="003C66EB" w:rsidRDefault="003C66EB">
            <w:pPr>
              <w:rPr>
                <w:rFonts w:ascii="宋体"/>
                <w:vanish/>
              </w:rPr>
            </w:pPr>
          </w:p>
        </w:tc>
        <w:tc>
          <w:tcPr>
            <w:tcW w:w="0" w:type="auto"/>
            <w:gridSpan w:val="3"/>
            <w:shd w:val="clear" w:color="auto" w:fill="auto"/>
          </w:tcPr>
          <w:p w14:paraId="5EA23AEA" w14:textId="77777777" w:rsidR="003C66EB" w:rsidRDefault="003C66EB">
            <w:pPr>
              <w:rPr>
                <w:rFonts w:ascii="宋体"/>
                <w:vanish/>
              </w:rPr>
            </w:pPr>
          </w:p>
        </w:tc>
      </w:tr>
      <w:tr w:rsidR="003C66EB" w14:paraId="5EA23AFC" w14:textId="77777777">
        <w:trPr>
          <w:hidden/>
        </w:trPr>
        <w:tc>
          <w:tcPr>
            <w:tcW w:w="0" w:type="auto"/>
            <w:gridSpan w:val="3"/>
            <w:shd w:val="clear" w:color="auto" w:fill="auto"/>
          </w:tcPr>
          <w:p w14:paraId="5EA23AEC" w14:textId="77777777" w:rsidR="003C66EB" w:rsidRDefault="003C66EB">
            <w:pPr>
              <w:rPr>
                <w:rFonts w:ascii="宋体"/>
                <w:vanish/>
              </w:rPr>
            </w:pPr>
          </w:p>
        </w:tc>
        <w:tc>
          <w:tcPr>
            <w:tcW w:w="0" w:type="auto"/>
            <w:gridSpan w:val="3"/>
            <w:shd w:val="clear" w:color="auto" w:fill="auto"/>
          </w:tcPr>
          <w:p w14:paraId="5EA23AED" w14:textId="77777777" w:rsidR="003C66EB" w:rsidRDefault="003C66EB">
            <w:pPr>
              <w:rPr>
                <w:rFonts w:ascii="宋体"/>
                <w:vanish/>
              </w:rPr>
            </w:pPr>
          </w:p>
        </w:tc>
        <w:tc>
          <w:tcPr>
            <w:tcW w:w="0" w:type="auto"/>
            <w:gridSpan w:val="3"/>
            <w:shd w:val="clear" w:color="auto" w:fill="auto"/>
          </w:tcPr>
          <w:p w14:paraId="5EA23AEE" w14:textId="77777777" w:rsidR="003C66EB" w:rsidRDefault="003C66EB">
            <w:pPr>
              <w:rPr>
                <w:rFonts w:ascii="宋体"/>
                <w:vanish/>
              </w:rPr>
            </w:pPr>
          </w:p>
        </w:tc>
        <w:tc>
          <w:tcPr>
            <w:tcW w:w="0" w:type="auto"/>
            <w:gridSpan w:val="3"/>
            <w:shd w:val="clear" w:color="auto" w:fill="auto"/>
          </w:tcPr>
          <w:p w14:paraId="5EA23AEF" w14:textId="77777777" w:rsidR="003C66EB" w:rsidRDefault="003C66EB">
            <w:pPr>
              <w:rPr>
                <w:rFonts w:ascii="宋体"/>
                <w:vanish/>
              </w:rPr>
            </w:pPr>
          </w:p>
        </w:tc>
        <w:tc>
          <w:tcPr>
            <w:tcW w:w="0" w:type="auto"/>
            <w:gridSpan w:val="3"/>
            <w:shd w:val="clear" w:color="auto" w:fill="auto"/>
          </w:tcPr>
          <w:p w14:paraId="5EA23AF0" w14:textId="77777777" w:rsidR="003C66EB" w:rsidRDefault="003C66EB">
            <w:pPr>
              <w:rPr>
                <w:rFonts w:ascii="宋体"/>
                <w:vanish/>
              </w:rPr>
            </w:pPr>
          </w:p>
        </w:tc>
        <w:tc>
          <w:tcPr>
            <w:tcW w:w="0" w:type="auto"/>
            <w:gridSpan w:val="3"/>
            <w:shd w:val="clear" w:color="auto" w:fill="auto"/>
          </w:tcPr>
          <w:p w14:paraId="5EA23AF1" w14:textId="77777777" w:rsidR="003C66EB" w:rsidRDefault="003C66EB">
            <w:pPr>
              <w:rPr>
                <w:rFonts w:ascii="宋体"/>
                <w:vanish/>
              </w:rPr>
            </w:pPr>
          </w:p>
        </w:tc>
        <w:tc>
          <w:tcPr>
            <w:tcW w:w="0" w:type="auto"/>
            <w:gridSpan w:val="3"/>
            <w:shd w:val="clear" w:color="auto" w:fill="auto"/>
          </w:tcPr>
          <w:p w14:paraId="5EA23AF2" w14:textId="77777777" w:rsidR="003C66EB" w:rsidRDefault="003C66EB">
            <w:pPr>
              <w:rPr>
                <w:rFonts w:ascii="宋体"/>
                <w:vanish/>
              </w:rPr>
            </w:pPr>
          </w:p>
        </w:tc>
        <w:tc>
          <w:tcPr>
            <w:tcW w:w="0" w:type="auto"/>
            <w:gridSpan w:val="3"/>
            <w:shd w:val="clear" w:color="auto" w:fill="auto"/>
          </w:tcPr>
          <w:p w14:paraId="5EA23AF3" w14:textId="77777777" w:rsidR="003C66EB" w:rsidRDefault="003C66EB">
            <w:pPr>
              <w:rPr>
                <w:rFonts w:ascii="宋体"/>
                <w:vanish/>
              </w:rPr>
            </w:pPr>
          </w:p>
        </w:tc>
        <w:tc>
          <w:tcPr>
            <w:tcW w:w="0" w:type="auto"/>
            <w:gridSpan w:val="3"/>
            <w:shd w:val="clear" w:color="auto" w:fill="auto"/>
          </w:tcPr>
          <w:p w14:paraId="5EA23AF4" w14:textId="77777777" w:rsidR="003C66EB" w:rsidRDefault="003C66EB">
            <w:pPr>
              <w:rPr>
                <w:rFonts w:ascii="宋体"/>
                <w:vanish/>
              </w:rPr>
            </w:pPr>
          </w:p>
        </w:tc>
        <w:tc>
          <w:tcPr>
            <w:tcW w:w="0" w:type="auto"/>
            <w:gridSpan w:val="3"/>
            <w:shd w:val="clear" w:color="auto" w:fill="auto"/>
          </w:tcPr>
          <w:p w14:paraId="5EA23AF5" w14:textId="77777777" w:rsidR="003C66EB" w:rsidRDefault="003C66EB">
            <w:pPr>
              <w:rPr>
                <w:rFonts w:ascii="宋体"/>
                <w:vanish/>
              </w:rPr>
            </w:pPr>
          </w:p>
        </w:tc>
        <w:tc>
          <w:tcPr>
            <w:tcW w:w="0" w:type="auto"/>
            <w:gridSpan w:val="3"/>
            <w:shd w:val="clear" w:color="auto" w:fill="auto"/>
          </w:tcPr>
          <w:p w14:paraId="5EA23AF6" w14:textId="77777777" w:rsidR="003C66EB" w:rsidRDefault="003C66EB">
            <w:pPr>
              <w:rPr>
                <w:rFonts w:ascii="宋体"/>
                <w:vanish/>
              </w:rPr>
            </w:pPr>
          </w:p>
        </w:tc>
        <w:tc>
          <w:tcPr>
            <w:tcW w:w="0" w:type="auto"/>
            <w:gridSpan w:val="3"/>
            <w:shd w:val="clear" w:color="auto" w:fill="auto"/>
          </w:tcPr>
          <w:p w14:paraId="5EA23AF7" w14:textId="77777777" w:rsidR="003C66EB" w:rsidRDefault="003C66EB">
            <w:pPr>
              <w:rPr>
                <w:rFonts w:ascii="宋体"/>
                <w:vanish/>
              </w:rPr>
            </w:pPr>
          </w:p>
        </w:tc>
        <w:tc>
          <w:tcPr>
            <w:tcW w:w="0" w:type="auto"/>
            <w:gridSpan w:val="3"/>
            <w:shd w:val="clear" w:color="auto" w:fill="auto"/>
          </w:tcPr>
          <w:p w14:paraId="5EA23AF8" w14:textId="77777777" w:rsidR="003C66EB" w:rsidRDefault="003C66EB">
            <w:pPr>
              <w:rPr>
                <w:rFonts w:ascii="宋体"/>
                <w:vanish/>
              </w:rPr>
            </w:pPr>
          </w:p>
        </w:tc>
        <w:tc>
          <w:tcPr>
            <w:tcW w:w="0" w:type="auto"/>
            <w:gridSpan w:val="3"/>
            <w:shd w:val="clear" w:color="auto" w:fill="auto"/>
          </w:tcPr>
          <w:p w14:paraId="5EA23AF9" w14:textId="77777777" w:rsidR="003C66EB" w:rsidRDefault="003C66EB">
            <w:pPr>
              <w:rPr>
                <w:rFonts w:ascii="宋体"/>
                <w:vanish/>
              </w:rPr>
            </w:pPr>
          </w:p>
        </w:tc>
        <w:tc>
          <w:tcPr>
            <w:tcW w:w="0" w:type="auto"/>
            <w:gridSpan w:val="3"/>
            <w:shd w:val="clear" w:color="auto" w:fill="auto"/>
          </w:tcPr>
          <w:p w14:paraId="5EA23AFA" w14:textId="77777777" w:rsidR="003C66EB" w:rsidRDefault="003C66EB">
            <w:pPr>
              <w:rPr>
                <w:rFonts w:ascii="宋体"/>
                <w:vanish/>
              </w:rPr>
            </w:pPr>
          </w:p>
        </w:tc>
        <w:tc>
          <w:tcPr>
            <w:tcW w:w="0" w:type="auto"/>
            <w:gridSpan w:val="3"/>
            <w:shd w:val="clear" w:color="auto" w:fill="auto"/>
          </w:tcPr>
          <w:p w14:paraId="5EA23AFB" w14:textId="77777777" w:rsidR="003C66EB" w:rsidRDefault="003C66EB">
            <w:pPr>
              <w:rPr>
                <w:rFonts w:ascii="宋体"/>
                <w:vanish/>
              </w:rPr>
            </w:pPr>
          </w:p>
        </w:tc>
      </w:tr>
      <w:tr w:rsidR="003C66EB" w14:paraId="5EA23B0D" w14:textId="77777777">
        <w:trPr>
          <w:hidden/>
        </w:trPr>
        <w:tc>
          <w:tcPr>
            <w:tcW w:w="0" w:type="auto"/>
            <w:gridSpan w:val="3"/>
            <w:shd w:val="clear" w:color="auto" w:fill="auto"/>
          </w:tcPr>
          <w:p w14:paraId="5EA23AFD" w14:textId="77777777" w:rsidR="003C66EB" w:rsidRDefault="003C66EB">
            <w:pPr>
              <w:rPr>
                <w:rFonts w:ascii="宋体"/>
                <w:vanish/>
              </w:rPr>
            </w:pPr>
          </w:p>
        </w:tc>
        <w:tc>
          <w:tcPr>
            <w:tcW w:w="0" w:type="auto"/>
            <w:gridSpan w:val="3"/>
            <w:shd w:val="clear" w:color="auto" w:fill="auto"/>
          </w:tcPr>
          <w:p w14:paraId="5EA23AFE" w14:textId="77777777" w:rsidR="003C66EB" w:rsidRDefault="003C66EB">
            <w:pPr>
              <w:rPr>
                <w:rFonts w:ascii="宋体"/>
                <w:vanish/>
              </w:rPr>
            </w:pPr>
          </w:p>
        </w:tc>
        <w:tc>
          <w:tcPr>
            <w:tcW w:w="0" w:type="auto"/>
            <w:gridSpan w:val="3"/>
            <w:shd w:val="clear" w:color="auto" w:fill="auto"/>
          </w:tcPr>
          <w:p w14:paraId="5EA23AFF" w14:textId="77777777" w:rsidR="003C66EB" w:rsidRDefault="003C66EB">
            <w:pPr>
              <w:rPr>
                <w:rFonts w:ascii="宋体"/>
                <w:vanish/>
              </w:rPr>
            </w:pPr>
          </w:p>
        </w:tc>
        <w:tc>
          <w:tcPr>
            <w:tcW w:w="0" w:type="auto"/>
            <w:gridSpan w:val="3"/>
            <w:shd w:val="clear" w:color="auto" w:fill="auto"/>
          </w:tcPr>
          <w:p w14:paraId="5EA23B00" w14:textId="77777777" w:rsidR="003C66EB" w:rsidRDefault="003C66EB">
            <w:pPr>
              <w:rPr>
                <w:rFonts w:ascii="宋体"/>
                <w:vanish/>
              </w:rPr>
            </w:pPr>
          </w:p>
        </w:tc>
        <w:tc>
          <w:tcPr>
            <w:tcW w:w="0" w:type="auto"/>
            <w:gridSpan w:val="3"/>
            <w:shd w:val="clear" w:color="auto" w:fill="auto"/>
          </w:tcPr>
          <w:p w14:paraId="5EA23B01" w14:textId="77777777" w:rsidR="003C66EB" w:rsidRDefault="003C66EB">
            <w:pPr>
              <w:rPr>
                <w:rFonts w:ascii="宋体"/>
                <w:vanish/>
              </w:rPr>
            </w:pPr>
          </w:p>
        </w:tc>
        <w:tc>
          <w:tcPr>
            <w:tcW w:w="0" w:type="auto"/>
            <w:gridSpan w:val="3"/>
            <w:shd w:val="clear" w:color="auto" w:fill="auto"/>
          </w:tcPr>
          <w:p w14:paraId="5EA23B02" w14:textId="77777777" w:rsidR="003C66EB" w:rsidRDefault="003C66EB">
            <w:pPr>
              <w:rPr>
                <w:rFonts w:ascii="宋体"/>
                <w:vanish/>
              </w:rPr>
            </w:pPr>
          </w:p>
        </w:tc>
        <w:tc>
          <w:tcPr>
            <w:tcW w:w="0" w:type="auto"/>
            <w:gridSpan w:val="3"/>
            <w:shd w:val="clear" w:color="auto" w:fill="auto"/>
          </w:tcPr>
          <w:p w14:paraId="5EA23B03" w14:textId="77777777" w:rsidR="003C66EB" w:rsidRDefault="003C66EB">
            <w:pPr>
              <w:rPr>
                <w:rFonts w:ascii="宋体"/>
                <w:vanish/>
              </w:rPr>
            </w:pPr>
          </w:p>
        </w:tc>
        <w:tc>
          <w:tcPr>
            <w:tcW w:w="0" w:type="auto"/>
            <w:gridSpan w:val="3"/>
            <w:shd w:val="clear" w:color="auto" w:fill="auto"/>
          </w:tcPr>
          <w:p w14:paraId="5EA23B04" w14:textId="77777777" w:rsidR="003C66EB" w:rsidRDefault="003C66EB">
            <w:pPr>
              <w:rPr>
                <w:rFonts w:ascii="宋体"/>
                <w:vanish/>
              </w:rPr>
            </w:pPr>
          </w:p>
        </w:tc>
        <w:tc>
          <w:tcPr>
            <w:tcW w:w="0" w:type="auto"/>
            <w:gridSpan w:val="3"/>
            <w:shd w:val="clear" w:color="auto" w:fill="auto"/>
          </w:tcPr>
          <w:p w14:paraId="5EA23B05" w14:textId="77777777" w:rsidR="003C66EB" w:rsidRDefault="003C66EB">
            <w:pPr>
              <w:rPr>
                <w:rFonts w:ascii="宋体"/>
                <w:vanish/>
              </w:rPr>
            </w:pPr>
          </w:p>
        </w:tc>
        <w:tc>
          <w:tcPr>
            <w:tcW w:w="0" w:type="auto"/>
            <w:gridSpan w:val="3"/>
            <w:shd w:val="clear" w:color="auto" w:fill="auto"/>
          </w:tcPr>
          <w:p w14:paraId="5EA23B06" w14:textId="77777777" w:rsidR="003C66EB" w:rsidRDefault="003C66EB">
            <w:pPr>
              <w:rPr>
                <w:rFonts w:ascii="宋体"/>
                <w:vanish/>
              </w:rPr>
            </w:pPr>
          </w:p>
        </w:tc>
        <w:tc>
          <w:tcPr>
            <w:tcW w:w="0" w:type="auto"/>
            <w:gridSpan w:val="3"/>
            <w:shd w:val="clear" w:color="auto" w:fill="auto"/>
          </w:tcPr>
          <w:p w14:paraId="5EA23B07" w14:textId="77777777" w:rsidR="003C66EB" w:rsidRDefault="003C66EB">
            <w:pPr>
              <w:rPr>
                <w:rFonts w:ascii="宋体"/>
                <w:vanish/>
              </w:rPr>
            </w:pPr>
          </w:p>
        </w:tc>
        <w:tc>
          <w:tcPr>
            <w:tcW w:w="0" w:type="auto"/>
            <w:gridSpan w:val="3"/>
            <w:shd w:val="clear" w:color="auto" w:fill="auto"/>
          </w:tcPr>
          <w:p w14:paraId="5EA23B08" w14:textId="77777777" w:rsidR="003C66EB" w:rsidRDefault="003C66EB">
            <w:pPr>
              <w:rPr>
                <w:rFonts w:ascii="宋体"/>
                <w:vanish/>
              </w:rPr>
            </w:pPr>
          </w:p>
        </w:tc>
        <w:tc>
          <w:tcPr>
            <w:tcW w:w="0" w:type="auto"/>
            <w:gridSpan w:val="3"/>
            <w:shd w:val="clear" w:color="auto" w:fill="auto"/>
          </w:tcPr>
          <w:p w14:paraId="5EA23B09" w14:textId="77777777" w:rsidR="003C66EB" w:rsidRDefault="003C66EB">
            <w:pPr>
              <w:rPr>
                <w:rFonts w:ascii="宋体"/>
                <w:vanish/>
              </w:rPr>
            </w:pPr>
          </w:p>
        </w:tc>
        <w:tc>
          <w:tcPr>
            <w:tcW w:w="0" w:type="auto"/>
            <w:gridSpan w:val="3"/>
            <w:shd w:val="clear" w:color="auto" w:fill="auto"/>
          </w:tcPr>
          <w:p w14:paraId="5EA23B0A" w14:textId="77777777" w:rsidR="003C66EB" w:rsidRDefault="003C66EB">
            <w:pPr>
              <w:rPr>
                <w:rFonts w:ascii="宋体"/>
                <w:vanish/>
              </w:rPr>
            </w:pPr>
          </w:p>
        </w:tc>
        <w:tc>
          <w:tcPr>
            <w:tcW w:w="0" w:type="auto"/>
            <w:gridSpan w:val="3"/>
            <w:shd w:val="clear" w:color="auto" w:fill="auto"/>
          </w:tcPr>
          <w:p w14:paraId="5EA23B0B" w14:textId="77777777" w:rsidR="003C66EB" w:rsidRDefault="003C66EB">
            <w:pPr>
              <w:rPr>
                <w:rFonts w:ascii="宋体"/>
                <w:vanish/>
              </w:rPr>
            </w:pPr>
          </w:p>
        </w:tc>
        <w:tc>
          <w:tcPr>
            <w:tcW w:w="0" w:type="auto"/>
            <w:gridSpan w:val="3"/>
            <w:shd w:val="clear" w:color="auto" w:fill="auto"/>
          </w:tcPr>
          <w:p w14:paraId="5EA23B0C" w14:textId="77777777" w:rsidR="003C66EB" w:rsidRDefault="003C66EB">
            <w:pPr>
              <w:rPr>
                <w:rFonts w:ascii="宋体"/>
                <w:vanish/>
              </w:rPr>
            </w:pPr>
          </w:p>
        </w:tc>
      </w:tr>
      <w:tr w:rsidR="003C66EB" w14:paraId="5EA23B1E" w14:textId="77777777">
        <w:trPr>
          <w:hidden/>
        </w:trPr>
        <w:tc>
          <w:tcPr>
            <w:tcW w:w="0" w:type="auto"/>
            <w:gridSpan w:val="3"/>
            <w:shd w:val="clear" w:color="auto" w:fill="auto"/>
          </w:tcPr>
          <w:p w14:paraId="5EA23B0E" w14:textId="77777777" w:rsidR="003C66EB" w:rsidRDefault="003C66EB">
            <w:pPr>
              <w:rPr>
                <w:rFonts w:ascii="宋体"/>
                <w:vanish/>
              </w:rPr>
            </w:pPr>
          </w:p>
        </w:tc>
        <w:tc>
          <w:tcPr>
            <w:tcW w:w="0" w:type="auto"/>
            <w:gridSpan w:val="3"/>
            <w:shd w:val="clear" w:color="auto" w:fill="auto"/>
          </w:tcPr>
          <w:p w14:paraId="5EA23B0F" w14:textId="77777777" w:rsidR="003C66EB" w:rsidRDefault="003C66EB">
            <w:pPr>
              <w:rPr>
                <w:rFonts w:ascii="宋体"/>
                <w:vanish/>
              </w:rPr>
            </w:pPr>
          </w:p>
        </w:tc>
        <w:tc>
          <w:tcPr>
            <w:tcW w:w="0" w:type="auto"/>
            <w:gridSpan w:val="3"/>
            <w:shd w:val="clear" w:color="auto" w:fill="auto"/>
          </w:tcPr>
          <w:p w14:paraId="5EA23B10" w14:textId="77777777" w:rsidR="003C66EB" w:rsidRDefault="003C66EB">
            <w:pPr>
              <w:rPr>
                <w:rFonts w:ascii="宋体"/>
                <w:vanish/>
              </w:rPr>
            </w:pPr>
          </w:p>
        </w:tc>
        <w:tc>
          <w:tcPr>
            <w:tcW w:w="0" w:type="auto"/>
            <w:gridSpan w:val="3"/>
            <w:shd w:val="clear" w:color="auto" w:fill="auto"/>
          </w:tcPr>
          <w:p w14:paraId="5EA23B11" w14:textId="77777777" w:rsidR="003C66EB" w:rsidRDefault="003C66EB">
            <w:pPr>
              <w:rPr>
                <w:rFonts w:ascii="宋体"/>
                <w:vanish/>
              </w:rPr>
            </w:pPr>
          </w:p>
        </w:tc>
        <w:tc>
          <w:tcPr>
            <w:tcW w:w="0" w:type="auto"/>
            <w:gridSpan w:val="3"/>
            <w:shd w:val="clear" w:color="auto" w:fill="auto"/>
          </w:tcPr>
          <w:p w14:paraId="5EA23B12" w14:textId="77777777" w:rsidR="003C66EB" w:rsidRDefault="003C66EB">
            <w:pPr>
              <w:rPr>
                <w:rFonts w:ascii="宋体"/>
                <w:vanish/>
              </w:rPr>
            </w:pPr>
          </w:p>
        </w:tc>
        <w:tc>
          <w:tcPr>
            <w:tcW w:w="0" w:type="auto"/>
            <w:gridSpan w:val="3"/>
            <w:shd w:val="clear" w:color="auto" w:fill="auto"/>
          </w:tcPr>
          <w:p w14:paraId="5EA23B13" w14:textId="77777777" w:rsidR="003C66EB" w:rsidRDefault="003C66EB">
            <w:pPr>
              <w:rPr>
                <w:rFonts w:ascii="宋体"/>
                <w:vanish/>
              </w:rPr>
            </w:pPr>
          </w:p>
        </w:tc>
        <w:tc>
          <w:tcPr>
            <w:tcW w:w="0" w:type="auto"/>
            <w:gridSpan w:val="3"/>
            <w:shd w:val="clear" w:color="auto" w:fill="auto"/>
          </w:tcPr>
          <w:p w14:paraId="5EA23B14" w14:textId="77777777" w:rsidR="003C66EB" w:rsidRDefault="003C66EB">
            <w:pPr>
              <w:rPr>
                <w:rFonts w:ascii="宋体"/>
                <w:vanish/>
              </w:rPr>
            </w:pPr>
          </w:p>
        </w:tc>
        <w:tc>
          <w:tcPr>
            <w:tcW w:w="0" w:type="auto"/>
            <w:gridSpan w:val="3"/>
            <w:shd w:val="clear" w:color="auto" w:fill="auto"/>
          </w:tcPr>
          <w:p w14:paraId="5EA23B15" w14:textId="77777777" w:rsidR="003C66EB" w:rsidRDefault="003C66EB">
            <w:pPr>
              <w:rPr>
                <w:rFonts w:ascii="宋体"/>
                <w:vanish/>
              </w:rPr>
            </w:pPr>
          </w:p>
        </w:tc>
        <w:tc>
          <w:tcPr>
            <w:tcW w:w="0" w:type="auto"/>
            <w:gridSpan w:val="3"/>
            <w:shd w:val="clear" w:color="auto" w:fill="auto"/>
          </w:tcPr>
          <w:p w14:paraId="5EA23B16" w14:textId="77777777" w:rsidR="003C66EB" w:rsidRDefault="003C66EB">
            <w:pPr>
              <w:rPr>
                <w:rFonts w:ascii="宋体"/>
                <w:vanish/>
              </w:rPr>
            </w:pPr>
          </w:p>
        </w:tc>
        <w:tc>
          <w:tcPr>
            <w:tcW w:w="0" w:type="auto"/>
            <w:gridSpan w:val="3"/>
            <w:shd w:val="clear" w:color="auto" w:fill="auto"/>
          </w:tcPr>
          <w:p w14:paraId="5EA23B17" w14:textId="77777777" w:rsidR="003C66EB" w:rsidRDefault="003C66EB">
            <w:pPr>
              <w:rPr>
                <w:rFonts w:ascii="宋体"/>
                <w:vanish/>
              </w:rPr>
            </w:pPr>
          </w:p>
        </w:tc>
        <w:tc>
          <w:tcPr>
            <w:tcW w:w="0" w:type="auto"/>
            <w:gridSpan w:val="3"/>
            <w:shd w:val="clear" w:color="auto" w:fill="auto"/>
          </w:tcPr>
          <w:p w14:paraId="5EA23B18" w14:textId="77777777" w:rsidR="003C66EB" w:rsidRDefault="003C66EB">
            <w:pPr>
              <w:rPr>
                <w:rFonts w:ascii="宋体"/>
                <w:vanish/>
              </w:rPr>
            </w:pPr>
          </w:p>
        </w:tc>
        <w:tc>
          <w:tcPr>
            <w:tcW w:w="0" w:type="auto"/>
            <w:gridSpan w:val="3"/>
            <w:shd w:val="clear" w:color="auto" w:fill="auto"/>
          </w:tcPr>
          <w:p w14:paraId="5EA23B19" w14:textId="77777777" w:rsidR="003C66EB" w:rsidRDefault="003C66EB">
            <w:pPr>
              <w:rPr>
                <w:rFonts w:ascii="宋体"/>
                <w:vanish/>
              </w:rPr>
            </w:pPr>
          </w:p>
        </w:tc>
        <w:tc>
          <w:tcPr>
            <w:tcW w:w="0" w:type="auto"/>
            <w:gridSpan w:val="3"/>
            <w:shd w:val="clear" w:color="auto" w:fill="auto"/>
          </w:tcPr>
          <w:p w14:paraId="5EA23B1A" w14:textId="77777777" w:rsidR="003C66EB" w:rsidRDefault="003C66EB">
            <w:pPr>
              <w:rPr>
                <w:rFonts w:ascii="宋体"/>
                <w:vanish/>
              </w:rPr>
            </w:pPr>
          </w:p>
        </w:tc>
        <w:tc>
          <w:tcPr>
            <w:tcW w:w="0" w:type="auto"/>
            <w:gridSpan w:val="3"/>
            <w:shd w:val="clear" w:color="auto" w:fill="auto"/>
          </w:tcPr>
          <w:p w14:paraId="5EA23B1B" w14:textId="77777777" w:rsidR="003C66EB" w:rsidRDefault="003C66EB">
            <w:pPr>
              <w:rPr>
                <w:rFonts w:ascii="宋体"/>
                <w:vanish/>
              </w:rPr>
            </w:pPr>
          </w:p>
        </w:tc>
        <w:tc>
          <w:tcPr>
            <w:tcW w:w="0" w:type="auto"/>
            <w:gridSpan w:val="3"/>
            <w:shd w:val="clear" w:color="auto" w:fill="auto"/>
          </w:tcPr>
          <w:p w14:paraId="5EA23B1C" w14:textId="77777777" w:rsidR="003C66EB" w:rsidRDefault="003C66EB">
            <w:pPr>
              <w:rPr>
                <w:rFonts w:ascii="宋体"/>
                <w:vanish/>
              </w:rPr>
            </w:pPr>
          </w:p>
        </w:tc>
        <w:tc>
          <w:tcPr>
            <w:tcW w:w="0" w:type="auto"/>
            <w:gridSpan w:val="3"/>
            <w:shd w:val="clear" w:color="auto" w:fill="auto"/>
          </w:tcPr>
          <w:p w14:paraId="5EA23B1D" w14:textId="77777777" w:rsidR="003C66EB" w:rsidRDefault="003C66EB">
            <w:pPr>
              <w:rPr>
                <w:rFonts w:ascii="宋体"/>
                <w:vanish/>
              </w:rPr>
            </w:pPr>
          </w:p>
        </w:tc>
      </w:tr>
      <w:tr w:rsidR="00D96C4E" w14:paraId="5EA23B3F" w14:textId="77777777">
        <w:tc>
          <w:tcPr>
            <w:tcW w:w="0" w:type="auto"/>
            <w:gridSpan w:val="3"/>
            <w:shd w:val="clear" w:color="auto" w:fill="FFFFFF"/>
            <w:tcMar>
              <w:top w:w="40" w:type="dxa"/>
              <w:left w:w="20" w:type="dxa"/>
              <w:bottom w:w="40" w:type="dxa"/>
              <w:right w:w="20" w:type="dxa"/>
            </w:tcMar>
            <w:vAlign w:val="bottom"/>
          </w:tcPr>
          <w:p w14:paraId="5EA23B1F" w14:textId="77777777" w:rsidR="003C66EB" w:rsidRDefault="00D96C4E">
            <w:pPr>
              <w:textAlignment w:val="bottom"/>
            </w:pPr>
            <w:r>
              <w:rPr>
                <w:rFonts w:ascii="Arial" w:eastAsia="宋体" w:hAnsi="Arial" w:cs="Arial"/>
                <w:color w:val="000000"/>
                <w:sz w:val="15"/>
                <w:szCs w:val="15"/>
              </w:rPr>
              <w:t>Total available-for-sale securities</w:t>
            </w:r>
            <w:r>
              <w:rPr>
                <w:rFonts w:ascii="Arial" w:eastAsia="宋体" w:hAnsi="Arial" w:cs="Arial"/>
                <w:color w:val="000000"/>
                <w:sz w:val="9"/>
                <w:szCs w:val="9"/>
              </w:rPr>
              <w:t>(5)</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3B2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21" w14:textId="77777777" w:rsidR="003C66EB" w:rsidRDefault="00D96C4E">
            <w:pPr>
              <w:jc w:val="right"/>
              <w:textAlignment w:val="bottom"/>
            </w:pPr>
            <w:r>
              <w:rPr>
                <w:rFonts w:ascii="Arial" w:eastAsia="宋体" w:hAnsi="Arial" w:cs="Arial"/>
                <w:b/>
                <w:bCs/>
                <w:color w:val="000000"/>
                <w:sz w:val="15"/>
                <w:szCs w:val="15"/>
              </w:rPr>
              <w:t>59,979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2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23"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2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25" w14:textId="77777777" w:rsidR="003C66EB" w:rsidRDefault="00D96C4E">
            <w:pPr>
              <w:jc w:val="right"/>
              <w:textAlignment w:val="bottom"/>
            </w:pPr>
            <w:r>
              <w:rPr>
                <w:rFonts w:ascii="Arial" w:eastAsia="宋体" w:hAnsi="Arial" w:cs="Arial"/>
                <w:b/>
                <w:bCs/>
                <w:color w:val="000000"/>
                <w:sz w:val="15"/>
                <w:szCs w:val="15"/>
              </w:rPr>
              <w:t>749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2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27"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2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29" w14:textId="77777777" w:rsidR="003C66EB" w:rsidRDefault="00D96C4E">
            <w:pPr>
              <w:jc w:val="right"/>
              <w:textAlignment w:val="bottom"/>
            </w:pPr>
            <w:r>
              <w:rPr>
                <w:rFonts w:ascii="Arial" w:eastAsia="宋体" w:hAnsi="Arial" w:cs="Arial"/>
                <w:b/>
                <w:bCs/>
                <w:color w:val="000000"/>
                <w:sz w:val="15"/>
                <w:szCs w:val="15"/>
              </w:rPr>
              <w:t>216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2B"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2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2D" w14:textId="77777777" w:rsidR="003C66EB" w:rsidRDefault="00D96C4E">
            <w:pPr>
              <w:jc w:val="right"/>
              <w:textAlignment w:val="bottom"/>
            </w:pPr>
            <w:r>
              <w:rPr>
                <w:rFonts w:ascii="Arial" w:eastAsia="宋体" w:hAnsi="Arial" w:cs="Arial"/>
                <w:b/>
                <w:bCs/>
                <w:color w:val="000000"/>
                <w:sz w:val="15"/>
                <w:szCs w:val="15"/>
              </w:rPr>
              <w:t>60,512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2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2F"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30"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31" w14:textId="77777777" w:rsidR="003C66EB" w:rsidRDefault="00D96C4E">
            <w:pPr>
              <w:jc w:val="right"/>
              <w:textAlignment w:val="bottom"/>
            </w:pPr>
            <w:r>
              <w:rPr>
                <w:rFonts w:ascii="Arial" w:eastAsia="宋体" w:hAnsi="Arial" w:cs="Arial"/>
                <w:color w:val="000000"/>
                <w:sz w:val="15"/>
                <w:szCs w:val="15"/>
              </w:rPr>
              <w:t>57,987 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3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33"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34"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35" w14:textId="77777777" w:rsidR="003C66EB" w:rsidRDefault="00D96C4E">
            <w:pPr>
              <w:jc w:val="right"/>
              <w:textAlignment w:val="bottom"/>
            </w:pPr>
            <w:r>
              <w:rPr>
                <w:rFonts w:ascii="Arial" w:eastAsia="宋体" w:hAnsi="Arial" w:cs="Arial"/>
                <w:color w:val="000000"/>
                <w:sz w:val="15"/>
                <w:szCs w:val="15"/>
              </w:rPr>
              <w:t>1,087 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37"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38"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39" w14:textId="77777777" w:rsidR="003C66EB" w:rsidRDefault="00D96C4E">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3B"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3B3C"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3B3D" w14:textId="77777777" w:rsidR="003C66EB" w:rsidRDefault="00D96C4E">
            <w:pPr>
              <w:jc w:val="right"/>
              <w:textAlignment w:val="bottom"/>
            </w:pPr>
            <w:r>
              <w:rPr>
                <w:rFonts w:ascii="Arial" w:eastAsia="宋体" w:hAnsi="Arial" w:cs="Arial"/>
                <w:color w:val="000000"/>
                <w:sz w:val="15"/>
                <w:szCs w:val="15"/>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B3E" w14:textId="77777777" w:rsidR="003C66EB" w:rsidRDefault="003C66EB">
            <w:pPr>
              <w:jc w:val="right"/>
              <w:rPr>
                <w:rFonts w:ascii="宋体"/>
              </w:rPr>
            </w:pPr>
          </w:p>
        </w:tc>
      </w:tr>
      <w:tr w:rsidR="003C66EB" w14:paraId="5EA23B50" w14:textId="77777777">
        <w:tc>
          <w:tcPr>
            <w:tcW w:w="0" w:type="auto"/>
            <w:gridSpan w:val="3"/>
            <w:shd w:val="clear" w:color="auto" w:fill="CCEEFF"/>
            <w:tcMar>
              <w:top w:w="40" w:type="dxa"/>
              <w:left w:w="20" w:type="dxa"/>
              <w:bottom w:w="40" w:type="dxa"/>
              <w:right w:w="20" w:type="dxa"/>
            </w:tcMar>
            <w:vAlign w:val="bottom"/>
          </w:tcPr>
          <w:p w14:paraId="5EA23B40" w14:textId="77777777" w:rsidR="003C66EB" w:rsidRDefault="00D96C4E">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tcPr>
          <w:p w14:paraId="5EA23B4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2"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4"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6"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8"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A"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C"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B4E"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3B4F" w14:textId="77777777" w:rsidR="003C66EB" w:rsidRDefault="003C66EB">
            <w:pPr>
              <w:rPr>
                <w:rFonts w:ascii="宋体"/>
              </w:rPr>
            </w:pPr>
          </w:p>
        </w:tc>
      </w:tr>
      <w:tr w:rsidR="003C66EB" w14:paraId="5EA23B61" w14:textId="77777777">
        <w:tc>
          <w:tcPr>
            <w:tcW w:w="0" w:type="auto"/>
            <w:gridSpan w:val="3"/>
            <w:shd w:val="clear" w:color="auto" w:fill="FFFFFF"/>
            <w:tcMar>
              <w:top w:w="40" w:type="dxa"/>
              <w:left w:w="20" w:type="dxa"/>
              <w:bottom w:w="40" w:type="dxa"/>
              <w:right w:w="20" w:type="dxa"/>
            </w:tcMar>
            <w:vAlign w:val="bottom"/>
          </w:tcPr>
          <w:p w14:paraId="5EA23B51" w14:textId="77777777" w:rsidR="003C66EB" w:rsidRDefault="00D96C4E">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tcPr>
          <w:p w14:paraId="5EA23B5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5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60" w14:textId="77777777" w:rsidR="003C66EB" w:rsidRDefault="003C66EB">
            <w:pPr>
              <w:rPr>
                <w:rFonts w:ascii="宋体"/>
              </w:rPr>
            </w:pPr>
          </w:p>
        </w:tc>
      </w:tr>
      <w:tr w:rsidR="00D96C4E" w14:paraId="5EA23B82" w14:textId="77777777">
        <w:tc>
          <w:tcPr>
            <w:tcW w:w="0" w:type="auto"/>
            <w:gridSpan w:val="3"/>
            <w:shd w:val="clear" w:color="auto" w:fill="CCEEFF"/>
            <w:tcMar>
              <w:top w:w="40" w:type="dxa"/>
              <w:left w:w="245" w:type="dxa"/>
              <w:bottom w:w="40" w:type="dxa"/>
              <w:right w:w="20" w:type="dxa"/>
            </w:tcMar>
            <w:vAlign w:val="bottom"/>
          </w:tcPr>
          <w:p w14:paraId="5EA23B62" w14:textId="77777777" w:rsidR="003C66EB" w:rsidRDefault="00D96C4E">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EA23B63"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B64" w14:textId="77777777" w:rsidR="003C66EB" w:rsidRDefault="00D96C4E">
            <w:pPr>
              <w:jc w:val="right"/>
              <w:textAlignment w:val="bottom"/>
            </w:pPr>
            <w:r>
              <w:rPr>
                <w:rFonts w:ascii="Arial" w:eastAsia="宋体" w:hAnsi="Arial" w:cs="Arial"/>
                <w:b/>
                <w:bCs/>
                <w:color w:val="000000"/>
                <w:sz w:val="15"/>
                <w:szCs w:val="15"/>
              </w:rPr>
              <w:t>5,530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6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67"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B68" w14:textId="77777777" w:rsidR="003C66EB" w:rsidRDefault="00D96C4E">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6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6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6B"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B6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6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6F"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3B70" w14:textId="77777777" w:rsidR="003C66EB" w:rsidRDefault="00D96C4E">
            <w:pPr>
              <w:jc w:val="right"/>
              <w:textAlignment w:val="bottom"/>
            </w:pPr>
            <w:r>
              <w:rPr>
                <w:rFonts w:ascii="Arial" w:eastAsia="宋体" w:hAnsi="Arial" w:cs="Arial"/>
                <w:b/>
                <w:bCs/>
                <w:color w:val="000000"/>
                <w:sz w:val="15"/>
                <w:szCs w:val="15"/>
              </w:rPr>
              <w:t>5,591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7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73"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B74" w14:textId="77777777" w:rsidR="003C66EB" w:rsidRDefault="00D96C4E">
            <w:pPr>
              <w:jc w:val="right"/>
              <w:textAlignment w:val="bottom"/>
            </w:pPr>
            <w:r>
              <w:rPr>
                <w:rFonts w:ascii="Arial" w:eastAsia="宋体" w:hAnsi="Arial" w:cs="Arial"/>
                <w:color w:val="000000"/>
                <w:sz w:val="15"/>
                <w:szCs w:val="15"/>
              </w:rPr>
              <w:t>6,057 </w:t>
            </w:r>
          </w:p>
        </w:tc>
        <w:tc>
          <w:tcPr>
            <w:tcW w:w="0" w:type="auto"/>
            <w:shd w:val="clear" w:color="auto" w:fill="CCEEFF"/>
            <w:tcMar>
              <w:top w:w="40" w:type="dxa"/>
              <w:left w:w="0" w:type="dxa"/>
              <w:bottom w:w="40" w:type="dxa"/>
              <w:right w:w="20" w:type="dxa"/>
            </w:tcMar>
            <w:vAlign w:val="bottom"/>
          </w:tcPr>
          <w:p w14:paraId="5EA23B7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7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77"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B78" w14:textId="77777777" w:rsidR="003C66EB" w:rsidRDefault="00D96C4E">
            <w:pPr>
              <w:jc w:val="right"/>
              <w:textAlignment w:val="bottom"/>
            </w:pPr>
            <w:r>
              <w:rPr>
                <w:rFonts w:ascii="Arial" w:eastAsia="宋体" w:hAnsi="Arial" w:cs="Arial"/>
                <w:color w:val="000000"/>
                <w:sz w:val="15"/>
                <w:szCs w:val="15"/>
              </w:rPr>
              <w:t>83 </w:t>
            </w:r>
          </w:p>
        </w:tc>
        <w:tc>
          <w:tcPr>
            <w:tcW w:w="0" w:type="auto"/>
            <w:shd w:val="clear" w:color="auto" w:fill="CCEEFF"/>
            <w:tcMar>
              <w:top w:w="40" w:type="dxa"/>
              <w:left w:w="0" w:type="dxa"/>
              <w:bottom w:w="40" w:type="dxa"/>
              <w:right w:w="20" w:type="dxa"/>
            </w:tcMar>
            <w:vAlign w:val="bottom"/>
          </w:tcPr>
          <w:p w14:paraId="5EA23B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7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7B"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B7C"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7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B7F"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3B80" w14:textId="77777777" w:rsidR="003C66EB" w:rsidRDefault="00D96C4E">
            <w:pPr>
              <w:jc w:val="right"/>
              <w:textAlignment w:val="bottom"/>
            </w:pPr>
            <w:r>
              <w:rPr>
                <w:rFonts w:ascii="Arial" w:eastAsia="宋体" w:hAnsi="Arial" w:cs="Arial"/>
                <w:color w:val="000000"/>
                <w:sz w:val="15"/>
                <w:szCs w:val="15"/>
              </w:rPr>
              <w:t>6,140 </w:t>
            </w:r>
          </w:p>
        </w:tc>
        <w:tc>
          <w:tcPr>
            <w:tcW w:w="0" w:type="auto"/>
            <w:shd w:val="clear" w:color="auto" w:fill="CCEEFF"/>
            <w:tcMar>
              <w:top w:w="40" w:type="dxa"/>
              <w:left w:w="0" w:type="dxa"/>
              <w:bottom w:w="40" w:type="dxa"/>
              <w:right w:w="20" w:type="dxa"/>
            </w:tcMar>
            <w:vAlign w:val="bottom"/>
          </w:tcPr>
          <w:p w14:paraId="5EA23B81" w14:textId="77777777" w:rsidR="003C66EB" w:rsidRDefault="003C66EB">
            <w:pPr>
              <w:jc w:val="right"/>
              <w:rPr>
                <w:rFonts w:ascii="宋体"/>
              </w:rPr>
            </w:pPr>
          </w:p>
        </w:tc>
      </w:tr>
      <w:tr w:rsidR="003C66EB" w14:paraId="5EA23B9B" w14:textId="77777777">
        <w:tc>
          <w:tcPr>
            <w:tcW w:w="0" w:type="auto"/>
            <w:gridSpan w:val="3"/>
            <w:shd w:val="clear" w:color="auto" w:fill="FFFFFF"/>
            <w:tcMar>
              <w:top w:w="40" w:type="dxa"/>
              <w:left w:w="245" w:type="dxa"/>
              <w:bottom w:w="40" w:type="dxa"/>
              <w:right w:w="20" w:type="dxa"/>
            </w:tcMar>
            <w:vAlign w:val="bottom"/>
          </w:tcPr>
          <w:p w14:paraId="5EA23B83"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A23B84" w14:textId="77777777" w:rsidR="003C66EB" w:rsidRDefault="00D96C4E">
            <w:pPr>
              <w:jc w:val="right"/>
              <w:textAlignment w:val="bottom"/>
            </w:pPr>
            <w:r>
              <w:rPr>
                <w:rFonts w:ascii="Arial" w:eastAsia="宋体" w:hAnsi="Arial" w:cs="Arial"/>
                <w:b/>
                <w:bCs/>
                <w:color w:val="000000"/>
                <w:sz w:val="15"/>
                <w:szCs w:val="15"/>
              </w:rPr>
              <w:t>34,930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8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87" w14:textId="77777777" w:rsidR="003C66EB" w:rsidRDefault="00D96C4E">
            <w:pPr>
              <w:jc w:val="right"/>
              <w:textAlignment w:val="bottom"/>
            </w:pPr>
            <w:r>
              <w:rPr>
                <w:rFonts w:ascii="Arial" w:eastAsia="宋体" w:hAnsi="Arial" w:cs="Arial"/>
                <w:b/>
                <w:bCs/>
                <w:color w:val="000000"/>
                <w:sz w:val="15"/>
                <w:szCs w:val="15"/>
              </w:rPr>
              <w:t>629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8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8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8A" w14:textId="77777777" w:rsidR="003C66EB" w:rsidRDefault="00D96C4E">
            <w:pPr>
              <w:jc w:val="right"/>
              <w:textAlignment w:val="bottom"/>
            </w:pPr>
            <w:r>
              <w:rPr>
                <w:rFonts w:ascii="Arial" w:eastAsia="宋体" w:hAnsi="Arial" w:cs="Arial"/>
                <w:b/>
                <w:bCs/>
                <w:color w:val="000000"/>
                <w:sz w:val="15"/>
                <w:szCs w:val="15"/>
              </w:rPr>
              <w:t>322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8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8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8D" w14:textId="77777777" w:rsidR="003C66EB" w:rsidRDefault="00D96C4E">
            <w:pPr>
              <w:jc w:val="right"/>
              <w:textAlignment w:val="bottom"/>
            </w:pPr>
            <w:r>
              <w:rPr>
                <w:rFonts w:ascii="Arial" w:eastAsia="宋体" w:hAnsi="Arial" w:cs="Arial"/>
                <w:b/>
                <w:bCs/>
                <w:color w:val="000000"/>
                <w:sz w:val="15"/>
                <w:szCs w:val="15"/>
              </w:rPr>
              <w:t>35,237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8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8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90" w14:textId="77777777" w:rsidR="003C66EB" w:rsidRDefault="00D96C4E">
            <w:pPr>
              <w:jc w:val="right"/>
              <w:textAlignment w:val="bottom"/>
            </w:pPr>
            <w:r>
              <w:rPr>
                <w:rFonts w:ascii="Arial" w:eastAsia="宋体" w:hAnsi="Arial" w:cs="Arial"/>
                <w:color w:val="000000"/>
                <w:sz w:val="15"/>
                <w:szCs w:val="15"/>
              </w:rPr>
              <w:t>36,901 </w:t>
            </w:r>
          </w:p>
        </w:tc>
        <w:tc>
          <w:tcPr>
            <w:tcW w:w="0" w:type="auto"/>
            <w:shd w:val="clear" w:color="auto" w:fill="FFFFFF"/>
            <w:tcMar>
              <w:top w:w="40" w:type="dxa"/>
              <w:left w:w="0" w:type="dxa"/>
              <w:bottom w:w="40" w:type="dxa"/>
              <w:right w:w="20" w:type="dxa"/>
            </w:tcMar>
            <w:vAlign w:val="bottom"/>
          </w:tcPr>
          <w:p w14:paraId="5EA23B9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9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93" w14:textId="77777777" w:rsidR="003C66EB" w:rsidRDefault="00D96C4E">
            <w:pPr>
              <w:jc w:val="right"/>
              <w:textAlignment w:val="bottom"/>
            </w:pPr>
            <w:r>
              <w:rPr>
                <w:rFonts w:ascii="Arial" w:eastAsia="宋体" w:hAnsi="Arial" w:cs="Arial"/>
                <w:color w:val="000000"/>
                <w:sz w:val="15"/>
                <w:szCs w:val="15"/>
              </w:rPr>
              <w:t>955 </w:t>
            </w:r>
          </w:p>
        </w:tc>
        <w:tc>
          <w:tcPr>
            <w:tcW w:w="0" w:type="auto"/>
            <w:shd w:val="clear" w:color="auto" w:fill="FFFFFF"/>
            <w:tcMar>
              <w:top w:w="40" w:type="dxa"/>
              <w:left w:w="0" w:type="dxa"/>
              <w:bottom w:w="40" w:type="dxa"/>
              <w:right w:w="20" w:type="dxa"/>
            </w:tcMar>
            <w:vAlign w:val="bottom"/>
          </w:tcPr>
          <w:p w14:paraId="5EA23B9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9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96" w14:textId="77777777" w:rsidR="003C66EB" w:rsidRDefault="00D96C4E">
            <w:pPr>
              <w:jc w:val="right"/>
              <w:textAlignment w:val="bottom"/>
            </w:pPr>
            <w:r>
              <w:rPr>
                <w:rFonts w:ascii="Arial" w:eastAsia="宋体" w:hAnsi="Arial" w:cs="Arial"/>
                <w:color w:val="000000"/>
                <w:sz w:val="15"/>
                <w:szCs w:val="15"/>
              </w:rPr>
              <w:t>67 </w:t>
            </w:r>
          </w:p>
        </w:tc>
        <w:tc>
          <w:tcPr>
            <w:tcW w:w="0" w:type="auto"/>
            <w:shd w:val="clear" w:color="auto" w:fill="FFFFFF"/>
            <w:tcMar>
              <w:top w:w="40" w:type="dxa"/>
              <w:left w:w="0" w:type="dxa"/>
              <w:bottom w:w="40" w:type="dxa"/>
              <w:right w:w="20" w:type="dxa"/>
            </w:tcMar>
            <w:vAlign w:val="bottom"/>
          </w:tcPr>
          <w:p w14:paraId="5EA23B9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9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99" w14:textId="77777777" w:rsidR="003C66EB" w:rsidRDefault="00D96C4E">
            <w:pPr>
              <w:jc w:val="right"/>
              <w:textAlignment w:val="bottom"/>
            </w:pPr>
            <w:r>
              <w:rPr>
                <w:rFonts w:ascii="Arial" w:eastAsia="宋体" w:hAnsi="Arial" w:cs="Arial"/>
                <w:color w:val="000000"/>
                <w:sz w:val="15"/>
                <w:szCs w:val="15"/>
              </w:rPr>
              <w:t>37,789 </w:t>
            </w:r>
          </w:p>
        </w:tc>
        <w:tc>
          <w:tcPr>
            <w:tcW w:w="0" w:type="auto"/>
            <w:shd w:val="clear" w:color="auto" w:fill="FFFFFF"/>
            <w:tcMar>
              <w:top w:w="40" w:type="dxa"/>
              <w:left w:w="0" w:type="dxa"/>
              <w:bottom w:w="40" w:type="dxa"/>
              <w:right w:w="20" w:type="dxa"/>
            </w:tcMar>
            <w:vAlign w:val="bottom"/>
          </w:tcPr>
          <w:p w14:paraId="5EA23B9A" w14:textId="77777777" w:rsidR="003C66EB" w:rsidRDefault="003C66EB">
            <w:pPr>
              <w:jc w:val="right"/>
              <w:rPr>
                <w:rFonts w:ascii="宋体"/>
              </w:rPr>
            </w:pPr>
          </w:p>
        </w:tc>
      </w:tr>
      <w:tr w:rsidR="003C66EB" w14:paraId="5EA23BB4" w14:textId="77777777">
        <w:tc>
          <w:tcPr>
            <w:tcW w:w="0" w:type="auto"/>
            <w:gridSpan w:val="3"/>
            <w:shd w:val="clear" w:color="auto" w:fill="CCEEFF"/>
            <w:tcMar>
              <w:top w:w="40" w:type="dxa"/>
              <w:left w:w="380" w:type="dxa"/>
              <w:bottom w:w="40" w:type="dxa"/>
              <w:right w:w="20" w:type="dxa"/>
            </w:tcMar>
            <w:vAlign w:val="bottom"/>
          </w:tcPr>
          <w:p w14:paraId="5EA23B9C" w14:textId="77777777" w:rsidR="003C66EB" w:rsidRDefault="00D96C4E">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9D" w14:textId="77777777" w:rsidR="003C66EB" w:rsidRDefault="00D96C4E">
            <w:pPr>
              <w:jc w:val="right"/>
              <w:textAlignment w:val="bottom"/>
            </w:pPr>
            <w:r>
              <w:rPr>
                <w:rFonts w:ascii="Arial" w:eastAsia="宋体" w:hAnsi="Arial" w:cs="Arial"/>
                <w:b/>
                <w:bCs/>
                <w:color w:val="000000"/>
                <w:sz w:val="15"/>
                <w:szCs w:val="15"/>
              </w:rPr>
              <w:t>40,460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9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A0" w14:textId="77777777" w:rsidR="003C66EB" w:rsidRDefault="00D96C4E">
            <w:pPr>
              <w:jc w:val="right"/>
              <w:textAlignment w:val="bottom"/>
            </w:pPr>
            <w:r>
              <w:rPr>
                <w:rFonts w:ascii="Arial" w:eastAsia="宋体" w:hAnsi="Arial" w:cs="Arial"/>
                <w:b/>
                <w:bCs/>
                <w:color w:val="000000"/>
                <w:sz w:val="15"/>
                <w:szCs w:val="15"/>
              </w:rPr>
              <w:t>690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A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A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A3" w14:textId="77777777" w:rsidR="003C66EB" w:rsidRDefault="00D96C4E">
            <w:pPr>
              <w:jc w:val="right"/>
              <w:textAlignment w:val="bottom"/>
            </w:pPr>
            <w:r>
              <w:rPr>
                <w:rFonts w:ascii="Arial" w:eastAsia="宋体" w:hAnsi="Arial" w:cs="Arial"/>
                <w:b/>
                <w:bCs/>
                <w:color w:val="000000"/>
                <w:sz w:val="15"/>
                <w:szCs w:val="15"/>
              </w:rPr>
              <w:t>322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A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A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A6" w14:textId="77777777" w:rsidR="003C66EB" w:rsidRDefault="00D96C4E">
            <w:pPr>
              <w:jc w:val="right"/>
              <w:textAlignment w:val="bottom"/>
            </w:pPr>
            <w:r>
              <w:rPr>
                <w:rFonts w:ascii="Arial" w:eastAsia="宋体" w:hAnsi="Arial" w:cs="Arial"/>
                <w:b/>
                <w:bCs/>
                <w:color w:val="000000"/>
                <w:sz w:val="15"/>
                <w:szCs w:val="15"/>
              </w:rPr>
              <w:t>40,828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A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A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A9" w14:textId="77777777" w:rsidR="003C66EB" w:rsidRDefault="00D96C4E">
            <w:pPr>
              <w:jc w:val="right"/>
              <w:textAlignment w:val="bottom"/>
            </w:pPr>
            <w:r>
              <w:rPr>
                <w:rFonts w:ascii="Arial" w:eastAsia="宋体" w:hAnsi="Arial" w:cs="Arial"/>
                <w:color w:val="000000"/>
                <w:sz w:val="15"/>
                <w:szCs w:val="15"/>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A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A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AC" w14:textId="77777777" w:rsidR="003C66EB" w:rsidRDefault="00D96C4E">
            <w:pPr>
              <w:jc w:val="right"/>
              <w:textAlignment w:val="bottom"/>
            </w:pPr>
            <w:r>
              <w:rPr>
                <w:rFonts w:ascii="Arial" w:eastAsia="宋体" w:hAnsi="Arial" w:cs="Arial"/>
                <w:color w:val="000000"/>
                <w:sz w:val="15"/>
                <w:szCs w:val="15"/>
              </w:rPr>
              <w:t>1,038 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A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AF" w14:textId="77777777" w:rsidR="003C66EB" w:rsidRDefault="00D96C4E">
            <w:pPr>
              <w:jc w:val="right"/>
              <w:textAlignment w:val="bottom"/>
            </w:pPr>
            <w:r>
              <w:rPr>
                <w:rFonts w:ascii="Arial" w:eastAsia="宋体" w:hAnsi="Arial" w:cs="Arial"/>
                <w:color w:val="000000"/>
                <w:sz w:val="15"/>
                <w:szCs w:val="15"/>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B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BB2" w14:textId="77777777" w:rsidR="003C66EB" w:rsidRDefault="00D96C4E">
            <w:pPr>
              <w:jc w:val="right"/>
              <w:textAlignment w:val="bottom"/>
            </w:pPr>
            <w:r>
              <w:rPr>
                <w:rFonts w:ascii="Arial" w:eastAsia="宋体" w:hAnsi="Arial" w:cs="Arial"/>
                <w:color w:val="000000"/>
                <w:sz w:val="15"/>
                <w:szCs w:val="15"/>
              </w:rPr>
              <w:t>43,929 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BB3" w14:textId="77777777" w:rsidR="003C66EB" w:rsidRDefault="003C66EB">
            <w:pPr>
              <w:jc w:val="right"/>
              <w:rPr>
                <w:rFonts w:ascii="宋体"/>
              </w:rPr>
            </w:pPr>
          </w:p>
        </w:tc>
      </w:tr>
      <w:tr w:rsidR="003C66EB" w14:paraId="5EA23BC5" w14:textId="77777777">
        <w:tc>
          <w:tcPr>
            <w:tcW w:w="0" w:type="auto"/>
            <w:gridSpan w:val="3"/>
            <w:shd w:val="clear" w:color="auto" w:fill="FFFFFF"/>
            <w:tcMar>
              <w:top w:w="40" w:type="dxa"/>
              <w:left w:w="20" w:type="dxa"/>
              <w:bottom w:w="40" w:type="dxa"/>
              <w:right w:w="20" w:type="dxa"/>
            </w:tcMar>
            <w:vAlign w:val="bottom"/>
          </w:tcPr>
          <w:p w14:paraId="5EA23BB5" w14:textId="77777777" w:rsidR="003C66EB" w:rsidRDefault="00D96C4E">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3BB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B7"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B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B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B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BB"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B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B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B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BF"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C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C1"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C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BC3"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BC4" w14:textId="77777777" w:rsidR="003C66EB" w:rsidRDefault="003C66EB">
            <w:pPr>
              <w:rPr>
                <w:rFonts w:ascii="宋体"/>
              </w:rPr>
            </w:pPr>
          </w:p>
        </w:tc>
      </w:tr>
      <w:tr w:rsidR="003C66EB" w14:paraId="5EA23BDE" w14:textId="77777777">
        <w:tc>
          <w:tcPr>
            <w:tcW w:w="0" w:type="auto"/>
            <w:gridSpan w:val="3"/>
            <w:shd w:val="clear" w:color="auto" w:fill="CCEEFF"/>
            <w:tcMar>
              <w:top w:w="40" w:type="dxa"/>
              <w:left w:w="20" w:type="dxa"/>
              <w:bottom w:w="40" w:type="dxa"/>
              <w:right w:w="20" w:type="dxa"/>
            </w:tcMar>
            <w:vAlign w:val="bottom"/>
          </w:tcPr>
          <w:p w14:paraId="5EA23BC6" w14:textId="77777777" w:rsidR="003C66EB" w:rsidRDefault="00D96C4E">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A23BC7" w14:textId="77777777" w:rsidR="003C66EB" w:rsidRDefault="00D96C4E">
            <w:pPr>
              <w:jc w:val="right"/>
              <w:textAlignment w:val="bottom"/>
            </w:pPr>
            <w:r>
              <w:rPr>
                <w:rFonts w:ascii="Arial" w:eastAsia="宋体" w:hAnsi="Arial" w:cs="Arial"/>
                <w:b/>
                <w:bCs/>
                <w:color w:val="000000"/>
                <w:sz w:val="15"/>
                <w:szCs w:val="15"/>
              </w:rPr>
              <w:t>4,745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C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C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CA" w14:textId="77777777" w:rsidR="003C66EB" w:rsidRDefault="00D96C4E">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C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C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CD" w14:textId="77777777" w:rsidR="003C66EB" w:rsidRDefault="00D96C4E">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C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C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D0" w14:textId="77777777" w:rsidR="003C66EB" w:rsidRDefault="00D96C4E">
            <w:pPr>
              <w:jc w:val="right"/>
              <w:textAlignment w:val="bottom"/>
            </w:pPr>
            <w:r>
              <w:rPr>
                <w:rFonts w:ascii="Arial" w:eastAsia="宋体" w:hAnsi="Arial" w:cs="Arial"/>
                <w:b/>
                <w:bCs/>
                <w:color w:val="000000"/>
                <w:sz w:val="15"/>
                <w:szCs w:val="15"/>
              </w:rPr>
              <w:t>4,768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B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D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D3" w14:textId="77777777" w:rsidR="003C66EB" w:rsidRDefault="00D96C4E">
            <w:pPr>
              <w:jc w:val="right"/>
              <w:textAlignment w:val="bottom"/>
            </w:pPr>
            <w:r>
              <w:rPr>
                <w:rFonts w:ascii="Arial" w:eastAsia="宋体" w:hAnsi="Arial" w:cs="Arial"/>
                <w:color w:val="000000"/>
                <w:sz w:val="15"/>
                <w:szCs w:val="15"/>
              </w:rPr>
              <w:t>4,774 </w:t>
            </w:r>
          </w:p>
        </w:tc>
        <w:tc>
          <w:tcPr>
            <w:tcW w:w="0" w:type="auto"/>
            <w:shd w:val="clear" w:color="auto" w:fill="CCEEFF"/>
            <w:tcMar>
              <w:top w:w="40" w:type="dxa"/>
              <w:left w:w="0" w:type="dxa"/>
              <w:bottom w:w="40" w:type="dxa"/>
              <w:right w:w="20" w:type="dxa"/>
            </w:tcMar>
            <w:vAlign w:val="bottom"/>
          </w:tcPr>
          <w:p w14:paraId="5EA23BD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D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D6" w14:textId="77777777" w:rsidR="003C66EB" w:rsidRDefault="00D96C4E">
            <w:pPr>
              <w:jc w:val="right"/>
              <w:textAlignment w:val="bottom"/>
            </w:pPr>
            <w:r>
              <w:rPr>
                <w:rFonts w:ascii="Arial" w:eastAsia="宋体" w:hAnsi="Arial" w:cs="Arial"/>
                <w:color w:val="000000"/>
                <w:sz w:val="15"/>
                <w:szCs w:val="15"/>
              </w:rPr>
              <w:t>33 </w:t>
            </w:r>
          </w:p>
        </w:tc>
        <w:tc>
          <w:tcPr>
            <w:tcW w:w="0" w:type="auto"/>
            <w:shd w:val="clear" w:color="auto" w:fill="CCEEFF"/>
            <w:tcMar>
              <w:top w:w="40" w:type="dxa"/>
              <w:left w:w="0" w:type="dxa"/>
              <w:bottom w:w="40" w:type="dxa"/>
              <w:right w:w="20" w:type="dxa"/>
            </w:tcMar>
            <w:vAlign w:val="bottom"/>
          </w:tcPr>
          <w:p w14:paraId="5EA23BD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D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D9" w14:textId="77777777" w:rsidR="003C66EB" w:rsidRDefault="00D96C4E">
            <w:pPr>
              <w:jc w:val="right"/>
              <w:textAlignment w:val="bottom"/>
            </w:pPr>
            <w:r>
              <w:rPr>
                <w:rFonts w:ascii="Arial" w:eastAsia="宋体" w:hAnsi="Arial" w:cs="Arial"/>
                <w:color w:val="000000"/>
                <w:sz w:val="15"/>
                <w:szCs w:val="15"/>
              </w:rPr>
              <w:t>25 </w:t>
            </w:r>
          </w:p>
        </w:tc>
        <w:tc>
          <w:tcPr>
            <w:tcW w:w="0" w:type="auto"/>
            <w:shd w:val="clear" w:color="auto" w:fill="CCEEFF"/>
            <w:tcMar>
              <w:top w:w="40" w:type="dxa"/>
              <w:left w:w="0" w:type="dxa"/>
              <w:bottom w:w="40" w:type="dxa"/>
              <w:right w:w="20" w:type="dxa"/>
            </w:tcMar>
            <w:vAlign w:val="bottom"/>
          </w:tcPr>
          <w:p w14:paraId="5EA23BD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BD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BDC" w14:textId="77777777" w:rsidR="003C66EB" w:rsidRDefault="00D96C4E">
            <w:pPr>
              <w:jc w:val="right"/>
              <w:textAlignment w:val="bottom"/>
            </w:pPr>
            <w:r>
              <w:rPr>
                <w:rFonts w:ascii="Arial" w:eastAsia="宋体" w:hAnsi="Arial" w:cs="Arial"/>
                <w:color w:val="000000"/>
                <w:sz w:val="15"/>
                <w:szCs w:val="15"/>
              </w:rPr>
              <w:t>4,782 </w:t>
            </w:r>
          </w:p>
        </w:tc>
        <w:tc>
          <w:tcPr>
            <w:tcW w:w="0" w:type="auto"/>
            <w:shd w:val="clear" w:color="auto" w:fill="CCEEFF"/>
            <w:tcMar>
              <w:top w:w="40" w:type="dxa"/>
              <w:left w:w="0" w:type="dxa"/>
              <w:bottom w:w="40" w:type="dxa"/>
              <w:right w:w="20" w:type="dxa"/>
            </w:tcMar>
            <w:vAlign w:val="bottom"/>
          </w:tcPr>
          <w:p w14:paraId="5EA23BDD" w14:textId="77777777" w:rsidR="003C66EB" w:rsidRDefault="003C66EB">
            <w:pPr>
              <w:jc w:val="right"/>
              <w:rPr>
                <w:rFonts w:ascii="宋体"/>
              </w:rPr>
            </w:pPr>
          </w:p>
        </w:tc>
      </w:tr>
      <w:tr w:rsidR="003C66EB" w14:paraId="5EA23BF7" w14:textId="77777777">
        <w:tc>
          <w:tcPr>
            <w:tcW w:w="0" w:type="auto"/>
            <w:gridSpan w:val="3"/>
            <w:shd w:val="clear" w:color="auto" w:fill="FFFFFF"/>
            <w:tcMar>
              <w:top w:w="40" w:type="dxa"/>
              <w:left w:w="20" w:type="dxa"/>
              <w:bottom w:w="40" w:type="dxa"/>
              <w:right w:w="20" w:type="dxa"/>
            </w:tcMar>
            <w:vAlign w:val="bottom"/>
          </w:tcPr>
          <w:p w14:paraId="5EA23BDF" w14:textId="77777777" w:rsidR="003C66EB" w:rsidRDefault="00D96C4E">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A23BE0" w14:textId="77777777" w:rsidR="003C66EB" w:rsidRDefault="00D96C4E">
            <w:pPr>
              <w:jc w:val="right"/>
              <w:textAlignment w:val="bottom"/>
            </w:pPr>
            <w:r>
              <w:rPr>
                <w:rFonts w:ascii="Arial" w:eastAsia="宋体" w:hAnsi="Arial" w:cs="Arial"/>
                <w:b/>
                <w:bCs/>
                <w:color w:val="000000"/>
                <w:sz w:val="15"/>
                <w:szCs w:val="15"/>
              </w:rPr>
              <w:t>526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E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E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E3" w14:textId="77777777" w:rsidR="003C66EB" w:rsidRDefault="00D96C4E">
            <w:pPr>
              <w:jc w:val="right"/>
              <w:textAlignment w:val="bottom"/>
            </w:pPr>
            <w:r>
              <w:rPr>
                <w:rFonts w:ascii="Arial" w:eastAsia="宋体" w:hAnsi="Arial" w:cs="Arial"/>
                <w:b/>
                <w:bCs/>
                <w:color w:val="000000"/>
                <w:sz w:val="15"/>
                <w:szCs w:val="15"/>
              </w:rPr>
              <w:t>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E6"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E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E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E9" w14:textId="77777777" w:rsidR="003C66EB" w:rsidRDefault="00D96C4E">
            <w:pPr>
              <w:jc w:val="right"/>
              <w:textAlignment w:val="bottom"/>
            </w:pPr>
            <w:r>
              <w:rPr>
                <w:rFonts w:ascii="Arial" w:eastAsia="宋体" w:hAnsi="Arial" w:cs="Arial"/>
                <w:b/>
                <w:bCs/>
                <w:color w:val="000000"/>
                <w:sz w:val="15"/>
                <w:szCs w:val="15"/>
              </w:rPr>
              <w:t>557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B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E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EC" w14:textId="77777777" w:rsidR="003C66EB" w:rsidRDefault="00D96C4E">
            <w:pPr>
              <w:jc w:val="right"/>
              <w:textAlignment w:val="bottom"/>
            </w:pPr>
            <w:r>
              <w:rPr>
                <w:rFonts w:ascii="Arial" w:eastAsia="宋体" w:hAnsi="Arial" w:cs="Arial"/>
                <w:color w:val="000000"/>
                <w:sz w:val="15"/>
                <w:szCs w:val="15"/>
              </w:rPr>
              <w:t>554 </w:t>
            </w:r>
          </w:p>
        </w:tc>
        <w:tc>
          <w:tcPr>
            <w:tcW w:w="0" w:type="auto"/>
            <w:shd w:val="clear" w:color="auto" w:fill="FFFFFF"/>
            <w:tcMar>
              <w:top w:w="40" w:type="dxa"/>
              <w:left w:w="0" w:type="dxa"/>
              <w:bottom w:w="40" w:type="dxa"/>
              <w:right w:w="20" w:type="dxa"/>
            </w:tcMar>
            <w:vAlign w:val="bottom"/>
          </w:tcPr>
          <w:p w14:paraId="5EA23B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E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EF" w14:textId="77777777" w:rsidR="003C66EB" w:rsidRDefault="00D96C4E">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5EA23BF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F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F2"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A23BF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BF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BF5" w14:textId="77777777" w:rsidR="003C66EB" w:rsidRDefault="00D96C4E">
            <w:pPr>
              <w:jc w:val="right"/>
              <w:textAlignment w:val="bottom"/>
            </w:pPr>
            <w:r>
              <w:rPr>
                <w:rFonts w:ascii="Arial" w:eastAsia="宋体" w:hAnsi="Arial" w:cs="Arial"/>
                <w:color w:val="000000"/>
                <w:sz w:val="15"/>
                <w:szCs w:val="15"/>
              </w:rPr>
              <w:t>583 </w:t>
            </w:r>
          </w:p>
        </w:tc>
        <w:tc>
          <w:tcPr>
            <w:tcW w:w="0" w:type="auto"/>
            <w:shd w:val="clear" w:color="auto" w:fill="FFFFFF"/>
            <w:tcMar>
              <w:top w:w="40" w:type="dxa"/>
              <w:left w:w="0" w:type="dxa"/>
              <w:bottom w:w="40" w:type="dxa"/>
              <w:right w:w="20" w:type="dxa"/>
            </w:tcMar>
            <w:vAlign w:val="bottom"/>
          </w:tcPr>
          <w:p w14:paraId="5EA23BF6" w14:textId="77777777" w:rsidR="003C66EB" w:rsidRDefault="003C66EB">
            <w:pPr>
              <w:jc w:val="right"/>
              <w:rPr>
                <w:rFonts w:ascii="宋体"/>
              </w:rPr>
            </w:pPr>
          </w:p>
        </w:tc>
      </w:tr>
      <w:tr w:rsidR="003C66EB" w14:paraId="5EA23C08" w14:textId="77777777">
        <w:trPr>
          <w:hidden/>
        </w:trPr>
        <w:tc>
          <w:tcPr>
            <w:tcW w:w="0" w:type="auto"/>
            <w:gridSpan w:val="3"/>
            <w:shd w:val="clear" w:color="auto" w:fill="auto"/>
          </w:tcPr>
          <w:p w14:paraId="5EA23BF8" w14:textId="77777777" w:rsidR="003C66EB" w:rsidRDefault="003C66EB">
            <w:pPr>
              <w:rPr>
                <w:rFonts w:ascii="宋体"/>
                <w:vanish/>
              </w:rPr>
            </w:pPr>
          </w:p>
        </w:tc>
        <w:tc>
          <w:tcPr>
            <w:tcW w:w="0" w:type="auto"/>
            <w:gridSpan w:val="3"/>
            <w:shd w:val="clear" w:color="auto" w:fill="auto"/>
          </w:tcPr>
          <w:p w14:paraId="5EA23BF9" w14:textId="77777777" w:rsidR="003C66EB" w:rsidRDefault="003C66EB">
            <w:pPr>
              <w:rPr>
                <w:rFonts w:ascii="宋体"/>
                <w:vanish/>
              </w:rPr>
            </w:pPr>
          </w:p>
        </w:tc>
        <w:tc>
          <w:tcPr>
            <w:tcW w:w="0" w:type="auto"/>
            <w:gridSpan w:val="3"/>
            <w:shd w:val="clear" w:color="auto" w:fill="auto"/>
          </w:tcPr>
          <w:p w14:paraId="5EA23BFA" w14:textId="77777777" w:rsidR="003C66EB" w:rsidRDefault="003C66EB">
            <w:pPr>
              <w:rPr>
                <w:rFonts w:ascii="宋体"/>
                <w:vanish/>
              </w:rPr>
            </w:pPr>
          </w:p>
        </w:tc>
        <w:tc>
          <w:tcPr>
            <w:tcW w:w="0" w:type="auto"/>
            <w:gridSpan w:val="3"/>
            <w:shd w:val="clear" w:color="auto" w:fill="auto"/>
          </w:tcPr>
          <w:p w14:paraId="5EA23BFB" w14:textId="77777777" w:rsidR="003C66EB" w:rsidRDefault="003C66EB">
            <w:pPr>
              <w:rPr>
                <w:rFonts w:ascii="宋体"/>
                <w:vanish/>
              </w:rPr>
            </w:pPr>
          </w:p>
        </w:tc>
        <w:tc>
          <w:tcPr>
            <w:tcW w:w="0" w:type="auto"/>
            <w:gridSpan w:val="3"/>
            <w:shd w:val="clear" w:color="auto" w:fill="auto"/>
          </w:tcPr>
          <w:p w14:paraId="5EA23BFC" w14:textId="77777777" w:rsidR="003C66EB" w:rsidRDefault="003C66EB">
            <w:pPr>
              <w:rPr>
                <w:rFonts w:ascii="宋体"/>
                <w:vanish/>
              </w:rPr>
            </w:pPr>
          </w:p>
        </w:tc>
        <w:tc>
          <w:tcPr>
            <w:tcW w:w="0" w:type="auto"/>
            <w:gridSpan w:val="3"/>
            <w:shd w:val="clear" w:color="auto" w:fill="auto"/>
          </w:tcPr>
          <w:p w14:paraId="5EA23BFD" w14:textId="77777777" w:rsidR="003C66EB" w:rsidRDefault="003C66EB">
            <w:pPr>
              <w:rPr>
                <w:rFonts w:ascii="宋体"/>
                <w:vanish/>
              </w:rPr>
            </w:pPr>
          </w:p>
        </w:tc>
        <w:tc>
          <w:tcPr>
            <w:tcW w:w="0" w:type="auto"/>
            <w:gridSpan w:val="3"/>
            <w:shd w:val="clear" w:color="auto" w:fill="auto"/>
          </w:tcPr>
          <w:p w14:paraId="5EA23BFE" w14:textId="77777777" w:rsidR="003C66EB" w:rsidRDefault="003C66EB">
            <w:pPr>
              <w:rPr>
                <w:rFonts w:ascii="宋体"/>
                <w:vanish/>
              </w:rPr>
            </w:pPr>
          </w:p>
        </w:tc>
        <w:tc>
          <w:tcPr>
            <w:tcW w:w="0" w:type="auto"/>
            <w:gridSpan w:val="3"/>
            <w:shd w:val="clear" w:color="auto" w:fill="auto"/>
          </w:tcPr>
          <w:p w14:paraId="5EA23BFF" w14:textId="77777777" w:rsidR="003C66EB" w:rsidRDefault="003C66EB">
            <w:pPr>
              <w:rPr>
                <w:rFonts w:ascii="宋体"/>
                <w:vanish/>
              </w:rPr>
            </w:pPr>
          </w:p>
        </w:tc>
        <w:tc>
          <w:tcPr>
            <w:tcW w:w="0" w:type="auto"/>
            <w:gridSpan w:val="3"/>
            <w:shd w:val="clear" w:color="auto" w:fill="auto"/>
          </w:tcPr>
          <w:p w14:paraId="5EA23C00" w14:textId="77777777" w:rsidR="003C66EB" w:rsidRDefault="003C66EB">
            <w:pPr>
              <w:rPr>
                <w:rFonts w:ascii="宋体"/>
                <w:vanish/>
              </w:rPr>
            </w:pPr>
          </w:p>
        </w:tc>
        <w:tc>
          <w:tcPr>
            <w:tcW w:w="0" w:type="auto"/>
            <w:gridSpan w:val="3"/>
            <w:shd w:val="clear" w:color="auto" w:fill="auto"/>
          </w:tcPr>
          <w:p w14:paraId="5EA23C01" w14:textId="77777777" w:rsidR="003C66EB" w:rsidRDefault="003C66EB">
            <w:pPr>
              <w:rPr>
                <w:rFonts w:ascii="宋体"/>
                <w:vanish/>
              </w:rPr>
            </w:pPr>
          </w:p>
        </w:tc>
        <w:tc>
          <w:tcPr>
            <w:tcW w:w="0" w:type="auto"/>
            <w:gridSpan w:val="3"/>
            <w:shd w:val="clear" w:color="auto" w:fill="auto"/>
          </w:tcPr>
          <w:p w14:paraId="5EA23C02" w14:textId="77777777" w:rsidR="003C66EB" w:rsidRDefault="003C66EB">
            <w:pPr>
              <w:rPr>
                <w:rFonts w:ascii="宋体"/>
                <w:vanish/>
              </w:rPr>
            </w:pPr>
          </w:p>
        </w:tc>
        <w:tc>
          <w:tcPr>
            <w:tcW w:w="0" w:type="auto"/>
            <w:gridSpan w:val="3"/>
            <w:shd w:val="clear" w:color="auto" w:fill="auto"/>
          </w:tcPr>
          <w:p w14:paraId="5EA23C03" w14:textId="77777777" w:rsidR="003C66EB" w:rsidRDefault="003C66EB">
            <w:pPr>
              <w:rPr>
                <w:rFonts w:ascii="宋体"/>
                <w:vanish/>
              </w:rPr>
            </w:pPr>
          </w:p>
        </w:tc>
        <w:tc>
          <w:tcPr>
            <w:tcW w:w="0" w:type="auto"/>
            <w:gridSpan w:val="3"/>
            <w:shd w:val="clear" w:color="auto" w:fill="auto"/>
          </w:tcPr>
          <w:p w14:paraId="5EA23C04" w14:textId="77777777" w:rsidR="003C66EB" w:rsidRDefault="003C66EB">
            <w:pPr>
              <w:rPr>
                <w:rFonts w:ascii="宋体"/>
                <w:vanish/>
              </w:rPr>
            </w:pPr>
          </w:p>
        </w:tc>
        <w:tc>
          <w:tcPr>
            <w:tcW w:w="0" w:type="auto"/>
            <w:gridSpan w:val="3"/>
            <w:shd w:val="clear" w:color="auto" w:fill="auto"/>
          </w:tcPr>
          <w:p w14:paraId="5EA23C05" w14:textId="77777777" w:rsidR="003C66EB" w:rsidRDefault="003C66EB">
            <w:pPr>
              <w:rPr>
                <w:rFonts w:ascii="宋体"/>
                <w:vanish/>
              </w:rPr>
            </w:pPr>
          </w:p>
        </w:tc>
        <w:tc>
          <w:tcPr>
            <w:tcW w:w="0" w:type="auto"/>
            <w:gridSpan w:val="3"/>
            <w:shd w:val="clear" w:color="auto" w:fill="auto"/>
          </w:tcPr>
          <w:p w14:paraId="5EA23C06" w14:textId="77777777" w:rsidR="003C66EB" w:rsidRDefault="003C66EB">
            <w:pPr>
              <w:rPr>
                <w:rFonts w:ascii="宋体"/>
                <w:vanish/>
              </w:rPr>
            </w:pPr>
          </w:p>
        </w:tc>
        <w:tc>
          <w:tcPr>
            <w:tcW w:w="0" w:type="auto"/>
            <w:gridSpan w:val="3"/>
            <w:shd w:val="clear" w:color="auto" w:fill="auto"/>
          </w:tcPr>
          <w:p w14:paraId="5EA23C07" w14:textId="77777777" w:rsidR="003C66EB" w:rsidRDefault="003C66EB">
            <w:pPr>
              <w:rPr>
                <w:rFonts w:ascii="宋体"/>
                <w:vanish/>
              </w:rPr>
            </w:pPr>
          </w:p>
        </w:tc>
      </w:tr>
      <w:tr w:rsidR="003C66EB" w14:paraId="5EA23C19" w14:textId="77777777">
        <w:trPr>
          <w:hidden/>
        </w:trPr>
        <w:tc>
          <w:tcPr>
            <w:tcW w:w="0" w:type="auto"/>
            <w:gridSpan w:val="3"/>
            <w:shd w:val="clear" w:color="auto" w:fill="auto"/>
          </w:tcPr>
          <w:p w14:paraId="5EA23C09" w14:textId="77777777" w:rsidR="003C66EB" w:rsidRDefault="003C66EB">
            <w:pPr>
              <w:rPr>
                <w:rFonts w:ascii="宋体"/>
                <w:vanish/>
              </w:rPr>
            </w:pPr>
          </w:p>
        </w:tc>
        <w:tc>
          <w:tcPr>
            <w:tcW w:w="0" w:type="auto"/>
            <w:gridSpan w:val="3"/>
            <w:shd w:val="clear" w:color="auto" w:fill="auto"/>
          </w:tcPr>
          <w:p w14:paraId="5EA23C0A" w14:textId="77777777" w:rsidR="003C66EB" w:rsidRDefault="003C66EB">
            <w:pPr>
              <w:rPr>
                <w:rFonts w:ascii="宋体"/>
                <w:vanish/>
              </w:rPr>
            </w:pPr>
          </w:p>
        </w:tc>
        <w:tc>
          <w:tcPr>
            <w:tcW w:w="0" w:type="auto"/>
            <w:gridSpan w:val="3"/>
            <w:shd w:val="clear" w:color="auto" w:fill="auto"/>
          </w:tcPr>
          <w:p w14:paraId="5EA23C0B" w14:textId="77777777" w:rsidR="003C66EB" w:rsidRDefault="003C66EB">
            <w:pPr>
              <w:rPr>
                <w:rFonts w:ascii="宋体"/>
                <w:vanish/>
              </w:rPr>
            </w:pPr>
          </w:p>
        </w:tc>
        <w:tc>
          <w:tcPr>
            <w:tcW w:w="0" w:type="auto"/>
            <w:gridSpan w:val="3"/>
            <w:shd w:val="clear" w:color="auto" w:fill="auto"/>
          </w:tcPr>
          <w:p w14:paraId="5EA23C0C" w14:textId="77777777" w:rsidR="003C66EB" w:rsidRDefault="003C66EB">
            <w:pPr>
              <w:rPr>
                <w:rFonts w:ascii="宋体"/>
                <w:vanish/>
              </w:rPr>
            </w:pPr>
          </w:p>
        </w:tc>
        <w:tc>
          <w:tcPr>
            <w:tcW w:w="0" w:type="auto"/>
            <w:gridSpan w:val="3"/>
            <w:shd w:val="clear" w:color="auto" w:fill="auto"/>
          </w:tcPr>
          <w:p w14:paraId="5EA23C0D" w14:textId="77777777" w:rsidR="003C66EB" w:rsidRDefault="003C66EB">
            <w:pPr>
              <w:rPr>
                <w:rFonts w:ascii="宋体"/>
                <w:vanish/>
              </w:rPr>
            </w:pPr>
          </w:p>
        </w:tc>
        <w:tc>
          <w:tcPr>
            <w:tcW w:w="0" w:type="auto"/>
            <w:gridSpan w:val="3"/>
            <w:shd w:val="clear" w:color="auto" w:fill="auto"/>
          </w:tcPr>
          <w:p w14:paraId="5EA23C0E" w14:textId="77777777" w:rsidR="003C66EB" w:rsidRDefault="003C66EB">
            <w:pPr>
              <w:rPr>
                <w:rFonts w:ascii="宋体"/>
                <w:vanish/>
              </w:rPr>
            </w:pPr>
          </w:p>
        </w:tc>
        <w:tc>
          <w:tcPr>
            <w:tcW w:w="0" w:type="auto"/>
            <w:gridSpan w:val="3"/>
            <w:shd w:val="clear" w:color="auto" w:fill="auto"/>
          </w:tcPr>
          <w:p w14:paraId="5EA23C0F" w14:textId="77777777" w:rsidR="003C66EB" w:rsidRDefault="003C66EB">
            <w:pPr>
              <w:rPr>
                <w:rFonts w:ascii="宋体"/>
                <w:vanish/>
              </w:rPr>
            </w:pPr>
          </w:p>
        </w:tc>
        <w:tc>
          <w:tcPr>
            <w:tcW w:w="0" w:type="auto"/>
            <w:gridSpan w:val="3"/>
            <w:shd w:val="clear" w:color="auto" w:fill="auto"/>
          </w:tcPr>
          <w:p w14:paraId="5EA23C10" w14:textId="77777777" w:rsidR="003C66EB" w:rsidRDefault="003C66EB">
            <w:pPr>
              <w:rPr>
                <w:rFonts w:ascii="宋体"/>
                <w:vanish/>
              </w:rPr>
            </w:pPr>
          </w:p>
        </w:tc>
        <w:tc>
          <w:tcPr>
            <w:tcW w:w="0" w:type="auto"/>
            <w:gridSpan w:val="3"/>
            <w:shd w:val="clear" w:color="auto" w:fill="auto"/>
          </w:tcPr>
          <w:p w14:paraId="5EA23C11" w14:textId="77777777" w:rsidR="003C66EB" w:rsidRDefault="003C66EB">
            <w:pPr>
              <w:rPr>
                <w:rFonts w:ascii="宋体"/>
                <w:vanish/>
              </w:rPr>
            </w:pPr>
          </w:p>
        </w:tc>
        <w:tc>
          <w:tcPr>
            <w:tcW w:w="0" w:type="auto"/>
            <w:gridSpan w:val="3"/>
            <w:shd w:val="clear" w:color="auto" w:fill="auto"/>
          </w:tcPr>
          <w:p w14:paraId="5EA23C12" w14:textId="77777777" w:rsidR="003C66EB" w:rsidRDefault="003C66EB">
            <w:pPr>
              <w:rPr>
                <w:rFonts w:ascii="宋体"/>
                <w:vanish/>
              </w:rPr>
            </w:pPr>
          </w:p>
        </w:tc>
        <w:tc>
          <w:tcPr>
            <w:tcW w:w="0" w:type="auto"/>
            <w:gridSpan w:val="3"/>
            <w:shd w:val="clear" w:color="auto" w:fill="auto"/>
          </w:tcPr>
          <w:p w14:paraId="5EA23C13" w14:textId="77777777" w:rsidR="003C66EB" w:rsidRDefault="003C66EB">
            <w:pPr>
              <w:rPr>
                <w:rFonts w:ascii="宋体"/>
                <w:vanish/>
              </w:rPr>
            </w:pPr>
          </w:p>
        </w:tc>
        <w:tc>
          <w:tcPr>
            <w:tcW w:w="0" w:type="auto"/>
            <w:gridSpan w:val="3"/>
            <w:shd w:val="clear" w:color="auto" w:fill="auto"/>
          </w:tcPr>
          <w:p w14:paraId="5EA23C14" w14:textId="77777777" w:rsidR="003C66EB" w:rsidRDefault="003C66EB">
            <w:pPr>
              <w:rPr>
                <w:rFonts w:ascii="宋体"/>
                <w:vanish/>
              </w:rPr>
            </w:pPr>
          </w:p>
        </w:tc>
        <w:tc>
          <w:tcPr>
            <w:tcW w:w="0" w:type="auto"/>
            <w:gridSpan w:val="3"/>
            <w:shd w:val="clear" w:color="auto" w:fill="auto"/>
          </w:tcPr>
          <w:p w14:paraId="5EA23C15" w14:textId="77777777" w:rsidR="003C66EB" w:rsidRDefault="003C66EB">
            <w:pPr>
              <w:rPr>
                <w:rFonts w:ascii="宋体"/>
                <w:vanish/>
              </w:rPr>
            </w:pPr>
          </w:p>
        </w:tc>
        <w:tc>
          <w:tcPr>
            <w:tcW w:w="0" w:type="auto"/>
            <w:gridSpan w:val="3"/>
            <w:shd w:val="clear" w:color="auto" w:fill="auto"/>
          </w:tcPr>
          <w:p w14:paraId="5EA23C16" w14:textId="77777777" w:rsidR="003C66EB" w:rsidRDefault="003C66EB">
            <w:pPr>
              <w:rPr>
                <w:rFonts w:ascii="宋体"/>
                <w:vanish/>
              </w:rPr>
            </w:pPr>
          </w:p>
        </w:tc>
        <w:tc>
          <w:tcPr>
            <w:tcW w:w="0" w:type="auto"/>
            <w:gridSpan w:val="3"/>
            <w:shd w:val="clear" w:color="auto" w:fill="auto"/>
          </w:tcPr>
          <w:p w14:paraId="5EA23C17" w14:textId="77777777" w:rsidR="003C66EB" w:rsidRDefault="003C66EB">
            <w:pPr>
              <w:rPr>
                <w:rFonts w:ascii="宋体"/>
                <w:vanish/>
              </w:rPr>
            </w:pPr>
          </w:p>
        </w:tc>
        <w:tc>
          <w:tcPr>
            <w:tcW w:w="0" w:type="auto"/>
            <w:gridSpan w:val="3"/>
            <w:shd w:val="clear" w:color="auto" w:fill="auto"/>
          </w:tcPr>
          <w:p w14:paraId="5EA23C18" w14:textId="77777777" w:rsidR="003C66EB" w:rsidRDefault="003C66EB">
            <w:pPr>
              <w:rPr>
                <w:rFonts w:ascii="宋体"/>
                <w:vanish/>
              </w:rPr>
            </w:pPr>
          </w:p>
        </w:tc>
      </w:tr>
      <w:tr w:rsidR="003C66EB" w14:paraId="5EA23C2A" w14:textId="77777777">
        <w:trPr>
          <w:hidden/>
        </w:trPr>
        <w:tc>
          <w:tcPr>
            <w:tcW w:w="0" w:type="auto"/>
            <w:gridSpan w:val="3"/>
            <w:shd w:val="clear" w:color="auto" w:fill="auto"/>
          </w:tcPr>
          <w:p w14:paraId="5EA23C1A" w14:textId="77777777" w:rsidR="003C66EB" w:rsidRDefault="003C66EB">
            <w:pPr>
              <w:rPr>
                <w:rFonts w:ascii="宋体"/>
                <w:vanish/>
              </w:rPr>
            </w:pPr>
          </w:p>
        </w:tc>
        <w:tc>
          <w:tcPr>
            <w:tcW w:w="0" w:type="auto"/>
            <w:gridSpan w:val="3"/>
            <w:shd w:val="clear" w:color="auto" w:fill="auto"/>
          </w:tcPr>
          <w:p w14:paraId="5EA23C1B" w14:textId="77777777" w:rsidR="003C66EB" w:rsidRDefault="003C66EB">
            <w:pPr>
              <w:rPr>
                <w:rFonts w:ascii="宋体"/>
                <w:vanish/>
              </w:rPr>
            </w:pPr>
          </w:p>
        </w:tc>
        <w:tc>
          <w:tcPr>
            <w:tcW w:w="0" w:type="auto"/>
            <w:gridSpan w:val="3"/>
            <w:shd w:val="clear" w:color="auto" w:fill="auto"/>
          </w:tcPr>
          <w:p w14:paraId="5EA23C1C" w14:textId="77777777" w:rsidR="003C66EB" w:rsidRDefault="003C66EB">
            <w:pPr>
              <w:rPr>
                <w:rFonts w:ascii="宋体"/>
                <w:vanish/>
              </w:rPr>
            </w:pPr>
          </w:p>
        </w:tc>
        <w:tc>
          <w:tcPr>
            <w:tcW w:w="0" w:type="auto"/>
            <w:gridSpan w:val="3"/>
            <w:shd w:val="clear" w:color="auto" w:fill="auto"/>
          </w:tcPr>
          <w:p w14:paraId="5EA23C1D" w14:textId="77777777" w:rsidR="003C66EB" w:rsidRDefault="003C66EB">
            <w:pPr>
              <w:rPr>
                <w:rFonts w:ascii="宋体"/>
                <w:vanish/>
              </w:rPr>
            </w:pPr>
          </w:p>
        </w:tc>
        <w:tc>
          <w:tcPr>
            <w:tcW w:w="0" w:type="auto"/>
            <w:gridSpan w:val="3"/>
            <w:shd w:val="clear" w:color="auto" w:fill="auto"/>
          </w:tcPr>
          <w:p w14:paraId="5EA23C1E" w14:textId="77777777" w:rsidR="003C66EB" w:rsidRDefault="003C66EB">
            <w:pPr>
              <w:rPr>
                <w:rFonts w:ascii="宋体"/>
                <w:vanish/>
              </w:rPr>
            </w:pPr>
          </w:p>
        </w:tc>
        <w:tc>
          <w:tcPr>
            <w:tcW w:w="0" w:type="auto"/>
            <w:gridSpan w:val="3"/>
            <w:shd w:val="clear" w:color="auto" w:fill="auto"/>
          </w:tcPr>
          <w:p w14:paraId="5EA23C1F" w14:textId="77777777" w:rsidR="003C66EB" w:rsidRDefault="003C66EB">
            <w:pPr>
              <w:rPr>
                <w:rFonts w:ascii="宋体"/>
                <w:vanish/>
              </w:rPr>
            </w:pPr>
          </w:p>
        </w:tc>
        <w:tc>
          <w:tcPr>
            <w:tcW w:w="0" w:type="auto"/>
            <w:gridSpan w:val="3"/>
            <w:shd w:val="clear" w:color="auto" w:fill="auto"/>
          </w:tcPr>
          <w:p w14:paraId="5EA23C20" w14:textId="77777777" w:rsidR="003C66EB" w:rsidRDefault="003C66EB">
            <w:pPr>
              <w:rPr>
                <w:rFonts w:ascii="宋体"/>
                <w:vanish/>
              </w:rPr>
            </w:pPr>
          </w:p>
        </w:tc>
        <w:tc>
          <w:tcPr>
            <w:tcW w:w="0" w:type="auto"/>
            <w:gridSpan w:val="3"/>
            <w:shd w:val="clear" w:color="auto" w:fill="auto"/>
          </w:tcPr>
          <w:p w14:paraId="5EA23C21" w14:textId="77777777" w:rsidR="003C66EB" w:rsidRDefault="003C66EB">
            <w:pPr>
              <w:rPr>
                <w:rFonts w:ascii="宋体"/>
                <w:vanish/>
              </w:rPr>
            </w:pPr>
          </w:p>
        </w:tc>
        <w:tc>
          <w:tcPr>
            <w:tcW w:w="0" w:type="auto"/>
            <w:gridSpan w:val="3"/>
            <w:shd w:val="clear" w:color="auto" w:fill="auto"/>
          </w:tcPr>
          <w:p w14:paraId="5EA23C22" w14:textId="77777777" w:rsidR="003C66EB" w:rsidRDefault="003C66EB">
            <w:pPr>
              <w:rPr>
                <w:rFonts w:ascii="宋体"/>
                <w:vanish/>
              </w:rPr>
            </w:pPr>
          </w:p>
        </w:tc>
        <w:tc>
          <w:tcPr>
            <w:tcW w:w="0" w:type="auto"/>
            <w:gridSpan w:val="3"/>
            <w:shd w:val="clear" w:color="auto" w:fill="auto"/>
          </w:tcPr>
          <w:p w14:paraId="5EA23C23" w14:textId="77777777" w:rsidR="003C66EB" w:rsidRDefault="003C66EB">
            <w:pPr>
              <w:rPr>
                <w:rFonts w:ascii="宋体"/>
                <w:vanish/>
              </w:rPr>
            </w:pPr>
          </w:p>
        </w:tc>
        <w:tc>
          <w:tcPr>
            <w:tcW w:w="0" w:type="auto"/>
            <w:gridSpan w:val="3"/>
            <w:shd w:val="clear" w:color="auto" w:fill="auto"/>
          </w:tcPr>
          <w:p w14:paraId="5EA23C24" w14:textId="77777777" w:rsidR="003C66EB" w:rsidRDefault="003C66EB">
            <w:pPr>
              <w:rPr>
                <w:rFonts w:ascii="宋体"/>
                <w:vanish/>
              </w:rPr>
            </w:pPr>
          </w:p>
        </w:tc>
        <w:tc>
          <w:tcPr>
            <w:tcW w:w="0" w:type="auto"/>
            <w:gridSpan w:val="3"/>
            <w:shd w:val="clear" w:color="auto" w:fill="auto"/>
          </w:tcPr>
          <w:p w14:paraId="5EA23C25" w14:textId="77777777" w:rsidR="003C66EB" w:rsidRDefault="003C66EB">
            <w:pPr>
              <w:rPr>
                <w:rFonts w:ascii="宋体"/>
                <w:vanish/>
              </w:rPr>
            </w:pPr>
          </w:p>
        </w:tc>
        <w:tc>
          <w:tcPr>
            <w:tcW w:w="0" w:type="auto"/>
            <w:gridSpan w:val="3"/>
            <w:shd w:val="clear" w:color="auto" w:fill="auto"/>
          </w:tcPr>
          <w:p w14:paraId="5EA23C26" w14:textId="77777777" w:rsidR="003C66EB" w:rsidRDefault="003C66EB">
            <w:pPr>
              <w:rPr>
                <w:rFonts w:ascii="宋体"/>
                <w:vanish/>
              </w:rPr>
            </w:pPr>
          </w:p>
        </w:tc>
        <w:tc>
          <w:tcPr>
            <w:tcW w:w="0" w:type="auto"/>
            <w:gridSpan w:val="3"/>
            <w:shd w:val="clear" w:color="auto" w:fill="auto"/>
          </w:tcPr>
          <w:p w14:paraId="5EA23C27" w14:textId="77777777" w:rsidR="003C66EB" w:rsidRDefault="003C66EB">
            <w:pPr>
              <w:rPr>
                <w:rFonts w:ascii="宋体"/>
                <w:vanish/>
              </w:rPr>
            </w:pPr>
          </w:p>
        </w:tc>
        <w:tc>
          <w:tcPr>
            <w:tcW w:w="0" w:type="auto"/>
            <w:gridSpan w:val="3"/>
            <w:shd w:val="clear" w:color="auto" w:fill="auto"/>
          </w:tcPr>
          <w:p w14:paraId="5EA23C28" w14:textId="77777777" w:rsidR="003C66EB" w:rsidRDefault="003C66EB">
            <w:pPr>
              <w:rPr>
                <w:rFonts w:ascii="宋体"/>
                <w:vanish/>
              </w:rPr>
            </w:pPr>
          </w:p>
        </w:tc>
        <w:tc>
          <w:tcPr>
            <w:tcW w:w="0" w:type="auto"/>
            <w:gridSpan w:val="3"/>
            <w:shd w:val="clear" w:color="auto" w:fill="auto"/>
          </w:tcPr>
          <w:p w14:paraId="5EA23C29" w14:textId="77777777" w:rsidR="003C66EB" w:rsidRDefault="003C66EB">
            <w:pPr>
              <w:rPr>
                <w:rFonts w:ascii="宋体"/>
                <w:vanish/>
              </w:rPr>
            </w:pPr>
          </w:p>
        </w:tc>
      </w:tr>
      <w:tr w:rsidR="003C66EB" w14:paraId="5EA23C43" w14:textId="77777777">
        <w:tc>
          <w:tcPr>
            <w:tcW w:w="0" w:type="auto"/>
            <w:gridSpan w:val="3"/>
            <w:shd w:val="clear" w:color="auto" w:fill="CCEEFF"/>
            <w:tcMar>
              <w:top w:w="40" w:type="dxa"/>
              <w:left w:w="515" w:type="dxa"/>
              <w:bottom w:w="40" w:type="dxa"/>
              <w:right w:w="20" w:type="dxa"/>
            </w:tcMar>
            <w:vAlign w:val="bottom"/>
          </w:tcPr>
          <w:p w14:paraId="5EA23C2B" w14:textId="77777777" w:rsidR="003C66EB" w:rsidRDefault="00D96C4E">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2C" w14:textId="77777777" w:rsidR="003C66EB" w:rsidRDefault="00D96C4E">
            <w:pPr>
              <w:jc w:val="right"/>
              <w:textAlignment w:val="bottom"/>
            </w:pPr>
            <w:r>
              <w:rPr>
                <w:rFonts w:ascii="Arial" w:eastAsia="宋体" w:hAnsi="Arial" w:cs="Arial"/>
                <w:b/>
                <w:bCs/>
                <w:color w:val="000000"/>
                <w:sz w:val="15"/>
                <w:szCs w:val="15"/>
              </w:rPr>
              <w:t>5,271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2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2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2F" w14:textId="77777777" w:rsidR="003C66EB" w:rsidRDefault="00D96C4E">
            <w:pPr>
              <w:jc w:val="right"/>
              <w:textAlignment w:val="bottom"/>
            </w:pPr>
            <w:r>
              <w:rPr>
                <w:rFonts w:ascii="Arial" w:eastAsia="宋体" w:hAnsi="Arial" w:cs="Arial"/>
                <w:b/>
                <w:bCs/>
                <w:color w:val="000000"/>
                <w:sz w:val="15"/>
                <w:szCs w:val="15"/>
              </w:rPr>
              <w:t>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3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3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32" w14:textId="77777777" w:rsidR="003C66EB" w:rsidRDefault="00D96C4E">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3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3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35" w14:textId="77777777" w:rsidR="003C66EB" w:rsidRDefault="00D96C4E">
            <w:pPr>
              <w:jc w:val="right"/>
              <w:textAlignment w:val="bottom"/>
            </w:pPr>
            <w:r>
              <w:rPr>
                <w:rFonts w:ascii="Arial" w:eastAsia="宋体" w:hAnsi="Arial" w:cs="Arial"/>
                <w:b/>
                <w:bCs/>
                <w:color w:val="000000"/>
                <w:sz w:val="15"/>
                <w:szCs w:val="15"/>
              </w:rPr>
              <w:t>5,325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3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3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38" w14:textId="77777777" w:rsidR="003C66EB" w:rsidRDefault="00D96C4E">
            <w:pPr>
              <w:jc w:val="right"/>
              <w:textAlignment w:val="bottom"/>
            </w:pPr>
            <w:r>
              <w:rPr>
                <w:rFonts w:ascii="Arial" w:eastAsia="宋体" w:hAnsi="Arial" w:cs="Arial"/>
                <w:color w:val="000000"/>
                <w:sz w:val="15"/>
                <w:szCs w:val="15"/>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3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3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3B" w14:textId="77777777" w:rsidR="003C66EB" w:rsidRDefault="00D96C4E">
            <w:pPr>
              <w:jc w:val="right"/>
              <w:textAlignment w:val="bottom"/>
            </w:pPr>
            <w:r>
              <w:rPr>
                <w:rFonts w:ascii="Arial" w:eastAsia="宋体" w:hAnsi="Arial" w:cs="Arial"/>
                <w:color w:val="000000"/>
                <w:sz w:val="15"/>
                <w:szCs w:val="15"/>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3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3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3E" w14:textId="77777777" w:rsidR="003C66EB" w:rsidRDefault="00D96C4E">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4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41" w14:textId="77777777" w:rsidR="003C66EB" w:rsidRDefault="00D96C4E">
            <w:pPr>
              <w:jc w:val="right"/>
              <w:textAlignment w:val="bottom"/>
            </w:pPr>
            <w:r>
              <w:rPr>
                <w:rFonts w:ascii="Arial" w:eastAsia="宋体" w:hAnsi="Arial" w:cs="Arial"/>
                <w:color w:val="000000"/>
                <w:sz w:val="15"/>
                <w:szCs w:val="15"/>
              </w:rPr>
              <w:t>5,365 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42" w14:textId="77777777" w:rsidR="003C66EB" w:rsidRDefault="003C66EB">
            <w:pPr>
              <w:jc w:val="right"/>
              <w:rPr>
                <w:rFonts w:ascii="宋体"/>
              </w:rPr>
            </w:pPr>
          </w:p>
        </w:tc>
      </w:tr>
      <w:tr w:rsidR="003C66EB" w14:paraId="5EA23C54" w14:textId="77777777">
        <w:tc>
          <w:tcPr>
            <w:tcW w:w="0" w:type="auto"/>
            <w:gridSpan w:val="3"/>
            <w:shd w:val="clear" w:color="auto" w:fill="FFFFFF"/>
            <w:tcMar>
              <w:top w:w="40" w:type="dxa"/>
              <w:left w:w="20" w:type="dxa"/>
              <w:bottom w:w="40" w:type="dxa"/>
              <w:right w:w="20" w:type="dxa"/>
            </w:tcMar>
            <w:vAlign w:val="bottom"/>
          </w:tcPr>
          <w:p w14:paraId="5EA23C44" w14:textId="77777777" w:rsidR="003C66EB" w:rsidRDefault="00D96C4E">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3C4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46"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4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48"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4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4A"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4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4C"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4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4E"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4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50"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5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C52"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C53" w14:textId="77777777" w:rsidR="003C66EB" w:rsidRDefault="003C66EB">
            <w:pPr>
              <w:rPr>
                <w:rFonts w:ascii="宋体"/>
              </w:rPr>
            </w:pPr>
          </w:p>
        </w:tc>
      </w:tr>
      <w:tr w:rsidR="003C66EB" w14:paraId="5EA23C6D" w14:textId="77777777">
        <w:tc>
          <w:tcPr>
            <w:tcW w:w="0" w:type="auto"/>
            <w:gridSpan w:val="3"/>
            <w:shd w:val="clear" w:color="auto" w:fill="CCEEFF"/>
            <w:tcMar>
              <w:top w:w="40" w:type="dxa"/>
              <w:left w:w="245" w:type="dxa"/>
              <w:bottom w:w="40" w:type="dxa"/>
              <w:right w:w="20" w:type="dxa"/>
            </w:tcMar>
            <w:vAlign w:val="bottom"/>
          </w:tcPr>
          <w:p w14:paraId="5EA23C55" w14:textId="77777777" w:rsidR="003C66EB" w:rsidRDefault="00D96C4E">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EA23C56" w14:textId="77777777" w:rsidR="003C66EB" w:rsidRDefault="00D96C4E">
            <w:pPr>
              <w:jc w:val="right"/>
              <w:textAlignment w:val="bottom"/>
            </w:pPr>
            <w:r>
              <w:rPr>
                <w:rFonts w:ascii="Arial" w:eastAsia="宋体" w:hAnsi="Arial" w:cs="Arial"/>
                <w:b/>
                <w:bCs/>
                <w:color w:val="000000"/>
                <w:sz w:val="15"/>
                <w:szCs w:val="15"/>
              </w:rPr>
              <w:t>286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C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5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59" w14:textId="77777777" w:rsidR="003C66EB" w:rsidRDefault="00D96C4E">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C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5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5C" w14:textId="77777777" w:rsidR="003C66EB" w:rsidRDefault="00D96C4E">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C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5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5F" w14:textId="77777777" w:rsidR="003C66EB" w:rsidRDefault="00D96C4E">
            <w:pPr>
              <w:jc w:val="right"/>
              <w:textAlignment w:val="bottom"/>
            </w:pPr>
            <w:r>
              <w:rPr>
                <w:rFonts w:ascii="Arial" w:eastAsia="宋体" w:hAnsi="Arial" w:cs="Arial"/>
                <w:b/>
                <w:bCs/>
                <w:color w:val="000000"/>
                <w:sz w:val="15"/>
                <w:szCs w:val="15"/>
              </w:rPr>
              <w:t>353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C6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6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62" w14:textId="77777777" w:rsidR="003C66EB" w:rsidRDefault="00D96C4E">
            <w:pPr>
              <w:jc w:val="right"/>
              <w:textAlignment w:val="bottom"/>
            </w:pPr>
            <w:r>
              <w:rPr>
                <w:rFonts w:ascii="Arial" w:eastAsia="宋体" w:hAnsi="Arial" w:cs="Arial"/>
                <w:color w:val="000000"/>
                <w:sz w:val="15"/>
                <w:szCs w:val="15"/>
              </w:rPr>
              <w:t>303 </w:t>
            </w:r>
          </w:p>
        </w:tc>
        <w:tc>
          <w:tcPr>
            <w:tcW w:w="0" w:type="auto"/>
            <w:shd w:val="clear" w:color="auto" w:fill="CCEEFF"/>
            <w:tcMar>
              <w:top w:w="40" w:type="dxa"/>
              <w:left w:w="0" w:type="dxa"/>
              <w:bottom w:w="40" w:type="dxa"/>
              <w:right w:w="20" w:type="dxa"/>
            </w:tcMar>
            <w:vAlign w:val="bottom"/>
          </w:tcPr>
          <w:p w14:paraId="5EA23C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6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65" w14:textId="77777777" w:rsidR="003C66EB" w:rsidRDefault="00D96C4E">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5EA23C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6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68"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A23C6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6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C6B" w14:textId="77777777" w:rsidR="003C66EB" w:rsidRDefault="00D96C4E">
            <w:pPr>
              <w:jc w:val="right"/>
              <w:textAlignment w:val="bottom"/>
            </w:pPr>
            <w:r>
              <w:rPr>
                <w:rFonts w:ascii="Arial" w:eastAsia="宋体" w:hAnsi="Arial" w:cs="Arial"/>
                <w:color w:val="000000"/>
                <w:sz w:val="15"/>
                <w:szCs w:val="15"/>
              </w:rPr>
              <w:t>367 </w:t>
            </w:r>
          </w:p>
        </w:tc>
        <w:tc>
          <w:tcPr>
            <w:tcW w:w="0" w:type="auto"/>
            <w:shd w:val="clear" w:color="auto" w:fill="CCEEFF"/>
            <w:tcMar>
              <w:top w:w="40" w:type="dxa"/>
              <w:left w:w="0" w:type="dxa"/>
              <w:bottom w:w="40" w:type="dxa"/>
              <w:right w:w="20" w:type="dxa"/>
            </w:tcMar>
            <w:vAlign w:val="bottom"/>
          </w:tcPr>
          <w:p w14:paraId="5EA23C6C" w14:textId="77777777" w:rsidR="003C66EB" w:rsidRDefault="003C66EB">
            <w:pPr>
              <w:jc w:val="right"/>
              <w:rPr>
                <w:rFonts w:ascii="宋体"/>
              </w:rPr>
            </w:pPr>
          </w:p>
        </w:tc>
      </w:tr>
      <w:tr w:rsidR="003C66EB" w14:paraId="5EA23C7E" w14:textId="77777777">
        <w:trPr>
          <w:hidden/>
        </w:trPr>
        <w:tc>
          <w:tcPr>
            <w:tcW w:w="0" w:type="auto"/>
            <w:gridSpan w:val="3"/>
            <w:shd w:val="clear" w:color="auto" w:fill="auto"/>
          </w:tcPr>
          <w:p w14:paraId="5EA23C6E" w14:textId="77777777" w:rsidR="003C66EB" w:rsidRDefault="003C66EB">
            <w:pPr>
              <w:rPr>
                <w:rFonts w:ascii="宋体"/>
                <w:vanish/>
              </w:rPr>
            </w:pPr>
          </w:p>
        </w:tc>
        <w:tc>
          <w:tcPr>
            <w:tcW w:w="0" w:type="auto"/>
            <w:gridSpan w:val="3"/>
            <w:shd w:val="clear" w:color="auto" w:fill="auto"/>
          </w:tcPr>
          <w:p w14:paraId="5EA23C6F" w14:textId="77777777" w:rsidR="003C66EB" w:rsidRDefault="003C66EB">
            <w:pPr>
              <w:rPr>
                <w:rFonts w:ascii="宋体"/>
                <w:vanish/>
              </w:rPr>
            </w:pPr>
          </w:p>
        </w:tc>
        <w:tc>
          <w:tcPr>
            <w:tcW w:w="0" w:type="auto"/>
            <w:gridSpan w:val="3"/>
            <w:shd w:val="clear" w:color="auto" w:fill="auto"/>
          </w:tcPr>
          <w:p w14:paraId="5EA23C70" w14:textId="77777777" w:rsidR="003C66EB" w:rsidRDefault="003C66EB">
            <w:pPr>
              <w:rPr>
                <w:rFonts w:ascii="宋体"/>
                <w:vanish/>
              </w:rPr>
            </w:pPr>
          </w:p>
        </w:tc>
        <w:tc>
          <w:tcPr>
            <w:tcW w:w="0" w:type="auto"/>
            <w:gridSpan w:val="3"/>
            <w:shd w:val="clear" w:color="auto" w:fill="auto"/>
          </w:tcPr>
          <w:p w14:paraId="5EA23C71" w14:textId="77777777" w:rsidR="003C66EB" w:rsidRDefault="003C66EB">
            <w:pPr>
              <w:rPr>
                <w:rFonts w:ascii="宋体"/>
                <w:vanish/>
              </w:rPr>
            </w:pPr>
          </w:p>
        </w:tc>
        <w:tc>
          <w:tcPr>
            <w:tcW w:w="0" w:type="auto"/>
            <w:gridSpan w:val="3"/>
            <w:shd w:val="clear" w:color="auto" w:fill="auto"/>
          </w:tcPr>
          <w:p w14:paraId="5EA23C72" w14:textId="77777777" w:rsidR="003C66EB" w:rsidRDefault="003C66EB">
            <w:pPr>
              <w:rPr>
                <w:rFonts w:ascii="宋体"/>
                <w:vanish/>
              </w:rPr>
            </w:pPr>
          </w:p>
        </w:tc>
        <w:tc>
          <w:tcPr>
            <w:tcW w:w="0" w:type="auto"/>
            <w:gridSpan w:val="3"/>
            <w:shd w:val="clear" w:color="auto" w:fill="auto"/>
          </w:tcPr>
          <w:p w14:paraId="5EA23C73" w14:textId="77777777" w:rsidR="003C66EB" w:rsidRDefault="003C66EB">
            <w:pPr>
              <w:rPr>
                <w:rFonts w:ascii="宋体"/>
                <w:vanish/>
              </w:rPr>
            </w:pPr>
          </w:p>
        </w:tc>
        <w:tc>
          <w:tcPr>
            <w:tcW w:w="0" w:type="auto"/>
            <w:gridSpan w:val="3"/>
            <w:shd w:val="clear" w:color="auto" w:fill="auto"/>
          </w:tcPr>
          <w:p w14:paraId="5EA23C74" w14:textId="77777777" w:rsidR="003C66EB" w:rsidRDefault="003C66EB">
            <w:pPr>
              <w:rPr>
                <w:rFonts w:ascii="宋体"/>
                <w:vanish/>
              </w:rPr>
            </w:pPr>
          </w:p>
        </w:tc>
        <w:tc>
          <w:tcPr>
            <w:tcW w:w="0" w:type="auto"/>
            <w:gridSpan w:val="3"/>
            <w:shd w:val="clear" w:color="auto" w:fill="auto"/>
          </w:tcPr>
          <w:p w14:paraId="5EA23C75" w14:textId="77777777" w:rsidR="003C66EB" w:rsidRDefault="003C66EB">
            <w:pPr>
              <w:rPr>
                <w:rFonts w:ascii="宋体"/>
                <w:vanish/>
              </w:rPr>
            </w:pPr>
          </w:p>
        </w:tc>
        <w:tc>
          <w:tcPr>
            <w:tcW w:w="0" w:type="auto"/>
            <w:gridSpan w:val="3"/>
            <w:shd w:val="clear" w:color="auto" w:fill="auto"/>
          </w:tcPr>
          <w:p w14:paraId="5EA23C76" w14:textId="77777777" w:rsidR="003C66EB" w:rsidRDefault="003C66EB">
            <w:pPr>
              <w:rPr>
                <w:rFonts w:ascii="宋体"/>
                <w:vanish/>
              </w:rPr>
            </w:pPr>
          </w:p>
        </w:tc>
        <w:tc>
          <w:tcPr>
            <w:tcW w:w="0" w:type="auto"/>
            <w:gridSpan w:val="3"/>
            <w:shd w:val="clear" w:color="auto" w:fill="auto"/>
          </w:tcPr>
          <w:p w14:paraId="5EA23C77" w14:textId="77777777" w:rsidR="003C66EB" w:rsidRDefault="003C66EB">
            <w:pPr>
              <w:rPr>
                <w:rFonts w:ascii="宋体"/>
                <w:vanish/>
              </w:rPr>
            </w:pPr>
          </w:p>
        </w:tc>
        <w:tc>
          <w:tcPr>
            <w:tcW w:w="0" w:type="auto"/>
            <w:gridSpan w:val="3"/>
            <w:shd w:val="clear" w:color="auto" w:fill="auto"/>
          </w:tcPr>
          <w:p w14:paraId="5EA23C78" w14:textId="77777777" w:rsidR="003C66EB" w:rsidRDefault="003C66EB">
            <w:pPr>
              <w:rPr>
                <w:rFonts w:ascii="宋体"/>
                <w:vanish/>
              </w:rPr>
            </w:pPr>
          </w:p>
        </w:tc>
        <w:tc>
          <w:tcPr>
            <w:tcW w:w="0" w:type="auto"/>
            <w:gridSpan w:val="3"/>
            <w:shd w:val="clear" w:color="auto" w:fill="auto"/>
          </w:tcPr>
          <w:p w14:paraId="5EA23C79" w14:textId="77777777" w:rsidR="003C66EB" w:rsidRDefault="003C66EB">
            <w:pPr>
              <w:rPr>
                <w:rFonts w:ascii="宋体"/>
                <w:vanish/>
              </w:rPr>
            </w:pPr>
          </w:p>
        </w:tc>
        <w:tc>
          <w:tcPr>
            <w:tcW w:w="0" w:type="auto"/>
            <w:gridSpan w:val="3"/>
            <w:shd w:val="clear" w:color="auto" w:fill="auto"/>
          </w:tcPr>
          <w:p w14:paraId="5EA23C7A" w14:textId="77777777" w:rsidR="003C66EB" w:rsidRDefault="003C66EB">
            <w:pPr>
              <w:rPr>
                <w:rFonts w:ascii="宋体"/>
                <w:vanish/>
              </w:rPr>
            </w:pPr>
          </w:p>
        </w:tc>
        <w:tc>
          <w:tcPr>
            <w:tcW w:w="0" w:type="auto"/>
            <w:gridSpan w:val="3"/>
            <w:shd w:val="clear" w:color="auto" w:fill="auto"/>
          </w:tcPr>
          <w:p w14:paraId="5EA23C7B" w14:textId="77777777" w:rsidR="003C66EB" w:rsidRDefault="003C66EB">
            <w:pPr>
              <w:rPr>
                <w:rFonts w:ascii="宋体"/>
                <w:vanish/>
              </w:rPr>
            </w:pPr>
          </w:p>
        </w:tc>
        <w:tc>
          <w:tcPr>
            <w:tcW w:w="0" w:type="auto"/>
            <w:gridSpan w:val="3"/>
            <w:shd w:val="clear" w:color="auto" w:fill="auto"/>
          </w:tcPr>
          <w:p w14:paraId="5EA23C7C" w14:textId="77777777" w:rsidR="003C66EB" w:rsidRDefault="003C66EB">
            <w:pPr>
              <w:rPr>
                <w:rFonts w:ascii="宋体"/>
                <w:vanish/>
              </w:rPr>
            </w:pPr>
          </w:p>
        </w:tc>
        <w:tc>
          <w:tcPr>
            <w:tcW w:w="0" w:type="auto"/>
            <w:gridSpan w:val="3"/>
            <w:shd w:val="clear" w:color="auto" w:fill="auto"/>
          </w:tcPr>
          <w:p w14:paraId="5EA23C7D" w14:textId="77777777" w:rsidR="003C66EB" w:rsidRDefault="003C66EB">
            <w:pPr>
              <w:rPr>
                <w:rFonts w:ascii="宋体"/>
                <w:vanish/>
              </w:rPr>
            </w:pPr>
          </w:p>
        </w:tc>
      </w:tr>
      <w:tr w:rsidR="003C66EB" w14:paraId="5EA23C97" w14:textId="77777777">
        <w:tc>
          <w:tcPr>
            <w:tcW w:w="0" w:type="auto"/>
            <w:gridSpan w:val="3"/>
            <w:shd w:val="clear" w:color="auto" w:fill="FFFFFF"/>
            <w:tcMar>
              <w:top w:w="40" w:type="dxa"/>
              <w:left w:w="245" w:type="dxa"/>
              <w:bottom w:w="40" w:type="dxa"/>
              <w:right w:w="20" w:type="dxa"/>
            </w:tcMar>
            <w:vAlign w:val="bottom"/>
          </w:tcPr>
          <w:p w14:paraId="5EA23C7F" w14:textId="77777777" w:rsidR="003C66EB" w:rsidRDefault="00D96C4E">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5EA23C80" w14:textId="77777777" w:rsidR="003C66EB" w:rsidRDefault="00D96C4E">
            <w:pPr>
              <w:jc w:val="right"/>
              <w:textAlignment w:val="bottom"/>
            </w:pPr>
            <w:r>
              <w:rPr>
                <w:rFonts w:ascii="Arial" w:eastAsia="宋体" w:hAnsi="Arial" w:cs="Arial"/>
                <w:b/>
                <w:bCs/>
                <w:color w:val="000000"/>
                <w:sz w:val="15"/>
                <w:szCs w:val="15"/>
              </w:rPr>
              <w:t>246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C8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8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83"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C8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8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8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C8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8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89" w14:textId="77777777" w:rsidR="003C66EB" w:rsidRDefault="00D96C4E">
            <w:pPr>
              <w:jc w:val="right"/>
              <w:textAlignment w:val="bottom"/>
            </w:pPr>
            <w:r>
              <w:rPr>
                <w:rFonts w:ascii="Arial" w:eastAsia="宋体" w:hAnsi="Arial" w:cs="Arial"/>
                <w:b/>
                <w:bCs/>
                <w:color w:val="000000"/>
                <w:sz w:val="15"/>
                <w:szCs w:val="15"/>
              </w:rPr>
              <w:t>246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C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8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8C" w14:textId="77777777" w:rsidR="003C66EB" w:rsidRDefault="00D96C4E">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5EA23C8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8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8F"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C9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9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92"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3C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9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C95" w14:textId="77777777" w:rsidR="003C66EB" w:rsidRDefault="00D96C4E">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5EA23C96" w14:textId="77777777" w:rsidR="003C66EB" w:rsidRDefault="003C66EB">
            <w:pPr>
              <w:jc w:val="right"/>
              <w:rPr>
                <w:rFonts w:ascii="宋体"/>
              </w:rPr>
            </w:pPr>
          </w:p>
        </w:tc>
      </w:tr>
      <w:tr w:rsidR="003C66EB" w14:paraId="5EA23CA8" w14:textId="77777777">
        <w:trPr>
          <w:hidden/>
        </w:trPr>
        <w:tc>
          <w:tcPr>
            <w:tcW w:w="0" w:type="auto"/>
            <w:gridSpan w:val="3"/>
            <w:shd w:val="clear" w:color="auto" w:fill="auto"/>
          </w:tcPr>
          <w:p w14:paraId="5EA23C98" w14:textId="77777777" w:rsidR="003C66EB" w:rsidRDefault="003C66EB">
            <w:pPr>
              <w:rPr>
                <w:rFonts w:ascii="宋体"/>
                <w:vanish/>
              </w:rPr>
            </w:pPr>
          </w:p>
        </w:tc>
        <w:tc>
          <w:tcPr>
            <w:tcW w:w="0" w:type="auto"/>
            <w:gridSpan w:val="3"/>
            <w:shd w:val="clear" w:color="auto" w:fill="auto"/>
          </w:tcPr>
          <w:p w14:paraId="5EA23C99" w14:textId="77777777" w:rsidR="003C66EB" w:rsidRDefault="003C66EB">
            <w:pPr>
              <w:rPr>
                <w:rFonts w:ascii="宋体"/>
                <w:vanish/>
              </w:rPr>
            </w:pPr>
          </w:p>
        </w:tc>
        <w:tc>
          <w:tcPr>
            <w:tcW w:w="0" w:type="auto"/>
            <w:gridSpan w:val="3"/>
            <w:shd w:val="clear" w:color="auto" w:fill="auto"/>
          </w:tcPr>
          <w:p w14:paraId="5EA23C9A" w14:textId="77777777" w:rsidR="003C66EB" w:rsidRDefault="003C66EB">
            <w:pPr>
              <w:rPr>
                <w:rFonts w:ascii="宋体"/>
                <w:vanish/>
              </w:rPr>
            </w:pPr>
          </w:p>
        </w:tc>
        <w:tc>
          <w:tcPr>
            <w:tcW w:w="0" w:type="auto"/>
            <w:gridSpan w:val="3"/>
            <w:shd w:val="clear" w:color="auto" w:fill="auto"/>
          </w:tcPr>
          <w:p w14:paraId="5EA23C9B" w14:textId="77777777" w:rsidR="003C66EB" w:rsidRDefault="003C66EB">
            <w:pPr>
              <w:rPr>
                <w:rFonts w:ascii="宋体"/>
                <w:vanish/>
              </w:rPr>
            </w:pPr>
          </w:p>
        </w:tc>
        <w:tc>
          <w:tcPr>
            <w:tcW w:w="0" w:type="auto"/>
            <w:gridSpan w:val="3"/>
            <w:shd w:val="clear" w:color="auto" w:fill="auto"/>
          </w:tcPr>
          <w:p w14:paraId="5EA23C9C" w14:textId="77777777" w:rsidR="003C66EB" w:rsidRDefault="003C66EB">
            <w:pPr>
              <w:rPr>
                <w:rFonts w:ascii="宋体"/>
                <w:vanish/>
              </w:rPr>
            </w:pPr>
          </w:p>
        </w:tc>
        <w:tc>
          <w:tcPr>
            <w:tcW w:w="0" w:type="auto"/>
            <w:gridSpan w:val="3"/>
            <w:shd w:val="clear" w:color="auto" w:fill="auto"/>
          </w:tcPr>
          <w:p w14:paraId="5EA23C9D" w14:textId="77777777" w:rsidR="003C66EB" w:rsidRDefault="003C66EB">
            <w:pPr>
              <w:rPr>
                <w:rFonts w:ascii="宋体"/>
                <w:vanish/>
              </w:rPr>
            </w:pPr>
          </w:p>
        </w:tc>
        <w:tc>
          <w:tcPr>
            <w:tcW w:w="0" w:type="auto"/>
            <w:gridSpan w:val="3"/>
            <w:shd w:val="clear" w:color="auto" w:fill="auto"/>
          </w:tcPr>
          <w:p w14:paraId="5EA23C9E" w14:textId="77777777" w:rsidR="003C66EB" w:rsidRDefault="003C66EB">
            <w:pPr>
              <w:rPr>
                <w:rFonts w:ascii="宋体"/>
                <w:vanish/>
              </w:rPr>
            </w:pPr>
          </w:p>
        </w:tc>
        <w:tc>
          <w:tcPr>
            <w:tcW w:w="0" w:type="auto"/>
            <w:gridSpan w:val="3"/>
            <w:shd w:val="clear" w:color="auto" w:fill="auto"/>
          </w:tcPr>
          <w:p w14:paraId="5EA23C9F" w14:textId="77777777" w:rsidR="003C66EB" w:rsidRDefault="003C66EB">
            <w:pPr>
              <w:rPr>
                <w:rFonts w:ascii="宋体"/>
                <w:vanish/>
              </w:rPr>
            </w:pPr>
          </w:p>
        </w:tc>
        <w:tc>
          <w:tcPr>
            <w:tcW w:w="0" w:type="auto"/>
            <w:gridSpan w:val="3"/>
            <w:shd w:val="clear" w:color="auto" w:fill="auto"/>
          </w:tcPr>
          <w:p w14:paraId="5EA23CA0" w14:textId="77777777" w:rsidR="003C66EB" w:rsidRDefault="003C66EB">
            <w:pPr>
              <w:rPr>
                <w:rFonts w:ascii="宋体"/>
                <w:vanish/>
              </w:rPr>
            </w:pPr>
          </w:p>
        </w:tc>
        <w:tc>
          <w:tcPr>
            <w:tcW w:w="0" w:type="auto"/>
            <w:gridSpan w:val="3"/>
            <w:shd w:val="clear" w:color="auto" w:fill="auto"/>
          </w:tcPr>
          <w:p w14:paraId="5EA23CA1" w14:textId="77777777" w:rsidR="003C66EB" w:rsidRDefault="003C66EB">
            <w:pPr>
              <w:rPr>
                <w:rFonts w:ascii="宋体"/>
                <w:vanish/>
              </w:rPr>
            </w:pPr>
          </w:p>
        </w:tc>
        <w:tc>
          <w:tcPr>
            <w:tcW w:w="0" w:type="auto"/>
            <w:gridSpan w:val="3"/>
            <w:shd w:val="clear" w:color="auto" w:fill="auto"/>
          </w:tcPr>
          <w:p w14:paraId="5EA23CA2" w14:textId="77777777" w:rsidR="003C66EB" w:rsidRDefault="003C66EB">
            <w:pPr>
              <w:rPr>
                <w:rFonts w:ascii="宋体"/>
                <w:vanish/>
              </w:rPr>
            </w:pPr>
          </w:p>
        </w:tc>
        <w:tc>
          <w:tcPr>
            <w:tcW w:w="0" w:type="auto"/>
            <w:gridSpan w:val="3"/>
            <w:shd w:val="clear" w:color="auto" w:fill="auto"/>
          </w:tcPr>
          <w:p w14:paraId="5EA23CA3" w14:textId="77777777" w:rsidR="003C66EB" w:rsidRDefault="003C66EB">
            <w:pPr>
              <w:rPr>
                <w:rFonts w:ascii="宋体"/>
                <w:vanish/>
              </w:rPr>
            </w:pPr>
          </w:p>
        </w:tc>
        <w:tc>
          <w:tcPr>
            <w:tcW w:w="0" w:type="auto"/>
            <w:gridSpan w:val="3"/>
            <w:shd w:val="clear" w:color="auto" w:fill="auto"/>
          </w:tcPr>
          <w:p w14:paraId="5EA23CA4" w14:textId="77777777" w:rsidR="003C66EB" w:rsidRDefault="003C66EB">
            <w:pPr>
              <w:rPr>
                <w:rFonts w:ascii="宋体"/>
                <w:vanish/>
              </w:rPr>
            </w:pPr>
          </w:p>
        </w:tc>
        <w:tc>
          <w:tcPr>
            <w:tcW w:w="0" w:type="auto"/>
            <w:gridSpan w:val="3"/>
            <w:shd w:val="clear" w:color="auto" w:fill="auto"/>
          </w:tcPr>
          <w:p w14:paraId="5EA23CA5" w14:textId="77777777" w:rsidR="003C66EB" w:rsidRDefault="003C66EB">
            <w:pPr>
              <w:rPr>
                <w:rFonts w:ascii="宋体"/>
                <w:vanish/>
              </w:rPr>
            </w:pPr>
          </w:p>
        </w:tc>
        <w:tc>
          <w:tcPr>
            <w:tcW w:w="0" w:type="auto"/>
            <w:gridSpan w:val="3"/>
            <w:shd w:val="clear" w:color="auto" w:fill="auto"/>
          </w:tcPr>
          <w:p w14:paraId="5EA23CA6" w14:textId="77777777" w:rsidR="003C66EB" w:rsidRDefault="003C66EB">
            <w:pPr>
              <w:rPr>
                <w:rFonts w:ascii="宋体"/>
                <w:vanish/>
              </w:rPr>
            </w:pPr>
          </w:p>
        </w:tc>
        <w:tc>
          <w:tcPr>
            <w:tcW w:w="0" w:type="auto"/>
            <w:gridSpan w:val="3"/>
            <w:shd w:val="clear" w:color="auto" w:fill="auto"/>
          </w:tcPr>
          <w:p w14:paraId="5EA23CA7" w14:textId="77777777" w:rsidR="003C66EB" w:rsidRDefault="003C66EB">
            <w:pPr>
              <w:rPr>
                <w:rFonts w:ascii="宋体"/>
                <w:vanish/>
              </w:rPr>
            </w:pPr>
          </w:p>
        </w:tc>
      </w:tr>
      <w:tr w:rsidR="003C66EB" w14:paraId="5EA23CC1" w14:textId="77777777">
        <w:tc>
          <w:tcPr>
            <w:tcW w:w="0" w:type="auto"/>
            <w:gridSpan w:val="3"/>
            <w:shd w:val="clear" w:color="auto" w:fill="CCEEFF"/>
            <w:tcMar>
              <w:top w:w="40" w:type="dxa"/>
              <w:left w:w="380" w:type="dxa"/>
              <w:bottom w:w="40" w:type="dxa"/>
              <w:right w:w="20" w:type="dxa"/>
            </w:tcMar>
            <w:vAlign w:val="bottom"/>
          </w:tcPr>
          <w:p w14:paraId="5EA23CA9" w14:textId="77777777" w:rsidR="003C66EB" w:rsidRDefault="00D96C4E">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AA" w14:textId="77777777" w:rsidR="003C66EB" w:rsidRDefault="00D96C4E">
            <w:pPr>
              <w:jc w:val="right"/>
              <w:textAlignment w:val="bottom"/>
            </w:pPr>
            <w:r>
              <w:rPr>
                <w:rFonts w:ascii="Arial" w:eastAsia="宋体" w:hAnsi="Arial" w:cs="Arial"/>
                <w:b/>
                <w:bCs/>
                <w:color w:val="000000"/>
                <w:sz w:val="15"/>
                <w:szCs w:val="15"/>
              </w:rPr>
              <w:t>532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A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AD" w14:textId="77777777" w:rsidR="003C66EB" w:rsidRDefault="00D96C4E">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A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B0" w14:textId="77777777" w:rsidR="003C66EB" w:rsidRDefault="00D96C4E">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B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B3" w14:textId="77777777" w:rsidR="003C66EB" w:rsidRDefault="00D96C4E">
            <w:pPr>
              <w:jc w:val="right"/>
              <w:textAlignment w:val="bottom"/>
            </w:pPr>
            <w:r>
              <w:rPr>
                <w:rFonts w:ascii="Arial" w:eastAsia="宋体" w:hAnsi="Arial" w:cs="Arial"/>
                <w:b/>
                <w:bCs/>
                <w:color w:val="000000"/>
                <w:sz w:val="15"/>
                <w:szCs w:val="15"/>
              </w:rPr>
              <w:t>599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B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B6" w14:textId="77777777" w:rsidR="003C66EB" w:rsidRDefault="00D96C4E">
            <w:pPr>
              <w:jc w:val="right"/>
              <w:textAlignment w:val="bottom"/>
            </w:pPr>
            <w:r>
              <w:rPr>
                <w:rFonts w:ascii="Arial" w:eastAsia="宋体" w:hAnsi="Arial" w:cs="Arial"/>
                <w:color w:val="000000"/>
                <w:sz w:val="15"/>
                <w:szCs w:val="15"/>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B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B9" w14:textId="77777777" w:rsidR="003C66EB" w:rsidRDefault="00D96C4E">
            <w:pPr>
              <w:jc w:val="right"/>
              <w:textAlignment w:val="bottom"/>
            </w:pPr>
            <w:r>
              <w:rPr>
                <w:rFonts w:ascii="Arial" w:eastAsia="宋体" w:hAnsi="Arial" w:cs="Arial"/>
                <w:color w:val="000000"/>
                <w:sz w:val="15"/>
                <w:szCs w:val="15"/>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B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BC" w14:textId="77777777" w:rsidR="003C66EB" w:rsidRDefault="00D96C4E">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B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CB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CBF" w14:textId="77777777" w:rsidR="003C66EB" w:rsidRDefault="00D96C4E">
            <w:pPr>
              <w:jc w:val="right"/>
              <w:textAlignment w:val="bottom"/>
            </w:pPr>
            <w:r>
              <w:rPr>
                <w:rFonts w:ascii="Arial" w:eastAsia="宋体" w:hAnsi="Arial" w:cs="Arial"/>
                <w:color w:val="000000"/>
                <w:sz w:val="15"/>
                <w:szCs w:val="15"/>
              </w:rPr>
              <w:t>709 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CC0" w14:textId="77777777" w:rsidR="003C66EB" w:rsidRDefault="003C66EB">
            <w:pPr>
              <w:jc w:val="right"/>
              <w:rPr>
                <w:rFonts w:ascii="宋体"/>
              </w:rPr>
            </w:pPr>
          </w:p>
        </w:tc>
      </w:tr>
      <w:tr w:rsidR="003C66EB" w14:paraId="5EA23CD2" w14:textId="77777777">
        <w:trPr>
          <w:hidden/>
        </w:trPr>
        <w:tc>
          <w:tcPr>
            <w:tcW w:w="0" w:type="auto"/>
            <w:gridSpan w:val="3"/>
            <w:shd w:val="clear" w:color="auto" w:fill="auto"/>
          </w:tcPr>
          <w:p w14:paraId="5EA23CC2" w14:textId="77777777" w:rsidR="003C66EB" w:rsidRDefault="003C66EB">
            <w:pPr>
              <w:rPr>
                <w:rFonts w:ascii="宋体"/>
                <w:vanish/>
              </w:rPr>
            </w:pPr>
          </w:p>
        </w:tc>
        <w:tc>
          <w:tcPr>
            <w:tcW w:w="0" w:type="auto"/>
            <w:gridSpan w:val="3"/>
            <w:shd w:val="clear" w:color="auto" w:fill="auto"/>
          </w:tcPr>
          <w:p w14:paraId="5EA23CC3" w14:textId="77777777" w:rsidR="003C66EB" w:rsidRDefault="003C66EB">
            <w:pPr>
              <w:rPr>
                <w:rFonts w:ascii="宋体"/>
                <w:vanish/>
              </w:rPr>
            </w:pPr>
          </w:p>
        </w:tc>
        <w:tc>
          <w:tcPr>
            <w:tcW w:w="0" w:type="auto"/>
            <w:gridSpan w:val="3"/>
            <w:shd w:val="clear" w:color="auto" w:fill="auto"/>
          </w:tcPr>
          <w:p w14:paraId="5EA23CC4" w14:textId="77777777" w:rsidR="003C66EB" w:rsidRDefault="003C66EB">
            <w:pPr>
              <w:rPr>
                <w:rFonts w:ascii="宋体"/>
                <w:vanish/>
              </w:rPr>
            </w:pPr>
          </w:p>
        </w:tc>
        <w:tc>
          <w:tcPr>
            <w:tcW w:w="0" w:type="auto"/>
            <w:gridSpan w:val="3"/>
            <w:shd w:val="clear" w:color="auto" w:fill="auto"/>
          </w:tcPr>
          <w:p w14:paraId="5EA23CC5" w14:textId="77777777" w:rsidR="003C66EB" w:rsidRDefault="003C66EB">
            <w:pPr>
              <w:rPr>
                <w:rFonts w:ascii="宋体"/>
                <w:vanish/>
              </w:rPr>
            </w:pPr>
          </w:p>
        </w:tc>
        <w:tc>
          <w:tcPr>
            <w:tcW w:w="0" w:type="auto"/>
            <w:gridSpan w:val="3"/>
            <w:shd w:val="clear" w:color="auto" w:fill="auto"/>
          </w:tcPr>
          <w:p w14:paraId="5EA23CC6" w14:textId="77777777" w:rsidR="003C66EB" w:rsidRDefault="003C66EB">
            <w:pPr>
              <w:rPr>
                <w:rFonts w:ascii="宋体"/>
                <w:vanish/>
              </w:rPr>
            </w:pPr>
          </w:p>
        </w:tc>
        <w:tc>
          <w:tcPr>
            <w:tcW w:w="0" w:type="auto"/>
            <w:gridSpan w:val="3"/>
            <w:shd w:val="clear" w:color="auto" w:fill="auto"/>
          </w:tcPr>
          <w:p w14:paraId="5EA23CC7" w14:textId="77777777" w:rsidR="003C66EB" w:rsidRDefault="003C66EB">
            <w:pPr>
              <w:rPr>
                <w:rFonts w:ascii="宋体"/>
                <w:vanish/>
              </w:rPr>
            </w:pPr>
          </w:p>
        </w:tc>
        <w:tc>
          <w:tcPr>
            <w:tcW w:w="0" w:type="auto"/>
            <w:gridSpan w:val="3"/>
            <w:shd w:val="clear" w:color="auto" w:fill="auto"/>
          </w:tcPr>
          <w:p w14:paraId="5EA23CC8" w14:textId="77777777" w:rsidR="003C66EB" w:rsidRDefault="003C66EB">
            <w:pPr>
              <w:rPr>
                <w:rFonts w:ascii="宋体"/>
                <w:vanish/>
              </w:rPr>
            </w:pPr>
          </w:p>
        </w:tc>
        <w:tc>
          <w:tcPr>
            <w:tcW w:w="0" w:type="auto"/>
            <w:gridSpan w:val="3"/>
            <w:shd w:val="clear" w:color="auto" w:fill="auto"/>
          </w:tcPr>
          <w:p w14:paraId="5EA23CC9" w14:textId="77777777" w:rsidR="003C66EB" w:rsidRDefault="003C66EB">
            <w:pPr>
              <w:rPr>
                <w:rFonts w:ascii="宋体"/>
                <w:vanish/>
              </w:rPr>
            </w:pPr>
          </w:p>
        </w:tc>
        <w:tc>
          <w:tcPr>
            <w:tcW w:w="0" w:type="auto"/>
            <w:gridSpan w:val="3"/>
            <w:shd w:val="clear" w:color="auto" w:fill="auto"/>
          </w:tcPr>
          <w:p w14:paraId="5EA23CCA" w14:textId="77777777" w:rsidR="003C66EB" w:rsidRDefault="003C66EB">
            <w:pPr>
              <w:rPr>
                <w:rFonts w:ascii="宋体"/>
                <w:vanish/>
              </w:rPr>
            </w:pPr>
          </w:p>
        </w:tc>
        <w:tc>
          <w:tcPr>
            <w:tcW w:w="0" w:type="auto"/>
            <w:gridSpan w:val="3"/>
            <w:shd w:val="clear" w:color="auto" w:fill="auto"/>
          </w:tcPr>
          <w:p w14:paraId="5EA23CCB" w14:textId="77777777" w:rsidR="003C66EB" w:rsidRDefault="003C66EB">
            <w:pPr>
              <w:rPr>
                <w:rFonts w:ascii="宋体"/>
                <w:vanish/>
              </w:rPr>
            </w:pPr>
          </w:p>
        </w:tc>
        <w:tc>
          <w:tcPr>
            <w:tcW w:w="0" w:type="auto"/>
            <w:gridSpan w:val="3"/>
            <w:shd w:val="clear" w:color="auto" w:fill="auto"/>
          </w:tcPr>
          <w:p w14:paraId="5EA23CCC" w14:textId="77777777" w:rsidR="003C66EB" w:rsidRDefault="003C66EB">
            <w:pPr>
              <w:rPr>
                <w:rFonts w:ascii="宋体"/>
                <w:vanish/>
              </w:rPr>
            </w:pPr>
          </w:p>
        </w:tc>
        <w:tc>
          <w:tcPr>
            <w:tcW w:w="0" w:type="auto"/>
            <w:gridSpan w:val="3"/>
            <w:shd w:val="clear" w:color="auto" w:fill="auto"/>
          </w:tcPr>
          <w:p w14:paraId="5EA23CCD" w14:textId="77777777" w:rsidR="003C66EB" w:rsidRDefault="003C66EB">
            <w:pPr>
              <w:rPr>
                <w:rFonts w:ascii="宋体"/>
                <w:vanish/>
              </w:rPr>
            </w:pPr>
          </w:p>
        </w:tc>
        <w:tc>
          <w:tcPr>
            <w:tcW w:w="0" w:type="auto"/>
            <w:gridSpan w:val="3"/>
            <w:shd w:val="clear" w:color="auto" w:fill="auto"/>
          </w:tcPr>
          <w:p w14:paraId="5EA23CCE" w14:textId="77777777" w:rsidR="003C66EB" w:rsidRDefault="003C66EB">
            <w:pPr>
              <w:rPr>
                <w:rFonts w:ascii="宋体"/>
                <w:vanish/>
              </w:rPr>
            </w:pPr>
          </w:p>
        </w:tc>
        <w:tc>
          <w:tcPr>
            <w:tcW w:w="0" w:type="auto"/>
            <w:gridSpan w:val="3"/>
            <w:shd w:val="clear" w:color="auto" w:fill="auto"/>
          </w:tcPr>
          <w:p w14:paraId="5EA23CCF" w14:textId="77777777" w:rsidR="003C66EB" w:rsidRDefault="003C66EB">
            <w:pPr>
              <w:rPr>
                <w:rFonts w:ascii="宋体"/>
                <w:vanish/>
              </w:rPr>
            </w:pPr>
          </w:p>
        </w:tc>
        <w:tc>
          <w:tcPr>
            <w:tcW w:w="0" w:type="auto"/>
            <w:gridSpan w:val="3"/>
            <w:shd w:val="clear" w:color="auto" w:fill="auto"/>
          </w:tcPr>
          <w:p w14:paraId="5EA23CD0" w14:textId="77777777" w:rsidR="003C66EB" w:rsidRDefault="003C66EB">
            <w:pPr>
              <w:rPr>
                <w:rFonts w:ascii="宋体"/>
                <w:vanish/>
              </w:rPr>
            </w:pPr>
          </w:p>
        </w:tc>
        <w:tc>
          <w:tcPr>
            <w:tcW w:w="0" w:type="auto"/>
            <w:gridSpan w:val="3"/>
            <w:shd w:val="clear" w:color="auto" w:fill="auto"/>
          </w:tcPr>
          <w:p w14:paraId="5EA23CD1" w14:textId="77777777" w:rsidR="003C66EB" w:rsidRDefault="003C66EB">
            <w:pPr>
              <w:rPr>
                <w:rFonts w:ascii="宋体"/>
                <w:vanish/>
              </w:rPr>
            </w:pPr>
          </w:p>
        </w:tc>
      </w:tr>
      <w:tr w:rsidR="003C66EB" w14:paraId="5EA23CE3" w14:textId="77777777">
        <w:trPr>
          <w:hidden/>
        </w:trPr>
        <w:tc>
          <w:tcPr>
            <w:tcW w:w="0" w:type="auto"/>
            <w:gridSpan w:val="3"/>
            <w:shd w:val="clear" w:color="auto" w:fill="auto"/>
          </w:tcPr>
          <w:p w14:paraId="5EA23CD3" w14:textId="77777777" w:rsidR="003C66EB" w:rsidRDefault="003C66EB">
            <w:pPr>
              <w:rPr>
                <w:rFonts w:ascii="宋体"/>
                <w:vanish/>
              </w:rPr>
            </w:pPr>
          </w:p>
        </w:tc>
        <w:tc>
          <w:tcPr>
            <w:tcW w:w="0" w:type="auto"/>
            <w:gridSpan w:val="3"/>
            <w:shd w:val="clear" w:color="auto" w:fill="auto"/>
          </w:tcPr>
          <w:p w14:paraId="5EA23CD4" w14:textId="77777777" w:rsidR="003C66EB" w:rsidRDefault="003C66EB">
            <w:pPr>
              <w:rPr>
                <w:rFonts w:ascii="宋体"/>
                <w:vanish/>
              </w:rPr>
            </w:pPr>
          </w:p>
        </w:tc>
        <w:tc>
          <w:tcPr>
            <w:tcW w:w="0" w:type="auto"/>
            <w:gridSpan w:val="3"/>
            <w:shd w:val="clear" w:color="auto" w:fill="auto"/>
          </w:tcPr>
          <w:p w14:paraId="5EA23CD5" w14:textId="77777777" w:rsidR="003C66EB" w:rsidRDefault="003C66EB">
            <w:pPr>
              <w:rPr>
                <w:rFonts w:ascii="宋体"/>
                <w:vanish/>
              </w:rPr>
            </w:pPr>
          </w:p>
        </w:tc>
        <w:tc>
          <w:tcPr>
            <w:tcW w:w="0" w:type="auto"/>
            <w:gridSpan w:val="3"/>
            <w:shd w:val="clear" w:color="auto" w:fill="auto"/>
          </w:tcPr>
          <w:p w14:paraId="5EA23CD6" w14:textId="77777777" w:rsidR="003C66EB" w:rsidRDefault="003C66EB">
            <w:pPr>
              <w:rPr>
                <w:rFonts w:ascii="宋体"/>
                <w:vanish/>
              </w:rPr>
            </w:pPr>
          </w:p>
        </w:tc>
        <w:tc>
          <w:tcPr>
            <w:tcW w:w="0" w:type="auto"/>
            <w:gridSpan w:val="3"/>
            <w:shd w:val="clear" w:color="auto" w:fill="auto"/>
          </w:tcPr>
          <w:p w14:paraId="5EA23CD7" w14:textId="77777777" w:rsidR="003C66EB" w:rsidRDefault="003C66EB">
            <w:pPr>
              <w:rPr>
                <w:rFonts w:ascii="宋体"/>
                <w:vanish/>
              </w:rPr>
            </w:pPr>
          </w:p>
        </w:tc>
        <w:tc>
          <w:tcPr>
            <w:tcW w:w="0" w:type="auto"/>
            <w:gridSpan w:val="3"/>
            <w:shd w:val="clear" w:color="auto" w:fill="auto"/>
          </w:tcPr>
          <w:p w14:paraId="5EA23CD8" w14:textId="77777777" w:rsidR="003C66EB" w:rsidRDefault="003C66EB">
            <w:pPr>
              <w:rPr>
                <w:rFonts w:ascii="宋体"/>
                <w:vanish/>
              </w:rPr>
            </w:pPr>
          </w:p>
        </w:tc>
        <w:tc>
          <w:tcPr>
            <w:tcW w:w="0" w:type="auto"/>
            <w:gridSpan w:val="3"/>
            <w:shd w:val="clear" w:color="auto" w:fill="auto"/>
          </w:tcPr>
          <w:p w14:paraId="5EA23CD9" w14:textId="77777777" w:rsidR="003C66EB" w:rsidRDefault="003C66EB">
            <w:pPr>
              <w:rPr>
                <w:rFonts w:ascii="宋体"/>
                <w:vanish/>
              </w:rPr>
            </w:pPr>
          </w:p>
        </w:tc>
        <w:tc>
          <w:tcPr>
            <w:tcW w:w="0" w:type="auto"/>
            <w:gridSpan w:val="3"/>
            <w:shd w:val="clear" w:color="auto" w:fill="auto"/>
          </w:tcPr>
          <w:p w14:paraId="5EA23CDA" w14:textId="77777777" w:rsidR="003C66EB" w:rsidRDefault="003C66EB">
            <w:pPr>
              <w:rPr>
                <w:rFonts w:ascii="宋体"/>
                <w:vanish/>
              </w:rPr>
            </w:pPr>
          </w:p>
        </w:tc>
        <w:tc>
          <w:tcPr>
            <w:tcW w:w="0" w:type="auto"/>
            <w:gridSpan w:val="3"/>
            <w:shd w:val="clear" w:color="auto" w:fill="auto"/>
          </w:tcPr>
          <w:p w14:paraId="5EA23CDB" w14:textId="77777777" w:rsidR="003C66EB" w:rsidRDefault="003C66EB">
            <w:pPr>
              <w:rPr>
                <w:rFonts w:ascii="宋体"/>
                <w:vanish/>
              </w:rPr>
            </w:pPr>
          </w:p>
        </w:tc>
        <w:tc>
          <w:tcPr>
            <w:tcW w:w="0" w:type="auto"/>
            <w:gridSpan w:val="3"/>
            <w:shd w:val="clear" w:color="auto" w:fill="auto"/>
          </w:tcPr>
          <w:p w14:paraId="5EA23CDC" w14:textId="77777777" w:rsidR="003C66EB" w:rsidRDefault="003C66EB">
            <w:pPr>
              <w:rPr>
                <w:rFonts w:ascii="宋体"/>
                <w:vanish/>
              </w:rPr>
            </w:pPr>
          </w:p>
        </w:tc>
        <w:tc>
          <w:tcPr>
            <w:tcW w:w="0" w:type="auto"/>
            <w:gridSpan w:val="3"/>
            <w:shd w:val="clear" w:color="auto" w:fill="auto"/>
          </w:tcPr>
          <w:p w14:paraId="5EA23CDD" w14:textId="77777777" w:rsidR="003C66EB" w:rsidRDefault="003C66EB">
            <w:pPr>
              <w:rPr>
                <w:rFonts w:ascii="宋体"/>
                <w:vanish/>
              </w:rPr>
            </w:pPr>
          </w:p>
        </w:tc>
        <w:tc>
          <w:tcPr>
            <w:tcW w:w="0" w:type="auto"/>
            <w:gridSpan w:val="3"/>
            <w:shd w:val="clear" w:color="auto" w:fill="auto"/>
          </w:tcPr>
          <w:p w14:paraId="5EA23CDE" w14:textId="77777777" w:rsidR="003C66EB" w:rsidRDefault="003C66EB">
            <w:pPr>
              <w:rPr>
                <w:rFonts w:ascii="宋体"/>
                <w:vanish/>
              </w:rPr>
            </w:pPr>
          </w:p>
        </w:tc>
        <w:tc>
          <w:tcPr>
            <w:tcW w:w="0" w:type="auto"/>
            <w:gridSpan w:val="3"/>
            <w:shd w:val="clear" w:color="auto" w:fill="auto"/>
          </w:tcPr>
          <w:p w14:paraId="5EA23CDF" w14:textId="77777777" w:rsidR="003C66EB" w:rsidRDefault="003C66EB">
            <w:pPr>
              <w:rPr>
                <w:rFonts w:ascii="宋体"/>
                <w:vanish/>
              </w:rPr>
            </w:pPr>
          </w:p>
        </w:tc>
        <w:tc>
          <w:tcPr>
            <w:tcW w:w="0" w:type="auto"/>
            <w:gridSpan w:val="3"/>
            <w:shd w:val="clear" w:color="auto" w:fill="auto"/>
          </w:tcPr>
          <w:p w14:paraId="5EA23CE0" w14:textId="77777777" w:rsidR="003C66EB" w:rsidRDefault="003C66EB">
            <w:pPr>
              <w:rPr>
                <w:rFonts w:ascii="宋体"/>
                <w:vanish/>
              </w:rPr>
            </w:pPr>
          </w:p>
        </w:tc>
        <w:tc>
          <w:tcPr>
            <w:tcW w:w="0" w:type="auto"/>
            <w:gridSpan w:val="3"/>
            <w:shd w:val="clear" w:color="auto" w:fill="auto"/>
          </w:tcPr>
          <w:p w14:paraId="5EA23CE1" w14:textId="77777777" w:rsidR="003C66EB" w:rsidRDefault="003C66EB">
            <w:pPr>
              <w:rPr>
                <w:rFonts w:ascii="宋体"/>
                <w:vanish/>
              </w:rPr>
            </w:pPr>
          </w:p>
        </w:tc>
        <w:tc>
          <w:tcPr>
            <w:tcW w:w="0" w:type="auto"/>
            <w:gridSpan w:val="3"/>
            <w:shd w:val="clear" w:color="auto" w:fill="auto"/>
          </w:tcPr>
          <w:p w14:paraId="5EA23CE2" w14:textId="77777777" w:rsidR="003C66EB" w:rsidRDefault="003C66EB">
            <w:pPr>
              <w:rPr>
                <w:rFonts w:ascii="宋体"/>
                <w:vanish/>
              </w:rPr>
            </w:pPr>
          </w:p>
        </w:tc>
      </w:tr>
      <w:tr w:rsidR="003C66EB" w14:paraId="5EA23CFC" w14:textId="77777777">
        <w:tc>
          <w:tcPr>
            <w:tcW w:w="0" w:type="auto"/>
            <w:gridSpan w:val="3"/>
            <w:shd w:val="clear" w:color="auto" w:fill="FFFFFF"/>
            <w:tcMar>
              <w:top w:w="40" w:type="dxa"/>
              <w:left w:w="20" w:type="dxa"/>
              <w:bottom w:w="40" w:type="dxa"/>
              <w:right w:w="20" w:type="dxa"/>
            </w:tcMar>
            <w:vAlign w:val="bottom"/>
          </w:tcPr>
          <w:p w14:paraId="5EA23CE4" w14:textId="77777777" w:rsidR="003C66EB" w:rsidRDefault="00D96C4E">
            <w:pPr>
              <w:textAlignment w:val="bottom"/>
            </w:pPr>
            <w:r>
              <w:rPr>
                <w:rFonts w:ascii="Arial" w:eastAsia="宋体" w:hAnsi="Arial" w:cs="Arial"/>
                <w:color w:val="000000"/>
                <w:sz w:val="15"/>
                <w:szCs w:val="15"/>
              </w:rPr>
              <w:t>Total</w:t>
            </w:r>
            <w:r>
              <w:rPr>
                <w:rFonts w:ascii="Arial" w:eastAsia="宋体" w:hAnsi="Arial" w:cs="Arial"/>
                <w:color w:val="000000"/>
                <w:sz w:val="9"/>
                <w:szCs w:val="9"/>
              </w:rPr>
              <w:t>(5)(7)</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E5" w14:textId="77777777" w:rsidR="003C66EB" w:rsidRDefault="00D96C4E">
            <w:pPr>
              <w:jc w:val="right"/>
              <w:textAlignment w:val="bottom"/>
            </w:pPr>
            <w:r>
              <w:rPr>
                <w:rFonts w:ascii="Arial" w:eastAsia="宋体" w:hAnsi="Arial" w:cs="Arial"/>
                <w:b/>
                <w:bCs/>
                <w:color w:val="000000"/>
                <w:sz w:val="15"/>
                <w:szCs w:val="15"/>
              </w:rPr>
              <w:t>46,263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E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E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E8" w14:textId="77777777" w:rsidR="003C66EB" w:rsidRDefault="00D96C4E">
            <w:pPr>
              <w:jc w:val="right"/>
              <w:textAlignment w:val="bottom"/>
            </w:pPr>
            <w:r>
              <w:rPr>
                <w:rFonts w:ascii="Arial" w:eastAsia="宋体" w:hAnsi="Arial" w:cs="Arial"/>
                <w:b/>
                <w:bCs/>
                <w:color w:val="000000"/>
                <w:sz w:val="15"/>
                <w:szCs w:val="15"/>
              </w:rPr>
              <w:t>835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E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EB" w14:textId="77777777" w:rsidR="003C66EB" w:rsidRDefault="00D96C4E">
            <w:pPr>
              <w:jc w:val="right"/>
              <w:textAlignment w:val="bottom"/>
            </w:pPr>
            <w:r>
              <w:rPr>
                <w:rFonts w:ascii="Arial" w:eastAsia="宋体" w:hAnsi="Arial" w:cs="Arial"/>
                <w:b/>
                <w:bCs/>
                <w:color w:val="000000"/>
                <w:sz w:val="15"/>
                <w:szCs w:val="15"/>
              </w:rPr>
              <w:t>346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E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EE" w14:textId="77777777" w:rsidR="003C66EB" w:rsidRDefault="00D96C4E">
            <w:pPr>
              <w:jc w:val="right"/>
              <w:textAlignment w:val="bottom"/>
            </w:pPr>
            <w:r>
              <w:rPr>
                <w:rFonts w:ascii="Arial" w:eastAsia="宋体" w:hAnsi="Arial" w:cs="Arial"/>
                <w:b/>
                <w:bCs/>
                <w:color w:val="000000"/>
                <w:sz w:val="15"/>
                <w:szCs w:val="15"/>
              </w:rPr>
              <w:t>46,752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E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F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F1" w14:textId="77777777" w:rsidR="003C66EB" w:rsidRDefault="00D96C4E">
            <w:pPr>
              <w:jc w:val="right"/>
              <w:textAlignment w:val="bottom"/>
            </w:pPr>
            <w:r>
              <w:rPr>
                <w:rFonts w:ascii="Arial" w:eastAsia="宋体" w:hAnsi="Arial" w:cs="Arial"/>
                <w:color w:val="000000"/>
                <w:sz w:val="15"/>
                <w:szCs w:val="15"/>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F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F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F4" w14:textId="77777777" w:rsidR="003C66EB" w:rsidRDefault="00D96C4E">
            <w:pPr>
              <w:jc w:val="right"/>
              <w:textAlignment w:val="bottom"/>
            </w:pPr>
            <w:r>
              <w:rPr>
                <w:rFonts w:ascii="Arial" w:eastAsia="宋体" w:hAnsi="Arial" w:cs="Arial"/>
                <w:color w:val="000000"/>
                <w:sz w:val="15"/>
                <w:szCs w:val="15"/>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F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F7" w14:textId="77777777" w:rsidR="003C66EB" w:rsidRDefault="00D96C4E">
            <w:pPr>
              <w:jc w:val="right"/>
              <w:textAlignment w:val="bottom"/>
            </w:pPr>
            <w:r>
              <w:rPr>
                <w:rFonts w:ascii="Arial" w:eastAsia="宋体" w:hAnsi="Arial" w:cs="Arial"/>
                <w:color w:val="000000"/>
                <w:sz w:val="15"/>
                <w:szCs w:val="15"/>
              </w:rPr>
              <w:t>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CF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CFA" w14:textId="77777777" w:rsidR="003C66EB" w:rsidRDefault="00D96C4E">
            <w:pPr>
              <w:jc w:val="right"/>
              <w:textAlignment w:val="bottom"/>
            </w:pPr>
            <w:r>
              <w:rPr>
                <w:rFonts w:ascii="Arial" w:eastAsia="宋体" w:hAnsi="Arial" w:cs="Arial"/>
                <w:color w:val="000000"/>
                <w:sz w:val="15"/>
                <w:szCs w:val="15"/>
              </w:rPr>
              <w:t>50,003 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CFB" w14:textId="77777777" w:rsidR="003C66EB" w:rsidRDefault="003C66EB">
            <w:pPr>
              <w:jc w:val="right"/>
              <w:rPr>
                <w:rFonts w:ascii="宋体"/>
              </w:rPr>
            </w:pPr>
          </w:p>
        </w:tc>
      </w:tr>
      <w:tr w:rsidR="003C66EB" w14:paraId="5EA23D15" w14:textId="77777777">
        <w:tc>
          <w:tcPr>
            <w:tcW w:w="0" w:type="auto"/>
            <w:gridSpan w:val="3"/>
            <w:shd w:val="clear" w:color="auto" w:fill="CCEEFF"/>
            <w:tcMar>
              <w:top w:w="40" w:type="dxa"/>
              <w:left w:w="20" w:type="dxa"/>
              <w:bottom w:w="40" w:type="dxa"/>
              <w:right w:w="20" w:type="dxa"/>
            </w:tcMar>
            <w:vAlign w:val="bottom"/>
          </w:tcPr>
          <w:p w14:paraId="5EA23CFD" w14:textId="77777777" w:rsidR="003C66EB" w:rsidRDefault="00D96C4E">
            <w:pPr>
              <w:textAlignment w:val="bottom"/>
            </w:pPr>
            <w:r>
              <w:rPr>
                <w:rFonts w:ascii="Arial" w:eastAsia="宋体" w:hAnsi="Arial" w:cs="Arial"/>
                <w:color w:val="000000"/>
                <w:sz w:val="15"/>
                <w:szCs w:val="15"/>
              </w:rPr>
              <w:t>HTM securities purchased under the MMLF program</w:t>
            </w:r>
          </w:p>
        </w:tc>
        <w:tc>
          <w:tcPr>
            <w:tcW w:w="0" w:type="auto"/>
            <w:gridSpan w:val="2"/>
            <w:shd w:val="clear" w:color="auto" w:fill="CCEEFF"/>
            <w:tcMar>
              <w:top w:w="40" w:type="dxa"/>
              <w:left w:w="20" w:type="dxa"/>
              <w:bottom w:w="40" w:type="dxa"/>
              <w:right w:w="0" w:type="dxa"/>
            </w:tcMar>
            <w:vAlign w:val="bottom"/>
          </w:tcPr>
          <w:p w14:paraId="5EA23CFE" w14:textId="77777777" w:rsidR="003C66EB" w:rsidRDefault="00D96C4E">
            <w:pPr>
              <w:jc w:val="right"/>
              <w:textAlignment w:val="bottom"/>
            </w:pPr>
            <w:r>
              <w:rPr>
                <w:rFonts w:ascii="Arial" w:eastAsia="宋体" w:hAnsi="Arial" w:cs="Arial"/>
                <w:b/>
                <w:bCs/>
                <w:color w:val="000000"/>
                <w:sz w:val="15"/>
                <w:szCs w:val="15"/>
              </w:rPr>
              <w:t>201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C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0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01"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D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0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04"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D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0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07" w14:textId="77777777" w:rsidR="003C66EB" w:rsidRDefault="00D96C4E">
            <w:pPr>
              <w:jc w:val="right"/>
              <w:textAlignment w:val="bottom"/>
            </w:pPr>
            <w:r>
              <w:rPr>
                <w:rFonts w:ascii="Arial" w:eastAsia="宋体" w:hAnsi="Arial" w:cs="Arial"/>
                <w:b/>
                <w:bCs/>
                <w:color w:val="000000"/>
                <w:sz w:val="15"/>
                <w:szCs w:val="15"/>
              </w:rPr>
              <w:t>201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D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0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0A" w14:textId="77777777" w:rsidR="003C66EB" w:rsidRDefault="00D96C4E">
            <w:pPr>
              <w:jc w:val="right"/>
              <w:textAlignment w:val="bottom"/>
            </w:pPr>
            <w:r>
              <w:rPr>
                <w:rFonts w:ascii="Arial" w:eastAsia="宋体" w:hAnsi="Arial" w:cs="Arial"/>
                <w:color w:val="000000"/>
                <w:sz w:val="15"/>
                <w:szCs w:val="15"/>
              </w:rPr>
              <w:t>3,300 </w:t>
            </w:r>
          </w:p>
        </w:tc>
        <w:tc>
          <w:tcPr>
            <w:tcW w:w="0" w:type="auto"/>
            <w:shd w:val="clear" w:color="auto" w:fill="CCEEFF"/>
            <w:tcMar>
              <w:top w:w="40" w:type="dxa"/>
              <w:left w:w="0" w:type="dxa"/>
              <w:bottom w:w="40" w:type="dxa"/>
              <w:right w:w="20" w:type="dxa"/>
            </w:tcMar>
            <w:vAlign w:val="bottom"/>
          </w:tcPr>
          <w:p w14:paraId="5EA23D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0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0D"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A23D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0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10"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3D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1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D13" w14:textId="77777777" w:rsidR="003C66EB" w:rsidRDefault="00D96C4E">
            <w:pPr>
              <w:jc w:val="right"/>
              <w:textAlignment w:val="bottom"/>
            </w:pPr>
            <w:r>
              <w:rPr>
                <w:rFonts w:ascii="Arial" w:eastAsia="宋体" w:hAnsi="Arial" w:cs="Arial"/>
                <w:color w:val="000000"/>
                <w:sz w:val="15"/>
                <w:szCs w:val="15"/>
              </w:rPr>
              <w:t>3,304 </w:t>
            </w:r>
          </w:p>
        </w:tc>
        <w:tc>
          <w:tcPr>
            <w:tcW w:w="0" w:type="auto"/>
            <w:shd w:val="clear" w:color="auto" w:fill="CCEEFF"/>
            <w:tcMar>
              <w:top w:w="40" w:type="dxa"/>
              <w:left w:w="0" w:type="dxa"/>
              <w:bottom w:w="40" w:type="dxa"/>
              <w:right w:w="20" w:type="dxa"/>
            </w:tcMar>
            <w:vAlign w:val="bottom"/>
          </w:tcPr>
          <w:p w14:paraId="5EA23D14" w14:textId="77777777" w:rsidR="003C66EB" w:rsidRDefault="003C66EB">
            <w:pPr>
              <w:jc w:val="right"/>
              <w:rPr>
                <w:rFonts w:ascii="宋体"/>
              </w:rPr>
            </w:pPr>
          </w:p>
        </w:tc>
      </w:tr>
      <w:tr w:rsidR="00D96C4E" w14:paraId="5EA23D36" w14:textId="77777777">
        <w:tc>
          <w:tcPr>
            <w:tcW w:w="0" w:type="auto"/>
            <w:gridSpan w:val="3"/>
            <w:shd w:val="clear" w:color="auto" w:fill="FFFFFF"/>
            <w:tcMar>
              <w:top w:w="40" w:type="dxa"/>
              <w:left w:w="20" w:type="dxa"/>
              <w:bottom w:w="40" w:type="dxa"/>
              <w:right w:w="20" w:type="dxa"/>
            </w:tcMar>
            <w:vAlign w:val="bottom"/>
          </w:tcPr>
          <w:p w14:paraId="5EA23D16" w14:textId="77777777" w:rsidR="003C66EB" w:rsidRDefault="00D96C4E">
            <w:pPr>
              <w:textAlignment w:val="bottom"/>
            </w:pPr>
            <w:r>
              <w:rPr>
                <w:rFonts w:ascii="Arial" w:eastAsia="宋体" w:hAnsi="Arial" w:cs="Arial"/>
                <w:color w:val="000000"/>
                <w:sz w:val="15"/>
                <w:szCs w:val="15"/>
              </w:rPr>
              <w:t>Total held-to-maturity securities</w:t>
            </w:r>
            <w:r>
              <w:rPr>
                <w:rFonts w:ascii="Arial" w:eastAsia="宋体" w:hAnsi="Arial" w:cs="Arial"/>
                <w:color w:val="000000"/>
                <w:sz w:val="9"/>
                <w:szCs w:val="9"/>
              </w:rPr>
              <w:t>(5)</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17"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18" w14:textId="77777777" w:rsidR="003C66EB" w:rsidRDefault="00D96C4E">
            <w:pPr>
              <w:jc w:val="right"/>
              <w:textAlignment w:val="bottom"/>
            </w:pPr>
            <w:r>
              <w:rPr>
                <w:rFonts w:ascii="Arial" w:eastAsia="宋体" w:hAnsi="Arial" w:cs="Arial"/>
                <w:b/>
                <w:bCs/>
                <w:color w:val="000000"/>
                <w:sz w:val="15"/>
                <w:szCs w:val="15"/>
              </w:rPr>
              <w:t>46,464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1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1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1B"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1C" w14:textId="77777777" w:rsidR="003C66EB" w:rsidRDefault="00D96C4E">
            <w:pPr>
              <w:jc w:val="right"/>
              <w:textAlignment w:val="bottom"/>
            </w:pPr>
            <w:r>
              <w:rPr>
                <w:rFonts w:ascii="Arial" w:eastAsia="宋体" w:hAnsi="Arial" w:cs="Arial"/>
                <w:b/>
                <w:bCs/>
                <w:color w:val="000000"/>
                <w:sz w:val="15"/>
                <w:szCs w:val="15"/>
              </w:rPr>
              <w:t>835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1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1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1F"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20" w14:textId="77777777" w:rsidR="003C66EB" w:rsidRDefault="00D96C4E">
            <w:pPr>
              <w:jc w:val="right"/>
              <w:textAlignment w:val="bottom"/>
            </w:pPr>
            <w:r>
              <w:rPr>
                <w:rFonts w:ascii="Arial" w:eastAsia="宋体" w:hAnsi="Arial" w:cs="Arial"/>
                <w:b/>
                <w:bCs/>
                <w:color w:val="000000"/>
                <w:sz w:val="15"/>
                <w:szCs w:val="15"/>
              </w:rPr>
              <w:t>346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2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23"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24" w14:textId="77777777" w:rsidR="003C66EB" w:rsidRDefault="00D96C4E">
            <w:pPr>
              <w:jc w:val="right"/>
              <w:textAlignment w:val="bottom"/>
            </w:pPr>
            <w:r>
              <w:rPr>
                <w:rFonts w:ascii="Arial" w:eastAsia="宋体" w:hAnsi="Arial" w:cs="Arial"/>
                <w:b/>
                <w:bCs/>
                <w:color w:val="000000"/>
                <w:sz w:val="15"/>
                <w:szCs w:val="15"/>
              </w:rPr>
              <w:t>46,953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2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27"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28" w14:textId="77777777" w:rsidR="003C66EB" w:rsidRDefault="00D96C4E">
            <w:pPr>
              <w:jc w:val="right"/>
              <w:textAlignment w:val="bottom"/>
            </w:pPr>
            <w:r>
              <w:rPr>
                <w:rFonts w:ascii="Arial" w:eastAsia="宋体" w:hAnsi="Arial" w:cs="Arial"/>
                <w:color w:val="000000"/>
                <w:sz w:val="15"/>
                <w:szCs w:val="15"/>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2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2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2B"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2C" w14:textId="77777777" w:rsidR="003C66EB" w:rsidRDefault="00D96C4E">
            <w:pPr>
              <w:jc w:val="right"/>
              <w:textAlignment w:val="bottom"/>
            </w:pPr>
            <w:r>
              <w:rPr>
                <w:rFonts w:ascii="Arial" w:eastAsia="宋体" w:hAnsi="Arial" w:cs="Arial"/>
                <w:color w:val="000000"/>
                <w:sz w:val="15"/>
                <w:szCs w:val="15"/>
              </w:rPr>
              <w:t>1,173 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2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2F"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30" w14:textId="77777777" w:rsidR="003C66EB" w:rsidRDefault="00D96C4E">
            <w:pPr>
              <w:jc w:val="right"/>
              <w:textAlignment w:val="bottom"/>
            </w:pPr>
            <w:r>
              <w:rPr>
                <w:rFonts w:ascii="Arial" w:eastAsia="宋体" w:hAnsi="Arial" w:cs="Arial"/>
                <w:color w:val="000000"/>
                <w:sz w:val="15"/>
                <w:szCs w:val="15"/>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3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D33"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D34" w14:textId="77777777" w:rsidR="003C66EB" w:rsidRDefault="00D96C4E">
            <w:pPr>
              <w:jc w:val="right"/>
              <w:textAlignment w:val="bottom"/>
            </w:pPr>
            <w:r>
              <w:rPr>
                <w:rFonts w:ascii="Arial" w:eastAsia="宋体" w:hAnsi="Arial" w:cs="Arial"/>
                <w:color w:val="000000"/>
                <w:sz w:val="15"/>
                <w:szCs w:val="15"/>
              </w:rPr>
              <w:t>53,307 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D35" w14:textId="77777777" w:rsidR="003C66EB" w:rsidRDefault="003C66EB">
            <w:pPr>
              <w:jc w:val="right"/>
              <w:rPr>
                <w:rFonts w:ascii="宋体"/>
              </w:rPr>
            </w:pPr>
          </w:p>
        </w:tc>
      </w:tr>
    </w:tbl>
    <w:p w14:paraId="5EA23D37" w14:textId="77777777" w:rsidR="003C66EB" w:rsidRDefault="003C66E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3C66EB" w14:paraId="5EA23D44" w14:textId="77777777">
        <w:tc>
          <w:tcPr>
            <w:tcW w:w="50" w:type="pct"/>
            <w:shd w:val="clear" w:color="auto" w:fill="auto"/>
          </w:tcPr>
          <w:p w14:paraId="5EA23D38" w14:textId="77777777" w:rsidR="003C66EB" w:rsidRDefault="003C66EB">
            <w:pPr>
              <w:rPr>
                <w:rFonts w:ascii="宋体"/>
              </w:rPr>
            </w:pPr>
          </w:p>
        </w:tc>
        <w:tc>
          <w:tcPr>
            <w:tcW w:w="1350" w:type="pct"/>
            <w:shd w:val="clear" w:color="auto" w:fill="auto"/>
          </w:tcPr>
          <w:p w14:paraId="5EA23D39" w14:textId="77777777" w:rsidR="003C66EB" w:rsidRDefault="003C66EB">
            <w:pPr>
              <w:rPr>
                <w:rFonts w:ascii="宋体"/>
              </w:rPr>
            </w:pPr>
          </w:p>
        </w:tc>
        <w:tc>
          <w:tcPr>
            <w:tcW w:w="5" w:type="pct"/>
            <w:shd w:val="clear" w:color="auto" w:fill="auto"/>
          </w:tcPr>
          <w:p w14:paraId="5EA23D3A" w14:textId="77777777" w:rsidR="003C66EB" w:rsidRDefault="003C66EB">
            <w:pPr>
              <w:rPr>
                <w:rFonts w:ascii="宋体"/>
              </w:rPr>
            </w:pPr>
          </w:p>
        </w:tc>
        <w:tc>
          <w:tcPr>
            <w:tcW w:w="50" w:type="pct"/>
            <w:shd w:val="clear" w:color="auto" w:fill="auto"/>
          </w:tcPr>
          <w:p w14:paraId="5EA23D3B" w14:textId="77777777" w:rsidR="003C66EB" w:rsidRDefault="003C66EB">
            <w:pPr>
              <w:rPr>
                <w:rFonts w:ascii="宋体"/>
              </w:rPr>
            </w:pPr>
          </w:p>
        </w:tc>
        <w:tc>
          <w:tcPr>
            <w:tcW w:w="918" w:type="pct"/>
            <w:shd w:val="clear" w:color="auto" w:fill="auto"/>
          </w:tcPr>
          <w:p w14:paraId="5EA23D3C" w14:textId="77777777" w:rsidR="003C66EB" w:rsidRDefault="003C66EB">
            <w:pPr>
              <w:rPr>
                <w:rFonts w:ascii="宋体"/>
              </w:rPr>
            </w:pPr>
          </w:p>
        </w:tc>
        <w:tc>
          <w:tcPr>
            <w:tcW w:w="5" w:type="pct"/>
            <w:shd w:val="clear" w:color="auto" w:fill="auto"/>
          </w:tcPr>
          <w:p w14:paraId="5EA23D3D" w14:textId="77777777" w:rsidR="003C66EB" w:rsidRDefault="003C66EB">
            <w:pPr>
              <w:rPr>
                <w:rFonts w:ascii="宋体"/>
              </w:rPr>
            </w:pPr>
          </w:p>
        </w:tc>
        <w:tc>
          <w:tcPr>
            <w:tcW w:w="50" w:type="pct"/>
            <w:shd w:val="clear" w:color="auto" w:fill="auto"/>
          </w:tcPr>
          <w:p w14:paraId="5EA23D3E" w14:textId="77777777" w:rsidR="003C66EB" w:rsidRDefault="003C66EB">
            <w:pPr>
              <w:rPr>
                <w:rFonts w:ascii="宋体"/>
              </w:rPr>
            </w:pPr>
          </w:p>
        </w:tc>
        <w:tc>
          <w:tcPr>
            <w:tcW w:w="918" w:type="pct"/>
            <w:shd w:val="clear" w:color="auto" w:fill="auto"/>
          </w:tcPr>
          <w:p w14:paraId="5EA23D3F" w14:textId="77777777" w:rsidR="003C66EB" w:rsidRDefault="003C66EB">
            <w:pPr>
              <w:rPr>
                <w:rFonts w:ascii="宋体"/>
              </w:rPr>
            </w:pPr>
          </w:p>
        </w:tc>
        <w:tc>
          <w:tcPr>
            <w:tcW w:w="5" w:type="pct"/>
            <w:shd w:val="clear" w:color="auto" w:fill="auto"/>
          </w:tcPr>
          <w:p w14:paraId="5EA23D40" w14:textId="77777777" w:rsidR="003C66EB" w:rsidRDefault="003C66EB">
            <w:pPr>
              <w:rPr>
                <w:rFonts w:ascii="宋体"/>
              </w:rPr>
            </w:pPr>
          </w:p>
        </w:tc>
        <w:tc>
          <w:tcPr>
            <w:tcW w:w="50" w:type="pct"/>
            <w:shd w:val="clear" w:color="auto" w:fill="auto"/>
          </w:tcPr>
          <w:p w14:paraId="5EA23D41" w14:textId="77777777" w:rsidR="003C66EB" w:rsidRDefault="003C66EB">
            <w:pPr>
              <w:rPr>
                <w:rFonts w:ascii="宋体"/>
              </w:rPr>
            </w:pPr>
          </w:p>
        </w:tc>
        <w:tc>
          <w:tcPr>
            <w:tcW w:w="1592" w:type="pct"/>
            <w:shd w:val="clear" w:color="auto" w:fill="auto"/>
          </w:tcPr>
          <w:p w14:paraId="5EA23D42" w14:textId="77777777" w:rsidR="003C66EB" w:rsidRDefault="003C66EB">
            <w:pPr>
              <w:rPr>
                <w:rFonts w:ascii="宋体"/>
              </w:rPr>
            </w:pPr>
          </w:p>
        </w:tc>
        <w:tc>
          <w:tcPr>
            <w:tcW w:w="5" w:type="pct"/>
            <w:shd w:val="clear" w:color="auto" w:fill="auto"/>
          </w:tcPr>
          <w:p w14:paraId="5EA23D43" w14:textId="77777777" w:rsidR="003C66EB" w:rsidRDefault="003C66EB">
            <w:pPr>
              <w:rPr>
                <w:rFonts w:ascii="宋体"/>
              </w:rPr>
            </w:pPr>
          </w:p>
        </w:tc>
      </w:tr>
      <w:tr w:rsidR="003C66EB" w14:paraId="5EA23D4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3D4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4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4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48" w14:textId="77777777" w:rsidR="003C66EB" w:rsidRDefault="003C66EB">
            <w:pPr>
              <w:rPr>
                <w:rFonts w:ascii="宋体"/>
              </w:rPr>
            </w:pPr>
          </w:p>
        </w:tc>
      </w:tr>
    </w:tbl>
    <w:p w14:paraId="5EA23D4A" w14:textId="77777777" w:rsidR="003C66EB" w:rsidRDefault="00D96C4E">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Primarily comprised of securities guaranteed by the federal government with respect to at least 97% of defaulted principal and accrued interest on the underlying loans.</w:t>
      </w:r>
    </w:p>
    <w:p w14:paraId="5EA23D4B" w14:textId="77777777" w:rsidR="003C66EB" w:rsidRDefault="00D96C4E">
      <w:pPr>
        <w:spacing w:before="90"/>
        <w:jc w:val="both"/>
      </w:pPr>
      <w:r>
        <w:rPr>
          <w:rFonts w:ascii="Arial" w:eastAsia="宋体" w:hAnsi="Arial" w:cs="Arial"/>
          <w:color w:val="000000"/>
          <w:sz w:val="8"/>
          <w:szCs w:val="8"/>
        </w:rPr>
        <w:t>(2)</w:t>
      </w:r>
      <w:r>
        <w:rPr>
          <w:rFonts w:ascii="Arial" w:eastAsia="宋体" w:hAnsi="Arial" w:cs="Arial"/>
          <w:color w:val="000000"/>
          <w:sz w:val="13"/>
          <w:szCs w:val="13"/>
        </w:rPr>
        <w:t xml:space="preserve"> Consists entirely of non-agency CMBS as of both March 31, 2021 and December 31, 2020.</w:t>
      </w:r>
    </w:p>
    <w:p w14:paraId="5EA23D4C" w14:textId="77777777" w:rsidR="003C66EB" w:rsidRDefault="00D96C4E">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As of March 31, 2021 and December 31, 2020, the fair value of other non-U.S. debt securities included $10.13 billion and $9.55 billion, respectively, primarily of su</w:t>
      </w:r>
      <w:r>
        <w:rPr>
          <w:rFonts w:ascii="Arial" w:eastAsia="宋体" w:hAnsi="Arial" w:cs="Arial"/>
          <w:color w:val="000000"/>
          <w:sz w:val="13"/>
          <w:szCs w:val="13"/>
        </w:rPr>
        <w:t>pranational and non-U.S. agency bonds, $1.90 billion and $1.88 billion, respectively, of corporate bonds and $0.43 billion and $0.47 billion, respectively, of covered bonds.</w:t>
      </w:r>
    </w:p>
    <w:p w14:paraId="5EA23D4D" w14:textId="77777777" w:rsidR="003C66EB" w:rsidRDefault="00D96C4E">
      <w:pPr>
        <w:spacing w:before="60"/>
        <w:jc w:val="both"/>
      </w:pPr>
      <w:r>
        <w:rPr>
          <w:rFonts w:ascii="Arial" w:eastAsia="宋体" w:hAnsi="Arial" w:cs="Arial"/>
          <w:color w:val="000000"/>
          <w:sz w:val="8"/>
          <w:szCs w:val="8"/>
        </w:rPr>
        <w:t>(4)</w:t>
      </w:r>
      <w:r>
        <w:rPr>
          <w:rFonts w:ascii="Arial" w:eastAsia="宋体" w:hAnsi="Arial" w:cs="Arial"/>
          <w:color w:val="000000"/>
          <w:sz w:val="13"/>
          <w:szCs w:val="13"/>
        </w:rPr>
        <w:t xml:space="preserve"> As of both March 31, 2021 and December 31, 2020, the fair value of state and p</w:t>
      </w:r>
      <w:r>
        <w:rPr>
          <w:rFonts w:ascii="Arial" w:eastAsia="宋体" w:hAnsi="Arial" w:cs="Arial"/>
          <w:color w:val="000000"/>
          <w:sz w:val="13"/>
          <w:szCs w:val="13"/>
        </w:rPr>
        <w:t>olitical subdivisions includes securities in trusts of $0.70 billion. Additional information about these trusts is provided in Note 11.</w:t>
      </w:r>
    </w:p>
    <w:p w14:paraId="5EA23D4E" w14:textId="77777777" w:rsidR="003C66EB" w:rsidRDefault="00D96C4E">
      <w:pPr>
        <w:spacing w:before="60"/>
        <w:jc w:val="both"/>
      </w:pPr>
      <w:r>
        <w:rPr>
          <w:rFonts w:ascii="Arial" w:eastAsia="宋体" w:hAnsi="Arial" w:cs="Arial"/>
          <w:color w:val="000000"/>
          <w:sz w:val="8"/>
          <w:szCs w:val="8"/>
        </w:rPr>
        <w:t>(5)</w:t>
      </w:r>
      <w:r>
        <w:rPr>
          <w:rFonts w:ascii="Arial" w:eastAsia="宋体" w:hAnsi="Arial" w:cs="Arial"/>
          <w:color w:val="000000"/>
          <w:sz w:val="13"/>
          <w:szCs w:val="13"/>
        </w:rPr>
        <w:t xml:space="preserve"> An immaterial amount of accrued interest related to HTM and AFS investment securities was excluded from the amortize</w:t>
      </w:r>
      <w:r>
        <w:rPr>
          <w:rFonts w:ascii="Arial" w:eastAsia="宋体" w:hAnsi="Arial" w:cs="Arial"/>
          <w:color w:val="000000"/>
          <w:sz w:val="13"/>
          <w:szCs w:val="13"/>
        </w:rPr>
        <w:t>d cost basis for the period ended March 31, 2021.</w:t>
      </w:r>
    </w:p>
    <w:p w14:paraId="5EA23D4F" w14:textId="77777777" w:rsidR="003C66EB" w:rsidRDefault="00D96C4E">
      <w:pPr>
        <w:spacing w:before="60"/>
        <w:jc w:val="both"/>
      </w:pPr>
      <w:r>
        <w:rPr>
          <w:rFonts w:ascii="Arial" w:eastAsia="宋体" w:hAnsi="Arial" w:cs="Arial"/>
          <w:color w:val="000000"/>
          <w:sz w:val="8"/>
          <w:szCs w:val="8"/>
        </w:rPr>
        <w:t>(6)</w:t>
      </w:r>
      <w:r>
        <w:rPr>
          <w:rFonts w:ascii="Arial" w:eastAsia="宋体" w:hAnsi="Arial" w:cs="Arial"/>
          <w:color w:val="000000"/>
          <w:sz w:val="13"/>
          <w:szCs w:val="13"/>
        </w:rPr>
        <w:t xml:space="preserve"> As of March 31, 2021 and December 31, 2020, the total amortized cost included $446 million and $464 million, respectively, of non-agency CMBS and $80 million and $90 million of non-agency RMBS, respecti</w:t>
      </w:r>
      <w:r>
        <w:rPr>
          <w:rFonts w:ascii="Arial" w:eastAsia="宋体" w:hAnsi="Arial" w:cs="Arial"/>
          <w:color w:val="000000"/>
          <w:sz w:val="13"/>
          <w:szCs w:val="13"/>
        </w:rPr>
        <w:t xml:space="preserve">vely. </w:t>
      </w:r>
    </w:p>
    <w:p w14:paraId="5EA23D50" w14:textId="77777777" w:rsidR="003C66EB" w:rsidRDefault="00D96C4E">
      <w:pPr>
        <w:spacing w:before="60"/>
        <w:jc w:val="both"/>
      </w:pPr>
      <w:r>
        <w:rPr>
          <w:rFonts w:ascii="Arial" w:eastAsia="宋体" w:hAnsi="Arial" w:cs="Arial"/>
          <w:color w:val="000000"/>
          <w:sz w:val="8"/>
          <w:szCs w:val="8"/>
        </w:rPr>
        <w:t>(7)</w:t>
      </w:r>
      <w:r>
        <w:rPr>
          <w:rFonts w:ascii="Arial" w:eastAsia="宋体" w:hAnsi="Arial" w:cs="Arial"/>
          <w:color w:val="000000"/>
          <w:sz w:val="13"/>
          <w:szCs w:val="13"/>
        </w:rPr>
        <w:t xml:space="preserve"> As of March 31, 2021, we recognized an allowance for credit losses of $2 million on HTM investment securities.</w:t>
      </w:r>
    </w:p>
    <w:p w14:paraId="5EA23D51" w14:textId="77777777" w:rsidR="003C66EB" w:rsidRDefault="00D96C4E">
      <w:pPr>
        <w:ind w:firstLine="450"/>
        <w:jc w:val="right"/>
      </w:pPr>
      <w:r>
        <w:rPr>
          <w:rFonts w:ascii="Arial" w:eastAsia="宋体" w:hAnsi="Arial" w:cs="Arial"/>
          <w:color w:val="000000"/>
          <w:sz w:val="18"/>
          <w:szCs w:val="18"/>
        </w:rPr>
        <w:t>State Street Corporation | 59</w:t>
      </w:r>
    </w:p>
    <w:p w14:paraId="5EA23D52" w14:textId="77777777" w:rsidR="003C66EB" w:rsidRDefault="003C66EB">
      <w:pPr>
        <w:ind w:firstLine="450"/>
        <w:jc w:val="center"/>
      </w:pPr>
    </w:p>
    <w:p w14:paraId="5EA23D53" w14:textId="77777777" w:rsidR="003C66EB" w:rsidRDefault="00D96C4E">
      <w:r>
        <w:pict w14:anchorId="5EA287EB">
          <v:rect id="_x0000_i1083" style="width:415.3pt;height:1.5pt" o:hralign="center" o:hrstd="t" o:hr="t" fillcolor="#a0a0a0" stroked="f"/>
        </w:pict>
      </w:r>
    </w:p>
    <w:p w14:paraId="5EA23D54" w14:textId="77777777" w:rsidR="003C66EB" w:rsidRDefault="00D96C4E">
      <w:pPr>
        <w:ind w:firstLine="450"/>
        <w:jc w:val="center"/>
      </w:pPr>
      <w:r>
        <w:rPr>
          <w:rFonts w:ascii="Arial" w:eastAsia="宋体" w:hAnsi="Arial" w:cs="Arial"/>
          <w:b/>
          <w:bCs/>
          <w:color w:val="000000"/>
          <w:sz w:val="20"/>
          <w:szCs w:val="20"/>
        </w:rPr>
        <w:t>STATE STREET CORPORATION</w:t>
      </w:r>
    </w:p>
    <w:p w14:paraId="5EA23D55"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3D56" w14:textId="77777777" w:rsidR="003C66EB" w:rsidRDefault="00D96C4E">
      <w:pPr>
        <w:ind w:firstLine="450"/>
        <w:jc w:val="center"/>
      </w:pPr>
      <w:r>
        <w:rPr>
          <w:rFonts w:ascii="Arial" w:eastAsia="宋体" w:hAnsi="Arial" w:cs="Arial"/>
          <w:b/>
          <w:bCs/>
          <w:color w:val="000000"/>
          <w:sz w:val="20"/>
          <w:szCs w:val="20"/>
        </w:rPr>
        <w:t>(UNAUDITED)</w:t>
      </w:r>
    </w:p>
    <w:p w14:paraId="5EA23D57" w14:textId="77777777" w:rsidR="003C66EB" w:rsidRDefault="00D96C4E">
      <w:pPr>
        <w:spacing w:before="60"/>
        <w:ind w:firstLine="450"/>
        <w:jc w:val="both"/>
      </w:pPr>
      <w:r>
        <w:rPr>
          <w:rFonts w:ascii="Arial" w:eastAsia="宋体" w:hAnsi="Arial" w:cs="Arial"/>
          <w:color w:val="000000"/>
          <w:sz w:val="20"/>
          <w:szCs w:val="20"/>
        </w:rPr>
        <w:t xml:space="preserve">Aggregate investment securities with carrying values of approximately $71.70 billion and $70.57 billion as of March 31, 2021 and December 31, 2020, respectively, were designated as pledged for public and trust deposits, short-term borrowings and for other </w:t>
      </w:r>
      <w:r>
        <w:rPr>
          <w:rFonts w:ascii="Arial" w:eastAsia="宋体" w:hAnsi="Arial" w:cs="Arial"/>
          <w:color w:val="000000"/>
          <w:sz w:val="20"/>
          <w:szCs w:val="20"/>
        </w:rPr>
        <w:t>purposes as provided by law.</w:t>
      </w:r>
    </w:p>
    <w:p w14:paraId="5EA23D58" w14:textId="77777777" w:rsidR="003C66EB" w:rsidRDefault="00D96C4E">
      <w:pPr>
        <w:spacing w:before="60"/>
        <w:ind w:firstLine="450"/>
        <w:jc w:val="both"/>
      </w:pPr>
      <w:r>
        <w:rPr>
          <w:rFonts w:ascii="Arial" w:eastAsia="宋体" w:hAnsi="Arial" w:cs="Arial"/>
          <w:color w:val="000000"/>
          <w:sz w:val="20"/>
          <w:szCs w:val="20"/>
        </w:rPr>
        <w:t>The following tables present the aggregate fair values of AFS investment securities that have been in a continuous unrealized loss position for less than 12 months, and those that have been in a continuous unrealized loss posit</w:t>
      </w:r>
      <w:r>
        <w:rPr>
          <w:rFonts w:ascii="Arial" w:eastAsia="宋体" w:hAnsi="Arial" w:cs="Arial"/>
          <w:color w:val="000000"/>
          <w:sz w:val="20"/>
          <w:szCs w:val="20"/>
        </w:rPr>
        <w:t>ion for 12 months or longer,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73"/>
        <w:gridCol w:w="36"/>
        <w:gridCol w:w="98"/>
        <w:gridCol w:w="630"/>
        <w:gridCol w:w="36"/>
        <w:gridCol w:w="36"/>
        <w:gridCol w:w="36"/>
        <w:gridCol w:w="36"/>
        <w:gridCol w:w="99"/>
        <w:gridCol w:w="664"/>
        <w:gridCol w:w="36"/>
        <w:gridCol w:w="36"/>
        <w:gridCol w:w="36"/>
        <w:gridCol w:w="36"/>
        <w:gridCol w:w="98"/>
        <w:gridCol w:w="504"/>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3C66EB" w14:paraId="5EA23D7D" w14:textId="77777777">
        <w:tc>
          <w:tcPr>
            <w:tcW w:w="50" w:type="pct"/>
            <w:shd w:val="clear" w:color="auto" w:fill="auto"/>
          </w:tcPr>
          <w:p w14:paraId="5EA23D59" w14:textId="77777777" w:rsidR="003C66EB" w:rsidRDefault="003C66EB">
            <w:pPr>
              <w:rPr>
                <w:rFonts w:ascii="宋体"/>
              </w:rPr>
            </w:pPr>
          </w:p>
        </w:tc>
        <w:tc>
          <w:tcPr>
            <w:tcW w:w="1994" w:type="pct"/>
            <w:shd w:val="clear" w:color="auto" w:fill="auto"/>
          </w:tcPr>
          <w:p w14:paraId="5EA23D5A" w14:textId="77777777" w:rsidR="003C66EB" w:rsidRDefault="003C66EB">
            <w:pPr>
              <w:rPr>
                <w:rFonts w:ascii="宋体"/>
              </w:rPr>
            </w:pPr>
          </w:p>
        </w:tc>
        <w:tc>
          <w:tcPr>
            <w:tcW w:w="5" w:type="pct"/>
            <w:shd w:val="clear" w:color="auto" w:fill="auto"/>
          </w:tcPr>
          <w:p w14:paraId="5EA23D5B" w14:textId="77777777" w:rsidR="003C66EB" w:rsidRDefault="003C66EB">
            <w:pPr>
              <w:rPr>
                <w:rFonts w:ascii="宋体"/>
              </w:rPr>
            </w:pPr>
          </w:p>
        </w:tc>
        <w:tc>
          <w:tcPr>
            <w:tcW w:w="50" w:type="pct"/>
            <w:shd w:val="clear" w:color="auto" w:fill="auto"/>
          </w:tcPr>
          <w:p w14:paraId="5EA23D5C" w14:textId="77777777" w:rsidR="003C66EB" w:rsidRDefault="003C66EB">
            <w:pPr>
              <w:rPr>
                <w:rFonts w:ascii="宋体"/>
              </w:rPr>
            </w:pPr>
          </w:p>
        </w:tc>
        <w:tc>
          <w:tcPr>
            <w:tcW w:w="406" w:type="pct"/>
            <w:shd w:val="clear" w:color="auto" w:fill="auto"/>
          </w:tcPr>
          <w:p w14:paraId="5EA23D5D" w14:textId="77777777" w:rsidR="003C66EB" w:rsidRDefault="003C66EB">
            <w:pPr>
              <w:rPr>
                <w:rFonts w:ascii="宋体"/>
              </w:rPr>
            </w:pPr>
          </w:p>
        </w:tc>
        <w:tc>
          <w:tcPr>
            <w:tcW w:w="5" w:type="pct"/>
            <w:shd w:val="clear" w:color="auto" w:fill="auto"/>
          </w:tcPr>
          <w:p w14:paraId="5EA23D5E" w14:textId="77777777" w:rsidR="003C66EB" w:rsidRDefault="003C66EB">
            <w:pPr>
              <w:rPr>
                <w:rFonts w:ascii="宋体"/>
              </w:rPr>
            </w:pPr>
          </w:p>
        </w:tc>
        <w:tc>
          <w:tcPr>
            <w:tcW w:w="5" w:type="pct"/>
            <w:shd w:val="clear" w:color="auto" w:fill="auto"/>
          </w:tcPr>
          <w:p w14:paraId="5EA23D5F" w14:textId="77777777" w:rsidR="003C66EB" w:rsidRDefault="003C66EB">
            <w:pPr>
              <w:rPr>
                <w:rFonts w:ascii="宋体"/>
              </w:rPr>
            </w:pPr>
          </w:p>
        </w:tc>
        <w:tc>
          <w:tcPr>
            <w:tcW w:w="26" w:type="pct"/>
            <w:shd w:val="clear" w:color="auto" w:fill="auto"/>
          </w:tcPr>
          <w:p w14:paraId="5EA23D60" w14:textId="77777777" w:rsidR="003C66EB" w:rsidRDefault="003C66EB">
            <w:pPr>
              <w:rPr>
                <w:rFonts w:ascii="宋体"/>
              </w:rPr>
            </w:pPr>
          </w:p>
        </w:tc>
        <w:tc>
          <w:tcPr>
            <w:tcW w:w="5" w:type="pct"/>
            <w:shd w:val="clear" w:color="auto" w:fill="auto"/>
          </w:tcPr>
          <w:p w14:paraId="5EA23D61" w14:textId="77777777" w:rsidR="003C66EB" w:rsidRDefault="003C66EB">
            <w:pPr>
              <w:rPr>
                <w:rFonts w:ascii="宋体"/>
              </w:rPr>
            </w:pPr>
          </w:p>
        </w:tc>
        <w:tc>
          <w:tcPr>
            <w:tcW w:w="50" w:type="pct"/>
            <w:shd w:val="clear" w:color="auto" w:fill="auto"/>
          </w:tcPr>
          <w:p w14:paraId="5EA23D62" w14:textId="77777777" w:rsidR="003C66EB" w:rsidRDefault="003C66EB">
            <w:pPr>
              <w:rPr>
                <w:rFonts w:ascii="宋体"/>
              </w:rPr>
            </w:pPr>
          </w:p>
        </w:tc>
        <w:tc>
          <w:tcPr>
            <w:tcW w:w="435" w:type="pct"/>
            <w:shd w:val="clear" w:color="auto" w:fill="auto"/>
          </w:tcPr>
          <w:p w14:paraId="5EA23D63" w14:textId="77777777" w:rsidR="003C66EB" w:rsidRDefault="003C66EB">
            <w:pPr>
              <w:rPr>
                <w:rFonts w:ascii="宋体"/>
              </w:rPr>
            </w:pPr>
          </w:p>
        </w:tc>
        <w:tc>
          <w:tcPr>
            <w:tcW w:w="5" w:type="pct"/>
            <w:shd w:val="clear" w:color="auto" w:fill="auto"/>
          </w:tcPr>
          <w:p w14:paraId="5EA23D64" w14:textId="77777777" w:rsidR="003C66EB" w:rsidRDefault="003C66EB">
            <w:pPr>
              <w:rPr>
                <w:rFonts w:ascii="宋体"/>
              </w:rPr>
            </w:pPr>
          </w:p>
        </w:tc>
        <w:tc>
          <w:tcPr>
            <w:tcW w:w="5" w:type="pct"/>
            <w:shd w:val="clear" w:color="auto" w:fill="auto"/>
          </w:tcPr>
          <w:p w14:paraId="5EA23D65" w14:textId="77777777" w:rsidR="003C66EB" w:rsidRDefault="003C66EB">
            <w:pPr>
              <w:rPr>
                <w:rFonts w:ascii="宋体"/>
              </w:rPr>
            </w:pPr>
          </w:p>
        </w:tc>
        <w:tc>
          <w:tcPr>
            <w:tcW w:w="26" w:type="pct"/>
            <w:shd w:val="clear" w:color="auto" w:fill="auto"/>
          </w:tcPr>
          <w:p w14:paraId="5EA23D66" w14:textId="77777777" w:rsidR="003C66EB" w:rsidRDefault="003C66EB">
            <w:pPr>
              <w:rPr>
                <w:rFonts w:ascii="宋体"/>
              </w:rPr>
            </w:pPr>
          </w:p>
        </w:tc>
        <w:tc>
          <w:tcPr>
            <w:tcW w:w="5" w:type="pct"/>
            <w:shd w:val="clear" w:color="auto" w:fill="auto"/>
          </w:tcPr>
          <w:p w14:paraId="5EA23D67" w14:textId="77777777" w:rsidR="003C66EB" w:rsidRDefault="003C66EB">
            <w:pPr>
              <w:rPr>
                <w:rFonts w:ascii="宋体"/>
              </w:rPr>
            </w:pPr>
          </w:p>
        </w:tc>
        <w:tc>
          <w:tcPr>
            <w:tcW w:w="50" w:type="pct"/>
            <w:shd w:val="clear" w:color="auto" w:fill="auto"/>
          </w:tcPr>
          <w:p w14:paraId="5EA23D68" w14:textId="77777777" w:rsidR="003C66EB" w:rsidRDefault="003C66EB">
            <w:pPr>
              <w:rPr>
                <w:rFonts w:ascii="宋体"/>
              </w:rPr>
            </w:pPr>
          </w:p>
        </w:tc>
        <w:tc>
          <w:tcPr>
            <w:tcW w:w="362" w:type="pct"/>
            <w:shd w:val="clear" w:color="auto" w:fill="auto"/>
          </w:tcPr>
          <w:p w14:paraId="5EA23D69" w14:textId="77777777" w:rsidR="003C66EB" w:rsidRDefault="003C66EB">
            <w:pPr>
              <w:rPr>
                <w:rFonts w:ascii="宋体"/>
              </w:rPr>
            </w:pPr>
          </w:p>
        </w:tc>
        <w:tc>
          <w:tcPr>
            <w:tcW w:w="5" w:type="pct"/>
            <w:shd w:val="clear" w:color="auto" w:fill="auto"/>
          </w:tcPr>
          <w:p w14:paraId="5EA23D6A" w14:textId="77777777" w:rsidR="003C66EB" w:rsidRDefault="003C66EB">
            <w:pPr>
              <w:rPr>
                <w:rFonts w:ascii="宋体"/>
              </w:rPr>
            </w:pPr>
          </w:p>
        </w:tc>
        <w:tc>
          <w:tcPr>
            <w:tcW w:w="5" w:type="pct"/>
            <w:shd w:val="clear" w:color="auto" w:fill="auto"/>
          </w:tcPr>
          <w:p w14:paraId="5EA23D6B" w14:textId="77777777" w:rsidR="003C66EB" w:rsidRDefault="003C66EB">
            <w:pPr>
              <w:rPr>
                <w:rFonts w:ascii="宋体"/>
              </w:rPr>
            </w:pPr>
          </w:p>
        </w:tc>
        <w:tc>
          <w:tcPr>
            <w:tcW w:w="26" w:type="pct"/>
            <w:shd w:val="clear" w:color="auto" w:fill="auto"/>
          </w:tcPr>
          <w:p w14:paraId="5EA23D6C" w14:textId="77777777" w:rsidR="003C66EB" w:rsidRDefault="003C66EB">
            <w:pPr>
              <w:rPr>
                <w:rFonts w:ascii="宋体"/>
              </w:rPr>
            </w:pPr>
          </w:p>
        </w:tc>
        <w:tc>
          <w:tcPr>
            <w:tcW w:w="5" w:type="pct"/>
            <w:shd w:val="clear" w:color="auto" w:fill="auto"/>
          </w:tcPr>
          <w:p w14:paraId="5EA23D6D" w14:textId="77777777" w:rsidR="003C66EB" w:rsidRDefault="003C66EB">
            <w:pPr>
              <w:rPr>
                <w:rFonts w:ascii="宋体"/>
              </w:rPr>
            </w:pPr>
          </w:p>
        </w:tc>
        <w:tc>
          <w:tcPr>
            <w:tcW w:w="50" w:type="pct"/>
            <w:shd w:val="clear" w:color="auto" w:fill="auto"/>
          </w:tcPr>
          <w:p w14:paraId="5EA23D6E" w14:textId="77777777" w:rsidR="003C66EB" w:rsidRDefault="003C66EB">
            <w:pPr>
              <w:rPr>
                <w:rFonts w:ascii="宋体"/>
              </w:rPr>
            </w:pPr>
          </w:p>
        </w:tc>
        <w:tc>
          <w:tcPr>
            <w:tcW w:w="435" w:type="pct"/>
            <w:shd w:val="clear" w:color="auto" w:fill="auto"/>
          </w:tcPr>
          <w:p w14:paraId="5EA23D6F" w14:textId="77777777" w:rsidR="003C66EB" w:rsidRDefault="003C66EB">
            <w:pPr>
              <w:rPr>
                <w:rFonts w:ascii="宋体"/>
              </w:rPr>
            </w:pPr>
          </w:p>
        </w:tc>
        <w:tc>
          <w:tcPr>
            <w:tcW w:w="5" w:type="pct"/>
            <w:shd w:val="clear" w:color="auto" w:fill="auto"/>
          </w:tcPr>
          <w:p w14:paraId="5EA23D70" w14:textId="77777777" w:rsidR="003C66EB" w:rsidRDefault="003C66EB">
            <w:pPr>
              <w:rPr>
                <w:rFonts w:ascii="宋体"/>
              </w:rPr>
            </w:pPr>
          </w:p>
        </w:tc>
        <w:tc>
          <w:tcPr>
            <w:tcW w:w="5" w:type="pct"/>
            <w:shd w:val="clear" w:color="auto" w:fill="auto"/>
          </w:tcPr>
          <w:p w14:paraId="5EA23D71" w14:textId="77777777" w:rsidR="003C66EB" w:rsidRDefault="003C66EB">
            <w:pPr>
              <w:rPr>
                <w:rFonts w:ascii="宋体"/>
              </w:rPr>
            </w:pPr>
          </w:p>
        </w:tc>
        <w:tc>
          <w:tcPr>
            <w:tcW w:w="26" w:type="pct"/>
            <w:shd w:val="clear" w:color="auto" w:fill="auto"/>
          </w:tcPr>
          <w:p w14:paraId="5EA23D72" w14:textId="77777777" w:rsidR="003C66EB" w:rsidRDefault="003C66EB">
            <w:pPr>
              <w:rPr>
                <w:rFonts w:ascii="宋体"/>
              </w:rPr>
            </w:pPr>
          </w:p>
        </w:tc>
        <w:tc>
          <w:tcPr>
            <w:tcW w:w="5" w:type="pct"/>
            <w:shd w:val="clear" w:color="auto" w:fill="auto"/>
          </w:tcPr>
          <w:p w14:paraId="5EA23D73" w14:textId="77777777" w:rsidR="003C66EB" w:rsidRDefault="003C66EB">
            <w:pPr>
              <w:rPr>
                <w:rFonts w:ascii="宋体"/>
              </w:rPr>
            </w:pPr>
          </w:p>
        </w:tc>
        <w:tc>
          <w:tcPr>
            <w:tcW w:w="50" w:type="pct"/>
            <w:shd w:val="clear" w:color="auto" w:fill="auto"/>
          </w:tcPr>
          <w:p w14:paraId="5EA23D74" w14:textId="77777777" w:rsidR="003C66EB" w:rsidRDefault="003C66EB">
            <w:pPr>
              <w:rPr>
                <w:rFonts w:ascii="宋体"/>
              </w:rPr>
            </w:pPr>
          </w:p>
        </w:tc>
        <w:tc>
          <w:tcPr>
            <w:tcW w:w="362" w:type="pct"/>
            <w:shd w:val="clear" w:color="auto" w:fill="auto"/>
          </w:tcPr>
          <w:p w14:paraId="5EA23D75" w14:textId="77777777" w:rsidR="003C66EB" w:rsidRDefault="003C66EB">
            <w:pPr>
              <w:rPr>
                <w:rFonts w:ascii="宋体"/>
              </w:rPr>
            </w:pPr>
          </w:p>
        </w:tc>
        <w:tc>
          <w:tcPr>
            <w:tcW w:w="5" w:type="pct"/>
            <w:shd w:val="clear" w:color="auto" w:fill="auto"/>
          </w:tcPr>
          <w:p w14:paraId="5EA23D76" w14:textId="77777777" w:rsidR="003C66EB" w:rsidRDefault="003C66EB">
            <w:pPr>
              <w:rPr>
                <w:rFonts w:ascii="宋体"/>
              </w:rPr>
            </w:pPr>
          </w:p>
        </w:tc>
        <w:tc>
          <w:tcPr>
            <w:tcW w:w="5" w:type="pct"/>
            <w:shd w:val="clear" w:color="auto" w:fill="auto"/>
          </w:tcPr>
          <w:p w14:paraId="5EA23D77" w14:textId="77777777" w:rsidR="003C66EB" w:rsidRDefault="003C66EB">
            <w:pPr>
              <w:rPr>
                <w:rFonts w:ascii="宋体"/>
              </w:rPr>
            </w:pPr>
          </w:p>
        </w:tc>
        <w:tc>
          <w:tcPr>
            <w:tcW w:w="26" w:type="pct"/>
            <w:shd w:val="clear" w:color="auto" w:fill="auto"/>
          </w:tcPr>
          <w:p w14:paraId="5EA23D78" w14:textId="77777777" w:rsidR="003C66EB" w:rsidRDefault="003C66EB">
            <w:pPr>
              <w:rPr>
                <w:rFonts w:ascii="宋体"/>
              </w:rPr>
            </w:pPr>
          </w:p>
        </w:tc>
        <w:tc>
          <w:tcPr>
            <w:tcW w:w="5" w:type="pct"/>
            <w:shd w:val="clear" w:color="auto" w:fill="auto"/>
          </w:tcPr>
          <w:p w14:paraId="5EA23D79" w14:textId="77777777" w:rsidR="003C66EB" w:rsidRDefault="003C66EB">
            <w:pPr>
              <w:rPr>
                <w:rFonts w:ascii="宋体"/>
              </w:rPr>
            </w:pPr>
          </w:p>
        </w:tc>
        <w:tc>
          <w:tcPr>
            <w:tcW w:w="50" w:type="pct"/>
            <w:shd w:val="clear" w:color="auto" w:fill="auto"/>
          </w:tcPr>
          <w:p w14:paraId="5EA23D7A" w14:textId="77777777" w:rsidR="003C66EB" w:rsidRDefault="003C66EB">
            <w:pPr>
              <w:rPr>
                <w:rFonts w:ascii="宋体"/>
              </w:rPr>
            </w:pPr>
          </w:p>
        </w:tc>
        <w:tc>
          <w:tcPr>
            <w:tcW w:w="435" w:type="pct"/>
            <w:shd w:val="clear" w:color="auto" w:fill="auto"/>
          </w:tcPr>
          <w:p w14:paraId="5EA23D7B" w14:textId="77777777" w:rsidR="003C66EB" w:rsidRDefault="003C66EB">
            <w:pPr>
              <w:rPr>
                <w:rFonts w:ascii="宋体"/>
              </w:rPr>
            </w:pPr>
          </w:p>
        </w:tc>
        <w:tc>
          <w:tcPr>
            <w:tcW w:w="5" w:type="pct"/>
            <w:shd w:val="clear" w:color="auto" w:fill="auto"/>
          </w:tcPr>
          <w:p w14:paraId="5EA23D7C" w14:textId="77777777" w:rsidR="003C66EB" w:rsidRDefault="003C66EB">
            <w:pPr>
              <w:rPr>
                <w:rFonts w:ascii="宋体"/>
              </w:rPr>
            </w:pPr>
          </w:p>
        </w:tc>
      </w:tr>
      <w:tr w:rsidR="003C66EB" w14:paraId="5EA23D80" w14:textId="77777777">
        <w:tc>
          <w:tcPr>
            <w:tcW w:w="0" w:type="auto"/>
            <w:gridSpan w:val="3"/>
            <w:shd w:val="clear" w:color="auto" w:fill="auto"/>
            <w:tcMar>
              <w:top w:w="0" w:type="dxa"/>
              <w:left w:w="20" w:type="dxa"/>
              <w:bottom w:w="0" w:type="dxa"/>
              <w:right w:w="20" w:type="dxa"/>
            </w:tcMar>
          </w:tcPr>
          <w:p w14:paraId="5EA23D7E" w14:textId="77777777" w:rsidR="003C66EB" w:rsidRDefault="003C66E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A23D7F" w14:textId="77777777" w:rsidR="003C66EB" w:rsidRDefault="00D96C4E">
            <w:pPr>
              <w:jc w:val="center"/>
              <w:textAlignment w:val="bottom"/>
            </w:pPr>
            <w:r>
              <w:rPr>
                <w:rFonts w:ascii="Arial" w:eastAsia="宋体" w:hAnsi="Arial" w:cs="Arial"/>
                <w:b/>
                <w:bCs/>
                <w:color w:val="000000"/>
                <w:sz w:val="14"/>
                <w:szCs w:val="14"/>
              </w:rPr>
              <w:t>As of March 31, 2021</w:t>
            </w:r>
          </w:p>
        </w:tc>
      </w:tr>
      <w:tr w:rsidR="003C66EB" w14:paraId="5EA23D87" w14:textId="77777777">
        <w:tc>
          <w:tcPr>
            <w:tcW w:w="0" w:type="auto"/>
            <w:gridSpan w:val="3"/>
            <w:shd w:val="clear" w:color="auto" w:fill="auto"/>
            <w:tcMar>
              <w:top w:w="0" w:type="dxa"/>
              <w:left w:w="20" w:type="dxa"/>
              <w:bottom w:w="0" w:type="dxa"/>
              <w:right w:w="20" w:type="dxa"/>
            </w:tcMar>
          </w:tcPr>
          <w:p w14:paraId="5EA23D81"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D82" w14:textId="77777777" w:rsidR="003C66EB" w:rsidRDefault="00D96C4E">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tcPr>
          <w:p w14:paraId="5EA23D83"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D84" w14:textId="77777777" w:rsidR="003C66EB" w:rsidRDefault="00D96C4E">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tcPr>
          <w:p w14:paraId="5EA23D85"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D86" w14:textId="77777777" w:rsidR="003C66EB" w:rsidRDefault="00D96C4E">
            <w:pPr>
              <w:jc w:val="center"/>
              <w:textAlignment w:val="bottom"/>
            </w:pPr>
            <w:r>
              <w:rPr>
                <w:rFonts w:ascii="Arial" w:eastAsia="宋体" w:hAnsi="Arial" w:cs="Arial"/>
                <w:b/>
                <w:bCs/>
                <w:color w:val="000000"/>
                <w:sz w:val="14"/>
                <w:szCs w:val="14"/>
              </w:rPr>
              <w:t>Total</w:t>
            </w:r>
          </w:p>
        </w:tc>
      </w:tr>
      <w:tr w:rsidR="003C66EB" w14:paraId="5EA23D94" w14:textId="77777777">
        <w:tc>
          <w:tcPr>
            <w:tcW w:w="0" w:type="auto"/>
            <w:gridSpan w:val="3"/>
            <w:shd w:val="clear" w:color="auto" w:fill="auto"/>
            <w:tcMar>
              <w:top w:w="40" w:type="dxa"/>
              <w:left w:w="20" w:type="dxa"/>
              <w:bottom w:w="40" w:type="dxa"/>
              <w:right w:w="20" w:type="dxa"/>
            </w:tcMar>
            <w:vAlign w:val="bottom"/>
          </w:tcPr>
          <w:p w14:paraId="5EA23D88"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D89" w14:textId="77777777" w:rsidR="003C66EB" w:rsidRDefault="00D96C4E">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D8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D8B" w14:textId="77777777" w:rsidR="003C66EB" w:rsidRDefault="00D96C4E">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r>
            <w:r>
              <w:rPr>
                <w:rFonts w:ascii="Arial" w:eastAsia="宋体" w:hAnsi="Arial" w:cs="Arial"/>
                <w:b/>
                <w:bCs/>
                <w:color w:val="000000"/>
                <w:sz w:val="14"/>
                <w:szCs w:val="14"/>
              </w:rP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tcPr>
          <w:p w14:paraId="5EA23D8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D8D" w14:textId="77777777" w:rsidR="003C66EB" w:rsidRDefault="00D96C4E">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D8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D8F" w14:textId="77777777" w:rsidR="003C66EB" w:rsidRDefault="00D96C4E">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tcPr>
          <w:p w14:paraId="5EA23D9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D91" w14:textId="77777777" w:rsidR="003C66EB" w:rsidRDefault="00D96C4E">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D9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D93" w14:textId="77777777" w:rsidR="003C66EB" w:rsidRDefault="00D96C4E">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3C66EB" w14:paraId="5EA23DA1" w14:textId="77777777">
        <w:tc>
          <w:tcPr>
            <w:tcW w:w="0" w:type="auto"/>
            <w:gridSpan w:val="3"/>
            <w:shd w:val="clear" w:color="auto" w:fill="auto"/>
            <w:tcMar>
              <w:top w:w="40" w:type="dxa"/>
              <w:left w:w="20" w:type="dxa"/>
              <w:bottom w:w="40" w:type="dxa"/>
              <w:right w:w="20" w:type="dxa"/>
            </w:tcMar>
            <w:vAlign w:val="bottom"/>
          </w:tcPr>
          <w:p w14:paraId="5EA23D95" w14:textId="77777777" w:rsidR="003C66EB" w:rsidRDefault="00D96C4E">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5EA23D9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9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D9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9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D9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9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D9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9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D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9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DA0" w14:textId="77777777" w:rsidR="003C66EB" w:rsidRDefault="003C66EB">
            <w:pPr>
              <w:rPr>
                <w:rFonts w:ascii="宋体"/>
              </w:rPr>
            </w:pPr>
          </w:p>
        </w:tc>
      </w:tr>
      <w:tr w:rsidR="003C66EB" w14:paraId="5EA23DAE" w14:textId="77777777">
        <w:tc>
          <w:tcPr>
            <w:tcW w:w="0" w:type="auto"/>
            <w:gridSpan w:val="3"/>
            <w:shd w:val="clear" w:color="auto" w:fill="auto"/>
            <w:tcMar>
              <w:top w:w="40" w:type="dxa"/>
              <w:left w:w="20" w:type="dxa"/>
              <w:bottom w:w="40" w:type="dxa"/>
              <w:right w:w="20" w:type="dxa"/>
            </w:tcMar>
            <w:vAlign w:val="bottom"/>
          </w:tcPr>
          <w:p w14:paraId="5EA23DA2" w14:textId="77777777" w:rsidR="003C66EB" w:rsidRDefault="00D96C4E">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tcPr>
          <w:p w14:paraId="5EA23D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DAD" w14:textId="77777777" w:rsidR="003C66EB" w:rsidRDefault="003C66EB">
            <w:pPr>
              <w:rPr>
                <w:rFonts w:ascii="宋体"/>
              </w:rPr>
            </w:pPr>
          </w:p>
        </w:tc>
      </w:tr>
      <w:tr w:rsidR="003C66EB" w14:paraId="5EA23DC7" w14:textId="77777777">
        <w:tc>
          <w:tcPr>
            <w:tcW w:w="0" w:type="auto"/>
            <w:gridSpan w:val="3"/>
            <w:shd w:val="clear" w:color="auto" w:fill="CCEEFF"/>
            <w:tcMar>
              <w:top w:w="40" w:type="dxa"/>
              <w:left w:w="155" w:type="dxa"/>
              <w:bottom w:w="40" w:type="dxa"/>
              <w:right w:w="20" w:type="dxa"/>
            </w:tcMar>
            <w:vAlign w:val="bottom"/>
          </w:tcPr>
          <w:p w14:paraId="5EA23DAF" w14:textId="77777777" w:rsidR="003C66EB" w:rsidRDefault="00D96C4E">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A23DB0"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3DB1" w14:textId="77777777" w:rsidR="003C66EB" w:rsidRDefault="00D96C4E">
            <w:pPr>
              <w:jc w:val="right"/>
              <w:textAlignment w:val="bottom"/>
            </w:pPr>
            <w:r>
              <w:rPr>
                <w:rFonts w:ascii="Arial" w:eastAsia="宋体" w:hAnsi="Arial" w:cs="Arial"/>
                <w:b/>
                <w:bCs/>
                <w:color w:val="000000"/>
                <w:sz w:val="14"/>
                <w:szCs w:val="14"/>
              </w:rPr>
              <w:t>5,438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DB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B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DB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3DB5" w14:textId="77777777" w:rsidR="003C66EB" w:rsidRDefault="00D96C4E">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DB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B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DB8"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3DB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DB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B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DBC"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3DB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D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B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DC0"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3DC1" w14:textId="77777777" w:rsidR="003C66EB" w:rsidRDefault="00D96C4E">
            <w:pPr>
              <w:jc w:val="right"/>
              <w:textAlignment w:val="bottom"/>
            </w:pPr>
            <w:r>
              <w:rPr>
                <w:rFonts w:ascii="Arial" w:eastAsia="宋体" w:hAnsi="Arial" w:cs="Arial"/>
                <w:b/>
                <w:bCs/>
                <w:color w:val="000000"/>
                <w:sz w:val="14"/>
                <w:szCs w:val="14"/>
              </w:rPr>
              <w:t>5,438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D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C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3DC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3DC5" w14:textId="77777777" w:rsidR="003C66EB" w:rsidRDefault="00D96C4E">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DC6" w14:textId="77777777" w:rsidR="003C66EB" w:rsidRDefault="003C66EB">
            <w:pPr>
              <w:jc w:val="right"/>
              <w:rPr>
                <w:rFonts w:ascii="宋体"/>
              </w:rPr>
            </w:pPr>
          </w:p>
        </w:tc>
      </w:tr>
      <w:tr w:rsidR="003C66EB" w14:paraId="5EA23DDA" w14:textId="77777777">
        <w:tc>
          <w:tcPr>
            <w:tcW w:w="0" w:type="auto"/>
            <w:gridSpan w:val="3"/>
            <w:shd w:val="clear" w:color="auto" w:fill="FFFFFF"/>
            <w:tcMar>
              <w:top w:w="40" w:type="dxa"/>
              <w:left w:w="155" w:type="dxa"/>
              <w:bottom w:w="40" w:type="dxa"/>
              <w:right w:w="20" w:type="dxa"/>
            </w:tcMar>
            <w:vAlign w:val="bottom"/>
          </w:tcPr>
          <w:p w14:paraId="5EA23DC8"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A23DC9" w14:textId="77777777" w:rsidR="003C66EB" w:rsidRDefault="00D96C4E">
            <w:pPr>
              <w:jc w:val="right"/>
              <w:textAlignment w:val="bottom"/>
            </w:pPr>
            <w:r>
              <w:rPr>
                <w:rFonts w:ascii="Arial" w:eastAsia="宋体" w:hAnsi="Arial" w:cs="Arial"/>
                <w:b/>
                <w:bCs/>
                <w:color w:val="000000"/>
                <w:sz w:val="14"/>
                <w:szCs w:val="14"/>
              </w:rPr>
              <w:t>3,753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DC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C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DCC" w14:textId="77777777" w:rsidR="003C66EB" w:rsidRDefault="00D96C4E">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D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C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DCF" w14:textId="77777777" w:rsidR="003C66EB" w:rsidRDefault="00D96C4E">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D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D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DD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DD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D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DD5" w14:textId="77777777" w:rsidR="003C66EB" w:rsidRDefault="00D96C4E">
            <w:pPr>
              <w:jc w:val="right"/>
              <w:textAlignment w:val="bottom"/>
            </w:pPr>
            <w:r>
              <w:rPr>
                <w:rFonts w:ascii="Arial" w:eastAsia="宋体" w:hAnsi="Arial" w:cs="Arial"/>
                <w:b/>
                <w:bCs/>
                <w:color w:val="000000"/>
                <w:sz w:val="14"/>
                <w:szCs w:val="14"/>
              </w:rPr>
              <w:t>3,764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DD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DD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DD8" w14:textId="77777777" w:rsidR="003C66EB" w:rsidRDefault="00D96C4E">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DD9" w14:textId="77777777" w:rsidR="003C66EB" w:rsidRDefault="003C66EB">
            <w:pPr>
              <w:jc w:val="right"/>
              <w:rPr>
                <w:rFonts w:ascii="宋体"/>
              </w:rPr>
            </w:pPr>
          </w:p>
        </w:tc>
      </w:tr>
      <w:tr w:rsidR="003C66EB" w14:paraId="5EA23DED" w14:textId="77777777">
        <w:tc>
          <w:tcPr>
            <w:tcW w:w="0" w:type="auto"/>
            <w:gridSpan w:val="3"/>
            <w:shd w:val="clear" w:color="auto" w:fill="CCEEFF"/>
            <w:tcMar>
              <w:top w:w="40" w:type="dxa"/>
              <w:left w:w="245" w:type="dxa"/>
              <w:bottom w:w="40" w:type="dxa"/>
              <w:right w:w="20" w:type="dxa"/>
            </w:tcMar>
            <w:vAlign w:val="bottom"/>
          </w:tcPr>
          <w:p w14:paraId="5EA23DDB" w14:textId="77777777" w:rsidR="003C66EB" w:rsidRDefault="00D96C4E">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DDC" w14:textId="77777777" w:rsidR="003C66EB" w:rsidRDefault="00D96C4E">
            <w:pPr>
              <w:jc w:val="right"/>
              <w:textAlignment w:val="bottom"/>
            </w:pPr>
            <w:r>
              <w:rPr>
                <w:rFonts w:ascii="Arial" w:eastAsia="宋体" w:hAnsi="Arial" w:cs="Arial"/>
                <w:b/>
                <w:bCs/>
                <w:color w:val="000000"/>
                <w:sz w:val="14"/>
                <w:szCs w:val="14"/>
              </w:rPr>
              <w:t>9,191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D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D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DDF" w14:textId="77777777" w:rsidR="003C66EB" w:rsidRDefault="00D96C4E">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DE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E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DE2" w14:textId="77777777" w:rsidR="003C66EB" w:rsidRDefault="00D96C4E">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D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E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DE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DE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E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DE8" w14:textId="77777777" w:rsidR="003C66EB" w:rsidRDefault="00D96C4E">
            <w:pPr>
              <w:jc w:val="right"/>
              <w:textAlignment w:val="bottom"/>
            </w:pPr>
            <w:r>
              <w:rPr>
                <w:rFonts w:ascii="Arial" w:eastAsia="宋体" w:hAnsi="Arial" w:cs="Arial"/>
                <w:b/>
                <w:bCs/>
                <w:color w:val="000000"/>
                <w:sz w:val="14"/>
                <w:szCs w:val="14"/>
              </w:rPr>
              <w:t>9,202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D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DE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DEB" w14:textId="77777777" w:rsidR="003C66EB" w:rsidRDefault="00D96C4E">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DEC" w14:textId="77777777" w:rsidR="003C66EB" w:rsidRDefault="003C66EB">
            <w:pPr>
              <w:jc w:val="right"/>
              <w:rPr>
                <w:rFonts w:ascii="宋体"/>
              </w:rPr>
            </w:pPr>
          </w:p>
        </w:tc>
      </w:tr>
      <w:tr w:rsidR="003C66EB" w14:paraId="5EA23DFA" w14:textId="77777777">
        <w:tc>
          <w:tcPr>
            <w:tcW w:w="0" w:type="auto"/>
            <w:gridSpan w:val="3"/>
            <w:shd w:val="clear" w:color="auto" w:fill="FFFFFF"/>
            <w:tcMar>
              <w:top w:w="40" w:type="dxa"/>
              <w:left w:w="20" w:type="dxa"/>
              <w:bottom w:w="40" w:type="dxa"/>
              <w:right w:w="20" w:type="dxa"/>
            </w:tcMar>
            <w:vAlign w:val="bottom"/>
          </w:tcPr>
          <w:p w14:paraId="5EA23DEE"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3DE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DF0"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DF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DF2"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DF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DF4"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DF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DF6"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DF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3DF8"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3DF9" w14:textId="77777777" w:rsidR="003C66EB" w:rsidRDefault="003C66EB">
            <w:pPr>
              <w:rPr>
                <w:rFonts w:ascii="宋体"/>
              </w:rPr>
            </w:pPr>
          </w:p>
        </w:tc>
      </w:tr>
      <w:tr w:rsidR="003C66EB" w14:paraId="5EA23E07" w14:textId="77777777">
        <w:trPr>
          <w:hidden/>
        </w:trPr>
        <w:tc>
          <w:tcPr>
            <w:tcW w:w="0" w:type="auto"/>
            <w:gridSpan w:val="3"/>
            <w:shd w:val="clear" w:color="auto" w:fill="auto"/>
          </w:tcPr>
          <w:p w14:paraId="5EA23DFB" w14:textId="77777777" w:rsidR="003C66EB" w:rsidRDefault="003C66EB">
            <w:pPr>
              <w:rPr>
                <w:rFonts w:ascii="宋体"/>
                <w:vanish/>
              </w:rPr>
            </w:pPr>
          </w:p>
        </w:tc>
        <w:tc>
          <w:tcPr>
            <w:tcW w:w="0" w:type="auto"/>
            <w:gridSpan w:val="3"/>
            <w:shd w:val="clear" w:color="auto" w:fill="auto"/>
          </w:tcPr>
          <w:p w14:paraId="5EA23DFC" w14:textId="77777777" w:rsidR="003C66EB" w:rsidRDefault="003C66EB">
            <w:pPr>
              <w:rPr>
                <w:rFonts w:ascii="宋体"/>
                <w:vanish/>
              </w:rPr>
            </w:pPr>
          </w:p>
        </w:tc>
        <w:tc>
          <w:tcPr>
            <w:tcW w:w="0" w:type="auto"/>
            <w:gridSpan w:val="3"/>
            <w:shd w:val="clear" w:color="auto" w:fill="auto"/>
          </w:tcPr>
          <w:p w14:paraId="5EA23DFD" w14:textId="77777777" w:rsidR="003C66EB" w:rsidRDefault="003C66EB">
            <w:pPr>
              <w:rPr>
                <w:rFonts w:ascii="宋体"/>
                <w:vanish/>
              </w:rPr>
            </w:pPr>
          </w:p>
        </w:tc>
        <w:tc>
          <w:tcPr>
            <w:tcW w:w="0" w:type="auto"/>
            <w:gridSpan w:val="3"/>
            <w:shd w:val="clear" w:color="auto" w:fill="auto"/>
          </w:tcPr>
          <w:p w14:paraId="5EA23DFE" w14:textId="77777777" w:rsidR="003C66EB" w:rsidRDefault="003C66EB">
            <w:pPr>
              <w:rPr>
                <w:rFonts w:ascii="宋体"/>
                <w:vanish/>
              </w:rPr>
            </w:pPr>
          </w:p>
        </w:tc>
        <w:tc>
          <w:tcPr>
            <w:tcW w:w="0" w:type="auto"/>
            <w:gridSpan w:val="3"/>
            <w:shd w:val="clear" w:color="auto" w:fill="auto"/>
          </w:tcPr>
          <w:p w14:paraId="5EA23DFF" w14:textId="77777777" w:rsidR="003C66EB" w:rsidRDefault="003C66EB">
            <w:pPr>
              <w:rPr>
                <w:rFonts w:ascii="宋体"/>
                <w:vanish/>
              </w:rPr>
            </w:pPr>
          </w:p>
        </w:tc>
        <w:tc>
          <w:tcPr>
            <w:tcW w:w="0" w:type="auto"/>
            <w:gridSpan w:val="3"/>
            <w:shd w:val="clear" w:color="auto" w:fill="auto"/>
          </w:tcPr>
          <w:p w14:paraId="5EA23E00" w14:textId="77777777" w:rsidR="003C66EB" w:rsidRDefault="003C66EB">
            <w:pPr>
              <w:rPr>
                <w:rFonts w:ascii="宋体"/>
                <w:vanish/>
              </w:rPr>
            </w:pPr>
          </w:p>
        </w:tc>
        <w:tc>
          <w:tcPr>
            <w:tcW w:w="0" w:type="auto"/>
            <w:gridSpan w:val="3"/>
            <w:shd w:val="clear" w:color="auto" w:fill="auto"/>
          </w:tcPr>
          <w:p w14:paraId="5EA23E01" w14:textId="77777777" w:rsidR="003C66EB" w:rsidRDefault="003C66EB">
            <w:pPr>
              <w:rPr>
                <w:rFonts w:ascii="宋体"/>
                <w:vanish/>
              </w:rPr>
            </w:pPr>
          </w:p>
        </w:tc>
        <w:tc>
          <w:tcPr>
            <w:tcW w:w="0" w:type="auto"/>
            <w:gridSpan w:val="3"/>
            <w:shd w:val="clear" w:color="auto" w:fill="auto"/>
          </w:tcPr>
          <w:p w14:paraId="5EA23E02" w14:textId="77777777" w:rsidR="003C66EB" w:rsidRDefault="003C66EB">
            <w:pPr>
              <w:rPr>
                <w:rFonts w:ascii="宋体"/>
                <w:vanish/>
              </w:rPr>
            </w:pPr>
          </w:p>
        </w:tc>
        <w:tc>
          <w:tcPr>
            <w:tcW w:w="0" w:type="auto"/>
            <w:gridSpan w:val="3"/>
            <w:shd w:val="clear" w:color="auto" w:fill="auto"/>
          </w:tcPr>
          <w:p w14:paraId="5EA23E03" w14:textId="77777777" w:rsidR="003C66EB" w:rsidRDefault="003C66EB">
            <w:pPr>
              <w:rPr>
                <w:rFonts w:ascii="宋体"/>
                <w:vanish/>
              </w:rPr>
            </w:pPr>
          </w:p>
        </w:tc>
        <w:tc>
          <w:tcPr>
            <w:tcW w:w="0" w:type="auto"/>
            <w:gridSpan w:val="3"/>
            <w:shd w:val="clear" w:color="auto" w:fill="auto"/>
          </w:tcPr>
          <w:p w14:paraId="5EA23E04" w14:textId="77777777" w:rsidR="003C66EB" w:rsidRDefault="003C66EB">
            <w:pPr>
              <w:rPr>
                <w:rFonts w:ascii="宋体"/>
                <w:vanish/>
              </w:rPr>
            </w:pPr>
          </w:p>
        </w:tc>
        <w:tc>
          <w:tcPr>
            <w:tcW w:w="0" w:type="auto"/>
            <w:gridSpan w:val="3"/>
            <w:shd w:val="clear" w:color="auto" w:fill="auto"/>
          </w:tcPr>
          <w:p w14:paraId="5EA23E05" w14:textId="77777777" w:rsidR="003C66EB" w:rsidRDefault="003C66EB">
            <w:pPr>
              <w:rPr>
                <w:rFonts w:ascii="宋体"/>
                <w:vanish/>
              </w:rPr>
            </w:pPr>
          </w:p>
        </w:tc>
        <w:tc>
          <w:tcPr>
            <w:tcW w:w="0" w:type="auto"/>
            <w:gridSpan w:val="3"/>
            <w:shd w:val="clear" w:color="auto" w:fill="auto"/>
          </w:tcPr>
          <w:p w14:paraId="5EA23E06" w14:textId="77777777" w:rsidR="003C66EB" w:rsidRDefault="003C66EB">
            <w:pPr>
              <w:rPr>
                <w:rFonts w:ascii="宋体"/>
                <w:vanish/>
              </w:rPr>
            </w:pPr>
          </w:p>
        </w:tc>
      </w:tr>
      <w:tr w:rsidR="003C66EB" w14:paraId="5EA23E14" w14:textId="77777777">
        <w:trPr>
          <w:hidden/>
        </w:trPr>
        <w:tc>
          <w:tcPr>
            <w:tcW w:w="0" w:type="auto"/>
            <w:gridSpan w:val="3"/>
            <w:shd w:val="clear" w:color="auto" w:fill="auto"/>
          </w:tcPr>
          <w:p w14:paraId="5EA23E08" w14:textId="77777777" w:rsidR="003C66EB" w:rsidRDefault="003C66EB">
            <w:pPr>
              <w:rPr>
                <w:rFonts w:ascii="宋体"/>
                <w:vanish/>
              </w:rPr>
            </w:pPr>
          </w:p>
        </w:tc>
        <w:tc>
          <w:tcPr>
            <w:tcW w:w="0" w:type="auto"/>
            <w:gridSpan w:val="3"/>
            <w:shd w:val="clear" w:color="auto" w:fill="auto"/>
          </w:tcPr>
          <w:p w14:paraId="5EA23E09" w14:textId="77777777" w:rsidR="003C66EB" w:rsidRDefault="003C66EB">
            <w:pPr>
              <w:rPr>
                <w:rFonts w:ascii="宋体"/>
                <w:vanish/>
              </w:rPr>
            </w:pPr>
          </w:p>
        </w:tc>
        <w:tc>
          <w:tcPr>
            <w:tcW w:w="0" w:type="auto"/>
            <w:gridSpan w:val="3"/>
            <w:shd w:val="clear" w:color="auto" w:fill="auto"/>
          </w:tcPr>
          <w:p w14:paraId="5EA23E0A" w14:textId="77777777" w:rsidR="003C66EB" w:rsidRDefault="003C66EB">
            <w:pPr>
              <w:rPr>
                <w:rFonts w:ascii="宋体"/>
                <w:vanish/>
              </w:rPr>
            </w:pPr>
          </w:p>
        </w:tc>
        <w:tc>
          <w:tcPr>
            <w:tcW w:w="0" w:type="auto"/>
            <w:gridSpan w:val="3"/>
            <w:shd w:val="clear" w:color="auto" w:fill="auto"/>
          </w:tcPr>
          <w:p w14:paraId="5EA23E0B" w14:textId="77777777" w:rsidR="003C66EB" w:rsidRDefault="003C66EB">
            <w:pPr>
              <w:rPr>
                <w:rFonts w:ascii="宋体"/>
                <w:vanish/>
              </w:rPr>
            </w:pPr>
          </w:p>
        </w:tc>
        <w:tc>
          <w:tcPr>
            <w:tcW w:w="0" w:type="auto"/>
            <w:gridSpan w:val="3"/>
            <w:shd w:val="clear" w:color="auto" w:fill="auto"/>
          </w:tcPr>
          <w:p w14:paraId="5EA23E0C" w14:textId="77777777" w:rsidR="003C66EB" w:rsidRDefault="003C66EB">
            <w:pPr>
              <w:rPr>
                <w:rFonts w:ascii="宋体"/>
                <w:vanish/>
              </w:rPr>
            </w:pPr>
          </w:p>
        </w:tc>
        <w:tc>
          <w:tcPr>
            <w:tcW w:w="0" w:type="auto"/>
            <w:gridSpan w:val="3"/>
            <w:shd w:val="clear" w:color="auto" w:fill="auto"/>
          </w:tcPr>
          <w:p w14:paraId="5EA23E0D" w14:textId="77777777" w:rsidR="003C66EB" w:rsidRDefault="003C66EB">
            <w:pPr>
              <w:rPr>
                <w:rFonts w:ascii="宋体"/>
                <w:vanish/>
              </w:rPr>
            </w:pPr>
          </w:p>
        </w:tc>
        <w:tc>
          <w:tcPr>
            <w:tcW w:w="0" w:type="auto"/>
            <w:gridSpan w:val="3"/>
            <w:shd w:val="clear" w:color="auto" w:fill="auto"/>
          </w:tcPr>
          <w:p w14:paraId="5EA23E0E" w14:textId="77777777" w:rsidR="003C66EB" w:rsidRDefault="003C66EB">
            <w:pPr>
              <w:rPr>
                <w:rFonts w:ascii="宋体"/>
                <w:vanish/>
              </w:rPr>
            </w:pPr>
          </w:p>
        </w:tc>
        <w:tc>
          <w:tcPr>
            <w:tcW w:w="0" w:type="auto"/>
            <w:gridSpan w:val="3"/>
            <w:shd w:val="clear" w:color="auto" w:fill="auto"/>
          </w:tcPr>
          <w:p w14:paraId="5EA23E0F" w14:textId="77777777" w:rsidR="003C66EB" w:rsidRDefault="003C66EB">
            <w:pPr>
              <w:rPr>
                <w:rFonts w:ascii="宋体"/>
                <w:vanish/>
              </w:rPr>
            </w:pPr>
          </w:p>
        </w:tc>
        <w:tc>
          <w:tcPr>
            <w:tcW w:w="0" w:type="auto"/>
            <w:gridSpan w:val="3"/>
            <w:shd w:val="clear" w:color="auto" w:fill="auto"/>
          </w:tcPr>
          <w:p w14:paraId="5EA23E10" w14:textId="77777777" w:rsidR="003C66EB" w:rsidRDefault="003C66EB">
            <w:pPr>
              <w:rPr>
                <w:rFonts w:ascii="宋体"/>
                <w:vanish/>
              </w:rPr>
            </w:pPr>
          </w:p>
        </w:tc>
        <w:tc>
          <w:tcPr>
            <w:tcW w:w="0" w:type="auto"/>
            <w:gridSpan w:val="3"/>
            <w:shd w:val="clear" w:color="auto" w:fill="auto"/>
          </w:tcPr>
          <w:p w14:paraId="5EA23E11" w14:textId="77777777" w:rsidR="003C66EB" w:rsidRDefault="003C66EB">
            <w:pPr>
              <w:rPr>
                <w:rFonts w:ascii="宋体"/>
                <w:vanish/>
              </w:rPr>
            </w:pPr>
          </w:p>
        </w:tc>
        <w:tc>
          <w:tcPr>
            <w:tcW w:w="0" w:type="auto"/>
            <w:gridSpan w:val="3"/>
            <w:shd w:val="clear" w:color="auto" w:fill="auto"/>
          </w:tcPr>
          <w:p w14:paraId="5EA23E12" w14:textId="77777777" w:rsidR="003C66EB" w:rsidRDefault="003C66EB">
            <w:pPr>
              <w:rPr>
                <w:rFonts w:ascii="宋体"/>
                <w:vanish/>
              </w:rPr>
            </w:pPr>
          </w:p>
        </w:tc>
        <w:tc>
          <w:tcPr>
            <w:tcW w:w="0" w:type="auto"/>
            <w:gridSpan w:val="3"/>
            <w:shd w:val="clear" w:color="auto" w:fill="auto"/>
          </w:tcPr>
          <w:p w14:paraId="5EA23E13" w14:textId="77777777" w:rsidR="003C66EB" w:rsidRDefault="003C66EB">
            <w:pPr>
              <w:rPr>
                <w:rFonts w:ascii="宋体"/>
                <w:vanish/>
              </w:rPr>
            </w:pPr>
          </w:p>
        </w:tc>
      </w:tr>
      <w:tr w:rsidR="003C66EB" w14:paraId="5EA23E21" w14:textId="77777777">
        <w:trPr>
          <w:hidden/>
        </w:trPr>
        <w:tc>
          <w:tcPr>
            <w:tcW w:w="0" w:type="auto"/>
            <w:gridSpan w:val="3"/>
            <w:shd w:val="clear" w:color="auto" w:fill="auto"/>
          </w:tcPr>
          <w:p w14:paraId="5EA23E15" w14:textId="77777777" w:rsidR="003C66EB" w:rsidRDefault="003C66EB">
            <w:pPr>
              <w:rPr>
                <w:rFonts w:ascii="宋体"/>
                <w:vanish/>
              </w:rPr>
            </w:pPr>
          </w:p>
        </w:tc>
        <w:tc>
          <w:tcPr>
            <w:tcW w:w="0" w:type="auto"/>
            <w:gridSpan w:val="3"/>
            <w:shd w:val="clear" w:color="auto" w:fill="auto"/>
          </w:tcPr>
          <w:p w14:paraId="5EA23E16" w14:textId="77777777" w:rsidR="003C66EB" w:rsidRDefault="003C66EB">
            <w:pPr>
              <w:rPr>
                <w:rFonts w:ascii="宋体"/>
                <w:vanish/>
              </w:rPr>
            </w:pPr>
          </w:p>
        </w:tc>
        <w:tc>
          <w:tcPr>
            <w:tcW w:w="0" w:type="auto"/>
            <w:gridSpan w:val="3"/>
            <w:shd w:val="clear" w:color="auto" w:fill="auto"/>
          </w:tcPr>
          <w:p w14:paraId="5EA23E17" w14:textId="77777777" w:rsidR="003C66EB" w:rsidRDefault="003C66EB">
            <w:pPr>
              <w:rPr>
                <w:rFonts w:ascii="宋体"/>
                <w:vanish/>
              </w:rPr>
            </w:pPr>
          </w:p>
        </w:tc>
        <w:tc>
          <w:tcPr>
            <w:tcW w:w="0" w:type="auto"/>
            <w:gridSpan w:val="3"/>
            <w:shd w:val="clear" w:color="auto" w:fill="auto"/>
          </w:tcPr>
          <w:p w14:paraId="5EA23E18" w14:textId="77777777" w:rsidR="003C66EB" w:rsidRDefault="003C66EB">
            <w:pPr>
              <w:rPr>
                <w:rFonts w:ascii="宋体"/>
                <w:vanish/>
              </w:rPr>
            </w:pPr>
          </w:p>
        </w:tc>
        <w:tc>
          <w:tcPr>
            <w:tcW w:w="0" w:type="auto"/>
            <w:gridSpan w:val="3"/>
            <w:shd w:val="clear" w:color="auto" w:fill="auto"/>
          </w:tcPr>
          <w:p w14:paraId="5EA23E19" w14:textId="77777777" w:rsidR="003C66EB" w:rsidRDefault="003C66EB">
            <w:pPr>
              <w:rPr>
                <w:rFonts w:ascii="宋体"/>
                <w:vanish/>
              </w:rPr>
            </w:pPr>
          </w:p>
        </w:tc>
        <w:tc>
          <w:tcPr>
            <w:tcW w:w="0" w:type="auto"/>
            <w:gridSpan w:val="3"/>
            <w:shd w:val="clear" w:color="auto" w:fill="auto"/>
          </w:tcPr>
          <w:p w14:paraId="5EA23E1A" w14:textId="77777777" w:rsidR="003C66EB" w:rsidRDefault="003C66EB">
            <w:pPr>
              <w:rPr>
                <w:rFonts w:ascii="宋体"/>
                <w:vanish/>
              </w:rPr>
            </w:pPr>
          </w:p>
        </w:tc>
        <w:tc>
          <w:tcPr>
            <w:tcW w:w="0" w:type="auto"/>
            <w:gridSpan w:val="3"/>
            <w:shd w:val="clear" w:color="auto" w:fill="auto"/>
          </w:tcPr>
          <w:p w14:paraId="5EA23E1B" w14:textId="77777777" w:rsidR="003C66EB" w:rsidRDefault="003C66EB">
            <w:pPr>
              <w:rPr>
                <w:rFonts w:ascii="宋体"/>
                <w:vanish/>
              </w:rPr>
            </w:pPr>
          </w:p>
        </w:tc>
        <w:tc>
          <w:tcPr>
            <w:tcW w:w="0" w:type="auto"/>
            <w:gridSpan w:val="3"/>
            <w:shd w:val="clear" w:color="auto" w:fill="auto"/>
          </w:tcPr>
          <w:p w14:paraId="5EA23E1C" w14:textId="77777777" w:rsidR="003C66EB" w:rsidRDefault="003C66EB">
            <w:pPr>
              <w:rPr>
                <w:rFonts w:ascii="宋体"/>
                <w:vanish/>
              </w:rPr>
            </w:pPr>
          </w:p>
        </w:tc>
        <w:tc>
          <w:tcPr>
            <w:tcW w:w="0" w:type="auto"/>
            <w:gridSpan w:val="3"/>
            <w:shd w:val="clear" w:color="auto" w:fill="auto"/>
          </w:tcPr>
          <w:p w14:paraId="5EA23E1D" w14:textId="77777777" w:rsidR="003C66EB" w:rsidRDefault="003C66EB">
            <w:pPr>
              <w:rPr>
                <w:rFonts w:ascii="宋体"/>
                <w:vanish/>
              </w:rPr>
            </w:pPr>
          </w:p>
        </w:tc>
        <w:tc>
          <w:tcPr>
            <w:tcW w:w="0" w:type="auto"/>
            <w:gridSpan w:val="3"/>
            <w:shd w:val="clear" w:color="auto" w:fill="auto"/>
          </w:tcPr>
          <w:p w14:paraId="5EA23E1E" w14:textId="77777777" w:rsidR="003C66EB" w:rsidRDefault="003C66EB">
            <w:pPr>
              <w:rPr>
                <w:rFonts w:ascii="宋体"/>
                <w:vanish/>
              </w:rPr>
            </w:pPr>
          </w:p>
        </w:tc>
        <w:tc>
          <w:tcPr>
            <w:tcW w:w="0" w:type="auto"/>
            <w:gridSpan w:val="3"/>
            <w:shd w:val="clear" w:color="auto" w:fill="auto"/>
          </w:tcPr>
          <w:p w14:paraId="5EA23E1F" w14:textId="77777777" w:rsidR="003C66EB" w:rsidRDefault="003C66EB">
            <w:pPr>
              <w:rPr>
                <w:rFonts w:ascii="宋体"/>
                <w:vanish/>
              </w:rPr>
            </w:pPr>
          </w:p>
        </w:tc>
        <w:tc>
          <w:tcPr>
            <w:tcW w:w="0" w:type="auto"/>
            <w:gridSpan w:val="3"/>
            <w:shd w:val="clear" w:color="auto" w:fill="auto"/>
          </w:tcPr>
          <w:p w14:paraId="5EA23E20" w14:textId="77777777" w:rsidR="003C66EB" w:rsidRDefault="003C66EB">
            <w:pPr>
              <w:rPr>
                <w:rFonts w:ascii="宋体"/>
                <w:vanish/>
              </w:rPr>
            </w:pPr>
          </w:p>
        </w:tc>
      </w:tr>
      <w:tr w:rsidR="003C66EB" w14:paraId="5EA23E34" w14:textId="77777777">
        <w:tc>
          <w:tcPr>
            <w:tcW w:w="0" w:type="auto"/>
            <w:gridSpan w:val="3"/>
            <w:shd w:val="clear" w:color="auto" w:fill="CCEEFF"/>
            <w:tcMar>
              <w:top w:w="40" w:type="dxa"/>
              <w:left w:w="155" w:type="dxa"/>
              <w:bottom w:w="40" w:type="dxa"/>
              <w:right w:w="20" w:type="dxa"/>
            </w:tcMar>
            <w:vAlign w:val="bottom"/>
          </w:tcPr>
          <w:p w14:paraId="5EA23E22" w14:textId="77777777" w:rsidR="003C66EB" w:rsidRDefault="00D96C4E">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5EA23E23" w14:textId="77777777" w:rsidR="003C66EB" w:rsidRDefault="00D96C4E">
            <w:pPr>
              <w:jc w:val="right"/>
              <w:textAlignment w:val="bottom"/>
            </w:pPr>
            <w:r>
              <w:rPr>
                <w:rFonts w:ascii="Arial" w:eastAsia="宋体" w:hAnsi="Arial" w:cs="Arial"/>
                <w:b/>
                <w:bCs/>
                <w:color w:val="000000"/>
                <w:sz w:val="14"/>
                <w:szCs w:val="14"/>
              </w:rPr>
              <w:t>985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2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2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2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2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29" w14:textId="77777777" w:rsidR="003C66EB" w:rsidRDefault="00D96C4E">
            <w:pPr>
              <w:jc w:val="right"/>
              <w:textAlignment w:val="bottom"/>
            </w:pPr>
            <w:r>
              <w:rPr>
                <w:rFonts w:ascii="Arial" w:eastAsia="宋体" w:hAnsi="Arial" w:cs="Arial"/>
                <w:b/>
                <w:bCs/>
                <w:color w:val="000000"/>
                <w:sz w:val="14"/>
                <w:szCs w:val="14"/>
              </w:rPr>
              <w:t>234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2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2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2C"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2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2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2F" w14:textId="77777777" w:rsidR="003C66EB" w:rsidRDefault="00D96C4E">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3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3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32"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33" w14:textId="77777777" w:rsidR="003C66EB" w:rsidRDefault="003C66EB">
            <w:pPr>
              <w:jc w:val="right"/>
              <w:rPr>
                <w:rFonts w:ascii="宋体"/>
              </w:rPr>
            </w:pPr>
          </w:p>
        </w:tc>
      </w:tr>
      <w:tr w:rsidR="003C66EB" w14:paraId="5EA23E47" w14:textId="77777777">
        <w:tc>
          <w:tcPr>
            <w:tcW w:w="0" w:type="auto"/>
            <w:gridSpan w:val="3"/>
            <w:shd w:val="clear" w:color="auto" w:fill="FFFFFF"/>
            <w:tcMar>
              <w:top w:w="40" w:type="dxa"/>
              <w:left w:w="245" w:type="dxa"/>
              <w:bottom w:w="40" w:type="dxa"/>
              <w:right w:w="20" w:type="dxa"/>
            </w:tcMar>
            <w:vAlign w:val="bottom"/>
          </w:tcPr>
          <w:p w14:paraId="5EA23E35" w14:textId="77777777" w:rsidR="003C66EB" w:rsidRDefault="00D96C4E">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36" w14:textId="77777777" w:rsidR="003C66EB" w:rsidRDefault="00D96C4E">
            <w:pPr>
              <w:jc w:val="right"/>
              <w:textAlignment w:val="bottom"/>
            </w:pPr>
            <w:r>
              <w:rPr>
                <w:rFonts w:ascii="Arial" w:eastAsia="宋体" w:hAnsi="Arial" w:cs="Arial"/>
                <w:b/>
                <w:bCs/>
                <w:color w:val="000000"/>
                <w:sz w:val="14"/>
                <w:szCs w:val="14"/>
              </w:rPr>
              <w:t>985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3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3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3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3C" w14:textId="77777777" w:rsidR="003C66EB" w:rsidRDefault="00D96C4E">
            <w:pPr>
              <w:jc w:val="right"/>
              <w:textAlignment w:val="bottom"/>
            </w:pPr>
            <w:r>
              <w:rPr>
                <w:rFonts w:ascii="Arial" w:eastAsia="宋体" w:hAnsi="Arial" w:cs="Arial"/>
                <w:b/>
                <w:bCs/>
                <w:color w:val="000000"/>
                <w:sz w:val="14"/>
                <w:szCs w:val="14"/>
              </w:rPr>
              <w:t>234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3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3F"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4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42" w14:textId="77777777" w:rsidR="003C66EB" w:rsidRDefault="00D96C4E">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4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45"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46" w14:textId="77777777" w:rsidR="003C66EB" w:rsidRDefault="003C66EB">
            <w:pPr>
              <w:jc w:val="right"/>
              <w:rPr>
                <w:rFonts w:ascii="宋体"/>
              </w:rPr>
            </w:pPr>
          </w:p>
        </w:tc>
      </w:tr>
      <w:tr w:rsidR="003C66EB" w14:paraId="5EA23E54" w14:textId="77777777">
        <w:tc>
          <w:tcPr>
            <w:tcW w:w="0" w:type="auto"/>
            <w:gridSpan w:val="3"/>
            <w:shd w:val="clear" w:color="auto" w:fill="CCEEFF"/>
            <w:tcMar>
              <w:top w:w="40" w:type="dxa"/>
              <w:left w:w="20" w:type="dxa"/>
              <w:bottom w:w="40" w:type="dxa"/>
              <w:right w:w="20" w:type="dxa"/>
            </w:tcMar>
            <w:vAlign w:val="bottom"/>
          </w:tcPr>
          <w:p w14:paraId="5EA23E48" w14:textId="77777777" w:rsidR="003C66EB" w:rsidRDefault="00D96C4E">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5EA23E4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E4A"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3E4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E4C"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3E4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E4E"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3E4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E50"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3E5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3E52"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3E53" w14:textId="77777777" w:rsidR="003C66EB" w:rsidRDefault="003C66EB">
            <w:pPr>
              <w:rPr>
                <w:rFonts w:ascii="宋体"/>
              </w:rPr>
            </w:pPr>
          </w:p>
        </w:tc>
      </w:tr>
      <w:tr w:rsidR="003C66EB" w14:paraId="5EA23E61" w14:textId="77777777">
        <w:trPr>
          <w:hidden/>
        </w:trPr>
        <w:tc>
          <w:tcPr>
            <w:tcW w:w="0" w:type="auto"/>
            <w:gridSpan w:val="3"/>
            <w:shd w:val="clear" w:color="auto" w:fill="auto"/>
          </w:tcPr>
          <w:p w14:paraId="5EA23E55" w14:textId="77777777" w:rsidR="003C66EB" w:rsidRDefault="003C66EB">
            <w:pPr>
              <w:rPr>
                <w:rFonts w:ascii="宋体"/>
                <w:vanish/>
              </w:rPr>
            </w:pPr>
          </w:p>
        </w:tc>
        <w:tc>
          <w:tcPr>
            <w:tcW w:w="0" w:type="auto"/>
            <w:gridSpan w:val="3"/>
            <w:shd w:val="clear" w:color="auto" w:fill="auto"/>
          </w:tcPr>
          <w:p w14:paraId="5EA23E56" w14:textId="77777777" w:rsidR="003C66EB" w:rsidRDefault="003C66EB">
            <w:pPr>
              <w:rPr>
                <w:rFonts w:ascii="宋体"/>
                <w:vanish/>
              </w:rPr>
            </w:pPr>
          </w:p>
        </w:tc>
        <w:tc>
          <w:tcPr>
            <w:tcW w:w="0" w:type="auto"/>
            <w:gridSpan w:val="3"/>
            <w:shd w:val="clear" w:color="auto" w:fill="auto"/>
          </w:tcPr>
          <w:p w14:paraId="5EA23E57" w14:textId="77777777" w:rsidR="003C66EB" w:rsidRDefault="003C66EB">
            <w:pPr>
              <w:rPr>
                <w:rFonts w:ascii="宋体"/>
                <w:vanish/>
              </w:rPr>
            </w:pPr>
          </w:p>
        </w:tc>
        <w:tc>
          <w:tcPr>
            <w:tcW w:w="0" w:type="auto"/>
            <w:gridSpan w:val="3"/>
            <w:shd w:val="clear" w:color="auto" w:fill="auto"/>
          </w:tcPr>
          <w:p w14:paraId="5EA23E58" w14:textId="77777777" w:rsidR="003C66EB" w:rsidRDefault="003C66EB">
            <w:pPr>
              <w:rPr>
                <w:rFonts w:ascii="宋体"/>
                <w:vanish/>
              </w:rPr>
            </w:pPr>
          </w:p>
        </w:tc>
        <w:tc>
          <w:tcPr>
            <w:tcW w:w="0" w:type="auto"/>
            <w:gridSpan w:val="3"/>
            <w:shd w:val="clear" w:color="auto" w:fill="auto"/>
          </w:tcPr>
          <w:p w14:paraId="5EA23E59" w14:textId="77777777" w:rsidR="003C66EB" w:rsidRDefault="003C66EB">
            <w:pPr>
              <w:rPr>
                <w:rFonts w:ascii="宋体"/>
                <w:vanish/>
              </w:rPr>
            </w:pPr>
          </w:p>
        </w:tc>
        <w:tc>
          <w:tcPr>
            <w:tcW w:w="0" w:type="auto"/>
            <w:gridSpan w:val="3"/>
            <w:shd w:val="clear" w:color="auto" w:fill="auto"/>
          </w:tcPr>
          <w:p w14:paraId="5EA23E5A" w14:textId="77777777" w:rsidR="003C66EB" w:rsidRDefault="003C66EB">
            <w:pPr>
              <w:rPr>
                <w:rFonts w:ascii="宋体"/>
                <w:vanish/>
              </w:rPr>
            </w:pPr>
          </w:p>
        </w:tc>
        <w:tc>
          <w:tcPr>
            <w:tcW w:w="0" w:type="auto"/>
            <w:gridSpan w:val="3"/>
            <w:shd w:val="clear" w:color="auto" w:fill="auto"/>
          </w:tcPr>
          <w:p w14:paraId="5EA23E5B" w14:textId="77777777" w:rsidR="003C66EB" w:rsidRDefault="003C66EB">
            <w:pPr>
              <w:rPr>
                <w:rFonts w:ascii="宋体"/>
                <w:vanish/>
              </w:rPr>
            </w:pPr>
          </w:p>
        </w:tc>
        <w:tc>
          <w:tcPr>
            <w:tcW w:w="0" w:type="auto"/>
            <w:gridSpan w:val="3"/>
            <w:shd w:val="clear" w:color="auto" w:fill="auto"/>
          </w:tcPr>
          <w:p w14:paraId="5EA23E5C" w14:textId="77777777" w:rsidR="003C66EB" w:rsidRDefault="003C66EB">
            <w:pPr>
              <w:rPr>
                <w:rFonts w:ascii="宋体"/>
                <w:vanish/>
              </w:rPr>
            </w:pPr>
          </w:p>
        </w:tc>
        <w:tc>
          <w:tcPr>
            <w:tcW w:w="0" w:type="auto"/>
            <w:gridSpan w:val="3"/>
            <w:shd w:val="clear" w:color="auto" w:fill="auto"/>
          </w:tcPr>
          <w:p w14:paraId="5EA23E5D" w14:textId="77777777" w:rsidR="003C66EB" w:rsidRDefault="003C66EB">
            <w:pPr>
              <w:rPr>
                <w:rFonts w:ascii="宋体"/>
                <w:vanish/>
              </w:rPr>
            </w:pPr>
          </w:p>
        </w:tc>
        <w:tc>
          <w:tcPr>
            <w:tcW w:w="0" w:type="auto"/>
            <w:gridSpan w:val="3"/>
            <w:shd w:val="clear" w:color="auto" w:fill="auto"/>
          </w:tcPr>
          <w:p w14:paraId="5EA23E5E" w14:textId="77777777" w:rsidR="003C66EB" w:rsidRDefault="003C66EB">
            <w:pPr>
              <w:rPr>
                <w:rFonts w:ascii="宋体"/>
                <w:vanish/>
              </w:rPr>
            </w:pPr>
          </w:p>
        </w:tc>
        <w:tc>
          <w:tcPr>
            <w:tcW w:w="0" w:type="auto"/>
            <w:gridSpan w:val="3"/>
            <w:shd w:val="clear" w:color="auto" w:fill="auto"/>
          </w:tcPr>
          <w:p w14:paraId="5EA23E5F" w14:textId="77777777" w:rsidR="003C66EB" w:rsidRDefault="003C66EB">
            <w:pPr>
              <w:rPr>
                <w:rFonts w:ascii="宋体"/>
                <w:vanish/>
              </w:rPr>
            </w:pPr>
          </w:p>
        </w:tc>
        <w:tc>
          <w:tcPr>
            <w:tcW w:w="0" w:type="auto"/>
            <w:gridSpan w:val="3"/>
            <w:shd w:val="clear" w:color="auto" w:fill="auto"/>
          </w:tcPr>
          <w:p w14:paraId="5EA23E60" w14:textId="77777777" w:rsidR="003C66EB" w:rsidRDefault="003C66EB">
            <w:pPr>
              <w:rPr>
                <w:rFonts w:ascii="宋体"/>
                <w:vanish/>
              </w:rPr>
            </w:pPr>
          </w:p>
        </w:tc>
      </w:tr>
      <w:tr w:rsidR="003C66EB" w14:paraId="5EA23E74" w14:textId="77777777">
        <w:tc>
          <w:tcPr>
            <w:tcW w:w="0" w:type="auto"/>
            <w:gridSpan w:val="3"/>
            <w:shd w:val="clear" w:color="auto" w:fill="FFFFFF"/>
            <w:tcMar>
              <w:top w:w="40" w:type="dxa"/>
              <w:left w:w="155" w:type="dxa"/>
              <w:bottom w:w="40" w:type="dxa"/>
              <w:right w:w="20" w:type="dxa"/>
            </w:tcMar>
            <w:vAlign w:val="bottom"/>
          </w:tcPr>
          <w:p w14:paraId="5EA23E62"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A23E63" w14:textId="77777777" w:rsidR="003C66EB" w:rsidRDefault="00D96C4E">
            <w:pPr>
              <w:jc w:val="right"/>
              <w:textAlignment w:val="bottom"/>
            </w:pPr>
            <w:r>
              <w:rPr>
                <w:rFonts w:ascii="Arial" w:eastAsia="宋体" w:hAnsi="Arial" w:cs="Arial"/>
                <w:b/>
                <w:bCs/>
                <w:color w:val="000000"/>
                <w:sz w:val="14"/>
                <w:szCs w:val="14"/>
              </w:rPr>
              <w:t>231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6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6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6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69" w14:textId="77777777" w:rsidR="003C66EB" w:rsidRDefault="00D96C4E">
            <w:pPr>
              <w:jc w:val="right"/>
              <w:textAlignment w:val="bottom"/>
            </w:pPr>
            <w:r>
              <w:rPr>
                <w:rFonts w:ascii="Arial" w:eastAsia="宋体" w:hAnsi="Arial" w:cs="Arial"/>
                <w:b/>
                <w:bCs/>
                <w:color w:val="000000"/>
                <w:sz w:val="14"/>
                <w:szCs w:val="14"/>
              </w:rPr>
              <w:t>895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6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6C"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6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6F" w14:textId="77777777" w:rsidR="003C66EB" w:rsidRDefault="00D96C4E">
            <w:pPr>
              <w:jc w:val="right"/>
              <w:textAlignment w:val="bottom"/>
            </w:pPr>
            <w:r>
              <w:rPr>
                <w:rFonts w:ascii="Arial" w:eastAsia="宋体" w:hAnsi="Arial" w:cs="Arial"/>
                <w:b/>
                <w:bCs/>
                <w:color w:val="000000"/>
                <w:sz w:val="14"/>
                <w:szCs w:val="14"/>
              </w:rPr>
              <w:t>1,126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7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7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72"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73" w14:textId="77777777" w:rsidR="003C66EB" w:rsidRDefault="003C66EB">
            <w:pPr>
              <w:jc w:val="right"/>
              <w:rPr>
                <w:rFonts w:ascii="宋体"/>
              </w:rPr>
            </w:pPr>
          </w:p>
        </w:tc>
      </w:tr>
      <w:tr w:rsidR="003C66EB" w14:paraId="5EA23E87" w14:textId="77777777">
        <w:tc>
          <w:tcPr>
            <w:tcW w:w="0" w:type="auto"/>
            <w:gridSpan w:val="3"/>
            <w:shd w:val="clear" w:color="auto" w:fill="CCEEFF"/>
            <w:tcMar>
              <w:top w:w="40" w:type="dxa"/>
              <w:left w:w="155" w:type="dxa"/>
              <w:bottom w:w="40" w:type="dxa"/>
              <w:right w:w="20" w:type="dxa"/>
            </w:tcMar>
            <w:vAlign w:val="bottom"/>
          </w:tcPr>
          <w:p w14:paraId="5EA23E75" w14:textId="77777777" w:rsidR="003C66EB" w:rsidRDefault="00D96C4E">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5EA23E76" w14:textId="77777777" w:rsidR="003C66EB" w:rsidRDefault="00D96C4E">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7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79"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7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7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7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7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7F"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82" w14:textId="77777777" w:rsidR="003C66EB" w:rsidRDefault="00D96C4E">
            <w:pPr>
              <w:jc w:val="right"/>
              <w:textAlignment w:val="bottom"/>
            </w:pPr>
            <w:r>
              <w:rPr>
                <w:rFonts w:ascii="Arial" w:eastAsia="宋体" w:hAnsi="Arial" w:cs="Arial"/>
                <w:b/>
                <w:bCs/>
                <w:color w:val="000000"/>
                <w:sz w:val="14"/>
                <w:szCs w:val="14"/>
              </w:rPr>
              <w:t>1,570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8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85"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86" w14:textId="77777777" w:rsidR="003C66EB" w:rsidRDefault="003C66EB">
            <w:pPr>
              <w:jc w:val="right"/>
              <w:rPr>
                <w:rFonts w:ascii="宋体"/>
              </w:rPr>
            </w:pPr>
          </w:p>
        </w:tc>
      </w:tr>
      <w:tr w:rsidR="003C66EB" w14:paraId="5EA23E9A" w14:textId="77777777">
        <w:tc>
          <w:tcPr>
            <w:tcW w:w="0" w:type="auto"/>
            <w:gridSpan w:val="3"/>
            <w:shd w:val="clear" w:color="auto" w:fill="FFFFFF"/>
            <w:tcMar>
              <w:top w:w="40" w:type="dxa"/>
              <w:left w:w="155" w:type="dxa"/>
              <w:bottom w:w="40" w:type="dxa"/>
              <w:right w:w="20" w:type="dxa"/>
            </w:tcMar>
            <w:vAlign w:val="bottom"/>
          </w:tcPr>
          <w:p w14:paraId="5EA23E88" w14:textId="77777777" w:rsidR="003C66EB" w:rsidRDefault="00D96C4E">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A23E89" w14:textId="77777777" w:rsidR="003C66EB" w:rsidRDefault="00D96C4E">
            <w:pPr>
              <w:jc w:val="right"/>
              <w:textAlignment w:val="bottom"/>
            </w:pPr>
            <w:r>
              <w:rPr>
                <w:rFonts w:ascii="Arial" w:eastAsia="宋体" w:hAnsi="Arial" w:cs="Arial"/>
                <w:b/>
                <w:bCs/>
                <w:color w:val="000000"/>
                <w:sz w:val="14"/>
                <w:szCs w:val="14"/>
              </w:rPr>
              <w:t>4,618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8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8C" w14:textId="77777777" w:rsidR="003C66EB" w:rsidRDefault="00D96C4E">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8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8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8F" w14:textId="77777777" w:rsidR="003C66EB" w:rsidRDefault="00D96C4E">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9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9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9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9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95" w14:textId="77777777" w:rsidR="003C66EB" w:rsidRDefault="00D96C4E">
            <w:pPr>
              <w:jc w:val="right"/>
              <w:textAlignment w:val="bottom"/>
            </w:pPr>
            <w:r>
              <w:rPr>
                <w:rFonts w:ascii="Arial" w:eastAsia="宋体" w:hAnsi="Arial" w:cs="Arial"/>
                <w:b/>
                <w:bCs/>
                <w:color w:val="000000"/>
                <w:sz w:val="14"/>
                <w:szCs w:val="14"/>
              </w:rPr>
              <w:t>4,689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9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9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3E98" w14:textId="77777777" w:rsidR="003C66EB" w:rsidRDefault="00D96C4E">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3E99" w14:textId="77777777" w:rsidR="003C66EB" w:rsidRDefault="003C66EB">
            <w:pPr>
              <w:jc w:val="right"/>
              <w:rPr>
                <w:rFonts w:ascii="宋体"/>
              </w:rPr>
            </w:pPr>
          </w:p>
        </w:tc>
      </w:tr>
      <w:tr w:rsidR="003C66EB" w14:paraId="5EA23EAD" w14:textId="77777777">
        <w:tc>
          <w:tcPr>
            <w:tcW w:w="0" w:type="auto"/>
            <w:gridSpan w:val="3"/>
            <w:shd w:val="clear" w:color="auto" w:fill="CCEEFF"/>
            <w:tcMar>
              <w:top w:w="40" w:type="dxa"/>
              <w:left w:w="245" w:type="dxa"/>
              <w:bottom w:w="40" w:type="dxa"/>
              <w:right w:w="20" w:type="dxa"/>
            </w:tcMar>
            <w:vAlign w:val="bottom"/>
          </w:tcPr>
          <w:p w14:paraId="5EA23E9B" w14:textId="77777777" w:rsidR="003C66EB" w:rsidRDefault="00D96C4E">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E9C" w14:textId="77777777" w:rsidR="003C66EB" w:rsidRDefault="00D96C4E">
            <w:pPr>
              <w:jc w:val="right"/>
              <w:textAlignment w:val="bottom"/>
            </w:pPr>
            <w:r>
              <w:rPr>
                <w:rFonts w:ascii="Arial" w:eastAsia="宋体" w:hAnsi="Arial" w:cs="Arial"/>
                <w:b/>
                <w:bCs/>
                <w:color w:val="000000"/>
                <w:sz w:val="14"/>
                <w:szCs w:val="14"/>
              </w:rPr>
              <w:t>6,419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E9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9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E9F" w14:textId="77777777" w:rsidR="003C66EB" w:rsidRDefault="00D96C4E">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E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A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EA2" w14:textId="77777777" w:rsidR="003C66EB" w:rsidRDefault="00D96C4E">
            <w:pPr>
              <w:jc w:val="right"/>
              <w:textAlignment w:val="bottom"/>
            </w:pPr>
            <w:r>
              <w:rPr>
                <w:rFonts w:ascii="Arial" w:eastAsia="宋体" w:hAnsi="Arial" w:cs="Arial"/>
                <w:b/>
                <w:bCs/>
                <w:color w:val="000000"/>
                <w:sz w:val="14"/>
                <w:szCs w:val="14"/>
              </w:rPr>
              <w:t>966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EA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A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EA5"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E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A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EA8" w14:textId="77777777" w:rsidR="003C66EB" w:rsidRDefault="00D96C4E">
            <w:pPr>
              <w:jc w:val="right"/>
              <w:textAlignment w:val="bottom"/>
            </w:pPr>
            <w:r>
              <w:rPr>
                <w:rFonts w:ascii="Arial" w:eastAsia="宋体" w:hAnsi="Arial" w:cs="Arial"/>
                <w:b/>
                <w:bCs/>
                <w:color w:val="000000"/>
                <w:sz w:val="14"/>
                <w:szCs w:val="14"/>
              </w:rPr>
              <w:t>7,385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EA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A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3EAB" w14:textId="77777777" w:rsidR="003C66EB" w:rsidRDefault="00D96C4E">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3EAC" w14:textId="77777777" w:rsidR="003C66EB" w:rsidRDefault="003C66EB">
            <w:pPr>
              <w:jc w:val="right"/>
              <w:rPr>
                <w:rFonts w:ascii="宋体"/>
              </w:rPr>
            </w:pPr>
          </w:p>
        </w:tc>
      </w:tr>
      <w:tr w:rsidR="003C66EB" w14:paraId="5EA23EC0" w14:textId="77777777">
        <w:tc>
          <w:tcPr>
            <w:tcW w:w="0" w:type="auto"/>
            <w:gridSpan w:val="3"/>
            <w:shd w:val="clear" w:color="auto" w:fill="FFFFFF"/>
            <w:tcMar>
              <w:top w:w="40" w:type="dxa"/>
              <w:left w:w="20" w:type="dxa"/>
              <w:bottom w:w="40" w:type="dxa"/>
              <w:right w:w="20" w:type="dxa"/>
            </w:tcMar>
            <w:vAlign w:val="bottom"/>
          </w:tcPr>
          <w:p w14:paraId="5EA23EAE" w14:textId="77777777" w:rsidR="003C66EB" w:rsidRDefault="00D96C4E">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AF" w14:textId="77777777" w:rsidR="003C66EB" w:rsidRDefault="00D96C4E">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B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B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B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B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B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B5" w14:textId="77777777" w:rsidR="003C66EB" w:rsidRDefault="00D96C4E">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B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B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B8"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B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B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BB" w14:textId="77777777" w:rsidR="003C66EB" w:rsidRDefault="00D96C4E">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B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B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3EBE"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3EBF" w14:textId="77777777" w:rsidR="003C66EB" w:rsidRDefault="003C66EB">
            <w:pPr>
              <w:jc w:val="right"/>
              <w:rPr>
                <w:rFonts w:ascii="宋体"/>
              </w:rPr>
            </w:pPr>
          </w:p>
        </w:tc>
      </w:tr>
      <w:tr w:rsidR="003C66EB" w14:paraId="5EA23ECD" w14:textId="77777777">
        <w:trPr>
          <w:hidden/>
        </w:trPr>
        <w:tc>
          <w:tcPr>
            <w:tcW w:w="0" w:type="auto"/>
            <w:gridSpan w:val="3"/>
            <w:shd w:val="clear" w:color="auto" w:fill="auto"/>
          </w:tcPr>
          <w:p w14:paraId="5EA23EC1" w14:textId="77777777" w:rsidR="003C66EB" w:rsidRDefault="003C66EB">
            <w:pPr>
              <w:rPr>
                <w:rFonts w:ascii="宋体"/>
                <w:vanish/>
              </w:rPr>
            </w:pPr>
          </w:p>
        </w:tc>
        <w:tc>
          <w:tcPr>
            <w:tcW w:w="0" w:type="auto"/>
            <w:gridSpan w:val="3"/>
            <w:shd w:val="clear" w:color="auto" w:fill="auto"/>
          </w:tcPr>
          <w:p w14:paraId="5EA23EC2" w14:textId="77777777" w:rsidR="003C66EB" w:rsidRDefault="003C66EB">
            <w:pPr>
              <w:rPr>
                <w:rFonts w:ascii="宋体"/>
                <w:vanish/>
              </w:rPr>
            </w:pPr>
          </w:p>
        </w:tc>
        <w:tc>
          <w:tcPr>
            <w:tcW w:w="0" w:type="auto"/>
            <w:gridSpan w:val="3"/>
            <w:shd w:val="clear" w:color="auto" w:fill="auto"/>
          </w:tcPr>
          <w:p w14:paraId="5EA23EC3" w14:textId="77777777" w:rsidR="003C66EB" w:rsidRDefault="003C66EB">
            <w:pPr>
              <w:rPr>
                <w:rFonts w:ascii="宋体"/>
                <w:vanish/>
              </w:rPr>
            </w:pPr>
          </w:p>
        </w:tc>
        <w:tc>
          <w:tcPr>
            <w:tcW w:w="0" w:type="auto"/>
            <w:gridSpan w:val="3"/>
            <w:shd w:val="clear" w:color="auto" w:fill="auto"/>
          </w:tcPr>
          <w:p w14:paraId="5EA23EC4" w14:textId="77777777" w:rsidR="003C66EB" w:rsidRDefault="003C66EB">
            <w:pPr>
              <w:rPr>
                <w:rFonts w:ascii="宋体"/>
                <w:vanish/>
              </w:rPr>
            </w:pPr>
          </w:p>
        </w:tc>
        <w:tc>
          <w:tcPr>
            <w:tcW w:w="0" w:type="auto"/>
            <w:gridSpan w:val="3"/>
            <w:shd w:val="clear" w:color="auto" w:fill="auto"/>
          </w:tcPr>
          <w:p w14:paraId="5EA23EC5" w14:textId="77777777" w:rsidR="003C66EB" w:rsidRDefault="003C66EB">
            <w:pPr>
              <w:rPr>
                <w:rFonts w:ascii="宋体"/>
                <w:vanish/>
              </w:rPr>
            </w:pPr>
          </w:p>
        </w:tc>
        <w:tc>
          <w:tcPr>
            <w:tcW w:w="0" w:type="auto"/>
            <w:gridSpan w:val="3"/>
            <w:shd w:val="clear" w:color="auto" w:fill="auto"/>
          </w:tcPr>
          <w:p w14:paraId="5EA23EC6" w14:textId="77777777" w:rsidR="003C66EB" w:rsidRDefault="003C66EB">
            <w:pPr>
              <w:rPr>
                <w:rFonts w:ascii="宋体"/>
                <w:vanish/>
              </w:rPr>
            </w:pPr>
          </w:p>
        </w:tc>
        <w:tc>
          <w:tcPr>
            <w:tcW w:w="0" w:type="auto"/>
            <w:gridSpan w:val="3"/>
            <w:shd w:val="clear" w:color="auto" w:fill="auto"/>
          </w:tcPr>
          <w:p w14:paraId="5EA23EC7" w14:textId="77777777" w:rsidR="003C66EB" w:rsidRDefault="003C66EB">
            <w:pPr>
              <w:rPr>
                <w:rFonts w:ascii="宋体"/>
                <w:vanish/>
              </w:rPr>
            </w:pPr>
          </w:p>
        </w:tc>
        <w:tc>
          <w:tcPr>
            <w:tcW w:w="0" w:type="auto"/>
            <w:gridSpan w:val="3"/>
            <w:shd w:val="clear" w:color="auto" w:fill="auto"/>
          </w:tcPr>
          <w:p w14:paraId="5EA23EC8" w14:textId="77777777" w:rsidR="003C66EB" w:rsidRDefault="003C66EB">
            <w:pPr>
              <w:rPr>
                <w:rFonts w:ascii="宋体"/>
                <w:vanish/>
              </w:rPr>
            </w:pPr>
          </w:p>
        </w:tc>
        <w:tc>
          <w:tcPr>
            <w:tcW w:w="0" w:type="auto"/>
            <w:gridSpan w:val="3"/>
            <w:shd w:val="clear" w:color="auto" w:fill="auto"/>
          </w:tcPr>
          <w:p w14:paraId="5EA23EC9" w14:textId="77777777" w:rsidR="003C66EB" w:rsidRDefault="003C66EB">
            <w:pPr>
              <w:rPr>
                <w:rFonts w:ascii="宋体"/>
                <w:vanish/>
              </w:rPr>
            </w:pPr>
          </w:p>
        </w:tc>
        <w:tc>
          <w:tcPr>
            <w:tcW w:w="0" w:type="auto"/>
            <w:gridSpan w:val="3"/>
            <w:shd w:val="clear" w:color="auto" w:fill="auto"/>
          </w:tcPr>
          <w:p w14:paraId="5EA23ECA" w14:textId="77777777" w:rsidR="003C66EB" w:rsidRDefault="003C66EB">
            <w:pPr>
              <w:rPr>
                <w:rFonts w:ascii="宋体"/>
                <w:vanish/>
              </w:rPr>
            </w:pPr>
          </w:p>
        </w:tc>
        <w:tc>
          <w:tcPr>
            <w:tcW w:w="0" w:type="auto"/>
            <w:gridSpan w:val="3"/>
            <w:shd w:val="clear" w:color="auto" w:fill="auto"/>
          </w:tcPr>
          <w:p w14:paraId="5EA23ECB" w14:textId="77777777" w:rsidR="003C66EB" w:rsidRDefault="003C66EB">
            <w:pPr>
              <w:rPr>
                <w:rFonts w:ascii="宋体"/>
                <w:vanish/>
              </w:rPr>
            </w:pPr>
          </w:p>
        </w:tc>
        <w:tc>
          <w:tcPr>
            <w:tcW w:w="0" w:type="auto"/>
            <w:gridSpan w:val="3"/>
            <w:shd w:val="clear" w:color="auto" w:fill="auto"/>
          </w:tcPr>
          <w:p w14:paraId="5EA23ECC" w14:textId="77777777" w:rsidR="003C66EB" w:rsidRDefault="003C66EB">
            <w:pPr>
              <w:rPr>
                <w:rFonts w:ascii="宋体"/>
                <w:vanish/>
              </w:rPr>
            </w:pPr>
          </w:p>
        </w:tc>
      </w:tr>
      <w:tr w:rsidR="003C66EB" w14:paraId="5EA23EE0" w14:textId="77777777">
        <w:tc>
          <w:tcPr>
            <w:tcW w:w="0" w:type="auto"/>
            <w:gridSpan w:val="3"/>
            <w:shd w:val="clear" w:color="auto" w:fill="CCEEFF"/>
            <w:tcMar>
              <w:top w:w="40" w:type="dxa"/>
              <w:left w:w="20" w:type="dxa"/>
              <w:bottom w:w="40" w:type="dxa"/>
              <w:right w:w="20" w:type="dxa"/>
            </w:tcMar>
            <w:vAlign w:val="bottom"/>
          </w:tcPr>
          <w:p w14:paraId="5EA23ECE" w14:textId="77777777" w:rsidR="003C66EB" w:rsidRDefault="00D96C4E">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5EA23ECF" w14:textId="77777777" w:rsidR="003C66EB" w:rsidRDefault="00D96C4E">
            <w:pPr>
              <w:jc w:val="right"/>
              <w:textAlignment w:val="bottom"/>
            </w:pPr>
            <w:r>
              <w:rPr>
                <w:rFonts w:ascii="Arial" w:eastAsia="宋体" w:hAnsi="Arial" w:cs="Arial"/>
                <w:b/>
                <w:bCs/>
                <w:color w:val="000000"/>
                <w:sz w:val="14"/>
                <w:szCs w:val="14"/>
              </w:rPr>
              <w:t>922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D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D2" w14:textId="77777777" w:rsidR="003C66EB" w:rsidRDefault="00D96C4E">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D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D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D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D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D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D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D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DB" w14:textId="77777777" w:rsidR="003C66EB" w:rsidRDefault="00D96C4E">
            <w:pPr>
              <w:jc w:val="right"/>
              <w:textAlignment w:val="bottom"/>
            </w:pPr>
            <w:r>
              <w:rPr>
                <w:rFonts w:ascii="Arial" w:eastAsia="宋体" w:hAnsi="Arial" w:cs="Arial"/>
                <w:b/>
                <w:bCs/>
                <w:color w:val="000000"/>
                <w:sz w:val="14"/>
                <w:szCs w:val="14"/>
              </w:rPr>
              <w:t>922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3ED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3EDE" w14:textId="77777777" w:rsidR="003C66EB" w:rsidRDefault="00D96C4E">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3EDF" w14:textId="77777777" w:rsidR="003C66EB" w:rsidRDefault="003C66EB">
            <w:pPr>
              <w:jc w:val="right"/>
              <w:rPr>
                <w:rFonts w:ascii="宋体"/>
              </w:rPr>
            </w:pPr>
          </w:p>
        </w:tc>
      </w:tr>
      <w:tr w:rsidR="003C66EB" w14:paraId="5EA23EED" w14:textId="77777777">
        <w:trPr>
          <w:hidden/>
        </w:trPr>
        <w:tc>
          <w:tcPr>
            <w:tcW w:w="0" w:type="auto"/>
            <w:gridSpan w:val="3"/>
            <w:shd w:val="clear" w:color="auto" w:fill="auto"/>
          </w:tcPr>
          <w:p w14:paraId="5EA23EE1" w14:textId="77777777" w:rsidR="003C66EB" w:rsidRDefault="003C66EB">
            <w:pPr>
              <w:rPr>
                <w:rFonts w:ascii="宋体"/>
                <w:vanish/>
              </w:rPr>
            </w:pPr>
          </w:p>
        </w:tc>
        <w:tc>
          <w:tcPr>
            <w:tcW w:w="0" w:type="auto"/>
            <w:gridSpan w:val="3"/>
            <w:shd w:val="clear" w:color="auto" w:fill="auto"/>
          </w:tcPr>
          <w:p w14:paraId="5EA23EE2" w14:textId="77777777" w:rsidR="003C66EB" w:rsidRDefault="003C66EB">
            <w:pPr>
              <w:rPr>
                <w:rFonts w:ascii="宋体"/>
                <w:vanish/>
              </w:rPr>
            </w:pPr>
          </w:p>
        </w:tc>
        <w:tc>
          <w:tcPr>
            <w:tcW w:w="0" w:type="auto"/>
            <w:gridSpan w:val="3"/>
            <w:shd w:val="clear" w:color="auto" w:fill="auto"/>
          </w:tcPr>
          <w:p w14:paraId="5EA23EE3" w14:textId="77777777" w:rsidR="003C66EB" w:rsidRDefault="003C66EB">
            <w:pPr>
              <w:rPr>
                <w:rFonts w:ascii="宋体"/>
                <w:vanish/>
              </w:rPr>
            </w:pPr>
          </w:p>
        </w:tc>
        <w:tc>
          <w:tcPr>
            <w:tcW w:w="0" w:type="auto"/>
            <w:gridSpan w:val="3"/>
            <w:shd w:val="clear" w:color="auto" w:fill="auto"/>
          </w:tcPr>
          <w:p w14:paraId="5EA23EE4" w14:textId="77777777" w:rsidR="003C66EB" w:rsidRDefault="003C66EB">
            <w:pPr>
              <w:rPr>
                <w:rFonts w:ascii="宋体"/>
                <w:vanish/>
              </w:rPr>
            </w:pPr>
          </w:p>
        </w:tc>
        <w:tc>
          <w:tcPr>
            <w:tcW w:w="0" w:type="auto"/>
            <w:gridSpan w:val="3"/>
            <w:shd w:val="clear" w:color="auto" w:fill="auto"/>
          </w:tcPr>
          <w:p w14:paraId="5EA23EE5" w14:textId="77777777" w:rsidR="003C66EB" w:rsidRDefault="003C66EB">
            <w:pPr>
              <w:rPr>
                <w:rFonts w:ascii="宋体"/>
                <w:vanish/>
              </w:rPr>
            </w:pPr>
          </w:p>
        </w:tc>
        <w:tc>
          <w:tcPr>
            <w:tcW w:w="0" w:type="auto"/>
            <w:gridSpan w:val="3"/>
            <w:shd w:val="clear" w:color="auto" w:fill="auto"/>
          </w:tcPr>
          <w:p w14:paraId="5EA23EE6" w14:textId="77777777" w:rsidR="003C66EB" w:rsidRDefault="003C66EB">
            <w:pPr>
              <w:rPr>
                <w:rFonts w:ascii="宋体"/>
                <w:vanish/>
              </w:rPr>
            </w:pPr>
          </w:p>
        </w:tc>
        <w:tc>
          <w:tcPr>
            <w:tcW w:w="0" w:type="auto"/>
            <w:gridSpan w:val="3"/>
            <w:shd w:val="clear" w:color="auto" w:fill="auto"/>
          </w:tcPr>
          <w:p w14:paraId="5EA23EE7" w14:textId="77777777" w:rsidR="003C66EB" w:rsidRDefault="003C66EB">
            <w:pPr>
              <w:rPr>
                <w:rFonts w:ascii="宋体"/>
                <w:vanish/>
              </w:rPr>
            </w:pPr>
          </w:p>
        </w:tc>
        <w:tc>
          <w:tcPr>
            <w:tcW w:w="0" w:type="auto"/>
            <w:gridSpan w:val="3"/>
            <w:shd w:val="clear" w:color="auto" w:fill="auto"/>
          </w:tcPr>
          <w:p w14:paraId="5EA23EE8" w14:textId="77777777" w:rsidR="003C66EB" w:rsidRDefault="003C66EB">
            <w:pPr>
              <w:rPr>
                <w:rFonts w:ascii="宋体"/>
                <w:vanish/>
              </w:rPr>
            </w:pPr>
          </w:p>
        </w:tc>
        <w:tc>
          <w:tcPr>
            <w:tcW w:w="0" w:type="auto"/>
            <w:gridSpan w:val="3"/>
            <w:shd w:val="clear" w:color="auto" w:fill="auto"/>
          </w:tcPr>
          <w:p w14:paraId="5EA23EE9" w14:textId="77777777" w:rsidR="003C66EB" w:rsidRDefault="003C66EB">
            <w:pPr>
              <w:rPr>
                <w:rFonts w:ascii="宋体"/>
                <w:vanish/>
              </w:rPr>
            </w:pPr>
          </w:p>
        </w:tc>
        <w:tc>
          <w:tcPr>
            <w:tcW w:w="0" w:type="auto"/>
            <w:gridSpan w:val="3"/>
            <w:shd w:val="clear" w:color="auto" w:fill="auto"/>
          </w:tcPr>
          <w:p w14:paraId="5EA23EEA" w14:textId="77777777" w:rsidR="003C66EB" w:rsidRDefault="003C66EB">
            <w:pPr>
              <w:rPr>
                <w:rFonts w:ascii="宋体"/>
                <w:vanish/>
              </w:rPr>
            </w:pPr>
          </w:p>
        </w:tc>
        <w:tc>
          <w:tcPr>
            <w:tcW w:w="0" w:type="auto"/>
            <w:gridSpan w:val="3"/>
            <w:shd w:val="clear" w:color="auto" w:fill="auto"/>
          </w:tcPr>
          <w:p w14:paraId="5EA23EEB" w14:textId="77777777" w:rsidR="003C66EB" w:rsidRDefault="003C66EB">
            <w:pPr>
              <w:rPr>
                <w:rFonts w:ascii="宋体"/>
                <w:vanish/>
              </w:rPr>
            </w:pPr>
          </w:p>
        </w:tc>
        <w:tc>
          <w:tcPr>
            <w:tcW w:w="0" w:type="auto"/>
            <w:gridSpan w:val="3"/>
            <w:shd w:val="clear" w:color="auto" w:fill="auto"/>
          </w:tcPr>
          <w:p w14:paraId="5EA23EEC" w14:textId="77777777" w:rsidR="003C66EB" w:rsidRDefault="003C66EB">
            <w:pPr>
              <w:rPr>
                <w:rFonts w:ascii="宋体"/>
                <w:vanish/>
              </w:rPr>
            </w:pPr>
          </w:p>
        </w:tc>
      </w:tr>
      <w:tr w:rsidR="003C66EB" w14:paraId="5EA23EFA" w14:textId="77777777">
        <w:trPr>
          <w:hidden/>
        </w:trPr>
        <w:tc>
          <w:tcPr>
            <w:tcW w:w="0" w:type="auto"/>
            <w:gridSpan w:val="3"/>
            <w:shd w:val="clear" w:color="auto" w:fill="auto"/>
          </w:tcPr>
          <w:p w14:paraId="5EA23EEE" w14:textId="77777777" w:rsidR="003C66EB" w:rsidRDefault="003C66EB">
            <w:pPr>
              <w:rPr>
                <w:rFonts w:ascii="宋体"/>
                <w:vanish/>
              </w:rPr>
            </w:pPr>
          </w:p>
        </w:tc>
        <w:tc>
          <w:tcPr>
            <w:tcW w:w="0" w:type="auto"/>
            <w:gridSpan w:val="3"/>
            <w:shd w:val="clear" w:color="auto" w:fill="auto"/>
          </w:tcPr>
          <w:p w14:paraId="5EA23EEF" w14:textId="77777777" w:rsidR="003C66EB" w:rsidRDefault="003C66EB">
            <w:pPr>
              <w:rPr>
                <w:rFonts w:ascii="宋体"/>
                <w:vanish/>
              </w:rPr>
            </w:pPr>
          </w:p>
        </w:tc>
        <w:tc>
          <w:tcPr>
            <w:tcW w:w="0" w:type="auto"/>
            <w:gridSpan w:val="3"/>
            <w:shd w:val="clear" w:color="auto" w:fill="auto"/>
          </w:tcPr>
          <w:p w14:paraId="5EA23EF0" w14:textId="77777777" w:rsidR="003C66EB" w:rsidRDefault="003C66EB">
            <w:pPr>
              <w:rPr>
                <w:rFonts w:ascii="宋体"/>
                <w:vanish/>
              </w:rPr>
            </w:pPr>
          </w:p>
        </w:tc>
        <w:tc>
          <w:tcPr>
            <w:tcW w:w="0" w:type="auto"/>
            <w:gridSpan w:val="3"/>
            <w:shd w:val="clear" w:color="auto" w:fill="auto"/>
          </w:tcPr>
          <w:p w14:paraId="5EA23EF1" w14:textId="77777777" w:rsidR="003C66EB" w:rsidRDefault="003C66EB">
            <w:pPr>
              <w:rPr>
                <w:rFonts w:ascii="宋体"/>
                <w:vanish/>
              </w:rPr>
            </w:pPr>
          </w:p>
        </w:tc>
        <w:tc>
          <w:tcPr>
            <w:tcW w:w="0" w:type="auto"/>
            <w:gridSpan w:val="3"/>
            <w:shd w:val="clear" w:color="auto" w:fill="auto"/>
          </w:tcPr>
          <w:p w14:paraId="5EA23EF2" w14:textId="77777777" w:rsidR="003C66EB" w:rsidRDefault="003C66EB">
            <w:pPr>
              <w:rPr>
                <w:rFonts w:ascii="宋体"/>
                <w:vanish/>
              </w:rPr>
            </w:pPr>
          </w:p>
        </w:tc>
        <w:tc>
          <w:tcPr>
            <w:tcW w:w="0" w:type="auto"/>
            <w:gridSpan w:val="3"/>
            <w:shd w:val="clear" w:color="auto" w:fill="auto"/>
          </w:tcPr>
          <w:p w14:paraId="5EA23EF3" w14:textId="77777777" w:rsidR="003C66EB" w:rsidRDefault="003C66EB">
            <w:pPr>
              <w:rPr>
                <w:rFonts w:ascii="宋体"/>
                <w:vanish/>
              </w:rPr>
            </w:pPr>
          </w:p>
        </w:tc>
        <w:tc>
          <w:tcPr>
            <w:tcW w:w="0" w:type="auto"/>
            <w:gridSpan w:val="3"/>
            <w:shd w:val="clear" w:color="auto" w:fill="auto"/>
          </w:tcPr>
          <w:p w14:paraId="5EA23EF4" w14:textId="77777777" w:rsidR="003C66EB" w:rsidRDefault="003C66EB">
            <w:pPr>
              <w:rPr>
                <w:rFonts w:ascii="宋体"/>
                <w:vanish/>
              </w:rPr>
            </w:pPr>
          </w:p>
        </w:tc>
        <w:tc>
          <w:tcPr>
            <w:tcW w:w="0" w:type="auto"/>
            <w:gridSpan w:val="3"/>
            <w:shd w:val="clear" w:color="auto" w:fill="auto"/>
          </w:tcPr>
          <w:p w14:paraId="5EA23EF5" w14:textId="77777777" w:rsidR="003C66EB" w:rsidRDefault="003C66EB">
            <w:pPr>
              <w:rPr>
                <w:rFonts w:ascii="宋体"/>
                <w:vanish/>
              </w:rPr>
            </w:pPr>
          </w:p>
        </w:tc>
        <w:tc>
          <w:tcPr>
            <w:tcW w:w="0" w:type="auto"/>
            <w:gridSpan w:val="3"/>
            <w:shd w:val="clear" w:color="auto" w:fill="auto"/>
          </w:tcPr>
          <w:p w14:paraId="5EA23EF6" w14:textId="77777777" w:rsidR="003C66EB" w:rsidRDefault="003C66EB">
            <w:pPr>
              <w:rPr>
                <w:rFonts w:ascii="宋体"/>
                <w:vanish/>
              </w:rPr>
            </w:pPr>
          </w:p>
        </w:tc>
        <w:tc>
          <w:tcPr>
            <w:tcW w:w="0" w:type="auto"/>
            <w:gridSpan w:val="3"/>
            <w:shd w:val="clear" w:color="auto" w:fill="auto"/>
          </w:tcPr>
          <w:p w14:paraId="5EA23EF7" w14:textId="77777777" w:rsidR="003C66EB" w:rsidRDefault="003C66EB">
            <w:pPr>
              <w:rPr>
                <w:rFonts w:ascii="宋体"/>
                <w:vanish/>
              </w:rPr>
            </w:pPr>
          </w:p>
        </w:tc>
        <w:tc>
          <w:tcPr>
            <w:tcW w:w="0" w:type="auto"/>
            <w:gridSpan w:val="3"/>
            <w:shd w:val="clear" w:color="auto" w:fill="auto"/>
          </w:tcPr>
          <w:p w14:paraId="5EA23EF8" w14:textId="77777777" w:rsidR="003C66EB" w:rsidRDefault="003C66EB">
            <w:pPr>
              <w:rPr>
                <w:rFonts w:ascii="宋体"/>
                <w:vanish/>
              </w:rPr>
            </w:pPr>
          </w:p>
        </w:tc>
        <w:tc>
          <w:tcPr>
            <w:tcW w:w="0" w:type="auto"/>
            <w:gridSpan w:val="3"/>
            <w:shd w:val="clear" w:color="auto" w:fill="auto"/>
          </w:tcPr>
          <w:p w14:paraId="5EA23EF9" w14:textId="77777777" w:rsidR="003C66EB" w:rsidRDefault="003C66EB">
            <w:pPr>
              <w:rPr>
                <w:rFonts w:ascii="宋体"/>
                <w:vanish/>
              </w:rPr>
            </w:pPr>
          </w:p>
        </w:tc>
      </w:tr>
      <w:tr w:rsidR="003C66EB" w14:paraId="5EA23F13" w14:textId="77777777">
        <w:tc>
          <w:tcPr>
            <w:tcW w:w="0" w:type="auto"/>
            <w:gridSpan w:val="3"/>
            <w:shd w:val="clear" w:color="auto" w:fill="FFFFFF"/>
            <w:tcMar>
              <w:top w:w="40" w:type="dxa"/>
              <w:left w:w="20" w:type="dxa"/>
              <w:bottom w:w="40" w:type="dxa"/>
              <w:right w:w="20" w:type="dxa"/>
            </w:tcMar>
            <w:vAlign w:val="bottom"/>
          </w:tcPr>
          <w:p w14:paraId="5EA23EFB"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EFC"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EFD" w14:textId="77777777" w:rsidR="003C66EB" w:rsidRDefault="00D96C4E">
            <w:pPr>
              <w:jc w:val="right"/>
              <w:textAlignment w:val="bottom"/>
            </w:pPr>
            <w:r>
              <w:rPr>
                <w:rFonts w:ascii="Arial" w:eastAsia="宋体" w:hAnsi="Arial" w:cs="Arial"/>
                <w:b/>
                <w:bCs/>
                <w:color w:val="000000"/>
                <w:sz w:val="14"/>
                <w:szCs w:val="14"/>
              </w:rPr>
              <w:t>17,577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E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EF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F00"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F01" w14:textId="77777777" w:rsidR="003C66EB" w:rsidRDefault="00D96C4E">
            <w:pPr>
              <w:jc w:val="right"/>
              <w:textAlignment w:val="bottom"/>
            </w:pPr>
            <w:r>
              <w:rPr>
                <w:rFonts w:ascii="Arial" w:eastAsia="宋体" w:hAnsi="Arial" w:cs="Arial"/>
                <w:b/>
                <w:bCs/>
                <w:color w:val="000000"/>
                <w:sz w:val="14"/>
                <w:szCs w:val="14"/>
              </w:rPr>
              <w:t>212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F0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F0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F0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F05" w14:textId="77777777" w:rsidR="003C66EB" w:rsidRDefault="00D96C4E">
            <w:pPr>
              <w:jc w:val="right"/>
              <w:textAlignment w:val="bottom"/>
            </w:pPr>
            <w:r>
              <w:rPr>
                <w:rFonts w:ascii="Arial" w:eastAsia="宋体" w:hAnsi="Arial" w:cs="Arial"/>
                <w:b/>
                <w:bCs/>
                <w:color w:val="000000"/>
                <w:sz w:val="14"/>
                <w:szCs w:val="14"/>
              </w:rPr>
              <w:t>1,257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F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F07"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F0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F09"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F0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F0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F0C"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F0D" w14:textId="77777777" w:rsidR="003C66EB" w:rsidRDefault="00D96C4E">
            <w:pPr>
              <w:jc w:val="right"/>
              <w:textAlignment w:val="bottom"/>
            </w:pPr>
            <w:r>
              <w:rPr>
                <w:rFonts w:ascii="Arial" w:eastAsia="宋体" w:hAnsi="Arial" w:cs="Arial"/>
                <w:b/>
                <w:bCs/>
                <w:color w:val="000000"/>
                <w:sz w:val="14"/>
                <w:szCs w:val="14"/>
              </w:rPr>
              <w:t>18,834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F0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3F0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3F10"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3F11" w14:textId="77777777" w:rsidR="003C66EB" w:rsidRDefault="00D96C4E">
            <w:pPr>
              <w:jc w:val="right"/>
              <w:textAlignment w:val="bottom"/>
            </w:pPr>
            <w:r>
              <w:rPr>
                <w:rFonts w:ascii="Arial" w:eastAsia="宋体" w:hAnsi="Arial" w:cs="Arial"/>
                <w:b/>
                <w:bCs/>
                <w:color w:val="000000"/>
                <w:sz w:val="14"/>
                <w:szCs w:val="14"/>
              </w:rPr>
              <w:t>216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3F12" w14:textId="77777777" w:rsidR="003C66EB" w:rsidRDefault="003C66EB">
            <w:pPr>
              <w:jc w:val="right"/>
              <w:rPr>
                <w:rFonts w:ascii="宋体"/>
              </w:rPr>
            </w:pPr>
          </w:p>
        </w:tc>
      </w:tr>
      <w:tr w:rsidR="003C66EB" w14:paraId="5EA23F20" w14:textId="77777777">
        <w:trPr>
          <w:hidden/>
        </w:trPr>
        <w:tc>
          <w:tcPr>
            <w:tcW w:w="0" w:type="auto"/>
            <w:gridSpan w:val="3"/>
            <w:shd w:val="clear" w:color="auto" w:fill="auto"/>
          </w:tcPr>
          <w:p w14:paraId="5EA23F14" w14:textId="77777777" w:rsidR="003C66EB" w:rsidRDefault="003C66EB">
            <w:pPr>
              <w:rPr>
                <w:rFonts w:ascii="宋体"/>
                <w:vanish/>
              </w:rPr>
            </w:pPr>
          </w:p>
        </w:tc>
        <w:tc>
          <w:tcPr>
            <w:tcW w:w="0" w:type="auto"/>
            <w:gridSpan w:val="3"/>
            <w:shd w:val="clear" w:color="auto" w:fill="auto"/>
          </w:tcPr>
          <w:p w14:paraId="5EA23F15" w14:textId="77777777" w:rsidR="003C66EB" w:rsidRDefault="003C66EB">
            <w:pPr>
              <w:rPr>
                <w:rFonts w:ascii="宋体"/>
                <w:vanish/>
              </w:rPr>
            </w:pPr>
          </w:p>
        </w:tc>
        <w:tc>
          <w:tcPr>
            <w:tcW w:w="0" w:type="auto"/>
            <w:gridSpan w:val="3"/>
            <w:shd w:val="clear" w:color="auto" w:fill="auto"/>
          </w:tcPr>
          <w:p w14:paraId="5EA23F16" w14:textId="77777777" w:rsidR="003C66EB" w:rsidRDefault="003C66EB">
            <w:pPr>
              <w:rPr>
                <w:rFonts w:ascii="宋体"/>
                <w:vanish/>
              </w:rPr>
            </w:pPr>
          </w:p>
        </w:tc>
        <w:tc>
          <w:tcPr>
            <w:tcW w:w="0" w:type="auto"/>
            <w:gridSpan w:val="3"/>
            <w:shd w:val="clear" w:color="auto" w:fill="auto"/>
          </w:tcPr>
          <w:p w14:paraId="5EA23F17" w14:textId="77777777" w:rsidR="003C66EB" w:rsidRDefault="003C66EB">
            <w:pPr>
              <w:rPr>
                <w:rFonts w:ascii="宋体"/>
                <w:vanish/>
              </w:rPr>
            </w:pPr>
          </w:p>
        </w:tc>
        <w:tc>
          <w:tcPr>
            <w:tcW w:w="0" w:type="auto"/>
            <w:gridSpan w:val="3"/>
            <w:shd w:val="clear" w:color="auto" w:fill="auto"/>
          </w:tcPr>
          <w:p w14:paraId="5EA23F18" w14:textId="77777777" w:rsidR="003C66EB" w:rsidRDefault="003C66EB">
            <w:pPr>
              <w:rPr>
                <w:rFonts w:ascii="宋体"/>
                <w:vanish/>
              </w:rPr>
            </w:pPr>
          </w:p>
        </w:tc>
        <w:tc>
          <w:tcPr>
            <w:tcW w:w="0" w:type="auto"/>
            <w:gridSpan w:val="3"/>
            <w:shd w:val="clear" w:color="auto" w:fill="auto"/>
          </w:tcPr>
          <w:p w14:paraId="5EA23F19" w14:textId="77777777" w:rsidR="003C66EB" w:rsidRDefault="003C66EB">
            <w:pPr>
              <w:rPr>
                <w:rFonts w:ascii="宋体"/>
                <w:vanish/>
              </w:rPr>
            </w:pPr>
          </w:p>
        </w:tc>
        <w:tc>
          <w:tcPr>
            <w:tcW w:w="0" w:type="auto"/>
            <w:gridSpan w:val="3"/>
            <w:shd w:val="clear" w:color="auto" w:fill="auto"/>
          </w:tcPr>
          <w:p w14:paraId="5EA23F1A" w14:textId="77777777" w:rsidR="003C66EB" w:rsidRDefault="003C66EB">
            <w:pPr>
              <w:rPr>
                <w:rFonts w:ascii="宋体"/>
                <w:vanish/>
              </w:rPr>
            </w:pPr>
          </w:p>
        </w:tc>
        <w:tc>
          <w:tcPr>
            <w:tcW w:w="0" w:type="auto"/>
            <w:gridSpan w:val="3"/>
            <w:shd w:val="clear" w:color="auto" w:fill="auto"/>
          </w:tcPr>
          <w:p w14:paraId="5EA23F1B" w14:textId="77777777" w:rsidR="003C66EB" w:rsidRDefault="003C66EB">
            <w:pPr>
              <w:rPr>
                <w:rFonts w:ascii="宋体"/>
                <w:vanish/>
              </w:rPr>
            </w:pPr>
          </w:p>
        </w:tc>
        <w:tc>
          <w:tcPr>
            <w:tcW w:w="0" w:type="auto"/>
            <w:gridSpan w:val="3"/>
            <w:shd w:val="clear" w:color="auto" w:fill="auto"/>
          </w:tcPr>
          <w:p w14:paraId="5EA23F1C" w14:textId="77777777" w:rsidR="003C66EB" w:rsidRDefault="003C66EB">
            <w:pPr>
              <w:rPr>
                <w:rFonts w:ascii="宋体"/>
                <w:vanish/>
              </w:rPr>
            </w:pPr>
          </w:p>
        </w:tc>
        <w:tc>
          <w:tcPr>
            <w:tcW w:w="0" w:type="auto"/>
            <w:gridSpan w:val="3"/>
            <w:shd w:val="clear" w:color="auto" w:fill="auto"/>
          </w:tcPr>
          <w:p w14:paraId="5EA23F1D" w14:textId="77777777" w:rsidR="003C66EB" w:rsidRDefault="003C66EB">
            <w:pPr>
              <w:rPr>
                <w:rFonts w:ascii="宋体"/>
                <w:vanish/>
              </w:rPr>
            </w:pPr>
          </w:p>
        </w:tc>
        <w:tc>
          <w:tcPr>
            <w:tcW w:w="0" w:type="auto"/>
            <w:gridSpan w:val="3"/>
            <w:shd w:val="clear" w:color="auto" w:fill="auto"/>
          </w:tcPr>
          <w:p w14:paraId="5EA23F1E" w14:textId="77777777" w:rsidR="003C66EB" w:rsidRDefault="003C66EB">
            <w:pPr>
              <w:rPr>
                <w:rFonts w:ascii="宋体"/>
                <w:vanish/>
              </w:rPr>
            </w:pPr>
          </w:p>
        </w:tc>
        <w:tc>
          <w:tcPr>
            <w:tcW w:w="0" w:type="auto"/>
            <w:gridSpan w:val="3"/>
            <w:shd w:val="clear" w:color="auto" w:fill="auto"/>
          </w:tcPr>
          <w:p w14:paraId="5EA23F1F" w14:textId="77777777" w:rsidR="003C66EB" w:rsidRDefault="003C66EB">
            <w:pPr>
              <w:rPr>
                <w:rFonts w:ascii="宋体"/>
                <w:vanish/>
              </w:rPr>
            </w:pPr>
          </w:p>
        </w:tc>
      </w:tr>
      <w:tr w:rsidR="003C66EB" w14:paraId="5EA23F2D" w14:textId="77777777">
        <w:trPr>
          <w:hidden/>
        </w:trPr>
        <w:tc>
          <w:tcPr>
            <w:tcW w:w="0" w:type="auto"/>
            <w:gridSpan w:val="3"/>
            <w:shd w:val="clear" w:color="auto" w:fill="auto"/>
          </w:tcPr>
          <w:p w14:paraId="5EA23F21" w14:textId="77777777" w:rsidR="003C66EB" w:rsidRDefault="003C66EB">
            <w:pPr>
              <w:rPr>
                <w:rFonts w:ascii="宋体"/>
                <w:vanish/>
              </w:rPr>
            </w:pPr>
          </w:p>
        </w:tc>
        <w:tc>
          <w:tcPr>
            <w:tcW w:w="0" w:type="auto"/>
            <w:gridSpan w:val="3"/>
            <w:shd w:val="clear" w:color="auto" w:fill="auto"/>
          </w:tcPr>
          <w:p w14:paraId="5EA23F22" w14:textId="77777777" w:rsidR="003C66EB" w:rsidRDefault="003C66EB">
            <w:pPr>
              <w:rPr>
                <w:rFonts w:ascii="宋体"/>
                <w:vanish/>
              </w:rPr>
            </w:pPr>
          </w:p>
        </w:tc>
        <w:tc>
          <w:tcPr>
            <w:tcW w:w="0" w:type="auto"/>
            <w:gridSpan w:val="3"/>
            <w:shd w:val="clear" w:color="auto" w:fill="auto"/>
          </w:tcPr>
          <w:p w14:paraId="5EA23F23" w14:textId="77777777" w:rsidR="003C66EB" w:rsidRDefault="003C66EB">
            <w:pPr>
              <w:rPr>
                <w:rFonts w:ascii="宋体"/>
                <w:vanish/>
              </w:rPr>
            </w:pPr>
          </w:p>
        </w:tc>
        <w:tc>
          <w:tcPr>
            <w:tcW w:w="0" w:type="auto"/>
            <w:gridSpan w:val="3"/>
            <w:shd w:val="clear" w:color="auto" w:fill="auto"/>
          </w:tcPr>
          <w:p w14:paraId="5EA23F24" w14:textId="77777777" w:rsidR="003C66EB" w:rsidRDefault="003C66EB">
            <w:pPr>
              <w:rPr>
                <w:rFonts w:ascii="宋体"/>
                <w:vanish/>
              </w:rPr>
            </w:pPr>
          </w:p>
        </w:tc>
        <w:tc>
          <w:tcPr>
            <w:tcW w:w="0" w:type="auto"/>
            <w:gridSpan w:val="3"/>
            <w:shd w:val="clear" w:color="auto" w:fill="auto"/>
          </w:tcPr>
          <w:p w14:paraId="5EA23F25" w14:textId="77777777" w:rsidR="003C66EB" w:rsidRDefault="003C66EB">
            <w:pPr>
              <w:rPr>
                <w:rFonts w:ascii="宋体"/>
                <w:vanish/>
              </w:rPr>
            </w:pPr>
          </w:p>
        </w:tc>
        <w:tc>
          <w:tcPr>
            <w:tcW w:w="0" w:type="auto"/>
            <w:gridSpan w:val="3"/>
            <w:shd w:val="clear" w:color="auto" w:fill="auto"/>
          </w:tcPr>
          <w:p w14:paraId="5EA23F26" w14:textId="77777777" w:rsidR="003C66EB" w:rsidRDefault="003C66EB">
            <w:pPr>
              <w:rPr>
                <w:rFonts w:ascii="宋体"/>
                <w:vanish/>
              </w:rPr>
            </w:pPr>
          </w:p>
        </w:tc>
        <w:tc>
          <w:tcPr>
            <w:tcW w:w="0" w:type="auto"/>
            <w:gridSpan w:val="3"/>
            <w:shd w:val="clear" w:color="auto" w:fill="auto"/>
          </w:tcPr>
          <w:p w14:paraId="5EA23F27" w14:textId="77777777" w:rsidR="003C66EB" w:rsidRDefault="003C66EB">
            <w:pPr>
              <w:rPr>
                <w:rFonts w:ascii="宋体"/>
                <w:vanish/>
              </w:rPr>
            </w:pPr>
          </w:p>
        </w:tc>
        <w:tc>
          <w:tcPr>
            <w:tcW w:w="0" w:type="auto"/>
            <w:gridSpan w:val="3"/>
            <w:shd w:val="clear" w:color="auto" w:fill="auto"/>
          </w:tcPr>
          <w:p w14:paraId="5EA23F28" w14:textId="77777777" w:rsidR="003C66EB" w:rsidRDefault="003C66EB">
            <w:pPr>
              <w:rPr>
                <w:rFonts w:ascii="宋体"/>
                <w:vanish/>
              </w:rPr>
            </w:pPr>
          </w:p>
        </w:tc>
        <w:tc>
          <w:tcPr>
            <w:tcW w:w="0" w:type="auto"/>
            <w:gridSpan w:val="3"/>
            <w:shd w:val="clear" w:color="auto" w:fill="auto"/>
          </w:tcPr>
          <w:p w14:paraId="5EA23F29" w14:textId="77777777" w:rsidR="003C66EB" w:rsidRDefault="003C66EB">
            <w:pPr>
              <w:rPr>
                <w:rFonts w:ascii="宋体"/>
                <w:vanish/>
              </w:rPr>
            </w:pPr>
          </w:p>
        </w:tc>
        <w:tc>
          <w:tcPr>
            <w:tcW w:w="0" w:type="auto"/>
            <w:gridSpan w:val="3"/>
            <w:shd w:val="clear" w:color="auto" w:fill="auto"/>
          </w:tcPr>
          <w:p w14:paraId="5EA23F2A" w14:textId="77777777" w:rsidR="003C66EB" w:rsidRDefault="003C66EB">
            <w:pPr>
              <w:rPr>
                <w:rFonts w:ascii="宋体"/>
                <w:vanish/>
              </w:rPr>
            </w:pPr>
          </w:p>
        </w:tc>
        <w:tc>
          <w:tcPr>
            <w:tcW w:w="0" w:type="auto"/>
            <w:gridSpan w:val="3"/>
            <w:shd w:val="clear" w:color="auto" w:fill="auto"/>
          </w:tcPr>
          <w:p w14:paraId="5EA23F2B" w14:textId="77777777" w:rsidR="003C66EB" w:rsidRDefault="003C66EB">
            <w:pPr>
              <w:rPr>
                <w:rFonts w:ascii="宋体"/>
                <w:vanish/>
              </w:rPr>
            </w:pPr>
          </w:p>
        </w:tc>
        <w:tc>
          <w:tcPr>
            <w:tcW w:w="0" w:type="auto"/>
            <w:gridSpan w:val="3"/>
            <w:shd w:val="clear" w:color="auto" w:fill="auto"/>
          </w:tcPr>
          <w:p w14:paraId="5EA23F2C" w14:textId="77777777" w:rsidR="003C66EB" w:rsidRDefault="003C66EB">
            <w:pPr>
              <w:rPr>
                <w:rFonts w:ascii="宋体"/>
                <w:vanish/>
              </w:rPr>
            </w:pPr>
          </w:p>
        </w:tc>
      </w:tr>
      <w:tr w:rsidR="003C66EB" w14:paraId="5EA23F3A" w14:textId="77777777">
        <w:trPr>
          <w:hidden/>
        </w:trPr>
        <w:tc>
          <w:tcPr>
            <w:tcW w:w="0" w:type="auto"/>
            <w:gridSpan w:val="3"/>
            <w:shd w:val="clear" w:color="auto" w:fill="auto"/>
          </w:tcPr>
          <w:p w14:paraId="5EA23F2E" w14:textId="77777777" w:rsidR="003C66EB" w:rsidRDefault="003C66EB">
            <w:pPr>
              <w:rPr>
                <w:rFonts w:ascii="宋体"/>
                <w:vanish/>
              </w:rPr>
            </w:pPr>
          </w:p>
        </w:tc>
        <w:tc>
          <w:tcPr>
            <w:tcW w:w="0" w:type="auto"/>
            <w:gridSpan w:val="3"/>
            <w:shd w:val="clear" w:color="auto" w:fill="auto"/>
          </w:tcPr>
          <w:p w14:paraId="5EA23F2F" w14:textId="77777777" w:rsidR="003C66EB" w:rsidRDefault="003C66EB">
            <w:pPr>
              <w:rPr>
                <w:rFonts w:ascii="宋体"/>
                <w:vanish/>
              </w:rPr>
            </w:pPr>
          </w:p>
        </w:tc>
        <w:tc>
          <w:tcPr>
            <w:tcW w:w="0" w:type="auto"/>
            <w:gridSpan w:val="3"/>
            <w:shd w:val="clear" w:color="auto" w:fill="auto"/>
          </w:tcPr>
          <w:p w14:paraId="5EA23F30" w14:textId="77777777" w:rsidR="003C66EB" w:rsidRDefault="003C66EB">
            <w:pPr>
              <w:rPr>
                <w:rFonts w:ascii="宋体"/>
                <w:vanish/>
              </w:rPr>
            </w:pPr>
          </w:p>
        </w:tc>
        <w:tc>
          <w:tcPr>
            <w:tcW w:w="0" w:type="auto"/>
            <w:gridSpan w:val="3"/>
            <w:shd w:val="clear" w:color="auto" w:fill="auto"/>
          </w:tcPr>
          <w:p w14:paraId="5EA23F31" w14:textId="77777777" w:rsidR="003C66EB" w:rsidRDefault="003C66EB">
            <w:pPr>
              <w:rPr>
                <w:rFonts w:ascii="宋体"/>
                <w:vanish/>
              </w:rPr>
            </w:pPr>
          </w:p>
        </w:tc>
        <w:tc>
          <w:tcPr>
            <w:tcW w:w="0" w:type="auto"/>
            <w:gridSpan w:val="3"/>
            <w:shd w:val="clear" w:color="auto" w:fill="auto"/>
          </w:tcPr>
          <w:p w14:paraId="5EA23F32" w14:textId="77777777" w:rsidR="003C66EB" w:rsidRDefault="003C66EB">
            <w:pPr>
              <w:rPr>
                <w:rFonts w:ascii="宋体"/>
                <w:vanish/>
              </w:rPr>
            </w:pPr>
          </w:p>
        </w:tc>
        <w:tc>
          <w:tcPr>
            <w:tcW w:w="0" w:type="auto"/>
            <w:gridSpan w:val="3"/>
            <w:shd w:val="clear" w:color="auto" w:fill="auto"/>
          </w:tcPr>
          <w:p w14:paraId="5EA23F33" w14:textId="77777777" w:rsidR="003C66EB" w:rsidRDefault="003C66EB">
            <w:pPr>
              <w:rPr>
                <w:rFonts w:ascii="宋体"/>
                <w:vanish/>
              </w:rPr>
            </w:pPr>
          </w:p>
        </w:tc>
        <w:tc>
          <w:tcPr>
            <w:tcW w:w="0" w:type="auto"/>
            <w:gridSpan w:val="3"/>
            <w:shd w:val="clear" w:color="auto" w:fill="auto"/>
          </w:tcPr>
          <w:p w14:paraId="5EA23F34" w14:textId="77777777" w:rsidR="003C66EB" w:rsidRDefault="003C66EB">
            <w:pPr>
              <w:rPr>
                <w:rFonts w:ascii="宋体"/>
                <w:vanish/>
              </w:rPr>
            </w:pPr>
          </w:p>
        </w:tc>
        <w:tc>
          <w:tcPr>
            <w:tcW w:w="0" w:type="auto"/>
            <w:gridSpan w:val="3"/>
            <w:shd w:val="clear" w:color="auto" w:fill="auto"/>
          </w:tcPr>
          <w:p w14:paraId="5EA23F35" w14:textId="77777777" w:rsidR="003C66EB" w:rsidRDefault="003C66EB">
            <w:pPr>
              <w:rPr>
                <w:rFonts w:ascii="宋体"/>
                <w:vanish/>
              </w:rPr>
            </w:pPr>
          </w:p>
        </w:tc>
        <w:tc>
          <w:tcPr>
            <w:tcW w:w="0" w:type="auto"/>
            <w:gridSpan w:val="3"/>
            <w:shd w:val="clear" w:color="auto" w:fill="auto"/>
          </w:tcPr>
          <w:p w14:paraId="5EA23F36" w14:textId="77777777" w:rsidR="003C66EB" w:rsidRDefault="003C66EB">
            <w:pPr>
              <w:rPr>
                <w:rFonts w:ascii="宋体"/>
                <w:vanish/>
              </w:rPr>
            </w:pPr>
          </w:p>
        </w:tc>
        <w:tc>
          <w:tcPr>
            <w:tcW w:w="0" w:type="auto"/>
            <w:gridSpan w:val="3"/>
            <w:shd w:val="clear" w:color="auto" w:fill="auto"/>
          </w:tcPr>
          <w:p w14:paraId="5EA23F37" w14:textId="77777777" w:rsidR="003C66EB" w:rsidRDefault="003C66EB">
            <w:pPr>
              <w:rPr>
                <w:rFonts w:ascii="宋体"/>
                <w:vanish/>
              </w:rPr>
            </w:pPr>
          </w:p>
        </w:tc>
        <w:tc>
          <w:tcPr>
            <w:tcW w:w="0" w:type="auto"/>
            <w:gridSpan w:val="3"/>
            <w:shd w:val="clear" w:color="auto" w:fill="auto"/>
          </w:tcPr>
          <w:p w14:paraId="5EA23F38" w14:textId="77777777" w:rsidR="003C66EB" w:rsidRDefault="003C66EB">
            <w:pPr>
              <w:rPr>
                <w:rFonts w:ascii="宋体"/>
                <w:vanish/>
              </w:rPr>
            </w:pPr>
          </w:p>
        </w:tc>
        <w:tc>
          <w:tcPr>
            <w:tcW w:w="0" w:type="auto"/>
            <w:gridSpan w:val="3"/>
            <w:shd w:val="clear" w:color="auto" w:fill="auto"/>
          </w:tcPr>
          <w:p w14:paraId="5EA23F39" w14:textId="77777777" w:rsidR="003C66EB" w:rsidRDefault="003C66EB">
            <w:pPr>
              <w:rPr>
                <w:rFonts w:ascii="宋体"/>
                <w:vanish/>
              </w:rPr>
            </w:pPr>
          </w:p>
        </w:tc>
      </w:tr>
      <w:tr w:rsidR="003C66EB" w14:paraId="5EA23F47" w14:textId="77777777">
        <w:trPr>
          <w:hidden/>
        </w:trPr>
        <w:tc>
          <w:tcPr>
            <w:tcW w:w="0" w:type="auto"/>
            <w:gridSpan w:val="3"/>
            <w:shd w:val="clear" w:color="auto" w:fill="auto"/>
          </w:tcPr>
          <w:p w14:paraId="5EA23F3B" w14:textId="77777777" w:rsidR="003C66EB" w:rsidRDefault="003C66EB">
            <w:pPr>
              <w:rPr>
                <w:rFonts w:ascii="宋体"/>
                <w:vanish/>
              </w:rPr>
            </w:pPr>
          </w:p>
        </w:tc>
        <w:tc>
          <w:tcPr>
            <w:tcW w:w="0" w:type="auto"/>
            <w:gridSpan w:val="3"/>
            <w:shd w:val="clear" w:color="auto" w:fill="auto"/>
          </w:tcPr>
          <w:p w14:paraId="5EA23F3C" w14:textId="77777777" w:rsidR="003C66EB" w:rsidRDefault="003C66EB">
            <w:pPr>
              <w:rPr>
                <w:rFonts w:ascii="宋体"/>
                <w:vanish/>
              </w:rPr>
            </w:pPr>
          </w:p>
        </w:tc>
        <w:tc>
          <w:tcPr>
            <w:tcW w:w="0" w:type="auto"/>
            <w:gridSpan w:val="3"/>
            <w:shd w:val="clear" w:color="auto" w:fill="auto"/>
          </w:tcPr>
          <w:p w14:paraId="5EA23F3D" w14:textId="77777777" w:rsidR="003C66EB" w:rsidRDefault="003C66EB">
            <w:pPr>
              <w:rPr>
                <w:rFonts w:ascii="宋体"/>
                <w:vanish/>
              </w:rPr>
            </w:pPr>
          </w:p>
        </w:tc>
        <w:tc>
          <w:tcPr>
            <w:tcW w:w="0" w:type="auto"/>
            <w:gridSpan w:val="3"/>
            <w:shd w:val="clear" w:color="auto" w:fill="auto"/>
          </w:tcPr>
          <w:p w14:paraId="5EA23F3E" w14:textId="77777777" w:rsidR="003C66EB" w:rsidRDefault="003C66EB">
            <w:pPr>
              <w:rPr>
                <w:rFonts w:ascii="宋体"/>
                <w:vanish/>
              </w:rPr>
            </w:pPr>
          </w:p>
        </w:tc>
        <w:tc>
          <w:tcPr>
            <w:tcW w:w="0" w:type="auto"/>
            <w:gridSpan w:val="3"/>
            <w:shd w:val="clear" w:color="auto" w:fill="auto"/>
          </w:tcPr>
          <w:p w14:paraId="5EA23F3F" w14:textId="77777777" w:rsidR="003C66EB" w:rsidRDefault="003C66EB">
            <w:pPr>
              <w:rPr>
                <w:rFonts w:ascii="宋体"/>
                <w:vanish/>
              </w:rPr>
            </w:pPr>
          </w:p>
        </w:tc>
        <w:tc>
          <w:tcPr>
            <w:tcW w:w="0" w:type="auto"/>
            <w:gridSpan w:val="3"/>
            <w:shd w:val="clear" w:color="auto" w:fill="auto"/>
          </w:tcPr>
          <w:p w14:paraId="5EA23F40" w14:textId="77777777" w:rsidR="003C66EB" w:rsidRDefault="003C66EB">
            <w:pPr>
              <w:rPr>
                <w:rFonts w:ascii="宋体"/>
                <w:vanish/>
              </w:rPr>
            </w:pPr>
          </w:p>
        </w:tc>
        <w:tc>
          <w:tcPr>
            <w:tcW w:w="0" w:type="auto"/>
            <w:gridSpan w:val="3"/>
            <w:shd w:val="clear" w:color="auto" w:fill="auto"/>
          </w:tcPr>
          <w:p w14:paraId="5EA23F41" w14:textId="77777777" w:rsidR="003C66EB" w:rsidRDefault="003C66EB">
            <w:pPr>
              <w:rPr>
                <w:rFonts w:ascii="宋体"/>
                <w:vanish/>
              </w:rPr>
            </w:pPr>
          </w:p>
        </w:tc>
        <w:tc>
          <w:tcPr>
            <w:tcW w:w="0" w:type="auto"/>
            <w:gridSpan w:val="3"/>
            <w:shd w:val="clear" w:color="auto" w:fill="auto"/>
          </w:tcPr>
          <w:p w14:paraId="5EA23F42" w14:textId="77777777" w:rsidR="003C66EB" w:rsidRDefault="003C66EB">
            <w:pPr>
              <w:rPr>
                <w:rFonts w:ascii="宋体"/>
                <w:vanish/>
              </w:rPr>
            </w:pPr>
          </w:p>
        </w:tc>
        <w:tc>
          <w:tcPr>
            <w:tcW w:w="0" w:type="auto"/>
            <w:gridSpan w:val="3"/>
            <w:shd w:val="clear" w:color="auto" w:fill="auto"/>
          </w:tcPr>
          <w:p w14:paraId="5EA23F43" w14:textId="77777777" w:rsidR="003C66EB" w:rsidRDefault="003C66EB">
            <w:pPr>
              <w:rPr>
                <w:rFonts w:ascii="宋体"/>
                <w:vanish/>
              </w:rPr>
            </w:pPr>
          </w:p>
        </w:tc>
        <w:tc>
          <w:tcPr>
            <w:tcW w:w="0" w:type="auto"/>
            <w:gridSpan w:val="3"/>
            <w:shd w:val="clear" w:color="auto" w:fill="auto"/>
          </w:tcPr>
          <w:p w14:paraId="5EA23F44" w14:textId="77777777" w:rsidR="003C66EB" w:rsidRDefault="003C66EB">
            <w:pPr>
              <w:rPr>
                <w:rFonts w:ascii="宋体"/>
                <w:vanish/>
              </w:rPr>
            </w:pPr>
          </w:p>
        </w:tc>
        <w:tc>
          <w:tcPr>
            <w:tcW w:w="0" w:type="auto"/>
            <w:gridSpan w:val="3"/>
            <w:shd w:val="clear" w:color="auto" w:fill="auto"/>
          </w:tcPr>
          <w:p w14:paraId="5EA23F45" w14:textId="77777777" w:rsidR="003C66EB" w:rsidRDefault="003C66EB">
            <w:pPr>
              <w:rPr>
                <w:rFonts w:ascii="宋体"/>
                <w:vanish/>
              </w:rPr>
            </w:pPr>
          </w:p>
        </w:tc>
        <w:tc>
          <w:tcPr>
            <w:tcW w:w="0" w:type="auto"/>
            <w:gridSpan w:val="3"/>
            <w:shd w:val="clear" w:color="auto" w:fill="auto"/>
          </w:tcPr>
          <w:p w14:paraId="5EA23F46" w14:textId="77777777" w:rsidR="003C66EB" w:rsidRDefault="003C66EB">
            <w:pPr>
              <w:rPr>
                <w:rFonts w:ascii="宋体"/>
                <w:vanish/>
              </w:rPr>
            </w:pPr>
          </w:p>
        </w:tc>
      </w:tr>
      <w:tr w:rsidR="003C66EB" w14:paraId="5EA23F54" w14:textId="77777777">
        <w:trPr>
          <w:hidden/>
        </w:trPr>
        <w:tc>
          <w:tcPr>
            <w:tcW w:w="0" w:type="auto"/>
            <w:gridSpan w:val="3"/>
            <w:shd w:val="clear" w:color="auto" w:fill="auto"/>
          </w:tcPr>
          <w:p w14:paraId="5EA23F48" w14:textId="77777777" w:rsidR="003C66EB" w:rsidRDefault="003C66EB">
            <w:pPr>
              <w:rPr>
                <w:rFonts w:ascii="宋体"/>
                <w:vanish/>
              </w:rPr>
            </w:pPr>
          </w:p>
        </w:tc>
        <w:tc>
          <w:tcPr>
            <w:tcW w:w="0" w:type="auto"/>
            <w:gridSpan w:val="3"/>
            <w:shd w:val="clear" w:color="auto" w:fill="auto"/>
          </w:tcPr>
          <w:p w14:paraId="5EA23F49" w14:textId="77777777" w:rsidR="003C66EB" w:rsidRDefault="003C66EB">
            <w:pPr>
              <w:rPr>
                <w:rFonts w:ascii="宋体"/>
                <w:vanish/>
              </w:rPr>
            </w:pPr>
          </w:p>
        </w:tc>
        <w:tc>
          <w:tcPr>
            <w:tcW w:w="0" w:type="auto"/>
            <w:gridSpan w:val="3"/>
            <w:shd w:val="clear" w:color="auto" w:fill="auto"/>
          </w:tcPr>
          <w:p w14:paraId="5EA23F4A" w14:textId="77777777" w:rsidR="003C66EB" w:rsidRDefault="003C66EB">
            <w:pPr>
              <w:rPr>
                <w:rFonts w:ascii="宋体"/>
                <w:vanish/>
              </w:rPr>
            </w:pPr>
          </w:p>
        </w:tc>
        <w:tc>
          <w:tcPr>
            <w:tcW w:w="0" w:type="auto"/>
            <w:gridSpan w:val="3"/>
            <w:shd w:val="clear" w:color="auto" w:fill="auto"/>
          </w:tcPr>
          <w:p w14:paraId="5EA23F4B" w14:textId="77777777" w:rsidR="003C66EB" w:rsidRDefault="003C66EB">
            <w:pPr>
              <w:rPr>
                <w:rFonts w:ascii="宋体"/>
                <w:vanish/>
              </w:rPr>
            </w:pPr>
          </w:p>
        </w:tc>
        <w:tc>
          <w:tcPr>
            <w:tcW w:w="0" w:type="auto"/>
            <w:gridSpan w:val="3"/>
            <w:shd w:val="clear" w:color="auto" w:fill="auto"/>
          </w:tcPr>
          <w:p w14:paraId="5EA23F4C" w14:textId="77777777" w:rsidR="003C66EB" w:rsidRDefault="003C66EB">
            <w:pPr>
              <w:rPr>
                <w:rFonts w:ascii="宋体"/>
                <w:vanish/>
              </w:rPr>
            </w:pPr>
          </w:p>
        </w:tc>
        <w:tc>
          <w:tcPr>
            <w:tcW w:w="0" w:type="auto"/>
            <w:gridSpan w:val="3"/>
            <w:shd w:val="clear" w:color="auto" w:fill="auto"/>
          </w:tcPr>
          <w:p w14:paraId="5EA23F4D" w14:textId="77777777" w:rsidR="003C66EB" w:rsidRDefault="003C66EB">
            <w:pPr>
              <w:rPr>
                <w:rFonts w:ascii="宋体"/>
                <w:vanish/>
              </w:rPr>
            </w:pPr>
          </w:p>
        </w:tc>
        <w:tc>
          <w:tcPr>
            <w:tcW w:w="0" w:type="auto"/>
            <w:gridSpan w:val="3"/>
            <w:shd w:val="clear" w:color="auto" w:fill="auto"/>
          </w:tcPr>
          <w:p w14:paraId="5EA23F4E" w14:textId="77777777" w:rsidR="003C66EB" w:rsidRDefault="003C66EB">
            <w:pPr>
              <w:rPr>
                <w:rFonts w:ascii="宋体"/>
                <w:vanish/>
              </w:rPr>
            </w:pPr>
          </w:p>
        </w:tc>
        <w:tc>
          <w:tcPr>
            <w:tcW w:w="0" w:type="auto"/>
            <w:gridSpan w:val="3"/>
            <w:shd w:val="clear" w:color="auto" w:fill="auto"/>
          </w:tcPr>
          <w:p w14:paraId="5EA23F4F" w14:textId="77777777" w:rsidR="003C66EB" w:rsidRDefault="003C66EB">
            <w:pPr>
              <w:rPr>
                <w:rFonts w:ascii="宋体"/>
                <w:vanish/>
              </w:rPr>
            </w:pPr>
          </w:p>
        </w:tc>
        <w:tc>
          <w:tcPr>
            <w:tcW w:w="0" w:type="auto"/>
            <w:gridSpan w:val="3"/>
            <w:shd w:val="clear" w:color="auto" w:fill="auto"/>
          </w:tcPr>
          <w:p w14:paraId="5EA23F50" w14:textId="77777777" w:rsidR="003C66EB" w:rsidRDefault="003C66EB">
            <w:pPr>
              <w:rPr>
                <w:rFonts w:ascii="宋体"/>
                <w:vanish/>
              </w:rPr>
            </w:pPr>
          </w:p>
        </w:tc>
        <w:tc>
          <w:tcPr>
            <w:tcW w:w="0" w:type="auto"/>
            <w:gridSpan w:val="3"/>
            <w:shd w:val="clear" w:color="auto" w:fill="auto"/>
          </w:tcPr>
          <w:p w14:paraId="5EA23F51" w14:textId="77777777" w:rsidR="003C66EB" w:rsidRDefault="003C66EB">
            <w:pPr>
              <w:rPr>
                <w:rFonts w:ascii="宋体"/>
                <w:vanish/>
              </w:rPr>
            </w:pPr>
          </w:p>
        </w:tc>
        <w:tc>
          <w:tcPr>
            <w:tcW w:w="0" w:type="auto"/>
            <w:gridSpan w:val="3"/>
            <w:shd w:val="clear" w:color="auto" w:fill="auto"/>
          </w:tcPr>
          <w:p w14:paraId="5EA23F52" w14:textId="77777777" w:rsidR="003C66EB" w:rsidRDefault="003C66EB">
            <w:pPr>
              <w:rPr>
                <w:rFonts w:ascii="宋体"/>
                <w:vanish/>
              </w:rPr>
            </w:pPr>
          </w:p>
        </w:tc>
        <w:tc>
          <w:tcPr>
            <w:tcW w:w="0" w:type="auto"/>
            <w:gridSpan w:val="3"/>
            <w:shd w:val="clear" w:color="auto" w:fill="auto"/>
          </w:tcPr>
          <w:p w14:paraId="5EA23F53" w14:textId="77777777" w:rsidR="003C66EB" w:rsidRDefault="003C66EB">
            <w:pPr>
              <w:rPr>
                <w:rFonts w:ascii="宋体"/>
                <w:vanish/>
              </w:rPr>
            </w:pPr>
          </w:p>
        </w:tc>
      </w:tr>
      <w:tr w:rsidR="003C66EB" w14:paraId="5EA23F61" w14:textId="77777777">
        <w:trPr>
          <w:hidden/>
        </w:trPr>
        <w:tc>
          <w:tcPr>
            <w:tcW w:w="0" w:type="auto"/>
            <w:gridSpan w:val="3"/>
            <w:shd w:val="clear" w:color="auto" w:fill="auto"/>
          </w:tcPr>
          <w:p w14:paraId="5EA23F55" w14:textId="77777777" w:rsidR="003C66EB" w:rsidRDefault="003C66EB">
            <w:pPr>
              <w:rPr>
                <w:rFonts w:ascii="宋体"/>
                <w:vanish/>
              </w:rPr>
            </w:pPr>
          </w:p>
        </w:tc>
        <w:tc>
          <w:tcPr>
            <w:tcW w:w="0" w:type="auto"/>
            <w:gridSpan w:val="3"/>
            <w:shd w:val="clear" w:color="auto" w:fill="auto"/>
          </w:tcPr>
          <w:p w14:paraId="5EA23F56" w14:textId="77777777" w:rsidR="003C66EB" w:rsidRDefault="003C66EB">
            <w:pPr>
              <w:rPr>
                <w:rFonts w:ascii="宋体"/>
                <w:vanish/>
              </w:rPr>
            </w:pPr>
          </w:p>
        </w:tc>
        <w:tc>
          <w:tcPr>
            <w:tcW w:w="0" w:type="auto"/>
            <w:gridSpan w:val="3"/>
            <w:shd w:val="clear" w:color="auto" w:fill="auto"/>
          </w:tcPr>
          <w:p w14:paraId="5EA23F57" w14:textId="77777777" w:rsidR="003C66EB" w:rsidRDefault="003C66EB">
            <w:pPr>
              <w:rPr>
                <w:rFonts w:ascii="宋体"/>
                <w:vanish/>
              </w:rPr>
            </w:pPr>
          </w:p>
        </w:tc>
        <w:tc>
          <w:tcPr>
            <w:tcW w:w="0" w:type="auto"/>
            <w:gridSpan w:val="3"/>
            <w:shd w:val="clear" w:color="auto" w:fill="auto"/>
          </w:tcPr>
          <w:p w14:paraId="5EA23F58" w14:textId="77777777" w:rsidR="003C66EB" w:rsidRDefault="003C66EB">
            <w:pPr>
              <w:rPr>
                <w:rFonts w:ascii="宋体"/>
                <w:vanish/>
              </w:rPr>
            </w:pPr>
          </w:p>
        </w:tc>
        <w:tc>
          <w:tcPr>
            <w:tcW w:w="0" w:type="auto"/>
            <w:gridSpan w:val="3"/>
            <w:shd w:val="clear" w:color="auto" w:fill="auto"/>
          </w:tcPr>
          <w:p w14:paraId="5EA23F59" w14:textId="77777777" w:rsidR="003C66EB" w:rsidRDefault="003C66EB">
            <w:pPr>
              <w:rPr>
                <w:rFonts w:ascii="宋体"/>
                <w:vanish/>
              </w:rPr>
            </w:pPr>
          </w:p>
        </w:tc>
        <w:tc>
          <w:tcPr>
            <w:tcW w:w="0" w:type="auto"/>
            <w:gridSpan w:val="3"/>
            <w:shd w:val="clear" w:color="auto" w:fill="auto"/>
          </w:tcPr>
          <w:p w14:paraId="5EA23F5A" w14:textId="77777777" w:rsidR="003C66EB" w:rsidRDefault="003C66EB">
            <w:pPr>
              <w:rPr>
                <w:rFonts w:ascii="宋体"/>
                <w:vanish/>
              </w:rPr>
            </w:pPr>
          </w:p>
        </w:tc>
        <w:tc>
          <w:tcPr>
            <w:tcW w:w="0" w:type="auto"/>
            <w:gridSpan w:val="3"/>
            <w:shd w:val="clear" w:color="auto" w:fill="auto"/>
          </w:tcPr>
          <w:p w14:paraId="5EA23F5B" w14:textId="77777777" w:rsidR="003C66EB" w:rsidRDefault="003C66EB">
            <w:pPr>
              <w:rPr>
                <w:rFonts w:ascii="宋体"/>
                <w:vanish/>
              </w:rPr>
            </w:pPr>
          </w:p>
        </w:tc>
        <w:tc>
          <w:tcPr>
            <w:tcW w:w="0" w:type="auto"/>
            <w:gridSpan w:val="3"/>
            <w:shd w:val="clear" w:color="auto" w:fill="auto"/>
          </w:tcPr>
          <w:p w14:paraId="5EA23F5C" w14:textId="77777777" w:rsidR="003C66EB" w:rsidRDefault="003C66EB">
            <w:pPr>
              <w:rPr>
                <w:rFonts w:ascii="宋体"/>
                <w:vanish/>
              </w:rPr>
            </w:pPr>
          </w:p>
        </w:tc>
        <w:tc>
          <w:tcPr>
            <w:tcW w:w="0" w:type="auto"/>
            <w:gridSpan w:val="3"/>
            <w:shd w:val="clear" w:color="auto" w:fill="auto"/>
          </w:tcPr>
          <w:p w14:paraId="5EA23F5D" w14:textId="77777777" w:rsidR="003C66EB" w:rsidRDefault="003C66EB">
            <w:pPr>
              <w:rPr>
                <w:rFonts w:ascii="宋体"/>
                <w:vanish/>
              </w:rPr>
            </w:pPr>
          </w:p>
        </w:tc>
        <w:tc>
          <w:tcPr>
            <w:tcW w:w="0" w:type="auto"/>
            <w:gridSpan w:val="3"/>
            <w:shd w:val="clear" w:color="auto" w:fill="auto"/>
          </w:tcPr>
          <w:p w14:paraId="5EA23F5E" w14:textId="77777777" w:rsidR="003C66EB" w:rsidRDefault="003C66EB">
            <w:pPr>
              <w:rPr>
                <w:rFonts w:ascii="宋体"/>
                <w:vanish/>
              </w:rPr>
            </w:pPr>
          </w:p>
        </w:tc>
        <w:tc>
          <w:tcPr>
            <w:tcW w:w="0" w:type="auto"/>
            <w:gridSpan w:val="3"/>
            <w:shd w:val="clear" w:color="auto" w:fill="auto"/>
          </w:tcPr>
          <w:p w14:paraId="5EA23F5F" w14:textId="77777777" w:rsidR="003C66EB" w:rsidRDefault="003C66EB">
            <w:pPr>
              <w:rPr>
                <w:rFonts w:ascii="宋体"/>
                <w:vanish/>
              </w:rPr>
            </w:pPr>
          </w:p>
        </w:tc>
        <w:tc>
          <w:tcPr>
            <w:tcW w:w="0" w:type="auto"/>
            <w:gridSpan w:val="3"/>
            <w:shd w:val="clear" w:color="auto" w:fill="auto"/>
          </w:tcPr>
          <w:p w14:paraId="5EA23F60" w14:textId="77777777" w:rsidR="003C66EB" w:rsidRDefault="003C66EB">
            <w:pPr>
              <w:rPr>
                <w:rFonts w:ascii="宋体"/>
                <w:vanish/>
              </w:rPr>
            </w:pPr>
          </w:p>
        </w:tc>
      </w:tr>
      <w:tr w:rsidR="003C66EB" w14:paraId="5EA23F6E" w14:textId="77777777">
        <w:trPr>
          <w:hidden/>
        </w:trPr>
        <w:tc>
          <w:tcPr>
            <w:tcW w:w="0" w:type="auto"/>
            <w:gridSpan w:val="3"/>
            <w:shd w:val="clear" w:color="auto" w:fill="auto"/>
          </w:tcPr>
          <w:p w14:paraId="5EA23F62" w14:textId="77777777" w:rsidR="003C66EB" w:rsidRDefault="003C66EB">
            <w:pPr>
              <w:rPr>
                <w:rFonts w:ascii="宋体"/>
                <w:vanish/>
              </w:rPr>
            </w:pPr>
          </w:p>
        </w:tc>
        <w:tc>
          <w:tcPr>
            <w:tcW w:w="0" w:type="auto"/>
            <w:gridSpan w:val="3"/>
            <w:shd w:val="clear" w:color="auto" w:fill="auto"/>
          </w:tcPr>
          <w:p w14:paraId="5EA23F63" w14:textId="77777777" w:rsidR="003C66EB" w:rsidRDefault="003C66EB">
            <w:pPr>
              <w:rPr>
                <w:rFonts w:ascii="宋体"/>
                <w:vanish/>
              </w:rPr>
            </w:pPr>
          </w:p>
        </w:tc>
        <w:tc>
          <w:tcPr>
            <w:tcW w:w="0" w:type="auto"/>
            <w:gridSpan w:val="3"/>
            <w:shd w:val="clear" w:color="auto" w:fill="auto"/>
          </w:tcPr>
          <w:p w14:paraId="5EA23F64" w14:textId="77777777" w:rsidR="003C66EB" w:rsidRDefault="003C66EB">
            <w:pPr>
              <w:rPr>
                <w:rFonts w:ascii="宋体"/>
                <w:vanish/>
              </w:rPr>
            </w:pPr>
          </w:p>
        </w:tc>
        <w:tc>
          <w:tcPr>
            <w:tcW w:w="0" w:type="auto"/>
            <w:gridSpan w:val="3"/>
            <w:shd w:val="clear" w:color="auto" w:fill="auto"/>
          </w:tcPr>
          <w:p w14:paraId="5EA23F65" w14:textId="77777777" w:rsidR="003C66EB" w:rsidRDefault="003C66EB">
            <w:pPr>
              <w:rPr>
                <w:rFonts w:ascii="宋体"/>
                <w:vanish/>
              </w:rPr>
            </w:pPr>
          </w:p>
        </w:tc>
        <w:tc>
          <w:tcPr>
            <w:tcW w:w="0" w:type="auto"/>
            <w:gridSpan w:val="3"/>
            <w:shd w:val="clear" w:color="auto" w:fill="auto"/>
          </w:tcPr>
          <w:p w14:paraId="5EA23F66" w14:textId="77777777" w:rsidR="003C66EB" w:rsidRDefault="003C66EB">
            <w:pPr>
              <w:rPr>
                <w:rFonts w:ascii="宋体"/>
                <w:vanish/>
              </w:rPr>
            </w:pPr>
          </w:p>
        </w:tc>
        <w:tc>
          <w:tcPr>
            <w:tcW w:w="0" w:type="auto"/>
            <w:gridSpan w:val="3"/>
            <w:shd w:val="clear" w:color="auto" w:fill="auto"/>
          </w:tcPr>
          <w:p w14:paraId="5EA23F67" w14:textId="77777777" w:rsidR="003C66EB" w:rsidRDefault="003C66EB">
            <w:pPr>
              <w:rPr>
                <w:rFonts w:ascii="宋体"/>
                <w:vanish/>
              </w:rPr>
            </w:pPr>
          </w:p>
        </w:tc>
        <w:tc>
          <w:tcPr>
            <w:tcW w:w="0" w:type="auto"/>
            <w:gridSpan w:val="3"/>
            <w:shd w:val="clear" w:color="auto" w:fill="auto"/>
          </w:tcPr>
          <w:p w14:paraId="5EA23F68" w14:textId="77777777" w:rsidR="003C66EB" w:rsidRDefault="003C66EB">
            <w:pPr>
              <w:rPr>
                <w:rFonts w:ascii="宋体"/>
                <w:vanish/>
              </w:rPr>
            </w:pPr>
          </w:p>
        </w:tc>
        <w:tc>
          <w:tcPr>
            <w:tcW w:w="0" w:type="auto"/>
            <w:gridSpan w:val="3"/>
            <w:shd w:val="clear" w:color="auto" w:fill="auto"/>
          </w:tcPr>
          <w:p w14:paraId="5EA23F69" w14:textId="77777777" w:rsidR="003C66EB" w:rsidRDefault="003C66EB">
            <w:pPr>
              <w:rPr>
                <w:rFonts w:ascii="宋体"/>
                <w:vanish/>
              </w:rPr>
            </w:pPr>
          </w:p>
        </w:tc>
        <w:tc>
          <w:tcPr>
            <w:tcW w:w="0" w:type="auto"/>
            <w:gridSpan w:val="3"/>
            <w:shd w:val="clear" w:color="auto" w:fill="auto"/>
          </w:tcPr>
          <w:p w14:paraId="5EA23F6A" w14:textId="77777777" w:rsidR="003C66EB" w:rsidRDefault="003C66EB">
            <w:pPr>
              <w:rPr>
                <w:rFonts w:ascii="宋体"/>
                <w:vanish/>
              </w:rPr>
            </w:pPr>
          </w:p>
        </w:tc>
        <w:tc>
          <w:tcPr>
            <w:tcW w:w="0" w:type="auto"/>
            <w:gridSpan w:val="3"/>
            <w:shd w:val="clear" w:color="auto" w:fill="auto"/>
          </w:tcPr>
          <w:p w14:paraId="5EA23F6B" w14:textId="77777777" w:rsidR="003C66EB" w:rsidRDefault="003C66EB">
            <w:pPr>
              <w:rPr>
                <w:rFonts w:ascii="宋体"/>
                <w:vanish/>
              </w:rPr>
            </w:pPr>
          </w:p>
        </w:tc>
        <w:tc>
          <w:tcPr>
            <w:tcW w:w="0" w:type="auto"/>
            <w:gridSpan w:val="3"/>
            <w:shd w:val="clear" w:color="auto" w:fill="auto"/>
          </w:tcPr>
          <w:p w14:paraId="5EA23F6C" w14:textId="77777777" w:rsidR="003C66EB" w:rsidRDefault="003C66EB">
            <w:pPr>
              <w:rPr>
                <w:rFonts w:ascii="宋体"/>
                <w:vanish/>
              </w:rPr>
            </w:pPr>
          </w:p>
        </w:tc>
        <w:tc>
          <w:tcPr>
            <w:tcW w:w="0" w:type="auto"/>
            <w:gridSpan w:val="3"/>
            <w:shd w:val="clear" w:color="auto" w:fill="auto"/>
          </w:tcPr>
          <w:p w14:paraId="5EA23F6D" w14:textId="77777777" w:rsidR="003C66EB" w:rsidRDefault="003C66EB">
            <w:pPr>
              <w:rPr>
                <w:rFonts w:ascii="宋体"/>
                <w:vanish/>
              </w:rPr>
            </w:pPr>
          </w:p>
        </w:tc>
      </w:tr>
      <w:tr w:rsidR="003C66EB" w14:paraId="5EA23F7B" w14:textId="77777777">
        <w:trPr>
          <w:hidden/>
        </w:trPr>
        <w:tc>
          <w:tcPr>
            <w:tcW w:w="0" w:type="auto"/>
            <w:gridSpan w:val="3"/>
            <w:shd w:val="clear" w:color="auto" w:fill="auto"/>
          </w:tcPr>
          <w:p w14:paraId="5EA23F6F" w14:textId="77777777" w:rsidR="003C66EB" w:rsidRDefault="003C66EB">
            <w:pPr>
              <w:rPr>
                <w:rFonts w:ascii="宋体"/>
                <w:vanish/>
              </w:rPr>
            </w:pPr>
          </w:p>
        </w:tc>
        <w:tc>
          <w:tcPr>
            <w:tcW w:w="0" w:type="auto"/>
            <w:gridSpan w:val="3"/>
            <w:shd w:val="clear" w:color="auto" w:fill="auto"/>
          </w:tcPr>
          <w:p w14:paraId="5EA23F70" w14:textId="77777777" w:rsidR="003C66EB" w:rsidRDefault="003C66EB">
            <w:pPr>
              <w:rPr>
                <w:rFonts w:ascii="宋体"/>
                <w:vanish/>
              </w:rPr>
            </w:pPr>
          </w:p>
        </w:tc>
        <w:tc>
          <w:tcPr>
            <w:tcW w:w="0" w:type="auto"/>
            <w:gridSpan w:val="3"/>
            <w:shd w:val="clear" w:color="auto" w:fill="auto"/>
          </w:tcPr>
          <w:p w14:paraId="5EA23F71" w14:textId="77777777" w:rsidR="003C66EB" w:rsidRDefault="003C66EB">
            <w:pPr>
              <w:rPr>
                <w:rFonts w:ascii="宋体"/>
                <w:vanish/>
              </w:rPr>
            </w:pPr>
          </w:p>
        </w:tc>
        <w:tc>
          <w:tcPr>
            <w:tcW w:w="0" w:type="auto"/>
            <w:gridSpan w:val="3"/>
            <w:shd w:val="clear" w:color="auto" w:fill="auto"/>
          </w:tcPr>
          <w:p w14:paraId="5EA23F72" w14:textId="77777777" w:rsidR="003C66EB" w:rsidRDefault="003C66EB">
            <w:pPr>
              <w:rPr>
                <w:rFonts w:ascii="宋体"/>
                <w:vanish/>
              </w:rPr>
            </w:pPr>
          </w:p>
        </w:tc>
        <w:tc>
          <w:tcPr>
            <w:tcW w:w="0" w:type="auto"/>
            <w:gridSpan w:val="3"/>
            <w:shd w:val="clear" w:color="auto" w:fill="auto"/>
          </w:tcPr>
          <w:p w14:paraId="5EA23F73" w14:textId="77777777" w:rsidR="003C66EB" w:rsidRDefault="003C66EB">
            <w:pPr>
              <w:rPr>
                <w:rFonts w:ascii="宋体"/>
                <w:vanish/>
              </w:rPr>
            </w:pPr>
          </w:p>
        </w:tc>
        <w:tc>
          <w:tcPr>
            <w:tcW w:w="0" w:type="auto"/>
            <w:gridSpan w:val="3"/>
            <w:shd w:val="clear" w:color="auto" w:fill="auto"/>
          </w:tcPr>
          <w:p w14:paraId="5EA23F74" w14:textId="77777777" w:rsidR="003C66EB" w:rsidRDefault="003C66EB">
            <w:pPr>
              <w:rPr>
                <w:rFonts w:ascii="宋体"/>
                <w:vanish/>
              </w:rPr>
            </w:pPr>
          </w:p>
        </w:tc>
        <w:tc>
          <w:tcPr>
            <w:tcW w:w="0" w:type="auto"/>
            <w:gridSpan w:val="3"/>
            <w:shd w:val="clear" w:color="auto" w:fill="auto"/>
          </w:tcPr>
          <w:p w14:paraId="5EA23F75" w14:textId="77777777" w:rsidR="003C66EB" w:rsidRDefault="003C66EB">
            <w:pPr>
              <w:rPr>
                <w:rFonts w:ascii="宋体"/>
                <w:vanish/>
              </w:rPr>
            </w:pPr>
          </w:p>
        </w:tc>
        <w:tc>
          <w:tcPr>
            <w:tcW w:w="0" w:type="auto"/>
            <w:gridSpan w:val="3"/>
            <w:shd w:val="clear" w:color="auto" w:fill="auto"/>
          </w:tcPr>
          <w:p w14:paraId="5EA23F76" w14:textId="77777777" w:rsidR="003C66EB" w:rsidRDefault="003C66EB">
            <w:pPr>
              <w:rPr>
                <w:rFonts w:ascii="宋体"/>
                <w:vanish/>
              </w:rPr>
            </w:pPr>
          </w:p>
        </w:tc>
        <w:tc>
          <w:tcPr>
            <w:tcW w:w="0" w:type="auto"/>
            <w:gridSpan w:val="3"/>
            <w:shd w:val="clear" w:color="auto" w:fill="auto"/>
          </w:tcPr>
          <w:p w14:paraId="5EA23F77" w14:textId="77777777" w:rsidR="003C66EB" w:rsidRDefault="003C66EB">
            <w:pPr>
              <w:rPr>
                <w:rFonts w:ascii="宋体"/>
                <w:vanish/>
              </w:rPr>
            </w:pPr>
          </w:p>
        </w:tc>
        <w:tc>
          <w:tcPr>
            <w:tcW w:w="0" w:type="auto"/>
            <w:gridSpan w:val="3"/>
            <w:shd w:val="clear" w:color="auto" w:fill="auto"/>
          </w:tcPr>
          <w:p w14:paraId="5EA23F78" w14:textId="77777777" w:rsidR="003C66EB" w:rsidRDefault="003C66EB">
            <w:pPr>
              <w:rPr>
                <w:rFonts w:ascii="宋体"/>
                <w:vanish/>
              </w:rPr>
            </w:pPr>
          </w:p>
        </w:tc>
        <w:tc>
          <w:tcPr>
            <w:tcW w:w="0" w:type="auto"/>
            <w:gridSpan w:val="3"/>
            <w:shd w:val="clear" w:color="auto" w:fill="auto"/>
          </w:tcPr>
          <w:p w14:paraId="5EA23F79" w14:textId="77777777" w:rsidR="003C66EB" w:rsidRDefault="003C66EB">
            <w:pPr>
              <w:rPr>
                <w:rFonts w:ascii="宋体"/>
                <w:vanish/>
              </w:rPr>
            </w:pPr>
          </w:p>
        </w:tc>
        <w:tc>
          <w:tcPr>
            <w:tcW w:w="0" w:type="auto"/>
            <w:gridSpan w:val="3"/>
            <w:shd w:val="clear" w:color="auto" w:fill="auto"/>
          </w:tcPr>
          <w:p w14:paraId="5EA23F7A" w14:textId="77777777" w:rsidR="003C66EB" w:rsidRDefault="003C66EB">
            <w:pPr>
              <w:rPr>
                <w:rFonts w:ascii="宋体"/>
                <w:vanish/>
              </w:rPr>
            </w:pPr>
          </w:p>
        </w:tc>
      </w:tr>
      <w:tr w:rsidR="003C66EB" w14:paraId="5EA23F88" w14:textId="77777777">
        <w:trPr>
          <w:hidden/>
        </w:trPr>
        <w:tc>
          <w:tcPr>
            <w:tcW w:w="0" w:type="auto"/>
            <w:gridSpan w:val="3"/>
            <w:shd w:val="clear" w:color="auto" w:fill="auto"/>
          </w:tcPr>
          <w:p w14:paraId="5EA23F7C" w14:textId="77777777" w:rsidR="003C66EB" w:rsidRDefault="003C66EB">
            <w:pPr>
              <w:rPr>
                <w:rFonts w:ascii="宋体"/>
                <w:vanish/>
              </w:rPr>
            </w:pPr>
          </w:p>
        </w:tc>
        <w:tc>
          <w:tcPr>
            <w:tcW w:w="0" w:type="auto"/>
            <w:gridSpan w:val="3"/>
            <w:shd w:val="clear" w:color="auto" w:fill="auto"/>
          </w:tcPr>
          <w:p w14:paraId="5EA23F7D" w14:textId="77777777" w:rsidR="003C66EB" w:rsidRDefault="003C66EB">
            <w:pPr>
              <w:rPr>
                <w:rFonts w:ascii="宋体"/>
                <w:vanish/>
              </w:rPr>
            </w:pPr>
          </w:p>
        </w:tc>
        <w:tc>
          <w:tcPr>
            <w:tcW w:w="0" w:type="auto"/>
            <w:gridSpan w:val="3"/>
            <w:shd w:val="clear" w:color="auto" w:fill="auto"/>
          </w:tcPr>
          <w:p w14:paraId="5EA23F7E" w14:textId="77777777" w:rsidR="003C66EB" w:rsidRDefault="003C66EB">
            <w:pPr>
              <w:rPr>
                <w:rFonts w:ascii="宋体"/>
                <w:vanish/>
              </w:rPr>
            </w:pPr>
          </w:p>
        </w:tc>
        <w:tc>
          <w:tcPr>
            <w:tcW w:w="0" w:type="auto"/>
            <w:gridSpan w:val="3"/>
            <w:shd w:val="clear" w:color="auto" w:fill="auto"/>
          </w:tcPr>
          <w:p w14:paraId="5EA23F7F" w14:textId="77777777" w:rsidR="003C66EB" w:rsidRDefault="003C66EB">
            <w:pPr>
              <w:rPr>
                <w:rFonts w:ascii="宋体"/>
                <w:vanish/>
              </w:rPr>
            </w:pPr>
          </w:p>
        </w:tc>
        <w:tc>
          <w:tcPr>
            <w:tcW w:w="0" w:type="auto"/>
            <w:gridSpan w:val="3"/>
            <w:shd w:val="clear" w:color="auto" w:fill="auto"/>
          </w:tcPr>
          <w:p w14:paraId="5EA23F80" w14:textId="77777777" w:rsidR="003C66EB" w:rsidRDefault="003C66EB">
            <w:pPr>
              <w:rPr>
                <w:rFonts w:ascii="宋体"/>
                <w:vanish/>
              </w:rPr>
            </w:pPr>
          </w:p>
        </w:tc>
        <w:tc>
          <w:tcPr>
            <w:tcW w:w="0" w:type="auto"/>
            <w:gridSpan w:val="3"/>
            <w:shd w:val="clear" w:color="auto" w:fill="auto"/>
          </w:tcPr>
          <w:p w14:paraId="5EA23F81" w14:textId="77777777" w:rsidR="003C66EB" w:rsidRDefault="003C66EB">
            <w:pPr>
              <w:rPr>
                <w:rFonts w:ascii="宋体"/>
                <w:vanish/>
              </w:rPr>
            </w:pPr>
          </w:p>
        </w:tc>
        <w:tc>
          <w:tcPr>
            <w:tcW w:w="0" w:type="auto"/>
            <w:gridSpan w:val="3"/>
            <w:shd w:val="clear" w:color="auto" w:fill="auto"/>
          </w:tcPr>
          <w:p w14:paraId="5EA23F82" w14:textId="77777777" w:rsidR="003C66EB" w:rsidRDefault="003C66EB">
            <w:pPr>
              <w:rPr>
                <w:rFonts w:ascii="宋体"/>
                <w:vanish/>
              </w:rPr>
            </w:pPr>
          </w:p>
        </w:tc>
        <w:tc>
          <w:tcPr>
            <w:tcW w:w="0" w:type="auto"/>
            <w:gridSpan w:val="3"/>
            <w:shd w:val="clear" w:color="auto" w:fill="auto"/>
          </w:tcPr>
          <w:p w14:paraId="5EA23F83" w14:textId="77777777" w:rsidR="003C66EB" w:rsidRDefault="003C66EB">
            <w:pPr>
              <w:rPr>
                <w:rFonts w:ascii="宋体"/>
                <w:vanish/>
              </w:rPr>
            </w:pPr>
          </w:p>
        </w:tc>
        <w:tc>
          <w:tcPr>
            <w:tcW w:w="0" w:type="auto"/>
            <w:gridSpan w:val="3"/>
            <w:shd w:val="clear" w:color="auto" w:fill="auto"/>
          </w:tcPr>
          <w:p w14:paraId="5EA23F84" w14:textId="77777777" w:rsidR="003C66EB" w:rsidRDefault="003C66EB">
            <w:pPr>
              <w:rPr>
                <w:rFonts w:ascii="宋体"/>
                <w:vanish/>
              </w:rPr>
            </w:pPr>
          </w:p>
        </w:tc>
        <w:tc>
          <w:tcPr>
            <w:tcW w:w="0" w:type="auto"/>
            <w:gridSpan w:val="3"/>
            <w:shd w:val="clear" w:color="auto" w:fill="auto"/>
          </w:tcPr>
          <w:p w14:paraId="5EA23F85" w14:textId="77777777" w:rsidR="003C66EB" w:rsidRDefault="003C66EB">
            <w:pPr>
              <w:rPr>
                <w:rFonts w:ascii="宋体"/>
                <w:vanish/>
              </w:rPr>
            </w:pPr>
          </w:p>
        </w:tc>
        <w:tc>
          <w:tcPr>
            <w:tcW w:w="0" w:type="auto"/>
            <w:gridSpan w:val="3"/>
            <w:shd w:val="clear" w:color="auto" w:fill="auto"/>
          </w:tcPr>
          <w:p w14:paraId="5EA23F86" w14:textId="77777777" w:rsidR="003C66EB" w:rsidRDefault="003C66EB">
            <w:pPr>
              <w:rPr>
                <w:rFonts w:ascii="宋体"/>
                <w:vanish/>
              </w:rPr>
            </w:pPr>
          </w:p>
        </w:tc>
        <w:tc>
          <w:tcPr>
            <w:tcW w:w="0" w:type="auto"/>
            <w:gridSpan w:val="3"/>
            <w:shd w:val="clear" w:color="auto" w:fill="auto"/>
          </w:tcPr>
          <w:p w14:paraId="5EA23F87" w14:textId="77777777" w:rsidR="003C66EB" w:rsidRDefault="003C66EB">
            <w:pPr>
              <w:rPr>
                <w:rFonts w:ascii="宋体"/>
                <w:vanish/>
              </w:rPr>
            </w:pPr>
          </w:p>
        </w:tc>
      </w:tr>
      <w:tr w:rsidR="003C66EB" w14:paraId="5EA23F95" w14:textId="77777777">
        <w:trPr>
          <w:hidden/>
        </w:trPr>
        <w:tc>
          <w:tcPr>
            <w:tcW w:w="0" w:type="auto"/>
            <w:gridSpan w:val="3"/>
            <w:shd w:val="clear" w:color="auto" w:fill="auto"/>
          </w:tcPr>
          <w:p w14:paraId="5EA23F89" w14:textId="77777777" w:rsidR="003C66EB" w:rsidRDefault="003C66EB">
            <w:pPr>
              <w:rPr>
                <w:rFonts w:ascii="宋体"/>
                <w:vanish/>
              </w:rPr>
            </w:pPr>
          </w:p>
        </w:tc>
        <w:tc>
          <w:tcPr>
            <w:tcW w:w="0" w:type="auto"/>
            <w:gridSpan w:val="3"/>
            <w:shd w:val="clear" w:color="auto" w:fill="auto"/>
          </w:tcPr>
          <w:p w14:paraId="5EA23F8A" w14:textId="77777777" w:rsidR="003C66EB" w:rsidRDefault="003C66EB">
            <w:pPr>
              <w:rPr>
                <w:rFonts w:ascii="宋体"/>
                <w:vanish/>
              </w:rPr>
            </w:pPr>
          </w:p>
        </w:tc>
        <w:tc>
          <w:tcPr>
            <w:tcW w:w="0" w:type="auto"/>
            <w:gridSpan w:val="3"/>
            <w:shd w:val="clear" w:color="auto" w:fill="auto"/>
          </w:tcPr>
          <w:p w14:paraId="5EA23F8B" w14:textId="77777777" w:rsidR="003C66EB" w:rsidRDefault="003C66EB">
            <w:pPr>
              <w:rPr>
                <w:rFonts w:ascii="宋体"/>
                <w:vanish/>
              </w:rPr>
            </w:pPr>
          </w:p>
        </w:tc>
        <w:tc>
          <w:tcPr>
            <w:tcW w:w="0" w:type="auto"/>
            <w:gridSpan w:val="3"/>
            <w:shd w:val="clear" w:color="auto" w:fill="auto"/>
          </w:tcPr>
          <w:p w14:paraId="5EA23F8C" w14:textId="77777777" w:rsidR="003C66EB" w:rsidRDefault="003C66EB">
            <w:pPr>
              <w:rPr>
                <w:rFonts w:ascii="宋体"/>
                <w:vanish/>
              </w:rPr>
            </w:pPr>
          </w:p>
        </w:tc>
        <w:tc>
          <w:tcPr>
            <w:tcW w:w="0" w:type="auto"/>
            <w:gridSpan w:val="3"/>
            <w:shd w:val="clear" w:color="auto" w:fill="auto"/>
          </w:tcPr>
          <w:p w14:paraId="5EA23F8D" w14:textId="77777777" w:rsidR="003C66EB" w:rsidRDefault="003C66EB">
            <w:pPr>
              <w:rPr>
                <w:rFonts w:ascii="宋体"/>
                <w:vanish/>
              </w:rPr>
            </w:pPr>
          </w:p>
        </w:tc>
        <w:tc>
          <w:tcPr>
            <w:tcW w:w="0" w:type="auto"/>
            <w:gridSpan w:val="3"/>
            <w:shd w:val="clear" w:color="auto" w:fill="auto"/>
          </w:tcPr>
          <w:p w14:paraId="5EA23F8E" w14:textId="77777777" w:rsidR="003C66EB" w:rsidRDefault="003C66EB">
            <w:pPr>
              <w:rPr>
                <w:rFonts w:ascii="宋体"/>
                <w:vanish/>
              </w:rPr>
            </w:pPr>
          </w:p>
        </w:tc>
        <w:tc>
          <w:tcPr>
            <w:tcW w:w="0" w:type="auto"/>
            <w:gridSpan w:val="3"/>
            <w:shd w:val="clear" w:color="auto" w:fill="auto"/>
          </w:tcPr>
          <w:p w14:paraId="5EA23F8F" w14:textId="77777777" w:rsidR="003C66EB" w:rsidRDefault="003C66EB">
            <w:pPr>
              <w:rPr>
                <w:rFonts w:ascii="宋体"/>
                <w:vanish/>
              </w:rPr>
            </w:pPr>
          </w:p>
        </w:tc>
        <w:tc>
          <w:tcPr>
            <w:tcW w:w="0" w:type="auto"/>
            <w:gridSpan w:val="3"/>
            <w:shd w:val="clear" w:color="auto" w:fill="auto"/>
          </w:tcPr>
          <w:p w14:paraId="5EA23F90" w14:textId="77777777" w:rsidR="003C66EB" w:rsidRDefault="003C66EB">
            <w:pPr>
              <w:rPr>
                <w:rFonts w:ascii="宋体"/>
                <w:vanish/>
              </w:rPr>
            </w:pPr>
          </w:p>
        </w:tc>
        <w:tc>
          <w:tcPr>
            <w:tcW w:w="0" w:type="auto"/>
            <w:gridSpan w:val="3"/>
            <w:shd w:val="clear" w:color="auto" w:fill="auto"/>
          </w:tcPr>
          <w:p w14:paraId="5EA23F91" w14:textId="77777777" w:rsidR="003C66EB" w:rsidRDefault="003C66EB">
            <w:pPr>
              <w:rPr>
                <w:rFonts w:ascii="宋体"/>
                <w:vanish/>
              </w:rPr>
            </w:pPr>
          </w:p>
        </w:tc>
        <w:tc>
          <w:tcPr>
            <w:tcW w:w="0" w:type="auto"/>
            <w:gridSpan w:val="3"/>
            <w:shd w:val="clear" w:color="auto" w:fill="auto"/>
          </w:tcPr>
          <w:p w14:paraId="5EA23F92" w14:textId="77777777" w:rsidR="003C66EB" w:rsidRDefault="003C66EB">
            <w:pPr>
              <w:rPr>
                <w:rFonts w:ascii="宋体"/>
                <w:vanish/>
              </w:rPr>
            </w:pPr>
          </w:p>
        </w:tc>
        <w:tc>
          <w:tcPr>
            <w:tcW w:w="0" w:type="auto"/>
            <w:gridSpan w:val="3"/>
            <w:shd w:val="clear" w:color="auto" w:fill="auto"/>
          </w:tcPr>
          <w:p w14:paraId="5EA23F93" w14:textId="77777777" w:rsidR="003C66EB" w:rsidRDefault="003C66EB">
            <w:pPr>
              <w:rPr>
                <w:rFonts w:ascii="宋体"/>
                <w:vanish/>
              </w:rPr>
            </w:pPr>
          </w:p>
        </w:tc>
        <w:tc>
          <w:tcPr>
            <w:tcW w:w="0" w:type="auto"/>
            <w:gridSpan w:val="3"/>
            <w:shd w:val="clear" w:color="auto" w:fill="auto"/>
          </w:tcPr>
          <w:p w14:paraId="5EA23F94" w14:textId="77777777" w:rsidR="003C66EB" w:rsidRDefault="003C66EB">
            <w:pPr>
              <w:rPr>
                <w:rFonts w:ascii="宋体"/>
                <w:vanish/>
              </w:rPr>
            </w:pPr>
          </w:p>
        </w:tc>
      </w:tr>
      <w:tr w:rsidR="003C66EB" w14:paraId="5EA23FA2" w14:textId="77777777">
        <w:trPr>
          <w:hidden/>
        </w:trPr>
        <w:tc>
          <w:tcPr>
            <w:tcW w:w="0" w:type="auto"/>
            <w:gridSpan w:val="3"/>
            <w:shd w:val="clear" w:color="auto" w:fill="auto"/>
          </w:tcPr>
          <w:p w14:paraId="5EA23F96" w14:textId="77777777" w:rsidR="003C66EB" w:rsidRDefault="003C66EB">
            <w:pPr>
              <w:rPr>
                <w:rFonts w:ascii="宋体"/>
                <w:vanish/>
              </w:rPr>
            </w:pPr>
          </w:p>
        </w:tc>
        <w:tc>
          <w:tcPr>
            <w:tcW w:w="0" w:type="auto"/>
            <w:gridSpan w:val="3"/>
            <w:shd w:val="clear" w:color="auto" w:fill="auto"/>
          </w:tcPr>
          <w:p w14:paraId="5EA23F97" w14:textId="77777777" w:rsidR="003C66EB" w:rsidRDefault="003C66EB">
            <w:pPr>
              <w:rPr>
                <w:rFonts w:ascii="宋体"/>
                <w:vanish/>
              </w:rPr>
            </w:pPr>
          </w:p>
        </w:tc>
        <w:tc>
          <w:tcPr>
            <w:tcW w:w="0" w:type="auto"/>
            <w:gridSpan w:val="3"/>
            <w:shd w:val="clear" w:color="auto" w:fill="auto"/>
          </w:tcPr>
          <w:p w14:paraId="5EA23F98" w14:textId="77777777" w:rsidR="003C66EB" w:rsidRDefault="003C66EB">
            <w:pPr>
              <w:rPr>
                <w:rFonts w:ascii="宋体"/>
                <w:vanish/>
              </w:rPr>
            </w:pPr>
          </w:p>
        </w:tc>
        <w:tc>
          <w:tcPr>
            <w:tcW w:w="0" w:type="auto"/>
            <w:gridSpan w:val="3"/>
            <w:shd w:val="clear" w:color="auto" w:fill="auto"/>
          </w:tcPr>
          <w:p w14:paraId="5EA23F99" w14:textId="77777777" w:rsidR="003C66EB" w:rsidRDefault="003C66EB">
            <w:pPr>
              <w:rPr>
                <w:rFonts w:ascii="宋体"/>
                <w:vanish/>
              </w:rPr>
            </w:pPr>
          </w:p>
        </w:tc>
        <w:tc>
          <w:tcPr>
            <w:tcW w:w="0" w:type="auto"/>
            <w:gridSpan w:val="3"/>
            <w:shd w:val="clear" w:color="auto" w:fill="auto"/>
          </w:tcPr>
          <w:p w14:paraId="5EA23F9A" w14:textId="77777777" w:rsidR="003C66EB" w:rsidRDefault="003C66EB">
            <w:pPr>
              <w:rPr>
                <w:rFonts w:ascii="宋体"/>
                <w:vanish/>
              </w:rPr>
            </w:pPr>
          </w:p>
        </w:tc>
        <w:tc>
          <w:tcPr>
            <w:tcW w:w="0" w:type="auto"/>
            <w:gridSpan w:val="3"/>
            <w:shd w:val="clear" w:color="auto" w:fill="auto"/>
          </w:tcPr>
          <w:p w14:paraId="5EA23F9B" w14:textId="77777777" w:rsidR="003C66EB" w:rsidRDefault="003C66EB">
            <w:pPr>
              <w:rPr>
                <w:rFonts w:ascii="宋体"/>
                <w:vanish/>
              </w:rPr>
            </w:pPr>
          </w:p>
        </w:tc>
        <w:tc>
          <w:tcPr>
            <w:tcW w:w="0" w:type="auto"/>
            <w:gridSpan w:val="3"/>
            <w:shd w:val="clear" w:color="auto" w:fill="auto"/>
          </w:tcPr>
          <w:p w14:paraId="5EA23F9C" w14:textId="77777777" w:rsidR="003C66EB" w:rsidRDefault="003C66EB">
            <w:pPr>
              <w:rPr>
                <w:rFonts w:ascii="宋体"/>
                <w:vanish/>
              </w:rPr>
            </w:pPr>
          </w:p>
        </w:tc>
        <w:tc>
          <w:tcPr>
            <w:tcW w:w="0" w:type="auto"/>
            <w:gridSpan w:val="3"/>
            <w:shd w:val="clear" w:color="auto" w:fill="auto"/>
          </w:tcPr>
          <w:p w14:paraId="5EA23F9D" w14:textId="77777777" w:rsidR="003C66EB" w:rsidRDefault="003C66EB">
            <w:pPr>
              <w:rPr>
                <w:rFonts w:ascii="宋体"/>
                <w:vanish/>
              </w:rPr>
            </w:pPr>
          </w:p>
        </w:tc>
        <w:tc>
          <w:tcPr>
            <w:tcW w:w="0" w:type="auto"/>
            <w:gridSpan w:val="3"/>
            <w:shd w:val="clear" w:color="auto" w:fill="auto"/>
          </w:tcPr>
          <w:p w14:paraId="5EA23F9E" w14:textId="77777777" w:rsidR="003C66EB" w:rsidRDefault="003C66EB">
            <w:pPr>
              <w:rPr>
                <w:rFonts w:ascii="宋体"/>
                <w:vanish/>
              </w:rPr>
            </w:pPr>
          </w:p>
        </w:tc>
        <w:tc>
          <w:tcPr>
            <w:tcW w:w="0" w:type="auto"/>
            <w:gridSpan w:val="3"/>
            <w:shd w:val="clear" w:color="auto" w:fill="auto"/>
          </w:tcPr>
          <w:p w14:paraId="5EA23F9F" w14:textId="77777777" w:rsidR="003C66EB" w:rsidRDefault="003C66EB">
            <w:pPr>
              <w:rPr>
                <w:rFonts w:ascii="宋体"/>
                <w:vanish/>
              </w:rPr>
            </w:pPr>
          </w:p>
        </w:tc>
        <w:tc>
          <w:tcPr>
            <w:tcW w:w="0" w:type="auto"/>
            <w:gridSpan w:val="3"/>
            <w:shd w:val="clear" w:color="auto" w:fill="auto"/>
          </w:tcPr>
          <w:p w14:paraId="5EA23FA0" w14:textId="77777777" w:rsidR="003C66EB" w:rsidRDefault="003C66EB">
            <w:pPr>
              <w:rPr>
                <w:rFonts w:ascii="宋体"/>
                <w:vanish/>
              </w:rPr>
            </w:pPr>
          </w:p>
        </w:tc>
        <w:tc>
          <w:tcPr>
            <w:tcW w:w="0" w:type="auto"/>
            <w:gridSpan w:val="3"/>
            <w:shd w:val="clear" w:color="auto" w:fill="auto"/>
          </w:tcPr>
          <w:p w14:paraId="5EA23FA1" w14:textId="77777777" w:rsidR="003C66EB" w:rsidRDefault="003C66EB">
            <w:pPr>
              <w:rPr>
                <w:rFonts w:ascii="宋体"/>
                <w:vanish/>
              </w:rPr>
            </w:pPr>
          </w:p>
        </w:tc>
      </w:tr>
      <w:tr w:rsidR="003C66EB" w14:paraId="5EA23FAF" w14:textId="77777777">
        <w:trPr>
          <w:hidden/>
        </w:trPr>
        <w:tc>
          <w:tcPr>
            <w:tcW w:w="0" w:type="auto"/>
            <w:gridSpan w:val="3"/>
            <w:shd w:val="clear" w:color="auto" w:fill="auto"/>
          </w:tcPr>
          <w:p w14:paraId="5EA23FA3" w14:textId="77777777" w:rsidR="003C66EB" w:rsidRDefault="003C66EB">
            <w:pPr>
              <w:rPr>
                <w:rFonts w:ascii="宋体"/>
                <w:vanish/>
              </w:rPr>
            </w:pPr>
          </w:p>
        </w:tc>
        <w:tc>
          <w:tcPr>
            <w:tcW w:w="0" w:type="auto"/>
            <w:gridSpan w:val="3"/>
            <w:shd w:val="clear" w:color="auto" w:fill="auto"/>
          </w:tcPr>
          <w:p w14:paraId="5EA23FA4" w14:textId="77777777" w:rsidR="003C66EB" w:rsidRDefault="003C66EB">
            <w:pPr>
              <w:rPr>
                <w:rFonts w:ascii="宋体"/>
                <w:vanish/>
              </w:rPr>
            </w:pPr>
          </w:p>
        </w:tc>
        <w:tc>
          <w:tcPr>
            <w:tcW w:w="0" w:type="auto"/>
            <w:gridSpan w:val="3"/>
            <w:shd w:val="clear" w:color="auto" w:fill="auto"/>
          </w:tcPr>
          <w:p w14:paraId="5EA23FA5" w14:textId="77777777" w:rsidR="003C66EB" w:rsidRDefault="003C66EB">
            <w:pPr>
              <w:rPr>
                <w:rFonts w:ascii="宋体"/>
                <w:vanish/>
              </w:rPr>
            </w:pPr>
          </w:p>
        </w:tc>
        <w:tc>
          <w:tcPr>
            <w:tcW w:w="0" w:type="auto"/>
            <w:gridSpan w:val="3"/>
            <w:shd w:val="clear" w:color="auto" w:fill="auto"/>
          </w:tcPr>
          <w:p w14:paraId="5EA23FA6" w14:textId="77777777" w:rsidR="003C66EB" w:rsidRDefault="003C66EB">
            <w:pPr>
              <w:rPr>
                <w:rFonts w:ascii="宋体"/>
                <w:vanish/>
              </w:rPr>
            </w:pPr>
          </w:p>
        </w:tc>
        <w:tc>
          <w:tcPr>
            <w:tcW w:w="0" w:type="auto"/>
            <w:gridSpan w:val="3"/>
            <w:shd w:val="clear" w:color="auto" w:fill="auto"/>
          </w:tcPr>
          <w:p w14:paraId="5EA23FA7" w14:textId="77777777" w:rsidR="003C66EB" w:rsidRDefault="003C66EB">
            <w:pPr>
              <w:rPr>
                <w:rFonts w:ascii="宋体"/>
                <w:vanish/>
              </w:rPr>
            </w:pPr>
          </w:p>
        </w:tc>
        <w:tc>
          <w:tcPr>
            <w:tcW w:w="0" w:type="auto"/>
            <w:gridSpan w:val="3"/>
            <w:shd w:val="clear" w:color="auto" w:fill="auto"/>
          </w:tcPr>
          <w:p w14:paraId="5EA23FA8" w14:textId="77777777" w:rsidR="003C66EB" w:rsidRDefault="003C66EB">
            <w:pPr>
              <w:rPr>
                <w:rFonts w:ascii="宋体"/>
                <w:vanish/>
              </w:rPr>
            </w:pPr>
          </w:p>
        </w:tc>
        <w:tc>
          <w:tcPr>
            <w:tcW w:w="0" w:type="auto"/>
            <w:gridSpan w:val="3"/>
            <w:shd w:val="clear" w:color="auto" w:fill="auto"/>
          </w:tcPr>
          <w:p w14:paraId="5EA23FA9" w14:textId="77777777" w:rsidR="003C66EB" w:rsidRDefault="003C66EB">
            <w:pPr>
              <w:rPr>
                <w:rFonts w:ascii="宋体"/>
                <w:vanish/>
              </w:rPr>
            </w:pPr>
          </w:p>
        </w:tc>
        <w:tc>
          <w:tcPr>
            <w:tcW w:w="0" w:type="auto"/>
            <w:gridSpan w:val="3"/>
            <w:shd w:val="clear" w:color="auto" w:fill="auto"/>
          </w:tcPr>
          <w:p w14:paraId="5EA23FAA" w14:textId="77777777" w:rsidR="003C66EB" w:rsidRDefault="003C66EB">
            <w:pPr>
              <w:rPr>
                <w:rFonts w:ascii="宋体"/>
                <w:vanish/>
              </w:rPr>
            </w:pPr>
          </w:p>
        </w:tc>
        <w:tc>
          <w:tcPr>
            <w:tcW w:w="0" w:type="auto"/>
            <w:gridSpan w:val="3"/>
            <w:shd w:val="clear" w:color="auto" w:fill="auto"/>
          </w:tcPr>
          <w:p w14:paraId="5EA23FAB" w14:textId="77777777" w:rsidR="003C66EB" w:rsidRDefault="003C66EB">
            <w:pPr>
              <w:rPr>
                <w:rFonts w:ascii="宋体"/>
                <w:vanish/>
              </w:rPr>
            </w:pPr>
          </w:p>
        </w:tc>
        <w:tc>
          <w:tcPr>
            <w:tcW w:w="0" w:type="auto"/>
            <w:gridSpan w:val="3"/>
            <w:shd w:val="clear" w:color="auto" w:fill="auto"/>
          </w:tcPr>
          <w:p w14:paraId="5EA23FAC" w14:textId="77777777" w:rsidR="003C66EB" w:rsidRDefault="003C66EB">
            <w:pPr>
              <w:rPr>
                <w:rFonts w:ascii="宋体"/>
                <w:vanish/>
              </w:rPr>
            </w:pPr>
          </w:p>
        </w:tc>
        <w:tc>
          <w:tcPr>
            <w:tcW w:w="0" w:type="auto"/>
            <w:gridSpan w:val="3"/>
            <w:shd w:val="clear" w:color="auto" w:fill="auto"/>
          </w:tcPr>
          <w:p w14:paraId="5EA23FAD" w14:textId="77777777" w:rsidR="003C66EB" w:rsidRDefault="003C66EB">
            <w:pPr>
              <w:rPr>
                <w:rFonts w:ascii="宋体"/>
                <w:vanish/>
              </w:rPr>
            </w:pPr>
          </w:p>
        </w:tc>
        <w:tc>
          <w:tcPr>
            <w:tcW w:w="0" w:type="auto"/>
            <w:gridSpan w:val="3"/>
            <w:shd w:val="clear" w:color="auto" w:fill="auto"/>
          </w:tcPr>
          <w:p w14:paraId="5EA23FAE" w14:textId="77777777" w:rsidR="003C66EB" w:rsidRDefault="003C66EB">
            <w:pPr>
              <w:rPr>
                <w:rFonts w:ascii="宋体"/>
                <w:vanish/>
              </w:rPr>
            </w:pPr>
          </w:p>
        </w:tc>
      </w:tr>
      <w:tr w:rsidR="003C66EB" w14:paraId="5EA23FBC" w14:textId="77777777">
        <w:trPr>
          <w:hidden/>
        </w:trPr>
        <w:tc>
          <w:tcPr>
            <w:tcW w:w="0" w:type="auto"/>
            <w:gridSpan w:val="3"/>
            <w:shd w:val="clear" w:color="auto" w:fill="auto"/>
          </w:tcPr>
          <w:p w14:paraId="5EA23FB0" w14:textId="77777777" w:rsidR="003C66EB" w:rsidRDefault="003C66EB">
            <w:pPr>
              <w:rPr>
                <w:rFonts w:ascii="宋体"/>
                <w:vanish/>
              </w:rPr>
            </w:pPr>
          </w:p>
        </w:tc>
        <w:tc>
          <w:tcPr>
            <w:tcW w:w="0" w:type="auto"/>
            <w:gridSpan w:val="3"/>
            <w:shd w:val="clear" w:color="auto" w:fill="auto"/>
          </w:tcPr>
          <w:p w14:paraId="5EA23FB1" w14:textId="77777777" w:rsidR="003C66EB" w:rsidRDefault="003C66EB">
            <w:pPr>
              <w:rPr>
                <w:rFonts w:ascii="宋体"/>
                <w:vanish/>
              </w:rPr>
            </w:pPr>
          </w:p>
        </w:tc>
        <w:tc>
          <w:tcPr>
            <w:tcW w:w="0" w:type="auto"/>
            <w:gridSpan w:val="3"/>
            <w:shd w:val="clear" w:color="auto" w:fill="auto"/>
          </w:tcPr>
          <w:p w14:paraId="5EA23FB2" w14:textId="77777777" w:rsidR="003C66EB" w:rsidRDefault="003C66EB">
            <w:pPr>
              <w:rPr>
                <w:rFonts w:ascii="宋体"/>
                <w:vanish/>
              </w:rPr>
            </w:pPr>
          </w:p>
        </w:tc>
        <w:tc>
          <w:tcPr>
            <w:tcW w:w="0" w:type="auto"/>
            <w:gridSpan w:val="3"/>
            <w:shd w:val="clear" w:color="auto" w:fill="auto"/>
          </w:tcPr>
          <w:p w14:paraId="5EA23FB3" w14:textId="77777777" w:rsidR="003C66EB" w:rsidRDefault="003C66EB">
            <w:pPr>
              <w:rPr>
                <w:rFonts w:ascii="宋体"/>
                <w:vanish/>
              </w:rPr>
            </w:pPr>
          </w:p>
        </w:tc>
        <w:tc>
          <w:tcPr>
            <w:tcW w:w="0" w:type="auto"/>
            <w:gridSpan w:val="3"/>
            <w:shd w:val="clear" w:color="auto" w:fill="auto"/>
          </w:tcPr>
          <w:p w14:paraId="5EA23FB4" w14:textId="77777777" w:rsidR="003C66EB" w:rsidRDefault="003C66EB">
            <w:pPr>
              <w:rPr>
                <w:rFonts w:ascii="宋体"/>
                <w:vanish/>
              </w:rPr>
            </w:pPr>
          </w:p>
        </w:tc>
        <w:tc>
          <w:tcPr>
            <w:tcW w:w="0" w:type="auto"/>
            <w:gridSpan w:val="3"/>
            <w:shd w:val="clear" w:color="auto" w:fill="auto"/>
          </w:tcPr>
          <w:p w14:paraId="5EA23FB5" w14:textId="77777777" w:rsidR="003C66EB" w:rsidRDefault="003C66EB">
            <w:pPr>
              <w:rPr>
                <w:rFonts w:ascii="宋体"/>
                <w:vanish/>
              </w:rPr>
            </w:pPr>
          </w:p>
        </w:tc>
        <w:tc>
          <w:tcPr>
            <w:tcW w:w="0" w:type="auto"/>
            <w:gridSpan w:val="3"/>
            <w:shd w:val="clear" w:color="auto" w:fill="auto"/>
          </w:tcPr>
          <w:p w14:paraId="5EA23FB6" w14:textId="77777777" w:rsidR="003C66EB" w:rsidRDefault="003C66EB">
            <w:pPr>
              <w:rPr>
                <w:rFonts w:ascii="宋体"/>
                <w:vanish/>
              </w:rPr>
            </w:pPr>
          </w:p>
        </w:tc>
        <w:tc>
          <w:tcPr>
            <w:tcW w:w="0" w:type="auto"/>
            <w:gridSpan w:val="3"/>
            <w:shd w:val="clear" w:color="auto" w:fill="auto"/>
          </w:tcPr>
          <w:p w14:paraId="5EA23FB7" w14:textId="77777777" w:rsidR="003C66EB" w:rsidRDefault="003C66EB">
            <w:pPr>
              <w:rPr>
                <w:rFonts w:ascii="宋体"/>
                <w:vanish/>
              </w:rPr>
            </w:pPr>
          </w:p>
        </w:tc>
        <w:tc>
          <w:tcPr>
            <w:tcW w:w="0" w:type="auto"/>
            <w:gridSpan w:val="3"/>
            <w:shd w:val="clear" w:color="auto" w:fill="auto"/>
          </w:tcPr>
          <w:p w14:paraId="5EA23FB8" w14:textId="77777777" w:rsidR="003C66EB" w:rsidRDefault="003C66EB">
            <w:pPr>
              <w:rPr>
                <w:rFonts w:ascii="宋体"/>
                <w:vanish/>
              </w:rPr>
            </w:pPr>
          </w:p>
        </w:tc>
        <w:tc>
          <w:tcPr>
            <w:tcW w:w="0" w:type="auto"/>
            <w:gridSpan w:val="3"/>
            <w:shd w:val="clear" w:color="auto" w:fill="auto"/>
          </w:tcPr>
          <w:p w14:paraId="5EA23FB9" w14:textId="77777777" w:rsidR="003C66EB" w:rsidRDefault="003C66EB">
            <w:pPr>
              <w:rPr>
                <w:rFonts w:ascii="宋体"/>
                <w:vanish/>
              </w:rPr>
            </w:pPr>
          </w:p>
        </w:tc>
        <w:tc>
          <w:tcPr>
            <w:tcW w:w="0" w:type="auto"/>
            <w:gridSpan w:val="3"/>
            <w:shd w:val="clear" w:color="auto" w:fill="auto"/>
          </w:tcPr>
          <w:p w14:paraId="5EA23FBA" w14:textId="77777777" w:rsidR="003C66EB" w:rsidRDefault="003C66EB">
            <w:pPr>
              <w:rPr>
                <w:rFonts w:ascii="宋体"/>
                <w:vanish/>
              </w:rPr>
            </w:pPr>
          </w:p>
        </w:tc>
        <w:tc>
          <w:tcPr>
            <w:tcW w:w="0" w:type="auto"/>
            <w:gridSpan w:val="3"/>
            <w:shd w:val="clear" w:color="auto" w:fill="auto"/>
          </w:tcPr>
          <w:p w14:paraId="5EA23FBB" w14:textId="77777777" w:rsidR="003C66EB" w:rsidRDefault="003C66EB">
            <w:pPr>
              <w:rPr>
                <w:rFonts w:ascii="宋体"/>
                <w:vanish/>
              </w:rPr>
            </w:pPr>
          </w:p>
        </w:tc>
      </w:tr>
    </w:tbl>
    <w:p w14:paraId="5EA23FBD" w14:textId="77777777" w:rsidR="003C66EB" w:rsidRDefault="003C66EB">
      <w:pPr>
        <w:spacing w:before="60"/>
        <w:ind w:firstLine="450"/>
        <w:jc w:val="center"/>
      </w:pPr>
    </w:p>
    <w:tbl>
      <w:tblPr>
        <w:tblW w:w="4985" w:type="pct"/>
        <w:tblCellMar>
          <w:top w:w="15" w:type="dxa"/>
          <w:left w:w="15" w:type="dxa"/>
          <w:bottom w:w="15" w:type="dxa"/>
          <w:right w:w="15" w:type="dxa"/>
        </w:tblCellMar>
        <w:tblLook w:val="04A0" w:firstRow="1" w:lastRow="0" w:firstColumn="1" w:lastColumn="0" w:noHBand="0" w:noVBand="1"/>
      </w:tblPr>
      <w:tblGrid>
        <w:gridCol w:w="39"/>
        <w:gridCol w:w="3337"/>
        <w:gridCol w:w="37"/>
        <w:gridCol w:w="98"/>
        <w:gridCol w:w="554"/>
        <w:gridCol w:w="36"/>
        <w:gridCol w:w="36"/>
        <w:gridCol w:w="36"/>
        <w:gridCol w:w="36"/>
        <w:gridCol w:w="99"/>
        <w:gridCol w:w="664"/>
        <w:gridCol w:w="36"/>
        <w:gridCol w:w="36"/>
        <w:gridCol w:w="36"/>
        <w:gridCol w:w="36"/>
        <w:gridCol w:w="98"/>
        <w:gridCol w:w="501"/>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3C66EB" w14:paraId="5EA23FE2" w14:textId="77777777">
        <w:tc>
          <w:tcPr>
            <w:tcW w:w="50" w:type="pct"/>
            <w:shd w:val="clear" w:color="auto" w:fill="auto"/>
          </w:tcPr>
          <w:p w14:paraId="5EA23FBE" w14:textId="77777777" w:rsidR="003C66EB" w:rsidRDefault="003C66EB">
            <w:pPr>
              <w:rPr>
                <w:rFonts w:ascii="宋体"/>
              </w:rPr>
            </w:pPr>
          </w:p>
        </w:tc>
        <w:tc>
          <w:tcPr>
            <w:tcW w:w="2034" w:type="pct"/>
            <w:shd w:val="clear" w:color="auto" w:fill="auto"/>
          </w:tcPr>
          <w:p w14:paraId="5EA23FBF" w14:textId="77777777" w:rsidR="003C66EB" w:rsidRDefault="003C66EB">
            <w:pPr>
              <w:rPr>
                <w:rFonts w:ascii="宋体"/>
              </w:rPr>
            </w:pPr>
          </w:p>
        </w:tc>
        <w:tc>
          <w:tcPr>
            <w:tcW w:w="5" w:type="pct"/>
            <w:shd w:val="clear" w:color="auto" w:fill="auto"/>
          </w:tcPr>
          <w:p w14:paraId="5EA23FC0" w14:textId="77777777" w:rsidR="003C66EB" w:rsidRDefault="003C66EB">
            <w:pPr>
              <w:rPr>
                <w:rFonts w:ascii="宋体"/>
              </w:rPr>
            </w:pPr>
          </w:p>
        </w:tc>
        <w:tc>
          <w:tcPr>
            <w:tcW w:w="50" w:type="pct"/>
            <w:shd w:val="clear" w:color="auto" w:fill="auto"/>
          </w:tcPr>
          <w:p w14:paraId="5EA23FC1" w14:textId="77777777" w:rsidR="003C66EB" w:rsidRDefault="003C66EB">
            <w:pPr>
              <w:rPr>
                <w:rFonts w:ascii="宋体"/>
              </w:rPr>
            </w:pPr>
          </w:p>
        </w:tc>
        <w:tc>
          <w:tcPr>
            <w:tcW w:w="362" w:type="pct"/>
            <w:shd w:val="clear" w:color="auto" w:fill="auto"/>
          </w:tcPr>
          <w:p w14:paraId="5EA23FC2" w14:textId="77777777" w:rsidR="003C66EB" w:rsidRDefault="003C66EB">
            <w:pPr>
              <w:rPr>
                <w:rFonts w:ascii="宋体"/>
              </w:rPr>
            </w:pPr>
          </w:p>
        </w:tc>
        <w:tc>
          <w:tcPr>
            <w:tcW w:w="5" w:type="pct"/>
            <w:shd w:val="clear" w:color="auto" w:fill="auto"/>
          </w:tcPr>
          <w:p w14:paraId="5EA23FC3" w14:textId="77777777" w:rsidR="003C66EB" w:rsidRDefault="003C66EB">
            <w:pPr>
              <w:rPr>
                <w:rFonts w:ascii="宋体"/>
              </w:rPr>
            </w:pPr>
          </w:p>
        </w:tc>
        <w:tc>
          <w:tcPr>
            <w:tcW w:w="5" w:type="pct"/>
            <w:shd w:val="clear" w:color="auto" w:fill="auto"/>
          </w:tcPr>
          <w:p w14:paraId="5EA23FC4" w14:textId="77777777" w:rsidR="003C66EB" w:rsidRDefault="003C66EB">
            <w:pPr>
              <w:rPr>
                <w:rFonts w:ascii="宋体"/>
              </w:rPr>
            </w:pPr>
          </w:p>
        </w:tc>
        <w:tc>
          <w:tcPr>
            <w:tcW w:w="26" w:type="pct"/>
            <w:shd w:val="clear" w:color="auto" w:fill="auto"/>
          </w:tcPr>
          <w:p w14:paraId="5EA23FC5" w14:textId="77777777" w:rsidR="003C66EB" w:rsidRDefault="003C66EB">
            <w:pPr>
              <w:rPr>
                <w:rFonts w:ascii="宋体"/>
              </w:rPr>
            </w:pPr>
          </w:p>
        </w:tc>
        <w:tc>
          <w:tcPr>
            <w:tcW w:w="5" w:type="pct"/>
            <w:shd w:val="clear" w:color="auto" w:fill="auto"/>
          </w:tcPr>
          <w:p w14:paraId="5EA23FC6" w14:textId="77777777" w:rsidR="003C66EB" w:rsidRDefault="003C66EB">
            <w:pPr>
              <w:rPr>
                <w:rFonts w:ascii="宋体"/>
              </w:rPr>
            </w:pPr>
          </w:p>
        </w:tc>
        <w:tc>
          <w:tcPr>
            <w:tcW w:w="50" w:type="pct"/>
            <w:shd w:val="clear" w:color="auto" w:fill="auto"/>
          </w:tcPr>
          <w:p w14:paraId="5EA23FC7" w14:textId="77777777" w:rsidR="003C66EB" w:rsidRDefault="003C66EB">
            <w:pPr>
              <w:rPr>
                <w:rFonts w:ascii="宋体"/>
              </w:rPr>
            </w:pPr>
          </w:p>
        </w:tc>
        <w:tc>
          <w:tcPr>
            <w:tcW w:w="436" w:type="pct"/>
            <w:shd w:val="clear" w:color="auto" w:fill="auto"/>
          </w:tcPr>
          <w:p w14:paraId="5EA23FC8" w14:textId="77777777" w:rsidR="003C66EB" w:rsidRDefault="003C66EB">
            <w:pPr>
              <w:rPr>
                <w:rFonts w:ascii="宋体"/>
              </w:rPr>
            </w:pPr>
          </w:p>
        </w:tc>
        <w:tc>
          <w:tcPr>
            <w:tcW w:w="5" w:type="pct"/>
            <w:shd w:val="clear" w:color="auto" w:fill="auto"/>
          </w:tcPr>
          <w:p w14:paraId="5EA23FC9" w14:textId="77777777" w:rsidR="003C66EB" w:rsidRDefault="003C66EB">
            <w:pPr>
              <w:rPr>
                <w:rFonts w:ascii="宋体"/>
              </w:rPr>
            </w:pPr>
          </w:p>
        </w:tc>
        <w:tc>
          <w:tcPr>
            <w:tcW w:w="5" w:type="pct"/>
            <w:shd w:val="clear" w:color="auto" w:fill="auto"/>
          </w:tcPr>
          <w:p w14:paraId="5EA23FCA" w14:textId="77777777" w:rsidR="003C66EB" w:rsidRDefault="003C66EB">
            <w:pPr>
              <w:rPr>
                <w:rFonts w:ascii="宋体"/>
              </w:rPr>
            </w:pPr>
          </w:p>
        </w:tc>
        <w:tc>
          <w:tcPr>
            <w:tcW w:w="26" w:type="pct"/>
            <w:shd w:val="clear" w:color="auto" w:fill="auto"/>
          </w:tcPr>
          <w:p w14:paraId="5EA23FCB" w14:textId="77777777" w:rsidR="003C66EB" w:rsidRDefault="003C66EB">
            <w:pPr>
              <w:rPr>
                <w:rFonts w:ascii="宋体"/>
              </w:rPr>
            </w:pPr>
          </w:p>
        </w:tc>
        <w:tc>
          <w:tcPr>
            <w:tcW w:w="5" w:type="pct"/>
            <w:shd w:val="clear" w:color="auto" w:fill="auto"/>
          </w:tcPr>
          <w:p w14:paraId="5EA23FCC" w14:textId="77777777" w:rsidR="003C66EB" w:rsidRDefault="003C66EB">
            <w:pPr>
              <w:rPr>
                <w:rFonts w:ascii="宋体"/>
              </w:rPr>
            </w:pPr>
          </w:p>
        </w:tc>
        <w:tc>
          <w:tcPr>
            <w:tcW w:w="50" w:type="pct"/>
            <w:shd w:val="clear" w:color="auto" w:fill="auto"/>
          </w:tcPr>
          <w:p w14:paraId="5EA23FCD" w14:textId="77777777" w:rsidR="003C66EB" w:rsidRDefault="003C66EB">
            <w:pPr>
              <w:rPr>
                <w:rFonts w:ascii="宋体"/>
              </w:rPr>
            </w:pPr>
          </w:p>
        </w:tc>
        <w:tc>
          <w:tcPr>
            <w:tcW w:w="362" w:type="pct"/>
            <w:shd w:val="clear" w:color="auto" w:fill="auto"/>
          </w:tcPr>
          <w:p w14:paraId="5EA23FCE" w14:textId="77777777" w:rsidR="003C66EB" w:rsidRDefault="003C66EB">
            <w:pPr>
              <w:rPr>
                <w:rFonts w:ascii="宋体"/>
              </w:rPr>
            </w:pPr>
          </w:p>
        </w:tc>
        <w:tc>
          <w:tcPr>
            <w:tcW w:w="5" w:type="pct"/>
            <w:shd w:val="clear" w:color="auto" w:fill="auto"/>
          </w:tcPr>
          <w:p w14:paraId="5EA23FCF" w14:textId="77777777" w:rsidR="003C66EB" w:rsidRDefault="003C66EB">
            <w:pPr>
              <w:rPr>
                <w:rFonts w:ascii="宋体"/>
              </w:rPr>
            </w:pPr>
          </w:p>
        </w:tc>
        <w:tc>
          <w:tcPr>
            <w:tcW w:w="5" w:type="pct"/>
            <w:shd w:val="clear" w:color="auto" w:fill="auto"/>
          </w:tcPr>
          <w:p w14:paraId="5EA23FD0" w14:textId="77777777" w:rsidR="003C66EB" w:rsidRDefault="003C66EB">
            <w:pPr>
              <w:rPr>
                <w:rFonts w:ascii="宋体"/>
              </w:rPr>
            </w:pPr>
          </w:p>
        </w:tc>
        <w:tc>
          <w:tcPr>
            <w:tcW w:w="26" w:type="pct"/>
            <w:shd w:val="clear" w:color="auto" w:fill="auto"/>
          </w:tcPr>
          <w:p w14:paraId="5EA23FD1" w14:textId="77777777" w:rsidR="003C66EB" w:rsidRDefault="003C66EB">
            <w:pPr>
              <w:rPr>
                <w:rFonts w:ascii="宋体"/>
              </w:rPr>
            </w:pPr>
          </w:p>
        </w:tc>
        <w:tc>
          <w:tcPr>
            <w:tcW w:w="5" w:type="pct"/>
            <w:shd w:val="clear" w:color="auto" w:fill="auto"/>
          </w:tcPr>
          <w:p w14:paraId="5EA23FD2" w14:textId="77777777" w:rsidR="003C66EB" w:rsidRDefault="003C66EB">
            <w:pPr>
              <w:rPr>
                <w:rFonts w:ascii="宋体"/>
              </w:rPr>
            </w:pPr>
          </w:p>
        </w:tc>
        <w:tc>
          <w:tcPr>
            <w:tcW w:w="50" w:type="pct"/>
            <w:shd w:val="clear" w:color="auto" w:fill="auto"/>
          </w:tcPr>
          <w:p w14:paraId="5EA23FD3" w14:textId="77777777" w:rsidR="003C66EB" w:rsidRDefault="003C66EB">
            <w:pPr>
              <w:rPr>
                <w:rFonts w:ascii="宋体"/>
              </w:rPr>
            </w:pPr>
          </w:p>
        </w:tc>
        <w:tc>
          <w:tcPr>
            <w:tcW w:w="436" w:type="pct"/>
            <w:shd w:val="clear" w:color="auto" w:fill="auto"/>
          </w:tcPr>
          <w:p w14:paraId="5EA23FD4" w14:textId="77777777" w:rsidR="003C66EB" w:rsidRDefault="003C66EB">
            <w:pPr>
              <w:rPr>
                <w:rFonts w:ascii="宋体"/>
              </w:rPr>
            </w:pPr>
          </w:p>
        </w:tc>
        <w:tc>
          <w:tcPr>
            <w:tcW w:w="5" w:type="pct"/>
            <w:shd w:val="clear" w:color="auto" w:fill="auto"/>
          </w:tcPr>
          <w:p w14:paraId="5EA23FD5" w14:textId="77777777" w:rsidR="003C66EB" w:rsidRDefault="003C66EB">
            <w:pPr>
              <w:rPr>
                <w:rFonts w:ascii="宋体"/>
              </w:rPr>
            </w:pPr>
          </w:p>
        </w:tc>
        <w:tc>
          <w:tcPr>
            <w:tcW w:w="5" w:type="pct"/>
            <w:shd w:val="clear" w:color="auto" w:fill="auto"/>
          </w:tcPr>
          <w:p w14:paraId="5EA23FD6" w14:textId="77777777" w:rsidR="003C66EB" w:rsidRDefault="003C66EB">
            <w:pPr>
              <w:rPr>
                <w:rFonts w:ascii="宋体"/>
              </w:rPr>
            </w:pPr>
          </w:p>
        </w:tc>
        <w:tc>
          <w:tcPr>
            <w:tcW w:w="26" w:type="pct"/>
            <w:shd w:val="clear" w:color="auto" w:fill="auto"/>
          </w:tcPr>
          <w:p w14:paraId="5EA23FD7" w14:textId="77777777" w:rsidR="003C66EB" w:rsidRDefault="003C66EB">
            <w:pPr>
              <w:rPr>
                <w:rFonts w:ascii="宋体"/>
              </w:rPr>
            </w:pPr>
          </w:p>
        </w:tc>
        <w:tc>
          <w:tcPr>
            <w:tcW w:w="5" w:type="pct"/>
            <w:shd w:val="clear" w:color="auto" w:fill="auto"/>
          </w:tcPr>
          <w:p w14:paraId="5EA23FD8" w14:textId="77777777" w:rsidR="003C66EB" w:rsidRDefault="003C66EB">
            <w:pPr>
              <w:rPr>
                <w:rFonts w:ascii="宋体"/>
              </w:rPr>
            </w:pPr>
          </w:p>
        </w:tc>
        <w:tc>
          <w:tcPr>
            <w:tcW w:w="50" w:type="pct"/>
            <w:shd w:val="clear" w:color="auto" w:fill="auto"/>
          </w:tcPr>
          <w:p w14:paraId="5EA23FD9" w14:textId="77777777" w:rsidR="003C66EB" w:rsidRDefault="003C66EB">
            <w:pPr>
              <w:rPr>
                <w:rFonts w:ascii="宋体"/>
              </w:rPr>
            </w:pPr>
          </w:p>
        </w:tc>
        <w:tc>
          <w:tcPr>
            <w:tcW w:w="362" w:type="pct"/>
            <w:shd w:val="clear" w:color="auto" w:fill="auto"/>
          </w:tcPr>
          <w:p w14:paraId="5EA23FDA" w14:textId="77777777" w:rsidR="003C66EB" w:rsidRDefault="003C66EB">
            <w:pPr>
              <w:rPr>
                <w:rFonts w:ascii="宋体"/>
              </w:rPr>
            </w:pPr>
          </w:p>
        </w:tc>
        <w:tc>
          <w:tcPr>
            <w:tcW w:w="5" w:type="pct"/>
            <w:shd w:val="clear" w:color="auto" w:fill="auto"/>
          </w:tcPr>
          <w:p w14:paraId="5EA23FDB" w14:textId="77777777" w:rsidR="003C66EB" w:rsidRDefault="003C66EB">
            <w:pPr>
              <w:rPr>
                <w:rFonts w:ascii="宋体"/>
              </w:rPr>
            </w:pPr>
          </w:p>
        </w:tc>
        <w:tc>
          <w:tcPr>
            <w:tcW w:w="5" w:type="pct"/>
            <w:shd w:val="clear" w:color="auto" w:fill="auto"/>
          </w:tcPr>
          <w:p w14:paraId="5EA23FDC" w14:textId="77777777" w:rsidR="003C66EB" w:rsidRDefault="003C66EB">
            <w:pPr>
              <w:rPr>
                <w:rFonts w:ascii="宋体"/>
              </w:rPr>
            </w:pPr>
          </w:p>
        </w:tc>
        <w:tc>
          <w:tcPr>
            <w:tcW w:w="26" w:type="pct"/>
            <w:shd w:val="clear" w:color="auto" w:fill="auto"/>
          </w:tcPr>
          <w:p w14:paraId="5EA23FDD" w14:textId="77777777" w:rsidR="003C66EB" w:rsidRDefault="003C66EB">
            <w:pPr>
              <w:rPr>
                <w:rFonts w:ascii="宋体"/>
              </w:rPr>
            </w:pPr>
          </w:p>
        </w:tc>
        <w:tc>
          <w:tcPr>
            <w:tcW w:w="5" w:type="pct"/>
            <w:shd w:val="clear" w:color="auto" w:fill="auto"/>
          </w:tcPr>
          <w:p w14:paraId="5EA23FDE" w14:textId="77777777" w:rsidR="003C66EB" w:rsidRDefault="003C66EB">
            <w:pPr>
              <w:rPr>
                <w:rFonts w:ascii="宋体"/>
              </w:rPr>
            </w:pPr>
          </w:p>
        </w:tc>
        <w:tc>
          <w:tcPr>
            <w:tcW w:w="50" w:type="pct"/>
            <w:shd w:val="clear" w:color="auto" w:fill="auto"/>
          </w:tcPr>
          <w:p w14:paraId="5EA23FDF" w14:textId="77777777" w:rsidR="003C66EB" w:rsidRDefault="003C66EB">
            <w:pPr>
              <w:rPr>
                <w:rFonts w:ascii="宋体"/>
              </w:rPr>
            </w:pPr>
          </w:p>
        </w:tc>
        <w:tc>
          <w:tcPr>
            <w:tcW w:w="436" w:type="pct"/>
            <w:shd w:val="clear" w:color="auto" w:fill="auto"/>
          </w:tcPr>
          <w:p w14:paraId="5EA23FE0" w14:textId="77777777" w:rsidR="003C66EB" w:rsidRDefault="003C66EB">
            <w:pPr>
              <w:rPr>
                <w:rFonts w:ascii="宋体"/>
              </w:rPr>
            </w:pPr>
          </w:p>
        </w:tc>
        <w:tc>
          <w:tcPr>
            <w:tcW w:w="5" w:type="pct"/>
            <w:shd w:val="clear" w:color="auto" w:fill="auto"/>
          </w:tcPr>
          <w:p w14:paraId="5EA23FE1" w14:textId="77777777" w:rsidR="003C66EB" w:rsidRDefault="003C66EB">
            <w:pPr>
              <w:rPr>
                <w:rFonts w:ascii="宋体"/>
              </w:rPr>
            </w:pPr>
          </w:p>
        </w:tc>
      </w:tr>
      <w:tr w:rsidR="003C66EB" w14:paraId="5EA23FE5" w14:textId="77777777">
        <w:tc>
          <w:tcPr>
            <w:tcW w:w="0" w:type="auto"/>
            <w:gridSpan w:val="3"/>
            <w:shd w:val="clear" w:color="auto" w:fill="auto"/>
            <w:tcMar>
              <w:top w:w="0" w:type="dxa"/>
              <w:left w:w="20" w:type="dxa"/>
              <w:bottom w:w="0" w:type="dxa"/>
              <w:right w:w="20" w:type="dxa"/>
            </w:tcMar>
          </w:tcPr>
          <w:p w14:paraId="5EA23FE3" w14:textId="77777777" w:rsidR="003C66EB" w:rsidRDefault="003C66E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A23FE4" w14:textId="77777777" w:rsidR="003C66EB" w:rsidRDefault="00D96C4E">
            <w:pPr>
              <w:jc w:val="center"/>
              <w:textAlignment w:val="bottom"/>
            </w:pPr>
            <w:r>
              <w:rPr>
                <w:rFonts w:ascii="Arial" w:eastAsia="宋体" w:hAnsi="Arial" w:cs="Arial"/>
                <w:b/>
                <w:bCs/>
                <w:color w:val="000000"/>
                <w:sz w:val="14"/>
                <w:szCs w:val="14"/>
              </w:rPr>
              <w:t>As of December 31, 2020</w:t>
            </w:r>
          </w:p>
        </w:tc>
      </w:tr>
      <w:tr w:rsidR="003C66EB" w14:paraId="5EA23FEC" w14:textId="77777777">
        <w:tc>
          <w:tcPr>
            <w:tcW w:w="0" w:type="auto"/>
            <w:gridSpan w:val="3"/>
            <w:shd w:val="clear" w:color="auto" w:fill="auto"/>
            <w:tcMar>
              <w:top w:w="0" w:type="dxa"/>
              <w:left w:w="20" w:type="dxa"/>
              <w:bottom w:w="0" w:type="dxa"/>
              <w:right w:w="20" w:type="dxa"/>
            </w:tcMar>
          </w:tcPr>
          <w:p w14:paraId="5EA23FE6"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FE7" w14:textId="77777777" w:rsidR="003C66EB" w:rsidRDefault="00D96C4E">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tcPr>
          <w:p w14:paraId="5EA23FE8"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FE9" w14:textId="77777777" w:rsidR="003C66EB" w:rsidRDefault="00D96C4E">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tcPr>
          <w:p w14:paraId="5EA23FEA"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3FEB" w14:textId="77777777" w:rsidR="003C66EB" w:rsidRDefault="00D96C4E">
            <w:pPr>
              <w:jc w:val="center"/>
              <w:textAlignment w:val="bottom"/>
            </w:pPr>
            <w:r>
              <w:rPr>
                <w:rFonts w:ascii="Arial" w:eastAsia="宋体" w:hAnsi="Arial" w:cs="Arial"/>
                <w:b/>
                <w:bCs/>
                <w:color w:val="000000"/>
                <w:sz w:val="14"/>
                <w:szCs w:val="14"/>
              </w:rPr>
              <w:t>Total</w:t>
            </w:r>
          </w:p>
        </w:tc>
      </w:tr>
      <w:tr w:rsidR="003C66EB" w14:paraId="5EA23FF9" w14:textId="77777777">
        <w:tc>
          <w:tcPr>
            <w:tcW w:w="0" w:type="auto"/>
            <w:gridSpan w:val="3"/>
            <w:shd w:val="clear" w:color="auto" w:fill="auto"/>
            <w:tcMar>
              <w:top w:w="40" w:type="dxa"/>
              <w:left w:w="20" w:type="dxa"/>
              <w:bottom w:w="40" w:type="dxa"/>
              <w:right w:w="20" w:type="dxa"/>
            </w:tcMar>
            <w:vAlign w:val="bottom"/>
          </w:tcPr>
          <w:p w14:paraId="5EA23FED"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FEE" w14:textId="77777777" w:rsidR="003C66EB" w:rsidRDefault="00D96C4E">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FE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FF0" w14:textId="77777777" w:rsidR="003C66EB" w:rsidRDefault="00D96C4E">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r>
            <w:r>
              <w:rPr>
                <w:rFonts w:ascii="Arial" w:eastAsia="宋体" w:hAnsi="Arial" w:cs="Arial"/>
                <w:b/>
                <w:bCs/>
                <w:color w:val="000000"/>
                <w:sz w:val="14"/>
                <w:szCs w:val="14"/>
              </w:rP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tcPr>
          <w:p w14:paraId="5EA23FF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FF2" w14:textId="77777777" w:rsidR="003C66EB" w:rsidRDefault="00D96C4E">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FF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FF4" w14:textId="77777777" w:rsidR="003C66EB" w:rsidRDefault="00D96C4E">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tcPr>
          <w:p w14:paraId="5EA23FF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FF6" w14:textId="77777777" w:rsidR="003C66EB" w:rsidRDefault="00D96C4E">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5EA23FF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3FF8" w14:textId="77777777" w:rsidR="003C66EB" w:rsidRDefault="00D96C4E">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3C66EB" w14:paraId="5EA24006" w14:textId="77777777">
        <w:tc>
          <w:tcPr>
            <w:tcW w:w="0" w:type="auto"/>
            <w:gridSpan w:val="3"/>
            <w:shd w:val="clear" w:color="auto" w:fill="auto"/>
            <w:tcMar>
              <w:top w:w="40" w:type="dxa"/>
              <w:left w:w="20" w:type="dxa"/>
              <w:bottom w:w="40" w:type="dxa"/>
              <w:right w:w="20" w:type="dxa"/>
            </w:tcMar>
            <w:vAlign w:val="bottom"/>
          </w:tcPr>
          <w:p w14:paraId="5EA23FFA" w14:textId="77777777" w:rsidR="003C66EB" w:rsidRDefault="00D96C4E">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5EA23FF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FF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FF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3FF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3FF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00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0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005" w14:textId="77777777" w:rsidR="003C66EB" w:rsidRDefault="003C66EB">
            <w:pPr>
              <w:rPr>
                <w:rFonts w:ascii="宋体"/>
              </w:rPr>
            </w:pPr>
          </w:p>
        </w:tc>
      </w:tr>
      <w:tr w:rsidR="003C66EB" w14:paraId="5EA24013" w14:textId="77777777">
        <w:tc>
          <w:tcPr>
            <w:tcW w:w="0" w:type="auto"/>
            <w:gridSpan w:val="3"/>
            <w:shd w:val="clear" w:color="auto" w:fill="auto"/>
            <w:tcMar>
              <w:top w:w="40" w:type="dxa"/>
              <w:left w:w="20" w:type="dxa"/>
              <w:bottom w:w="40" w:type="dxa"/>
              <w:right w:w="20" w:type="dxa"/>
            </w:tcMar>
            <w:vAlign w:val="bottom"/>
          </w:tcPr>
          <w:p w14:paraId="5EA24007" w14:textId="77777777" w:rsidR="003C66EB" w:rsidRDefault="00D96C4E">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tcPr>
          <w:p w14:paraId="5EA240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0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1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012" w14:textId="77777777" w:rsidR="003C66EB" w:rsidRDefault="003C66EB">
            <w:pPr>
              <w:rPr>
                <w:rFonts w:ascii="宋体"/>
              </w:rPr>
            </w:pPr>
          </w:p>
        </w:tc>
      </w:tr>
      <w:tr w:rsidR="003C66EB" w14:paraId="5EA2402C" w14:textId="77777777">
        <w:tc>
          <w:tcPr>
            <w:tcW w:w="0" w:type="auto"/>
            <w:gridSpan w:val="3"/>
            <w:shd w:val="clear" w:color="auto" w:fill="CCEEFF"/>
            <w:tcMar>
              <w:top w:w="40" w:type="dxa"/>
              <w:left w:w="245" w:type="dxa"/>
              <w:bottom w:w="40" w:type="dxa"/>
              <w:right w:w="20" w:type="dxa"/>
            </w:tcMar>
            <w:vAlign w:val="bottom"/>
          </w:tcPr>
          <w:p w14:paraId="5EA24014" w14:textId="77777777" w:rsidR="003C66EB" w:rsidRDefault="00D96C4E">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A2401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016" w14:textId="77777777" w:rsidR="003C66EB" w:rsidRDefault="00D96C4E">
            <w:pPr>
              <w:jc w:val="right"/>
              <w:textAlignment w:val="bottom"/>
            </w:pPr>
            <w:r>
              <w:rPr>
                <w:rFonts w:ascii="Arial" w:eastAsia="宋体" w:hAnsi="Arial" w:cs="Arial"/>
                <w:color w:val="000000"/>
                <w:sz w:val="14"/>
                <w:szCs w:val="14"/>
              </w:rPr>
              <w:t>1,636 </w:t>
            </w:r>
          </w:p>
        </w:tc>
        <w:tc>
          <w:tcPr>
            <w:tcW w:w="0" w:type="auto"/>
            <w:shd w:val="clear" w:color="auto" w:fill="CCEEFF"/>
            <w:tcMar>
              <w:top w:w="40" w:type="dxa"/>
              <w:left w:w="0" w:type="dxa"/>
              <w:bottom w:w="40" w:type="dxa"/>
              <w:right w:w="20" w:type="dxa"/>
            </w:tcMar>
            <w:vAlign w:val="bottom"/>
          </w:tcPr>
          <w:p w14:paraId="5EA240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1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01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01A"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40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1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01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01E"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2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02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02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2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02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026" w14:textId="77777777" w:rsidR="003C66EB" w:rsidRDefault="00D96C4E">
            <w:pPr>
              <w:jc w:val="right"/>
              <w:textAlignment w:val="bottom"/>
            </w:pPr>
            <w:r>
              <w:rPr>
                <w:rFonts w:ascii="Arial" w:eastAsia="宋体" w:hAnsi="Arial" w:cs="Arial"/>
                <w:color w:val="000000"/>
                <w:sz w:val="14"/>
                <w:szCs w:val="14"/>
              </w:rPr>
              <w:t>1,636 </w:t>
            </w:r>
          </w:p>
        </w:tc>
        <w:tc>
          <w:tcPr>
            <w:tcW w:w="0" w:type="auto"/>
            <w:shd w:val="clear" w:color="auto" w:fill="CCEEFF"/>
            <w:tcMar>
              <w:top w:w="40" w:type="dxa"/>
              <w:left w:w="0" w:type="dxa"/>
              <w:bottom w:w="40" w:type="dxa"/>
              <w:right w:w="20" w:type="dxa"/>
            </w:tcMar>
            <w:vAlign w:val="bottom"/>
          </w:tcPr>
          <w:p w14:paraId="5EA240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2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02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02A"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402B" w14:textId="77777777" w:rsidR="003C66EB" w:rsidRDefault="003C66EB">
            <w:pPr>
              <w:jc w:val="right"/>
              <w:rPr>
                <w:rFonts w:ascii="宋体"/>
              </w:rPr>
            </w:pPr>
          </w:p>
        </w:tc>
      </w:tr>
      <w:tr w:rsidR="003C66EB" w14:paraId="5EA2403F" w14:textId="77777777">
        <w:tc>
          <w:tcPr>
            <w:tcW w:w="0" w:type="auto"/>
            <w:gridSpan w:val="3"/>
            <w:shd w:val="clear" w:color="auto" w:fill="FFFFFF"/>
            <w:tcMar>
              <w:top w:w="40" w:type="dxa"/>
              <w:left w:w="245" w:type="dxa"/>
              <w:bottom w:w="40" w:type="dxa"/>
              <w:right w:w="20" w:type="dxa"/>
            </w:tcMar>
            <w:vAlign w:val="bottom"/>
          </w:tcPr>
          <w:p w14:paraId="5EA2402D"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A2402E" w14:textId="77777777" w:rsidR="003C66EB" w:rsidRDefault="00D96C4E">
            <w:pPr>
              <w:jc w:val="right"/>
              <w:textAlignment w:val="bottom"/>
            </w:pPr>
            <w:r>
              <w:rPr>
                <w:rFonts w:ascii="Arial" w:eastAsia="宋体" w:hAnsi="Arial" w:cs="Arial"/>
                <w:color w:val="000000"/>
                <w:sz w:val="14"/>
                <w:szCs w:val="14"/>
              </w:rPr>
              <w:t>1,394 </w:t>
            </w:r>
          </w:p>
        </w:tc>
        <w:tc>
          <w:tcPr>
            <w:tcW w:w="0" w:type="auto"/>
            <w:shd w:val="clear" w:color="auto" w:fill="FFFFFF"/>
            <w:tcMar>
              <w:top w:w="40" w:type="dxa"/>
              <w:left w:w="0" w:type="dxa"/>
              <w:bottom w:w="40" w:type="dxa"/>
              <w:right w:w="20" w:type="dxa"/>
            </w:tcMar>
            <w:vAlign w:val="bottom"/>
          </w:tcPr>
          <w:p w14:paraId="5EA2402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3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31" w14:textId="77777777" w:rsidR="003C66EB" w:rsidRDefault="00D96C4E">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A2403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3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34" w14:textId="77777777" w:rsidR="003C66EB" w:rsidRDefault="00D96C4E">
            <w:pPr>
              <w:jc w:val="right"/>
              <w:textAlignment w:val="bottom"/>
            </w:pPr>
            <w:r>
              <w:rPr>
                <w:rFonts w:ascii="Arial" w:eastAsia="宋体" w:hAnsi="Arial" w:cs="Arial"/>
                <w:color w:val="000000"/>
                <w:sz w:val="14"/>
                <w:szCs w:val="14"/>
              </w:rPr>
              <w:t>63 </w:t>
            </w:r>
          </w:p>
        </w:tc>
        <w:tc>
          <w:tcPr>
            <w:tcW w:w="0" w:type="auto"/>
            <w:shd w:val="clear" w:color="auto" w:fill="FFFFFF"/>
            <w:tcMar>
              <w:top w:w="40" w:type="dxa"/>
              <w:left w:w="0" w:type="dxa"/>
              <w:bottom w:w="40" w:type="dxa"/>
              <w:right w:w="20" w:type="dxa"/>
            </w:tcMar>
            <w:vAlign w:val="bottom"/>
          </w:tcPr>
          <w:p w14:paraId="5EA240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3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3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03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3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3A" w14:textId="77777777" w:rsidR="003C66EB" w:rsidRDefault="00D96C4E">
            <w:pPr>
              <w:jc w:val="right"/>
              <w:textAlignment w:val="bottom"/>
            </w:pPr>
            <w:r>
              <w:rPr>
                <w:rFonts w:ascii="Arial" w:eastAsia="宋体" w:hAnsi="Arial" w:cs="Arial"/>
                <w:color w:val="000000"/>
                <w:sz w:val="14"/>
                <w:szCs w:val="14"/>
              </w:rPr>
              <w:t>1,457 </w:t>
            </w:r>
          </w:p>
        </w:tc>
        <w:tc>
          <w:tcPr>
            <w:tcW w:w="0" w:type="auto"/>
            <w:shd w:val="clear" w:color="auto" w:fill="FFFFFF"/>
            <w:tcMar>
              <w:top w:w="40" w:type="dxa"/>
              <w:left w:w="0" w:type="dxa"/>
              <w:bottom w:w="40" w:type="dxa"/>
              <w:right w:w="20" w:type="dxa"/>
            </w:tcMar>
            <w:vAlign w:val="bottom"/>
          </w:tcPr>
          <w:p w14:paraId="5EA2403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3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3D" w14:textId="77777777" w:rsidR="003C66EB" w:rsidRDefault="00D96C4E">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A2403E" w14:textId="77777777" w:rsidR="003C66EB" w:rsidRDefault="003C66EB">
            <w:pPr>
              <w:jc w:val="right"/>
              <w:rPr>
                <w:rFonts w:ascii="宋体"/>
              </w:rPr>
            </w:pPr>
          </w:p>
        </w:tc>
      </w:tr>
      <w:tr w:rsidR="003C66EB" w14:paraId="5EA24052" w14:textId="77777777">
        <w:tc>
          <w:tcPr>
            <w:tcW w:w="0" w:type="auto"/>
            <w:gridSpan w:val="3"/>
            <w:shd w:val="clear" w:color="auto" w:fill="CCEEFF"/>
            <w:tcMar>
              <w:top w:w="40" w:type="dxa"/>
              <w:left w:w="515" w:type="dxa"/>
              <w:bottom w:w="40" w:type="dxa"/>
              <w:right w:w="20" w:type="dxa"/>
            </w:tcMar>
            <w:vAlign w:val="bottom"/>
          </w:tcPr>
          <w:p w14:paraId="5EA24040" w14:textId="77777777" w:rsidR="003C66EB" w:rsidRDefault="00D96C4E">
            <w:pPr>
              <w:textAlignment w:val="bottom"/>
            </w:pPr>
            <w:r>
              <w:rPr>
                <w:rFonts w:ascii="Arial" w:eastAsia="宋体" w:hAnsi="Arial" w:cs="Arial"/>
                <w:color w:val="000000"/>
                <w:sz w:val="14"/>
                <w:szCs w:val="14"/>
              </w:rPr>
              <w:t>Total U.S. Treasury an</w:t>
            </w:r>
            <w:r>
              <w:rPr>
                <w:rFonts w:ascii="Arial" w:eastAsia="宋体" w:hAnsi="Arial" w:cs="Arial"/>
                <w:color w:val="000000"/>
                <w:sz w:val="14"/>
                <w:szCs w:val="14"/>
              </w:rPr>
              <w:t>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41" w14:textId="77777777" w:rsidR="003C66EB" w:rsidRDefault="00D96C4E">
            <w:pPr>
              <w:jc w:val="right"/>
              <w:textAlignment w:val="bottom"/>
            </w:pPr>
            <w:r>
              <w:rPr>
                <w:rFonts w:ascii="Arial" w:eastAsia="宋体" w:hAnsi="Arial" w:cs="Arial"/>
                <w:color w:val="000000"/>
                <w:sz w:val="14"/>
                <w:szCs w:val="14"/>
              </w:rPr>
              <w:t>3,030 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4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44" w14:textId="77777777" w:rsidR="003C66EB" w:rsidRDefault="00D96C4E">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4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4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47" w14:textId="77777777" w:rsidR="003C66EB" w:rsidRDefault="00D96C4E">
            <w:pPr>
              <w:jc w:val="right"/>
              <w:textAlignment w:val="bottom"/>
            </w:pPr>
            <w:r>
              <w:rPr>
                <w:rFonts w:ascii="Arial" w:eastAsia="宋体" w:hAnsi="Arial" w:cs="Arial"/>
                <w:color w:val="000000"/>
                <w:sz w:val="14"/>
                <w:szCs w:val="14"/>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4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4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4A"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4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4D" w14:textId="77777777" w:rsidR="003C66EB" w:rsidRDefault="00D96C4E">
            <w:pPr>
              <w:jc w:val="right"/>
              <w:textAlignment w:val="bottom"/>
            </w:pPr>
            <w:r>
              <w:rPr>
                <w:rFonts w:ascii="Arial" w:eastAsia="宋体" w:hAnsi="Arial" w:cs="Arial"/>
                <w:color w:val="000000"/>
                <w:sz w:val="14"/>
                <w:szCs w:val="14"/>
              </w:rPr>
              <w:t>3,093 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4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50" w14:textId="77777777" w:rsidR="003C66EB" w:rsidRDefault="00D96C4E">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51" w14:textId="77777777" w:rsidR="003C66EB" w:rsidRDefault="003C66EB">
            <w:pPr>
              <w:jc w:val="right"/>
              <w:rPr>
                <w:rFonts w:ascii="宋体"/>
              </w:rPr>
            </w:pPr>
          </w:p>
        </w:tc>
      </w:tr>
      <w:tr w:rsidR="003C66EB" w14:paraId="5EA2405F" w14:textId="77777777">
        <w:tc>
          <w:tcPr>
            <w:tcW w:w="0" w:type="auto"/>
            <w:gridSpan w:val="3"/>
            <w:shd w:val="clear" w:color="auto" w:fill="FFFFFF"/>
            <w:tcMar>
              <w:top w:w="40" w:type="dxa"/>
              <w:left w:w="20" w:type="dxa"/>
              <w:bottom w:w="40" w:type="dxa"/>
              <w:right w:w="20" w:type="dxa"/>
            </w:tcMar>
            <w:vAlign w:val="bottom"/>
          </w:tcPr>
          <w:p w14:paraId="5EA24053"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405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55"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5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57"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5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5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5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5B"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5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5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5E" w14:textId="77777777" w:rsidR="003C66EB" w:rsidRDefault="003C66EB">
            <w:pPr>
              <w:rPr>
                <w:rFonts w:ascii="宋体"/>
              </w:rPr>
            </w:pPr>
          </w:p>
        </w:tc>
      </w:tr>
      <w:tr w:rsidR="003C66EB" w14:paraId="5EA24072" w14:textId="77777777">
        <w:tc>
          <w:tcPr>
            <w:tcW w:w="0" w:type="auto"/>
            <w:gridSpan w:val="3"/>
            <w:shd w:val="clear" w:color="auto" w:fill="CCEEFF"/>
            <w:tcMar>
              <w:top w:w="40" w:type="dxa"/>
              <w:left w:w="245" w:type="dxa"/>
              <w:bottom w:w="40" w:type="dxa"/>
              <w:right w:w="20" w:type="dxa"/>
            </w:tcMar>
            <w:vAlign w:val="bottom"/>
          </w:tcPr>
          <w:p w14:paraId="5EA24060" w14:textId="77777777" w:rsidR="003C66EB" w:rsidRDefault="00D96C4E">
            <w:pPr>
              <w:textAlignment w:val="bottom"/>
            </w:pPr>
            <w:r>
              <w:rPr>
                <w:rFonts w:ascii="Arial" w:eastAsia="宋体" w:hAnsi="Arial" w:cs="Arial"/>
                <w:color w:val="000000"/>
                <w:sz w:val="14"/>
                <w:szCs w:val="14"/>
              </w:rPr>
              <w:t xml:space="preserve">Student </w:t>
            </w:r>
            <w:r>
              <w:rPr>
                <w:rFonts w:ascii="Arial" w:eastAsia="宋体" w:hAnsi="Arial" w:cs="Arial"/>
                <w:color w:val="000000"/>
                <w:sz w:val="14"/>
                <w:szCs w:val="14"/>
              </w:rPr>
              <w:t>loans</w:t>
            </w:r>
          </w:p>
        </w:tc>
        <w:tc>
          <w:tcPr>
            <w:tcW w:w="0" w:type="auto"/>
            <w:gridSpan w:val="2"/>
            <w:shd w:val="clear" w:color="auto" w:fill="CCEEFF"/>
            <w:tcMar>
              <w:top w:w="40" w:type="dxa"/>
              <w:left w:w="20" w:type="dxa"/>
              <w:bottom w:w="40" w:type="dxa"/>
              <w:right w:w="0" w:type="dxa"/>
            </w:tcMar>
            <w:vAlign w:val="bottom"/>
          </w:tcPr>
          <w:p w14:paraId="5EA24061" w14:textId="77777777" w:rsidR="003C66EB" w:rsidRDefault="00D96C4E">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5EA240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6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67" w14:textId="77777777" w:rsidR="003C66EB" w:rsidRDefault="00D96C4E">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EA240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6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6A"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40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6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6D" w14:textId="77777777" w:rsidR="003C66EB" w:rsidRDefault="00D96C4E">
            <w:pPr>
              <w:jc w:val="right"/>
              <w:textAlignment w:val="bottom"/>
            </w:pPr>
            <w:r>
              <w:rPr>
                <w:rFonts w:ascii="Arial" w:eastAsia="宋体" w:hAnsi="Arial" w:cs="Arial"/>
                <w:color w:val="000000"/>
                <w:sz w:val="14"/>
                <w:szCs w:val="14"/>
              </w:rPr>
              <w:t>228 </w:t>
            </w:r>
          </w:p>
        </w:tc>
        <w:tc>
          <w:tcPr>
            <w:tcW w:w="0" w:type="auto"/>
            <w:shd w:val="clear" w:color="auto" w:fill="CCEEFF"/>
            <w:tcMar>
              <w:top w:w="40" w:type="dxa"/>
              <w:left w:w="0" w:type="dxa"/>
              <w:bottom w:w="40" w:type="dxa"/>
              <w:right w:w="20" w:type="dxa"/>
            </w:tcMar>
            <w:vAlign w:val="bottom"/>
          </w:tcPr>
          <w:p w14:paraId="5EA2406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6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70"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4071" w14:textId="77777777" w:rsidR="003C66EB" w:rsidRDefault="003C66EB">
            <w:pPr>
              <w:jc w:val="right"/>
              <w:rPr>
                <w:rFonts w:ascii="宋体"/>
              </w:rPr>
            </w:pPr>
          </w:p>
        </w:tc>
      </w:tr>
      <w:tr w:rsidR="003C66EB" w14:paraId="5EA2407F" w14:textId="77777777">
        <w:trPr>
          <w:hidden/>
        </w:trPr>
        <w:tc>
          <w:tcPr>
            <w:tcW w:w="0" w:type="auto"/>
            <w:gridSpan w:val="3"/>
            <w:shd w:val="clear" w:color="auto" w:fill="auto"/>
          </w:tcPr>
          <w:p w14:paraId="5EA24073" w14:textId="77777777" w:rsidR="003C66EB" w:rsidRDefault="003C66EB">
            <w:pPr>
              <w:rPr>
                <w:rFonts w:ascii="宋体"/>
                <w:vanish/>
              </w:rPr>
            </w:pPr>
          </w:p>
        </w:tc>
        <w:tc>
          <w:tcPr>
            <w:tcW w:w="0" w:type="auto"/>
            <w:gridSpan w:val="3"/>
            <w:shd w:val="clear" w:color="auto" w:fill="auto"/>
          </w:tcPr>
          <w:p w14:paraId="5EA24074" w14:textId="77777777" w:rsidR="003C66EB" w:rsidRDefault="003C66EB">
            <w:pPr>
              <w:rPr>
                <w:rFonts w:ascii="宋体"/>
                <w:vanish/>
              </w:rPr>
            </w:pPr>
          </w:p>
        </w:tc>
        <w:tc>
          <w:tcPr>
            <w:tcW w:w="0" w:type="auto"/>
            <w:gridSpan w:val="3"/>
            <w:shd w:val="clear" w:color="auto" w:fill="auto"/>
          </w:tcPr>
          <w:p w14:paraId="5EA24075" w14:textId="77777777" w:rsidR="003C66EB" w:rsidRDefault="003C66EB">
            <w:pPr>
              <w:rPr>
                <w:rFonts w:ascii="宋体"/>
                <w:vanish/>
              </w:rPr>
            </w:pPr>
          </w:p>
        </w:tc>
        <w:tc>
          <w:tcPr>
            <w:tcW w:w="0" w:type="auto"/>
            <w:gridSpan w:val="3"/>
            <w:shd w:val="clear" w:color="auto" w:fill="auto"/>
          </w:tcPr>
          <w:p w14:paraId="5EA24076" w14:textId="77777777" w:rsidR="003C66EB" w:rsidRDefault="003C66EB">
            <w:pPr>
              <w:rPr>
                <w:rFonts w:ascii="宋体"/>
                <w:vanish/>
              </w:rPr>
            </w:pPr>
          </w:p>
        </w:tc>
        <w:tc>
          <w:tcPr>
            <w:tcW w:w="0" w:type="auto"/>
            <w:gridSpan w:val="3"/>
            <w:shd w:val="clear" w:color="auto" w:fill="auto"/>
          </w:tcPr>
          <w:p w14:paraId="5EA24077" w14:textId="77777777" w:rsidR="003C66EB" w:rsidRDefault="003C66EB">
            <w:pPr>
              <w:rPr>
                <w:rFonts w:ascii="宋体"/>
                <w:vanish/>
              </w:rPr>
            </w:pPr>
          </w:p>
        </w:tc>
        <w:tc>
          <w:tcPr>
            <w:tcW w:w="0" w:type="auto"/>
            <w:gridSpan w:val="3"/>
            <w:shd w:val="clear" w:color="auto" w:fill="auto"/>
          </w:tcPr>
          <w:p w14:paraId="5EA24078" w14:textId="77777777" w:rsidR="003C66EB" w:rsidRDefault="003C66EB">
            <w:pPr>
              <w:rPr>
                <w:rFonts w:ascii="宋体"/>
                <w:vanish/>
              </w:rPr>
            </w:pPr>
          </w:p>
        </w:tc>
        <w:tc>
          <w:tcPr>
            <w:tcW w:w="0" w:type="auto"/>
            <w:gridSpan w:val="3"/>
            <w:shd w:val="clear" w:color="auto" w:fill="auto"/>
          </w:tcPr>
          <w:p w14:paraId="5EA24079" w14:textId="77777777" w:rsidR="003C66EB" w:rsidRDefault="003C66EB">
            <w:pPr>
              <w:rPr>
                <w:rFonts w:ascii="宋体"/>
                <w:vanish/>
              </w:rPr>
            </w:pPr>
          </w:p>
        </w:tc>
        <w:tc>
          <w:tcPr>
            <w:tcW w:w="0" w:type="auto"/>
            <w:gridSpan w:val="3"/>
            <w:shd w:val="clear" w:color="auto" w:fill="auto"/>
          </w:tcPr>
          <w:p w14:paraId="5EA2407A" w14:textId="77777777" w:rsidR="003C66EB" w:rsidRDefault="003C66EB">
            <w:pPr>
              <w:rPr>
                <w:rFonts w:ascii="宋体"/>
                <w:vanish/>
              </w:rPr>
            </w:pPr>
          </w:p>
        </w:tc>
        <w:tc>
          <w:tcPr>
            <w:tcW w:w="0" w:type="auto"/>
            <w:gridSpan w:val="3"/>
            <w:shd w:val="clear" w:color="auto" w:fill="auto"/>
          </w:tcPr>
          <w:p w14:paraId="5EA2407B" w14:textId="77777777" w:rsidR="003C66EB" w:rsidRDefault="003C66EB">
            <w:pPr>
              <w:rPr>
                <w:rFonts w:ascii="宋体"/>
                <w:vanish/>
              </w:rPr>
            </w:pPr>
          </w:p>
        </w:tc>
        <w:tc>
          <w:tcPr>
            <w:tcW w:w="0" w:type="auto"/>
            <w:gridSpan w:val="3"/>
            <w:shd w:val="clear" w:color="auto" w:fill="auto"/>
          </w:tcPr>
          <w:p w14:paraId="5EA2407C" w14:textId="77777777" w:rsidR="003C66EB" w:rsidRDefault="003C66EB">
            <w:pPr>
              <w:rPr>
                <w:rFonts w:ascii="宋体"/>
                <w:vanish/>
              </w:rPr>
            </w:pPr>
          </w:p>
        </w:tc>
        <w:tc>
          <w:tcPr>
            <w:tcW w:w="0" w:type="auto"/>
            <w:gridSpan w:val="3"/>
            <w:shd w:val="clear" w:color="auto" w:fill="auto"/>
          </w:tcPr>
          <w:p w14:paraId="5EA2407D" w14:textId="77777777" w:rsidR="003C66EB" w:rsidRDefault="003C66EB">
            <w:pPr>
              <w:rPr>
                <w:rFonts w:ascii="宋体"/>
                <w:vanish/>
              </w:rPr>
            </w:pPr>
          </w:p>
        </w:tc>
        <w:tc>
          <w:tcPr>
            <w:tcW w:w="0" w:type="auto"/>
            <w:gridSpan w:val="3"/>
            <w:shd w:val="clear" w:color="auto" w:fill="auto"/>
          </w:tcPr>
          <w:p w14:paraId="5EA2407E" w14:textId="77777777" w:rsidR="003C66EB" w:rsidRDefault="003C66EB">
            <w:pPr>
              <w:rPr>
                <w:rFonts w:ascii="宋体"/>
                <w:vanish/>
              </w:rPr>
            </w:pPr>
          </w:p>
        </w:tc>
      </w:tr>
      <w:tr w:rsidR="003C66EB" w14:paraId="5EA24092" w14:textId="77777777">
        <w:tc>
          <w:tcPr>
            <w:tcW w:w="0" w:type="auto"/>
            <w:gridSpan w:val="3"/>
            <w:shd w:val="clear" w:color="auto" w:fill="FFFFFF"/>
            <w:tcMar>
              <w:top w:w="40" w:type="dxa"/>
              <w:left w:w="245" w:type="dxa"/>
              <w:bottom w:w="40" w:type="dxa"/>
              <w:right w:w="20" w:type="dxa"/>
            </w:tcMar>
            <w:vAlign w:val="bottom"/>
          </w:tcPr>
          <w:p w14:paraId="5EA24080" w14:textId="77777777" w:rsidR="003C66EB" w:rsidRDefault="00D96C4E">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5EA24081" w14:textId="77777777" w:rsidR="003C66EB" w:rsidRDefault="00D96C4E">
            <w:pPr>
              <w:jc w:val="right"/>
              <w:textAlignment w:val="bottom"/>
            </w:pPr>
            <w:r>
              <w:rPr>
                <w:rFonts w:ascii="Arial" w:eastAsia="宋体" w:hAnsi="Arial" w:cs="Arial"/>
                <w:color w:val="000000"/>
                <w:sz w:val="14"/>
                <w:szCs w:val="14"/>
              </w:rPr>
              <w:t>1,498 </w:t>
            </w:r>
          </w:p>
        </w:tc>
        <w:tc>
          <w:tcPr>
            <w:tcW w:w="0" w:type="auto"/>
            <w:shd w:val="clear" w:color="auto" w:fill="FFFFFF"/>
            <w:tcMar>
              <w:top w:w="40" w:type="dxa"/>
              <w:left w:w="0" w:type="dxa"/>
              <w:bottom w:w="40" w:type="dxa"/>
              <w:right w:w="20" w:type="dxa"/>
            </w:tcMar>
            <w:vAlign w:val="bottom"/>
          </w:tcPr>
          <w:p w14:paraId="5EA240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8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84"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A240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8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87" w14:textId="77777777" w:rsidR="003C66EB" w:rsidRDefault="00D96C4E">
            <w:pPr>
              <w:jc w:val="right"/>
              <w:textAlignment w:val="bottom"/>
            </w:pPr>
            <w:r>
              <w:rPr>
                <w:rFonts w:ascii="Arial" w:eastAsia="宋体" w:hAnsi="Arial" w:cs="Arial"/>
                <w:color w:val="000000"/>
                <w:sz w:val="14"/>
                <w:szCs w:val="14"/>
              </w:rPr>
              <w:t>369 </w:t>
            </w:r>
          </w:p>
        </w:tc>
        <w:tc>
          <w:tcPr>
            <w:tcW w:w="0" w:type="auto"/>
            <w:shd w:val="clear" w:color="auto" w:fill="FFFFFF"/>
            <w:tcMar>
              <w:top w:w="40" w:type="dxa"/>
              <w:left w:w="0" w:type="dxa"/>
              <w:bottom w:w="40" w:type="dxa"/>
              <w:right w:w="20" w:type="dxa"/>
            </w:tcMar>
            <w:vAlign w:val="bottom"/>
          </w:tcPr>
          <w:p w14:paraId="5EA2408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8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8A"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A2408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8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8D" w14:textId="77777777" w:rsidR="003C66EB" w:rsidRDefault="00D96C4E">
            <w:pPr>
              <w:jc w:val="right"/>
              <w:textAlignment w:val="bottom"/>
            </w:pPr>
            <w:r>
              <w:rPr>
                <w:rFonts w:ascii="Arial" w:eastAsia="宋体" w:hAnsi="Arial" w:cs="Arial"/>
                <w:color w:val="000000"/>
                <w:sz w:val="14"/>
                <w:szCs w:val="14"/>
              </w:rPr>
              <w:t>1,867 </w:t>
            </w:r>
          </w:p>
        </w:tc>
        <w:tc>
          <w:tcPr>
            <w:tcW w:w="0" w:type="auto"/>
            <w:shd w:val="clear" w:color="auto" w:fill="FFFFFF"/>
            <w:tcMar>
              <w:top w:w="40" w:type="dxa"/>
              <w:left w:w="0" w:type="dxa"/>
              <w:bottom w:w="40" w:type="dxa"/>
              <w:right w:w="20" w:type="dxa"/>
            </w:tcMar>
            <w:vAlign w:val="bottom"/>
          </w:tcPr>
          <w:p w14:paraId="5EA2408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8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90" w14:textId="77777777" w:rsidR="003C66EB" w:rsidRDefault="00D96C4E">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5EA24091" w14:textId="77777777" w:rsidR="003C66EB" w:rsidRDefault="003C66EB">
            <w:pPr>
              <w:jc w:val="right"/>
              <w:rPr>
                <w:rFonts w:ascii="宋体"/>
              </w:rPr>
            </w:pPr>
          </w:p>
        </w:tc>
      </w:tr>
      <w:tr w:rsidR="003C66EB" w14:paraId="5EA2409F" w14:textId="77777777">
        <w:trPr>
          <w:hidden/>
        </w:trPr>
        <w:tc>
          <w:tcPr>
            <w:tcW w:w="0" w:type="auto"/>
            <w:gridSpan w:val="3"/>
            <w:shd w:val="clear" w:color="auto" w:fill="auto"/>
          </w:tcPr>
          <w:p w14:paraId="5EA24093" w14:textId="77777777" w:rsidR="003C66EB" w:rsidRDefault="003C66EB">
            <w:pPr>
              <w:rPr>
                <w:rFonts w:ascii="宋体"/>
                <w:vanish/>
              </w:rPr>
            </w:pPr>
          </w:p>
        </w:tc>
        <w:tc>
          <w:tcPr>
            <w:tcW w:w="0" w:type="auto"/>
            <w:gridSpan w:val="3"/>
            <w:shd w:val="clear" w:color="auto" w:fill="auto"/>
          </w:tcPr>
          <w:p w14:paraId="5EA24094" w14:textId="77777777" w:rsidR="003C66EB" w:rsidRDefault="003C66EB">
            <w:pPr>
              <w:rPr>
                <w:rFonts w:ascii="宋体"/>
                <w:vanish/>
              </w:rPr>
            </w:pPr>
          </w:p>
        </w:tc>
        <w:tc>
          <w:tcPr>
            <w:tcW w:w="0" w:type="auto"/>
            <w:gridSpan w:val="3"/>
            <w:shd w:val="clear" w:color="auto" w:fill="auto"/>
          </w:tcPr>
          <w:p w14:paraId="5EA24095" w14:textId="77777777" w:rsidR="003C66EB" w:rsidRDefault="003C66EB">
            <w:pPr>
              <w:rPr>
                <w:rFonts w:ascii="宋体"/>
                <w:vanish/>
              </w:rPr>
            </w:pPr>
          </w:p>
        </w:tc>
        <w:tc>
          <w:tcPr>
            <w:tcW w:w="0" w:type="auto"/>
            <w:gridSpan w:val="3"/>
            <w:shd w:val="clear" w:color="auto" w:fill="auto"/>
          </w:tcPr>
          <w:p w14:paraId="5EA24096" w14:textId="77777777" w:rsidR="003C66EB" w:rsidRDefault="003C66EB">
            <w:pPr>
              <w:rPr>
                <w:rFonts w:ascii="宋体"/>
                <w:vanish/>
              </w:rPr>
            </w:pPr>
          </w:p>
        </w:tc>
        <w:tc>
          <w:tcPr>
            <w:tcW w:w="0" w:type="auto"/>
            <w:gridSpan w:val="3"/>
            <w:shd w:val="clear" w:color="auto" w:fill="auto"/>
          </w:tcPr>
          <w:p w14:paraId="5EA24097" w14:textId="77777777" w:rsidR="003C66EB" w:rsidRDefault="003C66EB">
            <w:pPr>
              <w:rPr>
                <w:rFonts w:ascii="宋体"/>
                <w:vanish/>
              </w:rPr>
            </w:pPr>
          </w:p>
        </w:tc>
        <w:tc>
          <w:tcPr>
            <w:tcW w:w="0" w:type="auto"/>
            <w:gridSpan w:val="3"/>
            <w:shd w:val="clear" w:color="auto" w:fill="auto"/>
          </w:tcPr>
          <w:p w14:paraId="5EA24098" w14:textId="77777777" w:rsidR="003C66EB" w:rsidRDefault="003C66EB">
            <w:pPr>
              <w:rPr>
                <w:rFonts w:ascii="宋体"/>
                <w:vanish/>
              </w:rPr>
            </w:pPr>
          </w:p>
        </w:tc>
        <w:tc>
          <w:tcPr>
            <w:tcW w:w="0" w:type="auto"/>
            <w:gridSpan w:val="3"/>
            <w:shd w:val="clear" w:color="auto" w:fill="auto"/>
          </w:tcPr>
          <w:p w14:paraId="5EA24099" w14:textId="77777777" w:rsidR="003C66EB" w:rsidRDefault="003C66EB">
            <w:pPr>
              <w:rPr>
                <w:rFonts w:ascii="宋体"/>
                <w:vanish/>
              </w:rPr>
            </w:pPr>
          </w:p>
        </w:tc>
        <w:tc>
          <w:tcPr>
            <w:tcW w:w="0" w:type="auto"/>
            <w:gridSpan w:val="3"/>
            <w:shd w:val="clear" w:color="auto" w:fill="auto"/>
          </w:tcPr>
          <w:p w14:paraId="5EA2409A" w14:textId="77777777" w:rsidR="003C66EB" w:rsidRDefault="003C66EB">
            <w:pPr>
              <w:rPr>
                <w:rFonts w:ascii="宋体"/>
                <w:vanish/>
              </w:rPr>
            </w:pPr>
          </w:p>
        </w:tc>
        <w:tc>
          <w:tcPr>
            <w:tcW w:w="0" w:type="auto"/>
            <w:gridSpan w:val="3"/>
            <w:shd w:val="clear" w:color="auto" w:fill="auto"/>
          </w:tcPr>
          <w:p w14:paraId="5EA2409B" w14:textId="77777777" w:rsidR="003C66EB" w:rsidRDefault="003C66EB">
            <w:pPr>
              <w:rPr>
                <w:rFonts w:ascii="宋体"/>
                <w:vanish/>
              </w:rPr>
            </w:pPr>
          </w:p>
        </w:tc>
        <w:tc>
          <w:tcPr>
            <w:tcW w:w="0" w:type="auto"/>
            <w:gridSpan w:val="3"/>
            <w:shd w:val="clear" w:color="auto" w:fill="auto"/>
          </w:tcPr>
          <w:p w14:paraId="5EA2409C" w14:textId="77777777" w:rsidR="003C66EB" w:rsidRDefault="003C66EB">
            <w:pPr>
              <w:rPr>
                <w:rFonts w:ascii="宋体"/>
                <w:vanish/>
              </w:rPr>
            </w:pPr>
          </w:p>
        </w:tc>
        <w:tc>
          <w:tcPr>
            <w:tcW w:w="0" w:type="auto"/>
            <w:gridSpan w:val="3"/>
            <w:shd w:val="clear" w:color="auto" w:fill="auto"/>
          </w:tcPr>
          <w:p w14:paraId="5EA2409D" w14:textId="77777777" w:rsidR="003C66EB" w:rsidRDefault="003C66EB">
            <w:pPr>
              <w:rPr>
                <w:rFonts w:ascii="宋体"/>
                <w:vanish/>
              </w:rPr>
            </w:pPr>
          </w:p>
        </w:tc>
        <w:tc>
          <w:tcPr>
            <w:tcW w:w="0" w:type="auto"/>
            <w:gridSpan w:val="3"/>
            <w:shd w:val="clear" w:color="auto" w:fill="auto"/>
          </w:tcPr>
          <w:p w14:paraId="5EA2409E" w14:textId="77777777" w:rsidR="003C66EB" w:rsidRDefault="003C66EB">
            <w:pPr>
              <w:rPr>
                <w:rFonts w:ascii="宋体"/>
                <w:vanish/>
              </w:rPr>
            </w:pPr>
          </w:p>
        </w:tc>
      </w:tr>
      <w:tr w:rsidR="003C66EB" w14:paraId="5EA240B2" w14:textId="77777777">
        <w:tc>
          <w:tcPr>
            <w:tcW w:w="0" w:type="auto"/>
            <w:gridSpan w:val="3"/>
            <w:shd w:val="clear" w:color="auto" w:fill="CCEEFF"/>
            <w:tcMar>
              <w:top w:w="40" w:type="dxa"/>
              <w:left w:w="515" w:type="dxa"/>
              <w:bottom w:w="40" w:type="dxa"/>
              <w:right w:w="20" w:type="dxa"/>
            </w:tcMar>
            <w:vAlign w:val="bottom"/>
          </w:tcPr>
          <w:p w14:paraId="5EA240A0" w14:textId="77777777" w:rsidR="003C66EB" w:rsidRDefault="00D96C4E">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A1" w14:textId="77777777" w:rsidR="003C66EB" w:rsidRDefault="00D96C4E">
            <w:pPr>
              <w:jc w:val="right"/>
              <w:textAlignment w:val="bottom"/>
            </w:pPr>
            <w:r>
              <w:rPr>
                <w:rFonts w:ascii="Arial" w:eastAsia="宋体" w:hAnsi="Arial" w:cs="Arial"/>
                <w:color w:val="000000"/>
                <w:sz w:val="14"/>
                <w:szCs w:val="14"/>
              </w:rPr>
              <w:t>1,529 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A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A4" w14:textId="77777777" w:rsidR="003C66EB" w:rsidRDefault="00D96C4E">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A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A7" w14:textId="77777777" w:rsidR="003C66EB" w:rsidRDefault="00D96C4E">
            <w:pPr>
              <w:jc w:val="right"/>
              <w:textAlignment w:val="bottom"/>
            </w:pPr>
            <w:r>
              <w:rPr>
                <w:rFonts w:ascii="Arial" w:eastAsia="宋体" w:hAnsi="Arial" w:cs="Arial"/>
                <w:color w:val="000000"/>
                <w:sz w:val="14"/>
                <w:szCs w:val="14"/>
              </w:rPr>
              <w:t>566 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A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A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AA" w14:textId="77777777" w:rsidR="003C66EB" w:rsidRDefault="00D96C4E">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A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AD" w14:textId="77777777" w:rsidR="003C66EB" w:rsidRDefault="00D96C4E">
            <w:pPr>
              <w:jc w:val="right"/>
              <w:textAlignment w:val="bottom"/>
            </w:pPr>
            <w:r>
              <w:rPr>
                <w:rFonts w:ascii="Arial" w:eastAsia="宋体" w:hAnsi="Arial" w:cs="Arial"/>
                <w:color w:val="000000"/>
                <w:sz w:val="14"/>
                <w:szCs w:val="14"/>
              </w:rPr>
              <w:t>2,095 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A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0B0" w14:textId="77777777" w:rsidR="003C66EB" w:rsidRDefault="00D96C4E">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0B1" w14:textId="77777777" w:rsidR="003C66EB" w:rsidRDefault="003C66EB">
            <w:pPr>
              <w:jc w:val="right"/>
              <w:rPr>
                <w:rFonts w:ascii="宋体"/>
              </w:rPr>
            </w:pPr>
          </w:p>
        </w:tc>
      </w:tr>
      <w:tr w:rsidR="003C66EB" w14:paraId="5EA240BF" w14:textId="77777777">
        <w:tc>
          <w:tcPr>
            <w:tcW w:w="0" w:type="auto"/>
            <w:gridSpan w:val="3"/>
            <w:shd w:val="clear" w:color="auto" w:fill="FFFFFF"/>
            <w:tcMar>
              <w:top w:w="40" w:type="dxa"/>
              <w:left w:w="20" w:type="dxa"/>
              <w:bottom w:w="40" w:type="dxa"/>
              <w:right w:w="20" w:type="dxa"/>
            </w:tcMar>
            <w:vAlign w:val="bottom"/>
          </w:tcPr>
          <w:p w14:paraId="5EA240B3" w14:textId="77777777" w:rsidR="003C66EB" w:rsidRDefault="00D96C4E">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40B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B5"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B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B7"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B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B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B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BB"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B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0B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0BE" w14:textId="77777777" w:rsidR="003C66EB" w:rsidRDefault="003C66EB">
            <w:pPr>
              <w:rPr>
                <w:rFonts w:ascii="宋体"/>
              </w:rPr>
            </w:pPr>
          </w:p>
        </w:tc>
      </w:tr>
      <w:tr w:rsidR="003C66EB" w14:paraId="5EA240D2" w14:textId="77777777">
        <w:tc>
          <w:tcPr>
            <w:tcW w:w="0" w:type="auto"/>
            <w:gridSpan w:val="3"/>
            <w:shd w:val="clear" w:color="auto" w:fill="CCEEFF"/>
            <w:tcMar>
              <w:top w:w="40" w:type="dxa"/>
              <w:left w:w="245" w:type="dxa"/>
              <w:bottom w:w="40" w:type="dxa"/>
              <w:right w:w="20" w:type="dxa"/>
            </w:tcMar>
            <w:vAlign w:val="bottom"/>
          </w:tcPr>
          <w:p w14:paraId="5EA240C0"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A240C1" w14:textId="77777777" w:rsidR="003C66EB" w:rsidRDefault="00D96C4E">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5EA240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C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C4"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40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C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C7" w14:textId="77777777" w:rsidR="003C66EB" w:rsidRDefault="00D96C4E">
            <w:pPr>
              <w:jc w:val="right"/>
              <w:textAlignment w:val="bottom"/>
            </w:pPr>
            <w:r>
              <w:rPr>
                <w:rFonts w:ascii="Arial" w:eastAsia="宋体" w:hAnsi="Arial" w:cs="Arial"/>
                <w:color w:val="000000"/>
                <w:sz w:val="14"/>
                <w:szCs w:val="14"/>
              </w:rPr>
              <w:t>120 </w:t>
            </w:r>
          </w:p>
        </w:tc>
        <w:tc>
          <w:tcPr>
            <w:tcW w:w="0" w:type="auto"/>
            <w:shd w:val="clear" w:color="auto" w:fill="CCEEFF"/>
            <w:tcMar>
              <w:top w:w="40" w:type="dxa"/>
              <w:left w:w="0" w:type="dxa"/>
              <w:bottom w:w="40" w:type="dxa"/>
              <w:right w:w="20" w:type="dxa"/>
            </w:tcMar>
            <w:vAlign w:val="bottom"/>
          </w:tcPr>
          <w:p w14:paraId="5EA240C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C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CA"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40C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C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CD" w14:textId="77777777" w:rsidR="003C66EB" w:rsidRDefault="00D96C4E">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5EA240C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C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D0"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A240D1" w14:textId="77777777" w:rsidR="003C66EB" w:rsidRDefault="003C66EB">
            <w:pPr>
              <w:jc w:val="right"/>
              <w:rPr>
                <w:rFonts w:ascii="宋体"/>
              </w:rPr>
            </w:pPr>
          </w:p>
        </w:tc>
      </w:tr>
      <w:tr w:rsidR="003C66EB" w14:paraId="5EA240E5" w14:textId="77777777">
        <w:tc>
          <w:tcPr>
            <w:tcW w:w="0" w:type="auto"/>
            <w:gridSpan w:val="3"/>
            <w:shd w:val="clear" w:color="auto" w:fill="FFFFFF"/>
            <w:tcMar>
              <w:top w:w="40" w:type="dxa"/>
              <w:left w:w="245" w:type="dxa"/>
              <w:bottom w:w="40" w:type="dxa"/>
              <w:right w:w="20" w:type="dxa"/>
            </w:tcMar>
            <w:vAlign w:val="bottom"/>
          </w:tcPr>
          <w:p w14:paraId="5EA240D3"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A240D4" w14:textId="77777777" w:rsidR="003C66EB" w:rsidRDefault="00D96C4E">
            <w:pPr>
              <w:jc w:val="right"/>
              <w:textAlignment w:val="bottom"/>
            </w:pPr>
            <w:r>
              <w:rPr>
                <w:rFonts w:ascii="Arial" w:eastAsia="宋体" w:hAnsi="Arial" w:cs="Arial"/>
                <w:color w:val="000000"/>
                <w:sz w:val="14"/>
                <w:szCs w:val="14"/>
              </w:rPr>
              <w:t>1,015 </w:t>
            </w:r>
          </w:p>
        </w:tc>
        <w:tc>
          <w:tcPr>
            <w:tcW w:w="0" w:type="auto"/>
            <w:shd w:val="clear" w:color="auto" w:fill="FFFFFF"/>
            <w:tcMar>
              <w:top w:w="40" w:type="dxa"/>
              <w:left w:w="0" w:type="dxa"/>
              <w:bottom w:w="40" w:type="dxa"/>
              <w:right w:w="20" w:type="dxa"/>
            </w:tcMar>
            <w:vAlign w:val="bottom"/>
          </w:tcPr>
          <w:p w14:paraId="5EA240D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D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D7"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A240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DA" w14:textId="77777777" w:rsidR="003C66EB" w:rsidRDefault="00D96C4E">
            <w:pPr>
              <w:jc w:val="right"/>
              <w:textAlignment w:val="bottom"/>
            </w:pPr>
            <w:r>
              <w:rPr>
                <w:rFonts w:ascii="Arial" w:eastAsia="宋体" w:hAnsi="Arial" w:cs="Arial"/>
                <w:color w:val="000000"/>
                <w:sz w:val="14"/>
                <w:szCs w:val="14"/>
              </w:rPr>
              <w:t>446 </w:t>
            </w:r>
          </w:p>
        </w:tc>
        <w:tc>
          <w:tcPr>
            <w:tcW w:w="0" w:type="auto"/>
            <w:shd w:val="clear" w:color="auto" w:fill="FFFFFF"/>
            <w:tcMar>
              <w:top w:w="40" w:type="dxa"/>
              <w:left w:w="0" w:type="dxa"/>
              <w:bottom w:w="40" w:type="dxa"/>
              <w:right w:w="20" w:type="dxa"/>
            </w:tcMar>
            <w:vAlign w:val="bottom"/>
          </w:tcPr>
          <w:p w14:paraId="5EA240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D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DD"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A240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D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E0" w14:textId="77777777" w:rsidR="003C66EB" w:rsidRDefault="00D96C4E">
            <w:pPr>
              <w:jc w:val="right"/>
              <w:textAlignment w:val="bottom"/>
            </w:pPr>
            <w:r>
              <w:rPr>
                <w:rFonts w:ascii="Arial" w:eastAsia="宋体" w:hAnsi="Arial" w:cs="Arial"/>
                <w:color w:val="000000"/>
                <w:sz w:val="14"/>
                <w:szCs w:val="14"/>
              </w:rPr>
              <w:t>1,461 </w:t>
            </w:r>
          </w:p>
        </w:tc>
        <w:tc>
          <w:tcPr>
            <w:tcW w:w="0" w:type="auto"/>
            <w:shd w:val="clear" w:color="auto" w:fill="FFFFFF"/>
            <w:tcMar>
              <w:top w:w="40" w:type="dxa"/>
              <w:left w:w="0" w:type="dxa"/>
              <w:bottom w:w="40" w:type="dxa"/>
              <w:right w:w="20" w:type="dxa"/>
            </w:tcMar>
            <w:vAlign w:val="bottom"/>
          </w:tcPr>
          <w:p w14:paraId="5EA240E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E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E3"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A240E4" w14:textId="77777777" w:rsidR="003C66EB" w:rsidRDefault="003C66EB">
            <w:pPr>
              <w:jc w:val="right"/>
              <w:rPr>
                <w:rFonts w:ascii="宋体"/>
              </w:rPr>
            </w:pPr>
          </w:p>
        </w:tc>
      </w:tr>
      <w:tr w:rsidR="003C66EB" w14:paraId="5EA240F8" w14:textId="77777777">
        <w:tc>
          <w:tcPr>
            <w:tcW w:w="0" w:type="auto"/>
            <w:gridSpan w:val="3"/>
            <w:shd w:val="clear" w:color="auto" w:fill="CCEEFF"/>
            <w:tcMar>
              <w:top w:w="40" w:type="dxa"/>
              <w:left w:w="245" w:type="dxa"/>
              <w:bottom w:w="40" w:type="dxa"/>
              <w:right w:w="20" w:type="dxa"/>
            </w:tcMar>
            <w:vAlign w:val="bottom"/>
          </w:tcPr>
          <w:p w14:paraId="5EA240E6" w14:textId="77777777" w:rsidR="003C66EB" w:rsidRDefault="00D96C4E">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5EA240E7" w14:textId="77777777" w:rsidR="003C66EB" w:rsidRDefault="00D96C4E">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5EA240E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E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E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E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E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E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E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F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F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F3" w14:textId="77777777" w:rsidR="003C66EB" w:rsidRDefault="00D96C4E">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5EA240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0F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0F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0F7" w14:textId="77777777" w:rsidR="003C66EB" w:rsidRDefault="003C66EB">
            <w:pPr>
              <w:jc w:val="right"/>
              <w:rPr>
                <w:rFonts w:ascii="宋体"/>
              </w:rPr>
            </w:pPr>
          </w:p>
        </w:tc>
      </w:tr>
      <w:tr w:rsidR="003C66EB" w14:paraId="5EA2410B" w14:textId="77777777">
        <w:tc>
          <w:tcPr>
            <w:tcW w:w="0" w:type="auto"/>
            <w:gridSpan w:val="3"/>
            <w:shd w:val="clear" w:color="auto" w:fill="FFFFFF"/>
            <w:tcMar>
              <w:top w:w="40" w:type="dxa"/>
              <w:left w:w="245" w:type="dxa"/>
              <w:bottom w:w="40" w:type="dxa"/>
              <w:right w:w="20" w:type="dxa"/>
            </w:tcMar>
            <w:vAlign w:val="bottom"/>
          </w:tcPr>
          <w:p w14:paraId="5EA240F9" w14:textId="77777777" w:rsidR="003C66EB" w:rsidRDefault="00D96C4E">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A240FA" w14:textId="77777777" w:rsidR="003C66EB" w:rsidRDefault="00D96C4E">
            <w:pPr>
              <w:jc w:val="right"/>
              <w:textAlignment w:val="bottom"/>
            </w:pPr>
            <w:r>
              <w:rPr>
                <w:rFonts w:ascii="Arial" w:eastAsia="宋体" w:hAnsi="Arial" w:cs="Arial"/>
                <w:color w:val="000000"/>
                <w:sz w:val="14"/>
                <w:szCs w:val="14"/>
              </w:rPr>
              <w:t>715 </w:t>
            </w:r>
          </w:p>
        </w:tc>
        <w:tc>
          <w:tcPr>
            <w:tcW w:w="0" w:type="auto"/>
            <w:shd w:val="clear" w:color="auto" w:fill="FFFFFF"/>
            <w:tcMar>
              <w:top w:w="40" w:type="dxa"/>
              <w:left w:w="0" w:type="dxa"/>
              <w:bottom w:w="40" w:type="dxa"/>
              <w:right w:w="20" w:type="dxa"/>
            </w:tcMar>
            <w:vAlign w:val="bottom"/>
          </w:tcPr>
          <w:p w14:paraId="5EA240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0FD"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A240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0F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100" w14:textId="77777777" w:rsidR="003C66EB" w:rsidRDefault="00D96C4E">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5EA2410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0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10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10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0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106" w14:textId="77777777" w:rsidR="003C66EB" w:rsidRDefault="00D96C4E">
            <w:pPr>
              <w:jc w:val="right"/>
              <w:textAlignment w:val="bottom"/>
            </w:pPr>
            <w:r>
              <w:rPr>
                <w:rFonts w:ascii="Arial" w:eastAsia="宋体" w:hAnsi="Arial" w:cs="Arial"/>
                <w:color w:val="000000"/>
                <w:sz w:val="14"/>
                <w:szCs w:val="14"/>
              </w:rPr>
              <w:t>795 </w:t>
            </w:r>
          </w:p>
        </w:tc>
        <w:tc>
          <w:tcPr>
            <w:tcW w:w="0" w:type="auto"/>
            <w:shd w:val="clear" w:color="auto" w:fill="FFFFFF"/>
            <w:tcMar>
              <w:top w:w="40" w:type="dxa"/>
              <w:left w:w="0" w:type="dxa"/>
              <w:bottom w:w="40" w:type="dxa"/>
              <w:right w:w="20" w:type="dxa"/>
            </w:tcMar>
            <w:vAlign w:val="bottom"/>
          </w:tcPr>
          <w:p w14:paraId="5EA2410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0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109"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A2410A" w14:textId="77777777" w:rsidR="003C66EB" w:rsidRDefault="003C66EB">
            <w:pPr>
              <w:jc w:val="right"/>
              <w:rPr>
                <w:rFonts w:ascii="宋体"/>
              </w:rPr>
            </w:pPr>
          </w:p>
        </w:tc>
      </w:tr>
      <w:tr w:rsidR="003C66EB" w14:paraId="5EA2411E" w14:textId="77777777">
        <w:tc>
          <w:tcPr>
            <w:tcW w:w="0" w:type="auto"/>
            <w:gridSpan w:val="3"/>
            <w:shd w:val="clear" w:color="auto" w:fill="CCEEFF"/>
            <w:tcMar>
              <w:top w:w="40" w:type="dxa"/>
              <w:left w:w="515" w:type="dxa"/>
              <w:bottom w:w="40" w:type="dxa"/>
              <w:right w:w="20" w:type="dxa"/>
            </w:tcMar>
            <w:vAlign w:val="bottom"/>
          </w:tcPr>
          <w:p w14:paraId="5EA2410C" w14:textId="77777777" w:rsidR="003C66EB" w:rsidRDefault="00D96C4E">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10D" w14:textId="77777777" w:rsidR="003C66EB" w:rsidRDefault="00D96C4E">
            <w:pPr>
              <w:jc w:val="right"/>
              <w:textAlignment w:val="bottom"/>
            </w:pPr>
            <w:r>
              <w:rPr>
                <w:rFonts w:ascii="Arial" w:eastAsia="宋体" w:hAnsi="Arial" w:cs="Arial"/>
                <w:color w:val="000000"/>
                <w:sz w:val="14"/>
                <w:szCs w:val="14"/>
              </w:rPr>
              <w:t>2,819 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1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0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110" w14:textId="77777777" w:rsidR="003C66EB" w:rsidRDefault="00D96C4E">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1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1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113" w14:textId="77777777" w:rsidR="003C66EB" w:rsidRDefault="00D96C4E">
            <w:pPr>
              <w:jc w:val="right"/>
              <w:textAlignment w:val="bottom"/>
            </w:pPr>
            <w:r>
              <w:rPr>
                <w:rFonts w:ascii="Arial" w:eastAsia="宋体" w:hAnsi="Arial" w:cs="Arial"/>
                <w:color w:val="000000"/>
                <w:sz w:val="14"/>
                <w:szCs w:val="14"/>
              </w:rPr>
              <w:t>646 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1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1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116" w14:textId="77777777" w:rsidR="003C66EB" w:rsidRDefault="00D96C4E">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1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1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119" w14:textId="77777777" w:rsidR="003C66EB" w:rsidRDefault="00D96C4E">
            <w:pPr>
              <w:jc w:val="right"/>
              <w:textAlignment w:val="bottom"/>
            </w:pPr>
            <w:r>
              <w:rPr>
                <w:rFonts w:ascii="Arial" w:eastAsia="宋体" w:hAnsi="Arial" w:cs="Arial"/>
                <w:color w:val="000000"/>
                <w:sz w:val="14"/>
                <w:szCs w:val="14"/>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1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1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11C" w14:textId="77777777" w:rsidR="003C66EB" w:rsidRDefault="00D96C4E">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11D" w14:textId="77777777" w:rsidR="003C66EB" w:rsidRDefault="003C66EB">
            <w:pPr>
              <w:jc w:val="right"/>
              <w:rPr>
                <w:rFonts w:ascii="宋体"/>
              </w:rPr>
            </w:pPr>
          </w:p>
        </w:tc>
      </w:tr>
      <w:tr w:rsidR="003C66EB" w14:paraId="5EA24131" w14:textId="77777777">
        <w:tc>
          <w:tcPr>
            <w:tcW w:w="0" w:type="auto"/>
            <w:gridSpan w:val="3"/>
            <w:shd w:val="clear" w:color="auto" w:fill="FFFFFF"/>
            <w:tcMar>
              <w:top w:w="40" w:type="dxa"/>
              <w:left w:w="20" w:type="dxa"/>
              <w:bottom w:w="40" w:type="dxa"/>
              <w:right w:w="20" w:type="dxa"/>
            </w:tcMar>
            <w:vAlign w:val="bottom"/>
          </w:tcPr>
          <w:p w14:paraId="5EA2411F" w14:textId="77777777" w:rsidR="003C66EB" w:rsidRDefault="00D96C4E">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120" w14:textId="77777777" w:rsidR="003C66EB" w:rsidRDefault="00D96C4E">
            <w:pPr>
              <w:jc w:val="right"/>
              <w:textAlignment w:val="bottom"/>
            </w:pPr>
            <w:r>
              <w:rPr>
                <w:rFonts w:ascii="Arial" w:eastAsia="宋体" w:hAnsi="Arial" w:cs="Arial"/>
                <w:color w:val="000000"/>
                <w:sz w:val="14"/>
                <w:szCs w:val="14"/>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1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2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123"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1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2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126" w14:textId="77777777" w:rsidR="003C66EB" w:rsidRDefault="00D96C4E">
            <w:pPr>
              <w:jc w:val="right"/>
              <w:textAlignment w:val="bottom"/>
            </w:pPr>
            <w:r>
              <w:rPr>
                <w:rFonts w:ascii="Arial" w:eastAsia="宋体" w:hAnsi="Arial" w:cs="Arial"/>
                <w:color w:val="000000"/>
                <w:sz w:val="14"/>
                <w:szCs w:val="14"/>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1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2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129" w14:textId="77777777" w:rsidR="003C66EB" w:rsidRDefault="00D96C4E">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1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2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12C" w14:textId="77777777" w:rsidR="003C66EB" w:rsidRDefault="00D96C4E">
            <w:pPr>
              <w:jc w:val="right"/>
              <w:textAlignment w:val="bottom"/>
            </w:pPr>
            <w:r>
              <w:rPr>
                <w:rFonts w:ascii="Arial" w:eastAsia="宋体" w:hAnsi="Arial" w:cs="Arial"/>
                <w:color w:val="000000"/>
                <w:sz w:val="14"/>
                <w:szCs w:val="14"/>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1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2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12F" w14:textId="77777777" w:rsidR="003C66EB" w:rsidRDefault="00D96C4E">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130" w14:textId="77777777" w:rsidR="003C66EB" w:rsidRDefault="003C66EB">
            <w:pPr>
              <w:jc w:val="right"/>
              <w:rPr>
                <w:rFonts w:ascii="宋体"/>
              </w:rPr>
            </w:pPr>
          </w:p>
        </w:tc>
      </w:tr>
      <w:tr w:rsidR="003C66EB" w14:paraId="5EA2413E" w14:textId="77777777">
        <w:trPr>
          <w:hidden/>
        </w:trPr>
        <w:tc>
          <w:tcPr>
            <w:tcW w:w="0" w:type="auto"/>
            <w:gridSpan w:val="3"/>
            <w:shd w:val="clear" w:color="auto" w:fill="auto"/>
          </w:tcPr>
          <w:p w14:paraId="5EA24132" w14:textId="77777777" w:rsidR="003C66EB" w:rsidRDefault="003C66EB">
            <w:pPr>
              <w:rPr>
                <w:rFonts w:ascii="宋体"/>
                <w:vanish/>
              </w:rPr>
            </w:pPr>
          </w:p>
        </w:tc>
        <w:tc>
          <w:tcPr>
            <w:tcW w:w="0" w:type="auto"/>
            <w:gridSpan w:val="3"/>
            <w:shd w:val="clear" w:color="auto" w:fill="auto"/>
          </w:tcPr>
          <w:p w14:paraId="5EA24133" w14:textId="77777777" w:rsidR="003C66EB" w:rsidRDefault="003C66EB">
            <w:pPr>
              <w:rPr>
                <w:rFonts w:ascii="宋体"/>
                <w:vanish/>
              </w:rPr>
            </w:pPr>
          </w:p>
        </w:tc>
        <w:tc>
          <w:tcPr>
            <w:tcW w:w="0" w:type="auto"/>
            <w:gridSpan w:val="3"/>
            <w:shd w:val="clear" w:color="auto" w:fill="auto"/>
          </w:tcPr>
          <w:p w14:paraId="5EA24134" w14:textId="77777777" w:rsidR="003C66EB" w:rsidRDefault="003C66EB">
            <w:pPr>
              <w:rPr>
                <w:rFonts w:ascii="宋体"/>
                <w:vanish/>
              </w:rPr>
            </w:pPr>
          </w:p>
        </w:tc>
        <w:tc>
          <w:tcPr>
            <w:tcW w:w="0" w:type="auto"/>
            <w:gridSpan w:val="3"/>
            <w:shd w:val="clear" w:color="auto" w:fill="auto"/>
          </w:tcPr>
          <w:p w14:paraId="5EA24135" w14:textId="77777777" w:rsidR="003C66EB" w:rsidRDefault="003C66EB">
            <w:pPr>
              <w:rPr>
                <w:rFonts w:ascii="宋体"/>
                <w:vanish/>
              </w:rPr>
            </w:pPr>
          </w:p>
        </w:tc>
        <w:tc>
          <w:tcPr>
            <w:tcW w:w="0" w:type="auto"/>
            <w:gridSpan w:val="3"/>
            <w:shd w:val="clear" w:color="auto" w:fill="auto"/>
          </w:tcPr>
          <w:p w14:paraId="5EA24136" w14:textId="77777777" w:rsidR="003C66EB" w:rsidRDefault="003C66EB">
            <w:pPr>
              <w:rPr>
                <w:rFonts w:ascii="宋体"/>
                <w:vanish/>
              </w:rPr>
            </w:pPr>
          </w:p>
        </w:tc>
        <w:tc>
          <w:tcPr>
            <w:tcW w:w="0" w:type="auto"/>
            <w:gridSpan w:val="3"/>
            <w:shd w:val="clear" w:color="auto" w:fill="auto"/>
          </w:tcPr>
          <w:p w14:paraId="5EA24137" w14:textId="77777777" w:rsidR="003C66EB" w:rsidRDefault="003C66EB">
            <w:pPr>
              <w:rPr>
                <w:rFonts w:ascii="宋体"/>
                <w:vanish/>
              </w:rPr>
            </w:pPr>
          </w:p>
        </w:tc>
        <w:tc>
          <w:tcPr>
            <w:tcW w:w="0" w:type="auto"/>
            <w:gridSpan w:val="3"/>
            <w:shd w:val="clear" w:color="auto" w:fill="auto"/>
          </w:tcPr>
          <w:p w14:paraId="5EA24138" w14:textId="77777777" w:rsidR="003C66EB" w:rsidRDefault="003C66EB">
            <w:pPr>
              <w:rPr>
                <w:rFonts w:ascii="宋体"/>
                <w:vanish/>
              </w:rPr>
            </w:pPr>
          </w:p>
        </w:tc>
        <w:tc>
          <w:tcPr>
            <w:tcW w:w="0" w:type="auto"/>
            <w:gridSpan w:val="3"/>
            <w:shd w:val="clear" w:color="auto" w:fill="auto"/>
          </w:tcPr>
          <w:p w14:paraId="5EA24139" w14:textId="77777777" w:rsidR="003C66EB" w:rsidRDefault="003C66EB">
            <w:pPr>
              <w:rPr>
                <w:rFonts w:ascii="宋体"/>
                <w:vanish/>
              </w:rPr>
            </w:pPr>
          </w:p>
        </w:tc>
        <w:tc>
          <w:tcPr>
            <w:tcW w:w="0" w:type="auto"/>
            <w:gridSpan w:val="3"/>
            <w:shd w:val="clear" w:color="auto" w:fill="auto"/>
          </w:tcPr>
          <w:p w14:paraId="5EA2413A" w14:textId="77777777" w:rsidR="003C66EB" w:rsidRDefault="003C66EB">
            <w:pPr>
              <w:rPr>
                <w:rFonts w:ascii="宋体"/>
                <w:vanish/>
              </w:rPr>
            </w:pPr>
          </w:p>
        </w:tc>
        <w:tc>
          <w:tcPr>
            <w:tcW w:w="0" w:type="auto"/>
            <w:gridSpan w:val="3"/>
            <w:shd w:val="clear" w:color="auto" w:fill="auto"/>
          </w:tcPr>
          <w:p w14:paraId="5EA2413B" w14:textId="77777777" w:rsidR="003C66EB" w:rsidRDefault="003C66EB">
            <w:pPr>
              <w:rPr>
                <w:rFonts w:ascii="宋体"/>
                <w:vanish/>
              </w:rPr>
            </w:pPr>
          </w:p>
        </w:tc>
        <w:tc>
          <w:tcPr>
            <w:tcW w:w="0" w:type="auto"/>
            <w:gridSpan w:val="3"/>
            <w:shd w:val="clear" w:color="auto" w:fill="auto"/>
          </w:tcPr>
          <w:p w14:paraId="5EA2413C" w14:textId="77777777" w:rsidR="003C66EB" w:rsidRDefault="003C66EB">
            <w:pPr>
              <w:rPr>
                <w:rFonts w:ascii="宋体"/>
                <w:vanish/>
              </w:rPr>
            </w:pPr>
          </w:p>
        </w:tc>
        <w:tc>
          <w:tcPr>
            <w:tcW w:w="0" w:type="auto"/>
            <w:gridSpan w:val="3"/>
            <w:shd w:val="clear" w:color="auto" w:fill="auto"/>
          </w:tcPr>
          <w:p w14:paraId="5EA2413D" w14:textId="77777777" w:rsidR="003C66EB" w:rsidRDefault="003C66EB">
            <w:pPr>
              <w:rPr>
                <w:rFonts w:ascii="宋体"/>
                <w:vanish/>
              </w:rPr>
            </w:pPr>
          </w:p>
        </w:tc>
      </w:tr>
      <w:tr w:rsidR="003C66EB" w14:paraId="5EA24151" w14:textId="77777777">
        <w:tc>
          <w:tcPr>
            <w:tcW w:w="0" w:type="auto"/>
            <w:gridSpan w:val="3"/>
            <w:shd w:val="clear" w:color="auto" w:fill="CCEEFF"/>
            <w:tcMar>
              <w:top w:w="40" w:type="dxa"/>
              <w:left w:w="20" w:type="dxa"/>
              <w:bottom w:w="40" w:type="dxa"/>
              <w:right w:w="20" w:type="dxa"/>
            </w:tcMar>
            <w:vAlign w:val="bottom"/>
          </w:tcPr>
          <w:p w14:paraId="5EA2413F" w14:textId="77777777" w:rsidR="003C66EB" w:rsidRDefault="00D96C4E">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5EA24140"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41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4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14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14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4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14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1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4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14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1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4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14C"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41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1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14F"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150" w14:textId="77777777" w:rsidR="003C66EB" w:rsidRDefault="003C66EB">
            <w:pPr>
              <w:jc w:val="right"/>
              <w:rPr>
                <w:rFonts w:ascii="宋体"/>
              </w:rPr>
            </w:pPr>
          </w:p>
        </w:tc>
      </w:tr>
      <w:tr w:rsidR="003C66EB" w14:paraId="5EA2415E" w14:textId="77777777">
        <w:trPr>
          <w:hidden/>
        </w:trPr>
        <w:tc>
          <w:tcPr>
            <w:tcW w:w="0" w:type="auto"/>
            <w:gridSpan w:val="3"/>
            <w:shd w:val="clear" w:color="auto" w:fill="auto"/>
          </w:tcPr>
          <w:p w14:paraId="5EA24152" w14:textId="77777777" w:rsidR="003C66EB" w:rsidRDefault="003C66EB">
            <w:pPr>
              <w:rPr>
                <w:rFonts w:ascii="宋体"/>
                <w:vanish/>
              </w:rPr>
            </w:pPr>
          </w:p>
        </w:tc>
        <w:tc>
          <w:tcPr>
            <w:tcW w:w="0" w:type="auto"/>
            <w:gridSpan w:val="3"/>
            <w:shd w:val="clear" w:color="auto" w:fill="auto"/>
          </w:tcPr>
          <w:p w14:paraId="5EA24153" w14:textId="77777777" w:rsidR="003C66EB" w:rsidRDefault="003C66EB">
            <w:pPr>
              <w:rPr>
                <w:rFonts w:ascii="宋体"/>
                <w:vanish/>
              </w:rPr>
            </w:pPr>
          </w:p>
        </w:tc>
        <w:tc>
          <w:tcPr>
            <w:tcW w:w="0" w:type="auto"/>
            <w:gridSpan w:val="3"/>
            <w:shd w:val="clear" w:color="auto" w:fill="auto"/>
          </w:tcPr>
          <w:p w14:paraId="5EA24154" w14:textId="77777777" w:rsidR="003C66EB" w:rsidRDefault="003C66EB">
            <w:pPr>
              <w:rPr>
                <w:rFonts w:ascii="宋体"/>
                <w:vanish/>
              </w:rPr>
            </w:pPr>
          </w:p>
        </w:tc>
        <w:tc>
          <w:tcPr>
            <w:tcW w:w="0" w:type="auto"/>
            <w:gridSpan w:val="3"/>
            <w:shd w:val="clear" w:color="auto" w:fill="auto"/>
          </w:tcPr>
          <w:p w14:paraId="5EA24155" w14:textId="77777777" w:rsidR="003C66EB" w:rsidRDefault="003C66EB">
            <w:pPr>
              <w:rPr>
                <w:rFonts w:ascii="宋体"/>
                <w:vanish/>
              </w:rPr>
            </w:pPr>
          </w:p>
        </w:tc>
        <w:tc>
          <w:tcPr>
            <w:tcW w:w="0" w:type="auto"/>
            <w:gridSpan w:val="3"/>
            <w:shd w:val="clear" w:color="auto" w:fill="auto"/>
          </w:tcPr>
          <w:p w14:paraId="5EA24156" w14:textId="77777777" w:rsidR="003C66EB" w:rsidRDefault="003C66EB">
            <w:pPr>
              <w:rPr>
                <w:rFonts w:ascii="宋体"/>
                <w:vanish/>
              </w:rPr>
            </w:pPr>
          </w:p>
        </w:tc>
        <w:tc>
          <w:tcPr>
            <w:tcW w:w="0" w:type="auto"/>
            <w:gridSpan w:val="3"/>
            <w:shd w:val="clear" w:color="auto" w:fill="auto"/>
          </w:tcPr>
          <w:p w14:paraId="5EA24157" w14:textId="77777777" w:rsidR="003C66EB" w:rsidRDefault="003C66EB">
            <w:pPr>
              <w:rPr>
                <w:rFonts w:ascii="宋体"/>
                <w:vanish/>
              </w:rPr>
            </w:pPr>
          </w:p>
        </w:tc>
        <w:tc>
          <w:tcPr>
            <w:tcW w:w="0" w:type="auto"/>
            <w:gridSpan w:val="3"/>
            <w:shd w:val="clear" w:color="auto" w:fill="auto"/>
          </w:tcPr>
          <w:p w14:paraId="5EA24158" w14:textId="77777777" w:rsidR="003C66EB" w:rsidRDefault="003C66EB">
            <w:pPr>
              <w:rPr>
                <w:rFonts w:ascii="宋体"/>
                <w:vanish/>
              </w:rPr>
            </w:pPr>
          </w:p>
        </w:tc>
        <w:tc>
          <w:tcPr>
            <w:tcW w:w="0" w:type="auto"/>
            <w:gridSpan w:val="3"/>
            <w:shd w:val="clear" w:color="auto" w:fill="auto"/>
          </w:tcPr>
          <w:p w14:paraId="5EA24159" w14:textId="77777777" w:rsidR="003C66EB" w:rsidRDefault="003C66EB">
            <w:pPr>
              <w:rPr>
                <w:rFonts w:ascii="宋体"/>
                <w:vanish/>
              </w:rPr>
            </w:pPr>
          </w:p>
        </w:tc>
        <w:tc>
          <w:tcPr>
            <w:tcW w:w="0" w:type="auto"/>
            <w:gridSpan w:val="3"/>
            <w:shd w:val="clear" w:color="auto" w:fill="auto"/>
          </w:tcPr>
          <w:p w14:paraId="5EA2415A" w14:textId="77777777" w:rsidR="003C66EB" w:rsidRDefault="003C66EB">
            <w:pPr>
              <w:rPr>
                <w:rFonts w:ascii="宋体"/>
                <w:vanish/>
              </w:rPr>
            </w:pPr>
          </w:p>
        </w:tc>
        <w:tc>
          <w:tcPr>
            <w:tcW w:w="0" w:type="auto"/>
            <w:gridSpan w:val="3"/>
            <w:shd w:val="clear" w:color="auto" w:fill="auto"/>
          </w:tcPr>
          <w:p w14:paraId="5EA2415B" w14:textId="77777777" w:rsidR="003C66EB" w:rsidRDefault="003C66EB">
            <w:pPr>
              <w:rPr>
                <w:rFonts w:ascii="宋体"/>
                <w:vanish/>
              </w:rPr>
            </w:pPr>
          </w:p>
        </w:tc>
        <w:tc>
          <w:tcPr>
            <w:tcW w:w="0" w:type="auto"/>
            <w:gridSpan w:val="3"/>
            <w:shd w:val="clear" w:color="auto" w:fill="auto"/>
          </w:tcPr>
          <w:p w14:paraId="5EA2415C" w14:textId="77777777" w:rsidR="003C66EB" w:rsidRDefault="003C66EB">
            <w:pPr>
              <w:rPr>
                <w:rFonts w:ascii="宋体"/>
                <w:vanish/>
              </w:rPr>
            </w:pPr>
          </w:p>
        </w:tc>
        <w:tc>
          <w:tcPr>
            <w:tcW w:w="0" w:type="auto"/>
            <w:gridSpan w:val="3"/>
            <w:shd w:val="clear" w:color="auto" w:fill="auto"/>
          </w:tcPr>
          <w:p w14:paraId="5EA2415D" w14:textId="77777777" w:rsidR="003C66EB" w:rsidRDefault="003C66EB">
            <w:pPr>
              <w:rPr>
                <w:rFonts w:ascii="宋体"/>
                <w:vanish/>
              </w:rPr>
            </w:pPr>
          </w:p>
        </w:tc>
      </w:tr>
      <w:tr w:rsidR="003C66EB" w14:paraId="5EA24177" w14:textId="77777777">
        <w:tc>
          <w:tcPr>
            <w:tcW w:w="0" w:type="auto"/>
            <w:gridSpan w:val="3"/>
            <w:shd w:val="clear" w:color="auto" w:fill="FFFFFF"/>
            <w:tcMar>
              <w:top w:w="40" w:type="dxa"/>
              <w:left w:w="20" w:type="dxa"/>
              <w:bottom w:w="40" w:type="dxa"/>
              <w:right w:w="20" w:type="dxa"/>
            </w:tcMar>
            <w:vAlign w:val="bottom"/>
          </w:tcPr>
          <w:p w14:paraId="5EA2415F"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16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161" w14:textId="77777777" w:rsidR="003C66EB" w:rsidRDefault="00D96C4E">
            <w:pPr>
              <w:jc w:val="right"/>
              <w:textAlignment w:val="bottom"/>
            </w:pPr>
            <w:r>
              <w:rPr>
                <w:rFonts w:ascii="Arial" w:eastAsia="宋体" w:hAnsi="Arial" w:cs="Arial"/>
                <w:color w:val="000000"/>
                <w:sz w:val="14"/>
                <w:szCs w:val="14"/>
              </w:rPr>
              <w:t>7,490 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1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6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16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165" w14:textId="77777777" w:rsidR="003C66EB" w:rsidRDefault="00D96C4E">
            <w:pPr>
              <w:jc w:val="right"/>
              <w:textAlignment w:val="bottom"/>
            </w:pPr>
            <w:r>
              <w:rPr>
                <w:rFonts w:ascii="Arial" w:eastAsia="宋体" w:hAnsi="Arial" w:cs="Arial"/>
                <w:color w:val="000000"/>
                <w:sz w:val="14"/>
                <w:szCs w:val="14"/>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1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67"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16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169" w14:textId="77777777" w:rsidR="003C66EB" w:rsidRDefault="00D96C4E">
            <w:pPr>
              <w:jc w:val="right"/>
              <w:textAlignment w:val="bottom"/>
            </w:pPr>
            <w:r>
              <w:rPr>
                <w:rFonts w:ascii="Arial" w:eastAsia="宋体" w:hAnsi="Arial" w:cs="Arial"/>
                <w:color w:val="000000"/>
                <w:sz w:val="14"/>
                <w:szCs w:val="14"/>
              </w:rPr>
              <w:t>1,351 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1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6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16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16D" w14:textId="77777777" w:rsidR="003C66EB" w:rsidRDefault="00D96C4E">
            <w:pPr>
              <w:jc w:val="right"/>
              <w:textAlignment w:val="bottom"/>
            </w:pPr>
            <w:r>
              <w:rPr>
                <w:rFonts w:ascii="Arial" w:eastAsia="宋体" w:hAnsi="Arial" w:cs="Arial"/>
                <w:color w:val="000000"/>
                <w:sz w:val="14"/>
                <w:szCs w:val="14"/>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1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6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17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171" w14:textId="77777777" w:rsidR="003C66EB" w:rsidRDefault="00D96C4E">
            <w:pPr>
              <w:jc w:val="right"/>
              <w:textAlignment w:val="bottom"/>
            </w:pPr>
            <w:r>
              <w:rPr>
                <w:rFonts w:ascii="Arial" w:eastAsia="宋体" w:hAnsi="Arial" w:cs="Arial"/>
                <w:color w:val="000000"/>
                <w:sz w:val="14"/>
                <w:szCs w:val="14"/>
              </w:rPr>
              <w:t>8,841 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1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17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17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175" w14:textId="77777777" w:rsidR="003C66EB" w:rsidRDefault="00D96C4E">
            <w:pPr>
              <w:jc w:val="right"/>
              <w:textAlignment w:val="bottom"/>
            </w:pPr>
            <w:r>
              <w:rPr>
                <w:rFonts w:ascii="Arial" w:eastAsia="宋体" w:hAnsi="Arial" w:cs="Arial"/>
                <w:color w:val="000000"/>
                <w:sz w:val="14"/>
                <w:szCs w:val="14"/>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176" w14:textId="77777777" w:rsidR="003C66EB" w:rsidRDefault="003C66EB">
            <w:pPr>
              <w:jc w:val="right"/>
              <w:rPr>
                <w:rFonts w:ascii="宋体"/>
              </w:rPr>
            </w:pPr>
          </w:p>
        </w:tc>
      </w:tr>
      <w:tr w:rsidR="003C66EB" w14:paraId="5EA24184" w14:textId="77777777">
        <w:trPr>
          <w:hidden/>
        </w:trPr>
        <w:tc>
          <w:tcPr>
            <w:tcW w:w="0" w:type="auto"/>
            <w:gridSpan w:val="3"/>
            <w:shd w:val="clear" w:color="auto" w:fill="auto"/>
          </w:tcPr>
          <w:p w14:paraId="5EA24178" w14:textId="77777777" w:rsidR="003C66EB" w:rsidRDefault="003C66EB">
            <w:pPr>
              <w:rPr>
                <w:rFonts w:ascii="宋体"/>
                <w:vanish/>
              </w:rPr>
            </w:pPr>
          </w:p>
        </w:tc>
        <w:tc>
          <w:tcPr>
            <w:tcW w:w="0" w:type="auto"/>
            <w:gridSpan w:val="3"/>
            <w:shd w:val="clear" w:color="auto" w:fill="auto"/>
          </w:tcPr>
          <w:p w14:paraId="5EA24179" w14:textId="77777777" w:rsidR="003C66EB" w:rsidRDefault="003C66EB">
            <w:pPr>
              <w:rPr>
                <w:rFonts w:ascii="宋体"/>
                <w:vanish/>
              </w:rPr>
            </w:pPr>
          </w:p>
        </w:tc>
        <w:tc>
          <w:tcPr>
            <w:tcW w:w="0" w:type="auto"/>
            <w:gridSpan w:val="3"/>
            <w:shd w:val="clear" w:color="auto" w:fill="auto"/>
          </w:tcPr>
          <w:p w14:paraId="5EA2417A" w14:textId="77777777" w:rsidR="003C66EB" w:rsidRDefault="003C66EB">
            <w:pPr>
              <w:rPr>
                <w:rFonts w:ascii="宋体"/>
                <w:vanish/>
              </w:rPr>
            </w:pPr>
          </w:p>
        </w:tc>
        <w:tc>
          <w:tcPr>
            <w:tcW w:w="0" w:type="auto"/>
            <w:gridSpan w:val="3"/>
            <w:shd w:val="clear" w:color="auto" w:fill="auto"/>
          </w:tcPr>
          <w:p w14:paraId="5EA2417B" w14:textId="77777777" w:rsidR="003C66EB" w:rsidRDefault="003C66EB">
            <w:pPr>
              <w:rPr>
                <w:rFonts w:ascii="宋体"/>
                <w:vanish/>
              </w:rPr>
            </w:pPr>
          </w:p>
        </w:tc>
        <w:tc>
          <w:tcPr>
            <w:tcW w:w="0" w:type="auto"/>
            <w:gridSpan w:val="3"/>
            <w:shd w:val="clear" w:color="auto" w:fill="auto"/>
          </w:tcPr>
          <w:p w14:paraId="5EA2417C" w14:textId="77777777" w:rsidR="003C66EB" w:rsidRDefault="003C66EB">
            <w:pPr>
              <w:rPr>
                <w:rFonts w:ascii="宋体"/>
                <w:vanish/>
              </w:rPr>
            </w:pPr>
          </w:p>
        </w:tc>
        <w:tc>
          <w:tcPr>
            <w:tcW w:w="0" w:type="auto"/>
            <w:gridSpan w:val="3"/>
            <w:shd w:val="clear" w:color="auto" w:fill="auto"/>
          </w:tcPr>
          <w:p w14:paraId="5EA2417D" w14:textId="77777777" w:rsidR="003C66EB" w:rsidRDefault="003C66EB">
            <w:pPr>
              <w:rPr>
                <w:rFonts w:ascii="宋体"/>
                <w:vanish/>
              </w:rPr>
            </w:pPr>
          </w:p>
        </w:tc>
        <w:tc>
          <w:tcPr>
            <w:tcW w:w="0" w:type="auto"/>
            <w:gridSpan w:val="3"/>
            <w:shd w:val="clear" w:color="auto" w:fill="auto"/>
          </w:tcPr>
          <w:p w14:paraId="5EA2417E" w14:textId="77777777" w:rsidR="003C66EB" w:rsidRDefault="003C66EB">
            <w:pPr>
              <w:rPr>
                <w:rFonts w:ascii="宋体"/>
                <w:vanish/>
              </w:rPr>
            </w:pPr>
          </w:p>
        </w:tc>
        <w:tc>
          <w:tcPr>
            <w:tcW w:w="0" w:type="auto"/>
            <w:gridSpan w:val="3"/>
            <w:shd w:val="clear" w:color="auto" w:fill="auto"/>
          </w:tcPr>
          <w:p w14:paraId="5EA2417F" w14:textId="77777777" w:rsidR="003C66EB" w:rsidRDefault="003C66EB">
            <w:pPr>
              <w:rPr>
                <w:rFonts w:ascii="宋体"/>
                <w:vanish/>
              </w:rPr>
            </w:pPr>
          </w:p>
        </w:tc>
        <w:tc>
          <w:tcPr>
            <w:tcW w:w="0" w:type="auto"/>
            <w:gridSpan w:val="3"/>
            <w:shd w:val="clear" w:color="auto" w:fill="auto"/>
          </w:tcPr>
          <w:p w14:paraId="5EA24180" w14:textId="77777777" w:rsidR="003C66EB" w:rsidRDefault="003C66EB">
            <w:pPr>
              <w:rPr>
                <w:rFonts w:ascii="宋体"/>
                <w:vanish/>
              </w:rPr>
            </w:pPr>
          </w:p>
        </w:tc>
        <w:tc>
          <w:tcPr>
            <w:tcW w:w="0" w:type="auto"/>
            <w:gridSpan w:val="3"/>
            <w:shd w:val="clear" w:color="auto" w:fill="auto"/>
          </w:tcPr>
          <w:p w14:paraId="5EA24181" w14:textId="77777777" w:rsidR="003C66EB" w:rsidRDefault="003C66EB">
            <w:pPr>
              <w:rPr>
                <w:rFonts w:ascii="宋体"/>
                <w:vanish/>
              </w:rPr>
            </w:pPr>
          </w:p>
        </w:tc>
        <w:tc>
          <w:tcPr>
            <w:tcW w:w="0" w:type="auto"/>
            <w:gridSpan w:val="3"/>
            <w:shd w:val="clear" w:color="auto" w:fill="auto"/>
          </w:tcPr>
          <w:p w14:paraId="5EA24182" w14:textId="77777777" w:rsidR="003C66EB" w:rsidRDefault="003C66EB">
            <w:pPr>
              <w:rPr>
                <w:rFonts w:ascii="宋体"/>
                <w:vanish/>
              </w:rPr>
            </w:pPr>
          </w:p>
        </w:tc>
        <w:tc>
          <w:tcPr>
            <w:tcW w:w="0" w:type="auto"/>
            <w:gridSpan w:val="3"/>
            <w:shd w:val="clear" w:color="auto" w:fill="auto"/>
          </w:tcPr>
          <w:p w14:paraId="5EA24183" w14:textId="77777777" w:rsidR="003C66EB" w:rsidRDefault="003C66EB">
            <w:pPr>
              <w:rPr>
                <w:rFonts w:ascii="宋体"/>
                <w:vanish/>
              </w:rPr>
            </w:pPr>
          </w:p>
        </w:tc>
      </w:tr>
      <w:tr w:rsidR="003C66EB" w14:paraId="5EA24191" w14:textId="77777777">
        <w:trPr>
          <w:hidden/>
        </w:trPr>
        <w:tc>
          <w:tcPr>
            <w:tcW w:w="0" w:type="auto"/>
            <w:gridSpan w:val="3"/>
            <w:shd w:val="clear" w:color="auto" w:fill="auto"/>
          </w:tcPr>
          <w:p w14:paraId="5EA24185" w14:textId="77777777" w:rsidR="003C66EB" w:rsidRDefault="003C66EB">
            <w:pPr>
              <w:rPr>
                <w:rFonts w:ascii="宋体"/>
                <w:vanish/>
              </w:rPr>
            </w:pPr>
          </w:p>
        </w:tc>
        <w:tc>
          <w:tcPr>
            <w:tcW w:w="0" w:type="auto"/>
            <w:gridSpan w:val="3"/>
            <w:shd w:val="clear" w:color="auto" w:fill="auto"/>
          </w:tcPr>
          <w:p w14:paraId="5EA24186" w14:textId="77777777" w:rsidR="003C66EB" w:rsidRDefault="003C66EB">
            <w:pPr>
              <w:rPr>
                <w:rFonts w:ascii="宋体"/>
                <w:vanish/>
              </w:rPr>
            </w:pPr>
          </w:p>
        </w:tc>
        <w:tc>
          <w:tcPr>
            <w:tcW w:w="0" w:type="auto"/>
            <w:gridSpan w:val="3"/>
            <w:shd w:val="clear" w:color="auto" w:fill="auto"/>
          </w:tcPr>
          <w:p w14:paraId="5EA24187" w14:textId="77777777" w:rsidR="003C66EB" w:rsidRDefault="003C66EB">
            <w:pPr>
              <w:rPr>
                <w:rFonts w:ascii="宋体"/>
                <w:vanish/>
              </w:rPr>
            </w:pPr>
          </w:p>
        </w:tc>
        <w:tc>
          <w:tcPr>
            <w:tcW w:w="0" w:type="auto"/>
            <w:gridSpan w:val="3"/>
            <w:shd w:val="clear" w:color="auto" w:fill="auto"/>
          </w:tcPr>
          <w:p w14:paraId="5EA24188" w14:textId="77777777" w:rsidR="003C66EB" w:rsidRDefault="003C66EB">
            <w:pPr>
              <w:rPr>
                <w:rFonts w:ascii="宋体"/>
                <w:vanish/>
              </w:rPr>
            </w:pPr>
          </w:p>
        </w:tc>
        <w:tc>
          <w:tcPr>
            <w:tcW w:w="0" w:type="auto"/>
            <w:gridSpan w:val="3"/>
            <w:shd w:val="clear" w:color="auto" w:fill="auto"/>
          </w:tcPr>
          <w:p w14:paraId="5EA24189" w14:textId="77777777" w:rsidR="003C66EB" w:rsidRDefault="003C66EB">
            <w:pPr>
              <w:rPr>
                <w:rFonts w:ascii="宋体"/>
                <w:vanish/>
              </w:rPr>
            </w:pPr>
          </w:p>
        </w:tc>
        <w:tc>
          <w:tcPr>
            <w:tcW w:w="0" w:type="auto"/>
            <w:gridSpan w:val="3"/>
            <w:shd w:val="clear" w:color="auto" w:fill="auto"/>
          </w:tcPr>
          <w:p w14:paraId="5EA2418A" w14:textId="77777777" w:rsidR="003C66EB" w:rsidRDefault="003C66EB">
            <w:pPr>
              <w:rPr>
                <w:rFonts w:ascii="宋体"/>
                <w:vanish/>
              </w:rPr>
            </w:pPr>
          </w:p>
        </w:tc>
        <w:tc>
          <w:tcPr>
            <w:tcW w:w="0" w:type="auto"/>
            <w:gridSpan w:val="3"/>
            <w:shd w:val="clear" w:color="auto" w:fill="auto"/>
          </w:tcPr>
          <w:p w14:paraId="5EA2418B" w14:textId="77777777" w:rsidR="003C66EB" w:rsidRDefault="003C66EB">
            <w:pPr>
              <w:rPr>
                <w:rFonts w:ascii="宋体"/>
                <w:vanish/>
              </w:rPr>
            </w:pPr>
          </w:p>
        </w:tc>
        <w:tc>
          <w:tcPr>
            <w:tcW w:w="0" w:type="auto"/>
            <w:gridSpan w:val="3"/>
            <w:shd w:val="clear" w:color="auto" w:fill="auto"/>
          </w:tcPr>
          <w:p w14:paraId="5EA2418C" w14:textId="77777777" w:rsidR="003C66EB" w:rsidRDefault="003C66EB">
            <w:pPr>
              <w:rPr>
                <w:rFonts w:ascii="宋体"/>
                <w:vanish/>
              </w:rPr>
            </w:pPr>
          </w:p>
        </w:tc>
        <w:tc>
          <w:tcPr>
            <w:tcW w:w="0" w:type="auto"/>
            <w:gridSpan w:val="3"/>
            <w:shd w:val="clear" w:color="auto" w:fill="auto"/>
          </w:tcPr>
          <w:p w14:paraId="5EA2418D" w14:textId="77777777" w:rsidR="003C66EB" w:rsidRDefault="003C66EB">
            <w:pPr>
              <w:rPr>
                <w:rFonts w:ascii="宋体"/>
                <w:vanish/>
              </w:rPr>
            </w:pPr>
          </w:p>
        </w:tc>
        <w:tc>
          <w:tcPr>
            <w:tcW w:w="0" w:type="auto"/>
            <w:gridSpan w:val="3"/>
            <w:shd w:val="clear" w:color="auto" w:fill="auto"/>
          </w:tcPr>
          <w:p w14:paraId="5EA2418E" w14:textId="77777777" w:rsidR="003C66EB" w:rsidRDefault="003C66EB">
            <w:pPr>
              <w:rPr>
                <w:rFonts w:ascii="宋体"/>
                <w:vanish/>
              </w:rPr>
            </w:pPr>
          </w:p>
        </w:tc>
        <w:tc>
          <w:tcPr>
            <w:tcW w:w="0" w:type="auto"/>
            <w:gridSpan w:val="3"/>
            <w:shd w:val="clear" w:color="auto" w:fill="auto"/>
          </w:tcPr>
          <w:p w14:paraId="5EA2418F" w14:textId="77777777" w:rsidR="003C66EB" w:rsidRDefault="003C66EB">
            <w:pPr>
              <w:rPr>
                <w:rFonts w:ascii="宋体"/>
                <w:vanish/>
              </w:rPr>
            </w:pPr>
          </w:p>
        </w:tc>
        <w:tc>
          <w:tcPr>
            <w:tcW w:w="0" w:type="auto"/>
            <w:gridSpan w:val="3"/>
            <w:shd w:val="clear" w:color="auto" w:fill="auto"/>
          </w:tcPr>
          <w:p w14:paraId="5EA24190" w14:textId="77777777" w:rsidR="003C66EB" w:rsidRDefault="003C66EB">
            <w:pPr>
              <w:rPr>
                <w:rFonts w:ascii="宋体"/>
                <w:vanish/>
              </w:rPr>
            </w:pPr>
          </w:p>
        </w:tc>
      </w:tr>
      <w:tr w:rsidR="003C66EB" w14:paraId="5EA2419E" w14:textId="77777777">
        <w:trPr>
          <w:hidden/>
        </w:trPr>
        <w:tc>
          <w:tcPr>
            <w:tcW w:w="0" w:type="auto"/>
            <w:gridSpan w:val="3"/>
            <w:shd w:val="clear" w:color="auto" w:fill="auto"/>
          </w:tcPr>
          <w:p w14:paraId="5EA24192" w14:textId="77777777" w:rsidR="003C66EB" w:rsidRDefault="003C66EB">
            <w:pPr>
              <w:rPr>
                <w:rFonts w:ascii="宋体"/>
                <w:vanish/>
              </w:rPr>
            </w:pPr>
          </w:p>
        </w:tc>
        <w:tc>
          <w:tcPr>
            <w:tcW w:w="0" w:type="auto"/>
            <w:gridSpan w:val="3"/>
            <w:shd w:val="clear" w:color="auto" w:fill="auto"/>
          </w:tcPr>
          <w:p w14:paraId="5EA24193" w14:textId="77777777" w:rsidR="003C66EB" w:rsidRDefault="003C66EB">
            <w:pPr>
              <w:rPr>
                <w:rFonts w:ascii="宋体"/>
                <w:vanish/>
              </w:rPr>
            </w:pPr>
          </w:p>
        </w:tc>
        <w:tc>
          <w:tcPr>
            <w:tcW w:w="0" w:type="auto"/>
            <w:gridSpan w:val="3"/>
            <w:shd w:val="clear" w:color="auto" w:fill="auto"/>
          </w:tcPr>
          <w:p w14:paraId="5EA24194" w14:textId="77777777" w:rsidR="003C66EB" w:rsidRDefault="003C66EB">
            <w:pPr>
              <w:rPr>
                <w:rFonts w:ascii="宋体"/>
                <w:vanish/>
              </w:rPr>
            </w:pPr>
          </w:p>
        </w:tc>
        <w:tc>
          <w:tcPr>
            <w:tcW w:w="0" w:type="auto"/>
            <w:gridSpan w:val="3"/>
            <w:shd w:val="clear" w:color="auto" w:fill="auto"/>
          </w:tcPr>
          <w:p w14:paraId="5EA24195" w14:textId="77777777" w:rsidR="003C66EB" w:rsidRDefault="003C66EB">
            <w:pPr>
              <w:rPr>
                <w:rFonts w:ascii="宋体"/>
                <w:vanish/>
              </w:rPr>
            </w:pPr>
          </w:p>
        </w:tc>
        <w:tc>
          <w:tcPr>
            <w:tcW w:w="0" w:type="auto"/>
            <w:gridSpan w:val="3"/>
            <w:shd w:val="clear" w:color="auto" w:fill="auto"/>
          </w:tcPr>
          <w:p w14:paraId="5EA24196" w14:textId="77777777" w:rsidR="003C66EB" w:rsidRDefault="003C66EB">
            <w:pPr>
              <w:rPr>
                <w:rFonts w:ascii="宋体"/>
                <w:vanish/>
              </w:rPr>
            </w:pPr>
          </w:p>
        </w:tc>
        <w:tc>
          <w:tcPr>
            <w:tcW w:w="0" w:type="auto"/>
            <w:gridSpan w:val="3"/>
            <w:shd w:val="clear" w:color="auto" w:fill="auto"/>
          </w:tcPr>
          <w:p w14:paraId="5EA24197" w14:textId="77777777" w:rsidR="003C66EB" w:rsidRDefault="003C66EB">
            <w:pPr>
              <w:rPr>
                <w:rFonts w:ascii="宋体"/>
                <w:vanish/>
              </w:rPr>
            </w:pPr>
          </w:p>
        </w:tc>
        <w:tc>
          <w:tcPr>
            <w:tcW w:w="0" w:type="auto"/>
            <w:gridSpan w:val="3"/>
            <w:shd w:val="clear" w:color="auto" w:fill="auto"/>
          </w:tcPr>
          <w:p w14:paraId="5EA24198" w14:textId="77777777" w:rsidR="003C66EB" w:rsidRDefault="003C66EB">
            <w:pPr>
              <w:rPr>
                <w:rFonts w:ascii="宋体"/>
                <w:vanish/>
              </w:rPr>
            </w:pPr>
          </w:p>
        </w:tc>
        <w:tc>
          <w:tcPr>
            <w:tcW w:w="0" w:type="auto"/>
            <w:gridSpan w:val="3"/>
            <w:shd w:val="clear" w:color="auto" w:fill="auto"/>
          </w:tcPr>
          <w:p w14:paraId="5EA24199" w14:textId="77777777" w:rsidR="003C66EB" w:rsidRDefault="003C66EB">
            <w:pPr>
              <w:rPr>
                <w:rFonts w:ascii="宋体"/>
                <w:vanish/>
              </w:rPr>
            </w:pPr>
          </w:p>
        </w:tc>
        <w:tc>
          <w:tcPr>
            <w:tcW w:w="0" w:type="auto"/>
            <w:gridSpan w:val="3"/>
            <w:shd w:val="clear" w:color="auto" w:fill="auto"/>
          </w:tcPr>
          <w:p w14:paraId="5EA2419A" w14:textId="77777777" w:rsidR="003C66EB" w:rsidRDefault="003C66EB">
            <w:pPr>
              <w:rPr>
                <w:rFonts w:ascii="宋体"/>
                <w:vanish/>
              </w:rPr>
            </w:pPr>
          </w:p>
        </w:tc>
        <w:tc>
          <w:tcPr>
            <w:tcW w:w="0" w:type="auto"/>
            <w:gridSpan w:val="3"/>
            <w:shd w:val="clear" w:color="auto" w:fill="auto"/>
          </w:tcPr>
          <w:p w14:paraId="5EA2419B" w14:textId="77777777" w:rsidR="003C66EB" w:rsidRDefault="003C66EB">
            <w:pPr>
              <w:rPr>
                <w:rFonts w:ascii="宋体"/>
                <w:vanish/>
              </w:rPr>
            </w:pPr>
          </w:p>
        </w:tc>
        <w:tc>
          <w:tcPr>
            <w:tcW w:w="0" w:type="auto"/>
            <w:gridSpan w:val="3"/>
            <w:shd w:val="clear" w:color="auto" w:fill="auto"/>
          </w:tcPr>
          <w:p w14:paraId="5EA2419C" w14:textId="77777777" w:rsidR="003C66EB" w:rsidRDefault="003C66EB">
            <w:pPr>
              <w:rPr>
                <w:rFonts w:ascii="宋体"/>
                <w:vanish/>
              </w:rPr>
            </w:pPr>
          </w:p>
        </w:tc>
        <w:tc>
          <w:tcPr>
            <w:tcW w:w="0" w:type="auto"/>
            <w:gridSpan w:val="3"/>
            <w:shd w:val="clear" w:color="auto" w:fill="auto"/>
          </w:tcPr>
          <w:p w14:paraId="5EA2419D" w14:textId="77777777" w:rsidR="003C66EB" w:rsidRDefault="003C66EB">
            <w:pPr>
              <w:rPr>
                <w:rFonts w:ascii="宋体"/>
                <w:vanish/>
              </w:rPr>
            </w:pPr>
          </w:p>
        </w:tc>
      </w:tr>
      <w:tr w:rsidR="003C66EB" w14:paraId="5EA241AB" w14:textId="77777777">
        <w:trPr>
          <w:hidden/>
        </w:trPr>
        <w:tc>
          <w:tcPr>
            <w:tcW w:w="0" w:type="auto"/>
            <w:gridSpan w:val="3"/>
            <w:shd w:val="clear" w:color="auto" w:fill="auto"/>
          </w:tcPr>
          <w:p w14:paraId="5EA2419F" w14:textId="77777777" w:rsidR="003C66EB" w:rsidRDefault="003C66EB">
            <w:pPr>
              <w:rPr>
                <w:rFonts w:ascii="宋体"/>
                <w:vanish/>
              </w:rPr>
            </w:pPr>
          </w:p>
        </w:tc>
        <w:tc>
          <w:tcPr>
            <w:tcW w:w="0" w:type="auto"/>
            <w:gridSpan w:val="3"/>
            <w:shd w:val="clear" w:color="auto" w:fill="auto"/>
          </w:tcPr>
          <w:p w14:paraId="5EA241A0" w14:textId="77777777" w:rsidR="003C66EB" w:rsidRDefault="003C66EB">
            <w:pPr>
              <w:rPr>
                <w:rFonts w:ascii="宋体"/>
                <w:vanish/>
              </w:rPr>
            </w:pPr>
          </w:p>
        </w:tc>
        <w:tc>
          <w:tcPr>
            <w:tcW w:w="0" w:type="auto"/>
            <w:gridSpan w:val="3"/>
            <w:shd w:val="clear" w:color="auto" w:fill="auto"/>
          </w:tcPr>
          <w:p w14:paraId="5EA241A1" w14:textId="77777777" w:rsidR="003C66EB" w:rsidRDefault="003C66EB">
            <w:pPr>
              <w:rPr>
                <w:rFonts w:ascii="宋体"/>
                <w:vanish/>
              </w:rPr>
            </w:pPr>
          </w:p>
        </w:tc>
        <w:tc>
          <w:tcPr>
            <w:tcW w:w="0" w:type="auto"/>
            <w:gridSpan w:val="3"/>
            <w:shd w:val="clear" w:color="auto" w:fill="auto"/>
          </w:tcPr>
          <w:p w14:paraId="5EA241A2" w14:textId="77777777" w:rsidR="003C66EB" w:rsidRDefault="003C66EB">
            <w:pPr>
              <w:rPr>
                <w:rFonts w:ascii="宋体"/>
                <w:vanish/>
              </w:rPr>
            </w:pPr>
          </w:p>
        </w:tc>
        <w:tc>
          <w:tcPr>
            <w:tcW w:w="0" w:type="auto"/>
            <w:gridSpan w:val="3"/>
            <w:shd w:val="clear" w:color="auto" w:fill="auto"/>
          </w:tcPr>
          <w:p w14:paraId="5EA241A3" w14:textId="77777777" w:rsidR="003C66EB" w:rsidRDefault="003C66EB">
            <w:pPr>
              <w:rPr>
                <w:rFonts w:ascii="宋体"/>
                <w:vanish/>
              </w:rPr>
            </w:pPr>
          </w:p>
        </w:tc>
        <w:tc>
          <w:tcPr>
            <w:tcW w:w="0" w:type="auto"/>
            <w:gridSpan w:val="3"/>
            <w:shd w:val="clear" w:color="auto" w:fill="auto"/>
          </w:tcPr>
          <w:p w14:paraId="5EA241A4" w14:textId="77777777" w:rsidR="003C66EB" w:rsidRDefault="003C66EB">
            <w:pPr>
              <w:rPr>
                <w:rFonts w:ascii="宋体"/>
                <w:vanish/>
              </w:rPr>
            </w:pPr>
          </w:p>
        </w:tc>
        <w:tc>
          <w:tcPr>
            <w:tcW w:w="0" w:type="auto"/>
            <w:gridSpan w:val="3"/>
            <w:shd w:val="clear" w:color="auto" w:fill="auto"/>
          </w:tcPr>
          <w:p w14:paraId="5EA241A5" w14:textId="77777777" w:rsidR="003C66EB" w:rsidRDefault="003C66EB">
            <w:pPr>
              <w:rPr>
                <w:rFonts w:ascii="宋体"/>
                <w:vanish/>
              </w:rPr>
            </w:pPr>
          </w:p>
        </w:tc>
        <w:tc>
          <w:tcPr>
            <w:tcW w:w="0" w:type="auto"/>
            <w:gridSpan w:val="3"/>
            <w:shd w:val="clear" w:color="auto" w:fill="auto"/>
          </w:tcPr>
          <w:p w14:paraId="5EA241A6" w14:textId="77777777" w:rsidR="003C66EB" w:rsidRDefault="003C66EB">
            <w:pPr>
              <w:rPr>
                <w:rFonts w:ascii="宋体"/>
                <w:vanish/>
              </w:rPr>
            </w:pPr>
          </w:p>
        </w:tc>
        <w:tc>
          <w:tcPr>
            <w:tcW w:w="0" w:type="auto"/>
            <w:gridSpan w:val="3"/>
            <w:shd w:val="clear" w:color="auto" w:fill="auto"/>
          </w:tcPr>
          <w:p w14:paraId="5EA241A7" w14:textId="77777777" w:rsidR="003C66EB" w:rsidRDefault="003C66EB">
            <w:pPr>
              <w:rPr>
                <w:rFonts w:ascii="宋体"/>
                <w:vanish/>
              </w:rPr>
            </w:pPr>
          </w:p>
        </w:tc>
        <w:tc>
          <w:tcPr>
            <w:tcW w:w="0" w:type="auto"/>
            <w:gridSpan w:val="3"/>
            <w:shd w:val="clear" w:color="auto" w:fill="auto"/>
          </w:tcPr>
          <w:p w14:paraId="5EA241A8" w14:textId="77777777" w:rsidR="003C66EB" w:rsidRDefault="003C66EB">
            <w:pPr>
              <w:rPr>
                <w:rFonts w:ascii="宋体"/>
                <w:vanish/>
              </w:rPr>
            </w:pPr>
          </w:p>
        </w:tc>
        <w:tc>
          <w:tcPr>
            <w:tcW w:w="0" w:type="auto"/>
            <w:gridSpan w:val="3"/>
            <w:shd w:val="clear" w:color="auto" w:fill="auto"/>
          </w:tcPr>
          <w:p w14:paraId="5EA241A9" w14:textId="77777777" w:rsidR="003C66EB" w:rsidRDefault="003C66EB">
            <w:pPr>
              <w:rPr>
                <w:rFonts w:ascii="宋体"/>
                <w:vanish/>
              </w:rPr>
            </w:pPr>
          </w:p>
        </w:tc>
        <w:tc>
          <w:tcPr>
            <w:tcW w:w="0" w:type="auto"/>
            <w:gridSpan w:val="3"/>
            <w:shd w:val="clear" w:color="auto" w:fill="auto"/>
          </w:tcPr>
          <w:p w14:paraId="5EA241AA" w14:textId="77777777" w:rsidR="003C66EB" w:rsidRDefault="003C66EB">
            <w:pPr>
              <w:rPr>
                <w:rFonts w:ascii="宋体"/>
                <w:vanish/>
              </w:rPr>
            </w:pPr>
          </w:p>
        </w:tc>
      </w:tr>
      <w:tr w:rsidR="003C66EB" w14:paraId="5EA241B8" w14:textId="77777777">
        <w:trPr>
          <w:hidden/>
        </w:trPr>
        <w:tc>
          <w:tcPr>
            <w:tcW w:w="0" w:type="auto"/>
            <w:gridSpan w:val="3"/>
            <w:shd w:val="clear" w:color="auto" w:fill="auto"/>
          </w:tcPr>
          <w:p w14:paraId="5EA241AC" w14:textId="77777777" w:rsidR="003C66EB" w:rsidRDefault="003C66EB">
            <w:pPr>
              <w:rPr>
                <w:rFonts w:ascii="宋体"/>
                <w:vanish/>
              </w:rPr>
            </w:pPr>
          </w:p>
        </w:tc>
        <w:tc>
          <w:tcPr>
            <w:tcW w:w="0" w:type="auto"/>
            <w:gridSpan w:val="3"/>
            <w:shd w:val="clear" w:color="auto" w:fill="auto"/>
          </w:tcPr>
          <w:p w14:paraId="5EA241AD" w14:textId="77777777" w:rsidR="003C66EB" w:rsidRDefault="003C66EB">
            <w:pPr>
              <w:rPr>
                <w:rFonts w:ascii="宋体"/>
                <w:vanish/>
              </w:rPr>
            </w:pPr>
          </w:p>
        </w:tc>
        <w:tc>
          <w:tcPr>
            <w:tcW w:w="0" w:type="auto"/>
            <w:gridSpan w:val="3"/>
            <w:shd w:val="clear" w:color="auto" w:fill="auto"/>
          </w:tcPr>
          <w:p w14:paraId="5EA241AE" w14:textId="77777777" w:rsidR="003C66EB" w:rsidRDefault="003C66EB">
            <w:pPr>
              <w:rPr>
                <w:rFonts w:ascii="宋体"/>
                <w:vanish/>
              </w:rPr>
            </w:pPr>
          </w:p>
        </w:tc>
        <w:tc>
          <w:tcPr>
            <w:tcW w:w="0" w:type="auto"/>
            <w:gridSpan w:val="3"/>
            <w:shd w:val="clear" w:color="auto" w:fill="auto"/>
          </w:tcPr>
          <w:p w14:paraId="5EA241AF" w14:textId="77777777" w:rsidR="003C66EB" w:rsidRDefault="003C66EB">
            <w:pPr>
              <w:rPr>
                <w:rFonts w:ascii="宋体"/>
                <w:vanish/>
              </w:rPr>
            </w:pPr>
          </w:p>
        </w:tc>
        <w:tc>
          <w:tcPr>
            <w:tcW w:w="0" w:type="auto"/>
            <w:gridSpan w:val="3"/>
            <w:shd w:val="clear" w:color="auto" w:fill="auto"/>
          </w:tcPr>
          <w:p w14:paraId="5EA241B0" w14:textId="77777777" w:rsidR="003C66EB" w:rsidRDefault="003C66EB">
            <w:pPr>
              <w:rPr>
                <w:rFonts w:ascii="宋体"/>
                <w:vanish/>
              </w:rPr>
            </w:pPr>
          </w:p>
        </w:tc>
        <w:tc>
          <w:tcPr>
            <w:tcW w:w="0" w:type="auto"/>
            <w:gridSpan w:val="3"/>
            <w:shd w:val="clear" w:color="auto" w:fill="auto"/>
          </w:tcPr>
          <w:p w14:paraId="5EA241B1" w14:textId="77777777" w:rsidR="003C66EB" w:rsidRDefault="003C66EB">
            <w:pPr>
              <w:rPr>
                <w:rFonts w:ascii="宋体"/>
                <w:vanish/>
              </w:rPr>
            </w:pPr>
          </w:p>
        </w:tc>
        <w:tc>
          <w:tcPr>
            <w:tcW w:w="0" w:type="auto"/>
            <w:gridSpan w:val="3"/>
            <w:shd w:val="clear" w:color="auto" w:fill="auto"/>
          </w:tcPr>
          <w:p w14:paraId="5EA241B2" w14:textId="77777777" w:rsidR="003C66EB" w:rsidRDefault="003C66EB">
            <w:pPr>
              <w:rPr>
                <w:rFonts w:ascii="宋体"/>
                <w:vanish/>
              </w:rPr>
            </w:pPr>
          </w:p>
        </w:tc>
        <w:tc>
          <w:tcPr>
            <w:tcW w:w="0" w:type="auto"/>
            <w:gridSpan w:val="3"/>
            <w:shd w:val="clear" w:color="auto" w:fill="auto"/>
          </w:tcPr>
          <w:p w14:paraId="5EA241B3" w14:textId="77777777" w:rsidR="003C66EB" w:rsidRDefault="003C66EB">
            <w:pPr>
              <w:rPr>
                <w:rFonts w:ascii="宋体"/>
                <w:vanish/>
              </w:rPr>
            </w:pPr>
          </w:p>
        </w:tc>
        <w:tc>
          <w:tcPr>
            <w:tcW w:w="0" w:type="auto"/>
            <w:gridSpan w:val="3"/>
            <w:shd w:val="clear" w:color="auto" w:fill="auto"/>
          </w:tcPr>
          <w:p w14:paraId="5EA241B4" w14:textId="77777777" w:rsidR="003C66EB" w:rsidRDefault="003C66EB">
            <w:pPr>
              <w:rPr>
                <w:rFonts w:ascii="宋体"/>
                <w:vanish/>
              </w:rPr>
            </w:pPr>
          </w:p>
        </w:tc>
        <w:tc>
          <w:tcPr>
            <w:tcW w:w="0" w:type="auto"/>
            <w:gridSpan w:val="3"/>
            <w:shd w:val="clear" w:color="auto" w:fill="auto"/>
          </w:tcPr>
          <w:p w14:paraId="5EA241B5" w14:textId="77777777" w:rsidR="003C66EB" w:rsidRDefault="003C66EB">
            <w:pPr>
              <w:rPr>
                <w:rFonts w:ascii="宋体"/>
                <w:vanish/>
              </w:rPr>
            </w:pPr>
          </w:p>
        </w:tc>
        <w:tc>
          <w:tcPr>
            <w:tcW w:w="0" w:type="auto"/>
            <w:gridSpan w:val="3"/>
            <w:shd w:val="clear" w:color="auto" w:fill="auto"/>
          </w:tcPr>
          <w:p w14:paraId="5EA241B6" w14:textId="77777777" w:rsidR="003C66EB" w:rsidRDefault="003C66EB">
            <w:pPr>
              <w:rPr>
                <w:rFonts w:ascii="宋体"/>
                <w:vanish/>
              </w:rPr>
            </w:pPr>
          </w:p>
        </w:tc>
        <w:tc>
          <w:tcPr>
            <w:tcW w:w="0" w:type="auto"/>
            <w:gridSpan w:val="3"/>
            <w:shd w:val="clear" w:color="auto" w:fill="auto"/>
          </w:tcPr>
          <w:p w14:paraId="5EA241B7" w14:textId="77777777" w:rsidR="003C66EB" w:rsidRDefault="003C66EB">
            <w:pPr>
              <w:rPr>
                <w:rFonts w:ascii="宋体"/>
                <w:vanish/>
              </w:rPr>
            </w:pPr>
          </w:p>
        </w:tc>
      </w:tr>
      <w:tr w:rsidR="003C66EB" w14:paraId="5EA241C5" w14:textId="77777777">
        <w:trPr>
          <w:hidden/>
        </w:trPr>
        <w:tc>
          <w:tcPr>
            <w:tcW w:w="0" w:type="auto"/>
            <w:gridSpan w:val="3"/>
            <w:shd w:val="clear" w:color="auto" w:fill="auto"/>
          </w:tcPr>
          <w:p w14:paraId="5EA241B9" w14:textId="77777777" w:rsidR="003C66EB" w:rsidRDefault="003C66EB">
            <w:pPr>
              <w:rPr>
                <w:rFonts w:ascii="宋体"/>
                <w:vanish/>
              </w:rPr>
            </w:pPr>
          </w:p>
        </w:tc>
        <w:tc>
          <w:tcPr>
            <w:tcW w:w="0" w:type="auto"/>
            <w:gridSpan w:val="3"/>
            <w:shd w:val="clear" w:color="auto" w:fill="auto"/>
          </w:tcPr>
          <w:p w14:paraId="5EA241BA" w14:textId="77777777" w:rsidR="003C66EB" w:rsidRDefault="003C66EB">
            <w:pPr>
              <w:rPr>
                <w:rFonts w:ascii="宋体"/>
                <w:vanish/>
              </w:rPr>
            </w:pPr>
          </w:p>
        </w:tc>
        <w:tc>
          <w:tcPr>
            <w:tcW w:w="0" w:type="auto"/>
            <w:gridSpan w:val="3"/>
            <w:shd w:val="clear" w:color="auto" w:fill="auto"/>
          </w:tcPr>
          <w:p w14:paraId="5EA241BB" w14:textId="77777777" w:rsidR="003C66EB" w:rsidRDefault="003C66EB">
            <w:pPr>
              <w:rPr>
                <w:rFonts w:ascii="宋体"/>
                <w:vanish/>
              </w:rPr>
            </w:pPr>
          </w:p>
        </w:tc>
        <w:tc>
          <w:tcPr>
            <w:tcW w:w="0" w:type="auto"/>
            <w:gridSpan w:val="3"/>
            <w:shd w:val="clear" w:color="auto" w:fill="auto"/>
          </w:tcPr>
          <w:p w14:paraId="5EA241BC" w14:textId="77777777" w:rsidR="003C66EB" w:rsidRDefault="003C66EB">
            <w:pPr>
              <w:rPr>
                <w:rFonts w:ascii="宋体"/>
                <w:vanish/>
              </w:rPr>
            </w:pPr>
          </w:p>
        </w:tc>
        <w:tc>
          <w:tcPr>
            <w:tcW w:w="0" w:type="auto"/>
            <w:gridSpan w:val="3"/>
            <w:shd w:val="clear" w:color="auto" w:fill="auto"/>
          </w:tcPr>
          <w:p w14:paraId="5EA241BD" w14:textId="77777777" w:rsidR="003C66EB" w:rsidRDefault="003C66EB">
            <w:pPr>
              <w:rPr>
                <w:rFonts w:ascii="宋体"/>
                <w:vanish/>
              </w:rPr>
            </w:pPr>
          </w:p>
        </w:tc>
        <w:tc>
          <w:tcPr>
            <w:tcW w:w="0" w:type="auto"/>
            <w:gridSpan w:val="3"/>
            <w:shd w:val="clear" w:color="auto" w:fill="auto"/>
          </w:tcPr>
          <w:p w14:paraId="5EA241BE" w14:textId="77777777" w:rsidR="003C66EB" w:rsidRDefault="003C66EB">
            <w:pPr>
              <w:rPr>
                <w:rFonts w:ascii="宋体"/>
                <w:vanish/>
              </w:rPr>
            </w:pPr>
          </w:p>
        </w:tc>
        <w:tc>
          <w:tcPr>
            <w:tcW w:w="0" w:type="auto"/>
            <w:gridSpan w:val="3"/>
            <w:shd w:val="clear" w:color="auto" w:fill="auto"/>
          </w:tcPr>
          <w:p w14:paraId="5EA241BF" w14:textId="77777777" w:rsidR="003C66EB" w:rsidRDefault="003C66EB">
            <w:pPr>
              <w:rPr>
                <w:rFonts w:ascii="宋体"/>
                <w:vanish/>
              </w:rPr>
            </w:pPr>
          </w:p>
        </w:tc>
        <w:tc>
          <w:tcPr>
            <w:tcW w:w="0" w:type="auto"/>
            <w:gridSpan w:val="3"/>
            <w:shd w:val="clear" w:color="auto" w:fill="auto"/>
          </w:tcPr>
          <w:p w14:paraId="5EA241C0" w14:textId="77777777" w:rsidR="003C66EB" w:rsidRDefault="003C66EB">
            <w:pPr>
              <w:rPr>
                <w:rFonts w:ascii="宋体"/>
                <w:vanish/>
              </w:rPr>
            </w:pPr>
          </w:p>
        </w:tc>
        <w:tc>
          <w:tcPr>
            <w:tcW w:w="0" w:type="auto"/>
            <w:gridSpan w:val="3"/>
            <w:shd w:val="clear" w:color="auto" w:fill="auto"/>
          </w:tcPr>
          <w:p w14:paraId="5EA241C1" w14:textId="77777777" w:rsidR="003C66EB" w:rsidRDefault="003C66EB">
            <w:pPr>
              <w:rPr>
                <w:rFonts w:ascii="宋体"/>
                <w:vanish/>
              </w:rPr>
            </w:pPr>
          </w:p>
        </w:tc>
        <w:tc>
          <w:tcPr>
            <w:tcW w:w="0" w:type="auto"/>
            <w:gridSpan w:val="3"/>
            <w:shd w:val="clear" w:color="auto" w:fill="auto"/>
          </w:tcPr>
          <w:p w14:paraId="5EA241C2" w14:textId="77777777" w:rsidR="003C66EB" w:rsidRDefault="003C66EB">
            <w:pPr>
              <w:rPr>
                <w:rFonts w:ascii="宋体"/>
                <w:vanish/>
              </w:rPr>
            </w:pPr>
          </w:p>
        </w:tc>
        <w:tc>
          <w:tcPr>
            <w:tcW w:w="0" w:type="auto"/>
            <w:gridSpan w:val="3"/>
            <w:shd w:val="clear" w:color="auto" w:fill="auto"/>
          </w:tcPr>
          <w:p w14:paraId="5EA241C3" w14:textId="77777777" w:rsidR="003C66EB" w:rsidRDefault="003C66EB">
            <w:pPr>
              <w:rPr>
                <w:rFonts w:ascii="宋体"/>
                <w:vanish/>
              </w:rPr>
            </w:pPr>
          </w:p>
        </w:tc>
        <w:tc>
          <w:tcPr>
            <w:tcW w:w="0" w:type="auto"/>
            <w:gridSpan w:val="3"/>
            <w:shd w:val="clear" w:color="auto" w:fill="auto"/>
          </w:tcPr>
          <w:p w14:paraId="5EA241C4" w14:textId="77777777" w:rsidR="003C66EB" w:rsidRDefault="003C66EB">
            <w:pPr>
              <w:rPr>
                <w:rFonts w:ascii="宋体"/>
                <w:vanish/>
              </w:rPr>
            </w:pPr>
          </w:p>
        </w:tc>
      </w:tr>
      <w:tr w:rsidR="003C66EB" w14:paraId="5EA241D2" w14:textId="77777777">
        <w:trPr>
          <w:hidden/>
        </w:trPr>
        <w:tc>
          <w:tcPr>
            <w:tcW w:w="0" w:type="auto"/>
            <w:gridSpan w:val="3"/>
            <w:shd w:val="clear" w:color="auto" w:fill="auto"/>
          </w:tcPr>
          <w:p w14:paraId="5EA241C6" w14:textId="77777777" w:rsidR="003C66EB" w:rsidRDefault="003C66EB">
            <w:pPr>
              <w:rPr>
                <w:rFonts w:ascii="宋体"/>
                <w:vanish/>
              </w:rPr>
            </w:pPr>
          </w:p>
        </w:tc>
        <w:tc>
          <w:tcPr>
            <w:tcW w:w="0" w:type="auto"/>
            <w:gridSpan w:val="3"/>
            <w:shd w:val="clear" w:color="auto" w:fill="auto"/>
          </w:tcPr>
          <w:p w14:paraId="5EA241C7" w14:textId="77777777" w:rsidR="003C66EB" w:rsidRDefault="003C66EB">
            <w:pPr>
              <w:rPr>
                <w:rFonts w:ascii="宋体"/>
                <w:vanish/>
              </w:rPr>
            </w:pPr>
          </w:p>
        </w:tc>
        <w:tc>
          <w:tcPr>
            <w:tcW w:w="0" w:type="auto"/>
            <w:gridSpan w:val="3"/>
            <w:shd w:val="clear" w:color="auto" w:fill="auto"/>
          </w:tcPr>
          <w:p w14:paraId="5EA241C8" w14:textId="77777777" w:rsidR="003C66EB" w:rsidRDefault="003C66EB">
            <w:pPr>
              <w:rPr>
                <w:rFonts w:ascii="宋体"/>
                <w:vanish/>
              </w:rPr>
            </w:pPr>
          </w:p>
        </w:tc>
        <w:tc>
          <w:tcPr>
            <w:tcW w:w="0" w:type="auto"/>
            <w:gridSpan w:val="3"/>
            <w:shd w:val="clear" w:color="auto" w:fill="auto"/>
          </w:tcPr>
          <w:p w14:paraId="5EA241C9" w14:textId="77777777" w:rsidR="003C66EB" w:rsidRDefault="003C66EB">
            <w:pPr>
              <w:rPr>
                <w:rFonts w:ascii="宋体"/>
                <w:vanish/>
              </w:rPr>
            </w:pPr>
          </w:p>
        </w:tc>
        <w:tc>
          <w:tcPr>
            <w:tcW w:w="0" w:type="auto"/>
            <w:gridSpan w:val="3"/>
            <w:shd w:val="clear" w:color="auto" w:fill="auto"/>
          </w:tcPr>
          <w:p w14:paraId="5EA241CA" w14:textId="77777777" w:rsidR="003C66EB" w:rsidRDefault="003C66EB">
            <w:pPr>
              <w:rPr>
                <w:rFonts w:ascii="宋体"/>
                <w:vanish/>
              </w:rPr>
            </w:pPr>
          </w:p>
        </w:tc>
        <w:tc>
          <w:tcPr>
            <w:tcW w:w="0" w:type="auto"/>
            <w:gridSpan w:val="3"/>
            <w:shd w:val="clear" w:color="auto" w:fill="auto"/>
          </w:tcPr>
          <w:p w14:paraId="5EA241CB" w14:textId="77777777" w:rsidR="003C66EB" w:rsidRDefault="003C66EB">
            <w:pPr>
              <w:rPr>
                <w:rFonts w:ascii="宋体"/>
                <w:vanish/>
              </w:rPr>
            </w:pPr>
          </w:p>
        </w:tc>
        <w:tc>
          <w:tcPr>
            <w:tcW w:w="0" w:type="auto"/>
            <w:gridSpan w:val="3"/>
            <w:shd w:val="clear" w:color="auto" w:fill="auto"/>
          </w:tcPr>
          <w:p w14:paraId="5EA241CC" w14:textId="77777777" w:rsidR="003C66EB" w:rsidRDefault="003C66EB">
            <w:pPr>
              <w:rPr>
                <w:rFonts w:ascii="宋体"/>
                <w:vanish/>
              </w:rPr>
            </w:pPr>
          </w:p>
        </w:tc>
        <w:tc>
          <w:tcPr>
            <w:tcW w:w="0" w:type="auto"/>
            <w:gridSpan w:val="3"/>
            <w:shd w:val="clear" w:color="auto" w:fill="auto"/>
          </w:tcPr>
          <w:p w14:paraId="5EA241CD" w14:textId="77777777" w:rsidR="003C66EB" w:rsidRDefault="003C66EB">
            <w:pPr>
              <w:rPr>
                <w:rFonts w:ascii="宋体"/>
                <w:vanish/>
              </w:rPr>
            </w:pPr>
          </w:p>
        </w:tc>
        <w:tc>
          <w:tcPr>
            <w:tcW w:w="0" w:type="auto"/>
            <w:gridSpan w:val="3"/>
            <w:shd w:val="clear" w:color="auto" w:fill="auto"/>
          </w:tcPr>
          <w:p w14:paraId="5EA241CE" w14:textId="77777777" w:rsidR="003C66EB" w:rsidRDefault="003C66EB">
            <w:pPr>
              <w:rPr>
                <w:rFonts w:ascii="宋体"/>
                <w:vanish/>
              </w:rPr>
            </w:pPr>
          </w:p>
        </w:tc>
        <w:tc>
          <w:tcPr>
            <w:tcW w:w="0" w:type="auto"/>
            <w:gridSpan w:val="3"/>
            <w:shd w:val="clear" w:color="auto" w:fill="auto"/>
          </w:tcPr>
          <w:p w14:paraId="5EA241CF" w14:textId="77777777" w:rsidR="003C66EB" w:rsidRDefault="003C66EB">
            <w:pPr>
              <w:rPr>
                <w:rFonts w:ascii="宋体"/>
                <w:vanish/>
              </w:rPr>
            </w:pPr>
          </w:p>
        </w:tc>
        <w:tc>
          <w:tcPr>
            <w:tcW w:w="0" w:type="auto"/>
            <w:gridSpan w:val="3"/>
            <w:shd w:val="clear" w:color="auto" w:fill="auto"/>
          </w:tcPr>
          <w:p w14:paraId="5EA241D0" w14:textId="77777777" w:rsidR="003C66EB" w:rsidRDefault="003C66EB">
            <w:pPr>
              <w:rPr>
                <w:rFonts w:ascii="宋体"/>
                <w:vanish/>
              </w:rPr>
            </w:pPr>
          </w:p>
        </w:tc>
        <w:tc>
          <w:tcPr>
            <w:tcW w:w="0" w:type="auto"/>
            <w:gridSpan w:val="3"/>
            <w:shd w:val="clear" w:color="auto" w:fill="auto"/>
          </w:tcPr>
          <w:p w14:paraId="5EA241D1" w14:textId="77777777" w:rsidR="003C66EB" w:rsidRDefault="003C66EB">
            <w:pPr>
              <w:rPr>
                <w:rFonts w:ascii="宋体"/>
                <w:vanish/>
              </w:rPr>
            </w:pPr>
          </w:p>
        </w:tc>
      </w:tr>
      <w:tr w:rsidR="003C66EB" w14:paraId="5EA241DF" w14:textId="77777777">
        <w:trPr>
          <w:hidden/>
        </w:trPr>
        <w:tc>
          <w:tcPr>
            <w:tcW w:w="0" w:type="auto"/>
            <w:gridSpan w:val="3"/>
            <w:shd w:val="clear" w:color="auto" w:fill="auto"/>
          </w:tcPr>
          <w:p w14:paraId="5EA241D3" w14:textId="77777777" w:rsidR="003C66EB" w:rsidRDefault="003C66EB">
            <w:pPr>
              <w:rPr>
                <w:rFonts w:ascii="宋体"/>
                <w:vanish/>
              </w:rPr>
            </w:pPr>
          </w:p>
        </w:tc>
        <w:tc>
          <w:tcPr>
            <w:tcW w:w="0" w:type="auto"/>
            <w:gridSpan w:val="3"/>
            <w:shd w:val="clear" w:color="auto" w:fill="auto"/>
          </w:tcPr>
          <w:p w14:paraId="5EA241D4" w14:textId="77777777" w:rsidR="003C66EB" w:rsidRDefault="003C66EB">
            <w:pPr>
              <w:rPr>
                <w:rFonts w:ascii="宋体"/>
                <w:vanish/>
              </w:rPr>
            </w:pPr>
          </w:p>
        </w:tc>
        <w:tc>
          <w:tcPr>
            <w:tcW w:w="0" w:type="auto"/>
            <w:gridSpan w:val="3"/>
            <w:shd w:val="clear" w:color="auto" w:fill="auto"/>
          </w:tcPr>
          <w:p w14:paraId="5EA241D5" w14:textId="77777777" w:rsidR="003C66EB" w:rsidRDefault="003C66EB">
            <w:pPr>
              <w:rPr>
                <w:rFonts w:ascii="宋体"/>
                <w:vanish/>
              </w:rPr>
            </w:pPr>
          </w:p>
        </w:tc>
        <w:tc>
          <w:tcPr>
            <w:tcW w:w="0" w:type="auto"/>
            <w:gridSpan w:val="3"/>
            <w:shd w:val="clear" w:color="auto" w:fill="auto"/>
          </w:tcPr>
          <w:p w14:paraId="5EA241D6" w14:textId="77777777" w:rsidR="003C66EB" w:rsidRDefault="003C66EB">
            <w:pPr>
              <w:rPr>
                <w:rFonts w:ascii="宋体"/>
                <w:vanish/>
              </w:rPr>
            </w:pPr>
          </w:p>
        </w:tc>
        <w:tc>
          <w:tcPr>
            <w:tcW w:w="0" w:type="auto"/>
            <w:gridSpan w:val="3"/>
            <w:shd w:val="clear" w:color="auto" w:fill="auto"/>
          </w:tcPr>
          <w:p w14:paraId="5EA241D7" w14:textId="77777777" w:rsidR="003C66EB" w:rsidRDefault="003C66EB">
            <w:pPr>
              <w:rPr>
                <w:rFonts w:ascii="宋体"/>
                <w:vanish/>
              </w:rPr>
            </w:pPr>
          </w:p>
        </w:tc>
        <w:tc>
          <w:tcPr>
            <w:tcW w:w="0" w:type="auto"/>
            <w:gridSpan w:val="3"/>
            <w:shd w:val="clear" w:color="auto" w:fill="auto"/>
          </w:tcPr>
          <w:p w14:paraId="5EA241D8" w14:textId="77777777" w:rsidR="003C66EB" w:rsidRDefault="003C66EB">
            <w:pPr>
              <w:rPr>
                <w:rFonts w:ascii="宋体"/>
                <w:vanish/>
              </w:rPr>
            </w:pPr>
          </w:p>
        </w:tc>
        <w:tc>
          <w:tcPr>
            <w:tcW w:w="0" w:type="auto"/>
            <w:gridSpan w:val="3"/>
            <w:shd w:val="clear" w:color="auto" w:fill="auto"/>
          </w:tcPr>
          <w:p w14:paraId="5EA241D9" w14:textId="77777777" w:rsidR="003C66EB" w:rsidRDefault="003C66EB">
            <w:pPr>
              <w:rPr>
                <w:rFonts w:ascii="宋体"/>
                <w:vanish/>
              </w:rPr>
            </w:pPr>
          </w:p>
        </w:tc>
        <w:tc>
          <w:tcPr>
            <w:tcW w:w="0" w:type="auto"/>
            <w:gridSpan w:val="3"/>
            <w:shd w:val="clear" w:color="auto" w:fill="auto"/>
          </w:tcPr>
          <w:p w14:paraId="5EA241DA" w14:textId="77777777" w:rsidR="003C66EB" w:rsidRDefault="003C66EB">
            <w:pPr>
              <w:rPr>
                <w:rFonts w:ascii="宋体"/>
                <w:vanish/>
              </w:rPr>
            </w:pPr>
          </w:p>
        </w:tc>
        <w:tc>
          <w:tcPr>
            <w:tcW w:w="0" w:type="auto"/>
            <w:gridSpan w:val="3"/>
            <w:shd w:val="clear" w:color="auto" w:fill="auto"/>
          </w:tcPr>
          <w:p w14:paraId="5EA241DB" w14:textId="77777777" w:rsidR="003C66EB" w:rsidRDefault="003C66EB">
            <w:pPr>
              <w:rPr>
                <w:rFonts w:ascii="宋体"/>
                <w:vanish/>
              </w:rPr>
            </w:pPr>
          </w:p>
        </w:tc>
        <w:tc>
          <w:tcPr>
            <w:tcW w:w="0" w:type="auto"/>
            <w:gridSpan w:val="3"/>
            <w:shd w:val="clear" w:color="auto" w:fill="auto"/>
          </w:tcPr>
          <w:p w14:paraId="5EA241DC" w14:textId="77777777" w:rsidR="003C66EB" w:rsidRDefault="003C66EB">
            <w:pPr>
              <w:rPr>
                <w:rFonts w:ascii="宋体"/>
                <w:vanish/>
              </w:rPr>
            </w:pPr>
          </w:p>
        </w:tc>
        <w:tc>
          <w:tcPr>
            <w:tcW w:w="0" w:type="auto"/>
            <w:gridSpan w:val="3"/>
            <w:shd w:val="clear" w:color="auto" w:fill="auto"/>
          </w:tcPr>
          <w:p w14:paraId="5EA241DD" w14:textId="77777777" w:rsidR="003C66EB" w:rsidRDefault="003C66EB">
            <w:pPr>
              <w:rPr>
                <w:rFonts w:ascii="宋体"/>
                <w:vanish/>
              </w:rPr>
            </w:pPr>
          </w:p>
        </w:tc>
        <w:tc>
          <w:tcPr>
            <w:tcW w:w="0" w:type="auto"/>
            <w:gridSpan w:val="3"/>
            <w:shd w:val="clear" w:color="auto" w:fill="auto"/>
          </w:tcPr>
          <w:p w14:paraId="5EA241DE" w14:textId="77777777" w:rsidR="003C66EB" w:rsidRDefault="003C66EB">
            <w:pPr>
              <w:rPr>
                <w:rFonts w:ascii="宋体"/>
                <w:vanish/>
              </w:rPr>
            </w:pPr>
          </w:p>
        </w:tc>
      </w:tr>
      <w:tr w:rsidR="003C66EB" w14:paraId="5EA241EC" w14:textId="77777777">
        <w:trPr>
          <w:hidden/>
        </w:trPr>
        <w:tc>
          <w:tcPr>
            <w:tcW w:w="0" w:type="auto"/>
            <w:gridSpan w:val="3"/>
            <w:shd w:val="clear" w:color="auto" w:fill="auto"/>
          </w:tcPr>
          <w:p w14:paraId="5EA241E0" w14:textId="77777777" w:rsidR="003C66EB" w:rsidRDefault="003C66EB">
            <w:pPr>
              <w:rPr>
                <w:rFonts w:ascii="宋体"/>
                <w:vanish/>
              </w:rPr>
            </w:pPr>
          </w:p>
        </w:tc>
        <w:tc>
          <w:tcPr>
            <w:tcW w:w="0" w:type="auto"/>
            <w:gridSpan w:val="3"/>
            <w:shd w:val="clear" w:color="auto" w:fill="auto"/>
          </w:tcPr>
          <w:p w14:paraId="5EA241E1" w14:textId="77777777" w:rsidR="003C66EB" w:rsidRDefault="003C66EB">
            <w:pPr>
              <w:rPr>
                <w:rFonts w:ascii="宋体"/>
                <w:vanish/>
              </w:rPr>
            </w:pPr>
          </w:p>
        </w:tc>
        <w:tc>
          <w:tcPr>
            <w:tcW w:w="0" w:type="auto"/>
            <w:gridSpan w:val="3"/>
            <w:shd w:val="clear" w:color="auto" w:fill="auto"/>
          </w:tcPr>
          <w:p w14:paraId="5EA241E2" w14:textId="77777777" w:rsidR="003C66EB" w:rsidRDefault="003C66EB">
            <w:pPr>
              <w:rPr>
                <w:rFonts w:ascii="宋体"/>
                <w:vanish/>
              </w:rPr>
            </w:pPr>
          </w:p>
        </w:tc>
        <w:tc>
          <w:tcPr>
            <w:tcW w:w="0" w:type="auto"/>
            <w:gridSpan w:val="3"/>
            <w:shd w:val="clear" w:color="auto" w:fill="auto"/>
          </w:tcPr>
          <w:p w14:paraId="5EA241E3" w14:textId="77777777" w:rsidR="003C66EB" w:rsidRDefault="003C66EB">
            <w:pPr>
              <w:rPr>
                <w:rFonts w:ascii="宋体"/>
                <w:vanish/>
              </w:rPr>
            </w:pPr>
          </w:p>
        </w:tc>
        <w:tc>
          <w:tcPr>
            <w:tcW w:w="0" w:type="auto"/>
            <w:gridSpan w:val="3"/>
            <w:shd w:val="clear" w:color="auto" w:fill="auto"/>
          </w:tcPr>
          <w:p w14:paraId="5EA241E4" w14:textId="77777777" w:rsidR="003C66EB" w:rsidRDefault="003C66EB">
            <w:pPr>
              <w:rPr>
                <w:rFonts w:ascii="宋体"/>
                <w:vanish/>
              </w:rPr>
            </w:pPr>
          </w:p>
        </w:tc>
        <w:tc>
          <w:tcPr>
            <w:tcW w:w="0" w:type="auto"/>
            <w:gridSpan w:val="3"/>
            <w:shd w:val="clear" w:color="auto" w:fill="auto"/>
          </w:tcPr>
          <w:p w14:paraId="5EA241E5" w14:textId="77777777" w:rsidR="003C66EB" w:rsidRDefault="003C66EB">
            <w:pPr>
              <w:rPr>
                <w:rFonts w:ascii="宋体"/>
                <w:vanish/>
              </w:rPr>
            </w:pPr>
          </w:p>
        </w:tc>
        <w:tc>
          <w:tcPr>
            <w:tcW w:w="0" w:type="auto"/>
            <w:gridSpan w:val="3"/>
            <w:shd w:val="clear" w:color="auto" w:fill="auto"/>
          </w:tcPr>
          <w:p w14:paraId="5EA241E6" w14:textId="77777777" w:rsidR="003C66EB" w:rsidRDefault="003C66EB">
            <w:pPr>
              <w:rPr>
                <w:rFonts w:ascii="宋体"/>
                <w:vanish/>
              </w:rPr>
            </w:pPr>
          </w:p>
        </w:tc>
        <w:tc>
          <w:tcPr>
            <w:tcW w:w="0" w:type="auto"/>
            <w:gridSpan w:val="3"/>
            <w:shd w:val="clear" w:color="auto" w:fill="auto"/>
          </w:tcPr>
          <w:p w14:paraId="5EA241E7" w14:textId="77777777" w:rsidR="003C66EB" w:rsidRDefault="003C66EB">
            <w:pPr>
              <w:rPr>
                <w:rFonts w:ascii="宋体"/>
                <w:vanish/>
              </w:rPr>
            </w:pPr>
          </w:p>
        </w:tc>
        <w:tc>
          <w:tcPr>
            <w:tcW w:w="0" w:type="auto"/>
            <w:gridSpan w:val="3"/>
            <w:shd w:val="clear" w:color="auto" w:fill="auto"/>
          </w:tcPr>
          <w:p w14:paraId="5EA241E8" w14:textId="77777777" w:rsidR="003C66EB" w:rsidRDefault="003C66EB">
            <w:pPr>
              <w:rPr>
                <w:rFonts w:ascii="宋体"/>
                <w:vanish/>
              </w:rPr>
            </w:pPr>
          </w:p>
        </w:tc>
        <w:tc>
          <w:tcPr>
            <w:tcW w:w="0" w:type="auto"/>
            <w:gridSpan w:val="3"/>
            <w:shd w:val="clear" w:color="auto" w:fill="auto"/>
          </w:tcPr>
          <w:p w14:paraId="5EA241E9" w14:textId="77777777" w:rsidR="003C66EB" w:rsidRDefault="003C66EB">
            <w:pPr>
              <w:rPr>
                <w:rFonts w:ascii="宋体"/>
                <w:vanish/>
              </w:rPr>
            </w:pPr>
          </w:p>
        </w:tc>
        <w:tc>
          <w:tcPr>
            <w:tcW w:w="0" w:type="auto"/>
            <w:gridSpan w:val="3"/>
            <w:shd w:val="clear" w:color="auto" w:fill="auto"/>
          </w:tcPr>
          <w:p w14:paraId="5EA241EA" w14:textId="77777777" w:rsidR="003C66EB" w:rsidRDefault="003C66EB">
            <w:pPr>
              <w:rPr>
                <w:rFonts w:ascii="宋体"/>
                <w:vanish/>
              </w:rPr>
            </w:pPr>
          </w:p>
        </w:tc>
        <w:tc>
          <w:tcPr>
            <w:tcW w:w="0" w:type="auto"/>
            <w:gridSpan w:val="3"/>
            <w:shd w:val="clear" w:color="auto" w:fill="auto"/>
          </w:tcPr>
          <w:p w14:paraId="5EA241EB" w14:textId="77777777" w:rsidR="003C66EB" w:rsidRDefault="003C66EB">
            <w:pPr>
              <w:rPr>
                <w:rFonts w:ascii="宋体"/>
                <w:vanish/>
              </w:rPr>
            </w:pPr>
          </w:p>
        </w:tc>
      </w:tr>
      <w:tr w:rsidR="003C66EB" w14:paraId="5EA241F9" w14:textId="77777777">
        <w:trPr>
          <w:hidden/>
        </w:trPr>
        <w:tc>
          <w:tcPr>
            <w:tcW w:w="0" w:type="auto"/>
            <w:gridSpan w:val="3"/>
            <w:shd w:val="clear" w:color="auto" w:fill="auto"/>
          </w:tcPr>
          <w:p w14:paraId="5EA241ED" w14:textId="77777777" w:rsidR="003C66EB" w:rsidRDefault="003C66EB">
            <w:pPr>
              <w:rPr>
                <w:rFonts w:ascii="宋体"/>
                <w:vanish/>
              </w:rPr>
            </w:pPr>
          </w:p>
        </w:tc>
        <w:tc>
          <w:tcPr>
            <w:tcW w:w="0" w:type="auto"/>
            <w:gridSpan w:val="3"/>
            <w:shd w:val="clear" w:color="auto" w:fill="auto"/>
          </w:tcPr>
          <w:p w14:paraId="5EA241EE" w14:textId="77777777" w:rsidR="003C66EB" w:rsidRDefault="003C66EB">
            <w:pPr>
              <w:rPr>
                <w:rFonts w:ascii="宋体"/>
                <w:vanish/>
              </w:rPr>
            </w:pPr>
          </w:p>
        </w:tc>
        <w:tc>
          <w:tcPr>
            <w:tcW w:w="0" w:type="auto"/>
            <w:gridSpan w:val="3"/>
            <w:shd w:val="clear" w:color="auto" w:fill="auto"/>
          </w:tcPr>
          <w:p w14:paraId="5EA241EF" w14:textId="77777777" w:rsidR="003C66EB" w:rsidRDefault="003C66EB">
            <w:pPr>
              <w:rPr>
                <w:rFonts w:ascii="宋体"/>
                <w:vanish/>
              </w:rPr>
            </w:pPr>
          </w:p>
        </w:tc>
        <w:tc>
          <w:tcPr>
            <w:tcW w:w="0" w:type="auto"/>
            <w:gridSpan w:val="3"/>
            <w:shd w:val="clear" w:color="auto" w:fill="auto"/>
          </w:tcPr>
          <w:p w14:paraId="5EA241F0" w14:textId="77777777" w:rsidR="003C66EB" w:rsidRDefault="003C66EB">
            <w:pPr>
              <w:rPr>
                <w:rFonts w:ascii="宋体"/>
                <w:vanish/>
              </w:rPr>
            </w:pPr>
          </w:p>
        </w:tc>
        <w:tc>
          <w:tcPr>
            <w:tcW w:w="0" w:type="auto"/>
            <w:gridSpan w:val="3"/>
            <w:shd w:val="clear" w:color="auto" w:fill="auto"/>
          </w:tcPr>
          <w:p w14:paraId="5EA241F1" w14:textId="77777777" w:rsidR="003C66EB" w:rsidRDefault="003C66EB">
            <w:pPr>
              <w:rPr>
                <w:rFonts w:ascii="宋体"/>
                <w:vanish/>
              </w:rPr>
            </w:pPr>
          </w:p>
        </w:tc>
        <w:tc>
          <w:tcPr>
            <w:tcW w:w="0" w:type="auto"/>
            <w:gridSpan w:val="3"/>
            <w:shd w:val="clear" w:color="auto" w:fill="auto"/>
          </w:tcPr>
          <w:p w14:paraId="5EA241F2" w14:textId="77777777" w:rsidR="003C66EB" w:rsidRDefault="003C66EB">
            <w:pPr>
              <w:rPr>
                <w:rFonts w:ascii="宋体"/>
                <w:vanish/>
              </w:rPr>
            </w:pPr>
          </w:p>
        </w:tc>
        <w:tc>
          <w:tcPr>
            <w:tcW w:w="0" w:type="auto"/>
            <w:gridSpan w:val="3"/>
            <w:shd w:val="clear" w:color="auto" w:fill="auto"/>
          </w:tcPr>
          <w:p w14:paraId="5EA241F3" w14:textId="77777777" w:rsidR="003C66EB" w:rsidRDefault="003C66EB">
            <w:pPr>
              <w:rPr>
                <w:rFonts w:ascii="宋体"/>
                <w:vanish/>
              </w:rPr>
            </w:pPr>
          </w:p>
        </w:tc>
        <w:tc>
          <w:tcPr>
            <w:tcW w:w="0" w:type="auto"/>
            <w:gridSpan w:val="3"/>
            <w:shd w:val="clear" w:color="auto" w:fill="auto"/>
          </w:tcPr>
          <w:p w14:paraId="5EA241F4" w14:textId="77777777" w:rsidR="003C66EB" w:rsidRDefault="003C66EB">
            <w:pPr>
              <w:rPr>
                <w:rFonts w:ascii="宋体"/>
                <w:vanish/>
              </w:rPr>
            </w:pPr>
          </w:p>
        </w:tc>
        <w:tc>
          <w:tcPr>
            <w:tcW w:w="0" w:type="auto"/>
            <w:gridSpan w:val="3"/>
            <w:shd w:val="clear" w:color="auto" w:fill="auto"/>
          </w:tcPr>
          <w:p w14:paraId="5EA241F5" w14:textId="77777777" w:rsidR="003C66EB" w:rsidRDefault="003C66EB">
            <w:pPr>
              <w:rPr>
                <w:rFonts w:ascii="宋体"/>
                <w:vanish/>
              </w:rPr>
            </w:pPr>
          </w:p>
        </w:tc>
        <w:tc>
          <w:tcPr>
            <w:tcW w:w="0" w:type="auto"/>
            <w:gridSpan w:val="3"/>
            <w:shd w:val="clear" w:color="auto" w:fill="auto"/>
          </w:tcPr>
          <w:p w14:paraId="5EA241F6" w14:textId="77777777" w:rsidR="003C66EB" w:rsidRDefault="003C66EB">
            <w:pPr>
              <w:rPr>
                <w:rFonts w:ascii="宋体"/>
                <w:vanish/>
              </w:rPr>
            </w:pPr>
          </w:p>
        </w:tc>
        <w:tc>
          <w:tcPr>
            <w:tcW w:w="0" w:type="auto"/>
            <w:gridSpan w:val="3"/>
            <w:shd w:val="clear" w:color="auto" w:fill="auto"/>
          </w:tcPr>
          <w:p w14:paraId="5EA241F7" w14:textId="77777777" w:rsidR="003C66EB" w:rsidRDefault="003C66EB">
            <w:pPr>
              <w:rPr>
                <w:rFonts w:ascii="宋体"/>
                <w:vanish/>
              </w:rPr>
            </w:pPr>
          </w:p>
        </w:tc>
        <w:tc>
          <w:tcPr>
            <w:tcW w:w="0" w:type="auto"/>
            <w:gridSpan w:val="3"/>
            <w:shd w:val="clear" w:color="auto" w:fill="auto"/>
          </w:tcPr>
          <w:p w14:paraId="5EA241F8" w14:textId="77777777" w:rsidR="003C66EB" w:rsidRDefault="003C66EB">
            <w:pPr>
              <w:rPr>
                <w:rFonts w:ascii="宋体"/>
                <w:vanish/>
              </w:rPr>
            </w:pPr>
          </w:p>
        </w:tc>
      </w:tr>
      <w:tr w:rsidR="003C66EB" w14:paraId="5EA24206" w14:textId="77777777">
        <w:trPr>
          <w:hidden/>
        </w:trPr>
        <w:tc>
          <w:tcPr>
            <w:tcW w:w="0" w:type="auto"/>
            <w:gridSpan w:val="3"/>
            <w:shd w:val="clear" w:color="auto" w:fill="auto"/>
          </w:tcPr>
          <w:p w14:paraId="5EA241FA" w14:textId="77777777" w:rsidR="003C66EB" w:rsidRDefault="003C66EB">
            <w:pPr>
              <w:rPr>
                <w:rFonts w:ascii="宋体"/>
                <w:vanish/>
              </w:rPr>
            </w:pPr>
          </w:p>
        </w:tc>
        <w:tc>
          <w:tcPr>
            <w:tcW w:w="0" w:type="auto"/>
            <w:gridSpan w:val="3"/>
            <w:shd w:val="clear" w:color="auto" w:fill="auto"/>
          </w:tcPr>
          <w:p w14:paraId="5EA241FB" w14:textId="77777777" w:rsidR="003C66EB" w:rsidRDefault="003C66EB">
            <w:pPr>
              <w:rPr>
                <w:rFonts w:ascii="宋体"/>
                <w:vanish/>
              </w:rPr>
            </w:pPr>
          </w:p>
        </w:tc>
        <w:tc>
          <w:tcPr>
            <w:tcW w:w="0" w:type="auto"/>
            <w:gridSpan w:val="3"/>
            <w:shd w:val="clear" w:color="auto" w:fill="auto"/>
          </w:tcPr>
          <w:p w14:paraId="5EA241FC" w14:textId="77777777" w:rsidR="003C66EB" w:rsidRDefault="003C66EB">
            <w:pPr>
              <w:rPr>
                <w:rFonts w:ascii="宋体"/>
                <w:vanish/>
              </w:rPr>
            </w:pPr>
          </w:p>
        </w:tc>
        <w:tc>
          <w:tcPr>
            <w:tcW w:w="0" w:type="auto"/>
            <w:gridSpan w:val="3"/>
            <w:shd w:val="clear" w:color="auto" w:fill="auto"/>
          </w:tcPr>
          <w:p w14:paraId="5EA241FD" w14:textId="77777777" w:rsidR="003C66EB" w:rsidRDefault="003C66EB">
            <w:pPr>
              <w:rPr>
                <w:rFonts w:ascii="宋体"/>
                <w:vanish/>
              </w:rPr>
            </w:pPr>
          </w:p>
        </w:tc>
        <w:tc>
          <w:tcPr>
            <w:tcW w:w="0" w:type="auto"/>
            <w:gridSpan w:val="3"/>
            <w:shd w:val="clear" w:color="auto" w:fill="auto"/>
          </w:tcPr>
          <w:p w14:paraId="5EA241FE" w14:textId="77777777" w:rsidR="003C66EB" w:rsidRDefault="003C66EB">
            <w:pPr>
              <w:rPr>
                <w:rFonts w:ascii="宋体"/>
                <w:vanish/>
              </w:rPr>
            </w:pPr>
          </w:p>
        </w:tc>
        <w:tc>
          <w:tcPr>
            <w:tcW w:w="0" w:type="auto"/>
            <w:gridSpan w:val="3"/>
            <w:shd w:val="clear" w:color="auto" w:fill="auto"/>
          </w:tcPr>
          <w:p w14:paraId="5EA241FF" w14:textId="77777777" w:rsidR="003C66EB" w:rsidRDefault="003C66EB">
            <w:pPr>
              <w:rPr>
                <w:rFonts w:ascii="宋体"/>
                <w:vanish/>
              </w:rPr>
            </w:pPr>
          </w:p>
        </w:tc>
        <w:tc>
          <w:tcPr>
            <w:tcW w:w="0" w:type="auto"/>
            <w:gridSpan w:val="3"/>
            <w:shd w:val="clear" w:color="auto" w:fill="auto"/>
          </w:tcPr>
          <w:p w14:paraId="5EA24200" w14:textId="77777777" w:rsidR="003C66EB" w:rsidRDefault="003C66EB">
            <w:pPr>
              <w:rPr>
                <w:rFonts w:ascii="宋体"/>
                <w:vanish/>
              </w:rPr>
            </w:pPr>
          </w:p>
        </w:tc>
        <w:tc>
          <w:tcPr>
            <w:tcW w:w="0" w:type="auto"/>
            <w:gridSpan w:val="3"/>
            <w:shd w:val="clear" w:color="auto" w:fill="auto"/>
          </w:tcPr>
          <w:p w14:paraId="5EA24201" w14:textId="77777777" w:rsidR="003C66EB" w:rsidRDefault="003C66EB">
            <w:pPr>
              <w:rPr>
                <w:rFonts w:ascii="宋体"/>
                <w:vanish/>
              </w:rPr>
            </w:pPr>
          </w:p>
        </w:tc>
        <w:tc>
          <w:tcPr>
            <w:tcW w:w="0" w:type="auto"/>
            <w:gridSpan w:val="3"/>
            <w:shd w:val="clear" w:color="auto" w:fill="auto"/>
          </w:tcPr>
          <w:p w14:paraId="5EA24202" w14:textId="77777777" w:rsidR="003C66EB" w:rsidRDefault="003C66EB">
            <w:pPr>
              <w:rPr>
                <w:rFonts w:ascii="宋体"/>
                <w:vanish/>
              </w:rPr>
            </w:pPr>
          </w:p>
        </w:tc>
        <w:tc>
          <w:tcPr>
            <w:tcW w:w="0" w:type="auto"/>
            <w:gridSpan w:val="3"/>
            <w:shd w:val="clear" w:color="auto" w:fill="auto"/>
          </w:tcPr>
          <w:p w14:paraId="5EA24203" w14:textId="77777777" w:rsidR="003C66EB" w:rsidRDefault="003C66EB">
            <w:pPr>
              <w:rPr>
                <w:rFonts w:ascii="宋体"/>
                <w:vanish/>
              </w:rPr>
            </w:pPr>
          </w:p>
        </w:tc>
        <w:tc>
          <w:tcPr>
            <w:tcW w:w="0" w:type="auto"/>
            <w:gridSpan w:val="3"/>
            <w:shd w:val="clear" w:color="auto" w:fill="auto"/>
          </w:tcPr>
          <w:p w14:paraId="5EA24204" w14:textId="77777777" w:rsidR="003C66EB" w:rsidRDefault="003C66EB">
            <w:pPr>
              <w:rPr>
                <w:rFonts w:ascii="宋体"/>
                <w:vanish/>
              </w:rPr>
            </w:pPr>
          </w:p>
        </w:tc>
        <w:tc>
          <w:tcPr>
            <w:tcW w:w="0" w:type="auto"/>
            <w:gridSpan w:val="3"/>
            <w:shd w:val="clear" w:color="auto" w:fill="auto"/>
          </w:tcPr>
          <w:p w14:paraId="5EA24205" w14:textId="77777777" w:rsidR="003C66EB" w:rsidRDefault="003C66EB">
            <w:pPr>
              <w:rPr>
                <w:rFonts w:ascii="宋体"/>
                <w:vanish/>
              </w:rPr>
            </w:pPr>
          </w:p>
        </w:tc>
      </w:tr>
      <w:tr w:rsidR="003C66EB" w14:paraId="5EA24213" w14:textId="77777777">
        <w:trPr>
          <w:hidden/>
        </w:trPr>
        <w:tc>
          <w:tcPr>
            <w:tcW w:w="0" w:type="auto"/>
            <w:gridSpan w:val="3"/>
            <w:shd w:val="clear" w:color="auto" w:fill="auto"/>
          </w:tcPr>
          <w:p w14:paraId="5EA24207" w14:textId="77777777" w:rsidR="003C66EB" w:rsidRDefault="003C66EB">
            <w:pPr>
              <w:rPr>
                <w:rFonts w:ascii="宋体"/>
                <w:vanish/>
              </w:rPr>
            </w:pPr>
          </w:p>
        </w:tc>
        <w:tc>
          <w:tcPr>
            <w:tcW w:w="0" w:type="auto"/>
            <w:gridSpan w:val="3"/>
            <w:shd w:val="clear" w:color="auto" w:fill="auto"/>
          </w:tcPr>
          <w:p w14:paraId="5EA24208" w14:textId="77777777" w:rsidR="003C66EB" w:rsidRDefault="003C66EB">
            <w:pPr>
              <w:rPr>
                <w:rFonts w:ascii="宋体"/>
                <w:vanish/>
              </w:rPr>
            </w:pPr>
          </w:p>
        </w:tc>
        <w:tc>
          <w:tcPr>
            <w:tcW w:w="0" w:type="auto"/>
            <w:gridSpan w:val="3"/>
            <w:shd w:val="clear" w:color="auto" w:fill="auto"/>
          </w:tcPr>
          <w:p w14:paraId="5EA24209" w14:textId="77777777" w:rsidR="003C66EB" w:rsidRDefault="003C66EB">
            <w:pPr>
              <w:rPr>
                <w:rFonts w:ascii="宋体"/>
                <w:vanish/>
              </w:rPr>
            </w:pPr>
          </w:p>
        </w:tc>
        <w:tc>
          <w:tcPr>
            <w:tcW w:w="0" w:type="auto"/>
            <w:gridSpan w:val="3"/>
            <w:shd w:val="clear" w:color="auto" w:fill="auto"/>
          </w:tcPr>
          <w:p w14:paraId="5EA2420A" w14:textId="77777777" w:rsidR="003C66EB" w:rsidRDefault="003C66EB">
            <w:pPr>
              <w:rPr>
                <w:rFonts w:ascii="宋体"/>
                <w:vanish/>
              </w:rPr>
            </w:pPr>
          </w:p>
        </w:tc>
        <w:tc>
          <w:tcPr>
            <w:tcW w:w="0" w:type="auto"/>
            <w:gridSpan w:val="3"/>
            <w:shd w:val="clear" w:color="auto" w:fill="auto"/>
          </w:tcPr>
          <w:p w14:paraId="5EA2420B" w14:textId="77777777" w:rsidR="003C66EB" w:rsidRDefault="003C66EB">
            <w:pPr>
              <w:rPr>
                <w:rFonts w:ascii="宋体"/>
                <w:vanish/>
              </w:rPr>
            </w:pPr>
          </w:p>
        </w:tc>
        <w:tc>
          <w:tcPr>
            <w:tcW w:w="0" w:type="auto"/>
            <w:gridSpan w:val="3"/>
            <w:shd w:val="clear" w:color="auto" w:fill="auto"/>
          </w:tcPr>
          <w:p w14:paraId="5EA2420C" w14:textId="77777777" w:rsidR="003C66EB" w:rsidRDefault="003C66EB">
            <w:pPr>
              <w:rPr>
                <w:rFonts w:ascii="宋体"/>
                <w:vanish/>
              </w:rPr>
            </w:pPr>
          </w:p>
        </w:tc>
        <w:tc>
          <w:tcPr>
            <w:tcW w:w="0" w:type="auto"/>
            <w:gridSpan w:val="3"/>
            <w:shd w:val="clear" w:color="auto" w:fill="auto"/>
          </w:tcPr>
          <w:p w14:paraId="5EA2420D" w14:textId="77777777" w:rsidR="003C66EB" w:rsidRDefault="003C66EB">
            <w:pPr>
              <w:rPr>
                <w:rFonts w:ascii="宋体"/>
                <w:vanish/>
              </w:rPr>
            </w:pPr>
          </w:p>
        </w:tc>
        <w:tc>
          <w:tcPr>
            <w:tcW w:w="0" w:type="auto"/>
            <w:gridSpan w:val="3"/>
            <w:shd w:val="clear" w:color="auto" w:fill="auto"/>
          </w:tcPr>
          <w:p w14:paraId="5EA2420E" w14:textId="77777777" w:rsidR="003C66EB" w:rsidRDefault="003C66EB">
            <w:pPr>
              <w:rPr>
                <w:rFonts w:ascii="宋体"/>
                <w:vanish/>
              </w:rPr>
            </w:pPr>
          </w:p>
        </w:tc>
        <w:tc>
          <w:tcPr>
            <w:tcW w:w="0" w:type="auto"/>
            <w:gridSpan w:val="3"/>
            <w:shd w:val="clear" w:color="auto" w:fill="auto"/>
          </w:tcPr>
          <w:p w14:paraId="5EA2420F" w14:textId="77777777" w:rsidR="003C66EB" w:rsidRDefault="003C66EB">
            <w:pPr>
              <w:rPr>
                <w:rFonts w:ascii="宋体"/>
                <w:vanish/>
              </w:rPr>
            </w:pPr>
          </w:p>
        </w:tc>
        <w:tc>
          <w:tcPr>
            <w:tcW w:w="0" w:type="auto"/>
            <w:gridSpan w:val="3"/>
            <w:shd w:val="clear" w:color="auto" w:fill="auto"/>
          </w:tcPr>
          <w:p w14:paraId="5EA24210" w14:textId="77777777" w:rsidR="003C66EB" w:rsidRDefault="003C66EB">
            <w:pPr>
              <w:rPr>
                <w:rFonts w:ascii="宋体"/>
                <w:vanish/>
              </w:rPr>
            </w:pPr>
          </w:p>
        </w:tc>
        <w:tc>
          <w:tcPr>
            <w:tcW w:w="0" w:type="auto"/>
            <w:gridSpan w:val="3"/>
            <w:shd w:val="clear" w:color="auto" w:fill="auto"/>
          </w:tcPr>
          <w:p w14:paraId="5EA24211" w14:textId="77777777" w:rsidR="003C66EB" w:rsidRDefault="003C66EB">
            <w:pPr>
              <w:rPr>
                <w:rFonts w:ascii="宋体"/>
                <w:vanish/>
              </w:rPr>
            </w:pPr>
          </w:p>
        </w:tc>
        <w:tc>
          <w:tcPr>
            <w:tcW w:w="0" w:type="auto"/>
            <w:gridSpan w:val="3"/>
            <w:shd w:val="clear" w:color="auto" w:fill="auto"/>
          </w:tcPr>
          <w:p w14:paraId="5EA24212" w14:textId="77777777" w:rsidR="003C66EB" w:rsidRDefault="003C66EB">
            <w:pPr>
              <w:rPr>
                <w:rFonts w:ascii="宋体"/>
                <w:vanish/>
              </w:rPr>
            </w:pPr>
          </w:p>
        </w:tc>
      </w:tr>
      <w:tr w:rsidR="003C66EB" w14:paraId="5EA24220" w14:textId="77777777">
        <w:trPr>
          <w:hidden/>
        </w:trPr>
        <w:tc>
          <w:tcPr>
            <w:tcW w:w="0" w:type="auto"/>
            <w:gridSpan w:val="3"/>
            <w:shd w:val="clear" w:color="auto" w:fill="auto"/>
          </w:tcPr>
          <w:p w14:paraId="5EA24214" w14:textId="77777777" w:rsidR="003C66EB" w:rsidRDefault="003C66EB">
            <w:pPr>
              <w:rPr>
                <w:rFonts w:ascii="宋体"/>
                <w:vanish/>
              </w:rPr>
            </w:pPr>
          </w:p>
        </w:tc>
        <w:tc>
          <w:tcPr>
            <w:tcW w:w="0" w:type="auto"/>
            <w:gridSpan w:val="3"/>
            <w:shd w:val="clear" w:color="auto" w:fill="auto"/>
          </w:tcPr>
          <w:p w14:paraId="5EA24215" w14:textId="77777777" w:rsidR="003C66EB" w:rsidRDefault="003C66EB">
            <w:pPr>
              <w:rPr>
                <w:rFonts w:ascii="宋体"/>
                <w:vanish/>
              </w:rPr>
            </w:pPr>
          </w:p>
        </w:tc>
        <w:tc>
          <w:tcPr>
            <w:tcW w:w="0" w:type="auto"/>
            <w:gridSpan w:val="3"/>
            <w:shd w:val="clear" w:color="auto" w:fill="auto"/>
          </w:tcPr>
          <w:p w14:paraId="5EA24216" w14:textId="77777777" w:rsidR="003C66EB" w:rsidRDefault="003C66EB">
            <w:pPr>
              <w:rPr>
                <w:rFonts w:ascii="宋体"/>
                <w:vanish/>
              </w:rPr>
            </w:pPr>
          </w:p>
        </w:tc>
        <w:tc>
          <w:tcPr>
            <w:tcW w:w="0" w:type="auto"/>
            <w:gridSpan w:val="3"/>
            <w:shd w:val="clear" w:color="auto" w:fill="auto"/>
          </w:tcPr>
          <w:p w14:paraId="5EA24217" w14:textId="77777777" w:rsidR="003C66EB" w:rsidRDefault="003C66EB">
            <w:pPr>
              <w:rPr>
                <w:rFonts w:ascii="宋体"/>
                <w:vanish/>
              </w:rPr>
            </w:pPr>
          </w:p>
        </w:tc>
        <w:tc>
          <w:tcPr>
            <w:tcW w:w="0" w:type="auto"/>
            <w:gridSpan w:val="3"/>
            <w:shd w:val="clear" w:color="auto" w:fill="auto"/>
          </w:tcPr>
          <w:p w14:paraId="5EA24218" w14:textId="77777777" w:rsidR="003C66EB" w:rsidRDefault="003C66EB">
            <w:pPr>
              <w:rPr>
                <w:rFonts w:ascii="宋体"/>
                <w:vanish/>
              </w:rPr>
            </w:pPr>
          </w:p>
        </w:tc>
        <w:tc>
          <w:tcPr>
            <w:tcW w:w="0" w:type="auto"/>
            <w:gridSpan w:val="3"/>
            <w:shd w:val="clear" w:color="auto" w:fill="auto"/>
          </w:tcPr>
          <w:p w14:paraId="5EA24219" w14:textId="77777777" w:rsidR="003C66EB" w:rsidRDefault="003C66EB">
            <w:pPr>
              <w:rPr>
                <w:rFonts w:ascii="宋体"/>
                <w:vanish/>
              </w:rPr>
            </w:pPr>
          </w:p>
        </w:tc>
        <w:tc>
          <w:tcPr>
            <w:tcW w:w="0" w:type="auto"/>
            <w:gridSpan w:val="3"/>
            <w:shd w:val="clear" w:color="auto" w:fill="auto"/>
          </w:tcPr>
          <w:p w14:paraId="5EA2421A" w14:textId="77777777" w:rsidR="003C66EB" w:rsidRDefault="003C66EB">
            <w:pPr>
              <w:rPr>
                <w:rFonts w:ascii="宋体"/>
                <w:vanish/>
              </w:rPr>
            </w:pPr>
          </w:p>
        </w:tc>
        <w:tc>
          <w:tcPr>
            <w:tcW w:w="0" w:type="auto"/>
            <w:gridSpan w:val="3"/>
            <w:shd w:val="clear" w:color="auto" w:fill="auto"/>
          </w:tcPr>
          <w:p w14:paraId="5EA2421B" w14:textId="77777777" w:rsidR="003C66EB" w:rsidRDefault="003C66EB">
            <w:pPr>
              <w:rPr>
                <w:rFonts w:ascii="宋体"/>
                <w:vanish/>
              </w:rPr>
            </w:pPr>
          </w:p>
        </w:tc>
        <w:tc>
          <w:tcPr>
            <w:tcW w:w="0" w:type="auto"/>
            <w:gridSpan w:val="3"/>
            <w:shd w:val="clear" w:color="auto" w:fill="auto"/>
          </w:tcPr>
          <w:p w14:paraId="5EA2421C" w14:textId="77777777" w:rsidR="003C66EB" w:rsidRDefault="003C66EB">
            <w:pPr>
              <w:rPr>
                <w:rFonts w:ascii="宋体"/>
                <w:vanish/>
              </w:rPr>
            </w:pPr>
          </w:p>
        </w:tc>
        <w:tc>
          <w:tcPr>
            <w:tcW w:w="0" w:type="auto"/>
            <w:gridSpan w:val="3"/>
            <w:shd w:val="clear" w:color="auto" w:fill="auto"/>
          </w:tcPr>
          <w:p w14:paraId="5EA2421D" w14:textId="77777777" w:rsidR="003C66EB" w:rsidRDefault="003C66EB">
            <w:pPr>
              <w:rPr>
                <w:rFonts w:ascii="宋体"/>
                <w:vanish/>
              </w:rPr>
            </w:pPr>
          </w:p>
        </w:tc>
        <w:tc>
          <w:tcPr>
            <w:tcW w:w="0" w:type="auto"/>
            <w:gridSpan w:val="3"/>
            <w:shd w:val="clear" w:color="auto" w:fill="auto"/>
          </w:tcPr>
          <w:p w14:paraId="5EA2421E" w14:textId="77777777" w:rsidR="003C66EB" w:rsidRDefault="003C66EB">
            <w:pPr>
              <w:rPr>
                <w:rFonts w:ascii="宋体"/>
                <w:vanish/>
              </w:rPr>
            </w:pPr>
          </w:p>
        </w:tc>
        <w:tc>
          <w:tcPr>
            <w:tcW w:w="0" w:type="auto"/>
            <w:gridSpan w:val="3"/>
            <w:shd w:val="clear" w:color="auto" w:fill="auto"/>
          </w:tcPr>
          <w:p w14:paraId="5EA2421F" w14:textId="77777777" w:rsidR="003C66EB" w:rsidRDefault="003C66EB">
            <w:pPr>
              <w:rPr>
                <w:rFonts w:ascii="宋体"/>
                <w:vanish/>
              </w:rPr>
            </w:pPr>
          </w:p>
        </w:tc>
      </w:tr>
      <w:tr w:rsidR="003C66EB" w14:paraId="5EA2422D" w14:textId="77777777">
        <w:trPr>
          <w:hidden/>
        </w:trPr>
        <w:tc>
          <w:tcPr>
            <w:tcW w:w="0" w:type="auto"/>
            <w:gridSpan w:val="3"/>
            <w:shd w:val="clear" w:color="auto" w:fill="auto"/>
          </w:tcPr>
          <w:p w14:paraId="5EA24221" w14:textId="77777777" w:rsidR="003C66EB" w:rsidRDefault="003C66EB">
            <w:pPr>
              <w:rPr>
                <w:rFonts w:ascii="宋体"/>
                <w:vanish/>
              </w:rPr>
            </w:pPr>
          </w:p>
        </w:tc>
        <w:tc>
          <w:tcPr>
            <w:tcW w:w="0" w:type="auto"/>
            <w:gridSpan w:val="3"/>
            <w:shd w:val="clear" w:color="auto" w:fill="auto"/>
          </w:tcPr>
          <w:p w14:paraId="5EA24222" w14:textId="77777777" w:rsidR="003C66EB" w:rsidRDefault="003C66EB">
            <w:pPr>
              <w:rPr>
                <w:rFonts w:ascii="宋体"/>
                <w:vanish/>
              </w:rPr>
            </w:pPr>
          </w:p>
        </w:tc>
        <w:tc>
          <w:tcPr>
            <w:tcW w:w="0" w:type="auto"/>
            <w:gridSpan w:val="3"/>
            <w:shd w:val="clear" w:color="auto" w:fill="auto"/>
          </w:tcPr>
          <w:p w14:paraId="5EA24223" w14:textId="77777777" w:rsidR="003C66EB" w:rsidRDefault="003C66EB">
            <w:pPr>
              <w:rPr>
                <w:rFonts w:ascii="宋体"/>
                <w:vanish/>
              </w:rPr>
            </w:pPr>
          </w:p>
        </w:tc>
        <w:tc>
          <w:tcPr>
            <w:tcW w:w="0" w:type="auto"/>
            <w:gridSpan w:val="3"/>
            <w:shd w:val="clear" w:color="auto" w:fill="auto"/>
          </w:tcPr>
          <w:p w14:paraId="5EA24224" w14:textId="77777777" w:rsidR="003C66EB" w:rsidRDefault="003C66EB">
            <w:pPr>
              <w:rPr>
                <w:rFonts w:ascii="宋体"/>
                <w:vanish/>
              </w:rPr>
            </w:pPr>
          </w:p>
        </w:tc>
        <w:tc>
          <w:tcPr>
            <w:tcW w:w="0" w:type="auto"/>
            <w:gridSpan w:val="3"/>
            <w:shd w:val="clear" w:color="auto" w:fill="auto"/>
          </w:tcPr>
          <w:p w14:paraId="5EA24225" w14:textId="77777777" w:rsidR="003C66EB" w:rsidRDefault="003C66EB">
            <w:pPr>
              <w:rPr>
                <w:rFonts w:ascii="宋体"/>
                <w:vanish/>
              </w:rPr>
            </w:pPr>
          </w:p>
        </w:tc>
        <w:tc>
          <w:tcPr>
            <w:tcW w:w="0" w:type="auto"/>
            <w:gridSpan w:val="3"/>
            <w:shd w:val="clear" w:color="auto" w:fill="auto"/>
          </w:tcPr>
          <w:p w14:paraId="5EA24226" w14:textId="77777777" w:rsidR="003C66EB" w:rsidRDefault="003C66EB">
            <w:pPr>
              <w:rPr>
                <w:rFonts w:ascii="宋体"/>
                <w:vanish/>
              </w:rPr>
            </w:pPr>
          </w:p>
        </w:tc>
        <w:tc>
          <w:tcPr>
            <w:tcW w:w="0" w:type="auto"/>
            <w:gridSpan w:val="3"/>
            <w:shd w:val="clear" w:color="auto" w:fill="auto"/>
          </w:tcPr>
          <w:p w14:paraId="5EA24227" w14:textId="77777777" w:rsidR="003C66EB" w:rsidRDefault="003C66EB">
            <w:pPr>
              <w:rPr>
                <w:rFonts w:ascii="宋体"/>
                <w:vanish/>
              </w:rPr>
            </w:pPr>
          </w:p>
        </w:tc>
        <w:tc>
          <w:tcPr>
            <w:tcW w:w="0" w:type="auto"/>
            <w:gridSpan w:val="3"/>
            <w:shd w:val="clear" w:color="auto" w:fill="auto"/>
          </w:tcPr>
          <w:p w14:paraId="5EA24228" w14:textId="77777777" w:rsidR="003C66EB" w:rsidRDefault="003C66EB">
            <w:pPr>
              <w:rPr>
                <w:rFonts w:ascii="宋体"/>
                <w:vanish/>
              </w:rPr>
            </w:pPr>
          </w:p>
        </w:tc>
        <w:tc>
          <w:tcPr>
            <w:tcW w:w="0" w:type="auto"/>
            <w:gridSpan w:val="3"/>
            <w:shd w:val="clear" w:color="auto" w:fill="auto"/>
          </w:tcPr>
          <w:p w14:paraId="5EA24229" w14:textId="77777777" w:rsidR="003C66EB" w:rsidRDefault="003C66EB">
            <w:pPr>
              <w:rPr>
                <w:rFonts w:ascii="宋体"/>
                <w:vanish/>
              </w:rPr>
            </w:pPr>
          </w:p>
        </w:tc>
        <w:tc>
          <w:tcPr>
            <w:tcW w:w="0" w:type="auto"/>
            <w:gridSpan w:val="3"/>
            <w:shd w:val="clear" w:color="auto" w:fill="auto"/>
          </w:tcPr>
          <w:p w14:paraId="5EA2422A" w14:textId="77777777" w:rsidR="003C66EB" w:rsidRDefault="003C66EB">
            <w:pPr>
              <w:rPr>
                <w:rFonts w:ascii="宋体"/>
                <w:vanish/>
              </w:rPr>
            </w:pPr>
          </w:p>
        </w:tc>
        <w:tc>
          <w:tcPr>
            <w:tcW w:w="0" w:type="auto"/>
            <w:gridSpan w:val="3"/>
            <w:shd w:val="clear" w:color="auto" w:fill="auto"/>
          </w:tcPr>
          <w:p w14:paraId="5EA2422B" w14:textId="77777777" w:rsidR="003C66EB" w:rsidRDefault="003C66EB">
            <w:pPr>
              <w:rPr>
                <w:rFonts w:ascii="宋体"/>
                <w:vanish/>
              </w:rPr>
            </w:pPr>
          </w:p>
        </w:tc>
        <w:tc>
          <w:tcPr>
            <w:tcW w:w="0" w:type="auto"/>
            <w:gridSpan w:val="3"/>
            <w:shd w:val="clear" w:color="auto" w:fill="auto"/>
          </w:tcPr>
          <w:p w14:paraId="5EA2422C" w14:textId="77777777" w:rsidR="003C66EB" w:rsidRDefault="003C66EB">
            <w:pPr>
              <w:rPr>
                <w:rFonts w:ascii="宋体"/>
                <w:vanish/>
              </w:rPr>
            </w:pPr>
          </w:p>
        </w:tc>
      </w:tr>
      <w:tr w:rsidR="003C66EB" w14:paraId="5EA2423A" w14:textId="77777777">
        <w:trPr>
          <w:hidden/>
        </w:trPr>
        <w:tc>
          <w:tcPr>
            <w:tcW w:w="0" w:type="auto"/>
            <w:gridSpan w:val="3"/>
            <w:shd w:val="clear" w:color="auto" w:fill="auto"/>
          </w:tcPr>
          <w:p w14:paraId="5EA2422E" w14:textId="77777777" w:rsidR="003C66EB" w:rsidRDefault="003C66EB">
            <w:pPr>
              <w:rPr>
                <w:rFonts w:ascii="宋体"/>
                <w:vanish/>
              </w:rPr>
            </w:pPr>
          </w:p>
        </w:tc>
        <w:tc>
          <w:tcPr>
            <w:tcW w:w="0" w:type="auto"/>
            <w:gridSpan w:val="3"/>
            <w:shd w:val="clear" w:color="auto" w:fill="auto"/>
          </w:tcPr>
          <w:p w14:paraId="5EA2422F" w14:textId="77777777" w:rsidR="003C66EB" w:rsidRDefault="003C66EB">
            <w:pPr>
              <w:rPr>
                <w:rFonts w:ascii="宋体"/>
                <w:vanish/>
              </w:rPr>
            </w:pPr>
          </w:p>
        </w:tc>
        <w:tc>
          <w:tcPr>
            <w:tcW w:w="0" w:type="auto"/>
            <w:gridSpan w:val="3"/>
            <w:shd w:val="clear" w:color="auto" w:fill="auto"/>
          </w:tcPr>
          <w:p w14:paraId="5EA24230" w14:textId="77777777" w:rsidR="003C66EB" w:rsidRDefault="003C66EB">
            <w:pPr>
              <w:rPr>
                <w:rFonts w:ascii="宋体"/>
                <w:vanish/>
              </w:rPr>
            </w:pPr>
          </w:p>
        </w:tc>
        <w:tc>
          <w:tcPr>
            <w:tcW w:w="0" w:type="auto"/>
            <w:gridSpan w:val="3"/>
            <w:shd w:val="clear" w:color="auto" w:fill="auto"/>
          </w:tcPr>
          <w:p w14:paraId="5EA24231" w14:textId="77777777" w:rsidR="003C66EB" w:rsidRDefault="003C66EB">
            <w:pPr>
              <w:rPr>
                <w:rFonts w:ascii="宋体"/>
                <w:vanish/>
              </w:rPr>
            </w:pPr>
          </w:p>
        </w:tc>
        <w:tc>
          <w:tcPr>
            <w:tcW w:w="0" w:type="auto"/>
            <w:gridSpan w:val="3"/>
            <w:shd w:val="clear" w:color="auto" w:fill="auto"/>
          </w:tcPr>
          <w:p w14:paraId="5EA24232" w14:textId="77777777" w:rsidR="003C66EB" w:rsidRDefault="003C66EB">
            <w:pPr>
              <w:rPr>
                <w:rFonts w:ascii="宋体"/>
                <w:vanish/>
              </w:rPr>
            </w:pPr>
          </w:p>
        </w:tc>
        <w:tc>
          <w:tcPr>
            <w:tcW w:w="0" w:type="auto"/>
            <w:gridSpan w:val="3"/>
            <w:shd w:val="clear" w:color="auto" w:fill="auto"/>
          </w:tcPr>
          <w:p w14:paraId="5EA24233" w14:textId="77777777" w:rsidR="003C66EB" w:rsidRDefault="003C66EB">
            <w:pPr>
              <w:rPr>
                <w:rFonts w:ascii="宋体"/>
                <w:vanish/>
              </w:rPr>
            </w:pPr>
          </w:p>
        </w:tc>
        <w:tc>
          <w:tcPr>
            <w:tcW w:w="0" w:type="auto"/>
            <w:gridSpan w:val="3"/>
            <w:shd w:val="clear" w:color="auto" w:fill="auto"/>
          </w:tcPr>
          <w:p w14:paraId="5EA24234" w14:textId="77777777" w:rsidR="003C66EB" w:rsidRDefault="003C66EB">
            <w:pPr>
              <w:rPr>
                <w:rFonts w:ascii="宋体"/>
                <w:vanish/>
              </w:rPr>
            </w:pPr>
          </w:p>
        </w:tc>
        <w:tc>
          <w:tcPr>
            <w:tcW w:w="0" w:type="auto"/>
            <w:gridSpan w:val="3"/>
            <w:shd w:val="clear" w:color="auto" w:fill="auto"/>
          </w:tcPr>
          <w:p w14:paraId="5EA24235" w14:textId="77777777" w:rsidR="003C66EB" w:rsidRDefault="003C66EB">
            <w:pPr>
              <w:rPr>
                <w:rFonts w:ascii="宋体"/>
                <w:vanish/>
              </w:rPr>
            </w:pPr>
          </w:p>
        </w:tc>
        <w:tc>
          <w:tcPr>
            <w:tcW w:w="0" w:type="auto"/>
            <w:gridSpan w:val="3"/>
            <w:shd w:val="clear" w:color="auto" w:fill="auto"/>
          </w:tcPr>
          <w:p w14:paraId="5EA24236" w14:textId="77777777" w:rsidR="003C66EB" w:rsidRDefault="003C66EB">
            <w:pPr>
              <w:rPr>
                <w:rFonts w:ascii="宋体"/>
                <w:vanish/>
              </w:rPr>
            </w:pPr>
          </w:p>
        </w:tc>
        <w:tc>
          <w:tcPr>
            <w:tcW w:w="0" w:type="auto"/>
            <w:gridSpan w:val="3"/>
            <w:shd w:val="clear" w:color="auto" w:fill="auto"/>
          </w:tcPr>
          <w:p w14:paraId="5EA24237" w14:textId="77777777" w:rsidR="003C66EB" w:rsidRDefault="003C66EB">
            <w:pPr>
              <w:rPr>
                <w:rFonts w:ascii="宋体"/>
                <w:vanish/>
              </w:rPr>
            </w:pPr>
          </w:p>
        </w:tc>
        <w:tc>
          <w:tcPr>
            <w:tcW w:w="0" w:type="auto"/>
            <w:gridSpan w:val="3"/>
            <w:shd w:val="clear" w:color="auto" w:fill="auto"/>
          </w:tcPr>
          <w:p w14:paraId="5EA24238" w14:textId="77777777" w:rsidR="003C66EB" w:rsidRDefault="003C66EB">
            <w:pPr>
              <w:rPr>
                <w:rFonts w:ascii="宋体"/>
                <w:vanish/>
              </w:rPr>
            </w:pPr>
          </w:p>
        </w:tc>
        <w:tc>
          <w:tcPr>
            <w:tcW w:w="0" w:type="auto"/>
            <w:gridSpan w:val="3"/>
            <w:shd w:val="clear" w:color="auto" w:fill="auto"/>
          </w:tcPr>
          <w:p w14:paraId="5EA24239" w14:textId="77777777" w:rsidR="003C66EB" w:rsidRDefault="003C66EB">
            <w:pPr>
              <w:rPr>
                <w:rFonts w:ascii="宋体"/>
                <w:vanish/>
              </w:rPr>
            </w:pPr>
          </w:p>
        </w:tc>
      </w:tr>
      <w:tr w:rsidR="003C66EB" w14:paraId="5EA24247" w14:textId="77777777">
        <w:trPr>
          <w:hidden/>
        </w:trPr>
        <w:tc>
          <w:tcPr>
            <w:tcW w:w="0" w:type="auto"/>
            <w:gridSpan w:val="3"/>
            <w:shd w:val="clear" w:color="auto" w:fill="auto"/>
          </w:tcPr>
          <w:p w14:paraId="5EA2423B" w14:textId="77777777" w:rsidR="003C66EB" w:rsidRDefault="003C66EB">
            <w:pPr>
              <w:rPr>
                <w:rFonts w:ascii="宋体"/>
                <w:vanish/>
              </w:rPr>
            </w:pPr>
          </w:p>
        </w:tc>
        <w:tc>
          <w:tcPr>
            <w:tcW w:w="0" w:type="auto"/>
            <w:gridSpan w:val="3"/>
            <w:shd w:val="clear" w:color="auto" w:fill="auto"/>
          </w:tcPr>
          <w:p w14:paraId="5EA2423C" w14:textId="77777777" w:rsidR="003C66EB" w:rsidRDefault="003C66EB">
            <w:pPr>
              <w:rPr>
                <w:rFonts w:ascii="宋体"/>
                <w:vanish/>
              </w:rPr>
            </w:pPr>
          </w:p>
        </w:tc>
        <w:tc>
          <w:tcPr>
            <w:tcW w:w="0" w:type="auto"/>
            <w:gridSpan w:val="3"/>
            <w:shd w:val="clear" w:color="auto" w:fill="auto"/>
          </w:tcPr>
          <w:p w14:paraId="5EA2423D" w14:textId="77777777" w:rsidR="003C66EB" w:rsidRDefault="003C66EB">
            <w:pPr>
              <w:rPr>
                <w:rFonts w:ascii="宋体"/>
                <w:vanish/>
              </w:rPr>
            </w:pPr>
          </w:p>
        </w:tc>
        <w:tc>
          <w:tcPr>
            <w:tcW w:w="0" w:type="auto"/>
            <w:gridSpan w:val="3"/>
            <w:shd w:val="clear" w:color="auto" w:fill="auto"/>
          </w:tcPr>
          <w:p w14:paraId="5EA2423E" w14:textId="77777777" w:rsidR="003C66EB" w:rsidRDefault="003C66EB">
            <w:pPr>
              <w:rPr>
                <w:rFonts w:ascii="宋体"/>
                <w:vanish/>
              </w:rPr>
            </w:pPr>
          </w:p>
        </w:tc>
        <w:tc>
          <w:tcPr>
            <w:tcW w:w="0" w:type="auto"/>
            <w:gridSpan w:val="3"/>
            <w:shd w:val="clear" w:color="auto" w:fill="auto"/>
          </w:tcPr>
          <w:p w14:paraId="5EA2423F" w14:textId="77777777" w:rsidR="003C66EB" w:rsidRDefault="003C66EB">
            <w:pPr>
              <w:rPr>
                <w:rFonts w:ascii="宋体"/>
                <w:vanish/>
              </w:rPr>
            </w:pPr>
          </w:p>
        </w:tc>
        <w:tc>
          <w:tcPr>
            <w:tcW w:w="0" w:type="auto"/>
            <w:gridSpan w:val="3"/>
            <w:shd w:val="clear" w:color="auto" w:fill="auto"/>
          </w:tcPr>
          <w:p w14:paraId="5EA24240" w14:textId="77777777" w:rsidR="003C66EB" w:rsidRDefault="003C66EB">
            <w:pPr>
              <w:rPr>
                <w:rFonts w:ascii="宋体"/>
                <w:vanish/>
              </w:rPr>
            </w:pPr>
          </w:p>
        </w:tc>
        <w:tc>
          <w:tcPr>
            <w:tcW w:w="0" w:type="auto"/>
            <w:gridSpan w:val="3"/>
            <w:shd w:val="clear" w:color="auto" w:fill="auto"/>
          </w:tcPr>
          <w:p w14:paraId="5EA24241" w14:textId="77777777" w:rsidR="003C66EB" w:rsidRDefault="003C66EB">
            <w:pPr>
              <w:rPr>
                <w:rFonts w:ascii="宋体"/>
                <w:vanish/>
              </w:rPr>
            </w:pPr>
          </w:p>
        </w:tc>
        <w:tc>
          <w:tcPr>
            <w:tcW w:w="0" w:type="auto"/>
            <w:gridSpan w:val="3"/>
            <w:shd w:val="clear" w:color="auto" w:fill="auto"/>
          </w:tcPr>
          <w:p w14:paraId="5EA24242" w14:textId="77777777" w:rsidR="003C66EB" w:rsidRDefault="003C66EB">
            <w:pPr>
              <w:rPr>
                <w:rFonts w:ascii="宋体"/>
                <w:vanish/>
              </w:rPr>
            </w:pPr>
          </w:p>
        </w:tc>
        <w:tc>
          <w:tcPr>
            <w:tcW w:w="0" w:type="auto"/>
            <w:gridSpan w:val="3"/>
            <w:shd w:val="clear" w:color="auto" w:fill="auto"/>
          </w:tcPr>
          <w:p w14:paraId="5EA24243" w14:textId="77777777" w:rsidR="003C66EB" w:rsidRDefault="003C66EB">
            <w:pPr>
              <w:rPr>
                <w:rFonts w:ascii="宋体"/>
                <w:vanish/>
              </w:rPr>
            </w:pPr>
          </w:p>
        </w:tc>
        <w:tc>
          <w:tcPr>
            <w:tcW w:w="0" w:type="auto"/>
            <w:gridSpan w:val="3"/>
            <w:shd w:val="clear" w:color="auto" w:fill="auto"/>
          </w:tcPr>
          <w:p w14:paraId="5EA24244" w14:textId="77777777" w:rsidR="003C66EB" w:rsidRDefault="003C66EB">
            <w:pPr>
              <w:rPr>
                <w:rFonts w:ascii="宋体"/>
                <w:vanish/>
              </w:rPr>
            </w:pPr>
          </w:p>
        </w:tc>
        <w:tc>
          <w:tcPr>
            <w:tcW w:w="0" w:type="auto"/>
            <w:gridSpan w:val="3"/>
            <w:shd w:val="clear" w:color="auto" w:fill="auto"/>
          </w:tcPr>
          <w:p w14:paraId="5EA24245" w14:textId="77777777" w:rsidR="003C66EB" w:rsidRDefault="003C66EB">
            <w:pPr>
              <w:rPr>
                <w:rFonts w:ascii="宋体"/>
                <w:vanish/>
              </w:rPr>
            </w:pPr>
          </w:p>
        </w:tc>
        <w:tc>
          <w:tcPr>
            <w:tcW w:w="0" w:type="auto"/>
            <w:gridSpan w:val="3"/>
            <w:shd w:val="clear" w:color="auto" w:fill="auto"/>
          </w:tcPr>
          <w:p w14:paraId="5EA24246" w14:textId="77777777" w:rsidR="003C66EB" w:rsidRDefault="003C66EB">
            <w:pPr>
              <w:rPr>
                <w:rFonts w:ascii="宋体"/>
                <w:vanish/>
              </w:rPr>
            </w:pPr>
          </w:p>
        </w:tc>
      </w:tr>
      <w:tr w:rsidR="003C66EB" w14:paraId="5EA24254" w14:textId="77777777">
        <w:trPr>
          <w:hidden/>
        </w:trPr>
        <w:tc>
          <w:tcPr>
            <w:tcW w:w="0" w:type="auto"/>
            <w:gridSpan w:val="3"/>
            <w:shd w:val="clear" w:color="auto" w:fill="auto"/>
          </w:tcPr>
          <w:p w14:paraId="5EA24248" w14:textId="77777777" w:rsidR="003C66EB" w:rsidRDefault="003C66EB">
            <w:pPr>
              <w:rPr>
                <w:rFonts w:ascii="宋体"/>
                <w:vanish/>
              </w:rPr>
            </w:pPr>
          </w:p>
        </w:tc>
        <w:tc>
          <w:tcPr>
            <w:tcW w:w="0" w:type="auto"/>
            <w:gridSpan w:val="3"/>
            <w:shd w:val="clear" w:color="auto" w:fill="auto"/>
          </w:tcPr>
          <w:p w14:paraId="5EA24249" w14:textId="77777777" w:rsidR="003C66EB" w:rsidRDefault="003C66EB">
            <w:pPr>
              <w:rPr>
                <w:rFonts w:ascii="宋体"/>
                <w:vanish/>
              </w:rPr>
            </w:pPr>
          </w:p>
        </w:tc>
        <w:tc>
          <w:tcPr>
            <w:tcW w:w="0" w:type="auto"/>
            <w:gridSpan w:val="3"/>
            <w:shd w:val="clear" w:color="auto" w:fill="auto"/>
          </w:tcPr>
          <w:p w14:paraId="5EA2424A" w14:textId="77777777" w:rsidR="003C66EB" w:rsidRDefault="003C66EB">
            <w:pPr>
              <w:rPr>
                <w:rFonts w:ascii="宋体"/>
                <w:vanish/>
              </w:rPr>
            </w:pPr>
          </w:p>
        </w:tc>
        <w:tc>
          <w:tcPr>
            <w:tcW w:w="0" w:type="auto"/>
            <w:gridSpan w:val="3"/>
            <w:shd w:val="clear" w:color="auto" w:fill="auto"/>
          </w:tcPr>
          <w:p w14:paraId="5EA2424B" w14:textId="77777777" w:rsidR="003C66EB" w:rsidRDefault="003C66EB">
            <w:pPr>
              <w:rPr>
                <w:rFonts w:ascii="宋体"/>
                <w:vanish/>
              </w:rPr>
            </w:pPr>
          </w:p>
        </w:tc>
        <w:tc>
          <w:tcPr>
            <w:tcW w:w="0" w:type="auto"/>
            <w:gridSpan w:val="3"/>
            <w:shd w:val="clear" w:color="auto" w:fill="auto"/>
          </w:tcPr>
          <w:p w14:paraId="5EA2424C" w14:textId="77777777" w:rsidR="003C66EB" w:rsidRDefault="003C66EB">
            <w:pPr>
              <w:rPr>
                <w:rFonts w:ascii="宋体"/>
                <w:vanish/>
              </w:rPr>
            </w:pPr>
          </w:p>
        </w:tc>
        <w:tc>
          <w:tcPr>
            <w:tcW w:w="0" w:type="auto"/>
            <w:gridSpan w:val="3"/>
            <w:shd w:val="clear" w:color="auto" w:fill="auto"/>
          </w:tcPr>
          <w:p w14:paraId="5EA2424D" w14:textId="77777777" w:rsidR="003C66EB" w:rsidRDefault="003C66EB">
            <w:pPr>
              <w:rPr>
                <w:rFonts w:ascii="宋体"/>
                <w:vanish/>
              </w:rPr>
            </w:pPr>
          </w:p>
        </w:tc>
        <w:tc>
          <w:tcPr>
            <w:tcW w:w="0" w:type="auto"/>
            <w:gridSpan w:val="3"/>
            <w:shd w:val="clear" w:color="auto" w:fill="auto"/>
          </w:tcPr>
          <w:p w14:paraId="5EA2424E" w14:textId="77777777" w:rsidR="003C66EB" w:rsidRDefault="003C66EB">
            <w:pPr>
              <w:rPr>
                <w:rFonts w:ascii="宋体"/>
                <w:vanish/>
              </w:rPr>
            </w:pPr>
          </w:p>
        </w:tc>
        <w:tc>
          <w:tcPr>
            <w:tcW w:w="0" w:type="auto"/>
            <w:gridSpan w:val="3"/>
            <w:shd w:val="clear" w:color="auto" w:fill="auto"/>
          </w:tcPr>
          <w:p w14:paraId="5EA2424F" w14:textId="77777777" w:rsidR="003C66EB" w:rsidRDefault="003C66EB">
            <w:pPr>
              <w:rPr>
                <w:rFonts w:ascii="宋体"/>
                <w:vanish/>
              </w:rPr>
            </w:pPr>
          </w:p>
        </w:tc>
        <w:tc>
          <w:tcPr>
            <w:tcW w:w="0" w:type="auto"/>
            <w:gridSpan w:val="3"/>
            <w:shd w:val="clear" w:color="auto" w:fill="auto"/>
          </w:tcPr>
          <w:p w14:paraId="5EA24250" w14:textId="77777777" w:rsidR="003C66EB" w:rsidRDefault="003C66EB">
            <w:pPr>
              <w:rPr>
                <w:rFonts w:ascii="宋体"/>
                <w:vanish/>
              </w:rPr>
            </w:pPr>
          </w:p>
        </w:tc>
        <w:tc>
          <w:tcPr>
            <w:tcW w:w="0" w:type="auto"/>
            <w:gridSpan w:val="3"/>
            <w:shd w:val="clear" w:color="auto" w:fill="auto"/>
          </w:tcPr>
          <w:p w14:paraId="5EA24251" w14:textId="77777777" w:rsidR="003C66EB" w:rsidRDefault="003C66EB">
            <w:pPr>
              <w:rPr>
                <w:rFonts w:ascii="宋体"/>
                <w:vanish/>
              </w:rPr>
            </w:pPr>
          </w:p>
        </w:tc>
        <w:tc>
          <w:tcPr>
            <w:tcW w:w="0" w:type="auto"/>
            <w:gridSpan w:val="3"/>
            <w:shd w:val="clear" w:color="auto" w:fill="auto"/>
          </w:tcPr>
          <w:p w14:paraId="5EA24252" w14:textId="77777777" w:rsidR="003C66EB" w:rsidRDefault="003C66EB">
            <w:pPr>
              <w:rPr>
                <w:rFonts w:ascii="宋体"/>
                <w:vanish/>
              </w:rPr>
            </w:pPr>
          </w:p>
        </w:tc>
        <w:tc>
          <w:tcPr>
            <w:tcW w:w="0" w:type="auto"/>
            <w:gridSpan w:val="3"/>
            <w:shd w:val="clear" w:color="auto" w:fill="auto"/>
          </w:tcPr>
          <w:p w14:paraId="5EA24253" w14:textId="77777777" w:rsidR="003C66EB" w:rsidRDefault="003C66EB">
            <w:pPr>
              <w:rPr>
                <w:rFonts w:ascii="宋体"/>
                <w:vanish/>
              </w:rPr>
            </w:pPr>
          </w:p>
        </w:tc>
      </w:tr>
      <w:tr w:rsidR="003C66EB" w14:paraId="5EA24261" w14:textId="77777777">
        <w:trPr>
          <w:hidden/>
        </w:trPr>
        <w:tc>
          <w:tcPr>
            <w:tcW w:w="0" w:type="auto"/>
            <w:gridSpan w:val="3"/>
            <w:shd w:val="clear" w:color="auto" w:fill="auto"/>
          </w:tcPr>
          <w:p w14:paraId="5EA24255" w14:textId="77777777" w:rsidR="003C66EB" w:rsidRDefault="003C66EB">
            <w:pPr>
              <w:rPr>
                <w:rFonts w:ascii="宋体"/>
                <w:vanish/>
              </w:rPr>
            </w:pPr>
          </w:p>
        </w:tc>
        <w:tc>
          <w:tcPr>
            <w:tcW w:w="0" w:type="auto"/>
            <w:gridSpan w:val="3"/>
            <w:shd w:val="clear" w:color="auto" w:fill="auto"/>
          </w:tcPr>
          <w:p w14:paraId="5EA24256" w14:textId="77777777" w:rsidR="003C66EB" w:rsidRDefault="003C66EB">
            <w:pPr>
              <w:rPr>
                <w:rFonts w:ascii="宋体"/>
                <w:vanish/>
              </w:rPr>
            </w:pPr>
          </w:p>
        </w:tc>
        <w:tc>
          <w:tcPr>
            <w:tcW w:w="0" w:type="auto"/>
            <w:gridSpan w:val="3"/>
            <w:shd w:val="clear" w:color="auto" w:fill="auto"/>
          </w:tcPr>
          <w:p w14:paraId="5EA24257" w14:textId="77777777" w:rsidR="003C66EB" w:rsidRDefault="003C66EB">
            <w:pPr>
              <w:rPr>
                <w:rFonts w:ascii="宋体"/>
                <w:vanish/>
              </w:rPr>
            </w:pPr>
          </w:p>
        </w:tc>
        <w:tc>
          <w:tcPr>
            <w:tcW w:w="0" w:type="auto"/>
            <w:gridSpan w:val="3"/>
            <w:shd w:val="clear" w:color="auto" w:fill="auto"/>
          </w:tcPr>
          <w:p w14:paraId="5EA24258" w14:textId="77777777" w:rsidR="003C66EB" w:rsidRDefault="003C66EB">
            <w:pPr>
              <w:rPr>
                <w:rFonts w:ascii="宋体"/>
                <w:vanish/>
              </w:rPr>
            </w:pPr>
          </w:p>
        </w:tc>
        <w:tc>
          <w:tcPr>
            <w:tcW w:w="0" w:type="auto"/>
            <w:gridSpan w:val="3"/>
            <w:shd w:val="clear" w:color="auto" w:fill="auto"/>
          </w:tcPr>
          <w:p w14:paraId="5EA24259" w14:textId="77777777" w:rsidR="003C66EB" w:rsidRDefault="003C66EB">
            <w:pPr>
              <w:rPr>
                <w:rFonts w:ascii="宋体"/>
                <w:vanish/>
              </w:rPr>
            </w:pPr>
          </w:p>
        </w:tc>
        <w:tc>
          <w:tcPr>
            <w:tcW w:w="0" w:type="auto"/>
            <w:gridSpan w:val="3"/>
            <w:shd w:val="clear" w:color="auto" w:fill="auto"/>
          </w:tcPr>
          <w:p w14:paraId="5EA2425A" w14:textId="77777777" w:rsidR="003C66EB" w:rsidRDefault="003C66EB">
            <w:pPr>
              <w:rPr>
                <w:rFonts w:ascii="宋体"/>
                <w:vanish/>
              </w:rPr>
            </w:pPr>
          </w:p>
        </w:tc>
        <w:tc>
          <w:tcPr>
            <w:tcW w:w="0" w:type="auto"/>
            <w:gridSpan w:val="3"/>
            <w:shd w:val="clear" w:color="auto" w:fill="auto"/>
          </w:tcPr>
          <w:p w14:paraId="5EA2425B" w14:textId="77777777" w:rsidR="003C66EB" w:rsidRDefault="003C66EB">
            <w:pPr>
              <w:rPr>
                <w:rFonts w:ascii="宋体"/>
                <w:vanish/>
              </w:rPr>
            </w:pPr>
          </w:p>
        </w:tc>
        <w:tc>
          <w:tcPr>
            <w:tcW w:w="0" w:type="auto"/>
            <w:gridSpan w:val="3"/>
            <w:shd w:val="clear" w:color="auto" w:fill="auto"/>
          </w:tcPr>
          <w:p w14:paraId="5EA2425C" w14:textId="77777777" w:rsidR="003C66EB" w:rsidRDefault="003C66EB">
            <w:pPr>
              <w:rPr>
                <w:rFonts w:ascii="宋体"/>
                <w:vanish/>
              </w:rPr>
            </w:pPr>
          </w:p>
        </w:tc>
        <w:tc>
          <w:tcPr>
            <w:tcW w:w="0" w:type="auto"/>
            <w:gridSpan w:val="3"/>
            <w:shd w:val="clear" w:color="auto" w:fill="auto"/>
          </w:tcPr>
          <w:p w14:paraId="5EA2425D" w14:textId="77777777" w:rsidR="003C66EB" w:rsidRDefault="003C66EB">
            <w:pPr>
              <w:rPr>
                <w:rFonts w:ascii="宋体"/>
                <w:vanish/>
              </w:rPr>
            </w:pPr>
          </w:p>
        </w:tc>
        <w:tc>
          <w:tcPr>
            <w:tcW w:w="0" w:type="auto"/>
            <w:gridSpan w:val="3"/>
            <w:shd w:val="clear" w:color="auto" w:fill="auto"/>
          </w:tcPr>
          <w:p w14:paraId="5EA2425E" w14:textId="77777777" w:rsidR="003C66EB" w:rsidRDefault="003C66EB">
            <w:pPr>
              <w:rPr>
                <w:rFonts w:ascii="宋体"/>
                <w:vanish/>
              </w:rPr>
            </w:pPr>
          </w:p>
        </w:tc>
        <w:tc>
          <w:tcPr>
            <w:tcW w:w="0" w:type="auto"/>
            <w:gridSpan w:val="3"/>
            <w:shd w:val="clear" w:color="auto" w:fill="auto"/>
          </w:tcPr>
          <w:p w14:paraId="5EA2425F" w14:textId="77777777" w:rsidR="003C66EB" w:rsidRDefault="003C66EB">
            <w:pPr>
              <w:rPr>
                <w:rFonts w:ascii="宋体"/>
                <w:vanish/>
              </w:rPr>
            </w:pPr>
          </w:p>
        </w:tc>
        <w:tc>
          <w:tcPr>
            <w:tcW w:w="0" w:type="auto"/>
            <w:gridSpan w:val="3"/>
            <w:shd w:val="clear" w:color="auto" w:fill="auto"/>
          </w:tcPr>
          <w:p w14:paraId="5EA24260" w14:textId="77777777" w:rsidR="003C66EB" w:rsidRDefault="003C66EB">
            <w:pPr>
              <w:rPr>
                <w:rFonts w:ascii="宋体"/>
                <w:vanish/>
              </w:rPr>
            </w:pPr>
          </w:p>
        </w:tc>
      </w:tr>
    </w:tbl>
    <w:p w14:paraId="5EA24262" w14:textId="77777777" w:rsidR="003C66EB" w:rsidRDefault="00D96C4E">
      <w:pPr>
        <w:ind w:firstLine="450"/>
        <w:jc w:val="right"/>
      </w:pPr>
      <w:r>
        <w:rPr>
          <w:rFonts w:ascii="Arial" w:eastAsia="宋体" w:hAnsi="Arial" w:cs="Arial"/>
          <w:color w:val="000000"/>
          <w:sz w:val="18"/>
          <w:szCs w:val="18"/>
        </w:rPr>
        <w:t>State Street Corporation | 60</w:t>
      </w:r>
    </w:p>
    <w:p w14:paraId="5EA24263" w14:textId="77777777" w:rsidR="003C66EB" w:rsidRDefault="003C66EB">
      <w:pPr>
        <w:ind w:firstLine="450"/>
        <w:jc w:val="center"/>
      </w:pPr>
    </w:p>
    <w:p w14:paraId="5EA24264" w14:textId="77777777" w:rsidR="003C66EB" w:rsidRDefault="00D96C4E">
      <w:r>
        <w:pict w14:anchorId="5EA287EC">
          <v:rect id="_x0000_i1084" style="width:415.3pt;height:1.5pt" o:hralign="center" o:hrstd="t" o:hr="t" fillcolor="#a0a0a0" stroked="f"/>
        </w:pict>
      </w:r>
    </w:p>
    <w:p w14:paraId="5EA24265" w14:textId="77777777" w:rsidR="003C66EB" w:rsidRDefault="00D96C4E">
      <w:pPr>
        <w:ind w:firstLine="450"/>
        <w:jc w:val="center"/>
      </w:pPr>
      <w:r>
        <w:rPr>
          <w:rFonts w:ascii="Arial" w:eastAsia="宋体" w:hAnsi="Arial" w:cs="Arial"/>
          <w:b/>
          <w:bCs/>
          <w:color w:val="000000"/>
          <w:sz w:val="20"/>
          <w:szCs w:val="20"/>
        </w:rPr>
        <w:t>STATE STREET CORPORATION</w:t>
      </w:r>
    </w:p>
    <w:p w14:paraId="5EA24266"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4267" w14:textId="77777777" w:rsidR="003C66EB" w:rsidRDefault="00D96C4E">
      <w:pPr>
        <w:ind w:firstLine="450"/>
        <w:jc w:val="center"/>
      </w:pPr>
      <w:r>
        <w:rPr>
          <w:rFonts w:ascii="Arial" w:eastAsia="宋体" w:hAnsi="Arial" w:cs="Arial"/>
          <w:b/>
          <w:bCs/>
          <w:color w:val="000000"/>
          <w:sz w:val="20"/>
          <w:szCs w:val="20"/>
        </w:rPr>
        <w:t>(UNAUDITED)</w:t>
      </w:r>
    </w:p>
    <w:p w14:paraId="5EA24268" w14:textId="77777777" w:rsidR="003C66EB" w:rsidRDefault="00D96C4E">
      <w:pPr>
        <w:spacing w:before="90"/>
        <w:ind w:firstLine="450"/>
        <w:jc w:val="both"/>
      </w:pPr>
      <w:r>
        <w:rPr>
          <w:rFonts w:ascii="Arial" w:eastAsia="宋体" w:hAnsi="Arial" w:cs="Arial"/>
          <w:color w:val="000000"/>
          <w:sz w:val="20"/>
          <w:szCs w:val="20"/>
        </w:rPr>
        <w:t xml:space="preserve">The following table presents the amortized cost and the fair </w:t>
      </w:r>
      <w:r>
        <w:rPr>
          <w:rFonts w:ascii="Arial" w:eastAsia="宋体" w:hAnsi="Arial" w:cs="Arial"/>
          <w:color w:val="000000"/>
          <w:sz w:val="20"/>
          <w:szCs w:val="20"/>
        </w:rPr>
        <w:t>value of contractual maturities of debt investment securities as of March 31, 2021. The maturities of certain ABS, MBS and collateralized mortgage obligations are based on expected principal payments. Actual maturities may differ from these expected maturi</w:t>
      </w:r>
      <w:r>
        <w:rPr>
          <w:rFonts w:ascii="Arial" w:eastAsia="宋体" w:hAnsi="Arial" w:cs="Arial"/>
          <w:color w:val="000000"/>
          <w:sz w:val="20"/>
          <w:szCs w:val="20"/>
        </w:rPr>
        <w:t>ties since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535"/>
        <w:gridCol w:w="727"/>
        <w:gridCol w:w="37"/>
        <w:gridCol w:w="93"/>
        <w:gridCol w:w="557"/>
        <w:gridCol w:w="36"/>
        <w:gridCol w:w="40"/>
        <w:gridCol w:w="33"/>
        <w:gridCol w:w="36"/>
        <w:gridCol w:w="92"/>
        <w:gridCol w:w="351"/>
        <w:gridCol w:w="36"/>
        <w:gridCol w:w="40"/>
        <w:gridCol w:w="33"/>
        <w:gridCol w:w="36"/>
        <w:gridCol w:w="92"/>
        <w:gridCol w:w="556"/>
        <w:gridCol w:w="35"/>
        <w:gridCol w:w="40"/>
        <w:gridCol w:w="31"/>
        <w:gridCol w:w="35"/>
        <w:gridCol w:w="91"/>
        <w:gridCol w:w="419"/>
        <w:gridCol w:w="35"/>
        <w:gridCol w:w="40"/>
        <w:gridCol w:w="31"/>
        <w:gridCol w:w="35"/>
        <w:gridCol w:w="92"/>
        <w:gridCol w:w="556"/>
        <w:gridCol w:w="35"/>
        <w:gridCol w:w="40"/>
        <w:gridCol w:w="31"/>
        <w:gridCol w:w="35"/>
        <w:gridCol w:w="91"/>
        <w:gridCol w:w="419"/>
        <w:gridCol w:w="35"/>
        <w:gridCol w:w="40"/>
        <w:gridCol w:w="31"/>
        <w:gridCol w:w="35"/>
        <w:gridCol w:w="92"/>
        <w:gridCol w:w="556"/>
        <w:gridCol w:w="35"/>
        <w:gridCol w:w="40"/>
        <w:gridCol w:w="31"/>
        <w:gridCol w:w="35"/>
        <w:gridCol w:w="91"/>
        <w:gridCol w:w="419"/>
        <w:gridCol w:w="35"/>
        <w:gridCol w:w="40"/>
        <w:gridCol w:w="31"/>
        <w:gridCol w:w="35"/>
        <w:gridCol w:w="92"/>
        <w:gridCol w:w="556"/>
        <w:gridCol w:w="35"/>
        <w:gridCol w:w="40"/>
        <w:gridCol w:w="31"/>
        <w:gridCol w:w="35"/>
        <w:gridCol w:w="91"/>
        <w:gridCol w:w="419"/>
        <w:gridCol w:w="35"/>
      </w:tblGrid>
      <w:tr w:rsidR="003C66EB" w14:paraId="5EA242A5" w14:textId="77777777">
        <w:tc>
          <w:tcPr>
            <w:tcW w:w="50" w:type="pct"/>
            <w:shd w:val="clear" w:color="auto" w:fill="auto"/>
          </w:tcPr>
          <w:p w14:paraId="5EA24269" w14:textId="77777777" w:rsidR="003C66EB" w:rsidRDefault="003C66EB">
            <w:pPr>
              <w:rPr>
                <w:rFonts w:ascii="宋体"/>
              </w:rPr>
            </w:pPr>
          </w:p>
        </w:tc>
        <w:tc>
          <w:tcPr>
            <w:tcW w:w="814" w:type="pct"/>
            <w:shd w:val="clear" w:color="auto" w:fill="auto"/>
          </w:tcPr>
          <w:p w14:paraId="5EA2426A" w14:textId="77777777" w:rsidR="003C66EB" w:rsidRDefault="003C66EB">
            <w:pPr>
              <w:rPr>
                <w:rFonts w:ascii="宋体"/>
              </w:rPr>
            </w:pPr>
          </w:p>
        </w:tc>
        <w:tc>
          <w:tcPr>
            <w:tcW w:w="5" w:type="pct"/>
            <w:shd w:val="clear" w:color="auto" w:fill="auto"/>
          </w:tcPr>
          <w:p w14:paraId="5EA2426B" w14:textId="77777777" w:rsidR="003C66EB" w:rsidRDefault="003C66EB">
            <w:pPr>
              <w:rPr>
                <w:rFonts w:ascii="宋体"/>
              </w:rPr>
            </w:pPr>
          </w:p>
        </w:tc>
        <w:tc>
          <w:tcPr>
            <w:tcW w:w="50" w:type="pct"/>
            <w:shd w:val="clear" w:color="auto" w:fill="auto"/>
          </w:tcPr>
          <w:p w14:paraId="5EA2426C" w14:textId="77777777" w:rsidR="003C66EB" w:rsidRDefault="003C66EB">
            <w:pPr>
              <w:rPr>
                <w:rFonts w:ascii="宋体"/>
              </w:rPr>
            </w:pPr>
          </w:p>
        </w:tc>
        <w:tc>
          <w:tcPr>
            <w:tcW w:w="332" w:type="pct"/>
            <w:shd w:val="clear" w:color="auto" w:fill="auto"/>
          </w:tcPr>
          <w:p w14:paraId="5EA2426D" w14:textId="77777777" w:rsidR="003C66EB" w:rsidRDefault="003C66EB">
            <w:pPr>
              <w:rPr>
                <w:rFonts w:ascii="宋体"/>
              </w:rPr>
            </w:pPr>
          </w:p>
        </w:tc>
        <w:tc>
          <w:tcPr>
            <w:tcW w:w="5" w:type="pct"/>
            <w:shd w:val="clear" w:color="auto" w:fill="auto"/>
          </w:tcPr>
          <w:p w14:paraId="5EA2426E" w14:textId="77777777" w:rsidR="003C66EB" w:rsidRDefault="003C66EB">
            <w:pPr>
              <w:rPr>
                <w:rFonts w:ascii="宋体"/>
              </w:rPr>
            </w:pPr>
          </w:p>
        </w:tc>
        <w:tc>
          <w:tcPr>
            <w:tcW w:w="5" w:type="pct"/>
            <w:shd w:val="clear" w:color="auto" w:fill="auto"/>
          </w:tcPr>
          <w:p w14:paraId="5EA2426F" w14:textId="77777777" w:rsidR="003C66EB" w:rsidRDefault="003C66EB">
            <w:pPr>
              <w:rPr>
                <w:rFonts w:ascii="宋体"/>
              </w:rPr>
            </w:pPr>
          </w:p>
        </w:tc>
        <w:tc>
          <w:tcPr>
            <w:tcW w:w="26" w:type="pct"/>
            <w:shd w:val="clear" w:color="auto" w:fill="auto"/>
          </w:tcPr>
          <w:p w14:paraId="5EA24270" w14:textId="77777777" w:rsidR="003C66EB" w:rsidRDefault="003C66EB">
            <w:pPr>
              <w:rPr>
                <w:rFonts w:ascii="宋体"/>
              </w:rPr>
            </w:pPr>
          </w:p>
        </w:tc>
        <w:tc>
          <w:tcPr>
            <w:tcW w:w="5" w:type="pct"/>
            <w:shd w:val="clear" w:color="auto" w:fill="auto"/>
          </w:tcPr>
          <w:p w14:paraId="5EA24271" w14:textId="77777777" w:rsidR="003C66EB" w:rsidRDefault="003C66EB">
            <w:pPr>
              <w:rPr>
                <w:rFonts w:ascii="宋体"/>
              </w:rPr>
            </w:pPr>
          </w:p>
        </w:tc>
        <w:tc>
          <w:tcPr>
            <w:tcW w:w="50" w:type="pct"/>
            <w:shd w:val="clear" w:color="auto" w:fill="auto"/>
          </w:tcPr>
          <w:p w14:paraId="5EA24272" w14:textId="77777777" w:rsidR="003C66EB" w:rsidRDefault="003C66EB">
            <w:pPr>
              <w:rPr>
                <w:rFonts w:ascii="宋体"/>
              </w:rPr>
            </w:pPr>
          </w:p>
        </w:tc>
        <w:tc>
          <w:tcPr>
            <w:tcW w:w="317" w:type="pct"/>
            <w:shd w:val="clear" w:color="auto" w:fill="auto"/>
          </w:tcPr>
          <w:p w14:paraId="5EA24273" w14:textId="77777777" w:rsidR="003C66EB" w:rsidRDefault="003C66EB">
            <w:pPr>
              <w:rPr>
                <w:rFonts w:ascii="宋体"/>
              </w:rPr>
            </w:pPr>
          </w:p>
        </w:tc>
        <w:tc>
          <w:tcPr>
            <w:tcW w:w="5" w:type="pct"/>
            <w:shd w:val="clear" w:color="auto" w:fill="auto"/>
          </w:tcPr>
          <w:p w14:paraId="5EA24274" w14:textId="77777777" w:rsidR="003C66EB" w:rsidRDefault="003C66EB">
            <w:pPr>
              <w:rPr>
                <w:rFonts w:ascii="宋体"/>
              </w:rPr>
            </w:pPr>
          </w:p>
        </w:tc>
        <w:tc>
          <w:tcPr>
            <w:tcW w:w="5" w:type="pct"/>
            <w:shd w:val="clear" w:color="auto" w:fill="auto"/>
          </w:tcPr>
          <w:p w14:paraId="5EA24275" w14:textId="77777777" w:rsidR="003C66EB" w:rsidRDefault="003C66EB">
            <w:pPr>
              <w:rPr>
                <w:rFonts w:ascii="宋体"/>
              </w:rPr>
            </w:pPr>
          </w:p>
        </w:tc>
        <w:tc>
          <w:tcPr>
            <w:tcW w:w="26" w:type="pct"/>
            <w:shd w:val="clear" w:color="auto" w:fill="auto"/>
          </w:tcPr>
          <w:p w14:paraId="5EA24276" w14:textId="77777777" w:rsidR="003C66EB" w:rsidRDefault="003C66EB">
            <w:pPr>
              <w:rPr>
                <w:rFonts w:ascii="宋体"/>
              </w:rPr>
            </w:pPr>
          </w:p>
        </w:tc>
        <w:tc>
          <w:tcPr>
            <w:tcW w:w="5" w:type="pct"/>
            <w:shd w:val="clear" w:color="auto" w:fill="auto"/>
          </w:tcPr>
          <w:p w14:paraId="5EA24277" w14:textId="77777777" w:rsidR="003C66EB" w:rsidRDefault="003C66EB">
            <w:pPr>
              <w:rPr>
                <w:rFonts w:ascii="宋体"/>
              </w:rPr>
            </w:pPr>
          </w:p>
        </w:tc>
        <w:tc>
          <w:tcPr>
            <w:tcW w:w="50" w:type="pct"/>
            <w:shd w:val="clear" w:color="auto" w:fill="auto"/>
          </w:tcPr>
          <w:p w14:paraId="5EA24278" w14:textId="77777777" w:rsidR="003C66EB" w:rsidRDefault="003C66EB">
            <w:pPr>
              <w:rPr>
                <w:rFonts w:ascii="宋体"/>
              </w:rPr>
            </w:pPr>
          </w:p>
        </w:tc>
        <w:tc>
          <w:tcPr>
            <w:tcW w:w="332" w:type="pct"/>
            <w:shd w:val="clear" w:color="auto" w:fill="auto"/>
          </w:tcPr>
          <w:p w14:paraId="5EA24279" w14:textId="77777777" w:rsidR="003C66EB" w:rsidRDefault="003C66EB">
            <w:pPr>
              <w:rPr>
                <w:rFonts w:ascii="宋体"/>
              </w:rPr>
            </w:pPr>
          </w:p>
        </w:tc>
        <w:tc>
          <w:tcPr>
            <w:tcW w:w="5" w:type="pct"/>
            <w:shd w:val="clear" w:color="auto" w:fill="auto"/>
          </w:tcPr>
          <w:p w14:paraId="5EA2427A" w14:textId="77777777" w:rsidR="003C66EB" w:rsidRDefault="003C66EB">
            <w:pPr>
              <w:rPr>
                <w:rFonts w:ascii="宋体"/>
              </w:rPr>
            </w:pPr>
          </w:p>
        </w:tc>
        <w:tc>
          <w:tcPr>
            <w:tcW w:w="5" w:type="pct"/>
            <w:shd w:val="clear" w:color="auto" w:fill="auto"/>
          </w:tcPr>
          <w:p w14:paraId="5EA2427B" w14:textId="77777777" w:rsidR="003C66EB" w:rsidRDefault="003C66EB">
            <w:pPr>
              <w:rPr>
                <w:rFonts w:ascii="宋体"/>
              </w:rPr>
            </w:pPr>
          </w:p>
        </w:tc>
        <w:tc>
          <w:tcPr>
            <w:tcW w:w="26" w:type="pct"/>
            <w:shd w:val="clear" w:color="auto" w:fill="auto"/>
          </w:tcPr>
          <w:p w14:paraId="5EA2427C" w14:textId="77777777" w:rsidR="003C66EB" w:rsidRDefault="003C66EB">
            <w:pPr>
              <w:rPr>
                <w:rFonts w:ascii="宋体"/>
              </w:rPr>
            </w:pPr>
          </w:p>
        </w:tc>
        <w:tc>
          <w:tcPr>
            <w:tcW w:w="5" w:type="pct"/>
            <w:shd w:val="clear" w:color="auto" w:fill="auto"/>
          </w:tcPr>
          <w:p w14:paraId="5EA2427D" w14:textId="77777777" w:rsidR="003C66EB" w:rsidRDefault="003C66EB">
            <w:pPr>
              <w:rPr>
                <w:rFonts w:ascii="宋体"/>
              </w:rPr>
            </w:pPr>
          </w:p>
        </w:tc>
        <w:tc>
          <w:tcPr>
            <w:tcW w:w="50" w:type="pct"/>
            <w:shd w:val="clear" w:color="auto" w:fill="auto"/>
          </w:tcPr>
          <w:p w14:paraId="5EA2427E" w14:textId="77777777" w:rsidR="003C66EB" w:rsidRDefault="003C66EB">
            <w:pPr>
              <w:rPr>
                <w:rFonts w:ascii="宋体"/>
              </w:rPr>
            </w:pPr>
          </w:p>
        </w:tc>
        <w:tc>
          <w:tcPr>
            <w:tcW w:w="317" w:type="pct"/>
            <w:shd w:val="clear" w:color="auto" w:fill="auto"/>
          </w:tcPr>
          <w:p w14:paraId="5EA2427F" w14:textId="77777777" w:rsidR="003C66EB" w:rsidRDefault="003C66EB">
            <w:pPr>
              <w:rPr>
                <w:rFonts w:ascii="宋体"/>
              </w:rPr>
            </w:pPr>
          </w:p>
        </w:tc>
        <w:tc>
          <w:tcPr>
            <w:tcW w:w="5" w:type="pct"/>
            <w:shd w:val="clear" w:color="auto" w:fill="auto"/>
          </w:tcPr>
          <w:p w14:paraId="5EA24280" w14:textId="77777777" w:rsidR="003C66EB" w:rsidRDefault="003C66EB">
            <w:pPr>
              <w:rPr>
                <w:rFonts w:ascii="宋体"/>
              </w:rPr>
            </w:pPr>
          </w:p>
        </w:tc>
        <w:tc>
          <w:tcPr>
            <w:tcW w:w="5" w:type="pct"/>
            <w:shd w:val="clear" w:color="auto" w:fill="auto"/>
          </w:tcPr>
          <w:p w14:paraId="5EA24281" w14:textId="77777777" w:rsidR="003C66EB" w:rsidRDefault="003C66EB">
            <w:pPr>
              <w:rPr>
                <w:rFonts w:ascii="宋体"/>
              </w:rPr>
            </w:pPr>
          </w:p>
        </w:tc>
        <w:tc>
          <w:tcPr>
            <w:tcW w:w="26" w:type="pct"/>
            <w:shd w:val="clear" w:color="auto" w:fill="auto"/>
          </w:tcPr>
          <w:p w14:paraId="5EA24282" w14:textId="77777777" w:rsidR="003C66EB" w:rsidRDefault="003C66EB">
            <w:pPr>
              <w:rPr>
                <w:rFonts w:ascii="宋体"/>
              </w:rPr>
            </w:pPr>
          </w:p>
        </w:tc>
        <w:tc>
          <w:tcPr>
            <w:tcW w:w="5" w:type="pct"/>
            <w:shd w:val="clear" w:color="auto" w:fill="auto"/>
          </w:tcPr>
          <w:p w14:paraId="5EA24283" w14:textId="77777777" w:rsidR="003C66EB" w:rsidRDefault="003C66EB">
            <w:pPr>
              <w:rPr>
                <w:rFonts w:ascii="宋体"/>
              </w:rPr>
            </w:pPr>
          </w:p>
        </w:tc>
        <w:tc>
          <w:tcPr>
            <w:tcW w:w="50" w:type="pct"/>
            <w:shd w:val="clear" w:color="auto" w:fill="auto"/>
          </w:tcPr>
          <w:p w14:paraId="5EA24284" w14:textId="77777777" w:rsidR="003C66EB" w:rsidRDefault="003C66EB">
            <w:pPr>
              <w:rPr>
                <w:rFonts w:ascii="宋体"/>
              </w:rPr>
            </w:pPr>
          </w:p>
        </w:tc>
        <w:tc>
          <w:tcPr>
            <w:tcW w:w="332" w:type="pct"/>
            <w:shd w:val="clear" w:color="auto" w:fill="auto"/>
          </w:tcPr>
          <w:p w14:paraId="5EA24285" w14:textId="77777777" w:rsidR="003C66EB" w:rsidRDefault="003C66EB">
            <w:pPr>
              <w:rPr>
                <w:rFonts w:ascii="宋体"/>
              </w:rPr>
            </w:pPr>
          </w:p>
        </w:tc>
        <w:tc>
          <w:tcPr>
            <w:tcW w:w="5" w:type="pct"/>
            <w:shd w:val="clear" w:color="auto" w:fill="auto"/>
          </w:tcPr>
          <w:p w14:paraId="5EA24286" w14:textId="77777777" w:rsidR="003C66EB" w:rsidRDefault="003C66EB">
            <w:pPr>
              <w:rPr>
                <w:rFonts w:ascii="宋体"/>
              </w:rPr>
            </w:pPr>
          </w:p>
        </w:tc>
        <w:tc>
          <w:tcPr>
            <w:tcW w:w="5" w:type="pct"/>
            <w:shd w:val="clear" w:color="auto" w:fill="auto"/>
          </w:tcPr>
          <w:p w14:paraId="5EA24287" w14:textId="77777777" w:rsidR="003C66EB" w:rsidRDefault="003C66EB">
            <w:pPr>
              <w:rPr>
                <w:rFonts w:ascii="宋体"/>
              </w:rPr>
            </w:pPr>
          </w:p>
        </w:tc>
        <w:tc>
          <w:tcPr>
            <w:tcW w:w="26" w:type="pct"/>
            <w:shd w:val="clear" w:color="auto" w:fill="auto"/>
          </w:tcPr>
          <w:p w14:paraId="5EA24288" w14:textId="77777777" w:rsidR="003C66EB" w:rsidRDefault="003C66EB">
            <w:pPr>
              <w:rPr>
                <w:rFonts w:ascii="宋体"/>
              </w:rPr>
            </w:pPr>
          </w:p>
        </w:tc>
        <w:tc>
          <w:tcPr>
            <w:tcW w:w="5" w:type="pct"/>
            <w:shd w:val="clear" w:color="auto" w:fill="auto"/>
          </w:tcPr>
          <w:p w14:paraId="5EA24289" w14:textId="77777777" w:rsidR="003C66EB" w:rsidRDefault="003C66EB">
            <w:pPr>
              <w:rPr>
                <w:rFonts w:ascii="宋体"/>
              </w:rPr>
            </w:pPr>
          </w:p>
        </w:tc>
        <w:tc>
          <w:tcPr>
            <w:tcW w:w="50" w:type="pct"/>
            <w:shd w:val="clear" w:color="auto" w:fill="auto"/>
          </w:tcPr>
          <w:p w14:paraId="5EA2428A" w14:textId="77777777" w:rsidR="003C66EB" w:rsidRDefault="003C66EB">
            <w:pPr>
              <w:rPr>
                <w:rFonts w:ascii="宋体"/>
              </w:rPr>
            </w:pPr>
          </w:p>
        </w:tc>
        <w:tc>
          <w:tcPr>
            <w:tcW w:w="317" w:type="pct"/>
            <w:shd w:val="clear" w:color="auto" w:fill="auto"/>
          </w:tcPr>
          <w:p w14:paraId="5EA2428B" w14:textId="77777777" w:rsidR="003C66EB" w:rsidRDefault="003C66EB">
            <w:pPr>
              <w:rPr>
                <w:rFonts w:ascii="宋体"/>
              </w:rPr>
            </w:pPr>
          </w:p>
        </w:tc>
        <w:tc>
          <w:tcPr>
            <w:tcW w:w="5" w:type="pct"/>
            <w:shd w:val="clear" w:color="auto" w:fill="auto"/>
          </w:tcPr>
          <w:p w14:paraId="5EA2428C" w14:textId="77777777" w:rsidR="003C66EB" w:rsidRDefault="003C66EB">
            <w:pPr>
              <w:rPr>
                <w:rFonts w:ascii="宋体"/>
              </w:rPr>
            </w:pPr>
          </w:p>
        </w:tc>
        <w:tc>
          <w:tcPr>
            <w:tcW w:w="5" w:type="pct"/>
            <w:shd w:val="clear" w:color="auto" w:fill="auto"/>
          </w:tcPr>
          <w:p w14:paraId="5EA2428D" w14:textId="77777777" w:rsidR="003C66EB" w:rsidRDefault="003C66EB">
            <w:pPr>
              <w:rPr>
                <w:rFonts w:ascii="宋体"/>
              </w:rPr>
            </w:pPr>
          </w:p>
        </w:tc>
        <w:tc>
          <w:tcPr>
            <w:tcW w:w="26" w:type="pct"/>
            <w:shd w:val="clear" w:color="auto" w:fill="auto"/>
          </w:tcPr>
          <w:p w14:paraId="5EA2428E" w14:textId="77777777" w:rsidR="003C66EB" w:rsidRDefault="003C66EB">
            <w:pPr>
              <w:rPr>
                <w:rFonts w:ascii="宋体"/>
              </w:rPr>
            </w:pPr>
          </w:p>
        </w:tc>
        <w:tc>
          <w:tcPr>
            <w:tcW w:w="5" w:type="pct"/>
            <w:shd w:val="clear" w:color="auto" w:fill="auto"/>
          </w:tcPr>
          <w:p w14:paraId="5EA2428F" w14:textId="77777777" w:rsidR="003C66EB" w:rsidRDefault="003C66EB">
            <w:pPr>
              <w:rPr>
                <w:rFonts w:ascii="宋体"/>
              </w:rPr>
            </w:pPr>
          </w:p>
        </w:tc>
        <w:tc>
          <w:tcPr>
            <w:tcW w:w="50" w:type="pct"/>
            <w:shd w:val="clear" w:color="auto" w:fill="auto"/>
          </w:tcPr>
          <w:p w14:paraId="5EA24290" w14:textId="77777777" w:rsidR="003C66EB" w:rsidRDefault="003C66EB">
            <w:pPr>
              <w:rPr>
                <w:rFonts w:ascii="宋体"/>
              </w:rPr>
            </w:pPr>
          </w:p>
        </w:tc>
        <w:tc>
          <w:tcPr>
            <w:tcW w:w="332" w:type="pct"/>
            <w:shd w:val="clear" w:color="auto" w:fill="auto"/>
          </w:tcPr>
          <w:p w14:paraId="5EA24291" w14:textId="77777777" w:rsidR="003C66EB" w:rsidRDefault="003C66EB">
            <w:pPr>
              <w:rPr>
                <w:rFonts w:ascii="宋体"/>
              </w:rPr>
            </w:pPr>
          </w:p>
        </w:tc>
        <w:tc>
          <w:tcPr>
            <w:tcW w:w="5" w:type="pct"/>
            <w:shd w:val="clear" w:color="auto" w:fill="auto"/>
          </w:tcPr>
          <w:p w14:paraId="5EA24292" w14:textId="77777777" w:rsidR="003C66EB" w:rsidRDefault="003C66EB">
            <w:pPr>
              <w:rPr>
                <w:rFonts w:ascii="宋体"/>
              </w:rPr>
            </w:pPr>
          </w:p>
        </w:tc>
        <w:tc>
          <w:tcPr>
            <w:tcW w:w="5" w:type="pct"/>
            <w:shd w:val="clear" w:color="auto" w:fill="auto"/>
          </w:tcPr>
          <w:p w14:paraId="5EA24293" w14:textId="77777777" w:rsidR="003C66EB" w:rsidRDefault="003C66EB">
            <w:pPr>
              <w:rPr>
                <w:rFonts w:ascii="宋体"/>
              </w:rPr>
            </w:pPr>
          </w:p>
        </w:tc>
        <w:tc>
          <w:tcPr>
            <w:tcW w:w="26" w:type="pct"/>
            <w:shd w:val="clear" w:color="auto" w:fill="auto"/>
          </w:tcPr>
          <w:p w14:paraId="5EA24294" w14:textId="77777777" w:rsidR="003C66EB" w:rsidRDefault="003C66EB">
            <w:pPr>
              <w:rPr>
                <w:rFonts w:ascii="宋体"/>
              </w:rPr>
            </w:pPr>
          </w:p>
        </w:tc>
        <w:tc>
          <w:tcPr>
            <w:tcW w:w="5" w:type="pct"/>
            <w:shd w:val="clear" w:color="auto" w:fill="auto"/>
          </w:tcPr>
          <w:p w14:paraId="5EA24295" w14:textId="77777777" w:rsidR="003C66EB" w:rsidRDefault="003C66EB">
            <w:pPr>
              <w:rPr>
                <w:rFonts w:ascii="宋体"/>
              </w:rPr>
            </w:pPr>
          </w:p>
        </w:tc>
        <w:tc>
          <w:tcPr>
            <w:tcW w:w="50" w:type="pct"/>
            <w:shd w:val="clear" w:color="auto" w:fill="auto"/>
          </w:tcPr>
          <w:p w14:paraId="5EA24296" w14:textId="77777777" w:rsidR="003C66EB" w:rsidRDefault="003C66EB">
            <w:pPr>
              <w:rPr>
                <w:rFonts w:ascii="宋体"/>
              </w:rPr>
            </w:pPr>
          </w:p>
        </w:tc>
        <w:tc>
          <w:tcPr>
            <w:tcW w:w="317" w:type="pct"/>
            <w:shd w:val="clear" w:color="auto" w:fill="auto"/>
          </w:tcPr>
          <w:p w14:paraId="5EA24297" w14:textId="77777777" w:rsidR="003C66EB" w:rsidRDefault="003C66EB">
            <w:pPr>
              <w:rPr>
                <w:rFonts w:ascii="宋体"/>
              </w:rPr>
            </w:pPr>
          </w:p>
        </w:tc>
        <w:tc>
          <w:tcPr>
            <w:tcW w:w="5" w:type="pct"/>
            <w:shd w:val="clear" w:color="auto" w:fill="auto"/>
          </w:tcPr>
          <w:p w14:paraId="5EA24298" w14:textId="77777777" w:rsidR="003C66EB" w:rsidRDefault="003C66EB">
            <w:pPr>
              <w:rPr>
                <w:rFonts w:ascii="宋体"/>
              </w:rPr>
            </w:pPr>
          </w:p>
        </w:tc>
        <w:tc>
          <w:tcPr>
            <w:tcW w:w="5" w:type="pct"/>
            <w:shd w:val="clear" w:color="auto" w:fill="auto"/>
          </w:tcPr>
          <w:p w14:paraId="5EA24299" w14:textId="77777777" w:rsidR="003C66EB" w:rsidRDefault="003C66EB">
            <w:pPr>
              <w:rPr>
                <w:rFonts w:ascii="宋体"/>
              </w:rPr>
            </w:pPr>
          </w:p>
        </w:tc>
        <w:tc>
          <w:tcPr>
            <w:tcW w:w="26" w:type="pct"/>
            <w:shd w:val="clear" w:color="auto" w:fill="auto"/>
          </w:tcPr>
          <w:p w14:paraId="5EA2429A" w14:textId="77777777" w:rsidR="003C66EB" w:rsidRDefault="003C66EB">
            <w:pPr>
              <w:rPr>
                <w:rFonts w:ascii="宋体"/>
              </w:rPr>
            </w:pPr>
          </w:p>
        </w:tc>
        <w:tc>
          <w:tcPr>
            <w:tcW w:w="5" w:type="pct"/>
            <w:shd w:val="clear" w:color="auto" w:fill="auto"/>
          </w:tcPr>
          <w:p w14:paraId="5EA2429B" w14:textId="77777777" w:rsidR="003C66EB" w:rsidRDefault="003C66EB">
            <w:pPr>
              <w:rPr>
                <w:rFonts w:ascii="宋体"/>
              </w:rPr>
            </w:pPr>
          </w:p>
        </w:tc>
        <w:tc>
          <w:tcPr>
            <w:tcW w:w="50" w:type="pct"/>
            <w:shd w:val="clear" w:color="auto" w:fill="auto"/>
          </w:tcPr>
          <w:p w14:paraId="5EA2429C" w14:textId="77777777" w:rsidR="003C66EB" w:rsidRDefault="003C66EB">
            <w:pPr>
              <w:rPr>
                <w:rFonts w:ascii="宋体"/>
              </w:rPr>
            </w:pPr>
          </w:p>
        </w:tc>
        <w:tc>
          <w:tcPr>
            <w:tcW w:w="332" w:type="pct"/>
            <w:shd w:val="clear" w:color="auto" w:fill="auto"/>
          </w:tcPr>
          <w:p w14:paraId="5EA2429D" w14:textId="77777777" w:rsidR="003C66EB" w:rsidRDefault="003C66EB">
            <w:pPr>
              <w:rPr>
                <w:rFonts w:ascii="宋体"/>
              </w:rPr>
            </w:pPr>
          </w:p>
        </w:tc>
        <w:tc>
          <w:tcPr>
            <w:tcW w:w="5" w:type="pct"/>
            <w:shd w:val="clear" w:color="auto" w:fill="auto"/>
          </w:tcPr>
          <w:p w14:paraId="5EA2429E" w14:textId="77777777" w:rsidR="003C66EB" w:rsidRDefault="003C66EB">
            <w:pPr>
              <w:rPr>
                <w:rFonts w:ascii="宋体"/>
              </w:rPr>
            </w:pPr>
          </w:p>
        </w:tc>
        <w:tc>
          <w:tcPr>
            <w:tcW w:w="5" w:type="pct"/>
            <w:shd w:val="clear" w:color="auto" w:fill="auto"/>
          </w:tcPr>
          <w:p w14:paraId="5EA2429F" w14:textId="77777777" w:rsidR="003C66EB" w:rsidRDefault="003C66EB">
            <w:pPr>
              <w:rPr>
                <w:rFonts w:ascii="宋体"/>
              </w:rPr>
            </w:pPr>
          </w:p>
        </w:tc>
        <w:tc>
          <w:tcPr>
            <w:tcW w:w="26" w:type="pct"/>
            <w:shd w:val="clear" w:color="auto" w:fill="auto"/>
          </w:tcPr>
          <w:p w14:paraId="5EA242A0" w14:textId="77777777" w:rsidR="003C66EB" w:rsidRDefault="003C66EB">
            <w:pPr>
              <w:rPr>
                <w:rFonts w:ascii="宋体"/>
              </w:rPr>
            </w:pPr>
          </w:p>
        </w:tc>
        <w:tc>
          <w:tcPr>
            <w:tcW w:w="5" w:type="pct"/>
            <w:shd w:val="clear" w:color="auto" w:fill="auto"/>
          </w:tcPr>
          <w:p w14:paraId="5EA242A1" w14:textId="77777777" w:rsidR="003C66EB" w:rsidRDefault="003C66EB">
            <w:pPr>
              <w:rPr>
                <w:rFonts w:ascii="宋体"/>
              </w:rPr>
            </w:pPr>
          </w:p>
        </w:tc>
        <w:tc>
          <w:tcPr>
            <w:tcW w:w="50" w:type="pct"/>
            <w:shd w:val="clear" w:color="auto" w:fill="auto"/>
          </w:tcPr>
          <w:p w14:paraId="5EA242A2" w14:textId="77777777" w:rsidR="003C66EB" w:rsidRDefault="003C66EB">
            <w:pPr>
              <w:rPr>
                <w:rFonts w:ascii="宋体"/>
              </w:rPr>
            </w:pPr>
          </w:p>
        </w:tc>
        <w:tc>
          <w:tcPr>
            <w:tcW w:w="318" w:type="pct"/>
            <w:shd w:val="clear" w:color="auto" w:fill="auto"/>
          </w:tcPr>
          <w:p w14:paraId="5EA242A3" w14:textId="77777777" w:rsidR="003C66EB" w:rsidRDefault="003C66EB">
            <w:pPr>
              <w:rPr>
                <w:rFonts w:ascii="宋体"/>
              </w:rPr>
            </w:pPr>
          </w:p>
        </w:tc>
        <w:tc>
          <w:tcPr>
            <w:tcW w:w="5" w:type="pct"/>
            <w:shd w:val="clear" w:color="auto" w:fill="auto"/>
          </w:tcPr>
          <w:p w14:paraId="5EA242A4" w14:textId="77777777" w:rsidR="003C66EB" w:rsidRDefault="003C66EB">
            <w:pPr>
              <w:rPr>
                <w:rFonts w:ascii="宋体"/>
              </w:rPr>
            </w:pPr>
          </w:p>
        </w:tc>
      </w:tr>
      <w:tr w:rsidR="003C66EB" w14:paraId="5EA242A8" w14:textId="77777777">
        <w:tc>
          <w:tcPr>
            <w:tcW w:w="0" w:type="auto"/>
            <w:gridSpan w:val="3"/>
            <w:shd w:val="clear" w:color="auto" w:fill="auto"/>
            <w:tcMar>
              <w:top w:w="0" w:type="dxa"/>
              <w:left w:w="20" w:type="dxa"/>
              <w:bottom w:w="0" w:type="dxa"/>
              <w:right w:w="20" w:type="dxa"/>
            </w:tcMar>
          </w:tcPr>
          <w:p w14:paraId="5EA242A6" w14:textId="77777777" w:rsidR="003C66EB" w:rsidRDefault="003C66EB">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5EA242A7" w14:textId="77777777" w:rsidR="003C66EB" w:rsidRDefault="00D96C4E">
            <w:pPr>
              <w:jc w:val="center"/>
              <w:textAlignment w:val="bottom"/>
            </w:pPr>
            <w:r>
              <w:rPr>
                <w:rFonts w:ascii="Arial" w:eastAsia="宋体" w:hAnsi="Arial" w:cs="Arial"/>
                <w:b/>
                <w:bCs/>
                <w:color w:val="000000"/>
                <w:sz w:val="14"/>
                <w:szCs w:val="14"/>
              </w:rPr>
              <w:t>As of March 31, 2021</w:t>
            </w:r>
          </w:p>
        </w:tc>
      </w:tr>
      <w:tr w:rsidR="003C66EB" w14:paraId="5EA242B3" w14:textId="77777777">
        <w:tc>
          <w:tcPr>
            <w:tcW w:w="0" w:type="auto"/>
            <w:gridSpan w:val="3"/>
            <w:shd w:val="clear" w:color="auto" w:fill="auto"/>
            <w:tcMar>
              <w:top w:w="40" w:type="dxa"/>
              <w:left w:w="20" w:type="dxa"/>
              <w:bottom w:w="40" w:type="dxa"/>
              <w:right w:w="20" w:type="dxa"/>
            </w:tcMar>
            <w:vAlign w:val="bottom"/>
          </w:tcPr>
          <w:p w14:paraId="5EA242A9"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42AA" w14:textId="77777777" w:rsidR="003C66EB" w:rsidRDefault="00D96C4E">
            <w:pPr>
              <w:jc w:val="center"/>
              <w:textAlignment w:val="bottom"/>
            </w:pPr>
            <w:r>
              <w:rPr>
                <w:rFonts w:ascii="Arial" w:eastAsia="宋体" w:hAnsi="Arial" w:cs="Arial"/>
                <w:b/>
                <w:bCs/>
                <w:color w:val="000000"/>
                <w:sz w:val="14"/>
                <w:szCs w:val="14"/>
              </w:rPr>
              <w:t>Under 1 Year</w:t>
            </w:r>
          </w:p>
        </w:tc>
        <w:tc>
          <w:tcPr>
            <w:tcW w:w="0" w:type="auto"/>
            <w:gridSpan w:val="3"/>
            <w:tcBorders>
              <w:top w:val="single" w:sz="8" w:space="0" w:color="000000"/>
            </w:tcBorders>
            <w:shd w:val="clear" w:color="auto" w:fill="auto"/>
            <w:tcMar>
              <w:top w:w="0" w:type="dxa"/>
              <w:left w:w="20" w:type="dxa"/>
              <w:bottom w:w="0" w:type="dxa"/>
              <w:right w:w="20" w:type="dxa"/>
            </w:tcMar>
          </w:tcPr>
          <w:p w14:paraId="5EA242AB"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42AC" w14:textId="77777777" w:rsidR="003C66EB" w:rsidRDefault="00D96C4E">
            <w:pPr>
              <w:jc w:val="center"/>
              <w:textAlignment w:val="bottom"/>
            </w:pPr>
            <w:r>
              <w:rPr>
                <w:rFonts w:ascii="Arial" w:eastAsia="宋体" w:hAnsi="Arial" w:cs="Arial"/>
                <w:b/>
                <w:bCs/>
                <w:color w:val="000000"/>
                <w:sz w:val="14"/>
                <w:szCs w:val="14"/>
              </w:rPr>
              <w:t>1 to 5 Years</w:t>
            </w:r>
          </w:p>
        </w:tc>
        <w:tc>
          <w:tcPr>
            <w:tcW w:w="0" w:type="auto"/>
            <w:gridSpan w:val="3"/>
            <w:tcBorders>
              <w:top w:val="single" w:sz="8" w:space="0" w:color="000000"/>
            </w:tcBorders>
            <w:shd w:val="clear" w:color="auto" w:fill="auto"/>
            <w:tcMar>
              <w:top w:w="0" w:type="dxa"/>
              <w:left w:w="20" w:type="dxa"/>
              <w:bottom w:w="0" w:type="dxa"/>
              <w:right w:w="20" w:type="dxa"/>
            </w:tcMar>
          </w:tcPr>
          <w:p w14:paraId="5EA242AD"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42AE" w14:textId="77777777" w:rsidR="003C66EB" w:rsidRDefault="00D96C4E">
            <w:pPr>
              <w:jc w:val="center"/>
              <w:textAlignment w:val="bottom"/>
            </w:pPr>
            <w:r>
              <w:rPr>
                <w:rFonts w:ascii="Arial" w:eastAsia="宋体" w:hAnsi="Arial" w:cs="Arial"/>
                <w:b/>
                <w:bCs/>
                <w:color w:val="000000"/>
                <w:sz w:val="14"/>
                <w:szCs w:val="14"/>
              </w:rPr>
              <w:t>6 to 10 Years</w:t>
            </w:r>
          </w:p>
        </w:tc>
        <w:tc>
          <w:tcPr>
            <w:tcW w:w="0" w:type="auto"/>
            <w:gridSpan w:val="3"/>
            <w:tcBorders>
              <w:top w:val="single" w:sz="8" w:space="0" w:color="000000"/>
            </w:tcBorders>
            <w:shd w:val="clear" w:color="auto" w:fill="auto"/>
            <w:tcMar>
              <w:top w:w="0" w:type="dxa"/>
              <w:left w:w="20" w:type="dxa"/>
              <w:bottom w:w="0" w:type="dxa"/>
              <w:right w:w="20" w:type="dxa"/>
            </w:tcMar>
          </w:tcPr>
          <w:p w14:paraId="5EA242AF"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42B0" w14:textId="77777777" w:rsidR="003C66EB" w:rsidRDefault="00D96C4E">
            <w:pPr>
              <w:jc w:val="center"/>
              <w:textAlignment w:val="bottom"/>
            </w:pPr>
            <w:r>
              <w:rPr>
                <w:rFonts w:ascii="Arial" w:eastAsia="宋体" w:hAnsi="Arial" w:cs="Arial"/>
                <w:b/>
                <w:bCs/>
                <w:color w:val="000000"/>
                <w:sz w:val="14"/>
                <w:szCs w:val="14"/>
              </w:rPr>
              <w:t>Over 10 Years</w:t>
            </w:r>
          </w:p>
        </w:tc>
        <w:tc>
          <w:tcPr>
            <w:tcW w:w="0" w:type="auto"/>
            <w:gridSpan w:val="3"/>
            <w:tcBorders>
              <w:top w:val="single" w:sz="8" w:space="0" w:color="000000"/>
            </w:tcBorders>
            <w:shd w:val="clear" w:color="auto" w:fill="auto"/>
            <w:tcMar>
              <w:top w:w="0" w:type="dxa"/>
              <w:left w:w="20" w:type="dxa"/>
              <w:bottom w:w="0" w:type="dxa"/>
              <w:right w:w="20" w:type="dxa"/>
            </w:tcMar>
          </w:tcPr>
          <w:p w14:paraId="5EA242B1"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42B2" w14:textId="77777777" w:rsidR="003C66EB" w:rsidRDefault="00D96C4E">
            <w:pPr>
              <w:jc w:val="center"/>
              <w:textAlignment w:val="bottom"/>
            </w:pPr>
            <w:r>
              <w:rPr>
                <w:rFonts w:ascii="Arial" w:eastAsia="宋体" w:hAnsi="Arial" w:cs="Arial"/>
                <w:b/>
                <w:bCs/>
                <w:color w:val="000000"/>
                <w:sz w:val="14"/>
                <w:szCs w:val="14"/>
              </w:rPr>
              <w:t>Total</w:t>
            </w:r>
          </w:p>
        </w:tc>
      </w:tr>
      <w:tr w:rsidR="003C66EB" w14:paraId="5EA242C8" w14:textId="77777777">
        <w:tc>
          <w:tcPr>
            <w:tcW w:w="0" w:type="auto"/>
            <w:gridSpan w:val="3"/>
            <w:shd w:val="clear" w:color="auto" w:fill="auto"/>
            <w:tcMar>
              <w:top w:w="0" w:type="dxa"/>
              <w:left w:w="20" w:type="dxa"/>
              <w:bottom w:w="0" w:type="dxa"/>
              <w:right w:w="20" w:type="dxa"/>
            </w:tcMar>
          </w:tcPr>
          <w:p w14:paraId="5EA242B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B5" w14:textId="77777777" w:rsidR="003C66EB" w:rsidRDefault="00D96C4E">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5EA242B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B7" w14:textId="77777777" w:rsidR="003C66EB" w:rsidRDefault="00D96C4E">
            <w:pPr>
              <w:jc w:val="center"/>
              <w:textAlignment w:val="bottom"/>
            </w:pPr>
            <w:r>
              <w:rPr>
                <w:rFonts w:ascii="Arial" w:eastAsia="宋体" w:hAnsi="Arial" w:cs="Arial"/>
                <w:b/>
                <w:bCs/>
                <w:color w:val="000000"/>
                <w:sz w:val="14"/>
                <w:szCs w:val="14"/>
              </w:rPr>
              <w:t xml:space="preserve">Fair </w:t>
            </w:r>
            <w:r>
              <w:rPr>
                <w:rFonts w:ascii="Arial" w:eastAsia="宋体" w:hAnsi="Arial" w:cs="Arial"/>
                <w:b/>
                <w:bCs/>
                <w:color w:val="000000"/>
                <w:sz w:val="14"/>
                <w:szCs w:val="14"/>
              </w:rPr>
              <w:t>Value</w:t>
            </w:r>
          </w:p>
        </w:tc>
        <w:tc>
          <w:tcPr>
            <w:tcW w:w="0" w:type="auto"/>
            <w:gridSpan w:val="3"/>
            <w:shd w:val="clear" w:color="auto" w:fill="auto"/>
            <w:tcMar>
              <w:top w:w="0" w:type="dxa"/>
              <w:left w:w="20" w:type="dxa"/>
              <w:bottom w:w="0" w:type="dxa"/>
              <w:right w:w="20" w:type="dxa"/>
            </w:tcMar>
          </w:tcPr>
          <w:p w14:paraId="5EA242B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B9" w14:textId="77777777" w:rsidR="003C66EB" w:rsidRDefault="00D96C4E">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5EA242B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BB" w14:textId="77777777" w:rsidR="003C66EB" w:rsidRDefault="00D96C4E">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5EA242B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BD" w14:textId="77777777" w:rsidR="003C66EB" w:rsidRDefault="00D96C4E">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5EA242B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BF" w14:textId="77777777" w:rsidR="003C66EB" w:rsidRDefault="00D96C4E">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5EA242C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C1" w14:textId="77777777" w:rsidR="003C66EB" w:rsidRDefault="00D96C4E">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5EA242C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C3" w14:textId="77777777" w:rsidR="003C66EB" w:rsidRDefault="00D96C4E">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5EA242C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C5" w14:textId="77777777" w:rsidR="003C66EB" w:rsidRDefault="00D96C4E">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5EA242C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42C7" w14:textId="77777777" w:rsidR="003C66EB" w:rsidRDefault="00D96C4E">
            <w:pPr>
              <w:jc w:val="center"/>
              <w:textAlignment w:val="bottom"/>
            </w:pPr>
            <w:r>
              <w:rPr>
                <w:rFonts w:ascii="Arial" w:eastAsia="宋体" w:hAnsi="Arial" w:cs="Arial"/>
                <w:b/>
                <w:bCs/>
                <w:color w:val="000000"/>
                <w:sz w:val="14"/>
                <w:szCs w:val="14"/>
              </w:rPr>
              <w:t>Fair Value</w:t>
            </w:r>
          </w:p>
        </w:tc>
      </w:tr>
      <w:tr w:rsidR="003C66EB" w14:paraId="5EA242DD" w14:textId="77777777">
        <w:tc>
          <w:tcPr>
            <w:tcW w:w="0" w:type="auto"/>
            <w:gridSpan w:val="3"/>
            <w:shd w:val="clear" w:color="auto" w:fill="auto"/>
            <w:tcMar>
              <w:top w:w="40" w:type="dxa"/>
              <w:left w:w="20" w:type="dxa"/>
              <w:bottom w:w="40" w:type="dxa"/>
              <w:right w:w="20" w:type="dxa"/>
            </w:tcMar>
            <w:vAlign w:val="bottom"/>
          </w:tcPr>
          <w:p w14:paraId="5EA242C9" w14:textId="77777777" w:rsidR="003C66EB" w:rsidRDefault="00D96C4E">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5EA242C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C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C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C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C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C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D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D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D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D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D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D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2DC" w14:textId="77777777" w:rsidR="003C66EB" w:rsidRDefault="003C66EB">
            <w:pPr>
              <w:rPr>
                <w:rFonts w:ascii="宋体"/>
              </w:rPr>
            </w:pPr>
          </w:p>
        </w:tc>
      </w:tr>
      <w:tr w:rsidR="003C66EB" w14:paraId="5EA242F2" w14:textId="77777777">
        <w:tc>
          <w:tcPr>
            <w:tcW w:w="0" w:type="auto"/>
            <w:gridSpan w:val="3"/>
            <w:shd w:val="clear" w:color="auto" w:fill="auto"/>
            <w:tcMar>
              <w:top w:w="40" w:type="dxa"/>
              <w:left w:w="20" w:type="dxa"/>
              <w:bottom w:w="40" w:type="dxa"/>
              <w:right w:w="20" w:type="dxa"/>
            </w:tcMar>
            <w:vAlign w:val="bottom"/>
          </w:tcPr>
          <w:p w14:paraId="5EA242DE" w14:textId="77777777" w:rsidR="003C66EB" w:rsidRDefault="00D96C4E">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tcPr>
          <w:p w14:paraId="5EA242D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2F1" w14:textId="77777777" w:rsidR="003C66EB" w:rsidRDefault="003C66EB">
            <w:pPr>
              <w:rPr>
                <w:rFonts w:ascii="宋体"/>
              </w:rPr>
            </w:pPr>
          </w:p>
        </w:tc>
      </w:tr>
      <w:tr w:rsidR="00D96C4E" w14:paraId="5EA2431B" w14:textId="77777777">
        <w:tc>
          <w:tcPr>
            <w:tcW w:w="0" w:type="auto"/>
            <w:gridSpan w:val="3"/>
            <w:shd w:val="clear" w:color="auto" w:fill="CCEEFF"/>
            <w:tcMar>
              <w:top w:w="40" w:type="dxa"/>
              <w:left w:w="245" w:type="dxa"/>
              <w:bottom w:w="40" w:type="dxa"/>
              <w:right w:w="20" w:type="dxa"/>
            </w:tcMar>
            <w:vAlign w:val="bottom"/>
          </w:tcPr>
          <w:p w14:paraId="5EA242F3" w14:textId="77777777" w:rsidR="003C66EB" w:rsidRDefault="00D96C4E">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A242F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2F5" w14:textId="77777777" w:rsidR="003C66EB" w:rsidRDefault="00D96C4E">
            <w:pPr>
              <w:jc w:val="right"/>
              <w:textAlignment w:val="bottom"/>
            </w:pPr>
            <w:r>
              <w:rPr>
                <w:rFonts w:ascii="Arial" w:eastAsia="宋体" w:hAnsi="Arial" w:cs="Arial"/>
                <w:b/>
                <w:bCs/>
                <w:color w:val="000000"/>
                <w:sz w:val="14"/>
                <w:szCs w:val="14"/>
              </w:rPr>
              <w:t>3,211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2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2F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2F8"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2F9" w14:textId="77777777" w:rsidR="003C66EB" w:rsidRDefault="00D96C4E">
            <w:pPr>
              <w:jc w:val="right"/>
              <w:textAlignment w:val="bottom"/>
            </w:pPr>
            <w:r>
              <w:rPr>
                <w:rFonts w:ascii="Arial" w:eastAsia="宋体" w:hAnsi="Arial" w:cs="Arial"/>
                <w:b/>
                <w:bCs/>
                <w:color w:val="000000"/>
                <w:sz w:val="14"/>
                <w:szCs w:val="14"/>
              </w:rPr>
              <w:t>3,219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2F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2F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2FC"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2FD" w14:textId="77777777" w:rsidR="003C66EB" w:rsidRDefault="00D96C4E">
            <w:pPr>
              <w:jc w:val="right"/>
              <w:textAlignment w:val="bottom"/>
            </w:pPr>
            <w:r>
              <w:rPr>
                <w:rFonts w:ascii="Arial" w:eastAsia="宋体" w:hAnsi="Arial" w:cs="Arial"/>
                <w:b/>
                <w:bCs/>
                <w:color w:val="000000"/>
                <w:sz w:val="14"/>
                <w:szCs w:val="14"/>
              </w:rPr>
              <w:t>3,524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2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2F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00"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01" w14:textId="77777777" w:rsidR="003C66EB" w:rsidRDefault="00D96C4E">
            <w:pPr>
              <w:jc w:val="right"/>
              <w:textAlignment w:val="bottom"/>
            </w:pPr>
            <w:r>
              <w:rPr>
                <w:rFonts w:ascii="Arial" w:eastAsia="宋体" w:hAnsi="Arial" w:cs="Arial"/>
                <w:b/>
                <w:bCs/>
                <w:color w:val="000000"/>
                <w:sz w:val="14"/>
                <w:szCs w:val="14"/>
              </w:rPr>
              <w:t>3,513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0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0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05" w14:textId="77777777" w:rsidR="003C66EB" w:rsidRDefault="00D96C4E">
            <w:pPr>
              <w:jc w:val="right"/>
              <w:textAlignment w:val="bottom"/>
            </w:pPr>
            <w:r>
              <w:rPr>
                <w:rFonts w:ascii="Arial" w:eastAsia="宋体" w:hAnsi="Arial" w:cs="Arial"/>
                <w:b/>
                <w:bCs/>
                <w:color w:val="000000"/>
                <w:sz w:val="14"/>
                <w:szCs w:val="14"/>
              </w:rPr>
              <w:t>2,213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0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0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08"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09" w14:textId="77777777" w:rsidR="003C66EB" w:rsidRDefault="00D96C4E">
            <w:pPr>
              <w:jc w:val="right"/>
              <w:textAlignment w:val="bottom"/>
            </w:pPr>
            <w:r>
              <w:rPr>
                <w:rFonts w:ascii="Arial" w:eastAsia="宋体" w:hAnsi="Arial" w:cs="Arial"/>
                <w:b/>
                <w:bCs/>
                <w:color w:val="000000"/>
                <w:sz w:val="14"/>
                <w:szCs w:val="14"/>
              </w:rPr>
              <w:t>2,205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0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0C"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0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0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10"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1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1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14"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15" w14:textId="77777777" w:rsidR="003C66EB" w:rsidRDefault="00D96C4E">
            <w:pPr>
              <w:jc w:val="right"/>
              <w:textAlignment w:val="bottom"/>
            </w:pPr>
            <w:r>
              <w:rPr>
                <w:rFonts w:ascii="Arial" w:eastAsia="宋体" w:hAnsi="Arial" w:cs="Arial"/>
                <w:b/>
                <w:bCs/>
                <w:color w:val="000000"/>
                <w:sz w:val="14"/>
                <w:szCs w:val="14"/>
              </w:rPr>
              <w:t>8,948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1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1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318"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319" w14:textId="77777777" w:rsidR="003C66EB" w:rsidRDefault="00D96C4E">
            <w:pPr>
              <w:jc w:val="right"/>
              <w:textAlignment w:val="bottom"/>
            </w:pPr>
            <w:r>
              <w:rPr>
                <w:rFonts w:ascii="Arial" w:eastAsia="宋体" w:hAnsi="Arial" w:cs="Arial"/>
                <w:b/>
                <w:bCs/>
                <w:color w:val="000000"/>
                <w:sz w:val="14"/>
                <w:szCs w:val="14"/>
              </w:rPr>
              <w:t>8,937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1A" w14:textId="77777777" w:rsidR="003C66EB" w:rsidRDefault="003C66EB">
            <w:pPr>
              <w:jc w:val="right"/>
              <w:rPr>
                <w:rFonts w:ascii="宋体"/>
              </w:rPr>
            </w:pPr>
          </w:p>
        </w:tc>
      </w:tr>
      <w:tr w:rsidR="00D96C4E" w14:paraId="5EA2433A" w14:textId="77777777">
        <w:tc>
          <w:tcPr>
            <w:tcW w:w="0" w:type="auto"/>
            <w:gridSpan w:val="3"/>
            <w:shd w:val="clear" w:color="auto" w:fill="FFFFFF"/>
            <w:tcMar>
              <w:top w:w="40" w:type="dxa"/>
              <w:left w:w="245" w:type="dxa"/>
              <w:bottom w:w="40" w:type="dxa"/>
              <w:right w:w="20" w:type="dxa"/>
            </w:tcMar>
            <w:vAlign w:val="bottom"/>
          </w:tcPr>
          <w:p w14:paraId="5EA2431C"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A2431D" w14:textId="77777777" w:rsidR="003C66EB" w:rsidRDefault="00D96C4E">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1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1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20" w14:textId="77777777" w:rsidR="003C66EB" w:rsidRDefault="00D96C4E">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2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23" w14:textId="77777777" w:rsidR="003C66EB" w:rsidRDefault="00D96C4E">
            <w:pPr>
              <w:jc w:val="right"/>
              <w:textAlignment w:val="bottom"/>
            </w:pPr>
            <w:r>
              <w:rPr>
                <w:rFonts w:ascii="Arial" w:eastAsia="宋体" w:hAnsi="Arial" w:cs="Arial"/>
                <w:b/>
                <w:bCs/>
                <w:color w:val="000000"/>
                <w:sz w:val="14"/>
                <w:szCs w:val="14"/>
              </w:rPr>
              <w:t>795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2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26" w14:textId="77777777" w:rsidR="003C66EB" w:rsidRDefault="00D96C4E">
            <w:pPr>
              <w:jc w:val="right"/>
              <w:textAlignment w:val="bottom"/>
            </w:pPr>
            <w:r>
              <w:rPr>
                <w:rFonts w:ascii="Arial" w:eastAsia="宋体" w:hAnsi="Arial" w:cs="Arial"/>
                <w:b/>
                <w:bCs/>
                <w:color w:val="000000"/>
                <w:sz w:val="14"/>
                <w:szCs w:val="14"/>
              </w:rPr>
              <w:t>808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29" w14:textId="77777777" w:rsidR="003C66EB" w:rsidRDefault="00D96C4E">
            <w:pPr>
              <w:jc w:val="right"/>
              <w:textAlignment w:val="bottom"/>
            </w:pPr>
            <w:r>
              <w:rPr>
                <w:rFonts w:ascii="Arial" w:eastAsia="宋体" w:hAnsi="Arial" w:cs="Arial"/>
                <w:b/>
                <w:bCs/>
                <w:color w:val="000000"/>
                <w:sz w:val="14"/>
                <w:szCs w:val="14"/>
              </w:rPr>
              <w:t>3,808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2C" w14:textId="77777777" w:rsidR="003C66EB" w:rsidRDefault="00D96C4E">
            <w:pPr>
              <w:jc w:val="right"/>
              <w:textAlignment w:val="bottom"/>
            </w:pPr>
            <w:r>
              <w:rPr>
                <w:rFonts w:ascii="Arial" w:eastAsia="宋体" w:hAnsi="Arial" w:cs="Arial"/>
                <w:b/>
                <w:bCs/>
                <w:color w:val="000000"/>
                <w:sz w:val="14"/>
                <w:szCs w:val="14"/>
              </w:rPr>
              <w:t>3,830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2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2F" w14:textId="77777777" w:rsidR="003C66EB" w:rsidRDefault="00D96C4E">
            <w:pPr>
              <w:jc w:val="right"/>
              <w:textAlignment w:val="bottom"/>
            </w:pPr>
            <w:r>
              <w:rPr>
                <w:rFonts w:ascii="Arial" w:eastAsia="宋体" w:hAnsi="Arial" w:cs="Arial"/>
                <w:b/>
                <w:bCs/>
                <w:color w:val="000000"/>
                <w:sz w:val="14"/>
                <w:szCs w:val="14"/>
              </w:rPr>
              <w:t>9,469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32" w14:textId="77777777" w:rsidR="003C66EB" w:rsidRDefault="00D96C4E">
            <w:pPr>
              <w:jc w:val="right"/>
              <w:textAlignment w:val="bottom"/>
            </w:pPr>
            <w:r>
              <w:rPr>
                <w:rFonts w:ascii="Arial" w:eastAsia="宋体" w:hAnsi="Arial" w:cs="Arial"/>
                <w:b/>
                <w:bCs/>
                <w:color w:val="000000"/>
                <w:sz w:val="14"/>
                <w:szCs w:val="14"/>
              </w:rPr>
              <w:t>9,673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35" w14:textId="77777777" w:rsidR="003C66EB" w:rsidRDefault="00D96C4E">
            <w:pPr>
              <w:jc w:val="right"/>
              <w:textAlignment w:val="bottom"/>
            </w:pPr>
            <w:r>
              <w:rPr>
                <w:rFonts w:ascii="Arial" w:eastAsia="宋体" w:hAnsi="Arial" w:cs="Arial"/>
                <w:b/>
                <w:bCs/>
                <w:color w:val="000000"/>
                <w:sz w:val="14"/>
                <w:szCs w:val="14"/>
              </w:rPr>
              <w:t>14,181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3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38" w14:textId="77777777" w:rsidR="003C66EB" w:rsidRDefault="00D96C4E">
            <w:pPr>
              <w:jc w:val="right"/>
              <w:textAlignment w:val="bottom"/>
            </w:pPr>
            <w:r>
              <w:rPr>
                <w:rFonts w:ascii="Arial" w:eastAsia="宋体" w:hAnsi="Arial" w:cs="Arial"/>
                <w:b/>
                <w:bCs/>
                <w:color w:val="000000"/>
                <w:sz w:val="14"/>
                <w:szCs w:val="14"/>
              </w:rPr>
              <w:t>14,425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39" w14:textId="77777777" w:rsidR="003C66EB" w:rsidRDefault="003C66EB">
            <w:pPr>
              <w:jc w:val="right"/>
              <w:rPr>
                <w:rFonts w:ascii="宋体"/>
              </w:rPr>
            </w:pPr>
          </w:p>
        </w:tc>
      </w:tr>
      <w:tr w:rsidR="00D96C4E" w14:paraId="5EA24359" w14:textId="77777777">
        <w:tc>
          <w:tcPr>
            <w:tcW w:w="0" w:type="auto"/>
            <w:gridSpan w:val="3"/>
            <w:shd w:val="clear" w:color="auto" w:fill="CCEEFF"/>
            <w:tcMar>
              <w:top w:w="40" w:type="dxa"/>
              <w:left w:w="515" w:type="dxa"/>
              <w:bottom w:w="40" w:type="dxa"/>
              <w:right w:w="20" w:type="dxa"/>
            </w:tcMar>
            <w:vAlign w:val="bottom"/>
          </w:tcPr>
          <w:p w14:paraId="5EA2433B" w14:textId="77777777" w:rsidR="003C66EB" w:rsidRDefault="00D96C4E">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3C" w14:textId="77777777" w:rsidR="003C66EB" w:rsidRDefault="00D96C4E">
            <w:pPr>
              <w:jc w:val="right"/>
              <w:textAlignment w:val="bottom"/>
            </w:pPr>
            <w:r>
              <w:rPr>
                <w:rFonts w:ascii="Arial" w:eastAsia="宋体" w:hAnsi="Arial" w:cs="Arial"/>
                <w:b/>
                <w:bCs/>
                <w:color w:val="000000"/>
                <w:sz w:val="14"/>
                <w:szCs w:val="14"/>
              </w:rPr>
              <w:t>3,320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3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3F" w14:textId="77777777" w:rsidR="003C66EB" w:rsidRDefault="00D96C4E">
            <w:pPr>
              <w:jc w:val="right"/>
              <w:textAlignment w:val="bottom"/>
            </w:pPr>
            <w:r>
              <w:rPr>
                <w:rFonts w:ascii="Arial" w:eastAsia="宋体" w:hAnsi="Arial" w:cs="Arial"/>
                <w:b/>
                <w:bCs/>
                <w:color w:val="000000"/>
                <w:sz w:val="14"/>
                <w:szCs w:val="14"/>
              </w:rPr>
              <w:t>3,333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4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4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42" w14:textId="77777777" w:rsidR="003C66EB" w:rsidRDefault="00D96C4E">
            <w:pPr>
              <w:jc w:val="right"/>
              <w:textAlignment w:val="bottom"/>
            </w:pPr>
            <w:r>
              <w:rPr>
                <w:rFonts w:ascii="Arial" w:eastAsia="宋体" w:hAnsi="Arial" w:cs="Arial"/>
                <w:b/>
                <w:bCs/>
                <w:color w:val="000000"/>
                <w:sz w:val="14"/>
                <w:szCs w:val="14"/>
              </w:rPr>
              <w:t>4,319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4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45" w14:textId="77777777" w:rsidR="003C66EB" w:rsidRDefault="00D96C4E">
            <w:pPr>
              <w:jc w:val="right"/>
              <w:textAlignment w:val="bottom"/>
            </w:pPr>
            <w:r>
              <w:rPr>
                <w:rFonts w:ascii="Arial" w:eastAsia="宋体" w:hAnsi="Arial" w:cs="Arial"/>
                <w:b/>
                <w:bCs/>
                <w:color w:val="000000"/>
                <w:sz w:val="14"/>
                <w:szCs w:val="14"/>
              </w:rPr>
              <w:t>4,321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4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4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48" w14:textId="77777777" w:rsidR="003C66EB" w:rsidRDefault="00D96C4E">
            <w:pPr>
              <w:jc w:val="right"/>
              <w:textAlignment w:val="bottom"/>
            </w:pPr>
            <w:r>
              <w:rPr>
                <w:rFonts w:ascii="Arial" w:eastAsia="宋体" w:hAnsi="Arial" w:cs="Arial"/>
                <w:b/>
                <w:bCs/>
                <w:color w:val="000000"/>
                <w:sz w:val="14"/>
                <w:szCs w:val="14"/>
              </w:rPr>
              <w:t>6,021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4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4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4B" w14:textId="77777777" w:rsidR="003C66EB" w:rsidRDefault="00D96C4E">
            <w:pPr>
              <w:jc w:val="right"/>
              <w:textAlignment w:val="bottom"/>
            </w:pPr>
            <w:r>
              <w:rPr>
                <w:rFonts w:ascii="Arial" w:eastAsia="宋体" w:hAnsi="Arial" w:cs="Arial"/>
                <w:b/>
                <w:bCs/>
                <w:color w:val="000000"/>
                <w:sz w:val="14"/>
                <w:szCs w:val="14"/>
              </w:rPr>
              <w:t>6,035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4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4E" w14:textId="77777777" w:rsidR="003C66EB" w:rsidRDefault="00D96C4E">
            <w:pPr>
              <w:jc w:val="right"/>
              <w:textAlignment w:val="bottom"/>
            </w:pPr>
            <w:r>
              <w:rPr>
                <w:rFonts w:ascii="Arial" w:eastAsia="宋体" w:hAnsi="Arial" w:cs="Arial"/>
                <w:b/>
                <w:bCs/>
                <w:color w:val="000000"/>
                <w:sz w:val="14"/>
                <w:szCs w:val="14"/>
              </w:rPr>
              <w:t>9,469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5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51" w14:textId="77777777" w:rsidR="003C66EB" w:rsidRDefault="00D96C4E">
            <w:pPr>
              <w:jc w:val="right"/>
              <w:textAlignment w:val="bottom"/>
            </w:pPr>
            <w:r>
              <w:rPr>
                <w:rFonts w:ascii="Arial" w:eastAsia="宋体" w:hAnsi="Arial" w:cs="Arial"/>
                <w:b/>
                <w:bCs/>
                <w:color w:val="000000"/>
                <w:sz w:val="14"/>
                <w:szCs w:val="14"/>
              </w:rPr>
              <w:t>9,673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5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54" w14:textId="77777777" w:rsidR="003C66EB" w:rsidRDefault="00D96C4E">
            <w:pPr>
              <w:jc w:val="right"/>
              <w:textAlignment w:val="bottom"/>
            </w:pPr>
            <w:r>
              <w:rPr>
                <w:rFonts w:ascii="Arial" w:eastAsia="宋体" w:hAnsi="Arial" w:cs="Arial"/>
                <w:b/>
                <w:bCs/>
                <w:color w:val="000000"/>
                <w:sz w:val="14"/>
                <w:szCs w:val="14"/>
              </w:rPr>
              <w:t>23,129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5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357" w14:textId="77777777" w:rsidR="003C66EB" w:rsidRDefault="00D96C4E">
            <w:pPr>
              <w:jc w:val="right"/>
              <w:textAlignment w:val="bottom"/>
            </w:pPr>
            <w:r>
              <w:rPr>
                <w:rFonts w:ascii="Arial" w:eastAsia="宋体" w:hAnsi="Arial" w:cs="Arial"/>
                <w:b/>
                <w:bCs/>
                <w:color w:val="000000"/>
                <w:sz w:val="14"/>
                <w:szCs w:val="14"/>
              </w:rPr>
              <w:t>23,362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358" w14:textId="77777777" w:rsidR="003C66EB" w:rsidRDefault="003C66EB">
            <w:pPr>
              <w:jc w:val="right"/>
              <w:rPr>
                <w:rFonts w:ascii="宋体"/>
              </w:rPr>
            </w:pPr>
          </w:p>
        </w:tc>
      </w:tr>
      <w:tr w:rsidR="003C66EB" w14:paraId="5EA2436E" w14:textId="77777777">
        <w:tc>
          <w:tcPr>
            <w:tcW w:w="0" w:type="auto"/>
            <w:gridSpan w:val="3"/>
            <w:shd w:val="clear" w:color="auto" w:fill="FFFFFF"/>
            <w:tcMar>
              <w:top w:w="40" w:type="dxa"/>
              <w:left w:w="20" w:type="dxa"/>
              <w:bottom w:w="40" w:type="dxa"/>
              <w:right w:w="20" w:type="dxa"/>
            </w:tcMar>
            <w:vAlign w:val="bottom"/>
          </w:tcPr>
          <w:p w14:paraId="5EA2435A"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435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5C"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5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5E"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5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0"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2"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4"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6"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8"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A"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36C"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36D" w14:textId="77777777" w:rsidR="003C66EB" w:rsidRDefault="003C66EB">
            <w:pPr>
              <w:rPr>
                <w:rFonts w:ascii="宋体"/>
              </w:rPr>
            </w:pPr>
          </w:p>
        </w:tc>
      </w:tr>
      <w:tr w:rsidR="00D96C4E" w14:paraId="5EA2438D" w14:textId="77777777">
        <w:tc>
          <w:tcPr>
            <w:tcW w:w="0" w:type="auto"/>
            <w:gridSpan w:val="3"/>
            <w:shd w:val="clear" w:color="auto" w:fill="CCEEFF"/>
            <w:tcMar>
              <w:top w:w="40" w:type="dxa"/>
              <w:left w:w="245" w:type="dxa"/>
              <w:bottom w:w="40" w:type="dxa"/>
              <w:right w:w="20" w:type="dxa"/>
            </w:tcMar>
            <w:vAlign w:val="bottom"/>
          </w:tcPr>
          <w:p w14:paraId="5EA2436F" w14:textId="77777777" w:rsidR="003C66EB" w:rsidRDefault="00D96C4E">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5EA24370" w14:textId="77777777" w:rsidR="003C66EB" w:rsidRDefault="00D96C4E">
            <w:pPr>
              <w:jc w:val="right"/>
              <w:textAlignment w:val="bottom"/>
            </w:pPr>
            <w:r>
              <w:rPr>
                <w:rFonts w:ascii="Arial" w:eastAsia="宋体" w:hAnsi="Arial" w:cs="Arial"/>
                <w:b/>
                <w:bCs/>
                <w:color w:val="000000"/>
                <w:sz w:val="14"/>
                <w:szCs w:val="14"/>
              </w:rPr>
              <w:t>123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7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73" w14:textId="77777777" w:rsidR="003C66EB" w:rsidRDefault="00D96C4E">
            <w:pPr>
              <w:jc w:val="right"/>
              <w:textAlignment w:val="bottom"/>
            </w:pPr>
            <w:r>
              <w:rPr>
                <w:rFonts w:ascii="Arial" w:eastAsia="宋体" w:hAnsi="Arial" w:cs="Arial"/>
                <w:b/>
                <w:bCs/>
                <w:color w:val="000000"/>
                <w:sz w:val="14"/>
                <w:szCs w:val="14"/>
              </w:rPr>
              <w:t>127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7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76" w14:textId="77777777" w:rsidR="003C66EB" w:rsidRDefault="00D96C4E">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7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79" w14:textId="77777777" w:rsidR="003C66EB" w:rsidRDefault="00D96C4E">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7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7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7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7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7F"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82" w14:textId="77777777" w:rsidR="003C66EB" w:rsidRDefault="00D96C4E">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8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85" w14:textId="77777777" w:rsidR="003C66EB" w:rsidRDefault="00D96C4E">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8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88" w14:textId="77777777" w:rsidR="003C66EB" w:rsidRDefault="00D96C4E">
            <w:pPr>
              <w:jc w:val="right"/>
              <w:textAlignment w:val="bottom"/>
            </w:pPr>
            <w:r>
              <w:rPr>
                <w:rFonts w:ascii="Arial" w:eastAsia="宋体" w:hAnsi="Arial" w:cs="Arial"/>
                <w:b/>
                <w:bCs/>
                <w:color w:val="000000"/>
                <w:sz w:val="14"/>
                <w:szCs w:val="14"/>
              </w:rPr>
              <w:t>283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8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8B" w14:textId="77777777" w:rsidR="003C66EB" w:rsidRDefault="00D96C4E">
            <w:pPr>
              <w:jc w:val="right"/>
              <w:textAlignment w:val="bottom"/>
            </w:pPr>
            <w:r>
              <w:rPr>
                <w:rFonts w:ascii="Arial" w:eastAsia="宋体" w:hAnsi="Arial" w:cs="Arial"/>
                <w:b/>
                <w:bCs/>
                <w:color w:val="000000"/>
                <w:sz w:val="14"/>
                <w:szCs w:val="14"/>
              </w:rPr>
              <w:t>288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8C" w14:textId="77777777" w:rsidR="003C66EB" w:rsidRDefault="003C66EB">
            <w:pPr>
              <w:jc w:val="right"/>
              <w:rPr>
                <w:rFonts w:ascii="宋体"/>
              </w:rPr>
            </w:pPr>
          </w:p>
        </w:tc>
      </w:tr>
      <w:tr w:rsidR="00D96C4E" w14:paraId="5EA243AC" w14:textId="77777777">
        <w:tc>
          <w:tcPr>
            <w:tcW w:w="0" w:type="auto"/>
            <w:gridSpan w:val="3"/>
            <w:shd w:val="clear" w:color="auto" w:fill="FFFFFF"/>
            <w:tcMar>
              <w:top w:w="40" w:type="dxa"/>
              <w:left w:w="245" w:type="dxa"/>
              <w:bottom w:w="40" w:type="dxa"/>
              <w:right w:w="20" w:type="dxa"/>
            </w:tcMar>
            <w:vAlign w:val="bottom"/>
          </w:tcPr>
          <w:p w14:paraId="5EA2438E" w14:textId="77777777" w:rsidR="003C66EB" w:rsidRDefault="00D96C4E">
            <w:pPr>
              <w:textAlignment w:val="bottom"/>
            </w:pPr>
            <w:r>
              <w:rPr>
                <w:rFonts w:ascii="Arial" w:eastAsia="宋体" w:hAnsi="Arial" w:cs="Arial"/>
                <w:color w:val="000000"/>
                <w:sz w:val="14"/>
                <w:szCs w:val="14"/>
              </w:rPr>
              <w:t>Credit cards</w:t>
            </w:r>
          </w:p>
        </w:tc>
        <w:tc>
          <w:tcPr>
            <w:tcW w:w="0" w:type="auto"/>
            <w:gridSpan w:val="2"/>
            <w:shd w:val="clear" w:color="auto" w:fill="FFFFFF"/>
            <w:tcMar>
              <w:top w:w="40" w:type="dxa"/>
              <w:left w:w="20" w:type="dxa"/>
              <w:bottom w:w="40" w:type="dxa"/>
              <w:right w:w="0" w:type="dxa"/>
            </w:tcMar>
            <w:vAlign w:val="bottom"/>
          </w:tcPr>
          <w:p w14:paraId="5EA2438F"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9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9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9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9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9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9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9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9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9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9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9B" w14:textId="77777777" w:rsidR="003C66EB" w:rsidRDefault="00D96C4E">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9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9E" w14:textId="77777777" w:rsidR="003C66EB" w:rsidRDefault="00D96C4E">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A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A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A4"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A7" w14:textId="77777777" w:rsidR="003C66EB" w:rsidRDefault="00D96C4E">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AA" w14:textId="77777777" w:rsidR="003C66EB" w:rsidRDefault="00D96C4E">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AB" w14:textId="77777777" w:rsidR="003C66EB" w:rsidRDefault="003C66EB">
            <w:pPr>
              <w:jc w:val="right"/>
              <w:rPr>
                <w:rFonts w:ascii="宋体"/>
              </w:rPr>
            </w:pPr>
          </w:p>
        </w:tc>
      </w:tr>
      <w:tr w:rsidR="003C66EB" w14:paraId="5EA243C1" w14:textId="77777777">
        <w:trPr>
          <w:hidden/>
        </w:trPr>
        <w:tc>
          <w:tcPr>
            <w:tcW w:w="0" w:type="auto"/>
            <w:gridSpan w:val="3"/>
            <w:shd w:val="clear" w:color="auto" w:fill="auto"/>
          </w:tcPr>
          <w:p w14:paraId="5EA243AD" w14:textId="77777777" w:rsidR="003C66EB" w:rsidRDefault="003C66EB">
            <w:pPr>
              <w:rPr>
                <w:rFonts w:ascii="宋体"/>
                <w:vanish/>
              </w:rPr>
            </w:pPr>
          </w:p>
        </w:tc>
        <w:tc>
          <w:tcPr>
            <w:tcW w:w="0" w:type="auto"/>
            <w:gridSpan w:val="3"/>
            <w:shd w:val="clear" w:color="auto" w:fill="auto"/>
          </w:tcPr>
          <w:p w14:paraId="5EA243AE" w14:textId="77777777" w:rsidR="003C66EB" w:rsidRDefault="003C66EB">
            <w:pPr>
              <w:rPr>
                <w:rFonts w:ascii="宋体"/>
                <w:vanish/>
              </w:rPr>
            </w:pPr>
          </w:p>
        </w:tc>
        <w:tc>
          <w:tcPr>
            <w:tcW w:w="0" w:type="auto"/>
            <w:gridSpan w:val="3"/>
            <w:shd w:val="clear" w:color="auto" w:fill="auto"/>
          </w:tcPr>
          <w:p w14:paraId="5EA243AF" w14:textId="77777777" w:rsidR="003C66EB" w:rsidRDefault="003C66EB">
            <w:pPr>
              <w:rPr>
                <w:rFonts w:ascii="宋体"/>
                <w:vanish/>
              </w:rPr>
            </w:pPr>
          </w:p>
        </w:tc>
        <w:tc>
          <w:tcPr>
            <w:tcW w:w="0" w:type="auto"/>
            <w:gridSpan w:val="3"/>
            <w:shd w:val="clear" w:color="auto" w:fill="auto"/>
          </w:tcPr>
          <w:p w14:paraId="5EA243B0" w14:textId="77777777" w:rsidR="003C66EB" w:rsidRDefault="003C66EB">
            <w:pPr>
              <w:rPr>
                <w:rFonts w:ascii="宋体"/>
                <w:vanish/>
              </w:rPr>
            </w:pPr>
          </w:p>
        </w:tc>
        <w:tc>
          <w:tcPr>
            <w:tcW w:w="0" w:type="auto"/>
            <w:gridSpan w:val="3"/>
            <w:shd w:val="clear" w:color="auto" w:fill="auto"/>
          </w:tcPr>
          <w:p w14:paraId="5EA243B1" w14:textId="77777777" w:rsidR="003C66EB" w:rsidRDefault="003C66EB">
            <w:pPr>
              <w:rPr>
                <w:rFonts w:ascii="宋体"/>
                <w:vanish/>
              </w:rPr>
            </w:pPr>
          </w:p>
        </w:tc>
        <w:tc>
          <w:tcPr>
            <w:tcW w:w="0" w:type="auto"/>
            <w:gridSpan w:val="3"/>
            <w:shd w:val="clear" w:color="auto" w:fill="auto"/>
          </w:tcPr>
          <w:p w14:paraId="5EA243B2" w14:textId="77777777" w:rsidR="003C66EB" w:rsidRDefault="003C66EB">
            <w:pPr>
              <w:rPr>
                <w:rFonts w:ascii="宋体"/>
                <w:vanish/>
              </w:rPr>
            </w:pPr>
          </w:p>
        </w:tc>
        <w:tc>
          <w:tcPr>
            <w:tcW w:w="0" w:type="auto"/>
            <w:gridSpan w:val="3"/>
            <w:shd w:val="clear" w:color="auto" w:fill="auto"/>
          </w:tcPr>
          <w:p w14:paraId="5EA243B3" w14:textId="77777777" w:rsidR="003C66EB" w:rsidRDefault="003C66EB">
            <w:pPr>
              <w:rPr>
                <w:rFonts w:ascii="宋体"/>
                <w:vanish/>
              </w:rPr>
            </w:pPr>
          </w:p>
        </w:tc>
        <w:tc>
          <w:tcPr>
            <w:tcW w:w="0" w:type="auto"/>
            <w:gridSpan w:val="3"/>
            <w:shd w:val="clear" w:color="auto" w:fill="auto"/>
          </w:tcPr>
          <w:p w14:paraId="5EA243B4" w14:textId="77777777" w:rsidR="003C66EB" w:rsidRDefault="003C66EB">
            <w:pPr>
              <w:rPr>
                <w:rFonts w:ascii="宋体"/>
                <w:vanish/>
              </w:rPr>
            </w:pPr>
          </w:p>
        </w:tc>
        <w:tc>
          <w:tcPr>
            <w:tcW w:w="0" w:type="auto"/>
            <w:gridSpan w:val="3"/>
            <w:shd w:val="clear" w:color="auto" w:fill="auto"/>
          </w:tcPr>
          <w:p w14:paraId="5EA243B5" w14:textId="77777777" w:rsidR="003C66EB" w:rsidRDefault="003C66EB">
            <w:pPr>
              <w:rPr>
                <w:rFonts w:ascii="宋体"/>
                <w:vanish/>
              </w:rPr>
            </w:pPr>
          </w:p>
        </w:tc>
        <w:tc>
          <w:tcPr>
            <w:tcW w:w="0" w:type="auto"/>
            <w:gridSpan w:val="3"/>
            <w:shd w:val="clear" w:color="auto" w:fill="auto"/>
          </w:tcPr>
          <w:p w14:paraId="5EA243B6" w14:textId="77777777" w:rsidR="003C66EB" w:rsidRDefault="003C66EB">
            <w:pPr>
              <w:rPr>
                <w:rFonts w:ascii="宋体"/>
                <w:vanish/>
              </w:rPr>
            </w:pPr>
          </w:p>
        </w:tc>
        <w:tc>
          <w:tcPr>
            <w:tcW w:w="0" w:type="auto"/>
            <w:gridSpan w:val="3"/>
            <w:shd w:val="clear" w:color="auto" w:fill="auto"/>
          </w:tcPr>
          <w:p w14:paraId="5EA243B7" w14:textId="77777777" w:rsidR="003C66EB" w:rsidRDefault="003C66EB">
            <w:pPr>
              <w:rPr>
                <w:rFonts w:ascii="宋体"/>
                <w:vanish/>
              </w:rPr>
            </w:pPr>
          </w:p>
        </w:tc>
        <w:tc>
          <w:tcPr>
            <w:tcW w:w="0" w:type="auto"/>
            <w:gridSpan w:val="3"/>
            <w:shd w:val="clear" w:color="auto" w:fill="auto"/>
          </w:tcPr>
          <w:p w14:paraId="5EA243B8" w14:textId="77777777" w:rsidR="003C66EB" w:rsidRDefault="003C66EB">
            <w:pPr>
              <w:rPr>
                <w:rFonts w:ascii="宋体"/>
                <w:vanish/>
              </w:rPr>
            </w:pPr>
          </w:p>
        </w:tc>
        <w:tc>
          <w:tcPr>
            <w:tcW w:w="0" w:type="auto"/>
            <w:gridSpan w:val="3"/>
            <w:shd w:val="clear" w:color="auto" w:fill="auto"/>
          </w:tcPr>
          <w:p w14:paraId="5EA243B9" w14:textId="77777777" w:rsidR="003C66EB" w:rsidRDefault="003C66EB">
            <w:pPr>
              <w:rPr>
                <w:rFonts w:ascii="宋体"/>
                <w:vanish/>
              </w:rPr>
            </w:pPr>
          </w:p>
        </w:tc>
        <w:tc>
          <w:tcPr>
            <w:tcW w:w="0" w:type="auto"/>
            <w:gridSpan w:val="3"/>
            <w:shd w:val="clear" w:color="auto" w:fill="auto"/>
          </w:tcPr>
          <w:p w14:paraId="5EA243BA" w14:textId="77777777" w:rsidR="003C66EB" w:rsidRDefault="003C66EB">
            <w:pPr>
              <w:rPr>
                <w:rFonts w:ascii="宋体"/>
                <w:vanish/>
              </w:rPr>
            </w:pPr>
          </w:p>
        </w:tc>
        <w:tc>
          <w:tcPr>
            <w:tcW w:w="0" w:type="auto"/>
            <w:gridSpan w:val="3"/>
            <w:shd w:val="clear" w:color="auto" w:fill="auto"/>
          </w:tcPr>
          <w:p w14:paraId="5EA243BB" w14:textId="77777777" w:rsidR="003C66EB" w:rsidRDefault="003C66EB">
            <w:pPr>
              <w:rPr>
                <w:rFonts w:ascii="宋体"/>
                <w:vanish/>
              </w:rPr>
            </w:pPr>
          </w:p>
        </w:tc>
        <w:tc>
          <w:tcPr>
            <w:tcW w:w="0" w:type="auto"/>
            <w:gridSpan w:val="3"/>
            <w:shd w:val="clear" w:color="auto" w:fill="auto"/>
          </w:tcPr>
          <w:p w14:paraId="5EA243BC" w14:textId="77777777" w:rsidR="003C66EB" w:rsidRDefault="003C66EB">
            <w:pPr>
              <w:rPr>
                <w:rFonts w:ascii="宋体"/>
                <w:vanish/>
              </w:rPr>
            </w:pPr>
          </w:p>
        </w:tc>
        <w:tc>
          <w:tcPr>
            <w:tcW w:w="0" w:type="auto"/>
            <w:gridSpan w:val="3"/>
            <w:shd w:val="clear" w:color="auto" w:fill="auto"/>
          </w:tcPr>
          <w:p w14:paraId="5EA243BD" w14:textId="77777777" w:rsidR="003C66EB" w:rsidRDefault="003C66EB">
            <w:pPr>
              <w:rPr>
                <w:rFonts w:ascii="宋体"/>
                <w:vanish/>
              </w:rPr>
            </w:pPr>
          </w:p>
        </w:tc>
        <w:tc>
          <w:tcPr>
            <w:tcW w:w="0" w:type="auto"/>
            <w:gridSpan w:val="3"/>
            <w:shd w:val="clear" w:color="auto" w:fill="auto"/>
          </w:tcPr>
          <w:p w14:paraId="5EA243BE" w14:textId="77777777" w:rsidR="003C66EB" w:rsidRDefault="003C66EB">
            <w:pPr>
              <w:rPr>
                <w:rFonts w:ascii="宋体"/>
                <w:vanish/>
              </w:rPr>
            </w:pPr>
          </w:p>
        </w:tc>
        <w:tc>
          <w:tcPr>
            <w:tcW w:w="0" w:type="auto"/>
            <w:gridSpan w:val="3"/>
            <w:shd w:val="clear" w:color="auto" w:fill="auto"/>
          </w:tcPr>
          <w:p w14:paraId="5EA243BF" w14:textId="77777777" w:rsidR="003C66EB" w:rsidRDefault="003C66EB">
            <w:pPr>
              <w:rPr>
                <w:rFonts w:ascii="宋体"/>
                <w:vanish/>
              </w:rPr>
            </w:pPr>
          </w:p>
        </w:tc>
        <w:tc>
          <w:tcPr>
            <w:tcW w:w="0" w:type="auto"/>
            <w:gridSpan w:val="3"/>
            <w:shd w:val="clear" w:color="auto" w:fill="auto"/>
          </w:tcPr>
          <w:p w14:paraId="5EA243C0" w14:textId="77777777" w:rsidR="003C66EB" w:rsidRDefault="003C66EB">
            <w:pPr>
              <w:rPr>
                <w:rFonts w:ascii="宋体"/>
                <w:vanish/>
              </w:rPr>
            </w:pPr>
          </w:p>
        </w:tc>
      </w:tr>
      <w:tr w:rsidR="00D96C4E" w14:paraId="5EA243E0" w14:textId="77777777">
        <w:tc>
          <w:tcPr>
            <w:tcW w:w="0" w:type="auto"/>
            <w:gridSpan w:val="3"/>
            <w:shd w:val="clear" w:color="auto" w:fill="CCEEFF"/>
            <w:tcMar>
              <w:top w:w="40" w:type="dxa"/>
              <w:left w:w="245" w:type="dxa"/>
              <w:bottom w:w="40" w:type="dxa"/>
              <w:right w:w="20" w:type="dxa"/>
            </w:tcMar>
            <w:vAlign w:val="bottom"/>
          </w:tcPr>
          <w:p w14:paraId="5EA243C2" w14:textId="77777777" w:rsidR="003C66EB" w:rsidRDefault="00D96C4E">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5EA243C3" w14:textId="77777777" w:rsidR="003C66EB" w:rsidRDefault="00D96C4E">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C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C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C6" w14:textId="77777777" w:rsidR="003C66EB" w:rsidRDefault="00D96C4E">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C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C9" w14:textId="77777777" w:rsidR="003C66EB" w:rsidRDefault="00D96C4E">
            <w:pPr>
              <w:jc w:val="right"/>
              <w:textAlignment w:val="bottom"/>
            </w:pPr>
            <w:r>
              <w:rPr>
                <w:rFonts w:ascii="Arial" w:eastAsia="宋体" w:hAnsi="Arial" w:cs="Arial"/>
                <w:b/>
                <w:bCs/>
                <w:color w:val="000000"/>
                <w:sz w:val="14"/>
                <w:szCs w:val="14"/>
              </w:rPr>
              <w:t>961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C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CC" w14:textId="77777777" w:rsidR="003C66EB" w:rsidRDefault="00D96C4E">
            <w:pPr>
              <w:jc w:val="right"/>
              <w:textAlignment w:val="bottom"/>
            </w:pPr>
            <w:r>
              <w:rPr>
                <w:rFonts w:ascii="Arial" w:eastAsia="宋体" w:hAnsi="Arial" w:cs="Arial"/>
                <w:b/>
                <w:bCs/>
                <w:color w:val="000000"/>
                <w:sz w:val="14"/>
                <w:szCs w:val="14"/>
              </w:rPr>
              <w:t>963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C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CF" w14:textId="77777777" w:rsidR="003C66EB" w:rsidRDefault="00D96C4E">
            <w:pPr>
              <w:jc w:val="right"/>
              <w:textAlignment w:val="bottom"/>
            </w:pPr>
            <w:r>
              <w:rPr>
                <w:rFonts w:ascii="Arial" w:eastAsia="宋体" w:hAnsi="Arial" w:cs="Arial"/>
                <w:b/>
                <w:bCs/>
                <w:color w:val="000000"/>
                <w:sz w:val="14"/>
                <w:szCs w:val="14"/>
              </w:rPr>
              <w:t>1,398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D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D2" w14:textId="77777777" w:rsidR="003C66EB" w:rsidRDefault="00D96C4E">
            <w:pPr>
              <w:jc w:val="right"/>
              <w:textAlignment w:val="bottom"/>
            </w:pPr>
            <w:r>
              <w:rPr>
                <w:rFonts w:ascii="Arial" w:eastAsia="宋体" w:hAnsi="Arial" w:cs="Arial"/>
                <w:b/>
                <w:bCs/>
                <w:color w:val="000000"/>
                <w:sz w:val="14"/>
                <w:szCs w:val="14"/>
              </w:rPr>
              <w:t>1,399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D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D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D5" w14:textId="77777777" w:rsidR="003C66EB" w:rsidRDefault="00D96C4E">
            <w:pPr>
              <w:jc w:val="right"/>
              <w:textAlignment w:val="bottom"/>
            </w:pPr>
            <w:r>
              <w:rPr>
                <w:rFonts w:ascii="Arial" w:eastAsia="宋体" w:hAnsi="Arial" w:cs="Arial"/>
                <w:b/>
                <w:bCs/>
                <w:color w:val="000000"/>
                <w:sz w:val="14"/>
                <w:szCs w:val="14"/>
              </w:rPr>
              <w:t>1,340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D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D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D8" w14:textId="77777777" w:rsidR="003C66EB" w:rsidRDefault="00D96C4E">
            <w:pPr>
              <w:jc w:val="right"/>
              <w:textAlignment w:val="bottom"/>
            </w:pPr>
            <w:r>
              <w:rPr>
                <w:rFonts w:ascii="Arial" w:eastAsia="宋体" w:hAnsi="Arial" w:cs="Arial"/>
                <w:b/>
                <w:bCs/>
                <w:color w:val="000000"/>
                <w:sz w:val="14"/>
                <w:szCs w:val="14"/>
              </w:rPr>
              <w:t>1,342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D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DB" w14:textId="77777777" w:rsidR="003C66EB" w:rsidRDefault="00D96C4E">
            <w:pPr>
              <w:jc w:val="right"/>
              <w:textAlignment w:val="bottom"/>
            </w:pPr>
            <w:r>
              <w:rPr>
                <w:rFonts w:ascii="Arial" w:eastAsia="宋体" w:hAnsi="Arial" w:cs="Arial"/>
                <w:b/>
                <w:bCs/>
                <w:color w:val="000000"/>
                <w:sz w:val="14"/>
                <w:szCs w:val="14"/>
              </w:rPr>
              <w:t>3,770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3D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3DE" w14:textId="77777777" w:rsidR="003C66EB" w:rsidRDefault="00D96C4E">
            <w:pPr>
              <w:jc w:val="right"/>
              <w:textAlignment w:val="bottom"/>
            </w:pPr>
            <w:r>
              <w:rPr>
                <w:rFonts w:ascii="Arial" w:eastAsia="宋体" w:hAnsi="Arial" w:cs="Arial"/>
                <w:b/>
                <w:bCs/>
                <w:color w:val="000000"/>
                <w:sz w:val="14"/>
                <w:szCs w:val="14"/>
              </w:rPr>
              <w:t>3,775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3DF" w14:textId="77777777" w:rsidR="003C66EB" w:rsidRDefault="003C66EB">
            <w:pPr>
              <w:jc w:val="right"/>
              <w:rPr>
                <w:rFonts w:ascii="宋体"/>
              </w:rPr>
            </w:pPr>
          </w:p>
        </w:tc>
      </w:tr>
      <w:tr w:rsidR="00D96C4E" w14:paraId="5EA243FF" w14:textId="77777777">
        <w:tc>
          <w:tcPr>
            <w:tcW w:w="0" w:type="auto"/>
            <w:gridSpan w:val="3"/>
            <w:shd w:val="clear" w:color="auto" w:fill="FFFFFF"/>
            <w:tcMar>
              <w:top w:w="40" w:type="dxa"/>
              <w:left w:w="245" w:type="dxa"/>
              <w:bottom w:w="40" w:type="dxa"/>
              <w:right w:w="20" w:type="dxa"/>
            </w:tcMar>
            <w:vAlign w:val="bottom"/>
          </w:tcPr>
          <w:p w14:paraId="5EA243E1" w14:textId="77777777" w:rsidR="003C66EB" w:rsidRDefault="00D96C4E">
            <w:pPr>
              <w:textAlignment w:val="bottom"/>
            </w:pPr>
            <w:r>
              <w:rPr>
                <w:rFonts w:ascii="Arial" w:eastAsia="宋体" w:hAnsi="Arial" w:cs="Arial"/>
                <w:color w:val="000000"/>
                <w:sz w:val="14"/>
                <w:szCs w:val="14"/>
              </w:rPr>
              <w:t>Non-agency CMBS and RMBS</w:t>
            </w:r>
          </w:p>
        </w:tc>
        <w:tc>
          <w:tcPr>
            <w:tcW w:w="0" w:type="auto"/>
            <w:gridSpan w:val="2"/>
            <w:shd w:val="clear" w:color="auto" w:fill="FFFFFF"/>
            <w:tcMar>
              <w:top w:w="40" w:type="dxa"/>
              <w:left w:w="20" w:type="dxa"/>
              <w:bottom w:w="40" w:type="dxa"/>
              <w:right w:w="0" w:type="dxa"/>
            </w:tcMar>
            <w:vAlign w:val="bottom"/>
          </w:tcPr>
          <w:p w14:paraId="5EA243E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E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E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E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E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E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E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EB"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E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EE"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E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F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F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F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F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F4" w14:textId="77777777" w:rsidR="003C66EB" w:rsidRDefault="00D96C4E">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F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F7" w14:textId="77777777" w:rsidR="003C66EB" w:rsidRDefault="00D96C4E">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F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FA" w14:textId="77777777" w:rsidR="003C66EB" w:rsidRDefault="00D96C4E">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3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3FD" w14:textId="77777777" w:rsidR="003C66EB" w:rsidRDefault="00D96C4E">
            <w:pPr>
              <w:jc w:val="right"/>
              <w:textAlignment w:val="bottom"/>
            </w:pPr>
            <w:r>
              <w:rPr>
                <w:rFonts w:ascii="Arial" w:eastAsia="宋体" w:hAnsi="Arial" w:cs="Arial"/>
                <w:b/>
                <w:bCs/>
                <w:color w:val="000000"/>
                <w:sz w:val="14"/>
                <w:szCs w:val="14"/>
              </w:rPr>
              <w:t>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3FE" w14:textId="77777777" w:rsidR="003C66EB" w:rsidRDefault="003C66EB">
            <w:pPr>
              <w:jc w:val="right"/>
              <w:rPr>
                <w:rFonts w:ascii="宋体"/>
              </w:rPr>
            </w:pPr>
          </w:p>
        </w:tc>
      </w:tr>
      <w:tr w:rsidR="00D96C4E" w14:paraId="5EA2441E" w14:textId="77777777">
        <w:tc>
          <w:tcPr>
            <w:tcW w:w="0" w:type="auto"/>
            <w:gridSpan w:val="3"/>
            <w:shd w:val="clear" w:color="auto" w:fill="CCEEFF"/>
            <w:tcMar>
              <w:top w:w="40" w:type="dxa"/>
              <w:left w:w="515" w:type="dxa"/>
              <w:bottom w:w="40" w:type="dxa"/>
              <w:right w:w="20" w:type="dxa"/>
            </w:tcMar>
            <w:vAlign w:val="bottom"/>
          </w:tcPr>
          <w:p w14:paraId="5EA24400" w14:textId="77777777" w:rsidR="003C66EB" w:rsidRDefault="00D96C4E">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01" w14:textId="77777777" w:rsidR="003C66EB" w:rsidRDefault="00D96C4E">
            <w:pPr>
              <w:jc w:val="right"/>
              <w:textAlignment w:val="bottom"/>
            </w:pPr>
            <w:r>
              <w:rPr>
                <w:rFonts w:ascii="Arial" w:eastAsia="宋体" w:hAnsi="Arial" w:cs="Arial"/>
                <w:b/>
                <w:bCs/>
                <w:color w:val="000000"/>
                <w:sz w:val="14"/>
                <w:szCs w:val="14"/>
              </w:rPr>
              <w:t>194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0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04" w14:textId="77777777" w:rsidR="003C66EB" w:rsidRDefault="00D96C4E">
            <w:pPr>
              <w:jc w:val="right"/>
              <w:textAlignment w:val="bottom"/>
            </w:pPr>
            <w:r>
              <w:rPr>
                <w:rFonts w:ascii="Arial" w:eastAsia="宋体" w:hAnsi="Arial" w:cs="Arial"/>
                <w:b/>
                <w:bCs/>
                <w:color w:val="000000"/>
                <w:sz w:val="14"/>
                <w:szCs w:val="14"/>
              </w:rPr>
              <w:t>198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0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07" w14:textId="77777777" w:rsidR="003C66EB" w:rsidRDefault="00D96C4E">
            <w:pPr>
              <w:jc w:val="right"/>
              <w:textAlignment w:val="bottom"/>
            </w:pPr>
            <w:r>
              <w:rPr>
                <w:rFonts w:ascii="Arial" w:eastAsia="宋体" w:hAnsi="Arial" w:cs="Arial"/>
                <w:b/>
                <w:bCs/>
                <w:color w:val="000000"/>
                <w:sz w:val="14"/>
                <w:szCs w:val="14"/>
              </w:rPr>
              <w:t>1,015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0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0A" w14:textId="77777777" w:rsidR="003C66EB" w:rsidRDefault="00D96C4E">
            <w:pPr>
              <w:jc w:val="right"/>
              <w:textAlignment w:val="bottom"/>
            </w:pPr>
            <w:r>
              <w:rPr>
                <w:rFonts w:ascii="Arial" w:eastAsia="宋体" w:hAnsi="Arial" w:cs="Arial"/>
                <w:b/>
                <w:bCs/>
                <w:color w:val="000000"/>
                <w:sz w:val="14"/>
                <w:szCs w:val="14"/>
              </w:rPr>
              <w:t>1,016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0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0D" w14:textId="77777777" w:rsidR="003C66EB" w:rsidRDefault="00D96C4E">
            <w:pPr>
              <w:jc w:val="right"/>
              <w:textAlignment w:val="bottom"/>
            </w:pPr>
            <w:r>
              <w:rPr>
                <w:rFonts w:ascii="Arial" w:eastAsia="宋体" w:hAnsi="Arial" w:cs="Arial"/>
                <w:b/>
                <w:bCs/>
                <w:color w:val="000000"/>
                <w:sz w:val="14"/>
                <w:szCs w:val="14"/>
              </w:rPr>
              <w:t>1,488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0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10" w14:textId="77777777" w:rsidR="003C66EB" w:rsidRDefault="00D96C4E">
            <w:pPr>
              <w:jc w:val="right"/>
              <w:textAlignment w:val="bottom"/>
            </w:pPr>
            <w:r>
              <w:rPr>
                <w:rFonts w:ascii="Arial" w:eastAsia="宋体" w:hAnsi="Arial" w:cs="Arial"/>
                <w:b/>
                <w:bCs/>
                <w:color w:val="000000"/>
                <w:sz w:val="14"/>
                <w:szCs w:val="14"/>
              </w:rPr>
              <w:t>1,490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1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13" w14:textId="77777777" w:rsidR="003C66EB" w:rsidRDefault="00D96C4E">
            <w:pPr>
              <w:jc w:val="right"/>
              <w:textAlignment w:val="bottom"/>
            </w:pPr>
            <w:r>
              <w:rPr>
                <w:rFonts w:ascii="Arial" w:eastAsia="宋体" w:hAnsi="Arial" w:cs="Arial"/>
                <w:b/>
                <w:bCs/>
                <w:color w:val="000000"/>
                <w:sz w:val="14"/>
                <w:szCs w:val="14"/>
              </w:rPr>
              <w:t>1,516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1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16" w14:textId="77777777" w:rsidR="003C66EB" w:rsidRDefault="00D96C4E">
            <w:pPr>
              <w:jc w:val="right"/>
              <w:textAlignment w:val="bottom"/>
            </w:pPr>
            <w:r>
              <w:rPr>
                <w:rFonts w:ascii="Arial" w:eastAsia="宋体" w:hAnsi="Arial" w:cs="Arial"/>
                <w:b/>
                <w:bCs/>
                <w:color w:val="000000"/>
                <w:sz w:val="14"/>
                <w:szCs w:val="14"/>
              </w:rPr>
              <w:t>1,521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1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19" w14:textId="77777777" w:rsidR="003C66EB" w:rsidRDefault="00D96C4E">
            <w:pPr>
              <w:jc w:val="right"/>
              <w:textAlignment w:val="bottom"/>
            </w:pPr>
            <w:r>
              <w:rPr>
                <w:rFonts w:ascii="Arial" w:eastAsia="宋体" w:hAnsi="Arial" w:cs="Arial"/>
                <w:b/>
                <w:bCs/>
                <w:color w:val="000000"/>
                <w:sz w:val="14"/>
                <w:szCs w:val="14"/>
              </w:rPr>
              <w:t>4,213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1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1C" w14:textId="77777777" w:rsidR="003C66EB" w:rsidRDefault="00D96C4E">
            <w:pPr>
              <w:jc w:val="right"/>
              <w:textAlignment w:val="bottom"/>
            </w:pPr>
            <w:r>
              <w:rPr>
                <w:rFonts w:ascii="Arial" w:eastAsia="宋体" w:hAnsi="Arial" w:cs="Arial"/>
                <w:b/>
                <w:bCs/>
                <w:color w:val="000000"/>
                <w:sz w:val="14"/>
                <w:szCs w:val="14"/>
              </w:rPr>
              <w:t>4,225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1D" w14:textId="77777777" w:rsidR="003C66EB" w:rsidRDefault="003C66EB">
            <w:pPr>
              <w:jc w:val="right"/>
              <w:rPr>
                <w:rFonts w:ascii="宋体"/>
              </w:rPr>
            </w:pPr>
          </w:p>
        </w:tc>
      </w:tr>
      <w:tr w:rsidR="003C66EB" w14:paraId="5EA24433" w14:textId="77777777">
        <w:tc>
          <w:tcPr>
            <w:tcW w:w="0" w:type="auto"/>
            <w:gridSpan w:val="3"/>
            <w:shd w:val="clear" w:color="auto" w:fill="FFFFFF"/>
            <w:tcMar>
              <w:top w:w="40" w:type="dxa"/>
              <w:left w:w="20" w:type="dxa"/>
              <w:bottom w:w="40" w:type="dxa"/>
              <w:right w:w="20" w:type="dxa"/>
            </w:tcMar>
            <w:vAlign w:val="bottom"/>
          </w:tcPr>
          <w:p w14:paraId="5EA2441F" w14:textId="77777777" w:rsidR="003C66EB" w:rsidRDefault="00D96C4E">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tcPr>
          <w:p w14:paraId="5EA2442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2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3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3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432" w14:textId="77777777" w:rsidR="003C66EB" w:rsidRDefault="003C66EB">
            <w:pPr>
              <w:rPr>
                <w:rFonts w:ascii="宋体"/>
              </w:rPr>
            </w:pPr>
          </w:p>
        </w:tc>
      </w:tr>
      <w:tr w:rsidR="00D96C4E" w14:paraId="5EA24452" w14:textId="77777777">
        <w:tc>
          <w:tcPr>
            <w:tcW w:w="0" w:type="auto"/>
            <w:gridSpan w:val="3"/>
            <w:shd w:val="clear" w:color="auto" w:fill="CCEEFF"/>
            <w:tcMar>
              <w:top w:w="40" w:type="dxa"/>
              <w:left w:w="245" w:type="dxa"/>
              <w:bottom w:w="40" w:type="dxa"/>
              <w:right w:w="20" w:type="dxa"/>
            </w:tcMar>
            <w:vAlign w:val="bottom"/>
          </w:tcPr>
          <w:p w14:paraId="5EA24434"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A24435" w14:textId="77777777" w:rsidR="003C66EB" w:rsidRDefault="00D96C4E">
            <w:pPr>
              <w:jc w:val="right"/>
              <w:textAlignment w:val="bottom"/>
            </w:pPr>
            <w:r>
              <w:rPr>
                <w:rFonts w:ascii="Arial" w:eastAsia="宋体" w:hAnsi="Arial" w:cs="Arial"/>
                <w:b/>
                <w:bCs/>
                <w:color w:val="000000"/>
                <w:sz w:val="14"/>
                <w:szCs w:val="14"/>
              </w:rPr>
              <w:t>276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3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3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38" w14:textId="77777777" w:rsidR="003C66EB" w:rsidRDefault="00D96C4E">
            <w:pPr>
              <w:jc w:val="right"/>
              <w:textAlignment w:val="bottom"/>
            </w:pPr>
            <w:r>
              <w:rPr>
                <w:rFonts w:ascii="Arial" w:eastAsia="宋体" w:hAnsi="Arial" w:cs="Arial"/>
                <w:b/>
                <w:bCs/>
                <w:color w:val="000000"/>
                <w:sz w:val="14"/>
                <w:szCs w:val="14"/>
              </w:rPr>
              <w:t>277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3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3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3B" w14:textId="77777777" w:rsidR="003C66EB" w:rsidRDefault="00D96C4E">
            <w:pPr>
              <w:jc w:val="right"/>
              <w:textAlignment w:val="bottom"/>
            </w:pPr>
            <w:r>
              <w:rPr>
                <w:rFonts w:ascii="Arial" w:eastAsia="宋体" w:hAnsi="Arial" w:cs="Arial"/>
                <w:b/>
                <w:bCs/>
                <w:color w:val="000000"/>
                <w:sz w:val="14"/>
                <w:szCs w:val="14"/>
              </w:rPr>
              <w:t>576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3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3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3E" w14:textId="77777777" w:rsidR="003C66EB" w:rsidRDefault="00D96C4E">
            <w:pPr>
              <w:jc w:val="right"/>
              <w:textAlignment w:val="bottom"/>
            </w:pPr>
            <w:r>
              <w:rPr>
                <w:rFonts w:ascii="Arial" w:eastAsia="宋体" w:hAnsi="Arial" w:cs="Arial"/>
                <w:b/>
                <w:bCs/>
                <w:color w:val="000000"/>
                <w:sz w:val="14"/>
                <w:szCs w:val="14"/>
              </w:rPr>
              <w:t>578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4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41" w14:textId="77777777" w:rsidR="003C66EB" w:rsidRDefault="00D96C4E">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4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44" w14:textId="77777777" w:rsidR="003C66EB" w:rsidRDefault="00D96C4E">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4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4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47" w14:textId="77777777" w:rsidR="003C66EB" w:rsidRDefault="00D96C4E">
            <w:pPr>
              <w:jc w:val="right"/>
              <w:textAlignment w:val="bottom"/>
            </w:pPr>
            <w:r>
              <w:rPr>
                <w:rFonts w:ascii="Arial" w:eastAsia="宋体" w:hAnsi="Arial" w:cs="Arial"/>
                <w:b/>
                <w:bCs/>
                <w:color w:val="000000"/>
                <w:sz w:val="14"/>
                <w:szCs w:val="14"/>
              </w:rPr>
              <w:t>1,120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4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4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4A" w14:textId="77777777" w:rsidR="003C66EB" w:rsidRDefault="00D96C4E">
            <w:pPr>
              <w:jc w:val="right"/>
              <w:textAlignment w:val="bottom"/>
            </w:pPr>
            <w:r>
              <w:rPr>
                <w:rFonts w:ascii="Arial" w:eastAsia="宋体" w:hAnsi="Arial" w:cs="Arial"/>
                <w:b/>
                <w:bCs/>
                <w:color w:val="000000"/>
                <w:sz w:val="14"/>
                <w:szCs w:val="14"/>
              </w:rPr>
              <w:t>1,127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4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4D" w14:textId="77777777" w:rsidR="003C66EB" w:rsidRDefault="00D96C4E">
            <w:pPr>
              <w:jc w:val="right"/>
              <w:textAlignment w:val="bottom"/>
            </w:pPr>
            <w:r>
              <w:rPr>
                <w:rFonts w:ascii="Arial" w:eastAsia="宋体" w:hAnsi="Arial" w:cs="Arial"/>
                <w:b/>
                <w:bCs/>
                <w:color w:val="000000"/>
                <w:sz w:val="14"/>
                <w:szCs w:val="14"/>
              </w:rPr>
              <w:t>2,021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4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50" w14:textId="77777777" w:rsidR="003C66EB" w:rsidRDefault="00D96C4E">
            <w:pPr>
              <w:jc w:val="right"/>
              <w:textAlignment w:val="bottom"/>
            </w:pPr>
            <w:r>
              <w:rPr>
                <w:rFonts w:ascii="Arial" w:eastAsia="宋体" w:hAnsi="Arial" w:cs="Arial"/>
                <w:b/>
                <w:bCs/>
                <w:color w:val="000000"/>
                <w:sz w:val="14"/>
                <w:szCs w:val="14"/>
              </w:rPr>
              <w:t>2,032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51" w14:textId="77777777" w:rsidR="003C66EB" w:rsidRDefault="003C66EB">
            <w:pPr>
              <w:jc w:val="right"/>
              <w:rPr>
                <w:rFonts w:ascii="宋体"/>
              </w:rPr>
            </w:pPr>
          </w:p>
        </w:tc>
      </w:tr>
      <w:tr w:rsidR="00D96C4E" w14:paraId="5EA24471" w14:textId="77777777">
        <w:tc>
          <w:tcPr>
            <w:tcW w:w="0" w:type="auto"/>
            <w:gridSpan w:val="3"/>
            <w:shd w:val="clear" w:color="auto" w:fill="FFFFFF"/>
            <w:tcMar>
              <w:top w:w="40" w:type="dxa"/>
              <w:left w:w="245" w:type="dxa"/>
              <w:bottom w:w="40" w:type="dxa"/>
              <w:right w:w="20" w:type="dxa"/>
            </w:tcMar>
            <w:vAlign w:val="bottom"/>
          </w:tcPr>
          <w:p w14:paraId="5EA24453"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A24454" w14:textId="77777777" w:rsidR="003C66EB" w:rsidRDefault="00D96C4E">
            <w:pPr>
              <w:jc w:val="right"/>
              <w:textAlignment w:val="bottom"/>
            </w:pPr>
            <w:r>
              <w:rPr>
                <w:rFonts w:ascii="Arial" w:eastAsia="宋体" w:hAnsi="Arial" w:cs="Arial"/>
                <w:b/>
                <w:bCs/>
                <w:color w:val="000000"/>
                <w:sz w:val="14"/>
                <w:szCs w:val="14"/>
              </w:rPr>
              <w:t>299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5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57" w14:textId="77777777" w:rsidR="003C66EB" w:rsidRDefault="00D96C4E">
            <w:pPr>
              <w:jc w:val="right"/>
              <w:textAlignment w:val="bottom"/>
            </w:pPr>
            <w:r>
              <w:rPr>
                <w:rFonts w:ascii="Arial" w:eastAsia="宋体" w:hAnsi="Arial" w:cs="Arial"/>
                <w:b/>
                <w:bCs/>
                <w:color w:val="000000"/>
                <w:sz w:val="14"/>
                <w:szCs w:val="14"/>
              </w:rPr>
              <w:t>299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5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5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5A" w14:textId="77777777" w:rsidR="003C66EB" w:rsidRDefault="00D96C4E">
            <w:pPr>
              <w:jc w:val="right"/>
              <w:textAlignment w:val="bottom"/>
            </w:pPr>
            <w:r>
              <w:rPr>
                <w:rFonts w:ascii="Arial" w:eastAsia="宋体" w:hAnsi="Arial" w:cs="Arial"/>
                <w:b/>
                <w:bCs/>
                <w:color w:val="000000"/>
                <w:sz w:val="14"/>
                <w:szCs w:val="14"/>
              </w:rPr>
              <w:t>1,101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5D" w14:textId="77777777" w:rsidR="003C66EB" w:rsidRDefault="00D96C4E">
            <w:pPr>
              <w:jc w:val="right"/>
              <w:textAlignment w:val="bottom"/>
            </w:pPr>
            <w:r>
              <w:rPr>
                <w:rFonts w:ascii="Arial" w:eastAsia="宋体" w:hAnsi="Arial" w:cs="Arial"/>
                <w:b/>
                <w:bCs/>
                <w:color w:val="000000"/>
                <w:sz w:val="14"/>
                <w:szCs w:val="14"/>
              </w:rPr>
              <w:t>1,101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60" w14:textId="77777777" w:rsidR="003C66EB" w:rsidRDefault="00D96C4E">
            <w:pPr>
              <w:jc w:val="right"/>
              <w:textAlignment w:val="bottom"/>
            </w:pPr>
            <w:r>
              <w:rPr>
                <w:rFonts w:ascii="Arial" w:eastAsia="宋体" w:hAnsi="Arial" w:cs="Arial"/>
                <w:b/>
                <w:bCs/>
                <w:color w:val="000000"/>
                <w:sz w:val="14"/>
                <w:szCs w:val="14"/>
              </w:rPr>
              <w:t>525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6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63" w14:textId="77777777" w:rsidR="003C66EB" w:rsidRDefault="00D96C4E">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6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66" w14:textId="77777777" w:rsidR="003C66EB" w:rsidRDefault="00D96C4E">
            <w:pPr>
              <w:jc w:val="right"/>
              <w:textAlignment w:val="bottom"/>
            </w:pPr>
            <w:r>
              <w:rPr>
                <w:rFonts w:ascii="Arial" w:eastAsia="宋体" w:hAnsi="Arial" w:cs="Arial"/>
                <w:b/>
                <w:bCs/>
                <w:color w:val="000000"/>
                <w:sz w:val="14"/>
                <w:szCs w:val="14"/>
              </w:rPr>
              <w:t>371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6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69" w14:textId="77777777" w:rsidR="003C66EB" w:rsidRDefault="00D96C4E">
            <w:pPr>
              <w:jc w:val="right"/>
              <w:textAlignment w:val="bottom"/>
            </w:pPr>
            <w:r>
              <w:rPr>
                <w:rFonts w:ascii="Arial" w:eastAsia="宋体" w:hAnsi="Arial" w:cs="Arial"/>
                <w:b/>
                <w:bCs/>
                <w:color w:val="000000"/>
                <w:sz w:val="14"/>
                <w:szCs w:val="14"/>
              </w:rPr>
              <w:t>371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6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6C" w14:textId="77777777" w:rsidR="003C66EB" w:rsidRDefault="00D96C4E">
            <w:pPr>
              <w:jc w:val="right"/>
              <w:textAlignment w:val="bottom"/>
            </w:pPr>
            <w:r>
              <w:rPr>
                <w:rFonts w:ascii="Arial" w:eastAsia="宋体" w:hAnsi="Arial" w:cs="Arial"/>
                <w:b/>
                <w:bCs/>
                <w:color w:val="000000"/>
                <w:sz w:val="14"/>
                <w:szCs w:val="14"/>
              </w:rPr>
              <w:t>2,296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6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6F" w14:textId="77777777" w:rsidR="003C66EB" w:rsidRDefault="00D96C4E">
            <w:pPr>
              <w:jc w:val="right"/>
              <w:textAlignment w:val="bottom"/>
            </w:pPr>
            <w:r>
              <w:rPr>
                <w:rFonts w:ascii="Arial" w:eastAsia="宋体" w:hAnsi="Arial" w:cs="Arial"/>
                <w:b/>
                <w:bCs/>
                <w:color w:val="000000"/>
                <w:sz w:val="14"/>
                <w:szCs w:val="14"/>
              </w:rPr>
              <w:t>2,297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70" w14:textId="77777777" w:rsidR="003C66EB" w:rsidRDefault="003C66EB">
            <w:pPr>
              <w:jc w:val="right"/>
              <w:rPr>
                <w:rFonts w:ascii="宋体"/>
              </w:rPr>
            </w:pPr>
          </w:p>
        </w:tc>
      </w:tr>
      <w:tr w:rsidR="00D96C4E" w14:paraId="5EA24490" w14:textId="77777777">
        <w:tc>
          <w:tcPr>
            <w:tcW w:w="0" w:type="auto"/>
            <w:gridSpan w:val="3"/>
            <w:shd w:val="clear" w:color="auto" w:fill="CCEEFF"/>
            <w:tcMar>
              <w:top w:w="40" w:type="dxa"/>
              <w:left w:w="245" w:type="dxa"/>
              <w:bottom w:w="40" w:type="dxa"/>
              <w:right w:w="20" w:type="dxa"/>
            </w:tcMar>
            <w:vAlign w:val="bottom"/>
          </w:tcPr>
          <w:p w14:paraId="5EA24472" w14:textId="77777777" w:rsidR="003C66EB" w:rsidRDefault="00D96C4E">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5EA24473" w14:textId="77777777" w:rsidR="003C66EB" w:rsidRDefault="00D96C4E">
            <w:pPr>
              <w:jc w:val="right"/>
              <w:textAlignment w:val="bottom"/>
            </w:pPr>
            <w:r>
              <w:rPr>
                <w:rFonts w:ascii="Arial" w:eastAsia="宋体" w:hAnsi="Arial" w:cs="Arial"/>
                <w:b/>
                <w:bCs/>
                <w:color w:val="000000"/>
                <w:sz w:val="14"/>
                <w:szCs w:val="14"/>
              </w:rPr>
              <w:t>2,526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7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76" w14:textId="77777777" w:rsidR="003C66EB" w:rsidRDefault="00D96C4E">
            <w:pPr>
              <w:jc w:val="right"/>
              <w:textAlignment w:val="bottom"/>
            </w:pPr>
            <w:r>
              <w:rPr>
                <w:rFonts w:ascii="Arial" w:eastAsia="宋体" w:hAnsi="Arial" w:cs="Arial"/>
                <w:b/>
                <w:bCs/>
                <w:color w:val="000000"/>
                <w:sz w:val="14"/>
                <w:szCs w:val="14"/>
              </w:rPr>
              <w:t>2,527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7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79" w14:textId="77777777" w:rsidR="003C66EB" w:rsidRDefault="00D96C4E">
            <w:pPr>
              <w:jc w:val="right"/>
              <w:textAlignment w:val="bottom"/>
            </w:pPr>
            <w:r>
              <w:rPr>
                <w:rFonts w:ascii="Arial" w:eastAsia="宋体" w:hAnsi="Arial" w:cs="Arial"/>
                <w:b/>
                <w:bCs/>
                <w:color w:val="000000"/>
                <w:sz w:val="14"/>
                <w:szCs w:val="14"/>
              </w:rPr>
              <w:t>6,736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7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7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7C" w14:textId="77777777" w:rsidR="003C66EB" w:rsidRDefault="00D96C4E">
            <w:pPr>
              <w:jc w:val="right"/>
              <w:textAlignment w:val="bottom"/>
            </w:pPr>
            <w:r>
              <w:rPr>
                <w:rFonts w:ascii="Arial" w:eastAsia="宋体" w:hAnsi="Arial" w:cs="Arial"/>
                <w:b/>
                <w:bCs/>
                <w:color w:val="000000"/>
                <w:sz w:val="14"/>
                <w:szCs w:val="14"/>
              </w:rPr>
              <w:t>6,866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7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7F" w14:textId="77777777" w:rsidR="003C66EB" w:rsidRDefault="00D96C4E">
            <w:pPr>
              <w:jc w:val="right"/>
              <w:textAlignment w:val="bottom"/>
            </w:pPr>
            <w:r>
              <w:rPr>
                <w:rFonts w:ascii="Arial" w:eastAsia="宋体" w:hAnsi="Arial" w:cs="Arial"/>
                <w:b/>
                <w:bCs/>
                <w:color w:val="000000"/>
                <w:sz w:val="14"/>
                <w:szCs w:val="14"/>
              </w:rPr>
              <w:t>453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82" w14:textId="77777777" w:rsidR="003C66EB" w:rsidRDefault="00D96C4E">
            <w:pPr>
              <w:jc w:val="right"/>
              <w:textAlignment w:val="bottom"/>
            </w:pPr>
            <w:r>
              <w:rPr>
                <w:rFonts w:ascii="Arial" w:eastAsia="宋体" w:hAnsi="Arial" w:cs="Arial"/>
                <w:b/>
                <w:bCs/>
                <w:color w:val="000000"/>
                <w:sz w:val="14"/>
                <w:szCs w:val="14"/>
              </w:rPr>
              <w:t>458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8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85" w14:textId="77777777" w:rsidR="003C66EB" w:rsidRDefault="00D96C4E">
            <w:pPr>
              <w:jc w:val="right"/>
              <w:textAlignment w:val="bottom"/>
            </w:pPr>
            <w:r>
              <w:rPr>
                <w:rFonts w:ascii="Arial" w:eastAsia="宋体" w:hAnsi="Arial" w:cs="Arial"/>
                <w:b/>
                <w:bCs/>
                <w:color w:val="000000"/>
                <w:sz w:val="14"/>
                <w:szCs w:val="14"/>
              </w:rPr>
              <w:t>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8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88" w14:textId="77777777" w:rsidR="003C66EB" w:rsidRDefault="00D96C4E">
            <w:pPr>
              <w:jc w:val="right"/>
              <w:textAlignment w:val="bottom"/>
            </w:pPr>
            <w:r>
              <w:rPr>
                <w:rFonts w:ascii="Arial" w:eastAsia="宋体" w:hAnsi="Arial" w:cs="Arial"/>
                <w:b/>
                <w:bCs/>
                <w:color w:val="000000"/>
                <w:sz w:val="14"/>
                <w:szCs w:val="14"/>
              </w:rPr>
              <w:t>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8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8B" w14:textId="77777777" w:rsidR="003C66EB" w:rsidRDefault="00D96C4E">
            <w:pPr>
              <w:jc w:val="right"/>
              <w:textAlignment w:val="bottom"/>
            </w:pPr>
            <w:r>
              <w:rPr>
                <w:rFonts w:ascii="Arial" w:eastAsia="宋体" w:hAnsi="Arial" w:cs="Arial"/>
                <w:b/>
                <w:bCs/>
                <w:color w:val="000000"/>
                <w:sz w:val="14"/>
                <w:szCs w:val="14"/>
              </w:rPr>
              <w:t>9,773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8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8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48E" w14:textId="77777777" w:rsidR="003C66EB" w:rsidRDefault="00D96C4E">
            <w:pPr>
              <w:jc w:val="right"/>
              <w:textAlignment w:val="bottom"/>
            </w:pPr>
            <w:r>
              <w:rPr>
                <w:rFonts w:ascii="Arial" w:eastAsia="宋体" w:hAnsi="Arial" w:cs="Arial"/>
                <w:b/>
                <w:bCs/>
                <w:color w:val="000000"/>
                <w:sz w:val="14"/>
                <w:szCs w:val="14"/>
              </w:rPr>
              <w:t>9,910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48F" w14:textId="77777777" w:rsidR="003C66EB" w:rsidRDefault="003C66EB">
            <w:pPr>
              <w:jc w:val="right"/>
              <w:rPr>
                <w:rFonts w:ascii="宋体"/>
              </w:rPr>
            </w:pPr>
          </w:p>
        </w:tc>
      </w:tr>
      <w:tr w:rsidR="00D96C4E" w14:paraId="5EA244AF" w14:textId="77777777">
        <w:tc>
          <w:tcPr>
            <w:tcW w:w="0" w:type="auto"/>
            <w:gridSpan w:val="3"/>
            <w:shd w:val="clear" w:color="auto" w:fill="FFFFFF"/>
            <w:tcMar>
              <w:top w:w="40" w:type="dxa"/>
              <w:left w:w="245" w:type="dxa"/>
              <w:bottom w:w="40" w:type="dxa"/>
              <w:right w:w="20" w:type="dxa"/>
            </w:tcMar>
            <w:vAlign w:val="bottom"/>
          </w:tcPr>
          <w:p w14:paraId="5EA24491" w14:textId="77777777" w:rsidR="003C66EB" w:rsidRDefault="00D96C4E">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A24492" w14:textId="77777777" w:rsidR="003C66EB" w:rsidRDefault="00D96C4E">
            <w:pPr>
              <w:jc w:val="right"/>
              <w:textAlignment w:val="bottom"/>
            </w:pPr>
            <w:r>
              <w:rPr>
                <w:rFonts w:ascii="Arial" w:eastAsia="宋体" w:hAnsi="Arial" w:cs="Arial"/>
                <w:b/>
                <w:bCs/>
                <w:color w:val="000000"/>
                <w:sz w:val="14"/>
                <w:szCs w:val="14"/>
              </w:rPr>
              <w:t>1,823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9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95" w14:textId="77777777" w:rsidR="003C66EB" w:rsidRDefault="00D96C4E">
            <w:pPr>
              <w:jc w:val="right"/>
              <w:textAlignment w:val="bottom"/>
            </w:pPr>
            <w:r>
              <w:rPr>
                <w:rFonts w:ascii="Arial" w:eastAsia="宋体" w:hAnsi="Arial" w:cs="Arial"/>
                <w:b/>
                <w:bCs/>
                <w:color w:val="000000"/>
                <w:sz w:val="14"/>
                <w:szCs w:val="14"/>
              </w:rPr>
              <w:t>1,830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9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9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98" w14:textId="77777777" w:rsidR="003C66EB" w:rsidRDefault="00D96C4E">
            <w:pPr>
              <w:jc w:val="right"/>
              <w:textAlignment w:val="bottom"/>
            </w:pPr>
            <w:r>
              <w:rPr>
                <w:rFonts w:ascii="Arial" w:eastAsia="宋体" w:hAnsi="Arial" w:cs="Arial"/>
                <w:b/>
                <w:bCs/>
                <w:color w:val="000000"/>
                <w:sz w:val="14"/>
                <w:szCs w:val="14"/>
              </w:rPr>
              <w:t>9,370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9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9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9B" w14:textId="77777777" w:rsidR="003C66EB" w:rsidRDefault="00D96C4E">
            <w:pPr>
              <w:jc w:val="right"/>
              <w:textAlignment w:val="bottom"/>
            </w:pPr>
            <w:r>
              <w:rPr>
                <w:rFonts w:ascii="Arial" w:eastAsia="宋体" w:hAnsi="Arial" w:cs="Arial"/>
                <w:b/>
                <w:bCs/>
                <w:color w:val="000000"/>
                <w:sz w:val="14"/>
                <w:szCs w:val="14"/>
              </w:rPr>
              <w:t>9,407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9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9E" w14:textId="77777777" w:rsidR="003C66EB" w:rsidRDefault="00D96C4E">
            <w:pPr>
              <w:jc w:val="right"/>
              <w:textAlignment w:val="bottom"/>
            </w:pPr>
            <w:r>
              <w:rPr>
                <w:rFonts w:ascii="Arial" w:eastAsia="宋体" w:hAnsi="Arial" w:cs="Arial"/>
                <w:b/>
                <w:bCs/>
                <w:color w:val="000000"/>
                <w:sz w:val="14"/>
                <w:szCs w:val="14"/>
              </w:rPr>
              <w:t>2,375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A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A1" w14:textId="77777777" w:rsidR="003C66EB" w:rsidRDefault="00D96C4E">
            <w:pPr>
              <w:jc w:val="right"/>
              <w:textAlignment w:val="bottom"/>
            </w:pPr>
            <w:r>
              <w:rPr>
                <w:rFonts w:ascii="Arial" w:eastAsia="宋体" w:hAnsi="Arial" w:cs="Arial"/>
                <w:b/>
                <w:bCs/>
                <w:color w:val="000000"/>
                <w:sz w:val="14"/>
                <w:szCs w:val="14"/>
              </w:rPr>
              <w:t>2,367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A4" w14:textId="77777777" w:rsidR="003C66EB" w:rsidRDefault="00D96C4E">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A7" w14:textId="77777777" w:rsidR="003C66EB" w:rsidRDefault="00D96C4E">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AA" w14:textId="77777777" w:rsidR="003C66EB" w:rsidRDefault="00D96C4E">
            <w:pPr>
              <w:jc w:val="right"/>
              <w:textAlignment w:val="bottom"/>
            </w:pPr>
            <w:r>
              <w:rPr>
                <w:rFonts w:ascii="Arial" w:eastAsia="宋体" w:hAnsi="Arial" w:cs="Arial"/>
                <w:b/>
                <w:bCs/>
                <w:color w:val="000000"/>
                <w:sz w:val="14"/>
                <w:szCs w:val="14"/>
              </w:rPr>
              <w:t>13,679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A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4AD" w14:textId="77777777" w:rsidR="003C66EB" w:rsidRDefault="00D96C4E">
            <w:pPr>
              <w:jc w:val="right"/>
              <w:textAlignment w:val="bottom"/>
            </w:pPr>
            <w:r>
              <w:rPr>
                <w:rFonts w:ascii="Arial" w:eastAsia="宋体" w:hAnsi="Arial" w:cs="Arial"/>
                <w:b/>
                <w:bCs/>
                <w:color w:val="000000"/>
                <w:sz w:val="14"/>
                <w:szCs w:val="14"/>
              </w:rPr>
              <w:t>13,709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4AE" w14:textId="77777777" w:rsidR="003C66EB" w:rsidRDefault="003C66EB">
            <w:pPr>
              <w:jc w:val="right"/>
              <w:rPr>
                <w:rFonts w:ascii="宋体"/>
              </w:rPr>
            </w:pPr>
          </w:p>
        </w:tc>
      </w:tr>
      <w:tr w:rsidR="00D96C4E" w14:paraId="5EA244CE" w14:textId="77777777">
        <w:tc>
          <w:tcPr>
            <w:tcW w:w="0" w:type="auto"/>
            <w:gridSpan w:val="3"/>
            <w:shd w:val="clear" w:color="auto" w:fill="CCEEFF"/>
            <w:tcMar>
              <w:top w:w="40" w:type="dxa"/>
              <w:left w:w="515" w:type="dxa"/>
              <w:bottom w:w="40" w:type="dxa"/>
              <w:right w:w="20" w:type="dxa"/>
            </w:tcMar>
            <w:vAlign w:val="bottom"/>
          </w:tcPr>
          <w:p w14:paraId="5EA244B0" w14:textId="77777777" w:rsidR="003C66EB" w:rsidRDefault="00D96C4E">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B1" w14:textId="77777777" w:rsidR="003C66EB" w:rsidRDefault="00D96C4E">
            <w:pPr>
              <w:jc w:val="right"/>
              <w:textAlignment w:val="bottom"/>
            </w:pPr>
            <w:r>
              <w:rPr>
                <w:rFonts w:ascii="Arial" w:eastAsia="宋体" w:hAnsi="Arial" w:cs="Arial"/>
                <w:b/>
                <w:bCs/>
                <w:color w:val="000000"/>
                <w:sz w:val="14"/>
                <w:szCs w:val="14"/>
              </w:rPr>
              <w:t>4,924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B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B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B4" w14:textId="77777777" w:rsidR="003C66EB" w:rsidRDefault="00D96C4E">
            <w:pPr>
              <w:jc w:val="right"/>
              <w:textAlignment w:val="bottom"/>
            </w:pPr>
            <w:r>
              <w:rPr>
                <w:rFonts w:ascii="Arial" w:eastAsia="宋体" w:hAnsi="Arial" w:cs="Arial"/>
                <w:b/>
                <w:bCs/>
                <w:color w:val="000000"/>
                <w:sz w:val="14"/>
                <w:szCs w:val="14"/>
              </w:rPr>
              <w:t>4,933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B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B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B7" w14:textId="77777777" w:rsidR="003C66EB" w:rsidRDefault="00D96C4E">
            <w:pPr>
              <w:jc w:val="right"/>
              <w:textAlignment w:val="bottom"/>
            </w:pPr>
            <w:r>
              <w:rPr>
                <w:rFonts w:ascii="Arial" w:eastAsia="宋体" w:hAnsi="Arial" w:cs="Arial"/>
                <w:b/>
                <w:bCs/>
                <w:color w:val="000000"/>
                <w:sz w:val="14"/>
                <w:szCs w:val="14"/>
              </w:rPr>
              <w:t>17,783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B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BA" w14:textId="77777777" w:rsidR="003C66EB" w:rsidRDefault="00D96C4E">
            <w:pPr>
              <w:jc w:val="right"/>
              <w:textAlignment w:val="bottom"/>
            </w:pPr>
            <w:r>
              <w:rPr>
                <w:rFonts w:ascii="Arial" w:eastAsia="宋体" w:hAnsi="Arial" w:cs="Arial"/>
                <w:b/>
                <w:bCs/>
                <w:color w:val="000000"/>
                <w:sz w:val="14"/>
                <w:szCs w:val="14"/>
              </w:rPr>
              <w:t>17,952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B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BD" w14:textId="77777777" w:rsidR="003C66EB" w:rsidRDefault="00D96C4E">
            <w:pPr>
              <w:jc w:val="right"/>
              <w:textAlignment w:val="bottom"/>
            </w:pPr>
            <w:r>
              <w:rPr>
                <w:rFonts w:ascii="Arial" w:eastAsia="宋体" w:hAnsi="Arial" w:cs="Arial"/>
                <w:b/>
                <w:bCs/>
                <w:color w:val="000000"/>
                <w:sz w:val="14"/>
                <w:szCs w:val="14"/>
              </w:rPr>
              <w:t>3,402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B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C0" w14:textId="77777777" w:rsidR="003C66EB" w:rsidRDefault="00D96C4E">
            <w:pPr>
              <w:jc w:val="right"/>
              <w:textAlignment w:val="bottom"/>
            </w:pPr>
            <w:r>
              <w:rPr>
                <w:rFonts w:ascii="Arial" w:eastAsia="宋体" w:hAnsi="Arial" w:cs="Arial"/>
                <w:b/>
                <w:bCs/>
                <w:color w:val="000000"/>
                <w:sz w:val="14"/>
                <w:szCs w:val="14"/>
              </w:rPr>
              <w:t>3,401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C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C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C3" w14:textId="77777777" w:rsidR="003C66EB" w:rsidRDefault="00D96C4E">
            <w:pPr>
              <w:jc w:val="right"/>
              <w:textAlignment w:val="bottom"/>
            </w:pPr>
            <w:r>
              <w:rPr>
                <w:rFonts w:ascii="Arial" w:eastAsia="宋体" w:hAnsi="Arial" w:cs="Arial"/>
                <w:b/>
                <w:bCs/>
                <w:color w:val="000000"/>
                <w:sz w:val="14"/>
                <w:szCs w:val="14"/>
              </w:rPr>
              <w:t>1,660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C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C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C6" w14:textId="77777777" w:rsidR="003C66EB" w:rsidRDefault="00D96C4E">
            <w:pPr>
              <w:jc w:val="right"/>
              <w:textAlignment w:val="bottom"/>
            </w:pPr>
            <w:r>
              <w:rPr>
                <w:rFonts w:ascii="Arial" w:eastAsia="宋体" w:hAnsi="Arial" w:cs="Arial"/>
                <w:b/>
                <w:bCs/>
                <w:color w:val="000000"/>
                <w:sz w:val="14"/>
                <w:szCs w:val="14"/>
              </w:rPr>
              <w:t>1,662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C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C9" w14:textId="77777777" w:rsidR="003C66EB" w:rsidRDefault="00D96C4E">
            <w:pPr>
              <w:jc w:val="right"/>
              <w:textAlignment w:val="bottom"/>
            </w:pPr>
            <w:r>
              <w:rPr>
                <w:rFonts w:ascii="Arial" w:eastAsia="宋体" w:hAnsi="Arial" w:cs="Arial"/>
                <w:b/>
                <w:bCs/>
                <w:color w:val="000000"/>
                <w:sz w:val="14"/>
                <w:szCs w:val="14"/>
              </w:rPr>
              <w:t>27,769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4C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4CC" w14:textId="77777777" w:rsidR="003C66EB" w:rsidRDefault="00D96C4E">
            <w:pPr>
              <w:jc w:val="right"/>
              <w:textAlignment w:val="bottom"/>
            </w:pPr>
            <w:r>
              <w:rPr>
                <w:rFonts w:ascii="Arial" w:eastAsia="宋体" w:hAnsi="Arial" w:cs="Arial"/>
                <w:b/>
                <w:bCs/>
                <w:color w:val="000000"/>
                <w:sz w:val="14"/>
                <w:szCs w:val="14"/>
              </w:rPr>
              <w:t>27,948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4CD" w14:textId="77777777" w:rsidR="003C66EB" w:rsidRDefault="003C66EB">
            <w:pPr>
              <w:jc w:val="right"/>
              <w:rPr>
                <w:rFonts w:ascii="宋体"/>
              </w:rPr>
            </w:pPr>
          </w:p>
        </w:tc>
      </w:tr>
      <w:tr w:rsidR="00D96C4E" w14:paraId="5EA244ED" w14:textId="77777777">
        <w:tc>
          <w:tcPr>
            <w:tcW w:w="0" w:type="auto"/>
            <w:gridSpan w:val="3"/>
            <w:shd w:val="clear" w:color="auto" w:fill="FFFFFF"/>
            <w:tcMar>
              <w:top w:w="40" w:type="dxa"/>
              <w:left w:w="20" w:type="dxa"/>
              <w:bottom w:w="40" w:type="dxa"/>
              <w:right w:w="20" w:type="dxa"/>
            </w:tcMar>
            <w:vAlign w:val="bottom"/>
          </w:tcPr>
          <w:p w14:paraId="5EA244CF" w14:textId="77777777" w:rsidR="003C66EB" w:rsidRDefault="00D96C4E">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D0" w14:textId="77777777" w:rsidR="003C66EB" w:rsidRDefault="00D96C4E">
            <w:pPr>
              <w:jc w:val="right"/>
              <w:textAlignment w:val="bottom"/>
            </w:pPr>
            <w:r>
              <w:rPr>
                <w:rFonts w:ascii="Arial" w:eastAsia="宋体" w:hAnsi="Arial" w:cs="Arial"/>
                <w:b/>
                <w:bCs/>
                <w:color w:val="000000"/>
                <w:sz w:val="14"/>
                <w:szCs w:val="14"/>
              </w:rPr>
              <w:t>144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D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D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D3" w14:textId="77777777" w:rsidR="003C66EB" w:rsidRDefault="00D96C4E">
            <w:pPr>
              <w:jc w:val="right"/>
              <w:textAlignment w:val="bottom"/>
            </w:pPr>
            <w:r>
              <w:rPr>
                <w:rFonts w:ascii="Arial" w:eastAsia="宋体" w:hAnsi="Arial" w:cs="Arial"/>
                <w:b/>
                <w:bCs/>
                <w:color w:val="000000"/>
                <w:sz w:val="14"/>
                <w:szCs w:val="14"/>
              </w:rPr>
              <w:t>144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D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D6" w14:textId="77777777" w:rsidR="003C66EB" w:rsidRDefault="00D96C4E">
            <w:pPr>
              <w:jc w:val="right"/>
              <w:textAlignment w:val="bottom"/>
            </w:pPr>
            <w:r>
              <w:rPr>
                <w:rFonts w:ascii="Arial" w:eastAsia="宋体" w:hAnsi="Arial" w:cs="Arial"/>
                <w:b/>
                <w:bCs/>
                <w:color w:val="000000"/>
                <w:sz w:val="14"/>
                <w:szCs w:val="14"/>
              </w:rPr>
              <w:t>609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D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D9" w14:textId="77777777" w:rsidR="003C66EB" w:rsidRDefault="00D96C4E">
            <w:pPr>
              <w:jc w:val="right"/>
              <w:textAlignment w:val="bottom"/>
            </w:pPr>
            <w:r>
              <w:rPr>
                <w:rFonts w:ascii="Arial" w:eastAsia="宋体" w:hAnsi="Arial" w:cs="Arial"/>
                <w:b/>
                <w:bCs/>
                <w:color w:val="000000"/>
                <w:sz w:val="14"/>
                <w:szCs w:val="14"/>
              </w:rPr>
              <w:t>631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D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DC" w14:textId="77777777" w:rsidR="003C66EB" w:rsidRDefault="00D96C4E">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D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D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DF" w14:textId="77777777" w:rsidR="003C66EB" w:rsidRDefault="00D96C4E">
            <w:pPr>
              <w:jc w:val="right"/>
              <w:textAlignment w:val="bottom"/>
            </w:pPr>
            <w:r>
              <w:rPr>
                <w:rFonts w:ascii="Arial" w:eastAsia="宋体" w:hAnsi="Arial" w:cs="Arial"/>
                <w:b/>
                <w:bCs/>
                <w:color w:val="000000"/>
                <w:sz w:val="14"/>
                <w:szCs w:val="14"/>
              </w:rPr>
              <w:t>544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E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E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E2" w14:textId="77777777" w:rsidR="003C66EB" w:rsidRDefault="00D96C4E">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E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E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E5" w14:textId="77777777" w:rsidR="003C66EB" w:rsidRDefault="00D96C4E">
            <w:pPr>
              <w:jc w:val="right"/>
              <w:textAlignment w:val="bottom"/>
            </w:pPr>
            <w:r>
              <w:rPr>
                <w:rFonts w:ascii="Arial" w:eastAsia="宋体" w:hAnsi="Arial" w:cs="Arial"/>
                <w:b/>
                <w:bCs/>
                <w:color w:val="000000"/>
                <w:sz w:val="14"/>
                <w:szCs w:val="14"/>
              </w:rPr>
              <w:t>179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E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E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E8" w14:textId="77777777" w:rsidR="003C66EB" w:rsidRDefault="00D96C4E">
            <w:pPr>
              <w:jc w:val="right"/>
              <w:textAlignment w:val="bottom"/>
            </w:pPr>
            <w:r>
              <w:rPr>
                <w:rFonts w:ascii="Arial" w:eastAsia="宋体" w:hAnsi="Arial" w:cs="Arial"/>
                <w:b/>
                <w:bCs/>
                <w:color w:val="000000"/>
                <w:sz w:val="14"/>
                <w:szCs w:val="14"/>
              </w:rPr>
              <w:t>1,431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4E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4EB" w14:textId="77777777" w:rsidR="003C66EB" w:rsidRDefault="00D96C4E">
            <w:pPr>
              <w:jc w:val="right"/>
              <w:textAlignment w:val="bottom"/>
            </w:pPr>
            <w:r>
              <w:rPr>
                <w:rFonts w:ascii="Arial" w:eastAsia="宋体" w:hAnsi="Arial" w:cs="Arial"/>
                <w:b/>
                <w:bCs/>
                <w:color w:val="000000"/>
                <w:sz w:val="14"/>
                <w:szCs w:val="14"/>
              </w:rPr>
              <w:t>1,498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4EC" w14:textId="77777777" w:rsidR="003C66EB" w:rsidRDefault="003C66EB">
            <w:pPr>
              <w:jc w:val="right"/>
              <w:rPr>
                <w:rFonts w:ascii="宋体"/>
              </w:rPr>
            </w:pPr>
          </w:p>
        </w:tc>
      </w:tr>
      <w:tr w:rsidR="003C66EB" w14:paraId="5EA24502" w14:textId="77777777">
        <w:trPr>
          <w:hidden/>
        </w:trPr>
        <w:tc>
          <w:tcPr>
            <w:tcW w:w="0" w:type="auto"/>
            <w:gridSpan w:val="3"/>
            <w:shd w:val="clear" w:color="auto" w:fill="auto"/>
          </w:tcPr>
          <w:p w14:paraId="5EA244EE" w14:textId="77777777" w:rsidR="003C66EB" w:rsidRDefault="003C66EB">
            <w:pPr>
              <w:rPr>
                <w:rFonts w:ascii="宋体"/>
                <w:vanish/>
              </w:rPr>
            </w:pPr>
          </w:p>
        </w:tc>
        <w:tc>
          <w:tcPr>
            <w:tcW w:w="0" w:type="auto"/>
            <w:gridSpan w:val="3"/>
            <w:shd w:val="clear" w:color="auto" w:fill="auto"/>
          </w:tcPr>
          <w:p w14:paraId="5EA244EF" w14:textId="77777777" w:rsidR="003C66EB" w:rsidRDefault="003C66EB">
            <w:pPr>
              <w:rPr>
                <w:rFonts w:ascii="宋体"/>
                <w:vanish/>
              </w:rPr>
            </w:pPr>
          </w:p>
        </w:tc>
        <w:tc>
          <w:tcPr>
            <w:tcW w:w="0" w:type="auto"/>
            <w:gridSpan w:val="3"/>
            <w:shd w:val="clear" w:color="auto" w:fill="auto"/>
          </w:tcPr>
          <w:p w14:paraId="5EA244F0" w14:textId="77777777" w:rsidR="003C66EB" w:rsidRDefault="003C66EB">
            <w:pPr>
              <w:rPr>
                <w:rFonts w:ascii="宋体"/>
                <w:vanish/>
              </w:rPr>
            </w:pPr>
          </w:p>
        </w:tc>
        <w:tc>
          <w:tcPr>
            <w:tcW w:w="0" w:type="auto"/>
            <w:gridSpan w:val="3"/>
            <w:shd w:val="clear" w:color="auto" w:fill="auto"/>
          </w:tcPr>
          <w:p w14:paraId="5EA244F1" w14:textId="77777777" w:rsidR="003C66EB" w:rsidRDefault="003C66EB">
            <w:pPr>
              <w:rPr>
                <w:rFonts w:ascii="宋体"/>
                <w:vanish/>
              </w:rPr>
            </w:pPr>
          </w:p>
        </w:tc>
        <w:tc>
          <w:tcPr>
            <w:tcW w:w="0" w:type="auto"/>
            <w:gridSpan w:val="3"/>
            <w:shd w:val="clear" w:color="auto" w:fill="auto"/>
          </w:tcPr>
          <w:p w14:paraId="5EA244F2" w14:textId="77777777" w:rsidR="003C66EB" w:rsidRDefault="003C66EB">
            <w:pPr>
              <w:rPr>
                <w:rFonts w:ascii="宋体"/>
                <w:vanish/>
              </w:rPr>
            </w:pPr>
          </w:p>
        </w:tc>
        <w:tc>
          <w:tcPr>
            <w:tcW w:w="0" w:type="auto"/>
            <w:gridSpan w:val="3"/>
            <w:shd w:val="clear" w:color="auto" w:fill="auto"/>
          </w:tcPr>
          <w:p w14:paraId="5EA244F3" w14:textId="77777777" w:rsidR="003C66EB" w:rsidRDefault="003C66EB">
            <w:pPr>
              <w:rPr>
                <w:rFonts w:ascii="宋体"/>
                <w:vanish/>
              </w:rPr>
            </w:pPr>
          </w:p>
        </w:tc>
        <w:tc>
          <w:tcPr>
            <w:tcW w:w="0" w:type="auto"/>
            <w:gridSpan w:val="3"/>
            <w:shd w:val="clear" w:color="auto" w:fill="auto"/>
          </w:tcPr>
          <w:p w14:paraId="5EA244F4" w14:textId="77777777" w:rsidR="003C66EB" w:rsidRDefault="003C66EB">
            <w:pPr>
              <w:rPr>
                <w:rFonts w:ascii="宋体"/>
                <w:vanish/>
              </w:rPr>
            </w:pPr>
          </w:p>
        </w:tc>
        <w:tc>
          <w:tcPr>
            <w:tcW w:w="0" w:type="auto"/>
            <w:gridSpan w:val="3"/>
            <w:shd w:val="clear" w:color="auto" w:fill="auto"/>
          </w:tcPr>
          <w:p w14:paraId="5EA244F5" w14:textId="77777777" w:rsidR="003C66EB" w:rsidRDefault="003C66EB">
            <w:pPr>
              <w:rPr>
                <w:rFonts w:ascii="宋体"/>
                <w:vanish/>
              </w:rPr>
            </w:pPr>
          </w:p>
        </w:tc>
        <w:tc>
          <w:tcPr>
            <w:tcW w:w="0" w:type="auto"/>
            <w:gridSpan w:val="3"/>
            <w:shd w:val="clear" w:color="auto" w:fill="auto"/>
          </w:tcPr>
          <w:p w14:paraId="5EA244F6" w14:textId="77777777" w:rsidR="003C66EB" w:rsidRDefault="003C66EB">
            <w:pPr>
              <w:rPr>
                <w:rFonts w:ascii="宋体"/>
                <w:vanish/>
              </w:rPr>
            </w:pPr>
          </w:p>
        </w:tc>
        <w:tc>
          <w:tcPr>
            <w:tcW w:w="0" w:type="auto"/>
            <w:gridSpan w:val="3"/>
            <w:shd w:val="clear" w:color="auto" w:fill="auto"/>
          </w:tcPr>
          <w:p w14:paraId="5EA244F7" w14:textId="77777777" w:rsidR="003C66EB" w:rsidRDefault="003C66EB">
            <w:pPr>
              <w:rPr>
                <w:rFonts w:ascii="宋体"/>
                <w:vanish/>
              </w:rPr>
            </w:pPr>
          </w:p>
        </w:tc>
        <w:tc>
          <w:tcPr>
            <w:tcW w:w="0" w:type="auto"/>
            <w:gridSpan w:val="3"/>
            <w:shd w:val="clear" w:color="auto" w:fill="auto"/>
          </w:tcPr>
          <w:p w14:paraId="5EA244F8" w14:textId="77777777" w:rsidR="003C66EB" w:rsidRDefault="003C66EB">
            <w:pPr>
              <w:rPr>
                <w:rFonts w:ascii="宋体"/>
                <w:vanish/>
              </w:rPr>
            </w:pPr>
          </w:p>
        </w:tc>
        <w:tc>
          <w:tcPr>
            <w:tcW w:w="0" w:type="auto"/>
            <w:gridSpan w:val="3"/>
            <w:shd w:val="clear" w:color="auto" w:fill="auto"/>
          </w:tcPr>
          <w:p w14:paraId="5EA244F9" w14:textId="77777777" w:rsidR="003C66EB" w:rsidRDefault="003C66EB">
            <w:pPr>
              <w:rPr>
                <w:rFonts w:ascii="宋体"/>
                <w:vanish/>
              </w:rPr>
            </w:pPr>
          </w:p>
        </w:tc>
        <w:tc>
          <w:tcPr>
            <w:tcW w:w="0" w:type="auto"/>
            <w:gridSpan w:val="3"/>
            <w:shd w:val="clear" w:color="auto" w:fill="auto"/>
          </w:tcPr>
          <w:p w14:paraId="5EA244FA" w14:textId="77777777" w:rsidR="003C66EB" w:rsidRDefault="003C66EB">
            <w:pPr>
              <w:rPr>
                <w:rFonts w:ascii="宋体"/>
                <w:vanish/>
              </w:rPr>
            </w:pPr>
          </w:p>
        </w:tc>
        <w:tc>
          <w:tcPr>
            <w:tcW w:w="0" w:type="auto"/>
            <w:gridSpan w:val="3"/>
            <w:shd w:val="clear" w:color="auto" w:fill="auto"/>
          </w:tcPr>
          <w:p w14:paraId="5EA244FB" w14:textId="77777777" w:rsidR="003C66EB" w:rsidRDefault="003C66EB">
            <w:pPr>
              <w:rPr>
                <w:rFonts w:ascii="宋体"/>
                <w:vanish/>
              </w:rPr>
            </w:pPr>
          </w:p>
        </w:tc>
        <w:tc>
          <w:tcPr>
            <w:tcW w:w="0" w:type="auto"/>
            <w:gridSpan w:val="3"/>
            <w:shd w:val="clear" w:color="auto" w:fill="auto"/>
          </w:tcPr>
          <w:p w14:paraId="5EA244FC" w14:textId="77777777" w:rsidR="003C66EB" w:rsidRDefault="003C66EB">
            <w:pPr>
              <w:rPr>
                <w:rFonts w:ascii="宋体"/>
                <w:vanish/>
              </w:rPr>
            </w:pPr>
          </w:p>
        </w:tc>
        <w:tc>
          <w:tcPr>
            <w:tcW w:w="0" w:type="auto"/>
            <w:gridSpan w:val="3"/>
            <w:shd w:val="clear" w:color="auto" w:fill="auto"/>
          </w:tcPr>
          <w:p w14:paraId="5EA244FD" w14:textId="77777777" w:rsidR="003C66EB" w:rsidRDefault="003C66EB">
            <w:pPr>
              <w:rPr>
                <w:rFonts w:ascii="宋体"/>
                <w:vanish/>
              </w:rPr>
            </w:pPr>
          </w:p>
        </w:tc>
        <w:tc>
          <w:tcPr>
            <w:tcW w:w="0" w:type="auto"/>
            <w:gridSpan w:val="3"/>
            <w:shd w:val="clear" w:color="auto" w:fill="auto"/>
          </w:tcPr>
          <w:p w14:paraId="5EA244FE" w14:textId="77777777" w:rsidR="003C66EB" w:rsidRDefault="003C66EB">
            <w:pPr>
              <w:rPr>
                <w:rFonts w:ascii="宋体"/>
                <w:vanish/>
              </w:rPr>
            </w:pPr>
          </w:p>
        </w:tc>
        <w:tc>
          <w:tcPr>
            <w:tcW w:w="0" w:type="auto"/>
            <w:gridSpan w:val="3"/>
            <w:shd w:val="clear" w:color="auto" w:fill="auto"/>
          </w:tcPr>
          <w:p w14:paraId="5EA244FF" w14:textId="77777777" w:rsidR="003C66EB" w:rsidRDefault="003C66EB">
            <w:pPr>
              <w:rPr>
                <w:rFonts w:ascii="宋体"/>
                <w:vanish/>
              </w:rPr>
            </w:pPr>
          </w:p>
        </w:tc>
        <w:tc>
          <w:tcPr>
            <w:tcW w:w="0" w:type="auto"/>
            <w:gridSpan w:val="3"/>
            <w:shd w:val="clear" w:color="auto" w:fill="auto"/>
          </w:tcPr>
          <w:p w14:paraId="5EA24500" w14:textId="77777777" w:rsidR="003C66EB" w:rsidRDefault="003C66EB">
            <w:pPr>
              <w:rPr>
                <w:rFonts w:ascii="宋体"/>
                <w:vanish/>
              </w:rPr>
            </w:pPr>
          </w:p>
        </w:tc>
        <w:tc>
          <w:tcPr>
            <w:tcW w:w="0" w:type="auto"/>
            <w:gridSpan w:val="3"/>
            <w:shd w:val="clear" w:color="auto" w:fill="auto"/>
          </w:tcPr>
          <w:p w14:paraId="5EA24501" w14:textId="77777777" w:rsidR="003C66EB" w:rsidRDefault="003C66EB">
            <w:pPr>
              <w:rPr>
                <w:rFonts w:ascii="宋体"/>
                <w:vanish/>
              </w:rPr>
            </w:pPr>
          </w:p>
        </w:tc>
      </w:tr>
      <w:tr w:rsidR="00D96C4E" w14:paraId="5EA24521" w14:textId="77777777">
        <w:tc>
          <w:tcPr>
            <w:tcW w:w="0" w:type="auto"/>
            <w:gridSpan w:val="3"/>
            <w:shd w:val="clear" w:color="auto" w:fill="CCEEFF"/>
            <w:tcMar>
              <w:top w:w="40" w:type="dxa"/>
              <w:left w:w="20" w:type="dxa"/>
              <w:bottom w:w="40" w:type="dxa"/>
              <w:right w:w="20" w:type="dxa"/>
            </w:tcMar>
            <w:vAlign w:val="bottom"/>
          </w:tcPr>
          <w:p w14:paraId="5EA24503" w14:textId="77777777" w:rsidR="003C66EB" w:rsidRDefault="00D96C4E">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U.S. debt securities</w:t>
            </w:r>
          </w:p>
        </w:tc>
        <w:tc>
          <w:tcPr>
            <w:tcW w:w="0" w:type="auto"/>
            <w:gridSpan w:val="2"/>
            <w:shd w:val="clear" w:color="auto" w:fill="CCEEFF"/>
            <w:tcMar>
              <w:top w:w="40" w:type="dxa"/>
              <w:left w:w="20" w:type="dxa"/>
              <w:bottom w:w="40" w:type="dxa"/>
              <w:right w:w="0" w:type="dxa"/>
            </w:tcMar>
            <w:vAlign w:val="bottom"/>
          </w:tcPr>
          <w:p w14:paraId="5EA24504" w14:textId="77777777" w:rsidR="003C66EB" w:rsidRDefault="00D96C4E">
            <w:pPr>
              <w:jc w:val="right"/>
              <w:textAlignment w:val="bottom"/>
            </w:pPr>
            <w:r>
              <w:rPr>
                <w:rFonts w:ascii="Arial" w:eastAsia="宋体" w:hAnsi="Arial" w:cs="Arial"/>
                <w:b/>
                <w:bCs/>
                <w:color w:val="000000"/>
                <w:sz w:val="14"/>
                <w:szCs w:val="14"/>
              </w:rPr>
              <w:t>590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0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07" w14:textId="77777777" w:rsidR="003C66EB" w:rsidRDefault="00D96C4E">
            <w:pPr>
              <w:jc w:val="right"/>
              <w:textAlignment w:val="bottom"/>
            </w:pPr>
            <w:r>
              <w:rPr>
                <w:rFonts w:ascii="Arial" w:eastAsia="宋体" w:hAnsi="Arial" w:cs="Arial"/>
                <w:b/>
                <w:bCs/>
                <w:color w:val="000000"/>
                <w:sz w:val="14"/>
                <w:szCs w:val="14"/>
              </w:rPr>
              <w:t>594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0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0A" w14:textId="77777777" w:rsidR="003C66EB" w:rsidRDefault="00D96C4E">
            <w:pPr>
              <w:jc w:val="right"/>
              <w:textAlignment w:val="bottom"/>
            </w:pPr>
            <w:r>
              <w:rPr>
                <w:rFonts w:ascii="Arial" w:eastAsia="宋体" w:hAnsi="Arial" w:cs="Arial"/>
                <w:b/>
                <w:bCs/>
                <w:color w:val="000000"/>
                <w:sz w:val="14"/>
                <w:szCs w:val="14"/>
              </w:rPr>
              <w:t>2,786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0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0D" w14:textId="77777777" w:rsidR="003C66EB" w:rsidRDefault="00D96C4E">
            <w:pPr>
              <w:jc w:val="right"/>
              <w:textAlignment w:val="bottom"/>
            </w:pPr>
            <w:r>
              <w:rPr>
                <w:rFonts w:ascii="Arial" w:eastAsia="宋体" w:hAnsi="Arial" w:cs="Arial"/>
                <w:b/>
                <w:bCs/>
                <w:color w:val="000000"/>
                <w:sz w:val="14"/>
                <w:szCs w:val="14"/>
              </w:rPr>
              <w:t>2,820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0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10" w14:textId="77777777" w:rsidR="003C66EB" w:rsidRDefault="00D96C4E">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1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13" w14:textId="77777777" w:rsidR="003C66EB" w:rsidRDefault="00D96C4E">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1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1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1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1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1C" w14:textId="77777777" w:rsidR="003C66EB" w:rsidRDefault="00D96C4E">
            <w:pPr>
              <w:jc w:val="right"/>
              <w:textAlignment w:val="bottom"/>
            </w:pPr>
            <w:r>
              <w:rPr>
                <w:rFonts w:ascii="Arial" w:eastAsia="宋体" w:hAnsi="Arial" w:cs="Arial"/>
                <w:b/>
                <w:bCs/>
                <w:color w:val="000000"/>
                <w:sz w:val="14"/>
                <w:szCs w:val="14"/>
              </w:rPr>
              <w:t>3,437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1F" w14:textId="77777777" w:rsidR="003C66EB" w:rsidRDefault="00D96C4E">
            <w:pPr>
              <w:jc w:val="right"/>
              <w:textAlignment w:val="bottom"/>
            </w:pPr>
            <w:r>
              <w:rPr>
                <w:rFonts w:ascii="Arial" w:eastAsia="宋体" w:hAnsi="Arial" w:cs="Arial"/>
                <w:b/>
                <w:bCs/>
                <w:color w:val="000000"/>
                <w:sz w:val="14"/>
                <w:szCs w:val="14"/>
              </w:rPr>
              <w:t>3,479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20" w14:textId="77777777" w:rsidR="003C66EB" w:rsidRDefault="003C66EB">
            <w:pPr>
              <w:jc w:val="right"/>
              <w:rPr>
                <w:rFonts w:ascii="宋体"/>
              </w:rPr>
            </w:pPr>
          </w:p>
        </w:tc>
      </w:tr>
      <w:tr w:rsidR="00D96C4E" w14:paraId="5EA2454A" w14:textId="77777777">
        <w:tc>
          <w:tcPr>
            <w:tcW w:w="0" w:type="auto"/>
            <w:gridSpan w:val="3"/>
            <w:shd w:val="clear" w:color="auto" w:fill="FFFFFF"/>
            <w:tcMar>
              <w:top w:w="40" w:type="dxa"/>
              <w:left w:w="20" w:type="dxa"/>
              <w:bottom w:w="40" w:type="dxa"/>
              <w:right w:w="20" w:type="dxa"/>
            </w:tcMar>
            <w:vAlign w:val="bottom"/>
          </w:tcPr>
          <w:p w14:paraId="5EA24522"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452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24" w14:textId="77777777" w:rsidR="003C66EB" w:rsidRDefault="00D96C4E">
            <w:pPr>
              <w:jc w:val="right"/>
              <w:textAlignment w:val="bottom"/>
            </w:pPr>
            <w:r>
              <w:rPr>
                <w:rFonts w:ascii="Arial" w:eastAsia="宋体" w:hAnsi="Arial" w:cs="Arial"/>
                <w:b/>
                <w:bCs/>
                <w:color w:val="000000"/>
                <w:sz w:val="14"/>
                <w:szCs w:val="14"/>
              </w:rPr>
              <w:t>9,172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2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2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28" w14:textId="77777777" w:rsidR="003C66EB" w:rsidRDefault="00D96C4E">
            <w:pPr>
              <w:jc w:val="right"/>
              <w:textAlignment w:val="bottom"/>
            </w:pPr>
            <w:r>
              <w:rPr>
                <w:rFonts w:ascii="Arial" w:eastAsia="宋体" w:hAnsi="Arial" w:cs="Arial"/>
                <w:b/>
                <w:bCs/>
                <w:color w:val="000000"/>
                <w:sz w:val="14"/>
                <w:szCs w:val="14"/>
              </w:rPr>
              <w:t>9,202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2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2A"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2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2C" w14:textId="77777777" w:rsidR="003C66EB" w:rsidRDefault="00D96C4E">
            <w:pPr>
              <w:jc w:val="right"/>
              <w:textAlignment w:val="bottom"/>
            </w:pPr>
            <w:r>
              <w:rPr>
                <w:rFonts w:ascii="Arial" w:eastAsia="宋体" w:hAnsi="Arial" w:cs="Arial"/>
                <w:b/>
                <w:bCs/>
                <w:color w:val="000000"/>
                <w:sz w:val="14"/>
                <w:szCs w:val="14"/>
              </w:rPr>
              <w:t>26,512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2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2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30" w14:textId="77777777" w:rsidR="003C66EB" w:rsidRDefault="00D96C4E">
            <w:pPr>
              <w:jc w:val="right"/>
              <w:textAlignment w:val="bottom"/>
            </w:pPr>
            <w:r>
              <w:rPr>
                <w:rFonts w:ascii="Arial" w:eastAsia="宋体" w:hAnsi="Arial" w:cs="Arial"/>
                <w:b/>
                <w:bCs/>
                <w:color w:val="000000"/>
                <w:sz w:val="14"/>
                <w:szCs w:val="14"/>
              </w:rPr>
              <w:t>26,740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3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3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34" w14:textId="77777777" w:rsidR="003C66EB" w:rsidRDefault="00D96C4E">
            <w:pPr>
              <w:jc w:val="right"/>
              <w:textAlignment w:val="bottom"/>
            </w:pPr>
            <w:r>
              <w:rPr>
                <w:rFonts w:ascii="Arial" w:eastAsia="宋体" w:hAnsi="Arial" w:cs="Arial"/>
                <w:b/>
                <w:bCs/>
                <w:color w:val="000000"/>
                <w:sz w:val="14"/>
                <w:szCs w:val="14"/>
              </w:rPr>
              <w:t>11,478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3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3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38" w14:textId="77777777" w:rsidR="003C66EB" w:rsidRDefault="00D96C4E">
            <w:pPr>
              <w:jc w:val="right"/>
              <w:textAlignment w:val="bottom"/>
            </w:pPr>
            <w:r>
              <w:rPr>
                <w:rFonts w:ascii="Arial" w:eastAsia="宋体" w:hAnsi="Arial" w:cs="Arial"/>
                <w:b/>
                <w:bCs/>
                <w:color w:val="000000"/>
                <w:sz w:val="14"/>
                <w:szCs w:val="14"/>
              </w:rPr>
              <w:t>11,535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3A"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3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3C" w14:textId="77777777" w:rsidR="003C66EB" w:rsidRDefault="00D96C4E">
            <w:pPr>
              <w:jc w:val="right"/>
              <w:textAlignment w:val="bottom"/>
            </w:pPr>
            <w:r>
              <w:rPr>
                <w:rFonts w:ascii="Arial" w:eastAsia="宋体" w:hAnsi="Arial" w:cs="Arial"/>
                <w:b/>
                <w:bCs/>
                <w:color w:val="000000"/>
                <w:sz w:val="14"/>
                <w:szCs w:val="14"/>
              </w:rPr>
              <w:t>12,817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3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3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40" w14:textId="77777777" w:rsidR="003C66EB" w:rsidRDefault="00D96C4E">
            <w:pPr>
              <w:jc w:val="right"/>
              <w:textAlignment w:val="bottom"/>
            </w:pPr>
            <w:r>
              <w:rPr>
                <w:rFonts w:ascii="Arial" w:eastAsia="宋体" w:hAnsi="Arial" w:cs="Arial"/>
                <w:b/>
                <w:bCs/>
                <w:color w:val="000000"/>
                <w:sz w:val="14"/>
                <w:szCs w:val="14"/>
              </w:rPr>
              <w:t>13,035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4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4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44" w14:textId="77777777" w:rsidR="003C66EB" w:rsidRDefault="00D96C4E">
            <w:pPr>
              <w:jc w:val="right"/>
              <w:textAlignment w:val="bottom"/>
            </w:pPr>
            <w:r>
              <w:rPr>
                <w:rFonts w:ascii="Arial" w:eastAsia="宋体" w:hAnsi="Arial" w:cs="Arial"/>
                <w:b/>
                <w:bCs/>
                <w:color w:val="000000"/>
                <w:sz w:val="14"/>
                <w:szCs w:val="14"/>
              </w:rPr>
              <w:t>59,979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4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454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4548" w14:textId="77777777" w:rsidR="003C66EB" w:rsidRDefault="00D96C4E">
            <w:pPr>
              <w:jc w:val="right"/>
              <w:textAlignment w:val="bottom"/>
            </w:pPr>
            <w:r>
              <w:rPr>
                <w:rFonts w:ascii="Arial" w:eastAsia="宋体" w:hAnsi="Arial" w:cs="Arial"/>
                <w:b/>
                <w:bCs/>
                <w:color w:val="000000"/>
                <w:sz w:val="14"/>
                <w:szCs w:val="14"/>
              </w:rPr>
              <w:t>60,512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549" w14:textId="77777777" w:rsidR="003C66EB" w:rsidRDefault="003C66EB">
            <w:pPr>
              <w:jc w:val="right"/>
              <w:rPr>
                <w:rFonts w:ascii="宋体"/>
              </w:rPr>
            </w:pPr>
          </w:p>
        </w:tc>
      </w:tr>
      <w:tr w:rsidR="003C66EB" w14:paraId="5EA2455F" w14:textId="77777777">
        <w:tc>
          <w:tcPr>
            <w:tcW w:w="0" w:type="auto"/>
            <w:gridSpan w:val="3"/>
            <w:shd w:val="clear" w:color="auto" w:fill="auto"/>
            <w:tcMar>
              <w:top w:w="40" w:type="dxa"/>
              <w:left w:w="20" w:type="dxa"/>
              <w:bottom w:w="40" w:type="dxa"/>
              <w:right w:w="20" w:type="dxa"/>
            </w:tcMar>
            <w:vAlign w:val="bottom"/>
          </w:tcPr>
          <w:p w14:paraId="5EA2454B" w14:textId="77777777" w:rsidR="003C66EB" w:rsidRDefault="00D96C4E">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auto"/>
            <w:tcMar>
              <w:top w:w="0" w:type="dxa"/>
              <w:left w:w="20" w:type="dxa"/>
              <w:bottom w:w="0" w:type="dxa"/>
              <w:right w:w="20" w:type="dxa"/>
            </w:tcMar>
          </w:tcPr>
          <w:p w14:paraId="5EA2454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4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4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4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9"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B"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55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55E" w14:textId="77777777" w:rsidR="003C66EB" w:rsidRDefault="003C66EB">
            <w:pPr>
              <w:rPr>
                <w:rFonts w:ascii="宋体"/>
              </w:rPr>
            </w:pPr>
          </w:p>
        </w:tc>
      </w:tr>
      <w:tr w:rsidR="003C66EB" w14:paraId="5EA24574" w14:textId="77777777">
        <w:tc>
          <w:tcPr>
            <w:tcW w:w="0" w:type="auto"/>
            <w:gridSpan w:val="3"/>
            <w:shd w:val="clear" w:color="auto" w:fill="FFFFFF"/>
            <w:tcMar>
              <w:top w:w="40" w:type="dxa"/>
              <w:left w:w="20" w:type="dxa"/>
              <w:bottom w:w="40" w:type="dxa"/>
              <w:right w:w="20" w:type="dxa"/>
            </w:tcMar>
            <w:vAlign w:val="bottom"/>
          </w:tcPr>
          <w:p w14:paraId="5EA24560" w14:textId="77777777" w:rsidR="003C66EB" w:rsidRDefault="00D96C4E">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tcPr>
          <w:p w14:paraId="5EA2456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6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7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7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7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73" w14:textId="77777777" w:rsidR="003C66EB" w:rsidRDefault="003C66EB">
            <w:pPr>
              <w:rPr>
                <w:rFonts w:ascii="宋体"/>
              </w:rPr>
            </w:pPr>
          </w:p>
        </w:tc>
      </w:tr>
      <w:tr w:rsidR="00D96C4E" w14:paraId="5EA2459D" w14:textId="77777777">
        <w:tc>
          <w:tcPr>
            <w:tcW w:w="0" w:type="auto"/>
            <w:gridSpan w:val="3"/>
            <w:shd w:val="clear" w:color="auto" w:fill="CCEEFF"/>
            <w:tcMar>
              <w:top w:w="40" w:type="dxa"/>
              <w:left w:w="245" w:type="dxa"/>
              <w:bottom w:w="40" w:type="dxa"/>
              <w:right w:w="20" w:type="dxa"/>
            </w:tcMar>
            <w:vAlign w:val="bottom"/>
          </w:tcPr>
          <w:p w14:paraId="5EA24575" w14:textId="77777777" w:rsidR="003C66EB" w:rsidRDefault="00D96C4E">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A24576"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77" w14:textId="77777777" w:rsidR="003C66EB" w:rsidRDefault="00D96C4E">
            <w:pPr>
              <w:jc w:val="right"/>
              <w:textAlignment w:val="bottom"/>
            </w:pPr>
            <w:r>
              <w:rPr>
                <w:rFonts w:ascii="Arial" w:eastAsia="宋体" w:hAnsi="Arial" w:cs="Arial"/>
                <w:b/>
                <w:bCs/>
                <w:color w:val="000000"/>
                <w:sz w:val="14"/>
                <w:szCs w:val="14"/>
              </w:rPr>
              <w:t>4,405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7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7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7A"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7B" w14:textId="77777777" w:rsidR="003C66EB" w:rsidRDefault="00D96C4E">
            <w:pPr>
              <w:jc w:val="right"/>
              <w:textAlignment w:val="bottom"/>
            </w:pPr>
            <w:r>
              <w:rPr>
                <w:rFonts w:ascii="Arial" w:eastAsia="宋体" w:hAnsi="Arial" w:cs="Arial"/>
                <w:b/>
                <w:bCs/>
                <w:color w:val="000000"/>
                <w:sz w:val="14"/>
                <w:szCs w:val="14"/>
              </w:rPr>
              <w:t>4,444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7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7E"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7F" w14:textId="77777777" w:rsidR="003C66EB" w:rsidRDefault="00D96C4E">
            <w:pPr>
              <w:jc w:val="right"/>
              <w:textAlignment w:val="bottom"/>
            </w:pPr>
            <w:r>
              <w:rPr>
                <w:rFonts w:ascii="Arial" w:eastAsia="宋体" w:hAnsi="Arial" w:cs="Arial"/>
                <w:b/>
                <w:bCs/>
                <w:color w:val="000000"/>
                <w:sz w:val="14"/>
                <w:szCs w:val="14"/>
              </w:rPr>
              <w:t>1,104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8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82"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83" w14:textId="77777777" w:rsidR="003C66EB" w:rsidRDefault="00D96C4E">
            <w:pPr>
              <w:jc w:val="right"/>
              <w:textAlignment w:val="bottom"/>
            </w:pPr>
            <w:r>
              <w:rPr>
                <w:rFonts w:ascii="Arial" w:eastAsia="宋体" w:hAnsi="Arial" w:cs="Arial"/>
                <w:b/>
                <w:bCs/>
                <w:color w:val="000000"/>
                <w:sz w:val="14"/>
                <w:szCs w:val="14"/>
              </w:rPr>
              <w:t>1,126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8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86"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87"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8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8A"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8B"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8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8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8E"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8F" w14:textId="77777777" w:rsidR="003C66EB" w:rsidRDefault="00D96C4E">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9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92"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93" w14:textId="77777777" w:rsidR="003C66EB" w:rsidRDefault="00D96C4E">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9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9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96"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97" w14:textId="77777777" w:rsidR="003C66EB" w:rsidRDefault="00D96C4E">
            <w:pPr>
              <w:jc w:val="right"/>
              <w:textAlignment w:val="bottom"/>
            </w:pPr>
            <w:r>
              <w:rPr>
                <w:rFonts w:ascii="Arial" w:eastAsia="宋体" w:hAnsi="Arial" w:cs="Arial"/>
                <w:b/>
                <w:bCs/>
                <w:color w:val="000000"/>
                <w:sz w:val="14"/>
                <w:szCs w:val="14"/>
              </w:rPr>
              <w:t>5,530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9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9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59A"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59B" w14:textId="77777777" w:rsidR="003C66EB" w:rsidRDefault="00D96C4E">
            <w:pPr>
              <w:jc w:val="right"/>
              <w:textAlignment w:val="bottom"/>
            </w:pPr>
            <w:r>
              <w:rPr>
                <w:rFonts w:ascii="Arial" w:eastAsia="宋体" w:hAnsi="Arial" w:cs="Arial"/>
                <w:b/>
                <w:bCs/>
                <w:color w:val="000000"/>
                <w:sz w:val="14"/>
                <w:szCs w:val="14"/>
              </w:rPr>
              <w:t>5,591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9C" w14:textId="77777777" w:rsidR="003C66EB" w:rsidRDefault="003C66EB">
            <w:pPr>
              <w:jc w:val="right"/>
              <w:rPr>
                <w:rFonts w:ascii="宋体"/>
              </w:rPr>
            </w:pPr>
          </w:p>
        </w:tc>
      </w:tr>
      <w:tr w:rsidR="00D96C4E" w14:paraId="5EA245BC" w14:textId="77777777">
        <w:tc>
          <w:tcPr>
            <w:tcW w:w="0" w:type="auto"/>
            <w:gridSpan w:val="3"/>
            <w:shd w:val="clear" w:color="auto" w:fill="FFFFFF"/>
            <w:tcMar>
              <w:top w:w="40" w:type="dxa"/>
              <w:left w:w="245" w:type="dxa"/>
              <w:bottom w:w="40" w:type="dxa"/>
              <w:right w:w="20" w:type="dxa"/>
            </w:tcMar>
            <w:vAlign w:val="bottom"/>
          </w:tcPr>
          <w:p w14:paraId="5EA2459E"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A2459F" w14:textId="77777777" w:rsidR="003C66EB" w:rsidRDefault="00D96C4E">
            <w:pPr>
              <w:jc w:val="right"/>
              <w:textAlignment w:val="bottom"/>
            </w:pPr>
            <w:r>
              <w:rPr>
                <w:rFonts w:ascii="Arial" w:eastAsia="宋体" w:hAnsi="Arial" w:cs="Arial"/>
                <w:b/>
                <w:bCs/>
                <w:color w:val="000000"/>
                <w:sz w:val="14"/>
                <w:szCs w:val="14"/>
              </w:rPr>
              <w:t>220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A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A2" w14:textId="77777777" w:rsidR="003C66EB" w:rsidRDefault="00D96C4E">
            <w:pPr>
              <w:jc w:val="right"/>
              <w:textAlignment w:val="bottom"/>
            </w:pPr>
            <w:r>
              <w:rPr>
                <w:rFonts w:ascii="Arial" w:eastAsia="宋体" w:hAnsi="Arial" w:cs="Arial"/>
                <w:b/>
                <w:bCs/>
                <w:color w:val="000000"/>
                <w:sz w:val="14"/>
                <w:szCs w:val="14"/>
              </w:rPr>
              <w:t>228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A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A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A5" w14:textId="77777777" w:rsidR="003C66EB" w:rsidRDefault="00D96C4E">
            <w:pPr>
              <w:jc w:val="right"/>
              <w:textAlignment w:val="bottom"/>
            </w:pPr>
            <w:r>
              <w:rPr>
                <w:rFonts w:ascii="Arial" w:eastAsia="宋体" w:hAnsi="Arial" w:cs="Arial"/>
                <w:b/>
                <w:bCs/>
                <w:color w:val="000000"/>
                <w:sz w:val="14"/>
                <w:szCs w:val="14"/>
              </w:rPr>
              <w:t>350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A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A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A8" w14:textId="77777777" w:rsidR="003C66EB" w:rsidRDefault="00D96C4E">
            <w:pPr>
              <w:jc w:val="right"/>
              <w:textAlignment w:val="bottom"/>
            </w:pPr>
            <w:r>
              <w:rPr>
                <w:rFonts w:ascii="Arial" w:eastAsia="宋体" w:hAnsi="Arial" w:cs="Arial"/>
                <w:b/>
                <w:bCs/>
                <w:color w:val="000000"/>
                <w:sz w:val="14"/>
                <w:szCs w:val="14"/>
              </w:rPr>
              <w:t>357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A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AB" w14:textId="77777777" w:rsidR="003C66EB" w:rsidRDefault="00D96C4E">
            <w:pPr>
              <w:jc w:val="right"/>
              <w:textAlignment w:val="bottom"/>
            </w:pPr>
            <w:r>
              <w:rPr>
                <w:rFonts w:ascii="Arial" w:eastAsia="宋体" w:hAnsi="Arial" w:cs="Arial"/>
                <w:b/>
                <w:bCs/>
                <w:color w:val="000000"/>
                <w:sz w:val="14"/>
                <w:szCs w:val="14"/>
              </w:rPr>
              <w:t>5,104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A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A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AE" w14:textId="77777777" w:rsidR="003C66EB" w:rsidRDefault="00D96C4E">
            <w:pPr>
              <w:jc w:val="right"/>
              <w:textAlignment w:val="bottom"/>
            </w:pPr>
            <w:r>
              <w:rPr>
                <w:rFonts w:ascii="Arial" w:eastAsia="宋体" w:hAnsi="Arial" w:cs="Arial"/>
                <w:b/>
                <w:bCs/>
                <w:color w:val="000000"/>
                <w:sz w:val="14"/>
                <w:szCs w:val="14"/>
              </w:rPr>
              <w:t>5,031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A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B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B1" w14:textId="77777777" w:rsidR="003C66EB" w:rsidRDefault="00D96C4E">
            <w:pPr>
              <w:jc w:val="right"/>
              <w:textAlignment w:val="bottom"/>
            </w:pPr>
            <w:r>
              <w:rPr>
                <w:rFonts w:ascii="Arial" w:eastAsia="宋体" w:hAnsi="Arial" w:cs="Arial"/>
                <w:b/>
                <w:bCs/>
                <w:color w:val="000000"/>
                <w:sz w:val="14"/>
                <w:szCs w:val="14"/>
              </w:rPr>
              <w:t>29,256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B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B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B4" w14:textId="77777777" w:rsidR="003C66EB" w:rsidRDefault="00D96C4E">
            <w:pPr>
              <w:jc w:val="right"/>
              <w:textAlignment w:val="bottom"/>
            </w:pPr>
            <w:r>
              <w:rPr>
                <w:rFonts w:ascii="Arial" w:eastAsia="宋体" w:hAnsi="Arial" w:cs="Arial"/>
                <w:b/>
                <w:bCs/>
                <w:color w:val="000000"/>
                <w:sz w:val="14"/>
                <w:szCs w:val="14"/>
              </w:rPr>
              <w:t>29,621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B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B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B7" w14:textId="77777777" w:rsidR="003C66EB" w:rsidRDefault="00D96C4E">
            <w:pPr>
              <w:jc w:val="right"/>
              <w:textAlignment w:val="bottom"/>
            </w:pPr>
            <w:r>
              <w:rPr>
                <w:rFonts w:ascii="Arial" w:eastAsia="宋体" w:hAnsi="Arial" w:cs="Arial"/>
                <w:b/>
                <w:bCs/>
                <w:color w:val="000000"/>
                <w:sz w:val="14"/>
                <w:szCs w:val="14"/>
              </w:rPr>
              <w:t>34,930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B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5B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5BA" w14:textId="77777777" w:rsidR="003C66EB" w:rsidRDefault="00D96C4E">
            <w:pPr>
              <w:jc w:val="right"/>
              <w:textAlignment w:val="bottom"/>
            </w:pPr>
            <w:r>
              <w:rPr>
                <w:rFonts w:ascii="Arial" w:eastAsia="宋体" w:hAnsi="Arial" w:cs="Arial"/>
                <w:b/>
                <w:bCs/>
                <w:color w:val="000000"/>
                <w:sz w:val="14"/>
                <w:szCs w:val="14"/>
              </w:rPr>
              <w:t>35,237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5BB" w14:textId="77777777" w:rsidR="003C66EB" w:rsidRDefault="003C66EB">
            <w:pPr>
              <w:jc w:val="right"/>
              <w:rPr>
                <w:rFonts w:ascii="宋体"/>
              </w:rPr>
            </w:pPr>
          </w:p>
        </w:tc>
      </w:tr>
      <w:tr w:rsidR="00D96C4E" w14:paraId="5EA245DB" w14:textId="77777777">
        <w:tc>
          <w:tcPr>
            <w:tcW w:w="0" w:type="auto"/>
            <w:gridSpan w:val="3"/>
            <w:shd w:val="clear" w:color="auto" w:fill="CCEEFF"/>
            <w:tcMar>
              <w:top w:w="40" w:type="dxa"/>
              <w:left w:w="515" w:type="dxa"/>
              <w:bottom w:w="40" w:type="dxa"/>
              <w:right w:w="20" w:type="dxa"/>
            </w:tcMar>
            <w:vAlign w:val="bottom"/>
          </w:tcPr>
          <w:p w14:paraId="5EA245BD" w14:textId="77777777" w:rsidR="003C66EB" w:rsidRDefault="00D96C4E">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BE" w14:textId="77777777" w:rsidR="003C66EB" w:rsidRDefault="00D96C4E">
            <w:pPr>
              <w:jc w:val="right"/>
              <w:textAlignment w:val="bottom"/>
            </w:pPr>
            <w:r>
              <w:rPr>
                <w:rFonts w:ascii="Arial" w:eastAsia="宋体" w:hAnsi="Arial" w:cs="Arial"/>
                <w:b/>
                <w:bCs/>
                <w:color w:val="000000"/>
                <w:sz w:val="14"/>
                <w:szCs w:val="14"/>
              </w:rPr>
              <w:t>4,625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C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C1" w14:textId="77777777" w:rsidR="003C66EB" w:rsidRDefault="00D96C4E">
            <w:pPr>
              <w:jc w:val="right"/>
              <w:textAlignment w:val="bottom"/>
            </w:pPr>
            <w:r>
              <w:rPr>
                <w:rFonts w:ascii="Arial" w:eastAsia="宋体" w:hAnsi="Arial" w:cs="Arial"/>
                <w:b/>
                <w:bCs/>
                <w:color w:val="000000"/>
                <w:sz w:val="14"/>
                <w:szCs w:val="14"/>
              </w:rPr>
              <w:t>4,672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C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C4" w14:textId="77777777" w:rsidR="003C66EB" w:rsidRDefault="00D96C4E">
            <w:pPr>
              <w:jc w:val="right"/>
              <w:textAlignment w:val="bottom"/>
            </w:pPr>
            <w:r>
              <w:rPr>
                <w:rFonts w:ascii="Arial" w:eastAsia="宋体" w:hAnsi="Arial" w:cs="Arial"/>
                <w:b/>
                <w:bCs/>
                <w:color w:val="000000"/>
                <w:sz w:val="14"/>
                <w:szCs w:val="14"/>
              </w:rPr>
              <w:t>1,454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C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C7" w14:textId="77777777" w:rsidR="003C66EB" w:rsidRDefault="00D96C4E">
            <w:pPr>
              <w:jc w:val="right"/>
              <w:textAlignment w:val="bottom"/>
            </w:pPr>
            <w:r>
              <w:rPr>
                <w:rFonts w:ascii="Arial" w:eastAsia="宋体" w:hAnsi="Arial" w:cs="Arial"/>
                <w:b/>
                <w:bCs/>
                <w:color w:val="000000"/>
                <w:sz w:val="14"/>
                <w:szCs w:val="14"/>
              </w:rPr>
              <w:t>1,483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C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C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CA" w14:textId="77777777" w:rsidR="003C66EB" w:rsidRDefault="00D96C4E">
            <w:pPr>
              <w:jc w:val="right"/>
              <w:textAlignment w:val="bottom"/>
            </w:pPr>
            <w:r>
              <w:rPr>
                <w:rFonts w:ascii="Arial" w:eastAsia="宋体" w:hAnsi="Arial" w:cs="Arial"/>
                <w:b/>
                <w:bCs/>
                <w:color w:val="000000"/>
                <w:sz w:val="14"/>
                <w:szCs w:val="14"/>
              </w:rPr>
              <w:t>5,105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C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C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CD" w14:textId="77777777" w:rsidR="003C66EB" w:rsidRDefault="00D96C4E">
            <w:pPr>
              <w:jc w:val="right"/>
              <w:textAlignment w:val="bottom"/>
            </w:pPr>
            <w:r>
              <w:rPr>
                <w:rFonts w:ascii="Arial" w:eastAsia="宋体" w:hAnsi="Arial" w:cs="Arial"/>
                <w:b/>
                <w:bCs/>
                <w:color w:val="000000"/>
                <w:sz w:val="14"/>
                <w:szCs w:val="14"/>
              </w:rPr>
              <w:t>5,032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C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C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D0" w14:textId="77777777" w:rsidR="003C66EB" w:rsidRDefault="00D96C4E">
            <w:pPr>
              <w:jc w:val="right"/>
              <w:textAlignment w:val="bottom"/>
            </w:pPr>
            <w:r>
              <w:rPr>
                <w:rFonts w:ascii="Arial" w:eastAsia="宋体" w:hAnsi="Arial" w:cs="Arial"/>
                <w:b/>
                <w:bCs/>
                <w:color w:val="000000"/>
                <w:sz w:val="14"/>
                <w:szCs w:val="14"/>
              </w:rPr>
              <w:t>29,</w:t>
            </w:r>
            <w:r>
              <w:rPr>
                <w:rFonts w:ascii="Arial" w:eastAsia="宋体" w:hAnsi="Arial" w:cs="Arial"/>
                <w:b/>
                <w:bCs/>
                <w:color w:val="000000"/>
                <w:sz w:val="14"/>
                <w:szCs w:val="14"/>
              </w:rPr>
              <w:t>276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D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D3" w14:textId="77777777" w:rsidR="003C66EB" w:rsidRDefault="00D96C4E">
            <w:pPr>
              <w:jc w:val="right"/>
              <w:textAlignment w:val="bottom"/>
            </w:pPr>
            <w:r>
              <w:rPr>
                <w:rFonts w:ascii="Arial" w:eastAsia="宋体" w:hAnsi="Arial" w:cs="Arial"/>
                <w:b/>
                <w:bCs/>
                <w:color w:val="000000"/>
                <w:sz w:val="14"/>
                <w:szCs w:val="14"/>
              </w:rPr>
              <w:t>29,641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D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D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D6" w14:textId="77777777" w:rsidR="003C66EB" w:rsidRDefault="00D96C4E">
            <w:pPr>
              <w:jc w:val="right"/>
              <w:textAlignment w:val="bottom"/>
            </w:pPr>
            <w:r>
              <w:rPr>
                <w:rFonts w:ascii="Arial" w:eastAsia="宋体" w:hAnsi="Arial" w:cs="Arial"/>
                <w:b/>
                <w:bCs/>
                <w:color w:val="000000"/>
                <w:sz w:val="14"/>
                <w:szCs w:val="14"/>
              </w:rPr>
              <w:t>40,460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D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D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5D9" w14:textId="77777777" w:rsidR="003C66EB" w:rsidRDefault="00D96C4E">
            <w:pPr>
              <w:jc w:val="right"/>
              <w:textAlignment w:val="bottom"/>
            </w:pPr>
            <w:r>
              <w:rPr>
                <w:rFonts w:ascii="Arial" w:eastAsia="宋体" w:hAnsi="Arial" w:cs="Arial"/>
                <w:b/>
                <w:bCs/>
                <w:color w:val="000000"/>
                <w:sz w:val="14"/>
                <w:szCs w:val="14"/>
              </w:rPr>
              <w:t>40,828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5DA" w14:textId="77777777" w:rsidR="003C66EB" w:rsidRDefault="003C66EB">
            <w:pPr>
              <w:jc w:val="right"/>
              <w:rPr>
                <w:rFonts w:ascii="宋体"/>
              </w:rPr>
            </w:pPr>
          </w:p>
        </w:tc>
      </w:tr>
      <w:tr w:rsidR="003C66EB" w14:paraId="5EA245F0" w14:textId="77777777">
        <w:tc>
          <w:tcPr>
            <w:tcW w:w="0" w:type="auto"/>
            <w:gridSpan w:val="3"/>
            <w:shd w:val="clear" w:color="auto" w:fill="FFFFFF"/>
            <w:tcMar>
              <w:top w:w="40" w:type="dxa"/>
              <w:left w:w="20" w:type="dxa"/>
              <w:bottom w:w="40" w:type="dxa"/>
              <w:right w:w="20" w:type="dxa"/>
            </w:tcMar>
            <w:vAlign w:val="bottom"/>
          </w:tcPr>
          <w:p w14:paraId="5EA245DC" w14:textId="77777777" w:rsidR="003C66EB" w:rsidRDefault="00D96C4E">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45D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DE"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D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0"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2"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4"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6"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8"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A"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C"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5EE"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5EF" w14:textId="77777777" w:rsidR="003C66EB" w:rsidRDefault="003C66EB">
            <w:pPr>
              <w:rPr>
                <w:rFonts w:ascii="宋体"/>
              </w:rPr>
            </w:pPr>
          </w:p>
        </w:tc>
      </w:tr>
      <w:tr w:rsidR="00D96C4E" w14:paraId="5EA2460F" w14:textId="77777777">
        <w:tc>
          <w:tcPr>
            <w:tcW w:w="0" w:type="auto"/>
            <w:gridSpan w:val="3"/>
            <w:shd w:val="clear" w:color="auto" w:fill="CCEEFF"/>
            <w:tcMar>
              <w:top w:w="40" w:type="dxa"/>
              <w:left w:w="245" w:type="dxa"/>
              <w:bottom w:w="40" w:type="dxa"/>
              <w:right w:w="20" w:type="dxa"/>
            </w:tcMar>
            <w:vAlign w:val="bottom"/>
          </w:tcPr>
          <w:p w14:paraId="5EA245F1" w14:textId="77777777" w:rsidR="003C66EB" w:rsidRDefault="00D96C4E">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5EA245F2" w14:textId="77777777" w:rsidR="003C66EB" w:rsidRDefault="00D96C4E">
            <w:pPr>
              <w:jc w:val="right"/>
              <w:textAlignment w:val="bottom"/>
            </w:pPr>
            <w:r>
              <w:rPr>
                <w:rFonts w:ascii="Arial" w:eastAsia="宋体" w:hAnsi="Arial" w:cs="Arial"/>
                <w:b/>
                <w:bCs/>
                <w:color w:val="000000"/>
                <w:sz w:val="14"/>
                <w:szCs w:val="14"/>
              </w:rPr>
              <w:t>364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F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F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F5" w14:textId="77777777" w:rsidR="003C66EB" w:rsidRDefault="00D96C4E">
            <w:pPr>
              <w:jc w:val="right"/>
              <w:textAlignment w:val="bottom"/>
            </w:pPr>
            <w:r>
              <w:rPr>
                <w:rFonts w:ascii="Arial" w:eastAsia="宋体" w:hAnsi="Arial" w:cs="Arial"/>
                <w:b/>
                <w:bCs/>
                <w:color w:val="000000"/>
                <w:sz w:val="14"/>
                <w:szCs w:val="14"/>
              </w:rPr>
              <w:t>357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F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F8" w14:textId="77777777" w:rsidR="003C66EB" w:rsidRDefault="00D96C4E">
            <w:pPr>
              <w:jc w:val="right"/>
              <w:textAlignment w:val="bottom"/>
            </w:pPr>
            <w:r>
              <w:rPr>
                <w:rFonts w:ascii="Arial" w:eastAsia="宋体" w:hAnsi="Arial" w:cs="Arial"/>
                <w:b/>
                <w:bCs/>
                <w:color w:val="000000"/>
                <w:sz w:val="14"/>
                <w:szCs w:val="14"/>
              </w:rPr>
              <w:t>125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F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FB" w14:textId="77777777" w:rsidR="003C66EB" w:rsidRDefault="00D96C4E">
            <w:pPr>
              <w:jc w:val="right"/>
              <w:textAlignment w:val="bottom"/>
            </w:pPr>
            <w:r>
              <w:rPr>
                <w:rFonts w:ascii="Arial" w:eastAsia="宋体" w:hAnsi="Arial" w:cs="Arial"/>
                <w:b/>
                <w:bCs/>
                <w:color w:val="000000"/>
                <w:sz w:val="14"/>
                <w:szCs w:val="14"/>
              </w:rPr>
              <w:t>123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F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5F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5FE" w14:textId="77777777" w:rsidR="003C66EB" w:rsidRDefault="00D96C4E">
            <w:pPr>
              <w:jc w:val="right"/>
              <w:textAlignment w:val="bottom"/>
            </w:pPr>
            <w:r>
              <w:rPr>
                <w:rFonts w:ascii="Arial" w:eastAsia="宋体" w:hAnsi="Arial" w:cs="Arial"/>
                <w:b/>
                <w:bCs/>
                <w:color w:val="000000"/>
                <w:sz w:val="14"/>
                <w:szCs w:val="14"/>
              </w:rPr>
              <w:t>901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5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0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01" w14:textId="77777777" w:rsidR="003C66EB" w:rsidRDefault="00D96C4E">
            <w:pPr>
              <w:jc w:val="right"/>
              <w:textAlignment w:val="bottom"/>
            </w:pPr>
            <w:r>
              <w:rPr>
                <w:rFonts w:ascii="Arial" w:eastAsia="宋体" w:hAnsi="Arial" w:cs="Arial"/>
                <w:b/>
                <w:bCs/>
                <w:color w:val="000000"/>
                <w:sz w:val="14"/>
                <w:szCs w:val="14"/>
              </w:rPr>
              <w:t>908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0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04" w14:textId="77777777" w:rsidR="003C66EB" w:rsidRDefault="00D96C4E">
            <w:pPr>
              <w:jc w:val="right"/>
              <w:textAlignment w:val="bottom"/>
            </w:pPr>
            <w:r>
              <w:rPr>
                <w:rFonts w:ascii="Arial" w:eastAsia="宋体" w:hAnsi="Arial" w:cs="Arial"/>
                <w:b/>
                <w:bCs/>
                <w:color w:val="000000"/>
                <w:sz w:val="14"/>
                <w:szCs w:val="14"/>
              </w:rPr>
              <w:t>3,355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0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07" w14:textId="77777777" w:rsidR="003C66EB" w:rsidRDefault="00D96C4E">
            <w:pPr>
              <w:jc w:val="right"/>
              <w:textAlignment w:val="bottom"/>
            </w:pPr>
            <w:r>
              <w:rPr>
                <w:rFonts w:ascii="Arial" w:eastAsia="宋体" w:hAnsi="Arial" w:cs="Arial"/>
                <w:b/>
                <w:bCs/>
                <w:color w:val="000000"/>
                <w:sz w:val="14"/>
                <w:szCs w:val="14"/>
              </w:rPr>
              <w:t>3,380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0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0A" w14:textId="77777777" w:rsidR="003C66EB" w:rsidRDefault="00D96C4E">
            <w:pPr>
              <w:jc w:val="right"/>
              <w:textAlignment w:val="bottom"/>
            </w:pPr>
            <w:r>
              <w:rPr>
                <w:rFonts w:ascii="Arial" w:eastAsia="宋体" w:hAnsi="Arial" w:cs="Arial"/>
                <w:b/>
                <w:bCs/>
                <w:color w:val="000000"/>
                <w:sz w:val="14"/>
                <w:szCs w:val="14"/>
              </w:rPr>
              <w:t>4,745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0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0D" w14:textId="77777777" w:rsidR="003C66EB" w:rsidRDefault="00D96C4E">
            <w:pPr>
              <w:jc w:val="right"/>
              <w:textAlignment w:val="bottom"/>
            </w:pPr>
            <w:r>
              <w:rPr>
                <w:rFonts w:ascii="Arial" w:eastAsia="宋体" w:hAnsi="Arial" w:cs="Arial"/>
                <w:b/>
                <w:bCs/>
                <w:color w:val="000000"/>
                <w:sz w:val="14"/>
                <w:szCs w:val="14"/>
              </w:rPr>
              <w:t>4,768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0E" w14:textId="77777777" w:rsidR="003C66EB" w:rsidRDefault="003C66EB">
            <w:pPr>
              <w:jc w:val="right"/>
              <w:rPr>
                <w:rFonts w:ascii="宋体"/>
              </w:rPr>
            </w:pPr>
          </w:p>
        </w:tc>
      </w:tr>
      <w:tr w:rsidR="00D96C4E" w14:paraId="5EA2462E" w14:textId="77777777">
        <w:tc>
          <w:tcPr>
            <w:tcW w:w="0" w:type="auto"/>
            <w:gridSpan w:val="3"/>
            <w:shd w:val="clear" w:color="auto" w:fill="FFFFFF"/>
            <w:tcMar>
              <w:top w:w="40" w:type="dxa"/>
              <w:left w:w="245" w:type="dxa"/>
              <w:bottom w:w="40" w:type="dxa"/>
              <w:right w:w="20" w:type="dxa"/>
            </w:tcMar>
            <w:vAlign w:val="bottom"/>
          </w:tcPr>
          <w:p w14:paraId="5EA24610" w14:textId="77777777" w:rsidR="003C66EB" w:rsidRDefault="00D96C4E">
            <w:pPr>
              <w:textAlignment w:val="bottom"/>
            </w:pPr>
            <w:r>
              <w:rPr>
                <w:rFonts w:ascii="Arial" w:eastAsia="宋体" w:hAnsi="Arial" w:cs="Arial"/>
                <w:color w:val="000000"/>
                <w:sz w:val="14"/>
                <w:szCs w:val="14"/>
              </w:rPr>
              <w:t>Non-agency CMBS and RMBS</w:t>
            </w:r>
          </w:p>
        </w:tc>
        <w:tc>
          <w:tcPr>
            <w:tcW w:w="0" w:type="auto"/>
            <w:gridSpan w:val="2"/>
            <w:shd w:val="clear" w:color="auto" w:fill="FFFFFF"/>
            <w:tcMar>
              <w:top w:w="40" w:type="dxa"/>
              <w:left w:w="20" w:type="dxa"/>
              <w:bottom w:w="40" w:type="dxa"/>
              <w:right w:w="0" w:type="dxa"/>
            </w:tcMar>
            <w:vAlign w:val="bottom"/>
          </w:tcPr>
          <w:p w14:paraId="5EA24611" w14:textId="77777777" w:rsidR="003C66EB" w:rsidRDefault="00D96C4E">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1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1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14" w14:textId="77777777" w:rsidR="003C66EB" w:rsidRDefault="00D96C4E">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1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1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17" w14:textId="77777777" w:rsidR="003C66EB" w:rsidRDefault="00D96C4E">
            <w:pPr>
              <w:jc w:val="right"/>
              <w:textAlignment w:val="bottom"/>
            </w:pPr>
            <w:r>
              <w:rPr>
                <w:rFonts w:ascii="Arial" w:eastAsia="宋体" w:hAnsi="Arial" w:cs="Arial"/>
                <w:b/>
                <w:bCs/>
                <w:color w:val="000000"/>
                <w:sz w:val="14"/>
                <w:szCs w:val="14"/>
              </w:rPr>
              <w:t>253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1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1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1A" w14:textId="77777777" w:rsidR="003C66EB" w:rsidRDefault="00D96C4E">
            <w:pPr>
              <w:jc w:val="right"/>
              <w:textAlignment w:val="bottom"/>
            </w:pPr>
            <w:r>
              <w:rPr>
                <w:rFonts w:ascii="Arial" w:eastAsia="宋体" w:hAnsi="Arial" w:cs="Arial"/>
                <w:b/>
                <w:bCs/>
                <w:color w:val="000000"/>
                <w:sz w:val="14"/>
                <w:szCs w:val="14"/>
              </w:rPr>
              <w:t>255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1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1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1D"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1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1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20"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2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23" w14:textId="77777777" w:rsidR="003C66EB" w:rsidRDefault="00D96C4E">
            <w:pPr>
              <w:jc w:val="right"/>
              <w:textAlignment w:val="bottom"/>
            </w:pPr>
            <w:r>
              <w:rPr>
                <w:rFonts w:ascii="Arial" w:eastAsia="宋体" w:hAnsi="Arial" w:cs="Arial"/>
                <w:b/>
                <w:bCs/>
                <w:color w:val="000000"/>
                <w:sz w:val="14"/>
                <w:szCs w:val="14"/>
              </w:rPr>
              <w:t>136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2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26" w14:textId="77777777" w:rsidR="003C66EB" w:rsidRDefault="00D96C4E">
            <w:pPr>
              <w:jc w:val="right"/>
              <w:textAlignment w:val="bottom"/>
            </w:pPr>
            <w:r>
              <w:rPr>
                <w:rFonts w:ascii="Arial" w:eastAsia="宋体" w:hAnsi="Arial" w:cs="Arial"/>
                <w:b/>
                <w:bCs/>
                <w:color w:val="000000"/>
                <w:sz w:val="14"/>
                <w:szCs w:val="14"/>
              </w:rPr>
              <w:t>153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29" w14:textId="77777777" w:rsidR="003C66EB" w:rsidRDefault="00D96C4E">
            <w:pPr>
              <w:jc w:val="right"/>
              <w:textAlignment w:val="bottom"/>
            </w:pPr>
            <w:r>
              <w:rPr>
                <w:rFonts w:ascii="Arial" w:eastAsia="宋体" w:hAnsi="Arial" w:cs="Arial"/>
                <w:b/>
                <w:bCs/>
                <w:color w:val="000000"/>
                <w:sz w:val="14"/>
                <w:szCs w:val="14"/>
              </w:rPr>
              <w:t>526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2C" w14:textId="77777777" w:rsidR="003C66EB" w:rsidRDefault="00D96C4E">
            <w:pPr>
              <w:jc w:val="right"/>
              <w:textAlignment w:val="bottom"/>
            </w:pPr>
            <w:r>
              <w:rPr>
                <w:rFonts w:ascii="Arial" w:eastAsia="宋体" w:hAnsi="Arial" w:cs="Arial"/>
                <w:b/>
                <w:bCs/>
                <w:color w:val="000000"/>
                <w:sz w:val="14"/>
                <w:szCs w:val="14"/>
              </w:rPr>
              <w:t>557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2D" w14:textId="77777777" w:rsidR="003C66EB" w:rsidRDefault="003C66EB">
            <w:pPr>
              <w:jc w:val="right"/>
              <w:rPr>
                <w:rFonts w:ascii="宋体"/>
              </w:rPr>
            </w:pPr>
          </w:p>
        </w:tc>
      </w:tr>
      <w:tr w:rsidR="003C66EB" w14:paraId="5EA24643" w14:textId="77777777">
        <w:trPr>
          <w:hidden/>
        </w:trPr>
        <w:tc>
          <w:tcPr>
            <w:tcW w:w="0" w:type="auto"/>
            <w:gridSpan w:val="3"/>
            <w:shd w:val="clear" w:color="auto" w:fill="auto"/>
          </w:tcPr>
          <w:p w14:paraId="5EA2462F" w14:textId="77777777" w:rsidR="003C66EB" w:rsidRDefault="003C66EB">
            <w:pPr>
              <w:rPr>
                <w:rFonts w:ascii="宋体"/>
                <w:vanish/>
              </w:rPr>
            </w:pPr>
          </w:p>
        </w:tc>
        <w:tc>
          <w:tcPr>
            <w:tcW w:w="0" w:type="auto"/>
            <w:gridSpan w:val="3"/>
            <w:shd w:val="clear" w:color="auto" w:fill="auto"/>
          </w:tcPr>
          <w:p w14:paraId="5EA24630" w14:textId="77777777" w:rsidR="003C66EB" w:rsidRDefault="003C66EB">
            <w:pPr>
              <w:rPr>
                <w:rFonts w:ascii="宋体"/>
                <w:vanish/>
              </w:rPr>
            </w:pPr>
          </w:p>
        </w:tc>
        <w:tc>
          <w:tcPr>
            <w:tcW w:w="0" w:type="auto"/>
            <w:gridSpan w:val="3"/>
            <w:shd w:val="clear" w:color="auto" w:fill="auto"/>
          </w:tcPr>
          <w:p w14:paraId="5EA24631" w14:textId="77777777" w:rsidR="003C66EB" w:rsidRDefault="003C66EB">
            <w:pPr>
              <w:rPr>
                <w:rFonts w:ascii="宋体"/>
                <w:vanish/>
              </w:rPr>
            </w:pPr>
          </w:p>
        </w:tc>
        <w:tc>
          <w:tcPr>
            <w:tcW w:w="0" w:type="auto"/>
            <w:gridSpan w:val="3"/>
            <w:shd w:val="clear" w:color="auto" w:fill="auto"/>
          </w:tcPr>
          <w:p w14:paraId="5EA24632" w14:textId="77777777" w:rsidR="003C66EB" w:rsidRDefault="003C66EB">
            <w:pPr>
              <w:rPr>
                <w:rFonts w:ascii="宋体"/>
                <w:vanish/>
              </w:rPr>
            </w:pPr>
          </w:p>
        </w:tc>
        <w:tc>
          <w:tcPr>
            <w:tcW w:w="0" w:type="auto"/>
            <w:gridSpan w:val="3"/>
            <w:shd w:val="clear" w:color="auto" w:fill="auto"/>
          </w:tcPr>
          <w:p w14:paraId="5EA24633" w14:textId="77777777" w:rsidR="003C66EB" w:rsidRDefault="003C66EB">
            <w:pPr>
              <w:rPr>
                <w:rFonts w:ascii="宋体"/>
                <w:vanish/>
              </w:rPr>
            </w:pPr>
          </w:p>
        </w:tc>
        <w:tc>
          <w:tcPr>
            <w:tcW w:w="0" w:type="auto"/>
            <w:gridSpan w:val="3"/>
            <w:shd w:val="clear" w:color="auto" w:fill="auto"/>
          </w:tcPr>
          <w:p w14:paraId="5EA24634" w14:textId="77777777" w:rsidR="003C66EB" w:rsidRDefault="003C66EB">
            <w:pPr>
              <w:rPr>
                <w:rFonts w:ascii="宋体"/>
                <w:vanish/>
              </w:rPr>
            </w:pPr>
          </w:p>
        </w:tc>
        <w:tc>
          <w:tcPr>
            <w:tcW w:w="0" w:type="auto"/>
            <w:gridSpan w:val="3"/>
            <w:shd w:val="clear" w:color="auto" w:fill="auto"/>
          </w:tcPr>
          <w:p w14:paraId="5EA24635" w14:textId="77777777" w:rsidR="003C66EB" w:rsidRDefault="003C66EB">
            <w:pPr>
              <w:rPr>
                <w:rFonts w:ascii="宋体"/>
                <w:vanish/>
              </w:rPr>
            </w:pPr>
          </w:p>
        </w:tc>
        <w:tc>
          <w:tcPr>
            <w:tcW w:w="0" w:type="auto"/>
            <w:gridSpan w:val="3"/>
            <w:shd w:val="clear" w:color="auto" w:fill="auto"/>
          </w:tcPr>
          <w:p w14:paraId="5EA24636" w14:textId="77777777" w:rsidR="003C66EB" w:rsidRDefault="003C66EB">
            <w:pPr>
              <w:rPr>
                <w:rFonts w:ascii="宋体"/>
                <w:vanish/>
              </w:rPr>
            </w:pPr>
          </w:p>
        </w:tc>
        <w:tc>
          <w:tcPr>
            <w:tcW w:w="0" w:type="auto"/>
            <w:gridSpan w:val="3"/>
            <w:shd w:val="clear" w:color="auto" w:fill="auto"/>
          </w:tcPr>
          <w:p w14:paraId="5EA24637" w14:textId="77777777" w:rsidR="003C66EB" w:rsidRDefault="003C66EB">
            <w:pPr>
              <w:rPr>
                <w:rFonts w:ascii="宋体"/>
                <w:vanish/>
              </w:rPr>
            </w:pPr>
          </w:p>
        </w:tc>
        <w:tc>
          <w:tcPr>
            <w:tcW w:w="0" w:type="auto"/>
            <w:gridSpan w:val="3"/>
            <w:shd w:val="clear" w:color="auto" w:fill="auto"/>
          </w:tcPr>
          <w:p w14:paraId="5EA24638" w14:textId="77777777" w:rsidR="003C66EB" w:rsidRDefault="003C66EB">
            <w:pPr>
              <w:rPr>
                <w:rFonts w:ascii="宋体"/>
                <w:vanish/>
              </w:rPr>
            </w:pPr>
          </w:p>
        </w:tc>
        <w:tc>
          <w:tcPr>
            <w:tcW w:w="0" w:type="auto"/>
            <w:gridSpan w:val="3"/>
            <w:shd w:val="clear" w:color="auto" w:fill="auto"/>
          </w:tcPr>
          <w:p w14:paraId="5EA24639" w14:textId="77777777" w:rsidR="003C66EB" w:rsidRDefault="003C66EB">
            <w:pPr>
              <w:rPr>
                <w:rFonts w:ascii="宋体"/>
                <w:vanish/>
              </w:rPr>
            </w:pPr>
          </w:p>
        </w:tc>
        <w:tc>
          <w:tcPr>
            <w:tcW w:w="0" w:type="auto"/>
            <w:gridSpan w:val="3"/>
            <w:shd w:val="clear" w:color="auto" w:fill="auto"/>
          </w:tcPr>
          <w:p w14:paraId="5EA2463A" w14:textId="77777777" w:rsidR="003C66EB" w:rsidRDefault="003C66EB">
            <w:pPr>
              <w:rPr>
                <w:rFonts w:ascii="宋体"/>
                <w:vanish/>
              </w:rPr>
            </w:pPr>
          </w:p>
        </w:tc>
        <w:tc>
          <w:tcPr>
            <w:tcW w:w="0" w:type="auto"/>
            <w:gridSpan w:val="3"/>
            <w:shd w:val="clear" w:color="auto" w:fill="auto"/>
          </w:tcPr>
          <w:p w14:paraId="5EA2463B" w14:textId="77777777" w:rsidR="003C66EB" w:rsidRDefault="003C66EB">
            <w:pPr>
              <w:rPr>
                <w:rFonts w:ascii="宋体"/>
                <w:vanish/>
              </w:rPr>
            </w:pPr>
          </w:p>
        </w:tc>
        <w:tc>
          <w:tcPr>
            <w:tcW w:w="0" w:type="auto"/>
            <w:gridSpan w:val="3"/>
            <w:shd w:val="clear" w:color="auto" w:fill="auto"/>
          </w:tcPr>
          <w:p w14:paraId="5EA2463C" w14:textId="77777777" w:rsidR="003C66EB" w:rsidRDefault="003C66EB">
            <w:pPr>
              <w:rPr>
                <w:rFonts w:ascii="宋体"/>
                <w:vanish/>
              </w:rPr>
            </w:pPr>
          </w:p>
        </w:tc>
        <w:tc>
          <w:tcPr>
            <w:tcW w:w="0" w:type="auto"/>
            <w:gridSpan w:val="3"/>
            <w:shd w:val="clear" w:color="auto" w:fill="auto"/>
          </w:tcPr>
          <w:p w14:paraId="5EA2463D" w14:textId="77777777" w:rsidR="003C66EB" w:rsidRDefault="003C66EB">
            <w:pPr>
              <w:rPr>
                <w:rFonts w:ascii="宋体"/>
                <w:vanish/>
              </w:rPr>
            </w:pPr>
          </w:p>
        </w:tc>
        <w:tc>
          <w:tcPr>
            <w:tcW w:w="0" w:type="auto"/>
            <w:gridSpan w:val="3"/>
            <w:shd w:val="clear" w:color="auto" w:fill="auto"/>
          </w:tcPr>
          <w:p w14:paraId="5EA2463E" w14:textId="77777777" w:rsidR="003C66EB" w:rsidRDefault="003C66EB">
            <w:pPr>
              <w:rPr>
                <w:rFonts w:ascii="宋体"/>
                <w:vanish/>
              </w:rPr>
            </w:pPr>
          </w:p>
        </w:tc>
        <w:tc>
          <w:tcPr>
            <w:tcW w:w="0" w:type="auto"/>
            <w:gridSpan w:val="3"/>
            <w:shd w:val="clear" w:color="auto" w:fill="auto"/>
          </w:tcPr>
          <w:p w14:paraId="5EA2463F" w14:textId="77777777" w:rsidR="003C66EB" w:rsidRDefault="003C66EB">
            <w:pPr>
              <w:rPr>
                <w:rFonts w:ascii="宋体"/>
                <w:vanish/>
              </w:rPr>
            </w:pPr>
          </w:p>
        </w:tc>
        <w:tc>
          <w:tcPr>
            <w:tcW w:w="0" w:type="auto"/>
            <w:gridSpan w:val="3"/>
            <w:shd w:val="clear" w:color="auto" w:fill="auto"/>
          </w:tcPr>
          <w:p w14:paraId="5EA24640" w14:textId="77777777" w:rsidR="003C66EB" w:rsidRDefault="003C66EB">
            <w:pPr>
              <w:rPr>
                <w:rFonts w:ascii="宋体"/>
                <w:vanish/>
              </w:rPr>
            </w:pPr>
          </w:p>
        </w:tc>
        <w:tc>
          <w:tcPr>
            <w:tcW w:w="0" w:type="auto"/>
            <w:gridSpan w:val="3"/>
            <w:shd w:val="clear" w:color="auto" w:fill="auto"/>
          </w:tcPr>
          <w:p w14:paraId="5EA24641" w14:textId="77777777" w:rsidR="003C66EB" w:rsidRDefault="003C66EB">
            <w:pPr>
              <w:rPr>
                <w:rFonts w:ascii="宋体"/>
                <w:vanish/>
              </w:rPr>
            </w:pPr>
          </w:p>
        </w:tc>
        <w:tc>
          <w:tcPr>
            <w:tcW w:w="0" w:type="auto"/>
            <w:gridSpan w:val="3"/>
            <w:shd w:val="clear" w:color="auto" w:fill="auto"/>
          </w:tcPr>
          <w:p w14:paraId="5EA24642" w14:textId="77777777" w:rsidR="003C66EB" w:rsidRDefault="003C66EB">
            <w:pPr>
              <w:rPr>
                <w:rFonts w:ascii="宋体"/>
                <w:vanish/>
              </w:rPr>
            </w:pPr>
          </w:p>
        </w:tc>
      </w:tr>
      <w:tr w:rsidR="003C66EB" w14:paraId="5EA24658" w14:textId="77777777">
        <w:trPr>
          <w:hidden/>
        </w:trPr>
        <w:tc>
          <w:tcPr>
            <w:tcW w:w="0" w:type="auto"/>
            <w:gridSpan w:val="3"/>
            <w:shd w:val="clear" w:color="auto" w:fill="auto"/>
          </w:tcPr>
          <w:p w14:paraId="5EA24644" w14:textId="77777777" w:rsidR="003C66EB" w:rsidRDefault="003C66EB">
            <w:pPr>
              <w:rPr>
                <w:rFonts w:ascii="宋体"/>
                <w:vanish/>
              </w:rPr>
            </w:pPr>
          </w:p>
        </w:tc>
        <w:tc>
          <w:tcPr>
            <w:tcW w:w="0" w:type="auto"/>
            <w:gridSpan w:val="3"/>
            <w:shd w:val="clear" w:color="auto" w:fill="auto"/>
          </w:tcPr>
          <w:p w14:paraId="5EA24645" w14:textId="77777777" w:rsidR="003C66EB" w:rsidRDefault="003C66EB">
            <w:pPr>
              <w:rPr>
                <w:rFonts w:ascii="宋体"/>
                <w:vanish/>
              </w:rPr>
            </w:pPr>
          </w:p>
        </w:tc>
        <w:tc>
          <w:tcPr>
            <w:tcW w:w="0" w:type="auto"/>
            <w:gridSpan w:val="3"/>
            <w:shd w:val="clear" w:color="auto" w:fill="auto"/>
          </w:tcPr>
          <w:p w14:paraId="5EA24646" w14:textId="77777777" w:rsidR="003C66EB" w:rsidRDefault="003C66EB">
            <w:pPr>
              <w:rPr>
                <w:rFonts w:ascii="宋体"/>
                <w:vanish/>
              </w:rPr>
            </w:pPr>
          </w:p>
        </w:tc>
        <w:tc>
          <w:tcPr>
            <w:tcW w:w="0" w:type="auto"/>
            <w:gridSpan w:val="3"/>
            <w:shd w:val="clear" w:color="auto" w:fill="auto"/>
          </w:tcPr>
          <w:p w14:paraId="5EA24647" w14:textId="77777777" w:rsidR="003C66EB" w:rsidRDefault="003C66EB">
            <w:pPr>
              <w:rPr>
                <w:rFonts w:ascii="宋体"/>
                <w:vanish/>
              </w:rPr>
            </w:pPr>
          </w:p>
        </w:tc>
        <w:tc>
          <w:tcPr>
            <w:tcW w:w="0" w:type="auto"/>
            <w:gridSpan w:val="3"/>
            <w:shd w:val="clear" w:color="auto" w:fill="auto"/>
          </w:tcPr>
          <w:p w14:paraId="5EA24648" w14:textId="77777777" w:rsidR="003C66EB" w:rsidRDefault="003C66EB">
            <w:pPr>
              <w:rPr>
                <w:rFonts w:ascii="宋体"/>
                <w:vanish/>
              </w:rPr>
            </w:pPr>
          </w:p>
        </w:tc>
        <w:tc>
          <w:tcPr>
            <w:tcW w:w="0" w:type="auto"/>
            <w:gridSpan w:val="3"/>
            <w:shd w:val="clear" w:color="auto" w:fill="auto"/>
          </w:tcPr>
          <w:p w14:paraId="5EA24649" w14:textId="77777777" w:rsidR="003C66EB" w:rsidRDefault="003C66EB">
            <w:pPr>
              <w:rPr>
                <w:rFonts w:ascii="宋体"/>
                <w:vanish/>
              </w:rPr>
            </w:pPr>
          </w:p>
        </w:tc>
        <w:tc>
          <w:tcPr>
            <w:tcW w:w="0" w:type="auto"/>
            <w:gridSpan w:val="3"/>
            <w:shd w:val="clear" w:color="auto" w:fill="auto"/>
          </w:tcPr>
          <w:p w14:paraId="5EA2464A" w14:textId="77777777" w:rsidR="003C66EB" w:rsidRDefault="003C66EB">
            <w:pPr>
              <w:rPr>
                <w:rFonts w:ascii="宋体"/>
                <w:vanish/>
              </w:rPr>
            </w:pPr>
          </w:p>
        </w:tc>
        <w:tc>
          <w:tcPr>
            <w:tcW w:w="0" w:type="auto"/>
            <w:gridSpan w:val="3"/>
            <w:shd w:val="clear" w:color="auto" w:fill="auto"/>
          </w:tcPr>
          <w:p w14:paraId="5EA2464B" w14:textId="77777777" w:rsidR="003C66EB" w:rsidRDefault="003C66EB">
            <w:pPr>
              <w:rPr>
                <w:rFonts w:ascii="宋体"/>
                <w:vanish/>
              </w:rPr>
            </w:pPr>
          </w:p>
        </w:tc>
        <w:tc>
          <w:tcPr>
            <w:tcW w:w="0" w:type="auto"/>
            <w:gridSpan w:val="3"/>
            <w:shd w:val="clear" w:color="auto" w:fill="auto"/>
          </w:tcPr>
          <w:p w14:paraId="5EA2464C" w14:textId="77777777" w:rsidR="003C66EB" w:rsidRDefault="003C66EB">
            <w:pPr>
              <w:rPr>
                <w:rFonts w:ascii="宋体"/>
                <w:vanish/>
              </w:rPr>
            </w:pPr>
          </w:p>
        </w:tc>
        <w:tc>
          <w:tcPr>
            <w:tcW w:w="0" w:type="auto"/>
            <w:gridSpan w:val="3"/>
            <w:shd w:val="clear" w:color="auto" w:fill="auto"/>
          </w:tcPr>
          <w:p w14:paraId="5EA2464D" w14:textId="77777777" w:rsidR="003C66EB" w:rsidRDefault="003C66EB">
            <w:pPr>
              <w:rPr>
                <w:rFonts w:ascii="宋体"/>
                <w:vanish/>
              </w:rPr>
            </w:pPr>
          </w:p>
        </w:tc>
        <w:tc>
          <w:tcPr>
            <w:tcW w:w="0" w:type="auto"/>
            <w:gridSpan w:val="3"/>
            <w:shd w:val="clear" w:color="auto" w:fill="auto"/>
          </w:tcPr>
          <w:p w14:paraId="5EA2464E" w14:textId="77777777" w:rsidR="003C66EB" w:rsidRDefault="003C66EB">
            <w:pPr>
              <w:rPr>
                <w:rFonts w:ascii="宋体"/>
                <w:vanish/>
              </w:rPr>
            </w:pPr>
          </w:p>
        </w:tc>
        <w:tc>
          <w:tcPr>
            <w:tcW w:w="0" w:type="auto"/>
            <w:gridSpan w:val="3"/>
            <w:shd w:val="clear" w:color="auto" w:fill="auto"/>
          </w:tcPr>
          <w:p w14:paraId="5EA2464F" w14:textId="77777777" w:rsidR="003C66EB" w:rsidRDefault="003C66EB">
            <w:pPr>
              <w:rPr>
                <w:rFonts w:ascii="宋体"/>
                <w:vanish/>
              </w:rPr>
            </w:pPr>
          </w:p>
        </w:tc>
        <w:tc>
          <w:tcPr>
            <w:tcW w:w="0" w:type="auto"/>
            <w:gridSpan w:val="3"/>
            <w:shd w:val="clear" w:color="auto" w:fill="auto"/>
          </w:tcPr>
          <w:p w14:paraId="5EA24650" w14:textId="77777777" w:rsidR="003C66EB" w:rsidRDefault="003C66EB">
            <w:pPr>
              <w:rPr>
                <w:rFonts w:ascii="宋体"/>
                <w:vanish/>
              </w:rPr>
            </w:pPr>
          </w:p>
        </w:tc>
        <w:tc>
          <w:tcPr>
            <w:tcW w:w="0" w:type="auto"/>
            <w:gridSpan w:val="3"/>
            <w:shd w:val="clear" w:color="auto" w:fill="auto"/>
          </w:tcPr>
          <w:p w14:paraId="5EA24651" w14:textId="77777777" w:rsidR="003C66EB" w:rsidRDefault="003C66EB">
            <w:pPr>
              <w:rPr>
                <w:rFonts w:ascii="宋体"/>
                <w:vanish/>
              </w:rPr>
            </w:pPr>
          </w:p>
        </w:tc>
        <w:tc>
          <w:tcPr>
            <w:tcW w:w="0" w:type="auto"/>
            <w:gridSpan w:val="3"/>
            <w:shd w:val="clear" w:color="auto" w:fill="auto"/>
          </w:tcPr>
          <w:p w14:paraId="5EA24652" w14:textId="77777777" w:rsidR="003C66EB" w:rsidRDefault="003C66EB">
            <w:pPr>
              <w:rPr>
                <w:rFonts w:ascii="宋体"/>
                <w:vanish/>
              </w:rPr>
            </w:pPr>
          </w:p>
        </w:tc>
        <w:tc>
          <w:tcPr>
            <w:tcW w:w="0" w:type="auto"/>
            <w:gridSpan w:val="3"/>
            <w:shd w:val="clear" w:color="auto" w:fill="auto"/>
          </w:tcPr>
          <w:p w14:paraId="5EA24653" w14:textId="77777777" w:rsidR="003C66EB" w:rsidRDefault="003C66EB">
            <w:pPr>
              <w:rPr>
                <w:rFonts w:ascii="宋体"/>
                <w:vanish/>
              </w:rPr>
            </w:pPr>
          </w:p>
        </w:tc>
        <w:tc>
          <w:tcPr>
            <w:tcW w:w="0" w:type="auto"/>
            <w:gridSpan w:val="3"/>
            <w:shd w:val="clear" w:color="auto" w:fill="auto"/>
          </w:tcPr>
          <w:p w14:paraId="5EA24654" w14:textId="77777777" w:rsidR="003C66EB" w:rsidRDefault="003C66EB">
            <w:pPr>
              <w:rPr>
                <w:rFonts w:ascii="宋体"/>
                <w:vanish/>
              </w:rPr>
            </w:pPr>
          </w:p>
        </w:tc>
        <w:tc>
          <w:tcPr>
            <w:tcW w:w="0" w:type="auto"/>
            <w:gridSpan w:val="3"/>
            <w:shd w:val="clear" w:color="auto" w:fill="auto"/>
          </w:tcPr>
          <w:p w14:paraId="5EA24655" w14:textId="77777777" w:rsidR="003C66EB" w:rsidRDefault="003C66EB">
            <w:pPr>
              <w:rPr>
                <w:rFonts w:ascii="宋体"/>
                <w:vanish/>
              </w:rPr>
            </w:pPr>
          </w:p>
        </w:tc>
        <w:tc>
          <w:tcPr>
            <w:tcW w:w="0" w:type="auto"/>
            <w:gridSpan w:val="3"/>
            <w:shd w:val="clear" w:color="auto" w:fill="auto"/>
          </w:tcPr>
          <w:p w14:paraId="5EA24656" w14:textId="77777777" w:rsidR="003C66EB" w:rsidRDefault="003C66EB">
            <w:pPr>
              <w:rPr>
                <w:rFonts w:ascii="宋体"/>
                <w:vanish/>
              </w:rPr>
            </w:pPr>
          </w:p>
        </w:tc>
        <w:tc>
          <w:tcPr>
            <w:tcW w:w="0" w:type="auto"/>
            <w:gridSpan w:val="3"/>
            <w:shd w:val="clear" w:color="auto" w:fill="auto"/>
          </w:tcPr>
          <w:p w14:paraId="5EA24657" w14:textId="77777777" w:rsidR="003C66EB" w:rsidRDefault="003C66EB">
            <w:pPr>
              <w:rPr>
                <w:rFonts w:ascii="宋体"/>
                <w:vanish/>
              </w:rPr>
            </w:pPr>
          </w:p>
        </w:tc>
      </w:tr>
      <w:tr w:rsidR="003C66EB" w14:paraId="5EA2466D" w14:textId="77777777">
        <w:trPr>
          <w:hidden/>
        </w:trPr>
        <w:tc>
          <w:tcPr>
            <w:tcW w:w="0" w:type="auto"/>
            <w:gridSpan w:val="3"/>
            <w:shd w:val="clear" w:color="auto" w:fill="auto"/>
          </w:tcPr>
          <w:p w14:paraId="5EA24659" w14:textId="77777777" w:rsidR="003C66EB" w:rsidRDefault="003C66EB">
            <w:pPr>
              <w:rPr>
                <w:rFonts w:ascii="宋体"/>
                <w:vanish/>
              </w:rPr>
            </w:pPr>
          </w:p>
        </w:tc>
        <w:tc>
          <w:tcPr>
            <w:tcW w:w="0" w:type="auto"/>
            <w:gridSpan w:val="3"/>
            <w:shd w:val="clear" w:color="auto" w:fill="auto"/>
          </w:tcPr>
          <w:p w14:paraId="5EA2465A" w14:textId="77777777" w:rsidR="003C66EB" w:rsidRDefault="003C66EB">
            <w:pPr>
              <w:rPr>
                <w:rFonts w:ascii="宋体"/>
                <w:vanish/>
              </w:rPr>
            </w:pPr>
          </w:p>
        </w:tc>
        <w:tc>
          <w:tcPr>
            <w:tcW w:w="0" w:type="auto"/>
            <w:gridSpan w:val="3"/>
            <w:shd w:val="clear" w:color="auto" w:fill="auto"/>
          </w:tcPr>
          <w:p w14:paraId="5EA2465B" w14:textId="77777777" w:rsidR="003C66EB" w:rsidRDefault="003C66EB">
            <w:pPr>
              <w:rPr>
                <w:rFonts w:ascii="宋体"/>
                <w:vanish/>
              </w:rPr>
            </w:pPr>
          </w:p>
        </w:tc>
        <w:tc>
          <w:tcPr>
            <w:tcW w:w="0" w:type="auto"/>
            <w:gridSpan w:val="3"/>
            <w:shd w:val="clear" w:color="auto" w:fill="auto"/>
          </w:tcPr>
          <w:p w14:paraId="5EA2465C" w14:textId="77777777" w:rsidR="003C66EB" w:rsidRDefault="003C66EB">
            <w:pPr>
              <w:rPr>
                <w:rFonts w:ascii="宋体"/>
                <w:vanish/>
              </w:rPr>
            </w:pPr>
          </w:p>
        </w:tc>
        <w:tc>
          <w:tcPr>
            <w:tcW w:w="0" w:type="auto"/>
            <w:gridSpan w:val="3"/>
            <w:shd w:val="clear" w:color="auto" w:fill="auto"/>
          </w:tcPr>
          <w:p w14:paraId="5EA2465D" w14:textId="77777777" w:rsidR="003C66EB" w:rsidRDefault="003C66EB">
            <w:pPr>
              <w:rPr>
                <w:rFonts w:ascii="宋体"/>
                <w:vanish/>
              </w:rPr>
            </w:pPr>
          </w:p>
        </w:tc>
        <w:tc>
          <w:tcPr>
            <w:tcW w:w="0" w:type="auto"/>
            <w:gridSpan w:val="3"/>
            <w:shd w:val="clear" w:color="auto" w:fill="auto"/>
          </w:tcPr>
          <w:p w14:paraId="5EA2465E" w14:textId="77777777" w:rsidR="003C66EB" w:rsidRDefault="003C66EB">
            <w:pPr>
              <w:rPr>
                <w:rFonts w:ascii="宋体"/>
                <w:vanish/>
              </w:rPr>
            </w:pPr>
          </w:p>
        </w:tc>
        <w:tc>
          <w:tcPr>
            <w:tcW w:w="0" w:type="auto"/>
            <w:gridSpan w:val="3"/>
            <w:shd w:val="clear" w:color="auto" w:fill="auto"/>
          </w:tcPr>
          <w:p w14:paraId="5EA2465F" w14:textId="77777777" w:rsidR="003C66EB" w:rsidRDefault="003C66EB">
            <w:pPr>
              <w:rPr>
                <w:rFonts w:ascii="宋体"/>
                <w:vanish/>
              </w:rPr>
            </w:pPr>
          </w:p>
        </w:tc>
        <w:tc>
          <w:tcPr>
            <w:tcW w:w="0" w:type="auto"/>
            <w:gridSpan w:val="3"/>
            <w:shd w:val="clear" w:color="auto" w:fill="auto"/>
          </w:tcPr>
          <w:p w14:paraId="5EA24660" w14:textId="77777777" w:rsidR="003C66EB" w:rsidRDefault="003C66EB">
            <w:pPr>
              <w:rPr>
                <w:rFonts w:ascii="宋体"/>
                <w:vanish/>
              </w:rPr>
            </w:pPr>
          </w:p>
        </w:tc>
        <w:tc>
          <w:tcPr>
            <w:tcW w:w="0" w:type="auto"/>
            <w:gridSpan w:val="3"/>
            <w:shd w:val="clear" w:color="auto" w:fill="auto"/>
          </w:tcPr>
          <w:p w14:paraId="5EA24661" w14:textId="77777777" w:rsidR="003C66EB" w:rsidRDefault="003C66EB">
            <w:pPr>
              <w:rPr>
                <w:rFonts w:ascii="宋体"/>
                <w:vanish/>
              </w:rPr>
            </w:pPr>
          </w:p>
        </w:tc>
        <w:tc>
          <w:tcPr>
            <w:tcW w:w="0" w:type="auto"/>
            <w:gridSpan w:val="3"/>
            <w:shd w:val="clear" w:color="auto" w:fill="auto"/>
          </w:tcPr>
          <w:p w14:paraId="5EA24662" w14:textId="77777777" w:rsidR="003C66EB" w:rsidRDefault="003C66EB">
            <w:pPr>
              <w:rPr>
                <w:rFonts w:ascii="宋体"/>
                <w:vanish/>
              </w:rPr>
            </w:pPr>
          </w:p>
        </w:tc>
        <w:tc>
          <w:tcPr>
            <w:tcW w:w="0" w:type="auto"/>
            <w:gridSpan w:val="3"/>
            <w:shd w:val="clear" w:color="auto" w:fill="auto"/>
          </w:tcPr>
          <w:p w14:paraId="5EA24663" w14:textId="77777777" w:rsidR="003C66EB" w:rsidRDefault="003C66EB">
            <w:pPr>
              <w:rPr>
                <w:rFonts w:ascii="宋体"/>
                <w:vanish/>
              </w:rPr>
            </w:pPr>
          </w:p>
        </w:tc>
        <w:tc>
          <w:tcPr>
            <w:tcW w:w="0" w:type="auto"/>
            <w:gridSpan w:val="3"/>
            <w:shd w:val="clear" w:color="auto" w:fill="auto"/>
          </w:tcPr>
          <w:p w14:paraId="5EA24664" w14:textId="77777777" w:rsidR="003C66EB" w:rsidRDefault="003C66EB">
            <w:pPr>
              <w:rPr>
                <w:rFonts w:ascii="宋体"/>
                <w:vanish/>
              </w:rPr>
            </w:pPr>
          </w:p>
        </w:tc>
        <w:tc>
          <w:tcPr>
            <w:tcW w:w="0" w:type="auto"/>
            <w:gridSpan w:val="3"/>
            <w:shd w:val="clear" w:color="auto" w:fill="auto"/>
          </w:tcPr>
          <w:p w14:paraId="5EA24665" w14:textId="77777777" w:rsidR="003C66EB" w:rsidRDefault="003C66EB">
            <w:pPr>
              <w:rPr>
                <w:rFonts w:ascii="宋体"/>
                <w:vanish/>
              </w:rPr>
            </w:pPr>
          </w:p>
        </w:tc>
        <w:tc>
          <w:tcPr>
            <w:tcW w:w="0" w:type="auto"/>
            <w:gridSpan w:val="3"/>
            <w:shd w:val="clear" w:color="auto" w:fill="auto"/>
          </w:tcPr>
          <w:p w14:paraId="5EA24666" w14:textId="77777777" w:rsidR="003C66EB" w:rsidRDefault="003C66EB">
            <w:pPr>
              <w:rPr>
                <w:rFonts w:ascii="宋体"/>
                <w:vanish/>
              </w:rPr>
            </w:pPr>
          </w:p>
        </w:tc>
        <w:tc>
          <w:tcPr>
            <w:tcW w:w="0" w:type="auto"/>
            <w:gridSpan w:val="3"/>
            <w:shd w:val="clear" w:color="auto" w:fill="auto"/>
          </w:tcPr>
          <w:p w14:paraId="5EA24667" w14:textId="77777777" w:rsidR="003C66EB" w:rsidRDefault="003C66EB">
            <w:pPr>
              <w:rPr>
                <w:rFonts w:ascii="宋体"/>
                <w:vanish/>
              </w:rPr>
            </w:pPr>
          </w:p>
        </w:tc>
        <w:tc>
          <w:tcPr>
            <w:tcW w:w="0" w:type="auto"/>
            <w:gridSpan w:val="3"/>
            <w:shd w:val="clear" w:color="auto" w:fill="auto"/>
          </w:tcPr>
          <w:p w14:paraId="5EA24668" w14:textId="77777777" w:rsidR="003C66EB" w:rsidRDefault="003C66EB">
            <w:pPr>
              <w:rPr>
                <w:rFonts w:ascii="宋体"/>
                <w:vanish/>
              </w:rPr>
            </w:pPr>
          </w:p>
        </w:tc>
        <w:tc>
          <w:tcPr>
            <w:tcW w:w="0" w:type="auto"/>
            <w:gridSpan w:val="3"/>
            <w:shd w:val="clear" w:color="auto" w:fill="auto"/>
          </w:tcPr>
          <w:p w14:paraId="5EA24669" w14:textId="77777777" w:rsidR="003C66EB" w:rsidRDefault="003C66EB">
            <w:pPr>
              <w:rPr>
                <w:rFonts w:ascii="宋体"/>
                <w:vanish/>
              </w:rPr>
            </w:pPr>
          </w:p>
        </w:tc>
        <w:tc>
          <w:tcPr>
            <w:tcW w:w="0" w:type="auto"/>
            <w:gridSpan w:val="3"/>
            <w:shd w:val="clear" w:color="auto" w:fill="auto"/>
          </w:tcPr>
          <w:p w14:paraId="5EA2466A" w14:textId="77777777" w:rsidR="003C66EB" w:rsidRDefault="003C66EB">
            <w:pPr>
              <w:rPr>
                <w:rFonts w:ascii="宋体"/>
                <w:vanish/>
              </w:rPr>
            </w:pPr>
          </w:p>
        </w:tc>
        <w:tc>
          <w:tcPr>
            <w:tcW w:w="0" w:type="auto"/>
            <w:gridSpan w:val="3"/>
            <w:shd w:val="clear" w:color="auto" w:fill="auto"/>
          </w:tcPr>
          <w:p w14:paraId="5EA2466B" w14:textId="77777777" w:rsidR="003C66EB" w:rsidRDefault="003C66EB">
            <w:pPr>
              <w:rPr>
                <w:rFonts w:ascii="宋体"/>
                <w:vanish/>
              </w:rPr>
            </w:pPr>
          </w:p>
        </w:tc>
        <w:tc>
          <w:tcPr>
            <w:tcW w:w="0" w:type="auto"/>
            <w:gridSpan w:val="3"/>
            <w:shd w:val="clear" w:color="auto" w:fill="auto"/>
          </w:tcPr>
          <w:p w14:paraId="5EA2466C" w14:textId="77777777" w:rsidR="003C66EB" w:rsidRDefault="003C66EB">
            <w:pPr>
              <w:rPr>
                <w:rFonts w:ascii="宋体"/>
                <w:vanish/>
              </w:rPr>
            </w:pPr>
          </w:p>
        </w:tc>
      </w:tr>
      <w:tr w:rsidR="00D96C4E" w14:paraId="5EA2468C" w14:textId="77777777">
        <w:tc>
          <w:tcPr>
            <w:tcW w:w="0" w:type="auto"/>
            <w:gridSpan w:val="3"/>
            <w:shd w:val="clear" w:color="auto" w:fill="CCEEFF"/>
            <w:tcMar>
              <w:top w:w="40" w:type="dxa"/>
              <w:left w:w="515" w:type="dxa"/>
              <w:bottom w:w="40" w:type="dxa"/>
              <w:right w:w="20" w:type="dxa"/>
            </w:tcMar>
            <w:vAlign w:val="bottom"/>
          </w:tcPr>
          <w:p w14:paraId="5EA2466E" w14:textId="77777777" w:rsidR="003C66EB" w:rsidRDefault="00D96C4E">
            <w:pPr>
              <w:textAlignment w:val="bottom"/>
            </w:pPr>
            <w:r>
              <w:rPr>
                <w:rFonts w:ascii="Arial" w:eastAsia="宋体" w:hAnsi="Arial" w:cs="Arial"/>
                <w:color w:val="000000"/>
                <w:sz w:val="14"/>
                <w:szCs w:val="14"/>
              </w:rPr>
              <w:t xml:space="preserve">Total asset-backed </w:t>
            </w:r>
            <w:r>
              <w:rPr>
                <w:rFonts w:ascii="Arial" w:eastAsia="宋体" w:hAnsi="Arial" w:cs="Arial"/>
                <w:color w:val="000000"/>
                <w:sz w:val="14"/>
                <w:szCs w:val="14"/>
              </w:rPr>
              <w:t>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6F" w14:textId="77777777" w:rsidR="003C66EB" w:rsidRDefault="00D96C4E">
            <w:pPr>
              <w:jc w:val="right"/>
              <w:textAlignment w:val="bottom"/>
            </w:pPr>
            <w:r>
              <w:rPr>
                <w:rFonts w:ascii="Arial" w:eastAsia="宋体" w:hAnsi="Arial" w:cs="Arial"/>
                <w:b/>
                <w:bCs/>
                <w:color w:val="000000"/>
                <w:sz w:val="14"/>
                <w:szCs w:val="14"/>
              </w:rPr>
              <w:t>499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7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72" w14:textId="77777777" w:rsidR="003C66EB" w:rsidRDefault="00D96C4E">
            <w:pPr>
              <w:jc w:val="right"/>
              <w:textAlignment w:val="bottom"/>
            </w:pPr>
            <w:r>
              <w:rPr>
                <w:rFonts w:ascii="Arial" w:eastAsia="宋体" w:hAnsi="Arial" w:cs="Arial"/>
                <w:b/>
                <w:bCs/>
                <w:color w:val="000000"/>
                <w:sz w:val="14"/>
                <w:szCs w:val="14"/>
              </w:rPr>
              <w:t>504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74"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75" w14:textId="77777777" w:rsidR="003C66EB" w:rsidRDefault="00D96C4E">
            <w:pPr>
              <w:jc w:val="right"/>
              <w:textAlignment w:val="bottom"/>
            </w:pPr>
            <w:r>
              <w:rPr>
                <w:rFonts w:ascii="Arial" w:eastAsia="宋体" w:hAnsi="Arial" w:cs="Arial"/>
                <w:b/>
                <w:bCs/>
                <w:color w:val="000000"/>
                <w:sz w:val="14"/>
                <w:szCs w:val="14"/>
              </w:rPr>
              <w:t>378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77"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78" w14:textId="77777777" w:rsidR="003C66EB" w:rsidRDefault="00D96C4E">
            <w:pPr>
              <w:jc w:val="right"/>
              <w:textAlignment w:val="bottom"/>
            </w:pPr>
            <w:r>
              <w:rPr>
                <w:rFonts w:ascii="Arial" w:eastAsia="宋体" w:hAnsi="Arial" w:cs="Arial"/>
                <w:b/>
                <w:bCs/>
                <w:color w:val="000000"/>
                <w:sz w:val="14"/>
                <w:szCs w:val="14"/>
              </w:rPr>
              <w:t>378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7A"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7B" w14:textId="77777777" w:rsidR="003C66EB" w:rsidRDefault="00D96C4E">
            <w:pPr>
              <w:jc w:val="right"/>
              <w:textAlignment w:val="bottom"/>
            </w:pPr>
            <w:r>
              <w:rPr>
                <w:rFonts w:ascii="Arial" w:eastAsia="宋体" w:hAnsi="Arial" w:cs="Arial"/>
                <w:b/>
                <w:bCs/>
                <w:color w:val="000000"/>
                <w:sz w:val="14"/>
                <w:szCs w:val="14"/>
              </w:rPr>
              <w:t>903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7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7E" w14:textId="77777777" w:rsidR="003C66EB" w:rsidRDefault="00D96C4E">
            <w:pPr>
              <w:jc w:val="right"/>
              <w:textAlignment w:val="bottom"/>
            </w:pPr>
            <w:r>
              <w:rPr>
                <w:rFonts w:ascii="Arial" w:eastAsia="宋体" w:hAnsi="Arial" w:cs="Arial"/>
                <w:b/>
                <w:bCs/>
                <w:color w:val="000000"/>
                <w:sz w:val="14"/>
                <w:szCs w:val="14"/>
              </w:rPr>
              <w:t>910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8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81" w14:textId="77777777" w:rsidR="003C66EB" w:rsidRDefault="00D96C4E">
            <w:pPr>
              <w:jc w:val="right"/>
              <w:textAlignment w:val="bottom"/>
            </w:pPr>
            <w:r>
              <w:rPr>
                <w:rFonts w:ascii="Arial" w:eastAsia="宋体" w:hAnsi="Arial" w:cs="Arial"/>
                <w:b/>
                <w:bCs/>
                <w:color w:val="000000"/>
                <w:sz w:val="14"/>
                <w:szCs w:val="14"/>
              </w:rPr>
              <w:t>3,491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8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8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84" w14:textId="77777777" w:rsidR="003C66EB" w:rsidRDefault="00D96C4E">
            <w:pPr>
              <w:jc w:val="right"/>
              <w:textAlignment w:val="bottom"/>
            </w:pPr>
            <w:r>
              <w:rPr>
                <w:rFonts w:ascii="Arial" w:eastAsia="宋体" w:hAnsi="Arial" w:cs="Arial"/>
                <w:b/>
                <w:bCs/>
                <w:color w:val="000000"/>
                <w:sz w:val="14"/>
                <w:szCs w:val="14"/>
              </w:rPr>
              <w:t>3,533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8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8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87" w14:textId="77777777" w:rsidR="003C66EB" w:rsidRDefault="00D96C4E">
            <w:pPr>
              <w:jc w:val="right"/>
              <w:textAlignment w:val="bottom"/>
            </w:pPr>
            <w:r>
              <w:rPr>
                <w:rFonts w:ascii="Arial" w:eastAsia="宋体" w:hAnsi="Arial" w:cs="Arial"/>
                <w:b/>
                <w:bCs/>
                <w:color w:val="000000"/>
                <w:sz w:val="14"/>
                <w:szCs w:val="14"/>
              </w:rPr>
              <w:t>5,271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8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68A" w14:textId="77777777" w:rsidR="003C66EB" w:rsidRDefault="00D96C4E">
            <w:pPr>
              <w:jc w:val="right"/>
              <w:textAlignment w:val="bottom"/>
            </w:pPr>
            <w:r>
              <w:rPr>
                <w:rFonts w:ascii="Arial" w:eastAsia="宋体" w:hAnsi="Arial" w:cs="Arial"/>
                <w:b/>
                <w:bCs/>
                <w:color w:val="000000"/>
                <w:sz w:val="14"/>
                <w:szCs w:val="14"/>
              </w:rPr>
              <w:t>5,325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68B" w14:textId="77777777" w:rsidR="003C66EB" w:rsidRDefault="003C66EB">
            <w:pPr>
              <w:jc w:val="right"/>
              <w:rPr>
                <w:rFonts w:ascii="宋体"/>
              </w:rPr>
            </w:pPr>
          </w:p>
        </w:tc>
      </w:tr>
      <w:tr w:rsidR="003C66EB" w14:paraId="5EA246A1" w14:textId="77777777">
        <w:tc>
          <w:tcPr>
            <w:tcW w:w="0" w:type="auto"/>
            <w:gridSpan w:val="3"/>
            <w:shd w:val="clear" w:color="auto" w:fill="FFFFFF"/>
            <w:tcMar>
              <w:top w:w="40" w:type="dxa"/>
              <w:left w:w="20" w:type="dxa"/>
              <w:bottom w:w="40" w:type="dxa"/>
              <w:right w:w="20" w:type="dxa"/>
            </w:tcMar>
            <w:vAlign w:val="bottom"/>
          </w:tcPr>
          <w:p w14:paraId="5EA2468D" w14:textId="77777777" w:rsidR="003C66EB" w:rsidRDefault="00D96C4E">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468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8F"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1"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3"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5"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7"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9"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B"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D"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9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69F"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46A0" w14:textId="77777777" w:rsidR="003C66EB" w:rsidRDefault="003C66EB">
            <w:pPr>
              <w:rPr>
                <w:rFonts w:ascii="宋体"/>
              </w:rPr>
            </w:pPr>
          </w:p>
        </w:tc>
      </w:tr>
      <w:tr w:rsidR="00D96C4E" w14:paraId="5EA246C0" w14:textId="77777777">
        <w:tc>
          <w:tcPr>
            <w:tcW w:w="0" w:type="auto"/>
            <w:gridSpan w:val="3"/>
            <w:shd w:val="clear" w:color="auto" w:fill="CCEEFF"/>
            <w:tcMar>
              <w:top w:w="40" w:type="dxa"/>
              <w:left w:w="245" w:type="dxa"/>
              <w:bottom w:w="40" w:type="dxa"/>
              <w:right w:w="20" w:type="dxa"/>
            </w:tcMar>
            <w:vAlign w:val="bottom"/>
          </w:tcPr>
          <w:p w14:paraId="5EA246A2" w14:textId="77777777" w:rsidR="003C66EB" w:rsidRDefault="00D96C4E">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A246A3" w14:textId="77777777" w:rsidR="003C66EB" w:rsidRDefault="00D96C4E">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A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A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A6" w14:textId="77777777" w:rsidR="003C66EB" w:rsidRDefault="00D96C4E">
            <w:pPr>
              <w:jc w:val="right"/>
              <w:textAlignment w:val="bottom"/>
            </w:pPr>
            <w:r>
              <w:rPr>
                <w:rFonts w:ascii="Arial" w:eastAsia="宋体" w:hAnsi="Arial" w:cs="Arial"/>
                <w:b/>
                <w:bCs/>
                <w:color w:val="000000"/>
                <w:sz w:val="14"/>
                <w:szCs w:val="14"/>
              </w:rPr>
              <w:t>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A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A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A9" w14:textId="77777777" w:rsidR="003C66EB" w:rsidRDefault="00D96C4E">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A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A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AC" w14:textId="77777777" w:rsidR="003C66EB" w:rsidRDefault="00D96C4E">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A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AF"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B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B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B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B5" w14:textId="77777777" w:rsidR="003C66EB" w:rsidRDefault="00D96C4E">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B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B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B8" w14:textId="77777777" w:rsidR="003C66EB" w:rsidRDefault="00D96C4E">
            <w:pPr>
              <w:jc w:val="right"/>
              <w:textAlignment w:val="bottom"/>
            </w:pPr>
            <w:r>
              <w:rPr>
                <w:rFonts w:ascii="Arial" w:eastAsia="宋体" w:hAnsi="Arial" w:cs="Arial"/>
                <w:b/>
                <w:bCs/>
                <w:color w:val="000000"/>
                <w:sz w:val="14"/>
                <w:szCs w:val="14"/>
              </w:rPr>
              <w:t>250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B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BB" w14:textId="77777777" w:rsidR="003C66EB" w:rsidRDefault="00D96C4E">
            <w:pPr>
              <w:jc w:val="right"/>
              <w:textAlignment w:val="bottom"/>
            </w:pPr>
            <w:r>
              <w:rPr>
                <w:rFonts w:ascii="Arial" w:eastAsia="宋体" w:hAnsi="Arial" w:cs="Arial"/>
                <w:b/>
                <w:bCs/>
                <w:color w:val="000000"/>
                <w:sz w:val="14"/>
                <w:szCs w:val="14"/>
              </w:rPr>
              <w:t>286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6B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6BE" w14:textId="77777777" w:rsidR="003C66EB" w:rsidRDefault="00D96C4E">
            <w:pPr>
              <w:jc w:val="right"/>
              <w:textAlignment w:val="bottom"/>
            </w:pPr>
            <w:r>
              <w:rPr>
                <w:rFonts w:ascii="Arial" w:eastAsia="宋体" w:hAnsi="Arial" w:cs="Arial"/>
                <w:b/>
                <w:bCs/>
                <w:color w:val="000000"/>
                <w:sz w:val="14"/>
                <w:szCs w:val="14"/>
              </w:rPr>
              <w:t>353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6BF" w14:textId="77777777" w:rsidR="003C66EB" w:rsidRDefault="003C66EB">
            <w:pPr>
              <w:jc w:val="right"/>
              <w:rPr>
                <w:rFonts w:ascii="宋体"/>
              </w:rPr>
            </w:pPr>
          </w:p>
        </w:tc>
      </w:tr>
      <w:tr w:rsidR="003C66EB" w14:paraId="5EA246D5" w14:textId="77777777">
        <w:trPr>
          <w:hidden/>
        </w:trPr>
        <w:tc>
          <w:tcPr>
            <w:tcW w:w="0" w:type="auto"/>
            <w:gridSpan w:val="3"/>
            <w:shd w:val="clear" w:color="auto" w:fill="auto"/>
          </w:tcPr>
          <w:p w14:paraId="5EA246C1" w14:textId="77777777" w:rsidR="003C66EB" w:rsidRDefault="003C66EB">
            <w:pPr>
              <w:rPr>
                <w:rFonts w:ascii="宋体"/>
                <w:vanish/>
              </w:rPr>
            </w:pPr>
          </w:p>
        </w:tc>
        <w:tc>
          <w:tcPr>
            <w:tcW w:w="0" w:type="auto"/>
            <w:gridSpan w:val="3"/>
            <w:shd w:val="clear" w:color="auto" w:fill="auto"/>
          </w:tcPr>
          <w:p w14:paraId="5EA246C2" w14:textId="77777777" w:rsidR="003C66EB" w:rsidRDefault="003C66EB">
            <w:pPr>
              <w:rPr>
                <w:rFonts w:ascii="宋体"/>
                <w:vanish/>
              </w:rPr>
            </w:pPr>
          </w:p>
        </w:tc>
        <w:tc>
          <w:tcPr>
            <w:tcW w:w="0" w:type="auto"/>
            <w:gridSpan w:val="3"/>
            <w:shd w:val="clear" w:color="auto" w:fill="auto"/>
          </w:tcPr>
          <w:p w14:paraId="5EA246C3" w14:textId="77777777" w:rsidR="003C66EB" w:rsidRDefault="003C66EB">
            <w:pPr>
              <w:rPr>
                <w:rFonts w:ascii="宋体"/>
                <w:vanish/>
              </w:rPr>
            </w:pPr>
          </w:p>
        </w:tc>
        <w:tc>
          <w:tcPr>
            <w:tcW w:w="0" w:type="auto"/>
            <w:gridSpan w:val="3"/>
            <w:shd w:val="clear" w:color="auto" w:fill="auto"/>
          </w:tcPr>
          <w:p w14:paraId="5EA246C4" w14:textId="77777777" w:rsidR="003C66EB" w:rsidRDefault="003C66EB">
            <w:pPr>
              <w:rPr>
                <w:rFonts w:ascii="宋体"/>
                <w:vanish/>
              </w:rPr>
            </w:pPr>
          </w:p>
        </w:tc>
        <w:tc>
          <w:tcPr>
            <w:tcW w:w="0" w:type="auto"/>
            <w:gridSpan w:val="3"/>
            <w:shd w:val="clear" w:color="auto" w:fill="auto"/>
          </w:tcPr>
          <w:p w14:paraId="5EA246C5" w14:textId="77777777" w:rsidR="003C66EB" w:rsidRDefault="003C66EB">
            <w:pPr>
              <w:rPr>
                <w:rFonts w:ascii="宋体"/>
                <w:vanish/>
              </w:rPr>
            </w:pPr>
          </w:p>
        </w:tc>
        <w:tc>
          <w:tcPr>
            <w:tcW w:w="0" w:type="auto"/>
            <w:gridSpan w:val="3"/>
            <w:shd w:val="clear" w:color="auto" w:fill="auto"/>
          </w:tcPr>
          <w:p w14:paraId="5EA246C6" w14:textId="77777777" w:rsidR="003C66EB" w:rsidRDefault="003C66EB">
            <w:pPr>
              <w:rPr>
                <w:rFonts w:ascii="宋体"/>
                <w:vanish/>
              </w:rPr>
            </w:pPr>
          </w:p>
        </w:tc>
        <w:tc>
          <w:tcPr>
            <w:tcW w:w="0" w:type="auto"/>
            <w:gridSpan w:val="3"/>
            <w:shd w:val="clear" w:color="auto" w:fill="auto"/>
          </w:tcPr>
          <w:p w14:paraId="5EA246C7" w14:textId="77777777" w:rsidR="003C66EB" w:rsidRDefault="003C66EB">
            <w:pPr>
              <w:rPr>
                <w:rFonts w:ascii="宋体"/>
                <w:vanish/>
              </w:rPr>
            </w:pPr>
          </w:p>
        </w:tc>
        <w:tc>
          <w:tcPr>
            <w:tcW w:w="0" w:type="auto"/>
            <w:gridSpan w:val="3"/>
            <w:shd w:val="clear" w:color="auto" w:fill="auto"/>
          </w:tcPr>
          <w:p w14:paraId="5EA246C8" w14:textId="77777777" w:rsidR="003C66EB" w:rsidRDefault="003C66EB">
            <w:pPr>
              <w:rPr>
                <w:rFonts w:ascii="宋体"/>
                <w:vanish/>
              </w:rPr>
            </w:pPr>
          </w:p>
        </w:tc>
        <w:tc>
          <w:tcPr>
            <w:tcW w:w="0" w:type="auto"/>
            <w:gridSpan w:val="3"/>
            <w:shd w:val="clear" w:color="auto" w:fill="auto"/>
          </w:tcPr>
          <w:p w14:paraId="5EA246C9" w14:textId="77777777" w:rsidR="003C66EB" w:rsidRDefault="003C66EB">
            <w:pPr>
              <w:rPr>
                <w:rFonts w:ascii="宋体"/>
                <w:vanish/>
              </w:rPr>
            </w:pPr>
          </w:p>
        </w:tc>
        <w:tc>
          <w:tcPr>
            <w:tcW w:w="0" w:type="auto"/>
            <w:gridSpan w:val="3"/>
            <w:shd w:val="clear" w:color="auto" w:fill="auto"/>
          </w:tcPr>
          <w:p w14:paraId="5EA246CA" w14:textId="77777777" w:rsidR="003C66EB" w:rsidRDefault="003C66EB">
            <w:pPr>
              <w:rPr>
                <w:rFonts w:ascii="宋体"/>
                <w:vanish/>
              </w:rPr>
            </w:pPr>
          </w:p>
        </w:tc>
        <w:tc>
          <w:tcPr>
            <w:tcW w:w="0" w:type="auto"/>
            <w:gridSpan w:val="3"/>
            <w:shd w:val="clear" w:color="auto" w:fill="auto"/>
          </w:tcPr>
          <w:p w14:paraId="5EA246CB" w14:textId="77777777" w:rsidR="003C66EB" w:rsidRDefault="003C66EB">
            <w:pPr>
              <w:rPr>
                <w:rFonts w:ascii="宋体"/>
                <w:vanish/>
              </w:rPr>
            </w:pPr>
          </w:p>
        </w:tc>
        <w:tc>
          <w:tcPr>
            <w:tcW w:w="0" w:type="auto"/>
            <w:gridSpan w:val="3"/>
            <w:shd w:val="clear" w:color="auto" w:fill="auto"/>
          </w:tcPr>
          <w:p w14:paraId="5EA246CC" w14:textId="77777777" w:rsidR="003C66EB" w:rsidRDefault="003C66EB">
            <w:pPr>
              <w:rPr>
                <w:rFonts w:ascii="宋体"/>
                <w:vanish/>
              </w:rPr>
            </w:pPr>
          </w:p>
        </w:tc>
        <w:tc>
          <w:tcPr>
            <w:tcW w:w="0" w:type="auto"/>
            <w:gridSpan w:val="3"/>
            <w:shd w:val="clear" w:color="auto" w:fill="auto"/>
          </w:tcPr>
          <w:p w14:paraId="5EA246CD" w14:textId="77777777" w:rsidR="003C66EB" w:rsidRDefault="003C66EB">
            <w:pPr>
              <w:rPr>
                <w:rFonts w:ascii="宋体"/>
                <w:vanish/>
              </w:rPr>
            </w:pPr>
          </w:p>
        </w:tc>
        <w:tc>
          <w:tcPr>
            <w:tcW w:w="0" w:type="auto"/>
            <w:gridSpan w:val="3"/>
            <w:shd w:val="clear" w:color="auto" w:fill="auto"/>
          </w:tcPr>
          <w:p w14:paraId="5EA246CE" w14:textId="77777777" w:rsidR="003C66EB" w:rsidRDefault="003C66EB">
            <w:pPr>
              <w:rPr>
                <w:rFonts w:ascii="宋体"/>
                <w:vanish/>
              </w:rPr>
            </w:pPr>
          </w:p>
        </w:tc>
        <w:tc>
          <w:tcPr>
            <w:tcW w:w="0" w:type="auto"/>
            <w:gridSpan w:val="3"/>
            <w:shd w:val="clear" w:color="auto" w:fill="auto"/>
          </w:tcPr>
          <w:p w14:paraId="5EA246CF" w14:textId="77777777" w:rsidR="003C66EB" w:rsidRDefault="003C66EB">
            <w:pPr>
              <w:rPr>
                <w:rFonts w:ascii="宋体"/>
                <w:vanish/>
              </w:rPr>
            </w:pPr>
          </w:p>
        </w:tc>
        <w:tc>
          <w:tcPr>
            <w:tcW w:w="0" w:type="auto"/>
            <w:gridSpan w:val="3"/>
            <w:shd w:val="clear" w:color="auto" w:fill="auto"/>
          </w:tcPr>
          <w:p w14:paraId="5EA246D0" w14:textId="77777777" w:rsidR="003C66EB" w:rsidRDefault="003C66EB">
            <w:pPr>
              <w:rPr>
                <w:rFonts w:ascii="宋体"/>
                <w:vanish/>
              </w:rPr>
            </w:pPr>
          </w:p>
        </w:tc>
        <w:tc>
          <w:tcPr>
            <w:tcW w:w="0" w:type="auto"/>
            <w:gridSpan w:val="3"/>
            <w:shd w:val="clear" w:color="auto" w:fill="auto"/>
          </w:tcPr>
          <w:p w14:paraId="5EA246D1" w14:textId="77777777" w:rsidR="003C66EB" w:rsidRDefault="003C66EB">
            <w:pPr>
              <w:rPr>
                <w:rFonts w:ascii="宋体"/>
                <w:vanish/>
              </w:rPr>
            </w:pPr>
          </w:p>
        </w:tc>
        <w:tc>
          <w:tcPr>
            <w:tcW w:w="0" w:type="auto"/>
            <w:gridSpan w:val="3"/>
            <w:shd w:val="clear" w:color="auto" w:fill="auto"/>
          </w:tcPr>
          <w:p w14:paraId="5EA246D2" w14:textId="77777777" w:rsidR="003C66EB" w:rsidRDefault="003C66EB">
            <w:pPr>
              <w:rPr>
                <w:rFonts w:ascii="宋体"/>
                <w:vanish/>
              </w:rPr>
            </w:pPr>
          </w:p>
        </w:tc>
        <w:tc>
          <w:tcPr>
            <w:tcW w:w="0" w:type="auto"/>
            <w:gridSpan w:val="3"/>
            <w:shd w:val="clear" w:color="auto" w:fill="auto"/>
          </w:tcPr>
          <w:p w14:paraId="5EA246D3" w14:textId="77777777" w:rsidR="003C66EB" w:rsidRDefault="003C66EB">
            <w:pPr>
              <w:rPr>
                <w:rFonts w:ascii="宋体"/>
                <w:vanish/>
              </w:rPr>
            </w:pPr>
          </w:p>
        </w:tc>
        <w:tc>
          <w:tcPr>
            <w:tcW w:w="0" w:type="auto"/>
            <w:gridSpan w:val="3"/>
            <w:shd w:val="clear" w:color="auto" w:fill="auto"/>
          </w:tcPr>
          <w:p w14:paraId="5EA246D4" w14:textId="77777777" w:rsidR="003C66EB" w:rsidRDefault="003C66EB">
            <w:pPr>
              <w:rPr>
                <w:rFonts w:ascii="宋体"/>
                <w:vanish/>
              </w:rPr>
            </w:pPr>
          </w:p>
        </w:tc>
      </w:tr>
      <w:tr w:rsidR="00D96C4E" w14:paraId="5EA246F4" w14:textId="77777777">
        <w:tc>
          <w:tcPr>
            <w:tcW w:w="0" w:type="auto"/>
            <w:gridSpan w:val="3"/>
            <w:shd w:val="clear" w:color="auto" w:fill="FFFFFF"/>
            <w:tcMar>
              <w:top w:w="40" w:type="dxa"/>
              <w:left w:w="245" w:type="dxa"/>
              <w:bottom w:w="40" w:type="dxa"/>
              <w:right w:w="20" w:type="dxa"/>
            </w:tcMar>
            <w:vAlign w:val="bottom"/>
          </w:tcPr>
          <w:p w14:paraId="5EA246D6" w14:textId="77777777" w:rsidR="003C66EB" w:rsidRDefault="00D96C4E">
            <w:pPr>
              <w:textAlignment w:val="bottom"/>
            </w:pPr>
            <w:r>
              <w:rPr>
                <w:rFonts w:ascii="Arial" w:eastAsia="宋体" w:hAnsi="Arial" w:cs="Arial"/>
                <w:color w:val="000000"/>
                <w:sz w:val="14"/>
                <w:szCs w:val="14"/>
              </w:rPr>
              <w:t>Government securities</w:t>
            </w:r>
          </w:p>
        </w:tc>
        <w:tc>
          <w:tcPr>
            <w:tcW w:w="0" w:type="auto"/>
            <w:gridSpan w:val="2"/>
            <w:shd w:val="clear" w:color="auto" w:fill="FFFFFF"/>
            <w:tcMar>
              <w:top w:w="40" w:type="dxa"/>
              <w:left w:w="20" w:type="dxa"/>
              <w:bottom w:w="40" w:type="dxa"/>
              <w:right w:w="0" w:type="dxa"/>
            </w:tcMar>
            <w:vAlign w:val="bottom"/>
          </w:tcPr>
          <w:p w14:paraId="5EA246D7" w14:textId="77777777" w:rsidR="003C66EB" w:rsidRDefault="00D96C4E">
            <w:pPr>
              <w:jc w:val="right"/>
              <w:textAlignment w:val="bottom"/>
            </w:pPr>
            <w:r>
              <w:rPr>
                <w:rFonts w:ascii="Arial" w:eastAsia="宋体" w:hAnsi="Arial" w:cs="Arial"/>
                <w:b/>
                <w:bCs/>
                <w:color w:val="000000"/>
                <w:sz w:val="14"/>
                <w:szCs w:val="14"/>
              </w:rPr>
              <w:t>246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DA" w14:textId="77777777" w:rsidR="003C66EB" w:rsidRDefault="00D96C4E">
            <w:pPr>
              <w:jc w:val="right"/>
              <w:textAlignment w:val="bottom"/>
            </w:pPr>
            <w:r>
              <w:rPr>
                <w:rFonts w:ascii="Arial" w:eastAsia="宋体" w:hAnsi="Arial" w:cs="Arial"/>
                <w:b/>
                <w:bCs/>
                <w:color w:val="000000"/>
                <w:sz w:val="14"/>
                <w:szCs w:val="14"/>
              </w:rPr>
              <w:t>246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D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D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D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E0"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E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E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E3"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E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E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E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E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E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E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E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E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EF" w14:textId="77777777" w:rsidR="003C66EB" w:rsidRDefault="00D96C4E">
            <w:pPr>
              <w:jc w:val="right"/>
              <w:textAlignment w:val="bottom"/>
            </w:pPr>
            <w:r>
              <w:rPr>
                <w:rFonts w:ascii="Arial" w:eastAsia="宋体" w:hAnsi="Arial" w:cs="Arial"/>
                <w:b/>
                <w:bCs/>
                <w:color w:val="000000"/>
                <w:sz w:val="14"/>
                <w:szCs w:val="14"/>
              </w:rPr>
              <w:t>246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F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6F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6F2" w14:textId="77777777" w:rsidR="003C66EB" w:rsidRDefault="00D96C4E">
            <w:pPr>
              <w:jc w:val="right"/>
              <w:textAlignment w:val="bottom"/>
            </w:pPr>
            <w:r>
              <w:rPr>
                <w:rFonts w:ascii="Arial" w:eastAsia="宋体" w:hAnsi="Arial" w:cs="Arial"/>
                <w:b/>
                <w:bCs/>
                <w:color w:val="000000"/>
                <w:sz w:val="14"/>
                <w:szCs w:val="14"/>
              </w:rPr>
              <w:t>246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6F3" w14:textId="77777777" w:rsidR="003C66EB" w:rsidRDefault="003C66EB">
            <w:pPr>
              <w:jc w:val="right"/>
              <w:rPr>
                <w:rFonts w:ascii="宋体"/>
              </w:rPr>
            </w:pPr>
          </w:p>
        </w:tc>
      </w:tr>
      <w:tr w:rsidR="003C66EB" w14:paraId="5EA24709" w14:textId="77777777">
        <w:trPr>
          <w:hidden/>
        </w:trPr>
        <w:tc>
          <w:tcPr>
            <w:tcW w:w="0" w:type="auto"/>
            <w:gridSpan w:val="3"/>
            <w:shd w:val="clear" w:color="auto" w:fill="auto"/>
          </w:tcPr>
          <w:p w14:paraId="5EA246F5" w14:textId="77777777" w:rsidR="003C66EB" w:rsidRDefault="003C66EB">
            <w:pPr>
              <w:rPr>
                <w:rFonts w:ascii="宋体"/>
                <w:vanish/>
              </w:rPr>
            </w:pPr>
          </w:p>
        </w:tc>
        <w:tc>
          <w:tcPr>
            <w:tcW w:w="0" w:type="auto"/>
            <w:gridSpan w:val="3"/>
            <w:shd w:val="clear" w:color="auto" w:fill="auto"/>
          </w:tcPr>
          <w:p w14:paraId="5EA246F6" w14:textId="77777777" w:rsidR="003C66EB" w:rsidRDefault="003C66EB">
            <w:pPr>
              <w:rPr>
                <w:rFonts w:ascii="宋体"/>
                <w:vanish/>
              </w:rPr>
            </w:pPr>
          </w:p>
        </w:tc>
        <w:tc>
          <w:tcPr>
            <w:tcW w:w="0" w:type="auto"/>
            <w:gridSpan w:val="3"/>
            <w:shd w:val="clear" w:color="auto" w:fill="auto"/>
          </w:tcPr>
          <w:p w14:paraId="5EA246F7" w14:textId="77777777" w:rsidR="003C66EB" w:rsidRDefault="003C66EB">
            <w:pPr>
              <w:rPr>
                <w:rFonts w:ascii="宋体"/>
                <w:vanish/>
              </w:rPr>
            </w:pPr>
          </w:p>
        </w:tc>
        <w:tc>
          <w:tcPr>
            <w:tcW w:w="0" w:type="auto"/>
            <w:gridSpan w:val="3"/>
            <w:shd w:val="clear" w:color="auto" w:fill="auto"/>
          </w:tcPr>
          <w:p w14:paraId="5EA246F8" w14:textId="77777777" w:rsidR="003C66EB" w:rsidRDefault="003C66EB">
            <w:pPr>
              <w:rPr>
                <w:rFonts w:ascii="宋体"/>
                <w:vanish/>
              </w:rPr>
            </w:pPr>
          </w:p>
        </w:tc>
        <w:tc>
          <w:tcPr>
            <w:tcW w:w="0" w:type="auto"/>
            <w:gridSpan w:val="3"/>
            <w:shd w:val="clear" w:color="auto" w:fill="auto"/>
          </w:tcPr>
          <w:p w14:paraId="5EA246F9" w14:textId="77777777" w:rsidR="003C66EB" w:rsidRDefault="003C66EB">
            <w:pPr>
              <w:rPr>
                <w:rFonts w:ascii="宋体"/>
                <w:vanish/>
              </w:rPr>
            </w:pPr>
          </w:p>
        </w:tc>
        <w:tc>
          <w:tcPr>
            <w:tcW w:w="0" w:type="auto"/>
            <w:gridSpan w:val="3"/>
            <w:shd w:val="clear" w:color="auto" w:fill="auto"/>
          </w:tcPr>
          <w:p w14:paraId="5EA246FA" w14:textId="77777777" w:rsidR="003C66EB" w:rsidRDefault="003C66EB">
            <w:pPr>
              <w:rPr>
                <w:rFonts w:ascii="宋体"/>
                <w:vanish/>
              </w:rPr>
            </w:pPr>
          </w:p>
        </w:tc>
        <w:tc>
          <w:tcPr>
            <w:tcW w:w="0" w:type="auto"/>
            <w:gridSpan w:val="3"/>
            <w:shd w:val="clear" w:color="auto" w:fill="auto"/>
          </w:tcPr>
          <w:p w14:paraId="5EA246FB" w14:textId="77777777" w:rsidR="003C66EB" w:rsidRDefault="003C66EB">
            <w:pPr>
              <w:rPr>
                <w:rFonts w:ascii="宋体"/>
                <w:vanish/>
              </w:rPr>
            </w:pPr>
          </w:p>
        </w:tc>
        <w:tc>
          <w:tcPr>
            <w:tcW w:w="0" w:type="auto"/>
            <w:gridSpan w:val="3"/>
            <w:shd w:val="clear" w:color="auto" w:fill="auto"/>
          </w:tcPr>
          <w:p w14:paraId="5EA246FC" w14:textId="77777777" w:rsidR="003C66EB" w:rsidRDefault="003C66EB">
            <w:pPr>
              <w:rPr>
                <w:rFonts w:ascii="宋体"/>
                <w:vanish/>
              </w:rPr>
            </w:pPr>
          </w:p>
        </w:tc>
        <w:tc>
          <w:tcPr>
            <w:tcW w:w="0" w:type="auto"/>
            <w:gridSpan w:val="3"/>
            <w:shd w:val="clear" w:color="auto" w:fill="auto"/>
          </w:tcPr>
          <w:p w14:paraId="5EA246FD" w14:textId="77777777" w:rsidR="003C66EB" w:rsidRDefault="003C66EB">
            <w:pPr>
              <w:rPr>
                <w:rFonts w:ascii="宋体"/>
                <w:vanish/>
              </w:rPr>
            </w:pPr>
          </w:p>
        </w:tc>
        <w:tc>
          <w:tcPr>
            <w:tcW w:w="0" w:type="auto"/>
            <w:gridSpan w:val="3"/>
            <w:shd w:val="clear" w:color="auto" w:fill="auto"/>
          </w:tcPr>
          <w:p w14:paraId="5EA246FE" w14:textId="77777777" w:rsidR="003C66EB" w:rsidRDefault="003C66EB">
            <w:pPr>
              <w:rPr>
                <w:rFonts w:ascii="宋体"/>
                <w:vanish/>
              </w:rPr>
            </w:pPr>
          </w:p>
        </w:tc>
        <w:tc>
          <w:tcPr>
            <w:tcW w:w="0" w:type="auto"/>
            <w:gridSpan w:val="3"/>
            <w:shd w:val="clear" w:color="auto" w:fill="auto"/>
          </w:tcPr>
          <w:p w14:paraId="5EA246FF" w14:textId="77777777" w:rsidR="003C66EB" w:rsidRDefault="003C66EB">
            <w:pPr>
              <w:rPr>
                <w:rFonts w:ascii="宋体"/>
                <w:vanish/>
              </w:rPr>
            </w:pPr>
          </w:p>
        </w:tc>
        <w:tc>
          <w:tcPr>
            <w:tcW w:w="0" w:type="auto"/>
            <w:gridSpan w:val="3"/>
            <w:shd w:val="clear" w:color="auto" w:fill="auto"/>
          </w:tcPr>
          <w:p w14:paraId="5EA24700" w14:textId="77777777" w:rsidR="003C66EB" w:rsidRDefault="003C66EB">
            <w:pPr>
              <w:rPr>
                <w:rFonts w:ascii="宋体"/>
                <w:vanish/>
              </w:rPr>
            </w:pPr>
          </w:p>
        </w:tc>
        <w:tc>
          <w:tcPr>
            <w:tcW w:w="0" w:type="auto"/>
            <w:gridSpan w:val="3"/>
            <w:shd w:val="clear" w:color="auto" w:fill="auto"/>
          </w:tcPr>
          <w:p w14:paraId="5EA24701" w14:textId="77777777" w:rsidR="003C66EB" w:rsidRDefault="003C66EB">
            <w:pPr>
              <w:rPr>
                <w:rFonts w:ascii="宋体"/>
                <w:vanish/>
              </w:rPr>
            </w:pPr>
          </w:p>
        </w:tc>
        <w:tc>
          <w:tcPr>
            <w:tcW w:w="0" w:type="auto"/>
            <w:gridSpan w:val="3"/>
            <w:shd w:val="clear" w:color="auto" w:fill="auto"/>
          </w:tcPr>
          <w:p w14:paraId="5EA24702" w14:textId="77777777" w:rsidR="003C66EB" w:rsidRDefault="003C66EB">
            <w:pPr>
              <w:rPr>
                <w:rFonts w:ascii="宋体"/>
                <w:vanish/>
              </w:rPr>
            </w:pPr>
          </w:p>
        </w:tc>
        <w:tc>
          <w:tcPr>
            <w:tcW w:w="0" w:type="auto"/>
            <w:gridSpan w:val="3"/>
            <w:shd w:val="clear" w:color="auto" w:fill="auto"/>
          </w:tcPr>
          <w:p w14:paraId="5EA24703" w14:textId="77777777" w:rsidR="003C66EB" w:rsidRDefault="003C66EB">
            <w:pPr>
              <w:rPr>
                <w:rFonts w:ascii="宋体"/>
                <w:vanish/>
              </w:rPr>
            </w:pPr>
          </w:p>
        </w:tc>
        <w:tc>
          <w:tcPr>
            <w:tcW w:w="0" w:type="auto"/>
            <w:gridSpan w:val="3"/>
            <w:shd w:val="clear" w:color="auto" w:fill="auto"/>
          </w:tcPr>
          <w:p w14:paraId="5EA24704" w14:textId="77777777" w:rsidR="003C66EB" w:rsidRDefault="003C66EB">
            <w:pPr>
              <w:rPr>
                <w:rFonts w:ascii="宋体"/>
                <w:vanish/>
              </w:rPr>
            </w:pPr>
          </w:p>
        </w:tc>
        <w:tc>
          <w:tcPr>
            <w:tcW w:w="0" w:type="auto"/>
            <w:gridSpan w:val="3"/>
            <w:shd w:val="clear" w:color="auto" w:fill="auto"/>
          </w:tcPr>
          <w:p w14:paraId="5EA24705" w14:textId="77777777" w:rsidR="003C66EB" w:rsidRDefault="003C66EB">
            <w:pPr>
              <w:rPr>
                <w:rFonts w:ascii="宋体"/>
                <w:vanish/>
              </w:rPr>
            </w:pPr>
          </w:p>
        </w:tc>
        <w:tc>
          <w:tcPr>
            <w:tcW w:w="0" w:type="auto"/>
            <w:gridSpan w:val="3"/>
            <w:shd w:val="clear" w:color="auto" w:fill="auto"/>
          </w:tcPr>
          <w:p w14:paraId="5EA24706" w14:textId="77777777" w:rsidR="003C66EB" w:rsidRDefault="003C66EB">
            <w:pPr>
              <w:rPr>
                <w:rFonts w:ascii="宋体"/>
                <w:vanish/>
              </w:rPr>
            </w:pPr>
          </w:p>
        </w:tc>
        <w:tc>
          <w:tcPr>
            <w:tcW w:w="0" w:type="auto"/>
            <w:gridSpan w:val="3"/>
            <w:shd w:val="clear" w:color="auto" w:fill="auto"/>
          </w:tcPr>
          <w:p w14:paraId="5EA24707" w14:textId="77777777" w:rsidR="003C66EB" w:rsidRDefault="003C66EB">
            <w:pPr>
              <w:rPr>
                <w:rFonts w:ascii="宋体"/>
                <w:vanish/>
              </w:rPr>
            </w:pPr>
          </w:p>
        </w:tc>
        <w:tc>
          <w:tcPr>
            <w:tcW w:w="0" w:type="auto"/>
            <w:gridSpan w:val="3"/>
            <w:shd w:val="clear" w:color="auto" w:fill="auto"/>
          </w:tcPr>
          <w:p w14:paraId="5EA24708" w14:textId="77777777" w:rsidR="003C66EB" w:rsidRDefault="003C66EB">
            <w:pPr>
              <w:rPr>
                <w:rFonts w:ascii="宋体"/>
                <w:vanish/>
              </w:rPr>
            </w:pPr>
          </w:p>
        </w:tc>
      </w:tr>
      <w:tr w:rsidR="00D96C4E" w14:paraId="5EA24728" w14:textId="77777777">
        <w:tc>
          <w:tcPr>
            <w:tcW w:w="0" w:type="auto"/>
            <w:gridSpan w:val="3"/>
            <w:shd w:val="clear" w:color="auto" w:fill="CCEEFF"/>
            <w:tcMar>
              <w:top w:w="40" w:type="dxa"/>
              <w:left w:w="515" w:type="dxa"/>
              <w:bottom w:w="40" w:type="dxa"/>
              <w:right w:w="20" w:type="dxa"/>
            </w:tcMar>
            <w:vAlign w:val="bottom"/>
          </w:tcPr>
          <w:p w14:paraId="5EA2470A" w14:textId="77777777" w:rsidR="003C66EB" w:rsidRDefault="00D96C4E">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0B" w14:textId="77777777" w:rsidR="003C66EB" w:rsidRDefault="00D96C4E">
            <w:pPr>
              <w:jc w:val="right"/>
              <w:textAlignment w:val="bottom"/>
            </w:pPr>
            <w:r>
              <w:rPr>
                <w:rFonts w:ascii="Arial" w:eastAsia="宋体" w:hAnsi="Arial" w:cs="Arial"/>
                <w:b/>
                <w:bCs/>
                <w:color w:val="000000"/>
                <w:sz w:val="14"/>
                <w:szCs w:val="14"/>
              </w:rPr>
              <w:t>330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0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0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0E" w14:textId="77777777" w:rsidR="003C66EB" w:rsidRDefault="00D96C4E">
            <w:pPr>
              <w:jc w:val="right"/>
              <w:textAlignment w:val="bottom"/>
            </w:pPr>
            <w:r>
              <w:rPr>
                <w:rFonts w:ascii="Arial" w:eastAsia="宋体" w:hAnsi="Arial" w:cs="Arial"/>
                <w:b/>
                <w:bCs/>
                <w:color w:val="000000"/>
                <w:sz w:val="14"/>
                <w:szCs w:val="14"/>
              </w:rPr>
              <w:t>327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1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11" w14:textId="77777777" w:rsidR="003C66EB" w:rsidRDefault="00D96C4E">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1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1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14" w14:textId="77777777" w:rsidR="003C66EB" w:rsidRDefault="00D96C4E">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1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1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17"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1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1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1A"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1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1D" w14:textId="77777777" w:rsidR="003C66EB" w:rsidRDefault="00D96C4E">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1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20" w14:textId="77777777" w:rsidR="003C66EB" w:rsidRDefault="00D96C4E">
            <w:pPr>
              <w:jc w:val="right"/>
              <w:textAlignment w:val="bottom"/>
            </w:pPr>
            <w:r>
              <w:rPr>
                <w:rFonts w:ascii="Arial" w:eastAsia="宋体" w:hAnsi="Arial" w:cs="Arial"/>
                <w:b/>
                <w:bCs/>
                <w:color w:val="000000"/>
                <w:sz w:val="14"/>
                <w:szCs w:val="14"/>
              </w:rPr>
              <w:t>250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2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2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23" w14:textId="77777777" w:rsidR="003C66EB" w:rsidRDefault="00D96C4E">
            <w:pPr>
              <w:jc w:val="right"/>
              <w:textAlignment w:val="bottom"/>
            </w:pPr>
            <w:r>
              <w:rPr>
                <w:rFonts w:ascii="Arial" w:eastAsia="宋体" w:hAnsi="Arial" w:cs="Arial"/>
                <w:b/>
                <w:bCs/>
                <w:color w:val="000000"/>
                <w:sz w:val="14"/>
                <w:szCs w:val="14"/>
              </w:rPr>
              <w:t>532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2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2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726" w14:textId="77777777" w:rsidR="003C66EB" w:rsidRDefault="00D96C4E">
            <w:pPr>
              <w:jc w:val="right"/>
              <w:textAlignment w:val="bottom"/>
            </w:pPr>
            <w:r>
              <w:rPr>
                <w:rFonts w:ascii="Arial" w:eastAsia="宋体" w:hAnsi="Arial" w:cs="Arial"/>
                <w:b/>
                <w:bCs/>
                <w:color w:val="000000"/>
                <w:sz w:val="14"/>
                <w:szCs w:val="14"/>
              </w:rPr>
              <w:t>599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727" w14:textId="77777777" w:rsidR="003C66EB" w:rsidRDefault="003C66EB">
            <w:pPr>
              <w:jc w:val="right"/>
              <w:rPr>
                <w:rFonts w:ascii="宋体"/>
              </w:rPr>
            </w:pPr>
          </w:p>
        </w:tc>
      </w:tr>
      <w:tr w:rsidR="003C66EB" w14:paraId="5EA2473D" w14:textId="77777777">
        <w:trPr>
          <w:hidden/>
        </w:trPr>
        <w:tc>
          <w:tcPr>
            <w:tcW w:w="0" w:type="auto"/>
            <w:gridSpan w:val="3"/>
            <w:shd w:val="clear" w:color="auto" w:fill="auto"/>
          </w:tcPr>
          <w:p w14:paraId="5EA24729" w14:textId="77777777" w:rsidR="003C66EB" w:rsidRDefault="003C66EB">
            <w:pPr>
              <w:rPr>
                <w:rFonts w:ascii="宋体"/>
                <w:vanish/>
              </w:rPr>
            </w:pPr>
          </w:p>
        </w:tc>
        <w:tc>
          <w:tcPr>
            <w:tcW w:w="0" w:type="auto"/>
            <w:gridSpan w:val="3"/>
            <w:shd w:val="clear" w:color="auto" w:fill="auto"/>
          </w:tcPr>
          <w:p w14:paraId="5EA2472A" w14:textId="77777777" w:rsidR="003C66EB" w:rsidRDefault="003C66EB">
            <w:pPr>
              <w:rPr>
                <w:rFonts w:ascii="宋体"/>
                <w:vanish/>
              </w:rPr>
            </w:pPr>
          </w:p>
        </w:tc>
        <w:tc>
          <w:tcPr>
            <w:tcW w:w="0" w:type="auto"/>
            <w:gridSpan w:val="3"/>
            <w:shd w:val="clear" w:color="auto" w:fill="auto"/>
          </w:tcPr>
          <w:p w14:paraId="5EA2472B" w14:textId="77777777" w:rsidR="003C66EB" w:rsidRDefault="003C66EB">
            <w:pPr>
              <w:rPr>
                <w:rFonts w:ascii="宋体"/>
                <w:vanish/>
              </w:rPr>
            </w:pPr>
          </w:p>
        </w:tc>
        <w:tc>
          <w:tcPr>
            <w:tcW w:w="0" w:type="auto"/>
            <w:gridSpan w:val="3"/>
            <w:shd w:val="clear" w:color="auto" w:fill="auto"/>
          </w:tcPr>
          <w:p w14:paraId="5EA2472C" w14:textId="77777777" w:rsidR="003C66EB" w:rsidRDefault="003C66EB">
            <w:pPr>
              <w:rPr>
                <w:rFonts w:ascii="宋体"/>
                <w:vanish/>
              </w:rPr>
            </w:pPr>
          </w:p>
        </w:tc>
        <w:tc>
          <w:tcPr>
            <w:tcW w:w="0" w:type="auto"/>
            <w:gridSpan w:val="3"/>
            <w:shd w:val="clear" w:color="auto" w:fill="auto"/>
          </w:tcPr>
          <w:p w14:paraId="5EA2472D" w14:textId="77777777" w:rsidR="003C66EB" w:rsidRDefault="003C66EB">
            <w:pPr>
              <w:rPr>
                <w:rFonts w:ascii="宋体"/>
                <w:vanish/>
              </w:rPr>
            </w:pPr>
          </w:p>
        </w:tc>
        <w:tc>
          <w:tcPr>
            <w:tcW w:w="0" w:type="auto"/>
            <w:gridSpan w:val="3"/>
            <w:shd w:val="clear" w:color="auto" w:fill="auto"/>
          </w:tcPr>
          <w:p w14:paraId="5EA2472E" w14:textId="77777777" w:rsidR="003C66EB" w:rsidRDefault="003C66EB">
            <w:pPr>
              <w:rPr>
                <w:rFonts w:ascii="宋体"/>
                <w:vanish/>
              </w:rPr>
            </w:pPr>
          </w:p>
        </w:tc>
        <w:tc>
          <w:tcPr>
            <w:tcW w:w="0" w:type="auto"/>
            <w:gridSpan w:val="3"/>
            <w:shd w:val="clear" w:color="auto" w:fill="auto"/>
          </w:tcPr>
          <w:p w14:paraId="5EA2472F" w14:textId="77777777" w:rsidR="003C66EB" w:rsidRDefault="003C66EB">
            <w:pPr>
              <w:rPr>
                <w:rFonts w:ascii="宋体"/>
                <w:vanish/>
              </w:rPr>
            </w:pPr>
          </w:p>
        </w:tc>
        <w:tc>
          <w:tcPr>
            <w:tcW w:w="0" w:type="auto"/>
            <w:gridSpan w:val="3"/>
            <w:shd w:val="clear" w:color="auto" w:fill="auto"/>
          </w:tcPr>
          <w:p w14:paraId="5EA24730" w14:textId="77777777" w:rsidR="003C66EB" w:rsidRDefault="003C66EB">
            <w:pPr>
              <w:rPr>
                <w:rFonts w:ascii="宋体"/>
                <w:vanish/>
              </w:rPr>
            </w:pPr>
          </w:p>
        </w:tc>
        <w:tc>
          <w:tcPr>
            <w:tcW w:w="0" w:type="auto"/>
            <w:gridSpan w:val="3"/>
            <w:shd w:val="clear" w:color="auto" w:fill="auto"/>
          </w:tcPr>
          <w:p w14:paraId="5EA24731" w14:textId="77777777" w:rsidR="003C66EB" w:rsidRDefault="003C66EB">
            <w:pPr>
              <w:rPr>
                <w:rFonts w:ascii="宋体"/>
                <w:vanish/>
              </w:rPr>
            </w:pPr>
          </w:p>
        </w:tc>
        <w:tc>
          <w:tcPr>
            <w:tcW w:w="0" w:type="auto"/>
            <w:gridSpan w:val="3"/>
            <w:shd w:val="clear" w:color="auto" w:fill="auto"/>
          </w:tcPr>
          <w:p w14:paraId="5EA24732" w14:textId="77777777" w:rsidR="003C66EB" w:rsidRDefault="003C66EB">
            <w:pPr>
              <w:rPr>
                <w:rFonts w:ascii="宋体"/>
                <w:vanish/>
              </w:rPr>
            </w:pPr>
          </w:p>
        </w:tc>
        <w:tc>
          <w:tcPr>
            <w:tcW w:w="0" w:type="auto"/>
            <w:gridSpan w:val="3"/>
            <w:shd w:val="clear" w:color="auto" w:fill="auto"/>
          </w:tcPr>
          <w:p w14:paraId="5EA24733" w14:textId="77777777" w:rsidR="003C66EB" w:rsidRDefault="003C66EB">
            <w:pPr>
              <w:rPr>
                <w:rFonts w:ascii="宋体"/>
                <w:vanish/>
              </w:rPr>
            </w:pPr>
          </w:p>
        </w:tc>
        <w:tc>
          <w:tcPr>
            <w:tcW w:w="0" w:type="auto"/>
            <w:gridSpan w:val="3"/>
            <w:shd w:val="clear" w:color="auto" w:fill="auto"/>
          </w:tcPr>
          <w:p w14:paraId="5EA24734" w14:textId="77777777" w:rsidR="003C66EB" w:rsidRDefault="003C66EB">
            <w:pPr>
              <w:rPr>
                <w:rFonts w:ascii="宋体"/>
                <w:vanish/>
              </w:rPr>
            </w:pPr>
          </w:p>
        </w:tc>
        <w:tc>
          <w:tcPr>
            <w:tcW w:w="0" w:type="auto"/>
            <w:gridSpan w:val="3"/>
            <w:shd w:val="clear" w:color="auto" w:fill="auto"/>
          </w:tcPr>
          <w:p w14:paraId="5EA24735" w14:textId="77777777" w:rsidR="003C66EB" w:rsidRDefault="003C66EB">
            <w:pPr>
              <w:rPr>
                <w:rFonts w:ascii="宋体"/>
                <w:vanish/>
              </w:rPr>
            </w:pPr>
          </w:p>
        </w:tc>
        <w:tc>
          <w:tcPr>
            <w:tcW w:w="0" w:type="auto"/>
            <w:gridSpan w:val="3"/>
            <w:shd w:val="clear" w:color="auto" w:fill="auto"/>
          </w:tcPr>
          <w:p w14:paraId="5EA24736" w14:textId="77777777" w:rsidR="003C66EB" w:rsidRDefault="003C66EB">
            <w:pPr>
              <w:rPr>
                <w:rFonts w:ascii="宋体"/>
                <w:vanish/>
              </w:rPr>
            </w:pPr>
          </w:p>
        </w:tc>
        <w:tc>
          <w:tcPr>
            <w:tcW w:w="0" w:type="auto"/>
            <w:gridSpan w:val="3"/>
            <w:shd w:val="clear" w:color="auto" w:fill="auto"/>
          </w:tcPr>
          <w:p w14:paraId="5EA24737" w14:textId="77777777" w:rsidR="003C66EB" w:rsidRDefault="003C66EB">
            <w:pPr>
              <w:rPr>
                <w:rFonts w:ascii="宋体"/>
                <w:vanish/>
              </w:rPr>
            </w:pPr>
          </w:p>
        </w:tc>
        <w:tc>
          <w:tcPr>
            <w:tcW w:w="0" w:type="auto"/>
            <w:gridSpan w:val="3"/>
            <w:shd w:val="clear" w:color="auto" w:fill="auto"/>
          </w:tcPr>
          <w:p w14:paraId="5EA24738" w14:textId="77777777" w:rsidR="003C66EB" w:rsidRDefault="003C66EB">
            <w:pPr>
              <w:rPr>
                <w:rFonts w:ascii="宋体"/>
                <w:vanish/>
              </w:rPr>
            </w:pPr>
          </w:p>
        </w:tc>
        <w:tc>
          <w:tcPr>
            <w:tcW w:w="0" w:type="auto"/>
            <w:gridSpan w:val="3"/>
            <w:shd w:val="clear" w:color="auto" w:fill="auto"/>
          </w:tcPr>
          <w:p w14:paraId="5EA24739" w14:textId="77777777" w:rsidR="003C66EB" w:rsidRDefault="003C66EB">
            <w:pPr>
              <w:rPr>
                <w:rFonts w:ascii="宋体"/>
                <w:vanish/>
              </w:rPr>
            </w:pPr>
          </w:p>
        </w:tc>
        <w:tc>
          <w:tcPr>
            <w:tcW w:w="0" w:type="auto"/>
            <w:gridSpan w:val="3"/>
            <w:shd w:val="clear" w:color="auto" w:fill="auto"/>
          </w:tcPr>
          <w:p w14:paraId="5EA2473A" w14:textId="77777777" w:rsidR="003C66EB" w:rsidRDefault="003C66EB">
            <w:pPr>
              <w:rPr>
                <w:rFonts w:ascii="宋体"/>
                <w:vanish/>
              </w:rPr>
            </w:pPr>
          </w:p>
        </w:tc>
        <w:tc>
          <w:tcPr>
            <w:tcW w:w="0" w:type="auto"/>
            <w:gridSpan w:val="3"/>
            <w:shd w:val="clear" w:color="auto" w:fill="auto"/>
          </w:tcPr>
          <w:p w14:paraId="5EA2473B" w14:textId="77777777" w:rsidR="003C66EB" w:rsidRDefault="003C66EB">
            <w:pPr>
              <w:rPr>
                <w:rFonts w:ascii="宋体"/>
                <w:vanish/>
              </w:rPr>
            </w:pPr>
          </w:p>
        </w:tc>
        <w:tc>
          <w:tcPr>
            <w:tcW w:w="0" w:type="auto"/>
            <w:gridSpan w:val="3"/>
            <w:shd w:val="clear" w:color="auto" w:fill="auto"/>
          </w:tcPr>
          <w:p w14:paraId="5EA2473C" w14:textId="77777777" w:rsidR="003C66EB" w:rsidRDefault="003C66EB">
            <w:pPr>
              <w:rPr>
                <w:rFonts w:ascii="宋体"/>
                <w:vanish/>
              </w:rPr>
            </w:pPr>
          </w:p>
        </w:tc>
      </w:tr>
      <w:tr w:rsidR="003C66EB" w14:paraId="5EA24752" w14:textId="77777777">
        <w:trPr>
          <w:hidden/>
        </w:trPr>
        <w:tc>
          <w:tcPr>
            <w:tcW w:w="0" w:type="auto"/>
            <w:gridSpan w:val="3"/>
            <w:shd w:val="clear" w:color="auto" w:fill="auto"/>
          </w:tcPr>
          <w:p w14:paraId="5EA2473E" w14:textId="77777777" w:rsidR="003C66EB" w:rsidRDefault="003C66EB">
            <w:pPr>
              <w:rPr>
                <w:rFonts w:ascii="宋体"/>
                <w:vanish/>
              </w:rPr>
            </w:pPr>
          </w:p>
        </w:tc>
        <w:tc>
          <w:tcPr>
            <w:tcW w:w="0" w:type="auto"/>
            <w:gridSpan w:val="3"/>
            <w:shd w:val="clear" w:color="auto" w:fill="auto"/>
          </w:tcPr>
          <w:p w14:paraId="5EA2473F" w14:textId="77777777" w:rsidR="003C66EB" w:rsidRDefault="003C66EB">
            <w:pPr>
              <w:rPr>
                <w:rFonts w:ascii="宋体"/>
                <w:vanish/>
              </w:rPr>
            </w:pPr>
          </w:p>
        </w:tc>
        <w:tc>
          <w:tcPr>
            <w:tcW w:w="0" w:type="auto"/>
            <w:gridSpan w:val="3"/>
            <w:shd w:val="clear" w:color="auto" w:fill="auto"/>
          </w:tcPr>
          <w:p w14:paraId="5EA24740" w14:textId="77777777" w:rsidR="003C66EB" w:rsidRDefault="003C66EB">
            <w:pPr>
              <w:rPr>
                <w:rFonts w:ascii="宋体"/>
                <w:vanish/>
              </w:rPr>
            </w:pPr>
          </w:p>
        </w:tc>
        <w:tc>
          <w:tcPr>
            <w:tcW w:w="0" w:type="auto"/>
            <w:gridSpan w:val="3"/>
            <w:shd w:val="clear" w:color="auto" w:fill="auto"/>
          </w:tcPr>
          <w:p w14:paraId="5EA24741" w14:textId="77777777" w:rsidR="003C66EB" w:rsidRDefault="003C66EB">
            <w:pPr>
              <w:rPr>
                <w:rFonts w:ascii="宋体"/>
                <w:vanish/>
              </w:rPr>
            </w:pPr>
          </w:p>
        </w:tc>
        <w:tc>
          <w:tcPr>
            <w:tcW w:w="0" w:type="auto"/>
            <w:gridSpan w:val="3"/>
            <w:shd w:val="clear" w:color="auto" w:fill="auto"/>
          </w:tcPr>
          <w:p w14:paraId="5EA24742" w14:textId="77777777" w:rsidR="003C66EB" w:rsidRDefault="003C66EB">
            <w:pPr>
              <w:rPr>
                <w:rFonts w:ascii="宋体"/>
                <w:vanish/>
              </w:rPr>
            </w:pPr>
          </w:p>
        </w:tc>
        <w:tc>
          <w:tcPr>
            <w:tcW w:w="0" w:type="auto"/>
            <w:gridSpan w:val="3"/>
            <w:shd w:val="clear" w:color="auto" w:fill="auto"/>
          </w:tcPr>
          <w:p w14:paraId="5EA24743" w14:textId="77777777" w:rsidR="003C66EB" w:rsidRDefault="003C66EB">
            <w:pPr>
              <w:rPr>
                <w:rFonts w:ascii="宋体"/>
                <w:vanish/>
              </w:rPr>
            </w:pPr>
          </w:p>
        </w:tc>
        <w:tc>
          <w:tcPr>
            <w:tcW w:w="0" w:type="auto"/>
            <w:gridSpan w:val="3"/>
            <w:shd w:val="clear" w:color="auto" w:fill="auto"/>
          </w:tcPr>
          <w:p w14:paraId="5EA24744" w14:textId="77777777" w:rsidR="003C66EB" w:rsidRDefault="003C66EB">
            <w:pPr>
              <w:rPr>
                <w:rFonts w:ascii="宋体"/>
                <w:vanish/>
              </w:rPr>
            </w:pPr>
          </w:p>
        </w:tc>
        <w:tc>
          <w:tcPr>
            <w:tcW w:w="0" w:type="auto"/>
            <w:gridSpan w:val="3"/>
            <w:shd w:val="clear" w:color="auto" w:fill="auto"/>
          </w:tcPr>
          <w:p w14:paraId="5EA24745" w14:textId="77777777" w:rsidR="003C66EB" w:rsidRDefault="003C66EB">
            <w:pPr>
              <w:rPr>
                <w:rFonts w:ascii="宋体"/>
                <w:vanish/>
              </w:rPr>
            </w:pPr>
          </w:p>
        </w:tc>
        <w:tc>
          <w:tcPr>
            <w:tcW w:w="0" w:type="auto"/>
            <w:gridSpan w:val="3"/>
            <w:shd w:val="clear" w:color="auto" w:fill="auto"/>
          </w:tcPr>
          <w:p w14:paraId="5EA24746" w14:textId="77777777" w:rsidR="003C66EB" w:rsidRDefault="003C66EB">
            <w:pPr>
              <w:rPr>
                <w:rFonts w:ascii="宋体"/>
                <w:vanish/>
              </w:rPr>
            </w:pPr>
          </w:p>
        </w:tc>
        <w:tc>
          <w:tcPr>
            <w:tcW w:w="0" w:type="auto"/>
            <w:gridSpan w:val="3"/>
            <w:shd w:val="clear" w:color="auto" w:fill="auto"/>
          </w:tcPr>
          <w:p w14:paraId="5EA24747" w14:textId="77777777" w:rsidR="003C66EB" w:rsidRDefault="003C66EB">
            <w:pPr>
              <w:rPr>
                <w:rFonts w:ascii="宋体"/>
                <w:vanish/>
              </w:rPr>
            </w:pPr>
          </w:p>
        </w:tc>
        <w:tc>
          <w:tcPr>
            <w:tcW w:w="0" w:type="auto"/>
            <w:gridSpan w:val="3"/>
            <w:shd w:val="clear" w:color="auto" w:fill="auto"/>
          </w:tcPr>
          <w:p w14:paraId="5EA24748" w14:textId="77777777" w:rsidR="003C66EB" w:rsidRDefault="003C66EB">
            <w:pPr>
              <w:rPr>
                <w:rFonts w:ascii="宋体"/>
                <w:vanish/>
              </w:rPr>
            </w:pPr>
          </w:p>
        </w:tc>
        <w:tc>
          <w:tcPr>
            <w:tcW w:w="0" w:type="auto"/>
            <w:gridSpan w:val="3"/>
            <w:shd w:val="clear" w:color="auto" w:fill="auto"/>
          </w:tcPr>
          <w:p w14:paraId="5EA24749" w14:textId="77777777" w:rsidR="003C66EB" w:rsidRDefault="003C66EB">
            <w:pPr>
              <w:rPr>
                <w:rFonts w:ascii="宋体"/>
                <w:vanish/>
              </w:rPr>
            </w:pPr>
          </w:p>
        </w:tc>
        <w:tc>
          <w:tcPr>
            <w:tcW w:w="0" w:type="auto"/>
            <w:gridSpan w:val="3"/>
            <w:shd w:val="clear" w:color="auto" w:fill="auto"/>
          </w:tcPr>
          <w:p w14:paraId="5EA2474A" w14:textId="77777777" w:rsidR="003C66EB" w:rsidRDefault="003C66EB">
            <w:pPr>
              <w:rPr>
                <w:rFonts w:ascii="宋体"/>
                <w:vanish/>
              </w:rPr>
            </w:pPr>
          </w:p>
        </w:tc>
        <w:tc>
          <w:tcPr>
            <w:tcW w:w="0" w:type="auto"/>
            <w:gridSpan w:val="3"/>
            <w:shd w:val="clear" w:color="auto" w:fill="auto"/>
          </w:tcPr>
          <w:p w14:paraId="5EA2474B" w14:textId="77777777" w:rsidR="003C66EB" w:rsidRDefault="003C66EB">
            <w:pPr>
              <w:rPr>
                <w:rFonts w:ascii="宋体"/>
                <w:vanish/>
              </w:rPr>
            </w:pPr>
          </w:p>
        </w:tc>
        <w:tc>
          <w:tcPr>
            <w:tcW w:w="0" w:type="auto"/>
            <w:gridSpan w:val="3"/>
            <w:shd w:val="clear" w:color="auto" w:fill="auto"/>
          </w:tcPr>
          <w:p w14:paraId="5EA2474C" w14:textId="77777777" w:rsidR="003C66EB" w:rsidRDefault="003C66EB">
            <w:pPr>
              <w:rPr>
                <w:rFonts w:ascii="宋体"/>
                <w:vanish/>
              </w:rPr>
            </w:pPr>
          </w:p>
        </w:tc>
        <w:tc>
          <w:tcPr>
            <w:tcW w:w="0" w:type="auto"/>
            <w:gridSpan w:val="3"/>
            <w:shd w:val="clear" w:color="auto" w:fill="auto"/>
          </w:tcPr>
          <w:p w14:paraId="5EA2474D" w14:textId="77777777" w:rsidR="003C66EB" w:rsidRDefault="003C66EB">
            <w:pPr>
              <w:rPr>
                <w:rFonts w:ascii="宋体"/>
                <w:vanish/>
              </w:rPr>
            </w:pPr>
          </w:p>
        </w:tc>
        <w:tc>
          <w:tcPr>
            <w:tcW w:w="0" w:type="auto"/>
            <w:gridSpan w:val="3"/>
            <w:shd w:val="clear" w:color="auto" w:fill="auto"/>
          </w:tcPr>
          <w:p w14:paraId="5EA2474E" w14:textId="77777777" w:rsidR="003C66EB" w:rsidRDefault="003C66EB">
            <w:pPr>
              <w:rPr>
                <w:rFonts w:ascii="宋体"/>
                <w:vanish/>
              </w:rPr>
            </w:pPr>
          </w:p>
        </w:tc>
        <w:tc>
          <w:tcPr>
            <w:tcW w:w="0" w:type="auto"/>
            <w:gridSpan w:val="3"/>
            <w:shd w:val="clear" w:color="auto" w:fill="auto"/>
          </w:tcPr>
          <w:p w14:paraId="5EA2474F" w14:textId="77777777" w:rsidR="003C66EB" w:rsidRDefault="003C66EB">
            <w:pPr>
              <w:rPr>
                <w:rFonts w:ascii="宋体"/>
                <w:vanish/>
              </w:rPr>
            </w:pPr>
          </w:p>
        </w:tc>
        <w:tc>
          <w:tcPr>
            <w:tcW w:w="0" w:type="auto"/>
            <w:gridSpan w:val="3"/>
            <w:shd w:val="clear" w:color="auto" w:fill="auto"/>
          </w:tcPr>
          <w:p w14:paraId="5EA24750" w14:textId="77777777" w:rsidR="003C66EB" w:rsidRDefault="003C66EB">
            <w:pPr>
              <w:rPr>
                <w:rFonts w:ascii="宋体"/>
                <w:vanish/>
              </w:rPr>
            </w:pPr>
          </w:p>
        </w:tc>
        <w:tc>
          <w:tcPr>
            <w:tcW w:w="0" w:type="auto"/>
            <w:gridSpan w:val="3"/>
            <w:shd w:val="clear" w:color="auto" w:fill="auto"/>
          </w:tcPr>
          <w:p w14:paraId="5EA24751" w14:textId="77777777" w:rsidR="003C66EB" w:rsidRDefault="003C66EB">
            <w:pPr>
              <w:rPr>
                <w:rFonts w:ascii="宋体"/>
                <w:vanish/>
              </w:rPr>
            </w:pPr>
          </w:p>
        </w:tc>
      </w:tr>
      <w:tr w:rsidR="00D96C4E" w14:paraId="5EA24771" w14:textId="77777777">
        <w:tc>
          <w:tcPr>
            <w:tcW w:w="0" w:type="auto"/>
            <w:gridSpan w:val="3"/>
            <w:shd w:val="clear" w:color="auto" w:fill="FFFFFF"/>
            <w:tcMar>
              <w:top w:w="40" w:type="dxa"/>
              <w:left w:w="20" w:type="dxa"/>
              <w:bottom w:w="40" w:type="dxa"/>
              <w:right w:w="20" w:type="dxa"/>
            </w:tcMar>
            <w:vAlign w:val="bottom"/>
          </w:tcPr>
          <w:p w14:paraId="5EA24753" w14:textId="77777777" w:rsidR="003C66EB" w:rsidRDefault="00D96C4E">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54" w14:textId="77777777" w:rsidR="003C66EB" w:rsidRDefault="00D96C4E">
            <w:pPr>
              <w:jc w:val="right"/>
              <w:textAlignment w:val="bottom"/>
            </w:pPr>
            <w:r>
              <w:rPr>
                <w:rFonts w:ascii="Arial" w:eastAsia="宋体" w:hAnsi="Arial" w:cs="Arial"/>
                <w:b/>
                <w:bCs/>
                <w:color w:val="000000"/>
                <w:sz w:val="14"/>
                <w:szCs w:val="14"/>
              </w:rPr>
              <w:t>5,454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5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57" w14:textId="77777777" w:rsidR="003C66EB" w:rsidRDefault="00D96C4E">
            <w:pPr>
              <w:jc w:val="right"/>
              <w:textAlignment w:val="bottom"/>
            </w:pPr>
            <w:r>
              <w:rPr>
                <w:rFonts w:ascii="Arial" w:eastAsia="宋体" w:hAnsi="Arial" w:cs="Arial"/>
                <w:b/>
                <w:bCs/>
                <w:color w:val="000000"/>
                <w:sz w:val="14"/>
                <w:szCs w:val="14"/>
              </w:rPr>
              <w:t>5,503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5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5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5A" w14:textId="77777777" w:rsidR="003C66EB" w:rsidRDefault="00D96C4E">
            <w:pPr>
              <w:jc w:val="right"/>
              <w:textAlignment w:val="bottom"/>
            </w:pPr>
            <w:r>
              <w:rPr>
                <w:rFonts w:ascii="Arial" w:eastAsia="宋体" w:hAnsi="Arial" w:cs="Arial"/>
                <w:b/>
                <w:bCs/>
                <w:color w:val="000000"/>
                <w:sz w:val="14"/>
                <w:szCs w:val="14"/>
              </w:rPr>
              <w:t>1,854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5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5D" w14:textId="77777777" w:rsidR="003C66EB" w:rsidRDefault="00D96C4E">
            <w:pPr>
              <w:jc w:val="right"/>
              <w:textAlignment w:val="bottom"/>
            </w:pPr>
            <w:r>
              <w:rPr>
                <w:rFonts w:ascii="Arial" w:eastAsia="宋体" w:hAnsi="Arial" w:cs="Arial"/>
                <w:b/>
                <w:bCs/>
                <w:color w:val="000000"/>
                <w:sz w:val="14"/>
                <w:szCs w:val="14"/>
              </w:rPr>
              <w:t>1,883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5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60" w14:textId="77777777" w:rsidR="003C66EB" w:rsidRDefault="00D96C4E">
            <w:pPr>
              <w:jc w:val="right"/>
              <w:textAlignment w:val="bottom"/>
            </w:pPr>
            <w:r>
              <w:rPr>
                <w:rFonts w:ascii="Arial" w:eastAsia="宋体" w:hAnsi="Arial" w:cs="Arial"/>
                <w:b/>
                <w:bCs/>
                <w:color w:val="000000"/>
                <w:sz w:val="14"/>
                <w:szCs w:val="14"/>
              </w:rPr>
              <w:t>6,008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6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63" w14:textId="77777777" w:rsidR="003C66EB" w:rsidRDefault="00D96C4E">
            <w:pPr>
              <w:jc w:val="right"/>
              <w:textAlignment w:val="bottom"/>
            </w:pPr>
            <w:r>
              <w:rPr>
                <w:rFonts w:ascii="Arial" w:eastAsia="宋体" w:hAnsi="Arial" w:cs="Arial"/>
                <w:b/>
                <w:bCs/>
                <w:color w:val="000000"/>
                <w:sz w:val="14"/>
                <w:szCs w:val="14"/>
              </w:rPr>
              <w:t>5,942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6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66" w14:textId="77777777" w:rsidR="003C66EB" w:rsidRDefault="00D96C4E">
            <w:pPr>
              <w:jc w:val="right"/>
              <w:textAlignment w:val="bottom"/>
            </w:pPr>
            <w:r>
              <w:rPr>
                <w:rFonts w:ascii="Arial" w:eastAsia="宋体" w:hAnsi="Arial" w:cs="Arial"/>
                <w:b/>
                <w:bCs/>
                <w:color w:val="000000"/>
                <w:sz w:val="14"/>
                <w:szCs w:val="14"/>
              </w:rPr>
              <w:t>32,947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6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69" w14:textId="77777777" w:rsidR="003C66EB" w:rsidRDefault="00D96C4E">
            <w:pPr>
              <w:jc w:val="right"/>
              <w:textAlignment w:val="bottom"/>
            </w:pPr>
            <w:r>
              <w:rPr>
                <w:rFonts w:ascii="Arial" w:eastAsia="宋体" w:hAnsi="Arial" w:cs="Arial"/>
                <w:b/>
                <w:bCs/>
                <w:color w:val="000000"/>
                <w:sz w:val="14"/>
                <w:szCs w:val="14"/>
              </w:rPr>
              <w:t>33,424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6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6C" w14:textId="77777777" w:rsidR="003C66EB" w:rsidRDefault="00D96C4E">
            <w:pPr>
              <w:jc w:val="right"/>
              <w:textAlignment w:val="bottom"/>
            </w:pPr>
            <w:r>
              <w:rPr>
                <w:rFonts w:ascii="Arial" w:eastAsia="宋体" w:hAnsi="Arial" w:cs="Arial"/>
                <w:b/>
                <w:bCs/>
                <w:color w:val="000000"/>
                <w:sz w:val="14"/>
                <w:szCs w:val="14"/>
              </w:rPr>
              <w:t>46,263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6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76F" w14:textId="77777777" w:rsidR="003C66EB" w:rsidRDefault="00D96C4E">
            <w:pPr>
              <w:jc w:val="right"/>
              <w:textAlignment w:val="bottom"/>
            </w:pPr>
            <w:r>
              <w:rPr>
                <w:rFonts w:ascii="Arial" w:eastAsia="宋体" w:hAnsi="Arial" w:cs="Arial"/>
                <w:b/>
                <w:bCs/>
                <w:color w:val="000000"/>
                <w:sz w:val="14"/>
                <w:szCs w:val="14"/>
              </w:rPr>
              <w:t>46,752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770" w14:textId="77777777" w:rsidR="003C66EB" w:rsidRDefault="003C66EB">
            <w:pPr>
              <w:jc w:val="right"/>
              <w:rPr>
                <w:rFonts w:ascii="宋体"/>
              </w:rPr>
            </w:pPr>
          </w:p>
        </w:tc>
      </w:tr>
      <w:tr w:rsidR="00D96C4E" w14:paraId="5EA24790" w14:textId="77777777">
        <w:tc>
          <w:tcPr>
            <w:tcW w:w="0" w:type="auto"/>
            <w:gridSpan w:val="3"/>
            <w:shd w:val="clear" w:color="auto" w:fill="CCEEFF"/>
            <w:tcMar>
              <w:top w:w="40" w:type="dxa"/>
              <w:left w:w="20" w:type="dxa"/>
              <w:bottom w:w="40" w:type="dxa"/>
              <w:right w:w="20" w:type="dxa"/>
            </w:tcMar>
            <w:vAlign w:val="bottom"/>
          </w:tcPr>
          <w:p w14:paraId="5EA24772" w14:textId="77777777" w:rsidR="003C66EB" w:rsidRDefault="00D96C4E">
            <w:pPr>
              <w:textAlignment w:val="bottom"/>
            </w:pPr>
            <w:r>
              <w:rPr>
                <w:rFonts w:ascii="Arial" w:eastAsia="宋体" w:hAnsi="Arial" w:cs="Arial"/>
                <w:color w:val="000000"/>
                <w:sz w:val="14"/>
                <w:szCs w:val="14"/>
              </w:rPr>
              <w:t>Held-to-maturity under money mar</w:t>
            </w:r>
            <w:r>
              <w:rPr>
                <w:rFonts w:ascii="Arial" w:eastAsia="宋体" w:hAnsi="Arial" w:cs="Arial"/>
                <w:color w:val="000000"/>
                <w:sz w:val="14"/>
                <w:szCs w:val="14"/>
              </w:rPr>
              <w:t>ket mutual fund liquidity facility</w:t>
            </w:r>
          </w:p>
        </w:tc>
        <w:tc>
          <w:tcPr>
            <w:tcW w:w="0" w:type="auto"/>
            <w:gridSpan w:val="2"/>
            <w:shd w:val="clear" w:color="auto" w:fill="CCEEFF"/>
            <w:tcMar>
              <w:top w:w="40" w:type="dxa"/>
              <w:left w:w="20" w:type="dxa"/>
              <w:bottom w:w="40" w:type="dxa"/>
              <w:right w:w="0" w:type="dxa"/>
            </w:tcMar>
            <w:vAlign w:val="bottom"/>
          </w:tcPr>
          <w:p w14:paraId="5EA24773" w14:textId="77777777" w:rsidR="003C66EB" w:rsidRDefault="00D96C4E">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7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76" w14:textId="77777777" w:rsidR="003C66EB" w:rsidRDefault="00D96C4E">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7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7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7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7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7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7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7F"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8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8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8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8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8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8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8B" w14:textId="77777777" w:rsidR="003C66EB" w:rsidRDefault="00D96C4E">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8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8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8E" w14:textId="77777777" w:rsidR="003C66EB" w:rsidRDefault="00D96C4E">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78F" w14:textId="77777777" w:rsidR="003C66EB" w:rsidRDefault="003C66EB">
            <w:pPr>
              <w:jc w:val="right"/>
              <w:rPr>
                <w:rFonts w:ascii="宋体"/>
              </w:rPr>
            </w:pPr>
          </w:p>
        </w:tc>
      </w:tr>
      <w:tr w:rsidR="00D96C4E" w14:paraId="5EA247B9" w14:textId="77777777">
        <w:tc>
          <w:tcPr>
            <w:tcW w:w="0" w:type="auto"/>
            <w:gridSpan w:val="3"/>
            <w:shd w:val="clear" w:color="auto" w:fill="FFFFFF"/>
            <w:tcMar>
              <w:top w:w="40" w:type="dxa"/>
              <w:left w:w="20" w:type="dxa"/>
              <w:bottom w:w="40" w:type="dxa"/>
              <w:right w:w="20" w:type="dxa"/>
            </w:tcMar>
            <w:vAlign w:val="bottom"/>
          </w:tcPr>
          <w:p w14:paraId="5EA24791" w14:textId="77777777" w:rsidR="003C66EB" w:rsidRDefault="00D96C4E">
            <w:pPr>
              <w:textAlignment w:val="bottom"/>
            </w:pPr>
            <w:r>
              <w:rPr>
                <w:rFonts w:ascii="Arial" w:eastAsia="宋体" w:hAnsi="Arial" w:cs="Arial"/>
                <w:color w:val="000000"/>
                <w:sz w:val="14"/>
                <w:szCs w:val="14"/>
              </w:rPr>
              <w:t>Total held-to-maturity securities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9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93" w14:textId="77777777" w:rsidR="003C66EB" w:rsidRDefault="00D96C4E">
            <w:pPr>
              <w:jc w:val="right"/>
              <w:textAlignment w:val="bottom"/>
            </w:pPr>
            <w:r>
              <w:rPr>
                <w:rFonts w:ascii="Arial" w:eastAsia="宋体" w:hAnsi="Arial" w:cs="Arial"/>
                <w:b/>
                <w:bCs/>
                <w:color w:val="000000"/>
                <w:sz w:val="14"/>
                <w:szCs w:val="14"/>
              </w:rPr>
              <w:t>5,655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9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95"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9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97" w14:textId="77777777" w:rsidR="003C66EB" w:rsidRDefault="00D96C4E">
            <w:pPr>
              <w:jc w:val="right"/>
              <w:textAlignment w:val="bottom"/>
            </w:pPr>
            <w:r>
              <w:rPr>
                <w:rFonts w:ascii="Arial" w:eastAsia="宋体" w:hAnsi="Arial" w:cs="Arial"/>
                <w:b/>
                <w:bCs/>
                <w:color w:val="000000"/>
                <w:sz w:val="14"/>
                <w:szCs w:val="14"/>
              </w:rPr>
              <w:t>5,704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9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9A"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9B" w14:textId="77777777" w:rsidR="003C66EB" w:rsidRDefault="00D96C4E">
            <w:pPr>
              <w:jc w:val="right"/>
              <w:textAlignment w:val="bottom"/>
            </w:pPr>
            <w:r>
              <w:rPr>
                <w:rFonts w:ascii="Arial" w:eastAsia="宋体" w:hAnsi="Arial" w:cs="Arial"/>
                <w:b/>
                <w:bCs/>
                <w:color w:val="000000"/>
                <w:sz w:val="14"/>
                <w:szCs w:val="14"/>
              </w:rPr>
              <w:t>1,854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9D"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9E"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9F" w14:textId="77777777" w:rsidR="003C66EB" w:rsidRDefault="00D96C4E">
            <w:pPr>
              <w:jc w:val="right"/>
              <w:textAlignment w:val="bottom"/>
            </w:pPr>
            <w:r>
              <w:rPr>
                <w:rFonts w:ascii="Arial" w:eastAsia="宋体" w:hAnsi="Arial" w:cs="Arial"/>
                <w:b/>
                <w:bCs/>
                <w:color w:val="000000"/>
                <w:sz w:val="14"/>
                <w:szCs w:val="14"/>
              </w:rPr>
              <w:t>1,883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A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A1"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A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A3" w14:textId="77777777" w:rsidR="003C66EB" w:rsidRDefault="00D96C4E">
            <w:pPr>
              <w:jc w:val="right"/>
              <w:textAlignment w:val="bottom"/>
            </w:pPr>
            <w:r>
              <w:rPr>
                <w:rFonts w:ascii="Arial" w:eastAsia="宋体" w:hAnsi="Arial" w:cs="Arial"/>
                <w:b/>
                <w:bCs/>
                <w:color w:val="000000"/>
                <w:sz w:val="14"/>
                <w:szCs w:val="14"/>
              </w:rPr>
              <w:t>6,008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A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A5"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A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A7" w14:textId="77777777" w:rsidR="003C66EB" w:rsidRDefault="00D96C4E">
            <w:pPr>
              <w:jc w:val="right"/>
              <w:textAlignment w:val="bottom"/>
            </w:pPr>
            <w:r>
              <w:rPr>
                <w:rFonts w:ascii="Arial" w:eastAsia="宋体" w:hAnsi="Arial" w:cs="Arial"/>
                <w:b/>
                <w:bCs/>
                <w:color w:val="000000"/>
                <w:sz w:val="14"/>
                <w:szCs w:val="14"/>
              </w:rPr>
              <w:t>5,942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A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AA"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AB" w14:textId="77777777" w:rsidR="003C66EB" w:rsidRDefault="00D96C4E">
            <w:pPr>
              <w:jc w:val="right"/>
              <w:textAlignment w:val="bottom"/>
            </w:pPr>
            <w:r>
              <w:rPr>
                <w:rFonts w:ascii="Arial" w:eastAsia="宋体" w:hAnsi="Arial" w:cs="Arial"/>
                <w:b/>
                <w:bCs/>
                <w:color w:val="000000"/>
                <w:sz w:val="14"/>
                <w:szCs w:val="14"/>
              </w:rPr>
              <w:t>32,947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A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AD"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AE"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AF" w14:textId="77777777" w:rsidR="003C66EB" w:rsidRDefault="00D96C4E">
            <w:pPr>
              <w:jc w:val="right"/>
              <w:textAlignment w:val="bottom"/>
            </w:pPr>
            <w:r>
              <w:rPr>
                <w:rFonts w:ascii="Arial" w:eastAsia="宋体" w:hAnsi="Arial" w:cs="Arial"/>
                <w:b/>
                <w:bCs/>
                <w:color w:val="000000"/>
                <w:sz w:val="14"/>
                <w:szCs w:val="14"/>
              </w:rPr>
              <w:t>33,424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B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B1"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B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B3" w14:textId="77777777" w:rsidR="003C66EB" w:rsidRDefault="00D96C4E">
            <w:pPr>
              <w:jc w:val="right"/>
              <w:textAlignment w:val="bottom"/>
            </w:pPr>
            <w:r>
              <w:rPr>
                <w:rFonts w:ascii="Arial" w:eastAsia="宋体" w:hAnsi="Arial" w:cs="Arial"/>
                <w:b/>
                <w:bCs/>
                <w:color w:val="000000"/>
                <w:sz w:val="14"/>
                <w:szCs w:val="14"/>
              </w:rPr>
              <w:t>46,464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B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B5"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7B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7B7" w14:textId="77777777" w:rsidR="003C66EB" w:rsidRDefault="00D96C4E">
            <w:pPr>
              <w:jc w:val="right"/>
              <w:textAlignment w:val="bottom"/>
            </w:pPr>
            <w:r>
              <w:rPr>
                <w:rFonts w:ascii="Arial" w:eastAsia="宋体" w:hAnsi="Arial" w:cs="Arial"/>
                <w:b/>
                <w:bCs/>
                <w:color w:val="000000"/>
                <w:sz w:val="14"/>
                <w:szCs w:val="14"/>
              </w:rPr>
              <w:t>46,953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7B8" w14:textId="77777777" w:rsidR="003C66EB" w:rsidRDefault="003C66EB">
            <w:pPr>
              <w:jc w:val="right"/>
              <w:rPr>
                <w:rFonts w:ascii="宋体"/>
              </w:rPr>
            </w:pPr>
          </w:p>
        </w:tc>
      </w:tr>
    </w:tbl>
    <w:p w14:paraId="5EA247BA" w14:textId="77777777" w:rsidR="003C66EB" w:rsidRDefault="00D96C4E">
      <w:pPr>
        <w:ind w:firstLine="450"/>
        <w:jc w:val="right"/>
      </w:pPr>
      <w:r>
        <w:rPr>
          <w:rFonts w:ascii="Arial" w:eastAsia="宋体" w:hAnsi="Arial" w:cs="Arial"/>
          <w:color w:val="000000"/>
          <w:sz w:val="18"/>
          <w:szCs w:val="18"/>
        </w:rPr>
        <w:t>State Street Corporation | 61</w:t>
      </w:r>
    </w:p>
    <w:p w14:paraId="5EA247BB" w14:textId="77777777" w:rsidR="003C66EB" w:rsidRDefault="003C66EB">
      <w:pPr>
        <w:ind w:firstLine="450"/>
        <w:jc w:val="center"/>
      </w:pPr>
    </w:p>
    <w:p w14:paraId="5EA247BC" w14:textId="77777777" w:rsidR="003C66EB" w:rsidRDefault="00D96C4E">
      <w:r>
        <w:pict w14:anchorId="5EA287ED">
          <v:rect id="_x0000_i1085" style="width:415.3pt;height:1.5pt" o:hralign="center" o:hrstd="t" o:hr="t" fillcolor="#a0a0a0" stroked="f"/>
        </w:pict>
      </w:r>
    </w:p>
    <w:p w14:paraId="5EA247BD" w14:textId="77777777" w:rsidR="003C66EB" w:rsidRDefault="00D96C4E">
      <w:pPr>
        <w:ind w:firstLine="450"/>
        <w:jc w:val="center"/>
      </w:pPr>
      <w:r>
        <w:rPr>
          <w:rFonts w:ascii="Arial" w:eastAsia="宋体" w:hAnsi="Arial" w:cs="Arial"/>
          <w:b/>
          <w:bCs/>
          <w:color w:val="000000"/>
          <w:sz w:val="20"/>
          <w:szCs w:val="20"/>
        </w:rPr>
        <w:t>STATE STREET CO</w:t>
      </w:r>
      <w:r>
        <w:rPr>
          <w:rFonts w:ascii="Arial" w:eastAsia="宋体" w:hAnsi="Arial" w:cs="Arial"/>
          <w:b/>
          <w:bCs/>
          <w:color w:val="000000"/>
          <w:sz w:val="20"/>
          <w:szCs w:val="20"/>
        </w:rPr>
        <w:t>RPORATION</w:t>
      </w:r>
    </w:p>
    <w:p w14:paraId="5EA247BE"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47BF" w14:textId="77777777" w:rsidR="003C66EB" w:rsidRDefault="00D96C4E">
      <w:pPr>
        <w:ind w:firstLine="450"/>
        <w:jc w:val="center"/>
      </w:pPr>
      <w:r>
        <w:rPr>
          <w:rFonts w:ascii="Arial" w:eastAsia="宋体" w:hAnsi="Arial" w:cs="Arial"/>
          <w:b/>
          <w:bCs/>
          <w:color w:val="000000"/>
          <w:sz w:val="20"/>
          <w:szCs w:val="20"/>
        </w:rPr>
        <w:t>(UNAUDITED)</w:t>
      </w:r>
    </w:p>
    <w:p w14:paraId="5EA247C0" w14:textId="77777777" w:rsidR="003C66EB" w:rsidRDefault="00D96C4E">
      <w:pPr>
        <w:spacing w:before="60"/>
        <w:ind w:firstLine="450"/>
        <w:jc w:val="both"/>
        <w:textAlignment w:val="top"/>
      </w:pPr>
      <w:r>
        <w:rPr>
          <w:rFonts w:ascii="Arial" w:eastAsia="宋体" w:hAnsi="Arial" w:cs="Arial"/>
          <w:color w:val="000000"/>
          <w:sz w:val="20"/>
          <w:szCs w:val="20"/>
        </w:rPr>
        <w:t>Interest income related to debt securities is recognized in our consolidated statement of income using the effective interest method, or on a basis approximating a level rate of ret</w:t>
      </w:r>
      <w:r>
        <w:rPr>
          <w:rFonts w:ascii="Arial" w:eastAsia="宋体" w:hAnsi="Arial" w:cs="Arial"/>
          <w:color w:val="000000"/>
          <w:sz w:val="20"/>
          <w:szCs w:val="20"/>
        </w:rPr>
        <w:t>urn over the contractual or estimated life of the security. The level rate of return considers any non-refundable fees or costs, as well as purchase premiums or discounts, adjusted as prepayments occur, resulting in amortization or accretion, accordingly.</w:t>
      </w:r>
    </w:p>
    <w:p w14:paraId="5EA247C1" w14:textId="77777777" w:rsidR="003C66EB" w:rsidRDefault="00D96C4E">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5EA247C2" w14:textId="77777777" w:rsidR="003C66EB" w:rsidRDefault="00D96C4E">
      <w:pPr>
        <w:spacing w:before="60"/>
        <w:ind w:firstLine="450"/>
        <w:jc w:val="both"/>
        <w:textAlignment w:val="top"/>
      </w:pPr>
      <w:r>
        <w:rPr>
          <w:rFonts w:ascii="Arial" w:eastAsia="宋体" w:hAnsi="Arial" w:cs="Arial"/>
          <w:color w:val="000000"/>
          <w:sz w:val="20"/>
          <w:szCs w:val="20"/>
        </w:rPr>
        <w:t xml:space="preserve">We conduct quarterly reviews of HTM and AFS securities on a collective (pool) basis when similar risk characteristics exist to determine whether an allowance for credit losses </w:t>
      </w:r>
      <w:r>
        <w:rPr>
          <w:rFonts w:ascii="Arial" w:eastAsia="宋体" w:hAnsi="Arial" w:cs="Arial"/>
          <w:color w:val="000000"/>
          <w:sz w:val="20"/>
          <w:szCs w:val="20"/>
        </w:rPr>
        <w:t xml:space="preserve">should be recognized. We review individual AFS securities periodically to assess if additional impairment is required. For additional information about the review of investment securities for expected credit losses or impairment, refer to pages 148 to 149 </w:t>
      </w:r>
      <w:r>
        <w:rPr>
          <w:rFonts w:ascii="Arial" w:eastAsia="宋体" w:hAnsi="Arial" w:cs="Arial"/>
          <w:color w:val="000000"/>
          <w:sz w:val="20"/>
          <w:szCs w:val="20"/>
        </w:rPr>
        <w:t>in Note 3 to the consolidated financial statements included under Item 8, Financial Statements and Supplementary Data, in our 2020 Form 10-K.</w:t>
      </w:r>
    </w:p>
    <w:p w14:paraId="5EA247C3" w14:textId="77777777" w:rsidR="003C66EB" w:rsidRDefault="00D96C4E">
      <w:pPr>
        <w:spacing w:before="60"/>
        <w:ind w:firstLine="450"/>
        <w:jc w:val="both"/>
        <w:textAlignment w:val="top"/>
      </w:pPr>
      <w:r>
        <w:rPr>
          <w:rFonts w:ascii="Arial" w:eastAsia="宋体" w:hAnsi="Arial" w:cs="Arial"/>
          <w:color w:val="000000"/>
          <w:sz w:val="20"/>
          <w:szCs w:val="20"/>
        </w:rPr>
        <w:t xml:space="preserve">We monitor the credit quality of the HTM and AFS investment securities using a variety of methods, including both </w:t>
      </w:r>
      <w:r>
        <w:rPr>
          <w:rFonts w:ascii="Arial" w:eastAsia="宋体" w:hAnsi="Arial" w:cs="Arial"/>
          <w:color w:val="000000"/>
          <w:sz w:val="20"/>
          <w:szCs w:val="20"/>
        </w:rPr>
        <w:t>external and internal credit ratings. As of March 31, 2021, 99% of our HTM and AFS investment portfolio is publicly rated investment grade.</w:t>
      </w:r>
    </w:p>
    <w:p w14:paraId="5EA247C4" w14:textId="77777777" w:rsidR="003C66EB" w:rsidRDefault="00D96C4E">
      <w:pPr>
        <w:spacing w:before="60"/>
        <w:ind w:firstLine="450"/>
        <w:jc w:val="both"/>
        <w:textAlignment w:val="top"/>
      </w:pPr>
      <w:r>
        <w:rPr>
          <w:rFonts w:ascii="Arial" w:eastAsia="宋体" w:hAnsi="Arial" w:cs="Arial"/>
          <w:color w:val="000000"/>
          <w:sz w:val="20"/>
          <w:szCs w:val="20"/>
        </w:rPr>
        <w:t>Our allowance for credit losses on our HTM securities is approximately $2 million as of March 31, 2021. In the first</w:t>
      </w:r>
      <w:r>
        <w:rPr>
          <w:rFonts w:ascii="Arial" w:eastAsia="宋体" w:hAnsi="Arial" w:cs="Arial"/>
          <w:color w:val="000000"/>
          <w:sz w:val="20"/>
          <w:szCs w:val="20"/>
        </w:rPr>
        <w:t xml:space="preserve"> quarter of 2021, we recorded a $1 million reserve release and no charge-offs on HTM securities. </w:t>
      </w:r>
    </w:p>
    <w:p w14:paraId="5EA247C5" w14:textId="77777777" w:rsidR="003C66EB" w:rsidRDefault="00D96C4E">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conditions, adverse situations that might affect our ability to fu</w:t>
      </w:r>
      <w:r>
        <w:rPr>
          <w:rFonts w:ascii="Arial" w:eastAsia="宋体" w:hAnsi="Arial" w:cs="Arial"/>
          <w:color w:val="000000"/>
          <w:sz w:val="20"/>
          <w:szCs w:val="20"/>
        </w:rPr>
        <w:t>lly collect principal and interest, the timing of future payments, the credit quality and performance of the collateral underlying MBS and ABS and other relevant factors, management considers the aggregate decline in fair value of the investment securities</w:t>
      </w:r>
      <w:r>
        <w:rPr>
          <w:rFonts w:ascii="Arial" w:eastAsia="宋体" w:hAnsi="Arial" w:cs="Arial"/>
          <w:color w:val="000000"/>
          <w:sz w:val="20"/>
          <w:szCs w:val="20"/>
        </w:rPr>
        <w:t xml:space="preserve"> portfolio and the resulting gross pre-tax unrealized losses of $562 million related to 664 securities as of March 31, 2021 to not be the result of any material changes in the credit characteristics of the securities. </w:t>
      </w:r>
    </w:p>
    <w:p w14:paraId="5EA247C6" w14:textId="77777777" w:rsidR="003C66EB" w:rsidRDefault="003C66EB">
      <w:pPr>
        <w:spacing w:before="60"/>
        <w:ind w:firstLine="450"/>
        <w:jc w:val="both"/>
        <w:textAlignment w:val="top"/>
      </w:pPr>
    </w:p>
    <w:p w14:paraId="5EA247C7" w14:textId="77777777" w:rsidR="003C66EB" w:rsidRDefault="003C66EB">
      <w:pPr>
        <w:spacing w:before="60"/>
        <w:ind w:firstLine="450"/>
        <w:jc w:val="both"/>
        <w:textAlignment w:val="top"/>
      </w:pPr>
    </w:p>
    <w:p w14:paraId="5EA247C8" w14:textId="77777777" w:rsidR="003C66EB" w:rsidRDefault="00D96C4E">
      <w:pPr>
        <w:spacing w:before="180"/>
        <w:textAlignment w:val="top"/>
      </w:pPr>
      <w:r>
        <w:rPr>
          <w:rFonts w:ascii="Arial" w:eastAsia="宋体" w:hAnsi="Arial" w:cs="Arial"/>
          <w:b/>
          <w:bCs/>
          <w:color w:val="000000"/>
          <w:sz w:val="20"/>
          <w:szCs w:val="20"/>
        </w:rPr>
        <w:t xml:space="preserve">Note 4.    Loans and </w:t>
      </w:r>
      <w:r>
        <w:rPr>
          <w:rFonts w:ascii="Arial" w:eastAsia="宋体" w:hAnsi="Arial" w:cs="Arial"/>
          <w:b/>
          <w:bCs/>
          <w:color w:val="000000"/>
          <w:sz w:val="20"/>
          <w:szCs w:val="20"/>
        </w:rPr>
        <w:t>Allowance for Credit Losses</w:t>
      </w:r>
    </w:p>
    <w:p w14:paraId="5EA247C9" w14:textId="77777777" w:rsidR="003C66EB" w:rsidRDefault="00D96C4E">
      <w:pPr>
        <w:spacing w:before="60"/>
        <w:ind w:firstLine="450"/>
        <w:jc w:val="both"/>
        <w:textAlignment w:val="top"/>
      </w:pPr>
      <w:r>
        <w:rPr>
          <w:rFonts w:ascii="Arial" w:eastAsia="宋体" w:hAnsi="Arial" w:cs="Arial"/>
          <w:color w:val="000000"/>
          <w:sz w:val="20"/>
          <w:szCs w:val="20"/>
        </w:rPr>
        <w:t>We segregate our loans into two segments: commercial and financial loans and commercial real estate loans. We further classify commercial and financial loans as fund finance loans, leveraged loans, overdrafts and other. These cl</w:t>
      </w:r>
      <w:r>
        <w:rPr>
          <w:rFonts w:ascii="Arial" w:eastAsia="宋体" w:hAnsi="Arial" w:cs="Arial"/>
          <w:color w:val="000000"/>
          <w:sz w:val="20"/>
          <w:szCs w:val="20"/>
        </w:rPr>
        <w:t>assifications reflect their risk characteristics, their initial measurement attributes and the methods we use to monitor and assess credit risk. For additional information on our loans, including our internal risk-rating system used to assess our risk of c</w:t>
      </w:r>
      <w:r>
        <w:rPr>
          <w:rFonts w:ascii="Arial" w:eastAsia="宋体" w:hAnsi="Arial" w:cs="Arial"/>
          <w:color w:val="000000"/>
          <w:sz w:val="20"/>
          <w:szCs w:val="20"/>
        </w:rPr>
        <w:t>redit loss for each loan, refer to pages 149 to 154 in Note 4 to the consolidated financial statements included under Item 8, Financial Statements and Supplementary Data, in our 2020 Form 10-K.</w:t>
      </w:r>
    </w:p>
    <w:p w14:paraId="5EA247CA"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our recorded investment in loans,</w:t>
      </w:r>
      <w:r>
        <w:rPr>
          <w:rFonts w:ascii="Arial" w:eastAsia="宋体" w:hAnsi="Arial" w:cs="Arial"/>
          <w:color w:val="000000"/>
          <w:sz w:val="20"/>
          <w:szCs w:val="20"/>
        </w:rPr>
        <w:t xml:space="preserve"> by segment, as of the dates indicated:</w:t>
      </w:r>
    </w:p>
    <w:tbl>
      <w:tblPr>
        <w:tblW w:w="4969" w:type="pct"/>
        <w:tblCellMar>
          <w:top w:w="15" w:type="dxa"/>
          <w:left w:w="15" w:type="dxa"/>
          <w:bottom w:w="15" w:type="dxa"/>
          <w:right w:w="15" w:type="dxa"/>
        </w:tblCellMar>
        <w:tblLook w:val="04A0" w:firstRow="1" w:lastRow="0" w:firstColumn="1" w:lastColumn="0" w:noHBand="0" w:noVBand="1"/>
      </w:tblPr>
      <w:tblGrid>
        <w:gridCol w:w="45"/>
        <w:gridCol w:w="4160"/>
        <w:gridCol w:w="37"/>
        <w:gridCol w:w="104"/>
        <w:gridCol w:w="1770"/>
        <w:gridCol w:w="36"/>
        <w:gridCol w:w="36"/>
        <w:gridCol w:w="76"/>
        <w:gridCol w:w="36"/>
        <w:gridCol w:w="105"/>
        <w:gridCol w:w="1771"/>
        <w:gridCol w:w="36"/>
        <w:gridCol w:w="36"/>
        <w:gridCol w:w="36"/>
      </w:tblGrid>
      <w:tr w:rsidR="003C66EB" w14:paraId="5EA247D9" w14:textId="77777777">
        <w:tc>
          <w:tcPr>
            <w:tcW w:w="50" w:type="pct"/>
            <w:shd w:val="clear" w:color="auto" w:fill="auto"/>
          </w:tcPr>
          <w:p w14:paraId="5EA247CB" w14:textId="77777777" w:rsidR="003C66EB" w:rsidRDefault="003C66EB">
            <w:pPr>
              <w:rPr>
                <w:rFonts w:ascii="宋体"/>
              </w:rPr>
            </w:pPr>
          </w:p>
        </w:tc>
        <w:tc>
          <w:tcPr>
            <w:tcW w:w="2555" w:type="pct"/>
            <w:shd w:val="clear" w:color="auto" w:fill="auto"/>
          </w:tcPr>
          <w:p w14:paraId="5EA247CC" w14:textId="77777777" w:rsidR="003C66EB" w:rsidRDefault="003C66EB">
            <w:pPr>
              <w:rPr>
                <w:rFonts w:ascii="宋体"/>
              </w:rPr>
            </w:pPr>
          </w:p>
        </w:tc>
        <w:tc>
          <w:tcPr>
            <w:tcW w:w="5" w:type="pct"/>
            <w:shd w:val="clear" w:color="auto" w:fill="auto"/>
          </w:tcPr>
          <w:p w14:paraId="5EA247CD" w14:textId="77777777" w:rsidR="003C66EB" w:rsidRDefault="003C66EB">
            <w:pPr>
              <w:rPr>
                <w:rFonts w:ascii="宋体"/>
              </w:rPr>
            </w:pPr>
          </w:p>
        </w:tc>
        <w:tc>
          <w:tcPr>
            <w:tcW w:w="50" w:type="pct"/>
            <w:shd w:val="clear" w:color="auto" w:fill="auto"/>
          </w:tcPr>
          <w:p w14:paraId="5EA247CE" w14:textId="77777777" w:rsidR="003C66EB" w:rsidRDefault="003C66EB">
            <w:pPr>
              <w:rPr>
                <w:rFonts w:ascii="宋体"/>
              </w:rPr>
            </w:pPr>
          </w:p>
        </w:tc>
        <w:tc>
          <w:tcPr>
            <w:tcW w:w="1100" w:type="pct"/>
            <w:shd w:val="clear" w:color="auto" w:fill="auto"/>
          </w:tcPr>
          <w:p w14:paraId="5EA247CF" w14:textId="77777777" w:rsidR="003C66EB" w:rsidRDefault="003C66EB">
            <w:pPr>
              <w:rPr>
                <w:rFonts w:ascii="宋体"/>
              </w:rPr>
            </w:pPr>
          </w:p>
        </w:tc>
        <w:tc>
          <w:tcPr>
            <w:tcW w:w="5" w:type="pct"/>
            <w:shd w:val="clear" w:color="auto" w:fill="auto"/>
          </w:tcPr>
          <w:p w14:paraId="5EA247D0" w14:textId="77777777" w:rsidR="003C66EB" w:rsidRDefault="003C66EB">
            <w:pPr>
              <w:rPr>
                <w:rFonts w:ascii="宋体"/>
              </w:rPr>
            </w:pPr>
          </w:p>
        </w:tc>
        <w:tc>
          <w:tcPr>
            <w:tcW w:w="5" w:type="pct"/>
            <w:shd w:val="clear" w:color="auto" w:fill="auto"/>
          </w:tcPr>
          <w:p w14:paraId="5EA247D1" w14:textId="77777777" w:rsidR="003C66EB" w:rsidRDefault="003C66EB">
            <w:pPr>
              <w:rPr>
                <w:rFonts w:ascii="宋体"/>
              </w:rPr>
            </w:pPr>
          </w:p>
        </w:tc>
        <w:tc>
          <w:tcPr>
            <w:tcW w:w="69" w:type="pct"/>
            <w:shd w:val="clear" w:color="auto" w:fill="auto"/>
          </w:tcPr>
          <w:p w14:paraId="5EA247D2" w14:textId="77777777" w:rsidR="003C66EB" w:rsidRDefault="003C66EB">
            <w:pPr>
              <w:rPr>
                <w:rFonts w:ascii="宋体"/>
              </w:rPr>
            </w:pPr>
          </w:p>
        </w:tc>
        <w:tc>
          <w:tcPr>
            <w:tcW w:w="5" w:type="pct"/>
            <w:shd w:val="clear" w:color="auto" w:fill="auto"/>
          </w:tcPr>
          <w:p w14:paraId="5EA247D3" w14:textId="77777777" w:rsidR="003C66EB" w:rsidRDefault="003C66EB">
            <w:pPr>
              <w:rPr>
                <w:rFonts w:ascii="宋体"/>
              </w:rPr>
            </w:pPr>
          </w:p>
        </w:tc>
        <w:tc>
          <w:tcPr>
            <w:tcW w:w="50" w:type="pct"/>
            <w:shd w:val="clear" w:color="auto" w:fill="auto"/>
          </w:tcPr>
          <w:p w14:paraId="5EA247D4" w14:textId="77777777" w:rsidR="003C66EB" w:rsidRDefault="003C66EB">
            <w:pPr>
              <w:rPr>
                <w:rFonts w:ascii="宋体"/>
              </w:rPr>
            </w:pPr>
          </w:p>
        </w:tc>
        <w:tc>
          <w:tcPr>
            <w:tcW w:w="1100" w:type="pct"/>
            <w:shd w:val="clear" w:color="auto" w:fill="auto"/>
          </w:tcPr>
          <w:p w14:paraId="5EA247D5" w14:textId="77777777" w:rsidR="003C66EB" w:rsidRDefault="003C66EB">
            <w:pPr>
              <w:rPr>
                <w:rFonts w:ascii="宋体"/>
              </w:rPr>
            </w:pPr>
          </w:p>
        </w:tc>
        <w:tc>
          <w:tcPr>
            <w:tcW w:w="5" w:type="pct"/>
            <w:shd w:val="clear" w:color="auto" w:fill="auto"/>
          </w:tcPr>
          <w:p w14:paraId="5EA247D6" w14:textId="77777777" w:rsidR="003C66EB" w:rsidRDefault="003C66EB">
            <w:pPr>
              <w:rPr>
                <w:rFonts w:ascii="宋体"/>
              </w:rPr>
            </w:pPr>
          </w:p>
        </w:tc>
        <w:tc>
          <w:tcPr>
            <w:tcW w:w="0" w:type="auto"/>
            <w:shd w:val="clear" w:color="auto" w:fill="auto"/>
          </w:tcPr>
          <w:p w14:paraId="5EA247D7" w14:textId="77777777" w:rsidR="003C66EB" w:rsidRDefault="003C66EB">
            <w:pPr>
              <w:rPr>
                <w:rFonts w:ascii="宋体"/>
                <w:vanish/>
              </w:rPr>
            </w:pPr>
          </w:p>
        </w:tc>
        <w:tc>
          <w:tcPr>
            <w:tcW w:w="0" w:type="auto"/>
            <w:shd w:val="clear" w:color="auto" w:fill="auto"/>
          </w:tcPr>
          <w:p w14:paraId="5EA247D8" w14:textId="77777777" w:rsidR="003C66EB" w:rsidRDefault="003C66EB">
            <w:pPr>
              <w:rPr>
                <w:rFonts w:ascii="宋体"/>
                <w:vanish/>
              </w:rPr>
            </w:pPr>
          </w:p>
        </w:tc>
      </w:tr>
      <w:tr w:rsidR="003C66EB" w14:paraId="5EA247E0" w14:textId="77777777">
        <w:tc>
          <w:tcPr>
            <w:tcW w:w="0" w:type="auto"/>
            <w:gridSpan w:val="3"/>
            <w:shd w:val="clear" w:color="auto" w:fill="auto"/>
            <w:tcMar>
              <w:top w:w="40" w:type="dxa"/>
              <w:left w:w="20" w:type="dxa"/>
              <w:bottom w:w="40" w:type="dxa"/>
              <w:right w:w="20" w:type="dxa"/>
            </w:tcMar>
            <w:vAlign w:val="bottom"/>
          </w:tcPr>
          <w:p w14:paraId="5EA247DA"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A247DB"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47D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7DD"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shd w:val="clear" w:color="auto" w:fill="auto"/>
          </w:tcPr>
          <w:p w14:paraId="5EA247DE" w14:textId="77777777" w:rsidR="003C66EB" w:rsidRDefault="003C66EB">
            <w:pPr>
              <w:rPr>
                <w:rFonts w:ascii="宋体"/>
                <w:vanish/>
              </w:rPr>
            </w:pPr>
          </w:p>
        </w:tc>
        <w:tc>
          <w:tcPr>
            <w:tcW w:w="0" w:type="auto"/>
            <w:shd w:val="clear" w:color="auto" w:fill="auto"/>
          </w:tcPr>
          <w:p w14:paraId="5EA247DF" w14:textId="77777777" w:rsidR="003C66EB" w:rsidRDefault="003C66EB">
            <w:pPr>
              <w:rPr>
                <w:rFonts w:ascii="宋体"/>
                <w:vanish/>
              </w:rPr>
            </w:pPr>
          </w:p>
        </w:tc>
      </w:tr>
      <w:tr w:rsidR="003C66EB" w14:paraId="5EA247E7" w14:textId="77777777">
        <w:tc>
          <w:tcPr>
            <w:tcW w:w="0" w:type="auto"/>
            <w:gridSpan w:val="3"/>
            <w:shd w:val="clear" w:color="auto" w:fill="auto"/>
            <w:tcMar>
              <w:top w:w="40" w:type="dxa"/>
              <w:left w:w="20" w:type="dxa"/>
              <w:bottom w:w="40" w:type="dxa"/>
              <w:right w:w="20" w:type="dxa"/>
            </w:tcMar>
            <w:vAlign w:val="bottom"/>
          </w:tcPr>
          <w:p w14:paraId="5EA247E1" w14:textId="77777777" w:rsidR="003C66EB" w:rsidRDefault="00D96C4E">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tcPr>
          <w:p w14:paraId="5EA247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7E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7E4" w14:textId="77777777" w:rsidR="003C66EB" w:rsidRDefault="003C66EB">
            <w:pPr>
              <w:rPr>
                <w:rFonts w:ascii="宋体"/>
              </w:rPr>
            </w:pPr>
          </w:p>
        </w:tc>
        <w:tc>
          <w:tcPr>
            <w:tcW w:w="0" w:type="auto"/>
            <w:shd w:val="clear" w:color="auto" w:fill="auto"/>
          </w:tcPr>
          <w:p w14:paraId="5EA247E5" w14:textId="77777777" w:rsidR="003C66EB" w:rsidRDefault="003C66EB">
            <w:pPr>
              <w:rPr>
                <w:rFonts w:ascii="宋体"/>
                <w:vanish/>
              </w:rPr>
            </w:pPr>
          </w:p>
        </w:tc>
        <w:tc>
          <w:tcPr>
            <w:tcW w:w="0" w:type="auto"/>
            <w:shd w:val="clear" w:color="auto" w:fill="auto"/>
          </w:tcPr>
          <w:p w14:paraId="5EA247E6" w14:textId="77777777" w:rsidR="003C66EB" w:rsidRDefault="003C66EB">
            <w:pPr>
              <w:rPr>
                <w:rFonts w:ascii="宋体"/>
                <w:vanish/>
              </w:rPr>
            </w:pPr>
          </w:p>
        </w:tc>
      </w:tr>
      <w:tr w:rsidR="003C66EB" w14:paraId="5EA247EE" w14:textId="77777777">
        <w:tc>
          <w:tcPr>
            <w:tcW w:w="0" w:type="auto"/>
            <w:gridSpan w:val="3"/>
            <w:shd w:val="clear" w:color="auto" w:fill="auto"/>
            <w:tcMar>
              <w:top w:w="40" w:type="dxa"/>
              <w:left w:w="155" w:type="dxa"/>
              <w:bottom w:w="40" w:type="dxa"/>
              <w:right w:w="20" w:type="dxa"/>
            </w:tcMar>
            <w:vAlign w:val="bottom"/>
          </w:tcPr>
          <w:p w14:paraId="5EA247E8" w14:textId="77777777" w:rsidR="003C66EB" w:rsidRDefault="00D96C4E">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tcPr>
          <w:p w14:paraId="5EA247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7E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7EB" w14:textId="77777777" w:rsidR="003C66EB" w:rsidRDefault="003C66EB">
            <w:pPr>
              <w:rPr>
                <w:rFonts w:ascii="宋体"/>
              </w:rPr>
            </w:pPr>
          </w:p>
        </w:tc>
        <w:tc>
          <w:tcPr>
            <w:tcW w:w="0" w:type="auto"/>
            <w:shd w:val="clear" w:color="auto" w:fill="auto"/>
          </w:tcPr>
          <w:p w14:paraId="5EA247EC" w14:textId="77777777" w:rsidR="003C66EB" w:rsidRDefault="003C66EB">
            <w:pPr>
              <w:rPr>
                <w:rFonts w:ascii="宋体"/>
                <w:vanish/>
              </w:rPr>
            </w:pPr>
          </w:p>
        </w:tc>
        <w:tc>
          <w:tcPr>
            <w:tcW w:w="0" w:type="auto"/>
            <w:shd w:val="clear" w:color="auto" w:fill="auto"/>
          </w:tcPr>
          <w:p w14:paraId="5EA247ED" w14:textId="77777777" w:rsidR="003C66EB" w:rsidRDefault="003C66EB">
            <w:pPr>
              <w:rPr>
                <w:rFonts w:ascii="宋体"/>
                <w:vanish/>
              </w:rPr>
            </w:pPr>
          </w:p>
        </w:tc>
      </w:tr>
      <w:tr w:rsidR="003C66EB" w14:paraId="5EA247F8" w14:textId="77777777">
        <w:tc>
          <w:tcPr>
            <w:tcW w:w="0" w:type="auto"/>
            <w:gridSpan w:val="3"/>
            <w:shd w:val="clear" w:color="auto" w:fill="CCEEFF"/>
            <w:tcMar>
              <w:top w:w="40" w:type="dxa"/>
              <w:left w:w="20" w:type="dxa"/>
              <w:bottom w:w="40" w:type="dxa"/>
              <w:right w:w="20" w:type="dxa"/>
            </w:tcMar>
            <w:vAlign w:val="bottom"/>
          </w:tcPr>
          <w:p w14:paraId="5EA247EF" w14:textId="77777777" w:rsidR="003C66EB" w:rsidRDefault="00D96C4E">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EA247F0"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47F1" w14:textId="77777777" w:rsidR="003C66EB" w:rsidRDefault="00D96C4E">
            <w:pPr>
              <w:jc w:val="right"/>
              <w:textAlignment w:val="bottom"/>
            </w:pPr>
            <w:r>
              <w:rPr>
                <w:rFonts w:ascii="Arial" w:eastAsia="宋体" w:hAnsi="Arial" w:cs="Arial"/>
                <w:b/>
                <w:bCs/>
                <w:color w:val="000000"/>
                <w:sz w:val="15"/>
                <w:szCs w:val="15"/>
              </w:rPr>
              <w:t>11,054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47F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7F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7F4" w14:textId="77777777" w:rsidR="003C66EB" w:rsidRDefault="00D96C4E">
            <w:pPr>
              <w:jc w:val="right"/>
              <w:textAlignment w:val="bottom"/>
            </w:pPr>
            <w:r>
              <w:rPr>
                <w:rFonts w:ascii="Arial" w:eastAsia="宋体" w:hAnsi="Arial" w:cs="Arial"/>
                <w:color w:val="000000"/>
                <w:sz w:val="15"/>
                <w:szCs w:val="15"/>
              </w:rPr>
              <w:t>11,531 </w:t>
            </w:r>
          </w:p>
        </w:tc>
        <w:tc>
          <w:tcPr>
            <w:tcW w:w="0" w:type="auto"/>
            <w:shd w:val="clear" w:color="auto" w:fill="CCEEFF"/>
            <w:tcMar>
              <w:top w:w="40" w:type="dxa"/>
              <w:left w:w="0" w:type="dxa"/>
              <w:bottom w:w="40" w:type="dxa"/>
              <w:right w:w="20" w:type="dxa"/>
            </w:tcMar>
            <w:vAlign w:val="bottom"/>
          </w:tcPr>
          <w:p w14:paraId="5EA247F5" w14:textId="77777777" w:rsidR="003C66EB" w:rsidRDefault="003C66EB">
            <w:pPr>
              <w:jc w:val="right"/>
              <w:rPr>
                <w:rFonts w:ascii="宋体"/>
              </w:rPr>
            </w:pPr>
          </w:p>
        </w:tc>
        <w:tc>
          <w:tcPr>
            <w:tcW w:w="0" w:type="auto"/>
            <w:shd w:val="clear" w:color="auto" w:fill="auto"/>
          </w:tcPr>
          <w:p w14:paraId="5EA247F6" w14:textId="77777777" w:rsidR="003C66EB" w:rsidRDefault="003C66EB">
            <w:pPr>
              <w:rPr>
                <w:rFonts w:ascii="宋体"/>
                <w:vanish/>
              </w:rPr>
            </w:pPr>
          </w:p>
        </w:tc>
        <w:tc>
          <w:tcPr>
            <w:tcW w:w="0" w:type="auto"/>
            <w:shd w:val="clear" w:color="auto" w:fill="auto"/>
          </w:tcPr>
          <w:p w14:paraId="5EA247F7" w14:textId="77777777" w:rsidR="003C66EB" w:rsidRDefault="003C66EB">
            <w:pPr>
              <w:rPr>
                <w:rFonts w:ascii="宋体"/>
                <w:vanish/>
              </w:rPr>
            </w:pPr>
          </w:p>
        </w:tc>
      </w:tr>
      <w:tr w:rsidR="003C66EB" w14:paraId="5EA24801" w14:textId="77777777">
        <w:tc>
          <w:tcPr>
            <w:tcW w:w="0" w:type="auto"/>
            <w:gridSpan w:val="3"/>
            <w:shd w:val="clear" w:color="auto" w:fill="FFFFFF"/>
            <w:tcMar>
              <w:top w:w="40" w:type="dxa"/>
              <w:left w:w="245" w:type="dxa"/>
              <w:bottom w:w="40" w:type="dxa"/>
              <w:right w:w="20" w:type="dxa"/>
            </w:tcMar>
            <w:vAlign w:val="bottom"/>
          </w:tcPr>
          <w:p w14:paraId="5EA247F9" w14:textId="77777777" w:rsidR="003C66EB" w:rsidRDefault="00D96C4E">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5EA247FA" w14:textId="77777777" w:rsidR="003C66EB" w:rsidRDefault="00D96C4E">
            <w:pPr>
              <w:jc w:val="right"/>
              <w:textAlignment w:val="bottom"/>
            </w:pPr>
            <w:r>
              <w:rPr>
                <w:rFonts w:ascii="Arial" w:eastAsia="宋体" w:hAnsi="Arial" w:cs="Arial"/>
                <w:b/>
                <w:bCs/>
                <w:color w:val="000000"/>
                <w:sz w:val="15"/>
                <w:szCs w:val="15"/>
              </w:rPr>
              <w:t>3,103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47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7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7FD" w14:textId="77777777" w:rsidR="003C66EB" w:rsidRDefault="00D96C4E">
            <w:pPr>
              <w:jc w:val="right"/>
              <w:textAlignment w:val="bottom"/>
            </w:pPr>
            <w:r>
              <w:rPr>
                <w:rFonts w:ascii="Arial" w:eastAsia="宋体" w:hAnsi="Arial" w:cs="Arial"/>
                <w:color w:val="000000"/>
                <w:sz w:val="15"/>
                <w:szCs w:val="15"/>
              </w:rPr>
              <w:t>2,923 </w:t>
            </w:r>
          </w:p>
        </w:tc>
        <w:tc>
          <w:tcPr>
            <w:tcW w:w="0" w:type="auto"/>
            <w:shd w:val="clear" w:color="auto" w:fill="FFFFFF"/>
            <w:tcMar>
              <w:top w:w="40" w:type="dxa"/>
              <w:left w:w="0" w:type="dxa"/>
              <w:bottom w:w="40" w:type="dxa"/>
              <w:right w:w="20" w:type="dxa"/>
            </w:tcMar>
            <w:vAlign w:val="bottom"/>
          </w:tcPr>
          <w:p w14:paraId="5EA247FE" w14:textId="77777777" w:rsidR="003C66EB" w:rsidRDefault="003C66EB">
            <w:pPr>
              <w:jc w:val="right"/>
              <w:rPr>
                <w:rFonts w:ascii="宋体"/>
              </w:rPr>
            </w:pPr>
          </w:p>
        </w:tc>
        <w:tc>
          <w:tcPr>
            <w:tcW w:w="0" w:type="auto"/>
            <w:shd w:val="clear" w:color="auto" w:fill="auto"/>
          </w:tcPr>
          <w:p w14:paraId="5EA247FF" w14:textId="77777777" w:rsidR="003C66EB" w:rsidRDefault="003C66EB">
            <w:pPr>
              <w:rPr>
                <w:rFonts w:ascii="宋体"/>
                <w:vanish/>
              </w:rPr>
            </w:pPr>
          </w:p>
        </w:tc>
        <w:tc>
          <w:tcPr>
            <w:tcW w:w="0" w:type="auto"/>
            <w:shd w:val="clear" w:color="auto" w:fill="auto"/>
          </w:tcPr>
          <w:p w14:paraId="5EA24800" w14:textId="77777777" w:rsidR="003C66EB" w:rsidRDefault="003C66EB">
            <w:pPr>
              <w:rPr>
                <w:rFonts w:ascii="宋体"/>
                <w:vanish/>
              </w:rPr>
            </w:pPr>
          </w:p>
        </w:tc>
      </w:tr>
      <w:tr w:rsidR="003C66EB" w14:paraId="5EA2480A" w14:textId="77777777">
        <w:tc>
          <w:tcPr>
            <w:tcW w:w="0" w:type="auto"/>
            <w:gridSpan w:val="3"/>
            <w:shd w:val="clear" w:color="auto" w:fill="CCEEFF"/>
            <w:tcMar>
              <w:top w:w="40" w:type="dxa"/>
              <w:left w:w="245" w:type="dxa"/>
              <w:bottom w:w="40" w:type="dxa"/>
              <w:right w:w="20" w:type="dxa"/>
            </w:tcMar>
            <w:vAlign w:val="bottom"/>
          </w:tcPr>
          <w:p w14:paraId="5EA24802" w14:textId="77777777" w:rsidR="003C66EB" w:rsidRDefault="00D96C4E">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5EA24803" w14:textId="77777777" w:rsidR="003C66EB" w:rsidRDefault="00D96C4E">
            <w:pPr>
              <w:jc w:val="right"/>
              <w:textAlignment w:val="bottom"/>
            </w:pPr>
            <w:r>
              <w:rPr>
                <w:rFonts w:ascii="Arial" w:eastAsia="宋体" w:hAnsi="Arial" w:cs="Arial"/>
                <w:b/>
                <w:bCs/>
                <w:color w:val="000000"/>
                <w:sz w:val="15"/>
                <w:szCs w:val="15"/>
              </w:rPr>
              <w:t>4,507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480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80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806" w14:textId="77777777" w:rsidR="003C66EB" w:rsidRDefault="00D96C4E">
            <w:pPr>
              <w:jc w:val="right"/>
              <w:textAlignment w:val="bottom"/>
            </w:pPr>
            <w:r>
              <w:rPr>
                <w:rFonts w:ascii="Arial" w:eastAsia="宋体" w:hAnsi="Arial" w:cs="Arial"/>
                <w:color w:val="000000"/>
                <w:sz w:val="15"/>
                <w:szCs w:val="15"/>
              </w:rPr>
              <w:t>1,894 </w:t>
            </w:r>
          </w:p>
        </w:tc>
        <w:tc>
          <w:tcPr>
            <w:tcW w:w="0" w:type="auto"/>
            <w:shd w:val="clear" w:color="auto" w:fill="CCEEFF"/>
            <w:tcMar>
              <w:top w:w="40" w:type="dxa"/>
              <w:left w:w="0" w:type="dxa"/>
              <w:bottom w:w="40" w:type="dxa"/>
              <w:right w:w="20" w:type="dxa"/>
            </w:tcMar>
            <w:vAlign w:val="bottom"/>
          </w:tcPr>
          <w:p w14:paraId="5EA24807" w14:textId="77777777" w:rsidR="003C66EB" w:rsidRDefault="003C66EB">
            <w:pPr>
              <w:jc w:val="right"/>
              <w:rPr>
                <w:rFonts w:ascii="宋体"/>
              </w:rPr>
            </w:pPr>
          </w:p>
        </w:tc>
        <w:tc>
          <w:tcPr>
            <w:tcW w:w="0" w:type="auto"/>
            <w:shd w:val="clear" w:color="auto" w:fill="auto"/>
          </w:tcPr>
          <w:p w14:paraId="5EA24808" w14:textId="77777777" w:rsidR="003C66EB" w:rsidRDefault="003C66EB">
            <w:pPr>
              <w:rPr>
                <w:rFonts w:ascii="宋体"/>
                <w:vanish/>
              </w:rPr>
            </w:pPr>
          </w:p>
        </w:tc>
        <w:tc>
          <w:tcPr>
            <w:tcW w:w="0" w:type="auto"/>
            <w:shd w:val="clear" w:color="auto" w:fill="auto"/>
          </w:tcPr>
          <w:p w14:paraId="5EA24809" w14:textId="77777777" w:rsidR="003C66EB" w:rsidRDefault="003C66EB">
            <w:pPr>
              <w:rPr>
                <w:rFonts w:ascii="宋体"/>
                <w:vanish/>
              </w:rPr>
            </w:pPr>
          </w:p>
        </w:tc>
      </w:tr>
      <w:tr w:rsidR="003C66EB" w14:paraId="5EA24813" w14:textId="77777777">
        <w:tc>
          <w:tcPr>
            <w:tcW w:w="0" w:type="auto"/>
            <w:gridSpan w:val="3"/>
            <w:shd w:val="clear" w:color="auto" w:fill="FFFFFF"/>
            <w:tcMar>
              <w:top w:w="40" w:type="dxa"/>
              <w:left w:w="20" w:type="dxa"/>
              <w:bottom w:w="40" w:type="dxa"/>
              <w:right w:w="20" w:type="dxa"/>
            </w:tcMar>
            <w:vAlign w:val="bottom"/>
          </w:tcPr>
          <w:p w14:paraId="5EA2480B"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480C" w14:textId="77777777" w:rsidR="003C66EB" w:rsidRDefault="00D96C4E">
            <w:pPr>
              <w:jc w:val="right"/>
              <w:textAlignment w:val="bottom"/>
            </w:pPr>
            <w:r>
              <w:rPr>
                <w:rFonts w:ascii="Arial" w:eastAsia="宋体" w:hAnsi="Arial" w:cs="Arial"/>
                <w:b/>
                <w:bCs/>
                <w:color w:val="000000"/>
                <w:sz w:val="15"/>
                <w:szCs w:val="15"/>
              </w:rPr>
              <w:t>1,963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480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80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80F" w14:textId="77777777" w:rsidR="003C66EB" w:rsidRDefault="00D96C4E">
            <w:pPr>
              <w:jc w:val="right"/>
              <w:textAlignment w:val="bottom"/>
            </w:pPr>
            <w:r>
              <w:rPr>
                <w:rFonts w:ascii="Arial" w:eastAsia="宋体" w:hAnsi="Arial" w:cs="Arial"/>
                <w:color w:val="000000"/>
                <w:sz w:val="15"/>
                <w:szCs w:val="15"/>
              </w:rPr>
              <w:t>2,688 </w:t>
            </w:r>
          </w:p>
        </w:tc>
        <w:tc>
          <w:tcPr>
            <w:tcW w:w="0" w:type="auto"/>
            <w:shd w:val="clear" w:color="auto" w:fill="FFFFFF"/>
            <w:tcMar>
              <w:top w:w="40" w:type="dxa"/>
              <w:left w:w="0" w:type="dxa"/>
              <w:bottom w:w="40" w:type="dxa"/>
              <w:right w:w="20" w:type="dxa"/>
            </w:tcMar>
            <w:vAlign w:val="bottom"/>
          </w:tcPr>
          <w:p w14:paraId="5EA24810" w14:textId="77777777" w:rsidR="003C66EB" w:rsidRDefault="003C66EB">
            <w:pPr>
              <w:jc w:val="right"/>
              <w:rPr>
                <w:rFonts w:ascii="宋体"/>
              </w:rPr>
            </w:pPr>
          </w:p>
        </w:tc>
        <w:tc>
          <w:tcPr>
            <w:tcW w:w="0" w:type="auto"/>
            <w:shd w:val="clear" w:color="auto" w:fill="auto"/>
          </w:tcPr>
          <w:p w14:paraId="5EA24811" w14:textId="77777777" w:rsidR="003C66EB" w:rsidRDefault="003C66EB">
            <w:pPr>
              <w:rPr>
                <w:rFonts w:ascii="宋体"/>
                <w:vanish/>
              </w:rPr>
            </w:pPr>
          </w:p>
        </w:tc>
        <w:tc>
          <w:tcPr>
            <w:tcW w:w="0" w:type="auto"/>
            <w:shd w:val="clear" w:color="auto" w:fill="auto"/>
          </w:tcPr>
          <w:p w14:paraId="5EA24812" w14:textId="77777777" w:rsidR="003C66EB" w:rsidRDefault="003C66EB">
            <w:pPr>
              <w:rPr>
                <w:rFonts w:ascii="宋体"/>
                <w:vanish/>
              </w:rPr>
            </w:pPr>
          </w:p>
        </w:tc>
      </w:tr>
      <w:tr w:rsidR="003C66EB" w14:paraId="5EA2481C" w14:textId="77777777">
        <w:tc>
          <w:tcPr>
            <w:tcW w:w="0" w:type="auto"/>
            <w:gridSpan w:val="3"/>
            <w:shd w:val="clear" w:color="auto" w:fill="CCEEFF"/>
            <w:tcMar>
              <w:top w:w="40" w:type="dxa"/>
              <w:left w:w="155" w:type="dxa"/>
              <w:bottom w:w="40" w:type="dxa"/>
              <w:right w:w="20" w:type="dxa"/>
            </w:tcMar>
            <w:vAlign w:val="bottom"/>
          </w:tcPr>
          <w:p w14:paraId="5EA24814" w14:textId="77777777" w:rsidR="003C66EB" w:rsidRDefault="00D96C4E">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5EA24815" w14:textId="77777777" w:rsidR="003C66EB" w:rsidRDefault="00D96C4E">
            <w:pPr>
              <w:jc w:val="right"/>
              <w:textAlignment w:val="bottom"/>
            </w:pPr>
            <w:r>
              <w:rPr>
                <w:rFonts w:ascii="Arial" w:eastAsia="宋体" w:hAnsi="Arial" w:cs="Arial"/>
                <w:b/>
                <w:bCs/>
                <w:color w:val="000000"/>
                <w:sz w:val="15"/>
                <w:szCs w:val="15"/>
              </w:rPr>
              <w:t>2,096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481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81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818" w14:textId="77777777" w:rsidR="003C66EB" w:rsidRDefault="00D96C4E">
            <w:pPr>
              <w:jc w:val="right"/>
              <w:textAlignment w:val="bottom"/>
            </w:pPr>
            <w:r>
              <w:rPr>
                <w:rFonts w:ascii="Arial" w:eastAsia="宋体" w:hAnsi="Arial" w:cs="Arial"/>
                <w:color w:val="000000"/>
                <w:sz w:val="15"/>
                <w:szCs w:val="15"/>
              </w:rPr>
              <w:t>2,096 </w:t>
            </w:r>
          </w:p>
        </w:tc>
        <w:tc>
          <w:tcPr>
            <w:tcW w:w="0" w:type="auto"/>
            <w:shd w:val="clear" w:color="auto" w:fill="CCEEFF"/>
            <w:tcMar>
              <w:top w:w="40" w:type="dxa"/>
              <w:left w:w="0" w:type="dxa"/>
              <w:bottom w:w="40" w:type="dxa"/>
              <w:right w:w="20" w:type="dxa"/>
            </w:tcMar>
            <w:vAlign w:val="bottom"/>
          </w:tcPr>
          <w:p w14:paraId="5EA24819" w14:textId="77777777" w:rsidR="003C66EB" w:rsidRDefault="003C66EB">
            <w:pPr>
              <w:jc w:val="right"/>
              <w:rPr>
                <w:rFonts w:ascii="宋体"/>
              </w:rPr>
            </w:pPr>
          </w:p>
        </w:tc>
        <w:tc>
          <w:tcPr>
            <w:tcW w:w="0" w:type="auto"/>
            <w:shd w:val="clear" w:color="auto" w:fill="auto"/>
          </w:tcPr>
          <w:p w14:paraId="5EA2481A" w14:textId="77777777" w:rsidR="003C66EB" w:rsidRDefault="003C66EB">
            <w:pPr>
              <w:rPr>
                <w:rFonts w:ascii="宋体"/>
                <w:vanish/>
              </w:rPr>
            </w:pPr>
          </w:p>
        </w:tc>
        <w:tc>
          <w:tcPr>
            <w:tcW w:w="0" w:type="auto"/>
            <w:shd w:val="clear" w:color="auto" w:fill="auto"/>
          </w:tcPr>
          <w:p w14:paraId="5EA2481B" w14:textId="77777777" w:rsidR="003C66EB" w:rsidRDefault="003C66EB">
            <w:pPr>
              <w:rPr>
                <w:rFonts w:ascii="宋体"/>
                <w:vanish/>
              </w:rPr>
            </w:pPr>
          </w:p>
        </w:tc>
      </w:tr>
      <w:tr w:rsidR="003C66EB" w14:paraId="5EA24823" w14:textId="77777777">
        <w:trPr>
          <w:hidden/>
        </w:trPr>
        <w:tc>
          <w:tcPr>
            <w:tcW w:w="0" w:type="auto"/>
            <w:gridSpan w:val="3"/>
            <w:shd w:val="clear" w:color="auto" w:fill="auto"/>
          </w:tcPr>
          <w:p w14:paraId="5EA2481D" w14:textId="77777777" w:rsidR="003C66EB" w:rsidRDefault="003C66EB">
            <w:pPr>
              <w:rPr>
                <w:rFonts w:ascii="宋体"/>
                <w:vanish/>
              </w:rPr>
            </w:pPr>
          </w:p>
        </w:tc>
        <w:tc>
          <w:tcPr>
            <w:tcW w:w="0" w:type="auto"/>
            <w:gridSpan w:val="3"/>
            <w:shd w:val="clear" w:color="auto" w:fill="auto"/>
          </w:tcPr>
          <w:p w14:paraId="5EA2481E" w14:textId="77777777" w:rsidR="003C66EB" w:rsidRDefault="003C66EB">
            <w:pPr>
              <w:rPr>
                <w:rFonts w:ascii="宋体"/>
                <w:vanish/>
              </w:rPr>
            </w:pPr>
          </w:p>
        </w:tc>
        <w:tc>
          <w:tcPr>
            <w:tcW w:w="0" w:type="auto"/>
            <w:gridSpan w:val="3"/>
            <w:shd w:val="clear" w:color="auto" w:fill="auto"/>
          </w:tcPr>
          <w:p w14:paraId="5EA2481F" w14:textId="77777777" w:rsidR="003C66EB" w:rsidRDefault="003C66EB">
            <w:pPr>
              <w:rPr>
                <w:rFonts w:ascii="宋体"/>
                <w:vanish/>
              </w:rPr>
            </w:pPr>
          </w:p>
        </w:tc>
        <w:tc>
          <w:tcPr>
            <w:tcW w:w="0" w:type="auto"/>
            <w:gridSpan w:val="3"/>
            <w:shd w:val="clear" w:color="auto" w:fill="auto"/>
          </w:tcPr>
          <w:p w14:paraId="5EA24820" w14:textId="77777777" w:rsidR="003C66EB" w:rsidRDefault="003C66EB">
            <w:pPr>
              <w:rPr>
                <w:rFonts w:ascii="宋体"/>
                <w:vanish/>
              </w:rPr>
            </w:pPr>
          </w:p>
        </w:tc>
        <w:tc>
          <w:tcPr>
            <w:tcW w:w="0" w:type="auto"/>
            <w:shd w:val="clear" w:color="auto" w:fill="auto"/>
          </w:tcPr>
          <w:p w14:paraId="5EA24821" w14:textId="77777777" w:rsidR="003C66EB" w:rsidRDefault="003C66EB">
            <w:pPr>
              <w:rPr>
                <w:rFonts w:ascii="宋体"/>
                <w:vanish/>
              </w:rPr>
            </w:pPr>
          </w:p>
        </w:tc>
        <w:tc>
          <w:tcPr>
            <w:tcW w:w="0" w:type="auto"/>
            <w:shd w:val="clear" w:color="auto" w:fill="auto"/>
          </w:tcPr>
          <w:p w14:paraId="5EA24822" w14:textId="77777777" w:rsidR="003C66EB" w:rsidRDefault="003C66EB">
            <w:pPr>
              <w:rPr>
                <w:rFonts w:ascii="宋体"/>
                <w:vanish/>
              </w:rPr>
            </w:pPr>
          </w:p>
        </w:tc>
      </w:tr>
      <w:tr w:rsidR="003C66EB" w14:paraId="5EA2482C" w14:textId="77777777">
        <w:tc>
          <w:tcPr>
            <w:tcW w:w="0" w:type="auto"/>
            <w:gridSpan w:val="3"/>
            <w:shd w:val="clear" w:color="auto" w:fill="FFFFFF"/>
            <w:tcMar>
              <w:top w:w="40" w:type="dxa"/>
              <w:left w:w="245" w:type="dxa"/>
              <w:bottom w:w="40" w:type="dxa"/>
              <w:right w:w="20" w:type="dxa"/>
            </w:tcMar>
            <w:vAlign w:val="bottom"/>
          </w:tcPr>
          <w:p w14:paraId="5EA24824" w14:textId="77777777" w:rsidR="003C66EB" w:rsidRDefault="00D96C4E">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825" w14:textId="77777777" w:rsidR="003C66EB" w:rsidRDefault="00D96C4E">
            <w:pPr>
              <w:jc w:val="right"/>
              <w:textAlignment w:val="bottom"/>
            </w:pPr>
            <w:r>
              <w:rPr>
                <w:rFonts w:ascii="Arial" w:eastAsia="宋体" w:hAnsi="Arial" w:cs="Arial"/>
                <w:b/>
                <w:bCs/>
                <w:color w:val="000000"/>
                <w:sz w:val="15"/>
                <w:szCs w:val="15"/>
              </w:rPr>
              <w:t>22,723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82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82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828" w14:textId="77777777" w:rsidR="003C66EB" w:rsidRDefault="00D96C4E">
            <w:pPr>
              <w:jc w:val="right"/>
              <w:textAlignment w:val="bottom"/>
            </w:pPr>
            <w:r>
              <w:rPr>
                <w:rFonts w:ascii="Arial" w:eastAsia="宋体" w:hAnsi="Arial" w:cs="Arial"/>
                <w:color w:val="000000"/>
                <w:sz w:val="15"/>
                <w:szCs w:val="15"/>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829" w14:textId="77777777" w:rsidR="003C66EB" w:rsidRDefault="003C66EB">
            <w:pPr>
              <w:jc w:val="right"/>
              <w:rPr>
                <w:rFonts w:ascii="宋体"/>
              </w:rPr>
            </w:pPr>
          </w:p>
        </w:tc>
        <w:tc>
          <w:tcPr>
            <w:tcW w:w="0" w:type="auto"/>
            <w:shd w:val="clear" w:color="auto" w:fill="auto"/>
          </w:tcPr>
          <w:p w14:paraId="5EA2482A" w14:textId="77777777" w:rsidR="003C66EB" w:rsidRDefault="003C66EB">
            <w:pPr>
              <w:rPr>
                <w:rFonts w:ascii="宋体"/>
                <w:vanish/>
              </w:rPr>
            </w:pPr>
          </w:p>
        </w:tc>
        <w:tc>
          <w:tcPr>
            <w:tcW w:w="0" w:type="auto"/>
            <w:shd w:val="clear" w:color="auto" w:fill="auto"/>
          </w:tcPr>
          <w:p w14:paraId="5EA2482B" w14:textId="77777777" w:rsidR="003C66EB" w:rsidRDefault="003C66EB">
            <w:pPr>
              <w:rPr>
                <w:rFonts w:ascii="宋体"/>
                <w:vanish/>
              </w:rPr>
            </w:pPr>
          </w:p>
        </w:tc>
      </w:tr>
      <w:tr w:rsidR="003C66EB" w14:paraId="5EA24833" w14:textId="77777777">
        <w:tc>
          <w:tcPr>
            <w:tcW w:w="0" w:type="auto"/>
            <w:gridSpan w:val="3"/>
            <w:shd w:val="clear" w:color="auto" w:fill="CCEEFF"/>
            <w:tcMar>
              <w:top w:w="40" w:type="dxa"/>
              <w:left w:w="20" w:type="dxa"/>
              <w:bottom w:w="40" w:type="dxa"/>
              <w:right w:w="20" w:type="dxa"/>
            </w:tcMar>
            <w:vAlign w:val="bottom"/>
          </w:tcPr>
          <w:p w14:paraId="5EA2482D" w14:textId="77777777" w:rsidR="003C66EB" w:rsidRDefault="00D96C4E">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5EA2482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482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4830" w14:textId="77777777" w:rsidR="003C66EB" w:rsidRDefault="003C66EB">
            <w:pPr>
              <w:rPr>
                <w:rFonts w:ascii="宋体"/>
              </w:rPr>
            </w:pPr>
          </w:p>
        </w:tc>
        <w:tc>
          <w:tcPr>
            <w:tcW w:w="0" w:type="auto"/>
            <w:shd w:val="clear" w:color="auto" w:fill="auto"/>
          </w:tcPr>
          <w:p w14:paraId="5EA24831" w14:textId="77777777" w:rsidR="003C66EB" w:rsidRDefault="003C66EB">
            <w:pPr>
              <w:rPr>
                <w:rFonts w:ascii="宋体"/>
                <w:vanish/>
              </w:rPr>
            </w:pPr>
          </w:p>
        </w:tc>
        <w:tc>
          <w:tcPr>
            <w:tcW w:w="0" w:type="auto"/>
            <w:shd w:val="clear" w:color="auto" w:fill="auto"/>
          </w:tcPr>
          <w:p w14:paraId="5EA24832" w14:textId="77777777" w:rsidR="003C66EB" w:rsidRDefault="003C66EB">
            <w:pPr>
              <w:rPr>
                <w:rFonts w:ascii="宋体"/>
                <w:vanish/>
              </w:rPr>
            </w:pPr>
          </w:p>
        </w:tc>
      </w:tr>
      <w:tr w:rsidR="003C66EB" w14:paraId="5EA2483A" w14:textId="77777777">
        <w:tc>
          <w:tcPr>
            <w:tcW w:w="0" w:type="auto"/>
            <w:gridSpan w:val="3"/>
            <w:shd w:val="clear" w:color="auto" w:fill="FFFFFF"/>
            <w:tcMar>
              <w:top w:w="40" w:type="dxa"/>
              <w:left w:w="155" w:type="dxa"/>
              <w:bottom w:w="40" w:type="dxa"/>
              <w:right w:w="20" w:type="dxa"/>
            </w:tcMar>
            <w:vAlign w:val="bottom"/>
          </w:tcPr>
          <w:p w14:paraId="5EA24834" w14:textId="77777777" w:rsidR="003C66EB" w:rsidRDefault="00D96C4E">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tcPr>
          <w:p w14:paraId="5EA2483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83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4837" w14:textId="77777777" w:rsidR="003C66EB" w:rsidRDefault="003C66EB">
            <w:pPr>
              <w:rPr>
                <w:rFonts w:ascii="宋体"/>
              </w:rPr>
            </w:pPr>
          </w:p>
        </w:tc>
        <w:tc>
          <w:tcPr>
            <w:tcW w:w="0" w:type="auto"/>
            <w:shd w:val="clear" w:color="auto" w:fill="auto"/>
          </w:tcPr>
          <w:p w14:paraId="5EA24838" w14:textId="77777777" w:rsidR="003C66EB" w:rsidRDefault="003C66EB">
            <w:pPr>
              <w:rPr>
                <w:rFonts w:ascii="宋体"/>
                <w:vanish/>
              </w:rPr>
            </w:pPr>
          </w:p>
        </w:tc>
        <w:tc>
          <w:tcPr>
            <w:tcW w:w="0" w:type="auto"/>
            <w:shd w:val="clear" w:color="auto" w:fill="auto"/>
          </w:tcPr>
          <w:p w14:paraId="5EA24839" w14:textId="77777777" w:rsidR="003C66EB" w:rsidRDefault="003C66EB">
            <w:pPr>
              <w:rPr>
                <w:rFonts w:ascii="宋体"/>
                <w:vanish/>
              </w:rPr>
            </w:pPr>
          </w:p>
        </w:tc>
      </w:tr>
      <w:tr w:rsidR="003C66EB" w14:paraId="5EA24843" w14:textId="77777777">
        <w:tc>
          <w:tcPr>
            <w:tcW w:w="0" w:type="auto"/>
            <w:gridSpan w:val="3"/>
            <w:shd w:val="clear" w:color="auto" w:fill="CCEEFF"/>
            <w:tcMar>
              <w:top w:w="40" w:type="dxa"/>
              <w:left w:w="20" w:type="dxa"/>
              <w:bottom w:w="40" w:type="dxa"/>
              <w:right w:w="20" w:type="dxa"/>
            </w:tcMar>
            <w:vAlign w:val="bottom"/>
          </w:tcPr>
          <w:p w14:paraId="5EA2483B" w14:textId="77777777" w:rsidR="003C66EB" w:rsidRDefault="00D96C4E">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483C" w14:textId="77777777" w:rsidR="003C66EB" w:rsidRDefault="00D96C4E">
            <w:pPr>
              <w:jc w:val="right"/>
              <w:textAlignment w:val="bottom"/>
            </w:pPr>
            <w:r>
              <w:rPr>
                <w:rFonts w:ascii="Arial" w:eastAsia="宋体" w:hAnsi="Arial" w:cs="Arial"/>
                <w:b/>
                <w:bCs/>
                <w:color w:val="000000"/>
                <w:sz w:val="15"/>
                <w:szCs w:val="15"/>
              </w:rPr>
              <w:t>4,768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48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83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83F" w14:textId="77777777" w:rsidR="003C66EB" w:rsidRDefault="00D96C4E">
            <w:pPr>
              <w:jc w:val="right"/>
              <w:textAlignment w:val="bottom"/>
            </w:pPr>
            <w:r>
              <w:rPr>
                <w:rFonts w:ascii="Arial" w:eastAsia="宋体" w:hAnsi="Arial" w:cs="Arial"/>
                <w:color w:val="000000"/>
                <w:sz w:val="15"/>
                <w:szCs w:val="15"/>
              </w:rPr>
              <w:t>4,432 </w:t>
            </w:r>
          </w:p>
        </w:tc>
        <w:tc>
          <w:tcPr>
            <w:tcW w:w="0" w:type="auto"/>
            <w:shd w:val="clear" w:color="auto" w:fill="CCEEFF"/>
            <w:tcMar>
              <w:top w:w="40" w:type="dxa"/>
              <w:left w:w="0" w:type="dxa"/>
              <w:bottom w:w="40" w:type="dxa"/>
              <w:right w:w="20" w:type="dxa"/>
            </w:tcMar>
            <w:vAlign w:val="bottom"/>
          </w:tcPr>
          <w:p w14:paraId="5EA24840" w14:textId="77777777" w:rsidR="003C66EB" w:rsidRDefault="003C66EB">
            <w:pPr>
              <w:jc w:val="right"/>
              <w:rPr>
                <w:rFonts w:ascii="宋体"/>
              </w:rPr>
            </w:pPr>
          </w:p>
        </w:tc>
        <w:tc>
          <w:tcPr>
            <w:tcW w:w="0" w:type="auto"/>
            <w:shd w:val="clear" w:color="auto" w:fill="auto"/>
          </w:tcPr>
          <w:p w14:paraId="5EA24841" w14:textId="77777777" w:rsidR="003C66EB" w:rsidRDefault="003C66EB">
            <w:pPr>
              <w:rPr>
                <w:rFonts w:ascii="宋体"/>
                <w:vanish/>
              </w:rPr>
            </w:pPr>
          </w:p>
        </w:tc>
        <w:tc>
          <w:tcPr>
            <w:tcW w:w="0" w:type="auto"/>
            <w:shd w:val="clear" w:color="auto" w:fill="auto"/>
          </w:tcPr>
          <w:p w14:paraId="5EA24842" w14:textId="77777777" w:rsidR="003C66EB" w:rsidRDefault="003C66EB">
            <w:pPr>
              <w:rPr>
                <w:rFonts w:ascii="宋体"/>
                <w:vanish/>
              </w:rPr>
            </w:pPr>
          </w:p>
        </w:tc>
      </w:tr>
      <w:tr w:rsidR="003C66EB" w14:paraId="5EA2484C" w14:textId="77777777">
        <w:tc>
          <w:tcPr>
            <w:tcW w:w="0" w:type="auto"/>
            <w:gridSpan w:val="3"/>
            <w:shd w:val="clear" w:color="auto" w:fill="FFFFFF"/>
            <w:tcMar>
              <w:top w:w="40" w:type="dxa"/>
              <w:left w:w="245" w:type="dxa"/>
              <w:bottom w:w="40" w:type="dxa"/>
              <w:right w:w="20" w:type="dxa"/>
            </w:tcMar>
            <w:vAlign w:val="bottom"/>
          </w:tcPr>
          <w:p w14:paraId="5EA24844" w14:textId="77777777" w:rsidR="003C66EB" w:rsidRDefault="00D96C4E">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5EA24845" w14:textId="77777777" w:rsidR="003C66EB" w:rsidRDefault="00D96C4E">
            <w:pPr>
              <w:jc w:val="right"/>
              <w:textAlignment w:val="bottom"/>
            </w:pPr>
            <w:r>
              <w:rPr>
                <w:rFonts w:ascii="Arial" w:eastAsia="宋体" w:hAnsi="Arial" w:cs="Arial"/>
                <w:b/>
                <w:bCs/>
                <w:color w:val="000000"/>
                <w:sz w:val="15"/>
                <w:szCs w:val="15"/>
              </w:rPr>
              <w:t>1,109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484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84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848" w14:textId="77777777" w:rsidR="003C66EB" w:rsidRDefault="00D96C4E">
            <w:pPr>
              <w:jc w:val="right"/>
              <w:textAlignment w:val="bottom"/>
            </w:pPr>
            <w:r>
              <w:rPr>
                <w:rFonts w:ascii="Arial" w:eastAsia="宋体" w:hAnsi="Arial" w:cs="Arial"/>
                <w:color w:val="000000"/>
                <w:sz w:val="15"/>
                <w:szCs w:val="15"/>
              </w:rPr>
              <w:t>1,242 </w:t>
            </w:r>
          </w:p>
        </w:tc>
        <w:tc>
          <w:tcPr>
            <w:tcW w:w="0" w:type="auto"/>
            <w:shd w:val="clear" w:color="auto" w:fill="FFFFFF"/>
            <w:tcMar>
              <w:top w:w="40" w:type="dxa"/>
              <w:left w:w="0" w:type="dxa"/>
              <w:bottom w:w="40" w:type="dxa"/>
              <w:right w:w="20" w:type="dxa"/>
            </w:tcMar>
            <w:vAlign w:val="bottom"/>
          </w:tcPr>
          <w:p w14:paraId="5EA24849" w14:textId="77777777" w:rsidR="003C66EB" w:rsidRDefault="003C66EB">
            <w:pPr>
              <w:jc w:val="right"/>
              <w:rPr>
                <w:rFonts w:ascii="宋体"/>
              </w:rPr>
            </w:pPr>
          </w:p>
        </w:tc>
        <w:tc>
          <w:tcPr>
            <w:tcW w:w="0" w:type="auto"/>
            <w:shd w:val="clear" w:color="auto" w:fill="auto"/>
          </w:tcPr>
          <w:p w14:paraId="5EA2484A" w14:textId="77777777" w:rsidR="003C66EB" w:rsidRDefault="003C66EB">
            <w:pPr>
              <w:rPr>
                <w:rFonts w:ascii="宋体"/>
                <w:vanish/>
              </w:rPr>
            </w:pPr>
          </w:p>
        </w:tc>
        <w:tc>
          <w:tcPr>
            <w:tcW w:w="0" w:type="auto"/>
            <w:shd w:val="clear" w:color="auto" w:fill="auto"/>
          </w:tcPr>
          <w:p w14:paraId="5EA2484B" w14:textId="77777777" w:rsidR="003C66EB" w:rsidRDefault="003C66EB">
            <w:pPr>
              <w:rPr>
                <w:rFonts w:ascii="宋体"/>
                <w:vanish/>
              </w:rPr>
            </w:pPr>
          </w:p>
        </w:tc>
      </w:tr>
      <w:tr w:rsidR="003C66EB" w14:paraId="5EA24855" w14:textId="77777777">
        <w:tc>
          <w:tcPr>
            <w:tcW w:w="0" w:type="auto"/>
            <w:gridSpan w:val="3"/>
            <w:shd w:val="clear" w:color="auto" w:fill="CCEEFF"/>
            <w:tcMar>
              <w:top w:w="40" w:type="dxa"/>
              <w:left w:w="245" w:type="dxa"/>
              <w:bottom w:w="40" w:type="dxa"/>
              <w:right w:w="20" w:type="dxa"/>
            </w:tcMar>
            <w:vAlign w:val="bottom"/>
          </w:tcPr>
          <w:p w14:paraId="5EA2484D" w14:textId="77777777" w:rsidR="003C66EB" w:rsidRDefault="00D96C4E">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5EA2484E" w14:textId="77777777" w:rsidR="003C66EB" w:rsidRDefault="00D96C4E">
            <w:pPr>
              <w:jc w:val="right"/>
              <w:textAlignment w:val="bottom"/>
            </w:pPr>
            <w:r>
              <w:rPr>
                <w:rFonts w:ascii="Arial" w:eastAsia="宋体" w:hAnsi="Arial" w:cs="Arial"/>
                <w:b/>
                <w:bCs/>
                <w:color w:val="000000"/>
                <w:sz w:val="15"/>
                <w:szCs w:val="15"/>
              </w:rPr>
              <w:t>2,956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48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8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851" w14:textId="77777777" w:rsidR="003C66EB" w:rsidRDefault="00D96C4E">
            <w:pPr>
              <w:jc w:val="right"/>
              <w:textAlignment w:val="bottom"/>
            </w:pPr>
            <w:r>
              <w:rPr>
                <w:rFonts w:ascii="Arial" w:eastAsia="宋体" w:hAnsi="Arial" w:cs="Arial"/>
                <w:color w:val="000000"/>
                <w:sz w:val="15"/>
                <w:szCs w:val="15"/>
              </w:rPr>
              <w:t>1,088 </w:t>
            </w:r>
          </w:p>
        </w:tc>
        <w:tc>
          <w:tcPr>
            <w:tcW w:w="0" w:type="auto"/>
            <w:shd w:val="clear" w:color="auto" w:fill="CCEEFF"/>
            <w:tcMar>
              <w:top w:w="40" w:type="dxa"/>
              <w:left w:w="0" w:type="dxa"/>
              <w:bottom w:w="40" w:type="dxa"/>
              <w:right w:w="20" w:type="dxa"/>
            </w:tcMar>
            <w:vAlign w:val="bottom"/>
          </w:tcPr>
          <w:p w14:paraId="5EA24852" w14:textId="77777777" w:rsidR="003C66EB" w:rsidRDefault="003C66EB">
            <w:pPr>
              <w:jc w:val="right"/>
              <w:rPr>
                <w:rFonts w:ascii="宋体"/>
              </w:rPr>
            </w:pPr>
          </w:p>
        </w:tc>
        <w:tc>
          <w:tcPr>
            <w:tcW w:w="0" w:type="auto"/>
            <w:shd w:val="clear" w:color="auto" w:fill="auto"/>
          </w:tcPr>
          <w:p w14:paraId="5EA24853" w14:textId="77777777" w:rsidR="003C66EB" w:rsidRDefault="003C66EB">
            <w:pPr>
              <w:rPr>
                <w:rFonts w:ascii="宋体"/>
                <w:vanish/>
              </w:rPr>
            </w:pPr>
          </w:p>
        </w:tc>
        <w:tc>
          <w:tcPr>
            <w:tcW w:w="0" w:type="auto"/>
            <w:shd w:val="clear" w:color="auto" w:fill="auto"/>
          </w:tcPr>
          <w:p w14:paraId="5EA24854" w14:textId="77777777" w:rsidR="003C66EB" w:rsidRDefault="003C66EB">
            <w:pPr>
              <w:rPr>
                <w:rFonts w:ascii="宋体"/>
                <w:vanish/>
              </w:rPr>
            </w:pPr>
          </w:p>
        </w:tc>
      </w:tr>
      <w:tr w:rsidR="003C66EB" w14:paraId="5EA2485E" w14:textId="77777777">
        <w:tc>
          <w:tcPr>
            <w:tcW w:w="0" w:type="auto"/>
            <w:gridSpan w:val="3"/>
            <w:shd w:val="clear" w:color="auto" w:fill="FFFFFF"/>
            <w:tcMar>
              <w:top w:w="40" w:type="dxa"/>
              <w:left w:w="20" w:type="dxa"/>
              <w:bottom w:w="40" w:type="dxa"/>
              <w:right w:w="20" w:type="dxa"/>
            </w:tcMar>
            <w:vAlign w:val="bottom"/>
          </w:tcPr>
          <w:p w14:paraId="5EA24856"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A24857" w14:textId="77777777" w:rsidR="003C66EB" w:rsidRDefault="00D96C4E">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485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85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85A" w14:textId="77777777" w:rsidR="003C66EB" w:rsidRDefault="00D96C4E">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5EA2485B" w14:textId="77777777" w:rsidR="003C66EB" w:rsidRDefault="003C66EB">
            <w:pPr>
              <w:jc w:val="right"/>
              <w:rPr>
                <w:rFonts w:ascii="宋体"/>
              </w:rPr>
            </w:pPr>
          </w:p>
        </w:tc>
        <w:tc>
          <w:tcPr>
            <w:tcW w:w="0" w:type="auto"/>
            <w:shd w:val="clear" w:color="auto" w:fill="auto"/>
          </w:tcPr>
          <w:p w14:paraId="5EA2485C" w14:textId="77777777" w:rsidR="003C66EB" w:rsidRDefault="003C66EB">
            <w:pPr>
              <w:rPr>
                <w:rFonts w:ascii="宋体"/>
                <w:vanish/>
              </w:rPr>
            </w:pPr>
          </w:p>
        </w:tc>
        <w:tc>
          <w:tcPr>
            <w:tcW w:w="0" w:type="auto"/>
            <w:shd w:val="clear" w:color="auto" w:fill="auto"/>
          </w:tcPr>
          <w:p w14:paraId="5EA2485D" w14:textId="77777777" w:rsidR="003C66EB" w:rsidRDefault="003C66EB">
            <w:pPr>
              <w:rPr>
                <w:rFonts w:ascii="宋体"/>
                <w:vanish/>
              </w:rPr>
            </w:pPr>
          </w:p>
        </w:tc>
      </w:tr>
      <w:tr w:rsidR="003C66EB" w14:paraId="5EA24865" w14:textId="77777777">
        <w:trPr>
          <w:hidden/>
        </w:trPr>
        <w:tc>
          <w:tcPr>
            <w:tcW w:w="0" w:type="auto"/>
            <w:gridSpan w:val="3"/>
            <w:shd w:val="clear" w:color="auto" w:fill="auto"/>
          </w:tcPr>
          <w:p w14:paraId="5EA2485F" w14:textId="77777777" w:rsidR="003C66EB" w:rsidRDefault="003C66EB">
            <w:pPr>
              <w:rPr>
                <w:rFonts w:ascii="宋体"/>
                <w:vanish/>
              </w:rPr>
            </w:pPr>
          </w:p>
        </w:tc>
        <w:tc>
          <w:tcPr>
            <w:tcW w:w="0" w:type="auto"/>
            <w:gridSpan w:val="3"/>
            <w:shd w:val="clear" w:color="auto" w:fill="auto"/>
          </w:tcPr>
          <w:p w14:paraId="5EA24860" w14:textId="77777777" w:rsidR="003C66EB" w:rsidRDefault="003C66EB">
            <w:pPr>
              <w:rPr>
                <w:rFonts w:ascii="宋体"/>
                <w:vanish/>
              </w:rPr>
            </w:pPr>
          </w:p>
        </w:tc>
        <w:tc>
          <w:tcPr>
            <w:tcW w:w="0" w:type="auto"/>
            <w:gridSpan w:val="3"/>
            <w:shd w:val="clear" w:color="auto" w:fill="auto"/>
          </w:tcPr>
          <w:p w14:paraId="5EA24861" w14:textId="77777777" w:rsidR="003C66EB" w:rsidRDefault="003C66EB">
            <w:pPr>
              <w:rPr>
                <w:rFonts w:ascii="宋体"/>
                <w:vanish/>
              </w:rPr>
            </w:pPr>
          </w:p>
        </w:tc>
        <w:tc>
          <w:tcPr>
            <w:tcW w:w="0" w:type="auto"/>
            <w:gridSpan w:val="3"/>
            <w:shd w:val="clear" w:color="auto" w:fill="auto"/>
          </w:tcPr>
          <w:p w14:paraId="5EA24862" w14:textId="77777777" w:rsidR="003C66EB" w:rsidRDefault="003C66EB">
            <w:pPr>
              <w:rPr>
                <w:rFonts w:ascii="宋体"/>
                <w:vanish/>
              </w:rPr>
            </w:pPr>
          </w:p>
        </w:tc>
        <w:tc>
          <w:tcPr>
            <w:tcW w:w="0" w:type="auto"/>
            <w:shd w:val="clear" w:color="auto" w:fill="auto"/>
          </w:tcPr>
          <w:p w14:paraId="5EA24863" w14:textId="77777777" w:rsidR="003C66EB" w:rsidRDefault="003C66EB">
            <w:pPr>
              <w:rPr>
                <w:rFonts w:ascii="宋体"/>
                <w:vanish/>
              </w:rPr>
            </w:pPr>
          </w:p>
        </w:tc>
        <w:tc>
          <w:tcPr>
            <w:tcW w:w="0" w:type="auto"/>
            <w:shd w:val="clear" w:color="auto" w:fill="auto"/>
          </w:tcPr>
          <w:p w14:paraId="5EA24864" w14:textId="77777777" w:rsidR="003C66EB" w:rsidRDefault="003C66EB">
            <w:pPr>
              <w:rPr>
                <w:rFonts w:ascii="宋体"/>
                <w:vanish/>
              </w:rPr>
            </w:pPr>
          </w:p>
        </w:tc>
      </w:tr>
      <w:tr w:rsidR="003C66EB" w14:paraId="5EA2486C" w14:textId="77777777">
        <w:trPr>
          <w:hidden/>
        </w:trPr>
        <w:tc>
          <w:tcPr>
            <w:tcW w:w="0" w:type="auto"/>
            <w:gridSpan w:val="3"/>
            <w:shd w:val="clear" w:color="auto" w:fill="auto"/>
          </w:tcPr>
          <w:p w14:paraId="5EA24866" w14:textId="77777777" w:rsidR="003C66EB" w:rsidRDefault="003C66EB">
            <w:pPr>
              <w:rPr>
                <w:rFonts w:ascii="宋体"/>
                <w:vanish/>
              </w:rPr>
            </w:pPr>
          </w:p>
        </w:tc>
        <w:tc>
          <w:tcPr>
            <w:tcW w:w="0" w:type="auto"/>
            <w:gridSpan w:val="3"/>
            <w:shd w:val="clear" w:color="auto" w:fill="auto"/>
          </w:tcPr>
          <w:p w14:paraId="5EA24867" w14:textId="77777777" w:rsidR="003C66EB" w:rsidRDefault="003C66EB">
            <w:pPr>
              <w:rPr>
                <w:rFonts w:ascii="宋体"/>
                <w:vanish/>
              </w:rPr>
            </w:pPr>
          </w:p>
        </w:tc>
        <w:tc>
          <w:tcPr>
            <w:tcW w:w="0" w:type="auto"/>
            <w:gridSpan w:val="3"/>
            <w:shd w:val="clear" w:color="auto" w:fill="auto"/>
          </w:tcPr>
          <w:p w14:paraId="5EA24868" w14:textId="77777777" w:rsidR="003C66EB" w:rsidRDefault="003C66EB">
            <w:pPr>
              <w:rPr>
                <w:rFonts w:ascii="宋体"/>
                <w:vanish/>
              </w:rPr>
            </w:pPr>
          </w:p>
        </w:tc>
        <w:tc>
          <w:tcPr>
            <w:tcW w:w="0" w:type="auto"/>
            <w:gridSpan w:val="3"/>
            <w:shd w:val="clear" w:color="auto" w:fill="auto"/>
          </w:tcPr>
          <w:p w14:paraId="5EA24869" w14:textId="77777777" w:rsidR="003C66EB" w:rsidRDefault="003C66EB">
            <w:pPr>
              <w:rPr>
                <w:rFonts w:ascii="宋体"/>
                <w:vanish/>
              </w:rPr>
            </w:pPr>
          </w:p>
        </w:tc>
        <w:tc>
          <w:tcPr>
            <w:tcW w:w="0" w:type="auto"/>
            <w:shd w:val="clear" w:color="auto" w:fill="auto"/>
          </w:tcPr>
          <w:p w14:paraId="5EA2486A" w14:textId="77777777" w:rsidR="003C66EB" w:rsidRDefault="003C66EB">
            <w:pPr>
              <w:rPr>
                <w:rFonts w:ascii="宋体"/>
                <w:vanish/>
              </w:rPr>
            </w:pPr>
          </w:p>
        </w:tc>
        <w:tc>
          <w:tcPr>
            <w:tcW w:w="0" w:type="auto"/>
            <w:shd w:val="clear" w:color="auto" w:fill="auto"/>
          </w:tcPr>
          <w:p w14:paraId="5EA2486B" w14:textId="77777777" w:rsidR="003C66EB" w:rsidRDefault="003C66EB">
            <w:pPr>
              <w:rPr>
                <w:rFonts w:ascii="宋体"/>
                <w:vanish/>
              </w:rPr>
            </w:pPr>
          </w:p>
        </w:tc>
      </w:tr>
      <w:tr w:rsidR="003C66EB" w14:paraId="5EA24873" w14:textId="77777777">
        <w:trPr>
          <w:hidden/>
        </w:trPr>
        <w:tc>
          <w:tcPr>
            <w:tcW w:w="0" w:type="auto"/>
            <w:gridSpan w:val="3"/>
            <w:shd w:val="clear" w:color="auto" w:fill="auto"/>
          </w:tcPr>
          <w:p w14:paraId="5EA2486D" w14:textId="77777777" w:rsidR="003C66EB" w:rsidRDefault="003C66EB">
            <w:pPr>
              <w:rPr>
                <w:rFonts w:ascii="宋体"/>
                <w:vanish/>
              </w:rPr>
            </w:pPr>
          </w:p>
        </w:tc>
        <w:tc>
          <w:tcPr>
            <w:tcW w:w="0" w:type="auto"/>
            <w:gridSpan w:val="3"/>
            <w:shd w:val="clear" w:color="auto" w:fill="auto"/>
          </w:tcPr>
          <w:p w14:paraId="5EA2486E" w14:textId="77777777" w:rsidR="003C66EB" w:rsidRDefault="003C66EB">
            <w:pPr>
              <w:rPr>
                <w:rFonts w:ascii="宋体"/>
                <w:vanish/>
              </w:rPr>
            </w:pPr>
          </w:p>
        </w:tc>
        <w:tc>
          <w:tcPr>
            <w:tcW w:w="0" w:type="auto"/>
            <w:gridSpan w:val="3"/>
            <w:shd w:val="clear" w:color="auto" w:fill="auto"/>
          </w:tcPr>
          <w:p w14:paraId="5EA2486F" w14:textId="77777777" w:rsidR="003C66EB" w:rsidRDefault="003C66EB">
            <w:pPr>
              <w:rPr>
                <w:rFonts w:ascii="宋体"/>
                <w:vanish/>
              </w:rPr>
            </w:pPr>
          </w:p>
        </w:tc>
        <w:tc>
          <w:tcPr>
            <w:tcW w:w="0" w:type="auto"/>
            <w:gridSpan w:val="3"/>
            <w:shd w:val="clear" w:color="auto" w:fill="auto"/>
          </w:tcPr>
          <w:p w14:paraId="5EA24870" w14:textId="77777777" w:rsidR="003C66EB" w:rsidRDefault="003C66EB">
            <w:pPr>
              <w:rPr>
                <w:rFonts w:ascii="宋体"/>
                <w:vanish/>
              </w:rPr>
            </w:pPr>
          </w:p>
        </w:tc>
        <w:tc>
          <w:tcPr>
            <w:tcW w:w="0" w:type="auto"/>
            <w:shd w:val="clear" w:color="auto" w:fill="auto"/>
          </w:tcPr>
          <w:p w14:paraId="5EA24871" w14:textId="77777777" w:rsidR="003C66EB" w:rsidRDefault="003C66EB">
            <w:pPr>
              <w:rPr>
                <w:rFonts w:ascii="宋体"/>
                <w:vanish/>
              </w:rPr>
            </w:pPr>
          </w:p>
        </w:tc>
        <w:tc>
          <w:tcPr>
            <w:tcW w:w="0" w:type="auto"/>
            <w:shd w:val="clear" w:color="auto" w:fill="auto"/>
          </w:tcPr>
          <w:p w14:paraId="5EA24872" w14:textId="77777777" w:rsidR="003C66EB" w:rsidRDefault="003C66EB">
            <w:pPr>
              <w:rPr>
                <w:rFonts w:ascii="宋体"/>
                <w:vanish/>
              </w:rPr>
            </w:pPr>
          </w:p>
        </w:tc>
      </w:tr>
      <w:tr w:rsidR="003C66EB" w14:paraId="5EA2487A" w14:textId="77777777">
        <w:trPr>
          <w:hidden/>
        </w:trPr>
        <w:tc>
          <w:tcPr>
            <w:tcW w:w="0" w:type="auto"/>
            <w:gridSpan w:val="3"/>
            <w:shd w:val="clear" w:color="auto" w:fill="auto"/>
          </w:tcPr>
          <w:p w14:paraId="5EA24874" w14:textId="77777777" w:rsidR="003C66EB" w:rsidRDefault="003C66EB">
            <w:pPr>
              <w:rPr>
                <w:rFonts w:ascii="宋体"/>
                <w:vanish/>
              </w:rPr>
            </w:pPr>
          </w:p>
        </w:tc>
        <w:tc>
          <w:tcPr>
            <w:tcW w:w="0" w:type="auto"/>
            <w:gridSpan w:val="3"/>
            <w:shd w:val="clear" w:color="auto" w:fill="auto"/>
          </w:tcPr>
          <w:p w14:paraId="5EA24875" w14:textId="77777777" w:rsidR="003C66EB" w:rsidRDefault="003C66EB">
            <w:pPr>
              <w:rPr>
                <w:rFonts w:ascii="宋体"/>
                <w:vanish/>
              </w:rPr>
            </w:pPr>
          </w:p>
        </w:tc>
        <w:tc>
          <w:tcPr>
            <w:tcW w:w="0" w:type="auto"/>
            <w:gridSpan w:val="3"/>
            <w:shd w:val="clear" w:color="auto" w:fill="auto"/>
          </w:tcPr>
          <w:p w14:paraId="5EA24876" w14:textId="77777777" w:rsidR="003C66EB" w:rsidRDefault="003C66EB">
            <w:pPr>
              <w:rPr>
                <w:rFonts w:ascii="宋体"/>
                <w:vanish/>
              </w:rPr>
            </w:pPr>
          </w:p>
        </w:tc>
        <w:tc>
          <w:tcPr>
            <w:tcW w:w="0" w:type="auto"/>
            <w:gridSpan w:val="3"/>
            <w:shd w:val="clear" w:color="auto" w:fill="auto"/>
          </w:tcPr>
          <w:p w14:paraId="5EA24877" w14:textId="77777777" w:rsidR="003C66EB" w:rsidRDefault="003C66EB">
            <w:pPr>
              <w:rPr>
                <w:rFonts w:ascii="宋体"/>
                <w:vanish/>
              </w:rPr>
            </w:pPr>
          </w:p>
        </w:tc>
        <w:tc>
          <w:tcPr>
            <w:tcW w:w="0" w:type="auto"/>
            <w:shd w:val="clear" w:color="auto" w:fill="auto"/>
          </w:tcPr>
          <w:p w14:paraId="5EA24878" w14:textId="77777777" w:rsidR="003C66EB" w:rsidRDefault="003C66EB">
            <w:pPr>
              <w:rPr>
                <w:rFonts w:ascii="宋体"/>
                <w:vanish/>
              </w:rPr>
            </w:pPr>
          </w:p>
        </w:tc>
        <w:tc>
          <w:tcPr>
            <w:tcW w:w="0" w:type="auto"/>
            <w:shd w:val="clear" w:color="auto" w:fill="auto"/>
          </w:tcPr>
          <w:p w14:paraId="5EA24879" w14:textId="77777777" w:rsidR="003C66EB" w:rsidRDefault="003C66EB">
            <w:pPr>
              <w:rPr>
                <w:rFonts w:ascii="宋体"/>
                <w:vanish/>
              </w:rPr>
            </w:pPr>
          </w:p>
        </w:tc>
      </w:tr>
      <w:tr w:rsidR="003C66EB" w14:paraId="5EA24883" w14:textId="77777777">
        <w:tc>
          <w:tcPr>
            <w:tcW w:w="0" w:type="auto"/>
            <w:gridSpan w:val="3"/>
            <w:shd w:val="clear" w:color="auto" w:fill="CCEEFF"/>
            <w:tcMar>
              <w:top w:w="40" w:type="dxa"/>
              <w:left w:w="245" w:type="dxa"/>
              <w:bottom w:w="40" w:type="dxa"/>
              <w:right w:w="20" w:type="dxa"/>
            </w:tcMar>
            <w:vAlign w:val="bottom"/>
          </w:tcPr>
          <w:p w14:paraId="5EA2487B" w14:textId="77777777" w:rsidR="003C66EB" w:rsidRDefault="00D96C4E">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87C" w14:textId="77777777" w:rsidR="003C66EB" w:rsidRDefault="00D96C4E">
            <w:pPr>
              <w:jc w:val="right"/>
              <w:textAlignment w:val="bottom"/>
            </w:pPr>
            <w:r>
              <w:rPr>
                <w:rFonts w:ascii="Arial" w:eastAsia="宋体" w:hAnsi="Arial" w:cs="Arial"/>
                <w:b/>
                <w:bCs/>
                <w:color w:val="000000"/>
                <w:sz w:val="15"/>
                <w:szCs w:val="15"/>
              </w:rPr>
              <w:t>8,862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8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87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487F" w14:textId="77777777" w:rsidR="003C66EB" w:rsidRDefault="00D96C4E">
            <w:pPr>
              <w:jc w:val="right"/>
              <w:textAlignment w:val="bottom"/>
            </w:pPr>
            <w:r>
              <w:rPr>
                <w:rFonts w:ascii="Arial" w:eastAsia="宋体" w:hAnsi="Arial" w:cs="Arial"/>
                <w:color w:val="000000"/>
                <w:sz w:val="15"/>
                <w:szCs w:val="15"/>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880" w14:textId="77777777" w:rsidR="003C66EB" w:rsidRDefault="003C66EB">
            <w:pPr>
              <w:jc w:val="right"/>
              <w:rPr>
                <w:rFonts w:ascii="宋体"/>
              </w:rPr>
            </w:pPr>
          </w:p>
        </w:tc>
        <w:tc>
          <w:tcPr>
            <w:tcW w:w="0" w:type="auto"/>
            <w:shd w:val="clear" w:color="auto" w:fill="auto"/>
          </w:tcPr>
          <w:p w14:paraId="5EA24881" w14:textId="77777777" w:rsidR="003C66EB" w:rsidRDefault="003C66EB">
            <w:pPr>
              <w:rPr>
                <w:rFonts w:ascii="宋体"/>
                <w:vanish/>
              </w:rPr>
            </w:pPr>
          </w:p>
        </w:tc>
        <w:tc>
          <w:tcPr>
            <w:tcW w:w="0" w:type="auto"/>
            <w:shd w:val="clear" w:color="auto" w:fill="auto"/>
          </w:tcPr>
          <w:p w14:paraId="5EA24882" w14:textId="77777777" w:rsidR="003C66EB" w:rsidRDefault="003C66EB">
            <w:pPr>
              <w:rPr>
                <w:rFonts w:ascii="宋体"/>
                <w:vanish/>
              </w:rPr>
            </w:pPr>
          </w:p>
        </w:tc>
      </w:tr>
      <w:tr w:rsidR="003C66EB" w14:paraId="5EA2488C" w14:textId="77777777">
        <w:tc>
          <w:tcPr>
            <w:tcW w:w="0" w:type="auto"/>
            <w:gridSpan w:val="3"/>
            <w:shd w:val="clear" w:color="auto" w:fill="FFFFFF"/>
            <w:tcMar>
              <w:top w:w="40" w:type="dxa"/>
              <w:left w:w="20" w:type="dxa"/>
              <w:bottom w:w="40" w:type="dxa"/>
              <w:right w:w="20" w:type="dxa"/>
            </w:tcMar>
            <w:vAlign w:val="bottom"/>
          </w:tcPr>
          <w:p w14:paraId="5EA24884" w14:textId="77777777" w:rsidR="003C66EB" w:rsidRDefault="00D96C4E">
            <w:pPr>
              <w:textAlignment w:val="bottom"/>
            </w:pPr>
            <w:r>
              <w:rPr>
                <w:rFonts w:ascii="Arial" w:eastAsia="宋体" w:hAnsi="Arial" w:cs="Arial"/>
                <w:color w:val="000000"/>
                <w:sz w:val="15"/>
                <w:szCs w:val="15"/>
              </w:rPr>
              <w:t>Total loans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885" w14:textId="77777777" w:rsidR="003C66EB" w:rsidRDefault="00D96C4E">
            <w:pPr>
              <w:jc w:val="right"/>
              <w:textAlignment w:val="bottom"/>
            </w:pPr>
            <w:r>
              <w:rPr>
                <w:rFonts w:ascii="Arial" w:eastAsia="宋体" w:hAnsi="Arial" w:cs="Arial"/>
                <w:b/>
                <w:bCs/>
                <w:color w:val="000000"/>
                <w:sz w:val="15"/>
                <w:szCs w:val="15"/>
              </w:rPr>
              <w:t>31,585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8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88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4888" w14:textId="77777777" w:rsidR="003C66EB" w:rsidRDefault="00D96C4E">
            <w:pPr>
              <w:jc w:val="right"/>
              <w:textAlignment w:val="bottom"/>
            </w:pPr>
            <w:r>
              <w:rPr>
                <w:rFonts w:ascii="Arial" w:eastAsia="宋体" w:hAnsi="Arial" w:cs="Arial"/>
                <w:color w:val="000000"/>
                <w:sz w:val="15"/>
                <w:szCs w:val="15"/>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4889" w14:textId="77777777" w:rsidR="003C66EB" w:rsidRDefault="003C66EB">
            <w:pPr>
              <w:jc w:val="right"/>
              <w:rPr>
                <w:rFonts w:ascii="宋体"/>
              </w:rPr>
            </w:pPr>
          </w:p>
        </w:tc>
        <w:tc>
          <w:tcPr>
            <w:tcW w:w="0" w:type="auto"/>
            <w:shd w:val="clear" w:color="auto" w:fill="auto"/>
          </w:tcPr>
          <w:p w14:paraId="5EA2488A" w14:textId="77777777" w:rsidR="003C66EB" w:rsidRDefault="003C66EB">
            <w:pPr>
              <w:rPr>
                <w:rFonts w:ascii="宋体"/>
                <w:vanish/>
              </w:rPr>
            </w:pPr>
          </w:p>
        </w:tc>
        <w:tc>
          <w:tcPr>
            <w:tcW w:w="0" w:type="auto"/>
            <w:shd w:val="clear" w:color="auto" w:fill="auto"/>
          </w:tcPr>
          <w:p w14:paraId="5EA2488B" w14:textId="77777777" w:rsidR="003C66EB" w:rsidRDefault="003C66EB">
            <w:pPr>
              <w:rPr>
                <w:rFonts w:ascii="宋体"/>
                <w:vanish/>
              </w:rPr>
            </w:pPr>
          </w:p>
        </w:tc>
      </w:tr>
      <w:tr w:rsidR="003C66EB" w14:paraId="5EA24895" w14:textId="77777777">
        <w:tc>
          <w:tcPr>
            <w:tcW w:w="0" w:type="auto"/>
            <w:gridSpan w:val="3"/>
            <w:shd w:val="clear" w:color="auto" w:fill="CCEEFF"/>
            <w:tcMar>
              <w:top w:w="40" w:type="dxa"/>
              <w:left w:w="20" w:type="dxa"/>
              <w:bottom w:w="40" w:type="dxa"/>
              <w:right w:w="20" w:type="dxa"/>
            </w:tcMar>
            <w:vAlign w:val="bottom"/>
          </w:tcPr>
          <w:p w14:paraId="5EA2488D" w14:textId="77777777" w:rsidR="003C66EB" w:rsidRDefault="00D96C4E">
            <w:pPr>
              <w:textAlignment w:val="bottom"/>
            </w:pPr>
            <w:r>
              <w:rPr>
                <w:rFonts w:ascii="Arial" w:eastAsia="宋体" w:hAnsi="Arial" w:cs="Arial"/>
                <w:b/>
                <w:bCs/>
                <w:color w:val="000000"/>
                <w:sz w:val="15"/>
                <w:szCs w:val="15"/>
              </w:rPr>
              <w:t>Allowance for credit losses</w:t>
            </w:r>
          </w:p>
        </w:tc>
        <w:tc>
          <w:tcPr>
            <w:tcW w:w="0" w:type="auto"/>
            <w:gridSpan w:val="2"/>
            <w:shd w:val="clear" w:color="auto" w:fill="CCEEFF"/>
            <w:tcMar>
              <w:top w:w="40" w:type="dxa"/>
              <w:left w:w="20" w:type="dxa"/>
              <w:bottom w:w="40" w:type="dxa"/>
              <w:right w:w="0" w:type="dxa"/>
            </w:tcMar>
            <w:vAlign w:val="bottom"/>
          </w:tcPr>
          <w:p w14:paraId="5EA2488E" w14:textId="77777777" w:rsidR="003C66EB" w:rsidRDefault="00D96C4E">
            <w:pPr>
              <w:jc w:val="right"/>
              <w:textAlignment w:val="bottom"/>
            </w:pPr>
            <w:r>
              <w:rPr>
                <w:rFonts w:ascii="Arial" w:eastAsia="宋体" w:hAnsi="Arial" w:cs="Arial"/>
                <w:b/>
                <w:bCs/>
                <w:color w:val="000000"/>
                <w:sz w:val="15"/>
                <w:szCs w:val="15"/>
              </w:rPr>
              <w:t>(118)</w:t>
            </w:r>
          </w:p>
        </w:tc>
        <w:tc>
          <w:tcPr>
            <w:tcW w:w="0" w:type="auto"/>
            <w:shd w:val="clear" w:color="auto" w:fill="CCEEFF"/>
            <w:tcMar>
              <w:top w:w="40" w:type="dxa"/>
              <w:left w:w="0" w:type="dxa"/>
              <w:bottom w:w="40" w:type="dxa"/>
              <w:right w:w="20" w:type="dxa"/>
            </w:tcMar>
            <w:vAlign w:val="bottom"/>
          </w:tcPr>
          <w:p w14:paraId="5EA2488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89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891" w14:textId="77777777" w:rsidR="003C66EB" w:rsidRDefault="00D96C4E">
            <w:pPr>
              <w:jc w:val="right"/>
              <w:textAlignment w:val="bottom"/>
            </w:pPr>
            <w:r>
              <w:rPr>
                <w:rFonts w:ascii="Arial" w:eastAsia="宋体" w:hAnsi="Arial" w:cs="Arial"/>
                <w:color w:val="000000"/>
                <w:sz w:val="15"/>
                <w:szCs w:val="15"/>
              </w:rPr>
              <w:t>(122)</w:t>
            </w:r>
          </w:p>
        </w:tc>
        <w:tc>
          <w:tcPr>
            <w:tcW w:w="0" w:type="auto"/>
            <w:shd w:val="clear" w:color="auto" w:fill="CCEEFF"/>
            <w:tcMar>
              <w:top w:w="40" w:type="dxa"/>
              <w:left w:w="0" w:type="dxa"/>
              <w:bottom w:w="40" w:type="dxa"/>
              <w:right w:w="20" w:type="dxa"/>
            </w:tcMar>
            <w:vAlign w:val="bottom"/>
          </w:tcPr>
          <w:p w14:paraId="5EA24892" w14:textId="77777777" w:rsidR="003C66EB" w:rsidRDefault="003C66EB">
            <w:pPr>
              <w:jc w:val="right"/>
              <w:rPr>
                <w:rFonts w:ascii="宋体"/>
              </w:rPr>
            </w:pPr>
          </w:p>
        </w:tc>
        <w:tc>
          <w:tcPr>
            <w:tcW w:w="0" w:type="auto"/>
            <w:shd w:val="clear" w:color="auto" w:fill="auto"/>
          </w:tcPr>
          <w:p w14:paraId="5EA24893" w14:textId="77777777" w:rsidR="003C66EB" w:rsidRDefault="003C66EB">
            <w:pPr>
              <w:rPr>
                <w:rFonts w:ascii="宋体"/>
                <w:vanish/>
              </w:rPr>
            </w:pPr>
          </w:p>
        </w:tc>
        <w:tc>
          <w:tcPr>
            <w:tcW w:w="0" w:type="auto"/>
            <w:shd w:val="clear" w:color="auto" w:fill="auto"/>
          </w:tcPr>
          <w:p w14:paraId="5EA24894" w14:textId="77777777" w:rsidR="003C66EB" w:rsidRDefault="003C66EB">
            <w:pPr>
              <w:rPr>
                <w:rFonts w:ascii="宋体"/>
                <w:vanish/>
              </w:rPr>
            </w:pPr>
          </w:p>
        </w:tc>
      </w:tr>
      <w:tr w:rsidR="003C66EB" w14:paraId="5EA248A0" w14:textId="77777777">
        <w:tc>
          <w:tcPr>
            <w:tcW w:w="0" w:type="auto"/>
            <w:gridSpan w:val="3"/>
            <w:shd w:val="clear" w:color="auto" w:fill="FFFFFF"/>
            <w:tcMar>
              <w:top w:w="40" w:type="dxa"/>
              <w:left w:w="20" w:type="dxa"/>
              <w:bottom w:w="40" w:type="dxa"/>
              <w:right w:w="20" w:type="dxa"/>
            </w:tcMar>
            <w:vAlign w:val="bottom"/>
          </w:tcPr>
          <w:p w14:paraId="5EA24896" w14:textId="77777777" w:rsidR="003C66EB" w:rsidRDefault="00D96C4E">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897"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898" w14:textId="77777777" w:rsidR="003C66EB" w:rsidRDefault="00D96C4E">
            <w:pPr>
              <w:jc w:val="right"/>
              <w:textAlignment w:val="bottom"/>
            </w:pPr>
            <w:r>
              <w:rPr>
                <w:rFonts w:ascii="Arial" w:eastAsia="宋体" w:hAnsi="Arial" w:cs="Arial"/>
                <w:b/>
                <w:bCs/>
                <w:color w:val="000000"/>
                <w:sz w:val="15"/>
                <w:szCs w:val="15"/>
              </w:rPr>
              <w:t>31,467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89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89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89B"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89C" w14:textId="77777777" w:rsidR="003C66EB" w:rsidRDefault="00D96C4E">
            <w:pPr>
              <w:jc w:val="right"/>
              <w:textAlignment w:val="bottom"/>
            </w:pPr>
            <w:r>
              <w:rPr>
                <w:rFonts w:ascii="Arial" w:eastAsia="宋体" w:hAnsi="Arial" w:cs="Arial"/>
                <w:color w:val="000000"/>
                <w:sz w:val="15"/>
                <w:szCs w:val="15"/>
              </w:rPr>
              <w:t>27,803 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89D" w14:textId="77777777" w:rsidR="003C66EB" w:rsidRDefault="003C66EB">
            <w:pPr>
              <w:jc w:val="right"/>
              <w:rPr>
                <w:rFonts w:ascii="宋体"/>
              </w:rPr>
            </w:pPr>
          </w:p>
        </w:tc>
        <w:tc>
          <w:tcPr>
            <w:tcW w:w="0" w:type="auto"/>
            <w:shd w:val="clear" w:color="auto" w:fill="auto"/>
          </w:tcPr>
          <w:p w14:paraId="5EA2489E" w14:textId="77777777" w:rsidR="003C66EB" w:rsidRDefault="003C66EB">
            <w:pPr>
              <w:rPr>
                <w:rFonts w:ascii="宋体"/>
                <w:vanish/>
              </w:rPr>
            </w:pPr>
          </w:p>
        </w:tc>
        <w:tc>
          <w:tcPr>
            <w:tcW w:w="0" w:type="auto"/>
            <w:shd w:val="clear" w:color="auto" w:fill="auto"/>
          </w:tcPr>
          <w:p w14:paraId="5EA2489F" w14:textId="77777777" w:rsidR="003C66EB" w:rsidRDefault="003C66EB">
            <w:pPr>
              <w:rPr>
                <w:rFonts w:ascii="宋体"/>
                <w:vanish/>
              </w:rPr>
            </w:pPr>
          </w:p>
        </w:tc>
      </w:tr>
    </w:tbl>
    <w:p w14:paraId="5EA248A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3C66EB" w14:paraId="5EA248A8" w14:textId="77777777">
        <w:tc>
          <w:tcPr>
            <w:tcW w:w="50" w:type="pct"/>
            <w:shd w:val="clear" w:color="auto" w:fill="auto"/>
          </w:tcPr>
          <w:p w14:paraId="5EA248A2" w14:textId="77777777" w:rsidR="003C66EB" w:rsidRDefault="003C66EB">
            <w:pPr>
              <w:rPr>
                <w:rFonts w:ascii="宋体"/>
              </w:rPr>
            </w:pPr>
          </w:p>
        </w:tc>
        <w:tc>
          <w:tcPr>
            <w:tcW w:w="2327" w:type="pct"/>
            <w:shd w:val="clear" w:color="auto" w:fill="auto"/>
          </w:tcPr>
          <w:p w14:paraId="5EA248A3" w14:textId="77777777" w:rsidR="003C66EB" w:rsidRDefault="003C66EB">
            <w:pPr>
              <w:rPr>
                <w:rFonts w:ascii="宋体"/>
              </w:rPr>
            </w:pPr>
          </w:p>
        </w:tc>
        <w:tc>
          <w:tcPr>
            <w:tcW w:w="5" w:type="pct"/>
            <w:shd w:val="clear" w:color="auto" w:fill="auto"/>
          </w:tcPr>
          <w:p w14:paraId="5EA248A4" w14:textId="77777777" w:rsidR="003C66EB" w:rsidRDefault="003C66EB">
            <w:pPr>
              <w:rPr>
                <w:rFonts w:ascii="宋体"/>
              </w:rPr>
            </w:pPr>
          </w:p>
        </w:tc>
        <w:tc>
          <w:tcPr>
            <w:tcW w:w="50" w:type="pct"/>
            <w:shd w:val="clear" w:color="auto" w:fill="auto"/>
          </w:tcPr>
          <w:p w14:paraId="5EA248A5" w14:textId="77777777" w:rsidR="003C66EB" w:rsidRDefault="003C66EB">
            <w:pPr>
              <w:rPr>
                <w:rFonts w:ascii="宋体"/>
              </w:rPr>
            </w:pPr>
          </w:p>
        </w:tc>
        <w:tc>
          <w:tcPr>
            <w:tcW w:w="2562" w:type="pct"/>
            <w:shd w:val="clear" w:color="auto" w:fill="auto"/>
          </w:tcPr>
          <w:p w14:paraId="5EA248A6" w14:textId="77777777" w:rsidR="003C66EB" w:rsidRDefault="003C66EB">
            <w:pPr>
              <w:rPr>
                <w:rFonts w:ascii="宋体"/>
              </w:rPr>
            </w:pPr>
          </w:p>
        </w:tc>
        <w:tc>
          <w:tcPr>
            <w:tcW w:w="5" w:type="pct"/>
            <w:shd w:val="clear" w:color="auto" w:fill="auto"/>
          </w:tcPr>
          <w:p w14:paraId="5EA248A7" w14:textId="77777777" w:rsidR="003C66EB" w:rsidRDefault="003C66EB">
            <w:pPr>
              <w:rPr>
                <w:rFonts w:ascii="宋体"/>
              </w:rPr>
            </w:pPr>
          </w:p>
        </w:tc>
      </w:tr>
      <w:tr w:rsidR="003C66EB" w14:paraId="5EA248A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48A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8AA" w14:textId="77777777" w:rsidR="003C66EB" w:rsidRDefault="003C66EB">
            <w:pPr>
              <w:rPr>
                <w:rFonts w:ascii="宋体"/>
              </w:rPr>
            </w:pPr>
          </w:p>
        </w:tc>
      </w:tr>
    </w:tbl>
    <w:p w14:paraId="5EA248AC" w14:textId="77777777" w:rsidR="003C66EB" w:rsidRDefault="00D96C4E">
      <w:pPr>
        <w:spacing w:before="60"/>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5EA248AD" w14:textId="77777777" w:rsidR="003C66EB" w:rsidRDefault="00D96C4E">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Fund finance loans include primarily $6,288 million loans to real money funds, $8,450 million private equity capital call finance loans and </w:t>
      </w:r>
      <w:r>
        <w:rPr>
          <w:rFonts w:ascii="Arial" w:eastAsia="宋体" w:hAnsi="Arial" w:cs="Arial"/>
          <w:color w:val="000000"/>
          <w:sz w:val="14"/>
          <w:szCs w:val="14"/>
        </w:rPr>
        <w:t>$832 million loans to business development companies as of March 31, 2021, compared to $6,391 million loans to real money funds, $8,380 million private equity capital call finance loans and $821 million loans to business development companies as of Decembe</w:t>
      </w:r>
      <w:r>
        <w:rPr>
          <w:rFonts w:ascii="Arial" w:eastAsia="宋体" w:hAnsi="Arial" w:cs="Arial"/>
          <w:color w:val="000000"/>
          <w:sz w:val="14"/>
          <w:szCs w:val="14"/>
        </w:rPr>
        <w:t>r 31, 2020.</w:t>
      </w:r>
    </w:p>
    <w:p w14:paraId="5EA248AE" w14:textId="77777777" w:rsidR="003C66EB" w:rsidRDefault="00D96C4E">
      <w:pPr>
        <w:spacing w:before="6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 xml:space="preserve">Includes $1,110 million securities finance loans, $831 million loans to municipalities and $51 million other loans as of March 31, 2021 and $1,911 million securities finance loans, $754 million loans to municipalities and $54 million other </w:t>
      </w:r>
      <w:r>
        <w:rPr>
          <w:rFonts w:ascii="Arial" w:eastAsia="宋体" w:hAnsi="Arial" w:cs="Arial"/>
          <w:color w:val="000000"/>
          <w:sz w:val="14"/>
          <w:szCs w:val="14"/>
        </w:rPr>
        <w:t>loans as of December 31, 2020.</w:t>
      </w:r>
    </w:p>
    <w:p w14:paraId="5EA248AF" w14:textId="77777777" w:rsidR="003C66EB" w:rsidRDefault="00D96C4E">
      <w:pPr>
        <w:spacing w:before="60"/>
        <w:ind w:firstLine="450"/>
        <w:jc w:val="both"/>
        <w:textAlignment w:val="top"/>
      </w:pPr>
      <w:r>
        <w:rPr>
          <w:rFonts w:ascii="Arial" w:eastAsia="宋体" w:hAnsi="Arial" w:cs="Arial"/>
          <w:color w:val="000000"/>
          <w:sz w:val="20"/>
          <w:szCs w:val="20"/>
        </w:rPr>
        <w:t>The commercial and financial segment is composed of primarily fund finance loans, purchased leveraged loans, overdrafts and other loans. Fund finance loans are composed of revolving credit lines providing liquidity and levera</w:t>
      </w:r>
      <w:r>
        <w:rPr>
          <w:rFonts w:ascii="Arial" w:eastAsia="宋体" w:hAnsi="Arial" w:cs="Arial"/>
          <w:color w:val="000000"/>
          <w:sz w:val="20"/>
          <w:szCs w:val="20"/>
        </w:rPr>
        <w:t>ge to mutual fund and private equity fund clients.</w:t>
      </w:r>
    </w:p>
    <w:p w14:paraId="5EA248B0" w14:textId="77777777" w:rsidR="003C66EB" w:rsidRDefault="00D96C4E">
      <w:pPr>
        <w:spacing w:before="60"/>
        <w:ind w:firstLine="450"/>
        <w:jc w:val="both"/>
        <w:textAlignment w:val="top"/>
      </w:pPr>
      <w:r>
        <w:rPr>
          <w:rFonts w:ascii="Arial" w:eastAsia="宋体" w:hAnsi="Arial" w:cs="Arial"/>
          <w:color w:val="000000"/>
          <w:sz w:val="20"/>
          <w:szCs w:val="20"/>
        </w:rPr>
        <w:t xml:space="preserve">Certain loans are pledged as collateral for access to the Federal Reserve's discount window. As of March 31, 2021 and December 31, 2020, the loans </w:t>
      </w:r>
    </w:p>
    <w:p w14:paraId="5EA248B1" w14:textId="77777777" w:rsidR="003C66EB" w:rsidRDefault="00D96C4E">
      <w:pPr>
        <w:ind w:firstLine="450"/>
        <w:jc w:val="right"/>
      </w:pPr>
      <w:r>
        <w:rPr>
          <w:rFonts w:ascii="Arial" w:eastAsia="宋体" w:hAnsi="Arial" w:cs="Arial"/>
          <w:color w:val="000000"/>
          <w:sz w:val="18"/>
          <w:szCs w:val="18"/>
        </w:rPr>
        <w:t>State Street Corporation | 62</w:t>
      </w:r>
    </w:p>
    <w:p w14:paraId="5EA248B2" w14:textId="77777777" w:rsidR="003C66EB" w:rsidRDefault="003C66EB">
      <w:pPr>
        <w:ind w:firstLine="450"/>
        <w:jc w:val="center"/>
      </w:pPr>
    </w:p>
    <w:p w14:paraId="5EA248B3" w14:textId="77777777" w:rsidR="003C66EB" w:rsidRDefault="00D96C4E">
      <w:r>
        <w:pict w14:anchorId="5EA287EE">
          <v:rect id="_x0000_i1086" style="width:415.3pt;height:1.5pt" o:hralign="center" o:hrstd="t" o:hr="t" fillcolor="#a0a0a0" stroked="f"/>
        </w:pict>
      </w:r>
    </w:p>
    <w:p w14:paraId="5EA248B4" w14:textId="77777777" w:rsidR="003C66EB" w:rsidRDefault="00D96C4E">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5EA248B5"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48B6" w14:textId="77777777" w:rsidR="003C66EB" w:rsidRDefault="00D96C4E">
      <w:pPr>
        <w:ind w:firstLine="450"/>
        <w:jc w:val="center"/>
      </w:pPr>
      <w:r>
        <w:rPr>
          <w:rFonts w:ascii="Arial" w:eastAsia="宋体" w:hAnsi="Arial" w:cs="Arial"/>
          <w:b/>
          <w:bCs/>
          <w:color w:val="000000"/>
          <w:sz w:val="20"/>
          <w:szCs w:val="20"/>
        </w:rPr>
        <w:t>(UNAUDITED)</w:t>
      </w:r>
    </w:p>
    <w:p w14:paraId="5EA248B7" w14:textId="77777777" w:rsidR="003C66EB" w:rsidRDefault="00D96C4E">
      <w:pPr>
        <w:spacing w:before="60"/>
        <w:jc w:val="both"/>
        <w:textAlignment w:val="top"/>
      </w:pPr>
      <w:r>
        <w:rPr>
          <w:rFonts w:ascii="Arial" w:eastAsia="宋体" w:hAnsi="Arial" w:cs="Arial"/>
          <w:color w:val="000000"/>
          <w:sz w:val="20"/>
          <w:szCs w:val="20"/>
        </w:rPr>
        <w:t>pledged as collateral totaled $8.63 billion and $8.07 billion, respectively.</w:t>
      </w:r>
    </w:p>
    <w:p w14:paraId="5EA248B8" w14:textId="77777777" w:rsidR="003C66EB" w:rsidRDefault="00D96C4E">
      <w:pPr>
        <w:spacing w:before="60"/>
        <w:ind w:firstLine="450"/>
        <w:jc w:val="both"/>
        <w:textAlignment w:val="top"/>
      </w:pPr>
      <w:r>
        <w:rPr>
          <w:rFonts w:ascii="Arial" w:eastAsia="宋体" w:hAnsi="Arial" w:cs="Arial"/>
          <w:color w:val="000000"/>
          <w:sz w:val="20"/>
          <w:szCs w:val="20"/>
        </w:rPr>
        <w:t xml:space="preserve">As of March 31, 2021 and December 31, 2020, we had no loans on non-accrual status. </w:t>
      </w:r>
    </w:p>
    <w:p w14:paraId="5EA248B9" w14:textId="77777777" w:rsidR="003C66EB" w:rsidRDefault="00D96C4E">
      <w:pPr>
        <w:spacing w:before="60"/>
        <w:ind w:firstLine="450"/>
        <w:jc w:val="both"/>
        <w:textAlignment w:val="top"/>
      </w:pPr>
      <w:r>
        <w:rPr>
          <w:rFonts w:ascii="Arial" w:eastAsia="宋体" w:hAnsi="Arial" w:cs="Arial"/>
          <w:color w:val="000000"/>
          <w:sz w:val="20"/>
          <w:szCs w:val="20"/>
        </w:rPr>
        <w:t>We sold $42 millio</w:t>
      </w:r>
      <w:r>
        <w:rPr>
          <w:rFonts w:ascii="Arial" w:eastAsia="宋体" w:hAnsi="Arial" w:cs="Arial"/>
          <w:color w:val="000000"/>
          <w:sz w:val="20"/>
          <w:szCs w:val="20"/>
        </w:rPr>
        <w:t>n of leveraged loans in the first quarter of 2021 of which $7 million remained unsettled and was held for sale as of March 31, 2021.</w:t>
      </w:r>
    </w:p>
    <w:p w14:paraId="5EA248BA" w14:textId="77777777" w:rsidR="003C66EB" w:rsidRDefault="00D96C4E">
      <w:pPr>
        <w:spacing w:before="60"/>
        <w:ind w:firstLine="450"/>
        <w:jc w:val="both"/>
        <w:textAlignment w:val="top"/>
      </w:pPr>
      <w:r>
        <w:rPr>
          <w:rFonts w:ascii="Arial" w:eastAsia="宋体" w:hAnsi="Arial" w:cs="Arial"/>
          <w:color w:val="000000"/>
          <w:sz w:val="20"/>
          <w:szCs w:val="20"/>
        </w:rPr>
        <w:t>In certain circumstances, we restructure troubled loans by granting concessions to borrowers experiencing financial difficu</w:t>
      </w:r>
      <w:r>
        <w:rPr>
          <w:rFonts w:ascii="Arial" w:eastAsia="宋体" w:hAnsi="Arial" w:cs="Arial"/>
          <w:color w:val="000000"/>
          <w:sz w:val="20"/>
          <w:szCs w:val="20"/>
        </w:rPr>
        <w:t>lty. Once restructured, the loans are generally considered impaired until their maturity, regardless of whether the borrowers perform under the modified terms of the loans. There were no loans modified in troubled debt restructurings during the first quart</w:t>
      </w:r>
      <w:r>
        <w:rPr>
          <w:rFonts w:ascii="Arial" w:eastAsia="宋体" w:hAnsi="Arial" w:cs="Arial"/>
          <w:color w:val="000000"/>
          <w:sz w:val="20"/>
          <w:szCs w:val="20"/>
        </w:rPr>
        <w:t>er of 2021.</w:t>
      </w:r>
    </w:p>
    <w:p w14:paraId="5EA248BB" w14:textId="77777777" w:rsidR="003C66EB" w:rsidRDefault="00D96C4E">
      <w:pPr>
        <w:spacing w:before="60"/>
        <w:jc w:val="both"/>
        <w:textAlignment w:val="top"/>
      </w:pPr>
      <w:r>
        <w:rPr>
          <w:rFonts w:ascii="Arial" w:eastAsia="宋体" w:hAnsi="Arial" w:cs="Arial"/>
          <w:b/>
          <w:bCs/>
          <w:i/>
          <w:iCs/>
          <w:color w:val="000000"/>
          <w:sz w:val="20"/>
          <w:szCs w:val="20"/>
        </w:rPr>
        <w:t>Allowance for Credit Losses</w:t>
      </w:r>
    </w:p>
    <w:p w14:paraId="5EA248BC" w14:textId="77777777" w:rsidR="003C66EB" w:rsidRDefault="00D96C4E">
      <w:pPr>
        <w:spacing w:before="60"/>
        <w:ind w:firstLine="450"/>
        <w:jc w:val="both"/>
        <w:textAlignment w:val="top"/>
      </w:pPr>
      <w:r>
        <w:rPr>
          <w:rFonts w:ascii="Arial" w:eastAsia="宋体" w:hAnsi="Arial" w:cs="Arial"/>
          <w:color w:val="000000"/>
          <w:sz w:val="20"/>
          <w:szCs w:val="20"/>
        </w:rPr>
        <w:t>We recognize an allowance for credit losses in accordance with ASC 326 for financial assets held at amortized cost and off-balance sheet commitments. The allowance for credit losses is reviewed on a regular basis, and any provision for credit losses is rec</w:t>
      </w:r>
      <w:r>
        <w:rPr>
          <w:rFonts w:ascii="Arial" w:eastAsia="宋体" w:hAnsi="Arial" w:cs="Arial"/>
          <w:color w:val="000000"/>
          <w:sz w:val="20"/>
          <w:szCs w:val="20"/>
        </w:rPr>
        <w:t>orded to reflect the amount necessary to maintain the allowance for expected credit losses at a level which represents what management does not expect to recover due to expected credit losses. For additional discussion on the allowance for credit losses fo</w:t>
      </w:r>
      <w:r>
        <w:rPr>
          <w:rFonts w:ascii="Arial" w:eastAsia="宋体" w:hAnsi="Arial" w:cs="Arial"/>
          <w:color w:val="000000"/>
          <w:sz w:val="20"/>
          <w:szCs w:val="20"/>
        </w:rPr>
        <w:t xml:space="preserve">r investment securities, please refer to Note 3, to the consolidated financial statements in this Form 10-Q. </w:t>
      </w:r>
    </w:p>
    <w:p w14:paraId="5EA248BD" w14:textId="77777777" w:rsidR="003C66EB" w:rsidRDefault="00D96C4E">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income. The allowance for credit losses for financial ass</w:t>
      </w:r>
      <w:r>
        <w:rPr>
          <w:rFonts w:ascii="Arial" w:eastAsia="宋体" w:hAnsi="Arial" w:cs="Arial"/>
          <w:color w:val="000000"/>
          <w:sz w:val="20"/>
          <w:szCs w:val="20"/>
        </w:rPr>
        <w:t>ets (excluding investment securities, as discussed in Note 3) represents the portion of the amortized cost basis, including accrued interest for financial assets held at amortized cost, which management does not expect to recover due to expected credit los</w:t>
      </w:r>
      <w:r>
        <w:rPr>
          <w:rFonts w:ascii="Arial" w:eastAsia="宋体" w:hAnsi="Arial" w:cs="Arial"/>
          <w:color w:val="000000"/>
          <w:sz w:val="20"/>
          <w:szCs w:val="20"/>
        </w:rPr>
        <w:t>ses and is presented on the statement of condition as an offset to the amortized cost basis. The accrued interest balance is presented separately on the statement of condition within accrued interest and fees receivable. The allowance for off-balance sheet</w:t>
      </w:r>
      <w:r>
        <w:rPr>
          <w:rFonts w:ascii="Arial" w:eastAsia="宋体" w:hAnsi="Arial" w:cs="Arial"/>
          <w:color w:val="000000"/>
          <w:sz w:val="20"/>
          <w:szCs w:val="20"/>
        </w:rPr>
        <w:t xml:space="preserve"> commitments is presented within other liabilities.</w:t>
      </w:r>
    </w:p>
    <w:p w14:paraId="5EA248BE" w14:textId="77777777" w:rsidR="003C66EB" w:rsidRDefault="00D96C4E">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discounted cash flow methods, loss-rate methods, probability-of-default methods, and other quantitative or qualitative me</w:t>
      </w:r>
      <w:r>
        <w:rPr>
          <w:rFonts w:ascii="Arial" w:eastAsia="宋体" w:hAnsi="Arial" w:cs="Arial"/>
          <w:color w:val="000000"/>
          <w:sz w:val="20"/>
          <w:szCs w:val="20"/>
        </w:rPr>
        <w:t>thods as determined by us. The method used to estimate expected credit losses may vary depending on the type of financial asset, our ability to predict the timing of cash flows, and the information available to us.</w:t>
      </w:r>
    </w:p>
    <w:p w14:paraId="5EA248BF" w14:textId="77777777" w:rsidR="003C66EB" w:rsidRDefault="00D96C4E">
      <w:pPr>
        <w:spacing w:before="60"/>
        <w:ind w:firstLine="450"/>
        <w:jc w:val="both"/>
        <w:textAlignment w:val="top"/>
      </w:pPr>
      <w:r>
        <w:rPr>
          <w:rFonts w:ascii="Arial" w:eastAsia="宋体" w:hAnsi="Arial" w:cs="Arial"/>
          <w:color w:val="000000"/>
          <w:sz w:val="20"/>
          <w:szCs w:val="20"/>
        </w:rPr>
        <w:t>We measure expected credit losses of fina</w:t>
      </w:r>
      <w:r>
        <w:rPr>
          <w:rFonts w:ascii="Arial" w:eastAsia="宋体" w:hAnsi="Arial" w:cs="Arial"/>
          <w:color w:val="000000"/>
          <w:sz w:val="20"/>
          <w:szCs w:val="20"/>
        </w:rPr>
        <w:t>ncial assets on a collective (pool) basis when similar risk characteristic exist. Each reporting period, we assess whether the assets in the pool continue to display similar risk characteristics.</w:t>
      </w:r>
    </w:p>
    <w:p w14:paraId="5EA248C0" w14:textId="77777777" w:rsidR="003C66EB" w:rsidRDefault="00D96C4E">
      <w:pPr>
        <w:spacing w:before="60"/>
        <w:ind w:firstLine="450"/>
        <w:jc w:val="both"/>
        <w:textAlignment w:val="top"/>
      </w:pPr>
      <w:r>
        <w:rPr>
          <w:rFonts w:ascii="Arial" w:eastAsia="宋体" w:hAnsi="Arial" w:cs="Arial"/>
          <w:color w:val="000000"/>
          <w:sz w:val="20"/>
          <w:szCs w:val="20"/>
        </w:rPr>
        <w:t>For a financial asset that does not share risk characteristi</w:t>
      </w:r>
      <w:r>
        <w:rPr>
          <w:rFonts w:ascii="Arial" w:eastAsia="宋体" w:hAnsi="Arial" w:cs="Arial"/>
          <w:color w:val="000000"/>
          <w:sz w:val="20"/>
          <w:szCs w:val="20"/>
        </w:rPr>
        <w:t>cs with other assets, expected credit losses are measured as the difference between the discounted value of the expected future cash flows, utilizing the effective interest rate and the amortized cost basis of the asset. As of March 31, 2021, we had nine l</w:t>
      </w:r>
      <w:r>
        <w:rPr>
          <w:rFonts w:ascii="Arial" w:eastAsia="宋体" w:hAnsi="Arial" w:cs="Arial"/>
          <w:color w:val="000000"/>
          <w:sz w:val="20"/>
          <w:szCs w:val="20"/>
        </w:rPr>
        <w:t>oans for $212 million in the commercial and financial segment that no longer met the similar risk characteristics of their collective pool. We recorded an allowance for credit losses of $20 million as of March 31, 2021 on these loans.</w:t>
      </w:r>
    </w:p>
    <w:p w14:paraId="5EA248C1" w14:textId="77777777" w:rsidR="003C66EB" w:rsidRDefault="00D96C4E">
      <w:pPr>
        <w:spacing w:before="60"/>
        <w:ind w:firstLine="450"/>
        <w:jc w:val="both"/>
        <w:textAlignment w:val="top"/>
      </w:pPr>
      <w:r>
        <w:rPr>
          <w:rFonts w:ascii="Arial" w:eastAsia="宋体" w:hAnsi="Arial" w:cs="Arial"/>
          <w:color w:val="000000"/>
          <w:sz w:val="20"/>
          <w:szCs w:val="20"/>
        </w:rPr>
        <w:t>Determining the appro</w:t>
      </w:r>
      <w:r>
        <w:rPr>
          <w:rFonts w:ascii="Arial" w:eastAsia="宋体" w:hAnsi="Arial" w:cs="Arial"/>
          <w:color w:val="000000"/>
          <w:sz w:val="20"/>
          <w:szCs w:val="20"/>
        </w:rPr>
        <w:t>priateness of the allowance is complex and requires judgment by management about the effect of matters that are inherently uncertain. In future periods, factors and forecasts then prevailing may result in significant changes in the allowance for credit los</w:t>
      </w:r>
      <w:r>
        <w:rPr>
          <w:rFonts w:ascii="Arial" w:eastAsia="宋体" w:hAnsi="Arial" w:cs="Arial"/>
          <w:color w:val="000000"/>
          <w:sz w:val="20"/>
          <w:szCs w:val="20"/>
        </w:rPr>
        <w:t xml:space="preserve">ses in those future periods. </w:t>
      </w:r>
    </w:p>
    <w:p w14:paraId="5EA248C2" w14:textId="77777777" w:rsidR="003C66EB" w:rsidRDefault="00D96C4E">
      <w:pPr>
        <w:spacing w:before="60"/>
        <w:ind w:firstLine="450"/>
        <w:jc w:val="both"/>
        <w:textAlignment w:val="top"/>
      </w:pPr>
      <w:r>
        <w:rPr>
          <w:rFonts w:ascii="Arial" w:eastAsia="宋体" w:hAnsi="Arial" w:cs="Arial"/>
          <w:color w:val="000000"/>
          <w:sz w:val="20"/>
          <w:szCs w:val="20"/>
        </w:rPr>
        <w:t xml:space="preserve">We estimate credit losses over the contractual life of the financial asset, while factoring in prepayment activity, where supported by data, over a three year reasonable and supportable forecast period. We utilize a baseline, </w:t>
      </w:r>
      <w:r>
        <w:rPr>
          <w:rFonts w:ascii="Arial" w:eastAsia="宋体" w:hAnsi="Arial" w:cs="Arial"/>
          <w:color w:val="000000"/>
          <w:sz w:val="20"/>
          <w:szCs w:val="20"/>
        </w:rPr>
        <w:t>upside and downside scenario which are applied based on a probability weighting, in order to better reflect management’s expectation of expected credit losses given existing market conditions and the changes in the economic environment. The multiple scenar</w:t>
      </w:r>
      <w:r>
        <w:rPr>
          <w:rFonts w:ascii="Arial" w:eastAsia="宋体" w:hAnsi="Arial" w:cs="Arial"/>
          <w:color w:val="000000"/>
          <w:sz w:val="20"/>
          <w:szCs w:val="20"/>
        </w:rPr>
        <w:t>ios are based on a three year horizon (or less depending on contractual maturity) and then revert linearly over a two year period to a ten-year historical average thereafter. The contractual term excludes expected extensions, renewals and modifications, bu</w:t>
      </w:r>
      <w:r>
        <w:rPr>
          <w:rFonts w:ascii="Arial" w:eastAsia="宋体" w:hAnsi="Arial" w:cs="Arial"/>
          <w:color w:val="000000"/>
          <w:sz w:val="20"/>
          <w:szCs w:val="20"/>
        </w:rPr>
        <w:t xml:space="preserve">t includes prepayment assumptions where applicable. </w:t>
      </w:r>
    </w:p>
    <w:p w14:paraId="5EA248C3" w14:textId="77777777" w:rsidR="003C66EB" w:rsidRDefault="00D96C4E">
      <w:pPr>
        <w:spacing w:before="60"/>
        <w:ind w:firstLine="450"/>
        <w:jc w:val="both"/>
        <w:textAlignment w:val="top"/>
      </w:pPr>
      <w:r>
        <w:rPr>
          <w:rFonts w:ascii="Arial" w:eastAsia="宋体" w:hAnsi="Arial" w:cs="Arial"/>
          <w:color w:val="000000"/>
          <w:sz w:val="20"/>
          <w:szCs w:val="20"/>
        </w:rPr>
        <w:t>As part of our allowance methodology, we establish qualitative reserves to address any risks inherent in our portfolio that are not addressed through our quantitative reserve assessment. These factors ma</w:t>
      </w:r>
      <w:r>
        <w:rPr>
          <w:rFonts w:ascii="Arial" w:eastAsia="宋体" w:hAnsi="Arial" w:cs="Arial"/>
          <w:color w:val="000000"/>
          <w:sz w:val="20"/>
          <w:szCs w:val="20"/>
        </w:rPr>
        <w:t>y relate to, among other things, legislation changes or new regulation, credit concentration, loan markets, scenario weighting and overall model limitations. The qualitative adjustments are applied to our portfolio of financial instruments under the existi</w:t>
      </w:r>
      <w:r>
        <w:rPr>
          <w:rFonts w:ascii="Arial" w:eastAsia="宋体" w:hAnsi="Arial" w:cs="Arial"/>
          <w:color w:val="000000"/>
          <w:sz w:val="20"/>
          <w:szCs w:val="20"/>
        </w:rPr>
        <w:t>ng governance structure and are inherently judgmental.</w:t>
      </w:r>
    </w:p>
    <w:p w14:paraId="5EA248C4"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on the allowance for credit losses, refer to pages 150 to 151 in Note 4 to the consolidated financial statements included under item 8, Financial Statements and Supplementary</w:t>
      </w:r>
      <w:r>
        <w:rPr>
          <w:rFonts w:ascii="Arial" w:eastAsia="宋体" w:hAnsi="Arial" w:cs="Arial"/>
          <w:color w:val="000000"/>
          <w:sz w:val="20"/>
          <w:szCs w:val="20"/>
        </w:rPr>
        <w:t xml:space="preserve"> Data, in our 2020 Form 10-K.</w:t>
      </w:r>
    </w:p>
    <w:p w14:paraId="5EA248C5" w14:textId="77777777" w:rsidR="003C66EB" w:rsidRDefault="003C66EB">
      <w:pPr>
        <w:spacing w:before="60"/>
        <w:ind w:firstLine="450"/>
        <w:jc w:val="both"/>
        <w:textAlignment w:val="top"/>
      </w:pPr>
    </w:p>
    <w:p w14:paraId="5EA248C6" w14:textId="77777777" w:rsidR="003C66EB" w:rsidRDefault="00D96C4E">
      <w:pPr>
        <w:ind w:firstLine="450"/>
        <w:jc w:val="right"/>
      </w:pPr>
      <w:r>
        <w:rPr>
          <w:rFonts w:ascii="Arial" w:eastAsia="宋体" w:hAnsi="Arial" w:cs="Arial"/>
          <w:color w:val="000000"/>
          <w:sz w:val="18"/>
          <w:szCs w:val="18"/>
        </w:rPr>
        <w:t>State Street Corporation | 63</w:t>
      </w:r>
    </w:p>
    <w:p w14:paraId="5EA248C7" w14:textId="77777777" w:rsidR="003C66EB" w:rsidRDefault="003C66EB">
      <w:pPr>
        <w:ind w:firstLine="450"/>
        <w:jc w:val="center"/>
      </w:pPr>
    </w:p>
    <w:p w14:paraId="5EA248C8" w14:textId="77777777" w:rsidR="003C66EB" w:rsidRDefault="00D96C4E">
      <w:r>
        <w:pict w14:anchorId="5EA287EF">
          <v:rect id="_x0000_i1087" style="width:415.3pt;height:1.5pt" o:hralign="center" o:hrstd="t" o:hr="t" fillcolor="#a0a0a0" stroked="f"/>
        </w:pict>
      </w:r>
    </w:p>
    <w:p w14:paraId="5EA248C9" w14:textId="77777777" w:rsidR="003C66EB" w:rsidRDefault="00D96C4E">
      <w:pPr>
        <w:ind w:firstLine="450"/>
        <w:jc w:val="center"/>
      </w:pPr>
      <w:r>
        <w:rPr>
          <w:rFonts w:ascii="Arial" w:eastAsia="宋体" w:hAnsi="Arial" w:cs="Arial"/>
          <w:b/>
          <w:bCs/>
          <w:color w:val="000000"/>
          <w:sz w:val="20"/>
          <w:szCs w:val="20"/>
        </w:rPr>
        <w:t>STATE STREET CORPORATION</w:t>
      </w:r>
    </w:p>
    <w:p w14:paraId="5EA248CA"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48CB" w14:textId="77777777" w:rsidR="003C66EB" w:rsidRDefault="00D96C4E">
      <w:pPr>
        <w:ind w:firstLine="450"/>
        <w:jc w:val="center"/>
      </w:pPr>
      <w:r>
        <w:rPr>
          <w:rFonts w:ascii="Arial" w:eastAsia="宋体" w:hAnsi="Arial" w:cs="Arial"/>
          <w:b/>
          <w:bCs/>
          <w:color w:val="000000"/>
          <w:sz w:val="20"/>
          <w:szCs w:val="20"/>
        </w:rPr>
        <w:t>(UNAUDITED)</w:t>
      </w:r>
    </w:p>
    <w:p w14:paraId="5EA248CC" w14:textId="77777777" w:rsidR="003C66EB" w:rsidRDefault="00D96C4E">
      <w:pPr>
        <w:spacing w:before="90"/>
        <w:jc w:val="both"/>
        <w:textAlignment w:val="top"/>
      </w:pPr>
      <w:r>
        <w:rPr>
          <w:rFonts w:ascii="Arial" w:eastAsia="宋体" w:hAnsi="Arial" w:cs="Arial"/>
          <w:b/>
          <w:bCs/>
          <w:color w:val="000000"/>
          <w:sz w:val="20"/>
          <w:szCs w:val="20"/>
        </w:rPr>
        <w:t>Credit Quality</w:t>
      </w:r>
    </w:p>
    <w:p w14:paraId="5EA248CD" w14:textId="77777777" w:rsidR="003C66EB" w:rsidRDefault="00D96C4E">
      <w:pPr>
        <w:spacing w:before="60"/>
        <w:ind w:firstLine="450"/>
        <w:jc w:val="both"/>
        <w:textAlignment w:val="top"/>
      </w:pPr>
      <w:r>
        <w:rPr>
          <w:rFonts w:ascii="Arial" w:eastAsia="宋体" w:hAnsi="Arial" w:cs="Arial"/>
          <w:color w:val="000000"/>
          <w:sz w:val="20"/>
          <w:szCs w:val="20"/>
        </w:rPr>
        <w:t>Credit quality for financial assets held at amortized cost are continuously monitored b</w:t>
      </w:r>
      <w:r>
        <w:rPr>
          <w:rFonts w:ascii="Arial" w:eastAsia="宋体" w:hAnsi="Arial" w:cs="Arial"/>
          <w:color w:val="000000"/>
          <w:sz w:val="20"/>
          <w:szCs w:val="20"/>
        </w:rPr>
        <w:t xml:space="preserve">y management and is reflected within the allowance for credit losses. </w:t>
      </w:r>
    </w:p>
    <w:p w14:paraId="5EA248CE" w14:textId="77777777" w:rsidR="003C66EB" w:rsidRDefault="00D96C4E">
      <w:pPr>
        <w:spacing w:before="60"/>
        <w:ind w:firstLine="450"/>
        <w:jc w:val="both"/>
        <w:textAlignment w:val="top"/>
      </w:pPr>
      <w:r>
        <w:rPr>
          <w:rFonts w:ascii="Arial" w:eastAsia="宋体" w:hAnsi="Arial" w:cs="Arial"/>
          <w:color w:val="000000"/>
          <w:sz w:val="20"/>
          <w:szCs w:val="20"/>
        </w:rPr>
        <w:t xml:space="preserve">We use an internal risk-rating system to assess our risk of credit loss for each loan. This risk-rating process incorporates the use of risk-rating tools in conjunction with management </w:t>
      </w:r>
      <w:r>
        <w:rPr>
          <w:rFonts w:ascii="Arial" w:eastAsia="宋体" w:hAnsi="Arial" w:cs="Arial"/>
          <w:color w:val="000000"/>
          <w:sz w:val="20"/>
          <w:szCs w:val="20"/>
        </w:rPr>
        <w:t xml:space="preserve">judgment. Qualitative and quantitative inputs are captured in a systematic manner, and following a formal review and approval process, an internal credit rating based on our credit scale is assigned. </w:t>
      </w:r>
    </w:p>
    <w:p w14:paraId="5EA248CF" w14:textId="77777777" w:rsidR="003C66EB" w:rsidRDefault="00D96C4E">
      <w:pPr>
        <w:spacing w:before="60"/>
        <w:ind w:firstLine="450"/>
        <w:jc w:val="both"/>
        <w:textAlignment w:val="top"/>
      </w:pPr>
      <w:r>
        <w:rPr>
          <w:rFonts w:ascii="Arial" w:eastAsia="宋体" w:hAnsi="Arial" w:cs="Arial"/>
          <w:color w:val="000000"/>
          <w:sz w:val="20"/>
          <w:szCs w:val="20"/>
        </w:rPr>
        <w:t>When computing allowance levels, credit loss assumption</w:t>
      </w:r>
      <w:r>
        <w:rPr>
          <w:rFonts w:ascii="Arial" w:eastAsia="宋体" w:hAnsi="Arial" w:cs="Arial"/>
          <w:color w:val="000000"/>
          <w:sz w:val="20"/>
          <w:szCs w:val="20"/>
        </w:rPr>
        <w:t>s are estimated using a model that categorizes asset pools based on loss history, delinquency status and other credit trends and risk characteristics, including current conditions and reasonable and supportable forecasts about the future. Determining the a</w:t>
      </w:r>
      <w:r>
        <w:rPr>
          <w:rFonts w:ascii="Arial" w:eastAsia="宋体" w:hAnsi="Arial" w:cs="Arial"/>
          <w:color w:val="000000"/>
          <w:sz w:val="20"/>
          <w:szCs w:val="20"/>
        </w:rPr>
        <w:t>ppropriateness of the allowance is complex and requires judgment by management about the effect of matters that are inherently uncertain. In future periods evaluations of the overall asset portfolio, in light of the factors and forecasts then prevailing, m</w:t>
      </w:r>
      <w:r>
        <w:rPr>
          <w:rFonts w:ascii="Arial" w:eastAsia="宋体" w:hAnsi="Arial" w:cs="Arial"/>
          <w:color w:val="000000"/>
          <w:sz w:val="20"/>
          <w:szCs w:val="20"/>
        </w:rPr>
        <w:t>ay result in significant changes in the allowance and credit loss expense in those future periods.</w:t>
      </w:r>
    </w:p>
    <w:p w14:paraId="5EA248D0" w14:textId="77777777" w:rsidR="003C66EB" w:rsidRDefault="00D96C4E">
      <w:pPr>
        <w:spacing w:before="60"/>
        <w:ind w:firstLine="450"/>
        <w:jc w:val="both"/>
        <w:textAlignment w:val="top"/>
      </w:pPr>
      <w:r>
        <w:rPr>
          <w:rFonts w:ascii="Arial" w:eastAsia="宋体" w:hAnsi="Arial" w:cs="Arial"/>
          <w:color w:val="000000"/>
          <w:sz w:val="20"/>
          <w:szCs w:val="20"/>
        </w:rPr>
        <w:t>Credit quality is assessed and monitored by evaluating various attributes in order to enable the earliest possible detection of any concerns with the custome</w:t>
      </w:r>
      <w:r>
        <w:rPr>
          <w:rFonts w:ascii="Arial" w:eastAsia="宋体" w:hAnsi="Arial" w:cs="Arial"/>
          <w:color w:val="000000"/>
          <w:sz w:val="20"/>
          <w:szCs w:val="20"/>
        </w:rPr>
        <w:t xml:space="preserve">r’s credit rating. The results of those evaluations are utilized in underwriting new loans and transactions with counterparties and in our process for estimation of expected credit losses. </w:t>
      </w:r>
    </w:p>
    <w:p w14:paraId="5EA248D1" w14:textId="77777777" w:rsidR="003C66EB" w:rsidRDefault="00D96C4E">
      <w:pPr>
        <w:spacing w:before="60"/>
        <w:ind w:firstLine="450"/>
        <w:jc w:val="both"/>
        <w:textAlignment w:val="top"/>
      </w:pPr>
      <w:r>
        <w:rPr>
          <w:rFonts w:ascii="Arial" w:eastAsia="宋体" w:hAnsi="Arial" w:cs="Arial"/>
          <w:color w:val="000000"/>
          <w:sz w:val="20"/>
          <w:szCs w:val="20"/>
        </w:rPr>
        <w:t>In assessing the risk rating assigned to each individual loan, amo</w:t>
      </w:r>
      <w:r>
        <w:rPr>
          <w:rFonts w:ascii="Arial" w:eastAsia="宋体" w:hAnsi="Arial" w:cs="Arial"/>
          <w:color w:val="000000"/>
          <w:sz w:val="20"/>
          <w:szCs w:val="20"/>
        </w:rPr>
        <w:t>ng the factors considered are the borrower's debt capacity, collateral coverage, payment history and delinquency experience, financial flexibility and earnings strength, the expected amounts and source of repayment, the level and nature of contingencies, i</w:t>
      </w:r>
      <w:r>
        <w:rPr>
          <w:rFonts w:ascii="Arial" w:eastAsia="宋体" w:hAnsi="Arial" w:cs="Arial"/>
          <w:color w:val="000000"/>
          <w:sz w:val="20"/>
          <w:szCs w:val="20"/>
        </w:rPr>
        <w:t xml:space="preserve">f any, and the industry </w:t>
      </w:r>
    </w:p>
    <w:p w14:paraId="5EA248D2" w14:textId="77777777" w:rsidR="003C66EB" w:rsidRDefault="00D96C4E">
      <w:pPr>
        <w:spacing w:before="60"/>
        <w:jc w:val="both"/>
        <w:textAlignment w:val="top"/>
      </w:pPr>
      <w:r>
        <w:rPr>
          <w:rFonts w:ascii="Arial" w:eastAsia="宋体" w:hAnsi="Arial" w:cs="Arial"/>
          <w:color w:val="000000"/>
          <w:sz w:val="20"/>
          <w:szCs w:val="20"/>
        </w:rPr>
        <w:t xml:space="preserve">and geography in which the borrower operates. These factors are based on an evaluation of historical and current information, and involve subjective assessment and interpretation. Credit counterparties are evaluated and </w:t>
      </w:r>
      <w:r>
        <w:rPr>
          <w:rFonts w:ascii="Arial" w:eastAsia="宋体" w:hAnsi="Arial" w:cs="Arial"/>
          <w:color w:val="000000"/>
          <w:sz w:val="20"/>
          <w:szCs w:val="20"/>
        </w:rPr>
        <w:t>risk-rated on an individual basis at least annually. Management considers the ratings to be current as of March 31, 2021.</w:t>
      </w:r>
    </w:p>
    <w:p w14:paraId="5EA248D3" w14:textId="77777777" w:rsidR="003C66EB" w:rsidRDefault="00D96C4E">
      <w:pPr>
        <w:spacing w:before="60"/>
        <w:ind w:firstLine="450"/>
        <w:jc w:val="both"/>
        <w:textAlignment w:val="top"/>
      </w:pPr>
      <w:r>
        <w:rPr>
          <w:rFonts w:ascii="Arial" w:eastAsia="宋体" w:hAnsi="Arial" w:cs="Arial"/>
          <w:color w:val="000000"/>
          <w:sz w:val="20"/>
          <w:szCs w:val="20"/>
        </w:rPr>
        <w:t>Our internal risk rating methodology assigns risk ratings to counterparties ranging from Investment Grade, Speculative, Special Mentio</w:t>
      </w:r>
      <w:r>
        <w:rPr>
          <w:rFonts w:ascii="Arial" w:eastAsia="宋体" w:hAnsi="Arial" w:cs="Arial"/>
          <w:color w:val="000000"/>
          <w:sz w:val="20"/>
          <w:szCs w:val="20"/>
        </w:rPr>
        <w:t>n, Substandard, Doubtful and Loss.</w:t>
      </w:r>
    </w:p>
    <w:p w14:paraId="5EA248D4" w14:textId="77777777" w:rsidR="003C66EB" w:rsidRDefault="00D96C4E">
      <w:pPr>
        <w:spacing w:before="90"/>
        <w:ind w:hanging="18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Approximately 82% of our loans were rated as investment grade as of March 31, 2021 with external credit</w:t>
      </w:r>
      <w:r>
        <w:rPr>
          <w:rFonts w:ascii="Arial" w:eastAsia="宋体" w:hAnsi="Arial" w:cs="Arial"/>
          <w:color w:val="000000"/>
          <w:sz w:val="20"/>
          <w:szCs w:val="20"/>
        </w:rPr>
        <w:t xml:space="preserve"> ratings, or equivalent, of "BBB-" or better.</w:t>
      </w:r>
    </w:p>
    <w:p w14:paraId="5EA248D5" w14:textId="77777777" w:rsidR="003C66EB" w:rsidRDefault="00D96C4E">
      <w:pPr>
        <w:spacing w:before="90"/>
        <w:ind w:hanging="180"/>
        <w:jc w:val="both"/>
        <w:textAlignment w:val="top"/>
      </w:pPr>
      <w:r>
        <w:rPr>
          <w:rFonts w:ascii="Arial" w:eastAsia="宋体" w:hAnsi="Arial" w:cs="Arial"/>
          <w:color w:val="000000"/>
          <w:sz w:val="20"/>
          <w:szCs w:val="20"/>
        </w:rPr>
        <w:t>•Speculative. Counterparties that have the ability to repay but face significant uncertainties, such as adverse business, financial circumstances that could affect credit risk or economic downturns. Loans to co</w:t>
      </w:r>
      <w:r>
        <w:rPr>
          <w:rFonts w:ascii="Arial" w:eastAsia="宋体" w:hAnsi="Arial" w:cs="Arial"/>
          <w:color w:val="000000"/>
          <w:sz w:val="20"/>
          <w:szCs w:val="20"/>
        </w:rPr>
        <w:t>unterparties rated as speculative account for approximately 17% of our loans as of March 31, 2021, and are concentrated in leveraged loans. Approximately 86% of those leveraged loans have an external credit rating, or equivalent, of "BB" or "B" as of March</w:t>
      </w:r>
      <w:r>
        <w:rPr>
          <w:rFonts w:ascii="Arial" w:eastAsia="宋体" w:hAnsi="Arial" w:cs="Arial"/>
          <w:color w:val="000000"/>
          <w:sz w:val="20"/>
          <w:szCs w:val="20"/>
        </w:rPr>
        <w:t> 31, 2021.</w:t>
      </w:r>
    </w:p>
    <w:p w14:paraId="5EA248D6" w14:textId="77777777" w:rsidR="003C66EB" w:rsidRDefault="00D96C4E">
      <w:pPr>
        <w:spacing w:before="90"/>
        <w:ind w:hanging="180"/>
        <w:jc w:val="both"/>
        <w:textAlignment w:val="top"/>
      </w:pPr>
      <w:r>
        <w:rPr>
          <w:rFonts w:ascii="Arial" w:eastAsia="宋体" w:hAnsi="Arial" w:cs="Arial"/>
          <w:color w:val="000000"/>
          <w:sz w:val="20"/>
          <w:szCs w:val="20"/>
        </w:rPr>
        <w:t>•Special Mention. Counterparties with potential weaknesses that, if uncorrected, may result in deterioration of repayment prospects.</w:t>
      </w:r>
    </w:p>
    <w:p w14:paraId="5EA248D7" w14:textId="77777777" w:rsidR="003C66EB" w:rsidRDefault="00D96C4E">
      <w:pPr>
        <w:spacing w:before="90"/>
        <w:ind w:hanging="180"/>
        <w:jc w:val="both"/>
        <w:textAlignment w:val="top"/>
      </w:pPr>
      <w:r>
        <w:rPr>
          <w:rFonts w:ascii="Arial" w:eastAsia="宋体" w:hAnsi="Arial" w:cs="Arial"/>
          <w:color w:val="000000"/>
          <w:sz w:val="20"/>
          <w:szCs w:val="20"/>
        </w:rPr>
        <w:t xml:space="preserve">•Substandard. Counterparties with well-defined weakness that jeopardizes repayment with the possibility we will </w:t>
      </w:r>
      <w:r>
        <w:rPr>
          <w:rFonts w:ascii="Arial" w:eastAsia="宋体" w:hAnsi="Arial" w:cs="Arial"/>
          <w:color w:val="000000"/>
          <w:sz w:val="20"/>
          <w:szCs w:val="20"/>
        </w:rPr>
        <w:t xml:space="preserve">sustain some loss. </w:t>
      </w:r>
    </w:p>
    <w:p w14:paraId="5EA248D8" w14:textId="77777777" w:rsidR="003C66EB" w:rsidRDefault="00D96C4E">
      <w:pPr>
        <w:spacing w:before="90"/>
        <w:ind w:hanging="180"/>
        <w:jc w:val="both"/>
        <w:textAlignment w:val="top"/>
      </w:pPr>
      <w:r>
        <w:rPr>
          <w:rFonts w:ascii="Arial" w:eastAsia="宋体" w:hAnsi="Arial" w:cs="Arial"/>
          <w:color w:val="000000"/>
          <w:sz w:val="20"/>
          <w:szCs w:val="20"/>
        </w:rPr>
        <w:t xml:space="preserve">•Doubtful. Counterparties with well-defined weakness which make collection or liquidation in full highly questionable and improbable. </w:t>
      </w:r>
    </w:p>
    <w:p w14:paraId="5EA248D9" w14:textId="77777777" w:rsidR="003C66EB" w:rsidRDefault="00D96C4E">
      <w:pPr>
        <w:spacing w:before="90"/>
        <w:ind w:hanging="180"/>
        <w:jc w:val="both"/>
        <w:textAlignment w:val="top"/>
      </w:pPr>
      <w:r>
        <w:rPr>
          <w:rFonts w:ascii="Arial" w:eastAsia="宋体" w:hAnsi="Arial" w:cs="Arial"/>
          <w:color w:val="000000"/>
          <w:sz w:val="20"/>
          <w:szCs w:val="20"/>
        </w:rPr>
        <w:t xml:space="preserve">•Loss. Counterparties which are uncollectible or have little value. </w:t>
      </w:r>
    </w:p>
    <w:p w14:paraId="5EA248DA" w14:textId="77777777" w:rsidR="003C66EB" w:rsidRDefault="00D96C4E">
      <w:pPr>
        <w:ind w:firstLine="450"/>
        <w:jc w:val="right"/>
      </w:pPr>
      <w:r>
        <w:rPr>
          <w:rFonts w:ascii="Arial" w:eastAsia="宋体" w:hAnsi="Arial" w:cs="Arial"/>
          <w:color w:val="000000"/>
          <w:sz w:val="18"/>
          <w:szCs w:val="18"/>
        </w:rPr>
        <w:t>State Street Corporation | 64</w:t>
      </w:r>
    </w:p>
    <w:p w14:paraId="5EA248DB" w14:textId="77777777" w:rsidR="003C66EB" w:rsidRDefault="003C66EB">
      <w:pPr>
        <w:ind w:firstLine="450"/>
        <w:jc w:val="center"/>
      </w:pPr>
    </w:p>
    <w:p w14:paraId="5EA248DC" w14:textId="77777777" w:rsidR="003C66EB" w:rsidRDefault="00D96C4E">
      <w:r>
        <w:pict w14:anchorId="5EA287F0">
          <v:rect id="_x0000_i1088" style="width:415.3pt;height:1.5pt" o:hralign="center" o:hrstd="t" o:hr="t" fillcolor="#a0a0a0" stroked="f"/>
        </w:pict>
      </w:r>
    </w:p>
    <w:p w14:paraId="5EA248DD" w14:textId="77777777" w:rsidR="003C66EB" w:rsidRDefault="00D96C4E">
      <w:pPr>
        <w:ind w:firstLine="450"/>
        <w:jc w:val="center"/>
      </w:pPr>
      <w:r>
        <w:rPr>
          <w:rFonts w:ascii="Arial" w:eastAsia="宋体" w:hAnsi="Arial" w:cs="Arial"/>
          <w:b/>
          <w:bCs/>
          <w:color w:val="000000"/>
          <w:sz w:val="20"/>
          <w:szCs w:val="20"/>
        </w:rPr>
        <w:t>STATE STREET CORPORATION</w:t>
      </w:r>
    </w:p>
    <w:p w14:paraId="5EA248DE"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48DF" w14:textId="77777777" w:rsidR="003C66EB" w:rsidRDefault="00D96C4E">
      <w:pPr>
        <w:ind w:firstLine="450"/>
        <w:jc w:val="center"/>
      </w:pPr>
      <w:r>
        <w:rPr>
          <w:rFonts w:ascii="Arial" w:eastAsia="宋体" w:hAnsi="Arial" w:cs="Arial"/>
          <w:b/>
          <w:bCs/>
          <w:color w:val="000000"/>
          <w:sz w:val="20"/>
          <w:szCs w:val="20"/>
        </w:rPr>
        <w:t>(UNAUDITED)</w:t>
      </w:r>
    </w:p>
    <w:p w14:paraId="5EA248E0" w14:textId="77777777" w:rsidR="003C66EB" w:rsidRDefault="00D96C4E">
      <w:pPr>
        <w:spacing w:before="60"/>
        <w:ind w:firstLine="450"/>
        <w:jc w:val="both"/>
      </w:pPr>
      <w:r>
        <w:rPr>
          <w:rFonts w:ascii="Arial" w:eastAsia="宋体" w:hAnsi="Arial" w:cs="Arial"/>
          <w:color w:val="000000"/>
          <w:sz w:val="20"/>
          <w:szCs w:val="20"/>
        </w:rPr>
        <w:t>The following tables present our recorded loans to counterparties by risk rating, as noted above,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9"/>
        <w:gridCol w:w="99"/>
        <w:gridCol w:w="1515"/>
        <w:gridCol w:w="36"/>
        <w:gridCol w:w="36"/>
        <w:gridCol w:w="36"/>
        <w:gridCol w:w="36"/>
        <w:gridCol w:w="99"/>
        <w:gridCol w:w="1483"/>
        <w:gridCol w:w="36"/>
        <w:gridCol w:w="36"/>
        <w:gridCol w:w="36"/>
        <w:gridCol w:w="36"/>
        <w:gridCol w:w="98"/>
        <w:gridCol w:w="1484"/>
        <w:gridCol w:w="36"/>
      </w:tblGrid>
      <w:tr w:rsidR="003C66EB" w14:paraId="5EA248F3" w14:textId="77777777">
        <w:tc>
          <w:tcPr>
            <w:tcW w:w="50" w:type="pct"/>
            <w:shd w:val="clear" w:color="auto" w:fill="auto"/>
          </w:tcPr>
          <w:p w14:paraId="5EA248E1" w14:textId="77777777" w:rsidR="003C66EB" w:rsidRDefault="003C66EB">
            <w:pPr>
              <w:rPr>
                <w:rFonts w:ascii="宋体"/>
              </w:rPr>
            </w:pPr>
          </w:p>
        </w:tc>
        <w:tc>
          <w:tcPr>
            <w:tcW w:w="1902" w:type="pct"/>
            <w:shd w:val="clear" w:color="auto" w:fill="auto"/>
          </w:tcPr>
          <w:p w14:paraId="5EA248E2" w14:textId="77777777" w:rsidR="003C66EB" w:rsidRDefault="003C66EB">
            <w:pPr>
              <w:rPr>
                <w:rFonts w:ascii="宋体"/>
              </w:rPr>
            </w:pPr>
          </w:p>
        </w:tc>
        <w:tc>
          <w:tcPr>
            <w:tcW w:w="5" w:type="pct"/>
            <w:shd w:val="clear" w:color="auto" w:fill="auto"/>
          </w:tcPr>
          <w:p w14:paraId="5EA248E3" w14:textId="77777777" w:rsidR="003C66EB" w:rsidRDefault="003C66EB">
            <w:pPr>
              <w:rPr>
                <w:rFonts w:ascii="宋体"/>
              </w:rPr>
            </w:pPr>
          </w:p>
        </w:tc>
        <w:tc>
          <w:tcPr>
            <w:tcW w:w="50" w:type="pct"/>
            <w:shd w:val="clear" w:color="auto" w:fill="auto"/>
          </w:tcPr>
          <w:p w14:paraId="5EA248E4" w14:textId="77777777" w:rsidR="003C66EB" w:rsidRDefault="003C66EB">
            <w:pPr>
              <w:rPr>
                <w:rFonts w:ascii="宋体"/>
              </w:rPr>
            </w:pPr>
          </w:p>
        </w:tc>
        <w:tc>
          <w:tcPr>
            <w:tcW w:w="934" w:type="pct"/>
            <w:shd w:val="clear" w:color="auto" w:fill="auto"/>
          </w:tcPr>
          <w:p w14:paraId="5EA248E5" w14:textId="77777777" w:rsidR="003C66EB" w:rsidRDefault="003C66EB">
            <w:pPr>
              <w:rPr>
                <w:rFonts w:ascii="宋体"/>
              </w:rPr>
            </w:pPr>
          </w:p>
        </w:tc>
        <w:tc>
          <w:tcPr>
            <w:tcW w:w="5" w:type="pct"/>
            <w:shd w:val="clear" w:color="auto" w:fill="auto"/>
          </w:tcPr>
          <w:p w14:paraId="5EA248E6" w14:textId="77777777" w:rsidR="003C66EB" w:rsidRDefault="003C66EB">
            <w:pPr>
              <w:rPr>
                <w:rFonts w:ascii="宋体"/>
              </w:rPr>
            </w:pPr>
          </w:p>
        </w:tc>
        <w:tc>
          <w:tcPr>
            <w:tcW w:w="5" w:type="pct"/>
            <w:shd w:val="clear" w:color="auto" w:fill="auto"/>
          </w:tcPr>
          <w:p w14:paraId="5EA248E7" w14:textId="77777777" w:rsidR="003C66EB" w:rsidRDefault="003C66EB">
            <w:pPr>
              <w:rPr>
                <w:rFonts w:ascii="宋体"/>
              </w:rPr>
            </w:pPr>
          </w:p>
        </w:tc>
        <w:tc>
          <w:tcPr>
            <w:tcW w:w="26" w:type="pct"/>
            <w:shd w:val="clear" w:color="auto" w:fill="auto"/>
          </w:tcPr>
          <w:p w14:paraId="5EA248E8" w14:textId="77777777" w:rsidR="003C66EB" w:rsidRDefault="003C66EB">
            <w:pPr>
              <w:rPr>
                <w:rFonts w:ascii="宋体"/>
              </w:rPr>
            </w:pPr>
          </w:p>
        </w:tc>
        <w:tc>
          <w:tcPr>
            <w:tcW w:w="5" w:type="pct"/>
            <w:shd w:val="clear" w:color="auto" w:fill="auto"/>
          </w:tcPr>
          <w:p w14:paraId="5EA248E9" w14:textId="77777777" w:rsidR="003C66EB" w:rsidRDefault="003C66EB">
            <w:pPr>
              <w:rPr>
                <w:rFonts w:ascii="宋体"/>
              </w:rPr>
            </w:pPr>
          </w:p>
        </w:tc>
        <w:tc>
          <w:tcPr>
            <w:tcW w:w="50" w:type="pct"/>
            <w:shd w:val="clear" w:color="auto" w:fill="auto"/>
          </w:tcPr>
          <w:p w14:paraId="5EA248EA" w14:textId="77777777" w:rsidR="003C66EB" w:rsidRDefault="003C66EB">
            <w:pPr>
              <w:rPr>
                <w:rFonts w:ascii="宋体"/>
              </w:rPr>
            </w:pPr>
          </w:p>
        </w:tc>
        <w:tc>
          <w:tcPr>
            <w:tcW w:w="934" w:type="pct"/>
            <w:shd w:val="clear" w:color="auto" w:fill="auto"/>
          </w:tcPr>
          <w:p w14:paraId="5EA248EB" w14:textId="77777777" w:rsidR="003C66EB" w:rsidRDefault="003C66EB">
            <w:pPr>
              <w:rPr>
                <w:rFonts w:ascii="宋体"/>
              </w:rPr>
            </w:pPr>
          </w:p>
        </w:tc>
        <w:tc>
          <w:tcPr>
            <w:tcW w:w="5" w:type="pct"/>
            <w:shd w:val="clear" w:color="auto" w:fill="auto"/>
          </w:tcPr>
          <w:p w14:paraId="5EA248EC" w14:textId="77777777" w:rsidR="003C66EB" w:rsidRDefault="003C66EB">
            <w:pPr>
              <w:rPr>
                <w:rFonts w:ascii="宋体"/>
              </w:rPr>
            </w:pPr>
          </w:p>
        </w:tc>
        <w:tc>
          <w:tcPr>
            <w:tcW w:w="5" w:type="pct"/>
            <w:shd w:val="clear" w:color="auto" w:fill="auto"/>
          </w:tcPr>
          <w:p w14:paraId="5EA248ED" w14:textId="77777777" w:rsidR="003C66EB" w:rsidRDefault="003C66EB">
            <w:pPr>
              <w:rPr>
                <w:rFonts w:ascii="宋体"/>
              </w:rPr>
            </w:pPr>
          </w:p>
        </w:tc>
        <w:tc>
          <w:tcPr>
            <w:tcW w:w="26" w:type="pct"/>
            <w:shd w:val="clear" w:color="auto" w:fill="auto"/>
          </w:tcPr>
          <w:p w14:paraId="5EA248EE" w14:textId="77777777" w:rsidR="003C66EB" w:rsidRDefault="003C66EB">
            <w:pPr>
              <w:rPr>
                <w:rFonts w:ascii="宋体"/>
              </w:rPr>
            </w:pPr>
          </w:p>
        </w:tc>
        <w:tc>
          <w:tcPr>
            <w:tcW w:w="5" w:type="pct"/>
            <w:shd w:val="clear" w:color="auto" w:fill="auto"/>
          </w:tcPr>
          <w:p w14:paraId="5EA248EF" w14:textId="77777777" w:rsidR="003C66EB" w:rsidRDefault="003C66EB">
            <w:pPr>
              <w:rPr>
                <w:rFonts w:ascii="宋体"/>
              </w:rPr>
            </w:pPr>
          </w:p>
        </w:tc>
        <w:tc>
          <w:tcPr>
            <w:tcW w:w="50" w:type="pct"/>
            <w:shd w:val="clear" w:color="auto" w:fill="auto"/>
          </w:tcPr>
          <w:p w14:paraId="5EA248F0" w14:textId="77777777" w:rsidR="003C66EB" w:rsidRDefault="003C66EB">
            <w:pPr>
              <w:rPr>
                <w:rFonts w:ascii="宋体"/>
              </w:rPr>
            </w:pPr>
          </w:p>
        </w:tc>
        <w:tc>
          <w:tcPr>
            <w:tcW w:w="934" w:type="pct"/>
            <w:shd w:val="clear" w:color="auto" w:fill="auto"/>
          </w:tcPr>
          <w:p w14:paraId="5EA248F1" w14:textId="77777777" w:rsidR="003C66EB" w:rsidRDefault="003C66EB">
            <w:pPr>
              <w:rPr>
                <w:rFonts w:ascii="宋体"/>
              </w:rPr>
            </w:pPr>
          </w:p>
        </w:tc>
        <w:tc>
          <w:tcPr>
            <w:tcW w:w="5" w:type="pct"/>
            <w:shd w:val="clear" w:color="auto" w:fill="auto"/>
          </w:tcPr>
          <w:p w14:paraId="5EA248F2" w14:textId="77777777" w:rsidR="003C66EB" w:rsidRDefault="003C66EB">
            <w:pPr>
              <w:rPr>
                <w:rFonts w:ascii="宋体"/>
              </w:rPr>
            </w:pPr>
          </w:p>
        </w:tc>
      </w:tr>
      <w:tr w:rsidR="003C66EB" w14:paraId="5EA248FA" w14:textId="77777777">
        <w:trPr>
          <w:trHeight w:val="220"/>
        </w:trPr>
        <w:tc>
          <w:tcPr>
            <w:tcW w:w="0" w:type="auto"/>
            <w:gridSpan w:val="3"/>
            <w:shd w:val="clear" w:color="auto" w:fill="auto"/>
            <w:tcMar>
              <w:top w:w="40" w:type="dxa"/>
              <w:left w:w="20" w:type="dxa"/>
              <w:bottom w:w="40" w:type="dxa"/>
              <w:right w:w="20" w:type="dxa"/>
            </w:tcMar>
            <w:vAlign w:val="bottom"/>
          </w:tcPr>
          <w:p w14:paraId="5EA248F4" w14:textId="77777777" w:rsidR="003C66EB" w:rsidRDefault="00D96C4E">
            <w:pPr>
              <w:textAlignment w:val="bottom"/>
            </w:pPr>
            <w:r>
              <w:rPr>
                <w:rFonts w:ascii="Arial" w:eastAsia="宋体" w:hAnsi="Arial" w:cs="Arial"/>
                <w:b/>
                <w:bCs/>
                <w:color w:val="000000"/>
                <w:sz w:val="14"/>
                <w:szCs w:val="14"/>
              </w:rPr>
              <w:t>March 31, 2021</w:t>
            </w:r>
          </w:p>
        </w:tc>
        <w:tc>
          <w:tcPr>
            <w:tcW w:w="0" w:type="auto"/>
            <w:gridSpan w:val="3"/>
            <w:vMerge w:val="restart"/>
            <w:shd w:val="clear" w:color="auto" w:fill="auto"/>
            <w:tcMar>
              <w:top w:w="40" w:type="dxa"/>
              <w:left w:w="20" w:type="dxa"/>
              <w:bottom w:w="40" w:type="dxa"/>
              <w:right w:w="20" w:type="dxa"/>
            </w:tcMar>
            <w:vAlign w:val="bottom"/>
          </w:tcPr>
          <w:p w14:paraId="5EA248F5" w14:textId="77777777" w:rsidR="003C66EB" w:rsidRDefault="00D96C4E">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tcPr>
          <w:p w14:paraId="5EA248F6"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48F7" w14:textId="77777777" w:rsidR="003C66EB" w:rsidRDefault="00D96C4E">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tcPr>
          <w:p w14:paraId="5EA248F8"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48F9" w14:textId="77777777" w:rsidR="003C66EB" w:rsidRDefault="00D96C4E">
            <w:pPr>
              <w:jc w:val="center"/>
              <w:textAlignment w:val="bottom"/>
            </w:pPr>
            <w:r>
              <w:rPr>
                <w:rFonts w:ascii="Arial" w:eastAsia="宋体" w:hAnsi="Arial" w:cs="Arial"/>
                <w:b/>
                <w:bCs/>
                <w:color w:val="000000"/>
                <w:sz w:val="14"/>
                <w:szCs w:val="14"/>
              </w:rPr>
              <w:t>Total Loans</w:t>
            </w:r>
          </w:p>
        </w:tc>
      </w:tr>
      <w:tr w:rsidR="003C66EB" w14:paraId="5EA24901" w14:textId="77777777">
        <w:trPr>
          <w:trHeight w:val="220"/>
        </w:trPr>
        <w:tc>
          <w:tcPr>
            <w:tcW w:w="0" w:type="auto"/>
            <w:gridSpan w:val="3"/>
            <w:shd w:val="clear" w:color="auto" w:fill="auto"/>
            <w:tcMar>
              <w:top w:w="40" w:type="dxa"/>
              <w:left w:w="20" w:type="dxa"/>
              <w:bottom w:w="40" w:type="dxa"/>
              <w:right w:w="20" w:type="dxa"/>
            </w:tcMar>
            <w:vAlign w:val="bottom"/>
          </w:tcPr>
          <w:p w14:paraId="5EA248FB"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5EA248FC" w14:textId="77777777" w:rsidR="003C66EB" w:rsidRDefault="003C66EB">
            <w:pPr>
              <w:jc w:val="center"/>
              <w:rPr>
                <w:rFonts w:ascii="宋体"/>
              </w:rPr>
            </w:pPr>
          </w:p>
        </w:tc>
        <w:tc>
          <w:tcPr>
            <w:tcW w:w="0" w:type="auto"/>
            <w:gridSpan w:val="3"/>
            <w:vMerge/>
            <w:shd w:val="clear" w:color="auto" w:fill="auto"/>
            <w:tcMar>
              <w:top w:w="0" w:type="dxa"/>
              <w:left w:w="20" w:type="dxa"/>
              <w:bottom w:w="0" w:type="dxa"/>
              <w:right w:w="20" w:type="dxa"/>
            </w:tcMar>
          </w:tcPr>
          <w:p w14:paraId="5EA248FD"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48FE" w14:textId="77777777" w:rsidR="003C66EB" w:rsidRDefault="003C66EB">
            <w:pPr>
              <w:jc w:val="center"/>
              <w:rPr>
                <w:rFonts w:ascii="宋体"/>
              </w:rPr>
            </w:pPr>
          </w:p>
        </w:tc>
        <w:tc>
          <w:tcPr>
            <w:tcW w:w="0" w:type="auto"/>
            <w:gridSpan w:val="3"/>
            <w:vMerge/>
            <w:shd w:val="clear" w:color="auto" w:fill="auto"/>
            <w:tcMar>
              <w:top w:w="0" w:type="dxa"/>
              <w:left w:w="20" w:type="dxa"/>
              <w:bottom w:w="0" w:type="dxa"/>
              <w:right w:w="20" w:type="dxa"/>
            </w:tcMar>
          </w:tcPr>
          <w:p w14:paraId="5EA248FF"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4900" w14:textId="77777777" w:rsidR="003C66EB" w:rsidRDefault="003C66EB">
            <w:pPr>
              <w:jc w:val="center"/>
              <w:rPr>
                <w:rFonts w:ascii="宋体"/>
              </w:rPr>
            </w:pPr>
          </w:p>
        </w:tc>
      </w:tr>
      <w:tr w:rsidR="003C66EB" w14:paraId="5EA2490E" w14:textId="77777777">
        <w:tc>
          <w:tcPr>
            <w:tcW w:w="0" w:type="auto"/>
            <w:gridSpan w:val="3"/>
            <w:shd w:val="clear" w:color="auto" w:fill="CCEEFF"/>
            <w:tcMar>
              <w:top w:w="40" w:type="dxa"/>
              <w:left w:w="20" w:type="dxa"/>
              <w:bottom w:w="40" w:type="dxa"/>
              <w:right w:w="20" w:type="dxa"/>
            </w:tcMar>
            <w:vAlign w:val="bottom"/>
          </w:tcPr>
          <w:p w14:paraId="5EA24902" w14:textId="77777777" w:rsidR="003C66EB" w:rsidRDefault="00D96C4E">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490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904" w14:textId="77777777" w:rsidR="003C66EB" w:rsidRDefault="00D96C4E">
            <w:pPr>
              <w:jc w:val="right"/>
              <w:textAlignment w:val="bottom"/>
            </w:pPr>
            <w:r>
              <w:rPr>
                <w:rFonts w:ascii="Arial" w:eastAsia="宋体" w:hAnsi="Arial" w:cs="Arial"/>
                <w:b/>
                <w:bCs/>
                <w:color w:val="000000"/>
                <w:sz w:val="14"/>
                <w:szCs w:val="14"/>
              </w:rPr>
              <w:t>24,147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9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0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90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908" w14:textId="77777777" w:rsidR="003C66EB" w:rsidRDefault="00D96C4E">
            <w:pPr>
              <w:jc w:val="right"/>
              <w:textAlignment w:val="bottom"/>
            </w:pPr>
            <w:r>
              <w:rPr>
                <w:rFonts w:ascii="Arial" w:eastAsia="宋体" w:hAnsi="Arial" w:cs="Arial"/>
                <w:b/>
                <w:bCs/>
                <w:color w:val="000000"/>
                <w:sz w:val="14"/>
                <w:szCs w:val="14"/>
              </w:rPr>
              <w:t>1,675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90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0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90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90C" w14:textId="77777777" w:rsidR="003C66EB" w:rsidRDefault="00D96C4E">
            <w:pPr>
              <w:jc w:val="right"/>
              <w:textAlignment w:val="bottom"/>
            </w:pPr>
            <w:r>
              <w:rPr>
                <w:rFonts w:ascii="Arial" w:eastAsia="宋体" w:hAnsi="Arial" w:cs="Arial"/>
                <w:b/>
                <w:bCs/>
                <w:color w:val="000000"/>
                <w:sz w:val="14"/>
                <w:szCs w:val="14"/>
              </w:rPr>
              <w:t>25,822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90D" w14:textId="77777777" w:rsidR="003C66EB" w:rsidRDefault="003C66EB">
            <w:pPr>
              <w:jc w:val="right"/>
              <w:rPr>
                <w:rFonts w:ascii="宋体"/>
              </w:rPr>
            </w:pPr>
          </w:p>
        </w:tc>
      </w:tr>
      <w:tr w:rsidR="003C66EB" w14:paraId="5EA24918" w14:textId="77777777">
        <w:tc>
          <w:tcPr>
            <w:tcW w:w="0" w:type="auto"/>
            <w:gridSpan w:val="3"/>
            <w:shd w:val="clear" w:color="auto" w:fill="FFFFFF"/>
            <w:tcMar>
              <w:top w:w="40" w:type="dxa"/>
              <w:left w:w="20" w:type="dxa"/>
              <w:bottom w:w="40" w:type="dxa"/>
              <w:right w:w="20" w:type="dxa"/>
            </w:tcMar>
            <w:vAlign w:val="bottom"/>
          </w:tcPr>
          <w:p w14:paraId="5EA2490F"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4910" w14:textId="77777777" w:rsidR="003C66EB" w:rsidRDefault="00D96C4E">
            <w:pPr>
              <w:jc w:val="right"/>
              <w:textAlignment w:val="bottom"/>
            </w:pPr>
            <w:r>
              <w:rPr>
                <w:rFonts w:ascii="Arial" w:eastAsia="宋体" w:hAnsi="Arial" w:cs="Arial"/>
                <w:b/>
                <w:bCs/>
                <w:color w:val="000000"/>
                <w:sz w:val="14"/>
                <w:szCs w:val="14"/>
              </w:rPr>
              <w:t>5,088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1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1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13" w14:textId="77777777" w:rsidR="003C66EB" w:rsidRDefault="00D96C4E">
            <w:pPr>
              <w:jc w:val="right"/>
              <w:textAlignment w:val="bottom"/>
            </w:pPr>
            <w:r>
              <w:rPr>
                <w:rFonts w:ascii="Arial" w:eastAsia="宋体" w:hAnsi="Arial" w:cs="Arial"/>
                <w:b/>
                <w:bCs/>
                <w:color w:val="000000"/>
                <w:sz w:val="14"/>
                <w:szCs w:val="14"/>
              </w:rPr>
              <w:t>421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1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16" w14:textId="77777777" w:rsidR="003C66EB" w:rsidRDefault="00D96C4E">
            <w:pPr>
              <w:jc w:val="right"/>
              <w:textAlignment w:val="bottom"/>
            </w:pPr>
            <w:r>
              <w:rPr>
                <w:rFonts w:ascii="Arial" w:eastAsia="宋体" w:hAnsi="Arial" w:cs="Arial"/>
                <w:b/>
                <w:bCs/>
                <w:color w:val="000000"/>
                <w:sz w:val="14"/>
                <w:szCs w:val="14"/>
              </w:rPr>
              <w:t>5,509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17" w14:textId="77777777" w:rsidR="003C66EB" w:rsidRDefault="003C66EB">
            <w:pPr>
              <w:jc w:val="right"/>
              <w:rPr>
                <w:rFonts w:ascii="宋体"/>
              </w:rPr>
            </w:pPr>
          </w:p>
        </w:tc>
      </w:tr>
      <w:tr w:rsidR="003C66EB" w14:paraId="5EA24922" w14:textId="77777777">
        <w:tc>
          <w:tcPr>
            <w:tcW w:w="0" w:type="auto"/>
            <w:gridSpan w:val="3"/>
            <w:shd w:val="clear" w:color="auto" w:fill="CCEEFF"/>
            <w:tcMar>
              <w:top w:w="40" w:type="dxa"/>
              <w:left w:w="20" w:type="dxa"/>
              <w:bottom w:w="40" w:type="dxa"/>
              <w:right w:w="20" w:type="dxa"/>
            </w:tcMar>
            <w:vAlign w:val="bottom"/>
          </w:tcPr>
          <w:p w14:paraId="5EA24919" w14:textId="77777777" w:rsidR="003C66EB" w:rsidRDefault="00D96C4E">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A2491A" w14:textId="77777777" w:rsidR="003C66EB" w:rsidRDefault="00D96C4E">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1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1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1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20" w14:textId="77777777" w:rsidR="003C66EB" w:rsidRDefault="00D96C4E">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21" w14:textId="77777777" w:rsidR="003C66EB" w:rsidRDefault="003C66EB">
            <w:pPr>
              <w:jc w:val="right"/>
              <w:rPr>
                <w:rFonts w:ascii="宋体"/>
              </w:rPr>
            </w:pPr>
          </w:p>
        </w:tc>
      </w:tr>
      <w:tr w:rsidR="003C66EB" w14:paraId="5EA2492C" w14:textId="77777777">
        <w:tc>
          <w:tcPr>
            <w:tcW w:w="0" w:type="auto"/>
            <w:gridSpan w:val="3"/>
            <w:shd w:val="clear" w:color="auto" w:fill="FFFFFF"/>
            <w:tcMar>
              <w:top w:w="40" w:type="dxa"/>
              <w:left w:w="20" w:type="dxa"/>
              <w:bottom w:w="40" w:type="dxa"/>
              <w:right w:w="20" w:type="dxa"/>
            </w:tcMar>
            <w:vAlign w:val="bottom"/>
          </w:tcPr>
          <w:p w14:paraId="5EA24923" w14:textId="77777777" w:rsidR="003C66EB" w:rsidRDefault="00D96C4E">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A24924" w14:textId="77777777" w:rsidR="003C66EB" w:rsidRDefault="00D96C4E">
            <w:pPr>
              <w:jc w:val="right"/>
              <w:textAlignment w:val="bottom"/>
            </w:pPr>
            <w:r>
              <w:rPr>
                <w:rFonts w:ascii="Arial" w:eastAsia="宋体" w:hAnsi="Arial" w:cs="Arial"/>
                <w:b/>
                <w:bCs/>
                <w:color w:val="000000"/>
                <w:sz w:val="14"/>
                <w:szCs w:val="14"/>
              </w:rPr>
              <w:t>127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2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27"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2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2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2A" w14:textId="77777777" w:rsidR="003C66EB" w:rsidRDefault="00D96C4E">
            <w:pPr>
              <w:jc w:val="right"/>
              <w:textAlignment w:val="bottom"/>
            </w:pPr>
            <w:r>
              <w:rPr>
                <w:rFonts w:ascii="Arial" w:eastAsia="宋体" w:hAnsi="Arial" w:cs="Arial"/>
                <w:b/>
                <w:bCs/>
                <w:color w:val="000000"/>
                <w:sz w:val="14"/>
                <w:szCs w:val="14"/>
              </w:rPr>
              <w:t>127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2B" w14:textId="77777777" w:rsidR="003C66EB" w:rsidRDefault="003C66EB">
            <w:pPr>
              <w:jc w:val="right"/>
              <w:rPr>
                <w:rFonts w:ascii="宋体"/>
              </w:rPr>
            </w:pPr>
          </w:p>
        </w:tc>
      </w:tr>
      <w:tr w:rsidR="003C66EB" w14:paraId="5EA24936" w14:textId="77777777">
        <w:tc>
          <w:tcPr>
            <w:tcW w:w="0" w:type="auto"/>
            <w:gridSpan w:val="3"/>
            <w:shd w:val="clear" w:color="auto" w:fill="CCEEFF"/>
            <w:tcMar>
              <w:top w:w="40" w:type="dxa"/>
              <w:left w:w="20" w:type="dxa"/>
              <w:bottom w:w="40" w:type="dxa"/>
              <w:right w:w="20" w:type="dxa"/>
            </w:tcMar>
            <w:vAlign w:val="bottom"/>
          </w:tcPr>
          <w:p w14:paraId="5EA2492D" w14:textId="77777777" w:rsidR="003C66EB" w:rsidRDefault="00D96C4E">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EA2492E" w14:textId="77777777" w:rsidR="003C66EB" w:rsidRDefault="00D96C4E">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3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3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3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3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34" w14:textId="77777777" w:rsidR="003C66EB" w:rsidRDefault="00D96C4E">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35" w14:textId="77777777" w:rsidR="003C66EB" w:rsidRDefault="003C66EB">
            <w:pPr>
              <w:jc w:val="right"/>
              <w:rPr>
                <w:rFonts w:ascii="宋体"/>
              </w:rPr>
            </w:pPr>
          </w:p>
        </w:tc>
      </w:tr>
      <w:tr w:rsidR="003C66EB" w14:paraId="5EA2493D" w14:textId="77777777">
        <w:trPr>
          <w:hidden/>
        </w:trPr>
        <w:tc>
          <w:tcPr>
            <w:tcW w:w="0" w:type="auto"/>
            <w:gridSpan w:val="3"/>
            <w:shd w:val="clear" w:color="auto" w:fill="auto"/>
          </w:tcPr>
          <w:p w14:paraId="5EA24937" w14:textId="77777777" w:rsidR="003C66EB" w:rsidRDefault="003C66EB">
            <w:pPr>
              <w:rPr>
                <w:rFonts w:ascii="宋体"/>
                <w:vanish/>
              </w:rPr>
            </w:pPr>
          </w:p>
        </w:tc>
        <w:tc>
          <w:tcPr>
            <w:tcW w:w="0" w:type="auto"/>
            <w:gridSpan w:val="3"/>
            <w:shd w:val="clear" w:color="auto" w:fill="auto"/>
          </w:tcPr>
          <w:p w14:paraId="5EA24938" w14:textId="77777777" w:rsidR="003C66EB" w:rsidRDefault="003C66EB">
            <w:pPr>
              <w:rPr>
                <w:rFonts w:ascii="宋体"/>
                <w:vanish/>
              </w:rPr>
            </w:pPr>
          </w:p>
        </w:tc>
        <w:tc>
          <w:tcPr>
            <w:tcW w:w="0" w:type="auto"/>
            <w:gridSpan w:val="3"/>
            <w:shd w:val="clear" w:color="auto" w:fill="auto"/>
          </w:tcPr>
          <w:p w14:paraId="5EA24939" w14:textId="77777777" w:rsidR="003C66EB" w:rsidRDefault="003C66EB">
            <w:pPr>
              <w:rPr>
                <w:rFonts w:ascii="宋体"/>
                <w:vanish/>
              </w:rPr>
            </w:pPr>
          </w:p>
        </w:tc>
        <w:tc>
          <w:tcPr>
            <w:tcW w:w="0" w:type="auto"/>
            <w:gridSpan w:val="3"/>
            <w:shd w:val="clear" w:color="auto" w:fill="auto"/>
          </w:tcPr>
          <w:p w14:paraId="5EA2493A" w14:textId="77777777" w:rsidR="003C66EB" w:rsidRDefault="003C66EB">
            <w:pPr>
              <w:rPr>
                <w:rFonts w:ascii="宋体"/>
                <w:vanish/>
              </w:rPr>
            </w:pPr>
          </w:p>
        </w:tc>
        <w:tc>
          <w:tcPr>
            <w:tcW w:w="0" w:type="auto"/>
            <w:gridSpan w:val="3"/>
            <w:shd w:val="clear" w:color="auto" w:fill="auto"/>
          </w:tcPr>
          <w:p w14:paraId="5EA2493B" w14:textId="77777777" w:rsidR="003C66EB" w:rsidRDefault="003C66EB">
            <w:pPr>
              <w:rPr>
                <w:rFonts w:ascii="宋体"/>
                <w:vanish/>
              </w:rPr>
            </w:pPr>
          </w:p>
        </w:tc>
        <w:tc>
          <w:tcPr>
            <w:tcW w:w="0" w:type="auto"/>
            <w:gridSpan w:val="3"/>
            <w:shd w:val="clear" w:color="auto" w:fill="auto"/>
          </w:tcPr>
          <w:p w14:paraId="5EA2493C" w14:textId="77777777" w:rsidR="003C66EB" w:rsidRDefault="003C66EB">
            <w:pPr>
              <w:rPr>
                <w:rFonts w:ascii="宋体"/>
                <w:vanish/>
              </w:rPr>
            </w:pPr>
          </w:p>
        </w:tc>
      </w:tr>
      <w:tr w:rsidR="003C66EB" w14:paraId="5EA2494A" w14:textId="77777777">
        <w:tc>
          <w:tcPr>
            <w:tcW w:w="0" w:type="auto"/>
            <w:gridSpan w:val="3"/>
            <w:shd w:val="clear" w:color="auto" w:fill="FFFFFF"/>
            <w:tcMar>
              <w:top w:w="40" w:type="dxa"/>
              <w:left w:w="20" w:type="dxa"/>
              <w:bottom w:w="40" w:type="dxa"/>
              <w:right w:w="20" w:type="dxa"/>
            </w:tcMar>
            <w:vAlign w:val="bottom"/>
          </w:tcPr>
          <w:p w14:paraId="5EA2493E" w14:textId="77777777" w:rsidR="003C66EB" w:rsidRDefault="00D96C4E">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93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940" w14:textId="77777777" w:rsidR="003C66EB" w:rsidRDefault="00D96C4E">
            <w:pPr>
              <w:jc w:val="right"/>
              <w:textAlignment w:val="bottom"/>
            </w:pPr>
            <w:r>
              <w:rPr>
                <w:rFonts w:ascii="Arial" w:eastAsia="宋体" w:hAnsi="Arial" w:cs="Arial"/>
                <w:b/>
                <w:bCs/>
                <w:color w:val="000000"/>
                <w:sz w:val="14"/>
                <w:szCs w:val="14"/>
              </w:rPr>
              <w:t>29,489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9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4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94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944" w14:textId="77777777" w:rsidR="003C66EB" w:rsidRDefault="00D96C4E">
            <w:pPr>
              <w:jc w:val="right"/>
              <w:textAlignment w:val="bottom"/>
            </w:pPr>
            <w:r>
              <w:rPr>
                <w:rFonts w:ascii="Arial" w:eastAsia="宋体" w:hAnsi="Arial" w:cs="Arial"/>
                <w:b/>
                <w:bCs/>
                <w:color w:val="000000"/>
                <w:sz w:val="14"/>
                <w:szCs w:val="14"/>
              </w:rPr>
              <w:t>2,096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9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4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494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4948" w14:textId="77777777" w:rsidR="003C66EB" w:rsidRDefault="00D96C4E">
            <w:pPr>
              <w:jc w:val="right"/>
              <w:textAlignment w:val="bottom"/>
            </w:pPr>
            <w:r>
              <w:rPr>
                <w:rFonts w:ascii="Arial" w:eastAsia="宋体" w:hAnsi="Arial" w:cs="Arial"/>
                <w:b/>
                <w:bCs/>
                <w:color w:val="000000"/>
                <w:sz w:val="14"/>
                <w:szCs w:val="14"/>
              </w:rPr>
              <w:t>31,585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4949" w14:textId="77777777" w:rsidR="003C66EB" w:rsidRDefault="003C66EB">
            <w:pPr>
              <w:jc w:val="right"/>
              <w:rPr>
                <w:rFonts w:ascii="宋体"/>
              </w:rPr>
            </w:pPr>
          </w:p>
        </w:tc>
      </w:tr>
    </w:tbl>
    <w:p w14:paraId="5EA2494B" w14:textId="77777777" w:rsidR="003C66EB" w:rsidRDefault="003C66EB">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7"/>
        <w:gridCol w:w="99"/>
        <w:gridCol w:w="1515"/>
        <w:gridCol w:w="36"/>
        <w:gridCol w:w="36"/>
        <w:gridCol w:w="36"/>
        <w:gridCol w:w="36"/>
        <w:gridCol w:w="99"/>
        <w:gridCol w:w="1484"/>
        <w:gridCol w:w="36"/>
        <w:gridCol w:w="36"/>
        <w:gridCol w:w="36"/>
        <w:gridCol w:w="36"/>
        <w:gridCol w:w="98"/>
        <w:gridCol w:w="1485"/>
        <w:gridCol w:w="36"/>
      </w:tblGrid>
      <w:tr w:rsidR="003C66EB" w14:paraId="5EA2495E" w14:textId="77777777">
        <w:tc>
          <w:tcPr>
            <w:tcW w:w="50" w:type="pct"/>
            <w:shd w:val="clear" w:color="auto" w:fill="auto"/>
          </w:tcPr>
          <w:p w14:paraId="5EA2494C" w14:textId="77777777" w:rsidR="003C66EB" w:rsidRDefault="003C66EB">
            <w:pPr>
              <w:rPr>
                <w:rFonts w:ascii="宋体"/>
              </w:rPr>
            </w:pPr>
          </w:p>
        </w:tc>
        <w:tc>
          <w:tcPr>
            <w:tcW w:w="1902" w:type="pct"/>
            <w:shd w:val="clear" w:color="auto" w:fill="auto"/>
          </w:tcPr>
          <w:p w14:paraId="5EA2494D" w14:textId="77777777" w:rsidR="003C66EB" w:rsidRDefault="003C66EB">
            <w:pPr>
              <w:rPr>
                <w:rFonts w:ascii="宋体"/>
              </w:rPr>
            </w:pPr>
          </w:p>
        </w:tc>
        <w:tc>
          <w:tcPr>
            <w:tcW w:w="5" w:type="pct"/>
            <w:shd w:val="clear" w:color="auto" w:fill="auto"/>
          </w:tcPr>
          <w:p w14:paraId="5EA2494E" w14:textId="77777777" w:rsidR="003C66EB" w:rsidRDefault="003C66EB">
            <w:pPr>
              <w:rPr>
                <w:rFonts w:ascii="宋体"/>
              </w:rPr>
            </w:pPr>
          </w:p>
        </w:tc>
        <w:tc>
          <w:tcPr>
            <w:tcW w:w="50" w:type="pct"/>
            <w:shd w:val="clear" w:color="auto" w:fill="auto"/>
          </w:tcPr>
          <w:p w14:paraId="5EA2494F" w14:textId="77777777" w:rsidR="003C66EB" w:rsidRDefault="003C66EB">
            <w:pPr>
              <w:rPr>
                <w:rFonts w:ascii="宋体"/>
              </w:rPr>
            </w:pPr>
          </w:p>
        </w:tc>
        <w:tc>
          <w:tcPr>
            <w:tcW w:w="934" w:type="pct"/>
            <w:shd w:val="clear" w:color="auto" w:fill="auto"/>
          </w:tcPr>
          <w:p w14:paraId="5EA24950" w14:textId="77777777" w:rsidR="003C66EB" w:rsidRDefault="003C66EB">
            <w:pPr>
              <w:rPr>
                <w:rFonts w:ascii="宋体"/>
              </w:rPr>
            </w:pPr>
          </w:p>
        </w:tc>
        <w:tc>
          <w:tcPr>
            <w:tcW w:w="5" w:type="pct"/>
            <w:shd w:val="clear" w:color="auto" w:fill="auto"/>
          </w:tcPr>
          <w:p w14:paraId="5EA24951" w14:textId="77777777" w:rsidR="003C66EB" w:rsidRDefault="003C66EB">
            <w:pPr>
              <w:rPr>
                <w:rFonts w:ascii="宋体"/>
              </w:rPr>
            </w:pPr>
          </w:p>
        </w:tc>
        <w:tc>
          <w:tcPr>
            <w:tcW w:w="5" w:type="pct"/>
            <w:shd w:val="clear" w:color="auto" w:fill="auto"/>
          </w:tcPr>
          <w:p w14:paraId="5EA24952" w14:textId="77777777" w:rsidR="003C66EB" w:rsidRDefault="003C66EB">
            <w:pPr>
              <w:rPr>
                <w:rFonts w:ascii="宋体"/>
              </w:rPr>
            </w:pPr>
          </w:p>
        </w:tc>
        <w:tc>
          <w:tcPr>
            <w:tcW w:w="26" w:type="pct"/>
            <w:shd w:val="clear" w:color="auto" w:fill="auto"/>
          </w:tcPr>
          <w:p w14:paraId="5EA24953" w14:textId="77777777" w:rsidR="003C66EB" w:rsidRDefault="003C66EB">
            <w:pPr>
              <w:rPr>
                <w:rFonts w:ascii="宋体"/>
              </w:rPr>
            </w:pPr>
          </w:p>
        </w:tc>
        <w:tc>
          <w:tcPr>
            <w:tcW w:w="5" w:type="pct"/>
            <w:shd w:val="clear" w:color="auto" w:fill="auto"/>
          </w:tcPr>
          <w:p w14:paraId="5EA24954" w14:textId="77777777" w:rsidR="003C66EB" w:rsidRDefault="003C66EB">
            <w:pPr>
              <w:rPr>
                <w:rFonts w:ascii="宋体"/>
              </w:rPr>
            </w:pPr>
          </w:p>
        </w:tc>
        <w:tc>
          <w:tcPr>
            <w:tcW w:w="50" w:type="pct"/>
            <w:shd w:val="clear" w:color="auto" w:fill="auto"/>
          </w:tcPr>
          <w:p w14:paraId="5EA24955" w14:textId="77777777" w:rsidR="003C66EB" w:rsidRDefault="003C66EB">
            <w:pPr>
              <w:rPr>
                <w:rFonts w:ascii="宋体"/>
              </w:rPr>
            </w:pPr>
          </w:p>
        </w:tc>
        <w:tc>
          <w:tcPr>
            <w:tcW w:w="934" w:type="pct"/>
            <w:shd w:val="clear" w:color="auto" w:fill="auto"/>
          </w:tcPr>
          <w:p w14:paraId="5EA24956" w14:textId="77777777" w:rsidR="003C66EB" w:rsidRDefault="003C66EB">
            <w:pPr>
              <w:rPr>
                <w:rFonts w:ascii="宋体"/>
              </w:rPr>
            </w:pPr>
          </w:p>
        </w:tc>
        <w:tc>
          <w:tcPr>
            <w:tcW w:w="5" w:type="pct"/>
            <w:shd w:val="clear" w:color="auto" w:fill="auto"/>
          </w:tcPr>
          <w:p w14:paraId="5EA24957" w14:textId="77777777" w:rsidR="003C66EB" w:rsidRDefault="003C66EB">
            <w:pPr>
              <w:rPr>
                <w:rFonts w:ascii="宋体"/>
              </w:rPr>
            </w:pPr>
          </w:p>
        </w:tc>
        <w:tc>
          <w:tcPr>
            <w:tcW w:w="5" w:type="pct"/>
            <w:shd w:val="clear" w:color="auto" w:fill="auto"/>
          </w:tcPr>
          <w:p w14:paraId="5EA24958" w14:textId="77777777" w:rsidR="003C66EB" w:rsidRDefault="003C66EB">
            <w:pPr>
              <w:rPr>
                <w:rFonts w:ascii="宋体"/>
              </w:rPr>
            </w:pPr>
          </w:p>
        </w:tc>
        <w:tc>
          <w:tcPr>
            <w:tcW w:w="26" w:type="pct"/>
            <w:shd w:val="clear" w:color="auto" w:fill="auto"/>
          </w:tcPr>
          <w:p w14:paraId="5EA24959" w14:textId="77777777" w:rsidR="003C66EB" w:rsidRDefault="003C66EB">
            <w:pPr>
              <w:rPr>
                <w:rFonts w:ascii="宋体"/>
              </w:rPr>
            </w:pPr>
          </w:p>
        </w:tc>
        <w:tc>
          <w:tcPr>
            <w:tcW w:w="5" w:type="pct"/>
            <w:shd w:val="clear" w:color="auto" w:fill="auto"/>
          </w:tcPr>
          <w:p w14:paraId="5EA2495A" w14:textId="77777777" w:rsidR="003C66EB" w:rsidRDefault="003C66EB">
            <w:pPr>
              <w:rPr>
                <w:rFonts w:ascii="宋体"/>
              </w:rPr>
            </w:pPr>
          </w:p>
        </w:tc>
        <w:tc>
          <w:tcPr>
            <w:tcW w:w="50" w:type="pct"/>
            <w:shd w:val="clear" w:color="auto" w:fill="auto"/>
          </w:tcPr>
          <w:p w14:paraId="5EA2495B" w14:textId="77777777" w:rsidR="003C66EB" w:rsidRDefault="003C66EB">
            <w:pPr>
              <w:rPr>
                <w:rFonts w:ascii="宋体"/>
              </w:rPr>
            </w:pPr>
          </w:p>
        </w:tc>
        <w:tc>
          <w:tcPr>
            <w:tcW w:w="934" w:type="pct"/>
            <w:shd w:val="clear" w:color="auto" w:fill="auto"/>
          </w:tcPr>
          <w:p w14:paraId="5EA2495C" w14:textId="77777777" w:rsidR="003C66EB" w:rsidRDefault="003C66EB">
            <w:pPr>
              <w:rPr>
                <w:rFonts w:ascii="宋体"/>
              </w:rPr>
            </w:pPr>
          </w:p>
        </w:tc>
        <w:tc>
          <w:tcPr>
            <w:tcW w:w="5" w:type="pct"/>
            <w:shd w:val="clear" w:color="auto" w:fill="auto"/>
          </w:tcPr>
          <w:p w14:paraId="5EA2495D" w14:textId="77777777" w:rsidR="003C66EB" w:rsidRDefault="003C66EB">
            <w:pPr>
              <w:rPr>
                <w:rFonts w:ascii="宋体"/>
              </w:rPr>
            </w:pPr>
          </w:p>
        </w:tc>
      </w:tr>
      <w:tr w:rsidR="003C66EB" w14:paraId="5EA24965" w14:textId="77777777">
        <w:trPr>
          <w:trHeight w:val="220"/>
        </w:trPr>
        <w:tc>
          <w:tcPr>
            <w:tcW w:w="0" w:type="auto"/>
            <w:gridSpan w:val="3"/>
            <w:shd w:val="clear" w:color="auto" w:fill="auto"/>
            <w:tcMar>
              <w:top w:w="40" w:type="dxa"/>
              <w:left w:w="20" w:type="dxa"/>
              <w:bottom w:w="40" w:type="dxa"/>
              <w:right w:w="20" w:type="dxa"/>
            </w:tcMar>
            <w:vAlign w:val="bottom"/>
          </w:tcPr>
          <w:p w14:paraId="5EA2495F" w14:textId="77777777" w:rsidR="003C66EB" w:rsidRDefault="00D96C4E">
            <w:pPr>
              <w:textAlignment w:val="bottom"/>
            </w:pPr>
            <w:r>
              <w:rPr>
                <w:rFonts w:ascii="Arial" w:eastAsia="宋体" w:hAnsi="Arial" w:cs="Arial"/>
                <w:b/>
                <w:bCs/>
                <w:color w:val="000000"/>
                <w:sz w:val="14"/>
                <w:szCs w:val="14"/>
              </w:rPr>
              <w:t>December 31, 2020</w:t>
            </w:r>
          </w:p>
        </w:tc>
        <w:tc>
          <w:tcPr>
            <w:tcW w:w="0" w:type="auto"/>
            <w:gridSpan w:val="3"/>
            <w:vMerge w:val="restart"/>
            <w:shd w:val="clear" w:color="auto" w:fill="auto"/>
            <w:tcMar>
              <w:top w:w="40" w:type="dxa"/>
              <w:left w:w="20" w:type="dxa"/>
              <w:bottom w:w="40" w:type="dxa"/>
              <w:right w:w="20" w:type="dxa"/>
            </w:tcMar>
            <w:vAlign w:val="bottom"/>
          </w:tcPr>
          <w:p w14:paraId="5EA24960" w14:textId="77777777" w:rsidR="003C66EB" w:rsidRDefault="00D96C4E">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tcPr>
          <w:p w14:paraId="5EA24961"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4962" w14:textId="77777777" w:rsidR="003C66EB" w:rsidRDefault="00D96C4E">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tcPr>
          <w:p w14:paraId="5EA24963"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4964" w14:textId="77777777" w:rsidR="003C66EB" w:rsidRDefault="00D96C4E">
            <w:pPr>
              <w:jc w:val="center"/>
              <w:textAlignment w:val="bottom"/>
            </w:pPr>
            <w:r>
              <w:rPr>
                <w:rFonts w:ascii="Arial" w:eastAsia="宋体" w:hAnsi="Arial" w:cs="Arial"/>
                <w:b/>
                <w:bCs/>
                <w:color w:val="000000"/>
                <w:sz w:val="14"/>
                <w:szCs w:val="14"/>
              </w:rPr>
              <w:t>Total Loans </w:t>
            </w:r>
          </w:p>
        </w:tc>
      </w:tr>
      <w:tr w:rsidR="003C66EB" w14:paraId="5EA2496C" w14:textId="77777777">
        <w:trPr>
          <w:trHeight w:val="220"/>
        </w:trPr>
        <w:tc>
          <w:tcPr>
            <w:tcW w:w="0" w:type="auto"/>
            <w:gridSpan w:val="3"/>
            <w:shd w:val="clear" w:color="auto" w:fill="auto"/>
            <w:tcMar>
              <w:top w:w="40" w:type="dxa"/>
              <w:left w:w="20" w:type="dxa"/>
              <w:bottom w:w="40" w:type="dxa"/>
              <w:right w:w="20" w:type="dxa"/>
            </w:tcMar>
            <w:vAlign w:val="bottom"/>
          </w:tcPr>
          <w:p w14:paraId="5EA24966"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5EA24967" w14:textId="77777777" w:rsidR="003C66EB" w:rsidRDefault="003C66EB">
            <w:pPr>
              <w:jc w:val="center"/>
              <w:rPr>
                <w:rFonts w:ascii="宋体"/>
              </w:rPr>
            </w:pPr>
          </w:p>
        </w:tc>
        <w:tc>
          <w:tcPr>
            <w:tcW w:w="0" w:type="auto"/>
            <w:gridSpan w:val="3"/>
            <w:vMerge/>
            <w:shd w:val="clear" w:color="auto" w:fill="auto"/>
            <w:tcMar>
              <w:top w:w="0" w:type="dxa"/>
              <w:left w:w="20" w:type="dxa"/>
              <w:bottom w:w="0" w:type="dxa"/>
              <w:right w:w="20" w:type="dxa"/>
            </w:tcMar>
          </w:tcPr>
          <w:p w14:paraId="5EA24968"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4969" w14:textId="77777777" w:rsidR="003C66EB" w:rsidRDefault="003C66EB">
            <w:pPr>
              <w:jc w:val="center"/>
              <w:rPr>
                <w:rFonts w:ascii="宋体"/>
              </w:rPr>
            </w:pPr>
          </w:p>
        </w:tc>
        <w:tc>
          <w:tcPr>
            <w:tcW w:w="0" w:type="auto"/>
            <w:gridSpan w:val="3"/>
            <w:vMerge/>
            <w:shd w:val="clear" w:color="auto" w:fill="auto"/>
            <w:tcMar>
              <w:top w:w="0" w:type="dxa"/>
              <w:left w:w="20" w:type="dxa"/>
              <w:bottom w:w="0" w:type="dxa"/>
              <w:right w:w="20" w:type="dxa"/>
            </w:tcMar>
          </w:tcPr>
          <w:p w14:paraId="5EA2496A"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496B" w14:textId="77777777" w:rsidR="003C66EB" w:rsidRDefault="003C66EB">
            <w:pPr>
              <w:jc w:val="center"/>
              <w:rPr>
                <w:rFonts w:ascii="宋体"/>
              </w:rPr>
            </w:pPr>
          </w:p>
        </w:tc>
      </w:tr>
      <w:tr w:rsidR="003C66EB" w14:paraId="5EA24979" w14:textId="77777777">
        <w:tc>
          <w:tcPr>
            <w:tcW w:w="0" w:type="auto"/>
            <w:gridSpan w:val="3"/>
            <w:shd w:val="clear" w:color="auto" w:fill="CCEEFF"/>
            <w:tcMar>
              <w:top w:w="40" w:type="dxa"/>
              <w:left w:w="20" w:type="dxa"/>
              <w:bottom w:w="40" w:type="dxa"/>
              <w:right w:w="20" w:type="dxa"/>
            </w:tcMar>
            <w:vAlign w:val="bottom"/>
          </w:tcPr>
          <w:p w14:paraId="5EA2496D" w14:textId="77777777" w:rsidR="003C66EB" w:rsidRDefault="00D96C4E">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496E"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96F" w14:textId="77777777" w:rsidR="003C66EB" w:rsidRDefault="00D96C4E">
            <w:pPr>
              <w:jc w:val="right"/>
              <w:textAlignment w:val="bottom"/>
            </w:pPr>
            <w:r>
              <w:rPr>
                <w:rFonts w:ascii="Arial" w:eastAsia="宋体" w:hAnsi="Arial" w:cs="Arial"/>
                <w:color w:val="000000"/>
                <w:sz w:val="14"/>
                <w:szCs w:val="14"/>
              </w:rPr>
              <w:t>20,859 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9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7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97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973" w14:textId="77777777" w:rsidR="003C66EB" w:rsidRDefault="00D96C4E">
            <w:pPr>
              <w:jc w:val="right"/>
              <w:textAlignment w:val="bottom"/>
            </w:pPr>
            <w:r>
              <w:rPr>
                <w:rFonts w:ascii="Arial" w:eastAsia="宋体" w:hAnsi="Arial" w:cs="Arial"/>
                <w:color w:val="000000"/>
                <w:sz w:val="14"/>
                <w:szCs w:val="14"/>
              </w:rPr>
              <w:t>1,724 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9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7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97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977" w14:textId="77777777" w:rsidR="003C66EB" w:rsidRDefault="00D96C4E">
            <w:pPr>
              <w:jc w:val="right"/>
              <w:textAlignment w:val="bottom"/>
            </w:pPr>
            <w:r>
              <w:rPr>
                <w:rFonts w:ascii="Arial" w:eastAsia="宋体" w:hAnsi="Arial" w:cs="Arial"/>
                <w:color w:val="000000"/>
                <w:sz w:val="14"/>
                <w:szCs w:val="14"/>
              </w:rPr>
              <w:t>22,583 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978" w14:textId="77777777" w:rsidR="003C66EB" w:rsidRDefault="003C66EB">
            <w:pPr>
              <w:jc w:val="right"/>
              <w:rPr>
                <w:rFonts w:ascii="宋体"/>
              </w:rPr>
            </w:pPr>
          </w:p>
        </w:tc>
      </w:tr>
      <w:tr w:rsidR="003C66EB" w14:paraId="5EA24983" w14:textId="77777777">
        <w:tc>
          <w:tcPr>
            <w:tcW w:w="0" w:type="auto"/>
            <w:gridSpan w:val="3"/>
            <w:shd w:val="clear" w:color="auto" w:fill="FFFFFF"/>
            <w:tcMar>
              <w:top w:w="40" w:type="dxa"/>
              <w:left w:w="20" w:type="dxa"/>
              <w:bottom w:w="40" w:type="dxa"/>
              <w:right w:w="20" w:type="dxa"/>
            </w:tcMar>
            <w:vAlign w:val="bottom"/>
          </w:tcPr>
          <w:p w14:paraId="5EA2497A"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497B" w14:textId="77777777" w:rsidR="003C66EB" w:rsidRDefault="00D96C4E">
            <w:pPr>
              <w:jc w:val="right"/>
              <w:textAlignment w:val="bottom"/>
            </w:pPr>
            <w:r>
              <w:rPr>
                <w:rFonts w:ascii="Arial" w:eastAsia="宋体" w:hAnsi="Arial" w:cs="Arial"/>
                <w:color w:val="000000"/>
                <w:sz w:val="14"/>
                <w:szCs w:val="14"/>
              </w:rPr>
              <w:t>4,852 </w:t>
            </w:r>
          </w:p>
        </w:tc>
        <w:tc>
          <w:tcPr>
            <w:tcW w:w="0" w:type="auto"/>
            <w:shd w:val="clear" w:color="auto" w:fill="FFFFFF"/>
            <w:tcMar>
              <w:top w:w="40" w:type="dxa"/>
              <w:left w:w="0" w:type="dxa"/>
              <w:bottom w:w="40" w:type="dxa"/>
              <w:right w:w="20" w:type="dxa"/>
            </w:tcMar>
            <w:vAlign w:val="bottom"/>
          </w:tcPr>
          <w:p w14:paraId="5EA2497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7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7E" w14:textId="77777777" w:rsidR="003C66EB" w:rsidRDefault="00D96C4E">
            <w:pPr>
              <w:jc w:val="right"/>
              <w:textAlignment w:val="bottom"/>
            </w:pPr>
            <w:r>
              <w:rPr>
                <w:rFonts w:ascii="Arial" w:eastAsia="宋体" w:hAnsi="Arial" w:cs="Arial"/>
                <w:color w:val="000000"/>
                <w:sz w:val="14"/>
                <w:szCs w:val="14"/>
              </w:rPr>
              <w:t>372 </w:t>
            </w:r>
          </w:p>
        </w:tc>
        <w:tc>
          <w:tcPr>
            <w:tcW w:w="0" w:type="auto"/>
            <w:shd w:val="clear" w:color="auto" w:fill="FFFFFF"/>
            <w:tcMar>
              <w:top w:w="40" w:type="dxa"/>
              <w:left w:w="0" w:type="dxa"/>
              <w:bottom w:w="40" w:type="dxa"/>
              <w:right w:w="20" w:type="dxa"/>
            </w:tcMar>
            <w:vAlign w:val="bottom"/>
          </w:tcPr>
          <w:p w14:paraId="5EA249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8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81" w14:textId="77777777" w:rsidR="003C66EB" w:rsidRDefault="00D96C4E">
            <w:pPr>
              <w:jc w:val="right"/>
              <w:textAlignment w:val="bottom"/>
            </w:pPr>
            <w:r>
              <w:rPr>
                <w:rFonts w:ascii="Arial" w:eastAsia="宋体" w:hAnsi="Arial" w:cs="Arial"/>
                <w:color w:val="000000"/>
                <w:sz w:val="14"/>
                <w:szCs w:val="14"/>
              </w:rPr>
              <w:t>5,224 </w:t>
            </w:r>
          </w:p>
        </w:tc>
        <w:tc>
          <w:tcPr>
            <w:tcW w:w="0" w:type="auto"/>
            <w:shd w:val="clear" w:color="auto" w:fill="FFFFFF"/>
            <w:tcMar>
              <w:top w:w="40" w:type="dxa"/>
              <w:left w:w="0" w:type="dxa"/>
              <w:bottom w:w="40" w:type="dxa"/>
              <w:right w:w="20" w:type="dxa"/>
            </w:tcMar>
            <w:vAlign w:val="bottom"/>
          </w:tcPr>
          <w:p w14:paraId="5EA24982" w14:textId="77777777" w:rsidR="003C66EB" w:rsidRDefault="003C66EB">
            <w:pPr>
              <w:jc w:val="right"/>
              <w:rPr>
                <w:rFonts w:ascii="宋体"/>
              </w:rPr>
            </w:pPr>
          </w:p>
        </w:tc>
      </w:tr>
      <w:tr w:rsidR="003C66EB" w14:paraId="5EA2498D" w14:textId="77777777">
        <w:tc>
          <w:tcPr>
            <w:tcW w:w="0" w:type="auto"/>
            <w:gridSpan w:val="3"/>
            <w:shd w:val="clear" w:color="auto" w:fill="CCEEFF"/>
            <w:tcMar>
              <w:top w:w="40" w:type="dxa"/>
              <w:left w:w="20" w:type="dxa"/>
              <w:bottom w:w="40" w:type="dxa"/>
              <w:right w:w="20" w:type="dxa"/>
            </w:tcMar>
            <w:vAlign w:val="bottom"/>
          </w:tcPr>
          <w:p w14:paraId="5EA24984" w14:textId="77777777" w:rsidR="003C66EB" w:rsidRDefault="00D96C4E">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A24985" w14:textId="77777777" w:rsidR="003C66EB" w:rsidRDefault="00D96C4E">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EA249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8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8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8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8B" w14:textId="77777777" w:rsidR="003C66EB" w:rsidRDefault="00D96C4E">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EA2498C" w14:textId="77777777" w:rsidR="003C66EB" w:rsidRDefault="003C66EB">
            <w:pPr>
              <w:jc w:val="right"/>
              <w:rPr>
                <w:rFonts w:ascii="宋体"/>
              </w:rPr>
            </w:pPr>
          </w:p>
        </w:tc>
      </w:tr>
      <w:tr w:rsidR="003C66EB" w14:paraId="5EA24997" w14:textId="77777777">
        <w:tc>
          <w:tcPr>
            <w:tcW w:w="0" w:type="auto"/>
            <w:gridSpan w:val="3"/>
            <w:shd w:val="clear" w:color="auto" w:fill="FFFFFF"/>
            <w:tcMar>
              <w:top w:w="40" w:type="dxa"/>
              <w:left w:w="20" w:type="dxa"/>
              <w:bottom w:w="40" w:type="dxa"/>
              <w:right w:w="20" w:type="dxa"/>
            </w:tcMar>
            <w:vAlign w:val="bottom"/>
          </w:tcPr>
          <w:p w14:paraId="5EA2498E" w14:textId="77777777" w:rsidR="003C66EB" w:rsidRDefault="00D96C4E">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A2498F" w14:textId="77777777" w:rsidR="003C66EB" w:rsidRDefault="00D96C4E">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A2499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9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9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99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9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995" w14:textId="77777777" w:rsidR="003C66EB" w:rsidRDefault="00D96C4E">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A24996" w14:textId="77777777" w:rsidR="003C66EB" w:rsidRDefault="003C66EB">
            <w:pPr>
              <w:jc w:val="right"/>
              <w:rPr>
                <w:rFonts w:ascii="宋体"/>
              </w:rPr>
            </w:pPr>
          </w:p>
        </w:tc>
      </w:tr>
      <w:tr w:rsidR="003C66EB" w14:paraId="5EA249A1" w14:textId="77777777">
        <w:tc>
          <w:tcPr>
            <w:tcW w:w="0" w:type="auto"/>
            <w:gridSpan w:val="3"/>
            <w:shd w:val="clear" w:color="auto" w:fill="CCEEFF"/>
            <w:tcMar>
              <w:top w:w="40" w:type="dxa"/>
              <w:left w:w="20" w:type="dxa"/>
              <w:bottom w:w="40" w:type="dxa"/>
              <w:right w:w="20" w:type="dxa"/>
            </w:tcMar>
            <w:vAlign w:val="bottom"/>
          </w:tcPr>
          <w:p w14:paraId="5EA24998" w14:textId="77777777" w:rsidR="003C66EB" w:rsidRDefault="00D96C4E">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EA24999"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49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9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9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99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99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99F"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49A0" w14:textId="77777777" w:rsidR="003C66EB" w:rsidRDefault="003C66EB">
            <w:pPr>
              <w:jc w:val="right"/>
              <w:rPr>
                <w:rFonts w:ascii="宋体"/>
              </w:rPr>
            </w:pPr>
          </w:p>
        </w:tc>
      </w:tr>
      <w:tr w:rsidR="003C66EB" w14:paraId="5EA249AE" w14:textId="77777777">
        <w:tc>
          <w:tcPr>
            <w:tcW w:w="0" w:type="auto"/>
            <w:gridSpan w:val="3"/>
            <w:shd w:val="clear" w:color="auto" w:fill="FFFFFF"/>
            <w:tcMar>
              <w:top w:w="40" w:type="dxa"/>
              <w:left w:w="20" w:type="dxa"/>
              <w:bottom w:w="40" w:type="dxa"/>
              <w:right w:w="20" w:type="dxa"/>
            </w:tcMar>
            <w:vAlign w:val="bottom"/>
          </w:tcPr>
          <w:p w14:paraId="5EA249A2" w14:textId="77777777" w:rsidR="003C66EB" w:rsidRDefault="00D96C4E">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EA249A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EA249A4" w14:textId="77777777" w:rsidR="003C66EB" w:rsidRDefault="00D96C4E">
            <w:pPr>
              <w:jc w:val="right"/>
              <w:textAlignment w:val="bottom"/>
            </w:pPr>
            <w:r>
              <w:rPr>
                <w:rFonts w:ascii="Arial" w:eastAsia="宋体" w:hAnsi="Arial" w:cs="Arial"/>
                <w:color w:val="000000"/>
                <w:sz w:val="14"/>
                <w:szCs w:val="14"/>
              </w:rPr>
              <w:t>25,829 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EA249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A6" w14:textId="77777777" w:rsidR="003C66EB" w:rsidRDefault="003C66E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EA249A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EA249A8" w14:textId="77777777" w:rsidR="003C66EB" w:rsidRDefault="00D96C4E">
            <w:pPr>
              <w:jc w:val="right"/>
              <w:textAlignment w:val="bottom"/>
            </w:pPr>
            <w:r>
              <w:rPr>
                <w:rFonts w:ascii="Arial" w:eastAsia="宋体" w:hAnsi="Arial" w:cs="Arial"/>
                <w:color w:val="000000"/>
                <w:sz w:val="14"/>
                <w:szCs w:val="14"/>
              </w:rPr>
              <w:t>2,096 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EA249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9AA" w14:textId="77777777" w:rsidR="003C66EB" w:rsidRDefault="003C66E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EA249A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EA249AC" w14:textId="77777777" w:rsidR="003C66EB" w:rsidRDefault="00D96C4E">
            <w:pPr>
              <w:jc w:val="right"/>
              <w:textAlignment w:val="bottom"/>
            </w:pPr>
            <w:r>
              <w:rPr>
                <w:rFonts w:ascii="Arial" w:eastAsia="宋体" w:hAnsi="Arial" w:cs="Arial"/>
                <w:color w:val="000000"/>
                <w:sz w:val="14"/>
                <w:szCs w:val="14"/>
              </w:rPr>
              <w:t>27,925 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EA249AD" w14:textId="77777777" w:rsidR="003C66EB" w:rsidRDefault="003C66EB">
            <w:pPr>
              <w:jc w:val="right"/>
              <w:rPr>
                <w:rFonts w:ascii="宋体"/>
              </w:rPr>
            </w:pPr>
          </w:p>
        </w:tc>
      </w:tr>
    </w:tbl>
    <w:p w14:paraId="5EA249AF" w14:textId="77777777" w:rsidR="003C66EB" w:rsidRDefault="003C66EB">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3C66EB" w14:paraId="5EA249B9" w14:textId="77777777">
        <w:tc>
          <w:tcPr>
            <w:tcW w:w="50" w:type="pct"/>
            <w:shd w:val="clear" w:color="auto" w:fill="auto"/>
          </w:tcPr>
          <w:p w14:paraId="5EA249B0" w14:textId="77777777" w:rsidR="003C66EB" w:rsidRDefault="003C66EB">
            <w:pPr>
              <w:rPr>
                <w:rFonts w:ascii="宋体"/>
              </w:rPr>
            </w:pPr>
          </w:p>
        </w:tc>
        <w:tc>
          <w:tcPr>
            <w:tcW w:w="2963" w:type="pct"/>
            <w:shd w:val="clear" w:color="auto" w:fill="auto"/>
          </w:tcPr>
          <w:p w14:paraId="5EA249B1" w14:textId="77777777" w:rsidR="003C66EB" w:rsidRDefault="003C66EB">
            <w:pPr>
              <w:rPr>
                <w:rFonts w:ascii="宋体"/>
              </w:rPr>
            </w:pPr>
          </w:p>
        </w:tc>
        <w:tc>
          <w:tcPr>
            <w:tcW w:w="5" w:type="pct"/>
            <w:shd w:val="clear" w:color="auto" w:fill="auto"/>
          </w:tcPr>
          <w:p w14:paraId="5EA249B2" w14:textId="77777777" w:rsidR="003C66EB" w:rsidRDefault="003C66EB">
            <w:pPr>
              <w:rPr>
                <w:rFonts w:ascii="宋体"/>
              </w:rPr>
            </w:pPr>
          </w:p>
        </w:tc>
        <w:tc>
          <w:tcPr>
            <w:tcW w:w="5" w:type="pct"/>
            <w:shd w:val="clear" w:color="auto" w:fill="auto"/>
          </w:tcPr>
          <w:p w14:paraId="5EA249B3" w14:textId="77777777" w:rsidR="003C66EB" w:rsidRDefault="003C66EB">
            <w:pPr>
              <w:rPr>
                <w:rFonts w:ascii="宋体"/>
              </w:rPr>
            </w:pPr>
          </w:p>
        </w:tc>
        <w:tc>
          <w:tcPr>
            <w:tcW w:w="68" w:type="pct"/>
            <w:shd w:val="clear" w:color="auto" w:fill="auto"/>
          </w:tcPr>
          <w:p w14:paraId="5EA249B4" w14:textId="77777777" w:rsidR="003C66EB" w:rsidRDefault="003C66EB">
            <w:pPr>
              <w:rPr>
                <w:rFonts w:ascii="宋体"/>
              </w:rPr>
            </w:pPr>
          </w:p>
        </w:tc>
        <w:tc>
          <w:tcPr>
            <w:tcW w:w="5" w:type="pct"/>
            <w:shd w:val="clear" w:color="auto" w:fill="auto"/>
          </w:tcPr>
          <w:p w14:paraId="5EA249B5" w14:textId="77777777" w:rsidR="003C66EB" w:rsidRDefault="003C66EB">
            <w:pPr>
              <w:rPr>
                <w:rFonts w:ascii="宋体"/>
              </w:rPr>
            </w:pPr>
          </w:p>
        </w:tc>
        <w:tc>
          <w:tcPr>
            <w:tcW w:w="50" w:type="pct"/>
            <w:shd w:val="clear" w:color="auto" w:fill="auto"/>
          </w:tcPr>
          <w:p w14:paraId="5EA249B6" w14:textId="77777777" w:rsidR="003C66EB" w:rsidRDefault="003C66EB">
            <w:pPr>
              <w:rPr>
                <w:rFonts w:ascii="宋体"/>
              </w:rPr>
            </w:pPr>
          </w:p>
        </w:tc>
        <w:tc>
          <w:tcPr>
            <w:tcW w:w="1847" w:type="pct"/>
            <w:shd w:val="clear" w:color="auto" w:fill="auto"/>
          </w:tcPr>
          <w:p w14:paraId="5EA249B7" w14:textId="77777777" w:rsidR="003C66EB" w:rsidRDefault="003C66EB">
            <w:pPr>
              <w:rPr>
                <w:rFonts w:ascii="宋体"/>
              </w:rPr>
            </w:pPr>
          </w:p>
        </w:tc>
        <w:tc>
          <w:tcPr>
            <w:tcW w:w="5" w:type="pct"/>
            <w:shd w:val="clear" w:color="auto" w:fill="auto"/>
          </w:tcPr>
          <w:p w14:paraId="5EA249B8" w14:textId="77777777" w:rsidR="003C66EB" w:rsidRDefault="003C66EB">
            <w:pPr>
              <w:rPr>
                <w:rFonts w:ascii="宋体"/>
              </w:rPr>
            </w:pPr>
          </w:p>
        </w:tc>
      </w:tr>
      <w:tr w:rsidR="003C66EB" w14:paraId="5EA249BD" w14:textId="77777777">
        <w:trPr>
          <w:trHeight w:val="60"/>
        </w:trPr>
        <w:tc>
          <w:tcPr>
            <w:tcW w:w="0" w:type="auto"/>
            <w:gridSpan w:val="3"/>
            <w:shd w:val="clear" w:color="auto" w:fill="auto"/>
            <w:tcMar>
              <w:top w:w="0" w:type="dxa"/>
              <w:left w:w="20" w:type="dxa"/>
              <w:bottom w:w="0" w:type="dxa"/>
              <w:right w:w="20" w:type="dxa"/>
            </w:tcMar>
          </w:tcPr>
          <w:p w14:paraId="5EA249B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9B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9BC" w14:textId="77777777" w:rsidR="003C66EB" w:rsidRDefault="003C66EB">
            <w:pPr>
              <w:rPr>
                <w:rFonts w:ascii="宋体"/>
              </w:rPr>
            </w:pPr>
          </w:p>
        </w:tc>
      </w:tr>
      <w:tr w:rsidR="003C66EB" w14:paraId="5EA249C1"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5EA249B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9B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9C0" w14:textId="77777777" w:rsidR="003C66EB" w:rsidRDefault="003C66EB">
            <w:pPr>
              <w:rPr>
                <w:rFonts w:ascii="宋体"/>
              </w:rPr>
            </w:pPr>
          </w:p>
        </w:tc>
      </w:tr>
    </w:tbl>
    <w:p w14:paraId="5EA249C2" w14:textId="77777777" w:rsidR="003C66EB" w:rsidRDefault="00D96C4E">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$7,463 million and $2,982 million of overdrafts as of March 31, 2021 and </w:t>
      </w:r>
      <w:r>
        <w:rPr>
          <w:rFonts w:ascii="Arial" w:eastAsia="宋体" w:hAnsi="Arial" w:cs="Arial"/>
          <w:color w:val="000000"/>
          <w:sz w:val="14"/>
          <w:szCs w:val="14"/>
        </w:rPr>
        <w:t>December 31, 2020</w:t>
      </w:r>
      <w:r>
        <w:rPr>
          <w:rFonts w:ascii="Arial" w:eastAsia="宋体" w:hAnsi="Arial" w:cs="Arial"/>
          <w:color w:val="000000"/>
          <w:sz w:val="13"/>
          <w:szCs w:val="13"/>
        </w:rPr>
        <w:t xml:space="preserve"> respectively. Overdrafts are short-term in nature and do not present a significant credit risk to us.</w:t>
      </w:r>
    </w:p>
    <w:p w14:paraId="5EA249C3" w14:textId="77777777" w:rsidR="003C66EB" w:rsidRDefault="00D96C4E">
      <w:pPr>
        <w:spacing w:before="60"/>
        <w:ind w:firstLine="450"/>
        <w:jc w:val="both"/>
      </w:pPr>
      <w:r>
        <w:rPr>
          <w:rFonts w:ascii="Arial" w:eastAsia="宋体" w:hAnsi="Arial" w:cs="Arial"/>
          <w:color w:val="000000"/>
          <w:sz w:val="20"/>
          <w:szCs w:val="20"/>
        </w:rPr>
        <w:t>For additional information about credit quality, refer to pages 151 to 154 in Note 4 to the consolidated financial statements included under Item 8, Fina</w:t>
      </w:r>
      <w:r>
        <w:rPr>
          <w:rFonts w:ascii="Arial" w:eastAsia="宋体" w:hAnsi="Arial" w:cs="Arial"/>
          <w:color w:val="000000"/>
          <w:sz w:val="20"/>
          <w:szCs w:val="20"/>
        </w:rPr>
        <w:t>ncial Statements and Supplementary Data, in our 2020 Form 10-K.</w:t>
      </w:r>
    </w:p>
    <w:p w14:paraId="5EA249C4" w14:textId="77777777" w:rsidR="003C66EB" w:rsidRDefault="00D96C4E">
      <w:pPr>
        <w:spacing w:before="60"/>
        <w:ind w:firstLine="450"/>
        <w:jc w:val="both"/>
      </w:pPr>
      <w:r>
        <w:rPr>
          <w:rFonts w:ascii="Arial" w:eastAsia="宋体" w:hAnsi="Arial" w:cs="Arial"/>
          <w:color w:val="000000"/>
          <w:sz w:val="20"/>
          <w:szCs w:val="20"/>
        </w:rPr>
        <w:t xml:space="preserve">The following table presents the amortized cost basis, by year of origination and credit quality indicator as of March 31, 2021. For origination years before the fifth annual period, we </w:t>
      </w:r>
      <w:r>
        <w:rPr>
          <w:rFonts w:ascii="Arial" w:eastAsia="宋体" w:hAnsi="Arial" w:cs="Arial"/>
          <w:color w:val="000000"/>
          <w:sz w:val="20"/>
          <w:szCs w:val="20"/>
        </w:rPr>
        <w:t>present the aggregate amortized cost basis of loans. For purchased loans, the date of issuance is used to determine the year of origination, not the date of acquisition. For modified, extended or renewed lending arrangements, we evaluate whether a credit e</w:t>
      </w:r>
      <w:r>
        <w:rPr>
          <w:rFonts w:ascii="Arial" w:eastAsia="宋体" w:hAnsi="Arial" w:cs="Arial"/>
          <w:color w:val="000000"/>
          <w:sz w:val="20"/>
          <w:szCs w:val="20"/>
        </w:rPr>
        <w:t>vent has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3C66EB" w14:paraId="5EA249F7" w14:textId="77777777">
        <w:tc>
          <w:tcPr>
            <w:tcW w:w="50" w:type="pct"/>
            <w:shd w:val="clear" w:color="auto" w:fill="auto"/>
          </w:tcPr>
          <w:p w14:paraId="5EA249C5" w14:textId="77777777" w:rsidR="003C66EB" w:rsidRDefault="003C66EB">
            <w:pPr>
              <w:rPr>
                <w:rFonts w:ascii="宋体"/>
              </w:rPr>
            </w:pPr>
          </w:p>
        </w:tc>
        <w:tc>
          <w:tcPr>
            <w:tcW w:w="1458" w:type="pct"/>
            <w:shd w:val="clear" w:color="auto" w:fill="auto"/>
          </w:tcPr>
          <w:p w14:paraId="5EA249C6" w14:textId="77777777" w:rsidR="003C66EB" w:rsidRDefault="003C66EB">
            <w:pPr>
              <w:rPr>
                <w:rFonts w:ascii="宋体"/>
              </w:rPr>
            </w:pPr>
          </w:p>
        </w:tc>
        <w:tc>
          <w:tcPr>
            <w:tcW w:w="5" w:type="pct"/>
            <w:shd w:val="clear" w:color="auto" w:fill="auto"/>
          </w:tcPr>
          <w:p w14:paraId="5EA249C7" w14:textId="77777777" w:rsidR="003C66EB" w:rsidRDefault="003C66EB">
            <w:pPr>
              <w:rPr>
                <w:rFonts w:ascii="宋体"/>
              </w:rPr>
            </w:pPr>
          </w:p>
        </w:tc>
        <w:tc>
          <w:tcPr>
            <w:tcW w:w="50" w:type="pct"/>
            <w:shd w:val="clear" w:color="auto" w:fill="auto"/>
          </w:tcPr>
          <w:p w14:paraId="5EA249C8" w14:textId="77777777" w:rsidR="003C66EB" w:rsidRDefault="003C66EB">
            <w:pPr>
              <w:rPr>
                <w:rFonts w:ascii="宋体"/>
              </w:rPr>
            </w:pPr>
          </w:p>
        </w:tc>
        <w:tc>
          <w:tcPr>
            <w:tcW w:w="317" w:type="pct"/>
            <w:shd w:val="clear" w:color="auto" w:fill="auto"/>
          </w:tcPr>
          <w:p w14:paraId="5EA249C9" w14:textId="77777777" w:rsidR="003C66EB" w:rsidRDefault="003C66EB">
            <w:pPr>
              <w:rPr>
                <w:rFonts w:ascii="宋体"/>
              </w:rPr>
            </w:pPr>
          </w:p>
        </w:tc>
        <w:tc>
          <w:tcPr>
            <w:tcW w:w="5" w:type="pct"/>
            <w:shd w:val="clear" w:color="auto" w:fill="auto"/>
          </w:tcPr>
          <w:p w14:paraId="5EA249CA" w14:textId="77777777" w:rsidR="003C66EB" w:rsidRDefault="003C66EB">
            <w:pPr>
              <w:rPr>
                <w:rFonts w:ascii="宋体"/>
              </w:rPr>
            </w:pPr>
          </w:p>
        </w:tc>
        <w:tc>
          <w:tcPr>
            <w:tcW w:w="5" w:type="pct"/>
            <w:shd w:val="clear" w:color="auto" w:fill="auto"/>
          </w:tcPr>
          <w:p w14:paraId="5EA249CB" w14:textId="77777777" w:rsidR="003C66EB" w:rsidRDefault="003C66EB">
            <w:pPr>
              <w:rPr>
                <w:rFonts w:ascii="宋体"/>
              </w:rPr>
            </w:pPr>
          </w:p>
        </w:tc>
        <w:tc>
          <w:tcPr>
            <w:tcW w:w="26" w:type="pct"/>
            <w:shd w:val="clear" w:color="auto" w:fill="auto"/>
          </w:tcPr>
          <w:p w14:paraId="5EA249CC" w14:textId="77777777" w:rsidR="003C66EB" w:rsidRDefault="003C66EB">
            <w:pPr>
              <w:rPr>
                <w:rFonts w:ascii="宋体"/>
              </w:rPr>
            </w:pPr>
          </w:p>
        </w:tc>
        <w:tc>
          <w:tcPr>
            <w:tcW w:w="5" w:type="pct"/>
            <w:shd w:val="clear" w:color="auto" w:fill="auto"/>
          </w:tcPr>
          <w:p w14:paraId="5EA249CD" w14:textId="77777777" w:rsidR="003C66EB" w:rsidRDefault="003C66EB">
            <w:pPr>
              <w:rPr>
                <w:rFonts w:ascii="宋体"/>
              </w:rPr>
            </w:pPr>
          </w:p>
        </w:tc>
        <w:tc>
          <w:tcPr>
            <w:tcW w:w="50" w:type="pct"/>
            <w:shd w:val="clear" w:color="auto" w:fill="auto"/>
          </w:tcPr>
          <w:p w14:paraId="5EA249CE" w14:textId="77777777" w:rsidR="003C66EB" w:rsidRDefault="003C66EB">
            <w:pPr>
              <w:rPr>
                <w:rFonts w:ascii="宋体"/>
              </w:rPr>
            </w:pPr>
          </w:p>
        </w:tc>
        <w:tc>
          <w:tcPr>
            <w:tcW w:w="317" w:type="pct"/>
            <w:shd w:val="clear" w:color="auto" w:fill="auto"/>
          </w:tcPr>
          <w:p w14:paraId="5EA249CF" w14:textId="77777777" w:rsidR="003C66EB" w:rsidRDefault="003C66EB">
            <w:pPr>
              <w:rPr>
                <w:rFonts w:ascii="宋体"/>
              </w:rPr>
            </w:pPr>
          </w:p>
        </w:tc>
        <w:tc>
          <w:tcPr>
            <w:tcW w:w="5" w:type="pct"/>
            <w:shd w:val="clear" w:color="auto" w:fill="auto"/>
          </w:tcPr>
          <w:p w14:paraId="5EA249D0" w14:textId="77777777" w:rsidR="003C66EB" w:rsidRDefault="003C66EB">
            <w:pPr>
              <w:rPr>
                <w:rFonts w:ascii="宋体"/>
              </w:rPr>
            </w:pPr>
          </w:p>
        </w:tc>
        <w:tc>
          <w:tcPr>
            <w:tcW w:w="5" w:type="pct"/>
            <w:shd w:val="clear" w:color="auto" w:fill="auto"/>
          </w:tcPr>
          <w:p w14:paraId="5EA249D1" w14:textId="77777777" w:rsidR="003C66EB" w:rsidRDefault="003C66EB">
            <w:pPr>
              <w:rPr>
                <w:rFonts w:ascii="宋体"/>
              </w:rPr>
            </w:pPr>
          </w:p>
        </w:tc>
        <w:tc>
          <w:tcPr>
            <w:tcW w:w="26" w:type="pct"/>
            <w:shd w:val="clear" w:color="auto" w:fill="auto"/>
          </w:tcPr>
          <w:p w14:paraId="5EA249D2" w14:textId="77777777" w:rsidR="003C66EB" w:rsidRDefault="003C66EB">
            <w:pPr>
              <w:rPr>
                <w:rFonts w:ascii="宋体"/>
              </w:rPr>
            </w:pPr>
          </w:p>
        </w:tc>
        <w:tc>
          <w:tcPr>
            <w:tcW w:w="5" w:type="pct"/>
            <w:shd w:val="clear" w:color="auto" w:fill="auto"/>
          </w:tcPr>
          <w:p w14:paraId="5EA249D3" w14:textId="77777777" w:rsidR="003C66EB" w:rsidRDefault="003C66EB">
            <w:pPr>
              <w:rPr>
                <w:rFonts w:ascii="宋体"/>
              </w:rPr>
            </w:pPr>
          </w:p>
        </w:tc>
        <w:tc>
          <w:tcPr>
            <w:tcW w:w="50" w:type="pct"/>
            <w:shd w:val="clear" w:color="auto" w:fill="auto"/>
          </w:tcPr>
          <w:p w14:paraId="5EA249D4" w14:textId="77777777" w:rsidR="003C66EB" w:rsidRDefault="003C66EB">
            <w:pPr>
              <w:rPr>
                <w:rFonts w:ascii="宋体"/>
              </w:rPr>
            </w:pPr>
          </w:p>
        </w:tc>
        <w:tc>
          <w:tcPr>
            <w:tcW w:w="317" w:type="pct"/>
            <w:shd w:val="clear" w:color="auto" w:fill="auto"/>
          </w:tcPr>
          <w:p w14:paraId="5EA249D5" w14:textId="77777777" w:rsidR="003C66EB" w:rsidRDefault="003C66EB">
            <w:pPr>
              <w:rPr>
                <w:rFonts w:ascii="宋体"/>
              </w:rPr>
            </w:pPr>
          </w:p>
        </w:tc>
        <w:tc>
          <w:tcPr>
            <w:tcW w:w="5" w:type="pct"/>
            <w:shd w:val="clear" w:color="auto" w:fill="auto"/>
          </w:tcPr>
          <w:p w14:paraId="5EA249D6" w14:textId="77777777" w:rsidR="003C66EB" w:rsidRDefault="003C66EB">
            <w:pPr>
              <w:rPr>
                <w:rFonts w:ascii="宋体"/>
              </w:rPr>
            </w:pPr>
          </w:p>
        </w:tc>
        <w:tc>
          <w:tcPr>
            <w:tcW w:w="5" w:type="pct"/>
            <w:shd w:val="clear" w:color="auto" w:fill="auto"/>
          </w:tcPr>
          <w:p w14:paraId="5EA249D7" w14:textId="77777777" w:rsidR="003C66EB" w:rsidRDefault="003C66EB">
            <w:pPr>
              <w:rPr>
                <w:rFonts w:ascii="宋体"/>
              </w:rPr>
            </w:pPr>
          </w:p>
        </w:tc>
        <w:tc>
          <w:tcPr>
            <w:tcW w:w="26" w:type="pct"/>
            <w:shd w:val="clear" w:color="auto" w:fill="auto"/>
          </w:tcPr>
          <w:p w14:paraId="5EA249D8" w14:textId="77777777" w:rsidR="003C66EB" w:rsidRDefault="003C66EB">
            <w:pPr>
              <w:rPr>
                <w:rFonts w:ascii="宋体"/>
              </w:rPr>
            </w:pPr>
          </w:p>
        </w:tc>
        <w:tc>
          <w:tcPr>
            <w:tcW w:w="5" w:type="pct"/>
            <w:shd w:val="clear" w:color="auto" w:fill="auto"/>
          </w:tcPr>
          <w:p w14:paraId="5EA249D9" w14:textId="77777777" w:rsidR="003C66EB" w:rsidRDefault="003C66EB">
            <w:pPr>
              <w:rPr>
                <w:rFonts w:ascii="宋体"/>
              </w:rPr>
            </w:pPr>
          </w:p>
        </w:tc>
        <w:tc>
          <w:tcPr>
            <w:tcW w:w="50" w:type="pct"/>
            <w:shd w:val="clear" w:color="auto" w:fill="auto"/>
          </w:tcPr>
          <w:p w14:paraId="5EA249DA" w14:textId="77777777" w:rsidR="003C66EB" w:rsidRDefault="003C66EB">
            <w:pPr>
              <w:rPr>
                <w:rFonts w:ascii="宋体"/>
              </w:rPr>
            </w:pPr>
          </w:p>
        </w:tc>
        <w:tc>
          <w:tcPr>
            <w:tcW w:w="317" w:type="pct"/>
            <w:shd w:val="clear" w:color="auto" w:fill="auto"/>
          </w:tcPr>
          <w:p w14:paraId="5EA249DB" w14:textId="77777777" w:rsidR="003C66EB" w:rsidRDefault="003C66EB">
            <w:pPr>
              <w:rPr>
                <w:rFonts w:ascii="宋体"/>
              </w:rPr>
            </w:pPr>
          </w:p>
        </w:tc>
        <w:tc>
          <w:tcPr>
            <w:tcW w:w="5" w:type="pct"/>
            <w:shd w:val="clear" w:color="auto" w:fill="auto"/>
          </w:tcPr>
          <w:p w14:paraId="5EA249DC" w14:textId="77777777" w:rsidR="003C66EB" w:rsidRDefault="003C66EB">
            <w:pPr>
              <w:rPr>
                <w:rFonts w:ascii="宋体"/>
              </w:rPr>
            </w:pPr>
          </w:p>
        </w:tc>
        <w:tc>
          <w:tcPr>
            <w:tcW w:w="5" w:type="pct"/>
            <w:shd w:val="clear" w:color="auto" w:fill="auto"/>
          </w:tcPr>
          <w:p w14:paraId="5EA249DD" w14:textId="77777777" w:rsidR="003C66EB" w:rsidRDefault="003C66EB">
            <w:pPr>
              <w:rPr>
                <w:rFonts w:ascii="宋体"/>
              </w:rPr>
            </w:pPr>
          </w:p>
        </w:tc>
        <w:tc>
          <w:tcPr>
            <w:tcW w:w="26" w:type="pct"/>
            <w:shd w:val="clear" w:color="auto" w:fill="auto"/>
          </w:tcPr>
          <w:p w14:paraId="5EA249DE" w14:textId="77777777" w:rsidR="003C66EB" w:rsidRDefault="003C66EB">
            <w:pPr>
              <w:rPr>
                <w:rFonts w:ascii="宋体"/>
              </w:rPr>
            </w:pPr>
          </w:p>
        </w:tc>
        <w:tc>
          <w:tcPr>
            <w:tcW w:w="5" w:type="pct"/>
            <w:shd w:val="clear" w:color="auto" w:fill="auto"/>
          </w:tcPr>
          <w:p w14:paraId="5EA249DF" w14:textId="77777777" w:rsidR="003C66EB" w:rsidRDefault="003C66EB">
            <w:pPr>
              <w:rPr>
                <w:rFonts w:ascii="宋体"/>
              </w:rPr>
            </w:pPr>
          </w:p>
        </w:tc>
        <w:tc>
          <w:tcPr>
            <w:tcW w:w="50" w:type="pct"/>
            <w:shd w:val="clear" w:color="auto" w:fill="auto"/>
          </w:tcPr>
          <w:p w14:paraId="5EA249E0" w14:textId="77777777" w:rsidR="003C66EB" w:rsidRDefault="003C66EB">
            <w:pPr>
              <w:rPr>
                <w:rFonts w:ascii="宋体"/>
              </w:rPr>
            </w:pPr>
          </w:p>
        </w:tc>
        <w:tc>
          <w:tcPr>
            <w:tcW w:w="317" w:type="pct"/>
            <w:shd w:val="clear" w:color="auto" w:fill="auto"/>
          </w:tcPr>
          <w:p w14:paraId="5EA249E1" w14:textId="77777777" w:rsidR="003C66EB" w:rsidRDefault="003C66EB">
            <w:pPr>
              <w:rPr>
                <w:rFonts w:ascii="宋体"/>
              </w:rPr>
            </w:pPr>
          </w:p>
        </w:tc>
        <w:tc>
          <w:tcPr>
            <w:tcW w:w="5" w:type="pct"/>
            <w:shd w:val="clear" w:color="auto" w:fill="auto"/>
          </w:tcPr>
          <w:p w14:paraId="5EA249E2" w14:textId="77777777" w:rsidR="003C66EB" w:rsidRDefault="003C66EB">
            <w:pPr>
              <w:rPr>
                <w:rFonts w:ascii="宋体"/>
              </w:rPr>
            </w:pPr>
          </w:p>
        </w:tc>
        <w:tc>
          <w:tcPr>
            <w:tcW w:w="5" w:type="pct"/>
            <w:shd w:val="clear" w:color="auto" w:fill="auto"/>
          </w:tcPr>
          <w:p w14:paraId="5EA249E3" w14:textId="77777777" w:rsidR="003C66EB" w:rsidRDefault="003C66EB">
            <w:pPr>
              <w:rPr>
                <w:rFonts w:ascii="宋体"/>
              </w:rPr>
            </w:pPr>
          </w:p>
        </w:tc>
        <w:tc>
          <w:tcPr>
            <w:tcW w:w="26" w:type="pct"/>
            <w:shd w:val="clear" w:color="auto" w:fill="auto"/>
          </w:tcPr>
          <w:p w14:paraId="5EA249E4" w14:textId="77777777" w:rsidR="003C66EB" w:rsidRDefault="003C66EB">
            <w:pPr>
              <w:rPr>
                <w:rFonts w:ascii="宋体"/>
              </w:rPr>
            </w:pPr>
          </w:p>
        </w:tc>
        <w:tc>
          <w:tcPr>
            <w:tcW w:w="5" w:type="pct"/>
            <w:shd w:val="clear" w:color="auto" w:fill="auto"/>
          </w:tcPr>
          <w:p w14:paraId="5EA249E5" w14:textId="77777777" w:rsidR="003C66EB" w:rsidRDefault="003C66EB">
            <w:pPr>
              <w:rPr>
                <w:rFonts w:ascii="宋体"/>
              </w:rPr>
            </w:pPr>
          </w:p>
        </w:tc>
        <w:tc>
          <w:tcPr>
            <w:tcW w:w="0" w:type="auto"/>
            <w:shd w:val="clear" w:color="auto" w:fill="auto"/>
          </w:tcPr>
          <w:p w14:paraId="5EA249E6" w14:textId="77777777" w:rsidR="003C66EB" w:rsidRDefault="003C66EB">
            <w:pPr>
              <w:rPr>
                <w:rFonts w:ascii="宋体"/>
                <w:vanish/>
              </w:rPr>
            </w:pPr>
          </w:p>
        </w:tc>
        <w:tc>
          <w:tcPr>
            <w:tcW w:w="0" w:type="auto"/>
            <w:shd w:val="clear" w:color="auto" w:fill="auto"/>
          </w:tcPr>
          <w:p w14:paraId="5EA249E7" w14:textId="77777777" w:rsidR="003C66EB" w:rsidRDefault="003C66EB">
            <w:pPr>
              <w:rPr>
                <w:rFonts w:ascii="宋体"/>
                <w:vanish/>
              </w:rPr>
            </w:pPr>
          </w:p>
        </w:tc>
        <w:tc>
          <w:tcPr>
            <w:tcW w:w="50" w:type="pct"/>
            <w:shd w:val="clear" w:color="auto" w:fill="auto"/>
          </w:tcPr>
          <w:p w14:paraId="5EA249E8" w14:textId="77777777" w:rsidR="003C66EB" w:rsidRDefault="003C66EB">
            <w:pPr>
              <w:rPr>
                <w:rFonts w:ascii="宋体"/>
              </w:rPr>
            </w:pPr>
          </w:p>
        </w:tc>
        <w:tc>
          <w:tcPr>
            <w:tcW w:w="317" w:type="pct"/>
            <w:shd w:val="clear" w:color="auto" w:fill="auto"/>
          </w:tcPr>
          <w:p w14:paraId="5EA249E9" w14:textId="77777777" w:rsidR="003C66EB" w:rsidRDefault="003C66EB">
            <w:pPr>
              <w:rPr>
                <w:rFonts w:ascii="宋体"/>
              </w:rPr>
            </w:pPr>
          </w:p>
        </w:tc>
        <w:tc>
          <w:tcPr>
            <w:tcW w:w="5" w:type="pct"/>
            <w:shd w:val="clear" w:color="auto" w:fill="auto"/>
          </w:tcPr>
          <w:p w14:paraId="5EA249EA" w14:textId="77777777" w:rsidR="003C66EB" w:rsidRDefault="003C66EB">
            <w:pPr>
              <w:rPr>
                <w:rFonts w:ascii="宋体"/>
              </w:rPr>
            </w:pPr>
          </w:p>
        </w:tc>
        <w:tc>
          <w:tcPr>
            <w:tcW w:w="5" w:type="pct"/>
            <w:shd w:val="clear" w:color="auto" w:fill="auto"/>
          </w:tcPr>
          <w:p w14:paraId="5EA249EB" w14:textId="77777777" w:rsidR="003C66EB" w:rsidRDefault="003C66EB">
            <w:pPr>
              <w:rPr>
                <w:rFonts w:ascii="宋体"/>
              </w:rPr>
            </w:pPr>
          </w:p>
        </w:tc>
        <w:tc>
          <w:tcPr>
            <w:tcW w:w="26" w:type="pct"/>
            <w:shd w:val="clear" w:color="auto" w:fill="auto"/>
          </w:tcPr>
          <w:p w14:paraId="5EA249EC" w14:textId="77777777" w:rsidR="003C66EB" w:rsidRDefault="003C66EB">
            <w:pPr>
              <w:rPr>
                <w:rFonts w:ascii="宋体"/>
              </w:rPr>
            </w:pPr>
          </w:p>
        </w:tc>
        <w:tc>
          <w:tcPr>
            <w:tcW w:w="5" w:type="pct"/>
            <w:shd w:val="clear" w:color="auto" w:fill="auto"/>
          </w:tcPr>
          <w:p w14:paraId="5EA249ED" w14:textId="77777777" w:rsidR="003C66EB" w:rsidRDefault="003C66EB">
            <w:pPr>
              <w:rPr>
                <w:rFonts w:ascii="宋体"/>
              </w:rPr>
            </w:pPr>
          </w:p>
        </w:tc>
        <w:tc>
          <w:tcPr>
            <w:tcW w:w="50" w:type="pct"/>
            <w:shd w:val="clear" w:color="auto" w:fill="auto"/>
          </w:tcPr>
          <w:p w14:paraId="5EA249EE" w14:textId="77777777" w:rsidR="003C66EB" w:rsidRDefault="003C66EB">
            <w:pPr>
              <w:rPr>
                <w:rFonts w:ascii="宋体"/>
              </w:rPr>
            </w:pPr>
          </w:p>
        </w:tc>
        <w:tc>
          <w:tcPr>
            <w:tcW w:w="566" w:type="pct"/>
            <w:shd w:val="clear" w:color="auto" w:fill="auto"/>
          </w:tcPr>
          <w:p w14:paraId="5EA249EF" w14:textId="77777777" w:rsidR="003C66EB" w:rsidRDefault="003C66EB">
            <w:pPr>
              <w:rPr>
                <w:rFonts w:ascii="宋体"/>
              </w:rPr>
            </w:pPr>
          </w:p>
        </w:tc>
        <w:tc>
          <w:tcPr>
            <w:tcW w:w="5" w:type="pct"/>
            <w:shd w:val="clear" w:color="auto" w:fill="auto"/>
          </w:tcPr>
          <w:p w14:paraId="5EA249F0" w14:textId="77777777" w:rsidR="003C66EB" w:rsidRDefault="003C66EB">
            <w:pPr>
              <w:rPr>
                <w:rFonts w:ascii="宋体"/>
              </w:rPr>
            </w:pPr>
          </w:p>
        </w:tc>
        <w:tc>
          <w:tcPr>
            <w:tcW w:w="5" w:type="pct"/>
            <w:shd w:val="clear" w:color="auto" w:fill="auto"/>
          </w:tcPr>
          <w:p w14:paraId="5EA249F1" w14:textId="77777777" w:rsidR="003C66EB" w:rsidRDefault="003C66EB">
            <w:pPr>
              <w:rPr>
                <w:rFonts w:ascii="宋体"/>
              </w:rPr>
            </w:pPr>
          </w:p>
        </w:tc>
        <w:tc>
          <w:tcPr>
            <w:tcW w:w="26" w:type="pct"/>
            <w:shd w:val="clear" w:color="auto" w:fill="auto"/>
          </w:tcPr>
          <w:p w14:paraId="5EA249F2" w14:textId="77777777" w:rsidR="003C66EB" w:rsidRDefault="003C66EB">
            <w:pPr>
              <w:rPr>
                <w:rFonts w:ascii="宋体"/>
              </w:rPr>
            </w:pPr>
          </w:p>
        </w:tc>
        <w:tc>
          <w:tcPr>
            <w:tcW w:w="5" w:type="pct"/>
            <w:shd w:val="clear" w:color="auto" w:fill="auto"/>
          </w:tcPr>
          <w:p w14:paraId="5EA249F3" w14:textId="77777777" w:rsidR="003C66EB" w:rsidRDefault="003C66EB">
            <w:pPr>
              <w:rPr>
                <w:rFonts w:ascii="宋体"/>
              </w:rPr>
            </w:pPr>
          </w:p>
        </w:tc>
        <w:tc>
          <w:tcPr>
            <w:tcW w:w="50" w:type="pct"/>
            <w:shd w:val="clear" w:color="auto" w:fill="auto"/>
          </w:tcPr>
          <w:p w14:paraId="5EA249F4" w14:textId="77777777" w:rsidR="003C66EB" w:rsidRDefault="003C66EB">
            <w:pPr>
              <w:rPr>
                <w:rFonts w:ascii="宋体"/>
              </w:rPr>
            </w:pPr>
          </w:p>
        </w:tc>
        <w:tc>
          <w:tcPr>
            <w:tcW w:w="318" w:type="pct"/>
            <w:shd w:val="clear" w:color="auto" w:fill="auto"/>
          </w:tcPr>
          <w:p w14:paraId="5EA249F5" w14:textId="77777777" w:rsidR="003C66EB" w:rsidRDefault="003C66EB">
            <w:pPr>
              <w:rPr>
                <w:rFonts w:ascii="宋体"/>
              </w:rPr>
            </w:pPr>
          </w:p>
        </w:tc>
        <w:tc>
          <w:tcPr>
            <w:tcW w:w="5" w:type="pct"/>
            <w:shd w:val="clear" w:color="auto" w:fill="auto"/>
          </w:tcPr>
          <w:p w14:paraId="5EA249F6" w14:textId="77777777" w:rsidR="003C66EB" w:rsidRDefault="003C66EB">
            <w:pPr>
              <w:rPr>
                <w:rFonts w:ascii="宋体"/>
              </w:rPr>
            </w:pPr>
          </w:p>
        </w:tc>
      </w:tr>
      <w:tr w:rsidR="003C66EB" w14:paraId="5EA24A0A" w14:textId="77777777">
        <w:tc>
          <w:tcPr>
            <w:tcW w:w="0" w:type="auto"/>
            <w:gridSpan w:val="3"/>
            <w:shd w:val="clear" w:color="auto" w:fill="auto"/>
            <w:tcMar>
              <w:top w:w="40" w:type="dxa"/>
              <w:left w:w="20" w:type="dxa"/>
              <w:bottom w:w="40" w:type="dxa"/>
              <w:right w:w="20" w:type="dxa"/>
            </w:tcMar>
            <w:vAlign w:val="bottom"/>
          </w:tcPr>
          <w:p w14:paraId="5EA249F8"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49F9"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tcPr>
          <w:p w14:paraId="5EA249F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9FB"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5EA249F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9FD" w14:textId="77777777" w:rsidR="003C66EB" w:rsidRDefault="00D96C4E">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5EA249F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9FF" w14:textId="77777777" w:rsidR="003C66EB" w:rsidRDefault="00D96C4E">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tcPr>
          <w:p w14:paraId="5EA24A0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A01" w14:textId="77777777" w:rsidR="003C66EB" w:rsidRDefault="00D96C4E">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tcPr>
          <w:p w14:paraId="5EA24A02" w14:textId="77777777" w:rsidR="003C66EB" w:rsidRDefault="003C66EB">
            <w:pPr>
              <w:rPr>
                <w:rFonts w:ascii="宋体"/>
              </w:rPr>
            </w:pPr>
          </w:p>
        </w:tc>
        <w:tc>
          <w:tcPr>
            <w:tcW w:w="0" w:type="auto"/>
            <w:shd w:val="clear" w:color="auto" w:fill="auto"/>
          </w:tcPr>
          <w:p w14:paraId="5EA24A03" w14:textId="77777777" w:rsidR="003C66EB" w:rsidRDefault="003C66EB">
            <w:pPr>
              <w:rPr>
                <w:rFonts w:ascii="宋体"/>
                <w:vanish/>
              </w:rPr>
            </w:pPr>
          </w:p>
        </w:tc>
        <w:tc>
          <w:tcPr>
            <w:tcW w:w="0" w:type="auto"/>
            <w:shd w:val="clear" w:color="auto" w:fill="auto"/>
          </w:tcPr>
          <w:p w14:paraId="5EA24A04" w14:textId="77777777" w:rsidR="003C66EB" w:rsidRDefault="003C66EB">
            <w:pPr>
              <w:rPr>
                <w:rFonts w:ascii="宋体"/>
                <w:vanish/>
              </w:rPr>
            </w:pPr>
          </w:p>
        </w:tc>
        <w:tc>
          <w:tcPr>
            <w:tcW w:w="0" w:type="auto"/>
            <w:gridSpan w:val="3"/>
            <w:shd w:val="clear" w:color="auto" w:fill="auto"/>
            <w:tcMar>
              <w:top w:w="40" w:type="dxa"/>
              <w:left w:w="20" w:type="dxa"/>
              <w:bottom w:w="40" w:type="dxa"/>
              <w:right w:w="20" w:type="dxa"/>
            </w:tcMar>
            <w:vAlign w:val="bottom"/>
          </w:tcPr>
          <w:p w14:paraId="5EA24A05" w14:textId="77777777" w:rsidR="003C66EB" w:rsidRDefault="00D96C4E">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tcPr>
          <w:p w14:paraId="5EA24A0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A07" w14:textId="77777777" w:rsidR="003C66EB" w:rsidRDefault="00D96C4E">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tcPr>
          <w:p w14:paraId="5EA24A0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A09" w14:textId="77777777" w:rsidR="003C66EB" w:rsidRDefault="00D96C4E">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3C66EB" w14:paraId="5EA24A1D" w14:textId="77777777">
        <w:tc>
          <w:tcPr>
            <w:tcW w:w="0" w:type="auto"/>
            <w:gridSpan w:val="3"/>
            <w:shd w:val="clear" w:color="auto" w:fill="auto"/>
            <w:tcMar>
              <w:top w:w="40" w:type="dxa"/>
              <w:left w:w="20" w:type="dxa"/>
              <w:bottom w:w="40" w:type="dxa"/>
              <w:right w:w="20" w:type="dxa"/>
            </w:tcMar>
            <w:vAlign w:val="bottom"/>
          </w:tcPr>
          <w:p w14:paraId="5EA24A0B" w14:textId="77777777" w:rsidR="003C66EB" w:rsidRDefault="00D96C4E">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tcPr>
          <w:p w14:paraId="5EA24A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0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0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1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1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1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1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15" w14:textId="77777777" w:rsidR="003C66EB" w:rsidRDefault="003C66EB">
            <w:pPr>
              <w:rPr>
                <w:rFonts w:ascii="宋体"/>
              </w:rPr>
            </w:pPr>
          </w:p>
        </w:tc>
        <w:tc>
          <w:tcPr>
            <w:tcW w:w="0" w:type="auto"/>
            <w:shd w:val="clear" w:color="auto" w:fill="auto"/>
          </w:tcPr>
          <w:p w14:paraId="5EA24A16" w14:textId="77777777" w:rsidR="003C66EB" w:rsidRDefault="003C66EB">
            <w:pPr>
              <w:rPr>
                <w:rFonts w:ascii="宋体"/>
                <w:vanish/>
              </w:rPr>
            </w:pPr>
          </w:p>
        </w:tc>
        <w:tc>
          <w:tcPr>
            <w:tcW w:w="0" w:type="auto"/>
            <w:shd w:val="clear" w:color="auto" w:fill="auto"/>
          </w:tcPr>
          <w:p w14:paraId="5EA24A17"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1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1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1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1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A1C" w14:textId="77777777" w:rsidR="003C66EB" w:rsidRDefault="003C66EB">
            <w:pPr>
              <w:rPr>
                <w:rFonts w:ascii="宋体"/>
              </w:rPr>
            </w:pPr>
          </w:p>
        </w:tc>
      </w:tr>
      <w:tr w:rsidR="003C66EB" w14:paraId="5EA24A30" w14:textId="77777777">
        <w:tc>
          <w:tcPr>
            <w:tcW w:w="0" w:type="auto"/>
            <w:gridSpan w:val="3"/>
            <w:shd w:val="clear" w:color="auto" w:fill="auto"/>
            <w:tcMar>
              <w:top w:w="40" w:type="dxa"/>
              <w:left w:w="155" w:type="dxa"/>
              <w:bottom w:w="40" w:type="dxa"/>
              <w:right w:w="20" w:type="dxa"/>
            </w:tcMar>
            <w:vAlign w:val="bottom"/>
          </w:tcPr>
          <w:p w14:paraId="5EA24A1E" w14:textId="77777777" w:rsidR="003C66EB" w:rsidRDefault="00D96C4E">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5EA24A1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8" w14:textId="77777777" w:rsidR="003C66EB" w:rsidRDefault="003C66EB">
            <w:pPr>
              <w:rPr>
                <w:rFonts w:ascii="宋体"/>
              </w:rPr>
            </w:pPr>
          </w:p>
        </w:tc>
        <w:tc>
          <w:tcPr>
            <w:tcW w:w="0" w:type="auto"/>
            <w:shd w:val="clear" w:color="auto" w:fill="auto"/>
          </w:tcPr>
          <w:p w14:paraId="5EA24A29" w14:textId="77777777" w:rsidR="003C66EB" w:rsidRDefault="003C66EB">
            <w:pPr>
              <w:rPr>
                <w:rFonts w:ascii="宋体"/>
                <w:vanish/>
              </w:rPr>
            </w:pPr>
          </w:p>
        </w:tc>
        <w:tc>
          <w:tcPr>
            <w:tcW w:w="0" w:type="auto"/>
            <w:shd w:val="clear" w:color="auto" w:fill="auto"/>
          </w:tcPr>
          <w:p w14:paraId="5EA24A2A"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A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2F" w14:textId="77777777" w:rsidR="003C66EB" w:rsidRDefault="003C66EB">
            <w:pPr>
              <w:rPr>
                <w:rFonts w:ascii="宋体"/>
              </w:rPr>
            </w:pPr>
          </w:p>
        </w:tc>
      </w:tr>
      <w:tr w:rsidR="003C66EB" w14:paraId="5EA24A43" w14:textId="77777777">
        <w:tc>
          <w:tcPr>
            <w:tcW w:w="0" w:type="auto"/>
            <w:gridSpan w:val="3"/>
            <w:shd w:val="clear" w:color="auto" w:fill="auto"/>
            <w:tcMar>
              <w:top w:w="40" w:type="dxa"/>
              <w:left w:w="245" w:type="dxa"/>
              <w:bottom w:w="40" w:type="dxa"/>
              <w:right w:w="20" w:type="dxa"/>
            </w:tcMar>
            <w:vAlign w:val="bottom"/>
          </w:tcPr>
          <w:p w14:paraId="5EA24A31" w14:textId="77777777" w:rsidR="003C66EB" w:rsidRDefault="00D96C4E">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5EA24A3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B" w14:textId="77777777" w:rsidR="003C66EB" w:rsidRDefault="003C66EB">
            <w:pPr>
              <w:rPr>
                <w:rFonts w:ascii="宋体"/>
              </w:rPr>
            </w:pPr>
          </w:p>
        </w:tc>
        <w:tc>
          <w:tcPr>
            <w:tcW w:w="0" w:type="auto"/>
            <w:shd w:val="clear" w:color="auto" w:fill="auto"/>
          </w:tcPr>
          <w:p w14:paraId="5EA24A3C" w14:textId="77777777" w:rsidR="003C66EB" w:rsidRDefault="003C66EB">
            <w:pPr>
              <w:rPr>
                <w:rFonts w:ascii="宋体"/>
                <w:vanish/>
              </w:rPr>
            </w:pPr>
          </w:p>
        </w:tc>
        <w:tc>
          <w:tcPr>
            <w:tcW w:w="0" w:type="auto"/>
            <w:shd w:val="clear" w:color="auto" w:fill="auto"/>
          </w:tcPr>
          <w:p w14:paraId="5EA24A3D"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A3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3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4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4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A42" w14:textId="77777777" w:rsidR="003C66EB" w:rsidRDefault="003C66EB">
            <w:pPr>
              <w:rPr>
                <w:rFonts w:ascii="宋体"/>
              </w:rPr>
            </w:pPr>
          </w:p>
        </w:tc>
      </w:tr>
      <w:tr w:rsidR="003C66EB" w14:paraId="5EA24A66" w14:textId="77777777">
        <w:tc>
          <w:tcPr>
            <w:tcW w:w="0" w:type="auto"/>
            <w:gridSpan w:val="3"/>
            <w:shd w:val="clear" w:color="auto" w:fill="CCEEFF"/>
            <w:tcMar>
              <w:top w:w="40" w:type="dxa"/>
              <w:left w:w="380" w:type="dxa"/>
              <w:bottom w:w="40" w:type="dxa"/>
              <w:right w:w="20" w:type="dxa"/>
            </w:tcMar>
            <w:vAlign w:val="bottom"/>
          </w:tcPr>
          <w:p w14:paraId="5EA24A44" w14:textId="77777777" w:rsidR="003C66EB" w:rsidRDefault="00D96C4E">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A24A45"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A46" w14:textId="77777777" w:rsidR="003C66EB" w:rsidRDefault="00D96C4E">
            <w:pPr>
              <w:jc w:val="right"/>
              <w:textAlignment w:val="bottom"/>
            </w:pPr>
            <w:r>
              <w:rPr>
                <w:rFonts w:ascii="Arial" w:eastAsia="宋体" w:hAnsi="Arial" w:cs="Arial"/>
                <w:b/>
                <w:bCs/>
                <w:color w:val="000000"/>
                <w:sz w:val="14"/>
                <w:szCs w:val="14"/>
              </w:rPr>
              <w:t>4,563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A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4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A4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4A" w14:textId="77777777" w:rsidR="003C66EB" w:rsidRDefault="00D96C4E">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5EA24A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4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A4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4E" w14:textId="77777777" w:rsidR="003C66EB" w:rsidRDefault="00D96C4E">
            <w:pPr>
              <w:jc w:val="right"/>
              <w:textAlignment w:val="bottom"/>
            </w:pPr>
            <w:r>
              <w:rPr>
                <w:rFonts w:ascii="Arial" w:eastAsia="宋体" w:hAnsi="Arial" w:cs="Arial"/>
                <w:color w:val="000000"/>
                <w:sz w:val="14"/>
                <w:szCs w:val="14"/>
              </w:rPr>
              <w:t>385 </w:t>
            </w:r>
          </w:p>
        </w:tc>
        <w:tc>
          <w:tcPr>
            <w:tcW w:w="0" w:type="auto"/>
            <w:shd w:val="clear" w:color="auto" w:fill="CCEEFF"/>
            <w:tcMar>
              <w:top w:w="40" w:type="dxa"/>
              <w:left w:w="0" w:type="dxa"/>
              <w:bottom w:w="40" w:type="dxa"/>
              <w:right w:w="20" w:type="dxa"/>
            </w:tcMar>
            <w:vAlign w:val="bottom"/>
          </w:tcPr>
          <w:p w14:paraId="5EA24A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5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A5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52"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A24A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5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A5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56" w14:textId="77777777" w:rsidR="003C66EB" w:rsidRDefault="00D96C4E">
            <w:pPr>
              <w:jc w:val="right"/>
              <w:textAlignment w:val="bottom"/>
            </w:pPr>
            <w:r>
              <w:rPr>
                <w:rFonts w:ascii="Arial" w:eastAsia="宋体" w:hAnsi="Arial" w:cs="Arial"/>
                <w:color w:val="000000"/>
                <w:sz w:val="14"/>
                <w:szCs w:val="14"/>
              </w:rPr>
              <w:t>162 </w:t>
            </w:r>
          </w:p>
        </w:tc>
        <w:tc>
          <w:tcPr>
            <w:tcW w:w="0" w:type="auto"/>
            <w:shd w:val="clear" w:color="auto" w:fill="CCEEFF"/>
            <w:tcMar>
              <w:top w:w="40" w:type="dxa"/>
              <w:left w:w="0" w:type="dxa"/>
              <w:bottom w:w="40" w:type="dxa"/>
              <w:right w:w="20" w:type="dxa"/>
            </w:tcMar>
            <w:vAlign w:val="bottom"/>
          </w:tcPr>
          <w:p w14:paraId="5EA24A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58" w14:textId="77777777" w:rsidR="003C66EB" w:rsidRDefault="003C66EB">
            <w:pPr>
              <w:rPr>
                <w:rFonts w:ascii="宋体"/>
              </w:rPr>
            </w:pPr>
          </w:p>
        </w:tc>
        <w:tc>
          <w:tcPr>
            <w:tcW w:w="0" w:type="auto"/>
            <w:shd w:val="clear" w:color="auto" w:fill="auto"/>
          </w:tcPr>
          <w:p w14:paraId="5EA24A59" w14:textId="77777777" w:rsidR="003C66EB" w:rsidRDefault="003C66EB">
            <w:pPr>
              <w:rPr>
                <w:rFonts w:ascii="宋体"/>
                <w:vanish/>
              </w:rPr>
            </w:pPr>
          </w:p>
        </w:tc>
        <w:tc>
          <w:tcPr>
            <w:tcW w:w="0" w:type="auto"/>
            <w:shd w:val="clear" w:color="auto" w:fill="auto"/>
          </w:tcPr>
          <w:p w14:paraId="5EA24A5A"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4A5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5C" w14:textId="77777777" w:rsidR="003C66EB" w:rsidRDefault="00D96C4E">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5EA24A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5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A5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60" w14:textId="77777777" w:rsidR="003C66EB" w:rsidRDefault="00D96C4E">
            <w:pPr>
              <w:jc w:val="right"/>
              <w:textAlignment w:val="bottom"/>
            </w:pPr>
            <w:r>
              <w:rPr>
                <w:rFonts w:ascii="Arial" w:eastAsia="宋体" w:hAnsi="Arial" w:cs="Arial"/>
                <w:color w:val="000000"/>
                <w:sz w:val="14"/>
                <w:szCs w:val="14"/>
              </w:rPr>
              <w:t>11,767 </w:t>
            </w:r>
          </w:p>
        </w:tc>
        <w:tc>
          <w:tcPr>
            <w:tcW w:w="0" w:type="auto"/>
            <w:shd w:val="clear" w:color="auto" w:fill="CCEEFF"/>
            <w:tcMar>
              <w:top w:w="40" w:type="dxa"/>
              <w:left w:w="0" w:type="dxa"/>
              <w:bottom w:w="40" w:type="dxa"/>
              <w:right w:w="20" w:type="dxa"/>
            </w:tcMar>
            <w:vAlign w:val="bottom"/>
          </w:tcPr>
          <w:p w14:paraId="5EA24A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6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A6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A64" w14:textId="77777777" w:rsidR="003C66EB" w:rsidRDefault="00D96C4E">
            <w:pPr>
              <w:jc w:val="right"/>
              <w:textAlignment w:val="bottom"/>
            </w:pPr>
            <w:r>
              <w:rPr>
                <w:rFonts w:ascii="Arial" w:eastAsia="宋体" w:hAnsi="Arial" w:cs="Arial"/>
                <w:color w:val="000000"/>
                <w:sz w:val="14"/>
                <w:szCs w:val="14"/>
              </w:rPr>
              <w:t>17,139 </w:t>
            </w:r>
          </w:p>
        </w:tc>
        <w:tc>
          <w:tcPr>
            <w:tcW w:w="0" w:type="auto"/>
            <w:shd w:val="clear" w:color="auto" w:fill="CCEEFF"/>
            <w:tcMar>
              <w:top w:w="40" w:type="dxa"/>
              <w:left w:w="0" w:type="dxa"/>
              <w:bottom w:w="40" w:type="dxa"/>
              <w:right w:w="20" w:type="dxa"/>
            </w:tcMar>
            <w:vAlign w:val="bottom"/>
          </w:tcPr>
          <w:p w14:paraId="5EA24A65" w14:textId="77777777" w:rsidR="003C66EB" w:rsidRDefault="003C66EB">
            <w:pPr>
              <w:jc w:val="right"/>
              <w:rPr>
                <w:rFonts w:ascii="宋体"/>
              </w:rPr>
            </w:pPr>
          </w:p>
        </w:tc>
      </w:tr>
      <w:tr w:rsidR="003C66EB" w14:paraId="5EA24A81" w14:textId="77777777">
        <w:tc>
          <w:tcPr>
            <w:tcW w:w="0" w:type="auto"/>
            <w:gridSpan w:val="3"/>
            <w:shd w:val="clear" w:color="auto" w:fill="FFFFFF"/>
            <w:tcMar>
              <w:top w:w="40" w:type="dxa"/>
              <w:left w:w="380" w:type="dxa"/>
              <w:bottom w:w="40" w:type="dxa"/>
              <w:right w:w="20" w:type="dxa"/>
            </w:tcMar>
            <w:vAlign w:val="bottom"/>
          </w:tcPr>
          <w:p w14:paraId="5EA24A67"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4A68" w14:textId="77777777" w:rsidR="003C66EB" w:rsidRDefault="00D96C4E">
            <w:pPr>
              <w:jc w:val="right"/>
              <w:textAlignment w:val="bottom"/>
            </w:pPr>
            <w:r>
              <w:rPr>
                <w:rFonts w:ascii="Arial" w:eastAsia="宋体" w:hAnsi="Arial" w:cs="Arial"/>
                <w:b/>
                <w:bCs/>
                <w:color w:val="000000"/>
                <w:sz w:val="14"/>
                <w:szCs w:val="14"/>
              </w:rPr>
              <w:t>346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A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6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6B" w14:textId="77777777" w:rsidR="003C66EB" w:rsidRDefault="00D96C4E">
            <w:pPr>
              <w:jc w:val="right"/>
              <w:textAlignment w:val="bottom"/>
            </w:pPr>
            <w:r>
              <w:rPr>
                <w:rFonts w:ascii="Arial" w:eastAsia="宋体" w:hAnsi="Arial" w:cs="Arial"/>
                <w:color w:val="000000"/>
                <w:sz w:val="14"/>
                <w:szCs w:val="14"/>
              </w:rPr>
              <w:t>438 </w:t>
            </w:r>
          </w:p>
        </w:tc>
        <w:tc>
          <w:tcPr>
            <w:tcW w:w="0" w:type="auto"/>
            <w:shd w:val="clear" w:color="auto" w:fill="FFFFFF"/>
            <w:tcMar>
              <w:top w:w="40" w:type="dxa"/>
              <w:left w:w="0" w:type="dxa"/>
              <w:bottom w:w="40" w:type="dxa"/>
              <w:right w:w="20" w:type="dxa"/>
            </w:tcMar>
            <w:vAlign w:val="bottom"/>
          </w:tcPr>
          <w:p w14:paraId="5EA24A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6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6E" w14:textId="77777777" w:rsidR="003C66EB" w:rsidRDefault="00D96C4E">
            <w:pPr>
              <w:jc w:val="right"/>
              <w:textAlignment w:val="bottom"/>
            </w:pPr>
            <w:r>
              <w:rPr>
                <w:rFonts w:ascii="Arial" w:eastAsia="宋体" w:hAnsi="Arial" w:cs="Arial"/>
                <w:color w:val="000000"/>
                <w:sz w:val="14"/>
                <w:szCs w:val="14"/>
              </w:rPr>
              <w:t>822 </w:t>
            </w:r>
          </w:p>
        </w:tc>
        <w:tc>
          <w:tcPr>
            <w:tcW w:w="0" w:type="auto"/>
            <w:shd w:val="clear" w:color="auto" w:fill="FFFFFF"/>
            <w:tcMar>
              <w:top w:w="40" w:type="dxa"/>
              <w:left w:w="0" w:type="dxa"/>
              <w:bottom w:w="40" w:type="dxa"/>
              <w:right w:w="20" w:type="dxa"/>
            </w:tcMar>
            <w:vAlign w:val="bottom"/>
          </w:tcPr>
          <w:p w14:paraId="5EA24A6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7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71" w14:textId="77777777" w:rsidR="003C66EB" w:rsidRDefault="00D96C4E">
            <w:pPr>
              <w:jc w:val="right"/>
              <w:textAlignment w:val="bottom"/>
            </w:pPr>
            <w:r>
              <w:rPr>
                <w:rFonts w:ascii="Arial" w:eastAsia="宋体" w:hAnsi="Arial" w:cs="Arial"/>
                <w:color w:val="000000"/>
                <w:sz w:val="14"/>
                <w:szCs w:val="14"/>
              </w:rPr>
              <w:t>721 </w:t>
            </w:r>
          </w:p>
        </w:tc>
        <w:tc>
          <w:tcPr>
            <w:tcW w:w="0" w:type="auto"/>
            <w:shd w:val="clear" w:color="auto" w:fill="FFFFFF"/>
            <w:tcMar>
              <w:top w:w="40" w:type="dxa"/>
              <w:left w:w="0" w:type="dxa"/>
              <w:bottom w:w="40" w:type="dxa"/>
              <w:right w:w="20" w:type="dxa"/>
            </w:tcMar>
            <w:vAlign w:val="bottom"/>
          </w:tcPr>
          <w:p w14:paraId="5EA24A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7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74" w14:textId="77777777" w:rsidR="003C66EB" w:rsidRDefault="00D96C4E">
            <w:pPr>
              <w:jc w:val="right"/>
              <w:textAlignment w:val="bottom"/>
            </w:pPr>
            <w:r>
              <w:rPr>
                <w:rFonts w:ascii="Arial" w:eastAsia="宋体" w:hAnsi="Arial" w:cs="Arial"/>
                <w:color w:val="000000"/>
                <w:sz w:val="14"/>
                <w:szCs w:val="14"/>
              </w:rPr>
              <w:t>556 </w:t>
            </w:r>
          </w:p>
        </w:tc>
        <w:tc>
          <w:tcPr>
            <w:tcW w:w="0" w:type="auto"/>
            <w:shd w:val="clear" w:color="auto" w:fill="FFFFFF"/>
            <w:tcMar>
              <w:top w:w="40" w:type="dxa"/>
              <w:left w:w="0" w:type="dxa"/>
              <w:bottom w:w="40" w:type="dxa"/>
              <w:right w:w="20" w:type="dxa"/>
            </w:tcMar>
            <w:vAlign w:val="bottom"/>
          </w:tcPr>
          <w:p w14:paraId="5EA24A7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76" w14:textId="77777777" w:rsidR="003C66EB" w:rsidRDefault="003C66EB">
            <w:pPr>
              <w:rPr>
                <w:rFonts w:ascii="宋体"/>
              </w:rPr>
            </w:pPr>
          </w:p>
        </w:tc>
        <w:tc>
          <w:tcPr>
            <w:tcW w:w="0" w:type="auto"/>
            <w:shd w:val="clear" w:color="auto" w:fill="auto"/>
          </w:tcPr>
          <w:p w14:paraId="5EA24A77" w14:textId="77777777" w:rsidR="003C66EB" w:rsidRDefault="003C66EB">
            <w:pPr>
              <w:rPr>
                <w:rFonts w:ascii="宋体"/>
                <w:vanish/>
              </w:rPr>
            </w:pPr>
          </w:p>
        </w:tc>
        <w:tc>
          <w:tcPr>
            <w:tcW w:w="0" w:type="auto"/>
            <w:shd w:val="clear" w:color="auto" w:fill="auto"/>
          </w:tcPr>
          <w:p w14:paraId="5EA24A7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A79" w14:textId="77777777" w:rsidR="003C66EB" w:rsidRDefault="00D96C4E">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EA24A7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7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7C" w14:textId="77777777" w:rsidR="003C66EB" w:rsidRDefault="00D96C4E">
            <w:pPr>
              <w:jc w:val="right"/>
              <w:textAlignment w:val="bottom"/>
            </w:pPr>
            <w:r>
              <w:rPr>
                <w:rFonts w:ascii="Arial" w:eastAsia="宋体" w:hAnsi="Arial" w:cs="Arial"/>
                <w:color w:val="000000"/>
                <w:sz w:val="14"/>
                <w:szCs w:val="14"/>
              </w:rPr>
              <w:t>349 </w:t>
            </w:r>
          </w:p>
        </w:tc>
        <w:tc>
          <w:tcPr>
            <w:tcW w:w="0" w:type="auto"/>
            <w:shd w:val="clear" w:color="auto" w:fill="FFFFFF"/>
            <w:tcMar>
              <w:top w:w="40" w:type="dxa"/>
              <w:left w:w="0" w:type="dxa"/>
              <w:bottom w:w="40" w:type="dxa"/>
              <w:right w:w="20" w:type="dxa"/>
            </w:tcMar>
            <w:vAlign w:val="bottom"/>
          </w:tcPr>
          <w:p w14:paraId="5EA24A7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7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7F" w14:textId="77777777" w:rsidR="003C66EB" w:rsidRDefault="00D96C4E">
            <w:pPr>
              <w:jc w:val="right"/>
              <w:textAlignment w:val="bottom"/>
            </w:pPr>
            <w:r>
              <w:rPr>
                <w:rFonts w:ascii="Arial" w:eastAsia="宋体" w:hAnsi="Arial" w:cs="Arial"/>
                <w:color w:val="000000"/>
                <w:sz w:val="14"/>
                <w:szCs w:val="14"/>
              </w:rPr>
              <w:t>3,274 </w:t>
            </w:r>
          </w:p>
        </w:tc>
        <w:tc>
          <w:tcPr>
            <w:tcW w:w="0" w:type="auto"/>
            <w:shd w:val="clear" w:color="auto" w:fill="FFFFFF"/>
            <w:tcMar>
              <w:top w:w="40" w:type="dxa"/>
              <w:left w:w="0" w:type="dxa"/>
              <w:bottom w:w="40" w:type="dxa"/>
              <w:right w:w="20" w:type="dxa"/>
            </w:tcMar>
            <w:vAlign w:val="bottom"/>
          </w:tcPr>
          <w:p w14:paraId="5EA24A80" w14:textId="77777777" w:rsidR="003C66EB" w:rsidRDefault="003C66EB">
            <w:pPr>
              <w:jc w:val="right"/>
              <w:rPr>
                <w:rFonts w:ascii="宋体"/>
              </w:rPr>
            </w:pPr>
          </w:p>
        </w:tc>
      </w:tr>
      <w:tr w:rsidR="003C66EB" w14:paraId="5EA24A9C" w14:textId="77777777">
        <w:tc>
          <w:tcPr>
            <w:tcW w:w="0" w:type="auto"/>
            <w:gridSpan w:val="3"/>
            <w:shd w:val="clear" w:color="auto" w:fill="CCEEFF"/>
            <w:tcMar>
              <w:top w:w="40" w:type="dxa"/>
              <w:left w:w="380" w:type="dxa"/>
              <w:bottom w:w="40" w:type="dxa"/>
              <w:right w:w="20" w:type="dxa"/>
            </w:tcMar>
            <w:vAlign w:val="bottom"/>
          </w:tcPr>
          <w:p w14:paraId="5EA24A82" w14:textId="77777777" w:rsidR="003C66EB" w:rsidRDefault="00D96C4E">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A24A83"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A8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8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A8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A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A89" w14:textId="77777777" w:rsidR="003C66EB" w:rsidRDefault="00D96C4E">
            <w:pPr>
              <w:jc w:val="right"/>
              <w:textAlignment w:val="bottom"/>
            </w:pPr>
            <w:r>
              <w:rPr>
                <w:rFonts w:ascii="Arial" w:eastAsia="宋体" w:hAnsi="Arial" w:cs="Arial"/>
                <w:color w:val="000000"/>
                <w:sz w:val="14"/>
                <w:szCs w:val="14"/>
              </w:rPr>
              <w:t>48 </w:t>
            </w:r>
          </w:p>
        </w:tc>
        <w:tc>
          <w:tcPr>
            <w:tcW w:w="0" w:type="auto"/>
            <w:shd w:val="clear" w:color="auto" w:fill="CCEEFF"/>
            <w:tcMar>
              <w:top w:w="40" w:type="dxa"/>
              <w:left w:w="0" w:type="dxa"/>
              <w:bottom w:w="40" w:type="dxa"/>
              <w:right w:w="20" w:type="dxa"/>
            </w:tcMar>
            <w:vAlign w:val="bottom"/>
          </w:tcPr>
          <w:p w14:paraId="5EA24A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A8C" w14:textId="77777777" w:rsidR="003C66EB" w:rsidRDefault="00D96C4E">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5EA24A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A8F" w14:textId="77777777" w:rsidR="003C66EB" w:rsidRDefault="00D96C4E">
            <w:pPr>
              <w:jc w:val="right"/>
              <w:textAlignment w:val="bottom"/>
            </w:pPr>
            <w:r>
              <w:rPr>
                <w:rFonts w:ascii="Arial" w:eastAsia="宋体" w:hAnsi="Arial" w:cs="Arial"/>
                <w:color w:val="000000"/>
                <w:sz w:val="14"/>
                <w:szCs w:val="14"/>
              </w:rPr>
              <w:t>34 </w:t>
            </w:r>
          </w:p>
        </w:tc>
        <w:tc>
          <w:tcPr>
            <w:tcW w:w="0" w:type="auto"/>
            <w:shd w:val="clear" w:color="auto" w:fill="CCEEFF"/>
            <w:tcMar>
              <w:top w:w="40" w:type="dxa"/>
              <w:left w:w="0" w:type="dxa"/>
              <w:bottom w:w="40" w:type="dxa"/>
              <w:right w:w="20" w:type="dxa"/>
            </w:tcMar>
            <w:vAlign w:val="bottom"/>
          </w:tcPr>
          <w:p w14:paraId="5EA24A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91" w14:textId="77777777" w:rsidR="003C66EB" w:rsidRDefault="003C66EB">
            <w:pPr>
              <w:rPr>
                <w:rFonts w:ascii="宋体"/>
              </w:rPr>
            </w:pPr>
          </w:p>
        </w:tc>
        <w:tc>
          <w:tcPr>
            <w:tcW w:w="0" w:type="auto"/>
            <w:shd w:val="clear" w:color="auto" w:fill="auto"/>
          </w:tcPr>
          <w:p w14:paraId="5EA24A92" w14:textId="77777777" w:rsidR="003C66EB" w:rsidRDefault="003C66EB">
            <w:pPr>
              <w:rPr>
                <w:rFonts w:ascii="宋体"/>
                <w:vanish/>
              </w:rPr>
            </w:pPr>
          </w:p>
        </w:tc>
        <w:tc>
          <w:tcPr>
            <w:tcW w:w="0" w:type="auto"/>
            <w:shd w:val="clear" w:color="auto" w:fill="auto"/>
          </w:tcPr>
          <w:p w14:paraId="5EA24A93"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4A9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A9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9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A9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A9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9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A9A" w14:textId="77777777" w:rsidR="003C66EB" w:rsidRDefault="00D96C4E">
            <w:pPr>
              <w:jc w:val="right"/>
              <w:textAlignment w:val="bottom"/>
            </w:pPr>
            <w:r>
              <w:rPr>
                <w:rFonts w:ascii="Arial" w:eastAsia="宋体" w:hAnsi="Arial" w:cs="Arial"/>
                <w:color w:val="000000"/>
                <w:sz w:val="14"/>
                <w:szCs w:val="14"/>
              </w:rPr>
              <w:t>111 </w:t>
            </w:r>
          </w:p>
        </w:tc>
        <w:tc>
          <w:tcPr>
            <w:tcW w:w="0" w:type="auto"/>
            <w:shd w:val="clear" w:color="auto" w:fill="CCEEFF"/>
            <w:tcMar>
              <w:top w:w="40" w:type="dxa"/>
              <w:left w:w="0" w:type="dxa"/>
              <w:bottom w:w="40" w:type="dxa"/>
              <w:right w:w="20" w:type="dxa"/>
            </w:tcMar>
            <w:vAlign w:val="bottom"/>
          </w:tcPr>
          <w:p w14:paraId="5EA24A9B" w14:textId="77777777" w:rsidR="003C66EB" w:rsidRDefault="003C66EB">
            <w:pPr>
              <w:jc w:val="right"/>
              <w:rPr>
                <w:rFonts w:ascii="宋体"/>
              </w:rPr>
            </w:pPr>
          </w:p>
        </w:tc>
      </w:tr>
      <w:tr w:rsidR="003C66EB" w14:paraId="5EA24AB7" w14:textId="77777777">
        <w:tc>
          <w:tcPr>
            <w:tcW w:w="0" w:type="auto"/>
            <w:gridSpan w:val="3"/>
            <w:shd w:val="clear" w:color="auto" w:fill="FFFFFF"/>
            <w:tcMar>
              <w:top w:w="40" w:type="dxa"/>
              <w:left w:w="380" w:type="dxa"/>
              <w:bottom w:w="40" w:type="dxa"/>
              <w:right w:w="20" w:type="dxa"/>
            </w:tcMar>
            <w:vAlign w:val="bottom"/>
          </w:tcPr>
          <w:p w14:paraId="5EA24A9D" w14:textId="77777777" w:rsidR="003C66EB" w:rsidRDefault="00D96C4E">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A24A9E"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A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A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A1"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A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A4" w14:textId="77777777" w:rsidR="003C66EB" w:rsidRDefault="00D96C4E">
            <w:pPr>
              <w:jc w:val="right"/>
              <w:textAlignment w:val="bottom"/>
            </w:pPr>
            <w:r>
              <w:rPr>
                <w:rFonts w:ascii="Arial" w:eastAsia="宋体" w:hAnsi="Arial" w:cs="Arial"/>
                <w:color w:val="000000"/>
                <w:sz w:val="14"/>
                <w:szCs w:val="14"/>
              </w:rPr>
              <w:t>48 </w:t>
            </w:r>
          </w:p>
        </w:tc>
        <w:tc>
          <w:tcPr>
            <w:tcW w:w="0" w:type="auto"/>
            <w:shd w:val="clear" w:color="auto" w:fill="FFFFFF"/>
            <w:tcMar>
              <w:top w:w="40" w:type="dxa"/>
              <w:left w:w="0" w:type="dxa"/>
              <w:bottom w:w="40" w:type="dxa"/>
              <w:right w:w="20" w:type="dxa"/>
            </w:tcMar>
            <w:vAlign w:val="bottom"/>
          </w:tcPr>
          <w:p w14:paraId="5EA24A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A7" w14:textId="77777777" w:rsidR="003C66EB" w:rsidRDefault="00D96C4E">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EA24A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A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A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AC" w14:textId="77777777" w:rsidR="003C66EB" w:rsidRDefault="003C66EB">
            <w:pPr>
              <w:rPr>
                <w:rFonts w:ascii="宋体"/>
              </w:rPr>
            </w:pPr>
          </w:p>
        </w:tc>
        <w:tc>
          <w:tcPr>
            <w:tcW w:w="0" w:type="auto"/>
            <w:shd w:val="clear" w:color="auto" w:fill="auto"/>
          </w:tcPr>
          <w:p w14:paraId="5EA24AAD" w14:textId="77777777" w:rsidR="003C66EB" w:rsidRDefault="003C66EB">
            <w:pPr>
              <w:rPr>
                <w:rFonts w:ascii="宋体"/>
                <w:vanish/>
              </w:rPr>
            </w:pPr>
          </w:p>
        </w:tc>
        <w:tc>
          <w:tcPr>
            <w:tcW w:w="0" w:type="auto"/>
            <w:shd w:val="clear" w:color="auto" w:fill="auto"/>
          </w:tcPr>
          <w:p w14:paraId="5EA24AAE"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AAF" w14:textId="77777777" w:rsidR="003C66EB" w:rsidRDefault="00D96C4E">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A24AB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B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B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AB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AB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AB5" w14:textId="77777777" w:rsidR="003C66EB" w:rsidRDefault="00D96C4E">
            <w:pPr>
              <w:jc w:val="right"/>
              <w:textAlignment w:val="bottom"/>
            </w:pPr>
            <w:r>
              <w:rPr>
                <w:rFonts w:ascii="Arial" w:eastAsia="宋体" w:hAnsi="Arial" w:cs="Arial"/>
                <w:color w:val="000000"/>
                <w:sz w:val="14"/>
                <w:szCs w:val="14"/>
              </w:rPr>
              <w:t>103 </w:t>
            </w:r>
          </w:p>
        </w:tc>
        <w:tc>
          <w:tcPr>
            <w:tcW w:w="0" w:type="auto"/>
            <w:shd w:val="clear" w:color="auto" w:fill="FFFFFF"/>
            <w:tcMar>
              <w:top w:w="40" w:type="dxa"/>
              <w:left w:w="0" w:type="dxa"/>
              <w:bottom w:w="40" w:type="dxa"/>
              <w:right w:w="20" w:type="dxa"/>
            </w:tcMar>
            <w:vAlign w:val="bottom"/>
          </w:tcPr>
          <w:p w14:paraId="5EA24AB6" w14:textId="77777777" w:rsidR="003C66EB" w:rsidRDefault="003C66EB">
            <w:pPr>
              <w:jc w:val="right"/>
              <w:rPr>
                <w:rFonts w:ascii="宋体"/>
              </w:rPr>
            </w:pPr>
          </w:p>
        </w:tc>
      </w:tr>
      <w:tr w:rsidR="003C66EB" w14:paraId="5EA24ACA" w14:textId="77777777">
        <w:trPr>
          <w:hidden/>
        </w:trPr>
        <w:tc>
          <w:tcPr>
            <w:tcW w:w="0" w:type="auto"/>
            <w:gridSpan w:val="3"/>
            <w:shd w:val="clear" w:color="auto" w:fill="auto"/>
          </w:tcPr>
          <w:p w14:paraId="5EA24AB8" w14:textId="77777777" w:rsidR="003C66EB" w:rsidRDefault="003C66EB">
            <w:pPr>
              <w:rPr>
                <w:rFonts w:ascii="宋体"/>
                <w:vanish/>
              </w:rPr>
            </w:pPr>
          </w:p>
        </w:tc>
        <w:tc>
          <w:tcPr>
            <w:tcW w:w="0" w:type="auto"/>
            <w:gridSpan w:val="3"/>
            <w:shd w:val="clear" w:color="auto" w:fill="auto"/>
          </w:tcPr>
          <w:p w14:paraId="5EA24AB9" w14:textId="77777777" w:rsidR="003C66EB" w:rsidRDefault="003C66EB">
            <w:pPr>
              <w:rPr>
                <w:rFonts w:ascii="宋体"/>
                <w:vanish/>
              </w:rPr>
            </w:pPr>
          </w:p>
        </w:tc>
        <w:tc>
          <w:tcPr>
            <w:tcW w:w="0" w:type="auto"/>
            <w:gridSpan w:val="3"/>
            <w:shd w:val="clear" w:color="auto" w:fill="auto"/>
          </w:tcPr>
          <w:p w14:paraId="5EA24ABA" w14:textId="77777777" w:rsidR="003C66EB" w:rsidRDefault="003C66EB">
            <w:pPr>
              <w:rPr>
                <w:rFonts w:ascii="宋体"/>
                <w:vanish/>
              </w:rPr>
            </w:pPr>
          </w:p>
        </w:tc>
        <w:tc>
          <w:tcPr>
            <w:tcW w:w="0" w:type="auto"/>
            <w:gridSpan w:val="3"/>
            <w:shd w:val="clear" w:color="auto" w:fill="auto"/>
          </w:tcPr>
          <w:p w14:paraId="5EA24ABB" w14:textId="77777777" w:rsidR="003C66EB" w:rsidRDefault="003C66EB">
            <w:pPr>
              <w:rPr>
                <w:rFonts w:ascii="宋体"/>
                <w:vanish/>
              </w:rPr>
            </w:pPr>
          </w:p>
        </w:tc>
        <w:tc>
          <w:tcPr>
            <w:tcW w:w="0" w:type="auto"/>
            <w:gridSpan w:val="3"/>
            <w:shd w:val="clear" w:color="auto" w:fill="auto"/>
          </w:tcPr>
          <w:p w14:paraId="5EA24ABC" w14:textId="77777777" w:rsidR="003C66EB" w:rsidRDefault="003C66EB">
            <w:pPr>
              <w:rPr>
                <w:rFonts w:ascii="宋体"/>
                <w:vanish/>
              </w:rPr>
            </w:pPr>
          </w:p>
        </w:tc>
        <w:tc>
          <w:tcPr>
            <w:tcW w:w="0" w:type="auto"/>
            <w:gridSpan w:val="3"/>
            <w:shd w:val="clear" w:color="auto" w:fill="auto"/>
          </w:tcPr>
          <w:p w14:paraId="5EA24ABD" w14:textId="77777777" w:rsidR="003C66EB" w:rsidRDefault="003C66EB">
            <w:pPr>
              <w:rPr>
                <w:rFonts w:ascii="宋体"/>
                <w:vanish/>
              </w:rPr>
            </w:pPr>
          </w:p>
        </w:tc>
        <w:tc>
          <w:tcPr>
            <w:tcW w:w="0" w:type="auto"/>
            <w:gridSpan w:val="3"/>
            <w:shd w:val="clear" w:color="auto" w:fill="auto"/>
          </w:tcPr>
          <w:p w14:paraId="5EA24ABE" w14:textId="77777777" w:rsidR="003C66EB" w:rsidRDefault="003C66EB">
            <w:pPr>
              <w:rPr>
                <w:rFonts w:ascii="宋体"/>
                <w:vanish/>
              </w:rPr>
            </w:pPr>
          </w:p>
        </w:tc>
        <w:tc>
          <w:tcPr>
            <w:tcW w:w="0" w:type="auto"/>
            <w:gridSpan w:val="3"/>
            <w:shd w:val="clear" w:color="auto" w:fill="auto"/>
          </w:tcPr>
          <w:p w14:paraId="5EA24ABF" w14:textId="77777777" w:rsidR="003C66EB" w:rsidRDefault="003C66EB">
            <w:pPr>
              <w:rPr>
                <w:rFonts w:ascii="宋体"/>
                <w:vanish/>
              </w:rPr>
            </w:pPr>
          </w:p>
        </w:tc>
        <w:tc>
          <w:tcPr>
            <w:tcW w:w="0" w:type="auto"/>
            <w:gridSpan w:val="3"/>
            <w:shd w:val="clear" w:color="auto" w:fill="auto"/>
          </w:tcPr>
          <w:p w14:paraId="5EA24AC0" w14:textId="77777777" w:rsidR="003C66EB" w:rsidRDefault="003C66EB">
            <w:pPr>
              <w:rPr>
                <w:rFonts w:ascii="宋体"/>
                <w:vanish/>
              </w:rPr>
            </w:pPr>
          </w:p>
        </w:tc>
        <w:tc>
          <w:tcPr>
            <w:tcW w:w="0" w:type="auto"/>
            <w:gridSpan w:val="3"/>
            <w:shd w:val="clear" w:color="auto" w:fill="auto"/>
          </w:tcPr>
          <w:p w14:paraId="5EA24AC1" w14:textId="77777777" w:rsidR="003C66EB" w:rsidRDefault="003C66EB">
            <w:pPr>
              <w:rPr>
                <w:rFonts w:ascii="宋体"/>
                <w:vanish/>
              </w:rPr>
            </w:pPr>
          </w:p>
        </w:tc>
        <w:tc>
          <w:tcPr>
            <w:tcW w:w="0" w:type="auto"/>
            <w:gridSpan w:val="3"/>
            <w:shd w:val="clear" w:color="auto" w:fill="auto"/>
          </w:tcPr>
          <w:p w14:paraId="5EA24AC2" w14:textId="77777777" w:rsidR="003C66EB" w:rsidRDefault="003C66EB">
            <w:pPr>
              <w:rPr>
                <w:rFonts w:ascii="宋体"/>
                <w:vanish/>
              </w:rPr>
            </w:pPr>
          </w:p>
        </w:tc>
        <w:tc>
          <w:tcPr>
            <w:tcW w:w="0" w:type="auto"/>
            <w:shd w:val="clear" w:color="auto" w:fill="auto"/>
          </w:tcPr>
          <w:p w14:paraId="5EA24AC3" w14:textId="77777777" w:rsidR="003C66EB" w:rsidRDefault="003C66EB">
            <w:pPr>
              <w:rPr>
                <w:rFonts w:ascii="宋体"/>
                <w:vanish/>
              </w:rPr>
            </w:pPr>
          </w:p>
        </w:tc>
        <w:tc>
          <w:tcPr>
            <w:tcW w:w="0" w:type="auto"/>
            <w:shd w:val="clear" w:color="auto" w:fill="auto"/>
          </w:tcPr>
          <w:p w14:paraId="5EA24AC4" w14:textId="77777777" w:rsidR="003C66EB" w:rsidRDefault="003C66EB">
            <w:pPr>
              <w:rPr>
                <w:rFonts w:ascii="宋体"/>
                <w:vanish/>
              </w:rPr>
            </w:pPr>
          </w:p>
        </w:tc>
        <w:tc>
          <w:tcPr>
            <w:tcW w:w="0" w:type="auto"/>
            <w:gridSpan w:val="3"/>
            <w:shd w:val="clear" w:color="auto" w:fill="auto"/>
          </w:tcPr>
          <w:p w14:paraId="5EA24AC5" w14:textId="77777777" w:rsidR="003C66EB" w:rsidRDefault="003C66EB">
            <w:pPr>
              <w:rPr>
                <w:rFonts w:ascii="宋体"/>
                <w:vanish/>
              </w:rPr>
            </w:pPr>
          </w:p>
        </w:tc>
        <w:tc>
          <w:tcPr>
            <w:tcW w:w="0" w:type="auto"/>
            <w:gridSpan w:val="3"/>
            <w:shd w:val="clear" w:color="auto" w:fill="auto"/>
          </w:tcPr>
          <w:p w14:paraId="5EA24AC6" w14:textId="77777777" w:rsidR="003C66EB" w:rsidRDefault="003C66EB">
            <w:pPr>
              <w:rPr>
                <w:rFonts w:ascii="宋体"/>
                <w:vanish/>
              </w:rPr>
            </w:pPr>
          </w:p>
        </w:tc>
        <w:tc>
          <w:tcPr>
            <w:tcW w:w="0" w:type="auto"/>
            <w:gridSpan w:val="3"/>
            <w:shd w:val="clear" w:color="auto" w:fill="auto"/>
          </w:tcPr>
          <w:p w14:paraId="5EA24AC7" w14:textId="77777777" w:rsidR="003C66EB" w:rsidRDefault="003C66EB">
            <w:pPr>
              <w:rPr>
                <w:rFonts w:ascii="宋体"/>
                <w:vanish/>
              </w:rPr>
            </w:pPr>
          </w:p>
        </w:tc>
        <w:tc>
          <w:tcPr>
            <w:tcW w:w="0" w:type="auto"/>
            <w:gridSpan w:val="3"/>
            <w:shd w:val="clear" w:color="auto" w:fill="auto"/>
          </w:tcPr>
          <w:p w14:paraId="5EA24AC8" w14:textId="77777777" w:rsidR="003C66EB" w:rsidRDefault="003C66EB">
            <w:pPr>
              <w:rPr>
                <w:rFonts w:ascii="宋体"/>
                <w:vanish/>
              </w:rPr>
            </w:pPr>
          </w:p>
        </w:tc>
        <w:tc>
          <w:tcPr>
            <w:tcW w:w="0" w:type="auto"/>
            <w:gridSpan w:val="3"/>
            <w:shd w:val="clear" w:color="auto" w:fill="auto"/>
          </w:tcPr>
          <w:p w14:paraId="5EA24AC9" w14:textId="77777777" w:rsidR="003C66EB" w:rsidRDefault="003C66EB">
            <w:pPr>
              <w:rPr>
                <w:rFonts w:ascii="宋体"/>
                <w:vanish/>
              </w:rPr>
            </w:pPr>
          </w:p>
        </w:tc>
      </w:tr>
      <w:tr w:rsidR="003C66EB" w14:paraId="5EA24ADD" w14:textId="77777777">
        <w:trPr>
          <w:hidden/>
        </w:trPr>
        <w:tc>
          <w:tcPr>
            <w:tcW w:w="0" w:type="auto"/>
            <w:gridSpan w:val="3"/>
            <w:shd w:val="clear" w:color="auto" w:fill="auto"/>
          </w:tcPr>
          <w:p w14:paraId="5EA24ACB" w14:textId="77777777" w:rsidR="003C66EB" w:rsidRDefault="003C66EB">
            <w:pPr>
              <w:rPr>
                <w:rFonts w:ascii="宋体"/>
                <w:vanish/>
              </w:rPr>
            </w:pPr>
          </w:p>
        </w:tc>
        <w:tc>
          <w:tcPr>
            <w:tcW w:w="0" w:type="auto"/>
            <w:gridSpan w:val="3"/>
            <w:shd w:val="clear" w:color="auto" w:fill="auto"/>
          </w:tcPr>
          <w:p w14:paraId="5EA24ACC" w14:textId="77777777" w:rsidR="003C66EB" w:rsidRDefault="003C66EB">
            <w:pPr>
              <w:rPr>
                <w:rFonts w:ascii="宋体"/>
                <w:vanish/>
              </w:rPr>
            </w:pPr>
          </w:p>
        </w:tc>
        <w:tc>
          <w:tcPr>
            <w:tcW w:w="0" w:type="auto"/>
            <w:gridSpan w:val="3"/>
            <w:shd w:val="clear" w:color="auto" w:fill="auto"/>
          </w:tcPr>
          <w:p w14:paraId="5EA24ACD" w14:textId="77777777" w:rsidR="003C66EB" w:rsidRDefault="003C66EB">
            <w:pPr>
              <w:rPr>
                <w:rFonts w:ascii="宋体"/>
                <w:vanish/>
              </w:rPr>
            </w:pPr>
          </w:p>
        </w:tc>
        <w:tc>
          <w:tcPr>
            <w:tcW w:w="0" w:type="auto"/>
            <w:gridSpan w:val="3"/>
            <w:shd w:val="clear" w:color="auto" w:fill="auto"/>
          </w:tcPr>
          <w:p w14:paraId="5EA24ACE" w14:textId="77777777" w:rsidR="003C66EB" w:rsidRDefault="003C66EB">
            <w:pPr>
              <w:rPr>
                <w:rFonts w:ascii="宋体"/>
                <w:vanish/>
              </w:rPr>
            </w:pPr>
          </w:p>
        </w:tc>
        <w:tc>
          <w:tcPr>
            <w:tcW w:w="0" w:type="auto"/>
            <w:gridSpan w:val="3"/>
            <w:shd w:val="clear" w:color="auto" w:fill="auto"/>
          </w:tcPr>
          <w:p w14:paraId="5EA24ACF" w14:textId="77777777" w:rsidR="003C66EB" w:rsidRDefault="003C66EB">
            <w:pPr>
              <w:rPr>
                <w:rFonts w:ascii="宋体"/>
                <w:vanish/>
              </w:rPr>
            </w:pPr>
          </w:p>
        </w:tc>
        <w:tc>
          <w:tcPr>
            <w:tcW w:w="0" w:type="auto"/>
            <w:gridSpan w:val="3"/>
            <w:shd w:val="clear" w:color="auto" w:fill="auto"/>
          </w:tcPr>
          <w:p w14:paraId="5EA24AD0" w14:textId="77777777" w:rsidR="003C66EB" w:rsidRDefault="003C66EB">
            <w:pPr>
              <w:rPr>
                <w:rFonts w:ascii="宋体"/>
                <w:vanish/>
              </w:rPr>
            </w:pPr>
          </w:p>
        </w:tc>
        <w:tc>
          <w:tcPr>
            <w:tcW w:w="0" w:type="auto"/>
            <w:gridSpan w:val="3"/>
            <w:shd w:val="clear" w:color="auto" w:fill="auto"/>
          </w:tcPr>
          <w:p w14:paraId="5EA24AD1" w14:textId="77777777" w:rsidR="003C66EB" w:rsidRDefault="003C66EB">
            <w:pPr>
              <w:rPr>
                <w:rFonts w:ascii="宋体"/>
                <w:vanish/>
              </w:rPr>
            </w:pPr>
          </w:p>
        </w:tc>
        <w:tc>
          <w:tcPr>
            <w:tcW w:w="0" w:type="auto"/>
            <w:gridSpan w:val="3"/>
            <w:shd w:val="clear" w:color="auto" w:fill="auto"/>
          </w:tcPr>
          <w:p w14:paraId="5EA24AD2" w14:textId="77777777" w:rsidR="003C66EB" w:rsidRDefault="003C66EB">
            <w:pPr>
              <w:rPr>
                <w:rFonts w:ascii="宋体"/>
                <w:vanish/>
              </w:rPr>
            </w:pPr>
          </w:p>
        </w:tc>
        <w:tc>
          <w:tcPr>
            <w:tcW w:w="0" w:type="auto"/>
            <w:gridSpan w:val="3"/>
            <w:shd w:val="clear" w:color="auto" w:fill="auto"/>
          </w:tcPr>
          <w:p w14:paraId="5EA24AD3" w14:textId="77777777" w:rsidR="003C66EB" w:rsidRDefault="003C66EB">
            <w:pPr>
              <w:rPr>
                <w:rFonts w:ascii="宋体"/>
                <w:vanish/>
              </w:rPr>
            </w:pPr>
          </w:p>
        </w:tc>
        <w:tc>
          <w:tcPr>
            <w:tcW w:w="0" w:type="auto"/>
            <w:gridSpan w:val="3"/>
            <w:shd w:val="clear" w:color="auto" w:fill="auto"/>
          </w:tcPr>
          <w:p w14:paraId="5EA24AD4" w14:textId="77777777" w:rsidR="003C66EB" w:rsidRDefault="003C66EB">
            <w:pPr>
              <w:rPr>
                <w:rFonts w:ascii="宋体"/>
                <w:vanish/>
              </w:rPr>
            </w:pPr>
          </w:p>
        </w:tc>
        <w:tc>
          <w:tcPr>
            <w:tcW w:w="0" w:type="auto"/>
            <w:gridSpan w:val="3"/>
            <w:shd w:val="clear" w:color="auto" w:fill="auto"/>
          </w:tcPr>
          <w:p w14:paraId="5EA24AD5" w14:textId="77777777" w:rsidR="003C66EB" w:rsidRDefault="003C66EB">
            <w:pPr>
              <w:rPr>
                <w:rFonts w:ascii="宋体"/>
                <w:vanish/>
              </w:rPr>
            </w:pPr>
          </w:p>
        </w:tc>
        <w:tc>
          <w:tcPr>
            <w:tcW w:w="0" w:type="auto"/>
            <w:shd w:val="clear" w:color="auto" w:fill="auto"/>
          </w:tcPr>
          <w:p w14:paraId="5EA24AD6" w14:textId="77777777" w:rsidR="003C66EB" w:rsidRDefault="003C66EB">
            <w:pPr>
              <w:rPr>
                <w:rFonts w:ascii="宋体"/>
                <w:vanish/>
              </w:rPr>
            </w:pPr>
          </w:p>
        </w:tc>
        <w:tc>
          <w:tcPr>
            <w:tcW w:w="0" w:type="auto"/>
            <w:shd w:val="clear" w:color="auto" w:fill="auto"/>
          </w:tcPr>
          <w:p w14:paraId="5EA24AD7" w14:textId="77777777" w:rsidR="003C66EB" w:rsidRDefault="003C66EB">
            <w:pPr>
              <w:rPr>
                <w:rFonts w:ascii="宋体"/>
                <w:vanish/>
              </w:rPr>
            </w:pPr>
          </w:p>
        </w:tc>
        <w:tc>
          <w:tcPr>
            <w:tcW w:w="0" w:type="auto"/>
            <w:gridSpan w:val="3"/>
            <w:shd w:val="clear" w:color="auto" w:fill="auto"/>
          </w:tcPr>
          <w:p w14:paraId="5EA24AD8" w14:textId="77777777" w:rsidR="003C66EB" w:rsidRDefault="003C66EB">
            <w:pPr>
              <w:rPr>
                <w:rFonts w:ascii="宋体"/>
                <w:vanish/>
              </w:rPr>
            </w:pPr>
          </w:p>
        </w:tc>
        <w:tc>
          <w:tcPr>
            <w:tcW w:w="0" w:type="auto"/>
            <w:gridSpan w:val="3"/>
            <w:shd w:val="clear" w:color="auto" w:fill="auto"/>
          </w:tcPr>
          <w:p w14:paraId="5EA24AD9" w14:textId="77777777" w:rsidR="003C66EB" w:rsidRDefault="003C66EB">
            <w:pPr>
              <w:rPr>
                <w:rFonts w:ascii="宋体"/>
                <w:vanish/>
              </w:rPr>
            </w:pPr>
          </w:p>
        </w:tc>
        <w:tc>
          <w:tcPr>
            <w:tcW w:w="0" w:type="auto"/>
            <w:gridSpan w:val="3"/>
            <w:shd w:val="clear" w:color="auto" w:fill="auto"/>
          </w:tcPr>
          <w:p w14:paraId="5EA24ADA" w14:textId="77777777" w:rsidR="003C66EB" w:rsidRDefault="003C66EB">
            <w:pPr>
              <w:rPr>
                <w:rFonts w:ascii="宋体"/>
                <w:vanish/>
              </w:rPr>
            </w:pPr>
          </w:p>
        </w:tc>
        <w:tc>
          <w:tcPr>
            <w:tcW w:w="0" w:type="auto"/>
            <w:gridSpan w:val="3"/>
            <w:shd w:val="clear" w:color="auto" w:fill="auto"/>
          </w:tcPr>
          <w:p w14:paraId="5EA24ADB" w14:textId="77777777" w:rsidR="003C66EB" w:rsidRDefault="003C66EB">
            <w:pPr>
              <w:rPr>
                <w:rFonts w:ascii="宋体"/>
                <w:vanish/>
              </w:rPr>
            </w:pPr>
          </w:p>
        </w:tc>
        <w:tc>
          <w:tcPr>
            <w:tcW w:w="0" w:type="auto"/>
            <w:gridSpan w:val="3"/>
            <w:shd w:val="clear" w:color="auto" w:fill="auto"/>
          </w:tcPr>
          <w:p w14:paraId="5EA24ADC" w14:textId="77777777" w:rsidR="003C66EB" w:rsidRDefault="003C66EB">
            <w:pPr>
              <w:rPr>
                <w:rFonts w:ascii="宋体"/>
                <w:vanish/>
              </w:rPr>
            </w:pPr>
          </w:p>
        </w:tc>
      </w:tr>
      <w:tr w:rsidR="003C66EB" w14:paraId="5EA24B00" w14:textId="77777777">
        <w:tc>
          <w:tcPr>
            <w:tcW w:w="0" w:type="auto"/>
            <w:gridSpan w:val="3"/>
            <w:shd w:val="clear" w:color="auto" w:fill="CCEEFF"/>
            <w:tcMar>
              <w:top w:w="40" w:type="dxa"/>
              <w:left w:w="155" w:type="dxa"/>
              <w:bottom w:w="40" w:type="dxa"/>
              <w:right w:w="20" w:type="dxa"/>
            </w:tcMar>
            <w:vAlign w:val="bottom"/>
          </w:tcPr>
          <w:p w14:paraId="5EA24ADE" w14:textId="77777777" w:rsidR="003C66EB" w:rsidRDefault="00D96C4E">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4AD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E0" w14:textId="77777777" w:rsidR="003C66EB" w:rsidRDefault="00D96C4E">
            <w:pPr>
              <w:jc w:val="right"/>
              <w:textAlignment w:val="bottom"/>
            </w:pPr>
            <w:r>
              <w:rPr>
                <w:rFonts w:ascii="Arial" w:eastAsia="宋体" w:hAnsi="Arial" w:cs="Arial"/>
                <w:b/>
                <w:bCs/>
                <w:color w:val="000000"/>
                <w:sz w:val="14"/>
                <w:szCs w:val="14"/>
              </w:rPr>
              <w:t>4,909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E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E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E4" w14:textId="77777777" w:rsidR="003C66EB" w:rsidRDefault="00D96C4E">
            <w:pPr>
              <w:jc w:val="right"/>
              <w:textAlignment w:val="bottom"/>
            </w:pPr>
            <w:r>
              <w:rPr>
                <w:rFonts w:ascii="Arial" w:eastAsia="宋体" w:hAnsi="Arial" w:cs="Arial"/>
                <w:color w:val="000000"/>
                <w:sz w:val="14"/>
                <w:szCs w:val="14"/>
              </w:rPr>
              <w:t>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E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E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E8" w14:textId="77777777" w:rsidR="003C66EB" w:rsidRDefault="00D96C4E">
            <w:pPr>
              <w:jc w:val="right"/>
              <w:textAlignment w:val="bottom"/>
            </w:pPr>
            <w:r>
              <w:rPr>
                <w:rFonts w:ascii="Arial" w:eastAsia="宋体" w:hAnsi="Arial" w:cs="Arial"/>
                <w:color w:val="000000"/>
                <w:sz w:val="14"/>
                <w:szCs w:val="14"/>
              </w:rPr>
              <w:t>1,303 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E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E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EC" w14:textId="77777777" w:rsidR="003C66EB" w:rsidRDefault="00D96C4E">
            <w:pPr>
              <w:jc w:val="right"/>
              <w:textAlignment w:val="bottom"/>
            </w:pPr>
            <w:r>
              <w:rPr>
                <w:rFonts w:ascii="Arial" w:eastAsia="宋体" w:hAnsi="Arial" w:cs="Arial"/>
                <w:color w:val="000000"/>
                <w:sz w:val="14"/>
                <w:szCs w:val="14"/>
              </w:rPr>
              <w:t>780 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E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E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E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F0" w14:textId="77777777" w:rsidR="003C66EB" w:rsidRDefault="00D96C4E">
            <w:pPr>
              <w:jc w:val="right"/>
              <w:textAlignment w:val="bottom"/>
            </w:pPr>
            <w:r>
              <w:rPr>
                <w:rFonts w:ascii="Arial" w:eastAsia="宋体" w:hAnsi="Arial" w:cs="Arial"/>
                <w:color w:val="000000"/>
                <w:sz w:val="14"/>
                <w:szCs w:val="14"/>
              </w:rPr>
              <w:t>752 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F2" w14:textId="77777777" w:rsidR="003C66EB" w:rsidRDefault="003C66EB">
            <w:pPr>
              <w:rPr>
                <w:rFonts w:ascii="宋体"/>
              </w:rPr>
            </w:pPr>
          </w:p>
        </w:tc>
        <w:tc>
          <w:tcPr>
            <w:tcW w:w="0" w:type="auto"/>
            <w:shd w:val="clear" w:color="auto" w:fill="auto"/>
          </w:tcPr>
          <w:p w14:paraId="5EA24AF3" w14:textId="77777777" w:rsidR="003C66EB" w:rsidRDefault="003C66EB">
            <w:pPr>
              <w:rPr>
                <w:rFonts w:ascii="宋体"/>
                <w:vanish/>
              </w:rPr>
            </w:pPr>
          </w:p>
        </w:tc>
        <w:tc>
          <w:tcPr>
            <w:tcW w:w="0" w:type="auto"/>
            <w:shd w:val="clear" w:color="auto" w:fill="auto"/>
          </w:tcPr>
          <w:p w14:paraId="5EA24AF4"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F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F6" w14:textId="77777777" w:rsidR="003C66EB" w:rsidRDefault="00D96C4E">
            <w:pPr>
              <w:jc w:val="right"/>
              <w:textAlignment w:val="bottom"/>
            </w:pPr>
            <w:r>
              <w:rPr>
                <w:rFonts w:ascii="Arial" w:eastAsia="宋体" w:hAnsi="Arial" w:cs="Arial"/>
                <w:color w:val="000000"/>
                <w:sz w:val="14"/>
                <w:szCs w:val="14"/>
              </w:rPr>
              <w:t>271 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F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F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F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FA" w14:textId="77777777" w:rsidR="003C66EB" w:rsidRDefault="00D96C4E">
            <w:pPr>
              <w:jc w:val="right"/>
              <w:textAlignment w:val="bottom"/>
            </w:pPr>
            <w:r>
              <w:rPr>
                <w:rFonts w:ascii="Arial" w:eastAsia="宋体" w:hAnsi="Arial" w:cs="Arial"/>
                <w:color w:val="000000"/>
                <w:sz w:val="14"/>
                <w:szCs w:val="14"/>
              </w:rPr>
              <w:t>12,116 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F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AF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AF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AFE" w14:textId="77777777" w:rsidR="003C66EB" w:rsidRDefault="00D96C4E">
            <w:pPr>
              <w:jc w:val="right"/>
              <w:textAlignment w:val="bottom"/>
            </w:pPr>
            <w:r>
              <w:rPr>
                <w:rFonts w:ascii="Arial" w:eastAsia="宋体" w:hAnsi="Arial" w:cs="Arial"/>
                <w:color w:val="000000"/>
                <w:sz w:val="14"/>
                <w:szCs w:val="14"/>
              </w:rPr>
              <w:t>20,627 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AFF" w14:textId="77777777" w:rsidR="003C66EB" w:rsidRDefault="003C66EB">
            <w:pPr>
              <w:jc w:val="right"/>
              <w:rPr>
                <w:rFonts w:ascii="宋体"/>
              </w:rPr>
            </w:pPr>
          </w:p>
        </w:tc>
      </w:tr>
      <w:tr w:rsidR="003C66EB" w14:paraId="5EA24B13" w14:textId="77777777">
        <w:trPr>
          <w:trHeight w:val="120"/>
        </w:trPr>
        <w:tc>
          <w:tcPr>
            <w:tcW w:w="0" w:type="auto"/>
            <w:gridSpan w:val="3"/>
            <w:shd w:val="clear" w:color="auto" w:fill="auto"/>
            <w:tcMar>
              <w:top w:w="0" w:type="dxa"/>
              <w:left w:w="20" w:type="dxa"/>
              <w:bottom w:w="0" w:type="dxa"/>
              <w:right w:w="20" w:type="dxa"/>
            </w:tcMar>
          </w:tcPr>
          <w:p w14:paraId="5EA24B0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0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0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0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0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0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0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09"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0B" w14:textId="77777777" w:rsidR="003C66EB" w:rsidRDefault="003C66EB">
            <w:pPr>
              <w:rPr>
                <w:rFonts w:ascii="宋体"/>
              </w:rPr>
            </w:pPr>
          </w:p>
        </w:tc>
        <w:tc>
          <w:tcPr>
            <w:tcW w:w="0" w:type="auto"/>
            <w:shd w:val="clear" w:color="auto" w:fill="auto"/>
          </w:tcPr>
          <w:p w14:paraId="5EA24B0C" w14:textId="77777777" w:rsidR="003C66EB" w:rsidRDefault="003C66EB">
            <w:pPr>
              <w:rPr>
                <w:rFonts w:ascii="宋体"/>
                <w:vanish/>
              </w:rPr>
            </w:pPr>
          </w:p>
        </w:tc>
        <w:tc>
          <w:tcPr>
            <w:tcW w:w="0" w:type="auto"/>
            <w:shd w:val="clear" w:color="auto" w:fill="auto"/>
          </w:tcPr>
          <w:p w14:paraId="5EA24B0D"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0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12" w14:textId="77777777" w:rsidR="003C66EB" w:rsidRDefault="003C66EB">
            <w:pPr>
              <w:rPr>
                <w:rFonts w:ascii="宋体"/>
              </w:rPr>
            </w:pPr>
          </w:p>
        </w:tc>
      </w:tr>
      <w:tr w:rsidR="003C66EB" w14:paraId="5EA24B26" w14:textId="77777777">
        <w:tc>
          <w:tcPr>
            <w:tcW w:w="0" w:type="auto"/>
            <w:gridSpan w:val="3"/>
            <w:shd w:val="clear" w:color="auto" w:fill="auto"/>
            <w:tcMar>
              <w:top w:w="40" w:type="dxa"/>
              <w:left w:w="155" w:type="dxa"/>
              <w:bottom w:w="40" w:type="dxa"/>
              <w:right w:w="20" w:type="dxa"/>
            </w:tcMar>
            <w:vAlign w:val="bottom"/>
          </w:tcPr>
          <w:p w14:paraId="5EA24B14" w14:textId="77777777" w:rsidR="003C66EB" w:rsidRDefault="00D96C4E">
            <w:pPr>
              <w:textAlignment w:val="bottom"/>
            </w:pPr>
            <w:r>
              <w:rPr>
                <w:rFonts w:ascii="Arial" w:eastAsia="宋体" w:hAnsi="Arial" w:cs="Arial"/>
                <w:color w:val="000000"/>
                <w:sz w:val="14"/>
                <w:szCs w:val="14"/>
              </w:rPr>
              <w:t>Comme</w:t>
            </w:r>
            <w:r>
              <w:rPr>
                <w:rFonts w:ascii="Arial" w:eastAsia="宋体" w:hAnsi="Arial" w:cs="Arial"/>
                <w:color w:val="000000"/>
                <w:sz w:val="14"/>
                <w:szCs w:val="14"/>
              </w:rPr>
              <w:t>rcial real estate:</w:t>
            </w:r>
          </w:p>
        </w:tc>
        <w:tc>
          <w:tcPr>
            <w:tcW w:w="0" w:type="auto"/>
            <w:gridSpan w:val="3"/>
            <w:shd w:val="clear" w:color="auto" w:fill="auto"/>
            <w:tcMar>
              <w:top w:w="0" w:type="dxa"/>
              <w:left w:w="20" w:type="dxa"/>
              <w:bottom w:w="0" w:type="dxa"/>
              <w:right w:w="20" w:type="dxa"/>
            </w:tcMar>
          </w:tcPr>
          <w:p w14:paraId="5EA24B1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1E" w14:textId="77777777" w:rsidR="003C66EB" w:rsidRDefault="003C66EB">
            <w:pPr>
              <w:rPr>
                <w:rFonts w:ascii="宋体"/>
              </w:rPr>
            </w:pPr>
          </w:p>
        </w:tc>
        <w:tc>
          <w:tcPr>
            <w:tcW w:w="0" w:type="auto"/>
            <w:shd w:val="clear" w:color="auto" w:fill="auto"/>
          </w:tcPr>
          <w:p w14:paraId="5EA24B1F" w14:textId="77777777" w:rsidR="003C66EB" w:rsidRDefault="003C66EB">
            <w:pPr>
              <w:rPr>
                <w:rFonts w:ascii="宋体"/>
                <w:vanish/>
              </w:rPr>
            </w:pPr>
          </w:p>
        </w:tc>
        <w:tc>
          <w:tcPr>
            <w:tcW w:w="0" w:type="auto"/>
            <w:shd w:val="clear" w:color="auto" w:fill="auto"/>
          </w:tcPr>
          <w:p w14:paraId="5EA24B20"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B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5" w14:textId="77777777" w:rsidR="003C66EB" w:rsidRDefault="003C66EB">
            <w:pPr>
              <w:rPr>
                <w:rFonts w:ascii="宋体"/>
              </w:rPr>
            </w:pPr>
          </w:p>
        </w:tc>
      </w:tr>
      <w:tr w:rsidR="003C66EB" w14:paraId="5EA24B39" w14:textId="77777777">
        <w:tc>
          <w:tcPr>
            <w:tcW w:w="0" w:type="auto"/>
            <w:gridSpan w:val="3"/>
            <w:shd w:val="clear" w:color="auto" w:fill="auto"/>
            <w:tcMar>
              <w:top w:w="40" w:type="dxa"/>
              <w:left w:w="245" w:type="dxa"/>
              <w:bottom w:w="40" w:type="dxa"/>
              <w:right w:w="20" w:type="dxa"/>
            </w:tcMar>
            <w:vAlign w:val="bottom"/>
          </w:tcPr>
          <w:p w14:paraId="5EA24B27" w14:textId="77777777" w:rsidR="003C66EB" w:rsidRDefault="00D96C4E">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5EA24B2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2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3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31" w14:textId="77777777" w:rsidR="003C66EB" w:rsidRDefault="003C66EB">
            <w:pPr>
              <w:rPr>
                <w:rFonts w:ascii="宋体"/>
              </w:rPr>
            </w:pPr>
          </w:p>
        </w:tc>
        <w:tc>
          <w:tcPr>
            <w:tcW w:w="0" w:type="auto"/>
            <w:shd w:val="clear" w:color="auto" w:fill="auto"/>
          </w:tcPr>
          <w:p w14:paraId="5EA24B32" w14:textId="77777777" w:rsidR="003C66EB" w:rsidRDefault="003C66EB">
            <w:pPr>
              <w:rPr>
                <w:rFonts w:ascii="宋体"/>
                <w:vanish/>
              </w:rPr>
            </w:pPr>
          </w:p>
        </w:tc>
        <w:tc>
          <w:tcPr>
            <w:tcW w:w="0" w:type="auto"/>
            <w:shd w:val="clear" w:color="auto" w:fill="auto"/>
          </w:tcPr>
          <w:p w14:paraId="5EA24B33"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B3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3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3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3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38" w14:textId="77777777" w:rsidR="003C66EB" w:rsidRDefault="003C66EB">
            <w:pPr>
              <w:rPr>
                <w:rFonts w:ascii="宋体"/>
              </w:rPr>
            </w:pPr>
          </w:p>
        </w:tc>
      </w:tr>
      <w:tr w:rsidR="003C66EB" w14:paraId="5EA24B5C" w14:textId="77777777">
        <w:tc>
          <w:tcPr>
            <w:tcW w:w="0" w:type="auto"/>
            <w:gridSpan w:val="3"/>
            <w:shd w:val="clear" w:color="auto" w:fill="CCEEFF"/>
            <w:tcMar>
              <w:top w:w="40" w:type="dxa"/>
              <w:left w:w="380" w:type="dxa"/>
              <w:bottom w:w="40" w:type="dxa"/>
              <w:right w:w="20" w:type="dxa"/>
            </w:tcMar>
            <w:vAlign w:val="bottom"/>
          </w:tcPr>
          <w:p w14:paraId="5EA24B3A" w14:textId="77777777" w:rsidR="003C66EB" w:rsidRDefault="00D96C4E">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A24B3B"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B3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B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3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B3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40" w14:textId="77777777" w:rsidR="003C66EB" w:rsidRDefault="00D96C4E">
            <w:pPr>
              <w:jc w:val="right"/>
              <w:textAlignment w:val="bottom"/>
            </w:pPr>
            <w:r>
              <w:rPr>
                <w:rFonts w:ascii="Arial" w:eastAsia="宋体" w:hAnsi="Arial" w:cs="Arial"/>
                <w:color w:val="000000"/>
                <w:sz w:val="14"/>
                <w:szCs w:val="14"/>
              </w:rPr>
              <w:t>129 </w:t>
            </w:r>
          </w:p>
        </w:tc>
        <w:tc>
          <w:tcPr>
            <w:tcW w:w="0" w:type="auto"/>
            <w:shd w:val="clear" w:color="auto" w:fill="CCEEFF"/>
            <w:tcMar>
              <w:top w:w="40" w:type="dxa"/>
              <w:left w:w="0" w:type="dxa"/>
              <w:bottom w:w="40" w:type="dxa"/>
              <w:right w:w="20" w:type="dxa"/>
            </w:tcMar>
            <w:vAlign w:val="bottom"/>
          </w:tcPr>
          <w:p w14:paraId="5EA24B4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4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B4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44" w14:textId="77777777" w:rsidR="003C66EB" w:rsidRDefault="00D96C4E">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EA24B4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4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B4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48" w14:textId="77777777" w:rsidR="003C66EB" w:rsidRDefault="00D96C4E">
            <w:pPr>
              <w:jc w:val="right"/>
              <w:textAlignment w:val="bottom"/>
            </w:pPr>
            <w:r>
              <w:rPr>
                <w:rFonts w:ascii="Arial" w:eastAsia="宋体" w:hAnsi="Arial" w:cs="Arial"/>
                <w:color w:val="000000"/>
                <w:sz w:val="14"/>
                <w:szCs w:val="14"/>
              </w:rPr>
              <w:t>689 </w:t>
            </w:r>
          </w:p>
        </w:tc>
        <w:tc>
          <w:tcPr>
            <w:tcW w:w="0" w:type="auto"/>
            <w:shd w:val="clear" w:color="auto" w:fill="CCEEFF"/>
            <w:tcMar>
              <w:top w:w="40" w:type="dxa"/>
              <w:left w:w="0" w:type="dxa"/>
              <w:bottom w:w="40" w:type="dxa"/>
              <w:right w:w="20" w:type="dxa"/>
            </w:tcMar>
            <w:vAlign w:val="bottom"/>
          </w:tcPr>
          <w:p w14:paraId="5EA24B4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4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B4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4C" w14:textId="77777777" w:rsidR="003C66EB" w:rsidRDefault="00D96C4E">
            <w:pPr>
              <w:jc w:val="right"/>
              <w:textAlignment w:val="bottom"/>
            </w:pPr>
            <w:r>
              <w:rPr>
                <w:rFonts w:ascii="Arial" w:eastAsia="宋体" w:hAnsi="Arial" w:cs="Arial"/>
                <w:color w:val="000000"/>
                <w:sz w:val="14"/>
                <w:szCs w:val="14"/>
              </w:rPr>
              <w:t>277 </w:t>
            </w:r>
          </w:p>
        </w:tc>
        <w:tc>
          <w:tcPr>
            <w:tcW w:w="0" w:type="auto"/>
            <w:shd w:val="clear" w:color="auto" w:fill="CCEEFF"/>
            <w:tcMar>
              <w:top w:w="40" w:type="dxa"/>
              <w:left w:w="0" w:type="dxa"/>
              <w:bottom w:w="40" w:type="dxa"/>
              <w:right w:w="20" w:type="dxa"/>
            </w:tcMar>
            <w:vAlign w:val="bottom"/>
          </w:tcPr>
          <w:p w14:paraId="5EA24B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4E" w14:textId="77777777" w:rsidR="003C66EB" w:rsidRDefault="003C66EB">
            <w:pPr>
              <w:rPr>
                <w:rFonts w:ascii="宋体"/>
              </w:rPr>
            </w:pPr>
          </w:p>
        </w:tc>
        <w:tc>
          <w:tcPr>
            <w:tcW w:w="0" w:type="auto"/>
            <w:shd w:val="clear" w:color="auto" w:fill="auto"/>
          </w:tcPr>
          <w:p w14:paraId="5EA24B4F" w14:textId="77777777" w:rsidR="003C66EB" w:rsidRDefault="003C66EB">
            <w:pPr>
              <w:rPr>
                <w:rFonts w:ascii="宋体"/>
                <w:vanish/>
              </w:rPr>
            </w:pPr>
          </w:p>
        </w:tc>
        <w:tc>
          <w:tcPr>
            <w:tcW w:w="0" w:type="auto"/>
            <w:shd w:val="clear" w:color="auto" w:fill="auto"/>
          </w:tcPr>
          <w:p w14:paraId="5EA24B50"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4B5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52" w14:textId="77777777" w:rsidR="003C66EB" w:rsidRDefault="00D96C4E">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EA24B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5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B5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5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B5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5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B5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B5A" w14:textId="77777777" w:rsidR="003C66EB" w:rsidRDefault="00D96C4E">
            <w:pPr>
              <w:jc w:val="right"/>
              <w:textAlignment w:val="bottom"/>
            </w:pPr>
            <w:r>
              <w:rPr>
                <w:rFonts w:ascii="Arial" w:eastAsia="宋体" w:hAnsi="Arial" w:cs="Arial"/>
                <w:color w:val="000000"/>
                <w:sz w:val="14"/>
                <w:szCs w:val="14"/>
              </w:rPr>
              <w:t>1,675 </w:t>
            </w:r>
          </w:p>
        </w:tc>
        <w:tc>
          <w:tcPr>
            <w:tcW w:w="0" w:type="auto"/>
            <w:shd w:val="clear" w:color="auto" w:fill="CCEEFF"/>
            <w:tcMar>
              <w:top w:w="40" w:type="dxa"/>
              <w:left w:w="0" w:type="dxa"/>
              <w:bottom w:w="40" w:type="dxa"/>
              <w:right w:w="20" w:type="dxa"/>
            </w:tcMar>
            <w:vAlign w:val="bottom"/>
          </w:tcPr>
          <w:p w14:paraId="5EA24B5B" w14:textId="77777777" w:rsidR="003C66EB" w:rsidRDefault="003C66EB">
            <w:pPr>
              <w:jc w:val="right"/>
              <w:rPr>
                <w:rFonts w:ascii="宋体"/>
              </w:rPr>
            </w:pPr>
          </w:p>
        </w:tc>
      </w:tr>
      <w:tr w:rsidR="003C66EB" w14:paraId="5EA24B78" w14:textId="77777777">
        <w:tc>
          <w:tcPr>
            <w:tcW w:w="0" w:type="auto"/>
            <w:gridSpan w:val="3"/>
            <w:shd w:val="clear" w:color="auto" w:fill="FFFFFF"/>
            <w:tcMar>
              <w:top w:w="40" w:type="dxa"/>
              <w:left w:w="380" w:type="dxa"/>
              <w:bottom w:w="40" w:type="dxa"/>
              <w:right w:w="20" w:type="dxa"/>
            </w:tcMar>
            <w:vAlign w:val="bottom"/>
          </w:tcPr>
          <w:p w14:paraId="5EA24B5D"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4B5E" w14:textId="77777777" w:rsidR="003C66EB" w:rsidRDefault="00D96C4E">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B5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6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B61" w14:textId="77777777" w:rsidR="003C66EB" w:rsidRDefault="00D96C4E">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5EA24B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6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B64" w14:textId="77777777" w:rsidR="003C66EB" w:rsidRDefault="00D96C4E">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5EA24B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6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B67" w14:textId="77777777" w:rsidR="003C66EB" w:rsidRDefault="00D96C4E">
            <w:pPr>
              <w:jc w:val="right"/>
              <w:textAlignment w:val="bottom"/>
            </w:pPr>
            <w:r>
              <w:rPr>
                <w:rFonts w:ascii="Arial" w:eastAsia="宋体" w:hAnsi="Arial" w:cs="Arial"/>
                <w:color w:val="000000"/>
                <w:sz w:val="14"/>
                <w:szCs w:val="14"/>
              </w:rPr>
              <w:t>57 </w:t>
            </w:r>
          </w:p>
        </w:tc>
        <w:tc>
          <w:tcPr>
            <w:tcW w:w="0" w:type="auto"/>
            <w:shd w:val="clear" w:color="auto" w:fill="FFFFFF"/>
            <w:tcMar>
              <w:top w:w="40" w:type="dxa"/>
              <w:left w:w="0" w:type="dxa"/>
              <w:bottom w:w="40" w:type="dxa"/>
              <w:right w:w="20" w:type="dxa"/>
            </w:tcMar>
            <w:vAlign w:val="bottom"/>
          </w:tcPr>
          <w:p w14:paraId="5EA24B6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6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B6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B6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6C" w14:textId="77777777" w:rsidR="003C66EB" w:rsidRDefault="003C66EB">
            <w:pPr>
              <w:rPr>
                <w:rFonts w:ascii="宋体"/>
              </w:rPr>
            </w:pPr>
          </w:p>
        </w:tc>
        <w:tc>
          <w:tcPr>
            <w:tcW w:w="0" w:type="auto"/>
            <w:shd w:val="clear" w:color="auto" w:fill="auto"/>
          </w:tcPr>
          <w:p w14:paraId="5EA24B6D" w14:textId="77777777" w:rsidR="003C66EB" w:rsidRDefault="003C66EB">
            <w:pPr>
              <w:rPr>
                <w:rFonts w:ascii="宋体"/>
                <w:vanish/>
              </w:rPr>
            </w:pPr>
          </w:p>
        </w:tc>
        <w:tc>
          <w:tcPr>
            <w:tcW w:w="0" w:type="auto"/>
            <w:shd w:val="clear" w:color="auto" w:fill="auto"/>
          </w:tcPr>
          <w:p w14:paraId="5EA24B6E"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B6F" w14:textId="77777777" w:rsidR="003C66EB" w:rsidRDefault="00D96C4E">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A24B7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7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B7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B7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B74"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4B7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A24B76" w14:textId="77777777" w:rsidR="003C66EB" w:rsidRDefault="00D96C4E">
            <w:pPr>
              <w:jc w:val="right"/>
              <w:textAlignment w:val="bottom"/>
            </w:pPr>
            <w:r>
              <w:rPr>
                <w:rFonts w:ascii="Arial" w:eastAsia="宋体" w:hAnsi="Arial" w:cs="Arial"/>
                <w:color w:val="000000"/>
                <w:sz w:val="14"/>
                <w:szCs w:val="14"/>
              </w:rPr>
              <w:t>421 </w:t>
            </w:r>
          </w:p>
        </w:tc>
        <w:tc>
          <w:tcPr>
            <w:tcW w:w="0" w:type="auto"/>
            <w:shd w:val="clear" w:color="auto" w:fill="FFFFFF"/>
            <w:tcMar>
              <w:top w:w="40" w:type="dxa"/>
              <w:left w:w="0" w:type="dxa"/>
              <w:bottom w:w="40" w:type="dxa"/>
              <w:right w:w="20" w:type="dxa"/>
            </w:tcMar>
            <w:vAlign w:val="bottom"/>
          </w:tcPr>
          <w:p w14:paraId="5EA24B77" w14:textId="77777777" w:rsidR="003C66EB" w:rsidRDefault="003C66EB">
            <w:pPr>
              <w:jc w:val="right"/>
              <w:rPr>
                <w:rFonts w:ascii="宋体"/>
              </w:rPr>
            </w:pPr>
          </w:p>
        </w:tc>
      </w:tr>
      <w:tr w:rsidR="003C66EB" w14:paraId="5EA24B8B" w14:textId="77777777">
        <w:trPr>
          <w:hidden/>
        </w:trPr>
        <w:tc>
          <w:tcPr>
            <w:tcW w:w="0" w:type="auto"/>
            <w:gridSpan w:val="3"/>
            <w:shd w:val="clear" w:color="auto" w:fill="auto"/>
          </w:tcPr>
          <w:p w14:paraId="5EA24B79" w14:textId="77777777" w:rsidR="003C66EB" w:rsidRDefault="003C66EB">
            <w:pPr>
              <w:rPr>
                <w:rFonts w:ascii="宋体"/>
                <w:vanish/>
              </w:rPr>
            </w:pPr>
          </w:p>
        </w:tc>
        <w:tc>
          <w:tcPr>
            <w:tcW w:w="0" w:type="auto"/>
            <w:gridSpan w:val="3"/>
            <w:shd w:val="clear" w:color="auto" w:fill="auto"/>
          </w:tcPr>
          <w:p w14:paraId="5EA24B7A" w14:textId="77777777" w:rsidR="003C66EB" w:rsidRDefault="003C66EB">
            <w:pPr>
              <w:rPr>
                <w:rFonts w:ascii="宋体"/>
                <w:vanish/>
              </w:rPr>
            </w:pPr>
          </w:p>
        </w:tc>
        <w:tc>
          <w:tcPr>
            <w:tcW w:w="0" w:type="auto"/>
            <w:gridSpan w:val="3"/>
            <w:shd w:val="clear" w:color="auto" w:fill="auto"/>
          </w:tcPr>
          <w:p w14:paraId="5EA24B7B" w14:textId="77777777" w:rsidR="003C66EB" w:rsidRDefault="003C66EB">
            <w:pPr>
              <w:rPr>
                <w:rFonts w:ascii="宋体"/>
                <w:vanish/>
              </w:rPr>
            </w:pPr>
          </w:p>
        </w:tc>
        <w:tc>
          <w:tcPr>
            <w:tcW w:w="0" w:type="auto"/>
            <w:gridSpan w:val="3"/>
            <w:shd w:val="clear" w:color="auto" w:fill="auto"/>
          </w:tcPr>
          <w:p w14:paraId="5EA24B7C" w14:textId="77777777" w:rsidR="003C66EB" w:rsidRDefault="003C66EB">
            <w:pPr>
              <w:rPr>
                <w:rFonts w:ascii="宋体"/>
                <w:vanish/>
              </w:rPr>
            </w:pPr>
          </w:p>
        </w:tc>
        <w:tc>
          <w:tcPr>
            <w:tcW w:w="0" w:type="auto"/>
            <w:gridSpan w:val="3"/>
            <w:shd w:val="clear" w:color="auto" w:fill="auto"/>
          </w:tcPr>
          <w:p w14:paraId="5EA24B7D" w14:textId="77777777" w:rsidR="003C66EB" w:rsidRDefault="003C66EB">
            <w:pPr>
              <w:rPr>
                <w:rFonts w:ascii="宋体"/>
                <w:vanish/>
              </w:rPr>
            </w:pPr>
          </w:p>
        </w:tc>
        <w:tc>
          <w:tcPr>
            <w:tcW w:w="0" w:type="auto"/>
            <w:gridSpan w:val="3"/>
            <w:shd w:val="clear" w:color="auto" w:fill="auto"/>
          </w:tcPr>
          <w:p w14:paraId="5EA24B7E" w14:textId="77777777" w:rsidR="003C66EB" w:rsidRDefault="003C66EB">
            <w:pPr>
              <w:rPr>
                <w:rFonts w:ascii="宋体"/>
                <w:vanish/>
              </w:rPr>
            </w:pPr>
          </w:p>
        </w:tc>
        <w:tc>
          <w:tcPr>
            <w:tcW w:w="0" w:type="auto"/>
            <w:gridSpan w:val="3"/>
            <w:shd w:val="clear" w:color="auto" w:fill="auto"/>
          </w:tcPr>
          <w:p w14:paraId="5EA24B7F" w14:textId="77777777" w:rsidR="003C66EB" w:rsidRDefault="003C66EB">
            <w:pPr>
              <w:rPr>
                <w:rFonts w:ascii="宋体"/>
                <w:vanish/>
              </w:rPr>
            </w:pPr>
          </w:p>
        </w:tc>
        <w:tc>
          <w:tcPr>
            <w:tcW w:w="0" w:type="auto"/>
            <w:gridSpan w:val="3"/>
            <w:shd w:val="clear" w:color="auto" w:fill="auto"/>
          </w:tcPr>
          <w:p w14:paraId="5EA24B80" w14:textId="77777777" w:rsidR="003C66EB" w:rsidRDefault="003C66EB">
            <w:pPr>
              <w:rPr>
                <w:rFonts w:ascii="宋体"/>
                <w:vanish/>
              </w:rPr>
            </w:pPr>
          </w:p>
        </w:tc>
        <w:tc>
          <w:tcPr>
            <w:tcW w:w="0" w:type="auto"/>
            <w:gridSpan w:val="3"/>
            <w:shd w:val="clear" w:color="auto" w:fill="auto"/>
          </w:tcPr>
          <w:p w14:paraId="5EA24B81" w14:textId="77777777" w:rsidR="003C66EB" w:rsidRDefault="003C66EB">
            <w:pPr>
              <w:rPr>
                <w:rFonts w:ascii="宋体"/>
                <w:vanish/>
              </w:rPr>
            </w:pPr>
          </w:p>
        </w:tc>
        <w:tc>
          <w:tcPr>
            <w:tcW w:w="0" w:type="auto"/>
            <w:gridSpan w:val="3"/>
            <w:shd w:val="clear" w:color="auto" w:fill="auto"/>
          </w:tcPr>
          <w:p w14:paraId="5EA24B82" w14:textId="77777777" w:rsidR="003C66EB" w:rsidRDefault="003C66EB">
            <w:pPr>
              <w:rPr>
                <w:rFonts w:ascii="宋体"/>
                <w:vanish/>
              </w:rPr>
            </w:pPr>
          </w:p>
        </w:tc>
        <w:tc>
          <w:tcPr>
            <w:tcW w:w="0" w:type="auto"/>
            <w:gridSpan w:val="3"/>
            <w:shd w:val="clear" w:color="auto" w:fill="auto"/>
          </w:tcPr>
          <w:p w14:paraId="5EA24B83" w14:textId="77777777" w:rsidR="003C66EB" w:rsidRDefault="003C66EB">
            <w:pPr>
              <w:rPr>
                <w:rFonts w:ascii="宋体"/>
                <w:vanish/>
              </w:rPr>
            </w:pPr>
          </w:p>
        </w:tc>
        <w:tc>
          <w:tcPr>
            <w:tcW w:w="0" w:type="auto"/>
            <w:shd w:val="clear" w:color="auto" w:fill="auto"/>
          </w:tcPr>
          <w:p w14:paraId="5EA24B84" w14:textId="77777777" w:rsidR="003C66EB" w:rsidRDefault="003C66EB">
            <w:pPr>
              <w:rPr>
                <w:rFonts w:ascii="宋体"/>
                <w:vanish/>
              </w:rPr>
            </w:pPr>
          </w:p>
        </w:tc>
        <w:tc>
          <w:tcPr>
            <w:tcW w:w="0" w:type="auto"/>
            <w:shd w:val="clear" w:color="auto" w:fill="auto"/>
          </w:tcPr>
          <w:p w14:paraId="5EA24B85" w14:textId="77777777" w:rsidR="003C66EB" w:rsidRDefault="003C66EB">
            <w:pPr>
              <w:rPr>
                <w:rFonts w:ascii="宋体"/>
                <w:vanish/>
              </w:rPr>
            </w:pPr>
          </w:p>
        </w:tc>
        <w:tc>
          <w:tcPr>
            <w:tcW w:w="0" w:type="auto"/>
            <w:gridSpan w:val="3"/>
            <w:shd w:val="clear" w:color="auto" w:fill="auto"/>
          </w:tcPr>
          <w:p w14:paraId="5EA24B86" w14:textId="77777777" w:rsidR="003C66EB" w:rsidRDefault="003C66EB">
            <w:pPr>
              <w:rPr>
                <w:rFonts w:ascii="宋体"/>
                <w:vanish/>
              </w:rPr>
            </w:pPr>
          </w:p>
        </w:tc>
        <w:tc>
          <w:tcPr>
            <w:tcW w:w="0" w:type="auto"/>
            <w:gridSpan w:val="3"/>
            <w:shd w:val="clear" w:color="auto" w:fill="auto"/>
          </w:tcPr>
          <w:p w14:paraId="5EA24B87" w14:textId="77777777" w:rsidR="003C66EB" w:rsidRDefault="003C66EB">
            <w:pPr>
              <w:rPr>
                <w:rFonts w:ascii="宋体"/>
                <w:vanish/>
              </w:rPr>
            </w:pPr>
          </w:p>
        </w:tc>
        <w:tc>
          <w:tcPr>
            <w:tcW w:w="0" w:type="auto"/>
            <w:gridSpan w:val="3"/>
            <w:shd w:val="clear" w:color="auto" w:fill="auto"/>
          </w:tcPr>
          <w:p w14:paraId="5EA24B88" w14:textId="77777777" w:rsidR="003C66EB" w:rsidRDefault="003C66EB">
            <w:pPr>
              <w:rPr>
                <w:rFonts w:ascii="宋体"/>
                <w:vanish/>
              </w:rPr>
            </w:pPr>
          </w:p>
        </w:tc>
        <w:tc>
          <w:tcPr>
            <w:tcW w:w="0" w:type="auto"/>
            <w:gridSpan w:val="3"/>
            <w:shd w:val="clear" w:color="auto" w:fill="auto"/>
          </w:tcPr>
          <w:p w14:paraId="5EA24B89" w14:textId="77777777" w:rsidR="003C66EB" w:rsidRDefault="003C66EB">
            <w:pPr>
              <w:rPr>
                <w:rFonts w:ascii="宋体"/>
                <w:vanish/>
              </w:rPr>
            </w:pPr>
          </w:p>
        </w:tc>
        <w:tc>
          <w:tcPr>
            <w:tcW w:w="0" w:type="auto"/>
            <w:gridSpan w:val="3"/>
            <w:shd w:val="clear" w:color="auto" w:fill="auto"/>
          </w:tcPr>
          <w:p w14:paraId="5EA24B8A" w14:textId="77777777" w:rsidR="003C66EB" w:rsidRDefault="003C66EB">
            <w:pPr>
              <w:rPr>
                <w:rFonts w:ascii="宋体"/>
                <w:vanish/>
              </w:rPr>
            </w:pPr>
          </w:p>
        </w:tc>
      </w:tr>
      <w:tr w:rsidR="003C66EB" w14:paraId="5EA24B9E" w14:textId="77777777">
        <w:trPr>
          <w:hidden/>
        </w:trPr>
        <w:tc>
          <w:tcPr>
            <w:tcW w:w="0" w:type="auto"/>
            <w:gridSpan w:val="3"/>
            <w:shd w:val="clear" w:color="auto" w:fill="auto"/>
          </w:tcPr>
          <w:p w14:paraId="5EA24B8C" w14:textId="77777777" w:rsidR="003C66EB" w:rsidRDefault="003C66EB">
            <w:pPr>
              <w:rPr>
                <w:rFonts w:ascii="宋体"/>
                <w:vanish/>
              </w:rPr>
            </w:pPr>
          </w:p>
        </w:tc>
        <w:tc>
          <w:tcPr>
            <w:tcW w:w="0" w:type="auto"/>
            <w:gridSpan w:val="3"/>
            <w:shd w:val="clear" w:color="auto" w:fill="auto"/>
          </w:tcPr>
          <w:p w14:paraId="5EA24B8D" w14:textId="77777777" w:rsidR="003C66EB" w:rsidRDefault="003C66EB">
            <w:pPr>
              <w:rPr>
                <w:rFonts w:ascii="宋体"/>
                <w:vanish/>
              </w:rPr>
            </w:pPr>
          </w:p>
        </w:tc>
        <w:tc>
          <w:tcPr>
            <w:tcW w:w="0" w:type="auto"/>
            <w:gridSpan w:val="3"/>
            <w:shd w:val="clear" w:color="auto" w:fill="auto"/>
          </w:tcPr>
          <w:p w14:paraId="5EA24B8E" w14:textId="77777777" w:rsidR="003C66EB" w:rsidRDefault="003C66EB">
            <w:pPr>
              <w:rPr>
                <w:rFonts w:ascii="宋体"/>
                <w:vanish/>
              </w:rPr>
            </w:pPr>
          </w:p>
        </w:tc>
        <w:tc>
          <w:tcPr>
            <w:tcW w:w="0" w:type="auto"/>
            <w:gridSpan w:val="3"/>
            <w:shd w:val="clear" w:color="auto" w:fill="auto"/>
          </w:tcPr>
          <w:p w14:paraId="5EA24B8F" w14:textId="77777777" w:rsidR="003C66EB" w:rsidRDefault="003C66EB">
            <w:pPr>
              <w:rPr>
                <w:rFonts w:ascii="宋体"/>
                <w:vanish/>
              </w:rPr>
            </w:pPr>
          </w:p>
        </w:tc>
        <w:tc>
          <w:tcPr>
            <w:tcW w:w="0" w:type="auto"/>
            <w:gridSpan w:val="3"/>
            <w:shd w:val="clear" w:color="auto" w:fill="auto"/>
          </w:tcPr>
          <w:p w14:paraId="5EA24B90" w14:textId="77777777" w:rsidR="003C66EB" w:rsidRDefault="003C66EB">
            <w:pPr>
              <w:rPr>
                <w:rFonts w:ascii="宋体"/>
                <w:vanish/>
              </w:rPr>
            </w:pPr>
          </w:p>
        </w:tc>
        <w:tc>
          <w:tcPr>
            <w:tcW w:w="0" w:type="auto"/>
            <w:gridSpan w:val="3"/>
            <w:shd w:val="clear" w:color="auto" w:fill="auto"/>
          </w:tcPr>
          <w:p w14:paraId="5EA24B91" w14:textId="77777777" w:rsidR="003C66EB" w:rsidRDefault="003C66EB">
            <w:pPr>
              <w:rPr>
                <w:rFonts w:ascii="宋体"/>
                <w:vanish/>
              </w:rPr>
            </w:pPr>
          </w:p>
        </w:tc>
        <w:tc>
          <w:tcPr>
            <w:tcW w:w="0" w:type="auto"/>
            <w:gridSpan w:val="3"/>
            <w:shd w:val="clear" w:color="auto" w:fill="auto"/>
          </w:tcPr>
          <w:p w14:paraId="5EA24B92" w14:textId="77777777" w:rsidR="003C66EB" w:rsidRDefault="003C66EB">
            <w:pPr>
              <w:rPr>
                <w:rFonts w:ascii="宋体"/>
                <w:vanish/>
              </w:rPr>
            </w:pPr>
          </w:p>
        </w:tc>
        <w:tc>
          <w:tcPr>
            <w:tcW w:w="0" w:type="auto"/>
            <w:gridSpan w:val="3"/>
            <w:shd w:val="clear" w:color="auto" w:fill="auto"/>
          </w:tcPr>
          <w:p w14:paraId="5EA24B93" w14:textId="77777777" w:rsidR="003C66EB" w:rsidRDefault="003C66EB">
            <w:pPr>
              <w:rPr>
                <w:rFonts w:ascii="宋体"/>
                <w:vanish/>
              </w:rPr>
            </w:pPr>
          </w:p>
        </w:tc>
        <w:tc>
          <w:tcPr>
            <w:tcW w:w="0" w:type="auto"/>
            <w:gridSpan w:val="3"/>
            <w:shd w:val="clear" w:color="auto" w:fill="auto"/>
          </w:tcPr>
          <w:p w14:paraId="5EA24B94" w14:textId="77777777" w:rsidR="003C66EB" w:rsidRDefault="003C66EB">
            <w:pPr>
              <w:rPr>
                <w:rFonts w:ascii="宋体"/>
                <w:vanish/>
              </w:rPr>
            </w:pPr>
          </w:p>
        </w:tc>
        <w:tc>
          <w:tcPr>
            <w:tcW w:w="0" w:type="auto"/>
            <w:gridSpan w:val="3"/>
            <w:shd w:val="clear" w:color="auto" w:fill="auto"/>
          </w:tcPr>
          <w:p w14:paraId="5EA24B95" w14:textId="77777777" w:rsidR="003C66EB" w:rsidRDefault="003C66EB">
            <w:pPr>
              <w:rPr>
                <w:rFonts w:ascii="宋体"/>
                <w:vanish/>
              </w:rPr>
            </w:pPr>
          </w:p>
        </w:tc>
        <w:tc>
          <w:tcPr>
            <w:tcW w:w="0" w:type="auto"/>
            <w:gridSpan w:val="3"/>
            <w:shd w:val="clear" w:color="auto" w:fill="auto"/>
          </w:tcPr>
          <w:p w14:paraId="5EA24B96" w14:textId="77777777" w:rsidR="003C66EB" w:rsidRDefault="003C66EB">
            <w:pPr>
              <w:rPr>
                <w:rFonts w:ascii="宋体"/>
                <w:vanish/>
              </w:rPr>
            </w:pPr>
          </w:p>
        </w:tc>
        <w:tc>
          <w:tcPr>
            <w:tcW w:w="0" w:type="auto"/>
            <w:shd w:val="clear" w:color="auto" w:fill="auto"/>
          </w:tcPr>
          <w:p w14:paraId="5EA24B97" w14:textId="77777777" w:rsidR="003C66EB" w:rsidRDefault="003C66EB">
            <w:pPr>
              <w:rPr>
                <w:rFonts w:ascii="宋体"/>
                <w:vanish/>
              </w:rPr>
            </w:pPr>
          </w:p>
        </w:tc>
        <w:tc>
          <w:tcPr>
            <w:tcW w:w="0" w:type="auto"/>
            <w:shd w:val="clear" w:color="auto" w:fill="auto"/>
          </w:tcPr>
          <w:p w14:paraId="5EA24B98" w14:textId="77777777" w:rsidR="003C66EB" w:rsidRDefault="003C66EB">
            <w:pPr>
              <w:rPr>
                <w:rFonts w:ascii="宋体"/>
                <w:vanish/>
              </w:rPr>
            </w:pPr>
          </w:p>
        </w:tc>
        <w:tc>
          <w:tcPr>
            <w:tcW w:w="0" w:type="auto"/>
            <w:gridSpan w:val="3"/>
            <w:shd w:val="clear" w:color="auto" w:fill="auto"/>
          </w:tcPr>
          <w:p w14:paraId="5EA24B99" w14:textId="77777777" w:rsidR="003C66EB" w:rsidRDefault="003C66EB">
            <w:pPr>
              <w:rPr>
                <w:rFonts w:ascii="宋体"/>
                <w:vanish/>
              </w:rPr>
            </w:pPr>
          </w:p>
        </w:tc>
        <w:tc>
          <w:tcPr>
            <w:tcW w:w="0" w:type="auto"/>
            <w:gridSpan w:val="3"/>
            <w:shd w:val="clear" w:color="auto" w:fill="auto"/>
          </w:tcPr>
          <w:p w14:paraId="5EA24B9A" w14:textId="77777777" w:rsidR="003C66EB" w:rsidRDefault="003C66EB">
            <w:pPr>
              <w:rPr>
                <w:rFonts w:ascii="宋体"/>
                <w:vanish/>
              </w:rPr>
            </w:pPr>
          </w:p>
        </w:tc>
        <w:tc>
          <w:tcPr>
            <w:tcW w:w="0" w:type="auto"/>
            <w:gridSpan w:val="3"/>
            <w:shd w:val="clear" w:color="auto" w:fill="auto"/>
          </w:tcPr>
          <w:p w14:paraId="5EA24B9B" w14:textId="77777777" w:rsidR="003C66EB" w:rsidRDefault="003C66EB">
            <w:pPr>
              <w:rPr>
                <w:rFonts w:ascii="宋体"/>
                <w:vanish/>
              </w:rPr>
            </w:pPr>
          </w:p>
        </w:tc>
        <w:tc>
          <w:tcPr>
            <w:tcW w:w="0" w:type="auto"/>
            <w:gridSpan w:val="3"/>
            <w:shd w:val="clear" w:color="auto" w:fill="auto"/>
          </w:tcPr>
          <w:p w14:paraId="5EA24B9C" w14:textId="77777777" w:rsidR="003C66EB" w:rsidRDefault="003C66EB">
            <w:pPr>
              <w:rPr>
                <w:rFonts w:ascii="宋体"/>
                <w:vanish/>
              </w:rPr>
            </w:pPr>
          </w:p>
        </w:tc>
        <w:tc>
          <w:tcPr>
            <w:tcW w:w="0" w:type="auto"/>
            <w:gridSpan w:val="3"/>
            <w:shd w:val="clear" w:color="auto" w:fill="auto"/>
          </w:tcPr>
          <w:p w14:paraId="5EA24B9D" w14:textId="77777777" w:rsidR="003C66EB" w:rsidRDefault="003C66EB">
            <w:pPr>
              <w:rPr>
                <w:rFonts w:ascii="宋体"/>
                <w:vanish/>
              </w:rPr>
            </w:pPr>
          </w:p>
        </w:tc>
      </w:tr>
      <w:tr w:rsidR="003C66EB" w14:paraId="5EA24BB1" w14:textId="77777777">
        <w:trPr>
          <w:hidden/>
        </w:trPr>
        <w:tc>
          <w:tcPr>
            <w:tcW w:w="0" w:type="auto"/>
            <w:gridSpan w:val="3"/>
            <w:shd w:val="clear" w:color="auto" w:fill="auto"/>
          </w:tcPr>
          <w:p w14:paraId="5EA24B9F" w14:textId="77777777" w:rsidR="003C66EB" w:rsidRDefault="003C66EB">
            <w:pPr>
              <w:rPr>
                <w:rFonts w:ascii="宋体"/>
                <w:vanish/>
              </w:rPr>
            </w:pPr>
          </w:p>
        </w:tc>
        <w:tc>
          <w:tcPr>
            <w:tcW w:w="0" w:type="auto"/>
            <w:gridSpan w:val="3"/>
            <w:shd w:val="clear" w:color="auto" w:fill="auto"/>
          </w:tcPr>
          <w:p w14:paraId="5EA24BA0" w14:textId="77777777" w:rsidR="003C66EB" w:rsidRDefault="003C66EB">
            <w:pPr>
              <w:rPr>
                <w:rFonts w:ascii="宋体"/>
                <w:vanish/>
              </w:rPr>
            </w:pPr>
          </w:p>
        </w:tc>
        <w:tc>
          <w:tcPr>
            <w:tcW w:w="0" w:type="auto"/>
            <w:gridSpan w:val="3"/>
            <w:shd w:val="clear" w:color="auto" w:fill="auto"/>
          </w:tcPr>
          <w:p w14:paraId="5EA24BA1" w14:textId="77777777" w:rsidR="003C66EB" w:rsidRDefault="003C66EB">
            <w:pPr>
              <w:rPr>
                <w:rFonts w:ascii="宋体"/>
                <w:vanish/>
              </w:rPr>
            </w:pPr>
          </w:p>
        </w:tc>
        <w:tc>
          <w:tcPr>
            <w:tcW w:w="0" w:type="auto"/>
            <w:gridSpan w:val="3"/>
            <w:shd w:val="clear" w:color="auto" w:fill="auto"/>
          </w:tcPr>
          <w:p w14:paraId="5EA24BA2" w14:textId="77777777" w:rsidR="003C66EB" w:rsidRDefault="003C66EB">
            <w:pPr>
              <w:rPr>
                <w:rFonts w:ascii="宋体"/>
                <w:vanish/>
              </w:rPr>
            </w:pPr>
          </w:p>
        </w:tc>
        <w:tc>
          <w:tcPr>
            <w:tcW w:w="0" w:type="auto"/>
            <w:gridSpan w:val="3"/>
            <w:shd w:val="clear" w:color="auto" w:fill="auto"/>
          </w:tcPr>
          <w:p w14:paraId="5EA24BA3" w14:textId="77777777" w:rsidR="003C66EB" w:rsidRDefault="003C66EB">
            <w:pPr>
              <w:rPr>
                <w:rFonts w:ascii="宋体"/>
                <w:vanish/>
              </w:rPr>
            </w:pPr>
          </w:p>
        </w:tc>
        <w:tc>
          <w:tcPr>
            <w:tcW w:w="0" w:type="auto"/>
            <w:gridSpan w:val="3"/>
            <w:shd w:val="clear" w:color="auto" w:fill="auto"/>
          </w:tcPr>
          <w:p w14:paraId="5EA24BA4" w14:textId="77777777" w:rsidR="003C66EB" w:rsidRDefault="003C66EB">
            <w:pPr>
              <w:rPr>
                <w:rFonts w:ascii="宋体"/>
                <w:vanish/>
              </w:rPr>
            </w:pPr>
          </w:p>
        </w:tc>
        <w:tc>
          <w:tcPr>
            <w:tcW w:w="0" w:type="auto"/>
            <w:gridSpan w:val="3"/>
            <w:shd w:val="clear" w:color="auto" w:fill="auto"/>
          </w:tcPr>
          <w:p w14:paraId="5EA24BA5" w14:textId="77777777" w:rsidR="003C66EB" w:rsidRDefault="003C66EB">
            <w:pPr>
              <w:rPr>
                <w:rFonts w:ascii="宋体"/>
                <w:vanish/>
              </w:rPr>
            </w:pPr>
          </w:p>
        </w:tc>
        <w:tc>
          <w:tcPr>
            <w:tcW w:w="0" w:type="auto"/>
            <w:gridSpan w:val="3"/>
            <w:shd w:val="clear" w:color="auto" w:fill="auto"/>
          </w:tcPr>
          <w:p w14:paraId="5EA24BA6" w14:textId="77777777" w:rsidR="003C66EB" w:rsidRDefault="003C66EB">
            <w:pPr>
              <w:rPr>
                <w:rFonts w:ascii="宋体"/>
                <w:vanish/>
              </w:rPr>
            </w:pPr>
          </w:p>
        </w:tc>
        <w:tc>
          <w:tcPr>
            <w:tcW w:w="0" w:type="auto"/>
            <w:gridSpan w:val="3"/>
            <w:shd w:val="clear" w:color="auto" w:fill="auto"/>
          </w:tcPr>
          <w:p w14:paraId="5EA24BA7" w14:textId="77777777" w:rsidR="003C66EB" w:rsidRDefault="003C66EB">
            <w:pPr>
              <w:rPr>
                <w:rFonts w:ascii="宋体"/>
                <w:vanish/>
              </w:rPr>
            </w:pPr>
          </w:p>
        </w:tc>
        <w:tc>
          <w:tcPr>
            <w:tcW w:w="0" w:type="auto"/>
            <w:gridSpan w:val="3"/>
            <w:shd w:val="clear" w:color="auto" w:fill="auto"/>
          </w:tcPr>
          <w:p w14:paraId="5EA24BA8" w14:textId="77777777" w:rsidR="003C66EB" w:rsidRDefault="003C66EB">
            <w:pPr>
              <w:rPr>
                <w:rFonts w:ascii="宋体"/>
                <w:vanish/>
              </w:rPr>
            </w:pPr>
          </w:p>
        </w:tc>
        <w:tc>
          <w:tcPr>
            <w:tcW w:w="0" w:type="auto"/>
            <w:gridSpan w:val="3"/>
            <w:shd w:val="clear" w:color="auto" w:fill="auto"/>
          </w:tcPr>
          <w:p w14:paraId="5EA24BA9" w14:textId="77777777" w:rsidR="003C66EB" w:rsidRDefault="003C66EB">
            <w:pPr>
              <w:rPr>
                <w:rFonts w:ascii="宋体"/>
                <w:vanish/>
              </w:rPr>
            </w:pPr>
          </w:p>
        </w:tc>
        <w:tc>
          <w:tcPr>
            <w:tcW w:w="0" w:type="auto"/>
            <w:shd w:val="clear" w:color="auto" w:fill="auto"/>
          </w:tcPr>
          <w:p w14:paraId="5EA24BAA" w14:textId="77777777" w:rsidR="003C66EB" w:rsidRDefault="003C66EB">
            <w:pPr>
              <w:rPr>
                <w:rFonts w:ascii="宋体"/>
                <w:vanish/>
              </w:rPr>
            </w:pPr>
          </w:p>
        </w:tc>
        <w:tc>
          <w:tcPr>
            <w:tcW w:w="0" w:type="auto"/>
            <w:shd w:val="clear" w:color="auto" w:fill="auto"/>
          </w:tcPr>
          <w:p w14:paraId="5EA24BAB" w14:textId="77777777" w:rsidR="003C66EB" w:rsidRDefault="003C66EB">
            <w:pPr>
              <w:rPr>
                <w:rFonts w:ascii="宋体"/>
                <w:vanish/>
              </w:rPr>
            </w:pPr>
          </w:p>
        </w:tc>
        <w:tc>
          <w:tcPr>
            <w:tcW w:w="0" w:type="auto"/>
            <w:gridSpan w:val="3"/>
            <w:shd w:val="clear" w:color="auto" w:fill="auto"/>
          </w:tcPr>
          <w:p w14:paraId="5EA24BAC" w14:textId="77777777" w:rsidR="003C66EB" w:rsidRDefault="003C66EB">
            <w:pPr>
              <w:rPr>
                <w:rFonts w:ascii="宋体"/>
                <w:vanish/>
              </w:rPr>
            </w:pPr>
          </w:p>
        </w:tc>
        <w:tc>
          <w:tcPr>
            <w:tcW w:w="0" w:type="auto"/>
            <w:gridSpan w:val="3"/>
            <w:shd w:val="clear" w:color="auto" w:fill="auto"/>
          </w:tcPr>
          <w:p w14:paraId="5EA24BAD" w14:textId="77777777" w:rsidR="003C66EB" w:rsidRDefault="003C66EB">
            <w:pPr>
              <w:rPr>
                <w:rFonts w:ascii="宋体"/>
                <w:vanish/>
              </w:rPr>
            </w:pPr>
          </w:p>
        </w:tc>
        <w:tc>
          <w:tcPr>
            <w:tcW w:w="0" w:type="auto"/>
            <w:gridSpan w:val="3"/>
            <w:shd w:val="clear" w:color="auto" w:fill="auto"/>
          </w:tcPr>
          <w:p w14:paraId="5EA24BAE" w14:textId="77777777" w:rsidR="003C66EB" w:rsidRDefault="003C66EB">
            <w:pPr>
              <w:rPr>
                <w:rFonts w:ascii="宋体"/>
                <w:vanish/>
              </w:rPr>
            </w:pPr>
          </w:p>
        </w:tc>
        <w:tc>
          <w:tcPr>
            <w:tcW w:w="0" w:type="auto"/>
            <w:gridSpan w:val="3"/>
            <w:shd w:val="clear" w:color="auto" w:fill="auto"/>
          </w:tcPr>
          <w:p w14:paraId="5EA24BAF" w14:textId="77777777" w:rsidR="003C66EB" w:rsidRDefault="003C66EB">
            <w:pPr>
              <w:rPr>
                <w:rFonts w:ascii="宋体"/>
                <w:vanish/>
              </w:rPr>
            </w:pPr>
          </w:p>
        </w:tc>
        <w:tc>
          <w:tcPr>
            <w:tcW w:w="0" w:type="auto"/>
            <w:gridSpan w:val="3"/>
            <w:shd w:val="clear" w:color="auto" w:fill="auto"/>
          </w:tcPr>
          <w:p w14:paraId="5EA24BB0" w14:textId="77777777" w:rsidR="003C66EB" w:rsidRDefault="003C66EB">
            <w:pPr>
              <w:rPr>
                <w:rFonts w:ascii="宋体"/>
                <w:vanish/>
              </w:rPr>
            </w:pPr>
          </w:p>
        </w:tc>
      </w:tr>
      <w:tr w:rsidR="003C66EB" w14:paraId="5EA24BC4" w14:textId="77777777">
        <w:trPr>
          <w:hidden/>
        </w:trPr>
        <w:tc>
          <w:tcPr>
            <w:tcW w:w="0" w:type="auto"/>
            <w:gridSpan w:val="3"/>
            <w:shd w:val="clear" w:color="auto" w:fill="auto"/>
          </w:tcPr>
          <w:p w14:paraId="5EA24BB2" w14:textId="77777777" w:rsidR="003C66EB" w:rsidRDefault="003C66EB">
            <w:pPr>
              <w:rPr>
                <w:rFonts w:ascii="宋体"/>
                <w:vanish/>
              </w:rPr>
            </w:pPr>
          </w:p>
        </w:tc>
        <w:tc>
          <w:tcPr>
            <w:tcW w:w="0" w:type="auto"/>
            <w:gridSpan w:val="3"/>
            <w:shd w:val="clear" w:color="auto" w:fill="auto"/>
          </w:tcPr>
          <w:p w14:paraId="5EA24BB3" w14:textId="77777777" w:rsidR="003C66EB" w:rsidRDefault="003C66EB">
            <w:pPr>
              <w:rPr>
                <w:rFonts w:ascii="宋体"/>
                <w:vanish/>
              </w:rPr>
            </w:pPr>
          </w:p>
        </w:tc>
        <w:tc>
          <w:tcPr>
            <w:tcW w:w="0" w:type="auto"/>
            <w:gridSpan w:val="3"/>
            <w:shd w:val="clear" w:color="auto" w:fill="auto"/>
          </w:tcPr>
          <w:p w14:paraId="5EA24BB4" w14:textId="77777777" w:rsidR="003C66EB" w:rsidRDefault="003C66EB">
            <w:pPr>
              <w:rPr>
                <w:rFonts w:ascii="宋体"/>
                <w:vanish/>
              </w:rPr>
            </w:pPr>
          </w:p>
        </w:tc>
        <w:tc>
          <w:tcPr>
            <w:tcW w:w="0" w:type="auto"/>
            <w:gridSpan w:val="3"/>
            <w:shd w:val="clear" w:color="auto" w:fill="auto"/>
          </w:tcPr>
          <w:p w14:paraId="5EA24BB5" w14:textId="77777777" w:rsidR="003C66EB" w:rsidRDefault="003C66EB">
            <w:pPr>
              <w:rPr>
                <w:rFonts w:ascii="宋体"/>
                <w:vanish/>
              </w:rPr>
            </w:pPr>
          </w:p>
        </w:tc>
        <w:tc>
          <w:tcPr>
            <w:tcW w:w="0" w:type="auto"/>
            <w:gridSpan w:val="3"/>
            <w:shd w:val="clear" w:color="auto" w:fill="auto"/>
          </w:tcPr>
          <w:p w14:paraId="5EA24BB6" w14:textId="77777777" w:rsidR="003C66EB" w:rsidRDefault="003C66EB">
            <w:pPr>
              <w:rPr>
                <w:rFonts w:ascii="宋体"/>
                <w:vanish/>
              </w:rPr>
            </w:pPr>
          </w:p>
        </w:tc>
        <w:tc>
          <w:tcPr>
            <w:tcW w:w="0" w:type="auto"/>
            <w:gridSpan w:val="3"/>
            <w:shd w:val="clear" w:color="auto" w:fill="auto"/>
          </w:tcPr>
          <w:p w14:paraId="5EA24BB7" w14:textId="77777777" w:rsidR="003C66EB" w:rsidRDefault="003C66EB">
            <w:pPr>
              <w:rPr>
                <w:rFonts w:ascii="宋体"/>
                <w:vanish/>
              </w:rPr>
            </w:pPr>
          </w:p>
        </w:tc>
        <w:tc>
          <w:tcPr>
            <w:tcW w:w="0" w:type="auto"/>
            <w:gridSpan w:val="3"/>
            <w:shd w:val="clear" w:color="auto" w:fill="auto"/>
          </w:tcPr>
          <w:p w14:paraId="5EA24BB8" w14:textId="77777777" w:rsidR="003C66EB" w:rsidRDefault="003C66EB">
            <w:pPr>
              <w:rPr>
                <w:rFonts w:ascii="宋体"/>
                <w:vanish/>
              </w:rPr>
            </w:pPr>
          </w:p>
        </w:tc>
        <w:tc>
          <w:tcPr>
            <w:tcW w:w="0" w:type="auto"/>
            <w:gridSpan w:val="3"/>
            <w:shd w:val="clear" w:color="auto" w:fill="auto"/>
          </w:tcPr>
          <w:p w14:paraId="5EA24BB9" w14:textId="77777777" w:rsidR="003C66EB" w:rsidRDefault="003C66EB">
            <w:pPr>
              <w:rPr>
                <w:rFonts w:ascii="宋体"/>
                <w:vanish/>
              </w:rPr>
            </w:pPr>
          </w:p>
        </w:tc>
        <w:tc>
          <w:tcPr>
            <w:tcW w:w="0" w:type="auto"/>
            <w:gridSpan w:val="3"/>
            <w:shd w:val="clear" w:color="auto" w:fill="auto"/>
          </w:tcPr>
          <w:p w14:paraId="5EA24BBA" w14:textId="77777777" w:rsidR="003C66EB" w:rsidRDefault="003C66EB">
            <w:pPr>
              <w:rPr>
                <w:rFonts w:ascii="宋体"/>
                <w:vanish/>
              </w:rPr>
            </w:pPr>
          </w:p>
        </w:tc>
        <w:tc>
          <w:tcPr>
            <w:tcW w:w="0" w:type="auto"/>
            <w:gridSpan w:val="3"/>
            <w:shd w:val="clear" w:color="auto" w:fill="auto"/>
          </w:tcPr>
          <w:p w14:paraId="5EA24BBB" w14:textId="77777777" w:rsidR="003C66EB" w:rsidRDefault="003C66EB">
            <w:pPr>
              <w:rPr>
                <w:rFonts w:ascii="宋体"/>
                <w:vanish/>
              </w:rPr>
            </w:pPr>
          </w:p>
        </w:tc>
        <w:tc>
          <w:tcPr>
            <w:tcW w:w="0" w:type="auto"/>
            <w:gridSpan w:val="3"/>
            <w:shd w:val="clear" w:color="auto" w:fill="auto"/>
          </w:tcPr>
          <w:p w14:paraId="5EA24BBC" w14:textId="77777777" w:rsidR="003C66EB" w:rsidRDefault="003C66EB">
            <w:pPr>
              <w:rPr>
                <w:rFonts w:ascii="宋体"/>
                <w:vanish/>
              </w:rPr>
            </w:pPr>
          </w:p>
        </w:tc>
        <w:tc>
          <w:tcPr>
            <w:tcW w:w="0" w:type="auto"/>
            <w:shd w:val="clear" w:color="auto" w:fill="auto"/>
          </w:tcPr>
          <w:p w14:paraId="5EA24BBD" w14:textId="77777777" w:rsidR="003C66EB" w:rsidRDefault="003C66EB">
            <w:pPr>
              <w:rPr>
                <w:rFonts w:ascii="宋体"/>
                <w:vanish/>
              </w:rPr>
            </w:pPr>
          </w:p>
        </w:tc>
        <w:tc>
          <w:tcPr>
            <w:tcW w:w="0" w:type="auto"/>
            <w:shd w:val="clear" w:color="auto" w:fill="auto"/>
          </w:tcPr>
          <w:p w14:paraId="5EA24BBE" w14:textId="77777777" w:rsidR="003C66EB" w:rsidRDefault="003C66EB">
            <w:pPr>
              <w:rPr>
                <w:rFonts w:ascii="宋体"/>
                <w:vanish/>
              </w:rPr>
            </w:pPr>
          </w:p>
        </w:tc>
        <w:tc>
          <w:tcPr>
            <w:tcW w:w="0" w:type="auto"/>
            <w:gridSpan w:val="3"/>
            <w:shd w:val="clear" w:color="auto" w:fill="auto"/>
          </w:tcPr>
          <w:p w14:paraId="5EA24BBF" w14:textId="77777777" w:rsidR="003C66EB" w:rsidRDefault="003C66EB">
            <w:pPr>
              <w:rPr>
                <w:rFonts w:ascii="宋体"/>
                <w:vanish/>
              </w:rPr>
            </w:pPr>
          </w:p>
        </w:tc>
        <w:tc>
          <w:tcPr>
            <w:tcW w:w="0" w:type="auto"/>
            <w:gridSpan w:val="3"/>
            <w:shd w:val="clear" w:color="auto" w:fill="auto"/>
          </w:tcPr>
          <w:p w14:paraId="5EA24BC0" w14:textId="77777777" w:rsidR="003C66EB" w:rsidRDefault="003C66EB">
            <w:pPr>
              <w:rPr>
                <w:rFonts w:ascii="宋体"/>
                <w:vanish/>
              </w:rPr>
            </w:pPr>
          </w:p>
        </w:tc>
        <w:tc>
          <w:tcPr>
            <w:tcW w:w="0" w:type="auto"/>
            <w:gridSpan w:val="3"/>
            <w:shd w:val="clear" w:color="auto" w:fill="auto"/>
          </w:tcPr>
          <w:p w14:paraId="5EA24BC1" w14:textId="77777777" w:rsidR="003C66EB" w:rsidRDefault="003C66EB">
            <w:pPr>
              <w:rPr>
                <w:rFonts w:ascii="宋体"/>
                <w:vanish/>
              </w:rPr>
            </w:pPr>
          </w:p>
        </w:tc>
        <w:tc>
          <w:tcPr>
            <w:tcW w:w="0" w:type="auto"/>
            <w:gridSpan w:val="3"/>
            <w:shd w:val="clear" w:color="auto" w:fill="auto"/>
          </w:tcPr>
          <w:p w14:paraId="5EA24BC2" w14:textId="77777777" w:rsidR="003C66EB" w:rsidRDefault="003C66EB">
            <w:pPr>
              <w:rPr>
                <w:rFonts w:ascii="宋体"/>
                <w:vanish/>
              </w:rPr>
            </w:pPr>
          </w:p>
        </w:tc>
        <w:tc>
          <w:tcPr>
            <w:tcW w:w="0" w:type="auto"/>
            <w:gridSpan w:val="3"/>
            <w:shd w:val="clear" w:color="auto" w:fill="auto"/>
          </w:tcPr>
          <w:p w14:paraId="5EA24BC3" w14:textId="77777777" w:rsidR="003C66EB" w:rsidRDefault="003C66EB">
            <w:pPr>
              <w:rPr>
                <w:rFonts w:ascii="宋体"/>
                <w:vanish/>
              </w:rPr>
            </w:pPr>
          </w:p>
        </w:tc>
      </w:tr>
      <w:tr w:rsidR="003C66EB" w14:paraId="5EA24BE7" w14:textId="77777777">
        <w:tc>
          <w:tcPr>
            <w:tcW w:w="0" w:type="auto"/>
            <w:gridSpan w:val="3"/>
            <w:shd w:val="clear" w:color="auto" w:fill="CCEEFF"/>
            <w:tcMar>
              <w:top w:w="40" w:type="dxa"/>
              <w:left w:w="155" w:type="dxa"/>
              <w:bottom w:w="40" w:type="dxa"/>
              <w:right w:w="20" w:type="dxa"/>
            </w:tcMar>
            <w:vAlign w:val="bottom"/>
          </w:tcPr>
          <w:p w14:paraId="5EA24BC5" w14:textId="77777777" w:rsidR="003C66EB" w:rsidRDefault="00D96C4E">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4BC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C7" w14:textId="77777777" w:rsidR="003C66EB" w:rsidRDefault="00D96C4E">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C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C9"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C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CB" w14:textId="77777777" w:rsidR="003C66EB" w:rsidRDefault="00D96C4E">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CD"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CE"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CF" w14:textId="77777777" w:rsidR="003C66EB" w:rsidRDefault="00D96C4E">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D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D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D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D3" w14:textId="77777777" w:rsidR="003C66EB" w:rsidRDefault="00D96C4E">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D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D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D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D7" w14:textId="77777777" w:rsidR="003C66EB" w:rsidRDefault="00D96C4E">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D9" w14:textId="77777777" w:rsidR="003C66EB" w:rsidRDefault="003C66EB">
            <w:pPr>
              <w:rPr>
                <w:rFonts w:ascii="宋体"/>
              </w:rPr>
            </w:pPr>
          </w:p>
        </w:tc>
        <w:tc>
          <w:tcPr>
            <w:tcW w:w="0" w:type="auto"/>
            <w:shd w:val="clear" w:color="auto" w:fill="auto"/>
          </w:tcPr>
          <w:p w14:paraId="5EA24BDA" w14:textId="77777777" w:rsidR="003C66EB" w:rsidRDefault="003C66EB">
            <w:pPr>
              <w:rPr>
                <w:rFonts w:ascii="宋体"/>
                <w:vanish/>
              </w:rPr>
            </w:pPr>
          </w:p>
        </w:tc>
        <w:tc>
          <w:tcPr>
            <w:tcW w:w="0" w:type="auto"/>
            <w:shd w:val="clear" w:color="auto" w:fill="auto"/>
          </w:tcPr>
          <w:p w14:paraId="5EA24BDB"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D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DD" w14:textId="77777777" w:rsidR="003C66EB" w:rsidRDefault="00D96C4E">
            <w:pPr>
              <w:jc w:val="right"/>
              <w:textAlignment w:val="bottom"/>
            </w:pPr>
            <w:r>
              <w:rPr>
                <w:rFonts w:ascii="Arial" w:eastAsia="宋体" w:hAnsi="Arial" w:cs="Arial"/>
                <w:color w:val="000000"/>
                <w:sz w:val="14"/>
                <w:szCs w:val="14"/>
              </w:rPr>
              <w:t>226 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D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D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E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E1"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BE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BE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BE5" w14:textId="77777777" w:rsidR="003C66EB" w:rsidRDefault="00D96C4E">
            <w:pPr>
              <w:jc w:val="right"/>
              <w:textAlignment w:val="bottom"/>
            </w:pPr>
            <w:r>
              <w:rPr>
                <w:rFonts w:ascii="Arial" w:eastAsia="宋体" w:hAnsi="Arial" w:cs="Arial"/>
                <w:color w:val="000000"/>
                <w:sz w:val="14"/>
                <w:szCs w:val="14"/>
              </w:rPr>
              <w:t>2,096 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BE6" w14:textId="77777777" w:rsidR="003C66EB" w:rsidRDefault="003C66EB">
            <w:pPr>
              <w:jc w:val="right"/>
              <w:rPr>
                <w:rFonts w:ascii="宋体"/>
              </w:rPr>
            </w:pPr>
          </w:p>
        </w:tc>
      </w:tr>
      <w:tr w:rsidR="003C66EB" w14:paraId="5EA24BFA" w14:textId="77777777">
        <w:trPr>
          <w:trHeight w:val="120"/>
        </w:trPr>
        <w:tc>
          <w:tcPr>
            <w:tcW w:w="0" w:type="auto"/>
            <w:gridSpan w:val="3"/>
            <w:shd w:val="clear" w:color="auto" w:fill="auto"/>
            <w:tcMar>
              <w:top w:w="0" w:type="dxa"/>
              <w:left w:w="20" w:type="dxa"/>
              <w:bottom w:w="0" w:type="dxa"/>
              <w:right w:w="20" w:type="dxa"/>
            </w:tcMar>
          </w:tcPr>
          <w:p w14:paraId="5EA24BE8"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EA"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E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EC"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E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EE"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0"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2" w14:textId="77777777" w:rsidR="003C66EB" w:rsidRDefault="003C66EB">
            <w:pPr>
              <w:rPr>
                <w:rFonts w:ascii="宋体"/>
              </w:rPr>
            </w:pPr>
          </w:p>
        </w:tc>
        <w:tc>
          <w:tcPr>
            <w:tcW w:w="0" w:type="auto"/>
            <w:shd w:val="clear" w:color="auto" w:fill="auto"/>
          </w:tcPr>
          <w:p w14:paraId="5EA24BF3" w14:textId="77777777" w:rsidR="003C66EB" w:rsidRDefault="003C66EB">
            <w:pPr>
              <w:rPr>
                <w:rFonts w:ascii="宋体"/>
                <w:vanish/>
              </w:rPr>
            </w:pPr>
          </w:p>
        </w:tc>
        <w:tc>
          <w:tcPr>
            <w:tcW w:w="0" w:type="auto"/>
            <w:shd w:val="clear" w:color="auto" w:fill="auto"/>
          </w:tcPr>
          <w:p w14:paraId="5EA24BF4"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F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6"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F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8"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BF9" w14:textId="77777777" w:rsidR="003C66EB" w:rsidRDefault="003C66EB">
            <w:pPr>
              <w:rPr>
                <w:rFonts w:ascii="宋体"/>
              </w:rPr>
            </w:pPr>
          </w:p>
        </w:tc>
      </w:tr>
      <w:tr w:rsidR="003C66EB" w14:paraId="5EA24C0D" w14:textId="77777777">
        <w:tc>
          <w:tcPr>
            <w:tcW w:w="0" w:type="auto"/>
            <w:gridSpan w:val="3"/>
            <w:shd w:val="clear" w:color="auto" w:fill="auto"/>
            <w:tcMar>
              <w:top w:w="40" w:type="dxa"/>
              <w:left w:w="20" w:type="dxa"/>
              <w:bottom w:w="40" w:type="dxa"/>
              <w:right w:w="20" w:type="dxa"/>
            </w:tcMar>
            <w:vAlign w:val="bottom"/>
          </w:tcPr>
          <w:p w14:paraId="5EA24BFB" w14:textId="77777777" w:rsidR="003C66EB" w:rsidRDefault="00D96C4E">
            <w:pPr>
              <w:textAlignment w:val="bottom"/>
            </w:pPr>
            <w:r>
              <w:rPr>
                <w:rFonts w:ascii="Arial" w:eastAsia="宋体" w:hAnsi="Arial" w:cs="Arial"/>
                <w:color w:val="000000"/>
                <w:sz w:val="14"/>
                <w:szCs w:val="14"/>
              </w:rPr>
              <w:t>Non-U</w:t>
            </w:r>
            <w:r>
              <w:rPr>
                <w:rFonts w:ascii="Arial" w:eastAsia="宋体" w:hAnsi="Arial" w:cs="Arial"/>
                <w:color w:val="000000"/>
                <w:sz w:val="14"/>
                <w:szCs w:val="14"/>
              </w:rPr>
              <w:t>.S. loans:</w:t>
            </w:r>
          </w:p>
        </w:tc>
        <w:tc>
          <w:tcPr>
            <w:tcW w:w="0" w:type="auto"/>
            <w:gridSpan w:val="3"/>
            <w:shd w:val="clear" w:color="auto" w:fill="auto"/>
            <w:tcMar>
              <w:top w:w="0" w:type="dxa"/>
              <w:left w:w="20" w:type="dxa"/>
              <w:bottom w:w="0" w:type="dxa"/>
              <w:right w:w="20" w:type="dxa"/>
            </w:tcMar>
          </w:tcPr>
          <w:p w14:paraId="5EA24BF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BF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5" w14:textId="77777777" w:rsidR="003C66EB" w:rsidRDefault="003C66EB">
            <w:pPr>
              <w:rPr>
                <w:rFonts w:ascii="宋体"/>
              </w:rPr>
            </w:pPr>
          </w:p>
        </w:tc>
        <w:tc>
          <w:tcPr>
            <w:tcW w:w="0" w:type="auto"/>
            <w:shd w:val="clear" w:color="auto" w:fill="auto"/>
          </w:tcPr>
          <w:p w14:paraId="5EA24C06" w14:textId="77777777" w:rsidR="003C66EB" w:rsidRDefault="003C66EB">
            <w:pPr>
              <w:rPr>
                <w:rFonts w:ascii="宋体"/>
                <w:vanish/>
              </w:rPr>
            </w:pPr>
          </w:p>
        </w:tc>
        <w:tc>
          <w:tcPr>
            <w:tcW w:w="0" w:type="auto"/>
            <w:shd w:val="clear" w:color="auto" w:fill="auto"/>
          </w:tcPr>
          <w:p w14:paraId="5EA24C07"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C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0C" w14:textId="77777777" w:rsidR="003C66EB" w:rsidRDefault="003C66EB">
            <w:pPr>
              <w:rPr>
                <w:rFonts w:ascii="宋体"/>
              </w:rPr>
            </w:pPr>
          </w:p>
        </w:tc>
      </w:tr>
      <w:tr w:rsidR="003C66EB" w14:paraId="5EA24C20" w14:textId="77777777">
        <w:tc>
          <w:tcPr>
            <w:tcW w:w="0" w:type="auto"/>
            <w:gridSpan w:val="3"/>
            <w:shd w:val="clear" w:color="auto" w:fill="auto"/>
            <w:tcMar>
              <w:top w:w="40" w:type="dxa"/>
              <w:left w:w="155" w:type="dxa"/>
              <w:bottom w:w="40" w:type="dxa"/>
              <w:right w:w="20" w:type="dxa"/>
            </w:tcMar>
            <w:vAlign w:val="bottom"/>
          </w:tcPr>
          <w:p w14:paraId="5EA24C0E" w14:textId="77777777" w:rsidR="003C66EB" w:rsidRDefault="00D96C4E">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5EA24C0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8" w14:textId="77777777" w:rsidR="003C66EB" w:rsidRDefault="003C66EB">
            <w:pPr>
              <w:rPr>
                <w:rFonts w:ascii="宋体"/>
              </w:rPr>
            </w:pPr>
          </w:p>
        </w:tc>
        <w:tc>
          <w:tcPr>
            <w:tcW w:w="0" w:type="auto"/>
            <w:shd w:val="clear" w:color="auto" w:fill="auto"/>
          </w:tcPr>
          <w:p w14:paraId="5EA24C19" w14:textId="77777777" w:rsidR="003C66EB" w:rsidRDefault="003C66EB">
            <w:pPr>
              <w:rPr>
                <w:rFonts w:ascii="宋体"/>
                <w:vanish/>
              </w:rPr>
            </w:pPr>
          </w:p>
        </w:tc>
        <w:tc>
          <w:tcPr>
            <w:tcW w:w="0" w:type="auto"/>
            <w:shd w:val="clear" w:color="auto" w:fill="auto"/>
          </w:tcPr>
          <w:p w14:paraId="5EA24C1A"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C1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1F" w14:textId="77777777" w:rsidR="003C66EB" w:rsidRDefault="003C66EB">
            <w:pPr>
              <w:rPr>
                <w:rFonts w:ascii="宋体"/>
              </w:rPr>
            </w:pPr>
          </w:p>
        </w:tc>
      </w:tr>
      <w:tr w:rsidR="003C66EB" w14:paraId="5EA24C33" w14:textId="77777777">
        <w:tc>
          <w:tcPr>
            <w:tcW w:w="0" w:type="auto"/>
            <w:gridSpan w:val="3"/>
            <w:shd w:val="clear" w:color="auto" w:fill="auto"/>
            <w:tcMar>
              <w:top w:w="40" w:type="dxa"/>
              <w:left w:w="245" w:type="dxa"/>
              <w:bottom w:w="40" w:type="dxa"/>
              <w:right w:w="20" w:type="dxa"/>
            </w:tcMar>
            <w:vAlign w:val="bottom"/>
          </w:tcPr>
          <w:p w14:paraId="5EA24C21" w14:textId="77777777" w:rsidR="003C66EB" w:rsidRDefault="00D96C4E">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5EA24C2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B" w14:textId="77777777" w:rsidR="003C66EB" w:rsidRDefault="003C66EB">
            <w:pPr>
              <w:rPr>
                <w:rFonts w:ascii="宋体"/>
              </w:rPr>
            </w:pPr>
          </w:p>
        </w:tc>
        <w:tc>
          <w:tcPr>
            <w:tcW w:w="0" w:type="auto"/>
            <w:shd w:val="clear" w:color="auto" w:fill="auto"/>
          </w:tcPr>
          <w:p w14:paraId="5EA24C2C" w14:textId="77777777" w:rsidR="003C66EB" w:rsidRDefault="003C66EB">
            <w:pPr>
              <w:rPr>
                <w:rFonts w:ascii="宋体"/>
                <w:vanish/>
              </w:rPr>
            </w:pPr>
          </w:p>
        </w:tc>
        <w:tc>
          <w:tcPr>
            <w:tcW w:w="0" w:type="auto"/>
            <w:shd w:val="clear" w:color="auto" w:fill="auto"/>
          </w:tcPr>
          <w:p w14:paraId="5EA24C2D"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C2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2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3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3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32" w14:textId="77777777" w:rsidR="003C66EB" w:rsidRDefault="003C66EB">
            <w:pPr>
              <w:rPr>
                <w:rFonts w:ascii="宋体"/>
              </w:rPr>
            </w:pPr>
          </w:p>
        </w:tc>
      </w:tr>
      <w:tr w:rsidR="003C66EB" w14:paraId="5EA24C56" w14:textId="77777777">
        <w:tc>
          <w:tcPr>
            <w:tcW w:w="0" w:type="auto"/>
            <w:gridSpan w:val="3"/>
            <w:shd w:val="clear" w:color="auto" w:fill="CCEEFF"/>
            <w:tcMar>
              <w:top w:w="40" w:type="dxa"/>
              <w:left w:w="380" w:type="dxa"/>
              <w:bottom w:w="40" w:type="dxa"/>
              <w:right w:w="20" w:type="dxa"/>
            </w:tcMar>
            <w:vAlign w:val="bottom"/>
          </w:tcPr>
          <w:p w14:paraId="5EA24C34" w14:textId="77777777" w:rsidR="003C66EB" w:rsidRDefault="00D96C4E">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A24C35"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C36" w14:textId="77777777" w:rsidR="003C66EB" w:rsidRDefault="00D96C4E">
            <w:pPr>
              <w:jc w:val="right"/>
              <w:textAlignment w:val="bottom"/>
            </w:pPr>
            <w:r>
              <w:rPr>
                <w:rFonts w:ascii="Arial" w:eastAsia="宋体" w:hAnsi="Arial" w:cs="Arial"/>
                <w:b/>
                <w:bCs/>
                <w:color w:val="000000"/>
                <w:sz w:val="14"/>
                <w:szCs w:val="14"/>
              </w:rPr>
              <w:t>2,275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3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C3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3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3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3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C3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3E"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4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C4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4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4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C4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4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48" w14:textId="77777777" w:rsidR="003C66EB" w:rsidRDefault="003C66EB">
            <w:pPr>
              <w:rPr>
                <w:rFonts w:ascii="宋体"/>
              </w:rPr>
            </w:pPr>
          </w:p>
        </w:tc>
        <w:tc>
          <w:tcPr>
            <w:tcW w:w="0" w:type="auto"/>
            <w:shd w:val="clear" w:color="auto" w:fill="auto"/>
          </w:tcPr>
          <w:p w14:paraId="5EA24C49" w14:textId="77777777" w:rsidR="003C66EB" w:rsidRDefault="003C66EB">
            <w:pPr>
              <w:rPr>
                <w:rFonts w:ascii="宋体"/>
                <w:vanish/>
              </w:rPr>
            </w:pPr>
          </w:p>
        </w:tc>
        <w:tc>
          <w:tcPr>
            <w:tcW w:w="0" w:type="auto"/>
            <w:shd w:val="clear" w:color="auto" w:fill="auto"/>
          </w:tcPr>
          <w:p w14:paraId="5EA24C4A"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4C4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4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4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C4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50" w14:textId="77777777" w:rsidR="003C66EB" w:rsidRDefault="00D96C4E">
            <w:pPr>
              <w:jc w:val="right"/>
              <w:textAlignment w:val="bottom"/>
            </w:pPr>
            <w:r>
              <w:rPr>
                <w:rFonts w:ascii="Arial" w:eastAsia="宋体" w:hAnsi="Arial" w:cs="Arial"/>
                <w:color w:val="000000"/>
                <w:sz w:val="14"/>
                <w:szCs w:val="14"/>
              </w:rPr>
              <w:t>4,733 </w:t>
            </w:r>
          </w:p>
        </w:tc>
        <w:tc>
          <w:tcPr>
            <w:tcW w:w="0" w:type="auto"/>
            <w:shd w:val="clear" w:color="auto" w:fill="CCEEFF"/>
            <w:tcMar>
              <w:top w:w="40" w:type="dxa"/>
              <w:left w:w="0" w:type="dxa"/>
              <w:bottom w:w="40" w:type="dxa"/>
              <w:right w:w="20" w:type="dxa"/>
            </w:tcMar>
            <w:vAlign w:val="bottom"/>
          </w:tcPr>
          <w:p w14:paraId="5EA24C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5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C5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C54" w14:textId="77777777" w:rsidR="003C66EB" w:rsidRDefault="00D96C4E">
            <w:pPr>
              <w:jc w:val="right"/>
              <w:textAlignment w:val="bottom"/>
            </w:pPr>
            <w:r>
              <w:rPr>
                <w:rFonts w:ascii="Arial" w:eastAsia="宋体" w:hAnsi="Arial" w:cs="Arial"/>
                <w:color w:val="000000"/>
                <w:sz w:val="14"/>
                <w:szCs w:val="14"/>
              </w:rPr>
              <w:t>7,008 </w:t>
            </w:r>
          </w:p>
        </w:tc>
        <w:tc>
          <w:tcPr>
            <w:tcW w:w="0" w:type="auto"/>
            <w:shd w:val="clear" w:color="auto" w:fill="CCEEFF"/>
            <w:tcMar>
              <w:top w:w="40" w:type="dxa"/>
              <w:left w:w="0" w:type="dxa"/>
              <w:bottom w:w="40" w:type="dxa"/>
              <w:right w:w="20" w:type="dxa"/>
            </w:tcMar>
            <w:vAlign w:val="bottom"/>
          </w:tcPr>
          <w:p w14:paraId="5EA24C55" w14:textId="77777777" w:rsidR="003C66EB" w:rsidRDefault="003C66EB">
            <w:pPr>
              <w:jc w:val="right"/>
              <w:rPr>
                <w:rFonts w:ascii="宋体"/>
              </w:rPr>
            </w:pPr>
          </w:p>
        </w:tc>
      </w:tr>
      <w:tr w:rsidR="003C66EB" w14:paraId="5EA24C71" w14:textId="77777777">
        <w:tc>
          <w:tcPr>
            <w:tcW w:w="0" w:type="auto"/>
            <w:gridSpan w:val="3"/>
            <w:shd w:val="clear" w:color="auto" w:fill="FFFFFF"/>
            <w:tcMar>
              <w:top w:w="40" w:type="dxa"/>
              <w:left w:w="380" w:type="dxa"/>
              <w:bottom w:w="40" w:type="dxa"/>
              <w:right w:w="20" w:type="dxa"/>
            </w:tcMar>
            <w:vAlign w:val="bottom"/>
          </w:tcPr>
          <w:p w14:paraId="5EA24C57"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4C58" w14:textId="77777777" w:rsidR="003C66EB" w:rsidRDefault="00D96C4E">
            <w:pPr>
              <w:jc w:val="right"/>
              <w:textAlignment w:val="bottom"/>
            </w:pPr>
            <w:r>
              <w:rPr>
                <w:rFonts w:ascii="Arial" w:eastAsia="宋体" w:hAnsi="Arial" w:cs="Arial"/>
                <w:b/>
                <w:bCs/>
                <w:color w:val="000000"/>
                <w:sz w:val="14"/>
                <w:szCs w:val="14"/>
              </w:rPr>
              <w:t>730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5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5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5B" w14:textId="77777777" w:rsidR="003C66EB" w:rsidRDefault="00D96C4E">
            <w:pPr>
              <w:jc w:val="right"/>
              <w:textAlignment w:val="bottom"/>
            </w:pPr>
            <w:r>
              <w:rPr>
                <w:rFonts w:ascii="Arial" w:eastAsia="宋体" w:hAnsi="Arial" w:cs="Arial"/>
                <w:color w:val="000000"/>
                <w:sz w:val="14"/>
                <w:szCs w:val="14"/>
              </w:rPr>
              <w:t>176 </w:t>
            </w:r>
          </w:p>
        </w:tc>
        <w:tc>
          <w:tcPr>
            <w:tcW w:w="0" w:type="auto"/>
            <w:shd w:val="clear" w:color="auto" w:fill="FFFFFF"/>
            <w:tcMar>
              <w:top w:w="40" w:type="dxa"/>
              <w:left w:w="0" w:type="dxa"/>
              <w:bottom w:w="40" w:type="dxa"/>
              <w:right w:w="20" w:type="dxa"/>
            </w:tcMar>
            <w:vAlign w:val="bottom"/>
          </w:tcPr>
          <w:p w14:paraId="5EA24C5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5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5E" w14:textId="77777777" w:rsidR="003C66EB" w:rsidRDefault="00D96C4E">
            <w:pPr>
              <w:jc w:val="right"/>
              <w:textAlignment w:val="bottom"/>
            </w:pPr>
            <w:r>
              <w:rPr>
                <w:rFonts w:ascii="Arial" w:eastAsia="宋体" w:hAnsi="Arial" w:cs="Arial"/>
                <w:color w:val="000000"/>
                <w:sz w:val="14"/>
                <w:szCs w:val="14"/>
              </w:rPr>
              <w:t>348 </w:t>
            </w:r>
          </w:p>
        </w:tc>
        <w:tc>
          <w:tcPr>
            <w:tcW w:w="0" w:type="auto"/>
            <w:shd w:val="clear" w:color="auto" w:fill="FFFFFF"/>
            <w:tcMar>
              <w:top w:w="40" w:type="dxa"/>
              <w:left w:w="0" w:type="dxa"/>
              <w:bottom w:w="40" w:type="dxa"/>
              <w:right w:w="20" w:type="dxa"/>
            </w:tcMar>
            <w:vAlign w:val="bottom"/>
          </w:tcPr>
          <w:p w14:paraId="5EA24C5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6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61" w14:textId="77777777" w:rsidR="003C66EB" w:rsidRDefault="00D96C4E">
            <w:pPr>
              <w:jc w:val="right"/>
              <w:textAlignment w:val="bottom"/>
            </w:pPr>
            <w:r>
              <w:rPr>
                <w:rFonts w:ascii="Arial" w:eastAsia="宋体" w:hAnsi="Arial" w:cs="Arial"/>
                <w:color w:val="000000"/>
                <w:sz w:val="14"/>
                <w:szCs w:val="14"/>
              </w:rPr>
              <w:t>256 </w:t>
            </w:r>
          </w:p>
        </w:tc>
        <w:tc>
          <w:tcPr>
            <w:tcW w:w="0" w:type="auto"/>
            <w:shd w:val="clear" w:color="auto" w:fill="FFFFFF"/>
            <w:tcMar>
              <w:top w:w="40" w:type="dxa"/>
              <w:left w:w="0" w:type="dxa"/>
              <w:bottom w:w="40" w:type="dxa"/>
              <w:right w:w="20" w:type="dxa"/>
            </w:tcMar>
            <w:vAlign w:val="bottom"/>
          </w:tcPr>
          <w:p w14:paraId="5EA24C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6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64" w14:textId="77777777" w:rsidR="003C66EB" w:rsidRDefault="00D96C4E">
            <w:pPr>
              <w:jc w:val="right"/>
              <w:textAlignment w:val="bottom"/>
            </w:pPr>
            <w:r>
              <w:rPr>
                <w:rFonts w:ascii="Arial" w:eastAsia="宋体" w:hAnsi="Arial" w:cs="Arial"/>
                <w:color w:val="000000"/>
                <w:sz w:val="14"/>
                <w:szCs w:val="14"/>
              </w:rPr>
              <w:t>177 </w:t>
            </w:r>
          </w:p>
        </w:tc>
        <w:tc>
          <w:tcPr>
            <w:tcW w:w="0" w:type="auto"/>
            <w:shd w:val="clear" w:color="auto" w:fill="FFFFFF"/>
            <w:tcMar>
              <w:top w:w="40" w:type="dxa"/>
              <w:left w:w="0" w:type="dxa"/>
              <w:bottom w:w="40" w:type="dxa"/>
              <w:right w:w="20" w:type="dxa"/>
            </w:tcMar>
            <w:vAlign w:val="bottom"/>
          </w:tcPr>
          <w:p w14:paraId="5EA24C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66" w14:textId="77777777" w:rsidR="003C66EB" w:rsidRDefault="003C66EB">
            <w:pPr>
              <w:rPr>
                <w:rFonts w:ascii="宋体"/>
              </w:rPr>
            </w:pPr>
          </w:p>
        </w:tc>
        <w:tc>
          <w:tcPr>
            <w:tcW w:w="0" w:type="auto"/>
            <w:shd w:val="clear" w:color="auto" w:fill="auto"/>
          </w:tcPr>
          <w:p w14:paraId="5EA24C67" w14:textId="77777777" w:rsidR="003C66EB" w:rsidRDefault="003C66EB">
            <w:pPr>
              <w:rPr>
                <w:rFonts w:ascii="宋体"/>
                <w:vanish/>
              </w:rPr>
            </w:pPr>
          </w:p>
        </w:tc>
        <w:tc>
          <w:tcPr>
            <w:tcW w:w="0" w:type="auto"/>
            <w:shd w:val="clear" w:color="auto" w:fill="auto"/>
          </w:tcPr>
          <w:p w14:paraId="5EA24C6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C69" w14:textId="77777777" w:rsidR="003C66EB" w:rsidRDefault="00D96C4E">
            <w:pPr>
              <w:jc w:val="right"/>
              <w:textAlignment w:val="bottom"/>
            </w:pPr>
            <w:r>
              <w:rPr>
                <w:rFonts w:ascii="Arial" w:eastAsia="宋体" w:hAnsi="Arial" w:cs="Arial"/>
                <w:color w:val="000000"/>
                <w:sz w:val="14"/>
                <w:szCs w:val="14"/>
              </w:rPr>
              <w:t>63 </w:t>
            </w:r>
          </w:p>
        </w:tc>
        <w:tc>
          <w:tcPr>
            <w:tcW w:w="0" w:type="auto"/>
            <w:shd w:val="clear" w:color="auto" w:fill="FFFFFF"/>
            <w:tcMar>
              <w:top w:w="40" w:type="dxa"/>
              <w:left w:w="0" w:type="dxa"/>
              <w:bottom w:w="40" w:type="dxa"/>
              <w:right w:w="20" w:type="dxa"/>
            </w:tcMar>
            <w:vAlign w:val="bottom"/>
          </w:tcPr>
          <w:p w14:paraId="5EA24C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6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6C" w14:textId="77777777" w:rsidR="003C66EB" w:rsidRDefault="00D96C4E">
            <w:pPr>
              <w:jc w:val="right"/>
              <w:textAlignment w:val="bottom"/>
            </w:pPr>
            <w:r>
              <w:rPr>
                <w:rFonts w:ascii="Arial" w:eastAsia="宋体" w:hAnsi="Arial" w:cs="Arial"/>
                <w:color w:val="000000"/>
                <w:sz w:val="14"/>
                <w:szCs w:val="14"/>
              </w:rPr>
              <w:t>64 </w:t>
            </w:r>
          </w:p>
        </w:tc>
        <w:tc>
          <w:tcPr>
            <w:tcW w:w="0" w:type="auto"/>
            <w:shd w:val="clear" w:color="auto" w:fill="FFFFFF"/>
            <w:tcMar>
              <w:top w:w="40" w:type="dxa"/>
              <w:left w:w="0" w:type="dxa"/>
              <w:bottom w:w="40" w:type="dxa"/>
              <w:right w:w="20" w:type="dxa"/>
            </w:tcMar>
            <w:vAlign w:val="bottom"/>
          </w:tcPr>
          <w:p w14:paraId="5EA24C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6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6F" w14:textId="77777777" w:rsidR="003C66EB" w:rsidRDefault="00D96C4E">
            <w:pPr>
              <w:jc w:val="right"/>
              <w:textAlignment w:val="bottom"/>
            </w:pPr>
            <w:r>
              <w:rPr>
                <w:rFonts w:ascii="Arial" w:eastAsia="宋体" w:hAnsi="Arial" w:cs="Arial"/>
                <w:color w:val="000000"/>
                <w:sz w:val="14"/>
                <w:szCs w:val="14"/>
              </w:rPr>
              <w:t>1,814 </w:t>
            </w:r>
          </w:p>
        </w:tc>
        <w:tc>
          <w:tcPr>
            <w:tcW w:w="0" w:type="auto"/>
            <w:shd w:val="clear" w:color="auto" w:fill="FFFFFF"/>
            <w:tcMar>
              <w:top w:w="40" w:type="dxa"/>
              <w:left w:w="0" w:type="dxa"/>
              <w:bottom w:w="40" w:type="dxa"/>
              <w:right w:w="20" w:type="dxa"/>
            </w:tcMar>
            <w:vAlign w:val="bottom"/>
          </w:tcPr>
          <w:p w14:paraId="5EA24C70" w14:textId="77777777" w:rsidR="003C66EB" w:rsidRDefault="003C66EB">
            <w:pPr>
              <w:jc w:val="right"/>
              <w:rPr>
                <w:rFonts w:ascii="宋体"/>
              </w:rPr>
            </w:pPr>
          </w:p>
        </w:tc>
      </w:tr>
      <w:tr w:rsidR="003C66EB" w14:paraId="5EA24C84" w14:textId="77777777">
        <w:trPr>
          <w:hidden/>
        </w:trPr>
        <w:tc>
          <w:tcPr>
            <w:tcW w:w="0" w:type="auto"/>
            <w:gridSpan w:val="3"/>
            <w:shd w:val="clear" w:color="auto" w:fill="auto"/>
          </w:tcPr>
          <w:p w14:paraId="5EA24C72" w14:textId="77777777" w:rsidR="003C66EB" w:rsidRDefault="003C66EB">
            <w:pPr>
              <w:rPr>
                <w:rFonts w:ascii="宋体"/>
                <w:vanish/>
              </w:rPr>
            </w:pPr>
          </w:p>
        </w:tc>
        <w:tc>
          <w:tcPr>
            <w:tcW w:w="0" w:type="auto"/>
            <w:gridSpan w:val="3"/>
            <w:shd w:val="clear" w:color="auto" w:fill="auto"/>
          </w:tcPr>
          <w:p w14:paraId="5EA24C73" w14:textId="77777777" w:rsidR="003C66EB" w:rsidRDefault="003C66EB">
            <w:pPr>
              <w:rPr>
                <w:rFonts w:ascii="宋体"/>
                <w:vanish/>
              </w:rPr>
            </w:pPr>
          </w:p>
        </w:tc>
        <w:tc>
          <w:tcPr>
            <w:tcW w:w="0" w:type="auto"/>
            <w:gridSpan w:val="3"/>
            <w:shd w:val="clear" w:color="auto" w:fill="auto"/>
          </w:tcPr>
          <w:p w14:paraId="5EA24C74" w14:textId="77777777" w:rsidR="003C66EB" w:rsidRDefault="003C66EB">
            <w:pPr>
              <w:rPr>
                <w:rFonts w:ascii="宋体"/>
                <w:vanish/>
              </w:rPr>
            </w:pPr>
          </w:p>
        </w:tc>
        <w:tc>
          <w:tcPr>
            <w:tcW w:w="0" w:type="auto"/>
            <w:gridSpan w:val="3"/>
            <w:shd w:val="clear" w:color="auto" w:fill="auto"/>
          </w:tcPr>
          <w:p w14:paraId="5EA24C75" w14:textId="77777777" w:rsidR="003C66EB" w:rsidRDefault="003C66EB">
            <w:pPr>
              <w:rPr>
                <w:rFonts w:ascii="宋体"/>
                <w:vanish/>
              </w:rPr>
            </w:pPr>
          </w:p>
        </w:tc>
        <w:tc>
          <w:tcPr>
            <w:tcW w:w="0" w:type="auto"/>
            <w:gridSpan w:val="3"/>
            <w:shd w:val="clear" w:color="auto" w:fill="auto"/>
          </w:tcPr>
          <w:p w14:paraId="5EA24C76" w14:textId="77777777" w:rsidR="003C66EB" w:rsidRDefault="003C66EB">
            <w:pPr>
              <w:rPr>
                <w:rFonts w:ascii="宋体"/>
                <w:vanish/>
              </w:rPr>
            </w:pPr>
          </w:p>
        </w:tc>
        <w:tc>
          <w:tcPr>
            <w:tcW w:w="0" w:type="auto"/>
            <w:gridSpan w:val="3"/>
            <w:shd w:val="clear" w:color="auto" w:fill="auto"/>
          </w:tcPr>
          <w:p w14:paraId="5EA24C77" w14:textId="77777777" w:rsidR="003C66EB" w:rsidRDefault="003C66EB">
            <w:pPr>
              <w:rPr>
                <w:rFonts w:ascii="宋体"/>
                <w:vanish/>
              </w:rPr>
            </w:pPr>
          </w:p>
        </w:tc>
        <w:tc>
          <w:tcPr>
            <w:tcW w:w="0" w:type="auto"/>
            <w:gridSpan w:val="3"/>
            <w:shd w:val="clear" w:color="auto" w:fill="auto"/>
          </w:tcPr>
          <w:p w14:paraId="5EA24C78" w14:textId="77777777" w:rsidR="003C66EB" w:rsidRDefault="003C66EB">
            <w:pPr>
              <w:rPr>
                <w:rFonts w:ascii="宋体"/>
                <w:vanish/>
              </w:rPr>
            </w:pPr>
          </w:p>
        </w:tc>
        <w:tc>
          <w:tcPr>
            <w:tcW w:w="0" w:type="auto"/>
            <w:gridSpan w:val="3"/>
            <w:shd w:val="clear" w:color="auto" w:fill="auto"/>
          </w:tcPr>
          <w:p w14:paraId="5EA24C79" w14:textId="77777777" w:rsidR="003C66EB" w:rsidRDefault="003C66EB">
            <w:pPr>
              <w:rPr>
                <w:rFonts w:ascii="宋体"/>
                <w:vanish/>
              </w:rPr>
            </w:pPr>
          </w:p>
        </w:tc>
        <w:tc>
          <w:tcPr>
            <w:tcW w:w="0" w:type="auto"/>
            <w:gridSpan w:val="3"/>
            <w:shd w:val="clear" w:color="auto" w:fill="auto"/>
          </w:tcPr>
          <w:p w14:paraId="5EA24C7A" w14:textId="77777777" w:rsidR="003C66EB" w:rsidRDefault="003C66EB">
            <w:pPr>
              <w:rPr>
                <w:rFonts w:ascii="宋体"/>
                <w:vanish/>
              </w:rPr>
            </w:pPr>
          </w:p>
        </w:tc>
        <w:tc>
          <w:tcPr>
            <w:tcW w:w="0" w:type="auto"/>
            <w:gridSpan w:val="3"/>
            <w:shd w:val="clear" w:color="auto" w:fill="auto"/>
          </w:tcPr>
          <w:p w14:paraId="5EA24C7B" w14:textId="77777777" w:rsidR="003C66EB" w:rsidRDefault="003C66EB">
            <w:pPr>
              <w:rPr>
                <w:rFonts w:ascii="宋体"/>
                <w:vanish/>
              </w:rPr>
            </w:pPr>
          </w:p>
        </w:tc>
        <w:tc>
          <w:tcPr>
            <w:tcW w:w="0" w:type="auto"/>
            <w:gridSpan w:val="3"/>
            <w:shd w:val="clear" w:color="auto" w:fill="auto"/>
          </w:tcPr>
          <w:p w14:paraId="5EA24C7C" w14:textId="77777777" w:rsidR="003C66EB" w:rsidRDefault="003C66EB">
            <w:pPr>
              <w:rPr>
                <w:rFonts w:ascii="宋体"/>
                <w:vanish/>
              </w:rPr>
            </w:pPr>
          </w:p>
        </w:tc>
        <w:tc>
          <w:tcPr>
            <w:tcW w:w="0" w:type="auto"/>
            <w:shd w:val="clear" w:color="auto" w:fill="auto"/>
          </w:tcPr>
          <w:p w14:paraId="5EA24C7D" w14:textId="77777777" w:rsidR="003C66EB" w:rsidRDefault="003C66EB">
            <w:pPr>
              <w:rPr>
                <w:rFonts w:ascii="宋体"/>
                <w:vanish/>
              </w:rPr>
            </w:pPr>
          </w:p>
        </w:tc>
        <w:tc>
          <w:tcPr>
            <w:tcW w:w="0" w:type="auto"/>
            <w:shd w:val="clear" w:color="auto" w:fill="auto"/>
          </w:tcPr>
          <w:p w14:paraId="5EA24C7E" w14:textId="77777777" w:rsidR="003C66EB" w:rsidRDefault="003C66EB">
            <w:pPr>
              <w:rPr>
                <w:rFonts w:ascii="宋体"/>
                <w:vanish/>
              </w:rPr>
            </w:pPr>
          </w:p>
        </w:tc>
        <w:tc>
          <w:tcPr>
            <w:tcW w:w="0" w:type="auto"/>
            <w:gridSpan w:val="3"/>
            <w:shd w:val="clear" w:color="auto" w:fill="auto"/>
          </w:tcPr>
          <w:p w14:paraId="5EA24C7F" w14:textId="77777777" w:rsidR="003C66EB" w:rsidRDefault="003C66EB">
            <w:pPr>
              <w:rPr>
                <w:rFonts w:ascii="宋体"/>
                <w:vanish/>
              </w:rPr>
            </w:pPr>
          </w:p>
        </w:tc>
        <w:tc>
          <w:tcPr>
            <w:tcW w:w="0" w:type="auto"/>
            <w:gridSpan w:val="3"/>
            <w:shd w:val="clear" w:color="auto" w:fill="auto"/>
          </w:tcPr>
          <w:p w14:paraId="5EA24C80" w14:textId="77777777" w:rsidR="003C66EB" w:rsidRDefault="003C66EB">
            <w:pPr>
              <w:rPr>
                <w:rFonts w:ascii="宋体"/>
                <w:vanish/>
              </w:rPr>
            </w:pPr>
          </w:p>
        </w:tc>
        <w:tc>
          <w:tcPr>
            <w:tcW w:w="0" w:type="auto"/>
            <w:gridSpan w:val="3"/>
            <w:shd w:val="clear" w:color="auto" w:fill="auto"/>
          </w:tcPr>
          <w:p w14:paraId="5EA24C81" w14:textId="77777777" w:rsidR="003C66EB" w:rsidRDefault="003C66EB">
            <w:pPr>
              <w:rPr>
                <w:rFonts w:ascii="宋体"/>
                <w:vanish/>
              </w:rPr>
            </w:pPr>
          </w:p>
        </w:tc>
        <w:tc>
          <w:tcPr>
            <w:tcW w:w="0" w:type="auto"/>
            <w:gridSpan w:val="3"/>
            <w:shd w:val="clear" w:color="auto" w:fill="auto"/>
          </w:tcPr>
          <w:p w14:paraId="5EA24C82" w14:textId="77777777" w:rsidR="003C66EB" w:rsidRDefault="003C66EB">
            <w:pPr>
              <w:rPr>
                <w:rFonts w:ascii="宋体"/>
                <w:vanish/>
              </w:rPr>
            </w:pPr>
          </w:p>
        </w:tc>
        <w:tc>
          <w:tcPr>
            <w:tcW w:w="0" w:type="auto"/>
            <w:gridSpan w:val="3"/>
            <w:shd w:val="clear" w:color="auto" w:fill="auto"/>
          </w:tcPr>
          <w:p w14:paraId="5EA24C83" w14:textId="77777777" w:rsidR="003C66EB" w:rsidRDefault="003C66EB">
            <w:pPr>
              <w:rPr>
                <w:rFonts w:ascii="宋体"/>
                <w:vanish/>
              </w:rPr>
            </w:pPr>
          </w:p>
        </w:tc>
      </w:tr>
      <w:tr w:rsidR="003C66EB" w14:paraId="5EA24C9F" w14:textId="77777777">
        <w:tc>
          <w:tcPr>
            <w:tcW w:w="0" w:type="auto"/>
            <w:gridSpan w:val="3"/>
            <w:shd w:val="clear" w:color="auto" w:fill="CCEEFF"/>
            <w:tcMar>
              <w:top w:w="40" w:type="dxa"/>
              <w:left w:w="380" w:type="dxa"/>
              <w:bottom w:w="40" w:type="dxa"/>
              <w:right w:w="20" w:type="dxa"/>
            </w:tcMar>
            <w:vAlign w:val="bottom"/>
          </w:tcPr>
          <w:p w14:paraId="5EA24C85" w14:textId="77777777" w:rsidR="003C66EB" w:rsidRDefault="00D96C4E">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5EA24C8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8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C8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C8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C8F" w14:textId="77777777" w:rsidR="003C66EB" w:rsidRDefault="00D96C4E">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5EA24C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9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C9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94" w14:textId="77777777" w:rsidR="003C66EB" w:rsidRDefault="003C66EB">
            <w:pPr>
              <w:rPr>
                <w:rFonts w:ascii="宋体"/>
              </w:rPr>
            </w:pPr>
          </w:p>
        </w:tc>
        <w:tc>
          <w:tcPr>
            <w:tcW w:w="0" w:type="auto"/>
            <w:shd w:val="clear" w:color="auto" w:fill="auto"/>
          </w:tcPr>
          <w:p w14:paraId="5EA24C95" w14:textId="77777777" w:rsidR="003C66EB" w:rsidRDefault="003C66EB">
            <w:pPr>
              <w:rPr>
                <w:rFonts w:ascii="宋体"/>
                <w:vanish/>
              </w:rPr>
            </w:pPr>
          </w:p>
        </w:tc>
        <w:tc>
          <w:tcPr>
            <w:tcW w:w="0" w:type="auto"/>
            <w:shd w:val="clear" w:color="auto" w:fill="auto"/>
          </w:tcPr>
          <w:p w14:paraId="5EA24C96"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4C9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9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9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C9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C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9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C9D" w14:textId="77777777" w:rsidR="003C66EB" w:rsidRDefault="00D96C4E">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5EA24C9E" w14:textId="77777777" w:rsidR="003C66EB" w:rsidRDefault="003C66EB">
            <w:pPr>
              <w:jc w:val="right"/>
              <w:rPr>
                <w:rFonts w:ascii="宋体"/>
              </w:rPr>
            </w:pPr>
          </w:p>
        </w:tc>
      </w:tr>
      <w:tr w:rsidR="003C66EB" w14:paraId="5EA24CBA" w14:textId="77777777">
        <w:tc>
          <w:tcPr>
            <w:tcW w:w="0" w:type="auto"/>
            <w:gridSpan w:val="3"/>
            <w:shd w:val="clear" w:color="auto" w:fill="FFFFFF"/>
            <w:tcMar>
              <w:top w:w="40" w:type="dxa"/>
              <w:left w:w="380" w:type="dxa"/>
              <w:bottom w:w="40" w:type="dxa"/>
              <w:right w:w="20" w:type="dxa"/>
            </w:tcMar>
            <w:vAlign w:val="bottom"/>
          </w:tcPr>
          <w:p w14:paraId="5EA24CA0" w14:textId="77777777" w:rsidR="003C66EB" w:rsidRDefault="00D96C4E">
            <w:pPr>
              <w:textAlignment w:val="bottom"/>
            </w:pPr>
            <w:r>
              <w:rPr>
                <w:rFonts w:ascii="Arial" w:eastAsia="宋体" w:hAnsi="Arial" w:cs="Arial"/>
                <w:color w:val="000000"/>
                <w:sz w:val="14"/>
                <w:szCs w:val="14"/>
              </w:rPr>
              <w:t>Doubtful</w:t>
            </w:r>
          </w:p>
        </w:tc>
        <w:tc>
          <w:tcPr>
            <w:tcW w:w="0" w:type="auto"/>
            <w:gridSpan w:val="2"/>
            <w:shd w:val="clear" w:color="auto" w:fill="FFFFFF"/>
            <w:tcMar>
              <w:top w:w="40" w:type="dxa"/>
              <w:left w:w="20" w:type="dxa"/>
              <w:bottom w:w="40" w:type="dxa"/>
              <w:right w:w="0" w:type="dxa"/>
            </w:tcMar>
            <w:vAlign w:val="bottom"/>
          </w:tcPr>
          <w:p w14:paraId="5EA24CA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A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A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A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A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A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A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A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A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AD" w14:textId="77777777" w:rsidR="003C66EB" w:rsidRDefault="00D96C4E">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5EA24C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AF" w14:textId="77777777" w:rsidR="003C66EB" w:rsidRDefault="003C66EB">
            <w:pPr>
              <w:rPr>
                <w:rFonts w:ascii="宋体"/>
              </w:rPr>
            </w:pPr>
          </w:p>
        </w:tc>
        <w:tc>
          <w:tcPr>
            <w:tcW w:w="0" w:type="auto"/>
            <w:shd w:val="clear" w:color="auto" w:fill="auto"/>
          </w:tcPr>
          <w:p w14:paraId="5EA24CB0" w14:textId="77777777" w:rsidR="003C66EB" w:rsidRDefault="003C66EB">
            <w:pPr>
              <w:rPr>
                <w:rFonts w:ascii="宋体"/>
                <w:vanish/>
              </w:rPr>
            </w:pPr>
          </w:p>
        </w:tc>
        <w:tc>
          <w:tcPr>
            <w:tcW w:w="0" w:type="auto"/>
            <w:shd w:val="clear" w:color="auto" w:fill="auto"/>
          </w:tcPr>
          <w:p w14:paraId="5EA24CB1"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CB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B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B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B5"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CB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CB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CB8" w14:textId="77777777" w:rsidR="003C66EB" w:rsidRDefault="00D96C4E">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5EA24CB9" w14:textId="77777777" w:rsidR="003C66EB" w:rsidRDefault="003C66EB">
            <w:pPr>
              <w:jc w:val="right"/>
              <w:rPr>
                <w:rFonts w:ascii="宋体"/>
              </w:rPr>
            </w:pPr>
          </w:p>
        </w:tc>
      </w:tr>
      <w:tr w:rsidR="003C66EB" w14:paraId="5EA24CCD" w14:textId="77777777">
        <w:trPr>
          <w:hidden/>
        </w:trPr>
        <w:tc>
          <w:tcPr>
            <w:tcW w:w="0" w:type="auto"/>
            <w:gridSpan w:val="3"/>
            <w:shd w:val="clear" w:color="auto" w:fill="auto"/>
          </w:tcPr>
          <w:p w14:paraId="5EA24CBB" w14:textId="77777777" w:rsidR="003C66EB" w:rsidRDefault="003C66EB">
            <w:pPr>
              <w:rPr>
                <w:rFonts w:ascii="宋体"/>
                <w:vanish/>
              </w:rPr>
            </w:pPr>
          </w:p>
        </w:tc>
        <w:tc>
          <w:tcPr>
            <w:tcW w:w="0" w:type="auto"/>
            <w:gridSpan w:val="3"/>
            <w:shd w:val="clear" w:color="auto" w:fill="auto"/>
          </w:tcPr>
          <w:p w14:paraId="5EA24CBC" w14:textId="77777777" w:rsidR="003C66EB" w:rsidRDefault="003C66EB">
            <w:pPr>
              <w:rPr>
                <w:rFonts w:ascii="宋体"/>
                <w:vanish/>
              </w:rPr>
            </w:pPr>
          </w:p>
        </w:tc>
        <w:tc>
          <w:tcPr>
            <w:tcW w:w="0" w:type="auto"/>
            <w:gridSpan w:val="3"/>
            <w:shd w:val="clear" w:color="auto" w:fill="auto"/>
          </w:tcPr>
          <w:p w14:paraId="5EA24CBD" w14:textId="77777777" w:rsidR="003C66EB" w:rsidRDefault="003C66EB">
            <w:pPr>
              <w:rPr>
                <w:rFonts w:ascii="宋体"/>
                <w:vanish/>
              </w:rPr>
            </w:pPr>
          </w:p>
        </w:tc>
        <w:tc>
          <w:tcPr>
            <w:tcW w:w="0" w:type="auto"/>
            <w:gridSpan w:val="3"/>
            <w:shd w:val="clear" w:color="auto" w:fill="auto"/>
          </w:tcPr>
          <w:p w14:paraId="5EA24CBE" w14:textId="77777777" w:rsidR="003C66EB" w:rsidRDefault="003C66EB">
            <w:pPr>
              <w:rPr>
                <w:rFonts w:ascii="宋体"/>
                <w:vanish/>
              </w:rPr>
            </w:pPr>
          </w:p>
        </w:tc>
        <w:tc>
          <w:tcPr>
            <w:tcW w:w="0" w:type="auto"/>
            <w:gridSpan w:val="3"/>
            <w:shd w:val="clear" w:color="auto" w:fill="auto"/>
          </w:tcPr>
          <w:p w14:paraId="5EA24CBF" w14:textId="77777777" w:rsidR="003C66EB" w:rsidRDefault="003C66EB">
            <w:pPr>
              <w:rPr>
                <w:rFonts w:ascii="宋体"/>
                <w:vanish/>
              </w:rPr>
            </w:pPr>
          </w:p>
        </w:tc>
        <w:tc>
          <w:tcPr>
            <w:tcW w:w="0" w:type="auto"/>
            <w:gridSpan w:val="3"/>
            <w:shd w:val="clear" w:color="auto" w:fill="auto"/>
          </w:tcPr>
          <w:p w14:paraId="5EA24CC0" w14:textId="77777777" w:rsidR="003C66EB" w:rsidRDefault="003C66EB">
            <w:pPr>
              <w:rPr>
                <w:rFonts w:ascii="宋体"/>
                <w:vanish/>
              </w:rPr>
            </w:pPr>
          </w:p>
        </w:tc>
        <w:tc>
          <w:tcPr>
            <w:tcW w:w="0" w:type="auto"/>
            <w:gridSpan w:val="3"/>
            <w:shd w:val="clear" w:color="auto" w:fill="auto"/>
          </w:tcPr>
          <w:p w14:paraId="5EA24CC1" w14:textId="77777777" w:rsidR="003C66EB" w:rsidRDefault="003C66EB">
            <w:pPr>
              <w:rPr>
                <w:rFonts w:ascii="宋体"/>
                <w:vanish/>
              </w:rPr>
            </w:pPr>
          </w:p>
        </w:tc>
        <w:tc>
          <w:tcPr>
            <w:tcW w:w="0" w:type="auto"/>
            <w:gridSpan w:val="3"/>
            <w:shd w:val="clear" w:color="auto" w:fill="auto"/>
          </w:tcPr>
          <w:p w14:paraId="5EA24CC2" w14:textId="77777777" w:rsidR="003C66EB" w:rsidRDefault="003C66EB">
            <w:pPr>
              <w:rPr>
                <w:rFonts w:ascii="宋体"/>
                <w:vanish/>
              </w:rPr>
            </w:pPr>
          </w:p>
        </w:tc>
        <w:tc>
          <w:tcPr>
            <w:tcW w:w="0" w:type="auto"/>
            <w:gridSpan w:val="3"/>
            <w:shd w:val="clear" w:color="auto" w:fill="auto"/>
          </w:tcPr>
          <w:p w14:paraId="5EA24CC3" w14:textId="77777777" w:rsidR="003C66EB" w:rsidRDefault="003C66EB">
            <w:pPr>
              <w:rPr>
                <w:rFonts w:ascii="宋体"/>
                <w:vanish/>
              </w:rPr>
            </w:pPr>
          </w:p>
        </w:tc>
        <w:tc>
          <w:tcPr>
            <w:tcW w:w="0" w:type="auto"/>
            <w:gridSpan w:val="3"/>
            <w:shd w:val="clear" w:color="auto" w:fill="auto"/>
          </w:tcPr>
          <w:p w14:paraId="5EA24CC4" w14:textId="77777777" w:rsidR="003C66EB" w:rsidRDefault="003C66EB">
            <w:pPr>
              <w:rPr>
                <w:rFonts w:ascii="宋体"/>
                <w:vanish/>
              </w:rPr>
            </w:pPr>
          </w:p>
        </w:tc>
        <w:tc>
          <w:tcPr>
            <w:tcW w:w="0" w:type="auto"/>
            <w:gridSpan w:val="3"/>
            <w:shd w:val="clear" w:color="auto" w:fill="auto"/>
          </w:tcPr>
          <w:p w14:paraId="5EA24CC5" w14:textId="77777777" w:rsidR="003C66EB" w:rsidRDefault="003C66EB">
            <w:pPr>
              <w:rPr>
                <w:rFonts w:ascii="宋体"/>
                <w:vanish/>
              </w:rPr>
            </w:pPr>
          </w:p>
        </w:tc>
        <w:tc>
          <w:tcPr>
            <w:tcW w:w="0" w:type="auto"/>
            <w:shd w:val="clear" w:color="auto" w:fill="auto"/>
          </w:tcPr>
          <w:p w14:paraId="5EA24CC6" w14:textId="77777777" w:rsidR="003C66EB" w:rsidRDefault="003C66EB">
            <w:pPr>
              <w:rPr>
                <w:rFonts w:ascii="宋体"/>
                <w:vanish/>
              </w:rPr>
            </w:pPr>
          </w:p>
        </w:tc>
        <w:tc>
          <w:tcPr>
            <w:tcW w:w="0" w:type="auto"/>
            <w:shd w:val="clear" w:color="auto" w:fill="auto"/>
          </w:tcPr>
          <w:p w14:paraId="5EA24CC7" w14:textId="77777777" w:rsidR="003C66EB" w:rsidRDefault="003C66EB">
            <w:pPr>
              <w:rPr>
                <w:rFonts w:ascii="宋体"/>
                <w:vanish/>
              </w:rPr>
            </w:pPr>
          </w:p>
        </w:tc>
        <w:tc>
          <w:tcPr>
            <w:tcW w:w="0" w:type="auto"/>
            <w:gridSpan w:val="3"/>
            <w:shd w:val="clear" w:color="auto" w:fill="auto"/>
          </w:tcPr>
          <w:p w14:paraId="5EA24CC8" w14:textId="77777777" w:rsidR="003C66EB" w:rsidRDefault="003C66EB">
            <w:pPr>
              <w:rPr>
                <w:rFonts w:ascii="宋体"/>
                <w:vanish/>
              </w:rPr>
            </w:pPr>
          </w:p>
        </w:tc>
        <w:tc>
          <w:tcPr>
            <w:tcW w:w="0" w:type="auto"/>
            <w:gridSpan w:val="3"/>
            <w:shd w:val="clear" w:color="auto" w:fill="auto"/>
          </w:tcPr>
          <w:p w14:paraId="5EA24CC9" w14:textId="77777777" w:rsidR="003C66EB" w:rsidRDefault="003C66EB">
            <w:pPr>
              <w:rPr>
                <w:rFonts w:ascii="宋体"/>
                <w:vanish/>
              </w:rPr>
            </w:pPr>
          </w:p>
        </w:tc>
        <w:tc>
          <w:tcPr>
            <w:tcW w:w="0" w:type="auto"/>
            <w:gridSpan w:val="3"/>
            <w:shd w:val="clear" w:color="auto" w:fill="auto"/>
          </w:tcPr>
          <w:p w14:paraId="5EA24CCA" w14:textId="77777777" w:rsidR="003C66EB" w:rsidRDefault="003C66EB">
            <w:pPr>
              <w:rPr>
                <w:rFonts w:ascii="宋体"/>
                <w:vanish/>
              </w:rPr>
            </w:pPr>
          </w:p>
        </w:tc>
        <w:tc>
          <w:tcPr>
            <w:tcW w:w="0" w:type="auto"/>
            <w:gridSpan w:val="3"/>
            <w:shd w:val="clear" w:color="auto" w:fill="auto"/>
          </w:tcPr>
          <w:p w14:paraId="5EA24CCB" w14:textId="77777777" w:rsidR="003C66EB" w:rsidRDefault="003C66EB">
            <w:pPr>
              <w:rPr>
                <w:rFonts w:ascii="宋体"/>
                <w:vanish/>
              </w:rPr>
            </w:pPr>
          </w:p>
        </w:tc>
        <w:tc>
          <w:tcPr>
            <w:tcW w:w="0" w:type="auto"/>
            <w:gridSpan w:val="3"/>
            <w:shd w:val="clear" w:color="auto" w:fill="auto"/>
          </w:tcPr>
          <w:p w14:paraId="5EA24CCC" w14:textId="77777777" w:rsidR="003C66EB" w:rsidRDefault="003C66EB">
            <w:pPr>
              <w:rPr>
                <w:rFonts w:ascii="宋体"/>
                <w:vanish/>
              </w:rPr>
            </w:pPr>
          </w:p>
        </w:tc>
      </w:tr>
      <w:tr w:rsidR="003C66EB" w14:paraId="5EA24CF0" w14:textId="77777777">
        <w:tc>
          <w:tcPr>
            <w:tcW w:w="0" w:type="auto"/>
            <w:gridSpan w:val="3"/>
            <w:shd w:val="clear" w:color="auto" w:fill="CCEEFF"/>
            <w:tcMar>
              <w:top w:w="40" w:type="dxa"/>
              <w:left w:w="155" w:type="dxa"/>
              <w:bottom w:w="40" w:type="dxa"/>
              <w:right w:w="20" w:type="dxa"/>
            </w:tcMar>
            <w:vAlign w:val="bottom"/>
          </w:tcPr>
          <w:p w14:paraId="5EA24CCE" w14:textId="77777777" w:rsidR="003C66EB" w:rsidRDefault="00D96C4E">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4CC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D0" w14:textId="77777777" w:rsidR="003C66EB" w:rsidRDefault="00D96C4E">
            <w:pPr>
              <w:jc w:val="right"/>
              <w:textAlignment w:val="bottom"/>
            </w:pPr>
            <w:r>
              <w:rPr>
                <w:rFonts w:ascii="Arial" w:eastAsia="宋体" w:hAnsi="Arial" w:cs="Arial"/>
                <w:b/>
                <w:bCs/>
                <w:color w:val="000000"/>
                <w:sz w:val="14"/>
                <w:szCs w:val="14"/>
              </w:rPr>
              <w:t>3,005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D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D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D4" w14:textId="77777777" w:rsidR="003C66EB" w:rsidRDefault="00D96C4E">
            <w:pPr>
              <w:jc w:val="right"/>
              <w:textAlignment w:val="bottom"/>
            </w:pPr>
            <w:r>
              <w:rPr>
                <w:rFonts w:ascii="Arial" w:eastAsia="宋体" w:hAnsi="Arial" w:cs="Arial"/>
                <w:color w:val="000000"/>
                <w:sz w:val="14"/>
                <w:szCs w:val="14"/>
              </w:rPr>
              <w:t>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D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D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D8" w14:textId="77777777" w:rsidR="003C66EB" w:rsidRDefault="00D96C4E">
            <w:pPr>
              <w:jc w:val="right"/>
              <w:textAlignment w:val="bottom"/>
            </w:pPr>
            <w:r>
              <w:rPr>
                <w:rFonts w:ascii="Arial" w:eastAsia="宋体" w:hAnsi="Arial" w:cs="Arial"/>
                <w:color w:val="000000"/>
                <w:sz w:val="14"/>
                <w:szCs w:val="14"/>
              </w:rPr>
              <w:t>348 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D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D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DC" w14:textId="77777777" w:rsidR="003C66EB" w:rsidRDefault="00D96C4E">
            <w:pPr>
              <w:jc w:val="right"/>
              <w:textAlignment w:val="bottom"/>
            </w:pPr>
            <w:r>
              <w:rPr>
                <w:rFonts w:ascii="Arial" w:eastAsia="宋体" w:hAnsi="Arial" w:cs="Arial"/>
                <w:color w:val="000000"/>
                <w:sz w:val="14"/>
                <w:szCs w:val="14"/>
              </w:rPr>
              <w:t>280 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D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D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E0" w14:textId="77777777" w:rsidR="003C66EB" w:rsidRDefault="00D96C4E">
            <w:pPr>
              <w:jc w:val="right"/>
              <w:textAlignment w:val="bottom"/>
            </w:pPr>
            <w:r>
              <w:rPr>
                <w:rFonts w:ascii="Arial" w:eastAsia="宋体" w:hAnsi="Arial" w:cs="Arial"/>
                <w:color w:val="000000"/>
                <w:sz w:val="14"/>
                <w:szCs w:val="14"/>
              </w:rPr>
              <w:t>193 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E2" w14:textId="77777777" w:rsidR="003C66EB" w:rsidRDefault="003C66EB">
            <w:pPr>
              <w:rPr>
                <w:rFonts w:ascii="宋体"/>
              </w:rPr>
            </w:pPr>
          </w:p>
        </w:tc>
        <w:tc>
          <w:tcPr>
            <w:tcW w:w="0" w:type="auto"/>
            <w:shd w:val="clear" w:color="auto" w:fill="auto"/>
          </w:tcPr>
          <w:p w14:paraId="5EA24CE3" w14:textId="77777777" w:rsidR="003C66EB" w:rsidRDefault="003C66EB">
            <w:pPr>
              <w:rPr>
                <w:rFonts w:ascii="宋体"/>
                <w:vanish/>
              </w:rPr>
            </w:pPr>
          </w:p>
        </w:tc>
        <w:tc>
          <w:tcPr>
            <w:tcW w:w="0" w:type="auto"/>
            <w:shd w:val="clear" w:color="auto" w:fill="auto"/>
          </w:tcPr>
          <w:p w14:paraId="5EA24CE4"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E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E6" w14:textId="77777777" w:rsidR="003C66EB" w:rsidRDefault="00D96C4E">
            <w:pPr>
              <w:jc w:val="right"/>
              <w:textAlignment w:val="bottom"/>
            </w:pPr>
            <w:r>
              <w:rPr>
                <w:rFonts w:ascii="Arial" w:eastAsia="宋体" w:hAnsi="Arial" w:cs="Arial"/>
                <w:color w:val="000000"/>
                <w:sz w:val="14"/>
                <w:szCs w:val="14"/>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E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E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EA" w14:textId="77777777" w:rsidR="003C66EB" w:rsidRDefault="00D96C4E">
            <w:pPr>
              <w:jc w:val="right"/>
              <w:textAlignment w:val="bottom"/>
            </w:pPr>
            <w:r>
              <w:rPr>
                <w:rFonts w:ascii="Arial" w:eastAsia="宋体" w:hAnsi="Arial" w:cs="Arial"/>
                <w:color w:val="000000"/>
                <w:sz w:val="14"/>
                <w:szCs w:val="14"/>
              </w:rPr>
              <w:t>4,797 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CE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CE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CEE" w14:textId="77777777" w:rsidR="003C66EB" w:rsidRDefault="00D96C4E">
            <w:pPr>
              <w:jc w:val="right"/>
              <w:textAlignment w:val="bottom"/>
            </w:pPr>
            <w:r>
              <w:rPr>
                <w:rFonts w:ascii="Arial" w:eastAsia="宋体" w:hAnsi="Arial" w:cs="Arial"/>
                <w:color w:val="000000"/>
                <w:sz w:val="14"/>
                <w:szCs w:val="14"/>
              </w:rPr>
              <w:t>8,862 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CEF" w14:textId="77777777" w:rsidR="003C66EB" w:rsidRDefault="003C66EB">
            <w:pPr>
              <w:jc w:val="right"/>
              <w:rPr>
                <w:rFonts w:ascii="宋体"/>
              </w:rPr>
            </w:pPr>
          </w:p>
        </w:tc>
      </w:tr>
      <w:tr w:rsidR="003C66EB" w14:paraId="5EA24D03" w14:textId="77777777">
        <w:trPr>
          <w:trHeight w:val="120"/>
        </w:trPr>
        <w:tc>
          <w:tcPr>
            <w:tcW w:w="0" w:type="auto"/>
            <w:gridSpan w:val="3"/>
            <w:shd w:val="clear" w:color="auto" w:fill="auto"/>
            <w:tcMar>
              <w:top w:w="0" w:type="dxa"/>
              <w:left w:w="20" w:type="dxa"/>
              <w:bottom w:w="0" w:type="dxa"/>
              <w:right w:w="20" w:type="dxa"/>
            </w:tcMar>
          </w:tcPr>
          <w:p w14:paraId="5EA24CF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CF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F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CF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F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CF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F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CF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F9"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CF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FB" w14:textId="77777777" w:rsidR="003C66EB" w:rsidRDefault="003C66EB">
            <w:pPr>
              <w:rPr>
                <w:rFonts w:ascii="宋体"/>
              </w:rPr>
            </w:pPr>
          </w:p>
        </w:tc>
        <w:tc>
          <w:tcPr>
            <w:tcW w:w="0" w:type="auto"/>
            <w:shd w:val="clear" w:color="auto" w:fill="auto"/>
          </w:tcPr>
          <w:p w14:paraId="5EA24CFC" w14:textId="77777777" w:rsidR="003C66EB" w:rsidRDefault="003C66EB">
            <w:pPr>
              <w:rPr>
                <w:rFonts w:ascii="宋体"/>
                <w:vanish/>
              </w:rPr>
            </w:pPr>
          </w:p>
        </w:tc>
        <w:tc>
          <w:tcPr>
            <w:tcW w:w="0" w:type="auto"/>
            <w:shd w:val="clear" w:color="auto" w:fill="auto"/>
          </w:tcPr>
          <w:p w14:paraId="5EA24CFD"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CF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CF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D0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D0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D02" w14:textId="77777777" w:rsidR="003C66EB" w:rsidRDefault="003C66EB">
            <w:pPr>
              <w:rPr>
                <w:rFonts w:ascii="宋体"/>
              </w:rPr>
            </w:pPr>
          </w:p>
        </w:tc>
      </w:tr>
      <w:tr w:rsidR="003C66EB" w14:paraId="5EA24D16" w14:textId="77777777">
        <w:trPr>
          <w:hidden/>
        </w:trPr>
        <w:tc>
          <w:tcPr>
            <w:tcW w:w="0" w:type="auto"/>
            <w:gridSpan w:val="3"/>
            <w:shd w:val="clear" w:color="auto" w:fill="auto"/>
          </w:tcPr>
          <w:p w14:paraId="5EA24D04" w14:textId="77777777" w:rsidR="003C66EB" w:rsidRDefault="003C66EB">
            <w:pPr>
              <w:rPr>
                <w:rFonts w:ascii="宋体"/>
                <w:vanish/>
              </w:rPr>
            </w:pPr>
          </w:p>
        </w:tc>
        <w:tc>
          <w:tcPr>
            <w:tcW w:w="0" w:type="auto"/>
            <w:gridSpan w:val="3"/>
            <w:shd w:val="clear" w:color="auto" w:fill="auto"/>
          </w:tcPr>
          <w:p w14:paraId="5EA24D05" w14:textId="77777777" w:rsidR="003C66EB" w:rsidRDefault="003C66EB">
            <w:pPr>
              <w:rPr>
                <w:rFonts w:ascii="宋体"/>
                <w:vanish/>
              </w:rPr>
            </w:pPr>
          </w:p>
        </w:tc>
        <w:tc>
          <w:tcPr>
            <w:tcW w:w="0" w:type="auto"/>
            <w:gridSpan w:val="3"/>
            <w:shd w:val="clear" w:color="auto" w:fill="auto"/>
          </w:tcPr>
          <w:p w14:paraId="5EA24D06" w14:textId="77777777" w:rsidR="003C66EB" w:rsidRDefault="003C66EB">
            <w:pPr>
              <w:rPr>
                <w:rFonts w:ascii="宋体"/>
                <w:vanish/>
              </w:rPr>
            </w:pPr>
          </w:p>
        </w:tc>
        <w:tc>
          <w:tcPr>
            <w:tcW w:w="0" w:type="auto"/>
            <w:gridSpan w:val="3"/>
            <w:shd w:val="clear" w:color="auto" w:fill="auto"/>
          </w:tcPr>
          <w:p w14:paraId="5EA24D07" w14:textId="77777777" w:rsidR="003C66EB" w:rsidRDefault="003C66EB">
            <w:pPr>
              <w:rPr>
                <w:rFonts w:ascii="宋体"/>
                <w:vanish/>
              </w:rPr>
            </w:pPr>
          </w:p>
        </w:tc>
        <w:tc>
          <w:tcPr>
            <w:tcW w:w="0" w:type="auto"/>
            <w:gridSpan w:val="3"/>
            <w:shd w:val="clear" w:color="auto" w:fill="auto"/>
          </w:tcPr>
          <w:p w14:paraId="5EA24D08" w14:textId="77777777" w:rsidR="003C66EB" w:rsidRDefault="003C66EB">
            <w:pPr>
              <w:rPr>
                <w:rFonts w:ascii="宋体"/>
                <w:vanish/>
              </w:rPr>
            </w:pPr>
          </w:p>
        </w:tc>
        <w:tc>
          <w:tcPr>
            <w:tcW w:w="0" w:type="auto"/>
            <w:gridSpan w:val="3"/>
            <w:shd w:val="clear" w:color="auto" w:fill="auto"/>
          </w:tcPr>
          <w:p w14:paraId="5EA24D09" w14:textId="77777777" w:rsidR="003C66EB" w:rsidRDefault="003C66EB">
            <w:pPr>
              <w:rPr>
                <w:rFonts w:ascii="宋体"/>
                <w:vanish/>
              </w:rPr>
            </w:pPr>
          </w:p>
        </w:tc>
        <w:tc>
          <w:tcPr>
            <w:tcW w:w="0" w:type="auto"/>
            <w:gridSpan w:val="3"/>
            <w:shd w:val="clear" w:color="auto" w:fill="auto"/>
          </w:tcPr>
          <w:p w14:paraId="5EA24D0A" w14:textId="77777777" w:rsidR="003C66EB" w:rsidRDefault="003C66EB">
            <w:pPr>
              <w:rPr>
                <w:rFonts w:ascii="宋体"/>
                <w:vanish/>
              </w:rPr>
            </w:pPr>
          </w:p>
        </w:tc>
        <w:tc>
          <w:tcPr>
            <w:tcW w:w="0" w:type="auto"/>
            <w:gridSpan w:val="3"/>
            <w:shd w:val="clear" w:color="auto" w:fill="auto"/>
          </w:tcPr>
          <w:p w14:paraId="5EA24D0B" w14:textId="77777777" w:rsidR="003C66EB" w:rsidRDefault="003C66EB">
            <w:pPr>
              <w:rPr>
                <w:rFonts w:ascii="宋体"/>
                <w:vanish/>
              </w:rPr>
            </w:pPr>
          </w:p>
        </w:tc>
        <w:tc>
          <w:tcPr>
            <w:tcW w:w="0" w:type="auto"/>
            <w:gridSpan w:val="3"/>
            <w:shd w:val="clear" w:color="auto" w:fill="auto"/>
          </w:tcPr>
          <w:p w14:paraId="5EA24D0C" w14:textId="77777777" w:rsidR="003C66EB" w:rsidRDefault="003C66EB">
            <w:pPr>
              <w:rPr>
                <w:rFonts w:ascii="宋体"/>
                <w:vanish/>
              </w:rPr>
            </w:pPr>
          </w:p>
        </w:tc>
        <w:tc>
          <w:tcPr>
            <w:tcW w:w="0" w:type="auto"/>
            <w:gridSpan w:val="3"/>
            <w:shd w:val="clear" w:color="auto" w:fill="auto"/>
          </w:tcPr>
          <w:p w14:paraId="5EA24D0D" w14:textId="77777777" w:rsidR="003C66EB" w:rsidRDefault="003C66EB">
            <w:pPr>
              <w:rPr>
                <w:rFonts w:ascii="宋体"/>
                <w:vanish/>
              </w:rPr>
            </w:pPr>
          </w:p>
        </w:tc>
        <w:tc>
          <w:tcPr>
            <w:tcW w:w="0" w:type="auto"/>
            <w:gridSpan w:val="3"/>
            <w:shd w:val="clear" w:color="auto" w:fill="auto"/>
          </w:tcPr>
          <w:p w14:paraId="5EA24D0E" w14:textId="77777777" w:rsidR="003C66EB" w:rsidRDefault="003C66EB">
            <w:pPr>
              <w:rPr>
                <w:rFonts w:ascii="宋体"/>
                <w:vanish/>
              </w:rPr>
            </w:pPr>
          </w:p>
        </w:tc>
        <w:tc>
          <w:tcPr>
            <w:tcW w:w="0" w:type="auto"/>
            <w:shd w:val="clear" w:color="auto" w:fill="auto"/>
          </w:tcPr>
          <w:p w14:paraId="5EA24D0F" w14:textId="77777777" w:rsidR="003C66EB" w:rsidRDefault="003C66EB">
            <w:pPr>
              <w:rPr>
                <w:rFonts w:ascii="宋体"/>
                <w:vanish/>
              </w:rPr>
            </w:pPr>
          </w:p>
        </w:tc>
        <w:tc>
          <w:tcPr>
            <w:tcW w:w="0" w:type="auto"/>
            <w:shd w:val="clear" w:color="auto" w:fill="auto"/>
          </w:tcPr>
          <w:p w14:paraId="5EA24D10" w14:textId="77777777" w:rsidR="003C66EB" w:rsidRDefault="003C66EB">
            <w:pPr>
              <w:rPr>
                <w:rFonts w:ascii="宋体"/>
                <w:vanish/>
              </w:rPr>
            </w:pPr>
          </w:p>
        </w:tc>
        <w:tc>
          <w:tcPr>
            <w:tcW w:w="0" w:type="auto"/>
            <w:gridSpan w:val="3"/>
            <w:shd w:val="clear" w:color="auto" w:fill="auto"/>
          </w:tcPr>
          <w:p w14:paraId="5EA24D11" w14:textId="77777777" w:rsidR="003C66EB" w:rsidRDefault="003C66EB">
            <w:pPr>
              <w:rPr>
                <w:rFonts w:ascii="宋体"/>
                <w:vanish/>
              </w:rPr>
            </w:pPr>
          </w:p>
        </w:tc>
        <w:tc>
          <w:tcPr>
            <w:tcW w:w="0" w:type="auto"/>
            <w:gridSpan w:val="3"/>
            <w:shd w:val="clear" w:color="auto" w:fill="auto"/>
          </w:tcPr>
          <w:p w14:paraId="5EA24D12" w14:textId="77777777" w:rsidR="003C66EB" w:rsidRDefault="003C66EB">
            <w:pPr>
              <w:rPr>
                <w:rFonts w:ascii="宋体"/>
                <w:vanish/>
              </w:rPr>
            </w:pPr>
          </w:p>
        </w:tc>
        <w:tc>
          <w:tcPr>
            <w:tcW w:w="0" w:type="auto"/>
            <w:gridSpan w:val="3"/>
            <w:shd w:val="clear" w:color="auto" w:fill="auto"/>
          </w:tcPr>
          <w:p w14:paraId="5EA24D13" w14:textId="77777777" w:rsidR="003C66EB" w:rsidRDefault="003C66EB">
            <w:pPr>
              <w:rPr>
                <w:rFonts w:ascii="宋体"/>
                <w:vanish/>
              </w:rPr>
            </w:pPr>
          </w:p>
        </w:tc>
        <w:tc>
          <w:tcPr>
            <w:tcW w:w="0" w:type="auto"/>
            <w:gridSpan w:val="3"/>
            <w:shd w:val="clear" w:color="auto" w:fill="auto"/>
          </w:tcPr>
          <w:p w14:paraId="5EA24D14" w14:textId="77777777" w:rsidR="003C66EB" w:rsidRDefault="003C66EB">
            <w:pPr>
              <w:rPr>
                <w:rFonts w:ascii="宋体"/>
                <w:vanish/>
              </w:rPr>
            </w:pPr>
          </w:p>
        </w:tc>
        <w:tc>
          <w:tcPr>
            <w:tcW w:w="0" w:type="auto"/>
            <w:gridSpan w:val="3"/>
            <w:shd w:val="clear" w:color="auto" w:fill="auto"/>
          </w:tcPr>
          <w:p w14:paraId="5EA24D15" w14:textId="77777777" w:rsidR="003C66EB" w:rsidRDefault="003C66EB">
            <w:pPr>
              <w:rPr>
                <w:rFonts w:ascii="宋体"/>
                <w:vanish/>
              </w:rPr>
            </w:pPr>
          </w:p>
        </w:tc>
      </w:tr>
      <w:tr w:rsidR="003C66EB" w14:paraId="5EA24D29" w14:textId="77777777">
        <w:trPr>
          <w:hidden/>
        </w:trPr>
        <w:tc>
          <w:tcPr>
            <w:tcW w:w="0" w:type="auto"/>
            <w:gridSpan w:val="3"/>
            <w:shd w:val="clear" w:color="auto" w:fill="auto"/>
          </w:tcPr>
          <w:p w14:paraId="5EA24D17" w14:textId="77777777" w:rsidR="003C66EB" w:rsidRDefault="003C66EB">
            <w:pPr>
              <w:rPr>
                <w:rFonts w:ascii="宋体"/>
                <w:vanish/>
              </w:rPr>
            </w:pPr>
          </w:p>
        </w:tc>
        <w:tc>
          <w:tcPr>
            <w:tcW w:w="0" w:type="auto"/>
            <w:gridSpan w:val="3"/>
            <w:shd w:val="clear" w:color="auto" w:fill="auto"/>
          </w:tcPr>
          <w:p w14:paraId="5EA24D18" w14:textId="77777777" w:rsidR="003C66EB" w:rsidRDefault="003C66EB">
            <w:pPr>
              <w:rPr>
                <w:rFonts w:ascii="宋体"/>
                <w:vanish/>
              </w:rPr>
            </w:pPr>
          </w:p>
        </w:tc>
        <w:tc>
          <w:tcPr>
            <w:tcW w:w="0" w:type="auto"/>
            <w:gridSpan w:val="3"/>
            <w:shd w:val="clear" w:color="auto" w:fill="auto"/>
          </w:tcPr>
          <w:p w14:paraId="5EA24D19" w14:textId="77777777" w:rsidR="003C66EB" w:rsidRDefault="003C66EB">
            <w:pPr>
              <w:rPr>
                <w:rFonts w:ascii="宋体"/>
                <w:vanish/>
              </w:rPr>
            </w:pPr>
          </w:p>
        </w:tc>
        <w:tc>
          <w:tcPr>
            <w:tcW w:w="0" w:type="auto"/>
            <w:gridSpan w:val="3"/>
            <w:shd w:val="clear" w:color="auto" w:fill="auto"/>
          </w:tcPr>
          <w:p w14:paraId="5EA24D1A" w14:textId="77777777" w:rsidR="003C66EB" w:rsidRDefault="003C66EB">
            <w:pPr>
              <w:rPr>
                <w:rFonts w:ascii="宋体"/>
                <w:vanish/>
              </w:rPr>
            </w:pPr>
          </w:p>
        </w:tc>
        <w:tc>
          <w:tcPr>
            <w:tcW w:w="0" w:type="auto"/>
            <w:gridSpan w:val="3"/>
            <w:shd w:val="clear" w:color="auto" w:fill="auto"/>
          </w:tcPr>
          <w:p w14:paraId="5EA24D1B" w14:textId="77777777" w:rsidR="003C66EB" w:rsidRDefault="003C66EB">
            <w:pPr>
              <w:rPr>
                <w:rFonts w:ascii="宋体"/>
                <w:vanish/>
              </w:rPr>
            </w:pPr>
          </w:p>
        </w:tc>
        <w:tc>
          <w:tcPr>
            <w:tcW w:w="0" w:type="auto"/>
            <w:gridSpan w:val="3"/>
            <w:shd w:val="clear" w:color="auto" w:fill="auto"/>
          </w:tcPr>
          <w:p w14:paraId="5EA24D1C" w14:textId="77777777" w:rsidR="003C66EB" w:rsidRDefault="003C66EB">
            <w:pPr>
              <w:rPr>
                <w:rFonts w:ascii="宋体"/>
                <w:vanish/>
              </w:rPr>
            </w:pPr>
          </w:p>
        </w:tc>
        <w:tc>
          <w:tcPr>
            <w:tcW w:w="0" w:type="auto"/>
            <w:gridSpan w:val="3"/>
            <w:shd w:val="clear" w:color="auto" w:fill="auto"/>
          </w:tcPr>
          <w:p w14:paraId="5EA24D1D" w14:textId="77777777" w:rsidR="003C66EB" w:rsidRDefault="003C66EB">
            <w:pPr>
              <w:rPr>
                <w:rFonts w:ascii="宋体"/>
                <w:vanish/>
              </w:rPr>
            </w:pPr>
          </w:p>
        </w:tc>
        <w:tc>
          <w:tcPr>
            <w:tcW w:w="0" w:type="auto"/>
            <w:gridSpan w:val="3"/>
            <w:shd w:val="clear" w:color="auto" w:fill="auto"/>
          </w:tcPr>
          <w:p w14:paraId="5EA24D1E" w14:textId="77777777" w:rsidR="003C66EB" w:rsidRDefault="003C66EB">
            <w:pPr>
              <w:rPr>
                <w:rFonts w:ascii="宋体"/>
                <w:vanish/>
              </w:rPr>
            </w:pPr>
          </w:p>
        </w:tc>
        <w:tc>
          <w:tcPr>
            <w:tcW w:w="0" w:type="auto"/>
            <w:gridSpan w:val="3"/>
            <w:shd w:val="clear" w:color="auto" w:fill="auto"/>
          </w:tcPr>
          <w:p w14:paraId="5EA24D1F" w14:textId="77777777" w:rsidR="003C66EB" w:rsidRDefault="003C66EB">
            <w:pPr>
              <w:rPr>
                <w:rFonts w:ascii="宋体"/>
                <w:vanish/>
              </w:rPr>
            </w:pPr>
          </w:p>
        </w:tc>
        <w:tc>
          <w:tcPr>
            <w:tcW w:w="0" w:type="auto"/>
            <w:gridSpan w:val="3"/>
            <w:shd w:val="clear" w:color="auto" w:fill="auto"/>
          </w:tcPr>
          <w:p w14:paraId="5EA24D20" w14:textId="77777777" w:rsidR="003C66EB" w:rsidRDefault="003C66EB">
            <w:pPr>
              <w:rPr>
                <w:rFonts w:ascii="宋体"/>
                <w:vanish/>
              </w:rPr>
            </w:pPr>
          </w:p>
        </w:tc>
        <w:tc>
          <w:tcPr>
            <w:tcW w:w="0" w:type="auto"/>
            <w:gridSpan w:val="3"/>
            <w:shd w:val="clear" w:color="auto" w:fill="auto"/>
          </w:tcPr>
          <w:p w14:paraId="5EA24D21" w14:textId="77777777" w:rsidR="003C66EB" w:rsidRDefault="003C66EB">
            <w:pPr>
              <w:rPr>
                <w:rFonts w:ascii="宋体"/>
                <w:vanish/>
              </w:rPr>
            </w:pPr>
          </w:p>
        </w:tc>
        <w:tc>
          <w:tcPr>
            <w:tcW w:w="0" w:type="auto"/>
            <w:shd w:val="clear" w:color="auto" w:fill="auto"/>
          </w:tcPr>
          <w:p w14:paraId="5EA24D22" w14:textId="77777777" w:rsidR="003C66EB" w:rsidRDefault="003C66EB">
            <w:pPr>
              <w:rPr>
                <w:rFonts w:ascii="宋体"/>
                <w:vanish/>
              </w:rPr>
            </w:pPr>
          </w:p>
        </w:tc>
        <w:tc>
          <w:tcPr>
            <w:tcW w:w="0" w:type="auto"/>
            <w:shd w:val="clear" w:color="auto" w:fill="auto"/>
          </w:tcPr>
          <w:p w14:paraId="5EA24D23" w14:textId="77777777" w:rsidR="003C66EB" w:rsidRDefault="003C66EB">
            <w:pPr>
              <w:rPr>
                <w:rFonts w:ascii="宋体"/>
                <w:vanish/>
              </w:rPr>
            </w:pPr>
          </w:p>
        </w:tc>
        <w:tc>
          <w:tcPr>
            <w:tcW w:w="0" w:type="auto"/>
            <w:gridSpan w:val="3"/>
            <w:shd w:val="clear" w:color="auto" w:fill="auto"/>
          </w:tcPr>
          <w:p w14:paraId="5EA24D24" w14:textId="77777777" w:rsidR="003C66EB" w:rsidRDefault="003C66EB">
            <w:pPr>
              <w:rPr>
                <w:rFonts w:ascii="宋体"/>
                <w:vanish/>
              </w:rPr>
            </w:pPr>
          </w:p>
        </w:tc>
        <w:tc>
          <w:tcPr>
            <w:tcW w:w="0" w:type="auto"/>
            <w:gridSpan w:val="3"/>
            <w:shd w:val="clear" w:color="auto" w:fill="auto"/>
          </w:tcPr>
          <w:p w14:paraId="5EA24D25" w14:textId="77777777" w:rsidR="003C66EB" w:rsidRDefault="003C66EB">
            <w:pPr>
              <w:rPr>
                <w:rFonts w:ascii="宋体"/>
                <w:vanish/>
              </w:rPr>
            </w:pPr>
          </w:p>
        </w:tc>
        <w:tc>
          <w:tcPr>
            <w:tcW w:w="0" w:type="auto"/>
            <w:gridSpan w:val="3"/>
            <w:shd w:val="clear" w:color="auto" w:fill="auto"/>
          </w:tcPr>
          <w:p w14:paraId="5EA24D26" w14:textId="77777777" w:rsidR="003C66EB" w:rsidRDefault="003C66EB">
            <w:pPr>
              <w:rPr>
                <w:rFonts w:ascii="宋体"/>
                <w:vanish/>
              </w:rPr>
            </w:pPr>
          </w:p>
        </w:tc>
        <w:tc>
          <w:tcPr>
            <w:tcW w:w="0" w:type="auto"/>
            <w:gridSpan w:val="3"/>
            <w:shd w:val="clear" w:color="auto" w:fill="auto"/>
          </w:tcPr>
          <w:p w14:paraId="5EA24D27" w14:textId="77777777" w:rsidR="003C66EB" w:rsidRDefault="003C66EB">
            <w:pPr>
              <w:rPr>
                <w:rFonts w:ascii="宋体"/>
                <w:vanish/>
              </w:rPr>
            </w:pPr>
          </w:p>
        </w:tc>
        <w:tc>
          <w:tcPr>
            <w:tcW w:w="0" w:type="auto"/>
            <w:gridSpan w:val="3"/>
            <w:shd w:val="clear" w:color="auto" w:fill="auto"/>
          </w:tcPr>
          <w:p w14:paraId="5EA24D28" w14:textId="77777777" w:rsidR="003C66EB" w:rsidRDefault="003C66EB">
            <w:pPr>
              <w:rPr>
                <w:rFonts w:ascii="宋体"/>
                <w:vanish/>
              </w:rPr>
            </w:pPr>
          </w:p>
        </w:tc>
      </w:tr>
      <w:tr w:rsidR="003C66EB" w14:paraId="5EA24D3C" w14:textId="77777777">
        <w:trPr>
          <w:hidden/>
        </w:trPr>
        <w:tc>
          <w:tcPr>
            <w:tcW w:w="0" w:type="auto"/>
            <w:gridSpan w:val="3"/>
            <w:shd w:val="clear" w:color="auto" w:fill="auto"/>
          </w:tcPr>
          <w:p w14:paraId="5EA24D2A" w14:textId="77777777" w:rsidR="003C66EB" w:rsidRDefault="003C66EB">
            <w:pPr>
              <w:rPr>
                <w:rFonts w:ascii="宋体"/>
                <w:vanish/>
              </w:rPr>
            </w:pPr>
          </w:p>
        </w:tc>
        <w:tc>
          <w:tcPr>
            <w:tcW w:w="0" w:type="auto"/>
            <w:gridSpan w:val="3"/>
            <w:shd w:val="clear" w:color="auto" w:fill="auto"/>
          </w:tcPr>
          <w:p w14:paraId="5EA24D2B" w14:textId="77777777" w:rsidR="003C66EB" w:rsidRDefault="003C66EB">
            <w:pPr>
              <w:rPr>
                <w:rFonts w:ascii="宋体"/>
                <w:vanish/>
              </w:rPr>
            </w:pPr>
          </w:p>
        </w:tc>
        <w:tc>
          <w:tcPr>
            <w:tcW w:w="0" w:type="auto"/>
            <w:gridSpan w:val="3"/>
            <w:shd w:val="clear" w:color="auto" w:fill="auto"/>
          </w:tcPr>
          <w:p w14:paraId="5EA24D2C" w14:textId="77777777" w:rsidR="003C66EB" w:rsidRDefault="003C66EB">
            <w:pPr>
              <w:rPr>
                <w:rFonts w:ascii="宋体"/>
                <w:vanish/>
              </w:rPr>
            </w:pPr>
          </w:p>
        </w:tc>
        <w:tc>
          <w:tcPr>
            <w:tcW w:w="0" w:type="auto"/>
            <w:gridSpan w:val="3"/>
            <w:shd w:val="clear" w:color="auto" w:fill="auto"/>
          </w:tcPr>
          <w:p w14:paraId="5EA24D2D" w14:textId="77777777" w:rsidR="003C66EB" w:rsidRDefault="003C66EB">
            <w:pPr>
              <w:rPr>
                <w:rFonts w:ascii="宋体"/>
                <w:vanish/>
              </w:rPr>
            </w:pPr>
          </w:p>
        </w:tc>
        <w:tc>
          <w:tcPr>
            <w:tcW w:w="0" w:type="auto"/>
            <w:gridSpan w:val="3"/>
            <w:shd w:val="clear" w:color="auto" w:fill="auto"/>
          </w:tcPr>
          <w:p w14:paraId="5EA24D2E" w14:textId="77777777" w:rsidR="003C66EB" w:rsidRDefault="003C66EB">
            <w:pPr>
              <w:rPr>
                <w:rFonts w:ascii="宋体"/>
                <w:vanish/>
              </w:rPr>
            </w:pPr>
          </w:p>
        </w:tc>
        <w:tc>
          <w:tcPr>
            <w:tcW w:w="0" w:type="auto"/>
            <w:gridSpan w:val="3"/>
            <w:shd w:val="clear" w:color="auto" w:fill="auto"/>
          </w:tcPr>
          <w:p w14:paraId="5EA24D2F" w14:textId="77777777" w:rsidR="003C66EB" w:rsidRDefault="003C66EB">
            <w:pPr>
              <w:rPr>
                <w:rFonts w:ascii="宋体"/>
                <w:vanish/>
              </w:rPr>
            </w:pPr>
          </w:p>
        </w:tc>
        <w:tc>
          <w:tcPr>
            <w:tcW w:w="0" w:type="auto"/>
            <w:gridSpan w:val="3"/>
            <w:shd w:val="clear" w:color="auto" w:fill="auto"/>
          </w:tcPr>
          <w:p w14:paraId="5EA24D30" w14:textId="77777777" w:rsidR="003C66EB" w:rsidRDefault="003C66EB">
            <w:pPr>
              <w:rPr>
                <w:rFonts w:ascii="宋体"/>
                <w:vanish/>
              </w:rPr>
            </w:pPr>
          </w:p>
        </w:tc>
        <w:tc>
          <w:tcPr>
            <w:tcW w:w="0" w:type="auto"/>
            <w:gridSpan w:val="3"/>
            <w:shd w:val="clear" w:color="auto" w:fill="auto"/>
          </w:tcPr>
          <w:p w14:paraId="5EA24D31" w14:textId="77777777" w:rsidR="003C66EB" w:rsidRDefault="003C66EB">
            <w:pPr>
              <w:rPr>
                <w:rFonts w:ascii="宋体"/>
                <w:vanish/>
              </w:rPr>
            </w:pPr>
          </w:p>
        </w:tc>
        <w:tc>
          <w:tcPr>
            <w:tcW w:w="0" w:type="auto"/>
            <w:gridSpan w:val="3"/>
            <w:shd w:val="clear" w:color="auto" w:fill="auto"/>
          </w:tcPr>
          <w:p w14:paraId="5EA24D32" w14:textId="77777777" w:rsidR="003C66EB" w:rsidRDefault="003C66EB">
            <w:pPr>
              <w:rPr>
                <w:rFonts w:ascii="宋体"/>
                <w:vanish/>
              </w:rPr>
            </w:pPr>
          </w:p>
        </w:tc>
        <w:tc>
          <w:tcPr>
            <w:tcW w:w="0" w:type="auto"/>
            <w:gridSpan w:val="3"/>
            <w:shd w:val="clear" w:color="auto" w:fill="auto"/>
          </w:tcPr>
          <w:p w14:paraId="5EA24D33" w14:textId="77777777" w:rsidR="003C66EB" w:rsidRDefault="003C66EB">
            <w:pPr>
              <w:rPr>
                <w:rFonts w:ascii="宋体"/>
                <w:vanish/>
              </w:rPr>
            </w:pPr>
          </w:p>
        </w:tc>
        <w:tc>
          <w:tcPr>
            <w:tcW w:w="0" w:type="auto"/>
            <w:gridSpan w:val="3"/>
            <w:shd w:val="clear" w:color="auto" w:fill="auto"/>
          </w:tcPr>
          <w:p w14:paraId="5EA24D34" w14:textId="77777777" w:rsidR="003C66EB" w:rsidRDefault="003C66EB">
            <w:pPr>
              <w:rPr>
                <w:rFonts w:ascii="宋体"/>
                <w:vanish/>
              </w:rPr>
            </w:pPr>
          </w:p>
        </w:tc>
        <w:tc>
          <w:tcPr>
            <w:tcW w:w="0" w:type="auto"/>
            <w:shd w:val="clear" w:color="auto" w:fill="auto"/>
          </w:tcPr>
          <w:p w14:paraId="5EA24D35" w14:textId="77777777" w:rsidR="003C66EB" w:rsidRDefault="003C66EB">
            <w:pPr>
              <w:rPr>
                <w:rFonts w:ascii="宋体"/>
                <w:vanish/>
              </w:rPr>
            </w:pPr>
          </w:p>
        </w:tc>
        <w:tc>
          <w:tcPr>
            <w:tcW w:w="0" w:type="auto"/>
            <w:shd w:val="clear" w:color="auto" w:fill="auto"/>
          </w:tcPr>
          <w:p w14:paraId="5EA24D36" w14:textId="77777777" w:rsidR="003C66EB" w:rsidRDefault="003C66EB">
            <w:pPr>
              <w:rPr>
                <w:rFonts w:ascii="宋体"/>
                <w:vanish/>
              </w:rPr>
            </w:pPr>
          </w:p>
        </w:tc>
        <w:tc>
          <w:tcPr>
            <w:tcW w:w="0" w:type="auto"/>
            <w:gridSpan w:val="3"/>
            <w:shd w:val="clear" w:color="auto" w:fill="auto"/>
          </w:tcPr>
          <w:p w14:paraId="5EA24D37" w14:textId="77777777" w:rsidR="003C66EB" w:rsidRDefault="003C66EB">
            <w:pPr>
              <w:rPr>
                <w:rFonts w:ascii="宋体"/>
                <w:vanish/>
              </w:rPr>
            </w:pPr>
          </w:p>
        </w:tc>
        <w:tc>
          <w:tcPr>
            <w:tcW w:w="0" w:type="auto"/>
            <w:gridSpan w:val="3"/>
            <w:shd w:val="clear" w:color="auto" w:fill="auto"/>
          </w:tcPr>
          <w:p w14:paraId="5EA24D38" w14:textId="77777777" w:rsidR="003C66EB" w:rsidRDefault="003C66EB">
            <w:pPr>
              <w:rPr>
                <w:rFonts w:ascii="宋体"/>
                <w:vanish/>
              </w:rPr>
            </w:pPr>
          </w:p>
        </w:tc>
        <w:tc>
          <w:tcPr>
            <w:tcW w:w="0" w:type="auto"/>
            <w:gridSpan w:val="3"/>
            <w:shd w:val="clear" w:color="auto" w:fill="auto"/>
          </w:tcPr>
          <w:p w14:paraId="5EA24D39" w14:textId="77777777" w:rsidR="003C66EB" w:rsidRDefault="003C66EB">
            <w:pPr>
              <w:rPr>
                <w:rFonts w:ascii="宋体"/>
                <w:vanish/>
              </w:rPr>
            </w:pPr>
          </w:p>
        </w:tc>
        <w:tc>
          <w:tcPr>
            <w:tcW w:w="0" w:type="auto"/>
            <w:gridSpan w:val="3"/>
            <w:shd w:val="clear" w:color="auto" w:fill="auto"/>
          </w:tcPr>
          <w:p w14:paraId="5EA24D3A" w14:textId="77777777" w:rsidR="003C66EB" w:rsidRDefault="003C66EB">
            <w:pPr>
              <w:rPr>
                <w:rFonts w:ascii="宋体"/>
                <w:vanish/>
              </w:rPr>
            </w:pPr>
          </w:p>
        </w:tc>
        <w:tc>
          <w:tcPr>
            <w:tcW w:w="0" w:type="auto"/>
            <w:gridSpan w:val="3"/>
            <w:shd w:val="clear" w:color="auto" w:fill="auto"/>
          </w:tcPr>
          <w:p w14:paraId="5EA24D3B" w14:textId="77777777" w:rsidR="003C66EB" w:rsidRDefault="003C66EB">
            <w:pPr>
              <w:rPr>
                <w:rFonts w:ascii="宋体"/>
                <w:vanish/>
              </w:rPr>
            </w:pPr>
          </w:p>
        </w:tc>
      </w:tr>
      <w:tr w:rsidR="003C66EB" w14:paraId="5EA24D4F" w14:textId="77777777">
        <w:trPr>
          <w:hidden/>
        </w:trPr>
        <w:tc>
          <w:tcPr>
            <w:tcW w:w="0" w:type="auto"/>
            <w:gridSpan w:val="3"/>
            <w:shd w:val="clear" w:color="auto" w:fill="auto"/>
          </w:tcPr>
          <w:p w14:paraId="5EA24D3D" w14:textId="77777777" w:rsidR="003C66EB" w:rsidRDefault="003C66EB">
            <w:pPr>
              <w:rPr>
                <w:rFonts w:ascii="宋体"/>
                <w:vanish/>
              </w:rPr>
            </w:pPr>
          </w:p>
        </w:tc>
        <w:tc>
          <w:tcPr>
            <w:tcW w:w="0" w:type="auto"/>
            <w:gridSpan w:val="3"/>
            <w:shd w:val="clear" w:color="auto" w:fill="auto"/>
          </w:tcPr>
          <w:p w14:paraId="5EA24D3E" w14:textId="77777777" w:rsidR="003C66EB" w:rsidRDefault="003C66EB">
            <w:pPr>
              <w:rPr>
                <w:rFonts w:ascii="宋体"/>
                <w:vanish/>
              </w:rPr>
            </w:pPr>
          </w:p>
        </w:tc>
        <w:tc>
          <w:tcPr>
            <w:tcW w:w="0" w:type="auto"/>
            <w:gridSpan w:val="3"/>
            <w:shd w:val="clear" w:color="auto" w:fill="auto"/>
          </w:tcPr>
          <w:p w14:paraId="5EA24D3F" w14:textId="77777777" w:rsidR="003C66EB" w:rsidRDefault="003C66EB">
            <w:pPr>
              <w:rPr>
                <w:rFonts w:ascii="宋体"/>
                <w:vanish/>
              </w:rPr>
            </w:pPr>
          </w:p>
        </w:tc>
        <w:tc>
          <w:tcPr>
            <w:tcW w:w="0" w:type="auto"/>
            <w:gridSpan w:val="3"/>
            <w:shd w:val="clear" w:color="auto" w:fill="auto"/>
          </w:tcPr>
          <w:p w14:paraId="5EA24D40" w14:textId="77777777" w:rsidR="003C66EB" w:rsidRDefault="003C66EB">
            <w:pPr>
              <w:rPr>
                <w:rFonts w:ascii="宋体"/>
                <w:vanish/>
              </w:rPr>
            </w:pPr>
          </w:p>
        </w:tc>
        <w:tc>
          <w:tcPr>
            <w:tcW w:w="0" w:type="auto"/>
            <w:gridSpan w:val="3"/>
            <w:shd w:val="clear" w:color="auto" w:fill="auto"/>
          </w:tcPr>
          <w:p w14:paraId="5EA24D41" w14:textId="77777777" w:rsidR="003C66EB" w:rsidRDefault="003C66EB">
            <w:pPr>
              <w:rPr>
                <w:rFonts w:ascii="宋体"/>
                <w:vanish/>
              </w:rPr>
            </w:pPr>
          </w:p>
        </w:tc>
        <w:tc>
          <w:tcPr>
            <w:tcW w:w="0" w:type="auto"/>
            <w:gridSpan w:val="3"/>
            <w:shd w:val="clear" w:color="auto" w:fill="auto"/>
          </w:tcPr>
          <w:p w14:paraId="5EA24D42" w14:textId="77777777" w:rsidR="003C66EB" w:rsidRDefault="003C66EB">
            <w:pPr>
              <w:rPr>
                <w:rFonts w:ascii="宋体"/>
                <w:vanish/>
              </w:rPr>
            </w:pPr>
          </w:p>
        </w:tc>
        <w:tc>
          <w:tcPr>
            <w:tcW w:w="0" w:type="auto"/>
            <w:gridSpan w:val="3"/>
            <w:shd w:val="clear" w:color="auto" w:fill="auto"/>
          </w:tcPr>
          <w:p w14:paraId="5EA24D43" w14:textId="77777777" w:rsidR="003C66EB" w:rsidRDefault="003C66EB">
            <w:pPr>
              <w:rPr>
                <w:rFonts w:ascii="宋体"/>
                <w:vanish/>
              </w:rPr>
            </w:pPr>
          </w:p>
        </w:tc>
        <w:tc>
          <w:tcPr>
            <w:tcW w:w="0" w:type="auto"/>
            <w:gridSpan w:val="3"/>
            <w:shd w:val="clear" w:color="auto" w:fill="auto"/>
          </w:tcPr>
          <w:p w14:paraId="5EA24D44" w14:textId="77777777" w:rsidR="003C66EB" w:rsidRDefault="003C66EB">
            <w:pPr>
              <w:rPr>
                <w:rFonts w:ascii="宋体"/>
                <w:vanish/>
              </w:rPr>
            </w:pPr>
          </w:p>
        </w:tc>
        <w:tc>
          <w:tcPr>
            <w:tcW w:w="0" w:type="auto"/>
            <w:gridSpan w:val="3"/>
            <w:shd w:val="clear" w:color="auto" w:fill="auto"/>
          </w:tcPr>
          <w:p w14:paraId="5EA24D45" w14:textId="77777777" w:rsidR="003C66EB" w:rsidRDefault="003C66EB">
            <w:pPr>
              <w:rPr>
                <w:rFonts w:ascii="宋体"/>
                <w:vanish/>
              </w:rPr>
            </w:pPr>
          </w:p>
        </w:tc>
        <w:tc>
          <w:tcPr>
            <w:tcW w:w="0" w:type="auto"/>
            <w:gridSpan w:val="3"/>
            <w:shd w:val="clear" w:color="auto" w:fill="auto"/>
          </w:tcPr>
          <w:p w14:paraId="5EA24D46" w14:textId="77777777" w:rsidR="003C66EB" w:rsidRDefault="003C66EB">
            <w:pPr>
              <w:rPr>
                <w:rFonts w:ascii="宋体"/>
                <w:vanish/>
              </w:rPr>
            </w:pPr>
          </w:p>
        </w:tc>
        <w:tc>
          <w:tcPr>
            <w:tcW w:w="0" w:type="auto"/>
            <w:gridSpan w:val="3"/>
            <w:shd w:val="clear" w:color="auto" w:fill="auto"/>
          </w:tcPr>
          <w:p w14:paraId="5EA24D47" w14:textId="77777777" w:rsidR="003C66EB" w:rsidRDefault="003C66EB">
            <w:pPr>
              <w:rPr>
                <w:rFonts w:ascii="宋体"/>
                <w:vanish/>
              </w:rPr>
            </w:pPr>
          </w:p>
        </w:tc>
        <w:tc>
          <w:tcPr>
            <w:tcW w:w="0" w:type="auto"/>
            <w:shd w:val="clear" w:color="auto" w:fill="auto"/>
          </w:tcPr>
          <w:p w14:paraId="5EA24D48" w14:textId="77777777" w:rsidR="003C66EB" w:rsidRDefault="003C66EB">
            <w:pPr>
              <w:rPr>
                <w:rFonts w:ascii="宋体"/>
                <w:vanish/>
              </w:rPr>
            </w:pPr>
          </w:p>
        </w:tc>
        <w:tc>
          <w:tcPr>
            <w:tcW w:w="0" w:type="auto"/>
            <w:shd w:val="clear" w:color="auto" w:fill="auto"/>
          </w:tcPr>
          <w:p w14:paraId="5EA24D49" w14:textId="77777777" w:rsidR="003C66EB" w:rsidRDefault="003C66EB">
            <w:pPr>
              <w:rPr>
                <w:rFonts w:ascii="宋体"/>
                <w:vanish/>
              </w:rPr>
            </w:pPr>
          </w:p>
        </w:tc>
        <w:tc>
          <w:tcPr>
            <w:tcW w:w="0" w:type="auto"/>
            <w:gridSpan w:val="3"/>
            <w:shd w:val="clear" w:color="auto" w:fill="auto"/>
          </w:tcPr>
          <w:p w14:paraId="5EA24D4A" w14:textId="77777777" w:rsidR="003C66EB" w:rsidRDefault="003C66EB">
            <w:pPr>
              <w:rPr>
                <w:rFonts w:ascii="宋体"/>
                <w:vanish/>
              </w:rPr>
            </w:pPr>
          </w:p>
        </w:tc>
        <w:tc>
          <w:tcPr>
            <w:tcW w:w="0" w:type="auto"/>
            <w:gridSpan w:val="3"/>
            <w:shd w:val="clear" w:color="auto" w:fill="auto"/>
          </w:tcPr>
          <w:p w14:paraId="5EA24D4B" w14:textId="77777777" w:rsidR="003C66EB" w:rsidRDefault="003C66EB">
            <w:pPr>
              <w:rPr>
                <w:rFonts w:ascii="宋体"/>
                <w:vanish/>
              </w:rPr>
            </w:pPr>
          </w:p>
        </w:tc>
        <w:tc>
          <w:tcPr>
            <w:tcW w:w="0" w:type="auto"/>
            <w:gridSpan w:val="3"/>
            <w:shd w:val="clear" w:color="auto" w:fill="auto"/>
          </w:tcPr>
          <w:p w14:paraId="5EA24D4C" w14:textId="77777777" w:rsidR="003C66EB" w:rsidRDefault="003C66EB">
            <w:pPr>
              <w:rPr>
                <w:rFonts w:ascii="宋体"/>
                <w:vanish/>
              </w:rPr>
            </w:pPr>
          </w:p>
        </w:tc>
        <w:tc>
          <w:tcPr>
            <w:tcW w:w="0" w:type="auto"/>
            <w:gridSpan w:val="3"/>
            <w:shd w:val="clear" w:color="auto" w:fill="auto"/>
          </w:tcPr>
          <w:p w14:paraId="5EA24D4D" w14:textId="77777777" w:rsidR="003C66EB" w:rsidRDefault="003C66EB">
            <w:pPr>
              <w:rPr>
                <w:rFonts w:ascii="宋体"/>
                <w:vanish/>
              </w:rPr>
            </w:pPr>
          </w:p>
        </w:tc>
        <w:tc>
          <w:tcPr>
            <w:tcW w:w="0" w:type="auto"/>
            <w:gridSpan w:val="3"/>
            <w:shd w:val="clear" w:color="auto" w:fill="auto"/>
          </w:tcPr>
          <w:p w14:paraId="5EA24D4E" w14:textId="77777777" w:rsidR="003C66EB" w:rsidRDefault="003C66EB">
            <w:pPr>
              <w:rPr>
                <w:rFonts w:ascii="宋体"/>
                <w:vanish/>
              </w:rPr>
            </w:pPr>
          </w:p>
        </w:tc>
      </w:tr>
      <w:tr w:rsidR="003C66EB" w14:paraId="5EA24D62" w14:textId="77777777">
        <w:trPr>
          <w:hidden/>
        </w:trPr>
        <w:tc>
          <w:tcPr>
            <w:tcW w:w="0" w:type="auto"/>
            <w:gridSpan w:val="3"/>
            <w:shd w:val="clear" w:color="auto" w:fill="auto"/>
          </w:tcPr>
          <w:p w14:paraId="5EA24D50" w14:textId="77777777" w:rsidR="003C66EB" w:rsidRDefault="003C66EB">
            <w:pPr>
              <w:rPr>
                <w:rFonts w:ascii="宋体"/>
                <w:vanish/>
              </w:rPr>
            </w:pPr>
          </w:p>
        </w:tc>
        <w:tc>
          <w:tcPr>
            <w:tcW w:w="0" w:type="auto"/>
            <w:gridSpan w:val="3"/>
            <w:shd w:val="clear" w:color="auto" w:fill="auto"/>
          </w:tcPr>
          <w:p w14:paraId="5EA24D51" w14:textId="77777777" w:rsidR="003C66EB" w:rsidRDefault="003C66EB">
            <w:pPr>
              <w:rPr>
                <w:rFonts w:ascii="宋体"/>
                <w:vanish/>
              </w:rPr>
            </w:pPr>
          </w:p>
        </w:tc>
        <w:tc>
          <w:tcPr>
            <w:tcW w:w="0" w:type="auto"/>
            <w:gridSpan w:val="3"/>
            <w:shd w:val="clear" w:color="auto" w:fill="auto"/>
          </w:tcPr>
          <w:p w14:paraId="5EA24D52" w14:textId="77777777" w:rsidR="003C66EB" w:rsidRDefault="003C66EB">
            <w:pPr>
              <w:rPr>
                <w:rFonts w:ascii="宋体"/>
                <w:vanish/>
              </w:rPr>
            </w:pPr>
          </w:p>
        </w:tc>
        <w:tc>
          <w:tcPr>
            <w:tcW w:w="0" w:type="auto"/>
            <w:gridSpan w:val="3"/>
            <w:shd w:val="clear" w:color="auto" w:fill="auto"/>
          </w:tcPr>
          <w:p w14:paraId="5EA24D53" w14:textId="77777777" w:rsidR="003C66EB" w:rsidRDefault="003C66EB">
            <w:pPr>
              <w:rPr>
                <w:rFonts w:ascii="宋体"/>
                <w:vanish/>
              </w:rPr>
            </w:pPr>
          </w:p>
        </w:tc>
        <w:tc>
          <w:tcPr>
            <w:tcW w:w="0" w:type="auto"/>
            <w:gridSpan w:val="3"/>
            <w:shd w:val="clear" w:color="auto" w:fill="auto"/>
          </w:tcPr>
          <w:p w14:paraId="5EA24D54" w14:textId="77777777" w:rsidR="003C66EB" w:rsidRDefault="003C66EB">
            <w:pPr>
              <w:rPr>
                <w:rFonts w:ascii="宋体"/>
                <w:vanish/>
              </w:rPr>
            </w:pPr>
          </w:p>
        </w:tc>
        <w:tc>
          <w:tcPr>
            <w:tcW w:w="0" w:type="auto"/>
            <w:gridSpan w:val="3"/>
            <w:shd w:val="clear" w:color="auto" w:fill="auto"/>
          </w:tcPr>
          <w:p w14:paraId="5EA24D55" w14:textId="77777777" w:rsidR="003C66EB" w:rsidRDefault="003C66EB">
            <w:pPr>
              <w:rPr>
                <w:rFonts w:ascii="宋体"/>
                <w:vanish/>
              </w:rPr>
            </w:pPr>
          </w:p>
        </w:tc>
        <w:tc>
          <w:tcPr>
            <w:tcW w:w="0" w:type="auto"/>
            <w:gridSpan w:val="3"/>
            <w:shd w:val="clear" w:color="auto" w:fill="auto"/>
          </w:tcPr>
          <w:p w14:paraId="5EA24D56" w14:textId="77777777" w:rsidR="003C66EB" w:rsidRDefault="003C66EB">
            <w:pPr>
              <w:rPr>
                <w:rFonts w:ascii="宋体"/>
                <w:vanish/>
              </w:rPr>
            </w:pPr>
          </w:p>
        </w:tc>
        <w:tc>
          <w:tcPr>
            <w:tcW w:w="0" w:type="auto"/>
            <w:gridSpan w:val="3"/>
            <w:shd w:val="clear" w:color="auto" w:fill="auto"/>
          </w:tcPr>
          <w:p w14:paraId="5EA24D57" w14:textId="77777777" w:rsidR="003C66EB" w:rsidRDefault="003C66EB">
            <w:pPr>
              <w:rPr>
                <w:rFonts w:ascii="宋体"/>
                <w:vanish/>
              </w:rPr>
            </w:pPr>
          </w:p>
        </w:tc>
        <w:tc>
          <w:tcPr>
            <w:tcW w:w="0" w:type="auto"/>
            <w:gridSpan w:val="3"/>
            <w:shd w:val="clear" w:color="auto" w:fill="auto"/>
          </w:tcPr>
          <w:p w14:paraId="5EA24D58" w14:textId="77777777" w:rsidR="003C66EB" w:rsidRDefault="003C66EB">
            <w:pPr>
              <w:rPr>
                <w:rFonts w:ascii="宋体"/>
                <w:vanish/>
              </w:rPr>
            </w:pPr>
          </w:p>
        </w:tc>
        <w:tc>
          <w:tcPr>
            <w:tcW w:w="0" w:type="auto"/>
            <w:gridSpan w:val="3"/>
            <w:shd w:val="clear" w:color="auto" w:fill="auto"/>
          </w:tcPr>
          <w:p w14:paraId="5EA24D59" w14:textId="77777777" w:rsidR="003C66EB" w:rsidRDefault="003C66EB">
            <w:pPr>
              <w:rPr>
                <w:rFonts w:ascii="宋体"/>
                <w:vanish/>
              </w:rPr>
            </w:pPr>
          </w:p>
        </w:tc>
        <w:tc>
          <w:tcPr>
            <w:tcW w:w="0" w:type="auto"/>
            <w:gridSpan w:val="3"/>
            <w:shd w:val="clear" w:color="auto" w:fill="auto"/>
          </w:tcPr>
          <w:p w14:paraId="5EA24D5A" w14:textId="77777777" w:rsidR="003C66EB" w:rsidRDefault="003C66EB">
            <w:pPr>
              <w:rPr>
                <w:rFonts w:ascii="宋体"/>
                <w:vanish/>
              </w:rPr>
            </w:pPr>
          </w:p>
        </w:tc>
        <w:tc>
          <w:tcPr>
            <w:tcW w:w="0" w:type="auto"/>
            <w:shd w:val="clear" w:color="auto" w:fill="auto"/>
          </w:tcPr>
          <w:p w14:paraId="5EA24D5B" w14:textId="77777777" w:rsidR="003C66EB" w:rsidRDefault="003C66EB">
            <w:pPr>
              <w:rPr>
                <w:rFonts w:ascii="宋体"/>
                <w:vanish/>
              </w:rPr>
            </w:pPr>
          </w:p>
        </w:tc>
        <w:tc>
          <w:tcPr>
            <w:tcW w:w="0" w:type="auto"/>
            <w:shd w:val="clear" w:color="auto" w:fill="auto"/>
          </w:tcPr>
          <w:p w14:paraId="5EA24D5C" w14:textId="77777777" w:rsidR="003C66EB" w:rsidRDefault="003C66EB">
            <w:pPr>
              <w:rPr>
                <w:rFonts w:ascii="宋体"/>
                <w:vanish/>
              </w:rPr>
            </w:pPr>
          </w:p>
        </w:tc>
        <w:tc>
          <w:tcPr>
            <w:tcW w:w="0" w:type="auto"/>
            <w:gridSpan w:val="3"/>
            <w:shd w:val="clear" w:color="auto" w:fill="auto"/>
          </w:tcPr>
          <w:p w14:paraId="5EA24D5D" w14:textId="77777777" w:rsidR="003C66EB" w:rsidRDefault="003C66EB">
            <w:pPr>
              <w:rPr>
                <w:rFonts w:ascii="宋体"/>
                <w:vanish/>
              </w:rPr>
            </w:pPr>
          </w:p>
        </w:tc>
        <w:tc>
          <w:tcPr>
            <w:tcW w:w="0" w:type="auto"/>
            <w:gridSpan w:val="3"/>
            <w:shd w:val="clear" w:color="auto" w:fill="auto"/>
          </w:tcPr>
          <w:p w14:paraId="5EA24D5E" w14:textId="77777777" w:rsidR="003C66EB" w:rsidRDefault="003C66EB">
            <w:pPr>
              <w:rPr>
                <w:rFonts w:ascii="宋体"/>
                <w:vanish/>
              </w:rPr>
            </w:pPr>
          </w:p>
        </w:tc>
        <w:tc>
          <w:tcPr>
            <w:tcW w:w="0" w:type="auto"/>
            <w:gridSpan w:val="3"/>
            <w:shd w:val="clear" w:color="auto" w:fill="auto"/>
          </w:tcPr>
          <w:p w14:paraId="5EA24D5F" w14:textId="77777777" w:rsidR="003C66EB" w:rsidRDefault="003C66EB">
            <w:pPr>
              <w:rPr>
                <w:rFonts w:ascii="宋体"/>
                <w:vanish/>
              </w:rPr>
            </w:pPr>
          </w:p>
        </w:tc>
        <w:tc>
          <w:tcPr>
            <w:tcW w:w="0" w:type="auto"/>
            <w:gridSpan w:val="3"/>
            <w:shd w:val="clear" w:color="auto" w:fill="auto"/>
          </w:tcPr>
          <w:p w14:paraId="5EA24D60" w14:textId="77777777" w:rsidR="003C66EB" w:rsidRDefault="003C66EB">
            <w:pPr>
              <w:rPr>
                <w:rFonts w:ascii="宋体"/>
                <w:vanish/>
              </w:rPr>
            </w:pPr>
          </w:p>
        </w:tc>
        <w:tc>
          <w:tcPr>
            <w:tcW w:w="0" w:type="auto"/>
            <w:gridSpan w:val="3"/>
            <w:shd w:val="clear" w:color="auto" w:fill="auto"/>
          </w:tcPr>
          <w:p w14:paraId="5EA24D61" w14:textId="77777777" w:rsidR="003C66EB" w:rsidRDefault="003C66EB">
            <w:pPr>
              <w:rPr>
                <w:rFonts w:ascii="宋体"/>
                <w:vanish/>
              </w:rPr>
            </w:pPr>
          </w:p>
        </w:tc>
      </w:tr>
      <w:tr w:rsidR="003C66EB" w14:paraId="5EA24D75" w14:textId="77777777">
        <w:trPr>
          <w:hidden/>
        </w:trPr>
        <w:tc>
          <w:tcPr>
            <w:tcW w:w="0" w:type="auto"/>
            <w:gridSpan w:val="3"/>
            <w:shd w:val="clear" w:color="auto" w:fill="auto"/>
          </w:tcPr>
          <w:p w14:paraId="5EA24D63" w14:textId="77777777" w:rsidR="003C66EB" w:rsidRDefault="003C66EB">
            <w:pPr>
              <w:rPr>
                <w:rFonts w:ascii="宋体"/>
                <w:vanish/>
              </w:rPr>
            </w:pPr>
          </w:p>
        </w:tc>
        <w:tc>
          <w:tcPr>
            <w:tcW w:w="0" w:type="auto"/>
            <w:gridSpan w:val="3"/>
            <w:shd w:val="clear" w:color="auto" w:fill="auto"/>
          </w:tcPr>
          <w:p w14:paraId="5EA24D64" w14:textId="77777777" w:rsidR="003C66EB" w:rsidRDefault="003C66EB">
            <w:pPr>
              <w:rPr>
                <w:rFonts w:ascii="宋体"/>
                <w:vanish/>
              </w:rPr>
            </w:pPr>
          </w:p>
        </w:tc>
        <w:tc>
          <w:tcPr>
            <w:tcW w:w="0" w:type="auto"/>
            <w:gridSpan w:val="3"/>
            <w:shd w:val="clear" w:color="auto" w:fill="auto"/>
          </w:tcPr>
          <w:p w14:paraId="5EA24D65" w14:textId="77777777" w:rsidR="003C66EB" w:rsidRDefault="003C66EB">
            <w:pPr>
              <w:rPr>
                <w:rFonts w:ascii="宋体"/>
                <w:vanish/>
              </w:rPr>
            </w:pPr>
          </w:p>
        </w:tc>
        <w:tc>
          <w:tcPr>
            <w:tcW w:w="0" w:type="auto"/>
            <w:gridSpan w:val="3"/>
            <w:shd w:val="clear" w:color="auto" w:fill="auto"/>
          </w:tcPr>
          <w:p w14:paraId="5EA24D66" w14:textId="77777777" w:rsidR="003C66EB" w:rsidRDefault="003C66EB">
            <w:pPr>
              <w:rPr>
                <w:rFonts w:ascii="宋体"/>
                <w:vanish/>
              </w:rPr>
            </w:pPr>
          </w:p>
        </w:tc>
        <w:tc>
          <w:tcPr>
            <w:tcW w:w="0" w:type="auto"/>
            <w:gridSpan w:val="3"/>
            <w:shd w:val="clear" w:color="auto" w:fill="auto"/>
          </w:tcPr>
          <w:p w14:paraId="5EA24D67" w14:textId="77777777" w:rsidR="003C66EB" w:rsidRDefault="003C66EB">
            <w:pPr>
              <w:rPr>
                <w:rFonts w:ascii="宋体"/>
                <w:vanish/>
              </w:rPr>
            </w:pPr>
          </w:p>
        </w:tc>
        <w:tc>
          <w:tcPr>
            <w:tcW w:w="0" w:type="auto"/>
            <w:gridSpan w:val="3"/>
            <w:shd w:val="clear" w:color="auto" w:fill="auto"/>
          </w:tcPr>
          <w:p w14:paraId="5EA24D68" w14:textId="77777777" w:rsidR="003C66EB" w:rsidRDefault="003C66EB">
            <w:pPr>
              <w:rPr>
                <w:rFonts w:ascii="宋体"/>
                <w:vanish/>
              </w:rPr>
            </w:pPr>
          </w:p>
        </w:tc>
        <w:tc>
          <w:tcPr>
            <w:tcW w:w="0" w:type="auto"/>
            <w:gridSpan w:val="3"/>
            <w:shd w:val="clear" w:color="auto" w:fill="auto"/>
          </w:tcPr>
          <w:p w14:paraId="5EA24D69" w14:textId="77777777" w:rsidR="003C66EB" w:rsidRDefault="003C66EB">
            <w:pPr>
              <w:rPr>
                <w:rFonts w:ascii="宋体"/>
                <w:vanish/>
              </w:rPr>
            </w:pPr>
          </w:p>
        </w:tc>
        <w:tc>
          <w:tcPr>
            <w:tcW w:w="0" w:type="auto"/>
            <w:gridSpan w:val="3"/>
            <w:shd w:val="clear" w:color="auto" w:fill="auto"/>
          </w:tcPr>
          <w:p w14:paraId="5EA24D6A" w14:textId="77777777" w:rsidR="003C66EB" w:rsidRDefault="003C66EB">
            <w:pPr>
              <w:rPr>
                <w:rFonts w:ascii="宋体"/>
                <w:vanish/>
              </w:rPr>
            </w:pPr>
          </w:p>
        </w:tc>
        <w:tc>
          <w:tcPr>
            <w:tcW w:w="0" w:type="auto"/>
            <w:gridSpan w:val="3"/>
            <w:shd w:val="clear" w:color="auto" w:fill="auto"/>
          </w:tcPr>
          <w:p w14:paraId="5EA24D6B" w14:textId="77777777" w:rsidR="003C66EB" w:rsidRDefault="003C66EB">
            <w:pPr>
              <w:rPr>
                <w:rFonts w:ascii="宋体"/>
                <w:vanish/>
              </w:rPr>
            </w:pPr>
          </w:p>
        </w:tc>
        <w:tc>
          <w:tcPr>
            <w:tcW w:w="0" w:type="auto"/>
            <w:gridSpan w:val="3"/>
            <w:shd w:val="clear" w:color="auto" w:fill="auto"/>
          </w:tcPr>
          <w:p w14:paraId="5EA24D6C" w14:textId="77777777" w:rsidR="003C66EB" w:rsidRDefault="003C66EB">
            <w:pPr>
              <w:rPr>
                <w:rFonts w:ascii="宋体"/>
                <w:vanish/>
              </w:rPr>
            </w:pPr>
          </w:p>
        </w:tc>
        <w:tc>
          <w:tcPr>
            <w:tcW w:w="0" w:type="auto"/>
            <w:gridSpan w:val="3"/>
            <w:shd w:val="clear" w:color="auto" w:fill="auto"/>
          </w:tcPr>
          <w:p w14:paraId="5EA24D6D" w14:textId="77777777" w:rsidR="003C66EB" w:rsidRDefault="003C66EB">
            <w:pPr>
              <w:rPr>
                <w:rFonts w:ascii="宋体"/>
                <w:vanish/>
              </w:rPr>
            </w:pPr>
          </w:p>
        </w:tc>
        <w:tc>
          <w:tcPr>
            <w:tcW w:w="0" w:type="auto"/>
            <w:shd w:val="clear" w:color="auto" w:fill="auto"/>
          </w:tcPr>
          <w:p w14:paraId="5EA24D6E" w14:textId="77777777" w:rsidR="003C66EB" w:rsidRDefault="003C66EB">
            <w:pPr>
              <w:rPr>
                <w:rFonts w:ascii="宋体"/>
                <w:vanish/>
              </w:rPr>
            </w:pPr>
          </w:p>
        </w:tc>
        <w:tc>
          <w:tcPr>
            <w:tcW w:w="0" w:type="auto"/>
            <w:shd w:val="clear" w:color="auto" w:fill="auto"/>
          </w:tcPr>
          <w:p w14:paraId="5EA24D6F" w14:textId="77777777" w:rsidR="003C66EB" w:rsidRDefault="003C66EB">
            <w:pPr>
              <w:rPr>
                <w:rFonts w:ascii="宋体"/>
                <w:vanish/>
              </w:rPr>
            </w:pPr>
          </w:p>
        </w:tc>
        <w:tc>
          <w:tcPr>
            <w:tcW w:w="0" w:type="auto"/>
            <w:gridSpan w:val="3"/>
            <w:shd w:val="clear" w:color="auto" w:fill="auto"/>
          </w:tcPr>
          <w:p w14:paraId="5EA24D70" w14:textId="77777777" w:rsidR="003C66EB" w:rsidRDefault="003C66EB">
            <w:pPr>
              <w:rPr>
                <w:rFonts w:ascii="宋体"/>
                <w:vanish/>
              </w:rPr>
            </w:pPr>
          </w:p>
        </w:tc>
        <w:tc>
          <w:tcPr>
            <w:tcW w:w="0" w:type="auto"/>
            <w:gridSpan w:val="3"/>
            <w:shd w:val="clear" w:color="auto" w:fill="auto"/>
          </w:tcPr>
          <w:p w14:paraId="5EA24D71" w14:textId="77777777" w:rsidR="003C66EB" w:rsidRDefault="003C66EB">
            <w:pPr>
              <w:rPr>
                <w:rFonts w:ascii="宋体"/>
                <w:vanish/>
              </w:rPr>
            </w:pPr>
          </w:p>
        </w:tc>
        <w:tc>
          <w:tcPr>
            <w:tcW w:w="0" w:type="auto"/>
            <w:gridSpan w:val="3"/>
            <w:shd w:val="clear" w:color="auto" w:fill="auto"/>
          </w:tcPr>
          <w:p w14:paraId="5EA24D72" w14:textId="77777777" w:rsidR="003C66EB" w:rsidRDefault="003C66EB">
            <w:pPr>
              <w:rPr>
                <w:rFonts w:ascii="宋体"/>
                <w:vanish/>
              </w:rPr>
            </w:pPr>
          </w:p>
        </w:tc>
        <w:tc>
          <w:tcPr>
            <w:tcW w:w="0" w:type="auto"/>
            <w:gridSpan w:val="3"/>
            <w:shd w:val="clear" w:color="auto" w:fill="auto"/>
          </w:tcPr>
          <w:p w14:paraId="5EA24D73" w14:textId="77777777" w:rsidR="003C66EB" w:rsidRDefault="003C66EB">
            <w:pPr>
              <w:rPr>
                <w:rFonts w:ascii="宋体"/>
                <w:vanish/>
              </w:rPr>
            </w:pPr>
          </w:p>
        </w:tc>
        <w:tc>
          <w:tcPr>
            <w:tcW w:w="0" w:type="auto"/>
            <w:gridSpan w:val="3"/>
            <w:shd w:val="clear" w:color="auto" w:fill="auto"/>
          </w:tcPr>
          <w:p w14:paraId="5EA24D74" w14:textId="77777777" w:rsidR="003C66EB" w:rsidRDefault="003C66EB">
            <w:pPr>
              <w:rPr>
                <w:rFonts w:ascii="宋体"/>
                <w:vanish/>
              </w:rPr>
            </w:pPr>
          </w:p>
        </w:tc>
      </w:tr>
      <w:tr w:rsidR="003C66EB" w14:paraId="5EA24D88" w14:textId="77777777">
        <w:trPr>
          <w:hidden/>
        </w:trPr>
        <w:tc>
          <w:tcPr>
            <w:tcW w:w="0" w:type="auto"/>
            <w:gridSpan w:val="3"/>
            <w:shd w:val="clear" w:color="auto" w:fill="auto"/>
          </w:tcPr>
          <w:p w14:paraId="5EA24D76" w14:textId="77777777" w:rsidR="003C66EB" w:rsidRDefault="003C66EB">
            <w:pPr>
              <w:rPr>
                <w:rFonts w:ascii="宋体"/>
                <w:vanish/>
              </w:rPr>
            </w:pPr>
          </w:p>
        </w:tc>
        <w:tc>
          <w:tcPr>
            <w:tcW w:w="0" w:type="auto"/>
            <w:gridSpan w:val="3"/>
            <w:shd w:val="clear" w:color="auto" w:fill="auto"/>
          </w:tcPr>
          <w:p w14:paraId="5EA24D77" w14:textId="77777777" w:rsidR="003C66EB" w:rsidRDefault="003C66EB">
            <w:pPr>
              <w:rPr>
                <w:rFonts w:ascii="宋体"/>
                <w:vanish/>
              </w:rPr>
            </w:pPr>
          </w:p>
        </w:tc>
        <w:tc>
          <w:tcPr>
            <w:tcW w:w="0" w:type="auto"/>
            <w:gridSpan w:val="3"/>
            <w:shd w:val="clear" w:color="auto" w:fill="auto"/>
          </w:tcPr>
          <w:p w14:paraId="5EA24D78" w14:textId="77777777" w:rsidR="003C66EB" w:rsidRDefault="003C66EB">
            <w:pPr>
              <w:rPr>
                <w:rFonts w:ascii="宋体"/>
                <w:vanish/>
              </w:rPr>
            </w:pPr>
          </w:p>
        </w:tc>
        <w:tc>
          <w:tcPr>
            <w:tcW w:w="0" w:type="auto"/>
            <w:gridSpan w:val="3"/>
            <w:shd w:val="clear" w:color="auto" w:fill="auto"/>
          </w:tcPr>
          <w:p w14:paraId="5EA24D79" w14:textId="77777777" w:rsidR="003C66EB" w:rsidRDefault="003C66EB">
            <w:pPr>
              <w:rPr>
                <w:rFonts w:ascii="宋体"/>
                <w:vanish/>
              </w:rPr>
            </w:pPr>
          </w:p>
        </w:tc>
        <w:tc>
          <w:tcPr>
            <w:tcW w:w="0" w:type="auto"/>
            <w:gridSpan w:val="3"/>
            <w:shd w:val="clear" w:color="auto" w:fill="auto"/>
          </w:tcPr>
          <w:p w14:paraId="5EA24D7A" w14:textId="77777777" w:rsidR="003C66EB" w:rsidRDefault="003C66EB">
            <w:pPr>
              <w:rPr>
                <w:rFonts w:ascii="宋体"/>
                <w:vanish/>
              </w:rPr>
            </w:pPr>
          </w:p>
        </w:tc>
        <w:tc>
          <w:tcPr>
            <w:tcW w:w="0" w:type="auto"/>
            <w:gridSpan w:val="3"/>
            <w:shd w:val="clear" w:color="auto" w:fill="auto"/>
          </w:tcPr>
          <w:p w14:paraId="5EA24D7B" w14:textId="77777777" w:rsidR="003C66EB" w:rsidRDefault="003C66EB">
            <w:pPr>
              <w:rPr>
                <w:rFonts w:ascii="宋体"/>
                <w:vanish/>
              </w:rPr>
            </w:pPr>
          </w:p>
        </w:tc>
        <w:tc>
          <w:tcPr>
            <w:tcW w:w="0" w:type="auto"/>
            <w:gridSpan w:val="3"/>
            <w:shd w:val="clear" w:color="auto" w:fill="auto"/>
          </w:tcPr>
          <w:p w14:paraId="5EA24D7C" w14:textId="77777777" w:rsidR="003C66EB" w:rsidRDefault="003C66EB">
            <w:pPr>
              <w:rPr>
                <w:rFonts w:ascii="宋体"/>
                <w:vanish/>
              </w:rPr>
            </w:pPr>
          </w:p>
        </w:tc>
        <w:tc>
          <w:tcPr>
            <w:tcW w:w="0" w:type="auto"/>
            <w:gridSpan w:val="3"/>
            <w:shd w:val="clear" w:color="auto" w:fill="auto"/>
          </w:tcPr>
          <w:p w14:paraId="5EA24D7D" w14:textId="77777777" w:rsidR="003C66EB" w:rsidRDefault="003C66EB">
            <w:pPr>
              <w:rPr>
                <w:rFonts w:ascii="宋体"/>
                <w:vanish/>
              </w:rPr>
            </w:pPr>
          </w:p>
        </w:tc>
        <w:tc>
          <w:tcPr>
            <w:tcW w:w="0" w:type="auto"/>
            <w:gridSpan w:val="3"/>
            <w:shd w:val="clear" w:color="auto" w:fill="auto"/>
          </w:tcPr>
          <w:p w14:paraId="5EA24D7E" w14:textId="77777777" w:rsidR="003C66EB" w:rsidRDefault="003C66EB">
            <w:pPr>
              <w:rPr>
                <w:rFonts w:ascii="宋体"/>
                <w:vanish/>
              </w:rPr>
            </w:pPr>
          </w:p>
        </w:tc>
        <w:tc>
          <w:tcPr>
            <w:tcW w:w="0" w:type="auto"/>
            <w:gridSpan w:val="3"/>
            <w:shd w:val="clear" w:color="auto" w:fill="auto"/>
          </w:tcPr>
          <w:p w14:paraId="5EA24D7F" w14:textId="77777777" w:rsidR="003C66EB" w:rsidRDefault="003C66EB">
            <w:pPr>
              <w:rPr>
                <w:rFonts w:ascii="宋体"/>
                <w:vanish/>
              </w:rPr>
            </w:pPr>
          </w:p>
        </w:tc>
        <w:tc>
          <w:tcPr>
            <w:tcW w:w="0" w:type="auto"/>
            <w:gridSpan w:val="3"/>
            <w:shd w:val="clear" w:color="auto" w:fill="auto"/>
          </w:tcPr>
          <w:p w14:paraId="5EA24D80" w14:textId="77777777" w:rsidR="003C66EB" w:rsidRDefault="003C66EB">
            <w:pPr>
              <w:rPr>
                <w:rFonts w:ascii="宋体"/>
                <w:vanish/>
              </w:rPr>
            </w:pPr>
          </w:p>
        </w:tc>
        <w:tc>
          <w:tcPr>
            <w:tcW w:w="0" w:type="auto"/>
            <w:shd w:val="clear" w:color="auto" w:fill="auto"/>
          </w:tcPr>
          <w:p w14:paraId="5EA24D81" w14:textId="77777777" w:rsidR="003C66EB" w:rsidRDefault="003C66EB">
            <w:pPr>
              <w:rPr>
                <w:rFonts w:ascii="宋体"/>
                <w:vanish/>
              </w:rPr>
            </w:pPr>
          </w:p>
        </w:tc>
        <w:tc>
          <w:tcPr>
            <w:tcW w:w="0" w:type="auto"/>
            <w:shd w:val="clear" w:color="auto" w:fill="auto"/>
          </w:tcPr>
          <w:p w14:paraId="5EA24D82" w14:textId="77777777" w:rsidR="003C66EB" w:rsidRDefault="003C66EB">
            <w:pPr>
              <w:rPr>
                <w:rFonts w:ascii="宋体"/>
                <w:vanish/>
              </w:rPr>
            </w:pPr>
          </w:p>
        </w:tc>
        <w:tc>
          <w:tcPr>
            <w:tcW w:w="0" w:type="auto"/>
            <w:gridSpan w:val="3"/>
            <w:shd w:val="clear" w:color="auto" w:fill="auto"/>
          </w:tcPr>
          <w:p w14:paraId="5EA24D83" w14:textId="77777777" w:rsidR="003C66EB" w:rsidRDefault="003C66EB">
            <w:pPr>
              <w:rPr>
                <w:rFonts w:ascii="宋体"/>
                <w:vanish/>
              </w:rPr>
            </w:pPr>
          </w:p>
        </w:tc>
        <w:tc>
          <w:tcPr>
            <w:tcW w:w="0" w:type="auto"/>
            <w:gridSpan w:val="3"/>
            <w:shd w:val="clear" w:color="auto" w:fill="auto"/>
          </w:tcPr>
          <w:p w14:paraId="5EA24D84" w14:textId="77777777" w:rsidR="003C66EB" w:rsidRDefault="003C66EB">
            <w:pPr>
              <w:rPr>
                <w:rFonts w:ascii="宋体"/>
                <w:vanish/>
              </w:rPr>
            </w:pPr>
          </w:p>
        </w:tc>
        <w:tc>
          <w:tcPr>
            <w:tcW w:w="0" w:type="auto"/>
            <w:gridSpan w:val="3"/>
            <w:shd w:val="clear" w:color="auto" w:fill="auto"/>
          </w:tcPr>
          <w:p w14:paraId="5EA24D85" w14:textId="77777777" w:rsidR="003C66EB" w:rsidRDefault="003C66EB">
            <w:pPr>
              <w:rPr>
                <w:rFonts w:ascii="宋体"/>
                <w:vanish/>
              </w:rPr>
            </w:pPr>
          </w:p>
        </w:tc>
        <w:tc>
          <w:tcPr>
            <w:tcW w:w="0" w:type="auto"/>
            <w:gridSpan w:val="3"/>
            <w:shd w:val="clear" w:color="auto" w:fill="auto"/>
          </w:tcPr>
          <w:p w14:paraId="5EA24D86" w14:textId="77777777" w:rsidR="003C66EB" w:rsidRDefault="003C66EB">
            <w:pPr>
              <w:rPr>
                <w:rFonts w:ascii="宋体"/>
                <w:vanish/>
              </w:rPr>
            </w:pPr>
          </w:p>
        </w:tc>
        <w:tc>
          <w:tcPr>
            <w:tcW w:w="0" w:type="auto"/>
            <w:gridSpan w:val="3"/>
            <w:shd w:val="clear" w:color="auto" w:fill="auto"/>
          </w:tcPr>
          <w:p w14:paraId="5EA24D87" w14:textId="77777777" w:rsidR="003C66EB" w:rsidRDefault="003C66EB">
            <w:pPr>
              <w:rPr>
                <w:rFonts w:ascii="宋体"/>
                <w:vanish/>
              </w:rPr>
            </w:pPr>
          </w:p>
        </w:tc>
      </w:tr>
      <w:tr w:rsidR="003C66EB" w14:paraId="5EA24D9B" w14:textId="77777777">
        <w:trPr>
          <w:hidden/>
        </w:trPr>
        <w:tc>
          <w:tcPr>
            <w:tcW w:w="0" w:type="auto"/>
            <w:gridSpan w:val="3"/>
            <w:shd w:val="clear" w:color="auto" w:fill="auto"/>
          </w:tcPr>
          <w:p w14:paraId="5EA24D89" w14:textId="77777777" w:rsidR="003C66EB" w:rsidRDefault="003C66EB">
            <w:pPr>
              <w:rPr>
                <w:rFonts w:ascii="宋体"/>
                <w:vanish/>
              </w:rPr>
            </w:pPr>
          </w:p>
        </w:tc>
        <w:tc>
          <w:tcPr>
            <w:tcW w:w="0" w:type="auto"/>
            <w:gridSpan w:val="3"/>
            <w:shd w:val="clear" w:color="auto" w:fill="auto"/>
          </w:tcPr>
          <w:p w14:paraId="5EA24D8A" w14:textId="77777777" w:rsidR="003C66EB" w:rsidRDefault="003C66EB">
            <w:pPr>
              <w:rPr>
                <w:rFonts w:ascii="宋体"/>
                <w:vanish/>
              </w:rPr>
            </w:pPr>
          </w:p>
        </w:tc>
        <w:tc>
          <w:tcPr>
            <w:tcW w:w="0" w:type="auto"/>
            <w:gridSpan w:val="3"/>
            <w:shd w:val="clear" w:color="auto" w:fill="auto"/>
          </w:tcPr>
          <w:p w14:paraId="5EA24D8B" w14:textId="77777777" w:rsidR="003C66EB" w:rsidRDefault="003C66EB">
            <w:pPr>
              <w:rPr>
                <w:rFonts w:ascii="宋体"/>
                <w:vanish/>
              </w:rPr>
            </w:pPr>
          </w:p>
        </w:tc>
        <w:tc>
          <w:tcPr>
            <w:tcW w:w="0" w:type="auto"/>
            <w:gridSpan w:val="3"/>
            <w:shd w:val="clear" w:color="auto" w:fill="auto"/>
          </w:tcPr>
          <w:p w14:paraId="5EA24D8C" w14:textId="77777777" w:rsidR="003C66EB" w:rsidRDefault="003C66EB">
            <w:pPr>
              <w:rPr>
                <w:rFonts w:ascii="宋体"/>
                <w:vanish/>
              </w:rPr>
            </w:pPr>
          </w:p>
        </w:tc>
        <w:tc>
          <w:tcPr>
            <w:tcW w:w="0" w:type="auto"/>
            <w:gridSpan w:val="3"/>
            <w:shd w:val="clear" w:color="auto" w:fill="auto"/>
          </w:tcPr>
          <w:p w14:paraId="5EA24D8D" w14:textId="77777777" w:rsidR="003C66EB" w:rsidRDefault="003C66EB">
            <w:pPr>
              <w:rPr>
                <w:rFonts w:ascii="宋体"/>
                <w:vanish/>
              </w:rPr>
            </w:pPr>
          </w:p>
        </w:tc>
        <w:tc>
          <w:tcPr>
            <w:tcW w:w="0" w:type="auto"/>
            <w:gridSpan w:val="3"/>
            <w:shd w:val="clear" w:color="auto" w:fill="auto"/>
          </w:tcPr>
          <w:p w14:paraId="5EA24D8E" w14:textId="77777777" w:rsidR="003C66EB" w:rsidRDefault="003C66EB">
            <w:pPr>
              <w:rPr>
                <w:rFonts w:ascii="宋体"/>
                <w:vanish/>
              </w:rPr>
            </w:pPr>
          </w:p>
        </w:tc>
        <w:tc>
          <w:tcPr>
            <w:tcW w:w="0" w:type="auto"/>
            <w:gridSpan w:val="3"/>
            <w:shd w:val="clear" w:color="auto" w:fill="auto"/>
          </w:tcPr>
          <w:p w14:paraId="5EA24D8F" w14:textId="77777777" w:rsidR="003C66EB" w:rsidRDefault="003C66EB">
            <w:pPr>
              <w:rPr>
                <w:rFonts w:ascii="宋体"/>
                <w:vanish/>
              </w:rPr>
            </w:pPr>
          </w:p>
        </w:tc>
        <w:tc>
          <w:tcPr>
            <w:tcW w:w="0" w:type="auto"/>
            <w:gridSpan w:val="3"/>
            <w:shd w:val="clear" w:color="auto" w:fill="auto"/>
          </w:tcPr>
          <w:p w14:paraId="5EA24D90" w14:textId="77777777" w:rsidR="003C66EB" w:rsidRDefault="003C66EB">
            <w:pPr>
              <w:rPr>
                <w:rFonts w:ascii="宋体"/>
                <w:vanish/>
              </w:rPr>
            </w:pPr>
          </w:p>
        </w:tc>
        <w:tc>
          <w:tcPr>
            <w:tcW w:w="0" w:type="auto"/>
            <w:gridSpan w:val="3"/>
            <w:shd w:val="clear" w:color="auto" w:fill="auto"/>
          </w:tcPr>
          <w:p w14:paraId="5EA24D91" w14:textId="77777777" w:rsidR="003C66EB" w:rsidRDefault="003C66EB">
            <w:pPr>
              <w:rPr>
                <w:rFonts w:ascii="宋体"/>
                <w:vanish/>
              </w:rPr>
            </w:pPr>
          </w:p>
        </w:tc>
        <w:tc>
          <w:tcPr>
            <w:tcW w:w="0" w:type="auto"/>
            <w:gridSpan w:val="3"/>
            <w:shd w:val="clear" w:color="auto" w:fill="auto"/>
          </w:tcPr>
          <w:p w14:paraId="5EA24D92" w14:textId="77777777" w:rsidR="003C66EB" w:rsidRDefault="003C66EB">
            <w:pPr>
              <w:rPr>
                <w:rFonts w:ascii="宋体"/>
                <w:vanish/>
              </w:rPr>
            </w:pPr>
          </w:p>
        </w:tc>
        <w:tc>
          <w:tcPr>
            <w:tcW w:w="0" w:type="auto"/>
            <w:gridSpan w:val="3"/>
            <w:shd w:val="clear" w:color="auto" w:fill="auto"/>
          </w:tcPr>
          <w:p w14:paraId="5EA24D93" w14:textId="77777777" w:rsidR="003C66EB" w:rsidRDefault="003C66EB">
            <w:pPr>
              <w:rPr>
                <w:rFonts w:ascii="宋体"/>
                <w:vanish/>
              </w:rPr>
            </w:pPr>
          </w:p>
        </w:tc>
        <w:tc>
          <w:tcPr>
            <w:tcW w:w="0" w:type="auto"/>
            <w:shd w:val="clear" w:color="auto" w:fill="auto"/>
          </w:tcPr>
          <w:p w14:paraId="5EA24D94" w14:textId="77777777" w:rsidR="003C66EB" w:rsidRDefault="003C66EB">
            <w:pPr>
              <w:rPr>
                <w:rFonts w:ascii="宋体"/>
                <w:vanish/>
              </w:rPr>
            </w:pPr>
          </w:p>
        </w:tc>
        <w:tc>
          <w:tcPr>
            <w:tcW w:w="0" w:type="auto"/>
            <w:shd w:val="clear" w:color="auto" w:fill="auto"/>
          </w:tcPr>
          <w:p w14:paraId="5EA24D95" w14:textId="77777777" w:rsidR="003C66EB" w:rsidRDefault="003C66EB">
            <w:pPr>
              <w:rPr>
                <w:rFonts w:ascii="宋体"/>
                <w:vanish/>
              </w:rPr>
            </w:pPr>
          </w:p>
        </w:tc>
        <w:tc>
          <w:tcPr>
            <w:tcW w:w="0" w:type="auto"/>
            <w:gridSpan w:val="3"/>
            <w:shd w:val="clear" w:color="auto" w:fill="auto"/>
          </w:tcPr>
          <w:p w14:paraId="5EA24D96" w14:textId="77777777" w:rsidR="003C66EB" w:rsidRDefault="003C66EB">
            <w:pPr>
              <w:rPr>
                <w:rFonts w:ascii="宋体"/>
                <w:vanish/>
              </w:rPr>
            </w:pPr>
          </w:p>
        </w:tc>
        <w:tc>
          <w:tcPr>
            <w:tcW w:w="0" w:type="auto"/>
            <w:gridSpan w:val="3"/>
            <w:shd w:val="clear" w:color="auto" w:fill="auto"/>
          </w:tcPr>
          <w:p w14:paraId="5EA24D97" w14:textId="77777777" w:rsidR="003C66EB" w:rsidRDefault="003C66EB">
            <w:pPr>
              <w:rPr>
                <w:rFonts w:ascii="宋体"/>
                <w:vanish/>
              </w:rPr>
            </w:pPr>
          </w:p>
        </w:tc>
        <w:tc>
          <w:tcPr>
            <w:tcW w:w="0" w:type="auto"/>
            <w:gridSpan w:val="3"/>
            <w:shd w:val="clear" w:color="auto" w:fill="auto"/>
          </w:tcPr>
          <w:p w14:paraId="5EA24D98" w14:textId="77777777" w:rsidR="003C66EB" w:rsidRDefault="003C66EB">
            <w:pPr>
              <w:rPr>
                <w:rFonts w:ascii="宋体"/>
                <w:vanish/>
              </w:rPr>
            </w:pPr>
          </w:p>
        </w:tc>
        <w:tc>
          <w:tcPr>
            <w:tcW w:w="0" w:type="auto"/>
            <w:gridSpan w:val="3"/>
            <w:shd w:val="clear" w:color="auto" w:fill="auto"/>
          </w:tcPr>
          <w:p w14:paraId="5EA24D99" w14:textId="77777777" w:rsidR="003C66EB" w:rsidRDefault="003C66EB">
            <w:pPr>
              <w:rPr>
                <w:rFonts w:ascii="宋体"/>
                <w:vanish/>
              </w:rPr>
            </w:pPr>
          </w:p>
        </w:tc>
        <w:tc>
          <w:tcPr>
            <w:tcW w:w="0" w:type="auto"/>
            <w:gridSpan w:val="3"/>
            <w:shd w:val="clear" w:color="auto" w:fill="auto"/>
          </w:tcPr>
          <w:p w14:paraId="5EA24D9A" w14:textId="77777777" w:rsidR="003C66EB" w:rsidRDefault="003C66EB">
            <w:pPr>
              <w:rPr>
                <w:rFonts w:ascii="宋体"/>
                <w:vanish/>
              </w:rPr>
            </w:pPr>
          </w:p>
        </w:tc>
      </w:tr>
      <w:tr w:rsidR="003C66EB" w14:paraId="5EA24DAE" w14:textId="77777777">
        <w:trPr>
          <w:hidden/>
        </w:trPr>
        <w:tc>
          <w:tcPr>
            <w:tcW w:w="0" w:type="auto"/>
            <w:gridSpan w:val="3"/>
            <w:shd w:val="clear" w:color="auto" w:fill="auto"/>
          </w:tcPr>
          <w:p w14:paraId="5EA24D9C" w14:textId="77777777" w:rsidR="003C66EB" w:rsidRDefault="003C66EB">
            <w:pPr>
              <w:rPr>
                <w:rFonts w:ascii="宋体"/>
                <w:vanish/>
              </w:rPr>
            </w:pPr>
          </w:p>
        </w:tc>
        <w:tc>
          <w:tcPr>
            <w:tcW w:w="0" w:type="auto"/>
            <w:gridSpan w:val="3"/>
            <w:shd w:val="clear" w:color="auto" w:fill="auto"/>
          </w:tcPr>
          <w:p w14:paraId="5EA24D9D" w14:textId="77777777" w:rsidR="003C66EB" w:rsidRDefault="003C66EB">
            <w:pPr>
              <w:rPr>
                <w:rFonts w:ascii="宋体"/>
                <w:vanish/>
              </w:rPr>
            </w:pPr>
          </w:p>
        </w:tc>
        <w:tc>
          <w:tcPr>
            <w:tcW w:w="0" w:type="auto"/>
            <w:gridSpan w:val="3"/>
            <w:shd w:val="clear" w:color="auto" w:fill="auto"/>
          </w:tcPr>
          <w:p w14:paraId="5EA24D9E" w14:textId="77777777" w:rsidR="003C66EB" w:rsidRDefault="003C66EB">
            <w:pPr>
              <w:rPr>
                <w:rFonts w:ascii="宋体"/>
                <w:vanish/>
              </w:rPr>
            </w:pPr>
          </w:p>
        </w:tc>
        <w:tc>
          <w:tcPr>
            <w:tcW w:w="0" w:type="auto"/>
            <w:gridSpan w:val="3"/>
            <w:shd w:val="clear" w:color="auto" w:fill="auto"/>
          </w:tcPr>
          <w:p w14:paraId="5EA24D9F" w14:textId="77777777" w:rsidR="003C66EB" w:rsidRDefault="003C66EB">
            <w:pPr>
              <w:rPr>
                <w:rFonts w:ascii="宋体"/>
                <w:vanish/>
              </w:rPr>
            </w:pPr>
          </w:p>
        </w:tc>
        <w:tc>
          <w:tcPr>
            <w:tcW w:w="0" w:type="auto"/>
            <w:gridSpan w:val="3"/>
            <w:shd w:val="clear" w:color="auto" w:fill="auto"/>
          </w:tcPr>
          <w:p w14:paraId="5EA24DA0" w14:textId="77777777" w:rsidR="003C66EB" w:rsidRDefault="003C66EB">
            <w:pPr>
              <w:rPr>
                <w:rFonts w:ascii="宋体"/>
                <w:vanish/>
              </w:rPr>
            </w:pPr>
          </w:p>
        </w:tc>
        <w:tc>
          <w:tcPr>
            <w:tcW w:w="0" w:type="auto"/>
            <w:gridSpan w:val="3"/>
            <w:shd w:val="clear" w:color="auto" w:fill="auto"/>
          </w:tcPr>
          <w:p w14:paraId="5EA24DA1" w14:textId="77777777" w:rsidR="003C66EB" w:rsidRDefault="003C66EB">
            <w:pPr>
              <w:rPr>
                <w:rFonts w:ascii="宋体"/>
                <w:vanish/>
              </w:rPr>
            </w:pPr>
          </w:p>
        </w:tc>
        <w:tc>
          <w:tcPr>
            <w:tcW w:w="0" w:type="auto"/>
            <w:gridSpan w:val="3"/>
            <w:shd w:val="clear" w:color="auto" w:fill="auto"/>
          </w:tcPr>
          <w:p w14:paraId="5EA24DA2" w14:textId="77777777" w:rsidR="003C66EB" w:rsidRDefault="003C66EB">
            <w:pPr>
              <w:rPr>
                <w:rFonts w:ascii="宋体"/>
                <w:vanish/>
              </w:rPr>
            </w:pPr>
          </w:p>
        </w:tc>
        <w:tc>
          <w:tcPr>
            <w:tcW w:w="0" w:type="auto"/>
            <w:gridSpan w:val="3"/>
            <w:shd w:val="clear" w:color="auto" w:fill="auto"/>
          </w:tcPr>
          <w:p w14:paraId="5EA24DA3" w14:textId="77777777" w:rsidR="003C66EB" w:rsidRDefault="003C66EB">
            <w:pPr>
              <w:rPr>
                <w:rFonts w:ascii="宋体"/>
                <w:vanish/>
              </w:rPr>
            </w:pPr>
          </w:p>
        </w:tc>
        <w:tc>
          <w:tcPr>
            <w:tcW w:w="0" w:type="auto"/>
            <w:gridSpan w:val="3"/>
            <w:shd w:val="clear" w:color="auto" w:fill="auto"/>
          </w:tcPr>
          <w:p w14:paraId="5EA24DA4" w14:textId="77777777" w:rsidR="003C66EB" w:rsidRDefault="003C66EB">
            <w:pPr>
              <w:rPr>
                <w:rFonts w:ascii="宋体"/>
                <w:vanish/>
              </w:rPr>
            </w:pPr>
          </w:p>
        </w:tc>
        <w:tc>
          <w:tcPr>
            <w:tcW w:w="0" w:type="auto"/>
            <w:gridSpan w:val="3"/>
            <w:shd w:val="clear" w:color="auto" w:fill="auto"/>
          </w:tcPr>
          <w:p w14:paraId="5EA24DA5" w14:textId="77777777" w:rsidR="003C66EB" w:rsidRDefault="003C66EB">
            <w:pPr>
              <w:rPr>
                <w:rFonts w:ascii="宋体"/>
                <w:vanish/>
              </w:rPr>
            </w:pPr>
          </w:p>
        </w:tc>
        <w:tc>
          <w:tcPr>
            <w:tcW w:w="0" w:type="auto"/>
            <w:gridSpan w:val="3"/>
            <w:shd w:val="clear" w:color="auto" w:fill="auto"/>
          </w:tcPr>
          <w:p w14:paraId="5EA24DA6" w14:textId="77777777" w:rsidR="003C66EB" w:rsidRDefault="003C66EB">
            <w:pPr>
              <w:rPr>
                <w:rFonts w:ascii="宋体"/>
                <w:vanish/>
              </w:rPr>
            </w:pPr>
          </w:p>
        </w:tc>
        <w:tc>
          <w:tcPr>
            <w:tcW w:w="0" w:type="auto"/>
            <w:shd w:val="clear" w:color="auto" w:fill="auto"/>
          </w:tcPr>
          <w:p w14:paraId="5EA24DA7" w14:textId="77777777" w:rsidR="003C66EB" w:rsidRDefault="003C66EB">
            <w:pPr>
              <w:rPr>
                <w:rFonts w:ascii="宋体"/>
                <w:vanish/>
              </w:rPr>
            </w:pPr>
          </w:p>
        </w:tc>
        <w:tc>
          <w:tcPr>
            <w:tcW w:w="0" w:type="auto"/>
            <w:shd w:val="clear" w:color="auto" w:fill="auto"/>
          </w:tcPr>
          <w:p w14:paraId="5EA24DA8" w14:textId="77777777" w:rsidR="003C66EB" w:rsidRDefault="003C66EB">
            <w:pPr>
              <w:rPr>
                <w:rFonts w:ascii="宋体"/>
                <w:vanish/>
              </w:rPr>
            </w:pPr>
          </w:p>
        </w:tc>
        <w:tc>
          <w:tcPr>
            <w:tcW w:w="0" w:type="auto"/>
            <w:gridSpan w:val="3"/>
            <w:shd w:val="clear" w:color="auto" w:fill="auto"/>
          </w:tcPr>
          <w:p w14:paraId="5EA24DA9" w14:textId="77777777" w:rsidR="003C66EB" w:rsidRDefault="003C66EB">
            <w:pPr>
              <w:rPr>
                <w:rFonts w:ascii="宋体"/>
                <w:vanish/>
              </w:rPr>
            </w:pPr>
          </w:p>
        </w:tc>
        <w:tc>
          <w:tcPr>
            <w:tcW w:w="0" w:type="auto"/>
            <w:gridSpan w:val="3"/>
            <w:shd w:val="clear" w:color="auto" w:fill="auto"/>
          </w:tcPr>
          <w:p w14:paraId="5EA24DAA" w14:textId="77777777" w:rsidR="003C66EB" w:rsidRDefault="003C66EB">
            <w:pPr>
              <w:rPr>
                <w:rFonts w:ascii="宋体"/>
                <w:vanish/>
              </w:rPr>
            </w:pPr>
          </w:p>
        </w:tc>
        <w:tc>
          <w:tcPr>
            <w:tcW w:w="0" w:type="auto"/>
            <w:gridSpan w:val="3"/>
            <w:shd w:val="clear" w:color="auto" w:fill="auto"/>
          </w:tcPr>
          <w:p w14:paraId="5EA24DAB" w14:textId="77777777" w:rsidR="003C66EB" w:rsidRDefault="003C66EB">
            <w:pPr>
              <w:rPr>
                <w:rFonts w:ascii="宋体"/>
                <w:vanish/>
              </w:rPr>
            </w:pPr>
          </w:p>
        </w:tc>
        <w:tc>
          <w:tcPr>
            <w:tcW w:w="0" w:type="auto"/>
            <w:gridSpan w:val="3"/>
            <w:shd w:val="clear" w:color="auto" w:fill="auto"/>
          </w:tcPr>
          <w:p w14:paraId="5EA24DAC" w14:textId="77777777" w:rsidR="003C66EB" w:rsidRDefault="003C66EB">
            <w:pPr>
              <w:rPr>
                <w:rFonts w:ascii="宋体"/>
                <w:vanish/>
              </w:rPr>
            </w:pPr>
          </w:p>
        </w:tc>
        <w:tc>
          <w:tcPr>
            <w:tcW w:w="0" w:type="auto"/>
            <w:gridSpan w:val="3"/>
            <w:shd w:val="clear" w:color="auto" w:fill="auto"/>
          </w:tcPr>
          <w:p w14:paraId="5EA24DAD" w14:textId="77777777" w:rsidR="003C66EB" w:rsidRDefault="003C66EB">
            <w:pPr>
              <w:rPr>
                <w:rFonts w:ascii="宋体"/>
                <w:vanish/>
              </w:rPr>
            </w:pPr>
          </w:p>
        </w:tc>
      </w:tr>
      <w:tr w:rsidR="003C66EB" w14:paraId="5EA24DC1" w14:textId="77777777">
        <w:trPr>
          <w:hidden/>
        </w:trPr>
        <w:tc>
          <w:tcPr>
            <w:tcW w:w="0" w:type="auto"/>
            <w:gridSpan w:val="3"/>
            <w:shd w:val="clear" w:color="auto" w:fill="auto"/>
          </w:tcPr>
          <w:p w14:paraId="5EA24DAF" w14:textId="77777777" w:rsidR="003C66EB" w:rsidRDefault="003C66EB">
            <w:pPr>
              <w:rPr>
                <w:rFonts w:ascii="宋体"/>
                <w:vanish/>
              </w:rPr>
            </w:pPr>
          </w:p>
        </w:tc>
        <w:tc>
          <w:tcPr>
            <w:tcW w:w="0" w:type="auto"/>
            <w:gridSpan w:val="3"/>
            <w:shd w:val="clear" w:color="auto" w:fill="auto"/>
          </w:tcPr>
          <w:p w14:paraId="5EA24DB0" w14:textId="77777777" w:rsidR="003C66EB" w:rsidRDefault="003C66EB">
            <w:pPr>
              <w:rPr>
                <w:rFonts w:ascii="宋体"/>
                <w:vanish/>
              </w:rPr>
            </w:pPr>
          </w:p>
        </w:tc>
        <w:tc>
          <w:tcPr>
            <w:tcW w:w="0" w:type="auto"/>
            <w:gridSpan w:val="3"/>
            <w:shd w:val="clear" w:color="auto" w:fill="auto"/>
          </w:tcPr>
          <w:p w14:paraId="5EA24DB1" w14:textId="77777777" w:rsidR="003C66EB" w:rsidRDefault="003C66EB">
            <w:pPr>
              <w:rPr>
                <w:rFonts w:ascii="宋体"/>
                <w:vanish/>
              </w:rPr>
            </w:pPr>
          </w:p>
        </w:tc>
        <w:tc>
          <w:tcPr>
            <w:tcW w:w="0" w:type="auto"/>
            <w:gridSpan w:val="3"/>
            <w:shd w:val="clear" w:color="auto" w:fill="auto"/>
          </w:tcPr>
          <w:p w14:paraId="5EA24DB2" w14:textId="77777777" w:rsidR="003C66EB" w:rsidRDefault="003C66EB">
            <w:pPr>
              <w:rPr>
                <w:rFonts w:ascii="宋体"/>
                <w:vanish/>
              </w:rPr>
            </w:pPr>
          </w:p>
        </w:tc>
        <w:tc>
          <w:tcPr>
            <w:tcW w:w="0" w:type="auto"/>
            <w:gridSpan w:val="3"/>
            <w:shd w:val="clear" w:color="auto" w:fill="auto"/>
          </w:tcPr>
          <w:p w14:paraId="5EA24DB3" w14:textId="77777777" w:rsidR="003C66EB" w:rsidRDefault="003C66EB">
            <w:pPr>
              <w:rPr>
                <w:rFonts w:ascii="宋体"/>
                <w:vanish/>
              </w:rPr>
            </w:pPr>
          </w:p>
        </w:tc>
        <w:tc>
          <w:tcPr>
            <w:tcW w:w="0" w:type="auto"/>
            <w:gridSpan w:val="3"/>
            <w:shd w:val="clear" w:color="auto" w:fill="auto"/>
          </w:tcPr>
          <w:p w14:paraId="5EA24DB4" w14:textId="77777777" w:rsidR="003C66EB" w:rsidRDefault="003C66EB">
            <w:pPr>
              <w:rPr>
                <w:rFonts w:ascii="宋体"/>
                <w:vanish/>
              </w:rPr>
            </w:pPr>
          </w:p>
        </w:tc>
        <w:tc>
          <w:tcPr>
            <w:tcW w:w="0" w:type="auto"/>
            <w:gridSpan w:val="3"/>
            <w:shd w:val="clear" w:color="auto" w:fill="auto"/>
          </w:tcPr>
          <w:p w14:paraId="5EA24DB5" w14:textId="77777777" w:rsidR="003C66EB" w:rsidRDefault="003C66EB">
            <w:pPr>
              <w:rPr>
                <w:rFonts w:ascii="宋体"/>
                <w:vanish/>
              </w:rPr>
            </w:pPr>
          </w:p>
        </w:tc>
        <w:tc>
          <w:tcPr>
            <w:tcW w:w="0" w:type="auto"/>
            <w:gridSpan w:val="3"/>
            <w:shd w:val="clear" w:color="auto" w:fill="auto"/>
          </w:tcPr>
          <w:p w14:paraId="5EA24DB6" w14:textId="77777777" w:rsidR="003C66EB" w:rsidRDefault="003C66EB">
            <w:pPr>
              <w:rPr>
                <w:rFonts w:ascii="宋体"/>
                <w:vanish/>
              </w:rPr>
            </w:pPr>
          </w:p>
        </w:tc>
        <w:tc>
          <w:tcPr>
            <w:tcW w:w="0" w:type="auto"/>
            <w:gridSpan w:val="3"/>
            <w:shd w:val="clear" w:color="auto" w:fill="auto"/>
          </w:tcPr>
          <w:p w14:paraId="5EA24DB7" w14:textId="77777777" w:rsidR="003C66EB" w:rsidRDefault="003C66EB">
            <w:pPr>
              <w:rPr>
                <w:rFonts w:ascii="宋体"/>
                <w:vanish/>
              </w:rPr>
            </w:pPr>
          </w:p>
        </w:tc>
        <w:tc>
          <w:tcPr>
            <w:tcW w:w="0" w:type="auto"/>
            <w:gridSpan w:val="3"/>
            <w:shd w:val="clear" w:color="auto" w:fill="auto"/>
          </w:tcPr>
          <w:p w14:paraId="5EA24DB8" w14:textId="77777777" w:rsidR="003C66EB" w:rsidRDefault="003C66EB">
            <w:pPr>
              <w:rPr>
                <w:rFonts w:ascii="宋体"/>
                <w:vanish/>
              </w:rPr>
            </w:pPr>
          </w:p>
        </w:tc>
        <w:tc>
          <w:tcPr>
            <w:tcW w:w="0" w:type="auto"/>
            <w:gridSpan w:val="3"/>
            <w:shd w:val="clear" w:color="auto" w:fill="auto"/>
          </w:tcPr>
          <w:p w14:paraId="5EA24DB9" w14:textId="77777777" w:rsidR="003C66EB" w:rsidRDefault="003C66EB">
            <w:pPr>
              <w:rPr>
                <w:rFonts w:ascii="宋体"/>
                <w:vanish/>
              </w:rPr>
            </w:pPr>
          </w:p>
        </w:tc>
        <w:tc>
          <w:tcPr>
            <w:tcW w:w="0" w:type="auto"/>
            <w:shd w:val="clear" w:color="auto" w:fill="auto"/>
          </w:tcPr>
          <w:p w14:paraId="5EA24DBA" w14:textId="77777777" w:rsidR="003C66EB" w:rsidRDefault="003C66EB">
            <w:pPr>
              <w:rPr>
                <w:rFonts w:ascii="宋体"/>
                <w:vanish/>
              </w:rPr>
            </w:pPr>
          </w:p>
        </w:tc>
        <w:tc>
          <w:tcPr>
            <w:tcW w:w="0" w:type="auto"/>
            <w:shd w:val="clear" w:color="auto" w:fill="auto"/>
          </w:tcPr>
          <w:p w14:paraId="5EA24DBB" w14:textId="77777777" w:rsidR="003C66EB" w:rsidRDefault="003C66EB">
            <w:pPr>
              <w:rPr>
                <w:rFonts w:ascii="宋体"/>
                <w:vanish/>
              </w:rPr>
            </w:pPr>
          </w:p>
        </w:tc>
        <w:tc>
          <w:tcPr>
            <w:tcW w:w="0" w:type="auto"/>
            <w:gridSpan w:val="3"/>
            <w:shd w:val="clear" w:color="auto" w:fill="auto"/>
          </w:tcPr>
          <w:p w14:paraId="5EA24DBC" w14:textId="77777777" w:rsidR="003C66EB" w:rsidRDefault="003C66EB">
            <w:pPr>
              <w:rPr>
                <w:rFonts w:ascii="宋体"/>
                <w:vanish/>
              </w:rPr>
            </w:pPr>
          </w:p>
        </w:tc>
        <w:tc>
          <w:tcPr>
            <w:tcW w:w="0" w:type="auto"/>
            <w:gridSpan w:val="3"/>
            <w:shd w:val="clear" w:color="auto" w:fill="auto"/>
          </w:tcPr>
          <w:p w14:paraId="5EA24DBD" w14:textId="77777777" w:rsidR="003C66EB" w:rsidRDefault="003C66EB">
            <w:pPr>
              <w:rPr>
                <w:rFonts w:ascii="宋体"/>
                <w:vanish/>
              </w:rPr>
            </w:pPr>
          </w:p>
        </w:tc>
        <w:tc>
          <w:tcPr>
            <w:tcW w:w="0" w:type="auto"/>
            <w:gridSpan w:val="3"/>
            <w:shd w:val="clear" w:color="auto" w:fill="auto"/>
          </w:tcPr>
          <w:p w14:paraId="5EA24DBE" w14:textId="77777777" w:rsidR="003C66EB" w:rsidRDefault="003C66EB">
            <w:pPr>
              <w:rPr>
                <w:rFonts w:ascii="宋体"/>
                <w:vanish/>
              </w:rPr>
            </w:pPr>
          </w:p>
        </w:tc>
        <w:tc>
          <w:tcPr>
            <w:tcW w:w="0" w:type="auto"/>
            <w:gridSpan w:val="3"/>
            <w:shd w:val="clear" w:color="auto" w:fill="auto"/>
          </w:tcPr>
          <w:p w14:paraId="5EA24DBF" w14:textId="77777777" w:rsidR="003C66EB" w:rsidRDefault="003C66EB">
            <w:pPr>
              <w:rPr>
                <w:rFonts w:ascii="宋体"/>
                <w:vanish/>
              </w:rPr>
            </w:pPr>
          </w:p>
        </w:tc>
        <w:tc>
          <w:tcPr>
            <w:tcW w:w="0" w:type="auto"/>
            <w:gridSpan w:val="3"/>
            <w:shd w:val="clear" w:color="auto" w:fill="auto"/>
          </w:tcPr>
          <w:p w14:paraId="5EA24DC0" w14:textId="77777777" w:rsidR="003C66EB" w:rsidRDefault="003C66EB">
            <w:pPr>
              <w:rPr>
                <w:rFonts w:ascii="宋体"/>
                <w:vanish/>
              </w:rPr>
            </w:pPr>
          </w:p>
        </w:tc>
      </w:tr>
      <w:tr w:rsidR="003C66EB" w14:paraId="5EA24DE4" w14:textId="77777777">
        <w:tc>
          <w:tcPr>
            <w:tcW w:w="0" w:type="auto"/>
            <w:gridSpan w:val="3"/>
            <w:shd w:val="clear" w:color="auto" w:fill="CCEEFF"/>
            <w:tcMar>
              <w:top w:w="40" w:type="dxa"/>
              <w:left w:w="20" w:type="dxa"/>
              <w:bottom w:w="40" w:type="dxa"/>
              <w:right w:w="20" w:type="dxa"/>
            </w:tcMar>
            <w:vAlign w:val="bottom"/>
          </w:tcPr>
          <w:p w14:paraId="5EA24DC2" w14:textId="77777777" w:rsidR="003C66EB" w:rsidRDefault="00D96C4E">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5EA24DC3"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4DC4" w14:textId="77777777" w:rsidR="003C66EB" w:rsidRDefault="00D96C4E">
            <w:pPr>
              <w:jc w:val="right"/>
              <w:textAlignment w:val="bottom"/>
            </w:pPr>
            <w:r>
              <w:rPr>
                <w:rFonts w:ascii="Arial" w:eastAsia="宋体" w:hAnsi="Arial" w:cs="Arial"/>
                <w:b/>
                <w:bCs/>
                <w:color w:val="000000"/>
                <w:sz w:val="14"/>
                <w:szCs w:val="14"/>
              </w:rPr>
              <w:t>8,034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D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C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DC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C8" w14:textId="77777777" w:rsidR="003C66EB" w:rsidRDefault="00D96C4E">
            <w:pPr>
              <w:jc w:val="right"/>
              <w:textAlignment w:val="bottom"/>
            </w:pPr>
            <w:r>
              <w:rPr>
                <w:rFonts w:ascii="Arial" w:eastAsia="宋体" w:hAnsi="Arial" w:cs="Arial"/>
                <w:color w:val="000000"/>
                <w:sz w:val="14"/>
                <w:szCs w:val="14"/>
              </w:rPr>
              <w:t>850 </w:t>
            </w:r>
          </w:p>
        </w:tc>
        <w:tc>
          <w:tcPr>
            <w:tcW w:w="0" w:type="auto"/>
            <w:shd w:val="clear" w:color="auto" w:fill="CCEEFF"/>
            <w:tcMar>
              <w:top w:w="40" w:type="dxa"/>
              <w:left w:w="0" w:type="dxa"/>
              <w:bottom w:w="40" w:type="dxa"/>
              <w:right w:w="20" w:type="dxa"/>
            </w:tcMar>
            <w:vAlign w:val="bottom"/>
          </w:tcPr>
          <w:p w14:paraId="5EA24D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C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DC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CC" w14:textId="77777777" w:rsidR="003C66EB" w:rsidRDefault="00D96C4E">
            <w:pPr>
              <w:jc w:val="right"/>
              <w:textAlignment w:val="bottom"/>
            </w:pPr>
            <w:r>
              <w:rPr>
                <w:rFonts w:ascii="Arial" w:eastAsia="宋体" w:hAnsi="Arial" w:cs="Arial"/>
                <w:color w:val="000000"/>
                <w:sz w:val="14"/>
                <w:szCs w:val="14"/>
              </w:rPr>
              <w:t>2,200 </w:t>
            </w:r>
          </w:p>
        </w:tc>
        <w:tc>
          <w:tcPr>
            <w:tcW w:w="0" w:type="auto"/>
            <w:shd w:val="clear" w:color="auto" w:fill="CCEEFF"/>
            <w:tcMar>
              <w:top w:w="40" w:type="dxa"/>
              <w:left w:w="0" w:type="dxa"/>
              <w:bottom w:w="40" w:type="dxa"/>
              <w:right w:w="20" w:type="dxa"/>
            </w:tcMar>
            <w:vAlign w:val="bottom"/>
          </w:tcPr>
          <w:p w14:paraId="5EA24DC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C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DC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D0" w14:textId="77777777" w:rsidR="003C66EB" w:rsidRDefault="00D96C4E">
            <w:pPr>
              <w:jc w:val="right"/>
              <w:textAlignment w:val="bottom"/>
            </w:pPr>
            <w:r>
              <w:rPr>
                <w:rFonts w:ascii="Arial" w:eastAsia="宋体" w:hAnsi="Arial" w:cs="Arial"/>
                <w:color w:val="000000"/>
                <w:sz w:val="14"/>
                <w:szCs w:val="14"/>
              </w:rPr>
              <w:t>1,806 </w:t>
            </w:r>
          </w:p>
        </w:tc>
        <w:tc>
          <w:tcPr>
            <w:tcW w:w="0" w:type="auto"/>
            <w:shd w:val="clear" w:color="auto" w:fill="CCEEFF"/>
            <w:tcMar>
              <w:top w:w="40" w:type="dxa"/>
              <w:left w:w="0" w:type="dxa"/>
              <w:bottom w:w="40" w:type="dxa"/>
              <w:right w:w="20" w:type="dxa"/>
            </w:tcMar>
            <w:vAlign w:val="bottom"/>
          </w:tcPr>
          <w:p w14:paraId="5EA24DD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D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DD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D4" w14:textId="77777777" w:rsidR="003C66EB" w:rsidRDefault="00D96C4E">
            <w:pPr>
              <w:jc w:val="right"/>
              <w:textAlignment w:val="bottom"/>
            </w:pPr>
            <w:r>
              <w:rPr>
                <w:rFonts w:ascii="Arial" w:eastAsia="宋体" w:hAnsi="Arial" w:cs="Arial"/>
                <w:color w:val="000000"/>
                <w:sz w:val="14"/>
                <w:szCs w:val="14"/>
              </w:rPr>
              <w:t>1,222 </w:t>
            </w:r>
          </w:p>
        </w:tc>
        <w:tc>
          <w:tcPr>
            <w:tcW w:w="0" w:type="auto"/>
            <w:shd w:val="clear" w:color="auto" w:fill="CCEEFF"/>
            <w:tcMar>
              <w:top w:w="40" w:type="dxa"/>
              <w:left w:w="0" w:type="dxa"/>
              <w:bottom w:w="40" w:type="dxa"/>
              <w:right w:w="20" w:type="dxa"/>
            </w:tcMar>
            <w:vAlign w:val="bottom"/>
          </w:tcPr>
          <w:p w14:paraId="5EA24D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D6" w14:textId="77777777" w:rsidR="003C66EB" w:rsidRDefault="003C66EB">
            <w:pPr>
              <w:rPr>
                <w:rFonts w:ascii="宋体"/>
              </w:rPr>
            </w:pPr>
          </w:p>
        </w:tc>
        <w:tc>
          <w:tcPr>
            <w:tcW w:w="0" w:type="auto"/>
            <w:shd w:val="clear" w:color="auto" w:fill="auto"/>
          </w:tcPr>
          <w:p w14:paraId="5EA24DD7" w14:textId="77777777" w:rsidR="003C66EB" w:rsidRDefault="003C66EB">
            <w:pPr>
              <w:rPr>
                <w:rFonts w:ascii="宋体"/>
                <w:vanish/>
              </w:rPr>
            </w:pPr>
          </w:p>
        </w:tc>
        <w:tc>
          <w:tcPr>
            <w:tcW w:w="0" w:type="auto"/>
            <w:shd w:val="clear" w:color="auto" w:fill="auto"/>
          </w:tcPr>
          <w:p w14:paraId="5EA24DD8"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4DD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DA" w14:textId="77777777" w:rsidR="003C66EB" w:rsidRDefault="00D96C4E">
            <w:pPr>
              <w:jc w:val="right"/>
              <w:textAlignment w:val="bottom"/>
            </w:pPr>
            <w:r>
              <w:rPr>
                <w:rFonts w:ascii="Arial" w:eastAsia="宋体" w:hAnsi="Arial" w:cs="Arial"/>
                <w:color w:val="000000"/>
                <w:sz w:val="14"/>
                <w:szCs w:val="14"/>
              </w:rPr>
              <w:t>560 </w:t>
            </w:r>
          </w:p>
        </w:tc>
        <w:tc>
          <w:tcPr>
            <w:tcW w:w="0" w:type="auto"/>
            <w:shd w:val="clear" w:color="auto" w:fill="CCEEFF"/>
            <w:tcMar>
              <w:top w:w="40" w:type="dxa"/>
              <w:left w:w="0" w:type="dxa"/>
              <w:bottom w:w="40" w:type="dxa"/>
              <w:right w:w="20" w:type="dxa"/>
            </w:tcMar>
            <w:vAlign w:val="bottom"/>
          </w:tcPr>
          <w:p w14:paraId="5EA24D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D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DD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DE" w14:textId="77777777" w:rsidR="003C66EB" w:rsidRDefault="00D96C4E">
            <w:pPr>
              <w:jc w:val="right"/>
              <w:textAlignment w:val="bottom"/>
            </w:pPr>
            <w:r>
              <w:rPr>
                <w:rFonts w:ascii="Arial" w:eastAsia="宋体" w:hAnsi="Arial" w:cs="Arial"/>
                <w:color w:val="000000"/>
                <w:sz w:val="14"/>
                <w:szCs w:val="14"/>
              </w:rPr>
              <w:t>16,913 </w:t>
            </w:r>
          </w:p>
        </w:tc>
        <w:tc>
          <w:tcPr>
            <w:tcW w:w="0" w:type="auto"/>
            <w:shd w:val="clear" w:color="auto" w:fill="CCEEFF"/>
            <w:tcMar>
              <w:top w:w="40" w:type="dxa"/>
              <w:left w:w="0" w:type="dxa"/>
              <w:bottom w:w="40" w:type="dxa"/>
              <w:right w:w="20" w:type="dxa"/>
            </w:tcMar>
            <w:vAlign w:val="bottom"/>
          </w:tcPr>
          <w:p w14:paraId="5EA24D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DE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DE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DE2" w14:textId="77777777" w:rsidR="003C66EB" w:rsidRDefault="00D96C4E">
            <w:pPr>
              <w:jc w:val="right"/>
              <w:textAlignment w:val="bottom"/>
            </w:pPr>
            <w:r>
              <w:rPr>
                <w:rFonts w:ascii="Arial" w:eastAsia="宋体" w:hAnsi="Arial" w:cs="Arial"/>
                <w:color w:val="000000"/>
                <w:sz w:val="14"/>
                <w:szCs w:val="14"/>
              </w:rPr>
              <w:t>31,585 </w:t>
            </w:r>
          </w:p>
        </w:tc>
        <w:tc>
          <w:tcPr>
            <w:tcW w:w="0" w:type="auto"/>
            <w:shd w:val="clear" w:color="auto" w:fill="CCEEFF"/>
            <w:tcMar>
              <w:top w:w="40" w:type="dxa"/>
              <w:left w:w="0" w:type="dxa"/>
              <w:bottom w:w="40" w:type="dxa"/>
              <w:right w:w="20" w:type="dxa"/>
            </w:tcMar>
            <w:vAlign w:val="bottom"/>
          </w:tcPr>
          <w:p w14:paraId="5EA24DE3" w14:textId="77777777" w:rsidR="003C66EB" w:rsidRDefault="003C66EB">
            <w:pPr>
              <w:jc w:val="right"/>
              <w:rPr>
                <w:rFonts w:ascii="宋体"/>
              </w:rPr>
            </w:pPr>
          </w:p>
        </w:tc>
      </w:tr>
      <w:tr w:rsidR="003C66EB" w14:paraId="5EA24DF7" w14:textId="77777777">
        <w:trPr>
          <w:hidden/>
        </w:trPr>
        <w:tc>
          <w:tcPr>
            <w:tcW w:w="0" w:type="auto"/>
            <w:gridSpan w:val="3"/>
            <w:shd w:val="clear" w:color="auto" w:fill="auto"/>
          </w:tcPr>
          <w:p w14:paraId="5EA24DE5" w14:textId="77777777" w:rsidR="003C66EB" w:rsidRDefault="003C66EB">
            <w:pPr>
              <w:rPr>
                <w:rFonts w:ascii="宋体"/>
                <w:vanish/>
              </w:rPr>
            </w:pPr>
          </w:p>
        </w:tc>
        <w:tc>
          <w:tcPr>
            <w:tcW w:w="0" w:type="auto"/>
            <w:gridSpan w:val="3"/>
            <w:shd w:val="clear" w:color="auto" w:fill="auto"/>
          </w:tcPr>
          <w:p w14:paraId="5EA24DE6" w14:textId="77777777" w:rsidR="003C66EB" w:rsidRDefault="003C66EB">
            <w:pPr>
              <w:rPr>
                <w:rFonts w:ascii="宋体"/>
                <w:vanish/>
              </w:rPr>
            </w:pPr>
          </w:p>
        </w:tc>
        <w:tc>
          <w:tcPr>
            <w:tcW w:w="0" w:type="auto"/>
            <w:gridSpan w:val="3"/>
            <w:shd w:val="clear" w:color="auto" w:fill="auto"/>
          </w:tcPr>
          <w:p w14:paraId="5EA24DE7" w14:textId="77777777" w:rsidR="003C66EB" w:rsidRDefault="003C66EB">
            <w:pPr>
              <w:rPr>
                <w:rFonts w:ascii="宋体"/>
                <w:vanish/>
              </w:rPr>
            </w:pPr>
          </w:p>
        </w:tc>
        <w:tc>
          <w:tcPr>
            <w:tcW w:w="0" w:type="auto"/>
            <w:gridSpan w:val="3"/>
            <w:shd w:val="clear" w:color="auto" w:fill="auto"/>
          </w:tcPr>
          <w:p w14:paraId="5EA24DE8" w14:textId="77777777" w:rsidR="003C66EB" w:rsidRDefault="003C66EB">
            <w:pPr>
              <w:rPr>
                <w:rFonts w:ascii="宋体"/>
                <w:vanish/>
              </w:rPr>
            </w:pPr>
          </w:p>
        </w:tc>
        <w:tc>
          <w:tcPr>
            <w:tcW w:w="0" w:type="auto"/>
            <w:gridSpan w:val="3"/>
            <w:shd w:val="clear" w:color="auto" w:fill="auto"/>
          </w:tcPr>
          <w:p w14:paraId="5EA24DE9" w14:textId="77777777" w:rsidR="003C66EB" w:rsidRDefault="003C66EB">
            <w:pPr>
              <w:rPr>
                <w:rFonts w:ascii="宋体"/>
                <w:vanish/>
              </w:rPr>
            </w:pPr>
          </w:p>
        </w:tc>
        <w:tc>
          <w:tcPr>
            <w:tcW w:w="0" w:type="auto"/>
            <w:gridSpan w:val="3"/>
            <w:shd w:val="clear" w:color="auto" w:fill="auto"/>
          </w:tcPr>
          <w:p w14:paraId="5EA24DEA" w14:textId="77777777" w:rsidR="003C66EB" w:rsidRDefault="003C66EB">
            <w:pPr>
              <w:rPr>
                <w:rFonts w:ascii="宋体"/>
                <w:vanish/>
              </w:rPr>
            </w:pPr>
          </w:p>
        </w:tc>
        <w:tc>
          <w:tcPr>
            <w:tcW w:w="0" w:type="auto"/>
            <w:gridSpan w:val="3"/>
            <w:shd w:val="clear" w:color="auto" w:fill="auto"/>
          </w:tcPr>
          <w:p w14:paraId="5EA24DEB" w14:textId="77777777" w:rsidR="003C66EB" w:rsidRDefault="003C66EB">
            <w:pPr>
              <w:rPr>
                <w:rFonts w:ascii="宋体"/>
                <w:vanish/>
              </w:rPr>
            </w:pPr>
          </w:p>
        </w:tc>
        <w:tc>
          <w:tcPr>
            <w:tcW w:w="0" w:type="auto"/>
            <w:gridSpan w:val="3"/>
            <w:shd w:val="clear" w:color="auto" w:fill="auto"/>
          </w:tcPr>
          <w:p w14:paraId="5EA24DEC" w14:textId="77777777" w:rsidR="003C66EB" w:rsidRDefault="003C66EB">
            <w:pPr>
              <w:rPr>
                <w:rFonts w:ascii="宋体"/>
                <w:vanish/>
              </w:rPr>
            </w:pPr>
          </w:p>
        </w:tc>
        <w:tc>
          <w:tcPr>
            <w:tcW w:w="0" w:type="auto"/>
            <w:gridSpan w:val="3"/>
            <w:shd w:val="clear" w:color="auto" w:fill="auto"/>
          </w:tcPr>
          <w:p w14:paraId="5EA24DED" w14:textId="77777777" w:rsidR="003C66EB" w:rsidRDefault="003C66EB">
            <w:pPr>
              <w:rPr>
                <w:rFonts w:ascii="宋体"/>
                <w:vanish/>
              </w:rPr>
            </w:pPr>
          </w:p>
        </w:tc>
        <w:tc>
          <w:tcPr>
            <w:tcW w:w="0" w:type="auto"/>
            <w:gridSpan w:val="3"/>
            <w:shd w:val="clear" w:color="auto" w:fill="auto"/>
          </w:tcPr>
          <w:p w14:paraId="5EA24DEE" w14:textId="77777777" w:rsidR="003C66EB" w:rsidRDefault="003C66EB">
            <w:pPr>
              <w:rPr>
                <w:rFonts w:ascii="宋体"/>
                <w:vanish/>
              </w:rPr>
            </w:pPr>
          </w:p>
        </w:tc>
        <w:tc>
          <w:tcPr>
            <w:tcW w:w="0" w:type="auto"/>
            <w:gridSpan w:val="3"/>
            <w:shd w:val="clear" w:color="auto" w:fill="auto"/>
          </w:tcPr>
          <w:p w14:paraId="5EA24DEF" w14:textId="77777777" w:rsidR="003C66EB" w:rsidRDefault="003C66EB">
            <w:pPr>
              <w:rPr>
                <w:rFonts w:ascii="宋体"/>
                <w:vanish/>
              </w:rPr>
            </w:pPr>
          </w:p>
        </w:tc>
        <w:tc>
          <w:tcPr>
            <w:tcW w:w="0" w:type="auto"/>
            <w:shd w:val="clear" w:color="auto" w:fill="auto"/>
          </w:tcPr>
          <w:p w14:paraId="5EA24DF0" w14:textId="77777777" w:rsidR="003C66EB" w:rsidRDefault="003C66EB">
            <w:pPr>
              <w:rPr>
                <w:rFonts w:ascii="宋体"/>
                <w:vanish/>
              </w:rPr>
            </w:pPr>
          </w:p>
        </w:tc>
        <w:tc>
          <w:tcPr>
            <w:tcW w:w="0" w:type="auto"/>
            <w:shd w:val="clear" w:color="auto" w:fill="auto"/>
          </w:tcPr>
          <w:p w14:paraId="5EA24DF1" w14:textId="77777777" w:rsidR="003C66EB" w:rsidRDefault="003C66EB">
            <w:pPr>
              <w:rPr>
                <w:rFonts w:ascii="宋体"/>
                <w:vanish/>
              </w:rPr>
            </w:pPr>
          </w:p>
        </w:tc>
        <w:tc>
          <w:tcPr>
            <w:tcW w:w="0" w:type="auto"/>
            <w:gridSpan w:val="3"/>
            <w:shd w:val="clear" w:color="auto" w:fill="auto"/>
          </w:tcPr>
          <w:p w14:paraId="5EA24DF2" w14:textId="77777777" w:rsidR="003C66EB" w:rsidRDefault="003C66EB">
            <w:pPr>
              <w:rPr>
                <w:rFonts w:ascii="宋体"/>
                <w:vanish/>
              </w:rPr>
            </w:pPr>
          </w:p>
        </w:tc>
        <w:tc>
          <w:tcPr>
            <w:tcW w:w="0" w:type="auto"/>
            <w:gridSpan w:val="3"/>
            <w:shd w:val="clear" w:color="auto" w:fill="auto"/>
          </w:tcPr>
          <w:p w14:paraId="5EA24DF3" w14:textId="77777777" w:rsidR="003C66EB" w:rsidRDefault="003C66EB">
            <w:pPr>
              <w:rPr>
                <w:rFonts w:ascii="宋体"/>
                <w:vanish/>
              </w:rPr>
            </w:pPr>
          </w:p>
        </w:tc>
        <w:tc>
          <w:tcPr>
            <w:tcW w:w="0" w:type="auto"/>
            <w:gridSpan w:val="3"/>
            <w:shd w:val="clear" w:color="auto" w:fill="auto"/>
          </w:tcPr>
          <w:p w14:paraId="5EA24DF4" w14:textId="77777777" w:rsidR="003C66EB" w:rsidRDefault="003C66EB">
            <w:pPr>
              <w:rPr>
                <w:rFonts w:ascii="宋体"/>
                <w:vanish/>
              </w:rPr>
            </w:pPr>
          </w:p>
        </w:tc>
        <w:tc>
          <w:tcPr>
            <w:tcW w:w="0" w:type="auto"/>
            <w:gridSpan w:val="3"/>
            <w:shd w:val="clear" w:color="auto" w:fill="auto"/>
          </w:tcPr>
          <w:p w14:paraId="5EA24DF5" w14:textId="77777777" w:rsidR="003C66EB" w:rsidRDefault="003C66EB">
            <w:pPr>
              <w:rPr>
                <w:rFonts w:ascii="宋体"/>
                <w:vanish/>
              </w:rPr>
            </w:pPr>
          </w:p>
        </w:tc>
        <w:tc>
          <w:tcPr>
            <w:tcW w:w="0" w:type="auto"/>
            <w:gridSpan w:val="3"/>
            <w:shd w:val="clear" w:color="auto" w:fill="auto"/>
          </w:tcPr>
          <w:p w14:paraId="5EA24DF6" w14:textId="77777777" w:rsidR="003C66EB" w:rsidRDefault="003C66EB">
            <w:pPr>
              <w:rPr>
                <w:rFonts w:ascii="宋体"/>
                <w:vanish/>
              </w:rPr>
            </w:pPr>
          </w:p>
        </w:tc>
      </w:tr>
      <w:tr w:rsidR="003C66EB" w14:paraId="5EA24E0A" w14:textId="77777777">
        <w:trPr>
          <w:hidden/>
        </w:trPr>
        <w:tc>
          <w:tcPr>
            <w:tcW w:w="0" w:type="auto"/>
            <w:gridSpan w:val="3"/>
            <w:shd w:val="clear" w:color="auto" w:fill="auto"/>
          </w:tcPr>
          <w:p w14:paraId="5EA24DF8" w14:textId="77777777" w:rsidR="003C66EB" w:rsidRDefault="003C66EB">
            <w:pPr>
              <w:rPr>
                <w:rFonts w:ascii="宋体"/>
                <w:vanish/>
              </w:rPr>
            </w:pPr>
          </w:p>
        </w:tc>
        <w:tc>
          <w:tcPr>
            <w:tcW w:w="0" w:type="auto"/>
            <w:gridSpan w:val="3"/>
            <w:shd w:val="clear" w:color="auto" w:fill="auto"/>
          </w:tcPr>
          <w:p w14:paraId="5EA24DF9" w14:textId="77777777" w:rsidR="003C66EB" w:rsidRDefault="003C66EB">
            <w:pPr>
              <w:rPr>
                <w:rFonts w:ascii="宋体"/>
                <w:vanish/>
              </w:rPr>
            </w:pPr>
          </w:p>
        </w:tc>
        <w:tc>
          <w:tcPr>
            <w:tcW w:w="0" w:type="auto"/>
            <w:gridSpan w:val="3"/>
            <w:shd w:val="clear" w:color="auto" w:fill="auto"/>
          </w:tcPr>
          <w:p w14:paraId="5EA24DFA" w14:textId="77777777" w:rsidR="003C66EB" w:rsidRDefault="003C66EB">
            <w:pPr>
              <w:rPr>
                <w:rFonts w:ascii="宋体"/>
                <w:vanish/>
              </w:rPr>
            </w:pPr>
          </w:p>
        </w:tc>
        <w:tc>
          <w:tcPr>
            <w:tcW w:w="0" w:type="auto"/>
            <w:gridSpan w:val="3"/>
            <w:shd w:val="clear" w:color="auto" w:fill="auto"/>
          </w:tcPr>
          <w:p w14:paraId="5EA24DFB" w14:textId="77777777" w:rsidR="003C66EB" w:rsidRDefault="003C66EB">
            <w:pPr>
              <w:rPr>
                <w:rFonts w:ascii="宋体"/>
                <w:vanish/>
              </w:rPr>
            </w:pPr>
          </w:p>
        </w:tc>
        <w:tc>
          <w:tcPr>
            <w:tcW w:w="0" w:type="auto"/>
            <w:gridSpan w:val="3"/>
            <w:shd w:val="clear" w:color="auto" w:fill="auto"/>
          </w:tcPr>
          <w:p w14:paraId="5EA24DFC" w14:textId="77777777" w:rsidR="003C66EB" w:rsidRDefault="003C66EB">
            <w:pPr>
              <w:rPr>
                <w:rFonts w:ascii="宋体"/>
                <w:vanish/>
              </w:rPr>
            </w:pPr>
          </w:p>
        </w:tc>
        <w:tc>
          <w:tcPr>
            <w:tcW w:w="0" w:type="auto"/>
            <w:gridSpan w:val="3"/>
            <w:shd w:val="clear" w:color="auto" w:fill="auto"/>
          </w:tcPr>
          <w:p w14:paraId="5EA24DFD" w14:textId="77777777" w:rsidR="003C66EB" w:rsidRDefault="003C66EB">
            <w:pPr>
              <w:rPr>
                <w:rFonts w:ascii="宋体"/>
                <w:vanish/>
              </w:rPr>
            </w:pPr>
          </w:p>
        </w:tc>
        <w:tc>
          <w:tcPr>
            <w:tcW w:w="0" w:type="auto"/>
            <w:gridSpan w:val="3"/>
            <w:shd w:val="clear" w:color="auto" w:fill="auto"/>
          </w:tcPr>
          <w:p w14:paraId="5EA24DFE" w14:textId="77777777" w:rsidR="003C66EB" w:rsidRDefault="003C66EB">
            <w:pPr>
              <w:rPr>
                <w:rFonts w:ascii="宋体"/>
                <w:vanish/>
              </w:rPr>
            </w:pPr>
          </w:p>
        </w:tc>
        <w:tc>
          <w:tcPr>
            <w:tcW w:w="0" w:type="auto"/>
            <w:gridSpan w:val="3"/>
            <w:shd w:val="clear" w:color="auto" w:fill="auto"/>
          </w:tcPr>
          <w:p w14:paraId="5EA24DFF" w14:textId="77777777" w:rsidR="003C66EB" w:rsidRDefault="003C66EB">
            <w:pPr>
              <w:rPr>
                <w:rFonts w:ascii="宋体"/>
                <w:vanish/>
              </w:rPr>
            </w:pPr>
          </w:p>
        </w:tc>
        <w:tc>
          <w:tcPr>
            <w:tcW w:w="0" w:type="auto"/>
            <w:gridSpan w:val="3"/>
            <w:shd w:val="clear" w:color="auto" w:fill="auto"/>
          </w:tcPr>
          <w:p w14:paraId="5EA24E00" w14:textId="77777777" w:rsidR="003C66EB" w:rsidRDefault="003C66EB">
            <w:pPr>
              <w:rPr>
                <w:rFonts w:ascii="宋体"/>
                <w:vanish/>
              </w:rPr>
            </w:pPr>
          </w:p>
        </w:tc>
        <w:tc>
          <w:tcPr>
            <w:tcW w:w="0" w:type="auto"/>
            <w:gridSpan w:val="3"/>
            <w:shd w:val="clear" w:color="auto" w:fill="auto"/>
          </w:tcPr>
          <w:p w14:paraId="5EA24E01" w14:textId="77777777" w:rsidR="003C66EB" w:rsidRDefault="003C66EB">
            <w:pPr>
              <w:rPr>
                <w:rFonts w:ascii="宋体"/>
                <w:vanish/>
              </w:rPr>
            </w:pPr>
          </w:p>
        </w:tc>
        <w:tc>
          <w:tcPr>
            <w:tcW w:w="0" w:type="auto"/>
            <w:gridSpan w:val="3"/>
            <w:shd w:val="clear" w:color="auto" w:fill="auto"/>
          </w:tcPr>
          <w:p w14:paraId="5EA24E02" w14:textId="77777777" w:rsidR="003C66EB" w:rsidRDefault="003C66EB">
            <w:pPr>
              <w:rPr>
                <w:rFonts w:ascii="宋体"/>
                <w:vanish/>
              </w:rPr>
            </w:pPr>
          </w:p>
        </w:tc>
        <w:tc>
          <w:tcPr>
            <w:tcW w:w="0" w:type="auto"/>
            <w:shd w:val="clear" w:color="auto" w:fill="auto"/>
          </w:tcPr>
          <w:p w14:paraId="5EA24E03" w14:textId="77777777" w:rsidR="003C66EB" w:rsidRDefault="003C66EB">
            <w:pPr>
              <w:rPr>
                <w:rFonts w:ascii="宋体"/>
                <w:vanish/>
              </w:rPr>
            </w:pPr>
          </w:p>
        </w:tc>
        <w:tc>
          <w:tcPr>
            <w:tcW w:w="0" w:type="auto"/>
            <w:shd w:val="clear" w:color="auto" w:fill="auto"/>
          </w:tcPr>
          <w:p w14:paraId="5EA24E04" w14:textId="77777777" w:rsidR="003C66EB" w:rsidRDefault="003C66EB">
            <w:pPr>
              <w:rPr>
                <w:rFonts w:ascii="宋体"/>
                <w:vanish/>
              </w:rPr>
            </w:pPr>
          </w:p>
        </w:tc>
        <w:tc>
          <w:tcPr>
            <w:tcW w:w="0" w:type="auto"/>
            <w:gridSpan w:val="3"/>
            <w:shd w:val="clear" w:color="auto" w:fill="auto"/>
          </w:tcPr>
          <w:p w14:paraId="5EA24E05" w14:textId="77777777" w:rsidR="003C66EB" w:rsidRDefault="003C66EB">
            <w:pPr>
              <w:rPr>
                <w:rFonts w:ascii="宋体"/>
                <w:vanish/>
              </w:rPr>
            </w:pPr>
          </w:p>
        </w:tc>
        <w:tc>
          <w:tcPr>
            <w:tcW w:w="0" w:type="auto"/>
            <w:gridSpan w:val="3"/>
            <w:shd w:val="clear" w:color="auto" w:fill="auto"/>
          </w:tcPr>
          <w:p w14:paraId="5EA24E06" w14:textId="77777777" w:rsidR="003C66EB" w:rsidRDefault="003C66EB">
            <w:pPr>
              <w:rPr>
                <w:rFonts w:ascii="宋体"/>
                <w:vanish/>
              </w:rPr>
            </w:pPr>
          </w:p>
        </w:tc>
        <w:tc>
          <w:tcPr>
            <w:tcW w:w="0" w:type="auto"/>
            <w:gridSpan w:val="3"/>
            <w:shd w:val="clear" w:color="auto" w:fill="auto"/>
          </w:tcPr>
          <w:p w14:paraId="5EA24E07" w14:textId="77777777" w:rsidR="003C66EB" w:rsidRDefault="003C66EB">
            <w:pPr>
              <w:rPr>
                <w:rFonts w:ascii="宋体"/>
                <w:vanish/>
              </w:rPr>
            </w:pPr>
          </w:p>
        </w:tc>
        <w:tc>
          <w:tcPr>
            <w:tcW w:w="0" w:type="auto"/>
            <w:gridSpan w:val="3"/>
            <w:shd w:val="clear" w:color="auto" w:fill="auto"/>
          </w:tcPr>
          <w:p w14:paraId="5EA24E08" w14:textId="77777777" w:rsidR="003C66EB" w:rsidRDefault="003C66EB">
            <w:pPr>
              <w:rPr>
                <w:rFonts w:ascii="宋体"/>
                <w:vanish/>
              </w:rPr>
            </w:pPr>
          </w:p>
        </w:tc>
        <w:tc>
          <w:tcPr>
            <w:tcW w:w="0" w:type="auto"/>
            <w:gridSpan w:val="3"/>
            <w:shd w:val="clear" w:color="auto" w:fill="auto"/>
          </w:tcPr>
          <w:p w14:paraId="5EA24E09" w14:textId="77777777" w:rsidR="003C66EB" w:rsidRDefault="003C66EB">
            <w:pPr>
              <w:rPr>
                <w:rFonts w:ascii="宋体"/>
                <w:vanish/>
              </w:rPr>
            </w:pPr>
          </w:p>
        </w:tc>
      </w:tr>
      <w:tr w:rsidR="003C66EB" w14:paraId="5EA24E1D" w14:textId="77777777">
        <w:trPr>
          <w:hidden/>
        </w:trPr>
        <w:tc>
          <w:tcPr>
            <w:tcW w:w="0" w:type="auto"/>
            <w:gridSpan w:val="3"/>
            <w:shd w:val="clear" w:color="auto" w:fill="auto"/>
          </w:tcPr>
          <w:p w14:paraId="5EA24E0B" w14:textId="77777777" w:rsidR="003C66EB" w:rsidRDefault="003C66EB">
            <w:pPr>
              <w:rPr>
                <w:rFonts w:ascii="宋体"/>
                <w:vanish/>
              </w:rPr>
            </w:pPr>
          </w:p>
        </w:tc>
        <w:tc>
          <w:tcPr>
            <w:tcW w:w="0" w:type="auto"/>
            <w:gridSpan w:val="3"/>
            <w:shd w:val="clear" w:color="auto" w:fill="auto"/>
          </w:tcPr>
          <w:p w14:paraId="5EA24E0C" w14:textId="77777777" w:rsidR="003C66EB" w:rsidRDefault="003C66EB">
            <w:pPr>
              <w:rPr>
                <w:rFonts w:ascii="宋体"/>
                <w:vanish/>
              </w:rPr>
            </w:pPr>
          </w:p>
        </w:tc>
        <w:tc>
          <w:tcPr>
            <w:tcW w:w="0" w:type="auto"/>
            <w:gridSpan w:val="3"/>
            <w:shd w:val="clear" w:color="auto" w:fill="auto"/>
          </w:tcPr>
          <w:p w14:paraId="5EA24E0D" w14:textId="77777777" w:rsidR="003C66EB" w:rsidRDefault="003C66EB">
            <w:pPr>
              <w:rPr>
                <w:rFonts w:ascii="宋体"/>
                <w:vanish/>
              </w:rPr>
            </w:pPr>
          </w:p>
        </w:tc>
        <w:tc>
          <w:tcPr>
            <w:tcW w:w="0" w:type="auto"/>
            <w:gridSpan w:val="3"/>
            <w:shd w:val="clear" w:color="auto" w:fill="auto"/>
          </w:tcPr>
          <w:p w14:paraId="5EA24E0E" w14:textId="77777777" w:rsidR="003C66EB" w:rsidRDefault="003C66EB">
            <w:pPr>
              <w:rPr>
                <w:rFonts w:ascii="宋体"/>
                <w:vanish/>
              </w:rPr>
            </w:pPr>
          </w:p>
        </w:tc>
        <w:tc>
          <w:tcPr>
            <w:tcW w:w="0" w:type="auto"/>
            <w:gridSpan w:val="3"/>
            <w:shd w:val="clear" w:color="auto" w:fill="auto"/>
          </w:tcPr>
          <w:p w14:paraId="5EA24E0F" w14:textId="77777777" w:rsidR="003C66EB" w:rsidRDefault="003C66EB">
            <w:pPr>
              <w:rPr>
                <w:rFonts w:ascii="宋体"/>
                <w:vanish/>
              </w:rPr>
            </w:pPr>
          </w:p>
        </w:tc>
        <w:tc>
          <w:tcPr>
            <w:tcW w:w="0" w:type="auto"/>
            <w:gridSpan w:val="3"/>
            <w:shd w:val="clear" w:color="auto" w:fill="auto"/>
          </w:tcPr>
          <w:p w14:paraId="5EA24E10" w14:textId="77777777" w:rsidR="003C66EB" w:rsidRDefault="003C66EB">
            <w:pPr>
              <w:rPr>
                <w:rFonts w:ascii="宋体"/>
                <w:vanish/>
              </w:rPr>
            </w:pPr>
          </w:p>
        </w:tc>
        <w:tc>
          <w:tcPr>
            <w:tcW w:w="0" w:type="auto"/>
            <w:gridSpan w:val="3"/>
            <w:shd w:val="clear" w:color="auto" w:fill="auto"/>
          </w:tcPr>
          <w:p w14:paraId="5EA24E11" w14:textId="77777777" w:rsidR="003C66EB" w:rsidRDefault="003C66EB">
            <w:pPr>
              <w:rPr>
                <w:rFonts w:ascii="宋体"/>
                <w:vanish/>
              </w:rPr>
            </w:pPr>
          </w:p>
        </w:tc>
        <w:tc>
          <w:tcPr>
            <w:tcW w:w="0" w:type="auto"/>
            <w:gridSpan w:val="3"/>
            <w:shd w:val="clear" w:color="auto" w:fill="auto"/>
          </w:tcPr>
          <w:p w14:paraId="5EA24E12" w14:textId="77777777" w:rsidR="003C66EB" w:rsidRDefault="003C66EB">
            <w:pPr>
              <w:rPr>
                <w:rFonts w:ascii="宋体"/>
                <w:vanish/>
              </w:rPr>
            </w:pPr>
          </w:p>
        </w:tc>
        <w:tc>
          <w:tcPr>
            <w:tcW w:w="0" w:type="auto"/>
            <w:gridSpan w:val="3"/>
            <w:shd w:val="clear" w:color="auto" w:fill="auto"/>
          </w:tcPr>
          <w:p w14:paraId="5EA24E13" w14:textId="77777777" w:rsidR="003C66EB" w:rsidRDefault="003C66EB">
            <w:pPr>
              <w:rPr>
                <w:rFonts w:ascii="宋体"/>
                <w:vanish/>
              </w:rPr>
            </w:pPr>
          </w:p>
        </w:tc>
        <w:tc>
          <w:tcPr>
            <w:tcW w:w="0" w:type="auto"/>
            <w:gridSpan w:val="3"/>
            <w:shd w:val="clear" w:color="auto" w:fill="auto"/>
          </w:tcPr>
          <w:p w14:paraId="5EA24E14" w14:textId="77777777" w:rsidR="003C66EB" w:rsidRDefault="003C66EB">
            <w:pPr>
              <w:rPr>
                <w:rFonts w:ascii="宋体"/>
                <w:vanish/>
              </w:rPr>
            </w:pPr>
          </w:p>
        </w:tc>
        <w:tc>
          <w:tcPr>
            <w:tcW w:w="0" w:type="auto"/>
            <w:gridSpan w:val="3"/>
            <w:shd w:val="clear" w:color="auto" w:fill="auto"/>
          </w:tcPr>
          <w:p w14:paraId="5EA24E15" w14:textId="77777777" w:rsidR="003C66EB" w:rsidRDefault="003C66EB">
            <w:pPr>
              <w:rPr>
                <w:rFonts w:ascii="宋体"/>
                <w:vanish/>
              </w:rPr>
            </w:pPr>
          </w:p>
        </w:tc>
        <w:tc>
          <w:tcPr>
            <w:tcW w:w="0" w:type="auto"/>
            <w:shd w:val="clear" w:color="auto" w:fill="auto"/>
          </w:tcPr>
          <w:p w14:paraId="5EA24E16" w14:textId="77777777" w:rsidR="003C66EB" w:rsidRDefault="003C66EB">
            <w:pPr>
              <w:rPr>
                <w:rFonts w:ascii="宋体"/>
                <w:vanish/>
              </w:rPr>
            </w:pPr>
          </w:p>
        </w:tc>
        <w:tc>
          <w:tcPr>
            <w:tcW w:w="0" w:type="auto"/>
            <w:shd w:val="clear" w:color="auto" w:fill="auto"/>
          </w:tcPr>
          <w:p w14:paraId="5EA24E17" w14:textId="77777777" w:rsidR="003C66EB" w:rsidRDefault="003C66EB">
            <w:pPr>
              <w:rPr>
                <w:rFonts w:ascii="宋体"/>
                <w:vanish/>
              </w:rPr>
            </w:pPr>
          </w:p>
        </w:tc>
        <w:tc>
          <w:tcPr>
            <w:tcW w:w="0" w:type="auto"/>
            <w:gridSpan w:val="3"/>
            <w:shd w:val="clear" w:color="auto" w:fill="auto"/>
          </w:tcPr>
          <w:p w14:paraId="5EA24E18" w14:textId="77777777" w:rsidR="003C66EB" w:rsidRDefault="003C66EB">
            <w:pPr>
              <w:rPr>
                <w:rFonts w:ascii="宋体"/>
                <w:vanish/>
              </w:rPr>
            </w:pPr>
          </w:p>
        </w:tc>
        <w:tc>
          <w:tcPr>
            <w:tcW w:w="0" w:type="auto"/>
            <w:gridSpan w:val="3"/>
            <w:shd w:val="clear" w:color="auto" w:fill="auto"/>
          </w:tcPr>
          <w:p w14:paraId="5EA24E19" w14:textId="77777777" w:rsidR="003C66EB" w:rsidRDefault="003C66EB">
            <w:pPr>
              <w:rPr>
                <w:rFonts w:ascii="宋体"/>
                <w:vanish/>
              </w:rPr>
            </w:pPr>
          </w:p>
        </w:tc>
        <w:tc>
          <w:tcPr>
            <w:tcW w:w="0" w:type="auto"/>
            <w:gridSpan w:val="3"/>
            <w:shd w:val="clear" w:color="auto" w:fill="auto"/>
          </w:tcPr>
          <w:p w14:paraId="5EA24E1A" w14:textId="77777777" w:rsidR="003C66EB" w:rsidRDefault="003C66EB">
            <w:pPr>
              <w:rPr>
                <w:rFonts w:ascii="宋体"/>
                <w:vanish/>
              </w:rPr>
            </w:pPr>
          </w:p>
        </w:tc>
        <w:tc>
          <w:tcPr>
            <w:tcW w:w="0" w:type="auto"/>
            <w:gridSpan w:val="3"/>
            <w:shd w:val="clear" w:color="auto" w:fill="auto"/>
          </w:tcPr>
          <w:p w14:paraId="5EA24E1B" w14:textId="77777777" w:rsidR="003C66EB" w:rsidRDefault="003C66EB">
            <w:pPr>
              <w:rPr>
                <w:rFonts w:ascii="宋体"/>
                <w:vanish/>
              </w:rPr>
            </w:pPr>
          </w:p>
        </w:tc>
        <w:tc>
          <w:tcPr>
            <w:tcW w:w="0" w:type="auto"/>
            <w:gridSpan w:val="3"/>
            <w:shd w:val="clear" w:color="auto" w:fill="auto"/>
          </w:tcPr>
          <w:p w14:paraId="5EA24E1C" w14:textId="77777777" w:rsidR="003C66EB" w:rsidRDefault="003C66EB">
            <w:pPr>
              <w:rPr>
                <w:rFonts w:ascii="宋体"/>
                <w:vanish/>
              </w:rPr>
            </w:pPr>
          </w:p>
        </w:tc>
      </w:tr>
      <w:tr w:rsidR="003C66EB" w14:paraId="5EA24E30" w14:textId="77777777">
        <w:trPr>
          <w:hidden/>
        </w:trPr>
        <w:tc>
          <w:tcPr>
            <w:tcW w:w="0" w:type="auto"/>
            <w:gridSpan w:val="3"/>
            <w:shd w:val="clear" w:color="auto" w:fill="auto"/>
          </w:tcPr>
          <w:p w14:paraId="5EA24E1E" w14:textId="77777777" w:rsidR="003C66EB" w:rsidRDefault="003C66EB">
            <w:pPr>
              <w:rPr>
                <w:rFonts w:ascii="宋体"/>
                <w:vanish/>
              </w:rPr>
            </w:pPr>
          </w:p>
        </w:tc>
        <w:tc>
          <w:tcPr>
            <w:tcW w:w="0" w:type="auto"/>
            <w:gridSpan w:val="3"/>
            <w:shd w:val="clear" w:color="auto" w:fill="auto"/>
          </w:tcPr>
          <w:p w14:paraId="5EA24E1F" w14:textId="77777777" w:rsidR="003C66EB" w:rsidRDefault="003C66EB">
            <w:pPr>
              <w:rPr>
                <w:rFonts w:ascii="宋体"/>
                <w:vanish/>
              </w:rPr>
            </w:pPr>
          </w:p>
        </w:tc>
        <w:tc>
          <w:tcPr>
            <w:tcW w:w="0" w:type="auto"/>
            <w:gridSpan w:val="3"/>
            <w:shd w:val="clear" w:color="auto" w:fill="auto"/>
          </w:tcPr>
          <w:p w14:paraId="5EA24E20" w14:textId="77777777" w:rsidR="003C66EB" w:rsidRDefault="003C66EB">
            <w:pPr>
              <w:rPr>
                <w:rFonts w:ascii="宋体"/>
                <w:vanish/>
              </w:rPr>
            </w:pPr>
          </w:p>
        </w:tc>
        <w:tc>
          <w:tcPr>
            <w:tcW w:w="0" w:type="auto"/>
            <w:gridSpan w:val="3"/>
            <w:shd w:val="clear" w:color="auto" w:fill="auto"/>
          </w:tcPr>
          <w:p w14:paraId="5EA24E21" w14:textId="77777777" w:rsidR="003C66EB" w:rsidRDefault="003C66EB">
            <w:pPr>
              <w:rPr>
                <w:rFonts w:ascii="宋体"/>
                <w:vanish/>
              </w:rPr>
            </w:pPr>
          </w:p>
        </w:tc>
        <w:tc>
          <w:tcPr>
            <w:tcW w:w="0" w:type="auto"/>
            <w:gridSpan w:val="3"/>
            <w:shd w:val="clear" w:color="auto" w:fill="auto"/>
          </w:tcPr>
          <w:p w14:paraId="5EA24E22" w14:textId="77777777" w:rsidR="003C66EB" w:rsidRDefault="003C66EB">
            <w:pPr>
              <w:rPr>
                <w:rFonts w:ascii="宋体"/>
                <w:vanish/>
              </w:rPr>
            </w:pPr>
          </w:p>
        </w:tc>
        <w:tc>
          <w:tcPr>
            <w:tcW w:w="0" w:type="auto"/>
            <w:gridSpan w:val="3"/>
            <w:shd w:val="clear" w:color="auto" w:fill="auto"/>
          </w:tcPr>
          <w:p w14:paraId="5EA24E23" w14:textId="77777777" w:rsidR="003C66EB" w:rsidRDefault="003C66EB">
            <w:pPr>
              <w:rPr>
                <w:rFonts w:ascii="宋体"/>
                <w:vanish/>
              </w:rPr>
            </w:pPr>
          </w:p>
        </w:tc>
        <w:tc>
          <w:tcPr>
            <w:tcW w:w="0" w:type="auto"/>
            <w:gridSpan w:val="3"/>
            <w:shd w:val="clear" w:color="auto" w:fill="auto"/>
          </w:tcPr>
          <w:p w14:paraId="5EA24E24" w14:textId="77777777" w:rsidR="003C66EB" w:rsidRDefault="003C66EB">
            <w:pPr>
              <w:rPr>
                <w:rFonts w:ascii="宋体"/>
                <w:vanish/>
              </w:rPr>
            </w:pPr>
          </w:p>
        </w:tc>
        <w:tc>
          <w:tcPr>
            <w:tcW w:w="0" w:type="auto"/>
            <w:gridSpan w:val="3"/>
            <w:shd w:val="clear" w:color="auto" w:fill="auto"/>
          </w:tcPr>
          <w:p w14:paraId="5EA24E25" w14:textId="77777777" w:rsidR="003C66EB" w:rsidRDefault="003C66EB">
            <w:pPr>
              <w:rPr>
                <w:rFonts w:ascii="宋体"/>
                <w:vanish/>
              </w:rPr>
            </w:pPr>
          </w:p>
        </w:tc>
        <w:tc>
          <w:tcPr>
            <w:tcW w:w="0" w:type="auto"/>
            <w:gridSpan w:val="3"/>
            <w:shd w:val="clear" w:color="auto" w:fill="auto"/>
          </w:tcPr>
          <w:p w14:paraId="5EA24E26" w14:textId="77777777" w:rsidR="003C66EB" w:rsidRDefault="003C66EB">
            <w:pPr>
              <w:rPr>
                <w:rFonts w:ascii="宋体"/>
                <w:vanish/>
              </w:rPr>
            </w:pPr>
          </w:p>
        </w:tc>
        <w:tc>
          <w:tcPr>
            <w:tcW w:w="0" w:type="auto"/>
            <w:gridSpan w:val="3"/>
            <w:shd w:val="clear" w:color="auto" w:fill="auto"/>
          </w:tcPr>
          <w:p w14:paraId="5EA24E27" w14:textId="77777777" w:rsidR="003C66EB" w:rsidRDefault="003C66EB">
            <w:pPr>
              <w:rPr>
                <w:rFonts w:ascii="宋体"/>
                <w:vanish/>
              </w:rPr>
            </w:pPr>
          </w:p>
        </w:tc>
        <w:tc>
          <w:tcPr>
            <w:tcW w:w="0" w:type="auto"/>
            <w:gridSpan w:val="3"/>
            <w:shd w:val="clear" w:color="auto" w:fill="auto"/>
          </w:tcPr>
          <w:p w14:paraId="5EA24E28" w14:textId="77777777" w:rsidR="003C66EB" w:rsidRDefault="003C66EB">
            <w:pPr>
              <w:rPr>
                <w:rFonts w:ascii="宋体"/>
                <w:vanish/>
              </w:rPr>
            </w:pPr>
          </w:p>
        </w:tc>
        <w:tc>
          <w:tcPr>
            <w:tcW w:w="0" w:type="auto"/>
            <w:shd w:val="clear" w:color="auto" w:fill="auto"/>
          </w:tcPr>
          <w:p w14:paraId="5EA24E29" w14:textId="77777777" w:rsidR="003C66EB" w:rsidRDefault="003C66EB">
            <w:pPr>
              <w:rPr>
                <w:rFonts w:ascii="宋体"/>
                <w:vanish/>
              </w:rPr>
            </w:pPr>
          </w:p>
        </w:tc>
        <w:tc>
          <w:tcPr>
            <w:tcW w:w="0" w:type="auto"/>
            <w:shd w:val="clear" w:color="auto" w:fill="auto"/>
          </w:tcPr>
          <w:p w14:paraId="5EA24E2A" w14:textId="77777777" w:rsidR="003C66EB" w:rsidRDefault="003C66EB">
            <w:pPr>
              <w:rPr>
                <w:rFonts w:ascii="宋体"/>
                <w:vanish/>
              </w:rPr>
            </w:pPr>
          </w:p>
        </w:tc>
        <w:tc>
          <w:tcPr>
            <w:tcW w:w="0" w:type="auto"/>
            <w:gridSpan w:val="3"/>
            <w:shd w:val="clear" w:color="auto" w:fill="auto"/>
          </w:tcPr>
          <w:p w14:paraId="5EA24E2B" w14:textId="77777777" w:rsidR="003C66EB" w:rsidRDefault="003C66EB">
            <w:pPr>
              <w:rPr>
                <w:rFonts w:ascii="宋体"/>
                <w:vanish/>
              </w:rPr>
            </w:pPr>
          </w:p>
        </w:tc>
        <w:tc>
          <w:tcPr>
            <w:tcW w:w="0" w:type="auto"/>
            <w:gridSpan w:val="3"/>
            <w:shd w:val="clear" w:color="auto" w:fill="auto"/>
          </w:tcPr>
          <w:p w14:paraId="5EA24E2C" w14:textId="77777777" w:rsidR="003C66EB" w:rsidRDefault="003C66EB">
            <w:pPr>
              <w:rPr>
                <w:rFonts w:ascii="宋体"/>
                <w:vanish/>
              </w:rPr>
            </w:pPr>
          </w:p>
        </w:tc>
        <w:tc>
          <w:tcPr>
            <w:tcW w:w="0" w:type="auto"/>
            <w:gridSpan w:val="3"/>
            <w:shd w:val="clear" w:color="auto" w:fill="auto"/>
          </w:tcPr>
          <w:p w14:paraId="5EA24E2D" w14:textId="77777777" w:rsidR="003C66EB" w:rsidRDefault="003C66EB">
            <w:pPr>
              <w:rPr>
                <w:rFonts w:ascii="宋体"/>
                <w:vanish/>
              </w:rPr>
            </w:pPr>
          </w:p>
        </w:tc>
        <w:tc>
          <w:tcPr>
            <w:tcW w:w="0" w:type="auto"/>
            <w:gridSpan w:val="3"/>
            <w:shd w:val="clear" w:color="auto" w:fill="auto"/>
          </w:tcPr>
          <w:p w14:paraId="5EA24E2E" w14:textId="77777777" w:rsidR="003C66EB" w:rsidRDefault="003C66EB">
            <w:pPr>
              <w:rPr>
                <w:rFonts w:ascii="宋体"/>
                <w:vanish/>
              </w:rPr>
            </w:pPr>
          </w:p>
        </w:tc>
        <w:tc>
          <w:tcPr>
            <w:tcW w:w="0" w:type="auto"/>
            <w:gridSpan w:val="3"/>
            <w:shd w:val="clear" w:color="auto" w:fill="auto"/>
          </w:tcPr>
          <w:p w14:paraId="5EA24E2F" w14:textId="77777777" w:rsidR="003C66EB" w:rsidRDefault="003C66EB">
            <w:pPr>
              <w:rPr>
                <w:rFonts w:ascii="宋体"/>
                <w:vanish/>
              </w:rPr>
            </w:pPr>
          </w:p>
        </w:tc>
      </w:tr>
      <w:tr w:rsidR="003C66EB" w14:paraId="5EA24E43" w14:textId="77777777">
        <w:trPr>
          <w:hidden/>
        </w:trPr>
        <w:tc>
          <w:tcPr>
            <w:tcW w:w="0" w:type="auto"/>
            <w:gridSpan w:val="3"/>
            <w:shd w:val="clear" w:color="auto" w:fill="auto"/>
          </w:tcPr>
          <w:p w14:paraId="5EA24E31" w14:textId="77777777" w:rsidR="003C66EB" w:rsidRDefault="003C66EB">
            <w:pPr>
              <w:rPr>
                <w:rFonts w:ascii="宋体"/>
                <w:vanish/>
              </w:rPr>
            </w:pPr>
          </w:p>
        </w:tc>
        <w:tc>
          <w:tcPr>
            <w:tcW w:w="0" w:type="auto"/>
            <w:gridSpan w:val="3"/>
            <w:shd w:val="clear" w:color="auto" w:fill="auto"/>
          </w:tcPr>
          <w:p w14:paraId="5EA24E32" w14:textId="77777777" w:rsidR="003C66EB" w:rsidRDefault="003C66EB">
            <w:pPr>
              <w:rPr>
                <w:rFonts w:ascii="宋体"/>
                <w:vanish/>
              </w:rPr>
            </w:pPr>
          </w:p>
        </w:tc>
        <w:tc>
          <w:tcPr>
            <w:tcW w:w="0" w:type="auto"/>
            <w:gridSpan w:val="3"/>
            <w:shd w:val="clear" w:color="auto" w:fill="auto"/>
          </w:tcPr>
          <w:p w14:paraId="5EA24E33" w14:textId="77777777" w:rsidR="003C66EB" w:rsidRDefault="003C66EB">
            <w:pPr>
              <w:rPr>
                <w:rFonts w:ascii="宋体"/>
                <w:vanish/>
              </w:rPr>
            </w:pPr>
          </w:p>
        </w:tc>
        <w:tc>
          <w:tcPr>
            <w:tcW w:w="0" w:type="auto"/>
            <w:gridSpan w:val="3"/>
            <w:shd w:val="clear" w:color="auto" w:fill="auto"/>
          </w:tcPr>
          <w:p w14:paraId="5EA24E34" w14:textId="77777777" w:rsidR="003C66EB" w:rsidRDefault="003C66EB">
            <w:pPr>
              <w:rPr>
                <w:rFonts w:ascii="宋体"/>
                <w:vanish/>
              </w:rPr>
            </w:pPr>
          </w:p>
        </w:tc>
        <w:tc>
          <w:tcPr>
            <w:tcW w:w="0" w:type="auto"/>
            <w:gridSpan w:val="3"/>
            <w:shd w:val="clear" w:color="auto" w:fill="auto"/>
          </w:tcPr>
          <w:p w14:paraId="5EA24E35" w14:textId="77777777" w:rsidR="003C66EB" w:rsidRDefault="003C66EB">
            <w:pPr>
              <w:rPr>
                <w:rFonts w:ascii="宋体"/>
                <w:vanish/>
              </w:rPr>
            </w:pPr>
          </w:p>
        </w:tc>
        <w:tc>
          <w:tcPr>
            <w:tcW w:w="0" w:type="auto"/>
            <w:gridSpan w:val="3"/>
            <w:shd w:val="clear" w:color="auto" w:fill="auto"/>
          </w:tcPr>
          <w:p w14:paraId="5EA24E36" w14:textId="77777777" w:rsidR="003C66EB" w:rsidRDefault="003C66EB">
            <w:pPr>
              <w:rPr>
                <w:rFonts w:ascii="宋体"/>
                <w:vanish/>
              </w:rPr>
            </w:pPr>
          </w:p>
        </w:tc>
        <w:tc>
          <w:tcPr>
            <w:tcW w:w="0" w:type="auto"/>
            <w:gridSpan w:val="3"/>
            <w:shd w:val="clear" w:color="auto" w:fill="auto"/>
          </w:tcPr>
          <w:p w14:paraId="5EA24E37" w14:textId="77777777" w:rsidR="003C66EB" w:rsidRDefault="003C66EB">
            <w:pPr>
              <w:rPr>
                <w:rFonts w:ascii="宋体"/>
                <w:vanish/>
              </w:rPr>
            </w:pPr>
          </w:p>
        </w:tc>
        <w:tc>
          <w:tcPr>
            <w:tcW w:w="0" w:type="auto"/>
            <w:gridSpan w:val="3"/>
            <w:shd w:val="clear" w:color="auto" w:fill="auto"/>
          </w:tcPr>
          <w:p w14:paraId="5EA24E38" w14:textId="77777777" w:rsidR="003C66EB" w:rsidRDefault="003C66EB">
            <w:pPr>
              <w:rPr>
                <w:rFonts w:ascii="宋体"/>
                <w:vanish/>
              </w:rPr>
            </w:pPr>
          </w:p>
        </w:tc>
        <w:tc>
          <w:tcPr>
            <w:tcW w:w="0" w:type="auto"/>
            <w:gridSpan w:val="3"/>
            <w:shd w:val="clear" w:color="auto" w:fill="auto"/>
          </w:tcPr>
          <w:p w14:paraId="5EA24E39" w14:textId="77777777" w:rsidR="003C66EB" w:rsidRDefault="003C66EB">
            <w:pPr>
              <w:rPr>
                <w:rFonts w:ascii="宋体"/>
                <w:vanish/>
              </w:rPr>
            </w:pPr>
          </w:p>
        </w:tc>
        <w:tc>
          <w:tcPr>
            <w:tcW w:w="0" w:type="auto"/>
            <w:gridSpan w:val="3"/>
            <w:shd w:val="clear" w:color="auto" w:fill="auto"/>
          </w:tcPr>
          <w:p w14:paraId="5EA24E3A" w14:textId="77777777" w:rsidR="003C66EB" w:rsidRDefault="003C66EB">
            <w:pPr>
              <w:rPr>
                <w:rFonts w:ascii="宋体"/>
                <w:vanish/>
              </w:rPr>
            </w:pPr>
          </w:p>
        </w:tc>
        <w:tc>
          <w:tcPr>
            <w:tcW w:w="0" w:type="auto"/>
            <w:gridSpan w:val="3"/>
            <w:shd w:val="clear" w:color="auto" w:fill="auto"/>
          </w:tcPr>
          <w:p w14:paraId="5EA24E3B" w14:textId="77777777" w:rsidR="003C66EB" w:rsidRDefault="003C66EB">
            <w:pPr>
              <w:rPr>
                <w:rFonts w:ascii="宋体"/>
                <w:vanish/>
              </w:rPr>
            </w:pPr>
          </w:p>
        </w:tc>
        <w:tc>
          <w:tcPr>
            <w:tcW w:w="0" w:type="auto"/>
            <w:shd w:val="clear" w:color="auto" w:fill="auto"/>
          </w:tcPr>
          <w:p w14:paraId="5EA24E3C" w14:textId="77777777" w:rsidR="003C66EB" w:rsidRDefault="003C66EB">
            <w:pPr>
              <w:rPr>
                <w:rFonts w:ascii="宋体"/>
                <w:vanish/>
              </w:rPr>
            </w:pPr>
          </w:p>
        </w:tc>
        <w:tc>
          <w:tcPr>
            <w:tcW w:w="0" w:type="auto"/>
            <w:shd w:val="clear" w:color="auto" w:fill="auto"/>
          </w:tcPr>
          <w:p w14:paraId="5EA24E3D" w14:textId="77777777" w:rsidR="003C66EB" w:rsidRDefault="003C66EB">
            <w:pPr>
              <w:rPr>
                <w:rFonts w:ascii="宋体"/>
                <w:vanish/>
              </w:rPr>
            </w:pPr>
          </w:p>
        </w:tc>
        <w:tc>
          <w:tcPr>
            <w:tcW w:w="0" w:type="auto"/>
            <w:gridSpan w:val="3"/>
            <w:shd w:val="clear" w:color="auto" w:fill="auto"/>
          </w:tcPr>
          <w:p w14:paraId="5EA24E3E" w14:textId="77777777" w:rsidR="003C66EB" w:rsidRDefault="003C66EB">
            <w:pPr>
              <w:rPr>
                <w:rFonts w:ascii="宋体"/>
                <w:vanish/>
              </w:rPr>
            </w:pPr>
          </w:p>
        </w:tc>
        <w:tc>
          <w:tcPr>
            <w:tcW w:w="0" w:type="auto"/>
            <w:gridSpan w:val="3"/>
            <w:shd w:val="clear" w:color="auto" w:fill="auto"/>
          </w:tcPr>
          <w:p w14:paraId="5EA24E3F" w14:textId="77777777" w:rsidR="003C66EB" w:rsidRDefault="003C66EB">
            <w:pPr>
              <w:rPr>
                <w:rFonts w:ascii="宋体"/>
                <w:vanish/>
              </w:rPr>
            </w:pPr>
          </w:p>
        </w:tc>
        <w:tc>
          <w:tcPr>
            <w:tcW w:w="0" w:type="auto"/>
            <w:gridSpan w:val="3"/>
            <w:shd w:val="clear" w:color="auto" w:fill="auto"/>
          </w:tcPr>
          <w:p w14:paraId="5EA24E40" w14:textId="77777777" w:rsidR="003C66EB" w:rsidRDefault="003C66EB">
            <w:pPr>
              <w:rPr>
                <w:rFonts w:ascii="宋体"/>
                <w:vanish/>
              </w:rPr>
            </w:pPr>
          </w:p>
        </w:tc>
        <w:tc>
          <w:tcPr>
            <w:tcW w:w="0" w:type="auto"/>
            <w:gridSpan w:val="3"/>
            <w:shd w:val="clear" w:color="auto" w:fill="auto"/>
          </w:tcPr>
          <w:p w14:paraId="5EA24E41" w14:textId="77777777" w:rsidR="003C66EB" w:rsidRDefault="003C66EB">
            <w:pPr>
              <w:rPr>
                <w:rFonts w:ascii="宋体"/>
                <w:vanish/>
              </w:rPr>
            </w:pPr>
          </w:p>
        </w:tc>
        <w:tc>
          <w:tcPr>
            <w:tcW w:w="0" w:type="auto"/>
            <w:gridSpan w:val="3"/>
            <w:shd w:val="clear" w:color="auto" w:fill="auto"/>
          </w:tcPr>
          <w:p w14:paraId="5EA24E42" w14:textId="77777777" w:rsidR="003C66EB" w:rsidRDefault="003C66EB">
            <w:pPr>
              <w:rPr>
                <w:rFonts w:ascii="宋体"/>
                <w:vanish/>
              </w:rPr>
            </w:pPr>
          </w:p>
        </w:tc>
      </w:tr>
      <w:tr w:rsidR="003C66EB" w14:paraId="5EA24E56" w14:textId="77777777">
        <w:trPr>
          <w:hidden/>
        </w:trPr>
        <w:tc>
          <w:tcPr>
            <w:tcW w:w="0" w:type="auto"/>
            <w:gridSpan w:val="3"/>
            <w:shd w:val="clear" w:color="auto" w:fill="auto"/>
          </w:tcPr>
          <w:p w14:paraId="5EA24E44" w14:textId="77777777" w:rsidR="003C66EB" w:rsidRDefault="003C66EB">
            <w:pPr>
              <w:rPr>
                <w:rFonts w:ascii="宋体"/>
                <w:vanish/>
              </w:rPr>
            </w:pPr>
          </w:p>
        </w:tc>
        <w:tc>
          <w:tcPr>
            <w:tcW w:w="0" w:type="auto"/>
            <w:gridSpan w:val="3"/>
            <w:shd w:val="clear" w:color="auto" w:fill="auto"/>
          </w:tcPr>
          <w:p w14:paraId="5EA24E45" w14:textId="77777777" w:rsidR="003C66EB" w:rsidRDefault="003C66EB">
            <w:pPr>
              <w:rPr>
                <w:rFonts w:ascii="宋体"/>
                <w:vanish/>
              </w:rPr>
            </w:pPr>
          </w:p>
        </w:tc>
        <w:tc>
          <w:tcPr>
            <w:tcW w:w="0" w:type="auto"/>
            <w:gridSpan w:val="3"/>
            <w:shd w:val="clear" w:color="auto" w:fill="auto"/>
          </w:tcPr>
          <w:p w14:paraId="5EA24E46" w14:textId="77777777" w:rsidR="003C66EB" w:rsidRDefault="003C66EB">
            <w:pPr>
              <w:rPr>
                <w:rFonts w:ascii="宋体"/>
                <w:vanish/>
              </w:rPr>
            </w:pPr>
          </w:p>
        </w:tc>
        <w:tc>
          <w:tcPr>
            <w:tcW w:w="0" w:type="auto"/>
            <w:gridSpan w:val="3"/>
            <w:shd w:val="clear" w:color="auto" w:fill="auto"/>
          </w:tcPr>
          <w:p w14:paraId="5EA24E47" w14:textId="77777777" w:rsidR="003C66EB" w:rsidRDefault="003C66EB">
            <w:pPr>
              <w:rPr>
                <w:rFonts w:ascii="宋体"/>
                <w:vanish/>
              </w:rPr>
            </w:pPr>
          </w:p>
        </w:tc>
        <w:tc>
          <w:tcPr>
            <w:tcW w:w="0" w:type="auto"/>
            <w:gridSpan w:val="3"/>
            <w:shd w:val="clear" w:color="auto" w:fill="auto"/>
          </w:tcPr>
          <w:p w14:paraId="5EA24E48" w14:textId="77777777" w:rsidR="003C66EB" w:rsidRDefault="003C66EB">
            <w:pPr>
              <w:rPr>
                <w:rFonts w:ascii="宋体"/>
                <w:vanish/>
              </w:rPr>
            </w:pPr>
          </w:p>
        </w:tc>
        <w:tc>
          <w:tcPr>
            <w:tcW w:w="0" w:type="auto"/>
            <w:gridSpan w:val="3"/>
            <w:shd w:val="clear" w:color="auto" w:fill="auto"/>
          </w:tcPr>
          <w:p w14:paraId="5EA24E49" w14:textId="77777777" w:rsidR="003C66EB" w:rsidRDefault="003C66EB">
            <w:pPr>
              <w:rPr>
                <w:rFonts w:ascii="宋体"/>
                <w:vanish/>
              </w:rPr>
            </w:pPr>
          </w:p>
        </w:tc>
        <w:tc>
          <w:tcPr>
            <w:tcW w:w="0" w:type="auto"/>
            <w:gridSpan w:val="3"/>
            <w:shd w:val="clear" w:color="auto" w:fill="auto"/>
          </w:tcPr>
          <w:p w14:paraId="5EA24E4A" w14:textId="77777777" w:rsidR="003C66EB" w:rsidRDefault="003C66EB">
            <w:pPr>
              <w:rPr>
                <w:rFonts w:ascii="宋体"/>
                <w:vanish/>
              </w:rPr>
            </w:pPr>
          </w:p>
        </w:tc>
        <w:tc>
          <w:tcPr>
            <w:tcW w:w="0" w:type="auto"/>
            <w:gridSpan w:val="3"/>
            <w:shd w:val="clear" w:color="auto" w:fill="auto"/>
          </w:tcPr>
          <w:p w14:paraId="5EA24E4B" w14:textId="77777777" w:rsidR="003C66EB" w:rsidRDefault="003C66EB">
            <w:pPr>
              <w:rPr>
                <w:rFonts w:ascii="宋体"/>
                <w:vanish/>
              </w:rPr>
            </w:pPr>
          </w:p>
        </w:tc>
        <w:tc>
          <w:tcPr>
            <w:tcW w:w="0" w:type="auto"/>
            <w:gridSpan w:val="3"/>
            <w:shd w:val="clear" w:color="auto" w:fill="auto"/>
          </w:tcPr>
          <w:p w14:paraId="5EA24E4C" w14:textId="77777777" w:rsidR="003C66EB" w:rsidRDefault="003C66EB">
            <w:pPr>
              <w:rPr>
                <w:rFonts w:ascii="宋体"/>
                <w:vanish/>
              </w:rPr>
            </w:pPr>
          </w:p>
        </w:tc>
        <w:tc>
          <w:tcPr>
            <w:tcW w:w="0" w:type="auto"/>
            <w:gridSpan w:val="3"/>
            <w:shd w:val="clear" w:color="auto" w:fill="auto"/>
          </w:tcPr>
          <w:p w14:paraId="5EA24E4D" w14:textId="77777777" w:rsidR="003C66EB" w:rsidRDefault="003C66EB">
            <w:pPr>
              <w:rPr>
                <w:rFonts w:ascii="宋体"/>
                <w:vanish/>
              </w:rPr>
            </w:pPr>
          </w:p>
        </w:tc>
        <w:tc>
          <w:tcPr>
            <w:tcW w:w="0" w:type="auto"/>
            <w:gridSpan w:val="3"/>
            <w:shd w:val="clear" w:color="auto" w:fill="auto"/>
          </w:tcPr>
          <w:p w14:paraId="5EA24E4E" w14:textId="77777777" w:rsidR="003C66EB" w:rsidRDefault="003C66EB">
            <w:pPr>
              <w:rPr>
                <w:rFonts w:ascii="宋体"/>
                <w:vanish/>
              </w:rPr>
            </w:pPr>
          </w:p>
        </w:tc>
        <w:tc>
          <w:tcPr>
            <w:tcW w:w="0" w:type="auto"/>
            <w:shd w:val="clear" w:color="auto" w:fill="auto"/>
          </w:tcPr>
          <w:p w14:paraId="5EA24E4F" w14:textId="77777777" w:rsidR="003C66EB" w:rsidRDefault="003C66EB">
            <w:pPr>
              <w:rPr>
                <w:rFonts w:ascii="宋体"/>
                <w:vanish/>
              </w:rPr>
            </w:pPr>
          </w:p>
        </w:tc>
        <w:tc>
          <w:tcPr>
            <w:tcW w:w="0" w:type="auto"/>
            <w:shd w:val="clear" w:color="auto" w:fill="auto"/>
          </w:tcPr>
          <w:p w14:paraId="5EA24E50" w14:textId="77777777" w:rsidR="003C66EB" w:rsidRDefault="003C66EB">
            <w:pPr>
              <w:rPr>
                <w:rFonts w:ascii="宋体"/>
                <w:vanish/>
              </w:rPr>
            </w:pPr>
          </w:p>
        </w:tc>
        <w:tc>
          <w:tcPr>
            <w:tcW w:w="0" w:type="auto"/>
            <w:gridSpan w:val="3"/>
            <w:shd w:val="clear" w:color="auto" w:fill="auto"/>
          </w:tcPr>
          <w:p w14:paraId="5EA24E51" w14:textId="77777777" w:rsidR="003C66EB" w:rsidRDefault="003C66EB">
            <w:pPr>
              <w:rPr>
                <w:rFonts w:ascii="宋体"/>
                <w:vanish/>
              </w:rPr>
            </w:pPr>
          </w:p>
        </w:tc>
        <w:tc>
          <w:tcPr>
            <w:tcW w:w="0" w:type="auto"/>
            <w:gridSpan w:val="3"/>
            <w:shd w:val="clear" w:color="auto" w:fill="auto"/>
          </w:tcPr>
          <w:p w14:paraId="5EA24E52" w14:textId="77777777" w:rsidR="003C66EB" w:rsidRDefault="003C66EB">
            <w:pPr>
              <w:rPr>
                <w:rFonts w:ascii="宋体"/>
                <w:vanish/>
              </w:rPr>
            </w:pPr>
          </w:p>
        </w:tc>
        <w:tc>
          <w:tcPr>
            <w:tcW w:w="0" w:type="auto"/>
            <w:gridSpan w:val="3"/>
            <w:shd w:val="clear" w:color="auto" w:fill="auto"/>
          </w:tcPr>
          <w:p w14:paraId="5EA24E53" w14:textId="77777777" w:rsidR="003C66EB" w:rsidRDefault="003C66EB">
            <w:pPr>
              <w:rPr>
                <w:rFonts w:ascii="宋体"/>
                <w:vanish/>
              </w:rPr>
            </w:pPr>
          </w:p>
        </w:tc>
        <w:tc>
          <w:tcPr>
            <w:tcW w:w="0" w:type="auto"/>
            <w:gridSpan w:val="3"/>
            <w:shd w:val="clear" w:color="auto" w:fill="auto"/>
          </w:tcPr>
          <w:p w14:paraId="5EA24E54" w14:textId="77777777" w:rsidR="003C66EB" w:rsidRDefault="003C66EB">
            <w:pPr>
              <w:rPr>
                <w:rFonts w:ascii="宋体"/>
                <w:vanish/>
              </w:rPr>
            </w:pPr>
          </w:p>
        </w:tc>
        <w:tc>
          <w:tcPr>
            <w:tcW w:w="0" w:type="auto"/>
            <w:gridSpan w:val="3"/>
            <w:shd w:val="clear" w:color="auto" w:fill="auto"/>
          </w:tcPr>
          <w:p w14:paraId="5EA24E55" w14:textId="77777777" w:rsidR="003C66EB" w:rsidRDefault="003C66EB">
            <w:pPr>
              <w:rPr>
                <w:rFonts w:ascii="宋体"/>
                <w:vanish/>
              </w:rPr>
            </w:pPr>
          </w:p>
        </w:tc>
      </w:tr>
      <w:tr w:rsidR="003C66EB" w14:paraId="5EA24E69" w14:textId="77777777">
        <w:trPr>
          <w:hidden/>
        </w:trPr>
        <w:tc>
          <w:tcPr>
            <w:tcW w:w="0" w:type="auto"/>
            <w:gridSpan w:val="3"/>
            <w:shd w:val="clear" w:color="auto" w:fill="auto"/>
          </w:tcPr>
          <w:p w14:paraId="5EA24E57" w14:textId="77777777" w:rsidR="003C66EB" w:rsidRDefault="003C66EB">
            <w:pPr>
              <w:rPr>
                <w:rFonts w:ascii="宋体"/>
                <w:vanish/>
              </w:rPr>
            </w:pPr>
          </w:p>
        </w:tc>
        <w:tc>
          <w:tcPr>
            <w:tcW w:w="0" w:type="auto"/>
            <w:gridSpan w:val="3"/>
            <w:shd w:val="clear" w:color="auto" w:fill="auto"/>
          </w:tcPr>
          <w:p w14:paraId="5EA24E58" w14:textId="77777777" w:rsidR="003C66EB" w:rsidRDefault="003C66EB">
            <w:pPr>
              <w:rPr>
                <w:rFonts w:ascii="宋体"/>
                <w:vanish/>
              </w:rPr>
            </w:pPr>
          </w:p>
        </w:tc>
        <w:tc>
          <w:tcPr>
            <w:tcW w:w="0" w:type="auto"/>
            <w:gridSpan w:val="3"/>
            <w:shd w:val="clear" w:color="auto" w:fill="auto"/>
          </w:tcPr>
          <w:p w14:paraId="5EA24E59" w14:textId="77777777" w:rsidR="003C66EB" w:rsidRDefault="003C66EB">
            <w:pPr>
              <w:rPr>
                <w:rFonts w:ascii="宋体"/>
                <w:vanish/>
              </w:rPr>
            </w:pPr>
          </w:p>
        </w:tc>
        <w:tc>
          <w:tcPr>
            <w:tcW w:w="0" w:type="auto"/>
            <w:gridSpan w:val="3"/>
            <w:shd w:val="clear" w:color="auto" w:fill="auto"/>
          </w:tcPr>
          <w:p w14:paraId="5EA24E5A" w14:textId="77777777" w:rsidR="003C66EB" w:rsidRDefault="003C66EB">
            <w:pPr>
              <w:rPr>
                <w:rFonts w:ascii="宋体"/>
                <w:vanish/>
              </w:rPr>
            </w:pPr>
          </w:p>
        </w:tc>
        <w:tc>
          <w:tcPr>
            <w:tcW w:w="0" w:type="auto"/>
            <w:gridSpan w:val="3"/>
            <w:shd w:val="clear" w:color="auto" w:fill="auto"/>
          </w:tcPr>
          <w:p w14:paraId="5EA24E5B" w14:textId="77777777" w:rsidR="003C66EB" w:rsidRDefault="003C66EB">
            <w:pPr>
              <w:rPr>
                <w:rFonts w:ascii="宋体"/>
                <w:vanish/>
              </w:rPr>
            </w:pPr>
          </w:p>
        </w:tc>
        <w:tc>
          <w:tcPr>
            <w:tcW w:w="0" w:type="auto"/>
            <w:gridSpan w:val="3"/>
            <w:shd w:val="clear" w:color="auto" w:fill="auto"/>
          </w:tcPr>
          <w:p w14:paraId="5EA24E5C" w14:textId="77777777" w:rsidR="003C66EB" w:rsidRDefault="003C66EB">
            <w:pPr>
              <w:rPr>
                <w:rFonts w:ascii="宋体"/>
                <w:vanish/>
              </w:rPr>
            </w:pPr>
          </w:p>
        </w:tc>
        <w:tc>
          <w:tcPr>
            <w:tcW w:w="0" w:type="auto"/>
            <w:gridSpan w:val="3"/>
            <w:shd w:val="clear" w:color="auto" w:fill="auto"/>
          </w:tcPr>
          <w:p w14:paraId="5EA24E5D" w14:textId="77777777" w:rsidR="003C66EB" w:rsidRDefault="003C66EB">
            <w:pPr>
              <w:rPr>
                <w:rFonts w:ascii="宋体"/>
                <w:vanish/>
              </w:rPr>
            </w:pPr>
          </w:p>
        </w:tc>
        <w:tc>
          <w:tcPr>
            <w:tcW w:w="0" w:type="auto"/>
            <w:gridSpan w:val="3"/>
            <w:shd w:val="clear" w:color="auto" w:fill="auto"/>
          </w:tcPr>
          <w:p w14:paraId="5EA24E5E" w14:textId="77777777" w:rsidR="003C66EB" w:rsidRDefault="003C66EB">
            <w:pPr>
              <w:rPr>
                <w:rFonts w:ascii="宋体"/>
                <w:vanish/>
              </w:rPr>
            </w:pPr>
          </w:p>
        </w:tc>
        <w:tc>
          <w:tcPr>
            <w:tcW w:w="0" w:type="auto"/>
            <w:gridSpan w:val="3"/>
            <w:shd w:val="clear" w:color="auto" w:fill="auto"/>
          </w:tcPr>
          <w:p w14:paraId="5EA24E5F" w14:textId="77777777" w:rsidR="003C66EB" w:rsidRDefault="003C66EB">
            <w:pPr>
              <w:rPr>
                <w:rFonts w:ascii="宋体"/>
                <w:vanish/>
              </w:rPr>
            </w:pPr>
          </w:p>
        </w:tc>
        <w:tc>
          <w:tcPr>
            <w:tcW w:w="0" w:type="auto"/>
            <w:gridSpan w:val="3"/>
            <w:shd w:val="clear" w:color="auto" w:fill="auto"/>
          </w:tcPr>
          <w:p w14:paraId="5EA24E60" w14:textId="77777777" w:rsidR="003C66EB" w:rsidRDefault="003C66EB">
            <w:pPr>
              <w:rPr>
                <w:rFonts w:ascii="宋体"/>
                <w:vanish/>
              </w:rPr>
            </w:pPr>
          </w:p>
        </w:tc>
        <w:tc>
          <w:tcPr>
            <w:tcW w:w="0" w:type="auto"/>
            <w:gridSpan w:val="3"/>
            <w:shd w:val="clear" w:color="auto" w:fill="auto"/>
          </w:tcPr>
          <w:p w14:paraId="5EA24E61" w14:textId="77777777" w:rsidR="003C66EB" w:rsidRDefault="003C66EB">
            <w:pPr>
              <w:rPr>
                <w:rFonts w:ascii="宋体"/>
                <w:vanish/>
              </w:rPr>
            </w:pPr>
          </w:p>
        </w:tc>
        <w:tc>
          <w:tcPr>
            <w:tcW w:w="0" w:type="auto"/>
            <w:shd w:val="clear" w:color="auto" w:fill="auto"/>
          </w:tcPr>
          <w:p w14:paraId="5EA24E62" w14:textId="77777777" w:rsidR="003C66EB" w:rsidRDefault="003C66EB">
            <w:pPr>
              <w:rPr>
                <w:rFonts w:ascii="宋体"/>
                <w:vanish/>
              </w:rPr>
            </w:pPr>
          </w:p>
        </w:tc>
        <w:tc>
          <w:tcPr>
            <w:tcW w:w="0" w:type="auto"/>
            <w:shd w:val="clear" w:color="auto" w:fill="auto"/>
          </w:tcPr>
          <w:p w14:paraId="5EA24E63" w14:textId="77777777" w:rsidR="003C66EB" w:rsidRDefault="003C66EB">
            <w:pPr>
              <w:rPr>
                <w:rFonts w:ascii="宋体"/>
                <w:vanish/>
              </w:rPr>
            </w:pPr>
          </w:p>
        </w:tc>
        <w:tc>
          <w:tcPr>
            <w:tcW w:w="0" w:type="auto"/>
            <w:gridSpan w:val="3"/>
            <w:shd w:val="clear" w:color="auto" w:fill="auto"/>
          </w:tcPr>
          <w:p w14:paraId="5EA24E64" w14:textId="77777777" w:rsidR="003C66EB" w:rsidRDefault="003C66EB">
            <w:pPr>
              <w:rPr>
                <w:rFonts w:ascii="宋体"/>
                <w:vanish/>
              </w:rPr>
            </w:pPr>
          </w:p>
        </w:tc>
        <w:tc>
          <w:tcPr>
            <w:tcW w:w="0" w:type="auto"/>
            <w:gridSpan w:val="3"/>
            <w:shd w:val="clear" w:color="auto" w:fill="auto"/>
          </w:tcPr>
          <w:p w14:paraId="5EA24E65" w14:textId="77777777" w:rsidR="003C66EB" w:rsidRDefault="003C66EB">
            <w:pPr>
              <w:rPr>
                <w:rFonts w:ascii="宋体"/>
                <w:vanish/>
              </w:rPr>
            </w:pPr>
          </w:p>
        </w:tc>
        <w:tc>
          <w:tcPr>
            <w:tcW w:w="0" w:type="auto"/>
            <w:gridSpan w:val="3"/>
            <w:shd w:val="clear" w:color="auto" w:fill="auto"/>
          </w:tcPr>
          <w:p w14:paraId="5EA24E66" w14:textId="77777777" w:rsidR="003C66EB" w:rsidRDefault="003C66EB">
            <w:pPr>
              <w:rPr>
                <w:rFonts w:ascii="宋体"/>
                <w:vanish/>
              </w:rPr>
            </w:pPr>
          </w:p>
        </w:tc>
        <w:tc>
          <w:tcPr>
            <w:tcW w:w="0" w:type="auto"/>
            <w:gridSpan w:val="3"/>
            <w:shd w:val="clear" w:color="auto" w:fill="auto"/>
          </w:tcPr>
          <w:p w14:paraId="5EA24E67" w14:textId="77777777" w:rsidR="003C66EB" w:rsidRDefault="003C66EB">
            <w:pPr>
              <w:rPr>
                <w:rFonts w:ascii="宋体"/>
                <w:vanish/>
              </w:rPr>
            </w:pPr>
          </w:p>
        </w:tc>
        <w:tc>
          <w:tcPr>
            <w:tcW w:w="0" w:type="auto"/>
            <w:gridSpan w:val="3"/>
            <w:shd w:val="clear" w:color="auto" w:fill="auto"/>
          </w:tcPr>
          <w:p w14:paraId="5EA24E68" w14:textId="77777777" w:rsidR="003C66EB" w:rsidRDefault="003C66EB">
            <w:pPr>
              <w:rPr>
                <w:rFonts w:ascii="宋体"/>
                <w:vanish/>
              </w:rPr>
            </w:pPr>
          </w:p>
        </w:tc>
      </w:tr>
      <w:tr w:rsidR="003C66EB" w14:paraId="5EA24E7C" w14:textId="77777777">
        <w:trPr>
          <w:hidden/>
        </w:trPr>
        <w:tc>
          <w:tcPr>
            <w:tcW w:w="0" w:type="auto"/>
            <w:gridSpan w:val="3"/>
            <w:shd w:val="clear" w:color="auto" w:fill="auto"/>
          </w:tcPr>
          <w:p w14:paraId="5EA24E6A" w14:textId="77777777" w:rsidR="003C66EB" w:rsidRDefault="003C66EB">
            <w:pPr>
              <w:rPr>
                <w:rFonts w:ascii="宋体"/>
                <w:vanish/>
              </w:rPr>
            </w:pPr>
          </w:p>
        </w:tc>
        <w:tc>
          <w:tcPr>
            <w:tcW w:w="0" w:type="auto"/>
            <w:gridSpan w:val="3"/>
            <w:shd w:val="clear" w:color="auto" w:fill="auto"/>
          </w:tcPr>
          <w:p w14:paraId="5EA24E6B" w14:textId="77777777" w:rsidR="003C66EB" w:rsidRDefault="003C66EB">
            <w:pPr>
              <w:rPr>
                <w:rFonts w:ascii="宋体"/>
                <w:vanish/>
              </w:rPr>
            </w:pPr>
          </w:p>
        </w:tc>
        <w:tc>
          <w:tcPr>
            <w:tcW w:w="0" w:type="auto"/>
            <w:gridSpan w:val="3"/>
            <w:shd w:val="clear" w:color="auto" w:fill="auto"/>
          </w:tcPr>
          <w:p w14:paraId="5EA24E6C" w14:textId="77777777" w:rsidR="003C66EB" w:rsidRDefault="003C66EB">
            <w:pPr>
              <w:rPr>
                <w:rFonts w:ascii="宋体"/>
                <w:vanish/>
              </w:rPr>
            </w:pPr>
          </w:p>
        </w:tc>
        <w:tc>
          <w:tcPr>
            <w:tcW w:w="0" w:type="auto"/>
            <w:gridSpan w:val="3"/>
            <w:shd w:val="clear" w:color="auto" w:fill="auto"/>
          </w:tcPr>
          <w:p w14:paraId="5EA24E6D" w14:textId="77777777" w:rsidR="003C66EB" w:rsidRDefault="003C66EB">
            <w:pPr>
              <w:rPr>
                <w:rFonts w:ascii="宋体"/>
                <w:vanish/>
              </w:rPr>
            </w:pPr>
          </w:p>
        </w:tc>
        <w:tc>
          <w:tcPr>
            <w:tcW w:w="0" w:type="auto"/>
            <w:gridSpan w:val="3"/>
            <w:shd w:val="clear" w:color="auto" w:fill="auto"/>
          </w:tcPr>
          <w:p w14:paraId="5EA24E6E" w14:textId="77777777" w:rsidR="003C66EB" w:rsidRDefault="003C66EB">
            <w:pPr>
              <w:rPr>
                <w:rFonts w:ascii="宋体"/>
                <w:vanish/>
              </w:rPr>
            </w:pPr>
          </w:p>
        </w:tc>
        <w:tc>
          <w:tcPr>
            <w:tcW w:w="0" w:type="auto"/>
            <w:gridSpan w:val="3"/>
            <w:shd w:val="clear" w:color="auto" w:fill="auto"/>
          </w:tcPr>
          <w:p w14:paraId="5EA24E6F" w14:textId="77777777" w:rsidR="003C66EB" w:rsidRDefault="003C66EB">
            <w:pPr>
              <w:rPr>
                <w:rFonts w:ascii="宋体"/>
                <w:vanish/>
              </w:rPr>
            </w:pPr>
          </w:p>
        </w:tc>
        <w:tc>
          <w:tcPr>
            <w:tcW w:w="0" w:type="auto"/>
            <w:gridSpan w:val="3"/>
            <w:shd w:val="clear" w:color="auto" w:fill="auto"/>
          </w:tcPr>
          <w:p w14:paraId="5EA24E70" w14:textId="77777777" w:rsidR="003C66EB" w:rsidRDefault="003C66EB">
            <w:pPr>
              <w:rPr>
                <w:rFonts w:ascii="宋体"/>
                <w:vanish/>
              </w:rPr>
            </w:pPr>
          </w:p>
        </w:tc>
        <w:tc>
          <w:tcPr>
            <w:tcW w:w="0" w:type="auto"/>
            <w:gridSpan w:val="3"/>
            <w:shd w:val="clear" w:color="auto" w:fill="auto"/>
          </w:tcPr>
          <w:p w14:paraId="5EA24E71" w14:textId="77777777" w:rsidR="003C66EB" w:rsidRDefault="003C66EB">
            <w:pPr>
              <w:rPr>
                <w:rFonts w:ascii="宋体"/>
                <w:vanish/>
              </w:rPr>
            </w:pPr>
          </w:p>
        </w:tc>
        <w:tc>
          <w:tcPr>
            <w:tcW w:w="0" w:type="auto"/>
            <w:gridSpan w:val="3"/>
            <w:shd w:val="clear" w:color="auto" w:fill="auto"/>
          </w:tcPr>
          <w:p w14:paraId="5EA24E72" w14:textId="77777777" w:rsidR="003C66EB" w:rsidRDefault="003C66EB">
            <w:pPr>
              <w:rPr>
                <w:rFonts w:ascii="宋体"/>
                <w:vanish/>
              </w:rPr>
            </w:pPr>
          </w:p>
        </w:tc>
        <w:tc>
          <w:tcPr>
            <w:tcW w:w="0" w:type="auto"/>
            <w:gridSpan w:val="3"/>
            <w:shd w:val="clear" w:color="auto" w:fill="auto"/>
          </w:tcPr>
          <w:p w14:paraId="5EA24E73" w14:textId="77777777" w:rsidR="003C66EB" w:rsidRDefault="003C66EB">
            <w:pPr>
              <w:rPr>
                <w:rFonts w:ascii="宋体"/>
                <w:vanish/>
              </w:rPr>
            </w:pPr>
          </w:p>
        </w:tc>
        <w:tc>
          <w:tcPr>
            <w:tcW w:w="0" w:type="auto"/>
            <w:gridSpan w:val="3"/>
            <w:shd w:val="clear" w:color="auto" w:fill="auto"/>
          </w:tcPr>
          <w:p w14:paraId="5EA24E74" w14:textId="77777777" w:rsidR="003C66EB" w:rsidRDefault="003C66EB">
            <w:pPr>
              <w:rPr>
                <w:rFonts w:ascii="宋体"/>
                <w:vanish/>
              </w:rPr>
            </w:pPr>
          </w:p>
        </w:tc>
        <w:tc>
          <w:tcPr>
            <w:tcW w:w="0" w:type="auto"/>
            <w:shd w:val="clear" w:color="auto" w:fill="auto"/>
          </w:tcPr>
          <w:p w14:paraId="5EA24E75" w14:textId="77777777" w:rsidR="003C66EB" w:rsidRDefault="003C66EB">
            <w:pPr>
              <w:rPr>
                <w:rFonts w:ascii="宋体"/>
                <w:vanish/>
              </w:rPr>
            </w:pPr>
          </w:p>
        </w:tc>
        <w:tc>
          <w:tcPr>
            <w:tcW w:w="0" w:type="auto"/>
            <w:shd w:val="clear" w:color="auto" w:fill="auto"/>
          </w:tcPr>
          <w:p w14:paraId="5EA24E76" w14:textId="77777777" w:rsidR="003C66EB" w:rsidRDefault="003C66EB">
            <w:pPr>
              <w:rPr>
                <w:rFonts w:ascii="宋体"/>
                <w:vanish/>
              </w:rPr>
            </w:pPr>
          </w:p>
        </w:tc>
        <w:tc>
          <w:tcPr>
            <w:tcW w:w="0" w:type="auto"/>
            <w:gridSpan w:val="3"/>
            <w:shd w:val="clear" w:color="auto" w:fill="auto"/>
          </w:tcPr>
          <w:p w14:paraId="5EA24E77" w14:textId="77777777" w:rsidR="003C66EB" w:rsidRDefault="003C66EB">
            <w:pPr>
              <w:rPr>
                <w:rFonts w:ascii="宋体"/>
                <w:vanish/>
              </w:rPr>
            </w:pPr>
          </w:p>
        </w:tc>
        <w:tc>
          <w:tcPr>
            <w:tcW w:w="0" w:type="auto"/>
            <w:gridSpan w:val="3"/>
            <w:shd w:val="clear" w:color="auto" w:fill="auto"/>
          </w:tcPr>
          <w:p w14:paraId="5EA24E78" w14:textId="77777777" w:rsidR="003C66EB" w:rsidRDefault="003C66EB">
            <w:pPr>
              <w:rPr>
                <w:rFonts w:ascii="宋体"/>
                <w:vanish/>
              </w:rPr>
            </w:pPr>
          </w:p>
        </w:tc>
        <w:tc>
          <w:tcPr>
            <w:tcW w:w="0" w:type="auto"/>
            <w:gridSpan w:val="3"/>
            <w:shd w:val="clear" w:color="auto" w:fill="auto"/>
          </w:tcPr>
          <w:p w14:paraId="5EA24E79" w14:textId="77777777" w:rsidR="003C66EB" w:rsidRDefault="003C66EB">
            <w:pPr>
              <w:rPr>
                <w:rFonts w:ascii="宋体"/>
                <w:vanish/>
              </w:rPr>
            </w:pPr>
          </w:p>
        </w:tc>
        <w:tc>
          <w:tcPr>
            <w:tcW w:w="0" w:type="auto"/>
            <w:gridSpan w:val="3"/>
            <w:shd w:val="clear" w:color="auto" w:fill="auto"/>
          </w:tcPr>
          <w:p w14:paraId="5EA24E7A" w14:textId="77777777" w:rsidR="003C66EB" w:rsidRDefault="003C66EB">
            <w:pPr>
              <w:rPr>
                <w:rFonts w:ascii="宋体"/>
                <w:vanish/>
              </w:rPr>
            </w:pPr>
          </w:p>
        </w:tc>
        <w:tc>
          <w:tcPr>
            <w:tcW w:w="0" w:type="auto"/>
            <w:gridSpan w:val="3"/>
            <w:shd w:val="clear" w:color="auto" w:fill="auto"/>
          </w:tcPr>
          <w:p w14:paraId="5EA24E7B" w14:textId="77777777" w:rsidR="003C66EB" w:rsidRDefault="003C66EB">
            <w:pPr>
              <w:rPr>
                <w:rFonts w:ascii="宋体"/>
                <w:vanish/>
              </w:rPr>
            </w:pPr>
          </w:p>
        </w:tc>
      </w:tr>
    </w:tbl>
    <w:p w14:paraId="5EA24E7D"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24E84" w14:textId="77777777">
        <w:tc>
          <w:tcPr>
            <w:tcW w:w="50" w:type="pct"/>
            <w:shd w:val="clear" w:color="auto" w:fill="auto"/>
          </w:tcPr>
          <w:p w14:paraId="5EA24E7E" w14:textId="77777777" w:rsidR="003C66EB" w:rsidRDefault="003C66EB">
            <w:pPr>
              <w:rPr>
                <w:rFonts w:ascii="宋体"/>
              </w:rPr>
            </w:pPr>
          </w:p>
        </w:tc>
        <w:tc>
          <w:tcPr>
            <w:tcW w:w="1348" w:type="pct"/>
            <w:shd w:val="clear" w:color="auto" w:fill="auto"/>
          </w:tcPr>
          <w:p w14:paraId="5EA24E7F" w14:textId="77777777" w:rsidR="003C66EB" w:rsidRDefault="003C66EB">
            <w:pPr>
              <w:rPr>
                <w:rFonts w:ascii="宋体"/>
              </w:rPr>
            </w:pPr>
          </w:p>
        </w:tc>
        <w:tc>
          <w:tcPr>
            <w:tcW w:w="5" w:type="pct"/>
            <w:shd w:val="clear" w:color="auto" w:fill="auto"/>
          </w:tcPr>
          <w:p w14:paraId="5EA24E80" w14:textId="77777777" w:rsidR="003C66EB" w:rsidRDefault="003C66EB">
            <w:pPr>
              <w:rPr>
                <w:rFonts w:ascii="宋体"/>
              </w:rPr>
            </w:pPr>
          </w:p>
        </w:tc>
        <w:tc>
          <w:tcPr>
            <w:tcW w:w="50" w:type="pct"/>
            <w:shd w:val="clear" w:color="auto" w:fill="auto"/>
          </w:tcPr>
          <w:p w14:paraId="5EA24E81" w14:textId="77777777" w:rsidR="003C66EB" w:rsidRDefault="003C66EB">
            <w:pPr>
              <w:rPr>
                <w:rFonts w:ascii="宋体"/>
              </w:rPr>
            </w:pPr>
          </w:p>
        </w:tc>
        <w:tc>
          <w:tcPr>
            <w:tcW w:w="3541" w:type="pct"/>
            <w:shd w:val="clear" w:color="auto" w:fill="auto"/>
          </w:tcPr>
          <w:p w14:paraId="5EA24E82" w14:textId="77777777" w:rsidR="003C66EB" w:rsidRDefault="003C66EB">
            <w:pPr>
              <w:rPr>
                <w:rFonts w:ascii="宋体"/>
              </w:rPr>
            </w:pPr>
          </w:p>
        </w:tc>
        <w:tc>
          <w:tcPr>
            <w:tcW w:w="5" w:type="pct"/>
            <w:shd w:val="clear" w:color="auto" w:fill="auto"/>
          </w:tcPr>
          <w:p w14:paraId="5EA24E83" w14:textId="77777777" w:rsidR="003C66EB" w:rsidRDefault="003C66EB">
            <w:pPr>
              <w:rPr>
                <w:rFonts w:ascii="宋体"/>
              </w:rPr>
            </w:pPr>
          </w:p>
        </w:tc>
      </w:tr>
      <w:tr w:rsidR="003C66EB" w14:paraId="5EA24E8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4E8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86" w14:textId="77777777" w:rsidR="003C66EB" w:rsidRDefault="003C66EB">
            <w:pPr>
              <w:rPr>
                <w:rFonts w:ascii="宋体"/>
              </w:rPr>
            </w:pPr>
          </w:p>
        </w:tc>
      </w:tr>
    </w:tbl>
    <w:p w14:paraId="5EA24E88" w14:textId="77777777" w:rsidR="003C66EB" w:rsidRDefault="00D96C4E">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March 31, 2021, accrued interest receivable of $105 million included in the amortized cost </w:t>
      </w:r>
      <w:r>
        <w:rPr>
          <w:rFonts w:ascii="Arial" w:eastAsia="宋体" w:hAnsi="Arial" w:cs="Arial"/>
          <w:color w:val="000000"/>
          <w:sz w:val="13"/>
          <w:szCs w:val="13"/>
        </w:rPr>
        <w:t>basis of loans has been excluded from the amortized cost basis within this table.</w:t>
      </w:r>
    </w:p>
    <w:p w14:paraId="5EA24E89" w14:textId="77777777" w:rsidR="003C66EB" w:rsidRDefault="003C66EB">
      <w:pPr>
        <w:spacing w:before="20"/>
        <w:ind w:firstLine="450"/>
        <w:jc w:val="both"/>
      </w:pPr>
    </w:p>
    <w:p w14:paraId="5EA24E8A" w14:textId="77777777" w:rsidR="003C66EB" w:rsidRDefault="00D96C4E">
      <w:pPr>
        <w:ind w:firstLine="450"/>
        <w:jc w:val="right"/>
      </w:pPr>
      <w:r>
        <w:rPr>
          <w:rFonts w:ascii="Arial" w:eastAsia="宋体" w:hAnsi="Arial" w:cs="Arial"/>
          <w:color w:val="000000"/>
          <w:sz w:val="18"/>
          <w:szCs w:val="18"/>
        </w:rPr>
        <w:t>State Street Corporation | 65</w:t>
      </w:r>
    </w:p>
    <w:p w14:paraId="5EA24E8B" w14:textId="77777777" w:rsidR="003C66EB" w:rsidRDefault="003C66EB">
      <w:pPr>
        <w:ind w:firstLine="450"/>
        <w:jc w:val="center"/>
      </w:pPr>
    </w:p>
    <w:p w14:paraId="5EA24E8C" w14:textId="77777777" w:rsidR="003C66EB" w:rsidRDefault="00D96C4E">
      <w:r>
        <w:pict w14:anchorId="5EA287F1">
          <v:rect id="_x0000_i1089" style="width:415.3pt;height:1.5pt" o:hralign="center" o:hrstd="t" o:hr="t" fillcolor="#a0a0a0" stroked="f"/>
        </w:pict>
      </w:r>
    </w:p>
    <w:p w14:paraId="5EA24E8D" w14:textId="77777777" w:rsidR="003C66EB" w:rsidRDefault="00D96C4E">
      <w:pPr>
        <w:ind w:firstLine="450"/>
        <w:jc w:val="center"/>
      </w:pPr>
      <w:r>
        <w:rPr>
          <w:rFonts w:ascii="Arial" w:eastAsia="宋体" w:hAnsi="Arial" w:cs="Arial"/>
          <w:b/>
          <w:bCs/>
          <w:color w:val="000000"/>
          <w:sz w:val="20"/>
          <w:szCs w:val="20"/>
        </w:rPr>
        <w:t>STATE STREET CORPORATION</w:t>
      </w:r>
    </w:p>
    <w:p w14:paraId="5EA24E8E"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4E8F" w14:textId="77777777" w:rsidR="003C66EB" w:rsidRDefault="00D96C4E">
      <w:pPr>
        <w:ind w:firstLine="450"/>
        <w:jc w:val="center"/>
      </w:pPr>
      <w:r>
        <w:rPr>
          <w:rFonts w:ascii="Arial" w:eastAsia="宋体" w:hAnsi="Arial" w:cs="Arial"/>
          <w:b/>
          <w:bCs/>
          <w:color w:val="000000"/>
          <w:sz w:val="20"/>
          <w:szCs w:val="20"/>
        </w:rPr>
        <w:t>(UNAUDITED)</w:t>
      </w:r>
    </w:p>
    <w:p w14:paraId="5EA24E90" w14:textId="77777777" w:rsidR="003C66EB" w:rsidRDefault="00D96C4E">
      <w:pPr>
        <w:spacing w:before="60"/>
        <w:ind w:firstLine="450"/>
        <w:jc w:val="both"/>
      </w:pPr>
      <w:r>
        <w:rPr>
          <w:rFonts w:ascii="Arial" w:eastAsia="宋体" w:hAnsi="Arial" w:cs="Arial"/>
          <w:color w:val="000000"/>
          <w:sz w:val="20"/>
          <w:szCs w:val="20"/>
        </w:rPr>
        <w:t xml:space="preserve">The following table presents the </w:t>
      </w:r>
      <w:r>
        <w:rPr>
          <w:rFonts w:ascii="Arial" w:eastAsia="宋体" w:hAnsi="Arial" w:cs="Arial"/>
          <w:color w:val="000000"/>
          <w:sz w:val="20"/>
          <w:szCs w:val="20"/>
        </w:rPr>
        <w:t>amortized cost basis, by year of origination and credit quality indicator as of December 31, 2020:</w:t>
      </w:r>
    </w:p>
    <w:p w14:paraId="5EA24E91" w14:textId="77777777" w:rsidR="003C66EB" w:rsidRDefault="003C66EB">
      <w:pPr>
        <w:spacing w:before="20"/>
        <w:ind w:firstLine="450"/>
        <w:jc w:val="both"/>
      </w:pPr>
    </w:p>
    <w:p w14:paraId="5EA24E92" w14:textId="77777777" w:rsidR="003C66EB" w:rsidRDefault="003C66EB">
      <w:pPr>
        <w:spacing w:before="20"/>
        <w:ind w:firstLine="450"/>
        <w:jc w:val="both"/>
      </w:pPr>
    </w:p>
    <w:tbl>
      <w:tblPr>
        <w:tblW w:w="5000" w:type="pct"/>
        <w:tblCellMar>
          <w:top w:w="15" w:type="dxa"/>
          <w:left w:w="15" w:type="dxa"/>
          <w:bottom w:w="15" w:type="dxa"/>
          <w:right w:w="15" w:type="dxa"/>
        </w:tblCellMar>
        <w:tblLook w:val="04A0" w:firstRow="1" w:lastRow="0" w:firstColumn="1" w:lastColumn="0" w:noHBand="0" w:noVBand="1"/>
      </w:tblPr>
      <w:tblGrid>
        <w:gridCol w:w="41"/>
        <w:gridCol w:w="2362"/>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9"/>
        <w:gridCol w:w="439"/>
        <w:gridCol w:w="36"/>
        <w:gridCol w:w="36"/>
        <w:gridCol w:w="36"/>
        <w:gridCol w:w="36"/>
        <w:gridCol w:w="99"/>
        <w:gridCol w:w="851"/>
        <w:gridCol w:w="36"/>
        <w:gridCol w:w="36"/>
        <w:gridCol w:w="36"/>
        <w:gridCol w:w="36"/>
        <w:gridCol w:w="98"/>
        <w:gridCol w:w="468"/>
        <w:gridCol w:w="36"/>
      </w:tblGrid>
      <w:tr w:rsidR="003C66EB" w14:paraId="5EA24EC5" w14:textId="77777777">
        <w:tc>
          <w:tcPr>
            <w:tcW w:w="50" w:type="pct"/>
            <w:shd w:val="clear" w:color="auto" w:fill="auto"/>
          </w:tcPr>
          <w:p w14:paraId="5EA24E93" w14:textId="77777777" w:rsidR="003C66EB" w:rsidRDefault="003C66EB">
            <w:pPr>
              <w:rPr>
                <w:rFonts w:ascii="宋体"/>
              </w:rPr>
            </w:pPr>
          </w:p>
        </w:tc>
        <w:tc>
          <w:tcPr>
            <w:tcW w:w="1458" w:type="pct"/>
            <w:shd w:val="clear" w:color="auto" w:fill="auto"/>
          </w:tcPr>
          <w:p w14:paraId="5EA24E94" w14:textId="77777777" w:rsidR="003C66EB" w:rsidRDefault="003C66EB">
            <w:pPr>
              <w:rPr>
                <w:rFonts w:ascii="宋体"/>
              </w:rPr>
            </w:pPr>
          </w:p>
        </w:tc>
        <w:tc>
          <w:tcPr>
            <w:tcW w:w="5" w:type="pct"/>
            <w:shd w:val="clear" w:color="auto" w:fill="auto"/>
          </w:tcPr>
          <w:p w14:paraId="5EA24E95" w14:textId="77777777" w:rsidR="003C66EB" w:rsidRDefault="003C66EB">
            <w:pPr>
              <w:rPr>
                <w:rFonts w:ascii="宋体"/>
              </w:rPr>
            </w:pPr>
          </w:p>
        </w:tc>
        <w:tc>
          <w:tcPr>
            <w:tcW w:w="50" w:type="pct"/>
            <w:shd w:val="clear" w:color="auto" w:fill="auto"/>
          </w:tcPr>
          <w:p w14:paraId="5EA24E96" w14:textId="77777777" w:rsidR="003C66EB" w:rsidRDefault="003C66EB">
            <w:pPr>
              <w:rPr>
                <w:rFonts w:ascii="宋体"/>
              </w:rPr>
            </w:pPr>
          </w:p>
        </w:tc>
        <w:tc>
          <w:tcPr>
            <w:tcW w:w="317" w:type="pct"/>
            <w:shd w:val="clear" w:color="auto" w:fill="auto"/>
          </w:tcPr>
          <w:p w14:paraId="5EA24E97" w14:textId="77777777" w:rsidR="003C66EB" w:rsidRDefault="003C66EB">
            <w:pPr>
              <w:rPr>
                <w:rFonts w:ascii="宋体"/>
              </w:rPr>
            </w:pPr>
          </w:p>
        </w:tc>
        <w:tc>
          <w:tcPr>
            <w:tcW w:w="5" w:type="pct"/>
            <w:shd w:val="clear" w:color="auto" w:fill="auto"/>
          </w:tcPr>
          <w:p w14:paraId="5EA24E98" w14:textId="77777777" w:rsidR="003C66EB" w:rsidRDefault="003C66EB">
            <w:pPr>
              <w:rPr>
                <w:rFonts w:ascii="宋体"/>
              </w:rPr>
            </w:pPr>
          </w:p>
        </w:tc>
        <w:tc>
          <w:tcPr>
            <w:tcW w:w="5" w:type="pct"/>
            <w:shd w:val="clear" w:color="auto" w:fill="auto"/>
          </w:tcPr>
          <w:p w14:paraId="5EA24E99" w14:textId="77777777" w:rsidR="003C66EB" w:rsidRDefault="003C66EB">
            <w:pPr>
              <w:rPr>
                <w:rFonts w:ascii="宋体"/>
              </w:rPr>
            </w:pPr>
          </w:p>
        </w:tc>
        <w:tc>
          <w:tcPr>
            <w:tcW w:w="26" w:type="pct"/>
            <w:shd w:val="clear" w:color="auto" w:fill="auto"/>
          </w:tcPr>
          <w:p w14:paraId="5EA24E9A" w14:textId="77777777" w:rsidR="003C66EB" w:rsidRDefault="003C66EB">
            <w:pPr>
              <w:rPr>
                <w:rFonts w:ascii="宋体"/>
              </w:rPr>
            </w:pPr>
          </w:p>
        </w:tc>
        <w:tc>
          <w:tcPr>
            <w:tcW w:w="5" w:type="pct"/>
            <w:shd w:val="clear" w:color="auto" w:fill="auto"/>
          </w:tcPr>
          <w:p w14:paraId="5EA24E9B" w14:textId="77777777" w:rsidR="003C66EB" w:rsidRDefault="003C66EB">
            <w:pPr>
              <w:rPr>
                <w:rFonts w:ascii="宋体"/>
              </w:rPr>
            </w:pPr>
          </w:p>
        </w:tc>
        <w:tc>
          <w:tcPr>
            <w:tcW w:w="50" w:type="pct"/>
            <w:shd w:val="clear" w:color="auto" w:fill="auto"/>
          </w:tcPr>
          <w:p w14:paraId="5EA24E9C" w14:textId="77777777" w:rsidR="003C66EB" w:rsidRDefault="003C66EB">
            <w:pPr>
              <w:rPr>
                <w:rFonts w:ascii="宋体"/>
              </w:rPr>
            </w:pPr>
          </w:p>
        </w:tc>
        <w:tc>
          <w:tcPr>
            <w:tcW w:w="317" w:type="pct"/>
            <w:shd w:val="clear" w:color="auto" w:fill="auto"/>
          </w:tcPr>
          <w:p w14:paraId="5EA24E9D" w14:textId="77777777" w:rsidR="003C66EB" w:rsidRDefault="003C66EB">
            <w:pPr>
              <w:rPr>
                <w:rFonts w:ascii="宋体"/>
              </w:rPr>
            </w:pPr>
          </w:p>
        </w:tc>
        <w:tc>
          <w:tcPr>
            <w:tcW w:w="5" w:type="pct"/>
            <w:shd w:val="clear" w:color="auto" w:fill="auto"/>
          </w:tcPr>
          <w:p w14:paraId="5EA24E9E" w14:textId="77777777" w:rsidR="003C66EB" w:rsidRDefault="003C66EB">
            <w:pPr>
              <w:rPr>
                <w:rFonts w:ascii="宋体"/>
              </w:rPr>
            </w:pPr>
          </w:p>
        </w:tc>
        <w:tc>
          <w:tcPr>
            <w:tcW w:w="5" w:type="pct"/>
            <w:shd w:val="clear" w:color="auto" w:fill="auto"/>
          </w:tcPr>
          <w:p w14:paraId="5EA24E9F" w14:textId="77777777" w:rsidR="003C66EB" w:rsidRDefault="003C66EB">
            <w:pPr>
              <w:rPr>
                <w:rFonts w:ascii="宋体"/>
              </w:rPr>
            </w:pPr>
          </w:p>
        </w:tc>
        <w:tc>
          <w:tcPr>
            <w:tcW w:w="26" w:type="pct"/>
            <w:shd w:val="clear" w:color="auto" w:fill="auto"/>
          </w:tcPr>
          <w:p w14:paraId="5EA24EA0" w14:textId="77777777" w:rsidR="003C66EB" w:rsidRDefault="003C66EB">
            <w:pPr>
              <w:rPr>
                <w:rFonts w:ascii="宋体"/>
              </w:rPr>
            </w:pPr>
          </w:p>
        </w:tc>
        <w:tc>
          <w:tcPr>
            <w:tcW w:w="5" w:type="pct"/>
            <w:shd w:val="clear" w:color="auto" w:fill="auto"/>
          </w:tcPr>
          <w:p w14:paraId="5EA24EA1" w14:textId="77777777" w:rsidR="003C66EB" w:rsidRDefault="003C66EB">
            <w:pPr>
              <w:rPr>
                <w:rFonts w:ascii="宋体"/>
              </w:rPr>
            </w:pPr>
          </w:p>
        </w:tc>
        <w:tc>
          <w:tcPr>
            <w:tcW w:w="50" w:type="pct"/>
            <w:shd w:val="clear" w:color="auto" w:fill="auto"/>
          </w:tcPr>
          <w:p w14:paraId="5EA24EA2" w14:textId="77777777" w:rsidR="003C66EB" w:rsidRDefault="003C66EB">
            <w:pPr>
              <w:rPr>
                <w:rFonts w:ascii="宋体"/>
              </w:rPr>
            </w:pPr>
          </w:p>
        </w:tc>
        <w:tc>
          <w:tcPr>
            <w:tcW w:w="317" w:type="pct"/>
            <w:shd w:val="clear" w:color="auto" w:fill="auto"/>
          </w:tcPr>
          <w:p w14:paraId="5EA24EA3" w14:textId="77777777" w:rsidR="003C66EB" w:rsidRDefault="003C66EB">
            <w:pPr>
              <w:rPr>
                <w:rFonts w:ascii="宋体"/>
              </w:rPr>
            </w:pPr>
          </w:p>
        </w:tc>
        <w:tc>
          <w:tcPr>
            <w:tcW w:w="5" w:type="pct"/>
            <w:shd w:val="clear" w:color="auto" w:fill="auto"/>
          </w:tcPr>
          <w:p w14:paraId="5EA24EA4" w14:textId="77777777" w:rsidR="003C66EB" w:rsidRDefault="003C66EB">
            <w:pPr>
              <w:rPr>
                <w:rFonts w:ascii="宋体"/>
              </w:rPr>
            </w:pPr>
          </w:p>
        </w:tc>
        <w:tc>
          <w:tcPr>
            <w:tcW w:w="5" w:type="pct"/>
            <w:shd w:val="clear" w:color="auto" w:fill="auto"/>
          </w:tcPr>
          <w:p w14:paraId="5EA24EA5" w14:textId="77777777" w:rsidR="003C66EB" w:rsidRDefault="003C66EB">
            <w:pPr>
              <w:rPr>
                <w:rFonts w:ascii="宋体"/>
              </w:rPr>
            </w:pPr>
          </w:p>
        </w:tc>
        <w:tc>
          <w:tcPr>
            <w:tcW w:w="26" w:type="pct"/>
            <w:shd w:val="clear" w:color="auto" w:fill="auto"/>
          </w:tcPr>
          <w:p w14:paraId="5EA24EA6" w14:textId="77777777" w:rsidR="003C66EB" w:rsidRDefault="003C66EB">
            <w:pPr>
              <w:rPr>
                <w:rFonts w:ascii="宋体"/>
              </w:rPr>
            </w:pPr>
          </w:p>
        </w:tc>
        <w:tc>
          <w:tcPr>
            <w:tcW w:w="5" w:type="pct"/>
            <w:shd w:val="clear" w:color="auto" w:fill="auto"/>
          </w:tcPr>
          <w:p w14:paraId="5EA24EA7" w14:textId="77777777" w:rsidR="003C66EB" w:rsidRDefault="003C66EB">
            <w:pPr>
              <w:rPr>
                <w:rFonts w:ascii="宋体"/>
              </w:rPr>
            </w:pPr>
          </w:p>
        </w:tc>
        <w:tc>
          <w:tcPr>
            <w:tcW w:w="50" w:type="pct"/>
            <w:shd w:val="clear" w:color="auto" w:fill="auto"/>
          </w:tcPr>
          <w:p w14:paraId="5EA24EA8" w14:textId="77777777" w:rsidR="003C66EB" w:rsidRDefault="003C66EB">
            <w:pPr>
              <w:rPr>
                <w:rFonts w:ascii="宋体"/>
              </w:rPr>
            </w:pPr>
          </w:p>
        </w:tc>
        <w:tc>
          <w:tcPr>
            <w:tcW w:w="317" w:type="pct"/>
            <w:shd w:val="clear" w:color="auto" w:fill="auto"/>
          </w:tcPr>
          <w:p w14:paraId="5EA24EA9" w14:textId="77777777" w:rsidR="003C66EB" w:rsidRDefault="003C66EB">
            <w:pPr>
              <w:rPr>
                <w:rFonts w:ascii="宋体"/>
              </w:rPr>
            </w:pPr>
          </w:p>
        </w:tc>
        <w:tc>
          <w:tcPr>
            <w:tcW w:w="5" w:type="pct"/>
            <w:shd w:val="clear" w:color="auto" w:fill="auto"/>
          </w:tcPr>
          <w:p w14:paraId="5EA24EAA" w14:textId="77777777" w:rsidR="003C66EB" w:rsidRDefault="003C66EB">
            <w:pPr>
              <w:rPr>
                <w:rFonts w:ascii="宋体"/>
              </w:rPr>
            </w:pPr>
          </w:p>
        </w:tc>
        <w:tc>
          <w:tcPr>
            <w:tcW w:w="5" w:type="pct"/>
            <w:shd w:val="clear" w:color="auto" w:fill="auto"/>
          </w:tcPr>
          <w:p w14:paraId="5EA24EAB" w14:textId="77777777" w:rsidR="003C66EB" w:rsidRDefault="003C66EB">
            <w:pPr>
              <w:rPr>
                <w:rFonts w:ascii="宋体"/>
              </w:rPr>
            </w:pPr>
          </w:p>
        </w:tc>
        <w:tc>
          <w:tcPr>
            <w:tcW w:w="26" w:type="pct"/>
            <w:shd w:val="clear" w:color="auto" w:fill="auto"/>
          </w:tcPr>
          <w:p w14:paraId="5EA24EAC" w14:textId="77777777" w:rsidR="003C66EB" w:rsidRDefault="003C66EB">
            <w:pPr>
              <w:rPr>
                <w:rFonts w:ascii="宋体"/>
              </w:rPr>
            </w:pPr>
          </w:p>
        </w:tc>
        <w:tc>
          <w:tcPr>
            <w:tcW w:w="5" w:type="pct"/>
            <w:shd w:val="clear" w:color="auto" w:fill="auto"/>
          </w:tcPr>
          <w:p w14:paraId="5EA24EAD" w14:textId="77777777" w:rsidR="003C66EB" w:rsidRDefault="003C66EB">
            <w:pPr>
              <w:rPr>
                <w:rFonts w:ascii="宋体"/>
              </w:rPr>
            </w:pPr>
          </w:p>
        </w:tc>
        <w:tc>
          <w:tcPr>
            <w:tcW w:w="50" w:type="pct"/>
            <w:shd w:val="clear" w:color="auto" w:fill="auto"/>
          </w:tcPr>
          <w:p w14:paraId="5EA24EAE" w14:textId="77777777" w:rsidR="003C66EB" w:rsidRDefault="003C66EB">
            <w:pPr>
              <w:rPr>
                <w:rFonts w:ascii="宋体"/>
              </w:rPr>
            </w:pPr>
          </w:p>
        </w:tc>
        <w:tc>
          <w:tcPr>
            <w:tcW w:w="317" w:type="pct"/>
            <w:shd w:val="clear" w:color="auto" w:fill="auto"/>
          </w:tcPr>
          <w:p w14:paraId="5EA24EAF" w14:textId="77777777" w:rsidR="003C66EB" w:rsidRDefault="003C66EB">
            <w:pPr>
              <w:rPr>
                <w:rFonts w:ascii="宋体"/>
              </w:rPr>
            </w:pPr>
          </w:p>
        </w:tc>
        <w:tc>
          <w:tcPr>
            <w:tcW w:w="5" w:type="pct"/>
            <w:shd w:val="clear" w:color="auto" w:fill="auto"/>
          </w:tcPr>
          <w:p w14:paraId="5EA24EB0" w14:textId="77777777" w:rsidR="003C66EB" w:rsidRDefault="003C66EB">
            <w:pPr>
              <w:rPr>
                <w:rFonts w:ascii="宋体"/>
              </w:rPr>
            </w:pPr>
          </w:p>
        </w:tc>
        <w:tc>
          <w:tcPr>
            <w:tcW w:w="5" w:type="pct"/>
            <w:shd w:val="clear" w:color="auto" w:fill="auto"/>
          </w:tcPr>
          <w:p w14:paraId="5EA24EB1" w14:textId="77777777" w:rsidR="003C66EB" w:rsidRDefault="003C66EB">
            <w:pPr>
              <w:rPr>
                <w:rFonts w:ascii="宋体"/>
              </w:rPr>
            </w:pPr>
          </w:p>
        </w:tc>
        <w:tc>
          <w:tcPr>
            <w:tcW w:w="26" w:type="pct"/>
            <w:shd w:val="clear" w:color="auto" w:fill="auto"/>
          </w:tcPr>
          <w:p w14:paraId="5EA24EB2" w14:textId="77777777" w:rsidR="003C66EB" w:rsidRDefault="003C66EB">
            <w:pPr>
              <w:rPr>
                <w:rFonts w:ascii="宋体"/>
              </w:rPr>
            </w:pPr>
          </w:p>
        </w:tc>
        <w:tc>
          <w:tcPr>
            <w:tcW w:w="5" w:type="pct"/>
            <w:shd w:val="clear" w:color="auto" w:fill="auto"/>
          </w:tcPr>
          <w:p w14:paraId="5EA24EB3" w14:textId="77777777" w:rsidR="003C66EB" w:rsidRDefault="003C66EB">
            <w:pPr>
              <w:rPr>
                <w:rFonts w:ascii="宋体"/>
              </w:rPr>
            </w:pPr>
          </w:p>
        </w:tc>
        <w:tc>
          <w:tcPr>
            <w:tcW w:w="0" w:type="auto"/>
            <w:shd w:val="clear" w:color="auto" w:fill="auto"/>
          </w:tcPr>
          <w:p w14:paraId="5EA24EB4" w14:textId="77777777" w:rsidR="003C66EB" w:rsidRDefault="003C66EB">
            <w:pPr>
              <w:rPr>
                <w:rFonts w:ascii="宋体"/>
                <w:vanish/>
              </w:rPr>
            </w:pPr>
          </w:p>
        </w:tc>
        <w:tc>
          <w:tcPr>
            <w:tcW w:w="0" w:type="auto"/>
            <w:shd w:val="clear" w:color="auto" w:fill="auto"/>
          </w:tcPr>
          <w:p w14:paraId="5EA24EB5" w14:textId="77777777" w:rsidR="003C66EB" w:rsidRDefault="003C66EB">
            <w:pPr>
              <w:rPr>
                <w:rFonts w:ascii="宋体"/>
                <w:vanish/>
              </w:rPr>
            </w:pPr>
          </w:p>
        </w:tc>
        <w:tc>
          <w:tcPr>
            <w:tcW w:w="50" w:type="pct"/>
            <w:shd w:val="clear" w:color="auto" w:fill="auto"/>
          </w:tcPr>
          <w:p w14:paraId="5EA24EB6" w14:textId="77777777" w:rsidR="003C66EB" w:rsidRDefault="003C66EB">
            <w:pPr>
              <w:rPr>
                <w:rFonts w:ascii="宋体"/>
              </w:rPr>
            </w:pPr>
          </w:p>
        </w:tc>
        <w:tc>
          <w:tcPr>
            <w:tcW w:w="317" w:type="pct"/>
            <w:shd w:val="clear" w:color="auto" w:fill="auto"/>
          </w:tcPr>
          <w:p w14:paraId="5EA24EB7" w14:textId="77777777" w:rsidR="003C66EB" w:rsidRDefault="003C66EB">
            <w:pPr>
              <w:rPr>
                <w:rFonts w:ascii="宋体"/>
              </w:rPr>
            </w:pPr>
          </w:p>
        </w:tc>
        <w:tc>
          <w:tcPr>
            <w:tcW w:w="5" w:type="pct"/>
            <w:shd w:val="clear" w:color="auto" w:fill="auto"/>
          </w:tcPr>
          <w:p w14:paraId="5EA24EB8" w14:textId="77777777" w:rsidR="003C66EB" w:rsidRDefault="003C66EB">
            <w:pPr>
              <w:rPr>
                <w:rFonts w:ascii="宋体"/>
              </w:rPr>
            </w:pPr>
          </w:p>
        </w:tc>
        <w:tc>
          <w:tcPr>
            <w:tcW w:w="5" w:type="pct"/>
            <w:shd w:val="clear" w:color="auto" w:fill="auto"/>
          </w:tcPr>
          <w:p w14:paraId="5EA24EB9" w14:textId="77777777" w:rsidR="003C66EB" w:rsidRDefault="003C66EB">
            <w:pPr>
              <w:rPr>
                <w:rFonts w:ascii="宋体"/>
              </w:rPr>
            </w:pPr>
          </w:p>
        </w:tc>
        <w:tc>
          <w:tcPr>
            <w:tcW w:w="26" w:type="pct"/>
            <w:shd w:val="clear" w:color="auto" w:fill="auto"/>
          </w:tcPr>
          <w:p w14:paraId="5EA24EBA" w14:textId="77777777" w:rsidR="003C66EB" w:rsidRDefault="003C66EB">
            <w:pPr>
              <w:rPr>
                <w:rFonts w:ascii="宋体"/>
              </w:rPr>
            </w:pPr>
          </w:p>
        </w:tc>
        <w:tc>
          <w:tcPr>
            <w:tcW w:w="5" w:type="pct"/>
            <w:shd w:val="clear" w:color="auto" w:fill="auto"/>
          </w:tcPr>
          <w:p w14:paraId="5EA24EBB" w14:textId="77777777" w:rsidR="003C66EB" w:rsidRDefault="003C66EB">
            <w:pPr>
              <w:rPr>
                <w:rFonts w:ascii="宋体"/>
              </w:rPr>
            </w:pPr>
          </w:p>
        </w:tc>
        <w:tc>
          <w:tcPr>
            <w:tcW w:w="50" w:type="pct"/>
            <w:shd w:val="clear" w:color="auto" w:fill="auto"/>
          </w:tcPr>
          <w:p w14:paraId="5EA24EBC" w14:textId="77777777" w:rsidR="003C66EB" w:rsidRDefault="003C66EB">
            <w:pPr>
              <w:rPr>
                <w:rFonts w:ascii="宋体"/>
              </w:rPr>
            </w:pPr>
          </w:p>
        </w:tc>
        <w:tc>
          <w:tcPr>
            <w:tcW w:w="566" w:type="pct"/>
            <w:shd w:val="clear" w:color="auto" w:fill="auto"/>
          </w:tcPr>
          <w:p w14:paraId="5EA24EBD" w14:textId="77777777" w:rsidR="003C66EB" w:rsidRDefault="003C66EB">
            <w:pPr>
              <w:rPr>
                <w:rFonts w:ascii="宋体"/>
              </w:rPr>
            </w:pPr>
          </w:p>
        </w:tc>
        <w:tc>
          <w:tcPr>
            <w:tcW w:w="5" w:type="pct"/>
            <w:shd w:val="clear" w:color="auto" w:fill="auto"/>
          </w:tcPr>
          <w:p w14:paraId="5EA24EBE" w14:textId="77777777" w:rsidR="003C66EB" w:rsidRDefault="003C66EB">
            <w:pPr>
              <w:rPr>
                <w:rFonts w:ascii="宋体"/>
              </w:rPr>
            </w:pPr>
          </w:p>
        </w:tc>
        <w:tc>
          <w:tcPr>
            <w:tcW w:w="5" w:type="pct"/>
            <w:shd w:val="clear" w:color="auto" w:fill="auto"/>
          </w:tcPr>
          <w:p w14:paraId="5EA24EBF" w14:textId="77777777" w:rsidR="003C66EB" w:rsidRDefault="003C66EB">
            <w:pPr>
              <w:rPr>
                <w:rFonts w:ascii="宋体"/>
              </w:rPr>
            </w:pPr>
          </w:p>
        </w:tc>
        <w:tc>
          <w:tcPr>
            <w:tcW w:w="26" w:type="pct"/>
            <w:shd w:val="clear" w:color="auto" w:fill="auto"/>
          </w:tcPr>
          <w:p w14:paraId="5EA24EC0" w14:textId="77777777" w:rsidR="003C66EB" w:rsidRDefault="003C66EB">
            <w:pPr>
              <w:rPr>
                <w:rFonts w:ascii="宋体"/>
              </w:rPr>
            </w:pPr>
          </w:p>
        </w:tc>
        <w:tc>
          <w:tcPr>
            <w:tcW w:w="5" w:type="pct"/>
            <w:shd w:val="clear" w:color="auto" w:fill="auto"/>
          </w:tcPr>
          <w:p w14:paraId="5EA24EC1" w14:textId="77777777" w:rsidR="003C66EB" w:rsidRDefault="003C66EB">
            <w:pPr>
              <w:rPr>
                <w:rFonts w:ascii="宋体"/>
              </w:rPr>
            </w:pPr>
          </w:p>
        </w:tc>
        <w:tc>
          <w:tcPr>
            <w:tcW w:w="50" w:type="pct"/>
            <w:shd w:val="clear" w:color="auto" w:fill="auto"/>
          </w:tcPr>
          <w:p w14:paraId="5EA24EC2" w14:textId="77777777" w:rsidR="003C66EB" w:rsidRDefault="003C66EB">
            <w:pPr>
              <w:rPr>
                <w:rFonts w:ascii="宋体"/>
              </w:rPr>
            </w:pPr>
          </w:p>
        </w:tc>
        <w:tc>
          <w:tcPr>
            <w:tcW w:w="318" w:type="pct"/>
            <w:shd w:val="clear" w:color="auto" w:fill="auto"/>
          </w:tcPr>
          <w:p w14:paraId="5EA24EC3" w14:textId="77777777" w:rsidR="003C66EB" w:rsidRDefault="003C66EB">
            <w:pPr>
              <w:rPr>
                <w:rFonts w:ascii="宋体"/>
              </w:rPr>
            </w:pPr>
          </w:p>
        </w:tc>
        <w:tc>
          <w:tcPr>
            <w:tcW w:w="5" w:type="pct"/>
            <w:shd w:val="clear" w:color="auto" w:fill="auto"/>
          </w:tcPr>
          <w:p w14:paraId="5EA24EC4" w14:textId="77777777" w:rsidR="003C66EB" w:rsidRDefault="003C66EB">
            <w:pPr>
              <w:rPr>
                <w:rFonts w:ascii="宋体"/>
              </w:rPr>
            </w:pPr>
          </w:p>
        </w:tc>
      </w:tr>
      <w:tr w:rsidR="003C66EB" w14:paraId="5EA24ED8" w14:textId="77777777">
        <w:tc>
          <w:tcPr>
            <w:tcW w:w="0" w:type="auto"/>
            <w:gridSpan w:val="3"/>
            <w:shd w:val="clear" w:color="auto" w:fill="auto"/>
            <w:tcMar>
              <w:top w:w="40" w:type="dxa"/>
              <w:left w:w="20" w:type="dxa"/>
              <w:bottom w:w="40" w:type="dxa"/>
              <w:right w:w="20" w:type="dxa"/>
            </w:tcMar>
            <w:vAlign w:val="bottom"/>
          </w:tcPr>
          <w:p w14:paraId="5EA24EC6"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4EC7"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5EA24EC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EC9" w14:textId="77777777" w:rsidR="003C66EB" w:rsidRDefault="00D96C4E">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5EA24EC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ECB" w14:textId="77777777" w:rsidR="003C66EB" w:rsidRDefault="00D96C4E">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tcPr>
          <w:p w14:paraId="5EA24EC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ECD" w14:textId="77777777" w:rsidR="003C66EB" w:rsidRDefault="00D96C4E">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tcPr>
          <w:p w14:paraId="5EA24EC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ECF" w14:textId="77777777" w:rsidR="003C66EB" w:rsidRDefault="00D96C4E">
            <w:pPr>
              <w:jc w:val="center"/>
              <w:textAlignment w:val="bottom"/>
            </w:pPr>
            <w:r>
              <w:rPr>
                <w:rFonts w:ascii="Arial" w:eastAsia="宋体" w:hAnsi="Arial" w:cs="Arial"/>
                <w:b/>
                <w:bCs/>
                <w:color w:val="000000"/>
                <w:sz w:val="14"/>
                <w:szCs w:val="14"/>
              </w:rPr>
              <w:t>2016</w:t>
            </w:r>
          </w:p>
        </w:tc>
        <w:tc>
          <w:tcPr>
            <w:tcW w:w="0" w:type="auto"/>
            <w:gridSpan w:val="3"/>
            <w:shd w:val="clear" w:color="auto" w:fill="auto"/>
            <w:tcMar>
              <w:top w:w="0" w:type="dxa"/>
              <w:left w:w="20" w:type="dxa"/>
              <w:bottom w:w="0" w:type="dxa"/>
              <w:right w:w="20" w:type="dxa"/>
            </w:tcMar>
          </w:tcPr>
          <w:p w14:paraId="5EA24ED0" w14:textId="77777777" w:rsidR="003C66EB" w:rsidRDefault="003C66EB">
            <w:pPr>
              <w:rPr>
                <w:rFonts w:ascii="宋体"/>
              </w:rPr>
            </w:pPr>
          </w:p>
        </w:tc>
        <w:tc>
          <w:tcPr>
            <w:tcW w:w="0" w:type="auto"/>
            <w:shd w:val="clear" w:color="auto" w:fill="auto"/>
          </w:tcPr>
          <w:p w14:paraId="5EA24ED1" w14:textId="77777777" w:rsidR="003C66EB" w:rsidRDefault="003C66EB">
            <w:pPr>
              <w:rPr>
                <w:rFonts w:ascii="宋体"/>
                <w:vanish/>
              </w:rPr>
            </w:pPr>
          </w:p>
        </w:tc>
        <w:tc>
          <w:tcPr>
            <w:tcW w:w="0" w:type="auto"/>
            <w:shd w:val="clear" w:color="auto" w:fill="auto"/>
          </w:tcPr>
          <w:p w14:paraId="5EA24ED2" w14:textId="77777777" w:rsidR="003C66EB" w:rsidRDefault="003C66EB">
            <w:pPr>
              <w:rPr>
                <w:rFonts w:ascii="宋体"/>
                <w:vanish/>
              </w:rPr>
            </w:pPr>
          </w:p>
        </w:tc>
        <w:tc>
          <w:tcPr>
            <w:tcW w:w="0" w:type="auto"/>
            <w:gridSpan w:val="3"/>
            <w:shd w:val="clear" w:color="auto" w:fill="auto"/>
            <w:tcMar>
              <w:top w:w="40" w:type="dxa"/>
              <w:left w:w="20" w:type="dxa"/>
              <w:bottom w:w="40" w:type="dxa"/>
              <w:right w:w="20" w:type="dxa"/>
            </w:tcMar>
            <w:vAlign w:val="bottom"/>
          </w:tcPr>
          <w:p w14:paraId="5EA24ED3" w14:textId="77777777" w:rsidR="003C66EB" w:rsidRDefault="00D96C4E">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tcPr>
          <w:p w14:paraId="5EA24ED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ED5" w14:textId="77777777" w:rsidR="003C66EB" w:rsidRDefault="00D96C4E">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tcPr>
          <w:p w14:paraId="5EA24ED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4ED7" w14:textId="77777777" w:rsidR="003C66EB" w:rsidRDefault="00D96C4E">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3C66EB" w14:paraId="5EA24EEB" w14:textId="77777777">
        <w:tc>
          <w:tcPr>
            <w:tcW w:w="0" w:type="auto"/>
            <w:gridSpan w:val="3"/>
            <w:shd w:val="clear" w:color="auto" w:fill="auto"/>
            <w:tcMar>
              <w:top w:w="40" w:type="dxa"/>
              <w:left w:w="20" w:type="dxa"/>
              <w:bottom w:w="40" w:type="dxa"/>
              <w:right w:w="20" w:type="dxa"/>
            </w:tcMar>
            <w:vAlign w:val="bottom"/>
          </w:tcPr>
          <w:p w14:paraId="5EA24ED9" w14:textId="77777777" w:rsidR="003C66EB" w:rsidRDefault="00D96C4E">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tcPr>
          <w:p w14:paraId="5EA24ED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D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D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D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D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E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E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E3" w14:textId="77777777" w:rsidR="003C66EB" w:rsidRDefault="003C66EB">
            <w:pPr>
              <w:rPr>
                <w:rFonts w:ascii="宋体"/>
              </w:rPr>
            </w:pPr>
          </w:p>
        </w:tc>
        <w:tc>
          <w:tcPr>
            <w:tcW w:w="0" w:type="auto"/>
            <w:shd w:val="clear" w:color="auto" w:fill="auto"/>
          </w:tcPr>
          <w:p w14:paraId="5EA24EE4" w14:textId="77777777" w:rsidR="003C66EB" w:rsidRDefault="003C66EB">
            <w:pPr>
              <w:rPr>
                <w:rFonts w:ascii="宋体"/>
                <w:vanish/>
              </w:rPr>
            </w:pPr>
          </w:p>
        </w:tc>
        <w:tc>
          <w:tcPr>
            <w:tcW w:w="0" w:type="auto"/>
            <w:shd w:val="clear" w:color="auto" w:fill="auto"/>
          </w:tcPr>
          <w:p w14:paraId="5EA24EE5"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E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E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E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E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4EEA" w14:textId="77777777" w:rsidR="003C66EB" w:rsidRDefault="003C66EB">
            <w:pPr>
              <w:rPr>
                <w:rFonts w:ascii="宋体"/>
              </w:rPr>
            </w:pPr>
          </w:p>
        </w:tc>
      </w:tr>
      <w:tr w:rsidR="003C66EB" w14:paraId="5EA24EFE" w14:textId="77777777">
        <w:tc>
          <w:tcPr>
            <w:tcW w:w="0" w:type="auto"/>
            <w:gridSpan w:val="3"/>
            <w:shd w:val="clear" w:color="auto" w:fill="auto"/>
            <w:tcMar>
              <w:top w:w="40" w:type="dxa"/>
              <w:left w:w="155" w:type="dxa"/>
              <w:bottom w:w="40" w:type="dxa"/>
              <w:right w:w="20" w:type="dxa"/>
            </w:tcMar>
            <w:vAlign w:val="bottom"/>
          </w:tcPr>
          <w:p w14:paraId="5EA24EEC" w14:textId="77777777" w:rsidR="003C66EB" w:rsidRDefault="00D96C4E">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5EA24EE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E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6" w14:textId="77777777" w:rsidR="003C66EB" w:rsidRDefault="003C66EB">
            <w:pPr>
              <w:rPr>
                <w:rFonts w:ascii="宋体"/>
              </w:rPr>
            </w:pPr>
          </w:p>
        </w:tc>
        <w:tc>
          <w:tcPr>
            <w:tcW w:w="0" w:type="auto"/>
            <w:shd w:val="clear" w:color="auto" w:fill="auto"/>
          </w:tcPr>
          <w:p w14:paraId="5EA24EF7" w14:textId="77777777" w:rsidR="003C66EB" w:rsidRDefault="003C66EB">
            <w:pPr>
              <w:rPr>
                <w:rFonts w:ascii="宋体"/>
                <w:vanish/>
              </w:rPr>
            </w:pPr>
          </w:p>
        </w:tc>
        <w:tc>
          <w:tcPr>
            <w:tcW w:w="0" w:type="auto"/>
            <w:shd w:val="clear" w:color="auto" w:fill="auto"/>
          </w:tcPr>
          <w:p w14:paraId="5EA24EF8"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EF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EFD" w14:textId="77777777" w:rsidR="003C66EB" w:rsidRDefault="003C66EB">
            <w:pPr>
              <w:rPr>
                <w:rFonts w:ascii="宋体"/>
              </w:rPr>
            </w:pPr>
          </w:p>
        </w:tc>
      </w:tr>
      <w:tr w:rsidR="003C66EB" w14:paraId="5EA24F11" w14:textId="77777777">
        <w:tc>
          <w:tcPr>
            <w:tcW w:w="0" w:type="auto"/>
            <w:gridSpan w:val="3"/>
            <w:shd w:val="clear" w:color="auto" w:fill="auto"/>
            <w:tcMar>
              <w:top w:w="40" w:type="dxa"/>
              <w:left w:w="245" w:type="dxa"/>
              <w:bottom w:w="40" w:type="dxa"/>
              <w:right w:w="20" w:type="dxa"/>
            </w:tcMar>
            <w:vAlign w:val="bottom"/>
          </w:tcPr>
          <w:p w14:paraId="5EA24EFF" w14:textId="77777777" w:rsidR="003C66EB" w:rsidRDefault="00D96C4E">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5EA24F0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9" w14:textId="77777777" w:rsidR="003C66EB" w:rsidRDefault="003C66EB">
            <w:pPr>
              <w:rPr>
                <w:rFonts w:ascii="宋体"/>
              </w:rPr>
            </w:pPr>
          </w:p>
        </w:tc>
        <w:tc>
          <w:tcPr>
            <w:tcW w:w="0" w:type="auto"/>
            <w:shd w:val="clear" w:color="auto" w:fill="auto"/>
          </w:tcPr>
          <w:p w14:paraId="5EA24F0A" w14:textId="77777777" w:rsidR="003C66EB" w:rsidRDefault="003C66EB">
            <w:pPr>
              <w:rPr>
                <w:rFonts w:ascii="宋体"/>
                <w:vanish/>
              </w:rPr>
            </w:pPr>
          </w:p>
        </w:tc>
        <w:tc>
          <w:tcPr>
            <w:tcW w:w="0" w:type="auto"/>
            <w:shd w:val="clear" w:color="auto" w:fill="auto"/>
          </w:tcPr>
          <w:p w14:paraId="5EA24F0B"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F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0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10" w14:textId="77777777" w:rsidR="003C66EB" w:rsidRDefault="003C66EB">
            <w:pPr>
              <w:rPr>
                <w:rFonts w:ascii="宋体"/>
              </w:rPr>
            </w:pPr>
          </w:p>
        </w:tc>
      </w:tr>
      <w:tr w:rsidR="003C66EB" w14:paraId="5EA24F34" w14:textId="77777777">
        <w:tc>
          <w:tcPr>
            <w:tcW w:w="0" w:type="auto"/>
            <w:gridSpan w:val="3"/>
            <w:shd w:val="clear" w:color="auto" w:fill="CCEEFF"/>
            <w:tcMar>
              <w:top w:w="40" w:type="dxa"/>
              <w:left w:w="380" w:type="dxa"/>
              <w:bottom w:w="40" w:type="dxa"/>
              <w:right w:w="20" w:type="dxa"/>
            </w:tcMar>
            <w:vAlign w:val="bottom"/>
          </w:tcPr>
          <w:p w14:paraId="5EA24F12" w14:textId="77777777" w:rsidR="003C66EB" w:rsidRDefault="00D96C4E">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A24F1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14" w14:textId="77777777" w:rsidR="003C66EB" w:rsidRDefault="00D96C4E">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5EA24F1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1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F1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18" w14:textId="77777777" w:rsidR="003C66EB" w:rsidRDefault="00D96C4E">
            <w:pPr>
              <w:jc w:val="right"/>
              <w:textAlignment w:val="bottom"/>
            </w:pPr>
            <w:r>
              <w:rPr>
                <w:rFonts w:ascii="Arial" w:eastAsia="宋体" w:hAnsi="Arial" w:cs="Arial"/>
                <w:color w:val="000000"/>
                <w:sz w:val="14"/>
                <w:szCs w:val="14"/>
              </w:rPr>
              <w:t>388 </w:t>
            </w:r>
          </w:p>
        </w:tc>
        <w:tc>
          <w:tcPr>
            <w:tcW w:w="0" w:type="auto"/>
            <w:shd w:val="clear" w:color="auto" w:fill="CCEEFF"/>
            <w:tcMar>
              <w:top w:w="40" w:type="dxa"/>
              <w:left w:w="0" w:type="dxa"/>
              <w:bottom w:w="40" w:type="dxa"/>
              <w:right w:w="20" w:type="dxa"/>
            </w:tcMar>
            <w:vAlign w:val="bottom"/>
          </w:tcPr>
          <w:p w14:paraId="5EA24F1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1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F1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1C"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A24F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1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F1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20" w14:textId="77777777" w:rsidR="003C66EB" w:rsidRDefault="00D96C4E">
            <w:pPr>
              <w:jc w:val="right"/>
              <w:textAlignment w:val="bottom"/>
            </w:pPr>
            <w:r>
              <w:rPr>
                <w:rFonts w:ascii="Arial" w:eastAsia="宋体" w:hAnsi="Arial" w:cs="Arial"/>
                <w:color w:val="000000"/>
                <w:sz w:val="14"/>
                <w:szCs w:val="14"/>
              </w:rPr>
              <w:t>167 </w:t>
            </w:r>
          </w:p>
        </w:tc>
        <w:tc>
          <w:tcPr>
            <w:tcW w:w="0" w:type="auto"/>
            <w:shd w:val="clear" w:color="auto" w:fill="CCEEFF"/>
            <w:tcMar>
              <w:top w:w="40" w:type="dxa"/>
              <w:left w:w="0" w:type="dxa"/>
              <w:bottom w:w="40" w:type="dxa"/>
              <w:right w:w="20" w:type="dxa"/>
            </w:tcMar>
            <w:vAlign w:val="bottom"/>
          </w:tcPr>
          <w:p w14:paraId="5EA24F2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2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F2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24" w14:textId="77777777" w:rsidR="003C66EB" w:rsidRDefault="00D96C4E">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5EA24F2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26" w14:textId="77777777" w:rsidR="003C66EB" w:rsidRDefault="003C66EB">
            <w:pPr>
              <w:rPr>
                <w:rFonts w:ascii="宋体"/>
              </w:rPr>
            </w:pPr>
          </w:p>
        </w:tc>
        <w:tc>
          <w:tcPr>
            <w:tcW w:w="0" w:type="auto"/>
            <w:shd w:val="clear" w:color="auto" w:fill="auto"/>
          </w:tcPr>
          <w:p w14:paraId="5EA24F27" w14:textId="77777777" w:rsidR="003C66EB" w:rsidRDefault="003C66EB">
            <w:pPr>
              <w:rPr>
                <w:rFonts w:ascii="宋体"/>
                <w:vanish/>
              </w:rPr>
            </w:pPr>
          </w:p>
        </w:tc>
        <w:tc>
          <w:tcPr>
            <w:tcW w:w="0" w:type="auto"/>
            <w:shd w:val="clear" w:color="auto" w:fill="auto"/>
          </w:tcPr>
          <w:p w14:paraId="5EA24F28"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4F2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2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F2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2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F2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2E" w14:textId="77777777" w:rsidR="003C66EB" w:rsidRDefault="00D96C4E">
            <w:pPr>
              <w:jc w:val="right"/>
              <w:textAlignment w:val="bottom"/>
            </w:pPr>
            <w:r>
              <w:rPr>
                <w:rFonts w:ascii="Arial" w:eastAsia="宋体" w:hAnsi="Arial" w:cs="Arial"/>
                <w:color w:val="000000"/>
                <w:sz w:val="14"/>
                <w:szCs w:val="14"/>
              </w:rPr>
              <w:t>12,836 </w:t>
            </w:r>
          </w:p>
        </w:tc>
        <w:tc>
          <w:tcPr>
            <w:tcW w:w="0" w:type="auto"/>
            <w:shd w:val="clear" w:color="auto" w:fill="CCEEFF"/>
            <w:tcMar>
              <w:top w:w="40" w:type="dxa"/>
              <w:left w:w="0" w:type="dxa"/>
              <w:bottom w:w="40" w:type="dxa"/>
              <w:right w:w="20" w:type="dxa"/>
            </w:tcMar>
            <w:vAlign w:val="bottom"/>
          </w:tcPr>
          <w:p w14:paraId="5EA24F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3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4F3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4F32" w14:textId="77777777" w:rsidR="003C66EB" w:rsidRDefault="00D96C4E">
            <w:pPr>
              <w:jc w:val="right"/>
              <w:textAlignment w:val="bottom"/>
            </w:pPr>
            <w:r>
              <w:rPr>
                <w:rFonts w:ascii="Arial" w:eastAsia="宋体" w:hAnsi="Arial" w:cs="Arial"/>
                <w:color w:val="000000"/>
                <w:sz w:val="14"/>
                <w:szCs w:val="14"/>
              </w:rPr>
              <w:t>15,489 </w:t>
            </w:r>
          </w:p>
        </w:tc>
        <w:tc>
          <w:tcPr>
            <w:tcW w:w="0" w:type="auto"/>
            <w:shd w:val="clear" w:color="auto" w:fill="CCEEFF"/>
            <w:tcMar>
              <w:top w:w="40" w:type="dxa"/>
              <w:left w:w="0" w:type="dxa"/>
              <w:bottom w:w="40" w:type="dxa"/>
              <w:right w:w="20" w:type="dxa"/>
            </w:tcMar>
            <w:vAlign w:val="bottom"/>
          </w:tcPr>
          <w:p w14:paraId="5EA24F33" w14:textId="77777777" w:rsidR="003C66EB" w:rsidRDefault="003C66EB">
            <w:pPr>
              <w:jc w:val="right"/>
              <w:rPr>
                <w:rFonts w:ascii="宋体"/>
              </w:rPr>
            </w:pPr>
          </w:p>
        </w:tc>
      </w:tr>
      <w:tr w:rsidR="003C66EB" w14:paraId="5EA24F4F" w14:textId="77777777">
        <w:tc>
          <w:tcPr>
            <w:tcW w:w="0" w:type="auto"/>
            <w:gridSpan w:val="3"/>
            <w:shd w:val="clear" w:color="auto" w:fill="FFFFFF"/>
            <w:tcMar>
              <w:top w:w="40" w:type="dxa"/>
              <w:left w:w="380" w:type="dxa"/>
              <w:bottom w:w="40" w:type="dxa"/>
              <w:right w:w="20" w:type="dxa"/>
            </w:tcMar>
            <w:vAlign w:val="bottom"/>
          </w:tcPr>
          <w:p w14:paraId="5EA24F35"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4F36" w14:textId="77777777" w:rsidR="003C66EB" w:rsidRDefault="00D96C4E">
            <w:pPr>
              <w:jc w:val="right"/>
              <w:textAlignment w:val="bottom"/>
            </w:pPr>
            <w:r>
              <w:rPr>
                <w:rFonts w:ascii="Arial" w:eastAsia="宋体" w:hAnsi="Arial" w:cs="Arial"/>
                <w:color w:val="000000"/>
                <w:sz w:val="14"/>
                <w:szCs w:val="14"/>
              </w:rPr>
              <w:t>432 </w:t>
            </w:r>
          </w:p>
        </w:tc>
        <w:tc>
          <w:tcPr>
            <w:tcW w:w="0" w:type="auto"/>
            <w:shd w:val="clear" w:color="auto" w:fill="FFFFFF"/>
            <w:tcMar>
              <w:top w:w="40" w:type="dxa"/>
              <w:left w:w="0" w:type="dxa"/>
              <w:bottom w:w="40" w:type="dxa"/>
              <w:right w:w="20" w:type="dxa"/>
            </w:tcMar>
            <w:vAlign w:val="bottom"/>
          </w:tcPr>
          <w:p w14:paraId="5EA24F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39" w14:textId="77777777" w:rsidR="003C66EB" w:rsidRDefault="00D96C4E">
            <w:pPr>
              <w:jc w:val="right"/>
              <w:textAlignment w:val="bottom"/>
            </w:pPr>
            <w:r>
              <w:rPr>
                <w:rFonts w:ascii="Arial" w:eastAsia="宋体" w:hAnsi="Arial" w:cs="Arial"/>
                <w:color w:val="000000"/>
                <w:sz w:val="14"/>
                <w:szCs w:val="14"/>
              </w:rPr>
              <w:t>942 </w:t>
            </w:r>
          </w:p>
        </w:tc>
        <w:tc>
          <w:tcPr>
            <w:tcW w:w="0" w:type="auto"/>
            <w:shd w:val="clear" w:color="auto" w:fill="FFFFFF"/>
            <w:tcMar>
              <w:top w:w="40" w:type="dxa"/>
              <w:left w:w="0" w:type="dxa"/>
              <w:bottom w:w="40" w:type="dxa"/>
              <w:right w:w="20" w:type="dxa"/>
            </w:tcMar>
            <w:vAlign w:val="bottom"/>
          </w:tcPr>
          <w:p w14:paraId="5EA24F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3C" w14:textId="77777777" w:rsidR="003C66EB" w:rsidRDefault="00D96C4E">
            <w:pPr>
              <w:jc w:val="right"/>
              <w:textAlignment w:val="bottom"/>
            </w:pPr>
            <w:r>
              <w:rPr>
                <w:rFonts w:ascii="Arial" w:eastAsia="宋体" w:hAnsi="Arial" w:cs="Arial"/>
                <w:color w:val="000000"/>
                <w:sz w:val="14"/>
                <w:szCs w:val="14"/>
              </w:rPr>
              <w:t>822 </w:t>
            </w:r>
          </w:p>
        </w:tc>
        <w:tc>
          <w:tcPr>
            <w:tcW w:w="0" w:type="auto"/>
            <w:shd w:val="clear" w:color="auto" w:fill="FFFFFF"/>
            <w:tcMar>
              <w:top w:w="40" w:type="dxa"/>
              <w:left w:w="0" w:type="dxa"/>
              <w:bottom w:w="40" w:type="dxa"/>
              <w:right w:w="20" w:type="dxa"/>
            </w:tcMar>
            <w:vAlign w:val="bottom"/>
          </w:tcPr>
          <w:p w14:paraId="5EA24F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3F" w14:textId="77777777" w:rsidR="003C66EB" w:rsidRDefault="00D96C4E">
            <w:pPr>
              <w:jc w:val="right"/>
              <w:textAlignment w:val="bottom"/>
            </w:pPr>
            <w:r>
              <w:rPr>
                <w:rFonts w:ascii="Arial" w:eastAsia="宋体" w:hAnsi="Arial" w:cs="Arial"/>
                <w:color w:val="000000"/>
                <w:sz w:val="14"/>
                <w:szCs w:val="14"/>
              </w:rPr>
              <w:t>610 </w:t>
            </w:r>
          </w:p>
        </w:tc>
        <w:tc>
          <w:tcPr>
            <w:tcW w:w="0" w:type="auto"/>
            <w:shd w:val="clear" w:color="auto" w:fill="FFFFFF"/>
            <w:tcMar>
              <w:top w:w="40" w:type="dxa"/>
              <w:left w:w="0" w:type="dxa"/>
              <w:bottom w:w="40" w:type="dxa"/>
              <w:right w:w="20" w:type="dxa"/>
            </w:tcMar>
            <w:vAlign w:val="bottom"/>
          </w:tcPr>
          <w:p w14:paraId="5EA24F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42" w14:textId="77777777" w:rsidR="003C66EB" w:rsidRDefault="00D96C4E">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EA24F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44" w14:textId="77777777" w:rsidR="003C66EB" w:rsidRDefault="003C66EB">
            <w:pPr>
              <w:rPr>
                <w:rFonts w:ascii="宋体"/>
              </w:rPr>
            </w:pPr>
          </w:p>
        </w:tc>
        <w:tc>
          <w:tcPr>
            <w:tcW w:w="0" w:type="auto"/>
            <w:shd w:val="clear" w:color="auto" w:fill="auto"/>
          </w:tcPr>
          <w:p w14:paraId="5EA24F45" w14:textId="77777777" w:rsidR="003C66EB" w:rsidRDefault="003C66EB">
            <w:pPr>
              <w:rPr>
                <w:rFonts w:ascii="宋体"/>
                <w:vanish/>
              </w:rPr>
            </w:pPr>
          </w:p>
        </w:tc>
        <w:tc>
          <w:tcPr>
            <w:tcW w:w="0" w:type="auto"/>
            <w:shd w:val="clear" w:color="auto" w:fill="auto"/>
          </w:tcPr>
          <w:p w14:paraId="5EA24F4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F4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F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4A" w14:textId="77777777" w:rsidR="003C66EB" w:rsidRDefault="00D96C4E">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5EA24F4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4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4D" w14:textId="77777777" w:rsidR="003C66EB" w:rsidRDefault="00D96C4E">
            <w:pPr>
              <w:jc w:val="right"/>
              <w:textAlignment w:val="bottom"/>
            </w:pPr>
            <w:r>
              <w:rPr>
                <w:rFonts w:ascii="Arial" w:eastAsia="宋体" w:hAnsi="Arial" w:cs="Arial"/>
                <w:color w:val="000000"/>
                <w:sz w:val="14"/>
                <w:szCs w:val="14"/>
              </w:rPr>
              <w:t>3,446 </w:t>
            </w:r>
          </w:p>
        </w:tc>
        <w:tc>
          <w:tcPr>
            <w:tcW w:w="0" w:type="auto"/>
            <w:shd w:val="clear" w:color="auto" w:fill="FFFFFF"/>
            <w:tcMar>
              <w:top w:w="40" w:type="dxa"/>
              <w:left w:w="0" w:type="dxa"/>
              <w:bottom w:w="40" w:type="dxa"/>
              <w:right w:w="20" w:type="dxa"/>
            </w:tcMar>
            <w:vAlign w:val="bottom"/>
          </w:tcPr>
          <w:p w14:paraId="5EA24F4E" w14:textId="77777777" w:rsidR="003C66EB" w:rsidRDefault="003C66EB">
            <w:pPr>
              <w:jc w:val="right"/>
              <w:rPr>
                <w:rFonts w:ascii="宋体"/>
              </w:rPr>
            </w:pPr>
          </w:p>
        </w:tc>
      </w:tr>
      <w:tr w:rsidR="003C66EB" w14:paraId="5EA24F6A" w14:textId="77777777">
        <w:tc>
          <w:tcPr>
            <w:tcW w:w="0" w:type="auto"/>
            <w:gridSpan w:val="3"/>
            <w:shd w:val="clear" w:color="auto" w:fill="CCEEFF"/>
            <w:tcMar>
              <w:top w:w="40" w:type="dxa"/>
              <w:left w:w="380" w:type="dxa"/>
              <w:bottom w:w="40" w:type="dxa"/>
              <w:right w:w="20" w:type="dxa"/>
            </w:tcMar>
            <w:vAlign w:val="bottom"/>
          </w:tcPr>
          <w:p w14:paraId="5EA24F50" w14:textId="77777777" w:rsidR="003C66EB" w:rsidRDefault="00D96C4E">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A24F51"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F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5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F54" w14:textId="77777777" w:rsidR="003C66EB" w:rsidRDefault="00D96C4E">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5EA24F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5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F5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F5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5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F5A" w14:textId="77777777" w:rsidR="003C66EB" w:rsidRDefault="00D96C4E">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5EA24F5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5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F5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F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5F" w14:textId="77777777" w:rsidR="003C66EB" w:rsidRDefault="003C66EB">
            <w:pPr>
              <w:rPr>
                <w:rFonts w:ascii="宋体"/>
              </w:rPr>
            </w:pPr>
          </w:p>
        </w:tc>
        <w:tc>
          <w:tcPr>
            <w:tcW w:w="0" w:type="auto"/>
            <w:shd w:val="clear" w:color="auto" w:fill="auto"/>
          </w:tcPr>
          <w:p w14:paraId="5EA24F60" w14:textId="77777777" w:rsidR="003C66EB" w:rsidRDefault="003C66EB">
            <w:pPr>
              <w:rPr>
                <w:rFonts w:ascii="宋体"/>
                <w:vanish/>
              </w:rPr>
            </w:pPr>
          </w:p>
        </w:tc>
        <w:tc>
          <w:tcPr>
            <w:tcW w:w="0" w:type="auto"/>
            <w:shd w:val="clear" w:color="auto" w:fill="auto"/>
          </w:tcPr>
          <w:p w14:paraId="5EA24F61"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4F6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F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6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F65"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4F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6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4F68" w14:textId="77777777" w:rsidR="003C66EB" w:rsidRDefault="00D96C4E">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EA24F69" w14:textId="77777777" w:rsidR="003C66EB" w:rsidRDefault="003C66EB">
            <w:pPr>
              <w:jc w:val="right"/>
              <w:rPr>
                <w:rFonts w:ascii="宋体"/>
              </w:rPr>
            </w:pPr>
          </w:p>
        </w:tc>
      </w:tr>
      <w:tr w:rsidR="003C66EB" w14:paraId="5EA24F85" w14:textId="77777777">
        <w:tc>
          <w:tcPr>
            <w:tcW w:w="0" w:type="auto"/>
            <w:gridSpan w:val="3"/>
            <w:shd w:val="clear" w:color="auto" w:fill="FFFFFF"/>
            <w:tcMar>
              <w:top w:w="40" w:type="dxa"/>
              <w:left w:w="380" w:type="dxa"/>
              <w:bottom w:w="40" w:type="dxa"/>
              <w:right w:w="20" w:type="dxa"/>
            </w:tcMar>
            <w:vAlign w:val="bottom"/>
          </w:tcPr>
          <w:p w14:paraId="5EA24F6B" w14:textId="77777777" w:rsidR="003C66EB" w:rsidRDefault="00D96C4E">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A24F6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F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6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6F" w14:textId="77777777" w:rsidR="003C66EB" w:rsidRDefault="00D96C4E">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5EA24F7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7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7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F7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7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75"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F7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7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78" w14:textId="77777777" w:rsidR="003C66EB" w:rsidRDefault="00D96C4E">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A24F7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7A" w14:textId="77777777" w:rsidR="003C66EB" w:rsidRDefault="003C66EB">
            <w:pPr>
              <w:rPr>
                <w:rFonts w:ascii="宋体"/>
              </w:rPr>
            </w:pPr>
          </w:p>
        </w:tc>
        <w:tc>
          <w:tcPr>
            <w:tcW w:w="0" w:type="auto"/>
            <w:shd w:val="clear" w:color="auto" w:fill="auto"/>
          </w:tcPr>
          <w:p w14:paraId="5EA24F7B" w14:textId="77777777" w:rsidR="003C66EB" w:rsidRDefault="003C66EB">
            <w:pPr>
              <w:rPr>
                <w:rFonts w:ascii="宋体"/>
                <w:vanish/>
              </w:rPr>
            </w:pPr>
          </w:p>
        </w:tc>
        <w:tc>
          <w:tcPr>
            <w:tcW w:w="0" w:type="auto"/>
            <w:shd w:val="clear" w:color="auto" w:fill="auto"/>
          </w:tcPr>
          <w:p w14:paraId="5EA24F7C"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4F7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F7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7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8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4F8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4F8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4F83" w14:textId="77777777" w:rsidR="003C66EB" w:rsidRDefault="00D96C4E">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A24F84" w14:textId="77777777" w:rsidR="003C66EB" w:rsidRDefault="003C66EB">
            <w:pPr>
              <w:jc w:val="right"/>
              <w:rPr>
                <w:rFonts w:ascii="宋体"/>
              </w:rPr>
            </w:pPr>
          </w:p>
        </w:tc>
      </w:tr>
      <w:tr w:rsidR="003C66EB" w14:paraId="5EA24F98" w14:textId="77777777">
        <w:trPr>
          <w:hidden/>
        </w:trPr>
        <w:tc>
          <w:tcPr>
            <w:tcW w:w="0" w:type="auto"/>
            <w:gridSpan w:val="3"/>
            <w:shd w:val="clear" w:color="auto" w:fill="auto"/>
          </w:tcPr>
          <w:p w14:paraId="5EA24F86" w14:textId="77777777" w:rsidR="003C66EB" w:rsidRDefault="003C66EB">
            <w:pPr>
              <w:rPr>
                <w:rFonts w:ascii="宋体"/>
                <w:vanish/>
              </w:rPr>
            </w:pPr>
          </w:p>
        </w:tc>
        <w:tc>
          <w:tcPr>
            <w:tcW w:w="0" w:type="auto"/>
            <w:gridSpan w:val="3"/>
            <w:shd w:val="clear" w:color="auto" w:fill="auto"/>
          </w:tcPr>
          <w:p w14:paraId="5EA24F87" w14:textId="77777777" w:rsidR="003C66EB" w:rsidRDefault="003C66EB">
            <w:pPr>
              <w:rPr>
                <w:rFonts w:ascii="宋体"/>
                <w:vanish/>
              </w:rPr>
            </w:pPr>
          </w:p>
        </w:tc>
        <w:tc>
          <w:tcPr>
            <w:tcW w:w="0" w:type="auto"/>
            <w:gridSpan w:val="3"/>
            <w:shd w:val="clear" w:color="auto" w:fill="auto"/>
          </w:tcPr>
          <w:p w14:paraId="5EA24F88" w14:textId="77777777" w:rsidR="003C66EB" w:rsidRDefault="003C66EB">
            <w:pPr>
              <w:rPr>
                <w:rFonts w:ascii="宋体"/>
                <w:vanish/>
              </w:rPr>
            </w:pPr>
          </w:p>
        </w:tc>
        <w:tc>
          <w:tcPr>
            <w:tcW w:w="0" w:type="auto"/>
            <w:gridSpan w:val="3"/>
            <w:shd w:val="clear" w:color="auto" w:fill="auto"/>
          </w:tcPr>
          <w:p w14:paraId="5EA24F89" w14:textId="77777777" w:rsidR="003C66EB" w:rsidRDefault="003C66EB">
            <w:pPr>
              <w:rPr>
                <w:rFonts w:ascii="宋体"/>
                <w:vanish/>
              </w:rPr>
            </w:pPr>
          </w:p>
        </w:tc>
        <w:tc>
          <w:tcPr>
            <w:tcW w:w="0" w:type="auto"/>
            <w:gridSpan w:val="3"/>
            <w:shd w:val="clear" w:color="auto" w:fill="auto"/>
          </w:tcPr>
          <w:p w14:paraId="5EA24F8A" w14:textId="77777777" w:rsidR="003C66EB" w:rsidRDefault="003C66EB">
            <w:pPr>
              <w:rPr>
                <w:rFonts w:ascii="宋体"/>
                <w:vanish/>
              </w:rPr>
            </w:pPr>
          </w:p>
        </w:tc>
        <w:tc>
          <w:tcPr>
            <w:tcW w:w="0" w:type="auto"/>
            <w:gridSpan w:val="3"/>
            <w:shd w:val="clear" w:color="auto" w:fill="auto"/>
          </w:tcPr>
          <w:p w14:paraId="5EA24F8B" w14:textId="77777777" w:rsidR="003C66EB" w:rsidRDefault="003C66EB">
            <w:pPr>
              <w:rPr>
                <w:rFonts w:ascii="宋体"/>
                <w:vanish/>
              </w:rPr>
            </w:pPr>
          </w:p>
        </w:tc>
        <w:tc>
          <w:tcPr>
            <w:tcW w:w="0" w:type="auto"/>
            <w:gridSpan w:val="3"/>
            <w:shd w:val="clear" w:color="auto" w:fill="auto"/>
          </w:tcPr>
          <w:p w14:paraId="5EA24F8C" w14:textId="77777777" w:rsidR="003C66EB" w:rsidRDefault="003C66EB">
            <w:pPr>
              <w:rPr>
                <w:rFonts w:ascii="宋体"/>
                <w:vanish/>
              </w:rPr>
            </w:pPr>
          </w:p>
        </w:tc>
        <w:tc>
          <w:tcPr>
            <w:tcW w:w="0" w:type="auto"/>
            <w:gridSpan w:val="3"/>
            <w:shd w:val="clear" w:color="auto" w:fill="auto"/>
          </w:tcPr>
          <w:p w14:paraId="5EA24F8D" w14:textId="77777777" w:rsidR="003C66EB" w:rsidRDefault="003C66EB">
            <w:pPr>
              <w:rPr>
                <w:rFonts w:ascii="宋体"/>
                <w:vanish/>
              </w:rPr>
            </w:pPr>
          </w:p>
        </w:tc>
        <w:tc>
          <w:tcPr>
            <w:tcW w:w="0" w:type="auto"/>
            <w:gridSpan w:val="3"/>
            <w:shd w:val="clear" w:color="auto" w:fill="auto"/>
          </w:tcPr>
          <w:p w14:paraId="5EA24F8E" w14:textId="77777777" w:rsidR="003C66EB" w:rsidRDefault="003C66EB">
            <w:pPr>
              <w:rPr>
                <w:rFonts w:ascii="宋体"/>
                <w:vanish/>
              </w:rPr>
            </w:pPr>
          </w:p>
        </w:tc>
        <w:tc>
          <w:tcPr>
            <w:tcW w:w="0" w:type="auto"/>
            <w:gridSpan w:val="3"/>
            <w:shd w:val="clear" w:color="auto" w:fill="auto"/>
          </w:tcPr>
          <w:p w14:paraId="5EA24F8F" w14:textId="77777777" w:rsidR="003C66EB" w:rsidRDefault="003C66EB">
            <w:pPr>
              <w:rPr>
                <w:rFonts w:ascii="宋体"/>
                <w:vanish/>
              </w:rPr>
            </w:pPr>
          </w:p>
        </w:tc>
        <w:tc>
          <w:tcPr>
            <w:tcW w:w="0" w:type="auto"/>
            <w:gridSpan w:val="3"/>
            <w:shd w:val="clear" w:color="auto" w:fill="auto"/>
          </w:tcPr>
          <w:p w14:paraId="5EA24F90" w14:textId="77777777" w:rsidR="003C66EB" w:rsidRDefault="003C66EB">
            <w:pPr>
              <w:rPr>
                <w:rFonts w:ascii="宋体"/>
                <w:vanish/>
              </w:rPr>
            </w:pPr>
          </w:p>
        </w:tc>
        <w:tc>
          <w:tcPr>
            <w:tcW w:w="0" w:type="auto"/>
            <w:shd w:val="clear" w:color="auto" w:fill="auto"/>
          </w:tcPr>
          <w:p w14:paraId="5EA24F91" w14:textId="77777777" w:rsidR="003C66EB" w:rsidRDefault="003C66EB">
            <w:pPr>
              <w:rPr>
                <w:rFonts w:ascii="宋体"/>
                <w:vanish/>
              </w:rPr>
            </w:pPr>
          </w:p>
        </w:tc>
        <w:tc>
          <w:tcPr>
            <w:tcW w:w="0" w:type="auto"/>
            <w:shd w:val="clear" w:color="auto" w:fill="auto"/>
          </w:tcPr>
          <w:p w14:paraId="5EA24F92" w14:textId="77777777" w:rsidR="003C66EB" w:rsidRDefault="003C66EB">
            <w:pPr>
              <w:rPr>
                <w:rFonts w:ascii="宋体"/>
                <w:vanish/>
              </w:rPr>
            </w:pPr>
          </w:p>
        </w:tc>
        <w:tc>
          <w:tcPr>
            <w:tcW w:w="0" w:type="auto"/>
            <w:gridSpan w:val="3"/>
            <w:shd w:val="clear" w:color="auto" w:fill="auto"/>
          </w:tcPr>
          <w:p w14:paraId="5EA24F93" w14:textId="77777777" w:rsidR="003C66EB" w:rsidRDefault="003C66EB">
            <w:pPr>
              <w:rPr>
                <w:rFonts w:ascii="宋体"/>
                <w:vanish/>
              </w:rPr>
            </w:pPr>
          </w:p>
        </w:tc>
        <w:tc>
          <w:tcPr>
            <w:tcW w:w="0" w:type="auto"/>
            <w:gridSpan w:val="3"/>
            <w:shd w:val="clear" w:color="auto" w:fill="auto"/>
          </w:tcPr>
          <w:p w14:paraId="5EA24F94" w14:textId="77777777" w:rsidR="003C66EB" w:rsidRDefault="003C66EB">
            <w:pPr>
              <w:rPr>
                <w:rFonts w:ascii="宋体"/>
                <w:vanish/>
              </w:rPr>
            </w:pPr>
          </w:p>
        </w:tc>
        <w:tc>
          <w:tcPr>
            <w:tcW w:w="0" w:type="auto"/>
            <w:gridSpan w:val="3"/>
            <w:shd w:val="clear" w:color="auto" w:fill="auto"/>
          </w:tcPr>
          <w:p w14:paraId="5EA24F95" w14:textId="77777777" w:rsidR="003C66EB" w:rsidRDefault="003C66EB">
            <w:pPr>
              <w:rPr>
                <w:rFonts w:ascii="宋体"/>
                <w:vanish/>
              </w:rPr>
            </w:pPr>
          </w:p>
        </w:tc>
        <w:tc>
          <w:tcPr>
            <w:tcW w:w="0" w:type="auto"/>
            <w:gridSpan w:val="3"/>
            <w:shd w:val="clear" w:color="auto" w:fill="auto"/>
          </w:tcPr>
          <w:p w14:paraId="5EA24F96" w14:textId="77777777" w:rsidR="003C66EB" w:rsidRDefault="003C66EB">
            <w:pPr>
              <w:rPr>
                <w:rFonts w:ascii="宋体"/>
                <w:vanish/>
              </w:rPr>
            </w:pPr>
          </w:p>
        </w:tc>
        <w:tc>
          <w:tcPr>
            <w:tcW w:w="0" w:type="auto"/>
            <w:gridSpan w:val="3"/>
            <w:shd w:val="clear" w:color="auto" w:fill="auto"/>
          </w:tcPr>
          <w:p w14:paraId="5EA24F97" w14:textId="77777777" w:rsidR="003C66EB" w:rsidRDefault="003C66EB">
            <w:pPr>
              <w:rPr>
                <w:rFonts w:ascii="宋体"/>
                <w:vanish/>
              </w:rPr>
            </w:pPr>
          </w:p>
        </w:tc>
      </w:tr>
      <w:tr w:rsidR="003C66EB" w14:paraId="5EA24FAB" w14:textId="77777777">
        <w:trPr>
          <w:hidden/>
        </w:trPr>
        <w:tc>
          <w:tcPr>
            <w:tcW w:w="0" w:type="auto"/>
            <w:gridSpan w:val="3"/>
            <w:shd w:val="clear" w:color="auto" w:fill="auto"/>
          </w:tcPr>
          <w:p w14:paraId="5EA24F99" w14:textId="77777777" w:rsidR="003C66EB" w:rsidRDefault="003C66EB">
            <w:pPr>
              <w:rPr>
                <w:rFonts w:ascii="宋体"/>
                <w:vanish/>
              </w:rPr>
            </w:pPr>
          </w:p>
        </w:tc>
        <w:tc>
          <w:tcPr>
            <w:tcW w:w="0" w:type="auto"/>
            <w:gridSpan w:val="3"/>
            <w:shd w:val="clear" w:color="auto" w:fill="auto"/>
          </w:tcPr>
          <w:p w14:paraId="5EA24F9A" w14:textId="77777777" w:rsidR="003C66EB" w:rsidRDefault="003C66EB">
            <w:pPr>
              <w:rPr>
                <w:rFonts w:ascii="宋体"/>
                <w:vanish/>
              </w:rPr>
            </w:pPr>
          </w:p>
        </w:tc>
        <w:tc>
          <w:tcPr>
            <w:tcW w:w="0" w:type="auto"/>
            <w:gridSpan w:val="3"/>
            <w:shd w:val="clear" w:color="auto" w:fill="auto"/>
          </w:tcPr>
          <w:p w14:paraId="5EA24F9B" w14:textId="77777777" w:rsidR="003C66EB" w:rsidRDefault="003C66EB">
            <w:pPr>
              <w:rPr>
                <w:rFonts w:ascii="宋体"/>
                <w:vanish/>
              </w:rPr>
            </w:pPr>
          </w:p>
        </w:tc>
        <w:tc>
          <w:tcPr>
            <w:tcW w:w="0" w:type="auto"/>
            <w:gridSpan w:val="3"/>
            <w:shd w:val="clear" w:color="auto" w:fill="auto"/>
          </w:tcPr>
          <w:p w14:paraId="5EA24F9C" w14:textId="77777777" w:rsidR="003C66EB" w:rsidRDefault="003C66EB">
            <w:pPr>
              <w:rPr>
                <w:rFonts w:ascii="宋体"/>
                <w:vanish/>
              </w:rPr>
            </w:pPr>
          </w:p>
        </w:tc>
        <w:tc>
          <w:tcPr>
            <w:tcW w:w="0" w:type="auto"/>
            <w:gridSpan w:val="3"/>
            <w:shd w:val="clear" w:color="auto" w:fill="auto"/>
          </w:tcPr>
          <w:p w14:paraId="5EA24F9D" w14:textId="77777777" w:rsidR="003C66EB" w:rsidRDefault="003C66EB">
            <w:pPr>
              <w:rPr>
                <w:rFonts w:ascii="宋体"/>
                <w:vanish/>
              </w:rPr>
            </w:pPr>
          </w:p>
        </w:tc>
        <w:tc>
          <w:tcPr>
            <w:tcW w:w="0" w:type="auto"/>
            <w:gridSpan w:val="3"/>
            <w:shd w:val="clear" w:color="auto" w:fill="auto"/>
          </w:tcPr>
          <w:p w14:paraId="5EA24F9E" w14:textId="77777777" w:rsidR="003C66EB" w:rsidRDefault="003C66EB">
            <w:pPr>
              <w:rPr>
                <w:rFonts w:ascii="宋体"/>
                <w:vanish/>
              </w:rPr>
            </w:pPr>
          </w:p>
        </w:tc>
        <w:tc>
          <w:tcPr>
            <w:tcW w:w="0" w:type="auto"/>
            <w:gridSpan w:val="3"/>
            <w:shd w:val="clear" w:color="auto" w:fill="auto"/>
          </w:tcPr>
          <w:p w14:paraId="5EA24F9F" w14:textId="77777777" w:rsidR="003C66EB" w:rsidRDefault="003C66EB">
            <w:pPr>
              <w:rPr>
                <w:rFonts w:ascii="宋体"/>
                <w:vanish/>
              </w:rPr>
            </w:pPr>
          </w:p>
        </w:tc>
        <w:tc>
          <w:tcPr>
            <w:tcW w:w="0" w:type="auto"/>
            <w:gridSpan w:val="3"/>
            <w:shd w:val="clear" w:color="auto" w:fill="auto"/>
          </w:tcPr>
          <w:p w14:paraId="5EA24FA0" w14:textId="77777777" w:rsidR="003C66EB" w:rsidRDefault="003C66EB">
            <w:pPr>
              <w:rPr>
                <w:rFonts w:ascii="宋体"/>
                <w:vanish/>
              </w:rPr>
            </w:pPr>
          </w:p>
        </w:tc>
        <w:tc>
          <w:tcPr>
            <w:tcW w:w="0" w:type="auto"/>
            <w:gridSpan w:val="3"/>
            <w:shd w:val="clear" w:color="auto" w:fill="auto"/>
          </w:tcPr>
          <w:p w14:paraId="5EA24FA1" w14:textId="77777777" w:rsidR="003C66EB" w:rsidRDefault="003C66EB">
            <w:pPr>
              <w:rPr>
                <w:rFonts w:ascii="宋体"/>
                <w:vanish/>
              </w:rPr>
            </w:pPr>
          </w:p>
        </w:tc>
        <w:tc>
          <w:tcPr>
            <w:tcW w:w="0" w:type="auto"/>
            <w:gridSpan w:val="3"/>
            <w:shd w:val="clear" w:color="auto" w:fill="auto"/>
          </w:tcPr>
          <w:p w14:paraId="5EA24FA2" w14:textId="77777777" w:rsidR="003C66EB" w:rsidRDefault="003C66EB">
            <w:pPr>
              <w:rPr>
                <w:rFonts w:ascii="宋体"/>
                <w:vanish/>
              </w:rPr>
            </w:pPr>
          </w:p>
        </w:tc>
        <w:tc>
          <w:tcPr>
            <w:tcW w:w="0" w:type="auto"/>
            <w:gridSpan w:val="3"/>
            <w:shd w:val="clear" w:color="auto" w:fill="auto"/>
          </w:tcPr>
          <w:p w14:paraId="5EA24FA3" w14:textId="77777777" w:rsidR="003C66EB" w:rsidRDefault="003C66EB">
            <w:pPr>
              <w:rPr>
                <w:rFonts w:ascii="宋体"/>
                <w:vanish/>
              </w:rPr>
            </w:pPr>
          </w:p>
        </w:tc>
        <w:tc>
          <w:tcPr>
            <w:tcW w:w="0" w:type="auto"/>
            <w:shd w:val="clear" w:color="auto" w:fill="auto"/>
          </w:tcPr>
          <w:p w14:paraId="5EA24FA4" w14:textId="77777777" w:rsidR="003C66EB" w:rsidRDefault="003C66EB">
            <w:pPr>
              <w:rPr>
                <w:rFonts w:ascii="宋体"/>
                <w:vanish/>
              </w:rPr>
            </w:pPr>
          </w:p>
        </w:tc>
        <w:tc>
          <w:tcPr>
            <w:tcW w:w="0" w:type="auto"/>
            <w:shd w:val="clear" w:color="auto" w:fill="auto"/>
          </w:tcPr>
          <w:p w14:paraId="5EA24FA5" w14:textId="77777777" w:rsidR="003C66EB" w:rsidRDefault="003C66EB">
            <w:pPr>
              <w:rPr>
                <w:rFonts w:ascii="宋体"/>
                <w:vanish/>
              </w:rPr>
            </w:pPr>
          </w:p>
        </w:tc>
        <w:tc>
          <w:tcPr>
            <w:tcW w:w="0" w:type="auto"/>
            <w:gridSpan w:val="3"/>
            <w:shd w:val="clear" w:color="auto" w:fill="auto"/>
          </w:tcPr>
          <w:p w14:paraId="5EA24FA6" w14:textId="77777777" w:rsidR="003C66EB" w:rsidRDefault="003C66EB">
            <w:pPr>
              <w:rPr>
                <w:rFonts w:ascii="宋体"/>
                <w:vanish/>
              </w:rPr>
            </w:pPr>
          </w:p>
        </w:tc>
        <w:tc>
          <w:tcPr>
            <w:tcW w:w="0" w:type="auto"/>
            <w:gridSpan w:val="3"/>
            <w:shd w:val="clear" w:color="auto" w:fill="auto"/>
          </w:tcPr>
          <w:p w14:paraId="5EA24FA7" w14:textId="77777777" w:rsidR="003C66EB" w:rsidRDefault="003C66EB">
            <w:pPr>
              <w:rPr>
                <w:rFonts w:ascii="宋体"/>
                <w:vanish/>
              </w:rPr>
            </w:pPr>
          </w:p>
        </w:tc>
        <w:tc>
          <w:tcPr>
            <w:tcW w:w="0" w:type="auto"/>
            <w:gridSpan w:val="3"/>
            <w:shd w:val="clear" w:color="auto" w:fill="auto"/>
          </w:tcPr>
          <w:p w14:paraId="5EA24FA8" w14:textId="77777777" w:rsidR="003C66EB" w:rsidRDefault="003C66EB">
            <w:pPr>
              <w:rPr>
                <w:rFonts w:ascii="宋体"/>
                <w:vanish/>
              </w:rPr>
            </w:pPr>
          </w:p>
        </w:tc>
        <w:tc>
          <w:tcPr>
            <w:tcW w:w="0" w:type="auto"/>
            <w:gridSpan w:val="3"/>
            <w:shd w:val="clear" w:color="auto" w:fill="auto"/>
          </w:tcPr>
          <w:p w14:paraId="5EA24FA9" w14:textId="77777777" w:rsidR="003C66EB" w:rsidRDefault="003C66EB">
            <w:pPr>
              <w:rPr>
                <w:rFonts w:ascii="宋体"/>
                <w:vanish/>
              </w:rPr>
            </w:pPr>
          </w:p>
        </w:tc>
        <w:tc>
          <w:tcPr>
            <w:tcW w:w="0" w:type="auto"/>
            <w:gridSpan w:val="3"/>
            <w:shd w:val="clear" w:color="auto" w:fill="auto"/>
          </w:tcPr>
          <w:p w14:paraId="5EA24FAA" w14:textId="77777777" w:rsidR="003C66EB" w:rsidRDefault="003C66EB">
            <w:pPr>
              <w:rPr>
                <w:rFonts w:ascii="宋体"/>
                <w:vanish/>
              </w:rPr>
            </w:pPr>
          </w:p>
        </w:tc>
      </w:tr>
      <w:tr w:rsidR="003C66EB" w14:paraId="5EA24FCE" w14:textId="77777777">
        <w:tc>
          <w:tcPr>
            <w:tcW w:w="0" w:type="auto"/>
            <w:gridSpan w:val="3"/>
            <w:shd w:val="clear" w:color="auto" w:fill="CCEEFF"/>
            <w:tcMar>
              <w:top w:w="40" w:type="dxa"/>
              <w:left w:w="155" w:type="dxa"/>
              <w:bottom w:w="40" w:type="dxa"/>
              <w:right w:w="20" w:type="dxa"/>
            </w:tcMar>
            <w:vAlign w:val="bottom"/>
          </w:tcPr>
          <w:p w14:paraId="5EA24FAC" w14:textId="77777777" w:rsidR="003C66EB" w:rsidRDefault="00D96C4E">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4FA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AE" w14:textId="77777777" w:rsidR="003C66EB" w:rsidRDefault="00D96C4E">
            <w:pPr>
              <w:jc w:val="right"/>
              <w:textAlignment w:val="bottom"/>
            </w:pPr>
            <w:r>
              <w:rPr>
                <w:rFonts w:ascii="Arial" w:eastAsia="宋体" w:hAnsi="Arial" w:cs="Arial"/>
                <w:color w:val="000000"/>
                <w:sz w:val="14"/>
                <w:szCs w:val="14"/>
              </w:rPr>
              <w:t>2,326 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B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B1"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B2" w14:textId="77777777" w:rsidR="003C66EB" w:rsidRDefault="00D96C4E">
            <w:pPr>
              <w:jc w:val="right"/>
              <w:textAlignment w:val="bottom"/>
            </w:pPr>
            <w:r>
              <w:rPr>
                <w:rFonts w:ascii="Arial" w:eastAsia="宋体" w:hAnsi="Arial" w:cs="Arial"/>
                <w:color w:val="000000"/>
                <w:sz w:val="14"/>
                <w:szCs w:val="14"/>
              </w:rPr>
              <w:t>1,363 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B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B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B6" w14:textId="77777777" w:rsidR="003C66EB" w:rsidRDefault="00D96C4E">
            <w:pPr>
              <w:jc w:val="right"/>
              <w:textAlignment w:val="bottom"/>
            </w:pPr>
            <w:r>
              <w:rPr>
                <w:rFonts w:ascii="Arial" w:eastAsia="宋体" w:hAnsi="Arial" w:cs="Arial"/>
                <w:color w:val="000000"/>
                <w:sz w:val="14"/>
                <w:szCs w:val="14"/>
              </w:rPr>
              <w:t>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B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B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BA" w14:textId="77777777" w:rsidR="003C66EB" w:rsidRDefault="00D96C4E">
            <w:pPr>
              <w:jc w:val="right"/>
              <w:textAlignment w:val="bottom"/>
            </w:pPr>
            <w:r>
              <w:rPr>
                <w:rFonts w:ascii="Arial" w:eastAsia="宋体" w:hAnsi="Arial" w:cs="Arial"/>
                <w:color w:val="000000"/>
                <w:sz w:val="14"/>
                <w:szCs w:val="14"/>
              </w:rPr>
              <w:t>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B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B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BE" w14:textId="77777777" w:rsidR="003C66EB" w:rsidRDefault="00D96C4E">
            <w:pPr>
              <w:jc w:val="right"/>
              <w:textAlignment w:val="bottom"/>
            </w:pPr>
            <w:r>
              <w:rPr>
                <w:rFonts w:ascii="Arial" w:eastAsia="宋体" w:hAnsi="Arial" w:cs="Arial"/>
                <w:color w:val="000000"/>
                <w:sz w:val="14"/>
                <w:szCs w:val="14"/>
              </w:rPr>
              <w:t>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C0" w14:textId="77777777" w:rsidR="003C66EB" w:rsidRDefault="003C66EB">
            <w:pPr>
              <w:rPr>
                <w:rFonts w:ascii="宋体"/>
              </w:rPr>
            </w:pPr>
          </w:p>
        </w:tc>
        <w:tc>
          <w:tcPr>
            <w:tcW w:w="0" w:type="auto"/>
            <w:shd w:val="clear" w:color="auto" w:fill="auto"/>
          </w:tcPr>
          <w:p w14:paraId="5EA24FC1" w14:textId="77777777" w:rsidR="003C66EB" w:rsidRDefault="003C66EB">
            <w:pPr>
              <w:rPr>
                <w:rFonts w:ascii="宋体"/>
                <w:vanish/>
              </w:rPr>
            </w:pPr>
          </w:p>
        </w:tc>
        <w:tc>
          <w:tcPr>
            <w:tcW w:w="0" w:type="auto"/>
            <w:shd w:val="clear" w:color="auto" w:fill="auto"/>
          </w:tcPr>
          <w:p w14:paraId="5EA24FC2"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C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C4"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C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C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C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C8" w14:textId="77777777" w:rsidR="003C66EB" w:rsidRDefault="00D96C4E">
            <w:pPr>
              <w:jc w:val="right"/>
              <w:textAlignment w:val="bottom"/>
            </w:pPr>
            <w:r>
              <w:rPr>
                <w:rFonts w:ascii="Arial" w:eastAsia="宋体" w:hAnsi="Arial" w:cs="Arial"/>
                <w:color w:val="000000"/>
                <w:sz w:val="14"/>
                <w:szCs w:val="14"/>
              </w:rPr>
              <w:t>13,433 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4FC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4FC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4FCC" w14:textId="77777777" w:rsidR="003C66EB" w:rsidRDefault="00D96C4E">
            <w:pPr>
              <w:jc w:val="right"/>
              <w:textAlignment w:val="bottom"/>
            </w:pPr>
            <w:r>
              <w:rPr>
                <w:rFonts w:ascii="Arial" w:eastAsia="宋体" w:hAnsi="Arial" w:cs="Arial"/>
                <w:color w:val="000000"/>
                <w:sz w:val="14"/>
                <w:szCs w:val="14"/>
              </w:rPr>
              <w:t>19,036 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4FCD" w14:textId="77777777" w:rsidR="003C66EB" w:rsidRDefault="003C66EB">
            <w:pPr>
              <w:jc w:val="right"/>
              <w:rPr>
                <w:rFonts w:ascii="宋体"/>
              </w:rPr>
            </w:pPr>
          </w:p>
        </w:tc>
      </w:tr>
      <w:tr w:rsidR="003C66EB" w14:paraId="5EA24FE1" w14:textId="77777777">
        <w:trPr>
          <w:trHeight w:val="60"/>
        </w:trPr>
        <w:tc>
          <w:tcPr>
            <w:tcW w:w="0" w:type="auto"/>
            <w:gridSpan w:val="3"/>
            <w:shd w:val="clear" w:color="auto" w:fill="auto"/>
            <w:tcMar>
              <w:top w:w="0" w:type="dxa"/>
              <w:left w:w="20" w:type="dxa"/>
              <w:bottom w:w="0" w:type="dxa"/>
              <w:right w:w="20" w:type="dxa"/>
            </w:tcMar>
          </w:tcPr>
          <w:p w14:paraId="5EA24FC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1"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9" w14:textId="77777777" w:rsidR="003C66EB" w:rsidRDefault="003C66EB">
            <w:pPr>
              <w:rPr>
                <w:rFonts w:ascii="宋体"/>
              </w:rPr>
            </w:pPr>
          </w:p>
        </w:tc>
        <w:tc>
          <w:tcPr>
            <w:tcW w:w="0" w:type="auto"/>
            <w:shd w:val="clear" w:color="auto" w:fill="auto"/>
          </w:tcPr>
          <w:p w14:paraId="5EA24FDA" w14:textId="77777777" w:rsidR="003C66EB" w:rsidRDefault="003C66EB">
            <w:pPr>
              <w:rPr>
                <w:rFonts w:ascii="宋体"/>
                <w:vanish/>
              </w:rPr>
            </w:pPr>
          </w:p>
        </w:tc>
        <w:tc>
          <w:tcPr>
            <w:tcW w:w="0" w:type="auto"/>
            <w:shd w:val="clear" w:color="auto" w:fill="auto"/>
          </w:tcPr>
          <w:p w14:paraId="5EA24FDB"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D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4FE0" w14:textId="77777777" w:rsidR="003C66EB" w:rsidRDefault="003C66EB">
            <w:pPr>
              <w:rPr>
                <w:rFonts w:ascii="宋体"/>
              </w:rPr>
            </w:pPr>
          </w:p>
        </w:tc>
      </w:tr>
      <w:tr w:rsidR="003C66EB" w14:paraId="5EA24FF4" w14:textId="77777777">
        <w:tc>
          <w:tcPr>
            <w:tcW w:w="0" w:type="auto"/>
            <w:gridSpan w:val="3"/>
            <w:shd w:val="clear" w:color="auto" w:fill="auto"/>
            <w:tcMar>
              <w:top w:w="40" w:type="dxa"/>
              <w:left w:w="155" w:type="dxa"/>
              <w:bottom w:w="40" w:type="dxa"/>
              <w:right w:w="20" w:type="dxa"/>
            </w:tcMar>
            <w:vAlign w:val="bottom"/>
          </w:tcPr>
          <w:p w14:paraId="5EA24FE2" w14:textId="77777777" w:rsidR="003C66EB" w:rsidRDefault="00D96C4E">
            <w:pPr>
              <w:textAlignment w:val="bottom"/>
            </w:pPr>
            <w:r>
              <w:rPr>
                <w:rFonts w:ascii="Arial" w:eastAsia="宋体" w:hAnsi="Arial" w:cs="Arial"/>
                <w:color w:val="000000"/>
                <w:sz w:val="14"/>
                <w:szCs w:val="14"/>
              </w:rPr>
              <w:t>Comme</w:t>
            </w:r>
            <w:r>
              <w:rPr>
                <w:rFonts w:ascii="Arial" w:eastAsia="宋体" w:hAnsi="Arial" w:cs="Arial"/>
                <w:color w:val="000000"/>
                <w:sz w:val="14"/>
                <w:szCs w:val="14"/>
              </w:rPr>
              <w:t>rcial real estate:</w:t>
            </w:r>
          </w:p>
        </w:tc>
        <w:tc>
          <w:tcPr>
            <w:tcW w:w="0" w:type="auto"/>
            <w:gridSpan w:val="3"/>
            <w:shd w:val="clear" w:color="auto" w:fill="auto"/>
            <w:tcMar>
              <w:top w:w="0" w:type="dxa"/>
              <w:left w:w="20" w:type="dxa"/>
              <w:bottom w:w="0" w:type="dxa"/>
              <w:right w:w="20" w:type="dxa"/>
            </w:tcMar>
          </w:tcPr>
          <w:p w14:paraId="5EA24FE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EC" w14:textId="77777777" w:rsidR="003C66EB" w:rsidRDefault="003C66EB">
            <w:pPr>
              <w:rPr>
                <w:rFonts w:ascii="宋体"/>
              </w:rPr>
            </w:pPr>
          </w:p>
        </w:tc>
        <w:tc>
          <w:tcPr>
            <w:tcW w:w="0" w:type="auto"/>
            <w:shd w:val="clear" w:color="auto" w:fill="auto"/>
          </w:tcPr>
          <w:p w14:paraId="5EA24FED" w14:textId="77777777" w:rsidR="003C66EB" w:rsidRDefault="003C66EB">
            <w:pPr>
              <w:rPr>
                <w:rFonts w:ascii="宋体"/>
                <w:vanish/>
              </w:rPr>
            </w:pPr>
          </w:p>
        </w:tc>
        <w:tc>
          <w:tcPr>
            <w:tcW w:w="0" w:type="auto"/>
            <w:shd w:val="clear" w:color="auto" w:fill="auto"/>
          </w:tcPr>
          <w:p w14:paraId="5EA24FEE"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4F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3" w14:textId="77777777" w:rsidR="003C66EB" w:rsidRDefault="003C66EB">
            <w:pPr>
              <w:rPr>
                <w:rFonts w:ascii="宋体"/>
              </w:rPr>
            </w:pPr>
          </w:p>
        </w:tc>
      </w:tr>
      <w:tr w:rsidR="003C66EB" w14:paraId="5EA25007" w14:textId="77777777">
        <w:tc>
          <w:tcPr>
            <w:tcW w:w="0" w:type="auto"/>
            <w:gridSpan w:val="3"/>
            <w:shd w:val="clear" w:color="auto" w:fill="auto"/>
            <w:tcMar>
              <w:top w:w="40" w:type="dxa"/>
              <w:left w:w="245" w:type="dxa"/>
              <w:bottom w:w="40" w:type="dxa"/>
              <w:right w:w="20" w:type="dxa"/>
            </w:tcMar>
            <w:vAlign w:val="bottom"/>
          </w:tcPr>
          <w:p w14:paraId="5EA24FF5" w14:textId="77777777" w:rsidR="003C66EB" w:rsidRDefault="00D96C4E">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5EA24FF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4FFF" w14:textId="77777777" w:rsidR="003C66EB" w:rsidRDefault="003C66EB">
            <w:pPr>
              <w:rPr>
                <w:rFonts w:ascii="宋体"/>
              </w:rPr>
            </w:pPr>
          </w:p>
        </w:tc>
        <w:tc>
          <w:tcPr>
            <w:tcW w:w="0" w:type="auto"/>
            <w:shd w:val="clear" w:color="auto" w:fill="auto"/>
          </w:tcPr>
          <w:p w14:paraId="5EA25000" w14:textId="77777777" w:rsidR="003C66EB" w:rsidRDefault="003C66EB">
            <w:pPr>
              <w:rPr>
                <w:rFonts w:ascii="宋体"/>
                <w:vanish/>
              </w:rPr>
            </w:pPr>
          </w:p>
        </w:tc>
        <w:tc>
          <w:tcPr>
            <w:tcW w:w="0" w:type="auto"/>
            <w:shd w:val="clear" w:color="auto" w:fill="auto"/>
          </w:tcPr>
          <w:p w14:paraId="5EA25001"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00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0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0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06" w14:textId="77777777" w:rsidR="003C66EB" w:rsidRDefault="003C66EB">
            <w:pPr>
              <w:rPr>
                <w:rFonts w:ascii="宋体"/>
              </w:rPr>
            </w:pPr>
          </w:p>
        </w:tc>
      </w:tr>
      <w:tr w:rsidR="003C66EB" w14:paraId="5EA2502A" w14:textId="77777777">
        <w:tc>
          <w:tcPr>
            <w:tcW w:w="0" w:type="auto"/>
            <w:gridSpan w:val="3"/>
            <w:shd w:val="clear" w:color="auto" w:fill="CCEEFF"/>
            <w:tcMar>
              <w:top w:w="40" w:type="dxa"/>
              <w:left w:w="380" w:type="dxa"/>
              <w:bottom w:w="40" w:type="dxa"/>
              <w:right w:w="20" w:type="dxa"/>
            </w:tcMar>
            <w:vAlign w:val="bottom"/>
          </w:tcPr>
          <w:p w14:paraId="5EA25008" w14:textId="77777777" w:rsidR="003C66EB" w:rsidRDefault="00D96C4E">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A2500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0A" w14:textId="77777777" w:rsidR="003C66EB" w:rsidRDefault="00D96C4E">
            <w:pPr>
              <w:jc w:val="right"/>
              <w:textAlignment w:val="bottom"/>
            </w:pPr>
            <w:r>
              <w:rPr>
                <w:rFonts w:ascii="Arial" w:eastAsia="宋体" w:hAnsi="Arial" w:cs="Arial"/>
                <w:color w:val="000000"/>
                <w:sz w:val="14"/>
                <w:szCs w:val="14"/>
              </w:rPr>
              <w:t>178 </w:t>
            </w:r>
          </w:p>
        </w:tc>
        <w:tc>
          <w:tcPr>
            <w:tcW w:w="0" w:type="auto"/>
            <w:shd w:val="clear" w:color="auto" w:fill="CCEEFF"/>
            <w:tcMar>
              <w:top w:w="40" w:type="dxa"/>
              <w:left w:w="0" w:type="dxa"/>
              <w:bottom w:w="40" w:type="dxa"/>
              <w:right w:w="20" w:type="dxa"/>
            </w:tcMar>
            <w:vAlign w:val="bottom"/>
          </w:tcPr>
          <w:p w14:paraId="5EA250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0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00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0E" w14:textId="77777777" w:rsidR="003C66EB" w:rsidRDefault="00D96C4E">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EA250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1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01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12" w14:textId="77777777" w:rsidR="003C66EB" w:rsidRDefault="00D96C4E">
            <w:pPr>
              <w:jc w:val="right"/>
              <w:textAlignment w:val="bottom"/>
            </w:pPr>
            <w:r>
              <w:rPr>
                <w:rFonts w:ascii="Arial" w:eastAsia="宋体" w:hAnsi="Arial" w:cs="Arial"/>
                <w:color w:val="000000"/>
                <w:sz w:val="14"/>
                <w:szCs w:val="14"/>
              </w:rPr>
              <w:t>688 </w:t>
            </w:r>
          </w:p>
        </w:tc>
        <w:tc>
          <w:tcPr>
            <w:tcW w:w="0" w:type="auto"/>
            <w:shd w:val="clear" w:color="auto" w:fill="CCEEFF"/>
            <w:tcMar>
              <w:top w:w="40" w:type="dxa"/>
              <w:left w:w="0" w:type="dxa"/>
              <w:bottom w:w="40" w:type="dxa"/>
              <w:right w:w="20" w:type="dxa"/>
            </w:tcMar>
            <w:vAlign w:val="bottom"/>
          </w:tcPr>
          <w:p w14:paraId="5EA2501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1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01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16" w14:textId="77777777" w:rsidR="003C66EB" w:rsidRDefault="00D96C4E">
            <w:pPr>
              <w:jc w:val="right"/>
              <w:textAlignment w:val="bottom"/>
            </w:pPr>
            <w:r>
              <w:rPr>
                <w:rFonts w:ascii="Arial" w:eastAsia="宋体" w:hAnsi="Arial" w:cs="Arial"/>
                <w:color w:val="000000"/>
                <w:sz w:val="14"/>
                <w:szCs w:val="14"/>
              </w:rPr>
              <w:t>277 </w:t>
            </w:r>
          </w:p>
        </w:tc>
        <w:tc>
          <w:tcPr>
            <w:tcW w:w="0" w:type="auto"/>
            <w:shd w:val="clear" w:color="auto" w:fill="CCEEFF"/>
            <w:tcMar>
              <w:top w:w="40" w:type="dxa"/>
              <w:left w:w="0" w:type="dxa"/>
              <w:bottom w:w="40" w:type="dxa"/>
              <w:right w:w="20" w:type="dxa"/>
            </w:tcMar>
            <w:vAlign w:val="bottom"/>
          </w:tcPr>
          <w:p w14:paraId="5EA250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1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01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1A" w14:textId="77777777" w:rsidR="003C66EB" w:rsidRDefault="00D96C4E">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EA250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1C" w14:textId="77777777" w:rsidR="003C66EB" w:rsidRDefault="003C66EB">
            <w:pPr>
              <w:rPr>
                <w:rFonts w:ascii="宋体"/>
              </w:rPr>
            </w:pPr>
          </w:p>
        </w:tc>
        <w:tc>
          <w:tcPr>
            <w:tcW w:w="0" w:type="auto"/>
            <w:shd w:val="clear" w:color="auto" w:fill="auto"/>
          </w:tcPr>
          <w:p w14:paraId="5EA2501D" w14:textId="77777777" w:rsidR="003C66EB" w:rsidRDefault="003C66EB">
            <w:pPr>
              <w:rPr>
                <w:rFonts w:ascii="宋体"/>
                <w:vanish/>
              </w:rPr>
            </w:pPr>
          </w:p>
        </w:tc>
        <w:tc>
          <w:tcPr>
            <w:tcW w:w="0" w:type="auto"/>
            <w:shd w:val="clear" w:color="auto" w:fill="auto"/>
          </w:tcPr>
          <w:p w14:paraId="5EA2501E"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501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2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02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2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02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2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02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2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02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028" w14:textId="77777777" w:rsidR="003C66EB" w:rsidRDefault="00D96C4E">
            <w:pPr>
              <w:jc w:val="right"/>
              <w:textAlignment w:val="bottom"/>
            </w:pPr>
            <w:r>
              <w:rPr>
                <w:rFonts w:ascii="Arial" w:eastAsia="宋体" w:hAnsi="Arial" w:cs="Arial"/>
                <w:color w:val="000000"/>
                <w:sz w:val="14"/>
                <w:szCs w:val="14"/>
              </w:rPr>
              <w:t>1,723 </w:t>
            </w:r>
          </w:p>
        </w:tc>
        <w:tc>
          <w:tcPr>
            <w:tcW w:w="0" w:type="auto"/>
            <w:shd w:val="clear" w:color="auto" w:fill="CCEEFF"/>
            <w:tcMar>
              <w:top w:w="40" w:type="dxa"/>
              <w:left w:w="0" w:type="dxa"/>
              <w:bottom w:w="40" w:type="dxa"/>
              <w:right w:w="20" w:type="dxa"/>
            </w:tcMar>
            <w:vAlign w:val="bottom"/>
          </w:tcPr>
          <w:p w14:paraId="5EA25029" w14:textId="77777777" w:rsidR="003C66EB" w:rsidRDefault="003C66EB">
            <w:pPr>
              <w:jc w:val="right"/>
              <w:rPr>
                <w:rFonts w:ascii="宋体"/>
              </w:rPr>
            </w:pPr>
          </w:p>
        </w:tc>
      </w:tr>
      <w:tr w:rsidR="003C66EB" w14:paraId="5EA25046" w14:textId="77777777">
        <w:tc>
          <w:tcPr>
            <w:tcW w:w="0" w:type="auto"/>
            <w:gridSpan w:val="3"/>
            <w:shd w:val="clear" w:color="auto" w:fill="FFFFFF"/>
            <w:tcMar>
              <w:top w:w="40" w:type="dxa"/>
              <w:left w:w="380" w:type="dxa"/>
              <w:bottom w:w="40" w:type="dxa"/>
              <w:right w:w="20" w:type="dxa"/>
            </w:tcMar>
            <w:vAlign w:val="bottom"/>
          </w:tcPr>
          <w:p w14:paraId="5EA2502B"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502C" w14:textId="77777777" w:rsidR="003C66EB" w:rsidRDefault="00D96C4E">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5EA250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2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02F" w14:textId="77777777" w:rsidR="003C66EB" w:rsidRDefault="00D96C4E">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5EA250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032" w14:textId="77777777" w:rsidR="003C66EB" w:rsidRDefault="00D96C4E">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5EA250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035"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0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3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03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0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3A" w14:textId="77777777" w:rsidR="003C66EB" w:rsidRDefault="003C66EB">
            <w:pPr>
              <w:rPr>
                <w:rFonts w:ascii="宋体"/>
              </w:rPr>
            </w:pPr>
          </w:p>
        </w:tc>
        <w:tc>
          <w:tcPr>
            <w:tcW w:w="0" w:type="auto"/>
            <w:shd w:val="clear" w:color="auto" w:fill="auto"/>
          </w:tcPr>
          <w:p w14:paraId="5EA2503B" w14:textId="77777777" w:rsidR="003C66EB" w:rsidRDefault="003C66EB">
            <w:pPr>
              <w:rPr>
                <w:rFonts w:ascii="宋体"/>
                <w:vanish/>
              </w:rPr>
            </w:pPr>
          </w:p>
        </w:tc>
        <w:tc>
          <w:tcPr>
            <w:tcW w:w="0" w:type="auto"/>
            <w:shd w:val="clear" w:color="auto" w:fill="auto"/>
          </w:tcPr>
          <w:p w14:paraId="5EA2503C"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503D" w14:textId="77777777" w:rsidR="003C66EB" w:rsidRDefault="00D96C4E">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A2503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3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04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0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042"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504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A25044" w14:textId="77777777" w:rsidR="003C66EB" w:rsidRDefault="00D96C4E">
            <w:pPr>
              <w:jc w:val="right"/>
              <w:textAlignment w:val="bottom"/>
            </w:pPr>
            <w:r>
              <w:rPr>
                <w:rFonts w:ascii="Arial" w:eastAsia="宋体" w:hAnsi="Arial" w:cs="Arial"/>
                <w:color w:val="000000"/>
                <w:sz w:val="14"/>
                <w:szCs w:val="14"/>
              </w:rPr>
              <w:t>373 </w:t>
            </w:r>
          </w:p>
        </w:tc>
        <w:tc>
          <w:tcPr>
            <w:tcW w:w="0" w:type="auto"/>
            <w:shd w:val="clear" w:color="auto" w:fill="FFFFFF"/>
            <w:tcMar>
              <w:top w:w="40" w:type="dxa"/>
              <w:left w:w="0" w:type="dxa"/>
              <w:bottom w:w="40" w:type="dxa"/>
              <w:right w:w="20" w:type="dxa"/>
            </w:tcMar>
            <w:vAlign w:val="bottom"/>
          </w:tcPr>
          <w:p w14:paraId="5EA25045" w14:textId="77777777" w:rsidR="003C66EB" w:rsidRDefault="003C66EB">
            <w:pPr>
              <w:jc w:val="right"/>
              <w:rPr>
                <w:rFonts w:ascii="宋体"/>
              </w:rPr>
            </w:pPr>
          </w:p>
        </w:tc>
      </w:tr>
      <w:tr w:rsidR="003C66EB" w14:paraId="5EA25059" w14:textId="77777777">
        <w:trPr>
          <w:hidden/>
        </w:trPr>
        <w:tc>
          <w:tcPr>
            <w:tcW w:w="0" w:type="auto"/>
            <w:gridSpan w:val="3"/>
            <w:shd w:val="clear" w:color="auto" w:fill="auto"/>
          </w:tcPr>
          <w:p w14:paraId="5EA25047" w14:textId="77777777" w:rsidR="003C66EB" w:rsidRDefault="003C66EB">
            <w:pPr>
              <w:rPr>
                <w:rFonts w:ascii="宋体"/>
                <w:vanish/>
              </w:rPr>
            </w:pPr>
          </w:p>
        </w:tc>
        <w:tc>
          <w:tcPr>
            <w:tcW w:w="0" w:type="auto"/>
            <w:gridSpan w:val="3"/>
            <w:shd w:val="clear" w:color="auto" w:fill="auto"/>
          </w:tcPr>
          <w:p w14:paraId="5EA25048" w14:textId="77777777" w:rsidR="003C66EB" w:rsidRDefault="003C66EB">
            <w:pPr>
              <w:rPr>
                <w:rFonts w:ascii="宋体"/>
                <w:vanish/>
              </w:rPr>
            </w:pPr>
          </w:p>
        </w:tc>
        <w:tc>
          <w:tcPr>
            <w:tcW w:w="0" w:type="auto"/>
            <w:gridSpan w:val="3"/>
            <w:shd w:val="clear" w:color="auto" w:fill="auto"/>
          </w:tcPr>
          <w:p w14:paraId="5EA25049" w14:textId="77777777" w:rsidR="003C66EB" w:rsidRDefault="003C66EB">
            <w:pPr>
              <w:rPr>
                <w:rFonts w:ascii="宋体"/>
                <w:vanish/>
              </w:rPr>
            </w:pPr>
          </w:p>
        </w:tc>
        <w:tc>
          <w:tcPr>
            <w:tcW w:w="0" w:type="auto"/>
            <w:gridSpan w:val="3"/>
            <w:shd w:val="clear" w:color="auto" w:fill="auto"/>
          </w:tcPr>
          <w:p w14:paraId="5EA2504A" w14:textId="77777777" w:rsidR="003C66EB" w:rsidRDefault="003C66EB">
            <w:pPr>
              <w:rPr>
                <w:rFonts w:ascii="宋体"/>
                <w:vanish/>
              </w:rPr>
            </w:pPr>
          </w:p>
        </w:tc>
        <w:tc>
          <w:tcPr>
            <w:tcW w:w="0" w:type="auto"/>
            <w:gridSpan w:val="3"/>
            <w:shd w:val="clear" w:color="auto" w:fill="auto"/>
          </w:tcPr>
          <w:p w14:paraId="5EA2504B" w14:textId="77777777" w:rsidR="003C66EB" w:rsidRDefault="003C66EB">
            <w:pPr>
              <w:rPr>
                <w:rFonts w:ascii="宋体"/>
                <w:vanish/>
              </w:rPr>
            </w:pPr>
          </w:p>
        </w:tc>
        <w:tc>
          <w:tcPr>
            <w:tcW w:w="0" w:type="auto"/>
            <w:gridSpan w:val="3"/>
            <w:shd w:val="clear" w:color="auto" w:fill="auto"/>
          </w:tcPr>
          <w:p w14:paraId="5EA2504C" w14:textId="77777777" w:rsidR="003C66EB" w:rsidRDefault="003C66EB">
            <w:pPr>
              <w:rPr>
                <w:rFonts w:ascii="宋体"/>
                <w:vanish/>
              </w:rPr>
            </w:pPr>
          </w:p>
        </w:tc>
        <w:tc>
          <w:tcPr>
            <w:tcW w:w="0" w:type="auto"/>
            <w:gridSpan w:val="3"/>
            <w:shd w:val="clear" w:color="auto" w:fill="auto"/>
          </w:tcPr>
          <w:p w14:paraId="5EA2504D" w14:textId="77777777" w:rsidR="003C66EB" w:rsidRDefault="003C66EB">
            <w:pPr>
              <w:rPr>
                <w:rFonts w:ascii="宋体"/>
                <w:vanish/>
              </w:rPr>
            </w:pPr>
          </w:p>
        </w:tc>
        <w:tc>
          <w:tcPr>
            <w:tcW w:w="0" w:type="auto"/>
            <w:gridSpan w:val="3"/>
            <w:shd w:val="clear" w:color="auto" w:fill="auto"/>
          </w:tcPr>
          <w:p w14:paraId="5EA2504E" w14:textId="77777777" w:rsidR="003C66EB" w:rsidRDefault="003C66EB">
            <w:pPr>
              <w:rPr>
                <w:rFonts w:ascii="宋体"/>
                <w:vanish/>
              </w:rPr>
            </w:pPr>
          </w:p>
        </w:tc>
        <w:tc>
          <w:tcPr>
            <w:tcW w:w="0" w:type="auto"/>
            <w:gridSpan w:val="3"/>
            <w:shd w:val="clear" w:color="auto" w:fill="auto"/>
          </w:tcPr>
          <w:p w14:paraId="5EA2504F" w14:textId="77777777" w:rsidR="003C66EB" w:rsidRDefault="003C66EB">
            <w:pPr>
              <w:rPr>
                <w:rFonts w:ascii="宋体"/>
                <w:vanish/>
              </w:rPr>
            </w:pPr>
          </w:p>
        </w:tc>
        <w:tc>
          <w:tcPr>
            <w:tcW w:w="0" w:type="auto"/>
            <w:gridSpan w:val="3"/>
            <w:shd w:val="clear" w:color="auto" w:fill="auto"/>
          </w:tcPr>
          <w:p w14:paraId="5EA25050" w14:textId="77777777" w:rsidR="003C66EB" w:rsidRDefault="003C66EB">
            <w:pPr>
              <w:rPr>
                <w:rFonts w:ascii="宋体"/>
                <w:vanish/>
              </w:rPr>
            </w:pPr>
          </w:p>
        </w:tc>
        <w:tc>
          <w:tcPr>
            <w:tcW w:w="0" w:type="auto"/>
            <w:gridSpan w:val="3"/>
            <w:shd w:val="clear" w:color="auto" w:fill="auto"/>
          </w:tcPr>
          <w:p w14:paraId="5EA25051" w14:textId="77777777" w:rsidR="003C66EB" w:rsidRDefault="003C66EB">
            <w:pPr>
              <w:rPr>
                <w:rFonts w:ascii="宋体"/>
                <w:vanish/>
              </w:rPr>
            </w:pPr>
          </w:p>
        </w:tc>
        <w:tc>
          <w:tcPr>
            <w:tcW w:w="0" w:type="auto"/>
            <w:shd w:val="clear" w:color="auto" w:fill="auto"/>
          </w:tcPr>
          <w:p w14:paraId="5EA25052" w14:textId="77777777" w:rsidR="003C66EB" w:rsidRDefault="003C66EB">
            <w:pPr>
              <w:rPr>
                <w:rFonts w:ascii="宋体"/>
                <w:vanish/>
              </w:rPr>
            </w:pPr>
          </w:p>
        </w:tc>
        <w:tc>
          <w:tcPr>
            <w:tcW w:w="0" w:type="auto"/>
            <w:shd w:val="clear" w:color="auto" w:fill="auto"/>
          </w:tcPr>
          <w:p w14:paraId="5EA25053" w14:textId="77777777" w:rsidR="003C66EB" w:rsidRDefault="003C66EB">
            <w:pPr>
              <w:rPr>
                <w:rFonts w:ascii="宋体"/>
                <w:vanish/>
              </w:rPr>
            </w:pPr>
          </w:p>
        </w:tc>
        <w:tc>
          <w:tcPr>
            <w:tcW w:w="0" w:type="auto"/>
            <w:gridSpan w:val="3"/>
            <w:shd w:val="clear" w:color="auto" w:fill="auto"/>
          </w:tcPr>
          <w:p w14:paraId="5EA25054" w14:textId="77777777" w:rsidR="003C66EB" w:rsidRDefault="003C66EB">
            <w:pPr>
              <w:rPr>
                <w:rFonts w:ascii="宋体"/>
                <w:vanish/>
              </w:rPr>
            </w:pPr>
          </w:p>
        </w:tc>
        <w:tc>
          <w:tcPr>
            <w:tcW w:w="0" w:type="auto"/>
            <w:gridSpan w:val="3"/>
            <w:shd w:val="clear" w:color="auto" w:fill="auto"/>
          </w:tcPr>
          <w:p w14:paraId="5EA25055" w14:textId="77777777" w:rsidR="003C66EB" w:rsidRDefault="003C66EB">
            <w:pPr>
              <w:rPr>
                <w:rFonts w:ascii="宋体"/>
                <w:vanish/>
              </w:rPr>
            </w:pPr>
          </w:p>
        </w:tc>
        <w:tc>
          <w:tcPr>
            <w:tcW w:w="0" w:type="auto"/>
            <w:gridSpan w:val="3"/>
            <w:shd w:val="clear" w:color="auto" w:fill="auto"/>
          </w:tcPr>
          <w:p w14:paraId="5EA25056" w14:textId="77777777" w:rsidR="003C66EB" w:rsidRDefault="003C66EB">
            <w:pPr>
              <w:rPr>
                <w:rFonts w:ascii="宋体"/>
                <w:vanish/>
              </w:rPr>
            </w:pPr>
          </w:p>
        </w:tc>
        <w:tc>
          <w:tcPr>
            <w:tcW w:w="0" w:type="auto"/>
            <w:gridSpan w:val="3"/>
            <w:shd w:val="clear" w:color="auto" w:fill="auto"/>
          </w:tcPr>
          <w:p w14:paraId="5EA25057" w14:textId="77777777" w:rsidR="003C66EB" w:rsidRDefault="003C66EB">
            <w:pPr>
              <w:rPr>
                <w:rFonts w:ascii="宋体"/>
                <w:vanish/>
              </w:rPr>
            </w:pPr>
          </w:p>
        </w:tc>
        <w:tc>
          <w:tcPr>
            <w:tcW w:w="0" w:type="auto"/>
            <w:gridSpan w:val="3"/>
            <w:shd w:val="clear" w:color="auto" w:fill="auto"/>
          </w:tcPr>
          <w:p w14:paraId="5EA25058" w14:textId="77777777" w:rsidR="003C66EB" w:rsidRDefault="003C66EB">
            <w:pPr>
              <w:rPr>
                <w:rFonts w:ascii="宋体"/>
                <w:vanish/>
              </w:rPr>
            </w:pPr>
          </w:p>
        </w:tc>
      </w:tr>
      <w:tr w:rsidR="003C66EB" w14:paraId="5EA2506C" w14:textId="77777777">
        <w:trPr>
          <w:hidden/>
        </w:trPr>
        <w:tc>
          <w:tcPr>
            <w:tcW w:w="0" w:type="auto"/>
            <w:gridSpan w:val="3"/>
            <w:shd w:val="clear" w:color="auto" w:fill="auto"/>
          </w:tcPr>
          <w:p w14:paraId="5EA2505A" w14:textId="77777777" w:rsidR="003C66EB" w:rsidRDefault="003C66EB">
            <w:pPr>
              <w:rPr>
                <w:rFonts w:ascii="宋体"/>
                <w:vanish/>
              </w:rPr>
            </w:pPr>
          </w:p>
        </w:tc>
        <w:tc>
          <w:tcPr>
            <w:tcW w:w="0" w:type="auto"/>
            <w:gridSpan w:val="3"/>
            <w:shd w:val="clear" w:color="auto" w:fill="auto"/>
          </w:tcPr>
          <w:p w14:paraId="5EA2505B" w14:textId="77777777" w:rsidR="003C66EB" w:rsidRDefault="003C66EB">
            <w:pPr>
              <w:rPr>
                <w:rFonts w:ascii="宋体"/>
                <w:vanish/>
              </w:rPr>
            </w:pPr>
          </w:p>
        </w:tc>
        <w:tc>
          <w:tcPr>
            <w:tcW w:w="0" w:type="auto"/>
            <w:gridSpan w:val="3"/>
            <w:shd w:val="clear" w:color="auto" w:fill="auto"/>
          </w:tcPr>
          <w:p w14:paraId="5EA2505C" w14:textId="77777777" w:rsidR="003C66EB" w:rsidRDefault="003C66EB">
            <w:pPr>
              <w:rPr>
                <w:rFonts w:ascii="宋体"/>
                <w:vanish/>
              </w:rPr>
            </w:pPr>
          </w:p>
        </w:tc>
        <w:tc>
          <w:tcPr>
            <w:tcW w:w="0" w:type="auto"/>
            <w:gridSpan w:val="3"/>
            <w:shd w:val="clear" w:color="auto" w:fill="auto"/>
          </w:tcPr>
          <w:p w14:paraId="5EA2505D" w14:textId="77777777" w:rsidR="003C66EB" w:rsidRDefault="003C66EB">
            <w:pPr>
              <w:rPr>
                <w:rFonts w:ascii="宋体"/>
                <w:vanish/>
              </w:rPr>
            </w:pPr>
          </w:p>
        </w:tc>
        <w:tc>
          <w:tcPr>
            <w:tcW w:w="0" w:type="auto"/>
            <w:gridSpan w:val="3"/>
            <w:shd w:val="clear" w:color="auto" w:fill="auto"/>
          </w:tcPr>
          <w:p w14:paraId="5EA2505E" w14:textId="77777777" w:rsidR="003C66EB" w:rsidRDefault="003C66EB">
            <w:pPr>
              <w:rPr>
                <w:rFonts w:ascii="宋体"/>
                <w:vanish/>
              </w:rPr>
            </w:pPr>
          </w:p>
        </w:tc>
        <w:tc>
          <w:tcPr>
            <w:tcW w:w="0" w:type="auto"/>
            <w:gridSpan w:val="3"/>
            <w:shd w:val="clear" w:color="auto" w:fill="auto"/>
          </w:tcPr>
          <w:p w14:paraId="5EA2505F" w14:textId="77777777" w:rsidR="003C66EB" w:rsidRDefault="003C66EB">
            <w:pPr>
              <w:rPr>
                <w:rFonts w:ascii="宋体"/>
                <w:vanish/>
              </w:rPr>
            </w:pPr>
          </w:p>
        </w:tc>
        <w:tc>
          <w:tcPr>
            <w:tcW w:w="0" w:type="auto"/>
            <w:gridSpan w:val="3"/>
            <w:shd w:val="clear" w:color="auto" w:fill="auto"/>
          </w:tcPr>
          <w:p w14:paraId="5EA25060" w14:textId="77777777" w:rsidR="003C66EB" w:rsidRDefault="003C66EB">
            <w:pPr>
              <w:rPr>
                <w:rFonts w:ascii="宋体"/>
                <w:vanish/>
              </w:rPr>
            </w:pPr>
          </w:p>
        </w:tc>
        <w:tc>
          <w:tcPr>
            <w:tcW w:w="0" w:type="auto"/>
            <w:gridSpan w:val="3"/>
            <w:shd w:val="clear" w:color="auto" w:fill="auto"/>
          </w:tcPr>
          <w:p w14:paraId="5EA25061" w14:textId="77777777" w:rsidR="003C66EB" w:rsidRDefault="003C66EB">
            <w:pPr>
              <w:rPr>
                <w:rFonts w:ascii="宋体"/>
                <w:vanish/>
              </w:rPr>
            </w:pPr>
          </w:p>
        </w:tc>
        <w:tc>
          <w:tcPr>
            <w:tcW w:w="0" w:type="auto"/>
            <w:gridSpan w:val="3"/>
            <w:shd w:val="clear" w:color="auto" w:fill="auto"/>
          </w:tcPr>
          <w:p w14:paraId="5EA25062" w14:textId="77777777" w:rsidR="003C66EB" w:rsidRDefault="003C66EB">
            <w:pPr>
              <w:rPr>
                <w:rFonts w:ascii="宋体"/>
                <w:vanish/>
              </w:rPr>
            </w:pPr>
          </w:p>
        </w:tc>
        <w:tc>
          <w:tcPr>
            <w:tcW w:w="0" w:type="auto"/>
            <w:gridSpan w:val="3"/>
            <w:shd w:val="clear" w:color="auto" w:fill="auto"/>
          </w:tcPr>
          <w:p w14:paraId="5EA25063" w14:textId="77777777" w:rsidR="003C66EB" w:rsidRDefault="003C66EB">
            <w:pPr>
              <w:rPr>
                <w:rFonts w:ascii="宋体"/>
                <w:vanish/>
              </w:rPr>
            </w:pPr>
          </w:p>
        </w:tc>
        <w:tc>
          <w:tcPr>
            <w:tcW w:w="0" w:type="auto"/>
            <w:gridSpan w:val="3"/>
            <w:shd w:val="clear" w:color="auto" w:fill="auto"/>
          </w:tcPr>
          <w:p w14:paraId="5EA25064" w14:textId="77777777" w:rsidR="003C66EB" w:rsidRDefault="003C66EB">
            <w:pPr>
              <w:rPr>
                <w:rFonts w:ascii="宋体"/>
                <w:vanish/>
              </w:rPr>
            </w:pPr>
          </w:p>
        </w:tc>
        <w:tc>
          <w:tcPr>
            <w:tcW w:w="0" w:type="auto"/>
            <w:shd w:val="clear" w:color="auto" w:fill="auto"/>
          </w:tcPr>
          <w:p w14:paraId="5EA25065" w14:textId="77777777" w:rsidR="003C66EB" w:rsidRDefault="003C66EB">
            <w:pPr>
              <w:rPr>
                <w:rFonts w:ascii="宋体"/>
                <w:vanish/>
              </w:rPr>
            </w:pPr>
          </w:p>
        </w:tc>
        <w:tc>
          <w:tcPr>
            <w:tcW w:w="0" w:type="auto"/>
            <w:shd w:val="clear" w:color="auto" w:fill="auto"/>
          </w:tcPr>
          <w:p w14:paraId="5EA25066" w14:textId="77777777" w:rsidR="003C66EB" w:rsidRDefault="003C66EB">
            <w:pPr>
              <w:rPr>
                <w:rFonts w:ascii="宋体"/>
                <w:vanish/>
              </w:rPr>
            </w:pPr>
          </w:p>
        </w:tc>
        <w:tc>
          <w:tcPr>
            <w:tcW w:w="0" w:type="auto"/>
            <w:gridSpan w:val="3"/>
            <w:shd w:val="clear" w:color="auto" w:fill="auto"/>
          </w:tcPr>
          <w:p w14:paraId="5EA25067" w14:textId="77777777" w:rsidR="003C66EB" w:rsidRDefault="003C66EB">
            <w:pPr>
              <w:rPr>
                <w:rFonts w:ascii="宋体"/>
                <w:vanish/>
              </w:rPr>
            </w:pPr>
          </w:p>
        </w:tc>
        <w:tc>
          <w:tcPr>
            <w:tcW w:w="0" w:type="auto"/>
            <w:gridSpan w:val="3"/>
            <w:shd w:val="clear" w:color="auto" w:fill="auto"/>
          </w:tcPr>
          <w:p w14:paraId="5EA25068" w14:textId="77777777" w:rsidR="003C66EB" w:rsidRDefault="003C66EB">
            <w:pPr>
              <w:rPr>
                <w:rFonts w:ascii="宋体"/>
                <w:vanish/>
              </w:rPr>
            </w:pPr>
          </w:p>
        </w:tc>
        <w:tc>
          <w:tcPr>
            <w:tcW w:w="0" w:type="auto"/>
            <w:gridSpan w:val="3"/>
            <w:shd w:val="clear" w:color="auto" w:fill="auto"/>
          </w:tcPr>
          <w:p w14:paraId="5EA25069" w14:textId="77777777" w:rsidR="003C66EB" w:rsidRDefault="003C66EB">
            <w:pPr>
              <w:rPr>
                <w:rFonts w:ascii="宋体"/>
                <w:vanish/>
              </w:rPr>
            </w:pPr>
          </w:p>
        </w:tc>
        <w:tc>
          <w:tcPr>
            <w:tcW w:w="0" w:type="auto"/>
            <w:gridSpan w:val="3"/>
            <w:shd w:val="clear" w:color="auto" w:fill="auto"/>
          </w:tcPr>
          <w:p w14:paraId="5EA2506A" w14:textId="77777777" w:rsidR="003C66EB" w:rsidRDefault="003C66EB">
            <w:pPr>
              <w:rPr>
                <w:rFonts w:ascii="宋体"/>
                <w:vanish/>
              </w:rPr>
            </w:pPr>
          </w:p>
        </w:tc>
        <w:tc>
          <w:tcPr>
            <w:tcW w:w="0" w:type="auto"/>
            <w:gridSpan w:val="3"/>
            <w:shd w:val="clear" w:color="auto" w:fill="auto"/>
          </w:tcPr>
          <w:p w14:paraId="5EA2506B" w14:textId="77777777" w:rsidR="003C66EB" w:rsidRDefault="003C66EB">
            <w:pPr>
              <w:rPr>
                <w:rFonts w:ascii="宋体"/>
                <w:vanish/>
              </w:rPr>
            </w:pPr>
          </w:p>
        </w:tc>
      </w:tr>
      <w:tr w:rsidR="003C66EB" w14:paraId="5EA2507F" w14:textId="77777777">
        <w:trPr>
          <w:hidden/>
        </w:trPr>
        <w:tc>
          <w:tcPr>
            <w:tcW w:w="0" w:type="auto"/>
            <w:gridSpan w:val="3"/>
            <w:shd w:val="clear" w:color="auto" w:fill="auto"/>
          </w:tcPr>
          <w:p w14:paraId="5EA2506D" w14:textId="77777777" w:rsidR="003C66EB" w:rsidRDefault="003C66EB">
            <w:pPr>
              <w:rPr>
                <w:rFonts w:ascii="宋体"/>
                <w:vanish/>
              </w:rPr>
            </w:pPr>
          </w:p>
        </w:tc>
        <w:tc>
          <w:tcPr>
            <w:tcW w:w="0" w:type="auto"/>
            <w:gridSpan w:val="3"/>
            <w:shd w:val="clear" w:color="auto" w:fill="auto"/>
          </w:tcPr>
          <w:p w14:paraId="5EA2506E" w14:textId="77777777" w:rsidR="003C66EB" w:rsidRDefault="003C66EB">
            <w:pPr>
              <w:rPr>
                <w:rFonts w:ascii="宋体"/>
                <w:vanish/>
              </w:rPr>
            </w:pPr>
          </w:p>
        </w:tc>
        <w:tc>
          <w:tcPr>
            <w:tcW w:w="0" w:type="auto"/>
            <w:gridSpan w:val="3"/>
            <w:shd w:val="clear" w:color="auto" w:fill="auto"/>
          </w:tcPr>
          <w:p w14:paraId="5EA2506F" w14:textId="77777777" w:rsidR="003C66EB" w:rsidRDefault="003C66EB">
            <w:pPr>
              <w:rPr>
                <w:rFonts w:ascii="宋体"/>
                <w:vanish/>
              </w:rPr>
            </w:pPr>
          </w:p>
        </w:tc>
        <w:tc>
          <w:tcPr>
            <w:tcW w:w="0" w:type="auto"/>
            <w:gridSpan w:val="3"/>
            <w:shd w:val="clear" w:color="auto" w:fill="auto"/>
          </w:tcPr>
          <w:p w14:paraId="5EA25070" w14:textId="77777777" w:rsidR="003C66EB" w:rsidRDefault="003C66EB">
            <w:pPr>
              <w:rPr>
                <w:rFonts w:ascii="宋体"/>
                <w:vanish/>
              </w:rPr>
            </w:pPr>
          </w:p>
        </w:tc>
        <w:tc>
          <w:tcPr>
            <w:tcW w:w="0" w:type="auto"/>
            <w:gridSpan w:val="3"/>
            <w:shd w:val="clear" w:color="auto" w:fill="auto"/>
          </w:tcPr>
          <w:p w14:paraId="5EA25071" w14:textId="77777777" w:rsidR="003C66EB" w:rsidRDefault="003C66EB">
            <w:pPr>
              <w:rPr>
                <w:rFonts w:ascii="宋体"/>
                <w:vanish/>
              </w:rPr>
            </w:pPr>
          </w:p>
        </w:tc>
        <w:tc>
          <w:tcPr>
            <w:tcW w:w="0" w:type="auto"/>
            <w:gridSpan w:val="3"/>
            <w:shd w:val="clear" w:color="auto" w:fill="auto"/>
          </w:tcPr>
          <w:p w14:paraId="5EA25072" w14:textId="77777777" w:rsidR="003C66EB" w:rsidRDefault="003C66EB">
            <w:pPr>
              <w:rPr>
                <w:rFonts w:ascii="宋体"/>
                <w:vanish/>
              </w:rPr>
            </w:pPr>
          </w:p>
        </w:tc>
        <w:tc>
          <w:tcPr>
            <w:tcW w:w="0" w:type="auto"/>
            <w:gridSpan w:val="3"/>
            <w:shd w:val="clear" w:color="auto" w:fill="auto"/>
          </w:tcPr>
          <w:p w14:paraId="5EA25073" w14:textId="77777777" w:rsidR="003C66EB" w:rsidRDefault="003C66EB">
            <w:pPr>
              <w:rPr>
                <w:rFonts w:ascii="宋体"/>
                <w:vanish/>
              </w:rPr>
            </w:pPr>
          </w:p>
        </w:tc>
        <w:tc>
          <w:tcPr>
            <w:tcW w:w="0" w:type="auto"/>
            <w:gridSpan w:val="3"/>
            <w:shd w:val="clear" w:color="auto" w:fill="auto"/>
          </w:tcPr>
          <w:p w14:paraId="5EA25074" w14:textId="77777777" w:rsidR="003C66EB" w:rsidRDefault="003C66EB">
            <w:pPr>
              <w:rPr>
                <w:rFonts w:ascii="宋体"/>
                <w:vanish/>
              </w:rPr>
            </w:pPr>
          </w:p>
        </w:tc>
        <w:tc>
          <w:tcPr>
            <w:tcW w:w="0" w:type="auto"/>
            <w:gridSpan w:val="3"/>
            <w:shd w:val="clear" w:color="auto" w:fill="auto"/>
          </w:tcPr>
          <w:p w14:paraId="5EA25075" w14:textId="77777777" w:rsidR="003C66EB" w:rsidRDefault="003C66EB">
            <w:pPr>
              <w:rPr>
                <w:rFonts w:ascii="宋体"/>
                <w:vanish/>
              </w:rPr>
            </w:pPr>
          </w:p>
        </w:tc>
        <w:tc>
          <w:tcPr>
            <w:tcW w:w="0" w:type="auto"/>
            <w:gridSpan w:val="3"/>
            <w:shd w:val="clear" w:color="auto" w:fill="auto"/>
          </w:tcPr>
          <w:p w14:paraId="5EA25076" w14:textId="77777777" w:rsidR="003C66EB" w:rsidRDefault="003C66EB">
            <w:pPr>
              <w:rPr>
                <w:rFonts w:ascii="宋体"/>
                <w:vanish/>
              </w:rPr>
            </w:pPr>
          </w:p>
        </w:tc>
        <w:tc>
          <w:tcPr>
            <w:tcW w:w="0" w:type="auto"/>
            <w:gridSpan w:val="3"/>
            <w:shd w:val="clear" w:color="auto" w:fill="auto"/>
          </w:tcPr>
          <w:p w14:paraId="5EA25077" w14:textId="77777777" w:rsidR="003C66EB" w:rsidRDefault="003C66EB">
            <w:pPr>
              <w:rPr>
                <w:rFonts w:ascii="宋体"/>
                <w:vanish/>
              </w:rPr>
            </w:pPr>
          </w:p>
        </w:tc>
        <w:tc>
          <w:tcPr>
            <w:tcW w:w="0" w:type="auto"/>
            <w:shd w:val="clear" w:color="auto" w:fill="auto"/>
          </w:tcPr>
          <w:p w14:paraId="5EA25078" w14:textId="77777777" w:rsidR="003C66EB" w:rsidRDefault="003C66EB">
            <w:pPr>
              <w:rPr>
                <w:rFonts w:ascii="宋体"/>
                <w:vanish/>
              </w:rPr>
            </w:pPr>
          </w:p>
        </w:tc>
        <w:tc>
          <w:tcPr>
            <w:tcW w:w="0" w:type="auto"/>
            <w:shd w:val="clear" w:color="auto" w:fill="auto"/>
          </w:tcPr>
          <w:p w14:paraId="5EA25079" w14:textId="77777777" w:rsidR="003C66EB" w:rsidRDefault="003C66EB">
            <w:pPr>
              <w:rPr>
                <w:rFonts w:ascii="宋体"/>
                <w:vanish/>
              </w:rPr>
            </w:pPr>
          </w:p>
        </w:tc>
        <w:tc>
          <w:tcPr>
            <w:tcW w:w="0" w:type="auto"/>
            <w:gridSpan w:val="3"/>
            <w:shd w:val="clear" w:color="auto" w:fill="auto"/>
          </w:tcPr>
          <w:p w14:paraId="5EA2507A" w14:textId="77777777" w:rsidR="003C66EB" w:rsidRDefault="003C66EB">
            <w:pPr>
              <w:rPr>
                <w:rFonts w:ascii="宋体"/>
                <w:vanish/>
              </w:rPr>
            </w:pPr>
          </w:p>
        </w:tc>
        <w:tc>
          <w:tcPr>
            <w:tcW w:w="0" w:type="auto"/>
            <w:gridSpan w:val="3"/>
            <w:shd w:val="clear" w:color="auto" w:fill="auto"/>
          </w:tcPr>
          <w:p w14:paraId="5EA2507B" w14:textId="77777777" w:rsidR="003C66EB" w:rsidRDefault="003C66EB">
            <w:pPr>
              <w:rPr>
                <w:rFonts w:ascii="宋体"/>
                <w:vanish/>
              </w:rPr>
            </w:pPr>
          </w:p>
        </w:tc>
        <w:tc>
          <w:tcPr>
            <w:tcW w:w="0" w:type="auto"/>
            <w:gridSpan w:val="3"/>
            <w:shd w:val="clear" w:color="auto" w:fill="auto"/>
          </w:tcPr>
          <w:p w14:paraId="5EA2507C" w14:textId="77777777" w:rsidR="003C66EB" w:rsidRDefault="003C66EB">
            <w:pPr>
              <w:rPr>
                <w:rFonts w:ascii="宋体"/>
                <w:vanish/>
              </w:rPr>
            </w:pPr>
          </w:p>
        </w:tc>
        <w:tc>
          <w:tcPr>
            <w:tcW w:w="0" w:type="auto"/>
            <w:gridSpan w:val="3"/>
            <w:shd w:val="clear" w:color="auto" w:fill="auto"/>
          </w:tcPr>
          <w:p w14:paraId="5EA2507D" w14:textId="77777777" w:rsidR="003C66EB" w:rsidRDefault="003C66EB">
            <w:pPr>
              <w:rPr>
                <w:rFonts w:ascii="宋体"/>
                <w:vanish/>
              </w:rPr>
            </w:pPr>
          </w:p>
        </w:tc>
        <w:tc>
          <w:tcPr>
            <w:tcW w:w="0" w:type="auto"/>
            <w:gridSpan w:val="3"/>
            <w:shd w:val="clear" w:color="auto" w:fill="auto"/>
          </w:tcPr>
          <w:p w14:paraId="5EA2507E" w14:textId="77777777" w:rsidR="003C66EB" w:rsidRDefault="003C66EB">
            <w:pPr>
              <w:rPr>
                <w:rFonts w:ascii="宋体"/>
                <w:vanish/>
              </w:rPr>
            </w:pPr>
          </w:p>
        </w:tc>
      </w:tr>
      <w:tr w:rsidR="003C66EB" w14:paraId="5EA25092" w14:textId="77777777">
        <w:trPr>
          <w:hidden/>
        </w:trPr>
        <w:tc>
          <w:tcPr>
            <w:tcW w:w="0" w:type="auto"/>
            <w:gridSpan w:val="3"/>
            <w:shd w:val="clear" w:color="auto" w:fill="auto"/>
          </w:tcPr>
          <w:p w14:paraId="5EA25080" w14:textId="77777777" w:rsidR="003C66EB" w:rsidRDefault="003C66EB">
            <w:pPr>
              <w:rPr>
                <w:rFonts w:ascii="宋体"/>
                <w:vanish/>
              </w:rPr>
            </w:pPr>
          </w:p>
        </w:tc>
        <w:tc>
          <w:tcPr>
            <w:tcW w:w="0" w:type="auto"/>
            <w:gridSpan w:val="3"/>
            <w:shd w:val="clear" w:color="auto" w:fill="auto"/>
          </w:tcPr>
          <w:p w14:paraId="5EA25081" w14:textId="77777777" w:rsidR="003C66EB" w:rsidRDefault="003C66EB">
            <w:pPr>
              <w:rPr>
                <w:rFonts w:ascii="宋体"/>
                <w:vanish/>
              </w:rPr>
            </w:pPr>
          </w:p>
        </w:tc>
        <w:tc>
          <w:tcPr>
            <w:tcW w:w="0" w:type="auto"/>
            <w:gridSpan w:val="3"/>
            <w:shd w:val="clear" w:color="auto" w:fill="auto"/>
          </w:tcPr>
          <w:p w14:paraId="5EA25082" w14:textId="77777777" w:rsidR="003C66EB" w:rsidRDefault="003C66EB">
            <w:pPr>
              <w:rPr>
                <w:rFonts w:ascii="宋体"/>
                <w:vanish/>
              </w:rPr>
            </w:pPr>
          </w:p>
        </w:tc>
        <w:tc>
          <w:tcPr>
            <w:tcW w:w="0" w:type="auto"/>
            <w:gridSpan w:val="3"/>
            <w:shd w:val="clear" w:color="auto" w:fill="auto"/>
          </w:tcPr>
          <w:p w14:paraId="5EA25083" w14:textId="77777777" w:rsidR="003C66EB" w:rsidRDefault="003C66EB">
            <w:pPr>
              <w:rPr>
                <w:rFonts w:ascii="宋体"/>
                <w:vanish/>
              </w:rPr>
            </w:pPr>
          </w:p>
        </w:tc>
        <w:tc>
          <w:tcPr>
            <w:tcW w:w="0" w:type="auto"/>
            <w:gridSpan w:val="3"/>
            <w:shd w:val="clear" w:color="auto" w:fill="auto"/>
          </w:tcPr>
          <w:p w14:paraId="5EA25084" w14:textId="77777777" w:rsidR="003C66EB" w:rsidRDefault="003C66EB">
            <w:pPr>
              <w:rPr>
                <w:rFonts w:ascii="宋体"/>
                <w:vanish/>
              </w:rPr>
            </w:pPr>
          </w:p>
        </w:tc>
        <w:tc>
          <w:tcPr>
            <w:tcW w:w="0" w:type="auto"/>
            <w:gridSpan w:val="3"/>
            <w:shd w:val="clear" w:color="auto" w:fill="auto"/>
          </w:tcPr>
          <w:p w14:paraId="5EA25085" w14:textId="77777777" w:rsidR="003C66EB" w:rsidRDefault="003C66EB">
            <w:pPr>
              <w:rPr>
                <w:rFonts w:ascii="宋体"/>
                <w:vanish/>
              </w:rPr>
            </w:pPr>
          </w:p>
        </w:tc>
        <w:tc>
          <w:tcPr>
            <w:tcW w:w="0" w:type="auto"/>
            <w:gridSpan w:val="3"/>
            <w:shd w:val="clear" w:color="auto" w:fill="auto"/>
          </w:tcPr>
          <w:p w14:paraId="5EA25086" w14:textId="77777777" w:rsidR="003C66EB" w:rsidRDefault="003C66EB">
            <w:pPr>
              <w:rPr>
                <w:rFonts w:ascii="宋体"/>
                <w:vanish/>
              </w:rPr>
            </w:pPr>
          </w:p>
        </w:tc>
        <w:tc>
          <w:tcPr>
            <w:tcW w:w="0" w:type="auto"/>
            <w:gridSpan w:val="3"/>
            <w:shd w:val="clear" w:color="auto" w:fill="auto"/>
          </w:tcPr>
          <w:p w14:paraId="5EA25087" w14:textId="77777777" w:rsidR="003C66EB" w:rsidRDefault="003C66EB">
            <w:pPr>
              <w:rPr>
                <w:rFonts w:ascii="宋体"/>
                <w:vanish/>
              </w:rPr>
            </w:pPr>
          </w:p>
        </w:tc>
        <w:tc>
          <w:tcPr>
            <w:tcW w:w="0" w:type="auto"/>
            <w:gridSpan w:val="3"/>
            <w:shd w:val="clear" w:color="auto" w:fill="auto"/>
          </w:tcPr>
          <w:p w14:paraId="5EA25088" w14:textId="77777777" w:rsidR="003C66EB" w:rsidRDefault="003C66EB">
            <w:pPr>
              <w:rPr>
                <w:rFonts w:ascii="宋体"/>
                <w:vanish/>
              </w:rPr>
            </w:pPr>
          </w:p>
        </w:tc>
        <w:tc>
          <w:tcPr>
            <w:tcW w:w="0" w:type="auto"/>
            <w:gridSpan w:val="3"/>
            <w:shd w:val="clear" w:color="auto" w:fill="auto"/>
          </w:tcPr>
          <w:p w14:paraId="5EA25089" w14:textId="77777777" w:rsidR="003C66EB" w:rsidRDefault="003C66EB">
            <w:pPr>
              <w:rPr>
                <w:rFonts w:ascii="宋体"/>
                <w:vanish/>
              </w:rPr>
            </w:pPr>
          </w:p>
        </w:tc>
        <w:tc>
          <w:tcPr>
            <w:tcW w:w="0" w:type="auto"/>
            <w:gridSpan w:val="3"/>
            <w:shd w:val="clear" w:color="auto" w:fill="auto"/>
          </w:tcPr>
          <w:p w14:paraId="5EA2508A" w14:textId="77777777" w:rsidR="003C66EB" w:rsidRDefault="003C66EB">
            <w:pPr>
              <w:rPr>
                <w:rFonts w:ascii="宋体"/>
                <w:vanish/>
              </w:rPr>
            </w:pPr>
          </w:p>
        </w:tc>
        <w:tc>
          <w:tcPr>
            <w:tcW w:w="0" w:type="auto"/>
            <w:shd w:val="clear" w:color="auto" w:fill="auto"/>
          </w:tcPr>
          <w:p w14:paraId="5EA2508B" w14:textId="77777777" w:rsidR="003C66EB" w:rsidRDefault="003C66EB">
            <w:pPr>
              <w:rPr>
                <w:rFonts w:ascii="宋体"/>
                <w:vanish/>
              </w:rPr>
            </w:pPr>
          </w:p>
        </w:tc>
        <w:tc>
          <w:tcPr>
            <w:tcW w:w="0" w:type="auto"/>
            <w:shd w:val="clear" w:color="auto" w:fill="auto"/>
          </w:tcPr>
          <w:p w14:paraId="5EA2508C" w14:textId="77777777" w:rsidR="003C66EB" w:rsidRDefault="003C66EB">
            <w:pPr>
              <w:rPr>
                <w:rFonts w:ascii="宋体"/>
                <w:vanish/>
              </w:rPr>
            </w:pPr>
          </w:p>
        </w:tc>
        <w:tc>
          <w:tcPr>
            <w:tcW w:w="0" w:type="auto"/>
            <w:gridSpan w:val="3"/>
            <w:shd w:val="clear" w:color="auto" w:fill="auto"/>
          </w:tcPr>
          <w:p w14:paraId="5EA2508D" w14:textId="77777777" w:rsidR="003C66EB" w:rsidRDefault="003C66EB">
            <w:pPr>
              <w:rPr>
                <w:rFonts w:ascii="宋体"/>
                <w:vanish/>
              </w:rPr>
            </w:pPr>
          </w:p>
        </w:tc>
        <w:tc>
          <w:tcPr>
            <w:tcW w:w="0" w:type="auto"/>
            <w:gridSpan w:val="3"/>
            <w:shd w:val="clear" w:color="auto" w:fill="auto"/>
          </w:tcPr>
          <w:p w14:paraId="5EA2508E" w14:textId="77777777" w:rsidR="003C66EB" w:rsidRDefault="003C66EB">
            <w:pPr>
              <w:rPr>
                <w:rFonts w:ascii="宋体"/>
                <w:vanish/>
              </w:rPr>
            </w:pPr>
          </w:p>
        </w:tc>
        <w:tc>
          <w:tcPr>
            <w:tcW w:w="0" w:type="auto"/>
            <w:gridSpan w:val="3"/>
            <w:shd w:val="clear" w:color="auto" w:fill="auto"/>
          </w:tcPr>
          <w:p w14:paraId="5EA2508F" w14:textId="77777777" w:rsidR="003C66EB" w:rsidRDefault="003C66EB">
            <w:pPr>
              <w:rPr>
                <w:rFonts w:ascii="宋体"/>
                <w:vanish/>
              </w:rPr>
            </w:pPr>
          </w:p>
        </w:tc>
        <w:tc>
          <w:tcPr>
            <w:tcW w:w="0" w:type="auto"/>
            <w:gridSpan w:val="3"/>
            <w:shd w:val="clear" w:color="auto" w:fill="auto"/>
          </w:tcPr>
          <w:p w14:paraId="5EA25090" w14:textId="77777777" w:rsidR="003C66EB" w:rsidRDefault="003C66EB">
            <w:pPr>
              <w:rPr>
                <w:rFonts w:ascii="宋体"/>
                <w:vanish/>
              </w:rPr>
            </w:pPr>
          </w:p>
        </w:tc>
        <w:tc>
          <w:tcPr>
            <w:tcW w:w="0" w:type="auto"/>
            <w:gridSpan w:val="3"/>
            <w:shd w:val="clear" w:color="auto" w:fill="auto"/>
          </w:tcPr>
          <w:p w14:paraId="5EA25091" w14:textId="77777777" w:rsidR="003C66EB" w:rsidRDefault="003C66EB">
            <w:pPr>
              <w:rPr>
                <w:rFonts w:ascii="宋体"/>
                <w:vanish/>
              </w:rPr>
            </w:pPr>
          </w:p>
        </w:tc>
      </w:tr>
      <w:tr w:rsidR="003C66EB" w14:paraId="5EA250B5" w14:textId="77777777">
        <w:tc>
          <w:tcPr>
            <w:tcW w:w="0" w:type="auto"/>
            <w:gridSpan w:val="3"/>
            <w:shd w:val="clear" w:color="auto" w:fill="CCEEFF"/>
            <w:tcMar>
              <w:top w:w="40" w:type="dxa"/>
              <w:left w:w="155" w:type="dxa"/>
              <w:bottom w:w="40" w:type="dxa"/>
              <w:right w:w="20" w:type="dxa"/>
            </w:tcMar>
            <w:vAlign w:val="bottom"/>
          </w:tcPr>
          <w:p w14:paraId="5EA25093" w14:textId="77777777" w:rsidR="003C66EB" w:rsidRDefault="00D96C4E">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09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95" w14:textId="77777777" w:rsidR="003C66EB" w:rsidRDefault="00D96C4E">
            <w:pPr>
              <w:jc w:val="right"/>
              <w:textAlignment w:val="bottom"/>
            </w:pPr>
            <w:r>
              <w:rPr>
                <w:rFonts w:ascii="Arial" w:eastAsia="宋体" w:hAnsi="Arial" w:cs="Arial"/>
                <w:color w:val="000000"/>
                <w:sz w:val="14"/>
                <w:szCs w:val="14"/>
              </w:rPr>
              <w:t>298 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9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9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99" w14:textId="77777777" w:rsidR="003C66EB" w:rsidRDefault="00D96C4E">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9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9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9D" w14:textId="77777777" w:rsidR="003C66EB" w:rsidRDefault="00D96C4E">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9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A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A1" w14:textId="77777777" w:rsidR="003C66EB" w:rsidRDefault="00D96C4E">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A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A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A5" w14:textId="77777777" w:rsidR="003C66EB" w:rsidRDefault="00D96C4E">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A7" w14:textId="77777777" w:rsidR="003C66EB" w:rsidRDefault="003C66EB">
            <w:pPr>
              <w:rPr>
                <w:rFonts w:ascii="宋体"/>
              </w:rPr>
            </w:pPr>
          </w:p>
        </w:tc>
        <w:tc>
          <w:tcPr>
            <w:tcW w:w="0" w:type="auto"/>
            <w:shd w:val="clear" w:color="auto" w:fill="auto"/>
          </w:tcPr>
          <w:p w14:paraId="5EA250A8" w14:textId="77777777" w:rsidR="003C66EB" w:rsidRDefault="003C66EB">
            <w:pPr>
              <w:rPr>
                <w:rFonts w:ascii="宋体"/>
                <w:vanish/>
              </w:rPr>
            </w:pPr>
          </w:p>
        </w:tc>
        <w:tc>
          <w:tcPr>
            <w:tcW w:w="0" w:type="auto"/>
            <w:shd w:val="clear" w:color="auto" w:fill="auto"/>
          </w:tcPr>
          <w:p w14:paraId="5EA250A9"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A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AB" w14:textId="77777777" w:rsidR="003C66EB" w:rsidRDefault="00D96C4E">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AD"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AE"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AF"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0B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0B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0B3" w14:textId="77777777" w:rsidR="003C66EB" w:rsidRDefault="00D96C4E">
            <w:pPr>
              <w:jc w:val="right"/>
              <w:textAlignment w:val="bottom"/>
            </w:pPr>
            <w:r>
              <w:rPr>
                <w:rFonts w:ascii="Arial" w:eastAsia="宋体" w:hAnsi="Arial" w:cs="Arial"/>
                <w:color w:val="000000"/>
                <w:sz w:val="14"/>
                <w:szCs w:val="14"/>
              </w:rPr>
              <w:t>2,096 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0B4" w14:textId="77777777" w:rsidR="003C66EB" w:rsidRDefault="003C66EB">
            <w:pPr>
              <w:jc w:val="right"/>
              <w:rPr>
                <w:rFonts w:ascii="宋体"/>
              </w:rPr>
            </w:pPr>
          </w:p>
        </w:tc>
      </w:tr>
      <w:tr w:rsidR="003C66EB" w14:paraId="5EA250C8" w14:textId="77777777">
        <w:trPr>
          <w:trHeight w:val="60"/>
        </w:trPr>
        <w:tc>
          <w:tcPr>
            <w:tcW w:w="0" w:type="auto"/>
            <w:gridSpan w:val="3"/>
            <w:shd w:val="clear" w:color="auto" w:fill="auto"/>
            <w:tcMar>
              <w:top w:w="0" w:type="dxa"/>
              <w:left w:w="20" w:type="dxa"/>
              <w:bottom w:w="0" w:type="dxa"/>
              <w:right w:w="20" w:type="dxa"/>
            </w:tcMar>
          </w:tcPr>
          <w:p w14:paraId="5EA250B6"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B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B8"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B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BA"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B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BC"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B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BE"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B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0" w14:textId="77777777" w:rsidR="003C66EB" w:rsidRDefault="003C66EB">
            <w:pPr>
              <w:rPr>
                <w:rFonts w:ascii="宋体"/>
              </w:rPr>
            </w:pPr>
          </w:p>
        </w:tc>
        <w:tc>
          <w:tcPr>
            <w:tcW w:w="0" w:type="auto"/>
            <w:shd w:val="clear" w:color="auto" w:fill="auto"/>
          </w:tcPr>
          <w:p w14:paraId="5EA250C1" w14:textId="77777777" w:rsidR="003C66EB" w:rsidRDefault="003C66EB">
            <w:pPr>
              <w:rPr>
                <w:rFonts w:ascii="宋体"/>
                <w:vanish/>
              </w:rPr>
            </w:pPr>
          </w:p>
        </w:tc>
        <w:tc>
          <w:tcPr>
            <w:tcW w:w="0" w:type="auto"/>
            <w:shd w:val="clear" w:color="auto" w:fill="auto"/>
          </w:tcPr>
          <w:p w14:paraId="5EA250C2"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C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4"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C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6"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0C7" w14:textId="77777777" w:rsidR="003C66EB" w:rsidRDefault="003C66EB">
            <w:pPr>
              <w:rPr>
                <w:rFonts w:ascii="宋体"/>
              </w:rPr>
            </w:pPr>
          </w:p>
        </w:tc>
      </w:tr>
      <w:tr w:rsidR="003C66EB" w14:paraId="5EA250DB" w14:textId="77777777">
        <w:tc>
          <w:tcPr>
            <w:tcW w:w="0" w:type="auto"/>
            <w:gridSpan w:val="3"/>
            <w:shd w:val="clear" w:color="auto" w:fill="auto"/>
            <w:tcMar>
              <w:top w:w="40" w:type="dxa"/>
              <w:left w:w="20" w:type="dxa"/>
              <w:bottom w:w="40" w:type="dxa"/>
              <w:right w:w="20" w:type="dxa"/>
            </w:tcMar>
            <w:vAlign w:val="bottom"/>
          </w:tcPr>
          <w:p w14:paraId="5EA250C9" w14:textId="77777777" w:rsidR="003C66EB" w:rsidRDefault="00D96C4E">
            <w:pPr>
              <w:textAlignment w:val="bottom"/>
            </w:pPr>
            <w:r>
              <w:rPr>
                <w:rFonts w:ascii="Arial" w:eastAsia="宋体" w:hAnsi="Arial" w:cs="Arial"/>
                <w:color w:val="000000"/>
                <w:sz w:val="14"/>
                <w:szCs w:val="14"/>
              </w:rPr>
              <w:t>Non-U</w:t>
            </w:r>
            <w:r>
              <w:rPr>
                <w:rFonts w:ascii="Arial" w:eastAsia="宋体" w:hAnsi="Arial" w:cs="Arial"/>
                <w:color w:val="000000"/>
                <w:sz w:val="14"/>
                <w:szCs w:val="14"/>
              </w:rPr>
              <w:t>.S. loans:</w:t>
            </w:r>
          </w:p>
        </w:tc>
        <w:tc>
          <w:tcPr>
            <w:tcW w:w="0" w:type="auto"/>
            <w:gridSpan w:val="3"/>
            <w:shd w:val="clear" w:color="auto" w:fill="auto"/>
            <w:tcMar>
              <w:top w:w="0" w:type="dxa"/>
              <w:left w:w="20" w:type="dxa"/>
              <w:bottom w:w="0" w:type="dxa"/>
              <w:right w:w="20" w:type="dxa"/>
            </w:tcMar>
          </w:tcPr>
          <w:p w14:paraId="5EA250C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C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3" w14:textId="77777777" w:rsidR="003C66EB" w:rsidRDefault="003C66EB">
            <w:pPr>
              <w:rPr>
                <w:rFonts w:ascii="宋体"/>
              </w:rPr>
            </w:pPr>
          </w:p>
        </w:tc>
        <w:tc>
          <w:tcPr>
            <w:tcW w:w="0" w:type="auto"/>
            <w:shd w:val="clear" w:color="auto" w:fill="auto"/>
          </w:tcPr>
          <w:p w14:paraId="5EA250D4" w14:textId="77777777" w:rsidR="003C66EB" w:rsidRDefault="003C66EB">
            <w:pPr>
              <w:rPr>
                <w:rFonts w:ascii="宋体"/>
                <w:vanish/>
              </w:rPr>
            </w:pPr>
          </w:p>
        </w:tc>
        <w:tc>
          <w:tcPr>
            <w:tcW w:w="0" w:type="auto"/>
            <w:shd w:val="clear" w:color="auto" w:fill="auto"/>
          </w:tcPr>
          <w:p w14:paraId="5EA250D5"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0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A" w14:textId="77777777" w:rsidR="003C66EB" w:rsidRDefault="003C66EB">
            <w:pPr>
              <w:rPr>
                <w:rFonts w:ascii="宋体"/>
              </w:rPr>
            </w:pPr>
          </w:p>
        </w:tc>
      </w:tr>
      <w:tr w:rsidR="003C66EB" w14:paraId="5EA250EE" w14:textId="77777777">
        <w:tc>
          <w:tcPr>
            <w:tcW w:w="0" w:type="auto"/>
            <w:gridSpan w:val="3"/>
            <w:shd w:val="clear" w:color="auto" w:fill="auto"/>
            <w:tcMar>
              <w:top w:w="40" w:type="dxa"/>
              <w:left w:w="155" w:type="dxa"/>
              <w:bottom w:w="40" w:type="dxa"/>
              <w:right w:w="20" w:type="dxa"/>
            </w:tcMar>
            <w:vAlign w:val="bottom"/>
          </w:tcPr>
          <w:p w14:paraId="5EA250DC" w14:textId="77777777" w:rsidR="003C66EB" w:rsidRDefault="00D96C4E">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5EA250D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D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6" w14:textId="77777777" w:rsidR="003C66EB" w:rsidRDefault="003C66EB">
            <w:pPr>
              <w:rPr>
                <w:rFonts w:ascii="宋体"/>
              </w:rPr>
            </w:pPr>
          </w:p>
        </w:tc>
        <w:tc>
          <w:tcPr>
            <w:tcW w:w="0" w:type="auto"/>
            <w:shd w:val="clear" w:color="auto" w:fill="auto"/>
          </w:tcPr>
          <w:p w14:paraId="5EA250E7" w14:textId="77777777" w:rsidR="003C66EB" w:rsidRDefault="003C66EB">
            <w:pPr>
              <w:rPr>
                <w:rFonts w:ascii="宋体"/>
                <w:vanish/>
              </w:rPr>
            </w:pPr>
          </w:p>
        </w:tc>
        <w:tc>
          <w:tcPr>
            <w:tcW w:w="0" w:type="auto"/>
            <w:shd w:val="clear" w:color="auto" w:fill="auto"/>
          </w:tcPr>
          <w:p w14:paraId="5EA250E8"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0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ED" w14:textId="77777777" w:rsidR="003C66EB" w:rsidRDefault="003C66EB">
            <w:pPr>
              <w:rPr>
                <w:rFonts w:ascii="宋体"/>
              </w:rPr>
            </w:pPr>
          </w:p>
        </w:tc>
      </w:tr>
      <w:tr w:rsidR="003C66EB" w14:paraId="5EA25101" w14:textId="77777777">
        <w:tc>
          <w:tcPr>
            <w:tcW w:w="0" w:type="auto"/>
            <w:gridSpan w:val="3"/>
            <w:shd w:val="clear" w:color="auto" w:fill="auto"/>
            <w:tcMar>
              <w:top w:w="40" w:type="dxa"/>
              <w:left w:w="245" w:type="dxa"/>
              <w:bottom w:w="40" w:type="dxa"/>
              <w:right w:w="20" w:type="dxa"/>
            </w:tcMar>
            <w:vAlign w:val="bottom"/>
          </w:tcPr>
          <w:p w14:paraId="5EA250EF" w14:textId="77777777" w:rsidR="003C66EB" w:rsidRDefault="00D96C4E">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5EA250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9" w14:textId="77777777" w:rsidR="003C66EB" w:rsidRDefault="003C66EB">
            <w:pPr>
              <w:rPr>
                <w:rFonts w:ascii="宋体"/>
              </w:rPr>
            </w:pPr>
          </w:p>
        </w:tc>
        <w:tc>
          <w:tcPr>
            <w:tcW w:w="0" w:type="auto"/>
            <w:shd w:val="clear" w:color="auto" w:fill="auto"/>
          </w:tcPr>
          <w:p w14:paraId="5EA250FA" w14:textId="77777777" w:rsidR="003C66EB" w:rsidRDefault="003C66EB">
            <w:pPr>
              <w:rPr>
                <w:rFonts w:ascii="宋体"/>
                <w:vanish/>
              </w:rPr>
            </w:pPr>
          </w:p>
        </w:tc>
        <w:tc>
          <w:tcPr>
            <w:tcW w:w="0" w:type="auto"/>
            <w:shd w:val="clear" w:color="auto" w:fill="auto"/>
          </w:tcPr>
          <w:p w14:paraId="5EA250FB"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0F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0F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00" w14:textId="77777777" w:rsidR="003C66EB" w:rsidRDefault="003C66EB">
            <w:pPr>
              <w:rPr>
                <w:rFonts w:ascii="宋体"/>
              </w:rPr>
            </w:pPr>
          </w:p>
        </w:tc>
      </w:tr>
      <w:tr w:rsidR="003C66EB" w14:paraId="5EA25124" w14:textId="77777777">
        <w:tc>
          <w:tcPr>
            <w:tcW w:w="0" w:type="auto"/>
            <w:gridSpan w:val="3"/>
            <w:shd w:val="clear" w:color="auto" w:fill="CCEEFF"/>
            <w:tcMar>
              <w:top w:w="40" w:type="dxa"/>
              <w:left w:w="380" w:type="dxa"/>
              <w:bottom w:w="40" w:type="dxa"/>
              <w:right w:w="20" w:type="dxa"/>
            </w:tcMar>
            <w:vAlign w:val="bottom"/>
          </w:tcPr>
          <w:p w14:paraId="5EA25102" w14:textId="77777777" w:rsidR="003C66EB" w:rsidRDefault="00D96C4E">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A2510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04" w14:textId="77777777" w:rsidR="003C66EB" w:rsidRDefault="00D96C4E">
            <w:pPr>
              <w:jc w:val="right"/>
              <w:textAlignment w:val="bottom"/>
            </w:pPr>
            <w:r>
              <w:rPr>
                <w:rFonts w:ascii="Arial" w:eastAsia="宋体" w:hAnsi="Arial" w:cs="Arial"/>
                <w:color w:val="000000"/>
                <w:sz w:val="14"/>
                <w:szCs w:val="14"/>
              </w:rPr>
              <w:t>1,028 </w:t>
            </w:r>
          </w:p>
        </w:tc>
        <w:tc>
          <w:tcPr>
            <w:tcW w:w="0" w:type="auto"/>
            <w:shd w:val="clear" w:color="auto" w:fill="CCEEFF"/>
            <w:tcMar>
              <w:top w:w="40" w:type="dxa"/>
              <w:left w:w="0" w:type="dxa"/>
              <w:bottom w:w="40" w:type="dxa"/>
              <w:right w:w="20" w:type="dxa"/>
            </w:tcMar>
            <w:vAlign w:val="bottom"/>
          </w:tcPr>
          <w:p w14:paraId="5EA2510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0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10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0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0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0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10B"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0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0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0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10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1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1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11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14"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1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16" w14:textId="77777777" w:rsidR="003C66EB" w:rsidRDefault="003C66EB">
            <w:pPr>
              <w:rPr>
                <w:rFonts w:ascii="宋体"/>
              </w:rPr>
            </w:pPr>
          </w:p>
        </w:tc>
        <w:tc>
          <w:tcPr>
            <w:tcW w:w="0" w:type="auto"/>
            <w:shd w:val="clear" w:color="auto" w:fill="auto"/>
          </w:tcPr>
          <w:p w14:paraId="5EA25117" w14:textId="77777777" w:rsidR="003C66EB" w:rsidRDefault="003C66EB">
            <w:pPr>
              <w:rPr>
                <w:rFonts w:ascii="宋体"/>
                <w:vanish/>
              </w:rPr>
            </w:pPr>
          </w:p>
        </w:tc>
        <w:tc>
          <w:tcPr>
            <w:tcW w:w="0" w:type="auto"/>
            <w:shd w:val="clear" w:color="auto" w:fill="auto"/>
          </w:tcPr>
          <w:p w14:paraId="5EA25118"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511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1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1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11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1E" w14:textId="77777777" w:rsidR="003C66EB" w:rsidRDefault="00D96C4E">
            <w:pPr>
              <w:jc w:val="right"/>
              <w:textAlignment w:val="bottom"/>
            </w:pPr>
            <w:r>
              <w:rPr>
                <w:rFonts w:ascii="Arial" w:eastAsia="宋体" w:hAnsi="Arial" w:cs="Arial"/>
                <w:color w:val="000000"/>
                <w:sz w:val="14"/>
                <w:szCs w:val="14"/>
              </w:rPr>
              <w:t>4,343 </w:t>
            </w:r>
          </w:p>
        </w:tc>
        <w:tc>
          <w:tcPr>
            <w:tcW w:w="0" w:type="auto"/>
            <w:shd w:val="clear" w:color="auto" w:fill="CCEEFF"/>
            <w:tcMar>
              <w:top w:w="40" w:type="dxa"/>
              <w:left w:w="0" w:type="dxa"/>
              <w:bottom w:w="40" w:type="dxa"/>
              <w:right w:w="20" w:type="dxa"/>
            </w:tcMar>
            <w:vAlign w:val="bottom"/>
          </w:tcPr>
          <w:p w14:paraId="5EA251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2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12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122" w14:textId="77777777" w:rsidR="003C66EB" w:rsidRDefault="00D96C4E">
            <w:pPr>
              <w:jc w:val="right"/>
              <w:textAlignment w:val="bottom"/>
            </w:pPr>
            <w:r>
              <w:rPr>
                <w:rFonts w:ascii="Arial" w:eastAsia="宋体" w:hAnsi="Arial" w:cs="Arial"/>
                <w:color w:val="000000"/>
                <w:sz w:val="14"/>
                <w:szCs w:val="14"/>
              </w:rPr>
              <w:t>5,371 </w:t>
            </w:r>
          </w:p>
        </w:tc>
        <w:tc>
          <w:tcPr>
            <w:tcW w:w="0" w:type="auto"/>
            <w:shd w:val="clear" w:color="auto" w:fill="CCEEFF"/>
            <w:tcMar>
              <w:top w:w="40" w:type="dxa"/>
              <w:left w:w="0" w:type="dxa"/>
              <w:bottom w:w="40" w:type="dxa"/>
              <w:right w:w="20" w:type="dxa"/>
            </w:tcMar>
            <w:vAlign w:val="bottom"/>
          </w:tcPr>
          <w:p w14:paraId="5EA25123" w14:textId="77777777" w:rsidR="003C66EB" w:rsidRDefault="003C66EB">
            <w:pPr>
              <w:jc w:val="right"/>
              <w:rPr>
                <w:rFonts w:ascii="宋体"/>
              </w:rPr>
            </w:pPr>
          </w:p>
        </w:tc>
      </w:tr>
      <w:tr w:rsidR="003C66EB" w14:paraId="5EA2513F" w14:textId="77777777">
        <w:tc>
          <w:tcPr>
            <w:tcW w:w="0" w:type="auto"/>
            <w:gridSpan w:val="3"/>
            <w:shd w:val="clear" w:color="auto" w:fill="FFFFFF"/>
            <w:tcMar>
              <w:top w:w="40" w:type="dxa"/>
              <w:left w:w="380" w:type="dxa"/>
              <w:bottom w:w="40" w:type="dxa"/>
              <w:right w:w="20" w:type="dxa"/>
            </w:tcMar>
            <w:vAlign w:val="bottom"/>
          </w:tcPr>
          <w:p w14:paraId="5EA25125" w14:textId="77777777" w:rsidR="003C66EB" w:rsidRDefault="00D96C4E">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A25126" w14:textId="77777777" w:rsidR="003C66EB" w:rsidRDefault="00D96C4E">
            <w:pPr>
              <w:jc w:val="right"/>
              <w:textAlignment w:val="bottom"/>
            </w:pPr>
            <w:r>
              <w:rPr>
                <w:rFonts w:ascii="Arial" w:eastAsia="宋体" w:hAnsi="Arial" w:cs="Arial"/>
                <w:color w:val="000000"/>
                <w:sz w:val="14"/>
                <w:szCs w:val="14"/>
              </w:rPr>
              <w:t>283 </w:t>
            </w:r>
          </w:p>
        </w:tc>
        <w:tc>
          <w:tcPr>
            <w:tcW w:w="0" w:type="auto"/>
            <w:shd w:val="clear" w:color="auto" w:fill="FFFFFF"/>
            <w:tcMar>
              <w:top w:w="40" w:type="dxa"/>
              <w:left w:w="0" w:type="dxa"/>
              <w:bottom w:w="40" w:type="dxa"/>
              <w:right w:w="20" w:type="dxa"/>
            </w:tcMar>
            <w:vAlign w:val="bottom"/>
          </w:tcPr>
          <w:p w14:paraId="5EA251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129" w14:textId="77777777" w:rsidR="003C66EB" w:rsidRDefault="00D96C4E">
            <w:pPr>
              <w:jc w:val="right"/>
              <w:textAlignment w:val="bottom"/>
            </w:pPr>
            <w:r>
              <w:rPr>
                <w:rFonts w:ascii="Arial" w:eastAsia="宋体" w:hAnsi="Arial" w:cs="Arial"/>
                <w:color w:val="000000"/>
                <w:sz w:val="14"/>
                <w:szCs w:val="14"/>
              </w:rPr>
              <w:t>401 </w:t>
            </w:r>
          </w:p>
        </w:tc>
        <w:tc>
          <w:tcPr>
            <w:tcW w:w="0" w:type="auto"/>
            <w:shd w:val="clear" w:color="auto" w:fill="FFFFFF"/>
            <w:tcMar>
              <w:top w:w="40" w:type="dxa"/>
              <w:left w:w="0" w:type="dxa"/>
              <w:bottom w:w="40" w:type="dxa"/>
              <w:right w:w="20" w:type="dxa"/>
            </w:tcMar>
            <w:vAlign w:val="bottom"/>
          </w:tcPr>
          <w:p w14:paraId="5EA251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12C" w14:textId="77777777" w:rsidR="003C66EB" w:rsidRDefault="00D96C4E">
            <w:pPr>
              <w:jc w:val="right"/>
              <w:textAlignment w:val="bottom"/>
            </w:pPr>
            <w:r>
              <w:rPr>
                <w:rFonts w:ascii="Arial" w:eastAsia="宋体" w:hAnsi="Arial" w:cs="Arial"/>
                <w:color w:val="000000"/>
                <w:sz w:val="14"/>
                <w:szCs w:val="14"/>
              </w:rPr>
              <w:t>346 </w:t>
            </w:r>
          </w:p>
        </w:tc>
        <w:tc>
          <w:tcPr>
            <w:tcW w:w="0" w:type="auto"/>
            <w:shd w:val="clear" w:color="auto" w:fill="FFFFFF"/>
            <w:tcMar>
              <w:top w:w="40" w:type="dxa"/>
              <w:left w:w="0" w:type="dxa"/>
              <w:bottom w:w="40" w:type="dxa"/>
              <w:right w:w="20" w:type="dxa"/>
            </w:tcMar>
            <w:vAlign w:val="bottom"/>
          </w:tcPr>
          <w:p w14:paraId="5EA251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2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12F" w14:textId="77777777" w:rsidR="003C66EB" w:rsidRDefault="00D96C4E">
            <w:pPr>
              <w:jc w:val="right"/>
              <w:textAlignment w:val="bottom"/>
            </w:pPr>
            <w:r>
              <w:rPr>
                <w:rFonts w:ascii="Arial" w:eastAsia="宋体" w:hAnsi="Arial" w:cs="Arial"/>
                <w:color w:val="000000"/>
                <w:sz w:val="14"/>
                <w:szCs w:val="14"/>
              </w:rPr>
              <w:t>162 </w:t>
            </w:r>
          </w:p>
        </w:tc>
        <w:tc>
          <w:tcPr>
            <w:tcW w:w="0" w:type="auto"/>
            <w:shd w:val="clear" w:color="auto" w:fill="FFFFFF"/>
            <w:tcMar>
              <w:top w:w="40" w:type="dxa"/>
              <w:left w:w="0" w:type="dxa"/>
              <w:bottom w:w="40" w:type="dxa"/>
              <w:right w:w="20" w:type="dxa"/>
            </w:tcMar>
            <w:vAlign w:val="bottom"/>
          </w:tcPr>
          <w:p w14:paraId="5EA251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132" w14:textId="77777777" w:rsidR="003C66EB" w:rsidRDefault="00D96C4E">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EA251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34" w14:textId="77777777" w:rsidR="003C66EB" w:rsidRDefault="003C66EB">
            <w:pPr>
              <w:rPr>
                <w:rFonts w:ascii="宋体"/>
              </w:rPr>
            </w:pPr>
          </w:p>
        </w:tc>
        <w:tc>
          <w:tcPr>
            <w:tcW w:w="0" w:type="auto"/>
            <w:shd w:val="clear" w:color="auto" w:fill="auto"/>
          </w:tcPr>
          <w:p w14:paraId="5EA25135" w14:textId="77777777" w:rsidR="003C66EB" w:rsidRDefault="003C66EB">
            <w:pPr>
              <w:rPr>
                <w:rFonts w:ascii="宋体"/>
                <w:vanish/>
              </w:rPr>
            </w:pPr>
          </w:p>
        </w:tc>
        <w:tc>
          <w:tcPr>
            <w:tcW w:w="0" w:type="auto"/>
            <w:shd w:val="clear" w:color="auto" w:fill="auto"/>
          </w:tcPr>
          <w:p w14:paraId="5EA2513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5137" w14:textId="77777777" w:rsidR="003C66EB" w:rsidRDefault="00D96C4E">
            <w:pPr>
              <w:jc w:val="right"/>
              <w:textAlignment w:val="bottom"/>
            </w:pPr>
            <w:r>
              <w:rPr>
                <w:rFonts w:ascii="Arial" w:eastAsia="宋体" w:hAnsi="Arial" w:cs="Arial"/>
                <w:color w:val="000000"/>
                <w:sz w:val="14"/>
                <w:szCs w:val="14"/>
              </w:rPr>
              <w:t>66 </w:t>
            </w:r>
          </w:p>
        </w:tc>
        <w:tc>
          <w:tcPr>
            <w:tcW w:w="0" w:type="auto"/>
            <w:shd w:val="clear" w:color="auto" w:fill="FFFFFF"/>
            <w:tcMar>
              <w:top w:w="40" w:type="dxa"/>
              <w:left w:w="0" w:type="dxa"/>
              <w:bottom w:w="40" w:type="dxa"/>
              <w:right w:w="20" w:type="dxa"/>
            </w:tcMar>
            <w:vAlign w:val="bottom"/>
          </w:tcPr>
          <w:p w14:paraId="5EA2513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3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13A" w14:textId="77777777" w:rsidR="003C66EB" w:rsidRDefault="00D96C4E">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5EA2513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3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13D" w14:textId="77777777" w:rsidR="003C66EB" w:rsidRDefault="00D96C4E">
            <w:pPr>
              <w:jc w:val="right"/>
              <w:textAlignment w:val="bottom"/>
            </w:pPr>
            <w:r>
              <w:rPr>
                <w:rFonts w:ascii="Arial" w:eastAsia="宋体" w:hAnsi="Arial" w:cs="Arial"/>
                <w:color w:val="000000"/>
                <w:sz w:val="14"/>
                <w:szCs w:val="14"/>
              </w:rPr>
              <w:t>1,405 </w:t>
            </w:r>
          </w:p>
        </w:tc>
        <w:tc>
          <w:tcPr>
            <w:tcW w:w="0" w:type="auto"/>
            <w:shd w:val="clear" w:color="auto" w:fill="FFFFFF"/>
            <w:tcMar>
              <w:top w:w="40" w:type="dxa"/>
              <w:left w:w="0" w:type="dxa"/>
              <w:bottom w:w="40" w:type="dxa"/>
              <w:right w:w="20" w:type="dxa"/>
            </w:tcMar>
            <w:vAlign w:val="bottom"/>
          </w:tcPr>
          <w:p w14:paraId="5EA2513E" w14:textId="77777777" w:rsidR="003C66EB" w:rsidRDefault="003C66EB">
            <w:pPr>
              <w:jc w:val="right"/>
              <w:rPr>
                <w:rFonts w:ascii="宋体"/>
              </w:rPr>
            </w:pPr>
          </w:p>
        </w:tc>
      </w:tr>
      <w:tr w:rsidR="003C66EB" w14:paraId="5EA25152" w14:textId="77777777">
        <w:trPr>
          <w:hidden/>
        </w:trPr>
        <w:tc>
          <w:tcPr>
            <w:tcW w:w="0" w:type="auto"/>
            <w:gridSpan w:val="3"/>
            <w:shd w:val="clear" w:color="auto" w:fill="auto"/>
          </w:tcPr>
          <w:p w14:paraId="5EA25140" w14:textId="77777777" w:rsidR="003C66EB" w:rsidRDefault="003C66EB">
            <w:pPr>
              <w:rPr>
                <w:rFonts w:ascii="宋体"/>
                <w:vanish/>
              </w:rPr>
            </w:pPr>
          </w:p>
        </w:tc>
        <w:tc>
          <w:tcPr>
            <w:tcW w:w="0" w:type="auto"/>
            <w:gridSpan w:val="3"/>
            <w:shd w:val="clear" w:color="auto" w:fill="auto"/>
          </w:tcPr>
          <w:p w14:paraId="5EA25141" w14:textId="77777777" w:rsidR="003C66EB" w:rsidRDefault="003C66EB">
            <w:pPr>
              <w:rPr>
                <w:rFonts w:ascii="宋体"/>
                <w:vanish/>
              </w:rPr>
            </w:pPr>
          </w:p>
        </w:tc>
        <w:tc>
          <w:tcPr>
            <w:tcW w:w="0" w:type="auto"/>
            <w:gridSpan w:val="3"/>
            <w:shd w:val="clear" w:color="auto" w:fill="auto"/>
          </w:tcPr>
          <w:p w14:paraId="5EA25142" w14:textId="77777777" w:rsidR="003C66EB" w:rsidRDefault="003C66EB">
            <w:pPr>
              <w:rPr>
                <w:rFonts w:ascii="宋体"/>
                <w:vanish/>
              </w:rPr>
            </w:pPr>
          </w:p>
        </w:tc>
        <w:tc>
          <w:tcPr>
            <w:tcW w:w="0" w:type="auto"/>
            <w:gridSpan w:val="3"/>
            <w:shd w:val="clear" w:color="auto" w:fill="auto"/>
          </w:tcPr>
          <w:p w14:paraId="5EA25143" w14:textId="77777777" w:rsidR="003C66EB" w:rsidRDefault="003C66EB">
            <w:pPr>
              <w:rPr>
                <w:rFonts w:ascii="宋体"/>
                <w:vanish/>
              </w:rPr>
            </w:pPr>
          </w:p>
        </w:tc>
        <w:tc>
          <w:tcPr>
            <w:tcW w:w="0" w:type="auto"/>
            <w:gridSpan w:val="3"/>
            <w:shd w:val="clear" w:color="auto" w:fill="auto"/>
          </w:tcPr>
          <w:p w14:paraId="5EA25144" w14:textId="77777777" w:rsidR="003C66EB" w:rsidRDefault="003C66EB">
            <w:pPr>
              <w:rPr>
                <w:rFonts w:ascii="宋体"/>
                <w:vanish/>
              </w:rPr>
            </w:pPr>
          </w:p>
        </w:tc>
        <w:tc>
          <w:tcPr>
            <w:tcW w:w="0" w:type="auto"/>
            <w:gridSpan w:val="3"/>
            <w:shd w:val="clear" w:color="auto" w:fill="auto"/>
          </w:tcPr>
          <w:p w14:paraId="5EA25145" w14:textId="77777777" w:rsidR="003C66EB" w:rsidRDefault="003C66EB">
            <w:pPr>
              <w:rPr>
                <w:rFonts w:ascii="宋体"/>
                <w:vanish/>
              </w:rPr>
            </w:pPr>
          </w:p>
        </w:tc>
        <w:tc>
          <w:tcPr>
            <w:tcW w:w="0" w:type="auto"/>
            <w:gridSpan w:val="3"/>
            <w:shd w:val="clear" w:color="auto" w:fill="auto"/>
          </w:tcPr>
          <w:p w14:paraId="5EA25146" w14:textId="77777777" w:rsidR="003C66EB" w:rsidRDefault="003C66EB">
            <w:pPr>
              <w:rPr>
                <w:rFonts w:ascii="宋体"/>
                <w:vanish/>
              </w:rPr>
            </w:pPr>
          </w:p>
        </w:tc>
        <w:tc>
          <w:tcPr>
            <w:tcW w:w="0" w:type="auto"/>
            <w:gridSpan w:val="3"/>
            <w:shd w:val="clear" w:color="auto" w:fill="auto"/>
          </w:tcPr>
          <w:p w14:paraId="5EA25147" w14:textId="77777777" w:rsidR="003C66EB" w:rsidRDefault="003C66EB">
            <w:pPr>
              <w:rPr>
                <w:rFonts w:ascii="宋体"/>
                <w:vanish/>
              </w:rPr>
            </w:pPr>
          </w:p>
        </w:tc>
        <w:tc>
          <w:tcPr>
            <w:tcW w:w="0" w:type="auto"/>
            <w:gridSpan w:val="3"/>
            <w:shd w:val="clear" w:color="auto" w:fill="auto"/>
          </w:tcPr>
          <w:p w14:paraId="5EA25148" w14:textId="77777777" w:rsidR="003C66EB" w:rsidRDefault="003C66EB">
            <w:pPr>
              <w:rPr>
                <w:rFonts w:ascii="宋体"/>
                <w:vanish/>
              </w:rPr>
            </w:pPr>
          </w:p>
        </w:tc>
        <w:tc>
          <w:tcPr>
            <w:tcW w:w="0" w:type="auto"/>
            <w:gridSpan w:val="3"/>
            <w:shd w:val="clear" w:color="auto" w:fill="auto"/>
          </w:tcPr>
          <w:p w14:paraId="5EA25149" w14:textId="77777777" w:rsidR="003C66EB" w:rsidRDefault="003C66EB">
            <w:pPr>
              <w:rPr>
                <w:rFonts w:ascii="宋体"/>
                <w:vanish/>
              </w:rPr>
            </w:pPr>
          </w:p>
        </w:tc>
        <w:tc>
          <w:tcPr>
            <w:tcW w:w="0" w:type="auto"/>
            <w:gridSpan w:val="3"/>
            <w:shd w:val="clear" w:color="auto" w:fill="auto"/>
          </w:tcPr>
          <w:p w14:paraId="5EA2514A" w14:textId="77777777" w:rsidR="003C66EB" w:rsidRDefault="003C66EB">
            <w:pPr>
              <w:rPr>
                <w:rFonts w:ascii="宋体"/>
                <w:vanish/>
              </w:rPr>
            </w:pPr>
          </w:p>
        </w:tc>
        <w:tc>
          <w:tcPr>
            <w:tcW w:w="0" w:type="auto"/>
            <w:shd w:val="clear" w:color="auto" w:fill="auto"/>
          </w:tcPr>
          <w:p w14:paraId="5EA2514B" w14:textId="77777777" w:rsidR="003C66EB" w:rsidRDefault="003C66EB">
            <w:pPr>
              <w:rPr>
                <w:rFonts w:ascii="宋体"/>
                <w:vanish/>
              </w:rPr>
            </w:pPr>
          </w:p>
        </w:tc>
        <w:tc>
          <w:tcPr>
            <w:tcW w:w="0" w:type="auto"/>
            <w:shd w:val="clear" w:color="auto" w:fill="auto"/>
          </w:tcPr>
          <w:p w14:paraId="5EA2514C" w14:textId="77777777" w:rsidR="003C66EB" w:rsidRDefault="003C66EB">
            <w:pPr>
              <w:rPr>
                <w:rFonts w:ascii="宋体"/>
                <w:vanish/>
              </w:rPr>
            </w:pPr>
          </w:p>
        </w:tc>
        <w:tc>
          <w:tcPr>
            <w:tcW w:w="0" w:type="auto"/>
            <w:gridSpan w:val="3"/>
            <w:shd w:val="clear" w:color="auto" w:fill="auto"/>
          </w:tcPr>
          <w:p w14:paraId="5EA2514D" w14:textId="77777777" w:rsidR="003C66EB" w:rsidRDefault="003C66EB">
            <w:pPr>
              <w:rPr>
                <w:rFonts w:ascii="宋体"/>
                <w:vanish/>
              </w:rPr>
            </w:pPr>
          </w:p>
        </w:tc>
        <w:tc>
          <w:tcPr>
            <w:tcW w:w="0" w:type="auto"/>
            <w:gridSpan w:val="3"/>
            <w:shd w:val="clear" w:color="auto" w:fill="auto"/>
          </w:tcPr>
          <w:p w14:paraId="5EA2514E" w14:textId="77777777" w:rsidR="003C66EB" w:rsidRDefault="003C66EB">
            <w:pPr>
              <w:rPr>
                <w:rFonts w:ascii="宋体"/>
                <w:vanish/>
              </w:rPr>
            </w:pPr>
          </w:p>
        </w:tc>
        <w:tc>
          <w:tcPr>
            <w:tcW w:w="0" w:type="auto"/>
            <w:gridSpan w:val="3"/>
            <w:shd w:val="clear" w:color="auto" w:fill="auto"/>
          </w:tcPr>
          <w:p w14:paraId="5EA2514F" w14:textId="77777777" w:rsidR="003C66EB" w:rsidRDefault="003C66EB">
            <w:pPr>
              <w:rPr>
                <w:rFonts w:ascii="宋体"/>
                <w:vanish/>
              </w:rPr>
            </w:pPr>
          </w:p>
        </w:tc>
        <w:tc>
          <w:tcPr>
            <w:tcW w:w="0" w:type="auto"/>
            <w:gridSpan w:val="3"/>
            <w:shd w:val="clear" w:color="auto" w:fill="auto"/>
          </w:tcPr>
          <w:p w14:paraId="5EA25150" w14:textId="77777777" w:rsidR="003C66EB" w:rsidRDefault="003C66EB">
            <w:pPr>
              <w:rPr>
                <w:rFonts w:ascii="宋体"/>
                <w:vanish/>
              </w:rPr>
            </w:pPr>
          </w:p>
        </w:tc>
        <w:tc>
          <w:tcPr>
            <w:tcW w:w="0" w:type="auto"/>
            <w:gridSpan w:val="3"/>
            <w:shd w:val="clear" w:color="auto" w:fill="auto"/>
          </w:tcPr>
          <w:p w14:paraId="5EA25151" w14:textId="77777777" w:rsidR="003C66EB" w:rsidRDefault="003C66EB">
            <w:pPr>
              <w:rPr>
                <w:rFonts w:ascii="宋体"/>
                <w:vanish/>
              </w:rPr>
            </w:pPr>
          </w:p>
        </w:tc>
      </w:tr>
      <w:tr w:rsidR="003C66EB" w14:paraId="5EA25165" w14:textId="77777777">
        <w:trPr>
          <w:hidden/>
        </w:trPr>
        <w:tc>
          <w:tcPr>
            <w:tcW w:w="0" w:type="auto"/>
            <w:gridSpan w:val="3"/>
            <w:shd w:val="clear" w:color="auto" w:fill="auto"/>
          </w:tcPr>
          <w:p w14:paraId="5EA25153" w14:textId="77777777" w:rsidR="003C66EB" w:rsidRDefault="003C66EB">
            <w:pPr>
              <w:rPr>
                <w:rFonts w:ascii="宋体"/>
                <w:vanish/>
              </w:rPr>
            </w:pPr>
          </w:p>
        </w:tc>
        <w:tc>
          <w:tcPr>
            <w:tcW w:w="0" w:type="auto"/>
            <w:gridSpan w:val="3"/>
            <w:shd w:val="clear" w:color="auto" w:fill="auto"/>
          </w:tcPr>
          <w:p w14:paraId="5EA25154" w14:textId="77777777" w:rsidR="003C66EB" w:rsidRDefault="003C66EB">
            <w:pPr>
              <w:rPr>
                <w:rFonts w:ascii="宋体"/>
                <w:vanish/>
              </w:rPr>
            </w:pPr>
          </w:p>
        </w:tc>
        <w:tc>
          <w:tcPr>
            <w:tcW w:w="0" w:type="auto"/>
            <w:gridSpan w:val="3"/>
            <w:shd w:val="clear" w:color="auto" w:fill="auto"/>
          </w:tcPr>
          <w:p w14:paraId="5EA25155" w14:textId="77777777" w:rsidR="003C66EB" w:rsidRDefault="003C66EB">
            <w:pPr>
              <w:rPr>
                <w:rFonts w:ascii="宋体"/>
                <w:vanish/>
              </w:rPr>
            </w:pPr>
          </w:p>
        </w:tc>
        <w:tc>
          <w:tcPr>
            <w:tcW w:w="0" w:type="auto"/>
            <w:gridSpan w:val="3"/>
            <w:shd w:val="clear" w:color="auto" w:fill="auto"/>
          </w:tcPr>
          <w:p w14:paraId="5EA25156" w14:textId="77777777" w:rsidR="003C66EB" w:rsidRDefault="003C66EB">
            <w:pPr>
              <w:rPr>
                <w:rFonts w:ascii="宋体"/>
                <w:vanish/>
              </w:rPr>
            </w:pPr>
          </w:p>
        </w:tc>
        <w:tc>
          <w:tcPr>
            <w:tcW w:w="0" w:type="auto"/>
            <w:gridSpan w:val="3"/>
            <w:shd w:val="clear" w:color="auto" w:fill="auto"/>
          </w:tcPr>
          <w:p w14:paraId="5EA25157" w14:textId="77777777" w:rsidR="003C66EB" w:rsidRDefault="003C66EB">
            <w:pPr>
              <w:rPr>
                <w:rFonts w:ascii="宋体"/>
                <w:vanish/>
              </w:rPr>
            </w:pPr>
          </w:p>
        </w:tc>
        <w:tc>
          <w:tcPr>
            <w:tcW w:w="0" w:type="auto"/>
            <w:gridSpan w:val="3"/>
            <w:shd w:val="clear" w:color="auto" w:fill="auto"/>
          </w:tcPr>
          <w:p w14:paraId="5EA25158" w14:textId="77777777" w:rsidR="003C66EB" w:rsidRDefault="003C66EB">
            <w:pPr>
              <w:rPr>
                <w:rFonts w:ascii="宋体"/>
                <w:vanish/>
              </w:rPr>
            </w:pPr>
          </w:p>
        </w:tc>
        <w:tc>
          <w:tcPr>
            <w:tcW w:w="0" w:type="auto"/>
            <w:gridSpan w:val="3"/>
            <w:shd w:val="clear" w:color="auto" w:fill="auto"/>
          </w:tcPr>
          <w:p w14:paraId="5EA25159" w14:textId="77777777" w:rsidR="003C66EB" w:rsidRDefault="003C66EB">
            <w:pPr>
              <w:rPr>
                <w:rFonts w:ascii="宋体"/>
                <w:vanish/>
              </w:rPr>
            </w:pPr>
          </w:p>
        </w:tc>
        <w:tc>
          <w:tcPr>
            <w:tcW w:w="0" w:type="auto"/>
            <w:gridSpan w:val="3"/>
            <w:shd w:val="clear" w:color="auto" w:fill="auto"/>
          </w:tcPr>
          <w:p w14:paraId="5EA2515A" w14:textId="77777777" w:rsidR="003C66EB" w:rsidRDefault="003C66EB">
            <w:pPr>
              <w:rPr>
                <w:rFonts w:ascii="宋体"/>
                <w:vanish/>
              </w:rPr>
            </w:pPr>
          </w:p>
        </w:tc>
        <w:tc>
          <w:tcPr>
            <w:tcW w:w="0" w:type="auto"/>
            <w:gridSpan w:val="3"/>
            <w:shd w:val="clear" w:color="auto" w:fill="auto"/>
          </w:tcPr>
          <w:p w14:paraId="5EA2515B" w14:textId="77777777" w:rsidR="003C66EB" w:rsidRDefault="003C66EB">
            <w:pPr>
              <w:rPr>
                <w:rFonts w:ascii="宋体"/>
                <w:vanish/>
              </w:rPr>
            </w:pPr>
          </w:p>
        </w:tc>
        <w:tc>
          <w:tcPr>
            <w:tcW w:w="0" w:type="auto"/>
            <w:gridSpan w:val="3"/>
            <w:shd w:val="clear" w:color="auto" w:fill="auto"/>
          </w:tcPr>
          <w:p w14:paraId="5EA2515C" w14:textId="77777777" w:rsidR="003C66EB" w:rsidRDefault="003C66EB">
            <w:pPr>
              <w:rPr>
                <w:rFonts w:ascii="宋体"/>
                <w:vanish/>
              </w:rPr>
            </w:pPr>
          </w:p>
        </w:tc>
        <w:tc>
          <w:tcPr>
            <w:tcW w:w="0" w:type="auto"/>
            <w:gridSpan w:val="3"/>
            <w:shd w:val="clear" w:color="auto" w:fill="auto"/>
          </w:tcPr>
          <w:p w14:paraId="5EA2515D" w14:textId="77777777" w:rsidR="003C66EB" w:rsidRDefault="003C66EB">
            <w:pPr>
              <w:rPr>
                <w:rFonts w:ascii="宋体"/>
                <w:vanish/>
              </w:rPr>
            </w:pPr>
          </w:p>
        </w:tc>
        <w:tc>
          <w:tcPr>
            <w:tcW w:w="0" w:type="auto"/>
            <w:shd w:val="clear" w:color="auto" w:fill="auto"/>
          </w:tcPr>
          <w:p w14:paraId="5EA2515E" w14:textId="77777777" w:rsidR="003C66EB" w:rsidRDefault="003C66EB">
            <w:pPr>
              <w:rPr>
                <w:rFonts w:ascii="宋体"/>
                <w:vanish/>
              </w:rPr>
            </w:pPr>
          </w:p>
        </w:tc>
        <w:tc>
          <w:tcPr>
            <w:tcW w:w="0" w:type="auto"/>
            <w:shd w:val="clear" w:color="auto" w:fill="auto"/>
          </w:tcPr>
          <w:p w14:paraId="5EA2515F" w14:textId="77777777" w:rsidR="003C66EB" w:rsidRDefault="003C66EB">
            <w:pPr>
              <w:rPr>
                <w:rFonts w:ascii="宋体"/>
                <w:vanish/>
              </w:rPr>
            </w:pPr>
          </w:p>
        </w:tc>
        <w:tc>
          <w:tcPr>
            <w:tcW w:w="0" w:type="auto"/>
            <w:gridSpan w:val="3"/>
            <w:shd w:val="clear" w:color="auto" w:fill="auto"/>
          </w:tcPr>
          <w:p w14:paraId="5EA25160" w14:textId="77777777" w:rsidR="003C66EB" w:rsidRDefault="003C66EB">
            <w:pPr>
              <w:rPr>
                <w:rFonts w:ascii="宋体"/>
                <w:vanish/>
              </w:rPr>
            </w:pPr>
          </w:p>
        </w:tc>
        <w:tc>
          <w:tcPr>
            <w:tcW w:w="0" w:type="auto"/>
            <w:gridSpan w:val="3"/>
            <w:shd w:val="clear" w:color="auto" w:fill="auto"/>
          </w:tcPr>
          <w:p w14:paraId="5EA25161" w14:textId="77777777" w:rsidR="003C66EB" w:rsidRDefault="003C66EB">
            <w:pPr>
              <w:rPr>
                <w:rFonts w:ascii="宋体"/>
                <w:vanish/>
              </w:rPr>
            </w:pPr>
          </w:p>
        </w:tc>
        <w:tc>
          <w:tcPr>
            <w:tcW w:w="0" w:type="auto"/>
            <w:gridSpan w:val="3"/>
            <w:shd w:val="clear" w:color="auto" w:fill="auto"/>
          </w:tcPr>
          <w:p w14:paraId="5EA25162" w14:textId="77777777" w:rsidR="003C66EB" w:rsidRDefault="003C66EB">
            <w:pPr>
              <w:rPr>
                <w:rFonts w:ascii="宋体"/>
                <w:vanish/>
              </w:rPr>
            </w:pPr>
          </w:p>
        </w:tc>
        <w:tc>
          <w:tcPr>
            <w:tcW w:w="0" w:type="auto"/>
            <w:gridSpan w:val="3"/>
            <w:shd w:val="clear" w:color="auto" w:fill="auto"/>
          </w:tcPr>
          <w:p w14:paraId="5EA25163" w14:textId="77777777" w:rsidR="003C66EB" w:rsidRDefault="003C66EB">
            <w:pPr>
              <w:rPr>
                <w:rFonts w:ascii="宋体"/>
                <w:vanish/>
              </w:rPr>
            </w:pPr>
          </w:p>
        </w:tc>
        <w:tc>
          <w:tcPr>
            <w:tcW w:w="0" w:type="auto"/>
            <w:gridSpan w:val="3"/>
            <w:shd w:val="clear" w:color="auto" w:fill="auto"/>
          </w:tcPr>
          <w:p w14:paraId="5EA25164" w14:textId="77777777" w:rsidR="003C66EB" w:rsidRDefault="003C66EB">
            <w:pPr>
              <w:rPr>
                <w:rFonts w:ascii="宋体"/>
                <w:vanish/>
              </w:rPr>
            </w:pPr>
          </w:p>
        </w:tc>
      </w:tr>
      <w:tr w:rsidR="003C66EB" w14:paraId="5EA25180" w14:textId="77777777">
        <w:tc>
          <w:tcPr>
            <w:tcW w:w="0" w:type="auto"/>
            <w:gridSpan w:val="3"/>
            <w:shd w:val="clear" w:color="auto" w:fill="CCEEFF"/>
            <w:tcMar>
              <w:top w:w="40" w:type="dxa"/>
              <w:left w:w="380" w:type="dxa"/>
              <w:bottom w:w="40" w:type="dxa"/>
              <w:right w:w="20" w:type="dxa"/>
            </w:tcMar>
            <w:vAlign w:val="bottom"/>
          </w:tcPr>
          <w:p w14:paraId="5EA25166" w14:textId="77777777" w:rsidR="003C66EB" w:rsidRDefault="00D96C4E">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EA2516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6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16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6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16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6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6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170"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51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7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17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75" w14:textId="77777777" w:rsidR="003C66EB" w:rsidRDefault="003C66EB">
            <w:pPr>
              <w:rPr>
                <w:rFonts w:ascii="宋体"/>
              </w:rPr>
            </w:pPr>
          </w:p>
        </w:tc>
        <w:tc>
          <w:tcPr>
            <w:tcW w:w="0" w:type="auto"/>
            <w:shd w:val="clear" w:color="auto" w:fill="auto"/>
          </w:tcPr>
          <w:p w14:paraId="5EA25176" w14:textId="77777777" w:rsidR="003C66EB" w:rsidRDefault="003C66EB">
            <w:pPr>
              <w:rPr>
                <w:rFonts w:ascii="宋体"/>
                <w:vanish/>
              </w:rPr>
            </w:pPr>
          </w:p>
        </w:tc>
        <w:tc>
          <w:tcPr>
            <w:tcW w:w="0" w:type="auto"/>
            <w:shd w:val="clear" w:color="auto" w:fill="auto"/>
          </w:tcPr>
          <w:p w14:paraId="5EA25177"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517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7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17B"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1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17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17E" w14:textId="77777777" w:rsidR="003C66EB" w:rsidRDefault="00D96C4E">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A2517F" w14:textId="77777777" w:rsidR="003C66EB" w:rsidRDefault="003C66EB">
            <w:pPr>
              <w:jc w:val="right"/>
              <w:rPr>
                <w:rFonts w:ascii="宋体"/>
              </w:rPr>
            </w:pPr>
          </w:p>
        </w:tc>
      </w:tr>
      <w:tr w:rsidR="003C66EB" w14:paraId="5EA25193" w14:textId="77777777">
        <w:trPr>
          <w:hidden/>
        </w:trPr>
        <w:tc>
          <w:tcPr>
            <w:tcW w:w="0" w:type="auto"/>
            <w:gridSpan w:val="3"/>
            <w:shd w:val="clear" w:color="auto" w:fill="auto"/>
          </w:tcPr>
          <w:p w14:paraId="5EA25181" w14:textId="77777777" w:rsidR="003C66EB" w:rsidRDefault="003C66EB">
            <w:pPr>
              <w:rPr>
                <w:rFonts w:ascii="宋体"/>
                <w:vanish/>
              </w:rPr>
            </w:pPr>
          </w:p>
        </w:tc>
        <w:tc>
          <w:tcPr>
            <w:tcW w:w="0" w:type="auto"/>
            <w:gridSpan w:val="3"/>
            <w:shd w:val="clear" w:color="auto" w:fill="auto"/>
          </w:tcPr>
          <w:p w14:paraId="5EA25182" w14:textId="77777777" w:rsidR="003C66EB" w:rsidRDefault="003C66EB">
            <w:pPr>
              <w:rPr>
                <w:rFonts w:ascii="宋体"/>
                <w:vanish/>
              </w:rPr>
            </w:pPr>
          </w:p>
        </w:tc>
        <w:tc>
          <w:tcPr>
            <w:tcW w:w="0" w:type="auto"/>
            <w:gridSpan w:val="3"/>
            <w:shd w:val="clear" w:color="auto" w:fill="auto"/>
          </w:tcPr>
          <w:p w14:paraId="5EA25183" w14:textId="77777777" w:rsidR="003C66EB" w:rsidRDefault="003C66EB">
            <w:pPr>
              <w:rPr>
                <w:rFonts w:ascii="宋体"/>
                <w:vanish/>
              </w:rPr>
            </w:pPr>
          </w:p>
        </w:tc>
        <w:tc>
          <w:tcPr>
            <w:tcW w:w="0" w:type="auto"/>
            <w:gridSpan w:val="3"/>
            <w:shd w:val="clear" w:color="auto" w:fill="auto"/>
          </w:tcPr>
          <w:p w14:paraId="5EA25184" w14:textId="77777777" w:rsidR="003C66EB" w:rsidRDefault="003C66EB">
            <w:pPr>
              <w:rPr>
                <w:rFonts w:ascii="宋体"/>
                <w:vanish/>
              </w:rPr>
            </w:pPr>
          </w:p>
        </w:tc>
        <w:tc>
          <w:tcPr>
            <w:tcW w:w="0" w:type="auto"/>
            <w:gridSpan w:val="3"/>
            <w:shd w:val="clear" w:color="auto" w:fill="auto"/>
          </w:tcPr>
          <w:p w14:paraId="5EA25185" w14:textId="77777777" w:rsidR="003C66EB" w:rsidRDefault="003C66EB">
            <w:pPr>
              <w:rPr>
                <w:rFonts w:ascii="宋体"/>
                <w:vanish/>
              </w:rPr>
            </w:pPr>
          </w:p>
        </w:tc>
        <w:tc>
          <w:tcPr>
            <w:tcW w:w="0" w:type="auto"/>
            <w:gridSpan w:val="3"/>
            <w:shd w:val="clear" w:color="auto" w:fill="auto"/>
          </w:tcPr>
          <w:p w14:paraId="5EA25186" w14:textId="77777777" w:rsidR="003C66EB" w:rsidRDefault="003C66EB">
            <w:pPr>
              <w:rPr>
                <w:rFonts w:ascii="宋体"/>
                <w:vanish/>
              </w:rPr>
            </w:pPr>
          </w:p>
        </w:tc>
        <w:tc>
          <w:tcPr>
            <w:tcW w:w="0" w:type="auto"/>
            <w:gridSpan w:val="3"/>
            <w:shd w:val="clear" w:color="auto" w:fill="auto"/>
          </w:tcPr>
          <w:p w14:paraId="5EA25187" w14:textId="77777777" w:rsidR="003C66EB" w:rsidRDefault="003C66EB">
            <w:pPr>
              <w:rPr>
                <w:rFonts w:ascii="宋体"/>
                <w:vanish/>
              </w:rPr>
            </w:pPr>
          </w:p>
        </w:tc>
        <w:tc>
          <w:tcPr>
            <w:tcW w:w="0" w:type="auto"/>
            <w:gridSpan w:val="3"/>
            <w:shd w:val="clear" w:color="auto" w:fill="auto"/>
          </w:tcPr>
          <w:p w14:paraId="5EA25188" w14:textId="77777777" w:rsidR="003C66EB" w:rsidRDefault="003C66EB">
            <w:pPr>
              <w:rPr>
                <w:rFonts w:ascii="宋体"/>
                <w:vanish/>
              </w:rPr>
            </w:pPr>
          </w:p>
        </w:tc>
        <w:tc>
          <w:tcPr>
            <w:tcW w:w="0" w:type="auto"/>
            <w:gridSpan w:val="3"/>
            <w:shd w:val="clear" w:color="auto" w:fill="auto"/>
          </w:tcPr>
          <w:p w14:paraId="5EA25189" w14:textId="77777777" w:rsidR="003C66EB" w:rsidRDefault="003C66EB">
            <w:pPr>
              <w:rPr>
                <w:rFonts w:ascii="宋体"/>
                <w:vanish/>
              </w:rPr>
            </w:pPr>
          </w:p>
        </w:tc>
        <w:tc>
          <w:tcPr>
            <w:tcW w:w="0" w:type="auto"/>
            <w:gridSpan w:val="3"/>
            <w:shd w:val="clear" w:color="auto" w:fill="auto"/>
          </w:tcPr>
          <w:p w14:paraId="5EA2518A" w14:textId="77777777" w:rsidR="003C66EB" w:rsidRDefault="003C66EB">
            <w:pPr>
              <w:rPr>
                <w:rFonts w:ascii="宋体"/>
                <w:vanish/>
              </w:rPr>
            </w:pPr>
          </w:p>
        </w:tc>
        <w:tc>
          <w:tcPr>
            <w:tcW w:w="0" w:type="auto"/>
            <w:gridSpan w:val="3"/>
            <w:shd w:val="clear" w:color="auto" w:fill="auto"/>
          </w:tcPr>
          <w:p w14:paraId="5EA2518B" w14:textId="77777777" w:rsidR="003C66EB" w:rsidRDefault="003C66EB">
            <w:pPr>
              <w:rPr>
                <w:rFonts w:ascii="宋体"/>
                <w:vanish/>
              </w:rPr>
            </w:pPr>
          </w:p>
        </w:tc>
        <w:tc>
          <w:tcPr>
            <w:tcW w:w="0" w:type="auto"/>
            <w:shd w:val="clear" w:color="auto" w:fill="auto"/>
          </w:tcPr>
          <w:p w14:paraId="5EA2518C" w14:textId="77777777" w:rsidR="003C66EB" w:rsidRDefault="003C66EB">
            <w:pPr>
              <w:rPr>
                <w:rFonts w:ascii="宋体"/>
                <w:vanish/>
              </w:rPr>
            </w:pPr>
          </w:p>
        </w:tc>
        <w:tc>
          <w:tcPr>
            <w:tcW w:w="0" w:type="auto"/>
            <w:shd w:val="clear" w:color="auto" w:fill="auto"/>
          </w:tcPr>
          <w:p w14:paraId="5EA2518D" w14:textId="77777777" w:rsidR="003C66EB" w:rsidRDefault="003C66EB">
            <w:pPr>
              <w:rPr>
                <w:rFonts w:ascii="宋体"/>
                <w:vanish/>
              </w:rPr>
            </w:pPr>
          </w:p>
        </w:tc>
        <w:tc>
          <w:tcPr>
            <w:tcW w:w="0" w:type="auto"/>
            <w:gridSpan w:val="3"/>
            <w:shd w:val="clear" w:color="auto" w:fill="auto"/>
          </w:tcPr>
          <w:p w14:paraId="5EA2518E" w14:textId="77777777" w:rsidR="003C66EB" w:rsidRDefault="003C66EB">
            <w:pPr>
              <w:rPr>
                <w:rFonts w:ascii="宋体"/>
                <w:vanish/>
              </w:rPr>
            </w:pPr>
          </w:p>
        </w:tc>
        <w:tc>
          <w:tcPr>
            <w:tcW w:w="0" w:type="auto"/>
            <w:gridSpan w:val="3"/>
            <w:shd w:val="clear" w:color="auto" w:fill="auto"/>
          </w:tcPr>
          <w:p w14:paraId="5EA2518F" w14:textId="77777777" w:rsidR="003C66EB" w:rsidRDefault="003C66EB">
            <w:pPr>
              <w:rPr>
                <w:rFonts w:ascii="宋体"/>
                <w:vanish/>
              </w:rPr>
            </w:pPr>
          </w:p>
        </w:tc>
        <w:tc>
          <w:tcPr>
            <w:tcW w:w="0" w:type="auto"/>
            <w:gridSpan w:val="3"/>
            <w:shd w:val="clear" w:color="auto" w:fill="auto"/>
          </w:tcPr>
          <w:p w14:paraId="5EA25190" w14:textId="77777777" w:rsidR="003C66EB" w:rsidRDefault="003C66EB">
            <w:pPr>
              <w:rPr>
                <w:rFonts w:ascii="宋体"/>
                <w:vanish/>
              </w:rPr>
            </w:pPr>
          </w:p>
        </w:tc>
        <w:tc>
          <w:tcPr>
            <w:tcW w:w="0" w:type="auto"/>
            <w:gridSpan w:val="3"/>
            <w:shd w:val="clear" w:color="auto" w:fill="auto"/>
          </w:tcPr>
          <w:p w14:paraId="5EA25191" w14:textId="77777777" w:rsidR="003C66EB" w:rsidRDefault="003C66EB">
            <w:pPr>
              <w:rPr>
                <w:rFonts w:ascii="宋体"/>
                <w:vanish/>
              </w:rPr>
            </w:pPr>
          </w:p>
        </w:tc>
        <w:tc>
          <w:tcPr>
            <w:tcW w:w="0" w:type="auto"/>
            <w:gridSpan w:val="3"/>
            <w:shd w:val="clear" w:color="auto" w:fill="auto"/>
          </w:tcPr>
          <w:p w14:paraId="5EA25192" w14:textId="77777777" w:rsidR="003C66EB" w:rsidRDefault="003C66EB">
            <w:pPr>
              <w:rPr>
                <w:rFonts w:ascii="宋体"/>
                <w:vanish/>
              </w:rPr>
            </w:pPr>
          </w:p>
        </w:tc>
      </w:tr>
      <w:tr w:rsidR="003C66EB" w14:paraId="5EA251B6" w14:textId="77777777">
        <w:tc>
          <w:tcPr>
            <w:tcW w:w="0" w:type="auto"/>
            <w:gridSpan w:val="3"/>
            <w:shd w:val="clear" w:color="auto" w:fill="FFFFFF"/>
            <w:tcMar>
              <w:top w:w="40" w:type="dxa"/>
              <w:left w:w="155" w:type="dxa"/>
              <w:bottom w:w="40" w:type="dxa"/>
              <w:right w:w="20" w:type="dxa"/>
            </w:tcMar>
            <w:vAlign w:val="bottom"/>
          </w:tcPr>
          <w:p w14:paraId="5EA25194" w14:textId="77777777" w:rsidR="003C66EB" w:rsidRDefault="00D96C4E">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519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96" w14:textId="77777777" w:rsidR="003C66EB" w:rsidRDefault="00D96C4E">
            <w:pPr>
              <w:jc w:val="right"/>
              <w:textAlignment w:val="bottom"/>
            </w:pPr>
            <w:r>
              <w:rPr>
                <w:rFonts w:ascii="Arial" w:eastAsia="宋体" w:hAnsi="Arial" w:cs="Arial"/>
                <w:color w:val="000000"/>
                <w:sz w:val="14"/>
                <w:szCs w:val="14"/>
              </w:rPr>
              <w:t>1,311 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9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98"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99"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9A" w14:textId="77777777" w:rsidR="003C66EB" w:rsidRDefault="00D96C4E">
            <w:pPr>
              <w:jc w:val="right"/>
              <w:textAlignment w:val="bottom"/>
            </w:pPr>
            <w:r>
              <w:rPr>
                <w:rFonts w:ascii="Arial" w:eastAsia="宋体" w:hAnsi="Arial" w:cs="Arial"/>
                <w:color w:val="000000"/>
                <w:sz w:val="14"/>
                <w:szCs w:val="14"/>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9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9C"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9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9E" w14:textId="77777777" w:rsidR="003C66EB" w:rsidRDefault="00D96C4E">
            <w:pPr>
              <w:jc w:val="right"/>
              <w:textAlignment w:val="bottom"/>
            </w:pPr>
            <w:r>
              <w:rPr>
                <w:rFonts w:ascii="Arial" w:eastAsia="宋体" w:hAnsi="Arial" w:cs="Arial"/>
                <w:color w:val="000000"/>
                <w:sz w:val="14"/>
                <w:szCs w:val="14"/>
              </w:rPr>
              <w:t>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A0"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A1"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A2" w14:textId="77777777" w:rsidR="003C66EB" w:rsidRDefault="00D96C4E">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A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A4"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A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A6" w14:textId="77777777" w:rsidR="003C66EB" w:rsidRDefault="00D96C4E">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A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A8" w14:textId="77777777" w:rsidR="003C66EB" w:rsidRDefault="003C66EB">
            <w:pPr>
              <w:rPr>
                <w:rFonts w:ascii="宋体"/>
              </w:rPr>
            </w:pPr>
          </w:p>
        </w:tc>
        <w:tc>
          <w:tcPr>
            <w:tcW w:w="0" w:type="auto"/>
            <w:shd w:val="clear" w:color="auto" w:fill="auto"/>
          </w:tcPr>
          <w:p w14:paraId="5EA251A9" w14:textId="77777777" w:rsidR="003C66EB" w:rsidRDefault="003C66EB">
            <w:pPr>
              <w:rPr>
                <w:rFonts w:ascii="宋体"/>
                <w:vanish/>
              </w:rPr>
            </w:pPr>
          </w:p>
        </w:tc>
        <w:tc>
          <w:tcPr>
            <w:tcW w:w="0" w:type="auto"/>
            <w:shd w:val="clear" w:color="auto" w:fill="auto"/>
          </w:tcPr>
          <w:p w14:paraId="5EA251AA" w14:textId="77777777" w:rsidR="003C66EB" w:rsidRDefault="003C66E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A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AC" w14:textId="77777777" w:rsidR="003C66EB" w:rsidRDefault="00D96C4E">
            <w:pPr>
              <w:jc w:val="right"/>
              <w:textAlignment w:val="bottom"/>
            </w:pPr>
            <w:r>
              <w:rPr>
                <w:rFonts w:ascii="Arial" w:eastAsia="宋体" w:hAnsi="Arial" w:cs="Arial"/>
                <w:color w:val="000000"/>
                <w:sz w:val="14"/>
                <w:szCs w:val="14"/>
              </w:rPr>
              <w:t>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A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A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B0" w14:textId="77777777" w:rsidR="003C66EB" w:rsidRDefault="00D96C4E">
            <w:pPr>
              <w:jc w:val="right"/>
              <w:textAlignment w:val="bottom"/>
            </w:pPr>
            <w:r>
              <w:rPr>
                <w:rFonts w:ascii="Arial" w:eastAsia="宋体" w:hAnsi="Arial" w:cs="Arial"/>
                <w:color w:val="000000"/>
                <w:sz w:val="14"/>
                <w:szCs w:val="14"/>
              </w:rPr>
              <w:t>4,464 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B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1B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51B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51B4" w14:textId="77777777" w:rsidR="003C66EB" w:rsidRDefault="00D96C4E">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1B5" w14:textId="77777777" w:rsidR="003C66EB" w:rsidRDefault="003C66EB">
            <w:pPr>
              <w:jc w:val="right"/>
              <w:rPr>
                <w:rFonts w:ascii="宋体"/>
              </w:rPr>
            </w:pPr>
          </w:p>
        </w:tc>
      </w:tr>
      <w:tr w:rsidR="003C66EB" w14:paraId="5EA251C9" w14:textId="77777777">
        <w:trPr>
          <w:trHeight w:val="60"/>
        </w:trPr>
        <w:tc>
          <w:tcPr>
            <w:tcW w:w="0" w:type="auto"/>
            <w:gridSpan w:val="3"/>
            <w:shd w:val="clear" w:color="auto" w:fill="auto"/>
            <w:tcMar>
              <w:top w:w="0" w:type="dxa"/>
              <w:left w:w="20" w:type="dxa"/>
              <w:bottom w:w="0" w:type="dxa"/>
              <w:right w:w="20" w:type="dxa"/>
            </w:tcMar>
          </w:tcPr>
          <w:p w14:paraId="5EA251B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B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B9"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B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BB"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B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B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B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BF"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C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C1" w14:textId="77777777" w:rsidR="003C66EB" w:rsidRDefault="003C66EB">
            <w:pPr>
              <w:rPr>
                <w:rFonts w:ascii="宋体"/>
              </w:rPr>
            </w:pPr>
          </w:p>
        </w:tc>
        <w:tc>
          <w:tcPr>
            <w:tcW w:w="0" w:type="auto"/>
            <w:shd w:val="clear" w:color="auto" w:fill="auto"/>
          </w:tcPr>
          <w:p w14:paraId="5EA251C2" w14:textId="77777777" w:rsidR="003C66EB" w:rsidRDefault="003C66EB">
            <w:pPr>
              <w:rPr>
                <w:rFonts w:ascii="宋体"/>
                <w:vanish/>
              </w:rPr>
            </w:pPr>
          </w:p>
        </w:tc>
        <w:tc>
          <w:tcPr>
            <w:tcW w:w="0" w:type="auto"/>
            <w:shd w:val="clear" w:color="auto" w:fill="auto"/>
          </w:tcPr>
          <w:p w14:paraId="5EA251C3" w14:textId="77777777" w:rsidR="003C66EB" w:rsidRDefault="003C66EB">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C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C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C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1C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1C8" w14:textId="77777777" w:rsidR="003C66EB" w:rsidRDefault="003C66EB">
            <w:pPr>
              <w:rPr>
                <w:rFonts w:ascii="宋体"/>
              </w:rPr>
            </w:pPr>
          </w:p>
        </w:tc>
      </w:tr>
      <w:tr w:rsidR="003C66EB" w14:paraId="5EA251DC" w14:textId="77777777">
        <w:trPr>
          <w:hidden/>
        </w:trPr>
        <w:tc>
          <w:tcPr>
            <w:tcW w:w="0" w:type="auto"/>
            <w:gridSpan w:val="3"/>
            <w:shd w:val="clear" w:color="auto" w:fill="auto"/>
          </w:tcPr>
          <w:p w14:paraId="5EA251CA" w14:textId="77777777" w:rsidR="003C66EB" w:rsidRDefault="003C66EB">
            <w:pPr>
              <w:rPr>
                <w:rFonts w:ascii="宋体"/>
                <w:vanish/>
              </w:rPr>
            </w:pPr>
          </w:p>
        </w:tc>
        <w:tc>
          <w:tcPr>
            <w:tcW w:w="0" w:type="auto"/>
            <w:gridSpan w:val="3"/>
            <w:shd w:val="clear" w:color="auto" w:fill="auto"/>
          </w:tcPr>
          <w:p w14:paraId="5EA251CB" w14:textId="77777777" w:rsidR="003C66EB" w:rsidRDefault="003C66EB">
            <w:pPr>
              <w:rPr>
                <w:rFonts w:ascii="宋体"/>
                <w:vanish/>
              </w:rPr>
            </w:pPr>
          </w:p>
        </w:tc>
        <w:tc>
          <w:tcPr>
            <w:tcW w:w="0" w:type="auto"/>
            <w:gridSpan w:val="3"/>
            <w:shd w:val="clear" w:color="auto" w:fill="auto"/>
          </w:tcPr>
          <w:p w14:paraId="5EA251CC" w14:textId="77777777" w:rsidR="003C66EB" w:rsidRDefault="003C66EB">
            <w:pPr>
              <w:rPr>
                <w:rFonts w:ascii="宋体"/>
                <w:vanish/>
              </w:rPr>
            </w:pPr>
          </w:p>
        </w:tc>
        <w:tc>
          <w:tcPr>
            <w:tcW w:w="0" w:type="auto"/>
            <w:gridSpan w:val="3"/>
            <w:shd w:val="clear" w:color="auto" w:fill="auto"/>
          </w:tcPr>
          <w:p w14:paraId="5EA251CD" w14:textId="77777777" w:rsidR="003C66EB" w:rsidRDefault="003C66EB">
            <w:pPr>
              <w:rPr>
                <w:rFonts w:ascii="宋体"/>
                <w:vanish/>
              </w:rPr>
            </w:pPr>
          </w:p>
        </w:tc>
        <w:tc>
          <w:tcPr>
            <w:tcW w:w="0" w:type="auto"/>
            <w:gridSpan w:val="3"/>
            <w:shd w:val="clear" w:color="auto" w:fill="auto"/>
          </w:tcPr>
          <w:p w14:paraId="5EA251CE" w14:textId="77777777" w:rsidR="003C66EB" w:rsidRDefault="003C66EB">
            <w:pPr>
              <w:rPr>
                <w:rFonts w:ascii="宋体"/>
                <w:vanish/>
              </w:rPr>
            </w:pPr>
          </w:p>
        </w:tc>
        <w:tc>
          <w:tcPr>
            <w:tcW w:w="0" w:type="auto"/>
            <w:gridSpan w:val="3"/>
            <w:shd w:val="clear" w:color="auto" w:fill="auto"/>
          </w:tcPr>
          <w:p w14:paraId="5EA251CF" w14:textId="77777777" w:rsidR="003C66EB" w:rsidRDefault="003C66EB">
            <w:pPr>
              <w:rPr>
                <w:rFonts w:ascii="宋体"/>
                <w:vanish/>
              </w:rPr>
            </w:pPr>
          </w:p>
        </w:tc>
        <w:tc>
          <w:tcPr>
            <w:tcW w:w="0" w:type="auto"/>
            <w:gridSpan w:val="3"/>
            <w:shd w:val="clear" w:color="auto" w:fill="auto"/>
          </w:tcPr>
          <w:p w14:paraId="5EA251D0" w14:textId="77777777" w:rsidR="003C66EB" w:rsidRDefault="003C66EB">
            <w:pPr>
              <w:rPr>
                <w:rFonts w:ascii="宋体"/>
                <w:vanish/>
              </w:rPr>
            </w:pPr>
          </w:p>
        </w:tc>
        <w:tc>
          <w:tcPr>
            <w:tcW w:w="0" w:type="auto"/>
            <w:gridSpan w:val="3"/>
            <w:shd w:val="clear" w:color="auto" w:fill="auto"/>
          </w:tcPr>
          <w:p w14:paraId="5EA251D1" w14:textId="77777777" w:rsidR="003C66EB" w:rsidRDefault="003C66EB">
            <w:pPr>
              <w:rPr>
                <w:rFonts w:ascii="宋体"/>
                <w:vanish/>
              </w:rPr>
            </w:pPr>
          </w:p>
        </w:tc>
        <w:tc>
          <w:tcPr>
            <w:tcW w:w="0" w:type="auto"/>
            <w:gridSpan w:val="3"/>
            <w:shd w:val="clear" w:color="auto" w:fill="auto"/>
          </w:tcPr>
          <w:p w14:paraId="5EA251D2" w14:textId="77777777" w:rsidR="003C66EB" w:rsidRDefault="003C66EB">
            <w:pPr>
              <w:rPr>
                <w:rFonts w:ascii="宋体"/>
                <w:vanish/>
              </w:rPr>
            </w:pPr>
          </w:p>
        </w:tc>
        <w:tc>
          <w:tcPr>
            <w:tcW w:w="0" w:type="auto"/>
            <w:gridSpan w:val="3"/>
            <w:shd w:val="clear" w:color="auto" w:fill="auto"/>
          </w:tcPr>
          <w:p w14:paraId="5EA251D3" w14:textId="77777777" w:rsidR="003C66EB" w:rsidRDefault="003C66EB">
            <w:pPr>
              <w:rPr>
                <w:rFonts w:ascii="宋体"/>
                <w:vanish/>
              </w:rPr>
            </w:pPr>
          </w:p>
        </w:tc>
        <w:tc>
          <w:tcPr>
            <w:tcW w:w="0" w:type="auto"/>
            <w:gridSpan w:val="3"/>
            <w:shd w:val="clear" w:color="auto" w:fill="auto"/>
          </w:tcPr>
          <w:p w14:paraId="5EA251D4" w14:textId="77777777" w:rsidR="003C66EB" w:rsidRDefault="003C66EB">
            <w:pPr>
              <w:rPr>
                <w:rFonts w:ascii="宋体"/>
                <w:vanish/>
              </w:rPr>
            </w:pPr>
          </w:p>
        </w:tc>
        <w:tc>
          <w:tcPr>
            <w:tcW w:w="0" w:type="auto"/>
            <w:shd w:val="clear" w:color="auto" w:fill="auto"/>
          </w:tcPr>
          <w:p w14:paraId="5EA251D5" w14:textId="77777777" w:rsidR="003C66EB" w:rsidRDefault="003C66EB">
            <w:pPr>
              <w:rPr>
                <w:rFonts w:ascii="宋体"/>
                <w:vanish/>
              </w:rPr>
            </w:pPr>
          </w:p>
        </w:tc>
        <w:tc>
          <w:tcPr>
            <w:tcW w:w="0" w:type="auto"/>
            <w:shd w:val="clear" w:color="auto" w:fill="auto"/>
          </w:tcPr>
          <w:p w14:paraId="5EA251D6" w14:textId="77777777" w:rsidR="003C66EB" w:rsidRDefault="003C66EB">
            <w:pPr>
              <w:rPr>
                <w:rFonts w:ascii="宋体"/>
                <w:vanish/>
              </w:rPr>
            </w:pPr>
          </w:p>
        </w:tc>
        <w:tc>
          <w:tcPr>
            <w:tcW w:w="0" w:type="auto"/>
            <w:gridSpan w:val="3"/>
            <w:shd w:val="clear" w:color="auto" w:fill="auto"/>
          </w:tcPr>
          <w:p w14:paraId="5EA251D7" w14:textId="77777777" w:rsidR="003C66EB" w:rsidRDefault="003C66EB">
            <w:pPr>
              <w:rPr>
                <w:rFonts w:ascii="宋体"/>
                <w:vanish/>
              </w:rPr>
            </w:pPr>
          </w:p>
        </w:tc>
        <w:tc>
          <w:tcPr>
            <w:tcW w:w="0" w:type="auto"/>
            <w:gridSpan w:val="3"/>
            <w:shd w:val="clear" w:color="auto" w:fill="auto"/>
          </w:tcPr>
          <w:p w14:paraId="5EA251D8" w14:textId="77777777" w:rsidR="003C66EB" w:rsidRDefault="003C66EB">
            <w:pPr>
              <w:rPr>
                <w:rFonts w:ascii="宋体"/>
                <w:vanish/>
              </w:rPr>
            </w:pPr>
          </w:p>
        </w:tc>
        <w:tc>
          <w:tcPr>
            <w:tcW w:w="0" w:type="auto"/>
            <w:gridSpan w:val="3"/>
            <w:shd w:val="clear" w:color="auto" w:fill="auto"/>
          </w:tcPr>
          <w:p w14:paraId="5EA251D9" w14:textId="77777777" w:rsidR="003C66EB" w:rsidRDefault="003C66EB">
            <w:pPr>
              <w:rPr>
                <w:rFonts w:ascii="宋体"/>
                <w:vanish/>
              </w:rPr>
            </w:pPr>
          </w:p>
        </w:tc>
        <w:tc>
          <w:tcPr>
            <w:tcW w:w="0" w:type="auto"/>
            <w:gridSpan w:val="3"/>
            <w:shd w:val="clear" w:color="auto" w:fill="auto"/>
          </w:tcPr>
          <w:p w14:paraId="5EA251DA" w14:textId="77777777" w:rsidR="003C66EB" w:rsidRDefault="003C66EB">
            <w:pPr>
              <w:rPr>
                <w:rFonts w:ascii="宋体"/>
                <w:vanish/>
              </w:rPr>
            </w:pPr>
          </w:p>
        </w:tc>
        <w:tc>
          <w:tcPr>
            <w:tcW w:w="0" w:type="auto"/>
            <w:gridSpan w:val="3"/>
            <w:shd w:val="clear" w:color="auto" w:fill="auto"/>
          </w:tcPr>
          <w:p w14:paraId="5EA251DB" w14:textId="77777777" w:rsidR="003C66EB" w:rsidRDefault="003C66EB">
            <w:pPr>
              <w:rPr>
                <w:rFonts w:ascii="宋体"/>
                <w:vanish/>
              </w:rPr>
            </w:pPr>
          </w:p>
        </w:tc>
      </w:tr>
      <w:tr w:rsidR="003C66EB" w14:paraId="5EA251EF" w14:textId="77777777">
        <w:trPr>
          <w:hidden/>
        </w:trPr>
        <w:tc>
          <w:tcPr>
            <w:tcW w:w="0" w:type="auto"/>
            <w:gridSpan w:val="3"/>
            <w:shd w:val="clear" w:color="auto" w:fill="auto"/>
          </w:tcPr>
          <w:p w14:paraId="5EA251DD" w14:textId="77777777" w:rsidR="003C66EB" w:rsidRDefault="003C66EB">
            <w:pPr>
              <w:rPr>
                <w:rFonts w:ascii="宋体"/>
                <w:vanish/>
              </w:rPr>
            </w:pPr>
          </w:p>
        </w:tc>
        <w:tc>
          <w:tcPr>
            <w:tcW w:w="0" w:type="auto"/>
            <w:gridSpan w:val="3"/>
            <w:shd w:val="clear" w:color="auto" w:fill="auto"/>
          </w:tcPr>
          <w:p w14:paraId="5EA251DE" w14:textId="77777777" w:rsidR="003C66EB" w:rsidRDefault="003C66EB">
            <w:pPr>
              <w:rPr>
                <w:rFonts w:ascii="宋体"/>
                <w:vanish/>
              </w:rPr>
            </w:pPr>
          </w:p>
        </w:tc>
        <w:tc>
          <w:tcPr>
            <w:tcW w:w="0" w:type="auto"/>
            <w:gridSpan w:val="3"/>
            <w:shd w:val="clear" w:color="auto" w:fill="auto"/>
          </w:tcPr>
          <w:p w14:paraId="5EA251DF" w14:textId="77777777" w:rsidR="003C66EB" w:rsidRDefault="003C66EB">
            <w:pPr>
              <w:rPr>
                <w:rFonts w:ascii="宋体"/>
                <w:vanish/>
              </w:rPr>
            </w:pPr>
          </w:p>
        </w:tc>
        <w:tc>
          <w:tcPr>
            <w:tcW w:w="0" w:type="auto"/>
            <w:gridSpan w:val="3"/>
            <w:shd w:val="clear" w:color="auto" w:fill="auto"/>
          </w:tcPr>
          <w:p w14:paraId="5EA251E0" w14:textId="77777777" w:rsidR="003C66EB" w:rsidRDefault="003C66EB">
            <w:pPr>
              <w:rPr>
                <w:rFonts w:ascii="宋体"/>
                <w:vanish/>
              </w:rPr>
            </w:pPr>
          </w:p>
        </w:tc>
        <w:tc>
          <w:tcPr>
            <w:tcW w:w="0" w:type="auto"/>
            <w:gridSpan w:val="3"/>
            <w:shd w:val="clear" w:color="auto" w:fill="auto"/>
          </w:tcPr>
          <w:p w14:paraId="5EA251E1" w14:textId="77777777" w:rsidR="003C66EB" w:rsidRDefault="003C66EB">
            <w:pPr>
              <w:rPr>
                <w:rFonts w:ascii="宋体"/>
                <w:vanish/>
              </w:rPr>
            </w:pPr>
          </w:p>
        </w:tc>
        <w:tc>
          <w:tcPr>
            <w:tcW w:w="0" w:type="auto"/>
            <w:gridSpan w:val="3"/>
            <w:shd w:val="clear" w:color="auto" w:fill="auto"/>
          </w:tcPr>
          <w:p w14:paraId="5EA251E2" w14:textId="77777777" w:rsidR="003C66EB" w:rsidRDefault="003C66EB">
            <w:pPr>
              <w:rPr>
                <w:rFonts w:ascii="宋体"/>
                <w:vanish/>
              </w:rPr>
            </w:pPr>
          </w:p>
        </w:tc>
        <w:tc>
          <w:tcPr>
            <w:tcW w:w="0" w:type="auto"/>
            <w:gridSpan w:val="3"/>
            <w:shd w:val="clear" w:color="auto" w:fill="auto"/>
          </w:tcPr>
          <w:p w14:paraId="5EA251E3" w14:textId="77777777" w:rsidR="003C66EB" w:rsidRDefault="003C66EB">
            <w:pPr>
              <w:rPr>
                <w:rFonts w:ascii="宋体"/>
                <w:vanish/>
              </w:rPr>
            </w:pPr>
          </w:p>
        </w:tc>
        <w:tc>
          <w:tcPr>
            <w:tcW w:w="0" w:type="auto"/>
            <w:gridSpan w:val="3"/>
            <w:shd w:val="clear" w:color="auto" w:fill="auto"/>
          </w:tcPr>
          <w:p w14:paraId="5EA251E4" w14:textId="77777777" w:rsidR="003C66EB" w:rsidRDefault="003C66EB">
            <w:pPr>
              <w:rPr>
                <w:rFonts w:ascii="宋体"/>
                <w:vanish/>
              </w:rPr>
            </w:pPr>
          </w:p>
        </w:tc>
        <w:tc>
          <w:tcPr>
            <w:tcW w:w="0" w:type="auto"/>
            <w:gridSpan w:val="3"/>
            <w:shd w:val="clear" w:color="auto" w:fill="auto"/>
          </w:tcPr>
          <w:p w14:paraId="5EA251E5" w14:textId="77777777" w:rsidR="003C66EB" w:rsidRDefault="003C66EB">
            <w:pPr>
              <w:rPr>
                <w:rFonts w:ascii="宋体"/>
                <w:vanish/>
              </w:rPr>
            </w:pPr>
          </w:p>
        </w:tc>
        <w:tc>
          <w:tcPr>
            <w:tcW w:w="0" w:type="auto"/>
            <w:gridSpan w:val="3"/>
            <w:shd w:val="clear" w:color="auto" w:fill="auto"/>
          </w:tcPr>
          <w:p w14:paraId="5EA251E6" w14:textId="77777777" w:rsidR="003C66EB" w:rsidRDefault="003C66EB">
            <w:pPr>
              <w:rPr>
                <w:rFonts w:ascii="宋体"/>
                <w:vanish/>
              </w:rPr>
            </w:pPr>
          </w:p>
        </w:tc>
        <w:tc>
          <w:tcPr>
            <w:tcW w:w="0" w:type="auto"/>
            <w:gridSpan w:val="3"/>
            <w:shd w:val="clear" w:color="auto" w:fill="auto"/>
          </w:tcPr>
          <w:p w14:paraId="5EA251E7" w14:textId="77777777" w:rsidR="003C66EB" w:rsidRDefault="003C66EB">
            <w:pPr>
              <w:rPr>
                <w:rFonts w:ascii="宋体"/>
                <w:vanish/>
              </w:rPr>
            </w:pPr>
          </w:p>
        </w:tc>
        <w:tc>
          <w:tcPr>
            <w:tcW w:w="0" w:type="auto"/>
            <w:shd w:val="clear" w:color="auto" w:fill="auto"/>
          </w:tcPr>
          <w:p w14:paraId="5EA251E8" w14:textId="77777777" w:rsidR="003C66EB" w:rsidRDefault="003C66EB">
            <w:pPr>
              <w:rPr>
                <w:rFonts w:ascii="宋体"/>
                <w:vanish/>
              </w:rPr>
            </w:pPr>
          </w:p>
        </w:tc>
        <w:tc>
          <w:tcPr>
            <w:tcW w:w="0" w:type="auto"/>
            <w:shd w:val="clear" w:color="auto" w:fill="auto"/>
          </w:tcPr>
          <w:p w14:paraId="5EA251E9" w14:textId="77777777" w:rsidR="003C66EB" w:rsidRDefault="003C66EB">
            <w:pPr>
              <w:rPr>
                <w:rFonts w:ascii="宋体"/>
                <w:vanish/>
              </w:rPr>
            </w:pPr>
          </w:p>
        </w:tc>
        <w:tc>
          <w:tcPr>
            <w:tcW w:w="0" w:type="auto"/>
            <w:gridSpan w:val="3"/>
            <w:shd w:val="clear" w:color="auto" w:fill="auto"/>
          </w:tcPr>
          <w:p w14:paraId="5EA251EA" w14:textId="77777777" w:rsidR="003C66EB" w:rsidRDefault="003C66EB">
            <w:pPr>
              <w:rPr>
                <w:rFonts w:ascii="宋体"/>
                <w:vanish/>
              </w:rPr>
            </w:pPr>
          </w:p>
        </w:tc>
        <w:tc>
          <w:tcPr>
            <w:tcW w:w="0" w:type="auto"/>
            <w:gridSpan w:val="3"/>
            <w:shd w:val="clear" w:color="auto" w:fill="auto"/>
          </w:tcPr>
          <w:p w14:paraId="5EA251EB" w14:textId="77777777" w:rsidR="003C66EB" w:rsidRDefault="003C66EB">
            <w:pPr>
              <w:rPr>
                <w:rFonts w:ascii="宋体"/>
                <w:vanish/>
              </w:rPr>
            </w:pPr>
          </w:p>
        </w:tc>
        <w:tc>
          <w:tcPr>
            <w:tcW w:w="0" w:type="auto"/>
            <w:gridSpan w:val="3"/>
            <w:shd w:val="clear" w:color="auto" w:fill="auto"/>
          </w:tcPr>
          <w:p w14:paraId="5EA251EC" w14:textId="77777777" w:rsidR="003C66EB" w:rsidRDefault="003C66EB">
            <w:pPr>
              <w:rPr>
                <w:rFonts w:ascii="宋体"/>
                <w:vanish/>
              </w:rPr>
            </w:pPr>
          </w:p>
        </w:tc>
        <w:tc>
          <w:tcPr>
            <w:tcW w:w="0" w:type="auto"/>
            <w:gridSpan w:val="3"/>
            <w:shd w:val="clear" w:color="auto" w:fill="auto"/>
          </w:tcPr>
          <w:p w14:paraId="5EA251ED" w14:textId="77777777" w:rsidR="003C66EB" w:rsidRDefault="003C66EB">
            <w:pPr>
              <w:rPr>
                <w:rFonts w:ascii="宋体"/>
                <w:vanish/>
              </w:rPr>
            </w:pPr>
          </w:p>
        </w:tc>
        <w:tc>
          <w:tcPr>
            <w:tcW w:w="0" w:type="auto"/>
            <w:gridSpan w:val="3"/>
            <w:shd w:val="clear" w:color="auto" w:fill="auto"/>
          </w:tcPr>
          <w:p w14:paraId="5EA251EE" w14:textId="77777777" w:rsidR="003C66EB" w:rsidRDefault="003C66EB">
            <w:pPr>
              <w:rPr>
                <w:rFonts w:ascii="宋体"/>
                <w:vanish/>
              </w:rPr>
            </w:pPr>
          </w:p>
        </w:tc>
      </w:tr>
      <w:tr w:rsidR="003C66EB" w14:paraId="5EA25202" w14:textId="77777777">
        <w:trPr>
          <w:hidden/>
        </w:trPr>
        <w:tc>
          <w:tcPr>
            <w:tcW w:w="0" w:type="auto"/>
            <w:gridSpan w:val="3"/>
            <w:shd w:val="clear" w:color="auto" w:fill="auto"/>
          </w:tcPr>
          <w:p w14:paraId="5EA251F0" w14:textId="77777777" w:rsidR="003C66EB" w:rsidRDefault="003C66EB">
            <w:pPr>
              <w:rPr>
                <w:rFonts w:ascii="宋体"/>
                <w:vanish/>
              </w:rPr>
            </w:pPr>
          </w:p>
        </w:tc>
        <w:tc>
          <w:tcPr>
            <w:tcW w:w="0" w:type="auto"/>
            <w:gridSpan w:val="3"/>
            <w:shd w:val="clear" w:color="auto" w:fill="auto"/>
          </w:tcPr>
          <w:p w14:paraId="5EA251F1" w14:textId="77777777" w:rsidR="003C66EB" w:rsidRDefault="003C66EB">
            <w:pPr>
              <w:rPr>
                <w:rFonts w:ascii="宋体"/>
                <w:vanish/>
              </w:rPr>
            </w:pPr>
          </w:p>
        </w:tc>
        <w:tc>
          <w:tcPr>
            <w:tcW w:w="0" w:type="auto"/>
            <w:gridSpan w:val="3"/>
            <w:shd w:val="clear" w:color="auto" w:fill="auto"/>
          </w:tcPr>
          <w:p w14:paraId="5EA251F2" w14:textId="77777777" w:rsidR="003C66EB" w:rsidRDefault="003C66EB">
            <w:pPr>
              <w:rPr>
                <w:rFonts w:ascii="宋体"/>
                <w:vanish/>
              </w:rPr>
            </w:pPr>
          </w:p>
        </w:tc>
        <w:tc>
          <w:tcPr>
            <w:tcW w:w="0" w:type="auto"/>
            <w:gridSpan w:val="3"/>
            <w:shd w:val="clear" w:color="auto" w:fill="auto"/>
          </w:tcPr>
          <w:p w14:paraId="5EA251F3" w14:textId="77777777" w:rsidR="003C66EB" w:rsidRDefault="003C66EB">
            <w:pPr>
              <w:rPr>
                <w:rFonts w:ascii="宋体"/>
                <w:vanish/>
              </w:rPr>
            </w:pPr>
          </w:p>
        </w:tc>
        <w:tc>
          <w:tcPr>
            <w:tcW w:w="0" w:type="auto"/>
            <w:gridSpan w:val="3"/>
            <w:shd w:val="clear" w:color="auto" w:fill="auto"/>
          </w:tcPr>
          <w:p w14:paraId="5EA251F4" w14:textId="77777777" w:rsidR="003C66EB" w:rsidRDefault="003C66EB">
            <w:pPr>
              <w:rPr>
                <w:rFonts w:ascii="宋体"/>
                <w:vanish/>
              </w:rPr>
            </w:pPr>
          </w:p>
        </w:tc>
        <w:tc>
          <w:tcPr>
            <w:tcW w:w="0" w:type="auto"/>
            <w:gridSpan w:val="3"/>
            <w:shd w:val="clear" w:color="auto" w:fill="auto"/>
          </w:tcPr>
          <w:p w14:paraId="5EA251F5" w14:textId="77777777" w:rsidR="003C66EB" w:rsidRDefault="003C66EB">
            <w:pPr>
              <w:rPr>
                <w:rFonts w:ascii="宋体"/>
                <w:vanish/>
              </w:rPr>
            </w:pPr>
          </w:p>
        </w:tc>
        <w:tc>
          <w:tcPr>
            <w:tcW w:w="0" w:type="auto"/>
            <w:gridSpan w:val="3"/>
            <w:shd w:val="clear" w:color="auto" w:fill="auto"/>
          </w:tcPr>
          <w:p w14:paraId="5EA251F6" w14:textId="77777777" w:rsidR="003C66EB" w:rsidRDefault="003C66EB">
            <w:pPr>
              <w:rPr>
                <w:rFonts w:ascii="宋体"/>
                <w:vanish/>
              </w:rPr>
            </w:pPr>
          </w:p>
        </w:tc>
        <w:tc>
          <w:tcPr>
            <w:tcW w:w="0" w:type="auto"/>
            <w:gridSpan w:val="3"/>
            <w:shd w:val="clear" w:color="auto" w:fill="auto"/>
          </w:tcPr>
          <w:p w14:paraId="5EA251F7" w14:textId="77777777" w:rsidR="003C66EB" w:rsidRDefault="003C66EB">
            <w:pPr>
              <w:rPr>
                <w:rFonts w:ascii="宋体"/>
                <w:vanish/>
              </w:rPr>
            </w:pPr>
          </w:p>
        </w:tc>
        <w:tc>
          <w:tcPr>
            <w:tcW w:w="0" w:type="auto"/>
            <w:gridSpan w:val="3"/>
            <w:shd w:val="clear" w:color="auto" w:fill="auto"/>
          </w:tcPr>
          <w:p w14:paraId="5EA251F8" w14:textId="77777777" w:rsidR="003C66EB" w:rsidRDefault="003C66EB">
            <w:pPr>
              <w:rPr>
                <w:rFonts w:ascii="宋体"/>
                <w:vanish/>
              </w:rPr>
            </w:pPr>
          </w:p>
        </w:tc>
        <w:tc>
          <w:tcPr>
            <w:tcW w:w="0" w:type="auto"/>
            <w:gridSpan w:val="3"/>
            <w:shd w:val="clear" w:color="auto" w:fill="auto"/>
          </w:tcPr>
          <w:p w14:paraId="5EA251F9" w14:textId="77777777" w:rsidR="003C66EB" w:rsidRDefault="003C66EB">
            <w:pPr>
              <w:rPr>
                <w:rFonts w:ascii="宋体"/>
                <w:vanish/>
              </w:rPr>
            </w:pPr>
          </w:p>
        </w:tc>
        <w:tc>
          <w:tcPr>
            <w:tcW w:w="0" w:type="auto"/>
            <w:gridSpan w:val="3"/>
            <w:shd w:val="clear" w:color="auto" w:fill="auto"/>
          </w:tcPr>
          <w:p w14:paraId="5EA251FA" w14:textId="77777777" w:rsidR="003C66EB" w:rsidRDefault="003C66EB">
            <w:pPr>
              <w:rPr>
                <w:rFonts w:ascii="宋体"/>
                <w:vanish/>
              </w:rPr>
            </w:pPr>
          </w:p>
        </w:tc>
        <w:tc>
          <w:tcPr>
            <w:tcW w:w="0" w:type="auto"/>
            <w:shd w:val="clear" w:color="auto" w:fill="auto"/>
          </w:tcPr>
          <w:p w14:paraId="5EA251FB" w14:textId="77777777" w:rsidR="003C66EB" w:rsidRDefault="003C66EB">
            <w:pPr>
              <w:rPr>
                <w:rFonts w:ascii="宋体"/>
                <w:vanish/>
              </w:rPr>
            </w:pPr>
          </w:p>
        </w:tc>
        <w:tc>
          <w:tcPr>
            <w:tcW w:w="0" w:type="auto"/>
            <w:shd w:val="clear" w:color="auto" w:fill="auto"/>
          </w:tcPr>
          <w:p w14:paraId="5EA251FC" w14:textId="77777777" w:rsidR="003C66EB" w:rsidRDefault="003C66EB">
            <w:pPr>
              <w:rPr>
                <w:rFonts w:ascii="宋体"/>
                <w:vanish/>
              </w:rPr>
            </w:pPr>
          </w:p>
        </w:tc>
        <w:tc>
          <w:tcPr>
            <w:tcW w:w="0" w:type="auto"/>
            <w:gridSpan w:val="3"/>
            <w:shd w:val="clear" w:color="auto" w:fill="auto"/>
          </w:tcPr>
          <w:p w14:paraId="5EA251FD" w14:textId="77777777" w:rsidR="003C66EB" w:rsidRDefault="003C66EB">
            <w:pPr>
              <w:rPr>
                <w:rFonts w:ascii="宋体"/>
                <w:vanish/>
              </w:rPr>
            </w:pPr>
          </w:p>
        </w:tc>
        <w:tc>
          <w:tcPr>
            <w:tcW w:w="0" w:type="auto"/>
            <w:gridSpan w:val="3"/>
            <w:shd w:val="clear" w:color="auto" w:fill="auto"/>
          </w:tcPr>
          <w:p w14:paraId="5EA251FE" w14:textId="77777777" w:rsidR="003C66EB" w:rsidRDefault="003C66EB">
            <w:pPr>
              <w:rPr>
                <w:rFonts w:ascii="宋体"/>
                <w:vanish/>
              </w:rPr>
            </w:pPr>
          </w:p>
        </w:tc>
        <w:tc>
          <w:tcPr>
            <w:tcW w:w="0" w:type="auto"/>
            <w:gridSpan w:val="3"/>
            <w:shd w:val="clear" w:color="auto" w:fill="auto"/>
          </w:tcPr>
          <w:p w14:paraId="5EA251FF" w14:textId="77777777" w:rsidR="003C66EB" w:rsidRDefault="003C66EB">
            <w:pPr>
              <w:rPr>
                <w:rFonts w:ascii="宋体"/>
                <w:vanish/>
              </w:rPr>
            </w:pPr>
          </w:p>
        </w:tc>
        <w:tc>
          <w:tcPr>
            <w:tcW w:w="0" w:type="auto"/>
            <w:gridSpan w:val="3"/>
            <w:shd w:val="clear" w:color="auto" w:fill="auto"/>
          </w:tcPr>
          <w:p w14:paraId="5EA25200" w14:textId="77777777" w:rsidR="003C66EB" w:rsidRDefault="003C66EB">
            <w:pPr>
              <w:rPr>
                <w:rFonts w:ascii="宋体"/>
                <w:vanish/>
              </w:rPr>
            </w:pPr>
          </w:p>
        </w:tc>
        <w:tc>
          <w:tcPr>
            <w:tcW w:w="0" w:type="auto"/>
            <w:gridSpan w:val="3"/>
            <w:shd w:val="clear" w:color="auto" w:fill="auto"/>
          </w:tcPr>
          <w:p w14:paraId="5EA25201" w14:textId="77777777" w:rsidR="003C66EB" w:rsidRDefault="003C66EB">
            <w:pPr>
              <w:rPr>
                <w:rFonts w:ascii="宋体"/>
                <w:vanish/>
              </w:rPr>
            </w:pPr>
          </w:p>
        </w:tc>
      </w:tr>
      <w:tr w:rsidR="003C66EB" w14:paraId="5EA25215" w14:textId="77777777">
        <w:trPr>
          <w:hidden/>
        </w:trPr>
        <w:tc>
          <w:tcPr>
            <w:tcW w:w="0" w:type="auto"/>
            <w:gridSpan w:val="3"/>
            <w:shd w:val="clear" w:color="auto" w:fill="auto"/>
          </w:tcPr>
          <w:p w14:paraId="5EA25203" w14:textId="77777777" w:rsidR="003C66EB" w:rsidRDefault="003C66EB">
            <w:pPr>
              <w:rPr>
                <w:rFonts w:ascii="宋体"/>
                <w:vanish/>
              </w:rPr>
            </w:pPr>
          </w:p>
        </w:tc>
        <w:tc>
          <w:tcPr>
            <w:tcW w:w="0" w:type="auto"/>
            <w:gridSpan w:val="3"/>
            <w:shd w:val="clear" w:color="auto" w:fill="auto"/>
          </w:tcPr>
          <w:p w14:paraId="5EA25204" w14:textId="77777777" w:rsidR="003C66EB" w:rsidRDefault="003C66EB">
            <w:pPr>
              <w:rPr>
                <w:rFonts w:ascii="宋体"/>
                <w:vanish/>
              </w:rPr>
            </w:pPr>
          </w:p>
        </w:tc>
        <w:tc>
          <w:tcPr>
            <w:tcW w:w="0" w:type="auto"/>
            <w:gridSpan w:val="3"/>
            <w:shd w:val="clear" w:color="auto" w:fill="auto"/>
          </w:tcPr>
          <w:p w14:paraId="5EA25205" w14:textId="77777777" w:rsidR="003C66EB" w:rsidRDefault="003C66EB">
            <w:pPr>
              <w:rPr>
                <w:rFonts w:ascii="宋体"/>
                <w:vanish/>
              </w:rPr>
            </w:pPr>
          </w:p>
        </w:tc>
        <w:tc>
          <w:tcPr>
            <w:tcW w:w="0" w:type="auto"/>
            <w:gridSpan w:val="3"/>
            <w:shd w:val="clear" w:color="auto" w:fill="auto"/>
          </w:tcPr>
          <w:p w14:paraId="5EA25206" w14:textId="77777777" w:rsidR="003C66EB" w:rsidRDefault="003C66EB">
            <w:pPr>
              <w:rPr>
                <w:rFonts w:ascii="宋体"/>
                <w:vanish/>
              </w:rPr>
            </w:pPr>
          </w:p>
        </w:tc>
        <w:tc>
          <w:tcPr>
            <w:tcW w:w="0" w:type="auto"/>
            <w:gridSpan w:val="3"/>
            <w:shd w:val="clear" w:color="auto" w:fill="auto"/>
          </w:tcPr>
          <w:p w14:paraId="5EA25207" w14:textId="77777777" w:rsidR="003C66EB" w:rsidRDefault="003C66EB">
            <w:pPr>
              <w:rPr>
                <w:rFonts w:ascii="宋体"/>
                <w:vanish/>
              </w:rPr>
            </w:pPr>
          </w:p>
        </w:tc>
        <w:tc>
          <w:tcPr>
            <w:tcW w:w="0" w:type="auto"/>
            <w:gridSpan w:val="3"/>
            <w:shd w:val="clear" w:color="auto" w:fill="auto"/>
          </w:tcPr>
          <w:p w14:paraId="5EA25208" w14:textId="77777777" w:rsidR="003C66EB" w:rsidRDefault="003C66EB">
            <w:pPr>
              <w:rPr>
                <w:rFonts w:ascii="宋体"/>
                <w:vanish/>
              </w:rPr>
            </w:pPr>
          </w:p>
        </w:tc>
        <w:tc>
          <w:tcPr>
            <w:tcW w:w="0" w:type="auto"/>
            <w:gridSpan w:val="3"/>
            <w:shd w:val="clear" w:color="auto" w:fill="auto"/>
          </w:tcPr>
          <w:p w14:paraId="5EA25209" w14:textId="77777777" w:rsidR="003C66EB" w:rsidRDefault="003C66EB">
            <w:pPr>
              <w:rPr>
                <w:rFonts w:ascii="宋体"/>
                <w:vanish/>
              </w:rPr>
            </w:pPr>
          </w:p>
        </w:tc>
        <w:tc>
          <w:tcPr>
            <w:tcW w:w="0" w:type="auto"/>
            <w:gridSpan w:val="3"/>
            <w:shd w:val="clear" w:color="auto" w:fill="auto"/>
          </w:tcPr>
          <w:p w14:paraId="5EA2520A" w14:textId="77777777" w:rsidR="003C66EB" w:rsidRDefault="003C66EB">
            <w:pPr>
              <w:rPr>
                <w:rFonts w:ascii="宋体"/>
                <w:vanish/>
              </w:rPr>
            </w:pPr>
          </w:p>
        </w:tc>
        <w:tc>
          <w:tcPr>
            <w:tcW w:w="0" w:type="auto"/>
            <w:gridSpan w:val="3"/>
            <w:shd w:val="clear" w:color="auto" w:fill="auto"/>
          </w:tcPr>
          <w:p w14:paraId="5EA2520B" w14:textId="77777777" w:rsidR="003C66EB" w:rsidRDefault="003C66EB">
            <w:pPr>
              <w:rPr>
                <w:rFonts w:ascii="宋体"/>
                <w:vanish/>
              </w:rPr>
            </w:pPr>
          </w:p>
        </w:tc>
        <w:tc>
          <w:tcPr>
            <w:tcW w:w="0" w:type="auto"/>
            <w:gridSpan w:val="3"/>
            <w:shd w:val="clear" w:color="auto" w:fill="auto"/>
          </w:tcPr>
          <w:p w14:paraId="5EA2520C" w14:textId="77777777" w:rsidR="003C66EB" w:rsidRDefault="003C66EB">
            <w:pPr>
              <w:rPr>
                <w:rFonts w:ascii="宋体"/>
                <w:vanish/>
              </w:rPr>
            </w:pPr>
          </w:p>
        </w:tc>
        <w:tc>
          <w:tcPr>
            <w:tcW w:w="0" w:type="auto"/>
            <w:gridSpan w:val="3"/>
            <w:shd w:val="clear" w:color="auto" w:fill="auto"/>
          </w:tcPr>
          <w:p w14:paraId="5EA2520D" w14:textId="77777777" w:rsidR="003C66EB" w:rsidRDefault="003C66EB">
            <w:pPr>
              <w:rPr>
                <w:rFonts w:ascii="宋体"/>
                <w:vanish/>
              </w:rPr>
            </w:pPr>
          </w:p>
        </w:tc>
        <w:tc>
          <w:tcPr>
            <w:tcW w:w="0" w:type="auto"/>
            <w:shd w:val="clear" w:color="auto" w:fill="auto"/>
          </w:tcPr>
          <w:p w14:paraId="5EA2520E" w14:textId="77777777" w:rsidR="003C66EB" w:rsidRDefault="003C66EB">
            <w:pPr>
              <w:rPr>
                <w:rFonts w:ascii="宋体"/>
                <w:vanish/>
              </w:rPr>
            </w:pPr>
          </w:p>
        </w:tc>
        <w:tc>
          <w:tcPr>
            <w:tcW w:w="0" w:type="auto"/>
            <w:shd w:val="clear" w:color="auto" w:fill="auto"/>
          </w:tcPr>
          <w:p w14:paraId="5EA2520F" w14:textId="77777777" w:rsidR="003C66EB" w:rsidRDefault="003C66EB">
            <w:pPr>
              <w:rPr>
                <w:rFonts w:ascii="宋体"/>
                <w:vanish/>
              </w:rPr>
            </w:pPr>
          </w:p>
        </w:tc>
        <w:tc>
          <w:tcPr>
            <w:tcW w:w="0" w:type="auto"/>
            <w:gridSpan w:val="3"/>
            <w:shd w:val="clear" w:color="auto" w:fill="auto"/>
          </w:tcPr>
          <w:p w14:paraId="5EA25210" w14:textId="77777777" w:rsidR="003C66EB" w:rsidRDefault="003C66EB">
            <w:pPr>
              <w:rPr>
                <w:rFonts w:ascii="宋体"/>
                <w:vanish/>
              </w:rPr>
            </w:pPr>
          </w:p>
        </w:tc>
        <w:tc>
          <w:tcPr>
            <w:tcW w:w="0" w:type="auto"/>
            <w:gridSpan w:val="3"/>
            <w:shd w:val="clear" w:color="auto" w:fill="auto"/>
          </w:tcPr>
          <w:p w14:paraId="5EA25211" w14:textId="77777777" w:rsidR="003C66EB" w:rsidRDefault="003C66EB">
            <w:pPr>
              <w:rPr>
                <w:rFonts w:ascii="宋体"/>
                <w:vanish/>
              </w:rPr>
            </w:pPr>
          </w:p>
        </w:tc>
        <w:tc>
          <w:tcPr>
            <w:tcW w:w="0" w:type="auto"/>
            <w:gridSpan w:val="3"/>
            <w:shd w:val="clear" w:color="auto" w:fill="auto"/>
          </w:tcPr>
          <w:p w14:paraId="5EA25212" w14:textId="77777777" w:rsidR="003C66EB" w:rsidRDefault="003C66EB">
            <w:pPr>
              <w:rPr>
                <w:rFonts w:ascii="宋体"/>
                <w:vanish/>
              </w:rPr>
            </w:pPr>
          </w:p>
        </w:tc>
        <w:tc>
          <w:tcPr>
            <w:tcW w:w="0" w:type="auto"/>
            <w:gridSpan w:val="3"/>
            <w:shd w:val="clear" w:color="auto" w:fill="auto"/>
          </w:tcPr>
          <w:p w14:paraId="5EA25213" w14:textId="77777777" w:rsidR="003C66EB" w:rsidRDefault="003C66EB">
            <w:pPr>
              <w:rPr>
                <w:rFonts w:ascii="宋体"/>
                <w:vanish/>
              </w:rPr>
            </w:pPr>
          </w:p>
        </w:tc>
        <w:tc>
          <w:tcPr>
            <w:tcW w:w="0" w:type="auto"/>
            <w:gridSpan w:val="3"/>
            <w:shd w:val="clear" w:color="auto" w:fill="auto"/>
          </w:tcPr>
          <w:p w14:paraId="5EA25214" w14:textId="77777777" w:rsidR="003C66EB" w:rsidRDefault="003C66EB">
            <w:pPr>
              <w:rPr>
                <w:rFonts w:ascii="宋体"/>
                <w:vanish/>
              </w:rPr>
            </w:pPr>
          </w:p>
        </w:tc>
      </w:tr>
      <w:tr w:rsidR="003C66EB" w14:paraId="5EA25228" w14:textId="77777777">
        <w:trPr>
          <w:hidden/>
        </w:trPr>
        <w:tc>
          <w:tcPr>
            <w:tcW w:w="0" w:type="auto"/>
            <w:gridSpan w:val="3"/>
            <w:shd w:val="clear" w:color="auto" w:fill="auto"/>
          </w:tcPr>
          <w:p w14:paraId="5EA25216" w14:textId="77777777" w:rsidR="003C66EB" w:rsidRDefault="003C66EB">
            <w:pPr>
              <w:rPr>
                <w:rFonts w:ascii="宋体"/>
                <w:vanish/>
              </w:rPr>
            </w:pPr>
          </w:p>
        </w:tc>
        <w:tc>
          <w:tcPr>
            <w:tcW w:w="0" w:type="auto"/>
            <w:gridSpan w:val="3"/>
            <w:shd w:val="clear" w:color="auto" w:fill="auto"/>
          </w:tcPr>
          <w:p w14:paraId="5EA25217" w14:textId="77777777" w:rsidR="003C66EB" w:rsidRDefault="003C66EB">
            <w:pPr>
              <w:rPr>
                <w:rFonts w:ascii="宋体"/>
                <w:vanish/>
              </w:rPr>
            </w:pPr>
          </w:p>
        </w:tc>
        <w:tc>
          <w:tcPr>
            <w:tcW w:w="0" w:type="auto"/>
            <w:gridSpan w:val="3"/>
            <w:shd w:val="clear" w:color="auto" w:fill="auto"/>
          </w:tcPr>
          <w:p w14:paraId="5EA25218" w14:textId="77777777" w:rsidR="003C66EB" w:rsidRDefault="003C66EB">
            <w:pPr>
              <w:rPr>
                <w:rFonts w:ascii="宋体"/>
                <w:vanish/>
              </w:rPr>
            </w:pPr>
          </w:p>
        </w:tc>
        <w:tc>
          <w:tcPr>
            <w:tcW w:w="0" w:type="auto"/>
            <w:gridSpan w:val="3"/>
            <w:shd w:val="clear" w:color="auto" w:fill="auto"/>
          </w:tcPr>
          <w:p w14:paraId="5EA25219" w14:textId="77777777" w:rsidR="003C66EB" w:rsidRDefault="003C66EB">
            <w:pPr>
              <w:rPr>
                <w:rFonts w:ascii="宋体"/>
                <w:vanish/>
              </w:rPr>
            </w:pPr>
          </w:p>
        </w:tc>
        <w:tc>
          <w:tcPr>
            <w:tcW w:w="0" w:type="auto"/>
            <w:gridSpan w:val="3"/>
            <w:shd w:val="clear" w:color="auto" w:fill="auto"/>
          </w:tcPr>
          <w:p w14:paraId="5EA2521A" w14:textId="77777777" w:rsidR="003C66EB" w:rsidRDefault="003C66EB">
            <w:pPr>
              <w:rPr>
                <w:rFonts w:ascii="宋体"/>
                <w:vanish/>
              </w:rPr>
            </w:pPr>
          </w:p>
        </w:tc>
        <w:tc>
          <w:tcPr>
            <w:tcW w:w="0" w:type="auto"/>
            <w:gridSpan w:val="3"/>
            <w:shd w:val="clear" w:color="auto" w:fill="auto"/>
          </w:tcPr>
          <w:p w14:paraId="5EA2521B" w14:textId="77777777" w:rsidR="003C66EB" w:rsidRDefault="003C66EB">
            <w:pPr>
              <w:rPr>
                <w:rFonts w:ascii="宋体"/>
                <w:vanish/>
              </w:rPr>
            </w:pPr>
          </w:p>
        </w:tc>
        <w:tc>
          <w:tcPr>
            <w:tcW w:w="0" w:type="auto"/>
            <w:gridSpan w:val="3"/>
            <w:shd w:val="clear" w:color="auto" w:fill="auto"/>
          </w:tcPr>
          <w:p w14:paraId="5EA2521C" w14:textId="77777777" w:rsidR="003C66EB" w:rsidRDefault="003C66EB">
            <w:pPr>
              <w:rPr>
                <w:rFonts w:ascii="宋体"/>
                <w:vanish/>
              </w:rPr>
            </w:pPr>
          </w:p>
        </w:tc>
        <w:tc>
          <w:tcPr>
            <w:tcW w:w="0" w:type="auto"/>
            <w:gridSpan w:val="3"/>
            <w:shd w:val="clear" w:color="auto" w:fill="auto"/>
          </w:tcPr>
          <w:p w14:paraId="5EA2521D" w14:textId="77777777" w:rsidR="003C66EB" w:rsidRDefault="003C66EB">
            <w:pPr>
              <w:rPr>
                <w:rFonts w:ascii="宋体"/>
                <w:vanish/>
              </w:rPr>
            </w:pPr>
          </w:p>
        </w:tc>
        <w:tc>
          <w:tcPr>
            <w:tcW w:w="0" w:type="auto"/>
            <w:gridSpan w:val="3"/>
            <w:shd w:val="clear" w:color="auto" w:fill="auto"/>
          </w:tcPr>
          <w:p w14:paraId="5EA2521E" w14:textId="77777777" w:rsidR="003C66EB" w:rsidRDefault="003C66EB">
            <w:pPr>
              <w:rPr>
                <w:rFonts w:ascii="宋体"/>
                <w:vanish/>
              </w:rPr>
            </w:pPr>
          </w:p>
        </w:tc>
        <w:tc>
          <w:tcPr>
            <w:tcW w:w="0" w:type="auto"/>
            <w:gridSpan w:val="3"/>
            <w:shd w:val="clear" w:color="auto" w:fill="auto"/>
          </w:tcPr>
          <w:p w14:paraId="5EA2521F" w14:textId="77777777" w:rsidR="003C66EB" w:rsidRDefault="003C66EB">
            <w:pPr>
              <w:rPr>
                <w:rFonts w:ascii="宋体"/>
                <w:vanish/>
              </w:rPr>
            </w:pPr>
          </w:p>
        </w:tc>
        <w:tc>
          <w:tcPr>
            <w:tcW w:w="0" w:type="auto"/>
            <w:gridSpan w:val="3"/>
            <w:shd w:val="clear" w:color="auto" w:fill="auto"/>
          </w:tcPr>
          <w:p w14:paraId="5EA25220" w14:textId="77777777" w:rsidR="003C66EB" w:rsidRDefault="003C66EB">
            <w:pPr>
              <w:rPr>
                <w:rFonts w:ascii="宋体"/>
                <w:vanish/>
              </w:rPr>
            </w:pPr>
          </w:p>
        </w:tc>
        <w:tc>
          <w:tcPr>
            <w:tcW w:w="0" w:type="auto"/>
            <w:shd w:val="clear" w:color="auto" w:fill="auto"/>
          </w:tcPr>
          <w:p w14:paraId="5EA25221" w14:textId="77777777" w:rsidR="003C66EB" w:rsidRDefault="003C66EB">
            <w:pPr>
              <w:rPr>
                <w:rFonts w:ascii="宋体"/>
                <w:vanish/>
              </w:rPr>
            </w:pPr>
          </w:p>
        </w:tc>
        <w:tc>
          <w:tcPr>
            <w:tcW w:w="0" w:type="auto"/>
            <w:shd w:val="clear" w:color="auto" w:fill="auto"/>
          </w:tcPr>
          <w:p w14:paraId="5EA25222" w14:textId="77777777" w:rsidR="003C66EB" w:rsidRDefault="003C66EB">
            <w:pPr>
              <w:rPr>
                <w:rFonts w:ascii="宋体"/>
                <w:vanish/>
              </w:rPr>
            </w:pPr>
          </w:p>
        </w:tc>
        <w:tc>
          <w:tcPr>
            <w:tcW w:w="0" w:type="auto"/>
            <w:gridSpan w:val="3"/>
            <w:shd w:val="clear" w:color="auto" w:fill="auto"/>
          </w:tcPr>
          <w:p w14:paraId="5EA25223" w14:textId="77777777" w:rsidR="003C66EB" w:rsidRDefault="003C66EB">
            <w:pPr>
              <w:rPr>
                <w:rFonts w:ascii="宋体"/>
                <w:vanish/>
              </w:rPr>
            </w:pPr>
          </w:p>
        </w:tc>
        <w:tc>
          <w:tcPr>
            <w:tcW w:w="0" w:type="auto"/>
            <w:gridSpan w:val="3"/>
            <w:shd w:val="clear" w:color="auto" w:fill="auto"/>
          </w:tcPr>
          <w:p w14:paraId="5EA25224" w14:textId="77777777" w:rsidR="003C66EB" w:rsidRDefault="003C66EB">
            <w:pPr>
              <w:rPr>
                <w:rFonts w:ascii="宋体"/>
                <w:vanish/>
              </w:rPr>
            </w:pPr>
          </w:p>
        </w:tc>
        <w:tc>
          <w:tcPr>
            <w:tcW w:w="0" w:type="auto"/>
            <w:gridSpan w:val="3"/>
            <w:shd w:val="clear" w:color="auto" w:fill="auto"/>
          </w:tcPr>
          <w:p w14:paraId="5EA25225" w14:textId="77777777" w:rsidR="003C66EB" w:rsidRDefault="003C66EB">
            <w:pPr>
              <w:rPr>
                <w:rFonts w:ascii="宋体"/>
                <w:vanish/>
              </w:rPr>
            </w:pPr>
          </w:p>
        </w:tc>
        <w:tc>
          <w:tcPr>
            <w:tcW w:w="0" w:type="auto"/>
            <w:gridSpan w:val="3"/>
            <w:shd w:val="clear" w:color="auto" w:fill="auto"/>
          </w:tcPr>
          <w:p w14:paraId="5EA25226" w14:textId="77777777" w:rsidR="003C66EB" w:rsidRDefault="003C66EB">
            <w:pPr>
              <w:rPr>
                <w:rFonts w:ascii="宋体"/>
                <w:vanish/>
              </w:rPr>
            </w:pPr>
          </w:p>
        </w:tc>
        <w:tc>
          <w:tcPr>
            <w:tcW w:w="0" w:type="auto"/>
            <w:gridSpan w:val="3"/>
            <w:shd w:val="clear" w:color="auto" w:fill="auto"/>
          </w:tcPr>
          <w:p w14:paraId="5EA25227" w14:textId="77777777" w:rsidR="003C66EB" w:rsidRDefault="003C66EB">
            <w:pPr>
              <w:rPr>
                <w:rFonts w:ascii="宋体"/>
                <w:vanish/>
              </w:rPr>
            </w:pPr>
          </w:p>
        </w:tc>
      </w:tr>
      <w:tr w:rsidR="003C66EB" w14:paraId="5EA2523B" w14:textId="77777777">
        <w:trPr>
          <w:hidden/>
        </w:trPr>
        <w:tc>
          <w:tcPr>
            <w:tcW w:w="0" w:type="auto"/>
            <w:gridSpan w:val="3"/>
            <w:shd w:val="clear" w:color="auto" w:fill="auto"/>
          </w:tcPr>
          <w:p w14:paraId="5EA25229" w14:textId="77777777" w:rsidR="003C66EB" w:rsidRDefault="003C66EB">
            <w:pPr>
              <w:rPr>
                <w:rFonts w:ascii="宋体"/>
                <w:vanish/>
              </w:rPr>
            </w:pPr>
          </w:p>
        </w:tc>
        <w:tc>
          <w:tcPr>
            <w:tcW w:w="0" w:type="auto"/>
            <w:gridSpan w:val="3"/>
            <w:shd w:val="clear" w:color="auto" w:fill="auto"/>
          </w:tcPr>
          <w:p w14:paraId="5EA2522A" w14:textId="77777777" w:rsidR="003C66EB" w:rsidRDefault="003C66EB">
            <w:pPr>
              <w:rPr>
                <w:rFonts w:ascii="宋体"/>
                <w:vanish/>
              </w:rPr>
            </w:pPr>
          </w:p>
        </w:tc>
        <w:tc>
          <w:tcPr>
            <w:tcW w:w="0" w:type="auto"/>
            <w:gridSpan w:val="3"/>
            <w:shd w:val="clear" w:color="auto" w:fill="auto"/>
          </w:tcPr>
          <w:p w14:paraId="5EA2522B" w14:textId="77777777" w:rsidR="003C66EB" w:rsidRDefault="003C66EB">
            <w:pPr>
              <w:rPr>
                <w:rFonts w:ascii="宋体"/>
                <w:vanish/>
              </w:rPr>
            </w:pPr>
          </w:p>
        </w:tc>
        <w:tc>
          <w:tcPr>
            <w:tcW w:w="0" w:type="auto"/>
            <w:gridSpan w:val="3"/>
            <w:shd w:val="clear" w:color="auto" w:fill="auto"/>
          </w:tcPr>
          <w:p w14:paraId="5EA2522C" w14:textId="77777777" w:rsidR="003C66EB" w:rsidRDefault="003C66EB">
            <w:pPr>
              <w:rPr>
                <w:rFonts w:ascii="宋体"/>
                <w:vanish/>
              </w:rPr>
            </w:pPr>
          </w:p>
        </w:tc>
        <w:tc>
          <w:tcPr>
            <w:tcW w:w="0" w:type="auto"/>
            <w:gridSpan w:val="3"/>
            <w:shd w:val="clear" w:color="auto" w:fill="auto"/>
          </w:tcPr>
          <w:p w14:paraId="5EA2522D" w14:textId="77777777" w:rsidR="003C66EB" w:rsidRDefault="003C66EB">
            <w:pPr>
              <w:rPr>
                <w:rFonts w:ascii="宋体"/>
                <w:vanish/>
              </w:rPr>
            </w:pPr>
          </w:p>
        </w:tc>
        <w:tc>
          <w:tcPr>
            <w:tcW w:w="0" w:type="auto"/>
            <w:gridSpan w:val="3"/>
            <w:shd w:val="clear" w:color="auto" w:fill="auto"/>
          </w:tcPr>
          <w:p w14:paraId="5EA2522E" w14:textId="77777777" w:rsidR="003C66EB" w:rsidRDefault="003C66EB">
            <w:pPr>
              <w:rPr>
                <w:rFonts w:ascii="宋体"/>
                <w:vanish/>
              </w:rPr>
            </w:pPr>
          </w:p>
        </w:tc>
        <w:tc>
          <w:tcPr>
            <w:tcW w:w="0" w:type="auto"/>
            <w:gridSpan w:val="3"/>
            <w:shd w:val="clear" w:color="auto" w:fill="auto"/>
          </w:tcPr>
          <w:p w14:paraId="5EA2522F" w14:textId="77777777" w:rsidR="003C66EB" w:rsidRDefault="003C66EB">
            <w:pPr>
              <w:rPr>
                <w:rFonts w:ascii="宋体"/>
                <w:vanish/>
              </w:rPr>
            </w:pPr>
          </w:p>
        </w:tc>
        <w:tc>
          <w:tcPr>
            <w:tcW w:w="0" w:type="auto"/>
            <w:gridSpan w:val="3"/>
            <w:shd w:val="clear" w:color="auto" w:fill="auto"/>
          </w:tcPr>
          <w:p w14:paraId="5EA25230" w14:textId="77777777" w:rsidR="003C66EB" w:rsidRDefault="003C66EB">
            <w:pPr>
              <w:rPr>
                <w:rFonts w:ascii="宋体"/>
                <w:vanish/>
              </w:rPr>
            </w:pPr>
          </w:p>
        </w:tc>
        <w:tc>
          <w:tcPr>
            <w:tcW w:w="0" w:type="auto"/>
            <w:gridSpan w:val="3"/>
            <w:shd w:val="clear" w:color="auto" w:fill="auto"/>
          </w:tcPr>
          <w:p w14:paraId="5EA25231" w14:textId="77777777" w:rsidR="003C66EB" w:rsidRDefault="003C66EB">
            <w:pPr>
              <w:rPr>
                <w:rFonts w:ascii="宋体"/>
                <w:vanish/>
              </w:rPr>
            </w:pPr>
          </w:p>
        </w:tc>
        <w:tc>
          <w:tcPr>
            <w:tcW w:w="0" w:type="auto"/>
            <w:gridSpan w:val="3"/>
            <w:shd w:val="clear" w:color="auto" w:fill="auto"/>
          </w:tcPr>
          <w:p w14:paraId="5EA25232" w14:textId="77777777" w:rsidR="003C66EB" w:rsidRDefault="003C66EB">
            <w:pPr>
              <w:rPr>
                <w:rFonts w:ascii="宋体"/>
                <w:vanish/>
              </w:rPr>
            </w:pPr>
          </w:p>
        </w:tc>
        <w:tc>
          <w:tcPr>
            <w:tcW w:w="0" w:type="auto"/>
            <w:gridSpan w:val="3"/>
            <w:shd w:val="clear" w:color="auto" w:fill="auto"/>
          </w:tcPr>
          <w:p w14:paraId="5EA25233" w14:textId="77777777" w:rsidR="003C66EB" w:rsidRDefault="003C66EB">
            <w:pPr>
              <w:rPr>
                <w:rFonts w:ascii="宋体"/>
                <w:vanish/>
              </w:rPr>
            </w:pPr>
          </w:p>
        </w:tc>
        <w:tc>
          <w:tcPr>
            <w:tcW w:w="0" w:type="auto"/>
            <w:shd w:val="clear" w:color="auto" w:fill="auto"/>
          </w:tcPr>
          <w:p w14:paraId="5EA25234" w14:textId="77777777" w:rsidR="003C66EB" w:rsidRDefault="003C66EB">
            <w:pPr>
              <w:rPr>
                <w:rFonts w:ascii="宋体"/>
                <w:vanish/>
              </w:rPr>
            </w:pPr>
          </w:p>
        </w:tc>
        <w:tc>
          <w:tcPr>
            <w:tcW w:w="0" w:type="auto"/>
            <w:shd w:val="clear" w:color="auto" w:fill="auto"/>
          </w:tcPr>
          <w:p w14:paraId="5EA25235" w14:textId="77777777" w:rsidR="003C66EB" w:rsidRDefault="003C66EB">
            <w:pPr>
              <w:rPr>
                <w:rFonts w:ascii="宋体"/>
                <w:vanish/>
              </w:rPr>
            </w:pPr>
          </w:p>
        </w:tc>
        <w:tc>
          <w:tcPr>
            <w:tcW w:w="0" w:type="auto"/>
            <w:gridSpan w:val="3"/>
            <w:shd w:val="clear" w:color="auto" w:fill="auto"/>
          </w:tcPr>
          <w:p w14:paraId="5EA25236" w14:textId="77777777" w:rsidR="003C66EB" w:rsidRDefault="003C66EB">
            <w:pPr>
              <w:rPr>
                <w:rFonts w:ascii="宋体"/>
                <w:vanish/>
              </w:rPr>
            </w:pPr>
          </w:p>
        </w:tc>
        <w:tc>
          <w:tcPr>
            <w:tcW w:w="0" w:type="auto"/>
            <w:gridSpan w:val="3"/>
            <w:shd w:val="clear" w:color="auto" w:fill="auto"/>
          </w:tcPr>
          <w:p w14:paraId="5EA25237" w14:textId="77777777" w:rsidR="003C66EB" w:rsidRDefault="003C66EB">
            <w:pPr>
              <w:rPr>
                <w:rFonts w:ascii="宋体"/>
                <w:vanish/>
              </w:rPr>
            </w:pPr>
          </w:p>
        </w:tc>
        <w:tc>
          <w:tcPr>
            <w:tcW w:w="0" w:type="auto"/>
            <w:gridSpan w:val="3"/>
            <w:shd w:val="clear" w:color="auto" w:fill="auto"/>
          </w:tcPr>
          <w:p w14:paraId="5EA25238" w14:textId="77777777" w:rsidR="003C66EB" w:rsidRDefault="003C66EB">
            <w:pPr>
              <w:rPr>
                <w:rFonts w:ascii="宋体"/>
                <w:vanish/>
              </w:rPr>
            </w:pPr>
          </w:p>
        </w:tc>
        <w:tc>
          <w:tcPr>
            <w:tcW w:w="0" w:type="auto"/>
            <w:gridSpan w:val="3"/>
            <w:shd w:val="clear" w:color="auto" w:fill="auto"/>
          </w:tcPr>
          <w:p w14:paraId="5EA25239" w14:textId="77777777" w:rsidR="003C66EB" w:rsidRDefault="003C66EB">
            <w:pPr>
              <w:rPr>
                <w:rFonts w:ascii="宋体"/>
                <w:vanish/>
              </w:rPr>
            </w:pPr>
          </w:p>
        </w:tc>
        <w:tc>
          <w:tcPr>
            <w:tcW w:w="0" w:type="auto"/>
            <w:gridSpan w:val="3"/>
            <w:shd w:val="clear" w:color="auto" w:fill="auto"/>
          </w:tcPr>
          <w:p w14:paraId="5EA2523A" w14:textId="77777777" w:rsidR="003C66EB" w:rsidRDefault="003C66EB">
            <w:pPr>
              <w:rPr>
                <w:rFonts w:ascii="宋体"/>
                <w:vanish/>
              </w:rPr>
            </w:pPr>
          </w:p>
        </w:tc>
      </w:tr>
      <w:tr w:rsidR="003C66EB" w14:paraId="5EA2524E" w14:textId="77777777">
        <w:trPr>
          <w:hidden/>
        </w:trPr>
        <w:tc>
          <w:tcPr>
            <w:tcW w:w="0" w:type="auto"/>
            <w:gridSpan w:val="3"/>
            <w:shd w:val="clear" w:color="auto" w:fill="auto"/>
          </w:tcPr>
          <w:p w14:paraId="5EA2523C" w14:textId="77777777" w:rsidR="003C66EB" w:rsidRDefault="003C66EB">
            <w:pPr>
              <w:rPr>
                <w:rFonts w:ascii="宋体"/>
                <w:vanish/>
              </w:rPr>
            </w:pPr>
          </w:p>
        </w:tc>
        <w:tc>
          <w:tcPr>
            <w:tcW w:w="0" w:type="auto"/>
            <w:gridSpan w:val="3"/>
            <w:shd w:val="clear" w:color="auto" w:fill="auto"/>
          </w:tcPr>
          <w:p w14:paraId="5EA2523D" w14:textId="77777777" w:rsidR="003C66EB" w:rsidRDefault="003C66EB">
            <w:pPr>
              <w:rPr>
                <w:rFonts w:ascii="宋体"/>
                <w:vanish/>
              </w:rPr>
            </w:pPr>
          </w:p>
        </w:tc>
        <w:tc>
          <w:tcPr>
            <w:tcW w:w="0" w:type="auto"/>
            <w:gridSpan w:val="3"/>
            <w:shd w:val="clear" w:color="auto" w:fill="auto"/>
          </w:tcPr>
          <w:p w14:paraId="5EA2523E" w14:textId="77777777" w:rsidR="003C66EB" w:rsidRDefault="003C66EB">
            <w:pPr>
              <w:rPr>
                <w:rFonts w:ascii="宋体"/>
                <w:vanish/>
              </w:rPr>
            </w:pPr>
          </w:p>
        </w:tc>
        <w:tc>
          <w:tcPr>
            <w:tcW w:w="0" w:type="auto"/>
            <w:gridSpan w:val="3"/>
            <w:shd w:val="clear" w:color="auto" w:fill="auto"/>
          </w:tcPr>
          <w:p w14:paraId="5EA2523F" w14:textId="77777777" w:rsidR="003C66EB" w:rsidRDefault="003C66EB">
            <w:pPr>
              <w:rPr>
                <w:rFonts w:ascii="宋体"/>
                <w:vanish/>
              </w:rPr>
            </w:pPr>
          </w:p>
        </w:tc>
        <w:tc>
          <w:tcPr>
            <w:tcW w:w="0" w:type="auto"/>
            <w:gridSpan w:val="3"/>
            <w:shd w:val="clear" w:color="auto" w:fill="auto"/>
          </w:tcPr>
          <w:p w14:paraId="5EA25240" w14:textId="77777777" w:rsidR="003C66EB" w:rsidRDefault="003C66EB">
            <w:pPr>
              <w:rPr>
                <w:rFonts w:ascii="宋体"/>
                <w:vanish/>
              </w:rPr>
            </w:pPr>
          </w:p>
        </w:tc>
        <w:tc>
          <w:tcPr>
            <w:tcW w:w="0" w:type="auto"/>
            <w:gridSpan w:val="3"/>
            <w:shd w:val="clear" w:color="auto" w:fill="auto"/>
          </w:tcPr>
          <w:p w14:paraId="5EA25241" w14:textId="77777777" w:rsidR="003C66EB" w:rsidRDefault="003C66EB">
            <w:pPr>
              <w:rPr>
                <w:rFonts w:ascii="宋体"/>
                <w:vanish/>
              </w:rPr>
            </w:pPr>
          </w:p>
        </w:tc>
        <w:tc>
          <w:tcPr>
            <w:tcW w:w="0" w:type="auto"/>
            <w:gridSpan w:val="3"/>
            <w:shd w:val="clear" w:color="auto" w:fill="auto"/>
          </w:tcPr>
          <w:p w14:paraId="5EA25242" w14:textId="77777777" w:rsidR="003C66EB" w:rsidRDefault="003C66EB">
            <w:pPr>
              <w:rPr>
                <w:rFonts w:ascii="宋体"/>
                <w:vanish/>
              </w:rPr>
            </w:pPr>
          </w:p>
        </w:tc>
        <w:tc>
          <w:tcPr>
            <w:tcW w:w="0" w:type="auto"/>
            <w:gridSpan w:val="3"/>
            <w:shd w:val="clear" w:color="auto" w:fill="auto"/>
          </w:tcPr>
          <w:p w14:paraId="5EA25243" w14:textId="77777777" w:rsidR="003C66EB" w:rsidRDefault="003C66EB">
            <w:pPr>
              <w:rPr>
                <w:rFonts w:ascii="宋体"/>
                <w:vanish/>
              </w:rPr>
            </w:pPr>
          </w:p>
        </w:tc>
        <w:tc>
          <w:tcPr>
            <w:tcW w:w="0" w:type="auto"/>
            <w:gridSpan w:val="3"/>
            <w:shd w:val="clear" w:color="auto" w:fill="auto"/>
          </w:tcPr>
          <w:p w14:paraId="5EA25244" w14:textId="77777777" w:rsidR="003C66EB" w:rsidRDefault="003C66EB">
            <w:pPr>
              <w:rPr>
                <w:rFonts w:ascii="宋体"/>
                <w:vanish/>
              </w:rPr>
            </w:pPr>
          </w:p>
        </w:tc>
        <w:tc>
          <w:tcPr>
            <w:tcW w:w="0" w:type="auto"/>
            <w:gridSpan w:val="3"/>
            <w:shd w:val="clear" w:color="auto" w:fill="auto"/>
          </w:tcPr>
          <w:p w14:paraId="5EA25245" w14:textId="77777777" w:rsidR="003C66EB" w:rsidRDefault="003C66EB">
            <w:pPr>
              <w:rPr>
                <w:rFonts w:ascii="宋体"/>
                <w:vanish/>
              </w:rPr>
            </w:pPr>
          </w:p>
        </w:tc>
        <w:tc>
          <w:tcPr>
            <w:tcW w:w="0" w:type="auto"/>
            <w:gridSpan w:val="3"/>
            <w:shd w:val="clear" w:color="auto" w:fill="auto"/>
          </w:tcPr>
          <w:p w14:paraId="5EA25246" w14:textId="77777777" w:rsidR="003C66EB" w:rsidRDefault="003C66EB">
            <w:pPr>
              <w:rPr>
                <w:rFonts w:ascii="宋体"/>
                <w:vanish/>
              </w:rPr>
            </w:pPr>
          </w:p>
        </w:tc>
        <w:tc>
          <w:tcPr>
            <w:tcW w:w="0" w:type="auto"/>
            <w:shd w:val="clear" w:color="auto" w:fill="auto"/>
          </w:tcPr>
          <w:p w14:paraId="5EA25247" w14:textId="77777777" w:rsidR="003C66EB" w:rsidRDefault="003C66EB">
            <w:pPr>
              <w:rPr>
                <w:rFonts w:ascii="宋体"/>
                <w:vanish/>
              </w:rPr>
            </w:pPr>
          </w:p>
        </w:tc>
        <w:tc>
          <w:tcPr>
            <w:tcW w:w="0" w:type="auto"/>
            <w:shd w:val="clear" w:color="auto" w:fill="auto"/>
          </w:tcPr>
          <w:p w14:paraId="5EA25248" w14:textId="77777777" w:rsidR="003C66EB" w:rsidRDefault="003C66EB">
            <w:pPr>
              <w:rPr>
                <w:rFonts w:ascii="宋体"/>
                <w:vanish/>
              </w:rPr>
            </w:pPr>
          </w:p>
        </w:tc>
        <w:tc>
          <w:tcPr>
            <w:tcW w:w="0" w:type="auto"/>
            <w:gridSpan w:val="3"/>
            <w:shd w:val="clear" w:color="auto" w:fill="auto"/>
          </w:tcPr>
          <w:p w14:paraId="5EA25249" w14:textId="77777777" w:rsidR="003C66EB" w:rsidRDefault="003C66EB">
            <w:pPr>
              <w:rPr>
                <w:rFonts w:ascii="宋体"/>
                <w:vanish/>
              </w:rPr>
            </w:pPr>
          </w:p>
        </w:tc>
        <w:tc>
          <w:tcPr>
            <w:tcW w:w="0" w:type="auto"/>
            <w:gridSpan w:val="3"/>
            <w:shd w:val="clear" w:color="auto" w:fill="auto"/>
          </w:tcPr>
          <w:p w14:paraId="5EA2524A" w14:textId="77777777" w:rsidR="003C66EB" w:rsidRDefault="003C66EB">
            <w:pPr>
              <w:rPr>
                <w:rFonts w:ascii="宋体"/>
                <w:vanish/>
              </w:rPr>
            </w:pPr>
          </w:p>
        </w:tc>
        <w:tc>
          <w:tcPr>
            <w:tcW w:w="0" w:type="auto"/>
            <w:gridSpan w:val="3"/>
            <w:shd w:val="clear" w:color="auto" w:fill="auto"/>
          </w:tcPr>
          <w:p w14:paraId="5EA2524B" w14:textId="77777777" w:rsidR="003C66EB" w:rsidRDefault="003C66EB">
            <w:pPr>
              <w:rPr>
                <w:rFonts w:ascii="宋体"/>
                <w:vanish/>
              </w:rPr>
            </w:pPr>
          </w:p>
        </w:tc>
        <w:tc>
          <w:tcPr>
            <w:tcW w:w="0" w:type="auto"/>
            <w:gridSpan w:val="3"/>
            <w:shd w:val="clear" w:color="auto" w:fill="auto"/>
          </w:tcPr>
          <w:p w14:paraId="5EA2524C" w14:textId="77777777" w:rsidR="003C66EB" w:rsidRDefault="003C66EB">
            <w:pPr>
              <w:rPr>
                <w:rFonts w:ascii="宋体"/>
                <w:vanish/>
              </w:rPr>
            </w:pPr>
          </w:p>
        </w:tc>
        <w:tc>
          <w:tcPr>
            <w:tcW w:w="0" w:type="auto"/>
            <w:gridSpan w:val="3"/>
            <w:shd w:val="clear" w:color="auto" w:fill="auto"/>
          </w:tcPr>
          <w:p w14:paraId="5EA2524D" w14:textId="77777777" w:rsidR="003C66EB" w:rsidRDefault="003C66EB">
            <w:pPr>
              <w:rPr>
                <w:rFonts w:ascii="宋体"/>
                <w:vanish/>
              </w:rPr>
            </w:pPr>
          </w:p>
        </w:tc>
      </w:tr>
      <w:tr w:rsidR="003C66EB" w14:paraId="5EA25261" w14:textId="77777777">
        <w:trPr>
          <w:hidden/>
        </w:trPr>
        <w:tc>
          <w:tcPr>
            <w:tcW w:w="0" w:type="auto"/>
            <w:gridSpan w:val="3"/>
            <w:shd w:val="clear" w:color="auto" w:fill="auto"/>
          </w:tcPr>
          <w:p w14:paraId="5EA2524F" w14:textId="77777777" w:rsidR="003C66EB" w:rsidRDefault="003C66EB">
            <w:pPr>
              <w:rPr>
                <w:rFonts w:ascii="宋体"/>
                <w:vanish/>
              </w:rPr>
            </w:pPr>
          </w:p>
        </w:tc>
        <w:tc>
          <w:tcPr>
            <w:tcW w:w="0" w:type="auto"/>
            <w:gridSpan w:val="3"/>
            <w:shd w:val="clear" w:color="auto" w:fill="auto"/>
          </w:tcPr>
          <w:p w14:paraId="5EA25250" w14:textId="77777777" w:rsidR="003C66EB" w:rsidRDefault="003C66EB">
            <w:pPr>
              <w:rPr>
                <w:rFonts w:ascii="宋体"/>
                <w:vanish/>
              </w:rPr>
            </w:pPr>
          </w:p>
        </w:tc>
        <w:tc>
          <w:tcPr>
            <w:tcW w:w="0" w:type="auto"/>
            <w:gridSpan w:val="3"/>
            <w:shd w:val="clear" w:color="auto" w:fill="auto"/>
          </w:tcPr>
          <w:p w14:paraId="5EA25251" w14:textId="77777777" w:rsidR="003C66EB" w:rsidRDefault="003C66EB">
            <w:pPr>
              <w:rPr>
                <w:rFonts w:ascii="宋体"/>
                <w:vanish/>
              </w:rPr>
            </w:pPr>
          </w:p>
        </w:tc>
        <w:tc>
          <w:tcPr>
            <w:tcW w:w="0" w:type="auto"/>
            <w:gridSpan w:val="3"/>
            <w:shd w:val="clear" w:color="auto" w:fill="auto"/>
          </w:tcPr>
          <w:p w14:paraId="5EA25252" w14:textId="77777777" w:rsidR="003C66EB" w:rsidRDefault="003C66EB">
            <w:pPr>
              <w:rPr>
                <w:rFonts w:ascii="宋体"/>
                <w:vanish/>
              </w:rPr>
            </w:pPr>
          </w:p>
        </w:tc>
        <w:tc>
          <w:tcPr>
            <w:tcW w:w="0" w:type="auto"/>
            <w:gridSpan w:val="3"/>
            <w:shd w:val="clear" w:color="auto" w:fill="auto"/>
          </w:tcPr>
          <w:p w14:paraId="5EA25253" w14:textId="77777777" w:rsidR="003C66EB" w:rsidRDefault="003C66EB">
            <w:pPr>
              <w:rPr>
                <w:rFonts w:ascii="宋体"/>
                <w:vanish/>
              </w:rPr>
            </w:pPr>
          </w:p>
        </w:tc>
        <w:tc>
          <w:tcPr>
            <w:tcW w:w="0" w:type="auto"/>
            <w:gridSpan w:val="3"/>
            <w:shd w:val="clear" w:color="auto" w:fill="auto"/>
          </w:tcPr>
          <w:p w14:paraId="5EA25254" w14:textId="77777777" w:rsidR="003C66EB" w:rsidRDefault="003C66EB">
            <w:pPr>
              <w:rPr>
                <w:rFonts w:ascii="宋体"/>
                <w:vanish/>
              </w:rPr>
            </w:pPr>
          </w:p>
        </w:tc>
        <w:tc>
          <w:tcPr>
            <w:tcW w:w="0" w:type="auto"/>
            <w:gridSpan w:val="3"/>
            <w:shd w:val="clear" w:color="auto" w:fill="auto"/>
          </w:tcPr>
          <w:p w14:paraId="5EA25255" w14:textId="77777777" w:rsidR="003C66EB" w:rsidRDefault="003C66EB">
            <w:pPr>
              <w:rPr>
                <w:rFonts w:ascii="宋体"/>
                <w:vanish/>
              </w:rPr>
            </w:pPr>
          </w:p>
        </w:tc>
        <w:tc>
          <w:tcPr>
            <w:tcW w:w="0" w:type="auto"/>
            <w:gridSpan w:val="3"/>
            <w:shd w:val="clear" w:color="auto" w:fill="auto"/>
          </w:tcPr>
          <w:p w14:paraId="5EA25256" w14:textId="77777777" w:rsidR="003C66EB" w:rsidRDefault="003C66EB">
            <w:pPr>
              <w:rPr>
                <w:rFonts w:ascii="宋体"/>
                <w:vanish/>
              </w:rPr>
            </w:pPr>
          </w:p>
        </w:tc>
        <w:tc>
          <w:tcPr>
            <w:tcW w:w="0" w:type="auto"/>
            <w:gridSpan w:val="3"/>
            <w:shd w:val="clear" w:color="auto" w:fill="auto"/>
          </w:tcPr>
          <w:p w14:paraId="5EA25257" w14:textId="77777777" w:rsidR="003C66EB" w:rsidRDefault="003C66EB">
            <w:pPr>
              <w:rPr>
                <w:rFonts w:ascii="宋体"/>
                <w:vanish/>
              </w:rPr>
            </w:pPr>
          </w:p>
        </w:tc>
        <w:tc>
          <w:tcPr>
            <w:tcW w:w="0" w:type="auto"/>
            <w:gridSpan w:val="3"/>
            <w:shd w:val="clear" w:color="auto" w:fill="auto"/>
          </w:tcPr>
          <w:p w14:paraId="5EA25258" w14:textId="77777777" w:rsidR="003C66EB" w:rsidRDefault="003C66EB">
            <w:pPr>
              <w:rPr>
                <w:rFonts w:ascii="宋体"/>
                <w:vanish/>
              </w:rPr>
            </w:pPr>
          </w:p>
        </w:tc>
        <w:tc>
          <w:tcPr>
            <w:tcW w:w="0" w:type="auto"/>
            <w:gridSpan w:val="3"/>
            <w:shd w:val="clear" w:color="auto" w:fill="auto"/>
          </w:tcPr>
          <w:p w14:paraId="5EA25259" w14:textId="77777777" w:rsidR="003C66EB" w:rsidRDefault="003C66EB">
            <w:pPr>
              <w:rPr>
                <w:rFonts w:ascii="宋体"/>
                <w:vanish/>
              </w:rPr>
            </w:pPr>
          </w:p>
        </w:tc>
        <w:tc>
          <w:tcPr>
            <w:tcW w:w="0" w:type="auto"/>
            <w:shd w:val="clear" w:color="auto" w:fill="auto"/>
          </w:tcPr>
          <w:p w14:paraId="5EA2525A" w14:textId="77777777" w:rsidR="003C66EB" w:rsidRDefault="003C66EB">
            <w:pPr>
              <w:rPr>
                <w:rFonts w:ascii="宋体"/>
                <w:vanish/>
              </w:rPr>
            </w:pPr>
          </w:p>
        </w:tc>
        <w:tc>
          <w:tcPr>
            <w:tcW w:w="0" w:type="auto"/>
            <w:shd w:val="clear" w:color="auto" w:fill="auto"/>
          </w:tcPr>
          <w:p w14:paraId="5EA2525B" w14:textId="77777777" w:rsidR="003C66EB" w:rsidRDefault="003C66EB">
            <w:pPr>
              <w:rPr>
                <w:rFonts w:ascii="宋体"/>
                <w:vanish/>
              </w:rPr>
            </w:pPr>
          </w:p>
        </w:tc>
        <w:tc>
          <w:tcPr>
            <w:tcW w:w="0" w:type="auto"/>
            <w:gridSpan w:val="3"/>
            <w:shd w:val="clear" w:color="auto" w:fill="auto"/>
          </w:tcPr>
          <w:p w14:paraId="5EA2525C" w14:textId="77777777" w:rsidR="003C66EB" w:rsidRDefault="003C66EB">
            <w:pPr>
              <w:rPr>
                <w:rFonts w:ascii="宋体"/>
                <w:vanish/>
              </w:rPr>
            </w:pPr>
          </w:p>
        </w:tc>
        <w:tc>
          <w:tcPr>
            <w:tcW w:w="0" w:type="auto"/>
            <w:gridSpan w:val="3"/>
            <w:shd w:val="clear" w:color="auto" w:fill="auto"/>
          </w:tcPr>
          <w:p w14:paraId="5EA2525D" w14:textId="77777777" w:rsidR="003C66EB" w:rsidRDefault="003C66EB">
            <w:pPr>
              <w:rPr>
                <w:rFonts w:ascii="宋体"/>
                <w:vanish/>
              </w:rPr>
            </w:pPr>
          </w:p>
        </w:tc>
        <w:tc>
          <w:tcPr>
            <w:tcW w:w="0" w:type="auto"/>
            <w:gridSpan w:val="3"/>
            <w:shd w:val="clear" w:color="auto" w:fill="auto"/>
          </w:tcPr>
          <w:p w14:paraId="5EA2525E" w14:textId="77777777" w:rsidR="003C66EB" w:rsidRDefault="003C66EB">
            <w:pPr>
              <w:rPr>
                <w:rFonts w:ascii="宋体"/>
                <w:vanish/>
              </w:rPr>
            </w:pPr>
          </w:p>
        </w:tc>
        <w:tc>
          <w:tcPr>
            <w:tcW w:w="0" w:type="auto"/>
            <w:gridSpan w:val="3"/>
            <w:shd w:val="clear" w:color="auto" w:fill="auto"/>
          </w:tcPr>
          <w:p w14:paraId="5EA2525F" w14:textId="77777777" w:rsidR="003C66EB" w:rsidRDefault="003C66EB">
            <w:pPr>
              <w:rPr>
                <w:rFonts w:ascii="宋体"/>
                <w:vanish/>
              </w:rPr>
            </w:pPr>
          </w:p>
        </w:tc>
        <w:tc>
          <w:tcPr>
            <w:tcW w:w="0" w:type="auto"/>
            <w:gridSpan w:val="3"/>
            <w:shd w:val="clear" w:color="auto" w:fill="auto"/>
          </w:tcPr>
          <w:p w14:paraId="5EA25260" w14:textId="77777777" w:rsidR="003C66EB" w:rsidRDefault="003C66EB">
            <w:pPr>
              <w:rPr>
                <w:rFonts w:ascii="宋体"/>
                <w:vanish/>
              </w:rPr>
            </w:pPr>
          </w:p>
        </w:tc>
      </w:tr>
      <w:tr w:rsidR="003C66EB" w14:paraId="5EA25274" w14:textId="77777777">
        <w:trPr>
          <w:hidden/>
        </w:trPr>
        <w:tc>
          <w:tcPr>
            <w:tcW w:w="0" w:type="auto"/>
            <w:gridSpan w:val="3"/>
            <w:shd w:val="clear" w:color="auto" w:fill="auto"/>
          </w:tcPr>
          <w:p w14:paraId="5EA25262" w14:textId="77777777" w:rsidR="003C66EB" w:rsidRDefault="003C66EB">
            <w:pPr>
              <w:rPr>
                <w:rFonts w:ascii="宋体"/>
                <w:vanish/>
              </w:rPr>
            </w:pPr>
          </w:p>
        </w:tc>
        <w:tc>
          <w:tcPr>
            <w:tcW w:w="0" w:type="auto"/>
            <w:gridSpan w:val="3"/>
            <w:shd w:val="clear" w:color="auto" w:fill="auto"/>
          </w:tcPr>
          <w:p w14:paraId="5EA25263" w14:textId="77777777" w:rsidR="003C66EB" w:rsidRDefault="003C66EB">
            <w:pPr>
              <w:rPr>
                <w:rFonts w:ascii="宋体"/>
                <w:vanish/>
              </w:rPr>
            </w:pPr>
          </w:p>
        </w:tc>
        <w:tc>
          <w:tcPr>
            <w:tcW w:w="0" w:type="auto"/>
            <w:gridSpan w:val="3"/>
            <w:shd w:val="clear" w:color="auto" w:fill="auto"/>
          </w:tcPr>
          <w:p w14:paraId="5EA25264" w14:textId="77777777" w:rsidR="003C66EB" w:rsidRDefault="003C66EB">
            <w:pPr>
              <w:rPr>
                <w:rFonts w:ascii="宋体"/>
                <w:vanish/>
              </w:rPr>
            </w:pPr>
          </w:p>
        </w:tc>
        <w:tc>
          <w:tcPr>
            <w:tcW w:w="0" w:type="auto"/>
            <w:gridSpan w:val="3"/>
            <w:shd w:val="clear" w:color="auto" w:fill="auto"/>
          </w:tcPr>
          <w:p w14:paraId="5EA25265" w14:textId="77777777" w:rsidR="003C66EB" w:rsidRDefault="003C66EB">
            <w:pPr>
              <w:rPr>
                <w:rFonts w:ascii="宋体"/>
                <w:vanish/>
              </w:rPr>
            </w:pPr>
          </w:p>
        </w:tc>
        <w:tc>
          <w:tcPr>
            <w:tcW w:w="0" w:type="auto"/>
            <w:gridSpan w:val="3"/>
            <w:shd w:val="clear" w:color="auto" w:fill="auto"/>
          </w:tcPr>
          <w:p w14:paraId="5EA25266" w14:textId="77777777" w:rsidR="003C66EB" w:rsidRDefault="003C66EB">
            <w:pPr>
              <w:rPr>
                <w:rFonts w:ascii="宋体"/>
                <w:vanish/>
              </w:rPr>
            </w:pPr>
          </w:p>
        </w:tc>
        <w:tc>
          <w:tcPr>
            <w:tcW w:w="0" w:type="auto"/>
            <w:gridSpan w:val="3"/>
            <w:shd w:val="clear" w:color="auto" w:fill="auto"/>
          </w:tcPr>
          <w:p w14:paraId="5EA25267" w14:textId="77777777" w:rsidR="003C66EB" w:rsidRDefault="003C66EB">
            <w:pPr>
              <w:rPr>
                <w:rFonts w:ascii="宋体"/>
                <w:vanish/>
              </w:rPr>
            </w:pPr>
          </w:p>
        </w:tc>
        <w:tc>
          <w:tcPr>
            <w:tcW w:w="0" w:type="auto"/>
            <w:gridSpan w:val="3"/>
            <w:shd w:val="clear" w:color="auto" w:fill="auto"/>
          </w:tcPr>
          <w:p w14:paraId="5EA25268" w14:textId="77777777" w:rsidR="003C66EB" w:rsidRDefault="003C66EB">
            <w:pPr>
              <w:rPr>
                <w:rFonts w:ascii="宋体"/>
                <w:vanish/>
              </w:rPr>
            </w:pPr>
          </w:p>
        </w:tc>
        <w:tc>
          <w:tcPr>
            <w:tcW w:w="0" w:type="auto"/>
            <w:gridSpan w:val="3"/>
            <w:shd w:val="clear" w:color="auto" w:fill="auto"/>
          </w:tcPr>
          <w:p w14:paraId="5EA25269" w14:textId="77777777" w:rsidR="003C66EB" w:rsidRDefault="003C66EB">
            <w:pPr>
              <w:rPr>
                <w:rFonts w:ascii="宋体"/>
                <w:vanish/>
              </w:rPr>
            </w:pPr>
          </w:p>
        </w:tc>
        <w:tc>
          <w:tcPr>
            <w:tcW w:w="0" w:type="auto"/>
            <w:gridSpan w:val="3"/>
            <w:shd w:val="clear" w:color="auto" w:fill="auto"/>
          </w:tcPr>
          <w:p w14:paraId="5EA2526A" w14:textId="77777777" w:rsidR="003C66EB" w:rsidRDefault="003C66EB">
            <w:pPr>
              <w:rPr>
                <w:rFonts w:ascii="宋体"/>
                <w:vanish/>
              </w:rPr>
            </w:pPr>
          </w:p>
        </w:tc>
        <w:tc>
          <w:tcPr>
            <w:tcW w:w="0" w:type="auto"/>
            <w:gridSpan w:val="3"/>
            <w:shd w:val="clear" w:color="auto" w:fill="auto"/>
          </w:tcPr>
          <w:p w14:paraId="5EA2526B" w14:textId="77777777" w:rsidR="003C66EB" w:rsidRDefault="003C66EB">
            <w:pPr>
              <w:rPr>
                <w:rFonts w:ascii="宋体"/>
                <w:vanish/>
              </w:rPr>
            </w:pPr>
          </w:p>
        </w:tc>
        <w:tc>
          <w:tcPr>
            <w:tcW w:w="0" w:type="auto"/>
            <w:gridSpan w:val="3"/>
            <w:shd w:val="clear" w:color="auto" w:fill="auto"/>
          </w:tcPr>
          <w:p w14:paraId="5EA2526C" w14:textId="77777777" w:rsidR="003C66EB" w:rsidRDefault="003C66EB">
            <w:pPr>
              <w:rPr>
                <w:rFonts w:ascii="宋体"/>
                <w:vanish/>
              </w:rPr>
            </w:pPr>
          </w:p>
        </w:tc>
        <w:tc>
          <w:tcPr>
            <w:tcW w:w="0" w:type="auto"/>
            <w:shd w:val="clear" w:color="auto" w:fill="auto"/>
          </w:tcPr>
          <w:p w14:paraId="5EA2526D" w14:textId="77777777" w:rsidR="003C66EB" w:rsidRDefault="003C66EB">
            <w:pPr>
              <w:rPr>
                <w:rFonts w:ascii="宋体"/>
                <w:vanish/>
              </w:rPr>
            </w:pPr>
          </w:p>
        </w:tc>
        <w:tc>
          <w:tcPr>
            <w:tcW w:w="0" w:type="auto"/>
            <w:shd w:val="clear" w:color="auto" w:fill="auto"/>
          </w:tcPr>
          <w:p w14:paraId="5EA2526E" w14:textId="77777777" w:rsidR="003C66EB" w:rsidRDefault="003C66EB">
            <w:pPr>
              <w:rPr>
                <w:rFonts w:ascii="宋体"/>
                <w:vanish/>
              </w:rPr>
            </w:pPr>
          </w:p>
        </w:tc>
        <w:tc>
          <w:tcPr>
            <w:tcW w:w="0" w:type="auto"/>
            <w:gridSpan w:val="3"/>
            <w:shd w:val="clear" w:color="auto" w:fill="auto"/>
          </w:tcPr>
          <w:p w14:paraId="5EA2526F" w14:textId="77777777" w:rsidR="003C66EB" w:rsidRDefault="003C66EB">
            <w:pPr>
              <w:rPr>
                <w:rFonts w:ascii="宋体"/>
                <w:vanish/>
              </w:rPr>
            </w:pPr>
          </w:p>
        </w:tc>
        <w:tc>
          <w:tcPr>
            <w:tcW w:w="0" w:type="auto"/>
            <w:gridSpan w:val="3"/>
            <w:shd w:val="clear" w:color="auto" w:fill="auto"/>
          </w:tcPr>
          <w:p w14:paraId="5EA25270" w14:textId="77777777" w:rsidR="003C66EB" w:rsidRDefault="003C66EB">
            <w:pPr>
              <w:rPr>
                <w:rFonts w:ascii="宋体"/>
                <w:vanish/>
              </w:rPr>
            </w:pPr>
          </w:p>
        </w:tc>
        <w:tc>
          <w:tcPr>
            <w:tcW w:w="0" w:type="auto"/>
            <w:gridSpan w:val="3"/>
            <w:shd w:val="clear" w:color="auto" w:fill="auto"/>
          </w:tcPr>
          <w:p w14:paraId="5EA25271" w14:textId="77777777" w:rsidR="003C66EB" w:rsidRDefault="003C66EB">
            <w:pPr>
              <w:rPr>
                <w:rFonts w:ascii="宋体"/>
                <w:vanish/>
              </w:rPr>
            </w:pPr>
          </w:p>
        </w:tc>
        <w:tc>
          <w:tcPr>
            <w:tcW w:w="0" w:type="auto"/>
            <w:gridSpan w:val="3"/>
            <w:shd w:val="clear" w:color="auto" w:fill="auto"/>
          </w:tcPr>
          <w:p w14:paraId="5EA25272" w14:textId="77777777" w:rsidR="003C66EB" w:rsidRDefault="003C66EB">
            <w:pPr>
              <w:rPr>
                <w:rFonts w:ascii="宋体"/>
                <w:vanish/>
              </w:rPr>
            </w:pPr>
          </w:p>
        </w:tc>
        <w:tc>
          <w:tcPr>
            <w:tcW w:w="0" w:type="auto"/>
            <w:gridSpan w:val="3"/>
            <w:shd w:val="clear" w:color="auto" w:fill="auto"/>
          </w:tcPr>
          <w:p w14:paraId="5EA25273" w14:textId="77777777" w:rsidR="003C66EB" w:rsidRDefault="003C66EB">
            <w:pPr>
              <w:rPr>
                <w:rFonts w:ascii="宋体"/>
                <w:vanish/>
              </w:rPr>
            </w:pPr>
          </w:p>
        </w:tc>
      </w:tr>
      <w:tr w:rsidR="003C66EB" w14:paraId="5EA25287" w14:textId="77777777">
        <w:trPr>
          <w:hidden/>
        </w:trPr>
        <w:tc>
          <w:tcPr>
            <w:tcW w:w="0" w:type="auto"/>
            <w:gridSpan w:val="3"/>
            <w:shd w:val="clear" w:color="auto" w:fill="auto"/>
          </w:tcPr>
          <w:p w14:paraId="5EA25275" w14:textId="77777777" w:rsidR="003C66EB" w:rsidRDefault="003C66EB">
            <w:pPr>
              <w:rPr>
                <w:rFonts w:ascii="宋体"/>
                <w:vanish/>
              </w:rPr>
            </w:pPr>
          </w:p>
        </w:tc>
        <w:tc>
          <w:tcPr>
            <w:tcW w:w="0" w:type="auto"/>
            <w:gridSpan w:val="3"/>
            <w:shd w:val="clear" w:color="auto" w:fill="auto"/>
          </w:tcPr>
          <w:p w14:paraId="5EA25276" w14:textId="77777777" w:rsidR="003C66EB" w:rsidRDefault="003C66EB">
            <w:pPr>
              <w:rPr>
                <w:rFonts w:ascii="宋体"/>
                <w:vanish/>
              </w:rPr>
            </w:pPr>
          </w:p>
        </w:tc>
        <w:tc>
          <w:tcPr>
            <w:tcW w:w="0" w:type="auto"/>
            <w:gridSpan w:val="3"/>
            <w:shd w:val="clear" w:color="auto" w:fill="auto"/>
          </w:tcPr>
          <w:p w14:paraId="5EA25277" w14:textId="77777777" w:rsidR="003C66EB" w:rsidRDefault="003C66EB">
            <w:pPr>
              <w:rPr>
                <w:rFonts w:ascii="宋体"/>
                <w:vanish/>
              </w:rPr>
            </w:pPr>
          </w:p>
        </w:tc>
        <w:tc>
          <w:tcPr>
            <w:tcW w:w="0" w:type="auto"/>
            <w:gridSpan w:val="3"/>
            <w:shd w:val="clear" w:color="auto" w:fill="auto"/>
          </w:tcPr>
          <w:p w14:paraId="5EA25278" w14:textId="77777777" w:rsidR="003C66EB" w:rsidRDefault="003C66EB">
            <w:pPr>
              <w:rPr>
                <w:rFonts w:ascii="宋体"/>
                <w:vanish/>
              </w:rPr>
            </w:pPr>
          </w:p>
        </w:tc>
        <w:tc>
          <w:tcPr>
            <w:tcW w:w="0" w:type="auto"/>
            <w:gridSpan w:val="3"/>
            <w:shd w:val="clear" w:color="auto" w:fill="auto"/>
          </w:tcPr>
          <w:p w14:paraId="5EA25279" w14:textId="77777777" w:rsidR="003C66EB" w:rsidRDefault="003C66EB">
            <w:pPr>
              <w:rPr>
                <w:rFonts w:ascii="宋体"/>
                <w:vanish/>
              </w:rPr>
            </w:pPr>
          </w:p>
        </w:tc>
        <w:tc>
          <w:tcPr>
            <w:tcW w:w="0" w:type="auto"/>
            <w:gridSpan w:val="3"/>
            <w:shd w:val="clear" w:color="auto" w:fill="auto"/>
          </w:tcPr>
          <w:p w14:paraId="5EA2527A" w14:textId="77777777" w:rsidR="003C66EB" w:rsidRDefault="003C66EB">
            <w:pPr>
              <w:rPr>
                <w:rFonts w:ascii="宋体"/>
                <w:vanish/>
              </w:rPr>
            </w:pPr>
          </w:p>
        </w:tc>
        <w:tc>
          <w:tcPr>
            <w:tcW w:w="0" w:type="auto"/>
            <w:gridSpan w:val="3"/>
            <w:shd w:val="clear" w:color="auto" w:fill="auto"/>
          </w:tcPr>
          <w:p w14:paraId="5EA2527B" w14:textId="77777777" w:rsidR="003C66EB" w:rsidRDefault="003C66EB">
            <w:pPr>
              <w:rPr>
                <w:rFonts w:ascii="宋体"/>
                <w:vanish/>
              </w:rPr>
            </w:pPr>
          </w:p>
        </w:tc>
        <w:tc>
          <w:tcPr>
            <w:tcW w:w="0" w:type="auto"/>
            <w:gridSpan w:val="3"/>
            <w:shd w:val="clear" w:color="auto" w:fill="auto"/>
          </w:tcPr>
          <w:p w14:paraId="5EA2527C" w14:textId="77777777" w:rsidR="003C66EB" w:rsidRDefault="003C66EB">
            <w:pPr>
              <w:rPr>
                <w:rFonts w:ascii="宋体"/>
                <w:vanish/>
              </w:rPr>
            </w:pPr>
          </w:p>
        </w:tc>
        <w:tc>
          <w:tcPr>
            <w:tcW w:w="0" w:type="auto"/>
            <w:gridSpan w:val="3"/>
            <w:shd w:val="clear" w:color="auto" w:fill="auto"/>
          </w:tcPr>
          <w:p w14:paraId="5EA2527D" w14:textId="77777777" w:rsidR="003C66EB" w:rsidRDefault="003C66EB">
            <w:pPr>
              <w:rPr>
                <w:rFonts w:ascii="宋体"/>
                <w:vanish/>
              </w:rPr>
            </w:pPr>
          </w:p>
        </w:tc>
        <w:tc>
          <w:tcPr>
            <w:tcW w:w="0" w:type="auto"/>
            <w:gridSpan w:val="3"/>
            <w:shd w:val="clear" w:color="auto" w:fill="auto"/>
          </w:tcPr>
          <w:p w14:paraId="5EA2527E" w14:textId="77777777" w:rsidR="003C66EB" w:rsidRDefault="003C66EB">
            <w:pPr>
              <w:rPr>
                <w:rFonts w:ascii="宋体"/>
                <w:vanish/>
              </w:rPr>
            </w:pPr>
          </w:p>
        </w:tc>
        <w:tc>
          <w:tcPr>
            <w:tcW w:w="0" w:type="auto"/>
            <w:gridSpan w:val="3"/>
            <w:shd w:val="clear" w:color="auto" w:fill="auto"/>
          </w:tcPr>
          <w:p w14:paraId="5EA2527F" w14:textId="77777777" w:rsidR="003C66EB" w:rsidRDefault="003C66EB">
            <w:pPr>
              <w:rPr>
                <w:rFonts w:ascii="宋体"/>
                <w:vanish/>
              </w:rPr>
            </w:pPr>
          </w:p>
        </w:tc>
        <w:tc>
          <w:tcPr>
            <w:tcW w:w="0" w:type="auto"/>
            <w:shd w:val="clear" w:color="auto" w:fill="auto"/>
          </w:tcPr>
          <w:p w14:paraId="5EA25280" w14:textId="77777777" w:rsidR="003C66EB" w:rsidRDefault="003C66EB">
            <w:pPr>
              <w:rPr>
                <w:rFonts w:ascii="宋体"/>
                <w:vanish/>
              </w:rPr>
            </w:pPr>
          </w:p>
        </w:tc>
        <w:tc>
          <w:tcPr>
            <w:tcW w:w="0" w:type="auto"/>
            <w:shd w:val="clear" w:color="auto" w:fill="auto"/>
          </w:tcPr>
          <w:p w14:paraId="5EA25281" w14:textId="77777777" w:rsidR="003C66EB" w:rsidRDefault="003C66EB">
            <w:pPr>
              <w:rPr>
                <w:rFonts w:ascii="宋体"/>
                <w:vanish/>
              </w:rPr>
            </w:pPr>
          </w:p>
        </w:tc>
        <w:tc>
          <w:tcPr>
            <w:tcW w:w="0" w:type="auto"/>
            <w:gridSpan w:val="3"/>
            <w:shd w:val="clear" w:color="auto" w:fill="auto"/>
          </w:tcPr>
          <w:p w14:paraId="5EA25282" w14:textId="77777777" w:rsidR="003C66EB" w:rsidRDefault="003C66EB">
            <w:pPr>
              <w:rPr>
                <w:rFonts w:ascii="宋体"/>
                <w:vanish/>
              </w:rPr>
            </w:pPr>
          </w:p>
        </w:tc>
        <w:tc>
          <w:tcPr>
            <w:tcW w:w="0" w:type="auto"/>
            <w:gridSpan w:val="3"/>
            <w:shd w:val="clear" w:color="auto" w:fill="auto"/>
          </w:tcPr>
          <w:p w14:paraId="5EA25283" w14:textId="77777777" w:rsidR="003C66EB" w:rsidRDefault="003C66EB">
            <w:pPr>
              <w:rPr>
                <w:rFonts w:ascii="宋体"/>
                <w:vanish/>
              </w:rPr>
            </w:pPr>
          </w:p>
        </w:tc>
        <w:tc>
          <w:tcPr>
            <w:tcW w:w="0" w:type="auto"/>
            <w:gridSpan w:val="3"/>
            <w:shd w:val="clear" w:color="auto" w:fill="auto"/>
          </w:tcPr>
          <w:p w14:paraId="5EA25284" w14:textId="77777777" w:rsidR="003C66EB" w:rsidRDefault="003C66EB">
            <w:pPr>
              <w:rPr>
                <w:rFonts w:ascii="宋体"/>
                <w:vanish/>
              </w:rPr>
            </w:pPr>
          </w:p>
        </w:tc>
        <w:tc>
          <w:tcPr>
            <w:tcW w:w="0" w:type="auto"/>
            <w:gridSpan w:val="3"/>
            <w:shd w:val="clear" w:color="auto" w:fill="auto"/>
          </w:tcPr>
          <w:p w14:paraId="5EA25285" w14:textId="77777777" w:rsidR="003C66EB" w:rsidRDefault="003C66EB">
            <w:pPr>
              <w:rPr>
                <w:rFonts w:ascii="宋体"/>
                <w:vanish/>
              </w:rPr>
            </w:pPr>
          </w:p>
        </w:tc>
        <w:tc>
          <w:tcPr>
            <w:tcW w:w="0" w:type="auto"/>
            <w:gridSpan w:val="3"/>
            <w:shd w:val="clear" w:color="auto" w:fill="auto"/>
          </w:tcPr>
          <w:p w14:paraId="5EA25286" w14:textId="77777777" w:rsidR="003C66EB" w:rsidRDefault="003C66EB">
            <w:pPr>
              <w:rPr>
                <w:rFonts w:ascii="宋体"/>
                <w:vanish/>
              </w:rPr>
            </w:pPr>
          </w:p>
        </w:tc>
      </w:tr>
      <w:tr w:rsidR="003C66EB" w14:paraId="5EA252AA" w14:textId="77777777">
        <w:tc>
          <w:tcPr>
            <w:tcW w:w="0" w:type="auto"/>
            <w:gridSpan w:val="3"/>
            <w:shd w:val="clear" w:color="auto" w:fill="CCEEFF"/>
            <w:tcMar>
              <w:top w:w="40" w:type="dxa"/>
              <w:left w:w="20" w:type="dxa"/>
              <w:bottom w:w="40" w:type="dxa"/>
              <w:right w:w="20" w:type="dxa"/>
            </w:tcMar>
            <w:vAlign w:val="bottom"/>
          </w:tcPr>
          <w:p w14:paraId="5EA25288" w14:textId="77777777" w:rsidR="003C66EB" w:rsidRDefault="00D96C4E">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5EA2528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8A" w14:textId="77777777" w:rsidR="003C66EB" w:rsidRDefault="00D96C4E">
            <w:pPr>
              <w:jc w:val="right"/>
              <w:textAlignment w:val="bottom"/>
            </w:pPr>
            <w:r>
              <w:rPr>
                <w:rFonts w:ascii="Arial" w:eastAsia="宋体" w:hAnsi="Arial" w:cs="Arial"/>
                <w:color w:val="000000"/>
                <w:sz w:val="14"/>
                <w:szCs w:val="14"/>
              </w:rPr>
              <w:t>3,935 </w:t>
            </w:r>
          </w:p>
        </w:tc>
        <w:tc>
          <w:tcPr>
            <w:tcW w:w="0" w:type="auto"/>
            <w:shd w:val="clear" w:color="auto" w:fill="CCEEFF"/>
            <w:tcMar>
              <w:top w:w="40" w:type="dxa"/>
              <w:left w:w="0" w:type="dxa"/>
              <w:bottom w:w="40" w:type="dxa"/>
              <w:right w:w="20" w:type="dxa"/>
            </w:tcMar>
            <w:vAlign w:val="bottom"/>
          </w:tcPr>
          <w:p w14:paraId="5EA2528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8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28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8E" w14:textId="77777777" w:rsidR="003C66EB" w:rsidRDefault="00D96C4E">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5EA2528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9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29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92" w14:textId="77777777" w:rsidR="003C66EB" w:rsidRDefault="00D96C4E">
            <w:pPr>
              <w:jc w:val="right"/>
              <w:textAlignment w:val="bottom"/>
            </w:pPr>
            <w:r>
              <w:rPr>
                <w:rFonts w:ascii="Arial" w:eastAsia="宋体" w:hAnsi="Arial" w:cs="Arial"/>
                <w:color w:val="000000"/>
                <w:sz w:val="14"/>
                <w:szCs w:val="14"/>
              </w:rPr>
              <w:t>1,918 </w:t>
            </w:r>
          </w:p>
        </w:tc>
        <w:tc>
          <w:tcPr>
            <w:tcW w:w="0" w:type="auto"/>
            <w:shd w:val="clear" w:color="auto" w:fill="CCEEFF"/>
            <w:tcMar>
              <w:top w:w="40" w:type="dxa"/>
              <w:left w:w="0" w:type="dxa"/>
              <w:bottom w:w="40" w:type="dxa"/>
              <w:right w:w="20" w:type="dxa"/>
            </w:tcMar>
            <w:vAlign w:val="bottom"/>
          </w:tcPr>
          <w:p w14:paraId="5EA252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9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29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96" w14:textId="77777777" w:rsidR="003C66EB" w:rsidRDefault="00D96C4E">
            <w:pPr>
              <w:jc w:val="right"/>
              <w:textAlignment w:val="bottom"/>
            </w:pPr>
            <w:r>
              <w:rPr>
                <w:rFonts w:ascii="Arial" w:eastAsia="宋体" w:hAnsi="Arial" w:cs="Arial"/>
                <w:color w:val="000000"/>
                <w:sz w:val="14"/>
                <w:szCs w:val="14"/>
              </w:rPr>
              <w:t>1,272 </w:t>
            </w:r>
          </w:p>
        </w:tc>
        <w:tc>
          <w:tcPr>
            <w:tcW w:w="0" w:type="auto"/>
            <w:shd w:val="clear" w:color="auto" w:fill="CCEEFF"/>
            <w:tcMar>
              <w:top w:w="40" w:type="dxa"/>
              <w:left w:w="0" w:type="dxa"/>
              <w:bottom w:w="40" w:type="dxa"/>
              <w:right w:w="20" w:type="dxa"/>
            </w:tcMar>
            <w:vAlign w:val="bottom"/>
          </w:tcPr>
          <w:p w14:paraId="5EA252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9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29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9A" w14:textId="77777777" w:rsidR="003C66EB" w:rsidRDefault="00D96C4E">
            <w:pPr>
              <w:jc w:val="right"/>
              <w:textAlignment w:val="bottom"/>
            </w:pPr>
            <w:r>
              <w:rPr>
                <w:rFonts w:ascii="Arial" w:eastAsia="宋体" w:hAnsi="Arial" w:cs="Arial"/>
                <w:color w:val="000000"/>
                <w:sz w:val="14"/>
                <w:szCs w:val="14"/>
              </w:rPr>
              <w:t>495 </w:t>
            </w:r>
          </w:p>
        </w:tc>
        <w:tc>
          <w:tcPr>
            <w:tcW w:w="0" w:type="auto"/>
            <w:shd w:val="clear" w:color="auto" w:fill="CCEEFF"/>
            <w:tcMar>
              <w:top w:w="40" w:type="dxa"/>
              <w:left w:w="0" w:type="dxa"/>
              <w:bottom w:w="40" w:type="dxa"/>
              <w:right w:w="20" w:type="dxa"/>
            </w:tcMar>
            <w:vAlign w:val="bottom"/>
          </w:tcPr>
          <w:p w14:paraId="5EA252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9C" w14:textId="77777777" w:rsidR="003C66EB" w:rsidRDefault="003C66EB">
            <w:pPr>
              <w:rPr>
                <w:rFonts w:ascii="宋体"/>
              </w:rPr>
            </w:pPr>
          </w:p>
        </w:tc>
        <w:tc>
          <w:tcPr>
            <w:tcW w:w="0" w:type="auto"/>
            <w:shd w:val="clear" w:color="auto" w:fill="auto"/>
          </w:tcPr>
          <w:p w14:paraId="5EA2529D" w14:textId="77777777" w:rsidR="003C66EB" w:rsidRDefault="003C66EB">
            <w:pPr>
              <w:rPr>
                <w:rFonts w:ascii="宋体"/>
                <w:vanish/>
              </w:rPr>
            </w:pPr>
          </w:p>
        </w:tc>
        <w:tc>
          <w:tcPr>
            <w:tcW w:w="0" w:type="auto"/>
            <w:shd w:val="clear" w:color="auto" w:fill="auto"/>
          </w:tcPr>
          <w:p w14:paraId="5EA2529E"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529F"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A0" w14:textId="77777777" w:rsidR="003C66EB" w:rsidRDefault="00D96C4E">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5EA252A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A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2A3"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A4" w14:textId="77777777" w:rsidR="003C66EB" w:rsidRDefault="00D96C4E">
            <w:pPr>
              <w:jc w:val="right"/>
              <w:textAlignment w:val="bottom"/>
            </w:pPr>
            <w:r>
              <w:rPr>
                <w:rFonts w:ascii="Arial" w:eastAsia="宋体" w:hAnsi="Arial" w:cs="Arial"/>
                <w:color w:val="000000"/>
                <w:sz w:val="14"/>
                <w:szCs w:val="14"/>
              </w:rPr>
              <w:t>17,897 </w:t>
            </w:r>
          </w:p>
        </w:tc>
        <w:tc>
          <w:tcPr>
            <w:tcW w:w="0" w:type="auto"/>
            <w:shd w:val="clear" w:color="auto" w:fill="CCEEFF"/>
            <w:tcMar>
              <w:top w:w="40" w:type="dxa"/>
              <w:left w:w="0" w:type="dxa"/>
              <w:bottom w:w="40" w:type="dxa"/>
              <w:right w:w="20" w:type="dxa"/>
            </w:tcMar>
            <w:vAlign w:val="bottom"/>
          </w:tcPr>
          <w:p w14:paraId="5EA252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2A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2A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2A8" w14:textId="77777777" w:rsidR="003C66EB" w:rsidRDefault="00D96C4E">
            <w:pPr>
              <w:jc w:val="right"/>
              <w:textAlignment w:val="bottom"/>
            </w:pPr>
            <w:r>
              <w:rPr>
                <w:rFonts w:ascii="Arial" w:eastAsia="宋体" w:hAnsi="Arial" w:cs="Arial"/>
                <w:color w:val="000000"/>
                <w:sz w:val="14"/>
                <w:szCs w:val="14"/>
              </w:rPr>
              <w:t>27,925 </w:t>
            </w:r>
          </w:p>
        </w:tc>
        <w:tc>
          <w:tcPr>
            <w:tcW w:w="0" w:type="auto"/>
            <w:shd w:val="clear" w:color="auto" w:fill="CCEEFF"/>
            <w:tcMar>
              <w:top w:w="40" w:type="dxa"/>
              <w:left w:w="0" w:type="dxa"/>
              <w:bottom w:w="40" w:type="dxa"/>
              <w:right w:w="20" w:type="dxa"/>
            </w:tcMar>
            <w:vAlign w:val="bottom"/>
          </w:tcPr>
          <w:p w14:paraId="5EA252A9" w14:textId="77777777" w:rsidR="003C66EB" w:rsidRDefault="003C66EB">
            <w:pPr>
              <w:jc w:val="right"/>
              <w:rPr>
                <w:rFonts w:ascii="宋体"/>
              </w:rPr>
            </w:pPr>
          </w:p>
        </w:tc>
      </w:tr>
      <w:tr w:rsidR="003C66EB" w14:paraId="5EA252BD" w14:textId="77777777">
        <w:trPr>
          <w:hidden/>
        </w:trPr>
        <w:tc>
          <w:tcPr>
            <w:tcW w:w="0" w:type="auto"/>
            <w:gridSpan w:val="3"/>
            <w:shd w:val="clear" w:color="auto" w:fill="auto"/>
          </w:tcPr>
          <w:p w14:paraId="5EA252AB" w14:textId="77777777" w:rsidR="003C66EB" w:rsidRDefault="003C66EB">
            <w:pPr>
              <w:rPr>
                <w:rFonts w:ascii="宋体"/>
                <w:vanish/>
              </w:rPr>
            </w:pPr>
          </w:p>
        </w:tc>
        <w:tc>
          <w:tcPr>
            <w:tcW w:w="0" w:type="auto"/>
            <w:gridSpan w:val="3"/>
            <w:shd w:val="clear" w:color="auto" w:fill="auto"/>
          </w:tcPr>
          <w:p w14:paraId="5EA252AC" w14:textId="77777777" w:rsidR="003C66EB" w:rsidRDefault="003C66EB">
            <w:pPr>
              <w:rPr>
                <w:rFonts w:ascii="宋体"/>
                <w:vanish/>
              </w:rPr>
            </w:pPr>
          </w:p>
        </w:tc>
        <w:tc>
          <w:tcPr>
            <w:tcW w:w="0" w:type="auto"/>
            <w:gridSpan w:val="3"/>
            <w:shd w:val="clear" w:color="auto" w:fill="auto"/>
          </w:tcPr>
          <w:p w14:paraId="5EA252AD" w14:textId="77777777" w:rsidR="003C66EB" w:rsidRDefault="003C66EB">
            <w:pPr>
              <w:rPr>
                <w:rFonts w:ascii="宋体"/>
                <w:vanish/>
              </w:rPr>
            </w:pPr>
          </w:p>
        </w:tc>
        <w:tc>
          <w:tcPr>
            <w:tcW w:w="0" w:type="auto"/>
            <w:gridSpan w:val="3"/>
            <w:shd w:val="clear" w:color="auto" w:fill="auto"/>
          </w:tcPr>
          <w:p w14:paraId="5EA252AE" w14:textId="77777777" w:rsidR="003C66EB" w:rsidRDefault="003C66EB">
            <w:pPr>
              <w:rPr>
                <w:rFonts w:ascii="宋体"/>
                <w:vanish/>
              </w:rPr>
            </w:pPr>
          </w:p>
        </w:tc>
        <w:tc>
          <w:tcPr>
            <w:tcW w:w="0" w:type="auto"/>
            <w:gridSpan w:val="3"/>
            <w:shd w:val="clear" w:color="auto" w:fill="auto"/>
          </w:tcPr>
          <w:p w14:paraId="5EA252AF" w14:textId="77777777" w:rsidR="003C66EB" w:rsidRDefault="003C66EB">
            <w:pPr>
              <w:rPr>
                <w:rFonts w:ascii="宋体"/>
                <w:vanish/>
              </w:rPr>
            </w:pPr>
          </w:p>
        </w:tc>
        <w:tc>
          <w:tcPr>
            <w:tcW w:w="0" w:type="auto"/>
            <w:gridSpan w:val="3"/>
            <w:shd w:val="clear" w:color="auto" w:fill="auto"/>
          </w:tcPr>
          <w:p w14:paraId="5EA252B0" w14:textId="77777777" w:rsidR="003C66EB" w:rsidRDefault="003C66EB">
            <w:pPr>
              <w:rPr>
                <w:rFonts w:ascii="宋体"/>
                <w:vanish/>
              </w:rPr>
            </w:pPr>
          </w:p>
        </w:tc>
        <w:tc>
          <w:tcPr>
            <w:tcW w:w="0" w:type="auto"/>
            <w:gridSpan w:val="3"/>
            <w:shd w:val="clear" w:color="auto" w:fill="auto"/>
          </w:tcPr>
          <w:p w14:paraId="5EA252B1" w14:textId="77777777" w:rsidR="003C66EB" w:rsidRDefault="003C66EB">
            <w:pPr>
              <w:rPr>
                <w:rFonts w:ascii="宋体"/>
                <w:vanish/>
              </w:rPr>
            </w:pPr>
          </w:p>
        </w:tc>
        <w:tc>
          <w:tcPr>
            <w:tcW w:w="0" w:type="auto"/>
            <w:gridSpan w:val="3"/>
            <w:shd w:val="clear" w:color="auto" w:fill="auto"/>
          </w:tcPr>
          <w:p w14:paraId="5EA252B2" w14:textId="77777777" w:rsidR="003C66EB" w:rsidRDefault="003C66EB">
            <w:pPr>
              <w:rPr>
                <w:rFonts w:ascii="宋体"/>
                <w:vanish/>
              </w:rPr>
            </w:pPr>
          </w:p>
        </w:tc>
        <w:tc>
          <w:tcPr>
            <w:tcW w:w="0" w:type="auto"/>
            <w:gridSpan w:val="3"/>
            <w:shd w:val="clear" w:color="auto" w:fill="auto"/>
          </w:tcPr>
          <w:p w14:paraId="5EA252B3" w14:textId="77777777" w:rsidR="003C66EB" w:rsidRDefault="003C66EB">
            <w:pPr>
              <w:rPr>
                <w:rFonts w:ascii="宋体"/>
                <w:vanish/>
              </w:rPr>
            </w:pPr>
          </w:p>
        </w:tc>
        <w:tc>
          <w:tcPr>
            <w:tcW w:w="0" w:type="auto"/>
            <w:gridSpan w:val="3"/>
            <w:shd w:val="clear" w:color="auto" w:fill="auto"/>
          </w:tcPr>
          <w:p w14:paraId="5EA252B4" w14:textId="77777777" w:rsidR="003C66EB" w:rsidRDefault="003C66EB">
            <w:pPr>
              <w:rPr>
                <w:rFonts w:ascii="宋体"/>
                <w:vanish/>
              </w:rPr>
            </w:pPr>
          </w:p>
        </w:tc>
        <w:tc>
          <w:tcPr>
            <w:tcW w:w="0" w:type="auto"/>
            <w:gridSpan w:val="3"/>
            <w:shd w:val="clear" w:color="auto" w:fill="auto"/>
          </w:tcPr>
          <w:p w14:paraId="5EA252B5" w14:textId="77777777" w:rsidR="003C66EB" w:rsidRDefault="003C66EB">
            <w:pPr>
              <w:rPr>
                <w:rFonts w:ascii="宋体"/>
                <w:vanish/>
              </w:rPr>
            </w:pPr>
          </w:p>
        </w:tc>
        <w:tc>
          <w:tcPr>
            <w:tcW w:w="0" w:type="auto"/>
            <w:shd w:val="clear" w:color="auto" w:fill="auto"/>
          </w:tcPr>
          <w:p w14:paraId="5EA252B6" w14:textId="77777777" w:rsidR="003C66EB" w:rsidRDefault="003C66EB">
            <w:pPr>
              <w:rPr>
                <w:rFonts w:ascii="宋体"/>
                <w:vanish/>
              </w:rPr>
            </w:pPr>
          </w:p>
        </w:tc>
        <w:tc>
          <w:tcPr>
            <w:tcW w:w="0" w:type="auto"/>
            <w:shd w:val="clear" w:color="auto" w:fill="auto"/>
          </w:tcPr>
          <w:p w14:paraId="5EA252B7" w14:textId="77777777" w:rsidR="003C66EB" w:rsidRDefault="003C66EB">
            <w:pPr>
              <w:rPr>
                <w:rFonts w:ascii="宋体"/>
                <w:vanish/>
              </w:rPr>
            </w:pPr>
          </w:p>
        </w:tc>
        <w:tc>
          <w:tcPr>
            <w:tcW w:w="0" w:type="auto"/>
            <w:gridSpan w:val="3"/>
            <w:shd w:val="clear" w:color="auto" w:fill="auto"/>
          </w:tcPr>
          <w:p w14:paraId="5EA252B8" w14:textId="77777777" w:rsidR="003C66EB" w:rsidRDefault="003C66EB">
            <w:pPr>
              <w:rPr>
                <w:rFonts w:ascii="宋体"/>
                <w:vanish/>
              </w:rPr>
            </w:pPr>
          </w:p>
        </w:tc>
        <w:tc>
          <w:tcPr>
            <w:tcW w:w="0" w:type="auto"/>
            <w:gridSpan w:val="3"/>
            <w:shd w:val="clear" w:color="auto" w:fill="auto"/>
          </w:tcPr>
          <w:p w14:paraId="5EA252B9" w14:textId="77777777" w:rsidR="003C66EB" w:rsidRDefault="003C66EB">
            <w:pPr>
              <w:rPr>
                <w:rFonts w:ascii="宋体"/>
                <w:vanish/>
              </w:rPr>
            </w:pPr>
          </w:p>
        </w:tc>
        <w:tc>
          <w:tcPr>
            <w:tcW w:w="0" w:type="auto"/>
            <w:gridSpan w:val="3"/>
            <w:shd w:val="clear" w:color="auto" w:fill="auto"/>
          </w:tcPr>
          <w:p w14:paraId="5EA252BA" w14:textId="77777777" w:rsidR="003C66EB" w:rsidRDefault="003C66EB">
            <w:pPr>
              <w:rPr>
                <w:rFonts w:ascii="宋体"/>
                <w:vanish/>
              </w:rPr>
            </w:pPr>
          </w:p>
        </w:tc>
        <w:tc>
          <w:tcPr>
            <w:tcW w:w="0" w:type="auto"/>
            <w:gridSpan w:val="3"/>
            <w:shd w:val="clear" w:color="auto" w:fill="auto"/>
          </w:tcPr>
          <w:p w14:paraId="5EA252BB" w14:textId="77777777" w:rsidR="003C66EB" w:rsidRDefault="003C66EB">
            <w:pPr>
              <w:rPr>
                <w:rFonts w:ascii="宋体"/>
                <w:vanish/>
              </w:rPr>
            </w:pPr>
          </w:p>
        </w:tc>
        <w:tc>
          <w:tcPr>
            <w:tcW w:w="0" w:type="auto"/>
            <w:gridSpan w:val="3"/>
            <w:shd w:val="clear" w:color="auto" w:fill="auto"/>
          </w:tcPr>
          <w:p w14:paraId="5EA252BC" w14:textId="77777777" w:rsidR="003C66EB" w:rsidRDefault="003C66EB">
            <w:pPr>
              <w:rPr>
                <w:rFonts w:ascii="宋体"/>
                <w:vanish/>
              </w:rPr>
            </w:pPr>
          </w:p>
        </w:tc>
      </w:tr>
      <w:tr w:rsidR="003C66EB" w14:paraId="5EA252D0" w14:textId="77777777">
        <w:trPr>
          <w:hidden/>
        </w:trPr>
        <w:tc>
          <w:tcPr>
            <w:tcW w:w="0" w:type="auto"/>
            <w:gridSpan w:val="3"/>
            <w:shd w:val="clear" w:color="auto" w:fill="auto"/>
          </w:tcPr>
          <w:p w14:paraId="5EA252BE" w14:textId="77777777" w:rsidR="003C66EB" w:rsidRDefault="003C66EB">
            <w:pPr>
              <w:rPr>
                <w:rFonts w:ascii="宋体"/>
                <w:vanish/>
              </w:rPr>
            </w:pPr>
          </w:p>
        </w:tc>
        <w:tc>
          <w:tcPr>
            <w:tcW w:w="0" w:type="auto"/>
            <w:gridSpan w:val="3"/>
            <w:shd w:val="clear" w:color="auto" w:fill="auto"/>
          </w:tcPr>
          <w:p w14:paraId="5EA252BF" w14:textId="77777777" w:rsidR="003C66EB" w:rsidRDefault="003C66EB">
            <w:pPr>
              <w:rPr>
                <w:rFonts w:ascii="宋体"/>
                <w:vanish/>
              </w:rPr>
            </w:pPr>
          </w:p>
        </w:tc>
        <w:tc>
          <w:tcPr>
            <w:tcW w:w="0" w:type="auto"/>
            <w:gridSpan w:val="3"/>
            <w:shd w:val="clear" w:color="auto" w:fill="auto"/>
          </w:tcPr>
          <w:p w14:paraId="5EA252C0" w14:textId="77777777" w:rsidR="003C66EB" w:rsidRDefault="003C66EB">
            <w:pPr>
              <w:rPr>
                <w:rFonts w:ascii="宋体"/>
                <w:vanish/>
              </w:rPr>
            </w:pPr>
          </w:p>
        </w:tc>
        <w:tc>
          <w:tcPr>
            <w:tcW w:w="0" w:type="auto"/>
            <w:gridSpan w:val="3"/>
            <w:shd w:val="clear" w:color="auto" w:fill="auto"/>
          </w:tcPr>
          <w:p w14:paraId="5EA252C1" w14:textId="77777777" w:rsidR="003C66EB" w:rsidRDefault="003C66EB">
            <w:pPr>
              <w:rPr>
                <w:rFonts w:ascii="宋体"/>
                <w:vanish/>
              </w:rPr>
            </w:pPr>
          </w:p>
        </w:tc>
        <w:tc>
          <w:tcPr>
            <w:tcW w:w="0" w:type="auto"/>
            <w:gridSpan w:val="3"/>
            <w:shd w:val="clear" w:color="auto" w:fill="auto"/>
          </w:tcPr>
          <w:p w14:paraId="5EA252C2" w14:textId="77777777" w:rsidR="003C66EB" w:rsidRDefault="003C66EB">
            <w:pPr>
              <w:rPr>
                <w:rFonts w:ascii="宋体"/>
                <w:vanish/>
              </w:rPr>
            </w:pPr>
          </w:p>
        </w:tc>
        <w:tc>
          <w:tcPr>
            <w:tcW w:w="0" w:type="auto"/>
            <w:gridSpan w:val="3"/>
            <w:shd w:val="clear" w:color="auto" w:fill="auto"/>
          </w:tcPr>
          <w:p w14:paraId="5EA252C3" w14:textId="77777777" w:rsidR="003C66EB" w:rsidRDefault="003C66EB">
            <w:pPr>
              <w:rPr>
                <w:rFonts w:ascii="宋体"/>
                <w:vanish/>
              </w:rPr>
            </w:pPr>
          </w:p>
        </w:tc>
        <w:tc>
          <w:tcPr>
            <w:tcW w:w="0" w:type="auto"/>
            <w:gridSpan w:val="3"/>
            <w:shd w:val="clear" w:color="auto" w:fill="auto"/>
          </w:tcPr>
          <w:p w14:paraId="5EA252C4" w14:textId="77777777" w:rsidR="003C66EB" w:rsidRDefault="003C66EB">
            <w:pPr>
              <w:rPr>
                <w:rFonts w:ascii="宋体"/>
                <w:vanish/>
              </w:rPr>
            </w:pPr>
          </w:p>
        </w:tc>
        <w:tc>
          <w:tcPr>
            <w:tcW w:w="0" w:type="auto"/>
            <w:gridSpan w:val="3"/>
            <w:shd w:val="clear" w:color="auto" w:fill="auto"/>
          </w:tcPr>
          <w:p w14:paraId="5EA252C5" w14:textId="77777777" w:rsidR="003C66EB" w:rsidRDefault="003C66EB">
            <w:pPr>
              <w:rPr>
                <w:rFonts w:ascii="宋体"/>
                <w:vanish/>
              </w:rPr>
            </w:pPr>
          </w:p>
        </w:tc>
        <w:tc>
          <w:tcPr>
            <w:tcW w:w="0" w:type="auto"/>
            <w:gridSpan w:val="3"/>
            <w:shd w:val="clear" w:color="auto" w:fill="auto"/>
          </w:tcPr>
          <w:p w14:paraId="5EA252C6" w14:textId="77777777" w:rsidR="003C66EB" w:rsidRDefault="003C66EB">
            <w:pPr>
              <w:rPr>
                <w:rFonts w:ascii="宋体"/>
                <w:vanish/>
              </w:rPr>
            </w:pPr>
          </w:p>
        </w:tc>
        <w:tc>
          <w:tcPr>
            <w:tcW w:w="0" w:type="auto"/>
            <w:gridSpan w:val="3"/>
            <w:shd w:val="clear" w:color="auto" w:fill="auto"/>
          </w:tcPr>
          <w:p w14:paraId="5EA252C7" w14:textId="77777777" w:rsidR="003C66EB" w:rsidRDefault="003C66EB">
            <w:pPr>
              <w:rPr>
                <w:rFonts w:ascii="宋体"/>
                <w:vanish/>
              </w:rPr>
            </w:pPr>
          </w:p>
        </w:tc>
        <w:tc>
          <w:tcPr>
            <w:tcW w:w="0" w:type="auto"/>
            <w:gridSpan w:val="3"/>
            <w:shd w:val="clear" w:color="auto" w:fill="auto"/>
          </w:tcPr>
          <w:p w14:paraId="5EA252C8" w14:textId="77777777" w:rsidR="003C66EB" w:rsidRDefault="003C66EB">
            <w:pPr>
              <w:rPr>
                <w:rFonts w:ascii="宋体"/>
                <w:vanish/>
              </w:rPr>
            </w:pPr>
          </w:p>
        </w:tc>
        <w:tc>
          <w:tcPr>
            <w:tcW w:w="0" w:type="auto"/>
            <w:shd w:val="clear" w:color="auto" w:fill="auto"/>
          </w:tcPr>
          <w:p w14:paraId="5EA252C9" w14:textId="77777777" w:rsidR="003C66EB" w:rsidRDefault="003C66EB">
            <w:pPr>
              <w:rPr>
                <w:rFonts w:ascii="宋体"/>
                <w:vanish/>
              </w:rPr>
            </w:pPr>
          </w:p>
        </w:tc>
        <w:tc>
          <w:tcPr>
            <w:tcW w:w="0" w:type="auto"/>
            <w:shd w:val="clear" w:color="auto" w:fill="auto"/>
          </w:tcPr>
          <w:p w14:paraId="5EA252CA" w14:textId="77777777" w:rsidR="003C66EB" w:rsidRDefault="003C66EB">
            <w:pPr>
              <w:rPr>
                <w:rFonts w:ascii="宋体"/>
                <w:vanish/>
              </w:rPr>
            </w:pPr>
          </w:p>
        </w:tc>
        <w:tc>
          <w:tcPr>
            <w:tcW w:w="0" w:type="auto"/>
            <w:gridSpan w:val="3"/>
            <w:shd w:val="clear" w:color="auto" w:fill="auto"/>
          </w:tcPr>
          <w:p w14:paraId="5EA252CB" w14:textId="77777777" w:rsidR="003C66EB" w:rsidRDefault="003C66EB">
            <w:pPr>
              <w:rPr>
                <w:rFonts w:ascii="宋体"/>
                <w:vanish/>
              </w:rPr>
            </w:pPr>
          </w:p>
        </w:tc>
        <w:tc>
          <w:tcPr>
            <w:tcW w:w="0" w:type="auto"/>
            <w:gridSpan w:val="3"/>
            <w:shd w:val="clear" w:color="auto" w:fill="auto"/>
          </w:tcPr>
          <w:p w14:paraId="5EA252CC" w14:textId="77777777" w:rsidR="003C66EB" w:rsidRDefault="003C66EB">
            <w:pPr>
              <w:rPr>
                <w:rFonts w:ascii="宋体"/>
                <w:vanish/>
              </w:rPr>
            </w:pPr>
          </w:p>
        </w:tc>
        <w:tc>
          <w:tcPr>
            <w:tcW w:w="0" w:type="auto"/>
            <w:gridSpan w:val="3"/>
            <w:shd w:val="clear" w:color="auto" w:fill="auto"/>
          </w:tcPr>
          <w:p w14:paraId="5EA252CD" w14:textId="77777777" w:rsidR="003C66EB" w:rsidRDefault="003C66EB">
            <w:pPr>
              <w:rPr>
                <w:rFonts w:ascii="宋体"/>
                <w:vanish/>
              </w:rPr>
            </w:pPr>
          </w:p>
        </w:tc>
        <w:tc>
          <w:tcPr>
            <w:tcW w:w="0" w:type="auto"/>
            <w:gridSpan w:val="3"/>
            <w:shd w:val="clear" w:color="auto" w:fill="auto"/>
          </w:tcPr>
          <w:p w14:paraId="5EA252CE" w14:textId="77777777" w:rsidR="003C66EB" w:rsidRDefault="003C66EB">
            <w:pPr>
              <w:rPr>
                <w:rFonts w:ascii="宋体"/>
                <w:vanish/>
              </w:rPr>
            </w:pPr>
          </w:p>
        </w:tc>
        <w:tc>
          <w:tcPr>
            <w:tcW w:w="0" w:type="auto"/>
            <w:gridSpan w:val="3"/>
            <w:shd w:val="clear" w:color="auto" w:fill="auto"/>
          </w:tcPr>
          <w:p w14:paraId="5EA252CF" w14:textId="77777777" w:rsidR="003C66EB" w:rsidRDefault="003C66EB">
            <w:pPr>
              <w:rPr>
                <w:rFonts w:ascii="宋体"/>
                <w:vanish/>
              </w:rPr>
            </w:pPr>
          </w:p>
        </w:tc>
      </w:tr>
      <w:tr w:rsidR="003C66EB" w14:paraId="5EA252E3" w14:textId="77777777">
        <w:trPr>
          <w:hidden/>
        </w:trPr>
        <w:tc>
          <w:tcPr>
            <w:tcW w:w="0" w:type="auto"/>
            <w:gridSpan w:val="3"/>
            <w:shd w:val="clear" w:color="auto" w:fill="auto"/>
          </w:tcPr>
          <w:p w14:paraId="5EA252D1" w14:textId="77777777" w:rsidR="003C66EB" w:rsidRDefault="003C66EB">
            <w:pPr>
              <w:rPr>
                <w:rFonts w:ascii="宋体"/>
                <w:vanish/>
              </w:rPr>
            </w:pPr>
          </w:p>
        </w:tc>
        <w:tc>
          <w:tcPr>
            <w:tcW w:w="0" w:type="auto"/>
            <w:gridSpan w:val="3"/>
            <w:shd w:val="clear" w:color="auto" w:fill="auto"/>
          </w:tcPr>
          <w:p w14:paraId="5EA252D2" w14:textId="77777777" w:rsidR="003C66EB" w:rsidRDefault="003C66EB">
            <w:pPr>
              <w:rPr>
                <w:rFonts w:ascii="宋体"/>
                <w:vanish/>
              </w:rPr>
            </w:pPr>
          </w:p>
        </w:tc>
        <w:tc>
          <w:tcPr>
            <w:tcW w:w="0" w:type="auto"/>
            <w:gridSpan w:val="3"/>
            <w:shd w:val="clear" w:color="auto" w:fill="auto"/>
          </w:tcPr>
          <w:p w14:paraId="5EA252D3" w14:textId="77777777" w:rsidR="003C66EB" w:rsidRDefault="003C66EB">
            <w:pPr>
              <w:rPr>
                <w:rFonts w:ascii="宋体"/>
                <w:vanish/>
              </w:rPr>
            </w:pPr>
          </w:p>
        </w:tc>
        <w:tc>
          <w:tcPr>
            <w:tcW w:w="0" w:type="auto"/>
            <w:gridSpan w:val="3"/>
            <w:shd w:val="clear" w:color="auto" w:fill="auto"/>
          </w:tcPr>
          <w:p w14:paraId="5EA252D4" w14:textId="77777777" w:rsidR="003C66EB" w:rsidRDefault="003C66EB">
            <w:pPr>
              <w:rPr>
                <w:rFonts w:ascii="宋体"/>
                <w:vanish/>
              </w:rPr>
            </w:pPr>
          </w:p>
        </w:tc>
        <w:tc>
          <w:tcPr>
            <w:tcW w:w="0" w:type="auto"/>
            <w:gridSpan w:val="3"/>
            <w:shd w:val="clear" w:color="auto" w:fill="auto"/>
          </w:tcPr>
          <w:p w14:paraId="5EA252D5" w14:textId="77777777" w:rsidR="003C66EB" w:rsidRDefault="003C66EB">
            <w:pPr>
              <w:rPr>
                <w:rFonts w:ascii="宋体"/>
                <w:vanish/>
              </w:rPr>
            </w:pPr>
          </w:p>
        </w:tc>
        <w:tc>
          <w:tcPr>
            <w:tcW w:w="0" w:type="auto"/>
            <w:gridSpan w:val="3"/>
            <w:shd w:val="clear" w:color="auto" w:fill="auto"/>
          </w:tcPr>
          <w:p w14:paraId="5EA252D6" w14:textId="77777777" w:rsidR="003C66EB" w:rsidRDefault="003C66EB">
            <w:pPr>
              <w:rPr>
                <w:rFonts w:ascii="宋体"/>
                <w:vanish/>
              </w:rPr>
            </w:pPr>
          </w:p>
        </w:tc>
        <w:tc>
          <w:tcPr>
            <w:tcW w:w="0" w:type="auto"/>
            <w:gridSpan w:val="3"/>
            <w:shd w:val="clear" w:color="auto" w:fill="auto"/>
          </w:tcPr>
          <w:p w14:paraId="5EA252D7" w14:textId="77777777" w:rsidR="003C66EB" w:rsidRDefault="003C66EB">
            <w:pPr>
              <w:rPr>
                <w:rFonts w:ascii="宋体"/>
                <w:vanish/>
              </w:rPr>
            </w:pPr>
          </w:p>
        </w:tc>
        <w:tc>
          <w:tcPr>
            <w:tcW w:w="0" w:type="auto"/>
            <w:gridSpan w:val="3"/>
            <w:shd w:val="clear" w:color="auto" w:fill="auto"/>
          </w:tcPr>
          <w:p w14:paraId="5EA252D8" w14:textId="77777777" w:rsidR="003C66EB" w:rsidRDefault="003C66EB">
            <w:pPr>
              <w:rPr>
                <w:rFonts w:ascii="宋体"/>
                <w:vanish/>
              </w:rPr>
            </w:pPr>
          </w:p>
        </w:tc>
        <w:tc>
          <w:tcPr>
            <w:tcW w:w="0" w:type="auto"/>
            <w:gridSpan w:val="3"/>
            <w:shd w:val="clear" w:color="auto" w:fill="auto"/>
          </w:tcPr>
          <w:p w14:paraId="5EA252D9" w14:textId="77777777" w:rsidR="003C66EB" w:rsidRDefault="003C66EB">
            <w:pPr>
              <w:rPr>
                <w:rFonts w:ascii="宋体"/>
                <w:vanish/>
              </w:rPr>
            </w:pPr>
          </w:p>
        </w:tc>
        <w:tc>
          <w:tcPr>
            <w:tcW w:w="0" w:type="auto"/>
            <w:gridSpan w:val="3"/>
            <w:shd w:val="clear" w:color="auto" w:fill="auto"/>
          </w:tcPr>
          <w:p w14:paraId="5EA252DA" w14:textId="77777777" w:rsidR="003C66EB" w:rsidRDefault="003C66EB">
            <w:pPr>
              <w:rPr>
                <w:rFonts w:ascii="宋体"/>
                <w:vanish/>
              </w:rPr>
            </w:pPr>
          </w:p>
        </w:tc>
        <w:tc>
          <w:tcPr>
            <w:tcW w:w="0" w:type="auto"/>
            <w:gridSpan w:val="3"/>
            <w:shd w:val="clear" w:color="auto" w:fill="auto"/>
          </w:tcPr>
          <w:p w14:paraId="5EA252DB" w14:textId="77777777" w:rsidR="003C66EB" w:rsidRDefault="003C66EB">
            <w:pPr>
              <w:rPr>
                <w:rFonts w:ascii="宋体"/>
                <w:vanish/>
              </w:rPr>
            </w:pPr>
          </w:p>
        </w:tc>
        <w:tc>
          <w:tcPr>
            <w:tcW w:w="0" w:type="auto"/>
            <w:shd w:val="clear" w:color="auto" w:fill="auto"/>
          </w:tcPr>
          <w:p w14:paraId="5EA252DC" w14:textId="77777777" w:rsidR="003C66EB" w:rsidRDefault="003C66EB">
            <w:pPr>
              <w:rPr>
                <w:rFonts w:ascii="宋体"/>
                <w:vanish/>
              </w:rPr>
            </w:pPr>
          </w:p>
        </w:tc>
        <w:tc>
          <w:tcPr>
            <w:tcW w:w="0" w:type="auto"/>
            <w:shd w:val="clear" w:color="auto" w:fill="auto"/>
          </w:tcPr>
          <w:p w14:paraId="5EA252DD" w14:textId="77777777" w:rsidR="003C66EB" w:rsidRDefault="003C66EB">
            <w:pPr>
              <w:rPr>
                <w:rFonts w:ascii="宋体"/>
                <w:vanish/>
              </w:rPr>
            </w:pPr>
          </w:p>
        </w:tc>
        <w:tc>
          <w:tcPr>
            <w:tcW w:w="0" w:type="auto"/>
            <w:gridSpan w:val="3"/>
            <w:shd w:val="clear" w:color="auto" w:fill="auto"/>
          </w:tcPr>
          <w:p w14:paraId="5EA252DE" w14:textId="77777777" w:rsidR="003C66EB" w:rsidRDefault="003C66EB">
            <w:pPr>
              <w:rPr>
                <w:rFonts w:ascii="宋体"/>
                <w:vanish/>
              </w:rPr>
            </w:pPr>
          </w:p>
        </w:tc>
        <w:tc>
          <w:tcPr>
            <w:tcW w:w="0" w:type="auto"/>
            <w:gridSpan w:val="3"/>
            <w:shd w:val="clear" w:color="auto" w:fill="auto"/>
          </w:tcPr>
          <w:p w14:paraId="5EA252DF" w14:textId="77777777" w:rsidR="003C66EB" w:rsidRDefault="003C66EB">
            <w:pPr>
              <w:rPr>
                <w:rFonts w:ascii="宋体"/>
                <w:vanish/>
              </w:rPr>
            </w:pPr>
          </w:p>
        </w:tc>
        <w:tc>
          <w:tcPr>
            <w:tcW w:w="0" w:type="auto"/>
            <w:gridSpan w:val="3"/>
            <w:shd w:val="clear" w:color="auto" w:fill="auto"/>
          </w:tcPr>
          <w:p w14:paraId="5EA252E0" w14:textId="77777777" w:rsidR="003C66EB" w:rsidRDefault="003C66EB">
            <w:pPr>
              <w:rPr>
                <w:rFonts w:ascii="宋体"/>
                <w:vanish/>
              </w:rPr>
            </w:pPr>
          </w:p>
        </w:tc>
        <w:tc>
          <w:tcPr>
            <w:tcW w:w="0" w:type="auto"/>
            <w:gridSpan w:val="3"/>
            <w:shd w:val="clear" w:color="auto" w:fill="auto"/>
          </w:tcPr>
          <w:p w14:paraId="5EA252E1" w14:textId="77777777" w:rsidR="003C66EB" w:rsidRDefault="003C66EB">
            <w:pPr>
              <w:rPr>
                <w:rFonts w:ascii="宋体"/>
                <w:vanish/>
              </w:rPr>
            </w:pPr>
          </w:p>
        </w:tc>
        <w:tc>
          <w:tcPr>
            <w:tcW w:w="0" w:type="auto"/>
            <w:gridSpan w:val="3"/>
            <w:shd w:val="clear" w:color="auto" w:fill="auto"/>
          </w:tcPr>
          <w:p w14:paraId="5EA252E2" w14:textId="77777777" w:rsidR="003C66EB" w:rsidRDefault="003C66EB">
            <w:pPr>
              <w:rPr>
                <w:rFonts w:ascii="宋体"/>
                <w:vanish/>
              </w:rPr>
            </w:pPr>
          </w:p>
        </w:tc>
      </w:tr>
      <w:tr w:rsidR="003C66EB" w14:paraId="5EA252F6" w14:textId="77777777">
        <w:trPr>
          <w:hidden/>
        </w:trPr>
        <w:tc>
          <w:tcPr>
            <w:tcW w:w="0" w:type="auto"/>
            <w:gridSpan w:val="3"/>
            <w:shd w:val="clear" w:color="auto" w:fill="auto"/>
          </w:tcPr>
          <w:p w14:paraId="5EA252E4" w14:textId="77777777" w:rsidR="003C66EB" w:rsidRDefault="003C66EB">
            <w:pPr>
              <w:rPr>
                <w:rFonts w:ascii="宋体"/>
                <w:vanish/>
              </w:rPr>
            </w:pPr>
          </w:p>
        </w:tc>
        <w:tc>
          <w:tcPr>
            <w:tcW w:w="0" w:type="auto"/>
            <w:gridSpan w:val="3"/>
            <w:shd w:val="clear" w:color="auto" w:fill="auto"/>
          </w:tcPr>
          <w:p w14:paraId="5EA252E5" w14:textId="77777777" w:rsidR="003C66EB" w:rsidRDefault="003C66EB">
            <w:pPr>
              <w:rPr>
                <w:rFonts w:ascii="宋体"/>
                <w:vanish/>
              </w:rPr>
            </w:pPr>
          </w:p>
        </w:tc>
        <w:tc>
          <w:tcPr>
            <w:tcW w:w="0" w:type="auto"/>
            <w:gridSpan w:val="3"/>
            <w:shd w:val="clear" w:color="auto" w:fill="auto"/>
          </w:tcPr>
          <w:p w14:paraId="5EA252E6" w14:textId="77777777" w:rsidR="003C66EB" w:rsidRDefault="003C66EB">
            <w:pPr>
              <w:rPr>
                <w:rFonts w:ascii="宋体"/>
                <w:vanish/>
              </w:rPr>
            </w:pPr>
          </w:p>
        </w:tc>
        <w:tc>
          <w:tcPr>
            <w:tcW w:w="0" w:type="auto"/>
            <w:gridSpan w:val="3"/>
            <w:shd w:val="clear" w:color="auto" w:fill="auto"/>
          </w:tcPr>
          <w:p w14:paraId="5EA252E7" w14:textId="77777777" w:rsidR="003C66EB" w:rsidRDefault="003C66EB">
            <w:pPr>
              <w:rPr>
                <w:rFonts w:ascii="宋体"/>
                <w:vanish/>
              </w:rPr>
            </w:pPr>
          </w:p>
        </w:tc>
        <w:tc>
          <w:tcPr>
            <w:tcW w:w="0" w:type="auto"/>
            <w:gridSpan w:val="3"/>
            <w:shd w:val="clear" w:color="auto" w:fill="auto"/>
          </w:tcPr>
          <w:p w14:paraId="5EA252E8" w14:textId="77777777" w:rsidR="003C66EB" w:rsidRDefault="003C66EB">
            <w:pPr>
              <w:rPr>
                <w:rFonts w:ascii="宋体"/>
                <w:vanish/>
              </w:rPr>
            </w:pPr>
          </w:p>
        </w:tc>
        <w:tc>
          <w:tcPr>
            <w:tcW w:w="0" w:type="auto"/>
            <w:gridSpan w:val="3"/>
            <w:shd w:val="clear" w:color="auto" w:fill="auto"/>
          </w:tcPr>
          <w:p w14:paraId="5EA252E9" w14:textId="77777777" w:rsidR="003C66EB" w:rsidRDefault="003C66EB">
            <w:pPr>
              <w:rPr>
                <w:rFonts w:ascii="宋体"/>
                <w:vanish/>
              </w:rPr>
            </w:pPr>
          </w:p>
        </w:tc>
        <w:tc>
          <w:tcPr>
            <w:tcW w:w="0" w:type="auto"/>
            <w:gridSpan w:val="3"/>
            <w:shd w:val="clear" w:color="auto" w:fill="auto"/>
          </w:tcPr>
          <w:p w14:paraId="5EA252EA" w14:textId="77777777" w:rsidR="003C66EB" w:rsidRDefault="003C66EB">
            <w:pPr>
              <w:rPr>
                <w:rFonts w:ascii="宋体"/>
                <w:vanish/>
              </w:rPr>
            </w:pPr>
          </w:p>
        </w:tc>
        <w:tc>
          <w:tcPr>
            <w:tcW w:w="0" w:type="auto"/>
            <w:gridSpan w:val="3"/>
            <w:shd w:val="clear" w:color="auto" w:fill="auto"/>
          </w:tcPr>
          <w:p w14:paraId="5EA252EB" w14:textId="77777777" w:rsidR="003C66EB" w:rsidRDefault="003C66EB">
            <w:pPr>
              <w:rPr>
                <w:rFonts w:ascii="宋体"/>
                <w:vanish/>
              </w:rPr>
            </w:pPr>
          </w:p>
        </w:tc>
        <w:tc>
          <w:tcPr>
            <w:tcW w:w="0" w:type="auto"/>
            <w:gridSpan w:val="3"/>
            <w:shd w:val="clear" w:color="auto" w:fill="auto"/>
          </w:tcPr>
          <w:p w14:paraId="5EA252EC" w14:textId="77777777" w:rsidR="003C66EB" w:rsidRDefault="003C66EB">
            <w:pPr>
              <w:rPr>
                <w:rFonts w:ascii="宋体"/>
                <w:vanish/>
              </w:rPr>
            </w:pPr>
          </w:p>
        </w:tc>
        <w:tc>
          <w:tcPr>
            <w:tcW w:w="0" w:type="auto"/>
            <w:gridSpan w:val="3"/>
            <w:shd w:val="clear" w:color="auto" w:fill="auto"/>
          </w:tcPr>
          <w:p w14:paraId="5EA252ED" w14:textId="77777777" w:rsidR="003C66EB" w:rsidRDefault="003C66EB">
            <w:pPr>
              <w:rPr>
                <w:rFonts w:ascii="宋体"/>
                <w:vanish/>
              </w:rPr>
            </w:pPr>
          </w:p>
        </w:tc>
        <w:tc>
          <w:tcPr>
            <w:tcW w:w="0" w:type="auto"/>
            <w:gridSpan w:val="3"/>
            <w:shd w:val="clear" w:color="auto" w:fill="auto"/>
          </w:tcPr>
          <w:p w14:paraId="5EA252EE" w14:textId="77777777" w:rsidR="003C66EB" w:rsidRDefault="003C66EB">
            <w:pPr>
              <w:rPr>
                <w:rFonts w:ascii="宋体"/>
                <w:vanish/>
              </w:rPr>
            </w:pPr>
          </w:p>
        </w:tc>
        <w:tc>
          <w:tcPr>
            <w:tcW w:w="0" w:type="auto"/>
            <w:shd w:val="clear" w:color="auto" w:fill="auto"/>
          </w:tcPr>
          <w:p w14:paraId="5EA252EF" w14:textId="77777777" w:rsidR="003C66EB" w:rsidRDefault="003C66EB">
            <w:pPr>
              <w:rPr>
                <w:rFonts w:ascii="宋体"/>
                <w:vanish/>
              </w:rPr>
            </w:pPr>
          </w:p>
        </w:tc>
        <w:tc>
          <w:tcPr>
            <w:tcW w:w="0" w:type="auto"/>
            <w:shd w:val="clear" w:color="auto" w:fill="auto"/>
          </w:tcPr>
          <w:p w14:paraId="5EA252F0" w14:textId="77777777" w:rsidR="003C66EB" w:rsidRDefault="003C66EB">
            <w:pPr>
              <w:rPr>
                <w:rFonts w:ascii="宋体"/>
                <w:vanish/>
              </w:rPr>
            </w:pPr>
          </w:p>
        </w:tc>
        <w:tc>
          <w:tcPr>
            <w:tcW w:w="0" w:type="auto"/>
            <w:gridSpan w:val="3"/>
            <w:shd w:val="clear" w:color="auto" w:fill="auto"/>
          </w:tcPr>
          <w:p w14:paraId="5EA252F1" w14:textId="77777777" w:rsidR="003C66EB" w:rsidRDefault="003C66EB">
            <w:pPr>
              <w:rPr>
                <w:rFonts w:ascii="宋体"/>
                <w:vanish/>
              </w:rPr>
            </w:pPr>
          </w:p>
        </w:tc>
        <w:tc>
          <w:tcPr>
            <w:tcW w:w="0" w:type="auto"/>
            <w:gridSpan w:val="3"/>
            <w:shd w:val="clear" w:color="auto" w:fill="auto"/>
          </w:tcPr>
          <w:p w14:paraId="5EA252F2" w14:textId="77777777" w:rsidR="003C66EB" w:rsidRDefault="003C66EB">
            <w:pPr>
              <w:rPr>
                <w:rFonts w:ascii="宋体"/>
                <w:vanish/>
              </w:rPr>
            </w:pPr>
          </w:p>
        </w:tc>
        <w:tc>
          <w:tcPr>
            <w:tcW w:w="0" w:type="auto"/>
            <w:gridSpan w:val="3"/>
            <w:shd w:val="clear" w:color="auto" w:fill="auto"/>
          </w:tcPr>
          <w:p w14:paraId="5EA252F3" w14:textId="77777777" w:rsidR="003C66EB" w:rsidRDefault="003C66EB">
            <w:pPr>
              <w:rPr>
                <w:rFonts w:ascii="宋体"/>
                <w:vanish/>
              </w:rPr>
            </w:pPr>
          </w:p>
        </w:tc>
        <w:tc>
          <w:tcPr>
            <w:tcW w:w="0" w:type="auto"/>
            <w:gridSpan w:val="3"/>
            <w:shd w:val="clear" w:color="auto" w:fill="auto"/>
          </w:tcPr>
          <w:p w14:paraId="5EA252F4" w14:textId="77777777" w:rsidR="003C66EB" w:rsidRDefault="003C66EB">
            <w:pPr>
              <w:rPr>
                <w:rFonts w:ascii="宋体"/>
                <w:vanish/>
              </w:rPr>
            </w:pPr>
          </w:p>
        </w:tc>
        <w:tc>
          <w:tcPr>
            <w:tcW w:w="0" w:type="auto"/>
            <w:gridSpan w:val="3"/>
            <w:shd w:val="clear" w:color="auto" w:fill="auto"/>
          </w:tcPr>
          <w:p w14:paraId="5EA252F5" w14:textId="77777777" w:rsidR="003C66EB" w:rsidRDefault="003C66EB">
            <w:pPr>
              <w:rPr>
                <w:rFonts w:ascii="宋体"/>
                <w:vanish/>
              </w:rPr>
            </w:pPr>
          </w:p>
        </w:tc>
      </w:tr>
      <w:tr w:rsidR="003C66EB" w14:paraId="5EA25309" w14:textId="77777777">
        <w:trPr>
          <w:hidden/>
        </w:trPr>
        <w:tc>
          <w:tcPr>
            <w:tcW w:w="0" w:type="auto"/>
            <w:gridSpan w:val="3"/>
            <w:shd w:val="clear" w:color="auto" w:fill="auto"/>
          </w:tcPr>
          <w:p w14:paraId="5EA252F7" w14:textId="77777777" w:rsidR="003C66EB" w:rsidRDefault="003C66EB">
            <w:pPr>
              <w:rPr>
                <w:rFonts w:ascii="宋体"/>
                <w:vanish/>
              </w:rPr>
            </w:pPr>
          </w:p>
        </w:tc>
        <w:tc>
          <w:tcPr>
            <w:tcW w:w="0" w:type="auto"/>
            <w:gridSpan w:val="3"/>
            <w:shd w:val="clear" w:color="auto" w:fill="auto"/>
          </w:tcPr>
          <w:p w14:paraId="5EA252F8" w14:textId="77777777" w:rsidR="003C66EB" w:rsidRDefault="003C66EB">
            <w:pPr>
              <w:rPr>
                <w:rFonts w:ascii="宋体"/>
                <w:vanish/>
              </w:rPr>
            </w:pPr>
          </w:p>
        </w:tc>
        <w:tc>
          <w:tcPr>
            <w:tcW w:w="0" w:type="auto"/>
            <w:gridSpan w:val="3"/>
            <w:shd w:val="clear" w:color="auto" w:fill="auto"/>
          </w:tcPr>
          <w:p w14:paraId="5EA252F9" w14:textId="77777777" w:rsidR="003C66EB" w:rsidRDefault="003C66EB">
            <w:pPr>
              <w:rPr>
                <w:rFonts w:ascii="宋体"/>
                <w:vanish/>
              </w:rPr>
            </w:pPr>
          </w:p>
        </w:tc>
        <w:tc>
          <w:tcPr>
            <w:tcW w:w="0" w:type="auto"/>
            <w:gridSpan w:val="3"/>
            <w:shd w:val="clear" w:color="auto" w:fill="auto"/>
          </w:tcPr>
          <w:p w14:paraId="5EA252FA" w14:textId="77777777" w:rsidR="003C66EB" w:rsidRDefault="003C66EB">
            <w:pPr>
              <w:rPr>
                <w:rFonts w:ascii="宋体"/>
                <w:vanish/>
              </w:rPr>
            </w:pPr>
          </w:p>
        </w:tc>
        <w:tc>
          <w:tcPr>
            <w:tcW w:w="0" w:type="auto"/>
            <w:gridSpan w:val="3"/>
            <w:shd w:val="clear" w:color="auto" w:fill="auto"/>
          </w:tcPr>
          <w:p w14:paraId="5EA252FB" w14:textId="77777777" w:rsidR="003C66EB" w:rsidRDefault="003C66EB">
            <w:pPr>
              <w:rPr>
                <w:rFonts w:ascii="宋体"/>
                <w:vanish/>
              </w:rPr>
            </w:pPr>
          </w:p>
        </w:tc>
        <w:tc>
          <w:tcPr>
            <w:tcW w:w="0" w:type="auto"/>
            <w:gridSpan w:val="3"/>
            <w:shd w:val="clear" w:color="auto" w:fill="auto"/>
          </w:tcPr>
          <w:p w14:paraId="5EA252FC" w14:textId="77777777" w:rsidR="003C66EB" w:rsidRDefault="003C66EB">
            <w:pPr>
              <w:rPr>
                <w:rFonts w:ascii="宋体"/>
                <w:vanish/>
              </w:rPr>
            </w:pPr>
          </w:p>
        </w:tc>
        <w:tc>
          <w:tcPr>
            <w:tcW w:w="0" w:type="auto"/>
            <w:gridSpan w:val="3"/>
            <w:shd w:val="clear" w:color="auto" w:fill="auto"/>
          </w:tcPr>
          <w:p w14:paraId="5EA252FD" w14:textId="77777777" w:rsidR="003C66EB" w:rsidRDefault="003C66EB">
            <w:pPr>
              <w:rPr>
                <w:rFonts w:ascii="宋体"/>
                <w:vanish/>
              </w:rPr>
            </w:pPr>
          </w:p>
        </w:tc>
        <w:tc>
          <w:tcPr>
            <w:tcW w:w="0" w:type="auto"/>
            <w:gridSpan w:val="3"/>
            <w:shd w:val="clear" w:color="auto" w:fill="auto"/>
          </w:tcPr>
          <w:p w14:paraId="5EA252FE" w14:textId="77777777" w:rsidR="003C66EB" w:rsidRDefault="003C66EB">
            <w:pPr>
              <w:rPr>
                <w:rFonts w:ascii="宋体"/>
                <w:vanish/>
              </w:rPr>
            </w:pPr>
          </w:p>
        </w:tc>
        <w:tc>
          <w:tcPr>
            <w:tcW w:w="0" w:type="auto"/>
            <w:gridSpan w:val="3"/>
            <w:shd w:val="clear" w:color="auto" w:fill="auto"/>
          </w:tcPr>
          <w:p w14:paraId="5EA252FF" w14:textId="77777777" w:rsidR="003C66EB" w:rsidRDefault="003C66EB">
            <w:pPr>
              <w:rPr>
                <w:rFonts w:ascii="宋体"/>
                <w:vanish/>
              </w:rPr>
            </w:pPr>
          </w:p>
        </w:tc>
        <w:tc>
          <w:tcPr>
            <w:tcW w:w="0" w:type="auto"/>
            <w:gridSpan w:val="3"/>
            <w:shd w:val="clear" w:color="auto" w:fill="auto"/>
          </w:tcPr>
          <w:p w14:paraId="5EA25300" w14:textId="77777777" w:rsidR="003C66EB" w:rsidRDefault="003C66EB">
            <w:pPr>
              <w:rPr>
                <w:rFonts w:ascii="宋体"/>
                <w:vanish/>
              </w:rPr>
            </w:pPr>
          </w:p>
        </w:tc>
        <w:tc>
          <w:tcPr>
            <w:tcW w:w="0" w:type="auto"/>
            <w:gridSpan w:val="3"/>
            <w:shd w:val="clear" w:color="auto" w:fill="auto"/>
          </w:tcPr>
          <w:p w14:paraId="5EA25301" w14:textId="77777777" w:rsidR="003C66EB" w:rsidRDefault="003C66EB">
            <w:pPr>
              <w:rPr>
                <w:rFonts w:ascii="宋体"/>
                <w:vanish/>
              </w:rPr>
            </w:pPr>
          </w:p>
        </w:tc>
        <w:tc>
          <w:tcPr>
            <w:tcW w:w="0" w:type="auto"/>
            <w:shd w:val="clear" w:color="auto" w:fill="auto"/>
          </w:tcPr>
          <w:p w14:paraId="5EA25302" w14:textId="77777777" w:rsidR="003C66EB" w:rsidRDefault="003C66EB">
            <w:pPr>
              <w:rPr>
                <w:rFonts w:ascii="宋体"/>
                <w:vanish/>
              </w:rPr>
            </w:pPr>
          </w:p>
        </w:tc>
        <w:tc>
          <w:tcPr>
            <w:tcW w:w="0" w:type="auto"/>
            <w:shd w:val="clear" w:color="auto" w:fill="auto"/>
          </w:tcPr>
          <w:p w14:paraId="5EA25303" w14:textId="77777777" w:rsidR="003C66EB" w:rsidRDefault="003C66EB">
            <w:pPr>
              <w:rPr>
                <w:rFonts w:ascii="宋体"/>
                <w:vanish/>
              </w:rPr>
            </w:pPr>
          </w:p>
        </w:tc>
        <w:tc>
          <w:tcPr>
            <w:tcW w:w="0" w:type="auto"/>
            <w:gridSpan w:val="3"/>
            <w:shd w:val="clear" w:color="auto" w:fill="auto"/>
          </w:tcPr>
          <w:p w14:paraId="5EA25304" w14:textId="77777777" w:rsidR="003C66EB" w:rsidRDefault="003C66EB">
            <w:pPr>
              <w:rPr>
                <w:rFonts w:ascii="宋体"/>
                <w:vanish/>
              </w:rPr>
            </w:pPr>
          </w:p>
        </w:tc>
        <w:tc>
          <w:tcPr>
            <w:tcW w:w="0" w:type="auto"/>
            <w:gridSpan w:val="3"/>
            <w:shd w:val="clear" w:color="auto" w:fill="auto"/>
          </w:tcPr>
          <w:p w14:paraId="5EA25305" w14:textId="77777777" w:rsidR="003C66EB" w:rsidRDefault="003C66EB">
            <w:pPr>
              <w:rPr>
                <w:rFonts w:ascii="宋体"/>
                <w:vanish/>
              </w:rPr>
            </w:pPr>
          </w:p>
        </w:tc>
        <w:tc>
          <w:tcPr>
            <w:tcW w:w="0" w:type="auto"/>
            <w:gridSpan w:val="3"/>
            <w:shd w:val="clear" w:color="auto" w:fill="auto"/>
          </w:tcPr>
          <w:p w14:paraId="5EA25306" w14:textId="77777777" w:rsidR="003C66EB" w:rsidRDefault="003C66EB">
            <w:pPr>
              <w:rPr>
                <w:rFonts w:ascii="宋体"/>
                <w:vanish/>
              </w:rPr>
            </w:pPr>
          </w:p>
        </w:tc>
        <w:tc>
          <w:tcPr>
            <w:tcW w:w="0" w:type="auto"/>
            <w:gridSpan w:val="3"/>
            <w:shd w:val="clear" w:color="auto" w:fill="auto"/>
          </w:tcPr>
          <w:p w14:paraId="5EA25307" w14:textId="77777777" w:rsidR="003C66EB" w:rsidRDefault="003C66EB">
            <w:pPr>
              <w:rPr>
                <w:rFonts w:ascii="宋体"/>
                <w:vanish/>
              </w:rPr>
            </w:pPr>
          </w:p>
        </w:tc>
        <w:tc>
          <w:tcPr>
            <w:tcW w:w="0" w:type="auto"/>
            <w:gridSpan w:val="3"/>
            <w:shd w:val="clear" w:color="auto" w:fill="auto"/>
          </w:tcPr>
          <w:p w14:paraId="5EA25308" w14:textId="77777777" w:rsidR="003C66EB" w:rsidRDefault="003C66EB">
            <w:pPr>
              <w:rPr>
                <w:rFonts w:ascii="宋体"/>
                <w:vanish/>
              </w:rPr>
            </w:pPr>
          </w:p>
        </w:tc>
      </w:tr>
      <w:tr w:rsidR="003C66EB" w14:paraId="5EA2531C" w14:textId="77777777">
        <w:trPr>
          <w:hidden/>
        </w:trPr>
        <w:tc>
          <w:tcPr>
            <w:tcW w:w="0" w:type="auto"/>
            <w:gridSpan w:val="3"/>
            <w:shd w:val="clear" w:color="auto" w:fill="auto"/>
          </w:tcPr>
          <w:p w14:paraId="5EA2530A" w14:textId="77777777" w:rsidR="003C66EB" w:rsidRDefault="003C66EB">
            <w:pPr>
              <w:rPr>
                <w:rFonts w:ascii="宋体"/>
                <w:vanish/>
              </w:rPr>
            </w:pPr>
          </w:p>
        </w:tc>
        <w:tc>
          <w:tcPr>
            <w:tcW w:w="0" w:type="auto"/>
            <w:gridSpan w:val="3"/>
            <w:shd w:val="clear" w:color="auto" w:fill="auto"/>
          </w:tcPr>
          <w:p w14:paraId="5EA2530B" w14:textId="77777777" w:rsidR="003C66EB" w:rsidRDefault="003C66EB">
            <w:pPr>
              <w:rPr>
                <w:rFonts w:ascii="宋体"/>
                <w:vanish/>
              </w:rPr>
            </w:pPr>
          </w:p>
        </w:tc>
        <w:tc>
          <w:tcPr>
            <w:tcW w:w="0" w:type="auto"/>
            <w:gridSpan w:val="3"/>
            <w:shd w:val="clear" w:color="auto" w:fill="auto"/>
          </w:tcPr>
          <w:p w14:paraId="5EA2530C" w14:textId="77777777" w:rsidR="003C66EB" w:rsidRDefault="003C66EB">
            <w:pPr>
              <w:rPr>
                <w:rFonts w:ascii="宋体"/>
                <w:vanish/>
              </w:rPr>
            </w:pPr>
          </w:p>
        </w:tc>
        <w:tc>
          <w:tcPr>
            <w:tcW w:w="0" w:type="auto"/>
            <w:gridSpan w:val="3"/>
            <w:shd w:val="clear" w:color="auto" w:fill="auto"/>
          </w:tcPr>
          <w:p w14:paraId="5EA2530D" w14:textId="77777777" w:rsidR="003C66EB" w:rsidRDefault="003C66EB">
            <w:pPr>
              <w:rPr>
                <w:rFonts w:ascii="宋体"/>
                <w:vanish/>
              </w:rPr>
            </w:pPr>
          </w:p>
        </w:tc>
        <w:tc>
          <w:tcPr>
            <w:tcW w:w="0" w:type="auto"/>
            <w:gridSpan w:val="3"/>
            <w:shd w:val="clear" w:color="auto" w:fill="auto"/>
          </w:tcPr>
          <w:p w14:paraId="5EA2530E" w14:textId="77777777" w:rsidR="003C66EB" w:rsidRDefault="003C66EB">
            <w:pPr>
              <w:rPr>
                <w:rFonts w:ascii="宋体"/>
                <w:vanish/>
              </w:rPr>
            </w:pPr>
          </w:p>
        </w:tc>
        <w:tc>
          <w:tcPr>
            <w:tcW w:w="0" w:type="auto"/>
            <w:gridSpan w:val="3"/>
            <w:shd w:val="clear" w:color="auto" w:fill="auto"/>
          </w:tcPr>
          <w:p w14:paraId="5EA2530F" w14:textId="77777777" w:rsidR="003C66EB" w:rsidRDefault="003C66EB">
            <w:pPr>
              <w:rPr>
                <w:rFonts w:ascii="宋体"/>
                <w:vanish/>
              </w:rPr>
            </w:pPr>
          </w:p>
        </w:tc>
        <w:tc>
          <w:tcPr>
            <w:tcW w:w="0" w:type="auto"/>
            <w:gridSpan w:val="3"/>
            <w:shd w:val="clear" w:color="auto" w:fill="auto"/>
          </w:tcPr>
          <w:p w14:paraId="5EA25310" w14:textId="77777777" w:rsidR="003C66EB" w:rsidRDefault="003C66EB">
            <w:pPr>
              <w:rPr>
                <w:rFonts w:ascii="宋体"/>
                <w:vanish/>
              </w:rPr>
            </w:pPr>
          </w:p>
        </w:tc>
        <w:tc>
          <w:tcPr>
            <w:tcW w:w="0" w:type="auto"/>
            <w:gridSpan w:val="3"/>
            <w:shd w:val="clear" w:color="auto" w:fill="auto"/>
          </w:tcPr>
          <w:p w14:paraId="5EA25311" w14:textId="77777777" w:rsidR="003C66EB" w:rsidRDefault="003C66EB">
            <w:pPr>
              <w:rPr>
                <w:rFonts w:ascii="宋体"/>
                <w:vanish/>
              </w:rPr>
            </w:pPr>
          </w:p>
        </w:tc>
        <w:tc>
          <w:tcPr>
            <w:tcW w:w="0" w:type="auto"/>
            <w:gridSpan w:val="3"/>
            <w:shd w:val="clear" w:color="auto" w:fill="auto"/>
          </w:tcPr>
          <w:p w14:paraId="5EA25312" w14:textId="77777777" w:rsidR="003C66EB" w:rsidRDefault="003C66EB">
            <w:pPr>
              <w:rPr>
                <w:rFonts w:ascii="宋体"/>
                <w:vanish/>
              </w:rPr>
            </w:pPr>
          </w:p>
        </w:tc>
        <w:tc>
          <w:tcPr>
            <w:tcW w:w="0" w:type="auto"/>
            <w:gridSpan w:val="3"/>
            <w:shd w:val="clear" w:color="auto" w:fill="auto"/>
          </w:tcPr>
          <w:p w14:paraId="5EA25313" w14:textId="77777777" w:rsidR="003C66EB" w:rsidRDefault="003C66EB">
            <w:pPr>
              <w:rPr>
                <w:rFonts w:ascii="宋体"/>
                <w:vanish/>
              </w:rPr>
            </w:pPr>
          </w:p>
        </w:tc>
        <w:tc>
          <w:tcPr>
            <w:tcW w:w="0" w:type="auto"/>
            <w:gridSpan w:val="3"/>
            <w:shd w:val="clear" w:color="auto" w:fill="auto"/>
          </w:tcPr>
          <w:p w14:paraId="5EA25314" w14:textId="77777777" w:rsidR="003C66EB" w:rsidRDefault="003C66EB">
            <w:pPr>
              <w:rPr>
                <w:rFonts w:ascii="宋体"/>
                <w:vanish/>
              </w:rPr>
            </w:pPr>
          </w:p>
        </w:tc>
        <w:tc>
          <w:tcPr>
            <w:tcW w:w="0" w:type="auto"/>
            <w:shd w:val="clear" w:color="auto" w:fill="auto"/>
          </w:tcPr>
          <w:p w14:paraId="5EA25315" w14:textId="77777777" w:rsidR="003C66EB" w:rsidRDefault="003C66EB">
            <w:pPr>
              <w:rPr>
                <w:rFonts w:ascii="宋体"/>
                <w:vanish/>
              </w:rPr>
            </w:pPr>
          </w:p>
        </w:tc>
        <w:tc>
          <w:tcPr>
            <w:tcW w:w="0" w:type="auto"/>
            <w:shd w:val="clear" w:color="auto" w:fill="auto"/>
          </w:tcPr>
          <w:p w14:paraId="5EA25316" w14:textId="77777777" w:rsidR="003C66EB" w:rsidRDefault="003C66EB">
            <w:pPr>
              <w:rPr>
                <w:rFonts w:ascii="宋体"/>
                <w:vanish/>
              </w:rPr>
            </w:pPr>
          </w:p>
        </w:tc>
        <w:tc>
          <w:tcPr>
            <w:tcW w:w="0" w:type="auto"/>
            <w:gridSpan w:val="3"/>
            <w:shd w:val="clear" w:color="auto" w:fill="auto"/>
          </w:tcPr>
          <w:p w14:paraId="5EA25317" w14:textId="77777777" w:rsidR="003C66EB" w:rsidRDefault="003C66EB">
            <w:pPr>
              <w:rPr>
                <w:rFonts w:ascii="宋体"/>
                <w:vanish/>
              </w:rPr>
            </w:pPr>
          </w:p>
        </w:tc>
        <w:tc>
          <w:tcPr>
            <w:tcW w:w="0" w:type="auto"/>
            <w:gridSpan w:val="3"/>
            <w:shd w:val="clear" w:color="auto" w:fill="auto"/>
          </w:tcPr>
          <w:p w14:paraId="5EA25318" w14:textId="77777777" w:rsidR="003C66EB" w:rsidRDefault="003C66EB">
            <w:pPr>
              <w:rPr>
                <w:rFonts w:ascii="宋体"/>
                <w:vanish/>
              </w:rPr>
            </w:pPr>
          </w:p>
        </w:tc>
        <w:tc>
          <w:tcPr>
            <w:tcW w:w="0" w:type="auto"/>
            <w:gridSpan w:val="3"/>
            <w:shd w:val="clear" w:color="auto" w:fill="auto"/>
          </w:tcPr>
          <w:p w14:paraId="5EA25319" w14:textId="77777777" w:rsidR="003C66EB" w:rsidRDefault="003C66EB">
            <w:pPr>
              <w:rPr>
                <w:rFonts w:ascii="宋体"/>
                <w:vanish/>
              </w:rPr>
            </w:pPr>
          </w:p>
        </w:tc>
        <w:tc>
          <w:tcPr>
            <w:tcW w:w="0" w:type="auto"/>
            <w:gridSpan w:val="3"/>
            <w:shd w:val="clear" w:color="auto" w:fill="auto"/>
          </w:tcPr>
          <w:p w14:paraId="5EA2531A" w14:textId="77777777" w:rsidR="003C66EB" w:rsidRDefault="003C66EB">
            <w:pPr>
              <w:rPr>
                <w:rFonts w:ascii="宋体"/>
                <w:vanish/>
              </w:rPr>
            </w:pPr>
          </w:p>
        </w:tc>
        <w:tc>
          <w:tcPr>
            <w:tcW w:w="0" w:type="auto"/>
            <w:gridSpan w:val="3"/>
            <w:shd w:val="clear" w:color="auto" w:fill="auto"/>
          </w:tcPr>
          <w:p w14:paraId="5EA2531B" w14:textId="77777777" w:rsidR="003C66EB" w:rsidRDefault="003C66EB">
            <w:pPr>
              <w:rPr>
                <w:rFonts w:ascii="宋体"/>
                <w:vanish/>
              </w:rPr>
            </w:pPr>
          </w:p>
        </w:tc>
      </w:tr>
      <w:tr w:rsidR="003C66EB" w14:paraId="5EA2532F" w14:textId="77777777">
        <w:trPr>
          <w:hidden/>
        </w:trPr>
        <w:tc>
          <w:tcPr>
            <w:tcW w:w="0" w:type="auto"/>
            <w:gridSpan w:val="3"/>
            <w:shd w:val="clear" w:color="auto" w:fill="auto"/>
          </w:tcPr>
          <w:p w14:paraId="5EA2531D" w14:textId="77777777" w:rsidR="003C66EB" w:rsidRDefault="003C66EB">
            <w:pPr>
              <w:rPr>
                <w:rFonts w:ascii="宋体"/>
                <w:vanish/>
              </w:rPr>
            </w:pPr>
          </w:p>
        </w:tc>
        <w:tc>
          <w:tcPr>
            <w:tcW w:w="0" w:type="auto"/>
            <w:gridSpan w:val="3"/>
            <w:shd w:val="clear" w:color="auto" w:fill="auto"/>
          </w:tcPr>
          <w:p w14:paraId="5EA2531E" w14:textId="77777777" w:rsidR="003C66EB" w:rsidRDefault="003C66EB">
            <w:pPr>
              <w:rPr>
                <w:rFonts w:ascii="宋体"/>
                <w:vanish/>
              </w:rPr>
            </w:pPr>
          </w:p>
        </w:tc>
        <w:tc>
          <w:tcPr>
            <w:tcW w:w="0" w:type="auto"/>
            <w:gridSpan w:val="3"/>
            <w:shd w:val="clear" w:color="auto" w:fill="auto"/>
          </w:tcPr>
          <w:p w14:paraId="5EA2531F" w14:textId="77777777" w:rsidR="003C66EB" w:rsidRDefault="003C66EB">
            <w:pPr>
              <w:rPr>
                <w:rFonts w:ascii="宋体"/>
                <w:vanish/>
              </w:rPr>
            </w:pPr>
          </w:p>
        </w:tc>
        <w:tc>
          <w:tcPr>
            <w:tcW w:w="0" w:type="auto"/>
            <w:gridSpan w:val="3"/>
            <w:shd w:val="clear" w:color="auto" w:fill="auto"/>
          </w:tcPr>
          <w:p w14:paraId="5EA25320" w14:textId="77777777" w:rsidR="003C66EB" w:rsidRDefault="003C66EB">
            <w:pPr>
              <w:rPr>
                <w:rFonts w:ascii="宋体"/>
                <w:vanish/>
              </w:rPr>
            </w:pPr>
          </w:p>
        </w:tc>
        <w:tc>
          <w:tcPr>
            <w:tcW w:w="0" w:type="auto"/>
            <w:gridSpan w:val="3"/>
            <w:shd w:val="clear" w:color="auto" w:fill="auto"/>
          </w:tcPr>
          <w:p w14:paraId="5EA25321" w14:textId="77777777" w:rsidR="003C66EB" w:rsidRDefault="003C66EB">
            <w:pPr>
              <w:rPr>
                <w:rFonts w:ascii="宋体"/>
                <w:vanish/>
              </w:rPr>
            </w:pPr>
          </w:p>
        </w:tc>
        <w:tc>
          <w:tcPr>
            <w:tcW w:w="0" w:type="auto"/>
            <w:gridSpan w:val="3"/>
            <w:shd w:val="clear" w:color="auto" w:fill="auto"/>
          </w:tcPr>
          <w:p w14:paraId="5EA25322" w14:textId="77777777" w:rsidR="003C66EB" w:rsidRDefault="003C66EB">
            <w:pPr>
              <w:rPr>
                <w:rFonts w:ascii="宋体"/>
                <w:vanish/>
              </w:rPr>
            </w:pPr>
          </w:p>
        </w:tc>
        <w:tc>
          <w:tcPr>
            <w:tcW w:w="0" w:type="auto"/>
            <w:gridSpan w:val="3"/>
            <w:shd w:val="clear" w:color="auto" w:fill="auto"/>
          </w:tcPr>
          <w:p w14:paraId="5EA25323" w14:textId="77777777" w:rsidR="003C66EB" w:rsidRDefault="003C66EB">
            <w:pPr>
              <w:rPr>
                <w:rFonts w:ascii="宋体"/>
                <w:vanish/>
              </w:rPr>
            </w:pPr>
          </w:p>
        </w:tc>
        <w:tc>
          <w:tcPr>
            <w:tcW w:w="0" w:type="auto"/>
            <w:gridSpan w:val="3"/>
            <w:shd w:val="clear" w:color="auto" w:fill="auto"/>
          </w:tcPr>
          <w:p w14:paraId="5EA25324" w14:textId="77777777" w:rsidR="003C66EB" w:rsidRDefault="003C66EB">
            <w:pPr>
              <w:rPr>
                <w:rFonts w:ascii="宋体"/>
                <w:vanish/>
              </w:rPr>
            </w:pPr>
          </w:p>
        </w:tc>
        <w:tc>
          <w:tcPr>
            <w:tcW w:w="0" w:type="auto"/>
            <w:gridSpan w:val="3"/>
            <w:shd w:val="clear" w:color="auto" w:fill="auto"/>
          </w:tcPr>
          <w:p w14:paraId="5EA25325" w14:textId="77777777" w:rsidR="003C66EB" w:rsidRDefault="003C66EB">
            <w:pPr>
              <w:rPr>
                <w:rFonts w:ascii="宋体"/>
                <w:vanish/>
              </w:rPr>
            </w:pPr>
          </w:p>
        </w:tc>
        <w:tc>
          <w:tcPr>
            <w:tcW w:w="0" w:type="auto"/>
            <w:gridSpan w:val="3"/>
            <w:shd w:val="clear" w:color="auto" w:fill="auto"/>
          </w:tcPr>
          <w:p w14:paraId="5EA25326" w14:textId="77777777" w:rsidR="003C66EB" w:rsidRDefault="003C66EB">
            <w:pPr>
              <w:rPr>
                <w:rFonts w:ascii="宋体"/>
                <w:vanish/>
              </w:rPr>
            </w:pPr>
          </w:p>
        </w:tc>
        <w:tc>
          <w:tcPr>
            <w:tcW w:w="0" w:type="auto"/>
            <w:gridSpan w:val="3"/>
            <w:shd w:val="clear" w:color="auto" w:fill="auto"/>
          </w:tcPr>
          <w:p w14:paraId="5EA25327" w14:textId="77777777" w:rsidR="003C66EB" w:rsidRDefault="003C66EB">
            <w:pPr>
              <w:rPr>
                <w:rFonts w:ascii="宋体"/>
                <w:vanish/>
              </w:rPr>
            </w:pPr>
          </w:p>
        </w:tc>
        <w:tc>
          <w:tcPr>
            <w:tcW w:w="0" w:type="auto"/>
            <w:shd w:val="clear" w:color="auto" w:fill="auto"/>
          </w:tcPr>
          <w:p w14:paraId="5EA25328" w14:textId="77777777" w:rsidR="003C66EB" w:rsidRDefault="003C66EB">
            <w:pPr>
              <w:rPr>
                <w:rFonts w:ascii="宋体"/>
                <w:vanish/>
              </w:rPr>
            </w:pPr>
          </w:p>
        </w:tc>
        <w:tc>
          <w:tcPr>
            <w:tcW w:w="0" w:type="auto"/>
            <w:shd w:val="clear" w:color="auto" w:fill="auto"/>
          </w:tcPr>
          <w:p w14:paraId="5EA25329" w14:textId="77777777" w:rsidR="003C66EB" w:rsidRDefault="003C66EB">
            <w:pPr>
              <w:rPr>
                <w:rFonts w:ascii="宋体"/>
                <w:vanish/>
              </w:rPr>
            </w:pPr>
          </w:p>
        </w:tc>
        <w:tc>
          <w:tcPr>
            <w:tcW w:w="0" w:type="auto"/>
            <w:gridSpan w:val="3"/>
            <w:shd w:val="clear" w:color="auto" w:fill="auto"/>
          </w:tcPr>
          <w:p w14:paraId="5EA2532A" w14:textId="77777777" w:rsidR="003C66EB" w:rsidRDefault="003C66EB">
            <w:pPr>
              <w:rPr>
                <w:rFonts w:ascii="宋体"/>
                <w:vanish/>
              </w:rPr>
            </w:pPr>
          </w:p>
        </w:tc>
        <w:tc>
          <w:tcPr>
            <w:tcW w:w="0" w:type="auto"/>
            <w:gridSpan w:val="3"/>
            <w:shd w:val="clear" w:color="auto" w:fill="auto"/>
          </w:tcPr>
          <w:p w14:paraId="5EA2532B" w14:textId="77777777" w:rsidR="003C66EB" w:rsidRDefault="003C66EB">
            <w:pPr>
              <w:rPr>
                <w:rFonts w:ascii="宋体"/>
                <w:vanish/>
              </w:rPr>
            </w:pPr>
          </w:p>
        </w:tc>
        <w:tc>
          <w:tcPr>
            <w:tcW w:w="0" w:type="auto"/>
            <w:gridSpan w:val="3"/>
            <w:shd w:val="clear" w:color="auto" w:fill="auto"/>
          </w:tcPr>
          <w:p w14:paraId="5EA2532C" w14:textId="77777777" w:rsidR="003C66EB" w:rsidRDefault="003C66EB">
            <w:pPr>
              <w:rPr>
                <w:rFonts w:ascii="宋体"/>
                <w:vanish/>
              </w:rPr>
            </w:pPr>
          </w:p>
        </w:tc>
        <w:tc>
          <w:tcPr>
            <w:tcW w:w="0" w:type="auto"/>
            <w:gridSpan w:val="3"/>
            <w:shd w:val="clear" w:color="auto" w:fill="auto"/>
          </w:tcPr>
          <w:p w14:paraId="5EA2532D" w14:textId="77777777" w:rsidR="003C66EB" w:rsidRDefault="003C66EB">
            <w:pPr>
              <w:rPr>
                <w:rFonts w:ascii="宋体"/>
                <w:vanish/>
              </w:rPr>
            </w:pPr>
          </w:p>
        </w:tc>
        <w:tc>
          <w:tcPr>
            <w:tcW w:w="0" w:type="auto"/>
            <w:gridSpan w:val="3"/>
            <w:shd w:val="clear" w:color="auto" w:fill="auto"/>
          </w:tcPr>
          <w:p w14:paraId="5EA2532E" w14:textId="77777777" w:rsidR="003C66EB" w:rsidRDefault="003C66EB">
            <w:pPr>
              <w:rPr>
                <w:rFonts w:ascii="宋体"/>
                <w:vanish/>
              </w:rPr>
            </w:pPr>
          </w:p>
        </w:tc>
      </w:tr>
      <w:tr w:rsidR="003C66EB" w14:paraId="5EA25342" w14:textId="77777777">
        <w:trPr>
          <w:hidden/>
        </w:trPr>
        <w:tc>
          <w:tcPr>
            <w:tcW w:w="0" w:type="auto"/>
            <w:gridSpan w:val="3"/>
            <w:shd w:val="clear" w:color="auto" w:fill="auto"/>
          </w:tcPr>
          <w:p w14:paraId="5EA25330" w14:textId="77777777" w:rsidR="003C66EB" w:rsidRDefault="003C66EB">
            <w:pPr>
              <w:rPr>
                <w:rFonts w:ascii="宋体"/>
                <w:vanish/>
              </w:rPr>
            </w:pPr>
          </w:p>
        </w:tc>
        <w:tc>
          <w:tcPr>
            <w:tcW w:w="0" w:type="auto"/>
            <w:gridSpan w:val="3"/>
            <w:shd w:val="clear" w:color="auto" w:fill="auto"/>
          </w:tcPr>
          <w:p w14:paraId="5EA25331" w14:textId="77777777" w:rsidR="003C66EB" w:rsidRDefault="003C66EB">
            <w:pPr>
              <w:rPr>
                <w:rFonts w:ascii="宋体"/>
                <w:vanish/>
              </w:rPr>
            </w:pPr>
          </w:p>
        </w:tc>
        <w:tc>
          <w:tcPr>
            <w:tcW w:w="0" w:type="auto"/>
            <w:gridSpan w:val="3"/>
            <w:shd w:val="clear" w:color="auto" w:fill="auto"/>
          </w:tcPr>
          <w:p w14:paraId="5EA25332" w14:textId="77777777" w:rsidR="003C66EB" w:rsidRDefault="003C66EB">
            <w:pPr>
              <w:rPr>
                <w:rFonts w:ascii="宋体"/>
                <w:vanish/>
              </w:rPr>
            </w:pPr>
          </w:p>
        </w:tc>
        <w:tc>
          <w:tcPr>
            <w:tcW w:w="0" w:type="auto"/>
            <w:gridSpan w:val="3"/>
            <w:shd w:val="clear" w:color="auto" w:fill="auto"/>
          </w:tcPr>
          <w:p w14:paraId="5EA25333" w14:textId="77777777" w:rsidR="003C66EB" w:rsidRDefault="003C66EB">
            <w:pPr>
              <w:rPr>
                <w:rFonts w:ascii="宋体"/>
                <w:vanish/>
              </w:rPr>
            </w:pPr>
          </w:p>
        </w:tc>
        <w:tc>
          <w:tcPr>
            <w:tcW w:w="0" w:type="auto"/>
            <w:gridSpan w:val="3"/>
            <w:shd w:val="clear" w:color="auto" w:fill="auto"/>
          </w:tcPr>
          <w:p w14:paraId="5EA25334" w14:textId="77777777" w:rsidR="003C66EB" w:rsidRDefault="003C66EB">
            <w:pPr>
              <w:rPr>
                <w:rFonts w:ascii="宋体"/>
                <w:vanish/>
              </w:rPr>
            </w:pPr>
          </w:p>
        </w:tc>
        <w:tc>
          <w:tcPr>
            <w:tcW w:w="0" w:type="auto"/>
            <w:gridSpan w:val="3"/>
            <w:shd w:val="clear" w:color="auto" w:fill="auto"/>
          </w:tcPr>
          <w:p w14:paraId="5EA25335" w14:textId="77777777" w:rsidR="003C66EB" w:rsidRDefault="003C66EB">
            <w:pPr>
              <w:rPr>
                <w:rFonts w:ascii="宋体"/>
                <w:vanish/>
              </w:rPr>
            </w:pPr>
          </w:p>
        </w:tc>
        <w:tc>
          <w:tcPr>
            <w:tcW w:w="0" w:type="auto"/>
            <w:gridSpan w:val="3"/>
            <w:shd w:val="clear" w:color="auto" w:fill="auto"/>
          </w:tcPr>
          <w:p w14:paraId="5EA25336" w14:textId="77777777" w:rsidR="003C66EB" w:rsidRDefault="003C66EB">
            <w:pPr>
              <w:rPr>
                <w:rFonts w:ascii="宋体"/>
                <w:vanish/>
              </w:rPr>
            </w:pPr>
          </w:p>
        </w:tc>
        <w:tc>
          <w:tcPr>
            <w:tcW w:w="0" w:type="auto"/>
            <w:gridSpan w:val="3"/>
            <w:shd w:val="clear" w:color="auto" w:fill="auto"/>
          </w:tcPr>
          <w:p w14:paraId="5EA25337" w14:textId="77777777" w:rsidR="003C66EB" w:rsidRDefault="003C66EB">
            <w:pPr>
              <w:rPr>
                <w:rFonts w:ascii="宋体"/>
                <w:vanish/>
              </w:rPr>
            </w:pPr>
          </w:p>
        </w:tc>
        <w:tc>
          <w:tcPr>
            <w:tcW w:w="0" w:type="auto"/>
            <w:gridSpan w:val="3"/>
            <w:shd w:val="clear" w:color="auto" w:fill="auto"/>
          </w:tcPr>
          <w:p w14:paraId="5EA25338" w14:textId="77777777" w:rsidR="003C66EB" w:rsidRDefault="003C66EB">
            <w:pPr>
              <w:rPr>
                <w:rFonts w:ascii="宋体"/>
                <w:vanish/>
              </w:rPr>
            </w:pPr>
          </w:p>
        </w:tc>
        <w:tc>
          <w:tcPr>
            <w:tcW w:w="0" w:type="auto"/>
            <w:gridSpan w:val="3"/>
            <w:shd w:val="clear" w:color="auto" w:fill="auto"/>
          </w:tcPr>
          <w:p w14:paraId="5EA25339" w14:textId="77777777" w:rsidR="003C66EB" w:rsidRDefault="003C66EB">
            <w:pPr>
              <w:rPr>
                <w:rFonts w:ascii="宋体"/>
                <w:vanish/>
              </w:rPr>
            </w:pPr>
          </w:p>
        </w:tc>
        <w:tc>
          <w:tcPr>
            <w:tcW w:w="0" w:type="auto"/>
            <w:gridSpan w:val="3"/>
            <w:shd w:val="clear" w:color="auto" w:fill="auto"/>
          </w:tcPr>
          <w:p w14:paraId="5EA2533A" w14:textId="77777777" w:rsidR="003C66EB" w:rsidRDefault="003C66EB">
            <w:pPr>
              <w:rPr>
                <w:rFonts w:ascii="宋体"/>
                <w:vanish/>
              </w:rPr>
            </w:pPr>
          </w:p>
        </w:tc>
        <w:tc>
          <w:tcPr>
            <w:tcW w:w="0" w:type="auto"/>
            <w:shd w:val="clear" w:color="auto" w:fill="auto"/>
          </w:tcPr>
          <w:p w14:paraId="5EA2533B" w14:textId="77777777" w:rsidR="003C66EB" w:rsidRDefault="003C66EB">
            <w:pPr>
              <w:rPr>
                <w:rFonts w:ascii="宋体"/>
                <w:vanish/>
              </w:rPr>
            </w:pPr>
          </w:p>
        </w:tc>
        <w:tc>
          <w:tcPr>
            <w:tcW w:w="0" w:type="auto"/>
            <w:shd w:val="clear" w:color="auto" w:fill="auto"/>
          </w:tcPr>
          <w:p w14:paraId="5EA2533C" w14:textId="77777777" w:rsidR="003C66EB" w:rsidRDefault="003C66EB">
            <w:pPr>
              <w:rPr>
                <w:rFonts w:ascii="宋体"/>
                <w:vanish/>
              </w:rPr>
            </w:pPr>
          </w:p>
        </w:tc>
        <w:tc>
          <w:tcPr>
            <w:tcW w:w="0" w:type="auto"/>
            <w:gridSpan w:val="3"/>
            <w:shd w:val="clear" w:color="auto" w:fill="auto"/>
          </w:tcPr>
          <w:p w14:paraId="5EA2533D" w14:textId="77777777" w:rsidR="003C66EB" w:rsidRDefault="003C66EB">
            <w:pPr>
              <w:rPr>
                <w:rFonts w:ascii="宋体"/>
                <w:vanish/>
              </w:rPr>
            </w:pPr>
          </w:p>
        </w:tc>
        <w:tc>
          <w:tcPr>
            <w:tcW w:w="0" w:type="auto"/>
            <w:gridSpan w:val="3"/>
            <w:shd w:val="clear" w:color="auto" w:fill="auto"/>
          </w:tcPr>
          <w:p w14:paraId="5EA2533E" w14:textId="77777777" w:rsidR="003C66EB" w:rsidRDefault="003C66EB">
            <w:pPr>
              <w:rPr>
                <w:rFonts w:ascii="宋体"/>
                <w:vanish/>
              </w:rPr>
            </w:pPr>
          </w:p>
        </w:tc>
        <w:tc>
          <w:tcPr>
            <w:tcW w:w="0" w:type="auto"/>
            <w:gridSpan w:val="3"/>
            <w:shd w:val="clear" w:color="auto" w:fill="auto"/>
          </w:tcPr>
          <w:p w14:paraId="5EA2533F" w14:textId="77777777" w:rsidR="003C66EB" w:rsidRDefault="003C66EB">
            <w:pPr>
              <w:rPr>
                <w:rFonts w:ascii="宋体"/>
                <w:vanish/>
              </w:rPr>
            </w:pPr>
          </w:p>
        </w:tc>
        <w:tc>
          <w:tcPr>
            <w:tcW w:w="0" w:type="auto"/>
            <w:gridSpan w:val="3"/>
            <w:shd w:val="clear" w:color="auto" w:fill="auto"/>
          </w:tcPr>
          <w:p w14:paraId="5EA25340" w14:textId="77777777" w:rsidR="003C66EB" w:rsidRDefault="003C66EB">
            <w:pPr>
              <w:rPr>
                <w:rFonts w:ascii="宋体"/>
                <w:vanish/>
              </w:rPr>
            </w:pPr>
          </w:p>
        </w:tc>
        <w:tc>
          <w:tcPr>
            <w:tcW w:w="0" w:type="auto"/>
            <w:gridSpan w:val="3"/>
            <w:shd w:val="clear" w:color="auto" w:fill="auto"/>
          </w:tcPr>
          <w:p w14:paraId="5EA25341" w14:textId="77777777" w:rsidR="003C66EB" w:rsidRDefault="003C66EB">
            <w:pPr>
              <w:rPr>
                <w:rFonts w:ascii="宋体"/>
                <w:vanish/>
              </w:rPr>
            </w:pPr>
          </w:p>
        </w:tc>
      </w:tr>
    </w:tbl>
    <w:p w14:paraId="5EA25343"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2534A" w14:textId="77777777">
        <w:tc>
          <w:tcPr>
            <w:tcW w:w="50" w:type="pct"/>
            <w:shd w:val="clear" w:color="auto" w:fill="auto"/>
          </w:tcPr>
          <w:p w14:paraId="5EA25344" w14:textId="77777777" w:rsidR="003C66EB" w:rsidRDefault="003C66EB">
            <w:pPr>
              <w:rPr>
                <w:rFonts w:ascii="宋体"/>
              </w:rPr>
            </w:pPr>
          </w:p>
        </w:tc>
        <w:tc>
          <w:tcPr>
            <w:tcW w:w="1348" w:type="pct"/>
            <w:shd w:val="clear" w:color="auto" w:fill="auto"/>
          </w:tcPr>
          <w:p w14:paraId="5EA25345" w14:textId="77777777" w:rsidR="003C66EB" w:rsidRDefault="003C66EB">
            <w:pPr>
              <w:rPr>
                <w:rFonts w:ascii="宋体"/>
              </w:rPr>
            </w:pPr>
          </w:p>
        </w:tc>
        <w:tc>
          <w:tcPr>
            <w:tcW w:w="5" w:type="pct"/>
            <w:shd w:val="clear" w:color="auto" w:fill="auto"/>
          </w:tcPr>
          <w:p w14:paraId="5EA25346" w14:textId="77777777" w:rsidR="003C66EB" w:rsidRDefault="003C66EB">
            <w:pPr>
              <w:rPr>
                <w:rFonts w:ascii="宋体"/>
              </w:rPr>
            </w:pPr>
          </w:p>
        </w:tc>
        <w:tc>
          <w:tcPr>
            <w:tcW w:w="50" w:type="pct"/>
            <w:shd w:val="clear" w:color="auto" w:fill="auto"/>
          </w:tcPr>
          <w:p w14:paraId="5EA25347" w14:textId="77777777" w:rsidR="003C66EB" w:rsidRDefault="003C66EB">
            <w:pPr>
              <w:rPr>
                <w:rFonts w:ascii="宋体"/>
              </w:rPr>
            </w:pPr>
          </w:p>
        </w:tc>
        <w:tc>
          <w:tcPr>
            <w:tcW w:w="3541" w:type="pct"/>
            <w:shd w:val="clear" w:color="auto" w:fill="auto"/>
          </w:tcPr>
          <w:p w14:paraId="5EA25348" w14:textId="77777777" w:rsidR="003C66EB" w:rsidRDefault="003C66EB">
            <w:pPr>
              <w:rPr>
                <w:rFonts w:ascii="宋体"/>
              </w:rPr>
            </w:pPr>
          </w:p>
        </w:tc>
        <w:tc>
          <w:tcPr>
            <w:tcW w:w="5" w:type="pct"/>
            <w:shd w:val="clear" w:color="auto" w:fill="auto"/>
          </w:tcPr>
          <w:p w14:paraId="5EA25349" w14:textId="77777777" w:rsidR="003C66EB" w:rsidRDefault="003C66EB">
            <w:pPr>
              <w:rPr>
                <w:rFonts w:ascii="宋体"/>
              </w:rPr>
            </w:pPr>
          </w:p>
        </w:tc>
      </w:tr>
      <w:tr w:rsidR="003C66EB" w14:paraId="5EA2534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34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4C" w14:textId="77777777" w:rsidR="003C66EB" w:rsidRDefault="003C66EB">
            <w:pPr>
              <w:rPr>
                <w:rFonts w:ascii="宋体"/>
              </w:rPr>
            </w:pPr>
          </w:p>
        </w:tc>
      </w:tr>
    </w:tbl>
    <w:p w14:paraId="5EA2534E" w14:textId="77777777" w:rsidR="003C66EB" w:rsidRDefault="00D96C4E">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2020, accrued interest receivable of $72 million included in the amortized cost </w:t>
      </w:r>
      <w:r>
        <w:rPr>
          <w:rFonts w:ascii="Arial" w:eastAsia="宋体" w:hAnsi="Arial" w:cs="Arial"/>
          <w:color w:val="000000"/>
          <w:sz w:val="13"/>
          <w:szCs w:val="13"/>
        </w:rPr>
        <w:t>basis of loans has been excluded from the amortized cost basis within this table.</w:t>
      </w:r>
    </w:p>
    <w:p w14:paraId="5EA2534F" w14:textId="77777777" w:rsidR="003C66EB" w:rsidRDefault="003C66EB">
      <w:pPr>
        <w:spacing w:before="20"/>
        <w:ind w:firstLine="450"/>
        <w:jc w:val="both"/>
      </w:pPr>
    </w:p>
    <w:p w14:paraId="5EA25350" w14:textId="77777777" w:rsidR="003C66EB" w:rsidRDefault="00D96C4E">
      <w:pPr>
        <w:spacing w:before="60" w:after="100"/>
        <w:ind w:firstLine="450"/>
        <w:jc w:val="both"/>
      </w:pPr>
      <w:r>
        <w:rPr>
          <w:rFonts w:ascii="Arial" w:eastAsia="宋体" w:hAnsi="Arial" w:cs="Arial"/>
          <w:color w:val="000000"/>
          <w:sz w:val="20"/>
          <w:szCs w:val="20"/>
        </w:rPr>
        <w:t>The following table presents the activity in the allowance for credit losses by portfolio and class for the periods indicated:</w:t>
      </w:r>
    </w:p>
    <w:tbl>
      <w:tblPr>
        <w:tblW w:w="4956" w:type="pct"/>
        <w:tblCellMar>
          <w:top w:w="15" w:type="dxa"/>
          <w:left w:w="15" w:type="dxa"/>
          <w:bottom w:w="15" w:type="dxa"/>
          <w:right w:w="15" w:type="dxa"/>
        </w:tblCellMar>
        <w:tblLook w:val="04A0" w:firstRow="1" w:lastRow="0" w:firstColumn="1" w:lastColumn="0" w:noHBand="0" w:noVBand="1"/>
      </w:tblPr>
      <w:tblGrid>
        <w:gridCol w:w="39"/>
        <w:gridCol w:w="1497"/>
        <w:gridCol w:w="38"/>
        <w:gridCol w:w="100"/>
        <w:gridCol w:w="653"/>
        <w:gridCol w:w="38"/>
        <w:gridCol w:w="36"/>
        <w:gridCol w:w="36"/>
        <w:gridCol w:w="36"/>
        <w:gridCol w:w="99"/>
        <w:gridCol w:w="578"/>
        <w:gridCol w:w="37"/>
        <w:gridCol w:w="36"/>
        <w:gridCol w:w="36"/>
        <w:gridCol w:w="36"/>
        <w:gridCol w:w="99"/>
        <w:gridCol w:w="746"/>
        <w:gridCol w:w="36"/>
        <w:gridCol w:w="36"/>
        <w:gridCol w:w="36"/>
        <w:gridCol w:w="36"/>
        <w:gridCol w:w="99"/>
        <w:gridCol w:w="1024"/>
        <w:gridCol w:w="36"/>
        <w:gridCol w:w="36"/>
        <w:gridCol w:w="36"/>
        <w:gridCol w:w="36"/>
        <w:gridCol w:w="99"/>
        <w:gridCol w:w="898"/>
        <w:gridCol w:w="36"/>
        <w:gridCol w:w="36"/>
        <w:gridCol w:w="36"/>
        <w:gridCol w:w="36"/>
        <w:gridCol w:w="99"/>
        <w:gridCol w:w="562"/>
        <w:gridCol w:w="36"/>
        <w:gridCol w:w="36"/>
        <w:gridCol w:w="36"/>
        <w:gridCol w:w="36"/>
        <w:gridCol w:w="98"/>
        <w:gridCol w:w="632"/>
        <w:gridCol w:w="36"/>
      </w:tblGrid>
      <w:tr w:rsidR="003C66EB" w14:paraId="5EA2537B" w14:textId="77777777">
        <w:tc>
          <w:tcPr>
            <w:tcW w:w="50" w:type="pct"/>
            <w:shd w:val="clear" w:color="auto" w:fill="auto"/>
          </w:tcPr>
          <w:p w14:paraId="5EA25351" w14:textId="77777777" w:rsidR="003C66EB" w:rsidRDefault="003C66EB">
            <w:pPr>
              <w:rPr>
                <w:rFonts w:ascii="宋体"/>
              </w:rPr>
            </w:pPr>
          </w:p>
        </w:tc>
        <w:tc>
          <w:tcPr>
            <w:tcW w:w="940" w:type="pct"/>
            <w:shd w:val="clear" w:color="auto" w:fill="auto"/>
          </w:tcPr>
          <w:p w14:paraId="5EA25352" w14:textId="77777777" w:rsidR="003C66EB" w:rsidRDefault="003C66EB">
            <w:pPr>
              <w:rPr>
                <w:rFonts w:ascii="宋体"/>
              </w:rPr>
            </w:pPr>
          </w:p>
        </w:tc>
        <w:tc>
          <w:tcPr>
            <w:tcW w:w="5" w:type="pct"/>
            <w:shd w:val="clear" w:color="auto" w:fill="auto"/>
          </w:tcPr>
          <w:p w14:paraId="5EA25353" w14:textId="77777777" w:rsidR="003C66EB" w:rsidRDefault="003C66EB">
            <w:pPr>
              <w:rPr>
                <w:rFonts w:ascii="宋体"/>
              </w:rPr>
            </w:pPr>
          </w:p>
        </w:tc>
        <w:tc>
          <w:tcPr>
            <w:tcW w:w="50" w:type="pct"/>
            <w:shd w:val="clear" w:color="auto" w:fill="auto"/>
          </w:tcPr>
          <w:p w14:paraId="5EA25354" w14:textId="77777777" w:rsidR="003C66EB" w:rsidRDefault="003C66EB">
            <w:pPr>
              <w:rPr>
                <w:rFonts w:ascii="宋体"/>
              </w:rPr>
            </w:pPr>
          </w:p>
        </w:tc>
        <w:tc>
          <w:tcPr>
            <w:tcW w:w="409" w:type="pct"/>
            <w:shd w:val="clear" w:color="auto" w:fill="auto"/>
          </w:tcPr>
          <w:p w14:paraId="5EA25355" w14:textId="77777777" w:rsidR="003C66EB" w:rsidRDefault="003C66EB">
            <w:pPr>
              <w:rPr>
                <w:rFonts w:ascii="宋体"/>
              </w:rPr>
            </w:pPr>
          </w:p>
        </w:tc>
        <w:tc>
          <w:tcPr>
            <w:tcW w:w="5" w:type="pct"/>
            <w:shd w:val="clear" w:color="auto" w:fill="auto"/>
          </w:tcPr>
          <w:p w14:paraId="5EA25356" w14:textId="77777777" w:rsidR="003C66EB" w:rsidRDefault="003C66EB">
            <w:pPr>
              <w:rPr>
                <w:rFonts w:ascii="宋体"/>
              </w:rPr>
            </w:pPr>
          </w:p>
        </w:tc>
        <w:tc>
          <w:tcPr>
            <w:tcW w:w="5" w:type="pct"/>
            <w:shd w:val="clear" w:color="auto" w:fill="auto"/>
          </w:tcPr>
          <w:p w14:paraId="5EA25357" w14:textId="77777777" w:rsidR="003C66EB" w:rsidRDefault="003C66EB">
            <w:pPr>
              <w:rPr>
                <w:rFonts w:ascii="宋体"/>
              </w:rPr>
            </w:pPr>
          </w:p>
        </w:tc>
        <w:tc>
          <w:tcPr>
            <w:tcW w:w="26" w:type="pct"/>
            <w:shd w:val="clear" w:color="auto" w:fill="auto"/>
          </w:tcPr>
          <w:p w14:paraId="5EA25358" w14:textId="77777777" w:rsidR="003C66EB" w:rsidRDefault="003C66EB">
            <w:pPr>
              <w:rPr>
                <w:rFonts w:ascii="宋体"/>
              </w:rPr>
            </w:pPr>
          </w:p>
        </w:tc>
        <w:tc>
          <w:tcPr>
            <w:tcW w:w="5" w:type="pct"/>
            <w:shd w:val="clear" w:color="auto" w:fill="auto"/>
          </w:tcPr>
          <w:p w14:paraId="5EA25359" w14:textId="77777777" w:rsidR="003C66EB" w:rsidRDefault="003C66EB">
            <w:pPr>
              <w:rPr>
                <w:rFonts w:ascii="宋体"/>
              </w:rPr>
            </w:pPr>
          </w:p>
        </w:tc>
        <w:tc>
          <w:tcPr>
            <w:tcW w:w="50" w:type="pct"/>
            <w:shd w:val="clear" w:color="auto" w:fill="auto"/>
          </w:tcPr>
          <w:p w14:paraId="5EA2535A" w14:textId="77777777" w:rsidR="003C66EB" w:rsidRDefault="003C66EB">
            <w:pPr>
              <w:rPr>
                <w:rFonts w:ascii="宋体"/>
              </w:rPr>
            </w:pPr>
          </w:p>
        </w:tc>
        <w:tc>
          <w:tcPr>
            <w:tcW w:w="424" w:type="pct"/>
            <w:shd w:val="clear" w:color="auto" w:fill="auto"/>
          </w:tcPr>
          <w:p w14:paraId="5EA2535B" w14:textId="77777777" w:rsidR="003C66EB" w:rsidRDefault="003C66EB">
            <w:pPr>
              <w:rPr>
                <w:rFonts w:ascii="宋体"/>
              </w:rPr>
            </w:pPr>
          </w:p>
        </w:tc>
        <w:tc>
          <w:tcPr>
            <w:tcW w:w="5" w:type="pct"/>
            <w:shd w:val="clear" w:color="auto" w:fill="auto"/>
          </w:tcPr>
          <w:p w14:paraId="5EA2535C" w14:textId="77777777" w:rsidR="003C66EB" w:rsidRDefault="003C66EB">
            <w:pPr>
              <w:rPr>
                <w:rFonts w:ascii="宋体"/>
              </w:rPr>
            </w:pPr>
          </w:p>
        </w:tc>
        <w:tc>
          <w:tcPr>
            <w:tcW w:w="5" w:type="pct"/>
            <w:shd w:val="clear" w:color="auto" w:fill="auto"/>
          </w:tcPr>
          <w:p w14:paraId="5EA2535D" w14:textId="77777777" w:rsidR="003C66EB" w:rsidRDefault="003C66EB">
            <w:pPr>
              <w:rPr>
                <w:rFonts w:ascii="宋体"/>
              </w:rPr>
            </w:pPr>
          </w:p>
        </w:tc>
        <w:tc>
          <w:tcPr>
            <w:tcW w:w="26" w:type="pct"/>
            <w:shd w:val="clear" w:color="auto" w:fill="auto"/>
          </w:tcPr>
          <w:p w14:paraId="5EA2535E" w14:textId="77777777" w:rsidR="003C66EB" w:rsidRDefault="003C66EB">
            <w:pPr>
              <w:rPr>
                <w:rFonts w:ascii="宋体"/>
              </w:rPr>
            </w:pPr>
          </w:p>
        </w:tc>
        <w:tc>
          <w:tcPr>
            <w:tcW w:w="5" w:type="pct"/>
            <w:shd w:val="clear" w:color="auto" w:fill="auto"/>
          </w:tcPr>
          <w:p w14:paraId="5EA2535F" w14:textId="77777777" w:rsidR="003C66EB" w:rsidRDefault="003C66EB">
            <w:pPr>
              <w:rPr>
                <w:rFonts w:ascii="宋体"/>
              </w:rPr>
            </w:pPr>
          </w:p>
        </w:tc>
        <w:tc>
          <w:tcPr>
            <w:tcW w:w="50" w:type="pct"/>
            <w:shd w:val="clear" w:color="auto" w:fill="auto"/>
          </w:tcPr>
          <w:p w14:paraId="5EA25360" w14:textId="77777777" w:rsidR="003C66EB" w:rsidRDefault="003C66EB">
            <w:pPr>
              <w:rPr>
                <w:rFonts w:ascii="宋体"/>
              </w:rPr>
            </w:pPr>
          </w:p>
        </w:tc>
        <w:tc>
          <w:tcPr>
            <w:tcW w:w="424" w:type="pct"/>
            <w:shd w:val="clear" w:color="auto" w:fill="auto"/>
          </w:tcPr>
          <w:p w14:paraId="5EA25361" w14:textId="77777777" w:rsidR="003C66EB" w:rsidRDefault="003C66EB">
            <w:pPr>
              <w:rPr>
                <w:rFonts w:ascii="宋体"/>
              </w:rPr>
            </w:pPr>
          </w:p>
        </w:tc>
        <w:tc>
          <w:tcPr>
            <w:tcW w:w="5" w:type="pct"/>
            <w:shd w:val="clear" w:color="auto" w:fill="auto"/>
          </w:tcPr>
          <w:p w14:paraId="5EA25362" w14:textId="77777777" w:rsidR="003C66EB" w:rsidRDefault="003C66EB">
            <w:pPr>
              <w:rPr>
                <w:rFonts w:ascii="宋体"/>
              </w:rPr>
            </w:pPr>
          </w:p>
        </w:tc>
        <w:tc>
          <w:tcPr>
            <w:tcW w:w="5" w:type="pct"/>
            <w:shd w:val="clear" w:color="auto" w:fill="auto"/>
          </w:tcPr>
          <w:p w14:paraId="5EA25363" w14:textId="77777777" w:rsidR="003C66EB" w:rsidRDefault="003C66EB">
            <w:pPr>
              <w:rPr>
                <w:rFonts w:ascii="宋体"/>
              </w:rPr>
            </w:pPr>
          </w:p>
        </w:tc>
        <w:tc>
          <w:tcPr>
            <w:tcW w:w="26" w:type="pct"/>
            <w:shd w:val="clear" w:color="auto" w:fill="auto"/>
          </w:tcPr>
          <w:p w14:paraId="5EA25364" w14:textId="77777777" w:rsidR="003C66EB" w:rsidRDefault="003C66EB">
            <w:pPr>
              <w:rPr>
                <w:rFonts w:ascii="宋体"/>
              </w:rPr>
            </w:pPr>
          </w:p>
        </w:tc>
        <w:tc>
          <w:tcPr>
            <w:tcW w:w="5" w:type="pct"/>
            <w:shd w:val="clear" w:color="auto" w:fill="auto"/>
          </w:tcPr>
          <w:p w14:paraId="5EA25365" w14:textId="77777777" w:rsidR="003C66EB" w:rsidRDefault="003C66EB">
            <w:pPr>
              <w:rPr>
                <w:rFonts w:ascii="宋体"/>
              </w:rPr>
            </w:pPr>
          </w:p>
        </w:tc>
        <w:tc>
          <w:tcPr>
            <w:tcW w:w="50" w:type="pct"/>
            <w:shd w:val="clear" w:color="auto" w:fill="auto"/>
          </w:tcPr>
          <w:p w14:paraId="5EA25366" w14:textId="77777777" w:rsidR="003C66EB" w:rsidRDefault="003C66EB">
            <w:pPr>
              <w:rPr>
                <w:rFonts w:ascii="宋体"/>
              </w:rPr>
            </w:pPr>
          </w:p>
        </w:tc>
        <w:tc>
          <w:tcPr>
            <w:tcW w:w="630" w:type="pct"/>
            <w:shd w:val="clear" w:color="auto" w:fill="auto"/>
          </w:tcPr>
          <w:p w14:paraId="5EA25367" w14:textId="77777777" w:rsidR="003C66EB" w:rsidRDefault="003C66EB">
            <w:pPr>
              <w:rPr>
                <w:rFonts w:ascii="宋体"/>
              </w:rPr>
            </w:pPr>
          </w:p>
        </w:tc>
        <w:tc>
          <w:tcPr>
            <w:tcW w:w="5" w:type="pct"/>
            <w:shd w:val="clear" w:color="auto" w:fill="auto"/>
          </w:tcPr>
          <w:p w14:paraId="5EA25368" w14:textId="77777777" w:rsidR="003C66EB" w:rsidRDefault="003C66EB">
            <w:pPr>
              <w:rPr>
                <w:rFonts w:ascii="宋体"/>
              </w:rPr>
            </w:pPr>
          </w:p>
        </w:tc>
        <w:tc>
          <w:tcPr>
            <w:tcW w:w="5" w:type="pct"/>
            <w:shd w:val="clear" w:color="auto" w:fill="auto"/>
          </w:tcPr>
          <w:p w14:paraId="5EA25369" w14:textId="77777777" w:rsidR="003C66EB" w:rsidRDefault="003C66EB">
            <w:pPr>
              <w:rPr>
                <w:rFonts w:ascii="宋体"/>
              </w:rPr>
            </w:pPr>
          </w:p>
        </w:tc>
        <w:tc>
          <w:tcPr>
            <w:tcW w:w="26" w:type="pct"/>
            <w:shd w:val="clear" w:color="auto" w:fill="auto"/>
          </w:tcPr>
          <w:p w14:paraId="5EA2536A" w14:textId="77777777" w:rsidR="003C66EB" w:rsidRDefault="003C66EB">
            <w:pPr>
              <w:rPr>
                <w:rFonts w:ascii="宋体"/>
              </w:rPr>
            </w:pPr>
          </w:p>
        </w:tc>
        <w:tc>
          <w:tcPr>
            <w:tcW w:w="5" w:type="pct"/>
            <w:shd w:val="clear" w:color="auto" w:fill="auto"/>
          </w:tcPr>
          <w:p w14:paraId="5EA2536B" w14:textId="77777777" w:rsidR="003C66EB" w:rsidRDefault="003C66EB">
            <w:pPr>
              <w:rPr>
                <w:rFonts w:ascii="宋体"/>
              </w:rPr>
            </w:pPr>
          </w:p>
        </w:tc>
        <w:tc>
          <w:tcPr>
            <w:tcW w:w="50" w:type="pct"/>
            <w:shd w:val="clear" w:color="auto" w:fill="auto"/>
          </w:tcPr>
          <w:p w14:paraId="5EA2536C" w14:textId="77777777" w:rsidR="003C66EB" w:rsidRDefault="003C66EB">
            <w:pPr>
              <w:rPr>
                <w:rFonts w:ascii="宋体"/>
              </w:rPr>
            </w:pPr>
          </w:p>
        </w:tc>
        <w:tc>
          <w:tcPr>
            <w:tcW w:w="645" w:type="pct"/>
            <w:shd w:val="clear" w:color="auto" w:fill="auto"/>
          </w:tcPr>
          <w:p w14:paraId="5EA2536D" w14:textId="77777777" w:rsidR="003C66EB" w:rsidRDefault="003C66EB">
            <w:pPr>
              <w:rPr>
                <w:rFonts w:ascii="宋体"/>
              </w:rPr>
            </w:pPr>
          </w:p>
        </w:tc>
        <w:tc>
          <w:tcPr>
            <w:tcW w:w="5" w:type="pct"/>
            <w:shd w:val="clear" w:color="auto" w:fill="auto"/>
          </w:tcPr>
          <w:p w14:paraId="5EA2536E" w14:textId="77777777" w:rsidR="003C66EB" w:rsidRDefault="003C66EB">
            <w:pPr>
              <w:rPr>
                <w:rFonts w:ascii="宋体"/>
              </w:rPr>
            </w:pPr>
          </w:p>
        </w:tc>
        <w:tc>
          <w:tcPr>
            <w:tcW w:w="5" w:type="pct"/>
            <w:shd w:val="clear" w:color="auto" w:fill="auto"/>
          </w:tcPr>
          <w:p w14:paraId="5EA2536F" w14:textId="77777777" w:rsidR="003C66EB" w:rsidRDefault="003C66EB">
            <w:pPr>
              <w:rPr>
                <w:rFonts w:ascii="宋体"/>
              </w:rPr>
            </w:pPr>
          </w:p>
        </w:tc>
        <w:tc>
          <w:tcPr>
            <w:tcW w:w="26" w:type="pct"/>
            <w:shd w:val="clear" w:color="auto" w:fill="auto"/>
          </w:tcPr>
          <w:p w14:paraId="5EA25370" w14:textId="77777777" w:rsidR="003C66EB" w:rsidRDefault="003C66EB">
            <w:pPr>
              <w:rPr>
                <w:rFonts w:ascii="宋体"/>
              </w:rPr>
            </w:pPr>
          </w:p>
        </w:tc>
        <w:tc>
          <w:tcPr>
            <w:tcW w:w="5" w:type="pct"/>
            <w:shd w:val="clear" w:color="auto" w:fill="auto"/>
          </w:tcPr>
          <w:p w14:paraId="5EA25371" w14:textId="77777777" w:rsidR="003C66EB" w:rsidRDefault="003C66EB">
            <w:pPr>
              <w:rPr>
                <w:rFonts w:ascii="宋体"/>
              </w:rPr>
            </w:pPr>
          </w:p>
        </w:tc>
        <w:tc>
          <w:tcPr>
            <w:tcW w:w="50" w:type="pct"/>
            <w:shd w:val="clear" w:color="auto" w:fill="auto"/>
          </w:tcPr>
          <w:p w14:paraId="5EA25372" w14:textId="77777777" w:rsidR="003C66EB" w:rsidRDefault="003C66EB">
            <w:pPr>
              <w:rPr>
                <w:rFonts w:ascii="宋体"/>
              </w:rPr>
            </w:pPr>
          </w:p>
        </w:tc>
        <w:tc>
          <w:tcPr>
            <w:tcW w:w="424" w:type="pct"/>
            <w:shd w:val="clear" w:color="auto" w:fill="auto"/>
          </w:tcPr>
          <w:p w14:paraId="5EA25373" w14:textId="77777777" w:rsidR="003C66EB" w:rsidRDefault="003C66EB">
            <w:pPr>
              <w:rPr>
                <w:rFonts w:ascii="宋体"/>
              </w:rPr>
            </w:pPr>
          </w:p>
        </w:tc>
        <w:tc>
          <w:tcPr>
            <w:tcW w:w="5" w:type="pct"/>
            <w:shd w:val="clear" w:color="auto" w:fill="auto"/>
          </w:tcPr>
          <w:p w14:paraId="5EA25374" w14:textId="77777777" w:rsidR="003C66EB" w:rsidRDefault="003C66EB">
            <w:pPr>
              <w:rPr>
                <w:rFonts w:ascii="宋体"/>
              </w:rPr>
            </w:pPr>
          </w:p>
        </w:tc>
        <w:tc>
          <w:tcPr>
            <w:tcW w:w="5" w:type="pct"/>
            <w:shd w:val="clear" w:color="auto" w:fill="auto"/>
          </w:tcPr>
          <w:p w14:paraId="5EA25375" w14:textId="77777777" w:rsidR="003C66EB" w:rsidRDefault="003C66EB">
            <w:pPr>
              <w:rPr>
                <w:rFonts w:ascii="宋体"/>
              </w:rPr>
            </w:pPr>
          </w:p>
        </w:tc>
        <w:tc>
          <w:tcPr>
            <w:tcW w:w="26" w:type="pct"/>
            <w:shd w:val="clear" w:color="auto" w:fill="auto"/>
          </w:tcPr>
          <w:p w14:paraId="5EA25376" w14:textId="77777777" w:rsidR="003C66EB" w:rsidRDefault="003C66EB">
            <w:pPr>
              <w:rPr>
                <w:rFonts w:ascii="宋体"/>
              </w:rPr>
            </w:pPr>
          </w:p>
        </w:tc>
        <w:tc>
          <w:tcPr>
            <w:tcW w:w="5" w:type="pct"/>
            <w:shd w:val="clear" w:color="auto" w:fill="auto"/>
          </w:tcPr>
          <w:p w14:paraId="5EA25377" w14:textId="77777777" w:rsidR="003C66EB" w:rsidRDefault="003C66EB">
            <w:pPr>
              <w:rPr>
                <w:rFonts w:ascii="宋体"/>
              </w:rPr>
            </w:pPr>
          </w:p>
        </w:tc>
        <w:tc>
          <w:tcPr>
            <w:tcW w:w="50" w:type="pct"/>
            <w:shd w:val="clear" w:color="auto" w:fill="auto"/>
          </w:tcPr>
          <w:p w14:paraId="5EA25378" w14:textId="77777777" w:rsidR="003C66EB" w:rsidRDefault="003C66EB">
            <w:pPr>
              <w:rPr>
                <w:rFonts w:ascii="宋体"/>
              </w:rPr>
            </w:pPr>
          </w:p>
        </w:tc>
        <w:tc>
          <w:tcPr>
            <w:tcW w:w="439" w:type="pct"/>
            <w:shd w:val="clear" w:color="auto" w:fill="auto"/>
          </w:tcPr>
          <w:p w14:paraId="5EA25379" w14:textId="77777777" w:rsidR="003C66EB" w:rsidRDefault="003C66EB">
            <w:pPr>
              <w:rPr>
                <w:rFonts w:ascii="宋体"/>
              </w:rPr>
            </w:pPr>
          </w:p>
        </w:tc>
        <w:tc>
          <w:tcPr>
            <w:tcW w:w="5" w:type="pct"/>
            <w:shd w:val="clear" w:color="auto" w:fill="auto"/>
          </w:tcPr>
          <w:p w14:paraId="5EA2537A" w14:textId="77777777" w:rsidR="003C66EB" w:rsidRDefault="003C66EB">
            <w:pPr>
              <w:rPr>
                <w:rFonts w:ascii="宋体"/>
              </w:rPr>
            </w:pPr>
          </w:p>
        </w:tc>
      </w:tr>
      <w:tr w:rsidR="003C66EB" w14:paraId="5EA2537E" w14:textId="77777777">
        <w:tc>
          <w:tcPr>
            <w:tcW w:w="0" w:type="auto"/>
            <w:gridSpan w:val="3"/>
            <w:shd w:val="clear" w:color="auto" w:fill="auto"/>
            <w:tcMar>
              <w:top w:w="0" w:type="dxa"/>
              <w:left w:w="20" w:type="dxa"/>
              <w:bottom w:w="0" w:type="dxa"/>
              <w:right w:w="20" w:type="dxa"/>
            </w:tcMar>
          </w:tcPr>
          <w:p w14:paraId="5EA2537C" w14:textId="77777777" w:rsidR="003C66EB" w:rsidRDefault="003C66EB">
            <w:pPr>
              <w:rPr>
                <w:rFonts w:ascii="宋体"/>
              </w:rPr>
            </w:pPr>
          </w:p>
        </w:tc>
        <w:tc>
          <w:tcPr>
            <w:tcW w:w="0" w:type="auto"/>
            <w:gridSpan w:val="39"/>
            <w:shd w:val="clear" w:color="auto" w:fill="auto"/>
            <w:tcMar>
              <w:top w:w="40" w:type="dxa"/>
              <w:left w:w="20" w:type="dxa"/>
              <w:bottom w:w="40" w:type="dxa"/>
              <w:right w:w="20" w:type="dxa"/>
            </w:tcMar>
            <w:vAlign w:val="bottom"/>
          </w:tcPr>
          <w:p w14:paraId="5EA2537D" w14:textId="77777777" w:rsidR="003C66EB" w:rsidRDefault="00D96C4E">
            <w:pPr>
              <w:jc w:val="center"/>
              <w:textAlignment w:val="bottom"/>
            </w:pPr>
            <w:r>
              <w:rPr>
                <w:rFonts w:ascii="Arial" w:eastAsia="宋体" w:hAnsi="Arial" w:cs="Arial"/>
                <w:b/>
                <w:bCs/>
                <w:color w:val="000000"/>
                <w:sz w:val="14"/>
                <w:szCs w:val="14"/>
              </w:rPr>
              <w:t>Three Months Ended March 31, 2021</w:t>
            </w:r>
          </w:p>
        </w:tc>
      </w:tr>
      <w:tr w:rsidR="003C66EB" w14:paraId="5EA2538A" w14:textId="77777777">
        <w:tc>
          <w:tcPr>
            <w:tcW w:w="0" w:type="auto"/>
            <w:gridSpan w:val="3"/>
            <w:shd w:val="clear" w:color="auto" w:fill="auto"/>
            <w:tcMar>
              <w:top w:w="0" w:type="dxa"/>
              <w:left w:w="20" w:type="dxa"/>
              <w:bottom w:w="0" w:type="dxa"/>
              <w:right w:w="20" w:type="dxa"/>
            </w:tcMar>
          </w:tcPr>
          <w:p w14:paraId="5EA2537F"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380" w14:textId="77777777" w:rsidR="003C66EB" w:rsidRDefault="00D96C4E">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tcPr>
          <w:p w14:paraId="5EA2538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7" w14:textId="77777777" w:rsidR="003C66EB" w:rsidRDefault="003C66EB">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tcPr>
          <w:p w14:paraId="5EA2538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89" w14:textId="77777777" w:rsidR="003C66EB" w:rsidRDefault="003C66EB">
            <w:pPr>
              <w:rPr>
                <w:rFonts w:ascii="宋体"/>
              </w:rPr>
            </w:pPr>
          </w:p>
        </w:tc>
      </w:tr>
      <w:tr w:rsidR="003C66EB" w14:paraId="5EA25399" w14:textId="77777777">
        <w:tc>
          <w:tcPr>
            <w:tcW w:w="0" w:type="auto"/>
            <w:gridSpan w:val="3"/>
            <w:shd w:val="clear" w:color="auto" w:fill="auto"/>
            <w:tcMar>
              <w:top w:w="40" w:type="dxa"/>
              <w:left w:w="20" w:type="dxa"/>
              <w:bottom w:w="40" w:type="dxa"/>
              <w:right w:w="20" w:type="dxa"/>
            </w:tcMar>
            <w:vAlign w:val="bottom"/>
          </w:tcPr>
          <w:p w14:paraId="5EA2538B"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38C" w14:textId="77777777" w:rsidR="003C66EB" w:rsidRDefault="00D96C4E">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tcPr>
          <w:p w14:paraId="5EA2538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38E" w14:textId="77777777" w:rsidR="003C66EB" w:rsidRDefault="00D96C4E">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2538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390" w14:textId="77777777" w:rsidR="003C66EB" w:rsidRDefault="00D96C4E">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tcPr>
          <w:p w14:paraId="5EA2539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392" w14:textId="77777777" w:rsidR="003C66EB" w:rsidRDefault="00D96C4E">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tcPr>
          <w:p w14:paraId="5EA2539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394" w14:textId="77777777" w:rsidR="003C66EB" w:rsidRDefault="00D96C4E">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tcPr>
          <w:p w14:paraId="5EA2539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396" w14:textId="77777777" w:rsidR="003C66EB" w:rsidRDefault="00D96C4E">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tcPr>
          <w:p w14:paraId="5EA2539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398" w14:textId="77777777" w:rsidR="003C66EB" w:rsidRDefault="00D96C4E">
            <w:pPr>
              <w:jc w:val="center"/>
              <w:textAlignment w:val="bottom"/>
            </w:pPr>
            <w:r>
              <w:rPr>
                <w:rFonts w:ascii="Arial" w:eastAsia="宋体" w:hAnsi="Arial" w:cs="Arial"/>
                <w:b/>
                <w:bCs/>
                <w:color w:val="000000"/>
                <w:sz w:val="14"/>
                <w:szCs w:val="14"/>
              </w:rPr>
              <w:t>Total</w:t>
            </w:r>
          </w:p>
        </w:tc>
      </w:tr>
      <w:tr w:rsidR="003C66EB" w14:paraId="5EA253A8" w14:textId="77777777">
        <w:tc>
          <w:tcPr>
            <w:tcW w:w="0" w:type="auto"/>
            <w:gridSpan w:val="3"/>
            <w:shd w:val="clear" w:color="auto" w:fill="auto"/>
            <w:tcMar>
              <w:top w:w="40" w:type="dxa"/>
              <w:left w:w="20" w:type="dxa"/>
              <w:bottom w:w="40" w:type="dxa"/>
              <w:right w:w="20" w:type="dxa"/>
            </w:tcMar>
            <w:vAlign w:val="bottom"/>
          </w:tcPr>
          <w:p w14:paraId="5EA2539A" w14:textId="77777777" w:rsidR="003C66EB" w:rsidRDefault="00D96C4E">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tcPr>
          <w:p w14:paraId="5EA2539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9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9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9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9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A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A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A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A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A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3A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3A7" w14:textId="77777777" w:rsidR="003C66EB" w:rsidRDefault="003C66EB">
            <w:pPr>
              <w:rPr>
                <w:rFonts w:ascii="宋体"/>
              </w:rPr>
            </w:pPr>
          </w:p>
        </w:tc>
      </w:tr>
      <w:tr w:rsidR="003C66EB" w14:paraId="5EA253C5" w14:textId="77777777">
        <w:tc>
          <w:tcPr>
            <w:tcW w:w="0" w:type="auto"/>
            <w:gridSpan w:val="3"/>
            <w:shd w:val="clear" w:color="auto" w:fill="CCEEFF"/>
            <w:tcMar>
              <w:top w:w="40" w:type="dxa"/>
              <w:left w:w="20" w:type="dxa"/>
              <w:bottom w:w="40" w:type="dxa"/>
              <w:right w:w="20" w:type="dxa"/>
            </w:tcMar>
            <w:vAlign w:val="bottom"/>
          </w:tcPr>
          <w:p w14:paraId="5EA253A9" w14:textId="77777777" w:rsidR="003C66EB" w:rsidRDefault="00D96C4E">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A253AA"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AB" w14:textId="77777777" w:rsidR="003C66EB" w:rsidRDefault="00D96C4E">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A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A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3AE"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AF" w14:textId="77777777" w:rsidR="003C66EB" w:rsidRDefault="00D96C4E">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B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3B2"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B3" w14:textId="77777777" w:rsidR="003C66EB" w:rsidRDefault="00D96C4E">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B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3B6"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B7" w14:textId="77777777" w:rsidR="003C66EB" w:rsidRDefault="00D96C4E">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B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3BA"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BB" w14:textId="77777777" w:rsidR="003C66EB" w:rsidRDefault="00D96C4E">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B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3BE"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BF" w14:textId="77777777" w:rsidR="003C66EB" w:rsidRDefault="00D96C4E">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C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C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3C2"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3C3" w14:textId="77777777" w:rsidR="003C66EB" w:rsidRDefault="00D96C4E">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C4" w14:textId="77777777" w:rsidR="003C66EB" w:rsidRDefault="003C66EB">
            <w:pPr>
              <w:jc w:val="right"/>
              <w:rPr>
                <w:rFonts w:ascii="宋体"/>
              </w:rPr>
            </w:pPr>
          </w:p>
        </w:tc>
      </w:tr>
      <w:tr w:rsidR="003C66EB" w14:paraId="5EA253DB" w14:textId="77777777">
        <w:tc>
          <w:tcPr>
            <w:tcW w:w="0" w:type="auto"/>
            <w:gridSpan w:val="3"/>
            <w:shd w:val="clear" w:color="auto" w:fill="FFFFFF"/>
            <w:tcMar>
              <w:top w:w="40" w:type="dxa"/>
              <w:left w:w="20" w:type="dxa"/>
              <w:bottom w:w="40" w:type="dxa"/>
              <w:right w:w="20" w:type="dxa"/>
            </w:tcMar>
            <w:vAlign w:val="bottom"/>
          </w:tcPr>
          <w:p w14:paraId="5EA253C6" w14:textId="77777777" w:rsidR="003C66EB" w:rsidRDefault="00D96C4E">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5EA253C7"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3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3CA"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C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3C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3C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C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3C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3D0"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D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3D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3D3"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3D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3D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3D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3D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3DA" w14:textId="77777777" w:rsidR="003C66EB" w:rsidRDefault="003C66EB">
            <w:pPr>
              <w:jc w:val="right"/>
              <w:rPr>
                <w:rFonts w:ascii="宋体"/>
              </w:rPr>
            </w:pPr>
          </w:p>
        </w:tc>
      </w:tr>
      <w:tr w:rsidR="003C66EB" w14:paraId="5EA253F1" w14:textId="77777777">
        <w:tc>
          <w:tcPr>
            <w:tcW w:w="0" w:type="auto"/>
            <w:gridSpan w:val="3"/>
            <w:shd w:val="clear" w:color="auto" w:fill="CCEEFF"/>
            <w:tcMar>
              <w:top w:w="40" w:type="dxa"/>
              <w:left w:w="20" w:type="dxa"/>
              <w:bottom w:w="40" w:type="dxa"/>
              <w:right w:w="20" w:type="dxa"/>
            </w:tcMar>
            <w:vAlign w:val="bottom"/>
          </w:tcPr>
          <w:p w14:paraId="5EA253DC" w14:textId="77777777" w:rsidR="003C66EB" w:rsidRDefault="00D96C4E">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EA253DD" w14:textId="77777777" w:rsidR="003C66EB" w:rsidRDefault="00D96C4E">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A253D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D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3E0" w14:textId="77777777" w:rsidR="003C66EB" w:rsidRDefault="00D96C4E">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5EA253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E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3E3" w14:textId="77777777" w:rsidR="003C66EB" w:rsidRDefault="00D96C4E">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3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3E6" w14:textId="77777777" w:rsidR="003C66EB" w:rsidRDefault="00D96C4E">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A253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E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3E9" w14:textId="77777777" w:rsidR="003C66EB" w:rsidRDefault="00D96C4E">
            <w:pPr>
              <w:jc w:val="right"/>
              <w:textAlignment w:val="bottom"/>
            </w:pPr>
            <w:r>
              <w:rPr>
                <w:rFonts w:ascii="Arial" w:eastAsia="宋体" w:hAnsi="Arial" w:cs="Arial"/>
                <w:b/>
                <w:bCs/>
                <w:color w:val="000000"/>
                <w:sz w:val="14"/>
                <w:szCs w:val="14"/>
              </w:rPr>
              <w:t>(7)</w:t>
            </w:r>
          </w:p>
        </w:tc>
        <w:tc>
          <w:tcPr>
            <w:tcW w:w="0" w:type="auto"/>
            <w:shd w:val="clear" w:color="auto" w:fill="CCEEFF"/>
            <w:tcMar>
              <w:top w:w="40" w:type="dxa"/>
              <w:left w:w="0" w:type="dxa"/>
              <w:bottom w:w="40" w:type="dxa"/>
              <w:right w:w="20" w:type="dxa"/>
            </w:tcMar>
            <w:vAlign w:val="bottom"/>
          </w:tcPr>
          <w:p w14:paraId="5EA253E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E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3EC" w14:textId="77777777" w:rsidR="003C66EB" w:rsidRDefault="00D96C4E">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A253E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3E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3EF" w14:textId="77777777" w:rsidR="003C66EB" w:rsidRDefault="00D96C4E">
            <w:pPr>
              <w:jc w:val="right"/>
              <w:textAlignment w:val="bottom"/>
            </w:pPr>
            <w:r>
              <w:rPr>
                <w:rFonts w:ascii="Arial" w:eastAsia="宋体" w:hAnsi="Arial" w:cs="Arial"/>
                <w:b/>
                <w:bCs/>
                <w:color w:val="000000"/>
                <w:sz w:val="14"/>
                <w:szCs w:val="14"/>
              </w:rPr>
              <w:t>(9)</w:t>
            </w:r>
          </w:p>
        </w:tc>
        <w:tc>
          <w:tcPr>
            <w:tcW w:w="0" w:type="auto"/>
            <w:shd w:val="clear" w:color="auto" w:fill="CCEEFF"/>
            <w:tcMar>
              <w:top w:w="40" w:type="dxa"/>
              <w:left w:w="0" w:type="dxa"/>
              <w:bottom w:w="40" w:type="dxa"/>
              <w:right w:w="20" w:type="dxa"/>
            </w:tcMar>
            <w:vAlign w:val="bottom"/>
          </w:tcPr>
          <w:p w14:paraId="5EA253F0" w14:textId="77777777" w:rsidR="003C66EB" w:rsidRDefault="003C66EB">
            <w:pPr>
              <w:jc w:val="right"/>
              <w:rPr>
                <w:rFonts w:ascii="宋体"/>
              </w:rPr>
            </w:pPr>
          </w:p>
        </w:tc>
      </w:tr>
      <w:tr w:rsidR="003C66EB" w14:paraId="5EA25400" w14:textId="77777777">
        <w:trPr>
          <w:hidden/>
        </w:trPr>
        <w:tc>
          <w:tcPr>
            <w:tcW w:w="0" w:type="auto"/>
            <w:gridSpan w:val="3"/>
            <w:shd w:val="clear" w:color="auto" w:fill="auto"/>
          </w:tcPr>
          <w:p w14:paraId="5EA253F2" w14:textId="77777777" w:rsidR="003C66EB" w:rsidRDefault="003C66EB">
            <w:pPr>
              <w:rPr>
                <w:rFonts w:ascii="宋体"/>
                <w:vanish/>
              </w:rPr>
            </w:pPr>
          </w:p>
        </w:tc>
        <w:tc>
          <w:tcPr>
            <w:tcW w:w="0" w:type="auto"/>
            <w:gridSpan w:val="3"/>
            <w:shd w:val="clear" w:color="auto" w:fill="auto"/>
          </w:tcPr>
          <w:p w14:paraId="5EA253F3" w14:textId="77777777" w:rsidR="003C66EB" w:rsidRDefault="003C66EB">
            <w:pPr>
              <w:rPr>
                <w:rFonts w:ascii="宋体"/>
                <w:vanish/>
              </w:rPr>
            </w:pPr>
          </w:p>
        </w:tc>
        <w:tc>
          <w:tcPr>
            <w:tcW w:w="0" w:type="auto"/>
            <w:gridSpan w:val="3"/>
            <w:shd w:val="clear" w:color="auto" w:fill="auto"/>
          </w:tcPr>
          <w:p w14:paraId="5EA253F4" w14:textId="77777777" w:rsidR="003C66EB" w:rsidRDefault="003C66EB">
            <w:pPr>
              <w:rPr>
                <w:rFonts w:ascii="宋体"/>
                <w:vanish/>
              </w:rPr>
            </w:pPr>
          </w:p>
        </w:tc>
        <w:tc>
          <w:tcPr>
            <w:tcW w:w="0" w:type="auto"/>
            <w:gridSpan w:val="3"/>
            <w:shd w:val="clear" w:color="auto" w:fill="auto"/>
          </w:tcPr>
          <w:p w14:paraId="5EA253F5" w14:textId="77777777" w:rsidR="003C66EB" w:rsidRDefault="003C66EB">
            <w:pPr>
              <w:rPr>
                <w:rFonts w:ascii="宋体"/>
                <w:vanish/>
              </w:rPr>
            </w:pPr>
          </w:p>
        </w:tc>
        <w:tc>
          <w:tcPr>
            <w:tcW w:w="0" w:type="auto"/>
            <w:gridSpan w:val="3"/>
            <w:shd w:val="clear" w:color="auto" w:fill="auto"/>
          </w:tcPr>
          <w:p w14:paraId="5EA253F6" w14:textId="77777777" w:rsidR="003C66EB" w:rsidRDefault="003C66EB">
            <w:pPr>
              <w:rPr>
                <w:rFonts w:ascii="宋体"/>
                <w:vanish/>
              </w:rPr>
            </w:pPr>
          </w:p>
        </w:tc>
        <w:tc>
          <w:tcPr>
            <w:tcW w:w="0" w:type="auto"/>
            <w:gridSpan w:val="3"/>
            <w:shd w:val="clear" w:color="auto" w:fill="auto"/>
          </w:tcPr>
          <w:p w14:paraId="5EA253F7" w14:textId="77777777" w:rsidR="003C66EB" w:rsidRDefault="003C66EB">
            <w:pPr>
              <w:rPr>
                <w:rFonts w:ascii="宋体"/>
                <w:vanish/>
              </w:rPr>
            </w:pPr>
          </w:p>
        </w:tc>
        <w:tc>
          <w:tcPr>
            <w:tcW w:w="0" w:type="auto"/>
            <w:gridSpan w:val="3"/>
            <w:shd w:val="clear" w:color="auto" w:fill="auto"/>
          </w:tcPr>
          <w:p w14:paraId="5EA253F8" w14:textId="77777777" w:rsidR="003C66EB" w:rsidRDefault="003C66EB">
            <w:pPr>
              <w:rPr>
                <w:rFonts w:ascii="宋体"/>
                <w:vanish/>
              </w:rPr>
            </w:pPr>
          </w:p>
        </w:tc>
        <w:tc>
          <w:tcPr>
            <w:tcW w:w="0" w:type="auto"/>
            <w:gridSpan w:val="3"/>
            <w:shd w:val="clear" w:color="auto" w:fill="auto"/>
          </w:tcPr>
          <w:p w14:paraId="5EA253F9" w14:textId="77777777" w:rsidR="003C66EB" w:rsidRDefault="003C66EB">
            <w:pPr>
              <w:rPr>
                <w:rFonts w:ascii="宋体"/>
                <w:vanish/>
              </w:rPr>
            </w:pPr>
          </w:p>
        </w:tc>
        <w:tc>
          <w:tcPr>
            <w:tcW w:w="0" w:type="auto"/>
            <w:gridSpan w:val="3"/>
            <w:shd w:val="clear" w:color="auto" w:fill="auto"/>
          </w:tcPr>
          <w:p w14:paraId="5EA253FA" w14:textId="77777777" w:rsidR="003C66EB" w:rsidRDefault="003C66EB">
            <w:pPr>
              <w:rPr>
                <w:rFonts w:ascii="宋体"/>
                <w:vanish/>
              </w:rPr>
            </w:pPr>
          </w:p>
        </w:tc>
        <w:tc>
          <w:tcPr>
            <w:tcW w:w="0" w:type="auto"/>
            <w:gridSpan w:val="3"/>
            <w:shd w:val="clear" w:color="auto" w:fill="auto"/>
          </w:tcPr>
          <w:p w14:paraId="5EA253FB" w14:textId="77777777" w:rsidR="003C66EB" w:rsidRDefault="003C66EB">
            <w:pPr>
              <w:rPr>
                <w:rFonts w:ascii="宋体"/>
                <w:vanish/>
              </w:rPr>
            </w:pPr>
          </w:p>
        </w:tc>
        <w:tc>
          <w:tcPr>
            <w:tcW w:w="0" w:type="auto"/>
            <w:gridSpan w:val="3"/>
            <w:shd w:val="clear" w:color="auto" w:fill="auto"/>
          </w:tcPr>
          <w:p w14:paraId="5EA253FC" w14:textId="77777777" w:rsidR="003C66EB" w:rsidRDefault="003C66EB">
            <w:pPr>
              <w:rPr>
                <w:rFonts w:ascii="宋体"/>
                <w:vanish/>
              </w:rPr>
            </w:pPr>
          </w:p>
        </w:tc>
        <w:tc>
          <w:tcPr>
            <w:tcW w:w="0" w:type="auto"/>
            <w:gridSpan w:val="3"/>
            <w:shd w:val="clear" w:color="auto" w:fill="auto"/>
          </w:tcPr>
          <w:p w14:paraId="5EA253FD" w14:textId="77777777" w:rsidR="003C66EB" w:rsidRDefault="003C66EB">
            <w:pPr>
              <w:rPr>
                <w:rFonts w:ascii="宋体"/>
                <w:vanish/>
              </w:rPr>
            </w:pPr>
          </w:p>
        </w:tc>
        <w:tc>
          <w:tcPr>
            <w:tcW w:w="0" w:type="auto"/>
            <w:gridSpan w:val="3"/>
            <w:shd w:val="clear" w:color="auto" w:fill="auto"/>
          </w:tcPr>
          <w:p w14:paraId="5EA253FE" w14:textId="77777777" w:rsidR="003C66EB" w:rsidRDefault="003C66EB">
            <w:pPr>
              <w:rPr>
                <w:rFonts w:ascii="宋体"/>
                <w:vanish/>
              </w:rPr>
            </w:pPr>
          </w:p>
        </w:tc>
        <w:tc>
          <w:tcPr>
            <w:tcW w:w="0" w:type="auto"/>
            <w:gridSpan w:val="3"/>
            <w:shd w:val="clear" w:color="auto" w:fill="auto"/>
          </w:tcPr>
          <w:p w14:paraId="5EA253FF" w14:textId="77777777" w:rsidR="003C66EB" w:rsidRDefault="003C66EB">
            <w:pPr>
              <w:rPr>
                <w:rFonts w:ascii="宋体"/>
                <w:vanish/>
              </w:rPr>
            </w:pPr>
          </w:p>
        </w:tc>
      </w:tr>
      <w:tr w:rsidR="003C66EB" w14:paraId="5EA25416" w14:textId="77777777">
        <w:tc>
          <w:tcPr>
            <w:tcW w:w="0" w:type="auto"/>
            <w:gridSpan w:val="3"/>
            <w:shd w:val="clear" w:color="auto" w:fill="FFFFFF"/>
            <w:tcMar>
              <w:top w:w="40" w:type="dxa"/>
              <w:left w:w="20" w:type="dxa"/>
              <w:bottom w:w="40" w:type="dxa"/>
              <w:right w:w="20" w:type="dxa"/>
            </w:tcMar>
            <w:vAlign w:val="bottom"/>
          </w:tcPr>
          <w:p w14:paraId="5EA25401" w14:textId="77777777" w:rsidR="003C66EB" w:rsidRDefault="00D96C4E">
            <w:pPr>
              <w:textAlignment w:val="bottom"/>
            </w:pPr>
            <w:r>
              <w:rPr>
                <w:rFonts w:ascii="Arial" w:eastAsia="宋体" w:hAnsi="Arial" w:cs="Arial"/>
                <w:color w:val="000000"/>
                <w:sz w:val="14"/>
                <w:szCs w:val="14"/>
              </w:rPr>
              <w:t xml:space="preserve">Currency </w:t>
            </w:r>
            <w:r>
              <w:rPr>
                <w:rFonts w:ascii="Arial" w:eastAsia="宋体" w:hAnsi="Arial" w:cs="Arial"/>
                <w:color w:val="000000"/>
                <w:sz w:val="14"/>
                <w:szCs w:val="14"/>
              </w:rPr>
              <w:t>translation</w:t>
            </w:r>
          </w:p>
        </w:tc>
        <w:tc>
          <w:tcPr>
            <w:tcW w:w="0" w:type="auto"/>
            <w:gridSpan w:val="2"/>
            <w:shd w:val="clear" w:color="auto" w:fill="FFFFFF"/>
            <w:tcMar>
              <w:top w:w="40" w:type="dxa"/>
              <w:left w:w="20" w:type="dxa"/>
              <w:bottom w:w="40" w:type="dxa"/>
              <w:right w:w="0" w:type="dxa"/>
            </w:tcMar>
            <w:vAlign w:val="bottom"/>
          </w:tcPr>
          <w:p w14:paraId="5EA25402" w14:textId="77777777" w:rsidR="003C66EB" w:rsidRDefault="00D96C4E">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5EA254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0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0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0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0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0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0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0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0B"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0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0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0E"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0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1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1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1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1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14" w14:textId="77777777" w:rsidR="003C66EB" w:rsidRDefault="00D96C4E">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5EA25415" w14:textId="77777777" w:rsidR="003C66EB" w:rsidRDefault="003C66EB">
            <w:pPr>
              <w:jc w:val="right"/>
              <w:rPr>
                <w:rFonts w:ascii="宋体"/>
              </w:rPr>
            </w:pPr>
          </w:p>
        </w:tc>
      </w:tr>
      <w:tr w:rsidR="003C66EB" w14:paraId="5EA25425" w14:textId="77777777">
        <w:trPr>
          <w:hidden/>
        </w:trPr>
        <w:tc>
          <w:tcPr>
            <w:tcW w:w="0" w:type="auto"/>
            <w:gridSpan w:val="3"/>
            <w:shd w:val="clear" w:color="auto" w:fill="auto"/>
          </w:tcPr>
          <w:p w14:paraId="5EA25417" w14:textId="77777777" w:rsidR="003C66EB" w:rsidRDefault="003C66EB">
            <w:pPr>
              <w:rPr>
                <w:rFonts w:ascii="宋体"/>
                <w:vanish/>
              </w:rPr>
            </w:pPr>
          </w:p>
        </w:tc>
        <w:tc>
          <w:tcPr>
            <w:tcW w:w="0" w:type="auto"/>
            <w:gridSpan w:val="3"/>
            <w:shd w:val="clear" w:color="auto" w:fill="auto"/>
          </w:tcPr>
          <w:p w14:paraId="5EA25418" w14:textId="77777777" w:rsidR="003C66EB" w:rsidRDefault="003C66EB">
            <w:pPr>
              <w:rPr>
                <w:rFonts w:ascii="宋体"/>
                <w:vanish/>
              </w:rPr>
            </w:pPr>
          </w:p>
        </w:tc>
        <w:tc>
          <w:tcPr>
            <w:tcW w:w="0" w:type="auto"/>
            <w:gridSpan w:val="3"/>
            <w:shd w:val="clear" w:color="auto" w:fill="auto"/>
          </w:tcPr>
          <w:p w14:paraId="5EA25419" w14:textId="77777777" w:rsidR="003C66EB" w:rsidRDefault="003C66EB">
            <w:pPr>
              <w:rPr>
                <w:rFonts w:ascii="宋体"/>
                <w:vanish/>
              </w:rPr>
            </w:pPr>
          </w:p>
        </w:tc>
        <w:tc>
          <w:tcPr>
            <w:tcW w:w="0" w:type="auto"/>
            <w:gridSpan w:val="3"/>
            <w:shd w:val="clear" w:color="auto" w:fill="auto"/>
          </w:tcPr>
          <w:p w14:paraId="5EA2541A" w14:textId="77777777" w:rsidR="003C66EB" w:rsidRDefault="003C66EB">
            <w:pPr>
              <w:rPr>
                <w:rFonts w:ascii="宋体"/>
                <w:vanish/>
              </w:rPr>
            </w:pPr>
          </w:p>
        </w:tc>
        <w:tc>
          <w:tcPr>
            <w:tcW w:w="0" w:type="auto"/>
            <w:gridSpan w:val="3"/>
            <w:shd w:val="clear" w:color="auto" w:fill="auto"/>
          </w:tcPr>
          <w:p w14:paraId="5EA2541B" w14:textId="77777777" w:rsidR="003C66EB" w:rsidRDefault="003C66EB">
            <w:pPr>
              <w:rPr>
                <w:rFonts w:ascii="宋体"/>
                <w:vanish/>
              </w:rPr>
            </w:pPr>
          </w:p>
        </w:tc>
        <w:tc>
          <w:tcPr>
            <w:tcW w:w="0" w:type="auto"/>
            <w:gridSpan w:val="3"/>
            <w:shd w:val="clear" w:color="auto" w:fill="auto"/>
          </w:tcPr>
          <w:p w14:paraId="5EA2541C" w14:textId="77777777" w:rsidR="003C66EB" w:rsidRDefault="003C66EB">
            <w:pPr>
              <w:rPr>
                <w:rFonts w:ascii="宋体"/>
                <w:vanish/>
              </w:rPr>
            </w:pPr>
          </w:p>
        </w:tc>
        <w:tc>
          <w:tcPr>
            <w:tcW w:w="0" w:type="auto"/>
            <w:gridSpan w:val="3"/>
            <w:shd w:val="clear" w:color="auto" w:fill="auto"/>
          </w:tcPr>
          <w:p w14:paraId="5EA2541D" w14:textId="77777777" w:rsidR="003C66EB" w:rsidRDefault="003C66EB">
            <w:pPr>
              <w:rPr>
                <w:rFonts w:ascii="宋体"/>
                <w:vanish/>
              </w:rPr>
            </w:pPr>
          </w:p>
        </w:tc>
        <w:tc>
          <w:tcPr>
            <w:tcW w:w="0" w:type="auto"/>
            <w:gridSpan w:val="3"/>
            <w:shd w:val="clear" w:color="auto" w:fill="auto"/>
          </w:tcPr>
          <w:p w14:paraId="5EA2541E" w14:textId="77777777" w:rsidR="003C66EB" w:rsidRDefault="003C66EB">
            <w:pPr>
              <w:rPr>
                <w:rFonts w:ascii="宋体"/>
                <w:vanish/>
              </w:rPr>
            </w:pPr>
          </w:p>
        </w:tc>
        <w:tc>
          <w:tcPr>
            <w:tcW w:w="0" w:type="auto"/>
            <w:gridSpan w:val="3"/>
            <w:shd w:val="clear" w:color="auto" w:fill="auto"/>
          </w:tcPr>
          <w:p w14:paraId="5EA2541F" w14:textId="77777777" w:rsidR="003C66EB" w:rsidRDefault="003C66EB">
            <w:pPr>
              <w:rPr>
                <w:rFonts w:ascii="宋体"/>
                <w:vanish/>
              </w:rPr>
            </w:pPr>
          </w:p>
        </w:tc>
        <w:tc>
          <w:tcPr>
            <w:tcW w:w="0" w:type="auto"/>
            <w:gridSpan w:val="3"/>
            <w:shd w:val="clear" w:color="auto" w:fill="auto"/>
          </w:tcPr>
          <w:p w14:paraId="5EA25420" w14:textId="77777777" w:rsidR="003C66EB" w:rsidRDefault="003C66EB">
            <w:pPr>
              <w:rPr>
                <w:rFonts w:ascii="宋体"/>
                <w:vanish/>
              </w:rPr>
            </w:pPr>
          </w:p>
        </w:tc>
        <w:tc>
          <w:tcPr>
            <w:tcW w:w="0" w:type="auto"/>
            <w:gridSpan w:val="3"/>
            <w:shd w:val="clear" w:color="auto" w:fill="auto"/>
          </w:tcPr>
          <w:p w14:paraId="5EA25421" w14:textId="77777777" w:rsidR="003C66EB" w:rsidRDefault="003C66EB">
            <w:pPr>
              <w:rPr>
                <w:rFonts w:ascii="宋体"/>
                <w:vanish/>
              </w:rPr>
            </w:pPr>
          </w:p>
        </w:tc>
        <w:tc>
          <w:tcPr>
            <w:tcW w:w="0" w:type="auto"/>
            <w:gridSpan w:val="3"/>
            <w:shd w:val="clear" w:color="auto" w:fill="auto"/>
          </w:tcPr>
          <w:p w14:paraId="5EA25422" w14:textId="77777777" w:rsidR="003C66EB" w:rsidRDefault="003C66EB">
            <w:pPr>
              <w:rPr>
                <w:rFonts w:ascii="宋体"/>
                <w:vanish/>
              </w:rPr>
            </w:pPr>
          </w:p>
        </w:tc>
        <w:tc>
          <w:tcPr>
            <w:tcW w:w="0" w:type="auto"/>
            <w:gridSpan w:val="3"/>
            <w:shd w:val="clear" w:color="auto" w:fill="auto"/>
          </w:tcPr>
          <w:p w14:paraId="5EA25423" w14:textId="77777777" w:rsidR="003C66EB" w:rsidRDefault="003C66EB">
            <w:pPr>
              <w:rPr>
                <w:rFonts w:ascii="宋体"/>
                <w:vanish/>
              </w:rPr>
            </w:pPr>
          </w:p>
        </w:tc>
        <w:tc>
          <w:tcPr>
            <w:tcW w:w="0" w:type="auto"/>
            <w:gridSpan w:val="3"/>
            <w:shd w:val="clear" w:color="auto" w:fill="auto"/>
          </w:tcPr>
          <w:p w14:paraId="5EA25424" w14:textId="77777777" w:rsidR="003C66EB" w:rsidRDefault="003C66EB">
            <w:pPr>
              <w:rPr>
                <w:rFonts w:ascii="宋体"/>
                <w:vanish/>
              </w:rPr>
            </w:pPr>
          </w:p>
        </w:tc>
      </w:tr>
      <w:tr w:rsidR="003C66EB" w14:paraId="5EA25442" w14:textId="77777777">
        <w:tc>
          <w:tcPr>
            <w:tcW w:w="0" w:type="auto"/>
            <w:gridSpan w:val="3"/>
            <w:shd w:val="clear" w:color="auto" w:fill="CCEEFF"/>
            <w:tcMar>
              <w:top w:w="40" w:type="dxa"/>
              <w:left w:w="20" w:type="dxa"/>
              <w:bottom w:w="40" w:type="dxa"/>
              <w:right w:w="20" w:type="dxa"/>
            </w:tcMar>
            <w:vAlign w:val="bottom"/>
          </w:tcPr>
          <w:p w14:paraId="5EA25426" w14:textId="77777777" w:rsidR="003C66EB" w:rsidRDefault="00D96C4E">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2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28" w14:textId="77777777" w:rsidR="003C66EB" w:rsidRDefault="00D96C4E">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2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2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2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2C" w14:textId="77777777" w:rsidR="003C66EB" w:rsidRDefault="00D96C4E">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2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2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2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30" w14:textId="77777777" w:rsidR="003C66EB" w:rsidRDefault="00D96C4E">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3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3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34"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3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36"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3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38" w14:textId="77777777" w:rsidR="003C66EB" w:rsidRDefault="00D96C4E">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3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3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3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3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3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43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440" w14:textId="77777777" w:rsidR="003C66EB" w:rsidRDefault="00D96C4E">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441" w14:textId="77777777" w:rsidR="003C66EB" w:rsidRDefault="003C66EB">
            <w:pPr>
              <w:jc w:val="right"/>
              <w:rPr>
                <w:rFonts w:ascii="宋体"/>
              </w:rPr>
            </w:pPr>
          </w:p>
        </w:tc>
      </w:tr>
    </w:tbl>
    <w:p w14:paraId="5EA25443" w14:textId="77777777" w:rsidR="003C66EB" w:rsidRDefault="003C66EB">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3C66EB" w14:paraId="5EA2544D" w14:textId="77777777">
        <w:tc>
          <w:tcPr>
            <w:tcW w:w="50" w:type="pct"/>
            <w:shd w:val="clear" w:color="auto" w:fill="auto"/>
          </w:tcPr>
          <w:p w14:paraId="5EA25444" w14:textId="77777777" w:rsidR="003C66EB" w:rsidRDefault="003C66EB">
            <w:pPr>
              <w:rPr>
                <w:rFonts w:ascii="宋体"/>
              </w:rPr>
            </w:pPr>
          </w:p>
        </w:tc>
        <w:tc>
          <w:tcPr>
            <w:tcW w:w="3134" w:type="pct"/>
            <w:shd w:val="clear" w:color="auto" w:fill="auto"/>
          </w:tcPr>
          <w:p w14:paraId="5EA25445" w14:textId="77777777" w:rsidR="003C66EB" w:rsidRDefault="003C66EB">
            <w:pPr>
              <w:rPr>
                <w:rFonts w:ascii="宋体"/>
              </w:rPr>
            </w:pPr>
          </w:p>
        </w:tc>
        <w:tc>
          <w:tcPr>
            <w:tcW w:w="5" w:type="pct"/>
            <w:shd w:val="clear" w:color="auto" w:fill="auto"/>
          </w:tcPr>
          <w:p w14:paraId="5EA25446" w14:textId="77777777" w:rsidR="003C66EB" w:rsidRDefault="003C66EB">
            <w:pPr>
              <w:rPr>
                <w:rFonts w:ascii="宋体"/>
              </w:rPr>
            </w:pPr>
          </w:p>
        </w:tc>
        <w:tc>
          <w:tcPr>
            <w:tcW w:w="5" w:type="pct"/>
            <w:shd w:val="clear" w:color="auto" w:fill="auto"/>
          </w:tcPr>
          <w:p w14:paraId="5EA25447" w14:textId="77777777" w:rsidR="003C66EB" w:rsidRDefault="003C66EB">
            <w:pPr>
              <w:rPr>
                <w:rFonts w:ascii="宋体"/>
              </w:rPr>
            </w:pPr>
          </w:p>
        </w:tc>
        <w:tc>
          <w:tcPr>
            <w:tcW w:w="73" w:type="pct"/>
            <w:shd w:val="clear" w:color="auto" w:fill="auto"/>
          </w:tcPr>
          <w:p w14:paraId="5EA25448" w14:textId="77777777" w:rsidR="003C66EB" w:rsidRDefault="003C66EB">
            <w:pPr>
              <w:rPr>
                <w:rFonts w:ascii="宋体"/>
              </w:rPr>
            </w:pPr>
          </w:p>
        </w:tc>
        <w:tc>
          <w:tcPr>
            <w:tcW w:w="5" w:type="pct"/>
            <w:shd w:val="clear" w:color="auto" w:fill="auto"/>
          </w:tcPr>
          <w:p w14:paraId="5EA25449" w14:textId="77777777" w:rsidR="003C66EB" w:rsidRDefault="003C66EB">
            <w:pPr>
              <w:rPr>
                <w:rFonts w:ascii="宋体"/>
              </w:rPr>
            </w:pPr>
          </w:p>
        </w:tc>
        <w:tc>
          <w:tcPr>
            <w:tcW w:w="50" w:type="pct"/>
            <w:shd w:val="clear" w:color="auto" w:fill="auto"/>
          </w:tcPr>
          <w:p w14:paraId="5EA2544A" w14:textId="77777777" w:rsidR="003C66EB" w:rsidRDefault="003C66EB">
            <w:pPr>
              <w:rPr>
                <w:rFonts w:ascii="宋体"/>
              </w:rPr>
            </w:pPr>
          </w:p>
        </w:tc>
        <w:tc>
          <w:tcPr>
            <w:tcW w:w="1672" w:type="pct"/>
            <w:shd w:val="clear" w:color="auto" w:fill="auto"/>
          </w:tcPr>
          <w:p w14:paraId="5EA2544B" w14:textId="77777777" w:rsidR="003C66EB" w:rsidRDefault="003C66EB">
            <w:pPr>
              <w:rPr>
                <w:rFonts w:ascii="宋体"/>
              </w:rPr>
            </w:pPr>
          </w:p>
        </w:tc>
        <w:tc>
          <w:tcPr>
            <w:tcW w:w="5" w:type="pct"/>
            <w:shd w:val="clear" w:color="auto" w:fill="auto"/>
          </w:tcPr>
          <w:p w14:paraId="5EA2544C" w14:textId="77777777" w:rsidR="003C66EB" w:rsidRDefault="003C66EB">
            <w:pPr>
              <w:rPr>
                <w:rFonts w:ascii="宋体"/>
              </w:rPr>
            </w:pPr>
          </w:p>
        </w:tc>
      </w:tr>
      <w:tr w:rsidR="003C66EB" w14:paraId="5EA2545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44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4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50" w14:textId="77777777" w:rsidR="003C66EB" w:rsidRDefault="003C66EB">
            <w:pPr>
              <w:rPr>
                <w:rFonts w:ascii="宋体"/>
              </w:rPr>
            </w:pPr>
          </w:p>
        </w:tc>
      </w:tr>
    </w:tbl>
    <w:p w14:paraId="5EA25452" w14:textId="77777777" w:rsidR="003C66EB" w:rsidRDefault="00D96C4E">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$2 million on other loans.</w:t>
      </w:r>
    </w:p>
    <w:p w14:paraId="5EA25453" w14:textId="77777777" w:rsidR="003C66EB" w:rsidRDefault="00D96C4E">
      <w:pPr>
        <w:spacing w:before="60"/>
      </w:pPr>
      <w:r>
        <w:rPr>
          <w:rFonts w:ascii="Arial" w:eastAsia="宋体" w:hAnsi="Arial" w:cs="Arial"/>
          <w:color w:val="000000"/>
          <w:sz w:val="13"/>
          <w:szCs w:val="13"/>
        </w:rPr>
        <w:t>.</w:t>
      </w:r>
    </w:p>
    <w:tbl>
      <w:tblPr>
        <w:tblW w:w="4956" w:type="pct"/>
        <w:tblCellMar>
          <w:top w:w="15" w:type="dxa"/>
          <w:left w:w="15" w:type="dxa"/>
          <w:bottom w:w="15" w:type="dxa"/>
          <w:right w:w="15" w:type="dxa"/>
        </w:tblCellMar>
        <w:tblLook w:val="04A0" w:firstRow="1" w:lastRow="0" w:firstColumn="1" w:lastColumn="0" w:noHBand="0" w:noVBand="1"/>
      </w:tblPr>
      <w:tblGrid>
        <w:gridCol w:w="39"/>
        <w:gridCol w:w="1497"/>
        <w:gridCol w:w="38"/>
        <w:gridCol w:w="100"/>
        <w:gridCol w:w="653"/>
        <w:gridCol w:w="38"/>
        <w:gridCol w:w="36"/>
        <w:gridCol w:w="36"/>
        <w:gridCol w:w="36"/>
        <w:gridCol w:w="98"/>
        <w:gridCol w:w="580"/>
        <w:gridCol w:w="36"/>
        <w:gridCol w:w="36"/>
        <w:gridCol w:w="36"/>
        <w:gridCol w:w="36"/>
        <w:gridCol w:w="99"/>
        <w:gridCol w:w="746"/>
        <w:gridCol w:w="36"/>
        <w:gridCol w:w="36"/>
        <w:gridCol w:w="36"/>
        <w:gridCol w:w="36"/>
        <w:gridCol w:w="99"/>
        <w:gridCol w:w="1024"/>
        <w:gridCol w:w="36"/>
        <w:gridCol w:w="36"/>
        <w:gridCol w:w="36"/>
        <w:gridCol w:w="36"/>
        <w:gridCol w:w="99"/>
        <w:gridCol w:w="898"/>
        <w:gridCol w:w="36"/>
        <w:gridCol w:w="36"/>
        <w:gridCol w:w="36"/>
        <w:gridCol w:w="36"/>
        <w:gridCol w:w="99"/>
        <w:gridCol w:w="562"/>
        <w:gridCol w:w="36"/>
        <w:gridCol w:w="36"/>
        <w:gridCol w:w="36"/>
        <w:gridCol w:w="36"/>
        <w:gridCol w:w="98"/>
        <w:gridCol w:w="632"/>
        <w:gridCol w:w="36"/>
      </w:tblGrid>
      <w:tr w:rsidR="003C66EB" w14:paraId="5EA2547E" w14:textId="77777777">
        <w:tc>
          <w:tcPr>
            <w:tcW w:w="50" w:type="pct"/>
            <w:shd w:val="clear" w:color="auto" w:fill="auto"/>
          </w:tcPr>
          <w:p w14:paraId="5EA25454" w14:textId="77777777" w:rsidR="003C66EB" w:rsidRDefault="003C66EB">
            <w:pPr>
              <w:rPr>
                <w:rFonts w:ascii="宋体"/>
              </w:rPr>
            </w:pPr>
          </w:p>
        </w:tc>
        <w:tc>
          <w:tcPr>
            <w:tcW w:w="940" w:type="pct"/>
            <w:shd w:val="clear" w:color="auto" w:fill="auto"/>
          </w:tcPr>
          <w:p w14:paraId="5EA25455" w14:textId="77777777" w:rsidR="003C66EB" w:rsidRDefault="003C66EB">
            <w:pPr>
              <w:rPr>
                <w:rFonts w:ascii="宋体"/>
              </w:rPr>
            </w:pPr>
          </w:p>
        </w:tc>
        <w:tc>
          <w:tcPr>
            <w:tcW w:w="5" w:type="pct"/>
            <w:shd w:val="clear" w:color="auto" w:fill="auto"/>
          </w:tcPr>
          <w:p w14:paraId="5EA25456" w14:textId="77777777" w:rsidR="003C66EB" w:rsidRDefault="003C66EB">
            <w:pPr>
              <w:rPr>
                <w:rFonts w:ascii="宋体"/>
              </w:rPr>
            </w:pPr>
          </w:p>
        </w:tc>
        <w:tc>
          <w:tcPr>
            <w:tcW w:w="50" w:type="pct"/>
            <w:shd w:val="clear" w:color="auto" w:fill="auto"/>
          </w:tcPr>
          <w:p w14:paraId="5EA25457" w14:textId="77777777" w:rsidR="003C66EB" w:rsidRDefault="003C66EB">
            <w:pPr>
              <w:rPr>
                <w:rFonts w:ascii="宋体"/>
              </w:rPr>
            </w:pPr>
          </w:p>
        </w:tc>
        <w:tc>
          <w:tcPr>
            <w:tcW w:w="409" w:type="pct"/>
            <w:shd w:val="clear" w:color="auto" w:fill="auto"/>
          </w:tcPr>
          <w:p w14:paraId="5EA25458" w14:textId="77777777" w:rsidR="003C66EB" w:rsidRDefault="003C66EB">
            <w:pPr>
              <w:rPr>
                <w:rFonts w:ascii="宋体"/>
              </w:rPr>
            </w:pPr>
          </w:p>
        </w:tc>
        <w:tc>
          <w:tcPr>
            <w:tcW w:w="5" w:type="pct"/>
            <w:shd w:val="clear" w:color="auto" w:fill="auto"/>
          </w:tcPr>
          <w:p w14:paraId="5EA25459" w14:textId="77777777" w:rsidR="003C66EB" w:rsidRDefault="003C66EB">
            <w:pPr>
              <w:rPr>
                <w:rFonts w:ascii="宋体"/>
              </w:rPr>
            </w:pPr>
          </w:p>
        </w:tc>
        <w:tc>
          <w:tcPr>
            <w:tcW w:w="5" w:type="pct"/>
            <w:shd w:val="clear" w:color="auto" w:fill="auto"/>
          </w:tcPr>
          <w:p w14:paraId="5EA2545A" w14:textId="77777777" w:rsidR="003C66EB" w:rsidRDefault="003C66EB">
            <w:pPr>
              <w:rPr>
                <w:rFonts w:ascii="宋体"/>
              </w:rPr>
            </w:pPr>
          </w:p>
        </w:tc>
        <w:tc>
          <w:tcPr>
            <w:tcW w:w="26" w:type="pct"/>
            <w:shd w:val="clear" w:color="auto" w:fill="auto"/>
          </w:tcPr>
          <w:p w14:paraId="5EA2545B" w14:textId="77777777" w:rsidR="003C66EB" w:rsidRDefault="003C66EB">
            <w:pPr>
              <w:rPr>
                <w:rFonts w:ascii="宋体"/>
              </w:rPr>
            </w:pPr>
          </w:p>
        </w:tc>
        <w:tc>
          <w:tcPr>
            <w:tcW w:w="5" w:type="pct"/>
            <w:shd w:val="clear" w:color="auto" w:fill="auto"/>
          </w:tcPr>
          <w:p w14:paraId="5EA2545C" w14:textId="77777777" w:rsidR="003C66EB" w:rsidRDefault="003C66EB">
            <w:pPr>
              <w:rPr>
                <w:rFonts w:ascii="宋体"/>
              </w:rPr>
            </w:pPr>
          </w:p>
        </w:tc>
        <w:tc>
          <w:tcPr>
            <w:tcW w:w="50" w:type="pct"/>
            <w:shd w:val="clear" w:color="auto" w:fill="auto"/>
          </w:tcPr>
          <w:p w14:paraId="5EA2545D" w14:textId="77777777" w:rsidR="003C66EB" w:rsidRDefault="003C66EB">
            <w:pPr>
              <w:rPr>
                <w:rFonts w:ascii="宋体"/>
              </w:rPr>
            </w:pPr>
          </w:p>
        </w:tc>
        <w:tc>
          <w:tcPr>
            <w:tcW w:w="424" w:type="pct"/>
            <w:shd w:val="clear" w:color="auto" w:fill="auto"/>
          </w:tcPr>
          <w:p w14:paraId="5EA2545E" w14:textId="77777777" w:rsidR="003C66EB" w:rsidRDefault="003C66EB">
            <w:pPr>
              <w:rPr>
                <w:rFonts w:ascii="宋体"/>
              </w:rPr>
            </w:pPr>
          </w:p>
        </w:tc>
        <w:tc>
          <w:tcPr>
            <w:tcW w:w="5" w:type="pct"/>
            <w:shd w:val="clear" w:color="auto" w:fill="auto"/>
          </w:tcPr>
          <w:p w14:paraId="5EA2545F" w14:textId="77777777" w:rsidR="003C66EB" w:rsidRDefault="003C66EB">
            <w:pPr>
              <w:rPr>
                <w:rFonts w:ascii="宋体"/>
              </w:rPr>
            </w:pPr>
          </w:p>
        </w:tc>
        <w:tc>
          <w:tcPr>
            <w:tcW w:w="5" w:type="pct"/>
            <w:shd w:val="clear" w:color="auto" w:fill="auto"/>
          </w:tcPr>
          <w:p w14:paraId="5EA25460" w14:textId="77777777" w:rsidR="003C66EB" w:rsidRDefault="003C66EB">
            <w:pPr>
              <w:rPr>
                <w:rFonts w:ascii="宋体"/>
              </w:rPr>
            </w:pPr>
          </w:p>
        </w:tc>
        <w:tc>
          <w:tcPr>
            <w:tcW w:w="26" w:type="pct"/>
            <w:shd w:val="clear" w:color="auto" w:fill="auto"/>
          </w:tcPr>
          <w:p w14:paraId="5EA25461" w14:textId="77777777" w:rsidR="003C66EB" w:rsidRDefault="003C66EB">
            <w:pPr>
              <w:rPr>
                <w:rFonts w:ascii="宋体"/>
              </w:rPr>
            </w:pPr>
          </w:p>
        </w:tc>
        <w:tc>
          <w:tcPr>
            <w:tcW w:w="5" w:type="pct"/>
            <w:shd w:val="clear" w:color="auto" w:fill="auto"/>
          </w:tcPr>
          <w:p w14:paraId="5EA25462" w14:textId="77777777" w:rsidR="003C66EB" w:rsidRDefault="003C66EB">
            <w:pPr>
              <w:rPr>
                <w:rFonts w:ascii="宋体"/>
              </w:rPr>
            </w:pPr>
          </w:p>
        </w:tc>
        <w:tc>
          <w:tcPr>
            <w:tcW w:w="50" w:type="pct"/>
            <w:shd w:val="clear" w:color="auto" w:fill="auto"/>
          </w:tcPr>
          <w:p w14:paraId="5EA25463" w14:textId="77777777" w:rsidR="003C66EB" w:rsidRDefault="003C66EB">
            <w:pPr>
              <w:rPr>
                <w:rFonts w:ascii="宋体"/>
              </w:rPr>
            </w:pPr>
          </w:p>
        </w:tc>
        <w:tc>
          <w:tcPr>
            <w:tcW w:w="424" w:type="pct"/>
            <w:shd w:val="clear" w:color="auto" w:fill="auto"/>
          </w:tcPr>
          <w:p w14:paraId="5EA25464" w14:textId="77777777" w:rsidR="003C66EB" w:rsidRDefault="003C66EB">
            <w:pPr>
              <w:rPr>
                <w:rFonts w:ascii="宋体"/>
              </w:rPr>
            </w:pPr>
          </w:p>
        </w:tc>
        <w:tc>
          <w:tcPr>
            <w:tcW w:w="5" w:type="pct"/>
            <w:shd w:val="clear" w:color="auto" w:fill="auto"/>
          </w:tcPr>
          <w:p w14:paraId="5EA25465" w14:textId="77777777" w:rsidR="003C66EB" w:rsidRDefault="003C66EB">
            <w:pPr>
              <w:rPr>
                <w:rFonts w:ascii="宋体"/>
              </w:rPr>
            </w:pPr>
          </w:p>
        </w:tc>
        <w:tc>
          <w:tcPr>
            <w:tcW w:w="5" w:type="pct"/>
            <w:shd w:val="clear" w:color="auto" w:fill="auto"/>
          </w:tcPr>
          <w:p w14:paraId="5EA25466" w14:textId="77777777" w:rsidR="003C66EB" w:rsidRDefault="003C66EB">
            <w:pPr>
              <w:rPr>
                <w:rFonts w:ascii="宋体"/>
              </w:rPr>
            </w:pPr>
          </w:p>
        </w:tc>
        <w:tc>
          <w:tcPr>
            <w:tcW w:w="26" w:type="pct"/>
            <w:shd w:val="clear" w:color="auto" w:fill="auto"/>
          </w:tcPr>
          <w:p w14:paraId="5EA25467" w14:textId="77777777" w:rsidR="003C66EB" w:rsidRDefault="003C66EB">
            <w:pPr>
              <w:rPr>
                <w:rFonts w:ascii="宋体"/>
              </w:rPr>
            </w:pPr>
          </w:p>
        </w:tc>
        <w:tc>
          <w:tcPr>
            <w:tcW w:w="5" w:type="pct"/>
            <w:shd w:val="clear" w:color="auto" w:fill="auto"/>
          </w:tcPr>
          <w:p w14:paraId="5EA25468" w14:textId="77777777" w:rsidR="003C66EB" w:rsidRDefault="003C66EB">
            <w:pPr>
              <w:rPr>
                <w:rFonts w:ascii="宋体"/>
              </w:rPr>
            </w:pPr>
          </w:p>
        </w:tc>
        <w:tc>
          <w:tcPr>
            <w:tcW w:w="50" w:type="pct"/>
            <w:shd w:val="clear" w:color="auto" w:fill="auto"/>
          </w:tcPr>
          <w:p w14:paraId="5EA25469" w14:textId="77777777" w:rsidR="003C66EB" w:rsidRDefault="003C66EB">
            <w:pPr>
              <w:rPr>
                <w:rFonts w:ascii="宋体"/>
              </w:rPr>
            </w:pPr>
          </w:p>
        </w:tc>
        <w:tc>
          <w:tcPr>
            <w:tcW w:w="630" w:type="pct"/>
            <w:shd w:val="clear" w:color="auto" w:fill="auto"/>
          </w:tcPr>
          <w:p w14:paraId="5EA2546A" w14:textId="77777777" w:rsidR="003C66EB" w:rsidRDefault="003C66EB">
            <w:pPr>
              <w:rPr>
                <w:rFonts w:ascii="宋体"/>
              </w:rPr>
            </w:pPr>
          </w:p>
        </w:tc>
        <w:tc>
          <w:tcPr>
            <w:tcW w:w="5" w:type="pct"/>
            <w:shd w:val="clear" w:color="auto" w:fill="auto"/>
          </w:tcPr>
          <w:p w14:paraId="5EA2546B" w14:textId="77777777" w:rsidR="003C66EB" w:rsidRDefault="003C66EB">
            <w:pPr>
              <w:rPr>
                <w:rFonts w:ascii="宋体"/>
              </w:rPr>
            </w:pPr>
          </w:p>
        </w:tc>
        <w:tc>
          <w:tcPr>
            <w:tcW w:w="5" w:type="pct"/>
            <w:shd w:val="clear" w:color="auto" w:fill="auto"/>
          </w:tcPr>
          <w:p w14:paraId="5EA2546C" w14:textId="77777777" w:rsidR="003C66EB" w:rsidRDefault="003C66EB">
            <w:pPr>
              <w:rPr>
                <w:rFonts w:ascii="宋体"/>
              </w:rPr>
            </w:pPr>
          </w:p>
        </w:tc>
        <w:tc>
          <w:tcPr>
            <w:tcW w:w="26" w:type="pct"/>
            <w:shd w:val="clear" w:color="auto" w:fill="auto"/>
          </w:tcPr>
          <w:p w14:paraId="5EA2546D" w14:textId="77777777" w:rsidR="003C66EB" w:rsidRDefault="003C66EB">
            <w:pPr>
              <w:rPr>
                <w:rFonts w:ascii="宋体"/>
              </w:rPr>
            </w:pPr>
          </w:p>
        </w:tc>
        <w:tc>
          <w:tcPr>
            <w:tcW w:w="5" w:type="pct"/>
            <w:shd w:val="clear" w:color="auto" w:fill="auto"/>
          </w:tcPr>
          <w:p w14:paraId="5EA2546E" w14:textId="77777777" w:rsidR="003C66EB" w:rsidRDefault="003C66EB">
            <w:pPr>
              <w:rPr>
                <w:rFonts w:ascii="宋体"/>
              </w:rPr>
            </w:pPr>
          </w:p>
        </w:tc>
        <w:tc>
          <w:tcPr>
            <w:tcW w:w="50" w:type="pct"/>
            <w:shd w:val="clear" w:color="auto" w:fill="auto"/>
          </w:tcPr>
          <w:p w14:paraId="5EA2546F" w14:textId="77777777" w:rsidR="003C66EB" w:rsidRDefault="003C66EB">
            <w:pPr>
              <w:rPr>
                <w:rFonts w:ascii="宋体"/>
              </w:rPr>
            </w:pPr>
          </w:p>
        </w:tc>
        <w:tc>
          <w:tcPr>
            <w:tcW w:w="645" w:type="pct"/>
            <w:shd w:val="clear" w:color="auto" w:fill="auto"/>
          </w:tcPr>
          <w:p w14:paraId="5EA25470" w14:textId="77777777" w:rsidR="003C66EB" w:rsidRDefault="003C66EB">
            <w:pPr>
              <w:rPr>
                <w:rFonts w:ascii="宋体"/>
              </w:rPr>
            </w:pPr>
          </w:p>
        </w:tc>
        <w:tc>
          <w:tcPr>
            <w:tcW w:w="5" w:type="pct"/>
            <w:shd w:val="clear" w:color="auto" w:fill="auto"/>
          </w:tcPr>
          <w:p w14:paraId="5EA25471" w14:textId="77777777" w:rsidR="003C66EB" w:rsidRDefault="003C66EB">
            <w:pPr>
              <w:rPr>
                <w:rFonts w:ascii="宋体"/>
              </w:rPr>
            </w:pPr>
          </w:p>
        </w:tc>
        <w:tc>
          <w:tcPr>
            <w:tcW w:w="5" w:type="pct"/>
            <w:shd w:val="clear" w:color="auto" w:fill="auto"/>
          </w:tcPr>
          <w:p w14:paraId="5EA25472" w14:textId="77777777" w:rsidR="003C66EB" w:rsidRDefault="003C66EB">
            <w:pPr>
              <w:rPr>
                <w:rFonts w:ascii="宋体"/>
              </w:rPr>
            </w:pPr>
          </w:p>
        </w:tc>
        <w:tc>
          <w:tcPr>
            <w:tcW w:w="26" w:type="pct"/>
            <w:shd w:val="clear" w:color="auto" w:fill="auto"/>
          </w:tcPr>
          <w:p w14:paraId="5EA25473" w14:textId="77777777" w:rsidR="003C66EB" w:rsidRDefault="003C66EB">
            <w:pPr>
              <w:rPr>
                <w:rFonts w:ascii="宋体"/>
              </w:rPr>
            </w:pPr>
          </w:p>
        </w:tc>
        <w:tc>
          <w:tcPr>
            <w:tcW w:w="5" w:type="pct"/>
            <w:shd w:val="clear" w:color="auto" w:fill="auto"/>
          </w:tcPr>
          <w:p w14:paraId="5EA25474" w14:textId="77777777" w:rsidR="003C66EB" w:rsidRDefault="003C66EB">
            <w:pPr>
              <w:rPr>
                <w:rFonts w:ascii="宋体"/>
              </w:rPr>
            </w:pPr>
          </w:p>
        </w:tc>
        <w:tc>
          <w:tcPr>
            <w:tcW w:w="50" w:type="pct"/>
            <w:shd w:val="clear" w:color="auto" w:fill="auto"/>
          </w:tcPr>
          <w:p w14:paraId="5EA25475" w14:textId="77777777" w:rsidR="003C66EB" w:rsidRDefault="003C66EB">
            <w:pPr>
              <w:rPr>
                <w:rFonts w:ascii="宋体"/>
              </w:rPr>
            </w:pPr>
          </w:p>
        </w:tc>
        <w:tc>
          <w:tcPr>
            <w:tcW w:w="424" w:type="pct"/>
            <w:shd w:val="clear" w:color="auto" w:fill="auto"/>
          </w:tcPr>
          <w:p w14:paraId="5EA25476" w14:textId="77777777" w:rsidR="003C66EB" w:rsidRDefault="003C66EB">
            <w:pPr>
              <w:rPr>
                <w:rFonts w:ascii="宋体"/>
              </w:rPr>
            </w:pPr>
          </w:p>
        </w:tc>
        <w:tc>
          <w:tcPr>
            <w:tcW w:w="5" w:type="pct"/>
            <w:shd w:val="clear" w:color="auto" w:fill="auto"/>
          </w:tcPr>
          <w:p w14:paraId="5EA25477" w14:textId="77777777" w:rsidR="003C66EB" w:rsidRDefault="003C66EB">
            <w:pPr>
              <w:rPr>
                <w:rFonts w:ascii="宋体"/>
              </w:rPr>
            </w:pPr>
          </w:p>
        </w:tc>
        <w:tc>
          <w:tcPr>
            <w:tcW w:w="5" w:type="pct"/>
            <w:shd w:val="clear" w:color="auto" w:fill="auto"/>
          </w:tcPr>
          <w:p w14:paraId="5EA25478" w14:textId="77777777" w:rsidR="003C66EB" w:rsidRDefault="003C66EB">
            <w:pPr>
              <w:rPr>
                <w:rFonts w:ascii="宋体"/>
              </w:rPr>
            </w:pPr>
          </w:p>
        </w:tc>
        <w:tc>
          <w:tcPr>
            <w:tcW w:w="26" w:type="pct"/>
            <w:shd w:val="clear" w:color="auto" w:fill="auto"/>
          </w:tcPr>
          <w:p w14:paraId="5EA25479" w14:textId="77777777" w:rsidR="003C66EB" w:rsidRDefault="003C66EB">
            <w:pPr>
              <w:rPr>
                <w:rFonts w:ascii="宋体"/>
              </w:rPr>
            </w:pPr>
          </w:p>
        </w:tc>
        <w:tc>
          <w:tcPr>
            <w:tcW w:w="5" w:type="pct"/>
            <w:shd w:val="clear" w:color="auto" w:fill="auto"/>
          </w:tcPr>
          <w:p w14:paraId="5EA2547A" w14:textId="77777777" w:rsidR="003C66EB" w:rsidRDefault="003C66EB">
            <w:pPr>
              <w:rPr>
                <w:rFonts w:ascii="宋体"/>
              </w:rPr>
            </w:pPr>
          </w:p>
        </w:tc>
        <w:tc>
          <w:tcPr>
            <w:tcW w:w="50" w:type="pct"/>
            <w:shd w:val="clear" w:color="auto" w:fill="auto"/>
          </w:tcPr>
          <w:p w14:paraId="5EA2547B" w14:textId="77777777" w:rsidR="003C66EB" w:rsidRDefault="003C66EB">
            <w:pPr>
              <w:rPr>
                <w:rFonts w:ascii="宋体"/>
              </w:rPr>
            </w:pPr>
          </w:p>
        </w:tc>
        <w:tc>
          <w:tcPr>
            <w:tcW w:w="439" w:type="pct"/>
            <w:shd w:val="clear" w:color="auto" w:fill="auto"/>
          </w:tcPr>
          <w:p w14:paraId="5EA2547C" w14:textId="77777777" w:rsidR="003C66EB" w:rsidRDefault="003C66EB">
            <w:pPr>
              <w:rPr>
                <w:rFonts w:ascii="宋体"/>
              </w:rPr>
            </w:pPr>
          </w:p>
        </w:tc>
        <w:tc>
          <w:tcPr>
            <w:tcW w:w="5" w:type="pct"/>
            <w:shd w:val="clear" w:color="auto" w:fill="auto"/>
          </w:tcPr>
          <w:p w14:paraId="5EA2547D" w14:textId="77777777" w:rsidR="003C66EB" w:rsidRDefault="003C66EB">
            <w:pPr>
              <w:rPr>
                <w:rFonts w:ascii="宋体"/>
              </w:rPr>
            </w:pPr>
          </w:p>
        </w:tc>
      </w:tr>
      <w:tr w:rsidR="003C66EB" w14:paraId="5EA25481" w14:textId="77777777">
        <w:tc>
          <w:tcPr>
            <w:tcW w:w="0" w:type="auto"/>
            <w:gridSpan w:val="3"/>
            <w:shd w:val="clear" w:color="auto" w:fill="auto"/>
            <w:tcMar>
              <w:top w:w="0" w:type="dxa"/>
              <w:left w:w="20" w:type="dxa"/>
              <w:bottom w:w="0" w:type="dxa"/>
              <w:right w:w="20" w:type="dxa"/>
            </w:tcMar>
          </w:tcPr>
          <w:p w14:paraId="5EA2547F" w14:textId="77777777" w:rsidR="003C66EB" w:rsidRDefault="003C66EB">
            <w:pPr>
              <w:rPr>
                <w:rFonts w:ascii="宋体"/>
              </w:rPr>
            </w:pPr>
          </w:p>
        </w:tc>
        <w:tc>
          <w:tcPr>
            <w:tcW w:w="0" w:type="auto"/>
            <w:gridSpan w:val="39"/>
            <w:shd w:val="clear" w:color="auto" w:fill="auto"/>
            <w:tcMar>
              <w:top w:w="40" w:type="dxa"/>
              <w:left w:w="20" w:type="dxa"/>
              <w:bottom w:w="40" w:type="dxa"/>
              <w:right w:w="20" w:type="dxa"/>
            </w:tcMar>
            <w:vAlign w:val="bottom"/>
          </w:tcPr>
          <w:p w14:paraId="5EA25480" w14:textId="77777777" w:rsidR="003C66EB" w:rsidRDefault="00D96C4E">
            <w:pPr>
              <w:jc w:val="center"/>
              <w:textAlignment w:val="bottom"/>
            </w:pPr>
            <w:r>
              <w:rPr>
                <w:rFonts w:ascii="Arial" w:eastAsia="宋体" w:hAnsi="Arial" w:cs="Arial"/>
                <w:b/>
                <w:bCs/>
                <w:color w:val="000000"/>
                <w:sz w:val="14"/>
                <w:szCs w:val="14"/>
              </w:rPr>
              <w:t>Three Months Ended March 31, 2020</w:t>
            </w:r>
          </w:p>
        </w:tc>
      </w:tr>
      <w:tr w:rsidR="003C66EB" w14:paraId="5EA2548D" w14:textId="77777777">
        <w:tc>
          <w:tcPr>
            <w:tcW w:w="0" w:type="auto"/>
            <w:gridSpan w:val="3"/>
            <w:shd w:val="clear" w:color="auto" w:fill="auto"/>
            <w:tcMar>
              <w:top w:w="0" w:type="dxa"/>
              <w:left w:w="20" w:type="dxa"/>
              <w:bottom w:w="0" w:type="dxa"/>
              <w:right w:w="20" w:type="dxa"/>
            </w:tcMar>
          </w:tcPr>
          <w:p w14:paraId="5EA25482"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483" w14:textId="77777777" w:rsidR="003C66EB" w:rsidRDefault="00D96C4E">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tcPr>
          <w:p w14:paraId="5EA2548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A" w14:textId="77777777" w:rsidR="003C66EB" w:rsidRDefault="003C66EB">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tcPr>
          <w:p w14:paraId="5EA2548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8C" w14:textId="77777777" w:rsidR="003C66EB" w:rsidRDefault="003C66EB">
            <w:pPr>
              <w:rPr>
                <w:rFonts w:ascii="宋体"/>
              </w:rPr>
            </w:pPr>
          </w:p>
        </w:tc>
      </w:tr>
      <w:tr w:rsidR="003C66EB" w14:paraId="5EA2549C" w14:textId="77777777">
        <w:tc>
          <w:tcPr>
            <w:tcW w:w="0" w:type="auto"/>
            <w:gridSpan w:val="3"/>
            <w:shd w:val="clear" w:color="auto" w:fill="auto"/>
            <w:tcMar>
              <w:top w:w="40" w:type="dxa"/>
              <w:left w:w="20" w:type="dxa"/>
              <w:bottom w:w="40" w:type="dxa"/>
              <w:right w:w="20" w:type="dxa"/>
            </w:tcMar>
            <w:vAlign w:val="bottom"/>
          </w:tcPr>
          <w:p w14:paraId="5EA2548E"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48F" w14:textId="77777777" w:rsidR="003C66EB" w:rsidRDefault="00D96C4E">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tcPr>
          <w:p w14:paraId="5EA2549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491" w14:textId="77777777" w:rsidR="003C66EB" w:rsidRDefault="00D96C4E">
            <w:pPr>
              <w:jc w:val="center"/>
              <w:textAlignment w:val="bottom"/>
            </w:pPr>
            <w:r>
              <w:rPr>
                <w:rFonts w:ascii="Arial" w:eastAsia="宋体" w:hAnsi="Arial" w:cs="Arial"/>
                <w:b/>
                <w:bCs/>
                <w:color w:val="000000"/>
                <w:sz w:val="14"/>
                <w:szCs w:val="14"/>
              </w:rPr>
              <w:t>Other Loans</w:t>
            </w:r>
          </w:p>
        </w:tc>
        <w:tc>
          <w:tcPr>
            <w:tcW w:w="0" w:type="auto"/>
            <w:gridSpan w:val="3"/>
            <w:shd w:val="clear" w:color="auto" w:fill="auto"/>
            <w:tcMar>
              <w:top w:w="0" w:type="dxa"/>
              <w:left w:w="20" w:type="dxa"/>
              <w:bottom w:w="0" w:type="dxa"/>
              <w:right w:w="20" w:type="dxa"/>
            </w:tcMar>
          </w:tcPr>
          <w:p w14:paraId="5EA25492"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493" w14:textId="77777777" w:rsidR="003C66EB" w:rsidRDefault="00D96C4E">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tcPr>
          <w:p w14:paraId="5EA2549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495" w14:textId="77777777" w:rsidR="003C66EB" w:rsidRDefault="00D96C4E">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tcPr>
          <w:p w14:paraId="5EA2549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497" w14:textId="77777777" w:rsidR="003C66EB" w:rsidRDefault="00D96C4E">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tcPr>
          <w:p w14:paraId="5EA2549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499" w14:textId="77777777" w:rsidR="003C66EB" w:rsidRDefault="00D96C4E">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tcPr>
          <w:p w14:paraId="5EA2549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49B" w14:textId="77777777" w:rsidR="003C66EB" w:rsidRDefault="00D96C4E">
            <w:pPr>
              <w:jc w:val="center"/>
              <w:textAlignment w:val="bottom"/>
            </w:pPr>
            <w:r>
              <w:rPr>
                <w:rFonts w:ascii="Arial" w:eastAsia="宋体" w:hAnsi="Arial" w:cs="Arial"/>
                <w:b/>
                <w:bCs/>
                <w:color w:val="000000"/>
                <w:sz w:val="14"/>
                <w:szCs w:val="14"/>
              </w:rPr>
              <w:t>Total</w:t>
            </w:r>
          </w:p>
        </w:tc>
      </w:tr>
      <w:tr w:rsidR="003C66EB" w14:paraId="5EA254AB" w14:textId="77777777">
        <w:tc>
          <w:tcPr>
            <w:tcW w:w="0" w:type="auto"/>
            <w:gridSpan w:val="3"/>
            <w:shd w:val="clear" w:color="auto" w:fill="auto"/>
            <w:tcMar>
              <w:top w:w="40" w:type="dxa"/>
              <w:left w:w="20" w:type="dxa"/>
              <w:bottom w:w="40" w:type="dxa"/>
              <w:right w:w="20" w:type="dxa"/>
            </w:tcMar>
            <w:vAlign w:val="bottom"/>
          </w:tcPr>
          <w:p w14:paraId="5EA2549D" w14:textId="77777777" w:rsidR="003C66EB" w:rsidRDefault="00D96C4E">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tcPr>
          <w:p w14:paraId="5EA254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9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A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A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A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A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A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A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A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4A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4AA" w14:textId="77777777" w:rsidR="003C66EB" w:rsidRDefault="003C66EB">
            <w:pPr>
              <w:rPr>
                <w:rFonts w:ascii="宋体"/>
              </w:rPr>
            </w:pPr>
          </w:p>
        </w:tc>
      </w:tr>
      <w:tr w:rsidR="003C66EB" w14:paraId="5EA254C8" w14:textId="77777777">
        <w:tc>
          <w:tcPr>
            <w:tcW w:w="0" w:type="auto"/>
            <w:gridSpan w:val="3"/>
            <w:shd w:val="clear" w:color="auto" w:fill="CCEEFF"/>
            <w:tcMar>
              <w:top w:w="40" w:type="dxa"/>
              <w:left w:w="20" w:type="dxa"/>
              <w:bottom w:w="40" w:type="dxa"/>
              <w:right w:w="20" w:type="dxa"/>
            </w:tcMar>
            <w:vAlign w:val="bottom"/>
          </w:tcPr>
          <w:p w14:paraId="5EA254AC" w14:textId="77777777" w:rsidR="003C66EB" w:rsidRDefault="00D96C4E">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A254A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AE" w14:textId="77777777" w:rsidR="003C66EB" w:rsidRDefault="00D96C4E">
            <w:pPr>
              <w:jc w:val="right"/>
              <w:textAlignment w:val="bottom"/>
            </w:pPr>
            <w:r>
              <w:rPr>
                <w:rFonts w:ascii="Arial" w:eastAsia="宋体" w:hAnsi="Arial" w:cs="Arial"/>
                <w:color w:val="000000"/>
                <w:sz w:val="14"/>
                <w:szCs w:val="14"/>
              </w:rPr>
              <w:t>61 </w:t>
            </w:r>
          </w:p>
        </w:tc>
        <w:tc>
          <w:tcPr>
            <w:tcW w:w="0" w:type="auto"/>
            <w:shd w:val="clear" w:color="auto" w:fill="CCEEFF"/>
            <w:tcMar>
              <w:top w:w="40" w:type="dxa"/>
              <w:left w:w="0" w:type="dxa"/>
              <w:bottom w:w="40" w:type="dxa"/>
              <w:right w:w="20" w:type="dxa"/>
            </w:tcMar>
            <w:vAlign w:val="bottom"/>
          </w:tcPr>
          <w:p w14:paraId="5EA254A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B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4B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B2"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A254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B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4B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B6"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A254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B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4B9"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BA"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4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B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4B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BE" w14:textId="77777777" w:rsidR="003C66EB" w:rsidRDefault="00D96C4E">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5EA254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C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4C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C2"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54C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C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4C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4C6" w14:textId="77777777" w:rsidR="003C66EB" w:rsidRDefault="00D96C4E">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A254C7" w14:textId="77777777" w:rsidR="003C66EB" w:rsidRDefault="003C66EB">
            <w:pPr>
              <w:jc w:val="right"/>
              <w:rPr>
                <w:rFonts w:ascii="宋体"/>
              </w:rPr>
            </w:pPr>
          </w:p>
        </w:tc>
      </w:tr>
      <w:tr w:rsidR="003C66EB" w14:paraId="5EA254DE" w14:textId="77777777">
        <w:tc>
          <w:tcPr>
            <w:tcW w:w="0" w:type="auto"/>
            <w:gridSpan w:val="3"/>
            <w:shd w:val="clear" w:color="auto" w:fill="FFFFFF"/>
            <w:tcMar>
              <w:top w:w="40" w:type="dxa"/>
              <w:left w:w="20" w:type="dxa"/>
              <w:bottom w:w="40" w:type="dxa"/>
              <w:right w:w="20" w:type="dxa"/>
            </w:tcMar>
            <w:vAlign w:val="bottom"/>
          </w:tcPr>
          <w:p w14:paraId="5EA254C9" w14:textId="77777777" w:rsidR="003C66EB" w:rsidRDefault="00D96C4E">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5EA254CA" w14:textId="77777777" w:rsidR="003C66EB" w:rsidRDefault="00D96C4E">
            <w:pPr>
              <w:jc w:val="right"/>
              <w:textAlignment w:val="bottom"/>
            </w:pPr>
            <w:r>
              <w:rPr>
                <w:rFonts w:ascii="Arial" w:eastAsia="宋体" w:hAnsi="Arial" w:cs="Arial"/>
                <w:color w:val="000000"/>
                <w:sz w:val="14"/>
                <w:szCs w:val="14"/>
              </w:rPr>
              <w:t>(5)</w:t>
            </w:r>
          </w:p>
        </w:tc>
        <w:tc>
          <w:tcPr>
            <w:tcW w:w="0" w:type="auto"/>
            <w:shd w:val="clear" w:color="auto" w:fill="FFFFFF"/>
            <w:tcMar>
              <w:top w:w="40" w:type="dxa"/>
              <w:left w:w="0" w:type="dxa"/>
              <w:bottom w:w="40" w:type="dxa"/>
              <w:right w:w="20" w:type="dxa"/>
            </w:tcMar>
            <w:vAlign w:val="bottom"/>
          </w:tcPr>
          <w:p w14:paraId="5EA254C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C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C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C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C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D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D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D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D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D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D6"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D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D9"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4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4D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4DC" w14:textId="77777777" w:rsidR="003C66EB" w:rsidRDefault="00D96C4E">
            <w:pPr>
              <w:jc w:val="right"/>
              <w:textAlignment w:val="bottom"/>
            </w:pPr>
            <w:r>
              <w:rPr>
                <w:rFonts w:ascii="Arial" w:eastAsia="宋体" w:hAnsi="Arial" w:cs="Arial"/>
                <w:color w:val="000000"/>
                <w:sz w:val="14"/>
                <w:szCs w:val="14"/>
              </w:rPr>
              <w:t>(5)</w:t>
            </w:r>
          </w:p>
        </w:tc>
        <w:tc>
          <w:tcPr>
            <w:tcW w:w="0" w:type="auto"/>
            <w:shd w:val="clear" w:color="auto" w:fill="FFFFFF"/>
            <w:tcMar>
              <w:top w:w="40" w:type="dxa"/>
              <w:left w:w="0" w:type="dxa"/>
              <w:bottom w:w="40" w:type="dxa"/>
              <w:right w:w="20" w:type="dxa"/>
            </w:tcMar>
            <w:vAlign w:val="bottom"/>
          </w:tcPr>
          <w:p w14:paraId="5EA254DD" w14:textId="77777777" w:rsidR="003C66EB" w:rsidRDefault="003C66EB">
            <w:pPr>
              <w:jc w:val="right"/>
              <w:rPr>
                <w:rFonts w:ascii="宋体"/>
              </w:rPr>
            </w:pPr>
          </w:p>
        </w:tc>
      </w:tr>
      <w:tr w:rsidR="003C66EB" w14:paraId="5EA254F4" w14:textId="77777777">
        <w:tc>
          <w:tcPr>
            <w:tcW w:w="0" w:type="auto"/>
            <w:gridSpan w:val="3"/>
            <w:shd w:val="clear" w:color="auto" w:fill="CCEEFF"/>
            <w:tcMar>
              <w:top w:w="40" w:type="dxa"/>
              <w:left w:w="20" w:type="dxa"/>
              <w:bottom w:w="40" w:type="dxa"/>
              <w:right w:w="20" w:type="dxa"/>
            </w:tcMar>
            <w:vAlign w:val="bottom"/>
          </w:tcPr>
          <w:p w14:paraId="5EA254DF" w14:textId="77777777" w:rsidR="003C66EB" w:rsidRDefault="00D96C4E">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EA254E0" w14:textId="77777777" w:rsidR="003C66EB" w:rsidRDefault="00D96C4E">
            <w:pPr>
              <w:jc w:val="right"/>
              <w:textAlignment w:val="bottom"/>
            </w:pPr>
            <w:r>
              <w:rPr>
                <w:rFonts w:ascii="Arial" w:eastAsia="宋体" w:hAnsi="Arial" w:cs="Arial"/>
                <w:color w:val="000000"/>
                <w:sz w:val="14"/>
                <w:szCs w:val="14"/>
              </w:rPr>
              <w:t>27 </w:t>
            </w:r>
          </w:p>
        </w:tc>
        <w:tc>
          <w:tcPr>
            <w:tcW w:w="0" w:type="auto"/>
            <w:shd w:val="clear" w:color="auto" w:fill="CCEEFF"/>
            <w:tcMar>
              <w:top w:w="40" w:type="dxa"/>
              <w:left w:w="0" w:type="dxa"/>
              <w:bottom w:w="40" w:type="dxa"/>
              <w:right w:w="20" w:type="dxa"/>
            </w:tcMar>
            <w:vAlign w:val="bottom"/>
          </w:tcPr>
          <w:p w14:paraId="5EA254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E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4E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4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4E6"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A254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E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4E9" w14:textId="77777777" w:rsidR="003C66EB" w:rsidRDefault="00D96C4E">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A254E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E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4EC"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EA254E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E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4EF"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4F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4F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4F2" w14:textId="77777777" w:rsidR="003C66EB" w:rsidRDefault="00D96C4E">
            <w:pPr>
              <w:jc w:val="right"/>
              <w:textAlignment w:val="bottom"/>
            </w:pPr>
            <w:r>
              <w:rPr>
                <w:rFonts w:ascii="Arial" w:eastAsia="宋体" w:hAnsi="Arial" w:cs="Arial"/>
                <w:color w:val="000000"/>
                <w:sz w:val="14"/>
                <w:szCs w:val="14"/>
              </w:rPr>
              <w:t>36 </w:t>
            </w:r>
          </w:p>
        </w:tc>
        <w:tc>
          <w:tcPr>
            <w:tcW w:w="0" w:type="auto"/>
            <w:shd w:val="clear" w:color="auto" w:fill="CCEEFF"/>
            <w:tcMar>
              <w:top w:w="40" w:type="dxa"/>
              <w:left w:w="0" w:type="dxa"/>
              <w:bottom w:w="40" w:type="dxa"/>
              <w:right w:w="20" w:type="dxa"/>
            </w:tcMar>
            <w:vAlign w:val="bottom"/>
          </w:tcPr>
          <w:p w14:paraId="5EA254F3" w14:textId="77777777" w:rsidR="003C66EB" w:rsidRDefault="003C66EB">
            <w:pPr>
              <w:jc w:val="right"/>
              <w:rPr>
                <w:rFonts w:ascii="宋体"/>
              </w:rPr>
            </w:pPr>
          </w:p>
        </w:tc>
      </w:tr>
      <w:tr w:rsidR="003C66EB" w14:paraId="5EA25503" w14:textId="77777777">
        <w:trPr>
          <w:hidden/>
        </w:trPr>
        <w:tc>
          <w:tcPr>
            <w:tcW w:w="0" w:type="auto"/>
            <w:gridSpan w:val="3"/>
            <w:shd w:val="clear" w:color="auto" w:fill="auto"/>
          </w:tcPr>
          <w:p w14:paraId="5EA254F5" w14:textId="77777777" w:rsidR="003C66EB" w:rsidRDefault="003C66EB">
            <w:pPr>
              <w:rPr>
                <w:rFonts w:ascii="宋体"/>
                <w:vanish/>
              </w:rPr>
            </w:pPr>
          </w:p>
        </w:tc>
        <w:tc>
          <w:tcPr>
            <w:tcW w:w="0" w:type="auto"/>
            <w:gridSpan w:val="3"/>
            <w:shd w:val="clear" w:color="auto" w:fill="auto"/>
          </w:tcPr>
          <w:p w14:paraId="5EA254F6" w14:textId="77777777" w:rsidR="003C66EB" w:rsidRDefault="003C66EB">
            <w:pPr>
              <w:rPr>
                <w:rFonts w:ascii="宋体"/>
                <w:vanish/>
              </w:rPr>
            </w:pPr>
          </w:p>
        </w:tc>
        <w:tc>
          <w:tcPr>
            <w:tcW w:w="0" w:type="auto"/>
            <w:gridSpan w:val="3"/>
            <w:shd w:val="clear" w:color="auto" w:fill="auto"/>
          </w:tcPr>
          <w:p w14:paraId="5EA254F7" w14:textId="77777777" w:rsidR="003C66EB" w:rsidRDefault="003C66EB">
            <w:pPr>
              <w:rPr>
                <w:rFonts w:ascii="宋体"/>
                <w:vanish/>
              </w:rPr>
            </w:pPr>
          </w:p>
        </w:tc>
        <w:tc>
          <w:tcPr>
            <w:tcW w:w="0" w:type="auto"/>
            <w:gridSpan w:val="3"/>
            <w:shd w:val="clear" w:color="auto" w:fill="auto"/>
          </w:tcPr>
          <w:p w14:paraId="5EA254F8" w14:textId="77777777" w:rsidR="003C66EB" w:rsidRDefault="003C66EB">
            <w:pPr>
              <w:rPr>
                <w:rFonts w:ascii="宋体"/>
                <w:vanish/>
              </w:rPr>
            </w:pPr>
          </w:p>
        </w:tc>
        <w:tc>
          <w:tcPr>
            <w:tcW w:w="0" w:type="auto"/>
            <w:gridSpan w:val="3"/>
            <w:shd w:val="clear" w:color="auto" w:fill="auto"/>
          </w:tcPr>
          <w:p w14:paraId="5EA254F9" w14:textId="77777777" w:rsidR="003C66EB" w:rsidRDefault="003C66EB">
            <w:pPr>
              <w:rPr>
                <w:rFonts w:ascii="宋体"/>
                <w:vanish/>
              </w:rPr>
            </w:pPr>
          </w:p>
        </w:tc>
        <w:tc>
          <w:tcPr>
            <w:tcW w:w="0" w:type="auto"/>
            <w:gridSpan w:val="3"/>
            <w:shd w:val="clear" w:color="auto" w:fill="auto"/>
          </w:tcPr>
          <w:p w14:paraId="5EA254FA" w14:textId="77777777" w:rsidR="003C66EB" w:rsidRDefault="003C66EB">
            <w:pPr>
              <w:rPr>
                <w:rFonts w:ascii="宋体"/>
                <w:vanish/>
              </w:rPr>
            </w:pPr>
          </w:p>
        </w:tc>
        <w:tc>
          <w:tcPr>
            <w:tcW w:w="0" w:type="auto"/>
            <w:gridSpan w:val="3"/>
            <w:shd w:val="clear" w:color="auto" w:fill="auto"/>
          </w:tcPr>
          <w:p w14:paraId="5EA254FB" w14:textId="77777777" w:rsidR="003C66EB" w:rsidRDefault="003C66EB">
            <w:pPr>
              <w:rPr>
                <w:rFonts w:ascii="宋体"/>
                <w:vanish/>
              </w:rPr>
            </w:pPr>
          </w:p>
        </w:tc>
        <w:tc>
          <w:tcPr>
            <w:tcW w:w="0" w:type="auto"/>
            <w:gridSpan w:val="3"/>
            <w:shd w:val="clear" w:color="auto" w:fill="auto"/>
          </w:tcPr>
          <w:p w14:paraId="5EA254FC" w14:textId="77777777" w:rsidR="003C66EB" w:rsidRDefault="003C66EB">
            <w:pPr>
              <w:rPr>
                <w:rFonts w:ascii="宋体"/>
                <w:vanish/>
              </w:rPr>
            </w:pPr>
          </w:p>
        </w:tc>
        <w:tc>
          <w:tcPr>
            <w:tcW w:w="0" w:type="auto"/>
            <w:gridSpan w:val="3"/>
            <w:shd w:val="clear" w:color="auto" w:fill="auto"/>
          </w:tcPr>
          <w:p w14:paraId="5EA254FD" w14:textId="77777777" w:rsidR="003C66EB" w:rsidRDefault="003C66EB">
            <w:pPr>
              <w:rPr>
                <w:rFonts w:ascii="宋体"/>
                <w:vanish/>
              </w:rPr>
            </w:pPr>
          </w:p>
        </w:tc>
        <w:tc>
          <w:tcPr>
            <w:tcW w:w="0" w:type="auto"/>
            <w:gridSpan w:val="3"/>
            <w:shd w:val="clear" w:color="auto" w:fill="auto"/>
          </w:tcPr>
          <w:p w14:paraId="5EA254FE" w14:textId="77777777" w:rsidR="003C66EB" w:rsidRDefault="003C66EB">
            <w:pPr>
              <w:rPr>
                <w:rFonts w:ascii="宋体"/>
                <w:vanish/>
              </w:rPr>
            </w:pPr>
          </w:p>
        </w:tc>
        <w:tc>
          <w:tcPr>
            <w:tcW w:w="0" w:type="auto"/>
            <w:gridSpan w:val="3"/>
            <w:shd w:val="clear" w:color="auto" w:fill="auto"/>
          </w:tcPr>
          <w:p w14:paraId="5EA254FF" w14:textId="77777777" w:rsidR="003C66EB" w:rsidRDefault="003C66EB">
            <w:pPr>
              <w:rPr>
                <w:rFonts w:ascii="宋体"/>
                <w:vanish/>
              </w:rPr>
            </w:pPr>
          </w:p>
        </w:tc>
        <w:tc>
          <w:tcPr>
            <w:tcW w:w="0" w:type="auto"/>
            <w:gridSpan w:val="3"/>
            <w:shd w:val="clear" w:color="auto" w:fill="auto"/>
          </w:tcPr>
          <w:p w14:paraId="5EA25500" w14:textId="77777777" w:rsidR="003C66EB" w:rsidRDefault="003C66EB">
            <w:pPr>
              <w:rPr>
                <w:rFonts w:ascii="宋体"/>
                <w:vanish/>
              </w:rPr>
            </w:pPr>
          </w:p>
        </w:tc>
        <w:tc>
          <w:tcPr>
            <w:tcW w:w="0" w:type="auto"/>
            <w:gridSpan w:val="3"/>
            <w:shd w:val="clear" w:color="auto" w:fill="auto"/>
          </w:tcPr>
          <w:p w14:paraId="5EA25501" w14:textId="77777777" w:rsidR="003C66EB" w:rsidRDefault="003C66EB">
            <w:pPr>
              <w:rPr>
                <w:rFonts w:ascii="宋体"/>
                <w:vanish/>
              </w:rPr>
            </w:pPr>
          </w:p>
        </w:tc>
        <w:tc>
          <w:tcPr>
            <w:tcW w:w="0" w:type="auto"/>
            <w:gridSpan w:val="3"/>
            <w:shd w:val="clear" w:color="auto" w:fill="auto"/>
          </w:tcPr>
          <w:p w14:paraId="5EA25502" w14:textId="77777777" w:rsidR="003C66EB" w:rsidRDefault="003C66EB">
            <w:pPr>
              <w:rPr>
                <w:rFonts w:ascii="宋体"/>
                <w:vanish/>
              </w:rPr>
            </w:pPr>
          </w:p>
        </w:tc>
      </w:tr>
      <w:tr w:rsidR="003C66EB" w14:paraId="5EA25512" w14:textId="77777777">
        <w:trPr>
          <w:hidden/>
        </w:trPr>
        <w:tc>
          <w:tcPr>
            <w:tcW w:w="0" w:type="auto"/>
            <w:gridSpan w:val="3"/>
            <w:shd w:val="clear" w:color="auto" w:fill="auto"/>
          </w:tcPr>
          <w:p w14:paraId="5EA25504" w14:textId="77777777" w:rsidR="003C66EB" w:rsidRDefault="003C66EB">
            <w:pPr>
              <w:rPr>
                <w:rFonts w:ascii="宋体"/>
                <w:vanish/>
              </w:rPr>
            </w:pPr>
          </w:p>
        </w:tc>
        <w:tc>
          <w:tcPr>
            <w:tcW w:w="0" w:type="auto"/>
            <w:gridSpan w:val="3"/>
            <w:shd w:val="clear" w:color="auto" w:fill="auto"/>
          </w:tcPr>
          <w:p w14:paraId="5EA25505" w14:textId="77777777" w:rsidR="003C66EB" w:rsidRDefault="003C66EB">
            <w:pPr>
              <w:rPr>
                <w:rFonts w:ascii="宋体"/>
                <w:vanish/>
              </w:rPr>
            </w:pPr>
          </w:p>
        </w:tc>
        <w:tc>
          <w:tcPr>
            <w:tcW w:w="0" w:type="auto"/>
            <w:gridSpan w:val="3"/>
            <w:shd w:val="clear" w:color="auto" w:fill="auto"/>
          </w:tcPr>
          <w:p w14:paraId="5EA25506" w14:textId="77777777" w:rsidR="003C66EB" w:rsidRDefault="003C66EB">
            <w:pPr>
              <w:rPr>
                <w:rFonts w:ascii="宋体"/>
                <w:vanish/>
              </w:rPr>
            </w:pPr>
          </w:p>
        </w:tc>
        <w:tc>
          <w:tcPr>
            <w:tcW w:w="0" w:type="auto"/>
            <w:gridSpan w:val="3"/>
            <w:shd w:val="clear" w:color="auto" w:fill="auto"/>
          </w:tcPr>
          <w:p w14:paraId="5EA25507" w14:textId="77777777" w:rsidR="003C66EB" w:rsidRDefault="003C66EB">
            <w:pPr>
              <w:rPr>
                <w:rFonts w:ascii="宋体"/>
                <w:vanish/>
              </w:rPr>
            </w:pPr>
          </w:p>
        </w:tc>
        <w:tc>
          <w:tcPr>
            <w:tcW w:w="0" w:type="auto"/>
            <w:gridSpan w:val="3"/>
            <w:shd w:val="clear" w:color="auto" w:fill="auto"/>
          </w:tcPr>
          <w:p w14:paraId="5EA25508" w14:textId="77777777" w:rsidR="003C66EB" w:rsidRDefault="003C66EB">
            <w:pPr>
              <w:rPr>
                <w:rFonts w:ascii="宋体"/>
                <w:vanish/>
              </w:rPr>
            </w:pPr>
          </w:p>
        </w:tc>
        <w:tc>
          <w:tcPr>
            <w:tcW w:w="0" w:type="auto"/>
            <w:gridSpan w:val="3"/>
            <w:shd w:val="clear" w:color="auto" w:fill="auto"/>
          </w:tcPr>
          <w:p w14:paraId="5EA25509" w14:textId="77777777" w:rsidR="003C66EB" w:rsidRDefault="003C66EB">
            <w:pPr>
              <w:rPr>
                <w:rFonts w:ascii="宋体"/>
                <w:vanish/>
              </w:rPr>
            </w:pPr>
          </w:p>
        </w:tc>
        <w:tc>
          <w:tcPr>
            <w:tcW w:w="0" w:type="auto"/>
            <w:gridSpan w:val="3"/>
            <w:shd w:val="clear" w:color="auto" w:fill="auto"/>
          </w:tcPr>
          <w:p w14:paraId="5EA2550A" w14:textId="77777777" w:rsidR="003C66EB" w:rsidRDefault="003C66EB">
            <w:pPr>
              <w:rPr>
                <w:rFonts w:ascii="宋体"/>
                <w:vanish/>
              </w:rPr>
            </w:pPr>
          </w:p>
        </w:tc>
        <w:tc>
          <w:tcPr>
            <w:tcW w:w="0" w:type="auto"/>
            <w:gridSpan w:val="3"/>
            <w:shd w:val="clear" w:color="auto" w:fill="auto"/>
          </w:tcPr>
          <w:p w14:paraId="5EA2550B" w14:textId="77777777" w:rsidR="003C66EB" w:rsidRDefault="003C66EB">
            <w:pPr>
              <w:rPr>
                <w:rFonts w:ascii="宋体"/>
                <w:vanish/>
              </w:rPr>
            </w:pPr>
          </w:p>
        </w:tc>
        <w:tc>
          <w:tcPr>
            <w:tcW w:w="0" w:type="auto"/>
            <w:gridSpan w:val="3"/>
            <w:shd w:val="clear" w:color="auto" w:fill="auto"/>
          </w:tcPr>
          <w:p w14:paraId="5EA2550C" w14:textId="77777777" w:rsidR="003C66EB" w:rsidRDefault="003C66EB">
            <w:pPr>
              <w:rPr>
                <w:rFonts w:ascii="宋体"/>
                <w:vanish/>
              </w:rPr>
            </w:pPr>
          </w:p>
        </w:tc>
        <w:tc>
          <w:tcPr>
            <w:tcW w:w="0" w:type="auto"/>
            <w:gridSpan w:val="3"/>
            <w:shd w:val="clear" w:color="auto" w:fill="auto"/>
          </w:tcPr>
          <w:p w14:paraId="5EA2550D" w14:textId="77777777" w:rsidR="003C66EB" w:rsidRDefault="003C66EB">
            <w:pPr>
              <w:rPr>
                <w:rFonts w:ascii="宋体"/>
                <w:vanish/>
              </w:rPr>
            </w:pPr>
          </w:p>
        </w:tc>
        <w:tc>
          <w:tcPr>
            <w:tcW w:w="0" w:type="auto"/>
            <w:gridSpan w:val="3"/>
            <w:shd w:val="clear" w:color="auto" w:fill="auto"/>
          </w:tcPr>
          <w:p w14:paraId="5EA2550E" w14:textId="77777777" w:rsidR="003C66EB" w:rsidRDefault="003C66EB">
            <w:pPr>
              <w:rPr>
                <w:rFonts w:ascii="宋体"/>
                <w:vanish/>
              </w:rPr>
            </w:pPr>
          </w:p>
        </w:tc>
        <w:tc>
          <w:tcPr>
            <w:tcW w:w="0" w:type="auto"/>
            <w:gridSpan w:val="3"/>
            <w:shd w:val="clear" w:color="auto" w:fill="auto"/>
          </w:tcPr>
          <w:p w14:paraId="5EA2550F" w14:textId="77777777" w:rsidR="003C66EB" w:rsidRDefault="003C66EB">
            <w:pPr>
              <w:rPr>
                <w:rFonts w:ascii="宋体"/>
                <w:vanish/>
              </w:rPr>
            </w:pPr>
          </w:p>
        </w:tc>
        <w:tc>
          <w:tcPr>
            <w:tcW w:w="0" w:type="auto"/>
            <w:gridSpan w:val="3"/>
            <w:shd w:val="clear" w:color="auto" w:fill="auto"/>
          </w:tcPr>
          <w:p w14:paraId="5EA25510" w14:textId="77777777" w:rsidR="003C66EB" w:rsidRDefault="003C66EB">
            <w:pPr>
              <w:rPr>
                <w:rFonts w:ascii="宋体"/>
                <w:vanish/>
              </w:rPr>
            </w:pPr>
          </w:p>
        </w:tc>
        <w:tc>
          <w:tcPr>
            <w:tcW w:w="0" w:type="auto"/>
            <w:gridSpan w:val="3"/>
            <w:shd w:val="clear" w:color="auto" w:fill="auto"/>
          </w:tcPr>
          <w:p w14:paraId="5EA25511" w14:textId="77777777" w:rsidR="003C66EB" w:rsidRDefault="003C66EB">
            <w:pPr>
              <w:rPr>
                <w:rFonts w:ascii="宋体"/>
                <w:vanish/>
              </w:rPr>
            </w:pPr>
          </w:p>
        </w:tc>
      </w:tr>
      <w:tr w:rsidR="003C66EB" w14:paraId="5EA25521" w14:textId="77777777">
        <w:trPr>
          <w:hidden/>
        </w:trPr>
        <w:tc>
          <w:tcPr>
            <w:tcW w:w="0" w:type="auto"/>
            <w:gridSpan w:val="3"/>
            <w:shd w:val="clear" w:color="auto" w:fill="auto"/>
          </w:tcPr>
          <w:p w14:paraId="5EA25513" w14:textId="77777777" w:rsidR="003C66EB" w:rsidRDefault="003C66EB">
            <w:pPr>
              <w:rPr>
                <w:rFonts w:ascii="宋体"/>
                <w:vanish/>
              </w:rPr>
            </w:pPr>
          </w:p>
        </w:tc>
        <w:tc>
          <w:tcPr>
            <w:tcW w:w="0" w:type="auto"/>
            <w:gridSpan w:val="3"/>
            <w:shd w:val="clear" w:color="auto" w:fill="auto"/>
          </w:tcPr>
          <w:p w14:paraId="5EA25514" w14:textId="77777777" w:rsidR="003C66EB" w:rsidRDefault="003C66EB">
            <w:pPr>
              <w:rPr>
                <w:rFonts w:ascii="宋体"/>
                <w:vanish/>
              </w:rPr>
            </w:pPr>
          </w:p>
        </w:tc>
        <w:tc>
          <w:tcPr>
            <w:tcW w:w="0" w:type="auto"/>
            <w:gridSpan w:val="3"/>
            <w:shd w:val="clear" w:color="auto" w:fill="auto"/>
          </w:tcPr>
          <w:p w14:paraId="5EA25515" w14:textId="77777777" w:rsidR="003C66EB" w:rsidRDefault="003C66EB">
            <w:pPr>
              <w:rPr>
                <w:rFonts w:ascii="宋体"/>
                <w:vanish/>
              </w:rPr>
            </w:pPr>
          </w:p>
        </w:tc>
        <w:tc>
          <w:tcPr>
            <w:tcW w:w="0" w:type="auto"/>
            <w:gridSpan w:val="3"/>
            <w:shd w:val="clear" w:color="auto" w:fill="auto"/>
          </w:tcPr>
          <w:p w14:paraId="5EA25516" w14:textId="77777777" w:rsidR="003C66EB" w:rsidRDefault="003C66EB">
            <w:pPr>
              <w:rPr>
                <w:rFonts w:ascii="宋体"/>
                <w:vanish/>
              </w:rPr>
            </w:pPr>
          </w:p>
        </w:tc>
        <w:tc>
          <w:tcPr>
            <w:tcW w:w="0" w:type="auto"/>
            <w:gridSpan w:val="3"/>
            <w:shd w:val="clear" w:color="auto" w:fill="auto"/>
          </w:tcPr>
          <w:p w14:paraId="5EA25517" w14:textId="77777777" w:rsidR="003C66EB" w:rsidRDefault="003C66EB">
            <w:pPr>
              <w:rPr>
                <w:rFonts w:ascii="宋体"/>
                <w:vanish/>
              </w:rPr>
            </w:pPr>
          </w:p>
        </w:tc>
        <w:tc>
          <w:tcPr>
            <w:tcW w:w="0" w:type="auto"/>
            <w:gridSpan w:val="3"/>
            <w:shd w:val="clear" w:color="auto" w:fill="auto"/>
          </w:tcPr>
          <w:p w14:paraId="5EA25518" w14:textId="77777777" w:rsidR="003C66EB" w:rsidRDefault="003C66EB">
            <w:pPr>
              <w:rPr>
                <w:rFonts w:ascii="宋体"/>
                <w:vanish/>
              </w:rPr>
            </w:pPr>
          </w:p>
        </w:tc>
        <w:tc>
          <w:tcPr>
            <w:tcW w:w="0" w:type="auto"/>
            <w:gridSpan w:val="3"/>
            <w:shd w:val="clear" w:color="auto" w:fill="auto"/>
          </w:tcPr>
          <w:p w14:paraId="5EA25519" w14:textId="77777777" w:rsidR="003C66EB" w:rsidRDefault="003C66EB">
            <w:pPr>
              <w:rPr>
                <w:rFonts w:ascii="宋体"/>
                <w:vanish/>
              </w:rPr>
            </w:pPr>
          </w:p>
        </w:tc>
        <w:tc>
          <w:tcPr>
            <w:tcW w:w="0" w:type="auto"/>
            <w:gridSpan w:val="3"/>
            <w:shd w:val="clear" w:color="auto" w:fill="auto"/>
          </w:tcPr>
          <w:p w14:paraId="5EA2551A" w14:textId="77777777" w:rsidR="003C66EB" w:rsidRDefault="003C66EB">
            <w:pPr>
              <w:rPr>
                <w:rFonts w:ascii="宋体"/>
                <w:vanish/>
              </w:rPr>
            </w:pPr>
          </w:p>
        </w:tc>
        <w:tc>
          <w:tcPr>
            <w:tcW w:w="0" w:type="auto"/>
            <w:gridSpan w:val="3"/>
            <w:shd w:val="clear" w:color="auto" w:fill="auto"/>
          </w:tcPr>
          <w:p w14:paraId="5EA2551B" w14:textId="77777777" w:rsidR="003C66EB" w:rsidRDefault="003C66EB">
            <w:pPr>
              <w:rPr>
                <w:rFonts w:ascii="宋体"/>
                <w:vanish/>
              </w:rPr>
            </w:pPr>
          </w:p>
        </w:tc>
        <w:tc>
          <w:tcPr>
            <w:tcW w:w="0" w:type="auto"/>
            <w:gridSpan w:val="3"/>
            <w:shd w:val="clear" w:color="auto" w:fill="auto"/>
          </w:tcPr>
          <w:p w14:paraId="5EA2551C" w14:textId="77777777" w:rsidR="003C66EB" w:rsidRDefault="003C66EB">
            <w:pPr>
              <w:rPr>
                <w:rFonts w:ascii="宋体"/>
                <w:vanish/>
              </w:rPr>
            </w:pPr>
          </w:p>
        </w:tc>
        <w:tc>
          <w:tcPr>
            <w:tcW w:w="0" w:type="auto"/>
            <w:gridSpan w:val="3"/>
            <w:shd w:val="clear" w:color="auto" w:fill="auto"/>
          </w:tcPr>
          <w:p w14:paraId="5EA2551D" w14:textId="77777777" w:rsidR="003C66EB" w:rsidRDefault="003C66EB">
            <w:pPr>
              <w:rPr>
                <w:rFonts w:ascii="宋体"/>
                <w:vanish/>
              </w:rPr>
            </w:pPr>
          </w:p>
        </w:tc>
        <w:tc>
          <w:tcPr>
            <w:tcW w:w="0" w:type="auto"/>
            <w:gridSpan w:val="3"/>
            <w:shd w:val="clear" w:color="auto" w:fill="auto"/>
          </w:tcPr>
          <w:p w14:paraId="5EA2551E" w14:textId="77777777" w:rsidR="003C66EB" w:rsidRDefault="003C66EB">
            <w:pPr>
              <w:rPr>
                <w:rFonts w:ascii="宋体"/>
                <w:vanish/>
              </w:rPr>
            </w:pPr>
          </w:p>
        </w:tc>
        <w:tc>
          <w:tcPr>
            <w:tcW w:w="0" w:type="auto"/>
            <w:gridSpan w:val="3"/>
            <w:shd w:val="clear" w:color="auto" w:fill="auto"/>
          </w:tcPr>
          <w:p w14:paraId="5EA2551F" w14:textId="77777777" w:rsidR="003C66EB" w:rsidRDefault="003C66EB">
            <w:pPr>
              <w:rPr>
                <w:rFonts w:ascii="宋体"/>
                <w:vanish/>
              </w:rPr>
            </w:pPr>
          </w:p>
        </w:tc>
        <w:tc>
          <w:tcPr>
            <w:tcW w:w="0" w:type="auto"/>
            <w:gridSpan w:val="3"/>
            <w:shd w:val="clear" w:color="auto" w:fill="auto"/>
          </w:tcPr>
          <w:p w14:paraId="5EA25520" w14:textId="77777777" w:rsidR="003C66EB" w:rsidRDefault="003C66EB">
            <w:pPr>
              <w:rPr>
                <w:rFonts w:ascii="宋体"/>
                <w:vanish/>
              </w:rPr>
            </w:pPr>
          </w:p>
        </w:tc>
      </w:tr>
      <w:tr w:rsidR="003C66EB" w14:paraId="5EA2553E" w14:textId="77777777">
        <w:tc>
          <w:tcPr>
            <w:tcW w:w="0" w:type="auto"/>
            <w:gridSpan w:val="3"/>
            <w:shd w:val="clear" w:color="auto" w:fill="FFFFFF"/>
            <w:tcMar>
              <w:top w:w="40" w:type="dxa"/>
              <w:left w:w="20" w:type="dxa"/>
              <w:bottom w:w="40" w:type="dxa"/>
              <w:right w:w="20" w:type="dxa"/>
            </w:tcMar>
            <w:vAlign w:val="bottom"/>
          </w:tcPr>
          <w:p w14:paraId="5EA25522" w14:textId="77777777" w:rsidR="003C66EB" w:rsidRDefault="00D96C4E">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2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24" w14:textId="77777777" w:rsidR="003C66EB" w:rsidRDefault="00D96C4E">
            <w:pPr>
              <w:jc w:val="right"/>
              <w:textAlignment w:val="bottom"/>
            </w:pPr>
            <w:r>
              <w:rPr>
                <w:rFonts w:ascii="Arial" w:eastAsia="宋体" w:hAnsi="Arial" w:cs="Arial"/>
                <w:color w:val="000000"/>
                <w:sz w:val="14"/>
                <w:szCs w:val="14"/>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2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2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2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28" w14:textId="77777777" w:rsidR="003C66EB" w:rsidRDefault="00D96C4E">
            <w:pPr>
              <w:jc w:val="right"/>
              <w:textAlignment w:val="bottom"/>
            </w:pPr>
            <w:r>
              <w:rPr>
                <w:rFonts w:ascii="Arial" w:eastAsia="宋体" w:hAnsi="Arial" w:cs="Arial"/>
                <w:color w:val="000000"/>
                <w:sz w:val="14"/>
                <w:szCs w:val="14"/>
              </w:rPr>
              <w:t>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2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2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2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2C" w14:textId="77777777" w:rsidR="003C66EB" w:rsidRDefault="00D96C4E">
            <w:pPr>
              <w:jc w:val="right"/>
              <w:textAlignment w:val="bottom"/>
            </w:pPr>
            <w:r>
              <w:rPr>
                <w:rFonts w:ascii="Arial" w:eastAsia="宋体" w:hAnsi="Arial" w:cs="Arial"/>
                <w:color w:val="000000"/>
                <w:sz w:val="14"/>
                <w:szCs w:val="14"/>
              </w:rPr>
              <w:t>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2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2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30" w14:textId="77777777" w:rsidR="003C66EB" w:rsidRDefault="00D96C4E">
            <w:pPr>
              <w:jc w:val="right"/>
              <w:textAlignment w:val="bottom"/>
            </w:pPr>
            <w:r>
              <w:rPr>
                <w:rFonts w:ascii="Arial" w:eastAsia="宋体" w:hAnsi="Arial" w:cs="Arial"/>
                <w:color w:val="000000"/>
                <w:sz w:val="14"/>
                <w:szCs w:val="14"/>
              </w:rPr>
              <w:t>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3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3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34" w14:textId="77777777" w:rsidR="003C66EB" w:rsidRDefault="00D96C4E">
            <w:pPr>
              <w:jc w:val="right"/>
              <w:textAlignment w:val="bottom"/>
            </w:pPr>
            <w:r>
              <w:rPr>
                <w:rFonts w:ascii="Arial" w:eastAsia="宋体" w:hAnsi="Arial" w:cs="Arial"/>
                <w:color w:val="000000"/>
                <w:sz w:val="14"/>
                <w:szCs w:val="14"/>
              </w:rPr>
              <w:t>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3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3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38" w14:textId="77777777" w:rsidR="003C66EB" w:rsidRDefault="00D96C4E">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3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3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3C" w14:textId="77777777" w:rsidR="003C66EB" w:rsidRDefault="00D96C4E">
            <w:pPr>
              <w:jc w:val="right"/>
              <w:textAlignment w:val="bottom"/>
            </w:pPr>
            <w:r>
              <w:rPr>
                <w:rFonts w:ascii="Arial" w:eastAsia="宋体" w:hAnsi="Arial" w:cs="Arial"/>
                <w:color w:val="000000"/>
                <w:sz w:val="14"/>
                <w:szCs w:val="14"/>
              </w:rPr>
              <w:t>124 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3D" w14:textId="77777777" w:rsidR="003C66EB" w:rsidRDefault="003C66EB">
            <w:pPr>
              <w:jc w:val="right"/>
              <w:rPr>
                <w:rFonts w:ascii="宋体"/>
              </w:rPr>
            </w:pPr>
          </w:p>
        </w:tc>
      </w:tr>
    </w:tbl>
    <w:p w14:paraId="5EA2553F" w14:textId="77777777" w:rsidR="003C66EB" w:rsidRDefault="00D96C4E">
      <w:pPr>
        <w:ind w:firstLine="450"/>
        <w:jc w:val="right"/>
      </w:pPr>
      <w:r>
        <w:rPr>
          <w:rFonts w:ascii="Arial" w:eastAsia="宋体" w:hAnsi="Arial" w:cs="Arial"/>
          <w:color w:val="000000"/>
          <w:sz w:val="18"/>
          <w:szCs w:val="18"/>
        </w:rPr>
        <w:t>State Street Corporation | 66</w:t>
      </w:r>
    </w:p>
    <w:p w14:paraId="5EA25540" w14:textId="77777777" w:rsidR="003C66EB" w:rsidRDefault="003C66EB">
      <w:pPr>
        <w:ind w:firstLine="450"/>
        <w:jc w:val="center"/>
      </w:pPr>
    </w:p>
    <w:p w14:paraId="5EA25541" w14:textId="77777777" w:rsidR="003C66EB" w:rsidRDefault="00D96C4E">
      <w:r>
        <w:pict w14:anchorId="5EA287F2">
          <v:rect id="_x0000_i1090" style="width:415.3pt;height:1.5pt" o:hralign="center" o:hrstd="t" o:hr="t" fillcolor="#a0a0a0" stroked="f"/>
        </w:pict>
      </w:r>
    </w:p>
    <w:p w14:paraId="5EA25542" w14:textId="77777777" w:rsidR="003C66EB" w:rsidRDefault="00D96C4E">
      <w:pPr>
        <w:ind w:firstLine="450"/>
        <w:jc w:val="center"/>
      </w:pPr>
      <w:r>
        <w:rPr>
          <w:rFonts w:ascii="Arial" w:eastAsia="宋体" w:hAnsi="Arial" w:cs="Arial"/>
          <w:b/>
          <w:bCs/>
          <w:color w:val="000000"/>
          <w:sz w:val="20"/>
          <w:szCs w:val="20"/>
        </w:rPr>
        <w:t>STATE STREET CORPORATION</w:t>
      </w:r>
    </w:p>
    <w:p w14:paraId="5EA25543" w14:textId="77777777" w:rsidR="003C66EB" w:rsidRDefault="00D96C4E">
      <w:pPr>
        <w:ind w:firstLine="450"/>
        <w:jc w:val="center"/>
      </w:pPr>
      <w:r>
        <w:rPr>
          <w:rFonts w:ascii="Arial" w:eastAsia="宋体" w:hAnsi="Arial" w:cs="Arial"/>
          <w:b/>
          <w:bCs/>
          <w:color w:val="000000"/>
          <w:sz w:val="20"/>
          <w:szCs w:val="20"/>
        </w:rPr>
        <w:t xml:space="preserve">CONDENSED NOTES </w:t>
      </w:r>
      <w:r>
        <w:rPr>
          <w:rFonts w:ascii="Arial" w:eastAsia="宋体" w:hAnsi="Arial" w:cs="Arial"/>
          <w:b/>
          <w:bCs/>
          <w:color w:val="000000"/>
          <w:sz w:val="20"/>
          <w:szCs w:val="20"/>
        </w:rPr>
        <w:t>TO CONSOLIDATED FINANCIAL STATEMENTS</w:t>
      </w:r>
    </w:p>
    <w:p w14:paraId="5EA25544" w14:textId="77777777" w:rsidR="003C66EB" w:rsidRDefault="00D96C4E">
      <w:pPr>
        <w:ind w:firstLine="450"/>
        <w:jc w:val="center"/>
      </w:pPr>
      <w:r>
        <w:rPr>
          <w:rFonts w:ascii="Arial" w:eastAsia="宋体" w:hAnsi="Arial" w:cs="Arial"/>
          <w:b/>
          <w:bCs/>
          <w:color w:val="000000"/>
          <w:sz w:val="20"/>
          <w:szCs w:val="20"/>
        </w:rPr>
        <w:t>(UNAUDITED)</w:t>
      </w:r>
    </w:p>
    <w:p w14:paraId="5EA25545" w14:textId="77777777" w:rsidR="003C66EB" w:rsidRDefault="00D96C4E">
      <w:pPr>
        <w:ind w:firstLine="450"/>
        <w:jc w:val="both"/>
        <w:textAlignment w:val="top"/>
      </w:pPr>
      <w:r>
        <w:rPr>
          <w:rFonts w:ascii="Arial" w:eastAsia="宋体" w:hAnsi="Arial" w:cs="Arial"/>
          <w:color w:val="000000"/>
          <w:sz w:val="20"/>
          <w:szCs w:val="20"/>
        </w:rPr>
        <w:t xml:space="preserve">Loans are reviewed on a regular basis, and any provisions for credit losses that are recorded reflect management's estimate of the amount necessary to maintain the allowance for loan losses at a level </w:t>
      </w:r>
      <w:r>
        <w:rPr>
          <w:rFonts w:ascii="Arial" w:eastAsia="宋体" w:hAnsi="Arial" w:cs="Arial"/>
          <w:color w:val="000000"/>
          <w:sz w:val="20"/>
          <w:szCs w:val="20"/>
        </w:rPr>
        <w:t>considered appropriate to absorb estimated credit losses in the loan portfolio. We reduced the allowance for credit losses by $13 million, principally through a $9 million reserve release in the provision for</w:t>
      </w:r>
      <w:r>
        <w:rPr>
          <w:rFonts w:ascii="Arial" w:eastAsia="宋体" w:hAnsi="Arial" w:cs="Arial"/>
          <w:color w:val="000000"/>
        </w:rPr>
        <w:t xml:space="preserve"> </w:t>
      </w:r>
      <w:r>
        <w:rPr>
          <w:rFonts w:ascii="Arial" w:eastAsia="宋体" w:hAnsi="Arial" w:cs="Arial"/>
          <w:color w:val="000000"/>
          <w:sz w:val="20"/>
          <w:szCs w:val="20"/>
        </w:rPr>
        <w:t>credit losses in the first quarter of 2021, ver</w:t>
      </w:r>
      <w:r>
        <w:rPr>
          <w:rFonts w:ascii="Arial" w:eastAsia="宋体" w:hAnsi="Arial" w:cs="Arial"/>
          <w:color w:val="000000"/>
          <w:sz w:val="20"/>
          <w:szCs w:val="20"/>
        </w:rPr>
        <w:t xml:space="preserve">sus an increase in the allowance for credit losses of $31 million principally through a $36 million provision for credit losses, in the first quarter of 2020. The reduction in the allowance reflects a shift in management’s economic outlook toward economic </w:t>
      </w:r>
      <w:r>
        <w:rPr>
          <w:rFonts w:ascii="Arial" w:eastAsia="宋体" w:hAnsi="Arial" w:cs="Arial"/>
          <w:color w:val="000000"/>
          <w:sz w:val="20"/>
          <w:szCs w:val="20"/>
        </w:rPr>
        <w:t>expansion and limited negative credit migration within our loan portfolio. Allowance estimates remain subject to continued model and economic uncertainty and management may use qualitative adjustments in the allowance estimates. If future data and forecast</w:t>
      </w:r>
      <w:r>
        <w:rPr>
          <w:rFonts w:ascii="Arial" w:eastAsia="宋体" w:hAnsi="Arial" w:cs="Arial"/>
          <w:color w:val="000000"/>
          <w:sz w:val="20"/>
          <w:szCs w:val="20"/>
        </w:rPr>
        <w:t>s deviate relative to the forecasts utilized to determine our allowance for credit losses as of March 31, 2021, or if credit risk migration is higher or lower than forecasted for reasons independent of the economic forecast, our allowance for credit losses</w:t>
      </w:r>
      <w:r>
        <w:rPr>
          <w:rFonts w:ascii="Arial" w:eastAsia="宋体" w:hAnsi="Arial" w:cs="Arial"/>
          <w:color w:val="000000"/>
          <w:sz w:val="20"/>
          <w:szCs w:val="20"/>
        </w:rPr>
        <w:t xml:space="preserve"> will also change.</w:t>
      </w:r>
    </w:p>
    <w:p w14:paraId="5EA25546" w14:textId="77777777" w:rsidR="003C66EB" w:rsidRDefault="00D96C4E">
      <w:pPr>
        <w:spacing w:before="90"/>
        <w:jc w:val="both"/>
        <w:textAlignment w:val="top"/>
      </w:pPr>
      <w:r>
        <w:rPr>
          <w:rFonts w:ascii="Arial" w:eastAsia="宋体" w:hAnsi="Arial" w:cs="Arial"/>
          <w:b/>
          <w:bCs/>
          <w:color w:val="000000"/>
          <w:sz w:val="20"/>
          <w:szCs w:val="20"/>
        </w:rPr>
        <w:t>Note 5.    Goodwill and Other Intangible Assets</w:t>
      </w:r>
    </w:p>
    <w:p w14:paraId="5EA25547"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516"/>
        <w:gridCol w:w="38"/>
        <w:gridCol w:w="105"/>
        <w:gridCol w:w="1730"/>
        <w:gridCol w:w="36"/>
        <w:gridCol w:w="36"/>
        <w:gridCol w:w="72"/>
        <w:gridCol w:w="36"/>
        <w:gridCol w:w="105"/>
        <w:gridCol w:w="1676"/>
        <w:gridCol w:w="36"/>
        <w:gridCol w:w="36"/>
        <w:gridCol w:w="72"/>
        <w:gridCol w:w="36"/>
        <w:gridCol w:w="104"/>
        <w:gridCol w:w="1625"/>
        <w:gridCol w:w="36"/>
      </w:tblGrid>
      <w:tr w:rsidR="003C66EB" w14:paraId="5EA2555A" w14:textId="77777777">
        <w:tc>
          <w:tcPr>
            <w:tcW w:w="50" w:type="pct"/>
            <w:shd w:val="clear" w:color="auto" w:fill="auto"/>
          </w:tcPr>
          <w:p w14:paraId="5EA25548" w14:textId="77777777" w:rsidR="003C66EB" w:rsidRDefault="003C66EB">
            <w:pPr>
              <w:rPr>
                <w:rFonts w:ascii="宋体"/>
              </w:rPr>
            </w:pPr>
          </w:p>
        </w:tc>
        <w:tc>
          <w:tcPr>
            <w:tcW w:w="1533" w:type="pct"/>
            <w:shd w:val="clear" w:color="auto" w:fill="auto"/>
          </w:tcPr>
          <w:p w14:paraId="5EA25549" w14:textId="77777777" w:rsidR="003C66EB" w:rsidRDefault="003C66EB">
            <w:pPr>
              <w:rPr>
                <w:rFonts w:ascii="宋体"/>
              </w:rPr>
            </w:pPr>
          </w:p>
        </w:tc>
        <w:tc>
          <w:tcPr>
            <w:tcW w:w="5" w:type="pct"/>
            <w:shd w:val="clear" w:color="auto" w:fill="auto"/>
          </w:tcPr>
          <w:p w14:paraId="5EA2554A" w14:textId="77777777" w:rsidR="003C66EB" w:rsidRDefault="003C66EB">
            <w:pPr>
              <w:rPr>
                <w:rFonts w:ascii="宋体"/>
              </w:rPr>
            </w:pPr>
          </w:p>
        </w:tc>
        <w:tc>
          <w:tcPr>
            <w:tcW w:w="50" w:type="pct"/>
            <w:shd w:val="clear" w:color="auto" w:fill="auto"/>
          </w:tcPr>
          <w:p w14:paraId="5EA2554B" w14:textId="77777777" w:rsidR="003C66EB" w:rsidRDefault="003C66EB">
            <w:pPr>
              <w:rPr>
                <w:rFonts w:ascii="宋体"/>
              </w:rPr>
            </w:pPr>
          </w:p>
        </w:tc>
        <w:tc>
          <w:tcPr>
            <w:tcW w:w="1061" w:type="pct"/>
            <w:shd w:val="clear" w:color="auto" w:fill="auto"/>
          </w:tcPr>
          <w:p w14:paraId="5EA2554C" w14:textId="77777777" w:rsidR="003C66EB" w:rsidRDefault="003C66EB">
            <w:pPr>
              <w:rPr>
                <w:rFonts w:ascii="宋体"/>
              </w:rPr>
            </w:pPr>
          </w:p>
        </w:tc>
        <w:tc>
          <w:tcPr>
            <w:tcW w:w="5" w:type="pct"/>
            <w:shd w:val="clear" w:color="auto" w:fill="auto"/>
          </w:tcPr>
          <w:p w14:paraId="5EA2554D" w14:textId="77777777" w:rsidR="003C66EB" w:rsidRDefault="003C66EB">
            <w:pPr>
              <w:rPr>
                <w:rFonts w:ascii="宋体"/>
              </w:rPr>
            </w:pPr>
          </w:p>
        </w:tc>
        <w:tc>
          <w:tcPr>
            <w:tcW w:w="5" w:type="pct"/>
            <w:shd w:val="clear" w:color="auto" w:fill="auto"/>
          </w:tcPr>
          <w:p w14:paraId="5EA2554E" w14:textId="77777777" w:rsidR="003C66EB" w:rsidRDefault="003C66EB">
            <w:pPr>
              <w:rPr>
                <w:rFonts w:ascii="宋体"/>
              </w:rPr>
            </w:pPr>
          </w:p>
        </w:tc>
        <w:tc>
          <w:tcPr>
            <w:tcW w:w="68" w:type="pct"/>
            <w:shd w:val="clear" w:color="auto" w:fill="auto"/>
          </w:tcPr>
          <w:p w14:paraId="5EA2554F" w14:textId="77777777" w:rsidR="003C66EB" w:rsidRDefault="003C66EB">
            <w:pPr>
              <w:rPr>
                <w:rFonts w:ascii="宋体"/>
              </w:rPr>
            </w:pPr>
          </w:p>
        </w:tc>
        <w:tc>
          <w:tcPr>
            <w:tcW w:w="5" w:type="pct"/>
            <w:shd w:val="clear" w:color="auto" w:fill="auto"/>
          </w:tcPr>
          <w:p w14:paraId="5EA25550" w14:textId="77777777" w:rsidR="003C66EB" w:rsidRDefault="003C66EB">
            <w:pPr>
              <w:rPr>
                <w:rFonts w:ascii="宋体"/>
              </w:rPr>
            </w:pPr>
          </w:p>
        </w:tc>
        <w:tc>
          <w:tcPr>
            <w:tcW w:w="50" w:type="pct"/>
            <w:shd w:val="clear" w:color="auto" w:fill="auto"/>
          </w:tcPr>
          <w:p w14:paraId="5EA25551" w14:textId="77777777" w:rsidR="003C66EB" w:rsidRDefault="003C66EB">
            <w:pPr>
              <w:rPr>
                <w:rFonts w:ascii="宋体"/>
              </w:rPr>
            </w:pPr>
          </w:p>
        </w:tc>
        <w:tc>
          <w:tcPr>
            <w:tcW w:w="1029" w:type="pct"/>
            <w:shd w:val="clear" w:color="auto" w:fill="auto"/>
          </w:tcPr>
          <w:p w14:paraId="5EA25552" w14:textId="77777777" w:rsidR="003C66EB" w:rsidRDefault="003C66EB">
            <w:pPr>
              <w:rPr>
                <w:rFonts w:ascii="宋体"/>
              </w:rPr>
            </w:pPr>
          </w:p>
        </w:tc>
        <w:tc>
          <w:tcPr>
            <w:tcW w:w="5" w:type="pct"/>
            <w:shd w:val="clear" w:color="auto" w:fill="auto"/>
          </w:tcPr>
          <w:p w14:paraId="5EA25553" w14:textId="77777777" w:rsidR="003C66EB" w:rsidRDefault="003C66EB">
            <w:pPr>
              <w:rPr>
                <w:rFonts w:ascii="宋体"/>
              </w:rPr>
            </w:pPr>
          </w:p>
        </w:tc>
        <w:tc>
          <w:tcPr>
            <w:tcW w:w="5" w:type="pct"/>
            <w:shd w:val="clear" w:color="auto" w:fill="auto"/>
          </w:tcPr>
          <w:p w14:paraId="5EA25554" w14:textId="77777777" w:rsidR="003C66EB" w:rsidRDefault="003C66EB">
            <w:pPr>
              <w:rPr>
                <w:rFonts w:ascii="宋体"/>
              </w:rPr>
            </w:pPr>
          </w:p>
        </w:tc>
        <w:tc>
          <w:tcPr>
            <w:tcW w:w="68" w:type="pct"/>
            <w:shd w:val="clear" w:color="auto" w:fill="auto"/>
          </w:tcPr>
          <w:p w14:paraId="5EA25555" w14:textId="77777777" w:rsidR="003C66EB" w:rsidRDefault="003C66EB">
            <w:pPr>
              <w:rPr>
                <w:rFonts w:ascii="宋体"/>
              </w:rPr>
            </w:pPr>
          </w:p>
        </w:tc>
        <w:tc>
          <w:tcPr>
            <w:tcW w:w="5" w:type="pct"/>
            <w:shd w:val="clear" w:color="auto" w:fill="auto"/>
          </w:tcPr>
          <w:p w14:paraId="5EA25556" w14:textId="77777777" w:rsidR="003C66EB" w:rsidRDefault="003C66EB">
            <w:pPr>
              <w:rPr>
                <w:rFonts w:ascii="宋体"/>
              </w:rPr>
            </w:pPr>
          </w:p>
        </w:tc>
        <w:tc>
          <w:tcPr>
            <w:tcW w:w="50" w:type="pct"/>
            <w:shd w:val="clear" w:color="auto" w:fill="auto"/>
          </w:tcPr>
          <w:p w14:paraId="5EA25557" w14:textId="77777777" w:rsidR="003C66EB" w:rsidRDefault="003C66EB">
            <w:pPr>
              <w:rPr>
                <w:rFonts w:ascii="宋体"/>
              </w:rPr>
            </w:pPr>
          </w:p>
        </w:tc>
        <w:tc>
          <w:tcPr>
            <w:tcW w:w="998" w:type="pct"/>
            <w:shd w:val="clear" w:color="auto" w:fill="auto"/>
          </w:tcPr>
          <w:p w14:paraId="5EA25558" w14:textId="77777777" w:rsidR="003C66EB" w:rsidRDefault="003C66EB">
            <w:pPr>
              <w:rPr>
                <w:rFonts w:ascii="宋体"/>
              </w:rPr>
            </w:pPr>
          </w:p>
        </w:tc>
        <w:tc>
          <w:tcPr>
            <w:tcW w:w="5" w:type="pct"/>
            <w:shd w:val="clear" w:color="auto" w:fill="auto"/>
          </w:tcPr>
          <w:p w14:paraId="5EA25559" w14:textId="77777777" w:rsidR="003C66EB" w:rsidRDefault="003C66EB">
            <w:pPr>
              <w:rPr>
                <w:rFonts w:ascii="宋体"/>
              </w:rPr>
            </w:pPr>
          </w:p>
        </w:tc>
      </w:tr>
      <w:tr w:rsidR="003C66EB" w14:paraId="5EA25562" w14:textId="77777777">
        <w:tc>
          <w:tcPr>
            <w:tcW w:w="0" w:type="auto"/>
            <w:gridSpan w:val="3"/>
            <w:shd w:val="clear" w:color="auto" w:fill="auto"/>
            <w:tcMar>
              <w:top w:w="40" w:type="dxa"/>
              <w:left w:w="20" w:type="dxa"/>
              <w:bottom w:w="40" w:type="dxa"/>
              <w:right w:w="20" w:type="dxa"/>
            </w:tcMar>
            <w:vAlign w:val="bottom"/>
          </w:tcPr>
          <w:p w14:paraId="5EA2555B"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A2555C" w14:textId="77777777" w:rsidR="003C66EB" w:rsidRDefault="00D96C4E">
            <w:pPr>
              <w:jc w:val="center"/>
              <w:textAlignment w:val="bottom"/>
            </w:pPr>
            <w:r>
              <w:rPr>
                <w:rFonts w:ascii="Arial" w:eastAsia="宋体" w:hAnsi="Arial" w:cs="Arial"/>
                <w:b/>
                <w:bCs/>
                <w:color w:val="000000"/>
                <w:sz w:val="15"/>
                <w:szCs w:val="15"/>
              </w:rPr>
              <w:t>Investment</w:t>
            </w:r>
          </w:p>
          <w:p w14:paraId="5EA2555D" w14:textId="77777777" w:rsidR="003C66EB" w:rsidRDefault="00D96C4E">
            <w:pPr>
              <w:jc w:val="center"/>
              <w:textAlignment w:val="bottom"/>
            </w:pPr>
            <w:r>
              <w:rPr>
                <w:rFonts w:ascii="Arial" w:eastAsia="宋体" w:hAnsi="Arial" w:cs="Arial"/>
                <w:b/>
                <w:bCs/>
                <w:color w:val="000000"/>
                <w:sz w:val="15"/>
                <w:szCs w:val="15"/>
              </w:rPr>
              <w:t>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2555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55F" w14:textId="77777777" w:rsidR="003C66EB" w:rsidRDefault="00D96C4E">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r>
            <w:r>
              <w:rPr>
                <w:rFonts w:ascii="Arial" w:eastAsia="宋体" w:hAnsi="Arial" w:cs="Arial"/>
                <w:b/>
                <w:bCs/>
                <w:color w:val="000000"/>
                <w:sz w:val="15"/>
                <w:szCs w:val="15"/>
              </w:rPr>
              <w:t>Management</w:t>
            </w:r>
          </w:p>
        </w:tc>
        <w:tc>
          <w:tcPr>
            <w:tcW w:w="0" w:type="auto"/>
            <w:gridSpan w:val="3"/>
            <w:shd w:val="clear" w:color="auto" w:fill="auto"/>
            <w:tcMar>
              <w:top w:w="0" w:type="dxa"/>
              <w:left w:w="20" w:type="dxa"/>
              <w:bottom w:w="0" w:type="dxa"/>
              <w:right w:w="20" w:type="dxa"/>
            </w:tcMar>
          </w:tcPr>
          <w:p w14:paraId="5EA2556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561" w14:textId="77777777" w:rsidR="003C66EB" w:rsidRDefault="00D96C4E">
            <w:pPr>
              <w:jc w:val="center"/>
              <w:textAlignment w:val="bottom"/>
            </w:pPr>
            <w:r>
              <w:rPr>
                <w:rFonts w:ascii="Arial" w:eastAsia="宋体" w:hAnsi="Arial" w:cs="Arial"/>
                <w:b/>
                <w:bCs/>
                <w:color w:val="000000"/>
                <w:sz w:val="15"/>
                <w:szCs w:val="15"/>
              </w:rPr>
              <w:t>Total</w:t>
            </w:r>
          </w:p>
        </w:tc>
      </w:tr>
      <w:tr w:rsidR="003C66EB" w14:paraId="5EA25569" w14:textId="77777777">
        <w:tc>
          <w:tcPr>
            <w:tcW w:w="0" w:type="auto"/>
            <w:gridSpan w:val="3"/>
            <w:shd w:val="clear" w:color="auto" w:fill="auto"/>
            <w:tcMar>
              <w:top w:w="40" w:type="dxa"/>
              <w:left w:w="20" w:type="dxa"/>
              <w:bottom w:w="40" w:type="dxa"/>
              <w:right w:w="20" w:type="dxa"/>
            </w:tcMar>
            <w:vAlign w:val="bottom"/>
          </w:tcPr>
          <w:p w14:paraId="5EA25563" w14:textId="77777777" w:rsidR="003C66EB" w:rsidRDefault="00D96C4E">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tcPr>
          <w:p w14:paraId="5EA255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56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5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56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568" w14:textId="77777777" w:rsidR="003C66EB" w:rsidRDefault="003C66EB">
            <w:pPr>
              <w:rPr>
                <w:rFonts w:ascii="宋体"/>
              </w:rPr>
            </w:pPr>
          </w:p>
        </w:tc>
      </w:tr>
      <w:tr w:rsidR="003C66EB" w14:paraId="5EA25570" w14:textId="77777777">
        <w:trPr>
          <w:hidden/>
        </w:trPr>
        <w:tc>
          <w:tcPr>
            <w:tcW w:w="0" w:type="auto"/>
            <w:gridSpan w:val="3"/>
            <w:shd w:val="clear" w:color="auto" w:fill="auto"/>
          </w:tcPr>
          <w:p w14:paraId="5EA2556A" w14:textId="77777777" w:rsidR="003C66EB" w:rsidRDefault="003C66EB">
            <w:pPr>
              <w:rPr>
                <w:rFonts w:ascii="宋体"/>
                <w:vanish/>
              </w:rPr>
            </w:pPr>
          </w:p>
        </w:tc>
        <w:tc>
          <w:tcPr>
            <w:tcW w:w="0" w:type="auto"/>
            <w:gridSpan w:val="3"/>
            <w:shd w:val="clear" w:color="auto" w:fill="auto"/>
          </w:tcPr>
          <w:p w14:paraId="5EA2556B" w14:textId="77777777" w:rsidR="003C66EB" w:rsidRDefault="003C66EB">
            <w:pPr>
              <w:rPr>
                <w:rFonts w:ascii="宋体"/>
                <w:vanish/>
              </w:rPr>
            </w:pPr>
          </w:p>
        </w:tc>
        <w:tc>
          <w:tcPr>
            <w:tcW w:w="0" w:type="auto"/>
            <w:gridSpan w:val="3"/>
            <w:shd w:val="clear" w:color="auto" w:fill="auto"/>
          </w:tcPr>
          <w:p w14:paraId="5EA2556C" w14:textId="77777777" w:rsidR="003C66EB" w:rsidRDefault="003C66EB">
            <w:pPr>
              <w:rPr>
                <w:rFonts w:ascii="宋体"/>
                <w:vanish/>
              </w:rPr>
            </w:pPr>
          </w:p>
        </w:tc>
        <w:tc>
          <w:tcPr>
            <w:tcW w:w="0" w:type="auto"/>
            <w:gridSpan w:val="3"/>
            <w:shd w:val="clear" w:color="auto" w:fill="auto"/>
          </w:tcPr>
          <w:p w14:paraId="5EA2556D" w14:textId="77777777" w:rsidR="003C66EB" w:rsidRDefault="003C66EB">
            <w:pPr>
              <w:rPr>
                <w:rFonts w:ascii="宋体"/>
                <w:vanish/>
              </w:rPr>
            </w:pPr>
          </w:p>
        </w:tc>
        <w:tc>
          <w:tcPr>
            <w:tcW w:w="0" w:type="auto"/>
            <w:gridSpan w:val="3"/>
            <w:shd w:val="clear" w:color="auto" w:fill="auto"/>
          </w:tcPr>
          <w:p w14:paraId="5EA2556E" w14:textId="77777777" w:rsidR="003C66EB" w:rsidRDefault="003C66EB">
            <w:pPr>
              <w:rPr>
                <w:rFonts w:ascii="宋体"/>
                <w:vanish/>
              </w:rPr>
            </w:pPr>
          </w:p>
        </w:tc>
        <w:tc>
          <w:tcPr>
            <w:tcW w:w="0" w:type="auto"/>
            <w:gridSpan w:val="3"/>
            <w:shd w:val="clear" w:color="auto" w:fill="auto"/>
          </w:tcPr>
          <w:p w14:paraId="5EA2556F" w14:textId="77777777" w:rsidR="003C66EB" w:rsidRDefault="003C66EB">
            <w:pPr>
              <w:rPr>
                <w:rFonts w:ascii="宋体"/>
                <w:vanish/>
              </w:rPr>
            </w:pPr>
          </w:p>
        </w:tc>
      </w:tr>
      <w:tr w:rsidR="003C66EB" w14:paraId="5EA25577" w14:textId="77777777">
        <w:trPr>
          <w:hidden/>
        </w:trPr>
        <w:tc>
          <w:tcPr>
            <w:tcW w:w="0" w:type="auto"/>
            <w:gridSpan w:val="3"/>
            <w:shd w:val="clear" w:color="auto" w:fill="auto"/>
          </w:tcPr>
          <w:p w14:paraId="5EA25571" w14:textId="77777777" w:rsidR="003C66EB" w:rsidRDefault="003C66EB">
            <w:pPr>
              <w:rPr>
                <w:rFonts w:ascii="宋体"/>
                <w:vanish/>
              </w:rPr>
            </w:pPr>
          </w:p>
        </w:tc>
        <w:tc>
          <w:tcPr>
            <w:tcW w:w="0" w:type="auto"/>
            <w:gridSpan w:val="3"/>
            <w:shd w:val="clear" w:color="auto" w:fill="auto"/>
          </w:tcPr>
          <w:p w14:paraId="5EA25572" w14:textId="77777777" w:rsidR="003C66EB" w:rsidRDefault="003C66EB">
            <w:pPr>
              <w:rPr>
                <w:rFonts w:ascii="宋体"/>
                <w:vanish/>
              </w:rPr>
            </w:pPr>
          </w:p>
        </w:tc>
        <w:tc>
          <w:tcPr>
            <w:tcW w:w="0" w:type="auto"/>
            <w:gridSpan w:val="3"/>
            <w:shd w:val="clear" w:color="auto" w:fill="auto"/>
          </w:tcPr>
          <w:p w14:paraId="5EA25573" w14:textId="77777777" w:rsidR="003C66EB" w:rsidRDefault="003C66EB">
            <w:pPr>
              <w:rPr>
                <w:rFonts w:ascii="宋体"/>
                <w:vanish/>
              </w:rPr>
            </w:pPr>
          </w:p>
        </w:tc>
        <w:tc>
          <w:tcPr>
            <w:tcW w:w="0" w:type="auto"/>
            <w:gridSpan w:val="3"/>
            <w:shd w:val="clear" w:color="auto" w:fill="auto"/>
          </w:tcPr>
          <w:p w14:paraId="5EA25574" w14:textId="77777777" w:rsidR="003C66EB" w:rsidRDefault="003C66EB">
            <w:pPr>
              <w:rPr>
                <w:rFonts w:ascii="宋体"/>
                <w:vanish/>
              </w:rPr>
            </w:pPr>
          </w:p>
        </w:tc>
        <w:tc>
          <w:tcPr>
            <w:tcW w:w="0" w:type="auto"/>
            <w:gridSpan w:val="3"/>
            <w:shd w:val="clear" w:color="auto" w:fill="auto"/>
          </w:tcPr>
          <w:p w14:paraId="5EA25575" w14:textId="77777777" w:rsidR="003C66EB" w:rsidRDefault="003C66EB">
            <w:pPr>
              <w:rPr>
                <w:rFonts w:ascii="宋体"/>
                <w:vanish/>
              </w:rPr>
            </w:pPr>
          </w:p>
        </w:tc>
        <w:tc>
          <w:tcPr>
            <w:tcW w:w="0" w:type="auto"/>
            <w:gridSpan w:val="3"/>
            <w:shd w:val="clear" w:color="auto" w:fill="auto"/>
          </w:tcPr>
          <w:p w14:paraId="5EA25576" w14:textId="77777777" w:rsidR="003C66EB" w:rsidRDefault="003C66EB">
            <w:pPr>
              <w:rPr>
                <w:rFonts w:ascii="宋体"/>
                <w:vanish/>
              </w:rPr>
            </w:pPr>
          </w:p>
        </w:tc>
      </w:tr>
      <w:tr w:rsidR="003C66EB" w14:paraId="5EA2557E" w14:textId="77777777">
        <w:trPr>
          <w:hidden/>
        </w:trPr>
        <w:tc>
          <w:tcPr>
            <w:tcW w:w="0" w:type="auto"/>
            <w:gridSpan w:val="3"/>
            <w:shd w:val="clear" w:color="auto" w:fill="auto"/>
          </w:tcPr>
          <w:p w14:paraId="5EA25578" w14:textId="77777777" w:rsidR="003C66EB" w:rsidRDefault="003C66EB">
            <w:pPr>
              <w:rPr>
                <w:rFonts w:ascii="宋体"/>
                <w:vanish/>
              </w:rPr>
            </w:pPr>
          </w:p>
        </w:tc>
        <w:tc>
          <w:tcPr>
            <w:tcW w:w="0" w:type="auto"/>
            <w:gridSpan w:val="3"/>
            <w:shd w:val="clear" w:color="auto" w:fill="auto"/>
          </w:tcPr>
          <w:p w14:paraId="5EA25579" w14:textId="77777777" w:rsidR="003C66EB" w:rsidRDefault="003C66EB">
            <w:pPr>
              <w:rPr>
                <w:rFonts w:ascii="宋体"/>
                <w:vanish/>
              </w:rPr>
            </w:pPr>
          </w:p>
        </w:tc>
        <w:tc>
          <w:tcPr>
            <w:tcW w:w="0" w:type="auto"/>
            <w:gridSpan w:val="3"/>
            <w:shd w:val="clear" w:color="auto" w:fill="auto"/>
          </w:tcPr>
          <w:p w14:paraId="5EA2557A" w14:textId="77777777" w:rsidR="003C66EB" w:rsidRDefault="003C66EB">
            <w:pPr>
              <w:rPr>
                <w:rFonts w:ascii="宋体"/>
                <w:vanish/>
              </w:rPr>
            </w:pPr>
          </w:p>
        </w:tc>
        <w:tc>
          <w:tcPr>
            <w:tcW w:w="0" w:type="auto"/>
            <w:gridSpan w:val="3"/>
            <w:shd w:val="clear" w:color="auto" w:fill="auto"/>
          </w:tcPr>
          <w:p w14:paraId="5EA2557B" w14:textId="77777777" w:rsidR="003C66EB" w:rsidRDefault="003C66EB">
            <w:pPr>
              <w:rPr>
                <w:rFonts w:ascii="宋体"/>
                <w:vanish/>
              </w:rPr>
            </w:pPr>
          </w:p>
        </w:tc>
        <w:tc>
          <w:tcPr>
            <w:tcW w:w="0" w:type="auto"/>
            <w:gridSpan w:val="3"/>
            <w:shd w:val="clear" w:color="auto" w:fill="auto"/>
          </w:tcPr>
          <w:p w14:paraId="5EA2557C" w14:textId="77777777" w:rsidR="003C66EB" w:rsidRDefault="003C66EB">
            <w:pPr>
              <w:rPr>
                <w:rFonts w:ascii="宋体"/>
                <w:vanish/>
              </w:rPr>
            </w:pPr>
          </w:p>
        </w:tc>
        <w:tc>
          <w:tcPr>
            <w:tcW w:w="0" w:type="auto"/>
            <w:gridSpan w:val="3"/>
            <w:shd w:val="clear" w:color="auto" w:fill="auto"/>
          </w:tcPr>
          <w:p w14:paraId="5EA2557D" w14:textId="77777777" w:rsidR="003C66EB" w:rsidRDefault="003C66EB">
            <w:pPr>
              <w:rPr>
                <w:rFonts w:ascii="宋体"/>
                <w:vanish/>
              </w:rPr>
            </w:pPr>
          </w:p>
        </w:tc>
      </w:tr>
      <w:tr w:rsidR="003C66EB" w14:paraId="5EA25585" w14:textId="77777777">
        <w:trPr>
          <w:hidden/>
        </w:trPr>
        <w:tc>
          <w:tcPr>
            <w:tcW w:w="0" w:type="auto"/>
            <w:gridSpan w:val="3"/>
            <w:shd w:val="clear" w:color="auto" w:fill="auto"/>
          </w:tcPr>
          <w:p w14:paraId="5EA2557F" w14:textId="77777777" w:rsidR="003C66EB" w:rsidRDefault="003C66EB">
            <w:pPr>
              <w:rPr>
                <w:rFonts w:ascii="宋体"/>
                <w:vanish/>
              </w:rPr>
            </w:pPr>
          </w:p>
        </w:tc>
        <w:tc>
          <w:tcPr>
            <w:tcW w:w="0" w:type="auto"/>
            <w:gridSpan w:val="3"/>
            <w:shd w:val="clear" w:color="auto" w:fill="auto"/>
          </w:tcPr>
          <w:p w14:paraId="5EA25580" w14:textId="77777777" w:rsidR="003C66EB" w:rsidRDefault="003C66EB">
            <w:pPr>
              <w:rPr>
                <w:rFonts w:ascii="宋体"/>
                <w:vanish/>
              </w:rPr>
            </w:pPr>
          </w:p>
        </w:tc>
        <w:tc>
          <w:tcPr>
            <w:tcW w:w="0" w:type="auto"/>
            <w:gridSpan w:val="3"/>
            <w:shd w:val="clear" w:color="auto" w:fill="auto"/>
          </w:tcPr>
          <w:p w14:paraId="5EA25581" w14:textId="77777777" w:rsidR="003C66EB" w:rsidRDefault="003C66EB">
            <w:pPr>
              <w:rPr>
                <w:rFonts w:ascii="宋体"/>
                <w:vanish/>
              </w:rPr>
            </w:pPr>
          </w:p>
        </w:tc>
        <w:tc>
          <w:tcPr>
            <w:tcW w:w="0" w:type="auto"/>
            <w:gridSpan w:val="3"/>
            <w:shd w:val="clear" w:color="auto" w:fill="auto"/>
          </w:tcPr>
          <w:p w14:paraId="5EA25582" w14:textId="77777777" w:rsidR="003C66EB" w:rsidRDefault="003C66EB">
            <w:pPr>
              <w:rPr>
                <w:rFonts w:ascii="宋体"/>
                <w:vanish/>
              </w:rPr>
            </w:pPr>
          </w:p>
        </w:tc>
        <w:tc>
          <w:tcPr>
            <w:tcW w:w="0" w:type="auto"/>
            <w:gridSpan w:val="3"/>
            <w:shd w:val="clear" w:color="auto" w:fill="auto"/>
          </w:tcPr>
          <w:p w14:paraId="5EA25583" w14:textId="77777777" w:rsidR="003C66EB" w:rsidRDefault="003C66EB">
            <w:pPr>
              <w:rPr>
                <w:rFonts w:ascii="宋体"/>
                <w:vanish/>
              </w:rPr>
            </w:pPr>
          </w:p>
        </w:tc>
        <w:tc>
          <w:tcPr>
            <w:tcW w:w="0" w:type="auto"/>
            <w:gridSpan w:val="3"/>
            <w:shd w:val="clear" w:color="auto" w:fill="auto"/>
          </w:tcPr>
          <w:p w14:paraId="5EA25584" w14:textId="77777777" w:rsidR="003C66EB" w:rsidRDefault="003C66EB">
            <w:pPr>
              <w:rPr>
                <w:rFonts w:ascii="宋体"/>
                <w:vanish/>
              </w:rPr>
            </w:pPr>
          </w:p>
        </w:tc>
      </w:tr>
      <w:tr w:rsidR="003C66EB" w14:paraId="5EA2558C" w14:textId="77777777">
        <w:trPr>
          <w:hidden/>
        </w:trPr>
        <w:tc>
          <w:tcPr>
            <w:tcW w:w="0" w:type="auto"/>
            <w:gridSpan w:val="3"/>
            <w:shd w:val="clear" w:color="auto" w:fill="auto"/>
          </w:tcPr>
          <w:p w14:paraId="5EA25586" w14:textId="77777777" w:rsidR="003C66EB" w:rsidRDefault="003C66EB">
            <w:pPr>
              <w:rPr>
                <w:rFonts w:ascii="宋体"/>
                <w:vanish/>
              </w:rPr>
            </w:pPr>
          </w:p>
        </w:tc>
        <w:tc>
          <w:tcPr>
            <w:tcW w:w="0" w:type="auto"/>
            <w:gridSpan w:val="3"/>
            <w:shd w:val="clear" w:color="auto" w:fill="auto"/>
          </w:tcPr>
          <w:p w14:paraId="5EA25587" w14:textId="77777777" w:rsidR="003C66EB" w:rsidRDefault="003C66EB">
            <w:pPr>
              <w:rPr>
                <w:rFonts w:ascii="宋体"/>
                <w:vanish/>
              </w:rPr>
            </w:pPr>
          </w:p>
        </w:tc>
        <w:tc>
          <w:tcPr>
            <w:tcW w:w="0" w:type="auto"/>
            <w:gridSpan w:val="3"/>
            <w:shd w:val="clear" w:color="auto" w:fill="auto"/>
          </w:tcPr>
          <w:p w14:paraId="5EA25588" w14:textId="77777777" w:rsidR="003C66EB" w:rsidRDefault="003C66EB">
            <w:pPr>
              <w:rPr>
                <w:rFonts w:ascii="宋体"/>
                <w:vanish/>
              </w:rPr>
            </w:pPr>
          </w:p>
        </w:tc>
        <w:tc>
          <w:tcPr>
            <w:tcW w:w="0" w:type="auto"/>
            <w:gridSpan w:val="3"/>
            <w:shd w:val="clear" w:color="auto" w:fill="auto"/>
          </w:tcPr>
          <w:p w14:paraId="5EA25589" w14:textId="77777777" w:rsidR="003C66EB" w:rsidRDefault="003C66EB">
            <w:pPr>
              <w:rPr>
                <w:rFonts w:ascii="宋体"/>
                <w:vanish/>
              </w:rPr>
            </w:pPr>
          </w:p>
        </w:tc>
        <w:tc>
          <w:tcPr>
            <w:tcW w:w="0" w:type="auto"/>
            <w:gridSpan w:val="3"/>
            <w:shd w:val="clear" w:color="auto" w:fill="auto"/>
          </w:tcPr>
          <w:p w14:paraId="5EA2558A" w14:textId="77777777" w:rsidR="003C66EB" w:rsidRDefault="003C66EB">
            <w:pPr>
              <w:rPr>
                <w:rFonts w:ascii="宋体"/>
                <w:vanish/>
              </w:rPr>
            </w:pPr>
          </w:p>
        </w:tc>
        <w:tc>
          <w:tcPr>
            <w:tcW w:w="0" w:type="auto"/>
            <w:gridSpan w:val="3"/>
            <w:shd w:val="clear" w:color="auto" w:fill="auto"/>
          </w:tcPr>
          <w:p w14:paraId="5EA2558B" w14:textId="77777777" w:rsidR="003C66EB" w:rsidRDefault="003C66EB">
            <w:pPr>
              <w:rPr>
                <w:rFonts w:ascii="宋体"/>
                <w:vanish/>
              </w:rPr>
            </w:pPr>
          </w:p>
        </w:tc>
      </w:tr>
      <w:tr w:rsidR="003C66EB" w14:paraId="5EA25593" w14:textId="77777777">
        <w:trPr>
          <w:hidden/>
        </w:trPr>
        <w:tc>
          <w:tcPr>
            <w:tcW w:w="0" w:type="auto"/>
            <w:gridSpan w:val="3"/>
            <w:shd w:val="clear" w:color="auto" w:fill="auto"/>
          </w:tcPr>
          <w:p w14:paraId="5EA2558D" w14:textId="77777777" w:rsidR="003C66EB" w:rsidRDefault="003C66EB">
            <w:pPr>
              <w:rPr>
                <w:rFonts w:ascii="宋体"/>
                <w:vanish/>
              </w:rPr>
            </w:pPr>
          </w:p>
        </w:tc>
        <w:tc>
          <w:tcPr>
            <w:tcW w:w="0" w:type="auto"/>
            <w:gridSpan w:val="3"/>
            <w:shd w:val="clear" w:color="auto" w:fill="auto"/>
          </w:tcPr>
          <w:p w14:paraId="5EA2558E" w14:textId="77777777" w:rsidR="003C66EB" w:rsidRDefault="003C66EB">
            <w:pPr>
              <w:rPr>
                <w:rFonts w:ascii="宋体"/>
                <w:vanish/>
              </w:rPr>
            </w:pPr>
          </w:p>
        </w:tc>
        <w:tc>
          <w:tcPr>
            <w:tcW w:w="0" w:type="auto"/>
            <w:gridSpan w:val="3"/>
            <w:shd w:val="clear" w:color="auto" w:fill="auto"/>
          </w:tcPr>
          <w:p w14:paraId="5EA2558F" w14:textId="77777777" w:rsidR="003C66EB" w:rsidRDefault="003C66EB">
            <w:pPr>
              <w:rPr>
                <w:rFonts w:ascii="宋体"/>
                <w:vanish/>
              </w:rPr>
            </w:pPr>
          </w:p>
        </w:tc>
        <w:tc>
          <w:tcPr>
            <w:tcW w:w="0" w:type="auto"/>
            <w:gridSpan w:val="3"/>
            <w:shd w:val="clear" w:color="auto" w:fill="auto"/>
          </w:tcPr>
          <w:p w14:paraId="5EA25590" w14:textId="77777777" w:rsidR="003C66EB" w:rsidRDefault="003C66EB">
            <w:pPr>
              <w:rPr>
                <w:rFonts w:ascii="宋体"/>
                <w:vanish/>
              </w:rPr>
            </w:pPr>
          </w:p>
        </w:tc>
        <w:tc>
          <w:tcPr>
            <w:tcW w:w="0" w:type="auto"/>
            <w:gridSpan w:val="3"/>
            <w:shd w:val="clear" w:color="auto" w:fill="auto"/>
          </w:tcPr>
          <w:p w14:paraId="5EA25591" w14:textId="77777777" w:rsidR="003C66EB" w:rsidRDefault="003C66EB">
            <w:pPr>
              <w:rPr>
                <w:rFonts w:ascii="宋体"/>
                <w:vanish/>
              </w:rPr>
            </w:pPr>
          </w:p>
        </w:tc>
        <w:tc>
          <w:tcPr>
            <w:tcW w:w="0" w:type="auto"/>
            <w:gridSpan w:val="3"/>
            <w:shd w:val="clear" w:color="auto" w:fill="auto"/>
          </w:tcPr>
          <w:p w14:paraId="5EA25592" w14:textId="77777777" w:rsidR="003C66EB" w:rsidRDefault="003C66EB">
            <w:pPr>
              <w:rPr>
                <w:rFonts w:ascii="宋体"/>
                <w:vanish/>
              </w:rPr>
            </w:pPr>
          </w:p>
        </w:tc>
      </w:tr>
      <w:tr w:rsidR="003C66EB" w14:paraId="5EA2559A" w14:textId="77777777">
        <w:trPr>
          <w:hidden/>
        </w:trPr>
        <w:tc>
          <w:tcPr>
            <w:tcW w:w="0" w:type="auto"/>
            <w:gridSpan w:val="3"/>
            <w:shd w:val="clear" w:color="auto" w:fill="auto"/>
          </w:tcPr>
          <w:p w14:paraId="5EA25594" w14:textId="77777777" w:rsidR="003C66EB" w:rsidRDefault="003C66EB">
            <w:pPr>
              <w:rPr>
                <w:rFonts w:ascii="宋体"/>
                <w:vanish/>
              </w:rPr>
            </w:pPr>
          </w:p>
        </w:tc>
        <w:tc>
          <w:tcPr>
            <w:tcW w:w="0" w:type="auto"/>
            <w:gridSpan w:val="3"/>
            <w:shd w:val="clear" w:color="auto" w:fill="auto"/>
          </w:tcPr>
          <w:p w14:paraId="5EA25595" w14:textId="77777777" w:rsidR="003C66EB" w:rsidRDefault="003C66EB">
            <w:pPr>
              <w:rPr>
                <w:rFonts w:ascii="宋体"/>
                <w:vanish/>
              </w:rPr>
            </w:pPr>
          </w:p>
        </w:tc>
        <w:tc>
          <w:tcPr>
            <w:tcW w:w="0" w:type="auto"/>
            <w:gridSpan w:val="3"/>
            <w:shd w:val="clear" w:color="auto" w:fill="auto"/>
          </w:tcPr>
          <w:p w14:paraId="5EA25596" w14:textId="77777777" w:rsidR="003C66EB" w:rsidRDefault="003C66EB">
            <w:pPr>
              <w:rPr>
                <w:rFonts w:ascii="宋体"/>
                <w:vanish/>
              </w:rPr>
            </w:pPr>
          </w:p>
        </w:tc>
        <w:tc>
          <w:tcPr>
            <w:tcW w:w="0" w:type="auto"/>
            <w:gridSpan w:val="3"/>
            <w:shd w:val="clear" w:color="auto" w:fill="auto"/>
          </w:tcPr>
          <w:p w14:paraId="5EA25597" w14:textId="77777777" w:rsidR="003C66EB" w:rsidRDefault="003C66EB">
            <w:pPr>
              <w:rPr>
                <w:rFonts w:ascii="宋体"/>
                <w:vanish/>
              </w:rPr>
            </w:pPr>
          </w:p>
        </w:tc>
        <w:tc>
          <w:tcPr>
            <w:tcW w:w="0" w:type="auto"/>
            <w:gridSpan w:val="3"/>
            <w:shd w:val="clear" w:color="auto" w:fill="auto"/>
          </w:tcPr>
          <w:p w14:paraId="5EA25598" w14:textId="77777777" w:rsidR="003C66EB" w:rsidRDefault="003C66EB">
            <w:pPr>
              <w:rPr>
                <w:rFonts w:ascii="宋体"/>
                <w:vanish/>
              </w:rPr>
            </w:pPr>
          </w:p>
        </w:tc>
        <w:tc>
          <w:tcPr>
            <w:tcW w:w="0" w:type="auto"/>
            <w:gridSpan w:val="3"/>
            <w:shd w:val="clear" w:color="auto" w:fill="auto"/>
          </w:tcPr>
          <w:p w14:paraId="5EA25599" w14:textId="77777777" w:rsidR="003C66EB" w:rsidRDefault="003C66EB">
            <w:pPr>
              <w:rPr>
                <w:rFonts w:ascii="宋体"/>
                <w:vanish/>
              </w:rPr>
            </w:pPr>
          </w:p>
        </w:tc>
      </w:tr>
      <w:tr w:rsidR="003C66EB" w14:paraId="5EA255A7" w14:textId="77777777">
        <w:tc>
          <w:tcPr>
            <w:tcW w:w="0" w:type="auto"/>
            <w:gridSpan w:val="3"/>
            <w:shd w:val="clear" w:color="auto" w:fill="CCEEFF"/>
            <w:tcMar>
              <w:top w:w="40" w:type="dxa"/>
              <w:left w:w="20" w:type="dxa"/>
              <w:bottom w:w="40" w:type="dxa"/>
              <w:right w:w="20" w:type="dxa"/>
            </w:tcMar>
            <w:vAlign w:val="bottom"/>
          </w:tcPr>
          <w:p w14:paraId="5EA2559B" w14:textId="77777777" w:rsidR="003C66EB" w:rsidRDefault="00D96C4E">
            <w:pPr>
              <w:textAlignment w:val="bottom"/>
            </w:pPr>
            <w:r>
              <w:rPr>
                <w:rFonts w:ascii="Arial" w:eastAsia="宋体" w:hAnsi="Arial" w:cs="Arial"/>
                <w:b/>
                <w:bCs/>
                <w:color w:val="000000"/>
                <w:sz w:val="15"/>
                <w:szCs w:val="15"/>
              </w:rPr>
              <w:t>Ending balance December 31, 2019</w:t>
            </w:r>
          </w:p>
        </w:tc>
        <w:tc>
          <w:tcPr>
            <w:tcW w:w="0" w:type="auto"/>
            <w:shd w:val="clear" w:color="auto" w:fill="CCEEFF"/>
            <w:tcMar>
              <w:top w:w="40" w:type="dxa"/>
              <w:left w:w="20" w:type="dxa"/>
              <w:bottom w:w="40" w:type="dxa"/>
              <w:right w:w="0" w:type="dxa"/>
            </w:tcMar>
            <w:vAlign w:val="bottom"/>
          </w:tcPr>
          <w:p w14:paraId="5EA2559C"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59D" w14:textId="77777777" w:rsidR="003C66EB" w:rsidRDefault="00D96C4E">
            <w:pPr>
              <w:jc w:val="right"/>
              <w:textAlignment w:val="bottom"/>
            </w:pPr>
            <w:r>
              <w:rPr>
                <w:rFonts w:ascii="Arial" w:eastAsia="宋体" w:hAnsi="Arial" w:cs="Arial"/>
                <w:color w:val="000000"/>
                <w:sz w:val="15"/>
                <w:szCs w:val="15"/>
              </w:rPr>
              <w:t>7,289 </w:t>
            </w:r>
          </w:p>
        </w:tc>
        <w:tc>
          <w:tcPr>
            <w:tcW w:w="0" w:type="auto"/>
            <w:shd w:val="clear" w:color="auto" w:fill="CCEEFF"/>
            <w:tcMar>
              <w:top w:w="40" w:type="dxa"/>
              <w:left w:w="0" w:type="dxa"/>
              <w:bottom w:w="40" w:type="dxa"/>
              <w:right w:w="20" w:type="dxa"/>
            </w:tcMar>
            <w:vAlign w:val="bottom"/>
          </w:tcPr>
          <w:p w14:paraId="5EA255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59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5A0"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5A1" w14:textId="77777777" w:rsidR="003C66EB" w:rsidRDefault="00D96C4E">
            <w:pPr>
              <w:jc w:val="right"/>
              <w:textAlignment w:val="bottom"/>
            </w:pPr>
            <w:r>
              <w:rPr>
                <w:rFonts w:ascii="Arial" w:eastAsia="宋体" w:hAnsi="Arial" w:cs="Arial"/>
                <w:color w:val="000000"/>
                <w:sz w:val="15"/>
                <w:szCs w:val="15"/>
              </w:rPr>
              <w:t>267 </w:t>
            </w:r>
          </w:p>
        </w:tc>
        <w:tc>
          <w:tcPr>
            <w:tcW w:w="0" w:type="auto"/>
            <w:shd w:val="clear" w:color="auto" w:fill="CCEEFF"/>
            <w:tcMar>
              <w:top w:w="40" w:type="dxa"/>
              <w:left w:w="0" w:type="dxa"/>
              <w:bottom w:w="40" w:type="dxa"/>
              <w:right w:w="20" w:type="dxa"/>
            </w:tcMar>
            <w:vAlign w:val="bottom"/>
          </w:tcPr>
          <w:p w14:paraId="5EA255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5A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5A4"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5A5" w14:textId="77777777" w:rsidR="003C66EB" w:rsidRDefault="00D96C4E">
            <w:pPr>
              <w:jc w:val="right"/>
              <w:textAlignment w:val="bottom"/>
            </w:pPr>
            <w:r>
              <w:rPr>
                <w:rFonts w:ascii="Arial" w:eastAsia="宋体" w:hAnsi="Arial" w:cs="Arial"/>
                <w:color w:val="000000"/>
                <w:sz w:val="15"/>
                <w:szCs w:val="15"/>
              </w:rPr>
              <w:t>7,556 </w:t>
            </w:r>
          </w:p>
        </w:tc>
        <w:tc>
          <w:tcPr>
            <w:tcW w:w="0" w:type="auto"/>
            <w:shd w:val="clear" w:color="auto" w:fill="CCEEFF"/>
            <w:tcMar>
              <w:top w:w="40" w:type="dxa"/>
              <w:left w:w="0" w:type="dxa"/>
              <w:bottom w:w="40" w:type="dxa"/>
              <w:right w:w="20" w:type="dxa"/>
            </w:tcMar>
            <w:vAlign w:val="bottom"/>
          </w:tcPr>
          <w:p w14:paraId="5EA255A6" w14:textId="77777777" w:rsidR="003C66EB" w:rsidRDefault="003C66EB">
            <w:pPr>
              <w:jc w:val="right"/>
              <w:rPr>
                <w:rFonts w:ascii="宋体"/>
              </w:rPr>
            </w:pPr>
          </w:p>
        </w:tc>
      </w:tr>
      <w:tr w:rsidR="003C66EB" w14:paraId="5EA255AE" w14:textId="77777777">
        <w:trPr>
          <w:hidden/>
        </w:trPr>
        <w:tc>
          <w:tcPr>
            <w:tcW w:w="0" w:type="auto"/>
            <w:gridSpan w:val="3"/>
            <w:shd w:val="clear" w:color="auto" w:fill="auto"/>
          </w:tcPr>
          <w:p w14:paraId="5EA255A8" w14:textId="77777777" w:rsidR="003C66EB" w:rsidRDefault="003C66EB">
            <w:pPr>
              <w:rPr>
                <w:rFonts w:ascii="宋体"/>
                <w:vanish/>
              </w:rPr>
            </w:pPr>
          </w:p>
        </w:tc>
        <w:tc>
          <w:tcPr>
            <w:tcW w:w="0" w:type="auto"/>
            <w:gridSpan w:val="3"/>
            <w:shd w:val="clear" w:color="auto" w:fill="auto"/>
          </w:tcPr>
          <w:p w14:paraId="5EA255A9" w14:textId="77777777" w:rsidR="003C66EB" w:rsidRDefault="003C66EB">
            <w:pPr>
              <w:rPr>
                <w:rFonts w:ascii="宋体"/>
                <w:vanish/>
              </w:rPr>
            </w:pPr>
          </w:p>
        </w:tc>
        <w:tc>
          <w:tcPr>
            <w:tcW w:w="0" w:type="auto"/>
            <w:gridSpan w:val="3"/>
            <w:shd w:val="clear" w:color="auto" w:fill="auto"/>
          </w:tcPr>
          <w:p w14:paraId="5EA255AA" w14:textId="77777777" w:rsidR="003C66EB" w:rsidRDefault="003C66EB">
            <w:pPr>
              <w:rPr>
                <w:rFonts w:ascii="宋体"/>
                <w:vanish/>
              </w:rPr>
            </w:pPr>
          </w:p>
        </w:tc>
        <w:tc>
          <w:tcPr>
            <w:tcW w:w="0" w:type="auto"/>
            <w:gridSpan w:val="3"/>
            <w:shd w:val="clear" w:color="auto" w:fill="auto"/>
          </w:tcPr>
          <w:p w14:paraId="5EA255AB" w14:textId="77777777" w:rsidR="003C66EB" w:rsidRDefault="003C66EB">
            <w:pPr>
              <w:rPr>
                <w:rFonts w:ascii="宋体"/>
                <w:vanish/>
              </w:rPr>
            </w:pPr>
          </w:p>
        </w:tc>
        <w:tc>
          <w:tcPr>
            <w:tcW w:w="0" w:type="auto"/>
            <w:gridSpan w:val="3"/>
            <w:shd w:val="clear" w:color="auto" w:fill="auto"/>
          </w:tcPr>
          <w:p w14:paraId="5EA255AC" w14:textId="77777777" w:rsidR="003C66EB" w:rsidRDefault="003C66EB">
            <w:pPr>
              <w:rPr>
                <w:rFonts w:ascii="宋体"/>
                <w:vanish/>
              </w:rPr>
            </w:pPr>
          </w:p>
        </w:tc>
        <w:tc>
          <w:tcPr>
            <w:tcW w:w="0" w:type="auto"/>
            <w:gridSpan w:val="3"/>
            <w:shd w:val="clear" w:color="auto" w:fill="auto"/>
          </w:tcPr>
          <w:p w14:paraId="5EA255AD" w14:textId="77777777" w:rsidR="003C66EB" w:rsidRDefault="003C66EB">
            <w:pPr>
              <w:rPr>
                <w:rFonts w:ascii="宋体"/>
                <w:vanish/>
              </w:rPr>
            </w:pPr>
          </w:p>
        </w:tc>
      </w:tr>
      <w:tr w:rsidR="003C66EB" w14:paraId="5EA255B8" w14:textId="77777777">
        <w:tc>
          <w:tcPr>
            <w:tcW w:w="0" w:type="auto"/>
            <w:gridSpan w:val="3"/>
            <w:shd w:val="clear" w:color="auto" w:fill="FFFFFF"/>
            <w:tcMar>
              <w:top w:w="40" w:type="dxa"/>
              <w:left w:w="20" w:type="dxa"/>
              <w:bottom w:w="40" w:type="dxa"/>
              <w:right w:w="20" w:type="dxa"/>
            </w:tcMar>
            <w:vAlign w:val="bottom"/>
          </w:tcPr>
          <w:p w14:paraId="5EA255AF" w14:textId="77777777" w:rsidR="003C66EB" w:rsidRDefault="00D96C4E">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5EA255B0" w14:textId="77777777" w:rsidR="003C66EB" w:rsidRDefault="00D96C4E">
            <w:pPr>
              <w:jc w:val="right"/>
              <w:textAlignment w:val="bottom"/>
            </w:pPr>
            <w:r>
              <w:rPr>
                <w:rFonts w:ascii="Arial" w:eastAsia="宋体" w:hAnsi="Arial" w:cs="Arial"/>
                <w:color w:val="000000"/>
                <w:sz w:val="15"/>
                <w:szCs w:val="15"/>
              </w:rPr>
              <w:t>124 </w:t>
            </w:r>
          </w:p>
        </w:tc>
        <w:tc>
          <w:tcPr>
            <w:tcW w:w="0" w:type="auto"/>
            <w:shd w:val="clear" w:color="auto" w:fill="FFFFFF"/>
            <w:tcMar>
              <w:top w:w="40" w:type="dxa"/>
              <w:left w:w="0" w:type="dxa"/>
              <w:bottom w:w="40" w:type="dxa"/>
              <w:right w:w="20" w:type="dxa"/>
            </w:tcMar>
            <w:vAlign w:val="bottom"/>
          </w:tcPr>
          <w:p w14:paraId="5EA255B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B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5B3" w14:textId="77777777" w:rsidR="003C66EB" w:rsidRDefault="00D96C4E">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EA255B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B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5B6" w14:textId="77777777" w:rsidR="003C66EB" w:rsidRDefault="00D96C4E">
            <w:pPr>
              <w:jc w:val="right"/>
              <w:textAlignment w:val="bottom"/>
            </w:pPr>
            <w:r>
              <w:rPr>
                <w:rFonts w:ascii="Arial" w:eastAsia="宋体" w:hAnsi="Arial" w:cs="Arial"/>
                <w:color w:val="000000"/>
                <w:sz w:val="15"/>
                <w:szCs w:val="15"/>
              </w:rPr>
              <w:t>127 </w:t>
            </w:r>
          </w:p>
        </w:tc>
        <w:tc>
          <w:tcPr>
            <w:tcW w:w="0" w:type="auto"/>
            <w:shd w:val="clear" w:color="auto" w:fill="FFFFFF"/>
            <w:tcMar>
              <w:top w:w="40" w:type="dxa"/>
              <w:left w:w="0" w:type="dxa"/>
              <w:bottom w:w="40" w:type="dxa"/>
              <w:right w:w="20" w:type="dxa"/>
            </w:tcMar>
            <w:vAlign w:val="bottom"/>
          </w:tcPr>
          <w:p w14:paraId="5EA255B7" w14:textId="77777777" w:rsidR="003C66EB" w:rsidRDefault="003C66EB">
            <w:pPr>
              <w:jc w:val="right"/>
              <w:rPr>
                <w:rFonts w:ascii="宋体"/>
              </w:rPr>
            </w:pPr>
          </w:p>
        </w:tc>
      </w:tr>
      <w:tr w:rsidR="003C66EB" w14:paraId="5EA255C2" w14:textId="77777777">
        <w:tc>
          <w:tcPr>
            <w:tcW w:w="0" w:type="auto"/>
            <w:gridSpan w:val="3"/>
            <w:shd w:val="clear" w:color="auto" w:fill="CCEEFF"/>
            <w:tcMar>
              <w:top w:w="40" w:type="dxa"/>
              <w:left w:w="20" w:type="dxa"/>
              <w:bottom w:w="40" w:type="dxa"/>
              <w:right w:w="20" w:type="dxa"/>
            </w:tcMar>
            <w:vAlign w:val="bottom"/>
          </w:tcPr>
          <w:p w14:paraId="5EA255B9" w14:textId="77777777" w:rsidR="003C66EB" w:rsidRDefault="00D96C4E">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55BA" w14:textId="77777777" w:rsidR="003C66EB" w:rsidRDefault="00D96C4E">
            <w:pPr>
              <w:jc w:val="right"/>
              <w:textAlignment w:val="bottom"/>
            </w:pPr>
            <w:r>
              <w:rPr>
                <w:rFonts w:ascii="Arial" w:eastAsia="宋体" w:hAnsi="Arial" w:cs="Arial"/>
                <w:color w:val="000000"/>
                <w:sz w:val="15"/>
                <w:szCs w:val="15"/>
              </w:rPr>
              <w:t>7,413 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5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5B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55BD" w14:textId="77777777" w:rsidR="003C66EB" w:rsidRDefault="00D96C4E">
            <w:pPr>
              <w:jc w:val="right"/>
              <w:textAlignment w:val="bottom"/>
            </w:pPr>
            <w:r>
              <w:rPr>
                <w:rFonts w:ascii="Arial" w:eastAsia="宋体" w:hAnsi="Arial" w:cs="Arial"/>
                <w:color w:val="000000"/>
                <w:sz w:val="15"/>
                <w:szCs w:val="15"/>
              </w:rPr>
              <w:t>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5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5B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55C0" w14:textId="77777777" w:rsidR="003C66EB" w:rsidRDefault="00D96C4E">
            <w:pPr>
              <w:jc w:val="right"/>
              <w:textAlignment w:val="bottom"/>
            </w:pPr>
            <w:r>
              <w:rPr>
                <w:rFonts w:ascii="Arial" w:eastAsia="宋体" w:hAnsi="Arial" w:cs="Arial"/>
                <w:color w:val="000000"/>
                <w:sz w:val="15"/>
                <w:szCs w:val="15"/>
              </w:rPr>
              <w:t>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5C1" w14:textId="77777777" w:rsidR="003C66EB" w:rsidRDefault="003C66EB">
            <w:pPr>
              <w:jc w:val="right"/>
              <w:rPr>
                <w:rFonts w:ascii="宋体"/>
              </w:rPr>
            </w:pPr>
          </w:p>
        </w:tc>
      </w:tr>
      <w:tr w:rsidR="003C66EB" w14:paraId="5EA255CC" w14:textId="77777777">
        <w:tc>
          <w:tcPr>
            <w:tcW w:w="0" w:type="auto"/>
            <w:gridSpan w:val="3"/>
            <w:shd w:val="clear" w:color="auto" w:fill="FFFFFF"/>
            <w:tcMar>
              <w:top w:w="40" w:type="dxa"/>
              <w:left w:w="20" w:type="dxa"/>
              <w:bottom w:w="40" w:type="dxa"/>
              <w:right w:w="20" w:type="dxa"/>
            </w:tcMar>
            <w:vAlign w:val="bottom"/>
          </w:tcPr>
          <w:p w14:paraId="5EA255C3" w14:textId="77777777" w:rsidR="003C66EB" w:rsidRDefault="00D96C4E">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A255C4" w14:textId="77777777" w:rsidR="003C66EB" w:rsidRDefault="00D96C4E">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5C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C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5C7"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5C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C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5CA" w14:textId="77777777" w:rsidR="003C66EB" w:rsidRDefault="00D96C4E">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EA255CB" w14:textId="77777777" w:rsidR="003C66EB" w:rsidRDefault="003C66EB">
            <w:pPr>
              <w:jc w:val="right"/>
              <w:rPr>
                <w:rFonts w:ascii="宋体"/>
              </w:rPr>
            </w:pPr>
          </w:p>
        </w:tc>
      </w:tr>
      <w:tr w:rsidR="003C66EB" w14:paraId="5EA255D6" w14:textId="77777777">
        <w:tc>
          <w:tcPr>
            <w:tcW w:w="0" w:type="auto"/>
            <w:gridSpan w:val="3"/>
            <w:shd w:val="clear" w:color="auto" w:fill="CCEEFF"/>
            <w:tcMar>
              <w:top w:w="40" w:type="dxa"/>
              <w:left w:w="20" w:type="dxa"/>
              <w:bottom w:w="40" w:type="dxa"/>
              <w:right w:w="20" w:type="dxa"/>
            </w:tcMar>
            <w:vAlign w:val="bottom"/>
          </w:tcPr>
          <w:p w14:paraId="5EA255CD" w14:textId="77777777" w:rsidR="003C66EB" w:rsidRDefault="00D96C4E">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EA255CE" w14:textId="77777777" w:rsidR="003C66EB" w:rsidRDefault="00D96C4E">
            <w:pPr>
              <w:jc w:val="right"/>
              <w:textAlignment w:val="bottom"/>
            </w:pPr>
            <w:r>
              <w:rPr>
                <w:rFonts w:ascii="Arial" w:eastAsia="宋体" w:hAnsi="Arial" w:cs="Arial"/>
                <w:b/>
                <w:bCs/>
                <w:color w:val="000000"/>
                <w:sz w:val="15"/>
                <w:szCs w:val="15"/>
              </w:rPr>
              <w:t>(56)</w:t>
            </w:r>
          </w:p>
        </w:tc>
        <w:tc>
          <w:tcPr>
            <w:tcW w:w="0" w:type="auto"/>
            <w:shd w:val="clear" w:color="auto" w:fill="CCEEFF"/>
            <w:tcMar>
              <w:top w:w="40" w:type="dxa"/>
              <w:left w:w="0" w:type="dxa"/>
              <w:bottom w:w="40" w:type="dxa"/>
              <w:right w:w="20" w:type="dxa"/>
            </w:tcMar>
            <w:vAlign w:val="bottom"/>
          </w:tcPr>
          <w:p w14:paraId="5EA255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5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5D1"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5EA255D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5D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5D4" w14:textId="77777777" w:rsidR="003C66EB" w:rsidRDefault="00D96C4E">
            <w:pPr>
              <w:jc w:val="right"/>
              <w:textAlignment w:val="bottom"/>
            </w:pPr>
            <w:r>
              <w:rPr>
                <w:rFonts w:ascii="Arial" w:eastAsia="宋体" w:hAnsi="Arial" w:cs="Arial"/>
                <w:b/>
                <w:bCs/>
                <w:color w:val="000000"/>
                <w:sz w:val="15"/>
                <w:szCs w:val="15"/>
              </w:rPr>
              <w:t>(57)</w:t>
            </w:r>
          </w:p>
        </w:tc>
        <w:tc>
          <w:tcPr>
            <w:tcW w:w="0" w:type="auto"/>
            <w:shd w:val="clear" w:color="auto" w:fill="CCEEFF"/>
            <w:tcMar>
              <w:top w:w="40" w:type="dxa"/>
              <w:left w:w="0" w:type="dxa"/>
              <w:bottom w:w="40" w:type="dxa"/>
              <w:right w:w="20" w:type="dxa"/>
            </w:tcMar>
            <w:vAlign w:val="bottom"/>
          </w:tcPr>
          <w:p w14:paraId="5EA255D5" w14:textId="77777777" w:rsidR="003C66EB" w:rsidRDefault="003C66EB">
            <w:pPr>
              <w:jc w:val="right"/>
              <w:rPr>
                <w:rFonts w:ascii="宋体"/>
              </w:rPr>
            </w:pPr>
          </w:p>
        </w:tc>
      </w:tr>
      <w:tr w:rsidR="003C66EB" w14:paraId="5EA255E3" w14:textId="77777777">
        <w:tc>
          <w:tcPr>
            <w:tcW w:w="0" w:type="auto"/>
            <w:gridSpan w:val="3"/>
            <w:shd w:val="clear" w:color="auto" w:fill="FFFFFF"/>
            <w:tcMar>
              <w:top w:w="40" w:type="dxa"/>
              <w:left w:w="20" w:type="dxa"/>
              <w:bottom w:w="40" w:type="dxa"/>
              <w:right w:w="20" w:type="dxa"/>
            </w:tcMar>
            <w:vAlign w:val="bottom"/>
          </w:tcPr>
          <w:p w14:paraId="5EA255D7" w14:textId="77777777" w:rsidR="003C66EB" w:rsidRDefault="00D96C4E">
            <w:pPr>
              <w:textAlignment w:val="bottom"/>
            </w:pPr>
            <w:r>
              <w:rPr>
                <w:rFonts w:ascii="Arial" w:eastAsia="宋体" w:hAnsi="Arial" w:cs="Arial"/>
                <w:b/>
                <w:bCs/>
                <w:color w:val="000000"/>
                <w:sz w:val="15"/>
                <w:szCs w:val="15"/>
              </w:rPr>
              <w:t>Ending balance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D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D9" w14:textId="77777777" w:rsidR="003C66EB" w:rsidRDefault="00D96C4E">
            <w:pPr>
              <w:jc w:val="right"/>
              <w:textAlignment w:val="bottom"/>
            </w:pPr>
            <w:r>
              <w:rPr>
                <w:rFonts w:ascii="Arial" w:eastAsia="宋体" w:hAnsi="Arial" w:cs="Arial"/>
                <w:b/>
                <w:bCs/>
                <w:color w:val="000000"/>
                <w:sz w:val="15"/>
                <w:szCs w:val="15"/>
              </w:rPr>
              <w:t>7,360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D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D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DD" w14:textId="77777777" w:rsidR="003C66EB" w:rsidRDefault="00D96C4E">
            <w:pPr>
              <w:jc w:val="right"/>
              <w:textAlignment w:val="bottom"/>
            </w:pPr>
            <w:r>
              <w:rPr>
                <w:rFonts w:ascii="Arial" w:eastAsia="宋体" w:hAnsi="Arial" w:cs="Arial"/>
                <w:b/>
                <w:bCs/>
                <w:color w:val="000000"/>
                <w:sz w:val="15"/>
                <w:szCs w:val="15"/>
              </w:rPr>
              <w:t>269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5D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5E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5E1" w14:textId="77777777" w:rsidR="003C66EB" w:rsidRDefault="00D96C4E">
            <w:pPr>
              <w:jc w:val="right"/>
              <w:textAlignment w:val="bottom"/>
            </w:pPr>
            <w:r>
              <w:rPr>
                <w:rFonts w:ascii="Arial" w:eastAsia="宋体" w:hAnsi="Arial" w:cs="Arial"/>
                <w:b/>
                <w:bCs/>
                <w:color w:val="000000"/>
                <w:sz w:val="15"/>
                <w:szCs w:val="15"/>
              </w:rPr>
              <w:t>7,629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5E2" w14:textId="77777777" w:rsidR="003C66EB" w:rsidRDefault="003C66EB">
            <w:pPr>
              <w:jc w:val="right"/>
              <w:rPr>
                <w:rFonts w:ascii="宋体"/>
              </w:rPr>
            </w:pPr>
          </w:p>
        </w:tc>
      </w:tr>
    </w:tbl>
    <w:p w14:paraId="5EA255E4"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3C66EB" w14:paraId="5EA255EB" w14:textId="77777777">
        <w:tc>
          <w:tcPr>
            <w:tcW w:w="50" w:type="pct"/>
            <w:shd w:val="clear" w:color="auto" w:fill="auto"/>
          </w:tcPr>
          <w:p w14:paraId="5EA255E5" w14:textId="77777777" w:rsidR="003C66EB" w:rsidRDefault="003C66EB">
            <w:pPr>
              <w:rPr>
                <w:rFonts w:ascii="宋体"/>
              </w:rPr>
            </w:pPr>
          </w:p>
        </w:tc>
        <w:tc>
          <w:tcPr>
            <w:tcW w:w="2907" w:type="pct"/>
            <w:shd w:val="clear" w:color="auto" w:fill="auto"/>
          </w:tcPr>
          <w:p w14:paraId="5EA255E6" w14:textId="77777777" w:rsidR="003C66EB" w:rsidRDefault="003C66EB">
            <w:pPr>
              <w:rPr>
                <w:rFonts w:ascii="宋体"/>
              </w:rPr>
            </w:pPr>
          </w:p>
        </w:tc>
        <w:tc>
          <w:tcPr>
            <w:tcW w:w="5" w:type="pct"/>
            <w:shd w:val="clear" w:color="auto" w:fill="auto"/>
          </w:tcPr>
          <w:p w14:paraId="5EA255E7" w14:textId="77777777" w:rsidR="003C66EB" w:rsidRDefault="003C66EB">
            <w:pPr>
              <w:rPr>
                <w:rFonts w:ascii="宋体"/>
              </w:rPr>
            </w:pPr>
          </w:p>
        </w:tc>
        <w:tc>
          <w:tcPr>
            <w:tcW w:w="50" w:type="pct"/>
            <w:shd w:val="clear" w:color="auto" w:fill="auto"/>
          </w:tcPr>
          <w:p w14:paraId="5EA255E8" w14:textId="77777777" w:rsidR="003C66EB" w:rsidRDefault="003C66EB">
            <w:pPr>
              <w:rPr>
                <w:rFonts w:ascii="宋体"/>
              </w:rPr>
            </w:pPr>
          </w:p>
        </w:tc>
        <w:tc>
          <w:tcPr>
            <w:tcW w:w="1982" w:type="pct"/>
            <w:shd w:val="clear" w:color="auto" w:fill="auto"/>
          </w:tcPr>
          <w:p w14:paraId="5EA255E9" w14:textId="77777777" w:rsidR="003C66EB" w:rsidRDefault="003C66EB">
            <w:pPr>
              <w:rPr>
                <w:rFonts w:ascii="宋体"/>
              </w:rPr>
            </w:pPr>
          </w:p>
        </w:tc>
        <w:tc>
          <w:tcPr>
            <w:tcW w:w="5" w:type="pct"/>
            <w:shd w:val="clear" w:color="auto" w:fill="auto"/>
          </w:tcPr>
          <w:p w14:paraId="5EA255EA" w14:textId="77777777" w:rsidR="003C66EB" w:rsidRDefault="003C66EB">
            <w:pPr>
              <w:rPr>
                <w:rFonts w:ascii="宋体"/>
              </w:rPr>
            </w:pPr>
          </w:p>
        </w:tc>
      </w:tr>
      <w:tr w:rsidR="003C66EB" w14:paraId="5EA255E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5E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5ED" w14:textId="77777777" w:rsidR="003C66EB" w:rsidRDefault="003C66EB">
            <w:pPr>
              <w:rPr>
                <w:rFonts w:ascii="宋体"/>
              </w:rPr>
            </w:pPr>
          </w:p>
        </w:tc>
      </w:tr>
    </w:tbl>
    <w:p w14:paraId="5EA255EF" w14:textId="77777777" w:rsidR="003C66EB" w:rsidRDefault="00D96C4E">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 </w:t>
      </w:r>
    </w:p>
    <w:p w14:paraId="5EA255F0" w14:textId="77777777" w:rsidR="003C66EB" w:rsidRDefault="00D96C4E">
      <w:pPr>
        <w:spacing w:before="9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On March 31, 2021, Investment Servicing includes our acquisition of the depositary bank and fund administrator activities of Fideuram Bank Luxembourg, a subsidiary of Intesa Sanpaolo, with a total purchase price of approximately EUR 220 million or approxi</w:t>
      </w:r>
      <w:r>
        <w:rPr>
          <w:rFonts w:ascii="Arial" w:eastAsia="宋体" w:hAnsi="Arial" w:cs="Arial"/>
          <w:color w:val="000000"/>
          <w:sz w:val="13"/>
          <w:szCs w:val="13"/>
        </w:rPr>
        <w:t>mately $258 million. We accounted for this acquisition of a going concern as a business combination and, in accordance with ASC Topic 805, Business Combinations, we have recorded assets acquired and liabilities assumed at their respective fair values as of</w:t>
      </w:r>
      <w:r>
        <w:rPr>
          <w:rFonts w:ascii="Arial" w:eastAsia="宋体" w:hAnsi="Arial" w:cs="Arial"/>
          <w:color w:val="000000"/>
          <w:sz w:val="13"/>
          <w:szCs w:val="13"/>
        </w:rPr>
        <w:t xml:space="preserve"> the acquisition date. The purchase price accounting reflected is provisional and is based upon estimates and assumptions that are subject to change within the measurement period (up to one year from the acquisition date pursuant to ASC 805). The measureme</w:t>
      </w:r>
      <w:r>
        <w:rPr>
          <w:rFonts w:ascii="Arial" w:eastAsia="宋体" w:hAnsi="Arial" w:cs="Arial"/>
          <w:color w:val="000000"/>
          <w:sz w:val="13"/>
          <w:szCs w:val="13"/>
        </w:rPr>
        <w:t xml:space="preserve">nt period remains open pending the completion of valuation procedures related to the acquired assets and assumed liabilities, primarily the identifiable intangible assets. </w:t>
      </w:r>
    </w:p>
    <w:p w14:paraId="5EA255F1" w14:textId="77777777" w:rsidR="003C66EB" w:rsidRDefault="00D96C4E">
      <w:pPr>
        <w:spacing w:before="60"/>
        <w:ind w:firstLine="450"/>
        <w:jc w:val="both"/>
        <w:textAlignment w:val="top"/>
      </w:pPr>
      <w:r>
        <w:rPr>
          <w:rFonts w:ascii="Arial" w:eastAsia="宋体" w:hAnsi="Arial" w:cs="Arial"/>
          <w:color w:val="000000"/>
          <w:sz w:val="20"/>
          <w:szCs w:val="20"/>
        </w:rPr>
        <w:t xml:space="preserve">The following table presents changes in the net carrying amount of other </w:t>
      </w:r>
      <w:r>
        <w:rPr>
          <w:rFonts w:ascii="Arial" w:eastAsia="宋体" w:hAnsi="Arial" w:cs="Arial"/>
          <w:color w:val="000000"/>
          <w:sz w:val="20"/>
          <w:szCs w:val="20"/>
        </w:rPr>
        <w:t>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620"/>
        <w:gridCol w:w="39"/>
        <w:gridCol w:w="105"/>
        <w:gridCol w:w="1625"/>
        <w:gridCol w:w="36"/>
        <w:gridCol w:w="36"/>
        <w:gridCol w:w="72"/>
        <w:gridCol w:w="36"/>
        <w:gridCol w:w="105"/>
        <w:gridCol w:w="1676"/>
        <w:gridCol w:w="36"/>
        <w:gridCol w:w="36"/>
        <w:gridCol w:w="72"/>
        <w:gridCol w:w="36"/>
        <w:gridCol w:w="104"/>
        <w:gridCol w:w="1625"/>
        <w:gridCol w:w="36"/>
      </w:tblGrid>
      <w:tr w:rsidR="003C66EB" w14:paraId="5EA25604" w14:textId="77777777">
        <w:tc>
          <w:tcPr>
            <w:tcW w:w="50" w:type="pct"/>
            <w:shd w:val="clear" w:color="auto" w:fill="auto"/>
          </w:tcPr>
          <w:p w14:paraId="5EA255F2" w14:textId="77777777" w:rsidR="003C66EB" w:rsidRDefault="003C66EB">
            <w:pPr>
              <w:rPr>
                <w:rFonts w:ascii="宋体"/>
              </w:rPr>
            </w:pPr>
          </w:p>
        </w:tc>
        <w:tc>
          <w:tcPr>
            <w:tcW w:w="1595" w:type="pct"/>
            <w:shd w:val="clear" w:color="auto" w:fill="auto"/>
          </w:tcPr>
          <w:p w14:paraId="5EA255F3" w14:textId="77777777" w:rsidR="003C66EB" w:rsidRDefault="003C66EB">
            <w:pPr>
              <w:rPr>
                <w:rFonts w:ascii="宋体"/>
              </w:rPr>
            </w:pPr>
          </w:p>
        </w:tc>
        <w:tc>
          <w:tcPr>
            <w:tcW w:w="5" w:type="pct"/>
            <w:shd w:val="clear" w:color="auto" w:fill="auto"/>
          </w:tcPr>
          <w:p w14:paraId="5EA255F4" w14:textId="77777777" w:rsidR="003C66EB" w:rsidRDefault="003C66EB">
            <w:pPr>
              <w:rPr>
                <w:rFonts w:ascii="宋体"/>
              </w:rPr>
            </w:pPr>
          </w:p>
        </w:tc>
        <w:tc>
          <w:tcPr>
            <w:tcW w:w="50" w:type="pct"/>
            <w:shd w:val="clear" w:color="auto" w:fill="auto"/>
          </w:tcPr>
          <w:p w14:paraId="5EA255F5" w14:textId="77777777" w:rsidR="003C66EB" w:rsidRDefault="003C66EB">
            <w:pPr>
              <w:rPr>
                <w:rFonts w:ascii="宋体"/>
              </w:rPr>
            </w:pPr>
          </w:p>
        </w:tc>
        <w:tc>
          <w:tcPr>
            <w:tcW w:w="998" w:type="pct"/>
            <w:shd w:val="clear" w:color="auto" w:fill="auto"/>
          </w:tcPr>
          <w:p w14:paraId="5EA255F6" w14:textId="77777777" w:rsidR="003C66EB" w:rsidRDefault="003C66EB">
            <w:pPr>
              <w:rPr>
                <w:rFonts w:ascii="宋体"/>
              </w:rPr>
            </w:pPr>
          </w:p>
        </w:tc>
        <w:tc>
          <w:tcPr>
            <w:tcW w:w="5" w:type="pct"/>
            <w:shd w:val="clear" w:color="auto" w:fill="auto"/>
          </w:tcPr>
          <w:p w14:paraId="5EA255F7" w14:textId="77777777" w:rsidR="003C66EB" w:rsidRDefault="003C66EB">
            <w:pPr>
              <w:rPr>
                <w:rFonts w:ascii="宋体"/>
              </w:rPr>
            </w:pPr>
          </w:p>
        </w:tc>
        <w:tc>
          <w:tcPr>
            <w:tcW w:w="5" w:type="pct"/>
            <w:shd w:val="clear" w:color="auto" w:fill="auto"/>
          </w:tcPr>
          <w:p w14:paraId="5EA255F8" w14:textId="77777777" w:rsidR="003C66EB" w:rsidRDefault="003C66EB">
            <w:pPr>
              <w:rPr>
                <w:rFonts w:ascii="宋体"/>
              </w:rPr>
            </w:pPr>
          </w:p>
        </w:tc>
        <w:tc>
          <w:tcPr>
            <w:tcW w:w="68" w:type="pct"/>
            <w:shd w:val="clear" w:color="auto" w:fill="auto"/>
          </w:tcPr>
          <w:p w14:paraId="5EA255F9" w14:textId="77777777" w:rsidR="003C66EB" w:rsidRDefault="003C66EB">
            <w:pPr>
              <w:rPr>
                <w:rFonts w:ascii="宋体"/>
              </w:rPr>
            </w:pPr>
          </w:p>
        </w:tc>
        <w:tc>
          <w:tcPr>
            <w:tcW w:w="5" w:type="pct"/>
            <w:shd w:val="clear" w:color="auto" w:fill="auto"/>
          </w:tcPr>
          <w:p w14:paraId="5EA255FA" w14:textId="77777777" w:rsidR="003C66EB" w:rsidRDefault="003C66EB">
            <w:pPr>
              <w:rPr>
                <w:rFonts w:ascii="宋体"/>
              </w:rPr>
            </w:pPr>
          </w:p>
        </w:tc>
        <w:tc>
          <w:tcPr>
            <w:tcW w:w="50" w:type="pct"/>
            <w:shd w:val="clear" w:color="auto" w:fill="auto"/>
          </w:tcPr>
          <w:p w14:paraId="5EA255FB" w14:textId="77777777" w:rsidR="003C66EB" w:rsidRDefault="003C66EB">
            <w:pPr>
              <w:rPr>
                <w:rFonts w:ascii="宋体"/>
              </w:rPr>
            </w:pPr>
          </w:p>
        </w:tc>
        <w:tc>
          <w:tcPr>
            <w:tcW w:w="1029" w:type="pct"/>
            <w:shd w:val="clear" w:color="auto" w:fill="auto"/>
          </w:tcPr>
          <w:p w14:paraId="5EA255FC" w14:textId="77777777" w:rsidR="003C66EB" w:rsidRDefault="003C66EB">
            <w:pPr>
              <w:rPr>
                <w:rFonts w:ascii="宋体"/>
              </w:rPr>
            </w:pPr>
          </w:p>
        </w:tc>
        <w:tc>
          <w:tcPr>
            <w:tcW w:w="5" w:type="pct"/>
            <w:shd w:val="clear" w:color="auto" w:fill="auto"/>
          </w:tcPr>
          <w:p w14:paraId="5EA255FD" w14:textId="77777777" w:rsidR="003C66EB" w:rsidRDefault="003C66EB">
            <w:pPr>
              <w:rPr>
                <w:rFonts w:ascii="宋体"/>
              </w:rPr>
            </w:pPr>
          </w:p>
        </w:tc>
        <w:tc>
          <w:tcPr>
            <w:tcW w:w="5" w:type="pct"/>
            <w:shd w:val="clear" w:color="auto" w:fill="auto"/>
          </w:tcPr>
          <w:p w14:paraId="5EA255FE" w14:textId="77777777" w:rsidR="003C66EB" w:rsidRDefault="003C66EB">
            <w:pPr>
              <w:rPr>
                <w:rFonts w:ascii="宋体"/>
              </w:rPr>
            </w:pPr>
          </w:p>
        </w:tc>
        <w:tc>
          <w:tcPr>
            <w:tcW w:w="68" w:type="pct"/>
            <w:shd w:val="clear" w:color="auto" w:fill="auto"/>
          </w:tcPr>
          <w:p w14:paraId="5EA255FF" w14:textId="77777777" w:rsidR="003C66EB" w:rsidRDefault="003C66EB">
            <w:pPr>
              <w:rPr>
                <w:rFonts w:ascii="宋体"/>
              </w:rPr>
            </w:pPr>
          </w:p>
        </w:tc>
        <w:tc>
          <w:tcPr>
            <w:tcW w:w="5" w:type="pct"/>
            <w:shd w:val="clear" w:color="auto" w:fill="auto"/>
          </w:tcPr>
          <w:p w14:paraId="5EA25600" w14:textId="77777777" w:rsidR="003C66EB" w:rsidRDefault="003C66EB">
            <w:pPr>
              <w:rPr>
                <w:rFonts w:ascii="宋体"/>
              </w:rPr>
            </w:pPr>
          </w:p>
        </w:tc>
        <w:tc>
          <w:tcPr>
            <w:tcW w:w="50" w:type="pct"/>
            <w:shd w:val="clear" w:color="auto" w:fill="auto"/>
          </w:tcPr>
          <w:p w14:paraId="5EA25601" w14:textId="77777777" w:rsidR="003C66EB" w:rsidRDefault="003C66EB">
            <w:pPr>
              <w:rPr>
                <w:rFonts w:ascii="宋体"/>
              </w:rPr>
            </w:pPr>
          </w:p>
        </w:tc>
        <w:tc>
          <w:tcPr>
            <w:tcW w:w="998" w:type="pct"/>
            <w:shd w:val="clear" w:color="auto" w:fill="auto"/>
          </w:tcPr>
          <w:p w14:paraId="5EA25602" w14:textId="77777777" w:rsidR="003C66EB" w:rsidRDefault="003C66EB">
            <w:pPr>
              <w:rPr>
                <w:rFonts w:ascii="宋体"/>
              </w:rPr>
            </w:pPr>
          </w:p>
        </w:tc>
        <w:tc>
          <w:tcPr>
            <w:tcW w:w="5" w:type="pct"/>
            <w:shd w:val="clear" w:color="auto" w:fill="auto"/>
          </w:tcPr>
          <w:p w14:paraId="5EA25603" w14:textId="77777777" w:rsidR="003C66EB" w:rsidRDefault="003C66EB">
            <w:pPr>
              <w:rPr>
                <w:rFonts w:ascii="宋体"/>
              </w:rPr>
            </w:pPr>
          </w:p>
        </w:tc>
      </w:tr>
      <w:tr w:rsidR="003C66EB" w14:paraId="5EA2560C" w14:textId="77777777">
        <w:tc>
          <w:tcPr>
            <w:tcW w:w="0" w:type="auto"/>
            <w:gridSpan w:val="3"/>
            <w:shd w:val="clear" w:color="auto" w:fill="auto"/>
            <w:tcMar>
              <w:top w:w="40" w:type="dxa"/>
              <w:left w:w="20" w:type="dxa"/>
              <w:bottom w:w="40" w:type="dxa"/>
              <w:right w:w="20" w:type="dxa"/>
            </w:tcMar>
            <w:vAlign w:val="bottom"/>
          </w:tcPr>
          <w:p w14:paraId="5EA25605"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A25606" w14:textId="77777777" w:rsidR="003C66EB" w:rsidRDefault="00D96C4E">
            <w:pPr>
              <w:jc w:val="center"/>
              <w:textAlignment w:val="bottom"/>
            </w:pPr>
            <w:r>
              <w:rPr>
                <w:rFonts w:ascii="Arial" w:eastAsia="宋体" w:hAnsi="Arial" w:cs="Arial"/>
                <w:b/>
                <w:bCs/>
                <w:color w:val="000000"/>
                <w:sz w:val="15"/>
                <w:szCs w:val="15"/>
              </w:rPr>
              <w:t>Investment</w:t>
            </w:r>
          </w:p>
          <w:p w14:paraId="5EA25607" w14:textId="77777777" w:rsidR="003C66EB" w:rsidRDefault="00D96C4E">
            <w:pPr>
              <w:jc w:val="center"/>
              <w:textAlignment w:val="bottom"/>
            </w:pPr>
            <w:r>
              <w:rPr>
                <w:rFonts w:ascii="Arial" w:eastAsia="宋体" w:hAnsi="Arial" w:cs="Arial"/>
                <w:b/>
                <w:bCs/>
                <w:color w:val="000000"/>
                <w:sz w:val="15"/>
                <w:szCs w:val="15"/>
              </w:rPr>
              <w:t>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2560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609" w14:textId="77777777" w:rsidR="003C66EB" w:rsidRDefault="00D96C4E">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tcPr>
          <w:p w14:paraId="5EA2560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60B" w14:textId="77777777" w:rsidR="003C66EB" w:rsidRDefault="00D96C4E">
            <w:pPr>
              <w:jc w:val="center"/>
              <w:textAlignment w:val="bottom"/>
            </w:pPr>
            <w:r>
              <w:rPr>
                <w:rFonts w:ascii="Arial" w:eastAsia="宋体" w:hAnsi="Arial" w:cs="Arial"/>
                <w:b/>
                <w:bCs/>
                <w:color w:val="000000"/>
                <w:sz w:val="15"/>
                <w:szCs w:val="15"/>
              </w:rPr>
              <w:t>Total</w:t>
            </w:r>
          </w:p>
        </w:tc>
      </w:tr>
      <w:tr w:rsidR="003C66EB" w14:paraId="5EA25613" w14:textId="77777777">
        <w:tc>
          <w:tcPr>
            <w:tcW w:w="0" w:type="auto"/>
            <w:gridSpan w:val="3"/>
            <w:shd w:val="clear" w:color="auto" w:fill="auto"/>
            <w:tcMar>
              <w:top w:w="40" w:type="dxa"/>
              <w:left w:w="20" w:type="dxa"/>
              <w:bottom w:w="40" w:type="dxa"/>
              <w:right w:w="20" w:type="dxa"/>
            </w:tcMar>
            <w:vAlign w:val="bottom"/>
          </w:tcPr>
          <w:p w14:paraId="5EA2560D" w14:textId="77777777" w:rsidR="003C66EB" w:rsidRDefault="00D96C4E">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560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0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6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1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612" w14:textId="77777777" w:rsidR="003C66EB" w:rsidRDefault="003C66EB">
            <w:pPr>
              <w:rPr>
                <w:rFonts w:ascii="宋体"/>
              </w:rPr>
            </w:pPr>
          </w:p>
        </w:tc>
      </w:tr>
      <w:tr w:rsidR="003C66EB" w14:paraId="5EA2561A" w14:textId="77777777">
        <w:trPr>
          <w:hidden/>
        </w:trPr>
        <w:tc>
          <w:tcPr>
            <w:tcW w:w="0" w:type="auto"/>
            <w:gridSpan w:val="3"/>
            <w:shd w:val="clear" w:color="auto" w:fill="auto"/>
          </w:tcPr>
          <w:p w14:paraId="5EA25614" w14:textId="77777777" w:rsidR="003C66EB" w:rsidRDefault="003C66EB">
            <w:pPr>
              <w:rPr>
                <w:rFonts w:ascii="宋体"/>
                <w:vanish/>
              </w:rPr>
            </w:pPr>
          </w:p>
        </w:tc>
        <w:tc>
          <w:tcPr>
            <w:tcW w:w="0" w:type="auto"/>
            <w:gridSpan w:val="3"/>
            <w:shd w:val="clear" w:color="auto" w:fill="auto"/>
          </w:tcPr>
          <w:p w14:paraId="5EA25615" w14:textId="77777777" w:rsidR="003C66EB" w:rsidRDefault="003C66EB">
            <w:pPr>
              <w:rPr>
                <w:rFonts w:ascii="宋体"/>
                <w:vanish/>
              </w:rPr>
            </w:pPr>
          </w:p>
        </w:tc>
        <w:tc>
          <w:tcPr>
            <w:tcW w:w="0" w:type="auto"/>
            <w:gridSpan w:val="3"/>
            <w:shd w:val="clear" w:color="auto" w:fill="auto"/>
          </w:tcPr>
          <w:p w14:paraId="5EA25616" w14:textId="77777777" w:rsidR="003C66EB" w:rsidRDefault="003C66EB">
            <w:pPr>
              <w:rPr>
                <w:rFonts w:ascii="宋体"/>
                <w:vanish/>
              </w:rPr>
            </w:pPr>
          </w:p>
        </w:tc>
        <w:tc>
          <w:tcPr>
            <w:tcW w:w="0" w:type="auto"/>
            <w:gridSpan w:val="3"/>
            <w:shd w:val="clear" w:color="auto" w:fill="auto"/>
          </w:tcPr>
          <w:p w14:paraId="5EA25617" w14:textId="77777777" w:rsidR="003C66EB" w:rsidRDefault="003C66EB">
            <w:pPr>
              <w:rPr>
                <w:rFonts w:ascii="宋体"/>
                <w:vanish/>
              </w:rPr>
            </w:pPr>
          </w:p>
        </w:tc>
        <w:tc>
          <w:tcPr>
            <w:tcW w:w="0" w:type="auto"/>
            <w:gridSpan w:val="3"/>
            <w:shd w:val="clear" w:color="auto" w:fill="auto"/>
          </w:tcPr>
          <w:p w14:paraId="5EA25618" w14:textId="77777777" w:rsidR="003C66EB" w:rsidRDefault="003C66EB">
            <w:pPr>
              <w:rPr>
                <w:rFonts w:ascii="宋体"/>
                <w:vanish/>
              </w:rPr>
            </w:pPr>
          </w:p>
        </w:tc>
        <w:tc>
          <w:tcPr>
            <w:tcW w:w="0" w:type="auto"/>
            <w:gridSpan w:val="3"/>
            <w:shd w:val="clear" w:color="auto" w:fill="auto"/>
          </w:tcPr>
          <w:p w14:paraId="5EA25619" w14:textId="77777777" w:rsidR="003C66EB" w:rsidRDefault="003C66EB">
            <w:pPr>
              <w:rPr>
                <w:rFonts w:ascii="宋体"/>
                <w:vanish/>
              </w:rPr>
            </w:pPr>
          </w:p>
        </w:tc>
      </w:tr>
      <w:tr w:rsidR="003C66EB" w14:paraId="5EA25621" w14:textId="77777777">
        <w:trPr>
          <w:hidden/>
        </w:trPr>
        <w:tc>
          <w:tcPr>
            <w:tcW w:w="0" w:type="auto"/>
            <w:gridSpan w:val="3"/>
            <w:shd w:val="clear" w:color="auto" w:fill="auto"/>
          </w:tcPr>
          <w:p w14:paraId="5EA2561B" w14:textId="77777777" w:rsidR="003C66EB" w:rsidRDefault="003C66EB">
            <w:pPr>
              <w:rPr>
                <w:rFonts w:ascii="宋体"/>
                <w:vanish/>
              </w:rPr>
            </w:pPr>
          </w:p>
        </w:tc>
        <w:tc>
          <w:tcPr>
            <w:tcW w:w="0" w:type="auto"/>
            <w:gridSpan w:val="3"/>
            <w:shd w:val="clear" w:color="auto" w:fill="auto"/>
          </w:tcPr>
          <w:p w14:paraId="5EA2561C" w14:textId="77777777" w:rsidR="003C66EB" w:rsidRDefault="003C66EB">
            <w:pPr>
              <w:rPr>
                <w:rFonts w:ascii="宋体"/>
                <w:vanish/>
              </w:rPr>
            </w:pPr>
          </w:p>
        </w:tc>
        <w:tc>
          <w:tcPr>
            <w:tcW w:w="0" w:type="auto"/>
            <w:gridSpan w:val="3"/>
            <w:shd w:val="clear" w:color="auto" w:fill="auto"/>
          </w:tcPr>
          <w:p w14:paraId="5EA2561D" w14:textId="77777777" w:rsidR="003C66EB" w:rsidRDefault="003C66EB">
            <w:pPr>
              <w:rPr>
                <w:rFonts w:ascii="宋体"/>
                <w:vanish/>
              </w:rPr>
            </w:pPr>
          </w:p>
        </w:tc>
        <w:tc>
          <w:tcPr>
            <w:tcW w:w="0" w:type="auto"/>
            <w:gridSpan w:val="3"/>
            <w:shd w:val="clear" w:color="auto" w:fill="auto"/>
          </w:tcPr>
          <w:p w14:paraId="5EA2561E" w14:textId="77777777" w:rsidR="003C66EB" w:rsidRDefault="003C66EB">
            <w:pPr>
              <w:rPr>
                <w:rFonts w:ascii="宋体"/>
                <w:vanish/>
              </w:rPr>
            </w:pPr>
          </w:p>
        </w:tc>
        <w:tc>
          <w:tcPr>
            <w:tcW w:w="0" w:type="auto"/>
            <w:gridSpan w:val="3"/>
            <w:shd w:val="clear" w:color="auto" w:fill="auto"/>
          </w:tcPr>
          <w:p w14:paraId="5EA2561F" w14:textId="77777777" w:rsidR="003C66EB" w:rsidRDefault="003C66EB">
            <w:pPr>
              <w:rPr>
                <w:rFonts w:ascii="宋体"/>
                <w:vanish/>
              </w:rPr>
            </w:pPr>
          </w:p>
        </w:tc>
        <w:tc>
          <w:tcPr>
            <w:tcW w:w="0" w:type="auto"/>
            <w:gridSpan w:val="3"/>
            <w:shd w:val="clear" w:color="auto" w:fill="auto"/>
          </w:tcPr>
          <w:p w14:paraId="5EA25620" w14:textId="77777777" w:rsidR="003C66EB" w:rsidRDefault="003C66EB">
            <w:pPr>
              <w:rPr>
                <w:rFonts w:ascii="宋体"/>
                <w:vanish/>
              </w:rPr>
            </w:pPr>
          </w:p>
        </w:tc>
      </w:tr>
      <w:tr w:rsidR="003C66EB" w14:paraId="5EA25628" w14:textId="77777777">
        <w:trPr>
          <w:hidden/>
        </w:trPr>
        <w:tc>
          <w:tcPr>
            <w:tcW w:w="0" w:type="auto"/>
            <w:gridSpan w:val="3"/>
            <w:shd w:val="clear" w:color="auto" w:fill="auto"/>
          </w:tcPr>
          <w:p w14:paraId="5EA25622" w14:textId="77777777" w:rsidR="003C66EB" w:rsidRDefault="003C66EB">
            <w:pPr>
              <w:rPr>
                <w:rFonts w:ascii="宋体"/>
                <w:vanish/>
              </w:rPr>
            </w:pPr>
          </w:p>
        </w:tc>
        <w:tc>
          <w:tcPr>
            <w:tcW w:w="0" w:type="auto"/>
            <w:gridSpan w:val="3"/>
            <w:shd w:val="clear" w:color="auto" w:fill="auto"/>
          </w:tcPr>
          <w:p w14:paraId="5EA25623" w14:textId="77777777" w:rsidR="003C66EB" w:rsidRDefault="003C66EB">
            <w:pPr>
              <w:rPr>
                <w:rFonts w:ascii="宋体"/>
                <w:vanish/>
              </w:rPr>
            </w:pPr>
          </w:p>
        </w:tc>
        <w:tc>
          <w:tcPr>
            <w:tcW w:w="0" w:type="auto"/>
            <w:gridSpan w:val="3"/>
            <w:shd w:val="clear" w:color="auto" w:fill="auto"/>
          </w:tcPr>
          <w:p w14:paraId="5EA25624" w14:textId="77777777" w:rsidR="003C66EB" w:rsidRDefault="003C66EB">
            <w:pPr>
              <w:rPr>
                <w:rFonts w:ascii="宋体"/>
                <w:vanish/>
              </w:rPr>
            </w:pPr>
          </w:p>
        </w:tc>
        <w:tc>
          <w:tcPr>
            <w:tcW w:w="0" w:type="auto"/>
            <w:gridSpan w:val="3"/>
            <w:shd w:val="clear" w:color="auto" w:fill="auto"/>
          </w:tcPr>
          <w:p w14:paraId="5EA25625" w14:textId="77777777" w:rsidR="003C66EB" w:rsidRDefault="003C66EB">
            <w:pPr>
              <w:rPr>
                <w:rFonts w:ascii="宋体"/>
                <w:vanish/>
              </w:rPr>
            </w:pPr>
          </w:p>
        </w:tc>
        <w:tc>
          <w:tcPr>
            <w:tcW w:w="0" w:type="auto"/>
            <w:gridSpan w:val="3"/>
            <w:shd w:val="clear" w:color="auto" w:fill="auto"/>
          </w:tcPr>
          <w:p w14:paraId="5EA25626" w14:textId="77777777" w:rsidR="003C66EB" w:rsidRDefault="003C66EB">
            <w:pPr>
              <w:rPr>
                <w:rFonts w:ascii="宋体"/>
                <w:vanish/>
              </w:rPr>
            </w:pPr>
          </w:p>
        </w:tc>
        <w:tc>
          <w:tcPr>
            <w:tcW w:w="0" w:type="auto"/>
            <w:gridSpan w:val="3"/>
            <w:shd w:val="clear" w:color="auto" w:fill="auto"/>
          </w:tcPr>
          <w:p w14:paraId="5EA25627" w14:textId="77777777" w:rsidR="003C66EB" w:rsidRDefault="003C66EB">
            <w:pPr>
              <w:rPr>
                <w:rFonts w:ascii="宋体"/>
                <w:vanish/>
              </w:rPr>
            </w:pPr>
          </w:p>
        </w:tc>
      </w:tr>
      <w:tr w:rsidR="003C66EB" w14:paraId="5EA2562F" w14:textId="77777777">
        <w:trPr>
          <w:hidden/>
        </w:trPr>
        <w:tc>
          <w:tcPr>
            <w:tcW w:w="0" w:type="auto"/>
            <w:gridSpan w:val="3"/>
            <w:shd w:val="clear" w:color="auto" w:fill="auto"/>
          </w:tcPr>
          <w:p w14:paraId="5EA25629" w14:textId="77777777" w:rsidR="003C66EB" w:rsidRDefault="003C66EB">
            <w:pPr>
              <w:rPr>
                <w:rFonts w:ascii="宋体"/>
                <w:vanish/>
              </w:rPr>
            </w:pPr>
          </w:p>
        </w:tc>
        <w:tc>
          <w:tcPr>
            <w:tcW w:w="0" w:type="auto"/>
            <w:gridSpan w:val="3"/>
            <w:shd w:val="clear" w:color="auto" w:fill="auto"/>
          </w:tcPr>
          <w:p w14:paraId="5EA2562A" w14:textId="77777777" w:rsidR="003C66EB" w:rsidRDefault="003C66EB">
            <w:pPr>
              <w:rPr>
                <w:rFonts w:ascii="宋体"/>
                <w:vanish/>
              </w:rPr>
            </w:pPr>
          </w:p>
        </w:tc>
        <w:tc>
          <w:tcPr>
            <w:tcW w:w="0" w:type="auto"/>
            <w:gridSpan w:val="3"/>
            <w:shd w:val="clear" w:color="auto" w:fill="auto"/>
          </w:tcPr>
          <w:p w14:paraId="5EA2562B" w14:textId="77777777" w:rsidR="003C66EB" w:rsidRDefault="003C66EB">
            <w:pPr>
              <w:rPr>
                <w:rFonts w:ascii="宋体"/>
                <w:vanish/>
              </w:rPr>
            </w:pPr>
          </w:p>
        </w:tc>
        <w:tc>
          <w:tcPr>
            <w:tcW w:w="0" w:type="auto"/>
            <w:gridSpan w:val="3"/>
            <w:shd w:val="clear" w:color="auto" w:fill="auto"/>
          </w:tcPr>
          <w:p w14:paraId="5EA2562C" w14:textId="77777777" w:rsidR="003C66EB" w:rsidRDefault="003C66EB">
            <w:pPr>
              <w:rPr>
                <w:rFonts w:ascii="宋体"/>
                <w:vanish/>
              </w:rPr>
            </w:pPr>
          </w:p>
        </w:tc>
        <w:tc>
          <w:tcPr>
            <w:tcW w:w="0" w:type="auto"/>
            <w:gridSpan w:val="3"/>
            <w:shd w:val="clear" w:color="auto" w:fill="auto"/>
          </w:tcPr>
          <w:p w14:paraId="5EA2562D" w14:textId="77777777" w:rsidR="003C66EB" w:rsidRDefault="003C66EB">
            <w:pPr>
              <w:rPr>
                <w:rFonts w:ascii="宋体"/>
                <w:vanish/>
              </w:rPr>
            </w:pPr>
          </w:p>
        </w:tc>
        <w:tc>
          <w:tcPr>
            <w:tcW w:w="0" w:type="auto"/>
            <w:gridSpan w:val="3"/>
            <w:shd w:val="clear" w:color="auto" w:fill="auto"/>
          </w:tcPr>
          <w:p w14:paraId="5EA2562E" w14:textId="77777777" w:rsidR="003C66EB" w:rsidRDefault="003C66EB">
            <w:pPr>
              <w:rPr>
                <w:rFonts w:ascii="宋体"/>
                <w:vanish/>
              </w:rPr>
            </w:pPr>
          </w:p>
        </w:tc>
      </w:tr>
      <w:tr w:rsidR="003C66EB" w14:paraId="5EA25636" w14:textId="77777777">
        <w:trPr>
          <w:hidden/>
        </w:trPr>
        <w:tc>
          <w:tcPr>
            <w:tcW w:w="0" w:type="auto"/>
            <w:gridSpan w:val="3"/>
            <w:shd w:val="clear" w:color="auto" w:fill="auto"/>
          </w:tcPr>
          <w:p w14:paraId="5EA25630" w14:textId="77777777" w:rsidR="003C66EB" w:rsidRDefault="003C66EB">
            <w:pPr>
              <w:rPr>
                <w:rFonts w:ascii="宋体"/>
                <w:vanish/>
              </w:rPr>
            </w:pPr>
          </w:p>
        </w:tc>
        <w:tc>
          <w:tcPr>
            <w:tcW w:w="0" w:type="auto"/>
            <w:gridSpan w:val="3"/>
            <w:shd w:val="clear" w:color="auto" w:fill="auto"/>
          </w:tcPr>
          <w:p w14:paraId="5EA25631" w14:textId="77777777" w:rsidR="003C66EB" w:rsidRDefault="003C66EB">
            <w:pPr>
              <w:rPr>
                <w:rFonts w:ascii="宋体"/>
                <w:vanish/>
              </w:rPr>
            </w:pPr>
          </w:p>
        </w:tc>
        <w:tc>
          <w:tcPr>
            <w:tcW w:w="0" w:type="auto"/>
            <w:gridSpan w:val="3"/>
            <w:shd w:val="clear" w:color="auto" w:fill="auto"/>
          </w:tcPr>
          <w:p w14:paraId="5EA25632" w14:textId="77777777" w:rsidR="003C66EB" w:rsidRDefault="003C66EB">
            <w:pPr>
              <w:rPr>
                <w:rFonts w:ascii="宋体"/>
                <w:vanish/>
              </w:rPr>
            </w:pPr>
          </w:p>
        </w:tc>
        <w:tc>
          <w:tcPr>
            <w:tcW w:w="0" w:type="auto"/>
            <w:gridSpan w:val="3"/>
            <w:shd w:val="clear" w:color="auto" w:fill="auto"/>
          </w:tcPr>
          <w:p w14:paraId="5EA25633" w14:textId="77777777" w:rsidR="003C66EB" w:rsidRDefault="003C66EB">
            <w:pPr>
              <w:rPr>
                <w:rFonts w:ascii="宋体"/>
                <w:vanish/>
              </w:rPr>
            </w:pPr>
          </w:p>
        </w:tc>
        <w:tc>
          <w:tcPr>
            <w:tcW w:w="0" w:type="auto"/>
            <w:gridSpan w:val="3"/>
            <w:shd w:val="clear" w:color="auto" w:fill="auto"/>
          </w:tcPr>
          <w:p w14:paraId="5EA25634" w14:textId="77777777" w:rsidR="003C66EB" w:rsidRDefault="003C66EB">
            <w:pPr>
              <w:rPr>
                <w:rFonts w:ascii="宋体"/>
                <w:vanish/>
              </w:rPr>
            </w:pPr>
          </w:p>
        </w:tc>
        <w:tc>
          <w:tcPr>
            <w:tcW w:w="0" w:type="auto"/>
            <w:gridSpan w:val="3"/>
            <w:shd w:val="clear" w:color="auto" w:fill="auto"/>
          </w:tcPr>
          <w:p w14:paraId="5EA25635" w14:textId="77777777" w:rsidR="003C66EB" w:rsidRDefault="003C66EB">
            <w:pPr>
              <w:rPr>
                <w:rFonts w:ascii="宋体"/>
                <w:vanish/>
              </w:rPr>
            </w:pPr>
          </w:p>
        </w:tc>
      </w:tr>
      <w:tr w:rsidR="003C66EB" w14:paraId="5EA25643" w14:textId="77777777">
        <w:tc>
          <w:tcPr>
            <w:tcW w:w="0" w:type="auto"/>
            <w:gridSpan w:val="3"/>
            <w:shd w:val="clear" w:color="auto" w:fill="CCEEFF"/>
            <w:tcMar>
              <w:top w:w="40" w:type="dxa"/>
              <w:left w:w="20" w:type="dxa"/>
              <w:bottom w:w="40" w:type="dxa"/>
              <w:right w:w="20" w:type="dxa"/>
            </w:tcMar>
            <w:vAlign w:val="bottom"/>
          </w:tcPr>
          <w:p w14:paraId="5EA25637" w14:textId="77777777" w:rsidR="003C66EB" w:rsidRDefault="00D96C4E">
            <w:pPr>
              <w:textAlignment w:val="bottom"/>
            </w:pPr>
            <w:r>
              <w:rPr>
                <w:rFonts w:ascii="Arial" w:eastAsia="宋体" w:hAnsi="Arial" w:cs="Arial"/>
                <w:b/>
                <w:bCs/>
                <w:color w:val="000000"/>
                <w:sz w:val="15"/>
                <w:szCs w:val="15"/>
              </w:rPr>
              <w:t>Ending balance December 31, 2019</w:t>
            </w:r>
            <w:r>
              <w:rPr>
                <w:rFonts w:ascii="Arial" w:eastAsia="宋体" w:hAnsi="Arial" w:cs="Arial"/>
                <w:b/>
                <w:bCs/>
                <w:color w:val="000000"/>
                <w:sz w:val="9"/>
                <w:szCs w:val="9"/>
              </w:rPr>
              <w:t xml:space="preserve"> </w:t>
            </w:r>
          </w:p>
        </w:tc>
        <w:tc>
          <w:tcPr>
            <w:tcW w:w="0" w:type="auto"/>
            <w:shd w:val="clear" w:color="auto" w:fill="CCEEFF"/>
            <w:tcMar>
              <w:top w:w="40" w:type="dxa"/>
              <w:left w:w="20" w:type="dxa"/>
              <w:bottom w:w="40" w:type="dxa"/>
              <w:right w:w="0" w:type="dxa"/>
            </w:tcMar>
            <w:vAlign w:val="bottom"/>
          </w:tcPr>
          <w:p w14:paraId="5EA25638"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639" w14:textId="77777777" w:rsidR="003C66EB" w:rsidRDefault="00D96C4E">
            <w:pPr>
              <w:jc w:val="right"/>
              <w:textAlignment w:val="bottom"/>
            </w:pPr>
            <w:r>
              <w:rPr>
                <w:rFonts w:ascii="Arial" w:eastAsia="宋体" w:hAnsi="Arial" w:cs="Arial"/>
                <w:color w:val="000000"/>
                <w:sz w:val="15"/>
                <w:szCs w:val="15"/>
              </w:rPr>
              <w:t>1,908 </w:t>
            </w:r>
          </w:p>
        </w:tc>
        <w:tc>
          <w:tcPr>
            <w:tcW w:w="0" w:type="auto"/>
            <w:shd w:val="clear" w:color="auto" w:fill="CCEEFF"/>
            <w:tcMar>
              <w:top w:w="40" w:type="dxa"/>
              <w:left w:w="0" w:type="dxa"/>
              <w:bottom w:w="40" w:type="dxa"/>
              <w:right w:w="20" w:type="dxa"/>
            </w:tcMar>
            <w:vAlign w:val="bottom"/>
          </w:tcPr>
          <w:p w14:paraId="5EA256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3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63C"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63D" w14:textId="77777777" w:rsidR="003C66EB" w:rsidRDefault="00D96C4E">
            <w:pPr>
              <w:jc w:val="right"/>
              <w:textAlignment w:val="bottom"/>
            </w:pPr>
            <w:r>
              <w:rPr>
                <w:rFonts w:ascii="Arial" w:eastAsia="宋体" w:hAnsi="Arial" w:cs="Arial"/>
                <w:color w:val="000000"/>
                <w:sz w:val="15"/>
                <w:szCs w:val="15"/>
              </w:rPr>
              <w:t>122 </w:t>
            </w:r>
          </w:p>
        </w:tc>
        <w:tc>
          <w:tcPr>
            <w:tcW w:w="0" w:type="auto"/>
            <w:shd w:val="clear" w:color="auto" w:fill="CCEEFF"/>
            <w:tcMar>
              <w:top w:w="40" w:type="dxa"/>
              <w:left w:w="0" w:type="dxa"/>
              <w:bottom w:w="40" w:type="dxa"/>
              <w:right w:w="20" w:type="dxa"/>
            </w:tcMar>
            <w:vAlign w:val="bottom"/>
          </w:tcPr>
          <w:p w14:paraId="5EA2563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3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640"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641" w14:textId="77777777" w:rsidR="003C66EB" w:rsidRDefault="00D96C4E">
            <w:pPr>
              <w:jc w:val="right"/>
              <w:textAlignment w:val="bottom"/>
            </w:pPr>
            <w:r>
              <w:rPr>
                <w:rFonts w:ascii="Arial" w:eastAsia="宋体" w:hAnsi="Arial" w:cs="Arial"/>
                <w:color w:val="000000"/>
                <w:sz w:val="15"/>
                <w:szCs w:val="15"/>
              </w:rPr>
              <w:t>2,030 </w:t>
            </w:r>
          </w:p>
        </w:tc>
        <w:tc>
          <w:tcPr>
            <w:tcW w:w="0" w:type="auto"/>
            <w:shd w:val="clear" w:color="auto" w:fill="CCEEFF"/>
            <w:tcMar>
              <w:top w:w="40" w:type="dxa"/>
              <w:left w:w="0" w:type="dxa"/>
              <w:bottom w:w="40" w:type="dxa"/>
              <w:right w:w="20" w:type="dxa"/>
            </w:tcMar>
            <w:vAlign w:val="bottom"/>
          </w:tcPr>
          <w:p w14:paraId="5EA25642" w14:textId="77777777" w:rsidR="003C66EB" w:rsidRDefault="003C66EB">
            <w:pPr>
              <w:jc w:val="right"/>
              <w:rPr>
                <w:rFonts w:ascii="宋体"/>
              </w:rPr>
            </w:pPr>
          </w:p>
        </w:tc>
      </w:tr>
      <w:tr w:rsidR="003C66EB" w14:paraId="5EA2564A" w14:textId="77777777">
        <w:trPr>
          <w:hidden/>
        </w:trPr>
        <w:tc>
          <w:tcPr>
            <w:tcW w:w="0" w:type="auto"/>
            <w:gridSpan w:val="3"/>
            <w:shd w:val="clear" w:color="auto" w:fill="auto"/>
          </w:tcPr>
          <w:p w14:paraId="5EA25644" w14:textId="77777777" w:rsidR="003C66EB" w:rsidRDefault="003C66EB">
            <w:pPr>
              <w:rPr>
                <w:rFonts w:ascii="宋体"/>
                <w:vanish/>
              </w:rPr>
            </w:pPr>
          </w:p>
        </w:tc>
        <w:tc>
          <w:tcPr>
            <w:tcW w:w="0" w:type="auto"/>
            <w:gridSpan w:val="3"/>
            <w:shd w:val="clear" w:color="auto" w:fill="auto"/>
          </w:tcPr>
          <w:p w14:paraId="5EA25645" w14:textId="77777777" w:rsidR="003C66EB" w:rsidRDefault="003C66EB">
            <w:pPr>
              <w:rPr>
                <w:rFonts w:ascii="宋体"/>
                <w:vanish/>
              </w:rPr>
            </w:pPr>
          </w:p>
        </w:tc>
        <w:tc>
          <w:tcPr>
            <w:tcW w:w="0" w:type="auto"/>
            <w:gridSpan w:val="3"/>
            <w:shd w:val="clear" w:color="auto" w:fill="auto"/>
          </w:tcPr>
          <w:p w14:paraId="5EA25646" w14:textId="77777777" w:rsidR="003C66EB" w:rsidRDefault="003C66EB">
            <w:pPr>
              <w:rPr>
                <w:rFonts w:ascii="宋体"/>
                <w:vanish/>
              </w:rPr>
            </w:pPr>
          </w:p>
        </w:tc>
        <w:tc>
          <w:tcPr>
            <w:tcW w:w="0" w:type="auto"/>
            <w:gridSpan w:val="3"/>
            <w:shd w:val="clear" w:color="auto" w:fill="auto"/>
          </w:tcPr>
          <w:p w14:paraId="5EA25647" w14:textId="77777777" w:rsidR="003C66EB" w:rsidRDefault="003C66EB">
            <w:pPr>
              <w:rPr>
                <w:rFonts w:ascii="宋体"/>
                <w:vanish/>
              </w:rPr>
            </w:pPr>
          </w:p>
        </w:tc>
        <w:tc>
          <w:tcPr>
            <w:tcW w:w="0" w:type="auto"/>
            <w:gridSpan w:val="3"/>
            <w:shd w:val="clear" w:color="auto" w:fill="auto"/>
          </w:tcPr>
          <w:p w14:paraId="5EA25648" w14:textId="77777777" w:rsidR="003C66EB" w:rsidRDefault="003C66EB">
            <w:pPr>
              <w:rPr>
                <w:rFonts w:ascii="宋体"/>
                <w:vanish/>
              </w:rPr>
            </w:pPr>
          </w:p>
        </w:tc>
        <w:tc>
          <w:tcPr>
            <w:tcW w:w="0" w:type="auto"/>
            <w:gridSpan w:val="3"/>
            <w:shd w:val="clear" w:color="auto" w:fill="auto"/>
          </w:tcPr>
          <w:p w14:paraId="5EA25649" w14:textId="77777777" w:rsidR="003C66EB" w:rsidRDefault="003C66EB">
            <w:pPr>
              <w:rPr>
                <w:rFonts w:ascii="宋体"/>
                <w:vanish/>
              </w:rPr>
            </w:pPr>
          </w:p>
        </w:tc>
      </w:tr>
      <w:tr w:rsidR="003C66EB" w14:paraId="5EA25651" w14:textId="77777777">
        <w:trPr>
          <w:hidden/>
        </w:trPr>
        <w:tc>
          <w:tcPr>
            <w:tcW w:w="0" w:type="auto"/>
            <w:gridSpan w:val="3"/>
            <w:shd w:val="clear" w:color="auto" w:fill="auto"/>
          </w:tcPr>
          <w:p w14:paraId="5EA2564B" w14:textId="77777777" w:rsidR="003C66EB" w:rsidRDefault="003C66EB">
            <w:pPr>
              <w:rPr>
                <w:rFonts w:ascii="宋体"/>
                <w:vanish/>
              </w:rPr>
            </w:pPr>
          </w:p>
        </w:tc>
        <w:tc>
          <w:tcPr>
            <w:tcW w:w="0" w:type="auto"/>
            <w:gridSpan w:val="3"/>
            <w:shd w:val="clear" w:color="auto" w:fill="auto"/>
          </w:tcPr>
          <w:p w14:paraId="5EA2564C" w14:textId="77777777" w:rsidR="003C66EB" w:rsidRDefault="003C66EB">
            <w:pPr>
              <w:rPr>
                <w:rFonts w:ascii="宋体"/>
                <w:vanish/>
              </w:rPr>
            </w:pPr>
          </w:p>
        </w:tc>
        <w:tc>
          <w:tcPr>
            <w:tcW w:w="0" w:type="auto"/>
            <w:gridSpan w:val="3"/>
            <w:shd w:val="clear" w:color="auto" w:fill="auto"/>
          </w:tcPr>
          <w:p w14:paraId="5EA2564D" w14:textId="77777777" w:rsidR="003C66EB" w:rsidRDefault="003C66EB">
            <w:pPr>
              <w:rPr>
                <w:rFonts w:ascii="宋体"/>
                <w:vanish/>
              </w:rPr>
            </w:pPr>
          </w:p>
        </w:tc>
        <w:tc>
          <w:tcPr>
            <w:tcW w:w="0" w:type="auto"/>
            <w:gridSpan w:val="3"/>
            <w:shd w:val="clear" w:color="auto" w:fill="auto"/>
          </w:tcPr>
          <w:p w14:paraId="5EA2564E" w14:textId="77777777" w:rsidR="003C66EB" w:rsidRDefault="003C66EB">
            <w:pPr>
              <w:rPr>
                <w:rFonts w:ascii="宋体"/>
                <w:vanish/>
              </w:rPr>
            </w:pPr>
          </w:p>
        </w:tc>
        <w:tc>
          <w:tcPr>
            <w:tcW w:w="0" w:type="auto"/>
            <w:gridSpan w:val="3"/>
            <w:shd w:val="clear" w:color="auto" w:fill="auto"/>
          </w:tcPr>
          <w:p w14:paraId="5EA2564F" w14:textId="77777777" w:rsidR="003C66EB" w:rsidRDefault="003C66EB">
            <w:pPr>
              <w:rPr>
                <w:rFonts w:ascii="宋体"/>
                <w:vanish/>
              </w:rPr>
            </w:pPr>
          </w:p>
        </w:tc>
        <w:tc>
          <w:tcPr>
            <w:tcW w:w="0" w:type="auto"/>
            <w:gridSpan w:val="3"/>
            <w:shd w:val="clear" w:color="auto" w:fill="auto"/>
          </w:tcPr>
          <w:p w14:paraId="5EA25650" w14:textId="77777777" w:rsidR="003C66EB" w:rsidRDefault="003C66EB">
            <w:pPr>
              <w:rPr>
                <w:rFonts w:ascii="宋体"/>
                <w:vanish/>
              </w:rPr>
            </w:pPr>
          </w:p>
        </w:tc>
      </w:tr>
      <w:tr w:rsidR="003C66EB" w14:paraId="5EA25658" w14:textId="77777777">
        <w:trPr>
          <w:hidden/>
        </w:trPr>
        <w:tc>
          <w:tcPr>
            <w:tcW w:w="0" w:type="auto"/>
            <w:gridSpan w:val="3"/>
            <w:shd w:val="clear" w:color="auto" w:fill="auto"/>
          </w:tcPr>
          <w:p w14:paraId="5EA25652" w14:textId="77777777" w:rsidR="003C66EB" w:rsidRDefault="003C66EB">
            <w:pPr>
              <w:rPr>
                <w:rFonts w:ascii="宋体"/>
                <w:vanish/>
              </w:rPr>
            </w:pPr>
          </w:p>
        </w:tc>
        <w:tc>
          <w:tcPr>
            <w:tcW w:w="0" w:type="auto"/>
            <w:gridSpan w:val="3"/>
            <w:shd w:val="clear" w:color="auto" w:fill="auto"/>
          </w:tcPr>
          <w:p w14:paraId="5EA25653" w14:textId="77777777" w:rsidR="003C66EB" w:rsidRDefault="003C66EB">
            <w:pPr>
              <w:rPr>
                <w:rFonts w:ascii="宋体"/>
                <w:vanish/>
              </w:rPr>
            </w:pPr>
          </w:p>
        </w:tc>
        <w:tc>
          <w:tcPr>
            <w:tcW w:w="0" w:type="auto"/>
            <w:gridSpan w:val="3"/>
            <w:shd w:val="clear" w:color="auto" w:fill="auto"/>
          </w:tcPr>
          <w:p w14:paraId="5EA25654" w14:textId="77777777" w:rsidR="003C66EB" w:rsidRDefault="003C66EB">
            <w:pPr>
              <w:rPr>
                <w:rFonts w:ascii="宋体"/>
                <w:vanish/>
              </w:rPr>
            </w:pPr>
          </w:p>
        </w:tc>
        <w:tc>
          <w:tcPr>
            <w:tcW w:w="0" w:type="auto"/>
            <w:gridSpan w:val="3"/>
            <w:shd w:val="clear" w:color="auto" w:fill="auto"/>
          </w:tcPr>
          <w:p w14:paraId="5EA25655" w14:textId="77777777" w:rsidR="003C66EB" w:rsidRDefault="003C66EB">
            <w:pPr>
              <w:rPr>
                <w:rFonts w:ascii="宋体"/>
                <w:vanish/>
              </w:rPr>
            </w:pPr>
          </w:p>
        </w:tc>
        <w:tc>
          <w:tcPr>
            <w:tcW w:w="0" w:type="auto"/>
            <w:gridSpan w:val="3"/>
            <w:shd w:val="clear" w:color="auto" w:fill="auto"/>
          </w:tcPr>
          <w:p w14:paraId="5EA25656" w14:textId="77777777" w:rsidR="003C66EB" w:rsidRDefault="003C66EB">
            <w:pPr>
              <w:rPr>
                <w:rFonts w:ascii="宋体"/>
                <w:vanish/>
              </w:rPr>
            </w:pPr>
          </w:p>
        </w:tc>
        <w:tc>
          <w:tcPr>
            <w:tcW w:w="0" w:type="auto"/>
            <w:gridSpan w:val="3"/>
            <w:shd w:val="clear" w:color="auto" w:fill="auto"/>
          </w:tcPr>
          <w:p w14:paraId="5EA25657" w14:textId="77777777" w:rsidR="003C66EB" w:rsidRDefault="003C66EB">
            <w:pPr>
              <w:rPr>
                <w:rFonts w:ascii="宋体"/>
                <w:vanish/>
              </w:rPr>
            </w:pPr>
          </w:p>
        </w:tc>
      </w:tr>
      <w:tr w:rsidR="003C66EB" w14:paraId="5EA25662" w14:textId="77777777">
        <w:tc>
          <w:tcPr>
            <w:tcW w:w="0" w:type="auto"/>
            <w:gridSpan w:val="3"/>
            <w:shd w:val="clear" w:color="auto" w:fill="FFFFFF"/>
            <w:tcMar>
              <w:top w:w="40" w:type="dxa"/>
              <w:left w:w="20" w:type="dxa"/>
              <w:bottom w:w="40" w:type="dxa"/>
              <w:right w:w="20" w:type="dxa"/>
            </w:tcMar>
            <w:vAlign w:val="bottom"/>
          </w:tcPr>
          <w:p w14:paraId="5EA25659" w14:textId="77777777" w:rsidR="003C66EB" w:rsidRDefault="00D96C4E">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5EA2565A" w14:textId="77777777" w:rsidR="003C66EB" w:rsidRDefault="00D96C4E">
            <w:pPr>
              <w:jc w:val="right"/>
              <w:textAlignment w:val="bottom"/>
            </w:pPr>
            <w:r>
              <w:rPr>
                <w:rFonts w:ascii="Arial" w:eastAsia="宋体" w:hAnsi="Arial" w:cs="Arial"/>
                <w:color w:val="000000"/>
                <w:sz w:val="15"/>
                <w:szCs w:val="15"/>
              </w:rPr>
              <w:t>(206)</w:t>
            </w:r>
          </w:p>
        </w:tc>
        <w:tc>
          <w:tcPr>
            <w:tcW w:w="0" w:type="auto"/>
            <w:shd w:val="clear" w:color="auto" w:fill="FFFFFF"/>
            <w:tcMar>
              <w:top w:w="40" w:type="dxa"/>
              <w:left w:w="0" w:type="dxa"/>
              <w:bottom w:w="40" w:type="dxa"/>
              <w:right w:w="20" w:type="dxa"/>
            </w:tcMar>
            <w:vAlign w:val="bottom"/>
          </w:tcPr>
          <w:p w14:paraId="5EA256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5D" w14:textId="77777777" w:rsidR="003C66EB" w:rsidRDefault="00D96C4E">
            <w:pPr>
              <w:jc w:val="right"/>
              <w:textAlignment w:val="bottom"/>
            </w:pPr>
            <w:r>
              <w:rPr>
                <w:rFonts w:ascii="Arial" w:eastAsia="宋体" w:hAnsi="Arial" w:cs="Arial"/>
                <w:color w:val="000000"/>
                <w:sz w:val="15"/>
                <w:szCs w:val="15"/>
              </w:rPr>
              <w:t>(28)</w:t>
            </w:r>
          </w:p>
        </w:tc>
        <w:tc>
          <w:tcPr>
            <w:tcW w:w="0" w:type="auto"/>
            <w:shd w:val="clear" w:color="auto" w:fill="FFFFFF"/>
            <w:tcMar>
              <w:top w:w="40" w:type="dxa"/>
              <w:left w:w="0" w:type="dxa"/>
              <w:bottom w:w="40" w:type="dxa"/>
              <w:right w:w="20" w:type="dxa"/>
            </w:tcMar>
            <w:vAlign w:val="bottom"/>
          </w:tcPr>
          <w:p w14:paraId="5EA256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60" w14:textId="77777777" w:rsidR="003C66EB" w:rsidRDefault="00D96C4E">
            <w:pPr>
              <w:jc w:val="right"/>
              <w:textAlignment w:val="bottom"/>
            </w:pPr>
            <w:r>
              <w:rPr>
                <w:rFonts w:ascii="Arial" w:eastAsia="宋体" w:hAnsi="Arial" w:cs="Arial"/>
                <w:color w:val="000000"/>
                <w:sz w:val="15"/>
                <w:szCs w:val="15"/>
              </w:rPr>
              <w:t>(234)</w:t>
            </w:r>
          </w:p>
        </w:tc>
        <w:tc>
          <w:tcPr>
            <w:tcW w:w="0" w:type="auto"/>
            <w:shd w:val="clear" w:color="auto" w:fill="FFFFFF"/>
            <w:tcMar>
              <w:top w:w="40" w:type="dxa"/>
              <w:left w:w="0" w:type="dxa"/>
              <w:bottom w:w="40" w:type="dxa"/>
              <w:right w:w="20" w:type="dxa"/>
            </w:tcMar>
            <w:vAlign w:val="bottom"/>
          </w:tcPr>
          <w:p w14:paraId="5EA25661" w14:textId="77777777" w:rsidR="003C66EB" w:rsidRDefault="003C66EB">
            <w:pPr>
              <w:jc w:val="right"/>
              <w:rPr>
                <w:rFonts w:ascii="宋体"/>
              </w:rPr>
            </w:pPr>
          </w:p>
        </w:tc>
      </w:tr>
      <w:tr w:rsidR="003C66EB" w14:paraId="5EA2566C" w14:textId="77777777">
        <w:tc>
          <w:tcPr>
            <w:tcW w:w="0" w:type="auto"/>
            <w:gridSpan w:val="3"/>
            <w:shd w:val="clear" w:color="auto" w:fill="CCEEFF"/>
            <w:tcMar>
              <w:top w:w="40" w:type="dxa"/>
              <w:left w:w="20" w:type="dxa"/>
              <w:bottom w:w="40" w:type="dxa"/>
              <w:right w:w="20" w:type="dxa"/>
            </w:tcMar>
            <w:vAlign w:val="bottom"/>
          </w:tcPr>
          <w:p w14:paraId="5EA25663" w14:textId="77777777" w:rsidR="003C66EB" w:rsidRDefault="00D96C4E">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EA25664" w14:textId="77777777" w:rsidR="003C66EB" w:rsidRDefault="00D96C4E">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EA256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67"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6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6A" w14:textId="77777777" w:rsidR="003C66EB" w:rsidRDefault="00D96C4E">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EA2566B" w14:textId="77777777" w:rsidR="003C66EB" w:rsidRDefault="003C66EB">
            <w:pPr>
              <w:jc w:val="right"/>
              <w:rPr>
                <w:rFonts w:ascii="宋体"/>
              </w:rPr>
            </w:pPr>
          </w:p>
        </w:tc>
      </w:tr>
      <w:tr w:rsidR="003C66EB" w14:paraId="5EA25676" w14:textId="77777777">
        <w:tc>
          <w:tcPr>
            <w:tcW w:w="0" w:type="auto"/>
            <w:gridSpan w:val="3"/>
            <w:shd w:val="clear" w:color="auto" w:fill="FFFFFF"/>
            <w:tcMar>
              <w:top w:w="40" w:type="dxa"/>
              <w:left w:w="20" w:type="dxa"/>
              <w:bottom w:w="40" w:type="dxa"/>
              <w:right w:w="20" w:type="dxa"/>
            </w:tcMar>
            <w:vAlign w:val="bottom"/>
          </w:tcPr>
          <w:p w14:paraId="5EA2566D" w14:textId="77777777" w:rsidR="003C66EB" w:rsidRDefault="00D96C4E">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66E" w14:textId="77777777" w:rsidR="003C66EB" w:rsidRDefault="00D96C4E">
            <w:pPr>
              <w:jc w:val="right"/>
              <w:textAlignment w:val="bottom"/>
            </w:pPr>
            <w:r>
              <w:rPr>
                <w:rFonts w:ascii="Arial" w:eastAsia="宋体" w:hAnsi="Arial" w:cs="Arial"/>
                <w:color w:val="000000"/>
                <w:sz w:val="15"/>
                <w:szCs w:val="15"/>
              </w:rPr>
              <w:t>1,733 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66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7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671" w14:textId="77777777" w:rsidR="003C66EB" w:rsidRDefault="00D96C4E">
            <w:pPr>
              <w:jc w:val="right"/>
              <w:textAlignment w:val="bottom"/>
            </w:pPr>
            <w:r>
              <w:rPr>
                <w:rFonts w:ascii="Arial" w:eastAsia="宋体" w:hAnsi="Arial" w:cs="Arial"/>
                <w:color w:val="000000"/>
                <w:sz w:val="15"/>
                <w:szCs w:val="15"/>
              </w:rPr>
              <w:t>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6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7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674" w14:textId="77777777" w:rsidR="003C66EB" w:rsidRDefault="00D96C4E">
            <w:pPr>
              <w:jc w:val="right"/>
              <w:textAlignment w:val="bottom"/>
            </w:pPr>
            <w:r>
              <w:rPr>
                <w:rFonts w:ascii="Arial" w:eastAsia="宋体" w:hAnsi="Arial" w:cs="Arial"/>
                <w:color w:val="000000"/>
                <w:sz w:val="15"/>
                <w:szCs w:val="15"/>
              </w:rPr>
              <w:t>1,827 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675" w14:textId="77777777" w:rsidR="003C66EB" w:rsidRDefault="003C66EB">
            <w:pPr>
              <w:jc w:val="right"/>
              <w:rPr>
                <w:rFonts w:ascii="宋体"/>
              </w:rPr>
            </w:pPr>
          </w:p>
        </w:tc>
      </w:tr>
      <w:tr w:rsidR="003C66EB" w14:paraId="5EA25680" w14:textId="77777777">
        <w:tc>
          <w:tcPr>
            <w:tcW w:w="0" w:type="auto"/>
            <w:gridSpan w:val="3"/>
            <w:shd w:val="clear" w:color="auto" w:fill="CCEEFF"/>
            <w:tcMar>
              <w:top w:w="40" w:type="dxa"/>
              <w:left w:w="20" w:type="dxa"/>
              <w:bottom w:w="40" w:type="dxa"/>
              <w:right w:w="20" w:type="dxa"/>
            </w:tcMar>
            <w:vAlign w:val="bottom"/>
          </w:tcPr>
          <w:p w14:paraId="5EA25677" w14:textId="77777777" w:rsidR="003C66EB" w:rsidRDefault="00D96C4E">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5678" w14:textId="77777777" w:rsidR="003C66EB" w:rsidRDefault="00D96C4E">
            <w:pPr>
              <w:jc w:val="right"/>
              <w:textAlignment w:val="bottom"/>
            </w:pPr>
            <w:r>
              <w:rPr>
                <w:rFonts w:ascii="Arial" w:eastAsia="宋体" w:hAnsi="Arial" w:cs="Arial"/>
                <w:b/>
                <w:bCs/>
                <w:color w:val="000000"/>
                <w:sz w:val="15"/>
                <w:szCs w:val="15"/>
              </w:rPr>
              <w:t>253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7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7B"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7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7E" w14:textId="77777777" w:rsidR="003C66EB" w:rsidRDefault="00D96C4E">
            <w:pPr>
              <w:jc w:val="right"/>
              <w:textAlignment w:val="bottom"/>
            </w:pPr>
            <w:r>
              <w:rPr>
                <w:rFonts w:ascii="Arial" w:eastAsia="宋体" w:hAnsi="Arial" w:cs="Arial"/>
                <w:b/>
                <w:bCs/>
                <w:color w:val="000000"/>
                <w:sz w:val="15"/>
                <w:szCs w:val="15"/>
              </w:rPr>
              <w:t>253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7F" w14:textId="77777777" w:rsidR="003C66EB" w:rsidRDefault="003C66EB">
            <w:pPr>
              <w:jc w:val="right"/>
              <w:rPr>
                <w:rFonts w:ascii="宋体"/>
              </w:rPr>
            </w:pPr>
          </w:p>
        </w:tc>
      </w:tr>
      <w:tr w:rsidR="003C66EB" w14:paraId="5EA2568A" w14:textId="77777777">
        <w:tc>
          <w:tcPr>
            <w:tcW w:w="0" w:type="auto"/>
            <w:gridSpan w:val="3"/>
            <w:shd w:val="clear" w:color="auto" w:fill="FFFFFF"/>
            <w:tcMar>
              <w:top w:w="40" w:type="dxa"/>
              <w:left w:w="20" w:type="dxa"/>
              <w:bottom w:w="40" w:type="dxa"/>
              <w:right w:w="20" w:type="dxa"/>
            </w:tcMar>
            <w:vAlign w:val="bottom"/>
          </w:tcPr>
          <w:p w14:paraId="5EA25681" w14:textId="77777777" w:rsidR="003C66EB" w:rsidRDefault="00D96C4E">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5EA25682" w14:textId="77777777" w:rsidR="003C66EB" w:rsidRDefault="00D96C4E">
            <w:pPr>
              <w:jc w:val="right"/>
              <w:textAlignment w:val="bottom"/>
            </w:pPr>
            <w:r>
              <w:rPr>
                <w:rFonts w:ascii="Arial" w:eastAsia="宋体" w:hAnsi="Arial" w:cs="Arial"/>
                <w:b/>
                <w:bCs/>
                <w:color w:val="000000"/>
                <w:sz w:val="15"/>
                <w:szCs w:val="15"/>
              </w:rPr>
              <w:t>(52)</w:t>
            </w:r>
          </w:p>
        </w:tc>
        <w:tc>
          <w:tcPr>
            <w:tcW w:w="0" w:type="auto"/>
            <w:shd w:val="clear" w:color="auto" w:fill="FFFFFF"/>
            <w:tcMar>
              <w:top w:w="40" w:type="dxa"/>
              <w:left w:w="0" w:type="dxa"/>
              <w:bottom w:w="40" w:type="dxa"/>
              <w:right w:w="20" w:type="dxa"/>
            </w:tcMar>
            <w:vAlign w:val="bottom"/>
          </w:tcPr>
          <w:p w14:paraId="5EA256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8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85" w14:textId="77777777" w:rsidR="003C66EB" w:rsidRDefault="00D96C4E">
            <w:pPr>
              <w:jc w:val="right"/>
              <w:textAlignment w:val="bottom"/>
            </w:pPr>
            <w:r>
              <w:rPr>
                <w:rFonts w:ascii="Arial" w:eastAsia="宋体" w:hAnsi="Arial" w:cs="Arial"/>
                <w:b/>
                <w:bCs/>
                <w:color w:val="000000"/>
                <w:sz w:val="15"/>
                <w:szCs w:val="15"/>
              </w:rPr>
              <w:t>(6)</w:t>
            </w:r>
          </w:p>
        </w:tc>
        <w:tc>
          <w:tcPr>
            <w:tcW w:w="0" w:type="auto"/>
            <w:shd w:val="clear" w:color="auto" w:fill="FFFFFF"/>
            <w:tcMar>
              <w:top w:w="40" w:type="dxa"/>
              <w:left w:w="0" w:type="dxa"/>
              <w:bottom w:w="40" w:type="dxa"/>
              <w:right w:w="20" w:type="dxa"/>
            </w:tcMar>
            <w:vAlign w:val="bottom"/>
          </w:tcPr>
          <w:p w14:paraId="5EA256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88" w14:textId="77777777" w:rsidR="003C66EB" w:rsidRDefault="00D96C4E">
            <w:pPr>
              <w:jc w:val="right"/>
              <w:textAlignment w:val="bottom"/>
            </w:pPr>
            <w:r>
              <w:rPr>
                <w:rFonts w:ascii="Arial" w:eastAsia="宋体" w:hAnsi="Arial" w:cs="Arial"/>
                <w:b/>
                <w:bCs/>
                <w:color w:val="000000"/>
                <w:sz w:val="15"/>
                <w:szCs w:val="15"/>
              </w:rPr>
              <w:t>(58)</w:t>
            </w:r>
          </w:p>
        </w:tc>
        <w:tc>
          <w:tcPr>
            <w:tcW w:w="0" w:type="auto"/>
            <w:shd w:val="clear" w:color="auto" w:fill="FFFFFF"/>
            <w:tcMar>
              <w:top w:w="40" w:type="dxa"/>
              <w:left w:w="0" w:type="dxa"/>
              <w:bottom w:w="40" w:type="dxa"/>
              <w:right w:w="20" w:type="dxa"/>
            </w:tcMar>
            <w:vAlign w:val="bottom"/>
          </w:tcPr>
          <w:p w14:paraId="5EA25689" w14:textId="77777777" w:rsidR="003C66EB" w:rsidRDefault="003C66EB">
            <w:pPr>
              <w:jc w:val="right"/>
              <w:rPr>
                <w:rFonts w:ascii="宋体"/>
              </w:rPr>
            </w:pPr>
          </w:p>
        </w:tc>
      </w:tr>
      <w:tr w:rsidR="003C66EB" w14:paraId="5EA25694" w14:textId="77777777">
        <w:tc>
          <w:tcPr>
            <w:tcW w:w="0" w:type="auto"/>
            <w:gridSpan w:val="3"/>
            <w:shd w:val="clear" w:color="auto" w:fill="CCEEFF"/>
            <w:tcMar>
              <w:top w:w="40" w:type="dxa"/>
              <w:left w:w="20" w:type="dxa"/>
              <w:bottom w:w="40" w:type="dxa"/>
              <w:right w:w="20" w:type="dxa"/>
            </w:tcMar>
            <w:vAlign w:val="bottom"/>
          </w:tcPr>
          <w:p w14:paraId="5EA2568B" w14:textId="77777777" w:rsidR="003C66EB" w:rsidRDefault="00D96C4E">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EA2568C" w14:textId="77777777" w:rsidR="003C66EB" w:rsidRDefault="00D96C4E">
            <w:pPr>
              <w:jc w:val="right"/>
              <w:textAlignment w:val="bottom"/>
            </w:pPr>
            <w:r>
              <w:rPr>
                <w:rFonts w:ascii="Arial" w:eastAsia="宋体" w:hAnsi="Arial" w:cs="Arial"/>
                <w:b/>
                <w:bCs/>
                <w:color w:val="000000"/>
                <w:sz w:val="15"/>
                <w:szCs w:val="15"/>
              </w:rPr>
              <w:t>(15)</w:t>
            </w:r>
          </w:p>
        </w:tc>
        <w:tc>
          <w:tcPr>
            <w:tcW w:w="0" w:type="auto"/>
            <w:shd w:val="clear" w:color="auto" w:fill="CCEEFF"/>
            <w:tcMar>
              <w:top w:w="40" w:type="dxa"/>
              <w:left w:w="0" w:type="dxa"/>
              <w:bottom w:w="40" w:type="dxa"/>
              <w:right w:w="20" w:type="dxa"/>
            </w:tcMar>
            <w:vAlign w:val="bottom"/>
          </w:tcPr>
          <w:p w14:paraId="5EA256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8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8F"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9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9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92" w14:textId="77777777" w:rsidR="003C66EB" w:rsidRDefault="00D96C4E">
            <w:pPr>
              <w:jc w:val="right"/>
              <w:textAlignment w:val="bottom"/>
            </w:pPr>
            <w:r>
              <w:rPr>
                <w:rFonts w:ascii="Arial" w:eastAsia="宋体" w:hAnsi="Arial" w:cs="Arial"/>
                <w:b/>
                <w:bCs/>
                <w:color w:val="000000"/>
                <w:sz w:val="15"/>
                <w:szCs w:val="15"/>
              </w:rPr>
              <w:t>(15)</w:t>
            </w:r>
          </w:p>
        </w:tc>
        <w:tc>
          <w:tcPr>
            <w:tcW w:w="0" w:type="auto"/>
            <w:shd w:val="clear" w:color="auto" w:fill="CCEEFF"/>
            <w:tcMar>
              <w:top w:w="40" w:type="dxa"/>
              <w:left w:w="0" w:type="dxa"/>
              <w:bottom w:w="40" w:type="dxa"/>
              <w:right w:w="20" w:type="dxa"/>
            </w:tcMar>
            <w:vAlign w:val="bottom"/>
          </w:tcPr>
          <w:p w14:paraId="5EA25693" w14:textId="77777777" w:rsidR="003C66EB" w:rsidRDefault="003C66EB">
            <w:pPr>
              <w:jc w:val="right"/>
              <w:rPr>
                <w:rFonts w:ascii="宋体"/>
              </w:rPr>
            </w:pPr>
          </w:p>
        </w:tc>
      </w:tr>
      <w:tr w:rsidR="003C66EB" w14:paraId="5EA256A1" w14:textId="77777777">
        <w:tc>
          <w:tcPr>
            <w:tcW w:w="0" w:type="auto"/>
            <w:gridSpan w:val="3"/>
            <w:shd w:val="clear" w:color="auto" w:fill="FFFFFF"/>
            <w:tcMar>
              <w:top w:w="40" w:type="dxa"/>
              <w:left w:w="20" w:type="dxa"/>
              <w:bottom w:w="40" w:type="dxa"/>
              <w:right w:w="20" w:type="dxa"/>
            </w:tcMar>
            <w:vAlign w:val="bottom"/>
          </w:tcPr>
          <w:p w14:paraId="5EA25695" w14:textId="77777777" w:rsidR="003C66EB" w:rsidRDefault="00D96C4E">
            <w:pPr>
              <w:textAlignment w:val="bottom"/>
            </w:pPr>
            <w:r>
              <w:rPr>
                <w:rFonts w:ascii="Arial" w:eastAsia="宋体" w:hAnsi="Arial" w:cs="Arial"/>
                <w:b/>
                <w:bCs/>
                <w:color w:val="000000"/>
                <w:sz w:val="15"/>
                <w:szCs w:val="15"/>
              </w:rPr>
              <w:t>Ending balance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696"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697" w14:textId="77777777" w:rsidR="003C66EB" w:rsidRDefault="00D96C4E">
            <w:pPr>
              <w:jc w:val="right"/>
              <w:textAlignment w:val="bottom"/>
            </w:pPr>
            <w:r>
              <w:rPr>
                <w:rFonts w:ascii="Arial" w:eastAsia="宋体" w:hAnsi="Arial" w:cs="Arial"/>
                <w:b/>
                <w:bCs/>
                <w:color w:val="000000"/>
                <w:sz w:val="15"/>
                <w:szCs w:val="15"/>
              </w:rPr>
              <w:t>1,919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6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99"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69A"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69B" w14:textId="77777777" w:rsidR="003C66EB" w:rsidRDefault="00D96C4E">
            <w:pPr>
              <w:jc w:val="right"/>
              <w:textAlignment w:val="bottom"/>
            </w:pPr>
            <w:r>
              <w:rPr>
                <w:rFonts w:ascii="Arial" w:eastAsia="宋体" w:hAnsi="Arial" w:cs="Arial"/>
                <w:b/>
                <w:bCs/>
                <w:color w:val="000000"/>
                <w:sz w:val="15"/>
                <w:szCs w:val="15"/>
              </w:rPr>
              <w:t>88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6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9D"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69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69F" w14:textId="77777777" w:rsidR="003C66EB" w:rsidRDefault="00D96C4E">
            <w:pPr>
              <w:jc w:val="right"/>
              <w:textAlignment w:val="bottom"/>
            </w:pPr>
            <w:r>
              <w:rPr>
                <w:rFonts w:ascii="Arial" w:eastAsia="宋体" w:hAnsi="Arial" w:cs="Arial"/>
                <w:b/>
                <w:bCs/>
                <w:color w:val="000000"/>
                <w:sz w:val="15"/>
                <w:szCs w:val="15"/>
              </w:rPr>
              <w:t>2,007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6A0" w14:textId="77777777" w:rsidR="003C66EB" w:rsidRDefault="003C66EB">
            <w:pPr>
              <w:jc w:val="right"/>
              <w:rPr>
                <w:rFonts w:ascii="宋体"/>
              </w:rPr>
            </w:pPr>
          </w:p>
        </w:tc>
      </w:tr>
    </w:tbl>
    <w:p w14:paraId="5EA256A2"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3C66EB" w14:paraId="5EA256A9" w14:textId="77777777">
        <w:tc>
          <w:tcPr>
            <w:tcW w:w="50" w:type="pct"/>
            <w:shd w:val="clear" w:color="auto" w:fill="auto"/>
          </w:tcPr>
          <w:p w14:paraId="5EA256A3" w14:textId="77777777" w:rsidR="003C66EB" w:rsidRDefault="003C66EB">
            <w:pPr>
              <w:rPr>
                <w:rFonts w:ascii="宋体"/>
              </w:rPr>
            </w:pPr>
          </w:p>
        </w:tc>
        <w:tc>
          <w:tcPr>
            <w:tcW w:w="2907" w:type="pct"/>
            <w:shd w:val="clear" w:color="auto" w:fill="auto"/>
          </w:tcPr>
          <w:p w14:paraId="5EA256A4" w14:textId="77777777" w:rsidR="003C66EB" w:rsidRDefault="003C66EB">
            <w:pPr>
              <w:rPr>
                <w:rFonts w:ascii="宋体"/>
              </w:rPr>
            </w:pPr>
          </w:p>
        </w:tc>
        <w:tc>
          <w:tcPr>
            <w:tcW w:w="5" w:type="pct"/>
            <w:shd w:val="clear" w:color="auto" w:fill="auto"/>
          </w:tcPr>
          <w:p w14:paraId="5EA256A5" w14:textId="77777777" w:rsidR="003C66EB" w:rsidRDefault="003C66EB">
            <w:pPr>
              <w:rPr>
                <w:rFonts w:ascii="宋体"/>
              </w:rPr>
            </w:pPr>
          </w:p>
        </w:tc>
        <w:tc>
          <w:tcPr>
            <w:tcW w:w="50" w:type="pct"/>
            <w:shd w:val="clear" w:color="auto" w:fill="auto"/>
          </w:tcPr>
          <w:p w14:paraId="5EA256A6" w14:textId="77777777" w:rsidR="003C66EB" w:rsidRDefault="003C66EB">
            <w:pPr>
              <w:rPr>
                <w:rFonts w:ascii="宋体"/>
              </w:rPr>
            </w:pPr>
          </w:p>
        </w:tc>
        <w:tc>
          <w:tcPr>
            <w:tcW w:w="1982" w:type="pct"/>
            <w:shd w:val="clear" w:color="auto" w:fill="auto"/>
          </w:tcPr>
          <w:p w14:paraId="5EA256A7" w14:textId="77777777" w:rsidR="003C66EB" w:rsidRDefault="003C66EB">
            <w:pPr>
              <w:rPr>
                <w:rFonts w:ascii="宋体"/>
              </w:rPr>
            </w:pPr>
          </w:p>
        </w:tc>
        <w:tc>
          <w:tcPr>
            <w:tcW w:w="5" w:type="pct"/>
            <w:shd w:val="clear" w:color="auto" w:fill="auto"/>
          </w:tcPr>
          <w:p w14:paraId="5EA256A8" w14:textId="77777777" w:rsidR="003C66EB" w:rsidRDefault="003C66EB">
            <w:pPr>
              <w:rPr>
                <w:rFonts w:ascii="宋体"/>
              </w:rPr>
            </w:pPr>
          </w:p>
        </w:tc>
      </w:tr>
      <w:tr w:rsidR="003C66EB" w14:paraId="5EA256A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6A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AB" w14:textId="77777777" w:rsidR="003C66EB" w:rsidRDefault="003C66EB">
            <w:pPr>
              <w:rPr>
                <w:rFonts w:ascii="宋体"/>
              </w:rPr>
            </w:pPr>
          </w:p>
        </w:tc>
      </w:tr>
    </w:tbl>
    <w:p w14:paraId="5EA256AD" w14:textId="77777777" w:rsidR="003C66EB" w:rsidRDefault="00D96C4E">
      <w:pPr>
        <w:spacing w:before="60"/>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5EA256AE" w14:textId="77777777" w:rsidR="003C66EB" w:rsidRDefault="00D96C4E">
      <w:pPr>
        <w:spacing w:before="9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On March 31, 2021, Investment Servicing includes our acquisition of the depositary bank and fund administrator </w:t>
      </w:r>
      <w:r>
        <w:rPr>
          <w:rFonts w:ascii="Arial" w:eastAsia="宋体" w:hAnsi="Arial" w:cs="Arial"/>
          <w:color w:val="000000"/>
          <w:sz w:val="13"/>
          <w:szCs w:val="13"/>
        </w:rPr>
        <w:t>activities, of Fideuram Bank Luxembourg, a subsidiary of Intesa Sanpaolo, for a total purchase price of approximately EUR 220 million or approximately $258 million. We accounted for this acquisition of a going concern as a business combination and, in acco</w:t>
      </w:r>
      <w:r>
        <w:rPr>
          <w:rFonts w:ascii="Arial" w:eastAsia="宋体" w:hAnsi="Arial" w:cs="Arial"/>
          <w:color w:val="000000"/>
          <w:sz w:val="13"/>
          <w:szCs w:val="13"/>
        </w:rPr>
        <w:t>rdance with ASC Topic 805, Business Combinations, we have recorded assets acquired and liabilities assumed at their respective fair values as of the acquisition date. The purchase price accounting reflected is provisional and is based upon estimates and as</w:t>
      </w:r>
      <w:r>
        <w:rPr>
          <w:rFonts w:ascii="Arial" w:eastAsia="宋体" w:hAnsi="Arial" w:cs="Arial"/>
          <w:color w:val="000000"/>
          <w:sz w:val="13"/>
          <w:szCs w:val="13"/>
        </w:rPr>
        <w:t>sumptions that are subject to change within the measurement period (up to one year from the acquisition date pursuant to ASC 805). The measurement period remains open pending the completion of valuation procedures related to the acquired assets and assumed</w:t>
      </w:r>
      <w:r>
        <w:rPr>
          <w:rFonts w:ascii="Arial" w:eastAsia="宋体" w:hAnsi="Arial" w:cs="Arial"/>
          <w:color w:val="000000"/>
          <w:sz w:val="13"/>
          <w:szCs w:val="13"/>
        </w:rPr>
        <w:t xml:space="preserve"> liabilities, primarily the identifiable intangible assets.     </w:t>
      </w:r>
    </w:p>
    <w:p w14:paraId="5EA256AF"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the gross carrying amount, accumulated amortization and net carrying amount of other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542"/>
        <w:gridCol w:w="39"/>
        <w:gridCol w:w="105"/>
        <w:gridCol w:w="1590"/>
        <w:gridCol w:w="36"/>
        <w:gridCol w:w="36"/>
        <w:gridCol w:w="70"/>
        <w:gridCol w:w="36"/>
        <w:gridCol w:w="105"/>
        <w:gridCol w:w="1823"/>
        <w:gridCol w:w="36"/>
        <w:gridCol w:w="36"/>
        <w:gridCol w:w="71"/>
        <w:gridCol w:w="36"/>
        <w:gridCol w:w="105"/>
        <w:gridCol w:w="1593"/>
        <w:gridCol w:w="36"/>
      </w:tblGrid>
      <w:tr w:rsidR="003C66EB" w14:paraId="5EA256C2" w14:textId="77777777">
        <w:tc>
          <w:tcPr>
            <w:tcW w:w="50" w:type="pct"/>
            <w:shd w:val="clear" w:color="auto" w:fill="auto"/>
          </w:tcPr>
          <w:p w14:paraId="5EA256B0" w14:textId="77777777" w:rsidR="003C66EB" w:rsidRDefault="003C66EB">
            <w:pPr>
              <w:rPr>
                <w:rFonts w:ascii="宋体"/>
              </w:rPr>
            </w:pPr>
          </w:p>
        </w:tc>
        <w:tc>
          <w:tcPr>
            <w:tcW w:w="1549" w:type="pct"/>
            <w:shd w:val="clear" w:color="auto" w:fill="auto"/>
          </w:tcPr>
          <w:p w14:paraId="5EA256B1" w14:textId="77777777" w:rsidR="003C66EB" w:rsidRDefault="003C66EB">
            <w:pPr>
              <w:rPr>
                <w:rFonts w:ascii="宋体"/>
              </w:rPr>
            </w:pPr>
          </w:p>
        </w:tc>
        <w:tc>
          <w:tcPr>
            <w:tcW w:w="5" w:type="pct"/>
            <w:shd w:val="clear" w:color="auto" w:fill="auto"/>
          </w:tcPr>
          <w:p w14:paraId="5EA256B2" w14:textId="77777777" w:rsidR="003C66EB" w:rsidRDefault="003C66EB">
            <w:pPr>
              <w:rPr>
                <w:rFonts w:ascii="宋体"/>
              </w:rPr>
            </w:pPr>
          </w:p>
        </w:tc>
        <w:tc>
          <w:tcPr>
            <w:tcW w:w="50" w:type="pct"/>
            <w:shd w:val="clear" w:color="auto" w:fill="auto"/>
          </w:tcPr>
          <w:p w14:paraId="5EA256B3" w14:textId="77777777" w:rsidR="003C66EB" w:rsidRDefault="003C66EB">
            <w:pPr>
              <w:rPr>
                <w:rFonts w:ascii="宋体"/>
              </w:rPr>
            </w:pPr>
          </w:p>
        </w:tc>
        <w:tc>
          <w:tcPr>
            <w:tcW w:w="978" w:type="pct"/>
            <w:shd w:val="clear" w:color="auto" w:fill="auto"/>
          </w:tcPr>
          <w:p w14:paraId="5EA256B4" w14:textId="77777777" w:rsidR="003C66EB" w:rsidRDefault="003C66EB">
            <w:pPr>
              <w:rPr>
                <w:rFonts w:ascii="宋体"/>
              </w:rPr>
            </w:pPr>
          </w:p>
        </w:tc>
        <w:tc>
          <w:tcPr>
            <w:tcW w:w="5" w:type="pct"/>
            <w:shd w:val="clear" w:color="auto" w:fill="auto"/>
          </w:tcPr>
          <w:p w14:paraId="5EA256B5" w14:textId="77777777" w:rsidR="003C66EB" w:rsidRDefault="003C66EB">
            <w:pPr>
              <w:rPr>
                <w:rFonts w:ascii="宋体"/>
              </w:rPr>
            </w:pPr>
          </w:p>
        </w:tc>
        <w:tc>
          <w:tcPr>
            <w:tcW w:w="5" w:type="pct"/>
            <w:shd w:val="clear" w:color="auto" w:fill="auto"/>
          </w:tcPr>
          <w:p w14:paraId="5EA256B6" w14:textId="77777777" w:rsidR="003C66EB" w:rsidRDefault="003C66EB">
            <w:pPr>
              <w:rPr>
                <w:rFonts w:ascii="宋体"/>
              </w:rPr>
            </w:pPr>
          </w:p>
        </w:tc>
        <w:tc>
          <w:tcPr>
            <w:tcW w:w="67" w:type="pct"/>
            <w:shd w:val="clear" w:color="auto" w:fill="auto"/>
          </w:tcPr>
          <w:p w14:paraId="5EA256B7" w14:textId="77777777" w:rsidR="003C66EB" w:rsidRDefault="003C66EB">
            <w:pPr>
              <w:rPr>
                <w:rFonts w:ascii="宋体"/>
              </w:rPr>
            </w:pPr>
          </w:p>
        </w:tc>
        <w:tc>
          <w:tcPr>
            <w:tcW w:w="5" w:type="pct"/>
            <w:shd w:val="clear" w:color="auto" w:fill="auto"/>
          </w:tcPr>
          <w:p w14:paraId="5EA256B8" w14:textId="77777777" w:rsidR="003C66EB" w:rsidRDefault="003C66EB">
            <w:pPr>
              <w:rPr>
                <w:rFonts w:ascii="宋体"/>
              </w:rPr>
            </w:pPr>
          </w:p>
        </w:tc>
        <w:tc>
          <w:tcPr>
            <w:tcW w:w="50" w:type="pct"/>
            <w:shd w:val="clear" w:color="auto" w:fill="auto"/>
          </w:tcPr>
          <w:p w14:paraId="5EA256B9" w14:textId="77777777" w:rsidR="003C66EB" w:rsidRDefault="003C66EB">
            <w:pPr>
              <w:rPr>
                <w:rFonts w:ascii="宋体"/>
              </w:rPr>
            </w:pPr>
          </w:p>
        </w:tc>
        <w:tc>
          <w:tcPr>
            <w:tcW w:w="1117" w:type="pct"/>
            <w:shd w:val="clear" w:color="auto" w:fill="auto"/>
          </w:tcPr>
          <w:p w14:paraId="5EA256BA" w14:textId="77777777" w:rsidR="003C66EB" w:rsidRDefault="003C66EB">
            <w:pPr>
              <w:rPr>
                <w:rFonts w:ascii="宋体"/>
              </w:rPr>
            </w:pPr>
          </w:p>
        </w:tc>
        <w:tc>
          <w:tcPr>
            <w:tcW w:w="5" w:type="pct"/>
            <w:shd w:val="clear" w:color="auto" w:fill="auto"/>
          </w:tcPr>
          <w:p w14:paraId="5EA256BB" w14:textId="77777777" w:rsidR="003C66EB" w:rsidRDefault="003C66EB">
            <w:pPr>
              <w:rPr>
                <w:rFonts w:ascii="宋体"/>
              </w:rPr>
            </w:pPr>
          </w:p>
        </w:tc>
        <w:tc>
          <w:tcPr>
            <w:tcW w:w="5" w:type="pct"/>
            <w:shd w:val="clear" w:color="auto" w:fill="auto"/>
          </w:tcPr>
          <w:p w14:paraId="5EA256BC" w14:textId="77777777" w:rsidR="003C66EB" w:rsidRDefault="003C66EB">
            <w:pPr>
              <w:rPr>
                <w:rFonts w:ascii="宋体"/>
              </w:rPr>
            </w:pPr>
          </w:p>
        </w:tc>
        <w:tc>
          <w:tcPr>
            <w:tcW w:w="67" w:type="pct"/>
            <w:shd w:val="clear" w:color="auto" w:fill="auto"/>
          </w:tcPr>
          <w:p w14:paraId="5EA256BD" w14:textId="77777777" w:rsidR="003C66EB" w:rsidRDefault="003C66EB">
            <w:pPr>
              <w:rPr>
                <w:rFonts w:ascii="宋体"/>
              </w:rPr>
            </w:pPr>
          </w:p>
        </w:tc>
        <w:tc>
          <w:tcPr>
            <w:tcW w:w="5" w:type="pct"/>
            <w:shd w:val="clear" w:color="auto" w:fill="auto"/>
          </w:tcPr>
          <w:p w14:paraId="5EA256BE" w14:textId="77777777" w:rsidR="003C66EB" w:rsidRDefault="003C66EB">
            <w:pPr>
              <w:rPr>
                <w:rFonts w:ascii="宋体"/>
              </w:rPr>
            </w:pPr>
          </w:p>
        </w:tc>
        <w:tc>
          <w:tcPr>
            <w:tcW w:w="50" w:type="pct"/>
            <w:shd w:val="clear" w:color="auto" w:fill="auto"/>
          </w:tcPr>
          <w:p w14:paraId="5EA256BF" w14:textId="77777777" w:rsidR="003C66EB" w:rsidRDefault="003C66EB">
            <w:pPr>
              <w:rPr>
                <w:rFonts w:ascii="宋体"/>
              </w:rPr>
            </w:pPr>
          </w:p>
        </w:tc>
        <w:tc>
          <w:tcPr>
            <w:tcW w:w="979" w:type="pct"/>
            <w:shd w:val="clear" w:color="auto" w:fill="auto"/>
          </w:tcPr>
          <w:p w14:paraId="5EA256C0" w14:textId="77777777" w:rsidR="003C66EB" w:rsidRDefault="003C66EB">
            <w:pPr>
              <w:rPr>
                <w:rFonts w:ascii="宋体"/>
              </w:rPr>
            </w:pPr>
          </w:p>
        </w:tc>
        <w:tc>
          <w:tcPr>
            <w:tcW w:w="5" w:type="pct"/>
            <w:shd w:val="clear" w:color="auto" w:fill="auto"/>
          </w:tcPr>
          <w:p w14:paraId="5EA256C1" w14:textId="77777777" w:rsidR="003C66EB" w:rsidRDefault="003C66EB">
            <w:pPr>
              <w:rPr>
                <w:rFonts w:ascii="宋体"/>
              </w:rPr>
            </w:pPr>
          </w:p>
        </w:tc>
      </w:tr>
      <w:tr w:rsidR="003C66EB" w14:paraId="5EA256C9" w14:textId="77777777">
        <w:trPr>
          <w:trHeight w:val="240"/>
        </w:trPr>
        <w:tc>
          <w:tcPr>
            <w:tcW w:w="0" w:type="auto"/>
            <w:gridSpan w:val="3"/>
            <w:shd w:val="clear" w:color="auto" w:fill="auto"/>
            <w:tcMar>
              <w:top w:w="40" w:type="dxa"/>
              <w:left w:w="20" w:type="dxa"/>
              <w:bottom w:w="40" w:type="dxa"/>
              <w:right w:w="20" w:type="dxa"/>
            </w:tcMar>
            <w:vAlign w:val="bottom"/>
          </w:tcPr>
          <w:p w14:paraId="5EA256C3" w14:textId="77777777" w:rsidR="003C66EB" w:rsidRDefault="00D96C4E">
            <w:pPr>
              <w:textAlignment w:val="bottom"/>
            </w:pPr>
            <w:r>
              <w:rPr>
                <w:rFonts w:ascii="Arial" w:eastAsia="宋体" w:hAnsi="Arial" w:cs="Arial"/>
                <w:b/>
                <w:bCs/>
                <w:color w:val="000000"/>
                <w:sz w:val="15"/>
                <w:szCs w:val="15"/>
              </w:rPr>
              <w:t>March 31, 2021</w:t>
            </w:r>
          </w:p>
        </w:tc>
        <w:tc>
          <w:tcPr>
            <w:tcW w:w="0" w:type="auto"/>
            <w:gridSpan w:val="3"/>
            <w:vMerge w:val="restart"/>
            <w:shd w:val="clear" w:color="auto" w:fill="auto"/>
            <w:tcMar>
              <w:top w:w="40" w:type="dxa"/>
              <w:left w:w="20" w:type="dxa"/>
              <w:bottom w:w="40" w:type="dxa"/>
              <w:right w:w="20" w:type="dxa"/>
            </w:tcMar>
            <w:vAlign w:val="bottom"/>
          </w:tcPr>
          <w:p w14:paraId="5EA256C4" w14:textId="77777777" w:rsidR="003C66EB" w:rsidRDefault="00D96C4E">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tcPr>
          <w:p w14:paraId="5EA256C5"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56C6" w14:textId="77777777" w:rsidR="003C66EB" w:rsidRDefault="00D96C4E">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tcPr>
          <w:p w14:paraId="5EA256C7"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56C8" w14:textId="77777777" w:rsidR="003C66EB" w:rsidRDefault="00D96C4E">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3C66EB" w14:paraId="5EA256D0" w14:textId="77777777">
        <w:trPr>
          <w:trHeight w:val="300"/>
        </w:trPr>
        <w:tc>
          <w:tcPr>
            <w:tcW w:w="0" w:type="auto"/>
            <w:gridSpan w:val="3"/>
            <w:shd w:val="clear" w:color="auto" w:fill="auto"/>
            <w:tcMar>
              <w:top w:w="40" w:type="dxa"/>
              <w:left w:w="20" w:type="dxa"/>
              <w:bottom w:w="40" w:type="dxa"/>
              <w:right w:w="20" w:type="dxa"/>
            </w:tcMar>
            <w:vAlign w:val="bottom"/>
          </w:tcPr>
          <w:p w14:paraId="5EA256CA"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5EA256C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CC"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56C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CE"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56CF" w14:textId="77777777" w:rsidR="003C66EB" w:rsidRDefault="003C66EB">
            <w:pPr>
              <w:rPr>
                <w:rFonts w:ascii="宋体"/>
              </w:rPr>
            </w:pPr>
          </w:p>
        </w:tc>
      </w:tr>
      <w:tr w:rsidR="003C66EB" w14:paraId="5EA256D7" w14:textId="77777777">
        <w:tc>
          <w:tcPr>
            <w:tcW w:w="0" w:type="auto"/>
            <w:gridSpan w:val="3"/>
            <w:shd w:val="clear" w:color="auto" w:fill="FFFFFF"/>
            <w:tcMar>
              <w:top w:w="40" w:type="dxa"/>
              <w:left w:w="20" w:type="dxa"/>
              <w:bottom w:w="40" w:type="dxa"/>
              <w:right w:w="20" w:type="dxa"/>
            </w:tcMar>
            <w:vAlign w:val="bottom"/>
          </w:tcPr>
          <w:p w14:paraId="5EA256D1" w14:textId="77777777" w:rsidR="003C66EB" w:rsidRDefault="00D96C4E">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56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D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6D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6D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6D6" w14:textId="77777777" w:rsidR="003C66EB" w:rsidRDefault="003C66EB">
            <w:pPr>
              <w:rPr>
                <w:rFonts w:ascii="宋体"/>
              </w:rPr>
            </w:pPr>
          </w:p>
        </w:tc>
      </w:tr>
      <w:tr w:rsidR="003C66EB" w14:paraId="5EA256E4" w14:textId="77777777">
        <w:tc>
          <w:tcPr>
            <w:tcW w:w="0" w:type="auto"/>
            <w:gridSpan w:val="3"/>
            <w:shd w:val="clear" w:color="auto" w:fill="CCEEFF"/>
            <w:tcMar>
              <w:top w:w="40" w:type="dxa"/>
              <w:left w:w="20" w:type="dxa"/>
              <w:bottom w:w="40" w:type="dxa"/>
              <w:right w:w="20" w:type="dxa"/>
            </w:tcMar>
            <w:vAlign w:val="bottom"/>
          </w:tcPr>
          <w:p w14:paraId="5EA256D8" w14:textId="77777777" w:rsidR="003C66EB" w:rsidRDefault="00D96C4E">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5EA256D9"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6DA" w14:textId="77777777" w:rsidR="003C66EB" w:rsidRDefault="00D96C4E">
            <w:pPr>
              <w:jc w:val="right"/>
              <w:textAlignment w:val="bottom"/>
            </w:pPr>
            <w:r>
              <w:rPr>
                <w:rFonts w:ascii="Arial" w:eastAsia="宋体" w:hAnsi="Arial" w:cs="Arial"/>
                <w:b/>
                <w:bCs/>
                <w:color w:val="000000"/>
                <w:sz w:val="15"/>
                <w:szCs w:val="15"/>
              </w:rPr>
              <w:t>2,827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D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6DD"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6DE" w14:textId="77777777" w:rsidR="003C66EB" w:rsidRDefault="00D96C4E">
            <w:pPr>
              <w:jc w:val="right"/>
              <w:textAlignment w:val="bottom"/>
            </w:pPr>
            <w:r>
              <w:rPr>
                <w:rFonts w:ascii="Arial" w:eastAsia="宋体" w:hAnsi="Arial" w:cs="Arial"/>
                <w:b/>
                <w:bCs/>
                <w:color w:val="000000"/>
                <w:sz w:val="15"/>
                <w:szCs w:val="15"/>
              </w:rPr>
              <w:t>(1,387)</w:t>
            </w:r>
          </w:p>
        </w:tc>
        <w:tc>
          <w:tcPr>
            <w:tcW w:w="0" w:type="auto"/>
            <w:shd w:val="clear" w:color="auto" w:fill="CCEEFF"/>
            <w:tcMar>
              <w:top w:w="40" w:type="dxa"/>
              <w:left w:w="0" w:type="dxa"/>
              <w:bottom w:w="40" w:type="dxa"/>
              <w:right w:w="20" w:type="dxa"/>
            </w:tcMar>
            <w:vAlign w:val="bottom"/>
          </w:tcPr>
          <w:p w14:paraId="5EA256D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E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6E1"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6E2" w14:textId="77777777" w:rsidR="003C66EB" w:rsidRDefault="00D96C4E">
            <w:pPr>
              <w:jc w:val="right"/>
              <w:textAlignment w:val="bottom"/>
            </w:pPr>
            <w:r>
              <w:rPr>
                <w:rFonts w:ascii="Arial" w:eastAsia="宋体" w:hAnsi="Arial" w:cs="Arial"/>
                <w:b/>
                <w:bCs/>
                <w:color w:val="000000"/>
                <w:sz w:val="15"/>
                <w:szCs w:val="15"/>
              </w:rPr>
              <w:t>1,440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E3" w14:textId="77777777" w:rsidR="003C66EB" w:rsidRDefault="003C66EB">
            <w:pPr>
              <w:jc w:val="right"/>
              <w:rPr>
                <w:rFonts w:ascii="宋体"/>
              </w:rPr>
            </w:pPr>
          </w:p>
        </w:tc>
      </w:tr>
      <w:tr w:rsidR="003C66EB" w14:paraId="5EA256EE" w14:textId="77777777">
        <w:tc>
          <w:tcPr>
            <w:tcW w:w="0" w:type="auto"/>
            <w:gridSpan w:val="3"/>
            <w:shd w:val="clear" w:color="auto" w:fill="auto"/>
            <w:tcMar>
              <w:top w:w="40" w:type="dxa"/>
              <w:left w:w="20" w:type="dxa"/>
              <w:bottom w:w="40" w:type="dxa"/>
              <w:right w:w="20" w:type="dxa"/>
            </w:tcMar>
            <w:vAlign w:val="bottom"/>
          </w:tcPr>
          <w:p w14:paraId="5EA256E5" w14:textId="77777777" w:rsidR="003C66EB" w:rsidRDefault="00D96C4E">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5EA256E6" w14:textId="77777777" w:rsidR="003C66EB" w:rsidRDefault="00D96C4E">
            <w:pPr>
              <w:jc w:val="right"/>
              <w:textAlignment w:val="bottom"/>
            </w:pPr>
            <w:r>
              <w:rPr>
                <w:rFonts w:ascii="Arial" w:eastAsia="宋体" w:hAnsi="Arial" w:cs="Arial"/>
                <w:b/>
                <w:bCs/>
                <w:color w:val="000000"/>
                <w:sz w:val="15"/>
                <w:szCs w:val="15"/>
              </w:rPr>
              <w:t>386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6E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E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E9" w14:textId="77777777" w:rsidR="003C66EB" w:rsidRDefault="00D96C4E">
            <w:pPr>
              <w:jc w:val="right"/>
              <w:textAlignment w:val="bottom"/>
            </w:pPr>
            <w:r>
              <w:rPr>
                <w:rFonts w:ascii="Arial" w:eastAsia="宋体" w:hAnsi="Arial" w:cs="Arial"/>
                <w:b/>
                <w:bCs/>
                <w:color w:val="000000"/>
                <w:sz w:val="15"/>
                <w:szCs w:val="15"/>
              </w:rPr>
              <w:t>(115)</w:t>
            </w:r>
          </w:p>
        </w:tc>
        <w:tc>
          <w:tcPr>
            <w:tcW w:w="0" w:type="auto"/>
            <w:shd w:val="clear" w:color="auto" w:fill="FFFFFF"/>
            <w:tcMar>
              <w:top w:w="40" w:type="dxa"/>
              <w:left w:w="0" w:type="dxa"/>
              <w:bottom w:w="40" w:type="dxa"/>
              <w:right w:w="20" w:type="dxa"/>
            </w:tcMar>
            <w:vAlign w:val="bottom"/>
          </w:tcPr>
          <w:p w14:paraId="5EA256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E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EC" w14:textId="77777777" w:rsidR="003C66EB" w:rsidRDefault="00D96C4E">
            <w:pPr>
              <w:jc w:val="right"/>
              <w:textAlignment w:val="bottom"/>
            </w:pPr>
            <w:r>
              <w:rPr>
                <w:rFonts w:ascii="Arial" w:eastAsia="宋体" w:hAnsi="Arial" w:cs="Arial"/>
                <w:b/>
                <w:bCs/>
                <w:color w:val="000000"/>
                <w:sz w:val="15"/>
                <w:szCs w:val="15"/>
              </w:rPr>
              <w:t>271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6ED" w14:textId="77777777" w:rsidR="003C66EB" w:rsidRDefault="003C66EB">
            <w:pPr>
              <w:jc w:val="right"/>
              <w:rPr>
                <w:rFonts w:ascii="宋体"/>
              </w:rPr>
            </w:pPr>
          </w:p>
        </w:tc>
      </w:tr>
      <w:tr w:rsidR="003C66EB" w14:paraId="5EA256F8" w14:textId="77777777">
        <w:tc>
          <w:tcPr>
            <w:tcW w:w="0" w:type="auto"/>
            <w:gridSpan w:val="3"/>
            <w:shd w:val="clear" w:color="auto" w:fill="CCEEFF"/>
            <w:tcMar>
              <w:top w:w="40" w:type="dxa"/>
              <w:left w:w="20" w:type="dxa"/>
              <w:bottom w:w="40" w:type="dxa"/>
              <w:right w:w="20" w:type="dxa"/>
            </w:tcMar>
            <w:vAlign w:val="bottom"/>
          </w:tcPr>
          <w:p w14:paraId="5EA256EF" w14:textId="77777777" w:rsidR="003C66EB" w:rsidRDefault="00D96C4E">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5EA256F0" w14:textId="77777777" w:rsidR="003C66EB" w:rsidRDefault="00D96C4E">
            <w:pPr>
              <w:jc w:val="right"/>
              <w:textAlignment w:val="bottom"/>
            </w:pPr>
            <w:r>
              <w:rPr>
                <w:rFonts w:ascii="Arial" w:eastAsia="宋体" w:hAnsi="Arial" w:cs="Arial"/>
                <w:b/>
                <w:bCs/>
                <w:color w:val="000000"/>
                <w:sz w:val="15"/>
                <w:szCs w:val="15"/>
              </w:rPr>
              <w:t>699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F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F3" w14:textId="77777777" w:rsidR="003C66EB" w:rsidRDefault="00D96C4E">
            <w:pPr>
              <w:jc w:val="right"/>
              <w:textAlignment w:val="bottom"/>
            </w:pPr>
            <w:r>
              <w:rPr>
                <w:rFonts w:ascii="Arial" w:eastAsia="宋体" w:hAnsi="Arial" w:cs="Arial"/>
                <w:b/>
                <w:bCs/>
                <w:color w:val="000000"/>
                <w:sz w:val="15"/>
                <w:szCs w:val="15"/>
              </w:rPr>
              <w:t>(429)</w:t>
            </w:r>
          </w:p>
        </w:tc>
        <w:tc>
          <w:tcPr>
            <w:tcW w:w="0" w:type="auto"/>
            <w:shd w:val="clear" w:color="auto" w:fill="CCEEFF"/>
            <w:tcMar>
              <w:top w:w="40" w:type="dxa"/>
              <w:left w:w="0" w:type="dxa"/>
              <w:bottom w:w="40" w:type="dxa"/>
              <w:right w:w="20" w:type="dxa"/>
            </w:tcMar>
            <w:vAlign w:val="bottom"/>
          </w:tcPr>
          <w:p w14:paraId="5EA256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6F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6F6" w14:textId="77777777" w:rsidR="003C66EB" w:rsidRDefault="00D96C4E">
            <w:pPr>
              <w:jc w:val="right"/>
              <w:textAlignment w:val="bottom"/>
            </w:pPr>
            <w:r>
              <w:rPr>
                <w:rFonts w:ascii="Arial" w:eastAsia="宋体" w:hAnsi="Arial" w:cs="Arial"/>
                <w:b/>
                <w:bCs/>
                <w:color w:val="000000"/>
                <w:sz w:val="15"/>
                <w:szCs w:val="15"/>
              </w:rPr>
              <w:t>270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6F7" w14:textId="77777777" w:rsidR="003C66EB" w:rsidRDefault="003C66EB">
            <w:pPr>
              <w:jc w:val="right"/>
              <w:rPr>
                <w:rFonts w:ascii="宋体"/>
              </w:rPr>
            </w:pPr>
          </w:p>
        </w:tc>
      </w:tr>
      <w:tr w:rsidR="003C66EB" w14:paraId="5EA25702" w14:textId="77777777">
        <w:tc>
          <w:tcPr>
            <w:tcW w:w="0" w:type="auto"/>
            <w:gridSpan w:val="3"/>
            <w:shd w:val="clear" w:color="auto" w:fill="auto"/>
            <w:tcMar>
              <w:top w:w="40" w:type="dxa"/>
              <w:left w:w="20" w:type="dxa"/>
              <w:bottom w:w="40" w:type="dxa"/>
              <w:right w:w="20" w:type="dxa"/>
            </w:tcMar>
            <w:vAlign w:val="bottom"/>
          </w:tcPr>
          <w:p w14:paraId="5EA256F9" w14:textId="77777777" w:rsidR="003C66EB" w:rsidRDefault="00D96C4E">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A256FA" w14:textId="77777777" w:rsidR="003C66EB" w:rsidRDefault="00D96C4E">
            <w:pPr>
              <w:jc w:val="right"/>
              <w:textAlignment w:val="bottom"/>
            </w:pPr>
            <w:r>
              <w:rPr>
                <w:rFonts w:ascii="Arial" w:eastAsia="宋体" w:hAnsi="Arial" w:cs="Arial"/>
                <w:b/>
                <w:bCs/>
                <w:color w:val="000000"/>
                <w:sz w:val="15"/>
                <w:szCs w:val="15"/>
              </w:rPr>
              <w:t>104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6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6FD" w14:textId="77777777" w:rsidR="003C66EB" w:rsidRDefault="00D96C4E">
            <w:pPr>
              <w:jc w:val="right"/>
              <w:textAlignment w:val="bottom"/>
            </w:pPr>
            <w:r>
              <w:rPr>
                <w:rFonts w:ascii="Arial" w:eastAsia="宋体" w:hAnsi="Arial" w:cs="Arial"/>
                <w:b/>
                <w:bCs/>
                <w:color w:val="000000"/>
                <w:sz w:val="15"/>
                <w:szCs w:val="15"/>
              </w:rPr>
              <w:t>(78)</w:t>
            </w:r>
          </w:p>
        </w:tc>
        <w:tc>
          <w:tcPr>
            <w:tcW w:w="0" w:type="auto"/>
            <w:shd w:val="clear" w:color="auto" w:fill="FFFFFF"/>
            <w:tcMar>
              <w:top w:w="40" w:type="dxa"/>
              <w:left w:w="0" w:type="dxa"/>
              <w:bottom w:w="40" w:type="dxa"/>
              <w:right w:w="20" w:type="dxa"/>
            </w:tcMar>
            <w:vAlign w:val="bottom"/>
          </w:tcPr>
          <w:p w14:paraId="5EA256F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6F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00" w14:textId="77777777" w:rsidR="003C66EB" w:rsidRDefault="00D96C4E">
            <w:pPr>
              <w:jc w:val="right"/>
              <w:textAlignment w:val="bottom"/>
            </w:pPr>
            <w:r>
              <w:rPr>
                <w:rFonts w:ascii="Arial" w:eastAsia="宋体" w:hAnsi="Arial" w:cs="Arial"/>
                <w:b/>
                <w:bCs/>
                <w:color w:val="000000"/>
                <w:sz w:val="15"/>
                <w:szCs w:val="15"/>
              </w:rPr>
              <w:t>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701" w14:textId="77777777" w:rsidR="003C66EB" w:rsidRDefault="003C66EB">
            <w:pPr>
              <w:jc w:val="right"/>
              <w:rPr>
                <w:rFonts w:ascii="宋体"/>
              </w:rPr>
            </w:pPr>
          </w:p>
        </w:tc>
      </w:tr>
      <w:tr w:rsidR="003C66EB" w14:paraId="5EA2570F" w14:textId="77777777">
        <w:tc>
          <w:tcPr>
            <w:tcW w:w="0" w:type="auto"/>
            <w:gridSpan w:val="3"/>
            <w:shd w:val="clear" w:color="auto" w:fill="CCEEFF"/>
            <w:tcMar>
              <w:top w:w="40" w:type="dxa"/>
              <w:left w:w="20" w:type="dxa"/>
              <w:bottom w:w="40" w:type="dxa"/>
              <w:right w:w="20" w:type="dxa"/>
            </w:tcMar>
            <w:vAlign w:val="bottom"/>
          </w:tcPr>
          <w:p w14:paraId="5EA25703" w14:textId="77777777" w:rsidR="003C66EB" w:rsidRDefault="00D96C4E">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70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705" w14:textId="77777777" w:rsidR="003C66EB" w:rsidRDefault="00D96C4E">
            <w:pPr>
              <w:jc w:val="right"/>
              <w:textAlignment w:val="bottom"/>
            </w:pPr>
            <w:r>
              <w:rPr>
                <w:rFonts w:ascii="Arial" w:eastAsia="宋体" w:hAnsi="Arial" w:cs="Arial"/>
                <w:b/>
                <w:bCs/>
                <w:color w:val="000000"/>
                <w:sz w:val="15"/>
                <w:szCs w:val="15"/>
              </w:rPr>
              <w:t>4,016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70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0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70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709" w14:textId="77777777" w:rsidR="003C66EB" w:rsidRDefault="00D96C4E">
            <w:pPr>
              <w:jc w:val="right"/>
              <w:textAlignment w:val="bottom"/>
            </w:pPr>
            <w:r>
              <w:rPr>
                <w:rFonts w:ascii="Arial" w:eastAsia="宋体" w:hAnsi="Arial" w:cs="Arial"/>
                <w:b/>
                <w:bCs/>
                <w:color w:val="000000"/>
                <w:sz w:val="15"/>
                <w:szCs w:val="15"/>
              </w:rPr>
              <w:t>(2,009)</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7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0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70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70D" w14:textId="77777777" w:rsidR="003C66EB" w:rsidRDefault="00D96C4E">
            <w:pPr>
              <w:jc w:val="right"/>
              <w:textAlignment w:val="bottom"/>
            </w:pPr>
            <w:r>
              <w:rPr>
                <w:rFonts w:ascii="Arial" w:eastAsia="宋体" w:hAnsi="Arial" w:cs="Arial"/>
                <w:b/>
                <w:bCs/>
                <w:color w:val="000000"/>
                <w:sz w:val="15"/>
                <w:szCs w:val="15"/>
              </w:rPr>
              <w:t>2,007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70E" w14:textId="77777777" w:rsidR="003C66EB" w:rsidRDefault="003C66EB">
            <w:pPr>
              <w:jc w:val="right"/>
              <w:rPr>
                <w:rFonts w:ascii="宋体"/>
              </w:rPr>
            </w:pPr>
          </w:p>
        </w:tc>
      </w:tr>
      <w:tr w:rsidR="003C66EB" w14:paraId="5EA25716" w14:textId="77777777">
        <w:trPr>
          <w:trHeight w:val="240"/>
        </w:trPr>
        <w:tc>
          <w:tcPr>
            <w:tcW w:w="0" w:type="auto"/>
            <w:gridSpan w:val="3"/>
            <w:shd w:val="clear" w:color="auto" w:fill="auto"/>
            <w:tcMar>
              <w:top w:w="0" w:type="dxa"/>
              <w:left w:w="20" w:type="dxa"/>
              <w:bottom w:w="0" w:type="dxa"/>
              <w:right w:w="20" w:type="dxa"/>
            </w:tcMar>
          </w:tcPr>
          <w:p w14:paraId="5EA25710"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71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12"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71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14"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715" w14:textId="77777777" w:rsidR="003C66EB" w:rsidRDefault="003C66EB">
            <w:pPr>
              <w:rPr>
                <w:rFonts w:ascii="宋体"/>
              </w:rPr>
            </w:pPr>
          </w:p>
        </w:tc>
      </w:tr>
      <w:tr w:rsidR="003C66EB" w14:paraId="5EA25722" w14:textId="77777777">
        <w:trPr>
          <w:trHeight w:val="240"/>
        </w:trPr>
        <w:tc>
          <w:tcPr>
            <w:tcW w:w="0" w:type="auto"/>
            <w:gridSpan w:val="3"/>
            <w:shd w:val="clear" w:color="auto" w:fill="auto"/>
            <w:tcMar>
              <w:top w:w="40" w:type="dxa"/>
              <w:left w:w="20" w:type="dxa"/>
              <w:bottom w:w="40" w:type="dxa"/>
              <w:right w:w="20" w:type="dxa"/>
            </w:tcMar>
            <w:vAlign w:val="bottom"/>
          </w:tcPr>
          <w:p w14:paraId="5EA25717" w14:textId="77777777" w:rsidR="003C66EB" w:rsidRDefault="00D96C4E">
            <w:pPr>
              <w:textAlignment w:val="bottom"/>
            </w:pPr>
            <w:r>
              <w:rPr>
                <w:rFonts w:ascii="Arial" w:eastAsia="宋体" w:hAnsi="Arial" w:cs="Arial"/>
                <w:b/>
                <w:bCs/>
                <w:color w:val="000000"/>
                <w:sz w:val="15"/>
                <w:szCs w:val="15"/>
              </w:rPr>
              <w:t>December 31, 2020</w:t>
            </w:r>
          </w:p>
        </w:tc>
        <w:tc>
          <w:tcPr>
            <w:tcW w:w="0" w:type="auto"/>
            <w:gridSpan w:val="3"/>
            <w:vMerge w:val="restart"/>
            <w:shd w:val="clear" w:color="auto" w:fill="auto"/>
            <w:tcMar>
              <w:top w:w="40" w:type="dxa"/>
              <w:left w:w="20" w:type="dxa"/>
              <w:bottom w:w="40" w:type="dxa"/>
              <w:right w:w="20" w:type="dxa"/>
            </w:tcMar>
            <w:vAlign w:val="bottom"/>
          </w:tcPr>
          <w:p w14:paraId="5EA25718" w14:textId="77777777" w:rsidR="003C66EB" w:rsidRDefault="00D96C4E">
            <w:pPr>
              <w:jc w:val="center"/>
              <w:textAlignment w:val="bottom"/>
            </w:pPr>
            <w:r>
              <w:rPr>
                <w:rFonts w:ascii="Arial" w:eastAsia="宋体" w:hAnsi="Arial" w:cs="Arial"/>
                <w:b/>
                <w:bCs/>
                <w:color w:val="000000"/>
                <w:sz w:val="15"/>
                <w:szCs w:val="15"/>
              </w:rPr>
              <w:t>Gross</w:t>
            </w:r>
          </w:p>
          <w:p w14:paraId="5EA25719" w14:textId="77777777" w:rsidR="003C66EB" w:rsidRDefault="00D96C4E">
            <w:pPr>
              <w:jc w:val="center"/>
              <w:textAlignment w:val="bottom"/>
            </w:pPr>
            <w:r>
              <w:rPr>
                <w:rFonts w:ascii="Arial" w:eastAsia="宋体" w:hAnsi="Arial" w:cs="Arial"/>
                <w:b/>
                <w:bCs/>
                <w:color w:val="000000"/>
                <w:sz w:val="15"/>
                <w:szCs w:val="15"/>
              </w:rPr>
              <w:t>Carrying</w:t>
            </w:r>
          </w:p>
          <w:p w14:paraId="5EA2571A" w14:textId="77777777" w:rsidR="003C66EB" w:rsidRDefault="00D96C4E">
            <w:pPr>
              <w:jc w:val="center"/>
              <w:textAlignment w:val="bottom"/>
            </w:pPr>
            <w:r>
              <w:rPr>
                <w:rFonts w:ascii="Arial" w:eastAsia="宋体" w:hAnsi="Arial" w:cs="Arial"/>
                <w:b/>
                <w:bCs/>
                <w:color w:val="000000"/>
                <w:sz w:val="15"/>
                <w:szCs w:val="15"/>
              </w:rPr>
              <w:t>Amount</w:t>
            </w:r>
          </w:p>
        </w:tc>
        <w:tc>
          <w:tcPr>
            <w:tcW w:w="0" w:type="auto"/>
            <w:gridSpan w:val="3"/>
            <w:shd w:val="clear" w:color="auto" w:fill="auto"/>
            <w:tcMar>
              <w:top w:w="0" w:type="dxa"/>
              <w:left w:w="20" w:type="dxa"/>
              <w:bottom w:w="0" w:type="dxa"/>
              <w:right w:w="20" w:type="dxa"/>
            </w:tcMar>
          </w:tcPr>
          <w:p w14:paraId="5EA2571B"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571C" w14:textId="77777777" w:rsidR="003C66EB" w:rsidRDefault="00D96C4E">
            <w:pPr>
              <w:jc w:val="center"/>
              <w:textAlignment w:val="bottom"/>
            </w:pPr>
            <w:r>
              <w:rPr>
                <w:rFonts w:ascii="Arial" w:eastAsia="宋体" w:hAnsi="Arial" w:cs="Arial"/>
                <w:b/>
                <w:bCs/>
                <w:color w:val="000000"/>
                <w:sz w:val="15"/>
                <w:szCs w:val="15"/>
              </w:rPr>
              <w:t>Accumulated</w:t>
            </w:r>
          </w:p>
          <w:p w14:paraId="5EA2571D" w14:textId="77777777" w:rsidR="003C66EB" w:rsidRDefault="00D96C4E">
            <w:pPr>
              <w:jc w:val="center"/>
              <w:textAlignment w:val="bottom"/>
            </w:pPr>
            <w:r>
              <w:rPr>
                <w:rFonts w:ascii="Arial" w:eastAsia="宋体" w:hAnsi="Arial" w:cs="Arial"/>
                <w:b/>
                <w:bCs/>
                <w:color w:val="000000"/>
                <w:sz w:val="15"/>
                <w:szCs w:val="15"/>
              </w:rPr>
              <w:t>Amortization</w:t>
            </w:r>
          </w:p>
        </w:tc>
        <w:tc>
          <w:tcPr>
            <w:tcW w:w="0" w:type="auto"/>
            <w:gridSpan w:val="3"/>
            <w:shd w:val="clear" w:color="auto" w:fill="auto"/>
            <w:tcMar>
              <w:top w:w="0" w:type="dxa"/>
              <w:left w:w="20" w:type="dxa"/>
              <w:bottom w:w="0" w:type="dxa"/>
              <w:right w:w="20" w:type="dxa"/>
            </w:tcMar>
          </w:tcPr>
          <w:p w14:paraId="5EA2571E"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571F" w14:textId="77777777" w:rsidR="003C66EB" w:rsidRDefault="00D96C4E">
            <w:pPr>
              <w:jc w:val="center"/>
              <w:textAlignment w:val="bottom"/>
            </w:pPr>
            <w:r>
              <w:rPr>
                <w:rFonts w:ascii="Arial" w:eastAsia="宋体" w:hAnsi="Arial" w:cs="Arial"/>
                <w:b/>
                <w:bCs/>
                <w:color w:val="000000"/>
                <w:sz w:val="15"/>
                <w:szCs w:val="15"/>
              </w:rPr>
              <w:t>Net</w:t>
            </w:r>
          </w:p>
          <w:p w14:paraId="5EA25720" w14:textId="77777777" w:rsidR="003C66EB" w:rsidRDefault="00D96C4E">
            <w:pPr>
              <w:jc w:val="center"/>
              <w:textAlignment w:val="bottom"/>
            </w:pPr>
            <w:r>
              <w:rPr>
                <w:rFonts w:ascii="Arial" w:eastAsia="宋体" w:hAnsi="Arial" w:cs="Arial"/>
                <w:b/>
                <w:bCs/>
                <w:color w:val="000000"/>
                <w:sz w:val="15"/>
                <w:szCs w:val="15"/>
              </w:rPr>
              <w:t>Carrying</w:t>
            </w:r>
          </w:p>
          <w:p w14:paraId="5EA25721" w14:textId="77777777" w:rsidR="003C66EB" w:rsidRDefault="00D96C4E">
            <w:pPr>
              <w:jc w:val="center"/>
              <w:textAlignment w:val="bottom"/>
            </w:pPr>
            <w:r>
              <w:rPr>
                <w:rFonts w:ascii="Arial" w:eastAsia="宋体" w:hAnsi="Arial" w:cs="Arial"/>
                <w:b/>
                <w:bCs/>
                <w:color w:val="000000"/>
                <w:sz w:val="15"/>
                <w:szCs w:val="15"/>
              </w:rPr>
              <w:t>Amount</w:t>
            </w:r>
          </w:p>
        </w:tc>
      </w:tr>
      <w:tr w:rsidR="003C66EB" w14:paraId="5EA25729" w14:textId="77777777">
        <w:trPr>
          <w:trHeight w:val="300"/>
        </w:trPr>
        <w:tc>
          <w:tcPr>
            <w:tcW w:w="0" w:type="auto"/>
            <w:gridSpan w:val="3"/>
            <w:shd w:val="clear" w:color="auto" w:fill="auto"/>
            <w:tcMar>
              <w:top w:w="40" w:type="dxa"/>
              <w:left w:w="20" w:type="dxa"/>
              <w:bottom w:w="40" w:type="dxa"/>
              <w:right w:w="20" w:type="dxa"/>
            </w:tcMar>
            <w:vAlign w:val="bottom"/>
          </w:tcPr>
          <w:p w14:paraId="5EA25723"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5EA257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25"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572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27" w14:textId="77777777" w:rsidR="003C66EB" w:rsidRDefault="003C66EB">
            <w:pPr>
              <w:rPr>
                <w:rFonts w:ascii="宋体"/>
              </w:rPr>
            </w:pPr>
          </w:p>
        </w:tc>
        <w:tc>
          <w:tcPr>
            <w:tcW w:w="0" w:type="auto"/>
            <w:gridSpan w:val="3"/>
            <w:vMerge/>
            <w:shd w:val="clear" w:color="auto" w:fill="auto"/>
            <w:tcMar>
              <w:top w:w="40" w:type="dxa"/>
              <w:left w:w="20" w:type="dxa"/>
              <w:bottom w:w="40" w:type="dxa"/>
              <w:right w:w="20" w:type="dxa"/>
            </w:tcMar>
            <w:vAlign w:val="bottom"/>
          </w:tcPr>
          <w:p w14:paraId="5EA25728" w14:textId="77777777" w:rsidR="003C66EB" w:rsidRDefault="003C66EB">
            <w:pPr>
              <w:rPr>
                <w:rFonts w:ascii="宋体"/>
              </w:rPr>
            </w:pPr>
          </w:p>
        </w:tc>
      </w:tr>
      <w:tr w:rsidR="003C66EB" w14:paraId="5EA25730" w14:textId="77777777">
        <w:tc>
          <w:tcPr>
            <w:tcW w:w="0" w:type="auto"/>
            <w:gridSpan w:val="3"/>
            <w:shd w:val="clear" w:color="auto" w:fill="auto"/>
            <w:tcMar>
              <w:top w:w="40" w:type="dxa"/>
              <w:left w:w="20" w:type="dxa"/>
              <w:bottom w:w="40" w:type="dxa"/>
              <w:right w:w="20" w:type="dxa"/>
            </w:tcMar>
            <w:vAlign w:val="bottom"/>
          </w:tcPr>
          <w:p w14:paraId="5EA2572A" w14:textId="77777777" w:rsidR="003C66EB" w:rsidRDefault="00D96C4E">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tcPr>
          <w:p w14:paraId="5EA257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2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72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2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72F" w14:textId="77777777" w:rsidR="003C66EB" w:rsidRDefault="003C66EB">
            <w:pPr>
              <w:rPr>
                <w:rFonts w:ascii="宋体"/>
              </w:rPr>
            </w:pPr>
          </w:p>
        </w:tc>
      </w:tr>
      <w:tr w:rsidR="003C66EB" w14:paraId="5EA2573D" w14:textId="77777777">
        <w:tc>
          <w:tcPr>
            <w:tcW w:w="0" w:type="auto"/>
            <w:gridSpan w:val="3"/>
            <w:shd w:val="clear" w:color="auto" w:fill="CCEEFF"/>
            <w:tcMar>
              <w:top w:w="40" w:type="dxa"/>
              <w:left w:w="20" w:type="dxa"/>
              <w:bottom w:w="40" w:type="dxa"/>
              <w:right w:w="20" w:type="dxa"/>
            </w:tcMar>
            <w:vAlign w:val="bottom"/>
          </w:tcPr>
          <w:p w14:paraId="5EA25731" w14:textId="77777777" w:rsidR="003C66EB" w:rsidRDefault="00D96C4E">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5EA25732"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733" w14:textId="77777777" w:rsidR="003C66EB" w:rsidRDefault="00D96C4E">
            <w:pPr>
              <w:jc w:val="right"/>
              <w:textAlignment w:val="bottom"/>
            </w:pPr>
            <w:r>
              <w:rPr>
                <w:rFonts w:ascii="Arial" w:eastAsia="宋体" w:hAnsi="Arial" w:cs="Arial"/>
                <w:color w:val="000000"/>
                <w:sz w:val="15"/>
                <w:szCs w:val="15"/>
              </w:rPr>
              <w:t>2,704 </w:t>
            </w:r>
          </w:p>
        </w:tc>
        <w:tc>
          <w:tcPr>
            <w:tcW w:w="0" w:type="auto"/>
            <w:shd w:val="clear" w:color="auto" w:fill="CCEEFF"/>
            <w:tcMar>
              <w:top w:w="40" w:type="dxa"/>
              <w:left w:w="0" w:type="dxa"/>
              <w:bottom w:w="40" w:type="dxa"/>
              <w:right w:w="20" w:type="dxa"/>
            </w:tcMar>
            <w:vAlign w:val="bottom"/>
          </w:tcPr>
          <w:p w14:paraId="5EA257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3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736"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737" w14:textId="77777777" w:rsidR="003C66EB" w:rsidRDefault="00D96C4E">
            <w:pPr>
              <w:jc w:val="right"/>
              <w:textAlignment w:val="bottom"/>
            </w:pPr>
            <w:r>
              <w:rPr>
                <w:rFonts w:ascii="Arial" w:eastAsia="宋体" w:hAnsi="Arial" w:cs="Arial"/>
                <w:color w:val="000000"/>
                <w:sz w:val="15"/>
                <w:szCs w:val="15"/>
              </w:rPr>
              <w:t>(1,450)</w:t>
            </w:r>
          </w:p>
        </w:tc>
        <w:tc>
          <w:tcPr>
            <w:tcW w:w="0" w:type="auto"/>
            <w:shd w:val="clear" w:color="auto" w:fill="CCEEFF"/>
            <w:tcMar>
              <w:top w:w="40" w:type="dxa"/>
              <w:left w:w="0" w:type="dxa"/>
              <w:bottom w:w="40" w:type="dxa"/>
              <w:right w:w="20" w:type="dxa"/>
            </w:tcMar>
            <w:vAlign w:val="bottom"/>
          </w:tcPr>
          <w:p w14:paraId="5EA2573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3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73A"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73B" w14:textId="77777777" w:rsidR="003C66EB" w:rsidRDefault="00D96C4E">
            <w:pPr>
              <w:jc w:val="right"/>
              <w:textAlignment w:val="bottom"/>
            </w:pPr>
            <w:r>
              <w:rPr>
                <w:rFonts w:ascii="Arial" w:eastAsia="宋体" w:hAnsi="Arial" w:cs="Arial"/>
                <w:color w:val="000000"/>
                <w:sz w:val="15"/>
                <w:szCs w:val="15"/>
              </w:rPr>
              <w:t>1,254 </w:t>
            </w:r>
          </w:p>
        </w:tc>
        <w:tc>
          <w:tcPr>
            <w:tcW w:w="0" w:type="auto"/>
            <w:shd w:val="clear" w:color="auto" w:fill="CCEEFF"/>
            <w:tcMar>
              <w:top w:w="40" w:type="dxa"/>
              <w:left w:w="0" w:type="dxa"/>
              <w:bottom w:w="40" w:type="dxa"/>
              <w:right w:w="20" w:type="dxa"/>
            </w:tcMar>
            <w:vAlign w:val="bottom"/>
          </w:tcPr>
          <w:p w14:paraId="5EA2573C" w14:textId="77777777" w:rsidR="003C66EB" w:rsidRDefault="003C66EB">
            <w:pPr>
              <w:jc w:val="right"/>
              <w:rPr>
                <w:rFonts w:ascii="宋体"/>
              </w:rPr>
            </w:pPr>
          </w:p>
        </w:tc>
      </w:tr>
      <w:tr w:rsidR="003C66EB" w14:paraId="5EA25747" w14:textId="77777777">
        <w:tc>
          <w:tcPr>
            <w:tcW w:w="0" w:type="auto"/>
            <w:gridSpan w:val="3"/>
            <w:shd w:val="clear" w:color="auto" w:fill="auto"/>
            <w:tcMar>
              <w:top w:w="40" w:type="dxa"/>
              <w:left w:w="20" w:type="dxa"/>
              <w:bottom w:w="40" w:type="dxa"/>
              <w:right w:w="20" w:type="dxa"/>
            </w:tcMar>
            <w:vAlign w:val="bottom"/>
          </w:tcPr>
          <w:p w14:paraId="5EA2573E" w14:textId="77777777" w:rsidR="003C66EB" w:rsidRDefault="00D96C4E">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5EA2573F" w14:textId="77777777" w:rsidR="003C66EB" w:rsidRDefault="00D96C4E">
            <w:pPr>
              <w:jc w:val="right"/>
              <w:textAlignment w:val="bottom"/>
            </w:pPr>
            <w:r>
              <w:rPr>
                <w:rFonts w:ascii="Arial" w:eastAsia="宋体" w:hAnsi="Arial" w:cs="Arial"/>
                <w:color w:val="000000"/>
                <w:sz w:val="15"/>
                <w:szCs w:val="15"/>
              </w:rPr>
              <w:t>393 </w:t>
            </w:r>
          </w:p>
        </w:tc>
        <w:tc>
          <w:tcPr>
            <w:tcW w:w="0" w:type="auto"/>
            <w:shd w:val="clear" w:color="auto" w:fill="FFFFFF"/>
            <w:tcMar>
              <w:top w:w="40" w:type="dxa"/>
              <w:left w:w="0" w:type="dxa"/>
              <w:bottom w:w="40" w:type="dxa"/>
              <w:right w:w="20" w:type="dxa"/>
            </w:tcMar>
            <w:vAlign w:val="bottom"/>
          </w:tcPr>
          <w:p w14:paraId="5EA257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42" w14:textId="77777777" w:rsidR="003C66EB" w:rsidRDefault="00D96C4E">
            <w:pPr>
              <w:jc w:val="right"/>
              <w:textAlignment w:val="bottom"/>
            </w:pPr>
            <w:r>
              <w:rPr>
                <w:rFonts w:ascii="Arial" w:eastAsia="宋体" w:hAnsi="Arial" w:cs="Arial"/>
                <w:color w:val="000000"/>
                <w:sz w:val="15"/>
                <w:szCs w:val="15"/>
              </w:rPr>
              <w:t>(113)</w:t>
            </w:r>
          </w:p>
        </w:tc>
        <w:tc>
          <w:tcPr>
            <w:tcW w:w="0" w:type="auto"/>
            <w:shd w:val="clear" w:color="auto" w:fill="FFFFFF"/>
            <w:tcMar>
              <w:top w:w="40" w:type="dxa"/>
              <w:left w:w="0" w:type="dxa"/>
              <w:bottom w:w="40" w:type="dxa"/>
              <w:right w:w="20" w:type="dxa"/>
            </w:tcMar>
            <w:vAlign w:val="bottom"/>
          </w:tcPr>
          <w:p w14:paraId="5EA257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4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45" w14:textId="77777777" w:rsidR="003C66EB" w:rsidRDefault="00D96C4E">
            <w:pPr>
              <w:jc w:val="right"/>
              <w:textAlignment w:val="bottom"/>
            </w:pPr>
            <w:r>
              <w:rPr>
                <w:rFonts w:ascii="Arial" w:eastAsia="宋体" w:hAnsi="Arial" w:cs="Arial"/>
                <w:color w:val="000000"/>
                <w:sz w:val="15"/>
                <w:szCs w:val="15"/>
              </w:rPr>
              <w:t>280 </w:t>
            </w:r>
          </w:p>
        </w:tc>
        <w:tc>
          <w:tcPr>
            <w:tcW w:w="0" w:type="auto"/>
            <w:shd w:val="clear" w:color="auto" w:fill="FFFFFF"/>
            <w:tcMar>
              <w:top w:w="40" w:type="dxa"/>
              <w:left w:w="0" w:type="dxa"/>
              <w:bottom w:w="40" w:type="dxa"/>
              <w:right w:w="20" w:type="dxa"/>
            </w:tcMar>
            <w:vAlign w:val="bottom"/>
          </w:tcPr>
          <w:p w14:paraId="5EA25746" w14:textId="77777777" w:rsidR="003C66EB" w:rsidRDefault="003C66EB">
            <w:pPr>
              <w:jc w:val="right"/>
              <w:rPr>
                <w:rFonts w:ascii="宋体"/>
              </w:rPr>
            </w:pPr>
          </w:p>
        </w:tc>
      </w:tr>
      <w:tr w:rsidR="003C66EB" w14:paraId="5EA25751" w14:textId="77777777">
        <w:tc>
          <w:tcPr>
            <w:tcW w:w="0" w:type="auto"/>
            <w:gridSpan w:val="3"/>
            <w:shd w:val="clear" w:color="auto" w:fill="CCEEFF"/>
            <w:tcMar>
              <w:top w:w="40" w:type="dxa"/>
              <w:left w:w="20" w:type="dxa"/>
              <w:bottom w:w="40" w:type="dxa"/>
              <w:right w:w="20" w:type="dxa"/>
            </w:tcMar>
            <w:vAlign w:val="bottom"/>
          </w:tcPr>
          <w:p w14:paraId="5EA25748" w14:textId="77777777" w:rsidR="003C66EB" w:rsidRDefault="00D96C4E">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5EA25749" w14:textId="77777777" w:rsidR="003C66EB" w:rsidRDefault="00D96C4E">
            <w:pPr>
              <w:jc w:val="right"/>
              <w:textAlignment w:val="bottom"/>
            </w:pPr>
            <w:r>
              <w:rPr>
                <w:rFonts w:ascii="Arial" w:eastAsia="宋体" w:hAnsi="Arial" w:cs="Arial"/>
                <w:color w:val="000000"/>
                <w:sz w:val="15"/>
                <w:szCs w:val="15"/>
              </w:rPr>
              <w:t>690 </w:t>
            </w:r>
          </w:p>
        </w:tc>
        <w:tc>
          <w:tcPr>
            <w:tcW w:w="0" w:type="auto"/>
            <w:shd w:val="clear" w:color="auto" w:fill="CCEEFF"/>
            <w:tcMar>
              <w:top w:w="40" w:type="dxa"/>
              <w:left w:w="0" w:type="dxa"/>
              <w:bottom w:w="40" w:type="dxa"/>
              <w:right w:w="20" w:type="dxa"/>
            </w:tcMar>
            <w:vAlign w:val="bottom"/>
          </w:tcPr>
          <w:p w14:paraId="5EA257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4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4C" w14:textId="77777777" w:rsidR="003C66EB" w:rsidRDefault="00D96C4E">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5EA257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4F" w14:textId="77777777" w:rsidR="003C66EB" w:rsidRDefault="00D96C4E">
            <w:pPr>
              <w:jc w:val="right"/>
              <w:textAlignment w:val="bottom"/>
            </w:pPr>
            <w:r>
              <w:rPr>
                <w:rFonts w:ascii="Arial" w:eastAsia="宋体" w:hAnsi="Arial" w:cs="Arial"/>
                <w:color w:val="000000"/>
                <w:sz w:val="15"/>
                <w:szCs w:val="15"/>
              </w:rPr>
              <w:t>265 </w:t>
            </w:r>
          </w:p>
        </w:tc>
        <w:tc>
          <w:tcPr>
            <w:tcW w:w="0" w:type="auto"/>
            <w:shd w:val="clear" w:color="auto" w:fill="CCEEFF"/>
            <w:tcMar>
              <w:top w:w="40" w:type="dxa"/>
              <w:left w:w="0" w:type="dxa"/>
              <w:bottom w:w="40" w:type="dxa"/>
              <w:right w:w="20" w:type="dxa"/>
            </w:tcMar>
            <w:vAlign w:val="bottom"/>
          </w:tcPr>
          <w:p w14:paraId="5EA25750" w14:textId="77777777" w:rsidR="003C66EB" w:rsidRDefault="003C66EB">
            <w:pPr>
              <w:jc w:val="right"/>
              <w:rPr>
                <w:rFonts w:ascii="宋体"/>
              </w:rPr>
            </w:pPr>
          </w:p>
        </w:tc>
      </w:tr>
      <w:tr w:rsidR="003C66EB" w14:paraId="5EA2575B" w14:textId="77777777">
        <w:tc>
          <w:tcPr>
            <w:tcW w:w="0" w:type="auto"/>
            <w:gridSpan w:val="3"/>
            <w:shd w:val="clear" w:color="auto" w:fill="auto"/>
            <w:tcMar>
              <w:top w:w="40" w:type="dxa"/>
              <w:left w:w="20" w:type="dxa"/>
              <w:bottom w:w="40" w:type="dxa"/>
              <w:right w:w="20" w:type="dxa"/>
            </w:tcMar>
            <w:vAlign w:val="bottom"/>
          </w:tcPr>
          <w:p w14:paraId="5EA25752" w14:textId="77777777" w:rsidR="003C66EB" w:rsidRDefault="00D96C4E">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A25753" w14:textId="77777777" w:rsidR="003C66EB" w:rsidRDefault="00D96C4E">
            <w:pPr>
              <w:jc w:val="right"/>
              <w:textAlignment w:val="bottom"/>
            </w:pPr>
            <w:r>
              <w:rPr>
                <w:rFonts w:ascii="Arial" w:eastAsia="宋体" w:hAnsi="Arial" w:cs="Arial"/>
                <w:color w:val="000000"/>
                <w:sz w:val="15"/>
                <w:szCs w:val="15"/>
              </w:rPr>
              <w:t>107 </w:t>
            </w:r>
          </w:p>
        </w:tc>
        <w:tc>
          <w:tcPr>
            <w:tcW w:w="0" w:type="auto"/>
            <w:shd w:val="clear" w:color="auto" w:fill="FFFFFF"/>
            <w:tcMar>
              <w:top w:w="40" w:type="dxa"/>
              <w:left w:w="0" w:type="dxa"/>
              <w:bottom w:w="40" w:type="dxa"/>
              <w:right w:w="20" w:type="dxa"/>
            </w:tcMar>
            <w:vAlign w:val="bottom"/>
          </w:tcPr>
          <w:p w14:paraId="5EA2575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5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56" w14:textId="77777777" w:rsidR="003C66EB" w:rsidRDefault="00D96C4E">
            <w:pPr>
              <w:jc w:val="right"/>
              <w:textAlignment w:val="bottom"/>
            </w:pPr>
            <w:r>
              <w:rPr>
                <w:rFonts w:ascii="Arial" w:eastAsia="宋体" w:hAnsi="Arial" w:cs="Arial"/>
                <w:color w:val="000000"/>
                <w:sz w:val="15"/>
                <w:szCs w:val="15"/>
              </w:rPr>
              <w:t>(79)</w:t>
            </w:r>
          </w:p>
        </w:tc>
        <w:tc>
          <w:tcPr>
            <w:tcW w:w="0" w:type="auto"/>
            <w:shd w:val="clear" w:color="auto" w:fill="FFFFFF"/>
            <w:tcMar>
              <w:top w:w="40" w:type="dxa"/>
              <w:left w:w="0" w:type="dxa"/>
              <w:bottom w:w="40" w:type="dxa"/>
              <w:right w:w="20" w:type="dxa"/>
            </w:tcMar>
            <w:vAlign w:val="bottom"/>
          </w:tcPr>
          <w:p w14:paraId="5EA257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5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59" w14:textId="77777777" w:rsidR="003C66EB" w:rsidRDefault="00D96C4E">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EA2575A" w14:textId="77777777" w:rsidR="003C66EB" w:rsidRDefault="003C66EB">
            <w:pPr>
              <w:jc w:val="right"/>
              <w:rPr>
                <w:rFonts w:ascii="宋体"/>
              </w:rPr>
            </w:pPr>
          </w:p>
        </w:tc>
      </w:tr>
      <w:tr w:rsidR="003C66EB" w14:paraId="5EA25768" w14:textId="77777777">
        <w:tc>
          <w:tcPr>
            <w:tcW w:w="0" w:type="auto"/>
            <w:gridSpan w:val="3"/>
            <w:shd w:val="clear" w:color="auto" w:fill="CCEEFF"/>
            <w:tcMar>
              <w:top w:w="40" w:type="dxa"/>
              <w:left w:w="20" w:type="dxa"/>
              <w:bottom w:w="40" w:type="dxa"/>
              <w:right w:w="20" w:type="dxa"/>
            </w:tcMar>
            <w:vAlign w:val="bottom"/>
          </w:tcPr>
          <w:p w14:paraId="5EA2575C" w14:textId="77777777" w:rsidR="003C66EB" w:rsidRDefault="00D96C4E">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75D"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75E" w14:textId="77777777" w:rsidR="003C66EB" w:rsidRDefault="00D96C4E">
            <w:pPr>
              <w:jc w:val="right"/>
              <w:textAlignment w:val="bottom"/>
            </w:pPr>
            <w:r>
              <w:rPr>
                <w:rFonts w:ascii="Arial" w:eastAsia="宋体" w:hAnsi="Arial" w:cs="Arial"/>
                <w:color w:val="000000"/>
                <w:sz w:val="15"/>
                <w:szCs w:val="15"/>
              </w:rPr>
              <w:t>3,894 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7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60"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76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762" w14:textId="77777777" w:rsidR="003C66EB" w:rsidRDefault="00D96C4E">
            <w:pPr>
              <w:jc w:val="right"/>
              <w:textAlignment w:val="bottom"/>
            </w:pPr>
            <w:r>
              <w:rPr>
                <w:rFonts w:ascii="Arial" w:eastAsia="宋体" w:hAnsi="Arial" w:cs="Arial"/>
                <w:color w:val="000000"/>
                <w:sz w:val="15"/>
                <w:szCs w:val="15"/>
              </w:rPr>
              <w:t>(2,067)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7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64"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76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766" w14:textId="77777777" w:rsidR="003C66EB" w:rsidRDefault="00D96C4E">
            <w:pPr>
              <w:jc w:val="right"/>
              <w:textAlignment w:val="bottom"/>
            </w:pPr>
            <w:r>
              <w:rPr>
                <w:rFonts w:ascii="Arial" w:eastAsia="宋体" w:hAnsi="Arial" w:cs="Arial"/>
                <w:color w:val="000000"/>
                <w:sz w:val="15"/>
                <w:szCs w:val="15"/>
              </w:rPr>
              <w:t>1,827 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767" w14:textId="77777777" w:rsidR="003C66EB" w:rsidRDefault="003C66EB">
            <w:pPr>
              <w:jc w:val="right"/>
              <w:rPr>
                <w:rFonts w:ascii="宋体"/>
              </w:rPr>
            </w:pPr>
          </w:p>
        </w:tc>
      </w:tr>
      <w:tr w:rsidR="003C66EB" w14:paraId="5EA2576F" w14:textId="77777777">
        <w:trPr>
          <w:hidden/>
        </w:trPr>
        <w:tc>
          <w:tcPr>
            <w:tcW w:w="0" w:type="auto"/>
            <w:gridSpan w:val="3"/>
            <w:shd w:val="clear" w:color="auto" w:fill="auto"/>
          </w:tcPr>
          <w:p w14:paraId="5EA25769" w14:textId="77777777" w:rsidR="003C66EB" w:rsidRDefault="003C66EB">
            <w:pPr>
              <w:rPr>
                <w:rFonts w:ascii="宋体"/>
                <w:vanish/>
              </w:rPr>
            </w:pPr>
          </w:p>
        </w:tc>
        <w:tc>
          <w:tcPr>
            <w:tcW w:w="0" w:type="auto"/>
            <w:gridSpan w:val="3"/>
            <w:shd w:val="clear" w:color="auto" w:fill="auto"/>
          </w:tcPr>
          <w:p w14:paraId="5EA2576A" w14:textId="77777777" w:rsidR="003C66EB" w:rsidRDefault="003C66EB">
            <w:pPr>
              <w:rPr>
                <w:rFonts w:ascii="宋体"/>
                <w:vanish/>
              </w:rPr>
            </w:pPr>
          </w:p>
        </w:tc>
        <w:tc>
          <w:tcPr>
            <w:tcW w:w="0" w:type="auto"/>
            <w:gridSpan w:val="3"/>
            <w:shd w:val="clear" w:color="auto" w:fill="auto"/>
          </w:tcPr>
          <w:p w14:paraId="5EA2576B" w14:textId="77777777" w:rsidR="003C66EB" w:rsidRDefault="003C66EB">
            <w:pPr>
              <w:rPr>
                <w:rFonts w:ascii="宋体"/>
                <w:vanish/>
              </w:rPr>
            </w:pPr>
          </w:p>
        </w:tc>
        <w:tc>
          <w:tcPr>
            <w:tcW w:w="0" w:type="auto"/>
            <w:gridSpan w:val="3"/>
            <w:shd w:val="clear" w:color="auto" w:fill="auto"/>
          </w:tcPr>
          <w:p w14:paraId="5EA2576C" w14:textId="77777777" w:rsidR="003C66EB" w:rsidRDefault="003C66EB">
            <w:pPr>
              <w:rPr>
                <w:rFonts w:ascii="宋体"/>
                <w:vanish/>
              </w:rPr>
            </w:pPr>
          </w:p>
        </w:tc>
        <w:tc>
          <w:tcPr>
            <w:tcW w:w="0" w:type="auto"/>
            <w:gridSpan w:val="3"/>
            <w:shd w:val="clear" w:color="auto" w:fill="auto"/>
          </w:tcPr>
          <w:p w14:paraId="5EA2576D" w14:textId="77777777" w:rsidR="003C66EB" w:rsidRDefault="003C66EB">
            <w:pPr>
              <w:rPr>
                <w:rFonts w:ascii="宋体"/>
                <w:vanish/>
              </w:rPr>
            </w:pPr>
          </w:p>
        </w:tc>
        <w:tc>
          <w:tcPr>
            <w:tcW w:w="0" w:type="auto"/>
            <w:gridSpan w:val="3"/>
            <w:shd w:val="clear" w:color="auto" w:fill="auto"/>
          </w:tcPr>
          <w:p w14:paraId="5EA2576E" w14:textId="77777777" w:rsidR="003C66EB" w:rsidRDefault="003C66EB">
            <w:pPr>
              <w:rPr>
                <w:rFonts w:ascii="宋体"/>
                <w:vanish/>
              </w:rPr>
            </w:pPr>
          </w:p>
        </w:tc>
      </w:tr>
    </w:tbl>
    <w:p w14:paraId="5EA25770" w14:textId="77777777" w:rsidR="003C66EB" w:rsidRDefault="00D96C4E">
      <w:pPr>
        <w:ind w:firstLine="450"/>
        <w:jc w:val="right"/>
      </w:pPr>
      <w:r>
        <w:rPr>
          <w:rFonts w:ascii="Arial" w:eastAsia="宋体" w:hAnsi="Arial" w:cs="Arial"/>
          <w:color w:val="000000"/>
          <w:sz w:val="18"/>
          <w:szCs w:val="18"/>
        </w:rPr>
        <w:t>State Street Corporation | 67</w:t>
      </w:r>
    </w:p>
    <w:p w14:paraId="5EA25771" w14:textId="77777777" w:rsidR="003C66EB" w:rsidRDefault="003C66EB">
      <w:pPr>
        <w:ind w:firstLine="450"/>
        <w:jc w:val="center"/>
      </w:pPr>
    </w:p>
    <w:p w14:paraId="5EA25772" w14:textId="77777777" w:rsidR="003C66EB" w:rsidRDefault="00D96C4E">
      <w:r>
        <w:pict w14:anchorId="5EA287F3">
          <v:rect id="_x0000_i1091" style="width:415.3pt;height:1.5pt" o:hralign="center" o:hrstd="t" o:hr="t" fillcolor="#a0a0a0" stroked="f"/>
        </w:pict>
      </w:r>
    </w:p>
    <w:p w14:paraId="5EA25773" w14:textId="77777777" w:rsidR="003C66EB" w:rsidRDefault="00D96C4E">
      <w:pPr>
        <w:ind w:firstLine="450"/>
        <w:jc w:val="center"/>
      </w:pPr>
      <w:r>
        <w:rPr>
          <w:rFonts w:ascii="Arial" w:eastAsia="宋体" w:hAnsi="Arial" w:cs="Arial"/>
          <w:b/>
          <w:bCs/>
          <w:color w:val="000000"/>
          <w:sz w:val="20"/>
          <w:szCs w:val="20"/>
        </w:rPr>
        <w:t>STATE STREET CORPORATION</w:t>
      </w:r>
    </w:p>
    <w:p w14:paraId="5EA25774"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5775" w14:textId="77777777" w:rsidR="003C66EB" w:rsidRDefault="00D96C4E">
      <w:pPr>
        <w:ind w:firstLine="450"/>
        <w:jc w:val="center"/>
      </w:pPr>
      <w:r>
        <w:rPr>
          <w:rFonts w:ascii="Arial" w:eastAsia="宋体" w:hAnsi="Arial" w:cs="Arial"/>
          <w:b/>
          <w:bCs/>
          <w:color w:val="000000"/>
          <w:sz w:val="20"/>
          <w:szCs w:val="20"/>
        </w:rPr>
        <w:t>(UNAUDITED)</w:t>
      </w:r>
    </w:p>
    <w:p w14:paraId="5EA25776" w14:textId="77777777" w:rsidR="003C66EB" w:rsidRDefault="00D96C4E">
      <w:pPr>
        <w:spacing w:before="180"/>
        <w:textAlignment w:val="top"/>
      </w:pPr>
      <w:r>
        <w:rPr>
          <w:rFonts w:ascii="Arial" w:eastAsia="宋体" w:hAnsi="Arial" w:cs="Arial"/>
          <w:b/>
          <w:bCs/>
          <w:color w:val="000000"/>
          <w:sz w:val="20"/>
          <w:szCs w:val="20"/>
        </w:rPr>
        <w:t>Note 6.    Other Assets</w:t>
      </w:r>
    </w:p>
    <w:p w14:paraId="5EA25777" w14:textId="77777777" w:rsidR="003C66EB" w:rsidRDefault="00D96C4E">
      <w:pPr>
        <w:spacing w:before="60"/>
        <w:ind w:firstLine="450"/>
        <w:jc w:val="both"/>
        <w:textAlignment w:val="top"/>
      </w:pPr>
      <w:r>
        <w:rPr>
          <w:rFonts w:ascii="Arial" w:eastAsia="宋体" w:hAnsi="Arial" w:cs="Arial"/>
          <w:color w:val="000000"/>
          <w:sz w:val="20"/>
          <w:szCs w:val="20"/>
        </w:rPr>
        <w:t xml:space="preserve">The following table presents the </w:t>
      </w:r>
      <w:r>
        <w:rPr>
          <w:rFonts w:ascii="Arial" w:eastAsia="宋体" w:hAnsi="Arial" w:cs="Arial"/>
          <w:color w:val="000000"/>
          <w:sz w:val="20"/>
          <w:szCs w:val="20"/>
        </w:rPr>
        <w:t>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8"/>
        <w:gridCol w:w="4044"/>
        <w:gridCol w:w="39"/>
        <w:gridCol w:w="98"/>
        <w:gridCol w:w="1577"/>
        <w:gridCol w:w="36"/>
        <w:gridCol w:w="36"/>
        <w:gridCol w:w="79"/>
        <w:gridCol w:w="36"/>
        <w:gridCol w:w="99"/>
        <w:gridCol w:w="2208"/>
        <w:gridCol w:w="36"/>
      </w:tblGrid>
      <w:tr w:rsidR="003C66EB" w14:paraId="5EA25784" w14:textId="77777777">
        <w:tc>
          <w:tcPr>
            <w:tcW w:w="50" w:type="pct"/>
            <w:shd w:val="clear" w:color="auto" w:fill="auto"/>
          </w:tcPr>
          <w:p w14:paraId="5EA25778" w14:textId="77777777" w:rsidR="003C66EB" w:rsidRDefault="003C66EB">
            <w:pPr>
              <w:rPr>
                <w:rFonts w:ascii="宋体"/>
              </w:rPr>
            </w:pPr>
          </w:p>
        </w:tc>
        <w:tc>
          <w:tcPr>
            <w:tcW w:w="2445" w:type="pct"/>
            <w:shd w:val="clear" w:color="auto" w:fill="auto"/>
          </w:tcPr>
          <w:p w14:paraId="5EA25779" w14:textId="77777777" w:rsidR="003C66EB" w:rsidRDefault="003C66EB">
            <w:pPr>
              <w:rPr>
                <w:rFonts w:ascii="宋体"/>
              </w:rPr>
            </w:pPr>
          </w:p>
        </w:tc>
        <w:tc>
          <w:tcPr>
            <w:tcW w:w="5" w:type="pct"/>
            <w:shd w:val="clear" w:color="auto" w:fill="auto"/>
          </w:tcPr>
          <w:p w14:paraId="5EA2577A" w14:textId="77777777" w:rsidR="003C66EB" w:rsidRDefault="003C66EB">
            <w:pPr>
              <w:rPr>
                <w:rFonts w:ascii="宋体"/>
              </w:rPr>
            </w:pPr>
          </w:p>
        </w:tc>
        <w:tc>
          <w:tcPr>
            <w:tcW w:w="50" w:type="pct"/>
            <w:shd w:val="clear" w:color="auto" w:fill="auto"/>
          </w:tcPr>
          <w:p w14:paraId="5EA2577B" w14:textId="77777777" w:rsidR="003C66EB" w:rsidRDefault="003C66EB">
            <w:pPr>
              <w:rPr>
                <w:rFonts w:ascii="宋体"/>
              </w:rPr>
            </w:pPr>
          </w:p>
        </w:tc>
        <w:tc>
          <w:tcPr>
            <w:tcW w:w="966" w:type="pct"/>
            <w:shd w:val="clear" w:color="auto" w:fill="auto"/>
          </w:tcPr>
          <w:p w14:paraId="5EA2577C" w14:textId="77777777" w:rsidR="003C66EB" w:rsidRDefault="003C66EB">
            <w:pPr>
              <w:rPr>
                <w:rFonts w:ascii="宋体"/>
              </w:rPr>
            </w:pPr>
          </w:p>
        </w:tc>
        <w:tc>
          <w:tcPr>
            <w:tcW w:w="5" w:type="pct"/>
            <w:shd w:val="clear" w:color="auto" w:fill="auto"/>
          </w:tcPr>
          <w:p w14:paraId="5EA2577D" w14:textId="77777777" w:rsidR="003C66EB" w:rsidRDefault="003C66EB">
            <w:pPr>
              <w:rPr>
                <w:rFonts w:ascii="宋体"/>
              </w:rPr>
            </w:pPr>
          </w:p>
        </w:tc>
        <w:tc>
          <w:tcPr>
            <w:tcW w:w="5" w:type="pct"/>
            <w:shd w:val="clear" w:color="auto" w:fill="auto"/>
          </w:tcPr>
          <w:p w14:paraId="5EA2577E" w14:textId="77777777" w:rsidR="003C66EB" w:rsidRDefault="003C66EB">
            <w:pPr>
              <w:rPr>
                <w:rFonts w:ascii="宋体"/>
              </w:rPr>
            </w:pPr>
          </w:p>
        </w:tc>
        <w:tc>
          <w:tcPr>
            <w:tcW w:w="68" w:type="pct"/>
            <w:shd w:val="clear" w:color="auto" w:fill="auto"/>
          </w:tcPr>
          <w:p w14:paraId="5EA2577F" w14:textId="77777777" w:rsidR="003C66EB" w:rsidRDefault="003C66EB">
            <w:pPr>
              <w:rPr>
                <w:rFonts w:ascii="宋体"/>
              </w:rPr>
            </w:pPr>
          </w:p>
        </w:tc>
        <w:tc>
          <w:tcPr>
            <w:tcW w:w="5" w:type="pct"/>
            <w:shd w:val="clear" w:color="auto" w:fill="auto"/>
          </w:tcPr>
          <w:p w14:paraId="5EA25780" w14:textId="77777777" w:rsidR="003C66EB" w:rsidRDefault="003C66EB">
            <w:pPr>
              <w:rPr>
                <w:rFonts w:ascii="宋体"/>
              </w:rPr>
            </w:pPr>
          </w:p>
        </w:tc>
        <w:tc>
          <w:tcPr>
            <w:tcW w:w="50" w:type="pct"/>
            <w:shd w:val="clear" w:color="auto" w:fill="auto"/>
          </w:tcPr>
          <w:p w14:paraId="5EA25781" w14:textId="77777777" w:rsidR="003C66EB" w:rsidRDefault="003C66EB">
            <w:pPr>
              <w:rPr>
                <w:rFonts w:ascii="宋体"/>
              </w:rPr>
            </w:pPr>
          </w:p>
        </w:tc>
        <w:tc>
          <w:tcPr>
            <w:tcW w:w="1344" w:type="pct"/>
            <w:shd w:val="clear" w:color="auto" w:fill="auto"/>
          </w:tcPr>
          <w:p w14:paraId="5EA25782" w14:textId="77777777" w:rsidR="003C66EB" w:rsidRDefault="003C66EB">
            <w:pPr>
              <w:rPr>
                <w:rFonts w:ascii="宋体"/>
              </w:rPr>
            </w:pPr>
          </w:p>
        </w:tc>
        <w:tc>
          <w:tcPr>
            <w:tcW w:w="5" w:type="pct"/>
            <w:shd w:val="clear" w:color="auto" w:fill="auto"/>
          </w:tcPr>
          <w:p w14:paraId="5EA25783" w14:textId="77777777" w:rsidR="003C66EB" w:rsidRDefault="003C66EB">
            <w:pPr>
              <w:rPr>
                <w:rFonts w:ascii="宋体"/>
              </w:rPr>
            </w:pPr>
          </w:p>
        </w:tc>
      </w:tr>
      <w:tr w:rsidR="003C66EB" w14:paraId="5EA25789" w14:textId="77777777">
        <w:tc>
          <w:tcPr>
            <w:tcW w:w="0" w:type="auto"/>
            <w:gridSpan w:val="3"/>
            <w:shd w:val="clear" w:color="auto" w:fill="auto"/>
            <w:tcMar>
              <w:top w:w="40" w:type="dxa"/>
              <w:left w:w="20" w:type="dxa"/>
              <w:bottom w:w="40" w:type="dxa"/>
              <w:right w:w="20" w:type="dxa"/>
            </w:tcMar>
            <w:vAlign w:val="bottom"/>
          </w:tcPr>
          <w:p w14:paraId="5EA25785"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5786" w14:textId="77777777" w:rsidR="003C66EB" w:rsidRDefault="00D96C4E">
            <w:pPr>
              <w:jc w:val="center"/>
              <w:textAlignment w:val="bottom"/>
            </w:pPr>
            <w:r>
              <w:rPr>
                <w:rFonts w:ascii="Arial" w:eastAsia="宋体" w:hAnsi="Arial" w:cs="Arial"/>
                <w:b/>
                <w:bCs/>
                <w:color w:val="000000"/>
                <w:sz w:val="14"/>
                <w:szCs w:val="14"/>
              </w:rPr>
              <w:t>March 31, 2021</w:t>
            </w:r>
          </w:p>
        </w:tc>
        <w:tc>
          <w:tcPr>
            <w:tcW w:w="0" w:type="auto"/>
            <w:gridSpan w:val="3"/>
            <w:shd w:val="clear" w:color="auto" w:fill="auto"/>
            <w:tcMar>
              <w:top w:w="0" w:type="dxa"/>
              <w:left w:w="20" w:type="dxa"/>
              <w:bottom w:w="0" w:type="dxa"/>
              <w:right w:w="20" w:type="dxa"/>
            </w:tcMar>
          </w:tcPr>
          <w:p w14:paraId="5EA2578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788" w14:textId="77777777" w:rsidR="003C66EB" w:rsidRDefault="00D96C4E">
            <w:pPr>
              <w:jc w:val="center"/>
              <w:textAlignment w:val="bottom"/>
            </w:pPr>
            <w:r>
              <w:rPr>
                <w:rFonts w:ascii="Arial" w:eastAsia="宋体" w:hAnsi="Arial" w:cs="Arial"/>
                <w:b/>
                <w:bCs/>
                <w:color w:val="000000"/>
                <w:sz w:val="14"/>
                <w:szCs w:val="14"/>
              </w:rPr>
              <w:t>December 31, 2020</w:t>
            </w:r>
          </w:p>
        </w:tc>
      </w:tr>
      <w:tr w:rsidR="003C66EB" w14:paraId="5EA25792" w14:textId="77777777">
        <w:tc>
          <w:tcPr>
            <w:tcW w:w="0" w:type="auto"/>
            <w:gridSpan w:val="3"/>
            <w:shd w:val="clear" w:color="auto" w:fill="CCEEFF"/>
            <w:tcMar>
              <w:top w:w="40" w:type="dxa"/>
              <w:left w:w="20" w:type="dxa"/>
              <w:bottom w:w="40" w:type="dxa"/>
              <w:right w:w="20" w:type="dxa"/>
            </w:tcMar>
            <w:vAlign w:val="bottom"/>
          </w:tcPr>
          <w:p w14:paraId="5EA2578A" w14:textId="77777777" w:rsidR="003C66EB" w:rsidRDefault="00D96C4E">
            <w:pPr>
              <w:textAlignment w:val="bottom"/>
            </w:pPr>
            <w:r>
              <w:rPr>
                <w:rFonts w:ascii="Arial" w:eastAsia="宋体" w:hAnsi="Arial" w:cs="Arial"/>
                <w:color w:val="000000"/>
                <w:sz w:val="14"/>
                <w:szCs w:val="14"/>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78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78C" w14:textId="77777777" w:rsidR="003C66EB" w:rsidRDefault="00D96C4E">
            <w:pPr>
              <w:jc w:val="right"/>
              <w:textAlignment w:val="bottom"/>
            </w:pPr>
            <w:r>
              <w:rPr>
                <w:rFonts w:ascii="Arial" w:eastAsia="宋体" w:hAnsi="Arial" w:cs="Arial"/>
                <w:b/>
                <w:bCs/>
                <w:color w:val="000000"/>
                <w:sz w:val="14"/>
                <w:szCs w:val="14"/>
              </w:rPr>
              <w:t>24,773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7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8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78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790" w14:textId="77777777" w:rsidR="003C66EB" w:rsidRDefault="00D96C4E">
            <w:pPr>
              <w:jc w:val="right"/>
              <w:textAlignment w:val="bottom"/>
            </w:pPr>
            <w:r>
              <w:rPr>
                <w:rFonts w:ascii="Arial" w:eastAsia="宋体" w:hAnsi="Arial" w:cs="Arial"/>
                <w:color w:val="000000"/>
                <w:sz w:val="14"/>
                <w:szCs w:val="14"/>
              </w:rPr>
              <w:t>18,330 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791" w14:textId="77777777" w:rsidR="003C66EB" w:rsidRDefault="003C66EB">
            <w:pPr>
              <w:jc w:val="right"/>
              <w:rPr>
                <w:rFonts w:ascii="宋体"/>
              </w:rPr>
            </w:pPr>
          </w:p>
        </w:tc>
      </w:tr>
      <w:tr w:rsidR="003C66EB" w14:paraId="5EA25799" w14:textId="77777777">
        <w:tc>
          <w:tcPr>
            <w:tcW w:w="0" w:type="auto"/>
            <w:gridSpan w:val="3"/>
            <w:shd w:val="clear" w:color="auto" w:fill="FFFFFF"/>
            <w:tcMar>
              <w:top w:w="40" w:type="dxa"/>
              <w:left w:w="20" w:type="dxa"/>
              <w:bottom w:w="40" w:type="dxa"/>
              <w:right w:w="20" w:type="dxa"/>
            </w:tcMar>
            <w:vAlign w:val="bottom"/>
          </w:tcPr>
          <w:p w14:paraId="5EA25793" w14:textId="77777777" w:rsidR="003C66EB" w:rsidRDefault="00D96C4E">
            <w:pPr>
              <w:textAlignment w:val="bottom"/>
            </w:pPr>
            <w:r>
              <w:rPr>
                <w:rFonts w:ascii="Arial" w:eastAsia="宋体" w:hAnsi="Arial" w:cs="Arial"/>
                <w:color w:val="000000"/>
                <w:sz w:val="14"/>
                <w:szCs w:val="14"/>
              </w:rPr>
              <w:t>Derivative instruments, net</w:t>
            </w:r>
          </w:p>
        </w:tc>
        <w:tc>
          <w:tcPr>
            <w:tcW w:w="0" w:type="auto"/>
            <w:gridSpan w:val="2"/>
            <w:shd w:val="clear" w:color="auto" w:fill="FFFFFF"/>
            <w:tcMar>
              <w:top w:w="40" w:type="dxa"/>
              <w:left w:w="20" w:type="dxa"/>
              <w:bottom w:w="40" w:type="dxa"/>
              <w:right w:w="0" w:type="dxa"/>
            </w:tcMar>
            <w:vAlign w:val="bottom"/>
          </w:tcPr>
          <w:p w14:paraId="5EA25794" w14:textId="77777777" w:rsidR="003C66EB" w:rsidRDefault="00D96C4E">
            <w:pPr>
              <w:jc w:val="right"/>
              <w:textAlignment w:val="bottom"/>
            </w:pPr>
            <w:r>
              <w:rPr>
                <w:rFonts w:ascii="Arial" w:eastAsia="宋体" w:hAnsi="Arial" w:cs="Arial"/>
                <w:b/>
                <w:bCs/>
                <w:color w:val="000000"/>
                <w:sz w:val="14"/>
                <w:szCs w:val="14"/>
              </w:rPr>
              <w:t>8,170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7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97" w14:textId="77777777" w:rsidR="003C66EB" w:rsidRDefault="00D96C4E">
            <w:pPr>
              <w:jc w:val="right"/>
              <w:textAlignment w:val="bottom"/>
            </w:pPr>
            <w:r>
              <w:rPr>
                <w:rFonts w:ascii="Arial" w:eastAsia="宋体" w:hAnsi="Arial" w:cs="Arial"/>
                <w:color w:val="000000"/>
                <w:sz w:val="14"/>
                <w:szCs w:val="14"/>
              </w:rPr>
              <w:t>5,804 </w:t>
            </w:r>
          </w:p>
        </w:tc>
        <w:tc>
          <w:tcPr>
            <w:tcW w:w="0" w:type="auto"/>
            <w:shd w:val="clear" w:color="auto" w:fill="FFFFFF"/>
            <w:tcMar>
              <w:top w:w="40" w:type="dxa"/>
              <w:left w:w="0" w:type="dxa"/>
              <w:bottom w:w="40" w:type="dxa"/>
              <w:right w:w="20" w:type="dxa"/>
            </w:tcMar>
            <w:vAlign w:val="bottom"/>
          </w:tcPr>
          <w:p w14:paraId="5EA25798" w14:textId="77777777" w:rsidR="003C66EB" w:rsidRDefault="003C66EB">
            <w:pPr>
              <w:jc w:val="right"/>
              <w:rPr>
                <w:rFonts w:ascii="宋体"/>
              </w:rPr>
            </w:pPr>
          </w:p>
        </w:tc>
      </w:tr>
      <w:tr w:rsidR="003C66EB" w14:paraId="5EA257A0" w14:textId="77777777">
        <w:tc>
          <w:tcPr>
            <w:tcW w:w="0" w:type="auto"/>
            <w:gridSpan w:val="3"/>
            <w:shd w:val="clear" w:color="auto" w:fill="CCEEFF"/>
            <w:tcMar>
              <w:top w:w="40" w:type="dxa"/>
              <w:left w:w="20" w:type="dxa"/>
              <w:bottom w:w="40" w:type="dxa"/>
              <w:right w:w="20" w:type="dxa"/>
            </w:tcMar>
            <w:vAlign w:val="bottom"/>
          </w:tcPr>
          <w:p w14:paraId="5EA2579A" w14:textId="77777777" w:rsidR="003C66EB" w:rsidRDefault="00D96C4E">
            <w:pPr>
              <w:textAlignment w:val="bottom"/>
            </w:pPr>
            <w:r>
              <w:rPr>
                <w:rFonts w:ascii="Arial" w:eastAsia="宋体" w:hAnsi="Arial" w:cs="Arial"/>
                <w:color w:val="000000"/>
                <w:sz w:val="14"/>
                <w:szCs w:val="14"/>
              </w:rPr>
              <w:t>Bank-owned life insurance</w:t>
            </w:r>
          </w:p>
        </w:tc>
        <w:tc>
          <w:tcPr>
            <w:tcW w:w="0" w:type="auto"/>
            <w:gridSpan w:val="2"/>
            <w:shd w:val="clear" w:color="auto" w:fill="CCEEFF"/>
            <w:tcMar>
              <w:top w:w="40" w:type="dxa"/>
              <w:left w:w="20" w:type="dxa"/>
              <w:bottom w:w="40" w:type="dxa"/>
              <w:right w:w="0" w:type="dxa"/>
            </w:tcMar>
            <w:vAlign w:val="bottom"/>
          </w:tcPr>
          <w:p w14:paraId="5EA2579B" w14:textId="77777777" w:rsidR="003C66EB" w:rsidRDefault="00D96C4E">
            <w:pPr>
              <w:jc w:val="right"/>
              <w:textAlignment w:val="bottom"/>
            </w:pPr>
            <w:r>
              <w:rPr>
                <w:rFonts w:ascii="Arial" w:eastAsia="宋体" w:hAnsi="Arial" w:cs="Arial"/>
                <w:b/>
                <w:bCs/>
                <w:color w:val="000000"/>
                <w:sz w:val="14"/>
                <w:szCs w:val="14"/>
              </w:rPr>
              <w:t>3,502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79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9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9E" w14:textId="77777777" w:rsidR="003C66EB" w:rsidRDefault="00D96C4E">
            <w:pPr>
              <w:jc w:val="right"/>
              <w:textAlignment w:val="bottom"/>
            </w:pPr>
            <w:r>
              <w:rPr>
                <w:rFonts w:ascii="Arial" w:eastAsia="宋体" w:hAnsi="Arial" w:cs="Arial"/>
                <w:color w:val="000000"/>
                <w:sz w:val="14"/>
                <w:szCs w:val="14"/>
              </w:rPr>
              <w:t>3,479 </w:t>
            </w:r>
          </w:p>
        </w:tc>
        <w:tc>
          <w:tcPr>
            <w:tcW w:w="0" w:type="auto"/>
            <w:shd w:val="clear" w:color="auto" w:fill="CCEEFF"/>
            <w:tcMar>
              <w:top w:w="40" w:type="dxa"/>
              <w:left w:w="0" w:type="dxa"/>
              <w:bottom w:w="40" w:type="dxa"/>
              <w:right w:w="20" w:type="dxa"/>
            </w:tcMar>
            <w:vAlign w:val="bottom"/>
          </w:tcPr>
          <w:p w14:paraId="5EA2579F" w14:textId="77777777" w:rsidR="003C66EB" w:rsidRDefault="003C66EB">
            <w:pPr>
              <w:jc w:val="right"/>
              <w:rPr>
                <w:rFonts w:ascii="宋体"/>
              </w:rPr>
            </w:pPr>
          </w:p>
        </w:tc>
      </w:tr>
      <w:tr w:rsidR="003C66EB" w14:paraId="5EA257A7" w14:textId="77777777">
        <w:tc>
          <w:tcPr>
            <w:tcW w:w="0" w:type="auto"/>
            <w:gridSpan w:val="3"/>
            <w:shd w:val="clear" w:color="auto" w:fill="FFFFFF"/>
            <w:tcMar>
              <w:top w:w="40" w:type="dxa"/>
              <w:left w:w="20" w:type="dxa"/>
              <w:bottom w:w="40" w:type="dxa"/>
              <w:right w:w="20" w:type="dxa"/>
            </w:tcMar>
            <w:vAlign w:val="bottom"/>
          </w:tcPr>
          <w:p w14:paraId="5EA257A1" w14:textId="77777777" w:rsidR="003C66EB" w:rsidRDefault="00D96C4E">
            <w:pPr>
              <w:textAlignment w:val="bottom"/>
            </w:pPr>
            <w:r>
              <w:rPr>
                <w:rFonts w:ascii="Arial" w:eastAsia="宋体" w:hAnsi="Arial" w:cs="Arial"/>
                <w:color w:val="000000"/>
                <w:sz w:val="14"/>
                <w:szCs w:val="14"/>
              </w:rPr>
              <w:t>Investments in joint ventures and other unconsolidated entities</w:t>
            </w:r>
          </w:p>
        </w:tc>
        <w:tc>
          <w:tcPr>
            <w:tcW w:w="0" w:type="auto"/>
            <w:gridSpan w:val="2"/>
            <w:shd w:val="clear" w:color="auto" w:fill="FFFFFF"/>
            <w:tcMar>
              <w:top w:w="40" w:type="dxa"/>
              <w:left w:w="20" w:type="dxa"/>
              <w:bottom w:w="40" w:type="dxa"/>
              <w:right w:w="0" w:type="dxa"/>
            </w:tcMar>
            <w:vAlign w:val="bottom"/>
          </w:tcPr>
          <w:p w14:paraId="5EA257A2" w14:textId="77777777" w:rsidR="003C66EB" w:rsidRDefault="00D96C4E">
            <w:pPr>
              <w:jc w:val="right"/>
              <w:textAlignment w:val="bottom"/>
            </w:pPr>
            <w:r>
              <w:rPr>
                <w:rFonts w:ascii="Arial" w:eastAsia="宋体" w:hAnsi="Arial" w:cs="Arial"/>
                <w:b/>
                <w:bCs/>
                <w:color w:val="000000"/>
                <w:sz w:val="14"/>
                <w:szCs w:val="14"/>
              </w:rPr>
              <w:t>3,027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7A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A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A5" w14:textId="77777777" w:rsidR="003C66EB" w:rsidRDefault="00D96C4E">
            <w:pPr>
              <w:jc w:val="right"/>
              <w:textAlignment w:val="bottom"/>
            </w:pPr>
            <w:r>
              <w:rPr>
                <w:rFonts w:ascii="Arial" w:eastAsia="宋体" w:hAnsi="Arial" w:cs="Arial"/>
                <w:color w:val="000000"/>
                <w:sz w:val="14"/>
                <w:szCs w:val="14"/>
              </w:rPr>
              <w:t>3,095 </w:t>
            </w:r>
          </w:p>
        </w:tc>
        <w:tc>
          <w:tcPr>
            <w:tcW w:w="0" w:type="auto"/>
            <w:shd w:val="clear" w:color="auto" w:fill="FFFFFF"/>
            <w:tcMar>
              <w:top w:w="40" w:type="dxa"/>
              <w:left w:w="0" w:type="dxa"/>
              <w:bottom w:w="40" w:type="dxa"/>
              <w:right w:w="20" w:type="dxa"/>
            </w:tcMar>
            <w:vAlign w:val="bottom"/>
          </w:tcPr>
          <w:p w14:paraId="5EA257A6" w14:textId="77777777" w:rsidR="003C66EB" w:rsidRDefault="003C66EB">
            <w:pPr>
              <w:jc w:val="right"/>
              <w:rPr>
                <w:rFonts w:ascii="宋体"/>
              </w:rPr>
            </w:pPr>
          </w:p>
        </w:tc>
      </w:tr>
      <w:tr w:rsidR="003C66EB" w14:paraId="5EA257AE" w14:textId="77777777">
        <w:tc>
          <w:tcPr>
            <w:tcW w:w="0" w:type="auto"/>
            <w:gridSpan w:val="3"/>
            <w:shd w:val="clear" w:color="auto" w:fill="CCEEFF"/>
            <w:tcMar>
              <w:top w:w="40" w:type="dxa"/>
              <w:left w:w="20" w:type="dxa"/>
              <w:bottom w:w="40" w:type="dxa"/>
              <w:right w:w="20" w:type="dxa"/>
            </w:tcMar>
            <w:vAlign w:val="bottom"/>
          </w:tcPr>
          <w:p w14:paraId="5EA257A8" w14:textId="77777777" w:rsidR="003C66EB" w:rsidRDefault="00D96C4E">
            <w:pPr>
              <w:textAlignment w:val="bottom"/>
            </w:pPr>
            <w:r>
              <w:rPr>
                <w:rFonts w:ascii="Arial" w:eastAsia="宋体" w:hAnsi="Arial" w:cs="Arial"/>
                <w:color w:val="000000"/>
                <w:sz w:val="14"/>
                <w:szCs w:val="14"/>
              </w:rPr>
              <w:t>Collateral, net</w:t>
            </w:r>
          </w:p>
        </w:tc>
        <w:tc>
          <w:tcPr>
            <w:tcW w:w="0" w:type="auto"/>
            <w:gridSpan w:val="2"/>
            <w:shd w:val="clear" w:color="auto" w:fill="CCEEFF"/>
            <w:tcMar>
              <w:top w:w="40" w:type="dxa"/>
              <w:left w:w="20" w:type="dxa"/>
              <w:bottom w:w="40" w:type="dxa"/>
              <w:right w:w="0" w:type="dxa"/>
            </w:tcMar>
            <w:vAlign w:val="bottom"/>
          </w:tcPr>
          <w:p w14:paraId="5EA257A9" w14:textId="77777777" w:rsidR="003C66EB" w:rsidRDefault="00D96C4E">
            <w:pPr>
              <w:jc w:val="right"/>
              <w:textAlignment w:val="bottom"/>
            </w:pPr>
            <w:r>
              <w:rPr>
                <w:rFonts w:ascii="Arial" w:eastAsia="宋体" w:hAnsi="Arial" w:cs="Arial"/>
                <w:b/>
                <w:bCs/>
                <w:color w:val="000000"/>
                <w:sz w:val="14"/>
                <w:szCs w:val="14"/>
              </w:rPr>
              <w:t>1,639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7A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A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AC" w14:textId="77777777" w:rsidR="003C66EB" w:rsidRDefault="00D96C4E">
            <w:pPr>
              <w:jc w:val="right"/>
              <w:textAlignment w:val="bottom"/>
            </w:pPr>
            <w:r>
              <w:rPr>
                <w:rFonts w:ascii="Arial" w:eastAsia="宋体" w:hAnsi="Arial" w:cs="Arial"/>
                <w:color w:val="000000"/>
                <w:sz w:val="14"/>
                <w:szCs w:val="14"/>
              </w:rPr>
              <w:t>2,713 </w:t>
            </w:r>
          </w:p>
        </w:tc>
        <w:tc>
          <w:tcPr>
            <w:tcW w:w="0" w:type="auto"/>
            <w:shd w:val="clear" w:color="auto" w:fill="CCEEFF"/>
            <w:tcMar>
              <w:top w:w="40" w:type="dxa"/>
              <w:left w:w="0" w:type="dxa"/>
              <w:bottom w:w="40" w:type="dxa"/>
              <w:right w:w="20" w:type="dxa"/>
            </w:tcMar>
            <w:vAlign w:val="bottom"/>
          </w:tcPr>
          <w:p w14:paraId="5EA257AD" w14:textId="77777777" w:rsidR="003C66EB" w:rsidRDefault="003C66EB">
            <w:pPr>
              <w:jc w:val="right"/>
              <w:rPr>
                <w:rFonts w:ascii="宋体"/>
              </w:rPr>
            </w:pPr>
          </w:p>
        </w:tc>
      </w:tr>
      <w:tr w:rsidR="003C66EB" w14:paraId="5EA257B5" w14:textId="77777777">
        <w:tc>
          <w:tcPr>
            <w:tcW w:w="0" w:type="auto"/>
            <w:gridSpan w:val="3"/>
            <w:shd w:val="clear" w:color="auto" w:fill="FFFFFF"/>
            <w:tcMar>
              <w:top w:w="40" w:type="dxa"/>
              <w:left w:w="20" w:type="dxa"/>
              <w:bottom w:w="40" w:type="dxa"/>
              <w:right w:w="20" w:type="dxa"/>
            </w:tcMar>
            <w:vAlign w:val="bottom"/>
          </w:tcPr>
          <w:p w14:paraId="5EA257AF" w14:textId="77777777" w:rsidR="003C66EB" w:rsidRDefault="00D96C4E">
            <w:pPr>
              <w:textAlignment w:val="bottom"/>
            </w:pPr>
            <w:r>
              <w:rPr>
                <w:rFonts w:ascii="Arial" w:eastAsia="宋体" w:hAnsi="Arial" w:cs="Arial"/>
                <w:color w:val="000000"/>
                <w:sz w:val="14"/>
                <w:szCs w:val="14"/>
              </w:rPr>
              <w:t>Receivable for securities settlement</w:t>
            </w:r>
          </w:p>
        </w:tc>
        <w:tc>
          <w:tcPr>
            <w:tcW w:w="0" w:type="auto"/>
            <w:gridSpan w:val="2"/>
            <w:shd w:val="clear" w:color="auto" w:fill="FFFFFF"/>
            <w:tcMar>
              <w:top w:w="40" w:type="dxa"/>
              <w:left w:w="20" w:type="dxa"/>
              <w:bottom w:w="40" w:type="dxa"/>
              <w:right w:w="0" w:type="dxa"/>
            </w:tcMar>
            <w:vAlign w:val="bottom"/>
          </w:tcPr>
          <w:p w14:paraId="5EA257B0" w14:textId="77777777" w:rsidR="003C66EB" w:rsidRDefault="00D96C4E">
            <w:pPr>
              <w:jc w:val="right"/>
              <w:textAlignment w:val="bottom"/>
            </w:pPr>
            <w:r>
              <w:rPr>
                <w:rFonts w:ascii="Arial" w:eastAsia="宋体" w:hAnsi="Arial" w:cs="Arial"/>
                <w:b/>
                <w:bCs/>
                <w:color w:val="000000"/>
                <w:sz w:val="14"/>
                <w:szCs w:val="14"/>
              </w:rPr>
              <w:t>1,110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7B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B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B3" w14:textId="77777777" w:rsidR="003C66EB" w:rsidRDefault="00D96C4E">
            <w:pPr>
              <w:jc w:val="right"/>
              <w:textAlignment w:val="bottom"/>
            </w:pPr>
            <w:r>
              <w:rPr>
                <w:rFonts w:ascii="Arial" w:eastAsia="宋体" w:hAnsi="Arial" w:cs="Arial"/>
                <w:color w:val="000000"/>
                <w:sz w:val="14"/>
                <w:szCs w:val="14"/>
              </w:rPr>
              <w:t>117 </w:t>
            </w:r>
          </w:p>
        </w:tc>
        <w:tc>
          <w:tcPr>
            <w:tcW w:w="0" w:type="auto"/>
            <w:shd w:val="clear" w:color="auto" w:fill="FFFFFF"/>
            <w:tcMar>
              <w:top w:w="40" w:type="dxa"/>
              <w:left w:w="0" w:type="dxa"/>
              <w:bottom w:w="40" w:type="dxa"/>
              <w:right w:w="20" w:type="dxa"/>
            </w:tcMar>
            <w:vAlign w:val="bottom"/>
          </w:tcPr>
          <w:p w14:paraId="5EA257B4" w14:textId="77777777" w:rsidR="003C66EB" w:rsidRDefault="003C66EB">
            <w:pPr>
              <w:jc w:val="right"/>
              <w:rPr>
                <w:rFonts w:ascii="宋体"/>
              </w:rPr>
            </w:pPr>
          </w:p>
        </w:tc>
      </w:tr>
      <w:tr w:rsidR="003C66EB" w14:paraId="5EA257BC" w14:textId="77777777">
        <w:tc>
          <w:tcPr>
            <w:tcW w:w="0" w:type="auto"/>
            <w:gridSpan w:val="3"/>
            <w:shd w:val="clear" w:color="auto" w:fill="CCEEFF"/>
            <w:tcMar>
              <w:top w:w="40" w:type="dxa"/>
              <w:left w:w="20" w:type="dxa"/>
              <w:bottom w:w="40" w:type="dxa"/>
              <w:right w:w="20" w:type="dxa"/>
            </w:tcMar>
            <w:vAlign w:val="bottom"/>
          </w:tcPr>
          <w:p w14:paraId="5EA257B6" w14:textId="77777777" w:rsidR="003C66EB" w:rsidRDefault="00D96C4E">
            <w:pPr>
              <w:textAlignment w:val="bottom"/>
            </w:pPr>
            <w:r>
              <w:rPr>
                <w:rFonts w:ascii="Arial" w:eastAsia="宋体" w:hAnsi="Arial" w:cs="Arial"/>
                <w:color w:val="000000"/>
                <w:sz w:val="14"/>
                <w:szCs w:val="14"/>
              </w:rPr>
              <w:t>Right-of-use assets</w:t>
            </w:r>
          </w:p>
        </w:tc>
        <w:tc>
          <w:tcPr>
            <w:tcW w:w="0" w:type="auto"/>
            <w:gridSpan w:val="2"/>
            <w:shd w:val="clear" w:color="auto" w:fill="CCEEFF"/>
            <w:tcMar>
              <w:top w:w="40" w:type="dxa"/>
              <w:left w:w="20" w:type="dxa"/>
              <w:bottom w:w="40" w:type="dxa"/>
              <w:right w:w="0" w:type="dxa"/>
            </w:tcMar>
            <w:vAlign w:val="bottom"/>
          </w:tcPr>
          <w:p w14:paraId="5EA257B7" w14:textId="77777777" w:rsidR="003C66EB" w:rsidRDefault="00D96C4E">
            <w:pPr>
              <w:jc w:val="right"/>
              <w:textAlignment w:val="bottom"/>
            </w:pPr>
            <w:r>
              <w:rPr>
                <w:rFonts w:ascii="Arial" w:eastAsia="宋体" w:hAnsi="Arial" w:cs="Arial"/>
                <w:b/>
                <w:bCs/>
                <w:color w:val="000000"/>
                <w:sz w:val="14"/>
                <w:szCs w:val="14"/>
              </w:rPr>
              <w:t>632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7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B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BA" w14:textId="77777777" w:rsidR="003C66EB" w:rsidRDefault="00D96C4E">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5EA257BB" w14:textId="77777777" w:rsidR="003C66EB" w:rsidRDefault="003C66EB">
            <w:pPr>
              <w:jc w:val="right"/>
              <w:rPr>
                <w:rFonts w:ascii="宋体"/>
              </w:rPr>
            </w:pPr>
          </w:p>
        </w:tc>
      </w:tr>
      <w:tr w:rsidR="003C66EB" w14:paraId="5EA257C3" w14:textId="77777777">
        <w:tc>
          <w:tcPr>
            <w:tcW w:w="0" w:type="auto"/>
            <w:gridSpan w:val="3"/>
            <w:shd w:val="clear" w:color="auto" w:fill="FFFFFF"/>
            <w:tcMar>
              <w:top w:w="40" w:type="dxa"/>
              <w:left w:w="20" w:type="dxa"/>
              <w:bottom w:w="40" w:type="dxa"/>
              <w:right w:w="20" w:type="dxa"/>
            </w:tcMar>
            <w:vAlign w:val="bottom"/>
          </w:tcPr>
          <w:p w14:paraId="5EA257BD" w14:textId="77777777" w:rsidR="003C66EB" w:rsidRDefault="00D96C4E">
            <w:pPr>
              <w:textAlignment w:val="bottom"/>
            </w:pPr>
            <w:r>
              <w:rPr>
                <w:rFonts w:ascii="Arial" w:eastAsia="宋体" w:hAnsi="Arial" w:cs="Arial"/>
                <w:color w:val="000000"/>
                <w:sz w:val="14"/>
                <w:szCs w:val="14"/>
              </w:rPr>
              <w:t>Accounts receivable</w:t>
            </w:r>
          </w:p>
        </w:tc>
        <w:tc>
          <w:tcPr>
            <w:tcW w:w="0" w:type="auto"/>
            <w:gridSpan w:val="2"/>
            <w:shd w:val="clear" w:color="auto" w:fill="FFFFFF"/>
            <w:tcMar>
              <w:top w:w="40" w:type="dxa"/>
              <w:left w:w="20" w:type="dxa"/>
              <w:bottom w:w="40" w:type="dxa"/>
              <w:right w:w="0" w:type="dxa"/>
            </w:tcMar>
            <w:vAlign w:val="bottom"/>
          </w:tcPr>
          <w:p w14:paraId="5EA257BE" w14:textId="77777777" w:rsidR="003C66EB" w:rsidRDefault="00D96C4E">
            <w:pPr>
              <w:jc w:val="right"/>
              <w:textAlignment w:val="bottom"/>
            </w:pPr>
            <w:r>
              <w:rPr>
                <w:rFonts w:ascii="Arial" w:eastAsia="宋体" w:hAnsi="Arial" w:cs="Arial"/>
                <w:b/>
                <w:bCs/>
                <w:color w:val="000000"/>
                <w:sz w:val="14"/>
                <w:szCs w:val="14"/>
              </w:rPr>
              <w:t>468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7B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C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C1" w14:textId="77777777" w:rsidR="003C66EB" w:rsidRDefault="00D96C4E">
            <w:pPr>
              <w:jc w:val="right"/>
              <w:textAlignment w:val="bottom"/>
            </w:pPr>
            <w:r>
              <w:rPr>
                <w:rFonts w:ascii="Arial" w:eastAsia="宋体" w:hAnsi="Arial" w:cs="Arial"/>
                <w:color w:val="000000"/>
                <w:sz w:val="14"/>
                <w:szCs w:val="14"/>
              </w:rPr>
              <w:t>379 </w:t>
            </w:r>
          </w:p>
        </w:tc>
        <w:tc>
          <w:tcPr>
            <w:tcW w:w="0" w:type="auto"/>
            <w:shd w:val="clear" w:color="auto" w:fill="FFFFFF"/>
            <w:tcMar>
              <w:top w:w="40" w:type="dxa"/>
              <w:left w:w="0" w:type="dxa"/>
              <w:bottom w:w="40" w:type="dxa"/>
              <w:right w:w="20" w:type="dxa"/>
            </w:tcMar>
            <w:vAlign w:val="bottom"/>
          </w:tcPr>
          <w:p w14:paraId="5EA257C2" w14:textId="77777777" w:rsidR="003C66EB" w:rsidRDefault="003C66EB">
            <w:pPr>
              <w:jc w:val="right"/>
              <w:rPr>
                <w:rFonts w:ascii="宋体"/>
              </w:rPr>
            </w:pPr>
          </w:p>
        </w:tc>
      </w:tr>
      <w:tr w:rsidR="003C66EB" w14:paraId="5EA257CA" w14:textId="77777777">
        <w:tc>
          <w:tcPr>
            <w:tcW w:w="0" w:type="auto"/>
            <w:gridSpan w:val="3"/>
            <w:shd w:val="clear" w:color="auto" w:fill="CCEEFF"/>
            <w:tcMar>
              <w:top w:w="40" w:type="dxa"/>
              <w:left w:w="20" w:type="dxa"/>
              <w:bottom w:w="40" w:type="dxa"/>
              <w:right w:w="20" w:type="dxa"/>
            </w:tcMar>
            <w:vAlign w:val="bottom"/>
          </w:tcPr>
          <w:p w14:paraId="5EA257C4" w14:textId="77777777" w:rsidR="003C66EB" w:rsidRDefault="00D96C4E">
            <w:pPr>
              <w:textAlignment w:val="bottom"/>
            </w:pPr>
            <w:r>
              <w:rPr>
                <w:rFonts w:ascii="Arial" w:eastAsia="宋体" w:hAnsi="Arial" w:cs="Arial"/>
                <w:color w:val="000000"/>
                <w:sz w:val="14"/>
                <w:szCs w:val="14"/>
              </w:rPr>
              <w:t xml:space="preserve">Prepaid </w:t>
            </w:r>
            <w:r>
              <w:rPr>
                <w:rFonts w:ascii="Arial" w:eastAsia="宋体" w:hAnsi="Arial" w:cs="Arial"/>
                <w:color w:val="000000"/>
                <w:sz w:val="14"/>
                <w:szCs w:val="14"/>
              </w:rPr>
              <w:t>expenses</w:t>
            </w:r>
          </w:p>
        </w:tc>
        <w:tc>
          <w:tcPr>
            <w:tcW w:w="0" w:type="auto"/>
            <w:gridSpan w:val="2"/>
            <w:shd w:val="clear" w:color="auto" w:fill="CCEEFF"/>
            <w:tcMar>
              <w:top w:w="40" w:type="dxa"/>
              <w:left w:w="20" w:type="dxa"/>
              <w:bottom w:w="40" w:type="dxa"/>
              <w:right w:w="0" w:type="dxa"/>
            </w:tcMar>
            <w:vAlign w:val="bottom"/>
          </w:tcPr>
          <w:p w14:paraId="5EA257C5" w14:textId="77777777" w:rsidR="003C66EB" w:rsidRDefault="00D96C4E">
            <w:pPr>
              <w:jc w:val="right"/>
              <w:textAlignment w:val="bottom"/>
            </w:pPr>
            <w:r>
              <w:rPr>
                <w:rFonts w:ascii="Arial" w:eastAsia="宋体" w:hAnsi="Arial" w:cs="Arial"/>
                <w:b/>
                <w:bCs/>
                <w:color w:val="000000"/>
                <w:sz w:val="14"/>
                <w:szCs w:val="14"/>
              </w:rPr>
              <w:t>461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7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C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C8" w14:textId="77777777" w:rsidR="003C66EB" w:rsidRDefault="00D96C4E">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EA257C9" w14:textId="77777777" w:rsidR="003C66EB" w:rsidRDefault="003C66EB">
            <w:pPr>
              <w:jc w:val="right"/>
              <w:rPr>
                <w:rFonts w:ascii="宋体"/>
              </w:rPr>
            </w:pPr>
          </w:p>
        </w:tc>
      </w:tr>
      <w:tr w:rsidR="003C66EB" w14:paraId="5EA257D1" w14:textId="77777777">
        <w:tc>
          <w:tcPr>
            <w:tcW w:w="0" w:type="auto"/>
            <w:gridSpan w:val="3"/>
            <w:shd w:val="clear" w:color="auto" w:fill="FFFFFF"/>
            <w:tcMar>
              <w:top w:w="40" w:type="dxa"/>
              <w:left w:w="20" w:type="dxa"/>
              <w:bottom w:w="40" w:type="dxa"/>
              <w:right w:w="20" w:type="dxa"/>
            </w:tcMar>
            <w:vAlign w:val="bottom"/>
          </w:tcPr>
          <w:p w14:paraId="5EA257CB" w14:textId="77777777" w:rsidR="003C66EB" w:rsidRDefault="00D96C4E">
            <w:pPr>
              <w:jc w:val="both"/>
              <w:textAlignment w:val="bottom"/>
            </w:pPr>
            <w:r>
              <w:rPr>
                <w:rFonts w:ascii="Arial" w:eastAsia="宋体" w:hAnsi="Arial" w:cs="Arial"/>
                <w:color w:val="000000"/>
                <w:sz w:val="14"/>
                <w:szCs w:val="14"/>
              </w:rPr>
              <w:t>Income tax receivable</w:t>
            </w:r>
          </w:p>
        </w:tc>
        <w:tc>
          <w:tcPr>
            <w:tcW w:w="0" w:type="auto"/>
            <w:gridSpan w:val="2"/>
            <w:shd w:val="clear" w:color="auto" w:fill="FFFFFF"/>
            <w:tcMar>
              <w:top w:w="40" w:type="dxa"/>
              <w:left w:w="20" w:type="dxa"/>
              <w:bottom w:w="40" w:type="dxa"/>
              <w:right w:w="0" w:type="dxa"/>
            </w:tcMar>
            <w:vAlign w:val="bottom"/>
          </w:tcPr>
          <w:p w14:paraId="5EA257CC" w14:textId="77777777" w:rsidR="003C66EB" w:rsidRDefault="00D96C4E">
            <w:pPr>
              <w:jc w:val="right"/>
              <w:textAlignment w:val="bottom"/>
            </w:pPr>
            <w:r>
              <w:rPr>
                <w:rFonts w:ascii="Arial" w:eastAsia="宋体" w:hAnsi="Arial" w:cs="Arial"/>
                <w:b/>
                <w:bCs/>
                <w:color w:val="000000"/>
                <w:sz w:val="14"/>
                <w:szCs w:val="14"/>
              </w:rPr>
              <w:t>300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7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C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CF" w14:textId="77777777" w:rsidR="003C66EB" w:rsidRDefault="00D96C4E">
            <w:pPr>
              <w:jc w:val="right"/>
              <w:textAlignment w:val="bottom"/>
            </w:pPr>
            <w:r>
              <w:rPr>
                <w:rFonts w:ascii="Arial" w:eastAsia="宋体" w:hAnsi="Arial" w:cs="Arial"/>
                <w:color w:val="000000"/>
                <w:sz w:val="14"/>
                <w:szCs w:val="14"/>
              </w:rPr>
              <w:t>367 </w:t>
            </w:r>
          </w:p>
        </w:tc>
        <w:tc>
          <w:tcPr>
            <w:tcW w:w="0" w:type="auto"/>
            <w:shd w:val="clear" w:color="auto" w:fill="FFFFFF"/>
            <w:tcMar>
              <w:top w:w="40" w:type="dxa"/>
              <w:left w:w="0" w:type="dxa"/>
              <w:bottom w:w="40" w:type="dxa"/>
              <w:right w:w="20" w:type="dxa"/>
            </w:tcMar>
            <w:vAlign w:val="bottom"/>
          </w:tcPr>
          <w:p w14:paraId="5EA257D0" w14:textId="77777777" w:rsidR="003C66EB" w:rsidRDefault="003C66EB">
            <w:pPr>
              <w:jc w:val="right"/>
              <w:rPr>
                <w:rFonts w:ascii="宋体"/>
              </w:rPr>
            </w:pPr>
          </w:p>
        </w:tc>
      </w:tr>
      <w:tr w:rsidR="003C66EB" w14:paraId="5EA257D8" w14:textId="77777777">
        <w:tc>
          <w:tcPr>
            <w:tcW w:w="0" w:type="auto"/>
            <w:gridSpan w:val="3"/>
            <w:shd w:val="clear" w:color="auto" w:fill="CCEEFF"/>
            <w:tcMar>
              <w:top w:w="40" w:type="dxa"/>
              <w:left w:w="20" w:type="dxa"/>
              <w:bottom w:w="40" w:type="dxa"/>
              <w:right w:w="20" w:type="dxa"/>
            </w:tcMar>
            <w:vAlign w:val="bottom"/>
          </w:tcPr>
          <w:p w14:paraId="5EA257D2" w14:textId="77777777" w:rsidR="003C66EB" w:rsidRDefault="00D96C4E">
            <w:pPr>
              <w:textAlignment w:val="bottom"/>
            </w:pPr>
            <w:r>
              <w:rPr>
                <w:rFonts w:ascii="Arial" w:eastAsia="宋体" w:hAnsi="Arial" w:cs="Arial"/>
                <w:color w:val="000000"/>
                <w:sz w:val="14"/>
                <w:szCs w:val="14"/>
              </w:rPr>
              <w:t>Deferred tax assets, net of valuation allowance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57D3" w14:textId="77777777" w:rsidR="003C66EB" w:rsidRDefault="00D96C4E">
            <w:pPr>
              <w:jc w:val="right"/>
              <w:textAlignment w:val="bottom"/>
            </w:pPr>
            <w:r>
              <w:rPr>
                <w:rFonts w:ascii="Arial" w:eastAsia="宋体" w:hAnsi="Arial" w:cs="Arial"/>
                <w:b/>
                <w:bCs/>
                <w:color w:val="000000"/>
                <w:sz w:val="14"/>
                <w:szCs w:val="14"/>
              </w:rPr>
              <w:t>221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7D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D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D6" w14:textId="77777777" w:rsidR="003C66EB" w:rsidRDefault="00D96C4E">
            <w:pPr>
              <w:jc w:val="right"/>
              <w:textAlignment w:val="bottom"/>
            </w:pPr>
            <w:r>
              <w:rPr>
                <w:rFonts w:ascii="Arial" w:eastAsia="宋体" w:hAnsi="Arial" w:cs="Arial"/>
                <w:color w:val="000000"/>
                <w:sz w:val="14"/>
                <w:szCs w:val="14"/>
              </w:rPr>
              <w:t>233 </w:t>
            </w:r>
          </w:p>
        </w:tc>
        <w:tc>
          <w:tcPr>
            <w:tcW w:w="0" w:type="auto"/>
            <w:shd w:val="clear" w:color="auto" w:fill="CCEEFF"/>
            <w:tcMar>
              <w:top w:w="40" w:type="dxa"/>
              <w:left w:w="0" w:type="dxa"/>
              <w:bottom w:w="40" w:type="dxa"/>
              <w:right w:w="20" w:type="dxa"/>
            </w:tcMar>
            <w:vAlign w:val="bottom"/>
          </w:tcPr>
          <w:p w14:paraId="5EA257D7" w14:textId="77777777" w:rsidR="003C66EB" w:rsidRDefault="003C66EB">
            <w:pPr>
              <w:jc w:val="right"/>
              <w:rPr>
                <w:rFonts w:ascii="宋体"/>
              </w:rPr>
            </w:pPr>
          </w:p>
        </w:tc>
      </w:tr>
      <w:tr w:rsidR="003C66EB" w14:paraId="5EA257DF" w14:textId="77777777">
        <w:tc>
          <w:tcPr>
            <w:tcW w:w="0" w:type="auto"/>
            <w:gridSpan w:val="3"/>
            <w:shd w:val="clear" w:color="auto" w:fill="FFFFFF"/>
            <w:tcMar>
              <w:top w:w="40" w:type="dxa"/>
              <w:left w:w="20" w:type="dxa"/>
              <w:bottom w:w="40" w:type="dxa"/>
              <w:right w:w="20" w:type="dxa"/>
            </w:tcMar>
            <w:vAlign w:val="bottom"/>
          </w:tcPr>
          <w:p w14:paraId="5EA257D9" w14:textId="77777777" w:rsidR="003C66EB" w:rsidRDefault="00D96C4E">
            <w:pPr>
              <w:textAlignment w:val="bottom"/>
            </w:pPr>
            <w:r>
              <w:rPr>
                <w:rFonts w:ascii="Arial" w:eastAsia="宋体" w:hAnsi="Arial" w:cs="Arial"/>
                <w:color w:val="000000"/>
                <w:sz w:val="14"/>
                <w:szCs w:val="14"/>
              </w:rPr>
              <w:t>Deposits with clearing organizations</w:t>
            </w:r>
          </w:p>
        </w:tc>
        <w:tc>
          <w:tcPr>
            <w:tcW w:w="0" w:type="auto"/>
            <w:gridSpan w:val="2"/>
            <w:shd w:val="clear" w:color="auto" w:fill="FFFFFF"/>
            <w:tcMar>
              <w:top w:w="40" w:type="dxa"/>
              <w:left w:w="20" w:type="dxa"/>
              <w:bottom w:w="40" w:type="dxa"/>
              <w:right w:w="0" w:type="dxa"/>
            </w:tcMar>
            <w:vAlign w:val="bottom"/>
          </w:tcPr>
          <w:p w14:paraId="5EA257DA" w14:textId="77777777" w:rsidR="003C66EB" w:rsidRDefault="00D96C4E">
            <w:pPr>
              <w:jc w:val="right"/>
              <w:textAlignment w:val="bottom"/>
            </w:pPr>
            <w:r>
              <w:rPr>
                <w:rFonts w:ascii="Arial" w:eastAsia="宋体" w:hAnsi="Arial" w:cs="Arial"/>
                <w:b/>
                <w:bCs/>
                <w:color w:val="000000"/>
                <w:sz w:val="14"/>
                <w:szCs w:val="14"/>
              </w:rPr>
              <w:t>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7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D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7DD" w14:textId="77777777" w:rsidR="003C66EB" w:rsidRDefault="00D96C4E">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5EA257DE" w14:textId="77777777" w:rsidR="003C66EB" w:rsidRDefault="003C66EB">
            <w:pPr>
              <w:jc w:val="right"/>
              <w:rPr>
                <w:rFonts w:ascii="宋体"/>
              </w:rPr>
            </w:pPr>
          </w:p>
        </w:tc>
      </w:tr>
      <w:tr w:rsidR="003C66EB" w14:paraId="5EA257E6" w14:textId="77777777">
        <w:tc>
          <w:tcPr>
            <w:tcW w:w="0" w:type="auto"/>
            <w:gridSpan w:val="3"/>
            <w:shd w:val="clear" w:color="auto" w:fill="CCEEFF"/>
            <w:tcMar>
              <w:top w:w="40" w:type="dxa"/>
              <w:left w:w="20" w:type="dxa"/>
              <w:bottom w:w="40" w:type="dxa"/>
              <w:right w:w="20" w:type="dxa"/>
            </w:tcMar>
            <w:vAlign w:val="bottom"/>
          </w:tcPr>
          <w:p w14:paraId="5EA257E0" w14:textId="77777777" w:rsidR="003C66EB" w:rsidRDefault="00D96C4E">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5EA257E1" w14:textId="77777777" w:rsidR="003C66EB" w:rsidRDefault="00D96C4E">
            <w:pPr>
              <w:jc w:val="right"/>
              <w:textAlignment w:val="bottom"/>
            </w:pPr>
            <w:r>
              <w:rPr>
                <w:rFonts w:ascii="Arial" w:eastAsia="宋体" w:hAnsi="Arial" w:cs="Arial"/>
                <w:b/>
                <w:bCs/>
                <w:color w:val="000000"/>
                <w:sz w:val="14"/>
                <w:szCs w:val="14"/>
              </w:rPr>
              <w:t>872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7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7E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7E4" w14:textId="77777777" w:rsidR="003C66EB" w:rsidRDefault="00D96C4E">
            <w:pPr>
              <w:jc w:val="right"/>
              <w:textAlignment w:val="bottom"/>
            </w:pPr>
            <w:r>
              <w:rPr>
                <w:rFonts w:ascii="Arial" w:eastAsia="宋体" w:hAnsi="Arial" w:cs="Arial"/>
                <w:color w:val="000000"/>
                <w:sz w:val="14"/>
                <w:szCs w:val="14"/>
              </w:rPr>
              <w:t>832 </w:t>
            </w:r>
          </w:p>
        </w:tc>
        <w:tc>
          <w:tcPr>
            <w:tcW w:w="0" w:type="auto"/>
            <w:shd w:val="clear" w:color="auto" w:fill="CCEEFF"/>
            <w:tcMar>
              <w:top w:w="40" w:type="dxa"/>
              <w:left w:w="0" w:type="dxa"/>
              <w:bottom w:w="40" w:type="dxa"/>
              <w:right w:w="20" w:type="dxa"/>
            </w:tcMar>
            <w:vAlign w:val="bottom"/>
          </w:tcPr>
          <w:p w14:paraId="5EA257E5" w14:textId="77777777" w:rsidR="003C66EB" w:rsidRDefault="003C66EB">
            <w:pPr>
              <w:jc w:val="right"/>
              <w:rPr>
                <w:rFonts w:ascii="宋体"/>
              </w:rPr>
            </w:pPr>
          </w:p>
        </w:tc>
      </w:tr>
      <w:tr w:rsidR="003C66EB" w14:paraId="5EA257EF" w14:textId="77777777">
        <w:tc>
          <w:tcPr>
            <w:tcW w:w="0" w:type="auto"/>
            <w:gridSpan w:val="3"/>
            <w:shd w:val="clear" w:color="auto" w:fill="FFFFFF"/>
            <w:tcMar>
              <w:top w:w="40" w:type="dxa"/>
              <w:left w:w="20" w:type="dxa"/>
              <w:bottom w:w="40" w:type="dxa"/>
              <w:right w:w="20" w:type="dxa"/>
            </w:tcMar>
            <w:vAlign w:val="bottom"/>
          </w:tcPr>
          <w:p w14:paraId="5EA257E7"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7E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7E9" w14:textId="77777777" w:rsidR="003C66EB" w:rsidRDefault="00D96C4E">
            <w:pPr>
              <w:jc w:val="right"/>
              <w:textAlignment w:val="bottom"/>
            </w:pPr>
            <w:r>
              <w:rPr>
                <w:rFonts w:ascii="Arial" w:eastAsia="宋体" w:hAnsi="Arial" w:cs="Arial"/>
                <w:b/>
                <w:bCs/>
                <w:color w:val="000000"/>
                <w:sz w:val="14"/>
                <w:szCs w:val="14"/>
              </w:rPr>
              <w:t>45,233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7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7E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57E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57ED" w14:textId="77777777" w:rsidR="003C66EB" w:rsidRDefault="00D96C4E">
            <w:pPr>
              <w:jc w:val="right"/>
              <w:textAlignment w:val="bottom"/>
            </w:pPr>
            <w:r>
              <w:rPr>
                <w:rFonts w:ascii="Arial" w:eastAsia="宋体" w:hAnsi="Arial" w:cs="Arial"/>
                <w:color w:val="000000"/>
                <w:sz w:val="14"/>
                <w:szCs w:val="14"/>
              </w:rPr>
              <w:t>36,510 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57EE" w14:textId="77777777" w:rsidR="003C66EB" w:rsidRDefault="003C66EB">
            <w:pPr>
              <w:jc w:val="right"/>
              <w:rPr>
                <w:rFonts w:ascii="宋体"/>
              </w:rPr>
            </w:pPr>
          </w:p>
        </w:tc>
      </w:tr>
    </w:tbl>
    <w:p w14:paraId="5EA257F0"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257F7" w14:textId="77777777">
        <w:tc>
          <w:tcPr>
            <w:tcW w:w="50" w:type="pct"/>
            <w:shd w:val="clear" w:color="auto" w:fill="auto"/>
          </w:tcPr>
          <w:p w14:paraId="5EA257F1" w14:textId="77777777" w:rsidR="003C66EB" w:rsidRDefault="003C66EB">
            <w:pPr>
              <w:rPr>
                <w:rFonts w:ascii="宋体"/>
              </w:rPr>
            </w:pPr>
          </w:p>
        </w:tc>
        <w:tc>
          <w:tcPr>
            <w:tcW w:w="1348" w:type="pct"/>
            <w:shd w:val="clear" w:color="auto" w:fill="auto"/>
          </w:tcPr>
          <w:p w14:paraId="5EA257F2" w14:textId="77777777" w:rsidR="003C66EB" w:rsidRDefault="003C66EB">
            <w:pPr>
              <w:rPr>
                <w:rFonts w:ascii="宋体"/>
              </w:rPr>
            </w:pPr>
          </w:p>
        </w:tc>
        <w:tc>
          <w:tcPr>
            <w:tcW w:w="5" w:type="pct"/>
            <w:shd w:val="clear" w:color="auto" w:fill="auto"/>
          </w:tcPr>
          <w:p w14:paraId="5EA257F3" w14:textId="77777777" w:rsidR="003C66EB" w:rsidRDefault="003C66EB">
            <w:pPr>
              <w:rPr>
                <w:rFonts w:ascii="宋体"/>
              </w:rPr>
            </w:pPr>
          </w:p>
        </w:tc>
        <w:tc>
          <w:tcPr>
            <w:tcW w:w="50" w:type="pct"/>
            <w:shd w:val="clear" w:color="auto" w:fill="auto"/>
          </w:tcPr>
          <w:p w14:paraId="5EA257F4" w14:textId="77777777" w:rsidR="003C66EB" w:rsidRDefault="003C66EB">
            <w:pPr>
              <w:rPr>
                <w:rFonts w:ascii="宋体"/>
              </w:rPr>
            </w:pPr>
          </w:p>
        </w:tc>
        <w:tc>
          <w:tcPr>
            <w:tcW w:w="3541" w:type="pct"/>
            <w:shd w:val="clear" w:color="auto" w:fill="auto"/>
          </w:tcPr>
          <w:p w14:paraId="5EA257F5" w14:textId="77777777" w:rsidR="003C66EB" w:rsidRDefault="003C66EB">
            <w:pPr>
              <w:rPr>
                <w:rFonts w:ascii="宋体"/>
              </w:rPr>
            </w:pPr>
          </w:p>
        </w:tc>
        <w:tc>
          <w:tcPr>
            <w:tcW w:w="5" w:type="pct"/>
            <w:shd w:val="clear" w:color="auto" w:fill="auto"/>
          </w:tcPr>
          <w:p w14:paraId="5EA257F6" w14:textId="77777777" w:rsidR="003C66EB" w:rsidRDefault="003C66EB">
            <w:pPr>
              <w:rPr>
                <w:rFonts w:ascii="宋体"/>
              </w:rPr>
            </w:pPr>
          </w:p>
        </w:tc>
      </w:tr>
      <w:tr w:rsidR="003C66EB" w14:paraId="5EA257F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7F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7F9" w14:textId="77777777" w:rsidR="003C66EB" w:rsidRDefault="003C66EB">
            <w:pPr>
              <w:rPr>
                <w:rFonts w:ascii="宋体"/>
              </w:rPr>
            </w:pPr>
          </w:p>
        </w:tc>
      </w:tr>
    </w:tbl>
    <w:p w14:paraId="5EA257FB" w14:textId="77777777" w:rsidR="003C66EB" w:rsidRDefault="00D96C4E">
      <w:pPr>
        <w:spacing w:before="6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Refer to Note 8, for further information on the impact of collateral on our financial statement presentation of securities borrowing and securities lending transactions.</w:t>
      </w:r>
    </w:p>
    <w:p w14:paraId="5EA257FC" w14:textId="77777777" w:rsidR="003C66EB" w:rsidRDefault="00D96C4E">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Deferred tax assets and liabilities recorded in our consolidated statement of con</w:t>
      </w:r>
      <w:r>
        <w:rPr>
          <w:rFonts w:ascii="Arial" w:eastAsia="宋体" w:hAnsi="Arial" w:cs="Arial"/>
          <w:color w:val="000000"/>
          <w:sz w:val="12"/>
          <w:szCs w:val="12"/>
        </w:rPr>
        <w:t>dition are netted within the same tax jurisdiction.</w:t>
      </w:r>
    </w:p>
    <w:p w14:paraId="5EA257FD" w14:textId="77777777" w:rsidR="003C66EB" w:rsidRDefault="00D96C4E">
      <w:pPr>
        <w:spacing w:before="180"/>
        <w:jc w:val="both"/>
        <w:textAlignment w:val="top"/>
      </w:pPr>
      <w:r>
        <w:rPr>
          <w:rFonts w:ascii="Arial" w:eastAsia="宋体" w:hAnsi="Arial" w:cs="Arial"/>
          <w:b/>
          <w:bCs/>
          <w:color w:val="000000"/>
          <w:sz w:val="20"/>
          <w:szCs w:val="20"/>
        </w:rPr>
        <w:t>Note 7. Derivative Financial Instruments</w:t>
      </w:r>
    </w:p>
    <w:p w14:paraId="5EA257FE" w14:textId="77777777" w:rsidR="003C66EB" w:rsidRDefault="00D96C4E">
      <w:pPr>
        <w:spacing w:before="60"/>
        <w:ind w:firstLine="450"/>
        <w:jc w:val="both"/>
        <w:textAlignment w:val="top"/>
      </w:pPr>
      <w:r>
        <w:rPr>
          <w:rFonts w:ascii="Arial" w:eastAsia="宋体" w:hAnsi="Arial" w:cs="Arial"/>
          <w:color w:val="000000"/>
          <w:sz w:val="20"/>
          <w:szCs w:val="20"/>
        </w:rPr>
        <w:t>We use derivative financial instruments to support our clients' needs and to manage our interest rate and currency risks. These financial instruments consist of FX</w:t>
      </w:r>
      <w:r>
        <w:rPr>
          <w:rFonts w:ascii="Arial" w:eastAsia="宋体" w:hAnsi="Arial" w:cs="Arial"/>
          <w:color w:val="000000"/>
          <w:sz w:val="20"/>
          <w:szCs w:val="20"/>
        </w:rPr>
        <w:t xml:space="preserve"> contracts such as forwards, futures and options contracts; interest rate contracts such as interest rate swaps (cross currency and single currency) and futures; and other derivative contracts. Derivative instruments used for risk management purposes that </w:t>
      </w:r>
      <w:r>
        <w:rPr>
          <w:rFonts w:ascii="Arial" w:eastAsia="宋体" w:hAnsi="Arial" w:cs="Arial"/>
          <w:color w:val="000000"/>
          <w:sz w:val="20"/>
          <w:szCs w:val="20"/>
        </w:rPr>
        <w:t>are highly effective in offsetting the risk being hedged are generally designated as hedging instruments in hedge accounting relationships, while others are economic hedges and not designated in hedge accounting relationships. For additional information on</w:t>
      </w:r>
      <w:r>
        <w:rPr>
          <w:rFonts w:ascii="Arial" w:eastAsia="宋体" w:hAnsi="Arial" w:cs="Arial"/>
          <w:color w:val="000000"/>
          <w:sz w:val="20"/>
          <w:szCs w:val="20"/>
        </w:rPr>
        <w:t xml:space="preserve"> our derivative financial instruments, including derivatives not designated as hedging instruments, refer to pages 158 to 159 in Note 10 to the consolidated financial statements included under Item 8, Financial Statements and Supplementary Data, in our 202</w:t>
      </w:r>
      <w:r>
        <w:rPr>
          <w:rFonts w:ascii="Arial" w:eastAsia="宋体" w:hAnsi="Arial" w:cs="Arial"/>
          <w:color w:val="000000"/>
          <w:sz w:val="20"/>
          <w:szCs w:val="20"/>
        </w:rPr>
        <w:t>0 Form 10-K.</w:t>
      </w:r>
    </w:p>
    <w:p w14:paraId="5EA257FF" w14:textId="77777777" w:rsidR="003C66EB" w:rsidRDefault="00D96C4E">
      <w:pPr>
        <w:spacing w:before="60"/>
        <w:jc w:val="both"/>
        <w:textAlignment w:val="top"/>
      </w:pPr>
      <w:r>
        <w:rPr>
          <w:rFonts w:ascii="Arial" w:eastAsia="宋体" w:hAnsi="Arial" w:cs="Arial"/>
          <w:b/>
          <w:bCs/>
          <w:i/>
          <w:iCs/>
          <w:color w:val="000000"/>
          <w:sz w:val="20"/>
          <w:szCs w:val="20"/>
        </w:rPr>
        <w:t>Derivatives Designated as Hedging Instruments</w:t>
      </w:r>
    </w:p>
    <w:p w14:paraId="5EA25800" w14:textId="77777777" w:rsidR="003C66EB" w:rsidRDefault="00D96C4E">
      <w:pPr>
        <w:spacing w:before="20"/>
        <w:ind w:firstLine="450"/>
        <w:jc w:val="both"/>
        <w:textAlignment w:val="top"/>
      </w:pPr>
      <w:r>
        <w:rPr>
          <w:rFonts w:ascii="Arial" w:eastAsia="宋体" w:hAnsi="Arial" w:cs="Arial"/>
          <w:color w:val="000000"/>
          <w:sz w:val="20"/>
          <w:szCs w:val="20"/>
        </w:rPr>
        <w:t xml:space="preserve">For additional information on our derivatives designated as hedging instruments, including our risk management objectives and hedging documentation methodologies, refer to page 159 in Note 10 to </w:t>
      </w:r>
      <w:r>
        <w:rPr>
          <w:rFonts w:ascii="Arial" w:eastAsia="宋体" w:hAnsi="Arial" w:cs="Arial"/>
          <w:color w:val="000000"/>
          <w:sz w:val="20"/>
          <w:szCs w:val="20"/>
        </w:rPr>
        <w:t>the consolidated financial statements included under Item 8, Financial Statements and Supplementary Data, in our 2020 Form 10-K.</w:t>
      </w:r>
    </w:p>
    <w:p w14:paraId="5EA25801" w14:textId="77777777" w:rsidR="003C66EB" w:rsidRDefault="00D96C4E">
      <w:pPr>
        <w:spacing w:before="60"/>
        <w:jc w:val="both"/>
        <w:textAlignment w:val="top"/>
      </w:pPr>
      <w:r>
        <w:rPr>
          <w:rFonts w:ascii="Arial" w:eastAsia="宋体" w:hAnsi="Arial" w:cs="Arial"/>
          <w:i/>
          <w:iCs/>
          <w:color w:val="000000"/>
          <w:sz w:val="20"/>
          <w:szCs w:val="20"/>
        </w:rPr>
        <w:t>Fair Value Hedges</w:t>
      </w:r>
    </w:p>
    <w:p w14:paraId="5EA25802" w14:textId="77777777" w:rsidR="003C66EB" w:rsidRDefault="00D96C4E">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w:t>
      </w:r>
      <w:r>
        <w:rPr>
          <w:rFonts w:ascii="Arial" w:eastAsia="宋体" w:hAnsi="Arial" w:cs="Arial"/>
          <w:color w:val="000000"/>
          <w:sz w:val="20"/>
          <w:szCs w:val="20"/>
        </w:rPr>
        <w:t xml:space="preserve">f recognized assets and liabilities, including long-term debt and AFS securities. We use interest rate contracts in this manner to manage our exposure to changes in the fair value of hedged items caused by changes in interest rates. </w:t>
      </w:r>
    </w:p>
    <w:p w14:paraId="5EA25803" w14:textId="77777777" w:rsidR="003C66EB" w:rsidRDefault="00D96C4E">
      <w:pPr>
        <w:spacing w:before="60"/>
        <w:ind w:firstLine="450"/>
        <w:jc w:val="both"/>
        <w:textAlignment w:val="top"/>
      </w:pPr>
      <w:r>
        <w:rPr>
          <w:rFonts w:ascii="Arial" w:eastAsia="宋体" w:hAnsi="Arial" w:cs="Arial"/>
          <w:color w:val="000000"/>
          <w:sz w:val="20"/>
          <w:szCs w:val="20"/>
        </w:rPr>
        <w:t>Changes in the fair va</w:t>
      </w:r>
      <w:r>
        <w:rPr>
          <w:rFonts w:ascii="Arial" w:eastAsia="宋体" w:hAnsi="Arial" w:cs="Arial"/>
          <w:color w:val="000000"/>
          <w:sz w:val="20"/>
          <w:szCs w:val="20"/>
        </w:rPr>
        <w:t>lue of the derivative and changes in fair value of the hedged item due to changes in the hedged risk are recognized in earnings in the same line item. If a hedge is terminated, but the hedged item was not derecognized, all remaining adjustments to the carr</w:t>
      </w:r>
      <w:r>
        <w:rPr>
          <w:rFonts w:ascii="Arial" w:eastAsia="宋体" w:hAnsi="Arial" w:cs="Arial"/>
          <w:color w:val="000000"/>
          <w:sz w:val="20"/>
          <w:szCs w:val="20"/>
        </w:rPr>
        <w:t>ying amount of the hedged item are amortized over a period that is consistent with the amortization of other discounts or premiums associated with the hedged item</w:t>
      </w:r>
      <w:r>
        <w:rPr>
          <w:rFonts w:ascii="Times New Roman" w:eastAsia="宋体" w:hAnsi="Times New Roman"/>
          <w:color w:val="000000"/>
          <w:sz w:val="20"/>
          <w:szCs w:val="20"/>
        </w:rPr>
        <w:t xml:space="preserve">. </w:t>
      </w:r>
    </w:p>
    <w:p w14:paraId="5EA25804" w14:textId="77777777" w:rsidR="003C66EB" w:rsidRDefault="00D96C4E">
      <w:pPr>
        <w:spacing w:before="60"/>
        <w:jc w:val="both"/>
        <w:textAlignment w:val="top"/>
      </w:pPr>
      <w:r>
        <w:rPr>
          <w:rFonts w:ascii="Arial" w:eastAsia="宋体" w:hAnsi="Arial" w:cs="Arial"/>
          <w:i/>
          <w:iCs/>
          <w:color w:val="000000"/>
          <w:sz w:val="20"/>
          <w:szCs w:val="20"/>
        </w:rPr>
        <w:t>Cash Flow Hedges</w:t>
      </w:r>
    </w:p>
    <w:p w14:paraId="5EA25805" w14:textId="77777777" w:rsidR="003C66EB" w:rsidRDefault="00D96C4E">
      <w:pPr>
        <w:spacing w:before="60"/>
        <w:ind w:firstLine="450"/>
        <w:jc w:val="both"/>
        <w:textAlignment w:val="top"/>
      </w:pPr>
      <w:r>
        <w:rPr>
          <w:rFonts w:ascii="Arial" w:eastAsia="宋体" w:hAnsi="Arial" w:cs="Arial"/>
          <w:color w:val="000000"/>
          <w:sz w:val="20"/>
          <w:szCs w:val="20"/>
        </w:rPr>
        <w:t>Derivatives designated as cash flow hedges are utilized to offset the vari</w:t>
      </w:r>
      <w:r>
        <w:rPr>
          <w:rFonts w:ascii="Arial" w:eastAsia="宋体" w:hAnsi="Arial" w:cs="Arial"/>
          <w:color w:val="000000"/>
          <w:sz w:val="20"/>
          <w:szCs w:val="20"/>
        </w:rPr>
        <w:t>ability of cash flows of recognized assets or liabilities or forecasted transactions. We have entered into FX contracts to hedge the change in cash flows attributable to FX movements in foreign currency denominated investment securities. Additionally, we h</w:t>
      </w:r>
      <w:r>
        <w:rPr>
          <w:rFonts w:ascii="Arial" w:eastAsia="宋体" w:hAnsi="Arial" w:cs="Arial"/>
          <w:color w:val="000000"/>
          <w:sz w:val="20"/>
          <w:szCs w:val="20"/>
        </w:rPr>
        <w:t>ave entered into interest rate swap agreements to hedge the forecasted cash flows associated with LIBOR indexed floating-rate loans. The interest rate swaps synthetically convert the loan interest receipts from a variable-rate to a fixed-rate, thereby miti</w:t>
      </w:r>
      <w:r>
        <w:rPr>
          <w:rFonts w:ascii="Arial" w:eastAsia="宋体" w:hAnsi="Arial" w:cs="Arial"/>
          <w:color w:val="000000"/>
          <w:sz w:val="20"/>
          <w:szCs w:val="20"/>
        </w:rPr>
        <w:t>gating the risk attributable to changes in the LIBOR benchmark rate.</w:t>
      </w:r>
    </w:p>
    <w:p w14:paraId="5EA25806" w14:textId="77777777" w:rsidR="003C66EB" w:rsidRDefault="00D96C4E">
      <w:pPr>
        <w:spacing w:before="60"/>
        <w:ind w:firstLine="450"/>
        <w:jc w:val="both"/>
        <w:textAlignment w:val="top"/>
      </w:pPr>
      <w:r>
        <w:rPr>
          <w:rFonts w:ascii="Arial" w:eastAsia="宋体" w:hAnsi="Arial" w:cs="Arial"/>
          <w:color w:val="000000"/>
          <w:sz w:val="20"/>
          <w:szCs w:val="20"/>
        </w:rPr>
        <w:t>Changes in fair value of the derivatives designated as cash flow hedges are initially recorded in AOCI and then reclassified into earnings in the same period or periods during which the h</w:t>
      </w:r>
      <w:r>
        <w:rPr>
          <w:rFonts w:ascii="Arial" w:eastAsia="宋体" w:hAnsi="Arial" w:cs="Arial"/>
          <w:color w:val="000000"/>
          <w:sz w:val="20"/>
          <w:szCs w:val="20"/>
        </w:rPr>
        <w:t>edged forecasted transaction affects earnings and are presented in the same income statement line item as the earnings effect of the hedged item. If the hedge relationship is terminated, the change in fair value on the derivative recorded in AOCI is reclas</w:t>
      </w:r>
      <w:r>
        <w:rPr>
          <w:rFonts w:ascii="Arial" w:eastAsia="宋体" w:hAnsi="Arial" w:cs="Arial"/>
          <w:color w:val="000000"/>
          <w:sz w:val="20"/>
          <w:szCs w:val="20"/>
        </w:rPr>
        <w:t>sified into earnings consistent with the timing of the hedged item. For hedge relationships that are discontinued because a forecasted transaction is not expected to occur according to the original hedge terms, any related derivative values recorded in AOC</w:t>
      </w:r>
      <w:r>
        <w:rPr>
          <w:rFonts w:ascii="Arial" w:eastAsia="宋体" w:hAnsi="Arial" w:cs="Arial"/>
          <w:color w:val="000000"/>
          <w:sz w:val="20"/>
          <w:szCs w:val="20"/>
        </w:rPr>
        <w:t>I are immediately recognized in earnings.</w:t>
      </w:r>
    </w:p>
    <w:p w14:paraId="5EA25807" w14:textId="77777777" w:rsidR="003C66EB" w:rsidRDefault="00D96C4E">
      <w:pPr>
        <w:ind w:firstLine="450"/>
        <w:jc w:val="right"/>
      </w:pPr>
      <w:r>
        <w:rPr>
          <w:rFonts w:ascii="Arial" w:eastAsia="宋体" w:hAnsi="Arial" w:cs="Arial"/>
          <w:color w:val="000000"/>
          <w:sz w:val="18"/>
          <w:szCs w:val="18"/>
        </w:rPr>
        <w:t>State Street Corporation | 68</w:t>
      </w:r>
    </w:p>
    <w:p w14:paraId="5EA25808" w14:textId="77777777" w:rsidR="003C66EB" w:rsidRDefault="003C66EB">
      <w:pPr>
        <w:ind w:firstLine="450"/>
        <w:jc w:val="center"/>
      </w:pPr>
    </w:p>
    <w:p w14:paraId="5EA25809" w14:textId="77777777" w:rsidR="003C66EB" w:rsidRDefault="00D96C4E">
      <w:r>
        <w:pict w14:anchorId="5EA287F4">
          <v:rect id="_x0000_i1092" style="width:415.3pt;height:1.5pt" o:hralign="center" o:hrstd="t" o:hr="t" fillcolor="#a0a0a0" stroked="f"/>
        </w:pict>
      </w:r>
    </w:p>
    <w:p w14:paraId="5EA2580A" w14:textId="77777777" w:rsidR="003C66EB" w:rsidRDefault="00D96C4E">
      <w:pPr>
        <w:ind w:firstLine="450"/>
        <w:jc w:val="center"/>
      </w:pPr>
      <w:r>
        <w:rPr>
          <w:rFonts w:ascii="Arial" w:eastAsia="宋体" w:hAnsi="Arial" w:cs="Arial"/>
          <w:b/>
          <w:bCs/>
          <w:color w:val="000000"/>
          <w:sz w:val="20"/>
          <w:szCs w:val="20"/>
        </w:rPr>
        <w:t>STATE STREET CORPORATION</w:t>
      </w:r>
    </w:p>
    <w:p w14:paraId="5EA2580B"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580C" w14:textId="77777777" w:rsidR="003C66EB" w:rsidRDefault="00D96C4E">
      <w:pPr>
        <w:ind w:firstLine="450"/>
        <w:jc w:val="center"/>
      </w:pPr>
      <w:r>
        <w:rPr>
          <w:rFonts w:ascii="Arial" w:eastAsia="宋体" w:hAnsi="Arial" w:cs="Arial"/>
          <w:b/>
          <w:bCs/>
          <w:color w:val="000000"/>
          <w:sz w:val="20"/>
          <w:szCs w:val="20"/>
        </w:rPr>
        <w:t>(UNAUDITED)</w:t>
      </w:r>
    </w:p>
    <w:p w14:paraId="5EA2580D" w14:textId="77777777" w:rsidR="003C66EB" w:rsidRDefault="00D96C4E">
      <w:pPr>
        <w:spacing w:before="90"/>
        <w:jc w:val="both"/>
      </w:pPr>
      <w:r>
        <w:rPr>
          <w:rFonts w:ascii="Arial" w:eastAsia="宋体" w:hAnsi="Arial" w:cs="Arial"/>
          <w:i/>
          <w:iCs/>
          <w:color w:val="000000"/>
          <w:sz w:val="20"/>
          <w:szCs w:val="20"/>
        </w:rPr>
        <w:t>Net Investment Hedges</w:t>
      </w:r>
    </w:p>
    <w:p w14:paraId="5EA2580E" w14:textId="77777777" w:rsidR="003C66EB" w:rsidRDefault="00D96C4E">
      <w:pPr>
        <w:spacing w:before="60"/>
        <w:ind w:firstLine="450"/>
        <w:jc w:val="both"/>
      </w:pPr>
      <w:r>
        <w:rPr>
          <w:rFonts w:ascii="Arial" w:eastAsia="宋体" w:hAnsi="Arial" w:cs="Arial"/>
          <w:color w:val="000000"/>
          <w:sz w:val="20"/>
          <w:szCs w:val="20"/>
        </w:rPr>
        <w:t xml:space="preserve">Derivatives categorized as net investment hedges are entered into </w:t>
      </w:r>
      <w:r>
        <w:rPr>
          <w:rFonts w:ascii="Arial" w:eastAsia="宋体" w:hAnsi="Arial" w:cs="Arial"/>
          <w:color w:val="000000"/>
          <w:sz w:val="20"/>
          <w:szCs w:val="20"/>
        </w:rPr>
        <w:t>to protect the net investment in our foreign operations against adverse changes in exchange rates. We use FX forward contracts to convert the foreign currency risk to U.S. dollars to mitigate our exposure to fluctuations in FX rates. The changes in fair va</w:t>
      </w:r>
      <w:r>
        <w:rPr>
          <w:rFonts w:ascii="Arial" w:eastAsia="宋体" w:hAnsi="Arial" w:cs="Arial"/>
          <w:color w:val="000000"/>
          <w:sz w:val="20"/>
          <w:szCs w:val="20"/>
        </w:rPr>
        <w:t>lue of the FX forward contracts are recorded, net of taxes, in the foreign currency translation component of OCI.</w:t>
      </w:r>
    </w:p>
    <w:p w14:paraId="5EA2580F" w14:textId="77777777" w:rsidR="003C66EB" w:rsidRDefault="00D96C4E">
      <w:pPr>
        <w:spacing w:before="60"/>
        <w:ind w:firstLine="450"/>
        <w:jc w:val="both"/>
      </w:pPr>
      <w:r>
        <w:rPr>
          <w:rFonts w:ascii="Arial" w:eastAsia="宋体" w:hAnsi="Arial" w:cs="Arial"/>
          <w:color w:val="000000"/>
          <w:sz w:val="20"/>
          <w:szCs w:val="20"/>
        </w:rPr>
        <w:t>The following table presents the aggregate contractual, or notional, amounts of derivative financial instruments, including those entered into</w:t>
      </w:r>
      <w:r>
        <w:rPr>
          <w:rFonts w:ascii="Arial" w:eastAsia="宋体" w:hAnsi="Arial" w:cs="Arial"/>
          <w:color w:val="000000"/>
          <w:sz w:val="20"/>
          <w:szCs w:val="20"/>
        </w:rPr>
        <w:t xml:space="preserve"> for trading and asset-and-liability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033"/>
        <w:gridCol w:w="36"/>
        <w:gridCol w:w="99"/>
        <w:gridCol w:w="2424"/>
        <w:gridCol w:w="36"/>
        <w:gridCol w:w="36"/>
        <w:gridCol w:w="36"/>
        <w:gridCol w:w="36"/>
        <w:gridCol w:w="99"/>
        <w:gridCol w:w="2425"/>
        <w:gridCol w:w="36"/>
      </w:tblGrid>
      <w:tr w:rsidR="003C66EB" w14:paraId="5EA2581C" w14:textId="77777777">
        <w:tc>
          <w:tcPr>
            <w:tcW w:w="50" w:type="pct"/>
            <w:shd w:val="clear" w:color="auto" w:fill="auto"/>
          </w:tcPr>
          <w:p w14:paraId="5EA25810" w14:textId="77777777" w:rsidR="003C66EB" w:rsidRDefault="003C66EB">
            <w:pPr>
              <w:rPr>
                <w:rFonts w:ascii="宋体"/>
              </w:rPr>
            </w:pPr>
          </w:p>
        </w:tc>
        <w:tc>
          <w:tcPr>
            <w:tcW w:w="1845" w:type="pct"/>
            <w:shd w:val="clear" w:color="auto" w:fill="auto"/>
          </w:tcPr>
          <w:p w14:paraId="5EA25811" w14:textId="77777777" w:rsidR="003C66EB" w:rsidRDefault="003C66EB">
            <w:pPr>
              <w:rPr>
                <w:rFonts w:ascii="宋体"/>
              </w:rPr>
            </w:pPr>
          </w:p>
        </w:tc>
        <w:tc>
          <w:tcPr>
            <w:tcW w:w="5" w:type="pct"/>
            <w:shd w:val="clear" w:color="auto" w:fill="auto"/>
          </w:tcPr>
          <w:p w14:paraId="5EA25812" w14:textId="77777777" w:rsidR="003C66EB" w:rsidRDefault="003C66EB">
            <w:pPr>
              <w:rPr>
                <w:rFonts w:ascii="宋体"/>
              </w:rPr>
            </w:pPr>
          </w:p>
        </w:tc>
        <w:tc>
          <w:tcPr>
            <w:tcW w:w="50" w:type="pct"/>
            <w:shd w:val="clear" w:color="auto" w:fill="auto"/>
          </w:tcPr>
          <w:p w14:paraId="5EA25813" w14:textId="77777777" w:rsidR="003C66EB" w:rsidRDefault="003C66EB">
            <w:pPr>
              <w:rPr>
                <w:rFonts w:ascii="宋体"/>
              </w:rPr>
            </w:pPr>
          </w:p>
        </w:tc>
        <w:tc>
          <w:tcPr>
            <w:tcW w:w="1480" w:type="pct"/>
            <w:shd w:val="clear" w:color="auto" w:fill="auto"/>
          </w:tcPr>
          <w:p w14:paraId="5EA25814" w14:textId="77777777" w:rsidR="003C66EB" w:rsidRDefault="003C66EB">
            <w:pPr>
              <w:rPr>
                <w:rFonts w:ascii="宋体"/>
              </w:rPr>
            </w:pPr>
          </w:p>
        </w:tc>
        <w:tc>
          <w:tcPr>
            <w:tcW w:w="5" w:type="pct"/>
            <w:shd w:val="clear" w:color="auto" w:fill="auto"/>
          </w:tcPr>
          <w:p w14:paraId="5EA25815" w14:textId="77777777" w:rsidR="003C66EB" w:rsidRDefault="003C66EB">
            <w:pPr>
              <w:rPr>
                <w:rFonts w:ascii="宋体"/>
              </w:rPr>
            </w:pPr>
          </w:p>
        </w:tc>
        <w:tc>
          <w:tcPr>
            <w:tcW w:w="5" w:type="pct"/>
            <w:shd w:val="clear" w:color="auto" w:fill="auto"/>
          </w:tcPr>
          <w:p w14:paraId="5EA25816" w14:textId="77777777" w:rsidR="003C66EB" w:rsidRDefault="003C66EB">
            <w:pPr>
              <w:rPr>
                <w:rFonts w:ascii="宋体"/>
              </w:rPr>
            </w:pPr>
          </w:p>
        </w:tc>
        <w:tc>
          <w:tcPr>
            <w:tcW w:w="19" w:type="pct"/>
            <w:shd w:val="clear" w:color="auto" w:fill="auto"/>
          </w:tcPr>
          <w:p w14:paraId="5EA25817" w14:textId="77777777" w:rsidR="003C66EB" w:rsidRDefault="003C66EB">
            <w:pPr>
              <w:rPr>
                <w:rFonts w:ascii="宋体"/>
              </w:rPr>
            </w:pPr>
          </w:p>
        </w:tc>
        <w:tc>
          <w:tcPr>
            <w:tcW w:w="5" w:type="pct"/>
            <w:shd w:val="clear" w:color="auto" w:fill="auto"/>
          </w:tcPr>
          <w:p w14:paraId="5EA25818" w14:textId="77777777" w:rsidR="003C66EB" w:rsidRDefault="003C66EB">
            <w:pPr>
              <w:rPr>
                <w:rFonts w:ascii="宋体"/>
              </w:rPr>
            </w:pPr>
          </w:p>
        </w:tc>
        <w:tc>
          <w:tcPr>
            <w:tcW w:w="50" w:type="pct"/>
            <w:shd w:val="clear" w:color="auto" w:fill="auto"/>
          </w:tcPr>
          <w:p w14:paraId="5EA25819" w14:textId="77777777" w:rsidR="003C66EB" w:rsidRDefault="003C66EB">
            <w:pPr>
              <w:rPr>
                <w:rFonts w:ascii="宋体"/>
              </w:rPr>
            </w:pPr>
          </w:p>
        </w:tc>
        <w:tc>
          <w:tcPr>
            <w:tcW w:w="1480" w:type="pct"/>
            <w:shd w:val="clear" w:color="auto" w:fill="auto"/>
          </w:tcPr>
          <w:p w14:paraId="5EA2581A" w14:textId="77777777" w:rsidR="003C66EB" w:rsidRDefault="003C66EB">
            <w:pPr>
              <w:rPr>
                <w:rFonts w:ascii="宋体"/>
              </w:rPr>
            </w:pPr>
          </w:p>
        </w:tc>
        <w:tc>
          <w:tcPr>
            <w:tcW w:w="5" w:type="pct"/>
            <w:shd w:val="clear" w:color="auto" w:fill="auto"/>
          </w:tcPr>
          <w:p w14:paraId="5EA2581B" w14:textId="77777777" w:rsidR="003C66EB" w:rsidRDefault="003C66EB">
            <w:pPr>
              <w:rPr>
                <w:rFonts w:ascii="宋体"/>
              </w:rPr>
            </w:pPr>
          </w:p>
        </w:tc>
      </w:tr>
      <w:tr w:rsidR="003C66EB" w14:paraId="5EA25821" w14:textId="77777777">
        <w:tc>
          <w:tcPr>
            <w:tcW w:w="0" w:type="auto"/>
            <w:gridSpan w:val="3"/>
            <w:shd w:val="clear" w:color="auto" w:fill="auto"/>
            <w:tcMar>
              <w:top w:w="40" w:type="dxa"/>
              <w:left w:w="20" w:type="dxa"/>
              <w:bottom w:w="40" w:type="dxa"/>
              <w:right w:w="20" w:type="dxa"/>
            </w:tcMar>
            <w:vAlign w:val="bottom"/>
          </w:tcPr>
          <w:p w14:paraId="5EA2581D"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581E" w14:textId="77777777" w:rsidR="003C66EB" w:rsidRDefault="00D96C4E">
            <w:pPr>
              <w:jc w:val="center"/>
              <w:textAlignment w:val="bottom"/>
            </w:pPr>
            <w:r>
              <w:rPr>
                <w:rFonts w:ascii="Arial" w:eastAsia="宋体" w:hAnsi="Arial" w:cs="Arial"/>
                <w:b/>
                <w:bCs/>
                <w:color w:val="000000"/>
                <w:sz w:val="14"/>
                <w:szCs w:val="14"/>
              </w:rPr>
              <w:t>March 31, 2021</w:t>
            </w:r>
          </w:p>
        </w:tc>
        <w:tc>
          <w:tcPr>
            <w:tcW w:w="0" w:type="auto"/>
            <w:gridSpan w:val="3"/>
            <w:shd w:val="clear" w:color="auto" w:fill="auto"/>
            <w:tcMar>
              <w:top w:w="0" w:type="dxa"/>
              <w:left w:w="20" w:type="dxa"/>
              <w:bottom w:w="0" w:type="dxa"/>
              <w:right w:w="20" w:type="dxa"/>
            </w:tcMar>
          </w:tcPr>
          <w:p w14:paraId="5EA2581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820" w14:textId="77777777" w:rsidR="003C66EB" w:rsidRDefault="00D96C4E">
            <w:pPr>
              <w:jc w:val="center"/>
              <w:textAlignment w:val="bottom"/>
            </w:pPr>
            <w:r>
              <w:rPr>
                <w:rFonts w:ascii="Arial" w:eastAsia="宋体" w:hAnsi="Arial" w:cs="Arial"/>
                <w:b/>
                <w:bCs/>
                <w:color w:val="000000"/>
                <w:sz w:val="14"/>
                <w:szCs w:val="14"/>
              </w:rPr>
              <w:t>December 31, 2020</w:t>
            </w:r>
          </w:p>
        </w:tc>
      </w:tr>
      <w:tr w:rsidR="003C66EB" w14:paraId="5EA25826" w14:textId="77777777">
        <w:tc>
          <w:tcPr>
            <w:tcW w:w="0" w:type="auto"/>
            <w:gridSpan w:val="3"/>
            <w:shd w:val="clear" w:color="auto" w:fill="auto"/>
            <w:tcMar>
              <w:top w:w="40" w:type="dxa"/>
              <w:left w:w="20" w:type="dxa"/>
              <w:bottom w:w="40" w:type="dxa"/>
              <w:right w:w="20" w:type="dxa"/>
            </w:tcMar>
            <w:vAlign w:val="bottom"/>
          </w:tcPr>
          <w:p w14:paraId="5EA25822" w14:textId="77777777" w:rsidR="003C66EB" w:rsidRDefault="00D96C4E">
            <w:pPr>
              <w:textAlignment w:val="bottom"/>
            </w:pPr>
            <w:r>
              <w:rPr>
                <w:rFonts w:ascii="Arial" w:eastAsia="宋体" w:hAnsi="Arial" w:cs="Arial"/>
                <w:b/>
                <w:bCs/>
                <w:color w:val="000000"/>
                <w:sz w:val="14"/>
                <w:szCs w:val="14"/>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5EA2582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2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825" w14:textId="77777777" w:rsidR="003C66EB" w:rsidRDefault="003C66EB">
            <w:pPr>
              <w:rPr>
                <w:rFonts w:ascii="宋体"/>
              </w:rPr>
            </w:pPr>
          </w:p>
        </w:tc>
      </w:tr>
      <w:tr w:rsidR="003C66EB" w14:paraId="5EA2582B" w14:textId="77777777">
        <w:tc>
          <w:tcPr>
            <w:tcW w:w="0" w:type="auto"/>
            <w:gridSpan w:val="3"/>
            <w:shd w:val="clear" w:color="auto" w:fill="auto"/>
            <w:tcMar>
              <w:top w:w="40" w:type="dxa"/>
              <w:left w:w="20" w:type="dxa"/>
              <w:bottom w:w="40" w:type="dxa"/>
              <w:right w:w="20" w:type="dxa"/>
            </w:tcMar>
            <w:vAlign w:val="bottom"/>
          </w:tcPr>
          <w:p w14:paraId="5EA25827" w14:textId="77777777" w:rsidR="003C66EB" w:rsidRDefault="00D96C4E">
            <w:pPr>
              <w:textAlignment w:val="bottom"/>
            </w:pPr>
            <w:r>
              <w:rPr>
                <w:rFonts w:ascii="Arial" w:eastAsia="宋体" w:hAnsi="Arial" w:cs="Arial"/>
                <w:color w:val="000000"/>
                <w:sz w:val="14"/>
                <w:szCs w:val="14"/>
              </w:rPr>
              <w:t>Interest rate contracts:</w:t>
            </w:r>
          </w:p>
        </w:tc>
        <w:tc>
          <w:tcPr>
            <w:tcW w:w="0" w:type="auto"/>
            <w:gridSpan w:val="3"/>
            <w:shd w:val="clear" w:color="auto" w:fill="auto"/>
            <w:tcMar>
              <w:top w:w="0" w:type="dxa"/>
              <w:left w:w="20" w:type="dxa"/>
              <w:bottom w:w="0" w:type="dxa"/>
              <w:right w:w="20" w:type="dxa"/>
            </w:tcMar>
          </w:tcPr>
          <w:p w14:paraId="5EA2582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2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2A" w14:textId="77777777" w:rsidR="003C66EB" w:rsidRDefault="003C66EB">
            <w:pPr>
              <w:rPr>
                <w:rFonts w:ascii="宋体"/>
              </w:rPr>
            </w:pPr>
          </w:p>
        </w:tc>
      </w:tr>
      <w:tr w:rsidR="003C66EB" w14:paraId="5EA25830" w14:textId="77777777">
        <w:trPr>
          <w:hidden/>
        </w:trPr>
        <w:tc>
          <w:tcPr>
            <w:tcW w:w="0" w:type="auto"/>
            <w:gridSpan w:val="3"/>
            <w:shd w:val="clear" w:color="auto" w:fill="auto"/>
          </w:tcPr>
          <w:p w14:paraId="5EA2582C" w14:textId="77777777" w:rsidR="003C66EB" w:rsidRDefault="003C66EB">
            <w:pPr>
              <w:rPr>
                <w:rFonts w:ascii="宋体"/>
                <w:vanish/>
              </w:rPr>
            </w:pPr>
          </w:p>
        </w:tc>
        <w:tc>
          <w:tcPr>
            <w:tcW w:w="0" w:type="auto"/>
            <w:gridSpan w:val="3"/>
            <w:shd w:val="clear" w:color="auto" w:fill="auto"/>
          </w:tcPr>
          <w:p w14:paraId="5EA2582D" w14:textId="77777777" w:rsidR="003C66EB" w:rsidRDefault="003C66EB">
            <w:pPr>
              <w:rPr>
                <w:rFonts w:ascii="宋体"/>
                <w:vanish/>
              </w:rPr>
            </w:pPr>
          </w:p>
        </w:tc>
        <w:tc>
          <w:tcPr>
            <w:tcW w:w="0" w:type="auto"/>
            <w:gridSpan w:val="3"/>
            <w:shd w:val="clear" w:color="auto" w:fill="auto"/>
          </w:tcPr>
          <w:p w14:paraId="5EA2582E" w14:textId="77777777" w:rsidR="003C66EB" w:rsidRDefault="003C66EB">
            <w:pPr>
              <w:rPr>
                <w:rFonts w:ascii="宋体"/>
                <w:vanish/>
              </w:rPr>
            </w:pPr>
          </w:p>
        </w:tc>
        <w:tc>
          <w:tcPr>
            <w:tcW w:w="0" w:type="auto"/>
            <w:gridSpan w:val="3"/>
            <w:shd w:val="clear" w:color="auto" w:fill="auto"/>
          </w:tcPr>
          <w:p w14:paraId="5EA2582F" w14:textId="77777777" w:rsidR="003C66EB" w:rsidRDefault="003C66EB">
            <w:pPr>
              <w:rPr>
                <w:rFonts w:ascii="宋体"/>
                <w:vanish/>
              </w:rPr>
            </w:pPr>
          </w:p>
        </w:tc>
      </w:tr>
      <w:tr w:rsidR="003C66EB" w14:paraId="5EA25835" w14:textId="77777777">
        <w:trPr>
          <w:hidden/>
        </w:trPr>
        <w:tc>
          <w:tcPr>
            <w:tcW w:w="0" w:type="auto"/>
            <w:gridSpan w:val="3"/>
            <w:shd w:val="clear" w:color="auto" w:fill="auto"/>
          </w:tcPr>
          <w:p w14:paraId="5EA25831" w14:textId="77777777" w:rsidR="003C66EB" w:rsidRDefault="003C66EB">
            <w:pPr>
              <w:rPr>
                <w:rFonts w:ascii="宋体"/>
                <w:vanish/>
              </w:rPr>
            </w:pPr>
          </w:p>
        </w:tc>
        <w:tc>
          <w:tcPr>
            <w:tcW w:w="0" w:type="auto"/>
            <w:gridSpan w:val="3"/>
            <w:shd w:val="clear" w:color="auto" w:fill="auto"/>
          </w:tcPr>
          <w:p w14:paraId="5EA25832" w14:textId="77777777" w:rsidR="003C66EB" w:rsidRDefault="003C66EB">
            <w:pPr>
              <w:rPr>
                <w:rFonts w:ascii="宋体"/>
                <w:vanish/>
              </w:rPr>
            </w:pPr>
          </w:p>
        </w:tc>
        <w:tc>
          <w:tcPr>
            <w:tcW w:w="0" w:type="auto"/>
            <w:gridSpan w:val="3"/>
            <w:shd w:val="clear" w:color="auto" w:fill="auto"/>
          </w:tcPr>
          <w:p w14:paraId="5EA25833" w14:textId="77777777" w:rsidR="003C66EB" w:rsidRDefault="003C66EB">
            <w:pPr>
              <w:rPr>
                <w:rFonts w:ascii="宋体"/>
                <w:vanish/>
              </w:rPr>
            </w:pPr>
          </w:p>
        </w:tc>
        <w:tc>
          <w:tcPr>
            <w:tcW w:w="0" w:type="auto"/>
            <w:gridSpan w:val="3"/>
            <w:shd w:val="clear" w:color="auto" w:fill="auto"/>
          </w:tcPr>
          <w:p w14:paraId="5EA25834" w14:textId="77777777" w:rsidR="003C66EB" w:rsidRDefault="003C66EB">
            <w:pPr>
              <w:rPr>
                <w:rFonts w:ascii="宋体"/>
                <w:vanish/>
              </w:rPr>
            </w:pPr>
          </w:p>
        </w:tc>
      </w:tr>
      <w:tr w:rsidR="003C66EB" w14:paraId="5EA2583A" w14:textId="77777777">
        <w:trPr>
          <w:hidden/>
        </w:trPr>
        <w:tc>
          <w:tcPr>
            <w:tcW w:w="0" w:type="auto"/>
            <w:gridSpan w:val="3"/>
            <w:shd w:val="clear" w:color="auto" w:fill="auto"/>
          </w:tcPr>
          <w:p w14:paraId="5EA25836" w14:textId="77777777" w:rsidR="003C66EB" w:rsidRDefault="003C66EB">
            <w:pPr>
              <w:rPr>
                <w:rFonts w:ascii="宋体"/>
                <w:vanish/>
              </w:rPr>
            </w:pPr>
          </w:p>
        </w:tc>
        <w:tc>
          <w:tcPr>
            <w:tcW w:w="0" w:type="auto"/>
            <w:gridSpan w:val="3"/>
            <w:shd w:val="clear" w:color="auto" w:fill="auto"/>
          </w:tcPr>
          <w:p w14:paraId="5EA25837" w14:textId="77777777" w:rsidR="003C66EB" w:rsidRDefault="003C66EB">
            <w:pPr>
              <w:rPr>
                <w:rFonts w:ascii="宋体"/>
                <w:vanish/>
              </w:rPr>
            </w:pPr>
          </w:p>
        </w:tc>
        <w:tc>
          <w:tcPr>
            <w:tcW w:w="0" w:type="auto"/>
            <w:gridSpan w:val="3"/>
            <w:shd w:val="clear" w:color="auto" w:fill="auto"/>
          </w:tcPr>
          <w:p w14:paraId="5EA25838" w14:textId="77777777" w:rsidR="003C66EB" w:rsidRDefault="003C66EB">
            <w:pPr>
              <w:rPr>
                <w:rFonts w:ascii="宋体"/>
                <w:vanish/>
              </w:rPr>
            </w:pPr>
          </w:p>
        </w:tc>
        <w:tc>
          <w:tcPr>
            <w:tcW w:w="0" w:type="auto"/>
            <w:gridSpan w:val="3"/>
            <w:shd w:val="clear" w:color="auto" w:fill="auto"/>
          </w:tcPr>
          <w:p w14:paraId="5EA25839" w14:textId="77777777" w:rsidR="003C66EB" w:rsidRDefault="003C66EB">
            <w:pPr>
              <w:rPr>
                <w:rFonts w:ascii="宋体"/>
                <w:vanish/>
              </w:rPr>
            </w:pPr>
          </w:p>
        </w:tc>
      </w:tr>
      <w:tr w:rsidR="003C66EB" w14:paraId="5EA25843" w14:textId="77777777">
        <w:tc>
          <w:tcPr>
            <w:tcW w:w="0" w:type="auto"/>
            <w:gridSpan w:val="3"/>
            <w:shd w:val="clear" w:color="auto" w:fill="CCEEFF"/>
            <w:tcMar>
              <w:top w:w="40" w:type="dxa"/>
              <w:left w:w="155" w:type="dxa"/>
              <w:bottom w:w="40" w:type="dxa"/>
              <w:right w:w="20" w:type="dxa"/>
            </w:tcMar>
            <w:vAlign w:val="bottom"/>
          </w:tcPr>
          <w:p w14:paraId="5EA2583B" w14:textId="77777777" w:rsidR="003C66EB" w:rsidRDefault="00D96C4E">
            <w:pPr>
              <w:textAlignment w:val="bottom"/>
            </w:pPr>
            <w:r>
              <w:rPr>
                <w:rFonts w:ascii="Arial" w:eastAsia="宋体" w:hAnsi="Arial" w:cs="Arial"/>
                <w:color w:val="000000"/>
                <w:sz w:val="14"/>
                <w:szCs w:val="14"/>
              </w:rPr>
              <w:t>Futures</w:t>
            </w:r>
          </w:p>
        </w:tc>
        <w:tc>
          <w:tcPr>
            <w:tcW w:w="0" w:type="auto"/>
            <w:shd w:val="clear" w:color="auto" w:fill="CCEEFF"/>
            <w:tcMar>
              <w:top w:w="40" w:type="dxa"/>
              <w:left w:w="20" w:type="dxa"/>
              <w:bottom w:w="40" w:type="dxa"/>
              <w:right w:w="0" w:type="dxa"/>
            </w:tcMar>
            <w:vAlign w:val="bottom"/>
          </w:tcPr>
          <w:p w14:paraId="5EA2583C"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83D" w14:textId="77777777" w:rsidR="003C66EB" w:rsidRDefault="00D96C4E">
            <w:pPr>
              <w:jc w:val="right"/>
              <w:textAlignment w:val="bottom"/>
            </w:pPr>
            <w:r>
              <w:rPr>
                <w:rFonts w:ascii="Arial" w:eastAsia="宋体" w:hAnsi="Arial" w:cs="Arial"/>
                <w:b/>
                <w:bCs/>
                <w:color w:val="000000"/>
                <w:sz w:val="14"/>
                <w:szCs w:val="14"/>
              </w:rPr>
              <w:t>3,238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83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83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840"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841" w14:textId="77777777" w:rsidR="003C66EB" w:rsidRDefault="00D96C4E">
            <w:pPr>
              <w:jc w:val="right"/>
              <w:textAlignment w:val="bottom"/>
            </w:pPr>
            <w:r>
              <w:rPr>
                <w:rFonts w:ascii="Arial" w:eastAsia="宋体" w:hAnsi="Arial" w:cs="Arial"/>
                <w:color w:val="000000"/>
                <w:sz w:val="14"/>
                <w:szCs w:val="14"/>
              </w:rPr>
              <w:t>2,842 </w:t>
            </w:r>
          </w:p>
        </w:tc>
        <w:tc>
          <w:tcPr>
            <w:tcW w:w="0" w:type="auto"/>
            <w:shd w:val="clear" w:color="auto" w:fill="CCEEFF"/>
            <w:tcMar>
              <w:top w:w="40" w:type="dxa"/>
              <w:left w:w="0" w:type="dxa"/>
              <w:bottom w:w="40" w:type="dxa"/>
              <w:right w:w="20" w:type="dxa"/>
            </w:tcMar>
            <w:vAlign w:val="bottom"/>
          </w:tcPr>
          <w:p w14:paraId="5EA25842" w14:textId="77777777" w:rsidR="003C66EB" w:rsidRDefault="003C66EB">
            <w:pPr>
              <w:jc w:val="right"/>
              <w:rPr>
                <w:rFonts w:ascii="宋体"/>
              </w:rPr>
            </w:pPr>
          </w:p>
        </w:tc>
      </w:tr>
      <w:tr w:rsidR="003C66EB" w14:paraId="5EA25848" w14:textId="77777777">
        <w:tc>
          <w:tcPr>
            <w:tcW w:w="0" w:type="auto"/>
            <w:gridSpan w:val="3"/>
            <w:shd w:val="clear" w:color="auto" w:fill="FFFFFF"/>
            <w:tcMar>
              <w:top w:w="40" w:type="dxa"/>
              <w:left w:w="20" w:type="dxa"/>
              <w:bottom w:w="40" w:type="dxa"/>
              <w:right w:w="20" w:type="dxa"/>
            </w:tcMar>
            <w:vAlign w:val="bottom"/>
          </w:tcPr>
          <w:p w14:paraId="5EA25844" w14:textId="77777777" w:rsidR="003C66EB" w:rsidRDefault="00D96C4E">
            <w:pPr>
              <w:textAlignment w:val="bottom"/>
            </w:pPr>
            <w:r>
              <w:rPr>
                <w:rFonts w:ascii="Arial" w:eastAsia="宋体" w:hAnsi="Arial" w:cs="Arial"/>
                <w:color w:val="000000"/>
                <w:sz w:val="14"/>
                <w:szCs w:val="14"/>
              </w:rPr>
              <w:t>Foreign exchange contracts:</w:t>
            </w:r>
          </w:p>
        </w:tc>
        <w:tc>
          <w:tcPr>
            <w:tcW w:w="0" w:type="auto"/>
            <w:gridSpan w:val="3"/>
            <w:shd w:val="clear" w:color="auto" w:fill="FFFFFF"/>
            <w:tcMar>
              <w:top w:w="0" w:type="dxa"/>
              <w:left w:w="20" w:type="dxa"/>
              <w:bottom w:w="0" w:type="dxa"/>
              <w:right w:w="20" w:type="dxa"/>
            </w:tcMar>
          </w:tcPr>
          <w:p w14:paraId="5EA2584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84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847" w14:textId="77777777" w:rsidR="003C66EB" w:rsidRDefault="003C66EB">
            <w:pPr>
              <w:rPr>
                <w:rFonts w:ascii="宋体"/>
              </w:rPr>
            </w:pPr>
          </w:p>
        </w:tc>
      </w:tr>
      <w:tr w:rsidR="003C66EB" w14:paraId="5EA2584F" w14:textId="77777777">
        <w:tc>
          <w:tcPr>
            <w:tcW w:w="0" w:type="auto"/>
            <w:gridSpan w:val="3"/>
            <w:shd w:val="clear" w:color="auto" w:fill="CCEEFF"/>
            <w:tcMar>
              <w:top w:w="40" w:type="dxa"/>
              <w:left w:w="155" w:type="dxa"/>
              <w:bottom w:w="40" w:type="dxa"/>
              <w:right w:w="20" w:type="dxa"/>
            </w:tcMar>
            <w:vAlign w:val="bottom"/>
          </w:tcPr>
          <w:p w14:paraId="5EA25849" w14:textId="77777777" w:rsidR="003C66EB" w:rsidRDefault="00D96C4E">
            <w:pPr>
              <w:textAlignment w:val="bottom"/>
            </w:pPr>
            <w:r>
              <w:rPr>
                <w:rFonts w:ascii="Arial" w:eastAsia="宋体" w:hAnsi="Arial" w:cs="Arial"/>
                <w:color w:val="000000"/>
                <w:sz w:val="14"/>
                <w:szCs w:val="14"/>
              </w:rPr>
              <w:t>Forward, swap and spot</w:t>
            </w:r>
          </w:p>
        </w:tc>
        <w:tc>
          <w:tcPr>
            <w:tcW w:w="0" w:type="auto"/>
            <w:gridSpan w:val="2"/>
            <w:shd w:val="clear" w:color="auto" w:fill="CCEEFF"/>
            <w:tcMar>
              <w:top w:w="40" w:type="dxa"/>
              <w:left w:w="20" w:type="dxa"/>
              <w:bottom w:w="40" w:type="dxa"/>
              <w:right w:w="0" w:type="dxa"/>
            </w:tcMar>
            <w:vAlign w:val="bottom"/>
          </w:tcPr>
          <w:p w14:paraId="5EA2584A" w14:textId="77777777" w:rsidR="003C66EB" w:rsidRDefault="00D96C4E">
            <w:pPr>
              <w:jc w:val="right"/>
              <w:textAlignment w:val="bottom"/>
            </w:pPr>
            <w:r>
              <w:rPr>
                <w:rFonts w:ascii="Arial" w:eastAsia="宋体" w:hAnsi="Arial" w:cs="Arial"/>
                <w:b/>
                <w:bCs/>
                <w:color w:val="000000"/>
                <w:sz w:val="14"/>
                <w:szCs w:val="14"/>
              </w:rPr>
              <w:t>2,735,180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8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84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84D" w14:textId="77777777" w:rsidR="003C66EB" w:rsidRDefault="00D96C4E">
            <w:pPr>
              <w:jc w:val="right"/>
              <w:textAlignment w:val="bottom"/>
            </w:pPr>
            <w:r>
              <w:rPr>
                <w:rFonts w:ascii="Arial" w:eastAsia="宋体" w:hAnsi="Arial" w:cs="Arial"/>
                <w:color w:val="000000"/>
                <w:sz w:val="14"/>
                <w:szCs w:val="14"/>
              </w:rPr>
              <w:t>2,640,989 </w:t>
            </w:r>
          </w:p>
        </w:tc>
        <w:tc>
          <w:tcPr>
            <w:tcW w:w="0" w:type="auto"/>
            <w:shd w:val="clear" w:color="auto" w:fill="CCEEFF"/>
            <w:tcMar>
              <w:top w:w="40" w:type="dxa"/>
              <w:left w:w="0" w:type="dxa"/>
              <w:bottom w:w="40" w:type="dxa"/>
              <w:right w:w="20" w:type="dxa"/>
            </w:tcMar>
            <w:vAlign w:val="bottom"/>
          </w:tcPr>
          <w:p w14:paraId="5EA2584E" w14:textId="77777777" w:rsidR="003C66EB" w:rsidRDefault="003C66EB">
            <w:pPr>
              <w:jc w:val="right"/>
              <w:rPr>
                <w:rFonts w:ascii="宋体"/>
              </w:rPr>
            </w:pPr>
          </w:p>
        </w:tc>
      </w:tr>
      <w:tr w:rsidR="003C66EB" w14:paraId="5EA25856" w14:textId="77777777">
        <w:tc>
          <w:tcPr>
            <w:tcW w:w="0" w:type="auto"/>
            <w:gridSpan w:val="3"/>
            <w:shd w:val="clear" w:color="auto" w:fill="FFFFFF"/>
            <w:tcMar>
              <w:top w:w="40" w:type="dxa"/>
              <w:left w:w="155" w:type="dxa"/>
              <w:bottom w:w="40" w:type="dxa"/>
              <w:right w:w="20" w:type="dxa"/>
            </w:tcMar>
            <w:vAlign w:val="bottom"/>
          </w:tcPr>
          <w:p w14:paraId="5EA25850" w14:textId="77777777" w:rsidR="003C66EB" w:rsidRDefault="00D96C4E">
            <w:pPr>
              <w:textAlignment w:val="bottom"/>
            </w:pPr>
            <w:r>
              <w:rPr>
                <w:rFonts w:ascii="Arial" w:eastAsia="宋体" w:hAnsi="Arial" w:cs="Arial"/>
                <w:color w:val="000000"/>
                <w:sz w:val="14"/>
                <w:szCs w:val="14"/>
              </w:rPr>
              <w:t>Options purchased</w:t>
            </w:r>
          </w:p>
        </w:tc>
        <w:tc>
          <w:tcPr>
            <w:tcW w:w="0" w:type="auto"/>
            <w:gridSpan w:val="2"/>
            <w:shd w:val="clear" w:color="auto" w:fill="FFFFFF"/>
            <w:tcMar>
              <w:top w:w="40" w:type="dxa"/>
              <w:left w:w="20" w:type="dxa"/>
              <w:bottom w:w="40" w:type="dxa"/>
              <w:right w:w="0" w:type="dxa"/>
            </w:tcMar>
            <w:vAlign w:val="bottom"/>
          </w:tcPr>
          <w:p w14:paraId="5EA25851" w14:textId="77777777" w:rsidR="003C66EB" w:rsidRDefault="00D96C4E">
            <w:pPr>
              <w:jc w:val="right"/>
              <w:textAlignment w:val="bottom"/>
            </w:pPr>
            <w:r>
              <w:rPr>
                <w:rFonts w:ascii="Arial" w:eastAsia="宋体" w:hAnsi="Arial" w:cs="Arial"/>
                <w:b/>
                <w:bCs/>
                <w:color w:val="000000"/>
                <w:sz w:val="14"/>
                <w:szCs w:val="14"/>
              </w:rPr>
              <w:t>1,333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85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85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854" w14:textId="77777777" w:rsidR="003C66EB" w:rsidRDefault="00D96C4E">
            <w:pPr>
              <w:jc w:val="right"/>
              <w:textAlignment w:val="bottom"/>
            </w:pPr>
            <w:r>
              <w:rPr>
                <w:rFonts w:ascii="Arial" w:eastAsia="宋体" w:hAnsi="Arial" w:cs="Arial"/>
                <w:color w:val="000000"/>
                <w:sz w:val="14"/>
                <w:szCs w:val="14"/>
              </w:rPr>
              <w:t>946 </w:t>
            </w:r>
          </w:p>
        </w:tc>
        <w:tc>
          <w:tcPr>
            <w:tcW w:w="0" w:type="auto"/>
            <w:shd w:val="clear" w:color="auto" w:fill="FFFFFF"/>
            <w:tcMar>
              <w:top w:w="40" w:type="dxa"/>
              <w:left w:w="0" w:type="dxa"/>
              <w:bottom w:w="40" w:type="dxa"/>
              <w:right w:w="20" w:type="dxa"/>
            </w:tcMar>
            <w:vAlign w:val="bottom"/>
          </w:tcPr>
          <w:p w14:paraId="5EA25855" w14:textId="77777777" w:rsidR="003C66EB" w:rsidRDefault="003C66EB">
            <w:pPr>
              <w:jc w:val="right"/>
              <w:rPr>
                <w:rFonts w:ascii="宋体"/>
              </w:rPr>
            </w:pPr>
          </w:p>
        </w:tc>
      </w:tr>
      <w:tr w:rsidR="003C66EB" w14:paraId="5EA2585D" w14:textId="77777777">
        <w:tc>
          <w:tcPr>
            <w:tcW w:w="0" w:type="auto"/>
            <w:gridSpan w:val="3"/>
            <w:shd w:val="clear" w:color="auto" w:fill="CCEEFF"/>
            <w:tcMar>
              <w:top w:w="40" w:type="dxa"/>
              <w:left w:w="155" w:type="dxa"/>
              <w:bottom w:w="40" w:type="dxa"/>
              <w:right w:w="20" w:type="dxa"/>
            </w:tcMar>
            <w:vAlign w:val="bottom"/>
          </w:tcPr>
          <w:p w14:paraId="5EA25857" w14:textId="77777777" w:rsidR="003C66EB" w:rsidRDefault="00D96C4E">
            <w:pPr>
              <w:textAlignment w:val="bottom"/>
            </w:pPr>
            <w:r>
              <w:rPr>
                <w:rFonts w:ascii="Arial" w:eastAsia="宋体" w:hAnsi="Arial" w:cs="Arial"/>
                <w:color w:val="000000"/>
                <w:sz w:val="14"/>
                <w:szCs w:val="14"/>
              </w:rPr>
              <w:t>Options written</w:t>
            </w:r>
          </w:p>
        </w:tc>
        <w:tc>
          <w:tcPr>
            <w:tcW w:w="0" w:type="auto"/>
            <w:gridSpan w:val="2"/>
            <w:shd w:val="clear" w:color="auto" w:fill="CCEEFF"/>
            <w:tcMar>
              <w:top w:w="40" w:type="dxa"/>
              <w:left w:w="20" w:type="dxa"/>
              <w:bottom w:w="40" w:type="dxa"/>
              <w:right w:w="0" w:type="dxa"/>
            </w:tcMar>
            <w:vAlign w:val="bottom"/>
          </w:tcPr>
          <w:p w14:paraId="5EA25858" w14:textId="77777777" w:rsidR="003C66EB" w:rsidRDefault="00D96C4E">
            <w:pPr>
              <w:jc w:val="right"/>
              <w:textAlignment w:val="bottom"/>
            </w:pPr>
            <w:r>
              <w:rPr>
                <w:rFonts w:ascii="Arial" w:eastAsia="宋体" w:hAnsi="Arial" w:cs="Arial"/>
                <w:b/>
                <w:bCs/>
                <w:color w:val="000000"/>
                <w:sz w:val="14"/>
                <w:szCs w:val="14"/>
              </w:rPr>
              <w:t>380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85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85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85B" w14:textId="77777777" w:rsidR="003C66EB" w:rsidRDefault="00D96C4E">
            <w:pPr>
              <w:jc w:val="right"/>
              <w:textAlignment w:val="bottom"/>
            </w:pPr>
            <w:r>
              <w:rPr>
                <w:rFonts w:ascii="Arial" w:eastAsia="宋体" w:hAnsi="Arial" w:cs="Arial"/>
                <w:color w:val="000000"/>
                <w:sz w:val="14"/>
                <w:szCs w:val="14"/>
              </w:rPr>
              <w:t>661 </w:t>
            </w:r>
          </w:p>
        </w:tc>
        <w:tc>
          <w:tcPr>
            <w:tcW w:w="0" w:type="auto"/>
            <w:shd w:val="clear" w:color="auto" w:fill="CCEEFF"/>
            <w:tcMar>
              <w:top w:w="40" w:type="dxa"/>
              <w:left w:w="0" w:type="dxa"/>
              <w:bottom w:w="40" w:type="dxa"/>
              <w:right w:w="20" w:type="dxa"/>
            </w:tcMar>
            <w:vAlign w:val="bottom"/>
          </w:tcPr>
          <w:p w14:paraId="5EA2585C" w14:textId="77777777" w:rsidR="003C66EB" w:rsidRDefault="003C66EB">
            <w:pPr>
              <w:jc w:val="right"/>
              <w:rPr>
                <w:rFonts w:ascii="宋体"/>
              </w:rPr>
            </w:pPr>
          </w:p>
        </w:tc>
      </w:tr>
      <w:tr w:rsidR="003C66EB" w14:paraId="5EA25864" w14:textId="77777777">
        <w:tc>
          <w:tcPr>
            <w:tcW w:w="0" w:type="auto"/>
            <w:gridSpan w:val="3"/>
            <w:shd w:val="clear" w:color="auto" w:fill="FFFFFF"/>
            <w:tcMar>
              <w:top w:w="40" w:type="dxa"/>
              <w:left w:w="155" w:type="dxa"/>
              <w:bottom w:w="40" w:type="dxa"/>
              <w:right w:w="20" w:type="dxa"/>
            </w:tcMar>
            <w:vAlign w:val="bottom"/>
          </w:tcPr>
          <w:p w14:paraId="5EA2585E" w14:textId="77777777" w:rsidR="003C66EB" w:rsidRDefault="00D96C4E">
            <w:pPr>
              <w:textAlignment w:val="bottom"/>
            </w:pPr>
            <w:r>
              <w:rPr>
                <w:rFonts w:ascii="Arial" w:eastAsia="宋体" w:hAnsi="Arial" w:cs="Arial"/>
                <w:color w:val="000000"/>
                <w:sz w:val="14"/>
                <w:szCs w:val="14"/>
              </w:rPr>
              <w:t>Futures</w:t>
            </w:r>
          </w:p>
        </w:tc>
        <w:tc>
          <w:tcPr>
            <w:tcW w:w="0" w:type="auto"/>
            <w:gridSpan w:val="2"/>
            <w:shd w:val="clear" w:color="auto" w:fill="FFFFFF"/>
            <w:tcMar>
              <w:top w:w="40" w:type="dxa"/>
              <w:left w:w="20" w:type="dxa"/>
              <w:bottom w:w="40" w:type="dxa"/>
              <w:right w:w="0" w:type="dxa"/>
            </w:tcMar>
            <w:vAlign w:val="bottom"/>
          </w:tcPr>
          <w:p w14:paraId="5EA2585F" w14:textId="77777777" w:rsidR="003C66EB" w:rsidRDefault="00D96C4E">
            <w:pPr>
              <w:jc w:val="right"/>
              <w:textAlignment w:val="bottom"/>
            </w:pPr>
            <w:r>
              <w:rPr>
                <w:rFonts w:ascii="Arial" w:eastAsia="宋体" w:hAnsi="Arial" w:cs="Arial"/>
                <w:b/>
                <w:bCs/>
                <w:color w:val="000000"/>
                <w:sz w:val="14"/>
                <w:szCs w:val="14"/>
              </w:rPr>
              <w:t>2,639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8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86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862" w14:textId="77777777" w:rsidR="003C66EB" w:rsidRDefault="00D96C4E">
            <w:pPr>
              <w:jc w:val="right"/>
              <w:textAlignment w:val="bottom"/>
            </w:pPr>
            <w:r>
              <w:rPr>
                <w:rFonts w:ascii="Arial" w:eastAsia="宋体" w:hAnsi="Arial" w:cs="Arial"/>
                <w:color w:val="000000"/>
                <w:sz w:val="14"/>
                <w:szCs w:val="14"/>
              </w:rPr>
              <w:t>1,980 </w:t>
            </w:r>
          </w:p>
        </w:tc>
        <w:tc>
          <w:tcPr>
            <w:tcW w:w="0" w:type="auto"/>
            <w:shd w:val="clear" w:color="auto" w:fill="FFFFFF"/>
            <w:tcMar>
              <w:top w:w="40" w:type="dxa"/>
              <w:left w:w="0" w:type="dxa"/>
              <w:bottom w:w="40" w:type="dxa"/>
              <w:right w:w="20" w:type="dxa"/>
            </w:tcMar>
            <w:vAlign w:val="bottom"/>
          </w:tcPr>
          <w:p w14:paraId="5EA25863" w14:textId="77777777" w:rsidR="003C66EB" w:rsidRDefault="003C66EB">
            <w:pPr>
              <w:jc w:val="right"/>
              <w:rPr>
                <w:rFonts w:ascii="宋体"/>
              </w:rPr>
            </w:pPr>
          </w:p>
        </w:tc>
      </w:tr>
      <w:tr w:rsidR="003C66EB" w14:paraId="5EA25869" w14:textId="77777777">
        <w:trPr>
          <w:hidden/>
        </w:trPr>
        <w:tc>
          <w:tcPr>
            <w:tcW w:w="0" w:type="auto"/>
            <w:gridSpan w:val="3"/>
            <w:shd w:val="clear" w:color="auto" w:fill="auto"/>
          </w:tcPr>
          <w:p w14:paraId="5EA25865" w14:textId="77777777" w:rsidR="003C66EB" w:rsidRDefault="003C66EB">
            <w:pPr>
              <w:rPr>
                <w:rFonts w:ascii="宋体"/>
                <w:vanish/>
              </w:rPr>
            </w:pPr>
          </w:p>
        </w:tc>
        <w:tc>
          <w:tcPr>
            <w:tcW w:w="0" w:type="auto"/>
            <w:gridSpan w:val="3"/>
            <w:shd w:val="clear" w:color="auto" w:fill="auto"/>
          </w:tcPr>
          <w:p w14:paraId="5EA25866" w14:textId="77777777" w:rsidR="003C66EB" w:rsidRDefault="003C66EB">
            <w:pPr>
              <w:rPr>
                <w:rFonts w:ascii="宋体"/>
                <w:vanish/>
              </w:rPr>
            </w:pPr>
          </w:p>
        </w:tc>
        <w:tc>
          <w:tcPr>
            <w:tcW w:w="0" w:type="auto"/>
            <w:gridSpan w:val="3"/>
            <w:shd w:val="clear" w:color="auto" w:fill="auto"/>
          </w:tcPr>
          <w:p w14:paraId="5EA25867" w14:textId="77777777" w:rsidR="003C66EB" w:rsidRDefault="003C66EB">
            <w:pPr>
              <w:rPr>
                <w:rFonts w:ascii="宋体"/>
                <w:vanish/>
              </w:rPr>
            </w:pPr>
          </w:p>
        </w:tc>
        <w:tc>
          <w:tcPr>
            <w:tcW w:w="0" w:type="auto"/>
            <w:gridSpan w:val="3"/>
            <w:shd w:val="clear" w:color="auto" w:fill="auto"/>
          </w:tcPr>
          <w:p w14:paraId="5EA25868" w14:textId="77777777" w:rsidR="003C66EB" w:rsidRDefault="003C66EB">
            <w:pPr>
              <w:rPr>
                <w:rFonts w:ascii="宋体"/>
                <w:vanish/>
              </w:rPr>
            </w:pPr>
          </w:p>
        </w:tc>
      </w:tr>
      <w:tr w:rsidR="003C66EB" w14:paraId="5EA2586E" w14:textId="77777777">
        <w:trPr>
          <w:hidden/>
        </w:trPr>
        <w:tc>
          <w:tcPr>
            <w:tcW w:w="0" w:type="auto"/>
            <w:gridSpan w:val="3"/>
            <w:shd w:val="clear" w:color="auto" w:fill="auto"/>
          </w:tcPr>
          <w:p w14:paraId="5EA2586A" w14:textId="77777777" w:rsidR="003C66EB" w:rsidRDefault="003C66EB">
            <w:pPr>
              <w:rPr>
                <w:rFonts w:ascii="宋体"/>
                <w:vanish/>
              </w:rPr>
            </w:pPr>
          </w:p>
        </w:tc>
        <w:tc>
          <w:tcPr>
            <w:tcW w:w="0" w:type="auto"/>
            <w:gridSpan w:val="3"/>
            <w:shd w:val="clear" w:color="auto" w:fill="auto"/>
          </w:tcPr>
          <w:p w14:paraId="5EA2586B" w14:textId="77777777" w:rsidR="003C66EB" w:rsidRDefault="003C66EB">
            <w:pPr>
              <w:rPr>
                <w:rFonts w:ascii="宋体"/>
                <w:vanish/>
              </w:rPr>
            </w:pPr>
          </w:p>
        </w:tc>
        <w:tc>
          <w:tcPr>
            <w:tcW w:w="0" w:type="auto"/>
            <w:gridSpan w:val="3"/>
            <w:shd w:val="clear" w:color="auto" w:fill="auto"/>
          </w:tcPr>
          <w:p w14:paraId="5EA2586C" w14:textId="77777777" w:rsidR="003C66EB" w:rsidRDefault="003C66EB">
            <w:pPr>
              <w:rPr>
                <w:rFonts w:ascii="宋体"/>
                <w:vanish/>
              </w:rPr>
            </w:pPr>
          </w:p>
        </w:tc>
        <w:tc>
          <w:tcPr>
            <w:tcW w:w="0" w:type="auto"/>
            <w:gridSpan w:val="3"/>
            <w:shd w:val="clear" w:color="auto" w:fill="auto"/>
          </w:tcPr>
          <w:p w14:paraId="5EA2586D" w14:textId="77777777" w:rsidR="003C66EB" w:rsidRDefault="003C66EB">
            <w:pPr>
              <w:rPr>
                <w:rFonts w:ascii="宋体"/>
                <w:vanish/>
              </w:rPr>
            </w:pPr>
          </w:p>
        </w:tc>
      </w:tr>
      <w:tr w:rsidR="003C66EB" w14:paraId="5EA25873" w14:textId="77777777">
        <w:trPr>
          <w:hidden/>
        </w:trPr>
        <w:tc>
          <w:tcPr>
            <w:tcW w:w="0" w:type="auto"/>
            <w:gridSpan w:val="3"/>
            <w:shd w:val="clear" w:color="auto" w:fill="auto"/>
          </w:tcPr>
          <w:p w14:paraId="5EA2586F" w14:textId="77777777" w:rsidR="003C66EB" w:rsidRDefault="003C66EB">
            <w:pPr>
              <w:rPr>
                <w:rFonts w:ascii="宋体"/>
                <w:vanish/>
              </w:rPr>
            </w:pPr>
          </w:p>
        </w:tc>
        <w:tc>
          <w:tcPr>
            <w:tcW w:w="0" w:type="auto"/>
            <w:gridSpan w:val="3"/>
            <w:shd w:val="clear" w:color="auto" w:fill="auto"/>
          </w:tcPr>
          <w:p w14:paraId="5EA25870" w14:textId="77777777" w:rsidR="003C66EB" w:rsidRDefault="003C66EB">
            <w:pPr>
              <w:rPr>
                <w:rFonts w:ascii="宋体"/>
                <w:vanish/>
              </w:rPr>
            </w:pPr>
          </w:p>
        </w:tc>
        <w:tc>
          <w:tcPr>
            <w:tcW w:w="0" w:type="auto"/>
            <w:gridSpan w:val="3"/>
            <w:shd w:val="clear" w:color="auto" w:fill="auto"/>
          </w:tcPr>
          <w:p w14:paraId="5EA25871" w14:textId="77777777" w:rsidR="003C66EB" w:rsidRDefault="003C66EB">
            <w:pPr>
              <w:rPr>
                <w:rFonts w:ascii="宋体"/>
                <w:vanish/>
              </w:rPr>
            </w:pPr>
          </w:p>
        </w:tc>
        <w:tc>
          <w:tcPr>
            <w:tcW w:w="0" w:type="auto"/>
            <w:gridSpan w:val="3"/>
            <w:shd w:val="clear" w:color="auto" w:fill="auto"/>
          </w:tcPr>
          <w:p w14:paraId="5EA25872" w14:textId="77777777" w:rsidR="003C66EB" w:rsidRDefault="003C66EB">
            <w:pPr>
              <w:rPr>
                <w:rFonts w:ascii="宋体"/>
                <w:vanish/>
              </w:rPr>
            </w:pPr>
          </w:p>
        </w:tc>
      </w:tr>
      <w:tr w:rsidR="003C66EB" w14:paraId="5EA25878" w14:textId="77777777">
        <w:trPr>
          <w:hidden/>
        </w:trPr>
        <w:tc>
          <w:tcPr>
            <w:tcW w:w="0" w:type="auto"/>
            <w:gridSpan w:val="3"/>
            <w:shd w:val="clear" w:color="auto" w:fill="auto"/>
          </w:tcPr>
          <w:p w14:paraId="5EA25874" w14:textId="77777777" w:rsidR="003C66EB" w:rsidRDefault="003C66EB">
            <w:pPr>
              <w:rPr>
                <w:rFonts w:ascii="宋体"/>
                <w:vanish/>
              </w:rPr>
            </w:pPr>
          </w:p>
        </w:tc>
        <w:tc>
          <w:tcPr>
            <w:tcW w:w="0" w:type="auto"/>
            <w:gridSpan w:val="3"/>
            <w:shd w:val="clear" w:color="auto" w:fill="auto"/>
          </w:tcPr>
          <w:p w14:paraId="5EA25875" w14:textId="77777777" w:rsidR="003C66EB" w:rsidRDefault="003C66EB">
            <w:pPr>
              <w:rPr>
                <w:rFonts w:ascii="宋体"/>
                <w:vanish/>
              </w:rPr>
            </w:pPr>
          </w:p>
        </w:tc>
        <w:tc>
          <w:tcPr>
            <w:tcW w:w="0" w:type="auto"/>
            <w:gridSpan w:val="3"/>
            <w:shd w:val="clear" w:color="auto" w:fill="auto"/>
          </w:tcPr>
          <w:p w14:paraId="5EA25876" w14:textId="77777777" w:rsidR="003C66EB" w:rsidRDefault="003C66EB">
            <w:pPr>
              <w:rPr>
                <w:rFonts w:ascii="宋体"/>
                <w:vanish/>
              </w:rPr>
            </w:pPr>
          </w:p>
        </w:tc>
        <w:tc>
          <w:tcPr>
            <w:tcW w:w="0" w:type="auto"/>
            <w:gridSpan w:val="3"/>
            <w:shd w:val="clear" w:color="auto" w:fill="auto"/>
          </w:tcPr>
          <w:p w14:paraId="5EA25877" w14:textId="77777777" w:rsidR="003C66EB" w:rsidRDefault="003C66EB">
            <w:pPr>
              <w:rPr>
                <w:rFonts w:ascii="宋体"/>
                <w:vanish/>
              </w:rPr>
            </w:pPr>
          </w:p>
        </w:tc>
      </w:tr>
      <w:tr w:rsidR="003C66EB" w14:paraId="5EA2587D" w14:textId="77777777">
        <w:trPr>
          <w:hidden/>
        </w:trPr>
        <w:tc>
          <w:tcPr>
            <w:tcW w:w="0" w:type="auto"/>
            <w:gridSpan w:val="3"/>
            <w:shd w:val="clear" w:color="auto" w:fill="auto"/>
          </w:tcPr>
          <w:p w14:paraId="5EA25879" w14:textId="77777777" w:rsidR="003C66EB" w:rsidRDefault="003C66EB">
            <w:pPr>
              <w:rPr>
                <w:rFonts w:ascii="宋体"/>
                <w:vanish/>
              </w:rPr>
            </w:pPr>
          </w:p>
        </w:tc>
        <w:tc>
          <w:tcPr>
            <w:tcW w:w="0" w:type="auto"/>
            <w:gridSpan w:val="3"/>
            <w:shd w:val="clear" w:color="auto" w:fill="auto"/>
          </w:tcPr>
          <w:p w14:paraId="5EA2587A" w14:textId="77777777" w:rsidR="003C66EB" w:rsidRDefault="003C66EB">
            <w:pPr>
              <w:rPr>
                <w:rFonts w:ascii="宋体"/>
                <w:vanish/>
              </w:rPr>
            </w:pPr>
          </w:p>
        </w:tc>
        <w:tc>
          <w:tcPr>
            <w:tcW w:w="0" w:type="auto"/>
            <w:gridSpan w:val="3"/>
            <w:shd w:val="clear" w:color="auto" w:fill="auto"/>
          </w:tcPr>
          <w:p w14:paraId="5EA2587B" w14:textId="77777777" w:rsidR="003C66EB" w:rsidRDefault="003C66EB">
            <w:pPr>
              <w:rPr>
                <w:rFonts w:ascii="宋体"/>
                <w:vanish/>
              </w:rPr>
            </w:pPr>
          </w:p>
        </w:tc>
        <w:tc>
          <w:tcPr>
            <w:tcW w:w="0" w:type="auto"/>
            <w:gridSpan w:val="3"/>
            <w:shd w:val="clear" w:color="auto" w:fill="auto"/>
          </w:tcPr>
          <w:p w14:paraId="5EA2587C" w14:textId="77777777" w:rsidR="003C66EB" w:rsidRDefault="003C66EB">
            <w:pPr>
              <w:rPr>
                <w:rFonts w:ascii="宋体"/>
                <w:vanish/>
              </w:rPr>
            </w:pPr>
          </w:p>
        </w:tc>
      </w:tr>
      <w:tr w:rsidR="003C66EB" w14:paraId="5EA25882" w14:textId="77777777">
        <w:trPr>
          <w:hidden/>
        </w:trPr>
        <w:tc>
          <w:tcPr>
            <w:tcW w:w="0" w:type="auto"/>
            <w:gridSpan w:val="3"/>
            <w:shd w:val="clear" w:color="auto" w:fill="auto"/>
          </w:tcPr>
          <w:p w14:paraId="5EA2587E" w14:textId="77777777" w:rsidR="003C66EB" w:rsidRDefault="003C66EB">
            <w:pPr>
              <w:rPr>
                <w:rFonts w:ascii="宋体"/>
                <w:vanish/>
              </w:rPr>
            </w:pPr>
          </w:p>
        </w:tc>
        <w:tc>
          <w:tcPr>
            <w:tcW w:w="0" w:type="auto"/>
            <w:gridSpan w:val="3"/>
            <w:shd w:val="clear" w:color="auto" w:fill="auto"/>
          </w:tcPr>
          <w:p w14:paraId="5EA2587F" w14:textId="77777777" w:rsidR="003C66EB" w:rsidRDefault="003C66EB">
            <w:pPr>
              <w:rPr>
                <w:rFonts w:ascii="宋体"/>
                <w:vanish/>
              </w:rPr>
            </w:pPr>
          </w:p>
        </w:tc>
        <w:tc>
          <w:tcPr>
            <w:tcW w:w="0" w:type="auto"/>
            <w:gridSpan w:val="3"/>
            <w:shd w:val="clear" w:color="auto" w:fill="auto"/>
          </w:tcPr>
          <w:p w14:paraId="5EA25880" w14:textId="77777777" w:rsidR="003C66EB" w:rsidRDefault="003C66EB">
            <w:pPr>
              <w:rPr>
                <w:rFonts w:ascii="宋体"/>
                <w:vanish/>
              </w:rPr>
            </w:pPr>
          </w:p>
        </w:tc>
        <w:tc>
          <w:tcPr>
            <w:tcW w:w="0" w:type="auto"/>
            <w:gridSpan w:val="3"/>
            <w:shd w:val="clear" w:color="auto" w:fill="auto"/>
          </w:tcPr>
          <w:p w14:paraId="5EA25881" w14:textId="77777777" w:rsidR="003C66EB" w:rsidRDefault="003C66EB">
            <w:pPr>
              <w:rPr>
                <w:rFonts w:ascii="宋体"/>
                <w:vanish/>
              </w:rPr>
            </w:pPr>
          </w:p>
        </w:tc>
      </w:tr>
      <w:tr w:rsidR="003C66EB" w14:paraId="5EA25887" w14:textId="77777777">
        <w:tc>
          <w:tcPr>
            <w:tcW w:w="0" w:type="auto"/>
            <w:gridSpan w:val="3"/>
            <w:shd w:val="clear" w:color="auto" w:fill="CCEEFF"/>
            <w:tcMar>
              <w:top w:w="40" w:type="dxa"/>
              <w:left w:w="20" w:type="dxa"/>
              <w:bottom w:w="40" w:type="dxa"/>
              <w:right w:w="20" w:type="dxa"/>
            </w:tcMar>
            <w:vAlign w:val="bottom"/>
          </w:tcPr>
          <w:p w14:paraId="5EA25883" w14:textId="77777777" w:rsidR="003C66EB" w:rsidRDefault="00D96C4E">
            <w:pPr>
              <w:textAlignment w:val="bottom"/>
            </w:pPr>
            <w:r>
              <w:rPr>
                <w:rFonts w:ascii="Arial" w:eastAsia="宋体" w:hAnsi="Arial" w:cs="Arial"/>
                <w:color w:val="000000"/>
                <w:sz w:val="14"/>
                <w:szCs w:val="14"/>
              </w:rPr>
              <w:t>Other:</w:t>
            </w:r>
          </w:p>
        </w:tc>
        <w:tc>
          <w:tcPr>
            <w:tcW w:w="0" w:type="auto"/>
            <w:gridSpan w:val="3"/>
            <w:shd w:val="clear" w:color="auto" w:fill="CCEEFF"/>
            <w:tcMar>
              <w:top w:w="0" w:type="dxa"/>
              <w:left w:w="20" w:type="dxa"/>
              <w:bottom w:w="0" w:type="dxa"/>
              <w:right w:w="20" w:type="dxa"/>
            </w:tcMar>
          </w:tcPr>
          <w:p w14:paraId="5EA2588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88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886" w14:textId="77777777" w:rsidR="003C66EB" w:rsidRDefault="003C66EB">
            <w:pPr>
              <w:rPr>
                <w:rFonts w:ascii="宋体"/>
              </w:rPr>
            </w:pPr>
          </w:p>
        </w:tc>
      </w:tr>
      <w:tr w:rsidR="003C66EB" w14:paraId="5EA2588E" w14:textId="77777777">
        <w:tc>
          <w:tcPr>
            <w:tcW w:w="0" w:type="auto"/>
            <w:gridSpan w:val="3"/>
            <w:shd w:val="clear" w:color="auto" w:fill="FFFFFF"/>
            <w:tcMar>
              <w:top w:w="40" w:type="dxa"/>
              <w:left w:w="20" w:type="dxa"/>
              <w:bottom w:w="40" w:type="dxa"/>
              <w:right w:w="20" w:type="dxa"/>
            </w:tcMar>
            <w:vAlign w:val="bottom"/>
          </w:tcPr>
          <w:p w14:paraId="5EA25888" w14:textId="77777777" w:rsidR="003C66EB" w:rsidRDefault="00D96C4E">
            <w:pPr>
              <w:textAlignment w:val="bottom"/>
            </w:pPr>
            <w:r>
              <w:rPr>
                <w:rFonts w:ascii="Arial" w:eastAsia="宋体" w:hAnsi="Arial" w:cs="Arial"/>
                <w:color w:val="000000"/>
                <w:sz w:val="14"/>
                <w:szCs w:val="14"/>
              </w:rPr>
              <w:t xml:space="preserve">Stable </w:t>
            </w:r>
            <w:r>
              <w:rPr>
                <w:rFonts w:ascii="Arial" w:eastAsia="宋体" w:hAnsi="Arial" w:cs="Arial"/>
                <w:color w:val="000000"/>
                <w:sz w:val="14"/>
                <w:szCs w:val="14"/>
              </w:rPr>
              <w:t>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A25889" w14:textId="77777777" w:rsidR="003C66EB" w:rsidRDefault="00D96C4E">
            <w:pPr>
              <w:jc w:val="right"/>
              <w:textAlignment w:val="bottom"/>
            </w:pPr>
            <w:r>
              <w:rPr>
                <w:rFonts w:ascii="Arial" w:eastAsia="宋体" w:hAnsi="Arial" w:cs="Arial"/>
                <w:b/>
                <w:bCs/>
                <w:color w:val="000000"/>
                <w:sz w:val="14"/>
                <w:szCs w:val="14"/>
              </w:rPr>
              <w:t>32,654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8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88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88C" w14:textId="77777777" w:rsidR="003C66EB" w:rsidRDefault="00D96C4E">
            <w:pPr>
              <w:jc w:val="right"/>
              <w:textAlignment w:val="bottom"/>
            </w:pPr>
            <w:r>
              <w:rPr>
                <w:rFonts w:ascii="Arial" w:eastAsia="宋体" w:hAnsi="Arial" w:cs="Arial"/>
                <w:color w:val="000000"/>
                <w:sz w:val="14"/>
                <w:szCs w:val="14"/>
              </w:rPr>
              <w:t>32,359 </w:t>
            </w:r>
          </w:p>
        </w:tc>
        <w:tc>
          <w:tcPr>
            <w:tcW w:w="0" w:type="auto"/>
            <w:shd w:val="clear" w:color="auto" w:fill="FFFFFF"/>
            <w:tcMar>
              <w:top w:w="40" w:type="dxa"/>
              <w:left w:w="0" w:type="dxa"/>
              <w:bottom w:w="40" w:type="dxa"/>
              <w:right w:w="20" w:type="dxa"/>
            </w:tcMar>
            <w:vAlign w:val="bottom"/>
          </w:tcPr>
          <w:p w14:paraId="5EA2588D" w14:textId="77777777" w:rsidR="003C66EB" w:rsidRDefault="003C66EB">
            <w:pPr>
              <w:jc w:val="right"/>
              <w:rPr>
                <w:rFonts w:ascii="宋体"/>
              </w:rPr>
            </w:pPr>
          </w:p>
        </w:tc>
      </w:tr>
      <w:tr w:rsidR="003C66EB" w14:paraId="5EA25895" w14:textId="77777777">
        <w:tc>
          <w:tcPr>
            <w:tcW w:w="0" w:type="auto"/>
            <w:gridSpan w:val="3"/>
            <w:shd w:val="clear" w:color="auto" w:fill="CCEEFF"/>
            <w:tcMar>
              <w:top w:w="40" w:type="dxa"/>
              <w:left w:w="20" w:type="dxa"/>
              <w:bottom w:w="40" w:type="dxa"/>
              <w:right w:w="20" w:type="dxa"/>
            </w:tcMar>
            <w:vAlign w:val="bottom"/>
          </w:tcPr>
          <w:p w14:paraId="5EA2588F" w14:textId="77777777" w:rsidR="003C66EB" w:rsidRDefault="00D96C4E">
            <w:pPr>
              <w:textAlignment w:val="bottom"/>
            </w:pPr>
            <w:r>
              <w:rPr>
                <w:rFonts w:ascii="Arial" w:eastAsia="宋体" w:hAnsi="Arial" w:cs="Arial"/>
                <w:color w:val="000000"/>
                <w:sz w:val="14"/>
                <w:szCs w:val="14"/>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A25890" w14:textId="77777777" w:rsidR="003C66EB" w:rsidRDefault="00D96C4E">
            <w:pPr>
              <w:jc w:val="right"/>
              <w:textAlignment w:val="bottom"/>
            </w:pPr>
            <w:r>
              <w:rPr>
                <w:rFonts w:ascii="Arial" w:eastAsia="宋体" w:hAnsi="Arial" w:cs="Arial"/>
                <w:b/>
                <w:bCs/>
                <w:color w:val="000000"/>
                <w:sz w:val="14"/>
                <w:szCs w:val="14"/>
              </w:rPr>
              <w:t>443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89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89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893" w14:textId="77777777" w:rsidR="003C66EB" w:rsidRDefault="00D96C4E">
            <w:pPr>
              <w:jc w:val="right"/>
              <w:textAlignment w:val="bottom"/>
            </w:pPr>
            <w:r>
              <w:rPr>
                <w:rFonts w:ascii="Arial" w:eastAsia="宋体" w:hAnsi="Arial" w:cs="Arial"/>
                <w:color w:val="000000"/>
                <w:sz w:val="14"/>
                <w:szCs w:val="14"/>
              </w:rPr>
              <w:t>332 </w:t>
            </w:r>
          </w:p>
        </w:tc>
        <w:tc>
          <w:tcPr>
            <w:tcW w:w="0" w:type="auto"/>
            <w:shd w:val="clear" w:color="auto" w:fill="CCEEFF"/>
            <w:tcMar>
              <w:top w:w="40" w:type="dxa"/>
              <w:left w:w="0" w:type="dxa"/>
              <w:bottom w:w="40" w:type="dxa"/>
              <w:right w:w="20" w:type="dxa"/>
            </w:tcMar>
            <w:vAlign w:val="bottom"/>
          </w:tcPr>
          <w:p w14:paraId="5EA25894" w14:textId="77777777" w:rsidR="003C66EB" w:rsidRDefault="003C66EB">
            <w:pPr>
              <w:jc w:val="right"/>
              <w:rPr>
                <w:rFonts w:ascii="宋体"/>
              </w:rPr>
            </w:pPr>
          </w:p>
        </w:tc>
      </w:tr>
      <w:tr w:rsidR="003C66EB" w14:paraId="5EA2589A" w14:textId="77777777">
        <w:tc>
          <w:tcPr>
            <w:tcW w:w="0" w:type="auto"/>
            <w:gridSpan w:val="3"/>
            <w:shd w:val="clear" w:color="auto" w:fill="FFFFFF"/>
            <w:tcMar>
              <w:top w:w="40" w:type="dxa"/>
              <w:left w:w="20" w:type="dxa"/>
              <w:bottom w:w="40" w:type="dxa"/>
              <w:right w:w="20" w:type="dxa"/>
            </w:tcMar>
            <w:vAlign w:val="bottom"/>
          </w:tcPr>
          <w:p w14:paraId="5EA25896" w14:textId="77777777" w:rsidR="003C66EB" w:rsidRDefault="00D96C4E">
            <w:pPr>
              <w:textAlignment w:val="bottom"/>
            </w:pPr>
            <w:r>
              <w:rPr>
                <w:rFonts w:ascii="Arial" w:eastAsia="宋体" w:hAnsi="Arial" w:cs="Arial"/>
                <w:b/>
                <w:bCs/>
                <w:color w:val="000000"/>
                <w:sz w:val="14"/>
                <w:szCs w:val="14"/>
              </w:rPr>
              <w:t>Derivatives designated as hedging instruments:</w:t>
            </w:r>
          </w:p>
        </w:tc>
        <w:tc>
          <w:tcPr>
            <w:tcW w:w="0" w:type="auto"/>
            <w:gridSpan w:val="3"/>
            <w:shd w:val="clear" w:color="auto" w:fill="FFFFFF"/>
            <w:tcMar>
              <w:top w:w="0" w:type="dxa"/>
              <w:left w:w="20" w:type="dxa"/>
              <w:bottom w:w="0" w:type="dxa"/>
              <w:right w:w="20" w:type="dxa"/>
            </w:tcMar>
          </w:tcPr>
          <w:p w14:paraId="5EA2589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89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899" w14:textId="77777777" w:rsidR="003C66EB" w:rsidRDefault="003C66EB">
            <w:pPr>
              <w:rPr>
                <w:rFonts w:ascii="宋体"/>
              </w:rPr>
            </w:pPr>
          </w:p>
        </w:tc>
      </w:tr>
      <w:tr w:rsidR="003C66EB" w14:paraId="5EA2589F" w14:textId="77777777">
        <w:tc>
          <w:tcPr>
            <w:tcW w:w="0" w:type="auto"/>
            <w:gridSpan w:val="3"/>
            <w:shd w:val="clear" w:color="auto" w:fill="CCEEFF"/>
            <w:tcMar>
              <w:top w:w="40" w:type="dxa"/>
              <w:left w:w="20" w:type="dxa"/>
              <w:bottom w:w="40" w:type="dxa"/>
              <w:right w:w="20" w:type="dxa"/>
            </w:tcMar>
            <w:vAlign w:val="bottom"/>
          </w:tcPr>
          <w:p w14:paraId="5EA2589B" w14:textId="77777777" w:rsidR="003C66EB" w:rsidRDefault="00D96C4E">
            <w:pPr>
              <w:textAlignment w:val="bottom"/>
            </w:pPr>
            <w:r>
              <w:rPr>
                <w:rFonts w:ascii="Arial" w:eastAsia="宋体" w:hAnsi="Arial" w:cs="Arial"/>
                <w:color w:val="000000"/>
                <w:sz w:val="14"/>
                <w:szCs w:val="14"/>
              </w:rPr>
              <w:t>Interest rate contracts:</w:t>
            </w:r>
          </w:p>
        </w:tc>
        <w:tc>
          <w:tcPr>
            <w:tcW w:w="0" w:type="auto"/>
            <w:gridSpan w:val="3"/>
            <w:shd w:val="clear" w:color="auto" w:fill="CCEEFF"/>
            <w:tcMar>
              <w:top w:w="0" w:type="dxa"/>
              <w:left w:w="20" w:type="dxa"/>
              <w:bottom w:w="0" w:type="dxa"/>
              <w:right w:w="20" w:type="dxa"/>
            </w:tcMar>
          </w:tcPr>
          <w:p w14:paraId="5EA2589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89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89E" w14:textId="77777777" w:rsidR="003C66EB" w:rsidRDefault="003C66EB">
            <w:pPr>
              <w:rPr>
                <w:rFonts w:ascii="宋体"/>
              </w:rPr>
            </w:pPr>
          </w:p>
        </w:tc>
      </w:tr>
      <w:tr w:rsidR="003C66EB" w14:paraId="5EA258A6" w14:textId="77777777">
        <w:tc>
          <w:tcPr>
            <w:tcW w:w="0" w:type="auto"/>
            <w:gridSpan w:val="3"/>
            <w:shd w:val="clear" w:color="auto" w:fill="FFFFFF"/>
            <w:tcMar>
              <w:top w:w="40" w:type="dxa"/>
              <w:left w:w="155" w:type="dxa"/>
              <w:bottom w:w="40" w:type="dxa"/>
              <w:right w:w="20" w:type="dxa"/>
            </w:tcMar>
            <w:vAlign w:val="bottom"/>
          </w:tcPr>
          <w:p w14:paraId="5EA258A0" w14:textId="77777777" w:rsidR="003C66EB" w:rsidRDefault="00D96C4E">
            <w:pPr>
              <w:textAlignment w:val="bottom"/>
            </w:pPr>
            <w:r>
              <w:rPr>
                <w:rFonts w:ascii="Arial" w:eastAsia="宋体" w:hAnsi="Arial" w:cs="Arial"/>
                <w:color w:val="000000"/>
                <w:sz w:val="14"/>
                <w:szCs w:val="14"/>
              </w:rPr>
              <w:t>Swap agreements</w:t>
            </w:r>
          </w:p>
        </w:tc>
        <w:tc>
          <w:tcPr>
            <w:tcW w:w="0" w:type="auto"/>
            <w:gridSpan w:val="2"/>
            <w:shd w:val="clear" w:color="auto" w:fill="FFFFFF"/>
            <w:tcMar>
              <w:top w:w="40" w:type="dxa"/>
              <w:left w:w="20" w:type="dxa"/>
              <w:bottom w:w="40" w:type="dxa"/>
              <w:right w:w="0" w:type="dxa"/>
            </w:tcMar>
            <w:vAlign w:val="bottom"/>
          </w:tcPr>
          <w:p w14:paraId="5EA258A1" w14:textId="77777777" w:rsidR="003C66EB" w:rsidRDefault="00D96C4E">
            <w:pPr>
              <w:jc w:val="right"/>
              <w:textAlignment w:val="bottom"/>
            </w:pPr>
            <w:r>
              <w:rPr>
                <w:rFonts w:ascii="Arial" w:eastAsia="宋体" w:hAnsi="Arial" w:cs="Arial"/>
                <w:b/>
                <w:bCs/>
                <w:color w:val="000000"/>
                <w:sz w:val="14"/>
                <w:szCs w:val="14"/>
              </w:rPr>
              <w:t>7,459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8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8A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8A4" w14:textId="77777777" w:rsidR="003C66EB" w:rsidRDefault="00D96C4E">
            <w:pPr>
              <w:jc w:val="right"/>
              <w:textAlignment w:val="bottom"/>
            </w:pPr>
            <w:r>
              <w:rPr>
                <w:rFonts w:ascii="Arial" w:eastAsia="宋体" w:hAnsi="Arial" w:cs="Arial"/>
                <w:color w:val="000000"/>
                <w:sz w:val="14"/>
                <w:szCs w:val="14"/>
              </w:rPr>
              <w:t>7,449 </w:t>
            </w:r>
          </w:p>
        </w:tc>
        <w:tc>
          <w:tcPr>
            <w:tcW w:w="0" w:type="auto"/>
            <w:shd w:val="clear" w:color="auto" w:fill="FFFFFF"/>
            <w:tcMar>
              <w:top w:w="40" w:type="dxa"/>
              <w:left w:w="0" w:type="dxa"/>
              <w:bottom w:w="40" w:type="dxa"/>
              <w:right w:w="20" w:type="dxa"/>
            </w:tcMar>
            <w:vAlign w:val="bottom"/>
          </w:tcPr>
          <w:p w14:paraId="5EA258A5" w14:textId="77777777" w:rsidR="003C66EB" w:rsidRDefault="003C66EB">
            <w:pPr>
              <w:jc w:val="right"/>
              <w:rPr>
                <w:rFonts w:ascii="宋体"/>
              </w:rPr>
            </w:pPr>
          </w:p>
        </w:tc>
      </w:tr>
      <w:tr w:rsidR="003C66EB" w14:paraId="5EA258AB" w14:textId="77777777">
        <w:tc>
          <w:tcPr>
            <w:tcW w:w="0" w:type="auto"/>
            <w:gridSpan w:val="3"/>
            <w:shd w:val="clear" w:color="auto" w:fill="CCEEFF"/>
            <w:tcMar>
              <w:top w:w="40" w:type="dxa"/>
              <w:left w:w="20" w:type="dxa"/>
              <w:bottom w:w="40" w:type="dxa"/>
              <w:right w:w="20" w:type="dxa"/>
            </w:tcMar>
            <w:vAlign w:val="bottom"/>
          </w:tcPr>
          <w:p w14:paraId="5EA258A7" w14:textId="77777777" w:rsidR="003C66EB" w:rsidRDefault="00D96C4E">
            <w:pPr>
              <w:textAlignment w:val="bottom"/>
            </w:pPr>
            <w:r>
              <w:rPr>
                <w:rFonts w:ascii="Arial" w:eastAsia="宋体" w:hAnsi="Arial" w:cs="Arial"/>
                <w:color w:val="000000"/>
                <w:sz w:val="14"/>
                <w:szCs w:val="14"/>
              </w:rPr>
              <w:t>Foreign exchange contracts:</w:t>
            </w:r>
          </w:p>
        </w:tc>
        <w:tc>
          <w:tcPr>
            <w:tcW w:w="0" w:type="auto"/>
            <w:gridSpan w:val="3"/>
            <w:shd w:val="clear" w:color="auto" w:fill="CCEEFF"/>
            <w:tcMar>
              <w:top w:w="0" w:type="dxa"/>
              <w:left w:w="20" w:type="dxa"/>
              <w:bottom w:w="0" w:type="dxa"/>
              <w:right w:w="20" w:type="dxa"/>
            </w:tcMar>
          </w:tcPr>
          <w:p w14:paraId="5EA258A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8A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8AA" w14:textId="77777777" w:rsidR="003C66EB" w:rsidRDefault="003C66EB">
            <w:pPr>
              <w:rPr>
                <w:rFonts w:ascii="宋体"/>
              </w:rPr>
            </w:pPr>
          </w:p>
        </w:tc>
      </w:tr>
      <w:tr w:rsidR="003C66EB" w14:paraId="5EA258B2" w14:textId="77777777">
        <w:tc>
          <w:tcPr>
            <w:tcW w:w="0" w:type="auto"/>
            <w:gridSpan w:val="3"/>
            <w:shd w:val="clear" w:color="auto" w:fill="FFFFFF"/>
            <w:tcMar>
              <w:top w:w="40" w:type="dxa"/>
              <w:left w:w="155" w:type="dxa"/>
              <w:bottom w:w="40" w:type="dxa"/>
              <w:right w:w="20" w:type="dxa"/>
            </w:tcMar>
            <w:vAlign w:val="bottom"/>
          </w:tcPr>
          <w:p w14:paraId="5EA258AC" w14:textId="77777777" w:rsidR="003C66EB" w:rsidRDefault="00D96C4E">
            <w:pPr>
              <w:textAlignment w:val="bottom"/>
            </w:pPr>
            <w:r>
              <w:rPr>
                <w:rFonts w:ascii="Arial" w:eastAsia="宋体" w:hAnsi="Arial" w:cs="Arial"/>
                <w:color w:val="000000"/>
                <w:sz w:val="14"/>
                <w:szCs w:val="14"/>
              </w:rPr>
              <w:t>Forward and swap</w:t>
            </w:r>
          </w:p>
        </w:tc>
        <w:tc>
          <w:tcPr>
            <w:tcW w:w="0" w:type="auto"/>
            <w:gridSpan w:val="2"/>
            <w:shd w:val="clear" w:color="auto" w:fill="FFFFFF"/>
            <w:tcMar>
              <w:top w:w="40" w:type="dxa"/>
              <w:left w:w="20" w:type="dxa"/>
              <w:bottom w:w="40" w:type="dxa"/>
              <w:right w:w="0" w:type="dxa"/>
            </w:tcMar>
            <w:vAlign w:val="bottom"/>
          </w:tcPr>
          <w:p w14:paraId="5EA258AD" w14:textId="77777777" w:rsidR="003C66EB" w:rsidRDefault="00D96C4E">
            <w:pPr>
              <w:jc w:val="right"/>
              <w:textAlignment w:val="bottom"/>
            </w:pPr>
            <w:r>
              <w:rPr>
                <w:rFonts w:ascii="Arial" w:eastAsia="宋体" w:hAnsi="Arial" w:cs="Arial"/>
                <w:b/>
                <w:bCs/>
                <w:color w:val="000000"/>
                <w:sz w:val="14"/>
                <w:szCs w:val="14"/>
              </w:rPr>
              <w:t>6,055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8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8A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8B0" w14:textId="77777777" w:rsidR="003C66EB" w:rsidRDefault="00D96C4E">
            <w:pPr>
              <w:jc w:val="right"/>
              <w:textAlignment w:val="bottom"/>
            </w:pPr>
            <w:r>
              <w:rPr>
                <w:rFonts w:ascii="Arial" w:eastAsia="宋体" w:hAnsi="Arial" w:cs="Arial"/>
                <w:color w:val="000000"/>
                <w:sz w:val="14"/>
                <w:szCs w:val="14"/>
              </w:rPr>
              <w:t>5,221 </w:t>
            </w:r>
          </w:p>
        </w:tc>
        <w:tc>
          <w:tcPr>
            <w:tcW w:w="0" w:type="auto"/>
            <w:shd w:val="clear" w:color="auto" w:fill="FFFFFF"/>
            <w:tcMar>
              <w:top w:w="40" w:type="dxa"/>
              <w:left w:w="0" w:type="dxa"/>
              <w:bottom w:w="40" w:type="dxa"/>
              <w:right w:w="20" w:type="dxa"/>
            </w:tcMar>
            <w:vAlign w:val="bottom"/>
          </w:tcPr>
          <w:p w14:paraId="5EA258B1" w14:textId="77777777" w:rsidR="003C66EB" w:rsidRDefault="003C66EB">
            <w:pPr>
              <w:jc w:val="right"/>
              <w:rPr>
                <w:rFonts w:ascii="宋体"/>
              </w:rPr>
            </w:pPr>
          </w:p>
        </w:tc>
      </w:tr>
    </w:tbl>
    <w:p w14:paraId="5EA258B3"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70"/>
        <w:gridCol w:w="5866"/>
        <w:gridCol w:w="36"/>
        <w:gridCol w:w="36"/>
      </w:tblGrid>
      <w:tr w:rsidR="003C66EB" w14:paraId="5EA258BB" w14:textId="77777777">
        <w:tc>
          <w:tcPr>
            <w:tcW w:w="50" w:type="pct"/>
            <w:shd w:val="clear" w:color="auto" w:fill="auto"/>
          </w:tcPr>
          <w:p w14:paraId="5EA258B4" w14:textId="77777777" w:rsidR="003C66EB" w:rsidRDefault="003C66EB">
            <w:pPr>
              <w:rPr>
                <w:rFonts w:ascii="宋体"/>
              </w:rPr>
            </w:pPr>
          </w:p>
        </w:tc>
        <w:tc>
          <w:tcPr>
            <w:tcW w:w="1348" w:type="pct"/>
            <w:shd w:val="clear" w:color="auto" w:fill="auto"/>
          </w:tcPr>
          <w:p w14:paraId="5EA258B5" w14:textId="77777777" w:rsidR="003C66EB" w:rsidRDefault="003C66EB">
            <w:pPr>
              <w:rPr>
                <w:rFonts w:ascii="宋体"/>
              </w:rPr>
            </w:pPr>
          </w:p>
        </w:tc>
        <w:tc>
          <w:tcPr>
            <w:tcW w:w="5" w:type="pct"/>
            <w:shd w:val="clear" w:color="auto" w:fill="auto"/>
          </w:tcPr>
          <w:p w14:paraId="5EA258B6" w14:textId="77777777" w:rsidR="003C66EB" w:rsidRDefault="003C66EB">
            <w:pPr>
              <w:rPr>
                <w:rFonts w:ascii="宋体"/>
              </w:rPr>
            </w:pPr>
          </w:p>
        </w:tc>
        <w:tc>
          <w:tcPr>
            <w:tcW w:w="50" w:type="pct"/>
            <w:shd w:val="clear" w:color="auto" w:fill="auto"/>
          </w:tcPr>
          <w:p w14:paraId="5EA258B7" w14:textId="77777777" w:rsidR="003C66EB" w:rsidRDefault="003C66EB">
            <w:pPr>
              <w:rPr>
                <w:rFonts w:ascii="宋体"/>
              </w:rPr>
            </w:pPr>
          </w:p>
        </w:tc>
        <w:tc>
          <w:tcPr>
            <w:tcW w:w="3541" w:type="pct"/>
            <w:shd w:val="clear" w:color="auto" w:fill="auto"/>
          </w:tcPr>
          <w:p w14:paraId="5EA258B8" w14:textId="77777777" w:rsidR="003C66EB" w:rsidRDefault="003C66EB">
            <w:pPr>
              <w:rPr>
                <w:rFonts w:ascii="宋体"/>
              </w:rPr>
            </w:pPr>
          </w:p>
        </w:tc>
        <w:tc>
          <w:tcPr>
            <w:tcW w:w="5" w:type="pct"/>
            <w:shd w:val="clear" w:color="auto" w:fill="auto"/>
          </w:tcPr>
          <w:p w14:paraId="5EA258B9" w14:textId="77777777" w:rsidR="003C66EB" w:rsidRDefault="003C66EB">
            <w:pPr>
              <w:rPr>
                <w:rFonts w:ascii="宋体"/>
              </w:rPr>
            </w:pPr>
          </w:p>
        </w:tc>
        <w:tc>
          <w:tcPr>
            <w:tcW w:w="0" w:type="auto"/>
            <w:shd w:val="clear" w:color="auto" w:fill="auto"/>
          </w:tcPr>
          <w:p w14:paraId="5EA258BA" w14:textId="77777777" w:rsidR="003C66EB" w:rsidRDefault="003C66EB">
            <w:pPr>
              <w:rPr>
                <w:rFonts w:ascii="宋体"/>
                <w:vanish/>
              </w:rPr>
            </w:pPr>
          </w:p>
        </w:tc>
      </w:tr>
      <w:tr w:rsidR="003C66EB" w14:paraId="5EA258B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8B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BD" w14:textId="77777777" w:rsidR="003C66EB" w:rsidRDefault="003C66EB">
            <w:pPr>
              <w:rPr>
                <w:rFonts w:ascii="宋体"/>
              </w:rPr>
            </w:pPr>
          </w:p>
        </w:tc>
        <w:tc>
          <w:tcPr>
            <w:tcW w:w="0" w:type="auto"/>
            <w:shd w:val="clear" w:color="auto" w:fill="auto"/>
          </w:tcPr>
          <w:p w14:paraId="5EA258BE" w14:textId="77777777" w:rsidR="003C66EB" w:rsidRDefault="003C66EB">
            <w:pPr>
              <w:rPr>
                <w:rFonts w:ascii="宋体"/>
                <w:vanish/>
              </w:rPr>
            </w:pPr>
          </w:p>
        </w:tc>
      </w:tr>
    </w:tbl>
    <w:p w14:paraId="5EA258C0" w14:textId="77777777" w:rsidR="003C66EB" w:rsidRDefault="00D96C4E">
      <w:pPr>
        <w:spacing w:before="90"/>
        <w:jc w:val="both"/>
      </w:pPr>
      <w:r>
        <w:rPr>
          <w:rFonts w:ascii="Arial" w:eastAsia="宋体" w:hAnsi="Arial" w:cs="Arial"/>
          <w:color w:val="000000"/>
          <w:sz w:val="7"/>
          <w:szCs w:val="7"/>
        </w:rPr>
        <w:t>(1)</w:t>
      </w:r>
      <w:r>
        <w:rPr>
          <w:rFonts w:ascii="Arial" w:eastAsia="宋体" w:hAnsi="Arial" w:cs="Arial"/>
          <w:color w:val="000000"/>
          <w:sz w:val="12"/>
          <w:szCs w:val="12"/>
        </w:rPr>
        <w:t xml:space="preserve"> The notional value of the stable value contracts represents our maximum exposure. However, exposure to various stable value contracts is generally contractually limited to substantially lower amounts than the notional values.</w:t>
      </w:r>
    </w:p>
    <w:p w14:paraId="5EA258C1" w14:textId="77777777" w:rsidR="003C66EB" w:rsidRDefault="00D96C4E">
      <w:pPr>
        <w:spacing w:before="60"/>
        <w:ind w:hanging="180"/>
        <w:jc w:val="both"/>
      </w:pPr>
      <w:r>
        <w:rPr>
          <w:rFonts w:ascii="Arial" w:eastAsia="宋体" w:hAnsi="Arial" w:cs="Arial"/>
          <w:color w:val="000000"/>
          <w:sz w:val="7"/>
          <w:szCs w:val="7"/>
        </w:rPr>
        <w:t>(2)</w:t>
      </w:r>
      <w:r>
        <w:rPr>
          <w:rFonts w:ascii="Arial" w:eastAsia="宋体" w:hAnsi="Arial" w:cs="Arial"/>
          <w:color w:val="000000"/>
          <w:sz w:val="12"/>
          <w:szCs w:val="12"/>
        </w:rPr>
        <w:t xml:space="preserve"> Represents grants of defe</w:t>
      </w:r>
      <w:r>
        <w:rPr>
          <w:rFonts w:ascii="Arial" w:eastAsia="宋体" w:hAnsi="Arial" w:cs="Arial"/>
          <w:color w:val="000000"/>
          <w:sz w:val="12"/>
          <w:szCs w:val="12"/>
        </w:rPr>
        <w:t>rred value awards to employees; refer to pages 158 to 159 in Note 10 to the consolidated financial statements included under Item 8, Financial Statements and Supplementary Data, in our 2020 Form 10-K.</w:t>
      </w:r>
    </w:p>
    <w:p w14:paraId="5EA258C2" w14:textId="77777777" w:rsidR="003C66EB" w:rsidRDefault="00D96C4E">
      <w:pPr>
        <w:spacing w:before="60"/>
        <w:ind w:firstLine="450"/>
        <w:jc w:val="both"/>
      </w:pPr>
      <w:r>
        <w:rPr>
          <w:rFonts w:ascii="Arial" w:eastAsia="宋体" w:hAnsi="Arial" w:cs="Arial"/>
          <w:color w:val="000000"/>
          <w:sz w:val="20"/>
          <w:szCs w:val="20"/>
        </w:rPr>
        <w:t xml:space="preserve">Notional amounts are provided here as an indication of </w:t>
      </w:r>
      <w:r>
        <w:rPr>
          <w:rFonts w:ascii="Arial" w:eastAsia="宋体" w:hAnsi="Arial" w:cs="Arial"/>
          <w:color w:val="000000"/>
          <w:sz w:val="20"/>
          <w:szCs w:val="20"/>
        </w:rPr>
        <w:t>the volume of our derivative activity and serve as a reference to calculate the fair values of the derivative.</w:t>
      </w:r>
    </w:p>
    <w:p w14:paraId="5EA258C3" w14:textId="77777777" w:rsidR="003C66EB" w:rsidRDefault="00D96C4E">
      <w:pPr>
        <w:spacing w:before="60"/>
        <w:ind w:firstLine="450"/>
        <w:jc w:val="both"/>
      </w:pPr>
      <w:r>
        <w:rPr>
          <w:rFonts w:ascii="Arial" w:eastAsia="宋体" w:hAnsi="Arial" w:cs="Arial"/>
          <w:color w:val="000000"/>
          <w:sz w:val="20"/>
          <w:szCs w:val="20"/>
        </w:rPr>
        <w:t>The following tables present the fair value of derivative financial instruments, excluding the impact of master netting agreements, recorded in o</w:t>
      </w:r>
      <w:r>
        <w:rPr>
          <w:rFonts w:ascii="Arial" w:eastAsia="宋体" w:hAnsi="Arial" w:cs="Arial"/>
          <w:color w:val="000000"/>
          <w:sz w:val="20"/>
          <w:szCs w:val="20"/>
        </w:rPr>
        <w:t>ur consolidated statement of condition as of the dates indicated. The impact of master netting agreements is provided in Note 8.</w:t>
      </w:r>
    </w:p>
    <w:tbl>
      <w:tblPr>
        <w:tblW w:w="5000" w:type="pct"/>
        <w:tblCellMar>
          <w:top w:w="15" w:type="dxa"/>
          <w:left w:w="15" w:type="dxa"/>
          <w:bottom w:w="15" w:type="dxa"/>
          <w:right w:w="15" w:type="dxa"/>
        </w:tblCellMar>
        <w:tblLook w:val="04A0" w:firstRow="1" w:lastRow="0" w:firstColumn="1" w:lastColumn="0" w:noHBand="0" w:noVBand="1"/>
      </w:tblPr>
      <w:tblGrid>
        <w:gridCol w:w="39"/>
        <w:gridCol w:w="3020"/>
        <w:gridCol w:w="36"/>
        <w:gridCol w:w="104"/>
        <w:gridCol w:w="1115"/>
        <w:gridCol w:w="36"/>
        <w:gridCol w:w="36"/>
        <w:gridCol w:w="36"/>
        <w:gridCol w:w="36"/>
        <w:gridCol w:w="105"/>
        <w:gridCol w:w="1080"/>
        <w:gridCol w:w="36"/>
        <w:gridCol w:w="36"/>
        <w:gridCol w:w="36"/>
        <w:gridCol w:w="36"/>
        <w:gridCol w:w="104"/>
        <w:gridCol w:w="1080"/>
        <w:gridCol w:w="36"/>
        <w:gridCol w:w="36"/>
        <w:gridCol w:w="36"/>
        <w:gridCol w:w="36"/>
        <w:gridCol w:w="105"/>
        <w:gridCol w:w="1080"/>
        <w:gridCol w:w="36"/>
      </w:tblGrid>
      <w:tr w:rsidR="003C66EB" w14:paraId="5EA258DC" w14:textId="77777777">
        <w:tc>
          <w:tcPr>
            <w:tcW w:w="50" w:type="pct"/>
            <w:shd w:val="clear" w:color="auto" w:fill="auto"/>
          </w:tcPr>
          <w:p w14:paraId="5EA258C4" w14:textId="77777777" w:rsidR="003C66EB" w:rsidRDefault="003C66EB">
            <w:pPr>
              <w:rPr>
                <w:rFonts w:ascii="宋体"/>
              </w:rPr>
            </w:pPr>
          </w:p>
        </w:tc>
        <w:tc>
          <w:tcPr>
            <w:tcW w:w="1837" w:type="pct"/>
            <w:shd w:val="clear" w:color="auto" w:fill="auto"/>
          </w:tcPr>
          <w:p w14:paraId="5EA258C5" w14:textId="77777777" w:rsidR="003C66EB" w:rsidRDefault="003C66EB">
            <w:pPr>
              <w:rPr>
                <w:rFonts w:ascii="宋体"/>
              </w:rPr>
            </w:pPr>
          </w:p>
        </w:tc>
        <w:tc>
          <w:tcPr>
            <w:tcW w:w="5" w:type="pct"/>
            <w:shd w:val="clear" w:color="auto" w:fill="auto"/>
          </w:tcPr>
          <w:p w14:paraId="5EA258C6" w14:textId="77777777" w:rsidR="003C66EB" w:rsidRDefault="003C66EB">
            <w:pPr>
              <w:rPr>
                <w:rFonts w:ascii="宋体"/>
              </w:rPr>
            </w:pPr>
          </w:p>
        </w:tc>
        <w:tc>
          <w:tcPr>
            <w:tcW w:w="50" w:type="pct"/>
            <w:shd w:val="clear" w:color="auto" w:fill="auto"/>
          </w:tcPr>
          <w:p w14:paraId="5EA258C7" w14:textId="77777777" w:rsidR="003C66EB" w:rsidRDefault="003C66EB">
            <w:pPr>
              <w:rPr>
                <w:rFonts w:ascii="宋体"/>
              </w:rPr>
            </w:pPr>
          </w:p>
        </w:tc>
        <w:tc>
          <w:tcPr>
            <w:tcW w:w="694" w:type="pct"/>
            <w:shd w:val="clear" w:color="auto" w:fill="auto"/>
          </w:tcPr>
          <w:p w14:paraId="5EA258C8" w14:textId="77777777" w:rsidR="003C66EB" w:rsidRDefault="003C66EB">
            <w:pPr>
              <w:rPr>
                <w:rFonts w:ascii="宋体"/>
              </w:rPr>
            </w:pPr>
          </w:p>
        </w:tc>
        <w:tc>
          <w:tcPr>
            <w:tcW w:w="5" w:type="pct"/>
            <w:shd w:val="clear" w:color="auto" w:fill="auto"/>
          </w:tcPr>
          <w:p w14:paraId="5EA258C9" w14:textId="77777777" w:rsidR="003C66EB" w:rsidRDefault="003C66EB">
            <w:pPr>
              <w:rPr>
                <w:rFonts w:ascii="宋体"/>
              </w:rPr>
            </w:pPr>
          </w:p>
        </w:tc>
        <w:tc>
          <w:tcPr>
            <w:tcW w:w="5" w:type="pct"/>
            <w:shd w:val="clear" w:color="auto" w:fill="auto"/>
          </w:tcPr>
          <w:p w14:paraId="5EA258CA" w14:textId="77777777" w:rsidR="003C66EB" w:rsidRDefault="003C66EB">
            <w:pPr>
              <w:rPr>
                <w:rFonts w:ascii="宋体"/>
              </w:rPr>
            </w:pPr>
          </w:p>
        </w:tc>
        <w:tc>
          <w:tcPr>
            <w:tcW w:w="26" w:type="pct"/>
            <w:shd w:val="clear" w:color="auto" w:fill="auto"/>
          </w:tcPr>
          <w:p w14:paraId="5EA258CB" w14:textId="77777777" w:rsidR="003C66EB" w:rsidRDefault="003C66EB">
            <w:pPr>
              <w:rPr>
                <w:rFonts w:ascii="宋体"/>
              </w:rPr>
            </w:pPr>
          </w:p>
        </w:tc>
        <w:tc>
          <w:tcPr>
            <w:tcW w:w="5" w:type="pct"/>
            <w:shd w:val="clear" w:color="auto" w:fill="auto"/>
          </w:tcPr>
          <w:p w14:paraId="5EA258CC" w14:textId="77777777" w:rsidR="003C66EB" w:rsidRDefault="003C66EB">
            <w:pPr>
              <w:rPr>
                <w:rFonts w:ascii="宋体"/>
              </w:rPr>
            </w:pPr>
          </w:p>
        </w:tc>
        <w:tc>
          <w:tcPr>
            <w:tcW w:w="50" w:type="pct"/>
            <w:shd w:val="clear" w:color="auto" w:fill="auto"/>
          </w:tcPr>
          <w:p w14:paraId="5EA258CD" w14:textId="77777777" w:rsidR="003C66EB" w:rsidRDefault="003C66EB">
            <w:pPr>
              <w:rPr>
                <w:rFonts w:ascii="宋体"/>
              </w:rPr>
            </w:pPr>
          </w:p>
        </w:tc>
        <w:tc>
          <w:tcPr>
            <w:tcW w:w="694" w:type="pct"/>
            <w:shd w:val="clear" w:color="auto" w:fill="auto"/>
          </w:tcPr>
          <w:p w14:paraId="5EA258CE" w14:textId="77777777" w:rsidR="003C66EB" w:rsidRDefault="003C66EB">
            <w:pPr>
              <w:rPr>
                <w:rFonts w:ascii="宋体"/>
              </w:rPr>
            </w:pPr>
          </w:p>
        </w:tc>
        <w:tc>
          <w:tcPr>
            <w:tcW w:w="5" w:type="pct"/>
            <w:shd w:val="clear" w:color="auto" w:fill="auto"/>
          </w:tcPr>
          <w:p w14:paraId="5EA258CF" w14:textId="77777777" w:rsidR="003C66EB" w:rsidRDefault="003C66EB">
            <w:pPr>
              <w:rPr>
                <w:rFonts w:ascii="宋体"/>
              </w:rPr>
            </w:pPr>
          </w:p>
        </w:tc>
        <w:tc>
          <w:tcPr>
            <w:tcW w:w="5" w:type="pct"/>
            <w:shd w:val="clear" w:color="auto" w:fill="auto"/>
          </w:tcPr>
          <w:p w14:paraId="5EA258D0" w14:textId="77777777" w:rsidR="003C66EB" w:rsidRDefault="003C66EB">
            <w:pPr>
              <w:rPr>
                <w:rFonts w:ascii="宋体"/>
              </w:rPr>
            </w:pPr>
          </w:p>
        </w:tc>
        <w:tc>
          <w:tcPr>
            <w:tcW w:w="26" w:type="pct"/>
            <w:shd w:val="clear" w:color="auto" w:fill="auto"/>
          </w:tcPr>
          <w:p w14:paraId="5EA258D1" w14:textId="77777777" w:rsidR="003C66EB" w:rsidRDefault="003C66EB">
            <w:pPr>
              <w:rPr>
                <w:rFonts w:ascii="宋体"/>
              </w:rPr>
            </w:pPr>
          </w:p>
        </w:tc>
        <w:tc>
          <w:tcPr>
            <w:tcW w:w="5" w:type="pct"/>
            <w:shd w:val="clear" w:color="auto" w:fill="auto"/>
          </w:tcPr>
          <w:p w14:paraId="5EA258D2" w14:textId="77777777" w:rsidR="003C66EB" w:rsidRDefault="003C66EB">
            <w:pPr>
              <w:rPr>
                <w:rFonts w:ascii="宋体"/>
              </w:rPr>
            </w:pPr>
          </w:p>
        </w:tc>
        <w:tc>
          <w:tcPr>
            <w:tcW w:w="50" w:type="pct"/>
            <w:shd w:val="clear" w:color="auto" w:fill="auto"/>
          </w:tcPr>
          <w:p w14:paraId="5EA258D3" w14:textId="77777777" w:rsidR="003C66EB" w:rsidRDefault="003C66EB">
            <w:pPr>
              <w:rPr>
                <w:rFonts w:ascii="宋体"/>
              </w:rPr>
            </w:pPr>
          </w:p>
        </w:tc>
        <w:tc>
          <w:tcPr>
            <w:tcW w:w="694" w:type="pct"/>
            <w:shd w:val="clear" w:color="auto" w:fill="auto"/>
          </w:tcPr>
          <w:p w14:paraId="5EA258D4" w14:textId="77777777" w:rsidR="003C66EB" w:rsidRDefault="003C66EB">
            <w:pPr>
              <w:rPr>
                <w:rFonts w:ascii="宋体"/>
              </w:rPr>
            </w:pPr>
          </w:p>
        </w:tc>
        <w:tc>
          <w:tcPr>
            <w:tcW w:w="5" w:type="pct"/>
            <w:shd w:val="clear" w:color="auto" w:fill="auto"/>
          </w:tcPr>
          <w:p w14:paraId="5EA258D5" w14:textId="77777777" w:rsidR="003C66EB" w:rsidRDefault="003C66EB">
            <w:pPr>
              <w:rPr>
                <w:rFonts w:ascii="宋体"/>
              </w:rPr>
            </w:pPr>
          </w:p>
        </w:tc>
        <w:tc>
          <w:tcPr>
            <w:tcW w:w="5" w:type="pct"/>
            <w:shd w:val="clear" w:color="auto" w:fill="auto"/>
          </w:tcPr>
          <w:p w14:paraId="5EA258D6" w14:textId="77777777" w:rsidR="003C66EB" w:rsidRDefault="003C66EB">
            <w:pPr>
              <w:rPr>
                <w:rFonts w:ascii="宋体"/>
              </w:rPr>
            </w:pPr>
          </w:p>
        </w:tc>
        <w:tc>
          <w:tcPr>
            <w:tcW w:w="26" w:type="pct"/>
            <w:shd w:val="clear" w:color="auto" w:fill="auto"/>
          </w:tcPr>
          <w:p w14:paraId="5EA258D7" w14:textId="77777777" w:rsidR="003C66EB" w:rsidRDefault="003C66EB">
            <w:pPr>
              <w:rPr>
                <w:rFonts w:ascii="宋体"/>
              </w:rPr>
            </w:pPr>
          </w:p>
        </w:tc>
        <w:tc>
          <w:tcPr>
            <w:tcW w:w="5" w:type="pct"/>
            <w:shd w:val="clear" w:color="auto" w:fill="auto"/>
          </w:tcPr>
          <w:p w14:paraId="5EA258D8" w14:textId="77777777" w:rsidR="003C66EB" w:rsidRDefault="003C66EB">
            <w:pPr>
              <w:rPr>
                <w:rFonts w:ascii="宋体"/>
              </w:rPr>
            </w:pPr>
          </w:p>
        </w:tc>
        <w:tc>
          <w:tcPr>
            <w:tcW w:w="50" w:type="pct"/>
            <w:shd w:val="clear" w:color="auto" w:fill="auto"/>
          </w:tcPr>
          <w:p w14:paraId="5EA258D9" w14:textId="77777777" w:rsidR="003C66EB" w:rsidRDefault="003C66EB">
            <w:pPr>
              <w:rPr>
                <w:rFonts w:ascii="宋体"/>
              </w:rPr>
            </w:pPr>
          </w:p>
        </w:tc>
        <w:tc>
          <w:tcPr>
            <w:tcW w:w="694" w:type="pct"/>
            <w:shd w:val="clear" w:color="auto" w:fill="auto"/>
          </w:tcPr>
          <w:p w14:paraId="5EA258DA" w14:textId="77777777" w:rsidR="003C66EB" w:rsidRDefault="003C66EB">
            <w:pPr>
              <w:rPr>
                <w:rFonts w:ascii="宋体"/>
              </w:rPr>
            </w:pPr>
          </w:p>
        </w:tc>
        <w:tc>
          <w:tcPr>
            <w:tcW w:w="5" w:type="pct"/>
            <w:shd w:val="clear" w:color="auto" w:fill="auto"/>
          </w:tcPr>
          <w:p w14:paraId="5EA258DB" w14:textId="77777777" w:rsidR="003C66EB" w:rsidRDefault="003C66EB">
            <w:pPr>
              <w:rPr>
                <w:rFonts w:ascii="宋体"/>
              </w:rPr>
            </w:pPr>
          </w:p>
        </w:tc>
      </w:tr>
      <w:tr w:rsidR="003C66EB" w14:paraId="5EA258E1" w14:textId="77777777">
        <w:tc>
          <w:tcPr>
            <w:tcW w:w="0" w:type="auto"/>
            <w:gridSpan w:val="3"/>
            <w:shd w:val="clear" w:color="auto" w:fill="auto"/>
            <w:tcMar>
              <w:top w:w="0" w:type="dxa"/>
              <w:left w:w="20" w:type="dxa"/>
              <w:bottom w:w="0" w:type="dxa"/>
              <w:right w:w="20" w:type="dxa"/>
            </w:tcMar>
          </w:tcPr>
          <w:p w14:paraId="5EA258DD"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58DE" w14:textId="77777777" w:rsidR="003C66EB" w:rsidRDefault="00D96C4E">
            <w:pP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5EA258DF"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58E0" w14:textId="77777777" w:rsidR="003C66EB" w:rsidRDefault="00D96C4E">
            <w:pP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3C66EB" w14:paraId="5EA258EA" w14:textId="77777777">
        <w:tc>
          <w:tcPr>
            <w:tcW w:w="0" w:type="auto"/>
            <w:gridSpan w:val="3"/>
            <w:shd w:val="clear" w:color="auto" w:fill="auto"/>
            <w:tcMar>
              <w:top w:w="40" w:type="dxa"/>
              <w:left w:w="20" w:type="dxa"/>
              <w:bottom w:w="40" w:type="dxa"/>
              <w:right w:w="20" w:type="dxa"/>
            </w:tcMar>
            <w:vAlign w:val="bottom"/>
          </w:tcPr>
          <w:p w14:paraId="5EA258E2"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8E3"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58E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8E5" w14:textId="77777777" w:rsidR="003C66EB" w:rsidRDefault="00D96C4E">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5EA258E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8E7"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58E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8E9"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58F3" w14:textId="77777777">
        <w:tc>
          <w:tcPr>
            <w:tcW w:w="0" w:type="auto"/>
            <w:gridSpan w:val="3"/>
            <w:shd w:val="clear" w:color="auto" w:fill="auto"/>
            <w:tcMar>
              <w:top w:w="40" w:type="dxa"/>
              <w:left w:w="20" w:type="dxa"/>
              <w:bottom w:w="40" w:type="dxa"/>
              <w:right w:w="20" w:type="dxa"/>
            </w:tcMar>
            <w:vAlign w:val="bottom"/>
          </w:tcPr>
          <w:p w14:paraId="5EA258EB" w14:textId="77777777" w:rsidR="003C66EB" w:rsidRDefault="00D96C4E">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5EA258E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E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8E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E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8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8F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8F2" w14:textId="77777777" w:rsidR="003C66EB" w:rsidRDefault="003C66EB">
            <w:pPr>
              <w:rPr>
                <w:rFonts w:ascii="宋体"/>
              </w:rPr>
            </w:pPr>
          </w:p>
        </w:tc>
      </w:tr>
      <w:tr w:rsidR="003C66EB" w14:paraId="5EA25904" w14:textId="77777777">
        <w:tc>
          <w:tcPr>
            <w:tcW w:w="0" w:type="auto"/>
            <w:gridSpan w:val="3"/>
            <w:shd w:val="clear" w:color="auto" w:fill="CCEEFF"/>
            <w:tcMar>
              <w:top w:w="40" w:type="dxa"/>
              <w:left w:w="20" w:type="dxa"/>
              <w:bottom w:w="40" w:type="dxa"/>
              <w:right w:w="20" w:type="dxa"/>
            </w:tcMar>
            <w:vAlign w:val="bottom"/>
          </w:tcPr>
          <w:p w14:paraId="5EA258F4"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58F5"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8F6" w14:textId="77777777" w:rsidR="003C66EB" w:rsidRDefault="00D96C4E">
            <w:pPr>
              <w:jc w:val="right"/>
              <w:textAlignment w:val="bottom"/>
            </w:pPr>
            <w:r>
              <w:rPr>
                <w:rFonts w:ascii="Arial" w:eastAsia="宋体" w:hAnsi="Arial" w:cs="Arial"/>
                <w:b/>
                <w:bCs/>
                <w:color w:val="000000"/>
                <w:sz w:val="15"/>
                <w:szCs w:val="15"/>
              </w:rPr>
              <w:t>21,776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8F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8F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8F9"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8FA" w14:textId="77777777" w:rsidR="003C66EB" w:rsidRDefault="00D96C4E">
            <w:pPr>
              <w:jc w:val="right"/>
              <w:textAlignment w:val="bottom"/>
            </w:pPr>
            <w:r>
              <w:rPr>
                <w:rFonts w:ascii="Arial" w:eastAsia="宋体" w:hAnsi="Arial" w:cs="Arial"/>
                <w:color w:val="000000"/>
                <w:sz w:val="15"/>
                <w:szCs w:val="15"/>
              </w:rPr>
              <w:t>25,939 </w:t>
            </w:r>
          </w:p>
        </w:tc>
        <w:tc>
          <w:tcPr>
            <w:tcW w:w="0" w:type="auto"/>
            <w:shd w:val="clear" w:color="auto" w:fill="CCEEFF"/>
            <w:tcMar>
              <w:top w:w="40" w:type="dxa"/>
              <w:left w:w="0" w:type="dxa"/>
              <w:bottom w:w="40" w:type="dxa"/>
              <w:right w:w="20" w:type="dxa"/>
            </w:tcMar>
            <w:vAlign w:val="bottom"/>
          </w:tcPr>
          <w:p w14:paraId="5EA258F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8F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8FD"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8FE" w14:textId="77777777" w:rsidR="003C66EB" w:rsidRDefault="00D96C4E">
            <w:pPr>
              <w:jc w:val="right"/>
              <w:textAlignment w:val="bottom"/>
            </w:pPr>
            <w:r>
              <w:rPr>
                <w:rFonts w:ascii="Arial" w:eastAsia="宋体" w:hAnsi="Arial" w:cs="Arial"/>
                <w:b/>
                <w:bCs/>
                <w:color w:val="000000"/>
                <w:sz w:val="15"/>
                <w:szCs w:val="15"/>
              </w:rPr>
              <w:t>22,044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8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0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901"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902" w14:textId="77777777" w:rsidR="003C66EB" w:rsidRDefault="00D96C4E">
            <w:pPr>
              <w:jc w:val="right"/>
              <w:textAlignment w:val="bottom"/>
            </w:pPr>
            <w:r>
              <w:rPr>
                <w:rFonts w:ascii="Arial" w:eastAsia="宋体" w:hAnsi="Arial" w:cs="Arial"/>
                <w:color w:val="000000"/>
                <w:sz w:val="15"/>
                <w:szCs w:val="15"/>
              </w:rPr>
              <w:t>25,811 </w:t>
            </w:r>
          </w:p>
        </w:tc>
        <w:tc>
          <w:tcPr>
            <w:tcW w:w="0" w:type="auto"/>
            <w:shd w:val="clear" w:color="auto" w:fill="CCEEFF"/>
            <w:tcMar>
              <w:top w:w="40" w:type="dxa"/>
              <w:left w:w="0" w:type="dxa"/>
              <w:bottom w:w="40" w:type="dxa"/>
              <w:right w:w="20" w:type="dxa"/>
            </w:tcMar>
            <w:vAlign w:val="bottom"/>
          </w:tcPr>
          <w:p w14:paraId="5EA25903" w14:textId="77777777" w:rsidR="003C66EB" w:rsidRDefault="003C66EB">
            <w:pPr>
              <w:jc w:val="right"/>
              <w:rPr>
                <w:rFonts w:ascii="宋体"/>
              </w:rPr>
            </w:pPr>
          </w:p>
        </w:tc>
      </w:tr>
      <w:tr w:rsidR="003C66EB" w14:paraId="5EA2590D" w14:textId="77777777">
        <w:trPr>
          <w:hidden/>
        </w:trPr>
        <w:tc>
          <w:tcPr>
            <w:tcW w:w="0" w:type="auto"/>
            <w:gridSpan w:val="3"/>
            <w:shd w:val="clear" w:color="auto" w:fill="auto"/>
          </w:tcPr>
          <w:p w14:paraId="5EA25905" w14:textId="77777777" w:rsidR="003C66EB" w:rsidRDefault="003C66EB">
            <w:pPr>
              <w:rPr>
                <w:rFonts w:ascii="宋体"/>
                <w:vanish/>
              </w:rPr>
            </w:pPr>
          </w:p>
        </w:tc>
        <w:tc>
          <w:tcPr>
            <w:tcW w:w="0" w:type="auto"/>
            <w:gridSpan w:val="3"/>
            <w:shd w:val="clear" w:color="auto" w:fill="auto"/>
          </w:tcPr>
          <w:p w14:paraId="5EA25906" w14:textId="77777777" w:rsidR="003C66EB" w:rsidRDefault="003C66EB">
            <w:pPr>
              <w:rPr>
                <w:rFonts w:ascii="宋体"/>
                <w:vanish/>
              </w:rPr>
            </w:pPr>
          </w:p>
        </w:tc>
        <w:tc>
          <w:tcPr>
            <w:tcW w:w="0" w:type="auto"/>
            <w:gridSpan w:val="3"/>
            <w:shd w:val="clear" w:color="auto" w:fill="auto"/>
          </w:tcPr>
          <w:p w14:paraId="5EA25907" w14:textId="77777777" w:rsidR="003C66EB" w:rsidRDefault="003C66EB">
            <w:pPr>
              <w:rPr>
                <w:rFonts w:ascii="宋体"/>
                <w:vanish/>
              </w:rPr>
            </w:pPr>
          </w:p>
        </w:tc>
        <w:tc>
          <w:tcPr>
            <w:tcW w:w="0" w:type="auto"/>
            <w:gridSpan w:val="3"/>
            <w:shd w:val="clear" w:color="auto" w:fill="auto"/>
          </w:tcPr>
          <w:p w14:paraId="5EA25908" w14:textId="77777777" w:rsidR="003C66EB" w:rsidRDefault="003C66EB">
            <w:pPr>
              <w:rPr>
                <w:rFonts w:ascii="宋体"/>
                <w:vanish/>
              </w:rPr>
            </w:pPr>
          </w:p>
        </w:tc>
        <w:tc>
          <w:tcPr>
            <w:tcW w:w="0" w:type="auto"/>
            <w:gridSpan w:val="3"/>
            <w:shd w:val="clear" w:color="auto" w:fill="auto"/>
          </w:tcPr>
          <w:p w14:paraId="5EA25909" w14:textId="77777777" w:rsidR="003C66EB" w:rsidRDefault="003C66EB">
            <w:pPr>
              <w:rPr>
                <w:rFonts w:ascii="宋体"/>
                <w:vanish/>
              </w:rPr>
            </w:pPr>
          </w:p>
        </w:tc>
        <w:tc>
          <w:tcPr>
            <w:tcW w:w="0" w:type="auto"/>
            <w:gridSpan w:val="3"/>
            <w:shd w:val="clear" w:color="auto" w:fill="auto"/>
          </w:tcPr>
          <w:p w14:paraId="5EA2590A" w14:textId="77777777" w:rsidR="003C66EB" w:rsidRDefault="003C66EB">
            <w:pPr>
              <w:rPr>
                <w:rFonts w:ascii="宋体"/>
                <w:vanish/>
              </w:rPr>
            </w:pPr>
          </w:p>
        </w:tc>
        <w:tc>
          <w:tcPr>
            <w:tcW w:w="0" w:type="auto"/>
            <w:gridSpan w:val="3"/>
            <w:shd w:val="clear" w:color="auto" w:fill="auto"/>
          </w:tcPr>
          <w:p w14:paraId="5EA2590B" w14:textId="77777777" w:rsidR="003C66EB" w:rsidRDefault="003C66EB">
            <w:pPr>
              <w:rPr>
                <w:rFonts w:ascii="宋体"/>
                <w:vanish/>
              </w:rPr>
            </w:pPr>
          </w:p>
        </w:tc>
        <w:tc>
          <w:tcPr>
            <w:tcW w:w="0" w:type="auto"/>
            <w:gridSpan w:val="3"/>
            <w:shd w:val="clear" w:color="auto" w:fill="auto"/>
          </w:tcPr>
          <w:p w14:paraId="5EA2590C" w14:textId="77777777" w:rsidR="003C66EB" w:rsidRDefault="003C66EB">
            <w:pPr>
              <w:rPr>
                <w:rFonts w:ascii="宋体"/>
                <w:vanish/>
              </w:rPr>
            </w:pPr>
          </w:p>
        </w:tc>
      </w:tr>
      <w:tr w:rsidR="003C66EB" w14:paraId="5EA25916" w14:textId="77777777">
        <w:trPr>
          <w:hidden/>
        </w:trPr>
        <w:tc>
          <w:tcPr>
            <w:tcW w:w="0" w:type="auto"/>
            <w:gridSpan w:val="3"/>
            <w:shd w:val="clear" w:color="auto" w:fill="auto"/>
          </w:tcPr>
          <w:p w14:paraId="5EA2590E" w14:textId="77777777" w:rsidR="003C66EB" w:rsidRDefault="003C66EB">
            <w:pPr>
              <w:rPr>
                <w:rFonts w:ascii="宋体"/>
                <w:vanish/>
              </w:rPr>
            </w:pPr>
          </w:p>
        </w:tc>
        <w:tc>
          <w:tcPr>
            <w:tcW w:w="0" w:type="auto"/>
            <w:gridSpan w:val="3"/>
            <w:shd w:val="clear" w:color="auto" w:fill="auto"/>
          </w:tcPr>
          <w:p w14:paraId="5EA2590F" w14:textId="77777777" w:rsidR="003C66EB" w:rsidRDefault="003C66EB">
            <w:pPr>
              <w:rPr>
                <w:rFonts w:ascii="宋体"/>
                <w:vanish/>
              </w:rPr>
            </w:pPr>
          </w:p>
        </w:tc>
        <w:tc>
          <w:tcPr>
            <w:tcW w:w="0" w:type="auto"/>
            <w:gridSpan w:val="3"/>
            <w:shd w:val="clear" w:color="auto" w:fill="auto"/>
          </w:tcPr>
          <w:p w14:paraId="5EA25910" w14:textId="77777777" w:rsidR="003C66EB" w:rsidRDefault="003C66EB">
            <w:pPr>
              <w:rPr>
                <w:rFonts w:ascii="宋体"/>
                <w:vanish/>
              </w:rPr>
            </w:pPr>
          </w:p>
        </w:tc>
        <w:tc>
          <w:tcPr>
            <w:tcW w:w="0" w:type="auto"/>
            <w:gridSpan w:val="3"/>
            <w:shd w:val="clear" w:color="auto" w:fill="auto"/>
          </w:tcPr>
          <w:p w14:paraId="5EA25911" w14:textId="77777777" w:rsidR="003C66EB" w:rsidRDefault="003C66EB">
            <w:pPr>
              <w:rPr>
                <w:rFonts w:ascii="宋体"/>
                <w:vanish/>
              </w:rPr>
            </w:pPr>
          </w:p>
        </w:tc>
        <w:tc>
          <w:tcPr>
            <w:tcW w:w="0" w:type="auto"/>
            <w:gridSpan w:val="3"/>
            <w:shd w:val="clear" w:color="auto" w:fill="auto"/>
          </w:tcPr>
          <w:p w14:paraId="5EA25912" w14:textId="77777777" w:rsidR="003C66EB" w:rsidRDefault="003C66EB">
            <w:pPr>
              <w:rPr>
                <w:rFonts w:ascii="宋体"/>
                <w:vanish/>
              </w:rPr>
            </w:pPr>
          </w:p>
        </w:tc>
        <w:tc>
          <w:tcPr>
            <w:tcW w:w="0" w:type="auto"/>
            <w:gridSpan w:val="3"/>
            <w:shd w:val="clear" w:color="auto" w:fill="auto"/>
          </w:tcPr>
          <w:p w14:paraId="5EA25913" w14:textId="77777777" w:rsidR="003C66EB" w:rsidRDefault="003C66EB">
            <w:pPr>
              <w:rPr>
                <w:rFonts w:ascii="宋体"/>
                <w:vanish/>
              </w:rPr>
            </w:pPr>
          </w:p>
        </w:tc>
        <w:tc>
          <w:tcPr>
            <w:tcW w:w="0" w:type="auto"/>
            <w:gridSpan w:val="3"/>
            <w:shd w:val="clear" w:color="auto" w:fill="auto"/>
          </w:tcPr>
          <w:p w14:paraId="5EA25914" w14:textId="77777777" w:rsidR="003C66EB" w:rsidRDefault="003C66EB">
            <w:pPr>
              <w:rPr>
                <w:rFonts w:ascii="宋体"/>
                <w:vanish/>
              </w:rPr>
            </w:pPr>
          </w:p>
        </w:tc>
        <w:tc>
          <w:tcPr>
            <w:tcW w:w="0" w:type="auto"/>
            <w:gridSpan w:val="3"/>
            <w:shd w:val="clear" w:color="auto" w:fill="auto"/>
          </w:tcPr>
          <w:p w14:paraId="5EA25915" w14:textId="77777777" w:rsidR="003C66EB" w:rsidRDefault="003C66EB">
            <w:pPr>
              <w:rPr>
                <w:rFonts w:ascii="宋体"/>
                <w:vanish/>
              </w:rPr>
            </w:pPr>
          </w:p>
        </w:tc>
      </w:tr>
      <w:tr w:rsidR="003C66EB" w14:paraId="5EA25923" w14:textId="77777777">
        <w:tc>
          <w:tcPr>
            <w:tcW w:w="0" w:type="auto"/>
            <w:gridSpan w:val="3"/>
            <w:shd w:val="clear" w:color="auto" w:fill="FFFFFF"/>
            <w:tcMar>
              <w:top w:w="40" w:type="dxa"/>
              <w:left w:w="20" w:type="dxa"/>
              <w:bottom w:w="40" w:type="dxa"/>
              <w:right w:w="20" w:type="dxa"/>
            </w:tcMar>
            <w:vAlign w:val="bottom"/>
          </w:tcPr>
          <w:p w14:paraId="5EA25917" w14:textId="77777777" w:rsidR="003C66EB" w:rsidRDefault="00D96C4E">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5EA2591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91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1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1B"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91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1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1E" w14:textId="77777777" w:rsidR="003C66EB" w:rsidRDefault="00D96C4E">
            <w:pPr>
              <w:jc w:val="right"/>
              <w:textAlignment w:val="bottom"/>
            </w:pPr>
            <w:r>
              <w:rPr>
                <w:rFonts w:ascii="Arial" w:eastAsia="宋体" w:hAnsi="Arial" w:cs="Arial"/>
                <w:b/>
                <w:bCs/>
                <w:color w:val="000000"/>
                <w:sz w:val="15"/>
                <w:szCs w:val="15"/>
              </w:rPr>
              <w:t>181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91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2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21" w14:textId="77777777" w:rsidR="003C66EB" w:rsidRDefault="00D96C4E">
            <w:pPr>
              <w:jc w:val="right"/>
              <w:textAlignment w:val="bottom"/>
            </w:pPr>
            <w:r>
              <w:rPr>
                <w:rFonts w:ascii="Arial" w:eastAsia="宋体" w:hAnsi="Arial" w:cs="Arial"/>
                <w:color w:val="000000"/>
                <w:sz w:val="15"/>
                <w:szCs w:val="15"/>
              </w:rPr>
              <w:t>157 </w:t>
            </w:r>
          </w:p>
        </w:tc>
        <w:tc>
          <w:tcPr>
            <w:tcW w:w="0" w:type="auto"/>
            <w:shd w:val="clear" w:color="auto" w:fill="FFFFFF"/>
            <w:tcMar>
              <w:top w:w="40" w:type="dxa"/>
              <w:left w:w="0" w:type="dxa"/>
              <w:bottom w:w="40" w:type="dxa"/>
              <w:right w:w="20" w:type="dxa"/>
            </w:tcMar>
            <w:vAlign w:val="bottom"/>
          </w:tcPr>
          <w:p w14:paraId="5EA25922" w14:textId="77777777" w:rsidR="003C66EB" w:rsidRDefault="003C66EB">
            <w:pPr>
              <w:jc w:val="right"/>
              <w:rPr>
                <w:rFonts w:ascii="宋体"/>
              </w:rPr>
            </w:pPr>
          </w:p>
        </w:tc>
      </w:tr>
      <w:tr w:rsidR="003C66EB" w14:paraId="5EA25934" w14:textId="77777777">
        <w:tc>
          <w:tcPr>
            <w:tcW w:w="0" w:type="auto"/>
            <w:gridSpan w:val="3"/>
            <w:shd w:val="clear" w:color="auto" w:fill="CCEEFF"/>
            <w:tcMar>
              <w:top w:w="40" w:type="dxa"/>
              <w:left w:w="20" w:type="dxa"/>
              <w:bottom w:w="40" w:type="dxa"/>
              <w:right w:w="20" w:type="dxa"/>
            </w:tcMar>
            <w:vAlign w:val="bottom"/>
          </w:tcPr>
          <w:p w14:paraId="5EA25924" w14:textId="77777777" w:rsidR="003C66EB" w:rsidRDefault="00D96C4E">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925"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926" w14:textId="77777777" w:rsidR="003C66EB" w:rsidRDefault="00D96C4E">
            <w:pPr>
              <w:jc w:val="right"/>
              <w:textAlignment w:val="bottom"/>
            </w:pPr>
            <w:r>
              <w:rPr>
                <w:rFonts w:ascii="Arial" w:eastAsia="宋体" w:hAnsi="Arial" w:cs="Arial"/>
                <w:b/>
                <w:bCs/>
                <w:color w:val="000000"/>
                <w:sz w:val="15"/>
                <w:szCs w:val="15"/>
              </w:rPr>
              <w:t>21,776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9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2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92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92A" w14:textId="77777777" w:rsidR="003C66EB" w:rsidRDefault="00D96C4E">
            <w:pPr>
              <w:jc w:val="right"/>
              <w:textAlignment w:val="bottom"/>
            </w:pPr>
            <w:r>
              <w:rPr>
                <w:rFonts w:ascii="Arial" w:eastAsia="宋体" w:hAnsi="Arial" w:cs="Arial"/>
                <w:color w:val="000000"/>
                <w:sz w:val="15"/>
                <w:szCs w:val="15"/>
              </w:rPr>
              <w:t>25,939 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92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2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92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92E" w14:textId="77777777" w:rsidR="003C66EB" w:rsidRDefault="00D96C4E">
            <w:pPr>
              <w:jc w:val="right"/>
              <w:textAlignment w:val="bottom"/>
            </w:pPr>
            <w:r>
              <w:rPr>
                <w:rFonts w:ascii="Arial" w:eastAsia="宋体" w:hAnsi="Arial" w:cs="Arial"/>
                <w:b/>
                <w:bCs/>
                <w:color w:val="000000"/>
                <w:sz w:val="15"/>
                <w:szCs w:val="15"/>
              </w:rPr>
              <w:t>22,225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92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3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93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932" w14:textId="77777777" w:rsidR="003C66EB" w:rsidRDefault="00D96C4E">
            <w:pPr>
              <w:jc w:val="right"/>
              <w:textAlignment w:val="bottom"/>
            </w:pPr>
            <w:r>
              <w:rPr>
                <w:rFonts w:ascii="Arial" w:eastAsia="宋体" w:hAnsi="Arial" w:cs="Arial"/>
                <w:color w:val="000000"/>
                <w:sz w:val="15"/>
                <w:szCs w:val="15"/>
              </w:rPr>
              <w:t>25,968 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933" w14:textId="77777777" w:rsidR="003C66EB" w:rsidRDefault="003C66EB">
            <w:pPr>
              <w:jc w:val="right"/>
              <w:rPr>
                <w:rFonts w:ascii="宋体"/>
              </w:rPr>
            </w:pPr>
          </w:p>
        </w:tc>
      </w:tr>
      <w:tr w:rsidR="003C66EB" w14:paraId="5EA2593D" w14:textId="77777777">
        <w:trPr>
          <w:trHeight w:val="120"/>
        </w:trPr>
        <w:tc>
          <w:tcPr>
            <w:tcW w:w="0" w:type="auto"/>
            <w:gridSpan w:val="3"/>
            <w:shd w:val="clear" w:color="auto" w:fill="auto"/>
            <w:tcMar>
              <w:top w:w="0" w:type="dxa"/>
              <w:left w:w="20" w:type="dxa"/>
              <w:bottom w:w="0" w:type="dxa"/>
              <w:right w:w="20" w:type="dxa"/>
            </w:tcMar>
          </w:tcPr>
          <w:p w14:paraId="5EA25935"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93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37"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93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39"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93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3B"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593C" w14:textId="77777777" w:rsidR="003C66EB" w:rsidRDefault="003C66EB">
            <w:pPr>
              <w:rPr>
                <w:rFonts w:ascii="宋体"/>
              </w:rPr>
            </w:pPr>
          </w:p>
        </w:tc>
      </w:tr>
      <w:tr w:rsidR="003C66EB" w14:paraId="5EA25946" w14:textId="77777777">
        <w:tc>
          <w:tcPr>
            <w:tcW w:w="0" w:type="auto"/>
            <w:gridSpan w:val="3"/>
            <w:shd w:val="clear" w:color="auto" w:fill="auto"/>
            <w:tcMar>
              <w:top w:w="40" w:type="dxa"/>
              <w:left w:w="20" w:type="dxa"/>
              <w:bottom w:w="40" w:type="dxa"/>
              <w:right w:w="20" w:type="dxa"/>
            </w:tcMar>
            <w:vAlign w:val="bottom"/>
          </w:tcPr>
          <w:p w14:paraId="5EA2593E" w14:textId="77777777" w:rsidR="003C66EB" w:rsidRDefault="00D96C4E">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tcPr>
          <w:p w14:paraId="5EA2593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4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4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4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4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4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45" w14:textId="77777777" w:rsidR="003C66EB" w:rsidRDefault="003C66EB">
            <w:pPr>
              <w:rPr>
                <w:rFonts w:ascii="宋体"/>
              </w:rPr>
            </w:pPr>
          </w:p>
        </w:tc>
      </w:tr>
      <w:tr w:rsidR="003C66EB" w14:paraId="5EA25957" w14:textId="77777777">
        <w:tc>
          <w:tcPr>
            <w:tcW w:w="0" w:type="auto"/>
            <w:gridSpan w:val="3"/>
            <w:shd w:val="clear" w:color="auto" w:fill="CCEEFF"/>
            <w:tcMar>
              <w:top w:w="40" w:type="dxa"/>
              <w:left w:w="20" w:type="dxa"/>
              <w:bottom w:w="40" w:type="dxa"/>
              <w:right w:w="20" w:type="dxa"/>
            </w:tcMar>
            <w:vAlign w:val="bottom"/>
          </w:tcPr>
          <w:p w14:paraId="5EA25947"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5948"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949" w14:textId="77777777" w:rsidR="003C66EB" w:rsidRDefault="00D96C4E">
            <w:pPr>
              <w:jc w:val="right"/>
              <w:textAlignment w:val="bottom"/>
            </w:pPr>
            <w:r>
              <w:rPr>
                <w:rFonts w:ascii="Arial" w:eastAsia="宋体" w:hAnsi="Arial" w:cs="Arial"/>
                <w:b/>
                <w:bCs/>
                <w:color w:val="000000"/>
                <w:sz w:val="15"/>
                <w:szCs w:val="15"/>
              </w:rPr>
              <w:t>122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94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4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94C"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94D" w14:textId="77777777" w:rsidR="003C66EB" w:rsidRDefault="00D96C4E">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A2594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4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950"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5951"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59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5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954"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5955" w14:textId="77777777" w:rsidR="003C66EB" w:rsidRDefault="00D96C4E">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5EA25956" w14:textId="77777777" w:rsidR="003C66EB" w:rsidRDefault="003C66EB">
            <w:pPr>
              <w:jc w:val="right"/>
              <w:rPr>
                <w:rFonts w:ascii="宋体"/>
              </w:rPr>
            </w:pPr>
          </w:p>
        </w:tc>
      </w:tr>
      <w:tr w:rsidR="003C66EB" w14:paraId="5EA25964" w14:textId="77777777">
        <w:tc>
          <w:tcPr>
            <w:tcW w:w="0" w:type="auto"/>
            <w:gridSpan w:val="3"/>
            <w:shd w:val="clear" w:color="auto" w:fill="FFFFFF"/>
            <w:tcMar>
              <w:top w:w="40" w:type="dxa"/>
              <w:left w:w="20" w:type="dxa"/>
              <w:bottom w:w="40" w:type="dxa"/>
              <w:right w:w="20" w:type="dxa"/>
            </w:tcMar>
            <w:vAlign w:val="bottom"/>
          </w:tcPr>
          <w:p w14:paraId="5EA25958" w14:textId="77777777" w:rsidR="003C66EB" w:rsidRDefault="00D96C4E">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A25959"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9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5C"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A259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5F" w14:textId="77777777" w:rsidR="003C66EB" w:rsidRDefault="00D96C4E">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59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6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62" w14:textId="77777777" w:rsidR="003C66EB" w:rsidRDefault="00D96C4E">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A25963" w14:textId="77777777" w:rsidR="003C66EB" w:rsidRDefault="003C66EB">
            <w:pPr>
              <w:jc w:val="right"/>
              <w:rPr>
                <w:rFonts w:ascii="宋体"/>
              </w:rPr>
            </w:pPr>
          </w:p>
        </w:tc>
      </w:tr>
      <w:tr w:rsidR="003C66EB" w14:paraId="5EA25975" w14:textId="77777777">
        <w:tc>
          <w:tcPr>
            <w:tcW w:w="0" w:type="auto"/>
            <w:gridSpan w:val="3"/>
            <w:shd w:val="clear" w:color="auto" w:fill="CCEEFF"/>
            <w:tcMar>
              <w:top w:w="40" w:type="dxa"/>
              <w:left w:w="20" w:type="dxa"/>
              <w:bottom w:w="40" w:type="dxa"/>
              <w:right w:w="20" w:type="dxa"/>
            </w:tcMar>
            <w:vAlign w:val="bottom"/>
          </w:tcPr>
          <w:p w14:paraId="5EA25965" w14:textId="77777777" w:rsidR="003C66EB" w:rsidRDefault="00D96C4E">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966"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967" w14:textId="77777777" w:rsidR="003C66EB" w:rsidRDefault="00D96C4E">
            <w:pPr>
              <w:jc w:val="right"/>
              <w:textAlignment w:val="bottom"/>
            </w:pPr>
            <w:r>
              <w:rPr>
                <w:rFonts w:ascii="Arial" w:eastAsia="宋体" w:hAnsi="Arial" w:cs="Arial"/>
                <w:b/>
                <w:bCs/>
                <w:color w:val="000000"/>
                <w:sz w:val="15"/>
                <w:szCs w:val="15"/>
              </w:rPr>
              <w:t>123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96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6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96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96B" w14:textId="77777777" w:rsidR="003C66EB" w:rsidRDefault="00D96C4E">
            <w:pPr>
              <w:jc w:val="right"/>
              <w:textAlignment w:val="bottom"/>
            </w:pPr>
            <w:r>
              <w:rPr>
                <w:rFonts w:ascii="Arial" w:eastAsia="宋体" w:hAnsi="Arial" w:cs="Arial"/>
                <w:color w:val="000000"/>
                <w:sz w:val="15"/>
                <w:szCs w:val="15"/>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9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6D"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96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96F" w14:textId="77777777" w:rsidR="003C66EB" w:rsidRDefault="00D96C4E">
            <w:pPr>
              <w:jc w:val="right"/>
              <w:textAlignment w:val="bottom"/>
            </w:pPr>
            <w:r>
              <w:rPr>
                <w:rFonts w:ascii="Arial" w:eastAsia="宋体" w:hAnsi="Arial" w:cs="Arial"/>
                <w:b/>
                <w:bCs/>
                <w:color w:val="000000"/>
                <w:sz w:val="15"/>
                <w:szCs w:val="15"/>
              </w:rPr>
              <w:t>36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9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71"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97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973" w14:textId="77777777" w:rsidR="003C66EB" w:rsidRDefault="00D96C4E">
            <w:pPr>
              <w:jc w:val="right"/>
              <w:textAlignment w:val="bottom"/>
            </w:pPr>
            <w:r>
              <w:rPr>
                <w:rFonts w:ascii="Arial" w:eastAsia="宋体" w:hAnsi="Arial" w:cs="Arial"/>
                <w:color w:val="000000"/>
                <w:sz w:val="15"/>
                <w:szCs w:val="15"/>
              </w:rPr>
              <w:t>158 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974" w14:textId="77777777" w:rsidR="003C66EB" w:rsidRDefault="003C66EB">
            <w:pPr>
              <w:jc w:val="right"/>
              <w:rPr>
                <w:rFonts w:ascii="宋体"/>
              </w:rPr>
            </w:pPr>
          </w:p>
        </w:tc>
      </w:tr>
    </w:tbl>
    <w:p w14:paraId="5EA25976"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3C66EB" w14:paraId="5EA25980" w14:textId="77777777">
        <w:tc>
          <w:tcPr>
            <w:tcW w:w="50" w:type="pct"/>
            <w:shd w:val="clear" w:color="auto" w:fill="auto"/>
          </w:tcPr>
          <w:p w14:paraId="5EA25977" w14:textId="77777777" w:rsidR="003C66EB" w:rsidRDefault="003C66EB">
            <w:pPr>
              <w:rPr>
                <w:rFonts w:ascii="宋体"/>
              </w:rPr>
            </w:pPr>
          </w:p>
        </w:tc>
        <w:tc>
          <w:tcPr>
            <w:tcW w:w="1348" w:type="pct"/>
            <w:shd w:val="clear" w:color="auto" w:fill="auto"/>
          </w:tcPr>
          <w:p w14:paraId="5EA25978" w14:textId="77777777" w:rsidR="003C66EB" w:rsidRDefault="003C66EB">
            <w:pPr>
              <w:rPr>
                <w:rFonts w:ascii="宋体"/>
              </w:rPr>
            </w:pPr>
          </w:p>
        </w:tc>
        <w:tc>
          <w:tcPr>
            <w:tcW w:w="5" w:type="pct"/>
            <w:shd w:val="clear" w:color="auto" w:fill="auto"/>
          </w:tcPr>
          <w:p w14:paraId="5EA25979" w14:textId="77777777" w:rsidR="003C66EB" w:rsidRDefault="003C66EB">
            <w:pPr>
              <w:rPr>
                <w:rFonts w:ascii="宋体"/>
              </w:rPr>
            </w:pPr>
          </w:p>
        </w:tc>
        <w:tc>
          <w:tcPr>
            <w:tcW w:w="50" w:type="pct"/>
            <w:shd w:val="clear" w:color="auto" w:fill="auto"/>
          </w:tcPr>
          <w:p w14:paraId="5EA2597A" w14:textId="77777777" w:rsidR="003C66EB" w:rsidRDefault="003C66EB">
            <w:pPr>
              <w:rPr>
                <w:rFonts w:ascii="宋体"/>
              </w:rPr>
            </w:pPr>
          </w:p>
        </w:tc>
        <w:tc>
          <w:tcPr>
            <w:tcW w:w="2379" w:type="pct"/>
            <w:shd w:val="clear" w:color="auto" w:fill="auto"/>
          </w:tcPr>
          <w:p w14:paraId="5EA2597B" w14:textId="77777777" w:rsidR="003C66EB" w:rsidRDefault="003C66EB">
            <w:pPr>
              <w:rPr>
                <w:rFonts w:ascii="宋体"/>
              </w:rPr>
            </w:pPr>
          </w:p>
        </w:tc>
        <w:tc>
          <w:tcPr>
            <w:tcW w:w="5" w:type="pct"/>
            <w:shd w:val="clear" w:color="auto" w:fill="auto"/>
          </w:tcPr>
          <w:p w14:paraId="5EA2597C" w14:textId="77777777" w:rsidR="003C66EB" w:rsidRDefault="003C66EB">
            <w:pPr>
              <w:rPr>
                <w:rFonts w:ascii="宋体"/>
              </w:rPr>
            </w:pPr>
          </w:p>
        </w:tc>
        <w:tc>
          <w:tcPr>
            <w:tcW w:w="50" w:type="pct"/>
            <w:shd w:val="clear" w:color="auto" w:fill="auto"/>
          </w:tcPr>
          <w:p w14:paraId="5EA2597D" w14:textId="77777777" w:rsidR="003C66EB" w:rsidRDefault="003C66EB">
            <w:pPr>
              <w:rPr>
                <w:rFonts w:ascii="宋体"/>
              </w:rPr>
            </w:pPr>
          </w:p>
        </w:tc>
        <w:tc>
          <w:tcPr>
            <w:tcW w:w="1107" w:type="pct"/>
            <w:shd w:val="clear" w:color="auto" w:fill="auto"/>
          </w:tcPr>
          <w:p w14:paraId="5EA2597E" w14:textId="77777777" w:rsidR="003C66EB" w:rsidRDefault="003C66EB">
            <w:pPr>
              <w:rPr>
                <w:rFonts w:ascii="宋体"/>
              </w:rPr>
            </w:pPr>
          </w:p>
        </w:tc>
        <w:tc>
          <w:tcPr>
            <w:tcW w:w="5" w:type="pct"/>
            <w:shd w:val="clear" w:color="auto" w:fill="auto"/>
          </w:tcPr>
          <w:p w14:paraId="5EA2597F" w14:textId="77777777" w:rsidR="003C66EB" w:rsidRDefault="003C66EB">
            <w:pPr>
              <w:rPr>
                <w:rFonts w:ascii="宋体"/>
              </w:rPr>
            </w:pPr>
          </w:p>
        </w:tc>
      </w:tr>
      <w:tr w:rsidR="003C66EB" w14:paraId="5EA2598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98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8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83" w14:textId="77777777" w:rsidR="003C66EB" w:rsidRDefault="003C66EB">
            <w:pPr>
              <w:rPr>
                <w:rFonts w:ascii="宋体"/>
              </w:rPr>
            </w:pPr>
          </w:p>
        </w:tc>
      </w:tr>
    </w:tbl>
    <w:p w14:paraId="5EA25985" w14:textId="77777777" w:rsidR="003C66EB" w:rsidRDefault="00D96C4E">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5EA25986" w14:textId="77777777" w:rsidR="003C66EB" w:rsidRDefault="00D96C4E">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5EA25987" w14:textId="77777777" w:rsidR="003C66EB" w:rsidRDefault="003C66EB">
      <w:pPr>
        <w:spacing w:before="20"/>
        <w:jc w:val="both"/>
      </w:pPr>
    </w:p>
    <w:p w14:paraId="5EA25988" w14:textId="77777777" w:rsidR="003C66EB" w:rsidRDefault="00D96C4E">
      <w:pPr>
        <w:ind w:firstLine="450"/>
        <w:jc w:val="right"/>
      </w:pPr>
      <w:r>
        <w:rPr>
          <w:rFonts w:ascii="Arial" w:eastAsia="宋体" w:hAnsi="Arial" w:cs="Arial"/>
          <w:color w:val="000000"/>
          <w:sz w:val="18"/>
          <w:szCs w:val="18"/>
        </w:rPr>
        <w:t>State Street Corporation | 69</w:t>
      </w:r>
    </w:p>
    <w:p w14:paraId="5EA25989" w14:textId="77777777" w:rsidR="003C66EB" w:rsidRDefault="003C66EB">
      <w:pPr>
        <w:ind w:firstLine="450"/>
        <w:jc w:val="center"/>
      </w:pPr>
    </w:p>
    <w:p w14:paraId="5EA2598A" w14:textId="77777777" w:rsidR="003C66EB" w:rsidRDefault="00D96C4E">
      <w:r>
        <w:pict w14:anchorId="5EA287F5">
          <v:rect id="_x0000_i1093" style="width:415.3pt;height:1.5pt" o:hralign="center" o:hrstd="t" o:hr="t" fillcolor="#a0a0a0" stroked="f"/>
        </w:pict>
      </w:r>
    </w:p>
    <w:p w14:paraId="5EA2598B" w14:textId="77777777" w:rsidR="003C66EB" w:rsidRDefault="00D96C4E">
      <w:pPr>
        <w:ind w:firstLine="450"/>
        <w:jc w:val="center"/>
      </w:pPr>
      <w:r>
        <w:rPr>
          <w:rFonts w:ascii="Arial" w:eastAsia="宋体" w:hAnsi="Arial" w:cs="Arial"/>
          <w:b/>
          <w:bCs/>
          <w:color w:val="000000"/>
          <w:sz w:val="20"/>
          <w:szCs w:val="20"/>
        </w:rPr>
        <w:t>STATE STREET CORP</w:t>
      </w:r>
      <w:r>
        <w:rPr>
          <w:rFonts w:ascii="Arial" w:eastAsia="宋体" w:hAnsi="Arial" w:cs="Arial"/>
          <w:b/>
          <w:bCs/>
          <w:color w:val="000000"/>
          <w:sz w:val="20"/>
          <w:szCs w:val="20"/>
        </w:rPr>
        <w:t>ORATION</w:t>
      </w:r>
    </w:p>
    <w:p w14:paraId="5EA2598C"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598D" w14:textId="77777777" w:rsidR="003C66EB" w:rsidRDefault="00D96C4E">
      <w:pPr>
        <w:ind w:firstLine="450"/>
        <w:jc w:val="center"/>
      </w:pPr>
      <w:r>
        <w:rPr>
          <w:rFonts w:ascii="Arial" w:eastAsia="宋体" w:hAnsi="Arial" w:cs="Arial"/>
          <w:b/>
          <w:bCs/>
          <w:color w:val="000000"/>
          <w:sz w:val="20"/>
          <w:szCs w:val="20"/>
        </w:rPr>
        <w:t>(UNAUDITED)</w:t>
      </w:r>
    </w:p>
    <w:p w14:paraId="5EA2598E" w14:textId="77777777" w:rsidR="003C66EB" w:rsidRDefault="00D96C4E">
      <w:pPr>
        <w:ind w:firstLine="450"/>
        <w:jc w:val="both"/>
      </w:pPr>
      <w:r>
        <w:rPr>
          <w:rFonts w:ascii="Arial" w:eastAsia="宋体" w:hAnsi="Arial" w:cs="Arial"/>
          <w:color w:val="000000"/>
          <w:sz w:val="20"/>
          <w:szCs w:val="20"/>
        </w:rPr>
        <w:t>The following tables present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2786"/>
        <w:gridCol w:w="36"/>
        <w:gridCol w:w="58"/>
        <w:gridCol w:w="2766"/>
        <w:gridCol w:w="36"/>
        <w:gridCol w:w="110"/>
        <w:gridCol w:w="1007"/>
        <w:gridCol w:w="37"/>
        <w:gridCol w:w="37"/>
        <w:gridCol w:w="37"/>
        <w:gridCol w:w="36"/>
        <w:gridCol w:w="109"/>
        <w:gridCol w:w="980"/>
        <w:gridCol w:w="36"/>
        <w:gridCol w:w="36"/>
        <w:gridCol w:w="36"/>
        <w:gridCol w:w="36"/>
        <w:gridCol w:w="36"/>
        <w:gridCol w:w="36"/>
        <w:gridCol w:w="36"/>
      </w:tblGrid>
      <w:tr w:rsidR="003C66EB" w14:paraId="5EA259A0" w14:textId="77777777">
        <w:tc>
          <w:tcPr>
            <w:tcW w:w="50" w:type="pct"/>
            <w:shd w:val="clear" w:color="auto" w:fill="auto"/>
          </w:tcPr>
          <w:p w14:paraId="5EA2598F" w14:textId="77777777" w:rsidR="003C66EB" w:rsidRDefault="003C66EB">
            <w:pPr>
              <w:rPr>
                <w:rFonts w:ascii="宋体"/>
              </w:rPr>
            </w:pPr>
          </w:p>
        </w:tc>
        <w:tc>
          <w:tcPr>
            <w:tcW w:w="1735" w:type="pct"/>
            <w:shd w:val="clear" w:color="auto" w:fill="auto"/>
          </w:tcPr>
          <w:p w14:paraId="5EA25990" w14:textId="77777777" w:rsidR="003C66EB" w:rsidRDefault="003C66EB">
            <w:pPr>
              <w:rPr>
                <w:rFonts w:ascii="宋体"/>
              </w:rPr>
            </w:pPr>
          </w:p>
        </w:tc>
        <w:tc>
          <w:tcPr>
            <w:tcW w:w="5" w:type="pct"/>
            <w:shd w:val="clear" w:color="auto" w:fill="auto"/>
          </w:tcPr>
          <w:p w14:paraId="5EA25991" w14:textId="77777777" w:rsidR="003C66EB" w:rsidRDefault="003C66EB">
            <w:pPr>
              <w:rPr>
                <w:rFonts w:ascii="宋体"/>
              </w:rPr>
            </w:pPr>
          </w:p>
        </w:tc>
        <w:tc>
          <w:tcPr>
            <w:tcW w:w="50" w:type="pct"/>
            <w:shd w:val="clear" w:color="auto" w:fill="auto"/>
          </w:tcPr>
          <w:p w14:paraId="5EA25992" w14:textId="77777777" w:rsidR="003C66EB" w:rsidRDefault="003C66EB">
            <w:pPr>
              <w:rPr>
                <w:rFonts w:ascii="宋体"/>
              </w:rPr>
            </w:pPr>
          </w:p>
        </w:tc>
        <w:tc>
          <w:tcPr>
            <w:tcW w:w="1728" w:type="pct"/>
            <w:shd w:val="clear" w:color="auto" w:fill="auto"/>
          </w:tcPr>
          <w:p w14:paraId="5EA25993" w14:textId="77777777" w:rsidR="003C66EB" w:rsidRDefault="003C66EB">
            <w:pPr>
              <w:rPr>
                <w:rFonts w:ascii="宋体"/>
              </w:rPr>
            </w:pPr>
          </w:p>
        </w:tc>
        <w:tc>
          <w:tcPr>
            <w:tcW w:w="5" w:type="pct"/>
            <w:shd w:val="clear" w:color="auto" w:fill="auto"/>
          </w:tcPr>
          <w:p w14:paraId="5EA25994" w14:textId="77777777" w:rsidR="003C66EB" w:rsidRDefault="003C66EB">
            <w:pPr>
              <w:rPr>
                <w:rFonts w:ascii="宋体"/>
              </w:rPr>
            </w:pPr>
          </w:p>
        </w:tc>
        <w:tc>
          <w:tcPr>
            <w:tcW w:w="50" w:type="pct"/>
            <w:shd w:val="clear" w:color="auto" w:fill="auto"/>
          </w:tcPr>
          <w:p w14:paraId="5EA25995" w14:textId="77777777" w:rsidR="003C66EB" w:rsidRDefault="003C66EB">
            <w:pPr>
              <w:rPr>
                <w:rFonts w:ascii="宋体"/>
              </w:rPr>
            </w:pPr>
          </w:p>
        </w:tc>
        <w:tc>
          <w:tcPr>
            <w:tcW w:w="639" w:type="pct"/>
            <w:shd w:val="clear" w:color="auto" w:fill="auto"/>
          </w:tcPr>
          <w:p w14:paraId="5EA25996" w14:textId="77777777" w:rsidR="003C66EB" w:rsidRDefault="003C66EB">
            <w:pPr>
              <w:rPr>
                <w:rFonts w:ascii="宋体"/>
              </w:rPr>
            </w:pPr>
          </w:p>
        </w:tc>
        <w:tc>
          <w:tcPr>
            <w:tcW w:w="5" w:type="pct"/>
            <w:shd w:val="clear" w:color="auto" w:fill="auto"/>
          </w:tcPr>
          <w:p w14:paraId="5EA25997" w14:textId="77777777" w:rsidR="003C66EB" w:rsidRDefault="003C66EB">
            <w:pPr>
              <w:rPr>
                <w:rFonts w:ascii="宋体"/>
              </w:rPr>
            </w:pPr>
          </w:p>
        </w:tc>
        <w:tc>
          <w:tcPr>
            <w:tcW w:w="5" w:type="pct"/>
            <w:shd w:val="clear" w:color="auto" w:fill="auto"/>
          </w:tcPr>
          <w:p w14:paraId="5EA25998" w14:textId="77777777" w:rsidR="003C66EB" w:rsidRDefault="003C66EB">
            <w:pPr>
              <w:rPr>
                <w:rFonts w:ascii="宋体"/>
              </w:rPr>
            </w:pPr>
          </w:p>
        </w:tc>
        <w:tc>
          <w:tcPr>
            <w:tcW w:w="26" w:type="pct"/>
            <w:shd w:val="clear" w:color="auto" w:fill="auto"/>
          </w:tcPr>
          <w:p w14:paraId="5EA25999" w14:textId="77777777" w:rsidR="003C66EB" w:rsidRDefault="003C66EB">
            <w:pPr>
              <w:rPr>
                <w:rFonts w:ascii="宋体"/>
              </w:rPr>
            </w:pPr>
          </w:p>
        </w:tc>
        <w:tc>
          <w:tcPr>
            <w:tcW w:w="5" w:type="pct"/>
            <w:shd w:val="clear" w:color="auto" w:fill="auto"/>
          </w:tcPr>
          <w:p w14:paraId="5EA2599A" w14:textId="77777777" w:rsidR="003C66EB" w:rsidRDefault="003C66EB">
            <w:pPr>
              <w:rPr>
                <w:rFonts w:ascii="宋体"/>
              </w:rPr>
            </w:pPr>
          </w:p>
        </w:tc>
        <w:tc>
          <w:tcPr>
            <w:tcW w:w="50" w:type="pct"/>
            <w:shd w:val="clear" w:color="auto" w:fill="auto"/>
          </w:tcPr>
          <w:p w14:paraId="5EA2599B" w14:textId="77777777" w:rsidR="003C66EB" w:rsidRDefault="003C66EB">
            <w:pPr>
              <w:rPr>
                <w:rFonts w:ascii="宋体"/>
              </w:rPr>
            </w:pPr>
          </w:p>
        </w:tc>
        <w:tc>
          <w:tcPr>
            <w:tcW w:w="639" w:type="pct"/>
            <w:shd w:val="clear" w:color="auto" w:fill="auto"/>
          </w:tcPr>
          <w:p w14:paraId="5EA2599C" w14:textId="77777777" w:rsidR="003C66EB" w:rsidRDefault="003C66EB">
            <w:pPr>
              <w:rPr>
                <w:rFonts w:ascii="宋体"/>
              </w:rPr>
            </w:pPr>
          </w:p>
        </w:tc>
        <w:tc>
          <w:tcPr>
            <w:tcW w:w="5" w:type="pct"/>
            <w:shd w:val="clear" w:color="auto" w:fill="auto"/>
          </w:tcPr>
          <w:p w14:paraId="5EA2599D" w14:textId="77777777" w:rsidR="003C66EB" w:rsidRDefault="003C66EB">
            <w:pPr>
              <w:rPr>
                <w:rFonts w:ascii="宋体"/>
              </w:rPr>
            </w:pPr>
          </w:p>
        </w:tc>
        <w:tc>
          <w:tcPr>
            <w:tcW w:w="0" w:type="auto"/>
            <w:gridSpan w:val="3"/>
            <w:shd w:val="clear" w:color="auto" w:fill="auto"/>
          </w:tcPr>
          <w:p w14:paraId="5EA2599E" w14:textId="77777777" w:rsidR="003C66EB" w:rsidRDefault="003C66EB">
            <w:pPr>
              <w:rPr>
                <w:rFonts w:ascii="宋体"/>
                <w:vanish/>
              </w:rPr>
            </w:pPr>
          </w:p>
        </w:tc>
        <w:tc>
          <w:tcPr>
            <w:tcW w:w="0" w:type="auto"/>
            <w:gridSpan w:val="3"/>
            <w:shd w:val="clear" w:color="auto" w:fill="auto"/>
          </w:tcPr>
          <w:p w14:paraId="5EA2599F" w14:textId="77777777" w:rsidR="003C66EB" w:rsidRDefault="003C66EB">
            <w:pPr>
              <w:rPr>
                <w:rFonts w:ascii="宋体"/>
                <w:vanish/>
              </w:rPr>
            </w:pPr>
          </w:p>
        </w:tc>
      </w:tr>
      <w:tr w:rsidR="003C66EB" w14:paraId="5EA259AA" w14:textId="77777777">
        <w:tc>
          <w:tcPr>
            <w:tcW w:w="0" w:type="auto"/>
            <w:gridSpan w:val="3"/>
            <w:shd w:val="clear" w:color="auto" w:fill="auto"/>
            <w:tcMar>
              <w:top w:w="0" w:type="dxa"/>
              <w:left w:w="20" w:type="dxa"/>
              <w:bottom w:w="0" w:type="dxa"/>
              <w:right w:w="20" w:type="dxa"/>
            </w:tcMar>
          </w:tcPr>
          <w:p w14:paraId="5EA259A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9A2" w14:textId="77777777" w:rsidR="003C66EB" w:rsidRDefault="00D96C4E">
            <w:pPr>
              <w:jc w:val="center"/>
              <w:textAlignment w:val="bottom"/>
            </w:pPr>
            <w:r>
              <w:rPr>
                <w:rFonts w:ascii="Arial" w:eastAsia="宋体" w:hAnsi="Arial" w:cs="Arial"/>
                <w:b/>
                <w:bCs/>
                <w:color w:val="000000"/>
                <w:sz w:val="16"/>
                <w:szCs w:val="16"/>
              </w:rPr>
              <w:t>Location of Gain (Loss) on</w:t>
            </w:r>
            <w:r>
              <w:rPr>
                <w:rFonts w:ascii="Arial" w:eastAsia="宋体" w:hAnsi="Arial" w:cs="Arial"/>
                <w:b/>
                <w:bCs/>
                <w:color w:val="000000"/>
                <w:sz w:val="16"/>
                <w:szCs w:val="16"/>
              </w:rPr>
              <w:br/>
              <w:t>Derivative in Consolidated</w:t>
            </w:r>
            <w:r>
              <w:rPr>
                <w:rFonts w:ascii="Arial" w:eastAsia="宋体" w:hAnsi="Arial" w:cs="Arial"/>
                <w:b/>
                <w:bCs/>
                <w:color w:val="000000"/>
                <w:sz w:val="16"/>
                <w:szCs w:val="16"/>
              </w:rPr>
              <w:br/>
              <w:t>Statement of Income</w:t>
            </w: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EA259A3" w14:textId="77777777" w:rsidR="003C66EB" w:rsidRDefault="00D96C4E">
            <w:pPr>
              <w:jc w:val="center"/>
              <w:textAlignment w:val="bottom"/>
            </w:pPr>
            <w:r>
              <w:rPr>
                <w:rFonts w:ascii="Arial" w:eastAsia="宋体" w:hAnsi="Arial" w:cs="Arial"/>
                <w:b/>
                <w:bCs/>
                <w:color w:val="000000"/>
                <w:sz w:val="16"/>
                <w:szCs w:val="16"/>
              </w:rPr>
              <w:t>Amount of Gain (Loss) on Derivative Recognized in Consolidated Statement of Income</w:t>
            </w:r>
          </w:p>
        </w:tc>
        <w:tc>
          <w:tcPr>
            <w:tcW w:w="0" w:type="auto"/>
            <w:shd w:val="clear" w:color="auto" w:fill="auto"/>
          </w:tcPr>
          <w:p w14:paraId="5EA259A4" w14:textId="77777777" w:rsidR="003C66EB" w:rsidRDefault="003C66EB">
            <w:pPr>
              <w:rPr>
                <w:rFonts w:ascii="宋体"/>
              </w:rPr>
            </w:pPr>
          </w:p>
        </w:tc>
        <w:tc>
          <w:tcPr>
            <w:tcW w:w="0" w:type="auto"/>
            <w:shd w:val="clear" w:color="auto" w:fill="auto"/>
          </w:tcPr>
          <w:p w14:paraId="5EA259A5" w14:textId="77777777" w:rsidR="003C66EB" w:rsidRDefault="003C66EB">
            <w:pPr>
              <w:rPr>
                <w:rFonts w:ascii="宋体"/>
              </w:rPr>
            </w:pPr>
          </w:p>
        </w:tc>
        <w:tc>
          <w:tcPr>
            <w:tcW w:w="0" w:type="auto"/>
            <w:shd w:val="clear" w:color="auto" w:fill="auto"/>
          </w:tcPr>
          <w:p w14:paraId="5EA259A6" w14:textId="77777777" w:rsidR="003C66EB" w:rsidRDefault="003C66EB">
            <w:pPr>
              <w:rPr>
                <w:rFonts w:ascii="宋体"/>
              </w:rPr>
            </w:pPr>
          </w:p>
        </w:tc>
        <w:tc>
          <w:tcPr>
            <w:tcW w:w="0" w:type="auto"/>
            <w:shd w:val="clear" w:color="auto" w:fill="auto"/>
          </w:tcPr>
          <w:p w14:paraId="5EA259A7" w14:textId="77777777" w:rsidR="003C66EB" w:rsidRDefault="003C66EB">
            <w:pPr>
              <w:rPr>
                <w:rFonts w:ascii="宋体"/>
              </w:rPr>
            </w:pPr>
          </w:p>
        </w:tc>
        <w:tc>
          <w:tcPr>
            <w:tcW w:w="0" w:type="auto"/>
            <w:shd w:val="clear" w:color="auto" w:fill="auto"/>
          </w:tcPr>
          <w:p w14:paraId="5EA259A8" w14:textId="77777777" w:rsidR="003C66EB" w:rsidRDefault="003C66EB">
            <w:pPr>
              <w:rPr>
                <w:rFonts w:ascii="宋体"/>
              </w:rPr>
            </w:pPr>
          </w:p>
        </w:tc>
        <w:tc>
          <w:tcPr>
            <w:tcW w:w="0" w:type="auto"/>
            <w:shd w:val="clear" w:color="auto" w:fill="auto"/>
          </w:tcPr>
          <w:p w14:paraId="5EA259A9" w14:textId="77777777" w:rsidR="003C66EB" w:rsidRDefault="003C66EB">
            <w:pPr>
              <w:rPr>
                <w:rFonts w:ascii="宋体"/>
              </w:rPr>
            </w:pPr>
          </w:p>
        </w:tc>
      </w:tr>
      <w:tr w:rsidR="003C66EB" w14:paraId="5EA259B4" w14:textId="77777777">
        <w:tc>
          <w:tcPr>
            <w:tcW w:w="0" w:type="auto"/>
            <w:gridSpan w:val="3"/>
            <w:shd w:val="clear" w:color="auto" w:fill="auto"/>
            <w:tcMar>
              <w:top w:w="0" w:type="dxa"/>
              <w:left w:w="20" w:type="dxa"/>
              <w:bottom w:w="0" w:type="dxa"/>
              <w:right w:w="20" w:type="dxa"/>
            </w:tcMar>
          </w:tcPr>
          <w:p w14:paraId="5EA259A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9AC"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9AD" w14:textId="77777777" w:rsidR="003C66EB" w:rsidRDefault="00D96C4E">
            <w:pPr>
              <w:jc w:val="center"/>
              <w:textAlignment w:val="bottom"/>
            </w:pPr>
            <w:r>
              <w:rPr>
                <w:rFonts w:ascii="Arial" w:eastAsia="宋体" w:hAnsi="Arial" w:cs="Arial"/>
                <w:b/>
                <w:bCs/>
                <w:color w:val="000000"/>
                <w:sz w:val="16"/>
                <w:szCs w:val="16"/>
              </w:rPr>
              <w:t>Three Months Ended March 31,</w:t>
            </w:r>
          </w:p>
        </w:tc>
        <w:tc>
          <w:tcPr>
            <w:tcW w:w="0" w:type="auto"/>
            <w:shd w:val="clear" w:color="auto" w:fill="auto"/>
          </w:tcPr>
          <w:p w14:paraId="5EA259AE" w14:textId="77777777" w:rsidR="003C66EB" w:rsidRDefault="003C66EB">
            <w:pPr>
              <w:rPr>
                <w:rFonts w:ascii="宋体"/>
              </w:rPr>
            </w:pPr>
          </w:p>
        </w:tc>
        <w:tc>
          <w:tcPr>
            <w:tcW w:w="0" w:type="auto"/>
            <w:shd w:val="clear" w:color="auto" w:fill="auto"/>
          </w:tcPr>
          <w:p w14:paraId="5EA259AF" w14:textId="77777777" w:rsidR="003C66EB" w:rsidRDefault="003C66EB">
            <w:pPr>
              <w:rPr>
                <w:rFonts w:ascii="宋体"/>
              </w:rPr>
            </w:pPr>
          </w:p>
        </w:tc>
        <w:tc>
          <w:tcPr>
            <w:tcW w:w="0" w:type="auto"/>
            <w:shd w:val="clear" w:color="auto" w:fill="auto"/>
          </w:tcPr>
          <w:p w14:paraId="5EA259B0" w14:textId="77777777" w:rsidR="003C66EB" w:rsidRDefault="003C66EB">
            <w:pPr>
              <w:rPr>
                <w:rFonts w:ascii="宋体"/>
              </w:rPr>
            </w:pPr>
          </w:p>
        </w:tc>
        <w:tc>
          <w:tcPr>
            <w:tcW w:w="0" w:type="auto"/>
            <w:shd w:val="clear" w:color="auto" w:fill="auto"/>
          </w:tcPr>
          <w:p w14:paraId="5EA259B1" w14:textId="77777777" w:rsidR="003C66EB" w:rsidRDefault="003C66EB">
            <w:pPr>
              <w:rPr>
                <w:rFonts w:ascii="宋体"/>
              </w:rPr>
            </w:pPr>
          </w:p>
        </w:tc>
        <w:tc>
          <w:tcPr>
            <w:tcW w:w="0" w:type="auto"/>
            <w:shd w:val="clear" w:color="auto" w:fill="auto"/>
          </w:tcPr>
          <w:p w14:paraId="5EA259B2" w14:textId="77777777" w:rsidR="003C66EB" w:rsidRDefault="003C66EB">
            <w:pPr>
              <w:rPr>
                <w:rFonts w:ascii="宋体"/>
              </w:rPr>
            </w:pPr>
          </w:p>
        </w:tc>
        <w:tc>
          <w:tcPr>
            <w:tcW w:w="0" w:type="auto"/>
            <w:shd w:val="clear" w:color="auto" w:fill="auto"/>
          </w:tcPr>
          <w:p w14:paraId="5EA259B3" w14:textId="77777777" w:rsidR="003C66EB" w:rsidRDefault="003C66EB">
            <w:pPr>
              <w:rPr>
                <w:rFonts w:ascii="宋体"/>
              </w:rPr>
            </w:pPr>
          </w:p>
        </w:tc>
      </w:tr>
      <w:tr w:rsidR="003C66EB" w14:paraId="5EA259BC" w14:textId="77777777">
        <w:tc>
          <w:tcPr>
            <w:tcW w:w="0" w:type="auto"/>
            <w:gridSpan w:val="3"/>
            <w:shd w:val="clear" w:color="auto" w:fill="auto"/>
            <w:tcMar>
              <w:top w:w="40" w:type="dxa"/>
              <w:left w:w="20" w:type="dxa"/>
              <w:bottom w:w="40" w:type="dxa"/>
              <w:right w:w="20" w:type="dxa"/>
            </w:tcMar>
            <w:vAlign w:val="bottom"/>
          </w:tcPr>
          <w:p w14:paraId="5EA259B5" w14:textId="77777777" w:rsidR="003C66EB" w:rsidRDefault="00D96C4E">
            <w:pPr>
              <w:textAlignment w:val="bottom"/>
            </w:pPr>
            <w:r>
              <w:rPr>
                <w:rFonts w:ascii="Arial" w:eastAsia="宋体" w:hAnsi="Arial" w:cs="Arial"/>
                <w:b/>
                <w:bCs/>
                <w:color w:val="000000"/>
                <w:sz w:val="16"/>
                <w:szCs w:val="16"/>
              </w:rPr>
              <w:t>(In millions)</w:t>
            </w:r>
          </w:p>
        </w:tc>
        <w:tc>
          <w:tcPr>
            <w:tcW w:w="0" w:type="auto"/>
            <w:gridSpan w:val="3"/>
            <w:shd w:val="clear" w:color="auto" w:fill="auto"/>
            <w:tcMar>
              <w:top w:w="0" w:type="dxa"/>
              <w:left w:w="20" w:type="dxa"/>
              <w:bottom w:w="0" w:type="dxa"/>
              <w:right w:w="20" w:type="dxa"/>
            </w:tcMar>
          </w:tcPr>
          <w:p w14:paraId="5EA259B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9B7" w14:textId="77777777" w:rsidR="003C66EB" w:rsidRDefault="00D96C4E">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59B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9B9" w14:textId="77777777" w:rsidR="003C66EB" w:rsidRDefault="00D96C4E">
            <w:pPr>
              <w:jc w:val="center"/>
              <w:textAlignment w:val="bottom"/>
            </w:pPr>
            <w:r>
              <w:rPr>
                <w:rFonts w:ascii="Arial" w:eastAsia="宋体" w:hAnsi="Arial" w:cs="Arial"/>
                <w:b/>
                <w:bCs/>
                <w:color w:val="000000"/>
                <w:sz w:val="16"/>
                <w:szCs w:val="16"/>
              </w:rPr>
              <w:t>2020</w:t>
            </w:r>
          </w:p>
        </w:tc>
        <w:tc>
          <w:tcPr>
            <w:tcW w:w="0" w:type="auto"/>
            <w:gridSpan w:val="3"/>
            <w:shd w:val="clear" w:color="auto" w:fill="auto"/>
          </w:tcPr>
          <w:p w14:paraId="5EA259BA" w14:textId="77777777" w:rsidR="003C66EB" w:rsidRDefault="003C66EB">
            <w:pPr>
              <w:rPr>
                <w:rFonts w:ascii="宋体"/>
                <w:vanish/>
              </w:rPr>
            </w:pPr>
          </w:p>
        </w:tc>
        <w:tc>
          <w:tcPr>
            <w:tcW w:w="0" w:type="auto"/>
            <w:gridSpan w:val="3"/>
            <w:shd w:val="clear" w:color="auto" w:fill="auto"/>
          </w:tcPr>
          <w:p w14:paraId="5EA259BB" w14:textId="77777777" w:rsidR="003C66EB" w:rsidRDefault="003C66EB">
            <w:pPr>
              <w:rPr>
                <w:rFonts w:ascii="宋体"/>
                <w:vanish/>
              </w:rPr>
            </w:pPr>
          </w:p>
        </w:tc>
      </w:tr>
      <w:tr w:rsidR="003C66EB" w14:paraId="5EA259CC" w14:textId="77777777">
        <w:trPr>
          <w:hidden/>
        </w:trPr>
        <w:tc>
          <w:tcPr>
            <w:tcW w:w="0" w:type="auto"/>
            <w:gridSpan w:val="3"/>
            <w:shd w:val="clear" w:color="auto" w:fill="auto"/>
          </w:tcPr>
          <w:p w14:paraId="5EA259BD" w14:textId="77777777" w:rsidR="003C66EB" w:rsidRDefault="003C66EB">
            <w:pPr>
              <w:rPr>
                <w:rFonts w:ascii="宋体"/>
                <w:vanish/>
              </w:rPr>
            </w:pPr>
          </w:p>
        </w:tc>
        <w:tc>
          <w:tcPr>
            <w:tcW w:w="0" w:type="auto"/>
            <w:gridSpan w:val="3"/>
            <w:shd w:val="clear" w:color="auto" w:fill="auto"/>
          </w:tcPr>
          <w:p w14:paraId="5EA259BE" w14:textId="77777777" w:rsidR="003C66EB" w:rsidRDefault="003C66EB">
            <w:pPr>
              <w:rPr>
                <w:rFonts w:ascii="宋体"/>
                <w:vanish/>
              </w:rPr>
            </w:pPr>
          </w:p>
        </w:tc>
        <w:tc>
          <w:tcPr>
            <w:tcW w:w="0" w:type="auto"/>
            <w:gridSpan w:val="3"/>
            <w:shd w:val="clear" w:color="auto" w:fill="auto"/>
          </w:tcPr>
          <w:p w14:paraId="5EA259BF" w14:textId="77777777" w:rsidR="003C66EB" w:rsidRDefault="003C66EB">
            <w:pPr>
              <w:rPr>
                <w:rFonts w:ascii="宋体"/>
                <w:vanish/>
              </w:rPr>
            </w:pPr>
          </w:p>
        </w:tc>
        <w:tc>
          <w:tcPr>
            <w:tcW w:w="0" w:type="auto"/>
            <w:shd w:val="clear" w:color="auto" w:fill="auto"/>
          </w:tcPr>
          <w:p w14:paraId="5EA259C0" w14:textId="77777777" w:rsidR="003C66EB" w:rsidRDefault="003C66EB">
            <w:pPr>
              <w:rPr>
                <w:rFonts w:ascii="宋体"/>
              </w:rPr>
            </w:pPr>
          </w:p>
        </w:tc>
        <w:tc>
          <w:tcPr>
            <w:tcW w:w="0" w:type="auto"/>
            <w:shd w:val="clear" w:color="auto" w:fill="auto"/>
          </w:tcPr>
          <w:p w14:paraId="5EA259C1" w14:textId="77777777" w:rsidR="003C66EB" w:rsidRDefault="003C66EB">
            <w:pPr>
              <w:rPr>
                <w:rFonts w:ascii="宋体"/>
              </w:rPr>
            </w:pPr>
          </w:p>
        </w:tc>
        <w:tc>
          <w:tcPr>
            <w:tcW w:w="0" w:type="auto"/>
            <w:shd w:val="clear" w:color="auto" w:fill="auto"/>
          </w:tcPr>
          <w:p w14:paraId="5EA259C2" w14:textId="77777777" w:rsidR="003C66EB" w:rsidRDefault="003C66EB">
            <w:pPr>
              <w:rPr>
                <w:rFonts w:ascii="宋体"/>
              </w:rPr>
            </w:pPr>
          </w:p>
        </w:tc>
        <w:tc>
          <w:tcPr>
            <w:tcW w:w="0" w:type="auto"/>
            <w:shd w:val="clear" w:color="auto" w:fill="auto"/>
          </w:tcPr>
          <w:p w14:paraId="5EA259C3" w14:textId="77777777" w:rsidR="003C66EB" w:rsidRDefault="003C66EB">
            <w:pPr>
              <w:rPr>
                <w:rFonts w:ascii="宋体"/>
              </w:rPr>
            </w:pPr>
          </w:p>
        </w:tc>
        <w:tc>
          <w:tcPr>
            <w:tcW w:w="0" w:type="auto"/>
            <w:shd w:val="clear" w:color="auto" w:fill="auto"/>
          </w:tcPr>
          <w:p w14:paraId="5EA259C4" w14:textId="77777777" w:rsidR="003C66EB" w:rsidRDefault="003C66EB">
            <w:pPr>
              <w:rPr>
                <w:rFonts w:ascii="宋体"/>
              </w:rPr>
            </w:pPr>
          </w:p>
        </w:tc>
        <w:tc>
          <w:tcPr>
            <w:tcW w:w="0" w:type="auto"/>
            <w:shd w:val="clear" w:color="auto" w:fill="auto"/>
          </w:tcPr>
          <w:p w14:paraId="5EA259C5" w14:textId="77777777" w:rsidR="003C66EB" w:rsidRDefault="003C66EB">
            <w:pPr>
              <w:rPr>
                <w:rFonts w:ascii="宋体"/>
              </w:rPr>
            </w:pPr>
          </w:p>
        </w:tc>
        <w:tc>
          <w:tcPr>
            <w:tcW w:w="0" w:type="auto"/>
            <w:shd w:val="clear" w:color="auto" w:fill="auto"/>
          </w:tcPr>
          <w:p w14:paraId="5EA259C6" w14:textId="77777777" w:rsidR="003C66EB" w:rsidRDefault="003C66EB">
            <w:pPr>
              <w:rPr>
                <w:rFonts w:ascii="宋体"/>
              </w:rPr>
            </w:pPr>
          </w:p>
        </w:tc>
        <w:tc>
          <w:tcPr>
            <w:tcW w:w="0" w:type="auto"/>
            <w:shd w:val="clear" w:color="auto" w:fill="auto"/>
          </w:tcPr>
          <w:p w14:paraId="5EA259C7" w14:textId="77777777" w:rsidR="003C66EB" w:rsidRDefault="003C66EB">
            <w:pPr>
              <w:rPr>
                <w:rFonts w:ascii="宋体"/>
              </w:rPr>
            </w:pPr>
          </w:p>
        </w:tc>
        <w:tc>
          <w:tcPr>
            <w:tcW w:w="0" w:type="auto"/>
            <w:shd w:val="clear" w:color="auto" w:fill="auto"/>
          </w:tcPr>
          <w:p w14:paraId="5EA259C8" w14:textId="77777777" w:rsidR="003C66EB" w:rsidRDefault="003C66EB">
            <w:pPr>
              <w:rPr>
                <w:rFonts w:ascii="宋体"/>
              </w:rPr>
            </w:pPr>
          </w:p>
        </w:tc>
        <w:tc>
          <w:tcPr>
            <w:tcW w:w="0" w:type="auto"/>
            <w:shd w:val="clear" w:color="auto" w:fill="auto"/>
          </w:tcPr>
          <w:p w14:paraId="5EA259C9" w14:textId="77777777" w:rsidR="003C66EB" w:rsidRDefault="003C66EB">
            <w:pPr>
              <w:rPr>
                <w:rFonts w:ascii="宋体"/>
              </w:rPr>
            </w:pPr>
          </w:p>
        </w:tc>
        <w:tc>
          <w:tcPr>
            <w:tcW w:w="0" w:type="auto"/>
            <w:shd w:val="clear" w:color="auto" w:fill="auto"/>
          </w:tcPr>
          <w:p w14:paraId="5EA259CA" w14:textId="77777777" w:rsidR="003C66EB" w:rsidRDefault="003C66EB">
            <w:pPr>
              <w:rPr>
                <w:rFonts w:ascii="宋体"/>
              </w:rPr>
            </w:pPr>
          </w:p>
        </w:tc>
        <w:tc>
          <w:tcPr>
            <w:tcW w:w="0" w:type="auto"/>
            <w:shd w:val="clear" w:color="auto" w:fill="auto"/>
          </w:tcPr>
          <w:p w14:paraId="5EA259CB" w14:textId="77777777" w:rsidR="003C66EB" w:rsidRDefault="003C66EB">
            <w:pPr>
              <w:rPr>
                <w:rFonts w:ascii="宋体"/>
              </w:rPr>
            </w:pPr>
          </w:p>
        </w:tc>
      </w:tr>
      <w:tr w:rsidR="003C66EB" w14:paraId="5EA259D4" w14:textId="77777777">
        <w:tc>
          <w:tcPr>
            <w:tcW w:w="0" w:type="auto"/>
            <w:gridSpan w:val="3"/>
            <w:shd w:val="clear" w:color="auto" w:fill="auto"/>
            <w:tcMar>
              <w:top w:w="40" w:type="dxa"/>
              <w:left w:w="20" w:type="dxa"/>
              <w:bottom w:w="40" w:type="dxa"/>
              <w:right w:w="20" w:type="dxa"/>
            </w:tcMar>
            <w:vAlign w:val="bottom"/>
          </w:tcPr>
          <w:p w14:paraId="5EA259CD" w14:textId="77777777" w:rsidR="003C66EB" w:rsidRDefault="00D96C4E">
            <w:pPr>
              <w:textAlignment w:val="bottom"/>
            </w:pPr>
            <w:r>
              <w:rPr>
                <w:rFonts w:ascii="Arial" w:eastAsia="宋体" w:hAnsi="Arial" w:cs="Arial"/>
                <w:b/>
                <w:bCs/>
                <w:color w:val="000000"/>
                <w:sz w:val="16"/>
                <w:szCs w:val="16"/>
              </w:rPr>
              <w:t>Derivatives not designated as hedging instruments:</w:t>
            </w:r>
          </w:p>
        </w:tc>
        <w:tc>
          <w:tcPr>
            <w:tcW w:w="0" w:type="auto"/>
            <w:gridSpan w:val="3"/>
            <w:shd w:val="clear" w:color="auto" w:fill="auto"/>
            <w:tcMar>
              <w:top w:w="0" w:type="dxa"/>
              <w:left w:w="20" w:type="dxa"/>
              <w:bottom w:w="0" w:type="dxa"/>
              <w:right w:w="20" w:type="dxa"/>
            </w:tcMar>
          </w:tcPr>
          <w:p w14:paraId="5EA259C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9C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9D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9D1" w14:textId="77777777" w:rsidR="003C66EB" w:rsidRDefault="003C66EB">
            <w:pPr>
              <w:rPr>
                <w:rFonts w:ascii="宋体"/>
              </w:rPr>
            </w:pPr>
          </w:p>
        </w:tc>
        <w:tc>
          <w:tcPr>
            <w:tcW w:w="0" w:type="auto"/>
            <w:gridSpan w:val="3"/>
            <w:shd w:val="clear" w:color="auto" w:fill="auto"/>
          </w:tcPr>
          <w:p w14:paraId="5EA259D2" w14:textId="77777777" w:rsidR="003C66EB" w:rsidRDefault="003C66EB">
            <w:pPr>
              <w:rPr>
                <w:rFonts w:ascii="宋体"/>
                <w:vanish/>
              </w:rPr>
            </w:pPr>
          </w:p>
        </w:tc>
        <w:tc>
          <w:tcPr>
            <w:tcW w:w="0" w:type="auto"/>
            <w:gridSpan w:val="3"/>
            <w:shd w:val="clear" w:color="auto" w:fill="auto"/>
          </w:tcPr>
          <w:p w14:paraId="5EA259D3" w14:textId="77777777" w:rsidR="003C66EB" w:rsidRDefault="003C66EB">
            <w:pPr>
              <w:rPr>
                <w:rFonts w:ascii="宋体"/>
                <w:vanish/>
              </w:rPr>
            </w:pPr>
          </w:p>
        </w:tc>
      </w:tr>
      <w:tr w:rsidR="003C66EB" w14:paraId="5EA259E0" w14:textId="77777777">
        <w:tc>
          <w:tcPr>
            <w:tcW w:w="0" w:type="auto"/>
            <w:gridSpan w:val="3"/>
            <w:shd w:val="clear" w:color="auto" w:fill="CCEEFF"/>
            <w:tcMar>
              <w:top w:w="40" w:type="dxa"/>
              <w:left w:w="20" w:type="dxa"/>
              <w:bottom w:w="40" w:type="dxa"/>
              <w:right w:w="20" w:type="dxa"/>
            </w:tcMar>
            <w:vAlign w:val="bottom"/>
          </w:tcPr>
          <w:p w14:paraId="5EA259D5" w14:textId="77777777" w:rsidR="003C66EB" w:rsidRDefault="00D96C4E">
            <w:pPr>
              <w:textAlignment w:val="bottom"/>
            </w:pPr>
            <w:r>
              <w:rPr>
                <w:rFonts w:ascii="Arial" w:eastAsia="宋体" w:hAnsi="Arial" w:cs="Arial"/>
                <w:color w:val="000000"/>
                <w:sz w:val="16"/>
                <w:szCs w:val="16"/>
              </w:rPr>
              <w:t>Foreign exchange contracts</w:t>
            </w:r>
          </w:p>
        </w:tc>
        <w:tc>
          <w:tcPr>
            <w:tcW w:w="0" w:type="auto"/>
            <w:gridSpan w:val="3"/>
            <w:shd w:val="clear" w:color="auto" w:fill="CCEEFF"/>
            <w:tcMar>
              <w:top w:w="40" w:type="dxa"/>
              <w:left w:w="20" w:type="dxa"/>
              <w:bottom w:w="40" w:type="dxa"/>
              <w:right w:w="20" w:type="dxa"/>
            </w:tcMar>
            <w:vAlign w:val="bottom"/>
          </w:tcPr>
          <w:p w14:paraId="5EA259D6" w14:textId="77777777" w:rsidR="003C66EB" w:rsidRDefault="00D96C4E">
            <w:pPr>
              <w:textAlignment w:val="bottom"/>
            </w:pPr>
            <w:r>
              <w:rPr>
                <w:rFonts w:ascii="Arial" w:eastAsia="宋体" w:hAnsi="Arial" w:cs="Arial"/>
                <w:color w:val="000000"/>
                <w:sz w:val="16"/>
                <w:szCs w:val="16"/>
              </w:rPr>
              <w:t>Foreign exchange trading services revenue</w:t>
            </w:r>
          </w:p>
        </w:tc>
        <w:tc>
          <w:tcPr>
            <w:tcW w:w="0" w:type="auto"/>
            <w:shd w:val="clear" w:color="auto" w:fill="CCEEFF"/>
            <w:tcMar>
              <w:top w:w="40" w:type="dxa"/>
              <w:left w:w="20" w:type="dxa"/>
              <w:bottom w:w="40" w:type="dxa"/>
              <w:right w:w="0" w:type="dxa"/>
            </w:tcMar>
            <w:vAlign w:val="bottom"/>
          </w:tcPr>
          <w:p w14:paraId="5EA259D7"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A259D8" w14:textId="77777777" w:rsidR="003C66EB" w:rsidRDefault="00D96C4E">
            <w:pPr>
              <w:jc w:val="right"/>
              <w:textAlignment w:val="bottom"/>
            </w:pPr>
            <w:r>
              <w:rPr>
                <w:rFonts w:ascii="Arial" w:eastAsia="宋体" w:hAnsi="Arial" w:cs="Arial"/>
                <w:b/>
                <w:bCs/>
                <w:color w:val="000000"/>
                <w:sz w:val="16"/>
                <w:szCs w:val="16"/>
              </w:rPr>
              <w:t>242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59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D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9DB" w14:textId="77777777" w:rsidR="003C66EB" w:rsidRDefault="00D96C4E">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EA259DC" w14:textId="77777777" w:rsidR="003C66EB" w:rsidRDefault="00D96C4E">
            <w:pPr>
              <w:jc w:val="right"/>
              <w:textAlignment w:val="bottom"/>
            </w:pPr>
            <w:r>
              <w:rPr>
                <w:rFonts w:ascii="Arial" w:eastAsia="宋体" w:hAnsi="Arial" w:cs="Arial"/>
                <w:color w:val="000000"/>
                <w:sz w:val="16"/>
                <w:szCs w:val="16"/>
              </w:rPr>
              <w:t>333 </w:t>
            </w:r>
          </w:p>
        </w:tc>
        <w:tc>
          <w:tcPr>
            <w:tcW w:w="0" w:type="auto"/>
            <w:shd w:val="clear" w:color="auto" w:fill="CCEEFF"/>
            <w:tcMar>
              <w:top w:w="40" w:type="dxa"/>
              <w:left w:w="0" w:type="dxa"/>
              <w:bottom w:w="40" w:type="dxa"/>
              <w:right w:w="20" w:type="dxa"/>
            </w:tcMar>
            <w:vAlign w:val="bottom"/>
          </w:tcPr>
          <w:p w14:paraId="5EA259DD" w14:textId="77777777" w:rsidR="003C66EB" w:rsidRDefault="003C66EB">
            <w:pPr>
              <w:jc w:val="right"/>
              <w:rPr>
                <w:rFonts w:ascii="宋体"/>
              </w:rPr>
            </w:pPr>
          </w:p>
        </w:tc>
        <w:tc>
          <w:tcPr>
            <w:tcW w:w="0" w:type="auto"/>
            <w:gridSpan w:val="3"/>
            <w:shd w:val="clear" w:color="auto" w:fill="auto"/>
          </w:tcPr>
          <w:p w14:paraId="5EA259DE" w14:textId="77777777" w:rsidR="003C66EB" w:rsidRDefault="003C66EB">
            <w:pPr>
              <w:rPr>
                <w:rFonts w:ascii="宋体"/>
                <w:vanish/>
              </w:rPr>
            </w:pPr>
          </w:p>
        </w:tc>
        <w:tc>
          <w:tcPr>
            <w:tcW w:w="0" w:type="auto"/>
            <w:gridSpan w:val="3"/>
            <w:shd w:val="clear" w:color="auto" w:fill="auto"/>
          </w:tcPr>
          <w:p w14:paraId="5EA259DF" w14:textId="77777777" w:rsidR="003C66EB" w:rsidRDefault="003C66EB">
            <w:pPr>
              <w:rPr>
                <w:rFonts w:ascii="宋体"/>
                <w:vanish/>
              </w:rPr>
            </w:pPr>
          </w:p>
        </w:tc>
      </w:tr>
      <w:tr w:rsidR="003C66EB" w14:paraId="5EA259E8" w14:textId="77777777">
        <w:trPr>
          <w:hidden/>
        </w:trPr>
        <w:tc>
          <w:tcPr>
            <w:tcW w:w="0" w:type="auto"/>
            <w:gridSpan w:val="3"/>
            <w:shd w:val="clear" w:color="auto" w:fill="auto"/>
          </w:tcPr>
          <w:p w14:paraId="5EA259E1" w14:textId="77777777" w:rsidR="003C66EB" w:rsidRDefault="003C66EB">
            <w:pPr>
              <w:rPr>
                <w:rFonts w:ascii="宋体"/>
                <w:vanish/>
              </w:rPr>
            </w:pPr>
          </w:p>
        </w:tc>
        <w:tc>
          <w:tcPr>
            <w:tcW w:w="0" w:type="auto"/>
            <w:gridSpan w:val="3"/>
            <w:shd w:val="clear" w:color="auto" w:fill="auto"/>
          </w:tcPr>
          <w:p w14:paraId="5EA259E2" w14:textId="77777777" w:rsidR="003C66EB" w:rsidRDefault="003C66EB">
            <w:pPr>
              <w:rPr>
                <w:rFonts w:ascii="宋体"/>
                <w:vanish/>
              </w:rPr>
            </w:pPr>
          </w:p>
        </w:tc>
        <w:tc>
          <w:tcPr>
            <w:tcW w:w="0" w:type="auto"/>
            <w:gridSpan w:val="3"/>
            <w:shd w:val="clear" w:color="auto" w:fill="auto"/>
          </w:tcPr>
          <w:p w14:paraId="5EA259E3" w14:textId="77777777" w:rsidR="003C66EB" w:rsidRDefault="003C66EB">
            <w:pPr>
              <w:rPr>
                <w:rFonts w:ascii="宋体"/>
                <w:vanish/>
              </w:rPr>
            </w:pPr>
          </w:p>
        </w:tc>
        <w:tc>
          <w:tcPr>
            <w:tcW w:w="0" w:type="auto"/>
            <w:gridSpan w:val="3"/>
            <w:shd w:val="clear" w:color="auto" w:fill="auto"/>
          </w:tcPr>
          <w:p w14:paraId="5EA259E4" w14:textId="77777777" w:rsidR="003C66EB" w:rsidRDefault="003C66EB">
            <w:pPr>
              <w:rPr>
                <w:rFonts w:ascii="宋体"/>
                <w:vanish/>
              </w:rPr>
            </w:pPr>
          </w:p>
        </w:tc>
        <w:tc>
          <w:tcPr>
            <w:tcW w:w="0" w:type="auto"/>
            <w:gridSpan w:val="3"/>
            <w:shd w:val="clear" w:color="auto" w:fill="auto"/>
          </w:tcPr>
          <w:p w14:paraId="5EA259E5" w14:textId="77777777" w:rsidR="003C66EB" w:rsidRDefault="003C66EB">
            <w:pPr>
              <w:rPr>
                <w:rFonts w:ascii="宋体"/>
                <w:vanish/>
              </w:rPr>
            </w:pPr>
          </w:p>
        </w:tc>
        <w:tc>
          <w:tcPr>
            <w:tcW w:w="0" w:type="auto"/>
            <w:gridSpan w:val="3"/>
            <w:shd w:val="clear" w:color="auto" w:fill="auto"/>
          </w:tcPr>
          <w:p w14:paraId="5EA259E6" w14:textId="77777777" w:rsidR="003C66EB" w:rsidRDefault="003C66EB">
            <w:pPr>
              <w:rPr>
                <w:rFonts w:ascii="宋体"/>
                <w:vanish/>
              </w:rPr>
            </w:pPr>
          </w:p>
        </w:tc>
        <w:tc>
          <w:tcPr>
            <w:tcW w:w="0" w:type="auto"/>
            <w:gridSpan w:val="3"/>
            <w:shd w:val="clear" w:color="auto" w:fill="auto"/>
          </w:tcPr>
          <w:p w14:paraId="5EA259E7" w14:textId="77777777" w:rsidR="003C66EB" w:rsidRDefault="003C66EB">
            <w:pPr>
              <w:rPr>
                <w:rFonts w:ascii="宋体"/>
                <w:vanish/>
              </w:rPr>
            </w:pPr>
          </w:p>
        </w:tc>
      </w:tr>
      <w:tr w:rsidR="003C66EB" w14:paraId="5EA259F2" w14:textId="77777777">
        <w:tc>
          <w:tcPr>
            <w:tcW w:w="0" w:type="auto"/>
            <w:gridSpan w:val="3"/>
            <w:shd w:val="clear" w:color="auto" w:fill="FFFFFF"/>
            <w:tcMar>
              <w:top w:w="40" w:type="dxa"/>
              <w:left w:w="20" w:type="dxa"/>
              <w:bottom w:w="40" w:type="dxa"/>
              <w:right w:w="20" w:type="dxa"/>
            </w:tcMar>
            <w:vAlign w:val="bottom"/>
          </w:tcPr>
          <w:p w14:paraId="5EA259E9" w14:textId="77777777" w:rsidR="003C66EB" w:rsidRDefault="00D96C4E">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40" w:type="dxa"/>
              <w:left w:w="20" w:type="dxa"/>
              <w:bottom w:w="40" w:type="dxa"/>
              <w:right w:w="20" w:type="dxa"/>
            </w:tcMar>
            <w:vAlign w:val="bottom"/>
          </w:tcPr>
          <w:p w14:paraId="5EA259EA" w14:textId="77777777" w:rsidR="003C66EB" w:rsidRDefault="00D96C4E">
            <w:pPr>
              <w:textAlignment w:val="bottom"/>
            </w:pPr>
            <w:r>
              <w:rPr>
                <w:rFonts w:ascii="Arial" w:eastAsia="宋体" w:hAnsi="Arial" w:cs="Arial"/>
                <w:color w:val="000000"/>
                <w:sz w:val="16"/>
                <w:szCs w:val="16"/>
              </w:rPr>
              <w:t>Interest expense</w:t>
            </w:r>
          </w:p>
        </w:tc>
        <w:tc>
          <w:tcPr>
            <w:tcW w:w="0" w:type="auto"/>
            <w:gridSpan w:val="2"/>
            <w:shd w:val="clear" w:color="auto" w:fill="FFFFFF"/>
            <w:tcMar>
              <w:top w:w="40" w:type="dxa"/>
              <w:left w:w="20" w:type="dxa"/>
              <w:bottom w:w="40" w:type="dxa"/>
              <w:right w:w="0" w:type="dxa"/>
            </w:tcMar>
            <w:vAlign w:val="bottom"/>
          </w:tcPr>
          <w:p w14:paraId="5EA259EB" w14:textId="77777777" w:rsidR="003C66EB" w:rsidRDefault="00D96C4E">
            <w:pPr>
              <w:jc w:val="right"/>
              <w:textAlignment w:val="bottom"/>
            </w:pPr>
            <w:r>
              <w:rPr>
                <w:rFonts w:ascii="Arial" w:eastAsia="宋体" w:hAnsi="Arial" w:cs="Arial"/>
                <w:b/>
                <w:bCs/>
                <w:color w:val="000000"/>
                <w:sz w:val="16"/>
                <w:szCs w:val="16"/>
              </w:rPr>
              <w:t>21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59E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9E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9EE" w14:textId="77777777" w:rsidR="003C66EB" w:rsidRDefault="00D96C4E">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5EA259EF" w14:textId="77777777" w:rsidR="003C66EB" w:rsidRDefault="003C66EB">
            <w:pPr>
              <w:jc w:val="right"/>
              <w:rPr>
                <w:rFonts w:ascii="宋体"/>
              </w:rPr>
            </w:pPr>
          </w:p>
        </w:tc>
        <w:tc>
          <w:tcPr>
            <w:tcW w:w="0" w:type="auto"/>
            <w:gridSpan w:val="3"/>
            <w:shd w:val="clear" w:color="auto" w:fill="auto"/>
          </w:tcPr>
          <w:p w14:paraId="5EA259F0" w14:textId="77777777" w:rsidR="003C66EB" w:rsidRDefault="003C66EB">
            <w:pPr>
              <w:rPr>
                <w:rFonts w:ascii="宋体"/>
                <w:vanish/>
              </w:rPr>
            </w:pPr>
          </w:p>
        </w:tc>
        <w:tc>
          <w:tcPr>
            <w:tcW w:w="0" w:type="auto"/>
            <w:gridSpan w:val="3"/>
            <w:shd w:val="clear" w:color="auto" w:fill="auto"/>
          </w:tcPr>
          <w:p w14:paraId="5EA259F1" w14:textId="77777777" w:rsidR="003C66EB" w:rsidRDefault="003C66EB">
            <w:pPr>
              <w:rPr>
                <w:rFonts w:ascii="宋体"/>
                <w:vanish/>
              </w:rPr>
            </w:pPr>
          </w:p>
        </w:tc>
      </w:tr>
      <w:tr w:rsidR="003C66EB" w14:paraId="5EA259FC" w14:textId="77777777">
        <w:tc>
          <w:tcPr>
            <w:tcW w:w="0" w:type="auto"/>
            <w:gridSpan w:val="3"/>
            <w:shd w:val="clear" w:color="auto" w:fill="CCEEFF"/>
            <w:tcMar>
              <w:top w:w="40" w:type="dxa"/>
              <w:left w:w="20" w:type="dxa"/>
              <w:bottom w:w="40" w:type="dxa"/>
              <w:right w:w="20" w:type="dxa"/>
            </w:tcMar>
            <w:vAlign w:val="bottom"/>
          </w:tcPr>
          <w:p w14:paraId="5EA259F3" w14:textId="77777777" w:rsidR="003C66EB" w:rsidRDefault="00D96C4E">
            <w:pPr>
              <w:textAlignment w:val="bottom"/>
            </w:pPr>
            <w:r>
              <w:rPr>
                <w:rFonts w:ascii="Arial" w:eastAsia="宋体" w:hAnsi="Arial" w:cs="Arial"/>
                <w:color w:val="000000"/>
                <w:sz w:val="16"/>
                <w:szCs w:val="16"/>
              </w:rPr>
              <w:t>Interest rate contracts</w:t>
            </w:r>
          </w:p>
        </w:tc>
        <w:tc>
          <w:tcPr>
            <w:tcW w:w="0" w:type="auto"/>
            <w:gridSpan w:val="3"/>
            <w:shd w:val="clear" w:color="auto" w:fill="CCEEFF"/>
            <w:tcMar>
              <w:top w:w="40" w:type="dxa"/>
              <w:left w:w="20" w:type="dxa"/>
              <w:bottom w:w="40" w:type="dxa"/>
              <w:right w:w="20" w:type="dxa"/>
            </w:tcMar>
            <w:vAlign w:val="bottom"/>
          </w:tcPr>
          <w:p w14:paraId="5EA259F4" w14:textId="77777777" w:rsidR="003C66EB" w:rsidRDefault="00D96C4E">
            <w:pPr>
              <w:textAlignment w:val="bottom"/>
            </w:pPr>
            <w:r>
              <w:rPr>
                <w:rFonts w:ascii="Arial" w:eastAsia="宋体" w:hAnsi="Arial" w:cs="Arial"/>
                <w:color w:val="000000"/>
                <w:sz w:val="16"/>
                <w:szCs w:val="16"/>
              </w:rPr>
              <w:t xml:space="preserve">Foreign </w:t>
            </w:r>
            <w:r>
              <w:rPr>
                <w:rFonts w:ascii="Arial" w:eastAsia="宋体" w:hAnsi="Arial" w:cs="Arial"/>
                <w:color w:val="000000"/>
                <w:sz w:val="16"/>
                <w:szCs w:val="16"/>
              </w:rPr>
              <w:t>exchange trading services revenue</w:t>
            </w:r>
          </w:p>
        </w:tc>
        <w:tc>
          <w:tcPr>
            <w:tcW w:w="0" w:type="auto"/>
            <w:gridSpan w:val="2"/>
            <w:shd w:val="clear" w:color="auto" w:fill="CCEEFF"/>
            <w:tcMar>
              <w:top w:w="40" w:type="dxa"/>
              <w:left w:w="20" w:type="dxa"/>
              <w:bottom w:w="40" w:type="dxa"/>
              <w:right w:w="0" w:type="dxa"/>
            </w:tcMar>
            <w:vAlign w:val="bottom"/>
          </w:tcPr>
          <w:p w14:paraId="5EA259F5"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59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9F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59F8" w14:textId="77777777" w:rsidR="003C66EB" w:rsidRDefault="00D96C4E">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5EA259F9" w14:textId="77777777" w:rsidR="003C66EB" w:rsidRDefault="003C66EB">
            <w:pPr>
              <w:jc w:val="right"/>
              <w:rPr>
                <w:rFonts w:ascii="宋体"/>
              </w:rPr>
            </w:pPr>
          </w:p>
        </w:tc>
        <w:tc>
          <w:tcPr>
            <w:tcW w:w="0" w:type="auto"/>
            <w:gridSpan w:val="3"/>
            <w:shd w:val="clear" w:color="auto" w:fill="auto"/>
          </w:tcPr>
          <w:p w14:paraId="5EA259FA" w14:textId="77777777" w:rsidR="003C66EB" w:rsidRDefault="003C66EB">
            <w:pPr>
              <w:rPr>
                <w:rFonts w:ascii="宋体"/>
                <w:vanish/>
              </w:rPr>
            </w:pPr>
          </w:p>
        </w:tc>
        <w:tc>
          <w:tcPr>
            <w:tcW w:w="0" w:type="auto"/>
            <w:gridSpan w:val="3"/>
            <w:shd w:val="clear" w:color="auto" w:fill="auto"/>
          </w:tcPr>
          <w:p w14:paraId="5EA259FB" w14:textId="77777777" w:rsidR="003C66EB" w:rsidRDefault="003C66EB">
            <w:pPr>
              <w:rPr>
                <w:rFonts w:ascii="宋体"/>
                <w:vanish/>
              </w:rPr>
            </w:pPr>
          </w:p>
        </w:tc>
      </w:tr>
      <w:tr w:rsidR="003C66EB" w14:paraId="5EA25A04" w14:textId="77777777">
        <w:trPr>
          <w:hidden/>
        </w:trPr>
        <w:tc>
          <w:tcPr>
            <w:tcW w:w="0" w:type="auto"/>
            <w:gridSpan w:val="3"/>
            <w:shd w:val="clear" w:color="auto" w:fill="auto"/>
          </w:tcPr>
          <w:p w14:paraId="5EA259FD" w14:textId="77777777" w:rsidR="003C66EB" w:rsidRDefault="003C66EB">
            <w:pPr>
              <w:rPr>
                <w:rFonts w:ascii="宋体"/>
                <w:vanish/>
              </w:rPr>
            </w:pPr>
          </w:p>
        </w:tc>
        <w:tc>
          <w:tcPr>
            <w:tcW w:w="0" w:type="auto"/>
            <w:gridSpan w:val="3"/>
            <w:shd w:val="clear" w:color="auto" w:fill="auto"/>
          </w:tcPr>
          <w:p w14:paraId="5EA259FE" w14:textId="77777777" w:rsidR="003C66EB" w:rsidRDefault="003C66EB">
            <w:pPr>
              <w:rPr>
                <w:rFonts w:ascii="宋体"/>
                <w:vanish/>
              </w:rPr>
            </w:pPr>
          </w:p>
        </w:tc>
        <w:tc>
          <w:tcPr>
            <w:tcW w:w="0" w:type="auto"/>
            <w:gridSpan w:val="3"/>
            <w:shd w:val="clear" w:color="auto" w:fill="auto"/>
          </w:tcPr>
          <w:p w14:paraId="5EA259FF" w14:textId="77777777" w:rsidR="003C66EB" w:rsidRDefault="003C66EB">
            <w:pPr>
              <w:rPr>
                <w:rFonts w:ascii="宋体"/>
                <w:vanish/>
              </w:rPr>
            </w:pPr>
          </w:p>
        </w:tc>
        <w:tc>
          <w:tcPr>
            <w:tcW w:w="0" w:type="auto"/>
            <w:gridSpan w:val="3"/>
            <w:shd w:val="clear" w:color="auto" w:fill="auto"/>
          </w:tcPr>
          <w:p w14:paraId="5EA25A00" w14:textId="77777777" w:rsidR="003C66EB" w:rsidRDefault="003C66EB">
            <w:pPr>
              <w:rPr>
                <w:rFonts w:ascii="宋体"/>
                <w:vanish/>
              </w:rPr>
            </w:pPr>
          </w:p>
        </w:tc>
        <w:tc>
          <w:tcPr>
            <w:tcW w:w="0" w:type="auto"/>
            <w:gridSpan w:val="3"/>
            <w:shd w:val="clear" w:color="auto" w:fill="auto"/>
          </w:tcPr>
          <w:p w14:paraId="5EA25A01" w14:textId="77777777" w:rsidR="003C66EB" w:rsidRDefault="003C66EB">
            <w:pPr>
              <w:rPr>
                <w:rFonts w:ascii="宋体"/>
                <w:vanish/>
              </w:rPr>
            </w:pPr>
          </w:p>
        </w:tc>
        <w:tc>
          <w:tcPr>
            <w:tcW w:w="0" w:type="auto"/>
            <w:gridSpan w:val="3"/>
            <w:shd w:val="clear" w:color="auto" w:fill="auto"/>
          </w:tcPr>
          <w:p w14:paraId="5EA25A02" w14:textId="77777777" w:rsidR="003C66EB" w:rsidRDefault="003C66EB">
            <w:pPr>
              <w:rPr>
                <w:rFonts w:ascii="宋体"/>
                <w:vanish/>
              </w:rPr>
            </w:pPr>
          </w:p>
        </w:tc>
        <w:tc>
          <w:tcPr>
            <w:tcW w:w="0" w:type="auto"/>
            <w:gridSpan w:val="3"/>
            <w:shd w:val="clear" w:color="auto" w:fill="auto"/>
          </w:tcPr>
          <w:p w14:paraId="5EA25A03" w14:textId="77777777" w:rsidR="003C66EB" w:rsidRDefault="003C66EB">
            <w:pPr>
              <w:rPr>
                <w:rFonts w:ascii="宋体"/>
                <w:vanish/>
              </w:rPr>
            </w:pPr>
          </w:p>
        </w:tc>
      </w:tr>
      <w:tr w:rsidR="003C66EB" w14:paraId="5EA25A0C" w14:textId="77777777">
        <w:trPr>
          <w:hidden/>
        </w:trPr>
        <w:tc>
          <w:tcPr>
            <w:tcW w:w="0" w:type="auto"/>
            <w:gridSpan w:val="3"/>
            <w:shd w:val="clear" w:color="auto" w:fill="auto"/>
          </w:tcPr>
          <w:p w14:paraId="5EA25A05" w14:textId="77777777" w:rsidR="003C66EB" w:rsidRDefault="003C66EB">
            <w:pPr>
              <w:rPr>
                <w:rFonts w:ascii="宋体"/>
                <w:vanish/>
              </w:rPr>
            </w:pPr>
          </w:p>
        </w:tc>
        <w:tc>
          <w:tcPr>
            <w:tcW w:w="0" w:type="auto"/>
            <w:gridSpan w:val="3"/>
            <w:shd w:val="clear" w:color="auto" w:fill="auto"/>
          </w:tcPr>
          <w:p w14:paraId="5EA25A06" w14:textId="77777777" w:rsidR="003C66EB" w:rsidRDefault="003C66EB">
            <w:pPr>
              <w:rPr>
                <w:rFonts w:ascii="宋体"/>
                <w:vanish/>
              </w:rPr>
            </w:pPr>
          </w:p>
        </w:tc>
        <w:tc>
          <w:tcPr>
            <w:tcW w:w="0" w:type="auto"/>
            <w:gridSpan w:val="3"/>
            <w:shd w:val="clear" w:color="auto" w:fill="auto"/>
          </w:tcPr>
          <w:p w14:paraId="5EA25A07" w14:textId="77777777" w:rsidR="003C66EB" w:rsidRDefault="003C66EB">
            <w:pPr>
              <w:rPr>
                <w:rFonts w:ascii="宋体"/>
                <w:vanish/>
              </w:rPr>
            </w:pPr>
          </w:p>
        </w:tc>
        <w:tc>
          <w:tcPr>
            <w:tcW w:w="0" w:type="auto"/>
            <w:gridSpan w:val="3"/>
            <w:shd w:val="clear" w:color="auto" w:fill="auto"/>
          </w:tcPr>
          <w:p w14:paraId="5EA25A08" w14:textId="77777777" w:rsidR="003C66EB" w:rsidRDefault="003C66EB">
            <w:pPr>
              <w:rPr>
                <w:rFonts w:ascii="宋体"/>
                <w:vanish/>
              </w:rPr>
            </w:pPr>
          </w:p>
        </w:tc>
        <w:tc>
          <w:tcPr>
            <w:tcW w:w="0" w:type="auto"/>
            <w:gridSpan w:val="3"/>
            <w:shd w:val="clear" w:color="auto" w:fill="auto"/>
          </w:tcPr>
          <w:p w14:paraId="5EA25A09" w14:textId="77777777" w:rsidR="003C66EB" w:rsidRDefault="003C66EB">
            <w:pPr>
              <w:rPr>
                <w:rFonts w:ascii="宋体"/>
                <w:vanish/>
              </w:rPr>
            </w:pPr>
          </w:p>
        </w:tc>
        <w:tc>
          <w:tcPr>
            <w:tcW w:w="0" w:type="auto"/>
            <w:gridSpan w:val="3"/>
            <w:shd w:val="clear" w:color="auto" w:fill="auto"/>
          </w:tcPr>
          <w:p w14:paraId="5EA25A0A" w14:textId="77777777" w:rsidR="003C66EB" w:rsidRDefault="003C66EB">
            <w:pPr>
              <w:rPr>
                <w:rFonts w:ascii="宋体"/>
                <w:vanish/>
              </w:rPr>
            </w:pPr>
          </w:p>
        </w:tc>
        <w:tc>
          <w:tcPr>
            <w:tcW w:w="0" w:type="auto"/>
            <w:gridSpan w:val="3"/>
            <w:shd w:val="clear" w:color="auto" w:fill="auto"/>
          </w:tcPr>
          <w:p w14:paraId="5EA25A0B" w14:textId="77777777" w:rsidR="003C66EB" w:rsidRDefault="003C66EB">
            <w:pPr>
              <w:rPr>
                <w:rFonts w:ascii="宋体"/>
                <w:vanish/>
              </w:rPr>
            </w:pPr>
          </w:p>
        </w:tc>
      </w:tr>
      <w:tr w:rsidR="003C66EB" w14:paraId="5EA25A14" w14:textId="77777777">
        <w:trPr>
          <w:hidden/>
        </w:trPr>
        <w:tc>
          <w:tcPr>
            <w:tcW w:w="0" w:type="auto"/>
            <w:gridSpan w:val="3"/>
            <w:shd w:val="clear" w:color="auto" w:fill="auto"/>
          </w:tcPr>
          <w:p w14:paraId="5EA25A0D" w14:textId="77777777" w:rsidR="003C66EB" w:rsidRDefault="003C66EB">
            <w:pPr>
              <w:rPr>
                <w:rFonts w:ascii="宋体"/>
                <w:vanish/>
              </w:rPr>
            </w:pPr>
          </w:p>
        </w:tc>
        <w:tc>
          <w:tcPr>
            <w:tcW w:w="0" w:type="auto"/>
            <w:gridSpan w:val="3"/>
            <w:shd w:val="clear" w:color="auto" w:fill="auto"/>
          </w:tcPr>
          <w:p w14:paraId="5EA25A0E" w14:textId="77777777" w:rsidR="003C66EB" w:rsidRDefault="003C66EB">
            <w:pPr>
              <w:rPr>
                <w:rFonts w:ascii="宋体"/>
                <w:vanish/>
              </w:rPr>
            </w:pPr>
          </w:p>
        </w:tc>
        <w:tc>
          <w:tcPr>
            <w:tcW w:w="0" w:type="auto"/>
            <w:gridSpan w:val="3"/>
            <w:shd w:val="clear" w:color="auto" w:fill="auto"/>
          </w:tcPr>
          <w:p w14:paraId="5EA25A0F" w14:textId="77777777" w:rsidR="003C66EB" w:rsidRDefault="003C66EB">
            <w:pPr>
              <w:rPr>
                <w:rFonts w:ascii="宋体"/>
                <w:vanish/>
              </w:rPr>
            </w:pPr>
          </w:p>
        </w:tc>
        <w:tc>
          <w:tcPr>
            <w:tcW w:w="0" w:type="auto"/>
            <w:gridSpan w:val="3"/>
            <w:shd w:val="clear" w:color="auto" w:fill="auto"/>
          </w:tcPr>
          <w:p w14:paraId="5EA25A10" w14:textId="77777777" w:rsidR="003C66EB" w:rsidRDefault="003C66EB">
            <w:pPr>
              <w:rPr>
                <w:rFonts w:ascii="宋体"/>
                <w:vanish/>
              </w:rPr>
            </w:pPr>
          </w:p>
        </w:tc>
        <w:tc>
          <w:tcPr>
            <w:tcW w:w="0" w:type="auto"/>
            <w:gridSpan w:val="3"/>
            <w:shd w:val="clear" w:color="auto" w:fill="auto"/>
          </w:tcPr>
          <w:p w14:paraId="5EA25A11" w14:textId="77777777" w:rsidR="003C66EB" w:rsidRDefault="003C66EB">
            <w:pPr>
              <w:rPr>
                <w:rFonts w:ascii="宋体"/>
                <w:vanish/>
              </w:rPr>
            </w:pPr>
          </w:p>
        </w:tc>
        <w:tc>
          <w:tcPr>
            <w:tcW w:w="0" w:type="auto"/>
            <w:gridSpan w:val="3"/>
            <w:shd w:val="clear" w:color="auto" w:fill="auto"/>
          </w:tcPr>
          <w:p w14:paraId="5EA25A12" w14:textId="77777777" w:rsidR="003C66EB" w:rsidRDefault="003C66EB">
            <w:pPr>
              <w:rPr>
                <w:rFonts w:ascii="宋体"/>
                <w:vanish/>
              </w:rPr>
            </w:pPr>
          </w:p>
        </w:tc>
        <w:tc>
          <w:tcPr>
            <w:tcW w:w="0" w:type="auto"/>
            <w:gridSpan w:val="3"/>
            <w:shd w:val="clear" w:color="auto" w:fill="auto"/>
          </w:tcPr>
          <w:p w14:paraId="5EA25A13" w14:textId="77777777" w:rsidR="003C66EB" w:rsidRDefault="003C66EB">
            <w:pPr>
              <w:rPr>
                <w:rFonts w:ascii="宋体"/>
                <w:vanish/>
              </w:rPr>
            </w:pPr>
          </w:p>
        </w:tc>
      </w:tr>
      <w:tr w:rsidR="003C66EB" w14:paraId="5EA25A1C" w14:textId="77777777">
        <w:trPr>
          <w:hidden/>
        </w:trPr>
        <w:tc>
          <w:tcPr>
            <w:tcW w:w="0" w:type="auto"/>
            <w:gridSpan w:val="3"/>
            <w:shd w:val="clear" w:color="auto" w:fill="auto"/>
          </w:tcPr>
          <w:p w14:paraId="5EA25A15" w14:textId="77777777" w:rsidR="003C66EB" w:rsidRDefault="003C66EB">
            <w:pPr>
              <w:rPr>
                <w:rFonts w:ascii="宋体"/>
                <w:vanish/>
              </w:rPr>
            </w:pPr>
          </w:p>
        </w:tc>
        <w:tc>
          <w:tcPr>
            <w:tcW w:w="0" w:type="auto"/>
            <w:gridSpan w:val="3"/>
            <w:shd w:val="clear" w:color="auto" w:fill="auto"/>
          </w:tcPr>
          <w:p w14:paraId="5EA25A16" w14:textId="77777777" w:rsidR="003C66EB" w:rsidRDefault="003C66EB">
            <w:pPr>
              <w:rPr>
                <w:rFonts w:ascii="宋体"/>
                <w:vanish/>
              </w:rPr>
            </w:pPr>
          </w:p>
        </w:tc>
        <w:tc>
          <w:tcPr>
            <w:tcW w:w="0" w:type="auto"/>
            <w:gridSpan w:val="3"/>
            <w:shd w:val="clear" w:color="auto" w:fill="auto"/>
          </w:tcPr>
          <w:p w14:paraId="5EA25A17" w14:textId="77777777" w:rsidR="003C66EB" w:rsidRDefault="003C66EB">
            <w:pPr>
              <w:rPr>
                <w:rFonts w:ascii="宋体"/>
                <w:vanish/>
              </w:rPr>
            </w:pPr>
          </w:p>
        </w:tc>
        <w:tc>
          <w:tcPr>
            <w:tcW w:w="0" w:type="auto"/>
            <w:gridSpan w:val="3"/>
            <w:shd w:val="clear" w:color="auto" w:fill="auto"/>
          </w:tcPr>
          <w:p w14:paraId="5EA25A18" w14:textId="77777777" w:rsidR="003C66EB" w:rsidRDefault="003C66EB">
            <w:pPr>
              <w:rPr>
                <w:rFonts w:ascii="宋体"/>
                <w:vanish/>
              </w:rPr>
            </w:pPr>
          </w:p>
        </w:tc>
        <w:tc>
          <w:tcPr>
            <w:tcW w:w="0" w:type="auto"/>
            <w:gridSpan w:val="3"/>
            <w:shd w:val="clear" w:color="auto" w:fill="auto"/>
          </w:tcPr>
          <w:p w14:paraId="5EA25A19" w14:textId="77777777" w:rsidR="003C66EB" w:rsidRDefault="003C66EB">
            <w:pPr>
              <w:rPr>
                <w:rFonts w:ascii="宋体"/>
                <w:vanish/>
              </w:rPr>
            </w:pPr>
          </w:p>
        </w:tc>
        <w:tc>
          <w:tcPr>
            <w:tcW w:w="0" w:type="auto"/>
            <w:gridSpan w:val="3"/>
            <w:shd w:val="clear" w:color="auto" w:fill="auto"/>
          </w:tcPr>
          <w:p w14:paraId="5EA25A1A" w14:textId="77777777" w:rsidR="003C66EB" w:rsidRDefault="003C66EB">
            <w:pPr>
              <w:rPr>
                <w:rFonts w:ascii="宋体"/>
                <w:vanish/>
              </w:rPr>
            </w:pPr>
          </w:p>
        </w:tc>
        <w:tc>
          <w:tcPr>
            <w:tcW w:w="0" w:type="auto"/>
            <w:gridSpan w:val="3"/>
            <w:shd w:val="clear" w:color="auto" w:fill="auto"/>
          </w:tcPr>
          <w:p w14:paraId="5EA25A1B" w14:textId="77777777" w:rsidR="003C66EB" w:rsidRDefault="003C66EB">
            <w:pPr>
              <w:rPr>
                <w:rFonts w:ascii="宋体"/>
                <w:vanish/>
              </w:rPr>
            </w:pPr>
          </w:p>
        </w:tc>
      </w:tr>
      <w:tr w:rsidR="003C66EB" w14:paraId="5EA25A24" w14:textId="77777777">
        <w:trPr>
          <w:hidden/>
        </w:trPr>
        <w:tc>
          <w:tcPr>
            <w:tcW w:w="0" w:type="auto"/>
            <w:gridSpan w:val="3"/>
            <w:shd w:val="clear" w:color="auto" w:fill="auto"/>
          </w:tcPr>
          <w:p w14:paraId="5EA25A1D" w14:textId="77777777" w:rsidR="003C66EB" w:rsidRDefault="003C66EB">
            <w:pPr>
              <w:rPr>
                <w:rFonts w:ascii="宋体"/>
                <w:vanish/>
              </w:rPr>
            </w:pPr>
          </w:p>
        </w:tc>
        <w:tc>
          <w:tcPr>
            <w:tcW w:w="0" w:type="auto"/>
            <w:gridSpan w:val="3"/>
            <w:shd w:val="clear" w:color="auto" w:fill="auto"/>
          </w:tcPr>
          <w:p w14:paraId="5EA25A1E" w14:textId="77777777" w:rsidR="003C66EB" w:rsidRDefault="003C66EB">
            <w:pPr>
              <w:rPr>
                <w:rFonts w:ascii="宋体"/>
                <w:vanish/>
              </w:rPr>
            </w:pPr>
          </w:p>
        </w:tc>
        <w:tc>
          <w:tcPr>
            <w:tcW w:w="0" w:type="auto"/>
            <w:gridSpan w:val="3"/>
            <w:shd w:val="clear" w:color="auto" w:fill="auto"/>
          </w:tcPr>
          <w:p w14:paraId="5EA25A1F" w14:textId="77777777" w:rsidR="003C66EB" w:rsidRDefault="003C66EB">
            <w:pPr>
              <w:rPr>
                <w:rFonts w:ascii="宋体"/>
                <w:vanish/>
              </w:rPr>
            </w:pPr>
          </w:p>
        </w:tc>
        <w:tc>
          <w:tcPr>
            <w:tcW w:w="0" w:type="auto"/>
            <w:gridSpan w:val="3"/>
            <w:shd w:val="clear" w:color="auto" w:fill="auto"/>
          </w:tcPr>
          <w:p w14:paraId="5EA25A20" w14:textId="77777777" w:rsidR="003C66EB" w:rsidRDefault="003C66EB">
            <w:pPr>
              <w:rPr>
                <w:rFonts w:ascii="宋体"/>
                <w:vanish/>
              </w:rPr>
            </w:pPr>
          </w:p>
        </w:tc>
        <w:tc>
          <w:tcPr>
            <w:tcW w:w="0" w:type="auto"/>
            <w:gridSpan w:val="3"/>
            <w:shd w:val="clear" w:color="auto" w:fill="auto"/>
          </w:tcPr>
          <w:p w14:paraId="5EA25A21" w14:textId="77777777" w:rsidR="003C66EB" w:rsidRDefault="003C66EB">
            <w:pPr>
              <w:rPr>
                <w:rFonts w:ascii="宋体"/>
                <w:vanish/>
              </w:rPr>
            </w:pPr>
          </w:p>
        </w:tc>
        <w:tc>
          <w:tcPr>
            <w:tcW w:w="0" w:type="auto"/>
            <w:gridSpan w:val="3"/>
            <w:shd w:val="clear" w:color="auto" w:fill="auto"/>
          </w:tcPr>
          <w:p w14:paraId="5EA25A22" w14:textId="77777777" w:rsidR="003C66EB" w:rsidRDefault="003C66EB">
            <w:pPr>
              <w:rPr>
                <w:rFonts w:ascii="宋体"/>
                <w:vanish/>
              </w:rPr>
            </w:pPr>
          </w:p>
        </w:tc>
        <w:tc>
          <w:tcPr>
            <w:tcW w:w="0" w:type="auto"/>
            <w:gridSpan w:val="3"/>
            <w:shd w:val="clear" w:color="auto" w:fill="auto"/>
          </w:tcPr>
          <w:p w14:paraId="5EA25A23" w14:textId="77777777" w:rsidR="003C66EB" w:rsidRDefault="003C66EB">
            <w:pPr>
              <w:rPr>
                <w:rFonts w:ascii="宋体"/>
                <w:vanish/>
              </w:rPr>
            </w:pPr>
          </w:p>
        </w:tc>
      </w:tr>
      <w:tr w:rsidR="003C66EB" w14:paraId="5EA25A2E" w14:textId="77777777">
        <w:tc>
          <w:tcPr>
            <w:tcW w:w="0" w:type="auto"/>
            <w:gridSpan w:val="3"/>
            <w:shd w:val="clear" w:color="auto" w:fill="FFFFFF"/>
            <w:tcMar>
              <w:top w:w="40" w:type="dxa"/>
              <w:left w:w="20" w:type="dxa"/>
              <w:bottom w:w="40" w:type="dxa"/>
              <w:right w:w="20" w:type="dxa"/>
            </w:tcMar>
            <w:vAlign w:val="bottom"/>
          </w:tcPr>
          <w:p w14:paraId="5EA25A25" w14:textId="77777777" w:rsidR="003C66EB" w:rsidRDefault="00D96C4E">
            <w:pPr>
              <w:textAlignment w:val="bottom"/>
            </w:pPr>
            <w:r>
              <w:rPr>
                <w:rFonts w:ascii="Arial" w:eastAsia="宋体" w:hAnsi="Arial" w:cs="Arial"/>
                <w:color w:val="000000"/>
                <w:sz w:val="16"/>
                <w:szCs w:val="16"/>
              </w:rPr>
              <w:t>Other derivative contracts</w:t>
            </w:r>
          </w:p>
        </w:tc>
        <w:tc>
          <w:tcPr>
            <w:tcW w:w="0" w:type="auto"/>
            <w:gridSpan w:val="3"/>
            <w:shd w:val="clear" w:color="auto" w:fill="FFFFFF"/>
            <w:tcMar>
              <w:top w:w="40" w:type="dxa"/>
              <w:left w:w="20" w:type="dxa"/>
              <w:bottom w:w="40" w:type="dxa"/>
              <w:right w:w="20" w:type="dxa"/>
            </w:tcMar>
            <w:vAlign w:val="bottom"/>
          </w:tcPr>
          <w:p w14:paraId="5EA25A26" w14:textId="77777777" w:rsidR="003C66EB" w:rsidRDefault="00D96C4E">
            <w:pPr>
              <w:textAlignment w:val="bottom"/>
            </w:pPr>
            <w:r>
              <w:rPr>
                <w:rFonts w:ascii="Arial" w:eastAsia="宋体" w:hAnsi="Arial" w:cs="Arial"/>
                <w:color w:val="000000"/>
                <w:sz w:val="16"/>
                <w:szCs w:val="16"/>
              </w:rPr>
              <w:t>Compensation and employee benefits</w:t>
            </w:r>
          </w:p>
        </w:tc>
        <w:tc>
          <w:tcPr>
            <w:tcW w:w="0" w:type="auto"/>
            <w:gridSpan w:val="2"/>
            <w:shd w:val="clear" w:color="auto" w:fill="FFFFFF"/>
            <w:tcMar>
              <w:top w:w="40" w:type="dxa"/>
              <w:left w:w="20" w:type="dxa"/>
              <w:bottom w:w="40" w:type="dxa"/>
              <w:right w:w="0" w:type="dxa"/>
            </w:tcMar>
            <w:vAlign w:val="bottom"/>
          </w:tcPr>
          <w:p w14:paraId="5EA25A27" w14:textId="77777777" w:rsidR="003C66EB" w:rsidRDefault="00D96C4E">
            <w:pPr>
              <w:jc w:val="right"/>
              <w:textAlignment w:val="bottom"/>
            </w:pPr>
            <w:r>
              <w:rPr>
                <w:rFonts w:ascii="Arial" w:eastAsia="宋体" w:hAnsi="Arial" w:cs="Arial"/>
                <w:b/>
                <w:bCs/>
                <w:color w:val="000000"/>
                <w:sz w:val="16"/>
                <w:szCs w:val="16"/>
              </w:rPr>
              <w:t>(79)</w:t>
            </w:r>
          </w:p>
        </w:tc>
        <w:tc>
          <w:tcPr>
            <w:tcW w:w="0" w:type="auto"/>
            <w:shd w:val="clear" w:color="auto" w:fill="FFFFFF"/>
            <w:tcMar>
              <w:top w:w="40" w:type="dxa"/>
              <w:left w:w="0" w:type="dxa"/>
              <w:bottom w:w="40" w:type="dxa"/>
              <w:right w:w="20" w:type="dxa"/>
            </w:tcMar>
            <w:vAlign w:val="bottom"/>
          </w:tcPr>
          <w:p w14:paraId="5EA25A2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A2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A2A" w14:textId="77777777" w:rsidR="003C66EB" w:rsidRDefault="00D96C4E">
            <w:pPr>
              <w:jc w:val="right"/>
              <w:textAlignment w:val="bottom"/>
            </w:pPr>
            <w:r>
              <w:rPr>
                <w:rFonts w:ascii="Arial" w:eastAsia="宋体" w:hAnsi="Arial" w:cs="Arial"/>
                <w:color w:val="000000"/>
                <w:sz w:val="16"/>
                <w:szCs w:val="16"/>
              </w:rPr>
              <w:t>(67)</w:t>
            </w:r>
          </w:p>
        </w:tc>
        <w:tc>
          <w:tcPr>
            <w:tcW w:w="0" w:type="auto"/>
            <w:shd w:val="clear" w:color="auto" w:fill="FFFFFF"/>
            <w:tcMar>
              <w:top w:w="40" w:type="dxa"/>
              <w:left w:w="0" w:type="dxa"/>
              <w:bottom w:w="40" w:type="dxa"/>
              <w:right w:w="20" w:type="dxa"/>
            </w:tcMar>
            <w:vAlign w:val="bottom"/>
          </w:tcPr>
          <w:p w14:paraId="5EA25A2B" w14:textId="77777777" w:rsidR="003C66EB" w:rsidRDefault="003C66EB">
            <w:pPr>
              <w:jc w:val="right"/>
              <w:rPr>
                <w:rFonts w:ascii="宋体"/>
              </w:rPr>
            </w:pPr>
          </w:p>
        </w:tc>
        <w:tc>
          <w:tcPr>
            <w:tcW w:w="0" w:type="auto"/>
            <w:gridSpan w:val="3"/>
            <w:shd w:val="clear" w:color="auto" w:fill="auto"/>
          </w:tcPr>
          <w:p w14:paraId="5EA25A2C" w14:textId="77777777" w:rsidR="003C66EB" w:rsidRDefault="003C66EB">
            <w:pPr>
              <w:rPr>
                <w:rFonts w:ascii="宋体"/>
                <w:vanish/>
              </w:rPr>
            </w:pPr>
          </w:p>
        </w:tc>
        <w:tc>
          <w:tcPr>
            <w:tcW w:w="0" w:type="auto"/>
            <w:gridSpan w:val="3"/>
            <w:shd w:val="clear" w:color="auto" w:fill="auto"/>
          </w:tcPr>
          <w:p w14:paraId="5EA25A2D" w14:textId="77777777" w:rsidR="003C66EB" w:rsidRDefault="003C66EB">
            <w:pPr>
              <w:rPr>
                <w:rFonts w:ascii="宋体"/>
                <w:vanish/>
              </w:rPr>
            </w:pPr>
          </w:p>
        </w:tc>
      </w:tr>
      <w:tr w:rsidR="003C66EB" w14:paraId="5EA25A3A" w14:textId="77777777">
        <w:tc>
          <w:tcPr>
            <w:tcW w:w="0" w:type="auto"/>
            <w:gridSpan w:val="3"/>
            <w:shd w:val="clear" w:color="auto" w:fill="CCEEFF"/>
            <w:tcMar>
              <w:top w:w="40" w:type="dxa"/>
              <w:left w:w="20" w:type="dxa"/>
              <w:bottom w:w="40" w:type="dxa"/>
              <w:right w:w="20" w:type="dxa"/>
            </w:tcMar>
            <w:vAlign w:val="bottom"/>
          </w:tcPr>
          <w:p w14:paraId="5EA25A2F" w14:textId="77777777" w:rsidR="003C66EB" w:rsidRDefault="00D96C4E">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tcPr>
          <w:p w14:paraId="5EA25A3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A31"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32" w14:textId="77777777" w:rsidR="003C66EB" w:rsidRDefault="00D96C4E">
            <w:pPr>
              <w:jc w:val="right"/>
              <w:textAlignment w:val="bottom"/>
            </w:pPr>
            <w:r>
              <w:rPr>
                <w:rFonts w:ascii="Arial" w:eastAsia="宋体" w:hAnsi="Arial" w:cs="Arial"/>
                <w:b/>
                <w:bCs/>
                <w:color w:val="000000"/>
                <w:sz w:val="16"/>
                <w:szCs w:val="16"/>
              </w:rPr>
              <w:t>184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3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A3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A35"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36" w14:textId="77777777" w:rsidR="003C66EB" w:rsidRDefault="00D96C4E">
            <w:pPr>
              <w:jc w:val="right"/>
              <w:textAlignment w:val="bottom"/>
            </w:pPr>
            <w:r>
              <w:rPr>
                <w:rFonts w:ascii="Arial" w:eastAsia="宋体" w:hAnsi="Arial" w:cs="Arial"/>
                <w:color w:val="000000"/>
                <w:sz w:val="16"/>
                <w:szCs w:val="16"/>
              </w:rPr>
              <w:t>271 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37" w14:textId="77777777" w:rsidR="003C66EB" w:rsidRDefault="003C66EB">
            <w:pPr>
              <w:jc w:val="right"/>
              <w:rPr>
                <w:rFonts w:ascii="宋体"/>
              </w:rPr>
            </w:pPr>
          </w:p>
        </w:tc>
        <w:tc>
          <w:tcPr>
            <w:tcW w:w="0" w:type="auto"/>
            <w:gridSpan w:val="3"/>
            <w:shd w:val="clear" w:color="auto" w:fill="auto"/>
          </w:tcPr>
          <w:p w14:paraId="5EA25A38" w14:textId="77777777" w:rsidR="003C66EB" w:rsidRDefault="003C66EB">
            <w:pPr>
              <w:rPr>
                <w:rFonts w:ascii="宋体"/>
                <w:vanish/>
              </w:rPr>
            </w:pPr>
          </w:p>
        </w:tc>
        <w:tc>
          <w:tcPr>
            <w:tcW w:w="0" w:type="auto"/>
            <w:gridSpan w:val="3"/>
            <w:shd w:val="clear" w:color="auto" w:fill="auto"/>
          </w:tcPr>
          <w:p w14:paraId="5EA25A39" w14:textId="77777777" w:rsidR="003C66EB" w:rsidRDefault="003C66EB">
            <w:pPr>
              <w:rPr>
                <w:rFonts w:ascii="宋体"/>
                <w:vanish/>
              </w:rPr>
            </w:pPr>
          </w:p>
        </w:tc>
      </w:tr>
      <w:tr w:rsidR="003C66EB" w14:paraId="5EA25A42" w14:textId="77777777">
        <w:trPr>
          <w:trHeight w:val="100"/>
        </w:trPr>
        <w:tc>
          <w:tcPr>
            <w:tcW w:w="0" w:type="auto"/>
            <w:gridSpan w:val="3"/>
            <w:shd w:val="clear" w:color="auto" w:fill="FFFFFF"/>
            <w:tcMar>
              <w:top w:w="0" w:type="dxa"/>
              <w:left w:w="20" w:type="dxa"/>
              <w:bottom w:w="0" w:type="dxa"/>
              <w:right w:w="20" w:type="dxa"/>
            </w:tcMar>
          </w:tcPr>
          <w:p w14:paraId="5EA25A3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A3C"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5A3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A3E"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5A3F" w14:textId="77777777" w:rsidR="003C66EB" w:rsidRDefault="003C66EB">
            <w:pPr>
              <w:rPr>
                <w:rFonts w:ascii="宋体"/>
              </w:rPr>
            </w:pPr>
          </w:p>
        </w:tc>
        <w:tc>
          <w:tcPr>
            <w:tcW w:w="0" w:type="auto"/>
            <w:gridSpan w:val="3"/>
            <w:shd w:val="clear" w:color="auto" w:fill="auto"/>
          </w:tcPr>
          <w:p w14:paraId="5EA25A40" w14:textId="77777777" w:rsidR="003C66EB" w:rsidRDefault="003C66EB">
            <w:pPr>
              <w:rPr>
                <w:rFonts w:ascii="宋体"/>
                <w:vanish/>
              </w:rPr>
            </w:pPr>
          </w:p>
        </w:tc>
        <w:tc>
          <w:tcPr>
            <w:tcW w:w="0" w:type="auto"/>
            <w:gridSpan w:val="3"/>
            <w:shd w:val="clear" w:color="auto" w:fill="auto"/>
          </w:tcPr>
          <w:p w14:paraId="5EA25A41" w14:textId="77777777" w:rsidR="003C66EB" w:rsidRDefault="003C66EB">
            <w:pPr>
              <w:rPr>
                <w:rFonts w:ascii="宋体"/>
                <w:vanish/>
              </w:rPr>
            </w:pPr>
          </w:p>
        </w:tc>
      </w:tr>
      <w:tr w:rsidR="003C66EB" w14:paraId="5EA25A4A" w14:textId="77777777">
        <w:trPr>
          <w:hidden/>
        </w:trPr>
        <w:tc>
          <w:tcPr>
            <w:tcW w:w="0" w:type="auto"/>
            <w:gridSpan w:val="3"/>
            <w:shd w:val="clear" w:color="auto" w:fill="auto"/>
          </w:tcPr>
          <w:p w14:paraId="5EA25A43" w14:textId="77777777" w:rsidR="003C66EB" w:rsidRDefault="003C66EB">
            <w:pPr>
              <w:rPr>
                <w:rFonts w:ascii="宋体"/>
                <w:vanish/>
              </w:rPr>
            </w:pPr>
          </w:p>
        </w:tc>
        <w:tc>
          <w:tcPr>
            <w:tcW w:w="0" w:type="auto"/>
            <w:gridSpan w:val="3"/>
            <w:shd w:val="clear" w:color="auto" w:fill="auto"/>
          </w:tcPr>
          <w:p w14:paraId="5EA25A44" w14:textId="77777777" w:rsidR="003C66EB" w:rsidRDefault="003C66EB">
            <w:pPr>
              <w:rPr>
                <w:rFonts w:ascii="宋体"/>
                <w:vanish/>
              </w:rPr>
            </w:pPr>
          </w:p>
        </w:tc>
        <w:tc>
          <w:tcPr>
            <w:tcW w:w="0" w:type="auto"/>
            <w:gridSpan w:val="3"/>
            <w:shd w:val="clear" w:color="auto" w:fill="auto"/>
          </w:tcPr>
          <w:p w14:paraId="5EA25A45" w14:textId="77777777" w:rsidR="003C66EB" w:rsidRDefault="003C66EB">
            <w:pPr>
              <w:rPr>
                <w:rFonts w:ascii="宋体"/>
                <w:vanish/>
              </w:rPr>
            </w:pPr>
          </w:p>
        </w:tc>
        <w:tc>
          <w:tcPr>
            <w:tcW w:w="0" w:type="auto"/>
            <w:gridSpan w:val="3"/>
            <w:shd w:val="clear" w:color="auto" w:fill="auto"/>
          </w:tcPr>
          <w:p w14:paraId="5EA25A46" w14:textId="77777777" w:rsidR="003C66EB" w:rsidRDefault="003C66EB">
            <w:pPr>
              <w:rPr>
                <w:rFonts w:ascii="宋体"/>
                <w:vanish/>
              </w:rPr>
            </w:pPr>
          </w:p>
        </w:tc>
        <w:tc>
          <w:tcPr>
            <w:tcW w:w="0" w:type="auto"/>
            <w:gridSpan w:val="3"/>
            <w:shd w:val="clear" w:color="auto" w:fill="auto"/>
          </w:tcPr>
          <w:p w14:paraId="5EA25A47" w14:textId="77777777" w:rsidR="003C66EB" w:rsidRDefault="003C66EB">
            <w:pPr>
              <w:rPr>
                <w:rFonts w:ascii="宋体"/>
                <w:vanish/>
              </w:rPr>
            </w:pPr>
          </w:p>
        </w:tc>
        <w:tc>
          <w:tcPr>
            <w:tcW w:w="0" w:type="auto"/>
            <w:gridSpan w:val="3"/>
            <w:shd w:val="clear" w:color="auto" w:fill="auto"/>
          </w:tcPr>
          <w:p w14:paraId="5EA25A48" w14:textId="77777777" w:rsidR="003C66EB" w:rsidRDefault="003C66EB">
            <w:pPr>
              <w:rPr>
                <w:rFonts w:ascii="宋体"/>
                <w:vanish/>
              </w:rPr>
            </w:pPr>
          </w:p>
        </w:tc>
        <w:tc>
          <w:tcPr>
            <w:tcW w:w="0" w:type="auto"/>
            <w:gridSpan w:val="3"/>
            <w:shd w:val="clear" w:color="auto" w:fill="auto"/>
          </w:tcPr>
          <w:p w14:paraId="5EA25A49" w14:textId="77777777" w:rsidR="003C66EB" w:rsidRDefault="003C66EB">
            <w:pPr>
              <w:rPr>
                <w:rFonts w:ascii="宋体"/>
                <w:vanish/>
              </w:rPr>
            </w:pPr>
          </w:p>
        </w:tc>
      </w:tr>
      <w:tr w:rsidR="003C66EB" w14:paraId="5EA25A5E" w14:textId="77777777">
        <w:trPr>
          <w:hidden/>
        </w:trPr>
        <w:tc>
          <w:tcPr>
            <w:tcW w:w="0" w:type="auto"/>
            <w:gridSpan w:val="3"/>
            <w:shd w:val="clear" w:color="auto" w:fill="auto"/>
          </w:tcPr>
          <w:p w14:paraId="5EA25A4B" w14:textId="77777777" w:rsidR="003C66EB" w:rsidRDefault="003C66EB">
            <w:pPr>
              <w:rPr>
                <w:rFonts w:ascii="宋体"/>
                <w:vanish/>
              </w:rPr>
            </w:pPr>
          </w:p>
        </w:tc>
        <w:tc>
          <w:tcPr>
            <w:tcW w:w="0" w:type="auto"/>
            <w:shd w:val="clear" w:color="auto" w:fill="auto"/>
          </w:tcPr>
          <w:p w14:paraId="5EA25A4C" w14:textId="77777777" w:rsidR="003C66EB" w:rsidRDefault="003C66EB">
            <w:pPr>
              <w:rPr>
                <w:rFonts w:ascii="宋体"/>
              </w:rPr>
            </w:pPr>
          </w:p>
        </w:tc>
        <w:tc>
          <w:tcPr>
            <w:tcW w:w="0" w:type="auto"/>
            <w:shd w:val="clear" w:color="auto" w:fill="auto"/>
          </w:tcPr>
          <w:p w14:paraId="5EA25A4D" w14:textId="77777777" w:rsidR="003C66EB" w:rsidRDefault="003C66EB">
            <w:pPr>
              <w:rPr>
                <w:rFonts w:ascii="宋体"/>
              </w:rPr>
            </w:pPr>
          </w:p>
        </w:tc>
        <w:tc>
          <w:tcPr>
            <w:tcW w:w="0" w:type="auto"/>
            <w:shd w:val="clear" w:color="auto" w:fill="auto"/>
          </w:tcPr>
          <w:p w14:paraId="5EA25A4E" w14:textId="77777777" w:rsidR="003C66EB" w:rsidRDefault="003C66EB">
            <w:pPr>
              <w:rPr>
                <w:rFonts w:ascii="宋体"/>
              </w:rPr>
            </w:pPr>
          </w:p>
        </w:tc>
        <w:tc>
          <w:tcPr>
            <w:tcW w:w="0" w:type="auto"/>
            <w:shd w:val="clear" w:color="auto" w:fill="auto"/>
          </w:tcPr>
          <w:p w14:paraId="5EA25A4F" w14:textId="77777777" w:rsidR="003C66EB" w:rsidRDefault="003C66EB">
            <w:pPr>
              <w:rPr>
                <w:rFonts w:ascii="宋体"/>
              </w:rPr>
            </w:pPr>
          </w:p>
        </w:tc>
        <w:tc>
          <w:tcPr>
            <w:tcW w:w="0" w:type="auto"/>
            <w:shd w:val="clear" w:color="auto" w:fill="auto"/>
          </w:tcPr>
          <w:p w14:paraId="5EA25A50" w14:textId="77777777" w:rsidR="003C66EB" w:rsidRDefault="003C66EB">
            <w:pPr>
              <w:rPr>
                <w:rFonts w:ascii="宋体"/>
              </w:rPr>
            </w:pPr>
          </w:p>
        </w:tc>
        <w:tc>
          <w:tcPr>
            <w:tcW w:w="0" w:type="auto"/>
            <w:shd w:val="clear" w:color="auto" w:fill="auto"/>
          </w:tcPr>
          <w:p w14:paraId="5EA25A51" w14:textId="77777777" w:rsidR="003C66EB" w:rsidRDefault="003C66EB">
            <w:pPr>
              <w:rPr>
                <w:rFonts w:ascii="宋体"/>
              </w:rPr>
            </w:pPr>
          </w:p>
        </w:tc>
        <w:tc>
          <w:tcPr>
            <w:tcW w:w="0" w:type="auto"/>
            <w:shd w:val="clear" w:color="auto" w:fill="auto"/>
          </w:tcPr>
          <w:p w14:paraId="5EA25A52" w14:textId="77777777" w:rsidR="003C66EB" w:rsidRDefault="003C66EB">
            <w:pPr>
              <w:rPr>
                <w:rFonts w:ascii="宋体"/>
              </w:rPr>
            </w:pPr>
          </w:p>
        </w:tc>
        <w:tc>
          <w:tcPr>
            <w:tcW w:w="0" w:type="auto"/>
            <w:shd w:val="clear" w:color="auto" w:fill="auto"/>
          </w:tcPr>
          <w:p w14:paraId="5EA25A53" w14:textId="77777777" w:rsidR="003C66EB" w:rsidRDefault="003C66EB">
            <w:pPr>
              <w:rPr>
                <w:rFonts w:ascii="宋体"/>
              </w:rPr>
            </w:pPr>
          </w:p>
        </w:tc>
        <w:tc>
          <w:tcPr>
            <w:tcW w:w="0" w:type="auto"/>
            <w:shd w:val="clear" w:color="auto" w:fill="auto"/>
          </w:tcPr>
          <w:p w14:paraId="5EA25A54" w14:textId="77777777" w:rsidR="003C66EB" w:rsidRDefault="003C66EB">
            <w:pPr>
              <w:rPr>
                <w:rFonts w:ascii="宋体"/>
              </w:rPr>
            </w:pPr>
          </w:p>
        </w:tc>
        <w:tc>
          <w:tcPr>
            <w:tcW w:w="0" w:type="auto"/>
            <w:shd w:val="clear" w:color="auto" w:fill="auto"/>
          </w:tcPr>
          <w:p w14:paraId="5EA25A55" w14:textId="77777777" w:rsidR="003C66EB" w:rsidRDefault="003C66EB">
            <w:pPr>
              <w:rPr>
                <w:rFonts w:ascii="宋体"/>
              </w:rPr>
            </w:pPr>
          </w:p>
        </w:tc>
        <w:tc>
          <w:tcPr>
            <w:tcW w:w="0" w:type="auto"/>
            <w:shd w:val="clear" w:color="auto" w:fill="auto"/>
          </w:tcPr>
          <w:p w14:paraId="5EA25A56" w14:textId="77777777" w:rsidR="003C66EB" w:rsidRDefault="003C66EB">
            <w:pPr>
              <w:rPr>
                <w:rFonts w:ascii="宋体"/>
              </w:rPr>
            </w:pPr>
          </w:p>
        </w:tc>
        <w:tc>
          <w:tcPr>
            <w:tcW w:w="0" w:type="auto"/>
            <w:shd w:val="clear" w:color="auto" w:fill="auto"/>
          </w:tcPr>
          <w:p w14:paraId="5EA25A57" w14:textId="77777777" w:rsidR="003C66EB" w:rsidRDefault="003C66EB">
            <w:pPr>
              <w:rPr>
                <w:rFonts w:ascii="宋体"/>
              </w:rPr>
            </w:pPr>
          </w:p>
        </w:tc>
        <w:tc>
          <w:tcPr>
            <w:tcW w:w="0" w:type="auto"/>
            <w:shd w:val="clear" w:color="auto" w:fill="auto"/>
          </w:tcPr>
          <w:p w14:paraId="5EA25A58" w14:textId="77777777" w:rsidR="003C66EB" w:rsidRDefault="003C66EB">
            <w:pPr>
              <w:rPr>
                <w:rFonts w:ascii="宋体"/>
              </w:rPr>
            </w:pPr>
          </w:p>
        </w:tc>
        <w:tc>
          <w:tcPr>
            <w:tcW w:w="0" w:type="auto"/>
            <w:shd w:val="clear" w:color="auto" w:fill="auto"/>
          </w:tcPr>
          <w:p w14:paraId="5EA25A59" w14:textId="77777777" w:rsidR="003C66EB" w:rsidRDefault="003C66EB">
            <w:pPr>
              <w:rPr>
                <w:rFonts w:ascii="宋体"/>
              </w:rPr>
            </w:pPr>
          </w:p>
        </w:tc>
        <w:tc>
          <w:tcPr>
            <w:tcW w:w="0" w:type="auto"/>
            <w:shd w:val="clear" w:color="auto" w:fill="auto"/>
          </w:tcPr>
          <w:p w14:paraId="5EA25A5A" w14:textId="77777777" w:rsidR="003C66EB" w:rsidRDefault="003C66EB">
            <w:pPr>
              <w:rPr>
                <w:rFonts w:ascii="宋体"/>
              </w:rPr>
            </w:pPr>
          </w:p>
        </w:tc>
        <w:tc>
          <w:tcPr>
            <w:tcW w:w="0" w:type="auto"/>
            <w:shd w:val="clear" w:color="auto" w:fill="auto"/>
          </w:tcPr>
          <w:p w14:paraId="5EA25A5B" w14:textId="77777777" w:rsidR="003C66EB" w:rsidRDefault="003C66EB">
            <w:pPr>
              <w:rPr>
                <w:rFonts w:ascii="宋体"/>
              </w:rPr>
            </w:pPr>
          </w:p>
        </w:tc>
        <w:tc>
          <w:tcPr>
            <w:tcW w:w="0" w:type="auto"/>
            <w:shd w:val="clear" w:color="auto" w:fill="auto"/>
          </w:tcPr>
          <w:p w14:paraId="5EA25A5C" w14:textId="77777777" w:rsidR="003C66EB" w:rsidRDefault="003C66EB">
            <w:pPr>
              <w:rPr>
                <w:rFonts w:ascii="宋体"/>
              </w:rPr>
            </w:pPr>
          </w:p>
        </w:tc>
        <w:tc>
          <w:tcPr>
            <w:tcW w:w="0" w:type="auto"/>
            <w:shd w:val="clear" w:color="auto" w:fill="auto"/>
          </w:tcPr>
          <w:p w14:paraId="5EA25A5D" w14:textId="77777777" w:rsidR="003C66EB" w:rsidRDefault="003C66EB">
            <w:pPr>
              <w:rPr>
                <w:rFonts w:ascii="宋体"/>
              </w:rPr>
            </w:pPr>
          </w:p>
        </w:tc>
      </w:tr>
    </w:tbl>
    <w:p w14:paraId="5EA25A5F" w14:textId="77777777" w:rsidR="003C66EB" w:rsidRDefault="00D96C4E">
      <w:pPr>
        <w:spacing w:before="60"/>
        <w:ind w:firstLine="45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shows the carrying amount and associated cumulative basis adjustments related to the application of hedge accounting that is included in the carrying amount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2"/>
        <w:gridCol w:w="37"/>
        <w:gridCol w:w="110"/>
        <w:gridCol w:w="1564"/>
        <w:gridCol w:w="36"/>
        <w:gridCol w:w="36"/>
        <w:gridCol w:w="36"/>
        <w:gridCol w:w="36"/>
        <w:gridCol w:w="110"/>
        <w:gridCol w:w="1525"/>
        <w:gridCol w:w="37"/>
        <w:gridCol w:w="37"/>
        <w:gridCol w:w="36"/>
        <w:gridCol w:w="36"/>
        <w:gridCol w:w="110"/>
        <w:gridCol w:w="1526"/>
        <w:gridCol w:w="37"/>
        <w:gridCol w:w="36"/>
        <w:gridCol w:w="36"/>
        <w:gridCol w:w="36"/>
        <w:gridCol w:w="36"/>
        <w:gridCol w:w="36"/>
        <w:gridCol w:w="36"/>
      </w:tblGrid>
      <w:tr w:rsidR="003C66EB" w14:paraId="5EA25A74" w14:textId="77777777">
        <w:trPr>
          <w:jc w:val="center"/>
        </w:trPr>
        <w:tc>
          <w:tcPr>
            <w:tcW w:w="50" w:type="pct"/>
            <w:shd w:val="clear" w:color="auto" w:fill="auto"/>
          </w:tcPr>
          <w:p w14:paraId="5EA25A60" w14:textId="77777777" w:rsidR="003C66EB" w:rsidRDefault="003C66EB">
            <w:pPr>
              <w:rPr>
                <w:rFonts w:ascii="宋体"/>
              </w:rPr>
            </w:pPr>
          </w:p>
        </w:tc>
        <w:tc>
          <w:tcPr>
            <w:tcW w:w="1735" w:type="pct"/>
            <w:shd w:val="clear" w:color="auto" w:fill="auto"/>
          </w:tcPr>
          <w:p w14:paraId="5EA25A61" w14:textId="77777777" w:rsidR="003C66EB" w:rsidRDefault="003C66EB">
            <w:pPr>
              <w:rPr>
                <w:rFonts w:ascii="宋体"/>
              </w:rPr>
            </w:pPr>
          </w:p>
        </w:tc>
        <w:tc>
          <w:tcPr>
            <w:tcW w:w="5" w:type="pct"/>
            <w:shd w:val="clear" w:color="auto" w:fill="auto"/>
          </w:tcPr>
          <w:p w14:paraId="5EA25A62" w14:textId="77777777" w:rsidR="003C66EB" w:rsidRDefault="003C66EB">
            <w:pPr>
              <w:rPr>
                <w:rFonts w:ascii="宋体"/>
              </w:rPr>
            </w:pPr>
          </w:p>
        </w:tc>
        <w:tc>
          <w:tcPr>
            <w:tcW w:w="50" w:type="pct"/>
            <w:shd w:val="clear" w:color="auto" w:fill="auto"/>
          </w:tcPr>
          <w:p w14:paraId="5EA25A63" w14:textId="77777777" w:rsidR="003C66EB" w:rsidRDefault="003C66EB">
            <w:pPr>
              <w:rPr>
                <w:rFonts w:ascii="宋体"/>
              </w:rPr>
            </w:pPr>
          </w:p>
        </w:tc>
        <w:tc>
          <w:tcPr>
            <w:tcW w:w="990" w:type="pct"/>
            <w:shd w:val="clear" w:color="auto" w:fill="auto"/>
          </w:tcPr>
          <w:p w14:paraId="5EA25A64" w14:textId="77777777" w:rsidR="003C66EB" w:rsidRDefault="003C66EB">
            <w:pPr>
              <w:rPr>
                <w:rFonts w:ascii="宋体"/>
              </w:rPr>
            </w:pPr>
          </w:p>
        </w:tc>
        <w:tc>
          <w:tcPr>
            <w:tcW w:w="5" w:type="pct"/>
            <w:shd w:val="clear" w:color="auto" w:fill="auto"/>
          </w:tcPr>
          <w:p w14:paraId="5EA25A65" w14:textId="77777777" w:rsidR="003C66EB" w:rsidRDefault="003C66EB">
            <w:pPr>
              <w:rPr>
                <w:rFonts w:ascii="宋体"/>
              </w:rPr>
            </w:pPr>
          </w:p>
        </w:tc>
        <w:tc>
          <w:tcPr>
            <w:tcW w:w="5" w:type="pct"/>
            <w:shd w:val="clear" w:color="auto" w:fill="auto"/>
          </w:tcPr>
          <w:p w14:paraId="5EA25A66" w14:textId="77777777" w:rsidR="003C66EB" w:rsidRDefault="003C66EB">
            <w:pPr>
              <w:rPr>
                <w:rFonts w:ascii="宋体"/>
              </w:rPr>
            </w:pPr>
          </w:p>
        </w:tc>
        <w:tc>
          <w:tcPr>
            <w:tcW w:w="26" w:type="pct"/>
            <w:shd w:val="clear" w:color="auto" w:fill="auto"/>
          </w:tcPr>
          <w:p w14:paraId="5EA25A67" w14:textId="77777777" w:rsidR="003C66EB" w:rsidRDefault="003C66EB">
            <w:pPr>
              <w:rPr>
                <w:rFonts w:ascii="宋体"/>
              </w:rPr>
            </w:pPr>
          </w:p>
        </w:tc>
        <w:tc>
          <w:tcPr>
            <w:tcW w:w="5" w:type="pct"/>
            <w:shd w:val="clear" w:color="auto" w:fill="auto"/>
          </w:tcPr>
          <w:p w14:paraId="5EA25A68" w14:textId="77777777" w:rsidR="003C66EB" w:rsidRDefault="003C66EB">
            <w:pPr>
              <w:rPr>
                <w:rFonts w:ascii="宋体"/>
              </w:rPr>
            </w:pPr>
          </w:p>
        </w:tc>
        <w:tc>
          <w:tcPr>
            <w:tcW w:w="50" w:type="pct"/>
            <w:shd w:val="clear" w:color="auto" w:fill="auto"/>
          </w:tcPr>
          <w:p w14:paraId="5EA25A69" w14:textId="77777777" w:rsidR="003C66EB" w:rsidRDefault="003C66EB">
            <w:pPr>
              <w:rPr>
                <w:rFonts w:ascii="宋体"/>
              </w:rPr>
            </w:pPr>
          </w:p>
        </w:tc>
        <w:tc>
          <w:tcPr>
            <w:tcW w:w="990" w:type="pct"/>
            <w:shd w:val="clear" w:color="auto" w:fill="auto"/>
          </w:tcPr>
          <w:p w14:paraId="5EA25A6A" w14:textId="77777777" w:rsidR="003C66EB" w:rsidRDefault="003C66EB">
            <w:pPr>
              <w:rPr>
                <w:rFonts w:ascii="宋体"/>
              </w:rPr>
            </w:pPr>
          </w:p>
        </w:tc>
        <w:tc>
          <w:tcPr>
            <w:tcW w:w="5" w:type="pct"/>
            <w:shd w:val="clear" w:color="auto" w:fill="auto"/>
          </w:tcPr>
          <w:p w14:paraId="5EA25A6B" w14:textId="77777777" w:rsidR="003C66EB" w:rsidRDefault="003C66EB">
            <w:pPr>
              <w:rPr>
                <w:rFonts w:ascii="宋体"/>
              </w:rPr>
            </w:pPr>
          </w:p>
        </w:tc>
        <w:tc>
          <w:tcPr>
            <w:tcW w:w="5" w:type="pct"/>
            <w:shd w:val="clear" w:color="auto" w:fill="auto"/>
          </w:tcPr>
          <w:p w14:paraId="5EA25A6C" w14:textId="77777777" w:rsidR="003C66EB" w:rsidRDefault="003C66EB">
            <w:pPr>
              <w:rPr>
                <w:rFonts w:ascii="宋体"/>
              </w:rPr>
            </w:pPr>
          </w:p>
        </w:tc>
        <w:tc>
          <w:tcPr>
            <w:tcW w:w="26" w:type="pct"/>
            <w:shd w:val="clear" w:color="auto" w:fill="auto"/>
          </w:tcPr>
          <w:p w14:paraId="5EA25A6D" w14:textId="77777777" w:rsidR="003C66EB" w:rsidRDefault="003C66EB">
            <w:pPr>
              <w:rPr>
                <w:rFonts w:ascii="宋体"/>
              </w:rPr>
            </w:pPr>
          </w:p>
        </w:tc>
        <w:tc>
          <w:tcPr>
            <w:tcW w:w="5" w:type="pct"/>
            <w:shd w:val="clear" w:color="auto" w:fill="auto"/>
          </w:tcPr>
          <w:p w14:paraId="5EA25A6E" w14:textId="77777777" w:rsidR="003C66EB" w:rsidRDefault="003C66EB">
            <w:pPr>
              <w:rPr>
                <w:rFonts w:ascii="宋体"/>
              </w:rPr>
            </w:pPr>
          </w:p>
        </w:tc>
        <w:tc>
          <w:tcPr>
            <w:tcW w:w="50" w:type="pct"/>
            <w:shd w:val="clear" w:color="auto" w:fill="auto"/>
          </w:tcPr>
          <w:p w14:paraId="5EA25A6F" w14:textId="77777777" w:rsidR="003C66EB" w:rsidRDefault="003C66EB">
            <w:pPr>
              <w:rPr>
                <w:rFonts w:ascii="宋体"/>
              </w:rPr>
            </w:pPr>
          </w:p>
        </w:tc>
        <w:tc>
          <w:tcPr>
            <w:tcW w:w="990" w:type="pct"/>
            <w:shd w:val="clear" w:color="auto" w:fill="auto"/>
          </w:tcPr>
          <w:p w14:paraId="5EA25A70" w14:textId="77777777" w:rsidR="003C66EB" w:rsidRDefault="003C66EB">
            <w:pPr>
              <w:rPr>
                <w:rFonts w:ascii="宋体"/>
              </w:rPr>
            </w:pPr>
          </w:p>
        </w:tc>
        <w:tc>
          <w:tcPr>
            <w:tcW w:w="5" w:type="pct"/>
            <w:shd w:val="clear" w:color="auto" w:fill="auto"/>
          </w:tcPr>
          <w:p w14:paraId="5EA25A71" w14:textId="77777777" w:rsidR="003C66EB" w:rsidRDefault="003C66EB">
            <w:pPr>
              <w:rPr>
                <w:rFonts w:ascii="宋体"/>
              </w:rPr>
            </w:pPr>
          </w:p>
        </w:tc>
        <w:tc>
          <w:tcPr>
            <w:tcW w:w="0" w:type="auto"/>
            <w:gridSpan w:val="3"/>
            <w:shd w:val="clear" w:color="auto" w:fill="auto"/>
          </w:tcPr>
          <w:p w14:paraId="5EA25A72" w14:textId="77777777" w:rsidR="003C66EB" w:rsidRDefault="003C66EB">
            <w:pPr>
              <w:rPr>
                <w:rFonts w:ascii="宋体"/>
                <w:vanish/>
              </w:rPr>
            </w:pPr>
          </w:p>
        </w:tc>
        <w:tc>
          <w:tcPr>
            <w:tcW w:w="0" w:type="auto"/>
            <w:gridSpan w:val="3"/>
            <w:shd w:val="clear" w:color="auto" w:fill="auto"/>
          </w:tcPr>
          <w:p w14:paraId="5EA25A73" w14:textId="77777777" w:rsidR="003C66EB" w:rsidRDefault="003C66EB">
            <w:pPr>
              <w:rPr>
                <w:rFonts w:ascii="宋体"/>
                <w:vanish/>
              </w:rPr>
            </w:pPr>
          </w:p>
        </w:tc>
      </w:tr>
      <w:tr w:rsidR="003C66EB" w14:paraId="5EA25A79" w14:textId="77777777">
        <w:trPr>
          <w:jc w:val="center"/>
        </w:trPr>
        <w:tc>
          <w:tcPr>
            <w:tcW w:w="0" w:type="auto"/>
            <w:gridSpan w:val="3"/>
            <w:shd w:val="clear" w:color="auto" w:fill="auto"/>
            <w:tcMar>
              <w:top w:w="0" w:type="dxa"/>
              <w:left w:w="20" w:type="dxa"/>
              <w:bottom w:w="0" w:type="dxa"/>
              <w:right w:w="20" w:type="dxa"/>
            </w:tcMar>
          </w:tcPr>
          <w:p w14:paraId="5EA25A75" w14:textId="77777777" w:rsidR="003C66EB" w:rsidRDefault="003C66E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A25A76" w14:textId="77777777" w:rsidR="003C66EB" w:rsidRDefault="00D96C4E">
            <w:pPr>
              <w:jc w:val="center"/>
              <w:textAlignment w:val="bottom"/>
            </w:pPr>
            <w:r>
              <w:rPr>
                <w:rFonts w:ascii="Arial" w:eastAsia="宋体" w:hAnsi="Arial" w:cs="Arial"/>
                <w:b/>
                <w:bCs/>
                <w:color w:val="000000"/>
                <w:sz w:val="16"/>
                <w:szCs w:val="16"/>
              </w:rPr>
              <w:t>March 31, 2021</w:t>
            </w:r>
          </w:p>
        </w:tc>
        <w:tc>
          <w:tcPr>
            <w:tcW w:w="0" w:type="auto"/>
            <w:gridSpan w:val="3"/>
            <w:shd w:val="clear" w:color="auto" w:fill="auto"/>
          </w:tcPr>
          <w:p w14:paraId="5EA25A77" w14:textId="77777777" w:rsidR="003C66EB" w:rsidRDefault="003C66EB">
            <w:pPr>
              <w:rPr>
                <w:rFonts w:ascii="宋体"/>
                <w:vanish/>
              </w:rPr>
            </w:pPr>
          </w:p>
        </w:tc>
        <w:tc>
          <w:tcPr>
            <w:tcW w:w="0" w:type="auto"/>
            <w:gridSpan w:val="3"/>
            <w:shd w:val="clear" w:color="auto" w:fill="auto"/>
          </w:tcPr>
          <w:p w14:paraId="5EA25A78" w14:textId="77777777" w:rsidR="003C66EB" w:rsidRDefault="003C66EB">
            <w:pPr>
              <w:rPr>
                <w:rFonts w:ascii="宋体"/>
                <w:vanish/>
              </w:rPr>
            </w:pPr>
          </w:p>
        </w:tc>
      </w:tr>
      <w:tr w:rsidR="003C66EB" w14:paraId="5EA25A80" w14:textId="77777777">
        <w:trPr>
          <w:jc w:val="center"/>
        </w:trPr>
        <w:tc>
          <w:tcPr>
            <w:tcW w:w="0" w:type="auto"/>
            <w:gridSpan w:val="3"/>
            <w:shd w:val="clear" w:color="auto" w:fill="auto"/>
            <w:tcMar>
              <w:top w:w="0" w:type="dxa"/>
              <w:left w:w="20" w:type="dxa"/>
              <w:bottom w:w="0" w:type="dxa"/>
              <w:right w:w="20" w:type="dxa"/>
            </w:tcMar>
          </w:tcPr>
          <w:p w14:paraId="5EA25A7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A7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A7C"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A7D" w14:textId="77777777" w:rsidR="003C66EB" w:rsidRDefault="00D96C4E">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tcPr>
          <w:p w14:paraId="5EA25A7E" w14:textId="77777777" w:rsidR="003C66EB" w:rsidRDefault="003C66EB">
            <w:pPr>
              <w:rPr>
                <w:rFonts w:ascii="宋体"/>
                <w:vanish/>
              </w:rPr>
            </w:pPr>
          </w:p>
        </w:tc>
        <w:tc>
          <w:tcPr>
            <w:tcW w:w="0" w:type="auto"/>
            <w:gridSpan w:val="3"/>
            <w:shd w:val="clear" w:color="auto" w:fill="auto"/>
          </w:tcPr>
          <w:p w14:paraId="5EA25A7F" w14:textId="77777777" w:rsidR="003C66EB" w:rsidRDefault="003C66EB">
            <w:pPr>
              <w:rPr>
                <w:rFonts w:ascii="宋体"/>
                <w:vanish/>
              </w:rPr>
            </w:pPr>
          </w:p>
        </w:tc>
      </w:tr>
      <w:tr w:rsidR="003C66EB" w14:paraId="5EA25A89" w14:textId="77777777">
        <w:trPr>
          <w:jc w:val="center"/>
        </w:trPr>
        <w:tc>
          <w:tcPr>
            <w:tcW w:w="0" w:type="auto"/>
            <w:gridSpan w:val="3"/>
            <w:shd w:val="clear" w:color="auto" w:fill="auto"/>
            <w:tcMar>
              <w:top w:w="40" w:type="dxa"/>
              <w:left w:w="20" w:type="dxa"/>
              <w:bottom w:w="40" w:type="dxa"/>
              <w:right w:w="20" w:type="dxa"/>
            </w:tcMar>
            <w:vAlign w:val="bottom"/>
          </w:tcPr>
          <w:p w14:paraId="5EA25A81" w14:textId="77777777" w:rsidR="003C66EB" w:rsidRDefault="00D96C4E">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5EA25A82" w14:textId="77777777" w:rsidR="003C66EB" w:rsidRDefault="00D96C4E">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tcPr>
          <w:p w14:paraId="5EA25A8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A84" w14:textId="77777777" w:rsidR="003C66EB" w:rsidRDefault="00D96C4E">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tcPr>
          <w:p w14:paraId="5EA25A8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A86" w14:textId="77777777" w:rsidR="003C66EB" w:rsidRDefault="00D96C4E">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tcPr>
          <w:p w14:paraId="5EA25A87" w14:textId="77777777" w:rsidR="003C66EB" w:rsidRDefault="003C66EB">
            <w:pPr>
              <w:rPr>
                <w:rFonts w:ascii="宋体"/>
                <w:vanish/>
              </w:rPr>
            </w:pPr>
          </w:p>
        </w:tc>
        <w:tc>
          <w:tcPr>
            <w:tcW w:w="0" w:type="auto"/>
            <w:gridSpan w:val="3"/>
            <w:shd w:val="clear" w:color="auto" w:fill="auto"/>
          </w:tcPr>
          <w:p w14:paraId="5EA25A88" w14:textId="77777777" w:rsidR="003C66EB" w:rsidRDefault="003C66EB">
            <w:pPr>
              <w:rPr>
                <w:rFonts w:ascii="宋体"/>
                <w:vanish/>
              </w:rPr>
            </w:pPr>
          </w:p>
        </w:tc>
      </w:tr>
      <w:tr w:rsidR="003C66EB" w14:paraId="5EA25A98" w14:textId="77777777">
        <w:trPr>
          <w:jc w:val="center"/>
        </w:trPr>
        <w:tc>
          <w:tcPr>
            <w:tcW w:w="0" w:type="auto"/>
            <w:gridSpan w:val="3"/>
            <w:shd w:val="clear" w:color="auto" w:fill="CCEEFF"/>
            <w:tcMar>
              <w:top w:w="40" w:type="dxa"/>
              <w:left w:w="20" w:type="dxa"/>
              <w:bottom w:w="40" w:type="dxa"/>
              <w:right w:w="20" w:type="dxa"/>
            </w:tcMar>
            <w:vAlign w:val="bottom"/>
          </w:tcPr>
          <w:p w14:paraId="5EA25A8A" w14:textId="77777777" w:rsidR="003C66EB" w:rsidRDefault="00D96C4E">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A8B"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8C" w14:textId="77777777" w:rsidR="003C66EB" w:rsidRDefault="00D96C4E">
            <w:pPr>
              <w:jc w:val="right"/>
              <w:textAlignment w:val="bottom"/>
            </w:pPr>
            <w:r>
              <w:rPr>
                <w:rFonts w:ascii="Arial" w:eastAsia="宋体" w:hAnsi="Arial" w:cs="Arial"/>
                <w:b/>
                <w:bCs/>
                <w:color w:val="000000"/>
                <w:sz w:val="16"/>
                <w:szCs w:val="16"/>
              </w:rPr>
              <w:t>9,771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A8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A8F"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90"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9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A9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A93"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94" w14:textId="77777777" w:rsidR="003C66EB" w:rsidRDefault="00D96C4E">
            <w:pPr>
              <w:jc w:val="right"/>
              <w:textAlignment w:val="bottom"/>
            </w:pPr>
            <w:r>
              <w:rPr>
                <w:rFonts w:ascii="Arial" w:eastAsia="宋体" w:hAnsi="Arial" w:cs="Arial"/>
                <w:b/>
                <w:bCs/>
                <w:color w:val="000000"/>
                <w:sz w:val="16"/>
                <w:szCs w:val="16"/>
              </w:rPr>
              <w:t>636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95" w14:textId="77777777" w:rsidR="003C66EB" w:rsidRDefault="003C66EB">
            <w:pPr>
              <w:jc w:val="right"/>
              <w:rPr>
                <w:rFonts w:ascii="宋体"/>
              </w:rPr>
            </w:pPr>
          </w:p>
        </w:tc>
        <w:tc>
          <w:tcPr>
            <w:tcW w:w="0" w:type="auto"/>
            <w:gridSpan w:val="3"/>
            <w:shd w:val="clear" w:color="auto" w:fill="auto"/>
          </w:tcPr>
          <w:p w14:paraId="5EA25A96" w14:textId="77777777" w:rsidR="003C66EB" w:rsidRDefault="003C66EB">
            <w:pPr>
              <w:rPr>
                <w:rFonts w:ascii="宋体"/>
                <w:vanish/>
              </w:rPr>
            </w:pPr>
          </w:p>
        </w:tc>
        <w:tc>
          <w:tcPr>
            <w:tcW w:w="0" w:type="auto"/>
            <w:gridSpan w:val="3"/>
            <w:shd w:val="clear" w:color="auto" w:fill="auto"/>
          </w:tcPr>
          <w:p w14:paraId="5EA25A97" w14:textId="77777777" w:rsidR="003C66EB" w:rsidRDefault="003C66EB">
            <w:pPr>
              <w:rPr>
                <w:rFonts w:ascii="宋体"/>
                <w:vanish/>
              </w:rPr>
            </w:pPr>
          </w:p>
        </w:tc>
      </w:tr>
      <w:tr w:rsidR="003C66EB" w14:paraId="5EA25AA4" w14:textId="77777777">
        <w:trPr>
          <w:jc w:val="center"/>
        </w:trPr>
        <w:tc>
          <w:tcPr>
            <w:tcW w:w="0" w:type="auto"/>
            <w:gridSpan w:val="3"/>
            <w:shd w:val="clear" w:color="auto" w:fill="FFFFFF"/>
            <w:tcMar>
              <w:top w:w="40" w:type="dxa"/>
              <w:left w:w="20" w:type="dxa"/>
              <w:bottom w:w="40" w:type="dxa"/>
              <w:right w:w="20" w:type="dxa"/>
            </w:tcMar>
            <w:vAlign w:val="bottom"/>
          </w:tcPr>
          <w:p w14:paraId="5EA25A99" w14:textId="77777777" w:rsidR="003C66EB" w:rsidRDefault="00D96C4E">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5EA25A9A" w14:textId="77777777" w:rsidR="003C66EB" w:rsidRDefault="00D96C4E">
            <w:pPr>
              <w:jc w:val="right"/>
              <w:textAlignment w:val="bottom"/>
            </w:pPr>
            <w:r>
              <w:rPr>
                <w:rFonts w:ascii="Arial" w:eastAsia="宋体" w:hAnsi="Arial" w:cs="Arial"/>
                <w:b/>
                <w:bCs/>
                <w:color w:val="000000"/>
                <w:sz w:val="16"/>
                <w:szCs w:val="16"/>
              </w:rPr>
              <w:t>2,814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5A9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A9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A9D" w14:textId="77777777" w:rsidR="003C66EB" w:rsidRDefault="00D96C4E">
            <w:pPr>
              <w:jc w:val="right"/>
              <w:textAlignment w:val="bottom"/>
            </w:pPr>
            <w:r>
              <w:rPr>
                <w:rFonts w:ascii="Arial" w:eastAsia="宋体" w:hAnsi="Arial" w:cs="Arial"/>
                <w:b/>
                <w:bCs/>
                <w:color w:val="000000"/>
                <w:sz w:val="16"/>
                <w:szCs w:val="16"/>
              </w:rPr>
              <w:t>(8)</w:t>
            </w:r>
          </w:p>
        </w:tc>
        <w:tc>
          <w:tcPr>
            <w:tcW w:w="0" w:type="auto"/>
            <w:shd w:val="clear" w:color="auto" w:fill="FFFFFF"/>
            <w:tcMar>
              <w:top w:w="40" w:type="dxa"/>
              <w:left w:w="0" w:type="dxa"/>
              <w:bottom w:w="40" w:type="dxa"/>
              <w:right w:w="20" w:type="dxa"/>
            </w:tcMar>
            <w:vAlign w:val="bottom"/>
          </w:tcPr>
          <w:p w14:paraId="5EA25A9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A9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AA0" w14:textId="77777777" w:rsidR="003C66EB" w:rsidRDefault="00D96C4E">
            <w:pPr>
              <w:jc w:val="right"/>
              <w:textAlignment w:val="bottom"/>
            </w:pPr>
            <w:r>
              <w:rPr>
                <w:rFonts w:ascii="Arial" w:eastAsia="宋体" w:hAnsi="Arial" w:cs="Arial"/>
                <w:b/>
                <w:bCs/>
                <w:color w:val="000000"/>
                <w:sz w:val="16"/>
                <w:szCs w:val="16"/>
              </w:rPr>
              <w:t>37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5AA1" w14:textId="77777777" w:rsidR="003C66EB" w:rsidRDefault="003C66EB">
            <w:pPr>
              <w:jc w:val="right"/>
              <w:rPr>
                <w:rFonts w:ascii="宋体"/>
              </w:rPr>
            </w:pPr>
          </w:p>
        </w:tc>
        <w:tc>
          <w:tcPr>
            <w:tcW w:w="0" w:type="auto"/>
            <w:gridSpan w:val="3"/>
            <w:shd w:val="clear" w:color="auto" w:fill="auto"/>
          </w:tcPr>
          <w:p w14:paraId="5EA25AA2" w14:textId="77777777" w:rsidR="003C66EB" w:rsidRDefault="003C66EB">
            <w:pPr>
              <w:rPr>
                <w:rFonts w:ascii="宋体"/>
                <w:vanish/>
              </w:rPr>
            </w:pPr>
          </w:p>
        </w:tc>
        <w:tc>
          <w:tcPr>
            <w:tcW w:w="0" w:type="auto"/>
            <w:gridSpan w:val="3"/>
            <w:shd w:val="clear" w:color="auto" w:fill="auto"/>
          </w:tcPr>
          <w:p w14:paraId="5EA25AA3" w14:textId="77777777" w:rsidR="003C66EB" w:rsidRDefault="003C66EB">
            <w:pPr>
              <w:rPr>
                <w:rFonts w:ascii="宋体"/>
                <w:vanish/>
              </w:rPr>
            </w:pPr>
          </w:p>
        </w:tc>
      </w:tr>
      <w:tr w:rsidR="003C66EB" w14:paraId="5EA25AAD" w14:textId="77777777">
        <w:trPr>
          <w:trHeight w:val="220"/>
          <w:jc w:val="center"/>
        </w:trPr>
        <w:tc>
          <w:tcPr>
            <w:tcW w:w="0" w:type="auto"/>
            <w:gridSpan w:val="3"/>
            <w:shd w:val="clear" w:color="auto" w:fill="auto"/>
            <w:tcMar>
              <w:top w:w="0" w:type="dxa"/>
              <w:left w:w="20" w:type="dxa"/>
              <w:bottom w:w="0" w:type="dxa"/>
              <w:right w:w="20" w:type="dxa"/>
            </w:tcMar>
          </w:tcPr>
          <w:p w14:paraId="5EA25AA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A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A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A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AA" w14:textId="77777777" w:rsidR="003C66EB" w:rsidRDefault="003C66EB">
            <w:pPr>
              <w:rPr>
                <w:rFonts w:ascii="宋体"/>
              </w:rPr>
            </w:pPr>
          </w:p>
        </w:tc>
        <w:tc>
          <w:tcPr>
            <w:tcW w:w="0" w:type="auto"/>
            <w:gridSpan w:val="3"/>
            <w:shd w:val="clear" w:color="auto" w:fill="auto"/>
          </w:tcPr>
          <w:p w14:paraId="5EA25AAB" w14:textId="77777777" w:rsidR="003C66EB" w:rsidRDefault="003C66EB">
            <w:pPr>
              <w:rPr>
                <w:rFonts w:ascii="宋体"/>
                <w:vanish/>
              </w:rPr>
            </w:pPr>
          </w:p>
        </w:tc>
        <w:tc>
          <w:tcPr>
            <w:tcW w:w="0" w:type="auto"/>
            <w:gridSpan w:val="3"/>
            <w:shd w:val="clear" w:color="auto" w:fill="auto"/>
          </w:tcPr>
          <w:p w14:paraId="5EA25AAC" w14:textId="77777777" w:rsidR="003C66EB" w:rsidRDefault="003C66EB">
            <w:pPr>
              <w:rPr>
                <w:rFonts w:ascii="宋体"/>
                <w:vanish/>
              </w:rPr>
            </w:pPr>
          </w:p>
        </w:tc>
      </w:tr>
      <w:tr w:rsidR="003C66EB" w14:paraId="5EA25AB2" w14:textId="77777777">
        <w:trPr>
          <w:jc w:val="center"/>
        </w:trPr>
        <w:tc>
          <w:tcPr>
            <w:tcW w:w="0" w:type="auto"/>
            <w:gridSpan w:val="3"/>
            <w:shd w:val="clear" w:color="auto" w:fill="auto"/>
            <w:tcMar>
              <w:top w:w="0" w:type="dxa"/>
              <w:left w:w="20" w:type="dxa"/>
              <w:bottom w:w="0" w:type="dxa"/>
              <w:right w:w="20" w:type="dxa"/>
            </w:tcMar>
          </w:tcPr>
          <w:p w14:paraId="5EA25AAE" w14:textId="77777777" w:rsidR="003C66EB" w:rsidRDefault="003C66EB">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A25AAF" w14:textId="77777777" w:rsidR="003C66EB" w:rsidRDefault="00D96C4E">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tcPr>
          <w:p w14:paraId="5EA25AB0" w14:textId="77777777" w:rsidR="003C66EB" w:rsidRDefault="003C66EB">
            <w:pPr>
              <w:rPr>
                <w:rFonts w:ascii="宋体"/>
                <w:vanish/>
              </w:rPr>
            </w:pPr>
          </w:p>
        </w:tc>
        <w:tc>
          <w:tcPr>
            <w:tcW w:w="0" w:type="auto"/>
            <w:gridSpan w:val="3"/>
            <w:shd w:val="clear" w:color="auto" w:fill="auto"/>
          </w:tcPr>
          <w:p w14:paraId="5EA25AB1" w14:textId="77777777" w:rsidR="003C66EB" w:rsidRDefault="003C66EB">
            <w:pPr>
              <w:rPr>
                <w:rFonts w:ascii="宋体"/>
                <w:vanish/>
              </w:rPr>
            </w:pPr>
          </w:p>
        </w:tc>
      </w:tr>
      <w:tr w:rsidR="003C66EB" w14:paraId="5EA25AB9" w14:textId="77777777">
        <w:trPr>
          <w:jc w:val="center"/>
        </w:trPr>
        <w:tc>
          <w:tcPr>
            <w:tcW w:w="0" w:type="auto"/>
            <w:gridSpan w:val="3"/>
            <w:shd w:val="clear" w:color="auto" w:fill="auto"/>
            <w:tcMar>
              <w:top w:w="0" w:type="dxa"/>
              <w:left w:w="20" w:type="dxa"/>
              <w:bottom w:w="0" w:type="dxa"/>
              <w:right w:w="20" w:type="dxa"/>
            </w:tcMar>
          </w:tcPr>
          <w:p w14:paraId="5EA25AB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AB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AB5"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AB6" w14:textId="77777777" w:rsidR="003C66EB" w:rsidRDefault="00D96C4E">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tcPr>
          <w:p w14:paraId="5EA25AB7" w14:textId="77777777" w:rsidR="003C66EB" w:rsidRDefault="003C66EB">
            <w:pPr>
              <w:rPr>
                <w:rFonts w:ascii="宋体"/>
                <w:vanish/>
              </w:rPr>
            </w:pPr>
          </w:p>
        </w:tc>
        <w:tc>
          <w:tcPr>
            <w:tcW w:w="0" w:type="auto"/>
            <w:gridSpan w:val="3"/>
            <w:shd w:val="clear" w:color="auto" w:fill="auto"/>
          </w:tcPr>
          <w:p w14:paraId="5EA25AB8" w14:textId="77777777" w:rsidR="003C66EB" w:rsidRDefault="003C66EB">
            <w:pPr>
              <w:rPr>
                <w:rFonts w:ascii="宋体"/>
                <w:vanish/>
              </w:rPr>
            </w:pPr>
          </w:p>
        </w:tc>
      </w:tr>
      <w:tr w:rsidR="003C66EB" w14:paraId="5EA25AC2" w14:textId="77777777">
        <w:trPr>
          <w:jc w:val="center"/>
        </w:trPr>
        <w:tc>
          <w:tcPr>
            <w:tcW w:w="0" w:type="auto"/>
            <w:gridSpan w:val="3"/>
            <w:shd w:val="clear" w:color="auto" w:fill="auto"/>
            <w:tcMar>
              <w:top w:w="40" w:type="dxa"/>
              <w:left w:w="20" w:type="dxa"/>
              <w:bottom w:w="40" w:type="dxa"/>
              <w:right w:w="20" w:type="dxa"/>
            </w:tcMar>
            <w:vAlign w:val="bottom"/>
          </w:tcPr>
          <w:p w14:paraId="5EA25ABA" w14:textId="77777777" w:rsidR="003C66EB" w:rsidRDefault="00D96C4E">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5EA25ABB" w14:textId="77777777" w:rsidR="003C66EB" w:rsidRDefault="00D96C4E">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tcPr>
          <w:p w14:paraId="5EA25AB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ABD" w14:textId="77777777" w:rsidR="003C66EB" w:rsidRDefault="00D96C4E">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tcPr>
          <w:p w14:paraId="5EA25AB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ABF" w14:textId="77777777" w:rsidR="003C66EB" w:rsidRDefault="00D96C4E">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tcPr>
          <w:p w14:paraId="5EA25AC0" w14:textId="77777777" w:rsidR="003C66EB" w:rsidRDefault="003C66EB">
            <w:pPr>
              <w:rPr>
                <w:rFonts w:ascii="宋体"/>
                <w:vanish/>
              </w:rPr>
            </w:pPr>
          </w:p>
        </w:tc>
        <w:tc>
          <w:tcPr>
            <w:tcW w:w="0" w:type="auto"/>
            <w:gridSpan w:val="3"/>
            <w:shd w:val="clear" w:color="auto" w:fill="auto"/>
          </w:tcPr>
          <w:p w14:paraId="5EA25AC1" w14:textId="77777777" w:rsidR="003C66EB" w:rsidRDefault="003C66EB">
            <w:pPr>
              <w:rPr>
                <w:rFonts w:ascii="宋体"/>
                <w:vanish/>
              </w:rPr>
            </w:pPr>
          </w:p>
        </w:tc>
      </w:tr>
      <w:tr w:rsidR="003C66EB" w14:paraId="5EA25AD1" w14:textId="77777777">
        <w:trPr>
          <w:jc w:val="center"/>
        </w:trPr>
        <w:tc>
          <w:tcPr>
            <w:tcW w:w="0" w:type="auto"/>
            <w:gridSpan w:val="3"/>
            <w:shd w:val="clear" w:color="auto" w:fill="CCEEFF"/>
            <w:tcMar>
              <w:top w:w="40" w:type="dxa"/>
              <w:left w:w="20" w:type="dxa"/>
              <w:bottom w:w="40" w:type="dxa"/>
              <w:right w:w="20" w:type="dxa"/>
            </w:tcMar>
            <w:vAlign w:val="bottom"/>
          </w:tcPr>
          <w:p w14:paraId="5EA25AC3" w14:textId="77777777" w:rsidR="003C66EB" w:rsidRDefault="00D96C4E">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AC4"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C5" w14:textId="77777777" w:rsidR="003C66EB" w:rsidRDefault="00D96C4E">
            <w:pPr>
              <w:jc w:val="right"/>
              <w:textAlignment w:val="bottom"/>
            </w:pPr>
            <w:r>
              <w:rPr>
                <w:rFonts w:ascii="Arial" w:eastAsia="宋体" w:hAnsi="Arial" w:cs="Arial"/>
                <w:color w:val="000000"/>
                <w:sz w:val="16"/>
                <w:szCs w:val="16"/>
              </w:rPr>
              <w:t>10,519 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AC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AC8"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C9" w14:textId="77777777" w:rsidR="003C66EB" w:rsidRDefault="00D96C4E">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AC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ACC"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ACD" w14:textId="77777777" w:rsidR="003C66EB" w:rsidRDefault="00D96C4E">
            <w:pPr>
              <w:jc w:val="right"/>
              <w:textAlignment w:val="bottom"/>
            </w:pPr>
            <w:r>
              <w:rPr>
                <w:rFonts w:ascii="Arial" w:eastAsia="宋体" w:hAnsi="Arial" w:cs="Arial"/>
                <w:color w:val="000000"/>
                <w:sz w:val="16"/>
                <w:szCs w:val="16"/>
              </w:rPr>
              <w:t>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ACE" w14:textId="77777777" w:rsidR="003C66EB" w:rsidRDefault="003C66EB">
            <w:pPr>
              <w:jc w:val="right"/>
              <w:rPr>
                <w:rFonts w:ascii="宋体"/>
              </w:rPr>
            </w:pPr>
          </w:p>
        </w:tc>
        <w:tc>
          <w:tcPr>
            <w:tcW w:w="0" w:type="auto"/>
            <w:gridSpan w:val="3"/>
            <w:shd w:val="clear" w:color="auto" w:fill="auto"/>
          </w:tcPr>
          <w:p w14:paraId="5EA25ACF" w14:textId="77777777" w:rsidR="003C66EB" w:rsidRDefault="003C66EB">
            <w:pPr>
              <w:rPr>
                <w:rFonts w:ascii="宋体"/>
                <w:vanish/>
              </w:rPr>
            </w:pPr>
          </w:p>
        </w:tc>
        <w:tc>
          <w:tcPr>
            <w:tcW w:w="0" w:type="auto"/>
            <w:gridSpan w:val="3"/>
            <w:shd w:val="clear" w:color="auto" w:fill="auto"/>
          </w:tcPr>
          <w:p w14:paraId="5EA25AD0" w14:textId="77777777" w:rsidR="003C66EB" w:rsidRDefault="003C66EB">
            <w:pPr>
              <w:rPr>
                <w:rFonts w:ascii="宋体"/>
                <w:vanish/>
              </w:rPr>
            </w:pPr>
          </w:p>
        </w:tc>
      </w:tr>
      <w:tr w:rsidR="003C66EB" w14:paraId="5EA25ADD" w14:textId="77777777">
        <w:trPr>
          <w:jc w:val="center"/>
        </w:trPr>
        <w:tc>
          <w:tcPr>
            <w:tcW w:w="0" w:type="auto"/>
            <w:gridSpan w:val="3"/>
            <w:shd w:val="clear" w:color="auto" w:fill="FFFFFF"/>
            <w:tcMar>
              <w:top w:w="40" w:type="dxa"/>
              <w:left w:w="20" w:type="dxa"/>
              <w:bottom w:w="40" w:type="dxa"/>
              <w:right w:w="20" w:type="dxa"/>
            </w:tcMar>
            <w:vAlign w:val="bottom"/>
          </w:tcPr>
          <w:p w14:paraId="5EA25AD2" w14:textId="77777777" w:rsidR="003C66EB" w:rsidRDefault="00D96C4E">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5EA25AD3" w14:textId="77777777" w:rsidR="003C66EB" w:rsidRDefault="00D96C4E">
            <w:pPr>
              <w:jc w:val="right"/>
              <w:textAlignment w:val="bottom"/>
            </w:pPr>
            <w:r>
              <w:rPr>
                <w:rFonts w:ascii="Arial" w:eastAsia="宋体" w:hAnsi="Arial" w:cs="Arial"/>
                <w:color w:val="000000"/>
                <w:sz w:val="16"/>
                <w:szCs w:val="16"/>
              </w:rPr>
              <w:t>2,330 </w:t>
            </w:r>
          </w:p>
        </w:tc>
        <w:tc>
          <w:tcPr>
            <w:tcW w:w="0" w:type="auto"/>
            <w:shd w:val="clear" w:color="auto" w:fill="FFFFFF"/>
            <w:tcMar>
              <w:top w:w="40" w:type="dxa"/>
              <w:left w:w="0" w:type="dxa"/>
              <w:bottom w:w="40" w:type="dxa"/>
              <w:right w:w="20" w:type="dxa"/>
            </w:tcMar>
            <w:vAlign w:val="bottom"/>
          </w:tcPr>
          <w:p w14:paraId="5EA25A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AD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AD6" w14:textId="77777777" w:rsidR="003C66EB" w:rsidRDefault="00D96C4E">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5EA25AD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AD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AD9" w14:textId="77777777" w:rsidR="003C66EB" w:rsidRDefault="00D96C4E">
            <w:pPr>
              <w:jc w:val="right"/>
              <w:textAlignment w:val="bottom"/>
            </w:pPr>
            <w:r>
              <w:rPr>
                <w:rFonts w:ascii="Arial" w:eastAsia="宋体" w:hAnsi="Arial" w:cs="Arial"/>
                <w:color w:val="000000"/>
                <w:sz w:val="16"/>
                <w:szCs w:val="16"/>
              </w:rPr>
              <w:t>43 </w:t>
            </w:r>
          </w:p>
        </w:tc>
        <w:tc>
          <w:tcPr>
            <w:tcW w:w="0" w:type="auto"/>
            <w:shd w:val="clear" w:color="auto" w:fill="FFFFFF"/>
            <w:tcMar>
              <w:top w:w="40" w:type="dxa"/>
              <w:left w:w="0" w:type="dxa"/>
              <w:bottom w:w="40" w:type="dxa"/>
              <w:right w:w="20" w:type="dxa"/>
            </w:tcMar>
            <w:vAlign w:val="bottom"/>
          </w:tcPr>
          <w:p w14:paraId="5EA25ADA" w14:textId="77777777" w:rsidR="003C66EB" w:rsidRDefault="003C66EB">
            <w:pPr>
              <w:jc w:val="right"/>
              <w:rPr>
                <w:rFonts w:ascii="宋体"/>
              </w:rPr>
            </w:pPr>
          </w:p>
        </w:tc>
        <w:tc>
          <w:tcPr>
            <w:tcW w:w="0" w:type="auto"/>
            <w:gridSpan w:val="3"/>
            <w:shd w:val="clear" w:color="auto" w:fill="auto"/>
          </w:tcPr>
          <w:p w14:paraId="5EA25ADB" w14:textId="77777777" w:rsidR="003C66EB" w:rsidRDefault="003C66EB">
            <w:pPr>
              <w:rPr>
                <w:rFonts w:ascii="宋体"/>
                <w:vanish/>
              </w:rPr>
            </w:pPr>
          </w:p>
        </w:tc>
        <w:tc>
          <w:tcPr>
            <w:tcW w:w="0" w:type="auto"/>
            <w:gridSpan w:val="3"/>
            <w:shd w:val="clear" w:color="auto" w:fill="auto"/>
          </w:tcPr>
          <w:p w14:paraId="5EA25ADC" w14:textId="77777777" w:rsidR="003C66EB" w:rsidRDefault="003C66EB">
            <w:pPr>
              <w:rPr>
                <w:rFonts w:ascii="宋体"/>
                <w:vanish/>
              </w:rPr>
            </w:pPr>
          </w:p>
        </w:tc>
      </w:tr>
      <w:tr w:rsidR="003C66EB" w14:paraId="5EA25AE6" w14:textId="77777777">
        <w:trPr>
          <w:trHeight w:val="60"/>
          <w:jc w:val="center"/>
        </w:trPr>
        <w:tc>
          <w:tcPr>
            <w:tcW w:w="0" w:type="auto"/>
            <w:gridSpan w:val="3"/>
            <w:shd w:val="clear" w:color="auto" w:fill="auto"/>
            <w:tcMar>
              <w:top w:w="0" w:type="dxa"/>
              <w:left w:w="20" w:type="dxa"/>
              <w:bottom w:w="0" w:type="dxa"/>
              <w:right w:w="20" w:type="dxa"/>
            </w:tcMar>
          </w:tcPr>
          <w:p w14:paraId="5EA25AD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D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E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E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E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AE3" w14:textId="77777777" w:rsidR="003C66EB" w:rsidRDefault="003C66EB">
            <w:pPr>
              <w:rPr>
                <w:rFonts w:ascii="宋体"/>
              </w:rPr>
            </w:pPr>
          </w:p>
        </w:tc>
        <w:tc>
          <w:tcPr>
            <w:tcW w:w="0" w:type="auto"/>
            <w:gridSpan w:val="3"/>
            <w:shd w:val="clear" w:color="auto" w:fill="auto"/>
          </w:tcPr>
          <w:p w14:paraId="5EA25AE4" w14:textId="77777777" w:rsidR="003C66EB" w:rsidRDefault="003C66EB">
            <w:pPr>
              <w:rPr>
                <w:rFonts w:ascii="宋体"/>
                <w:vanish/>
              </w:rPr>
            </w:pPr>
          </w:p>
        </w:tc>
        <w:tc>
          <w:tcPr>
            <w:tcW w:w="0" w:type="auto"/>
            <w:gridSpan w:val="3"/>
            <w:shd w:val="clear" w:color="auto" w:fill="auto"/>
          </w:tcPr>
          <w:p w14:paraId="5EA25AE5" w14:textId="77777777" w:rsidR="003C66EB" w:rsidRDefault="003C66EB">
            <w:pPr>
              <w:rPr>
                <w:rFonts w:ascii="宋体"/>
                <w:vanish/>
              </w:rPr>
            </w:pPr>
          </w:p>
        </w:tc>
      </w:tr>
      <w:tr w:rsidR="003C66EB" w14:paraId="5EA25AEF" w14:textId="77777777">
        <w:trPr>
          <w:jc w:val="center"/>
          <w:hidden/>
        </w:trPr>
        <w:tc>
          <w:tcPr>
            <w:tcW w:w="0" w:type="auto"/>
            <w:gridSpan w:val="3"/>
            <w:shd w:val="clear" w:color="auto" w:fill="auto"/>
          </w:tcPr>
          <w:p w14:paraId="5EA25AE7" w14:textId="77777777" w:rsidR="003C66EB" w:rsidRDefault="003C66EB">
            <w:pPr>
              <w:rPr>
                <w:rFonts w:ascii="宋体"/>
                <w:vanish/>
              </w:rPr>
            </w:pPr>
          </w:p>
        </w:tc>
        <w:tc>
          <w:tcPr>
            <w:tcW w:w="0" w:type="auto"/>
            <w:gridSpan w:val="3"/>
            <w:shd w:val="clear" w:color="auto" w:fill="auto"/>
          </w:tcPr>
          <w:p w14:paraId="5EA25AE8" w14:textId="77777777" w:rsidR="003C66EB" w:rsidRDefault="003C66EB">
            <w:pPr>
              <w:rPr>
                <w:rFonts w:ascii="宋体"/>
                <w:vanish/>
              </w:rPr>
            </w:pPr>
          </w:p>
        </w:tc>
        <w:tc>
          <w:tcPr>
            <w:tcW w:w="0" w:type="auto"/>
            <w:gridSpan w:val="3"/>
            <w:shd w:val="clear" w:color="auto" w:fill="auto"/>
          </w:tcPr>
          <w:p w14:paraId="5EA25AE9" w14:textId="77777777" w:rsidR="003C66EB" w:rsidRDefault="003C66EB">
            <w:pPr>
              <w:rPr>
                <w:rFonts w:ascii="宋体"/>
                <w:vanish/>
              </w:rPr>
            </w:pPr>
          </w:p>
        </w:tc>
        <w:tc>
          <w:tcPr>
            <w:tcW w:w="0" w:type="auto"/>
            <w:gridSpan w:val="3"/>
            <w:shd w:val="clear" w:color="auto" w:fill="auto"/>
          </w:tcPr>
          <w:p w14:paraId="5EA25AEA" w14:textId="77777777" w:rsidR="003C66EB" w:rsidRDefault="003C66EB">
            <w:pPr>
              <w:rPr>
                <w:rFonts w:ascii="宋体"/>
                <w:vanish/>
              </w:rPr>
            </w:pPr>
          </w:p>
        </w:tc>
        <w:tc>
          <w:tcPr>
            <w:tcW w:w="0" w:type="auto"/>
            <w:gridSpan w:val="3"/>
            <w:shd w:val="clear" w:color="auto" w:fill="auto"/>
          </w:tcPr>
          <w:p w14:paraId="5EA25AEB" w14:textId="77777777" w:rsidR="003C66EB" w:rsidRDefault="003C66EB">
            <w:pPr>
              <w:rPr>
                <w:rFonts w:ascii="宋体"/>
                <w:vanish/>
              </w:rPr>
            </w:pPr>
          </w:p>
        </w:tc>
        <w:tc>
          <w:tcPr>
            <w:tcW w:w="0" w:type="auto"/>
            <w:gridSpan w:val="3"/>
            <w:shd w:val="clear" w:color="auto" w:fill="auto"/>
          </w:tcPr>
          <w:p w14:paraId="5EA25AEC" w14:textId="77777777" w:rsidR="003C66EB" w:rsidRDefault="003C66EB">
            <w:pPr>
              <w:rPr>
                <w:rFonts w:ascii="宋体"/>
                <w:vanish/>
              </w:rPr>
            </w:pPr>
          </w:p>
        </w:tc>
        <w:tc>
          <w:tcPr>
            <w:tcW w:w="0" w:type="auto"/>
            <w:gridSpan w:val="3"/>
            <w:shd w:val="clear" w:color="auto" w:fill="auto"/>
          </w:tcPr>
          <w:p w14:paraId="5EA25AED" w14:textId="77777777" w:rsidR="003C66EB" w:rsidRDefault="003C66EB">
            <w:pPr>
              <w:rPr>
                <w:rFonts w:ascii="宋体"/>
                <w:vanish/>
              </w:rPr>
            </w:pPr>
          </w:p>
        </w:tc>
        <w:tc>
          <w:tcPr>
            <w:tcW w:w="0" w:type="auto"/>
            <w:gridSpan w:val="3"/>
            <w:shd w:val="clear" w:color="auto" w:fill="auto"/>
          </w:tcPr>
          <w:p w14:paraId="5EA25AEE" w14:textId="77777777" w:rsidR="003C66EB" w:rsidRDefault="003C66EB">
            <w:pPr>
              <w:rPr>
                <w:rFonts w:ascii="宋体"/>
                <w:vanish/>
              </w:rPr>
            </w:pPr>
          </w:p>
        </w:tc>
      </w:tr>
      <w:tr w:rsidR="003C66EB" w14:paraId="5EA25B04" w14:textId="77777777">
        <w:trPr>
          <w:jc w:val="center"/>
          <w:hidden/>
        </w:trPr>
        <w:tc>
          <w:tcPr>
            <w:tcW w:w="0" w:type="auto"/>
            <w:gridSpan w:val="3"/>
            <w:shd w:val="clear" w:color="auto" w:fill="auto"/>
          </w:tcPr>
          <w:p w14:paraId="5EA25AF0" w14:textId="77777777" w:rsidR="003C66EB" w:rsidRDefault="003C66EB">
            <w:pPr>
              <w:rPr>
                <w:rFonts w:ascii="宋体"/>
                <w:vanish/>
              </w:rPr>
            </w:pPr>
          </w:p>
        </w:tc>
        <w:tc>
          <w:tcPr>
            <w:tcW w:w="0" w:type="auto"/>
            <w:gridSpan w:val="3"/>
            <w:shd w:val="clear" w:color="auto" w:fill="auto"/>
          </w:tcPr>
          <w:p w14:paraId="5EA25AF1" w14:textId="77777777" w:rsidR="003C66EB" w:rsidRDefault="003C66EB">
            <w:pPr>
              <w:rPr>
                <w:rFonts w:ascii="宋体"/>
                <w:vanish/>
              </w:rPr>
            </w:pPr>
          </w:p>
        </w:tc>
        <w:tc>
          <w:tcPr>
            <w:tcW w:w="0" w:type="auto"/>
            <w:shd w:val="clear" w:color="auto" w:fill="auto"/>
          </w:tcPr>
          <w:p w14:paraId="5EA25AF2" w14:textId="77777777" w:rsidR="003C66EB" w:rsidRDefault="003C66EB">
            <w:pPr>
              <w:rPr>
                <w:rFonts w:ascii="宋体"/>
              </w:rPr>
            </w:pPr>
          </w:p>
        </w:tc>
        <w:tc>
          <w:tcPr>
            <w:tcW w:w="0" w:type="auto"/>
            <w:shd w:val="clear" w:color="auto" w:fill="auto"/>
          </w:tcPr>
          <w:p w14:paraId="5EA25AF3" w14:textId="77777777" w:rsidR="003C66EB" w:rsidRDefault="003C66EB">
            <w:pPr>
              <w:rPr>
                <w:rFonts w:ascii="宋体"/>
              </w:rPr>
            </w:pPr>
          </w:p>
        </w:tc>
        <w:tc>
          <w:tcPr>
            <w:tcW w:w="0" w:type="auto"/>
            <w:shd w:val="clear" w:color="auto" w:fill="auto"/>
          </w:tcPr>
          <w:p w14:paraId="5EA25AF4" w14:textId="77777777" w:rsidR="003C66EB" w:rsidRDefault="003C66EB">
            <w:pPr>
              <w:rPr>
                <w:rFonts w:ascii="宋体"/>
              </w:rPr>
            </w:pPr>
          </w:p>
        </w:tc>
        <w:tc>
          <w:tcPr>
            <w:tcW w:w="0" w:type="auto"/>
            <w:shd w:val="clear" w:color="auto" w:fill="auto"/>
          </w:tcPr>
          <w:p w14:paraId="5EA25AF5" w14:textId="77777777" w:rsidR="003C66EB" w:rsidRDefault="003C66EB">
            <w:pPr>
              <w:rPr>
                <w:rFonts w:ascii="宋体"/>
              </w:rPr>
            </w:pPr>
          </w:p>
        </w:tc>
        <w:tc>
          <w:tcPr>
            <w:tcW w:w="0" w:type="auto"/>
            <w:shd w:val="clear" w:color="auto" w:fill="auto"/>
          </w:tcPr>
          <w:p w14:paraId="5EA25AF6" w14:textId="77777777" w:rsidR="003C66EB" w:rsidRDefault="003C66EB">
            <w:pPr>
              <w:rPr>
                <w:rFonts w:ascii="宋体"/>
              </w:rPr>
            </w:pPr>
          </w:p>
        </w:tc>
        <w:tc>
          <w:tcPr>
            <w:tcW w:w="0" w:type="auto"/>
            <w:shd w:val="clear" w:color="auto" w:fill="auto"/>
          </w:tcPr>
          <w:p w14:paraId="5EA25AF7" w14:textId="77777777" w:rsidR="003C66EB" w:rsidRDefault="003C66EB">
            <w:pPr>
              <w:rPr>
                <w:rFonts w:ascii="宋体"/>
              </w:rPr>
            </w:pPr>
          </w:p>
        </w:tc>
        <w:tc>
          <w:tcPr>
            <w:tcW w:w="0" w:type="auto"/>
            <w:shd w:val="clear" w:color="auto" w:fill="auto"/>
          </w:tcPr>
          <w:p w14:paraId="5EA25AF8" w14:textId="77777777" w:rsidR="003C66EB" w:rsidRDefault="003C66EB">
            <w:pPr>
              <w:rPr>
                <w:rFonts w:ascii="宋体"/>
              </w:rPr>
            </w:pPr>
          </w:p>
        </w:tc>
        <w:tc>
          <w:tcPr>
            <w:tcW w:w="0" w:type="auto"/>
            <w:shd w:val="clear" w:color="auto" w:fill="auto"/>
          </w:tcPr>
          <w:p w14:paraId="5EA25AF9" w14:textId="77777777" w:rsidR="003C66EB" w:rsidRDefault="003C66EB">
            <w:pPr>
              <w:rPr>
                <w:rFonts w:ascii="宋体"/>
              </w:rPr>
            </w:pPr>
          </w:p>
        </w:tc>
        <w:tc>
          <w:tcPr>
            <w:tcW w:w="0" w:type="auto"/>
            <w:shd w:val="clear" w:color="auto" w:fill="auto"/>
          </w:tcPr>
          <w:p w14:paraId="5EA25AFA" w14:textId="77777777" w:rsidR="003C66EB" w:rsidRDefault="003C66EB">
            <w:pPr>
              <w:rPr>
                <w:rFonts w:ascii="宋体"/>
              </w:rPr>
            </w:pPr>
          </w:p>
        </w:tc>
        <w:tc>
          <w:tcPr>
            <w:tcW w:w="0" w:type="auto"/>
            <w:shd w:val="clear" w:color="auto" w:fill="auto"/>
          </w:tcPr>
          <w:p w14:paraId="5EA25AFB" w14:textId="77777777" w:rsidR="003C66EB" w:rsidRDefault="003C66EB">
            <w:pPr>
              <w:rPr>
                <w:rFonts w:ascii="宋体"/>
              </w:rPr>
            </w:pPr>
          </w:p>
        </w:tc>
        <w:tc>
          <w:tcPr>
            <w:tcW w:w="0" w:type="auto"/>
            <w:shd w:val="clear" w:color="auto" w:fill="auto"/>
          </w:tcPr>
          <w:p w14:paraId="5EA25AFC" w14:textId="77777777" w:rsidR="003C66EB" w:rsidRDefault="003C66EB">
            <w:pPr>
              <w:rPr>
                <w:rFonts w:ascii="宋体"/>
              </w:rPr>
            </w:pPr>
          </w:p>
        </w:tc>
        <w:tc>
          <w:tcPr>
            <w:tcW w:w="0" w:type="auto"/>
            <w:shd w:val="clear" w:color="auto" w:fill="auto"/>
          </w:tcPr>
          <w:p w14:paraId="5EA25AFD" w14:textId="77777777" w:rsidR="003C66EB" w:rsidRDefault="003C66EB">
            <w:pPr>
              <w:rPr>
                <w:rFonts w:ascii="宋体"/>
              </w:rPr>
            </w:pPr>
          </w:p>
        </w:tc>
        <w:tc>
          <w:tcPr>
            <w:tcW w:w="0" w:type="auto"/>
            <w:shd w:val="clear" w:color="auto" w:fill="auto"/>
          </w:tcPr>
          <w:p w14:paraId="5EA25AFE" w14:textId="77777777" w:rsidR="003C66EB" w:rsidRDefault="003C66EB">
            <w:pPr>
              <w:rPr>
                <w:rFonts w:ascii="宋体"/>
              </w:rPr>
            </w:pPr>
          </w:p>
        </w:tc>
        <w:tc>
          <w:tcPr>
            <w:tcW w:w="0" w:type="auto"/>
            <w:shd w:val="clear" w:color="auto" w:fill="auto"/>
          </w:tcPr>
          <w:p w14:paraId="5EA25AFF" w14:textId="77777777" w:rsidR="003C66EB" w:rsidRDefault="003C66EB">
            <w:pPr>
              <w:rPr>
                <w:rFonts w:ascii="宋体"/>
              </w:rPr>
            </w:pPr>
          </w:p>
        </w:tc>
        <w:tc>
          <w:tcPr>
            <w:tcW w:w="0" w:type="auto"/>
            <w:shd w:val="clear" w:color="auto" w:fill="auto"/>
          </w:tcPr>
          <w:p w14:paraId="5EA25B00" w14:textId="77777777" w:rsidR="003C66EB" w:rsidRDefault="003C66EB">
            <w:pPr>
              <w:rPr>
                <w:rFonts w:ascii="宋体"/>
              </w:rPr>
            </w:pPr>
          </w:p>
        </w:tc>
        <w:tc>
          <w:tcPr>
            <w:tcW w:w="0" w:type="auto"/>
            <w:shd w:val="clear" w:color="auto" w:fill="auto"/>
          </w:tcPr>
          <w:p w14:paraId="5EA25B01" w14:textId="77777777" w:rsidR="003C66EB" w:rsidRDefault="003C66EB">
            <w:pPr>
              <w:rPr>
                <w:rFonts w:ascii="宋体"/>
              </w:rPr>
            </w:pPr>
          </w:p>
        </w:tc>
        <w:tc>
          <w:tcPr>
            <w:tcW w:w="0" w:type="auto"/>
            <w:shd w:val="clear" w:color="auto" w:fill="auto"/>
          </w:tcPr>
          <w:p w14:paraId="5EA25B02" w14:textId="77777777" w:rsidR="003C66EB" w:rsidRDefault="003C66EB">
            <w:pPr>
              <w:rPr>
                <w:rFonts w:ascii="宋体"/>
              </w:rPr>
            </w:pPr>
          </w:p>
        </w:tc>
        <w:tc>
          <w:tcPr>
            <w:tcW w:w="0" w:type="auto"/>
            <w:shd w:val="clear" w:color="auto" w:fill="auto"/>
          </w:tcPr>
          <w:p w14:paraId="5EA25B03" w14:textId="77777777" w:rsidR="003C66EB" w:rsidRDefault="003C66EB">
            <w:pPr>
              <w:rPr>
                <w:rFonts w:ascii="宋体"/>
              </w:rPr>
            </w:pPr>
          </w:p>
        </w:tc>
      </w:tr>
      <w:tr w:rsidR="003C66EB" w14:paraId="5EA25B15" w14:textId="77777777">
        <w:trPr>
          <w:jc w:val="center"/>
          <w:hidden/>
        </w:trPr>
        <w:tc>
          <w:tcPr>
            <w:tcW w:w="0" w:type="auto"/>
            <w:gridSpan w:val="3"/>
            <w:shd w:val="clear" w:color="auto" w:fill="auto"/>
          </w:tcPr>
          <w:p w14:paraId="5EA25B05" w14:textId="77777777" w:rsidR="003C66EB" w:rsidRDefault="003C66EB">
            <w:pPr>
              <w:rPr>
                <w:rFonts w:ascii="宋体"/>
                <w:vanish/>
              </w:rPr>
            </w:pPr>
          </w:p>
        </w:tc>
        <w:tc>
          <w:tcPr>
            <w:tcW w:w="0" w:type="auto"/>
            <w:gridSpan w:val="3"/>
            <w:shd w:val="clear" w:color="auto" w:fill="auto"/>
          </w:tcPr>
          <w:p w14:paraId="5EA25B06" w14:textId="77777777" w:rsidR="003C66EB" w:rsidRDefault="003C66EB">
            <w:pPr>
              <w:rPr>
                <w:rFonts w:ascii="宋体"/>
                <w:vanish/>
              </w:rPr>
            </w:pPr>
          </w:p>
        </w:tc>
        <w:tc>
          <w:tcPr>
            <w:tcW w:w="0" w:type="auto"/>
            <w:gridSpan w:val="3"/>
            <w:shd w:val="clear" w:color="auto" w:fill="auto"/>
          </w:tcPr>
          <w:p w14:paraId="5EA25B07" w14:textId="77777777" w:rsidR="003C66EB" w:rsidRDefault="003C66EB">
            <w:pPr>
              <w:rPr>
                <w:rFonts w:ascii="宋体"/>
                <w:vanish/>
              </w:rPr>
            </w:pPr>
          </w:p>
        </w:tc>
        <w:tc>
          <w:tcPr>
            <w:tcW w:w="0" w:type="auto"/>
            <w:gridSpan w:val="3"/>
            <w:shd w:val="clear" w:color="auto" w:fill="auto"/>
          </w:tcPr>
          <w:p w14:paraId="5EA25B08" w14:textId="77777777" w:rsidR="003C66EB" w:rsidRDefault="003C66EB">
            <w:pPr>
              <w:rPr>
                <w:rFonts w:ascii="宋体"/>
                <w:vanish/>
              </w:rPr>
            </w:pPr>
          </w:p>
        </w:tc>
        <w:tc>
          <w:tcPr>
            <w:tcW w:w="0" w:type="auto"/>
            <w:shd w:val="clear" w:color="auto" w:fill="auto"/>
          </w:tcPr>
          <w:p w14:paraId="5EA25B09" w14:textId="77777777" w:rsidR="003C66EB" w:rsidRDefault="003C66EB">
            <w:pPr>
              <w:rPr>
                <w:rFonts w:ascii="宋体"/>
              </w:rPr>
            </w:pPr>
          </w:p>
        </w:tc>
        <w:tc>
          <w:tcPr>
            <w:tcW w:w="0" w:type="auto"/>
            <w:shd w:val="clear" w:color="auto" w:fill="auto"/>
          </w:tcPr>
          <w:p w14:paraId="5EA25B0A" w14:textId="77777777" w:rsidR="003C66EB" w:rsidRDefault="003C66EB">
            <w:pPr>
              <w:rPr>
                <w:rFonts w:ascii="宋体"/>
              </w:rPr>
            </w:pPr>
          </w:p>
        </w:tc>
        <w:tc>
          <w:tcPr>
            <w:tcW w:w="0" w:type="auto"/>
            <w:shd w:val="clear" w:color="auto" w:fill="auto"/>
          </w:tcPr>
          <w:p w14:paraId="5EA25B0B" w14:textId="77777777" w:rsidR="003C66EB" w:rsidRDefault="003C66EB">
            <w:pPr>
              <w:rPr>
                <w:rFonts w:ascii="宋体"/>
              </w:rPr>
            </w:pPr>
          </w:p>
        </w:tc>
        <w:tc>
          <w:tcPr>
            <w:tcW w:w="0" w:type="auto"/>
            <w:shd w:val="clear" w:color="auto" w:fill="auto"/>
          </w:tcPr>
          <w:p w14:paraId="5EA25B0C" w14:textId="77777777" w:rsidR="003C66EB" w:rsidRDefault="003C66EB">
            <w:pPr>
              <w:rPr>
                <w:rFonts w:ascii="宋体"/>
              </w:rPr>
            </w:pPr>
          </w:p>
        </w:tc>
        <w:tc>
          <w:tcPr>
            <w:tcW w:w="0" w:type="auto"/>
            <w:shd w:val="clear" w:color="auto" w:fill="auto"/>
          </w:tcPr>
          <w:p w14:paraId="5EA25B0D" w14:textId="77777777" w:rsidR="003C66EB" w:rsidRDefault="003C66EB">
            <w:pPr>
              <w:rPr>
                <w:rFonts w:ascii="宋体"/>
              </w:rPr>
            </w:pPr>
          </w:p>
        </w:tc>
        <w:tc>
          <w:tcPr>
            <w:tcW w:w="0" w:type="auto"/>
            <w:shd w:val="clear" w:color="auto" w:fill="auto"/>
          </w:tcPr>
          <w:p w14:paraId="5EA25B0E" w14:textId="77777777" w:rsidR="003C66EB" w:rsidRDefault="003C66EB">
            <w:pPr>
              <w:rPr>
                <w:rFonts w:ascii="宋体"/>
              </w:rPr>
            </w:pPr>
          </w:p>
        </w:tc>
        <w:tc>
          <w:tcPr>
            <w:tcW w:w="0" w:type="auto"/>
            <w:shd w:val="clear" w:color="auto" w:fill="auto"/>
          </w:tcPr>
          <w:p w14:paraId="5EA25B0F" w14:textId="77777777" w:rsidR="003C66EB" w:rsidRDefault="003C66EB">
            <w:pPr>
              <w:rPr>
                <w:rFonts w:ascii="宋体"/>
              </w:rPr>
            </w:pPr>
          </w:p>
        </w:tc>
        <w:tc>
          <w:tcPr>
            <w:tcW w:w="0" w:type="auto"/>
            <w:shd w:val="clear" w:color="auto" w:fill="auto"/>
          </w:tcPr>
          <w:p w14:paraId="5EA25B10" w14:textId="77777777" w:rsidR="003C66EB" w:rsidRDefault="003C66EB">
            <w:pPr>
              <w:rPr>
                <w:rFonts w:ascii="宋体"/>
              </w:rPr>
            </w:pPr>
          </w:p>
        </w:tc>
        <w:tc>
          <w:tcPr>
            <w:tcW w:w="0" w:type="auto"/>
            <w:shd w:val="clear" w:color="auto" w:fill="auto"/>
          </w:tcPr>
          <w:p w14:paraId="5EA25B11" w14:textId="77777777" w:rsidR="003C66EB" w:rsidRDefault="003C66EB">
            <w:pPr>
              <w:rPr>
                <w:rFonts w:ascii="宋体"/>
              </w:rPr>
            </w:pPr>
          </w:p>
        </w:tc>
        <w:tc>
          <w:tcPr>
            <w:tcW w:w="0" w:type="auto"/>
            <w:shd w:val="clear" w:color="auto" w:fill="auto"/>
          </w:tcPr>
          <w:p w14:paraId="5EA25B12" w14:textId="77777777" w:rsidR="003C66EB" w:rsidRDefault="003C66EB">
            <w:pPr>
              <w:rPr>
                <w:rFonts w:ascii="宋体"/>
              </w:rPr>
            </w:pPr>
          </w:p>
        </w:tc>
        <w:tc>
          <w:tcPr>
            <w:tcW w:w="0" w:type="auto"/>
            <w:shd w:val="clear" w:color="auto" w:fill="auto"/>
          </w:tcPr>
          <w:p w14:paraId="5EA25B13" w14:textId="77777777" w:rsidR="003C66EB" w:rsidRDefault="003C66EB">
            <w:pPr>
              <w:rPr>
                <w:rFonts w:ascii="宋体"/>
              </w:rPr>
            </w:pPr>
          </w:p>
        </w:tc>
        <w:tc>
          <w:tcPr>
            <w:tcW w:w="0" w:type="auto"/>
            <w:shd w:val="clear" w:color="auto" w:fill="auto"/>
          </w:tcPr>
          <w:p w14:paraId="5EA25B14" w14:textId="77777777" w:rsidR="003C66EB" w:rsidRDefault="003C66EB">
            <w:pPr>
              <w:rPr>
                <w:rFonts w:ascii="宋体"/>
              </w:rPr>
            </w:pPr>
          </w:p>
        </w:tc>
      </w:tr>
      <w:tr w:rsidR="003C66EB" w14:paraId="5EA25B1E" w14:textId="77777777">
        <w:trPr>
          <w:jc w:val="center"/>
          <w:hidden/>
        </w:trPr>
        <w:tc>
          <w:tcPr>
            <w:tcW w:w="0" w:type="auto"/>
            <w:gridSpan w:val="3"/>
            <w:shd w:val="clear" w:color="auto" w:fill="auto"/>
          </w:tcPr>
          <w:p w14:paraId="5EA25B16" w14:textId="77777777" w:rsidR="003C66EB" w:rsidRDefault="003C66EB">
            <w:pPr>
              <w:rPr>
                <w:rFonts w:ascii="宋体"/>
                <w:vanish/>
              </w:rPr>
            </w:pPr>
          </w:p>
        </w:tc>
        <w:tc>
          <w:tcPr>
            <w:tcW w:w="0" w:type="auto"/>
            <w:gridSpan w:val="3"/>
            <w:shd w:val="clear" w:color="auto" w:fill="auto"/>
          </w:tcPr>
          <w:p w14:paraId="5EA25B17" w14:textId="77777777" w:rsidR="003C66EB" w:rsidRDefault="003C66EB">
            <w:pPr>
              <w:rPr>
                <w:rFonts w:ascii="宋体"/>
                <w:vanish/>
              </w:rPr>
            </w:pPr>
          </w:p>
        </w:tc>
        <w:tc>
          <w:tcPr>
            <w:tcW w:w="0" w:type="auto"/>
            <w:gridSpan w:val="3"/>
            <w:shd w:val="clear" w:color="auto" w:fill="auto"/>
          </w:tcPr>
          <w:p w14:paraId="5EA25B18" w14:textId="77777777" w:rsidR="003C66EB" w:rsidRDefault="003C66EB">
            <w:pPr>
              <w:rPr>
                <w:rFonts w:ascii="宋体"/>
                <w:vanish/>
              </w:rPr>
            </w:pPr>
          </w:p>
        </w:tc>
        <w:tc>
          <w:tcPr>
            <w:tcW w:w="0" w:type="auto"/>
            <w:gridSpan w:val="3"/>
            <w:shd w:val="clear" w:color="auto" w:fill="auto"/>
          </w:tcPr>
          <w:p w14:paraId="5EA25B19" w14:textId="77777777" w:rsidR="003C66EB" w:rsidRDefault="003C66EB">
            <w:pPr>
              <w:rPr>
                <w:rFonts w:ascii="宋体"/>
                <w:vanish/>
              </w:rPr>
            </w:pPr>
          </w:p>
        </w:tc>
        <w:tc>
          <w:tcPr>
            <w:tcW w:w="0" w:type="auto"/>
            <w:gridSpan w:val="3"/>
            <w:shd w:val="clear" w:color="auto" w:fill="auto"/>
          </w:tcPr>
          <w:p w14:paraId="5EA25B1A" w14:textId="77777777" w:rsidR="003C66EB" w:rsidRDefault="003C66EB">
            <w:pPr>
              <w:rPr>
                <w:rFonts w:ascii="宋体"/>
                <w:vanish/>
              </w:rPr>
            </w:pPr>
          </w:p>
        </w:tc>
        <w:tc>
          <w:tcPr>
            <w:tcW w:w="0" w:type="auto"/>
            <w:gridSpan w:val="3"/>
            <w:shd w:val="clear" w:color="auto" w:fill="auto"/>
          </w:tcPr>
          <w:p w14:paraId="5EA25B1B" w14:textId="77777777" w:rsidR="003C66EB" w:rsidRDefault="003C66EB">
            <w:pPr>
              <w:rPr>
                <w:rFonts w:ascii="宋体"/>
                <w:vanish/>
              </w:rPr>
            </w:pPr>
          </w:p>
        </w:tc>
        <w:tc>
          <w:tcPr>
            <w:tcW w:w="0" w:type="auto"/>
            <w:gridSpan w:val="3"/>
            <w:shd w:val="clear" w:color="auto" w:fill="auto"/>
          </w:tcPr>
          <w:p w14:paraId="5EA25B1C" w14:textId="77777777" w:rsidR="003C66EB" w:rsidRDefault="003C66EB">
            <w:pPr>
              <w:rPr>
                <w:rFonts w:ascii="宋体"/>
                <w:vanish/>
              </w:rPr>
            </w:pPr>
          </w:p>
        </w:tc>
        <w:tc>
          <w:tcPr>
            <w:tcW w:w="0" w:type="auto"/>
            <w:gridSpan w:val="3"/>
            <w:shd w:val="clear" w:color="auto" w:fill="auto"/>
          </w:tcPr>
          <w:p w14:paraId="5EA25B1D" w14:textId="77777777" w:rsidR="003C66EB" w:rsidRDefault="003C66EB">
            <w:pPr>
              <w:rPr>
                <w:rFonts w:ascii="宋体"/>
                <w:vanish/>
              </w:rPr>
            </w:pPr>
          </w:p>
        </w:tc>
      </w:tr>
      <w:tr w:rsidR="003C66EB" w14:paraId="5EA25B27" w14:textId="77777777">
        <w:trPr>
          <w:jc w:val="center"/>
          <w:hidden/>
        </w:trPr>
        <w:tc>
          <w:tcPr>
            <w:tcW w:w="0" w:type="auto"/>
            <w:gridSpan w:val="3"/>
            <w:shd w:val="clear" w:color="auto" w:fill="auto"/>
          </w:tcPr>
          <w:p w14:paraId="5EA25B1F" w14:textId="77777777" w:rsidR="003C66EB" w:rsidRDefault="003C66EB">
            <w:pPr>
              <w:rPr>
                <w:rFonts w:ascii="宋体"/>
                <w:vanish/>
              </w:rPr>
            </w:pPr>
          </w:p>
        </w:tc>
        <w:tc>
          <w:tcPr>
            <w:tcW w:w="0" w:type="auto"/>
            <w:gridSpan w:val="3"/>
            <w:shd w:val="clear" w:color="auto" w:fill="auto"/>
          </w:tcPr>
          <w:p w14:paraId="5EA25B20" w14:textId="77777777" w:rsidR="003C66EB" w:rsidRDefault="003C66EB">
            <w:pPr>
              <w:rPr>
                <w:rFonts w:ascii="宋体"/>
                <w:vanish/>
              </w:rPr>
            </w:pPr>
          </w:p>
        </w:tc>
        <w:tc>
          <w:tcPr>
            <w:tcW w:w="0" w:type="auto"/>
            <w:gridSpan w:val="3"/>
            <w:shd w:val="clear" w:color="auto" w:fill="auto"/>
          </w:tcPr>
          <w:p w14:paraId="5EA25B21" w14:textId="77777777" w:rsidR="003C66EB" w:rsidRDefault="003C66EB">
            <w:pPr>
              <w:rPr>
                <w:rFonts w:ascii="宋体"/>
                <w:vanish/>
              </w:rPr>
            </w:pPr>
          </w:p>
        </w:tc>
        <w:tc>
          <w:tcPr>
            <w:tcW w:w="0" w:type="auto"/>
            <w:gridSpan w:val="3"/>
            <w:shd w:val="clear" w:color="auto" w:fill="auto"/>
          </w:tcPr>
          <w:p w14:paraId="5EA25B22" w14:textId="77777777" w:rsidR="003C66EB" w:rsidRDefault="003C66EB">
            <w:pPr>
              <w:rPr>
                <w:rFonts w:ascii="宋体"/>
                <w:vanish/>
              </w:rPr>
            </w:pPr>
          </w:p>
        </w:tc>
        <w:tc>
          <w:tcPr>
            <w:tcW w:w="0" w:type="auto"/>
            <w:gridSpan w:val="3"/>
            <w:shd w:val="clear" w:color="auto" w:fill="auto"/>
          </w:tcPr>
          <w:p w14:paraId="5EA25B23" w14:textId="77777777" w:rsidR="003C66EB" w:rsidRDefault="003C66EB">
            <w:pPr>
              <w:rPr>
                <w:rFonts w:ascii="宋体"/>
                <w:vanish/>
              </w:rPr>
            </w:pPr>
          </w:p>
        </w:tc>
        <w:tc>
          <w:tcPr>
            <w:tcW w:w="0" w:type="auto"/>
            <w:gridSpan w:val="3"/>
            <w:shd w:val="clear" w:color="auto" w:fill="auto"/>
          </w:tcPr>
          <w:p w14:paraId="5EA25B24" w14:textId="77777777" w:rsidR="003C66EB" w:rsidRDefault="003C66EB">
            <w:pPr>
              <w:rPr>
                <w:rFonts w:ascii="宋体"/>
                <w:vanish/>
              </w:rPr>
            </w:pPr>
          </w:p>
        </w:tc>
        <w:tc>
          <w:tcPr>
            <w:tcW w:w="0" w:type="auto"/>
            <w:gridSpan w:val="3"/>
            <w:shd w:val="clear" w:color="auto" w:fill="auto"/>
          </w:tcPr>
          <w:p w14:paraId="5EA25B25" w14:textId="77777777" w:rsidR="003C66EB" w:rsidRDefault="003C66EB">
            <w:pPr>
              <w:rPr>
                <w:rFonts w:ascii="宋体"/>
                <w:vanish/>
              </w:rPr>
            </w:pPr>
          </w:p>
        </w:tc>
        <w:tc>
          <w:tcPr>
            <w:tcW w:w="0" w:type="auto"/>
            <w:gridSpan w:val="3"/>
            <w:shd w:val="clear" w:color="auto" w:fill="auto"/>
          </w:tcPr>
          <w:p w14:paraId="5EA25B26" w14:textId="77777777" w:rsidR="003C66EB" w:rsidRDefault="003C66EB">
            <w:pPr>
              <w:rPr>
                <w:rFonts w:ascii="宋体"/>
                <w:vanish/>
              </w:rPr>
            </w:pPr>
          </w:p>
        </w:tc>
      </w:tr>
      <w:tr w:rsidR="003C66EB" w14:paraId="5EA25B30" w14:textId="77777777">
        <w:trPr>
          <w:jc w:val="center"/>
          <w:hidden/>
        </w:trPr>
        <w:tc>
          <w:tcPr>
            <w:tcW w:w="0" w:type="auto"/>
            <w:gridSpan w:val="3"/>
            <w:shd w:val="clear" w:color="auto" w:fill="auto"/>
          </w:tcPr>
          <w:p w14:paraId="5EA25B28" w14:textId="77777777" w:rsidR="003C66EB" w:rsidRDefault="003C66EB">
            <w:pPr>
              <w:rPr>
                <w:rFonts w:ascii="宋体"/>
                <w:vanish/>
              </w:rPr>
            </w:pPr>
          </w:p>
        </w:tc>
        <w:tc>
          <w:tcPr>
            <w:tcW w:w="0" w:type="auto"/>
            <w:gridSpan w:val="3"/>
            <w:shd w:val="clear" w:color="auto" w:fill="auto"/>
          </w:tcPr>
          <w:p w14:paraId="5EA25B29" w14:textId="77777777" w:rsidR="003C66EB" w:rsidRDefault="003C66EB">
            <w:pPr>
              <w:rPr>
                <w:rFonts w:ascii="宋体"/>
                <w:vanish/>
              </w:rPr>
            </w:pPr>
          </w:p>
        </w:tc>
        <w:tc>
          <w:tcPr>
            <w:tcW w:w="0" w:type="auto"/>
            <w:gridSpan w:val="3"/>
            <w:shd w:val="clear" w:color="auto" w:fill="auto"/>
          </w:tcPr>
          <w:p w14:paraId="5EA25B2A" w14:textId="77777777" w:rsidR="003C66EB" w:rsidRDefault="003C66EB">
            <w:pPr>
              <w:rPr>
                <w:rFonts w:ascii="宋体"/>
                <w:vanish/>
              </w:rPr>
            </w:pPr>
          </w:p>
        </w:tc>
        <w:tc>
          <w:tcPr>
            <w:tcW w:w="0" w:type="auto"/>
            <w:gridSpan w:val="3"/>
            <w:shd w:val="clear" w:color="auto" w:fill="auto"/>
          </w:tcPr>
          <w:p w14:paraId="5EA25B2B" w14:textId="77777777" w:rsidR="003C66EB" w:rsidRDefault="003C66EB">
            <w:pPr>
              <w:rPr>
                <w:rFonts w:ascii="宋体"/>
                <w:vanish/>
              </w:rPr>
            </w:pPr>
          </w:p>
        </w:tc>
        <w:tc>
          <w:tcPr>
            <w:tcW w:w="0" w:type="auto"/>
            <w:gridSpan w:val="3"/>
            <w:shd w:val="clear" w:color="auto" w:fill="auto"/>
          </w:tcPr>
          <w:p w14:paraId="5EA25B2C" w14:textId="77777777" w:rsidR="003C66EB" w:rsidRDefault="003C66EB">
            <w:pPr>
              <w:rPr>
                <w:rFonts w:ascii="宋体"/>
                <w:vanish/>
              </w:rPr>
            </w:pPr>
          </w:p>
        </w:tc>
        <w:tc>
          <w:tcPr>
            <w:tcW w:w="0" w:type="auto"/>
            <w:gridSpan w:val="3"/>
            <w:shd w:val="clear" w:color="auto" w:fill="auto"/>
          </w:tcPr>
          <w:p w14:paraId="5EA25B2D" w14:textId="77777777" w:rsidR="003C66EB" w:rsidRDefault="003C66EB">
            <w:pPr>
              <w:rPr>
                <w:rFonts w:ascii="宋体"/>
                <w:vanish/>
              </w:rPr>
            </w:pPr>
          </w:p>
        </w:tc>
        <w:tc>
          <w:tcPr>
            <w:tcW w:w="0" w:type="auto"/>
            <w:gridSpan w:val="3"/>
            <w:shd w:val="clear" w:color="auto" w:fill="auto"/>
          </w:tcPr>
          <w:p w14:paraId="5EA25B2E" w14:textId="77777777" w:rsidR="003C66EB" w:rsidRDefault="003C66EB">
            <w:pPr>
              <w:rPr>
                <w:rFonts w:ascii="宋体"/>
                <w:vanish/>
              </w:rPr>
            </w:pPr>
          </w:p>
        </w:tc>
        <w:tc>
          <w:tcPr>
            <w:tcW w:w="0" w:type="auto"/>
            <w:gridSpan w:val="3"/>
            <w:shd w:val="clear" w:color="auto" w:fill="auto"/>
          </w:tcPr>
          <w:p w14:paraId="5EA25B2F" w14:textId="77777777" w:rsidR="003C66EB" w:rsidRDefault="003C66EB">
            <w:pPr>
              <w:rPr>
                <w:rFonts w:ascii="宋体"/>
                <w:vanish/>
              </w:rPr>
            </w:pPr>
          </w:p>
        </w:tc>
      </w:tr>
      <w:tr w:rsidR="003C66EB" w14:paraId="5EA25B39" w14:textId="77777777">
        <w:trPr>
          <w:jc w:val="center"/>
          <w:hidden/>
        </w:trPr>
        <w:tc>
          <w:tcPr>
            <w:tcW w:w="0" w:type="auto"/>
            <w:gridSpan w:val="3"/>
            <w:shd w:val="clear" w:color="auto" w:fill="auto"/>
          </w:tcPr>
          <w:p w14:paraId="5EA25B31" w14:textId="77777777" w:rsidR="003C66EB" w:rsidRDefault="003C66EB">
            <w:pPr>
              <w:rPr>
                <w:rFonts w:ascii="宋体"/>
                <w:vanish/>
              </w:rPr>
            </w:pPr>
          </w:p>
        </w:tc>
        <w:tc>
          <w:tcPr>
            <w:tcW w:w="0" w:type="auto"/>
            <w:gridSpan w:val="3"/>
            <w:shd w:val="clear" w:color="auto" w:fill="auto"/>
          </w:tcPr>
          <w:p w14:paraId="5EA25B32" w14:textId="77777777" w:rsidR="003C66EB" w:rsidRDefault="003C66EB">
            <w:pPr>
              <w:rPr>
                <w:rFonts w:ascii="宋体"/>
                <w:vanish/>
              </w:rPr>
            </w:pPr>
          </w:p>
        </w:tc>
        <w:tc>
          <w:tcPr>
            <w:tcW w:w="0" w:type="auto"/>
            <w:gridSpan w:val="3"/>
            <w:shd w:val="clear" w:color="auto" w:fill="auto"/>
          </w:tcPr>
          <w:p w14:paraId="5EA25B33" w14:textId="77777777" w:rsidR="003C66EB" w:rsidRDefault="003C66EB">
            <w:pPr>
              <w:rPr>
                <w:rFonts w:ascii="宋体"/>
                <w:vanish/>
              </w:rPr>
            </w:pPr>
          </w:p>
        </w:tc>
        <w:tc>
          <w:tcPr>
            <w:tcW w:w="0" w:type="auto"/>
            <w:gridSpan w:val="3"/>
            <w:shd w:val="clear" w:color="auto" w:fill="auto"/>
          </w:tcPr>
          <w:p w14:paraId="5EA25B34" w14:textId="77777777" w:rsidR="003C66EB" w:rsidRDefault="003C66EB">
            <w:pPr>
              <w:rPr>
                <w:rFonts w:ascii="宋体"/>
                <w:vanish/>
              </w:rPr>
            </w:pPr>
          </w:p>
        </w:tc>
        <w:tc>
          <w:tcPr>
            <w:tcW w:w="0" w:type="auto"/>
            <w:gridSpan w:val="3"/>
            <w:shd w:val="clear" w:color="auto" w:fill="auto"/>
          </w:tcPr>
          <w:p w14:paraId="5EA25B35" w14:textId="77777777" w:rsidR="003C66EB" w:rsidRDefault="003C66EB">
            <w:pPr>
              <w:rPr>
                <w:rFonts w:ascii="宋体"/>
                <w:vanish/>
              </w:rPr>
            </w:pPr>
          </w:p>
        </w:tc>
        <w:tc>
          <w:tcPr>
            <w:tcW w:w="0" w:type="auto"/>
            <w:gridSpan w:val="3"/>
            <w:shd w:val="clear" w:color="auto" w:fill="auto"/>
          </w:tcPr>
          <w:p w14:paraId="5EA25B36" w14:textId="77777777" w:rsidR="003C66EB" w:rsidRDefault="003C66EB">
            <w:pPr>
              <w:rPr>
                <w:rFonts w:ascii="宋体"/>
                <w:vanish/>
              </w:rPr>
            </w:pPr>
          </w:p>
        </w:tc>
        <w:tc>
          <w:tcPr>
            <w:tcW w:w="0" w:type="auto"/>
            <w:gridSpan w:val="3"/>
            <w:shd w:val="clear" w:color="auto" w:fill="auto"/>
          </w:tcPr>
          <w:p w14:paraId="5EA25B37" w14:textId="77777777" w:rsidR="003C66EB" w:rsidRDefault="003C66EB">
            <w:pPr>
              <w:rPr>
                <w:rFonts w:ascii="宋体"/>
                <w:vanish/>
              </w:rPr>
            </w:pPr>
          </w:p>
        </w:tc>
        <w:tc>
          <w:tcPr>
            <w:tcW w:w="0" w:type="auto"/>
            <w:gridSpan w:val="3"/>
            <w:shd w:val="clear" w:color="auto" w:fill="auto"/>
          </w:tcPr>
          <w:p w14:paraId="5EA25B38" w14:textId="77777777" w:rsidR="003C66EB" w:rsidRDefault="003C66EB">
            <w:pPr>
              <w:rPr>
                <w:rFonts w:ascii="宋体"/>
                <w:vanish/>
              </w:rPr>
            </w:pPr>
          </w:p>
        </w:tc>
      </w:tr>
      <w:tr w:rsidR="003C66EB" w14:paraId="5EA25B42" w14:textId="77777777">
        <w:trPr>
          <w:jc w:val="center"/>
          <w:hidden/>
        </w:trPr>
        <w:tc>
          <w:tcPr>
            <w:tcW w:w="0" w:type="auto"/>
            <w:gridSpan w:val="3"/>
            <w:shd w:val="clear" w:color="auto" w:fill="auto"/>
          </w:tcPr>
          <w:p w14:paraId="5EA25B3A" w14:textId="77777777" w:rsidR="003C66EB" w:rsidRDefault="003C66EB">
            <w:pPr>
              <w:rPr>
                <w:rFonts w:ascii="宋体"/>
                <w:vanish/>
              </w:rPr>
            </w:pPr>
          </w:p>
        </w:tc>
        <w:tc>
          <w:tcPr>
            <w:tcW w:w="0" w:type="auto"/>
            <w:gridSpan w:val="3"/>
            <w:shd w:val="clear" w:color="auto" w:fill="auto"/>
          </w:tcPr>
          <w:p w14:paraId="5EA25B3B" w14:textId="77777777" w:rsidR="003C66EB" w:rsidRDefault="003C66EB">
            <w:pPr>
              <w:rPr>
                <w:rFonts w:ascii="宋体"/>
                <w:vanish/>
              </w:rPr>
            </w:pPr>
          </w:p>
        </w:tc>
        <w:tc>
          <w:tcPr>
            <w:tcW w:w="0" w:type="auto"/>
            <w:gridSpan w:val="3"/>
            <w:shd w:val="clear" w:color="auto" w:fill="auto"/>
          </w:tcPr>
          <w:p w14:paraId="5EA25B3C" w14:textId="77777777" w:rsidR="003C66EB" w:rsidRDefault="003C66EB">
            <w:pPr>
              <w:rPr>
                <w:rFonts w:ascii="宋体"/>
                <w:vanish/>
              </w:rPr>
            </w:pPr>
          </w:p>
        </w:tc>
        <w:tc>
          <w:tcPr>
            <w:tcW w:w="0" w:type="auto"/>
            <w:gridSpan w:val="3"/>
            <w:shd w:val="clear" w:color="auto" w:fill="auto"/>
          </w:tcPr>
          <w:p w14:paraId="5EA25B3D" w14:textId="77777777" w:rsidR="003C66EB" w:rsidRDefault="003C66EB">
            <w:pPr>
              <w:rPr>
                <w:rFonts w:ascii="宋体"/>
                <w:vanish/>
              </w:rPr>
            </w:pPr>
          </w:p>
        </w:tc>
        <w:tc>
          <w:tcPr>
            <w:tcW w:w="0" w:type="auto"/>
            <w:gridSpan w:val="3"/>
            <w:shd w:val="clear" w:color="auto" w:fill="auto"/>
          </w:tcPr>
          <w:p w14:paraId="5EA25B3E" w14:textId="77777777" w:rsidR="003C66EB" w:rsidRDefault="003C66EB">
            <w:pPr>
              <w:rPr>
                <w:rFonts w:ascii="宋体"/>
                <w:vanish/>
              </w:rPr>
            </w:pPr>
          </w:p>
        </w:tc>
        <w:tc>
          <w:tcPr>
            <w:tcW w:w="0" w:type="auto"/>
            <w:gridSpan w:val="3"/>
            <w:shd w:val="clear" w:color="auto" w:fill="auto"/>
          </w:tcPr>
          <w:p w14:paraId="5EA25B3F" w14:textId="77777777" w:rsidR="003C66EB" w:rsidRDefault="003C66EB">
            <w:pPr>
              <w:rPr>
                <w:rFonts w:ascii="宋体"/>
                <w:vanish/>
              </w:rPr>
            </w:pPr>
          </w:p>
        </w:tc>
        <w:tc>
          <w:tcPr>
            <w:tcW w:w="0" w:type="auto"/>
            <w:gridSpan w:val="3"/>
            <w:shd w:val="clear" w:color="auto" w:fill="auto"/>
          </w:tcPr>
          <w:p w14:paraId="5EA25B40" w14:textId="77777777" w:rsidR="003C66EB" w:rsidRDefault="003C66EB">
            <w:pPr>
              <w:rPr>
                <w:rFonts w:ascii="宋体"/>
                <w:vanish/>
              </w:rPr>
            </w:pPr>
          </w:p>
        </w:tc>
        <w:tc>
          <w:tcPr>
            <w:tcW w:w="0" w:type="auto"/>
            <w:gridSpan w:val="3"/>
            <w:shd w:val="clear" w:color="auto" w:fill="auto"/>
          </w:tcPr>
          <w:p w14:paraId="5EA25B41" w14:textId="77777777" w:rsidR="003C66EB" w:rsidRDefault="003C66EB">
            <w:pPr>
              <w:rPr>
                <w:rFonts w:ascii="宋体"/>
                <w:vanish/>
              </w:rPr>
            </w:pPr>
          </w:p>
        </w:tc>
      </w:tr>
      <w:tr w:rsidR="003C66EB" w14:paraId="5EA25B57" w14:textId="77777777">
        <w:trPr>
          <w:jc w:val="center"/>
          <w:hidden/>
        </w:trPr>
        <w:tc>
          <w:tcPr>
            <w:tcW w:w="0" w:type="auto"/>
            <w:gridSpan w:val="3"/>
            <w:shd w:val="clear" w:color="auto" w:fill="auto"/>
          </w:tcPr>
          <w:p w14:paraId="5EA25B43" w14:textId="77777777" w:rsidR="003C66EB" w:rsidRDefault="003C66EB">
            <w:pPr>
              <w:rPr>
                <w:rFonts w:ascii="宋体"/>
                <w:vanish/>
              </w:rPr>
            </w:pPr>
          </w:p>
        </w:tc>
        <w:tc>
          <w:tcPr>
            <w:tcW w:w="0" w:type="auto"/>
            <w:gridSpan w:val="3"/>
            <w:shd w:val="clear" w:color="auto" w:fill="auto"/>
          </w:tcPr>
          <w:p w14:paraId="5EA25B44" w14:textId="77777777" w:rsidR="003C66EB" w:rsidRDefault="003C66EB">
            <w:pPr>
              <w:rPr>
                <w:rFonts w:ascii="宋体"/>
                <w:vanish/>
              </w:rPr>
            </w:pPr>
          </w:p>
        </w:tc>
        <w:tc>
          <w:tcPr>
            <w:tcW w:w="0" w:type="auto"/>
            <w:shd w:val="clear" w:color="auto" w:fill="auto"/>
          </w:tcPr>
          <w:p w14:paraId="5EA25B45" w14:textId="77777777" w:rsidR="003C66EB" w:rsidRDefault="003C66EB">
            <w:pPr>
              <w:rPr>
                <w:rFonts w:ascii="宋体"/>
              </w:rPr>
            </w:pPr>
          </w:p>
        </w:tc>
        <w:tc>
          <w:tcPr>
            <w:tcW w:w="0" w:type="auto"/>
            <w:shd w:val="clear" w:color="auto" w:fill="auto"/>
          </w:tcPr>
          <w:p w14:paraId="5EA25B46" w14:textId="77777777" w:rsidR="003C66EB" w:rsidRDefault="003C66EB">
            <w:pPr>
              <w:rPr>
                <w:rFonts w:ascii="宋体"/>
              </w:rPr>
            </w:pPr>
          </w:p>
        </w:tc>
        <w:tc>
          <w:tcPr>
            <w:tcW w:w="0" w:type="auto"/>
            <w:shd w:val="clear" w:color="auto" w:fill="auto"/>
          </w:tcPr>
          <w:p w14:paraId="5EA25B47" w14:textId="77777777" w:rsidR="003C66EB" w:rsidRDefault="003C66EB">
            <w:pPr>
              <w:rPr>
                <w:rFonts w:ascii="宋体"/>
              </w:rPr>
            </w:pPr>
          </w:p>
        </w:tc>
        <w:tc>
          <w:tcPr>
            <w:tcW w:w="0" w:type="auto"/>
            <w:shd w:val="clear" w:color="auto" w:fill="auto"/>
          </w:tcPr>
          <w:p w14:paraId="5EA25B48" w14:textId="77777777" w:rsidR="003C66EB" w:rsidRDefault="003C66EB">
            <w:pPr>
              <w:rPr>
                <w:rFonts w:ascii="宋体"/>
              </w:rPr>
            </w:pPr>
          </w:p>
        </w:tc>
        <w:tc>
          <w:tcPr>
            <w:tcW w:w="0" w:type="auto"/>
            <w:shd w:val="clear" w:color="auto" w:fill="auto"/>
          </w:tcPr>
          <w:p w14:paraId="5EA25B49" w14:textId="77777777" w:rsidR="003C66EB" w:rsidRDefault="003C66EB">
            <w:pPr>
              <w:rPr>
                <w:rFonts w:ascii="宋体"/>
              </w:rPr>
            </w:pPr>
          </w:p>
        </w:tc>
        <w:tc>
          <w:tcPr>
            <w:tcW w:w="0" w:type="auto"/>
            <w:shd w:val="clear" w:color="auto" w:fill="auto"/>
          </w:tcPr>
          <w:p w14:paraId="5EA25B4A" w14:textId="77777777" w:rsidR="003C66EB" w:rsidRDefault="003C66EB">
            <w:pPr>
              <w:rPr>
                <w:rFonts w:ascii="宋体"/>
              </w:rPr>
            </w:pPr>
          </w:p>
        </w:tc>
        <w:tc>
          <w:tcPr>
            <w:tcW w:w="0" w:type="auto"/>
            <w:shd w:val="clear" w:color="auto" w:fill="auto"/>
          </w:tcPr>
          <w:p w14:paraId="5EA25B4B" w14:textId="77777777" w:rsidR="003C66EB" w:rsidRDefault="003C66EB">
            <w:pPr>
              <w:rPr>
                <w:rFonts w:ascii="宋体"/>
              </w:rPr>
            </w:pPr>
          </w:p>
        </w:tc>
        <w:tc>
          <w:tcPr>
            <w:tcW w:w="0" w:type="auto"/>
            <w:shd w:val="clear" w:color="auto" w:fill="auto"/>
          </w:tcPr>
          <w:p w14:paraId="5EA25B4C" w14:textId="77777777" w:rsidR="003C66EB" w:rsidRDefault="003C66EB">
            <w:pPr>
              <w:rPr>
                <w:rFonts w:ascii="宋体"/>
              </w:rPr>
            </w:pPr>
          </w:p>
        </w:tc>
        <w:tc>
          <w:tcPr>
            <w:tcW w:w="0" w:type="auto"/>
            <w:shd w:val="clear" w:color="auto" w:fill="auto"/>
          </w:tcPr>
          <w:p w14:paraId="5EA25B4D" w14:textId="77777777" w:rsidR="003C66EB" w:rsidRDefault="003C66EB">
            <w:pPr>
              <w:rPr>
                <w:rFonts w:ascii="宋体"/>
              </w:rPr>
            </w:pPr>
          </w:p>
        </w:tc>
        <w:tc>
          <w:tcPr>
            <w:tcW w:w="0" w:type="auto"/>
            <w:shd w:val="clear" w:color="auto" w:fill="auto"/>
          </w:tcPr>
          <w:p w14:paraId="5EA25B4E" w14:textId="77777777" w:rsidR="003C66EB" w:rsidRDefault="003C66EB">
            <w:pPr>
              <w:rPr>
                <w:rFonts w:ascii="宋体"/>
              </w:rPr>
            </w:pPr>
          </w:p>
        </w:tc>
        <w:tc>
          <w:tcPr>
            <w:tcW w:w="0" w:type="auto"/>
            <w:shd w:val="clear" w:color="auto" w:fill="auto"/>
          </w:tcPr>
          <w:p w14:paraId="5EA25B4F" w14:textId="77777777" w:rsidR="003C66EB" w:rsidRDefault="003C66EB">
            <w:pPr>
              <w:rPr>
                <w:rFonts w:ascii="宋体"/>
              </w:rPr>
            </w:pPr>
          </w:p>
        </w:tc>
        <w:tc>
          <w:tcPr>
            <w:tcW w:w="0" w:type="auto"/>
            <w:shd w:val="clear" w:color="auto" w:fill="auto"/>
          </w:tcPr>
          <w:p w14:paraId="5EA25B50" w14:textId="77777777" w:rsidR="003C66EB" w:rsidRDefault="003C66EB">
            <w:pPr>
              <w:rPr>
                <w:rFonts w:ascii="宋体"/>
              </w:rPr>
            </w:pPr>
          </w:p>
        </w:tc>
        <w:tc>
          <w:tcPr>
            <w:tcW w:w="0" w:type="auto"/>
            <w:shd w:val="clear" w:color="auto" w:fill="auto"/>
          </w:tcPr>
          <w:p w14:paraId="5EA25B51" w14:textId="77777777" w:rsidR="003C66EB" w:rsidRDefault="003C66EB">
            <w:pPr>
              <w:rPr>
                <w:rFonts w:ascii="宋体"/>
              </w:rPr>
            </w:pPr>
          </w:p>
        </w:tc>
        <w:tc>
          <w:tcPr>
            <w:tcW w:w="0" w:type="auto"/>
            <w:shd w:val="clear" w:color="auto" w:fill="auto"/>
          </w:tcPr>
          <w:p w14:paraId="5EA25B52" w14:textId="77777777" w:rsidR="003C66EB" w:rsidRDefault="003C66EB">
            <w:pPr>
              <w:rPr>
                <w:rFonts w:ascii="宋体"/>
              </w:rPr>
            </w:pPr>
          </w:p>
        </w:tc>
        <w:tc>
          <w:tcPr>
            <w:tcW w:w="0" w:type="auto"/>
            <w:shd w:val="clear" w:color="auto" w:fill="auto"/>
          </w:tcPr>
          <w:p w14:paraId="5EA25B53" w14:textId="77777777" w:rsidR="003C66EB" w:rsidRDefault="003C66EB">
            <w:pPr>
              <w:rPr>
                <w:rFonts w:ascii="宋体"/>
              </w:rPr>
            </w:pPr>
          </w:p>
        </w:tc>
        <w:tc>
          <w:tcPr>
            <w:tcW w:w="0" w:type="auto"/>
            <w:shd w:val="clear" w:color="auto" w:fill="auto"/>
          </w:tcPr>
          <w:p w14:paraId="5EA25B54" w14:textId="77777777" w:rsidR="003C66EB" w:rsidRDefault="003C66EB">
            <w:pPr>
              <w:rPr>
                <w:rFonts w:ascii="宋体"/>
              </w:rPr>
            </w:pPr>
          </w:p>
        </w:tc>
        <w:tc>
          <w:tcPr>
            <w:tcW w:w="0" w:type="auto"/>
            <w:shd w:val="clear" w:color="auto" w:fill="auto"/>
          </w:tcPr>
          <w:p w14:paraId="5EA25B55" w14:textId="77777777" w:rsidR="003C66EB" w:rsidRDefault="003C66EB">
            <w:pPr>
              <w:rPr>
                <w:rFonts w:ascii="宋体"/>
              </w:rPr>
            </w:pPr>
          </w:p>
        </w:tc>
        <w:tc>
          <w:tcPr>
            <w:tcW w:w="0" w:type="auto"/>
            <w:shd w:val="clear" w:color="auto" w:fill="auto"/>
          </w:tcPr>
          <w:p w14:paraId="5EA25B56" w14:textId="77777777" w:rsidR="003C66EB" w:rsidRDefault="003C66EB">
            <w:pPr>
              <w:rPr>
                <w:rFonts w:ascii="宋体"/>
              </w:rPr>
            </w:pPr>
          </w:p>
        </w:tc>
      </w:tr>
      <w:tr w:rsidR="003C66EB" w14:paraId="5EA25B68" w14:textId="77777777">
        <w:trPr>
          <w:jc w:val="center"/>
          <w:hidden/>
        </w:trPr>
        <w:tc>
          <w:tcPr>
            <w:tcW w:w="0" w:type="auto"/>
            <w:gridSpan w:val="3"/>
            <w:shd w:val="clear" w:color="auto" w:fill="auto"/>
          </w:tcPr>
          <w:p w14:paraId="5EA25B58" w14:textId="77777777" w:rsidR="003C66EB" w:rsidRDefault="003C66EB">
            <w:pPr>
              <w:rPr>
                <w:rFonts w:ascii="宋体"/>
                <w:vanish/>
              </w:rPr>
            </w:pPr>
          </w:p>
        </w:tc>
        <w:tc>
          <w:tcPr>
            <w:tcW w:w="0" w:type="auto"/>
            <w:gridSpan w:val="3"/>
            <w:shd w:val="clear" w:color="auto" w:fill="auto"/>
          </w:tcPr>
          <w:p w14:paraId="5EA25B59" w14:textId="77777777" w:rsidR="003C66EB" w:rsidRDefault="003C66EB">
            <w:pPr>
              <w:rPr>
                <w:rFonts w:ascii="宋体"/>
                <w:vanish/>
              </w:rPr>
            </w:pPr>
          </w:p>
        </w:tc>
        <w:tc>
          <w:tcPr>
            <w:tcW w:w="0" w:type="auto"/>
            <w:gridSpan w:val="3"/>
            <w:shd w:val="clear" w:color="auto" w:fill="auto"/>
          </w:tcPr>
          <w:p w14:paraId="5EA25B5A" w14:textId="77777777" w:rsidR="003C66EB" w:rsidRDefault="003C66EB">
            <w:pPr>
              <w:rPr>
                <w:rFonts w:ascii="宋体"/>
                <w:vanish/>
              </w:rPr>
            </w:pPr>
          </w:p>
        </w:tc>
        <w:tc>
          <w:tcPr>
            <w:tcW w:w="0" w:type="auto"/>
            <w:gridSpan w:val="3"/>
            <w:shd w:val="clear" w:color="auto" w:fill="auto"/>
          </w:tcPr>
          <w:p w14:paraId="5EA25B5B" w14:textId="77777777" w:rsidR="003C66EB" w:rsidRDefault="003C66EB">
            <w:pPr>
              <w:rPr>
                <w:rFonts w:ascii="宋体"/>
                <w:vanish/>
              </w:rPr>
            </w:pPr>
          </w:p>
        </w:tc>
        <w:tc>
          <w:tcPr>
            <w:tcW w:w="0" w:type="auto"/>
            <w:shd w:val="clear" w:color="auto" w:fill="auto"/>
          </w:tcPr>
          <w:p w14:paraId="5EA25B5C" w14:textId="77777777" w:rsidR="003C66EB" w:rsidRDefault="003C66EB">
            <w:pPr>
              <w:rPr>
                <w:rFonts w:ascii="宋体"/>
              </w:rPr>
            </w:pPr>
          </w:p>
        </w:tc>
        <w:tc>
          <w:tcPr>
            <w:tcW w:w="0" w:type="auto"/>
            <w:shd w:val="clear" w:color="auto" w:fill="auto"/>
          </w:tcPr>
          <w:p w14:paraId="5EA25B5D" w14:textId="77777777" w:rsidR="003C66EB" w:rsidRDefault="003C66EB">
            <w:pPr>
              <w:rPr>
                <w:rFonts w:ascii="宋体"/>
              </w:rPr>
            </w:pPr>
          </w:p>
        </w:tc>
        <w:tc>
          <w:tcPr>
            <w:tcW w:w="0" w:type="auto"/>
            <w:shd w:val="clear" w:color="auto" w:fill="auto"/>
          </w:tcPr>
          <w:p w14:paraId="5EA25B5E" w14:textId="77777777" w:rsidR="003C66EB" w:rsidRDefault="003C66EB">
            <w:pPr>
              <w:rPr>
                <w:rFonts w:ascii="宋体"/>
              </w:rPr>
            </w:pPr>
          </w:p>
        </w:tc>
        <w:tc>
          <w:tcPr>
            <w:tcW w:w="0" w:type="auto"/>
            <w:shd w:val="clear" w:color="auto" w:fill="auto"/>
          </w:tcPr>
          <w:p w14:paraId="5EA25B5F" w14:textId="77777777" w:rsidR="003C66EB" w:rsidRDefault="003C66EB">
            <w:pPr>
              <w:rPr>
                <w:rFonts w:ascii="宋体"/>
              </w:rPr>
            </w:pPr>
          </w:p>
        </w:tc>
        <w:tc>
          <w:tcPr>
            <w:tcW w:w="0" w:type="auto"/>
            <w:shd w:val="clear" w:color="auto" w:fill="auto"/>
          </w:tcPr>
          <w:p w14:paraId="5EA25B60" w14:textId="77777777" w:rsidR="003C66EB" w:rsidRDefault="003C66EB">
            <w:pPr>
              <w:rPr>
                <w:rFonts w:ascii="宋体"/>
              </w:rPr>
            </w:pPr>
          </w:p>
        </w:tc>
        <w:tc>
          <w:tcPr>
            <w:tcW w:w="0" w:type="auto"/>
            <w:shd w:val="clear" w:color="auto" w:fill="auto"/>
          </w:tcPr>
          <w:p w14:paraId="5EA25B61" w14:textId="77777777" w:rsidR="003C66EB" w:rsidRDefault="003C66EB">
            <w:pPr>
              <w:rPr>
                <w:rFonts w:ascii="宋体"/>
              </w:rPr>
            </w:pPr>
          </w:p>
        </w:tc>
        <w:tc>
          <w:tcPr>
            <w:tcW w:w="0" w:type="auto"/>
            <w:shd w:val="clear" w:color="auto" w:fill="auto"/>
          </w:tcPr>
          <w:p w14:paraId="5EA25B62" w14:textId="77777777" w:rsidR="003C66EB" w:rsidRDefault="003C66EB">
            <w:pPr>
              <w:rPr>
                <w:rFonts w:ascii="宋体"/>
              </w:rPr>
            </w:pPr>
          </w:p>
        </w:tc>
        <w:tc>
          <w:tcPr>
            <w:tcW w:w="0" w:type="auto"/>
            <w:shd w:val="clear" w:color="auto" w:fill="auto"/>
          </w:tcPr>
          <w:p w14:paraId="5EA25B63" w14:textId="77777777" w:rsidR="003C66EB" w:rsidRDefault="003C66EB">
            <w:pPr>
              <w:rPr>
                <w:rFonts w:ascii="宋体"/>
              </w:rPr>
            </w:pPr>
          </w:p>
        </w:tc>
        <w:tc>
          <w:tcPr>
            <w:tcW w:w="0" w:type="auto"/>
            <w:shd w:val="clear" w:color="auto" w:fill="auto"/>
          </w:tcPr>
          <w:p w14:paraId="5EA25B64" w14:textId="77777777" w:rsidR="003C66EB" w:rsidRDefault="003C66EB">
            <w:pPr>
              <w:rPr>
                <w:rFonts w:ascii="宋体"/>
              </w:rPr>
            </w:pPr>
          </w:p>
        </w:tc>
        <w:tc>
          <w:tcPr>
            <w:tcW w:w="0" w:type="auto"/>
            <w:shd w:val="clear" w:color="auto" w:fill="auto"/>
          </w:tcPr>
          <w:p w14:paraId="5EA25B65" w14:textId="77777777" w:rsidR="003C66EB" w:rsidRDefault="003C66EB">
            <w:pPr>
              <w:rPr>
                <w:rFonts w:ascii="宋体"/>
              </w:rPr>
            </w:pPr>
          </w:p>
        </w:tc>
        <w:tc>
          <w:tcPr>
            <w:tcW w:w="0" w:type="auto"/>
            <w:shd w:val="clear" w:color="auto" w:fill="auto"/>
          </w:tcPr>
          <w:p w14:paraId="5EA25B66" w14:textId="77777777" w:rsidR="003C66EB" w:rsidRDefault="003C66EB">
            <w:pPr>
              <w:rPr>
                <w:rFonts w:ascii="宋体"/>
              </w:rPr>
            </w:pPr>
          </w:p>
        </w:tc>
        <w:tc>
          <w:tcPr>
            <w:tcW w:w="0" w:type="auto"/>
            <w:shd w:val="clear" w:color="auto" w:fill="auto"/>
          </w:tcPr>
          <w:p w14:paraId="5EA25B67" w14:textId="77777777" w:rsidR="003C66EB" w:rsidRDefault="003C66EB">
            <w:pPr>
              <w:rPr>
                <w:rFonts w:ascii="宋体"/>
              </w:rPr>
            </w:pPr>
          </w:p>
        </w:tc>
      </w:tr>
      <w:tr w:rsidR="003C66EB" w14:paraId="5EA25B71" w14:textId="77777777">
        <w:trPr>
          <w:jc w:val="center"/>
          <w:hidden/>
        </w:trPr>
        <w:tc>
          <w:tcPr>
            <w:tcW w:w="0" w:type="auto"/>
            <w:gridSpan w:val="3"/>
            <w:shd w:val="clear" w:color="auto" w:fill="auto"/>
          </w:tcPr>
          <w:p w14:paraId="5EA25B69" w14:textId="77777777" w:rsidR="003C66EB" w:rsidRDefault="003C66EB">
            <w:pPr>
              <w:rPr>
                <w:rFonts w:ascii="宋体"/>
                <w:vanish/>
              </w:rPr>
            </w:pPr>
          </w:p>
        </w:tc>
        <w:tc>
          <w:tcPr>
            <w:tcW w:w="0" w:type="auto"/>
            <w:gridSpan w:val="3"/>
            <w:shd w:val="clear" w:color="auto" w:fill="auto"/>
          </w:tcPr>
          <w:p w14:paraId="5EA25B6A" w14:textId="77777777" w:rsidR="003C66EB" w:rsidRDefault="003C66EB">
            <w:pPr>
              <w:rPr>
                <w:rFonts w:ascii="宋体"/>
                <w:vanish/>
              </w:rPr>
            </w:pPr>
          </w:p>
        </w:tc>
        <w:tc>
          <w:tcPr>
            <w:tcW w:w="0" w:type="auto"/>
            <w:gridSpan w:val="3"/>
            <w:shd w:val="clear" w:color="auto" w:fill="auto"/>
          </w:tcPr>
          <w:p w14:paraId="5EA25B6B" w14:textId="77777777" w:rsidR="003C66EB" w:rsidRDefault="003C66EB">
            <w:pPr>
              <w:rPr>
                <w:rFonts w:ascii="宋体"/>
                <w:vanish/>
              </w:rPr>
            </w:pPr>
          </w:p>
        </w:tc>
        <w:tc>
          <w:tcPr>
            <w:tcW w:w="0" w:type="auto"/>
            <w:gridSpan w:val="3"/>
            <w:shd w:val="clear" w:color="auto" w:fill="auto"/>
          </w:tcPr>
          <w:p w14:paraId="5EA25B6C" w14:textId="77777777" w:rsidR="003C66EB" w:rsidRDefault="003C66EB">
            <w:pPr>
              <w:rPr>
                <w:rFonts w:ascii="宋体"/>
                <w:vanish/>
              </w:rPr>
            </w:pPr>
          </w:p>
        </w:tc>
        <w:tc>
          <w:tcPr>
            <w:tcW w:w="0" w:type="auto"/>
            <w:gridSpan w:val="3"/>
            <w:shd w:val="clear" w:color="auto" w:fill="auto"/>
          </w:tcPr>
          <w:p w14:paraId="5EA25B6D" w14:textId="77777777" w:rsidR="003C66EB" w:rsidRDefault="003C66EB">
            <w:pPr>
              <w:rPr>
                <w:rFonts w:ascii="宋体"/>
                <w:vanish/>
              </w:rPr>
            </w:pPr>
          </w:p>
        </w:tc>
        <w:tc>
          <w:tcPr>
            <w:tcW w:w="0" w:type="auto"/>
            <w:gridSpan w:val="3"/>
            <w:shd w:val="clear" w:color="auto" w:fill="auto"/>
          </w:tcPr>
          <w:p w14:paraId="5EA25B6E" w14:textId="77777777" w:rsidR="003C66EB" w:rsidRDefault="003C66EB">
            <w:pPr>
              <w:rPr>
                <w:rFonts w:ascii="宋体"/>
                <w:vanish/>
              </w:rPr>
            </w:pPr>
          </w:p>
        </w:tc>
        <w:tc>
          <w:tcPr>
            <w:tcW w:w="0" w:type="auto"/>
            <w:gridSpan w:val="3"/>
            <w:shd w:val="clear" w:color="auto" w:fill="auto"/>
          </w:tcPr>
          <w:p w14:paraId="5EA25B6F" w14:textId="77777777" w:rsidR="003C66EB" w:rsidRDefault="003C66EB">
            <w:pPr>
              <w:rPr>
                <w:rFonts w:ascii="宋体"/>
                <w:vanish/>
              </w:rPr>
            </w:pPr>
          </w:p>
        </w:tc>
        <w:tc>
          <w:tcPr>
            <w:tcW w:w="0" w:type="auto"/>
            <w:gridSpan w:val="3"/>
            <w:shd w:val="clear" w:color="auto" w:fill="auto"/>
          </w:tcPr>
          <w:p w14:paraId="5EA25B70" w14:textId="77777777" w:rsidR="003C66EB" w:rsidRDefault="003C66EB">
            <w:pPr>
              <w:rPr>
                <w:rFonts w:ascii="宋体"/>
                <w:vanish/>
              </w:rPr>
            </w:pPr>
          </w:p>
        </w:tc>
      </w:tr>
      <w:tr w:rsidR="003C66EB" w14:paraId="5EA25B7A" w14:textId="77777777">
        <w:trPr>
          <w:jc w:val="center"/>
          <w:hidden/>
        </w:trPr>
        <w:tc>
          <w:tcPr>
            <w:tcW w:w="0" w:type="auto"/>
            <w:gridSpan w:val="3"/>
            <w:shd w:val="clear" w:color="auto" w:fill="auto"/>
          </w:tcPr>
          <w:p w14:paraId="5EA25B72" w14:textId="77777777" w:rsidR="003C66EB" w:rsidRDefault="003C66EB">
            <w:pPr>
              <w:rPr>
                <w:rFonts w:ascii="宋体"/>
                <w:vanish/>
              </w:rPr>
            </w:pPr>
          </w:p>
        </w:tc>
        <w:tc>
          <w:tcPr>
            <w:tcW w:w="0" w:type="auto"/>
            <w:gridSpan w:val="3"/>
            <w:shd w:val="clear" w:color="auto" w:fill="auto"/>
          </w:tcPr>
          <w:p w14:paraId="5EA25B73" w14:textId="77777777" w:rsidR="003C66EB" w:rsidRDefault="003C66EB">
            <w:pPr>
              <w:rPr>
                <w:rFonts w:ascii="宋体"/>
                <w:vanish/>
              </w:rPr>
            </w:pPr>
          </w:p>
        </w:tc>
        <w:tc>
          <w:tcPr>
            <w:tcW w:w="0" w:type="auto"/>
            <w:gridSpan w:val="3"/>
            <w:shd w:val="clear" w:color="auto" w:fill="auto"/>
          </w:tcPr>
          <w:p w14:paraId="5EA25B74" w14:textId="77777777" w:rsidR="003C66EB" w:rsidRDefault="003C66EB">
            <w:pPr>
              <w:rPr>
                <w:rFonts w:ascii="宋体"/>
                <w:vanish/>
              </w:rPr>
            </w:pPr>
          </w:p>
        </w:tc>
        <w:tc>
          <w:tcPr>
            <w:tcW w:w="0" w:type="auto"/>
            <w:gridSpan w:val="3"/>
            <w:shd w:val="clear" w:color="auto" w:fill="auto"/>
          </w:tcPr>
          <w:p w14:paraId="5EA25B75" w14:textId="77777777" w:rsidR="003C66EB" w:rsidRDefault="003C66EB">
            <w:pPr>
              <w:rPr>
                <w:rFonts w:ascii="宋体"/>
                <w:vanish/>
              </w:rPr>
            </w:pPr>
          </w:p>
        </w:tc>
        <w:tc>
          <w:tcPr>
            <w:tcW w:w="0" w:type="auto"/>
            <w:gridSpan w:val="3"/>
            <w:shd w:val="clear" w:color="auto" w:fill="auto"/>
          </w:tcPr>
          <w:p w14:paraId="5EA25B76" w14:textId="77777777" w:rsidR="003C66EB" w:rsidRDefault="003C66EB">
            <w:pPr>
              <w:rPr>
                <w:rFonts w:ascii="宋体"/>
                <w:vanish/>
              </w:rPr>
            </w:pPr>
          </w:p>
        </w:tc>
        <w:tc>
          <w:tcPr>
            <w:tcW w:w="0" w:type="auto"/>
            <w:gridSpan w:val="3"/>
            <w:shd w:val="clear" w:color="auto" w:fill="auto"/>
          </w:tcPr>
          <w:p w14:paraId="5EA25B77" w14:textId="77777777" w:rsidR="003C66EB" w:rsidRDefault="003C66EB">
            <w:pPr>
              <w:rPr>
                <w:rFonts w:ascii="宋体"/>
                <w:vanish/>
              </w:rPr>
            </w:pPr>
          </w:p>
        </w:tc>
        <w:tc>
          <w:tcPr>
            <w:tcW w:w="0" w:type="auto"/>
            <w:gridSpan w:val="3"/>
            <w:shd w:val="clear" w:color="auto" w:fill="auto"/>
          </w:tcPr>
          <w:p w14:paraId="5EA25B78" w14:textId="77777777" w:rsidR="003C66EB" w:rsidRDefault="003C66EB">
            <w:pPr>
              <w:rPr>
                <w:rFonts w:ascii="宋体"/>
                <w:vanish/>
              </w:rPr>
            </w:pPr>
          </w:p>
        </w:tc>
        <w:tc>
          <w:tcPr>
            <w:tcW w:w="0" w:type="auto"/>
            <w:gridSpan w:val="3"/>
            <w:shd w:val="clear" w:color="auto" w:fill="auto"/>
          </w:tcPr>
          <w:p w14:paraId="5EA25B79" w14:textId="77777777" w:rsidR="003C66EB" w:rsidRDefault="003C66EB">
            <w:pPr>
              <w:rPr>
                <w:rFonts w:ascii="宋体"/>
                <w:vanish/>
              </w:rPr>
            </w:pPr>
          </w:p>
        </w:tc>
      </w:tr>
      <w:tr w:rsidR="003C66EB" w14:paraId="5EA25B83" w14:textId="77777777">
        <w:trPr>
          <w:jc w:val="center"/>
          <w:hidden/>
        </w:trPr>
        <w:tc>
          <w:tcPr>
            <w:tcW w:w="0" w:type="auto"/>
            <w:gridSpan w:val="3"/>
            <w:shd w:val="clear" w:color="auto" w:fill="auto"/>
          </w:tcPr>
          <w:p w14:paraId="5EA25B7B" w14:textId="77777777" w:rsidR="003C66EB" w:rsidRDefault="003C66EB">
            <w:pPr>
              <w:rPr>
                <w:rFonts w:ascii="宋体"/>
                <w:vanish/>
              </w:rPr>
            </w:pPr>
          </w:p>
        </w:tc>
        <w:tc>
          <w:tcPr>
            <w:tcW w:w="0" w:type="auto"/>
            <w:gridSpan w:val="3"/>
            <w:shd w:val="clear" w:color="auto" w:fill="auto"/>
          </w:tcPr>
          <w:p w14:paraId="5EA25B7C" w14:textId="77777777" w:rsidR="003C66EB" w:rsidRDefault="003C66EB">
            <w:pPr>
              <w:rPr>
                <w:rFonts w:ascii="宋体"/>
                <w:vanish/>
              </w:rPr>
            </w:pPr>
          </w:p>
        </w:tc>
        <w:tc>
          <w:tcPr>
            <w:tcW w:w="0" w:type="auto"/>
            <w:gridSpan w:val="3"/>
            <w:shd w:val="clear" w:color="auto" w:fill="auto"/>
          </w:tcPr>
          <w:p w14:paraId="5EA25B7D" w14:textId="77777777" w:rsidR="003C66EB" w:rsidRDefault="003C66EB">
            <w:pPr>
              <w:rPr>
                <w:rFonts w:ascii="宋体"/>
                <w:vanish/>
              </w:rPr>
            </w:pPr>
          </w:p>
        </w:tc>
        <w:tc>
          <w:tcPr>
            <w:tcW w:w="0" w:type="auto"/>
            <w:gridSpan w:val="3"/>
            <w:shd w:val="clear" w:color="auto" w:fill="auto"/>
          </w:tcPr>
          <w:p w14:paraId="5EA25B7E" w14:textId="77777777" w:rsidR="003C66EB" w:rsidRDefault="003C66EB">
            <w:pPr>
              <w:rPr>
                <w:rFonts w:ascii="宋体"/>
                <w:vanish/>
              </w:rPr>
            </w:pPr>
          </w:p>
        </w:tc>
        <w:tc>
          <w:tcPr>
            <w:tcW w:w="0" w:type="auto"/>
            <w:gridSpan w:val="3"/>
            <w:shd w:val="clear" w:color="auto" w:fill="auto"/>
          </w:tcPr>
          <w:p w14:paraId="5EA25B7F" w14:textId="77777777" w:rsidR="003C66EB" w:rsidRDefault="003C66EB">
            <w:pPr>
              <w:rPr>
                <w:rFonts w:ascii="宋体"/>
                <w:vanish/>
              </w:rPr>
            </w:pPr>
          </w:p>
        </w:tc>
        <w:tc>
          <w:tcPr>
            <w:tcW w:w="0" w:type="auto"/>
            <w:gridSpan w:val="3"/>
            <w:shd w:val="clear" w:color="auto" w:fill="auto"/>
          </w:tcPr>
          <w:p w14:paraId="5EA25B80" w14:textId="77777777" w:rsidR="003C66EB" w:rsidRDefault="003C66EB">
            <w:pPr>
              <w:rPr>
                <w:rFonts w:ascii="宋体"/>
                <w:vanish/>
              </w:rPr>
            </w:pPr>
          </w:p>
        </w:tc>
        <w:tc>
          <w:tcPr>
            <w:tcW w:w="0" w:type="auto"/>
            <w:gridSpan w:val="3"/>
            <w:shd w:val="clear" w:color="auto" w:fill="auto"/>
          </w:tcPr>
          <w:p w14:paraId="5EA25B81" w14:textId="77777777" w:rsidR="003C66EB" w:rsidRDefault="003C66EB">
            <w:pPr>
              <w:rPr>
                <w:rFonts w:ascii="宋体"/>
                <w:vanish/>
              </w:rPr>
            </w:pPr>
          </w:p>
        </w:tc>
        <w:tc>
          <w:tcPr>
            <w:tcW w:w="0" w:type="auto"/>
            <w:gridSpan w:val="3"/>
            <w:shd w:val="clear" w:color="auto" w:fill="auto"/>
          </w:tcPr>
          <w:p w14:paraId="5EA25B82" w14:textId="77777777" w:rsidR="003C66EB" w:rsidRDefault="003C66EB">
            <w:pPr>
              <w:rPr>
                <w:rFonts w:ascii="宋体"/>
                <w:vanish/>
              </w:rPr>
            </w:pPr>
          </w:p>
        </w:tc>
      </w:tr>
      <w:tr w:rsidR="003C66EB" w14:paraId="5EA25B8C" w14:textId="77777777">
        <w:trPr>
          <w:jc w:val="center"/>
          <w:hidden/>
        </w:trPr>
        <w:tc>
          <w:tcPr>
            <w:tcW w:w="0" w:type="auto"/>
            <w:gridSpan w:val="3"/>
            <w:shd w:val="clear" w:color="auto" w:fill="auto"/>
          </w:tcPr>
          <w:p w14:paraId="5EA25B84" w14:textId="77777777" w:rsidR="003C66EB" w:rsidRDefault="003C66EB">
            <w:pPr>
              <w:rPr>
                <w:rFonts w:ascii="宋体"/>
                <w:vanish/>
              </w:rPr>
            </w:pPr>
          </w:p>
        </w:tc>
        <w:tc>
          <w:tcPr>
            <w:tcW w:w="0" w:type="auto"/>
            <w:gridSpan w:val="3"/>
            <w:shd w:val="clear" w:color="auto" w:fill="auto"/>
          </w:tcPr>
          <w:p w14:paraId="5EA25B85" w14:textId="77777777" w:rsidR="003C66EB" w:rsidRDefault="003C66EB">
            <w:pPr>
              <w:rPr>
                <w:rFonts w:ascii="宋体"/>
                <w:vanish/>
              </w:rPr>
            </w:pPr>
          </w:p>
        </w:tc>
        <w:tc>
          <w:tcPr>
            <w:tcW w:w="0" w:type="auto"/>
            <w:gridSpan w:val="3"/>
            <w:shd w:val="clear" w:color="auto" w:fill="auto"/>
          </w:tcPr>
          <w:p w14:paraId="5EA25B86" w14:textId="77777777" w:rsidR="003C66EB" w:rsidRDefault="003C66EB">
            <w:pPr>
              <w:rPr>
                <w:rFonts w:ascii="宋体"/>
                <w:vanish/>
              </w:rPr>
            </w:pPr>
          </w:p>
        </w:tc>
        <w:tc>
          <w:tcPr>
            <w:tcW w:w="0" w:type="auto"/>
            <w:gridSpan w:val="3"/>
            <w:shd w:val="clear" w:color="auto" w:fill="auto"/>
          </w:tcPr>
          <w:p w14:paraId="5EA25B87" w14:textId="77777777" w:rsidR="003C66EB" w:rsidRDefault="003C66EB">
            <w:pPr>
              <w:rPr>
                <w:rFonts w:ascii="宋体"/>
                <w:vanish/>
              </w:rPr>
            </w:pPr>
          </w:p>
        </w:tc>
        <w:tc>
          <w:tcPr>
            <w:tcW w:w="0" w:type="auto"/>
            <w:gridSpan w:val="3"/>
            <w:shd w:val="clear" w:color="auto" w:fill="auto"/>
          </w:tcPr>
          <w:p w14:paraId="5EA25B88" w14:textId="77777777" w:rsidR="003C66EB" w:rsidRDefault="003C66EB">
            <w:pPr>
              <w:rPr>
                <w:rFonts w:ascii="宋体"/>
                <w:vanish/>
              </w:rPr>
            </w:pPr>
          </w:p>
        </w:tc>
        <w:tc>
          <w:tcPr>
            <w:tcW w:w="0" w:type="auto"/>
            <w:gridSpan w:val="3"/>
            <w:shd w:val="clear" w:color="auto" w:fill="auto"/>
          </w:tcPr>
          <w:p w14:paraId="5EA25B89" w14:textId="77777777" w:rsidR="003C66EB" w:rsidRDefault="003C66EB">
            <w:pPr>
              <w:rPr>
                <w:rFonts w:ascii="宋体"/>
                <w:vanish/>
              </w:rPr>
            </w:pPr>
          </w:p>
        </w:tc>
        <w:tc>
          <w:tcPr>
            <w:tcW w:w="0" w:type="auto"/>
            <w:gridSpan w:val="3"/>
            <w:shd w:val="clear" w:color="auto" w:fill="auto"/>
          </w:tcPr>
          <w:p w14:paraId="5EA25B8A" w14:textId="77777777" w:rsidR="003C66EB" w:rsidRDefault="003C66EB">
            <w:pPr>
              <w:rPr>
                <w:rFonts w:ascii="宋体"/>
                <w:vanish/>
              </w:rPr>
            </w:pPr>
          </w:p>
        </w:tc>
        <w:tc>
          <w:tcPr>
            <w:tcW w:w="0" w:type="auto"/>
            <w:gridSpan w:val="3"/>
            <w:shd w:val="clear" w:color="auto" w:fill="auto"/>
          </w:tcPr>
          <w:p w14:paraId="5EA25B8B" w14:textId="77777777" w:rsidR="003C66EB" w:rsidRDefault="003C66EB">
            <w:pPr>
              <w:rPr>
                <w:rFonts w:ascii="宋体"/>
                <w:vanish/>
              </w:rPr>
            </w:pPr>
          </w:p>
        </w:tc>
      </w:tr>
    </w:tbl>
    <w:p w14:paraId="5EA25B8D" w14:textId="77777777" w:rsidR="003C66EB" w:rsidRDefault="003C66EB">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3C66EB" w14:paraId="5EA25B9D" w14:textId="77777777">
        <w:tc>
          <w:tcPr>
            <w:tcW w:w="20" w:type="dxa"/>
            <w:shd w:val="clear" w:color="auto" w:fill="auto"/>
          </w:tcPr>
          <w:p w14:paraId="5EA25B8E" w14:textId="77777777" w:rsidR="003C66EB" w:rsidRDefault="003C66EB">
            <w:pPr>
              <w:rPr>
                <w:rFonts w:ascii="宋体"/>
              </w:rPr>
            </w:pPr>
          </w:p>
        </w:tc>
        <w:tc>
          <w:tcPr>
            <w:tcW w:w="2840" w:type="dxa"/>
            <w:shd w:val="clear" w:color="auto" w:fill="auto"/>
          </w:tcPr>
          <w:p w14:paraId="5EA25B8F" w14:textId="77777777" w:rsidR="003C66EB" w:rsidRDefault="003C66EB">
            <w:pPr>
              <w:rPr>
                <w:rFonts w:ascii="宋体"/>
              </w:rPr>
            </w:pPr>
          </w:p>
        </w:tc>
        <w:tc>
          <w:tcPr>
            <w:tcW w:w="20" w:type="dxa"/>
            <w:shd w:val="clear" w:color="auto" w:fill="auto"/>
          </w:tcPr>
          <w:p w14:paraId="5EA25B90" w14:textId="77777777" w:rsidR="003C66EB" w:rsidRDefault="003C66EB">
            <w:pPr>
              <w:rPr>
                <w:rFonts w:ascii="宋体"/>
              </w:rPr>
            </w:pPr>
          </w:p>
        </w:tc>
        <w:tc>
          <w:tcPr>
            <w:tcW w:w="20" w:type="dxa"/>
            <w:shd w:val="clear" w:color="auto" w:fill="auto"/>
          </w:tcPr>
          <w:p w14:paraId="5EA25B91" w14:textId="77777777" w:rsidR="003C66EB" w:rsidRDefault="003C66EB">
            <w:pPr>
              <w:rPr>
                <w:rFonts w:ascii="宋体"/>
              </w:rPr>
            </w:pPr>
          </w:p>
        </w:tc>
        <w:tc>
          <w:tcPr>
            <w:tcW w:w="1460" w:type="dxa"/>
            <w:shd w:val="clear" w:color="auto" w:fill="auto"/>
          </w:tcPr>
          <w:p w14:paraId="5EA25B92" w14:textId="77777777" w:rsidR="003C66EB" w:rsidRDefault="003C66EB">
            <w:pPr>
              <w:rPr>
                <w:rFonts w:ascii="宋体"/>
              </w:rPr>
            </w:pPr>
          </w:p>
        </w:tc>
        <w:tc>
          <w:tcPr>
            <w:tcW w:w="20" w:type="dxa"/>
            <w:shd w:val="clear" w:color="auto" w:fill="auto"/>
          </w:tcPr>
          <w:p w14:paraId="5EA25B93" w14:textId="77777777" w:rsidR="003C66EB" w:rsidRDefault="003C66EB">
            <w:pPr>
              <w:rPr>
                <w:rFonts w:ascii="宋体"/>
              </w:rPr>
            </w:pPr>
          </w:p>
        </w:tc>
        <w:tc>
          <w:tcPr>
            <w:tcW w:w="20" w:type="dxa"/>
            <w:shd w:val="clear" w:color="auto" w:fill="auto"/>
          </w:tcPr>
          <w:p w14:paraId="5EA25B94" w14:textId="77777777" w:rsidR="003C66EB" w:rsidRDefault="003C66EB">
            <w:pPr>
              <w:rPr>
                <w:rFonts w:ascii="宋体"/>
              </w:rPr>
            </w:pPr>
          </w:p>
        </w:tc>
        <w:tc>
          <w:tcPr>
            <w:tcW w:w="1460" w:type="dxa"/>
            <w:shd w:val="clear" w:color="auto" w:fill="auto"/>
          </w:tcPr>
          <w:p w14:paraId="5EA25B95" w14:textId="77777777" w:rsidR="003C66EB" w:rsidRDefault="003C66EB">
            <w:pPr>
              <w:rPr>
                <w:rFonts w:ascii="宋体"/>
              </w:rPr>
            </w:pPr>
          </w:p>
        </w:tc>
        <w:tc>
          <w:tcPr>
            <w:tcW w:w="20" w:type="dxa"/>
            <w:shd w:val="clear" w:color="auto" w:fill="auto"/>
          </w:tcPr>
          <w:p w14:paraId="5EA25B96" w14:textId="77777777" w:rsidR="003C66EB" w:rsidRDefault="003C66EB">
            <w:pPr>
              <w:rPr>
                <w:rFonts w:ascii="宋体"/>
              </w:rPr>
            </w:pPr>
          </w:p>
        </w:tc>
        <w:tc>
          <w:tcPr>
            <w:tcW w:w="20" w:type="dxa"/>
            <w:shd w:val="clear" w:color="auto" w:fill="auto"/>
          </w:tcPr>
          <w:p w14:paraId="5EA25B97" w14:textId="77777777" w:rsidR="003C66EB" w:rsidRDefault="003C66EB">
            <w:pPr>
              <w:rPr>
                <w:rFonts w:ascii="宋体"/>
              </w:rPr>
            </w:pPr>
          </w:p>
        </w:tc>
        <w:tc>
          <w:tcPr>
            <w:tcW w:w="2555" w:type="dxa"/>
            <w:shd w:val="clear" w:color="auto" w:fill="auto"/>
          </w:tcPr>
          <w:p w14:paraId="5EA25B98" w14:textId="77777777" w:rsidR="003C66EB" w:rsidRDefault="003C66EB">
            <w:pPr>
              <w:rPr>
                <w:rFonts w:ascii="宋体"/>
              </w:rPr>
            </w:pPr>
          </w:p>
        </w:tc>
        <w:tc>
          <w:tcPr>
            <w:tcW w:w="20" w:type="dxa"/>
            <w:shd w:val="clear" w:color="auto" w:fill="auto"/>
          </w:tcPr>
          <w:p w14:paraId="5EA25B99" w14:textId="77777777" w:rsidR="003C66EB" w:rsidRDefault="003C66EB">
            <w:pPr>
              <w:rPr>
                <w:rFonts w:ascii="宋体"/>
              </w:rPr>
            </w:pPr>
          </w:p>
        </w:tc>
        <w:tc>
          <w:tcPr>
            <w:tcW w:w="20" w:type="dxa"/>
            <w:shd w:val="clear" w:color="auto" w:fill="auto"/>
          </w:tcPr>
          <w:p w14:paraId="5EA25B9A" w14:textId="77777777" w:rsidR="003C66EB" w:rsidRDefault="003C66EB">
            <w:pPr>
              <w:rPr>
                <w:rFonts w:ascii="宋体"/>
              </w:rPr>
            </w:pPr>
          </w:p>
        </w:tc>
        <w:tc>
          <w:tcPr>
            <w:tcW w:w="1745" w:type="dxa"/>
            <w:shd w:val="clear" w:color="auto" w:fill="auto"/>
          </w:tcPr>
          <w:p w14:paraId="5EA25B9B" w14:textId="77777777" w:rsidR="003C66EB" w:rsidRDefault="003C66EB">
            <w:pPr>
              <w:rPr>
                <w:rFonts w:ascii="宋体"/>
              </w:rPr>
            </w:pPr>
          </w:p>
        </w:tc>
        <w:tc>
          <w:tcPr>
            <w:tcW w:w="20" w:type="dxa"/>
            <w:shd w:val="clear" w:color="auto" w:fill="auto"/>
          </w:tcPr>
          <w:p w14:paraId="5EA25B9C" w14:textId="77777777" w:rsidR="003C66EB" w:rsidRDefault="003C66EB">
            <w:pPr>
              <w:rPr>
                <w:rFonts w:ascii="宋体"/>
              </w:rPr>
            </w:pPr>
          </w:p>
        </w:tc>
      </w:tr>
      <w:tr w:rsidR="003C66EB" w14:paraId="5EA25BA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B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9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A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A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A2" w14:textId="77777777" w:rsidR="003C66EB" w:rsidRDefault="003C66EB">
            <w:pPr>
              <w:rPr>
                <w:rFonts w:ascii="宋体"/>
              </w:rPr>
            </w:pPr>
          </w:p>
        </w:tc>
      </w:tr>
    </w:tbl>
    <w:p w14:paraId="5EA25BA4" w14:textId="77777777" w:rsidR="003C66EB" w:rsidRDefault="00D96C4E">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5EA25BA5" w14:textId="77777777" w:rsidR="003C66EB" w:rsidRDefault="00D96C4E">
      <w:pPr>
        <w:ind w:firstLine="450"/>
        <w:jc w:val="both"/>
      </w:pPr>
      <w:r>
        <w:rPr>
          <w:rFonts w:ascii="Arial" w:eastAsia="宋体" w:hAnsi="Arial" w:cs="Arial"/>
          <w:color w:val="000000"/>
          <w:sz w:val="20"/>
          <w:szCs w:val="20"/>
        </w:rPr>
        <w:t xml:space="preserve">As of March 31, 2021 and </w:t>
      </w:r>
      <w:r>
        <w:rPr>
          <w:rFonts w:ascii="Arial" w:eastAsia="宋体" w:hAnsi="Arial" w:cs="Arial"/>
          <w:color w:val="000000"/>
          <w:sz w:val="20"/>
          <w:szCs w:val="20"/>
        </w:rPr>
        <w:t>December 31, 2020, the total notional amount of the interest rate swaps of fair value hedges was $2.61 billion and $2.60 billion, respectively.</w:t>
      </w:r>
    </w:p>
    <w:p w14:paraId="5EA25BA6" w14:textId="77777777" w:rsidR="003C66EB" w:rsidRDefault="00D96C4E">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state</w:t>
      </w:r>
      <w:r>
        <w:rPr>
          <w:rFonts w:ascii="Arial" w:eastAsia="宋体" w:hAnsi="Arial" w:cs="Arial"/>
          <w:color w:val="000000"/>
          <w:sz w:val="20"/>
          <w:szCs w:val="20"/>
        </w:rPr>
        <w:t>ment of income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3"/>
        <w:gridCol w:w="776"/>
        <w:gridCol w:w="36"/>
        <w:gridCol w:w="77"/>
        <w:gridCol w:w="936"/>
        <w:gridCol w:w="36"/>
        <w:gridCol w:w="36"/>
        <w:gridCol w:w="36"/>
        <w:gridCol w:w="36"/>
        <w:gridCol w:w="100"/>
        <w:gridCol w:w="613"/>
        <w:gridCol w:w="38"/>
        <w:gridCol w:w="37"/>
        <w:gridCol w:w="37"/>
        <w:gridCol w:w="37"/>
        <w:gridCol w:w="99"/>
        <w:gridCol w:w="614"/>
        <w:gridCol w:w="37"/>
        <w:gridCol w:w="36"/>
        <w:gridCol w:w="36"/>
        <w:gridCol w:w="36"/>
        <w:gridCol w:w="294"/>
        <w:gridCol w:w="294"/>
        <w:gridCol w:w="294"/>
        <w:gridCol w:w="36"/>
        <w:gridCol w:w="36"/>
        <w:gridCol w:w="36"/>
        <w:gridCol w:w="102"/>
        <w:gridCol w:w="1011"/>
        <w:gridCol w:w="37"/>
        <w:gridCol w:w="36"/>
        <w:gridCol w:w="36"/>
        <w:gridCol w:w="36"/>
        <w:gridCol w:w="57"/>
        <w:gridCol w:w="691"/>
        <w:gridCol w:w="37"/>
        <w:gridCol w:w="37"/>
        <w:gridCol w:w="37"/>
        <w:gridCol w:w="37"/>
        <w:gridCol w:w="99"/>
        <w:gridCol w:w="460"/>
        <w:gridCol w:w="37"/>
        <w:gridCol w:w="36"/>
        <w:gridCol w:w="36"/>
        <w:gridCol w:w="36"/>
        <w:gridCol w:w="98"/>
        <w:gridCol w:w="348"/>
        <w:gridCol w:w="36"/>
        <w:gridCol w:w="36"/>
        <w:gridCol w:w="36"/>
        <w:gridCol w:w="36"/>
        <w:gridCol w:w="36"/>
        <w:gridCol w:w="36"/>
        <w:gridCol w:w="36"/>
      </w:tblGrid>
      <w:tr w:rsidR="003C66EB" w14:paraId="5EA25BD5" w14:textId="77777777">
        <w:tc>
          <w:tcPr>
            <w:tcW w:w="50" w:type="pct"/>
            <w:shd w:val="clear" w:color="auto" w:fill="auto"/>
          </w:tcPr>
          <w:p w14:paraId="5EA25BA7" w14:textId="77777777" w:rsidR="003C66EB" w:rsidRDefault="003C66EB">
            <w:pPr>
              <w:rPr>
                <w:rFonts w:ascii="宋体"/>
              </w:rPr>
            </w:pPr>
          </w:p>
        </w:tc>
        <w:tc>
          <w:tcPr>
            <w:tcW w:w="731" w:type="pct"/>
            <w:shd w:val="clear" w:color="auto" w:fill="auto"/>
          </w:tcPr>
          <w:p w14:paraId="5EA25BA8" w14:textId="77777777" w:rsidR="003C66EB" w:rsidRDefault="003C66EB">
            <w:pPr>
              <w:rPr>
                <w:rFonts w:ascii="宋体"/>
              </w:rPr>
            </w:pPr>
          </w:p>
        </w:tc>
        <w:tc>
          <w:tcPr>
            <w:tcW w:w="5" w:type="pct"/>
            <w:shd w:val="clear" w:color="auto" w:fill="auto"/>
          </w:tcPr>
          <w:p w14:paraId="5EA25BA9" w14:textId="77777777" w:rsidR="003C66EB" w:rsidRDefault="003C66EB">
            <w:pPr>
              <w:rPr>
                <w:rFonts w:ascii="宋体"/>
              </w:rPr>
            </w:pPr>
          </w:p>
        </w:tc>
        <w:tc>
          <w:tcPr>
            <w:tcW w:w="50" w:type="pct"/>
            <w:shd w:val="clear" w:color="auto" w:fill="auto"/>
          </w:tcPr>
          <w:p w14:paraId="5EA25BAA" w14:textId="77777777" w:rsidR="003C66EB" w:rsidRDefault="003C66EB">
            <w:pPr>
              <w:rPr>
                <w:rFonts w:ascii="宋体"/>
              </w:rPr>
            </w:pPr>
          </w:p>
        </w:tc>
        <w:tc>
          <w:tcPr>
            <w:tcW w:w="614" w:type="pct"/>
            <w:shd w:val="clear" w:color="auto" w:fill="auto"/>
          </w:tcPr>
          <w:p w14:paraId="5EA25BAB" w14:textId="77777777" w:rsidR="003C66EB" w:rsidRDefault="003C66EB">
            <w:pPr>
              <w:rPr>
                <w:rFonts w:ascii="宋体"/>
              </w:rPr>
            </w:pPr>
          </w:p>
        </w:tc>
        <w:tc>
          <w:tcPr>
            <w:tcW w:w="5" w:type="pct"/>
            <w:shd w:val="clear" w:color="auto" w:fill="auto"/>
          </w:tcPr>
          <w:p w14:paraId="5EA25BAC" w14:textId="77777777" w:rsidR="003C66EB" w:rsidRDefault="003C66EB">
            <w:pPr>
              <w:rPr>
                <w:rFonts w:ascii="宋体"/>
              </w:rPr>
            </w:pPr>
          </w:p>
        </w:tc>
        <w:tc>
          <w:tcPr>
            <w:tcW w:w="5" w:type="pct"/>
            <w:shd w:val="clear" w:color="auto" w:fill="auto"/>
          </w:tcPr>
          <w:p w14:paraId="5EA25BAD" w14:textId="77777777" w:rsidR="003C66EB" w:rsidRDefault="003C66EB">
            <w:pPr>
              <w:rPr>
                <w:rFonts w:ascii="宋体"/>
              </w:rPr>
            </w:pPr>
          </w:p>
        </w:tc>
        <w:tc>
          <w:tcPr>
            <w:tcW w:w="26" w:type="pct"/>
            <w:shd w:val="clear" w:color="auto" w:fill="auto"/>
          </w:tcPr>
          <w:p w14:paraId="5EA25BAE" w14:textId="77777777" w:rsidR="003C66EB" w:rsidRDefault="003C66EB">
            <w:pPr>
              <w:rPr>
                <w:rFonts w:ascii="宋体"/>
              </w:rPr>
            </w:pPr>
          </w:p>
        </w:tc>
        <w:tc>
          <w:tcPr>
            <w:tcW w:w="5" w:type="pct"/>
            <w:shd w:val="clear" w:color="auto" w:fill="auto"/>
          </w:tcPr>
          <w:p w14:paraId="5EA25BAF" w14:textId="77777777" w:rsidR="003C66EB" w:rsidRDefault="003C66EB">
            <w:pPr>
              <w:rPr>
                <w:rFonts w:ascii="宋体"/>
              </w:rPr>
            </w:pPr>
          </w:p>
        </w:tc>
        <w:tc>
          <w:tcPr>
            <w:tcW w:w="50" w:type="pct"/>
            <w:shd w:val="clear" w:color="auto" w:fill="auto"/>
          </w:tcPr>
          <w:p w14:paraId="5EA25BB0" w14:textId="77777777" w:rsidR="003C66EB" w:rsidRDefault="003C66EB">
            <w:pPr>
              <w:rPr>
                <w:rFonts w:ascii="宋体"/>
              </w:rPr>
            </w:pPr>
          </w:p>
        </w:tc>
        <w:tc>
          <w:tcPr>
            <w:tcW w:w="474" w:type="pct"/>
            <w:shd w:val="clear" w:color="auto" w:fill="auto"/>
          </w:tcPr>
          <w:p w14:paraId="5EA25BB1" w14:textId="77777777" w:rsidR="003C66EB" w:rsidRDefault="003C66EB">
            <w:pPr>
              <w:rPr>
                <w:rFonts w:ascii="宋体"/>
              </w:rPr>
            </w:pPr>
          </w:p>
        </w:tc>
        <w:tc>
          <w:tcPr>
            <w:tcW w:w="5" w:type="pct"/>
            <w:shd w:val="clear" w:color="auto" w:fill="auto"/>
          </w:tcPr>
          <w:p w14:paraId="5EA25BB2" w14:textId="77777777" w:rsidR="003C66EB" w:rsidRDefault="003C66EB">
            <w:pPr>
              <w:rPr>
                <w:rFonts w:ascii="宋体"/>
              </w:rPr>
            </w:pPr>
          </w:p>
        </w:tc>
        <w:tc>
          <w:tcPr>
            <w:tcW w:w="5" w:type="pct"/>
            <w:shd w:val="clear" w:color="auto" w:fill="auto"/>
          </w:tcPr>
          <w:p w14:paraId="5EA25BB3" w14:textId="77777777" w:rsidR="003C66EB" w:rsidRDefault="003C66EB">
            <w:pPr>
              <w:rPr>
                <w:rFonts w:ascii="宋体"/>
              </w:rPr>
            </w:pPr>
          </w:p>
        </w:tc>
        <w:tc>
          <w:tcPr>
            <w:tcW w:w="26" w:type="pct"/>
            <w:shd w:val="clear" w:color="auto" w:fill="auto"/>
          </w:tcPr>
          <w:p w14:paraId="5EA25BB4" w14:textId="77777777" w:rsidR="003C66EB" w:rsidRDefault="003C66EB">
            <w:pPr>
              <w:rPr>
                <w:rFonts w:ascii="宋体"/>
              </w:rPr>
            </w:pPr>
          </w:p>
        </w:tc>
        <w:tc>
          <w:tcPr>
            <w:tcW w:w="5" w:type="pct"/>
            <w:shd w:val="clear" w:color="auto" w:fill="auto"/>
          </w:tcPr>
          <w:p w14:paraId="5EA25BB5" w14:textId="77777777" w:rsidR="003C66EB" w:rsidRDefault="003C66EB">
            <w:pPr>
              <w:rPr>
                <w:rFonts w:ascii="宋体"/>
              </w:rPr>
            </w:pPr>
          </w:p>
        </w:tc>
        <w:tc>
          <w:tcPr>
            <w:tcW w:w="50" w:type="pct"/>
            <w:shd w:val="clear" w:color="auto" w:fill="auto"/>
          </w:tcPr>
          <w:p w14:paraId="5EA25BB6" w14:textId="77777777" w:rsidR="003C66EB" w:rsidRDefault="003C66EB">
            <w:pPr>
              <w:rPr>
                <w:rFonts w:ascii="宋体"/>
              </w:rPr>
            </w:pPr>
          </w:p>
        </w:tc>
        <w:tc>
          <w:tcPr>
            <w:tcW w:w="474" w:type="pct"/>
            <w:shd w:val="clear" w:color="auto" w:fill="auto"/>
          </w:tcPr>
          <w:p w14:paraId="5EA25BB7" w14:textId="77777777" w:rsidR="003C66EB" w:rsidRDefault="003C66EB">
            <w:pPr>
              <w:rPr>
                <w:rFonts w:ascii="宋体"/>
              </w:rPr>
            </w:pPr>
          </w:p>
        </w:tc>
        <w:tc>
          <w:tcPr>
            <w:tcW w:w="5" w:type="pct"/>
            <w:shd w:val="clear" w:color="auto" w:fill="auto"/>
          </w:tcPr>
          <w:p w14:paraId="5EA25BB8" w14:textId="77777777" w:rsidR="003C66EB" w:rsidRDefault="003C66EB">
            <w:pPr>
              <w:rPr>
                <w:rFonts w:ascii="宋体"/>
              </w:rPr>
            </w:pPr>
          </w:p>
        </w:tc>
        <w:tc>
          <w:tcPr>
            <w:tcW w:w="0" w:type="auto"/>
            <w:gridSpan w:val="3"/>
            <w:shd w:val="clear" w:color="auto" w:fill="auto"/>
          </w:tcPr>
          <w:p w14:paraId="5EA25BB9" w14:textId="77777777" w:rsidR="003C66EB" w:rsidRDefault="003C66EB">
            <w:pPr>
              <w:rPr>
                <w:rFonts w:ascii="宋体"/>
                <w:vanish/>
              </w:rPr>
            </w:pPr>
          </w:p>
        </w:tc>
        <w:tc>
          <w:tcPr>
            <w:tcW w:w="0" w:type="auto"/>
            <w:gridSpan w:val="3"/>
            <w:shd w:val="clear" w:color="auto" w:fill="auto"/>
          </w:tcPr>
          <w:p w14:paraId="5EA25BBA" w14:textId="77777777" w:rsidR="003C66EB" w:rsidRDefault="003C66EB">
            <w:pPr>
              <w:rPr>
                <w:rFonts w:ascii="宋体"/>
                <w:vanish/>
              </w:rPr>
            </w:pPr>
          </w:p>
        </w:tc>
        <w:tc>
          <w:tcPr>
            <w:tcW w:w="5" w:type="pct"/>
            <w:shd w:val="clear" w:color="auto" w:fill="auto"/>
          </w:tcPr>
          <w:p w14:paraId="5EA25BBB" w14:textId="77777777" w:rsidR="003C66EB" w:rsidRDefault="003C66EB">
            <w:pPr>
              <w:rPr>
                <w:rFonts w:ascii="宋体"/>
              </w:rPr>
            </w:pPr>
          </w:p>
        </w:tc>
        <w:tc>
          <w:tcPr>
            <w:tcW w:w="26" w:type="pct"/>
            <w:shd w:val="clear" w:color="auto" w:fill="auto"/>
          </w:tcPr>
          <w:p w14:paraId="5EA25BBC" w14:textId="77777777" w:rsidR="003C66EB" w:rsidRDefault="003C66EB">
            <w:pPr>
              <w:rPr>
                <w:rFonts w:ascii="宋体"/>
              </w:rPr>
            </w:pPr>
          </w:p>
        </w:tc>
        <w:tc>
          <w:tcPr>
            <w:tcW w:w="5" w:type="pct"/>
            <w:shd w:val="clear" w:color="auto" w:fill="auto"/>
          </w:tcPr>
          <w:p w14:paraId="5EA25BBD" w14:textId="77777777" w:rsidR="003C66EB" w:rsidRDefault="003C66EB">
            <w:pPr>
              <w:rPr>
                <w:rFonts w:ascii="宋体"/>
              </w:rPr>
            </w:pPr>
          </w:p>
        </w:tc>
        <w:tc>
          <w:tcPr>
            <w:tcW w:w="50" w:type="pct"/>
            <w:shd w:val="clear" w:color="auto" w:fill="auto"/>
          </w:tcPr>
          <w:p w14:paraId="5EA25BBE" w14:textId="77777777" w:rsidR="003C66EB" w:rsidRDefault="003C66EB">
            <w:pPr>
              <w:rPr>
                <w:rFonts w:ascii="宋体"/>
              </w:rPr>
            </w:pPr>
          </w:p>
        </w:tc>
        <w:tc>
          <w:tcPr>
            <w:tcW w:w="496" w:type="pct"/>
            <w:shd w:val="clear" w:color="auto" w:fill="auto"/>
          </w:tcPr>
          <w:p w14:paraId="5EA25BBF" w14:textId="77777777" w:rsidR="003C66EB" w:rsidRDefault="003C66EB">
            <w:pPr>
              <w:rPr>
                <w:rFonts w:ascii="宋体"/>
              </w:rPr>
            </w:pPr>
          </w:p>
        </w:tc>
        <w:tc>
          <w:tcPr>
            <w:tcW w:w="5" w:type="pct"/>
            <w:shd w:val="clear" w:color="auto" w:fill="auto"/>
          </w:tcPr>
          <w:p w14:paraId="5EA25BC0" w14:textId="77777777" w:rsidR="003C66EB" w:rsidRDefault="003C66EB">
            <w:pPr>
              <w:rPr>
                <w:rFonts w:ascii="宋体"/>
              </w:rPr>
            </w:pPr>
          </w:p>
        </w:tc>
        <w:tc>
          <w:tcPr>
            <w:tcW w:w="5" w:type="pct"/>
            <w:shd w:val="clear" w:color="auto" w:fill="auto"/>
          </w:tcPr>
          <w:p w14:paraId="5EA25BC1" w14:textId="77777777" w:rsidR="003C66EB" w:rsidRDefault="003C66EB">
            <w:pPr>
              <w:rPr>
                <w:rFonts w:ascii="宋体"/>
              </w:rPr>
            </w:pPr>
          </w:p>
        </w:tc>
        <w:tc>
          <w:tcPr>
            <w:tcW w:w="26" w:type="pct"/>
            <w:shd w:val="clear" w:color="auto" w:fill="auto"/>
          </w:tcPr>
          <w:p w14:paraId="5EA25BC2" w14:textId="77777777" w:rsidR="003C66EB" w:rsidRDefault="003C66EB">
            <w:pPr>
              <w:rPr>
                <w:rFonts w:ascii="宋体"/>
              </w:rPr>
            </w:pPr>
          </w:p>
        </w:tc>
        <w:tc>
          <w:tcPr>
            <w:tcW w:w="5" w:type="pct"/>
            <w:shd w:val="clear" w:color="auto" w:fill="auto"/>
          </w:tcPr>
          <w:p w14:paraId="5EA25BC3" w14:textId="77777777" w:rsidR="003C66EB" w:rsidRDefault="003C66EB">
            <w:pPr>
              <w:rPr>
                <w:rFonts w:ascii="宋体"/>
              </w:rPr>
            </w:pPr>
          </w:p>
        </w:tc>
        <w:tc>
          <w:tcPr>
            <w:tcW w:w="50" w:type="pct"/>
            <w:shd w:val="clear" w:color="auto" w:fill="auto"/>
          </w:tcPr>
          <w:p w14:paraId="5EA25BC4" w14:textId="77777777" w:rsidR="003C66EB" w:rsidRDefault="003C66EB">
            <w:pPr>
              <w:rPr>
                <w:rFonts w:ascii="宋体"/>
              </w:rPr>
            </w:pPr>
          </w:p>
        </w:tc>
        <w:tc>
          <w:tcPr>
            <w:tcW w:w="614" w:type="pct"/>
            <w:shd w:val="clear" w:color="auto" w:fill="auto"/>
          </w:tcPr>
          <w:p w14:paraId="5EA25BC5" w14:textId="77777777" w:rsidR="003C66EB" w:rsidRDefault="003C66EB">
            <w:pPr>
              <w:rPr>
                <w:rFonts w:ascii="宋体"/>
              </w:rPr>
            </w:pPr>
          </w:p>
        </w:tc>
        <w:tc>
          <w:tcPr>
            <w:tcW w:w="5" w:type="pct"/>
            <w:shd w:val="clear" w:color="auto" w:fill="auto"/>
          </w:tcPr>
          <w:p w14:paraId="5EA25BC6" w14:textId="77777777" w:rsidR="003C66EB" w:rsidRDefault="003C66EB">
            <w:pPr>
              <w:rPr>
                <w:rFonts w:ascii="宋体"/>
              </w:rPr>
            </w:pPr>
          </w:p>
        </w:tc>
        <w:tc>
          <w:tcPr>
            <w:tcW w:w="5" w:type="pct"/>
            <w:shd w:val="clear" w:color="auto" w:fill="auto"/>
          </w:tcPr>
          <w:p w14:paraId="5EA25BC7" w14:textId="77777777" w:rsidR="003C66EB" w:rsidRDefault="003C66EB">
            <w:pPr>
              <w:rPr>
                <w:rFonts w:ascii="宋体"/>
              </w:rPr>
            </w:pPr>
          </w:p>
        </w:tc>
        <w:tc>
          <w:tcPr>
            <w:tcW w:w="26" w:type="pct"/>
            <w:shd w:val="clear" w:color="auto" w:fill="auto"/>
          </w:tcPr>
          <w:p w14:paraId="5EA25BC8" w14:textId="77777777" w:rsidR="003C66EB" w:rsidRDefault="003C66EB">
            <w:pPr>
              <w:rPr>
                <w:rFonts w:ascii="宋体"/>
              </w:rPr>
            </w:pPr>
          </w:p>
        </w:tc>
        <w:tc>
          <w:tcPr>
            <w:tcW w:w="5" w:type="pct"/>
            <w:shd w:val="clear" w:color="auto" w:fill="auto"/>
          </w:tcPr>
          <w:p w14:paraId="5EA25BC9" w14:textId="77777777" w:rsidR="003C66EB" w:rsidRDefault="003C66EB">
            <w:pPr>
              <w:rPr>
                <w:rFonts w:ascii="宋体"/>
              </w:rPr>
            </w:pPr>
          </w:p>
        </w:tc>
        <w:tc>
          <w:tcPr>
            <w:tcW w:w="50" w:type="pct"/>
            <w:shd w:val="clear" w:color="auto" w:fill="auto"/>
          </w:tcPr>
          <w:p w14:paraId="5EA25BCA" w14:textId="77777777" w:rsidR="003C66EB" w:rsidRDefault="003C66EB">
            <w:pPr>
              <w:rPr>
                <w:rFonts w:ascii="宋体"/>
              </w:rPr>
            </w:pPr>
          </w:p>
        </w:tc>
        <w:tc>
          <w:tcPr>
            <w:tcW w:w="408" w:type="pct"/>
            <w:shd w:val="clear" w:color="auto" w:fill="auto"/>
          </w:tcPr>
          <w:p w14:paraId="5EA25BCB" w14:textId="77777777" w:rsidR="003C66EB" w:rsidRDefault="003C66EB">
            <w:pPr>
              <w:rPr>
                <w:rFonts w:ascii="宋体"/>
              </w:rPr>
            </w:pPr>
          </w:p>
        </w:tc>
        <w:tc>
          <w:tcPr>
            <w:tcW w:w="5" w:type="pct"/>
            <w:shd w:val="clear" w:color="auto" w:fill="auto"/>
          </w:tcPr>
          <w:p w14:paraId="5EA25BCC" w14:textId="77777777" w:rsidR="003C66EB" w:rsidRDefault="003C66EB">
            <w:pPr>
              <w:rPr>
                <w:rFonts w:ascii="宋体"/>
              </w:rPr>
            </w:pPr>
          </w:p>
        </w:tc>
        <w:tc>
          <w:tcPr>
            <w:tcW w:w="5" w:type="pct"/>
            <w:shd w:val="clear" w:color="auto" w:fill="auto"/>
          </w:tcPr>
          <w:p w14:paraId="5EA25BCD" w14:textId="77777777" w:rsidR="003C66EB" w:rsidRDefault="003C66EB">
            <w:pPr>
              <w:rPr>
                <w:rFonts w:ascii="宋体"/>
              </w:rPr>
            </w:pPr>
          </w:p>
        </w:tc>
        <w:tc>
          <w:tcPr>
            <w:tcW w:w="26" w:type="pct"/>
            <w:shd w:val="clear" w:color="auto" w:fill="auto"/>
          </w:tcPr>
          <w:p w14:paraId="5EA25BCE" w14:textId="77777777" w:rsidR="003C66EB" w:rsidRDefault="003C66EB">
            <w:pPr>
              <w:rPr>
                <w:rFonts w:ascii="宋体"/>
              </w:rPr>
            </w:pPr>
          </w:p>
        </w:tc>
        <w:tc>
          <w:tcPr>
            <w:tcW w:w="5" w:type="pct"/>
            <w:shd w:val="clear" w:color="auto" w:fill="auto"/>
          </w:tcPr>
          <w:p w14:paraId="5EA25BCF" w14:textId="77777777" w:rsidR="003C66EB" w:rsidRDefault="003C66EB">
            <w:pPr>
              <w:rPr>
                <w:rFonts w:ascii="宋体"/>
              </w:rPr>
            </w:pPr>
          </w:p>
        </w:tc>
        <w:tc>
          <w:tcPr>
            <w:tcW w:w="50" w:type="pct"/>
            <w:shd w:val="clear" w:color="auto" w:fill="auto"/>
          </w:tcPr>
          <w:p w14:paraId="5EA25BD0" w14:textId="77777777" w:rsidR="003C66EB" w:rsidRDefault="003C66EB">
            <w:pPr>
              <w:rPr>
                <w:rFonts w:ascii="宋体"/>
              </w:rPr>
            </w:pPr>
          </w:p>
        </w:tc>
        <w:tc>
          <w:tcPr>
            <w:tcW w:w="526" w:type="pct"/>
            <w:shd w:val="clear" w:color="auto" w:fill="auto"/>
          </w:tcPr>
          <w:p w14:paraId="5EA25BD1" w14:textId="77777777" w:rsidR="003C66EB" w:rsidRDefault="003C66EB">
            <w:pPr>
              <w:rPr>
                <w:rFonts w:ascii="宋体"/>
              </w:rPr>
            </w:pPr>
          </w:p>
        </w:tc>
        <w:tc>
          <w:tcPr>
            <w:tcW w:w="5" w:type="pct"/>
            <w:shd w:val="clear" w:color="auto" w:fill="auto"/>
          </w:tcPr>
          <w:p w14:paraId="5EA25BD2" w14:textId="77777777" w:rsidR="003C66EB" w:rsidRDefault="003C66EB">
            <w:pPr>
              <w:rPr>
                <w:rFonts w:ascii="宋体"/>
              </w:rPr>
            </w:pPr>
          </w:p>
        </w:tc>
        <w:tc>
          <w:tcPr>
            <w:tcW w:w="0" w:type="auto"/>
            <w:gridSpan w:val="3"/>
            <w:shd w:val="clear" w:color="auto" w:fill="auto"/>
          </w:tcPr>
          <w:p w14:paraId="5EA25BD3" w14:textId="77777777" w:rsidR="003C66EB" w:rsidRDefault="003C66EB">
            <w:pPr>
              <w:rPr>
                <w:rFonts w:ascii="宋体"/>
                <w:vanish/>
              </w:rPr>
            </w:pPr>
          </w:p>
        </w:tc>
        <w:tc>
          <w:tcPr>
            <w:tcW w:w="0" w:type="auto"/>
            <w:gridSpan w:val="3"/>
            <w:shd w:val="clear" w:color="auto" w:fill="auto"/>
          </w:tcPr>
          <w:p w14:paraId="5EA25BD4" w14:textId="77777777" w:rsidR="003C66EB" w:rsidRDefault="003C66EB">
            <w:pPr>
              <w:rPr>
                <w:rFonts w:ascii="宋体"/>
                <w:vanish/>
              </w:rPr>
            </w:pPr>
          </w:p>
        </w:tc>
      </w:tr>
      <w:tr w:rsidR="003C66EB" w14:paraId="5EA25BEC" w14:textId="77777777">
        <w:tc>
          <w:tcPr>
            <w:tcW w:w="0" w:type="auto"/>
            <w:gridSpan w:val="3"/>
            <w:shd w:val="clear" w:color="auto" w:fill="auto"/>
            <w:tcMar>
              <w:top w:w="0" w:type="dxa"/>
              <w:left w:w="20" w:type="dxa"/>
              <w:bottom w:w="0" w:type="dxa"/>
              <w:right w:w="20" w:type="dxa"/>
            </w:tcMar>
          </w:tcPr>
          <w:p w14:paraId="5EA25B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D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D8"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5BD9"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Mar>
              <w:top w:w="0" w:type="dxa"/>
              <w:left w:w="20" w:type="dxa"/>
              <w:bottom w:w="0" w:type="dxa"/>
              <w:right w:w="20" w:type="dxa"/>
            </w:tcMar>
          </w:tcPr>
          <w:p w14:paraId="5EA25BD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D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D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D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DE"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5BDF"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Pr>
          <w:p w14:paraId="5EA25BE0" w14:textId="77777777" w:rsidR="003C66EB" w:rsidRDefault="003C66EB">
            <w:pPr>
              <w:rPr>
                <w:rFonts w:ascii="宋体"/>
              </w:rPr>
            </w:pPr>
          </w:p>
        </w:tc>
        <w:tc>
          <w:tcPr>
            <w:tcW w:w="0" w:type="auto"/>
            <w:shd w:val="clear" w:color="auto" w:fill="auto"/>
          </w:tcPr>
          <w:p w14:paraId="5EA25BE1" w14:textId="77777777" w:rsidR="003C66EB" w:rsidRDefault="003C66EB">
            <w:pPr>
              <w:rPr>
                <w:rFonts w:ascii="宋体"/>
              </w:rPr>
            </w:pPr>
          </w:p>
        </w:tc>
        <w:tc>
          <w:tcPr>
            <w:tcW w:w="0" w:type="auto"/>
            <w:shd w:val="clear" w:color="auto" w:fill="auto"/>
          </w:tcPr>
          <w:p w14:paraId="5EA25BE2" w14:textId="77777777" w:rsidR="003C66EB" w:rsidRDefault="003C66EB">
            <w:pPr>
              <w:rPr>
                <w:rFonts w:ascii="宋体"/>
              </w:rPr>
            </w:pPr>
          </w:p>
        </w:tc>
        <w:tc>
          <w:tcPr>
            <w:tcW w:w="0" w:type="auto"/>
            <w:shd w:val="clear" w:color="auto" w:fill="auto"/>
          </w:tcPr>
          <w:p w14:paraId="5EA25BE3" w14:textId="77777777" w:rsidR="003C66EB" w:rsidRDefault="003C66EB">
            <w:pPr>
              <w:rPr>
                <w:rFonts w:ascii="宋体"/>
              </w:rPr>
            </w:pPr>
          </w:p>
        </w:tc>
        <w:tc>
          <w:tcPr>
            <w:tcW w:w="0" w:type="auto"/>
            <w:shd w:val="clear" w:color="auto" w:fill="auto"/>
          </w:tcPr>
          <w:p w14:paraId="5EA25BE4" w14:textId="77777777" w:rsidR="003C66EB" w:rsidRDefault="003C66EB">
            <w:pPr>
              <w:rPr>
                <w:rFonts w:ascii="宋体"/>
              </w:rPr>
            </w:pPr>
          </w:p>
        </w:tc>
        <w:tc>
          <w:tcPr>
            <w:tcW w:w="0" w:type="auto"/>
            <w:shd w:val="clear" w:color="auto" w:fill="auto"/>
          </w:tcPr>
          <w:p w14:paraId="5EA25BE5" w14:textId="77777777" w:rsidR="003C66EB" w:rsidRDefault="003C66EB">
            <w:pPr>
              <w:rPr>
                <w:rFonts w:ascii="宋体"/>
              </w:rPr>
            </w:pPr>
          </w:p>
        </w:tc>
        <w:tc>
          <w:tcPr>
            <w:tcW w:w="0" w:type="auto"/>
            <w:shd w:val="clear" w:color="auto" w:fill="auto"/>
          </w:tcPr>
          <w:p w14:paraId="5EA25BE6" w14:textId="77777777" w:rsidR="003C66EB" w:rsidRDefault="003C66EB">
            <w:pPr>
              <w:rPr>
                <w:rFonts w:ascii="宋体"/>
              </w:rPr>
            </w:pPr>
          </w:p>
        </w:tc>
        <w:tc>
          <w:tcPr>
            <w:tcW w:w="0" w:type="auto"/>
            <w:shd w:val="clear" w:color="auto" w:fill="auto"/>
          </w:tcPr>
          <w:p w14:paraId="5EA25BE7" w14:textId="77777777" w:rsidR="003C66EB" w:rsidRDefault="003C66EB">
            <w:pPr>
              <w:rPr>
                <w:rFonts w:ascii="宋体"/>
              </w:rPr>
            </w:pPr>
          </w:p>
        </w:tc>
        <w:tc>
          <w:tcPr>
            <w:tcW w:w="0" w:type="auto"/>
            <w:shd w:val="clear" w:color="auto" w:fill="auto"/>
          </w:tcPr>
          <w:p w14:paraId="5EA25BE8" w14:textId="77777777" w:rsidR="003C66EB" w:rsidRDefault="003C66EB">
            <w:pPr>
              <w:rPr>
                <w:rFonts w:ascii="宋体"/>
              </w:rPr>
            </w:pPr>
          </w:p>
        </w:tc>
        <w:tc>
          <w:tcPr>
            <w:tcW w:w="0" w:type="auto"/>
            <w:shd w:val="clear" w:color="auto" w:fill="auto"/>
          </w:tcPr>
          <w:p w14:paraId="5EA25BE9" w14:textId="77777777" w:rsidR="003C66EB" w:rsidRDefault="003C66EB">
            <w:pPr>
              <w:rPr>
                <w:rFonts w:ascii="宋体"/>
              </w:rPr>
            </w:pPr>
          </w:p>
        </w:tc>
        <w:tc>
          <w:tcPr>
            <w:tcW w:w="0" w:type="auto"/>
            <w:shd w:val="clear" w:color="auto" w:fill="auto"/>
          </w:tcPr>
          <w:p w14:paraId="5EA25BEA" w14:textId="77777777" w:rsidR="003C66EB" w:rsidRDefault="003C66EB">
            <w:pPr>
              <w:rPr>
                <w:rFonts w:ascii="宋体"/>
              </w:rPr>
            </w:pPr>
          </w:p>
        </w:tc>
        <w:tc>
          <w:tcPr>
            <w:tcW w:w="0" w:type="auto"/>
            <w:shd w:val="clear" w:color="auto" w:fill="auto"/>
          </w:tcPr>
          <w:p w14:paraId="5EA25BEB" w14:textId="77777777" w:rsidR="003C66EB" w:rsidRDefault="003C66EB">
            <w:pPr>
              <w:rPr>
                <w:rFonts w:ascii="宋体"/>
              </w:rPr>
            </w:pPr>
          </w:p>
        </w:tc>
      </w:tr>
      <w:tr w:rsidR="003C66EB" w14:paraId="5EA25BFF" w14:textId="77777777">
        <w:tc>
          <w:tcPr>
            <w:tcW w:w="0" w:type="auto"/>
            <w:gridSpan w:val="3"/>
            <w:shd w:val="clear" w:color="auto" w:fill="auto"/>
            <w:tcMar>
              <w:top w:w="0" w:type="dxa"/>
              <w:left w:w="20" w:type="dxa"/>
              <w:bottom w:w="0" w:type="dxa"/>
              <w:right w:w="20" w:type="dxa"/>
            </w:tcMar>
          </w:tcPr>
          <w:p w14:paraId="5EA25BE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E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E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BF0"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5BF1"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5BF2"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5EA25BF3" w14:textId="77777777" w:rsidR="003C66EB" w:rsidRDefault="003C66EB">
            <w:pPr>
              <w:rPr>
                <w:rFonts w:ascii="宋体"/>
                <w:vanish/>
              </w:rPr>
            </w:pPr>
          </w:p>
        </w:tc>
        <w:tc>
          <w:tcPr>
            <w:tcW w:w="0" w:type="auto"/>
            <w:gridSpan w:val="3"/>
            <w:shd w:val="clear" w:color="auto" w:fill="auto"/>
          </w:tcPr>
          <w:p w14:paraId="5EA25BF4"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BF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F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F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F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BF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BFA"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5BFB"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5BFC"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5EA25BFD" w14:textId="77777777" w:rsidR="003C66EB" w:rsidRDefault="003C66EB">
            <w:pPr>
              <w:rPr>
                <w:rFonts w:ascii="宋体"/>
                <w:vanish/>
              </w:rPr>
            </w:pPr>
          </w:p>
        </w:tc>
        <w:tc>
          <w:tcPr>
            <w:tcW w:w="0" w:type="auto"/>
            <w:gridSpan w:val="3"/>
            <w:shd w:val="clear" w:color="auto" w:fill="auto"/>
          </w:tcPr>
          <w:p w14:paraId="5EA25BFE" w14:textId="77777777" w:rsidR="003C66EB" w:rsidRDefault="003C66EB">
            <w:pPr>
              <w:rPr>
                <w:rFonts w:ascii="宋体"/>
                <w:vanish/>
              </w:rPr>
            </w:pPr>
          </w:p>
        </w:tc>
      </w:tr>
      <w:tr w:rsidR="003C66EB" w14:paraId="5EA25C16" w14:textId="77777777">
        <w:tc>
          <w:tcPr>
            <w:tcW w:w="0" w:type="auto"/>
            <w:gridSpan w:val="3"/>
            <w:shd w:val="clear" w:color="auto" w:fill="auto"/>
            <w:tcMar>
              <w:top w:w="40" w:type="dxa"/>
              <w:left w:w="20" w:type="dxa"/>
              <w:bottom w:w="40" w:type="dxa"/>
              <w:right w:w="20" w:type="dxa"/>
            </w:tcMar>
            <w:vAlign w:val="bottom"/>
          </w:tcPr>
          <w:p w14:paraId="5EA25C00"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A25C01" w14:textId="77777777" w:rsidR="003C66EB" w:rsidRDefault="00D96C4E">
            <w:pPr>
              <w:jc w:val="center"/>
              <w:textAlignment w:val="bottom"/>
            </w:pPr>
            <w:r>
              <w:rPr>
                <w:rFonts w:ascii="Arial" w:eastAsia="宋体" w:hAnsi="Arial" w:cs="Arial"/>
                <w:b/>
                <w:bCs/>
                <w:color w:val="000000"/>
                <w:sz w:val="14"/>
                <w:szCs w:val="14"/>
              </w:rPr>
              <w:t>Location of Gain (Loss) on Derivative in Consolidated Statement of Income</w:t>
            </w:r>
          </w:p>
        </w:tc>
        <w:tc>
          <w:tcPr>
            <w:tcW w:w="0" w:type="auto"/>
            <w:gridSpan w:val="3"/>
            <w:shd w:val="clear" w:color="auto" w:fill="auto"/>
            <w:tcMar>
              <w:top w:w="0" w:type="dxa"/>
              <w:left w:w="20" w:type="dxa"/>
              <w:bottom w:w="0" w:type="dxa"/>
              <w:right w:w="20" w:type="dxa"/>
            </w:tcMar>
          </w:tcPr>
          <w:p w14:paraId="5EA25C02"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C03" w14:textId="77777777" w:rsidR="003C66EB" w:rsidRDefault="00D96C4E">
            <w:pPr>
              <w:jc w:val="center"/>
              <w:textAlignment w:val="bottom"/>
            </w:pPr>
            <w:r>
              <w:rPr>
                <w:rFonts w:ascii="Arial" w:eastAsia="宋体" w:hAnsi="Arial" w:cs="Arial"/>
                <w:b/>
                <w:bCs/>
                <w:color w:val="000000"/>
                <w:sz w:val="14"/>
                <w:szCs w:val="14"/>
              </w:rPr>
              <w:t>Amount of Gain</w:t>
            </w:r>
            <w:r>
              <w:rPr>
                <w:rFonts w:ascii="Arial" w:eastAsia="宋体" w:hAnsi="Arial" w:cs="Arial"/>
                <w:b/>
                <w:bCs/>
                <w:color w:val="000000"/>
                <w:sz w:val="14"/>
                <w:szCs w:val="14"/>
              </w:rPr>
              <w:br/>
              <w:t>(Loss) on Derivative</w:t>
            </w:r>
            <w:r>
              <w:rPr>
                <w:rFonts w:ascii="Arial" w:eastAsia="宋体" w:hAnsi="Arial" w:cs="Arial"/>
                <w:b/>
                <w:bCs/>
                <w:color w:val="000000"/>
                <w:sz w:val="14"/>
                <w:szCs w:val="14"/>
              </w:rPr>
              <w:br/>
              <w:t>Recognized in</w:t>
            </w:r>
            <w:r>
              <w:rPr>
                <w:rFonts w:ascii="Arial" w:eastAsia="宋体" w:hAnsi="Arial" w:cs="Arial"/>
                <w:b/>
                <w:bCs/>
                <w:color w:val="000000"/>
                <w:sz w:val="14"/>
                <w:szCs w:val="14"/>
              </w:rPr>
              <w:br/>
              <w:t>Consolidated</w:t>
            </w:r>
            <w:r>
              <w:rPr>
                <w:rFonts w:ascii="Arial" w:eastAsia="宋体" w:hAnsi="Arial" w:cs="Arial"/>
                <w:b/>
                <w:bCs/>
                <w:color w:val="000000"/>
                <w:sz w:val="14"/>
                <w:szCs w:val="14"/>
              </w:rPr>
              <w:br/>
              <w:t>Statement of Income</w:t>
            </w:r>
          </w:p>
        </w:tc>
        <w:tc>
          <w:tcPr>
            <w:tcW w:w="0" w:type="auto"/>
            <w:gridSpan w:val="3"/>
            <w:shd w:val="clear" w:color="auto" w:fill="auto"/>
            <w:tcMar>
              <w:top w:w="0" w:type="dxa"/>
              <w:left w:w="20" w:type="dxa"/>
              <w:bottom w:w="0" w:type="dxa"/>
              <w:right w:w="20" w:type="dxa"/>
            </w:tcMar>
          </w:tcPr>
          <w:p w14:paraId="5EA25C0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C05" w14:textId="77777777" w:rsidR="003C66EB" w:rsidRDefault="00D96C4E">
            <w:pPr>
              <w:jc w:val="center"/>
              <w:textAlignment w:val="bottom"/>
            </w:pPr>
            <w:r>
              <w:rPr>
                <w:rFonts w:ascii="Arial" w:eastAsia="宋体" w:hAnsi="Arial" w:cs="Arial"/>
                <w:b/>
                <w:bCs/>
                <w:color w:val="000000"/>
                <w:sz w:val="14"/>
                <w:szCs w:val="14"/>
              </w:rPr>
              <w:t xml:space="preserve">Hedged Item in Fair Value Hedging </w:t>
            </w:r>
            <w:r>
              <w:rPr>
                <w:rFonts w:ascii="Arial" w:eastAsia="宋体" w:hAnsi="Arial" w:cs="Arial"/>
                <w:b/>
                <w:bCs/>
                <w:color w:val="000000"/>
                <w:sz w:val="14"/>
                <w:szCs w:val="14"/>
              </w:rPr>
              <w:t>Relationship</w:t>
            </w:r>
          </w:p>
        </w:tc>
        <w:tc>
          <w:tcPr>
            <w:tcW w:w="0" w:type="auto"/>
            <w:gridSpan w:val="3"/>
            <w:shd w:val="clear" w:color="auto" w:fill="auto"/>
            <w:tcMar>
              <w:top w:w="0" w:type="dxa"/>
              <w:left w:w="20" w:type="dxa"/>
              <w:bottom w:w="0" w:type="dxa"/>
              <w:right w:w="20" w:type="dxa"/>
            </w:tcMar>
          </w:tcPr>
          <w:p w14:paraId="5EA25C0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5C07" w14:textId="77777777" w:rsidR="003C66EB" w:rsidRDefault="00D96C4E">
            <w:pPr>
              <w:jc w:val="center"/>
              <w:textAlignment w:val="bottom"/>
            </w:pPr>
            <w:r>
              <w:rPr>
                <w:rFonts w:ascii="Arial" w:eastAsia="宋体" w:hAnsi="Arial" w:cs="Arial"/>
                <w:b/>
                <w:bCs/>
                <w:color w:val="000000"/>
                <w:sz w:val="14"/>
                <w:szCs w:val="14"/>
              </w:rPr>
              <w:t>Location of Gain (Loss) on Hedged Item in Consolidated Statement of Income</w:t>
            </w:r>
          </w:p>
        </w:tc>
        <w:tc>
          <w:tcPr>
            <w:tcW w:w="0" w:type="auto"/>
            <w:gridSpan w:val="3"/>
            <w:shd w:val="clear" w:color="auto" w:fill="auto"/>
            <w:tcMar>
              <w:top w:w="0" w:type="dxa"/>
              <w:left w:w="20" w:type="dxa"/>
              <w:bottom w:w="0" w:type="dxa"/>
              <w:right w:w="20" w:type="dxa"/>
            </w:tcMar>
          </w:tcPr>
          <w:p w14:paraId="5EA25C08"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C09" w14:textId="77777777" w:rsidR="003C66EB" w:rsidRDefault="00D96C4E">
            <w:pPr>
              <w:jc w:val="center"/>
              <w:textAlignment w:val="bottom"/>
            </w:pPr>
            <w:r>
              <w:rPr>
                <w:rFonts w:ascii="Arial" w:eastAsia="宋体" w:hAnsi="Arial" w:cs="Arial"/>
                <w:b/>
                <w:bCs/>
                <w:color w:val="000000"/>
                <w:sz w:val="14"/>
                <w:szCs w:val="14"/>
              </w:rPr>
              <w:t>Amount of Gain</w:t>
            </w:r>
            <w:r>
              <w:rPr>
                <w:rFonts w:ascii="Arial" w:eastAsia="宋体" w:hAnsi="Arial" w:cs="Arial"/>
                <w:b/>
                <w:bCs/>
                <w:color w:val="000000"/>
                <w:sz w:val="14"/>
                <w:szCs w:val="14"/>
              </w:rPr>
              <w:br/>
              <w:t>(Loss) on Hedged</w:t>
            </w:r>
            <w:r>
              <w:rPr>
                <w:rFonts w:ascii="Arial" w:eastAsia="宋体" w:hAnsi="Arial" w:cs="Arial"/>
                <w:b/>
                <w:bCs/>
                <w:color w:val="000000"/>
                <w:sz w:val="14"/>
                <w:szCs w:val="14"/>
              </w:rPr>
              <w:br/>
              <w:t>Item Recognized in</w:t>
            </w:r>
            <w:r>
              <w:rPr>
                <w:rFonts w:ascii="Arial" w:eastAsia="宋体" w:hAnsi="Arial" w:cs="Arial"/>
                <w:b/>
                <w:bCs/>
                <w:color w:val="000000"/>
                <w:sz w:val="14"/>
                <w:szCs w:val="14"/>
              </w:rPr>
              <w:br/>
              <w:t>Consolidated</w:t>
            </w:r>
            <w:r>
              <w:rPr>
                <w:rFonts w:ascii="Arial" w:eastAsia="宋体" w:hAnsi="Arial" w:cs="Arial"/>
                <w:b/>
                <w:bCs/>
                <w:color w:val="000000"/>
                <w:sz w:val="14"/>
                <w:szCs w:val="14"/>
              </w:rPr>
              <w:br/>
              <w:t>Statement of Income</w:t>
            </w:r>
          </w:p>
        </w:tc>
        <w:tc>
          <w:tcPr>
            <w:tcW w:w="0" w:type="auto"/>
            <w:shd w:val="clear" w:color="auto" w:fill="auto"/>
          </w:tcPr>
          <w:p w14:paraId="5EA25C0A" w14:textId="77777777" w:rsidR="003C66EB" w:rsidRDefault="003C66EB">
            <w:pPr>
              <w:rPr>
                <w:rFonts w:ascii="宋体"/>
              </w:rPr>
            </w:pPr>
          </w:p>
        </w:tc>
        <w:tc>
          <w:tcPr>
            <w:tcW w:w="0" w:type="auto"/>
            <w:shd w:val="clear" w:color="auto" w:fill="auto"/>
          </w:tcPr>
          <w:p w14:paraId="5EA25C0B" w14:textId="77777777" w:rsidR="003C66EB" w:rsidRDefault="003C66EB">
            <w:pPr>
              <w:rPr>
                <w:rFonts w:ascii="宋体"/>
              </w:rPr>
            </w:pPr>
          </w:p>
        </w:tc>
        <w:tc>
          <w:tcPr>
            <w:tcW w:w="0" w:type="auto"/>
            <w:shd w:val="clear" w:color="auto" w:fill="auto"/>
          </w:tcPr>
          <w:p w14:paraId="5EA25C0C" w14:textId="77777777" w:rsidR="003C66EB" w:rsidRDefault="003C66EB">
            <w:pPr>
              <w:rPr>
                <w:rFonts w:ascii="宋体"/>
              </w:rPr>
            </w:pPr>
          </w:p>
        </w:tc>
        <w:tc>
          <w:tcPr>
            <w:tcW w:w="0" w:type="auto"/>
            <w:shd w:val="clear" w:color="auto" w:fill="auto"/>
          </w:tcPr>
          <w:p w14:paraId="5EA25C0D" w14:textId="77777777" w:rsidR="003C66EB" w:rsidRDefault="003C66EB">
            <w:pPr>
              <w:rPr>
                <w:rFonts w:ascii="宋体"/>
              </w:rPr>
            </w:pPr>
          </w:p>
        </w:tc>
        <w:tc>
          <w:tcPr>
            <w:tcW w:w="0" w:type="auto"/>
            <w:shd w:val="clear" w:color="auto" w:fill="auto"/>
          </w:tcPr>
          <w:p w14:paraId="5EA25C0E" w14:textId="77777777" w:rsidR="003C66EB" w:rsidRDefault="003C66EB">
            <w:pPr>
              <w:rPr>
                <w:rFonts w:ascii="宋体"/>
              </w:rPr>
            </w:pPr>
          </w:p>
        </w:tc>
        <w:tc>
          <w:tcPr>
            <w:tcW w:w="0" w:type="auto"/>
            <w:shd w:val="clear" w:color="auto" w:fill="auto"/>
          </w:tcPr>
          <w:p w14:paraId="5EA25C0F" w14:textId="77777777" w:rsidR="003C66EB" w:rsidRDefault="003C66EB">
            <w:pPr>
              <w:rPr>
                <w:rFonts w:ascii="宋体"/>
              </w:rPr>
            </w:pPr>
          </w:p>
        </w:tc>
        <w:tc>
          <w:tcPr>
            <w:tcW w:w="0" w:type="auto"/>
            <w:shd w:val="clear" w:color="auto" w:fill="auto"/>
          </w:tcPr>
          <w:p w14:paraId="5EA25C10" w14:textId="77777777" w:rsidR="003C66EB" w:rsidRDefault="003C66EB">
            <w:pPr>
              <w:rPr>
                <w:rFonts w:ascii="宋体"/>
              </w:rPr>
            </w:pPr>
          </w:p>
        </w:tc>
        <w:tc>
          <w:tcPr>
            <w:tcW w:w="0" w:type="auto"/>
            <w:shd w:val="clear" w:color="auto" w:fill="auto"/>
          </w:tcPr>
          <w:p w14:paraId="5EA25C11" w14:textId="77777777" w:rsidR="003C66EB" w:rsidRDefault="003C66EB">
            <w:pPr>
              <w:rPr>
                <w:rFonts w:ascii="宋体"/>
              </w:rPr>
            </w:pPr>
          </w:p>
        </w:tc>
        <w:tc>
          <w:tcPr>
            <w:tcW w:w="0" w:type="auto"/>
            <w:shd w:val="clear" w:color="auto" w:fill="auto"/>
          </w:tcPr>
          <w:p w14:paraId="5EA25C12" w14:textId="77777777" w:rsidR="003C66EB" w:rsidRDefault="003C66EB">
            <w:pPr>
              <w:rPr>
                <w:rFonts w:ascii="宋体"/>
              </w:rPr>
            </w:pPr>
          </w:p>
        </w:tc>
        <w:tc>
          <w:tcPr>
            <w:tcW w:w="0" w:type="auto"/>
            <w:shd w:val="clear" w:color="auto" w:fill="auto"/>
          </w:tcPr>
          <w:p w14:paraId="5EA25C13" w14:textId="77777777" w:rsidR="003C66EB" w:rsidRDefault="003C66EB">
            <w:pPr>
              <w:rPr>
                <w:rFonts w:ascii="宋体"/>
              </w:rPr>
            </w:pPr>
          </w:p>
        </w:tc>
        <w:tc>
          <w:tcPr>
            <w:tcW w:w="0" w:type="auto"/>
            <w:shd w:val="clear" w:color="auto" w:fill="auto"/>
          </w:tcPr>
          <w:p w14:paraId="5EA25C14" w14:textId="77777777" w:rsidR="003C66EB" w:rsidRDefault="003C66EB">
            <w:pPr>
              <w:rPr>
                <w:rFonts w:ascii="宋体"/>
              </w:rPr>
            </w:pPr>
          </w:p>
        </w:tc>
        <w:tc>
          <w:tcPr>
            <w:tcW w:w="0" w:type="auto"/>
            <w:shd w:val="clear" w:color="auto" w:fill="auto"/>
          </w:tcPr>
          <w:p w14:paraId="5EA25C15" w14:textId="77777777" w:rsidR="003C66EB" w:rsidRDefault="003C66EB">
            <w:pPr>
              <w:rPr>
                <w:rFonts w:ascii="宋体"/>
              </w:rPr>
            </w:pPr>
          </w:p>
        </w:tc>
      </w:tr>
      <w:tr w:rsidR="003C66EB" w14:paraId="5EA25C29" w14:textId="77777777">
        <w:tc>
          <w:tcPr>
            <w:tcW w:w="0" w:type="auto"/>
            <w:gridSpan w:val="3"/>
            <w:shd w:val="clear" w:color="auto" w:fill="auto"/>
            <w:tcMar>
              <w:top w:w="40" w:type="dxa"/>
              <w:left w:w="20" w:type="dxa"/>
              <w:bottom w:w="40" w:type="dxa"/>
              <w:right w:w="20" w:type="dxa"/>
            </w:tcMar>
            <w:vAlign w:val="bottom"/>
          </w:tcPr>
          <w:p w14:paraId="5EA25C17" w14:textId="77777777" w:rsidR="003C66EB" w:rsidRDefault="00D96C4E">
            <w:pPr>
              <w:textAlignment w:val="bottom"/>
            </w:pPr>
            <w:r>
              <w:rPr>
                <w:rFonts w:ascii="Arial" w:eastAsia="宋体" w:hAnsi="Arial" w:cs="Arial"/>
                <w:b/>
                <w:bCs/>
                <w:color w:val="000000"/>
                <w:sz w:val="14"/>
                <w:szCs w:val="14"/>
              </w:rPr>
              <w:t>Derivatives designated as fair</w:t>
            </w:r>
            <w:r>
              <w:rPr>
                <w:rFonts w:ascii="Arial" w:eastAsia="宋体" w:hAnsi="Arial" w:cs="Arial"/>
                <w:b/>
                <w:bCs/>
                <w:color w:val="000000"/>
                <w:sz w:val="14"/>
                <w:szCs w:val="14"/>
              </w:rPr>
              <w:t xml:space="preserve"> value hedges:</w:t>
            </w:r>
          </w:p>
        </w:tc>
        <w:tc>
          <w:tcPr>
            <w:tcW w:w="0" w:type="auto"/>
            <w:gridSpan w:val="3"/>
            <w:tcBorders>
              <w:top w:val="single" w:sz="8" w:space="0" w:color="000000"/>
            </w:tcBorders>
            <w:shd w:val="clear" w:color="auto" w:fill="auto"/>
            <w:tcMar>
              <w:top w:w="0" w:type="dxa"/>
              <w:left w:w="20" w:type="dxa"/>
              <w:bottom w:w="0" w:type="dxa"/>
              <w:right w:w="20" w:type="dxa"/>
            </w:tcMar>
          </w:tcPr>
          <w:p w14:paraId="5EA25C1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C1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1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1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1C" w14:textId="77777777" w:rsidR="003C66EB" w:rsidRDefault="003C66EB">
            <w:pPr>
              <w:rPr>
                <w:rFonts w:ascii="宋体"/>
              </w:rPr>
            </w:pPr>
          </w:p>
        </w:tc>
        <w:tc>
          <w:tcPr>
            <w:tcW w:w="0" w:type="auto"/>
            <w:gridSpan w:val="3"/>
            <w:shd w:val="clear" w:color="auto" w:fill="auto"/>
          </w:tcPr>
          <w:p w14:paraId="5EA25C1D" w14:textId="77777777" w:rsidR="003C66EB" w:rsidRDefault="003C66EB">
            <w:pPr>
              <w:rPr>
                <w:rFonts w:ascii="宋体"/>
                <w:vanish/>
              </w:rPr>
            </w:pPr>
          </w:p>
        </w:tc>
        <w:tc>
          <w:tcPr>
            <w:tcW w:w="0" w:type="auto"/>
            <w:gridSpan w:val="3"/>
            <w:shd w:val="clear" w:color="auto" w:fill="auto"/>
          </w:tcPr>
          <w:p w14:paraId="5EA25C1E"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C1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2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C2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2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C2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2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2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C26" w14:textId="77777777" w:rsidR="003C66EB" w:rsidRDefault="003C66EB">
            <w:pPr>
              <w:rPr>
                <w:rFonts w:ascii="宋体"/>
              </w:rPr>
            </w:pPr>
          </w:p>
        </w:tc>
        <w:tc>
          <w:tcPr>
            <w:tcW w:w="0" w:type="auto"/>
            <w:gridSpan w:val="3"/>
            <w:shd w:val="clear" w:color="auto" w:fill="auto"/>
          </w:tcPr>
          <w:p w14:paraId="5EA25C27" w14:textId="77777777" w:rsidR="003C66EB" w:rsidRDefault="003C66EB">
            <w:pPr>
              <w:rPr>
                <w:rFonts w:ascii="宋体"/>
                <w:vanish/>
              </w:rPr>
            </w:pPr>
          </w:p>
        </w:tc>
        <w:tc>
          <w:tcPr>
            <w:tcW w:w="0" w:type="auto"/>
            <w:gridSpan w:val="3"/>
            <w:shd w:val="clear" w:color="auto" w:fill="auto"/>
          </w:tcPr>
          <w:p w14:paraId="5EA25C28" w14:textId="77777777" w:rsidR="003C66EB" w:rsidRDefault="003C66EB">
            <w:pPr>
              <w:rPr>
                <w:rFonts w:ascii="宋体"/>
                <w:vanish/>
              </w:rPr>
            </w:pPr>
          </w:p>
        </w:tc>
      </w:tr>
      <w:tr w:rsidR="003C66EB" w14:paraId="5EA25C3C" w14:textId="77777777">
        <w:trPr>
          <w:hidden/>
        </w:trPr>
        <w:tc>
          <w:tcPr>
            <w:tcW w:w="0" w:type="auto"/>
            <w:gridSpan w:val="3"/>
            <w:shd w:val="clear" w:color="auto" w:fill="auto"/>
          </w:tcPr>
          <w:p w14:paraId="5EA25C2A" w14:textId="77777777" w:rsidR="003C66EB" w:rsidRDefault="003C66EB">
            <w:pPr>
              <w:rPr>
                <w:rFonts w:ascii="宋体"/>
                <w:vanish/>
              </w:rPr>
            </w:pPr>
          </w:p>
        </w:tc>
        <w:tc>
          <w:tcPr>
            <w:tcW w:w="0" w:type="auto"/>
            <w:gridSpan w:val="3"/>
            <w:shd w:val="clear" w:color="auto" w:fill="auto"/>
          </w:tcPr>
          <w:p w14:paraId="5EA25C2B" w14:textId="77777777" w:rsidR="003C66EB" w:rsidRDefault="003C66EB">
            <w:pPr>
              <w:rPr>
                <w:rFonts w:ascii="宋体"/>
                <w:vanish/>
              </w:rPr>
            </w:pPr>
          </w:p>
        </w:tc>
        <w:tc>
          <w:tcPr>
            <w:tcW w:w="0" w:type="auto"/>
            <w:gridSpan w:val="3"/>
            <w:shd w:val="clear" w:color="auto" w:fill="auto"/>
          </w:tcPr>
          <w:p w14:paraId="5EA25C2C" w14:textId="77777777" w:rsidR="003C66EB" w:rsidRDefault="003C66EB">
            <w:pPr>
              <w:rPr>
                <w:rFonts w:ascii="宋体"/>
                <w:vanish/>
              </w:rPr>
            </w:pPr>
          </w:p>
        </w:tc>
        <w:tc>
          <w:tcPr>
            <w:tcW w:w="0" w:type="auto"/>
            <w:gridSpan w:val="3"/>
            <w:shd w:val="clear" w:color="auto" w:fill="auto"/>
          </w:tcPr>
          <w:p w14:paraId="5EA25C2D" w14:textId="77777777" w:rsidR="003C66EB" w:rsidRDefault="003C66EB">
            <w:pPr>
              <w:rPr>
                <w:rFonts w:ascii="宋体"/>
                <w:vanish/>
              </w:rPr>
            </w:pPr>
          </w:p>
        </w:tc>
        <w:tc>
          <w:tcPr>
            <w:tcW w:w="0" w:type="auto"/>
            <w:gridSpan w:val="3"/>
            <w:shd w:val="clear" w:color="auto" w:fill="auto"/>
          </w:tcPr>
          <w:p w14:paraId="5EA25C2E" w14:textId="77777777" w:rsidR="003C66EB" w:rsidRDefault="003C66EB">
            <w:pPr>
              <w:rPr>
                <w:rFonts w:ascii="宋体"/>
                <w:vanish/>
              </w:rPr>
            </w:pPr>
          </w:p>
        </w:tc>
        <w:tc>
          <w:tcPr>
            <w:tcW w:w="0" w:type="auto"/>
            <w:gridSpan w:val="3"/>
            <w:shd w:val="clear" w:color="auto" w:fill="auto"/>
          </w:tcPr>
          <w:p w14:paraId="5EA25C2F" w14:textId="77777777" w:rsidR="003C66EB" w:rsidRDefault="003C66EB">
            <w:pPr>
              <w:rPr>
                <w:rFonts w:ascii="宋体"/>
                <w:vanish/>
              </w:rPr>
            </w:pPr>
          </w:p>
        </w:tc>
        <w:tc>
          <w:tcPr>
            <w:tcW w:w="0" w:type="auto"/>
            <w:gridSpan w:val="3"/>
            <w:shd w:val="clear" w:color="auto" w:fill="auto"/>
          </w:tcPr>
          <w:p w14:paraId="5EA25C30" w14:textId="77777777" w:rsidR="003C66EB" w:rsidRDefault="003C66EB">
            <w:pPr>
              <w:rPr>
                <w:rFonts w:ascii="宋体"/>
                <w:vanish/>
              </w:rPr>
            </w:pPr>
          </w:p>
        </w:tc>
        <w:tc>
          <w:tcPr>
            <w:tcW w:w="0" w:type="auto"/>
            <w:gridSpan w:val="3"/>
            <w:shd w:val="clear" w:color="auto" w:fill="auto"/>
          </w:tcPr>
          <w:p w14:paraId="5EA25C31" w14:textId="77777777" w:rsidR="003C66EB" w:rsidRDefault="003C66EB">
            <w:pPr>
              <w:rPr>
                <w:rFonts w:ascii="宋体"/>
                <w:vanish/>
              </w:rPr>
            </w:pPr>
          </w:p>
        </w:tc>
        <w:tc>
          <w:tcPr>
            <w:tcW w:w="0" w:type="auto"/>
            <w:gridSpan w:val="3"/>
            <w:shd w:val="clear" w:color="auto" w:fill="auto"/>
          </w:tcPr>
          <w:p w14:paraId="5EA25C32" w14:textId="77777777" w:rsidR="003C66EB" w:rsidRDefault="003C66EB">
            <w:pPr>
              <w:rPr>
                <w:rFonts w:ascii="宋体"/>
                <w:vanish/>
              </w:rPr>
            </w:pPr>
          </w:p>
        </w:tc>
        <w:tc>
          <w:tcPr>
            <w:tcW w:w="0" w:type="auto"/>
            <w:gridSpan w:val="3"/>
            <w:shd w:val="clear" w:color="auto" w:fill="auto"/>
          </w:tcPr>
          <w:p w14:paraId="5EA25C33" w14:textId="77777777" w:rsidR="003C66EB" w:rsidRDefault="003C66EB">
            <w:pPr>
              <w:rPr>
                <w:rFonts w:ascii="宋体"/>
                <w:vanish/>
              </w:rPr>
            </w:pPr>
          </w:p>
        </w:tc>
        <w:tc>
          <w:tcPr>
            <w:tcW w:w="0" w:type="auto"/>
            <w:gridSpan w:val="3"/>
            <w:shd w:val="clear" w:color="auto" w:fill="auto"/>
          </w:tcPr>
          <w:p w14:paraId="5EA25C34" w14:textId="77777777" w:rsidR="003C66EB" w:rsidRDefault="003C66EB">
            <w:pPr>
              <w:rPr>
                <w:rFonts w:ascii="宋体"/>
                <w:vanish/>
              </w:rPr>
            </w:pPr>
          </w:p>
        </w:tc>
        <w:tc>
          <w:tcPr>
            <w:tcW w:w="0" w:type="auto"/>
            <w:gridSpan w:val="3"/>
            <w:shd w:val="clear" w:color="auto" w:fill="auto"/>
          </w:tcPr>
          <w:p w14:paraId="5EA25C35" w14:textId="77777777" w:rsidR="003C66EB" w:rsidRDefault="003C66EB">
            <w:pPr>
              <w:rPr>
                <w:rFonts w:ascii="宋体"/>
                <w:vanish/>
              </w:rPr>
            </w:pPr>
          </w:p>
        </w:tc>
        <w:tc>
          <w:tcPr>
            <w:tcW w:w="0" w:type="auto"/>
            <w:gridSpan w:val="3"/>
            <w:shd w:val="clear" w:color="auto" w:fill="auto"/>
          </w:tcPr>
          <w:p w14:paraId="5EA25C36" w14:textId="77777777" w:rsidR="003C66EB" w:rsidRDefault="003C66EB">
            <w:pPr>
              <w:rPr>
                <w:rFonts w:ascii="宋体"/>
                <w:vanish/>
              </w:rPr>
            </w:pPr>
          </w:p>
        </w:tc>
        <w:tc>
          <w:tcPr>
            <w:tcW w:w="0" w:type="auto"/>
            <w:gridSpan w:val="3"/>
            <w:shd w:val="clear" w:color="auto" w:fill="auto"/>
          </w:tcPr>
          <w:p w14:paraId="5EA25C37" w14:textId="77777777" w:rsidR="003C66EB" w:rsidRDefault="003C66EB">
            <w:pPr>
              <w:rPr>
                <w:rFonts w:ascii="宋体"/>
                <w:vanish/>
              </w:rPr>
            </w:pPr>
          </w:p>
        </w:tc>
        <w:tc>
          <w:tcPr>
            <w:tcW w:w="0" w:type="auto"/>
            <w:gridSpan w:val="3"/>
            <w:shd w:val="clear" w:color="auto" w:fill="auto"/>
          </w:tcPr>
          <w:p w14:paraId="5EA25C38" w14:textId="77777777" w:rsidR="003C66EB" w:rsidRDefault="003C66EB">
            <w:pPr>
              <w:rPr>
                <w:rFonts w:ascii="宋体"/>
                <w:vanish/>
              </w:rPr>
            </w:pPr>
          </w:p>
        </w:tc>
        <w:tc>
          <w:tcPr>
            <w:tcW w:w="0" w:type="auto"/>
            <w:gridSpan w:val="3"/>
            <w:shd w:val="clear" w:color="auto" w:fill="auto"/>
          </w:tcPr>
          <w:p w14:paraId="5EA25C39" w14:textId="77777777" w:rsidR="003C66EB" w:rsidRDefault="003C66EB">
            <w:pPr>
              <w:rPr>
                <w:rFonts w:ascii="宋体"/>
                <w:vanish/>
              </w:rPr>
            </w:pPr>
          </w:p>
        </w:tc>
        <w:tc>
          <w:tcPr>
            <w:tcW w:w="0" w:type="auto"/>
            <w:gridSpan w:val="3"/>
            <w:shd w:val="clear" w:color="auto" w:fill="auto"/>
          </w:tcPr>
          <w:p w14:paraId="5EA25C3A" w14:textId="77777777" w:rsidR="003C66EB" w:rsidRDefault="003C66EB">
            <w:pPr>
              <w:rPr>
                <w:rFonts w:ascii="宋体"/>
                <w:vanish/>
              </w:rPr>
            </w:pPr>
          </w:p>
        </w:tc>
        <w:tc>
          <w:tcPr>
            <w:tcW w:w="0" w:type="auto"/>
            <w:gridSpan w:val="3"/>
            <w:shd w:val="clear" w:color="auto" w:fill="auto"/>
          </w:tcPr>
          <w:p w14:paraId="5EA25C3B" w14:textId="77777777" w:rsidR="003C66EB" w:rsidRDefault="003C66EB">
            <w:pPr>
              <w:rPr>
                <w:rFonts w:ascii="宋体"/>
                <w:vanish/>
              </w:rPr>
            </w:pPr>
          </w:p>
        </w:tc>
      </w:tr>
      <w:tr w:rsidR="003C66EB" w14:paraId="5EA25C4F" w14:textId="77777777">
        <w:trPr>
          <w:hidden/>
        </w:trPr>
        <w:tc>
          <w:tcPr>
            <w:tcW w:w="0" w:type="auto"/>
            <w:gridSpan w:val="3"/>
            <w:shd w:val="clear" w:color="auto" w:fill="auto"/>
          </w:tcPr>
          <w:p w14:paraId="5EA25C3D" w14:textId="77777777" w:rsidR="003C66EB" w:rsidRDefault="003C66EB">
            <w:pPr>
              <w:rPr>
                <w:rFonts w:ascii="宋体"/>
                <w:vanish/>
              </w:rPr>
            </w:pPr>
          </w:p>
        </w:tc>
        <w:tc>
          <w:tcPr>
            <w:tcW w:w="0" w:type="auto"/>
            <w:gridSpan w:val="3"/>
            <w:shd w:val="clear" w:color="auto" w:fill="auto"/>
          </w:tcPr>
          <w:p w14:paraId="5EA25C3E" w14:textId="77777777" w:rsidR="003C66EB" w:rsidRDefault="003C66EB">
            <w:pPr>
              <w:rPr>
                <w:rFonts w:ascii="宋体"/>
                <w:vanish/>
              </w:rPr>
            </w:pPr>
          </w:p>
        </w:tc>
        <w:tc>
          <w:tcPr>
            <w:tcW w:w="0" w:type="auto"/>
            <w:gridSpan w:val="3"/>
            <w:shd w:val="clear" w:color="auto" w:fill="auto"/>
          </w:tcPr>
          <w:p w14:paraId="5EA25C3F" w14:textId="77777777" w:rsidR="003C66EB" w:rsidRDefault="003C66EB">
            <w:pPr>
              <w:rPr>
                <w:rFonts w:ascii="宋体"/>
                <w:vanish/>
              </w:rPr>
            </w:pPr>
          </w:p>
        </w:tc>
        <w:tc>
          <w:tcPr>
            <w:tcW w:w="0" w:type="auto"/>
            <w:gridSpan w:val="3"/>
            <w:shd w:val="clear" w:color="auto" w:fill="auto"/>
          </w:tcPr>
          <w:p w14:paraId="5EA25C40" w14:textId="77777777" w:rsidR="003C66EB" w:rsidRDefault="003C66EB">
            <w:pPr>
              <w:rPr>
                <w:rFonts w:ascii="宋体"/>
                <w:vanish/>
              </w:rPr>
            </w:pPr>
          </w:p>
        </w:tc>
        <w:tc>
          <w:tcPr>
            <w:tcW w:w="0" w:type="auto"/>
            <w:gridSpan w:val="3"/>
            <w:shd w:val="clear" w:color="auto" w:fill="auto"/>
          </w:tcPr>
          <w:p w14:paraId="5EA25C41" w14:textId="77777777" w:rsidR="003C66EB" w:rsidRDefault="003C66EB">
            <w:pPr>
              <w:rPr>
                <w:rFonts w:ascii="宋体"/>
                <w:vanish/>
              </w:rPr>
            </w:pPr>
          </w:p>
        </w:tc>
        <w:tc>
          <w:tcPr>
            <w:tcW w:w="0" w:type="auto"/>
            <w:gridSpan w:val="3"/>
            <w:shd w:val="clear" w:color="auto" w:fill="auto"/>
          </w:tcPr>
          <w:p w14:paraId="5EA25C42" w14:textId="77777777" w:rsidR="003C66EB" w:rsidRDefault="003C66EB">
            <w:pPr>
              <w:rPr>
                <w:rFonts w:ascii="宋体"/>
                <w:vanish/>
              </w:rPr>
            </w:pPr>
          </w:p>
        </w:tc>
        <w:tc>
          <w:tcPr>
            <w:tcW w:w="0" w:type="auto"/>
            <w:gridSpan w:val="3"/>
            <w:shd w:val="clear" w:color="auto" w:fill="auto"/>
          </w:tcPr>
          <w:p w14:paraId="5EA25C43" w14:textId="77777777" w:rsidR="003C66EB" w:rsidRDefault="003C66EB">
            <w:pPr>
              <w:rPr>
                <w:rFonts w:ascii="宋体"/>
                <w:vanish/>
              </w:rPr>
            </w:pPr>
          </w:p>
        </w:tc>
        <w:tc>
          <w:tcPr>
            <w:tcW w:w="0" w:type="auto"/>
            <w:gridSpan w:val="3"/>
            <w:shd w:val="clear" w:color="auto" w:fill="auto"/>
          </w:tcPr>
          <w:p w14:paraId="5EA25C44" w14:textId="77777777" w:rsidR="003C66EB" w:rsidRDefault="003C66EB">
            <w:pPr>
              <w:rPr>
                <w:rFonts w:ascii="宋体"/>
                <w:vanish/>
              </w:rPr>
            </w:pPr>
          </w:p>
        </w:tc>
        <w:tc>
          <w:tcPr>
            <w:tcW w:w="0" w:type="auto"/>
            <w:gridSpan w:val="3"/>
            <w:shd w:val="clear" w:color="auto" w:fill="auto"/>
          </w:tcPr>
          <w:p w14:paraId="5EA25C45" w14:textId="77777777" w:rsidR="003C66EB" w:rsidRDefault="003C66EB">
            <w:pPr>
              <w:rPr>
                <w:rFonts w:ascii="宋体"/>
                <w:vanish/>
              </w:rPr>
            </w:pPr>
          </w:p>
        </w:tc>
        <w:tc>
          <w:tcPr>
            <w:tcW w:w="0" w:type="auto"/>
            <w:gridSpan w:val="3"/>
            <w:shd w:val="clear" w:color="auto" w:fill="auto"/>
          </w:tcPr>
          <w:p w14:paraId="5EA25C46" w14:textId="77777777" w:rsidR="003C66EB" w:rsidRDefault="003C66EB">
            <w:pPr>
              <w:rPr>
                <w:rFonts w:ascii="宋体"/>
                <w:vanish/>
              </w:rPr>
            </w:pPr>
          </w:p>
        </w:tc>
        <w:tc>
          <w:tcPr>
            <w:tcW w:w="0" w:type="auto"/>
            <w:gridSpan w:val="3"/>
            <w:shd w:val="clear" w:color="auto" w:fill="auto"/>
          </w:tcPr>
          <w:p w14:paraId="5EA25C47" w14:textId="77777777" w:rsidR="003C66EB" w:rsidRDefault="003C66EB">
            <w:pPr>
              <w:rPr>
                <w:rFonts w:ascii="宋体"/>
                <w:vanish/>
              </w:rPr>
            </w:pPr>
          </w:p>
        </w:tc>
        <w:tc>
          <w:tcPr>
            <w:tcW w:w="0" w:type="auto"/>
            <w:gridSpan w:val="3"/>
            <w:shd w:val="clear" w:color="auto" w:fill="auto"/>
          </w:tcPr>
          <w:p w14:paraId="5EA25C48" w14:textId="77777777" w:rsidR="003C66EB" w:rsidRDefault="003C66EB">
            <w:pPr>
              <w:rPr>
                <w:rFonts w:ascii="宋体"/>
                <w:vanish/>
              </w:rPr>
            </w:pPr>
          </w:p>
        </w:tc>
        <w:tc>
          <w:tcPr>
            <w:tcW w:w="0" w:type="auto"/>
            <w:gridSpan w:val="3"/>
            <w:shd w:val="clear" w:color="auto" w:fill="auto"/>
          </w:tcPr>
          <w:p w14:paraId="5EA25C49" w14:textId="77777777" w:rsidR="003C66EB" w:rsidRDefault="003C66EB">
            <w:pPr>
              <w:rPr>
                <w:rFonts w:ascii="宋体"/>
                <w:vanish/>
              </w:rPr>
            </w:pPr>
          </w:p>
        </w:tc>
        <w:tc>
          <w:tcPr>
            <w:tcW w:w="0" w:type="auto"/>
            <w:gridSpan w:val="3"/>
            <w:shd w:val="clear" w:color="auto" w:fill="auto"/>
          </w:tcPr>
          <w:p w14:paraId="5EA25C4A" w14:textId="77777777" w:rsidR="003C66EB" w:rsidRDefault="003C66EB">
            <w:pPr>
              <w:rPr>
                <w:rFonts w:ascii="宋体"/>
                <w:vanish/>
              </w:rPr>
            </w:pPr>
          </w:p>
        </w:tc>
        <w:tc>
          <w:tcPr>
            <w:tcW w:w="0" w:type="auto"/>
            <w:gridSpan w:val="3"/>
            <w:shd w:val="clear" w:color="auto" w:fill="auto"/>
          </w:tcPr>
          <w:p w14:paraId="5EA25C4B" w14:textId="77777777" w:rsidR="003C66EB" w:rsidRDefault="003C66EB">
            <w:pPr>
              <w:rPr>
                <w:rFonts w:ascii="宋体"/>
                <w:vanish/>
              </w:rPr>
            </w:pPr>
          </w:p>
        </w:tc>
        <w:tc>
          <w:tcPr>
            <w:tcW w:w="0" w:type="auto"/>
            <w:gridSpan w:val="3"/>
            <w:shd w:val="clear" w:color="auto" w:fill="auto"/>
          </w:tcPr>
          <w:p w14:paraId="5EA25C4C" w14:textId="77777777" w:rsidR="003C66EB" w:rsidRDefault="003C66EB">
            <w:pPr>
              <w:rPr>
                <w:rFonts w:ascii="宋体"/>
                <w:vanish/>
              </w:rPr>
            </w:pPr>
          </w:p>
        </w:tc>
        <w:tc>
          <w:tcPr>
            <w:tcW w:w="0" w:type="auto"/>
            <w:gridSpan w:val="3"/>
            <w:shd w:val="clear" w:color="auto" w:fill="auto"/>
          </w:tcPr>
          <w:p w14:paraId="5EA25C4D" w14:textId="77777777" w:rsidR="003C66EB" w:rsidRDefault="003C66EB">
            <w:pPr>
              <w:rPr>
                <w:rFonts w:ascii="宋体"/>
                <w:vanish/>
              </w:rPr>
            </w:pPr>
          </w:p>
        </w:tc>
        <w:tc>
          <w:tcPr>
            <w:tcW w:w="0" w:type="auto"/>
            <w:gridSpan w:val="3"/>
            <w:shd w:val="clear" w:color="auto" w:fill="auto"/>
          </w:tcPr>
          <w:p w14:paraId="5EA25C4E" w14:textId="77777777" w:rsidR="003C66EB" w:rsidRDefault="003C66EB">
            <w:pPr>
              <w:rPr>
                <w:rFonts w:ascii="宋体"/>
                <w:vanish/>
              </w:rPr>
            </w:pPr>
          </w:p>
        </w:tc>
      </w:tr>
      <w:tr w:rsidR="003C66EB" w14:paraId="5EA25C6A" w14:textId="77777777">
        <w:tc>
          <w:tcPr>
            <w:tcW w:w="0" w:type="auto"/>
            <w:gridSpan w:val="3"/>
            <w:shd w:val="clear" w:color="auto" w:fill="CCEEFF"/>
            <w:tcMar>
              <w:top w:w="40" w:type="dxa"/>
              <w:left w:w="20" w:type="dxa"/>
              <w:bottom w:w="40" w:type="dxa"/>
              <w:right w:w="20" w:type="dxa"/>
            </w:tcMar>
            <w:vAlign w:val="bottom"/>
          </w:tcPr>
          <w:p w14:paraId="5EA25C50" w14:textId="77777777" w:rsidR="003C66EB" w:rsidRDefault="00D96C4E">
            <w:pPr>
              <w:textAlignment w:val="bottom"/>
            </w:pPr>
            <w:r>
              <w:rPr>
                <w:rFonts w:ascii="Arial" w:eastAsia="宋体" w:hAnsi="Arial" w:cs="Arial"/>
                <w:color w:val="000000"/>
                <w:sz w:val="14"/>
                <w:szCs w:val="14"/>
              </w:rPr>
              <w:t>Interest rate contracts</w:t>
            </w:r>
          </w:p>
        </w:tc>
        <w:tc>
          <w:tcPr>
            <w:tcW w:w="0" w:type="auto"/>
            <w:gridSpan w:val="3"/>
            <w:shd w:val="clear" w:color="auto" w:fill="CCEEFF"/>
            <w:tcMar>
              <w:top w:w="40" w:type="dxa"/>
              <w:left w:w="20" w:type="dxa"/>
              <w:bottom w:w="40" w:type="dxa"/>
              <w:right w:w="20" w:type="dxa"/>
            </w:tcMar>
            <w:vAlign w:val="bottom"/>
          </w:tcPr>
          <w:p w14:paraId="5EA25C51" w14:textId="77777777" w:rsidR="003C66EB" w:rsidRDefault="00D96C4E">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tcPr>
          <w:p w14:paraId="5EA25C5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C53"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C54" w14:textId="77777777" w:rsidR="003C66EB" w:rsidRDefault="00D96C4E">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C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C5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C57"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C58" w14:textId="77777777" w:rsidR="003C66EB" w:rsidRDefault="00D96C4E">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5EA25C59" w14:textId="77777777" w:rsidR="003C66EB" w:rsidRDefault="003C66EB">
            <w:pPr>
              <w:jc w:val="right"/>
              <w:rPr>
                <w:rFonts w:ascii="宋体"/>
              </w:rPr>
            </w:pPr>
          </w:p>
        </w:tc>
        <w:tc>
          <w:tcPr>
            <w:tcW w:w="0" w:type="auto"/>
            <w:gridSpan w:val="3"/>
            <w:shd w:val="clear" w:color="auto" w:fill="auto"/>
          </w:tcPr>
          <w:p w14:paraId="5EA25C5A" w14:textId="77777777" w:rsidR="003C66EB" w:rsidRDefault="003C66EB">
            <w:pPr>
              <w:rPr>
                <w:rFonts w:ascii="宋体"/>
                <w:vanish/>
              </w:rPr>
            </w:pPr>
          </w:p>
        </w:tc>
        <w:tc>
          <w:tcPr>
            <w:tcW w:w="0" w:type="auto"/>
            <w:gridSpan w:val="3"/>
            <w:shd w:val="clear" w:color="auto" w:fill="auto"/>
          </w:tcPr>
          <w:p w14:paraId="5EA25C5B"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5C5C"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5C5D" w14:textId="77777777" w:rsidR="003C66EB" w:rsidRDefault="00D96C4E">
            <w:pPr>
              <w:textAlignment w:val="bottom"/>
            </w:pPr>
            <w:r>
              <w:rPr>
                <w:rFonts w:ascii="Arial" w:eastAsia="宋体" w:hAnsi="Arial" w:cs="Arial"/>
                <w:color w:val="000000"/>
                <w:sz w:val="14"/>
                <w:szCs w:val="14"/>
              </w:rPr>
              <w:t>Available-for-sale securities</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5EA25C5E"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5C5F" w14:textId="77777777" w:rsidR="003C66EB" w:rsidRDefault="00D96C4E">
            <w:pPr>
              <w:spacing w:after="40"/>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tcPr>
          <w:p w14:paraId="5EA25C6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C61"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C62" w14:textId="77777777" w:rsidR="003C66EB" w:rsidRDefault="00D96C4E">
            <w:pPr>
              <w:jc w:val="right"/>
              <w:textAlignment w:val="bottom"/>
            </w:pPr>
            <w:r>
              <w:rPr>
                <w:rFonts w:ascii="Arial" w:eastAsia="宋体" w:hAnsi="Arial" w:cs="Arial"/>
                <w:b/>
                <w:bCs/>
                <w:color w:val="000000"/>
                <w:sz w:val="14"/>
                <w:szCs w:val="14"/>
              </w:rPr>
              <w:t>(16)</w:t>
            </w:r>
          </w:p>
        </w:tc>
        <w:tc>
          <w:tcPr>
            <w:tcW w:w="0" w:type="auto"/>
            <w:shd w:val="clear" w:color="auto" w:fill="CCEEFF"/>
            <w:tcMar>
              <w:top w:w="40" w:type="dxa"/>
              <w:left w:w="0" w:type="dxa"/>
              <w:bottom w:w="40" w:type="dxa"/>
              <w:right w:w="20" w:type="dxa"/>
            </w:tcMar>
            <w:vAlign w:val="bottom"/>
          </w:tcPr>
          <w:p w14:paraId="5EA25C6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C6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C65"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C66"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A25C67" w14:textId="77777777" w:rsidR="003C66EB" w:rsidRDefault="003C66EB">
            <w:pPr>
              <w:jc w:val="right"/>
              <w:rPr>
                <w:rFonts w:ascii="宋体"/>
              </w:rPr>
            </w:pPr>
          </w:p>
        </w:tc>
        <w:tc>
          <w:tcPr>
            <w:tcW w:w="0" w:type="auto"/>
            <w:gridSpan w:val="3"/>
            <w:shd w:val="clear" w:color="auto" w:fill="auto"/>
          </w:tcPr>
          <w:p w14:paraId="5EA25C68" w14:textId="77777777" w:rsidR="003C66EB" w:rsidRDefault="003C66EB">
            <w:pPr>
              <w:rPr>
                <w:rFonts w:ascii="宋体"/>
                <w:vanish/>
              </w:rPr>
            </w:pPr>
          </w:p>
        </w:tc>
        <w:tc>
          <w:tcPr>
            <w:tcW w:w="0" w:type="auto"/>
            <w:gridSpan w:val="3"/>
            <w:shd w:val="clear" w:color="auto" w:fill="auto"/>
          </w:tcPr>
          <w:p w14:paraId="5EA25C69" w14:textId="77777777" w:rsidR="003C66EB" w:rsidRDefault="003C66EB">
            <w:pPr>
              <w:rPr>
                <w:rFonts w:ascii="宋体"/>
                <w:vanish/>
              </w:rPr>
            </w:pPr>
          </w:p>
        </w:tc>
      </w:tr>
      <w:tr w:rsidR="003C66EB" w14:paraId="5EA25C81" w14:textId="77777777">
        <w:tc>
          <w:tcPr>
            <w:tcW w:w="0" w:type="auto"/>
            <w:gridSpan w:val="3"/>
            <w:shd w:val="clear" w:color="auto" w:fill="FFFFFF"/>
            <w:tcMar>
              <w:top w:w="40" w:type="dxa"/>
              <w:left w:w="20" w:type="dxa"/>
              <w:bottom w:w="40" w:type="dxa"/>
              <w:right w:w="20" w:type="dxa"/>
            </w:tcMar>
            <w:vAlign w:val="bottom"/>
          </w:tcPr>
          <w:p w14:paraId="5EA25C6B" w14:textId="77777777" w:rsidR="003C66EB" w:rsidRDefault="00D96C4E">
            <w:pPr>
              <w:textAlignment w:val="bottom"/>
            </w:pPr>
            <w:r>
              <w:rPr>
                <w:rFonts w:ascii="Arial" w:eastAsia="宋体" w:hAnsi="Arial" w:cs="Arial"/>
                <w:color w:val="000000"/>
                <w:sz w:val="14"/>
                <w:szCs w:val="14"/>
              </w:rPr>
              <w:t>Interest rate contracts</w:t>
            </w:r>
          </w:p>
        </w:tc>
        <w:tc>
          <w:tcPr>
            <w:tcW w:w="0" w:type="auto"/>
            <w:gridSpan w:val="3"/>
            <w:shd w:val="clear" w:color="auto" w:fill="FFFFFF"/>
            <w:tcMar>
              <w:top w:w="40" w:type="dxa"/>
              <w:left w:w="20" w:type="dxa"/>
              <w:bottom w:w="40" w:type="dxa"/>
              <w:right w:w="20" w:type="dxa"/>
            </w:tcMar>
            <w:vAlign w:val="bottom"/>
          </w:tcPr>
          <w:p w14:paraId="5EA25C6C" w14:textId="77777777" w:rsidR="003C66EB" w:rsidRDefault="00D96C4E">
            <w:pPr>
              <w:textAlignment w:val="bottom"/>
            </w:pPr>
            <w:r>
              <w:rPr>
                <w:rFonts w:ascii="Arial" w:eastAsia="宋体" w:hAnsi="Arial" w:cs="Arial"/>
                <w:color w:val="000000"/>
                <w:sz w:val="14"/>
                <w:szCs w:val="14"/>
              </w:rPr>
              <w:t>N</w:t>
            </w:r>
            <w:r>
              <w:rPr>
                <w:rFonts w:ascii="Arial" w:eastAsia="宋体" w:hAnsi="Arial" w:cs="Arial"/>
                <w:color w:val="000000"/>
                <w:sz w:val="14"/>
                <w:szCs w:val="14"/>
              </w:rPr>
              <w:t>et interest income</w:t>
            </w:r>
          </w:p>
        </w:tc>
        <w:tc>
          <w:tcPr>
            <w:tcW w:w="0" w:type="auto"/>
            <w:gridSpan w:val="3"/>
            <w:shd w:val="clear" w:color="auto" w:fill="FFFFFF"/>
            <w:tcMar>
              <w:top w:w="0" w:type="dxa"/>
              <w:left w:w="20" w:type="dxa"/>
              <w:bottom w:w="0" w:type="dxa"/>
              <w:right w:w="20" w:type="dxa"/>
            </w:tcMar>
          </w:tcPr>
          <w:p w14:paraId="5EA25C6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C6E" w14:textId="77777777" w:rsidR="003C66EB" w:rsidRDefault="00D96C4E">
            <w:pPr>
              <w:jc w:val="right"/>
              <w:textAlignment w:val="bottom"/>
            </w:pPr>
            <w:r>
              <w:rPr>
                <w:rFonts w:ascii="Arial" w:eastAsia="宋体" w:hAnsi="Arial" w:cs="Arial"/>
                <w:b/>
                <w:bCs/>
                <w:color w:val="000000"/>
                <w:sz w:val="14"/>
                <w:szCs w:val="14"/>
              </w:rPr>
              <w:t>(12)</w:t>
            </w:r>
          </w:p>
        </w:tc>
        <w:tc>
          <w:tcPr>
            <w:tcW w:w="0" w:type="auto"/>
            <w:shd w:val="clear" w:color="auto" w:fill="FFFFFF"/>
            <w:tcMar>
              <w:top w:w="40" w:type="dxa"/>
              <w:left w:w="0" w:type="dxa"/>
              <w:bottom w:w="40" w:type="dxa"/>
              <w:right w:w="20" w:type="dxa"/>
            </w:tcMar>
            <w:vAlign w:val="bottom"/>
          </w:tcPr>
          <w:p w14:paraId="5EA25C6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C7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C71" w14:textId="77777777" w:rsidR="003C66EB" w:rsidRDefault="00D96C4E">
            <w:pPr>
              <w:jc w:val="right"/>
              <w:textAlignment w:val="bottom"/>
            </w:pPr>
            <w:r>
              <w:rPr>
                <w:rFonts w:ascii="Arial" w:eastAsia="宋体" w:hAnsi="Arial" w:cs="Arial"/>
                <w:color w:val="000000"/>
                <w:sz w:val="14"/>
                <w:szCs w:val="14"/>
              </w:rPr>
              <w:t>547 </w:t>
            </w:r>
          </w:p>
        </w:tc>
        <w:tc>
          <w:tcPr>
            <w:tcW w:w="0" w:type="auto"/>
            <w:shd w:val="clear" w:color="auto" w:fill="FFFFFF"/>
            <w:tcMar>
              <w:top w:w="40" w:type="dxa"/>
              <w:left w:w="0" w:type="dxa"/>
              <w:bottom w:w="40" w:type="dxa"/>
              <w:right w:w="20" w:type="dxa"/>
            </w:tcMar>
            <w:vAlign w:val="bottom"/>
          </w:tcPr>
          <w:p w14:paraId="5EA25C72" w14:textId="77777777" w:rsidR="003C66EB" w:rsidRDefault="003C66EB">
            <w:pPr>
              <w:jc w:val="right"/>
              <w:rPr>
                <w:rFonts w:ascii="宋体"/>
              </w:rPr>
            </w:pPr>
          </w:p>
        </w:tc>
        <w:tc>
          <w:tcPr>
            <w:tcW w:w="0" w:type="auto"/>
            <w:gridSpan w:val="3"/>
            <w:shd w:val="clear" w:color="auto" w:fill="auto"/>
          </w:tcPr>
          <w:p w14:paraId="5EA25C73" w14:textId="77777777" w:rsidR="003C66EB" w:rsidRDefault="003C66EB">
            <w:pPr>
              <w:rPr>
                <w:rFonts w:ascii="宋体"/>
                <w:vanish/>
              </w:rPr>
            </w:pPr>
          </w:p>
        </w:tc>
        <w:tc>
          <w:tcPr>
            <w:tcW w:w="0" w:type="auto"/>
            <w:gridSpan w:val="3"/>
            <w:shd w:val="clear" w:color="auto" w:fill="auto"/>
          </w:tcPr>
          <w:p w14:paraId="5EA25C74"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5C75"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5C76" w14:textId="77777777" w:rsidR="003C66EB" w:rsidRDefault="00D96C4E">
            <w:pPr>
              <w:textAlignment w:val="bottom"/>
            </w:pPr>
            <w:r>
              <w:rPr>
                <w:rFonts w:ascii="Arial" w:eastAsia="宋体" w:hAnsi="Arial" w:cs="Arial"/>
                <w:color w:val="000000"/>
                <w:sz w:val="14"/>
                <w:szCs w:val="14"/>
              </w:rPr>
              <w:t>Long-term debt</w:t>
            </w:r>
          </w:p>
        </w:tc>
        <w:tc>
          <w:tcPr>
            <w:tcW w:w="0" w:type="auto"/>
            <w:gridSpan w:val="3"/>
            <w:shd w:val="clear" w:color="auto" w:fill="FFFFFF"/>
            <w:tcMar>
              <w:top w:w="0" w:type="dxa"/>
              <w:left w:w="20" w:type="dxa"/>
              <w:bottom w:w="0" w:type="dxa"/>
              <w:right w:w="20" w:type="dxa"/>
            </w:tcMar>
          </w:tcPr>
          <w:p w14:paraId="5EA25C77"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5C78" w14:textId="77777777" w:rsidR="003C66EB" w:rsidRDefault="00D96C4E">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tcPr>
          <w:p w14:paraId="5EA25C7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C7A" w14:textId="77777777" w:rsidR="003C66EB" w:rsidRDefault="00D96C4E">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C7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C7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C7D" w14:textId="77777777" w:rsidR="003C66EB" w:rsidRDefault="00D96C4E">
            <w:pPr>
              <w:jc w:val="right"/>
              <w:textAlignment w:val="bottom"/>
            </w:pPr>
            <w:r>
              <w:rPr>
                <w:rFonts w:ascii="Arial" w:eastAsia="宋体" w:hAnsi="Arial" w:cs="Arial"/>
                <w:color w:val="000000"/>
                <w:sz w:val="14"/>
                <w:szCs w:val="14"/>
              </w:rPr>
              <w:t>(535)</w:t>
            </w:r>
          </w:p>
        </w:tc>
        <w:tc>
          <w:tcPr>
            <w:tcW w:w="0" w:type="auto"/>
            <w:shd w:val="clear" w:color="auto" w:fill="FFFFFF"/>
            <w:tcMar>
              <w:top w:w="40" w:type="dxa"/>
              <w:left w:w="0" w:type="dxa"/>
              <w:bottom w:w="40" w:type="dxa"/>
              <w:right w:w="20" w:type="dxa"/>
            </w:tcMar>
            <w:vAlign w:val="bottom"/>
          </w:tcPr>
          <w:p w14:paraId="5EA25C7E" w14:textId="77777777" w:rsidR="003C66EB" w:rsidRDefault="003C66EB">
            <w:pPr>
              <w:jc w:val="right"/>
              <w:rPr>
                <w:rFonts w:ascii="宋体"/>
              </w:rPr>
            </w:pPr>
          </w:p>
        </w:tc>
        <w:tc>
          <w:tcPr>
            <w:tcW w:w="0" w:type="auto"/>
            <w:gridSpan w:val="3"/>
            <w:shd w:val="clear" w:color="auto" w:fill="auto"/>
          </w:tcPr>
          <w:p w14:paraId="5EA25C7F" w14:textId="77777777" w:rsidR="003C66EB" w:rsidRDefault="003C66EB">
            <w:pPr>
              <w:rPr>
                <w:rFonts w:ascii="宋体"/>
                <w:vanish/>
              </w:rPr>
            </w:pPr>
          </w:p>
        </w:tc>
        <w:tc>
          <w:tcPr>
            <w:tcW w:w="0" w:type="auto"/>
            <w:gridSpan w:val="3"/>
            <w:shd w:val="clear" w:color="auto" w:fill="auto"/>
          </w:tcPr>
          <w:p w14:paraId="5EA25C80" w14:textId="77777777" w:rsidR="003C66EB" w:rsidRDefault="003C66EB">
            <w:pPr>
              <w:rPr>
                <w:rFonts w:ascii="宋体"/>
                <w:vanish/>
              </w:rPr>
            </w:pPr>
          </w:p>
        </w:tc>
      </w:tr>
      <w:tr w:rsidR="003C66EB" w14:paraId="5EA25C94" w14:textId="77777777">
        <w:trPr>
          <w:hidden/>
        </w:trPr>
        <w:tc>
          <w:tcPr>
            <w:tcW w:w="0" w:type="auto"/>
            <w:gridSpan w:val="3"/>
            <w:shd w:val="clear" w:color="auto" w:fill="auto"/>
          </w:tcPr>
          <w:p w14:paraId="5EA25C82" w14:textId="77777777" w:rsidR="003C66EB" w:rsidRDefault="003C66EB">
            <w:pPr>
              <w:rPr>
                <w:rFonts w:ascii="宋体"/>
                <w:vanish/>
              </w:rPr>
            </w:pPr>
          </w:p>
        </w:tc>
        <w:tc>
          <w:tcPr>
            <w:tcW w:w="0" w:type="auto"/>
            <w:gridSpan w:val="3"/>
            <w:shd w:val="clear" w:color="auto" w:fill="auto"/>
          </w:tcPr>
          <w:p w14:paraId="5EA25C83" w14:textId="77777777" w:rsidR="003C66EB" w:rsidRDefault="003C66EB">
            <w:pPr>
              <w:rPr>
                <w:rFonts w:ascii="宋体"/>
                <w:vanish/>
              </w:rPr>
            </w:pPr>
          </w:p>
        </w:tc>
        <w:tc>
          <w:tcPr>
            <w:tcW w:w="0" w:type="auto"/>
            <w:gridSpan w:val="3"/>
            <w:shd w:val="clear" w:color="auto" w:fill="auto"/>
          </w:tcPr>
          <w:p w14:paraId="5EA25C84" w14:textId="77777777" w:rsidR="003C66EB" w:rsidRDefault="003C66EB">
            <w:pPr>
              <w:rPr>
                <w:rFonts w:ascii="宋体"/>
                <w:vanish/>
              </w:rPr>
            </w:pPr>
          </w:p>
        </w:tc>
        <w:tc>
          <w:tcPr>
            <w:tcW w:w="0" w:type="auto"/>
            <w:gridSpan w:val="3"/>
            <w:shd w:val="clear" w:color="auto" w:fill="auto"/>
          </w:tcPr>
          <w:p w14:paraId="5EA25C85" w14:textId="77777777" w:rsidR="003C66EB" w:rsidRDefault="003C66EB">
            <w:pPr>
              <w:rPr>
                <w:rFonts w:ascii="宋体"/>
                <w:vanish/>
              </w:rPr>
            </w:pPr>
          </w:p>
        </w:tc>
        <w:tc>
          <w:tcPr>
            <w:tcW w:w="0" w:type="auto"/>
            <w:gridSpan w:val="3"/>
            <w:shd w:val="clear" w:color="auto" w:fill="auto"/>
          </w:tcPr>
          <w:p w14:paraId="5EA25C86" w14:textId="77777777" w:rsidR="003C66EB" w:rsidRDefault="003C66EB">
            <w:pPr>
              <w:rPr>
                <w:rFonts w:ascii="宋体"/>
                <w:vanish/>
              </w:rPr>
            </w:pPr>
          </w:p>
        </w:tc>
        <w:tc>
          <w:tcPr>
            <w:tcW w:w="0" w:type="auto"/>
            <w:gridSpan w:val="3"/>
            <w:shd w:val="clear" w:color="auto" w:fill="auto"/>
          </w:tcPr>
          <w:p w14:paraId="5EA25C87" w14:textId="77777777" w:rsidR="003C66EB" w:rsidRDefault="003C66EB">
            <w:pPr>
              <w:rPr>
                <w:rFonts w:ascii="宋体"/>
                <w:vanish/>
              </w:rPr>
            </w:pPr>
          </w:p>
        </w:tc>
        <w:tc>
          <w:tcPr>
            <w:tcW w:w="0" w:type="auto"/>
            <w:gridSpan w:val="3"/>
            <w:shd w:val="clear" w:color="auto" w:fill="auto"/>
          </w:tcPr>
          <w:p w14:paraId="5EA25C88" w14:textId="77777777" w:rsidR="003C66EB" w:rsidRDefault="003C66EB">
            <w:pPr>
              <w:rPr>
                <w:rFonts w:ascii="宋体"/>
                <w:vanish/>
              </w:rPr>
            </w:pPr>
          </w:p>
        </w:tc>
        <w:tc>
          <w:tcPr>
            <w:tcW w:w="0" w:type="auto"/>
            <w:gridSpan w:val="3"/>
            <w:shd w:val="clear" w:color="auto" w:fill="auto"/>
          </w:tcPr>
          <w:p w14:paraId="5EA25C89" w14:textId="77777777" w:rsidR="003C66EB" w:rsidRDefault="003C66EB">
            <w:pPr>
              <w:rPr>
                <w:rFonts w:ascii="宋体"/>
                <w:vanish/>
              </w:rPr>
            </w:pPr>
          </w:p>
        </w:tc>
        <w:tc>
          <w:tcPr>
            <w:tcW w:w="0" w:type="auto"/>
            <w:gridSpan w:val="3"/>
            <w:shd w:val="clear" w:color="auto" w:fill="auto"/>
          </w:tcPr>
          <w:p w14:paraId="5EA25C8A" w14:textId="77777777" w:rsidR="003C66EB" w:rsidRDefault="003C66EB">
            <w:pPr>
              <w:rPr>
                <w:rFonts w:ascii="宋体"/>
                <w:vanish/>
              </w:rPr>
            </w:pPr>
          </w:p>
        </w:tc>
        <w:tc>
          <w:tcPr>
            <w:tcW w:w="0" w:type="auto"/>
            <w:gridSpan w:val="3"/>
            <w:shd w:val="clear" w:color="auto" w:fill="auto"/>
          </w:tcPr>
          <w:p w14:paraId="5EA25C8B" w14:textId="77777777" w:rsidR="003C66EB" w:rsidRDefault="003C66EB">
            <w:pPr>
              <w:rPr>
                <w:rFonts w:ascii="宋体"/>
                <w:vanish/>
              </w:rPr>
            </w:pPr>
          </w:p>
        </w:tc>
        <w:tc>
          <w:tcPr>
            <w:tcW w:w="0" w:type="auto"/>
            <w:gridSpan w:val="3"/>
            <w:shd w:val="clear" w:color="auto" w:fill="auto"/>
          </w:tcPr>
          <w:p w14:paraId="5EA25C8C" w14:textId="77777777" w:rsidR="003C66EB" w:rsidRDefault="003C66EB">
            <w:pPr>
              <w:rPr>
                <w:rFonts w:ascii="宋体"/>
                <w:vanish/>
              </w:rPr>
            </w:pPr>
          </w:p>
        </w:tc>
        <w:tc>
          <w:tcPr>
            <w:tcW w:w="0" w:type="auto"/>
            <w:gridSpan w:val="3"/>
            <w:shd w:val="clear" w:color="auto" w:fill="auto"/>
          </w:tcPr>
          <w:p w14:paraId="5EA25C8D" w14:textId="77777777" w:rsidR="003C66EB" w:rsidRDefault="003C66EB">
            <w:pPr>
              <w:rPr>
                <w:rFonts w:ascii="宋体"/>
                <w:vanish/>
              </w:rPr>
            </w:pPr>
          </w:p>
        </w:tc>
        <w:tc>
          <w:tcPr>
            <w:tcW w:w="0" w:type="auto"/>
            <w:gridSpan w:val="3"/>
            <w:shd w:val="clear" w:color="auto" w:fill="auto"/>
          </w:tcPr>
          <w:p w14:paraId="5EA25C8E" w14:textId="77777777" w:rsidR="003C66EB" w:rsidRDefault="003C66EB">
            <w:pPr>
              <w:rPr>
                <w:rFonts w:ascii="宋体"/>
                <w:vanish/>
              </w:rPr>
            </w:pPr>
          </w:p>
        </w:tc>
        <w:tc>
          <w:tcPr>
            <w:tcW w:w="0" w:type="auto"/>
            <w:gridSpan w:val="3"/>
            <w:shd w:val="clear" w:color="auto" w:fill="auto"/>
          </w:tcPr>
          <w:p w14:paraId="5EA25C8F" w14:textId="77777777" w:rsidR="003C66EB" w:rsidRDefault="003C66EB">
            <w:pPr>
              <w:rPr>
                <w:rFonts w:ascii="宋体"/>
                <w:vanish/>
              </w:rPr>
            </w:pPr>
          </w:p>
        </w:tc>
        <w:tc>
          <w:tcPr>
            <w:tcW w:w="0" w:type="auto"/>
            <w:gridSpan w:val="3"/>
            <w:shd w:val="clear" w:color="auto" w:fill="auto"/>
          </w:tcPr>
          <w:p w14:paraId="5EA25C90" w14:textId="77777777" w:rsidR="003C66EB" w:rsidRDefault="003C66EB">
            <w:pPr>
              <w:rPr>
                <w:rFonts w:ascii="宋体"/>
                <w:vanish/>
              </w:rPr>
            </w:pPr>
          </w:p>
        </w:tc>
        <w:tc>
          <w:tcPr>
            <w:tcW w:w="0" w:type="auto"/>
            <w:gridSpan w:val="3"/>
            <w:shd w:val="clear" w:color="auto" w:fill="auto"/>
          </w:tcPr>
          <w:p w14:paraId="5EA25C91" w14:textId="77777777" w:rsidR="003C66EB" w:rsidRDefault="003C66EB">
            <w:pPr>
              <w:rPr>
                <w:rFonts w:ascii="宋体"/>
                <w:vanish/>
              </w:rPr>
            </w:pPr>
          </w:p>
        </w:tc>
        <w:tc>
          <w:tcPr>
            <w:tcW w:w="0" w:type="auto"/>
            <w:gridSpan w:val="3"/>
            <w:shd w:val="clear" w:color="auto" w:fill="auto"/>
          </w:tcPr>
          <w:p w14:paraId="5EA25C92" w14:textId="77777777" w:rsidR="003C66EB" w:rsidRDefault="003C66EB">
            <w:pPr>
              <w:rPr>
                <w:rFonts w:ascii="宋体"/>
                <w:vanish/>
              </w:rPr>
            </w:pPr>
          </w:p>
        </w:tc>
        <w:tc>
          <w:tcPr>
            <w:tcW w:w="0" w:type="auto"/>
            <w:gridSpan w:val="3"/>
            <w:shd w:val="clear" w:color="auto" w:fill="auto"/>
          </w:tcPr>
          <w:p w14:paraId="5EA25C93" w14:textId="77777777" w:rsidR="003C66EB" w:rsidRDefault="003C66EB">
            <w:pPr>
              <w:rPr>
                <w:rFonts w:ascii="宋体"/>
                <w:vanish/>
              </w:rPr>
            </w:pPr>
          </w:p>
        </w:tc>
      </w:tr>
      <w:tr w:rsidR="003C66EB" w14:paraId="5EA25CA7" w14:textId="77777777">
        <w:trPr>
          <w:hidden/>
        </w:trPr>
        <w:tc>
          <w:tcPr>
            <w:tcW w:w="0" w:type="auto"/>
            <w:gridSpan w:val="3"/>
            <w:shd w:val="clear" w:color="auto" w:fill="auto"/>
          </w:tcPr>
          <w:p w14:paraId="5EA25C95" w14:textId="77777777" w:rsidR="003C66EB" w:rsidRDefault="003C66EB">
            <w:pPr>
              <w:rPr>
                <w:rFonts w:ascii="宋体"/>
                <w:vanish/>
              </w:rPr>
            </w:pPr>
          </w:p>
        </w:tc>
        <w:tc>
          <w:tcPr>
            <w:tcW w:w="0" w:type="auto"/>
            <w:gridSpan w:val="3"/>
            <w:shd w:val="clear" w:color="auto" w:fill="auto"/>
          </w:tcPr>
          <w:p w14:paraId="5EA25C96" w14:textId="77777777" w:rsidR="003C66EB" w:rsidRDefault="003C66EB">
            <w:pPr>
              <w:rPr>
                <w:rFonts w:ascii="宋体"/>
                <w:vanish/>
              </w:rPr>
            </w:pPr>
          </w:p>
        </w:tc>
        <w:tc>
          <w:tcPr>
            <w:tcW w:w="0" w:type="auto"/>
            <w:gridSpan w:val="3"/>
            <w:shd w:val="clear" w:color="auto" w:fill="auto"/>
          </w:tcPr>
          <w:p w14:paraId="5EA25C97" w14:textId="77777777" w:rsidR="003C66EB" w:rsidRDefault="003C66EB">
            <w:pPr>
              <w:rPr>
                <w:rFonts w:ascii="宋体"/>
                <w:vanish/>
              </w:rPr>
            </w:pPr>
          </w:p>
        </w:tc>
        <w:tc>
          <w:tcPr>
            <w:tcW w:w="0" w:type="auto"/>
            <w:gridSpan w:val="3"/>
            <w:shd w:val="clear" w:color="auto" w:fill="auto"/>
          </w:tcPr>
          <w:p w14:paraId="5EA25C98" w14:textId="77777777" w:rsidR="003C66EB" w:rsidRDefault="003C66EB">
            <w:pPr>
              <w:rPr>
                <w:rFonts w:ascii="宋体"/>
                <w:vanish/>
              </w:rPr>
            </w:pPr>
          </w:p>
        </w:tc>
        <w:tc>
          <w:tcPr>
            <w:tcW w:w="0" w:type="auto"/>
            <w:gridSpan w:val="3"/>
            <w:shd w:val="clear" w:color="auto" w:fill="auto"/>
          </w:tcPr>
          <w:p w14:paraId="5EA25C99" w14:textId="77777777" w:rsidR="003C66EB" w:rsidRDefault="003C66EB">
            <w:pPr>
              <w:rPr>
                <w:rFonts w:ascii="宋体"/>
                <w:vanish/>
              </w:rPr>
            </w:pPr>
          </w:p>
        </w:tc>
        <w:tc>
          <w:tcPr>
            <w:tcW w:w="0" w:type="auto"/>
            <w:gridSpan w:val="3"/>
            <w:shd w:val="clear" w:color="auto" w:fill="auto"/>
          </w:tcPr>
          <w:p w14:paraId="5EA25C9A" w14:textId="77777777" w:rsidR="003C66EB" w:rsidRDefault="003C66EB">
            <w:pPr>
              <w:rPr>
                <w:rFonts w:ascii="宋体"/>
                <w:vanish/>
              </w:rPr>
            </w:pPr>
          </w:p>
        </w:tc>
        <w:tc>
          <w:tcPr>
            <w:tcW w:w="0" w:type="auto"/>
            <w:gridSpan w:val="3"/>
            <w:shd w:val="clear" w:color="auto" w:fill="auto"/>
          </w:tcPr>
          <w:p w14:paraId="5EA25C9B" w14:textId="77777777" w:rsidR="003C66EB" w:rsidRDefault="003C66EB">
            <w:pPr>
              <w:rPr>
                <w:rFonts w:ascii="宋体"/>
                <w:vanish/>
              </w:rPr>
            </w:pPr>
          </w:p>
        </w:tc>
        <w:tc>
          <w:tcPr>
            <w:tcW w:w="0" w:type="auto"/>
            <w:gridSpan w:val="3"/>
            <w:shd w:val="clear" w:color="auto" w:fill="auto"/>
          </w:tcPr>
          <w:p w14:paraId="5EA25C9C" w14:textId="77777777" w:rsidR="003C66EB" w:rsidRDefault="003C66EB">
            <w:pPr>
              <w:rPr>
                <w:rFonts w:ascii="宋体"/>
                <w:vanish/>
              </w:rPr>
            </w:pPr>
          </w:p>
        </w:tc>
        <w:tc>
          <w:tcPr>
            <w:tcW w:w="0" w:type="auto"/>
            <w:gridSpan w:val="3"/>
            <w:shd w:val="clear" w:color="auto" w:fill="auto"/>
          </w:tcPr>
          <w:p w14:paraId="5EA25C9D" w14:textId="77777777" w:rsidR="003C66EB" w:rsidRDefault="003C66EB">
            <w:pPr>
              <w:rPr>
                <w:rFonts w:ascii="宋体"/>
                <w:vanish/>
              </w:rPr>
            </w:pPr>
          </w:p>
        </w:tc>
        <w:tc>
          <w:tcPr>
            <w:tcW w:w="0" w:type="auto"/>
            <w:gridSpan w:val="3"/>
            <w:shd w:val="clear" w:color="auto" w:fill="auto"/>
          </w:tcPr>
          <w:p w14:paraId="5EA25C9E" w14:textId="77777777" w:rsidR="003C66EB" w:rsidRDefault="003C66EB">
            <w:pPr>
              <w:rPr>
                <w:rFonts w:ascii="宋体"/>
                <w:vanish/>
              </w:rPr>
            </w:pPr>
          </w:p>
        </w:tc>
        <w:tc>
          <w:tcPr>
            <w:tcW w:w="0" w:type="auto"/>
            <w:gridSpan w:val="3"/>
            <w:shd w:val="clear" w:color="auto" w:fill="auto"/>
          </w:tcPr>
          <w:p w14:paraId="5EA25C9F" w14:textId="77777777" w:rsidR="003C66EB" w:rsidRDefault="003C66EB">
            <w:pPr>
              <w:rPr>
                <w:rFonts w:ascii="宋体"/>
                <w:vanish/>
              </w:rPr>
            </w:pPr>
          </w:p>
        </w:tc>
        <w:tc>
          <w:tcPr>
            <w:tcW w:w="0" w:type="auto"/>
            <w:gridSpan w:val="3"/>
            <w:shd w:val="clear" w:color="auto" w:fill="auto"/>
          </w:tcPr>
          <w:p w14:paraId="5EA25CA0" w14:textId="77777777" w:rsidR="003C66EB" w:rsidRDefault="003C66EB">
            <w:pPr>
              <w:rPr>
                <w:rFonts w:ascii="宋体"/>
                <w:vanish/>
              </w:rPr>
            </w:pPr>
          </w:p>
        </w:tc>
        <w:tc>
          <w:tcPr>
            <w:tcW w:w="0" w:type="auto"/>
            <w:gridSpan w:val="3"/>
            <w:shd w:val="clear" w:color="auto" w:fill="auto"/>
          </w:tcPr>
          <w:p w14:paraId="5EA25CA1" w14:textId="77777777" w:rsidR="003C66EB" w:rsidRDefault="003C66EB">
            <w:pPr>
              <w:rPr>
                <w:rFonts w:ascii="宋体"/>
                <w:vanish/>
              </w:rPr>
            </w:pPr>
          </w:p>
        </w:tc>
        <w:tc>
          <w:tcPr>
            <w:tcW w:w="0" w:type="auto"/>
            <w:gridSpan w:val="3"/>
            <w:shd w:val="clear" w:color="auto" w:fill="auto"/>
          </w:tcPr>
          <w:p w14:paraId="5EA25CA2" w14:textId="77777777" w:rsidR="003C66EB" w:rsidRDefault="003C66EB">
            <w:pPr>
              <w:rPr>
                <w:rFonts w:ascii="宋体"/>
                <w:vanish/>
              </w:rPr>
            </w:pPr>
          </w:p>
        </w:tc>
        <w:tc>
          <w:tcPr>
            <w:tcW w:w="0" w:type="auto"/>
            <w:gridSpan w:val="3"/>
            <w:shd w:val="clear" w:color="auto" w:fill="auto"/>
          </w:tcPr>
          <w:p w14:paraId="5EA25CA3" w14:textId="77777777" w:rsidR="003C66EB" w:rsidRDefault="003C66EB">
            <w:pPr>
              <w:rPr>
                <w:rFonts w:ascii="宋体"/>
                <w:vanish/>
              </w:rPr>
            </w:pPr>
          </w:p>
        </w:tc>
        <w:tc>
          <w:tcPr>
            <w:tcW w:w="0" w:type="auto"/>
            <w:gridSpan w:val="3"/>
            <w:shd w:val="clear" w:color="auto" w:fill="auto"/>
          </w:tcPr>
          <w:p w14:paraId="5EA25CA4" w14:textId="77777777" w:rsidR="003C66EB" w:rsidRDefault="003C66EB">
            <w:pPr>
              <w:rPr>
                <w:rFonts w:ascii="宋体"/>
                <w:vanish/>
              </w:rPr>
            </w:pPr>
          </w:p>
        </w:tc>
        <w:tc>
          <w:tcPr>
            <w:tcW w:w="0" w:type="auto"/>
            <w:gridSpan w:val="3"/>
            <w:shd w:val="clear" w:color="auto" w:fill="auto"/>
          </w:tcPr>
          <w:p w14:paraId="5EA25CA5" w14:textId="77777777" w:rsidR="003C66EB" w:rsidRDefault="003C66EB">
            <w:pPr>
              <w:rPr>
                <w:rFonts w:ascii="宋体"/>
                <w:vanish/>
              </w:rPr>
            </w:pPr>
          </w:p>
        </w:tc>
        <w:tc>
          <w:tcPr>
            <w:tcW w:w="0" w:type="auto"/>
            <w:gridSpan w:val="3"/>
            <w:shd w:val="clear" w:color="auto" w:fill="auto"/>
          </w:tcPr>
          <w:p w14:paraId="5EA25CA6" w14:textId="77777777" w:rsidR="003C66EB" w:rsidRDefault="003C66EB">
            <w:pPr>
              <w:rPr>
                <w:rFonts w:ascii="宋体"/>
                <w:vanish/>
              </w:rPr>
            </w:pPr>
          </w:p>
        </w:tc>
      </w:tr>
      <w:tr w:rsidR="003C66EB" w14:paraId="5EA25CC2" w14:textId="77777777">
        <w:tc>
          <w:tcPr>
            <w:tcW w:w="0" w:type="auto"/>
            <w:gridSpan w:val="3"/>
            <w:shd w:val="clear" w:color="auto" w:fill="CCEEFF"/>
            <w:tcMar>
              <w:top w:w="40" w:type="dxa"/>
              <w:left w:w="20" w:type="dxa"/>
              <w:bottom w:w="40" w:type="dxa"/>
              <w:right w:w="20" w:type="dxa"/>
            </w:tcMar>
            <w:vAlign w:val="bottom"/>
          </w:tcPr>
          <w:p w14:paraId="5EA25CA8" w14:textId="77777777" w:rsidR="003C66EB" w:rsidRDefault="00D96C4E">
            <w:pPr>
              <w:textAlignment w:val="bottom"/>
            </w:pPr>
            <w:r>
              <w:rPr>
                <w:rFonts w:ascii="Arial" w:eastAsia="宋体" w:hAnsi="Arial" w:cs="Arial"/>
                <w:color w:val="000000"/>
                <w:sz w:val="14"/>
                <w:szCs w:val="14"/>
              </w:rPr>
              <w:t>Total</w:t>
            </w:r>
          </w:p>
        </w:tc>
        <w:tc>
          <w:tcPr>
            <w:tcW w:w="0" w:type="auto"/>
            <w:gridSpan w:val="3"/>
            <w:shd w:val="clear" w:color="auto" w:fill="CCEEFF"/>
            <w:tcMar>
              <w:top w:w="0" w:type="dxa"/>
              <w:left w:w="20" w:type="dxa"/>
              <w:bottom w:w="0" w:type="dxa"/>
              <w:right w:w="20" w:type="dxa"/>
            </w:tcMar>
          </w:tcPr>
          <w:p w14:paraId="5EA25CA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CA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CA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CAC"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C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CA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CA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CB0" w14:textId="77777777" w:rsidR="003C66EB" w:rsidRDefault="00D96C4E">
            <w:pPr>
              <w:jc w:val="right"/>
              <w:textAlignment w:val="bottom"/>
            </w:pPr>
            <w:r>
              <w:rPr>
                <w:rFonts w:ascii="Arial" w:eastAsia="宋体" w:hAnsi="Arial" w:cs="Arial"/>
                <w:color w:val="000000"/>
                <w:sz w:val="14"/>
                <w:szCs w:val="14"/>
              </w:rPr>
              <w:t>536 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CB1" w14:textId="77777777" w:rsidR="003C66EB" w:rsidRDefault="003C66EB">
            <w:pPr>
              <w:jc w:val="right"/>
              <w:rPr>
                <w:rFonts w:ascii="宋体"/>
              </w:rPr>
            </w:pPr>
          </w:p>
        </w:tc>
        <w:tc>
          <w:tcPr>
            <w:tcW w:w="0" w:type="auto"/>
            <w:gridSpan w:val="3"/>
            <w:shd w:val="clear" w:color="auto" w:fill="auto"/>
          </w:tcPr>
          <w:p w14:paraId="5EA25CB2" w14:textId="77777777" w:rsidR="003C66EB" w:rsidRDefault="003C66EB">
            <w:pPr>
              <w:rPr>
                <w:rFonts w:ascii="宋体"/>
                <w:vanish/>
              </w:rPr>
            </w:pPr>
          </w:p>
        </w:tc>
        <w:tc>
          <w:tcPr>
            <w:tcW w:w="0" w:type="auto"/>
            <w:gridSpan w:val="3"/>
            <w:shd w:val="clear" w:color="auto" w:fill="auto"/>
          </w:tcPr>
          <w:p w14:paraId="5EA25CB3"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5CB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CB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CB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CB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CB8"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CB9"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CBA" w14:textId="77777777" w:rsidR="003C66EB" w:rsidRDefault="00D96C4E">
            <w:pPr>
              <w:jc w:val="right"/>
              <w:textAlignment w:val="bottom"/>
            </w:pPr>
            <w:r>
              <w:rPr>
                <w:rFonts w:ascii="Arial" w:eastAsia="宋体" w:hAnsi="Arial" w:cs="Arial"/>
                <w:b/>
                <w:bCs/>
                <w:color w:val="000000"/>
                <w:sz w:val="14"/>
                <w:szCs w:val="14"/>
              </w:rPr>
              <w:t>(5)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CB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CBC"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CB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CBE" w14:textId="77777777" w:rsidR="003C66EB" w:rsidRDefault="00D96C4E">
            <w:pPr>
              <w:jc w:val="right"/>
              <w:textAlignment w:val="bottom"/>
            </w:pPr>
            <w:r>
              <w:rPr>
                <w:rFonts w:ascii="Arial" w:eastAsia="宋体" w:hAnsi="Arial" w:cs="Arial"/>
                <w:color w:val="000000"/>
                <w:sz w:val="14"/>
                <w:szCs w:val="14"/>
              </w:rPr>
              <w:t>(525)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CBF" w14:textId="77777777" w:rsidR="003C66EB" w:rsidRDefault="003C66EB">
            <w:pPr>
              <w:jc w:val="right"/>
              <w:rPr>
                <w:rFonts w:ascii="宋体"/>
              </w:rPr>
            </w:pPr>
          </w:p>
        </w:tc>
        <w:tc>
          <w:tcPr>
            <w:tcW w:w="0" w:type="auto"/>
            <w:gridSpan w:val="3"/>
            <w:shd w:val="clear" w:color="auto" w:fill="auto"/>
          </w:tcPr>
          <w:p w14:paraId="5EA25CC0" w14:textId="77777777" w:rsidR="003C66EB" w:rsidRDefault="003C66EB">
            <w:pPr>
              <w:rPr>
                <w:rFonts w:ascii="宋体"/>
                <w:vanish/>
              </w:rPr>
            </w:pPr>
          </w:p>
        </w:tc>
        <w:tc>
          <w:tcPr>
            <w:tcW w:w="0" w:type="auto"/>
            <w:gridSpan w:val="3"/>
            <w:shd w:val="clear" w:color="auto" w:fill="auto"/>
          </w:tcPr>
          <w:p w14:paraId="5EA25CC1" w14:textId="77777777" w:rsidR="003C66EB" w:rsidRDefault="003C66EB">
            <w:pPr>
              <w:rPr>
                <w:rFonts w:ascii="宋体"/>
                <w:vanish/>
              </w:rPr>
            </w:pPr>
          </w:p>
        </w:tc>
      </w:tr>
      <w:tr w:rsidR="003C66EB" w14:paraId="5EA25CD5" w14:textId="77777777">
        <w:trPr>
          <w:hidden/>
        </w:trPr>
        <w:tc>
          <w:tcPr>
            <w:tcW w:w="0" w:type="auto"/>
            <w:gridSpan w:val="3"/>
            <w:shd w:val="clear" w:color="auto" w:fill="auto"/>
          </w:tcPr>
          <w:p w14:paraId="5EA25CC3" w14:textId="77777777" w:rsidR="003C66EB" w:rsidRDefault="003C66EB">
            <w:pPr>
              <w:rPr>
                <w:rFonts w:ascii="宋体"/>
                <w:vanish/>
              </w:rPr>
            </w:pPr>
          </w:p>
        </w:tc>
        <w:tc>
          <w:tcPr>
            <w:tcW w:w="0" w:type="auto"/>
            <w:gridSpan w:val="3"/>
            <w:shd w:val="clear" w:color="auto" w:fill="auto"/>
          </w:tcPr>
          <w:p w14:paraId="5EA25CC4" w14:textId="77777777" w:rsidR="003C66EB" w:rsidRDefault="003C66EB">
            <w:pPr>
              <w:rPr>
                <w:rFonts w:ascii="宋体"/>
                <w:vanish/>
              </w:rPr>
            </w:pPr>
          </w:p>
        </w:tc>
        <w:tc>
          <w:tcPr>
            <w:tcW w:w="0" w:type="auto"/>
            <w:gridSpan w:val="3"/>
            <w:shd w:val="clear" w:color="auto" w:fill="auto"/>
          </w:tcPr>
          <w:p w14:paraId="5EA25CC5" w14:textId="77777777" w:rsidR="003C66EB" w:rsidRDefault="003C66EB">
            <w:pPr>
              <w:rPr>
                <w:rFonts w:ascii="宋体"/>
                <w:vanish/>
              </w:rPr>
            </w:pPr>
          </w:p>
        </w:tc>
        <w:tc>
          <w:tcPr>
            <w:tcW w:w="0" w:type="auto"/>
            <w:gridSpan w:val="3"/>
            <w:shd w:val="clear" w:color="auto" w:fill="auto"/>
          </w:tcPr>
          <w:p w14:paraId="5EA25CC6" w14:textId="77777777" w:rsidR="003C66EB" w:rsidRDefault="003C66EB">
            <w:pPr>
              <w:rPr>
                <w:rFonts w:ascii="宋体"/>
                <w:vanish/>
              </w:rPr>
            </w:pPr>
          </w:p>
        </w:tc>
        <w:tc>
          <w:tcPr>
            <w:tcW w:w="0" w:type="auto"/>
            <w:gridSpan w:val="3"/>
            <w:shd w:val="clear" w:color="auto" w:fill="auto"/>
          </w:tcPr>
          <w:p w14:paraId="5EA25CC7" w14:textId="77777777" w:rsidR="003C66EB" w:rsidRDefault="003C66EB">
            <w:pPr>
              <w:rPr>
                <w:rFonts w:ascii="宋体"/>
                <w:vanish/>
              </w:rPr>
            </w:pPr>
          </w:p>
        </w:tc>
        <w:tc>
          <w:tcPr>
            <w:tcW w:w="0" w:type="auto"/>
            <w:gridSpan w:val="3"/>
            <w:shd w:val="clear" w:color="auto" w:fill="auto"/>
          </w:tcPr>
          <w:p w14:paraId="5EA25CC8" w14:textId="77777777" w:rsidR="003C66EB" w:rsidRDefault="003C66EB">
            <w:pPr>
              <w:rPr>
                <w:rFonts w:ascii="宋体"/>
                <w:vanish/>
              </w:rPr>
            </w:pPr>
          </w:p>
        </w:tc>
        <w:tc>
          <w:tcPr>
            <w:tcW w:w="0" w:type="auto"/>
            <w:gridSpan w:val="3"/>
            <w:shd w:val="clear" w:color="auto" w:fill="auto"/>
          </w:tcPr>
          <w:p w14:paraId="5EA25CC9" w14:textId="77777777" w:rsidR="003C66EB" w:rsidRDefault="003C66EB">
            <w:pPr>
              <w:rPr>
                <w:rFonts w:ascii="宋体"/>
                <w:vanish/>
              </w:rPr>
            </w:pPr>
          </w:p>
        </w:tc>
        <w:tc>
          <w:tcPr>
            <w:tcW w:w="0" w:type="auto"/>
            <w:gridSpan w:val="3"/>
            <w:shd w:val="clear" w:color="auto" w:fill="auto"/>
          </w:tcPr>
          <w:p w14:paraId="5EA25CCA" w14:textId="77777777" w:rsidR="003C66EB" w:rsidRDefault="003C66EB">
            <w:pPr>
              <w:rPr>
                <w:rFonts w:ascii="宋体"/>
                <w:vanish/>
              </w:rPr>
            </w:pPr>
          </w:p>
        </w:tc>
        <w:tc>
          <w:tcPr>
            <w:tcW w:w="0" w:type="auto"/>
            <w:gridSpan w:val="3"/>
            <w:shd w:val="clear" w:color="auto" w:fill="auto"/>
          </w:tcPr>
          <w:p w14:paraId="5EA25CCB" w14:textId="77777777" w:rsidR="003C66EB" w:rsidRDefault="003C66EB">
            <w:pPr>
              <w:rPr>
                <w:rFonts w:ascii="宋体"/>
                <w:vanish/>
              </w:rPr>
            </w:pPr>
          </w:p>
        </w:tc>
        <w:tc>
          <w:tcPr>
            <w:tcW w:w="0" w:type="auto"/>
            <w:gridSpan w:val="3"/>
            <w:shd w:val="clear" w:color="auto" w:fill="auto"/>
          </w:tcPr>
          <w:p w14:paraId="5EA25CCC" w14:textId="77777777" w:rsidR="003C66EB" w:rsidRDefault="003C66EB">
            <w:pPr>
              <w:rPr>
                <w:rFonts w:ascii="宋体"/>
                <w:vanish/>
              </w:rPr>
            </w:pPr>
          </w:p>
        </w:tc>
        <w:tc>
          <w:tcPr>
            <w:tcW w:w="0" w:type="auto"/>
            <w:gridSpan w:val="3"/>
            <w:shd w:val="clear" w:color="auto" w:fill="auto"/>
          </w:tcPr>
          <w:p w14:paraId="5EA25CCD" w14:textId="77777777" w:rsidR="003C66EB" w:rsidRDefault="003C66EB">
            <w:pPr>
              <w:rPr>
                <w:rFonts w:ascii="宋体"/>
                <w:vanish/>
              </w:rPr>
            </w:pPr>
          </w:p>
        </w:tc>
        <w:tc>
          <w:tcPr>
            <w:tcW w:w="0" w:type="auto"/>
            <w:gridSpan w:val="3"/>
            <w:shd w:val="clear" w:color="auto" w:fill="auto"/>
          </w:tcPr>
          <w:p w14:paraId="5EA25CCE" w14:textId="77777777" w:rsidR="003C66EB" w:rsidRDefault="003C66EB">
            <w:pPr>
              <w:rPr>
                <w:rFonts w:ascii="宋体"/>
                <w:vanish/>
              </w:rPr>
            </w:pPr>
          </w:p>
        </w:tc>
        <w:tc>
          <w:tcPr>
            <w:tcW w:w="0" w:type="auto"/>
            <w:gridSpan w:val="3"/>
            <w:shd w:val="clear" w:color="auto" w:fill="auto"/>
          </w:tcPr>
          <w:p w14:paraId="5EA25CCF" w14:textId="77777777" w:rsidR="003C66EB" w:rsidRDefault="003C66EB">
            <w:pPr>
              <w:rPr>
                <w:rFonts w:ascii="宋体"/>
                <w:vanish/>
              </w:rPr>
            </w:pPr>
          </w:p>
        </w:tc>
        <w:tc>
          <w:tcPr>
            <w:tcW w:w="0" w:type="auto"/>
            <w:gridSpan w:val="3"/>
            <w:shd w:val="clear" w:color="auto" w:fill="auto"/>
          </w:tcPr>
          <w:p w14:paraId="5EA25CD0" w14:textId="77777777" w:rsidR="003C66EB" w:rsidRDefault="003C66EB">
            <w:pPr>
              <w:rPr>
                <w:rFonts w:ascii="宋体"/>
                <w:vanish/>
              </w:rPr>
            </w:pPr>
          </w:p>
        </w:tc>
        <w:tc>
          <w:tcPr>
            <w:tcW w:w="0" w:type="auto"/>
            <w:gridSpan w:val="3"/>
            <w:shd w:val="clear" w:color="auto" w:fill="auto"/>
          </w:tcPr>
          <w:p w14:paraId="5EA25CD1" w14:textId="77777777" w:rsidR="003C66EB" w:rsidRDefault="003C66EB">
            <w:pPr>
              <w:rPr>
                <w:rFonts w:ascii="宋体"/>
                <w:vanish/>
              </w:rPr>
            </w:pPr>
          </w:p>
        </w:tc>
        <w:tc>
          <w:tcPr>
            <w:tcW w:w="0" w:type="auto"/>
            <w:gridSpan w:val="3"/>
            <w:shd w:val="clear" w:color="auto" w:fill="auto"/>
          </w:tcPr>
          <w:p w14:paraId="5EA25CD2" w14:textId="77777777" w:rsidR="003C66EB" w:rsidRDefault="003C66EB">
            <w:pPr>
              <w:rPr>
                <w:rFonts w:ascii="宋体"/>
                <w:vanish/>
              </w:rPr>
            </w:pPr>
          </w:p>
        </w:tc>
        <w:tc>
          <w:tcPr>
            <w:tcW w:w="0" w:type="auto"/>
            <w:gridSpan w:val="3"/>
            <w:shd w:val="clear" w:color="auto" w:fill="auto"/>
          </w:tcPr>
          <w:p w14:paraId="5EA25CD3" w14:textId="77777777" w:rsidR="003C66EB" w:rsidRDefault="003C66EB">
            <w:pPr>
              <w:rPr>
                <w:rFonts w:ascii="宋体"/>
                <w:vanish/>
              </w:rPr>
            </w:pPr>
          </w:p>
        </w:tc>
        <w:tc>
          <w:tcPr>
            <w:tcW w:w="0" w:type="auto"/>
            <w:gridSpan w:val="3"/>
            <w:shd w:val="clear" w:color="auto" w:fill="auto"/>
          </w:tcPr>
          <w:p w14:paraId="5EA25CD4" w14:textId="77777777" w:rsidR="003C66EB" w:rsidRDefault="003C66EB">
            <w:pPr>
              <w:rPr>
                <w:rFonts w:ascii="宋体"/>
                <w:vanish/>
              </w:rPr>
            </w:pPr>
          </w:p>
        </w:tc>
      </w:tr>
      <w:tr w:rsidR="003C66EB" w14:paraId="5EA25CF0" w14:textId="77777777">
        <w:trPr>
          <w:hidden/>
        </w:trPr>
        <w:tc>
          <w:tcPr>
            <w:tcW w:w="0" w:type="auto"/>
            <w:gridSpan w:val="3"/>
            <w:shd w:val="clear" w:color="auto" w:fill="auto"/>
          </w:tcPr>
          <w:p w14:paraId="5EA25CD6" w14:textId="77777777" w:rsidR="003C66EB" w:rsidRDefault="003C66EB">
            <w:pPr>
              <w:rPr>
                <w:rFonts w:ascii="宋体"/>
                <w:vanish/>
              </w:rPr>
            </w:pPr>
          </w:p>
        </w:tc>
        <w:tc>
          <w:tcPr>
            <w:tcW w:w="0" w:type="auto"/>
            <w:gridSpan w:val="3"/>
            <w:shd w:val="clear" w:color="auto" w:fill="auto"/>
          </w:tcPr>
          <w:p w14:paraId="5EA25CD7" w14:textId="77777777" w:rsidR="003C66EB" w:rsidRDefault="003C66EB">
            <w:pPr>
              <w:rPr>
                <w:rFonts w:ascii="宋体"/>
                <w:vanish/>
              </w:rPr>
            </w:pPr>
          </w:p>
        </w:tc>
        <w:tc>
          <w:tcPr>
            <w:tcW w:w="0" w:type="auto"/>
            <w:gridSpan w:val="3"/>
            <w:shd w:val="clear" w:color="auto" w:fill="auto"/>
          </w:tcPr>
          <w:p w14:paraId="5EA25CD8" w14:textId="77777777" w:rsidR="003C66EB" w:rsidRDefault="003C66EB">
            <w:pPr>
              <w:rPr>
                <w:rFonts w:ascii="宋体"/>
                <w:vanish/>
              </w:rPr>
            </w:pPr>
          </w:p>
        </w:tc>
        <w:tc>
          <w:tcPr>
            <w:tcW w:w="0" w:type="auto"/>
            <w:gridSpan w:val="3"/>
            <w:shd w:val="clear" w:color="auto" w:fill="auto"/>
          </w:tcPr>
          <w:p w14:paraId="5EA25CD9" w14:textId="77777777" w:rsidR="003C66EB" w:rsidRDefault="003C66EB">
            <w:pPr>
              <w:rPr>
                <w:rFonts w:ascii="宋体"/>
                <w:vanish/>
              </w:rPr>
            </w:pPr>
          </w:p>
        </w:tc>
        <w:tc>
          <w:tcPr>
            <w:tcW w:w="0" w:type="auto"/>
            <w:gridSpan w:val="3"/>
            <w:shd w:val="clear" w:color="auto" w:fill="auto"/>
          </w:tcPr>
          <w:p w14:paraId="5EA25CDA" w14:textId="77777777" w:rsidR="003C66EB" w:rsidRDefault="003C66EB">
            <w:pPr>
              <w:rPr>
                <w:rFonts w:ascii="宋体"/>
                <w:vanish/>
              </w:rPr>
            </w:pPr>
          </w:p>
        </w:tc>
        <w:tc>
          <w:tcPr>
            <w:tcW w:w="0" w:type="auto"/>
            <w:gridSpan w:val="3"/>
            <w:shd w:val="clear" w:color="auto" w:fill="auto"/>
          </w:tcPr>
          <w:p w14:paraId="5EA25CDB" w14:textId="77777777" w:rsidR="003C66EB" w:rsidRDefault="003C66EB">
            <w:pPr>
              <w:rPr>
                <w:rFonts w:ascii="宋体"/>
                <w:vanish/>
              </w:rPr>
            </w:pPr>
          </w:p>
        </w:tc>
        <w:tc>
          <w:tcPr>
            <w:tcW w:w="0" w:type="auto"/>
            <w:gridSpan w:val="3"/>
            <w:shd w:val="clear" w:color="auto" w:fill="auto"/>
          </w:tcPr>
          <w:p w14:paraId="5EA25CDC" w14:textId="77777777" w:rsidR="003C66EB" w:rsidRDefault="003C66EB">
            <w:pPr>
              <w:rPr>
                <w:rFonts w:ascii="宋体"/>
                <w:vanish/>
              </w:rPr>
            </w:pPr>
          </w:p>
        </w:tc>
        <w:tc>
          <w:tcPr>
            <w:tcW w:w="0" w:type="auto"/>
            <w:gridSpan w:val="3"/>
            <w:shd w:val="clear" w:color="auto" w:fill="auto"/>
          </w:tcPr>
          <w:p w14:paraId="5EA25CDD" w14:textId="77777777" w:rsidR="003C66EB" w:rsidRDefault="003C66EB">
            <w:pPr>
              <w:rPr>
                <w:rFonts w:ascii="宋体"/>
                <w:vanish/>
              </w:rPr>
            </w:pPr>
          </w:p>
        </w:tc>
        <w:tc>
          <w:tcPr>
            <w:tcW w:w="0" w:type="auto"/>
            <w:gridSpan w:val="3"/>
            <w:shd w:val="clear" w:color="auto" w:fill="auto"/>
          </w:tcPr>
          <w:p w14:paraId="5EA25CDE" w14:textId="77777777" w:rsidR="003C66EB" w:rsidRDefault="003C66EB">
            <w:pPr>
              <w:rPr>
                <w:rFonts w:ascii="宋体"/>
                <w:vanish/>
              </w:rPr>
            </w:pPr>
          </w:p>
        </w:tc>
        <w:tc>
          <w:tcPr>
            <w:tcW w:w="0" w:type="auto"/>
            <w:gridSpan w:val="3"/>
            <w:shd w:val="clear" w:color="auto" w:fill="auto"/>
          </w:tcPr>
          <w:p w14:paraId="5EA25CDF" w14:textId="77777777" w:rsidR="003C66EB" w:rsidRDefault="003C66EB">
            <w:pPr>
              <w:rPr>
                <w:rFonts w:ascii="宋体"/>
                <w:vanish/>
              </w:rPr>
            </w:pPr>
          </w:p>
        </w:tc>
        <w:tc>
          <w:tcPr>
            <w:tcW w:w="0" w:type="auto"/>
            <w:gridSpan w:val="3"/>
            <w:shd w:val="clear" w:color="auto" w:fill="auto"/>
          </w:tcPr>
          <w:p w14:paraId="5EA25CE0" w14:textId="77777777" w:rsidR="003C66EB" w:rsidRDefault="003C66EB">
            <w:pPr>
              <w:rPr>
                <w:rFonts w:ascii="宋体"/>
                <w:vanish/>
              </w:rPr>
            </w:pPr>
          </w:p>
        </w:tc>
        <w:tc>
          <w:tcPr>
            <w:tcW w:w="0" w:type="auto"/>
            <w:gridSpan w:val="3"/>
            <w:shd w:val="clear" w:color="auto" w:fill="auto"/>
          </w:tcPr>
          <w:p w14:paraId="5EA25CE1" w14:textId="77777777" w:rsidR="003C66EB" w:rsidRDefault="003C66EB">
            <w:pPr>
              <w:rPr>
                <w:rFonts w:ascii="宋体"/>
                <w:vanish/>
              </w:rPr>
            </w:pPr>
          </w:p>
        </w:tc>
        <w:tc>
          <w:tcPr>
            <w:tcW w:w="0" w:type="auto"/>
            <w:gridSpan w:val="3"/>
            <w:shd w:val="clear" w:color="auto" w:fill="auto"/>
          </w:tcPr>
          <w:p w14:paraId="5EA25CE2" w14:textId="77777777" w:rsidR="003C66EB" w:rsidRDefault="003C66EB">
            <w:pPr>
              <w:rPr>
                <w:rFonts w:ascii="宋体"/>
                <w:vanish/>
              </w:rPr>
            </w:pPr>
          </w:p>
        </w:tc>
        <w:tc>
          <w:tcPr>
            <w:tcW w:w="0" w:type="auto"/>
            <w:gridSpan w:val="3"/>
            <w:shd w:val="clear" w:color="auto" w:fill="auto"/>
          </w:tcPr>
          <w:p w14:paraId="5EA25CE3" w14:textId="77777777" w:rsidR="003C66EB" w:rsidRDefault="003C66EB">
            <w:pPr>
              <w:rPr>
                <w:rFonts w:ascii="宋体"/>
                <w:vanish/>
              </w:rPr>
            </w:pPr>
          </w:p>
        </w:tc>
        <w:tc>
          <w:tcPr>
            <w:tcW w:w="0" w:type="auto"/>
            <w:shd w:val="clear" w:color="auto" w:fill="auto"/>
          </w:tcPr>
          <w:p w14:paraId="5EA25CE4" w14:textId="77777777" w:rsidR="003C66EB" w:rsidRDefault="003C66EB">
            <w:pPr>
              <w:rPr>
                <w:rFonts w:ascii="宋体"/>
              </w:rPr>
            </w:pPr>
          </w:p>
        </w:tc>
        <w:tc>
          <w:tcPr>
            <w:tcW w:w="0" w:type="auto"/>
            <w:shd w:val="clear" w:color="auto" w:fill="auto"/>
          </w:tcPr>
          <w:p w14:paraId="5EA25CE5" w14:textId="77777777" w:rsidR="003C66EB" w:rsidRDefault="003C66EB">
            <w:pPr>
              <w:rPr>
                <w:rFonts w:ascii="宋体"/>
              </w:rPr>
            </w:pPr>
          </w:p>
        </w:tc>
        <w:tc>
          <w:tcPr>
            <w:tcW w:w="0" w:type="auto"/>
            <w:shd w:val="clear" w:color="auto" w:fill="auto"/>
          </w:tcPr>
          <w:p w14:paraId="5EA25CE6" w14:textId="77777777" w:rsidR="003C66EB" w:rsidRDefault="003C66EB">
            <w:pPr>
              <w:rPr>
                <w:rFonts w:ascii="宋体"/>
              </w:rPr>
            </w:pPr>
          </w:p>
        </w:tc>
        <w:tc>
          <w:tcPr>
            <w:tcW w:w="0" w:type="auto"/>
            <w:shd w:val="clear" w:color="auto" w:fill="auto"/>
          </w:tcPr>
          <w:p w14:paraId="5EA25CE7" w14:textId="77777777" w:rsidR="003C66EB" w:rsidRDefault="003C66EB">
            <w:pPr>
              <w:rPr>
                <w:rFonts w:ascii="宋体"/>
              </w:rPr>
            </w:pPr>
          </w:p>
        </w:tc>
        <w:tc>
          <w:tcPr>
            <w:tcW w:w="0" w:type="auto"/>
            <w:shd w:val="clear" w:color="auto" w:fill="auto"/>
          </w:tcPr>
          <w:p w14:paraId="5EA25CE8" w14:textId="77777777" w:rsidR="003C66EB" w:rsidRDefault="003C66EB">
            <w:pPr>
              <w:rPr>
                <w:rFonts w:ascii="宋体"/>
              </w:rPr>
            </w:pPr>
          </w:p>
        </w:tc>
        <w:tc>
          <w:tcPr>
            <w:tcW w:w="0" w:type="auto"/>
            <w:shd w:val="clear" w:color="auto" w:fill="auto"/>
          </w:tcPr>
          <w:p w14:paraId="5EA25CE9" w14:textId="77777777" w:rsidR="003C66EB" w:rsidRDefault="003C66EB">
            <w:pPr>
              <w:rPr>
                <w:rFonts w:ascii="宋体"/>
              </w:rPr>
            </w:pPr>
          </w:p>
        </w:tc>
        <w:tc>
          <w:tcPr>
            <w:tcW w:w="0" w:type="auto"/>
            <w:shd w:val="clear" w:color="auto" w:fill="auto"/>
          </w:tcPr>
          <w:p w14:paraId="5EA25CEA" w14:textId="77777777" w:rsidR="003C66EB" w:rsidRDefault="003C66EB">
            <w:pPr>
              <w:rPr>
                <w:rFonts w:ascii="宋体"/>
              </w:rPr>
            </w:pPr>
          </w:p>
        </w:tc>
        <w:tc>
          <w:tcPr>
            <w:tcW w:w="0" w:type="auto"/>
            <w:shd w:val="clear" w:color="auto" w:fill="auto"/>
          </w:tcPr>
          <w:p w14:paraId="5EA25CEB" w14:textId="77777777" w:rsidR="003C66EB" w:rsidRDefault="003C66EB">
            <w:pPr>
              <w:rPr>
                <w:rFonts w:ascii="宋体"/>
              </w:rPr>
            </w:pPr>
          </w:p>
        </w:tc>
        <w:tc>
          <w:tcPr>
            <w:tcW w:w="0" w:type="auto"/>
            <w:shd w:val="clear" w:color="auto" w:fill="auto"/>
          </w:tcPr>
          <w:p w14:paraId="5EA25CEC" w14:textId="77777777" w:rsidR="003C66EB" w:rsidRDefault="003C66EB">
            <w:pPr>
              <w:rPr>
                <w:rFonts w:ascii="宋体"/>
              </w:rPr>
            </w:pPr>
          </w:p>
        </w:tc>
        <w:tc>
          <w:tcPr>
            <w:tcW w:w="0" w:type="auto"/>
            <w:shd w:val="clear" w:color="auto" w:fill="auto"/>
          </w:tcPr>
          <w:p w14:paraId="5EA25CED" w14:textId="77777777" w:rsidR="003C66EB" w:rsidRDefault="003C66EB">
            <w:pPr>
              <w:rPr>
                <w:rFonts w:ascii="宋体"/>
              </w:rPr>
            </w:pPr>
          </w:p>
        </w:tc>
        <w:tc>
          <w:tcPr>
            <w:tcW w:w="0" w:type="auto"/>
            <w:shd w:val="clear" w:color="auto" w:fill="auto"/>
          </w:tcPr>
          <w:p w14:paraId="5EA25CEE" w14:textId="77777777" w:rsidR="003C66EB" w:rsidRDefault="003C66EB">
            <w:pPr>
              <w:rPr>
                <w:rFonts w:ascii="宋体"/>
              </w:rPr>
            </w:pPr>
          </w:p>
        </w:tc>
        <w:tc>
          <w:tcPr>
            <w:tcW w:w="0" w:type="auto"/>
            <w:shd w:val="clear" w:color="auto" w:fill="auto"/>
          </w:tcPr>
          <w:p w14:paraId="5EA25CEF" w14:textId="77777777" w:rsidR="003C66EB" w:rsidRDefault="003C66EB">
            <w:pPr>
              <w:rPr>
                <w:rFonts w:ascii="宋体"/>
              </w:rPr>
            </w:pPr>
          </w:p>
        </w:tc>
      </w:tr>
      <w:tr w:rsidR="003C66EB" w14:paraId="5EA25D03" w14:textId="77777777">
        <w:trPr>
          <w:hidden/>
        </w:trPr>
        <w:tc>
          <w:tcPr>
            <w:tcW w:w="0" w:type="auto"/>
            <w:gridSpan w:val="3"/>
            <w:shd w:val="clear" w:color="auto" w:fill="auto"/>
          </w:tcPr>
          <w:p w14:paraId="5EA25CF1" w14:textId="77777777" w:rsidR="003C66EB" w:rsidRDefault="003C66EB">
            <w:pPr>
              <w:rPr>
                <w:rFonts w:ascii="宋体"/>
                <w:vanish/>
              </w:rPr>
            </w:pPr>
          </w:p>
        </w:tc>
        <w:tc>
          <w:tcPr>
            <w:tcW w:w="0" w:type="auto"/>
            <w:gridSpan w:val="3"/>
            <w:shd w:val="clear" w:color="auto" w:fill="auto"/>
          </w:tcPr>
          <w:p w14:paraId="5EA25CF2" w14:textId="77777777" w:rsidR="003C66EB" w:rsidRDefault="003C66EB">
            <w:pPr>
              <w:rPr>
                <w:rFonts w:ascii="宋体"/>
                <w:vanish/>
              </w:rPr>
            </w:pPr>
          </w:p>
        </w:tc>
        <w:tc>
          <w:tcPr>
            <w:tcW w:w="0" w:type="auto"/>
            <w:gridSpan w:val="3"/>
            <w:shd w:val="clear" w:color="auto" w:fill="auto"/>
          </w:tcPr>
          <w:p w14:paraId="5EA25CF3" w14:textId="77777777" w:rsidR="003C66EB" w:rsidRDefault="003C66EB">
            <w:pPr>
              <w:rPr>
                <w:rFonts w:ascii="宋体"/>
                <w:vanish/>
              </w:rPr>
            </w:pPr>
          </w:p>
        </w:tc>
        <w:tc>
          <w:tcPr>
            <w:tcW w:w="0" w:type="auto"/>
            <w:gridSpan w:val="3"/>
            <w:shd w:val="clear" w:color="auto" w:fill="auto"/>
          </w:tcPr>
          <w:p w14:paraId="5EA25CF4" w14:textId="77777777" w:rsidR="003C66EB" w:rsidRDefault="003C66EB">
            <w:pPr>
              <w:rPr>
                <w:rFonts w:ascii="宋体"/>
                <w:vanish/>
              </w:rPr>
            </w:pPr>
          </w:p>
        </w:tc>
        <w:tc>
          <w:tcPr>
            <w:tcW w:w="0" w:type="auto"/>
            <w:gridSpan w:val="3"/>
            <w:shd w:val="clear" w:color="auto" w:fill="auto"/>
          </w:tcPr>
          <w:p w14:paraId="5EA25CF5" w14:textId="77777777" w:rsidR="003C66EB" w:rsidRDefault="003C66EB">
            <w:pPr>
              <w:rPr>
                <w:rFonts w:ascii="宋体"/>
                <w:vanish/>
              </w:rPr>
            </w:pPr>
          </w:p>
        </w:tc>
        <w:tc>
          <w:tcPr>
            <w:tcW w:w="0" w:type="auto"/>
            <w:gridSpan w:val="3"/>
            <w:shd w:val="clear" w:color="auto" w:fill="auto"/>
          </w:tcPr>
          <w:p w14:paraId="5EA25CF6" w14:textId="77777777" w:rsidR="003C66EB" w:rsidRDefault="003C66EB">
            <w:pPr>
              <w:rPr>
                <w:rFonts w:ascii="宋体"/>
                <w:vanish/>
              </w:rPr>
            </w:pPr>
          </w:p>
        </w:tc>
        <w:tc>
          <w:tcPr>
            <w:tcW w:w="0" w:type="auto"/>
            <w:gridSpan w:val="3"/>
            <w:shd w:val="clear" w:color="auto" w:fill="auto"/>
          </w:tcPr>
          <w:p w14:paraId="5EA25CF7" w14:textId="77777777" w:rsidR="003C66EB" w:rsidRDefault="003C66EB">
            <w:pPr>
              <w:rPr>
                <w:rFonts w:ascii="宋体"/>
                <w:vanish/>
              </w:rPr>
            </w:pPr>
          </w:p>
        </w:tc>
        <w:tc>
          <w:tcPr>
            <w:tcW w:w="0" w:type="auto"/>
            <w:gridSpan w:val="3"/>
            <w:shd w:val="clear" w:color="auto" w:fill="auto"/>
          </w:tcPr>
          <w:p w14:paraId="5EA25CF8" w14:textId="77777777" w:rsidR="003C66EB" w:rsidRDefault="003C66EB">
            <w:pPr>
              <w:rPr>
                <w:rFonts w:ascii="宋体"/>
                <w:vanish/>
              </w:rPr>
            </w:pPr>
          </w:p>
        </w:tc>
        <w:tc>
          <w:tcPr>
            <w:tcW w:w="0" w:type="auto"/>
            <w:gridSpan w:val="3"/>
            <w:shd w:val="clear" w:color="auto" w:fill="auto"/>
          </w:tcPr>
          <w:p w14:paraId="5EA25CF9" w14:textId="77777777" w:rsidR="003C66EB" w:rsidRDefault="003C66EB">
            <w:pPr>
              <w:rPr>
                <w:rFonts w:ascii="宋体"/>
                <w:vanish/>
              </w:rPr>
            </w:pPr>
          </w:p>
        </w:tc>
        <w:tc>
          <w:tcPr>
            <w:tcW w:w="0" w:type="auto"/>
            <w:gridSpan w:val="3"/>
            <w:shd w:val="clear" w:color="auto" w:fill="auto"/>
          </w:tcPr>
          <w:p w14:paraId="5EA25CFA" w14:textId="77777777" w:rsidR="003C66EB" w:rsidRDefault="003C66EB">
            <w:pPr>
              <w:rPr>
                <w:rFonts w:ascii="宋体"/>
                <w:vanish/>
              </w:rPr>
            </w:pPr>
          </w:p>
        </w:tc>
        <w:tc>
          <w:tcPr>
            <w:tcW w:w="0" w:type="auto"/>
            <w:gridSpan w:val="3"/>
            <w:shd w:val="clear" w:color="auto" w:fill="auto"/>
          </w:tcPr>
          <w:p w14:paraId="5EA25CFB" w14:textId="77777777" w:rsidR="003C66EB" w:rsidRDefault="003C66EB">
            <w:pPr>
              <w:rPr>
                <w:rFonts w:ascii="宋体"/>
                <w:vanish/>
              </w:rPr>
            </w:pPr>
          </w:p>
        </w:tc>
        <w:tc>
          <w:tcPr>
            <w:tcW w:w="0" w:type="auto"/>
            <w:gridSpan w:val="3"/>
            <w:shd w:val="clear" w:color="auto" w:fill="auto"/>
          </w:tcPr>
          <w:p w14:paraId="5EA25CFC" w14:textId="77777777" w:rsidR="003C66EB" w:rsidRDefault="003C66EB">
            <w:pPr>
              <w:rPr>
                <w:rFonts w:ascii="宋体"/>
                <w:vanish/>
              </w:rPr>
            </w:pPr>
          </w:p>
        </w:tc>
        <w:tc>
          <w:tcPr>
            <w:tcW w:w="0" w:type="auto"/>
            <w:gridSpan w:val="3"/>
            <w:shd w:val="clear" w:color="auto" w:fill="auto"/>
          </w:tcPr>
          <w:p w14:paraId="5EA25CFD" w14:textId="77777777" w:rsidR="003C66EB" w:rsidRDefault="003C66EB">
            <w:pPr>
              <w:rPr>
                <w:rFonts w:ascii="宋体"/>
                <w:vanish/>
              </w:rPr>
            </w:pPr>
          </w:p>
        </w:tc>
        <w:tc>
          <w:tcPr>
            <w:tcW w:w="0" w:type="auto"/>
            <w:gridSpan w:val="3"/>
            <w:shd w:val="clear" w:color="auto" w:fill="auto"/>
          </w:tcPr>
          <w:p w14:paraId="5EA25CFE" w14:textId="77777777" w:rsidR="003C66EB" w:rsidRDefault="003C66EB">
            <w:pPr>
              <w:rPr>
                <w:rFonts w:ascii="宋体"/>
                <w:vanish/>
              </w:rPr>
            </w:pPr>
          </w:p>
        </w:tc>
        <w:tc>
          <w:tcPr>
            <w:tcW w:w="0" w:type="auto"/>
            <w:gridSpan w:val="3"/>
            <w:shd w:val="clear" w:color="auto" w:fill="auto"/>
          </w:tcPr>
          <w:p w14:paraId="5EA25CFF" w14:textId="77777777" w:rsidR="003C66EB" w:rsidRDefault="003C66EB">
            <w:pPr>
              <w:rPr>
                <w:rFonts w:ascii="宋体"/>
                <w:vanish/>
              </w:rPr>
            </w:pPr>
          </w:p>
        </w:tc>
        <w:tc>
          <w:tcPr>
            <w:tcW w:w="0" w:type="auto"/>
            <w:gridSpan w:val="3"/>
            <w:shd w:val="clear" w:color="auto" w:fill="auto"/>
          </w:tcPr>
          <w:p w14:paraId="5EA25D00" w14:textId="77777777" w:rsidR="003C66EB" w:rsidRDefault="003C66EB">
            <w:pPr>
              <w:rPr>
                <w:rFonts w:ascii="宋体"/>
                <w:vanish/>
              </w:rPr>
            </w:pPr>
          </w:p>
        </w:tc>
        <w:tc>
          <w:tcPr>
            <w:tcW w:w="0" w:type="auto"/>
            <w:gridSpan w:val="3"/>
            <w:shd w:val="clear" w:color="auto" w:fill="auto"/>
          </w:tcPr>
          <w:p w14:paraId="5EA25D01" w14:textId="77777777" w:rsidR="003C66EB" w:rsidRDefault="003C66EB">
            <w:pPr>
              <w:rPr>
                <w:rFonts w:ascii="宋体"/>
                <w:vanish/>
              </w:rPr>
            </w:pPr>
          </w:p>
        </w:tc>
        <w:tc>
          <w:tcPr>
            <w:tcW w:w="0" w:type="auto"/>
            <w:gridSpan w:val="3"/>
            <w:shd w:val="clear" w:color="auto" w:fill="auto"/>
          </w:tcPr>
          <w:p w14:paraId="5EA25D02" w14:textId="77777777" w:rsidR="003C66EB" w:rsidRDefault="003C66EB">
            <w:pPr>
              <w:rPr>
                <w:rFonts w:ascii="宋体"/>
                <w:vanish/>
              </w:rPr>
            </w:pPr>
          </w:p>
        </w:tc>
      </w:tr>
      <w:tr w:rsidR="003C66EB" w14:paraId="5EA25D1E" w14:textId="77777777">
        <w:trPr>
          <w:hidden/>
        </w:trPr>
        <w:tc>
          <w:tcPr>
            <w:tcW w:w="0" w:type="auto"/>
            <w:gridSpan w:val="3"/>
            <w:shd w:val="clear" w:color="auto" w:fill="auto"/>
          </w:tcPr>
          <w:p w14:paraId="5EA25D04" w14:textId="77777777" w:rsidR="003C66EB" w:rsidRDefault="003C66EB">
            <w:pPr>
              <w:rPr>
                <w:rFonts w:ascii="宋体"/>
                <w:vanish/>
              </w:rPr>
            </w:pPr>
          </w:p>
        </w:tc>
        <w:tc>
          <w:tcPr>
            <w:tcW w:w="0" w:type="auto"/>
            <w:gridSpan w:val="3"/>
            <w:shd w:val="clear" w:color="auto" w:fill="auto"/>
          </w:tcPr>
          <w:p w14:paraId="5EA25D05" w14:textId="77777777" w:rsidR="003C66EB" w:rsidRDefault="003C66EB">
            <w:pPr>
              <w:rPr>
                <w:rFonts w:ascii="宋体"/>
                <w:vanish/>
              </w:rPr>
            </w:pPr>
          </w:p>
        </w:tc>
        <w:tc>
          <w:tcPr>
            <w:tcW w:w="0" w:type="auto"/>
            <w:gridSpan w:val="3"/>
            <w:shd w:val="clear" w:color="auto" w:fill="auto"/>
          </w:tcPr>
          <w:p w14:paraId="5EA25D06" w14:textId="77777777" w:rsidR="003C66EB" w:rsidRDefault="003C66EB">
            <w:pPr>
              <w:rPr>
                <w:rFonts w:ascii="宋体"/>
                <w:vanish/>
              </w:rPr>
            </w:pPr>
          </w:p>
        </w:tc>
        <w:tc>
          <w:tcPr>
            <w:tcW w:w="0" w:type="auto"/>
            <w:gridSpan w:val="3"/>
            <w:shd w:val="clear" w:color="auto" w:fill="auto"/>
          </w:tcPr>
          <w:p w14:paraId="5EA25D07" w14:textId="77777777" w:rsidR="003C66EB" w:rsidRDefault="003C66EB">
            <w:pPr>
              <w:rPr>
                <w:rFonts w:ascii="宋体"/>
                <w:vanish/>
              </w:rPr>
            </w:pPr>
          </w:p>
        </w:tc>
        <w:tc>
          <w:tcPr>
            <w:tcW w:w="0" w:type="auto"/>
            <w:gridSpan w:val="3"/>
            <w:shd w:val="clear" w:color="auto" w:fill="auto"/>
          </w:tcPr>
          <w:p w14:paraId="5EA25D08" w14:textId="77777777" w:rsidR="003C66EB" w:rsidRDefault="003C66EB">
            <w:pPr>
              <w:rPr>
                <w:rFonts w:ascii="宋体"/>
                <w:vanish/>
              </w:rPr>
            </w:pPr>
          </w:p>
        </w:tc>
        <w:tc>
          <w:tcPr>
            <w:tcW w:w="0" w:type="auto"/>
            <w:gridSpan w:val="3"/>
            <w:shd w:val="clear" w:color="auto" w:fill="auto"/>
          </w:tcPr>
          <w:p w14:paraId="5EA25D09" w14:textId="77777777" w:rsidR="003C66EB" w:rsidRDefault="003C66EB">
            <w:pPr>
              <w:rPr>
                <w:rFonts w:ascii="宋体"/>
                <w:vanish/>
              </w:rPr>
            </w:pPr>
          </w:p>
        </w:tc>
        <w:tc>
          <w:tcPr>
            <w:tcW w:w="0" w:type="auto"/>
            <w:gridSpan w:val="3"/>
            <w:shd w:val="clear" w:color="auto" w:fill="auto"/>
          </w:tcPr>
          <w:p w14:paraId="5EA25D0A" w14:textId="77777777" w:rsidR="003C66EB" w:rsidRDefault="003C66EB">
            <w:pPr>
              <w:rPr>
                <w:rFonts w:ascii="宋体"/>
                <w:vanish/>
              </w:rPr>
            </w:pPr>
          </w:p>
        </w:tc>
        <w:tc>
          <w:tcPr>
            <w:tcW w:w="0" w:type="auto"/>
            <w:gridSpan w:val="3"/>
            <w:shd w:val="clear" w:color="auto" w:fill="auto"/>
          </w:tcPr>
          <w:p w14:paraId="5EA25D0B" w14:textId="77777777" w:rsidR="003C66EB" w:rsidRDefault="003C66EB">
            <w:pPr>
              <w:rPr>
                <w:rFonts w:ascii="宋体"/>
                <w:vanish/>
              </w:rPr>
            </w:pPr>
          </w:p>
        </w:tc>
        <w:tc>
          <w:tcPr>
            <w:tcW w:w="0" w:type="auto"/>
            <w:gridSpan w:val="3"/>
            <w:shd w:val="clear" w:color="auto" w:fill="auto"/>
          </w:tcPr>
          <w:p w14:paraId="5EA25D0C" w14:textId="77777777" w:rsidR="003C66EB" w:rsidRDefault="003C66EB">
            <w:pPr>
              <w:rPr>
                <w:rFonts w:ascii="宋体"/>
                <w:vanish/>
              </w:rPr>
            </w:pPr>
          </w:p>
        </w:tc>
        <w:tc>
          <w:tcPr>
            <w:tcW w:w="0" w:type="auto"/>
            <w:gridSpan w:val="3"/>
            <w:shd w:val="clear" w:color="auto" w:fill="auto"/>
          </w:tcPr>
          <w:p w14:paraId="5EA25D0D" w14:textId="77777777" w:rsidR="003C66EB" w:rsidRDefault="003C66EB">
            <w:pPr>
              <w:rPr>
                <w:rFonts w:ascii="宋体"/>
                <w:vanish/>
              </w:rPr>
            </w:pPr>
          </w:p>
        </w:tc>
        <w:tc>
          <w:tcPr>
            <w:tcW w:w="0" w:type="auto"/>
            <w:gridSpan w:val="3"/>
            <w:shd w:val="clear" w:color="auto" w:fill="auto"/>
          </w:tcPr>
          <w:p w14:paraId="5EA25D0E" w14:textId="77777777" w:rsidR="003C66EB" w:rsidRDefault="003C66EB">
            <w:pPr>
              <w:rPr>
                <w:rFonts w:ascii="宋体"/>
                <w:vanish/>
              </w:rPr>
            </w:pPr>
          </w:p>
        </w:tc>
        <w:tc>
          <w:tcPr>
            <w:tcW w:w="0" w:type="auto"/>
            <w:gridSpan w:val="3"/>
            <w:shd w:val="clear" w:color="auto" w:fill="auto"/>
          </w:tcPr>
          <w:p w14:paraId="5EA25D0F" w14:textId="77777777" w:rsidR="003C66EB" w:rsidRDefault="003C66EB">
            <w:pPr>
              <w:rPr>
                <w:rFonts w:ascii="宋体"/>
                <w:vanish/>
              </w:rPr>
            </w:pPr>
          </w:p>
        </w:tc>
        <w:tc>
          <w:tcPr>
            <w:tcW w:w="0" w:type="auto"/>
            <w:gridSpan w:val="3"/>
            <w:shd w:val="clear" w:color="auto" w:fill="auto"/>
          </w:tcPr>
          <w:p w14:paraId="5EA25D10" w14:textId="77777777" w:rsidR="003C66EB" w:rsidRDefault="003C66EB">
            <w:pPr>
              <w:rPr>
                <w:rFonts w:ascii="宋体"/>
                <w:vanish/>
              </w:rPr>
            </w:pPr>
          </w:p>
        </w:tc>
        <w:tc>
          <w:tcPr>
            <w:tcW w:w="0" w:type="auto"/>
            <w:gridSpan w:val="3"/>
            <w:shd w:val="clear" w:color="auto" w:fill="auto"/>
          </w:tcPr>
          <w:p w14:paraId="5EA25D11" w14:textId="77777777" w:rsidR="003C66EB" w:rsidRDefault="003C66EB">
            <w:pPr>
              <w:rPr>
                <w:rFonts w:ascii="宋体"/>
                <w:vanish/>
              </w:rPr>
            </w:pPr>
          </w:p>
        </w:tc>
        <w:tc>
          <w:tcPr>
            <w:tcW w:w="0" w:type="auto"/>
            <w:shd w:val="clear" w:color="auto" w:fill="auto"/>
          </w:tcPr>
          <w:p w14:paraId="5EA25D12" w14:textId="77777777" w:rsidR="003C66EB" w:rsidRDefault="003C66EB">
            <w:pPr>
              <w:rPr>
                <w:rFonts w:ascii="宋体"/>
              </w:rPr>
            </w:pPr>
          </w:p>
        </w:tc>
        <w:tc>
          <w:tcPr>
            <w:tcW w:w="0" w:type="auto"/>
            <w:shd w:val="clear" w:color="auto" w:fill="auto"/>
          </w:tcPr>
          <w:p w14:paraId="5EA25D13" w14:textId="77777777" w:rsidR="003C66EB" w:rsidRDefault="003C66EB">
            <w:pPr>
              <w:rPr>
                <w:rFonts w:ascii="宋体"/>
              </w:rPr>
            </w:pPr>
          </w:p>
        </w:tc>
        <w:tc>
          <w:tcPr>
            <w:tcW w:w="0" w:type="auto"/>
            <w:shd w:val="clear" w:color="auto" w:fill="auto"/>
          </w:tcPr>
          <w:p w14:paraId="5EA25D14" w14:textId="77777777" w:rsidR="003C66EB" w:rsidRDefault="003C66EB">
            <w:pPr>
              <w:rPr>
                <w:rFonts w:ascii="宋体"/>
              </w:rPr>
            </w:pPr>
          </w:p>
        </w:tc>
        <w:tc>
          <w:tcPr>
            <w:tcW w:w="0" w:type="auto"/>
            <w:shd w:val="clear" w:color="auto" w:fill="auto"/>
          </w:tcPr>
          <w:p w14:paraId="5EA25D15" w14:textId="77777777" w:rsidR="003C66EB" w:rsidRDefault="003C66EB">
            <w:pPr>
              <w:rPr>
                <w:rFonts w:ascii="宋体"/>
              </w:rPr>
            </w:pPr>
          </w:p>
        </w:tc>
        <w:tc>
          <w:tcPr>
            <w:tcW w:w="0" w:type="auto"/>
            <w:shd w:val="clear" w:color="auto" w:fill="auto"/>
          </w:tcPr>
          <w:p w14:paraId="5EA25D16" w14:textId="77777777" w:rsidR="003C66EB" w:rsidRDefault="003C66EB">
            <w:pPr>
              <w:rPr>
                <w:rFonts w:ascii="宋体"/>
              </w:rPr>
            </w:pPr>
          </w:p>
        </w:tc>
        <w:tc>
          <w:tcPr>
            <w:tcW w:w="0" w:type="auto"/>
            <w:shd w:val="clear" w:color="auto" w:fill="auto"/>
          </w:tcPr>
          <w:p w14:paraId="5EA25D17" w14:textId="77777777" w:rsidR="003C66EB" w:rsidRDefault="003C66EB">
            <w:pPr>
              <w:rPr>
                <w:rFonts w:ascii="宋体"/>
              </w:rPr>
            </w:pPr>
          </w:p>
        </w:tc>
        <w:tc>
          <w:tcPr>
            <w:tcW w:w="0" w:type="auto"/>
            <w:shd w:val="clear" w:color="auto" w:fill="auto"/>
          </w:tcPr>
          <w:p w14:paraId="5EA25D18" w14:textId="77777777" w:rsidR="003C66EB" w:rsidRDefault="003C66EB">
            <w:pPr>
              <w:rPr>
                <w:rFonts w:ascii="宋体"/>
              </w:rPr>
            </w:pPr>
          </w:p>
        </w:tc>
        <w:tc>
          <w:tcPr>
            <w:tcW w:w="0" w:type="auto"/>
            <w:shd w:val="clear" w:color="auto" w:fill="auto"/>
          </w:tcPr>
          <w:p w14:paraId="5EA25D19" w14:textId="77777777" w:rsidR="003C66EB" w:rsidRDefault="003C66EB">
            <w:pPr>
              <w:rPr>
                <w:rFonts w:ascii="宋体"/>
              </w:rPr>
            </w:pPr>
          </w:p>
        </w:tc>
        <w:tc>
          <w:tcPr>
            <w:tcW w:w="0" w:type="auto"/>
            <w:shd w:val="clear" w:color="auto" w:fill="auto"/>
          </w:tcPr>
          <w:p w14:paraId="5EA25D1A" w14:textId="77777777" w:rsidR="003C66EB" w:rsidRDefault="003C66EB">
            <w:pPr>
              <w:rPr>
                <w:rFonts w:ascii="宋体"/>
              </w:rPr>
            </w:pPr>
          </w:p>
        </w:tc>
        <w:tc>
          <w:tcPr>
            <w:tcW w:w="0" w:type="auto"/>
            <w:shd w:val="clear" w:color="auto" w:fill="auto"/>
          </w:tcPr>
          <w:p w14:paraId="5EA25D1B" w14:textId="77777777" w:rsidR="003C66EB" w:rsidRDefault="003C66EB">
            <w:pPr>
              <w:rPr>
                <w:rFonts w:ascii="宋体"/>
              </w:rPr>
            </w:pPr>
          </w:p>
        </w:tc>
        <w:tc>
          <w:tcPr>
            <w:tcW w:w="0" w:type="auto"/>
            <w:shd w:val="clear" w:color="auto" w:fill="auto"/>
          </w:tcPr>
          <w:p w14:paraId="5EA25D1C" w14:textId="77777777" w:rsidR="003C66EB" w:rsidRDefault="003C66EB">
            <w:pPr>
              <w:rPr>
                <w:rFonts w:ascii="宋体"/>
              </w:rPr>
            </w:pPr>
          </w:p>
        </w:tc>
        <w:tc>
          <w:tcPr>
            <w:tcW w:w="0" w:type="auto"/>
            <w:shd w:val="clear" w:color="auto" w:fill="auto"/>
          </w:tcPr>
          <w:p w14:paraId="5EA25D1D" w14:textId="77777777" w:rsidR="003C66EB" w:rsidRDefault="003C66EB">
            <w:pPr>
              <w:rPr>
                <w:rFonts w:ascii="宋体"/>
              </w:rPr>
            </w:pPr>
          </w:p>
        </w:tc>
      </w:tr>
      <w:tr w:rsidR="003C66EB" w14:paraId="5EA25D4F" w14:textId="77777777">
        <w:trPr>
          <w:hidden/>
        </w:trPr>
        <w:tc>
          <w:tcPr>
            <w:tcW w:w="0" w:type="auto"/>
            <w:gridSpan w:val="3"/>
            <w:shd w:val="clear" w:color="auto" w:fill="auto"/>
          </w:tcPr>
          <w:p w14:paraId="5EA25D1F" w14:textId="77777777" w:rsidR="003C66EB" w:rsidRDefault="003C66EB">
            <w:pPr>
              <w:rPr>
                <w:rFonts w:ascii="宋体"/>
                <w:vanish/>
              </w:rPr>
            </w:pPr>
          </w:p>
        </w:tc>
        <w:tc>
          <w:tcPr>
            <w:tcW w:w="0" w:type="auto"/>
            <w:gridSpan w:val="3"/>
            <w:shd w:val="clear" w:color="auto" w:fill="auto"/>
          </w:tcPr>
          <w:p w14:paraId="5EA25D20" w14:textId="77777777" w:rsidR="003C66EB" w:rsidRDefault="003C66EB">
            <w:pPr>
              <w:rPr>
                <w:rFonts w:ascii="宋体"/>
                <w:vanish/>
              </w:rPr>
            </w:pPr>
          </w:p>
        </w:tc>
        <w:tc>
          <w:tcPr>
            <w:tcW w:w="0" w:type="auto"/>
            <w:gridSpan w:val="3"/>
            <w:shd w:val="clear" w:color="auto" w:fill="auto"/>
          </w:tcPr>
          <w:p w14:paraId="5EA25D21" w14:textId="77777777" w:rsidR="003C66EB" w:rsidRDefault="003C66EB">
            <w:pPr>
              <w:rPr>
                <w:rFonts w:ascii="宋体"/>
                <w:vanish/>
              </w:rPr>
            </w:pPr>
          </w:p>
        </w:tc>
        <w:tc>
          <w:tcPr>
            <w:tcW w:w="0" w:type="auto"/>
            <w:shd w:val="clear" w:color="auto" w:fill="auto"/>
          </w:tcPr>
          <w:p w14:paraId="5EA25D22" w14:textId="77777777" w:rsidR="003C66EB" w:rsidRDefault="003C66EB">
            <w:pPr>
              <w:rPr>
                <w:rFonts w:ascii="宋体"/>
              </w:rPr>
            </w:pPr>
          </w:p>
        </w:tc>
        <w:tc>
          <w:tcPr>
            <w:tcW w:w="0" w:type="auto"/>
            <w:shd w:val="clear" w:color="auto" w:fill="auto"/>
          </w:tcPr>
          <w:p w14:paraId="5EA25D23" w14:textId="77777777" w:rsidR="003C66EB" w:rsidRDefault="003C66EB">
            <w:pPr>
              <w:rPr>
                <w:rFonts w:ascii="宋体"/>
              </w:rPr>
            </w:pPr>
          </w:p>
        </w:tc>
        <w:tc>
          <w:tcPr>
            <w:tcW w:w="0" w:type="auto"/>
            <w:shd w:val="clear" w:color="auto" w:fill="auto"/>
          </w:tcPr>
          <w:p w14:paraId="5EA25D24" w14:textId="77777777" w:rsidR="003C66EB" w:rsidRDefault="003C66EB">
            <w:pPr>
              <w:rPr>
                <w:rFonts w:ascii="宋体"/>
              </w:rPr>
            </w:pPr>
          </w:p>
        </w:tc>
        <w:tc>
          <w:tcPr>
            <w:tcW w:w="0" w:type="auto"/>
            <w:shd w:val="clear" w:color="auto" w:fill="auto"/>
          </w:tcPr>
          <w:p w14:paraId="5EA25D25" w14:textId="77777777" w:rsidR="003C66EB" w:rsidRDefault="003C66EB">
            <w:pPr>
              <w:rPr>
                <w:rFonts w:ascii="宋体"/>
              </w:rPr>
            </w:pPr>
          </w:p>
        </w:tc>
        <w:tc>
          <w:tcPr>
            <w:tcW w:w="0" w:type="auto"/>
            <w:shd w:val="clear" w:color="auto" w:fill="auto"/>
          </w:tcPr>
          <w:p w14:paraId="5EA25D26" w14:textId="77777777" w:rsidR="003C66EB" w:rsidRDefault="003C66EB">
            <w:pPr>
              <w:rPr>
                <w:rFonts w:ascii="宋体"/>
              </w:rPr>
            </w:pPr>
          </w:p>
        </w:tc>
        <w:tc>
          <w:tcPr>
            <w:tcW w:w="0" w:type="auto"/>
            <w:shd w:val="clear" w:color="auto" w:fill="auto"/>
          </w:tcPr>
          <w:p w14:paraId="5EA25D27" w14:textId="77777777" w:rsidR="003C66EB" w:rsidRDefault="003C66EB">
            <w:pPr>
              <w:rPr>
                <w:rFonts w:ascii="宋体"/>
              </w:rPr>
            </w:pPr>
          </w:p>
        </w:tc>
        <w:tc>
          <w:tcPr>
            <w:tcW w:w="0" w:type="auto"/>
            <w:shd w:val="clear" w:color="auto" w:fill="auto"/>
          </w:tcPr>
          <w:p w14:paraId="5EA25D28" w14:textId="77777777" w:rsidR="003C66EB" w:rsidRDefault="003C66EB">
            <w:pPr>
              <w:rPr>
                <w:rFonts w:ascii="宋体"/>
              </w:rPr>
            </w:pPr>
          </w:p>
        </w:tc>
        <w:tc>
          <w:tcPr>
            <w:tcW w:w="0" w:type="auto"/>
            <w:shd w:val="clear" w:color="auto" w:fill="auto"/>
          </w:tcPr>
          <w:p w14:paraId="5EA25D29" w14:textId="77777777" w:rsidR="003C66EB" w:rsidRDefault="003C66EB">
            <w:pPr>
              <w:rPr>
                <w:rFonts w:ascii="宋体"/>
              </w:rPr>
            </w:pPr>
          </w:p>
        </w:tc>
        <w:tc>
          <w:tcPr>
            <w:tcW w:w="0" w:type="auto"/>
            <w:shd w:val="clear" w:color="auto" w:fill="auto"/>
          </w:tcPr>
          <w:p w14:paraId="5EA25D2A" w14:textId="77777777" w:rsidR="003C66EB" w:rsidRDefault="003C66EB">
            <w:pPr>
              <w:rPr>
                <w:rFonts w:ascii="宋体"/>
              </w:rPr>
            </w:pPr>
          </w:p>
        </w:tc>
        <w:tc>
          <w:tcPr>
            <w:tcW w:w="0" w:type="auto"/>
            <w:shd w:val="clear" w:color="auto" w:fill="auto"/>
          </w:tcPr>
          <w:p w14:paraId="5EA25D2B" w14:textId="77777777" w:rsidR="003C66EB" w:rsidRDefault="003C66EB">
            <w:pPr>
              <w:rPr>
                <w:rFonts w:ascii="宋体"/>
              </w:rPr>
            </w:pPr>
          </w:p>
        </w:tc>
        <w:tc>
          <w:tcPr>
            <w:tcW w:w="0" w:type="auto"/>
            <w:shd w:val="clear" w:color="auto" w:fill="auto"/>
          </w:tcPr>
          <w:p w14:paraId="5EA25D2C" w14:textId="77777777" w:rsidR="003C66EB" w:rsidRDefault="003C66EB">
            <w:pPr>
              <w:rPr>
                <w:rFonts w:ascii="宋体"/>
              </w:rPr>
            </w:pPr>
          </w:p>
        </w:tc>
        <w:tc>
          <w:tcPr>
            <w:tcW w:w="0" w:type="auto"/>
            <w:shd w:val="clear" w:color="auto" w:fill="auto"/>
          </w:tcPr>
          <w:p w14:paraId="5EA25D2D" w14:textId="77777777" w:rsidR="003C66EB" w:rsidRDefault="003C66EB">
            <w:pPr>
              <w:rPr>
                <w:rFonts w:ascii="宋体"/>
              </w:rPr>
            </w:pPr>
          </w:p>
        </w:tc>
        <w:tc>
          <w:tcPr>
            <w:tcW w:w="0" w:type="auto"/>
            <w:shd w:val="clear" w:color="auto" w:fill="auto"/>
          </w:tcPr>
          <w:p w14:paraId="5EA25D2E" w14:textId="77777777" w:rsidR="003C66EB" w:rsidRDefault="003C66EB">
            <w:pPr>
              <w:rPr>
                <w:rFonts w:ascii="宋体"/>
              </w:rPr>
            </w:pPr>
          </w:p>
        </w:tc>
        <w:tc>
          <w:tcPr>
            <w:tcW w:w="0" w:type="auto"/>
            <w:shd w:val="clear" w:color="auto" w:fill="auto"/>
          </w:tcPr>
          <w:p w14:paraId="5EA25D2F" w14:textId="77777777" w:rsidR="003C66EB" w:rsidRDefault="003C66EB">
            <w:pPr>
              <w:rPr>
                <w:rFonts w:ascii="宋体"/>
              </w:rPr>
            </w:pPr>
          </w:p>
        </w:tc>
        <w:tc>
          <w:tcPr>
            <w:tcW w:w="0" w:type="auto"/>
            <w:shd w:val="clear" w:color="auto" w:fill="auto"/>
          </w:tcPr>
          <w:p w14:paraId="5EA25D30" w14:textId="77777777" w:rsidR="003C66EB" w:rsidRDefault="003C66EB">
            <w:pPr>
              <w:rPr>
                <w:rFonts w:ascii="宋体"/>
              </w:rPr>
            </w:pPr>
          </w:p>
        </w:tc>
        <w:tc>
          <w:tcPr>
            <w:tcW w:w="0" w:type="auto"/>
            <w:shd w:val="clear" w:color="auto" w:fill="auto"/>
          </w:tcPr>
          <w:p w14:paraId="5EA25D31" w14:textId="77777777" w:rsidR="003C66EB" w:rsidRDefault="003C66EB">
            <w:pPr>
              <w:rPr>
                <w:rFonts w:ascii="宋体"/>
              </w:rPr>
            </w:pPr>
          </w:p>
        </w:tc>
        <w:tc>
          <w:tcPr>
            <w:tcW w:w="0" w:type="auto"/>
            <w:shd w:val="clear" w:color="auto" w:fill="auto"/>
          </w:tcPr>
          <w:p w14:paraId="5EA25D32" w14:textId="77777777" w:rsidR="003C66EB" w:rsidRDefault="003C66EB">
            <w:pPr>
              <w:rPr>
                <w:rFonts w:ascii="宋体"/>
              </w:rPr>
            </w:pPr>
          </w:p>
        </w:tc>
        <w:tc>
          <w:tcPr>
            <w:tcW w:w="0" w:type="auto"/>
            <w:shd w:val="clear" w:color="auto" w:fill="auto"/>
          </w:tcPr>
          <w:p w14:paraId="5EA25D33" w14:textId="77777777" w:rsidR="003C66EB" w:rsidRDefault="003C66EB">
            <w:pPr>
              <w:rPr>
                <w:rFonts w:ascii="宋体"/>
              </w:rPr>
            </w:pPr>
          </w:p>
        </w:tc>
        <w:tc>
          <w:tcPr>
            <w:tcW w:w="0" w:type="auto"/>
            <w:shd w:val="clear" w:color="auto" w:fill="auto"/>
          </w:tcPr>
          <w:p w14:paraId="5EA25D34" w14:textId="77777777" w:rsidR="003C66EB" w:rsidRDefault="003C66EB">
            <w:pPr>
              <w:rPr>
                <w:rFonts w:ascii="宋体"/>
              </w:rPr>
            </w:pPr>
          </w:p>
        </w:tc>
        <w:tc>
          <w:tcPr>
            <w:tcW w:w="0" w:type="auto"/>
            <w:shd w:val="clear" w:color="auto" w:fill="auto"/>
          </w:tcPr>
          <w:p w14:paraId="5EA25D35" w14:textId="77777777" w:rsidR="003C66EB" w:rsidRDefault="003C66EB">
            <w:pPr>
              <w:rPr>
                <w:rFonts w:ascii="宋体"/>
              </w:rPr>
            </w:pPr>
          </w:p>
        </w:tc>
        <w:tc>
          <w:tcPr>
            <w:tcW w:w="0" w:type="auto"/>
            <w:shd w:val="clear" w:color="auto" w:fill="auto"/>
          </w:tcPr>
          <w:p w14:paraId="5EA25D36" w14:textId="77777777" w:rsidR="003C66EB" w:rsidRDefault="003C66EB">
            <w:pPr>
              <w:rPr>
                <w:rFonts w:ascii="宋体"/>
              </w:rPr>
            </w:pPr>
          </w:p>
        </w:tc>
        <w:tc>
          <w:tcPr>
            <w:tcW w:w="0" w:type="auto"/>
            <w:shd w:val="clear" w:color="auto" w:fill="auto"/>
          </w:tcPr>
          <w:p w14:paraId="5EA25D37" w14:textId="77777777" w:rsidR="003C66EB" w:rsidRDefault="003C66EB">
            <w:pPr>
              <w:rPr>
                <w:rFonts w:ascii="宋体"/>
              </w:rPr>
            </w:pPr>
          </w:p>
        </w:tc>
        <w:tc>
          <w:tcPr>
            <w:tcW w:w="0" w:type="auto"/>
            <w:shd w:val="clear" w:color="auto" w:fill="auto"/>
          </w:tcPr>
          <w:p w14:paraId="5EA25D38" w14:textId="77777777" w:rsidR="003C66EB" w:rsidRDefault="003C66EB">
            <w:pPr>
              <w:rPr>
                <w:rFonts w:ascii="宋体"/>
              </w:rPr>
            </w:pPr>
          </w:p>
        </w:tc>
        <w:tc>
          <w:tcPr>
            <w:tcW w:w="0" w:type="auto"/>
            <w:shd w:val="clear" w:color="auto" w:fill="auto"/>
          </w:tcPr>
          <w:p w14:paraId="5EA25D39" w14:textId="77777777" w:rsidR="003C66EB" w:rsidRDefault="003C66EB">
            <w:pPr>
              <w:rPr>
                <w:rFonts w:ascii="宋体"/>
              </w:rPr>
            </w:pPr>
          </w:p>
        </w:tc>
        <w:tc>
          <w:tcPr>
            <w:tcW w:w="0" w:type="auto"/>
            <w:shd w:val="clear" w:color="auto" w:fill="auto"/>
          </w:tcPr>
          <w:p w14:paraId="5EA25D3A" w14:textId="77777777" w:rsidR="003C66EB" w:rsidRDefault="003C66EB">
            <w:pPr>
              <w:rPr>
                <w:rFonts w:ascii="宋体"/>
              </w:rPr>
            </w:pPr>
          </w:p>
        </w:tc>
        <w:tc>
          <w:tcPr>
            <w:tcW w:w="0" w:type="auto"/>
            <w:shd w:val="clear" w:color="auto" w:fill="auto"/>
          </w:tcPr>
          <w:p w14:paraId="5EA25D3B" w14:textId="77777777" w:rsidR="003C66EB" w:rsidRDefault="003C66EB">
            <w:pPr>
              <w:rPr>
                <w:rFonts w:ascii="宋体"/>
              </w:rPr>
            </w:pPr>
          </w:p>
        </w:tc>
        <w:tc>
          <w:tcPr>
            <w:tcW w:w="0" w:type="auto"/>
            <w:shd w:val="clear" w:color="auto" w:fill="auto"/>
          </w:tcPr>
          <w:p w14:paraId="5EA25D3C" w14:textId="77777777" w:rsidR="003C66EB" w:rsidRDefault="003C66EB">
            <w:pPr>
              <w:rPr>
                <w:rFonts w:ascii="宋体"/>
              </w:rPr>
            </w:pPr>
          </w:p>
        </w:tc>
        <w:tc>
          <w:tcPr>
            <w:tcW w:w="0" w:type="auto"/>
            <w:shd w:val="clear" w:color="auto" w:fill="auto"/>
          </w:tcPr>
          <w:p w14:paraId="5EA25D3D" w14:textId="77777777" w:rsidR="003C66EB" w:rsidRDefault="003C66EB">
            <w:pPr>
              <w:rPr>
                <w:rFonts w:ascii="宋体"/>
              </w:rPr>
            </w:pPr>
          </w:p>
        </w:tc>
        <w:tc>
          <w:tcPr>
            <w:tcW w:w="0" w:type="auto"/>
            <w:shd w:val="clear" w:color="auto" w:fill="auto"/>
          </w:tcPr>
          <w:p w14:paraId="5EA25D3E" w14:textId="77777777" w:rsidR="003C66EB" w:rsidRDefault="003C66EB">
            <w:pPr>
              <w:rPr>
                <w:rFonts w:ascii="宋体"/>
              </w:rPr>
            </w:pPr>
          </w:p>
        </w:tc>
        <w:tc>
          <w:tcPr>
            <w:tcW w:w="0" w:type="auto"/>
            <w:shd w:val="clear" w:color="auto" w:fill="auto"/>
          </w:tcPr>
          <w:p w14:paraId="5EA25D3F" w14:textId="77777777" w:rsidR="003C66EB" w:rsidRDefault="003C66EB">
            <w:pPr>
              <w:rPr>
                <w:rFonts w:ascii="宋体"/>
              </w:rPr>
            </w:pPr>
          </w:p>
        </w:tc>
        <w:tc>
          <w:tcPr>
            <w:tcW w:w="0" w:type="auto"/>
            <w:shd w:val="clear" w:color="auto" w:fill="auto"/>
          </w:tcPr>
          <w:p w14:paraId="5EA25D40" w14:textId="77777777" w:rsidR="003C66EB" w:rsidRDefault="003C66EB">
            <w:pPr>
              <w:rPr>
                <w:rFonts w:ascii="宋体"/>
              </w:rPr>
            </w:pPr>
          </w:p>
        </w:tc>
        <w:tc>
          <w:tcPr>
            <w:tcW w:w="0" w:type="auto"/>
            <w:shd w:val="clear" w:color="auto" w:fill="auto"/>
          </w:tcPr>
          <w:p w14:paraId="5EA25D41" w14:textId="77777777" w:rsidR="003C66EB" w:rsidRDefault="003C66EB">
            <w:pPr>
              <w:rPr>
                <w:rFonts w:ascii="宋体"/>
              </w:rPr>
            </w:pPr>
          </w:p>
        </w:tc>
        <w:tc>
          <w:tcPr>
            <w:tcW w:w="0" w:type="auto"/>
            <w:shd w:val="clear" w:color="auto" w:fill="auto"/>
          </w:tcPr>
          <w:p w14:paraId="5EA25D42" w14:textId="77777777" w:rsidR="003C66EB" w:rsidRDefault="003C66EB">
            <w:pPr>
              <w:rPr>
                <w:rFonts w:ascii="宋体"/>
              </w:rPr>
            </w:pPr>
          </w:p>
        </w:tc>
        <w:tc>
          <w:tcPr>
            <w:tcW w:w="0" w:type="auto"/>
            <w:shd w:val="clear" w:color="auto" w:fill="auto"/>
          </w:tcPr>
          <w:p w14:paraId="5EA25D43" w14:textId="77777777" w:rsidR="003C66EB" w:rsidRDefault="003C66EB">
            <w:pPr>
              <w:rPr>
                <w:rFonts w:ascii="宋体"/>
              </w:rPr>
            </w:pPr>
          </w:p>
        </w:tc>
        <w:tc>
          <w:tcPr>
            <w:tcW w:w="0" w:type="auto"/>
            <w:shd w:val="clear" w:color="auto" w:fill="auto"/>
          </w:tcPr>
          <w:p w14:paraId="5EA25D44" w14:textId="77777777" w:rsidR="003C66EB" w:rsidRDefault="003C66EB">
            <w:pPr>
              <w:rPr>
                <w:rFonts w:ascii="宋体"/>
              </w:rPr>
            </w:pPr>
          </w:p>
        </w:tc>
        <w:tc>
          <w:tcPr>
            <w:tcW w:w="0" w:type="auto"/>
            <w:shd w:val="clear" w:color="auto" w:fill="auto"/>
          </w:tcPr>
          <w:p w14:paraId="5EA25D45" w14:textId="77777777" w:rsidR="003C66EB" w:rsidRDefault="003C66EB">
            <w:pPr>
              <w:rPr>
                <w:rFonts w:ascii="宋体"/>
              </w:rPr>
            </w:pPr>
          </w:p>
        </w:tc>
        <w:tc>
          <w:tcPr>
            <w:tcW w:w="0" w:type="auto"/>
            <w:shd w:val="clear" w:color="auto" w:fill="auto"/>
          </w:tcPr>
          <w:p w14:paraId="5EA25D46" w14:textId="77777777" w:rsidR="003C66EB" w:rsidRDefault="003C66EB">
            <w:pPr>
              <w:rPr>
                <w:rFonts w:ascii="宋体"/>
              </w:rPr>
            </w:pPr>
          </w:p>
        </w:tc>
        <w:tc>
          <w:tcPr>
            <w:tcW w:w="0" w:type="auto"/>
            <w:shd w:val="clear" w:color="auto" w:fill="auto"/>
          </w:tcPr>
          <w:p w14:paraId="5EA25D47" w14:textId="77777777" w:rsidR="003C66EB" w:rsidRDefault="003C66EB">
            <w:pPr>
              <w:rPr>
                <w:rFonts w:ascii="宋体"/>
              </w:rPr>
            </w:pPr>
          </w:p>
        </w:tc>
        <w:tc>
          <w:tcPr>
            <w:tcW w:w="0" w:type="auto"/>
            <w:shd w:val="clear" w:color="auto" w:fill="auto"/>
          </w:tcPr>
          <w:p w14:paraId="5EA25D48" w14:textId="77777777" w:rsidR="003C66EB" w:rsidRDefault="003C66EB">
            <w:pPr>
              <w:rPr>
                <w:rFonts w:ascii="宋体"/>
              </w:rPr>
            </w:pPr>
          </w:p>
        </w:tc>
        <w:tc>
          <w:tcPr>
            <w:tcW w:w="0" w:type="auto"/>
            <w:shd w:val="clear" w:color="auto" w:fill="auto"/>
          </w:tcPr>
          <w:p w14:paraId="5EA25D49" w14:textId="77777777" w:rsidR="003C66EB" w:rsidRDefault="003C66EB">
            <w:pPr>
              <w:rPr>
                <w:rFonts w:ascii="宋体"/>
              </w:rPr>
            </w:pPr>
          </w:p>
        </w:tc>
        <w:tc>
          <w:tcPr>
            <w:tcW w:w="0" w:type="auto"/>
            <w:shd w:val="clear" w:color="auto" w:fill="auto"/>
          </w:tcPr>
          <w:p w14:paraId="5EA25D4A" w14:textId="77777777" w:rsidR="003C66EB" w:rsidRDefault="003C66EB">
            <w:pPr>
              <w:rPr>
                <w:rFonts w:ascii="宋体"/>
              </w:rPr>
            </w:pPr>
          </w:p>
        </w:tc>
        <w:tc>
          <w:tcPr>
            <w:tcW w:w="0" w:type="auto"/>
            <w:shd w:val="clear" w:color="auto" w:fill="auto"/>
          </w:tcPr>
          <w:p w14:paraId="5EA25D4B" w14:textId="77777777" w:rsidR="003C66EB" w:rsidRDefault="003C66EB">
            <w:pPr>
              <w:rPr>
                <w:rFonts w:ascii="宋体"/>
              </w:rPr>
            </w:pPr>
          </w:p>
        </w:tc>
        <w:tc>
          <w:tcPr>
            <w:tcW w:w="0" w:type="auto"/>
            <w:shd w:val="clear" w:color="auto" w:fill="auto"/>
          </w:tcPr>
          <w:p w14:paraId="5EA25D4C" w14:textId="77777777" w:rsidR="003C66EB" w:rsidRDefault="003C66EB">
            <w:pPr>
              <w:rPr>
                <w:rFonts w:ascii="宋体"/>
              </w:rPr>
            </w:pPr>
          </w:p>
        </w:tc>
        <w:tc>
          <w:tcPr>
            <w:tcW w:w="0" w:type="auto"/>
            <w:shd w:val="clear" w:color="auto" w:fill="auto"/>
          </w:tcPr>
          <w:p w14:paraId="5EA25D4D" w14:textId="77777777" w:rsidR="003C66EB" w:rsidRDefault="003C66EB">
            <w:pPr>
              <w:rPr>
                <w:rFonts w:ascii="宋体"/>
              </w:rPr>
            </w:pPr>
          </w:p>
        </w:tc>
        <w:tc>
          <w:tcPr>
            <w:tcW w:w="0" w:type="auto"/>
            <w:shd w:val="clear" w:color="auto" w:fill="auto"/>
          </w:tcPr>
          <w:p w14:paraId="5EA25D4E" w14:textId="77777777" w:rsidR="003C66EB" w:rsidRDefault="003C66EB">
            <w:pPr>
              <w:rPr>
                <w:rFonts w:ascii="宋体"/>
              </w:rPr>
            </w:pPr>
          </w:p>
        </w:tc>
      </w:tr>
      <w:tr w:rsidR="003C66EB" w14:paraId="5EA25D62" w14:textId="77777777">
        <w:trPr>
          <w:hidden/>
        </w:trPr>
        <w:tc>
          <w:tcPr>
            <w:tcW w:w="0" w:type="auto"/>
            <w:gridSpan w:val="3"/>
            <w:shd w:val="clear" w:color="auto" w:fill="auto"/>
          </w:tcPr>
          <w:p w14:paraId="5EA25D50" w14:textId="77777777" w:rsidR="003C66EB" w:rsidRDefault="003C66EB">
            <w:pPr>
              <w:rPr>
                <w:rFonts w:ascii="宋体"/>
                <w:vanish/>
              </w:rPr>
            </w:pPr>
          </w:p>
        </w:tc>
        <w:tc>
          <w:tcPr>
            <w:tcW w:w="0" w:type="auto"/>
            <w:gridSpan w:val="3"/>
            <w:shd w:val="clear" w:color="auto" w:fill="auto"/>
          </w:tcPr>
          <w:p w14:paraId="5EA25D51" w14:textId="77777777" w:rsidR="003C66EB" w:rsidRDefault="003C66EB">
            <w:pPr>
              <w:rPr>
                <w:rFonts w:ascii="宋体"/>
                <w:vanish/>
              </w:rPr>
            </w:pPr>
          </w:p>
        </w:tc>
        <w:tc>
          <w:tcPr>
            <w:tcW w:w="0" w:type="auto"/>
            <w:gridSpan w:val="3"/>
            <w:shd w:val="clear" w:color="auto" w:fill="auto"/>
          </w:tcPr>
          <w:p w14:paraId="5EA25D52" w14:textId="77777777" w:rsidR="003C66EB" w:rsidRDefault="003C66EB">
            <w:pPr>
              <w:rPr>
                <w:rFonts w:ascii="宋体"/>
                <w:vanish/>
              </w:rPr>
            </w:pPr>
          </w:p>
        </w:tc>
        <w:tc>
          <w:tcPr>
            <w:tcW w:w="0" w:type="auto"/>
            <w:gridSpan w:val="3"/>
            <w:shd w:val="clear" w:color="auto" w:fill="auto"/>
          </w:tcPr>
          <w:p w14:paraId="5EA25D53" w14:textId="77777777" w:rsidR="003C66EB" w:rsidRDefault="003C66EB">
            <w:pPr>
              <w:rPr>
                <w:rFonts w:ascii="宋体"/>
                <w:vanish/>
              </w:rPr>
            </w:pPr>
          </w:p>
        </w:tc>
        <w:tc>
          <w:tcPr>
            <w:tcW w:w="0" w:type="auto"/>
            <w:gridSpan w:val="3"/>
            <w:shd w:val="clear" w:color="auto" w:fill="auto"/>
          </w:tcPr>
          <w:p w14:paraId="5EA25D54" w14:textId="77777777" w:rsidR="003C66EB" w:rsidRDefault="003C66EB">
            <w:pPr>
              <w:rPr>
                <w:rFonts w:ascii="宋体"/>
                <w:vanish/>
              </w:rPr>
            </w:pPr>
          </w:p>
        </w:tc>
        <w:tc>
          <w:tcPr>
            <w:tcW w:w="0" w:type="auto"/>
            <w:gridSpan w:val="3"/>
            <w:shd w:val="clear" w:color="auto" w:fill="auto"/>
          </w:tcPr>
          <w:p w14:paraId="5EA25D55" w14:textId="77777777" w:rsidR="003C66EB" w:rsidRDefault="003C66EB">
            <w:pPr>
              <w:rPr>
                <w:rFonts w:ascii="宋体"/>
                <w:vanish/>
              </w:rPr>
            </w:pPr>
          </w:p>
        </w:tc>
        <w:tc>
          <w:tcPr>
            <w:tcW w:w="0" w:type="auto"/>
            <w:gridSpan w:val="3"/>
            <w:shd w:val="clear" w:color="auto" w:fill="auto"/>
          </w:tcPr>
          <w:p w14:paraId="5EA25D56" w14:textId="77777777" w:rsidR="003C66EB" w:rsidRDefault="003C66EB">
            <w:pPr>
              <w:rPr>
                <w:rFonts w:ascii="宋体"/>
                <w:vanish/>
              </w:rPr>
            </w:pPr>
          </w:p>
        </w:tc>
        <w:tc>
          <w:tcPr>
            <w:tcW w:w="0" w:type="auto"/>
            <w:gridSpan w:val="3"/>
            <w:shd w:val="clear" w:color="auto" w:fill="auto"/>
          </w:tcPr>
          <w:p w14:paraId="5EA25D57" w14:textId="77777777" w:rsidR="003C66EB" w:rsidRDefault="003C66EB">
            <w:pPr>
              <w:rPr>
                <w:rFonts w:ascii="宋体"/>
                <w:vanish/>
              </w:rPr>
            </w:pPr>
          </w:p>
        </w:tc>
        <w:tc>
          <w:tcPr>
            <w:tcW w:w="0" w:type="auto"/>
            <w:gridSpan w:val="3"/>
            <w:shd w:val="clear" w:color="auto" w:fill="auto"/>
          </w:tcPr>
          <w:p w14:paraId="5EA25D58" w14:textId="77777777" w:rsidR="003C66EB" w:rsidRDefault="003C66EB">
            <w:pPr>
              <w:rPr>
                <w:rFonts w:ascii="宋体"/>
                <w:vanish/>
              </w:rPr>
            </w:pPr>
          </w:p>
        </w:tc>
        <w:tc>
          <w:tcPr>
            <w:tcW w:w="0" w:type="auto"/>
            <w:gridSpan w:val="3"/>
            <w:shd w:val="clear" w:color="auto" w:fill="auto"/>
          </w:tcPr>
          <w:p w14:paraId="5EA25D59" w14:textId="77777777" w:rsidR="003C66EB" w:rsidRDefault="003C66EB">
            <w:pPr>
              <w:rPr>
                <w:rFonts w:ascii="宋体"/>
                <w:vanish/>
              </w:rPr>
            </w:pPr>
          </w:p>
        </w:tc>
        <w:tc>
          <w:tcPr>
            <w:tcW w:w="0" w:type="auto"/>
            <w:gridSpan w:val="3"/>
            <w:shd w:val="clear" w:color="auto" w:fill="auto"/>
          </w:tcPr>
          <w:p w14:paraId="5EA25D5A" w14:textId="77777777" w:rsidR="003C66EB" w:rsidRDefault="003C66EB">
            <w:pPr>
              <w:rPr>
                <w:rFonts w:ascii="宋体"/>
                <w:vanish/>
              </w:rPr>
            </w:pPr>
          </w:p>
        </w:tc>
        <w:tc>
          <w:tcPr>
            <w:tcW w:w="0" w:type="auto"/>
            <w:gridSpan w:val="3"/>
            <w:shd w:val="clear" w:color="auto" w:fill="auto"/>
          </w:tcPr>
          <w:p w14:paraId="5EA25D5B" w14:textId="77777777" w:rsidR="003C66EB" w:rsidRDefault="003C66EB">
            <w:pPr>
              <w:rPr>
                <w:rFonts w:ascii="宋体"/>
                <w:vanish/>
              </w:rPr>
            </w:pPr>
          </w:p>
        </w:tc>
        <w:tc>
          <w:tcPr>
            <w:tcW w:w="0" w:type="auto"/>
            <w:gridSpan w:val="3"/>
            <w:shd w:val="clear" w:color="auto" w:fill="auto"/>
          </w:tcPr>
          <w:p w14:paraId="5EA25D5C" w14:textId="77777777" w:rsidR="003C66EB" w:rsidRDefault="003C66EB">
            <w:pPr>
              <w:rPr>
                <w:rFonts w:ascii="宋体"/>
                <w:vanish/>
              </w:rPr>
            </w:pPr>
          </w:p>
        </w:tc>
        <w:tc>
          <w:tcPr>
            <w:tcW w:w="0" w:type="auto"/>
            <w:gridSpan w:val="3"/>
            <w:shd w:val="clear" w:color="auto" w:fill="auto"/>
          </w:tcPr>
          <w:p w14:paraId="5EA25D5D" w14:textId="77777777" w:rsidR="003C66EB" w:rsidRDefault="003C66EB">
            <w:pPr>
              <w:rPr>
                <w:rFonts w:ascii="宋体"/>
                <w:vanish/>
              </w:rPr>
            </w:pPr>
          </w:p>
        </w:tc>
        <w:tc>
          <w:tcPr>
            <w:tcW w:w="0" w:type="auto"/>
            <w:gridSpan w:val="3"/>
            <w:shd w:val="clear" w:color="auto" w:fill="auto"/>
          </w:tcPr>
          <w:p w14:paraId="5EA25D5E" w14:textId="77777777" w:rsidR="003C66EB" w:rsidRDefault="003C66EB">
            <w:pPr>
              <w:rPr>
                <w:rFonts w:ascii="宋体"/>
                <w:vanish/>
              </w:rPr>
            </w:pPr>
          </w:p>
        </w:tc>
        <w:tc>
          <w:tcPr>
            <w:tcW w:w="0" w:type="auto"/>
            <w:gridSpan w:val="3"/>
            <w:shd w:val="clear" w:color="auto" w:fill="auto"/>
          </w:tcPr>
          <w:p w14:paraId="5EA25D5F" w14:textId="77777777" w:rsidR="003C66EB" w:rsidRDefault="003C66EB">
            <w:pPr>
              <w:rPr>
                <w:rFonts w:ascii="宋体"/>
                <w:vanish/>
              </w:rPr>
            </w:pPr>
          </w:p>
        </w:tc>
        <w:tc>
          <w:tcPr>
            <w:tcW w:w="0" w:type="auto"/>
            <w:gridSpan w:val="3"/>
            <w:shd w:val="clear" w:color="auto" w:fill="auto"/>
          </w:tcPr>
          <w:p w14:paraId="5EA25D60" w14:textId="77777777" w:rsidR="003C66EB" w:rsidRDefault="003C66EB">
            <w:pPr>
              <w:rPr>
                <w:rFonts w:ascii="宋体"/>
                <w:vanish/>
              </w:rPr>
            </w:pPr>
          </w:p>
        </w:tc>
        <w:tc>
          <w:tcPr>
            <w:tcW w:w="0" w:type="auto"/>
            <w:gridSpan w:val="3"/>
            <w:shd w:val="clear" w:color="auto" w:fill="auto"/>
          </w:tcPr>
          <w:p w14:paraId="5EA25D61" w14:textId="77777777" w:rsidR="003C66EB" w:rsidRDefault="003C66EB">
            <w:pPr>
              <w:rPr>
                <w:rFonts w:ascii="宋体"/>
                <w:vanish/>
              </w:rPr>
            </w:pPr>
          </w:p>
        </w:tc>
      </w:tr>
      <w:tr w:rsidR="003C66EB" w14:paraId="5EA25D75" w14:textId="77777777">
        <w:trPr>
          <w:hidden/>
        </w:trPr>
        <w:tc>
          <w:tcPr>
            <w:tcW w:w="0" w:type="auto"/>
            <w:gridSpan w:val="3"/>
            <w:shd w:val="clear" w:color="auto" w:fill="auto"/>
          </w:tcPr>
          <w:p w14:paraId="5EA25D63" w14:textId="77777777" w:rsidR="003C66EB" w:rsidRDefault="003C66EB">
            <w:pPr>
              <w:rPr>
                <w:rFonts w:ascii="宋体"/>
                <w:vanish/>
              </w:rPr>
            </w:pPr>
          </w:p>
        </w:tc>
        <w:tc>
          <w:tcPr>
            <w:tcW w:w="0" w:type="auto"/>
            <w:gridSpan w:val="3"/>
            <w:shd w:val="clear" w:color="auto" w:fill="auto"/>
          </w:tcPr>
          <w:p w14:paraId="5EA25D64" w14:textId="77777777" w:rsidR="003C66EB" w:rsidRDefault="003C66EB">
            <w:pPr>
              <w:rPr>
                <w:rFonts w:ascii="宋体"/>
                <w:vanish/>
              </w:rPr>
            </w:pPr>
          </w:p>
        </w:tc>
        <w:tc>
          <w:tcPr>
            <w:tcW w:w="0" w:type="auto"/>
            <w:gridSpan w:val="3"/>
            <w:shd w:val="clear" w:color="auto" w:fill="auto"/>
          </w:tcPr>
          <w:p w14:paraId="5EA25D65" w14:textId="77777777" w:rsidR="003C66EB" w:rsidRDefault="003C66EB">
            <w:pPr>
              <w:rPr>
                <w:rFonts w:ascii="宋体"/>
                <w:vanish/>
              </w:rPr>
            </w:pPr>
          </w:p>
        </w:tc>
        <w:tc>
          <w:tcPr>
            <w:tcW w:w="0" w:type="auto"/>
            <w:gridSpan w:val="3"/>
            <w:shd w:val="clear" w:color="auto" w:fill="auto"/>
          </w:tcPr>
          <w:p w14:paraId="5EA25D66" w14:textId="77777777" w:rsidR="003C66EB" w:rsidRDefault="003C66EB">
            <w:pPr>
              <w:rPr>
                <w:rFonts w:ascii="宋体"/>
                <w:vanish/>
              </w:rPr>
            </w:pPr>
          </w:p>
        </w:tc>
        <w:tc>
          <w:tcPr>
            <w:tcW w:w="0" w:type="auto"/>
            <w:gridSpan w:val="3"/>
            <w:shd w:val="clear" w:color="auto" w:fill="auto"/>
          </w:tcPr>
          <w:p w14:paraId="5EA25D67" w14:textId="77777777" w:rsidR="003C66EB" w:rsidRDefault="003C66EB">
            <w:pPr>
              <w:rPr>
                <w:rFonts w:ascii="宋体"/>
                <w:vanish/>
              </w:rPr>
            </w:pPr>
          </w:p>
        </w:tc>
        <w:tc>
          <w:tcPr>
            <w:tcW w:w="0" w:type="auto"/>
            <w:gridSpan w:val="3"/>
            <w:shd w:val="clear" w:color="auto" w:fill="auto"/>
          </w:tcPr>
          <w:p w14:paraId="5EA25D68" w14:textId="77777777" w:rsidR="003C66EB" w:rsidRDefault="003C66EB">
            <w:pPr>
              <w:rPr>
                <w:rFonts w:ascii="宋体"/>
                <w:vanish/>
              </w:rPr>
            </w:pPr>
          </w:p>
        </w:tc>
        <w:tc>
          <w:tcPr>
            <w:tcW w:w="0" w:type="auto"/>
            <w:gridSpan w:val="3"/>
            <w:shd w:val="clear" w:color="auto" w:fill="auto"/>
          </w:tcPr>
          <w:p w14:paraId="5EA25D69" w14:textId="77777777" w:rsidR="003C66EB" w:rsidRDefault="003C66EB">
            <w:pPr>
              <w:rPr>
                <w:rFonts w:ascii="宋体"/>
                <w:vanish/>
              </w:rPr>
            </w:pPr>
          </w:p>
        </w:tc>
        <w:tc>
          <w:tcPr>
            <w:tcW w:w="0" w:type="auto"/>
            <w:gridSpan w:val="3"/>
            <w:shd w:val="clear" w:color="auto" w:fill="auto"/>
          </w:tcPr>
          <w:p w14:paraId="5EA25D6A" w14:textId="77777777" w:rsidR="003C66EB" w:rsidRDefault="003C66EB">
            <w:pPr>
              <w:rPr>
                <w:rFonts w:ascii="宋体"/>
                <w:vanish/>
              </w:rPr>
            </w:pPr>
          </w:p>
        </w:tc>
        <w:tc>
          <w:tcPr>
            <w:tcW w:w="0" w:type="auto"/>
            <w:gridSpan w:val="3"/>
            <w:shd w:val="clear" w:color="auto" w:fill="auto"/>
          </w:tcPr>
          <w:p w14:paraId="5EA25D6B" w14:textId="77777777" w:rsidR="003C66EB" w:rsidRDefault="003C66EB">
            <w:pPr>
              <w:rPr>
                <w:rFonts w:ascii="宋体"/>
                <w:vanish/>
              </w:rPr>
            </w:pPr>
          </w:p>
        </w:tc>
        <w:tc>
          <w:tcPr>
            <w:tcW w:w="0" w:type="auto"/>
            <w:gridSpan w:val="3"/>
            <w:shd w:val="clear" w:color="auto" w:fill="auto"/>
          </w:tcPr>
          <w:p w14:paraId="5EA25D6C" w14:textId="77777777" w:rsidR="003C66EB" w:rsidRDefault="003C66EB">
            <w:pPr>
              <w:rPr>
                <w:rFonts w:ascii="宋体"/>
                <w:vanish/>
              </w:rPr>
            </w:pPr>
          </w:p>
        </w:tc>
        <w:tc>
          <w:tcPr>
            <w:tcW w:w="0" w:type="auto"/>
            <w:gridSpan w:val="3"/>
            <w:shd w:val="clear" w:color="auto" w:fill="auto"/>
          </w:tcPr>
          <w:p w14:paraId="5EA25D6D" w14:textId="77777777" w:rsidR="003C66EB" w:rsidRDefault="003C66EB">
            <w:pPr>
              <w:rPr>
                <w:rFonts w:ascii="宋体"/>
                <w:vanish/>
              </w:rPr>
            </w:pPr>
          </w:p>
        </w:tc>
        <w:tc>
          <w:tcPr>
            <w:tcW w:w="0" w:type="auto"/>
            <w:gridSpan w:val="3"/>
            <w:shd w:val="clear" w:color="auto" w:fill="auto"/>
          </w:tcPr>
          <w:p w14:paraId="5EA25D6E" w14:textId="77777777" w:rsidR="003C66EB" w:rsidRDefault="003C66EB">
            <w:pPr>
              <w:rPr>
                <w:rFonts w:ascii="宋体"/>
                <w:vanish/>
              </w:rPr>
            </w:pPr>
          </w:p>
        </w:tc>
        <w:tc>
          <w:tcPr>
            <w:tcW w:w="0" w:type="auto"/>
            <w:gridSpan w:val="3"/>
            <w:shd w:val="clear" w:color="auto" w:fill="auto"/>
          </w:tcPr>
          <w:p w14:paraId="5EA25D6F" w14:textId="77777777" w:rsidR="003C66EB" w:rsidRDefault="003C66EB">
            <w:pPr>
              <w:rPr>
                <w:rFonts w:ascii="宋体"/>
                <w:vanish/>
              </w:rPr>
            </w:pPr>
          </w:p>
        </w:tc>
        <w:tc>
          <w:tcPr>
            <w:tcW w:w="0" w:type="auto"/>
            <w:gridSpan w:val="3"/>
            <w:shd w:val="clear" w:color="auto" w:fill="auto"/>
          </w:tcPr>
          <w:p w14:paraId="5EA25D70" w14:textId="77777777" w:rsidR="003C66EB" w:rsidRDefault="003C66EB">
            <w:pPr>
              <w:rPr>
                <w:rFonts w:ascii="宋体"/>
                <w:vanish/>
              </w:rPr>
            </w:pPr>
          </w:p>
        </w:tc>
        <w:tc>
          <w:tcPr>
            <w:tcW w:w="0" w:type="auto"/>
            <w:gridSpan w:val="3"/>
            <w:shd w:val="clear" w:color="auto" w:fill="auto"/>
          </w:tcPr>
          <w:p w14:paraId="5EA25D71" w14:textId="77777777" w:rsidR="003C66EB" w:rsidRDefault="003C66EB">
            <w:pPr>
              <w:rPr>
                <w:rFonts w:ascii="宋体"/>
                <w:vanish/>
              </w:rPr>
            </w:pPr>
          </w:p>
        </w:tc>
        <w:tc>
          <w:tcPr>
            <w:tcW w:w="0" w:type="auto"/>
            <w:gridSpan w:val="3"/>
            <w:shd w:val="clear" w:color="auto" w:fill="auto"/>
          </w:tcPr>
          <w:p w14:paraId="5EA25D72" w14:textId="77777777" w:rsidR="003C66EB" w:rsidRDefault="003C66EB">
            <w:pPr>
              <w:rPr>
                <w:rFonts w:ascii="宋体"/>
                <w:vanish/>
              </w:rPr>
            </w:pPr>
          </w:p>
        </w:tc>
        <w:tc>
          <w:tcPr>
            <w:tcW w:w="0" w:type="auto"/>
            <w:gridSpan w:val="3"/>
            <w:shd w:val="clear" w:color="auto" w:fill="auto"/>
          </w:tcPr>
          <w:p w14:paraId="5EA25D73" w14:textId="77777777" w:rsidR="003C66EB" w:rsidRDefault="003C66EB">
            <w:pPr>
              <w:rPr>
                <w:rFonts w:ascii="宋体"/>
                <w:vanish/>
              </w:rPr>
            </w:pPr>
          </w:p>
        </w:tc>
        <w:tc>
          <w:tcPr>
            <w:tcW w:w="0" w:type="auto"/>
            <w:gridSpan w:val="3"/>
            <w:shd w:val="clear" w:color="auto" w:fill="auto"/>
          </w:tcPr>
          <w:p w14:paraId="5EA25D74" w14:textId="77777777" w:rsidR="003C66EB" w:rsidRDefault="003C66EB">
            <w:pPr>
              <w:rPr>
                <w:rFonts w:ascii="宋体"/>
                <w:vanish/>
              </w:rPr>
            </w:pPr>
          </w:p>
        </w:tc>
      </w:tr>
      <w:tr w:rsidR="003C66EB" w14:paraId="5EA25D88" w14:textId="77777777">
        <w:trPr>
          <w:hidden/>
        </w:trPr>
        <w:tc>
          <w:tcPr>
            <w:tcW w:w="0" w:type="auto"/>
            <w:gridSpan w:val="3"/>
            <w:shd w:val="clear" w:color="auto" w:fill="auto"/>
          </w:tcPr>
          <w:p w14:paraId="5EA25D76" w14:textId="77777777" w:rsidR="003C66EB" w:rsidRDefault="003C66EB">
            <w:pPr>
              <w:rPr>
                <w:rFonts w:ascii="宋体"/>
                <w:vanish/>
              </w:rPr>
            </w:pPr>
          </w:p>
        </w:tc>
        <w:tc>
          <w:tcPr>
            <w:tcW w:w="0" w:type="auto"/>
            <w:gridSpan w:val="3"/>
            <w:shd w:val="clear" w:color="auto" w:fill="auto"/>
          </w:tcPr>
          <w:p w14:paraId="5EA25D77" w14:textId="77777777" w:rsidR="003C66EB" w:rsidRDefault="003C66EB">
            <w:pPr>
              <w:rPr>
                <w:rFonts w:ascii="宋体"/>
                <w:vanish/>
              </w:rPr>
            </w:pPr>
          </w:p>
        </w:tc>
        <w:tc>
          <w:tcPr>
            <w:tcW w:w="0" w:type="auto"/>
            <w:gridSpan w:val="3"/>
            <w:shd w:val="clear" w:color="auto" w:fill="auto"/>
          </w:tcPr>
          <w:p w14:paraId="5EA25D78" w14:textId="77777777" w:rsidR="003C66EB" w:rsidRDefault="003C66EB">
            <w:pPr>
              <w:rPr>
                <w:rFonts w:ascii="宋体"/>
                <w:vanish/>
              </w:rPr>
            </w:pPr>
          </w:p>
        </w:tc>
        <w:tc>
          <w:tcPr>
            <w:tcW w:w="0" w:type="auto"/>
            <w:gridSpan w:val="3"/>
            <w:shd w:val="clear" w:color="auto" w:fill="auto"/>
          </w:tcPr>
          <w:p w14:paraId="5EA25D79" w14:textId="77777777" w:rsidR="003C66EB" w:rsidRDefault="003C66EB">
            <w:pPr>
              <w:rPr>
                <w:rFonts w:ascii="宋体"/>
                <w:vanish/>
              </w:rPr>
            </w:pPr>
          </w:p>
        </w:tc>
        <w:tc>
          <w:tcPr>
            <w:tcW w:w="0" w:type="auto"/>
            <w:gridSpan w:val="3"/>
            <w:shd w:val="clear" w:color="auto" w:fill="auto"/>
          </w:tcPr>
          <w:p w14:paraId="5EA25D7A" w14:textId="77777777" w:rsidR="003C66EB" w:rsidRDefault="003C66EB">
            <w:pPr>
              <w:rPr>
                <w:rFonts w:ascii="宋体"/>
                <w:vanish/>
              </w:rPr>
            </w:pPr>
          </w:p>
        </w:tc>
        <w:tc>
          <w:tcPr>
            <w:tcW w:w="0" w:type="auto"/>
            <w:gridSpan w:val="3"/>
            <w:shd w:val="clear" w:color="auto" w:fill="auto"/>
          </w:tcPr>
          <w:p w14:paraId="5EA25D7B" w14:textId="77777777" w:rsidR="003C66EB" w:rsidRDefault="003C66EB">
            <w:pPr>
              <w:rPr>
                <w:rFonts w:ascii="宋体"/>
                <w:vanish/>
              </w:rPr>
            </w:pPr>
          </w:p>
        </w:tc>
        <w:tc>
          <w:tcPr>
            <w:tcW w:w="0" w:type="auto"/>
            <w:gridSpan w:val="3"/>
            <w:shd w:val="clear" w:color="auto" w:fill="auto"/>
          </w:tcPr>
          <w:p w14:paraId="5EA25D7C" w14:textId="77777777" w:rsidR="003C66EB" w:rsidRDefault="003C66EB">
            <w:pPr>
              <w:rPr>
                <w:rFonts w:ascii="宋体"/>
                <w:vanish/>
              </w:rPr>
            </w:pPr>
          </w:p>
        </w:tc>
        <w:tc>
          <w:tcPr>
            <w:tcW w:w="0" w:type="auto"/>
            <w:gridSpan w:val="3"/>
            <w:shd w:val="clear" w:color="auto" w:fill="auto"/>
          </w:tcPr>
          <w:p w14:paraId="5EA25D7D" w14:textId="77777777" w:rsidR="003C66EB" w:rsidRDefault="003C66EB">
            <w:pPr>
              <w:rPr>
                <w:rFonts w:ascii="宋体"/>
                <w:vanish/>
              </w:rPr>
            </w:pPr>
          </w:p>
        </w:tc>
        <w:tc>
          <w:tcPr>
            <w:tcW w:w="0" w:type="auto"/>
            <w:gridSpan w:val="3"/>
            <w:shd w:val="clear" w:color="auto" w:fill="auto"/>
          </w:tcPr>
          <w:p w14:paraId="5EA25D7E" w14:textId="77777777" w:rsidR="003C66EB" w:rsidRDefault="003C66EB">
            <w:pPr>
              <w:rPr>
                <w:rFonts w:ascii="宋体"/>
                <w:vanish/>
              </w:rPr>
            </w:pPr>
          </w:p>
        </w:tc>
        <w:tc>
          <w:tcPr>
            <w:tcW w:w="0" w:type="auto"/>
            <w:gridSpan w:val="3"/>
            <w:shd w:val="clear" w:color="auto" w:fill="auto"/>
          </w:tcPr>
          <w:p w14:paraId="5EA25D7F" w14:textId="77777777" w:rsidR="003C66EB" w:rsidRDefault="003C66EB">
            <w:pPr>
              <w:rPr>
                <w:rFonts w:ascii="宋体"/>
                <w:vanish/>
              </w:rPr>
            </w:pPr>
          </w:p>
        </w:tc>
        <w:tc>
          <w:tcPr>
            <w:tcW w:w="0" w:type="auto"/>
            <w:gridSpan w:val="3"/>
            <w:shd w:val="clear" w:color="auto" w:fill="auto"/>
          </w:tcPr>
          <w:p w14:paraId="5EA25D80" w14:textId="77777777" w:rsidR="003C66EB" w:rsidRDefault="003C66EB">
            <w:pPr>
              <w:rPr>
                <w:rFonts w:ascii="宋体"/>
                <w:vanish/>
              </w:rPr>
            </w:pPr>
          </w:p>
        </w:tc>
        <w:tc>
          <w:tcPr>
            <w:tcW w:w="0" w:type="auto"/>
            <w:gridSpan w:val="3"/>
            <w:shd w:val="clear" w:color="auto" w:fill="auto"/>
          </w:tcPr>
          <w:p w14:paraId="5EA25D81" w14:textId="77777777" w:rsidR="003C66EB" w:rsidRDefault="003C66EB">
            <w:pPr>
              <w:rPr>
                <w:rFonts w:ascii="宋体"/>
                <w:vanish/>
              </w:rPr>
            </w:pPr>
          </w:p>
        </w:tc>
        <w:tc>
          <w:tcPr>
            <w:tcW w:w="0" w:type="auto"/>
            <w:gridSpan w:val="3"/>
            <w:shd w:val="clear" w:color="auto" w:fill="auto"/>
          </w:tcPr>
          <w:p w14:paraId="5EA25D82" w14:textId="77777777" w:rsidR="003C66EB" w:rsidRDefault="003C66EB">
            <w:pPr>
              <w:rPr>
                <w:rFonts w:ascii="宋体"/>
                <w:vanish/>
              </w:rPr>
            </w:pPr>
          </w:p>
        </w:tc>
        <w:tc>
          <w:tcPr>
            <w:tcW w:w="0" w:type="auto"/>
            <w:gridSpan w:val="3"/>
            <w:shd w:val="clear" w:color="auto" w:fill="auto"/>
          </w:tcPr>
          <w:p w14:paraId="5EA25D83" w14:textId="77777777" w:rsidR="003C66EB" w:rsidRDefault="003C66EB">
            <w:pPr>
              <w:rPr>
                <w:rFonts w:ascii="宋体"/>
                <w:vanish/>
              </w:rPr>
            </w:pPr>
          </w:p>
        </w:tc>
        <w:tc>
          <w:tcPr>
            <w:tcW w:w="0" w:type="auto"/>
            <w:gridSpan w:val="3"/>
            <w:shd w:val="clear" w:color="auto" w:fill="auto"/>
          </w:tcPr>
          <w:p w14:paraId="5EA25D84" w14:textId="77777777" w:rsidR="003C66EB" w:rsidRDefault="003C66EB">
            <w:pPr>
              <w:rPr>
                <w:rFonts w:ascii="宋体"/>
                <w:vanish/>
              </w:rPr>
            </w:pPr>
          </w:p>
        </w:tc>
        <w:tc>
          <w:tcPr>
            <w:tcW w:w="0" w:type="auto"/>
            <w:gridSpan w:val="3"/>
            <w:shd w:val="clear" w:color="auto" w:fill="auto"/>
          </w:tcPr>
          <w:p w14:paraId="5EA25D85" w14:textId="77777777" w:rsidR="003C66EB" w:rsidRDefault="003C66EB">
            <w:pPr>
              <w:rPr>
                <w:rFonts w:ascii="宋体"/>
                <w:vanish/>
              </w:rPr>
            </w:pPr>
          </w:p>
        </w:tc>
        <w:tc>
          <w:tcPr>
            <w:tcW w:w="0" w:type="auto"/>
            <w:gridSpan w:val="3"/>
            <w:shd w:val="clear" w:color="auto" w:fill="auto"/>
          </w:tcPr>
          <w:p w14:paraId="5EA25D86" w14:textId="77777777" w:rsidR="003C66EB" w:rsidRDefault="003C66EB">
            <w:pPr>
              <w:rPr>
                <w:rFonts w:ascii="宋体"/>
                <w:vanish/>
              </w:rPr>
            </w:pPr>
          </w:p>
        </w:tc>
        <w:tc>
          <w:tcPr>
            <w:tcW w:w="0" w:type="auto"/>
            <w:gridSpan w:val="3"/>
            <w:shd w:val="clear" w:color="auto" w:fill="auto"/>
          </w:tcPr>
          <w:p w14:paraId="5EA25D87" w14:textId="77777777" w:rsidR="003C66EB" w:rsidRDefault="003C66EB">
            <w:pPr>
              <w:rPr>
                <w:rFonts w:ascii="宋体"/>
                <w:vanish/>
              </w:rPr>
            </w:pPr>
          </w:p>
        </w:tc>
      </w:tr>
      <w:tr w:rsidR="003C66EB" w14:paraId="5EA25D9B" w14:textId="77777777">
        <w:trPr>
          <w:hidden/>
        </w:trPr>
        <w:tc>
          <w:tcPr>
            <w:tcW w:w="0" w:type="auto"/>
            <w:gridSpan w:val="3"/>
            <w:shd w:val="clear" w:color="auto" w:fill="auto"/>
          </w:tcPr>
          <w:p w14:paraId="5EA25D89" w14:textId="77777777" w:rsidR="003C66EB" w:rsidRDefault="003C66EB">
            <w:pPr>
              <w:rPr>
                <w:rFonts w:ascii="宋体"/>
                <w:vanish/>
              </w:rPr>
            </w:pPr>
          </w:p>
        </w:tc>
        <w:tc>
          <w:tcPr>
            <w:tcW w:w="0" w:type="auto"/>
            <w:gridSpan w:val="3"/>
            <w:shd w:val="clear" w:color="auto" w:fill="auto"/>
          </w:tcPr>
          <w:p w14:paraId="5EA25D8A" w14:textId="77777777" w:rsidR="003C66EB" w:rsidRDefault="003C66EB">
            <w:pPr>
              <w:rPr>
                <w:rFonts w:ascii="宋体"/>
                <w:vanish/>
              </w:rPr>
            </w:pPr>
          </w:p>
        </w:tc>
        <w:tc>
          <w:tcPr>
            <w:tcW w:w="0" w:type="auto"/>
            <w:gridSpan w:val="3"/>
            <w:shd w:val="clear" w:color="auto" w:fill="auto"/>
          </w:tcPr>
          <w:p w14:paraId="5EA25D8B" w14:textId="77777777" w:rsidR="003C66EB" w:rsidRDefault="003C66EB">
            <w:pPr>
              <w:rPr>
                <w:rFonts w:ascii="宋体"/>
                <w:vanish/>
              </w:rPr>
            </w:pPr>
          </w:p>
        </w:tc>
        <w:tc>
          <w:tcPr>
            <w:tcW w:w="0" w:type="auto"/>
            <w:gridSpan w:val="3"/>
            <w:shd w:val="clear" w:color="auto" w:fill="auto"/>
          </w:tcPr>
          <w:p w14:paraId="5EA25D8C" w14:textId="77777777" w:rsidR="003C66EB" w:rsidRDefault="003C66EB">
            <w:pPr>
              <w:rPr>
                <w:rFonts w:ascii="宋体"/>
                <w:vanish/>
              </w:rPr>
            </w:pPr>
          </w:p>
        </w:tc>
        <w:tc>
          <w:tcPr>
            <w:tcW w:w="0" w:type="auto"/>
            <w:gridSpan w:val="3"/>
            <w:shd w:val="clear" w:color="auto" w:fill="auto"/>
          </w:tcPr>
          <w:p w14:paraId="5EA25D8D" w14:textId="77777777" w:rsidR="003C66EB" w:rsidRDefault="003C66EB">
            <w:pPr>
              <w:rPr>
                <w:rFonts w:ascii="宋体"/>
                <w:vanish/>
              </w:rPr>
            </w:pPr>
          </w:p>
        </w:tc>
        <w:tc>
          <w:tcPr>
            <w:tcW w:w="0" w:type="auto"/>
            <w:gridSpan w:val="3"/>
            <w:shd w:val="clear" w:color="auto" w:fill="auto"/>
          </w:tcPr>
          <w:p w14:paraId="5EA25D8E" w14:textId="77777777" w:rsidR="003C66EB" w:rsidRDefault="003C66EB">
            <w:pPr>
              <w:rPr>
                <w:rFonts w:ascii="宋体"/>
                <w:vanish/>
              </w:rPr>
            </w:pPr>
          </w:p>
        </w:tc>
        <w:tc>
          <w:tcPr>
            <w:tcW w:w="0" w:type="auto"/>
            <w:gridSpan w:val="3"/>
            <w:shd w:val="clear" w:color="auto" w:fill="auto"/>
          </w:tcPr>
          <w:p w14:paraId="5EA25D8F" w14:textId="77777777" w:rsidR="003C66EB" w:rsidRDefault="003C66EB">
            <w:pPr>
              <w:rPr>
                <w:rFonts w:ascii="宋体"/>
                <w:vanish/>
              </w:rPr>
            </w:pPr>
          </w:p>
        </w:tc>
        <w:tc>
          <w:tcPr>
            <w:tcW w:w="0" w:type="auto"/>
            <w:gridSpan w:val="3"/>
            <w:shd w:val="clear" w:color="auto" w:fill="auto"/>
          </w:tcPr>
          <w:p w14:paraId="5EA25D90" w14:textId="77777777" w:rsidR="003C66EB" w:rsidRDefault="003C66EB">
            <w:pPr>
              <w:rPr>
                <w:rFonts w:ascii="宋体"/>
                <w:vanish/>
              </w:rPr>
            </w:pPr>
          </w:p>
        </w:tc>
        <w:tc>
          <w:tcPr>
            <w:tcW w:w="0" w:type="auto"/>
            <w:gridSpan w:val="3"/>
            <w:shd w:val="clear" w:color="auto" w:fill="auto"/>
          </w:tcPr>
          <w:p w14:paraId="5EA25D91" w14:textId="77777777" w:rsidR="003C66EB" w:rsidRDefault="003C66EB">
            <w:pPr>
              <w:rPr>
                <w:rFonts w:ascii="宋体"/>
                <w:vanish/>
              </w:rPr>
            </w:pPr>
          </w:p>
        </w:tc>
        <w:tc>
          <w:tcPr>
            <w:tcW w:w="0" w:type="auto"/>
            <w:gridSpan w:val="3"/>
            <w:shd w:val="clear" w:color="auto" w:fill="auto"/>
          </w:tcPr>
          <w:p w14:paraId="5EA25D92" w14:textId="77777777" w:rsidR="003C66EB" w:rsidRDefault="003C66EB">
            <w:pPr>
              <w:rPr>
                <w:rFonts w:ascii="宋体"/>
                <w:vanish/>
              </w:rPr>
            </w:pPr>
          </w:p>
        </w:tc>
        <w:tc>
          <w:tcPr>
            <w:tcW w:w="0" w:type="auto"/>
            <w:gridSpan w:val="3"/>
            <w:shd w:val="clear" w:color="auto" w:fill="auto"/>
          </w:tcPr>
          <w:p w14:paraId="5EA25D93" w14:textId="77777777" w:rsidR="003C66EB" w:rsidRDefault="003C66EB">
            <w:pPr>
              <w:rPr>
                <w:rFonts w:ascii="宋体"/>
                <w:vanish/>
              </w:rPr>
            </w:pPr>
          </w:p>
        </w:tc>
        <w:tc>
          <w:tcPr>
            <w:tcW w:w="0" w:type="auto"/>
            <w:gridSpan w:val="3"/>
            <w:shd w:val="clear" w:color="auto" w:fill="auto"/>
          </w:tcPr>
          <w:p w14:paraId="5EA25D94" w14:textId="77777777" w:rsidR="003C66EB" w:rsidRDefault="003C66EB">
            <w:pPr>
              <w:rPr>
                <w:rFonts w:ascii="宋体"/>
                <w:vanish/>
              </w:rPr>
            </w:pPr>
          </w:p>
        </w:tc>
        <w:tc>
          <w:tcPr>
            <w:tcW w:w="0" w:type="auto"/>
            <w:gridSpan w:val="3"/>
            <w:shd w:val="clear" w:color="auto" w:fill="auto"/>
          </w:tcPr>
          <w:p w14:paraId="5EA25D95" w14:textId="77777777" w:rsidR="003C66EB" w:rsidRDefault="003C66EB">
            <w:pPr>
              <w:rPr>
                <w:rFonts w:ascii="宋体"/>
                <w:vanish/>
              </w:rPr>
            </w:pPr>
          </w:p>
        </w:tc>
        <w:tc>
          <w:tcPr>
            <w:tcW w:w="0" w:type="auto"/>
            <w:gridSpan w:val="3"/>
            <w:shd w:val="clear" w:color="auto" w:fill="auto"/>
          </w:tcPr>
          <w:p w14:paraId="5EA25D96" w14:textId="77777777" w:rsidR="003C66EB" w:rsidRDefault="003C66EB">
            <w:pPr>
              <w:rPr>
                <w:rFonts w:ascii="宋体"/>
                <w:vanish/>
              </w:rPr>
            </w:pPr>
          </w:p>
        </w:tc>
        <w:tc>
          <w:tcPr>
            <w:tcW w:w="0" w:type="auto"/>
            <w:gridSpan w:val="3"/>
            <w:shd w:val="clear" w:color="auto" w:fill="auto"/>
          </w:tcPr>
          <w:p w14:paraId="5EA25D97" w14:textId="77777777" w:rsidR="003C66EB" w:rsidRDefault="003C66EB">
            <w:pPr>
              <w:rPr>
                <w:rFonts w:ascii="宋体"/>
                <w:vanish/>
              </w:rPr>
            </w:pPr>
          </w:p>
        </w:tc>
        <w:tc>
          <w:tcPr>
            <w:tcW w:w="0" w:type="auto"/>
            <w:gridSpan w:val="3"/>
            <w:shd w:val="clear" w:color="auto" w:fill="auto"/>
          </w:tcPr>
          <w:p w14:paraId="5EA25D98" w14:textId="77777777" w:rsidR="003C66EB" w:rsidRDefault="003C66EB">
            <w:pPr>
              <w:rPr>
                <w:rFonts w:ascii="宋体"/>
                <w:vanish/>
              </w:rPr>
            </w:pPr>
          </w:p>
        </w:tc>
        <w:tc>
          <w:tcPr>
            <w:tcW w:w="0" w:type="auto"/>
            <w:gridSpan w:val="3"/>
            <w:shd w:val="clear" w:color="auto" w:fill="auto"/>
          </w:tcPr>
          <w:p w14:paraId="5EA25D99" w14:textId="77777777" w:rsidR="003C66EB" w:rsidRDefault="003C66EB">
            <w:pPr>
              <w:rPr>
                <w:rFonts w:ascii="宋体"/>
                <w:vanish/>
              </w:rPr>
            </w:pPr>
          </w:p>
        </w:tc>
        <w:tc>
          <w:tcPr>
            <w:tcW w:w="0" w:type="auto"/>
            <w:gridSpan w:val="3"/>
            <w:shd w:val="clear" w:color="auto" w:fill="auto"/>
          </w:tcPr>
          <w:p w14:paraId="5EA25D9A" w14:textId="77777777" w:rsidR="003C66EB" w:rsidRDefault="003C66EB">
            <w:pPr>
              <w:rPr>
                <w:rFonts w:ascii="宋体"/>
                <w:vanish/>
              </w:rPr>
            </w:pPr>
          </w:p>
        </w:tc>
      </w:tr>
      <w:tr w:rsidR="003C66EB" w14:paraId="5EA25DAE" w14:textId="77777777">
        <w:trPr>
          <w:hidden/>
        </w:trPr>
        <w:tc>
          <w:tcPr>
            <w:tcW w:w="0" w:type="auto"/>
            <w:gridSpan w:val="3"/>
            <w:shd w:val="clear" w:color="auto" w:fill="auto"/>
          </w:tcPr>
          <w:p w14:paraId="5EA25D9C" w14:textId="77777777" w:rsidR="003C66EB" w:rsidRDefault="003C66EB">
            <w:pPr>
              <w:rPr>
                <w:rFonts w:ascii="宋体"/>
                <w:vanish/>
              </w:rPr>
            </w:pPr>
          </w:p>
        </w:tc>
        <w:tc>
          <w:tcPr>
            <w:tcW w:w="0" w:type="auto"/>
            <w:gridSpan w:val="3"/>
            <w:shd w:val="clear" w:color="auto" w:fill="auto"/>
          </w:tcPr>
          <w:p w14:paraId="5EA25D9D" w14:textId="77777777" w:rsidR="003C66EB" w:rsidRDefault="003C66EB">
            <w:pPr>
              <w:rPr>
                <w:rFonts w:ascii="宋体"/>
                <w:vanish/>
              </w:rPr>
            </w:pPr>
          </w:p>
        </w:tc>
        <w:tc>
          <w:tcPr>
            <w:tcW w:w="0" w:type="auto"/>
            <w:gridSpan w:val="3"/>
            <w:shd w:val="clear" w:color="auto" w:fill="auto"/>
          </w:tcPr>
          <w:p w14:paraId="5EA25D9E" w14:textId="77777777" w:rsidR="003C66EB" w:rsidRDefault="003C66EB">
            <w:pPr>
              <w:rPr>
                <w:rFonts w:ascii="宋体"/>
                <w:vanish/>
              </w:rPr>
            </w:pPr>
          </w:p>
        </w:tc>
        <w:tc>
          <w:tcPr>
            <w:tcW w:w="0" w:type="auto"/>
            <w:gridSpan w:val="3"/>
            <w:shd w:val="clear" w:color="auto" w:fill="auto"/>
          </w:tcPr>
          <w:p w14:paraId="5EA25D9F" w14:textId="77777777" w:rsidR="003C66EB" w:rsidRDefault="003C66EB">
            <w:pPr>
              <w:rPr>
                <w:rFonts w:ascii="宋体"/>
                <w:vanish/>
              </w:rPr>
            </w:pPr>
          </w:p>
        </w:tc>
        <w:tc>
          <w:tcPr>
            <w:tcW w:w="0" w:type="auto"/>
            <w:gridSpan w:val="3"/>
            <w:shd w:val="clear" w:color="auto" w:fill="auto"/>
          </w:tcPr>
          <w:p w14:paraId="5EA25DA0" w14:textId="77777777" w:rsidR="003C66EB" w:rsidRDefault="003C66EB">
            <w:pPr>
              <w:rPr>
                <w:rFonts w:ascii="宋体"/>
                <w:vanish/>
              </w:rPr>
            </w:pPr>
          </w:p>
        </w:tc>
        <w:tc>
          <w:tcPr>
            <w:tcW w:w="0" w:type="auto"/>
            <w:gridSpan w:val="3"/>
            <w:shd w:val="clear" w:color="auto" w:fill="auto"/>
          </w:tcPr>
          <w:p w14:paraId="5EA25DA1" w14:textId="77777777" w:rsidR="003C66EB" w:rsidRDefault="003C66EB">
            <w:pPr>
              <w:rPr>
                <w:rFonts w:ascii="宋体"/>
                <w:vanish/>
              </w:rPr>
            </w:pPr>
          </w:p>
        </w:tc>
        <w:tc>
          <w:tcPr>
            <w:tcW w:w="0" w:type="auto"/>
            <w:gridSpan w:val="3"/>
            <w:shd w:val="clear" w:color="auto" w:fill="auto"/>
          </w:tcPr>
          <w:p w14:paraId="5EA25DA2" w14:textId="77777777" w:rsidR="003C66EB" w:rsidRDefault="003C66EB">
            <w:pPr>
              <w:rPr>
                <w:rFonts w:ascii="宋体"/>
                <w:vanish/>
              </w:rPr>
            </w:pPr>
          </w:p>
        </w:tc>
        <w:tc>
          <w:tcPr>
            <w:tcW w:w="0" w:type="auto"/>
            <w:gridSpan w:val="3"/>
            <w:shd w:val="clear" w:color="auto" w:fill="auto"/>
          </w:tcPr>
          <w:p w14:paraId="5EA25DA3" w14:textId="77777777" w:rsidR="003C66EB" w:rsidRDefault="003C66EB">
            <w:pPr>
              <w:rPr>
                <w:rFonts w:ascii="宋体"/>
                <w:vanish/>
              </w:rPr>
            </w:pPr>
          </w:p>
        </w:tc>
        <w:tc>
          <w:tcPr>
            <w:tcW w:w="0" w:type="auto"/>
            <w:gridSpan w:val="3"/>
            <w:shd w:val="clear" w:color="auto" w:fill="auto"/>
          </w:tcPr>
          <w:p w14:paraId="5EA25DA4" w14:textId="77777777" w:rsidR="003C66EB" w:rsidRDefault="003C66EB">
            <w:pPr>
              <w:rPr>
                <w:rFonts w:ascii="宋体"/>
                <w:vanish/>
              </w:rPr>
            </w:pPr>
          </w:p>
        </w:tc>
        <w:tc>
          <w:tcPr>
            <w:tcW w:w="0" w:type="auto"/>
            <w:gridSpan w:val="3"/>
            <w:shd w:val="clear" w:color="auto" w:fill="auto"/>
          </w:tcPr>
          <w:p w14:paraId="5EA25DA5" w14:textId="77777777" w:rsidR="003C66EB" w:rsidRDefault="003C66EB">
            <w:pPr>
              <w:rPr>
                <w:rFonts w:ascii="宋体"/>
                <w:vanish/>
              </w:rPr>
            </w:pPr>
          </w:p>
        </w:tc>
        <w:tc>
          <w:tcPr>
            <w:tcW w:w="0" w:type="auto"/>
            <w:gridSpan w:val="3"/>
            <w:shd w:val="clear" w:color="auto" w:fill="auto"/>
          </w:tcPr>
          <w:p w14:paraId="5EA25DA6" w14:textId="77777777" w:rsidR="003C66EB" w:rsidRDefault="003C66EB">
            <w:pPr>
              <w:rPr>
                <w:rFonts w:ascii="宋体"/>
                <w:vanish/>
              </w:rPr>
            </w:pPr>
          </w:p>
        </w:tc>
        <w:tc>
          <w:tcPr>
            <w:tcW w:w="0" w:type="auto"/>
            <w:gridSpan w:val="3"/>
            <w:shd w:val="clear" w:color="auto" w:fill="auto"/>
          </w:tcPr>
          <w:p w14:paraId="5EA25DA7" w14:textId="77777777" w:rsidR="003C66EB" w:rsidRDefault="003C66EB">
            <w:pPr>
              <w:rPr>
                <w:rFonts w:ascii="宋体"/>
                <w:vanish/>
              </w:rPr>
            </w:pPr>
          </w:p>
        </w:tc>
        <w:tc>
          <w:tcPr>
            <w:tcW w:w="0" w:type="auto"/>
            <w:gridSpan w:val="3"/>
            <w:shd w:val="clear" w:color="auto" w:fill="auto"/>
          </w:tcPr>
          <w:p w14:paraId="5EA25DA8" w14:textId="77777777" w:rsidR="003C66EB" w:rsidRDefault="003C66EB">
            <w:pPr>
              <w:rPr>
                <w:rFonts w:ascii="宋体"/>
                <w:vanish/>
              </w:rPr>
            </w:pPr>
          </w:p>
        </w:tc>
        <w:tc>
          <w:tcPr>
            <w:tcW w:w="0" w:type="auto"/>
            <w:gridSpan w:val="3"/>
            <w:shd w:val="clear" w:color="auto" w:fill="auto"/>
          </w:tcPr>
          <w:p w14:paraId="5EA25DA9" w14:textId="77777777" w:rsidR="003C66EB" w:rsidRDefault="003C66EB">
            <w:pPr>
              <w:rPr>
                <w:rFonts w:ascii="宋体"/>
                <w:vanish/>
              </w:rPr>
            </w:pPr>
          </w:p>
        </w:tc>
        <w:tc>
          <w:tcPr>
            <w:tcW w:w="0" w:type="auto"/>
            <w:gridSpan w:val="3"/>
            <w:shd w:val="clear" w:color="auto" w:fill="auto"/>
          </w:tcPr>
          <w:p w14:paraId="5EA25DAA" w14:textId="77777777" w:rsidR="003C66EB" w:rsidRDefault="003C66EB">
            <w:pPr>
              <w:rPr>
                <w:rFonts w:ascii="宋体"/>
                <w:vanish/>
              </w:rPr>
            </w:pPr>
          </w:p>
        </w:tc>
        <w:tc>
          <w:tcPr>
            <w:tcW w:w="0" w:type="auto"/>
            <w:gridSpan w:val="3"/>
            <w:shd w:val="clear" w:color="auto" w:fill="auto"/>
          </w:tcPr>
          <w:p w14:paraId="5EA25DAB" w14:textId="77777777" w:rsidR="003C66EB" w:rsidRDefault="003C66EB">
            <w:pPr>
              <w:rPr>
                <w:rFonts w:ascii="宋体"/>
                <w:vanish/>
              </w:rPr>
            </w:pPr>
          </w:p>
        </w:tc>
        <w:tc>
          <w:tcPr>
            <w:tcW w:w="0" w:type="auto"/>
            <w:gridSpan w:val="3"/>
            <w:shd w:val="clear" w:color="auto" w:fill="auto"/>
          </w:tcPr>
          <w:p w14:paraId="5EA25DAC" w14:textId="77777777" w:rsidR="003C66EB" w:rsidRDefault="003C66EB">
            <w:pPr>
              <w:rPr>
                <w:rFonts w:ascii="宋体"/>
                <w:vanish/>
              </w:rPr>
            </w:pPr>
          </w:p>
        </w:tc>
        <w:tc>
          <w:tcPr>
            <w:tcW w:w="0" w:type="auto"/>
            <w:gridSpan w:val="3"/>
            <w:shd w:val="clear" w:color="auto" w:fill="auto"/>
          </w:tcPr>
          <w:p w14:paraId="5EA25DAD" w14:textId="77777777" w:rsidR="003C66EB" w:rsidRDefault="003C66EB">
            <w:pPr>
              <w:rPr>
                <w:rFonts w:ascii="宋体"/>
                <w:vanish/>
              </w:rPr>
            </w:pPr>
          </w:p>
        </w:tc>
      </w:tr>
      <w:tr w:rsidR="003C66EB" w14:paraId="5EA25DC1" w14:textId="77777777">
        <w:trPr>
          <w:hidden/>
        </w:trPr>
        <w:tc>
          <w:tcPr>
            <w:tcW w:w="0" w:type="auto"/>
            <w:gridSpan w:val="3"/>
            <w:shd w:val="clear" w:color="auto" w:fill="auto"/>
          </w:tcPr>
          <w:p w14:paraId="5EA25DAF" w14:textId="77777777" w:rsidR="003C66EB" w:rsidRDefault="003C66EB">
            <w:pPr>
              <w:rPr>
                <w:rFonts w:ascii="宋体"/>
                <w:vanish/>
              </w:rPr>
            </w:pPr>
          </w:p>
        </w:tc>
        <w:tc>
          <w:tcPr>
            <w:tcW w:w="0" w:type="auto"/>
            <w:gridSpan w:val="3"/>
            <w:shd w:val="clear" w:color="auto" w:fill="auto"/>
          </w:tcPr>
          <w:p w14:paraId="5EA25DB0" w14:textId="77777777" w:rsidR="003C66EB" w:rsidRDefault="003C66EB">
            <w:pPr>
              <w:rPr>
                <w:rFonts w:ascii="宋体"/>
                <w:vanish/>
              </w:rPr>
            </w:pPr>
          </w:p>
        </w:tc>
        <w:tc>
          <w:tcPr>
            <w:tcW w:w="0" w:type="auto"/>
            <w:gridSpan w:val="3"/>
            <w:shd w:val="clear" w:color="auto" w:fill="auto"/>
          </w:tcPr>
          <w:p w14:paraId="5EA25DB1" w14:textId="77777777" w:rsidR="003C66EB" w:rsidRDefault="003C66EB">
            <w:pPr>
              <w:rPr>
                <w:rFonts w:ascii="宋体"/>
                <w:vanish/>
              </w:rPr>
            </w:pPr>
          </w:p>
        </w:tc>
        <w:tc>
          <w:tcPr>
            <w:tcW w:w="0" w:type="auto"/>
            <w:gridSpan w:val="3"/>
            <w:shd w:val="clear" w:color="auto" w:fill="auto"/>
          </w:tcPr>
          <w:p w14:paraId="5EA25DB2" w14:textId="77777777" w:rsidR="003C66EB" w:rsidRDefault="003C66EB">
            <w:pPr>
              <w:rPr>
                <w:rFonts w:ascii="宋体"/>
                <w:vanish/>
              </w:rPr>
            </w:pPr>
          </w:p>
        </w:tc>
        <w:tc>
          <w:tcPr>
            <w:tcW w:w="0" w:type="auto"/>
            <w:gridSpan w:val="3"/>
            <w:shd w:val="clear" w:color="auto" w:fill="auto"/>
          </w:tcPr>
          <w:p w14:paraId="5EA25DB3" w14:textId="77777777" w:rsidR="003C66EB" w:rsidRDefault="003C66EB">
            <w:pPr>
              <w:rPr>
                <w:rFonts w:ascii="宋体"/>
                <w:vanish/>
              </w:rPr>
            </w:pPr>
          </w:p>
        </w:tc>
        <w:tc>
          <w:tcPr>
            <w:tcW w:w="0" w:type="auto"/>
            <w:gridSpan w:val="3"/>
            <w:shd w:val="clear" w:color="auto" w:fill="auto"/>
          </w:tcPr>
          <w:p w14:paraId="5EA25DB4" w14:textId="77777777" w:rsidR="003C66EB" w:rsidRDefault="003C66EB">
            <w:pPr>
              <w:rPr>
                <w:rFonts w:ascii="宋体"/>
                <w:vanish/>
              </w:rPr>
            </w:pPr>
          </w:p>
        </w:tc>
        <w:tc>
          <w:tcPr>
            <w:tcW w:w="0" w:type="auto"/>
            <w:gridSpan w:val="3"/>
            <w:shd w:val="clear" w:color="auto" w:fill="auto"/>
          </w:tcPr>
          <w:p w14:paraId="5EA25DB5" w14:textId="77777777" w:rsidR="003C66EB" w:rsidRDefault="003C66EB">
            <w:pPr>
              <w:rPr>
                <w:rFonts w:ascii="宋体"/>
                <w:vanish/>
              </w:rPr>
            </w:pPr>
          </w:p>
        </w:tc>
        <w:tc>
          <w:tcPr>
            <w:tcW w:w="0" w:type="auto"/>
            <w:gridSpan w:val="3"/>
            <w:shd w:val="clear" w:color="auto" w:fill="auto"/>
          </w:tcPr>
          <w:p w14:paraId="5EA25DB6" w14:textId="77777777" w:rsidR="003C66EB" w:rsidRDefault="003C66EB">
            <w:pPr>
              <w:rPr>
                <w:rFonts w:ascii="宋体"/>
                <w:vanish/>
              </w:rPr>
            </w:pPr>
          </w:p>
        </w:tc>
        <w:tc>
          <w:tcPr>
            <w:tcW w:w="0" w:type="auto"/>
            <w:gridSpan w:val="3"/>
            <w:shd w:val="clear" w:color="auto" w:fill="auto"/>
          </w:tcPr>
          <w:p w14:paraId="5EA25DB7" w14:textId="77777777" w:rsidR="003C66EB" w:rsidRDefault="003C66EB">
            <w:pPr>
              <w:rPr>
                <w:rFonts w:ascii="宋体"/>
                <w:vanish/>
              </w:rPr>
            </w:pPr>
          </w:p>
        </w:tc>
        <w:tc>
          <w:tcPr>
            <w:tcW w:w="0" w:type="auto"/>
            <w:gridSpan w:val="3"/>
            <w:shd w:val="clear" w:color="auto" w:fill="auto"/>
          </w:tcPr>
          <w:p w14:paraId="5EA25DB8" w14:textId="77777777" w:rsidR="003C66EB" w:rsidRDefault="003C66EB">
            <w:pPr>
              <w:rPr>
                <w:rFonts w:ascii="宋体"/>
                <w:vanish/>
              </w:rPr>
            </w:pPr>
          </w:p>
        </w:tc>
        <w:tc>
          <w:tcPr>
            <w:tcW w:w="0" w:type="auto"/>
            <w:gridSpan w:val="3"/>
            <w:shd w:val="clear" w:color="auto" w:fill="auto"/>
          </w:tcPr>
          <w:p w14:paraId="5EA25DB9" w14:textId="77777777" w:rsidR="003C66EB" w:rsidRDefault="003C66EB">
            <w:pPr>
              <w:rPr>
                <w:rFonts w:ascii="宋体"/>
                <w:vanish/>
              </w:rPr>
            </w:pPr>
          </w:p>
        </w:tc>
        <w:tc>
          <w:tcPr>
            <w:tcW w:w="0" w:type="auto"/>
            <w:gridSpan w:val="3"/>
            <w:shd w:val="clear" w:color="auto" w:fill="auto"/>
          </w:tcPr>
          <w:p w14:paraId="5EA25DBA" w14:textId="77777777" w:rsidR="003C66EB" w:rsidRDefault="003C66EB">
            <w:pPr>
              <w:rPr>
                <w:rFonts w:ascii="宋体"/>
                <w:vanish/>
              </w:rPr>
            </w:pPr>
          </w:p>
        </w:tc>
        <w:tc>
          <w:tcPr>
            <w:tcW w:w="0" w:type="auto"/>
            <w:gridSpan w:val="3"/>
            <w:shd w:val="clear" w:color="auto" w:fill="auto"/>
          </w:tcPr>
          <w:p w14:paraId="5EA25DBB" w14:textId="77777777" w:rsidR="003C66EB" w:rsidRDefault="003C66EB">
            <w:pPr>
              <w:rPr>
                <w:rFonts w:ascii="宋体"/>
                <w:vanish/>
              </w:rPr>
            </w:pPr>
          </w:p>
        </w:tc>
        <w:tc>
          <w:tcPr>
            <w:tcW w:w="0" w:type="auto"/>
            <w:gridSpan w:val="3"/>
            <w:shd w:val="clear" w:color="auto" w:fill="auto"/>
          </w:tcPr>
          <w:p w14:paraId="5EA25DBC" w14:textId="77777777" w:rsidR="003C66EB" w:rsidRDefault="003C66EB">
            <w:pPr>
              <w:rPr>
                <w:rFonts w:ascii="宋体"/>
                <w:vanish/>
              </w:rPr>
            </w:pPr>
          </w:p>
        </w:tc>
        <w:tc>
          <w:tcPr>
            <w:tcW w:w="0" w:type="auto"/>
            <w:gridSpan w:val="3"/>
            <w:shd w:val="clear" w:color="auto" w:fill="auto"/>
          </w:tcPr>
          <w:p w14:paraId="5EA25DBD" w14:textId="77777777" w:rsidR="003C66EB" w:rsidRDefault="003C66EB">
            <w:pPr>
              <w:rPr>
                <w:rFonts w:ascii="宋体"/>
                <w:vanish/>
              </w:rPr>
            </w:pPr>
          </w:p>
        </w:tc>
        <w:tc>
          <w:tcPr>
            <w:tcW w:w="0" w:type="auto"/>
            <w:gridSpan w:val="3"/>
            <w:shd w:val="clear" w:color="auto" w:fill="auto"/>
          </w:tcPr>
          <w:p w14:paraId="5EA25DBE" w14:textId="77777777" w:rsidR="003C66EB" w:rsidRDefault="003C66EB">
            <w:pPr>
              <w:rPr>
                <w:rFonts w:ascii="宋体"/>
                <w:vanish/>
              </w:rPr>
            </w:pPr>
          </w:p>
        </w:tc>
        <w:tc>
          <w:tcPr>
            <w:tcW w:w="0" w:type="auto"/>
            <w:gridSpan w:val="3"/>
            <w:shd w:val="clear" w:color="auto" w:fill="auto"/>
          </w:tcPr>
          <w:p w14:paraId="5EA25DBF" w14:textId="77777777" w:rsidR="003C66EB" w:rsidRDefault="003C66EB">
            <w:pPr>
              <w:rPr>
                <w:rFonts w:ascii="宋体"/>
                <w:vanish/>
              </w:rPr>
            </w:pPr>
          </w:p>
        </w:tc>
        <w:tc>
          <w:tcPr>
            <w:tcW w:w="0" w:type="auto"/>
            <w:gridSpan w:val="3"/>
            <w:shd w:val="clear" w:color="auto" w:fill="auto"/>
          </w:tcPr>
          <w:p w14:paraId="5EA25DC0" w14:textId="77777777" w:rsidR="003C66EB" w:rsidRDefault="003C66EB">
            <w:pPr>
              <w:rPr>
                <w:rFonts w:ascii="宋体"/>
                <w:vanish/>
              </w:rPr>
            </w:pPr>
          </w:p>
        </w:tc>
      </w:tr>
      <w:tr w:rsidR="003C66EB" w14:paraId="5EA25DD4" w14:textId="77777777">
        <w:trPr>
          <w:hidden/>
        </w:trPr>
        <w:tc>
          <w:tcPr>
            <w:tcW w:w="0" w:type="auto"/>
            <w:gridSpan w:val="3"/>
            <w:shd w:val="clear" w:color="auto" w:fill="auto"/>
          </w:tcPr>
          <w:p w14:paraId="5EA25DC2" w14:textId="77777777" w:rsidR="003C66EB" w:rsidRDefault="003C66EB">
            <w:pPr>
              <w:rPr>
                <w:rFonts w:ascii="宋体"/>
                <w:vanish/>
              </w:rPr>
            </w:pPr>
          </w:p>
        </w:tc>
        <w:tc>
          <w:tcPr>
            <w:tcW w:w="0" w:type="auto"/>
            <w:gridSpan w:val="3"/>
            <w:shd w:val="clear" w:color="auto" w:fill="auto"/>
          </w:tcPr>
          <w:p w14:paraId="5EA25DC3" w14:textId="77777777" w:rsidR="003C66EB" w:rsidRDefault="003C66EB">
            <w:pPr>
              <w:rPr>
                <w:rFonts w:ascii="宋体"/>
                <w:vanish/>
              </w:rPr>
            </w:pPr>
          </w:p>
        </w:tc>
        <w:tc>
          <w:tcPr>
            <w:tcW w:w="0" w:type="auto"/>
            <w:gridSpan w:val="3"/>
            <w:shd w:val="clear" w:color="auto" w:fill="auto"/>
          </w:tcPr>
          <w:p w14:paraId="5EA25DC4" w14:textId="77777777" w:rsidR="003C66EB" w:rsidRDefault="003C66EB">
            <w:pPr>
              <w:rPr>
                <w:rFonts w:ascii="宋体"/>
                <w:vanish/>
              </w:rPr>
            </w:pPr>
          </w:p>
        </w:tc>
        <w:tc>
          <w:tcPr>
            <w:tcW w:w="0" w:type="auto"/>
            <w:gridSpan w:val="3"/>
            <w:shd w:val="clear" w:color="auto" w:fill="auto"/>
          </w:tcPr>
          <w:p w14:paraId="5EA25DC5" w14:textId="77777777" w:rsidR="003C66EB" w:rsidRDefault="003C66EB">
            <w:pPr>
              <w:rPr>
                <w:rFonts w:ascii="宋体"/>
                <w:vanish/>
              </w:rPr>
            </w:pPr>
          </w:p>
        </w:tc>
        <w:tc>
          <w:tcPr>
            <w:tcW w:w="0" w:type="auto"/>
            <w:gridSpan w:val="3"/>
            <w:shd w:val="clear" w:color="auto" w:fill="auto"/>
          </w:tcPr>
          <w:p w14:paraId="5EA25DC6" w14:textId="77777777" w:rsidR="003C66EB" w:rsidRDefault="003C66EB">
            <w:pPr>
              <w:rPr>
                <w:rFonts w:ascii="宋体"/>
                <w:vanish/>
              </w:rPr>
            </w:pPr>
          </w:p>
        </w:tc>
        <w:tc>
          <w:tcPr>
            <w:tcW w:w="0" w:type="auto"/>
            <w:gridSpan w:val="3"/>
            <w:shd w:val="clear" w:color="auto" w:fill="auto"/>
          </w:tcPr>
          <w:p w14:paraId="5EA25DC7" w14:textId="77777777" w:rsidR="003C66EB" w:rsidRDefault="003C66EB">
            <w:pPr>
              <w:rPr>
                <w:rFonts w:ascii="宋体"/>
                <w:vanish/>
              </w:rPr>
            </w:pPr>
          </w:p>
        </w:tc>
        <w:tc>
          <w:tcPr>
            <w:tcW w:w="0" w:type="auto"/>
            <w:gridSpan w:val="3"/>
            <w:shd w:val="clear" w:color="auto" w:fill="auto"/>
          </w:tcPr>
          <w:p w14:paraId="5EA25DC8" w14:textId="77777777" w:rsidR="003C66EB" w:rsidRDefault="003C66EB">
            <w:pPr>
              <w:rPr>
                <w:rFonts w:ascii="宋体"/>
                <w:vanish/>
              </w:rPr>
            </w:pPr>
          </w:p>
        </w:tc>
        <w:tc>
          <w:tcPr>
            <w:tcW w:w="0" w:type="auto"/>
            <w:gridSpan w:val="3"/>
            <w:shd w:val="clear" w:color="auto" w:fill="auto"/>
          </w:tcPr>
          <w:p w14:paraId="5EA25DC9" w14:textId="77777777" w:rsidR="003C66EB" w:rsidRDefault="003C66EB">
            <w:pPr>
              <w:rPr>
                <w:rFonts w:ascii="宋体"/>
                <w:vanish/>
              </w:rPr>
            </w:pPr>
          </w:p>
        </w:tc>
        <w:tc>
          <w:tcPr>
            <w:tcW w:w="0" w:type="auto"/>
            <w:gridSpan w:val="3"/>
            <w:shd w:val="clear" w:color="auto" w:fill="auto"/>
          </w:tcPr>
          <w:p w14:paraId="5EA25DCA" w14:textId="77777777" w:rsidR="003C66EB" w:rsidRDefault="003C66EB">
            <w:pPr>
              <w:rPr>
                <w:rFonts w:ascii="宋体"/>
                <w:vanish/>
              </w:rPr>
            </w:pPr>
          </w:p>
        </w:tc>
        <w:tc>
          <w:tcPr>
            <w:tcW w:w="0" w:type="auto"/>
            <w:gridSpan w:val="3"/>
            <w:shd w:val="clear" w:color="auto" w:fill="auto"/>
          </w:tcPr>
          <w:p w14:paraId="5EA25DCB" w14:textId="77777777" w:rsidR="003C66EB" w:rsidRDefault="003C66EB">
            <w:pPr>
              <w:rPr>
                <w:rFonts w:ascii="宋体"/>
                <w:vanish/>
              </w:rPr>
            </w:pPr>
          </w:p>
        </w:tc>
        <w:tc>
          <w:tcPr>
            <w:tcW w:w="0" w:type="auto"/>
            <w:gridSpan w:val="3"/>
            <w:shd w:val="clear" w:color="auto" w:fill="auto"/>
          </w:tcPr>
          <w:p w14:paraId="5EA25DCC" w14:textId="77777777" w:rsidR="003C66EB" w:rsidRDefault="003C66EB">
            <w:pPr>
              <w:rPr>
                <w:rFonts w:ascii="宋体"/>
                <w:vanish/>
              </w:rPr>
            </w:pPr>
          </w:p>
        </w:tc>
        <w:tc>
          <w:tcPr>
            <w:tcW w:w="0" w:type="auto"/>
            <w:gridSpan w:val="3"/>
            <w:shd w:val="clear" w:color="auto" w:fill="auto"/>
          </w:tcPr>
          <w:p w14:paraId="5EA25DCD" w14:textId="77777777" w:rsidR="003C66EB" w:rsidRDefault="003C66EB">
            <w:pPr>
              <w:rPr>
                <w:rFonts w:ascii="宋体"/>
                <w:vanish/>
              </w:rPr>
            </w:pPr>
          </w:p>
        </w:tc>
        <w:tc>
          <w:tcPr>
            <w:tcW w:w="0" w:type="auto"/>
            <w:gridSpan w:val="3"/>
            <w:shd w:val="clear" w:color="auto" w:fill="auto"/>
          </w:tcPr>
          <w:p w14:paraId="5EA25DCE" w14:textId="77777777" w:rsidR="003C66EB" w:rsidRDefault="003C66EB">
            <w:pPr>
              <w:rPr>
                <w:rFonts w:ascii="宋体"/>
                <w:vanish/>
              </w:rPr>
            </w:pPr>
          </w:p>
        </w:tc>
        <w:tc>
          <w:tcPr>
            <w:tcW w:w="0" w:type="auto"/>
            <w:gridSpan w:val="3"/>
            <w:shd w:val="clear" w:color="auto" w:fill="auto"/>
          </w:tcPr>
          <w:p w14:paraId="5EA25DCF" w14:textId="77777777" w:rsidR="003C66EB" w:rsidRDefault="003C66EB">
            <w:pPr>
              <w:rPr>
                <w:rFonts w:ascii="宋体"/>
                <w:vanish/>
              </w:rPr>
            </w:pPr>
          </w:p>
        </w:tc>
        <w:tc>
          <w:tcPr>
            <w:tcW w:w="0" w:type="auto"/>
            <w:gridSpan w:val="3"/>
            <w:shd w:val="clear" w:color="auto" w:fill="auto"/>
          </w:tcPr>
          <w:p w14:paraId="5EA25DD0" w14:textId="77777777" w:rsidR="003C66EB" w:rsidRDefault="003C66EB">
            <w:pPr>
              <w:rPr>
                <w:rFonts w:ascii="宋体"/>
                <w:vanish/>
              </w:rPr>
            </w:pPr>
          </w:p>
        </w:tc>
        <w:tc>
          <w:tcPr>
            <w:tcW w:w="0" w:type="auto"/>
            <w:gridSpan w:val="3"/>
            <w:shd w:val="clear" w:color="auto" w:fill="auto"/>
          </w:tcPr>
          <w:p w14:paraId="5EA25DD1" w14:textId="77777777" w:rsidR="003C66EB" w:rsidRDefault="003C66EB">
            <w:pPr>
              <w:rPr>
                <w:rFonts w:ascii="宋体"/>
                <w:vanish/>
              </w:rPr>
            </w:pPr>
          </w:p>
        </w:tc>
        <w:tc>
          <w:tcPr>
            <w:tcW w:w="0" w:type="auto"/>
            <w:gridSpan w:val="3"/>
            <w:shd w:val="clear" w:color="auto" w:fill="auto"/>
          </w:tcPr>
          <w:p w14:paraId="5EA25DD2" w14:textId="77777777" w:rsidR="003C66EB" w:rsidRDefault="003C66EB">
            <w:pPr>
              <w:rPr>
                <w:rFonts w:ascii="宋体"/>
                <w:vanish/>
              </w:rPr>
            </w:pPr>
          </w:p>
        </w:tc>
        <w:tc>
          <w:tcPr>
            <w:tcW w:w="0" w:type="auto"/>
            <w:gridSpan w:val="3"/>
            <w:shd w:val="clear" w:color="auto" w:fill="auto"/>
          </w:tcPr>
          <w:p w14:paraId="5EA25DD3" w14:textId="77777777" w:rsidR="003C66EB" w:rsidRDefault="003C66EB">
            <w:pPr>
              <w:rPr>
                <w:rFonts w:ascii="宋体"/>
                <w:vanish/>
              </w:rPr>
            </w:pPr>
          </w:p>
        </w:tc>
      </w:tr>
    </w:tbl>
    <w:p w14:paraId="5EA25DD5" w14:textId="77777777" w:rsidR="003C66EB" w:rsidRDefault="003C66EB">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3C66EB" w14:paraId="5EA25DE5" w14:textId="77777777">
        <w:tc>
          <w:tcPr>
            <w:tcW w:w="20" w:type="dxa"/>
            <w:shd w:val="clear" w:color="auto" w:fill="auto"/>
          </w:tcPr>
          <w:p w14:paraId="5EA25DD6" w14:textId="77777777" w:rsidR="003C66EB" w:rsidRDefault="003C66EB">
            <w:pPr>
              <w:rPr>
                <w:rFonts w:ascii="宋体"/>
              </w:rPr>
            </w:pPr>
          </w:p>
        </w:tc>
        <w:tc>
          <w:tcPr>
            <w:tcW w:w="2840" w:type="dxa"/>
            <w:shd w:val="clear" w:color="auto" w:fill="auto"/>
          </w:tcPr>
          <w:p w14:paraId="5EA25DD7" w14:textId="77777777" w:rsidR="003C66EB" w:rsidRDefault="003C66EB">
            <w:pPr>
              <w:rPr>
                <w:rFonts w:ascii="宋体"/>
              </w:rPr>
            </w:pPr>
          </w:p>
        </w:tc>
        <w:tc>
          <w:tcPr>
            <w:tcW w:w="20" w:type="dxa"/>
            <w:shd w:val="clear" w:color="auto" w:fill="auto"/>
          </w:tcPr>
          <w:p w14:paraId="5EA25DD8" w14:textId="77777777" w:rsidR="003C66EB" w:rsidRDefault="003C66EB">
            <w:pPr>
              <w:rPr>
                <w:rFonts w:ascii="宋体"/>
              </w:rPr>
            </w:pPr>
          </w:p>
        </w:tc>
        <w:tc>
          <w:tcPr>
            <w:tcW w:w="20" w:type="dxa"/>
            <w:shd w:val="clear" w:color="auto" w:fill="auto"/>
          </w:tcPr>
          <w:p w14:paraId="5EA25DD9" w14:textId="77777777" w:rsidR="003C66EB" w:rsidRDefault="003C66EB">
            <w:pPr>
              <w:rPr>
                <w:rFonts w:ascii="宋体"/>
              </w:rPr>
            </w:pPr>
          </w:p>
        </w:tc>
        <w:tc>
          <w:tcPr>
            <w:tcW w:w="1475" w:type="dxa"/>
            <w:shd w:val="clear" w:color="auto" w:fill="auto"/>
          </w:tcPr>
          <w:p w14:paraId="5EA25DDA" w14:textId="77777777" w:rsidR="003C66EB" w:rsidRDefault="003C66EB">
            <w:pPr>
              <w:rPr>
                <w:rFonts w:ascii="宋体"/>
              </w:rPr>
            </w:pPr>
          </w:p>
        </w:tc>
        <w:tc>
          <w:tcPr>
            <w:tcW w:w="20" w:type="dxa"/>
            <w:shd w:val="clear" w:color="auto" w:fill="auto"/>
          </w:tcPr>
          <w:p w14:paraId="5EA25DDB" w14:textId="77777777" w:rsidR="003C66EB" w:rsidRDefault="003C66EB">
            <w:pPr>
              <w:rPr>
                <w:rFonts w:ascii="宋体"/>
              </w:rPr>
            </w:pPr>
          </w:p>
        </w:tc>
        <w:tc>
          <w:tcPr>
            <w:tcW w:w="20" w:type="dxa"/>
            <w:shd w:val="clear" w:color="auto" w:fill="auto"/>
          </w:tcPr>
          <w:p w14:paraId="5EA25DDC" w14:textId="77777777" w:rsidR="003C66EB" w:rsidRDefault="003C66EB">
            <w:pPr>
              <w:rPr>
                <w:rFonts w:ascii="宋体"/>
              </w:rPr>
            </w:pPr>
          </w:p>
        </w:tc>
        <w:tc>
          <w:tcPr>
            <w:tcW w:w="1460" w:type="dxa"/>
            <w:shd w:val="clear" w:color="auto" w:fill="auto"/>
          </w:tcPr>
          <w:p w14:paraId="5EA25DDD" w14:textId="77777777" w:rsidR="003C66EB" w:rsidRDefault="003C66EB">
            <w:pPr>
              <w:rPr>
                <w:rFonts w:ascii="宋体"/>
              </w:rPr>
            </w:pPr>
          </w:p>
        </w:tc>
        <w:tc>
          <w:tcPr>
            <w:tcW w:w="20" w:type="dxa"/>
            <w:shd w:val="clear" w:color="auto" w:fill="auto"/>
          </w:tcPr>
          <w:p w14:paraId="5EA25DDE" w14:textId="77777777" w:rsidR="003C66EB" w:rsidRDefault="003C66EB">
            <w:pPr>
              <w:rPr>
                <w:rFonts w:ascii="宋体"/>
              </w:rPr>
            </w:pPr>
          </w:p>
        </w:tc>
        <w:tc>
          <w:tcPr>
            <w:tcW w:w="20" w:type="dxa"/>
            <w:shd w:val="clear" w:color="auto" w:fill="auto"/>
          </w:tcPr>
          <w:p w14:paraId="5EA25DDF" w14:textId="77777777" w:rsidR="003C66EB" w:rsidRDefault="003C66EB">
            <w:pPr>
              <w:rPr>
                <w:rFonts w:ascii="宋体"/>
              </w:rPr>
            </w:pPr>
          </w:p>
        </w:tc>
        <w:tc>
          <w:tcPr>
            <w:tcW w:w="2540" w:type="dxa"/>
            <w:shd w:val="clear" w:color="auto" w:fill="auto"/>
          </w:tcPr>
          <w:p w14:paraId="5EA25DE0" w14:textId="77777777" w:rsidR="003C66EB" w:rsidRDefault="003C66EB">
            <w:pPr>
              <w:rPr>
                <w:rFonts w:ascii="宋体"/>
              </w:rPr>
            </w:pPr>
          </w:p>
        </w:tc>
        <w:tc>
          <w:tcPr>
            <w:tcW w:w="20" w:type="dxa"/>
            <w:shd w:val="clear" w:color="auto" w:fill="auto"/>
          </w:tcPr>
          <w:p w14:paraId="5EA25DE1" w14:textId="77777777" w:rsidR="003C66EB" w:rsidRDefault="003C66EB">
            <w:pPr>
              <w:rPr>
                <w:rFonts w:ascii="宋体"/>
              </w:rPr>
            </w:pPr>
          </w:p>
        </w:tc>
        <w:tc>
          <w:tcPr>
            <w:tcW w:w="20" w:type="dxa"/>
            <w:shd w:val="clear" w:color="auto" w:fill="auto"/>
          </w:tcPr>
          <w:p w14:paraId="5EA25DE2" w14:textId="77777777" w:rsidR="003C66EB" w:rsidRDefault="003C66EB">
            <w:pPr>
              <w:rPr>
                <w:rFonts w:ascii="宋体"/>
              </w:rPr>
            </w:pPr>
          </w:p>
        </w:tc>
        <w:tc>
          <w:tcPr>
            <w:tcW w:w="1745" w:type="dxa"/>
            <w:shd w:val="clear" w:color="auto" w:fill="auto"/>
          </w:tcPr>
          <w:p w14:paraId="5EA25DE3" w14:textId="77777777" w:rsidR="003C66EB" w:rsidRDefault="003C66EB">
            <w:pPr>
              <w:rPr>
                <w:rFonts w:ascii="宋体"/>
              </w:rPr>
            </w:pPr>
          </w:p>
        </w:tc>
        <w:tc>
          <w:tcPr>
            <w:tcW w:w="20" w:type="dxa"/>
            <w:shd w:val="clear" w:color="auto" w:fill="auto"/>
          </w:tcPr>
          <w:p w14:paraId="5EA25DE4" w14:textId="77777777" w:rsidR="003C66EB" w:rsidRDefault="003C66EB">
            <w:pPr>
              <w:rPr>
                <w:rFonts w:ascii="宋体"/>
              </w:rPr>
            </w:pPr>
          </w:p>
        </w:tc>
      </w:tr>
      <w:tr w:rsidR="003C66EB" w14:paraId="5EA25DE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DE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DE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DE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DE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DEA" w14:textId="77777777" w:rsidR="003C66EB" w:rsidRDefault="003C66EB">
            <w:pPr>
              <w:rPr>
                <w:rFonts w:ascii="宋体"/>
              </w:rPr>
            </w:pPr>
          </w:p>
        </w:tc>
      </w:tr>
    </w:tbl>
    <w:p w14:paraId="5EA25DEC" w14:textId="77777777" w:rsidR="003C66EB" w:rsidRDefault="00D96C4E">
      <w:pPr>
        <w:jc w:val="both"/>
      </w:pPr>
      <w:r>
        <w:rPr>
          <w:rFonts w:ascii="Arial" w:eastAsia="宋体" w:hAnsi="Arial" w:cs="Arial"/>
          <w:color w:val="000000"/>
          <w:sz w:val="9"/>
          <w:szCs w:val="9"/>
        </w:rPr>
        <w:t xml:space="preserve">(1) </w:t>
      </w:r>
      <w:r>
        <w:rPr>
          <w:rFonts w:ascii="Arial" w:eastAsia="宋体" w:hAnsi="Arial" w:cs="Arial"/>
          <w:color w:val="000000"/>
          <w:sz w:val="14"/>
          <w:szCs w:val="14"/>
        </w:rPr>
        <w:t>In the first quarter of 2021, approximately $12 million of net unrealized gains on AFS investment securities designated in fair value hedges was recognized in OCI compared to $7 million of net unrealized losses in the same period in 2020.</w:t>
      </w:r>
    </w:p>
    <w:p w14:paraId="5EA25DED" w14:textId="77777777" w:rsidR="003C66EB" w:rsidRDefault="00D96C4E">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70</w:t>
      </w:r>
    </w:p>
    <w:p w14:paraId="5EA25DEE" w14:textId="77777777" w:rsidR="003C66EB" w:rsidRDefault="003C66EB">
      <w:pPr>
        <w:ind w:firstLine="450"/>
        <w:jc w:val="center"/>
      </w:pPr>
    </w:p>
    <w:p w14:paraId="5EA25DEF" w14:textId="77777777" w:rsidR="003C66EB" w:rsidRDefault="00D96C4E">
      <w:r>
        <w:pict w14:anchorId="5EA287F6">
          <v:rect id="_x0000_i1094" style="width:415.3pt;height:1.5pt" o:hralign="center" o:hrstd="t" o:hr="t" fillcolor="#a0a0a0" stroked="f"/>
        </w:pict>
      </w:r>
    </w:p>
    <w:p w14:paraId="5EA25DF0" w14:textId="77777777" w:rsidR="003C66EB" w:rsidRDefault="00D96C4E">
      <w:pPr>
        <w:ind w:firstLine="450"/>
        <w:jc w:val="center"/>
      </w:pPr>
      <w:r>
        <w:rPr>
          <w:rFonts w:ascii="Arial" w:eastAsia="宋体" w:hAnsi="Arial" w:cs="Arial"/>
          <w:b/>
          <w:bCs/>
          <w:color w:val="000000"/>
          <w:sz w:val="20"/>
          <w:szCs w:val="20"/>
        </w:rPr>
        <w:t>STATE STREET CORPORATION</w:t>
      </w:r>
    </w:p>
    <w:p w14:paraId="5EA25DF1"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5DF2"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1491"/>
        <w:gridCol w:w="36"/>
        <w:gridCol w:w="99"/>
        <w:gridCol w:w="1011"/>
        <w:gridCol w:w="37"/>
        <w:gridCol w:w="37"/>
        <w:gridCol w:w="37"/>
        <w:gridCol w:w="37"/>
        <w:gridCol w:w="99"/>
        <w:gridCol w:w="977"/>
        <w:gridCol w:w="37"/>
        <w:gridCol w:w="46"/>
        <w:gridCol w:w="46"/>
        <w:gridCol w:w="36"/>
        <w:gridCol w:w="36"/>
        <w:gridCol w:w="36"/>
        <w:gridCol w:w="55"/>
        <w:gridCol w:w="1444"/>
        <w:gridCol w:w="36"/>
        <w:gridCol w:w="36"/>
        <w:gridCol w:w="36"/>
        <w:gridCol w:w="36"/>
        <w:gridCol w:w="99"/>
        <w:gridCol w:w="979"/>
        <w:gridCol w:w="37"/>
        <w:gridCol w:w="36"/>
        <w:gridCol w:w="36"/>
        <w:gridCol w:w="36"/>
        <w:gridCol w:w="99"/>
        <w:gridCol w:w="980"/>
        <w:gridCol w:w="36"/>
        <w:gridCol w:w="36"/>
        <w:gridCol w:w="36"/>
        <w:gridCol w:w="36"/>
        <w:gridCol w:w="36"/>
        <w:gridCol w:w="36"/>
        <w:gridCol w:w="36"/>
      </w:tblGrid>
      <w:tr w:rsidR="003C66EB" w14:paraId="5EA25E15" w14:textId="77777777">
        <w:tc>
          <w:tcPr>
            <w:tcW w:w="50" w:type="pct"/>
            <w:shd w:val="clear" w:color="auto" w:fill="auto"/>
          </w:tcPr>
          <w:p w14:paraId="5EA25DF3" w14:textId="77777777" w:rsidR="003C66EB" w:rsidRDefault="003C66EB">
            <w:pPr>
              <w:rPr>
                <w:rFonts w:ascii="宋体"/>
              </w:rPr>
            </w:pPr>
          </w:p>
        </w:tc>
        <w:tc>
          <w:tcPr>
            <w:tcW w:w="953" w:type="pct"/>
            <w:shd w:val="clear" w:color="auto" w:fill="auto"/>
          </w:tcPr>
          <w:p w14:paraId="5EA25DF4" w14:textId="77777777" w:rsidR="003C66EB" w:rsidRDefault="003C66EB">
            <w:pPr>
              <w:rPr>
                <w:rFonts w:ascii="宋体"/>
              </w:rPr>
            </w:pPr>
          </w:p>
        </w:tc>
        <w:tc>
          <w:tcPr>
            <w:tcW w:w="5" w:type="pct"/>
            <w:shd w:val="clear" w:color="auto" w:fill="auto"/>
          </w:tcPr>
          <w:p w14:paraId="5EA25DF5" w14:textId="77777777" w:rsidR="003C66EB" w:rsidRDefault="003C66EB">
            <w:pPr>
              <w:rPr>
                <w:rFonts w:ascii="宋体"/>
              </w:rPr>
            </w:pPr>
          </w:p>
        </w:tc>
        <w:tc>
          <w:tcPr>
            <w:tcW w:w="50" w:type="pct"/>
            <w:shd w:val="clear" w:color="auto" w:fill="auto"/>
          </w:tcPr>
          <w:p w14:paraId="5EA25DF6" w14:textId="77777777" w:rsidR="003C66EB" w:rsidRDefault="003C66EB">
            <w:pPr>
              <w:rPr>
                <w:rFonts w:ascii="宋体"/>
              </w:rPr>
            </w:pPr>
          </w:p>
        </w:tc>
        <w:tc>
          <w:tcPr>
            <w:tcW w:w="654" w:type="pct"/>
            <w:shd w:val="clear" w:color="auto" w:fill="auto"/>
          </w:tcPr>
          <w:p w14:paraId="5EA25DF7" w14:textId="77777777" w:rsidR="003C66EB" w:rsidRDefault="003C66EB">
            <w:pPr>
              <w:rPr>
                <w:rFonts w:ascii="宋体"/>
              </w:rPr>
            </w:pPr>
          </w:p>
        </w:tc>
        <w:tc>
          <w:tcPr>
            <w:tcW w:w="5" w:type="pct"/>
            <w:shd w:val="clear" w:color="auto" w:fill="auto"/>
          </w:tcPr>
          <w:p w14:paraId="5EA25DF8" w14:textId="77777777" w:rsidR="003C66EB" w:rsidRDefault="003C66EB">
            <w:pPr>
              <w:rPr>
                <w:rFonts w:ascii="宋体"/>
              </w:rPr>
            </w:pPr>
          </w:p>
        </w:tc>
        <w:tc>
          <w:tcPr>
            <w:tcW w:w="5" w:type="pct"/>
            <w:shd w:val="clear" w:color="auto" w:fill="auto"/>
          </w:tcPr>
          <w:p w14:paraId="5EA25DF9" w14:textId="77777777" w:rsidR="003C66EB" w:rsidRDefault="003C66EB">
            <w:pPr>
              <w:rPr>
                <w:rFonts w:ascii="宋体"/>
              </w:rPr>
            </w:pPr>
          </w:p>
        </w:tc>
        <w:tc>
          <w:tcPr>
            <w:tcW w:w="26" w:type="pct"/>
            <w:shd w:val="clear" w:color="auto" w:fill="auto"/>
          </w:tcPr>
          <w:p w14:paraId="5EA25DFA" w14:textId="77777777" w:rsidR="003C66EB" w:rsidRDefault="003C66EB">
            <w:pPr>
              <w:rPr>
                <w:rFonts w:ascii="宋体"/>
              </w:rPr>
            </w:pPr>
          </w:p>
        </w:tc>
        <w:tc>
          <w:tcPr>
            <w:tcW w:w="5" w:type="pct"/>
            <w:shd w:val="clear" w:color="auto" w:fill="auto"/>
          </w:tcPr>
          <w:p w14:paraId="5EA25DFB" w14:textId="77777777" w:rsidR="003C66EB" w:rsidRDefault="003C66EB">
            <w:pPr>
              <w:rPr>
                <w:rFonts w:ascii="宋体"/>
              </w:rPr>
            </w:pPr>
          </w:p>
        </w:tc>
        <w:tc>
          <w:tcPr>
            <w:tcW w:w="50" w:type="pct"/>
            <w:shd w:val="clear" w:color="auto" w:fill="auto"/>
          </w:tcPr>
          <w:p w14:paraId="5EA25DFC" w14:textId="77777777" w:rsidR="003C66EB" w:rsidRDefault="003C66EB">
            <w:pPr>
              <w:rPr>
                <w:rFonts w:ascii="宋体"/>
              </w:rPr>
            </w:pPr>
          </w:p>
        </w:tc>
        <w:tc>
          <w:tcPr>
            <w:tcW w:w="654" w:type="pct"/>
            <w:shd w:val="clear" w:color="auto" w:fill="auto"/>
          </w:tcPr>
          <w:p w14:paraId="5EA25DFD" w14:textId="77777777" w:rsidR="003C66EB" w:rsidRDefault="003C66EB">
            <w:pPr>
              <w:rPr>
                <w:rFonts w:ascii="宋体"/>
              </w:rPr>
            </w:pPr>
          </w:p>
        </w:tc>
        <w:tc>
          <w:tcPr>
            <w:tcW w:w="5" w:type="pct"/>
            <w:shd w:val="clear" w:color="auto" w:fill="auto"/>
          </w:tcPr>
          <w:p w14:paraId="5EA25DFE" w14:textId="77777777" w:rsidR="003C66EB" w:rsidRDefault="003C66EB">
            <w:pPr>
              <w:rPr>
                <w:rFonts w:ascii="宋体"/>
              </w:rPr>
            </w:pPr>
          </w:p>
        </w:tc>
        <w:tc>
          <w:tcPr>
            <w:tcW w:w="0" w:type="auto"/>
            <w:shd w:val="clear" w:color="auto" w:fill="auto"/>
          </w:tcPr>
          <w:p w14:paraId="5EA25DFF" w14:textId="77777777" w:rsidR="003C66EB" w:rsidRDefault="003C66EB">
            <w:pPr>
              <w:rPr>
                <w:rFonts w:ascii="宋体"/>
                <w:vanish/>
              </w:rPr>
            </w:pPr>
          </w:p>
        </w:tc>
        <w:tc>
          <w:tcPr>
            <w:tcW w:w="0" w:type="auto"/>
            <w:shd w:val="clear" w:color="auto" w:fill="auto"/>
          </w:tcPr>
          <w:p w14:paraId="5EA25E00" w14:textId="77777777" w:rsidR="003C66EB" w:rsidRDefault="003C66EB">
            <w:pPr>
              <w:rPr>
                <w:rFonts w:ascii="宋体"/>
                <w:vanish/>
              </w:rPr>
            </w:pPr>
          </w:p>
        </w:tc>
        <w:tc>
          <w:tcPr>
            <w:tcW w:w="5" w:type="pct"/>
            <w:shd w:val="clear" w:color="auto" w:fill="auto"/>
          </w:tcPr>
          <w:p w14:paraId="5EA25E01" w14:textId="77777777" w:rsidR="003C66EB" w:rsidRDefault="003C66EB">
            <w:pPr>
              <w:rPr>
                <w:rFonts w:ascii="宋体"/>
              </w:rPr>
            </w:pPr>
          </w:p>
        </w:tc>
        <w:tc>
          <w:tcPr>
            <w:tcW w:w="26" w:type="pct"/>
            <w:shd w:val="clear" w:color="auto" w:fill="auto"/>
          </w:tcPr>
          <w:p w14:paraId="5EA25E02" w14:textId="77777777" w:rsidR="003C66EB" w:rsidRDefault="003C66EB">
            <w:pPr>
              <w:rPr>
                <w:rFonts w:ascii="宋体"/>
              </w:rPr>
            </w:pPr>
          </w:p>
        </w:tc>
        <w:tc>
          <w:tcPr>
            <w:tcW w:w="5" w:type="pct"/>
            <w:shd w:val="clear" w:color="auto" w:fill="auto"/>
          </w:tcPr>
          <w:p w14:paraId="5EA25E03" w14:textId="77777777" w:rsidR="003C66EB" w:rsidRDefault="003C66EB">
            <w:pPr>
              <w:rPr>
                <w:rFonts w:ascii="宋体"/>
              </w:rPr>
            </w:pPr>
          </w:p>
        </w:tc>
        <w:tc>
          <w:tcPr>
            <w:tcW w:w="50" w:type="pct"/>
            <w:shd w:val="clear" w:color="auto" w:fill="auto"/>
          </w:tcPr>
          <w:p w14:paraId="5EA25E04" w14:textId="77777777" w:rsidR="003C66EB" w:rsidRDefault="003C66EB">
            <w:pPr>
              <w:rPr>
                <w:rFonts w:ascii="宋体"/>
              </w:rPr>
            </w:pPr>
          </w:p>
        </w:tc>
        <w:tc>
          <w:tcPr>
            <w:tcW w:w="953" w:type="pct"/>
            <w:shd w:val="clear" w:color="auto" w:fill="auto"/>
          </w:tcPr>
          <w:p w14:paraId="5EA25E05" w14:textId="77777777" w:rsidR="003C66EB" w:rsidRDefault="003C66EB">
            <w:pPr>
              <w:rPr>
                <w:rFonts w:ascii="宋体"/>
              </w:rPr>
            </w:pPr>
          </w:p>
        </w:tc>
        <w:tc>
          <w:tcPr>
            <w:tcW w:w="5" w:type="pct"/>
            <w:shd w:val="clear" w:color="auto" w:fill="auto"/>
          </w:tcPr>
          <w:p w14:paraId="5EA25E06" w14:textId="77777777" w:rsidR="003C66EB" w:rsidRDefault="003C66EB">
            <w:pPr>
              <w:rPr>
                <w:rFonts w:ascii="宋体"/>
              </w:rPr>
            </w:pPr>
          </w:p>
        </w:tc>
        <w:tc>
          <w:tcPr>
            <w:tcW w:w="5" w:type="pct"/>
            <w:shd w:val="clear" w:color="auto" w:fill="auto"/>
          </w:tcPr>
          <w:p w14:paraId="5EA25E07" w14:textId="77777777" w:rsidR="003C66EB" w:rsidRDefault="003C66EB">
            <w:pPr>
              <w:rPr>
                <w:rFonts w:ascii="宋体"/>
              </w:rPr>
            </w:pPr>
          </w:p>
        </w:tc>
        <w:tc>
          <w:tcPr>
            <w:tcW w:w="26" w:type="pct"/>
            <w:shd w:val="clear" w:color="auto" w:fill="auto"/>
          </w:tcPr>
          <w:p w14:paraId="5EA25E08" w14:textId="77777777" w:rsidR="003C66EB" w:rsidRDefault="003C66EB">
            <w:pPr>
              <w:rPr>
                <w:rFonts w:ascii="宋体"/>
              </w:rPr>
            </w:pPr>
          </w:p>
        </w:tc>
        <w:tc>
          <w:tcPr>
            <w:tcW w:w="5" w:type="pct"/>
            <w:shd w:val="clear" w:color="auto" w:fill="auto"/>
          </w:tcPr>
          <w:p w14:paraId="5EA25E09" w14:textId="77777777" w:rsidR="003C66EB" w:rsidRDefault="003C66EB">
            <w:pPr>
              <w:rPr>
                <w:rFonts w:ascii="宋体"/>
              </w:rPr>
            </w:pPr>
          </w:p>
        </w:tc>
        <w:tc>
          <w:tcPr>
            <w:tcW w:w="50" w:type="pct"/>
            <w:shd w:val="clear" w:color="auto" w:fill="auto"/>
          </w:tcPr>
          <w:p w14:paraId="5EA25E0A" w14:textId="77777777" w:rsidR="003C66EB" w:rsidRDefault="003C66EB">
            <w:pPr>
              <w:rPr>
                <w:rFonts w:ascii="宋体"/>
              </w:rPr>
            </w:pPr>
          </w:p>
        </w:tc>
        <w:tc>
          <w:tcPr>
            <w:tcW w:w="654" w:type="pct"/>
            <w:shd w:val="clear" w:color="auto" w:fill="auto"/>
          </w:tcPr>
          <w:p w14:paraId="5EA25E0B" w14:textId="77777777" w:rsidR="003C66EB" w:rsidRDefault="003C66EB">
            <w:pPr>
              <w:rPr>
                <w:rFonts w:ascii="宋体"/>
              </w:rPr>
            </w:pPr>
          </w:p>
        </w:tc>
        <w:tc>
          <w:tcPr>
            <w:tcW w:w="5" w:type="pct"/>
            <w:shd w:val="clear" w:color="auto" w:fill="auto"/>
          </w:tcPr>
          <w:p w14:paraId="5EA25E0C" w14:textId="77777777" w:rsidR="003C66EB" w:rsidRDefault="003C66EB">
            <w:pPr>
              <w:rPr>
                <w:rFonts w:ascii="宋体"/>
              </w:rPr>
            </w:pPr>
          </w:p>
        </w:tc>
        <w:tc>
          <w:tcPr>
            <w:tcW w:w="5" w:type="pct"/>
            <w:shd w:val="clear" w:color="auto" w:fill="auto"/>
          </w:tcPr>
          <w:p w14:paraId="5EA25E0D" w14:textId="77777777" w:rsidR="003C66EB" w:rsidRDefault="003C66EB">
            <w:pPr>
              <w:rPr>
                <w:rFonts w:ascii="宋体"/>
              </w:rPr>
            </w:pPr>
          </w:p>
        </w:tc>
        <w:tc>
          <w:tcPr>
            <w:tcW w:w="26" w:type="pct"/>
            <w:shd w:val="clear" w:color="auto" w:fill="auto"/>
          </w:tcPr>
          <w:p w14:paraId="5EA25E0E" w14:textId="77777777" w:rsidR="003C66EB" w:rsidRDefault="003C66EB">
            <w:pPr>
              <w:rPr>
                <w:rFonts w:ascii="宋体"/>
              </w:rPr>
            </w:pPr>
          </w:p>
        </w:tc>
        <w:tc>
          <w:tcPr>
            <w:tcW w:w="5" w:type="pct"/>
            <w:shd w:val="clear" w:color="auto" w:fill="auto"/>
          </w:tcPr>
          <w:p w14:paraId="5EA25E0F" w14:textId="77777777" w:rsidR="003C66EB" w:rsidRDefault="003C66EB">
            <w:pPr>
              <w:rPr>
                <w:rFonts w:ascii="宋体"/>
              </w:rPr>
            </w:pPr>
          </w:p>
        </w:tc>
        <w:tc>
          <w:tcPr>
            <w:tcW w:w="50" w:type="pct"/>
            <w:shd w:val="clear" w:color="auto" w:fill="auto"/>
          </w:tcPr>
          <w:p w14:paraId="5EA25E10" w14:textId="77777777" w:rsidR="003C66EB" w:rsidRDefault="003C66EB">
            <w:pPr>
              <w:rPr>
                <w:rFonts w:ascii="宋体"/>
              </w:rPr>
            </w:pPr>
          </w:p>
        </w:tc>
        <w:tc>
          <w:tcPr>
            <w:tcW w:w="654" w:type="pct"/>
            <w:shd w:val="clear" w:color="auto" w:fill="auto"/>
          </w:tcPr>
          <w:p w14:paraId="5EA25E11" w14:textId="77777777" w:rsidR="003C66EB" w:rsidRDefault="003C66EB">
            <w:pPr>
              <w:rPr>
                <w:rFonts w:ascii="宋体"/>
              </w:rPr>
            </w:pPr>
          </w:p>
        </w:tc>
        <w:tc>
          <w:tcPr>
            <w:tcW w:w="5" w:type="pct"/>
            <w:shd w:val="clear" w:color="auto" w:fill="auto"/>
          </w:tcPr>
          <w:p w14:paraId="5EA25E12" w14:textId="77777777" w:rsidR="003C66EB" w:rsidRDefault="003C66EB">
            <w:pPr>
              <w:rPr>
                <w:rFonts w:ascii="宋体"/>
              </w:rPr>
            </w:pPr>
          </w:p>
        </w:tc>
        <w:tc>
          <w:tcPr>
            <w:tcW w:w="0" w:type="auto"/>
            <w:gridSpan w:val="3"/>
            <w:shd w:val="clear" w:color="auto" w:fill="auto"/>
          </w:tcPr>
          <w:p w14:paraId="5EA25E13" w14:textId="77777777" w:rsidR="003C66EB" w:rsidRDefault="003C66EB">
            <w:pPr>
              <w:rPr>
                <w:rFonts w:ascii="宋体"/>
                <w:vanish/>
              </w:rPr>
            </w:pPr>
          </w:p>
        </w:tc>
        <w:tc>
          <w:tcPr>
            <w:tcW w:w="0" w:type="auto"/>
            <w:gridSpan w:val="3"/>
            <w:shd w:val="clear" w:color="auto" w:fill="auto"/>
          </w:tcPr>
          <w:p w14:paraId="5EA25E14" w14:textId="77777777" w:rsidR="003C66EB" w:rsidRDefault="003C66EB">
            <w:pPr>
              <w:rPr>
                <w:rFonts w:ascii="宋体"/>
                <w:vanish/>
              </w:rPr>
            </w:pPr>
          </w:p>
        </w:tc>
      </w:tr>
      <w:tr w:rsidR="003C66EB" w14:paraId="5EA25E28" w14:textId="77777777">
        <w:tc>
          <w:tcPr>
            <w:tcW w:w="0" w:type="auto"/>
            <w:gridSpan w:val="3"/>
            <w:shd w:val="clear" w:color="auto" w:fill="auto"/>
            <w:tcMar>
              <w:top w:w="0" w:type="dxa"/>
              <w:left w:w="20" w:type="dxa"/>
              <w:bottom w:w="0" w:type="dxa"/>
              <w:right w:w="20" w:type="dxa"/>
            </w:tcMar>
          </w:tcPr>
          <w:p w14:paraId="5EA25E16"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5E17"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Mar>
              <w:top w:w="0" w:type="dxa"/>
              <w:left w:w="20" w:type="dxa"/>
              <w:bottom w:w="0" w:type="dxa"/>
              <w:right w:w="20" w:type="dxa"/>
            </w:tcMar>
          </w:tcPr>
          <w:p w14:paraId="5EA25E18" w14:textId="77777777" w:rsidR="003C66EB" w:rsidRDefault="003C66EB">
            <w:pPr>
              <w:rPr>
                <w:rFonts w:ascii="宋体"/>
              </w:rPr>
            </w:pPr>
          </w:p>
        </w:tc>
        <w:tc>
          <w:tcPr>
            <w:tcW w:w="0" w:type="auto"/>
            <w:shd w:val="clear" w:color="auto" w:fill="auto"/>
            <w:tcMar>
              <w:top w:w="0" w:type="dxa"/>
              <w:left w:w="20" w:type="dxa"/>
              <w:bottom w:w="0" w:type="dxa"/>
              <w:right w:w="20" w:type="dxa"/>
            </w:tcMar>
          </w:tcPr>
          <w:p w14:paraId="5EA25E1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1A"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5E1B"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Pr>
          <w:p w14:paraId="5EA25E1C" w14:textId="77777777" w:rsidR="003C66EB" w:rsidRDefault="003C66EB">
            <w:pPr>
              <w:rPr>
                <w:rFonts w:ascii="宋体"/>
              </w:rPr>
            </w:pPr>
          </w:p>
        </w:tc>
        <w:tc>
          <w:tcPr>
            <w:tcW w:w="0" w:type="auto"/>
            <w:shd w:val="clear" w:color="auto" w:fill="auto"/>
          </w:tcPr>
          <w:p w14:paraId="5EA25E1D" w14:textId="77777777" w:rsidR="003C66EB" w:rsidRDefault="003C66EB">
            <w:pPr>
              <w:rPr>
                <w:rFonts w:ascii="宋体"/>
              </w:rPr>
            </w:pPr>
          </w:p>
        </w:tc>
        <w:tc>
          <w:tcPr>
            <w:tcW w:w="0" w:type="auto"/>
            <w:shd w:val="clear" w:color="auto" w:fill="auto"/>
          </w:tcPr>
          <w:p w14:paraId="5EA25E1E" w14:textId="77777777" w:rsidR="003C66EB" w:rsidRDefault="003C66EB">
            <w:pPr>
              <w:rPr>
                <w:rFonts w:ascii="宋体"/>
              </w:rPr>
            </w:pPr>
          </w:p>
        </w:tc>
        <w:tc>
          <w:tcPr>
            <w:tcW w:w="0" w:type="auto"/>
            <w:shd w:val="clear" w:color="auto" w:fill="auto"/>
          </w:tcPr>
          <w:p w14:paraId="5EA25E1F" w14:textId="77777777" w:rsidR="003C66EB" w:rsidRDefault="003C66EB">
            <w:pPr>
              <w:rPr>
                <w:rFonts w:ascii="宋体"/>
              </w:rPr>
            </w:pPr>
          </w:p>
        </w:tc>
        <w:tc>
          <w:tcPr>
            <w:tcW w:w="0" w:type="auto"/>
            <w:shd w:val="clear" w:color="auto" w:fill="auto"/>
          </w:tcPr>
          <w:p w14:paraId="5EA25E20" w14:textId="77777777" w:rsidR="003C66EB" w:rsidRDefault="003C66EB">
            <w:pPr>
              <w:rPr>
                <w:rFonts w:ascii="宋体"/>
              </w:rPr>
            </w:pPr>
          </w:p>
        </w:tc>
        <w:tc>
          <w:tcPr>
            <w:tcW w:w="0" w:type="auto"/>
            <w:shd w:val="clear" w:color="auto" w:fill="auto"/>
          </w:tcPr>
          <w:p w14:paraId="5EA25E21" w14:textId="77777777" w:rsidR="003C66EB" w:rsidRDefault="003C66EB">
            <w:pPr>
              <w:rPr>
                <w:rFonts w:ascii="宋体"/>
              </w:rPr>
            </w:pPr>
          </w:p>
        </w:tc>
        <w:tc>
          <w:tcPr>
            <w:tcW w:w="0" w:type="auto"/>
            <w:shd w:val="clear" w:color="auto" w:fill="auto"/>
          </w:tcPr>
          <w:p w14:paraId="5EA25E22" w14:textId="77777777" w:rsidR="003C66EB" w:rsidRDefault="003C66EB">
            <w:pPr>
              <w:rPr>
                <w:rFonts w:ascii="宋体"/>
              </w:rPr>
            </w:pPr>
          </w:p>
        </w:tc>
        <w:tc>
          <w:tcPr>
            <w:tcW w:w="0" w:type="auto"/>
            <w:shd w:val="clear" w:color="auto" w:fill="auto"/>
          </w:tcPr>
          <w:p w14:paraId="5EA25E23" w14:textId="77777777" w:rsidR="003C66EB" w:rsidRDefault="003C66EB">
            <w:pPr>
              <w:rPr>
                <w:rFonts w:ascii="宋体"/>
              </w:rPr>
            </w:pPr>
          </w:p>
        </w:tc>
        <w:tc>
          <w:tcPr>
            <w:tcW w:w="0" w:type="auto"/>
            <w:shd w:val="clear" w:color="auto" w:fill="auto"/>
          </w:tcPr>
          <w:p w14:paraId="5EA25E24" w14:textId="77777777" w:rsidR="003C66EB" w:rsidRDefault="003C66EB">
            <w:pPr>
              <w:rPr>
                <w:rFonts w:ascii="宋体"/>
              </w:rPr>
            </w:pPr>
          </w:p>
        </w:tc>
        <w:tc>
          <w:tcPr>
            <w:tcW w:w="0" w:type="auto"/>
            <w:shd w:val="clear" w:color="auto" w:fill="auto"/>
          </w:tcPr>
          <w:p w14:paraId="5EA25E25" w14:textId="77777777" w:rsidR="003C66EB" w:rsidRDefault="003C66EB">
            <w:pPr>
              <w:rPr>
                <w:rFonts w:ascii="宋体"/>
              </w:rPr>
            </w:pPr>
          </w:p>
        </w:tc>
        <w:tc>
          <w:tcPr>
            <w:tcW w:w="0" w:type="auto"/>
            <w:shd w:val="clear" w:color="auto" w:fill="auto"/>
          </w:tcPr>
          <w:p w14:paraId="5EA25E26" w14:textId="77777777" w:rsidR="003C66EB" w:rsidRDefault="003C66EB">
            <w:pPr>
              <w:rPr>
                <w:rFonts w:ascii="宋体"/>
              </w:rPr>
            </w:pPr>
          </w:p>
        </w:tc>
        <w:tc>
          <w:tcPr>
            <w:tcW w:w="0" w:type="auto"/>
            <w:shd w:val="clear" w:color="auto" w:fill="auto"/>
          </w:tcPr>
          <w:p w14:paraId="5EA25E27" w14:textId="77777777" w:rsidR="003C66EB" w:rsidRDefault="003C66EB">
            <w:pPr>
              <w:rPr>
                <w:rFonts w:ascii="宋体"/>
              </w:rPr>
            </w:pPr>
          </w:p>
        </w:tc>
      </w:tr>
      <w:tr w:rsidR="003C66EB" w14:paraId="5EA25E37" w14:textId="77777777">
        <w:trPr>
          <w:trHeight w:val="240"/>
        </w:trPr>
        <w:tc>
          <w:tcPr>
            <w:tcW w:w="0" w:type="auto"/>
            <w:gridSpan w:val="3"/>
            <w:shd w:val="clear" w:color="auto" w:fill="auto"/>
            <w:tcMar>
              <w:top w:w="0" w:type="dxa"/>
              <w:left w:w="20" w:type="dxa"/>
              <w:bottom w:w="0" w:type="dxa"/>
              <w:right w:w="20" w:type="dxa"/>
            </w:tcMar>
          </w:tcPr>
          <w:p w14:paraId="5EA25E2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E2A"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5E2B"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5E2C" w14:textId="77777777" w:rsidR="003C66EB" w:rsidRDefault="00D96C4E">
            <w:pPr>
              <w:jc w:val="center"/>
              <w:textAlignment w:val="bottom"/>
            </w:pPr>
            <w:r>
              <w:rPr>
                <w:rFonts w:ascii="Arial" w:eastAsia="宋体" w:hAnsi="Arial" w:cs="Arial"/>
                <w:b/>
                <w:bCs/>
                <w:color w:val="000000"/>
                <w:sz w:val="14"/>
                <w:szCs w:val="14"/>
              </w:rPr>
              <w:t>2020</w:t>
            </w:r>
          </w:p>
        </w:tc>
        <w:tc>
          <w:tcPr>
            <w:tcW w:w="0" w:type="auto"/>
            <w:shd w:val="clear" w:color="auto" w:fill="auto"/>
          </w:tcPr>
          <w:p w14:paraId="5EA25E2D" w14:textId="77777777" w:rsidR="003C66EB" w:rsidRDefault="003C66EB">
            <w:pPr>
              <w:rPr>
                <w:rFonts w:ascii="宋体"/>
                <w:vanish/>
              </w:rPr>
            </w:pPr>
          </w:p>
        </w:tc>
        <w:tc>
          <w:tcPr>
            <w:tcW w:w="0" w:type="auto"/>
            <w:shd w:val="clear" w:color="auto" w:fill="auto"/>
          </w:tcPr>
          <w:p w14:paraId="5EA25E2E"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E2F" w14:textId="77777777" w:rsidR="003C66EB" w:rsidRDefault="003C66E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A25E30" w14:textId="77777777" w:rsidR="003C66EB" w:rsidRDefault="00D96C4E">
            <w:pPr>
              <w:jc w:val="center"/>
              <w:textAlignment w:val="bottom"/>
            </w:pPr>
            <w:r>
              <w:rPr>
                <w:rFonts w:ascii="Arial" w:eastAsia="宋体" w:hAnsi="Arial" w:cs="Arial"/>
                <w:b/>
                <w:bCs/>
                <w:color w:val="000000"/>
                <w:sz w:val="14"/>
                <w:szCs w:val="14"/>
              </w:rPr>
              <w:t xml:space="preserve">Location of Gain or (Loss) </w:t>
            </w:r>
            <w:r>
              <w:rPr>
                <w:rFonts w:ascii="Arial" w:eastAsia="宋体" w:hAnsi="Arial" w:cs="Arial"/>
                <w:b/>
                <w:bCs/>
                <w:color w:val="000000"/>
                <w:sz w:val="14"/>
                <w:szCs w:val="14"/>
              </w:rPr>
              <w:t>Reclassified from Accumulated Other Comprehensive Income into Income</w:t>
            </w:r>
          </w:p>
        </w:tc>
        <w:tc>
          <w:tcPr>
            <w:tcW w:w="0" w:type="auto"/>
            <w:gridSpan w:val="3"/>
            <w:shd w:val="clear" w:color="auto" w:fill="auto"/>
            <w:tcMar>
              <w:top w:w="0" w:type="dxa"/>
              <w:left w:w="20" w:type="dxa"/>
              <w:bottom w:w="0" w:type="dxa"/>
              <w:right w:w="20" w:type="dxa"/>
            </w:tcMar>
          </w:tcPr>
          <w:p w14:paraId="5EA25E3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5E32"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5E33"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5E34"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5EA25E35" w14:textId="77777777" w:rsidR="003C66EB" w:rsidRDefault="003C66EB">
            <w:pPr>
              <w:rPr>
                <w:rFonts w:ascii="宋体"/>
                <w:vanish/>
              </w:rPr>
            </w:pPr>
          </w:p>
        </w:tc>
        <w:tc>
          <w:tcPr>
            <w:tcW w:w="0" w:type="auto"/>
            <w:gridSpan w:val="3"/>
            <w:shd w:val="clear" w:color="auto" w:fill="auto"/>
          </w:tcPr>
          <w:p w14:paraId="5EA25E36" w14:textId="77777777" w:rsidR="003C66EB" w:rsidRDefault="003C66EB">
            <w:pPr>
              <w:rPr>
                <w:rFonts w:ascii="宋体"/>
                <w:vanish/>
              </w:rPr>
            </w:pPr>
          </w:p>
        </w:tc>
      </w:tr>
      <w:tr w:rsidR="003C66EB" w14:paraId="5EA25E4C" w14:textId="77777777">
        <w:trPr>
          <w:trHeight w:val="520"/>
        </w:trPr>
        <w:tc>
          <w:tcPr>
            <w:tcW w:w="0" w:type="auto"/>
            <w:gridSpan w:val="3"/>
            <w:shd w:val="clear" w:color="auto" w:fill="auto"/>
            <w:tcMar>
              <w:top w:w="40" w:type="dxa"/>
              <w:left w:w="20" w:type="dxa"/>
              <w:bottom w:w="40" w:type="dxa"/>
              <w:right w:w="20" w:type="dxa"/>
            </w:tcMar>
            <w:vAlign w:val="bottom"/>
          </w:tcPr>
          <w:p w14:paraId="5EA25E38"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E39" w14:textId="77777777" w:rsidR="003C66EB" w:rsidRDefault="00D96C4E">
            <w:pPr>
              <w:jc w:val="center"/>
              <w:textAlignment w:val="bottom"/>
            </w:pPr>
            <w:r>
              <w:rPr>
                <w:rFonts w:ascii="Arial" w:eastAsia="宋体" w:hAnsi="Arial" w:cs="Arial"/>
                <w:b/>
                <w:bCs/>
                <w:color w:val="000000"/>
                <w:sz w:val="14"/>
                <w:szCs w:val="14"/>
              </w:rPr>
              <w:t>Amount of Gain or (Loss) Recognized in Other Comprehensive Income on Derivative</w:t>
            </w:r>
          </w:p>
        </w:tc>
        <w:tc>
          <w:tcPr>
            <w:tcW w:w="0" w:type="auto"/>
            <w:shd w:val="clear" w:color="auto" w:fill="auto"/>
            <w:tcMar>
              <w:top w:w="0" w:type="dxa"/>
              <w:left w:w="20" w:type="dxa"/>
              <w:bottom w:w="0" w:type="dxa"/>
              <w:right w:w="20" w:type="dxa"/>
            </w:tcMar>
          </w:tcPr>
          <w:p w14:paraId="5EA25E3A" w14:textId="77777777" w:rsidR="003C66EB" w:rsidRDefault="003C66EB">
            <w:pPr>
              <w:rPr>
                <w:rFonts w:ascii="宋体"/>
              </w:rPr>
            </w:pPr>
          </w:p>
        </w:tc>
        <w:tc>
          <w:tcPr>
            <w:tcW w:w="0" w:type="auto"/>
            <w:shd w:val="clear" w:color="auto" w:fill="auto"/>
            <w:tcMar>
              <w:top w:w="0" w:type="dxa"/>
              <w:left w:w="20" w:type="dxa"/>
              <w:bottom w:w="0" w:type="dxa"/>
              <w:right w:w="20" w:type="dxa"/>
            </w:tcMar>
          </w:tcPr>
          <w:p w14:paraId="5EA25E3B"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5E3C" w14:textId="77777777" w:rsidR="003C66EB" w:rsidRDefault="00D96C4E">
            <w:pPr>
              <w:jc w:val="center"/>
              <w:textAlignment w:val="bottom"/>
            </w:pPr>
            <w:r>
              <w:rPr>
                <w:rFonts w:ascii="Arial" w:eastAsia="宋体" w:hAnsi="Arial" w:cs="Arial"/>
                <w:b/>
                <w:bCs/>
                <w:color w:val="000000"/>
                <w:sz w:val="14"/>
                <w:szCs w:val="14"/>
              </w:rPr>
              <w:t>Amount of Gain or (Loss) Reclassified from Accumulated</w:t>
            </w:r>
            <w:r>
              <w:rPr>
                <w:rFonts w:ascii="Arial" w:eastAsia="宋体" w:hAnsi="Arial" w:cs="Arial"/>
                <w:b/>
                <w:bCs/>
                <w:color w:val="000000"/>
                <w:sz w:val="14"/>
                <w:szCs w:val="14"/>
              </w:rPr>
              <w:t xml:space="preserve"> Other Comprehensive Income into Income</w:t>
            </w:r>
          </w:p>
        </w:tc>
        <w:tc>
          <w:tcPr>
            <w:tcW w:w="0" w:type="auto"/>
            <w:shd w:val="clear" w:color="auto" w:fill="auto"/>
          </w:tcPr>
          <w:p w14:paraId="5EA25E3D" w14:textId="77777777" w:rsidR="003C66EB" w:rsidRDefault="003C66EB">
            <w:pPr>
              <w:rPr>
                <w:rFonts w:ascii="宋体"/>
              </w:rPr>
            </w:pPr>
          </w:p>
        </w:tc>
        <w:tc>
          <w:tcPr>
            <w:tcW w:w="0" w:type="auto"/>
            <w:shd w:val="clear" w:color="auto" w:fill="auto"/>
          </w:tcPr>
          <w:p w14:paraId="5EA25E3E" w14:textId="77777777" w:rsidR="003C66EB" w:rsidRDefault="003C66EB">
            <w:pPr>
              <w:rPr>
                <w:rFonts w:ascii="宋体"/>
              </w:rPr>
            </w:pPr>
          </w:p>
        </w:tc>
        <w:tc>
          <w:tcPr>
            <w:tcW w:w="0" w:type="auto"/>
            <w:shd w:val="clear" w:color="auto" w:fill="auto"/>
          </w:tcPr>
          <w:p w14:paraId="5EA25E3F" w14:textId="77777777" w:rsidR="003C66EB" w:rsidRDefault="003C66EB">
            <w:pPr>
              <w:rPr>
                <w:rFonts w:ascii="宋体"/>
              </w:rPr>
            </w:pPr>
          </w:p>
        </w:tc>
        <w:tc>
          <w:tcPr>
            <w:tcW w:w="0" w:type="auto"/>
            <w:shd w:val="clear" w:color="auto" w:fill="auto"/>
          </w:tcPr>
          <w:p w14:paraId="5EA25E40" w14:textId="77777777" w:rsidR="003C66EB" w:rsidRDefault="003C66EB">
            <w:pPr>
              <w:rPr>
                <w:rFonts w:ascii="宋体"/>
              </w:rPr>
            </w:pPr>
          </w:p>
        </w:tc>
        <w:tc>
          <w:tcPr>
            <w:tcW w:w="0" w:type="auto"/>
            <w:shd w:val="clear" w:color="auto" w:fill="auto"/>
          </w:tcPr>
          <w:p w14:paraId="5EA25E41" w14:textId="77777777" w:rsidR="003C66EB" w:rsidRDefault="003C66EB">
            <w:pPr>
              <w:rPr>
                <w:rFonts w:ascii="宋体"/>
              </w:rPr>
            </w:pPr>
          </w:p>
        </w:tc>
        <w:tc>
          <w:tcPr>
            <w:tcW w:w="0" w:type="auto"/>
            <w:shd w:val="clear" w:color="auto" w:fill="auto"/>
          </w:tcPr>
          <w:p w14:paraId="5EA25E42" w14:textId="77777777" w:rsidR="003C66EB" w:rsidRDefault="003C66EB">
            <w:pPr>
              <w:rPr>
                <w:rFonts w:ascii="宋体"/>
              </w:rPr>
            </w:pPr>
          </w:p>
        </w:tc>
        <w:tc>
          <w:tcPr>
            <w:tcW w:w="0" w:type="auto"/>
            <w:shd w:val="clear" w:color="auto" w:fill="auto"/>
          </w:tcPr>
          <w:p w14:paraId="5EA25E43" w14:textId="77777777" w:rsidR="003C66EB" w:rsidRDefault="003C66EB">
            <w:pPr>
              <w:rPr>
                <w:rFonts w:ascii="宋体"/>
              </w:rPr>
            </w:pPr>
          </w:p>
        </w:tc>
        <w:tc>
          <w:tcPr>
            <w:tcW w:w="0" w:type="auto"/>
            <w:shd w:val="clear" w:color="auto" w:fill="auto"/>
          </w:tcPr>
          <w:p w14:paraId="5EA25E44" w14:textId="77777777" w:rsidR="003C66EB" w:rsidRDefault="003C66EB">
            <w:pPr>
              <w:rPr>
                <w:rFonts w:ascii="宋体"/>
              </w:rPr>
            </w:pPr>
          </w:p>
        </w:tc>
        <w:tc>
          <w:tcPr>
            <w:tcW w:w="0" w:type="auto"/>
            <w:shd w:val="clear" w:color="auto" w:fill="auto"/>
          </w:tcPr>
          <w:p w14:paraId="5EA25E45" w14:textId="77777777" w:rsidR="003C66EB" w:rsidRDefault="003C66EB">
            <w:pPr>
              <w:rPr>
                <w:rFonts w:ascii="宋体"/>
              </w:rPr>
            </w:pPr>
          </w:p>
        </w:tc>
        <w:tc>
          <w:tcPr>
            <w:tcW w:w="0" w:type="auto"/>
            <w:shd w:val="clear" w:color="auto" w:fill="auto"/>
          </w:tcPr>
          <w:p w14:paraId="5EA25E46" w14:textId="77777777" w:rsidR="003C66EB" w:rsidRDefault="003C66EB">
            <w:pPr>
              <w:rPr>
                <w:rFonts w:ascii="宋体"/>
              </w:rPr>
            </w:pPr>
          </w:p>
        </w:tc>
        <w:tc>
          <w:tcPr>
            <w:tcW w:w="0" w:type="auto"/>
            <w:shd w:val="clear" w:color="auto" w:fill="auto"/>
          </w:tcPr>
          <w:p w14:paraId="5EA25E47" w14:textId="77777777" w:rsidR="003C66EB" w:rsidRDefault="003C66EB">
            <w:pPr>
              <w:rPr>
                <w:rFonts w:ascii="宋体"/>
              </w:rPr>
            </w:pPr>
          </w:p>
        </w:tc>
        <w:tc>
          <w:tcPr>
            <w:tcW w:w="0" w:type="auto"/>
            <w:shd w:val="clear" w:color="auto" w:fill="auto"/>
          </w:tcPr>
          <w:p w14:paraId="5EA25E48" w14:textId="77777777" w:rsidR="003C66EB" w:rsidRDefault="003C66EB">
            <w:pPr>
              <w:rPr>
                <w:rFonts w:ascii="宋体"/>
              </w:rPr>
            </w:pPr>
          </w:p>
        </w:tc>
        <w:tc>
          <w:tcPr>
            <w:tcW w:w="0" w:type="auto"/>
            <w:shd w:val="clear" w:color="auto" w:fill="auto"/>
          </w:tcPr>
          <w:p w14:paraId="5EA25E49" w14:textId="77777777" w:rsidR="003C66EB" w:rsidRDefault="003C66EB">
            <w:pPr>
              <w:rPr>
                <w:rFonts w:ascii="宋体"/>
              </w:rPr>
            </w:pPr>
          </w:p>
        </w:tc>
        <w:tc>
          <w:tcPr>
            <w:tcW w:w="0" w:type="auto"/>
            <w:shd w:val="clear" w:color="auto" w:fill="auto"/>
          </w:tcPr>
          <w:p w14:paraId="5EA25E4A" w14:textId="77777777" w:rsidR="003C66EB" w:rsidRDefault="003C66EB">
            <w:pPr>
              <w:rPr>
                <w:rFonts w:ascii="宋体"/>
              </w:rPr>
            </w:pPr>
          </w:p>
        </w:tc>
        <w:tc>
          <w:tcPr>
            <w:tcW w:w="0" w:type="auto"/>
            <w:shd w:val="clear" w:color="auto" w:fill="auto"/>
          </w:tcPr>
          <w:p w14:paraId="5EA25E4B" w14:textId="77777777" w:rsidR="003C66EB" w:rsidRDefault="003C66EB">
            <w:pPr>
              <w:rPr>
                <w:rFonts w:ascii="宋体"/>
              </w:rPr>
            </w:pPr>
          </w:p>
        </w:tc>
      </w:tr>
      <w:tr w:rsidR="003C66EB" w14:paraId="5EA25E5B" w14:textId="77777777">
        <w:tc>
          <w:tcPr>
            <w:tcW w:w="0" w:type="auto"/>
            <w:gridSpan w:val="3"/>
            <w:shd w:val="clear" w:color="auto" w:fill="auto"/>
            <w:tcMar>
              <w:top w:w="40" w:type="dxa"/>
              <w:left w:w="20" w:type="dxa"/>
              <w:bottom w:w="40" w:type="dxa"/>
              <w:right w:w="20" w:type="dxa"/>
            </w:tcMar>
            <w:vAlign w:val="bottom"/>
          </w:tcPr>
          <w:p w14:paraId="5EA25E4D" w14:textId="77777777" w:rsidR="003C66EB" w:rsidRDefault="00D96C4E">
            <w:pPr>
              <w:textAlignment w:val="bottom"/>
            </w:pPr>
            <w:r>
              <w:rPr>
                <w:rFonts w:ascii="Arial" w:eastAsia="宋体" w:hAnsi="Arial" w:cs="Arial"/>
                <w:b/>
                <w:bCs/>
                <w:color w:val="000000"/>
                <w:sz w:val="14"/>
                <w:szCs w:val="14"/>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5EA25E4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4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50" w14:textId="77777777" w:rsidR="003C66EB" w:rsidRDefault="003C66EB">
            <w:pPr>
              <w:rPr>
                <w:rFonts w:ascii="宋体"/>
              </w:rPr>
            </w:pPr>
          </w:p>
        </w:tc>
        <w:tc>
          <w:tcPr>
            <w:tcW w:w="0" w:type="auto"/>
            <w:shd w:val="clear" w:color="auto" w:fill="auto"/>
          </w:tcPr>
          <w:p w14:paraId="5EA25E51" w14:textId="77777777" w:rsidR="003C66EB" w:rsidRDefault="003C66EB">
            <w:pPr>
              <w:rPr>
                <w:rFonts w:ascii="宋体"/>
                <w:vanish/>
              </w:rPr>
            </w:pPr>
          </w:p>
        </w:tc>
        <w:tc>
          <w:tcPr>
            <w:tcW w:w="0" w:type="auto"/>
            <w:shd w:val="clear" w:color="auto" w:fill="auto"/>
          </w:tcPr>
          <w:p w14:paraId="5EA25E52"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E5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5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5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5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5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58" w14:textId="77777777" w:rsidR="003C66EB" w:rsidRDefault="003C66EB">
            <w:pPr>
              <w:rPr>
                <w:rFonts w:ascii="宋体"/>
              </w:rPr>
            </w:pPr>
          </w:p>
        </w:tc>
        <w:tc>
          <w:tcPr>
            <w:tcW w:w="0" w:type="auto"/>
            <w:gridSpan w:val="3"/>
            <w:shd w:val="clear" w:color="auto" w:fill="auto"/>
          </w:tcPr>
          <w:p w14:paraId="5EA25E59" w14:textId="77777777" w:rsidR="003C66EB" w:rsidRDefault="003C66EB">
            <w:pPr>
              <w:rPr>
                <w:rFonts w:ascii="宋体"/>
                <w:vanish/>
              </w:rPr>
            </w:pPr>
          </w:p>
        </w:tc>
        <w:tc>
          <w:tcPr>
            <w:tcW w:w="0" w:type="auto"/>
            <w:gridSpan w:val="3"/>
            <w:shd w:val="clear" w:color="auto" w:fill="auto"/>
          </w:tcPr>
          <w:p w14:paraId="5EA25E5A" w14:textId="77777777" w:rsidR="003C66EB" w:rsidRDefault="003C66EB">
            <w:pPr>
              <w:rPr>
                <w:rFonts w:ascii="宋体"/>
                <w:vanish/>
              </w:rPr>
            </w:pPr>
          </w:p>
        </w:tc>
      </w:tr>
      <w:tr w:rsidR="003C66EB" w14:paraId="5EA25E72" w14:textId="77777777">
        <w:tc>
          <w:tcPr>
            <w:tcW w:w="0" w:type="auto"/>
            <w:gridSpan w:val="3"/>
            <w:shd w:val="clear" w:color="auto" w:fill="CCEEFF"/>
            <w:tcMar>
              <w:top w:w="40" w:type="dxa"/>
              <w:left w:w="20" w:type="dxa"/>
              <w:bottom w:w="40" w:type="dxa"/>
              <w:right w:w="20" w:type="dxa"/>
            </w:tcMar>
            <w:vAlign w:val="bottom"/>
          </w:tcPr>
          <w:p w14:paraId="5EA25E5C" w14:textId="77777777" w:rsidR="003C66EB" w:rsidRDefault="00D96C4E">
            <w:pPr>
              <w:textAlignment w:val="bottom"/>
            </w:pPr>
            <w:r>
              <w:rPr>
                <w:rFonts w:ascii="Arial" w:eastAsia="宋体" w:hAnsi="Arial" w:cs="Arial"/>
                <w:color w:val="000000"/>
                <w:sz w:val="14"/>
                <w:szCs w:val="14"/>
              </w:rPr>
              <w:t>Interest rate contracts</w:t>
            </w:r>
            <w:r>
              <w:rPr>
                <w:rFonts w:ascii="Arial" w:eastAsia="宋体" w:hAnsi="Arial" w:cs="Arial"/>
                <w:color w:val="000000"/>
                <w:sz w:val="9"/>
                <w:szCs w:val="9"/>
              </w:rPr>
              <w:t>(1)</w:t>
            </w:r>
          </w:p>
        </w:tc>
        <w:tc>
          <w:tcPr>
            <w:tcW w:w="0" w:type="auto"/>
            <w:shd w:val="clear" w:color="auto" w:fill="CCEEFF"/>
            <w:tcMar>
              <w:top w:w="40" w:type="dxa"/>
              <w:left w:w="20" w:type="dxa"/>
              <w:bottom w:w="40" w:type="dxa"/>
              <w:right w:w="0" w:type="dxa"/>
            </w:tcMar>
            <w:vAlign w:val="bottom"/>
          </w:tcPr>
          <w:p w14:paraId="5EA25E5D"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E5E" w14:textId="77777777" w:rsidR="003C66EB" w:rsidRDefault="00D96C4E">
            <w:pPr>
              <w:jc w:val="right"/>
              <w:textAlignment w:val="bottom"/>
            </w:pPr>
            <w:r>
              <w:rPr>
                <w:rFonts w:ascii="Arial" w:eastAsia="宋体" w:hAnsi="Arial" w:cs="Arial"/>
                <w:b/>
                <w:bCs/>
                <w:color w:val="000000"/>
                <w:sz w:val="14"/>
                <w:szCs w:val="14"/>
              </w:rPr>
              <w:t>(16)</w:t>
            </w:r>
          </w:p>
        </w:tc>
        <w:tc>
          <w:tcPr>
            <w:tcW w:w="0" w:type="auto"/>
            <w:shd w:val="clear" w:color="auto" w:fill="CCEEFF"/>
            <w:tcMar>
              <w:top w:w="40" w:type="dxa"/>
              <w:left w:w="0" w:type="dxa"/>
              <w:bottom w:w="40" w:type="dxa"/>
              <w:right w:w="20" w:type="dxa"/>
            </w:tcMar>
            <w:vAlign w:val="bottom"/>
          </w:tcPr>
          <w:p w14:paraId="5EA25E5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6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E61"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E62" w14:textId="77777777" w:rsidR="003C66EB" w:rsidRDefault="00D96C4E">
            <w:pPr>
              <w:jc w:val="right"/>
              <w:textAlignment w:val="bottom"/>
            </w:pPr>
            <w:r>
              <w:rPr>
                <w:rFonts w:ascii="Arial" w:eastAsia="宋体" w:hAnsi="Arial" w:cs="Arial"/>
                <w:color w:val="000000"/>
                <w:sz w:val="14"/>
                <w:szCs w:val="14"/>
              </w:rPr>
              <w:t>158 </w:t>
            </w:r>
          </w:p>
        </w:tc>
        <w:tc>
          <w:tcPr>
            <w:tcW w:w="0" w:type="auto"/>
            <w:shd w:val="clear" w:color="auto" w:fill="CCEEFF"/>
            <w:tcMar>
              <w:top w:w="40" w:type="dxa"/>
              <w:left w:w="0" w:type="dxa"/>
              <w:bottom w:w="40" w:type="dxa"/>
              <w:right w:w="20" w:type="dxa"/>
            </w:tcMar>
            <w:vAlign w:val="bottom"/>
          </w:tcPr>
          <w:p w14:paraId="5EA25E63" w14:textId="77777777" w:rsidR="003C66EB" w:rsidRDefault="003C66EB">
            <w:pPr>
              <w:jc w:val="right"/>
              <w:rPr>
                <w:rFonts w:ascii="宋体"/>
              </w:rPr>
            </w:pPr>
          </w:p>
        </w:tc>
        <w:tc>
          <w:tcPr>
            <w:tcW w:w="0" w:type="auto"/>
            <w:shd w:val="clear" w:color="auto" w:fill="auto"/>
          </w:tcPr>
          <w:p w14:paraId="5EA25E64" w14:textId="77777777" w:rsidR="003C66EB" w:rsidRDefault="003C66EB">
            <w:pPr>
              <w:rPr>
                <w:rFonts w:ascii="宋体"/>
                <w:vanish/>
              </w:rPr>
            </w:pPr>
          </w:p>
        </w:tc>
        <w:tc>
          <w:tcPr>
            <w:tcW w:w="0" w:type="auto"/>
            <w:shd w:val="clear" w:color="auto" w:fill="auto"/>
          </w:tcPr>
          <w:p w14:paraId="5EA25E65"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5E66"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5E67" w14:textId="77777777" w:rsidR="003C66EB" w:rsidRDefault="00D96C4E">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tcPr>
          <w:p w14:paraId="5EA25E6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E69"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E6A" w14:textId="77777777" w:rsidR="003C66EB" w:rsidRDefault="00D96C4E">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E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6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E6D"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E6E"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E6F" w14:textId="77777777" w:rsidR="003C66EB" w:rsidRDefault="003C66EB">
            <w:pPr>
              <w:jc w:val="right"/>
              <w:rPr>
                <w:rFonts w:ascii="宋体"/>
              </w:rPr>
            </w:pPr>
          </w:p>
        </w:tc>
        <w:tc>
          <w:tcPr>
            <w:tcW w:w="0" w:type="auto"/>
            <w:gridSpan w:val="3"/>
            <w:shd w:val="clear" w:color="auto" w:fill="auto"/>
          </w:tcPr>
          <w:p w14:paraId="5EA25E70" w14:textId="77777777" w:rsidR="003C66EB" w:rsidRDefault="003C66EB">
            <w:pPr>
              <w:rPr>
                <w:rFonts w:ascii="宋体"/>
                <w:vanish/>
              </w:rPr>
            </w:pPr>
          </w:p>
        </w:tc>
        <w:tc>
          <w:tcPr>
            <w:tcW w:w="0" w:type="auto"/>
            <w:gridSpan w:val="3"/>
            <w:shd w:val="clear" w:color="auto" w:fill="auto"/>
          </w:tcPr>
          <w:p w14:paraId="5EA25E71" w14:textId="77777777" w:rsidR="003C66EB" w:rsidRDefault="003C66EB">
            <w:pPr>
              <w:rPr>
                <w:rFonts w:ascii="宋体"/>
                <w:vanish/>
              </w:rPr>
            </w:pPr>
          </w:p>
        </w:tc>
      </w:tr>
      <w:tr w:rsidR="003C66EB" w14:paraId="5EA25E85" w14:textId="77777777">
        <w:tc>
          <w:tcPr>
            <w:tcW w:w="0" w:type="auto"/>
            <w:gridSpan w:val="3"/>
            <w:shd w:val="clear" w:color="auto" w:fill="FFFFFF"/>
            <w:tcMar>
              <w:top w:w="40" w:type="dxa"/>
              <w:left w:w="20" w:type="dxa"/>
              <w:bottom w:w="40" w:type="dxa"/>
              <w:right w:w="20" w:type="dxa"/>
            </w:tcMar>
            <w:vAlign w:val="bottom"/>
          </w:tcPr>
          <w:p w14:paraId="5EA25E73" w14:textId="77777777" w:rsidR="003C66EB" w:rsidRDefault="00D96C4E">
            <w:pPr>
              <w:textAlignment w:val="bottom"/>
            </w:pPr>
            <w:r>
              <w:rPr>
                <w:rFonts w:ascii="Arial" w:eastAsia="宋体" w:hAnsi="Arial" w:cs="Arial"/>
                <w:color w:val="000000"/>
                <w:sz w:val="14"/>
                <w:szCs w:val="14"/>
              </w:rPr>
              <w:t>Foreign exchange contracts</w:t>
            </w:r>
          </w:p>
        </w:tc>
        <w:tc>
          <w:tcPr>
            <w:tcW w:w="0" w:type="auto"/>
            <w:gridSpan w:val="2"/>
            <w:shd w:val="clear" w:color="auto" w:fill="FFFFFF"/>
            <w:tcMar>
              <w:top w:w="40" w:type="dxa"/>
              <w:left w:w="20" w:type="dxa"/>
              <w:bottom w:w="40" w:type="dxa"/>
              <w:right w:w="0" w:type="dxa"/>
            </w:tcMar>
            <w:vAlign w:val="bottom"/>
          </w:tcPr>
          <w:p w14:paraId="5EA25E74" w14:textId="77777777" w:rsidR="003C66EB" w:rsidRDefault="00D96C4E">
            <w:pPr>
              <w:jc w:val="right"/>
              <w:textAlignment w:val="bottom"/>
            </w:pPr>
            <w:r>
              <w:rPr>
                <w:rFonts w:ascii="Arial" w:eastAsia="宋体" w:hAnsi="Arial" w:cs="Arial"/>
                <w:b/>
                <w:bCs/>
                <w:color w:val="000000"/>
                <w:sz w:val="14"/>
                <w:szCs w:val="14"/>
              </w:rPr>
              <w:t>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E7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E7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E77"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5EA25E78" w14:textId="77777777" w:rsidR="003C66EB" w:rsidRDefault="003C66EB">
            <w:pPr>
              <w:jc w:val="right"/>
              <w:rPr>
                <w:rFonts w:ascii="宋体"/>
              </w:rPr>
            </w:pPr>
          </w:p>
        </w:tc>
        <w:tc>
          <w:tcPr>
            <w:tcW w:w="0" w:type="auto"/>
            <w:shd w:val="clear" w:color="auto" w:fill="auto"/>
          </w:tcPr>
          <w:p w14:paraId="5EA25E79" w14:textId="77777777" w:rsidR="003C66EB" w:rsidRDefault="003C66EB">
            <w:pPr>
              <w:rPr>
                <w:rFonts w:ascii="宋体"/>
                <w:vanish/>
              </w:rPr>
            </w:pPr>
          </w:p>
        </w:tc>
        <w:tc>
          <w:tcPr>
            <w:tcW w:w="0" w:type="auto"/>
            <w:shd w:val="clear" w:color="auto" w:fill="auto"/>
          </w:tcPr>
          <w:p w14:paraId="5EA25E7A"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5E7B"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bottom"/>
          </w:tcPr>
          <w:p w14:paraId="5EA25E7C" w14:textId="77777777" w:rsidR="003C66EB" w:rsidRDefault="00D96C4E">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tcPr>
          <w:p w14:paraId="5EA25E7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E7E" w14:textId="77777777" w:rsidR="003C66EB" w:rsidRDefault="00D96C4E">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5E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E8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5E81" w14:textId="77777777" w:rsidR="003C66EB" w:rsidRDefault="00D96C4E">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A25E82" w14:textId="77777777" w:rsidR="003C66EB" w:rsidRDefault="003C66EB">
            <w:pPr>
              <w:jc w:val="right"/>
              <w:rPr>
                <w:rFonts w:ascii="宋体"/>
              </w:rPr>
            </w:pPr>
          </w:p>
        </w:tc>
        <w:tc>
          <w:tcPr>
            <w:tcW w:w="0" w:type="auto"/>
            <w:gridSpan w:val="3"/>
            <w:shd w:val="clear" w:color="auto" w:fill="auto"/>
          </w:tcPr>
          <w:p w14:paraId="5EA25E83" w14:textId="77777777" w:rsidR="003C66EB" w:rsidRDefault="003C66EB">
            <w:pPr>
              <w:rPr>
                <w:rFonts w:ascii="宋体"/>
                <w:vanish/>
              </w:rPr>
            </w:pPr>
          </w:p>
        </w:tc>
        <w:tc>
          <w:tcPr>
            <w:tcW w:w="0" w:type="auto"/>
            <w:gridSpan w:val="3"/>
            <w:shd w:val="clear" w:color="auto" w:fill="auto"/>
          </w:tcPr>
          <w:p w14:paraId="5EA25E84" w14:textId="77777777" w:rsidR="003C66EB" w:rsidRDefault="003C66EB">
            <w:pPr>
              <w:rPr>
                <w:rFonts w:ascii="宋体"/>
                <w:vanish/>
              </w:rPr>
            </w:pPr>
          </w:p>
        </w:tc>
      </w:tr>
      <w:tr w:rsidR="003C66EB" w14:paraId="5EA25E9C" w14:textId="77777777">
        <w:tc>
          <w:tcPr>
            <w:tcW w:w="0" w:type="auto"/>
            <w:gridSpan w:val="3"/>
            <w:shd w:val="clear" w:color="auto" w:fill="CCEEFF"/>
            <w:tcMar>
              <w:top w:w="40" w:type="dxa"/>
              <w:left w:w="20" w:type="dxa"/>
              <w:bottom w:w="40" w:type="dxa"/>
              <w:right w:w="20" w:type="dxa"/>
            </w:tcMar>
            <w:vAlign w:val="bottom"/>
          </w:tcPr>
          <w:p w14:paraId="5EA25E86" w14:textId="77777777" w:rsidR="003C66EB" w:rsidRDefault="00D96C4E">
            <w:pPr>
              <w:textAlignment w:val="bottom"/>
            </w:pPr>
            <w:r>
              <w:rPr>
                <w:rFonts w:ascii="Arial" w:eastAsia="宋体" w:hAnsi="Arial" w:cs="Arial"/>
                <w:color w:val="000000"/>
                <w:sz w:val="14"/>
                <w:szCs w:val="14"/>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5E87"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E88" w14:textId="77777777" w:rsidR="003C66EB" w:rsidRDefault="00D96C4E">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E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8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E8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E8C" w14:textId="77777777" w:rsidR="003C66EB" w:rsidRDefault="00D96C4E">
            <w:pPr>
              <w:jc w:val="right"/>
              <w:textAlignment w:val="bottom"/>
            </w:pPr>
            <w:r>
              <w:rPr>
                <w:rFonts w:ascii="Arial" w:eastAsia="宋体" w:hAnsi="Arial" w:cs="Arial"/>
                <w:color w:val="000000"/>
                <w:sz w:val="14"/>
                <w:szCs w:val="14"/>
              </w:rPr>
              <w:t>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E8D" w14:textId="77777777" w:rsidR="003C66EB" w:rsidRDefault="003C66EB">
            <w:pPr>
              <w:jc w:val="right"/>
              <w:rPr>
                <w:rFonts w:ascii="宋体"/>
              </w:rPr>
            </w:pPr>
          </w:p>
        </w:tc>
        <w:tc>
          <w:tcPr>
            <w:tcW w:w="0" w:type="auto"/>
            <w:shd w:val="clear" w:color="auto" w:fill="auto"/>
          </w:tcPr>
          <w:p w14:paraId="5EA25E8E" w14:textId="77777777" w:rsidR="003C66EB" w:rsidRDefault="003C66EB">
            <w:pPr>
              <w:rPr>
                <w:rFonts w:ascii="宋体"/>
                <w:vanish/>
              </w:rPr>
            </w:pPr>
          </w:p>
        </w:tc>
        <w:tc>
          <w:tcPr>
            <w:tcW w:w="0" w:type="auto"/>
            <w:shd w:val="clear" w:color="auto" w:fill="auto"/>
          </w:tcPr>
          <w:p w14:paraId="5EA25E8F"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5E9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E9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E9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E9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E94" w14:textId="77777777" w:rsidR="003C66EB" w:rsidRDefault="00D96C4E">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E9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9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5E9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5E98" w14:textId="77777777" w:rsidR="003C66EB" w:rsidRDefault="00D96C4E">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5E99" w14:textId="77777777" w:rsidR="003C66EB" w:rsidRDefault="003C66EB">
            <w:pPr>
              <w:jc w:val="right"/>
              <w:rPr>
                <w:rFonts w:ascii="宋体"/>
              </w:rPr>
            </w:pPr>
          </w:p>
        </w:tc>
        <w:tc>
          <w:tcPr>
            <w:tcW w:w="0" w:type="auto"/>
            <w:gridSpan w:val="3"/>
            <w:shd w:val="clear" w:color="auto" w:fill="auto"/>
          </w:tcPr>
          <w:p w14:paraId="5EA25E9A" w14:textId="77777777" w:rsidR="003C66EB" w:rsidRDefault="003C66EB">
            <w:pPr>
              <w:rPr>
                <w:rFonts w:ascii="宋体"/>
                <w:vanish/>
              </w:rPr>
            </w:pPr>
          </w:p>
        </w:tc>
        <w:tc>
          <w:tcPr>
            <w:tcW w:w="0" w:type="auto"/>
            <w:gridSpan w:val="3"/>
            <w:shd w:val="clear" w:color="auto" w:fill="auto"/>
          </w:tcPr>
          <w:p w14:paraId="5EA25E9B" w14:textId="77777777" w:rsidR="003C66EB" w:rsidRDefault="003C66EB">
            <w:pPr>
              <w:rPr>
                <w:rFonts w:ascii="宋体"/>
                <w:vanish/>
              </w:rPr>
            </w:pPr>
          </w:p>
        </w:tc>
      </w:tr>
      <w:tr w:rsidR="003C66EB" w14:paraId="5EA25EAB" w14:textId="77777777">
        <w:trPr>
          <w:trHeight w:val="60"/>
        </w:trPr>
        <w:tc>
          <w:tcPr>
            <w:tcW w:w="0" w:type="auto"/>
            <w:gridSpan w:val="3"/>
            <w:shd w:val="clear" w:color="auto" w:fill="auto"/>
            <w:tcMar>
              <w:top w:w="0" w:type="dxa"/>
              <w:left w:w="20" w:type="dxa"/>
              <w:bottom w:w="0" w:type="dxa"/>
              <w:right w:w="20" w:type="dxa"/>
            </w:tcMar>
          </w:tcPr>
          <w:p w14:paraId="5EA25E9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9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A0" w14:textId="77777777" w:rsidR="003C66EB" w:rsidRDefault="003C66EB">
            <w:pPr>
              <w:rPr>
                <w:rFonts w:ascii="宋体"/>
              </w:rPr>
            </w:pPr>
          </w:p>
        </w:tc>
        <w:tc>
          <w:tcPr>
            <w:tcW w:w="0" w:type="auto"/>
            <w:shd w:val="clear" w:color="auto" w:fill="auto"/>
          </w:tcPr>
          <w:p w14:paraId="5EA25EA1" w14:textId="77777777" w:rsidR="003C66EB" w:rsidRDefault="003C66EB">
            <w:pPr>
              <w:rPr>
                <w:rFonts w:ascii="宋体"/>
                <w:vanish/>
              </w:rPr>
            </w:pPr>
          </w:p>
        </w:tc>
        <w:tc>
          <w:tcPr>
            <w:tcW w:w="0" w:type="auto"/>
            <w:shd w:val="clear" w:color="auto" w:fill="auto"/>
          </w:tcPr>
          <w:p w14:paraId="5EA25EA2"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E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A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A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A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5EA8" w14:textId="77777777" w:rsidR="003C66EB" w:rsidRDefault="003C66EB">
            <w:pPr>
              <w:rPr>
                <w:rFonts w:ascii="宋体"/>
              </w:rPr>
            </w:pPr>
          </w:p>
        </w:tc>
        <w:tc>
          <w:tcPr>
            <w:tcW w:w="0" w:type="auto"/>
            <w:gridSpan w:val="3"/>
            <w:shd w:val="clear" w:color="auto" w:fill="auto"/>
          </w:tcPr>
          <w:p w14:paraId="5EA25EA9" w14:textId="77777777" w:rsidR="003C66EB" w:rsidRDefault="003C66EB">
            <w:pPr>
              <w:rPr>
                <w:rFonts w:ascii="宋体"/>
                <w:vanish/>
              </w:rPr>
            </w:pPr>
          </w:p>
        </w:tc>
        <w:tc>
          <w:tcPr>
            <w:tcW w:w="0" w:type="auto"/>
            <w:gridSpan w:val="3"/>
            <w:shd w:val="clear" w:color="auto" w:fill="auto"/>
          </w:tcPr>
          <w:p w14:paraId="5EA25EAA" w14:textId="77777777" w:rsidR="003C66EB" w:rsidRDefault="003C66EB">
            <w:pPr>
              <w:rPr>
                <w:rFonts w:ascii="宋体"/>
                <w:vanish/>
              </w:rPr>
            </w:pPr>
          </w:p>
        </w:tc>
      </w:tr>
      <w:tr w:rsidR="003C66EB" w14:paraId="5EA25EBA" w14:textId="77777777">
        <w:tc>
          <w:tcPr>
            <w:tcW w:w="0" w:type="auto"/>
            <w:gridSpan w:val="3"/>
            <w:shd w:val="clear" w:color="auto" w:fill="auto"/>
            <w:tcMar>
              <w:top w:w="40" w:type="dxa"/>
              <w:left w:w="20" w:type="dxa"/>
              <w:bottom w:w="40" w:type="dxa"/>
              <w:right w:w="20" w:type="dxa"/>
            </w:tcMar>
            <w:vAlign w:val="bottom"/>
          </w:tcPr>
          <w:p w14:paraId="5EA25EAC" w14:textId="77777777" w:rsidR="003C66EB" w:rsidRDefault="00D96C4E">
            <w:pPr>
              <w:textAlignment w:val="bottom"/>
            </w:pPr>
            <w:r>
              <w:rPr>
                <w:rFonts w:ascii="Arial" w:eastAsia="宋体" w:hAnsi="Arial" w:cs="Arial"/>
                <w:b/>
                <w:bCs/>
                <w:color w:val="000000"/>
                <w:sz w:val="14"/>
                <w:szCs w:val="14"/>
              </w:rPr>
              <w:t>Derivatives designated as net investment hedges:</w:t>
            </w:r>
          </w:p>
        </w:tc>
        <w:tc>
          <w:tcPr>
            <w:tcW w:w="0" w:type="auto"/>
            <w:gridSpan w:val="3"/>
            <w:shd w:val="clear" w:color="auto" w:fill="auto"/>
            <w:tcMar>
              <w:top w:w="0" w:type="dxa"/>
              <w:left w:w="20" w:type="dxa"/>
              <w:bottom w:w="0" w:type="dxa"/>
              <w:right w:w="20" w:type="dxa"/>
            </w:tcMar>
          </w:tcPr>
          <w:p w14:paraId="5EA25EA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A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AF" w14:textId="77777777" w:rsidR="003C66EB" w:rsidRDefault="003C66EB">
            <w:pPr>
              <w:rPr>
                <w:rFonts w:ascii="宋体"/>
              </w:rPr>
            </w:pPr>
          </w:p>
        </w:tc>
        <w:tc>
          <w:tcPr>
            <w:tcW w:w="0" w:type="auto"/>
            <w:shd w:val="clear" w:color="auto" w:fill="auto"/>
          </w:tcPr>
          <w:p w14:paraId="5EA25EB0" w14:textId="77777777" w:rsidR="003C66EB" w:rsidRDefault="003C66EB">
            <w:pPr>
              <w:rPr>
                <w:rFonts w:ascii="宋体"/>
                <w:vanish/>
              </w:rPr>
            </w:pPr>
          </w:p>
        </w:tc>
        <w:tc>
          <w:tcPr>
            <w:tcW w:w="0" w:type="auto"/>
            <w:shd w:val="clear" w:color="auto" w:fill="auto"/>
          </w:tcPr>
          <w:p w14:paraId="5EA25EB1"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5EB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B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B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B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B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EB7" w14:textId="77777777" w:rsidR="003C66EB" w:rsidRDefault="003C66EB">
            <w:pPr>
              <w:rPr>
                <w:rFonts w:ascii="宋体"/>
              </w:rPr>
            </w:pPr>
          </w:p>
        </w:tc>
        <w:tc>
          <w:tcPr>
            <w:tcW w:w="0" w:type="auto"/>
            <w:gridSpan w:val="3"/>
            <w:shd w:val="clear" w:color="auto" w:fill="auto"/>
          </w:tcPr>
          <w:p w14:paraId="5EA25EB8" w14:textId="77777777" w:rsidR="003C66EB" w:rsidRDefault="003C66EB">
            <w:pPr>
              <w:rPr>
                <w:rFonts w:ascii="宋体"/>
                <w:vanish/>
              </w:rPr>
            </w:pPr>
          </w:p>
        </w:tc>
        <w:tc>
          <w:tcPr>
            <w:tcW w:w="0" w:type="auto"/>
            <w:gridSpan w:val="3"/>
            <w:shd w:val="clear" w:color="auto" w:fill="auto"/>
          </w:tcPr>
          <w:p w14:paraId="5EA25EB9" w14:textId="77777777" w:rsidR="003C66EB" w:rsidRDefault="003C66EB">
            <w:pPr>
              <w:rPr>
                <w:rFonts w:ascii="宋体"/>
                <w:vanish/>
              </w:rPr>
            </w:pPr>
          </w:p>
        </w:tc>
      </w:tr>
      <w:tr w:rsidR="003C66EB" w14:paraId="5EA25ED1" w14:textId="77777777">
        <w:tc>
          <w:tcPr>
            <w:tcW w:w="0" w:type="auto"/>
            <w:gridSpan w:val="3"/>
            <w:shd w:val="clear" w:color="auto" w:fill="CCEEFF"/>
            <w:tcMar>
              <w:top w:w="40" w:type="dxa"/>
              <w:left w:w="20" w:type="dxa"/>
              <w:bottom w:w="40" w:type="dxa"/>
              <w:right w:w="20" w:type="dxa"/>
            </w:tcMar>
            <w:vAlign w:val="bottom"/>
          </w:tcPr>
          <w:p w14:paraId="5EA25EBB" w14:textId="77777777" w:rsidR="003C66EB" w:rsidRDefault="00D96C4E">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5EA25EBC"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EBD" w14:textId="77777777" w:rsidR="003C66EB" w:rsidRDefault="00D96C4E">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E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B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EC0"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EC1" w14:textId="77777777" w:rsidR="003C66EB" w:rsidRDefault="00D96C4E">
            <w:pPr>
              <w:jc w:val="right"/>
              <w:textAlignment w:val="bottom"/>
            </w:pPr>
            <w:r>
              <w:rPr>
                <w:rFonts w:ascii="Arial" w:eastAsia="宋体" w:hAnsi="Arial" w:cs="Arial"/>
                <w:color w:val="000000"/>
                <w:sz w:val="14"/>
                <w:szCs w:val="14"/>
              </w:rPr>
              <w:t>108 </w:t>
            </w:r>
          </w:p>
        </w:tc>
        <w:tc>
          <w:tcPr>
            <w:tcW w:w="0" w:type="auto"/>
            <w:shd w:val="clear" w:color="auto" w:fill="CCEEFF"/>
            <w:tcMar>
              <w:top w:w="40" w:type="dxa"/>
              <w:left w:w="0" w:type="dxa"/>
              <w:bottom w:w="40" w:type="dxa"/>
              <w:right w:w="20" w:type="dxa"/>
            </w:tcMar>
            <w:vAlign w:val="bottom"/>
          </w:tcPr>
          <w:p w14:paraId="5EA25EC2" w14:textId="77777777" w:rsidR="003C66EB" w:rsidRDefault="003C66EB">
            <w:pPr>
              <w:jc w:val="right"/>
              <w:rPr>
                <w:rFonts w:ascii="宋体"/>
              </w:rPr>
            </w:pPr>
          </w:p>
        </w:tc>
        <w:tc>
          <w:tcPr>
            <w:tcW w:w="0" w:type="auto"/>
            <w:shd w:val="clear" w:color="auto" w:fill="auto"/>
          </w:tcPr>
          <w:p w14:paraId="5EA25EC3" w14:textId="77777777" w:rsidR="003C66EB" w:rsidRDefault="003C66EB">
            <w:pPr>
              <w:rPr>
                <w:rFonts w:ascii="宋体"/>
                <w:vanish/>
              </w:rPr>
            </w:pPr>
          </w:p>
        </w:tc>
        <w:tc>
          <w:tcPr>
            <w:tcW w:w="0" w:type="auto"/>
            <w:shd w:val="clear" w:color="auto" w:fill="auto"/>
          </w:tcPr>
          <w:p w14:paraId="5EA25EC4"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5EC5"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5EC6" w14:textId="77777777" w:rsidR="003C66EB" w:rsidRDefault="00D96C4E">
            <w:pPr>
              <w:textAlignment w:val="bottom"/>
            </w:pPr>
            <w:r>
              <w:rPr>
                <w:rFonts w:ascii="Arial" w:eastAsia="宋体" w:hAnsi="Arial" w:cs="Arial"/>
                <w:color w:val="000000"/>
                <w:sz w:val="14"/>
                <w:szCs w:val="14"/>
              </w:rPr>
              <w:t>Gains (Losses) related to investment securities, net</w:t>
            </w:r>
          </w:p>
        </w:tc>
        <w:tc>
          <w:tcPr>
            <w:tcW w:w="0" w:type="auto"/>
            <w:gridSpan w:val="3"/>
            <w:shd w:val="clear" w:color="auto" w:fill="CCEEFF"/>
            <w:tcMar>
              <w:top w:w="0" w:type="dxa"/>
              <w:left w:w="20" w:type="dxa"/>
              <w:bottom w:w="0" w:type="dxa"/>
              <w:right w:w="20" w:type="dxa"/>
            </w:tcMar>
          </w:tcPr>
          <w:p w14:paraId="5EA25EC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EC8"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5EC9"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E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C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5ECC"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5ECD"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5ECE" w14:textId="77777777" w:rsidR="003C66EB" w:rsidRDefault="003C66EB">
            <w:pPr>
              <w:jc w:val="right"/>
              <w:rPr>
                <w:rFonts w:ascii="宋体"/>
              </w:rPr>
            </w:pPr>
          </w:p>
        </w:tc>
        <w:tc>
          <w:tcPr>
            <w:tcW w:w="0" w:type="auto"/>
            <w:gridSpan w:val="3"/>
            <w:shd w:val="clear" w:color="auto" w:fill="auto"/>
          </w:tcPr>
          <w:p w14:paraId="5EA25ECF" w14:textId="77777777" w:rsidR="003C66EB" w:rsidRDefault="003C66EB">
            <w:pPr>
              <w:rPr>
                <w:rFonts w:ascii="宋体"/>
                <w:vanish/>
              </w:rPr>
            </w:pPr>
          </w:p>
        </w:tc>
        <w:tc>
          <w:tcPr>
            <w:tcW w:w="0" w:type="auto"/>
            <w:gridSpan w:val="3"/>
            <w:shd w:val="clear" w:color="auto" w:fill="auto"/>
          </w:tcPr>
          <w:p w14:paraId="5EA25ED0" w14:textId="77777777" w:rsidR="003C66EB" w:rsidRDefault="003C66EB">
            <w:pPr>
              <w:rPr>
                <w:rFonts w:ascii="宋体"/>
                <w:vanish/>
              </w:rPr>
            </w:pPr>
          </w:p>
        </w:tc>
      </w:tr>
      <w:tr w:rsidR="003C66EB" w14:paraId="5EA25EE4" w14:textId="77777777">
        <w:tc>
          <w:tcPr>
            <w:tcW w:w="0" w:type="auto"/>
            <w:gridSpan w:val="3"/>
            <w:shd w:val="clear" w:color="auto" w:fill="FFFFFF"/>
            <w:tcMar>
              <w:top w:w="40" w:type="dxa"/>
              <w:left w:w="20" w:type="dxa"/>
              <w:bottom w:w="40" w:type="dxa"/>
              <w:right w:w="20" w:type="dxa"/>
            </w:tcMar>
            <w:vAlign w:val="bottom"/>
          </w:tcPr>
          <w:p w14:paraId="5EA25ED2" w14:textId="77777777" w:rsidR="003C66EB" w:rsidRDefault="00D96C4E">
            <w:pPr>
              <w:textAlignment w:val="bottom"/>
            </w:pPr>
            <w:r>
              <w:rPr>
                <w:rFonts w:ascii="Arial" w:eastAsia="宋体" w:hAnsi="Arial" w:cs="Arial"/>
                <w:color w:val="000000"/>
                <w:sz w:val="14"/>
                <w:szCs w:val="14"/>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ED3" w14:textId="77777777" w:rsidR="003C66EB" w:rsidRDefault="00D96C4E">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ED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ED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ED6" w14:textId="77777777" w:rsidR="003C66EB" w:rsidRDefault="00D96C4E">
            <w:pPr>
              <w:jc w:val="right"/>
              <w:textAlignment w:val="bottom"/>
            </w:pPr>
            <w:r>
              <w:rPr>
                <w:rFonts w:ascii="Arial" w:eastAsia="宋体" w:hAnsi="Arial" w:cs="Arial"/>
                <w:color w:val="000000"/>
                <w:sz w:val="14"/>
                <w:szCs w:val="14"/>
              </w:rPr>
              <w:t>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ED7" w14:textId="77777777" w:rsidR="003C66EB" w:rsidRDefault="003C66EB">
            <w:pPr>
              <w:jc w:val="right"/>
              <w:rPr>
                <w:rFonts w:ascii="宋体"/>
              </w:rPr>
            </w:pPr>
          </w:p>
        </w:tc>
        <w:tc>
          <w:tcPr>
            <w:tcW w:w="0" w:type="auto"/>
            <w:shd w:val="clear" w:color="auto" w:fill="auto"/>
          </w:tcPr>
          <w:p w14:paraId="5EA25ED8" w14:textId="77777777" w:rsidR="003C66EB" w:rsidRDefault="003C66EB">
            <w:pPr>
              <w:rPr>
                <w:rFonts w:ascii="宋体"/>
                <w:vanish/>
              </w:rPr>
            </w:pPr>
          </w:p>
        </w:tc>
        <w:tc>
          <w:tcPr>
            <w:tcW w:w="0" w:type="auto"/>
            <w:shd w:val="clear" w:color="auto" w:fill="auto"/>
          </w:tcPr>
          <w:p w14:paraId="5EA25ED9"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5ED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ED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5ED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ED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E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5ED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5EE0"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5EE1" w14:textId="77777777" w:rsidR="003C66EB" w:rsidRDefault="003C66EB">
            <w:pPr>
              <w:jc w:val="right"/>
              <w:rPr>
                <w:rFonts w:ascii="宋体"/>
              </w:rPr>
            </w:pPr>
          </w:p>
        </w:tc>
        <w:tc>
          <w:tcPr>
            <w:tcW w:w="0" w:type="auto"/>
            <w:gridSpan w:val="3"/>
            <w:shd w:val="clear" w:color="auto" w:fill="auto"/>
          </w:tcPr>
          <w:p w14:paraId="5EA25EE2" w14:textId="77777777" w:rsidR="003C66EB" w:rsidRDefault="003C66EB">
            <w:pPr>
              <w:rPr>
                <w:rFonts w:ascii="宋体"/>
                <w:vanish/>
              </w:rPr>
            </w:pPr>
          </w:p>
        </w:tc>
        <w:tc>
          <w:tcPr>
            <w:tcW w:w="0" w:type="auto"/>
            <w:gridSpan w:val="3"/>
            <w:shd w:val="clear" w:color="auto" w:fill="auto"/>
          </w:tcPr>
          <w:p w14:paraId="5EA25EE3" w14:textId="77777777" w:rsidR="003C66EB" w:rsidRDefault="003C66EB">
            <w:pPr>
              <w:rPr>
                <w:rFonts w:ascii="宋体"/>
                <w:vanish/>
              </w:rPr>
            </w:pPr>
          </w:p>
        </w:tc>
      </w:tr>
      <w:tr w:rsidR="003C66EB" w14:paraId="5EA25EFB" w14:textId="77777777">
        <w:tc>
          <w:tcPr>
            <w:tcW w:w="0" w:type="auto"/>
            <w:gridSpan w:val="3"/>
            <w:shd w:val="clear" w:color="auto" w:fill="CCEEFF"/>
            <w:tcMar>
              <w:top w:w="40" w:type="dxa"/>
              <w:left w:w="20" w:type="dxa"/>
              <w:bottom w:w="40" w:type="dxa"/>
              <w:right w:w="20" w:type="dxa"/>
            </w:tcMar>
            <w:vAlign w:val="bottom"/>
          </w:tcPr>
          <w:p w14:paraId="5EA25EE5" w14:textId="77777777" w:rsidR="003C66EB" w:rsidRDefault="00D96C4E">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EE6"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EE7" w14:textId="77777777" w:rsidR="003C66EB" w:rsidRDefault="00D96C4E">
            <w:pPr>
              <w:jc w:val="right"/>
              <w:textAlignment w:val="bottom"/>
            </w:pPr>
            <w:r>
              <w:rPr>
                <w:rFonts w:ascii="Arial" w:eastAsia="宋体" w:hAnsi="Arial" w:cs="Arial"/>
                <w:b/>
                <w:bCs/>
                <w:color w:val="000000"/>
                <w:sz w:val="14"/>
                <w:szCs w:val="14"/>
              </w:rPr>
              <w:t>155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EE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E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EEA"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EEB" w14:textId="77777777" w:rsidR="003C66EB" w:rsidRDefault="00D96C4E">
            <w:pPr>
              <w:jc w:val="right"/>
              <w:textAlignment w:val="bottom"/>
            </w:pPr>
            <w:r>
              <w:rPr>
                <w:rFonts w:ascii="Arial" w:eastAsia="宋体" w:hAnsi="Arial" w:cs="Arial"/>
                <w:color w:val="000000"/>
                <w:sz w:val="14"/>
                <w:szCs w:val="14"/>
              </w:rPr>
              <w:t>276 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EEC" w14:textId="77777777" w:rsidR="003C66EB" w:rsidRDefault="003C66EB">
            <w:pPr>
              <w:jc w:val="right"/>
              <w:rPr>
                <w:rFonts w:ascii="宋体"/>
              </w:rPr>
            </w:pPr>
          </w:p>
        </w:tc>
        <w:tc>
          <w:tcPr>
            <w:tcW w:w="0" w:type="auto"/>
            <w:shd w:val="clear" w:color="auto" w:fill="auto"/>
          </w:tcPr>
          <w:p w14:paraId="5EA25EED" w14:textId="77777777" w:rsidR="003C66EB" w:rsidRDefault="003C66EB">
            <w:pPr>
              <w:rPr>
                <w:rFonts w:ascii="宋体"/>
                <w:vanish/>
              </w:rPr>
            </w:pPr>
          </w:p>
        </w:tc>
        <w:tc>
          <w:tcPr>
            <w:tcW w:w="0" w:type="auto"/>
            <w:shd w:val="clear" w:color="auto" w:fill="auto"/>
          </w:tcPr>
          <w:p w14:paraId="5EA25EEE"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5EE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EF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5EF1"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EF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EF3" w14:textId="77777777" w:rsidR="003C66EB" w:rsidRDefault="00D96C4E">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E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5EF5"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5EF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5EF7" w14:textId="77777777" w:rsidR="003C66EB" w:rsidRDefault="00D96C4E">
            <w:pPr>
              <w:jc w:val="right"/>
              <w:textAlignment w:val="bottom"/>
            </w:pPr>
            <w:r>
              <w:rPr>
                <w:rFonts w:ascii="Arial" w:eastAsia="宋体" w:hAnsi="Arial" w:cs="Arial"/>
                <w:color w:val="000000"/>
                <w:sz w:val="14"/>
                <w:szCs w:val="14"/>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5EF8" w14:textId="77777777" w:rsidR="003C66EB" w:rsidRDefault="003C66EB">
            <w:pPr>
              <w:jc w:val="right"/>
              <w:rPr>
                <w:rFonts w:ascii="宋体"/>
              </w:rPr>
            </w:pPr>
          </w:p>
        </w:tc>
        <w:tc>
          <w:tcPr>
            <w:tcW w:w="0" w:type="auto"/>
            <w:gridSpan w:val="3"/>
            <w:shd w:val="clear" w:color="auto" w:fill="auto"/>
          </w:tcPr>
          <w:p w14:paraId="5EA25EF9" w14:textId="77777777" w:rsidR="003C66EB" w:rsidRDefault="003C66EB">
            <w:pPr>
              <w:rPr>
                <w:rFonts w:ascii="宋体"/>
                <w:vanish/>
              </w:rPr>
            </w:pPr>
          </w:p>
        </w:tc>
        <w:tc>
          <w:tcPr>
            <w:tcW w:w="0" w:type="auto"/>
            <w:gridSpan w:val="3"/>
            <w:shd w:val="clear" w:color="auto" w:fill="auto"/>
          </w:tcPr>
          <w:p w14:paraId="5EA25EFA" w14:textId="77777777" w:rsidR="003C66EB" w:rsidRDefault="003C66EB">
            <w:pPr>
              <w:rPr>
                <w:rFonts w:ascii="宋体"/>
                <w:vanish/>
              </w:rPr>
            </w:pPr>
          </w:p>
        </w:tc>
      </w:tr>
      <w:tr w:rsidR="003C66EB" w14:paraId="5EA25F0A" w14:textId="77777777">
        <w:trPr>
          <w:hidden/>
        </w:trPr>
        <w:tc>
          <w:tcPr>
            <w:tcW w:w="0" w:type="auto"/>
            <w:gridSpan w:val="3"/>
            <w:shd w:val="clear" w:color="auto" w:fill="auto"/>
          </w:tcPr>
          <w:p w14:paraId="5EA25EFC" w14:textId="77777777" w:rsidR="003C66EB" w:rsidRDefault="003C66EB">
            <w:pPr>
              <w:rPr>
                <w:rFonts w:ascii="宋体"/>
                <w:vanish/>
              </w:rPr>
            </w:pPr>
          </w:p>
        </w:tc>
        <w:tc>
          <w:tcPr>
            <w:tcW w:w="0" w:type="auto"/>
            <w:gridSpan w:val="3"/>
            <w:shd w:val="clear" w:color="auto" w:fill="auto"/>
          </w:tcPr>
          <w:p w14:paraId="5EA25EFD" w14:textId="77777777" w:rsidR="003C66EB" w:rsidRDefault="003C66EB">
            <w:pPr>
              <w:rPr>
                <w:rFonts w:ascii="宋体"/>
                <w:vanish/>
              </w:rPr>
            </w:pPr>
          </w:p>
        </w:tc>
        <w:tc>
          <w:tcPr>
            <w:tcW w:w="0" w:type="auto"/>
            <w:gridSpan w:val="3"/>
            <w:shd w:val="clear" w:color="auto" w:fill="auto"/>
          </w:tcPr>
          <w:p w14:paraId="5EA25EFE" w14:textId="77777777" w:rsidR="003C66EB" w:rsidRDefault="003C66EB">
            <w:pPr>
              <w:rPr>
                <w:rFonts w:ascii="宋体"/>
                <w:vanish/>
              </w:rPr>
            </w:pPr>
          </w:p>
        </w:tc>
        <w:tc>
          <w:tcPr>
            <w:tcW w:w="0" w:type="auto"/>
            <w:gridSpan w:val="3"/>
            <w:shd w:val="clear" w:color="auto" w:fill="auto"/>
          </w:tcPr>
          <w:p w14:paraId="5EA25EFF" w14:textId="77777777" w:rsidR="003C66EB" w:rsidRDefault="003C66EB">
            <w:pPr>
              <w:rPr>
                <w:rFonts w:ascii="宋体"/>
                <w:vanish/>
              </w:rPr>
            </w:pPr>
          </w:p>
        </w:tc>
        <w:tc>
          <w:tcPr>
            <w:tcW w:w="0" w:type="auto"/>
            <w:shd w:val="clear" w:color="auto" w:fill="auto"/>
          </w:tcPr>
          <w:p w14:paraId="5EA25F00" w14:textId="77777777" w:rsidR="003C66EB" w:rsidRDefault="003C66EB">
            <w:pPr>
              <w:rPr>
                <w:rFonts w:ascii="宋体"/>
                <w:vanish/>
              </w:rPr>
            </w:pPr>
          </w:p>
        </w:tc>
        <w:tc>
          <w:tcPr>
            <w:tcW w:w="0" w:type="auto"/>
            <w:shd w:val="clear" w:color="auto" w:fill="auto"/>
          </w:tcPr>
          <w:p w14:paraId="5EA25F01" w14:textId="77777777" w:rsidR="003C66EB" w:rsidRDefault="003C66EB">
            <w:pPr>
              <w:rPr>
                <w:rFonts w:ascii="宋体"/>
                <w:vanish/>
              </w:rPr>
            </w:pPr>
          </w:p>
        </w:tc>
        <w:tc>
          <w:tcPr>
            <w:tcW w:w="0" w:type="auto"/>
            <w:gridSpan w:val="3"/>
            <w:shd w:val="clear" w:color="auto" w:fill="auto"/>
          </w:tcPr>
          <w:p w14:paraId="5EA25F02" w14:textId="77777777" w:rsidR="003C66EB" w:rsidRDefault="003C66EB">
            <w:pPr>
              <w:rPr>
                <w:rFonts w:ascii="宋体"/>
                <w:vanish/>
              </w:rPr>
            </w:pPr>
          </w:p>
        </w:tc>
        <w:tc>
          <w:tcPr>
            <w:tcW w:w="0" w:type="auto"/>
            <w:gridSpan w:val="3"/>
            <w:shd w:val="clear" w:color="auto" w:fill="auto"/>
          </w:tcPr>
          <w:p w14:paraId="5EA25F03" w14:textId="77777777" w:rsidR="003C66EB" w:rsidRDefault="003C66EB">
            <w:pPr>
              <w:rPr>
                <w:rFonts w:ascii="宋体"/>
                <w:vanish/>
              </w:rPr>
            </w:pPr>
          </w:p>
        </w:tc>
        <w:tc>
          <w:tcPr>
            <w:tcW w:w="0" w:type="auto"/>
            <w:gridSpan w:val="3"/>
            <w:shd w:val="clear" w:color="auto" w:fill="auto"/>
          </w:tcPr>
          <w:p w14:paraId="5EA25F04" w14:textId="77777777" w:rsidR="003C66EB" w:rsidRDefault="003C66EB">
            <w:pPr>
              <w:rPr>
                <w:rFonts w:ascii="宋体"/>
                <w:vanish/>
              </w:rPr>
            </w:pPr>
          </w:p>
        </w:tc>
        <w:tc>
          <w:tcPr>
            <w:tcW w:w="0" w:type="auto"/>
            <w:gridSpan w:val="3"/>
            <w:shd w:val="clear" w:color="auto" w:fill="auto"/>
          </w:tcPr>
          <w:p w14:paraId="5EA25F05" w14:textId="77777777" w:rsidR="003C66EB" w:rsidRDefault="003C66EB">
            <w:pPr>
              <w:rPr>
                <w:rFonts w:ascii="宋体"/>
                <w:vanish/>
              </w:rPr>
            </w:pPr>
          </w:p>
        </w:tc>
        <w:tc>
          <w:tcPr>
            <w:tcW w:w="0" w:type="auto"/>
            <w:gridSpan w:val="3"/>
            <w:shd w:val="clear" w:color="auto" w:fill="auto"/>
          </w:tcPr>
          <w:p w14:paraId="5EA25F06" w14:textId="77777777" w:rsidR="003C66EB" w:rsidRDefault="003C66EB">
            <w:pPr>
              <w:rPr>
                <w:rFonts w:ascii="宋体"/>
                <w:vanish/>
              </w:rPr>
            </w:pPr>
          </w:p>
        </w:tc>
        <w:tc>
          <w:tcPr>
            <w:tcW w:w="0" w:type="auto"/>
            <w:gridSpan w:val="3"/>
            <w:shd w:val="clear" w:color="auto" w:fill="auto"/>
          </w:tcPr>
          <w:p w14:paraId="5EA25F07" w14:textId="77777777" w:rsidR="003C66EB" w:rsidRDefault="003C66EB">
            <w:pPr>
              <w:rPr>
                <w:rFonts w:ascii="宋体"/>
                <w:vanish/>
              </w:rPr>
            </w:pPr>
          </w:p>
        </w:tc>
        <w:tc>
          <w:tcPr>
            <w:tcW w:w="0" w:type="auto"/>
            <w:gridSpan w:val="3"/>
            <w:shd w:val="clear" w:color="auto" w:fill="auto"/>
          </w:tcPr>
          <w:p w14:paraId="5EA25F08" w14:textId="77777777" w:rsidR="003C66EB" w:rsidRDefault="003C66EB">
            <w:pPr>
              <w:rPr>
                <w:rFonts w:ascii="宋体"/>
                <w:vanish/>
              </w:rPr>
            </w:pPr>
          </w:p>
        </w:tc>
        <w:tc>
          <w:tcPr>
            <w:tcW w:w="0" w:type="auto"/>
            <w:gridSpan w:val="3"/>
            <w:shd w:val="clear" w:color="auto" w:fill="auto"/>
          </w:tcPr>
          <w:p w14:paraId="5EA25F09" w14:textId="77777777" w:rsidR="003C66EB" w:rsidRDefault="003C66EB">
            <w:pPr>
              <w:rPr>
                <w:rFonts w:ascii="宋体"/>
                <w:vanish/>
              </w:rPr>
            </w:pPr>
          </w:p>
        </w:tc>
      </w:tr>
      <w:tr w:rsidR="003C66EB" w14:paraId="5EA25F21" w14:textId="77777777">
        <w:trPr>
          <w:hidden/>
        </w:trPr>
        <w:tc>
          <w:tcPr>
            <w:tcW w:w="0" w:type="auto"/>
            <w:gridSpan w:val="3"/>
            <w:shd w:val="clear" w:color="auto" w:fill="auto"/>
          </w:tcPr>
          <w:p w14:paraId="5EA25F0B" w14:textId="77777777" w:rsidR="003C66EB" w:rsidRDefault="003C66EB">
            <w:pPr>
              <w:rPr>
                <w:rFonts w:ascii="宋体"/>
                <w:vanish/>
              </w:rPr>
            </w:pPr>
          </w:p>
        </w:tc>
        <w:tc>
          <w:tcPr>
            <w:tcW w:w="0" w:type="auto"/>
            <w:gridSpan w:val="3"/>
            <w:shd w:val="clear" w:color="auto" w:fill="auto"/>
          </w:tcPr>
          <w:p w14:paraId="5EA25F0C" w14:textId="77777777" w:rsidR="003C66EB" w:rsidRDefault="003C66EB">
            <w:pPr>
              <w:rPr>
                <w:rFonts w:ascii="宋体"/>
                <w:vanish/>
              </w:rPr>
            </w:pPr>
          </w:p>
        </w:tc>
        <w:tc>
          <w:tcPr>
            <w:tcW w:w="0" w:type="auto"/>
            <w:gridSpan w:val="3"/>
            <w:shd w:val="clear" w:color="auto" w:fill="auto"/>
          </w:tcPr>
          <w:p w14:paraId="5EA25F0D" w14:textId="77777777" w:rsidR="003C66EB" w:rsidRDefault="003C66EB">
            <w:pPr>
              <w:rPr>
                <w:rFonts w:ascii="宋体"/>
                <w:vanish/>
              </w:rPr>
            </w:pPr>
          </w:p>
        </w:tc>
        <w:tc>
          <w:tcPr>
            <w:tcW w:w="0" w:type="auto"/>
            <w:gridSpan w:val="3"/>
            <w:shd w:val="clear" w:color="auto" w:fill="auto"/>
          </w:tcPr>
          <w:p w14:paraId="5EA25F0E" w14:textId="77777777" w:rsidR="003C66EB" w:rsidRDefault="003C66EB">
            <w:pPr>
              <w:rPr>
                <w:rFonts w:ascii="宋体"/>
                <w:vanish/>
              </w:rPr>
            </w:pPr>
          </w:p>
        </w:tc>
        <w:tc>
          <w:tcPr>
            <w:tcW w:w="0" w:type="auto"/>
            <w:shd w:val="clear" w:color="auto" w:fill="auto"/>
          </w:tcPr>
          <w:p w14:paraId="5EA25F0F" w14:textId="77777777" w:rsidR="003C66EB" w:rsidRDefault="003C66EB">
            <w:pPr>
              <w:rPr>
                <w:rFonts w:ascii="宋体"/>
                <w:vanish/>
              </w:rPr>
            </w:pPr>
          </w:p>
        </w:tc>
        <w:tc>
          <w:tcPr>
            <w:tcW w:w="0" w:type="auto"/>
            <w:shd w:val="clear" w:color="auto" w:fill="auto"/>
          </w:tcPr>
          <w:p w14:paraId="5EA25F10" w14:textId="77777777" w:rsidR="003C66EB" w:rsidRDefault="003C66EB">
            <w:pPr>
              <w:rPr>
                <w:rFonts w:ascii="宋体"/>
                <w:vanish/>
              </w:rPr>
            </w:pPr>
          </w:p>
        </w:tc>
        <w:tc>
          <w:tcPr>
            <w:tcW w:w="0" w:type="auto"/>
            <w:gridSpan w:val="3"/>
            <w:shd w:val="clear" w:color="auto" w:fill="auto"/>
          </w:tcPr>
          <w:p w14:paraId="5EA25F11" w14:textId="77777777" w:rsidR="003C66EB" w:rsidRDefault="003C66EB">
            <w:pPr>
              <w:rPr>
                <w:rFonts w:ascii="宋体"/>
                <w:vanish/>
              </w:rPr>
            </w:pPr>
          </w:p>
        </w:tc>
        <w:tc>
          <w:tcPr>
            <w:tcW w:w="0" w:type="auto"/>
            <w:gridSpan w:val="3"/>
            <w:shd w:val="clear" w:color="auto" w:fill="auto"/>
          </w:tcPr>
          <w:p w14:paraId="5EA25F12" w14:textId="77777777" w:rsidR="003C66EB" w:rsidRDefault="003C66EB">
            <w:pPr>
              <w:rPr>
                <w:rFonts w:ascii="宋体"/>
                <w:vanish/>
              </w:rPr>
            </w:pPr>
          </w:p>
        </w:tc>
        <w:tc>
          <w:tcPr>
            <w:tcW w:w="0" w:type="auto"/>
            <w:gridSpan w:val="3"/>
            <w:shd w:val="clear" w:color="auto" w:fill="auto"/>
          </w:tcPr>
          <w:p w14:paraId="5EA25F13" w14:textId="77777777" w:rsidR="003C66EB" w:rsidRDefault="003C66EB">
            <w:pPr>
              <w:rPr>
                <w:rFonts w:ascii="宋体"/>
                <w:vanish/>
              </w:rPr>
            </w:pPr>
          </w:p>
        </w:tc>
        <w:tc>
          <w:tcPr>
            <w:tcW w:w="0" w:type="auto"/>
            <w:gridSpan w:val="3"/>
            <w:shd w:val="clear" w:color="auto" w:fill="auto"/>
          </w:tcPr>
          <w:p w14:paraId="5EA25F14" w14:textId="77777777" w:rsidR="003C66EB" w:rsidRDefault="003C66EB">
            <w:pPr>
              <w:rPr>
                <w:rFonts w:ascii="宋体"/>
                <w:vanish/>
              </w:rPr>
            </w:pPr>
          </w:p>
        </w:tc>
        <w:tc>
          <w:tcPr>
            <w:tcW w:w="0" w:type="auto"/>
            <w:shd w:val="clear" w:color="auto" w:fill="auto"/>
          </w:tcPr>
          <w:p w14:paraId="5EA25F15" w14:textId="77777777" w:rsidR="003C66EB" w:rsidRDefault="003C66EB">
            <w:pPr>
              <w:rPr>
                <w:rFonts w:ascii="宋体"/>
              </w:rPr>
            </w:pPr>
          </w:p>
        </w:tc>
        <w:tc>
          <w:tcPr>
            <w:tcW w:w="0" w:type="auto"/>
            <w:shd w:val="clear" w:color="auto" w:fill="auto"/>
          </w:tcPr>
          <w:p w14:paraId="5EA25F16" w14:textId="77777777" w:rsidR="003C66EB" w:rsidRDefault="003C66EB">
            <w:pPr>
              <w:rPr>
                <w:rFonts w:ascii="宋体"/>
              </w:rPr>
            </w:pPr>
          </w:p>
        </w:tc>
        <w:tc>
          <w:tcPr>
            <w:tcW w:w="0" w:type="auto"/>
            <w:shd w:val="clear" w:color="auto" w:fill="auto"/>
          </w:tcPr>
          <w:p w14:paraId="5EA25F17" w14:textId="77777777" w:rsidR="003C66EB" w:rsidRDefault="003C66EB">
            <w:pPr>
              <w:rPr>
                <w:rFonts w:ascii="宋体"/>
              </w:rPr>
            </w:pPr>
          </w:p>
        </w:tc>
        <w:tc>
          <w:tcPr>
            <w:tcW w:w="0" w:type="auto"/>
            <w:shd w:val="clear" w:color="auto" w:fill="auto"/>
          </w:tcPr>
          <w:p w14:paraId="5EA25F18" w14:textId="77777777" w:rsidR="003C66EB" w:rsidRDefault="003C66EB">
            <w:pPr>
              <w:rPr>
                <w:rFonts w:ascii="宋体"/>
              </w:rPr>
            </w:pPr>
          </w:p>
        </w:tc>
        <w:tc>
          <w:tcPr>
            <w:tcW w:w="0" w:type="auto"/>
            <w:shd w:val="clear" w:color="auto" w:fill="auto"/>
          </w:tcPr>
          <w:p w14:paraId="5EA25F19" w14:textId="77777777" w:rsidR="003C66EB" w:rsidRDefault="003C66EB">
            <w:pPr>
              <w:rPr>
                <w:rFonts w:ascii="宋体"/>
              </w:rPr>
            </w:pPr>
          </w:p>
        </w:tc>
        <w:tc>
          <w:tcPr>
            <w:tcW w:w="0" w:type="auto"/>
            <w:shd w:val="clear" w:color="auto" w:fill="auto"/>
          </w:tcPr>
          <w:p w14:paraId="5EA25F1A" w14:textId="77777777" w:rsidR="003C66EB" w:rsidRDefault="003C66EB">
            <w:pPr>
              <w:rPr>
                <w:rFonts w:ascii="宋体"/>
              </w:rPr>
            </w:pPr>
          </w:p>
        </w:tc>
        <w:tc>
          <w:tcPr>
            <w:tcW w:w="0" w:type="auto"/>
            <w:shd w:val="clear" w:color="auto" w:fill="auto"/>
          </w:tcPr>
          <w:p w14:paraId="5EA25F1B" w14:textId="77777777" w:rsidR="003C66EB" w:rsidRDefault="003C66EB">
            <w:pPr>
              <w:rPr>
                <w:rFonts w:ascii="宋体"/>
              </w:rPr>
            </w:pPr>
          </w:p>
        </w:tc>
        <w:tc>
          <w:tcPr>
            <w:tcW w:w="0" w:type="auto"/>
            <w:shd w:val="clear" w:color="auto" w:fill="auto"/>
          </w:tcPr>
          <w:p w14:paraId="5EA25F1C" w14:textId="77777777" w:rsidR="003C66EB" w:rsidRDefault="003C66EB">
            <w:pPr>
              <w:rPr>
                <w:rFonts w:ascii="宋体"/>
              </w:rPr>
            </w:pPr>
          </w:p>
        </w:tc>
        <w:tc>
          <w:tcPr>
            <w:tcW w:w="0" w:type="auto"/>
            <w:shd w:val="clear" w:color="auto" w:fill="auto"/>
          </w:tcPr>
          <w:p w14:paraId="5EA25F1D" w14:textId="77777777" w:rsidR="003C66EB" w:rsidRDefault="003C66EB">
            <w:pPr>
              <w:rPr>
                <w:rFonts w:ascii="宋体"/>
              </w:rPr>
            </w:pPr>
          </w:p>
        </w:tc>
        <w:tc>
          <w:tcPr>
            <w:tcW w:w="0" w:type="auto"/>
            <w:shd w:val="clear" w:color="auto" w:fill="auto"/>
          </w:tcPr>
          <w:p w14:paraId="5EA25F1E" w14:textId="77777777" w:rsidR="003C66EB" w:rsidRDefault="003C66EB">
            <w:pPr>
              <w:rPr>
                <w:rFonts w:ascii="宋体"/>
              </w:rPr>
            </w:pPr>
          </w:p>
        </w:tc>
        <w:tc>
          <w:tcPr>
            <w:tcW w:w="0" w:type="auto"/>
            <w:shd w:val="clear" w:color="auto" w:fill="auto"/>
          </w:tcPr>
          <w:p w14:paraId="5EA25F1F" w14:textId="77777777" w:rsidR="003C66EB" w:rsidRDefault="003C66EB">
            <w:pPr>
              <w:rPr>
                <w:rFonts w:ascii="宋体"/>
              </w:rPr>
            </w:pPr>
          </w:p>
        </w:tc>
        <w:tc>
          <w:tcPr>
            <w:tcW w:w="0" w:type="auto"/>
            <w:shd w:val="clear" w:color="auto" w:fill="auto"/>
          </w:tcPr>
          <w:p w14:paraId="5EA25F20" w14:textId="77777777" w:rsidR="003C66EB" w:rsidRDefault="003C66EB">
            <w:pPr>
              <w:rPr>
                <w:rFonts w:ascii="宋体"/>
              </w:rPr>
            </w:pPr>
          </w:p>
        </w:tc>
      </w:tr>
      <w:tr w:rsidR="003C66EB" w14:paraId="5EA25F30" w14:textId="77777777">
        <w:trPr>
          <w:hidden/>
        </w:trPr>
        <w:tc>
          <w:tcPr>
            <w:tcW w:w="0" w:type="auto"/>
            <w:gridSpan w:val="3"/>
            <w:shd w:val="clear" w:color="auto" w:fill="auto"/>
          </w:tcPr>
          <w:p w14:paraId="5EA25F22" w14:textId="77777777" w:rsidR="003C66EB" w:rsidRDefault="003C66EB">
            <w:pPr>
              <w:rPr>
                <w:rFonts w:ascii="宋体"/>
                <w:vanish/>
              </w:rPr>
            </w:pPr>
          </w:p>
        </w:tc>
        <w:tc>
          <w:tcPr>
            <w:tcW w:w="0" w:type="auto"/>
            <w:gridSpan w:val="3"/>
            <w:shd w:val="clear" w:color="auto" w:fill="auto"/>
          </w:tcPr>
          <w:p w14:paraId="5EA25F23" w14:textId="77777777" w:rsidR="003C66EB" w:rsidRDefault="003C66EB">
            <w:pPr>
              <w:rPr>
                <w:rFonts w:ascii="宋体"/>
                <w:vanish/>
              </w:rPr>
            </w:pPr>
          </w:p>
        </w:tc>
        <w:tc>
          <w:tcPr>
            <w:tcW w:w="0" w:type="auto"/>
            <w:gridSpan w:val="3"/>
            <w:shd w:val="clear" w:color="auto" w:fill="auto"/>
          </w:tcPr>
          <w:p w14:paraId="5EA25F24" w14:textId="77777777" w:rsidR="003C66EB" w:rsidRDefault="003C66EB">
            <w:pPr>
              <w:rPr>
                <w:rFonts w:ascii="宋体"/>
                <w:vanish/>
              </w:rPr>
            </w:pPr>
          </w:p>
        </w:tc>
        <w:tc>
          <w:tcPr>
            <w:tcW w:w="0" w:type="auto"/>
            <w:gridSpan w:val="3"/>
            <w:shd w:val="clear" w:color="auto" w:fill="auto"/>
          </w:tcPr>
          <w:p w14:paraId="5EA25F25" w14:textId="77777777" w:rsidR="003C66EB" w:rsidRDefault="003C66EB">
            <w:pPr>
              <w:rPr>
                <w:rFonts w:ascii="宋体"/>
                <w:vanish/>
              </w:rPr>
            </w:pPr>
          </w:p>
        </w:tc>
        <w:tc>
          <w:tcPr>
            <w:tcW w:w="0" w:type="auto"/>
            <w:shd w:val="clear" w:color="auto" w:fill="auto"/>
          </w:tcPr>
          <w:p w14:paraId="5EA25F26" w14:textId="77777777" w:rsidR="003C66EB" w:rsidRDefault="003C66EB">
            <w:pPr>
              <w:rPr>
                <w:rFonts w:ascii="宋体"/>
                <w:vanish/>
              </w:rPr>
            </w:pPr>
          </w:p>
        </w:tc>
        <w:tc>
          <w:tcPr>
            <w:tcW w:w="0" w:type="auto"/>
            <w:shd w:val="clear" w:color="auto" w:fill="auto"/>
          </w:tcPr>
          <w:p w14:paraId="5EA25F27" w14:textId="77777777" w:rsidR="003C66EB" w:rsidRDefault="003C66EB">
            <w:pPr>
              <w:rPr>
                <w:rFonts w:ascii="宋体"/>
                <w:vanish/>
              </w:rPr>
            </w:pPr>
          </w:p>
        </w:tc>
        <w:tc>
          <w:tcPr>
            <w:tcW w:w="0" w:type="auto"/>
            <w:gridSpan w:val="3"/>
            <w:shd w:val="clear" w:color="auto" w:fill="auto"/>
          </w:tcPr>
          <w:p w14:paraId="5EA25F28" w14:textId="77777777" w:rsidR="003C66EB" w:rsidRDefault="003C66EB">
            <w:pPr>
              <w:rPr>
                <w:rFonts w:ascii="宋体"/>
                <w:vanish/>
              </w:rPr>
            </w:pPr>
          </w:p>
        </w:tc>
        <w:tc>
          <w:tcPr>
            <w:tcW w:w="0" w:type="auto"/>
            <w:gridSpan w:val="3"/>
            <w:shd w:val="clear" w:color="auto" w:fill="auto"/>
          </w:tcPr>
          <w:p w14:paraId="5EA25F29" w14:textId="77777777" w:rsidR="003C66EB" w:rsidRDefault="003C66EB">
            <w:pPr>
              <w:rPr>
                <w:rFonts w:ascii="宋体"/>
                <w:vanish/>
              </w:rPr>
            </w:pPr>
          </w:p>
        </w:tc>
        <w:tc>
          <w:tcPr>
            <w:tcW w:w="0" w:type="auto"/>
            <w:gridSpan w:val="3"/>
            <w:shd w:val="clear" w:color="auto" w:fill="auto"/>
          </w:tcPr>
          <w:p w14:paraId="5EA25F2A" w14:textId="77777777" w:rsidR="003C66EB" w:rsidRDefault="003C66EB">
            <w:pPr>
              <w:rPr>
                <w:rFonts w:ascii="宋体"/>
                <w:vanish/>
              </w:rPr>
            </w:pPr>
          </w:p>
        </w:tc>
        <w:tc>
          <w:tcPr>
            <w:tcW w:w="0" w:type="auto"/>
            <w:gridSpan w:val="3"/>
            <w:shd w:val="clear" w:color="auto" w:fill="auto"/>
          </w:tcPr>
          <w:p w14:paraId="5EA25F2B" w14:textId="77777777" w:rsidR="003C66EB" w:rsidRDefault="003C66EB">
            <w:pPr>
              <w:rPr>
                <w:rFonts w:ascii="宋体"/>
                <w:vanish/>
              </w:rPr>
            </w:pPr>
          </w:p>
        </w:tc>
        <w:tc>
          <w:tcPr>
            <w:tcW w:w="0" w:type="auto"/>
            <w:gridSpan w:val="3"/>
            <w:shd w:val="clear" w:color="auto" w:fill="auto"/>
          </w:tcPr>
          <w:p w14:paraId="5EA25F2C" w14:textId="77777777" w:rsidR="003C66EB" w:rsidRDefault="003C66EB">
            <w:pPr>
              <w:rPr>
                <w:rFonts w:ascii="宋体"/>
                <w:vanish/>
              </w:rPr>
            </w:pPr>
          </w:p>
        </w:tc>
        <w:tc>
          <w:tcPr>
            <w:tcW w:w="0" w:type="auto"/>
            <w:gridSpan w:val="3"/>
            <w:shd w:val="clear" w:color="auto" w:fill="auto"/>
          </w:tcPr>
          <w:p w14:paraId="5EA25F2D" w14:textId="77777777" w:rsidR="003C66EB" w:rsidRDefault="003C66EB">
            <w:pPr>
              <w:rPr>
                <w:rFonts w:ascii="宋体"/>
                <w:vanish/>
              </w:rPr>
            </w:pPr>
          </w:p>
        </w:tc>
        <w:tc>
          <w:tcPr>
            <w:tcW w:w="0" w:type="auto"/>
            <w:gridSpan w:val="3"/>
            <w:shd w:val="clear" w:color="auto" w:fill="auto"/>
          </w:tcPr>
          <w:p w14:paraId="5EA25F2E" w14:textId="77777777" w:rsidR="003C66EB" w:rsidRDefault="003C66EB">
            <w:pPr>
              <w:rPr>
                <w:rFonts w:ascii="宋体"/>
                <w:vanish/>
              </w:rPr>
            </w:pPr>
          </w:p>
        </w:tc>
        <w:tc>
          <w:tcPr>
            <w:tcW w:w="0" w:type="auto"/>
            <w:gridSpan w:val="3"/>
            <w:shd w:val="clear" w:color="auto" w:fill="auto"/>
          </w:tcPr>
          <w:p w14:paraId="5EA25F2F" w14:textId="77777777" w:rsidR="003C66EB" w:rsidRDefault="003C66EB">
            <w:pPr>
              <w:rPr>
                <w:rFonts w:ascii="宋体"/>
                <w:vanish/>
              </w:rPr>
            </w:pPr>
          </w:p>
        </w:tc>
      </w:tr>
      <w:tr w:rsidR="003C66EB" w14:paraId="5EA25F47" w14:textId="77777777">
        <w:trPr>
          <w:hidden/>
        </w:trPr>
        <w:tc>
          <w:tcPr>
            <w:tcW w:w="0" w:type="auto"/>
            <w:gridSpan w:val="3"/>
            <w:shd w:val="clear" w:color="auto" w:fill="auto"/>
          </w:tcPr>
          <w:p w14:paraId="5EA25F31" w14:textId="77777777" w:rsidR="003C66EB" w:rsidRDefault="003C66EB">
            <w:pPr>
              <w:rPr>
                <w:rFonts w:ascii="宋体"/>
                <w:vanish/>
              </w:rPr>
            </w:pPr>
          </w:p>
        </w:tc>
        <w:tc>
          <w:tcPr>
            <w:tcW w:w="0" w:type="auto"/>
            <w:gridSpan w:val="3"/>
            <w:shd w:val="clear" w:color="auto" w:fill="auto"/>
          </w:tcPr>
          <w:p w14:paraId="5EA25F32" w14:textId="77777777" w:rsidR="003C66EB" w:rsidRDefault="003C66EB">
            <w:pPr>
              <w:rPr>
                <w:rFonts w:ascii="宋体"/>
                <w:vanish/>
              </w:rPr>
            </w:pPr>
          </w:p>
        </w:tc>
        <w:tc>
          <w:tcPr>
            <w:tcW w:w="0" w:type="auto"/>
            <w:gridSpan w:val="3"/>
            <w:shd w:val="clear" w:color="auto" w:fill="auto"/>
          </w:tcPr>
          <w:p w14:paraId="5EA25F33" w14:textId="77777777" w:rsidR="003C66EB" w:rsidRDefault="003C66EB">
            <w:pPr>
              <w:rPr>
                <w:rFonts w:ascii="宋体"/>
                <w:vanish/>
              </w:rPr>
            </w:pPr>
          </w:p>
        </w:tc>
        <w:tc>
          <w:tcPr>
            <w:tcW w:w="0" w:type="auto"/>
            <w:gridSpan w:val="3"/>
            <w:shd w:val="clear" w:color="auto" w:fill="auto"/>
          </w:tcPr>
          <w:p w14:paraId="5EA25F34" w14:textId="77777777" w:rsidR="003C66EB" w:rsidRDefault="003C66EB">
            <w:pPr>
              <w:rPr>
                <w:rFonts w:ascii="宋体"/>
                <w:vanish/>
              </w:rPr>
            </w:pPr>
          </w:p>
        </w:tc>
        <w:tc>
          <w:tcPr>
            <w:tcW w:w="0" w:type="auto"/>
            <w:shd w:val="clear" w:color="auto" w:fill="auto"/>
          </w:tcPr>
          <w:p w14:paraId="5EA25F35" w14:textId="77777777" w:rsidR="003C66EB" w:rsidRDefault="003C66EB">
            <w:pPr>
              <w:rPr>
                <w:rFonts w:ascii="宋体"/>
                <w:vanish/>
              </w:rPr>
            </w:pPr>
          </w:p>
        </w:tc>
        <w:tc>
          <w:tcPr>
            <w:tcW w:w="0" w:type="auto"/>
            <w:shd w:val="clear" w:color="auto" w:fill="auto"/>
          </w:tcPr>
          <w:p w14:paraId="5EA25F36" w14:textId="77777777" w:rsidR="003C66EB" w:rsidRDefault="003C66EB">
            <w:pPr>
              <w:rPr>
                <w:rFonts w:ascii="宋体"/>
                <w:vanish/>
              </w:rPr>
            </w:pPr>
          </w:p>
        </w:tc>
        <w:tc>
          <w:tcPr>
            <w:tcW w:w="0" w:type="auto"/>
            <w:gridSpan w:val="3"/>
            <w:shd w:val="clear" w:color="auto" w:fill="auto"/>
          </w:tcPr>
          <w:p w14:paraId="5EA25F37" w14:textId="77777777" w:rsidR="003C66EB" w:rsidRDefault="003C66EB">
            <w:pPr>
              <w:rPr>
                <w:rFonts w:ascii="宋体"/>
                <w:vanish/>
              </w:rPr>
            </w:pPr>
          </w:p>
        </w:tc>
        <w:tc>
          <w:tcPr>
            <w:tcW w:w="0" w:type="auto"/>
            <w:gridSpan w:val="3"/>
            <w:shd w:val="clear" w:color="auto" w:fill="auto"/>
          </w:tcPr>
          <w:p w14:paraId="5EA25F38" w14:textId="77777777" w:rsidR="003C66EB" w:rsidRDefault="003C66EB">
            <w:pPr>
              <w:rPr>
                <w:rFonts w:ascii="宋体"/>
                <w:vanish/>
              </w:rPr>
            </w:pPr>
          </w:p>
        </w:tc>
        <w:tc>
          <w:tcPr>
            <w:tcW w:w="0" w:type="auto"/>
            <w:gridSpan w:val="3"/>
            <w:shd w:val="clear" w:color="auto" w:fill="auto"/>
          </w:tcPr>
          <w:p w14:paraId="5EA25F39" w14:textId="77777777" w:rsidR="003C66EB" w:rsidRDefault="003C66EB">
            <w:pPr>
              <w:rPr>
                <w:rFonts w:ascii="宋体"/>
                <w:vanish/>
              </w:rPr>
            </w:pPr>
          </w:p>
        </w:tc>
        <w:tc>
          <w:tcPr>
            <w:tcW w:w="0" w:type="auto"/>
            <w:gridSpan w:val="3"/>
            <w:shd w:val="clear" w:color="auto" w:fill="auto"/>
          </w:tcPr>
          <w:p w14:paraId="5EA25F3A" w14:textId="77777777" w:rsidR="003C66EB" w:rsidRDefault="003C66EB">
            <w:pPr>
              <w:rPr>
                <w:rFonts w:ascii="宋体"/>
                <w:vanish/>
              </w:rPr>
            </w:pPr>
          </w:p>
        </w:tc>
        <w:tc>
          <w:tcPr>
            <w:tcW w:w="0" w:type="auto"/>
            <w:shd w:val="clear" w:color="auto" w:fill="auto"/>
          </w:tcPr>
          <w:p w14:paraId="5EA25F3B" w14:textId="77777777" w:rsidR="003C66EB" w:rsidRDefault="003C66EB">
            <w:pPr>
              <w:rPr>
                <w:rFonts w:ascii="宋体"/>
              </w:rPr>
            </w:pPr>
          </w:p>
        </w:tc>
        <w:tc>
          <w:tcPr>
            <w:tcW w:w="0" w:type="auto"/>
            <w:shd w:val="clear" w:color="auto" w:fill="auto"/>
          </w:tcPr>
          <w:p w14:paraId="5EA25F3C" w14:textId="77777777" w:rsidR="003C66EB" w:rsidRDefault="003C66EB">
            <w:pPr>
              <w:rPr>
                <w:rFonts w:ascii="宋体"/>
              </w:rPr>
            </w:pPr>
          </w:p>
        </w:tc>
        <w:tc>
          <w:tcPr>
            <w:tcW w:w="0" w:type="auto"/>
            <w:shd w:val="clear" w:color="auto" w:fill="auto"/>
          </w:tcPr>
          <w:p w14:paraId="5EA25F3D" w14:textId="77777777" w:rsidR="003C66EB" w:rsidRDefault="003C66EB">
            <w:pPr>
              <w:rPr>
                <w:rFonts w:ascii="宋体"/>
              </w:rPr>
            </w:pPr>
          </w:p>
        </w:tc>
        <w:tc>
          <w:tcPr>
            <w:tcW w:w="0" w:type="auto"/>
            <w:shd w:val="clear" w:color="auto" w:fill="auto"/>
          </w:tcPr>
          <w:p w14:paraId="5EA25F3E" w14:textId="77777777" w:rsidR="003C66EB" w:rsidRDefault="003C66EB">
            <w:pPr>
              <w:rPr>
                <w:rFonts w:ascii="宋体"/>
              </w:rPr>
            </w:pPr>
          </w:p>
        </w:tc>
        <w:tc>
          <w:tcPr>
            <w:tcW w:w="0" w:type="auto"/>
            <w:shd w:val="clear" w:color="auto" w:fill="auto"/>
          </w:tcPr>
          <w:p w14:paraId="5EA25F3F" w14:textId="77777777" w:rsidR="003C66EB" w:rsidRDefault="003C66EB">
            <w:pPr>
              <w:rPr>
                <w:rFonts w:ascii="宋体"/>
              </w:rPr>
            </w:pPr>
          </w:p>
        </w:tc>
        <w:tc>
          <w:tcPr>
            <w:tcW w:w="0" w:type="auto"/>
            <w:shd w:val="clear" w:color="auto" w:fill="auto"/>
          </w:tcPr>
          <w:p w14:paraId="5EA25F40" w14:textId="77777777" w:rsidR="003C66EB" w:rsidRDefault="003C66EB">
            <w:pPr>
              <w:rPr>
                <w:rFonts w:ascii="宋体"/>
              </w:rPr>
            </w:pPr>
          </w:p>
        </w:tc>
        <w:tc>
          <w:tcPr>
            <w:tcW w:w="0" w:type="auto"/>
            <w:shd w:val="clear" w:color="auto" w:fill="auto"/>
          </w:tcPr>
          <w:p w14:paraId="5EA25F41" w14:textId="77777777" w:rsidR="003C66EB" w:rsidRDefault="003C66EB">
            <w:pPr>
              <w:rPr>
                <w:rFonts w:ascii="宋体"/>
              </w:rPr>
            </w:pPr>
          </w:p>
        </w:tc>
        <w:tc>
          <w:tcPr>
            <w:tcW w:w="0" w:type="auto"/>
            <w:shd w:val="clear" w:color="auto" w:fill="auto"/>
          </w:tcPr>
          <w:p w14:paraId="5EA25F42" w14:textId="77777777" w:rsidR="003C66EB" w:rsidRDefault="003C66EB">
            <w:pPr>
              <w:rPr>
                <w:rFonts w:ascii="宋体"/>
              </w:rPr>
            </w:pPr>
          </w:p>
        </w:tc>
        <w:tc>
          <w:tcPr>
            <w:tcW w:w="0" w:type="auto"/>
            <w:shd w:val="clear" w:color="auto" w:fill="auto"/>
          </w:tcPr>
          <w:p w14:paraId="5EA25F43" w14:textId="77777777" w:rsidR="003C66EB" w:rsidRDefault="003C66EB">
            <w:pPr>
              <w:rPr>
                <w:rFonts w:ascii="宋体"/>
              </w:rPr>
            </w:pPr>
          </w:p>
        </w:tc>
        <w:tc>
          <w:tcPr>
            <w:tcW w:w="0" w:type="auto"/>
            <w:shd w:val="clear" w:color="auto" w:fill="auto"/>
          </w:tcPr>
          <w:p w14:paraId="5EA25F44" w14:textId="77777777" w:rsidR="003C66EB" w:rsidRDefault="003C66EB">
            <w:pPr>
              <w:rPr>
                <w:rFonts w:ascii="宋体"/>
              </w:rPr>
            </w:pPr>
          </w:p>
        </w:tc>
        <w:tc>
          <w:tcPr>
            <w:tcW w:w="0" w:type="auto"/>
            <w:shd w:val="clear" w:color="auto" w:fill="auto"/>
          </w:tcPr>
          <w:p w14:paraId="5EA25F45" w14:textId="77777777" w:rsidR="003C66EB" w:rsidRDefault="003C66EB">
            <w:pPr>
              <w:rPr>
                <w:rFonts w:ascii="宋体"/>
              </w:rPr>
            </w:pPr>
          </w:p>
        </w:tc>
        <w:tc>
          <w:tcPr>
            <w:tcW w:w="0" w:type="auto"/>
            <w:shd w:val="clear" w:color="auto" w:fill="auto"/>
          </w:tcPr>
          <w:p w14:paraId="5EA25F46" w14:textId="77777777" w:rsidR="003C66EB" w:rsidRDefault="003C66EB">
            <w:pPr>
              <w:rPr>
                <w:rFonts w:ascii="宋体"/>
              </w:rPr>
            </w:pPr>
          </w:p>
        </w:tc>
      </w:tr>
      <w:tr w:rsidR="003C66EB" w14:paraId="5EA25F56" w14:textId="77777777">
        <w:trPr>
          <w:hidden/>
        </w:trPr>
        <w:tc>
          <w:tcPr>
            <w:tcW w:w="0" w:type="auto"/>
            <w:gridSpan w:val="3"/>
            <w:shd w:val="clear" w:color="auto" w:fill="auto"/>
          </w:tcPr>
          <w:p w14:paraId="5EA25F48" w14:textId="77777777" w:rsidR="003C66EB" w:rsidRDefault="003C66EB">
            <w:pPr>
              <w:rPr>
                <w:rFonts w:ascii="宋体"/>
                <w:vanish/>
              </w:rPr>
            </w:pPr>
          </w:p>
        </w:tc>
        <w:tc>
          <w:tcPr>
            <w:tcW w:w="0" w:type="auto"/>
            <w:gridSpan w:val="3"/>
            <w:shd w:val="clear" w:color="auto" w:fill="auto"/>
          </w:tcPr>
          <w:p w14:paraId="5EA25F49" w14:textId="77777777" w:rsidR="003C66EB" w:rsidRDefault="003C66EB">
            <w:pPr>
              <w:rPr>
                <w:rFonts w:ascii="宋体"/>
                <w:vanish/>
              </w:rPr>
            </w:pPr>
          </w:p>
        </w:tc>
        <w:tc>
          <w:tcPr>
            <w:tcW w:w="0" w:type="auto"/>
            <w:gridSpan w:val="3"/>
            <w:shd w:val="clear" w:color="auto" w:fill="auto"/>
          </w:tcPr>
          <w:p w14:paraId="5EA25F4A" w14:textId="77777777" w:rsidR="003C66EB" w:rsidRDefault="003C66EB">
            <w:pPr>
              <w:rPr>
                <w:rFonts w:ascii="宋体"/>
                <w:vanish/>
              </w:rPr>
            </w:pPr>
          </w:p>
        </w:tc>
        <w:tc>
          <w:tcPr>
            <w:tcW w:w="0" w:type="auto"/>
            <w:gridSpan w:val="3"/>
            <w:shd w:val="clear" w:color="auto" w:fill="auto"/>
          </w:tcPr>
          <w:p w14:paraId="5EA25F4B" w14:textId="77777777" w:rsidR="003C66EB" w:rsidRDefault="003C66EB">
            <w:pPr>
              <w:rPr>
                <w:rFonts w:ascii="宋体"/>
                <w:vanish/>
              </w:rPr>
            </w:pPr>
          </w:p>
        </w:tc>
        <w:tc>
          <w:tcPr>
            <w:tcW w:w="0" w:type="auto"/>
            <w:shd w:val="clear" w:color="auto" w:fill="auto"/>
          </w:tcPr>
          <w:p w14:paraId="5EA25F4C" w14:textId="77777777" w:rsidR="003C66EB" w:rsidRDefault="003C66EB">
            <w:pPr>
              <w:rPr>
                <w:rFonts w:ascii="宋体"/>
                <w:vanish/>
              </w:rPr>
            </w:pPr>
          </w:p>
        </w:tc>
        <w:tc>
          <w:tcPr>
            <w:tcW w:w="0" w:type="auto"/>
            <w:shd w:val="clear" w:color="auto" w:fill="auto"/>
          </w:tcPr>
          <w:p w14:paraId="5EA25F4D" w14:textId="77777777" w:rsidR="003C66EB" w:rsidRDefault="003C66EB">
            <w:pPr>
              <w:rPr>
                <w:rFonts w:ascii="宋体"/>
                <w:vanish/>
              </w:rPr>
            </w:pPr>
          </w:p>
        </w:tc>
        <w:tc>
          <w:tcPr>
            <w:tcW w:w="0" w:type="auto"/>
            <w:gridSpan w:val="3"/>
            <w:shd w:val="clear" w:color="auto" w:fill="auto"/>
          </w:tcPr>
          <w:p w14:paraId="5EA25F4E" w14:textId="77777777" w:rsidR="003C66EB" w:rsidRDefault="003C66EB">
            <w:pPr>
              <w:rPr>
                <w:rFonts w:ascii="宋体"/>
                <w:vanish/>
              </w:rPr>
            </w:pPr>
          </w:p>
        </w:tc>
        <w:tc>
          <w:tcPr>
            <w:tcW w:w="0" w:type="auto"/>
            <w:gridSpan w:val="3"/>
            <w:shd w:val="clear" w:color="auto" w:fill="auto"/>
          </w:tcPr>
          <w:p w14:paraId="5EA25F4F" w14:textId="77777777" w:rsidR="003C66EB" w:rsidRDefault="003C66EB">
            <w:pPr>
              <w:rPr>
                <w:rFonts w:ascii="宋体"/>
                <w:vanish/>
              </w:rPr>
            </w:pPr>
          </w:p>
        </w:tc>
        <w:tc>
          <w:tcPr>
            <w:tcW w:w="0" w:type="auto"/>
            <w:gridSpan w:val="3"/>
            <w:shd w:val="clear" w:color="auto" w:fill="auto"/>
          </w:tcPr>
          <w:p w14:paraId="5EA25F50" w14:textId="77777777" w:rsidR="003C66EB" w:rsidRDefault="003C66EB">
            <w:pPr>
              <w:rPr>
                <w:rFonts w:ascii="宋体"/>
                <w:vanish/>
              </w:rPr>
            </w:pPr>
          </w:p>
        </w:tc>
        <w:tc>
          <w:tcPr>
            <w:tcW w:w="0" w:type="auto"/>
            <w:gridSpan w:val="3"/>
            <w:shd w:val="clear" w:color="auto" w:fill="auto"/>
          </w:tcPr>
          <w:p w14:paraId="5EA25F51" w14:textId="77777777" w:rsidR="003C66EB" w:rsidRDefault="003C66EB">
            <w:pPr>
              <w:rPr>
                <w:rFonts w:ascii="宋体"/>
                <w:vanish/>
              </w:rPr>
            </w:pPr>
          </w:p>
        </w:tc>
        <w:tc>
          <w:tcPr>
            <w:tcW w:w="0" w:type="auto"/>
            <w:gridSpan w:val="3"/>
            <w:shd w:val="clear" w:color="auto" w:fill="auto"/>
          </w:tcPr>
          <w:p w14:paraId="5EA25F52" w14:textId="77777777" w:rsidR="003C66EB" w:rsidRDefault="003C66EB">
            <w:pPr>
              <w:rPr>
                <w:rFonts w:ascii="宋体"/>
                <w:vanish/>
              </w:rPr>
            </w:pPr>
          </w:p>
        </w:tc>
        <w:tc>
          <w:tcPr>
            <w:tcW w:w="0" w:type="auto"/>
            <w:gridSpan w:val="3"/>
            <w:shd w:val="clear" w:color="auto" w:fill="auto"/>
          </w:tcPr>
          <w:p w14:paraId="5EA25F53" w14:textId="77777777" w:rsidR="003C66EB" w:rsidRDefault="003C66EB">
            <w:pPr>
              <w:rPr>
                <w:rFonts w:ascii="宋体"/>
                <w:vanish/>
              </w:rPr>
            </w:pPr>
          </w:p>
        </w:tc>
        <w:tc>
          <w:tcPr>
            <w:tcW w:w="0" w:type="auto"/>
            <w:gridSpan w:val="3"/>
            <w:shd w:val="clear" w:color="auto" w:fill="auto"/>
          </w:tcPr>
          <w:p w14:paraId="5EA25F54" w14:textId="77777777" w:rsidR="003C66EB" w:rsidRDefault="003C66EB">
            <w:pPr>
              <w:rPr>
                <w:rFonts w:ascii="宋体"/>
                <w:vanish/>
              </w:rPr>
            </w:pPr>
          </w:p>
        </w:tc>
        <w:tc>
          <w:tcPr>
            <w:tcW w:w="0" w:type="auto"/>
            <w:gridSpan w:val="3"/>
            <w:shd w:val="clear" w:color="auto" w:fill="auto"/>
          </w:tcPr>
          <w:p w14:paraId="5EA25F55" w14:textId="77777777" w:rsidR="003C66EB" w:rsidRDefault="003C66EB">
            <w:pPr>
              <w:rPr>
                <w:rFonts w:ascii="宋体"/>
                <w:vanish/>
              </w:rPr>
            </w:pPr>
          </w:p>
        </w:tc>
      </w:tr>
      <w:tr w:rsidR="003C66EB" w14:paraId="5EA25F65" w14:textId="77777777">
        <w:trPr>
          <w:hidden/>
        </w:trPr>
        <w:tc>
          <w:tcPr>
            <w:tcW w:w="0" w:type="auto"/>
            <w:gridSpan w:val="3"/>
            <w:shd w:val="clear" w:color="auto" w:fill="auto"/>
          </w:tcPr>
          <w:p w14:paraId="5EA25F57" w14:textId="77777777" w:rsidR="003C66EB" w:rsidRDefault="003C66EB">
            <w:pPr>
              <w:rPr>
                <w:rFonts w:ascii="宋体"/>
                <w:vanish/>
              </w:rPr>
            </w:pPr>
          </w:p>
        </w:tc>
        <w:tc>
          <w:tcPr>
            <w:tcW w:w="0" w:type="auto"/>
            <w:gridSpan w:val="3"/>
            <w:shd w:val="clear" w:color="auto" w:fill="auto"/>
          </w:tcPr>
          <w:p w14:paraId="5EA25F58" w14:textId="77777777" w:rsidR="003C66EB" w:rsidRDefault="003C66EB">
            <w:pPr>
              <w:rPr>
                <w:rFonts w:ascii="宋体"/>
                <w:vanish/>
              </w:rPr>
            </w:pPr>
          </w:p>
        </w:tc>
        <w:tc>
          <w:tcPr>
            <w:tcW w:w="0" w:type="auto"/>
            <w:gridSpan w:val="3"/>
            <w:shd w:val="clear" w:color="auto" w:fill="auto"/>
          </w:tcPr>
          <w:p w14:paraId="5EA25F59" w14:textId="77777777" w:rsidR="003C66EB" w:rsidRDefault="003C66EB">
            <w:pPr>
              <w:rPr>
                <w:rFonts w:ascii="宋体"/>
                <w:vanish/>
              </w:rPr>
            </w:pPr>
          </w:p>
        </w:tc>
        <w:tc>
          <w:tcPr>
            <w:tcW w:w="0" w:type="auto"/>
            <w:gridSpan w:val="3"/>
            <w:shd w:val="clear" w:color="auto" w:fill="auto"/>
          </w:tcPr>
          <w:p w14:paraId="5EA25F5A" w14:textId="77777777" w:rsidR="003C66EB" w:rsidRDefault="003C66EB">
            <w:pPr>
              <w:rPr>
                <w:rFonts w:ascii="宋体"/>
                <w:vanish/>
              </w:rPr>
            </w:pPr>
          </w:p>
        </w:tc>
        <w:tc>
          <w:tcPr>
            <w:tcW w:w="0" w:type="auto"/>
            <w:shd w:val="clear" w:color="auto" w:fill="auto"/>
          </w:tcPr>
          <w:p w14:paraId="5EA25F5B" w14:textId="77777777" w:rsidR="003C66EB" w:rsidRDefault="003C66EB">
            <w:pPr>
              <w:rPr>
                <w:rFonts w:ascii="宋体"/>
                <w:vanish/>
              </w:rPr>
            </w:pPr>
          </w:p>
        </w:tc>
        <w:tc>
          <w:tcPr>
            <w:tcW w:w="0" w:type="auto"/>
            <w:shd w:val="clear" w:color="auto" w:fill="auto"/>
          </w:tcPr>
          <w:p w14:paraId="5EA25F5C" w14:textId="77777777" w:rsidR="003C66EB" w:rsidRDefault="003C66EB">
            <w:pPr>
              <w:rPr>
                <w:rFonts w:ascii="宋体"/>
                <w:vanish/>
              </w:rPr>
            </w:pPr>
          </w:p>
        </w:tc>
        <w:tc>
          <w:tcPr>
            <w:tcW w:w="0" w:type="auto"/>
            <w:gridSpan w:val="3"/>
            <w:shd w:val="clear" w:color="auto" w:fill="auto"/>
          </w:tcPr>
          <w:p w14:paraId="5EA25F5D" w14:textId="77777777" w:rsidR="003C66EB" w:rsidRDefault="003C66EB">
            <w:pPr>
              <w:rPr>
                <w:rFonts w:ascii="宋体"/>
                <w:vanish/>
              </w:rPr>
            </w:pPr>
          </w:p>
        </w:tc>
        <w:tc>
          <w:tcPr>
            <w:tcW w:w="0" w:type="auto"/>
            <w:gridSpan w:val="3"/>
            <w:shd w:val="clear" w:color="auto" w:fill="auto"/>
          </w:tcPr>
          <w:p w14:paraId="5EA25F5E" w14:textId="77777777" w:rsidR="003C66EB" w:rsidRDefault="003C66EB">
            <w:pPr>
              <w:rPr>
                <w:rFonts w:ascii="宋体"/>
                <w:vanish/>
              </w:rPr>
            </w:pPr>
          </w:p>
        </w:tc>
        <w:tc>
          <w:tcPr>
            <w:tcW w:w="0" w:type="auto"/>
            <w:gridSpan w:val="3"/>
            <w:shd w:val="clear" w:color="auto" w:fill="auto"/>
          </w:tcPr>
          <w:p w14:paraId="5EA25F5F" w14:textId="77777777" w:rsidR="003C66EB" w:rsidRDefault="003C66EB">
            <w:pPr>
              <w:rPr>
                <w:rFonts w:ascii="宋体"/>
                <w:vanish/>
              </w:rPr>
            </w:pPr>
          </w:p>
        </w:tc>
        <w:tc>
          <w:tcPr>
            <w:tcW w:w="0" w:type="auto"/>
            <w:gridSpan w:val="3"/>
            <w:shd w:val="clear" w:color="auto" w:fill="auto"/>
          </w:tcPr>
          <w:p w14:paraId="5EA25F60" w14:textId="77777777" w:rsidR="003C66EB" w:rsidRDefault="003C66EB">
            <w:pPr>
              <w:rPr>
                <w:rFonts w:ascii="宋体"/>
                <w:vanish/>
              </w:rPr>
            </w:pPr>
          </w:p>
        </w:tc>
        <w:tc>
          <w:tcPr>
            <w:tcW w:w="0" w:type="auto"/>
            <w:gridSpan w:val="3"/>
            <w:shd w:val="clear" w:color="auto" w:fill="auto"/>
          </w:tcPr>
          <w:p w14:paraId="5EA25F61" w14:textId="77777777" w:rsidR="003C66EB" w:rsidRDefault="003C66EB">
            <w:pPr>
              <w:rPr>
                <w:rFonts w:ascii="宋体"/>
                <w:vanish/>
              </w:rPr>
            </w:pPr>
          </w:p>
        </w:tc>
        <w:tc>
          <w:tcPr>
            <w:tcW w:w="0" w:type="auto"/>
            <w:gridSpan w:val="3"/>
            <w:shd w:val="clear" w:color="auto" w:fill="auto"/>
          </w:tcPr>
          <w:p w14:paraId="5EA25F62" w14:textId="77777777" w:rsidR="003C66EB" w:rsidRDefault="003C66EB">
            <w:pPr>
              <w:rPr>
                <w:rFonts w:ascii="宋体"/>
                <w:vanish/>
              </w:rPr>
            </w:pPr>
          </w:p>
        </w:tc>
        <w:tc>
          <w:tcPr>
            <w:tcW w:w="0" w:type="auto"/>
            <w:gridSpan w:val="3"/>
            <w:shd w:val="clear" w:color="auto" w:fill="auto"/>
          </w:tcPr>
          <w:p w14:paraId="5EA25F63" w14:textId="77777777" w:rsidR="003C66EB" w:rsidRDefault="003C66EB">
            <w:pPr>
              <w:rPr>
                <w:rFonts w:ascii="宋体"/>
                <w:vanish/>
              </w:rPr>
            </w:pPr>
          </w:p>
        </w:tc>
        <w:tc>
          <w:tcPr>
            <w:tcW w:w="0" w:type="auto"/>
            <w:gridSpan w:val="3"/>
            <w:shd w:val="clear" w:color="auto" w:fill="auto"/>
          </w:tcPr>
          <w:p w14:paraId="5EA25F64" w14:textId="77777777" w:rsidR="003C66EB" w:rsidRDefault="003C66EB">
            <w:pPr>
              <w:rPr>
                <w:rFonts w:ascii="宋体"/>
                <w:vanish/>
              </w:rPr>
            </w:pPr>
          </w:p>
        </w:tc>
      </w:tr>
      <w:tr w:rsidR="003C66EB" w14:paraId="5EA25F74" w14:textId="77777777">
        <w:trPr>
          <w:hidden/>
        </w:trPr>
        <w:tc>
          <w:tcPr>
            <w:tcW w:w="0" w:type="auto"/>
            <w:gridSpan w:val="3"/>
            <w:shd w:val="clear" w:color="auto" w:fill="auto"/>
          </w:tcPr>
          <w:p w14:paraId="5EA25F66" w14:textId="77777777" w:rsidR="003C66EB" w:rsidRDefault="003C66EB">
            <w:pPr>
              <w:rPr>
                <w:rFonts w:ascii="宋体"/>
                <w:vanish/>
              </w:rPr>
            </w:pPr>
          </w:p>
        </w:tc>
        <w:tc>
          <w:tcPr>
            <w:tcW w:w="0" w:type="auto"/>
            <w:gridSpan w:val="3"/>
            <w:shd w:val="clear" w:color="auto" w:fill="auto"/>
          </w:tcPr>
          <w:p w14:paraId="5EA25F67" w14:textId="77777777" w:rsidR="003C66EB" w:rsidRDefault="003C66EB">
            <w:pPr>
              <w:rPr>
                <w:rFonts w:ascii="宋体"/>
                <w:vanish/>
              </w:rPr>
            </w:pPr>
          </w:p>
        </w:tc>
        <w:tc>
          <w:tcPr>
            <w:tcW w:w="0" w:type="auto"/>
            <w:gridSpan w:val="3"/>
            <w:shd w:val="clear" w:color="auto" w:fill="auto"/>
          </w:tcPr>
          <w:p w14:paraId="5EA25F68" w14:textId="77777777" w:rsidR="003C66EB" w:rsidRDefault="003C66EB">
            <w:pPr>
              <w:rPr>
                <w:rFonts w:ascii="宋体"/>
                <w:vanish/>
              </w:rPr>
            </w:pPr>
          </w:p>
        </w:tc>
        <w:tc>
          <w:tcPr>
            <w:tcW w:w="0" w:type="auto"/>
            <w:gridSpan w:val="3"/>
            <w:shd w:val="clear" w:color="auto" w:fill="auto"/>
          </w:tcPr>
          <w:p w14:paraId="5EA25F69" w14:textId="77777777" w:rsidR="003C66EB" w:rsidRDefault="003C66EB">
            <w:pPr>
              <w:rPr>
                <w:rFonts w:ascii="宋体"/>
                <w:vanish/>
              </w:rPr>
            </w:pPr>
          </w:p>
        </w:tc>
        <w:tc>
          <w:tcPr>
            <w:tcW w:w="0" w:type="auto"/>
            <w:shd w:val="clear" w:color="auto" w:fill="auto"/>
          </w:tcPr>
          <w:p w14:paraId="5EA25F6A" w14:textId="77777777" w:rsidR="003C66EB" w:rsidRDefault="003C66EB">
            <w:pPr>
              <w:rPr>
                <w:rFonts w:ascii="宋体"/>
                <w:vanish/>
              </w:rPr>
            </w:pPr>
          </w:p>
        </w:tc>
        <w:tc>
          <w:tcPr>
            <w:tcW w:w="0" w:type="auto"/>
            <w:shd w:val="clear" w:color="auto" w:fill="auto"/>
          </w:tcPr>
          <w:p w14:paraId="5EA25F6B" w14:textId="77777777" w:rsidR="003C66EB" w:rsidRDefault="003C66EB">
            <w:pPr>
              <w:rPr>
                <w:rFonts w:ascii="宋体"/>
                <w:vanish/>
              </w:rPr>
            </w:pPr>
          </w:p>
        </w:tc>
        <w:tc>
          <w:tcPr>
            <w:tcW w:w="0" w:type="auto"/>
            <w:gridSpan w:val="3"/>
            <w:shd w:val="clear" w:color="auto" w:fill="auto"/>
          </w:tcPr>
          <w:p w14:paraId="5EA25F6C" w14:textId="77777777" w:rsidR="003C66EB" w:rsidRDefault="003C66EB">
            <w:pPr>
              <w:rPr>
                <w:rFonts w:ascii="宋体"/>
                <w:vanish/>
              </w:rPr>
            </w:pPr>
          </w:p>
        </w:tc>
        <w:tc>
          <w:tcPr>
            <w:tcW w:w="0" w:type="auto"/>
            <w:gridSpan w:val="3"/>
            <w:shd w:val="clear" w:color="auto" w:fill="auto"/>
          </w:tcPr>
          <w:p w14:paraId="5EA25F6D" w14:textId="77777777" w:rsidR="003C66EB" w:rsidRDefault="003C66EB">
            <w:pPr>
              <w:rPr>
                <w:rFonts w:ascii="宋体"/>
                <w:vanish/>
              </w:rPr>
            </w:pPr>
          </w:p>
        </w:tc>
        <w:tc>
          <w:tcPr>
            <w:tcW w:w="0" w:type="auto"/>
            <w:gridSpan w:val="3"/>
            <w:shd w:val="clear" w:color="auto" w:fill="auto"/>
          </w:tcPr>
          <w:p w14:paraId="5EA25F6E" w14:textId="77777777" w:rsidR="003C66EB" w:rsidRDefault="003C66EB">
            <w:pPr>
              <w:rPr>
                <w:rFonts w:ascii="宋体"/>
                <w:vanish/>
              </w:rPr>
            </w:pPr>
          </w:p>
        </w:tc>
        <w:tc>
          <w:tcPr>
            <w:tcW w:w="0" w:type="auto"/>
            <w:gridSpan w:val="3"/>
            <w:shd w:val="clear" w:color="auto" w:fill="auto"/>
          </w:tcPr>
          <w:p w14:paraId="5EA25F6F" w14:textId="77777777" w:rsidR="003C66EB" w:rsidRDefault="003C66EB">
            <w:pPr>
              <w:rPr>
                <w:rFonts w:ascii="宋体"/>
                <w:vanish/>
              </w:rPr>
            </w:pPr>
          </w:p>
        </w:tc>
        <w:tc>
          <w:tcPr>
            <w:tcW w:w="0" w:type="auto"/>
            <w:gridSpan w:val="3"/>
            <w:shd w:val="clear" w:color="auto" w:fill="auto"/>
          </w:tcPr>
          <w:p w14:paraId="5EA25F70" w14:textId="77777777" w:rsidR="003C66EB" w:rsidRDefault="003C66EB">
            <w:pPr>
              <w:rPr>
                <w:rFonts w:ascii="宋体"/>
                <w:vanish/>
              </w:rPr>
            </w:pPr>
          </w:p>
        </w:tc>
        <w:tc>
          <w:tcPr>
            <w:tcW w:w="0" w:type="auto"/>
            <w:gridSpan w:val="3"/>
            <w:shd w:val="clear" w:color="auto" w:fill="auto"/>
          </w:tcPr>
          <w:p w14:paraId="5EA25F71" w14:textId="77777777" w:rsidR="003C66EB" w:rsidRDefault="003C66EB">
            <w:pPr>
              <w:rPr>
                <w:rFonts w:ascii="宋体"/>
                <w:vanish/>
              </w:rPr>
            </w:pPr>
          </w:p>
        </w:tc>
        <w:tc>
          <w:tcPr>
            <w:tcW w:w="0" w:type="auto"/>
            <w:gridSpan w:val="3"/>
            <w:shd w:val="clear" w:color="auto" w:fill="auto"/>
          </w:tcPr>
          <w:p w14:paraId="5EA25F72" w14:textId="77777777" w:rsidR="003C66EB" w:rsidRDefault="003C66EB">
            <w:pPr>
              <w:rPr>
                <w:rFonts w:ascii="宋体"/>
                <w:vanish/>
              </w:rPr>
            </w:pPr>
          </w:p>
        </w:tc>
        <w:tc>
          <w:tcPr>
            <w:tcW w:w="0" w:type="auto"/>
            <w:gridSpan w:val="3"/>
            <w:shd w:val="clear" w:color="auto" w:fill="auto"/>
          </w:tcPr>
          <w:p w14:paraId="5EA25F73" w14:textId="77777777" w:rsidR="003C66EB" w:rsidRDefault="003C66EB">
            <w:pPr>
              <w:rPr>
                <w:rFonts w:ascii="宋体"/>
                <w:vanish/>
              </w:rPr>
            </w:pPr>
          </w:p>
        </w:tc>
      </w:tr>
      <w:tr w:rsidR="003C66EB" w14:paraId="5EA25F83" w14:textId="77777777">
        <w:trPr>
          <w:hidden/>
        </w:trPr>
        <w:tc>
          <w:tcPr>
            <w:tcW w:w="0" w:type="auto"/>
            <w:gridSpan w:val="3"/>
            <w:shd w:val="clear" w:color="auto" w:fill="auto"/>
          </w:tcPr>
          <w:p w14:paraId="5EA25F75" w14:textId="77777777" w:rsidR="003C66EB" w:rsidRDefault="003C66EB">
            <w:pPr>
              <w:rPr>
                <w:rFonts w:ascii="宋体"/>
                <w:vanish/>
              </w:rPr>
            </w:pPr>
          </w:p>
        </w:tc>
        <w:tc>
          <w:tcPr>
            <w:tcW w:w="0" w:type="auto"/>
            <w:gridSpan w:val="3"/>
            <w:shd w:val="clear" w:color="auto" w:fill="auto"/>
          </w:tcPr>
          <w:p w14:paraId="5EA25F76" w14:textId="77777777" w:rsidR="003C66EB" w:rsidRDefault="003C66EB">
            <w:pPr>
              <w:rPr>
                <w:rFonts w:ascii="宋体"/>
                <w:vanish/>
              </w:rPr>
            </w:pPr>
          </w:p>
        </w:tc>
        <w:tc>
          <w:tcPr>
            <w:tcW w:w="0" w:type="auto"/>
            <w:gridSpan w:val="3"/>
            <w:shd w:val="clear" w:color="auto" w:fill="auto"/>
          </w:tcPr>
          <w:p w14:paraId="5EA25F77" w14:textId="77777777" w:rsidR="003C66EB" w:rsidRDefault="003C66EB">
            <w:pPr>
              <w:rPr>
                <w:rFonts w:ascii="宋体"/>
                <w:vanish/>
              </w:rPr>
            </w:pPr>
          </w:p>
        </w:tc>
        <w:tc>
          <w:tcPr>
            <w:tcW w:w="0" w:type="auto"/>
            <w:gridSpan w:val="3"/>
            <w:shd w:val="clear" w:color="auto" w:fill="auto"/>
          </w:tcPr>
          <w:p w14:paraId="5EA25F78" w14:textId="77777777" w:rsidR="003C66EB" w:rsidRDefault="003C66EB">
            <w:pPr>
              <w:rPr>
                <w:rFonts w:ascii="宋体"/>
                <w:vanish/>
              </w:rPr>
            </w:pPr>
          </w:p>
        </w:tc>
        <w:tc>
          <w:tcPr>
            <w:tcW w:w="0" w:type="auto"/>
            <w:shd w:val="clear" w:color="auto" w:fill="auto"/>
          </w:tcPr>
          <w:p w14:paraId="5EA25F79" w14:textId="77777777" w:rsidR="003C66EB" w:rsidRDefault="003C66EB">
            <w:pPr>
              <w:rPr>
                <w:rFonts w:ascii="宋体"/>
                <w:vanish/>
              </w:rPr>
            </w:pPr>
          </w:p>
        </w:tc>
        <w:tc>
          <w:tcPr>
            <w:tcW w:w="0" w:type="auto"/>
            <w:shd w:val="clear" w:color="auto" w:fill="auto"/>
          </w:tcPr>
          <w:p w14:paraId="5EA25F7A" w14:textId="77777777" w:rsidR="003C66EB" w:rsidRDefault="003C66EB">
            <w:pPr>
              <w:rPr>
                <w:rFonts w:ascii="宋体"/>
                <w:vanish/>
              </w:rPr>
            </w:pPr>
          </w:p>
        </w:tc>
        <w:tc>
          <w:tcPr>
            <w:tcW w:w="0" w:type="auto"/>
            <w:gridSpan w:val="3"/>
            <w:shd w:val="clear" w:color="auto" w:fill="auto"/>
          </w:tcPr>
          <w:p w14:paraId="5EA25F7B" w14:textId="77777777" w:rsidR="003C66EB" w:rsidRDefault="003C66EB">
            <w:pPr>
              <w:rPr>
                <w:rFonts w:ascii="宋体"/>
                <w:vanish/>
              </w:rPr>
            </w:pPr>
          </w:p>
        </w:tc>
        <w:tc>
          <w:tcPr>
            <w:tcW w:w="0" w:type="auto"/>
            <w:gridSpan w:val="3"/>
            <w:shd w:val="clear" w:color="auto" w:fill="auto"/>
          </w:tcPr>
          <w:p w14:paraId="5EA25F7C" w14:textId="77777777" w:rsidR="003C66EB" w:rsidRDefault="003C66EB">
            <w:pPr>
              <w:rPr>
                <w:rFonts w:ascii="宋体"/>
                <w:vanish/>
              </w:rPr>
            </w:pPr>
          </w:p>
        </w:tc>
        <w:tc>
          <w:tcPr>
            <w:tcW w:w="0" w:type="auto"/>
            <w:gridSpan w:val="3"/>
            <w:shd w:val="clear" w:color="auto" w:fill="auto"/>
          </w:tcPr>
          <w:p w14:paraId="5EA25F7D" w14:textId="77777777" w:rsidR="003C66EB" w:rsidRDefault="003C66EB">
            <w:pPr>
              <w:rPr>
                <w:rFonts w:ascii="宋体"/>
                <w:vanish/>
              </w:rPr>
            </w:pPr>
          </w:p>
        </w:tc>
        <w:tc>
          <w:tcPr>
            <w:tcW w:w="0" w:type="auto"/>
            <w:gridSpan w:val="3"/>
            <w:shd w:val="clear" w:color="auto" w:fill="auto"/>
          </w:tcPr>
          <w:p w14:paraId="5EA25F7E" w14:textId="77777777" w:rsidR="003C66EB" w:rsidRDefault="003C66EB">
            <w:pPr>
              <w:rPr>
                <w:rFonts w:ascii="宋体"/>
                <w:vanish/>
              </w:rPr>
            </w:pPr>
          </w:p>
        </w:tc>
        <w:tc>
          <w:tcPr>
            <w:tcW w:w="0" w:type="auto"/>
            <w:gridSpan w:val="3"/>
            <w:shd w:val="clear" w:color="auto" w:fill="auto"/>
          </w:tcPr>
          <w:p w14:paraId="5EA25F7F" w14:textId="77777777" w:rsidR="003C66EB" w:rsidRDefault="003C66EB">
            <w:pPr>
              <w:rPr>
                <w:rFonts w:ascii="宋体"/>
                <w:vanish/>
              </w:rPr>
            </w:pPr>
          </w:p>
        </w:tc>
        <w:tc>
          <w:tcPr>
            <w:tcW w:w="0" w:type="auto"/>
            <w:gridSpan w:val="3"/>
            <w:shd w:val="clear" w:color="auto" w:fill="auto"/>
          </w:tcPr>
          <w:p w14:paraId="5EA25F80" w14:textId="77777777" w:rsidR="003C66EB" w:rsidRDefault="003C66EB">
            <w:pPr>
              <w:rPr>
                <w:rFonts w:ascii="宋体"/>
                <w:vanish/>
              </w:rPr>
            </w:pPr>
          </w:p>
        </w:tc>
        <w:tc>
          <w:tcPr>
            <w:tcW w:w="0" w:type="auto"/>
            <w:gridSpan w:val="3"/>
            <w:shd w:val="clear" w:color="auto" w:fill="auto"/>
          </w:tcPr>
          <w:p w14:paraId="5EA25F81" w14:textId="77777777" w:rsidR="003C66EB" w:rsidRDefault="003C66EB">
            <w:pPr>
              <w:rPr>
                <w:rFonts w:ascii="宋体"/>
                <w:vanish/>
              </w:rPr>
            </w:pPr>
          </w:p>
        </w:tc>
        <w:tc>
          <w:tcPr>
            <w:tcW w:w="0" w:type="auto"/>
            <w:gridSpan w:val="3"/>
            <w:shd w:val="clear" w:color="auto" w:fill="auto"/>
          </w:tcPr>
          <w:p w14:paraId="5EA25F82" w14:textId="77777777" w:rsidR="003C66EB" w:rsidRDefault="003C66EB">
            <w:pPr>
              <w:rPr>
                <w:rFonts w:ascii="宋体"/>
                <w:vanish/>
              </w:rPr>
            </w:pPr>
          </w:p>
        </w:tc>
      </w:tr>
      <w:tr w:rsidR="003C66EB" w14:paraId="5EA25F92" w14:textId="77777777">
        <w:trPr>
          <w:hidden/>
        </w:trPr>
        <w:tc>
          <w:tcPr>
            <w:tcW w:w="0" w:type="auto"/>
            <w:gridSpan w:val="3"/>
            <w:shd w:val="clear" w:color="auto" w:fill="auto"/>
          </w:tcPr>
          <w:p w14:paraId="5EA25F84" w14:textId="77777777" w:rsidR="003C66EB" w:rsidRDefault="003C66EB">
            <w:pPr>
              <w:rPr>
                <w:rFonts w:ascii="宋体"/>
                <w:vanish/>
              </w:rPr>
            </w:pPr>
          </w:p>
        </w:tc>
        <w:tc>
          <w:tcPr>
            <w:tcW w:w="0" w:type="auto"/>
            <w:gridSpan w:val="3"/>
            <w:shd w:val="clear" w:color="auto" w:fill="auto"/>
          </w:tcPr>
          <w:p w14:paraId="5EA25F85" w14:textId="77777777" w:rsidR="003C66EB" w:rsidRDefault="003C66EB">
            <w:pPr>
              <w:rPr>
                <w:rFonts w:ascii="宋体"/>
                <w:vanish/>
              </w:rPr>
            </w:pPr>
          </w:p>
        </w:tc>
        <w:tc>
          <w:tcPr>
            <w:tcW w:w="0" w:type="auto"/>
            <w:gridSpan w:val="3"/>
            <w:shd w:val="clear" w:color="auto" w:fill="auto"/>
          </w:tcPr>
          <w:p w14:paraId="5EA25F86" w14:textId="77777777" w:rsidR="003C66EB" w:rsidRDefault="003C66EB">
            <w:pPr>
              <w:rPr>
                <w:rFonts w:ascii="宋体"/>
                <w:vanish/>
              </w:rPr>
            </w:pPr>
          </w:p>
        </w:tc>
        <w:tc>
          <w:tcPr>
            <w:tcW w:w="0" w:type="auto"/>
            <w:gridSpan w:val="3"/>
            <w:shd w:val="clear" w:color="auto" w:fill="auto"/>
          </w:tcPr>
          <w:p w14:paraId="5EA25F87" w14:textId="77777777" w:rsidR="003C66EB" w:rsidRDefault="003C66EB">
            <w:pPr>
              <w:rPr>
                <w:rFonts w:ascii="宋体"/>
                <w:vanish/>
              </w:rPr>
            </w:pPr>
          </w:p>
        </w:tc>
        <w:tc>
          <w:tcPr>
            <w:tcW w:w="0" w:type="auto"/>
            <w:shd w:val="clear" w:color="auto" w:fill="auto"/>
          </w:tcPr>
          <w:p w14:paraId="5EA25F88" w14:textId="77777777" w:rsidR="003C66EB" w:rsidRDefault="003C66EB">
            <w:pPr>
              <w:rPr>
                <w:rFonts w:ascii="宋体"/>
                <w:vanish/>
              </w:rPr>
            </w:pPr>
          </w:p>
        </w:tc>
        <w:tc>
          <w:tcPr>
            <w:tcW w:w="0" w:type="auto"/>
            <w:shd w:val="clear" w:color="auto" w:fill="auto"/>
          </w:tcPr>
          <w:p w14:paraId="5EA25F89" w14:textId="77777777" w:rsidR="003C66EB" w:rsidRDefault="003C66EB">
            <w:pPr>
              <w:rPr>
                <w:rFonts w:ascii="宋体"/>
                <w:vanish/>
              </w:rPr>
            </w:pPr>
          </w:p>
        </w:tc>
        <w:tc>
          <w:tcPr>
            <w:tcW w:w="0" w:type="auto"/>
            <w:gridSpan w:val="3"/>
            <w:shd w:val="clear" w:color="auto" w:fill="auto"/>
          </w:tcPr>
          <w:p w14:paraId="5EA25F8A" w14:textId="77777777" w:rsidR="003C66EB" w:rsidRDefault="003C66EB">
            <w:pPr>
              <w:rPr>
                <w:rFonts w:ascii="宋体"/>
                <w:vanish/>
              </w:rPr>
            </w:pPr>
          </w:p>
        </w:tc>
        <w:tc>
          <w:tcPr>
            <w:tcW w:w="0" w:type="auto"/>
            <w:gridSpan w:val="3"/>
            <w:shd w:val="clear" w:color="auto" w:fill="auto"/>
          </w:tcPr>
          <w:p w14:paraId="5EA25F8B" w14:textId="77777777" w:rsidR="003C66EB" w:rsidRDefault="003C66EB">
            <w:pPr>
              <w:rPr>
                <w:rFonts w:ascii="宋体"/>
                <w:vanish/>
              </w:rPr>
            </w:pPr>
          </w:p>
        </w:tc>
        <w:tc>
          <w:tcPr>
            <w:tcW w:w="0" w:type="auto"/>
            <w:gridSpan w:val="3"/>
            <w:shd w:val="clear" w:color="auto" w:fill="auto"/>
          </w:tcPr>
          <w:p w14:paraId="5EA25F8C" w14:textId="77777777" w:rsidR="003C66EB" w:rsidRDefault="003C66EB">
            <w:pPr>
              <w:rPr>
                <w:rFonts w:ascii="宋体"/>
                <w:vanish/>
              </w:rPr>
            </w:pPr>
          </w:p>
        </w:tc>
        <w:tc>
          <w:tcPr>
            <w:tcW w:w="0" w:type="auto"/>
            <w:gridSpan w:val="3"/>
            <w:shd w:val="clear" w:color="auto" w:fill="auto"/>
          </w:tcPr>
          <w:p w14:paraId="5EA25F8D" w14:textId="77777777" w:rsidR="003C66EB" w:rsidRDefault="003C66EB">
            <w:pPr>
              <w:rPr>
                <w:rFonts w:ascii="宋体"/>
                <w:vanish/>
              </w:rPr>
            </w:pPr>
          </w:p>
        </w:tc>
        <w:tc>
          <w:tcPr>
            <w:tcW w:w="0" w:type="auto"/>
            <w:gridSpan w:val="3"/>
            <w:shd w:val="clear" w:color="auto" w:fill="auto"/>
          </w:tcPr>
          <w:p w14:paraId="5EA25F8E" w14:textId="77777777" w:rsidR="003C66EB" w:rsidRDefault="003C66EB">
            <w:pPr>
              <w:rPr>
                <w:rFonts w:ascii="宋体"/>
                <w:vanish/>
              </w:rPr>
            </w:pPr>
          </w:p>
        </w:tc>
        <w:tc>
          <w:tcPr>
            <w:tcW w:w="0" w:type="auto"/>
            <w:gridSpan w:val="3"/>
            <w:shd w:val="clear" w:color="auto" w:fill="auto"/>
          </w:tcPr>
          <w:p w14:paraId="5EA25F8F" w14:textId="77777777" w:rsidR="003C66EB" w:rsidRDefault="003C66EB">
            <w:pPr>
              <w:rPr>
                <w:rFonts w:ascii="宋体"/>
                <w:vanish/>
              </w:rPr>
            </w:pPr>
          </w:p>
        </w:tc>
        <w:tc>
          <w:tcPr>
            <w:tcW w:w="0" w:type="auto"/>
            <w:gridSpan w:val="3"/>
            <w:shd w:val="clear" w:color="auto" w:fill="auto"/>
          </w:tcPr>
          <w:p w14:paraId="5EA25F90" w14:textId="77777777" w:rsidR="003C66EB" w:rsidRDefault="003C66EB">
            <w:pPr>
              <w:rPr>
                <w:rFonts w:ascii="宋体"/>
                <w:vanish/>
              </w:rPr>
            </w:pPr>
          </w:p>
        </w:tc>
        <w:tc>
          <w:tcPr>
            <w:tcW w:w="0" w:type="auto"/>
            <w:gridSpan w:val="3"/>
            <w:shd w:val="clear" w:color="auto" w:fill="auto"/>
          </w:tcPr>
          <w:p w14:paraId="5EA25F91" w14:textId="77777777" w:rsidR="003C66EB" w:rsidRDefault="003C66EB">
            <w:pPr>
              <w:rPr>
                <w:rFonts w:ascii="宋体"/>
                <w:vanish/>
              </w:rPr>
            </w:pPr>
          </w:p>
        </w:tc>
      </w:tr>
      <w:tr w:rsidR="003C66EB" w14:paraId="5EA25FA1" w14:textId="77777777">
        <w:trPr>
          <w:hidden/>
        </w:trPr>
        <w:tc>
          <w:tcPr>
            <w:tcW w:w="0" w:type="auto"/>
            <w:gridSpan w:val="3"/>
            <w:shd w:val="clear" w:color="auto" w:fill="auto"/>
          </w:tcPr>
          <w:p w14:paraId="5EA25F93" w14:textId="77777777" w:rsidR="003C66EB" w:rsidRDefault="003C66EB">
            <w:pPr>
              <w:rPr>
                <w:rFonts w:ascii="宋体"/>
                <w:vanish/>
              </w:rPr>
            </w:pPr>
          </w:p>
        </w:tc>
        <w:tc>
          <w:tcPr>
            <w:tcW w:w="0" w:type="auto"/>
            <w:gridSpan w:val="3"/>
            <w:shd w:val="clear" w:color="auto" w:fill="auto"/>
          </w:tcPr>
          <w:p w14:paraId="5EA25F94" w14:textId="77777777" w:rsidR="003C66EB" w:rsidRDefault="003C66EB">
            <w:pPr>
              <w:rPr>
                <w:rFonts w:ascii="宋体"/>
                <w:vanish/>
              </w:rPr>
            </w:pPr>
          </w:p>
        </w:tc>
        <w:tc>
          <w:tcPr>
            <w:tcW w:w="0" w:type="auto"/>
            <w:gridSpan w:val="3"/>
            <w:shd w:val="clear" w:color="auto" w:fill="auto"/>
          </w:tcPr>
          <w:p w14:paraId="5EA25F95" w14:textId="77777777" w:rsidR="003C66EB" w:rsidRDefault="003C66EB">
            <w:pPr>
              <w:rPr>
                <w:rFonts w:ascii="宋体"/>
                <w:vanish/>
              </w:rPr>
            </w:pPr>
          </w:p>
        </w:tc>
        <w:tc>
          <w:tcPr>
            <w:tcW w:w="0" w:type="auto"/>
            <w:gridSpan w:val="3"/>
            <w:shd w:val="clear" w:color="auto" w:fill="auto"/>
          </w:tcPr>
          <w:p w14:paraId="5EA25F96" w14:textId="77777777" w:rsidR="003C66EB" w:rsidRDefault="003C66EB">
            <w:pPr>
              <w:rPr>
                <w:rFonts w:ascii="宋体"/>
                <w:vanish/>
              </w:rPr>
            </w:pPr>
          </w:p>
        </w:tc>
        <w:tc>
          <w:tcPr>
            <w:tcW w:w="0" w:type="auto"/>
            <w:shd w:val="clear" w:color="auto" w:fill="auto"/>
          </w:tcPr>
          <w:p w14:paraId="5EA25F97" w14:textId="77777777" w:rsidR="003C66EB" w:rsidRDefault="003C66EB">
            <w:pPr>
              <w:rPr>
                <w:rFonts w:ascii="宋体"/>
                <w:vanish/>
              </w:rPr>
            </w:pPr>
          </w:p>
        </w:tc>
        <w:tc>
          <w:tcPr>
            <w:tcW w:w="0" w:type="auto"/>
            <w:shd w:val="clear" w:color="auto" w:fill="auto"/>
          </w:tcPr>
          <w:p w14:paraId="5EA25F98" w14:textId="77777777" w:rsidR="003C66EB" w:rsidRDefault="003C66EB">
            <w:pPr>
              <w:rPr>
                <w:rFonts w:ascii="宋体"/>
                <w:vanish/>
              </w:rPr>
            </w:pPr>
          </w:p>
        </w:tc>
        <w:tc>
          <w:tcPr>
            <w:tcW w:w="0" w:type="auto"/>
            <w:gridSpan w:val="3"/>
            <w:shd w:val="clear" w:color="auto" w:fill="auto"/>
          </w:tcPr>
          <w:p w14:paraId="5EA25F99" w14:textId="77777777" w:rsidR="003C66EB" w:rsidRDefault="003C66EB">
            <w:pPr>
              <w:rPr>
                <w:rFonts w:ascii="宋体"/>
                <w:vanish/>
              </w:rPr>
            </w:pPr>
          </w:p>
        </w:tc>
        <w:tc>
          <w:tcPr>
            <w:tcW w:w="0" w:type="auto"/>
            <w:gridSpan w:val="3"/>
            <w:shd w:val="clear" w:color="auto" w:fill="auto"/>
          </w:tcPr>
          <w:p w14:paraId="5EA25F9A" w14:textId="77777777" w:rsidR="003C66EB" w:rsidRDefault="003C66EB">
            <w:pPr>
              <w:rPr>
                <w:rFonts w:ascii="宋体"/>
                <w:vanish/>
              </w:rPr>
            </w:pPr>
          </w:p>
        </w:tc>
        <w:tc>
          <w:tcPr>
            <w:tcW w:w="0" w:type="auto"/>
            <w:gridSpan w:val="3"/>
            <w:shd w:val="clear" w:color="auto" w:fill="auto"/>
          </w:tcPr>
          <w:p w14:paraId="5EA25F9B" w14:textId="77777777" w:rsidR="003C66EB" w:rsidRDefault="003C66EB">
            <w:pPr>
              <w:rPr>
                <w:rFonts w:ascii="宋体"/>
                <w:vanish/>
              </w:rPr>
            </w:pPr>
          </w:p>
        </w:tc>
        <w:tc>
          <w:tcPr>
            <w:tcW w:w="0" w:type="auto"/>
            <w:gridSpan w:val="3"/>
            <w:shd w:val="clear" w:color="auto" w:fill="auto"/>
          </w:tcPr>
          <w:p w14:paraId="5EA25F9C" w14:textId="77777777" w:rsidR="003C66EB" w:rsidRDefault="003C66EB">
            <w:pPr>
              <w:rPr>
                <w:rFonts w:ascii="宋体"/>
                <w:vanish/>
              </w:rPr>
            </w:pPr>
          </w:p>
        </w:tc>
        <w:tc>
          <w:tcPr>
            <w:tcW w:w="0" w:type="auto"/>
            <w:gridSpan w:val="3"/>
            <w:shd w:val="clear" w:color="auto" w:fill="auto"/>
          </w:tcPr>
          <w:p w14:paraId="5EA25F9D" w14:textId="77777777" w:rsidR="003C66EB" w:rsidRDefault="003C66EB">
            <w:pPr>
              <w:rPr>
                <w:rFonts w:ascii="宋体"/>
                <w:vanish/>
              </w:rPr>
            </w:pPr>
          </w:p>
        </w:tc>
        <w:tc>
          <w:tcPr>
            <w:tcW w:w="0" w:type="auto"/>
            <w:gridSpan w:val="3"/>
            <w:shd w:val="clear" w:color="auto" w:fill="auto"/>
          </w:tcPr>
          <w:p w14:paraId="5EA25F9E" w14:textId="77777777" w:rsidR="003C66EB" w:rsidRDefault="003C66EB">
            <w:pPr>
              <w:rPr>
                <w:rFonts w:ascii="宋体"/>
                <w:vanish/>
              </w:rPr>
            </w:pPr>
          </w:p>
        </w:tc>
        <w:tc>
          <w:tcPr>
            <w:tcW w:w="0" w:type="auto"/>
            <w:gridSpan w:val="3"/>
            <w:shd w:val="clear" w:color="auto" w:fill="auto"/>
          </w:tcPr>
          <w:p w14:paraId="5EA25F9F" w14:textId="77777777" w:rsidR="003C66EB" w:rsidRDefault="003C66EB">
            <w:pPr>
              <w:rPr>
                <w:rFonts w:ascii="宋体"/>
                <w:vanish/>
              </w:rPr>
            </w:pPr>
          </w:p>
        </w:tc>
        <w:tc>
          <w:tcPr>
            <w:tcW w:w="0" w:type="auto"/>
            <w:gridSpan w:val="3"/>
            <w:shd w:val="clear" w:color="auto" w:fill="auto"/>
          </w:tcPr>
          <w:p w14:paraId="5EA25FA0" w14:textId="77777777" w:rsidR="003C66EB" w:rsidRDefault="003C66EB">
            <w:pPr>
              <w:rPr>
                <w:rFonts w:ascii="宋体"/>
                <w:vanish/>
              </w:rPr>
            </w:pPr>
          </w:p>
        </w:tc>
      </w:tr>
      <w:tr w:rsidR="003C66EB" w14:paraId="5EA25FB0" w14:textId="77777777">
        <w:trPr>
          <w:hidden/>
        </w:trPr>
        <w:tc>
          <w:tcPr>
            <w:tcW w:w="0" w:type="auto"/>
            <w:gridSpan w:val="3"/>
            <w:shd w:val="clear" w:color="auto" w:fill="auto"/>
          </w:tcPr>
          <w:p w14:paraId="5EA25FA2" w14:textId="77777777" w:rsidR="003C66EB" w:rsidRDefault="003C66EB">
            <w:pPr>
              <w:rPr>
                <w:rFonts w:ascii="宋体"/>
                <w:vanish/>
              </w:rPr>
            </w:pPr>
          </w:p>
        </w:tc>
        <w:tc>
          <w:tcPr>
            <w:tcW w:w="0" w:type="auto"/>
            <w:gridSpan w:val="3"/>
            <w:shd w:val="clear" w:color="auto" w:fill="auto"/>
          </w:tcPr>
          <w:p w14:paraId="5EA25FA3" w14:textId="77777777" w:rsidR="003C66EB" w:rsidRDefault="003C66EB">
            <w:pPr>
              <w:rPr>
                <w:rFonts w:ascii="宋体"/>
                <w:vanish/>
              </w:rPr>
            </w:pPr>
          </w:p>
        </w:tc>
        <w:tc>
          <w:tcPr>
            <w:tcW w:w="0" w:type="auto"/>
            <w:gridSpan w:val="3"/>
            <w:shd w:val="clear" w:color="auto" w:fill="auto"/>
          </w:tcPr>
          <w:p w14:paraId="5EA25FA4" w14:textId="77777777" w:rsidR="003C66EB" w:rsidRDefault="003C66EB">
            <w:pPr>
              <w:rPr>
                <w:rFonts w:ascii="宋体"/>
                <w:vanish/>
              </w:rPr>
            </w:pPr>
          </w:p>
        </w:tc>
        <w:tc>
          <w:tcPr>
            <w:tcW w:w="0" w:type="auto"/>
            <w:gridSpan w:val="3"/>
            <w:shd w:val="clear" w:color="auto" w:fill="auto"/>
          </w:tcPr>
          <w:p w14:paraId="5EA25FA5" w14:textId="77777777" w:rsidR="003C66EB" w:rsidRDefault="003C66EB">
            <w:pPr>
              <w:rPr>
                <w:rFonts w:ascii="宋体"/>
                <w:vanish/>
              </w:rPr>
            </w:pPr>
          </w:p>
        </w:tc>
        <w:tc>
          <w:tcPr>
            <w:tcW w:w="0" w:type="auto"/>
            <w:shd w:val="clear" w:color="auto" w:fill="auto"/>
          </w:tcPr>
          <w:p w14:paraId="5EA25FA6" w14:textId="77777777" w:rsidR="003C66EB" w:rsidRDefault="003C66EB">
            <w:pPr>
              <w:rPr>
                <w:rFonts w:ascii="宋体"/>
                <w:vanish/>
              </w:rPr>
            </w:pPr>
          </w:p>
        </w:tc>
        <w:tc>
          <w:tcPr>
            <w:tcW w:w="0" w:type="auto"/>
            <w:shd w:val="clear" w:color="auto" w:fill="auto"/>
          </w:tcPr>
          <w:p w14:paraId="5EA25FA7" w14:textId="77777777" w:rsidR="003C66EB" w:rsidRDefault="003C66EB">
            <w:pPr>
              <w:rPr>
                <w:rFonts w:ascii="宋体"/>
                <w:vanish/>
              </w:rPr>
            </w:pPr>
          </w:p>
        </w:tc>
        <w:tc>
          <w:tcPr>
            <w:tcW w:w="0" w:type="auto"/>
            <w:gridSpan w:val="3"/>
            <w:shd w:val="clear" w:color="auto" w:fill="auto"/>
          </w:tcPr>
          <w:p w14:paraId="5EA25FA8" w14:textId="77777777" w:rsidR="003C66EB" w:rsidRDefault="003C66EB">
            <w:pPr>
              <w:rPr>
                <w:rFonts w:ascii="宋体"/>
                <w:vanish/>
              </w:rPr>
            </w:pPr>
          </w:p>
        </w:tc>
        <w:tc>
          <w:tcPr>
            <w:tcW w:w="0" w:type="auto"/>
            <w:gridSpan w:val="3"/>
            <w:shd w:val="clear" w:color="auto" w:fill="auto"/>
          </w:tcPr>
          <w:p w14:paraId="5EA25FA9" w14:textId="77777777" w:rsidR="003C66EB" w:rsidRDefault="003C66EB">
            <w:pPr>
              <w:rPr>
                <w:rFonts w:ascii="宋体"/>
                <w:vanish/>
              </w:rPr>
            </w:pPr>
          </w:p>
        </w:tc>
        <w:tc>
          <w:tcPr>
            <w:tcW w:w="0" w:type="auto"/>
            <w:gridSpan w:val="3"/>
            <w:shd w:val="clear" w:color="auto" w:fill="auto"/>
          </w:tcPr>
          <w:p w14:paraId="5EA25FAA" w14:textId="77777777" w:rsidR="003C66EB" w:rsidRDefault="003C66EB">
            <w:pPr>
              <w:rPr>
                <w:rFonts w:ascii="宋体"/>
                <w:vanish/>
              </w:rPr>
            </w:pPr>
          </w:p>
        </w:tc>
        <w:tc>
          <w:tcPr>
            <w:tcW w:w="0" w:type="auto"/>
            <w:gridSpan w:val="3"/>
            <w:shd w:val="clear" w:color="auto" w:fill="auto"/>
          </w:tcPr>
          <w:p w14:paraId="5EA25FAB" w14:textId="77777777" w:rsidR="003C66EB" w:rsidRDefault="003C66EB">
            <w:pPr>
              <w:rPr>
                <w:rFonts w:ascii="宋体"/>
                <w:vanish/>
              </w:rPr>
            </w:pPr>
          </w:p>
        </w:tc>
        <w:tc>
          <w:tcPr>
            <w:tcW w:w="0" w:type="auto"/>
            <w:gridSpan w:val="3"/>
            <w:shd w:val="clear" w:color="auto" w:fill="auto"/>
          </w:tcPr>
          <w:p w14:paraId="5EA25FAC" w14:textId="77777777" w:rsidR="003C66EB" w:rsidRDefault="003C66EB">
            <w:pPr>
              <w:rPr>
                <w:rFonts w:ascii="宋体"/>
                <w:vanish/>
              </w:rPr>
            </w:pPr>
          </w:p>
        </w:tc>
        <w:tc>
          <w:tcPr>
            <w:tcW w:w="0" w:type="auto"/>
            <w:gridSpan w:val="3"/>
            <w:shd w:val="clear" w:color="auto" w:fill="auto"/>
          </w:tcPr>
          <w:p w14:paraId="5EA25FAD" w14:textId="77777777" w:rsidR="003C66EB" w:rsidRDefault="003C66EB">
            <w:pPr>
              <w:rPr>
                <w:rFonts w:ascii="宋体"/>
                <w:vanish/>
              </w:rPr>
            </w:pPr>
          </w:p>
        </w:tc>
        <w:tc>
          <w:tcPr>
            <w:tcW w:w="0" w:type="auto"/>
            <w:gridSpan w:val="3"/>
            <w:shd w:val="clear" w:color="auto" w:fill="auto"/>
          </w:tcPr>
          <w:p w14:paraId="5EA25FAE" w14:textId="77777777" w:rsidR="003C66EB" w:rsidRDefault="003C66EB">
            <w:pPr>
              <w:rPr>
                <w:rFonts w:ascii="宋体"/>
                <w:vanish/>
              </w:rPr>
            </w:pPr>
          </w:p>
        </w:tc>
        <w:tc>
          <w:tcPr>
            <w:tcW w:w="0" w:type="auto"/>
            <w:gridSpan w:val="3"/>
            <w:shd w:val="clear" w:color="auto" w:fill="auto"/>
          </w:tcPr>
          <w:p w14:paraId="5EA25FAF" w14:textId="77777777" w:rsidR="003C66EB" w:rsidRDefault="003C66EB">
            <w:pPr>
              <w:rPr>
                <w:rFonts w:ascii="宋体"/>
                <w:vanish/>
              </w:rPr>
            </w:pPr>
          </w:p>
        </w:tc>
      </w:tr>
      <w:tr w:rsidR="003C66EB" w14:paraId="5EA25FBF" w14:textId="77777777">
        <w:trPr>
          <w:hidden/>
        </w:trPr>
        <w:tc>
          <w:tcPr>
            <w:tcW w:w="0" w:type="auto"/>
            <w:gridSpan w:val="3"/>
            <w:shd w:val="clear" w:color="auto" w:fill="auto"/>
          </w:tcPr>
          <w:p w14:paraId="5EA25FB1" w14:textId="77777777" w:rsidR="003C66EB" w:rsidRDefault="003C66EB">
            <w:pPr>
              <w:rPr>
                <w:rFonts w:ascii="宋体"/>
                <w:vanish/>
              </w:rPr>
            </w:pPr>
          </w:p>
        </w:tc>
        <w:tc>
          <w:tcPr>
            <w:tcW w:w="0" w:type="auto"/>
            <w:gridSpan w:val="3"/>
            <w:shd w:val="clear" w:color="auto" w:fill="auto"/>
          </w:tcPr>
          <w:p w14:paraId="5EA25FB2" w14:textId="77777777" w:rsidR="003C66EB" w:rsidRDefault="003C66EB">
            <w:pPr>
              <w:rPr>
                <w:rFonts w:ascii="宋体"/>
                <w:vanish/>
              </w:rPr>
            </w:pPr>
          </w:p>
        </w:tc>
        <w:tc>
          <w:tcPr>
            <w:tcW w:w="0" w:type="auto"/>
            <w:gridSpan w:val="3"/>
            <w:shd w:val="clear" w:color="auto" w:fill="auto"/>
          </w:tcPr>
          <w:p w14:paraId="5EA25FB3" w14:textId="77777777" w:rsidR="003C66EB" w:rsidRDefault="003C66EB">
            <w:pPr>
              <w:rPr>
                <w:rFonts w:ascii="宋体"/>
                <w:vanish/>
              </w:rPr>
            </w:pPr>
          </w:p>
        </w:tc>
        <w:tc>
          <w:tcPr>
            <w:tcW w:w="0" w:type="auto"/>
            <w:gridSpan w:val="3"/>
            <w:shd w:val="clear" w:color="auto" w:fill="auto"/>
          </w:tcPr>
          <w:p w14:paraId="5EA25FB4" w14:textId="77777777" w:rsidR="003C66EB" w:rsidRDefault="003C66EB">
            <w:pPr>
              <w:rPr>
                <w:rFonts w:ascii="宋体"/>
                <w:vanish/>
              </w:rPr>
            </w:pPr>
          </w:p>
        </w:tc>
        <w:tc>
          <w:tcPr>
            <w:tcW w:w="0" w:type="auto"/>
            <w:shd w:val="clear" w:color="auto" w:fill="auto"/>
          </w:tcPr>
          <w:p w14:paraId="5EA25FB5" w14:textId="77777777" w:rsidR="003C66EB" w:rsidRDefault="003C66EB">
            <w:pPr>
              <w:rPr>
                <w:rFonts w:ascii="宋体"/>
                <w:vanish/>
              </w:rPr>
            </w:pPr>
          </w:p>
        </w:tc>
        <w:tc>
          <w:tcPr>
            <w:tcW w:w="0" w:type="auto"/>
            <w:shd w:val="clear" w:color="auto" w:fill="auto"/>
          </w:tcPr>
          <w:p w14:paraId="5EA25FB6" w14:textId="77777777" w:rsidR="003C66EB" w:rsidRDefault="003C66EB">
            <w:pPr>
              <w:rPr>
                <w:rFonts w:ascii="宋体"/>
                <w:vanish/>
              </w:rPr>
            </w:pPr>
          </w:p>
        </w:tc>
        <w:tc>
          <w:tcPr>
            <w:tcW w:w="0" w:type="auto"/>
            <w:gridSpan w:val="3"/>
            <w:shd w:val="clear" w:color="auto" w:fill="auto"/>
          </w:tcPr>
          <w:p w14:paraId="5EA25FB7" w14:textId="77777777" w:rsidR="003C66EB" w:rsidRDefault="003C66EB">
            <w:pPr>
              <w:rPr>
                <w:rFonts w:ascii="宋体"/>
                <w:vanish/>
              </w:rPr>
            </w:pPr>
          </w:p>
        </w:tc>
        <w:tc>
          <w:tcPr>
            <w:tcW w:w="0" w:type="auto"/>
            <w:gridSpan w:val="3"/>
            <w:shd w:val="clear" w:color="auto" w:fill="auto"/>
          </w:tcPr>
          <w:p w14:paraId="5EA25FB8" w14:textId="77777777" w:rsidR="003C66EB" w:rsidRDefault="003C66EB">
            <w:pPr>
              <w:rPr>
                <w:rFonts w:ascii="宋体"/>
                <w:vanish/>
              </w:rPr>
            </w:pPr>
          </w:p>
        </w:tc>
        <w:tc>
          <w:tcPr>
            <w:tcW w:w="0" w:type="auto"/>
            <w:gridSpan w:val="3"/>
            <w:shd w:val="clear" w:color="auto" w:fill="auto"/>
          </w:tcPr>
          <w:p w14:paraId="5EA25FB9" w14:textId="77777777" w:rsidR="003C66EB" w:rsidRDefault="003C66EB">
            <w:pPr>
              <w:rPr>
                <w:rFonts w:ascii="宋体"/>
                <w:vanish/>
              </w:rPr>
            </w:pPr>
          </w:p>
        </w:tc>
        <w:tc>
          <w:tcPr>
            <w:tcW w:w="0" w:type="auto"/>
            <w:gridSpan w:val="3"/>
            <w:shd w:val="clear" w:color="auto" w:fill="auto"/>
          </w:tcPr>
          <w:p w14:paraId="5EA25FBA" w14:textId="77777777" w:rsidR="003C66EB" w:rsidRDefault="003C66EB">
            <w:pPr>
              <w:rPr>
                <w:rFonts w:ascii="宋体"/>
                <w:vanish/>
              </w:rPr>
            </w:pPr>
          </w:p>
        </w:tc>
        <w:tc>
          <w:tcPr>
            <w:tcW w:w="0" w:type="auto"/>
            <w:gridSpan w:val="3"/>
            <w:shd w:val="clear" w:color="auto" w:fill="auto"/>
          </w:tcPr>
          <w:p w14:paraId="5EA25FBB" w14:textId="77777777" w:rsidR="003C66EB" w:rsidRDefault="003C66EB">
            <w:pPr>
              <w:rPr>
                <w:rFonts w:ascii="宋体"/>
                <w:vanish/>
              </w:rPr>
            </w:pPr>
          </w:p>
        </w:tc>
        <w:tc>
          <w:tcPr>
            <w:tcW w:w="0" w:type="auto"/>
            <w:gridSpan w:val="3"/>
            <w:shd w:val="clear" w:color="auto" w:fill="auto"/>
          </w:tcPr>
          <w:p w14:paraId="5EA25FBC" w14:textId="77777777" w:rsidR="003C66EB" w:rsidRDefault="003C66EB">
            <w:pPr>
              <w:rPr>
                <w:rFonts w:ascii="宋体"/>
                <w:vanish/>
              </w:rPr>
            </w:pPr>
          </w:p>
        </w:tc>
        <w:tc>
          <w:tcPr>
            <w:tcW w:w="0" w:type="auto"/>
            <w:gridSpan w:val="3"/>
            <w:shd w:val="clear" w:color="auto" w:fill="auto"/>
          </w:tcPr>
          <w:p w14:paraId="5EA25FBD" w14:textId="77777777" w:rsidR="003C66EB" w:rsidRDefault="003C66EB">
            <w:pPr>
              <w:rPr>
                <w:rFonts w:ascii="宋体"/>
                <w:vanish/>
              </w:rPr>
            </w:pPr>
          </w:p>
        </w:tc>
        <w:tc>
          <w:tcPr>
            <w:tcW w:w="0" w:type="auto"/>
            <w:gridSpan w:val="3"/>
            <w:shd w:val="clear" w:color="auto" w:fill="auto"/>
          </w:tcPr>
          <w:p w14:paraId="5EA25FBE" w14:textId="77777777" w:rsidR="003C66EB" w:rsidRDefault="003C66EB">
            <w:pPr>
              <w:rPr>
                <w:rFonts w:ascii="宋体"/>
                <w:vanish/>
              </w:rPr>
            </w:pPr>
          </w:p>
        </w:tc>
      </w:tr>
      <w:tr w:rsidR="003C66EB" w14:paraId="5EA25FCE" w14:textId="77777777">
        <w:trPr>
          <w:hidden/>
        </w:trPr>
        <w:tc>
          <w:tcPr>
            <w:tcW w:w="0" w:type="auto"/>
            <w:gridSpan w:val="3"/>
            <w:shd w:val="clear" w:color="auto" w:fill="auto"/>
          </w:tcPr>
          <w:p w14:paraId="5EA25FC0" w14:textId="77777777" w:rsidR="003C66EB" w:rsidRDefault="003C66EB">
            <w:pPr>
              <w:rPr>
                <w:rFonts w:ascii="宋体"/>
                <w:vanish/>
              </w:rPr>
            </w:pPr>
          </w:p>
        </w:tc>
        <w:tc>
          <w:tcPr>
            <w:tcW w:w="0" w:type="auto"/>
            <w:gridSpan w:val="3"/>
            <w:shd w:val="clear" w:color="auto" w:fill="auto"/>
          </w:tcPr>
          <w:p w14:paraId="5EA25FC1" w14:textId="77777777" w:rsidR="003C66EB" w:rsidRDefault="003C66EB">
            <w:pPr>
              <w:rPr>
                <w:rFonts w:ascii="宋体"/>
                <w:vanish/>
              </w:rPr>
            </w:pPr>
          </w:p>
        </w:tc>
        <w:tc>
          <w:tcPr>
            <w:tcW w:w="0" w:type="auto"/>
            <w:gridSpan w:val="3"/>
            <w:shd w:val="clear" w:color="auto" w:fill="auto"/>
          </w:tcPr>
          <w:p w14:paraId="5EA25FC2" w14:textId="77777777" w:rsidR="003C66EB" w:rsidRDefault="003C66EB">
            <w:pPr>
              <w:rPr>
                <w:rFonts w:ascii="宋体"/>
                <w:vanish/>
              </w:rPr>
            </w:pPr>
          </w:p>
        </w:tc>
        <w:tc>
          <w:tcPr>
            <w:tcW w:w="0" w:type="auto"/>
            <w:gridSpan w:val="3"/>
            <w:shd w:val="clear" w:color="auto" w:fill="auto"/>
          </w:tcPr>
          <w:p w14:paraId="5EA25FC3" w14:textId="77777777" w:rsidR="003C66EB" w:rsidRDefault="003C66EB">
            <w:pPr>
              <w:rPr>
                <w:rFonts w:ascii="宋体"/>
                <w:vanish/>
              </w:rPr>
            </w:pPr>
          </w:p>
        </w:tc>
        <w:tc>
          <w:tcPr>
            <w:tcW w:w="0" w:type="auto"/>
            <w:shd w:val="clear" w:color="auto" w:fill="auto"/>
          </w:tcPr>
          <w:p w14:paraId="5EA25FC4" w14:textId="77777777" w:rsidR="003C66EB" w:rsidRDefault="003C66EB">
            <w:pPr>
              <w:rPr>
                <w:rFonts w:ascii="宋体"/>
                <w:vanish/>
              </w:rPr>
            </w:pPr>
          </w:p>
        </w:tc>
        <w:tc>
          <w:tcPr>
            <w:tcW w:w="0" w:type="auto"/>
            <w:shd w:val="clear" w:color="auto" w:fill="auto"/>
          </w:tcPr>
          <w:p w14:paraId="5EA25FC5" w14:textId="77777777" w:rsidR="003C66EB" w:rsidRDefault="003C66EB">
            <w:pPr>
              <w:rPr>
                <w:rFonts w:ascii="宋体"/>
                <w:vanish/>
              </w:rPr>
            </w:pPr>
          </w:p>
        </w:tc>
        <w:tc>
          <w:tcPr>
            <w:tcW w:w="0" w:type="auto"/>
            <w:gridSpan w:val="3"/>
            <w:shd w:val="clear" w:color="auto" w:fill="auto"/>
          </w:tcPr>
          <w:p w14:paraId="5EA25FC6" w14:textId="77777777" w:rsidR="003C66EB" w:rsidRDefault="003C66EB">
            <w:pPr>
              <w:rPr>
                <w:rFonts w:ascii="宋体"/>
                <w:vanish/>
              </w:rPr>
            </w:pPr>
          </w:p>
        </w:tc>
        <w:tc>
          <w:tcPr>
            <w:tcW w:w="0" w:type="auto"/>
            <w:gridSpan w:val="3"/>
            <w:shd w:val="clear" w:color="auto" w:fill="auto"/>
          </w:tcPr>
          <w:p w14:paraId="5EA25FC7" w14:textId="77777777" w:rsidR="003C66EB" w:rsidRDefault="003C66EB">
            <w:pPr>
              <w:rPr>
                <w:rFonts w:ascii="宋体"/>
                <w:vanish/>
              </w:rPr>
            </w:pPr>
          </w:p>
        </w:tc>
        <w:tc>
          <w:tcPr>
            <w:tcW w:w="0" w:type="auto"/>
            <w:gridSpan w:val="3"/>
            <w:shd w:val="clear" w:color="auto" w:fill="auto"/>
          </w:tcPr>
          <w:p w14:paraId="5EA25FC8" w14:textId="77777777" w:rsidR="003C66EB" w:rsidRDefault="003C66EB">
            <w:pPr>
              <w:rPr>
                <w:rFonts w:ascii="宋体"/>
                <w:vanish/>
              </w:rPr>
            </w:pPr>
          </w:p>
        </w:tc>
        <w:tc>
          <w:tcPr>
            <w:tcW w:w="0" w:type="auto"/>
            <w:gridSpan w:val="3"/>
            <w:shd w:val="clear" w:color="auto" w:fill="auto"/>
          </w:tcPr>
          <w:p w14:paraId="5EA25FC9" w14:textId="77777777" w:rsidR="003C66EB" w:rsidRDefault="003C66EB">
            <w:pPr>
              <w:rPr>
                <w:rFonts w:ascii="宋体"/>
                <w:vanish/>
              </w:rPr>
            </w:pPr>
          </w:p>
        </w:tc>
        <w:tc>
          <w:tcPr>
            <w:tcW w:w="0" w:type="auto"/>
            <w:gridSpan w:val="3"/>
            <w:shd w:val="clear" w:color="auto" w:fill="auto"/>
          </w:tcPr>
          <w:p w14:paraId="5EA25FCA" w14:textId="77777777" w:rsidR="003C66EB" w:rsidRDefault="003C66EB">
            <w:pPr>
              <w:rPr>
                <w:rFonts w:ascii="宋体"/>
                <w:vanish/>
              </w:rPr>
            </w:pPr>
          </w:p>
        </w:tc>
        <w:tc>
          <w:tcPr>
            <w:tcW w:w="0" w:type="auto"/>
            <w:gridSpan w:val="3"/>
            <w:shd w:val="clear" w:color="auto" w:fill="auto"/>
          </w:tcPr>
          <w:p w14:paraId="5EA25FCB" w14:textId="77777777" w:rsidR="003C66EB" w:rsidRDefault="003C66EB">
            <w:pPr>
              <w:rPr>
                <w:rFonts w:ascii="宋体"/>
                <w:vanish/>
              </w:rPr>
            </w:pPr>
          </w:p>
        </w:tc>
        <w:tc>
          <w:tcPr>
            <w:tcW w:w="0" w:type="auto"/>
            <w:gridSpan w:val="3"/>
            <w:shd w:val="clear" w:color="auto" w:fill="auto"/>
          </w:tcPr>
          <w:p w14:paraId="5EA25FCC" w14:textId="77777777" w:rsidR="003C66EB" w:rsidRDefault="003C66EB">
            <w:pPr>
              <w:rPr>
                <w:rFonts w:ascii="宋体"/>
                <w:vanish/>
              </w:rPr>
            </w:pPr>
          </w:p>
        </w:tc>
        <w:tc>
          <w:tcPr>
            <w:tcW w:w="0" w:type="auto"/>
            <w:gridSpan w:val="3"/>
            <w:shd w:val="clear" w:color="auto" w:fill="auto"/>
          </w:tcPr>
          <w:p w14:paraId="5EA25FCD" w14:textId="77777777" w:rsidR="003C66EB" w:rsidRDefault="003C66EB">
            <w:pPr>
              <w:rPr>
                <w:rFonts w:ascii="宋体"/>
                <w:vanish/>
              </w:rPr>
            </w:pPr>
          </w:p>
        </w:tc>
      </w:tr>
      <w:tr w:rsidR="003C66EB" w14:paraId="5EA25FDD" w14:textId="77777777">
        <w:trPr>
          <w:hidden/>
        </w:trPr>
        <w:tc>
          <w:tcPr>
            <w:tcW w:w="0" w:type="auto"/>
            <w:gridSpan w:val="3"/>
            <w:shd w:val="clear" w:color="auto" w:fill="auto"/>
          </w:tcPr>
          <w:p w14:paraId="5EA25FCF" w14:textId="77777777" w:rsidR="003C66EB" w:rsidRDefault="003C66EB">
            <w:pPr>
              <w:rPr>
                <w:rFonts w:ascii="宋体"/>
                <w:vanish/>
              </w:rPr>
            </w:pPr>
          </w:p>
        </w:tc>
        <w:tc>
          <w:tcPr>
            <w:tcW w:w="0" w:type="auto"/>
            <w:gridSpan w:val="3"/>
            <w:shd w:val="clear" w:color="auto" w:fill="auto"/>
          </w:tcPr>
          <w:p w14:paraId="5EA25FD0" w14:textId="77777777" w:rsidR="003C66EB" w:rsidRDefault="003C66EB">
            <w:pPr>
              <w:rPr>
                <w:rFonts w:ascii="宋体"/>
                <w:vanish/>
              </w:rPr>
            </w:pPr>
          </w:p>
        </w:tc>
        <w:tc>
          <w:tcPr>
            <w:tcW w:w="0" w:type="auto"/>
            <w:gridSpan w:val="3"/>
            <w:shd w:val="clear" w:color="auto" w:fill="auto"/>
          </w:tcPr>
          <w:p w14:paraId="5EA25FD1" w14:textId="77777777" w:rsidR="003C66EB" w:rsidRDefault="003C66EB">
            <w:pPr>
              <w:rPr>
                <w:rFonts w:ascii="宋体"/>
                <w:vanish/>
              </w:rPr>
            </w:pPr>
          </w:p>
        </w:tc>
        <w:tc>
          <w:tcPr>
            <w:tcW w:w="0" w:type="auto"/>
            <w:gridSpan w:val="3"/>
            <w:shd w:val="clear" w:color="auto" w:fill="auto"/>
          </w:tcPr>
          <w:p w14:paraId="5EA25FD2" w14:textId="77777777" w:rsidR="003C66EB" w:rsidRDefault="003C66EB">
            <w:pPr>
              <w:rPr>
                <w:rFonts w:ascii="宋体"/>
                <w:vanish/>
              </w:rPr>
            </w:pPr>
          </w:p>
        </w:tc>
        <w:tc>
          <w:tcPr>
            <w:tcW w:w="0" w:type="auto"/>
            <w:shd w:val="clear" w:color="auto" w:fill="auto"/>
          </w:tcPr>
          <w:p w14:paraId="5EA25FD3" w14:textId="77777777" w:rsidR="003C66EB" w:rsidRDefault="003C66EB">
            <w:pPr>
              <w:rPr>
                <w:rFonts w:ascii="宋体"/>
                <w:vanish/>
              </w:rPr>
            </w:pPr>
          </w:p>
        </w:tc>
        <w:tc>
          <w:tcPr>
            <w:tcW w:w="0" w:type="auto"/>
            <w:shd w:val="clear" w:color="auto" w:fill="auto"/>
          </w:tcPr>
          <w:p w14:paraId="5EA25FD4" w14:textId="77777777" w:rsidR="003C66EB" w:rsidRDefault="003C66EB">
            <w:pPr>
              <w:rPr>
                <w:rFonts w:ascii="宋体"/>
                <w:vanish/>
              </w:rPr>
            </w:pPr>
          </w:p>
        </w:tc>
        <w:tc>
          <w:tcPr>
            <w:tcW w:w="0" w:type="auto"/>
            <w:gridSpan w:val="3"/>
            <w:shd w:val="clear" w:color="auto" w:fill="auto"/>
          </w:tcPr>
          <w:p w14:paraId="5EA25FD5" w14:textId="77777777" w:rsidR="003C66EB" w:rsidRDefault="003C66EB">
            <w:pPr>
              <w:rPr>
                <w:rFonts w:ascii="宋体"/>
                <w:vanish/>
              </w:rPr>
            </w:pPr>
          </w:p>
        </w:tc>
        <w:tc>
          <w:tcPr>
            <w:tcW w:w="0" w:type="auto"/>
            <w:gridSpan w:val="3"/>
            <w:shd w:val="clear" w:color="auto" w:fill="auto"/>
          </w:tcPr>
          <w:p w14:paraId="5EA25FD6" w14:textId="77777777" w:rsidR="003C66EB" w:rsidRDefault="003C66EB">
            <w:pPr>
              <w:rPr>
                <w:rFonts w:ascii="宋体"/>
                <w:vanish/>
              </w:rPr>
            </w:pPr>
          </w:p>
        </w:tc>
        <w:tc>
          <w:tcPr>
            <w:tcW w:w="0" w:type="auto"/>
            <w:gridSpan w:val="3"/>
            <w:shd w:val="clear" w:color="auto" w:fill="auto"/>
          </w:tcPr>
          <w:p w14:paraId="5EA25FD7" w14:textId="77777777" w:rsidR="003C66EB" w:rsidRDefault="003C66EB">
            <w:pPr>
              <w:rPr>
                <w:rFonts w:ascii="宋体"/>
                <w:vanish/>
              </w:rPr>
            </w:pPr>
          </w:p>
        </w:tc>
        <w:tc>
          <w:tcPr>
            <w:tcW w:w="0" w:type="auto"/>
            <w:gridSpan w:val="3"/>
            <w:shd w:val="clear" w:color="auto" w:fill="auto"/>
          </w:tcPr>
          <w:p w14:paraId="5EA25FD8" w14:textId="77777777" w:rsidR="003C66EB" w:rsidRDefault="003C66EB">
            <w:pPr>
              <w:rPr>
                <w:rFonts w:ascii="宋体"/>
                <w:vanish/>
              </w:rPr>
            </w:pPr>
          </w:p>
        </w:tc>
        <w:tc>
          <w:tcPr>
            <w:tcW w:w="0" w:type="auto"/>
            <w:gridSpan w:val="3"/>
            <w:shd w:val="clear" w:color="auto" w:fill="auto"/>
          </w:tcPr>
          <w:p w14:paraId="5EA25FD9" w14:textId="77777777" w:rsidR="003C66EB" w:rsidRDefault="003C66EB">
            <w:pPr>
              <w:rPr>
                <w:rFonts w:ascii="宋体"/>
                <w:vanish/>
              </w:rPr>
            </w:pPr>
          </w:p>
        </w:tc>
        <w:tc>
          <w:tcPr>
            <w:tcW w:w="0" w:type="auto"/>
            <w:gridSpan w:val="3"/>
            <w:shd w:val="clear" w:color="auto" w:fill="auto"/>
          </w:tcPr>
          <w:p w14:paraId="5EA25FDA" w14:textId="77777777" w:rsidR="003C66EB" w:rsidRDefault="003C66EB">
            <w:pPr>
              <w:rPr>
                <w:rFonts w:ascii="宋体"/>
                <w:vanish/>
              </w:rPr>
            </w:pPr>
          </w:p>
        </w:tc>
        <w:tc>
          <w:tcPr>
            <w:tcW w:w="0" w:type="auto"/>
            <w:gridSpan w:val="3"/>
            <w:shd w:val="clear" w:color="auto" w:fill="auto"/>
          </w:tcPr>
          <w:p w14:paraId="5EA25FDB" w14:textId="77777777" w:rsidR="003C66EB" w:rsidRDefault="003C66EB">
            <w:pPr>
              <w:rPr>
                <w:rFonts w:ascii="宋体"/>
                <w:vanish/>
              </w:rPr>
            </w:pPr>
          </w:p>
        </w:tc>
        <w:tc>
          <w:tcPr>
            <w:tcW w:w="0" w:type="auto"/>
            <w:gridSpan w:val="3"/>
            <w:shd w:val="clear" w:color="auto" w:fill="auto"/>
          </w:tcPr>
          <w:p w14:paraId="5EA25FDC" w14:textId="77777777" w:rsidR="003C66EB" w:rsidRDefault="003C66EB">
            <w:pPr>
              <w:rPr>
                <w:rFonts w:ascii="宋体"/>
                <w:vanish/>
              </w:rPr>
            </w:pPr>
          </w:p>
        </w:tc>
      </w:tr>
    </w:tbl>
    <w:p w14:paraId="5EA25FDE" w14:textId="77777777" w:rsidR="003C66EB" w:rsidRDefault="003C66EB">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3C66EB" w14:paraId="5EA25FEE" w14:textId="77777777">
        <w:tc>
          <w:tcPr>
            <w:tcW w:w="20" w:type="dxa"/>
            <w:shd w:val="clear" w:color="auto" w:fill="auto"/>
          </w:tcPr>
          <w:p w14:paraId="5EA25FDF" w14:textId="77777777" w:rsidR="003C66EB" w:rsidRDefault="003C66EB">
            <w:pPr>
              <w:rPr>
                <w:rFonts w:ascii="宋体"/>
              </w:rPr>
            </w:pPr>
          </w:p>
        </w:tc>
        <w:tc>
          <w:tcPr>
            <w:tcW w:w="2840" w:type="dxa"/>
            <w:shd w:val="clear" w:color="auto" w:fill="auto"/>
          </w:tcPr>
          <w:p w14:paraId="5EA25FE0" w14:textId="77777777" w:rsidR="003C66EB" w:rsidRDefault="003C66EB">
            <w:pPr>
              <w:rPr>
                <w:rFonts w:ascii="宋体"/>
              </w:rPr>
            </w:pPr>
          </w:p>
        </w:tc>
        <w:tc>
          <w:tcPr>
            <w:tcW w:w="20" w:type="dxa"/>
            <w:shd w:val="clear" w:color="auto" w:fill="auto"/>
          </w:tcPr>
          <w:p w14:paraId="5EA25FE1" w14:textId="77777777" w:rsidR="003C66EB" w:rsidRDefault="003C66EB">
            <w:pPr>
              <w:rPr>
                <w:rFonts w:ascii="宋体"/>
              </w:rPr>
            </w:pPr>
          </w:p>
        </w:tc>
        <w:tc>
          <w:tcPr>
            <w:tcW w:w="20" w:type="dxa"/>
            <w:shd w:val="clear" w:color="auto" w:fill="auto"/>
          </w:tcPr>
          <w:p w14:paraId="5EA25FE2" w14:textId="77777777" w:rsidR="003C66EB" w:rsidRDefault="003C66EB">
            <w:pPr>
              <w:rPr>
                <w:rFonts w:ascii="宋体"/>
              </w:rPr>
            </w:pPr>
          </w:p>
        </w:tc>
        <w:tc>
          <w:tcPr>
            <w:tcW w:w="1475" w:type="dxa"/>
            <w:shd w:val="clear" w:color="auto" w:fill="auto"/>
          </w:tcPr>
          <w:p w14:paraId="5EA25FE3" w14:textId="77777777" w:rsidR="003C66EB" w:rsidRDefault="003C66EB">
            <w:pPr>
              <w:rPr>
                <w:rFonts w:ascii="宋体"/>
              </w:rPr>
            </w:pPr>
          </w:p>
        </w:tc>
        <w:tc>
          <w:tcPr>
            <w:tcW w:w="20" w:type="dxa"/>
            <w:shd w:val="clear" w:color="auto" w:fill="auto"/>
          </w:tcPr>
          <w:p w14:paraId="5EA25FE4" w14:textId="77777777" w:rsidR="003C66EB" w:rsidRDefault="003C66EB">
            <w:pPr>
              <w:rPr>
                <w:rFonts w:ascii="宋体"/>
              </w:rPr>
            </w:pPr>
          </w:p>
        </w:tc>
        <w:tc>
          <w:tcPr>
            <w:tcW w:w="20" w:type="dxa"/>
            <w:shd w:val="clear" w:color="auto" w:fill="auto"/>
          </w:tcPr>
          <w:p w14:paraId="5EA25FE5" w14:textId="77777777" w:rsidR="003C66EB" w:rsidRDefault="003C66EB">
            <w:pPr>
              <w:rPr>
                <w:rFonts w:ascii="宋体"/>
              </w:rPr>
            </w:pPr>
          </w:p>
        </w:tc>
        <w:tc>
          <w:tcPr>
            <w:tcW w:w="1460" w:type="dxa"/>
            <w:shd w:val="clear" w:color="auto" w:fill="auto"/>
          </w:tcPr>
          <w:p w14:paraId="5EA25FE6" w14:textId="77777777" w:rsidR="003C66EB" w:rsidRDefault="003C66EB">
            <w:pPr>
              <w:rPr>
                <w:rFonts w:ascii="宋体"/>
              </w:rPr>
            </w:pPr>
          </w:p>
        </w:tc>
        <w:tc>
          <w:tcPr>
            <w:tcW w:w="20" w:type="dxa"/>
            <w:shd w:val="clear" w:color="auto" w:fill="auto"/>
          </w:tcPr>
          <w:p w14:paraId="5EA25FE7" w14:textId="77777777" w:rsidR="003C66EB" w:rsidRDefault="003C66EB">
            <w:pPr>
              <w:rPr>
                <w:rFonts w:ascii="宋体"/>
              </w:rPr>
            </w:pPr>
          </w:p>
        </w:tc>
        <w:tc>
          <w:tcPr>
            <w:tcW w:w="20" w:type="dxa"/>
            <w:shd w:val="clear" w:color="auto" w:fill="auto"/>
          </w:tcPr>
          <w:p w14:paraId="5EA25FE8" w14:textId="77777777" w:rsidR="003C66EB" w:rsidRDefault="003C66EB">
            <w:pPr>
              <w:rPr>
                <w:rFonts w:ascii="宋体"/>
              </w:rPr>
            </w:pPr>
          </w:p>
        </w:tc>
        <w:tc>
          <w:tcPr>
            <w:tcW w:w="2540" w:type="dxa"/>
            <w:shd w:val="clear" w:color="auto" w:fill="auto"/>
          </w:tcPr>
          <w:p w14:paraId="5EA25FE9" w14:textId="77777777" w:rsidR="003C66EB" w:rsidRDefault="003C66EB">
            <w:pPr>
              <w:rPr>
                <w:rFonts w:ascii="宋体"/>
              </w:rPr>
            </w:pPr>
          </w:p>
        </w:tc>
        <w:tc>
          <w:tcPr>
            <w:tcW w:w="20" w:type="dxa"/>
            <w:shd w:val="clear" w:color="auto" w:fill="auto"/>
          </w:tcPr>
          <w:p w14:paraId="5EA25FEA" w14:textId="77777777" w:rsidR="003C66EB" w:rsidRDefault="003C66EB">
            <w:pPr>
              <w:rPr>
                <w:rFonts w:ascii="宋体"/>
              </w:rPr>
            </w:pPr>
          </w:p>
        </w:tc>
        <w:tc>
          <w:tcPr>
            <w:tcW w:w="20" w:type="dxa"/>
            <w:shd w:val="clear" w:color="auto" w:fill="auto"/>
          </w:tcPr>
          <w:p w14:paraId="5EA25FEB" w14:textId="77777777" w:rsidR="003C66EB" w:rsidRDefault="003C66EB">
            <w:pPr>
              <w:rPr>
                <w:rFonts w:ascii="宋体"/>
              </w:rPr>
            </w:pPr>
          </w:p>
        </w:tc>
        <w:tc>
          <w:tcPr>
            <w:tcW w:w="1745" w:type="dxa"/>
            <w:shd w:val="clear" w:color="auto" w:fill="auto"/>
          </w:tcPr>
          <w:p w14:paraId="5EA25FEC" w14:textId="77777777" w:rsidR="003C66EB" w:rsidRDefault="003C66EB">
            <w:pPr>
              <w:rPr>
                <w:rFonts w:ascii="宋体"/>
              </w:rPr>
            </w:pPr>
          </w:p>
        </w:tc>
        <w:tc>
          <w:tcPr>
            <w:tcW w:w="20" w:type="dxa"/>
            <w:shd w:val="clear" w:color="auto" w:fill="auto"/>
          </w:tcPr>
          <w:p w14:paraId="5EA25FED" w14:textId="77777777" w:rsidR="003C66EB" w:rsidRDefault="003C66EB">
            <w:pPr>
              <w:rPr>
                <w:rFonts w:ascii="宋体"/>
              </w:rPr>
            </w:pPr>
          </w:p>
        </w:tc>
      </w:tr>
      <w:tr w:rsidR="003C66EB" w14:paraId="5EA25FF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5FE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FF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FF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FF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5FF3" w14:textId="77777777" w:rsidR="003C66EB" w:rsidRDefault="003C66EB">
            <w:pPr>
              <w:rPr>
                <w:rFonts w:ascii="宋体"/>
              </w:rPr>
            </w:pPr>
          </w:p>
        </w:tc>
      </w:tr>
    </w:tbl>
    <w:p w14:paraId="5EA25FF5" w14:textId="77777777" w:rsidR="003C66EB" w:rsidRDefault="00D96C4E">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As of March 31, 2021, the maximum maturity date of the </w:t>
      </w:r>
      <w:r>
        <w:rPr>
          <w:rFonts w:ascii="Arial" w:eastAsia="宋体" w:hAnsi="Arial" w:cs="Arial"/>
          <w:color w:val="000000"/>
          <w:sz w:val="14"/>
          <w:szCs w:val="14"/>
        </w:rPr>
        <w:t>underlying hedged items is approximately 3.4 years.</w:t>
      </w:r>
    </w:p>
    <w:p w14:paraId="5EA25FF6" w14:textId="77777777" w:rsidR="003C66EB" w:rsidRDefault="00D96C4E">
      <w:pPr>
        <w:spacing w:before="60"/>
        <w:jc w:val="both"/>
      </w:pPr>
      <w:r>
        <w:rPr>
          <w:rFonts w:ascii="Arial" w:eastAsia="宋体" w:hAnsi="Arial" w:cs="Arial"/>
          <w:b/>
          <w:bCs/>
          <w:i/>
          <w:iCs/>
          <w:color w:val="000000"/>
          <w:sz w:val="20"/>
          <w:szCs w:val="20"/>
        </w:rPr>
        <w:t>Derivatives Netting and Credit Contingencies</w:t>
      </w:r>
    </w:p>
    <w:p w14:paraId="5EA25FF7" w14:textId="77777777" w:rsidR="003C66EB" w:rsidRDefault="00D96C4E">
      <w:pPr>
        <w:spacing w:before="60"/>
        <w:jc w:val="both"/>
      </w:pPr>
      <w:r>
        <w:rPr>
          <w:rFonts w:ascii="Arial" w:eastAsia="宋体" w:hAnsi="Arial" w:cs="Arial"/>
          <w:i/>
          <w:iCs/>
          <w:color w:val="000000"/>
          <w:sz w:val="20"/>
          <w:szCs w:val="20"/>
        </w:rPr>
        <w:t>Netting</w:t>
      </w:r>
    </w:p>
    <w:p w14:paraId="5EA25FF8" w14:textId="77777777" w:rsidR="003C66EB" w:rsidRDefault="00D96C4E">
      <w:pPr>
        <w:spacing w:before="60"/>
        <w:ind w:firstLine="450"/>
        <w:jc w:val="both"/>
      </w:pPr>
      <w:r>
        <w:rPr>
          <w:rFonts w:ascii="Arial" w:eastAsia="宋体" w:hAnsi="Arial" w:cs="Arial"/>
          <w:color w:val="000000"/>
          <w:sz w:val="20"/>
          <w:szCs w:val="20"/>
        </w:rPr>
        <w:t>Derivatives receivable and payable as well as cash collateral from the same counterparty are netted in the consolidated statement of condition for thos</w:t>
      </w:r>
      <w:r>
        <w:rPr>
          <w:rFonts w:ascii="Arial" w:eastAsia="宋体" w:hAnsi="Arial" w:cs="Arial"/>
          <w:color w:val="000000"/>
          <w:sz w:val="20"/>
          <w:szCs w:val="20"/>
        </w:rPr>
        <w:t>e counterparties with whom we have legally binding master netting agreements in place. In addition to cash collateral received and transferred presented on a net basis, we also receive and transfer collateral in the form of securities, which mitigate credi</w:t>
      </w:r>
      <w:r>
        <w:rPr>
          <w:rFonts w:ascii="Arial" w:eastAsia="宋体" w:hAnsi="Arial" w:cs="Arial"/>
          <w:color w:val="000000"/>
          <w:sz w:val="20"/>
          <w:szCs w:val="20"/>
        </w:rPr>
        <w:t>t risk but are not eligible for netting. Additional information on netting is provided in Note 8.</w:t>
      </w:r>
    </w:p>
    <w:p w14:paraId="5EA25FF9" w14:textId="77777777" w:rsidR="003C66EB" w:rsidRDefault="00D96C4E">
      <w:pPr>
        <w:spacing w:before="60"/>
        <w:jc w:val="both"/>
      </w:pPr>
      <w:r>
        <w:rPr>
          <w:rFonts w:ascii="Arial" w:eastAsia="宋体" w:hAnsi="Arial" w:cs="Arial"/>
          <w:i/>
          <w:iCs/>
          <w:color w:val="000000"/>
          <w:sz w:val="20"/>
          <w:szCs w:val="20"/>
        </w:rPr>
        <w:t xml:space="preserve">Credit Contingencies </w:t>
      </w:r>
    </w:p>
    <w:p w14:paraId="5EA25FFA" w14:textId="77777777" w:rsidR="003C66EB" w:rsidRDefault="00D96C4E">
      <w:pPr>
        <w:spacing w:before="20"/>
        <w:ind w:firstLine="450"/>
        <w:jc w:val="both"/>
      </w:pPr>
      <w:r>
        <w:rPr>
          <w:rFonts w:ascii="Arial" w:eastAsia="宋体" w:hAnsi="Arial" w:cs="Arial"/>
          <w:color w:val="000000"/>
          <w:sz w:val="20"/>
          <w:szCs w:val="20"/>
        </w:rPr>
        <w:t>Certain of our derivatives are subject to master netting agreements with our derivative counterparties containing credit risk-related co</w:t>
      </w:r>
      <w:r>
        <w:rPr>
          <w:rFonts w:ascii="Arial" w:eastAsia="宋体" w:hAnsi="Arial" w:cs="Arial"/>
          <w:color w:val="000000"/>
          <w:sz w:val="20"/>
          <w:szCs w:val="20"/>
        </w:rPr>
        <w:t xml:space="preserve">ntingent features, which requires us to maintain an investment grade credit rating with the various credit rating agencies. If our rating falls below investment grade, we would be in violation of the provisions, and counterparties to the derivatives could </w:t>
      </w:r>
      <w:r>
        <w:rPr>
          <w:rFonts w:ascii="Arial" w:eastAsia="宋体" w:hAnsi="Arial" w:cs="Arial"/>
          <w:color w:val="000000"/>
          <w:sz w:val="20"/>
          <w:szCs w:val="20"/>
        </w:rPr>
        <w:t>request immediate payment or demand full overnight collateralization on derivatives instruments in net liability positions. The aggregate fair value of all derivatives with credit contingent features and in a liability position as of March 31, 2021 totaled</w:t>
      </w:r>
      <w:r>
        <w:rPr>
          <w:rFonts w:ascii="Arial" w:eastAsia="宋体" w:hAnsi="Arial" w:cs="Arial"/>
          <w:color w:val="000000"/>
          <w:sz w:val="20"/>
          <w:szCs w:val="20"/>
        </w:rPr>
        <w:t xml:space="preserve"> approximately $5.15 billion, against which we provided $3.66 billion of collateral in the normal course of business. If our credit related contingent features underlying these agreements were triggered as of March 31, 2021, the maximum additional collater</w:t>
      </w:r>
      <w:r>
        <w:rPr>
          <w:rFonts w:ascii="Arial" w:eastAsia="宋体" w:hAnsi="Arial" w:cs="Arial"/>
          <w:color w:val="000000"/>
          <w:sz w:val="20"/>
          <w:szCs w:val="20"/>
        </w:rPr>
        <w:t>al we would be required to post to our counterparties is approximately $1.49 billion.</w:t>
      </w:r>
    </w:p>
    <w:p w14:paraId="5EA25FFB" w14:textId="77777777" w:rsidR="003C66EB" w:rsidRDefault="00D96C4E">
      <w:pPr>
        <w:ind w:firstLine="450"/>
        <w:jc w:val="right"/>
      </w:pPr>
      <w:r>
        <w:rPr>
          <w:rFonts w:ascii="Arial" w:eastAsia="宋体" w:hAnsi="Arial" w:cs="Arial"/>
          <w:color w:val="000000"/>
          <w:sz w:val="18"/>
          <w:szCs w:val="18"/>
        </w:rPr>
        <w:t>State Street Corporation | 71</w:t>
      </w:r>
    </w:p>
    <w:p w14:paraId="5EA25FFC" w14:textId="77777777" w:rsidR="003C66EB" w:rsidRDefault="003C66EB">
      <w:pPr>
        <w:ind w:firstLine="450"/>
        <w:jc w:val="center"/>
      </w:pPr>
    </w:p>
    <w:p w14:paraId="5EA25FFD" w14:textId="77777777" w:rsidR="003C66EB" w:rsidRDefault="00D96C4E">
      <w:r>
        <w:pict w14:anchorId="5EA287F7">
          <v:rect id="_x0000_i1095" style="width:415.3pt;height:1.5pt" o:hralign="center" o:hrstd="t" o:hr="t" fillcolor="#a0a0a0" stroked="f"/>
        </w:pict>
      </w:r>
    </w:p>
    <w:p w14:paraId="5EA25FFE" w14:textId="77777777" w:rsidR="003C66EB" w:rsidRDefault="00D96C4E">
      <w:pPr>
        <w:ind w:firstLine="450"/>
        <w:jc w:val="center"/>
      </w:pPr>
      <w:r>
        <w:rPr>
          <w:rFonts w:ascii="Arial" w:eastAsia="宋体" w:hAnsi="Arial" w:cs="Arial"/>
          <w:b/>
          <w:bCs/>
          <w:color w:val="000000"/>
          <w:sz w:val="20"/>
          <w:szCs w:val="20"/>
        </w:rPr>
        <w:t>STATE STREET CORPORATION</w:t>
      </w:r>
    </w:p>
    <w:p w14:paraId="5EA25FFF"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000" w14:textId="77777777" w:rsidR="003C66EB" w:rsidRDefault="00D96C4E">
      <w:pPr>
        <w:ind w:firstLine="450"/>
        <w:jc w:val="center"/>
      </w:pPr>
      <w:r>
        <w:rPr>
          <w:rFonts w:ascii="Arial" w:eastAsia="宋体" w:hAnsi="Arial" w:cs="Arial"/>
          <w:b/>
          <w:bCs/>
          <w:color w:val="000000"/>
          <w:sz w:val="20"/>
          <w:szCs w:val="20"/>
        </w:rPr>
        <w:t>(UNAUDITED)</w:t>
      </w:r>
    </w:p>
    <w:p w14:paraId="5EA26001" w14:textId="77777777" w:rsidR="003C66EB" w:rsidRDefault="003C66EB">
      <w:pPr>
        <w:spacing w:before="20"/>
        <w:ind w:firstLine="450"/>
        <w:jc w:val="both"/>
      </w:pPr>
    </w:p>
    <w:p w14:paraId="5EA26002" w14:textId="77777777" w:rsidR="003C66EB" w:rsidRDefault="00D96C4E">
      <w:pPr>
        <w:spacing w:before="180"/>
        <w:jc w:val="both"/>
      </w:pPr>
      <w:r>
        <w:rPr>
          <w:rFonts w:ascii="Arial" w:eastAsia="宋体" w:hAnsi="Arial" w:cs="Arial"/>
          <w:b/>
          <w:bCs/>
          <w:color w:val="000000"/>
          <w:sz w:val="20"/>
          <w:szCs w:val="20"/>
        </w:rPr>
        <w:t>Note 8. Offsetting Arrangements</w:t>
      </w:r>
    </w:p>
    <w:p w14:paraId="5EA26003" w14:textId="77777777" w:rsidR="003C66EB" w:rsidRDefault="00D96C4E">
      <w:pPr>
        <w:spacing w:before="60"/>
        <w:ind w:firstLine="450"/>
        <w:jc w:val="both"/>
      </w:pPr>
      <w:r>
        <w:rPr>
          <w:rFonts w:ascii="Arial" w:eastAsia="宋体" w:hAnsi="Arial" w:cs="Arial"/>
          <w:color w:val="000000"/>
          <w:sz w:val="20"/>
          <w:szCs w:val="20"/>
        </w:rPr>
        <w:t xml:space="preserve">For </w:t>
      </w:r>
      <w:r>
        <w:rPr>
          <w:rFonts w:ascii="Arial" w:eastAsia="宋体" w:hAnsi="Arial" w:cs="Arial"/>
          <w:color w:val="000000"/>
          <w:sz w:val="20"/>
          <w:szCs w:val="20"/>
        </w:rPr>
        <w:t>additional information on our offsetting arrangements, refer to page 163 in Note 11 to the consolidated financial statements included under Item 8, Financial Statements and Supplementary Data, in our 2020 Form 10-K.</w:t>
      </w:r>
    </w:p>
    <w:p w14:paraId="5EA26004" w14:textId="77777777" w:rsidR="003C66EB" w:rsidRDefault="00D96C4E">
      <w:pPr>
        <w:spacing w:before="60"/>
        <w:ind w:firstLine="450"/>
        <w:jc w:val="both"/>
      </w:pPr>
      <w:r>
        <w:rPr>
          <w:rFonts w:ascii="Arial" w:eastAsia="宋体" w:hAnsi="Arial" w:cs="Arial"/>
          <w:color w:val="000000"/>
          <w:sz w:val="20"/>
          <w:szCs w:val="20"/>
        </w:rPr>
        <w:t>As of March 31, 2021 and December 31, 20</w:t>
      </w:r>
      <w:r>
        <w:rPr>
          <w:rFonts w:ascii="Arial" w:eastAsia="宋体" w:hAnsi="Arial" w:cs="Arial"/>
          <w:color w:val="000000"/>
          <w:sz w:val="20"/>
          <w:szCs w:val="20"/>
        </w:rPr>
        <w:t>20, the value of securities received as collateral from third parties where we are permitted to transfer or re-pledge the securities totaled $9.94 billion and $6.48 billion, respectively, and the fair value of the portion that had been transferred or re-pl</w:t>
      </w:r>
      <w:r>
        <w:rPr>
          <w:rFonts w:ascii="Arial" w:eastAsia="宋体" w:hAnsi="Arial" w:cs="Arial"/>
          <w:color w:val="000000"/>
          <w:sz w:val="20"/>
          <w:szCs w:val="20"/>
        </w:rPr>
        <w:t xml:space="preserve">edged as of the same dates was $2.89 billion and $3.88 billion, respectively. </w:t>
      </w:r>
    </w:p>
    <w:p w14:paraId="5EA26005" w14:textId="77777777" w:rsidR="003C66EB" w:rsidRDefault="00D96C4E">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097"/>
        <w:gridCol w:w="38"/>
        <w:gridCol w:w="105"/>
        <w:gridCol w:w="820"/>
        <w:gridCol w:w="36"/>
        <w:gridCol w:w="36"/>
        <w:gridCol w:w="36"/>
        <w:gridCol w:w="36"/>
        <w:gridCol w:w="105"/>
        <w:gridCol w:w="1032"/>
        <w:gridCol w:w="36"/>
        <w:gridCol w:w="36"/>
        <w:gridCol w:w="36"/>
        <w:gridCol w:w="36"/>
        <w:gridCol w:w="105"/>
        <w:gridCol w:w="1007"/>
        <w:gridCol w:w="36"/>
        <w:gridCol w:w="36"/>
        <w:gridCol w:w="36"/>
        <w:gridCol w:w="36"/>
        <w:gridCol w:w="105"/>
        <w:gridCol w:w="940"/>
        <w:gridCol w:w="37"/>
        <w:gridCol w:w="36"/>
        <w:gridCol w:w="36"/>
        <w:gridCol w:w="36"/>
        <w:gridCol w:w="105"/>
        <w:gridCol w:w="755"/>
        <w:gridCol w:w="37"/>
        <w:gridCol w:w="36"/>
        <w:gridCol w:w="36"/>
        <w:gridCol w:w="36"/>
        <w:gridCol w:w="36"/>
        <w:gridCol w:w="36"/>
        <w:gridCol w:w="36"/>
        <w:gridCol w:w="36"/>
        <w:gridCol w:w="36"/>
        <w:gridCol w:w="36"/>
        <w:gridCol w:w="36"/>
        <w:gridCol w:w="36"/>
        <w:gridCol w:w="36"/>
        <w:gridCol w:w="36"/>
      </w:tblGrid>
      <w:tr w:rsidR="003C66EB" w14:paraId="5EA26029" w14:textId="77777777">
        <w:tc>
          <w:tcPr>
            <w:tcW w:w="50" w:type="pct"/>
            <w:shd w:val="clear" w:color="auto" w:fill="auto"/>
          </w:tcPr>
          <w:p w14:paraId="5EA26006" w14:textId="77777777" w:rsidR="003C66EB" w:rsidRDefault="003C66EB">
            <w:pPr>
              <w:rPr>
                <w:rFonts w:ascii="宋体"/>
              </w:rPr>
            </w:pPr>
          </w:p>
        </w:tc>
        <w:tc>
          <w:tcPr>
            <w:tcW w:w="1370" w:type="pct"/>
            <w:shd w:val="clear" w:color="auto" w:fill="auto"/>
          </w:tcPr>
          <w:p w14:paraId="5EA26007" w14:textId="77777777" w:rsidR="003C66EB" w:rsidRDefault="003C66EB">
            <w:pPr>
              <w:rPr>
                <w:rFonts w:ascii="宋体"/>
              </w:rPr>
            </w:pPr>
          </w:p>
        </w:tc>
        <w:tc>
          <w:tcPr>
            <w:tcW w:w="5" w:type="pct"/>
            <w:shd w:val="clear" w:color="auto" w:fill="auto"/>
          </w:tcPr>
          <w:p w14:paraId="5EA26008" w14:textId="77777777" w:rsidR="003C66EB" w:rsidRDefault="003C66EB">
            <w:pPr>
              <w:rPr>
                <w:rFonts w:ascii="宋体"/>
              </w:rPr>
            </w:pPr>
          </w:p>
        </w:tc>
        <w:tc>
          <w:tcPr>
            <w:tcW w:w="50" w:type="pct"/>
            <w:shd w:val="clear" w:color="auto" w:fill="auto"/>
          </w:tcPr>
          <w:p w14:paraId="5EA26009" w14:textId="77777777" w:rsidR="003C66EB" w:rsidRDefault="003C66EB">
            <w:pPr>
              <w:rPr>
                <w:rFonts w:ascii="宋体"/>
              </w:rPr>
            </w:pPr>
          </w:p>
        </w:tc>
        <w:tc>
          <w:tcPr>
            <w:tcW w:w="551" w:type="pct"/>
            <w:shd w:val="clear" w:color="auto" w:fill="auto"/>
          </w:tcPr>
          <w:p w14:paraId="5EA2600A" w14:textId="77777777" w:rsidR="003C66EB" w:rsidRDefault="003C66EB">
            <w:pPr>
              <w:rPr>
                <w:rFonts w:ascii="宋体"/>
              </w:rPr>
            </w:pPr>
          </w:p>
        </w:tc>
        <w:tc>
          <w:tcPr>
            <w:tcW w:w="5" w:type="pct"/>
            <w:shd w:val="clear" w:color="auto" w:fill="auto"/>
          </w:tcPr>
          <w:p w14:paraId="5EA2600B" w14:textId="77777777" w:rsidR="003C66EB" w:rsidRDefault="003C66EB">
            <w:pPr>
              <w:rPr>
                <w:rFonts w:ascii="宋体"/>
              </w:rPr>
            </w:pPr>
          </w:p>
        </w:tc>
        <w:tc>
          <w:tcPr>
            <w:tcW w:w="5" w:type="pct"/>
            <w:shd w:val="clear" w:color="auto" w:fill="auto"/>
          </w:tcPr>
          <w:p w14:paraId="5EA2600C" w14:textId="77777777" w:rsidR="003C66EB" w:rsidRDefault="003C66EB">
            <w:pPr>
              <w:rPr>
                <w:rFonts w:ascii="宋体"/>
              </w:rPr>
            </w:pPr>
          </w:p>
        </w:tc>
        <w:tc>
          <w:tcPr>
            <w:tcW w:w="26" w:type="pct"/>
            <w:shd w:val="clear" w:color="auto" w:fill="auto"/>
          </w:tcPr>
          <w:p w14:paraId="5EA2600D" w14:textId="77777777" w:rsidR="003C66EB" w:rsidRDefault="003C66EB">
            <w:pPr>
              <w:rPr>
                <w:rFonts w:ascii="宋体"/>
              </w:rPr>
            </w:pPr>
          </w:p>
        </w:tc>
        <w:tc>
          <w:tcPr>
            <w:tcW w:w="5" w:type="pct"/>
            <w:shd w:val="clear" w:color="auto" w:fill="auto"/>
          </w:tcPr>
          <w:p w14:paraId="5EA2600E" w14:textId="77777777" w:rsidR="003C66EB" w:rsidRDefault="003C66EB">
            <w:pPr>
              <w:rPr>
                <w:rFonts w:ascii="宋体"/>
              </w:rPr>
            </w:pPr>
          </w:p>
        </w:tc>
        <w:tc>
          <w:tcPr>
            <w:tcW w:w="50" w:type="pct"/>
            <w:shd w:val="clear" w:color="auto" w:fill="auto"/>
          </w:tcPr>
          <w:p w14:paraId="5EA2600F" w14:textId="77777777" w:rsidR="003C66EB" w:rsidRDefault="003C66EB">
            <w:pPr>
              <w:rPr>
                <w:rFonts w:ascii="宋体"/>
              </w:rPr>
            </w:pPr>
          </w:p>
        </w:tc>
        <w:tc>
          <w:tcPr>
            <w:tcW w:w="712" w:type="pct"/>
            <w:shd w:val="clear" w:color="auto" w:fill="auto"/>
          </w:tcPr>
          <w:p w14:paraId="5EA26010" w14:textId="77777777" w:rsidR="003C66EB" w:rsidRDefault="003C66EB">
            <w:pPr>
              <w:rPr>
                <w:rFonts w:ascii="宋体"/>
              </w:rPr>
            </w:pPr>
          </w:p>
        </w:tc>
        <w:tc>
          <w:tcPr>
            <w:tcW w:w="5" w:type="pct"/>
            <w:shd w:val="clear" w:color="auto" w:fill="auto"/>
          </w:tcPr>
          <w:p w14:paraId="5EA26011" w14:textId="77777777" w:rsidR="003C66EB" w:rsidRDefault="003C66EB">
            <w:pPr>
              <w:rPr>
                <w:rFonts w:ascii="宋体"/>
              </w:rPr>
            </w:pPr>
          </w:p>
        </w:tc>
        <w:tc>
          <w:tcPr>
            <w:tcW w:w="5" w:type="pct"/>
            <w:shd w:val="clear" w:color="auto" w:fill="auto"/>
          </w:tcPr>
          <w:p w14:paraId="5EA26012" w14:textId="77777777" w:rsidR="003C66EB" w:rsidRDefault="003C66EB">
            <w:pPr>
              <w:rPr>
                <w:rFonts w:ascii="宋体"/>
              </w:rPr>
            </w:pPr>
          </w:p>
        </w:tc>
        <w:tc>
          <w:tcPr>
            <w:tcW w:w="26" w:type="pct"/>
            <w:shd w:val="clear" w:color="auto" w:fill="auto"/>
          </w:tcPr>
          <w:p w14:paraId="5EA26013" w14:textId="77777777" w:rsidR="003C66EB" w:rsidRDefault="003C66EB">
            <w:pPr>
              <w:rPr>
                <w:rFonts w:ascii="宋体"/>
              </w:rPr>
            </w:pPr>
          </w:p>
        </w:tc>
        <w:tc>
          <w:tcPr>
            <w:tcW w:w="5" w:type="pct"/>
            <w:shd w:val="clear" w:color="auto" w:fill="auto"/>
          </w:tcPr>
          <w:p w14:paraId="5EA26014" w14:textId="77777777" w:rsidR="003C66EB" w:rsidRDefault="003C66EB">
            <w:pPr>
              <w:rPr>
                <w:rFonts w:ascii="宋体"/>
              </w:rPr>
            </w:pPr>
          </w:p>
        </w:tc>
        <w:tc>
          <w:tcPr>
            <w:tcW w:w="50" w:type="pct"/>
            <w:shd w:val="clear" w:color="auto" w:fill="auto"/>
          </w:tcPr>
          <w:p w14:paraId="5EA26015" w14:textId="77777777" w:rsidR="003C66EB" w:rsidRDefault="003C66EB">
            <w:pPr>
              <w:rPr>
                <w:rFonts w:ascii="宋体"/>
              </w:rPr>
            </w:pPr>
          </w:p>
        </w:tc>
        <w:tc>
          <w:tcPr>
            <w:tcW w:w="697" w:type="pct"/>
            <w:shd w:val="clear" w:color="auto" w:fill="auto"/>
          </w:tcPr>
          <w:p w14:paraId="5EA26016" w14:textId="77777777" w:rsidR="003C66EB" w:rsidRDefault="003C66EB">
            <w:pPr>
              <w:rPr>
                <w:rFonts w:ascii="宋体"/>
              </w:rPr>
            </w:pPr>
          </w:p>
        </w:tc>
        <w:tc>
          <w:tcPr>
            <w:tcW w:w="5" w:type="pct"/>
            <w:shd w:val="clear" w:color="auto" w:fill="auto"/>
          </w:tcPr>
          <w:p w14:paraId="5EA26017" w14:textId="77777777" w:rsidR="003C66EB" w:rsidRDefault="003C66EB">
            <w:pPr>
              <w:rPr>
                <w:rFonts w:ascii="宋体"/>
              </w:rPr>
            </w:pPr>
          </w:p>
        </w:tc>
        <w:tc>
          <w:tcPr>
            <w:tcW w:w="5" w:type="pct"/>
            <w:shd w:val="clear" w:color="auto" w:fill="auto"/>
          </w:tcPr>
          <w:p w14:paraId="5EA26018" w14:textId="77777777" w:rsidR="003C66EB" w:rsidRDefault="003C66EB">
            <w:pPr>
              <w:rPr>
                <w:rFonts w:ascii="宋体"/>
              </w:rPr>
            </w:pPr>
          </w:p>
        </w:tc>
        <w:tc>
          <w:tcPr>
            <w:tcW w:w="26" w:type="pct"/>
            <w:shd w:val="clear" w:color="auto" w:fill="auto"/>
          </w:tcPr>
          <w:p w14:paraId="5EA26019" w14:textId="77777777" w:rsidR="003C66EB" w:rsidRDefault="003C66EB">
            <w:pPr>
              <w:rPr>
                <w:rFonts w:ascii="宋体"/>
              </w:rPr>
            </w:pPr>
          </w:p>
        </w:tc>
        <w:tc>
          <w:tcPr>
            <w:tcW w:w="5" w:type="pct"/>
            <w:shd w:val="clear" w:color="auto" w:fill="auto"/>
          </w:tcPr>
          <w:p w14:paraId="5EA2601A" w14:textId="77777777" w:rsidR="003C66EB" w:rsidRDefault="003C66EB">
            <w:pPr>
              <w:rPr>
                <w:rFonts w:ascii="宋体"/>
              </w:rPr>
            </w:pPr>
          </w:p>
        </w:tc>
        <w:tc>
          <w:tcPr>
            <w:tcW w:w="50" w:type="pct"/>
            <w:shd w:val="clear" w:color="auto" w:fill="auto"/>
          </w:tcPr>
          <w:p w14:paraId="5EA2601B" w14:textId="77777777" w:rsidR="003C66EB" w:rsidRDefault="003C66EB">
            <w:pPr>
              <w:rPr>
                <w:rFonts w:ascii="宋体"/>
              </w:rPr>
            </w:pPr>
          </w:p>
        </w:tc>
        <w:tc>
          <w:tcPr>
            <w:tcW w:w="654" w:type="pct"/>
            <w:shd w:val="clear" w:color="auto" w:fill="auto"/>
          </w:tcPr>
          <w:p w14:paraId="5EA2601C" w14:textId="77777777" w:rsidR="003C66EB" w:rsidRDefault="003C66EB">
            <w:pPr>
              <w:rPr>
                <w:rFonts w:ascii="宋体"/>
              </w:rPr>
            </w:pPr>
          </w:p>
        </w:tc>
        <w:tc>
          <w:tcPr>
            <w:tcW w:w="5" w:type="pct"/>
            <w:shd w:val="clear" w:color="auto" w:fill="auto"/>
          </w:tcPr>
          <w:p w14:paraId="5EA2601D" w14:textId="77777777" w:rsidR="003C66EB" w:rsidRDefault="003C66EB">
            <w:pPr>
              <w:rPr>
                <w:rFonts w:ascii="宋体"/>
              </w:rPr>
            </w:pPr>
          </w:p>
        </w:tc>
        <w:tc>
          <w:tcPr>
            <w:tcW w:w="5" w:type="pct"/>
            <w:shd w:val="clear" w:color="auto" w:fill="auto"/>
          </w:tcPr>
          <w:p w14:paraId="5EA2601E" w14:textId="77777777" w:rsidR="003C66EB" w:rsidRDefault="003C66EB">
            <w:pPr>
              <w:rPr>
                <w:rFonts w:ascii="宋体"/>
              </w:rPr>
            </w:pPr>
          </w:p>
        </w:tc>
        <w:tc>
          <w:tcPr>
            <w:tcW w:w="26" w:type="pct"/>
            <w:shd w:val="clear" w:color="auto" w:fill="auto"/>
          </w:tcPr>
          <w:p w14:paraId="5EA2601F" w14:textId="77777777" w:rsidR="003C66EB" w:rsidRDefault="003C66EB">
            <w:pPr>
              <w:rPr>
                <w:rFonts w:ascii="宋体"/>
              </w:rPr>
            </w:pPr>
          </w:p>
        </w:tc>
        <w:tc>
          <w:tcPr>
            <w:tcW w:w="5" w:type="pct"/>
            <w:shd w:val="clear" w:color="auto" w:fill="auto"/>
          </w:tcPr>
          <w:p w14:paraId="5EA26020" w14:textId="77777777" w:rsidR="003C66EB" w:rsidRDefault="003C66EB">
            <w:pPr>
              <w:rPr>
                <w:rFonts w:ascii="宋体"/>
              </w:rPr>
            </w:pPr>
          </w:p>
        </w:tc>
        <w:tc>
          <w:tcPr>
            <w:tcW w:w="50" w:type="pct"/>
            <w:shd w:val="clear" w:color="auto" w:fill="auto"/>
          </w:tcPr>
          <w:p w14:paraId="5EA26021" w14:textId="77777777" w:rsidR="003C66EB" w:rsidRDefault="003C66EB">
            <w:pPr>
              <w:rPr>
                <w:rFonts w:ascii="宋体"/>
              </w:rPr>
            </w:pPr>
          </w:p>
        </w:tc>
        <w:tc>
          <w:tcPr>
            <w:tcW w:w="537" w:type="pct"/>
            <w:shd w:val="clear" w:color="auto" w:fill="auto"/>
          </w:tcPr>
          <w:p w14:paraId="5EA26022" w14:textId="77777777" w:rsidR="003C66EB" w:rsidRDefault="003C66EB">
            <w:pPr>
              <w:rPr>
                <w:rFonts w:ascii="宋体"/>
              </w:rPr>
            </w:pPr>
          </w:p>
        </w:tc>
        <w:tc>
          <w:tcPr>
            <w:tcW w:w="5" w:type="pct"/>
            <w:shd w:val="clear" w:color="auto" w:fill="auto"/>
          </w:tcPr>
          <w:p w14:paraId="5EA26023" w14:textId="77777777" w:rsidR="003C66EB" w:rsidRDefault="003C66EB">
            <w:pPr>
              <w:rPr>
                <w:rFonts w:ascii="宋体"/>
              </w:rPr>
            </w:pPr>
          </w:p>
        </w:tc>
        <w:tc>
          <w:tcPr>
            <w:tcW w:w="0" w:type="auto"/>
            <w:shd w:val="clear" w:color="auto" w:fill="auto"/>
          </w:tcPr>
          <w:p w14:paraId="5EA26024" w14:textId="77777777" w:rsidR="003C66EB" w:rsidRDefault="003C66EB">
            <w:pPr>
              <w:rPr>
                <w:rFonts w:ascii="宋体"/>
                <w:vanish/>
              </w:rPr>
            </w:pPr>
          </w:p>
        </w:tc>
        <w:tc>
          <w:tcPr>
            <w:tcW w:w="0" w:type="auto"/>
            <w:gridSpan w:val="3"/>
            <w:shd w:val="clear" w:color="auto" w:fill="auto"/>
          </w:tcPr>
          <w:p w14:paraId="5EA26025" w14:textId="77777777" w:rsidR="003C66EB" w:rsidRDefault="003C66EB">
            <w:pPr>
              <w:rPr>
                <w:rFonts w:ascii="宋体"/>
                <w:vanish/>
              </w:rPr>
            </w:pPr>
          </w:p>
        </w:tc>
        <w:tc>
          <w:tcPr>
            <w:tcW w:w="0" w:type="auto"/>
            <w:gridSpan w:val="3"/>
            <w:shd w:val="clear" w:color="auto" w:fill="auto"/>
          </w:tcPr>
          <w:p w14:paraId="5EA26026" w14:textId="77777777" w:rsidR="003C66EB" w:rsidRDefault="003C66EB">
            <w:pPr>
              <w:rPr>
                <w:rFonts w:ascii="宋体"/>
                <w:vanish/>
              </w:rPr>
            </w:pPr>
          </w:p>
        </w:tc>
        <w:tc>
          <w:tcPr>
            <w:tcW w:w="0" w:type="auto"/>
            <w:gridSpan w:val="3"/>
            <w:shd w:val="clear" w:color="auto" w:fill="auto"/>
          </w:tcPr>
          <w:p w14:paraId="5EA26027" w14:textId="77777777" w:rsidR="003C66EB" w:rsidRDefault="003C66EB">
            <w:pPr>
              <w:rPr>
                <w:rFonts w:ascii="宋体"/>
                <w:vanish/>
              </w:rPr>
            </w:pPr>
          </w:p>
        </w:tc>
        <w:tc>
          <w:tcPr>
            <w:tcW w:w="0" w:type="auto"/>
            <w:gridSpan w:val="3"/>
            <w:shd w:val="clear" w:color="auto" w:fill="auto"/>
          </w:tcPr>
          <w:p w14:paraId="5EA26028" w14:textId="77777777" w:rsidR="003C66EB" w:rsidRDefault="003C66EB">
            <w:pPr>
              <w:rPr>
                <w:rFonts w:ascii="宋体"/>
                <w:vanish/>
              </w:rPr>
            </w:pPr>
          </w:p>
        </w:tc>
      </w:tr>
      <w:tr w:rsidR="003C66EB" w14:paraId="5EA26039" w14:textId="77777777">
        <w:tc>
          <w:tcPr>
            <w:tcW w:w="0" w:type="auto"/>
            <w:gridSpan w:val="3"/>
            <w:shd w:val="clear" w:color="auto" w:fill="auto"/>
            <w:tcMar>
              <w:top w:w="40" w:type="dxa"/>
              <w:left w:w="20" w:type="dxa"/>
              <w:bottom w:w="40" w:type="dxa"/>
              <w:right w:w="20" w:type="dxa"/>
            </w:tcMar>
            <w:vAlign w:val="bottom"/>
          </w:tcPr>
          <w:p w14:paraId="5EA2602A" w14:textId="77777777" w:rsidR="003C66EB" w:rsidRDefault="00D96C4E">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A2602B"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shd w:val="clear" w:color="auto" w:fill="auto"/>
          </w:tcPr>
          <w:p w14:paraId="5EA2602C" w14:textId="77777777" w:rsidR="003C66EB" w:rsidRDefault="003C66EB">
            <w:pPr>
              <w:rPr>
                <w:rFonts w:ascii="宋体"/>
                <w:vanish/>
              </w:rPr>
            </w:pPr>
          </w:p>
        </w:tc>
        <w:tc>
          <w:tcPr>
            <w:tcW w:w="0" w:type="auto"/>
            <w:shd w:val="clear" w:color="auto" w:fill="auto"/>
          </w:tcPr>
          <w:p w14:paraId="5EA2602D" w14:textId="77777777" w:rsidR="003C66EB" w:rsidRDefault="003C66EB">
            <w:pPr>
              <w:rPr>
                <w:rFonts w:ascii="宋体"/>
              </w:rPr>
            </w:pPr>
          </w:p>
        </w:tc>
        <w:tc>
          <w:tcPr>
            <w:tcW w:w="0" w:type="auto"/>
            <w:shd w:val="clear" w:color="auto" w:fill="auto"/>
          </w:tcPr>
          <w:p w14:paraId="5EA2602E" w14:textId="77777777" w:rsidR="003C66EB" w:rsidRDefault="003C66EB">
            <w:pPr>
              <w:rPr>
                <w:rFonts w:ascii="宋体"/>
              </w:rPr>
            </w:pPr>
          </w:p>
        </w:tc>
        <w:tc>
          <w:tcPr>
            <w:tcW w:w="0" w:type="auto"/>
            <w:shd w:val="clear" w:color="auto" w:fill="auto"/>
          </w:tcPr>
          <w:p w14:paraId="5EA2602F" w14:textId="77777777" w:rsidR="003C66EB" w:rsidRDefault="003C66EB">
            <w:pPr>
              <w:rPr>
                <w:rFonts w:ascii="宋体"/>
              </w:rPr>
            </w:pPr>
          </w:p>
        </w:tc>
        <w:tc>
          <w:tcPr>
            <w:tcW w:w="0" w:type="auto"/>
            <w:shd w:val="clear" w:color="auto" w:fill="auto"/>
          </w:tcPr>
          <w:p w14:paraId="5EA26030" w14:textId="77777777" w:rsidR="003C66EB" w:rsidRDefault="003C66EB">
            <w:pPr>
              <w:rPr>
                <w:rFonts w:ascii="宋体"/>
              </w:rPr>
            </w:pPr>
          </w:p>
        </w:tc>
        <w:tc>
          <w:tcPr>
            <w:tcW w:w="0" w:type="auto"/>
            <w:shd w:val="clear" w:color="auto" w:fill="auto"/>
          </w:tcPr>
          <w:p w14:paraId="5EA26031" w14:textId="77777777" w:rsidR="003C66EB" w:rsidRDefault="003C66EB">
            <w:pPr>
              <w:rPr>
                <w:rFonts w:ascii="宋体"/>
              </w:rPr>
            </w:pPr>
          </w:p>
        </w:tc>
        <w:tc>
          <w:tcPr>
            <w:tcW w:w="0" w:type="auto"/>
            <w:shd w:val="clear" w:color="auto" w:fill="auto"/>
          </w:tcPr>
          <w:p w14:paraId="5EA26032" w14:textId="77777777" w:rsidR="003C66EB" w:rsidRDefault="003C66EB">
            <w:pPr>
              <w:rPr>
                <w:rFonts w:ascii="宋体"/>
              </w:rPr>
            </w:pPr>
          </w:p>
        </w:tc>
        <w:tc>
          <w:tcPr>
            <w:tcW w:w="0" w:type="auto"/>
            <w:shd w:val="clear" w:color="auto" w:fill="auto"/>
          </w:tcPr>
          <w:p w14:paraId="5EA26033" w14:textId="77777777" w:rsidR="003C66EB" w:rsidRDefault="003C66EB">
            <w:pPr>
              <w:rPr>
                <w:rFonts w:ascii="宋体"/>
              </w:rPr>
            </w:pPr>
          </w:p>
        </w:tc>
        <w:tc>
          <w:tcPr>
            <w:tcW w:w="0" w:type="auto"/>
            <w:shd w:val="clear" w:color="auto" w:fill="auto"/>
          </w:tcPr>
          <w:p w14:paraId="5EA26034" w14:textId="77777777" w:rsidR="003C66EB" w:rsidRDefault="003C66EB">
            <w:pPr>
              <w:rPr>
                <w:rFonts w:ascii="宋体"/>
              </w:rPr>
            </w:pPr>
          </w:p>
        </w:tc>
        <w:tc>
          <w:tcPr>
            <w:tcW w:w="0" w:type="auto"/>
            <w:shd w:val="clear" w:color="auto" w:fill="auto"/>
          </w:tcPr>
          <w:p w14:paraId="5EA26035" w14:textId="77777777" w:rsidR="003C66EB" w:rsidRDefault="003C66EB">
            <w:pPr>
              <w:rPr>
                <w:rFonts w:ascii="宋体"/>
              </w:rPr>
            </w:pPr>
          </w:p>
        </w:tc>
        <w:tc>
          <w:tcPr>
            <w:tcW w:w="0" w:type="auto"/>
            <w:shd w:val="clear" w:color="auto" w:fill="auto"/>
          </w:tcPr>
          <w:p w14:paraId="5EA26036" w14:textId="77777777" w:rsidR="003C66EB" w:rsidRDefault="003C66EB">
            <w:pPr>
              <w:rPr>
                <w:rFonts w:ascii="宋体"/>
              </w:rPr>
            </w:pPr>
          </w:p>
        </w:tc>
        <w:tc>
          <w:tcPr>
            <w:tcW w:w="0" w:type="auto"/>
            <w:shd w:val="clear" w:color="auto" w:fill="auto"/>
          </w:tcPr>
          <w:p w14:paraId="5EA26037" w14:textId="77777777" w:rsidR="003C66EB" w:rsidRDefault="003C66EB">
            <w:pPr>
              <w:rPr>
                <w:rFonts w:ascii="宋体"/>
              </w:rPr>
            </w:pPr>
          </w:p>
        </w:tc>
        <w:tc>
          <w:tcPr>
            <w:tcW w:w="0" w:type="auto"/>
            <w:shd w:val="clear" w:color="auto" w:fill="auto"/>
          </w:tcPr>
          <w:p w14:paraId="5EA26038" w14:textId="77777777" w:rsidR="003C66EB" w:rsidRDefault="003C66EB">
            <w:pPr>
              <w:rPr>
                <w:rFonts w:ascii="宋体"/>
              </w:rPr>
            </w:pPr>
          </w:p>
        </w:tc>
      </w:tr>
      <w:tr w:rsidR="003C66EB" w14:paraId="5EA26048" w14:textId="77777777">
        <w:trPr>
          <w:trHeight w:val="400"/>
        </w:trPr>
        <w:tc>
          <w:tcPr>
            <w:tcW w:w="0" w:type="auto"/>
            <w:gridSpan w:val="3"/>
            <w:shd w:val="clear" w:color="auto" w:fill="auto"/>
            <w:tcMar>
              <w:top w:w="0" w:type="dxa"/>
              <w:left w:w="20" w:type="dxa"/>
              <w:bottom w:w="0" w:type="dxa"/>
              <w:right w:w="20" w:type="dxa"/>
            </w:tcMar>
          </w:tcPr>
          <w:p w14:paraId="5EA2603A" w14:textId="77777777" w:rsidR="003C66EB" w:rsidRDefault="003C66E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03B" w14:textId="77777777" w:rsidR="003C66EB" w:rsidRDefault="00D96C4E">
            <w:pPr>
              <w:jc w:val="center"/>
              <w:textAlignment w:val="bottom"/>
            </w:pPr>
            <w:r>
              <w:rPr>
                <w:rFonts w:ascii="Arial" w:eastAsia="宋体" w:hAnsi="Arial" w:cs="Arial"/>
                <w:b/>
                <w:bCs/>
                <w:color w:val="000000"/>
                <w:sz w:val="15"/>
                <w:szCs w:val="15"/>
              </w:rPr>
              <w:t xml:space="preserve">Gross Amounts of Recognized </w:t>
            </w:r>
          </w:p>
          <w:p w14:paraId="5EA2603C" w14:textId="77777777" w:rsidR="003C66EB" w:rsidRDefault="00D96C4E">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5EA2603D" w14:textId="77777777" w:rsidR="003C66EB" w:rsidRDefault="003C66E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03E" w14:textId="77777777" w:rsidR="003C66EB" w:rsidRDefault="00D96C4E">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5EA2603F"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040" w14:textId="77777777" w:rsidR="003C66EB" w:rsidRDefault="00D96C4E">
            <w:pPr>
              <w:jc w:val="center"/>
              <w:textAlignment w:val="bottom"/>
            </w:pPr>
            <w:r>
              <w:rPr>
                <w:rFonts w:ascii="Arial" w:eastAsia="宋体" w:hAnsi="Arial" w:cs="Arial"/>
                <w:b/>
                <w:bCs/>
                <w:color w:val="000000"/>
                <w:sz w:val="15"/>
                <w:szCs w:val="15"/>
              </w:rPr>
              <w:t xml:space="preserve">Net </w:t>
            </w:r>
            <w:r>
              <w:rPr>
                <w:rFonts w:ascii="Arial" w:eastAsia="宋体" w:hAnsi="Arial" w:cs="Arial"/>
                <w:b/>
                <w:bCs/>
                <w:color w:val="000000"/>
                <w:sz w:val="15"/>
                <w:szCs w:val="15"/>
              </w:rPr>
              <w:t>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5EA26041"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042" w14:textId="77777777" w:rsidR="003C66EB" w:rsidRDefault="00D96C4E">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tcPr>
          <w:p w14:paraId="5EA26043" w14:textId="77777777" w:rsidR="003C66EB" w:rsidRDefault="003C66EB">
            <w:pPr>
              <w:rPr>
                <w:rFonts w:ascii="宋体"/>
                <w:vanish/>
              </w:rPr>
            </w:pPr>
          </w:p>
        </w:tc>
        <w:tc>
          <w:tcPr>
            <w:tcW w:w="0" w:type="auto"/>
            <w:gridSpan w:val="3"/>
            <w:shd w:val="clear" w:color="auto" w:fill="auto"/>
          </w:tcPr>
          <w:p w14:paraId="5EA26044" w14:textId="77777777" w:rsidR="003C66EB" w:rsidRDefault="003C66EB">
            <w:pPr>
              <w:rPr>
                <w:rFonts w:ascii="宋体"/>
                <w:vanish/>
              </w:rPr>
            </w:pPr>
          </w:p>
        </w:tc>
        <w:tc>
          <w:tcPr>
            <w:tcW w:w="0" w:type="auto"/>
            <w:gridSpan w:val="3"/>
            <w:shd w:val="clear" w:color="auto" w:fill="auto"/>
          </w:tcPr>
          <w:p w14:paraId="5EA26045" w14:textId="77777777" w:rsidR="003C66EB" w:rsidRDefault="003C66EB">
            <w:pPr>
              <w:rPr>
                <w:rFonts w:ascii="宋体"/>
                <w:vanish/>
              </w:rPr>
            </w:pPr>
          </w:p>
        </w:tc>
        <w:tc>
          <w:tcPr>
            <w:tcW w:w="0" w:type="auto"/>
            <w:gridSpan w:val="3"/>
            <w:shd w:val="clear" w:color="auto" w:fill="auto"/>
          </w:tcPr>
          <w:p w14:paraId="5EA26046" w14:textId="77777777" w:rsidR="003C66EB" w:rsidRDefault="003C66EB">
            <w:pPr>
              <w:rPr>
                <w:rFonts w:ascii="宋体"/>
                <w:vanish/>
              </w:rPr>
            </w:pPr>
          </w:p>
        </w:tc>
        <w:tc>
          <w:tcPr>
            <w:tcW w:w="0" w:type="auto"/>
            <w:gridSpan w:val="3"/>
            <w:shd w:val="clear" w:color="auto" w:fill="auto"/>
          </w:tcPr>
          <w:p w14:paraId="5EA26047" w14:textId="77777777" w:rsidR="003C66EB" w:rsidRDefault="003C66EB">
            <w:pPr>
              <w:rPr>
                <w:rFonts w:ascii="宋体"/>
                <w:vanish/>
              </w:rPr>
            </w:pPr>
          </w:p>
        </w:tc>
      </w:tr>
      <w:tr w:rsidR="003C66EB" w14:paraId="5EA26058" w14:textId="77777777">
        <w:trPr>
          <w:trHeight w:val="540"/>
        </w:trPr>
        <w:tc>
          <w:tcPr>
            <w:tcW w:w="0" w:type="auto"/>
            <w:gridSpan w:val="3"/>
            <w:shd w:val="clear" w:color="auto" w:fill="auto"/>
            <w:tcMar>
              <w:top w:w="40" w:type="dxa"/>
              <w:left w:w="20" w:type="dxa"/>
              <w:bottom w:w="40" w:type="dxa"/>
              <w:right w:w="20" w:type="dxa"/>
            </w:tcMar>
            <w:vAlign w:val="bottom"/>
          </w:tcPr>
          <w:p w14:paraId="5EA26049" w14:textId="77777777" w:rsidR="003C66EB" w:rsidRDefault="00D96C4E">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04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04B" w14:textId="77777777" w:rsidR="003C66EB" w:rsidRDefault="003C66EB">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04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04D"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04E"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604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050" w14:textId="77777777" w:rsidR="003C66EB" w:rsidRDefault="00D96C4E">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5EA2605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052" w14:textId="77777777" w:rsidR="003C66EB" w:rsidRDefault="00D96C4E">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tcPr>
          <w:p w14:paraId="5EA26053" w14:textId="77777777" w:rsidR="003C66EB" w:rsidRDefault="003C66EB">
            <w:pPr>
              <w:rPr>
                <w:rFonts w:ascii="宋体"/>
                <w:vanish/>
              </w:rPr>
            </w:pPr>
          </w:p>
        </w:tc>
        <w:tc>
          <w:tcPr>
            <w:tcW w:w="0" w:type="auto"/>
            <w:gridSpan w:val="3"/>
            <w:shd w:val="clear" w:color="auto" w:fill="auto"/>
          </w:tcPr>
          <w:p w14:paraId="5EA26054" w14:textId="77777777" w:rsidR="003C66EB" w:rsidRDefault="003C66EB">
            <w:pPr>
              <w:rPr>
                <w:rFonts w:ascii="宋体"/>
                <w:vanish/>
              </w:rPr>
            </w:pPr>
          </w:p>
        </w:tc>
        <w:tc>
          <w:tcPr>
            <w:tcW w:w="0" w:type="auto"/>
            <w:gridSpan w:val="3"/>
            <w:shd w:val="clear" w:color="auto" w:fill="auto"/>
          </w:tcPr>
          <w:p w14:paraId="5EA26055" w14:textId="77777777" w:rsidR="003C66EB" w:rsidRDefault="003C66EB">
            <w:pPr>
              <w:rPr>
                <w:rFonts w:ascii="宋体"/>
                <w:vanish/>
              </w:rPr>
            </w:pPr>
          </w:p>
        </w:tc>
        <w:tc>
          <w:tcPr>
            <w:tcW w:w="0" w:type="auto"/>
            <w:gridSpan w:val="3"/>
            <w:shd w:val="clear" w:color="auto" w:fill="auto"/>
          </w:tcPr>
          <w:p w14:paraId="5EA26056" w14:textId="77777777" w:rsidR="003C66EB" w:rsidRDefault="003C66EB">
            <w:pPr>
              <w:rPr>
                <w:rFonts w:ascii="宋体"/>
                <w:vanish/>
              </w:rPr>
            </w:pPr>
          </w:p>
        </w:tc>
        <w:tc>
          <w:tcPr>
            <w:tcW w:w="0" w:type="auto"/>
            <w:gridSpan w:val="3"/>
            <w:shd w:val="clear" w:color="auto" w:fill="auto"/>
          </w:tcPr>
          <w:p w14:paraId="5EA26057" w14:textId="77777777" w:rsidR="003C66EB" w:rsidRDefault="003C66EB">
            <w:pPr>
              <w:rPr>
                <w:rFonts w:ascii="宋体"/>
                <w:vanish/>
              </w:rPr>
            </w:pPr>
          </w:p>
        </w:tc>
      </w:tr>
      <w:tr w:rsidR="003C66EB" w14:paraId="5EA26065" w14:textId="77777777">
        <w:tc>
          <w:tcPr>
            <w:tcW w:w="0" w:type="auto"/>
            <w:gridSpan w:val="12"/>
            <w:shd w:val="clear" w:color="auto" w:fill="auto"/>
            <w:tcMar>
              <w:top w:w="40" w:type="dxa"/>
              <w:left w:w="20" w:type="dxa"/>
              <w:bottom w:w="40" w:type="dxa"/>
              <w:right w:w="20" w:type="dxa"/>
            </w:tcMar>
            <w:vAlign w:val="bottom"/>
          </w:tcPr>
          <w:p w14:paraId="5EA26059" w14:textId="77777777" w:rsidR="003C66EB" w:rsidRDefault="00D96C4E">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tcPr>
          <w:p w14:paraId="5EA2605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05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05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05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05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05F" w14:textId="77777777" w:rsidR="003C66EB" w:rsidRDefault="003C66EB">
            <w:pPr>
              <w:rPr>
                <w:rFonts w:ascii="宋体"/>
              </w:rPr>
            </w:pPr>
          </w:p>
        </w:tc>
        <w:tc>
          <w:tcPr>
            <w:tcW w:w="0" w:type="auto"/>
            <w:shd w:val="clear" w:color="auto" w:fill="auto"/>
          </w:tcPr>
          <w:p w14:paraId="5EA26060" w14:textId="77777777" w:rsidR="003C66EB" w:rsidRDefault="003C66EB">
            <w:pPr>
              <w:rPr>
                <w:rFonts w:ascii="宋体"/>
                <w:vanish/>
              </w:rPr>
            </w:pPr>
          </w:p>
        </w:tc>
        <w:tc>
          <w:tcPr>
            <w:tcW w:w="0" w:type="auto"/>
            <w:gridSpan w:val="3"/>
            <w:shd w:val="clear" w:color="auto" w:fill="auto"/>
          </w:tcPr>
          <w:p w14:paraId="5EA26061" w14:textId="77777777" w:rsidR="003C66EB" w:rsidRDefault="003C66EB">
            <w:pPr>
              <w:rPr>
                <w:rFonts w:ascii="宋体"/>
                <w:vanish/>
              </w:rPr>
            </w:pPr>
          </w:p>
        </w:tc>
        <w:tc>
          <w:tcPr>
            <w:tcW w:w="0" w:type="auto"/>
            <w:gridSpan w:val="3"/>
            <w:shd w:val="clear" w:color="auto" w:fill="auto"/>
          </w:tcPr>
          <w:p w14:paraId="5EA26062" w14:textId="77777777" w:rsidR="003C66EB" w:rsidRDefault="003C66EB">
            <w:pPr>
              <w:rPr>
                <w:rFonts w:ascii="宋体"/>
                <w:vanish/>
              </w:rPr>
            </w:pPr>
          </w:p>
        </w:tc>
        <w:tc>
          <w:tcPr>
            <w:tcW w:w="0" w:type="auto"/>
            <w:gridSpan w:val="3"/>
            <w:shd w:val="clear" w:color="auto" w:fill="auto"/>
          </w:tcPr>
          <w:p w14:paraId="5EA26063" w14:textId="77777777" w:rsidR="003C66EB" w:rsidRDefault="003C66EB">
            <w:pPr>
              <w:rPr>
                <w:rFonts w:ascii="宋体"/>
                <w:vanish/>
              </w:rPr>
            </w:pPr>
          </w:p>
        </w:tc>
        <w:tc>
          <w:tcPr>
            <w:tcW w:w="0" w:type="auto"/>
            <w:gridSpan w:val="3"/>
            <w:shd w:val="clear" w:color="auto" w:fill="auto"/>
          </w:tcPr>
          <w:p w14:paraId="5EA26064" w14:textId="77777777" w:rsidR="003C66EB" w:rsidRDefault="003C66EB">
            <w:pPr>
              <w:rPr>
                <w:rFonts w:ascii="宋体"/>
                <w:vanish/>
              </w:rPr>
            </w:pPr>
          </w:p>
        </w:tc>
      </w:tr>
      <w:tr w:rsidR="003C66EB" w14:paraId="5EA2607F" w14:textId="77777777">
        <w:tc>
          <w:tcPr>
            <w:tcW w:w="0" w:type="auto"/>
            <w:gridSpan w:val="3"/>
            <w:shd w:val="clear" w:color="auto" w:fill="CCEEFF"/>
            <w:tcMar>
              <w:top w:w="40" w:type="dxa"/>
              <w:left w:w="20" w:type="dxa"/>
              <w:bottom w:w="40" w:type="dxa"/>
              <w:right w:w="20" w:type="dxa"/>
            </w:tcMar>
            <w:vAlign w:val="bottom"/>
          </w:tcPr>
          <w:p w14:paraId="5EA26066"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6067"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068" w14:textId="77777777" w:rsidR="003C66EB" w:rsidRDefault="00D96C4E">
            <w:pPr>
              <w:jc w:val="right"/>
              <w:textAlignment w:val="bottom"/>
            </w:pPr>
            <w:r>
              <w:rPr>
                <w:rFonts w:ascii="Arial" w:eastAsia="宋体" w:hAnsi="Arial" w:cs="Arial"/>
                <w:b/>
                <w:bCs/>
                <w:color w:val="000000"/>
                <w:sz w:val="15"/>
                <w:szCs w:val="15"/>
              </w:rPr>
              <w:t>21,898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06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6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06B"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06C" w14:textId="77777777" w:rsidR="003C66EB" w:rsidRDefault="00D96C4E">
            <w:pPr>
              <w:jc w:val="right"/>
              <w:textAlignment w:val="bottom"/>
            </w:pPr>
            <w:r>
              <w:rPr>
                <w:rFonts w:ascii="Arial" w:eastAsia="宋体" w:hAnsi="Arial" w:cs="Arial"/>
                <w:b/>
                <w:bCs/>
                <w:color w:val="000000"/>
                <w:sz w:val="15"/>
                <w:szCs w:val="15"/>
              </w:rPr>
              <w:t>(11,923)</w:t>
            </w:r>
          </w:p>
        </w:tc>
        <w:tc>
          <w:tcPr>
            <w:tcW w:w="0" w:type="auto"/>
            <w:shd w:val="clear" w:color="auto" w:fill="CCEEFF"/>
            <w:tcMar>
              <w:top w:w="40" w:type="dxa"/>
              <w:left w:w="0" w:type="dxa"/>
              <w:bottom w:w="40" w:type="dxa"/>
              <w:right w:w="20" w:type="dxa"/>
            </w:tcMar>
            <w:vAlign w:val="bottom"/>
          </w:tcPr>
          <w:p w14:paraId="5EA260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6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06F"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070" w14:textId="77777777" w:rsidR="003C66EB" w:rsidRDefault="00D96C4E">
            <w:pPr>
              <w:jc w:val="right"/>
              <w:textAlignment w:val="bottom"/>
            </w:pPr>
            <w:r>
              <w:rPr>
                <w:rFonts w:ascii="Arial" w:eastAsia="宋体" w:hAnsi="Arial" w:cs="Arial"/>
                <w:b/>
                <w:bCs/>
                <w:color w:val="000000"/>
                <w:sz w:val="15"/>
                <w:szCs w:val="15"/>
              </w:rPr>
              <w:t>9,975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07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7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073"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074"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07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7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077"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078" w14:textId="77777777" w:rsidR="003C66EB" w:rsidRDefault="00D96C4E">
            <w:pPr>
              <w:jc w:val="right"/>
              <w:textAlignment w:val="bottom"/>
            </w:pPr>
            <w:r>
              <w:rPr>
                <w:rFonts w:ascii="Arial" w:eastAsia="宋体" w:hAnsi="Arial" w:cs="Arial"/>
                <w:b/>
                <w:bCs/>
                <w:color w:val="000000"/>
                <w:sz w:val="15"/>
                <w:szCs w:val="15"/>
              </w:rPr>
              <w:t>9,975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079" w14:textId="77777777" w:rsidR="003C66EB" w:rsidRDefault="003C66EB">
            <w:pPr>
              <w:jc w:val="right"/>
              <w:rPr>
                <w:rFonts w:ascii="宋体"/>
              </w:rPr>
            </w:pPr>
          </w:p>
        </w:tc>
        <w:tc>
          <w:tcPr>
            <w:tcW w:w="0" w:type="auto"/>
            <w:shd w:val="clear" w:color="auto" w:fill="auto"/>
          </w:tcPr>
          <w:p w14:paraId="5EA2607A" w14:textId="77777777" w:rsidR="003C66EB" w:rsidRDefault="003C66EB">
            <w:pPr>
              <w:rPr>
                <w:rFonts w:ascii="宋体"/>
                <w:vanish/>
              </w:rPr>
            </w:pPr>
          </w:p>
        </w:tc>
        <w:tc>
          <w:tcPr>
            <w:tcW w:w="0" w:type="auto"/>
            <w:gridSpan w:val="3"/>
            <w:shd w:val="clear" w:color="auto" w:fill="auto"/>
          </w:tcPr>
          <w:p w14:paraId="5EA2607B" w14:textId="77777777" w:rsidR="003C66EB" w:rsidRDefault="003C66EB">
            <w:pPr>
              <w:rPr>
                <w:rFonts w:ascii="宋体"/>
                <w:vanish/>
              </w:rPr>
            </w:pPr>
          </w:p>
        </w:tc>
        <w:tc>
          <w:tcPr>
            <w:tcW w:w="0" w:type="auto"/>
            <w:gridSpan w:val="3"/>
            <w:shd w:val="clear" w:color="auto" w:fill="auto"/>
          </w:tcPr>
          <w:p w14:paraId="5EA2607C" w14:textId="77777777" w:rsidR="003C66EB" w:rsidRDefault="003C66EB">
            <w:pPr>
              <w:rPr>
                <w:rFonts w:ascii="宋体"/>
                <w:vanish/>
              </w:rPr>
            </w:pPr>
          </w:p>
        </w:tc>
        <w:tc>
          <w:tcPr>
            <w:tcW w:w="0" w:type="auto"/>
            <w:gridSpan w:val="3"/>
            <w:shd w:val="clear" w:color="auto" w:fill="auto"/>
          </w:tcPr>
          <w:p w14:paraId="5EA2607D" w14:textId="77777777" w:rsidR="003C66EB" w:rsidRDefault="003C66EB">
            <w:pPr>
              <w:rPr>
                <w:rFonts w:ascii="宋体"/>
                <w:vanish/>
              </w:rPr>
            </w:pPr>
          </w:p>
        </w:tc>
        <w:tc>
          <w:tcPr>
            <w:tcW w:w="0" w:type="auto"/>
            <w:gridSpan w:val="3"/>
            <w:shd w:val="clear" w:color="auto" w:fill="auto"/>
          </w:tcPr>
          <w:p w14:paraId="5EA2607E" w14:textId="77777777" w:rsidR="003C66EB" w:rsidRDefault="003C66EB">
            <w:pPr>
              <w:rPr>
                <w:rFonts w:ascii="宋体"/>
                <w:vanish/>
              </w:rPr>
            </w:pPr>
          </w:p>
        </w:tc>
      </w:tr>
      <w:tr w:rsidR="003C66EB" w14:paraId="5EA26094" w14:textId="77777777">
        <w:tc>
          <w:tcPr>
            <w:tcW w:w="0" w:type="auto"/>
            <w:gridSpan w:val="3"/>
            <w:shd w:val="clear" w:color="auto" w:fill="FFFFFF"/>
            <w:tcMar>
              <w:top w:w="40" w:type="dxa"/>
              <w:left w:w="20" w:type="dxa"/>
              <w:bottom w:w="40" w:type="dxa"/>
              <w:right w:w="20" w:type="dxa"/>
            </w:tcMar>
            <w:vAlign w:val="bottom"/>
          </w:tcPr>
          <w:p w14:paraId="5EA26080" w14:textId="77777777" w:rsidR="003C66EB" w:rsidRDefault="00D96C4E">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A26081" w14:textId="77777777" w:rsidR="003C66EB" w:rsidRDefault="00D96C4E">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08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8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084"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A2608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8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087"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08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8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08A"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08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8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08D"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08E" w14:textId="77777777" w:rsidR="003C66EB" w:rsidRDefault="003C66EB">
            <w:pPr>
              <w:jc w:val="right"/>
              <w:rPr>
                <w:rFonts w:ascii="宋体"/>
              </w:rPr>
            </w:pPr>
          </w:p>
        </w:tc>
        <w:tc>
          <w:tcPr>
            <w:tcW w:w="0" w:type="auto"/>
            <w:shd w:val="clear" w:color="auto" w:fill="auto"/>
          </w:tcPr>
          <w:p w14:paraId="5EA2608F" w14:textId="77777777" w:rsidR="003C66EB" w:rsidRDefault="003C66EB">
            <w:pPr>
              <w:rPr>
                <w:rFonts w:ascii="宋体"/>
                <w:vanish/>
              </w:rPr>
            </w:pPr>
          </w:p>
        </w:tc>
        <w:tc>
          <w:tcPr>
            <w:tcW w:w="0" w:type="auto"/>
            <w:gridSpan w:val="3"/>
            <w:shd w:val="clear" w:color="auto" w:fill="auto"/>
          </w:tcPr>
          <w:p w14:paraId="5EA26090" w14:textId="77777777" w:rsidR="003C66EB" w:rsidRDefault="003C66EB">
            <w:pPr>
              <w:rPr>
                <w:rFonts w:ascii="宋体"/>
                <w:vanish/>
              </w:rPr>
            </w:pPr>
          </w:p>
        </w:tc>
        <w:tc>
          <w:tcPr>
            <w:tcW w:w="0" w:type="auto"/>
            <w:gridSpan w:val="3"/>
            <w:shd w:val="clear" w:color="auto" w:fill="auto"/>
          </w:tcPr>
          <w:p w14:paraId="5EA26091" w14:textId="77777777" w:rsidR="003C66EB" w:rsidRDefault="003C66EB">
            <w:pPr>
              <w:rPr>
                <w:rFonts w:ascii="宋体"/>
                <w:vanish/>
              </w:rPr>
            </w:pPr>
          </w:p>
        </w:tc>
        <w:tc>
          <w:tcPr>
            <w:tcW w:w="0" w:type="auto"/>
            <w:gridSpan w:val="3"/>
            <w:shd w:val="clear" w:color="auto" w:fill="auto"/>
          </w:tcPr>
          <w:p w14:paraId="5EA26092" w14:textId="77777777" w:rsidR="003C66EB" w:rsidRDefault="003C66EB">
            <w:pPr>
              <w:rPr>
                <w:rFonts w:ascii="宋体"/>
                <w:vanish/>
              </w:rPr>
            </w:pPr>
          </w:p>
        </w:tc>
        <w:tc>
          <w:tcPr>
            <w:tcW w:w="0" w:type="auto"/>
            <w:gridSpan w:val="3"/>
            <w:shd w:val="clear" w:color="auto" w:fill="auto"/>
          </w:tcPr>
          <w:p w14:paraId="5EA26093" w14:textId="77777777" w:rsidR="003C66EB" w:rsidRDefault="003C66EB">
            <w:pPr>
              <w:rPr>
                <w:rFonts w:ascii="宋体"/>
                <w:vanish/>
              </w:rPr>
            </w:pPr>
          </w:p>
        </w:tc>
      </w:tr>
      <w:tr w:rsidR="003C66EB" w14:paraId="5EA260A4" w14:textId="77777777">
        <w:trPr>
          <w:hidden/>
        </w:trPr>
        <w:tc>
          <w:tcPr>
            <w:tcW w:w="0" w:type="auto"/>
            <w:gridSpan w:val="3"/>
            <w:shd w:val="clear" w:color="auto" w:fill="auto"/>
          </w:tcPr>
          <w:p w14:paraId="5EA26095" w14:textId="77777777" w:rsidR="003C66EB" w:rsidRDefault="003C66EB">
            <w:pPr>
              <w:rPr>
                <w:rFonts w:ascii="宋体"/>
                <w:vanish/>
              </w:rPr>
            </w:pPr>
          </w:p>
        </w:tc>
        <w:tc>
          <w:tcPr>
            <w:tcW w:w="0" w:type="auto"/>
            <w:gridSpan w:val="3"/>
            <w:shd w:val="clear" w:color="auto" w:fill="auto"/>
          </w:tcPr>
          <w:p w14:paraId="5EA26096" w14:textId="77777777" w:rsidR="003C66EB" w:rsidRDefault="003C66EB">
            <w:pPr>
              <w:rPr>
                <w:rFonts w:ascii="宋体"/>
                <w:vanish/>
              </w:rPr>
            </w:pPr>
          </w:p>
        </w:tc>
        <w:tc>
          <w:tcPr>
            <w:tcW w:w="0" w:type="auto"/>
            <w:gridSpan w:val="3"/>
            <w:shd w:val="clear" w:color="auto" w:fill="auto"/>
          </w:tcPr>
          <w:p w14:paraId="5EA26097" w14:textId="77777777" w:rsidR="003C66EB" w:rsidRDefault="003C66EB">
            <w:pPr>
              <w:rPr>
                <w:rFonts w:ascii="宋体"/>
                <w:vanish/>
              </w:rPr>
            </w:pPr>
          </w:p>
        </w:tc>
        <w:tc>
          <w:tcPr>
            <w:tcW w:w="0" w:type="auto"/>
            <w:gridSpan w:val="3"/>
            <w:shd w:val="clear" w:color="auto" w:fill="auto"/>
          </w:tcPr>
          <w:p w14:paraId="5EA26098" w14:textId="77777777" w:rsidR="003C66EB" w:rsidRDefault="003C66EB">
            <w:pPr>
              <w:rPr>
                <w:rFonts w:ascii="宋体"/>
                <w:vanish/>
              </w:rPr>
            </w:pPr>
          </w:p>
        </w:tc>
        <w:tc>
          <w:tcPr>
            <w:tcW w:w="0" w:type="auto"/>
            <w:gridSpan w:val="3"/>
            <w:shd w:val="clear" w:color="auto" w:fill="auto"/>
          </w:tcPr>
          <w:p w14:paraId="5EA26099" w14:textId="77777777" w:rsidR="003C66EB" w:rsidRDefault="003C66EB">
            <w:pPr>
              <w:rPr>
                <w:rFonts w:ascii="宋体"/>
                <w:vanish/>
              </w:rPr>
            </w:pPr>
          </w:p>
        </w:tc>
        <w:tc>
          <w:tcPr>
            <w:tcW w:w="0" w:type="auto"/>
            <w:gridSpan w:val="3"/>
            <w:shd w:val="clear" w:color="auto" w:fill="auto"/>
          </w:tcPr>
          <w:p w14:paraId="5EA2609A" w14:textId="77777777" w:rsidR="003C66EB" w:rsidRDefault="003C66EB">
            <w:pPr>
              <w:rPr>
                <w:rFonts w:ascii="宋体"/>
                <w:vanish/>
              </w:rPr>
            </w:pPr>
          </w:p>
        </w:tc>
        <w:tc>
          <w:tcPr>
            <w:tcW w:w="0" w:type="auto"/>
            <w:gridSpan w:val="3"/>
            <w:shd w:val="clear" w:color="auto" w:fill="auto"/>
          </w:tcPr>
          <w:p w14:paraId="5EA2609B" w14:textId="77777777" w:rsidR="003C66EB" w:rsidRDefault="003C66EB">
            <w:pPr>
              <w:rPr>
                <w:rFonts w:ascii="宋体"/>
                <w:vanish/>
              </w:rPr>
            </w:pPr>
          </w:p>
        </w:tc>
        <w:tc>
          <w:tcPr>
            <w:tcW w:w="0" w:type="auto"/>
            <w:gridSpan w:val="3"/>
            <w:shd w:val="clear" w:color="auto" w:fill="auto"/>
          </w:tcPr>
          <w:p w14:paraId="5EA2609C" w14:textId="77777777" w:rsidR="003C66EB" w:rsidRDefault="003C66EB">
            <w:pPr>
              <w:rPr>
                <w:rFonts w:ascii="宋体"/>
                <w:vanish/>
              </w:rPr>
            </w:pPr>
          </w:p>
        </w:tc>
        <w:tc>
          <w:tcPr>
            <w:tcW w:w="0" w:type="auto"/>
            <w:gridSpan w:val="3"/>
            <w:shd w:val="clear" w:color="auto" w:fill="auto"/>
          </w:tcPr>
          <w:p w14:paraId="5EA2609D" w14:textId="77777777" w:rsidR="003C66EB" w:rsidRDefault="003C66EB">
            <w:pPr>
              <w:rPr>
                <w:rFonts w:ascii="宋体"/>
                <w:vanish/>
              </w:rPr>
            </w:pPr>
          </w:p>
        </w:tc>
        <w:tc>
          <w:tcPr>
            <w:tcW w:w="0" w:type="auto"/>
            <w:gridSpan w:val="3"/>
            <w:shd w:val="clear" w:color="auto" w:fill="auto"/>
          </w:tcPr>
          <w:p w14:paraId="5EA2609E" w14:textId="77777777" w:rsidR="003C66EB" w:rsidRDefault="003C66EB">
            <w:pPr>
              <w:rPr>
                <w:rFonts w:ascii="宋体"/>
                <w:vanish/>
              </w:rPr>
            </w:pPr>
          </w:p>
        </w:tc>
        <w:tc>
          <w:tcPr>
            <w:tcW w:w="0" w:type="auto"/>
            <w:shd w:val="clear" w:color="auto" w:fill="auto"/>
          </w:tcPr>
          <w:p w14:paraId="5EA2609F" w14:textId="77777777" w:rsidR="003C66EB" w:rsidRDefault="003C66EB">
            <w:pPr>
              <w:rPr>
                <w:rFonts w:ascii="宋体"/>
                <w:vanish/>
              </w:rPr>
            </w:pPr>
          </w:p>
        </w:tc>
        <w:tc>
          <w:tcPr>
            <w:tcW w:w="0" w:type="auto"/>
            <w:gridSpan w:val="3"/>
            <w:shd w:val="clear" w:color="auto" w:fill="auto"/>
          </w:tcPr>
          <w:p w14:paraId="5EA260A0" w14:textId="77777777" w:rsidR="003C66EB" w:rsidRDefault="003C66EB">
            <w:pPr>
              <w:rPr>
                <w:rFonts w:ascii="宋体"/>
                <w:vanish/>
              </w:rPr>
            </w:pPr>
          </w:p>
        </w:tc>
        <w:tc>
          <w:tcPr>
            <w:tcW w:w="0" w:type="auto"/>
            <w:gridSpan w:val="3"/>
            <w:shd w:val="clear" w:color="auto" w:fill="auto"/>
          </w:tcPr>
          <w:p w14:paraId="5EA260A1" w14:textId="77777777" w:rsidR="003C66EB" w:rsidRDefault="003C66EB">
            <w:pPr>
              <w:rPr>
                <w:rFonts w:ascii="宋体"/>
                <w:vanish/>
              </w:rPr>
            </w:pPr>
          </w:p>
        </w:tc>
        <w:tc>
          <w:tcPr>
            <w:tcW w:w="0" w:type="auto"/>
            <w:gridSpan w:val="3"/>
            <w:shd w:val="clear" w:color="auto" w:fill="auto"/>
          </w:tcPr>
          <w:p w14:paraId="5EA260A2" w14:textId="77777777" w:rsidR="003C66EB" w:rsidRDefault="003C66EB">
            <w:pPr>
              <w:rPr>
                <w:rFonts w:ascii="宋体"/>
                <w:vanish/>
              </w:rPr>
            </w:pPr>
          </w:p>
        </w:tc>
        <w:tc>
          <w:tcPr>
            <w:tcW w:w="0" w:type="auto"/>
            <w:gridSpan w:val="3"/>
            <w:shd w:val="clear" w:color="auto" w:fill="auto"/>
          </w:tcPr>
          <w:p w14:paraId="5EA260A3" w14:textId="77777777" w:rsidR="003C66EB" w:rsidRDefault="003C66EB">
            <w:pPr>
              <w:rPr>
                <w:rFonts w:ascii="宋体"/>
                <w:vanish/>
              </w:rPr>
            </w:pPr>
          </w:p>
        </w:tc>
      </w:tr>
      <w:tr w:rsidR="003C66EB" w14:paraId="5EA260B4" w14:textId="77777777">
        <w:trPr>
          <w:hidden/>
        </w:trPr>
        <w:tc>
          <w:tcPr>
            <w:tcW w:w="0" w:type="auto"/>
            <w:gridSpan w:val="3"/>
            <w:shd w:val="clear" w:color="auto" w:fill="auto"/>
          </w:tcPr>
          <w:p w14:paraId="5EA260A5" w14:textId="77777777" w:rsidR="003C66EB" w:rsidRDefault="003C66EB">
            <w:pPr>
              <w:rPr>
                <w:rFonts w:ascii="宋体"/>
                <w:vanish/>
              </w:rPr>
            </w:pPr>
          </w:p>
        </w:tc>
        <w:tc>
          <w:tcPr>
            <w:tcW w:w="0" w:type="auto"/>
            <w:gridSpan w:val="3"/>
            <w:shd w:val="clear" w:color="auto" w:fill="auto"/>
          </w:tcPr>
          <w:p w14:paraId="5EA260A6" w14:textId="77777777" w:rsidR="003C66EB" w:rsidRDefault="003C66EB">
            <w:pPr>
              <w:rPr>
                <w:rFonts w:ascii="宋体"/>
                <w:vanish/>
              </w:rPr>
            </w:pPr>
          </w:p>
        </w:tc>
        <w:tc>
          <w:tcPr>
            <w:tcW w:w="0" w:type="auto"/>
            <w:gridSpan w:val="3"/>
            <w:shd w:val="clear" w:color="auto" w:fill="auto"/>
          </w:tcPr>
          <w:p w14:paraId="5EA260A7" w14:textId="77777777" w:rsidR="003C66EB" w:rsidRDefault="003C66EB">
            <w:pPr>
              <w:rPr>
                <w:rFonts w:ascii="宋体"/>
                <w:vanish/>
              </w:rPr>
            </w:pPr>
          </w:p>
        </w:tc>
        <w:tc>
          <w:tcPr>
            <w:tcW w:w="0" w:type="auto"/>
            <w:gridSpan w:val="3"/>
            <w:shd w:val="clear" w:color="auto" w:fill="auto"/>
          </w:tcPr>
          <w:p w14:paraId="5EA260A8" w14:textId="77777777" w:rsidR="003C66EB" w:rsidRDefault="003C66EB">
            <w:pPr>
              <w:rPr>
                <w:rFonts w:ascii="宋体"/>
                <w:vanish/>
              </w:rPr>
            </w:pPr>
          </w:p>
        </w:tc>
        <w:tc>
          <w:tcPr>
            <w:tcW w:w="0" w:type="auto"/>
            <w:gridSpan w:val="3"/>
            <w:shd w:val="clear" w:color="auto" w:fill="auto"/>
          </w:tcPr>
          <w:p w14:paraId="5EA260A9" w14:textId="77777777" w:rsidR="003C66EB" w:rsidRDefault="003C66EB">
            <w:pPr>
              <w:rPr>
                <w:rFonts w:ascii="宋体"/>
                <w:vanish/>
              </w:rPr>
            </w:pPr>
          </w:p>
        </w:tc>
        <w:tc>
          <w:tcPr>
            <w:tcW w:w="0" w:type="auto"/>
            <w:gridSpan w:val="3"/>
            <w:shd w:val="clear" w:color="auto" w:fill="auto"/>
          </w:tcPr>
          <w:p w14:paraId="5EA260AA" w14:textId="77777777" w:rsidR="003C66EB" w:rsidRDefault="003C66EB">
            <w:pPr>
              <w:rPr>
                <w:rFonts w:ascii="宋体"/>
                <w:vanish/>
              </w:rPr>
            </w:pPr>
          </w:p>
        </w:tc>
        <w:tc>
          <w:tcPr>
            <w:tcW w:w="0" w:type="auto"/>
            <w:gridSpan w:val="3"/>
            <w:shd w:val="clear" w:color="auto" w:fill="auto"/>
          </w:tcPr>
          <w:p w14:paraId="5EA260AB" w14:textId="77777777" w:rsidR="003C66EB" w:rsidRDefault="003C66EB">
            <w:pPr>
              <w:rPr>
                <w:rFonts w:ascii="宋体"/>
                <w:vanish/>
              </w:rPr>
            </w:pPr>
          </w:p>
        </w:tc>
        <w:tc>
          <w:tcPr>
            <w:tcW w:w="0" w:type="auto"/>
            <w:gridSpan w:val="3"/>
            <w:shd w:val="clear" w:color="auto" w:fill="auto"/>
          </w:tcPr>
          <w:p w14:paraId="5EA260AC" w14:textId="77777777" w:rsidR="003C66EB" w:rsidRDefault="003C66EB">
            <w:pPr>
              <w:rPr>
                <w:rFonts w:ascii="宋体"/>
                <w:vanish/>
              </w:rPr>
            </w:pPr>
          </w:p>
        </w:tc>
        <w:tc>
          <w:tcPr>
            <w:tcW w:w="0" w:type="auto"/>
            <w:gridSpan w:val="3"/>
            <w:shd w:val="clear" w:color="auto" w:fill="auto"/>
          </w:tcPr>
          <w:p w14:paraId="5EA260AD" w14:textId="77777777" w:rsidR="003C66EB" w:rsidRDefault="003C66EB">
            <w:pPr>
              <w:rPr>
                <w:rFonts w:ascii="宋体"/>
                <w:vanish/>
              </w:rPr>
            </w:pPr>
          </w:p>
        </w:tc>
        <w:tc>
          <w:tcPr>
            <w:tcW w:w="0" w:type="auto"/>
            <w:gridSpan w:val="3"/>
            <w:shd w:val="clear" w:color="auto" w:fill="auto"/>
          </w:tcPr>
          <w:p w14:paraId="5EA260AE" w14:textId="77777777" w:rsidR="003C66EB" w:rsidRDefault="003C66EB">
            <w:pPr>
              <w:rPr>
                <w:rFonts w:ascii="宋体"/>
                <w:vanish/>
              </w:rPr>
            </w:pPr>
          </w:p>
        </w:tc>
        <w:tc>
          <w:tcPr>
            <w:tcW w:w="0" w:type="auto"/>
            <w:shd w:val="clear" w:color="auto" w:fill="auto"/>
          </w:tcPr>
          <w:p w14:paraId="5EA260AF" w14:textId="77777777" w:rsidR="003C66EB" w:rsidRDefault="003C66EB">
            <w:pPr>
              <w:rPr>
                <w:rFonts w:ascii="宋体"/>
                <w:vanish/>
              </w:rPr>
            </w:pPr>
          </w:p>
        </w:tc>
        <w:tc>
          <w:tcPr>
            <w:tcW w:w="0" w:type="auto"/>
            <w:gridSpan w:val="3"/>
            <w:shd w:val="clear" w:color="auto" w:fill="auto"/>
          </w:tcPr>
          <w:p w14:paraId="5EA260B0" w14:textId="77777777" w:rsidR="003C66EB" w:rsidRDefault="003C66EB">
            <w:pPr>
              <w:rPr>
                <w:rFonts w:ascii="宋体"/>
                <w:vanish/>
              </w:rPr>
            </w:pPr>
          </w:p>
        </w:tc>
        <w:tc>
          <w:tcPr>
            <w:tcW w:w="0" w:type="auto"/>
            <w:gridSpan w:val="3"/>
            <w:shd w:val="clear" w:color="auto" w:fill="auto"/>
          </w:tcPr>
          <w:p w14:paraId="5EA260B1" w14:textId="77777777" w:rsidR="003C66EB" w:rsidRDefault="003C66EB">
            <w:pPr>
              <w:rPr>
                <w:rFonts w:ascii="宋体"/>
                <w:vanish/>
              </w:rPr>
            </w:pPr>
          </w:p>
        </w:tc>
        <w:tc>
          <w:tcPr>
            <w:tcW w:w="0" w:type="auto"/>
            <w:gridSpan w:val="3"/>
            <w:shd w:val="clear" w:color="auto" w:fill="auto"/>
          </w:tcPr>
          <w:p w14:paraId="5EA260B2" w14:textId="77777777" w:rsidR="003C66EB" w:rsidRDefault="003C66EB">
            <w:pPr>
              <w:rPr>
                <w:rFonts w:ascii="宋体"/>
                <w:vanish/>
              </w:rPr>
            </w:pPr>
          </w:p>
        </w:tc>
        <w:tc>
          <w:tcPr>
            <w:tcW w:w="0" w:type="auto"/>
            <w:gridSpan w:val="3"/>
            <w:shd w:val="clear" w:color="auto" w:fill="auto"/>
          </w:tcPr>
          <w:p w14:paraId="5EA260B3" w14:textId="77777777" w:rsidR="003C66EB" w:rsidRDefault="003C66EB">
            <w:pPr>
              <w:rPr>
                <w:rFonts w:ascii="宋体"/>
                <w:vanish/>
              </w:rPr>
            </w:pPr>
          </w:p>
        </w:tc>
      </w:tr>
      <w:tr w:rsidR="003C66EB" w14:paraId="5EA260C4" w14:textId="77777777">
        <w:trPr>
          <w:hidden/>
        </w:trPr>
        <w:tc>
          <w:tcPr>
            <w:tcW w:w="0" w:type="auto"/>
            <w:gridSpan w:val="3"/>
            <w:shd w:val="clear" w:color="auto" w:fill="auto"/>
          </w:tcPr>
          <w:p w14:paraId="5EA260B5" w14:textId="77777777" w:rsidR="003C66EB" w:rsidRDefault="003C66EB">
            <w:pPr>
              <w:rPr>
                <w:rFonts w:ascii="宋体"/>
                <w:vanish/>
              </w:rPr>
            </w:pPr>
          </w:p>
        </w:tc>
        <w:tc>
          <w:tcPr>
            <w:tcW w:w="0" w:type="auto"/>
            <w:gridSpan w:val="3"/>
            <w:shd w:val="clear" w:color="auto" w:fill="auto"/>
          </w:tcPr>
          <w:p w14:paraId="5EA260B6" w14:textId="77777777" w:rsidR="003C66EB" w:rsidRDefault="003C66EB">
            <w:pPr>
              <w:rPr>
                <w:rFonts w:ascii="宋体"/>
                <w:vanish/>
              </w:rPr>
            </w:pPr>
          </w:p>
        </w:tc>
        <w:tc>
          <w:tcPr>
            <w:tcW w:w="0" w:type="auto"/>
            <w:gridSpan w:val="3"/>
            <w:shd w:val="clear" w:color="auto" w:fill="auto"/>
          </w:tcPr>
          <w:p w14:paraId="5EA260B7" w14:textId="77777777" w:rsidR="003C66EB" w:rsidRDefault="003C66EB">
            <w:pPr>
              <w:rPr>
                <w:rFonts w:ascii="宋体"/>
                <w:vanish/>
              </w:rPr>
            </w:pPr>
          </w:p>
        </w:tc>
        <w:tc>
          <w:tcPr>
            <w:tcW w:w="0" w:type="auto"/>
            <w:gridSpan w:val="3"/>
            <w:shd w:val="clear" w:color="auto" w:fill="auto"/>
          </w:tcPr>
          <w:p w14:paraId="5EA260B8" w14:textId="77777777" w:rsidR="003C66EB" w:rsidRDefault="003C66EB">
            <w:pPr>
              <w:rPr>
                <w:rFonts w:ascii="宋体"/>
                <w:vanish/>
              </w:rPr>
            </w:pPr>
          </w:p>
        </w:tc>
        <w:tc>
          <w:tcPr>
            <w:tcW w:w="0" w:type="auto"/>
            <w:gridSpan w:val="3"/>
            <w:shd w:val="clear" w:color="auto" w:fill="auto"/>
          </w:tcPr>
          <w:p w14:paraId="5EA260B9" w14:textId="77777777" w:rsidR="003C66EB" w:rsidRDefault="003C66EB">
            <w:pPr>
              <w:rPr>
                <w:rFonts w:ascii="宋体"/>
                <w:vanish/>
              </w:rPr>
            </w:pPr>
          </w:p>
        </w:tc>
        <w:tc>
          <w:tcPr>
            <w:tcW w:w="0" w:type="auto"/>
            <w:gridSpan w:val="3"/>
            <w:shd w:val="clear" w:color="auto" w:fill="auto"/>
          </w:tcPr>
          <w:p w14:paraId="5EA260BA" w14:textId="77777777" w:rsidR="003C66EB" w:rsidRDefault="003C66EB">
            <w:pPr>
              <w:rPr>
                <w:rFonts w:ascii="宋体"/>
                <w:vanish/>
              </w:rPr>
            </w:pPr>
          </w:p>
        </w:tc>
        <w:tc>
          <w:tcPr>
            <w:tcW w:w="0" w:type="auto"/>
            <w:gridSpan w:val="3"/>
            <w:shd w:val="clear" w:color="auto" w:fill="auto"/>
          </w:tcPr>
          <w:p w14:paraId="5EA260BB" w14:textId="77777777" w:rsidR="003C66EB" w:rsidRDefault="003C66EB">
            <w:pPr>
              <w:rPr>
                <w:rFonts w:ascii="宋体"/>
                <w:vanish/>
              </w:rPr>
            </w:pPr>
          </w:p>
        </w:tc>
        <w:tc>
          <w:tcPr>
            <w:tcW w:w="0" w:type="auto"/>
            <w:gridSpan w:val="3"/>
            <w:shd w:val="clear" w:color="auto" w:fill="auto"/>
          </w:tcPr>
          <w:p w14:paraId="5EA260BC" w14:textId="77777777" w:rsidR="003C66EB" w:rsidRDefault="003C66EB">
            <w:pPr>
              <w:rPr>
                <w:rFonts w:ascii="宋体"/>
                <w:vanish/>
              </w:rPr>
            </w:pPr>
          </w:p>
        </w:tc>
        <w:tc>
          <w:tcPr>
            <w:tcW w:w="0" w:type="auto"/>
            <w:gridSpan w:val="3"/>
            <w:shd w:val="clear" w:color="auto" w:fill="auto"/>
          </w:tcPr>
          <w:p w14:paraId="5EA260BD" w14:textId="77777777" w:rsidR="003C66EB" w:rsidRDefault="003C66EB">
            <w:pPr>
              <w:rPr>
                <w:rFonts w:ascii="宋体"/>
                <w:vanish/>
              </w:rPr>
            </w:pPr>
          </w:p>
        </w:tc>
        <w:tc>
          <w:tcPr>
            <w:tcW w:w="0" w:type="auto"/>
            <w:gridSpan w:val="3"/>
            <w:shd w:val="clear" w:color="auto" w:fill="auto"/>
          </w:tcPr>
          <w:p w14:paraId="5EA260BE" w14:textId="77777777" w:rsidR="003C66EB" w:rsidRDefault="003C66EB">
            <w:pPr>
              <w:rPr>
                <w:rFonts w:ascii="宋体"/>
                <w:vanish/>
              </w:rPr>
            </w:pPr>
          </w:p>
        </w:tc>
        <w:tc>
          <w:tcPr>
            <w:tcW w:w="0" w:type="auto"/>
            <w:shd w:val="clear" w:color="auto" w:fill="auto"/>
          </w:tcPr>
          <w:p w14:paraId="5EA260BF" w14:textId="77777777" w:rsidR="003C66EB" w:rsidRDefault="003C66EB">
            <w:pPr>
              <w:rPr>
                <w:rFonts w:ascii="宋体"/>
                <w:vanish/>
              </w:rPr>
            </w:pPr>
          </w:p>
        </w:tc>
        <w:tc>
          <w:tcPr>
            <w:tcW w:w="0" w:type="auto"/>
            <w:gridSpan w:val="3"/>
            <w:shd w:val="clear" w:color="auto" w:fill="auto"/>
          </w:tcPr>
          <w:p w14:paraId="5EA260C0" w14:textId="77777777" w:rsidR="003C66EB" w:rsidRDefault="003C66EB">
            <w:pPr>
              <w:rPr>
                <w:rFonts w:ascii="宋体"/>
                <w:vanish/>
              </w:rPr>
            </w:pPr>
          </w:p>
        </w:tc>
        <w:tc>
          <w:tcPr>
            <w:tcW w:w="0" w:type="auto"/>
            <w:gridSpan w:val="3"/>
            <w:shd w:val="clear" w:color="auto" w:fill="auto"/>
          </w:tcPr>
          <w:p w14:paraId="5EA260C1" w14:textId="77777777" w:rsidR="003C66EB" w:rsidRDefault="003C66EB">
            <w:pPr>
              <w:rPr>
                <w:rFonts w:ascii="宋体"/>
                <w:vanish/>
              </w:rPr>
            </w:pPr>
          </w:p>
        </w:tc>
        <w:tc>
          <w:tcPr>
            <w:tcW w:w="0" w:type="auto"/>
            <w:gridSpan w:val="3"/>
            <w:shd w:val="clear" w:color="auto" w:fill="auto"/>
          </w:tcPr>
          <w:p w14:paraId="5EA260C2" w14:textId="77777777" w:rsidR="003C66EB" w:rsidRDefault="003C66EB">
            <w:pPr>
              <w:rPr>
                <w:rFonts w:ascii="宋体"/>
                <w:vanish/>
              </w:rPr>
            </w:pPr>
          </w:p>
        </w:tc>
        <w:tc>
          <w:tcPr>
            <w:tcW w:w="0" w:type="auto"/>
            <w:gridSpan w:val="3"/>
            <w:shd w:val="clear" w:color="auto" w:fill="auto"/>
          </w:tcPr>
          <w:p w14:paraId="5EA260C3" w14:textId="77777777" w:rsidR="003C66EB" w:rsidRDefault="003C66EB">
            <w:pPr>
              <w:rPr>
                <w:rFonts w:ascii="宋体"/>
                <w:vanish/>
              </w:rPr>
            </w:pPr>
          </w:p>
        </w:tc>
      </w:tr>
      <w:tr w:rsidR="003C66EB" w14:paraId="5EA260D8" w14:textId="77777777">
        <w:tc>
          <w:tcPr>
            <w:tcW w:w="0" w:type="auto"/>
            <w:gridSpan w:val="3"/>
            <w:shd w:val="clear" w:color="auto" w:fill="CCEEFF"/>
            <w:tcMar>
              <w:top w:w="40" w:type="dxa"/>
              <w:left w:w="20" w:type="dxa"/>
              <w:bottom w:w="40" w:type="dxa"/>
              <w:right w:w="20" w:type="dxa"/>
            </w:tcMar>
            <w:vAlign w:val="bottom"/>
          </w:tcPr>
          <w:p w14:paraId="5EA260C5" w14:textId="77777777" w:rsidR="003C66EB" w:rsidRDefault="00D96C4E">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5EA260C6" w14:textId="77777777" w:rsidR="003C66EB" w:rsidRDefault="00D96C4E">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tcPr>
          <w:p w14:paraId="5EA260C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0C8" w14:textId="77777777" w:rsidR="003C66EB" w:rsidRDefault="00D96C4E">
            <w:pPr>
              <w:jc w:val="right"/>
              <w:textAlignment w:val="bottom"/>
            </w:pPr>
            <w:r>
              <w:rPr>
                <w:rFonts w:ascii="Arial" w:eastAsia="宋体" w:hAnsi="Arial" w:cs="Arial"/>
                <w:b/>
                <w:bCs/>
                <w:color w:val="000000"/>
                <w:sz w:val="15"/>
                <w:szCs w:val="15"/>
              </w:rPr>
              <w:t>(1,805)</w:t>
            </w:r>
          </w:p>
        </w:tc>
        <w:tc>
          <w:tcPr>
            <w:tcW w:w="0" w:type="auto"/>
            <w:shd w:val="clear" w:color="auto" w:fill="CCEEFF"/>
            <w:tcMar>
              <w:top w:w="40" w:type="dxa"/>
              <w:left w:w="0" w:type="dxa"/>
              <w:bottom w:w="40" w:type="dxa"/>
              <w:right w:w="20" w:type="dxa"/>
            </w:tcMar>
            <w:vAlign w:val="bottom"/>
          </w:tcPr>
          <w:p w14:paraId="5EA260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C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0CB" w14:textId="77777777" w:rsidR="003C66EB" w:rsidRDefault="00D96C4E">
            <w:pPr>
              <w:jc w:val="right"/>
              <w:textAlignment w:val="bottom"/>
            </w:pPr>
            <w:r>
              <w:rPr>
                <w:rFonts w:ascii="Arial" w:eastAsia="宋体" w:hAnsi="Arial" w:cs="Arial"/>
                <w:b/>
                <w:bCs/>
                <w:color w:val="000000"/>
                <w:sz w:val="15"/>
                <w:szCs w:val="15"/>
              </w:rPr>
              <w:t>(1,805)</w:t>
            </w:r>
          </w:p>
        </w:tc>
        <w:tc>
          <w:tcPr>
            <w:tcW w:w="0" w:type="auto"/>
            <w:shd w:val="clear" w:color="auto" w:fill="CCEEFF"/>
            <w:tcMar>
              <w:top w:w="40" w:type="dxa"/>
              <w:left w:w="0" w:type="dxa"/>
              <w:bottom w:w="40" w:type="dxa"/>
              <w:right w:w="20" w:type="dxa"/>
            </w:tcMar>
            <w:vAlign w:val="bottom"/>
          </w:tcPr>
          <w:p w14:paraId="5EA260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C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0CE" w14:textId="77777777" w:rsidR="003C66EB" w:rsidRDefault="00D96C4E">
            <w:pPr>
              <w:jc w:val="right"/>
              <w:textAlignment w:val="bottom"/>
            </w:pPr>
            <w:r>
              <w:rPr>
                <w:rFonts w:ascii="Arial" w:eastAsia="宋体" w:hAnsi="Arial" w:cs="Arial"/>
                <w:b/>
                <w:bCs/>
                <w:color w:val="000000"/>
                <w:sz w:val="15"/>
                <w:szCs w:val="15"/>
              </w:rPr>
              <w:t>(1,174)</w:t>
            </w:r>
          </w:p>
        </w:tc>
        <w:tc>
          <w:tcPr>
            <w:tcW w:w="0" w:type="auto"/>
            <w:shd w:val="clear" w:color="auto" w:fill="CCEEFF"/>
            <w:tcMar>
              <w:top w:w="40" w:type="dxa"/>
              <w:left w:w="0" w:type="dxa"/>
              <w:bottom w:w="40" w:type="dxa"/>
              <w:right w:w="20" w:type="dxa"/>
            </w:tcMar>
            <w:vAlign w:val="bottom"/>
          </w:tcPr>
          <w:p w14:paraId="5EA260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0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0D1" w14:textId="77777777" w:rsidR="003C66EB" w:rsidRDefault="00D96C4E">
            <w:pPr>
              <w:jc w:val="right"/>
              <w:textAlignment w:val="bottom"/>
            </w:pPr>
            <w:r>
              <w:rPr>
                <w:rFonts w:ascii="Arial" w:eastAsia="宋体" w:hAnsi="Arial" w:cs="Arial"/>
                <w:b/>
                <w:bCs/>
                <w:color w:val="000000"/>
                <w:sz w:val="15"/>
                <w:szCs w:val="15"/>
              </w:rPr>
              <w:t>(2,979)</w:t>
            </w:r>
          </w:p>
        </w:tc>
        <w:tc>
          <w:tcPr>
            <w:tcW w:w="0" w:type="auto"/>
            <w:shd w:val="clear" w:color="auto" w:fill="CCEEFF"/>
            <w:tcMar>
              <w:top w:w="40" w:type="dxa"/>
              <w:left w:w="0" w:type="dxa"/>
              <w:bottom w:w="40" w:type="dxa"/>
              <w:right w:w="20" w:type="dxa"/>
            </w:tcMar>
            <w:vAlign w:val="bottom"/>
          </w:tcPr>
          <w:p w14:paraId="5EA260D2" w14:textId="77777777" w:rsidR="003C66EB" w:rsidRDefault="003C66EB">
            <w:pPr>
              <w:jc w:val="right"/>
              <w:rPr>
                <w:rFonts w:ascii="宋体"/>
              </w:rPr>
            </w:pPr>
          </w:p>
        </w:tc>
        <w:tc>
          <w:tcPr>
            <w:tcW w:w="0" w:type="auto"/>
            <w:shd w:val="clear" w:color="auto" w:fill="auto"/>
          </w:tcPr>
          <w:p w14:paraId="5EA260D3" w14:textId="77777777" w:rsidR="003C66EB" w:rsidRDefault="003C66EB">
            <w:pPr>
              <w:rPr>
                <w:rFonts w:ascii="宋体"/>
                <w:vanish/>
              </w:rPr>
            </w:pPr>
          </w:p>
        </w:tc>
        <w:tc>
          <w:tcPr>
            <w:tcW w:w="0" w:type="auto"/>
            <w:gridSpan w:val="3"/>
            <w:shd w:val="clear" w:color="auto" w:fill="auto"/>
          </w:tcPr>
          <w:p w14:paraId="5EA260D4" w14:textId="77777777" w:rsidR="003C66EB" w:rsidRDefault="003C66EB">
            <w:pPr>
              <w:rPr>
                <w:rFonts w:ascii="宋体"/>
                <w:vanish/>
              </w:rPr>
            </w:pPr>
          </w:p>
        </w:tc>
        <w:tc>
          <w:tcPr>
            <w:tcW w:w="0" w:type="auto"/>
            <w:gridSpan w:val="3"/>
            <w:shd w:val="clear" w:color="auto" w:fill="auto"/>
          </w:tcPr>
          <w:p w14:paraId="5EA260D5" w14:textId="77777777" w:rsidR="003C66EB" w:rsidRDefault="003C66EB">
            <w:pPr>
              <w:rPr>
                <w:rFonts w:ascii="宋体"/>
                <w:vanish/>
              </w:rPr>
            </w:pPr>
          </w:p>
        </w:tc>
        <w:tc>
          <w:tcPr>
            <w:tcW w:w="0" w:type="auto"/>
            <w:gridSpan w:val="3"/>
            <w:shd w:val="clear" w:color="auto" w:fill="auto"/>
          </w:tcPr>
          <w:p w14:paraId="5EA260D6" w14:textId="77777777" w:rsidR="003C66EB" w:rsidRDefault="003C66EB">
            <w:pPr>
              <w:rPr>
                <w:rFonts w:ascii="宋体"/>
                <w:vanish/>
              </w:rPr>
            </w:pPr>
          </w:p>
        </w:tc>
        <w:tc>
          <w:tcPr>
            <w:tcW w:w="0" w:type="auto"/>
            <w:gridSpan w:val="3"/>
            <w:shd w:val="clear" w:color="auto" w:fill="auto"/>
          </w:tcPr>
          <w:p w14:paraId="5EA260D7" w14:textId="77777777" w:rsidR="003C66EB" w:rsidRDefault="003C66EB">
            <w:pPr>
              <w:rPr>
                <w:rFonts w:ascii="宋体"/>
                <w:vanish/>
              </w:rPr>
            </w:pPr>
          </w:p>
        </w:tc>
      </w:tr>
      <w:tr w:rsidR="003C66EB" w14:paraId="5EA260ED" w14:textId="77777777">
        <w:tc>
          <w:tcPr>
            <w:tcW w:w="0" w:type="auto"/>
            <w:gridSpan w:val="3"/>
            <w:shd w:val="clear" w:color="auto" w:fill="FFFFFF"/>
            <w:tcMar>
              <w:top w:w="40" w:type="dxa"/>
              <w:left w:w="20" w:type="dxa"/>
              <w:bottom w:w="40" w:type="dxa"/>
              <w:right w:w="20" w:type="dxa"/>
            </w:tcMar>
            <w:vAlign w:val="bottom"/>
          </w:tcPr>
          <w:p w14:paraId="5EA260D9" w14:textId="77777777" w:rsidR="003C66EB" w:rsidRDefault="00D96C4E">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0DA" w14:textId="77777777" w:rsidR="003C66EB" w:rsidRDefault="00D96C4E">
            <w:pPr>
              <w:jc w:val="right"/>
              <w:textAlignment w:val="bottom"/>
            </w:pPr>
            <w:r>
              <w:rPr>
                <w:rFonts w:ascii="Arial" w:eastAsia="宋体" w:hAnsi="Arial" w:cs="Arial"/>
                <w:b/>
                <w:bCs/>
                <w:color w:val="000000"/>
                <w:sz w:val="15"/>
                <w:szCs w:val="15"/>
              </w:rPr>
              <w:t>21,899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0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D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0DD" w14:textId="77777777" w:rsidR="003C66EB" w:rsidRDefault="00D96C4E">
            <w:pPr>
              <w:jc w:val="right"/>
              <w:textAlignment w:val="bottom"/>
            </w:pPr>
            <w:r>
              <w:rPr>
                <w:rFonts w:ascii="Arial" w:eastAsia="宋体" w:hAnsi="Arial" w:cs="Arial"/>
                <w:b/>
                <w:bCs/>
                <w:color w:val="000000"/>
                <w:sz w:val="15"/>
                <w:szCs w:val="15"/>
              </w:rPr>
              <w:t>(13,729)</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0D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D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0E0" w14:textId="77777777" w:rsidR="003C66EB" w:rsidRDefault="00D96C4E">
            <w:pPr>
              <w:jc w:val="right"/>
              <w:textAlignment w:val="bottom"/>
            </w:pPr>
            <w:r>
              <w:rPr>
                <w:rFonts w:ascii="Arial" w:eastAsia="宋体" w:hAnsi="Arial" w:cs="Arial"/>
                <w:b/>
                <w:bCs/>
                <w:color w:val="000000"/>
                <w:sz w:val="15"/>
                <w:szCs w:val="15"/>
              </w:rPr>
              <w:t>8,170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0E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E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0E3" w14:textId="77777777" w:rsidR="003C66EB" w:rsidRDefault="00D96C4E">
            <w:pPr>
              <w:jc w:val="right"/>
              <w:textAlignment w:val="bottom"/>
            </w:pPr>
            <w:r>
              <w:rPr>
                <w:rFonts w:ascii="Arial" w:eastAsia="宋体" w:hAnsi="Arial" w:cs="Arial"/>
                <w:b/>
                <w:bCs/>
                <w:color w:val="000000"/>
                <w:sz w:val="15"/>
                <w:szCs w:val="15"/>
              </w:rPr>
              <w:t>(1,174)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0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0E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0E6" w14:textId="77777777" w:rsidR="003C66EB" w:rsidRDefault="00D96C4E">
            <w:pPr>
              <w:jc w:val="right"/>
              <w:textAlignment w:val="bottom"/>
            </w:pPr>
            <w:r>
              <w:rPr>
                <w:rFonts w:ascii="Arial" w:eastAsia="宋体" w:hAnsi="Arial" w:cs="Arial"/>
                <w:b/>
                <w:bCs/>
                <w:color w:val="000000"/>
                <w:sz w:val="15"/>
                <w:szCs w:val="15"/>
              </w:rPr>
              <w:t>6,996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0E7" w14:textId="77777777" w:rsidR="003C66EB" w:rsidRDefault="003C66EB">
            <w:pPr>
              <w:jc w:val="right"/>
              <w:rPr>
                <w:rFonts w:ascii="宋体"/>
              </w:rPr>
            </w:pPr>
          </w:p>
        </w:tc>
        <w:tc>
          <w:tcPr>
            <w:tcW w:w="0" w:type="auto"/>
            <w:shd w:val="clear" w:color="auto" w:fill="auto"/>
          </w:tcPr>
          <w:p w14:paraId="5EA260E8" w14:textId="77777777" w:rsidR="003C66EB" w:rsidRDefault="003C66EB">
            <w:pPr>
              <w:rPr>
                <w:rFonts w:ascii="宋体"/>
                <w:vanish/>
              </w:rPr>
            </w:pPr>
          </w:p>
        </w:tc>
        <w:tc>
          <w:tcPr>
            <w:tcW w:w="0" w:type="auto"/>
            <w:gridSpan w:val="3"/>
            <w:shd w:val="clear" w:color="auto" w:fill="auto"/>
          </w:tcPr>
          <w:p w14:paraId="5EA260E9" w14:textId="77777777" w:rsidR="003C66EB" w:rsidRDefault="003C66EB">
            <w:pPr>
              <w:rPr>
                <w:rFonts w:ascii="宋体"/>
                <w:vanish/>
              </w:rPr>
            </w:pPr>
          </w:p>
        </w:tc>
        <w:tc>
          <w:tcPr>
            <w:tcW w:w="0" w:type="auto"/>
            <w:gridSpan w:val="3"/>
            <w:shd w:val="clear" w:color="auto" w:fill="auto"/>
          </w:tcPr>
          <w:p w14:paraId="5EA260EA" w14:textId="77777777" w:rsidR="003C66EB" w:rsidRDefault="003C66EB">
            <w:pPr>
              <w:rPr>
                <w:rFonts w:ascii="宋体"/>
                <w:vanish/>
              </w:rPr>
            </w:pPr>
          </w:p>
        </w:tc>
        <w:tc>
          <w:tcPr>
            <w:tcW w:w="0" w:type="auto"/>
            <w:gridSpan w:val="3"/>
            <w:shd w:val="clear" w:color="auto" w:fill="auto"/>
          </w:tcPr>
          <w:p w14:paraId="5EA260EB" w14:textId="77777777" w:rsidR="003C66EB" w:rsidRDefault="003C66EB">
            <w:pPr>
              <w:rPr>
                <w:rFonts w:ascii="宋体"/>
                <w:vanish/>
              </w:rPr>
            </w:pPr>
          </w:p>
        </w:tc>
        <w:tc>
          <w:tcPr>
            <w:tcW w:w="0" w:type="auto"/>
            <w:gridSpan w:val="3"/>
            <w:shd w:val="clear" w:color="auto" w:fill="auto"/>
          </w:tcPr>
          <w:p w14:paraId="5EA260EC" w14:textId="77777777" w:rsidR="003C66EB" w:rsidRDefault="003C66EB">
            <w:pPr>
              <w:rPr>
                <w:rFonts w:ascii="宋体"/>
                <w:vanish/>
              </w:rPr>
            </w:pPr>
          </w:p>
        </w:tc>
      </w:tr>
      <w:tr w:rsidR="003C66EB" w14:paraId="5EA260FD" w14:textId="77777777">
        <w:tc>
          <w:tcPr>
            <w:tcW w:w="0" w:type="auto"/>
            <w:gridSpan w:val="3"/>
            <w:shd w:val="clear" w:color="auto" w:fill="CCEEFF"/>
            <w:tcMar>
              <w:top w:w="40" w:type="dxa"/>
              <w:left w:w="20" w:type="dxa"/>
              <w:bottom w:w="40" w:type="dxa"/>
              <w:right w:w="20" w:type="dxa"/>
            </w:tcMar>
            <w:vAlign w:val="bottom"/>
          </w:tcPr>
          <w:p w14:paraId="5EA260EE" w14:textId="77777777" w:rsidR="003C66EB" w:rsidRDefault="00D96C4E">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tcPr>
          <w:p w14:paraId="5EA260EF"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1"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5"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0F7" w14:textId="77777777" w:rsidR="003C66EB" w:rsidRDefault="003C66EB">
            <w:pPr>
              <w:rPr>
                <w:rFonts w:ascii="宋体"/>
              </w:rPr>
            </w:pPr>
          </w:p>
        </w:tc>
        <w:tc>
          <w:tcPr>
            <w:tcW w:w="0" w:type="auto"/>
            <w:shd w:val="clear" w:color="auto" w:fill="auto"/>
          </w:tcPr>
          <w:p w14:paraId="5EA260F8" w14:textId="77777777" w:rsidR="003C66EB" w:rsidRDefault="003C66EB">
            <w:pPr>
              <w:rPr>
                <w:rFonts w:ascii="宋体"/>
                <w:vanish/>
              </w:rPr>
            </w:pPr>
          </w:p>
        </w:tc>
        <w:tc>
          <w:tcPr>
            <w:tcW w:w="0" w:type="auto"/>
            <w:gridSpan w:val="3"/>
            <w:shd w:val="clear" w:color="auto" w:fill="auto"/>
          </w:tcPr>
          <w:p w14:paraId="5EA260F9" w14:textId="77777777" w:rsidR="003C66EB" w:rsidRDefault="003C66EB">
            <w:pPr>
              <w:rPr>
                <w:rFonts w:ascii="宋体"/>
                <w:vanish/>
              </w:rPr>
            </w:pPr>
          </w:p>
        </w:tc>
        <w:tc>
          <w:tcPr>
            <w:tcW w:w="0" w:type="auto"/>
            <w:gridSpan w:val="3"/>
            <w:shd w:val="clear" w:color="auto" w:fill="auto"/>
          </w:tcPr>
          <w:p w14:paraId="5EA260FA" w14:textId="77777777" w:rsidR="003C66EB" w:rsidRDefault="003C66EB">
            <w:pPr>
              <w:rPr>
                <w:rFonts w:ascii="宋体"/>
                <w:vanish/>
              </w:rPr>
            </w:pPr>
          </w:p>
        </w:tc>
        <w:tc>
          <w:tcPr>
            <w:tcW w:w="0" w:type="auto"/>
            <w:gridSpan w:val="3"/>
            <w:shd w:val="clear" w:color="auto" w:fill="auto"/>
          </w:tcPr>
          <w:p w14:paraId="5EA260FB" w14:textId="77777777" w:rsidR="003C66EB" w:rsidRDefault="003C66EB">
            <w:pPr>
              <w:rPr>
                <w:rFonts w:ascii="宋体"/>
                <w:vanish/>
              </w:rPr>
            </w:pPr>
          </w:p>
        </w:tc>
        <w:tc>
          <w:tcPr>
            <w:tcW w:w="0" w:type="auto"/>
            <w:gridSpan w:val="3"/>
            <w:shd w:val="clear" w:color="auto" w:fill="auto"/>
          </w:tcPr>
          <w:p w14:paraId="5EA260FC" w14:textId="77777777" w:rsidR="003C66EB" w:rsidRDefault="003C66EB">
            <w:pPr>
              <w:rPr>
                <w:rFonts w:ascii="宋体"/>
                <w:vanish/>
              </w:rPr>
            </w:pPr>
          </w:p>
        </w:tc>
      </w:tr>
      <w:tr w:rsidR="003C66EB" w14:paraId="5EA2610D" w14:textId="77777777">
        <w:trPr>
          <w:hidden/>
        </w:trPr>
        <w:tc>
          <w:tcPr>
            <w:tcW w:w="0" w:type="auto"/>
            <w:gridSpan w:val="3"/>
            <w:shd w:val="clear" w:color="auto" w:fill="auto"/>
          </w:tcPr>
          <w:p w14:paraId="5EA260FE" w14:textId="77777777" w:rsidR="003C66EB" w:rsidRDefault="003C66EB">
            <w:pPr>
              <w:rPr>
                <w:rFonts w:ascii="宋体"/>
                <w:vanish/>
              </w:rPr>
            </w:pPr>
          </w:p>
        </w:tc>
        <w:tc>
          <w:tcPr>
            <w:tcW w:w="0" w:type="auto"/>
            <w:gridSpan w:val="3"/>
            <w:shd w:val="clear" w:color="auto" w:fill="auto"/>
          </w:tcPr>
          <w:p w14:paraId="5EA260FF" w14:textId="77777777" w:rsidR="003C66EB" w:rsidRDefault="003C66EB">
            <w:pPr>
              <w:rPr>
                <w:rFonts w:ascii="宋体"/>
                <w:vanish/>
              </w:rPr>
            </w:pPr>
          </w:p>
        </w:tc>
        <w:tc>
          <w:tcPr>
            <w:tcW w:w="0" w:type="auto"/>
            <w:gridSpan w:val="3"/>
            <w:shd w:val="clear" w:color="auto" w:fill="auto"/>
          </w:tcPr>
          <w:p w14:paraId="5EA26100" w14:textId="77777777" w:rsidR="003C66EB" w:rsidRDefault="003C66EB">
            <w:pPr>
              <w:rPr>
                <w:rFonts w:ascii="宋体"/>
                <w:vanish/>
              </w:rPr>
            </w:pPr>
          </w:p>
        </w:tc>
        <w:tc>
          <w:tcPr>
            <w:tcW w:w="0" w:type="auto"/>
            <w:gridSpan w:val="3"/>
            <w:shd w:val="clear" w:color="auto" w:fill="auto"/>
          </w:tcPr>
          <w:p w14:paraId="5EA26101" w14:textId="77777777" w:rsidR="003C66EB" w:rsidRDefault="003C66EB">
            <w:pPr>
              <w:rPr>
                <w:rFonts w:ascii="宋体"/>
                <w:vanish/>
              </w:rPr>
            </w:pPr>
          </w:p>
        </w:tc>
        <w:tc>
          <w:tcPr>
            <w:tcW w:w="0" w:type="auto"/>
            <w:gridSpan w:val="3"/>
            <w:shd w:val="clear" w:color="auto" w:fill="auto"/>
          </w:tcPr>
          <w:p w14:paraId="5EA26102" w14:textId="77777777" w:rsidR="003C66EB" w:rsidRDefault="003C66EB">
            <w:pPr>
              <w:rPr>
                <w:rFonts w:ascii="宋体"/>
                <w:vanish/>
              </w:rPr>
            </w:pPr>
          </w:p>
        </w:tc>
        <w:tc>
          <w:tcPr>
            <w:tcW w:w="0" w:type="auto"/>
            <w:gridSpan w:val="3"/>
            <w:shd w:val="clear" w:color="auto" w:fill="auto"/>
          </w:tcPr>
          <w:p w14:paraId="5EA26103" w14:textId="77777777" w:rsidR="003C66EB" w:rsidRDefault="003C66EB">
            <w:pPr>
              <w:rPr>
                <w:rFonts w:ascii="宋体"/>
                <w:vanish/>
              </w:rPr>
            </w:pPr>
          </w:p>
        </w:tc>
        <w:tc>
          <w:tcPr>
            <w:tcW w:w="0" w:type="auto"/>
            <w:gridSpan w:val="3"/>
            <w:shd w:val="clear" w:color="auto" w:fill="auto"/>
          </w:tcPr>
          <w:p w14:paraId="5EA26104" w14:textId="77777777" w:rsidR="003C66EB" w:rsidRDefault="003C66EB">
            <w:pPr>
              <w:rPr>
                <w:rFonts w:ascii="宋体"/>
                <w:vanish/>
              </w:rPr>
            </w:pPr>
          </w:p>
        </w:tc>
        <w:tc>
          <w:tcPr>
            <w:tcW w:w="0" w:type="auto"/>
            <w:gridSpan w:val="3"/>
            <w:shd w:val="clear" w:color="auto" w:fill="auto"/>
          </w:tcPr>
          <w:p w14:paraId="5EA26105" w14:textId="77777777" w:rsidR="003C66EB" w:rsidRDefault="003C66EB">
            <w:pPr>
              <w:rPr>
                <w:rFonts w:ascii="宋体"/>
                <w:vanish/>
              </w:rPr>
            </w:pPr>
          </w:p>
        </w:tc>
        <w:tc>
          <w:tcPr>
            <w:tcW w:w="0" w:type="auto"/>
            <w:gridSpan w:val="3"/>
            <w:shd w:val="clear" w:color="auto" w:fill="auto"/>
          </w:tcPr>
          <w:p w14:paraId="5EA26106" w14:textId="77777777" w:rsidR="003C66EB" w:rsidRDefault="003C66EB">
            <w:pPr>
              <w:rPr>
                <w:rFonts w:ascii="宋体"/>
                <w:vanish/>
              </w:rPr>
            </w:pPr>
          </w:p>
        </w:tc>
        <w:tc>
          <w:tcPr>
            <w:tcW w:w="0" w:type="auto"/>
            <w:gridSpan w:val="3"/>
            <w:shd w:val="clear" w:color="auto" w:fill="auto"/>
          </w:tcPr>
          <w:p w14:paraId="5EA26107" w14:textId="77777777" w:rsidR="003C66EB" w:rsidRDefault="003C66EB">
            <w:pPr>
              <w:rPr>
                <w:rFonts w:ascii="宋体"/>
                <w:vanish/>
              </w:rPr>
            </w:pPr>
          </w:p>
        </w:tc>
        <w:tc>
          <w:tcPr>
            <w:tcW w:w="0" w:type="auto"/>
            <w:shd w:val="clear" w:color="auto" w:fill="auto"/>
          </w:tcPr>
          <w:p w14:paraId="5EA26108" w14:textId="77777777" w:rsidR="003C66EB" w:rsidRDefault="003C66EB">
            <w:pPr>
              <w:rPr>
                <w:rFonts w:ascii="宋体"/>
                <w:vanish/>
              </w:rPr>
            </w:pPr>
          </w:p>
        </w:tc>
        <w:tc>
          <w:tcPr>
            <w:tcW w:w="0" w:type="auto"/>
            <w:gridSpan w:val="3"/>
            <w:shd w:val="clear" w:color="auto" w:fill="auto"/>
          </w:tcPr>
          <w:p w14:paraId="5EA26109" w14:textId="77777777" w:rsidR="003C66EB" w:rsidRDefault="003C66EB">
            <w:pPr>
              <w:rPr>
                <w:rFonts w:ascii="宋体"/>
                <w:vanish/>
              </w:rPr>
            </w:pPr>
          </w:p>
        </w:tc>
        <w:tc>
          <w:tcPr>
            <w:tcW w:w="0" w:type="auto"/>
            <w:gridSpan w:val="3"/>
            <w:shd w:val="clear" w:color="auto" w:fill="auto"/>
          </w:tcPr>
          <w:p w14:paraId="5EA2610A" w14:textId="77777777" w:rsidR="003C66EB" w:rsidRDefault="003C66EB">
            <w:pPr>
              <w:rPr>
                <w:rFonts w:ascii="宋体"/>
                <w:vanish/>
              </w:rPr>
            </w:pPr>
          </w:p>
        </w:tc>
        <w:tc>
          <w:tcPr>
            <w:tcW w:w="0" w:type="auto"/>
            <w:gridSpan w:val="3"/>
            <w:shd w:val="clear" w:color="auto" w:fill="auto"/>
          </w:tcPr>
          <w:p w14:paraId="5EA2610B" w14:textId="77777777" w:rsidR="003C66EB" w:rsidRDefault="003C66EB">
            <w:pPr>
              <w:rPr>
                <w:rFonts w:ascii="宋体"/>
                <w:vanish/>
              </w:rPr>
            </w:pPr>
          </w:p>
        </w:tc>
        <w:tc>
          <w:tcPr>
            <w:tcW w:w="0" w:type="auto"/>
            <w:gridSpan w:val="3"/>
            <w:shd w:val="clear" w:color="auto" w:fill="auto"/>
          </w:tcPr>
          <w:p w14:paraId="5EA2610C" w14:textId="77777777" w:rsidR="003C66EB" w:rsidRDefault="003C66EB">
            <w:pPr>
              <w:rPr>
                <w:rFonts w:ascii="宋体"/>
                <w:vanish/>
              </w:rPr>
            </w:pPr>
          </w:p>
        </w:tc>
      </w:tr>
      <w:tr w:rsidR="003C66EB" w14:paraId="5EA2611D" w14:textId="77777777">
        <w:trPr>
          <w:hidden/>
        </w:trPr>
        <w:tc>
          <w:tcPr>
            <w:tcW w:w="0" w:type="auto"/>
            <w:gridSpan w:val="3"/>
            <w:shd w:val="clear" w:color="auto" w:fill="auto"/>
          </w:tcPr>
          <w:p w14:paraId="5EA2610E" w14:textId="77777777" w:rsidR="003C66EB" w:rsidRDefault="003C66EB">
            <w:pPr>
              <w:rPr>
                <w:rFonts w:ascii="宋体"/>
                <w:vanish/>
              </w:rPr>
            </w:pPr>
          </w:p>
        </w:tc>
        <w:tc>
          <w:tcPr>
            <w:tcW w:w="0" w:type="auto"/>
            <w:gridSpan w:val="3"/>
            <w:shd w:val="clear" w:color="auto" w:fill="auto"/>
          </w:tcPr>
          <w:p w14:paraId="5EA2610F" w14:textId="77777777" w:rsidR="003C66EB" w:rsidRDefault="003C66EB">
            <w:pPr>
              <w:rPr>
                <w:rFonts w:ascii="宋体"/>
                <w:vanish/>
              </w:rPr>
            </w:pPr>
          </w:p>
        </w:tc>
        <w:tc>
          <w:tcPr>
            <w:tcW w:w="0" w:type="auto"/>
            <w:gridSpan w:val="3"/>
            <w:shd w:val="clear" w:color="auto" w:fill="auto"/>
          </w:tcPr>
          <w:p w14:paraId="5EA26110" w14:textId="77777777" w:rsidR="003C66EB" w:rsidRDefault="003C66EB">
            <w:pPr>
              <w:rPr>
                <w:rFonts w:ascii="宋体"/>
                <w:vanish/>
              </w:rPr>
            </w:pPr>
          </w:p>
        </w:tc>
        <w:tc>
          <w:tcPr>
            <w:tcW w:w="0" w:type="auto"/>
            <w:gridSpan w:val="3"/>
            <w:shd w:val="clear" w:color="auto" w:fill="auto"/>
          </w:tcPr>
          <w:p w14:paraId="5EA26111" w14:textId="77777777" w:rsidR="003C66EB" w:rsidRDefault="003C66EB">
            <w:pPr>
              <w:rPr>
                <w:rFonts w:ascii="宋体"/>
                <w:vanish/>
              </w:rPr>
            </w:pPr>
          </w:p>
        </w:tc>
        <w:tc>
          <w:tcPr>
            <w:tcW w:w="0" w:type="auto"/>
            <w:gridSpan w:val="3"/>
            <w:shd w:val="clear" w:color="auto" w:fill="auto"/>
          </w:tcPr>
          <w:p w14:paraId="5EA26112" w14:textId="77777777" w:rsidR="003C66EB" w:rsidRDefault="003C66EB">
            <w:pPr>
              <w:rPr>
                <w:rFonts w:ascii="宋体"/>
                <w:vanish/>
              </w:rPr>
            </w:pPr>
          </w:p>
        </w:tc>
        <w:tc>
          <w:tcPr>
            <w:tcW w:w="0" w:type="auto"/>
            <w:gridSpan w:val="3"/>
            <w:shd w:val="clear" w:color="auto" w:fill="auto"/>
          </w:tcPr>
          <w:p w14:paraId="5EA26113" w14:textId="77777777" w:rsidR="003C66EB" w:rsidRDefault="003C66EB">
            <w:pPr>
              <w:rPr>
                <w:rFonts w:ascii="宋体"/>
                <w:vanish/>
              </w:rPr>
            </w:pPr>
          </w:p>
        </w:tc>
        <w:tc>
          <w:tcPr>
            <w:tcW w:w="0" w:type="auto"/>
            <w:gridSpan w:val="3"/>
            <w:shd w:val="clear" w:color="auto" w:fill="auto"/>
          </w:tcPr>
          <w:p w14:paraId="5EA26114" w14:textId="77777777" w:rsidR="003C66EB" w:rsidRDefault="003C66EB">
            <w:pPr>
              <w:rPr>
                <w:rFonts w:ascii="宋体"/>
                <w:vanish/>
              </w:rPr>
            </w:pPr>
          </w:p>
        </w:tc>
        <w:tc>
          <w:tcPr>
            <w:tcW w:w="0" w:type="auto"/>
            <w:gridSpan w:val="3"/>
            <w:shd w:val="clear" w:color="auto" w:fill="auto"/>
          </w:tcPr>
          <w:p w14:paraId="5EA26115" w14:textId="77777777" w:rsidR="003C66EB" w:rsidRDefault="003C66EB">
            <w:pPr>
              <w:rPr>
                <w:rFonts w:ascii="宋体"/>
                <w:vanish/>
              </w:rPr>
            </w:pPr>
          </w:p>
        </w:tc>
        <w:tc>
          <w:tcPr>
            <w:tcW w:w="0" w:type="auto"/>
            <w:gridSpan w:val="3"/>
            <w:shd w:val="clear" w:color="auto" w:fill="auto"/>
          </w:tcPr>
          <w:p w14:paraId="5EA26116" w14:textId="77777777" w:rsidR="003C66EB" w:rsidRDefault="003C66EB">
            <w:pPr>
              <w:rPr>
                <w:rFonts w:ascii="宋体"/>
                <w:vanish/>
              </w:rPr>
            </w:pPr>
          </w:p>
        </w:tc>
        <w:tc>
          <w:tcPr>
            <w:tcW w:w="0" w:type="auto"/>
            <w:gridSpan w:val="3"/>
            <w:shd w:val="clear" w:color="auto" w:fill="auto"/>
          </w:tcPr>
          <w:p w14:paraId="5EA26117" w14:textId="77777777" w:rsidR="003C66EB" w:rsidRDefault="003C66EB">
            <w:pPr>
              <w:rPr>
                <w:rFonts w:ascii="宋体"/>
                <w:vanish/>
              </w:rPr>
            </w:pPr>
          </w:p>
        </w:tc>
        <w:tc>
          <w:tcPr>
            <w:tcW w:w="0" w:type="auto"/>
            <w:shd w:val="clear" w:color="auto" w:fill="auto"/>
          </w:tcPr>
          <w:p w14:paraId="5EA26118" w14:textId="77777777" w:rsidR="003C66EB" w:rsidRDefault="003C66EB">
            <w:pPr>
              <w:rPr>
                <w:rFonts w:ascii="宋体"/>
                <w:vanish/>
              </w:rPr>
            </w:pPr>
          </w:p>
        </w:tc>
        <w:tc>
          <w:tcPr>
            <w:tcW w:w="0" w:type="auto"/>
            <w:gridSpan w:val="3"/>
            <w:shd w:val="clear" w:color="auto" w:fill="auto"/>
          </w:tcPr>
          <w:p w14:paraId="5EA26119" w14:textId="77777777" w:rsidR="003C66EB" w:rsidRDefault="003C66EB">
            <w:pPr>
              <w:rPr>
                <w:rFonts w:ascii="宋体"/>
                <w:vanish/>
              </w:rPr>
            </w:pPr>
          </w:p>
        </w:tc>
        <w:tc>
          <w:tcPr>
            <w:tcW w:w="0" w:type="auto"/>
            <w:gridSpan w:val="3"/>
            <w:shd w:val="clear" w:color="auto" w:fill="auto"/>
          </w:tcPr>
          <w:p w14:paraId="5EA2611A" w14:textId="77777777" w:rsidR="003C66EB" w:rsidRDefault="003C66EB">
            <w:pPr>
              <w:rPr>
                <w:rFonts w:ascii="宋体"/>
                <w:vanish/>
              </w:rPr>
            </w:pPr>
          </w:p>
        </w:tc>
        <w:tc>
          <w:tcPr>
            <w:tcW w:w="0" w:type="auto"/>
            <w:gridSpan w:val="3"/>
            <w:shd w:val="clear" w:color="auto" w:fill="auto"/>
          </w:tcPr>
          <w:p w14:paraId="5EA2611B" w14:textId="77777777" w:rsidR="003C66EB" w:rsidRDefault="003C66EB">
            <w:pPr>
              <w:rPr>
                <w:rFonts w:ascii="宋体"/>
                <w:vanish/>
              </w:rPr>
            </w:pPr>
          </w:p>
        </w:tc>
        <w:tc>
          <w:tcPr>
            <w:tcW w:w="0" w:type="auto"/>
            <w:gridSpan w:val="3"/>
            <w:shd w:val="clear" w:color="auto" w:fill="auto"/>
          </w:tcPr>
          <w:p w14:paraId="5EA2611C" w14:textId="77777777" w:rsidR="003C66EB" w:rsidRDefault="003C66EB">
            <w:pPr>
              <w:rPr>
                <w:rFonts w:ascii="宋体"/>
                <w:vanish/>
              </w:rPr>
            </w:pPr>
          </w:p>
        </w:tc>
      </w:tr>
      <w:tr w:rsidR="003C66EB" w14:paraId="5EA26132" w14:textId="77777777">
        <w:tc>
          <w:tcPr>
            <w:tcW w:w="0" w:type="auto"/>
            <w:gridSpan w:val="3"/>
            <w:shd w:val="clear" w:color="auto" w:fill="FFFFFF"/>
            <w:tcMar>
              <w:top w:w="40" w:type="dxa"/>
              <w:left w:w="20" w:type="dxa"/>
              <w:bottom w:w="40" w:type="dxa"/>
              <w:right w:w="20" w:type="dxa"/>
            </w:tcMar>
            <w:vAlign w:val="bottom"/>
          </w:tcPr>
          <w:p w14:paraId="5EA2611E" w14:textId="77777777" w:rsidR="003C66EB" w:rsidRDefault="00D96C4E">
            <w:pPr>
              <w:textAlignment w:val="bottom"/>
            </w:pPr>
            <w:r>
              <w:rPr>
                <w:rFonts w:ascii="Arial" w:eastAsia="宋体" w:hAnsi="Arial" w:cs="Arial"/>
                <w:color w:val="000000"/>
                <w:sz w:val="15"/>
                <w:szCs w:val="15"/>
              </w:rPr>
              <w:t xml:space="preserve">Resale </w:t>
            </w:r>
            <w:r>
              <w:rPr>
                <w:rFonts w:ascii="Arial" w:eastAsia="宋体" w:hAnsi="Arial" w:cs="Arial"/>
                <w:color w:val="000000"/>
                <w:sz w:val="15"/>
                <w:szCs w:val="15"/>
              </w:rPr>
              <w:t>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5EA2611F" w14:textId="77777777" w:rsidR="003C66EB" w:rsidRDefault="00D96C4E">
            <w:pPr>
              <w:jc w:val="right"/>
              <w:textAlignment w:val="bottom"/>
            </w:pPr>
            <w:r>
              <w:rPr>
                <w:rFonts w:ascii="Arial" w:eastAsia="宋体" w:hAnsi="Arial" w:cs="Arial"/>
                <w:b/>
                <w:bCs/>
                <w:color w:val="000000"/>
                <w:sz w:val="15"/>
                <w:szCs w:val="15"/>
              </w:rPr>
              <w:t>144,230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12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2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22" w14:textId="77777777" w:rsidR="003C66EB" w:rsidRDefault="00D96C4E">
            <w:pPr>
              <w:jc w:val="right"/>
              <w:textAlignment w:val="bottom"/>
            </w:pPr>
            <w:r>
              <w:rPr>
                <w:rFonts w:ascii="Arial" w:eastAsia="宋体" w:hAnsi="Arial" w:cs="Arial"/>
                <w:b/>
                <w:bCs/>
                <w:color w:val="000000"/>
                <w:sz w:val="15"/>
                <w:szCs w:val="15"/>
              </w:rPr>
              <w:t>(114,219)</w:t>
            </w:r>
          </w:p>
        </w:tc>
        <w:tc>
          <w:tcPr>
            <w:tcW w:w="0" w:type="auto"/>
            <w:shd w:val="clear" w:color="auto" w:fill="FFFFFF"/>
            <w:tcMar>
              <w:top w:w="40" w:type="dxa"/>
              <w:left w:w="0" w:type="dxa"/>
              <w:bottom w:w="40" w:type="dxa"/>
              <w:right w:w="20" w:type="dxa"/>
            </w:tcMar>
            <w:vAlign w:val="bottom"/>
          </w:tcPr>
          <w:p w14:paraId="5EA2612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2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25" w14:textId="77777777" w:rsidR="003C66EB" w:rsidRDefault="00D96C4E">
            <w:pPr>
              <w:jc w:val="right"/>
              <w:textAlignment w:val="bottom"/>
            </w:pPr>
            <w:r>
              <w:rPr>
                <w:rFonts w:ascii="Arial" w:eastAsia="宋体" w:hAnsi="Arial" w:cs="Arial"/>
                <w:b/>
                <w:bCs/>
                <w:color w:val="000000"/>
                <w:sz w:val="15"/>
                <w:szCs w:val="15"/>
              </w:rPr>
              <w:t>30,011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12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2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28" w14:textId="77777777" w:rsidR="003C66EB" w:rsidRDefault="00D96C4E">
            <w:pPr>
              <w:jc w:val="right"/>
              <w:textAlignment w:val="bottom"/>
            </w:pPr>
            <w:r>
              <w:rPr>
                <w:rFonts w:ascii="Arial" w:eastAsia="宋体" w:hAnsi="Arial" w:cs="Arial"/>
                <w:b/>
                <w:bCs/>
                <w:color w:val="000000"/>
                <w:sz w:val="15"/>
                <w:szCs w:val="15"/>
              </w:rPr>
              <w:t>(29,672)</w:t>
            </w:r>
          </w:p>
        </w:tc>
        <w:tc>
          <w:tcPr>
            <w:tcW w:w="0" w:type="auto"/>
            <w:shd w:val="clear" w:color="auto" w:fill="FFFFFF"/>
            <w:tcMar>
              <w:top w:w="40" w:type="dxa"/>
              <w:left w:w="0" w:type="dxa"/>
              <w:bottom w:w="40" w:type="dxa"/>
              <w:right w:w="20" w:type="dxa"/>
            </w:tcMar>
            <w:vAlign w:val="bottom"/>
          </w:tcPr>
          <w:p w14:paraId="5EA2612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2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2B" w14:textId="77777777" w:rsidR="003C66EB" w:rsidRDefault="00D96C4E">
            <w:pPr>
              <w:jc w:val="right"/>
              <w:textAlignment w:val="bottom"/>
            </w:pPr>
            <w:r>
              <w:rPr>
                <w:rFonts w:ascii="Arial" w:eastAsia="宋体" w:hAnsi="Arial" w:cs="Arial"/>
                <w:b/>
                <w:bCs/>
                <w:color w:val="000000"/>
                <w:sz w:val="15"/>
                <w:szCs w:val="15"/>
              </w:rPr>
              <w:t>339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12C" w14:textId="77777777" w:rsidR="003C66EB" w:rsidRDefault="003C66EB">
            <w:pPr>
              <w:jc w:val="right"/>
              <w:rPr>
                <w:rFonts w:ascii="宋体"/>
              </w:rPr>
            </w:pPr>
          </w:p>
        </w:tc>
        <w:tc>
          <w:tcPr>
            <w:tcW w:w="0" w:type="auto"/>
            <w:shd w:val="clear" w:color="auto" w:fill="auto"/>
          </w:tcPr>
          <w:p w14:paraId="5EA2612D" w14:textId="77777777" w:rsidR="003C66EB" w:rsidRDefault="003C66EB">
            <w:pPr>
              <w:rPr>
                <w:rFonts w:ascii="宋体"/>
                <w:vanish/>
              </w:rPr>
            </w:pPr>
          </w:p>
        </w:tc>
        <w:tc>
          <w:tcPr>
            <w:tcW w:w="0" w:type="auto"/>
            <w:gridSpan w:val="3"/>
            <w:shd w:val="clear" w:color="auto" w:fill="auto"/>
          </w:tcPr>
          <w:p w14:paraId="5EA2612E" w14:textId="77777777" w:rsidR="003C66EB" w:rsidRDefault="003C66EB">
            <w:pPr>
              <w:rPr>
                <w:rFonts w:ascii="宋体"/>
                <w:vanish/>
              </w:rPr>
            </w:pPr>
          </w:p>
        </w:tc>
        <w:tc>
          <w:tcPr>
            <w:tcW w:w="0" w:type="auto"/>
            <w:gridSpan w:val="3"/>
            <w:shd w:val="clear" w:color="auto" w:fill="auto"/>
          </w:tcPr>
          <w:p w14:paraId="5EA2612F" w14:textId="77777777" w:rsidR="003C66EB" w:rsidRDefault="003C66EB">
            <w:pPr>
              <w:rPr>
                <w:rFonts w:ascii="宋体"/>
                <w:vanish/>
              </w:rPr>
            </w:pPr>
          </w:p>
        </w:tc>
        <w:tc>
          <w:tcPr>
            <w:tcW w:w="0" w:type="auto"/>
            <w:gridSpan w:val="3"/>
            <w:shd w:val="clear" w:color="auto" w:fill="auto"/>
          </w:tcPr>
          <w:p w14:paraId="5EA26130" w14:textId="77777777" w:rsidR="003C66EB" w:rsidRDefault="003C66EB">
            <w:pPr>
              <w:rPr>
                <w:rFonts w:ascii="宋体"/>
                <w:vanish/>
              </w:rPr>
            </w:pPr>
          </w:p>
        </w:tc>
        <w:tc>
          <w:tcPr>
            <w:tcW w:w="0" w:type="auto"/>
            <w:gridSpan w:val="3"/>
            <w:shd w:val="clear" w:color="auto" w:fill="auto"/>
          </w:tcPr>
          <w:p w14:paraId="5EA26131" w14:textId="77777777" w:rsidR="003C66EB" w:rsidRDefault="003C66EB">
            <w:pPr>
              <w:rPr>
                <w:rFonts w:ascii="宋体"/>
                <w:vanish/>
              </w:rPr>
            </w:pPr>
          </w:p>
        </w:tc>
      </w:tr>
      <w:tr w:rsidR="003C66EB" w14:paraId="5EA2614C" w14:textId="77777777">
        <w:tc>
          <w:tcPr>
            <w:tcW w:w="0" w:type="auto"/>
            <w:gridSpan w:val="3"/>
            <w:shd w:val="clear" w:color="auto" w:fill="CCEEFF"/>
            <w:tcMar>
              <w:top w:w="40" w:type="dxa"/>
              <w:left w:w="20" w:type="dxa"/>
              <w:bottom w:w="40" w:type="dxa"/>
              <w:right w:w="20" w:type="dxa"/>
            </w:tcMar>
            <w:vAlign w:val="bottom"/>
          </w:tcPr>
          <w:p w14:paraId="5EA26133" w14:textId="77777777" w:rsidR="003C66EB" w:rsidRDefault="00D96C4E">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13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135" w14:textId="77777777" w:rsidR="003C66EB" w:rsidRDefault="00D96C4E">
            <w:pPr>
              <w:jc w:val="right"/>
              <w:textAlignment w:val="bottom"/>
            </w:pPr>
            <w:r>
              <w:rPr>
                <w:rFonts w:ascii="Arial" w:eastAsia="宋体" w:hAnsi="Arial" w:cs="Arial"/>
                <w:b/>
                <w:bCs/>
                <w:color w:val="000000"/>
                <w:sz w:val="15"/>
                <w:szCs w:val="15"/>
              </w:rPr>
              <w:t>166,129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13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37"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13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139" w14:textId="77777777" w:rsidR="003C66EB" w:rsidRDefault="00D96C4E">
            <w:pPr>
              <w:jc w:val="right"/>
              <w:textAlignment w:val="bottom"/>
            </w:pPr>
            <w:r>
              <w:rPr>
                <w:rFonts w:ascii="Arial" w:eastAsia="宋体" w:hAnsi="Arial" w:cs="Arial"/>
                <w:b/>
                <w:bCs/>
                <w:color w:val="000000"/>
                <w:sz w:val="15"/>
                <w:szCs w:val="15"/>
              </w:rPr>
              <w:t>(127,948)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1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3B"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13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13D" w14:textId="77777777" w:rsidR="003C66EB" w:rsidRDefault="00D96C4E">
            <w:pPr>
              <w:jc w:val="right"/>
              <w:textAlignment w:val="bottom"/>
            </w:pPr>
            <w:r>
              <w:rPr>
                <w:rFonts w:ascii="Arial" w:eastAsia="宋体" w:hAnsi="Arial" w:cs="Arial"/>
                <w:b/>
                <w:bCs/>
                <w:color w:val="000000"/>
                <w:sz w:val="15"/>
                <w:szCs w:val="15"/>
              </w:rPr>
              <w:t>38,181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13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3F"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14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141" w14:textId="77777777" w:rsidR="003C66EB" w:rsidRDefault="00D96C4E">
            <w:pPr>
              <w:jc w:val="right"/>
              <w:textAlignment w:val="bottom"/>
            </w:pPr>
            <w:r>
              <w:rPr>
                <w:rFonts w:ascii="Arial" w:eastAsia="宋体" w:hAnsi="Arial" w:cs="Arial"/>
                <w:b/>
                <w:bCs/>
                <w:color w:val="000000"/>
                <w:sz w:val="15"/>
                <w:szCs w:val="15"/>
              </w:rPr>
              <w:t>(30,846)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1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43"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14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145" w14:textId="77777777" w:rsidR="003C66EB" w:rsidRDefault="00D96C4E">
            <w:pPr>
              <w:jc w:val="right"/>
              <w:textAlignment w:val="bottom"/>
            </w:pPr>
            <w:r>
              <w:rPr>
                <w:rFonts w:ascii="Arial" w:eastAsia="宋体" w:hAnsi="Arial" w:cs="Arial"/>
                <w:b/>
                <w:bCs/>
                <w:color w:val="000000"/>
                <w:sz w:val="15"/>
                <w:szCs w:val="15"/>
              </w:rPr>
              <w:t>7,335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146" w14:textId="77777777" w:rsidR="003C66EB" w:rsidRDefault="003C66EB">
            <w:pPr>
              <w:jc w:val="right"/>
              <w:rPr>
                <w:rFonts w:ascii="宋体"/>
              </w:rPr>
            </w:pPr>
          </w:p>
        </w:tc>
        <w:tc>
          <w:tcPr>
            <w:tcW w:w="0" w:type="auto"/>
            <w:shd w:val="clear" w:color="auto" w:fill="auto"/>
          </w:tcPr>
          <w:p w14:paraId="5EA26147" w14:textId="77777777" w:rsidR="003C66EB" w:rsidRDefault="003C66EB">
            <w:pPr>
              <w:rPr>
                <w:rFonts w:ascii="宋体"/>
                <w:vanish/>
              </w:rPr>
            </w:pPr>
          </w:p>
        </w:tc>
        <w:tc>
          <w:tcPr>
            <w:tcW w:w="0" w:type="auto"/>
            <w:gridSpan w:val="3"/>
            <w:shd w:val="clear" w:color="auto" w:fill="auto"/>
          </w:tcPr>
          <w:p w14:paraId="5EA26148" w14:textId="77777777" w:rsidR="003C66EB" w:rsidRDefault="003C66EB">
            <w:pPr>
              <w:rPr>
                <w:rFonts w:ascii="宋体"/>
                <w:vanish/>
              </w:rPr>
            </w:pPr>
          </w:p>
        </w:tc>
        <w:tc>
          <w:tcPr>
            <w:tcW w:w="0" w:type="auto"/>
            <w:gridSpan w:val="3"/>
            <w:shd w:val="clear" w:color="auto" w:fill="auto"/>
          </w:tcPr>
          <w:p w14:paraId="5EA26149" w14:textId="77777777" w:rsidR="003C66EB" w:rsidRDefault="003C66EB">
            <w:pPr>
              <w:rPr>
                <w:rFonts w:ascii="宋体"/>
                <w:vanish/>
              </w:rPr>
            </w:pPr>
          </w:p>
        </w:tc>
        <w:tc>
          <w:tcPr>
            <w:tcW w:w="0" w:type="auto"/>
            <w:gridSpan w:val="3"/>
            <w:shd w:val="clear" w:color="auto" w:fill="auto"/>
          </w:tcPr>
          <w:p w14:paraId="5EA2614A" w14:textId="77777777" w:rsidR="003C66EB" w:rsidRDefault="003C66EB">
            <w:pPr>
              <w:rPr>
                <w:rFonts w:ascii="宋体"/>
                <w:vanish/>
              </w:rPr>
            </w:pPr>
          </w:p>
        </w:tc>
        <w:tc>
          <w:tcPr>
            <w:tcW w:w="0" w:type="auto"/>
            <w:gridSpan w:val="3"/>
            <w:shd w:val="clear" w:color="auto" w:fill="auto"/>
          </w:tcPr>
          <w:p w14:paraId="5EA2614B" w14:textId="77777777" w:rsidR="003C66EB" w:rsidRDefault="003C66EB">
            <w:pPr>
              <w:rPr>
                <w:rFonts w:ascii="宋体"/>
                <w:vanish/>
              </w:rPr>
            </w:pPr>
          </w:p>
        </w:tc>
      </w:tr>
    </w:tbl>
    <w:p w14:paraId="5EA2614D" w14:textId="77777777" w:rsidR="003C66EB" w:rsidRDefault="003C66E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3C66EB" w14:paraId="5EA2616C" w14:textId="77777777">
        <w:tc>
          <w:tcPr>
            <w:tcW w:w="50" w:type="pct"/>
            <w:shd w:val="clear" w:color="auto" w:fill="auto"/>
          </w:tcPr>
          <w:p w14:paraId="5EA2614E" w14:textId="77777777" w:rsidR="003C66EB" w:rsidRDefault="003C66EB">
            <w:pPr>
              <w:rPr>
                <w:rFonts w:ascii="宋体"/>
              </w:rPr>
            </w:pPr>
          </w:p>
        </w:tc>
        <w:tc>
          <w:tcPr>
            <w:tcW w:w="1350" w:type="pct"/>
            <w:shd w:val="clear" w:color="auto" w:fill="auto"/>
          </w:tcPr>
          <w:p w14:paraId="5EA2614F" w14:textId="77777777" w:rsidR="003C66EB" w:rsidRDefault="003C66EB">
            <w:pPr>
              <w:rPr>
                <w:rFonts w:ascii="宋体"/>
              </w:rPr>
            </w:pPr>
          </w:p>
        </w:tc>
        <w:tc>
          <w:tcPr>
            <w:tcW w:w="5" w:type="pct"/>
            <w:shd w:val="clear" w:color="auto" w:fill="auto"/>
          </w:tcPr>
          <w:p w14:paraId="5EA26150" w14:textId="77777777" w:rsidR="003C66EB" w:rsidRDefault="003C66EB">
            <w:pPr>
              <w:rPr>
                <w:rFonts w:ascii="宋体"/>
              </w:rPr>
            </w:pPr>
          </w:p>
        </w:tc>
        <w:tc>
          <w:tcPr>
            <w:tcW w:w="50" w:type="pct"/>
            <w:shd w:val="clear" w:color="auto" w:fill="auto"/>
          </w:tcPr>
          <w:p w14:paraId="5EA26151" w14:textId="77777777" w:rsidR="003C66EB" w:rsidRDefault="003C66EB">
            <w:pPr>
              <w:rPr>
                <w:rFonts w:ascii="宋体"/>
              </w:rPr>
            </w:pPr>
          </w:p>
        </w:tc>
        <w:tc>
          <w:tcPr>
            <w:tcW w:w="596" w:type="pct"/>
            <w:shd w:val="clear" w:color="auto" w:fill="auto"/>
          </w:tcPr>
          <w:p w14:paraId="5EA26152" w14:textId="77777777" w:rsidR="003C66EB" w:rsidRDefault="003C66EB">
            <w:pPr>
              <w:rPr>
                <w:rFonts w:ascii="宋体"/>
              </w:rPr>
            </w:pPr>
          </w:p>
        </w:tc>
        <w:tc>
          <w:tcPr>
            <w:tcW w:w="5" w:type="pct"/>
            <w:shd w:val="clear" w:color="auto" w:fill="auto"/>
          </w:tcPr>
          <w:p w14:paraId="5EA26153" w14:textId="77777777" w:rsidR="003C66EB" w:rsidRDefault="003C66EB">
            <w:pPr>
              <w:rPr>
                <w:rFonts w:ascii="宋体"/>
              </w:rPr>
            </w:pPr>
          </w:p>
        </w:tc>
        <w:tc>
          <w:tcPr>
            <w:tcW w:w="5" w:type="pct"/>
            <w:shd w:val="clear" w:color="auto" w:fill="auto"/>
          </w:tcPr>
          <w:p w14:paraId="5EA26154" w14:textId="77777777" w:rsidR="003C66EB" w:rsidRDefault="003C66EB">
            <w:pPr>
              <w:rPr>
                <w:rFonts w:ascii="宋体"/>
              </w:rPr>
            </w:pPr>
          </w:p>
        </w:tc>
        <w:tc>
          <w:tcPr>
            <w:tcW w:w="26" w:type="pct"/>
            <w:shd w:val="clear" w:color="auto" w:fill="auto"/>
          </w:tcPr>
          <w:p w14:paraId="5EA26155" w14:textId="77777777" w:rsidR="003C66EB" w:rsidRDefault="003C66EB">
            <w:pPr>
              <w:rPr>
                <w:rFonts w:ascii="宋体"/>
              </w:rPr>
            </w:pPr>
          </w:p>
        </w:tc>
        <w:tc>
          <w:tcPr>
            <w:tcW w:w="5" w:type="pct"/>
            <w:shd w:val="clear" w:color="auto" w:fill="auto"/>
          </w:tcPr>
          <w:p w14:paraId="5EA26156" w14:textId="77777777" w:rsidR="003C66EB" w:rsidRDefault="003C66EB">
            <w:pPr>
              <w:rPr>
                <w:rFonts w:ascii="宋体"/>
              </w:rPr>
            </w:pPr>
          </w:p>
        </w:tc>
        <w:tc>
          <w:tcPr>
            <w:tcW w:w="50" w:type="pct"/>
            <w:shd w:val="clear" w:color="auto" w:fill="auto"/>
          </w:tcPr>
          <w:p w14:paraId="5EA26157" w14:textId="77777777" w:rsidR="003C66EB" w:rsidRDefault="003C66EB">
            <w:pPr>
              <w:rPr>
                <w:rFonts w:ascii="宋体"/>
              </w:rPr>
            </w:pPr>
          </w:p>
        </w:tc>
        <w:tc>
          <w:tcPr>
            <w:tcW w:w="669" w:type="pct"/>
            <w:shd w:val="clear" w:color="auto" w:fill="auto"/>
          </w:tcPr>
          <w:p w14:paraId="5EA26158" w14:textId="77777777" w:rsidR="003C66EB" w:rsidRDefault="003C66EB">
            <w:pPr>
              <w:rPr>
                <w:rFonts w:ascii="宋体"/>
              </w:rPr>
            </w:pPr>
          </w:p>
        </w:tc>
        <w:tc>
          <w:tcPr>
            <w:tcW w:w="5" w:type="pct"/>
            <w:shd w:val="clear" w:color="auto" w:fill="auto"/>
          </w:tcPr>
          <w:p w14:paraId="5EA26159" w14:textId="77777777" w:rsidR="003C66EB" w:rsidRDefault="003C66EB">
            <w:pPr>
              <w:rPr>
                <w:rFonts w:ascii="宋体"/>
              </w:rPr>
            </w:pPr>
          </w:p>
        </w:tc>
        <w:tc>
          <w:tcPr>
            <w:tcW w:w="5" w:type="pct"/>
            <w:shd w:val="clear" w:color="auto" w:fill="auto"/>
          </w:tcPr>
          <w:p w14:paraId="5EA2615A" w14:textId="77777777" w:rsidR="003C66EB" w:rsidRDefault="003C66EB">
            <w:pPr>
              <w:rPr>
                <w:rFonts w:ascii="宋体"/>
              </w:rPr>
            </w:pPr>
          </w:p>
        </w:tc>
        <w:tc>
          <w:tcPr>
            <w:tcW w:w="26" w:type="pct"/>
            <w:shd w:val="clear" w:color="auto" w:fill="auto"/>
          </w:tcPr>
          <w:p w14:paraId="5EA2615B" w14:textId="77777777" w:rsidR="003C66EB" w:rsidRDefault="003C66EB">
            <w:pPr>
              <w:rPr>
                <w:rFonts w:ascii="宋体"/>
              </w:rPr>
            </w:pPr>
          </w:p>
        </w:tc>
        <w:tc>
          <w:tcPr>
            <w:tcW w:w="5" w:type="pct"/>
            <w:shd w:val="clear" w:color="auto" w:fill="auto"/>
          </w:tcPr>
          <w:p w14:paraId="5EA2615C" w14:textId="77777777" w:rsidR="003C66EB" w:rsidRDefault="003C66EB">
            <w:pPr>
              <w:rPr>
                <w:rFonts w:ascii="宋体"/>
              </w:rPr>
            </w:pPr>
          </w:p>
        </w:tc>
        <w:tc>
          <w:tcPr>
            <w:tcW w:w="50" w:type="pct"/>
            <w:shd w:val="clear" w:color="auto" w:fill="auto"/>
          </w:tcPr>
          <w:p w14:paraId="5EA2615D" w14:textId="77777777" w:rsidR="003C66EB" w:rsidRDefault="003C66EB">
            <w:pPr>
              <w:rPr>
                <w:rFonts w:ascii="宋体"/>
              </w:rPr>
            </w:pPr>
          </w:p>
        </w:tc>
        <w:tc>
          <w:tcPr>
            <w:tcW w:w="757" w:type="pct"/>
            <w:shd w:val="clear" w:color="auto" w:fill="auto"/>
          </w:tcPr>
          <w:p w14:paraId="5EA2615E" w14:textId="77777777" w:rsidR="003C66EB" w:rsidRDefault="003C66EB">
            <w:pPr>
              <w:rPr>
                <w:rFonts w:ascii="宋体"/>
              </w:rPr>
            </w:pPr>
          </w:p>
        </w:tc>
        <w:tc>
          <w:tcPr>
            <w:tcW w:w="5" w:type="pct"/>
            <w:shd w:val="clear" w:color="auto" w:fill="auto"/>
          </w:tcPr>
          <w:p w14:paraId="5EA2615F" w14:textId="77777777" w:rsidR="003C66EB" w:rsidRDefault="003C66EB">
            <w:pPr>
              <w:rPr>
                <w:rFonts w:ascii="宋体"/>
              </w:rPr>
            </w:pPr>
          </w:p>
        </w:tc>
        <w:tc>
          <w:tcPr>
            <w:tcW w:w="5" w:type="pct"/>
            <w:shd w:val="clear" w:color="auto" w:fill="auto"/>
          </w:tcPr>
          <w:p w14:paraId="5EA26160" w14:textId="77777777" w:rsidR="003C66EB" w:rsidRDefault="003C66EB">
            <w:pPr>
              <w:rPr>
                <w:rFonts w:ascii="宋体"/>
              </w:rPr>
            </w:pPr>
          </w:p>
        </w:tc>
        <w:tc>
          <w:tcPr>
            <w:tcW w:w="26" w:type="pct"/>
            <w:shd w:val="clear" w:color="auto" w:fill="auto"/>
          </w:tcPr>
          <w:p w14:paraId="5EA26161" w14:textId="77777777" w:rsidR="003C66EB" w:rsidRDefault="003C66EB">
            <w:pPr>
              <w:rPr>
                <w:rFonts w:ascii="宋体"/>
              </w:rPr>
            </w:pPr>
          </w:p>
        </w:tc>
        <w:tc>
          <w:tcPr>
            <w:tcW w:w="5" w:type="pct"/>
            <w:shd w:val="clear" w:color="auto" w:fill="auto"/>
          </w:tcPr>
          <w:p w14:paraId="5EA26162" w14:textId="77777777" w:rsidR="003C66EB" w:rsidRDefault="003C66EB">
            <w:pPr>
              <w:rPr>
                <w:rFonts w:ascii="宋体"/>
              </w:rPr>
            </w:pPr>
          </w:p>
        </w:tc>
        <w:tc>
          <w:tcPr>
            <w:tcW w:w="50" w:type="pct"/>
            <w:shd w:val="clear" w:color="auto" w:fill="auto"/>
          </w:tcPr>
          <w:p w14:paraId="5EA26163" w14:textId="77777777" w:rsidR="003C66EB" w:rsidRDefault="003C66EB">
            <w:pPr>
              <w:rPr>
                <w:rFonts w:ascii="宋体"/>
              </w:rPr>
            </w:pPr>
          </w:p>
        </w:tc>
        <w:tc>
          <w:tcPr>
            <w:tcW w:w="655" w:type="pct"/>
            <w:shd w:val="clear" w:color="auto" w:fill="auto"/>
          </w:tcPr>
          <w:p w14:paraId="5EA26164" w14:textId="77777777" w:rsidR="003C66EB" w:rsidRDefault="003C66EB">
            <w:pPr>
              <w:rPr>
                <w:rFonts w:ascii="宋体"/>
              </w:rPr>
            </w:pPr>
          </w:p>
        </w:tc>
        <w:tc>
          <w:tcPr>
            <w:tcW w:w="5" w:type="pct"/>
            <w:shd w:val="clear" w:color="auto" w:fill="auto"/>
          </w:tcPr>
          <w:p w14:paraId="5EA26165" w14:textId="77777777" w:rsidR="003C66EB" w:rsidRDefault="003C66EB">
            <w:pPr>
              <w:rPr>
                <w:rFonts w:ascii="宋体"/>
              </w:rPr>
            </w:pPr>
          </w:p>
        </w:tc>
        <w:tc>
          <w:tcPr>
            <w:tcW w:w="5" w:type="pct"/>
            <w:shd w:val="clear" w:color="auto" w:fill="auto"/>
          </w:tcPr>
          <w:p w14:paraId="5EA26166" w14:textId="77777777" w:rsidR="003C66EB" w:rsidRDefault="003C66EB">
            <w:pPr>
              <w:rPr>
                <w:rFonts w:ascii="宋体"/>
              </w:rPr>
            </w:pPr>
          </w:p>
        </w:tc>
        <w:tc>
          <w:tcPr>
            <w:tcW w:w="26" w:type="pct"/>
            <w:shd w:val="clear" w:color="auto" w:fill="auto"/>
          </w:tcPr>
          <w:p w14:paraId="5EA26167" w14:textId="77777777" w:rsidR="003C66EB" w:rsidRDefault="003C66EB">
            <w:pPr>
              <w:rPr>
                <w:rFonts w:ascii="宋体"/>
              </w:rPr>
            </w:pPr>
          </w:p>
        </w:tc>
        <w:tc>
          <w:tcPr>
            <w:tcW w:w="5" w:type="pct"/>
            <w:shd w:val="clear" w:color="auto" w:fill="auto"/>
          </w:tcPr>
          <w:p w14:paraId="5EA26168" w14:textId="77777777" w:rsidR="003C66EB" w:rsidRDefault="003C66EB">
            <w:pPr>
              <w:rPr>
                <w:rFonts w:ascii="宋体"/>
              </w:rPr>
            </w:pPr>
          </w:p>
        </w:tc>
        <w:tc>
          <w:tcPr>
            <w:tcW w:w="50" w:type="pct"/>
            <w:shd w:val="clear" w:color="auto" w:fill="auto"/>
          </w:tcPr>
          <w:p w14:paraId="5EA26169" w14:textId="77777777" w:rsidR="003C66EB" w:rsidRDefault="003C66EB">
            <w:pPr>
              <w:rPr>
                <w:rFonts w:ascii="宋体"/>
              </w:rPr>
            </w:pPr>
          </w:p>
        </w:tc>
        <w:tc>
          <w:tcPr>
            <w:tcW w:w="494" w:type="pct"/>
            <w:shd w:val="clear" w:color="auto" w:fill="auto"/>
          </w:tcPr>
          <w:p w14:paraId="5EA2616A" w14:textId="77777777" w:rsidR="003C66EB" w:rsidRDefault="003C66EB">
            <w:pPr>
              <w:rPr>
                <w:rFonts w:ascii="宋体"/>
              </w:rPr>
            </w:pPr>
          </w:p>
        </w:tc>
        <w:tc>
          <w:tcPr>
            <w:tcW w:w="5" w:type="pct"/>
            <w:shd w:val="clear" w:color="auto" w:fill="auto"/>
          </w:tcPr>
          <w:p w14:paraId="5EA2616B" w14:textId="77777777" w:rsidR="003C66EB" w:rsidRDefault="003C66EB">
            <w:pPr>
              <w:rPr>
                <w:rFonts w:ascii="宋体"/>
              </w:rPr>
            </w:pPr>
          </w:p>
        </w:tc>
      </w:tr>
      <w:tr w:rsidR="003C66EB" w14:paraId="5EA2616F" w14:textId="77777777">
        <w:tc>
          <w:tcPr>
            <w:tcW w:w="0" w:type="auto"/>
            <w:gridSpan w:val="3"/>
            <w:shd w:val="clear" w:color="auto" w:fill="auto"/>
            <w:tcMar>
              <w:top w:w="40" w:type="dxa"/>
              <w:left w:w="20" w:type="dxa"/>
              <w:bottom w:w="40" w:type="dxa"/>
              <w:right w:w="20" w:type="dxa"/>
            </w:tcMar>
            <w:vAlign w:val="bottom"/>
          </w:tcPr>
          <w:p w14:paraId="5EA2616D" w14:textId="77777777" w:rsidR="003C66EB" w:rsidRDefault="00D96C4E">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A2616E"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6179" w14:textId="77777777">
        <w:trPr>
          <w:trHeight w:val="400"/>
        </w:trPr>
        <w:tc>
          <w:tcPr>
            <w:tcW w:w="0" w:type="auto"/>
            <w:gridSpan w:val="3"/>
            <w:shd w:val="clear" w:color="auto" w:fill="auto"/>
            <w:tcMar>
              <w:top w:w="0" w:type="dxa"/>
              <w:left w:w="20" w:type="dxa"/>
              <w:bottom w:w="0" w:type="dxa"/>
              <w:right w:w="20" w:type="dxa"/>
            </w:tcMar>
          </w:tcPr>
          <w:p w14:paraId="5EA26170"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171" w14:textId="77777777" w:rsidR="003C66EB" w:rsidRDefault="00D96C4E">
            <w:pPr>
              <w:jc w:val="center"/>
              <w:textAlignment w:val="bottom"/>
            </w:pPr>
            <w:r>
              <w:rPr>
                <w:rFonts w:ascii="Arial" w:eastAsia="宋体" w:hAnsi="Arial" w:cs="Arial"/>
                <w:b/>
                <w:bCs/>
                <w:color w:val="000000"/>
                <w:sz w:val="15"/>
                <w:szCs w:val="15"/>
              </w:rPr>
              <w:t xml:space="preserve">Gross Amounts of Recognized </w:t>
            </w:r>
          </w:p>
          <w:p w14:paraId="5EA26172" w14:textId="77777777" w:rsidR="003C66EB" w:rsidRDefault="00D96C4E">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5EA26173"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174" w14:textId="77777777" w:rsidR="003C66EB" w:rsidRDefault="00D96C4E">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5EA26175"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176" w14:textId="77777777" w:rsidR="003C66EB" w:rsidRDefault="00D96C4E">
            <w:pPr>
              <w:jc w:val="center"/>
              <w:textAlignment w:val="bottom"/>
            </w:pPr>
            <w:r>
              <w:rPr>
                <w:rFonts w:ascii="Arial" w:eastAsia="宋体" w:hAnsi="Arial" w:cs="Arial"/>
                <w:b/>
                <w:bCs/>
                <w:color w:val="000000"/>
                <w:sz w:val="15"/>
                <w:szCs w:val="15"/>
              </w:rPr>
              <w:t>Net Amounts of Assets Presented in Statement of Co</w:t>
            </w:r>
            <w:r>
              <w:rPr>
                <w:rFonts w:ascii="Arial" w:eastAsia="宋体" w:hAnsi="Arial" w:cs="Arial"/>
                <w:b/>
                <w:bCs/>
                <w:color w:val="000000"/>
                <w:sz w:val="15"/>
                <w:szCs w:val="15"/>
              </w:rPr>
              <w:t>ndition</w:t>
            </w:r>
          </w:p>
        </w:tc>
        <w:tc>
          <w:tcPr>
            <w:tcW w:w="0" w:type="auto"/>
            <w:gridSpan w:val="3"/>
            <w:tcBorders>
              <w:top w:val="single" w:sz="8" w:space="0" w:color="000000"/>
            </w:tcBorders>
            <w:shd w:val="clear" w:color="auto" w:fill="auto"/>
            <w:tcMar>
              <w:top w:w="0" w:type="dxa"/>
              <w:left w:w="20" w:type="dxa"/>
              <w:bottom w:w="0" w:type="dxa"/>
              <w:right w:w="20" w:type="dxa"/>
            </w:tcMar>
          </w:tcPr>
          <w:p w14:paraId="5EA26177"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178" w14:textId="77777777" w:rsidR="003C66EB" w:rsidRDefault="00D96C4E">
            <w:pPr>
              <w:jc w:val="center"/>
              <w:textAlignment w:val="bottom"/>
            </w:pPr>
            <w:r>
              <w:rPr>
                <w:rFonts w:ascii="Arial" w:eastAsia="宋体" w:hAnsi="Arial" w:cs="Arial"/>
                <w:b/>
                <w:bCs/>
                <w:color w:val="000000"/>
                <w:sz w:val="15"/>
                <w:szCs w:val="15"/>
              </w:rPr>
              <w:t>Gross Amounts Not Offset in Statement of Condition</w:t>
            </w:r>
          </w:p>
        </w:tc>
      </w:tr>
      <w:tr w:rsidR="003C66EB" w14:paraId="5EA26184" w14:textId="77777777">
        <w:trPr>
          <w:trHeight w:val="540"/>
        </w:trPr>
        <w:tc>
          <w:tcPr>
            <w:tcW w:w="0" w:type="auto"/>
            <w:gridSpan w:val="3"/>
            <w:shd w:val="clear" w:color="auto" w:fill="auto"/>
            <w:tcMar>
              <w:top w:w="40" w:type="dxa"/>
              <w:left w:w="20" w:type="dxa"/>
              <w:bottom w:w="40" w:type="dxa"/>
              <w:right w:w="20" w:type="dxa"/>
            </w:tcMar>
            <w:vAlign w:val="bottom"/>
          </w:tcPr>
          <w:p w14:paraId="5EA2617A"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17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17C"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17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17E"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17F"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618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181" w14:textId="77777777" w:rsidR="003C66EB" w:rsidRDefault="00D96C4E">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5EA2618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183" w14:textId="77777777" w:rsidR="003C66EB" w:rsidRDefault="00D96C4E">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3C66EB" w14:paraId="5EA2618F" w14:textId="77777777">
        <w:tc>
          <w:tcPr>
            <w:tcW w:w="0" w:type="auto"/>
            <w:gridSpan w:val="3"/>
            <w:shd w:val="clear" w:color="auto" w:fill="auto"/>
            <w:tcMar>
              <w:top w:w="40" w:type="dxa"/>
              <w:left w:w="20" w:type="dxa"/>
              <w:bottom w:w="40" w:type="dxa"/>
              <w:right w:w="20" w:type="dxa"/>
            </w:tcMar>
            <w:vAlign w:val="bottom"/>
          </w:tcPr>
          <w:p w14:paraId="5EA26185" w14:textId="77777777" w:rsidR="003C66EB" w:rsidRDefault="00D96C4E">
            <w:pPr>
              <w:textAlignment w:val="bottom"/>
            </w:pPr>
            <w:r>
              <w:rPr>
                <w:rFonts w:ascii="Arial" w:eastAsia="宋体" w:hAnsi="Arial" w:cs="Arial"/>
                <w:b/>
                <w:bCs/>
                <w:color w:val="000000"/>
                <w:sz w:val="15"/>
                <w:szCs w:val="15"/>
              </w:rPr>
              <w:t>Derivat</w:t>
            </w:r>
            <w:r>
              <w:rPr>
                <w:rFonts w:ascii="Arial" w:eastAsia="宋体" w:hAnsi="Arial" w:cs="Arial"/>
                <w:b/>
                <w:bCs/>
                <w:color w:val="000000"/>
                <w:sz w:val="15"/>
                <w:szCs w:val="15"/>
              </w:rPr>
              <w:t>ives:</w:t>
            </w:r>
          </w:p>
        </w:tc>
        <w:tc>
          <w:tcPr>
            <w:tcW w:w="0" w:type="auto"/>
            <w:gridSpan w:val="3"/>
            <w:tcBorders>
              <w:top w:val="single" w:sz="8" w:space="0" w:color="000000"/>
            </w:tcBorders>
            <w:shd w:val="clear" w:color="auto" w:fill="auto"/>
            <w:tcMar>
              <w:top w:w="0" w:type="dxa"/>
              <w:left w:w="20" w:type="dxa"/>
              <w:bottom w:w="0" w:type="dxa"/>
              <w:right w:w="20" w:type="dxa"/>
            </w:tcMar>
          </w:tcPr>
          <w:p w14:paraId="5EA2618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187"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18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189"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1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18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18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18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18E" w14:textId="77777777" w:rsidR="003C66EB" w:rsidRDefault="003C66EB">
            <w:pPr>
              <w:rPr>
                <w:rFonts w:ascii="宋体"/>
              </w:rPr>
            </w:pPr>
          </w:p>
        </w:tc>
      </w:tr>
      <w:tr w:rsidR="003C66EB" w14:paraId="5EA261A4" w14:textId="77777777">
        <w:tc>
          <w:tcPr>
            <w:tcW w:w="0" w:type="auto"/>
            <w:gridSpan w:val="3"/>
            <w:shd w:val="clear" w:color="auto" w:fill="CCEEFF"/>
            <w:tcMar>
              <w:top w:w="40" w:type="dxa"/>
              <w:left w:w="20" w:type="dxa"/>
              <w:bottom w:w="40" w:type="dxa"/>
              <w:right w:w="20" w:type="dxa"/>
            </w:tcMar>
            <w:vAlign w:val="bottom"/>
          </w:tcPr>
          <w:p w14:paraId="5EA26190"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6191"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192" w14:textId="77777777" w:rsidR="003C66EB" w:rsidRDefault="00D96C4E">
            <w:pPr>
              <w:jc w:val="right"/>
              <w:textAlignment w:val="bottom"/>
            </w:pPr>
            <w:r>
              <w:rPr>
                <w:rFonts w:ascii="Arial" w:eastAsia="宋体" w:hAnsi="Arial" w:cs="Arial"/>
                <w:color w:val="000000"/>
                <w:sz w:val="15"/>
                <w:szCs w:val="15"/>
              </w:rPr>
              <w:t>25,943 </w:t>
            </w:r>
          </w:p>
        </w:tc>
        <w:tc>
          <w:tcPr>
            <w:tcW w:w="0" w:type="auto"/>
            <w:shd w:val="clear" w:color="auto" w:fill="CCEEFF"/>
            <w:tcMar>
              <w:top w:w="40" w:type="dxa"/>
              <w:left w:w="0" w:type="dxa"/>
              <w:bottom w:w="40" w:type="dxa"/>
              <w:right w:w="20" w:type="dxa"/>
            </w:tcMar>
            <w:vAlign w:val="bottom"/>
          </w:tcPr>
          <w:p w14:paraId="5EA261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94"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195"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196" w14:textId="77777777" w:rsidR="003C66EB" w:rsidRDefault="00D96C4E">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5EA261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9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199"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19A" w14:textId="77777777" w:rsidR="003C66EB" w:rsidRDefault="00D96C4E">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5EA261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9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19D"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19E"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1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A0"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1A1"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1A2" w14:textId="77777777" w:rsidR="003C66EB" w:rsidRDefault="00D96C4E">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5EA261A3" w14:textId="77777777" w:rsidR="003C66EB" w:rsidRDefault="003C66EB">
            <w:pPr>
              <w:jc w:val="right"/>
              <w:rPr>
                <w:rFonts w:ascii="宋体"/>
              </w:rPr>
            </w:pPr>
          </w:p>
        </w:tc>
      </w:tr>
      <w:tr w:rsidR="003C66EB" w14:paraId="5EA261B4" w14:textId="77777777">
        <w:tc>
          <w:tcPr>
            <w:tcW w:w="0" w:type="auto"/>
            <w:gridSpan w:val="3"/>
            <w:shd w:val="clear" w:color="auto" w:fill="FFFFFF"/>
            <w:tcMar>
              <w:top w:w="40" w:type="dxa"/>
              <w:left w:w="20" w:type="dxa"/>
              <w:bottom w:w="40" w:type="dxa"/>
              <w:right w:w="20" w:type="dxa"/>
            </w:tcMar>
            <w:vAlign w:val="bottom"/>
          </w:tcPr>
          <w:p w14:paraId="5EA261A5" w14:textId="77777777" w:rsidR="003C66EB" w:rsidRDefault="00D96C4E">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A261A6"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A261A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A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A9"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1A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A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AC"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A261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A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AF"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1B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B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1B2" w14:textId="77777777" w:rsidR="003C66EB" w:rsidRDefault="00D96C4E">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A261B3" w14:textId="77777777" w:rsidR="003C66EB" w:rsidRDefault="003C66EB">
            <w:pPr>
              <w:jc w:val="right"/>
              <w:rPr>
                <w:rFonts w:ascii="宋体"/>
              </w:rPr>
            </w:pPr>
          </w:p>
        </w:tc>
      </w:tr>
      <w:tr w:rsidR="003C66EB" w14:paraId="5EA261BF" w14:textId="77777777">
        <w:trPr>
          <w:hidden/>
        </w:trPr>
        <w:tc>
          <w:tcPr>
            <w:tcW w:w="0" w:type="auto"/>
            <w:gridSpan w:val="3"/>
            <w:shd w:val="clear" w:color="auto" w:fill="auto"/>
          </w:tcPr>
          <w:p w14:paraId="5EA261B5" w14:textId="77777777" w:rsidR="003C66EB" w:rsidRDefault="003C66EB">
            <w:pPr>
              <w:rPr>
                <w:rFonts w:ascii="宋体"/>
                <w:vanish/>
              </w:rPr>
            </w:pPr>
          </w:p>
        </w:tc>
        <w:tc>
          <w:tcPr>
            <w:tcW w:w="0" w:type="auto"/>
            <w:gridSpan w:val="3"/>
            <w:shd w:val="clear" w:color="auto" w:fill="auto"/>
          </w:tcPr>
          <w:p w14:paraId="5EA261B6" w14:textId="77777777" w:rsidR="003C66EB" w:rsidRDefault="003C66EB">
            <w:pPr>
              <w:rPr>
                <w:rFonts w:ascii="宋体"/>
                <w:vanish/>
              </w:rPr>
            </w:pPr>
          </w:p>
        </w:tc>
        <w:tc>
          <w:tcPr>
            <w:tcW w:w="0" w:type="auto"/>
            <w:gridSpan w:val="3"/>
            <w:shd w:val="clear" w:color="auto" w:fill="auto"/>
          </w:tcPr>
          <w:p w14:paraId="5EA261B7" w14:textId="77777777" w:rsidR="003C66EB" w:rsidRDefault="003C66EB">
            <w:pPr>
              <w:rPr>
                <w:rFonts w:ascii="宋体"/>
                <w:vanish/>
              </w:rPr>
            </w:pPr>
          </w:p>
        </w:tc>
        <w:tc>
          <w:tcPr>
            <w:tcW w:w="0" w:type="auto"/>
            <w:gridSpan w:val="3"/>
            <w:shd w:val="clear" w:color="auto" w:fill="auto"/>
          </w:tcPr>
          <w:p w14:paraId="5EA261B8" w14:textId="77777777" w:rsidR="003C66EB" w:rsidRDefault="003C66EB">
            <w:pPr>
              <w:rPr>
                <w:rFonts w:ascii="宋体"/>
                <w:vanish/>
              </w:rPr>
            </w:pPr>
          </w:p>
        </w:tc>
        <w:tc>
          <w:tcPr>
            <w:tcW w:w="0" w:type="auto"/>
            <w:gridSpan w:val="3"/>
            <w:shd w:val="clear" w:color="auto" w:fill="auto"/>
          </w:tcPr>
          <w:p w14:paraId="5EA261B9" w14:textId="77777777" w:rsidR="003C66EB" w:rsidRDefault="003C66EB">
            <w:pPr>
              <w:rPr>
                <w:rFonts w:ascii="宋体"/>
                <w:vanish/>
              </w:rPr>
            </w:pPr>
          </w:p>
        </w:tc>
        <w:tc>
          <w:tcPr>
            <w:tcW w:w="0" w:type="auto"/>
            <w:gridSpan w:val="3"/>
            <w:shd w:val="clear" w:color="auto" w:fill="auto"/>
          </w:tcPr>
          <w:p w14:paraId="5EA261BA" w14:textId="77777777" w:rsidR="003C66EB" w:rsidRDefault="003C66EB">
            <w:pPr>
              <w:rPr>
                <w:rFonts w:ascii="宋体"/>
                <w:vanish/>
              </w:rPr>
            </w:pPr>
          </w:p>
        </w:tc>
        <w:tc>
          <w:tcPr>
            <w:tcW w:w="0" w:type="auto"/>
            <w:gridSpan w:val="3"/>
            <w:shd w:val="clear" w:color="auto" w:fill="auto"/>
          </w:tcPr>
          <w:p w14:paraId="5EA261BB" w14:textId="77777777" w:rsidR="003C66EB" w:rsidRDefault="003C66EB">
            <w:pPr>
              <w:rPr>
                <w:rFonts w:ascii="宋体"/>
                <w:vanish/>
              </w:rPr>
            </w:pPr>
          </w:p>
        </w:tc>
        <w:tc>
          <w:tcPr>
            <w:tcW w:w="0" w:type="auto"/>
            <w:gridSpan w:val="3"/>
            <w:shd w:val="clear" w:color="auto" w:fill="auto"/>
          </w:tcPr>
          <w:p w14:paraId="5EA261BC" w14:textId="77777777" w:rsidR="003C66EB" w:rsidRDefault="003C66EB">
            <w:pPr>
              <w:rPr>
                <w:rFonts w:ascii="宋体"/>
                <w:vanish/>
              </w:rPr>
            </w:pPr>
          </w:p>
        </w:tc>
        <w:tc>
          <w:tcPr>
            <w:tcW w:w="0" w:type="auto"/>
            <w:gridSpan w:val="3"/>
            <w:shd w:val="clear" w:color="auto" w:fill="auto"/>
          </w:tcPr>
          <w:p w14:paraId="5EA261BD" w14:textId="77777777" w:rsidR="003C66EB" w:rsidRDefault="003C66EB">
            <w:pPr>
              <w:rPr>
                <w:rFonts w:ascii="宋体"/>
                <w:vanish/>
              </w:rPr>
            </w:pPr>
          </w:p>
        </w:tc>
        <w:tc>
          <w:tcPr>
            <w:tcW w:w="0" w:type="auto"/>
            <w:gridSpan w:val="3"/>
            <w:shd w:val="clear" w:color="auto" w:fill="auto"/>
          </w:tcPr>
          <w:p w14:paraId="5EA261BE" w14:textId="77777777" w:rsidR="003C66EB" w:rsidRDefault="003C66EB">
            <w:pPr>
              <w:rPr>
                <w:rFonts w:ascii="宋体"/>
                <w:vanish/>
              </w:rPr>
            </w:pPr>
          </w:p>
        </w:tc>
      </w:tr>
      <w:tr w:rsidR="003C66EB" w14:paraId="5EA261CA" w14:textId="77777777">
        <w:trPr>
          <w:hidden/>
        </w:trPr>
        <w:tc>
          <w:tcPr>
            <w:tcW w:w="0" w:type="auto"/>
            <w:gridSpan w:val="3"/>
            <w:shd w:val="clear" w:color="auto" w:fill="auto"/>
          </w:tcPr>
          <w:p w14:paraId="5EA261C0" w14:textId="77777777" w:rsidR="003C66EB" w:rsidRDefault="003C66EB">
            <w:pPr>
              <w:rPr>
                <w:rFonts w:ascii="宋体"/>
                <w:vanish/>
              </w:rPr>
            </w:pPr>
          </w:p>
        </w:tc>
        <w:tc>
          <w:tcPr>
            <w:tcW w:w="0" w:type="auto"/>
            <w:gridSpan w:val="3"/>
            <w:shd w:val="clear" w:color="auto" w:fill="auto"/>
          </w:tcPr>
          <w:p w14:paraId="5EA261C1" w14:textId="77777777" w:rsidR="003C66EB" w:rsidRDefault="003C66EB">
            <w:pPr>
              <w:rPr>
                <w:rFonts w:ascii="宋体"/>
                <w:vanish/>
              </w:rPr>
            </w:pPr>
          </w:p>
        </w:tc>
        <w:tc>
          <w:tcPr>
            <w:tcW w:w="0" w:type="auto"/>
            <w:gridSpan w:val="3"/>
            <w:shd w:val="clear" w:color="auto" w:fill="auto"/>
          </w:tcPr>
          <w:p w14:paraId="5EA261C2" w14:textId="77777777" w:rsidR="003C66EB" w:rsidRDefault="003C66EB">
            <w:pPr>
              <w:rPr>
                <w:rFonts w:ascii="宋体"/>
                <w:vanish/>
              </w:rPr>
            </w:pPr>
          </w:p>
        </w:tc>
        <w:tc>
          <w:tcPr>
            <w:tcW w:w="0" w:type="auto"/>
            <w:gridSpan w:val="3"/>
            <w:shd w:val="clear" w:color="auto" w:fill="auto"/>
          </w:tcPr>
          <w:p w14:paraId="5EA261C3" w14:textId="77777777" w:rsidR="003C66EB" w:rsidRDefault="003C66EB">
            <w:pPr>
              <w:rPr>
                <w:rFonts w:ascii="宋体"/>
                <w:vanish/>
              </w:rPr>
            </w:pPr>
          </w:p>
        </w:tc>
        <w:tc>
          <w:tcPr>
            <w:tcW w:w="0" w:type="auto"/>
            <w:gridSpan w:val="3"/>
            <w:shd w:val="clear" w:color="auto" w:fill="auto"/>
          </w:tcPr>
          <w:p w14:paraId="5EA261C4" w14:textId="77777777" w:rsidR="003C66EB" w:rsidRDefault="003C66EB">
            <w:pPr>
              <w:rPr>
                <w:rFonts w:ascii="宋体"/>
                <w:vanish/>
              </w:rPr>
            </w:pPr>
          </w:p>
        </w:tc>
        <w:tc>
          <w:tcPr>
            <w:tcW w:w="0" w:type="auto"/>
            <w:gridSpan w:val="3"/>
            <w:shd w:val="clear" w:color="auto" w:fill="auto"/>
          </w:tcPr>
          <w:p w14:paraId="5EA261C5" w14:textId="77777777" w:rsidR="003C66EB" w:rsidRDefault="003C66EB">
            <w:pPr>
              <w:rPr>
                <w:rFonts w:ascii="宋体"/>
                <w:vanish/>
              </w:rPr>
            </w:pPr>
          </w:p>
        </w:tc>
        <w:tc>
          <w:tcPr>
            <w:tcW w:w="0" w:type="auto"/>
            <w:gridSpan w:val="3"/>
            <w:shd w:val="clear" w:color="auto" w:fill="auto"/>
          </w:tcPr>
          <w:p w14:paraId="5EA261C6" w14:textId="77777777" w:rsidR="003C66EB" w:rsidRDefault="003C66EB">
            <w:pPr>
              <w:rPr>
                <w:rFonts w:ascii="宋体"/>
                <w:vanish/>
              </w:rPr>
            </w:pPr>
          </w:p>
        </w:tc>
        <w:tc>
          <w:tcPr>
            <w:tcW w:w="0" w:type="auto"/>
            <w:gridSpan w:val="3"/>
            <w:shd w:val="clear" w:color="auto" w:fill="auto"/>
          </w:tcPr>
          <w:p w14:paraId="5EA261C7" w14:textId="77777777" w:rsidR="003C66EB" w:rsidRDefault="003C66EB">
            <w:pPr>
              <w:rPr>
                <w:rFonts w:ascii="宋体"/>
                <w:vanish/>
              </w:rPr>
            </w:pPr>
          </w:p>
        </w:tc>
        <w:tc>
          <w:tcPr>
            <w:tcW w:w="0" w:type="auto"/>
            <w:gridSpan w:val="3"/>
            <w:shd w:val="clear" w:color="auto" w:fill="auto"/>
          </w:tcPr>
          <w:p w14:paraId="5EA261C8" w14:textId="77777777" w:rsidR="003C66EB" w:rsidRDefault="003C66EB">
            <w:pPr>
              <w:rPr>
                <w:rFonts w:ascii="宋体"/>
                <w:vanish/>
              </w:rPr>
            </w:pPr>
          </w:p>
        </w:tc>
        <w:tc>
          <w:tcPr>
            <w:tcW w:w="0" w:type="auto"/>
            <w:gridSpan w:val="3"/>
            <w:shd w:val="clear" w:color="auto" w:fill="auto"/>
          </w:tcPr>
          <w:p w14:paraId="5EA261C9" w14:textId="77777777" w:rsidR="003C66EB" w:rsidRDefault="003C66EB">
            <w:pPr>
              <w:rPr>
                <w:rFonts w:ascii="宋体"/>
                <w:vanish/>
              </w:rPr>
            </w:pPr>
          </w:p>
        </w:tc>
      </w:tr>
      <w:tr w:rsidR="003C66EB" w14:paraId="5EA261D5" w14:textId="77777777">
        <w:trPr>
          <w:hidden/>
        </w:trPr>
        <w:tc>
          <w:tcPr>
            <w:tcW w:w="0" w:type="auto"/>
            <w:gridSpan w:val="3"/>
            <w:shd w:val="clear" w:color="auto" w:fill="auto"/>
          </w:tcPr>
          <w:p w14:paraId="5EA261CB" w14:textId="77777777" w:rsidR="003C66EB" w:rsidRDefault="003C66EB">
            <w:pPr>
              <w:rPr>
                <w:rFonts w:ascii="宋体"/>
                <w:vanish/>
              </w:rPr>
            </w:pPr>
          </w:p>
        </w:tc>
        <w:tc>
          <w:tcPr>
            <w:tcW w:w="0" w:type="auto"/>
            <w:gridSpan w:val="3"/>
            <w:shd w:val="clear" w:color="auto" w:fill="auto"/>
          </w:tcPr>
          <w:p w14:paraId="5EA261CC" w14:textId="77777777" w:rsidR="003C66EB" w:rsidRDefault="003C66EB">
            <w:pPr>
              <w:rPr>
                <w:rFonts w:ascii="宋体"/>
                <w:vanish/>
              </w:rPr>
            </w:pPr>
          </w:p>
        </w:tc>
        <w:tc>
          <w:tcPr>
            <w:tcW w:w="0" w:type="auto"/>
            <w:gridSpan w:val="3"/>
            <w:shd w:val="clear" w:color="auto" w:fill="auto"/>
          </w:tcPr>
          <w:p w14:paraId="5EA261CD" w14:textId="77777777" w:rsidR="003C66EB" w:rsidRDefault="003C66EB">
            <w:pPr>
              <w:rPr>
                <w:rFonts w:ascii="宋体"/>
                <w:vanish/>
              </w:rPr>
            </w:pPr>
          </w:p>
        </w:tc>
        <w:tc>
          <w:tcPr>
            <w:tcW w:w="0" w:type="auto"/>
            <w:gridSpan w:val="3"/>
            <w:shd w:val="clear" w:color="auto" w:fill="auto"/>
          </w:tcPr>
          <w:p w14:paraId="5EA261CE" w14:textId="77777777" w:rsidR="003C66EB" w:rsidRDefault="003C66EB">
            <w:pPr>
              <w:rPr>
                <w:rFonts w:ascii="宋体"/>
                <w:vanish/>
              </w:rPr>
            </w:pPr>
          </w:p>
        </w:tc>
        <w:tc>
          <w:tcPr>
            <w:tcW w:w="0" w:type="auto"/>
            <w:gridSpan w:val="3"/>
            <w:shd w:val="clear" w:color="auto" w:fill="auto"/>
          </w:tcPr>
          <w:p w14:paraId="5EA261CF" w14:textId="77777777" w:rsidR="003C66EB" w:rsidRDefault="003C66EB">
            <w:pPr>
              <w:rPr>
                <w:rFonts w:ascii="宋体"/>
                <w:vanish/>
              </w:rPr>
            </w:pPr>
          </w:p>
        </w:tc>
        <w:tc>
          <w:tcPr>
            <w:tcW w:w="0" w:type="auto"/>
            <w:gridSpan w:val="3"/>
            <w:shd w:val="clear" w:color="auto" w:fill="auto"/>
          </w:tcPr>
          <w:p w14:paraId="5EA261D0" w14:textId="77777777" w:rsidR="003C66EB" w:rsidRDefault="003C66EB">
            <w:pPr>
              <w:rPr>
                <w:rFonts w:ascii="宋体"/>
                <w:vanish/>
              </w:rPr>
            </w:pPr>
          </w:p>
        </w:tc>
        <w:tc>
          <w:tcPr>
            <w:tcW w:w="0" w:type="auto"/>
            <w:gridSpan w:val="3"/>
            <w:shd w:val="clear" w:color="auto" w:fill="auto"/>
          </w:tcPr>
          <w:p w14:paraId="5EA261D1" w14:textId="77777777" w:rsidR="003C66EB" w:rsidRDefault="003C66EB">
            <w:pPr>
              <w:rPr>
                <w:rFonts w:ascii="宋体"/>
                <w:vanish/>
              </w:rPr>
            </w:pPr>
          </w:p>
        </w:tc>
        <w:tc>
          <w:tcPr>
            <w:tcW w:w="0" w:type="auto"/>
            <w:gridSpan w:val="3"/>
            <w:shd w:val="clear" w:color="auto" w:fill="auto"/>
          </w:tcPr>
          <w:p w14:paraId="5EA261D2" w14:textId="77777777" w:rsidR="003C66EB" w:rsidRDefault="003C66EB">
            <w:pPr>
              <w:rPr>
                <w:rFonts w:ascii="宋体"/>
                <w:vanish/>
              </w:rPr>
            </w:pPr>
          </w:p>
        </w:tc>
        <w:tc>
          <w:tcPr>
            <w:tcW w:w="0" w:type="auto"/>
            <w:gridSpan w:val="3"/>
            <w:shd w:val="clear" w:color="auto" w:fill="auto"/>
          </w:tcPr>
          <w:p w14:paraId="5EA261D3" w14:textId="77777777" w:rsidR="003C66EB" w:rsidRDefault="003C66EB">
            <w:pPr>
              <w:rPr>
                <w:rFonts w:ascii="宋体"/>
                <w:vanish/>
              </w:rPr>
            </w:pPr>
          </w:p>
        </w:tc>
        <w:tc>
          <w:tcPr>
            <w:tcW w:w="0" w:type="auto"/>
            <w:gridSpan w:val="3"/>
            <w:shd w:val="clear" w:color="auto" w:fill="auto"/>
          </w:tcPr>
          <w:p w14:paraId="5EA261D4" w14:textId="77777777" w:rsidR="003C66EB" w:rsidRDefault="003C66EB">
            <w:pPr>
              <w:rPr>
                <w:rFonts w:ascii="宋体"/>
                <w:vanish/>
              </w:rPr>
            </w:pPr>
          </w:p>
        </w:tc>
      </w:tr>
      <w:tr w:rsidR="003C66EB" w14:paraId="5EA261E4" w14:textId="77777777">
        <w:tc>
          <w:tcPr>
            <w:tcW w:w="0" w:type="auto"/>
            <w:gridSpan w:val="3"/>
            <w:shd w:val="clear" w:color="auto" w:fill="CCEEFF"/>
            <w:tcMar>
              <w:top w:w="40" w:type="dxa"/>
              <w:left w:w="20" w:type="dxa"/>
              <w:bottom w:w="40" w:type="dxa"/>
              <w:right w:w="20" w:type="dxa"/>
            </w:tcMar>
            <w:vAlign w:val="bottom"/>
          </w:tcPr>
          <w:p w14:paraId="5EA261D6" w14:textId="77777777" w:rsidR="003C66EB" w:rsidRDefault="00D96C4E">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5EA261D7" w14:textId="77777777" w:rsidR="003C66EB" w:rsidRDefault="00D96C4E">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tcPr>
          <w:p w14:paraId="5EA261D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1D9" w14:textId="77777777" w:rsidR="003C66EB" w:rsidRDefault="00D96C4E">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5EA261D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D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1DC" w14:textId="77777777" w:rsidR="003C66EB" w:rsidRDefault="00D96C4E">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5EA261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D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1DF" w14:textId="77777777" w:rsidR="003C66EB" w:rsidRDefault="00D96C4E">
            <w:pPr>
              <w:jc w:val="right"/>
              <w:textAlignment w:val="bottom"/>
            </w:pPr>
            <w:r>
              <w:rPr>
                <w:rFonts w:ascii="Arial" w:eastAsia="宋体" w:hAnsi="Arial" w:cs="Arial"/>
                <w:color w:val="000000"/>
                <w:sz w:val="15"/>
                <w:szCs w:val="15"/>
              </w:rPr>
              <w:t>(1,105)</w:t>
            </w:r>
          </w:p>
        </w:tc>
        <w:tc>
          <w:tcPr>
            <w:tcW w:w="0" w:type="auto"/>
            <w:shd w:val="clear" w:color="auto" w:fill="CCEEFF"/>
            <w:tcMar>
              <w:top w:w="40" w:type="dxa"/>
              <w:left w:w="0" w:type="dxa"/>
              <w:bottom w:w="40" w:type="dxa"/>
              <w:right w:w="20" w:type="dxa"/>
            </w:tcMar>
            <w:vAlign w:val="bottom"/>
          </w:tcPr>
          <w:p w14:paraId="5EA261E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1E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1E2" w14:textId="77777777" w:rsidR="003C66EB" w:rsidRDefault="00D96C4E">
            <w:pPr>
              <w:jc w:val="right"/>
              <w:textAlignment w:val="bottom"/>
            </w:pPr>
            <w:r>
              <w:rPr>
                <w:rFonts w:ascii="Arial" w:eastAsia="宋体" w:hAnsi="Arial" w:cs="Arial"/>
                <w:color w:val="000000"/>
                <w:sz w:val="15"/>
                <w:szCs w:val="15"/>
              </w:rPr>
              <w:t>(6,974)</w:t>
            </w:r>
          </w:p>
        </w:tc>
        <w:tc>
          <w:tcPr>
            <w:tcW w:w="0" w:type="auto"/>
            <w:shd w:val="clear" w:color="auto" w:fill="CCEEFF"/>
            <w:tcMar>
              <w:top w:w="40" w:type="dxa"/>
              <w:left w:w="0" w:type="dxa"/>
              <w:bottom w:w="40" w:type="dxa"/>
              <w:right w:w="20" w:type="dxa"/>
            </w:tcMar>
            <w:vAlign w:val="bottom"/>
          </w:tcPr>
          <w:p w14:paraId="5EA261E3" w14:textId="77777777" w:rsidR="003C66EB" w:rsidRDefault="003C66EB">
            <w:pPr>
              <w:jc w:val="right"/>
              <w:rPr>
                <w:rFonts w:ascii="宋体"/>
              </w:rPr>
            </w:pPr>
          </w:p>
        </w:tc>
      </w:tr>
      <w:tr w:rsidR="003C66EB" w14:paraId="5EA261F4" w14:textId="77777777">
        <w:tc>
          <w:tcPr>
            <w:tcW w:w="0" w:type="auto"/>
            <w:gridSpan w:val="3"/>
            <w:shd w:val="clear" w:color="auto" w:fill="FFFFFF"/>
            <w:tcMar>
              <w:top w:w="40" w:type="dxa"/>
              <w:left w:w="20" w:type="dxa"/>
              <w:bottom w:w="40" w:type="dxa"/>
              <w:right w:w="20" w:type="dxa"/>
            </w:tcMar>
            <w:vAlign w:val="bottom"/>
          </w:tcPr>
          <w:p w14:paraId="5EA261E5" w14:textId="77777777" w:rsidR="003C66EB" w:rsidRDefault="00D96C4E">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1E6" w14:textId="77777777" w:rsidR="003C66EB" w:rsidRDefault="00D96C4E">
            <w:pPr>
              <w:jc w:val="right"/>
              <w:textAlignment w:val="bottom"/>
            </w:pPr>
            <w:r>
              <w:rPr>
                <w:rFonts w:ascii="Arial" w:eastAsia="宋体" w:hAnsi="Arial" w:cs="Arial"/>
                <w:color w:val="000000"/>
                <w:sz w:val="15"/>
                <w:szCs w:val="15"/>
              </w:rPr>
              <w:t>25,944 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1E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E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1E9" w14:textId="77777777" w:rsidR="003C66EB" w:rsidRDefault="00D96C4E">
            <w:pPr>
              <w:jc w:val="right"/>
              <w:textAlignment w:val="bottom"/>
            </w:pPr>
            <w:r>
              <w:rPr>
                <w:rFonts w:ascii="Arial" w:eastAsia="宋体" w:hAnsi="Arial" w:cs="Arial"/>
                <w:color w:val="000000"/>
                <w:sz w:val="15"/>
                <w:szCs w:val="15"/>
              </w:rPr>
              <w:t>(20,140)</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1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E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1EC" w14:textId="77777777" w:rsidR="003C66EB" w:rsidRDefault="00D96C4E">
            <w:pPr>
              <w:jc w:val="right"/>
              <w:textAlignment w:val="bottom"/>
            </w:pPr>
            <w:r>
              <w:rPr>
                <w:rFonts w:ascii="Arial" w:eastAsia="宋体" w:hAnsi="Arial" w:cs="Arial"/>
                <w:color w:val="000000"/>
                <w:sz w:val="15"/>
                <w:szCs w:val="15"/>
              </w:rPr>
              <w:t>5,804 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1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E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1EF" w14:textId="77777777" w:rsidR="003C66EB" w:rsidRDefault="00D96C4E">
            <w:pPr>
              <w:jc w:val="right"/>
              <w:textAlignment w:val="bottom"/>
            </w:pPr>
            <w:r>
              <w:rPr>
                <w:rFonts w:ascii="Arial" w:eastAsia="宋体" w:hAnsi="Arial" w:cs="Arial"/>
                <w:color w:val="000000"/>
                <w:sz w:val="15"/>
                <w:szCs w:val="15"/>
              </w:rPr>
              <w:t>(1,105)</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1F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1F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1F2" w14:textId="77777777" w:rsidR="003C66EB" w:rsidRDefault="00D96C4E">
            <w:pPr>
              <w:jc w:val="right"/>
              <w:textAlignment w:val="bottom"/>
            </w:pPr>
            <w:r>
              <w:rPr>
                <w:rFonts w:ascii="Arial" w:eastAsia="宋体" w:hAnsi="Arial" w:cs="Arial"/>
                <w:color w:val="000000"/>
                <w:sz w:val="15"/>
                <w:szCs w:val="15"/>
              </w:rPr>
              <w:t>4,699 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1F3" w14:textId="77777777" w:rsidR="003C66EB" w:rsidRDefault="003C66EB">
            <w:pPr>
              <w:jc w:val="right"/>
              <w:rPr>
                <w:rFonts w:ascii="宋体"/>
              </w:rPr>
            </w:pPr>
          </w:p>
        </w:tc>
      </w:tr>
      <w:tr w:rsidR="003C66EB" w14:paraId="5EA261FF" w14:textId="77777777">
        <w:tc>
          <w:tcPr>
            <w:tcW w:w="0" w:type="auto"/>
            <w:gridSpan w:val="3"/>
            <w:shd w:val="clear" w:color="auto" w:fill="CCEEFF"/>
            <w:tcMar>
              <w:top w:w="40" w:type="dxa"/>
              <w:left w:w="20" w:type="dxa"/>
              <w:bottom w:w="40" w:type="dxa"/>
              <w:right w:w="20" w:type="dxa"/>
            </w:tcMar>
            <w:vAlign w:val="bottom"/>
          </w:tcPr>
          <w:p w14:paraId="5EA261F5" w14:textId="77777777" w:rsidR="003C66EB" w:rsidRDefault="00D96C4E">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tcPr>
          <w:p w14:paraId="5EA261F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7"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9"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1FE" w14:textId="77777777" w:rsidR="003C66EB" w:rsidRDefault="003C66EB">
            <w:pPr>
              <w:rPr>
                <w:rFonts w:ascii="宋体"/>
              </w:rPr>
            </w:pPr>
          </w:p>
        </w:tc>
      </w:tr>
      <w:tr w:rsidR="003C66EB" w14:paraId="5EA2620F" w14:textId="77777777">
        <w:tc>
          <w:tcPr>
            <w:tcW w:w="0" w:type="auto"/>
            <w:gridSpan w:val="3"/>
            <w:shd w:val="clear" w:color="auto" w:fill="FFFFFF"/>
            <w:tcMar>
              <w:top w:w="40" w:type="dxa"/>
              <w:left w:w="20" w:type="dxa"/>
              <w:bottom w:w="40" w:type="dxa"/>
              <w:right w:w="20" w:type="dxa"/>
            </w:tcMar>
            <w:vAlign w:val="bottom"/>
          </w:tcPr>
          <w:p w14:paraId="5EA26200" w14:textId="77777777" w:rsidR="003C66EB" w:rsidRDefault="00D96C4E">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5EA26201" w14:textId="77777777" w:rsidR="003C66EB" w:rsidRDefault="00D96C4E">
            <w:pPr>
              <w:jc w:val="right"/>
              <w:textAlignment w:val="bottom"/>
            </w:pPr>
            <w:r>
              <w:rPr>
                <w:rFonts w:ascii="Arial" w:eastAsia="宋体" w:hAnsi="Arial" w:cs="Arial"/>
                <w:color w:val="000000"/>
                <w:sz w:val="15"/>
                <w:szCs w:val="15"/>
              </w:rPr>
              <w:t>174,461 </w:t>
            </w:r>
          </w:p>
        </w:tc>
        <w:tc>
          <w:tcPr>
            <w:tcW w:w="0" w:type="auto"/>
            <w:shd w:val="clear" w:color="auto" w:fill="FFFFFF"/>
            <w:tcMar>
              <w:top w:w="40" w:type="dxa"/>
              <w:left w:w="0" w:type="dxa"/>
              <w:bottom w:w="40" w:type="dxa"/>
              <w:right w:w="20" w:type="dxa"/>
            </w:tcMar>
            <w:vAlign w:val="bottom"/>
          </w:tcPr>
          <w:p w14:paraId="5EA2620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0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04" w14:textId="77777777" w:rsidR="003C66EB" w:rsidRDefault="00D96C4E">
            <w:pPr>
              <w:jc w:val="right"/>
              <w:textAlignment w:val="bottom"/>
            </w:pPr>
            <w:r>
              <w:rPr>
                <w:rFonts w:ascii="Arial" w:eastAsia="宋体" w:hAnsi="Arial" w:cs="Arial"/>
                <w:color w:val="000000"/>
                <w:sz w:val="15"/>
                <w:szCs w:val="15"/>
              </w:rPr>
              <w:t>(153,025)</w:t>
            </w:r>
          </w:p>
        </w:tc>
        <w:tc>
          <w:tcPr>
            <w:tcW w:w="0" w:type="auto"/>
            <w:shd w:val="clear" w:color="auto" w:fill="FFFFFF"/>
            <w:tcMar>
              <w:top w:w="40" w:type="dxa"/>
              <w:left w:w="0" w:type="dxa"/>
              <w:bottom w:w="40" w:type="dxa"/>
              <w:right w:w="20" w:type="dxa"/>
            </w:tcMar>
            <w:vAlign w:val="bottom"/>
          </w:tcPr>
          <w:p w14:paraId="5EA2620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0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07" w14:textId="77777777" w:rsidR="003C66EB" w:rsidRDefault="00D96C4E">
            <w:pPr>
              <w:jc w:val="right"/>
              <w:textAlignment w:val="bottom"/>
            </w:pPr>
            <w:r>
              <w:rPr>
                <w:rFonts w:ascii="Arial" w:eastAsia="宋体" w:hAnsi="Arial" w:cs="Arial"/>
                <w:color w:val="000000"/>
                <w:sz w:val="15"/>
                <w:szCs w:val="15"/>
              </w:rPr>
              <w:t>21,436 </w:t>
            </w:r>
          </w:p>
        </w:tc>
        <w:tc>
          <w:tcPr>
            <w:tcW w:w="0" w:type="auto"/>
            <w:shd w:val="clear" w:color="auto" w:fill="FFFFFF"/>
            <w:tcMar>
              <w:top w:w="40" w:type="dxa"/>
              <w:left w:w="0" w:type="dxa"/>
              <w:bottom w:w="40" w:type="dxa"/>
              <w:right w:w="20" w:type="dxa"/>
            </w:tcMar>
            <w:vAlign w:val="bottom"/>
          </w:tcPr>
          <w:p w14:paraId="5EA2620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0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0A" w14:textId="77777777" w:rsidR="003C66EB" w:rsidRDefault="00D96C4E">
            <w:pPr>
              <w:jc w:val="right"/>
              <w:textAlignment w:val="bottom"/>
            </w:pPr>
            <w:r>
              <w:rPr>
                <w:rFonts w:ascii="Arial" w:eastAsia="宋体" w:hAnsi="Arial" w:cs="Arial"/>
                <w:color w:val="000000"/>
                <w:sz w:val="15"/>
                <w:szCs w:val="15"/>
              </w:rPr>
              <w:t>(20,568)</w:t>
            </w:r>
          </w:p>
        </w:tc>
        <w:tc>
          <w:tcPr>
            <w:tcW w:w="0" w:type="auto"/>
            <w:shd w:val="clear" w:color="auto" w:fill="FFFFFF"/>
            <w:tcMar>
              <w:top w:w="40" w:type="dxa"/>
              <w:left w:w="0" w:type="dxa"/>
              <w:bottom w:w="40" w:type="dxa"/>
              <w:right w:w="20" w:type="dxa"/>
            </w:tcMar>
            <w:vAlign w:val="bottom"/>
          </w:tcPr>
          <w:p w14:paraId="5EA262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0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0D" w14:textId="77777777" w:rsidR="003C66EB" w:rsidRDefault="00D96C4E">
            <w:pPr>
              <w:jc w:val="right"/>
              <w:textAlignment w:val="bottom"/>
            </w:pPr>
            <w:r>
              <w:rPr>
                <w:rFonts w:ascii="Arial" w:eastAsia="宋体" w:hAnsi="Arial" w:cs="Arial"/>
                <w:color w:val="000000"/>
                <w:sz w:val="15"/>
                <w:szCs w:val="15"/>
              </w:rPr>
              <w:t>868 </w:t>
            </w:r>
          </w:p>
        </w:tc>
        <w:tc>
          <w:tcPr>
            <w:tcW w:w="0" w:type="auto"/>
            <w:shd w:val="clear" w:color="auto" w:fill="FFFFFF"/>
            <w:tcMar>
              <w:top w:w="40" w:type="dxa"/>
              <w:left w:w="0" w:type="dxa"/>
              <w:bottom w:w="40" w:type="dxa"/>
              <w:right w:w="20" w:type="dxa"/>
            </w:tcMar>
            <w:vAlign w:val="bottom"/>
          </w:tcPr>
          <w:p w14:paraId="5EA2620E" w14:textId="77777777" w:rsidR="003C66EB" w:rsidRDefault="003C66EB">
            <w:pPr>
              <w:jc w:val="right"/>
              <w:rPr>
                <w:rFonts w:ascii="宋体"/>
              </w:rPr>
            </w:pPr>
          </w:p>
        </w:tc>
      </w:tr>
      <w:tr w:rsidR="003C66EB" w14:paraId="5EA26224" w14:textId="77777777">
        <w:tc>
          <w:tcPr>
            <w:tcW w:w="0" w:type="auto"/>
            <w:gridSpan w:val="3"/>
            <w:shd w:val="clear" w:color="auto" w:fill="CCEEFF"/>
            <w:tcMar>
              <w:top w:w="40" w:type="dxa"/>
              <w:left w:w="20" w:type="dxa"/>
              <w:bottom w:w="40" w:type="dxa"/>
              <w:right w:w="20" w:type="dxa"/>
            </w:tcMar>
            <w:vAlign w:val="bottom"/>
          </w:tcPr>
          <w:p w14:paraId="5EA26210" w14:textId="77777777" w:rsidR="003C66EB" w:rsidRDefault="00D96C4E">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21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212" w14:textId="77777777" w:rsidR="003C66EB" w:rsidRDefault="00D96C4E">
            <w:pPr>
              <w:jc w:val="right"/>
              <w:textAlignment w:val="bottom"/>
            </w:pPr>
            <w:r>
              <w:rPr>
                <w:rFonts w:ascii="Arial" w:eastAsia="宋体" w:hAnsi="Arial" w:cs="Arial"/>
                <w:color w:val="000000"/>
                <w:sz w:val="15"/>
                <w:szCs w:val="15"/>
              </w:rPr>
              <w:t>200,405 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21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14"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21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216" w14:textId="77777777" w:rsidR="003C66EB" w:rsidRDefault="00D96C4E">
            <w:pPr>
              <w:jc w:val="right"/>
              <w:textAlignment w:val="bottom"/>
            </w:pPr>
            <w:r>
              <w:rPr>
                <w:rFonts w:ascii="Arial" w:eastAsia="宋体" w:hAnsi="Arial" w:cs="Arial"/>
                <w:color w:val="000000"/>
                <w:sz w:val="15"/>
                <w:szCs w:val="15"/>
              </w:rPr>
              <w:t>(173,165)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2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18"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219"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21A" w14:textId="77777777" w:rsidR="003C66EB" w:rsidRDefault="00D96C4E">
            <w:pPr>
              <w:jc w:val="right"/>
              <w:textAlignment w:val="bottom"/>
            </w:pPr>
            <w:r>
              <w:rPr>
                <w:rFonts w:ascii="Arial" w:eastAsia="宋体" w:hAnsi="Arial" w:cs="Arial"/>
                <w:color w:val="000000"/>
                <w:sz w:val="15"/>
                <w:szCs w:val="15"/>
              </w:rPr>
              <w:t>27,240 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2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1C"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21D"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21E" w14:textId="77777777" w:rsidR="003C66EB" w:rsidRDefault="00D96C4E">
            <w:pPr>
              <w:jc w:val="right"/>
              <w:textAlignment w:val="bottom"/>
            </w:pPr>
            <w:r>
              <w:rPr>
                <w:rFonts w:ascii="Arial" w:eastAsia="宋体" w:hAnsi="Arial" w:cs="Arial"/>
                <w:color w:val="000000"/>
                <w:sz w:val="15"/>
                <w:szCs w:val="15"/>
              </w:rPr>
              <w:t>(21,673)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2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20"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221"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222" w14:textId="77777777" w:rsidR="003C66EB" w:rsidRDefault="00D96C4E">
            <w:pPr>
              <w:jc w:val="right"/>
              <w:textAlignment w:val="bottom"/>
            </w:pPr>
            <w:r>
              <w:rPr>
                <w:rFonts w:ascii="Arial" w:eastAsia="宋体" w:hAnsi="Arial" w:cs="Arial"/>
                <w:color w:val="000000"/>
                <w:sz w:val="15"/>
                <w:szCs w:val="15"/>
              </w:rPr>
              <w:t>5,567 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223" w14:textId="77777777" w:rsidR="003C66EB" w:rsidRDefault="003C66EB">
            <w:pPr>
              <w:jc w:val="right"/>
              <w:rPr>
                <w:rFonts w:ascii="宋体"/>
              </w:rPr>
            </w:pPr>
          </w:p>
        </w:tc>
      </w:tr>
    </w:tbl>
    <w:p w14:paraId="5EA26225"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3C66EB" w14:paraId="5EA26235" w14:textId="77777777">
        <w:tc>
          <w:tcPr>
            <w:tcW w:w="50" w:type="pct"/>
            <w:shd w:val="clear" w:color="auto" w:fill="auto"/>
          </w:tcPr>
          <w:p w14:paraId="5EA26226" w14:textId="77777777" w:rsidR="003C66EB" w:rsidRDefault="003C66EB">
            <w:pPr>
              <w:rPr>
                <w:rFonts w:ascii="宋体"/>
              </w:rPr>
            </w:pPr>
          </w:p>
        </w:tc>
        <w:tc>
          <w:tcPr>
            <w:tcW w:w="1348" w:type="pct"/>
            <w:shd w:val="clear" w:color="auto" w:fill="auto"/>
          </w:tcPr>
          <w:p w14:paraId="5EA26227" w14:textId="77777777" w:rsidR="003C66EB" w:rsidRDefault="003C66EB">
            <w:pPr>
              <w:rPr>
                <w:rFonts w:ascii="宋体"/>
              </w:rPr>
            </w:pPr>
          </w:p>
        </w:tc>
        <w:tc>
          <w:tcPr>
            <w:tcW w:w="5" w:type="pct"/>
            <w:shd w:val="clear" w:color="auto" w:fill="auto"/>
          </w:tcPr>
          <w:p w14:paraId="5EA26228" w14:textId="77777777" w:rsidR="003C66EB" w:rsidRDefault="003C66EB">
            <w:pPr>
              <w:rPr>
                <w:rFonts w:ascii="宋体"/>
              </w:rPr>
            </w:pPr>
          </w:p>
        </w:tc>
        <w:tc>
          <w:tcPr>
            <w:tcW w:w="50" w:type="pct"/>
            <w:shd w:val="clear" w:color="auto" w:fill="auto"/>
          </w:tcPr>
          <w:p w14:paraId="5EA26229" w14:textId="77777777" w:rsidR="003C66EB" w:rsidRDefault="003C66EB">
            <w:pPr>
              <w:rPr>
                <w:rFonts w:ascii="宋体"/>
              </w:rPr>
            </w:pPr>
          </w:p>
        </w:tc>
        <w:tc>
          <w:tcPr>
            <w:tcW w:w="1048" w:type="pct"/>
            <w:shd w:val="clear" w:color="auto" w:fill="auto"/>
          </w:tcPr>
          <w:p w14:paraId="5EA2622A" w14:textId="77777777" w:rsidR="003C66EB" w:rsidRDefault="003C66EB">
            <w:pPr>
              <w:rPr>
                <w:rFonts w:ascii="宋体"/>
              </w:rPr>
            </w:pPr>
          </w:p>
        </w:tc>
        <w:tc>
          <w:tcPr>
            <w:tcW w:w="5" w:type="pct"/>
            <w:shd w:val="clear" w:color="auto" w:fill="auto"/>
          </w:tcPr>
          <w:p w14:paraId="5EA2622B" w14:textId="77777777" w:rsidR="003C66EB" w:rsidRDefault="003C66EB">
            <w:pPr>
              <w:rPr>
                <w:rFonts w:ascii="宋体"/>
              </w:rPr>
            </w:pPr>
          </w:p>
        </w:tc>
        <w:tc>
          <w:tcPr>
            <w:tcW w:w="50" w:type="pct"/>
            <w:shd w:val="clear" w:color="auto" w:fill="auto"/>
          </w:tcPr>
          <w:p w14:paraId="5EA2622C" w14:textId="77777777" w:rsidR="003C66EB" w:rsidRDefault="003C66EB">
            <w:pPr>
              <w:rPr>
                <w:rFonts w:ascii="宋体"/>
              </w:rPr>
            </w:pPr>
          </w:p>
        </w:tc>
        <w:tc>
          <w:tcPr>
            <w:tcW w:w="917" w:type="pct"/>
            <w:shd w:val="clear" w:color="auto" w:fill="auto"/>
          </w:tcPr>
          <w:p w14:paraId="5EA2622D" w14:textId="77777777" w:rsidR="003C66EB" w:rsidRDefault="003C66EB">
            <w:pPr>
              <w:rPr>
                <w:rFonts w:ascii="宋体"/>
              </w:rPr>
            </w:pPr>
          </w:p>
        </w:tc>
        <w:tc>
          <w:tcPr>
            <w:tcW w:w="5" w:type="pct"/>
            <w:shd w:val="clear" w:color="auto" w:fill="auto"/>
          </w:tcPr>
          <w:p w14:paraId="5EA2622E" w14:textId="77777777" w:rsidR="003C66EB" w:rsidRDefault="003C66EB">
            <w:pPr>
              <w:rPr>
                <w:rFonts w:ascii="宋体"/>
              </w:rPr>
            </w:pPr>
          </w:p>
        </w:tc>
        <w:tc>
          <w:tcPr>
            <w:tcW w:w="50" w:type="pct"/>
            <w:shd w:val="clear" w:color="auto" w:fill="auto"/>
          </w:tcPr>
          <w:p w14:paraId="5EA2622F" w14:textId="77777777" w:rsidR="003C66EB" w:rsidRDefault="003C66EB">
            <w:pPr>
              <w:rPr>
                <w:rFonts w:ascii="宋体"/>
              </w:rPr>
            </w:pPr>
          </w:p>
        </w:tc>
        <w:tc>
          <w:tcPr>
            <w:tcW w:w="917" w:type="pct"/>
            <w:shd w:val="clear" w:color="auto" w:fill="auto"/>
          </w:tcPr>
          <w:p w14:paraId="5EA26230" w14:textId="77777777" w:rsidR="003C66EB" w:rsidRDefault="003C66EB">
            <w:pPr>
              <w:rPr>
                <w:rFonts w:ascii="宋体"/>
              </w:rPr>
            </w:pPr>
          </w:p>
        </w:tc>
        <w:tc>
          <w:tcPr>
            <w:tcW w:w="5" w:type="pct"/>
            <w:shd w:val="clear" w:color="auto" w:fill="auto"/>
          </w:tcPr>
          <w:p w14:paraId="5EA26231" w14:textId="77777777" w:rsidR="003C66EB" w:rsidRDefault="003C66EB">
            <w:pPr>
              <w:rPr>
                <w:rFonts w:ascii="宋体"/>
              </w:rPr>
            </w:pPr>
          </w:p>
        </w:tc>
        <w:tc>
          <w:tcPr>
            <w:tcW w:w="50" w:type="pct"/>
            <w:shd w:val="clear" w:color="auto" w:fill="auto"/>
          </w:tcPr>
          <w:p w14:paraId="5EA26232" w14:textId="77777777" w:rsidR="003C66EB" w:rsidRDefault="003C66EB">
            <w:pPr>
              <w:rPr>
                <w:rFonts w:ascii="宋体"/>
              </w:rPr>
            </w:pPr>
          </w:p>
        </w:tc>
        <w:tc>
          <w:tcPr>
            <w:tcW w:w="493" w:type="pct"/>
            <w:shd w:val="clear" w:color="auto" w:fill="auto"/>
          </w:tcPr>
          <w:p w14:paraId="5EA26233" w14:textId="77777777" w:rsidR="003C66EB" w:rsidRDefault="003C66EB">
            <w:pPr>
              <w:rPr>
                <w:rFonts w:ascii="宋体"/>
              </w:rPr>
            </w:pPr>
          </w:p>
        </w:tc>
        <w:tc>
          <w:tcPr>
            <w:tcW w:w="5" w:type="pct"/>
            <w:shd w:val="clear" w:color="auto" w:fill="auto"/>
          </w:tcPr>
          <w:p w14:paraId="5EA26234" w14:textId="77777777" w:rsidR="003C66EB" w:rsidRDefault="003C66EB">
            <w:pPr>
              <w:rPr>
                <w:rFonts w:ascii="宋体"/>
              </w:rPr>
            </w:pPr>
          </w:p>
        </w:tc>
      </w:tr>
      <w:tr w:rsidR="003C66EB" w14:paraId="5EA2623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623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3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3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3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3A" w14:textId="77777777" w:rsidR="003C66EB" w:rsidRDefault="003C66EB">
            <w:pPr>
              <w:rPr>
                <w:rFonts w:ascii="宋体"/>
              </w:rPr>
            </w:pPr>
          </w:p>
        </w:tc>
      </w:tr>
    </w:tbl>
    <w:p w14:paraId="5EA2623C" w14:textId="77777777" w:rsidR="003C66EB" w:rsidRDefault="00D96C4E">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5EA2623D" w14:textId="77777777" w:rsidR="003C66EB" w:rsidRDefault="00D96C4E">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Refer to Note 1 and Note 2 for additional information about the measurement basis of derivative </w:t>
      </w:r>
      <w:r>
        <w:rPr>
          <w:rFonts w:ascii="Arial" w:eastAsia="宋体" w:hAnsi="Arial" w:cs="Arial"/>
          <w:color w:val="000000"/>
          <w:sz w:val="14"/>
          <w:szCs w:val="14"/>
        </w:rPr>
        <w:t>instruments.</w:t>
      </w:r>
    </w:p>
    <w:p w14:paraId="5EA2623E" w14:textId="77777777" w:rsidR="003C66EB" w:rsidRDefault="00D96C4E">
      <w:pPr>
        <w:spacing w:before="2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subject to netting arrangements which have been determined to be legally enforceable and eligible for netting in the consolidated statement of condition.</w:t>
      </w:r>
    </w:p>
    <w:p w14:paraId="5EA2623F" w14:textId="77777777" w:rsidR="003C66EB" w:rsidRDefault="00D96C4E">
      <w:pPr>
        <w:spacing w:before="2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w:t>
      </w:r>
      <w:r>
        <w:rPr>
          <w:rFonts w:ascii="Arial" w:eastAsia="宋体" w:hAnsi="Arial" w:cs="Arial"/>
          <w:color w:val="000000"/>
          <w:sz w:val="14"/>
          <w:szCs w:val="14"/>
        </w:rPr>
        <w:t>ons.</w:t>
      </w:r>
    </w:p>
    <w:p w14:paraId="5EA26240" w14:textId="77777777" w:rsidR="003C66EB" w:rsidRDefault="00D96C4E">
      <w:pPr>
        <w:spacing w:before="2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secured by collateral not determined to be subject to enforceable netting arrangements.</w:t>
      </w:r>
    </w:p>
    <w:p w14:paraId="5EA26241" w14:textId="77777777" w:rsidR="003C66EB" w:rsidRDefault="00D96C4E">
      <w:pPr>
        <w:spacing w:before="2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5EA26242" w14:textId="77777777" w:rsidR="003C66EB" w:rsidRDefault="00D96C4E">
      <w:pPr>
        <w:spacing w:before="2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$30.01 billion as of March 31, 2021 were $5</w:t>
      </w:r>
      <w:r>
        <w:rPr>
          <w:rFonts w:ascii="Arial" w:eastAsia="宋体" w:hAnsi="Arial" w:cs="Arial"/>
          <w:color w:val="000000"/>
          <w:sz w:val="14"/>
          <w:szCs w:val="14"/>
        </w:rPr>
        <w:t xml:space="preserve">.24 billion of resale agreements and $24.77 billion of collateral provided related to securities borrowing. Included in the $21.44 billion as of December 31, 2020 were $3.11 billion of resale agreements and $18.33 billion of collateral provided related to </w:t>
      </w:r>
      <w:r>
        <w:rPr>
          <w:rFonts w:ascii="Arial" w:eastAsia="宋体" w:hAnsi="Arial" w:cs="Arial"/>
          <w:color w:val="000000"/>
          <w:sz w:val="14"/>
          <w:szCs w:val="14"/>
        </w:rPr>
        <w:t>securities borrowing. Resale agreements and collateral provided related to securities borrowing were recorded in securities purchased under resale agreements and other assets, respectively, in our consolidated statement of condition. Refer to Note 9 for ad</w:t>
      </w:r>
      <w:r>
        <w:rPr>
          <w:rFonts w:ascii="Arial" w:eastAsia="宋体" w:hAnsi="Arial" w:cs="Arial"/>
          <w:color w:val="000000"/>
          <w:sz w:val="14"/>
          <w:szCs w:val="14"/>
        </w:rPr>
        <w:t>ditional information with respect to principal securities finance transactions.</w:t>
      </w:r>
    </w:p>
    <w:p w14:paraId="5EA26243" w14:textId="77777777" w:rsidR="003C66EB" w:rsidRDefault="00D96C4E">
      <w:pPr>
        <w:spacing w:before="2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w:t>
      </w:r>
      <w:r>
        <w:rPr>
          <w:rFonts w:ascii="Arial" w:eastAsia="宋体" w:hAnsi="Arial" w:cs="Arial"/>
          <w:color w:val="000000"/>
          <w:sz w:val="14"/>
          <w:szCs w:val="14"/>
        </w:rPr>
        <w:t>m.</w:t>
      </w:r>
    </w:p>
    <w:p w14:paraId="5EA26244" w14:textId="77777777" w:rsidR="003C66EB" w:rsidRDefault="00D96C4E">
      <w:pPr>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5EA26245" w14:textId="77777777" w:rsidR="003C66EB" w:rsidRDefault="003C66EB">
      <w:pPr>
        <w:spacing w:before="60"/>
        <w:ind w:firstLine="450"/>
        <w:jc w:val="both"/>
      </w:pPr>
    </w:p>
    <w:p w14:paraId="5EA26246" w14:textId="77777777" w:rsidR="003C66EB" w:rsidRDefault="003C66EB">
      <w:pPr>
        <w:ind w:firstLine="450"/>
      </w:pPr>
    </w:p>
    <w:p w14:paraId="5EA26247" w14:textId="77777777" w:rsidR="003C66EB" w:rsidRDefault="00D96C4E">
      <w:pPr>
        <w:ind w:firstLine="450"/>
        <w:jc w:val="right"/>
      </w:pPr>
      <w:r>
        <w:rPr>
          <w:rFonts w:ascii="Arial" w:eastAsia="宋体" w:hAnsi="Arial" w:cs="Arial"/>
          <w:color w:val="000000"/>
          <w:sz w:val="18"/>
          <w:szCs w:val="18"/>
        </w:rPr>
        <w:t>State Street Corporation | 72</w:t>
      </w:r>
    </w:p>
    <w:p w14:paraId="5EA26248" w14:textId="77777777" w:rsidR="003C66EB" w:rsidRDefault="003C66EB">
      <w:pPr>
        <w:ind w:firstLine="450"/>
        <w:jc w:val="center"/>
      </w:pPr>
    </w:p>
    <w:p w14:paraId="5EA26249" w14:textId="77777777" w:rsidR="003C66EB" w:rsidRDefault="00D96C4E">
      <w:r>
        <w:pict w14:anchorId="5EA287F8">
          <v:rect id="_x0000_i1096" style="width:415.3pt;height:1.5pt" o:hralign="center" o:hrstd="t" o:hr="t" fillcolor="#a0a0a0" stroked="f"/>
        </w:pict>
      </w:r>
    </w:p>
    <w:p w14:paraId="5EA2624A" w14:textId="77777777" w:rsidR="003C66EB" w:rsidRDefault="00D96C4E">
      <w:pPr>
        <w:ind w:firstLine="450"/>
        <w:jc w:val="center"/>
      </w:pPr>
      <w:r>
        <w:rPr>
          <w:rFonts w:ascii="Arial" w:eastAsia="宋体" w:hAnsi="Arial" w:cs="Arial"/>
          <w:b/>
          <w:bCs/>
          <w:color w:val="000000"/>
          <w:sz w:val="20"/>
          <w:szCs w:val="20"/>
        </w:rPr>
        <w:t>STATE STREET CORPORATION</w:t>
      </w:r>
    </w:p>
    <w:p w14:paraId="5EA2624B"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24C" w14:textId="77777777" w:rsidR="003C66EB" w:rsidRDefault="00D96C4E">
      <w:pPr>
        <w:ind w:firstLine="450"/>
        <w:jc w:val="center"/>
      </w:pPr>
      <w:r>
        <w:rPr>
          <w:rFonts w:ascii="Arial" w:eastAsia="宋体" w:hAnsi="Arial" w:cs="Arial"/>
          <w:b/>
          <w:bCs/>
          <w:color w:val="000000"/>
          <w:sz w:val="20"/>
          <w:szCs w:val="20"/>
        </w:rPr>
        <w:t>(UNAUDITED)</w:t>
      </w:r>
    </w:p>
    <w:p w14:paraId="5EA2624D" w14:textId="77777777" w:rsidR="003C66EB" w:rsidRDefault="00D96C4E">
      <w:pPr>
        <w:ind w:firstLine="450"/>
      </w:pPr>
      <w:r>
        <w:rPr>
          <w:rFonts w:ascii="Arial" w:eastAsia="宋体" w:hAnsi="Arial" w:cs="Arial"/>
          <w:color w:val="000000"/>
          <w:sz w:val="20"/>
          <w:szCs w:val="20"/>
        </w:rPr>
        <w:t xml:space="preserve">The following tables present information about the offsetting of liabilities related to derivative </w:t>
      </w:r>
      <w:r>
        <w:rPr>
          <w:rFonts w:ascii="Arial" w:eastAsia="宋体" w:hAnsi="Arial" w:cs="Arial"/>
          <w:color w:val="000000"/>
          <w:sz w:val="20"/>
          <w:szCs w:val="20"/>
        </w:rPr>
        <w:t>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3C66EB" w14:paraId="5EA26271" w14:textId="77777777">
        <w:tc>
          <w:tcPr>
            <w:tcW w:w="50" w:type="pct"/>
            <w:shd w:val="clear" w:color="auto" w:fill="auto"/>
          </w:tcPr>
          <w:p w14:paraId="5EA2624E" w14:textId="77777777" w:rsidR="003C66EB" w:rsidRDefault="003C66EB">
            <w:pPr>
              <w:rPr>
                <w:rFonts w:ascii="宋体"/>
              </w:rPr>
            </w:pPr>
          </w:p>
        </w:tc>
        <w:tc>
          <w:tcPr>
            <w:tcW w:w="1165" w:type="pct"/>
            <w:shd w:val="clear" w:color="auto" w:fill="auto"/>
          </w:tcPr>
          <w:p w14:paraId="5EA2624F" w14:textId="77777777" w:rsidR="003C66EB" w:rsidRDefault="003C66EB">
            <w:pPr>
              <w:rPr>
                <w:rFonts w:ascii="宋体"/>
              </w:rPr>
            </w:pPr>
          </w:p>
        </w:tc>
        <w:tc>
          <w:tcPr>
            <w:tcW w:w="5" w:type="pct"/>
            <w:shd w:val="clear" w:color="auto" w:fill="auto"/>
          </w:tcPr>
          <w:p w14:paraId="5EA26250" w14:textId="77777777" w:rsidR="003C66EB" w:rsidRDefault="003C66EB">
            <w:pPr>
              <w:rPr>
                <w:rFonts w:ascii="宋体"/>
              </w:rPr>
            </w:pPr>
          </w:p>
        </w:tc>
        <w:tc>
          <w:tcPr>
            <w:tcW w:w="50" w:type="pct"/>
            <w:shd w:val="clear" w:color="auto" w:fill="auto"/>
          </w:tcPr>
          <w:p w14:paraId="5EA26251" w14:textId="77777777" w:rsidR="003C66EB" w:rsidRDefault="003C66EB">
            <w:pPr>
              <w:rPr>
                <w:rFonts w:ascii="宋体"/>
              </w:rPr>
            </w:pPr>
          </w:p>
        </w:tc>
        <w:tc>
          <w:tcPr>
            <w:tcW w:w="639" w:type="pct"/>
            <w:shd w:val="clear" w:color="auto" w:fill="auto"/>
          </w:tcPr>
          <w:p w14:paraId="5EA26252" w14:textId="77777777" w:rsidR="003C66EB" w:rsidRDefault="003C66EB">
            <w:pPr>
              <w:rPr>
                <w:rFonts w:ascii="宋体"/>
              </w:rPr>
            </w:pPr>
          </w:p>
        </w:tc>
        <w:tc>
          <w:tcPr>
            <w:tcW w:w="5" w:type="pct"/>
            <w:shd w:val="clear" w:color="auto" w:fill="auto"/>
          </w:tcPr>
          <w:p w14:paraId="5EA26253" w14:textId="77777777" w:rsidR="003C66EB" w:rsidRDefault="003C66EB">
            <w:pPr>
              <w:rPr>
                <w:rFonts w:ascii="宋体"/>
              </w:rPr>
            </w:pPr>
          </w:p>
        </w:tc>
        <w:tc>
          <w:tcPr>
            <w:tcW w:w="5" w:type="pct"/>
            <w:shd w:val="clear" w:color="auto" w:fill="auto"/>
          </w:tcPr>
          <w:p w14:paraId="5EA26254" w14:textId="77777777" w:rsidR="003C66EB" w:rsidRDefault="003C66EB">
            <w:pPr>
              <w:rPr>
                <w:rFonts w:ascii="宋体"/>
              </w:rPr>
            </w:pPr>
          </w:p>
        </w:tc>
        <w:tc>
          <w:tcPr>
            <w:tcW w:w="26" w:type="pct"/>
            <w:shd w:val="clear" w:color="auto" w:fill="auto"/>
          </w:tcPr>
          <w:p w14:paraId="5EA26255" w14:textId="77777777" w:rsidR="003C66EB" w:rsidRDefault="003C66EB">
            <w:pPr>
              <w:rPr>
                <w:rFonts w:ascii="宋体"/>
              </w:rPr>
            </w:pPr>
          </w:p>
        </w:tc>
        <w:tc>
          <w:tcPr>
            <w:tcW w:w="5" w:type="pct"/>
            <w:shd w:val="clear" w:color="auto" w:fill="auto"/>
          </w:tcPr>
          <w:p w14:paraId="5EA26256" w14:textId="77777777" w:rsidR="003C66EB" w:rsidRDefault="003C66EB">
            <w:pPr>
              <w:rPr>
                <w:rFonts w:ascii="宋体"/>
              </w:rPr>
            </w:pPr>
          </w:p>
        </w:tc>
        <w:tc>
          <w:tcPr>
            <w:tcW w:w="50" w:type="pct"/>
            <w:shd w:val="clear" w:color="auto" w:fill="auto"/>
          </w:tcPr>
          <w:p w14:paraId="5EA26257" w14:textId="77777777" w:rsidR="003C66EB" w:rsidRDefault="003C66EB">
            <w:pPr>
              <w:rPr>
                <w:rFonts w:ascii="宋体"/>
              </w:rPr>
            </w:pPr>
          </w:p>
        </w:tc>
        <w:tc>
          <w:tcPr>
            <w:tcW w:w="756" w:type="pct"/>
            <w:shd w:val="clear" w:color="auto" w:fill="auto"/>
          </w:tcPr>
          <w:p w14:paraId="5EA26258" w14:textId="77777777" w:rsidR="003C66EB" w:rsidRDefault="003C66EB">
            <w:pPr>
              <w:rPr>
                <w:rFonts w:ascii="宋体"/>
              </w:rPr>
            </w:pPr>
          </w:p>
        </w:tc>
        <w:tc>
          <w:tcPr>
            <w:tcW w:w="5" w:type="pct"/>
            <w:shd w:val="clear" w:color="auto" w:fill="auto"/>
          </w:tcPr>
          <w:p w14:paraId="5EA26259" w14:textId="77777777" w:rsidR="003C66EB" w:rsidRDefault="003C66EB">
            <w:pPr>
              <w:rPr>
                <w:rFonts w:ascii="宋体"/>
              </w:rPr>
            </w:pPr>
          </w:p>
        </w:tc>
        <w:tc>
          <w:tcPr>
            <w:tcW w:w="5" w:type="pct"/>
            <w:shd w:val="clear" w:color="auto" w:fill="auto"/>
          </w:tcPr>
          <w:p w14:paraId="5EA2625A" w14:textId="77777777" w:rsidR="003C66EB" w:rsidRDefault="003C66EB">
            <w:pPr>
              <w:rPr>
                <w:rFonts w:ascii="宋体"/>
              </w:rPr>
            </w:pPr>
          </w:p>
        </w:tc>
        <w:tc>
          <w:tcPr>
            <w:tcW w:w="26" w:type="pct"/>
            <w:shd w:val="clear" w:color="auto" w:fill="auto"/>
          </w:tcPr>
          <w:p w14:paraId="5EA2625B" w14:textId="77777777" w:rsidR="003C66EB" w:rsidRDefault="003C66EB">
            <w:pPr>
              <w:rPr>
                <w:rFonts w:ascii="宋体"/>
              </w:rPr>
            </w:pPr>
          </w:p>
        </w:tc>
        <w:tc>
          <w:tcPr>
            <w:tcW w:w="5" w:type="pct"/>
            <w:shd w:val="clear" w:color="auto" w:fill="auto"/>
          </w:tcPr>
          <w:p w14:paraId="5EA2625C" w14:textId="77777777" w:rsidR="003C66EB" w:rsidRDefault="003C66EB">
            <w:pPr>
              <w:rPr>
                <w:rFonts w:ascii="宋体"/>
              </w:rPr>
            </w:pPr>
          </w:p>
        </w:tc>
        <w:tc>
          <w:tcPr>
            <w:tcW w:w="50" w:type="pct"/>
            <w:shd w:val="clear" w:color="auto" w:fill="auto"/>
          </w:tcPr>
          <w:p w14:paraId="5EA2625D" w14:textId="77777777" w:rsidR="003C66EB" w:rsidRDefault="003C66EB">
            <w:pPr>
              <w:rPr>
                <w:rFonts w:ascii="宋体"/>
              </w:rPr>
            </w:pPr>
          </w:p>
        </w:tc>
        <w:tc>
          <w:tcPr>
            <w:tcW w:w="814" w:type="pct"/>
            <w:shd w:val="clear" w:color="auto" w:fill="auto"/>
          </w:tcPr>
          <w:p w14:paraId="5EA2625E" w14:textId="77777777" w:rsidR="003C66EB" w:rsidRDefault="003C66EB">
            <w:pPr>
              <w:rPr>
                <w:rFonts w:ascii="宋体"/>
              </w:rPr>
            </w:pPr>
          </w:p>
        </w:tc>
        <w:tc>
          <w:tcPr>
            <w:tcW w:w="5" w:type="pct"/>
            <w:shd w:val="clear" w:color="auto" w:fill="auto"/>
          </w:tcPr>
          <w:p w14:paraId="5EA2625F" w14:textId="77777777" w:rsidR="003C66EB" w:rsidRDefault="003C66EB">
            <w:pPr>
              <w:rPr>
                <w:rFonts w:ascii="宋体"/>
              </w:rPr>
            </w:pPr>
          </w:p>
        </w:tc>
        <w:tc>
          <w:tcPr>
            <w:tcW w:w="5" w:type="pct"/>
            <w:shd w:val="clear" w:color="auto" w:fill="auto"/>
          </w:tcPr>
          <w:p w14:paraId="5EA26260" w14:textId="77777777" w:rsidR="003C66EB" w:rsidRDefault="003C66EB">
            <w:pPr>
              <w:rPr>
                <w:rFonts w:ascii="宋体"/>
              </w:rPr>
            </w:pPr>
          </w:p>
        </w:tc>
        <w:tc>
          <w:tcPr>
            <w:tcW w:w="26" w:type="pct"/>
            <w:shd w:val="clear" w:color="auto" w:fill="auto"/>
          </w:tcPr>
          <w:p w14:paraId="5EA26261" w14:textId="77777777" w:rsidR="003C66EB" w:rsidRDefault="003C66EB">
            <w:pPr>
              <w:rPr>
                <w:rFonts w:ascii="宋体"/>
              </w:rPr>
            </w:pPr>
          </w:p>
        </w:tc>
        <w:tc>
          <w:tcPr>
            <w:tcW w:w="5" w:type="pct"/>
            <w:shd w:val="clear" w:color="auto" w:fill="auto"/>
          </w:tcPr>
          <w:p w14:paraId="5EA26262" w14:textId="77777777" w:rsidR="003C66EB" w:rsidRDefault="003C66EB">
            <w:pPr>
              <w:rPr>
                <w:rFonts w:ascii="宋体"/>
              </w:rPr>
            </w:pPr>
          </w:p>
        </w:tc>
        <w:tc>
          <w:tcPr>
            <w:tcW w:w="50" w:type="pct"/>
            <w:shd w:val="clear" w:color="auto" w:fill="auto"/>
          </w:tcPr>
          <w:p w14:paraId="5EA26263" w14:textId="77777777" w:rsidR="003C66EB" w:rsidRDefault="003C66EB">
            <w:pPr>
              <w:rPr>
                <w:rFonts w:ascii="宋体"/>
              </w:rPr>
            </w:pPr>
          </w:p>
        </w:tc>
        <w:tc>
          <w:tcPr>
            <w:tcW w:w="668" w:type="pct"/>
            <w:shd w:val="clear" w:color="auto" w:fill="auto"/>
          </w:tcPr>
          <w:p w14:paraId="5EA26264" w14:textId="77777777" w:rsidR="003C66EB" w:rsidRDefault="003C66EB">
            <w:pPr>
              <w:rPr>
                <w:rFonts w:ascii="宋体"/>
              </w:rPr>
            </w:pPr>
          </w:p>
        </w:tc>
        <w:tc>
          <w:tcPr>
            <w:tcW w:w="5" w:type="pct"/>
            <w:shd w:val="clear" w:color="auto" w:fill="auto"/>
          </w:tcPr>
          <w:p w14:paraId="5EA26265" w14:textId="77777777" w:rsidR="003C66EB" w:rsidRDefault="003C66EB">
            <w:pPr>
              <w:rPr>
                <w:rFonts w:ascii="宋体"/>
              </w:rPr>
            </w:pPr>
          </w:p>
        </w:tc>
        <w:tc>
          <w:tcPr>
            <w:tcW w:w="5" w:type="pct"/>
            <w:shd w:val="clear" w:color="auto" w:fill="auto"/>
          </w:tcPr>
          <w:p w14:paraId="5EA26266" w14:textId="77777777" w:rsidR="003C66EB" w:rsidRDefault="003C66EB">
            <w:pPr>
              <w:rPr>
                <w:rFonts w:ascii="宋体"/>
              </w:rPr>
            </w:pPr>
          </w:p>
        </w:tc>
        <w:tc>
          <w:tcPr>
            <w:tcW w:w="26" w:type="pct"/>
            <w:shd w:val="clear" w:color="auto" w:fill="auto"/>
          </w:tcPr>
          <w:p w14:paraId="5EA26267" w14:textId="77777777" w:rsidR="003C66EB" w:rsidRDefault="003C66EB">
            <w:pPr>
              <w:rPr>
                <w:rFonts w:ascii="宋体"/>
              </w:rPr>
            </w:pPr>
          </w:p>
        </w:tc>
        <w:tc>
          <w:tcPr>
            <w:tcW w:w="5" w:type="pct"/>
            <w:shd w:val="clear" w:color="auto" w:fill="auto"/>
          </w:tcPr>
          <w:p w14:paraId="5EA26268" w14:textId="77777777" w:rsidR="003C66EB" w:rsidRDefault="003C66EB">
            <w:pPr>
              <w:rPr>
                <w:rFonts w:ascii="宋体"/>
              </w:rPr>
            </w:pPr>
          </w:p>
        </w:tc>
        <w:tc>
          <w:tcPr>
            <w:tcW w:w="50" w:type="pct"/>
            <w:shd w:val="clear" w:color="auto" w:fill="auto"/>
          </w:tcPr>
          <w:p w14:paraId="5EA26269" w14:textId="77777777" w:rsidR="003C66EB" w:rsidRDefault="003C66EB">
            <w:pPr>
              <w:rPr>
                <w:rFonts w:ascii="宋体"/>
              </w:rPr>
            </w:pPr>
          </w:p>
        </w:tc>
        <w:tc>
          <w:tcPr>
            <w:tcW w:w="478" w:type="pct"/>
            <w:shd w:val="clear" w:color="auto" w:fill="auto"/>
          </w:tcPr>
          <w:p w14:paraId="5EA2626A" w14:textId="77777777" w:rsidR="003C66EB" w:rsidRDefault="003C66EB">
            <w:pPr>
              <w:rPr>
                <w:rFonts w:ascii="宋体"/>
              </w:rPr>
            </w:pPr>
          </w:p>
        </w:tc>
        <w:tc>
          <w:tcPr>
            <w:tcW w:w="5" w:type="pct"/>
            <w:shd w:val="clear" w:color="auto" w:fill="auto"/>
          </w:tcPr>
          <w:p w14:paraId="5EA2626B" w14:textId="77777777" w:rsidR="003C66EB" w:rsidRDefault="003C66EB">
            <w:pPr>
              <w:rPr>
                <w:rFonts w:ascii="宋体"/>
              </w:rPr>
            </w:pPr>
          </w:p>
        </w:tc>
        <w:tc>
          <w:tcPr>
            <w:tcW w:w="0" w:type="auto"/>
            <w:shd w:val="clear" w:color="auto" w:fill="auto"/>
          </w:tcPr>
          <w:p w14:paraId="5EA2626C" w14:textId="77777777" w:rsidR="003C66EB" w:rsidRDefault="003C66EB">
            <w:pPr>
              <w:rPr>
                <w:rFonts w:ascii="宋体"/>
                <w:vanish/>
              </w:rPr>
            </w:pPr>
          </w:p>
        </w:tc>
        <w:tc>
          <w:tcPr>
            <w:tcW w:w="0" w:type="auto"/>
            <w:gridSpan w:val="3"/>
            <w:shd w:val="clear" w:color="auto" w:fill="auto"/>
          </w:tcPr>
          <w:p w14:paraId="5EA2626D" w14:textId="77777777" w:rsidR="003C66EB" w:rsidRDefault="003C66EB">
            <w:pPr>
              <w:rPr>
                <w:rFonts w:ascii="宋体"/>
                <w:vanish/>
              </w:rPr>
            </w:pPr>
          </w:p>
        </w:tc>
        <w:tc>
          <w:tcPr>
            <w:tcW w:w="0" w:type="auto"/>
            <w:gridSpan w:val="3"/>
            <w:shd w:val="clear" w:color="auto" w:fill="auto"/>
          </w:tcPr>
          <w:p w14:paraId="5EA2626E" w14:textId="77777777" w:rsidR="003C66EB" w:rsidRDefault="003C66EB">
            <w:pPr>
              <w:rPr>
                <w:rFonts w:ascii="宋体"/>
                <w:vanish/>
              </w:rPr>
            </w:pPr>
          </w:p>
        </w:tc>
        <w:tc>
          <w:tcPr>
            <w:tcW w:w="0" w:type="auto"/>
            <w:gridSpan w:val="3"/>
            <w:shd w:val="clear" w:color="auto" w:fill="auto"/>
          </w:tcPr>
          <w:p w14:paraId="5EA2626F" w14:textId="77777777" w:rsidR="003C66EB" w:rsidRDefault="003C66EB">
            <w:pPr>
              <w:rPr>
                <w:rFonts w:ascii="宋体"/>
                <w:vanish/>
              </w:rPr>
            </w:pPr>
          </w:p>
        </w:tc>
        <w:tc>
          <w:tcPr>
            <w:tcW w:w="0" w:type="auto"/>
            <w:gridSpan w:val="3"/>
            <w:shd w:val="clear" w:color="auto" w:fill="auto"/>
          </w:tcPr>
          <w:p w14:paraId="5EA26270" w14:textId="77777777" w:rsidR="003C66EB" w:rsidRDefault="003C66EB">
            <w:pPr>
              <w:rPr>
                <w:rFonts w:ascii="宋体"/>
                <w:vanish/>
              </w:rPr>
            </w:pPr>
          </w:p>
        </w:tc>
      </w:tr>
      <w:tr w:rsidR="003C66EB" w14:paraId="5EA26281" w14:textId="77777777">
        <w:tc>
          <w:tcPr>
            <w:tcW w:w="0" w:type="auto"/>
            <w:gridSpan w:val="3"/>
            <w:shd w:val="clear" w:color="auto" w:fill="auto"/>
            <w:tcMar>
              <w:top w:w="40" w:type="dxa"/>
              <w:left w:w="20" w:type="dxa"/>
              <w:bottom w:w="40" w:type="dxa"/>
              <w:right w:w="20" w:type="dxa"/>
            </w:tcMar>
            <w:vAlign w:val="bottom"/>
          </w:tcPr>
          <w:p w14:paraId="5EA26272" w14:textId="77777777" w:rsidR="003C66EB" w:rsidRDefault="00D96C4E">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A26273"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shd w:val="clear" w:color="auto" w:fill="auto"/>
          </w:tcPr>
          <w:p w14:paraId="5EA26274" w14:textId="77777777" w:rsidR="003C66EB" w:rsidRDefault="003C66EB">
            <w:pPr>
              <w:rPr>
                <w:rFonts w:ascii="宋体"/>
                <w:vanish/>
              </w:rPr>
            </w:pPr>
          </w:p>
        </w:tc>
        <w:tc>
          <w:tcPr>
            <w:tcW w:w="0" w:type="auto"/>
            <w:shd w:val="clear" w:color="auto" w:fill="auto"/>
          </w:tcPr>
          <w:p w14:paraId="5EA26275" w14:textId="77777777" w:rsidR="003C66EB" w:rsidRDefault="003C66EB">
            <w:pPr>
              <w:rPr>
                <w:rFonts w:ascii="宋体"/>
              </w:rPr>
            </w:pPr>
          </w:p>
        </w:tc>
        <w:tc>
          <w:tcPr>
            <w:tcW w:w="0" w:type="auto"/>
            <w:shd w:val="clear" w:color="auto" w:fill="auto"/>
          </w:tcPr>
          <w:p w14:paraId="5EA26276" w14:textId="77777777" w:rsidR="003C66EB" w:rsidRDefault="003C66EB">
            <w:pPr>
              <w:rPr>
                <w:rFonts w:ascii="宋体"/>
              </w:rPr>
            </w:pPr>
          </w:p>
        </w:tc>
        <w:tc>
          <w:tcPr>
            <w:tcW w:w="0" w:type="auto"/>
            <w:shd w:val="clear" w:color="auto" w:fill="auto"/>
          </w:tcPr>
          <w:p w14:paraId="5EA26277" w14:textId="77777777" w:rsidR="003C66EB" w:rsidRDefault="003C66EB">
            <w:pPr>
              <w:rPr>
                <w:rFonts w:ascii="宋体"/>
              </w:rPr>
            </w:pPr>
          </w:p>
        </w:tc>
        <w:tc>
          <w:tcPr>
            <w:tcW w:w="0" w:type="auto"/>
            <w:shd w:val="clear" w:color="auto" w:fill="auto"/>
          </w:tcPr>
          <w:p w14:paraId="5EA26278" w14:textId="77777777" w:rsidR="003C66EB" w:rsidRDefault="003C66EB">
            <w:pPr>
              <w:rPr>
                <w:rFonts w:ascii="宋体"/>
              </w:rPr>
            </w:pPr>
          </w:p>
        </w:tc>
        <w:tc>
          <w:tcPr>
            <w:tcW w:w="0" w:type="auto"/>
            <w:shd w:val="clear" w:color="auto" w:fill="auto"/>
          </w:tcPr>
          <w:p w14:paraId="5EA26279" w14:textId="77777777" w:rsidR="003C66EB" w:rsidRDefault="003C66EB">
            <w:pPr>
              <w:rPr>
                <w:rFonts w:ascii="宋体"/>
              </w:rPr>
            </w:pPr>
          </w:p>
        </w:tc>
        <w:tc>
          <w:tcPr>
            <w:tcW w:w="0" w:type="auto"/>
            <w:shd w:val="clear" w:color="auto" w:fill="auto"/>
          </w:tcPr>
          <w:p w14:paraId="5EA2627A" w14:textId="77777777" w:rsidR="003C66EB" w:rsidRDefault="003C66EB">
            <w:pPr>
              <w:rPr>
                <w:rFonts w:ascii="宋体"/>
              </w:rPr>
            </w:pPr>
          </w:p>
        </w:tc>
        <w:tc>
          <w:tcPr>
            <w:tcW w:w="0" w:type="auto"/>
            <w:shd w:val="clear" w:color="auto" w:fill="auto"/>
          </w:tcPr>
          <w:p w14:paraId="5EA2627B" w14:textId="77777777" w:rsidR="003C66EB" w:rsidRDefault="003C66EB">
            <w:pPr>
              <w:rPr>
                <w:rFonts w:ascii="宋体"/>
              </w:rPr>
            </w:pPr>
          </w:p>
        </w:tc>
        <w:tc>
          <w:tcPr>
            <w:tcW w:w="0" w:type="auto"/>
            <w:shd w:val="clear" w:color="auto" w:fill="auto"/>
          </w:tcPr>
          <w:p w14:paraId="5EA2627C" w14:textId="77777777" w:rsidR="003C66EB" w:rsidRDefault="003C66EB">
            <w:pPr>
              <w:rPr>
                <w:rFonts w:ascii="宋体"/>
              </w:rPr>
            </w:pPr>
          </w:p>
        </w:tc>
        <w:tc>
          <w:tcPr>
            <w:tcW w:w="0" w:type="auto"/>
            <w:shd w:val="clear" w:color="auto" w:fill="auto"/>
          </w:tcPr>
          <w:p w14:paraId="5EA2627D" w14:textId="77777777" w:rsidR="003C66EB" w:rsidRDefault="003C66EB">
            <w:pPr>
              <w:rPr>
                <w:rFonts w:ascii="宋体"/>
              </w:rPr>
            </w:pPr>
          </w:p>
        </w:tc>
        <w:tc>
          <w:tcPr>
            <w:tcW w:w="0" w:type="auto"/>
            <w:shd w:val="clear" w:color="auto" w:fill="auto"/>
          </w:tcPr>
          <w:p w14:paraId="5EA2627E" w14:textId="77777777" w:rsidR="003C66EB" w:rsidRDefault="003C66EB">
            <w:pPr>
              <w:rPr>
                <w:rFonts w:ascii="宋体"/>
              </w:rPr>
            </w:pPr>
          </w:p>
        </w:tc>
        <w:tc>
          <w:tcPr>
            <w:tcW w:w="0" w:type="auto"/>
            <w:shd w:val="clear" w:color="auto" w:fill="auto"/>
          </w:tcPr>
          <w:p w14:paraId="5EA2627F" w14:textId="77777777" w:rsidR="003C66EB" w:rsidRDefault="003C66EB">
            <w:pPr>
              <w:rPr>
                <w:rFonts w:ascii="宋体"/>
              </w:rPr>
            </w:pPr>
          </w:p>
        </w:tc>
        <w:tc>
          <w:tcPr>
            <w:tcW w:w="0" w:type="auto"/>
            <w:shd w:val="clear" w:color="auto" w:fill="auto"/>
          </w:tcPr>
          <w:p w14:paraId="5EA26280" w14:textId="77777777" w:rsidR="003C66EB" w:rsidRDefault="003C66EB">
            <w:pPr>
              <w:rPr>
                <w:rFonts w:ascii="宋体"/>
              </w:rPr>
            </w:pPr>
          </w:p>
        </w:tc>
      </w:tr>
      <w:tr w:rsidR="003C66EB" w14:paraId="5EA2628F" w14:textId="77777777">
        <w:trPr>
          <w:trHeight w:val="400"/>
        </w:trPr>
        <w:tc>
          <w:tcPr>
            <w:tcW w:w="0" w:type="auto"/>
            <w:gridSpan w:val="3"/>
            <w:shd w:val="clear" w:color="auto" w:fill="auto"/>
            <w:tcMar>
              <w:top w:w="0" w:type="dxa"/>
              <w:left w:w="20" w:type="dxa"/>
              <w:bottom w:w="0" w:type="dxa"/>
              <w:right w:w="20" w:type="dxa"/>
            </w:tcMar>
          </w:tcPr>
          <w:p w14:paraId="5EA26282" w14:textId="77777777" w:rsidR="003C66EB" w:rsidRDefault="003C66E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283" w14:textId="77777777" w:rsidR="003C66EB" w:rsidRDefault="00D96C4E">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5EA26284" w14:textId="77777777" w:rsidR="003C66EB" w:rsidRDefault="003C66EB">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285" w14:textId="77777777" w:rsidR="003C66EB" w:rsidRDefault="00D96C4E">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5EA26286"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287" w14:textId="77777777" w:rsidR="003C66EB" w:rsidRDefault="00D96C4E">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5EA26288"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289" w14:textId="77777777" w:rsidR="003C66EB" w:rsidRDefault="00D96C4E">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tcPr>
          <w:p w14:paraId="5EA2628A" w14:textId="77777777" w:rsidR="003C66EB" w:rsidRDefault="003C66EB">
            <w:pPr>
              <w:rPr>
                <w:rFonts w:ascii="宋体"/>
                <w:vanish/>
              </w:rPr>
            </w:pPr>
          </w:p>
        </w:tc>
        <w:tc>
          <w:tcPr>
            <w:tcW w:w="0" w:type="auto"/>
            <w:gridSpan w:val="3"/>
            <w:shd w:val="clear" w:color="auto" w:fill="auto"/>
          </w:tcPr>
          <w:p w14:paraId="5EA2628B" w14:textId="77777777" w:rsidR="003C66EB" w:rsidRDefault="003C66EB">
            <w:pPr>
              <w:rPr>
                <w:rFonts w:ascii="宋体"/>
                <w:vanish/>
              </w:rPr>
            </w:pPr>
          </w:p>
        </w:tc>
        <w:tc>
          <w:tcPr>
            <w:tcW w:w="0" w:type="auto"/>
            <w:gridSpan w:val="3"/>
            <w:shd w:val="clear" w:color="auto" w:fill="auto"/>
          </w:tcPr>
          <w:p w14:paraId="5EA2628C" w14:textId="77777777" w:rsidR="003C66EB" w:rsidRDefault="003C66EB">
            <w:pPr>
              <w:rPr>
                <w:rFonts w:ascii="宋体"/>
                <w:vanish/>
              </w:rPr>
            </w:pPr>
          </w:p>
        </w:tc>
        <w:tc>
          <w:tcPr>
            <w:tcW w:w="0" w:type="auto"/>
            <w:gridSpan w:val="3"/>
            <w:shd w:val="clear" w:color="auto" w:fill="auto"/>
          </w:tcPr>
          <w:p w14:paraId="5EA2628D" w14:textId="77777777" w:rsidR="003C66EB" w:rsidRDefault="003C66EB">
            <w:pPr>
              <w:rPr>
                <w:rFonts w:ascii="宋体"/>
                <w:vanish/>
              </w:rPr>
            </w:pPr>
          </w:p>
        </w:tc>
        <w:tc>
          <w:tcPr>
            <w:tcW w:w="0" w:type="auto"/>
            <w:gridSpan w:val="3"/>
            <w:shd w:val="clear" w:color="auto" w:fill="auto"/>
          </w:tcPr>
          <w:p w14:paraId="5EA2628E" w14:textId="77777777" w:rsidR="003C66EB" w:rsidRDefault="003C66EB">
            <w:pPr>
              <w:rPr>
                <w:rFonts w:ascii="宋体"/>
                <w:vanish/>
              </w:rPr>
            </w:pPr>
          </w:p>
        </w:tc>
      </w:tr>
      <w:tr w:rsidR="003C66EB" w14:paraId="5EA2629F" w14:textId="77777777">
        <w:trPr>
          <w:trHeight w:val="540"/>
        </w:trPr>
        <w:tc>
          <w:tcPr>
            <w:tcW w:w="0" w:type="auto"/>
            <w:gridSpan w:val="3"/>
            <w:shd w:val="clear" w:color="auto" w:fill="auto"/>
            <w:tcMar>
              <w:top w:w="40" w:type="dxa"/>
              <w:left w:w="20" w:type="dxa"/>
              <w:bottom w:w="40" w:type="dxa"/>
              <w:right w:w="20" w:type="dxa"/>
            </w:tcMar>
            <w:vAlign w:val="bottom"/>
          </w:tcPr>
          <w:p w14:paraId="5EA26290"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29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92" w14:textId="77777777" w:rsidR="003C66EB" w:rsidRDefault="003C66EB">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29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94"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295"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629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297" w14:textId="77777777" w:rsidR="003C66EB" w:rsidRDefault="00D96C4E">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5EA2629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299" w14:textId="77777777" w:rsidR="003C66EB" w:rsidRDefault="00D96C4E">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tcPr>
          <w:p w14:paraId="5EA2629A" w14:textId="77777777" w:rsidR="003C66EB" w:rsidRDefault="003C66EB">
            <w:pPr>
              <w:rPr>
                <w:rFonts w:ascii="宋体"/>
                <w:vanish/>
              </w:rPr>
            </w:pPr>
          </w:p>
        </w:tc>
        <w:tc>
          <w:tcPr>
            <w:tcW w:w="0" w:type="auto"/>
            <w:gridSpan w:val="3"/>
            <w:shd w:val="clear" w:color="auto" w:fill="auto"/>
          </w:tcPr>
          <w:p w14:paraId="5EA2629B" w14:textId="77777777" w:rsidR="003C66EB" w:rsidRDefault="003C66EB">
            <w:pPr>
              <w:rPr>
                <w:rFonts w:ascii="宋体"/>
                <w:vanish/>
              </w:rPr>
            </w:pPr>
          </w:p>
        </w:tc>
        <w:tc>
          <w:tcPr>
            <w:tcW w:w="0" w:type="auto"/>
            <w:gridSpan w:val="3"/>
            <w:shd w:val="clear" w:color="auto" w:fill="auto"/>
          </w:tcPr>
          <w:p w14:paraId="5EA2629C" w14:textId="77777777" w:rsidR="003C66EB" w:rsidRDefault="003C66EB">
            <w:pPr>
              <w:rPr>
                <w:rFonts w:ascii="宋体"/>
                <w:vanish/>
              </w:rPr>
            </w:pPr>
          </w:p>
        </w:tc>
        <w:tc>
          <w:tcPr>
            <w:tcW w:w="0" w:type="auto"/>
            <w:gridSpan w:val="3"/>
            <w:shd w:val="clear" w:color="auto" w:fill="auto"/>
          </w:tcPr>
          <w:p w14:paraId="5EA2629D" w14:textId="77777777" w:rsidR="003C66EB" w:rsidRDefault="003C66EB">
            <w:pPr>
              <w:rPr>
                <w:rFonts w:ascii="宋体"/>
                <w:vanish/>
              </w:rPr>
            </w:pPr>
          </w:p>
        </w:tc>
        <w:tc>
          <w:tcPr>
            <w:tcW w:w="0" w:type="auto"/>
            <w:gridSpan w:val="3"/>
            <w:shd w:val="clear" w:color="auto" w:fill="auto"/>
          </w:tcPr>
          <w:p w14:paraId="5EA2629E" w14:textId="77777777" w:rsidR="003C66EB" w:rsidRDefault="003C66EB">
            <w:pPr>
              <w:rPr>
                <w:rFonts w:ascii="宋体"/>
                <w:vanish/>
              </w:rPr>
            </w:pPr>
          </w:p>
        </w:tc>
      </w:tr>
      <w:tr w:rsidR="003C66EB" w14:paraId="5EA262AC" w14:textId="77777777">
        <w:tc>
          <w:tcPr>
            <w:tcW w:w="0" w:type="auto"/>
            <w:gridSpan w:val="12"/>
            <w:shd w:val="clear" w:color="auto" w:fill="auto"/>
            <w:tcMar>
              <w:top w:w="40" w:type="dxa"/>
              <w:left w:w="20" w:type="dxa"/>
              <w:bottom w:w="40" w:type="dxa"/>
              <w:right w:w="20" w:type="dxa"/>
            </w:tcMar>
            <w:vAlign w:val="bottom"/>
          </w:tcPr>
          <w:p w14:paraId="5EA262A0" w14:textId="77777777" w:rsidR="003C66EB" w:rsidRDefault="00D96C4E">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tcPr>
          <w:p w14:paraId="5EA262A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2A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A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2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2A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2A6" w14:textId="77777777" w:rsidR="003C66EB" w:rsidRDefault="003C66EB">
            <w:pPr>
              <w:rPr>
                <w:rFonts w:ascii="宋体"/>
              </w:rPr>
            </w:pPr>
          </w:p>
        </w:tc>
        <w:tc>
          <w:tcPr>
            <w:tcW w:w="0" w:type="auto"/>
            <w:shd w:val="clear" w:color="auto" w:fill="auto"/>
          </w:tcPr>
          <w:p w14:paraId="5EA262A7" w14:textId="77777777" w:rsidR="003C66EB" w:rsidRDefault="003C66EB">
            <w:pPr>
              <w:rPr>
                <w:rFonts w:ascii="宋体"/>
                <w:vanish/>
              </w:rPr>
            </w:pPr>
          </w:p>
        </w:tc>
        <w:tc>
          <w:tcPr>
            <w:tcW w:w="0" w:type="auto"/>
            <w:gridSpan w:val="3"/>
            <w:shd w:val="clear" w:color="auto" w:fill="auto"/>
          </w:tcPr>
          <w:p w14:paraId="5EA262A8" w14:textId="77777777" w:rsidR="003C66EB" w:rsidRDefault="003C66EB">
            <w:pPr>
              <w:rPr>
                <w:rFonts w:ascii="宋体"/>
                <w:vanish/>
              </w:rPr>
            </w:pPr>
          </w:p>
        </w:tc>
        <w:tc>
          <w:tcPr>
            <w:tcW w:w="0" w:type="auto"/>
            <w:gridSpan w:val="3"/>
            <w:shd w:val="clear" w:color="auto" w:fill="auto"/>
          </w:tcPr>
          <w:p w14:paraId="5EA262A9" w14:textId="77777777" w:rsidR="003C66EB" w:rsidRDefault="003C66EB">
            <w:pPr>
              <w:rPr>
                <w:rFonts w:ascii="宋体"/>
                <w:vanish/>
              </w:rPr>
            </w:pPr>
          </w:p>
        </w:tc>
        <w:tc>
          <w:tcPr>
            <w:tcW w:w="0" w:type="auto"/>
            <w:gridSpan w:val="3"/>
            <w:shd w:val="clear" w:color="auto" w:fill="auto"/>
          </w:tcPr>
          <w:p w14:paraId="5EA262AA" w14:textId="77777777" w:rsidR="003C66EB" w:rsidRDefault="003C66EB">
            <w:pPr>
              <w:rPr>
                <w:rFonts w:ascii="宋体"/>
                <w:vanish/>
              </w:rPr>
            </w:pPr>
          </w:p>
        </w:tc>
        <w:tc>
          <w:tcPr>
            <w:tcW w:w="0" w:type="auto"/>
            <w:gridSpan w:val="3"/>
            <w:shd w:val="clear" w:color="auto" w:fill="auto"/>
          </w:tcPr>
          <w:p w14:paraId="5EA262AB" w14:textId="77777777" w:rsidR="003C66EB" w:rsidRDefault="003C66EB">
            <w:pPr>
              <w:rPr>
                <w:rFonts w:ascii="宋体"/>
                <w:vanish/>
              </w:rPr>
            </w:pPr>
          </w:p>
        </w:tc>
      </w:tr>
      <w:tr w:rsidR="003C66EB" w14:paraId="5EA262C6" w14:textId="77777777">
        <w:tc>
          <w:tcPr>
            <w:tcW w:w="0" w:type="auto"/>
            <w:gridSpan w:val="3"/>
            <w:shd w:val="clear" w:color="auto" w:fill="CCEEFF"/>
            <w:tcMar>
              <w:top w:w="40" w:type="dxa"/>
              <w:left w:w="20" w:type="dxa"/>
              <w:bottom w:w="40" w:type="dxa"/>
              <w:right w:w="20" w:type="dxa"/>
            </w:tcMar>
            <w:vAlign w:val="bottom"/>
          </w:tcPr>
          <w:p w14:paraId="5EA262AD"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62AE"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2AF" w14:textId="77777777" w:rsidR="003C66EB" w:rsidRDefault="00D96C4E">
            <w:pPr>
              <w:jc w:val="right"/>
              <w:textAlignment w:val="bottom"/>
            </w:pPr>
            <w:r>
              <w:rPr>
                <w:rFonts w:ascii="Arial" w:eastAsia="宋体" w:hAnsi="Arial" w:cs="Arial"/>
                <w:b/>
                <w:bCs/>
                <w:color w:val="000000"/>
                <w:sz w:val="15"/>
                <w:szCs w:val="15"/>
              </w:rPr>
              <w:t>22,045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B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2B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2B3" w14:textId="77777777" w:rsidR="003C66EB" w:rsidRDefault="00D96C4E">
            <w:pPr>
              <w:jc w:val="right"/>
              <w:textAlignment w:val="bottom"/>
            </w:pPr>
            <w:r>
              <w:rPr>
                <w:rFonts w:ascii="Arial" w:eastAsia="宋体" w:hAnsi="Arial" w:cs="Arial"/>
                <w:b/>
                <w:bCs/>
                <w:color w:val="000000"/>
                <w:sz w:val="15"/>
                <w:szCs w:val="15"/>
              </w:rPr>
              <w:t>(11,923)</w:t>
            </w:r>
          </w:p>
        </w:tc>
        <w:tc>
          <w:tcPr>
            <w:tcW w:w="0" w:type="auto"/>
            <w:shd w:val="clear" w:color="auto" w:fill="CCEEFF"/>
            <w:tcMar>
              <w:top w:w="40" w:type="dxa"/>
              <w:left w:w="0" w:type="dxa"/>
              <w:bottom w:w="40" w:type="dxa"/>
              <w:right w:w="20" w:type="dxa"/>
            </w:tcMar>
            <w:vAlign w:val="bottom"/>
          </w:tcPr>
          <w:p w14:paraId="5EA262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B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2B6"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2B7" w14:textId="77777777" w:rsidR="003C66EB" w:rsidRDefault="00D96C4E">
            <w:pPr>
              <w:jc w:val="right"/>
              <w:textAlignment w:val="bottom"/>
            </w:pPr>
            <w:r>
              <w:rPr>
                <w:rFonts w:ascii="Arial" w:eastAsia="宋体" w:hAnsi="Arial" w:cs="Arial"/>
                <w:b/>
                <w:bCs/>
                <w:color w:val="000000"/>
                <w:sz w:val="15"/>
                <w:szCs w:val="15"/>
              </w:rPr>
              <w:t>10,122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B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B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2BA"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2BB"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B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2BE"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2BF" w14:textId="77777777" w:rsidR="003C66EB" w:rsidRDefault="00D96C4E">
            <w:pPr>
              <w:jc w:val="right"/>
              <w:textAlignment w:val="bottom"/>
            </w:pPr>
            <w:r>
              <w:rPr>
                <w:rFonts w:ascii="Arial" w:eastAsia="宋体" w:hAnsi="Arial" w:cs="Arial"/>
                <w:b/>
                <w:bCs/>
                <w:color w:val="000000"/>
                <w:sz w:val="15"/>
                <w:szCs w:val="15"/>
              </w:rPr>
              <w:t>10,122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C0" w14:textId="77777777" w:rsidR="003C66EB" w:rsidRDefault="003C66EB">
            <w:pPr>
              <w:jc w:val="right"/>
              <w:rPr>
                <w:rFonts w:ascii="宋体"/>
              </w:rPr>
            </w:pPr>
          </w:p>
        </w:tc>
        <w:tc>
          <w:tcPr>
            <w:tcW w:w="0" w:type="auto"/>
            <w:shd w:val="clear" w:color="auto" w:fill="auto"/>
          </w:tcPr>
          <w:p w14:paraId="5EA262C1" w14:textId="77777777" w:rsidR="003C66EB" w:rsidRDefault="003C66EB">
            <w:pPr>
              <w:rPr>
                <w:rFonts w:ascii="宋体"/>
                <w:vanish/>
              </w:rPr>
            </w:pPr>
          </w:p>
        </w:tc>
        <w:tc>
          <w:tcPr>
            <w:tcW w:w="0" w:type="auto"/>
            <w:gridSpan w:val="3"/>
            <w:shd w:val="clear" w:color="auto" w:fill="auto"/>
          </w:tcPr>
          <w:p w14:paraId="5EA262C2" w14:textId="77777777" w:rsidR="003C66EB" w:rsidRDefault="003C66EB">
            <w:pPr>
              <w:rPr>
                <w:rFonts w:ascii="宋体"/>
                <w:vanish/>
              </w:rPr>
            </w:pPr>
          </w:p>
        </w:tc>
        <w:tc>
          <w:tcPr>
            <w:tcW w:w="0" w:type="auto"/>
            <w:gridSpan w:val="3"/>
            <w:shd w:val="clear" w:color="auto" w:fill="auto"/>
          </w:tcPr>
          <w:p w14:paraId="5EA262C3" w14:textId="77777777" w:rsidR="003C66EB" w:rsidRDefault="003C66EB">
            <w:pPr>
              <w:rPr>
                <w:rFonts w:ascii="宋体"/>
                <w:vanish/>
              </w:rPr>
            </w:pPr>
          </w:p>
        </w:tc>
        <w:tc>
          <w:tcPr>
            <w:tcW w:w="0" w:type="auto"/>
            <w:gridSpan w:val="3"/>
            <w:shd w:val="clear" w:color="auto" w:fill="auto"/>
          </w:tcPr>
          <w:p w14:paraId="5EA262C4" w14:textId="77777777" w:rsidR="003C66EB" w:rsidRDefault="003C66EB">
            <w:pPr>
              <w:rPr>
                <w:rFonts w:ascii="宋体"/>
                <w:vanish/>
              </w:rPr>
            </w:pPr>
          </w:p>
        </w:tc>
        <w:tc>
          <w:tcPr>
            <w:tcW w:w="0" w:type="auto"/>
            <w:gridSpan w:val="3"/>
            <w:shd w:val="clear" w:color="auto" w:fill="auto"/>
          </w:tcPr>
          <w:p w14:paraId="5EA262C5" w14:textId="77777777" w:rsidR="003C66EB" w:rsidRDefault="003C66EB">
            <w:pPr>
              <w:rPr>
                <w:rFonts w:ascii="宋体"/>
                <w:vanish/>
              </w:rPr>
            </w:pPr>
          </w:p>
        </w:tc>
      </w:tr>
      <w:tr w:rsidR="003C66EB" w14:paraId="5EA262DB" w14:textId="77777777">
        <w:tc>
          <w:tcPr>
            <w:tcW w:w="0" w:type="auto"/>
            <w:gridSpan w:val="3"/>
            <w:shd w:val="clear" w:color="auto" w:fill="FFFFFF"/>
            <w:tcMar>
              <w:top w:w="40" w:type="dxa"/>
              <w:left w:w="20" w:type="dxa"/>
              <w:bottom w:w="40" w:type="dxa"/>
              <w:right w:w="20" w:type="dxa"/>
            </w:tcMar>
            <w:vAlign w:val="bottom"/>
          </w:tcPr>
          <w:p w14:paraId="5EA262C7" w14:textId="77777777" w:rsidR="003C66EB" w:rsidRDefault="00D96C4E">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A262C8" w14:textId="77777777" w:rsidR="003C66EB" w:rsidRDefault="00D96C4E">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2C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C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CB" w14:textId="77777777" w:rsidR="003C66EB" w:rsidRDefault="00D96C4E">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A262C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C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CE" w14:textId="77777777" w:rsidR="003C66EB" w:rsidRDefault="00D96C4E">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2C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D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D1"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2D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D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D4" w14:textId="77777777" w:rsidR="003C66EB" w:rsidRDefault="00D96C4E">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2D5" w14:textId="77777777" w:rsidR="003C66EB" w:rsidRDefault="003C66EB">
            <w:pPr>
              <w:jc w:val="right"/>
              <w:rPr>
                <w:rFonts w:ascii="宋体"/>
              </w:rPr>
            </w:pPr>
          </w:p>
        </w:tc>
        <w:tc>
          <w:tcPr>
            <w:tcW w:w="0" w:type="auto"/>
            <w:shd w:val="clear" w:color="auto" w:fill="auto"/>
          </w:tcPr>
          <w:p w14:paraId="5EA262D6" w14:textId="77777777" w:rsidR="003C66EB" w:rsidRDefault="003C66EB">
            <w:pPr>
              <w:rPr>
                <w:rFonts w:ascii="宋体"/>
                <w:vanish/>
              </w:rPr>
            </w:pPr>
          </w:p>
        </w:tc>
        <w:tc>
          <w:tcPr>
            <w:tcW w:w="0" w:type="auto"/>
            <w:gridSpan w:val="3"/>
            <w:shd w:val="clear" w:color="auto" w:fill="auto"/>
          </w:tcPr>
          <w:p w14:paraId="5EA262D7" w14:textId="77777777" w:rsidR="003C66EB" w:rsidRDefault="003C66EB">
            <w:pPr>
              <w:rPr>
                <w:rFonts w:ascii="宋体"/>
                <w:vanish/>
              </w:rPr>
            </w:pPr>
          </w:p>
        </w:tc>
        <w:tc>
          <w:tcPr>
            <w:tcW w:w="0" w:type="auto"/>
            <w:gridSpan w:val="3"/>
            <w:shd w:val="clear" w:color="auto" w:fill="auto"/>
          </w:tcPr>
          <w:p w14:paraId="5EA262D8" w14:textId="77777777" w:rsidR="003C66EB" w:rsidRDefault="003C66EB">
            <w:pPr>
              <w:rPr>
                <w:rFonts w:ascii="宋体"/>
                <w:vanish/>
              </w:rPr>
            </w:pPr>
          </w:p>
        </w:tc>
        <w:tc>
          <w:tcPr>
            <w:tcW w:w="0" w:type="auto"/>
            <w:gridSpan w:val="3"/>
            <w:shd w:val="clear" w:color="auto" w:fill="auto"/>
          </w:tcPr>
          <w:p w14:paraId="5EA262D9" w14:textId="77777777" w:rsidR="003C66EB" w:rsidRDefault="003C66EB">
            <w:pPr>
              <w:rPr>
                <w:rFonts w:ascii="宋体"/>
                <w:vanish/>
              </w:rPr>
            </w:pPr>
          </w:p>
        </w:tc>
        <w:tc>
          <w:tcPr>
            <w:tcW w:w="0" w:type="auto"/>
            <w:gridSpan w:val="3"/>
            <w:shd w:val="clear" w:color="auto" w:fill="auto"/>
          </w:tcPr>
          <w:p w14:paraId="5EA262DA" w14:textId="77777777" w:rsidR="003C66EB" w:rsidRDefault="003C66EB">
            <w:pPr>
              <w:rPr>
                <w:rFonts w:ascii="宋体"/>
                <w:vanish/>
              </w:rPr>
            </w:pPr>
          </w:p>
        </w:tc>
      </w:tr>
      <w:tr w:rsidR="003C66EB" w14:paraId="5EA262F0" w14:textId="77777777">
        <w:tc>
          <w:tcPr>
            <w:tcW w:w="0" w:type="auto"/>
            <w:gridSpan w:val="3"/>
            <w:shd w:val="clear" w:color="auto" w:fill="CCEEFF"/>
            <w:tcMar>
              <w:top w:w="40" w:type="dxa"/>
              <w:left w:w="20" w:type="dxa"/>
              <w:bottom w:w="40" w:type="dxa"/>
              <w:right w:w="20" w:type="dxa"/>
            </w:tcMar>
            <w:vAlign w:val="bottom"/>
          </w:tcPr>
          <w:p w14:paraId="5EA262DC" w14:textId="77777777" w:rsidR="003C66EB" w:rsidRDefault="00D96C4E">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A262DD" w14:textId="77777777" w:rsidR="003C66EB" w:rsidRDefault="00D96C4E">
            <w:pPr>
              <w:jc w:val="right"/>
              <w:textAlignment w:val="bottom"/>
            </w:pPr>
            <w:r>
              <w:rPr>
                <w:rFonts w:ascii="Arial" w:eastAsia="宋体" w:hAnsi="Arial" w:cs="Arial"/>
                <w:b/>
                <w:bCs/>
                <w:color w:val="000000"/>
                <w:sz w:val="15"/>
                <w:szCs w:val="15"/>
              </w:rPr>
              <w:t>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D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D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2E0"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E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2E3" w14:textId="77777777" w:rsidR="003C66EB" w:rsidRDefault="00D96C4E">
            <w:pPr>
              <w:jc w:val="right"/>
              <w:textAlignment w:val="bottom"/>
            </w:pPr>
            <w:r>
              <w:rPr>
                <w:rFonts w:ascii="Arial" w:eastAsia="宋体" w:hAnsi="Arial" w:cs="Arial"/>
                <w:b/>
                <w:bCs/>
                <w:color w:val="000000"/>
                <w:sz w:val="15"/>
                <w:szCs w:val="15"/>
              </w:rPr>
              <w:t>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2E6"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E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2E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2E9" w14:textId="77777777" w:rsidR="003C66EB" w:rsidRDefault="00D96C4E">
            <w:pPr>
              <w:jc w:val="right"/>
              <w:textAlignment w:val="bottom"/>
            </w:pPr>
            <w:r>
              <w:rPr>
                <w:rFonts w:ascii="Arial" w:eastAsia="宋体" w:hAnsi="Arial" w:cs="Arial"/>
                <w:b/>
                <w:bCs/>
                <w:color w:val="000000"/>
                <w:sz w:val="15"/>
                <w:szCs w:val="15"/>
              </w:rPr>
              <w:t>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2EA" w14:textId="77777777" w:rsidR="003C66EB" w:rsidRDefault="003C66EB">
            <w:pPr>
              <w:jc w:val="right"/>
              <w:rPr>
                <w:rFonts w:ascii="宋体"/>
              </w:rPr>
            </w:pPr>
          </w:p>
        </w:tc>
        <w:tc>
          <w:tcPr>
            <w:tcW w:w="0" w:type="auto"/>
            <w:shd w:val="clear" w:color="auto" w:fill="auto"/>
          </w:tcPr>
          <w:p w14:paraId="5EA262EB" w14:textId="77777777" w:rsidR="003C66EB" w:rsidRDefault="003C66EB">
            <w:pPr>
              <w:rPr>
                <w:rFonts w:ascii="宋体"/>
                <w:vanish/>
              </w:rPr>
            </w:pPr>
          </w:p>
        </w:tc>
        <w:tc>
          <w:tcPr>
            <w:tcW w:w="0" w:type="auto"/>
            <w:gridSpan w:val="3"/>
            <w:shd w:val="clear" w:color="auto" w:fill="auto"/>
          </w:tcPr>
          <w:p w14:paraId="5EA262EC" w14:textId="77777777" w:rsidR="003C66EB" w:rsidRDefault="003C66EB">
            <w:pPr>
              <w:rPr>
                <w:rFonts w:ascii="宋体"/>
                <w:vanish/>
              </w:rPr>
            </w:pPr>
          </w:p>
        </w:tc>
        <w:tc>
          <w:tcPr>
            <w:tcW w:w="0" w:type="auto"/>
            <w:gridSpan w:val="3"/>
            <w:shd w:val="clear" w:color="auto" w:fill="auto"/>
          </w:tcPr>
          <w:p w14:paraId="5EA262ED" w14:textId="77777777" w:rsidR="003C66EB" w:rsidRDefault="003C66EB">
            <w:pPr>
              <w:rPr>
                <w:rFonts w:ascii="宋体"/>
                <w:vanish/>
              </w:rPr>
            </w:pPr>
          </w:p>
        </w:tc>
        <w:tc>
          <w:tcPr>
            <w:tcW w:w="0" w:type="auto"/>
            <w:gridSpan w:val="3"/>
            <w:shd w:val="clear" w:color="auto" w:fill="auto"/>
          </w:tcPr>
          <w:p w14:paraId="5EA262EE" w14:textId="77777777" w:rsidR="003C66EB" w:rsidRDefault="003C66EB">
            <w:pPr>
              <w:rPr>
                <w:rFonts w:ascii="宋体"/>
                <w:vanish/>
              </w:rPr>
            </w:pPr>
          </w:p>
        </w:tc>
        <w:tc>
          <w:tcPr>
            <w:tcW w:w="0" w:type="auto"/>
            <w:gridSpan w:val="3"/>
            <w:shd w:val="clear" w:color="auto" w:fill="auto"/>
          </w:tcPr>
          <w:p w14:paraId="5EA262EF" w14:textId="77777777" w:rsidR="003C66EB" w:rsidRDefault="003C66EB">
            <w:pPr>
              <w:rPr>
                <w:rFonts w:ascii="宋体"/>
                <w:vanish/>
              </w:rPr>
            </w:pPr>
          </w:p>
        </w:tc>
      </w:tr>
      <w:tr w:rsidR="003C66EB" w14:paraId="5EA26304" w14:textId="77777777">
        <w:tc>
          <w:tcPr>
            <w:tcW w:w="0" w:type="auto"/>
            <w:gridSpan w:val="3"/>
            <w:shd w:val="clear" w:color="auto" w:fill="FFFFFF"/>
            <w:tcMar>
              <w:top w:w="40" w:type="dxa"/>
              <w:left w:w="20" w:type="dxa"/>
              <w:bottom w:w="40" w:type="dxa"/>
              <w:right w:w="20" w:type="dxa"/>
            </w:tcMar>
            <w:vAlign w:val="bottom"/>
          </w:tcPr>
          <w:p w14:paraId="5EA262F1" w14:textId="77777777" w:rsidR="003C66EB" w:rsidRDefault="00D96C4E">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5EA262F2" w14:textId="77777777" w:rsidR="003C66EB" w:rsidRDefault="00D96C4E">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tcPr>
          <w:p w14:paraId="5EA262F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F4" w14:textId="77777777" w:rsidR="003C66EB" w:rsidRDefault="00D96C4E">
            <w:pPr>
              <w:jc w:val="right"/>
              <w:textAlignment w:val="bottom"/>
            </w:pPr>
            <w:r>
              <w:rPr>
                <w:rFonts w:ascii="Arial" w:eastAsia="宋体" w:hAnsi="Arial" w:cs="Arial"/>
                <w:b/>
                <w:bCs/>
                <w:color w:val="000000"/>
                <w:sz w:val="15"/>
                <w:szCs w:val="15"/>
              </w:rPr>
              <w:t>(3,610)</w:t>
            </w:r>
          </w:p>
        </w:tc>
        <w:tc>
          <w:tcPr>
            <w:tcW w:w="0" w:type="auto"/>
            <w:shd w:val="clear" w:color="auto" w:fill="FFFFFF"/>
            <w:tcMar>
              <w:top w:w="40" w:type="dxa"/>
              <w:left w:w="0" w:type="dxa"/>
              <w:bottom w:w="40" w:type="dxa"/>
              <w:right w:w="20" w:type="dxa"/>
            </w:tcMar>
            <w:vAlign w:val="bottom"/>
          </w:tcPr>
          <w:p w14:paraId="5EA262F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F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F7" w14:textId="77777777" w:rsidR="003C66EB" w:rsidRDefault="00D96C4E">
            <w:pPr>
              <w:jc w:val="right"/>
              <w:textAlignment w:val="bottom"/>
            </w:pPr>
            <w:r>
              <w:rPr>
                <w:rFonts w:ascii="Arial" w:eastAsia="宋体" w:hAnsi="Arial" w:cs="Arial"/>
                <w:b/>
                <w:bCs/>
                <w:color w:val="000000"/>
                <w:sz w:val="15"/>
                <w:szCs w:val="15"/>
              </w:rPr>
              <w:t>(3,610)</w:t>
            </w:r>
          </w:p>
        </w:tc>
        <w:tc>
          <w:tcPr>
            <w:tcW w:w="0" w:type="auto"/>
            <w:shd w:val="clear" w:color="auto" w:fill="FFFFFF"/>
            <w:tcMar>
              <w:top w:w="40" w:type="dxa"/>
              <w:left w:w="0" w:type="dxa"/>
              <w:bottom w:w="40" w:type="dxa"/>
              <w:right w:w="20" w:type="dxa"/>
            </w:tcMar>
            <w:vAlign w:val="bottom"/>
          </w:tcPr>
          <w:p w14:paraId="5EA262F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F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FA" w14:textId="77777777" w:rsidR="003C66EB" w:rsidRDefault="00D96C4E">
            <w:pPr>
              <w:jc w:val="right"/>
              <w:textAlignment w:val="bottom"/>
            </w:pPr>
            <w:r>
              <w:rPr>
                <w:rFonts w:ascii="Arial" w:eastAsia="宋体" w:hAnsi="Arial" w:cs="Arial"/>
                <w:b/>
                <w:bCs/>
                <w:color w:val="000000"/>
                <w:sz w:val="15"/>
                <w:szCs w:val="15"/>
              </w:rPr>
              <w:t>(1,652)</w:t>
            </w:r>
          </w:p>
        </w:tc>
        <w:tc>
          <w:tcPr>
            <w:tcW w:w="0" w:type="auto"/>
            <w:shd w:val="clear" w:color="auto" w:fill="FFFFFF"/>
            <w:tcMar>
              <w:top w:w="40" w:type="dxa"/>
              <w:left w:w="0" w:type="dxa"/>
              <w:bottom w:w="40" w:type="dxa"/>
              <w:right w:w="20" w:type="dxa"/>
            </w:tcMar>
            <w:vAlign w:val="bottom"/>
          </w:tcPr>
          <w:p w14:paraId="5EA262F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2F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2FD" w14:textId="77777777" w:rsidR="003C66EB" w:rsidRDefault="00D96C4E">
            <w:pPr>
              <w:jc w:val="right"/>
              <w:textAlignment w:val="bottom"/>
            </w:pPr>
            <w:r>
              <w:rPr>
                <w:rFonts w:ascii="Arial" w:eastAsia="宋体" w:hAnsi="Arial" w:cs="Arial"/>
                <w:b/>
                <w:bCs/>
                <w:color w:val="000000"/>
                <w:sz w:val="15"/>
                <w:szCs w:val="15"/>
              </w:rPr>
              <w:t>(5,262)</w:t>
            </w:r>
          </w:p>
        </w:tc>
        <w:tc>
          <w:tcPr>
            <w:tcW w:w="0" w:type="auto"/>
            <w:shd w:val="clear" w:color="auto" w:fill="FFFFFF"/>
            <w:tcMar>
              <w:top w:w="40" w:type="dxa"/>
              <w:left w:w="0" w:type="dxa"/>
              <w:bottom w:w="40" w:type="dxa"/>
              <w:right w:w="20" w:type="dxa"/>
            </w:tcMar>
            <w:vAlign w:val="bottom"/>
          </w:tcPr>
          <w:p w14:paraId="5EA262FE" w14:textId="77777777" w:rsidR="003C66EB" w:rsidRDefault="003C66EB">
            <w:pPr>
              <w:jc w:val="right"/>
              <w:rPr>
                <w:rFonts w:ascii="宋体"/>
              </w:rPr>
            </w:pPr>
          </w:p>
        </w:tc>
        <w:tc>
          <w:tcPr>
            <w:tcW w:w="0" w:type="auto"/>
            <w:shd w:val="clear" w:color="auto" w:fill="auto"/>
          </w:tcPr>
          <w:p w14:paraId="5EA262FF" w14:textId="77777777" w:rsidR="003C66EB" w:rsidRDefault="003C66EB">
            <w:pPr>
              <w:rPr>
                <w:rFonts w:ascii="宋体"/>
                <w:vanish/>
              </w:rPr>
            </w:pPr>
          </w:p>
        </w:tc>
        <w:tc>
          <w:tcPr>
            <w:tcW w:w="0" w:type="auto"/>
            <w:gridSpan w:val="3"/>
            <w:shd w:val="clear" w:color="auto" w:fill="auto"/>
          </w:tcPr>
          <w:p w14:paraId="5EA26300" w14:textId="77777777" w:rsidR="003C66EB" w:rsidRDefault="003C66EB">
            <w:pPr>
              <w:rPr>
                <w:rFonts w:ascii="宋体"/>
                <w:vanish/>
              </w:rPr>
            </w:pPr>
          </w:p>
        </w:tc>
        <w:tc>
          <w:tcPr>
            <w:tcW w:w="0" w:type="auto"/>
            <w:gridSpan w:val="3"/>
            <w:shd w:val="clear" w:color="auto" w:fill="auto"/>
          </w:tcPr>
          <w:p w14:paraId="5EA26301" w14:textId="77777777" w:rsidR="003C66EB" w:rsidRDefault="003C66EB">
            <w:pPr>
              <w:rPr>
                <w:rFonts w:ascii="宋体"/>
                <w:vanish/>
              </w:rPr>
            </w:pPr>
          </w:p>
        </w:tc>
        <w:tc>
          <w:tcPr>
            <w:tcW w:w="0" w:type="auto"/>
            <w:gridSpan w:val="3"/>
            <w:shd w:val="clear" w:color="auto" w:fill="auto"/>
          </w:tcPr>
          <w:p w14:paraId="5EA26302" w14:textId="77777777" w:rsidR="003C66EB" w:rsidRDefault="003C66EB">
            <w:pPr>
              <w:rPr>
                <w:rFonts w:ascii="宋体"/>
                <w:vanish/>
              </w:rPr>
            </w:pPr>
          </w:p>
        </w:tc>
        <w:tc>
          <w:tcPr>
            <w:tcW w:w="0" w:type="auto"/>
            <w:gridSpan w:val="3"/>
            <w:shd w:val="clear" w:color="auto" w:fill="auto"/>
          </w:tcPr>
          <w:p w14:paraId="5EA26303" w14:textId="77777777" w:rsidR="003C66EB" w:rsidRDefault="003C66EB">
            <w:pPr>
              <w:rPr>
                <w:rFonts w:ascii="宋体"/>
                <w:vanish/>
              </w:rPr>
            </w:pPr>
          </w:p>
        </w:tc>
      </w:tr>
      <w:tr w:rsidR="003C66EB" w14:paraId="5EA26319" w14:textId="77777777">
        <w:tc>
          <w:tcPr>
            <w:tcW w:w="0" w:type="auto"/>
            <w:gridSpan w:val="3"/>
            <w:shd w:val="clear" w:color="auto" w:fill="CCEEFF"/>
            <w:tcMar>
              <w:top w:w="40" w:type="dxa"/>
              <w:left w:w="20" w:type="dxa"/>
              <w:bottom w:w="40" w:type="dxa"/>
              <w:right w:w="20" w:type="dxa"/>
            </w:tcMar>
            <w:vAlign w:val="bottom"/>
          </w:tcPr>
          <w:p w14:paraId="5EA26305" w14:textId="77777777" w:rsidR="003C66EB" w:rsidRDefault="00D96C4E">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306" w14:textId="77777777" w:rsidR="003C66EB" w:rsidRDefault="00D96C4E">
            <w:pPr>
              <w:jc w:val="right"/>
              <w:textAlignment w:val="bottom"/>
            </w:pPr>
            <w:r>
              <w:rPr>
                <w:rFonts w:ascii="Arial" w:eastAsia="宋体" w:hAnsi="Arial" w:cs="Arial"/>
                <w:b/>
                <w:bCs/>
                <w:color w:val="000000"/>
                <w:sz w:val="15"/>
                <w:szCs w:val="15"/>
              </w:rPr>
              <w:t>22,261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30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0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309" w14:textId="77777777" w:rsidR="003C66EB" w:rsidRDefault="00D96C4E">
            <w:pPr>
              <w:jc w:val="right"/>
              <w:textAlignment w:val="bottom"/>
            </w:pPr>
            <w:r>
              <w:rPr>
                <w:rFonts w:ascii="Arial" w:eastAsia="宋体" w:hAnsi="Arial" w:cs="Arial"/>
                <w:b/>
                <w:bCs/>
                <w:color w:val="000000"/>
                <w:sz w:val="15"/>
                <w:szCs w:val="15"/>
              </w:rPr>
              <w:t>(15,534)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3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0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30C" w14:textId="77777777" w:rsidR="003C66EB" w:rsidRDefault="00D96C4E">
            <w:pPr>
              <w:jc w:val="right"/>
              <w:textAlignment w:val="bottom"/>
            </w:pPr>
            <w:r>
              <w:rPr>
                <w:rFonts w:ascii="Arial" w:eastAsia="宋体" w:hAnsi="Arial" w:cs="Arial"/>
                <w:b/>
                <w:bCs/>
                <w:color w:val="000000"/>
                <w:sz w:val="15"/>
                <w:szCs w:val="15"/>
              </w:rPr>
              <w:t>6,727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30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0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30F" w14:textId="77777777" w:rsidR="003C66EB" w:rsidRDefault="00D96C4E">
            <w:pPr>
              <w:jc w:val="right"/>
              <w:textAlignment w:val="bottom"/>
            </w:pPr>
            <w:r>
              <w:rPr>
                <w:rFonts w:ascii="Arial" w:eastAsia="宋体" w:hAnsi="Arial" w:cs="Arial"/>
                <w:b/>
                <w:bCs/>
                <w:color w:val="000000"/>
                <w:sz w:val="15"/>
                <w:szCs w:val="15"/>
              </w:rPr>
              <w:t>(1,652)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31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1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312" w14:textId="77777777" w:rsidR="003C66EB" w:rsidRDefault="00D96C4E">
            <w:pPr>
              <w:jc w:val="right"/>
              <w:textAlignment w:val="bottom"/>
            </w:pPr>
            <w:r>
              <w:rPr>
                <w:rFonts w:ascii="Arial" w:eastAsia="宋体" w:hAnsi="Arial" w:cs="Arial"/>
                <w:b/>
                <w:bCs/>
                <w:color w:val="000000"/>
                <w:sz w:val="15"/>
                <w:szCs w:val="15"/>
              </w:rPr>
              <w:t>5,075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313" w14:textId="77777777" w:rsidR="003C66EB" w:rsidRDefault="003C66EB">
            <w:pPr>
              <w:jc w:val="right"/>
              <w:rPr>
                <w:rFonts w:ascii="宋体"/>
              </w:rPr>
            </w:pPr>
          </w:p>
        </w:tc>
        <w:tc>
          <w:tcPr>
            <w:tcW w:w="0" w:type="auto"/>
            <w:shd w:val="clear" w:color="auto" w:fill="auto"/>
          </w:tcPr>
          <w:p w14:paraId="5EA26314" w14:textId="77777777" w:rsidR="003C66EB" w:rsidRDefault="003C66EB">
            <w:pPr>
              <w:rPr>
                <w:rFonts w:ascii="宋体"/>
                <w:vanish/>
              </w:rPr>
            </w:pPr>
          </w:p>
        </w:tc>
        <w:tc>
          <w:tcPr>
            <w:tcW w:w="0" w:type="auto"/>
            <w:gridSpan w:val="3"/>
            <w:shd w:val="clear" w:color="auto" w:fill="auto"/>
          </w:tcPr>
          <w:p w14:paraId="5EA26315" w14:textId="77777777" w:rsidR="003C66EB" w:rsidRDefault="003C66EB">
            <w:pPr>
              <w:rPr>
                <w:rFonts w:ascii="宋体"/>
                <w:vanish/>
              </w:rPr>
            </w:pPr>
          </w:p>
        </w:tc>
        <w:tc>
          <w:tcPr>
            <w:tcW w:w="0" w:type="auto"/>
            <w:gridSpan w:val="3"/>
            <w:shd w:val="clear" w:color="auto" w:fill="auto"/>
          </w:tcPr>
          <w:p w14:paraId="5EA26316" w14:textId="77777777" w:rsidR="003C66EB" w:rsidRDefault="003C66EB">
            <w:pPr>
              <w:rPr>
                <w:rFonts w:ascii="宋体"/>
                <w:vanish/>
              </w:rPr>
            </w:pPr>
          </w:p>
        </w:tc>
        <w:tc>
          <w:tcPr>
            <w:tcW w:w="0" w:type="auto"/>
            <w:gridSpan w:val="3"/>
            <w:shd w:val="clear" w:color="auto" w:fill="auto"/>
          </w:tcPr>
          <w:p w14:paraId="5EA26317" w14:textId="77777777" w:rsidR="003C66EB" w:rsidRDefault="003C66EB">
            <w:pPr>
              <w:rPr>
                <w:rFonts w:ascii="宋体"/>
                <w:vanish/>
              </w:rPr>
            </w:pPr>
          </w:p>
        </w:tc>
        <w:tc>
          <w:tcPr>
            <w:tcW w:w="0" w:type="auto"/>
            <w:gridSpan w:val="3"/>
            <w:shd w:val="clear" w:color="auto" w:fill="auto"/>
          </w:tcPr>
          <w:p w14:paraId="5EA26318" w14:textId="77777777" w:rsidR="003C66EB" w:rsidRDefault="003C66EB">
            <w:pPr>
              <w:rPr>
                <w:rFonts w:ascii="宋体"/>
                <w:vanish/>
              </w:rPr>
            </w:pPr>
          </w:p>
        </w:tc>
      </w:tr>
      <w:tr w:rsidR="003C66EB" w14:paraId="5EA26329" w14:textId="77777777">
        <w:tc>
          <w:tcPr>
            <w:tcW w:w="0" w:type="auto"/>
            <w:gridSpan w:val="3"/>
            <w:shd w:val="clear" w:color="auto" w:fill="FFFFFF"/>
            <w:tcMar>
              <w:top w:w="40" w:type="dxa"/>
              <w:left w:w="20" w:type="dxa"/>
              <w:bottom w:w="40" w:type="dxa"/>
              <w:right w:w="20" w:type="dxa"/>
            </w:tcMar>
            <w:vAlign w:val="bottom"/>
          </w:tcPr>
          <w:p w14:paraId="5EA2631A" w14:textId="77777777" w:rsidR="003C66EB" w:rsidRDefault="00D96C4E">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tcPr>
          <w:p w14:paraId="5EA2631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1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1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1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1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2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2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2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323" w14:textId="77777777" w:rsidR="003C66EB" w:rsidRDefault="003C66EB">
            <w:pPr>
              <w:rPr>
                <w:rFonts w:ascii="宋体"/>
              </w:rPr>
            </w:pPr>
          </w:p>
        </w:tc>
        <w:tc>
          <w:tcPr>
            <w:tcW w:w="0" w:type="auto"/>
            <w:shd w:val="clear" w:color="auto" w:fill="auto"/>
          </w:tcPr>
          <w:p w14:paraId="5EA26324" w14:textId="77777777" w:rsidR="003C66EB" w:rsidRDefault="003C66EB">
            <w:pPr>
              <w:rPr>
                <w:rFonts w:ascii="宋体"/>
                <w:vanish/>
              </w:rPr>
            </w:pPr>
          </w:p>
        </w:tc>
        <w:tc>
          <w:tcPr>
            <w:tcW w:w="0" w:type="auto"/>
            <w:gridSpan w:val="3"/>
            <w:shd w:val="clear" w:color="auto" w:fill="auto"/>
          </w:tcPr>
          <w:p w14:paraId="5EA26325" w14:textId="77777777" w:rsidR="003C66EB" w:rsidRDefault="003C66EB">
            <w:pPr>
              <w:rPr>
                <w:rFonts w:ascii="宋体"/>
                <w:vanish/>
              </w:rPr>
            </w:pPr>
          </w:p>
        </w:tc>
        <w:tc>
          <w:tcPr>
            <w:tcW w:w="0" w:type="auto"/>
            <w:gridSpan w:val="3"/>
            <w:shd w:val="clear" w:color="auto" w:fill="auto"/>
          </w:tcPr>
          <w:p w14:paraId="5EA26326" w14:textId="77777777" w:rsidR="003C66EB" w:rsidRDefault="003C66EB">
            <w:pPr>
              <w:rPr>
                <w:rFonts w:ascii="宋体"/>
                <w:vanish/>
              </w:rPr>
            </w:pPr>
          </w:p>
        </w:tc>
        <w:tc>
          <w:tcPr>
            <w:tcW w:w="0" w:type="auto"/>
            <w:gridSpan w:val="3"/>
            <w:shd w:val="clear" w:color="auto" w:fill="auto"/>
          </w:tcPr>
          <w:p w14:paraId="5EA26327" w14:textId="77777777" w:rsidR="003C66EB" w:rsidRDefault="003C66EB">
            <w:pPr>
              <w:rPr>
                <w:rFonts w:ascii="宋体"/>
                <w:vanish/>
              </w:rPr>
            </w:pPr>
          </w:p>
        </w:tc>
        <w:tc>
          <w:tcPr>
            <w:tcW w:w="0" w:type="auto"/>
            <w:gridSpan w:val="3"/>
            <w:shd w:val="clear" w:color="auto" w:fill="auto"/>
          </w:tcPr>
          <w:p w14:paraId="5EA26328" w14:textId="77777777" w:rsidR="003C66EB" w:rsidRDefault="003C66EB">
            <w:pPr>
              <w:rPr>
                <w:rFonts w:ascii="宋体"/>
                <w:vanish/>
              </w:rPr>
            </w:pPr>
          </w:p>
        </w:tc>
      </w:tr>
      <w:tr w:rsidR="003C66EB" w14:paraId="5EA26339" w14:textId="77777777">
        <w:trPr>
          <w:hidden/>
        </w:trPr>
        <w:tc>
          <w:tcPr>
            <w:tcW w:w="0" w:type="auto"/>
            <w:gridSpan w:val="3"/>
            <w:shd w:val="clear" w:color="auto" w:fill="auto"/>
          </w:tcPr>
          <w:p w14:paraId="5EA2632A" w14:textId="77777777" w:rsidR="003C66EB" w:rsidRDefault="003C66EB">
            <w:pPr>
              <w:rPr>
                <w:rFonts w:ascii="宋体"/>
                <w:vanish/>
              </w:rPr>
            </w:pPr>
          </w:p>
        </w:tc>
        <w:tc>
          <w:tcPr>
            <w:tcW w:w="0" w:type="auto"/>
            <w:gridSpan w:val="3"/>
            <w:shd w:val="clear" w:color="auto" w:fill="auto"/>
          </w:tcPr>
          <w:p w14:paraId="5EA2632B" w14:textId="77777777" w:rsidR="003C66EB" w:rsidRDefault="003C66EB">
            <w:pPr>
              <w:rPr>
                <w:rFonts w:ascii="宋体"/>
                <w:vanish/>
              </w:rPr>
            </w:pPr>
          </w:p>
        </w:tc>
        <w:tc>
          <w:tcPr>
            <w:tcW w:w="0" w:type="auto"/>
            <w:gridSpan w:val="3"/>
            <w:shd w:val="clear" w:color="auto" w:fill="auto"/>
          </w:tcPr>
          <w:p w14:paraId="5EA2632C" w14:textId="77777777" w:rsidR="003C66EB" w:rsidRDefault="003C66EB">
            <w:pPr>
              <w:rPr>
                <w:rFonts w:ascii="宋体"/>
                <w:vanish/>
              </w:rPr>
            </w:pPr>
          </w:p>
        </w:tc>
        <w:tc>
          <w:tcPr>
            <w:tcW w:w="0" w:type="auto"/>
            <w:gridSpan w:val="3"/>
            <w:shd w:val="clear" w:color="auto" w:fill="auto"/>
          </w:tcPr>
          <w:p w14:paraId="5EA2632D" w14:textId="77777777" w:rsidR="003C66EB" w:rsidRDefault="003C66EB">
            <w:pPr>
              <w:rPr>
                <w:rFonts w:ascii="宋体"/>
                <w:vanish/>
              </w:rPr>
            </w:pPr>
          </w:p>
        </w:tc>
        <w:tc>
          <w:tcPr>
            <w:tcW w:w="0" w:type="auto"/>
            <w:gridSpan w:val="3"/>
            <w:shd w:val="clear" w:color="auto" w:fill="auto"/>
          </w:tcPr>
          <w:p w14:paraId="5EA2632E" w14:textId="77777777" w:rsidR="003C66EB" w:rsidRDefault="003C66EB">
            <w:pPr>
              <w:rPr>
                <w:rFonts w:ascii="宋体"/>
                <w:vanish/>
              </w:rPr>
            </w:pPr>
          </w:p>
        </w:tc>
        <w:tc>
          <w:tcPr>
            <w:tcW w:w="0" w:type="auto"/>
            <w:gridSpan w:val="3"/>
            <w:shd w:val="clear" w:color="auto" w:fill="auto"/>
          </w:tcPr>
          <w:p w14:paraId="5EA2632F" w14:textId="77777777" w:rsidR="003C66EB" w:rsidRDefault="003C66EB">
            <w:pPr>
              <w:rPr>
                <w:rFonts w:ascii="宋体"/>
                <w:vanish/>
              </w:rPr>
            </w:pPr>
          </w:p>
        </w:tc>
        <w:tc>
          <w:tcPr>
            <w:tcW w:w="0" w:type="auto"/>
            <w:gridSpan w:val="3"/>
            <w:shd w:val="clear" w:color="auto" w:fill="auto"/>
          </w:tcPr>
          <w:p w14:paraId="5EA26330" w14:textId="77777777" w:rsidR="003C66EB" w:rsidRDefault="003C66EB">
            <w:pPr>
              <w:rPr>
                <w:rFonts w:ascii="宋体"/>
                <w:vanish/>
              </w:rPr>
            </w:pPr>
          </w:p>
        </w:tc>
        <w:tc>
          <w:tcPr>
            <w:tcW w:w="0" w:type="auto"/>
            <w:gridSpan w:val="3"/>
            <w:shd w:val="clear" w:color="auto" w:fill="auto"/>
          </w:tcPr>
          <w:p w14:paraId="5EA26331" w14:textId="77777777" w:rsidR="003C66EB" w:rsidRDefault="003C66EB">
            <w:pPr>
              <w:rPr>
                <w:rFonts w:ascii="宋体"/>
                <w:vanish/>
              </w:rPr>
            </w:pPr>
          </w:p>
        </w:tc>
        <w:tc>
          <w:tcPr>
            <w:tcW w:w="0" w:type="auto"/>
            <w:gridSpan w:val="3"/>
            <w:shd w:val="clear" w:color="auto" w:fill="auto"/>
          </w:tcPr>
          <w:p w14:paraId="5EA26332" w14:textId="77777777" w:rsidR="003C66EB" w:rsidRDefault="003C66EB">
            <w:pPr>
              <w:rPr>
                <w:rFonts w:ascii="宋体"/>
                <w:vanish/>
              </w:rPr>
            </w:pPr>
          </w:p>
        </w:tc>
        <w:tc>
          <w:tcPr>
            <w:tcW w:w="0" w:type="auto"/>
            <w:gridSpan w:val="3"/>
            <w:shd w:val="clear" w:color="auto" w:fill="auto"/>
          </w:tcPr>
          <w:p w14:paraId="5EA26333" w14:textId="77777777" w:rsidR="003C66EB" w:rsidRDefault="003C66EB">
            <w:pPr>
              <w:rPr>
                <w:rFonts w:ascii="宋体"/>
                <w:vanish/>
              </w:rPr>
            </w:pPr>
          </w:p>
        </w:tc>
        <w:tc>
          <w:tcPr>
            <w:tcW w:w="0" w:type="auto"/>
            <w:shd w:val="clear" w:color="auto" w:fill="auto"/>
          </w:tcPr>
          <w:p w14:paraId="5EA26334" w14:textId="77777777" w:rsidR="003C66EB" w:rsidRDefault="003C66EB">
            <w:pPr>
              <w:rPr>
                <w:rFonts w:ascii="宋体"/>
                <w:vanish/>
              </w:rPr>
            </w:pPr>
          </w:p>
        </w:tc>
        <w:tc>
          <w:tcPr>
            <w:tcW w:w="0" w:type="auto"/>
            <w:gridSpan w:val="3"/>
            <w:shd w:val="clear" w:color="auto" w:fill="auto"/>
          </w:tcPr>
          <w:p w14:paraId="5EA26335" w14:textId="77777777" w:rsidR="003C66EB" w:rsidRDefault="003C66EB">
            <w:pPr>
              <w:rPr>
                <w:rFonts w:ascii="宋体"/>
                <w:vanish/>
              </w:rPr>
            </w:pPr>
          </w:p>
        </w:tc>
        <w:tc>
          <w:tcPr>
            <w:tcW w:w="0" w:type="auto"/>
            <w:gridSpan w:val="3"/>
            <w:shd w:val="clear" w:color="auto" w:fill="auto"/>
          </w:tcPr>
          <w:p w14:paraId="5EA26336" w14:textId="77777777" w:rsidR="003C66EB" w:rsidRDefault="003C66EB">
            <w:pPr>
              <w:rPr>
                <w:rFonts w:ascii="宋体"/>
                <w:vanish/>
              </w:rPr>
            </w:pPr>
          </w:p>
        </w:tc>
        <w:tc>
          <w:tcPr>
            <w:tcW w:w="0" w:type="auto"/>
            <w:gridSpan w:val="3"/>
            <w:shd w:val="clear" w:color="auto" w:fill="auto"/>
          </w:tcPr>
          <w:p w14:paraId="5EA26337" w14:textId="77777777" w:rsidR="003C66EB" w:rsidRDefault="003C66EB">
            <w:pPr>
              <w:rPr>
                <w:rFonts w:ascii="宋体"/>
                <w:vanish/>
              </w:rPr>
            </w:pPr>
          </w:p>
        </w:tc>
        <w:tc>
          <w:tcPr>
            <w:tcW w:w="0" w:type="auto"/>
            <w:gridSpan w:val="3"/>
            <w:shd w:val="clear" w:color="auto" w:fill="auto"/>
          </w:tcPr>
          <w:p w14:paraId="5EA26338" w14:textId="77777777" w:rsidR="003C66EB" w:rsidRDefault="003C66EB">
            <w:pPr>
              <w:rPr>
                <w:rFonts w:ascii="宋体"/>
                <w:vanish/>
              </w:rPr>
            </w:pPr>
          </w:p>
        </w:tc>
      </w:tr>
      <w:tr w:rsidR="003C66EB" w14:paraId="5EA26349" w14:textId="77777777">
        <w:trPr>
          <w:hidden/>
        </w:trPr>
        <w:tc>
          <w:tcPr>
            <w:tcW w:w="0" w:type="auto"/>
            <w:gridSpan w:val="3"/>
            <w:shd w:val="clear" w:color="auto" w:fill="auto"/>
          </w:tcPr>
          <w:p w14:paraId="5EA2633A" w14:textId="77777777" w:rsidR="003C66EB" w:rsidRDefault="003C66EB">
            <w:pPr>
              <w:rPr>
                <w:rFonts w:ascii="宋体"/>
                <w:vanish/>
              </w:rPr>
            </w:pPr>
          </w:p>
        </w:tc>
        <w:tc>
          <w:tcPr>
            <w:tcW w:w="0" w:type="auto"/>
            <w:gridSpan w:val="3"/>
            <w:shd w:val="clear" w:color="auto" w:fill="auto"/>
          </w:tcPr>
          <w:p w14:paraId="5EA2633B" w14:textId="77777777" w:rsidR="003C66EB" w:rsidRDefault="003C66EB">
            <w:pPr>
              <w:rPr>
                <w:rFonts w:ascii="宋体"/>
                <w:vanish/>
              </w:rPr>
            </w:pPr>
          </w:p>
        </w:tc>
        <w:tc>
          <w:tcPr>
            <w:tcW w:w="0" w:type="auto"/>
            <w:gridSpan w:val="3"/>
            <w:shd w:val="clear" w:color="auto" w:fill="auto"/>
          </w:tcPr>
          <w:p w14:paraId="5EA2633C" w14:textId="77777777" w:rsidR="003C66EB" w:rsidRDefault="003C66EB">
            <w:pPr>
              <w:rPr>
                <w:rFonts w:ascii="宋体"/>
                <w:vanish/>
              </w:rPr>
            </w:pPr>
          </w:p>
        </w:tc>
        <w:tc>
          <w:tcPr>
            <w:tcW w:w="0" w:type="auto"/>
            <w:gridSpan w:val="3"/>
            <w:shd w:val="clear" w:color="auto" w:fill="auto"/>
          </w:tcPr>
          <w:p w14:paraId="5EA2633D" w14:textId="77777777" w:rsidR="003C66EB" w:rsidRDefault="003C66EB">
            <w:pPr>
              <w:rPr>
                <w:rFonts w:ascii="宋体"/>
                <w:vanish/>
              </w:rPr>
            </w:pPr>
          </w:p>
        </w:tc>
        <w:tc>
          <w:tcPr>
            <w:tcW w:w="0" w:type="auto"/>
            <w:gridSpan w:val="3"/>
            <w:shd w:val="clear" w:color="auto" w:fill="auto"/>
          </w:tcPr>
          <w:p w14:paraId="5EA2633E" w14:textId="77777777" w:rsidR="003C66EB" w:rsidRDefault="003C66EB">
            <w:pPr>
              <w:rPr>
                <w:rFonts w:ascii="宋体"/>
                <w:vanish/>
              </w:rPr>
            </w:pPr>
          </w:p>
        </w:tc>
        <w:tc>
          <w:tcPr>
            <w:tcW w:w="0" w:type="auto"/>
            <w:gridSpan w:val="3"/>
            <w:shd w:val="clear" w:color="auto" w:fill="auto"/>
          </w:tcPr>
          <w:p w14:paraId="5EA2633F" w14:textId="77777777" w:rsidR="003C66EB" w:rsidRDefault="003C66EB">
            <w:pPr>
              <w:rPr>
                <w:rFonts w:ascii="宋体"/>
                <w:vanish/>
              </w:rPr>
            </w:pPr>
          </w:p>
        </w:tc>
        <w:tc>
          <w:tcPr>
            <w:tcW w:w="0" w:type="auto"/>
            <w:gridSpan w:val="3"/>
            <w:shd w:val="clear" w:color="auto" w:fill="auto"/>
          </w:tcPr>
          <w:p w14:paraId="5EA26340" w14:textId="77777777" w:rsidR="003C66EB" w:rsidRDefault="003C66EB">
            <w:pPr>
              <w:rPr>
                <w:rFonts w:ascii="宋体"/>
                <w:vanish/>
              </w:rPr>
            </w:pPr>
          </w:p>
        </w:tc>
        <w:tc>
          <w:tcPr>
            <w:tcW w:w="0" w:type="auto"/>
            <w:gridSpan w:val="3"/>
            <w:shd w:val="clear" w:color="auto" w:fill="auto"/>
          </w:tcPr>
          <w:p w14:paraId="5EA26341" w14:textId="77777777" w:rsidR="003C66EB" w:rsidRDefault="003C66EB">
            <w:pPr>
              <w:rPr>
                <w:rFonts w:ascii="宋体"/>
                <w:vanish/>
              </w:rPr>
            </w:pPr>
          </w:p>
        </w:tc>
        <w:tc>
          <w:tcPr>
            <w:tcW w:w="0" w:type="auto"/>
            <w:gridSpan w:val="3"/>
            <w:shd w:val="clear" w:color="auto" w:fill="auto"/>
          </w:tcPr>
          <w:p w14:paraId="5EA26342" w14:textId="77777777" w:rsidR="003C66EB" w:rsidRDefault="003C66EB">
            <w:pPr>
              <w:rPr>
                <w:rFonts w:ascii="宋体"/>
                <w:vanish/>
              </w:rPr>
            </w:pPr>
          </w:p>
        </w:tc>
        <w:tc>
          <w:tcPr>
            <w:tcW w:w="0" w:type="auto"/>
            <w:gridSpan w:val="3"/>
            <w:shd w:val="clear" w:color="auto" w:fill="auto"/>
          </w:tcPr>
          <w:p w14:paraId="5EA26343" w14:textId="77777777" w:rsidR="003C66EB" w:rsidRDefault="003C66EB">
            <w:pPr>
              <w:rPr>
                <w:rFonts w:ascii="宋体"/>
                <w:vanish/>
              </w:rPr>
            </w:pPr>
          </w:p>
        </w:tc>
        <w:tc>
          <w:tcPr>
            <w:tcW w:w="0" w:type="auto"/>
            <w:shd w:val="clear" w:color="auto" w:fill="auto"/>
          </w:tcPr>
          <w:p w14:paraId="5EA26344" w14:textId="77777777" w:rsidR="003C66EB" w:rsidRDefault="003C66EB">
            <w:pPr>
              <w:rPr>
                <w:rFonts w:ascii="宋体"/>
                <w:vanish/>
              </w:rPr>
            </w:pPr>
          </w:p>
        </w:tc>
        <w:tc>
          <w:tcPr>
            <w:tcW w:w="0" w:type="auto"/>
            <w:gridSpan w:val="3"/>
            <w:shd w:val="clear" w:color="auto" w:fill="auto"/>
          </w:tcPr>
          <w:p w14:paraId="5EA26345" w14:textId="77777777" w:rsidR="003C66EB" w:rsidRDefault="003C66EB">
            <w:pPr>
              <w:rPr>
                <w:rFonts w:ascii="宋体"/>
                <w:vanish/>
              </w:rPr>
            </w:pPr>
          </w:p>
        </w:tc>
        <w:tc>
          <w:tcPr>
            <w:tcW w:w="0" w:type="auto"/>
            <w:gridSpan w:val="3"/>
            <w:shd w:val="clear" w:color="auto" w:fill="auto"/>
          </w:tcPr>
          <w:p w14:paraId="5EA26346" w14:textId="77777777" w:rsidR="003C66EB" w:rsidRDefault="003C66EB">
            <w:pPr>
              <w:rPr>
                <w:rFonts w:ascii="宋体"/>
                <w:vanish/>
              </w:rPr>
            </w:pPr>
          </w:p>
        </w:tc>
        <w:tc>
          <w:tcPr>
            <w:tcW w:w="0" w:type="auto"/>
            <w:gridSpan w:val="3"/>
            <w:shd w:val="clear" w:color="auto" w:fill="auto"/>
          </w:tcPr>
          <w:p w14:paraId="5EA26347" w14:textId="77777777" w:rsidR="003C66EB" w:rsidRDefault="003C66EB">
            <w:pPr>
              <w:rPr>
                <w:rFonts w:ascii="宋体"/>
                <w:vanish/>
              </w:rPr>
            </w:pPr>
          </w:p>
        </w:tc>
        <w:tc>
          <w:tcPr>
            <w:tcW w:w="0" w:type="auto"/>
            <w:gridSpan w:val="3"/>
            <w:shd w:val="clear" w:color="auto" w:fill="auto"/>
          </w:tcPr>
          <w:p w14:paraId="5EA26348" w14:textId="77777777" w:rsidR="003C66EB" w:rsidRDefault="003C66EB">
            <w:pPr>
              <w:rPr>
                <w:rFonts w:ascii="宋体"/>
                <w:vanish/>
              </w:rPr>
            </w:pPr>
          </w:p>
        </w:tc>
      </w:tr>
      <w:tr w:rsidR="003C66EB" w14:paraId="5EA2635E" w14:textId="77777777">
        <w:tc>
          <w:tcPr>
            <w:tcW w:w="0" w:type="auto"/>
            <w:gridSpan w:val="3"/>
            <w:shd w:val="clear" w:color="auto" w:fill="CCEEFF"/>
            <w:tcMar>
              <w:top w:w="40" w:type="dxa"/>
              <w:left w:w="20" w:type="dxa"/>
              <w:bottom w:w="40" w:type="dxa"/>
              <w:right w:w="20" w:type="dxa"/>
            </w:tcMar>
            <w:vAlign w:val="bottom"/>
          </w:tcPr>
          <w:p w14:paraId="5EA2634A" w14:textId="77777777" w:rsidR="003C66EB" w:rsidRDefault="00D96C4E">
            <w:pPr>
              <w:textAlignment w:val="bottom"/>
            </w:pPr>
            <w:r>
              <w:rPr>
                <w:rFonts w:ascii="Arial" w:eastAsia="宋体" w:hAnsi="Arial" w:cs="Arial"/>
                <w:color w:val="000000"/>
                <w:sz w:val="15"/>
                <w:szCs w:val="15"/>
              </w:rPr>
              <w:t xml:space="preserve">Repurchase </w:t>
            </w:r>
            <w:r>
              <w:rPr>
                <w:rFonts w:ascii="Arial" w:eastAsia="宋体" w:hAnsi="Arial" w:cs="Arial"/>
                <w:color w:val="000000"/>
                <w:sz w:val="15"/>
                <w:szCs w:val="15"/>
              </w:rPr>
              <w:t>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5EA2634B" w14:textId="77777777" w:rsidR="003C66EB" w:rsidRDefault="00D96C4E">
            <w:pPr>
              <w:jc w:val="right"/>
              <w:textAlignment w:val="bottom"/>
            </w:pPr>
            <w:r>
              <w:rPr>
                <w:rFonts w:ascii="Arial" w:eastAsia="宋体" w:hAnsi="Arial" w:cs="Arial"/>
                <w:b/>
                <w:bCs/>
                <w:color w:val="000000"/>
                <w:sz w:val="15"/>
                <w:szCs w:val="15"/>
              </w:rPr>
              <w:t>128,605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3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4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4E" w14:textId="77777777" w:rsidR="003C66EB" w:rsidRDefault="00D96C4E">
            <w:pPr>
              <w:jc w:val="right"/>
              <w:textAlignment w:val="bottom"/>
            </w:pPr>
            <w:r>
              <w:rPr>
                <w:rFonts w:ascii="Arial" w:eastAsia="宋体" w:hAnsi="Arial" w:cs="Arial"/>
                <w:b/>
                <w:bCs/>
                <w:color w:val="000000"/>
                <w:sz w:val="15"/>
                <w:szCs w:val="15"/>
              </w:rPr>
              <w:t>(114,220)</w:t>
            </w:r>
          </w:p>
        </w:tc>
        <w:tc>
          <w:tcPr>
            <w:tcW w:w="0" w:type="auto"/>
            <w:shd w:val="clear" w:color="auto" w:fill="CCEEFF"/>
            <w:tcMar>
              <w:top w:w="40" w:type="dxa"/>
              <w:left w:w="0" w:type="dxa"/>
              <w:bottom w:w="40" w:type="dxa"/>
              <w:right w:w="20" w:type="dxa"/>
            </w:tcMar>
            <w:vAlign w:val="bottom"/>
          </w:tcPr>
          <w:p w14:paraId="5EA263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51" w14:textId="77777777" w:rsidR="003C66EB" w:rsidRDefault="00D96C4E">
            <w:pPr>
              <w:jc w:val="right"/>
              <w:textAlignment w:val="bottom"/>
            </w:pPr>
            <w:r>
              <w:rPr>
                <w:rFonts w:ascii="Arial" w:eastAsia="宋体" w:hAnsi="Arial" w:cs="Arial"/>
                <w:b/>
                <w:bCs/>
                <w:color w:val="000000"/>
                <w:sz w:val="15"/>
                <w:szCs w:val="15"/>
              </w:rPr>
              <w:t>14,385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3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5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54" w14:textId="77777777" w:rsidR="003C66EB" w:rsidRDefault="00D96C4E">
            <w:pPr>
              <w:jc w:val="right"/>
              <w:textAlignment w:val="bottom"/>
            </w:pPr>
            <w:r>
              <w:rPr>
                <w:rFonts w:ascii="Arial" w:eastAsia="宋体" w:hAnsi="Arial" w:cs="Arial"/>
                <w:b/>
                <w:bCs/>
                <w:color w:val="000000"/>
                <w:sz w:val="15"/>
                <w:szCs w:val="15"/>
              </w:rPr>
              <w:t>(13,815)</w:t>
            </w:r>
          </w:p>
        </w:tc>
        <w:tc>
          <w:tcPr>
            <w:tcW w:w="0" w:type="auto"/>
            <w:shd w:val="clear" w:color="auto" w:fill="CCEEFF"/>
            <w:tcMar>
              <w:top w:w="40" w:type="dxa"/>
              <w:left w:w="0" w:type="dxa"/>
              <w:bottom w:w="40" w:type="dxa"/>
              <w:right w:w="20" w:type="dxa"/>
            </w:tcMar>
            <w:vAlign w:val="bottom"/>
          </w:tcPr>
          <w:p w14:paraId="5EA263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5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57" w14:textId="77777777" w:rsidR="003C66EB" w:rsidRDefault="00D96C4E">
            <w:pPr>
              <w:jc w:val="right"/>
              <w:textAlignment w:val="bottom"/>
            </w:pPr>
            <w:r>
              <w:rPr>
                <w:rFonts w:ascii="Arial" w:eastAsia="宋体" w:hAnsi="Arial" w:cs="Arial"/>
                <w:b/>
                <w:bCs/>
                <w:color w:val="000000"/>
                <w:sz w:val="15"/>
                <w:szCs w:val="15"/>
              </w:rPr>
              <w:t>570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358" w14:textId="77777777" w:rsidR="003C66EB" w:rsidRDefault="003C66EB">
            <w:pPr>
              <w:jc w:val="right"/>
              <w:rPr>
                <w:rFonts w:ascii="宋体"/>
              </w:rPr>
            </w:pPr>
          </w:p>
        </w:tc>
        <w:tc>
          <w:tcPr>
            <w:tcW w:w="0" w:type="auto"/>
            <w:shd w:val="clear" w:color="auto" w:fill="auto"/>
          </w:tcPr>
          <w:p w14:paraId="5EA26359" w14:textId="77777777" w:rsidR="003C66EB" w:rsidRDefault="003C66EB">
            <w:pPr>
              <w:rPr>
                <w:rFonts w:ascii="宋体"/>
                <w:vanish/>
              </w:rPr>
            </w:pPr>
          </w:p>
        </w:tc>
        <w:tc>
          <w:tcPr>
            <w:tcW w:w="0" w:type="auto"/>
            <w:gridSpan w:val="3"/>
            <w:shd w:val="clear" w:color="auto" w:fill="auto"/>
          </w:tcPr>
          <w:p w14:paraId="5EA2635A" w14:textId="77777777" w:rsidR="003C66EB" w:rsidRDefault="003C66EB">
            <w:pPr>
              <w:rPr>
                <w:rFonts w:ascii="宋体"/>
                <w:vanish/>
              </w:rPr>
            </w:pPr>
          </w:p>
        </w:tc>
        <w:tc>
          <w:tcPr>
            <w:tcW w:w="0" w:type="auto"/>
            <w:gridSpan w:val="3"/>
            <w:shd w:val="clear" w:color="auto" w:fill="auto"/>
          </w:tcPr>
          <w:p w14:paraId="5EA2635B" w14:textId="77777777" w:rsidR="003C66EB" w:rsidRDefault="003C66EB">
            <w:pPr>
              <w:rPr>
                <w:rFonts w:ascii="宋体"/>
                <w:vanish/>
              </w:rPr>
            </w:pPr>
          </w:p>
        </w:tc>
        <w:tc>
          <w:tcPr>
            <w:tcW w:w="0" w:type="auto"/>
            <w:gridSpan w:val="3"/>
            <w:shd w:val="clear" w:color="auto" w:fill="auto"/>
          </w:tcPr>
          <w:p w14:paraId="5EA2635C" w14:textId="77777777" w:rsidR="003C66EB" w:rsidRDefault="003C66EB">
            <w:pPr>
              <w:rPr>
                <w:rFonts w:ascii="宋体"/>
                <w:vanish/>
              </w:rPr>
            </w:pPr>
          </w:p>
        </w:tc>
        <w:tc>
          <w:tcPr>
            <w:tcW w:w="0" w:type="auto"/>
            <w:gridSpan w:val="3"/>
            <w:shd w:val="clear" w:color="auto" w:fill="auto"/>
          </w:tcPr>
          <w:p w14:paraId="5EA2635D" w14:textId="77777777" w:rsidR="003C66EB" w:rsidRDefault="003C66EB">
            <w:pPr>
              <w:rPr>
                <w:rFonts w:ascii="宋体"/>
                <w:vanish/>
              </w:rPr>
            </w:pPr>
          </w:p>
        </w:tc>
      </w:tr>
      <w:tr w:rsidR="003C66EB" w14:paraId="5EA26378" w14:textId="77777777">
        <w:tc>
          <w:tcPr>
            <w:tcW w:w="0" w:type="auto"/>
            <w:gridSpan w:val="3"/>
            <w:shd w:val="clear" w:color="auto" w:fill="FFFFFF"/>
            <w:tcMar>
              <w:top w:w="40" w:type="dxa"/>
              <w:left w:w="20" w:type="dxa"/>
              <w:bottom w:w="40" w:type="dxa"/>
              <w:right w:w="20" w:type="dxa"/>
            </w:tcMar>
            <w:vAlign w:val="bottom"/>
          </w:tcPr>
          <w:p w14:paraId="5EA2635F" w14:textId="77777777" w:rsidR="003C66EB" w:rsidRDefault="00D96C4E">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36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361" w14:textId="77777777" w:rsidR="003C66EB" w:rsidRDefault="00D96C4E">
            <w:pPr>
              <w:jc w:val="right"/>
              <w:textAlignment w:val="bottom"/>
            </w:pPr>
            <w:r>
              <w:rPr>
                <w:rFonts w:ascii="Arial" w:eastAsia="宋体" w:hAnsi="Arial" w:cs="Arial"/>
                <w:b/>
                <w:bCs/>
                <w:color w:val="000000"/>
                <w:sz w:val="15"/>
                <w:szCs w:val="15"/>
              </w:rPr>
              <w:t>150,866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3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6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364"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365" w14:textId="77777777" w:rsidR="003C66EB" w:rsidRDefault="00D96C4E">
            <w:pPr>
              <w:jc w:val="right"/>
              <w:textAlignment w:val="bottom"/>
            </w:pPr>
            <w:r>
              <w:rPr>
                <w:rFonts w:ascii="Arial" w:eastAsia="宋体" w:hAnsi="Arial" w:cs="Arial"/>
                <w:b/>
                <w:bCs/>
                <w:color w:val="000000"/>
                <w:sz w:val="15"/>
                <w:szCs w:val="15"/>
              </w:rPr>
              <w:t>(129,754)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3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67"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368"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369" w14:textId="77777777" w:rsidR="003C66EB" w:rsidRDefault="00D96C4E">
            <w:pPr>
              <w:jc w:val="right"/>
              <w:textAlignment w:val="bottom"/>
            </w:pPr>
            <w:r>
              <w:rPr>
                <w:rFonts w:ascii="Arial" w:eastAsia="宋体" w:hAnsi="Arial" w:cs="Arial"/>
                <w:b/>
                <w:bCs/>
                <w:color w:val="000000"/>
                <w:sz w:val="15"/>
                <w:szCs w:val="15"/>
              </w:rPr>
              <w:t>21,112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3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6B"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36C"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36D" w14:textId="77777777" w:rsidR="003C66EB" w:rsidRDefault="00D96C4E">
            <w:pPr>
              <w:jc w:val="right"/>
              <w:textAlignment w:val="bottom"/>
            </w:pPr>
            <w:r>
              <w:rPr>
                <w:rFonts w:ascii="Arial" w:eastAsia="宋体" w:hAnsi="Arial" w:cs="Arial"/>
                <w:b/>
                <w:bCs/>
                <w:color w:val="000000"/>
                <w:sz w:val="15"/>
                <w:szCs w:val="15"/>
              </w:rPr>
              <w:t>(15,467)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3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6F"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370"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371" w14:textId="77777777" w:rsidR="003C66EB" w:rsidRDefault="00D96C4E">
            <w:pPr>
              <w:jc w:val="right"/>
              <w:textAlignment w:val="bottom"/>
            </w:pPr>
            <w:r>
              <w:rPr>
                <w:rFonts w:ascii="Arial" w:eastAsia="宋体" w:hAnsi="Arial" w:cs="Arial"/>
                <w:b/>
                <w:bCs/>
                <w:color w:val="000000"/>
                <w:sz w:val="15"/>
                <w:szCs w:val="15"/>
              </w:rPr>
              <w:t>5,645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372" w14:textId="77777777" w:rsidR="003C66EB" w:rsidRDefault="003C66EB">
            <w:pPr>
              <w:jc w:val="right"/>
              <w:rPr>
                <w:rFonts w:ascii="宋体"/>
              </w:rPr>
            </w:pPr>
          </w:p>
        </w:tc>
        <w:tc>
          <w:tcPr>
            <w:tcW w:w="0" w:type="auto"/>
            <w:shd w:val="clear" w:color="auto" w:fill="auto"/>
          </w:tcPr>
          <w:p w14:paraId="5EA26373" w14:textId="77777777" w:rsidR="003C66EB" w:rsidRDefault="003C66EB">
            <w:pPr>
              <w:rPr>
                <w:rFonts w:ascii="宋体"/>
                <w:vanish/>
              </w:rPr>
            </w:pPr>
          </w:p>
        </w:tc>
        <w:tc>
          <w:tcPr>
            <w:tcW w:w="0" w:type="auto"/>
            <w:gridSpan w:val="3"/>
            <w:shd w:val="clear" w:color="auto" w:fill="auto"/>
          </w:tcPr>
          <w:p w14:paraId="5EA26374" w14:textId="77777777" w:rsidR="003C66EB" w:rsidRDefault="003C66EB">
            <w:pPr>
              <w:rPr>
                <w:rFonts w:ascii="宋体"/>
                <w:vanish/>
              </w:rPr>
            </w:pPr>
          </w:p>
        </w:tc>
        <w:tc>
          <w:tcPr>
            <w:tcW w:w="0" w:type="auto"/>
            <w:gridSpan w:val="3"/>
            <w:shd w:val="clear" w:color="auto" w:fill="auto"/>
          </w:tcPr>
          <w:p w14:paraId="5EA26375" w14:textId="77777777" w:rsidR="003C66EB" w:rsidRDefault="003C66EB">
            <w:pPr>
              <w:rPr>
                <w:rFonts w:ascii="宋体"/>
                <w:vanish/>
              </w:rPr>
            </w:pPr>
          </w:p>
        </w:tc>
        <w:tc>
          <w:tcPr>
            <w:tcW w:w="0" w:type="auto"/>
            <w:gridSpan w:val="3"/>
            <w:shd w:val="clear" w:color="auto" w:fill="auto"/>
          </w:tcPr>
          <w:p w14:paraId="5EA26376" w14:textId="77777777" w:rsidR="003C66EB" w:rsidRDefault="003C66EB">
            <w:pPr>
              <w:rPr>
                <w:rFonts w:ascii="宋体"/>
                <w:vanish/>
              </w:rPr>
            </w:pPr>
          </w:p>
        </w:tc>
        <w:tc>
          <w:tcPr>
            <w:tcW w:w="0" w:type="auto"/>
            <w:gridSpan w:val="3"/>
            <w:shd w:val="clear" w:color="auto" w:fill="auto"/>
          </w:tcPr>
          <w:p w14:paraId="5EA26377" w14:textId="77777777" w:rsidR="003C66EB" w:rsidRDefault="003C66EB">
            <w:pPr>
              <w:rPr>
                <w:rFonts w:ascii="宋体"/>
                <w:vanish/>
              </w:rPr>
            </w:pPr>
          </w:p>
        </w:tc>
      </w:tr>
    </w:tbl>
    <w:p w14:paraId="5EA26379"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7"/>
        <w:gridCol w:w="105"/>
        <w:gridCol w:w="1022"/>
        <w:gridCol w:w="36"/>
        <w:gridCol w:w="36"/>
        <w:gridCol w:w="36"/>
        <w:gridCol w:w="36"/>
        <w:gridCol w:w="105"/>
        <w:gridCol w:w="1179"/>
        <w:gridCol w:w="36"/>
        <w:gridCol w:w="36"/>
        <w:gridCol w:w="36"/>
        <w:gridCol w:w="36"/>
        <w:gridCol w:w="105"/>
        <w:gridCol w:w="1276"/>
        <w:gridCol w:w="36"/>
        <w:gridCol w:w="36"/>
        <w:gridCol w:w="36"/>
        <w:gridCol w:w="36"/>
        <w:gridCol w:w="105"/>
        <w:gridCol w:w="1032"/>
        <w:gridCol w:w="37"/>
        <w:gridCol w:w="36"/>
        <w:gridCol w:w="36"/>
        <w:gridCol w:w="36"/>
        <w:gridCol w:w="105"/>
        <w:gridCol w:w="716"/>
        <w:gridCol w:w="37"/>
      </w:tblGrid>
      <w:tr w:rsidR="003C66EB" w14:paraId="5EA26398" w14:textId="77777777">
        <w:tc>
          <w:tcPr>
            <w:tcW w:w="50" w:type="pct"/>
            <w:shd w:val="clear" w:color="auto" w:fill="auto"/>
          </w:tcPr>
          <w:p w14:paraId="5EA2637A" w14:textId="77777777" w:rsidR="003C66EB" w:rsidRDefault="003C66EB">
            <w:pPr>
              <w:rPr>
                <w:rFonts w:ascii="宋体"/>
              </w:rPr>
            </w:pPr>
          </w:p>
        </w:tc>
        <w:tc>
          <w:tcPr>
            <w:tcW w:w="1165" w:type="pct"/>
            <w:shd w:val="clear" w:color="auto" w:fill="auto"/>
          </w:tcPr>
          <w:p w14:paraId="5EA2637B" w14:textId="77777777" w:rsidR="003C66EB" w:rsidRDefault="003C66EB">
            <w:pPr>
              <w:rPr>
                <w:rFonts w:ascii="宋体"/>
              </w:rPr>
            </w:pPr>
          </w:p>
        </w:tc>
        <w:tc>
          <w:tcPr>
            <w:tcW w:w="5" w:type="pct"/>
            <w:shd w:val="clear" w:color="auto" w:fill="auto"/>
          </w:tcPr>
          <w:p w14:paraId="5EA2637C" w14:textId="77777777" w:rsidR="003C66EB" w:rsidRDefault="003C66EB">
            <w:pPr>
              <w:rPr>
                <w:rFonts w:ascii="宋体"/>
              </w:rPr>
            </w:pPr>
          </w:p>
        </w:tc>
        <w:tc>
          <w:tcPr>
            <w:tcW w:w="50" w:type="pct"/>
            <w:shd w:val="clear" w:color="auto" w:fill="auto"/>
          </w:tcPr>
          <w:p w14:paraId="5EA2637D" w14:textId="77777777" w:rsidR="003C66EB" w:rsidRDefault="003C66EB">
            <w:pPr>
              <w:rPr>
                <w:rFonts w:ascii="宋体"/>
              </w:rPr>
            </w:pPr>
          </w:p>
        </w:tc>
        <w:tc>
          <w:tcPr>
            <w:tcW w:w="639" w:type="pct"/>
            <w:shd w:val="clear" w:color="auto" w:fill="auto"/>
          </w:tcPr>
          <w:p w14:paraId="5EA2637E" w14:textId="77777777" w:rsidR="003C66EB" w:rsidRDefault="003C66EB">
            <w:pPr>
              <w:rPr>
                <w:rFonts w:ascii="宋体"/>
              </w:rPr>
            </w:pPr>
          </w:p>
        </w:tc>
        <w:tc>
          <w:tcPr>
            <w:tcW w:w="5" w:type="pct"/>
            <w:shd w:val="clear" w:color="auto" w:fill="auto"/>
          </w:tcPr>
          <w:p w14:paraId="5EA2637F" w14:textId="77777777" w:rsidR="003C66EB" w:rsidRDefault="003C66EB">
            <w:pPr>
              <w:rPr>
                <w:rFonts w:ascii="宋体"/>
              </w:rPr>
            </w:pPr>
          </w:p>
        </w:tc>
        <w:tc>
          <w:tcPr>
            <w:tcW w:w="5" w:type="pct"/>
            <w:shd w:val="clear" w:color="auto" w:fill="auto"/>
          </w:tcPr>
          <w:p w14:paraId="5EA26380" w14:textId="77777777" w:rsidR="003C66EB" w:rsidRDefault="003C66EB">
            <w:pPr>
              <w:rPr>
                <w:rFonts w:ascii="宋体"/>
              </w:rPr>
            </w:pPr>
          </w:p>
        </w:tc>
        <w:tc>
          <w:tcPr>
            <w:tcW w:w="26" w:type="pct"/>
            <w:shd w:val="clear" w:color="auto" w:fill="auto"/>
          </w:tcPr>
          <w:p w14:paraId="5EA26381" w14:textId="77777777" w:rsidR="003C66EB" w:rsidRDefault="003C66EB">
            <w:pPr>
              <w:rPr>
                <w:rFonts w:ascii="宋体"/>
              </w:rPr>
            </w:pPr>
          </w:p>
        </w:tc>
        <w:tc>
          <w:tcPr>
            <w:tcW w:w="5" w:type="pct"/>
            <w:shd w:val="clear" w:color="auto" w:fill="auto"/>
          </w:tcPr>
          <w:p w14:paraId="5EA26382" w14:textId="77777777" w:rsidR="003C66EB" w:rsidRDefault="003C66EB">
            <w:pPr>
              <w:rPr>
                <w:rFonts w:ascii="宋体"/>
              </w:rPr>
            </w:pPr>
          </w:p>
        </w:tc>
        <w:tc>
          <w:tcPr>
            <w:tcW w:w="50" w:type="pct"/>
            <w:shd w:val="clear" w:color="auto" w:fill="auto"/>
          </w:tcPr>
          <w:p w14:paraId="5EA26383" w14:textId="77777777" w:rsidR="003C66EB" w:rsidRDefault="003C66EB">
            <w:pPr>
              <w:rPr>
                <w:rFonts w:ascii="宋体"/>
              </w:rPr>
            </w:pPr>
          </w:p>
        </w:tc>
        <w:tc>
          <w:tcPr>
            <w:tcW w:w="756" w:type="pct"/>
            <w:shd w:val="clear" w:color="auto" w:fill="auto"/>
          </w:tcPr>
          <w:p w14:paraId="5EA26384" w14:textId="77777777" w:rsidR="003C66EB" w:rsidRDefault="003C66EB">
            <w:pPr>
              <w:rPr>
                <w:rFonts w:ascii="宋体"/>
              </w:rPr>
            </w:pPr>
          </w:p>
        </w:tc>
        <w:tc>
          <w:tcPr>
            <w:tcW w:w="5" w:type="pct"/>
            <w:shd w:val="clear" w:color="auto" w:fill="auto"/>
          </w:tcPr>
          <w:p w14:paraId="5EA26385" w14:textId="77777777" w:rsidR="003C66EB" w:rsidRDefault="003C66EB">
            <w:pPr>
              <w:rPr>
                <w:rFonts w:ascii="宋体"/>
              </w:rPr>
            </w:pPr>
          </w:p>
        </w:tc>
        <w:tc>
          <w:tcPr>
            <w:tcW w:w="5" w:type="pct"/>
            <w:shd w:val="clear" w:color="auto" w:fill="auto"/>
          </w:tcPr>
          <w:p w14:paraId="5EA26386" w14:textId="77777777" w:rsidR="003C66EB" w:rsidRDefault="003C66EB">
            <w:pPr>
              <w:rPr>
                <w:rFonts w:ascii="宋体"/>
              </w:rPr>
            </w:pPr>
          </w:p>
        </w:tc>
        <w:tc>
          <w:tcPr>
            <w:tcW w:w="26" w:type="pct"/>
            <w:shd w:val="clear" w:color="auto" w:fill="auto"/>
          </w:tcPr>
          <w:p w14:paraId="5EA26387" w14:textId="77777777" w:rsidR="003C66EB" w:rsidRDefault="003C66EB">
            <w:pPr>
              <w:rPr>
                <w:rFonts w:ascii="宋体"/>
              </w:rPr>
            </w:pPr>
          </w:p>
        </w:tc>
        <w:tc>
          <w:tcPr>
            <w:tcW w:w="5" w:type="pct"/>
            <w:shd w:val="clear" w:color="auto" w:fill="auto"/>
          </w:tcPr>
          <w:p w14:paraId="5EA26388" w14:textId="77777777" w:rsidR="003C66EB" w:rsidRDefault="003C66EB">
            <w:pPr>
              <w:rPr>
                <w:rFonts w:ascii="宋体"/>
              </w:rPr>
            </w:pPr>
          </w:p>
        </w:tc>
        <w:tc>
          <w:tcPr>
            <w:tcW w:w="50" w:type="pct"/>
            <w:shd w:val="clear" w:color="auto" w:fill="auto"/>
          </w:tcPr>
          <w:p w14:paraId="5EA26389" w14:textId="77777777" w:rsidR="003C66EB" w:rsidRDefault="003C66EB">
            <w:pPr>
              <w:rPr>
                <w:rFonts w:ascii="宋体"/>
              </w:rPr>
            </w:pPr>
          </w:p>
        </w:tc>
        <w:tc>
          <w:tcPr>
            <w:tcW w:w="814" w:type="pct"/>
            <w:shd w:val="clear" w:color="auto" w:fill="auto"/>
          </w:tcPr>
          <w:p w14:paraId="5EA2638A" w14:textId="77777777" w:rsidR="003C66EB" w:rsidRDefault="003C66EB">
            <w:pPr>
              <w:rPr>
                <w:rFonts w:ascii="宋体"/>
              </w:rPr>
            </w:pPr>
          </w:p>
        </w:tc>
        <w:tc>
          <w:tcPr>
            <w:tcW w:w="5" w:type="pct"/>
            <w:shd w:val="clear" w:color="auto" w:fill="auto"/>
          </w:tcPr>
          <w:p w14:paraId="5EA2638B" w14:textId="77777777" w:rsidR="003C66EB" w:rsidRDefault="003C66EB">
            <w:pPr>
              <w:rPr>
                <w:rFonts w:ascii="宋体"/>
              </w:rPr>
            </w:pPr>
          </w:p>
        </w:tc>
        <w:tc>
          <w:tcPr>
            <w:tcW w:w="5" w:type="pct"/>
            <w:shd w:val="clear" w:color="auto" w:fill="auto"/>
          </w:tcPr>
          <w:p w14:paraId="5EA2638C" w14:textId="77777777" w:rsidR="003C66EB" w:rsidRDefault="003C66EB">
            <w:pPr>
              <w:rPr>
                <w:rFonts w:ascii="宋体"/>
              </w:rPr>
            </w:pPr>
          </w:p>
        </w:tc>
        <w:tc>
          <w:tcPr>
            <w:tcW w:w="26" w:type="pct"/>
            <w:shd w:val="clear" w:color="auto" w:fill="auto"/>
          </w:tcPr>
          <w:p w14:paraId="5EA2638D" w14:textId="77777777" w:rsidR="003C66EB" w:rsidRDefault="003C66EB">
            <w:pPr>
              <w:rPr>
                <w:rFonts w:ascii="宋体"/>
              </w:rPr>
            </w:pPr>
          </w:p>
        </w:tc>
        <w:tc>
          <w:tcPr>
            <w:tcW w:w="5" w:type="pct"/>
            <w:shd w:val="clear" w:color="auto" w:fill="auto"/>
          </w:tcPr>
          <w:p w14:paraId="5EA2638E" w14:textId="77777777" w:rsidR="003C66EB" w:rsidRDefault="003C66EB">
            <w:pPr>
              <w:rPr>
                <w:rFonts w:ascii="宋体"/>
              </w:rPr>
            </w:pPr>
          </w:p>
        </w:tc>
        <w:tc>
          <w:tcPr>
            <w:tcW w:w="50" w:type="pct"/>
            <w:shd w:val="clear" w:color="auto" w:fill="auto"/>
          </w:tcPr>
          <w:p w14:paraId="5EA2638F" w14:textId="77777777" w:rsidR="003C66EB" w:rsidRDefault="003C66EB">
            <w:pPr>
              <w:rPr>
                <w:rFonts w:ascii="宋体"/>
              </w:rPr>
            </w:pPr>
          </w:p>
        </w:tc>
        <w:tc>
          <w:tcPr>
            <w:tcW w:w="668" w:type="pct"/>
            <w:shd w:val="clear" w:color="auto" w:fill="auto"/>
          </w:tcPr>
          <w:p w14:paraId="5EA26390" w14:textId="77777777" w:rsidR="003C66EB" w:rsidRDefault="003C66EB">
            <w:pPr>
              <w:rPr>
                <w:rFonts w:ascii="宋体"/>
              </w:rPr>
            </w:pPr>
          </w:p>
        </w:tc>
        <w:tc>
          <w:tcPr>
            <w:tcW w:w="5" w:type="pct"/>
            <w:shd w:val="clear" w:color="auto" w:fill="auto"/>
          </w:tcPr>
          <w:p w14:paraId="5EA26391" w14:textId="77777777" w:rsidR="003C66EB" w:rsidRDefault="003C66EB">
            <w:pPr>
              <w:rPr>
                <w:rFonts w:ascii="宋体"/>
              </w:rPr>
            </w:pPr>
          </w:p>
        </w:tc>
        <w:tc>
          <w:tcPr>
            <w:tcW w:w="5" w:type="pct"/>
            <w:shd w:val="clear" w:color="auto" w:fill="auto"/>
          </w:tcPr>
          <w:p w14:paraId="5EA26392" w14:textId="77777777" w:rsidR="003C66EB" w:rsidRDefault="003C66EB">
            <w:pPr>
              <w:rPr>
                <w:rFonts w:ascii="宋体"/>
              </w:rPr>
            </w:pPr>
          </w:p>
        </w:tc>
        <w:tc>
          <w:tcPr>
            <w:tcW w:w="26" w:type="pct"/>
            <w:shd w:val="clear" w:color="auto" w:fill="auto"/>
          </w:tcPr>
          <w:p w14:paraId="5EA26393" w14:textId="77777777" w:rsidR="003C66EB" w:rsidRDefault="003C66EB">
            <w:pPr>
              <w:rPr>
                <w:rFonts w:ascii="宋体"/>
              </w:rPr>
            </w:pPr>
          </w:p>
        </w:tc>
        <w:tc>
          <w:tcPr>
            <w:tcW w:w="5" w:type="pct"/>
            <w:shd w:val="clear" w:color="auto" w:fill="auto"/>
          </w:tcPr>
          <w:p w14:paraId="5EA26394" w14:textId="77777777" w:rsidR="003C66EB" w:rsidRDefault="003C66EB">
            <w:pPr>
              <w:rPr>
                <w:rFonts w:ascii="宋体"/>
              </w:rPr>
            </w:pPr>
          </w:p>
        </w:tc>
        <w:tc>
          <w:tcPr>
            <w:tcW w:w="50" w:type="pct"/>
            <w:shd w:val="clear" w:color="auto" w:fill="auto"/>
          </w:tcPr>
          <w:p w14:paraId="5EA26395" w14:textId="77777777" w:rsidR="003C66EB" w:rsidRDefault="003C66EB">
            <w:pPr>
              <w:rPr>
                <w:rFonts w:ascii="宋体"/>
              </w:rPr>
            </w:pPr>
          </w:p>
        </w:tc>
        <w:tc>
          <w:tcPr>
            <w:tcW w:w="478" w:type="pct"/>
            <w:shd w:val="clear" w:color="auto" w:fill="auto"/>
          </w:tcPr>
          <w:p w14:paraId="5EA26396" w14:textId="77777777" w:rsidR="003C66EB" w:rsidRDefault="003C66EB">
            <w:pPr>
              <w:rPr>
                <w:rFonts w:ascii="宋体"/>
              </w:rPr>
            </w:pPr>
          </w:p>
        </w:tc>
        <w:tc>
          <w:tcPr>
            <w:tcW w:w="5" w:type="pct"/>
            <w:shd w:val="clear" w:color="auto" w:fill="auto"/>
          </w:tcPr>
          <w:p w14:paraId="5EA26397" w14:textId="77777777" w:rsidR="003C66EB" w:rsidRDefault="003C66EB">
            <w:pPr>
              <w:rPr>
                <w:rFonts w:ascii="宋体"/>
              </w:rPr>
            </w:pPr>
          </w:p>
        </w:tc>
      </w:tr>
      <w:tr w:rsidR="003C66EB" w14:paraId="5EA2639B" w14:textId="77777777">
        <w:tc>
          <w:tcPr>
            <w:tcW w:w="0" w:type="auto"/>
            <w:gridSpan w:val="3"/>
            <w:shd w:val="clear" w:color="auto" w:fill="auto"/>
            <w:tcMar>
              <w:top w:w="40" w:type="dxa"/>
              <w:left w:w="20" w:type="dxa"/>
              <w:bottom w:w="40" w:type="dxa"/>
              <w:right w:w="20" w:type="dxa"/>
            </w:tcMar>
            <w:vAlign w:val="bottom"/>
          </w:tcPr>
          <w:p w14:paraId="5EA26399" w14:textId="77777777" w:rsidR="003C66EB" w:rsidRDefault="00D96C4E">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A2639A"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63A4" w14:textId="77777777">
        <w:trPr>
          <w:trHeight w:val="360"/>
        </w:trPr>
        <w:tc>
          <w:tcPr>
            <w:tcW w:w="0" w:type="auto"/>
            <w:gridSpan w:val="3"/>
            <w:shd w:val="clear" w:color="auto" w:fill="auto"/>
            <w:tcMar>
              <w:top w:w="0" w:type="dxa"/>
              <w:left w:w="20" w:type="dxa"/>
              <w:bottom w:w="0" w:type="dxa"/>
              <w:right w:w="20" w:type="dxa"/>
            </w:tcMar>
          </w:tcPr>
          <w:p w14:paraId="5EA2639C"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39D" w14:textId="77777777" w:rsidR="003C66EB" w:rsidRDefault="00D96C4E">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5EA2639E"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39F" w14:textId="77777777" w:rsidR="003C66EB" w:rsidRDefault="00D96C4E">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5EA263A0" w14:textId="77777777" w:rsidR="003C66EB" w:rsidRDefault="003C66EB">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A263A1" w14:textId="77777777" w:rsidR="003C66EB" w:rsidRDefault="00D96C4E">
            <w:pPr>
              <w:jc w:val="center"/>
              <w:textAlignment w:val="bottom"/>
            </w:pPr>
            <w:r>
              <w:rPr>
                <w:rFonts w:ascii="Arial" w:eastAsia="宋体" w:hAnsi="Arial" w:cs="Arial"/>
                <w:b/>
                <w:bCs/>
                <w:color w:val="000000"/>
                <w:sz w:val="15"/>
                <w:szCs w:val="15"/>
              </w:rPr>
              <w:t>Net Amounts of Liabilities Presented i</w:t>
            </w:r>
            <w:r>
              <w:rPr>
                <w:rFonts w:ascii="Arial" w:eastAsia="宋体" w:hAnsi="Arial" w:cs="Arial"/>
                <w:b/>
                <w:bCs/>
                <w:color w:val="000000"/>
                <w:sz w:val="15"/>
                <w:szCs w:val="15"/>
              </w:rPr>
              <w:t>n 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5EA263A2"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3A3" w14:textId="77777777" w:rsidR="003C66EB" w:rsidRDefault="00D96C4E">
            <w:pPr>
              <w:jc w:val="center"/>
              <w:textAlignment w:val="bottom"/>
            </w:pPr>
            <w:r>
              <w:rPr>
                <w:rFonts w:ascii="Arial" w:eastAsia="宋体" w:hAnsi="Arial" w:cs="Arial"/>
                <w:b/>
                <w:bCs/>
                <w:color w:val="000000"/>
                <w:sz w:val="15"/>
                <w:szCs w:val="15"/>
              </w:rPr>
              <w:t>Gross Amounts Not Offset in Statement of Condition</w:t>
            </w:r>
          </w:p>
        </w:tc>
      </w:tr>
      <w:tr w:rsidR="003C66EB" w14:paraId="5EA263AF" w14:textId="77777777">
        <w:trPr>
          <w:trHeight w:val="520"/>
        </w:trPr>
        <w:tc>
          <w:tcPr>
            <w:tcW w:w="0" w:type="auto"/>
            <w:gridSpan w:val="3"/>
            <w:shd w:val="clear" w:color="auto" w:fill="auto"/>
            <w:tcMar>
              <w:top w:w="40" w:type="dxa"/>
              <w:left w:w="20" w:type="dxa"/>
              <w:bottom w:w="40" w:type="dxa"/>
              <w:right w:w="20" w:type="dxa"/>
            </w:tcMar>
            <w:vAlign w:val="bottom"/>
          </w:tcPr>
          <w:p w14:paraId="5EA263A5"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3A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3A7"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3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3A9" w14:textId="77777777" w:rsidR="003C66EB" w:rsidRDefault="003C66EB">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A263AA" w14:textId="77777777" w:rsidR="003C66EB" w:rsidRDefault="003C66EB">
            <w:pPr>
              <w:jc w:val="center"/>
              <w:rPr>
                <w:rFonts w:ascii="宋体"/>
              </w:rPr>
            </w:pPr>
          </w:p>
        </w:tc>
        <w:tc>
          <w:tcPr>
            <w:tcW w:w="0" w:type="auto"/>
            <w:gridSpan w:val="3"/>
            <w:shd w:val="clear" w:color="auto" w:fill="auto"/>
            <w:tcMar>
              <w:top w:w="0" w:type="dxa"/>
              <w:left w:w="20" w:type="dxa"/>
              <w:bottom w:w="0" w:type="dxa"/>
              <w:right w:w="20" w:type="dxa"/>
            </w:tcMar>
          </w:tcPr>
          <w:p w14:paraId="5EA263A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3AC" w14:textId="77777777" w:rsidR="003C66EB" w:rsidRDefault="00D96C4E">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5EA263A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3AE" w14:textId="77777777" w:rsidR="003C66EB" w:rsidRDefault="00D96C4E">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3C66EB" w14:paraId="5EA263BA" w14:textId="77777777">
        <w:tc>
          <w:tcPr>
            <w:tcW w:w="0" w:type="auto"/>
            <w:gridSpan w:val="3"/>
            <w:shd w:val="clear" w:color="auto" w:fill="auto"/>
            <w:tcMar>
              <w:top w:w="40" w:type="dxa"/>
              <w:left w:w="20" w:type="dxa"/>
              <w:bottom w:w="40" w:type="dxa"/>
              <w:right w:w="20" w:type="dxa"/>
            </w:tcMar>
            <w:vAlign w:val="bottom"/>
          </w:tcPr>
          <w:p w14:paraId="5EA263B0" w14:textId="77777777" w:rsidR="003C66EB" w:rsidRDefault="00D96C4E">
            <w:pPr>
              <w:textAlignment w:val="bottom"/>
            </w:pPr>
            <w:r>
              <w:rPr>
                <w:rFonts w:ascii="Arial" w:eastAsia="宋体" w:hAnsi="Arial" w:cs="Arial"/>
                <w:b/>
                <w:bCs/>
                <w:color w:val="000000"/>
                <w:sz w:val="15"/>
                <w:szCs w:val="15"/>
              </w:rPr>
              <w:t>Derivat</w:t>
            </w:r>
            <w:r>
              <w:rPr>
                <w:rFonts w:ascii="Arial" w:eastAsia="宋体" w:hAnsi="Arial" w:cs="Arial"/>
                <w:b/>
                <w:bCs/>
                <w:color w:val="000000"/>
                <w:sz w:val="15"/>
                <w:szCs w:val="15"/>
              </w:rPr>
              <w:t>ives:</w:t>
            </w:r>
          </w:p>
        </w:tc>
        <w:tc>
          <w:tcPr>
            <w:tcW w:w="0" w:type="auto"/>
            <w:gridSpan w:val="3"/>
            <w:tcBorders>
              <w:top w:val="single" w:sz="8" w:space="0" w:color="000000"/>
            </w:tcBorders>
            <w:shd w:val="clear" w:color="auto" w:fill="auto"/>
            <w:tcMar>
              <w:top w:w="0" w:type="dxa"/>
              <w:left w:w="20" w:type="dxa"/>
              <w:bottom w:w="0" w:type="dxa"/>
              <w:right w:w="20" w:type="dxa"/>
            </w:tcMar>
          </w:tcPr>
          <w:p w14:paraId="5EA263B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3B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3B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3B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3B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3B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3B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3B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3B9" w14:textId="77777777" w:rsidR="003C66EB" w:rsidRDefault="003C66EB">
            <w:pPr>
              <w:rPr>
                <w:rFonts w:ascii="宋体"/>
              </w:rPr>
            </w:pPr>
          </w:p>
        </w:tc>
      </w:tr>
      <w:tr w:rsidR="003C66EB" w14:paraId="5EA263CF" w14:textId="77777777">
        <w:tc>
          <w:tcPr>
            <w:tcW w:w="0" w:type="auto"/>
            <w:gridSpan w:val="3"/>
            <w:shd w:val="clear" w:color="auto" w:fill="CCEEFF"/>
            <w:tcMar>
              <w:top w:w="40" w:type="dxa"/>
              <w:left w:w="20" w:type="dxa"/>
              <w:bottom w:w="40" w:type="dxa"/>
              <w:right w:w="20" w:type="dxa"/>
            </w:tcMar>
            <w:vAlign w:val="bottom"/>
          </w:tcPr>
          <w:p w14:paraId="5EA263BB" w14:textId="77777777" w:rsidR="003C66EB" w:rsidRDefault="00D96C4E">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A263BC"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3BD" w14:textId="77777777" w:rsidR="003C66EB" w:rsidRDefault="00D96C4E">
            <w:pPr>
              <w:jc w:val="right"/>
              <w:textAlignment w:val="bottom"/>
            </w:pPr>
            <w:r>
              <w:rPr>
                <w:rFonts w:ascii="Arial" w:eastAsia="宋体" w:hAnsi="Arial" w:cs="Arial"/>
                <w:color w:val="000000"/>
                <w:sz w:val="15"/>
                <w:szCs w:val="15"/>
              </w:rPr>
              <w:t>25,927 </w:t>
            </w:r>
          </w:p>
        </w:tc>
        <w:tc>
          <w:tcPr>
            <w:tcW w:w="0" w:type="auto"/>
            <w:shd w:val="clear" w:color="auto" w:fill="CCEEFF"/>
            <w:tcMar>
              <w:top w:w="40" w:type="dxa"/>
              <w:left w:w="0" w:type="dxa"/>
              <w:bottom w:w="40" w:type="dxa"/>
              <w:right w:w="20" w:type="dxa"/>
            </w:tcMar>
            <w:vAlign w:val="bottom"/>
          </w:tcPr>
          <w:p w14:paraId="5EA263B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B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3C0"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3C1" w14:textId="77777777" w:rsidR="003C66EB" w:rsidRDefault="00D96C4E">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5EA263C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C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3C4"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3C5" w14:textId="77777777" w:rsidR="003C66EB" w:rsidRDefault="00D96C4E">
            <w:pPr>
              <w:jc w:val="right"/>
              <w:textAlignment w:val="bottom"/>
            </w:pPr>
            <w:r>
              <w:rPr>
                <w:rFonts w:ascii="Arial" w:eastAsia="宋体" w:hAnsi="Arial" w:cs="Arial"/>
                <w:color w:val="000000"/>
                <w:sz w:val="15"/>
                <w:szCs w:val="15"/>
              </w:rPr>
              <w:t>11,656 </w:t>
            </w:r>
          </w:p>
        </w:tc>
        <w:tc>
          <w:tcPr>
            <w:tcW w:w="0" w:type="auto"/>
            <w:shd w:val="clear" w:color="auto" w:fill="CCEEFF"/>
            <w:tcMar>
              <w:top w:w="40" w:type="dxa"/>
              <w:left w:w="0" w:type="dxa"/>
              <w:bottom w:w="40" w:type="dxa"/>
              <w:right w:w="20" w:type="dxa"/>
            </w:tcMar>
            <w:vAlign w:val="bottom"/>
          </w:tcPr>
          <w:p w14:paraId="5EA263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C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3C8"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3C9"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3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C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3CC"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3CD" w14:textId="77777777" w:rsidR="003C66EB" w:rsidRDefault="00D96C4E">
            <w:pPr>
              <w:jc w:val="right"/>
              <w:textAlignment w:val="bottom"/>
            </w:pPr>
            <w:r>
              <w:rPr>
                <w:rFonts w:ascii="Arial" w:eastAsia="宋体" w:hAnsi="Arial" w:cs="Arial"/>
                <w:color w:val="000000"/>
                <w:sz w:val="15"/>
                <w:szCs w:val="15"/>
              </w:rPr>
              <w:t>11,656 </w:t>
            </w:r>
          </w:p>
        </w:tc>
        <w:tc>
          <w:tcPr>
            <w:tcW w:w="0" w:type="auto"/>
            <w:shd w:val="clear" w:color="auto" w:fill="CCEEFF"/>
            <w:tcMar>
              <w:top w:w="40" w:type="dxa"/>
              <w:left w:w="0" w:type="dxa"/>
              <w:bottom w:w="40" w:type="dxa"/>
              <w:right w:w="20" w:type="dxa"/>
            </w:tcMar>
            <w:vAlign w:val="bottom"/>
          </w:tcPr>
          <w:p w14:paraId="5EA263CE" w14:textId="77777777" w:rsidR="003C66EB" w:rsidRDefault="003C66EB">
            <w:pPr>
              <w:jc w:val="right"/>
              <w:rPr>
                <w:rFonts w:ascii="宋体"/>
              </w:rPr>
            </w:pPr>
          </w:p>
        </w:tc>
      </w:tr>
      <w:tr w:rsidR="003C66EB" w14:paraId="5EA263DF" w14:textId="77777777">
        <w:tc>
          <w:tcPr>
            <w:tcW w:w="0" w:type="auto"/>
            <w:gridSpan w:val="3"/>
            <w:shd w:val="clear" w:color="auto" w:fill="FFFFFF"/>
            <w:tcMar>
              <w:top w:w="40" w:type="dxa"/>
              <w:left w:w="20" w:type="dxa"/>
              <w:bottom w:w="40" w:type="dxa"/>
              <w:right w:w="20" w:type="dxa"/>
            </w:tcMar>
            <w:vAlign w:val="bottom"/>
          </w:tcPr>
          <w:p w14:paraId="5EA263D0" w14:textId="77777777" w:rsidR="003C66EB" w:rsidRDefault="00D96C4E">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A263D1" w14:textId="77777777" w:rsidR="003C66EB" w:rsidRDefault="00D96C4E">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A263D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D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D4"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3D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D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D7" w14:textId="77777777" w:rsidR="003C66EB" w:rsidRDefault="00D96C4E">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A263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DA"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3D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D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DD" w14:textId="77777777" w:rsidR="003C66EB" w:rsidRDefault="00D96C4E">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A263DE" w14:textId="77777777" w:rsidR="003C66EB" w:rsidRDefault="003C66EB">
            <w:pPr>
              <w:jc w:val="right"/>
              <w:rPr>
                <w:rFonts w:ascii="宋体"/>
              </w:rPr>
            </w:pPr>
          </w:p>
        </w:tc>
      </w:tr>
      <w:tr w:rsidR="003C66EB" w14:paraId="5EA263EF" w14:textId="77777777">
        <w:tc>
          <w:tcPr>
            <w:tcW w:w="0" w:type="auto"/>
            <w:gridSpan w:val="3"/>
            <w:shd w:val="clear" w:color="auto" w:fill="CCEEFF"/>
            <w:tcMar>
              <w:top w:w="40" w:type="dxa"/>
              <w:left w:w="20" w:type="dxa"/>
              <w:bottom w:w="40" w:type="dxa"/>
              <w:right w:w="20" w:type="dxa"/>
            </w:tcMar>
            <w:vAlign w:val="bottom"/>
          </w:tcPr>
          <w:p w14:paraId="5EA263E0" w14:textId="77777777" w:rsidR="003C66EB" w:rsidRDefault="00D96C4E">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A263E1" w14:textId="77777777" w:rsidR="003C66EB" w:rsidRDefault="00D96C4E">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EA263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E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E4"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3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E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E7" w14:textId="77777777" w:rsidR="003C66EB" w:rsidRDefault="00D96C4E">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EA263E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E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EA"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3E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3E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3ED" w14:textId="77777777" w:rsidR="003C66EB" w:rsidRDefault="00D96C4E">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EA263EE" w14:textId="77777777" w:rsidR="003C66EB" w:rsidRDefault="003C66EB">
            <w:pPr>
              <w:jc w:val="right"/>
              <w:rPr>
                <w:rFonts w:ascii="宋体"/>
              </w:rPr>
            </w:pPr>
          </w:p>
        </w:tc>
      </w:tr>
      <w:tr w:rsidR="003C66EB" w14:paraId="5EA263FE" w14:textId="77777777">
        <w:tc>
          <w:tcPr>
            <w:tcW w:w="0" w:type="auto"/>
            <w:gridSpan w:val="3"/>
            <w:shd w:val="clear" w:color="auto" w:fill="FFFFFF"/>
            <w:tcMar>
              <w:top w:w="40" w:type="dxa"/>
              <w:left w:w="20" w:type="dxa"/>
              <w:bottom w:w="40" w:type="dxa"/>
              <w:right w:w="20" w:type="dxa"/>
            </w:tcMar>
            <w:vAlign w:val="bottom"/>
          </w:tcPr>
          <w:p w14:paraId="5EA263F0" w14:textId="77777777" w:rsidR="003C66EB" w:rsidRDefault="00D96C4E">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5EA263F1" w14:textId="77777777" w:rsidR="003C66EB" w:rsidRDefault="00D96C4E">
            <w:pPr>
              <w:jc w:val="right"/>
              <w:textAlignment w:val="bottom"/>
            </w:pPr>
            <w:r>
              <w:rPr>
                <w:rFonts w:ascii="Arial" w:eastAsia="宋体" w:hAnsi="Arial" w:cs="Arial"/>
                <w:color w:val="000000"/>
                <w:sz w:val="15"/>
                <w:szCs w:val="15"/>
              </w:rPr>
              <w:t>NA</w:t>
            </w:r>
          </w:p>
        </w:tc>
        <w:tc>
          <w:tcPr>
            <w:tcW w:w="0" w:type="auto"/>
            <w:gridSpan w:val="3"/>
            <w:shd w:val="clear" w:color="auto" w:fill="FFFFFF"/>
            <w:tcMar>
              <w:top w:w="0" w:type="dxa"/>
              <w:left w:w="20" w:type="dxa"/>
              <w:bottom w:w="0" w:type="dxa"/>
              <w:right w:w="20" w:type="dxa"/>
            </w:tcMar>
          </w:tcPr>
          <w:p w14:paraId="5EA263F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F3" w14:textId="77777777" w:rsidR="003C66EB" w:rsidRDefault="00D96C4E">
            <w:pPr>
              <w:jc w:val="right"/>
              <w:textAlignment w:val="bottom"/>
            </w:pPr>
            <w:r>
              <w:rPr>
                <w:rFonts w:ascii="Arial" w:eastAsia="宋体" w:hAnsi="Arial" w:cs="Arial"/>
                <w:color w:val="000000"/>
                <w:sz w:val="15"/>
                <w:szCs w:val="15"/>
              </w:rPr>
              <w:t>(1,287)</w:t>
            </w:r>
          </w:p>
        </w:tc>
        <w:tc>
          <w:tcPr>
            <w:tcW w:w="0" w:type="auto"/>
            <w:shd w:val="clear" w:color="auto" w:fill="FFFFFF"/>
            <w:tcMar>
              <w:top w:w="40" w:type="dxa"/>
              <w:left w:w="0" w:type="dxa"/>
              <w:bottom w:w="40" w:type="dxa"/>
              <w:right w:w="20" w:type="dxa"/>
            </w:tcMar>
            <w:vAlign w:val="bottom"/>
          </w:tcPr>
          <w:p w14:paraId="5EA263F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F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F6" w14:textId="77777777" w:rsidR="003C66EB" w:rsidRDefault="00D96C4E">
            <w:pPr>
              <w:jc w:val="right"/>
              <w:textAlignment w:val="bottom"/>
            </w:pPr>
            <w:r>
              <w:rPr>
                <w:rFonts w:ascii="Arial" w:eastAsia="宋体" w:hAnsi="Arial" w:cs="Arial"/>
                <w:color w:val="000000"/>
                <w:sz w:val="15"/>
                <w:szCs w:val="15"/>
              </w:rPr>
              <w:t>(1,287)</w:t>
            </w:r>
          </w:p>
        </w:tc>
        <w:tc>
          <w:tcPr>
            <w:tcW w:w="0" w:type="auto"/>
            <w:shd w:val="clear" w:color="auto" w:fill="FFFFFF"/>
            <w:tcMar>
              <w:top w:w="40" w:type="dxa"/>
              <w:left w:w="0" w:type="dxa"/>
              <w:bottom w:w="40" w:type="dxa"/>
              <w:right w:w="20" w:type="dxa"/>
            </w:tcMar>
            <w:vAlign w:val="bottom"/>
          </w:tcPr>
          <w:p w14:paraId="5EA263F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F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F9" w14:textId="77777777" w:rsidR="003C66EB" w:rsidRDefault="00D96C4E">
            <w:pPr>
              <w:jc w:val="right"/>
              <w:textAlignment w:val="bottom"/>
            </w:pPr>
            <w:r>
              <w:rPr>
                <w:rFonts w:ascii="Arial" w:eastAsia="宋体" w:hAnsi="Arial" w:cs="Arial"/>
                <w:color w:val="000000"/>
                <w:sz w:val="15"/>
                <w:szCs w:val="15"/>
              </w:rPr>
              <w:t>(1,732)</w:t>
            </w:r>
          </w:p>
        </w:tc>
        <w:tc>
          <w:tcPr>
            <w:tcW w:w="0" w:type="auto"/>
            <w:shd w:val="clear" w:color="auto" w:fill="FFFFFF"/>
            <w:tcMar>
              <w:top w:w="40" w:type="dxa"/>
              <w:left w:w="0" w:type="dxa"/>
              <w:bottom w:w="40" w:type="dxa"/>
              <w:right w:w="20" w:type="dxa"/>
            </w:tcMar>
            <w:vAlign w:val="bottom"/>
          </w:tcPr>
          <w:p w14:paraId="5EA263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3F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3FC" w14:textId="77777777" w:rsidR="003C66EB" w:rsidRDefault="00D96C4E">
            <w:pPr>
              <w:jc w:val="right"/>
              <w:textAlignment w:val="bottom"/>
            </w:pPr>
            <w:r>
              <w:rPr>
                <w:rFonts w:ascii="Arial" w:eastAsia="宋体" w:hAnsi="Arial" w:cs="Arial"/>
                <w:color w:val="000000"/>
                <w:sz w:val="15"/>
                <w:szCs w:val="15"/>
              </w:rPr>
              <w:t>(3,019)</w:t>
            </w:r>
          </w:p>
        </w:tc>
        <w:tc>
          <w:tcPr>
            <w:tcW w:w="0" w:type="auto"/>
            <w:shd w:val="clear" w:color="auto" w:fill="FFFFFF"/>
            <w:tcMar>
              <w:top w:w="40" w:type="dxa"/>
              <w:left w:w="0" w:type="dxa"/>
              <w:bottom w:w="40" w:type="dxa"/>
              <w:right w:w="20" w:type="dxa"/>
            </w:tcMar>
            <w:vAlign w:val="bottom"/>
          </w:tcPr>
          <w:p w14:paraId="5EA263FD" w14:textId="77777777" w:rsidR="003C66EB" w:rsidRDefault="003C66EB">
            <w:pPr>
              <w:jc w:val="right"/>
              <w:rPr>
                <w:rFonts w:ascii="宋体"/>
              </w:rPr>
            </w:pPr>
          </w:p>
        </w:tc>
      </w:tr>
      <w:tr w:rsidR="003C66EB" w14:paraId="5EA2640E" w14:textId="77777777">
        <w:tc>
          <w:tcPr>
            <w:tcW w:w="0" w:type="auto"/>
            <w:gridSpan w:val="3"/>
            <w:shd w:val="clear" w:color="auto" w:fill="CCEEFF"/>
            <w:tcMar>
              <w:top w:w="40" w:type="dxa"/>
              <w:left w:w="20" w:type="dxa"/>
              <w:bottom w:w="40" w:type="dxa"/>
              <w:right w:w="20" w:type="dxa"/>
            </w:tcMar>
            <w:vAlign w:val="bottom"/>
          </w:tcPr>
          <w:p w14:paraId="5EA263FF" w14:textId="77777777" w:rsidR="003C66EB" w:rsidRDefault="00D96C4E">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400" w14:textId="77777777" w:rsidR="003C66EB" w:rsidRDefault="00D96C4E">
            <w:pPr>
              <w:jc w:val="right"/>
              <w:textAlignment w:val="bottom"/>
            </w:pPr>
            <w:r>
              <w:rPr>
                <w:rFonts w:ascii="Arial" w:eastAsia="宋体" w:hAnsi="Arial" w:cs="Arial"/>
                <w:color w:val="000000"/>
                <w:sz w:val="15"/>
                <w:szCs w:val="15"/>
              </w:rPr>
              <w:t>26,126 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40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0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403" w14:textId="77777777" w:rsidR="003C66EB" w:rsidRDefault="00D96C4E">
            <w:pPr>
              <w:jc w:val="right"/>
              <w:textAlignment w:val="bottom"/>
            </w:pPr>
            <w:r>
              <w:rPr>
                <w:rFonts w:ascii="Arial" w:eastAsia="宋体" w:hAnsi="Arial" w:cs="Arial"/>
                <w:color w:val="000000"/>
                <w:sz w:val="15"/>
                <w:szCs w:val="15"/>
              </w:rPr>
              <w:t>(15,558)</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40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0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406" w14:textId="77777777" w:rsidR="003C66EB" w:rsidRDefault="00D96C4E">
            <w:pPr>
              <w:jc w:val="right"/>
              <w:textAlignment w:val="bottom"/>
            </w:pPr>
            <w:r>
              <w:rPr>
                <w:rFonts w:ascii="Arial" w:eastAsia="宋体" w:hAnsi="Arial" w:cs="Arial"/>
                <w:color w:val="000000"/>
                <w:sz w:val="15"/>
                <w:szCs w:val="15"/>
              </w:rPr>
              <w:t>10,568 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40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0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409" w14:textId="77777777" w:rsidR="003C66EB" w:rsidRDefault="00D96C4E">
            <w:pPr>
              <w:jc w:val="right"/>
              <w:textAlignment w:val="bottom"/>
            </w:pPr>
            <w:r>
              <w:rPr>
                <w:rFonts w:ascii="Arial" w:eastAsia="宋体" w:hAnsi="Arial" w:cs="Arial"/>
                <w:color w:val="000000"/>
                <w:sz w:val="15"/>
                <w:szCs w:val="15"/>
              </w:rPr>
              <w:t>(1,732)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4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0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40C" w14:textId="77777777" w:rsidR="003C66EB" w:rsidRDefault="00D96C4E">
            <w:pPr>
              <w:jc w:val="right"/>
              <w:textAlignment w:val="bottom"/>
            </w:pPr>
            <w:r>
              <w:rPr>
                <w:rFonts w:ascii="Arial" w:eastAsia="宋体" w:hAnsi="Arial" w:cs="Arial"/>
                <w:color w:val="000000"/>
                <w:sz w:val="15"/>
                <w:szCs w:val="15"/>
              </w:rPr>
              <w:t>8,836 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40D" w14:textId="77777777" w:rsidR="003C66EB" w:rsidRDefault="003C66EB">
            <w:pPr>
              <w:jc w:val="right"/>
              <w:rPr>
                <w:rFonts w:ascii="宋体"/>
              </w:rPr>
            </w:pPr>
          </w:p>
        </w:tc>
      </w:tr>
      <w:tr w:rsidR="003C66EB" w14:paraId="5EA26419" w14:textId="77777777">
        <w:tc>
          <w:tcPr>
            <w:tcW w:w="0" w:type="auto"/>
            <w:gridSpan w:val="3"/>
            <w:shd w:val="clear" w:color="auto" w:fill="FFFFFF"/>
            <w:tcMar>
              <w:top w:w="40" w:type="dxa"/>
              <w:left w:w="20" w:type="dxa"/>
              <w:bottom w:w="40" w:type="dxa"/>
              <w:right w:w="20" w:type="dxa"/>
            </w:tcMar>
            <w:vAlign w:val="bottom"/>
          </w:tcPr>
          <w:p w14:paraId="5EA2640F" w14:textId="77777777" w:rsidR="003C66EB" w:rsidRDefault="00D96C4E">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tcPr>
          <w:p w14:paraId="5EA2641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418" w14:textId="77777777" w:rsidR="003C66EB" w:rsidRDefault="003C66EB">
            <w:pPr>
              <w:rPr>
                <w:rFonts w:ascii="宋体"/>
              </w:rPr>
            </w:pPr>
          </w:p>
        </w:tc>
      </w:tr>
      <w:tr w:rsidR="003C66EB" w14:paraId="5EA26429" w14:textId="77777777">
        <w:tc>
          <w:tcPr>
            <w:tcW w:w="0" w:type="auto"/>
            <w:gridSpan w:val="3"/>
            <w:shd w:val="clear" w:color="auto" w:fill="CCEEFF"/>
            <w:tcMar>
              <w:top w:w="40" w:type="dxa"/>
              <w:left w:w="20" w:type="dxa"/>
              <w:bottom w:w="40" w:type="dxa"/>
              <w:right w:w="20" w:type="dxa"/>
            </w:tcMar>
            <w:vAlign w:val="bottom"/>
          </w:tcPr>
          <w:p w14:paraId="5EA2641A" w14:textId="77777777" w:rsidR="003C66EB" w:rsidRDefault="00D96C4E">
            <w:pP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5EA2641B" w14:textId="77777777" w:rsidR="003C66EB" w:rsidRDefault="00D96C4E">
            <w:pPr>
              <w:jc w:val="right"/>
              <w:textAlignment w:val="bottom"/>
            </w:pPr>
            <w:r>
              <w:rPr>
                <w:rFonts w:ascii="Arial" w:eastAsia="宋体" w:hAnsi="Arial" w:cs="Arial"/>
                <w:color w:val="000000"/>
                <w:sz w:val="15"/>
                <w:szCs w:val="15"/>
              </w:rPr>
              <w:t>165,793 </w:t>
            </w:r>
          </w:p>
        </w:tc>
        <w:tc>
          <w:tcPr>
            <w:tcW w:w="0" w:type="auto"/>
            <w:shd w:val="clear" w:color="auto" w:fill="CCEEFF"/>
            <w:tcMar>
              <w:top w:w="40" w:type="dxa"/>
              <w:left w:w="0" w:type="dxa"/>
              <w:bottom w:w="40" w:type="dxa"/>
              <w:right w:w="20" w:type="dxa"/>
            </w:tcMar>
            <w:vAlign w:val="bottom"/>
          </w:tcPr>
          <w:p w14:paraId="5EA264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1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41E" w14:textId="77777777" w:rsidR="003C66EB" w:rsidRDefault="00D96C4E">
            <w:pPr>
              <w:jc w:val="right"/>
              <w:textAlignment w:val="bottom"/>
            </w:pPr>
            <w:r>
              <w:rPr>
                <w:rFonts w:ascii="Arial" w:eastAsia="宋体" w:hAnsi="Arial" w:cs="Arial"/>
                <w:color w:val="000000"/>
                <w:sz w:val="15"/>
                <w:szCs w:val="15"/>
              </w:rPr>
              <w:t>(153,025)</w:t>
            </w:r>
          </w:p>
        </w:tc>
        <w:tc>
          <w:tcPr>
            <w:tcW w:w="0" w:type="auto"/>
            <w:shd w:val="clear" w:color="auto" w:fill="CCEEFF"/>
            <w:tcMar>
              <w:top w:w="40" w:type="dxa"/>
              <w:left w:w="0" w:type="dxa"/>
              <w:bottom w:w="40" w:type="dxa"/>
              <w:right w:w="20" w:type="dxa"/>
            </w:tcMar>
            <w:vAlign w:val="bottom"/>
          </w:tcPr>
          <w:p w14:paraId="5EA264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2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421" w14:textId="77777777" w:rsidR="003C66EB" w:rsidRDefault="00D96C4E">
            <w:pPr>
              <w:jc w:val="right"/>
              <w:textAlignment w:val="bottom"/>
            </w:pPr>
            <w:r>
              <w:rPr>
                <w:rFonts w:ascii="Arial" w:eastAsia="宋体" w:hAnsi="Arial" w:cs="Arial"/>
                <w:color w:val="000000"/>
                <w:sz w:val="15"/>
                <w:szCs w:val="15"/>
              </w:rPr>
              <w:t>12,768 </w:t>
            </w:r>
          </w:p>
        </w:tc>
        <w:tc>
          <w:tcPr>
            <w:tcW w:w="0" w:type="auto"/>
            <w:shd w:val="clear" w:color="auto" w:fill="CCEEFF"/>
            <w:tcMar>
              <w:top w:w="40" w:type="dxa"/>
              <w:left w:w="0" w:type="dxa"/>
              <w:bottom w:w="40" w:type="dxa"/>
              <w:right w:w="20" w:type="dxa"/>
            </w:tcMar>
            <w:vAlign w:val="bottom"/>
          </w:tcPr>
          <w:p w14:paraId="5EA2642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2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424" w14:textId="77777777" w:rsidR="003C66EB" w:rsidRDefault="00D96C4E">
            <w:pPr>
              <w:jc w:val="right"/>
              <w:textAlignment w:val="bottom"/>
            </w:pPr>
            <w:r>
              <w:rPr>
                <w:rFonts w:ascii="Arial" w:eastAsia="宋体" w:hAnsi="Arial" w:cs="Arial"/>
                <w:color w:val="000000"/>
                <w:sz w:val="15"/>
                <w:szCs w:val="15"/>
              </w:rPr>
              <w:t>(12,448)</w:t>
            </w:r>
          </w:p>
        </w:tc>
        <w:tc>
          <w:tcPr>
            <w:tcW w:w="0" w:type="auto"/>
            <w:shd w:val="clear" w:color="auto" w:fill="CCEEFF"/>
            <w:tcMar>
              <w:top w:w="40" w:type="dxa"/>
              <w:left w:w="0" w:type="dxa"/>
              <w:bottom w:w="40" w:type="dxa"/>
              <w:right w:w="20" w:type="dxa"/>
            </w:tcMar>
            <w:vAlign w:val="bottom"/>
          </w:tcPr>
          <w:p w14:paraId="5EA2642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42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427" w14:textId="77777777" w:rsidR="003C66EB" w:rsidRDefault="00D96C4E">
            <w:pPr>
              <w:jc w:val="right"/>
              <w:textAlignment w:val="bottom"/>
            </w:pPr>
            <w:r>
              <w:rPr>
                <w:rFonts w:ascii="Arial" w:eastAsia="宋体" w:hAnsi="Arial" w:cs="Arial"/>
                <w:color w:val="000000"/>
                <w:sz w:val="15"/>
                <w:szCs w:val="15"/>
              </w:rPr>
              <w:t>320 </w:t>
            </w:r>
          </w:p>
        </w:tc>
        <w:tc>
          <w:tcPr>
            <w:tcW w:w="0" w:type="auto"/>
            <w:shd w:val="clear" w:color="auto" w:fill="CCEEFF"/>
            <w:tcMar>
              <w:top w:w="40" w:type="dxa"/>
              <w:left w:w="0" w:type="dxa"/>
              <w:bottom w:w="40" w:type="dxa"/>
              <w:right w:w="20" w:type="dxa"/>
            </w:tcMar>
            <w:vAlign w:val="bottom"/>
          </w:tcPr>
          <w:p w14:paraId="5EA26428" w14:textId="77777777" w:rsidR="003C66EB" w:rsidRDefault="003C66EB">
            <w:pPr>
              <w:jc w:val="right"/>
              <w:rPr>
                <w:rFonts w:ascii="宋体"/>
              </w:rPr>
            </w:pPr>
          </w:p>
        </w:tc>
      </w:tr>
      <w:tr w:rsidR="003C66EB" w14:paraId="5EA2643E" w14:textId="77777777">
        <w:tc>
          <w:tcPr>
            <w:tcW w:w="0" w:type="auto"/>
            <w:gridSpan w:val="3"/>
            <w:shd w:val="clear" w:color="auto" w:fill="FFFFFF"/>
            <w:tcMar>
              <w:top w:w="40" w:type="dxa"/>
              <w:left w:w="20" w:type="dxa"/>
              <w:bottom w:w="40" w:type="dxa"/>
              <w:right w:w="20" w:type="dxa"/>
            </w:tcMar>
            <w:vAlign w:val="bottom"/>
          </w:tcPr>
          <w:p w14:paraId="5EA2642A" w14:textId="77777777" w:rsidR="003C66EB" w:rsidRDefault="00D96C4E">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42B"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42C" w14:textId="77777777" w:rsidR="003C66EB" w:rsidRDefault="00D96C4E">
            <w:pPr>
              <w:jc w:val="right"/>
              <w:textAlignment w:val="bottom"/>
            </w:pPr>
            <w:r>
              <w:rPr>
                <w:rFonts w:ascii="Arial" w:eastAsia="宋体" w:hAnsi="Arial" w:cs="Arial"/>
                <w:color w:val="000000"/>
                <w:sz w:val="15"/>
                <w:szCs w:val="15"/>
              </w:rPr>
              <w:t>191,919 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4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42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42F"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430" w14:textId="77777777" w:rsidR="003C66EB" w:rsidRDefault="00D96C4E">
            <w:pPr>
              <w:jc w:val="right"/>
              <w:textAlignment w:val="bottom"/>
            </w:pPr>
            <w:r>
              <w:rPr>
                <w:rFonts w:ascii="Arial" w:eastAsia="宋体" w:hAnsi="Arial" w:cs="Arial"/>
                <w:color w:val="000000"/>
                <w:sz w:val="15"/>
                <w:szCs w:val="15"/>
              </w:rPr>
              <w:t>(168,583)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4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43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433"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434" w14:textId="77777777" w:rsidR="003C66EB" w:rsidRDefault="00D96C4E">
            <w:pPr>
              <w:jc w:val="right"/>
              <w:textAlignment w:val="bottom"/>
            </w:pPr>
            <w:r>
              <w:rPr>
                <w:rFonts w:ascii="Arial" w:eastAsia="宋体" w:hAnsi="Arial" w:cs="Arial"/>
                <w:color w:val="000000"/>
                <w:sz w:val="15"/>
                <w:szCs w:val="15"/>
              </w:rPr>
              <w:t>23,336 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4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436"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437"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438" w14:textId="77777777" w:rsidR="003C66EB" w:rsidRDefault="00D96C4E">
            <w:pPr>
              <w:jc w:val="right"/>
              <w:textAlignment w:val="bottom"/>
            </w:pPr>
            <w:r>
              <w:rPr>
                <w:rFonts w:ascii="Arial" w:eastAsia="宋体" w:hAnsi="Arial" w:cs="Arial"/>
                <w:color w:val="000000"/>
                <w:sz w:val="15"/>
                <w:szCs w:val="15"/>
              </w:rPr>
              <w:t>(14,180)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4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43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43B"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43C" w14:textId="77777777" w:rsidR="003C66EB" w:rsidRDefault="00D96C4E">
            <w:pPr>
              <w:jc w:val="right"/>
              <w:textAlignment w:val="bottom"/>
            </w:pPr>
            <w:r>
              <w:rPr>
                <w:rFonts w:ascii="Arial" w:eastAsia="宋体" w:hAnsi="Arial" w:cs="Arial"/>
                <w:color w:val="000000"/>
                <w:sz w:val="15"/>
                <w:szCs w:val="15"/>
              </w:rPr>
              <w:t>9,156 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43D" w14:textId="77777777" w:rsidR="003C66EB" w:rsidRDefault="003C66EB">
            <w:pPr>
              <w:jc w:val="right"/>
              <w:rPr>
                <w:rFonts w:ascii="宋体"/>
              </w:rPr>
            </w:pPr>
          </w:p>
        </w:tc>
      </w:tr>
    </w:tbl>
    <w:p w14:paraId="5EA2643F"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3C66EB" w14:paraId="5EA2644F" w14:textId="77777777">
        <w:tc>
          <w:tcPr>
            <w:tcW w:w="50" w:type="pct"/>
            <w:shd w:val="clear" w:color="auto" w:fill="auto"/>
          </w:tcPr>
          <w:p w14:paraId="5EA26440" w14:textId="77777777" w:rsidR="003C66EB" w:rsidRDefault="003C66EB">
            <w:pPr>
              <w:rPr>
                <w:rFonts w:ascii="宋体"/>
              </w:rPr>
            </w:pPr>
          </w:p>
        </w:tc>
        <w:tc>
          <w:tcPr>
            <w:tcW w:w="1348" w:type="pct"/>
            <w:shd w:val="clear" w:color="auto" w:fill="auto"/>
          </w:tcPr>
          <w:p w14:paraId="5EA26441" w14:textId="77777777" w:rsidR="003C66EB" w:rsidRDefault="003C66EB">
            <w:pPr>
              <w:rPr>
                <w:rFonts w:ascii="宋体"/>
              </w:rPr>
            </w:pPr>
          </w:p>
        </w:tc>
        <w:tc>
          <w:tcPr>
            <w:tcW w:w="5" w:type="pct"/>
            <w:shd w:val="clear" w:color="auto" w:fill="auto"/>
          </w:tcPr>
          <w:p w14:paraId="5EA26442" w14:textId="77777777" w:rsidR="003C66EB" w:rsidRDefault="003C66EB">
            <w:pPr>
              <w:rPr>
                <w:rFonts w:ascii="宋体"/>
              </w:rPr>
            </w:pPr>
          </w:p>
        </w:tc>
        <w:tc>
          <w:tcPr>
            <w:tcW w:w="50" w:type="pct"/>
            <w:shd w:val="clear" w:color="auto" w:fill="auto"/>
          </w:tcPr>
          <w:p w14:paraId="5EA26443" w14:textId="77777777" w:rsidR="003C66EB" w:rsidRDefault="003C66EB">
            <w:pPr>
              <w:rPr>
                <w:rFonts w:ascii="宋体"/>
              </w:rPr>
            </w:pPr>
          </w:p>
        </w:tc>
        <w:tc>
          <w:tcPr>
            <w:tcW w:w="1048" w:type="pct"/>
            <w:shd w:val="clear" w:color="auto" w:fill="auto"/>
          </w:tcPr>
          <w:p w14:paraId="5EA26444" w14:textId="77777777" w:rsidR="003C66EB" w:rsidRDefault="003C66EB">
            <w:pPr>
              <w:rPr>
                <w:rFonts w:ascii="宋体"/>
              </w:rPr>
            </w:pPr>
          </w:p>
        </w:tc>
        <w:tc>
          <w:tcPr>
            <w:tcW w:w="5" w:type="pct"/>
            <w:shd w:val="clear" w:color="auto" w:fill="auto"/>
          </w:tcPr>
          <w:p w14:paraId="5EA26445" w14:textId="77777777" w:rsidR="003C66EB" w:rsidRDefault="003C66EB">
            <w:pPr>
              <w:rPr>
                <w:rFonts w:ascii="宋体"/>
              </w:rPr>
            </w:pPr>
          </w:p>
        </w:tc>
        <w:tc>
          <w:tcPr>
            <w:tcW w:w="50" w:type="pct"/>
            <w:shd w:val="clear" w:color="auto" w:fill="auto"/>
          </w:tcPr>
          <w:p w14:paraId="5EA26446" w14:textId="77777777" w:rsidR="003C66EB" w:rsidRDefault="003C66EB">
            <w:pPr>
              <w:rPr>
                <w:rFonts w:ascii="宋体"/>
              </w:rPr>
            </w:pPr>
          </w:p>
        </w:tc>
        <w:tc>
          <w:tcPr>
            <w:tcW w:w="917" w:type="pct"/>
            <w:shd w:val="clear" w:color="auto" w:fill="auto"/>
          </w:tcPr>
          <w:p w14:paraId="5EA26447" w14:textId="77777777" w:rsidR="003C66EB" w:rsidRDefault="003C66EB">
            <w:pPr>
              <w:rPr>
                <w:rFonts w:ascii="宋体"/>
              </w:rPr>
            </w:pPr>
          </w:p>
        </w:tc>
        <w:tc>
          <w:tcPr>
            <w:tcW w:w="5" w:type="pct"/>
            <w:shd w:val="clear" w:color="auto" w:fill="auto"/>
          </w:tcPr>
          <w:p w14:paraId="5EA26448" w14:textId="77777777" w:rsidR="003C66EB" w:rsidRDefault="003C66EB">
            <w:pPr>
              <w:rPr>
                <w:rFonts w:ascii="宋体"/>
              </w:rPr>
            </w:pPr>
          </w:p>
        </w:tc>
        <w:tc>
          <w:tcPr>
            <w:tcW w:w="50" w:type="pct"/>
            <w:shd w:val="clear" w:color="auto" w:fill="auto"/>
          </w:tcPr>
          <w:p w14:paraId="5EA26449" w14:textId="77777777" w:rsidR="003C66EB" w:rsidRDefault="003C66EB">
            <w:pPr>
              <w:rPr>
                <w:rFonts w:ascii="宋体"/>
              </w:rPr>
            </w:pPr>
          </w:p>
        </w:tc>
        <w:tc>
          <w:tcPr>
            <w:tcW w:w="917" w:type="pct"/>
            <w:shd w:val="clear" w:color="auto" w:fill="auto"/>
          </w:tcPr>
          <w:p w14:paraId="5EA2644A" w14:textId="77777777" w:rsidR="003C66EB" w:rsidRDefault="003C66EB">
            <w:pPr>
              <w:rPr>
                <w:rFonts w:ascii="宋体"/>
              </w:rPr>
            </w:pPr>
          </w:p>
        </w:tc>
        <w:tc>
          <w:tcPr>
            <w:tcW w:w="5" w:type="pct"/>
            <w:shd w:val="clear" w:color="auto" w:fill="auto"/>
          </w:tcPr>
          <w:p w14:paraId="5EA2644B" w14:textId="77777777" w:rsidR="003C66EB" w:rsidRDefault="003C66EB">
            <w:pPr>
              <w:rPr>
                <w:rFonts w:ascii="宋体"/>
              </w:rPr>
            </w:pPr>
          </w:p>
        </w:tc>
        <w:tc>
          <w:tcPr>
            <w:tcW w:w="50" w:type="pct"/>
            <w:shd w:val="clear" w:color="auto" w:fill="auto"/>
          </w:tcPr>
          <w:p w14:paraId="5EA2644C" w14:textId="77777777" w:rsidR="003C66EB" w:rsidRDefault="003C66EB">
            <w:pPr>
              <w:rPr>
                <w:rFonts w:ascii="宋体"/>
              </w:rPr>
            </w:pPr>
          </w:p>
        </w:tc>
        <w:tc>
          <w:tcPr>
            <w:tcW w:w="493" w:type="pct"/>
            <w:shd w:val="clear" w:color="auto" w:fill="auto"/>
          </w:tcPr>
          <w:p w14:paraId="5EA2644D" w14:textId="77777777" w:rsidR="003C66EB" w:rsidRDefault="003C66EB">
            <w:pPr>
              <w:rPr>
                <w:rFonts w:ascii="宋体"/>
              </w:rPr>
            </w:pPr>
          </w:p>
        </w:tc>
        <w:tc>
          <w:tcPr>
            <w:tcW w:w="5" w:type="pct"/>
            <w:shd w:val="clear" w:color="auto" w:fill="auto"/>
          </w:tcPr>
          <w:p w14:paraId="5EA2644E" w14:textId="77777777" w:rsidR="003C66EB" w:rsidRDefault="003C66EB">
            <w:pPr>
              <w:rPr>
                <w:rFonts w:ascii="宋体"/>
              </w:rPr>
            </w:pPr>
          </w:p>
        </w:tc>
      </w:tr>
      <w:tr w:rsidR="003C66EB" w14:paraId="5EA2645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645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45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45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45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454" w14:textId="77777777" w:rsidR="003C66EB" w:rsidRDefault="003C66EB">
            <w:pPr>
              <w:rPr>
                <w:rFonts w:ascii="宋体"/>
              </w:rPr>
            </w:pPr>
          </w:p>
        </w:tc>
      </w:tr>
    </w:tbl>
    <w:p w14:paraId="5EA26456" w14:textId="77777777" w:rsidR="003C66EB" w:rsidRDefault="00D96C4E">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5EA26457" w14:textId="77777777" w:rsidR="003C66EB" w:rsidRDefault="00D96C4E">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Refer to Note 1 and Note 2 for additional information about the measurement basis of derivative </w:t>
      </w:r>
      <w:r>
        <w:rPr>
          <w:rFonts w:ascii="Arial" w:eastAsia="宋体" w:hAnsi="Arial" w:cs="Arial"/>
          <w:color w:val="000000"/>
          <w:sz w:val="14"/>
          <w:szCs w:val="14"/>
        </w:rPr>
        <w:t>instruments.</w:t>
      </w:r>
    </w:p>
    <w:p w14:paraId="5EA26458" w14:textId="77777777" w:rsidR="003C66EB" w:rsidRDefault="00D96C4E">
      <w:pPr>
        <w:spacing w:before="2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subject to netting arrangements which have been determined to be legally enforceable and eligible for netting in the consolidated statement of condition.</w:t>
      </w:r>
    </w:p>
    <w:p w14:paraId="5EA26459" w14:textId="77777777" w:rsidR="003C66EB" w:rsidRDefault="00D96C4E">
      <w:pPr>
        <w:spacing w:before="2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w:t>
      </w:r>
      <w:r>
        <w:rPr>
          <w:rFonts w:ascii="Arial" w:eastAsia="宋体" w:hAnsi="Arial" w:cs="Arial"/>
          <w:color w:val="000000"/>
          <w:sz w:val="14"/>
          <w:szCs w:val="14"/>
        </w:rPr>
        <w:t>ansactions.</w:t>
      </w:r>
    </w:p>
    <w:p w14:paraId="5EA2645A" w14:textId="77777777" w:rsidR="003C66EB" w:rsidRDefault="00D96C4E">
      <w:pPr>
        <w:spacing w:before="2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secured by collateral not determined to be subject to enforceable netting arrangements.</w:t>
      </w:r>
    </w:p>
    <w:p w14:paraId="5EA2645B" w14:textId="77777777" w:rsidR="003C66EB" w:rsidRDefault="00D96C4E">
      <w:pPr>
        <w:spacing w:before="2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5EA2645C" w14:textId="77777777" w:rsidR="003C66EB" w:rsidRDefault="00D96C4E">
      <w:pPr>
        <w:spacing w:before="20"/>
        <w:jc w:val="both"/>
      </w:pPr>
      <w:r>
        <w:rPr>
          <w:rFonts w:ascii="Arial" w:eastAsia="宋体" w:hAnsi="Arial" w:cs="Arial"/>
          <w:color w:val="000000"/>
          <w:sz w:val="9"/>
          <w:szCs w:val="9"/>
        </w:rPr>
        <w:t xml:space="preserve">(7) </w:t>
      </w:r>
      <w:r>
        <w:rPr>
          <w:rFonts w:ascii="Arial" w:eastAsia="宋体" w:hAnsi="Arial" w:cs="Arial"/>
          <w:color w:val="000000"/>
          <w:sz w:val="14"/>
          <w:szCs w:val="14"/>
        </w:rPr>
        <w:t xml:space="preserve">Included in the $14.39 billion as of March 31, 2021 </w:t>
      </w:r>
      <w:r>
        <w:rPr>
          <w:rFonts w:ascii="Arial" w:eastAsia="宋体" w:hAnsi="Arial" w:cs="Arial"/>
          <w:color w:val="000000"/>
          <w:sz w:val="14"/>
          <w:szCs w:val="14"/>
        </w:rPr>
        <w:t>were $0.59 billion of repurchase agreements and $13.80 billion of collateral received related to securities lending transactions. Included in the $12.77 billion as of December 31, 2020 were $3.41 billion of repurchase agreements and $9.36 billion of collat</w:t>
      </w:r>
      <w:r>
        <w:rPr>
          <w:rFonts w:ascii="Arial" w:eastAsia="宋体" w:hAnsi="Arial" w:cs="Arial"/>
          <w:color w:val="000000"/>
          <w:sz w:val="14"/>
          <w:szCs w:val="14"/>
        </w:rPr>
        <w:t xml:space="preserve">eral received related to securities lending transactions. Repurchase agreements and collateral received related to securities lending were recorded in securities sold under repurchase agreements and accrued expenses and other liabilities, respectively, in </w:t>
      </w:r>
      <w:r>
        <w:rPr>
          <w:rFonts w:ascii="Arial" w:eastAsia="宋体" w:hAnsi="Arial" w:cs="Arial"/>
          <w:color w:val="000000"/>
          <w:sz w:val="14"/>
          <w:szCs w:val="14"/>
        </w:rPr>
        <w:t>our consolidated statement of condition. Refer to Note 9 for additional information with respect to principal securities finance transactions.</w:t>
      </w:r>
    </w:p>
    <w:p w14:paraId="5EA2645D" w14:textId="77777777" w:rsidR="003C66EB" w:rsidRDefault="00D96C4E">
      <w:pPr>
        <w:spacing w:before="2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w:t>
      </w:r>
      <w:r>
        <w:rPr>
          <w:rFonts w:ascii="Arial" w:eastAsia="宋体" w:hAnsi="Arial" w:cs="Arial"/>
          <w:color w:val="000000"/>
          <w:sz w:val="14"/>
          <w:szCs w:val="14"/>
        </w:rPr>
        <w:t>s on a net basis for payment and delivery through the Fedwire system.</w:t>
      </w:r>
    </w:p>
    <w:p w14:paraId="5EA2645E" w14:textId="77777777" w:rsidR="003C66EB" w:rsidRDefault="00D96C4E">
      <w:pPr>
        <w:spacing w:before="2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5EA2645F" w14:textId="77777777" w:rsidR="003C66EB" w:rsidRDefault="00D96C4E">
      <w:pPr>
        <w:spacing w:before="60"/>
        <w:ind w:firstLine="450"/>
        <w:jc w:val="both"/>
      </w:pPr>
      <w:r>
        <w:rPr>
          <w:rFonts w:ascii="Arial" w:eastAsia="宋体" w:hAnsi="Arial" w:cs="Arial"/>
          <w:color w:val="000000"/>
          <w:sz w:val="20"/>
          <w:szCs w:val="20"/>
        </w:rPr>
        <w:t xml:space="preserve">The securities transferred under resale and repurchase agreements typically are U.S. Treasury, agency and agency MBS. In our principal securities borrowing and lending </w:t>
      </w:r>
      <w:r>
        <w:rPr>
          <w:rFonts w:ascii="Arial" w:eastAsia="宋体" w:hAnsi="Arial" w:cs="Arial"/>
          <w:color w:val="000000"/>
          <w:sz w:val="20"/>
          <w:szCs w:val="20"/>
        </w:rPr>
        <w:t>arrangements, the securities transferred are predominantly equity securities and some corporate debt securities. The fair value of the securities transferred may increase in value to an amount greater than the amount received under our repurchase and secur</w:t>
      </w:r>
      <w:r>
        <w:rPr>
          <w:rFonts w:ascii="Arial" w:eastAsia="宋体" w:hAnsi="Arial" w:cs="Arial"/>
          <w:color w:val="000000"/>
          <w:sz w:val="20"/>
          <w:szCs w:val="20"/>
        </w:rPr>
        <w:t xml:space="preserve">ities lending arrangements, which exposes us to counterparty risk. We require the review of the price of the underlying securities in relation to the carrying value of the repurchase agreements and securities lending arrangements on a daily basis and when </w:t>
      </w:r>
      <w:r>
        <w:rPr>
          <w:rFonts w:ascii="Arial" w:eastAsia="宋体" w:hAnsi="Arial" w:cs="Arial"/>
          <w:color w:val="000000"/>
          <w:sz w:val="20"/>
          <w:szCs w:val="20"/>
        </w:rPr>
        <w:t xml:space="preserve">appropriate, adjust the cash or security to be obtained or returned to counterparties that is reflective of the required collateral levels. </w:t>
      </w:r>
    </w:p>
    <w:p w14:paraId="5EA26460" w14:textId="77777777" w:rsidR="003C66EB" w:rsidRDefault="00D96C4E">
      <w:pPr>
        <w:ind w:firstLine="450"/>
        <w:jc w:val="right"/>
      </w:pPr>
      <w:r>
        <w:rPr>
          <w:rFonts w:ascii="Arial" w:eastAsia="宋体" w:hAnsi="Arial" w:cs="Arial"/>
          <w:color w:val="000000"/>
          <w:sz w:val="18"/>
          <w:szCs w:val="18"/>
        </w:rPr>
        <w:t>State Street Corporation | 73</w:t>
      </w:r>
    </w:p>
    <w:p w14:paraId="5EA26461" w14:textId="77777777" w:rsidR="003C66EB" w:rsidRDefault="003C66EB">
      <w:pPr>
        <w:ind w:firstLine="450"/>
        <w:jc w:val="center"/>
      </w:pPr>
    </w:p>
    <w:p w14:paraId="5EA26462" w14:textId="77777777" w:rsidR="003C66EB" w:rsidRDefault="00D96C4E">
      <w:r>
        <w:pict w14:anchorId="5EA287F9">
          <v:rect id="_x0000_i1097" style="width:415.3pt;height:1.5pt" o:hralign="center" o:hrstd="t" o:hr="t" fillcolor="#a0a0a0" stroked="f"/>
        </w:pict>
      </w:r>
    </w:p>
    <w:p w14:paraId="5EA26463" w14:textId="77777777" w:rsidR="003C66EB" w:rsidRDefault="00D96C4E">
      <w:pPr>
        <w:ind w:firstLine="450"/>
        <w:jc w:val="center"/>
      </w:pPr>
      <w:r>
        <w:rPr>
          <w:rFonts w:ascii="Arial" w:eastAsia="宋体" w:hAnsi="Arial" w:cs="Arial"/>
          <w:b/>
          <w:bCs/>
          <w:color w:val="000000"/>
          <w:sz w:val="20"/>
          <w:szCs w:val="20"/>
        </w:rPr>
        <w:t>STATE STREET CORPORATION</w:t>
      </w:r>
    </w:p>
    <w:p w14:paraId="5EA26464" w14:textId="77777777" w:rsidR="003C66EB" w:rsidRDefault="00D96C4E">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5EA26465" w14:textId="77777777" w:rsidR="003C66EB" w:rsidRDefault="00D96C4E">
      <w:pPr>
        <w:ind w:firstLine="450"/>
        <w:jc w:val="center"/>
      </w:pPr>
      <w:r>
        <w:rPr>
          <w:rFonts w:ascii="Arial" w:eastAsia="宋体" w:hAnsi="Arial" w:cs="Arial"/>
          <w:b/>
          <w:bCs/>
          <w:color w:val="000000"/>
          <w:sz w:val="20"/>
          <w:szCs w:val="20"/>
        </w:rPr>
        <w:t>(UNAUDITED)</w:t>
      </w:r>
    </w:p>
    <w:p w14:paraId="5EA26466" w14:textId="77777777" w:rsidR="003C66EB" w:rsidRDefault="00D96C4E">
      <w:pPr>
        <w:spacing w:before="60"/>
        <w:ind w:firstLine="450"/>
        <w:jc w:val="both"/>
      </w:pPr>
      <w:r>
        <w:rPr>
          <w:rFonts w:ascii="Arial" w:eastAsia="宋体" w:hAnsi="Arial" w:cs="Arial"/>
          <w:color w:val="000000"/>
          <w:sz w:val="20"/>
          <w:szCs w:val="20"/>
        </w:rPr>
        <w:t>The following table summarizes our repurchase agreements and securities lending transactions by category of collateral pledged and 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973"/>
        <w:gridCol w:w="37"/>
        <w:gridCol w:w="105"/>
        <w:gridCol w:w="778"/>
        <w:gridCol w:w="36"/>
        <w:gridCol w:w="36"/>
        <w:gridCol w:w="36"/>
        <w:gridCol w:w="36"/>
        <w:gridCol w:w="105"/>
        <w:gridCol w:w="342"/>
        <w:gridCol w:w="36"/>
        <w:gridCol w:w="36"/>
        <w:gridCol w:w="36"/>
        <w:gridCol w:w="36"/>
        <w:gridCol w:w="105"/>
        <w:gridCol w:w="506"/>
        <w:gridCol w:w="36"/>
        <w:gridCol w:w="36"/>
        <w:gridCol w:w="36"/>
        <w:gridCol w:w="36"/>
        <w:gridCol w:w="104"/>
        <w:gridCol w:w="584"/>
        <w:gridCol w:w="36"/>
        <w:gridCol w:w="36"/>
        <w:gridCol w:w="36"/>
        <w:gridCol w:w="36"/>
        <w:gridCol w:w="105"/>
        <w:gridCol w:w="778"/>
        <w:gridCol w:w="36"/>
        <w:gridCol w:w="36"/>
        <w:gridCol w:w="36"/>
        <w:gridCol w:w="36"/>
        <w:gridCol w:w="105"/>
        <w:gridCol w:w="341"/>
        <w:gridCol w:w="36"/>
        <w:gridCol w:w="36"/>
        <w:gridCol w:w="36"/>
        <w:gridCol w:w="36"/>
        <w:gridCol w:w="105"/>
        <w:gridCol w:w="492"/>
        <w:gridCol w:w="36"/>
        <w:gridCol w:w="36"/>
        <w:gridCol w:w="36"/>
        <w:gridCol w:w="36"/>
        <w:gridCol w:w="104"/>
        <w:gridCol w:w="584"/>
        <w:gridCol w:w="36"/>
      </w:tblGrid>
      <w:tr w:rsidR="003C66EB" w14:paraId="5EA26497" w14:textId="77777777">
        <w:tc>
          <w:tcPr>
            <w:tcW w:w="50" w:type="pct"/>
            <w:shd w:val="clear" w:color="auto" w:fill="auto"/>
          </w:tcPr>
          <w:p w14:paraId="5EA26467" w14:textId="77777777" w:rsidR="003C66EB" w:rsidRDefault="003C66EB">
            <w:pPr>
              <w:rPr>
                <w:rFonts w:ascii="宋体"/>
              </w:rPr>
            </w:pPr>
          </w:p>
        </w:tc>
        <w:tc>
          <w:tcPr>
            <w:tcW w:w="1311" w:type="pct"/>
            <w:shd w:val="clear" w:color="auto" w:fill="auto"/>
          </w:tcPr>
          <w:p w14:paraId="5EA26468" w14:textId="77777777" w:rsidR="003C66EB" w:rsidRDefault="003C66EB">
            <w:pPr>
              <w:rPr>
                <w:rFonts w:ascii="宋体"/>
              </w:rPr>
            </w:pPr>
          </w:p>
        </w:tc>
        <w:tc>
          <w:tcPr>
            <w:tcW w:w="5" w:type="pct"/>
            <w:shd w:val="clear" w:color="auto" w:fill="auto"/>
          </w:tcPr>
          <w:p w14:paraId="5EA26469" w14:textId="77777777" w:rsidR="003C66EB" w:rsidRDefault="003C66EB">
            <w:pPr>
              <w:rPr>
                <w:rFonts w:ascii="宋体"/>
              </w:rPr>
            </w:pPr>
          </w:p>
        </w:tc>
        <w:tc>
          <w:tcPr>
            <w:tcW w:w="50" w:type="pct"/>
            <w:shd w:val="clear" w:color="auto" w:fill="auto"/>
          </w:tcPr>
          <w:p w14:paraId="5EA2646A" w14:textId="77777777" w:rsidR="003C66EB" w:rsidRDefault="003C66EB">
            <w:pPr>
              <w:rPr>
                <w:rFonts w:ascii="宋体"/>
              </w:rPr>
            </w:pPr>
          </w:p>
        </w:tc>
        <w:tc>
          <w:tcPr>
            <w:tcW w:w="442" w:type="pct"/>
            <w:shd w:val="clear" w:color="auto" w:fill="auto"/>
          </w:tcPr>
          <w:p w14:paraId="5EA2646B" w14:textId="77777777" w:rsidR="003C66EB" w:rsidRDefault="003C66EB">
            <w:pPr>
              <w:rPr>
                <w:rFonts w:ascii="宋体"/>
              </w:rPr>
            </w:pPr>
          </w:p>
        </w:tc>
        <w:tc>
          <w:tcPr>
            <w:tcW w:w="5" w:type="pct"/>
            <w:shd w:val="clear" w:color="auto" w:fill="auto"/>
          </w:tcPr>
          <w:p w14:paraId="5EA2646C" w14:textId="77777777" w:rsidR="003C66EB" w:rsidRDefault="003C66EB">
            <w:pPr>
              <w:rPr>
                <w:rFonts w:ascii="宋体"/>
              </w:rPr>
            </w:pPr>
          </w:p>
        </w:tc>
        <w:tc>
          <w:tcPr>
            <w:tcW w:w="5" w:type="pct"/>
            <w:shd w:val="clear" w:color="auto" w:fill="auto"/>
          </w:tcPr>
          <w:p w14:paraId="5EA2646D" w14:textId="77777777" w:rsidR="003C66EB" w:rsidRDefault="003C66EB">
            <w:pPr>
              <w:rPr>
                <w:rFonts w:ascii="宋体"/>
              </w:rPr>
            </w:pPr>
          </w:p>
        </w:tc>
        <w:tc>
          <w:tcPr>
            <w:tcW w:w="26" w:type="pct"/>
            <w:shd w:val="clear" w:color="auto" w:fill="auto"/>
          </w:tcPr>
          <w:p w14:paraId="5EA2646E" w14:textId="77777777" w:rsidR="003C66EB" w:rsidRDefault="003C66EB">
            <w:pPr>
              <w:rPr>
                <w:rFonts w:ascii="宋体"/>
              </w:rPr>
            </w:pPr>
          </w:p>
        </w:tc>
        <w:tc>
          <w:tcPr>
            <w:tcW w:w="5" w:type="pct"/>
            <w:shd w:val="clear" w:color="auto" w:fill="auto"/>
          </w:tcPr>
          <w:p w14:paraId="5EA2646F" w14:textId="77777777" w:rsidR="003C66EB" w:rsidRDefault="003C66EB">
            <w:pPr>
              <w:rPr>
                <w:rFonts w:ascii="宋体"/>
              </w:rPr>
            </w:pPr>
          </w:p>
        </w:tc>
        <w:tc>
          <w:tcPr>
            <w:tcW w:w="50" w:type="pct"/>
            <w:shd w:val="clear" w:color="auto" w:fill="auto"/>
          </w:tcPr>
          <w:p w14:paraId="5EA26470" w14:textId="77777777" w:rsidR="003C66EB" w:rsidRDefault="003C66EB">
            <w:pPr>
              <w:rPr>
                <w:rFonts w:ascii="宋体"/>
              </w:rPr>
            </w:pPr>
          </w:p>
        </w:tc>
        <w:tc>
          <w:tcPr>
            <w:tcW w:w="332" w:type="pct"/>
            <w:shd w:val="clear" w:color="auto" w:fill="auto"/>
          </w:tcPr>
          <w:p w14:paraId="5EA26471" w14:textId="77777777" w:rsidR="003C66EB" w:rsidRDefault="003C66EB">
            <w:pPr>
              <w:rPr>
                <w:rFonts w:ascii="宋体"/>
              </w:rPr>
            </w:pPr>
          </w:p>
        </w:tc>
        <w:tc>
          <w:tcPr>
            <w:tcW w:w="5" w:type="pct"/>
            <w:shd w:val="clear" w:color="auto" w:fill="auto"/>
          </w:tcPr>
          <w:p w14:paraId="5EA26472" w14:textId="77777777" w:rsidR="003C66EB" w:rsidRDefault="003C66EB">
            <w:pPr>
              <w:rPr>
                <w:rFonts w:ascii="宋体"/>
              </w:rPr>
            </w:pPr>
          </w:p>
        </w:tc>
        <w:tc>
          <w:tcPr>
            <w:tcW w:w="5" w:type="pct"/>
            <w:shd w:val="clear" w:color="auto" w:fill="auto"/>
          </w:tcPr>
          <w:p w14:paraId="5EA26473" w14:textId="77777777" w:rsidR="003C66EB" w:rsidRDefault="003C66EB">
            <w:pPr>
              <w:rPr>
                <w:rFonts w:ascii="宋体"/>
              </w:rPr>
            </w:pPr>
          </w:p>
        </w:tc>
        <w:tc>
          <w:tcPr>
            <w:tcW w:w="26" w:type="pct"/>
            <w:shd w:val="clear" w:color="auto" w:fill="auto"/>
          </w:tcPr>
          <w:p w14:paraId="5EA26474" w14:textId="77777777" w:rsidR="003C66EB" w:rsidRDefault="003C66EB">
            <w:pPr>
              <w:rPr>
                <w:rFonts w:ascii="宋体"/>
              </w:rPr>
            </w:pPr>
          </w:p>
        </w:tc>
        <w:tc>
          <w:tcPr>
            <w:tcW w:w="5" w:type="pct"/>
            <w:shd w:val="clear" w:color="auto" w:fill="auto"/>
          </w:tcPr>
          <w:p w14:paraId="5EA26475" w14:textId="77777777" w:rsidR="003C66EB" w:rsidRDefault="003C66EB">
            <w:pPr>
              <w:rPr>
                <w:rFonts w:ascii="宋体"/>
              </w:rPr>
            </w:pPr>
          </w:p>
        </w:tc>
        <w:tc>
          <w:tcPr>
            <w:tcW w:w="50" w:type="pct"/>
            <w:shd w:val="clear" w:color="auto" w:fill="auto"/>
          </w:tcPr>
          <w:p w14:paraId="5EA26476" w14:textId="77777777" w:rsidR="003C66EB" w:rsidRDefault="003C66EB">
            <w:pPr>
              <w:rPr>
                <w:rFonts w:ascii="宋体"/>
              </w:rPr>
            </w:pPr>
          </w:p>
        </w:tc>
        <w:tc>
          <w:tcPr>
            <w:tcW w:w="412" w:type="pct"/>
            <w:shd w:val="clear" w:color="auto" w:fill="auto"/>
          </w:tcPr>
          <w:p w14:paraId="5EA26477" w14:textId="77777777" w:rsidR="003C66EB" w:rsidRDefault="003C66EB">
            <w:pPr>
              <w:rPr>
                <w:rFonts w:ascii="宋体"/>
              </w:rPr>
            </w:pPr>
          </w:p>
        </w:tc>
        <w:tc>
          <w:tcPr>
            <w:tcW w:w="5" w:type="pct"/>
            <w:shd w:val="clear" w:color="auto" w:fill="auto"/>
          </w:tcPr>
          <w:p w14:paraId="5EA26478" w14:textId="77777777" w:rsidR="003C66EB" w:rsidRDefault="003C66EB">
            <w:pPr>
              <w:rPr>
                <w:rFonts w:ascii="宋体"/>
              </w:rPr>
            </w:pPr>
          </w:p>
        </w:tc>
        <w:tc>
          <w:tcPr>
            <w:tcW w:w="5" w:type="pct"/>
            <w:shd w:val="clear" w:color="auto" w:fill="auto"/>
          </w:tcPr>
          <w:p w14:paraId="5EA26479" w14:textId="77777777" w:rsidR="003C66EB" w:rsidRDefault="003C66EB">
            <w:pPr>
              <w:rPr>
                <w:rFonts w:ascii="宋体"/>
              </w:rPr>
            </w:pPr>
          </w:p>
        </w:tc>
        <w:tc>
          <w:tcPr>
            <w:tcW w:w="26" w:type="pct"/>
            <w:shd w:val="clear" w:color="auto" w:fill="auto"/>
          </w:tcPr>
          <w:p w14:paraId="5EA2647A" w14:textId="77777777" w:rsidR="003C66EB" w:rsidRDefault="003C66EB">
            <w:pPr>
              <w:rPr>
                <w:rFonts w:ascii="宋体"/>
              </w:rPr>
            </w:pPr>
          </w:p>
        </w:tc>
        <w:tc>
          <w:tcPr>
            <w:tcW w:w="5" w:type="pct"/>
            <w:shd w:val="clear" w:color="auto" w:fill="auto"/>
          </w:tcPr>
          <w:p w14:paraId="5EA2647B" w14:textId="77777777" w:rsidR="003C66EB" w:rsidRDefault="003C66EB">
            <w:pPr>
              <w:rPr>
                <w:rFonts w:ascii="宋体"/>
              </w:rPr>
            </w:pPr>
          </w:p>
        </w:tc>
        <w:tc>
          <w:tcPr>
            <w:tcW w:w="50" w:type="pct"/>
            <w:shd w:val="clear" w:color="auto" w:fill="auto"/>
          </w:tcPr>
          <w:p w14:paraId="5EA2647C" w14:textId="77777777" w:rsidR="003C66EB" w:rsidRDefault="003C66EB">
            <w:pPr>
              <w:rPr>
                <w:rFonts w:ascii="宋体"/>
              </w:rPr>
            </w:pPr>
          </w:p>
        </w:tc>
        <w:tc>
          <w:tcPr>
            <w:tcW w:w="332" w:type="pct"/>
            <w:shd w:val="clear" w:color="auto" w:fill="auto"/>
          </w:tcPr>
          <w:p w14:paraId="5EA2647D" w14:textId="77777777" w:rsidR="003C66EB" w:rsidRDefault="003C66EB">
            <w:pPr>
              <w:rPr>
                <w:rFonts w:ascii="宋体"/>
              </w:rPr>
            </w:pPr>
          </w:p>
        </w:tc>
        <w:tc>
          <w:tcPr>
            <w:tcW w:w="5" w:type="pct"/>
            <w:shd w:val="clear" w:color="auto" w:fill="auto"/>
          </w:tcPr>
          <w:p w14:paraId="5EA2647E" w14:textId="77777777" w:rsidR="003C66EB" w:rsidRDefault="003C66EB">
            <w:pPr>
              <w:rPr>
                <w:rFonts w:ascii="宋体"/>
              </w:rPr>
            </w:pPr>
          </w:p>
        </w:tc>
        <w:tc>
          <w:tcPr>
            <w:tcW w:w="5" w:type="pct"/>
            <w:shd w:val="clear" w:color="auto" w:fill="auto"/>
          </w:tcPr>
          <w:p w14:paraId="5EA2647F" w14:textId="77777777" w:rsidR="003C66EB" w:rsidRDefault="003C66EB">
            <w:pPr>
              <w:rPr>
                <w:rFonts w:ascii="宋体"/>
              </w:rPr>
            </w:pPr>
          </w:p>
        </w:tc>
        <w:tc>
          <w:tcPr>
            <w:tcW w:w="26" w:type="pct"/>
            <w:shd w:val="clear" w:color="auto" w:fill="auto"/>
          </w:tcPr>
          <w:p w14:paraId="5EA26480" w14:textId="77777777" w:rsidR="003C66EB" w:rsidRDefault="003C66EB">
            <w:pPr>
              <w:rPr>
                <w:rFonts w:ascii="宋体"/>
              </w:rPr>
            </w:pPr>
          </w:p>
        </w:tc>
        <w:tc>
          <w:tcPr>
            <w:tcW w:w="5" w:type="pct"/>
            <w:shd w:val="clear" w:color="auto" w:fill="auto"/>
          </w:tcPr>
          <w:p w14:paraId="5EA26481" w14:textId="77777777" w:rsidR="003C66EB" w:rsidRDefault="003C66EB">
            <w:pPr>
              <w:rPr>
                <w:rFonts w:ascii="宋体"/>
              </w:rPr>
            </w:pPr>
          </w:p>
        </w:tc>
        <w:tc>
          <w:tcPr>
            <w:tcW w:w="50" w:type="pct"/>
            <w:shd w:val="clear" w:color="auto" w:fill="auto"/>
          </w:tcPr>
          <w:p w14:paraId="5EA26482" w14:textId="77777777" w:rsidR="003C66EB" w:rsidRDefault="003C66EB">
            <w:pPr>
              <w:rPr>
                <w:rFonts w:ascii="宋体"/>
              </w:rPr>
            </w:pPr>
          </w:p>
        </w:tc>
        <w:tc>
          <w:tcPr>
            <w:tcW w:w="442" w:type="pct"/>
            <w:shd w:val="clear" w:color="auto" w:fill="auto"/>
          </w:tcPr>
          <w:p w14:paraId="5EA26483" w14:textId="77777777" w:rsidR="003C66EB" w:rsidRDefault="003C66EB">
            <w:pPr>
              <w:rPr>
                <w:rFonts w:ascii="宋体"/>
              </w:rPr>
            </w:pPr>
          </w:p>
        </w:tc>
        <w:tc>
          <w:tcPr>
            <w:tcW w:w="5" w:type="pct"/>
            <w:shd w:val="clear" w:color="auto" w:fill="auto"/>
          </w:tcPr>
          <w:p w14:paraId="5EA26484" w14:textId="77777777" w:rsidR="003C66EB" w:rsidRDefault="003C66EB">
            <w:pPr>
              <w:rPr>
                <w:rFonts w:ascii="宋体"/>
              </w:rPr>
            </w:pPr>
          </w:p>
        </w:tc>
        <w:tc>
          <w:tcPr>
            <w:tcW w:w="5" w:type="pct"/>
            <w:shd w:val="clear" w:color="auto" w:fill="auto"/>
          </w:tcPr>
          <w:p w14:paraId="5EA26485" w14:textId="77777777" w:rsidR="003C66EB" w:rsidRDefault="003C66EB">
            <w:pPr>
              <w:rPr>
                <w:rFonts w:ascii="宋体"/>
              </w:rPr>
            </w:pPr>
          </w:p>
        </w:tc>
        <w:tc>
          <w:tcPr>
            <w:tcW w:w="26" w:type="pct"/>
            <w:shd w:val="clear" w:color="auto" w:fill="auto"/>
          </w:tcPr>
          <w:p w14:paraId="5EA26486" w14:textId="77777777" w:rsidR="003C66EB" w:rsidRDefault="003C66EB">
            <w:pPr>
              <w:rPr>
                <w:rFonts w:ascii="宋体"/>
              </w:rPr>
            </w:pPr>
          </w:p>
        </w:tc>
        <w:tc>
          <w:tcPr>
            <w:tcW w:w="5" w:type="pct"/>
            <w:shd w:val="clear" w:color="auto" w:fill="auto"/>
          </w:tcPr>
          <w:p w14:paraId="5EA26487" w14:textId="77777777" w:rsidR="003C66EB" w:rsidRDefault="003C66EB">
            <w:pPr>
              <w:rPr>
                <w:rFonts w:ascii="宋体"/>
              </w:rPr>
            </w:pPr>
          </w:p>
        </w:tc>
        <w:tc>
          <w:tcPr>
            <w:tcW w:w="50" w:type="pct"/>
            <w:shd w:val="clear" w:color="auto" w:fill="auto"/>
          </w:tcPr>
          <w:p w14:paraId="5EA26488" w14:textId="77777777" w:rsidR="003C66EB" w:rsidRDefault="003C66EB">
            <w:pPr>
              <w:rPr>
                <w:rFonts w:ascii="宋体"/>
              </w:rPr>
            </w:pPr>
          </w:p>
        </w:tc>
        <w:tc>
          <w:tcPr>
            <w:tcW w:w="325" w:type="pct"/>
            <w:shd w:val="clear" w:color="auto" w:fill="auto"/>
          </w:tcPr>
          <w:p w14:paraId="5EA26489" w14:textId="77777777" w:rsidR="003C66EB" w:rsidRDefault="003C66EB">
            <w:pPr>
              <w:rPr>
                <w:rFonts w:ascii="宋体"/>
              </w:rPr>
            </w:pPr>
          </w:p>
        </w:tc>
        <w:tc>
          <w:tcPr>
            <w:tcW w:w="5" w:type="pct"/>
            <w:shd w:val="clear" w:color="auto" w:fill="auto"/>
          </w:tcPr>
          <w:p w14:paraId="5EA2648A" w14:textId="77777777" w:rsidR="003C66EB" w:rsidRDefault="003C66EB">
            <w:pPr>
              <w:rPr>
                <w:rFonts w:ascii="宋体"/>
              </w:rPr>
            </w:pPr>
          </w:p>
        </w:tc>
        <w:tc>
          <w:tcPr>
            <w:tcW w:w="5" w:type="pct"/>
            <w:shd w:val="clear" w:color="auto" w:fill="auto"/>
          </w:tcPr>
          <w:p w14:paraId="5EA2648B" w14:textId="77777777" w:rsidR="003C66EB" w:rsidRDefault="003C66EB">
            <w:pPr>
              <w:rPr>
                <w:rFonts w:ascii="宋体"/>
              </w:rPr>
            </w:pPr>
          </w:p>
        </w:tc>
        <w:tc>
          <w:tcPr>
            <w:tcW w:w="26" w:type="pct"/>
            <w:shd w:val="clear" w:color="auto" w:fill="auto"/>
          </w:tcPr>
          <w:p w14:paraId="5EA2648C" w14:textId="77777777" w:rsidR="003C66EB" w:rsidRDefault="003C66EB">
            <w:pPr>
              <w:rPr>
                <w:rFonts w:ascii="宋体"/>
              </w:rPr>
            </w:pPr>
          </w:p>
        </w:tc>
        <w:tc>
          <w:tcPr>
            <w:tcW w:w="5" w:type="pct"/>
            <w:shd w:val="clear" w:color="auto" w:fill="auto"/>
          </w:tcPr>
          <w:p w14:paraId="5EA2648D" w14:textId="77777777" w:rsidR="003C66EB" w:rsidRDefault="003C66EB">
            <w:pPr>
              <w:rPr>
                <w:rFonts w:ascii="宋体"/>
              </w:rPr>
            </w:pPr>
          </w:p>
        </w:tc>
        <w:tc>
          <w:tcPr>
            <w:tcW w:w="50" w:type="pct"/>
            <w:shd w:val="clear" w:color="auto" w:fill="auto"/>
          </w:tcPr>
          <w:p w14:paraId="5EA2648E" w14:textId="77777777" w:rsidR="003C66EB" w:rsidRDefault="003C66EB">
            <w:pPr>
              <w:rPr>
                <w:rFonts w:ascii="宋体"/>
              </w:rPr>
            </w:pPr>
          </w:p>
        </w:tc>
        <w:tc>
          <w:tcPr>
            <w:tcW w:w="332" w:type="pct"/>
            <w:shd w:val="clear" w:color="auto" w:fill="auto"/>
          </w:tcPr>
          <w:p w14:paraId="5EA2648F" w14:textId="77777777" w:rsidR="003C66EB" w:rsidRDefault="003C66EB">
            <w:pPr>
              <w:rPr>
                <w:rFonts w:ascii="宋体"/>
              </w:rPr>
            </w:pPr>
          </w:p>
        </w:tc>
        <w:tc>
          <w:tcPr>
            <w:tcW w:w="5" w:type="pct"/>
            <w:shd w:val="clear" w:color="auto" w:fill="auto"/>
          </w:tcPr>
          <w:p w14:paraId="5EA26490" w14:textId="77777777" w:rsidR="003C66EB" w:rsidRDefault="003C66EB">
            <w:pPr>
              <w:rPr>
                <w:rFonts w:ascii="宋体"/>
              </w:rPr>
            </w:pPr>
          </w:p>
        </w:tc>
        <w:tc>
          <w:tcPr>
            <w:tcW w:w="5" w:type="pct"/>
            <w:shd w:val="clear" w:color="auto" w:fill="auto"/>
          </w:tcPr>
          <w:p w14:paraId="5EA26491" w14:textId="77777777" w:rsidR="003C66EB" w:rsidRDefault="003C66EB">
            <w:pPr>
              <w:rPr>
                <w:rFonts w:ascii="宋体"/>
              </w:rPr>
            </w:pPr>
          </w:p>
        </w:tc>
        <w:tc>
          <w:tcPr>
            <w:tcW w:w="26" w:type="pct"/>
            <w:shd w:val="clear" w:color="auto" w:fill="auto"/>
          </w:tcPr>
          <w:p w14:paraId="5EA26492" w14:textId="77777777" w:rsidR="003C66EB" w:rsidRDefault="003C66EB">
            <w:pPr>
              <w:rPr>
                <w:rFonts w:ascii="宋体"/>
              </w:rPr>
            </w:pPr>
          </w:p>
        </w:tc>
        <w:tc>
          <w:tcPr>
            <w:tcW w:w="5" w:type="pct"/>
            <w:shd w:val="clear" w:color="auto" w:fill="auto"/>
          </w:tcPr>
          <w:p w14:paraId="5EA26493" w14:textId="77777777" w:rsidR="003C66EB" w:rsidRDefault="003C66EB">
            <w:pPr>
              <w:rPr>
                <w:rFonts w:ascii="宋体"/>
              </w:rPr>
            </w:pPr>
          </w:p>
        </w:tc>
        <w:tc>
          <w:tcPr>
            <w:tcW w:w="50" w:type="pct"/>
            <w:shd w:val="clear" w:color="auto" w:fill="auto"/>
          </w:tcPr>
          <w:p w14:paraId="5EA26494" w14:textId="77777777" w:rsidR="003C66EB" w:rsidRDefault="003C66EB">
            <w:pPr>
              <w:rPr>
                <w:rFonts w:ascii="宋体"/>
              </w:rPr>
            </w:pPr>
          </w:p>
        </w:tc>
        <w:tc>
          <w:tcPr>
            <w:tcW w:w="318" w:type="pct"/>
            <w:shd w:val="clear" w:color="auto" w:fill="auto"/>
          </w:tcPr>
          <w:p w14:paraId="5EA26495" w14:textId="77777777" w:rsidR="003C66EB" w:rsidRDefault="003C66EB">
            <w:pPr>
              <w:rPr>
                <w:rFonts w:ascii="宋体"/>
              </w:rPr>
            </w:pPr>
          </w:p>
        </w:tc>
        <w:tc>
          <w:tcPr>
            <w:tcW w:w="5" w:type="pct"/>
            <w:shd w:val="clear" w:color="auto" w:fill="auto"/>
          </w:tcPr>
          <w:p w14:paraId="5EA26496" w14:textId="77777777" w:rsidR="003C66EB" w:rsidRDefault="003C66EB">
            <w:pPr>
              <w:rPr>
                <w:rFonts w:ascii="宋体"/>
              </w:rPr>
            </w:pPr>
          </w:p>
        </w:tc>
      </w:tr>
      <w:tr w:rsidR="003C66EB" w14:paraId="5EA264B8" w14:textId="77777777">
        <w:trPr>
          <w:hidden/>
        </w:trPr>
        <w:tc>
          <w:tcPr>
            <w:tcW w:w="0" w:type="auto"/>
            <w:gridSpan w:val="3"/>
            <w:shd w:val="clear" w:color="auto" w:fill="auto"/>
          </w:tcPr>
          <w:p w14:paraId="5EA26498" w14:textId="77777777" w:rsidR="003C66EB" w:rsidRDefault="003C66EB">
            <w:pPr>
              <w:rPr>
                <w:rFonts w:ascii="宋体"/>
                <w:vanish/>
              </w:rPr>
            </w:pPr>
          </w:p>
        </w:tc>
        <w:tc>
          <w:tcPr>
            <w:tcW w:w="0" w:type="auto"/>
            <w:gridSpan w:val="3"/>
            <w:shd w:val="clear" w:color="auto" w:fill="auto"/>
          </w:tcPr>
          <w:p w14:paraId="5EA26499" w14:textId="77777777" w:rsidR="003C66EB" w:rsidRDefault="003C66EB">
            <w:pPr>
              <w:rPr>
                <w:rFonts w:ascii="宋体"/>
                <w:vanish/>
              </w:rPr>
            </w:pPr>
          </w:p>
        </w:tc>
        <w:tc>
          <w:tcPr>
            <w:tcW w:w="0" w:type="auto"/>
            <w:gridSpan w:val="3"/>
            <w:shd w:val="clear" w:color="auto" w:fill="auto"/>
          </w:tcPr>
          <w:p w14:paraId="5EA2649A" w14:textId="77777777" w:rsidR="003C66EB" w:rsidRDefault="003C66EB">
            <w:pPr>
              <w:rPr>
                <w:rFonts w:ascii="宋体"/>
                <w:vanish/>
              </w:rPr>
            </w:pPr>
          </w:p>
        </w:tc>
        <w:tc>
          <w:tcPr>
            <w:tcW w:w="0" w:type="auto"/>
            <w:gridSpan w:val="3"/>
            <w:shd w:val="clear" w:color="auto" w:fill="auto"/>
          </w:tcPr>
          <w:p w14:paraId="5EA2649B" w14:textId="77777777" w:rsidR="003C66EB" w:rsidRDefault="003C66EB">
            <w:pPr>
              <w:rPr>
                <w:rFonts w:ascii="宋体"/>
                <w:vanish/>
              </w:rPr>
            </w:pPr>
          </w:p>
        </w:tc>
        <w:tc>
          <w:tcPr>
            <w:tcW w:w="0" w:type="auto"/>
            <w:gridSpan w:val="3"/>
            <w:shd w:val="clear" w:color="auto" w:fill="auto"/>
          </w:tcPr>
          <w:p w14:paraId="5EA2649C" w14:textId="77777777" w:rsidR="003C66EB" w:rsidRDefault="003C66EB">
            <w:pPr>
              <w:rPr>
                <w:rFonts w:ascii="宋体"/>
                <w:vanish/>
              </w:rPr>
            </w:pPr>
          </w:p>
        </w:tc>
        <w:tc>
          <w:tcPr>
            <w:tcW w:w="0" w:type="auto"/>
            <w:gridSpan w:val="3"/>
            <w:shd w:val="clear" w:color="auto" w:fill="auto"/>
          </w:tcPr>
          <w:p w14:paraId="5EA2649D" w14:textId="77777777" w:rsidR="003C66EB" w:rsidRDefault="003C66EB">
            <w:pPr>
              <w:rPr>
                <w:rFonts w:ascii="宋体"/>
                <w:vanish/>
              </w:rPr>
            </w:pPr>
          </w:p>
        </w:tc>
        <w:tc>
          <w:tcPr>
            <w:tcW w:w="0" w:type="auto"/>
            <w:gridSpan w:val="3"/>
            <w:shd w:val="clear" w:color="auto" w:fill="auto"/>
          </w:tcPr>
          <w:p w14:paraId="5EA2649E" w14:textId="77777777" w:rsidR="003C66EB" w:rsidRDefault="003C66EB">
            <w:pPr>
              <w:rPr>
                <w:rFonts w:ascii="宋体"/>
                <w:vanish/>
              </w:rPr>
            </w:pPr>
          </w:p>
        </w:tc>
        <w:tc>
          <w:tcPr>
            <w:tcW w:w="0" w:type="auto"/>
            <w:gridSpan w:val="3"/>
            <w:shd w:val="clear" w:color="auto" w:fill="auto"/>
          </w:tcPr>
          <w:p w14:paraId="5EA2649F" w14:textId="77777777" w:rsidR="003C66EB" w:rsidRDefault="003C66EB">
            <w:pPr>
              <w:rPr>
                <w:rFonts w:ascii="宋体"/>
                <w:vanish/>
              </w:rPr>
            </w:pPr>
          </w:p>
        </w:tc>
        <w:tc>
          <w:tcPr>
            <w:tcW w:w="0" w:type="auto"/>
            <w:shd w:val="clear" w:color="auto" w:fill="auto"/>
          </w:tcPr>
          <w:p w14:paraId="5EA264A0" w14:textId="77777777" w:rsidR="003C66EB" w:rsidRDefault="003C66EB">
            <w:pPr>
              <w:rPr>
                <w:rFonts w:ascii="宋体"/>
              </w:rPr>
            </w:pPr>
          </w:p>
        </w:tc>
        <w:tc>
          <w:tcPr>
            <w:tcW w:w="0" w:type="auto"/>
            <w:shd w:val="clear" w:color="auto" w:fill="auto"/>
          </w:tcPr>
          <w:p w14:paraId="5EA264A1" w14:textId="77777777" w:rsidR="003C66EB" w:rsidRDefault="003C66EB">
            <w:pPr>
              <w:rPr>
                <w:rFonts w:ascii="宋体"/>
              </w:rPr>
            </w:pPr>
          </w:p>
        </w:tc>
        <w:tc>
          <w:tcPr>
            <w:tcW w:w="0" w:type="auto"/>
            <w:shd w:val="clear" w:color="auto" w:fill="auto"/>
          </w:tcPr>
          <w:p w14:paraId="5EA264A2" w14:textId="77777777" w:rsidR="003C66EB" w:rsidRDefault="003C66EB">
            <w:pPr>
              <w:rPr>
                <w:rFonts w:ascii="宋体"/>
              </w:rPr>
            </w:pPr>
          </w:p>
        </w:tc>
        <w:tc>
          <w:tcPr>
            <w:tcW w:w="0" w:type="auto"/>
            <w:shd w:val="clear" w:color="auto" w:fill="auto"/>
          </w:tcPr>
          <w:p w14:paraId="5EA264A3" w14:textId="77777777" w:rsidR="003C66EB" w:rsidRDefault="003C66EB">
            <w:pPr>
              <w:rPr>
                <w:rFonts w:ascii="宋体"/>
              </w:rPr>
            </w:pPr>
          </w:p>
        </w:tc>
        <w:tc>
          <w:tcPr>
            <w:tcW w:w="0" w:type="auto"/>
            <w:shd w:val="clear" w:color="auto" w:fill="auto"/>
          </w:tcPr>
          <w:p w14:paraId="5EA264A4" w14:textId="77777777" w:rsidR="003C66EB" w:rsidRDefault="003C66EB">
            <w:pPr>
              <w:rPr>
                <w:rFonts w:ascii="宋体"/>
              </w:rPr>
            </w:pPr>
          </w:p>
        </w:tc>
        <w:tc>
          <w:tcPr>
            <w:tcW w:w="0" w:type="auto"/>
            <w:shd w:val="clear" w:color="auto" w:fill="auto"/>
          </w:tcPr>
          <w:p w14:paraId="5EA264A5" w14:textId="77777777" w:rsidR="003C66EB" w:rsidRDefault="003C66EB">
            <w:pPr>
              <w:rPr>
                <w:rFonts w:ascii="宋体"/>
              </w:rPr>
            </w:pPr>
          </w:p>
        </w:tc>
        <w:tc>
          <w:tcPr>
            <w:tcW w:w="0" w:type="auto"/>
            <w:shd w:val="clear" w:color="auto" w:fill="auto"/>
          </w:tcPr>
          <w:p w14:paraId="5EA264A6" w14:textId="77777777" w:rsidR="003C66EB" w:rsidRDefault="003C66EB">
            <w:pPr>
              <w:rPr>
                <w:rFonts w:ascii="宋体"/>
              </w:rPr>
            </w:pPr>
          </w:p>
        </w:tc>
        <w:tc>
          <w:tcPr>
            <w:tcW w:w="0" w:type="auto"/>
            <w:shd w:val="clear" w:color="auto" w:fill="auto"/>
          </w:tcPr>
          <w:p w14:paraId="5EA264A7" w14:textId="77777777" w:rsidR="003C66EB" w:rsidRDefault="003C66EB">
            <w:pPr>
              <w:rPr>
                <w:rFonts w:ascii="宋体"/>
              </w:rPr>
            </w:pPr>
          </w:p>
        </w:tc>
        <w:tc>
          <w:tcPr>
            <w:tcW w:w="0" w:type="auto"/>
            <w:shd w:val="clear" w:color="auto" w:fill="auto"/>
          </w:tcPr>
          <w:p w14:paraId="5EA264A8" w14:textId="77777777" w:rsidR="003C66EB" w:rsidRDefault="003C66EB">
            <w:pPr>
              <w:rPr>
                <w:rFonts w:ascii="宋体"/>
              </w:rPr>
            </w:pPr>
          </w:p>
        </w:tc>
        <w:tc>
          <w:tcPr>
            <w:tcW w:w="0" w:type="auto"/>
            <w:shd w:val="clear" w:color="auto" w:fill="auto"/>
          </w:tcPr>
          <w:p w14:paraId="5EA264A9" w14:textId="77777777" w:rsidR="003C66EB" w:rsidRDefault="003C66EB">
            <w:pPr>
              <w:rPr>
                <w:rFonts w:ascii="宋体"/>
              </w:rPr>
            </w:pPr>
          </w:p>
        </w:tc>
        <w:tc>
          <w:tcPr>
            <w:tcW w:w="0" w:type="auto"/>
            <w:shd w:val="clear" w:color="auto" w:fill="auto"/>
          </w:tcPr>
          <w:p w14:paraId="5EA264AA" w14:textId="77777777" w:rsidR="003C66EB" w:rsidRDefault="003C66EB">
            <w:pPr>
              <w:rPr>
                <w:rFonts w:ascii="宋体"/>
              </w:rPr>
            </w:pPr>
          </w:p>
        </w:tc>
        <w:tc>
          <w:tcPr>
            <w:tcW w:w="0" w:type="auto"/>
            <w:shd w:val="clear" w:color="auto" w:fill="auto"/>
          </w:tcPr>
          <w:p w14:paraId="5EA264AB" w14:textId="77777777" w:rsidR="003C66EB" w:rsidRDefault="003C66EB">
            <w:pPr>
              <w:rPr>
                <w:rFonts w:ascii="宋体"/>
              </w:rPr>
            </w:pPr>
          </w:p>
        </w:tc>
        <w:tc>
          <w:tcPr>
            <w:tcW w:w="0" w:type="auto"/>
            <w:shd w:val="clear" w:color="auto" w:fill="auto"/>
          </w:tcPr>
          <w:p w14:paraId="5EA264AC" w14:textId="77777777" w:rsidR="003C66EB" w:rsidRDefault="003C66EB">
            <w:pPr>
              <w:rPr>
                <w:rFonts w:ascii="宋体"/>
              </w:rPr>
            </w:pPr>
          </w:p>
        </w:tc>
        <w:tc>
          <w:tcPr>
            <w:tcW w:w="0" w:type="auto"/>
            <w:shd w:val="clear" w:color="auto" w:fill="auto"/>
          </w:tcPr>
          <w:p w14:paraId="5EA264AD" w14:textId="77777777" w:rsidR="003C66EB" w:rsidRDefault="003C66EB">
            <w:pPr>
              <w:rPr>
                <w:rFonts w:ascii="宋体"/>
              </w:rPr>
            </w:pPr>
          </w:p>
        </w:tc>
        <w:tc>
          <w:tcPr>
            <w:tcW w:w="0" w:type="auto"/>
            <w:shd w:val="clear" w:color="auto" w:fill="auto"/>
          </w:tcPr>
          <w:p w14:paraId="5EA264AE" w14:textId="77777777" w:rsidR="003C66EB" w:rsidRDefault="003C66EB">
            <w:pPr>
              <w:rPr>
                <w:rFonts w:ascii="宋体"/>
              </w:rPr>
            </w:pPr>
          </w:p>
        </w:tc>
        <w:tc>
          <w:tcPr>
            <w:tcW w:w="0" w:type="auto"/>
            <w:shd w:val="clear" w:color="auto" w:fill="auto"/>
          </w:tcPr>
          <w:p w14:paraId="5EA264AF" w14:textId="77777777" w:rsidR="003C66EB" w:rsidRDefault="003C66EB">
            <w:pPr>
              <w:rPr>
                <w:rFonts w:ascii="宋体"/>
              </w:rPr>
            </w:pPr>
          </w:p>
        </w:tc>
        <w:tc>
          <w:tcPr>
            <w:tcW w:w="0" w:type="auto"/>
            <w:shd w:val="clear" w:color="auto" w:fill="auto"/>
          </w:tcPr>
          <w:p w14:paraId="5EA264B0" w14:textId="77777777" w:rsidR="003C66EB" w:rsidRDefault="003C66EB">
            <w:pPr>
              <w:rPr>
                <w:rFonts w:ascii="宋体"/>
              </w:rPr>
            </w:pPr>
          </w:p>
        </w:tc>
        <w:tc>
          <w:tcPr>
            <w:tcW w:w="0" w:type="auto"/>
            <w:shd w:val="clear" w:color="auto" w:fill="auto"/>
          </w:tcPr>
          <w:p w14:paraId="5EA264B1" w14:textId="77777777" w:rsidR="003C66EB" w:rsidRDefault="003C66EB">
            <w:pPr>
              <w:rPr>
                <w:rFonts w:ascii="宋体"/>
              </w:rPr>
            </w:pPr>
          </w:p>
        </w:tc>
        <w:tc>
          <w:tcPr>
            <w:tcW w:w="0" w:type="auto"/>
            <w:shd w:val="clear" w:color="auto" w:fill="auto"/>
          </w:tcPr>
          <w:p w14:paraId="5EA264B2" w14:textId="77777777" w:rsidR="003C66EB" w:rsidRDefault="003C66EB">
            <w:pPr>
              <w:rPr>
                <w:rFonts w:ascii="宋体"/>
              </w:rPr>
            </w:pPr>
          </w:p>
        </w:tc>
        <w:tc>
          <w:tcPr>
            <w:tcW w:w="0" w:type="auto"/>
            <w:shd w:val="clear" w:color="auto" w:fill="auto"/>
          </w:tcPr>
          <w:p w14:paraId="5EA264B3" w14:textId="77777777" w:rsidR="003C66EB" w:rsidRDefault="003C66EB">
            <w:pPr>
              <w:rPr>
                <w:rFonts w:ascii="宋体"/>
              </w:rPr>
            </w:pPr>
          </w:p>
        </w:tc>
        <w:tc>
          <w:tcPr>
            <w:tcW w:w="0" w:type="auto"/>
            <w:shd w:val="clear" w:color="auto" w:fill="auto"/>
          </w:tcPr>
          <w:p w14:paraId="5EA264B4" w14:textId="77777777" w:rsidR="003C66EB" w:rsidRDefault="003C66EB">
            <w:pPr>
              <w:rPr>
                <w:rFonts w:ascii="宋体"/>
              </w:rPr>
            </w:pPr>
          </w:p>
        </w:tc>
        <w:tc>
          <w:tcPr>
            <w:tcW w:w="0" w:type="auto"/>
            <w:shd w:val="clear" w:color="auto" w:fill="auto"/>
          </w:tcPr>
          <w:p w14:paraId="5EA264B5" w14:textId="77777777" w:rsidR="003C66EB" w:rsidRDefault="003C66EB">
            <w:pPr>
              <w:rPr>
                <w:rFonts w:ascii="宋体"/>
              </w:rPr>
            </w:pPr>
          </w:p>
        </w:tc>
        <w:tc>
          <w:tcPr>
            <w:tcW w:w="0" w:type="auto"/>
            <w:shd w:val="clear" w:color="auto" w:fill="auto"/>
          </w:tcPr>
          <w:p w14:paraId="5EA264B6" w14:textId="77777777" w:rsidR="003C66EB" w:rsidRDefault="003C66EB">
            <w:pPr>
              <w:rPr>
                <w:rFonts w:ascii="宋体"/>
              </w:rPr>
            </w:pPr>
          </w:p>
        </w:tc>
        <w:tc>
          <w:tcPr>
            <w:tcW w:w="0" w:type="auto"/>
            <w:shd w:val="clear" w:color="auto" w:fill="auto"/>
          </w:tcPr>
          <w:p w14:paraId="5EA264B7" w14:textId="77777777" w:rsidR="003C66EB" w:rsidRDefault="003C66EB">
            <w:pPr>
              <w:rPr>
                <w:rFonts w:ascii="宋体"/>
              </w:rPr>
            </w:pPr>
          </w:p>
        </w:tc>
      </w:tr>
      <w:tr w:rsidR="003C66EB" w14:paraId="5EA264E5" w14:textId="77777777">
        <w:trPr>
          <w:hidden/>
        </w:trPr>
        <w:tc>
          <w:tcPr>
            <w:tcW w:w="0" w:type="auto"/>
            <w:gridSpan w:val="3"/>
            <w:shd w:val="clear" w:color="auto" w:fill="auto"/>
          </w:tcPr>
          <w:p w14:paraId="5EA264B9" w14:textId="77777777" w:rsidR="003C66EB" w:rsidRDefault="003C66EB">
            <w:pPr>
              <w:rPr>
                <w:rFonts w:ascii="宋体"/>
                <w:vanish/>
              </w:rPr>
            </w:pPr>
          </w:p>
        </w:tc>
        <w:tc>
          <w:tcPr>
            <w:tcW w:w="0" w:type="auto"/>
            <w:gridSpan w:val="3"/>
            <w:shd w:val="clear" w:color="auto" w:fill="auto"/>
          </w:tcPr>
          <w:p w14:paraId="5EA264BA" w14:textId="77777777" w:rsidR="003C66EB" w:rsidRDefault="003C66EB">
            <w:pPr>
              <w:rPr>
                <w:rFonts w:ascii="宋体"/>
                <w:vanish/>
              </w:rPr>
            </w:pPr>
          </w:p>
        </w:tc>
        <w:tc>
          <w:tcPr>
            <w:tcW w:w="0" w:type="auto"/>
            <w:shd w:val="clear" w:color="auto" w:fill="auto"/>
          </w:tcPr>
          <w:p w14:paraId="5EA264BB" w14:textId="77777777" w:rsidR="003C66EB" w:rsidRDefault="003C66EB">
            <w:pPr>
              <w:rPr>
                <w:rFonts w:ascii="宋体"/>
              </w:rPr>
            </w:pPr>
          </w:p>
        </w:tc>
        <w:tc>
          <w:tcPr>
            <w:tcW w:w="0" w:type="auto"/>
            <w:shd w:val="clear" w:color="auto" w:fill="auto"/>
          </w:tcPr>
          <w:p w14:paraId="5EA264BC" w14:textId="77777777" w:rsidR="003C66EB" w:rsidRDefault="003C66EB">
            <w:pPr>
              <w:rPr>
                <w:rFonts w:ascii="宋体"/>
              </w:rPr>
            </w:pPr>
          </w:p>
        </w:tc>
        <w:tc>
          <w:tcPr>
            <w:tcW w:w="0" w:type="auto"/>
            <w:shd w:val="clear" w:color="auto" w:fill="auto"/>
          </w:tcPr>
          <w:p w14:paraId="5EA264BD" w14:textId="77777777" w:rsidR="003C66EB" w:rsidRDefault="003C66EB">
            <w:pPr>
              <w:rPr>
                <w:rFonts w:ascii="宋体"/>
              </w:rPr>
            </w:pPr>
          </w:p>
        </w:tc>
        <w:tc>
          <w:tcPr>
            <w:tcW w:w="0" w:type="auto"/>
            <w:shd w:val="clear" w:color="auto" w:fill="auto"/>
          </w:tcPr>
          <w:p w14:paraId="5EA264BE" w14:textId="77777777" w:rsidR="003C66EB" w:rsidRDefault="003C66EB">
            <w:pPr>
              <w:rPr>
                <w:rFonts w:ascii="宋体"/>
              </w:rPr>
            </w:pPr>
          </w:p>
        </w:tc>
        <w:tc>
          <w:tcPr>
            <w:tcW w:w="0" w:type="auto"/>
            <w:shd w:val="clear" w:color="auto" w:fill="auto"/>
          </w:tcPr>
          <w:p w14:paraId="5EA264BF" w14:textId="77777777" w:rsidR="003C66EB" w:rsidRDefault="003C66EB">
            <w:pPr>
              <w:rPr>
                <w:rFonts w:ascii="宋体"/>
              </w:rPr>
            </w:pPr>
          </w:p>
        </w:tc>
        <w:tc>
          <w:tcPr>
            <w:tcW w:w="0" w:type="auto"/>
            <w:shd w:val="clear" w:color="auto" w:fill="auto"/>
          </w:tcPr>
          <w:p w14:paraId="5EA264C0" w14:textId="77777777" w:rsidR="003C66EB" w:rsidRDefault="003C66EB">
            <w:pPr>
              <w:rPr>
                <w:rFonts w:ascii="宋体"/>
              </w:rPr>
            </w:pPr>
          </w:p>
        </w:tc>
        <w:tc>
          <w:tcPr>
            <w:tcW w:w="0" w:type="auto"/>
            <w:shd w:val="clear" w:color="auto" w:fill="auto"/>
          </w:tcPr>
          <w:p w14:paraId="5EA264C1" w14:textId="77777777" w:rsidR="003C66EB" w:rsidRDefault="003C66EB">
            <w:pPr>
              <w:rPr>
                <w:rFonts w:ascii="宋体"/>
              </w:rPr>
            </w:pPr>
          </w:p>
        </w:tc>
        <w:tc>
          <w:tcPr>
            <w:tcW w:w="0" w:type="auto"/>
            <w:shd w:val="clear" w:color="auto" w:fill="auto"/>
          </w:tcPr>
          <w:p w14:paraId="5EA264C2" w14:textId="77777777" w:rsidR="003C66EB" w:rsidRDefault="003C66EB">
            <w:pPr>
              <w:rPr>
                <w:rFonts w:ascii="宋体"/>
              </w:rPr>
            </w:pPr>
          </w:p>
        </w:tc>
        <w:tc>
          <w:tcPr>
            <w:tcW w:w="0" w:type="auto"/>
            <w:shd w:val="clear" w:color="auto" w:fill="auto"/>
          </w:tcPr>
          <w:p w14:paraId="5EA264C3" w14:textId="77777777" w:rsidR="003C66EB" w:rsidRDefault="003C66EB">
            <w:pPr>
              <w:rPr>
                <w:rFonts w:ascii="宋体"/>
              </w:rPr>
            </w:pPr>
          </w:p>
        </w:tc>
        <w:tc>
          <w:tcPr>
            <w:tcW w:w="0" w:type="auto"/>
            <w:shd w:val="clear" w:color="auto" w:fill="auto"/>
          </w:tcPr>
          <w:p w14:paraId="5EA264C4" w14:textId="77777777" w:rsidR="003C66EB" w:rsidRDefault="003C66EB">
            <w:pPr>
              <w:rPr>
                <w:rFonts w:ascii="宋体"/>
              </w:rPr>
            </w:pPr>
          </w:p>
        </w:tc>
        <w:tc>
          <w:tcPr>
            <w:tcW w:w="0" w:type="auto"/>
            <w:shd w:val="clear" w:color="auto" w:fill="auto"/>
          </w:tcPr>
          <w:p w14:paraId="5EA264C5" w14:textId="77777777" w:rsidR="003C66EB" w:rsidRDefault="003C66EB">
            <w:pPr>
              <w:rPr>
                <w:rFonts w:ascii="宋体"/>
              </w:rPr>
            </w:pPr>
          </w:p>
        </w:tc>
        <w:tc>
          <w:tcPr>
            <w:tcW w:w="0" w:type="auto"/>
            <w:shd w:val="clear" w:color="auto" w:fill="auto"/>
          </w:tcPr>
          <w:p w14:paraId="5EA264C6" w14:textId="77777777" w:rsidR="003C66EB" w:rsidRDefault="003C66EB">
            <w:pPr>
              <w:rPr>
                <w:rFonts w:ascii="宋体"/>
              </w:rPr>
            </w:pPr>
          </w:p>
        </w:tc>
        <w:tc>
          <w:tcPr>
            <w:tcW w:w="0" w:type="auto"/>
            <w:shd w:val="clear" w:color="auto" w:fill="auto"/>
          </w:tcPr>
          <w:p w14:paraId="5EA264C7" w14:textId="77777777" w:rsidR="003C66EB" w:rsidRDefault="003C66EB">
            <w:pPr>
              <w:rPr>
                <w:rFonts w:ascii="宋体"/>
              </w:rPr>
            </w:pPr>
          </w:p>
        </w:tc>
        <w:tc>
          <w:tcPr>
            <w:tcW w:w="0" w:type="auto"/>
            <w:shd w:val="clear" w:color="auto" w:fill="auto"/>
          </w:tcPr>
          <w:p w14:paraId="5EA264C8" w14:textId="77777777" w:rsidR="003C66EB" w:rsidRDefault="003C66EB">
            <w:pPr>
              <w:rPr>
                <w:rFonts w:ascii="宋体"/>
              </w:rPr>
            </w:pPr>
          </w:p>
        </w:tc>
        <w:tc>
          <w:tcPr>
            <w:tcW w:w="0" w:type="auto"/>
            <w:shd w:val="clear" w:color="auto" w:fill="auto"/>
          </w:tcPr>
          <w:p w14:paraId="5EA264C9" w14:textId="77777777" w:rsidR="003C66EB" w:rsidRDefault="003C66EB">
            <w:pPr>
              <w:rPr>
                <w:rFonts w:ascii="宋体"/>
              </w:rPr>
            </w:pPr>
          </w:p>
        </w:tc>
        <w:tc>
          <w:tcPr>
            <w:tcW w:w="0" w:type="auto"/>
            <w:shd w:val="clear" w:color="auto" w:fill="auto"/>
          </w:tcPr>
          <w:p w14:paraId="5EA264CA" w14:textId="77777777" w:rsidR="003C66EB" w:rsidRDefault="003C66EB">
            <w:pPr>
              <w:rPr>
                <w:rFonts w:ascii="宋体"/>
              </w:rPr>
            </w:pPr>
          </w:p>
        </w:tc>
        <w:tc>
          <w:tcPr>
            <w:tcW w:w="0" w:type="auto"/>
            <w:shd w:val="clear" w:color="auto" w:fill="auto"/>
          </w:tcPr>
          <w:p w14:paraId="5EA264CB" w14:textId="77777777" w:rsidR="003C66EB" w:rsidRDefault="003C66EB">
            <w:pPr>
              <w:rPr>
                <w:rFonts w:ascii="宋体"/>
              </w:rPr>
            </w:pPr>
          </w:p>
        </w:tc>
        <w:tc>
          <w:tcPr>
            <w:tcW w:w="0" w:type="auto"/>
            <w:shd w:val="clear" w:color="auto" w:fill="auto"/>
          </w:tcPr>
          <w:p w14:paraId="5EA264CC" w14:textId="77777777" w:rsidR="003C66EB" w:rsidRDefault="003C66EB">
            <w:pPr>
              <w:rPr>
                <w:rFonts w:ascii="宋体"/>
              </w:rPr>
            </w:pPr>
          </w:p>
        </w:tc>
        <w:tc>
          <w:tcPr>
            <w:tcW w:w="0" w:type="auto"/>
            <w:shd w:val="clear" w:color="auto" w:fill="auto"/>
          </w:tcPr>
          <w:p w14:paraId="5EA264CD" w14:textId="77777777" w:rsidR="003C66EB" w:rsidRDefault="003C66EB">
            <w:pPr>
              <w:rPr>
                <w:rFonts w:ascii="宋体"/>
              </w:rPr>
            </w:pPr>
          </w:p>
        </w:tc>
        <w:tc>
          <w:tcPr>
            <w:tcW w:w="0" w:type="auto"/>
            <w:shd w:val="clear" w:color="auto" w:fill="auto"/>
          </w:tcPr>
          <w:p w14:paraId="5EA264CE" w14:textId="77777777" w:rsidR="003C66EB" w:rsidRDefault="003C66EB">
            <w:pPr>
              <w:rPr>
                <w:rFonts w:ascii="宋体"/>
              </w:rPr>
            </w:pPr>
          </w:p>
        </w:tc>
        <w:tc>
          <w:tcPr>
            <w:tcW w:w="0" w:type="auto"/>
            <w:shd w:val="clear" w:color="auto" w:fill="auto"/>
          </w:tcPr>
          <w:p w14:paraId="5EA264CF" w14:textId="77777777" w:rsidR="003C66EB" w:rsidRDefault="003C66EB">
            <w:pPr>
              <w:rPr>
                <w:rFonts w:ascii="宋体"/>
              </w:rPr>
            </w:pPr>
          </w:p>
        </w:tc>
        <w:tc>
          <w:tcPr>
            <w:tcW w:w="0" w:type="auto"/>
            <w:shd w:val="clear" w:color="auto" w:fill="auto"/>
          </w:tcPr>
          <w:p w14:paraId="5EA264D0" w14:textId="77777777" w:rsidR="003C66EB" w:rsidRDefault="003C66EB">
            <w:pPr>
              <w:rPr>
                <w:rFonts w:ascii="宋体"/>
              </w:rPr>
            </w:pPr>
          </w:p>
        </w:tc>
        <w:tc>
          <w:tcPr>
            <w:tcW w:w="0" w:type="auto"/>
            <w:shd w:val="clear" w:color="auto" w:fill="auto"/>
          </w:tcPr>
          <w:p w14:paraId="5EA264D1" w14:textId="77777777" w:rsidR="003C66EB" w:rsidRDefault="003C66EB">
            <w:pPr>
              <w:rPr>
                <w:rFonts w:ascii="宋体"/>
              </w:rPr>
            </w:pPr>
          </w:p>
        </w:tc>
        <w:tc>
          <w:tcPr>
            <w:tcW w:w="0" w:type="auto"/>
            <w:shd w:val="clear" w:color="auto" w:fill="auto"/>
          </w:tcPr>
          <w:p w14:paraId="5EA264D2" w14:textId="77777777" w:rsidR="003C66EB" w:rsidRDefault="003C66EB">
            <w:pPr>
              <w:rPr>
                <w:rFonts w:ascii="宋体"/>
              </w:rPr>
            </w:pPr>
          </w:p>
        </w:tc>
        <w:tc>
          <w:tcPr>
            <w:tcW w:w="0" w:type="auto"/>
            <w:shd w:val="clear" w:color="auto" w:fill="auto"/>
          </w:tcPr>
          <w:p w14:paraId="5EA264D3" w14:textId="77777777" w:rsidR="003C66EB" w:rsidRDefault="003C66EB">
            <w:pPr>
              <w:rPr>
                <w:rFonts w:ascii="宋体"/>
              </w:rPr>
            </w:pPr>
          </w:p>
        </w:tc>
        <w:tc>
          <w:tcPr>
            <w:tcW w:w="0" w:type="auto"/>
            <w:shd w:val="clear" w:color="auto" w:fill="auto"/>
          </w:tcPr>
          <w:p w14:paraId="5EA264D4" w14:textId="77777777" w:rsidR="003C66EB" w:rsidRDefault="003C66EB">
            <w:pPr>
              <w:rPr>
                <w:rFonts w:ascii="宋体"/>
              </w:rPr>
            </w:pPr>
          </w:p>
        </w:tc>
        <w:tc>
          <w:tcPr>
            <w:tcW w:w="0" w:type="auto"/>
            <w:shd w:val="clear" w:color="auto" w:fill="auto"/>
          </w:tcPr>
          <w:p w14:paraId="5EA264D5" w14:textId="77777777" w:rsidR="003C66EB" w:rsidRDefault="003C66EB">
            <w:pPr>
              <w:rPr>
                <w:rFonts w:ascii="宋体"/>
              </w:rPr>
            </w:pPr>
          </w:p>
        </w:tc>
        <w:tc>
          <w:tcPr>
            <w:tcW w:w="0" w:type="auto"/>
            <w:shd w:val="clear" w:color="auto" w:fill="auto"/>
          </w:tcPr>
          <w:p w14:paraId="5EA264D6" w14:textId="77777777" w:rsidR="003C66EB" w:rsidRDefault="003C66EB">
            <w:pPr>
              <w:rPr>
                <w:rFonts w:ascii="宋体"/>
              </w:rPr>
            </w:pPr>
          </w:p>
        </w:tc>
        <w:tc>
          <w:tcPr>
            <w:tcW w:w="0" w:type="auto"/>
            <w:shd w:val="clear" w:color="auto" w:fill="auto"/>
          </w:tcPr>
          <w:p w14:paraId="5EA264D7" w14:textId="77777777" w:rsidR="003C66EB" w:rsidRDefault="003C66EB">
            <w:pPr>
              <w:rPr>
                <w:rFonts w:ascii="宋体"/>
              </w:rPr>
            </w:pPr>
          </w:p>
        </w:tc>
        <w:tc>
          <w:tcPr>
            <w:tcW w:w="0" w:type="auto"/>
            <w:shd w:val="clear" w:color="auto" w:fill="auto"/>
          </w:tcPr>
          <w:p w14:paraId="5EA264D8" w14:textId="77777777" w:rsidR="003C66EB" w:rsidRDefault="003C66EB">
            <w:pPr>
              <w:rPr>
                <w:rFonts w:ascii="宋体"/>
              </w:rPr>
            </w:pPr>
          </w:p>
        </w:tc>
        <w:tc>
          <w:tcPr>
            <w:tcW w:w="0" w:type="auto"/>
            <w:shd w:val="clear" w:color="auto" w:fill="auto"/>
          </w:tcPr>
          <w:p w14:paraId="5EA264D9" w14:textId="77777777" w:rsidR="003C66EB" w:rsidRDefault="003C66EB">
            <w:pPr>
              <w:rPr>
                <w:rFonts w:ascii="宋体"/>
              </w:rPr>
            </w:pPr>
          </w:p>
        </w:tc>
        <w:tc>
          <w:tcPr>
            <w:tcW w:w="0" w:type="auto"/>
            <w:shd w:val="clear" w:color="auto" w:fill="auto"/>
          </w:tcPr>
          <w:p w14:paraId="5EA264DA" w14:textId="77777777" w:rsidR="003C66EB" w:rsidRDefault="003C66EB">
            <w:pPr>
              <w:rPr>
                <w:rFonts w:ascii="宋体"/>
              </w:rPr>
            </w:pPr>
          </w:p>
        </w:tc>
        <w:tc>
          <w:tcPr>
            <w:tcW w:w="0" w:type="auto"/>
            <w:shd w:val="clear" w:color="auto" w:fill="auto"/>
          </w:tcPr>
          <w:p w14:paraId="5EA264DB" w14:textId="77777777" w:rsidR="003C66EB" w:rsidRDefault="003C66EB">
            <w:pPr>
              <w:rPr>
                <w:rFonts w:ascii="宋体"/>
              </w:rPr>
            </w:pPr>
          </w:p>
        </w:tc>
        <w:tc>
          <w:tcPr>
            <w:tcW w:w="0" w:type="auto"/>
            <w:shd w:val="clear" w:color="auto" w:fill="auto"/>
          </w:tcPr>
          <w:p w14:paraId="5EA264DC" w14:textId="77777777" w:rsidR="003C66EB" w:rsidRDefault="003C66EB">
            <w:pPr>
              <w:rPr>
                <w:rFonts w:ascii="宋体"/>
              </w:rPr>
            </w:pPr>
          </w:p>
        </w:tc>
        <w:tc>
          <w:tcPr>
            <w:tcW w:w="0" w:type="auto"/>
            <w:shd w:val="clear" w:color="auto" w:fill="auto"/>
          </w:tcPr>
          <w:p w14:paraId="5EA264DD" w14:textId="77777777" w:rsidR="003C66EB" w:rsidRDefault="003C66EB">
            <w:pPr>
              <w:rPr>
                <w:rFonts w:ascii="宋体"/>
              </w:rPr>
            </w:pPr>
          </w:p>
        </w:tc>
        <w:tc>
          <w:tcPr>
            <w:tcW w:w="0" w:type="auto"/>
            <w:shd w:val="clear" w:color="auto" w:fill="auto"/>
          </w:tcPr>
          <w:p w14:paraId="5EA264DE" w14:textId="77777777" w:rsidR="003C66EB" w:rsidRDefault="003C66EB">
            <w:pPr>
              <w:rPr>
                <w:rFonts w:ascii="宋体"/>
              </w:rPr>
            </w:pPr>
          </w:p>
        </w:tc>
        <w:tc>
          <w:tcPr>
            <w:tcW w:w="0" w:type="auto"/>
            <w:shd w:val="clear" w:color="auto" w:fill="auto"/>
          </w:tcPr>
          <w:p w14:paraId="5EA264DF" w14:textId="77777777" w:rsidR="003C66EB" w:rsidRDefault="003C66EB">
            <w:pPr>
              <w:rPr>
                <w:rFonts w:ascii="宋体"/>
              </w:rPr>
            </w:pPr>
          </w:p>
        </w:tc>
        <w:tc>
          <w:tcPr>
            <w:tcW w:w="0" w:type="auto"/>
            <w:shd w:val="clear" w:color="auto" w:fill="auto"/>
          </w:tcPr>
          <w:p w14:paraId="5EA264E0" w14:textId="77777777" w:rsidR="003C66EB" w:rsidRDefault="003C66EB">
            <w:pPr>
              <w:rPr>
                <w:rFonts w:ascii="宋体"/>
              </w:rPr>
            </w:pPr>
          </w:p>
        </w:tc>
        <w:tc>
          <w:tcPr>
            <w:tcW w:w="0" w:type="auto"/>
            <w:shd w:val="clear" w:color="auto" w:fill="auto"/>
          </w:tcPr>
          <w:p w14:paraId="5EA264E1" w14:textId="77777777" w:rsidR="003C66EB" w:rsidRDefault="003C66EB">
            <w:pPr>
              <w:rPr>
                <w:rFonts w:ascii="宋体"/>
              </w:rPr>
            </w:pPr>
          </w:p>
        </w:tc>
        <w:tc>
          <w:tcPr>
            <w:tcW w:w="0" w:type="auto"/>
            <w:shd w:val="clear" w:color="auto" w:fill="auto"/>
          </w:tcPr>
          <w:p w14:paraId="5EA264E2" w14:textId="77777777" w:rsidR="003C66EB" w:rsidRDefault="003C66EB">
            <w:pPr>
              <w:rPr>
                <w:rFonts w:ascii="宋体"/>
              </w:rPr>
            </w:pPr>
          </w:p>
        </w:tc>
        <w:tc>
          <w:tcPr>
            <w:tcW w:w="0" w:type="auto"/>
            <w:shd w:val="clear" w:color="auto" w:fill="auto"/>
          </w:tcPr>
          <w:p w14:paraId="5EA264E3" w14:textId="77777777" w:rsidR="003C66EB" w:rsidRDefault="003C66EB">
            <w:pPr>
              <w:rPr>
                <w:rFonts w:ascii="宋体"/>
              </w:rPr>
            </w:pPr>
          </w:p>
        </w:tc>
        <w:tc>
          <w:tcPr>
            <w:tcW w:w="0" w:type="auto"/>
            <w:shd w:val="clear" w:color="auto" w:fill="auto"/>
          </w:tcPr>
          <w:p w14:paraId="5EA264E4" w14:textId="77777777" w:rsidR="003C66EB" w:rsidRDefault="003C66EB">
            <w:pPr>
              <w:rPr>
                <w:rFonts w:ascii="宋体"/>
              </w:rPr>
            </w:pPr>
          </w:p>
        </w:tc>
      </w:tr>
      <w:tr w:rsidR="003C66EB" w14:paraId="5EA264EA" w14:textId="77777777">
        <w:tc>
          <w:tcPr>
            <w:tcW w:w="0" w:type="auto"/>
            <w:gridSpan w:val="3"/>
            <w:shd w:val="clear" w:color="auto" w:fill="auto"/>
            <w:tcMar>
              <w:top w:w="0" w:type="dxa"/>
              <w:left w:w="20" w:type="dxa"/>
              <w:bottom w:w="0" w:type="dxa"/>
              <w:right w:w="20" w:type="dxa"/>
            </w:tcMar>
          </w:tcPr>
          <w:p w14:paraId="5EA264E6" w14:textId="77777777" w:rsidR="003C66EB" w:rsidRDefault="003C66EB">
            <w:pPr>
              <w:rPr>
                <w:rFonts w:ascii="宋体"/>
              </w:rPr>
            </w:pPr>
          </w:p>
        </w:tc>
        <w:tc>
          <w:tcPr>
            <w:tcW w:w="0" w:type="auto"/>
            <w:gridSpan w:val="21"/>
            <w:shd w:val="clear" w:color="auto" w:fill="auto"/>
            <w:tcMar>
              <w:top w:w="40" w:type="dxa"/>
              <w:left w:w="20" w:type="dxa"/>
              <w:bottom w:w="40" w:type="dxa"/>
              <w:right w:w="20" w:type="dxa"/>
            </w:tcMar>
            <w:vAlign w:val="bottom"/>
          </w:tcPr>
          <w:p w14:paraId="5EA264E7" w14:textId="77777777" w:rsidR="003C66EB" w:rsidRDefault="00D96C4E">
            <w:pPr>
              <w:jc w:val="center"/>
              <w:textAlignment w:val="bottom"/>
            </w:pPr>
            <w:r>
              <w:rPr>
                <w:rFonts w:ascii="Arial" w:eastAsia="宋体" w:hAnsi="Arial" w:cs="Arial"/>
                <w:b/>
                <w:bCs/>
                <w:color w:val="000000"/>
                <w:sz w:val="15"/>
                <w:szCs w:val="15"/>
              </w:rPr>
              <w:t>As of March 31, 2021</w:t>
            </w:r>
          </w:p>
        </w:tc>
        <w:tc>
          <w:tcPr>
            <w:tcW w:w="0" w:type="auto"/>
            <w:gridSpan w:val="3"/>
            <w:shd w:val="clear" w:color="auto" w:fill="auto"/>
            <w:tcMar>
              <w:top w:w="0" w:type="dxa"/>
              <w:left w:w="20" w:type="dxa"/>
              <w:bottom w:w="0" w:type="dxa"/>
              <w:right w:w="20" w:type="dxa"/>
            </w:tcMar>
          </w:tcPr>
          <w:p w14:paraId="5EA264E8" w14:textId="77777777" w:rsidR="003C66EB" w:rsidRDefault="003C66EB">
            <w:pPr>
              <w:rPr>
                <w:rFonts w:ascii="宋体"/>
              </w:rPr>
            </w:pPr>
          </w:p>
        </w:tc>
        <w:tc>
          <w:tcPr>
            <w:tcW w:w="0" w:type="auto"/>
            <w:gridSpan w:val="21"/>
            <w:shd w:val="clear" w:color="auto" w:fill="auto"/>
            <w:tcMar>
              <w:top w:w="40" w:type="dxa"/>
              <w:left w:w="20" w:type="dxa"/>
              <w:bottom w:w="40" w:type="dxa"/>
              <w:right w:w="20" w:type="dxa"/>
            </w:tcMar>
            <w:vAlign w:val="bottom"/>
          </w:tcPr>
          <w:p w14:paraId="5EA264E9" w14:textId="77777777" w:rsidR="003C66EB" w:rsidRDefault="00D96C4E">
            <w:pPr>
              <w:jc w:val="center"/>
              <w:textAlignment w:val="bottom"/>
            </w:pPr>
            <w:r>
              <w:rPr>
                <w:rFonts w:ascii="Arial" w:eastAsia="宋体" w:hAnsi="Arial" w:cs="Arial"/>
                <w:b/>
                <w:bCs/>
                <w:color w:val="000000"/>
                <w:sz w:val="15"/>
                <w:szCs w:val="15"/>
              </w:rPr>
              <w:t>As of December 31, 2020</w:t>
            </w:r>
          </w:p>
        </w:tc>
      </w:tr>
      <w:tr w:rsidR="003C66EB" w14:paraId="5EA264FB" w14:textId="77777777">
        <w:tc>
          <w:tcPr>
            <w:tcW w:w="0" w:type="auto"/>
            <w:gridSpan w:val="3"/>
            <w:shd w:val="clear" w:color="auto" w:fill="auto"/>
            <w:tcMar>
              <w:top w:w="40" w:type="dxa"/>
              <w:left w:w="20" w:type="dxa"/>
              <w:bottom w:w="40" w:type="dxa"/>
              <w:right w:w="20" w:type="dxa"/>
            </w:tcMar>
            <w:vAlign w:val="bottom"/>
          </w:tcPr>
          <w:p w14:paraId="5EA264EB"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EC" w14:textId="77777777" w:rsidR="003C66EB" w:rsidRDefault="00D96C4E">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tcPr>
          <w:p w14:paraId="5EA264E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EE" w14:textId="77777777" w:rsidR="003C66EB" w:rsidRDefault="00D96C4E">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tcPr>
          <w:p w14:paraId="5EA264E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F0" w14:textId="77777777" w:rsidR="003C66EB" w:rsidRDefault="00D96C4E">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tcPr>
          <w:p w14:paraId="5EA264F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F2" w14:textId="77777777" w:rsidR="003C66EB" w:rsidRDefault="00D96C4E">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tcPr>
          <w:p w14:paraId="5EA264F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F4" w14:textId="77777777" w:rsidR="003C66EB" w:rsidRDefault="00D96C4E">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tcPr>
          <w:p w14:paraId="5EA264F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F6" w14:textId="77777777" w:rsidR="003C66EB" w:rsidRDefault="00D96C4E">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tcPr>
          <w:p w14:paraId="5EA264F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F8" w14:textId="77777777" w:rsidR="003C66EB" w:rsidRDefault="00D96C4E">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tcPr>
          <w:p w14:paraId="5EA264F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4FA" w14:textId="77777777" w:rsidR="003C66EB" w:rsidRDefault="00D96C4E">
            <w:pPr>
              <w:jc w:val="center"/>
              <w:textAlignment w:val="bottom"/>
            </w:pPr>
            <w:r>
              <w:rPr>
                <w:rFonts w:ascii="Arial" w:eastAsia="宋体" w:hAnsi="Arial" w:cs="Arial"/>
                <w:b/>
                <w:bCs/>
                <w:color w:val="000000"/>
                <w:sz w:val="15"/>
                <w:szCs w:val="15"/>
              </w:rPr>
              <w:t>Total</w:t>
            </w:r>
          </w:p>
        </w:tc>
      </w:tr>
      <w:tr w:rsidR="003C66EB" w14:paraId="5EA2650C" w14:textId="77777777">
        <w:tc>
          <w:tcPr>
            <w:tcW w:w="0" w:type="auto"/>
            <w:gridSpan w:val="3"/>
            <w:shd w:val="clear" w:color="auto" w:fill="auto"/>
            <w:tcMar>
              <w:top w:w="40" w:type="dxa"/>
              <w:left w:w="20" w:type="dxa"/>
              <w:bottom w:w="40" w:type="dxa"/>
              <w:right w:w="20" w:type="dxa"/>
            </w:tcMar>
            <w:vAlign w:val="bottom"/>
          </w:tcPr>
          <w:p w14:paraId="5EA264FC" w14:textId="77777777" w:rsidR="003C66EB" w:rsidRDefault="00D96C4E">
            <w:pPr>
              <w:textAlignment w:val="bottom"/>
            </w:pPr>
            <w:r>
              <w:rPr>
                <w:rFonts w:ascii="Arial" w:eastAsia="宋体" w:hAnsi="Arial" w:cs="Arial"/>
                <w:b/>
                <w:bCs/>
                <w:color w:val="000000"/>
                <w:sz w:val="15"/>
                <w:szCs w:val="15"/>
              </w:rPr>
              <w:t>Repurchase agreements:</w:t>
            </w:r>
          </w:p>
        </w:tc>
        <w:tc>
          <w:tcPr>
            <w:tcW w:w="0" w:type="auto"/>
            <w:gridSpan w:val="3"/>
            <w:tcBorders>
              <w:top w:val="single" w:sz="8" w:space="0" w:color="000000"/>
            </w:tcBorders>
            <w:shd w:val="clear" w:color="auto" w:fill="auto"/>
            <w:tcMar>
              <w:top w:w="0" w:type="dxa"/>
              <w:left w:w="20" w:type="dxa"/>
              <w:bottom w:w="0" w:type="dxa"/>
              <w:right w:w="20" w:type="dxa"/>
            </w:tcMar>
          </w:tcPr>
          <w:p w14:paraId="5EA264F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4F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4F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50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50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50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50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50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50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50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5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50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50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50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50B" w14:textId="77777777" w:rsidR="003C66EB" w:rsidRDefault="003C66EB">
            <w:pPr>
              <w:rPr>
                <w:rFonts w:ascii="宋体"/>
              </w:rPr>
            </w:pPr>
          </w:p>
        </w:tc>
      </w:tr>
      <w:tr w:rsidR="00D96C4E" w14:paraId="5EA2652D" w14:textId="77777777">
        <w:tc>
          <w:tcPr>
            <w:tcW w:w="0" w:type="auto"/>
            <w:gridSpan w:val="3"/>
            <w:shd w:val="clear" w:color="auto" w:fill="CCEEFF"/>
            <w:tcMar>
              <w:top w:w="40" w:type="dxa"/>
              <w:left w:w="20" w:type="dxa"/>
              <w:bottom w:w="40" w:type="dxa"/>
              <w:right w:w="20" w:type="dxa"/>
            </w:tcMar>
            <w:vAlign w:val="bottom"/>
          </w:tcPr>
          <w:p w14:paraId="5EA2650D" w14:textId="77777777" w:rsidR="003C66EB" w:rsidRDefault="00D96C4E">
            <w:pPr>
              <w:textAlignment w:val="bottom"/>
            </w:pPr>
            <w:r>
              <w:rPr>
                <w:rFonts w:ascii="Arial" w:eastAsia="宋体" w:hAnsi="Arial" w:cs="Arial"/>
                <w:color w:val="000000"/>
                <w:sz w:val="15"/>
                <w:szCs w:val="15"/>
              </w:rPr>
              <w:t>U.S. Treasury and agency securities</w:t>
            </w:r>
          </w:p>
        </w:tc>
        <w:tc>
          <w:tcPr>
            <w:tcW w:w="0" w:type="auto"/>
            <w:shd w:val="clear" w:color="auto" w:fill="CCEEFF"/>
            <w:tcMar>
              <w:top w:w="40" w:type="dxa"/>
              <w:left w:w="20" w:type="dxa"/>
              <w:bottom w:w="40" w:type="dxa"/>
              <w:right w:w="0" w:type="dxa"/>
            </w:tcMar>
            <w:vAlign w:val="bottom"/>
          </w:tcPr>
          <w:p w14:paraId="5EA2650E"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50F" w14:textId="77777777" w:rsidR="003C66EB" w:rsidRDefault="00D96C4E">
            <w:pPr>
              <w:jc w:val="right"/>
              <w:textAlignment w:val="bottom"/>
            </w:pPr>
            <w:r>
              <w:rPr>
                <w:rFonts w:ascii="Arial" w:eastAsia="宋体" w:hAnsi="Arial" w:cs="Arial"/>
                <w:b/>
                <w:bCs/>
                <w:color w:val="000000"/>
                <w:sz w:val="15"/>
                <w:szCs w:val="15"/>
              </w:rPr>
              <w:t>110,960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1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1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12"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513"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1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16"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517"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1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1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1A"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51B" w14:textId="77777777" w:rsidR="003C66EB" w:rsidRDefault="00D96C4E">
            <w:pPr>
              <w:jc w:val="right"/>
              <w:textAlignment w:val="bottom"/>
            </w:pPr>
            <w:r>
              <w:rPr>
                <w:rFonts w:ascii="Arial" w:eastAsia="宋体" w:hAnsi="Arial" w:cs="Arial"/>
                <w:b/>
                <w:bCs/>
                <w:color w:val="000000"/>
                <w:sz w:val="15"/>
                <w:szCs w:val="15"/>
              </w:rPr>
              <w:t>110,960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1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1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1E"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51F" w14:textId="77777777" w:rsidR="003C66EB" w:rsidRDefault="00D96C4E">
            <w:pPr>
              <w:jc w:val="right"/>
              <w:textAlignment w:val="bottom"/>
            </w:pPr>
            <w:r>
              <w:rPr>
                <w:rFonts w:ascii="Arial" w:eastAsia="宋体" w:hAnsi="Arial" w:cs="Arial"/>
                <w:color w:val="000000"/>
                <w:sz w:val="15"/>
                <w:szCs w:val="15"/>
              </w:rPr>
              <w:t>152,140 </w:t>
            </w:r>
          </w:p>
        </w:tc>
        <w:tc>
          <w:tcPr>
            <w:tcW w:w="0" w:type="auto"/>
            <w:shd w:val="clear" w:color="auto" w:fill="CCEEFF"/>
            <w:tcMar>
              <w:top w:w="40" w:type="dxa"/>
              <w:left w:w="0" w:type="dxa"/>
              <w:bottom w:w="40" w:type="dxa"/>
              <w:right w:w="20" w:type="dxa"/>
            </w:tcMar>
            <w:vAlign w:val="bottom"/>
          </w:tcPr>
          <w:p w14:paraId="5EA265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2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22"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523"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2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2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26"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527"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2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2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52A"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52B" w14:textId="77777777" w:rsidR="003C66EB" w:rsidRDefault="00D96C4E">
            <w:pPr>
              <w:jc w:val="right"/>
              <w:textAlignment w:val="bottom"/>
            </w:pPr>
            <w:r>
              <w:rPr>
                <w:rFonts w:ascii="Arial" w:eastAsia="宋体" w:hAnsi="Arial" w:cs="Arial"/>
                <w:color w:val="000000"/>
                <w:sz w:val="15"/>
                <w:szCs w:val="15"/>
              </w:rPr>
              <w:t>152,140 </w:t>
            </w:r>
          </w:p>
        </w:tc>
        <w:tc>
          <w:tcPr>
            <w:tcW w:w="0" w:type="auto"/>
            <w:shd w:val="clear" w:color="auto" w:fill="CCEEFF"/>
            <w:tcMar>
              <w:top w:w="40" w:type="dxa"/>
              <w:left w:w="0" w:type="dxa"/>
              <w:bottom w:w="40" w:type="dxa"/>
              <w:right w:w="20" w:type="dxa"/>
            </w:tcMar>
            <w:vAlign w:val="bottom"/>
          </w:tcPr>
          <w:p w14:paraId="5EA2652C" w14:textId="77777777" w:rsidR="003C66EB" w:rsidRDefault="003C66EB">
            <w:pPr>
              <w:jc w:val="right"/>
              <w:rPr>
                <w:rFonts w:ascii="宋体"/>
              </w:rPr>
            </w:pPr>
          </w:p>
        </w:tc>
      </w:tr>
      <w:tr w:rsidR="003C66EB" w14:paraId="5EA26546" w14:textId="77777777">
        <w:tc>
          <w:tcPr>
            <w:tcW w:w="0" w:type="auto"/>
            <w:gridSpan w:val="3"/>
            <w:shd w:val="clear" w:color="auto" w:fill="FFFFFF"/>
            <w:tcMar>
              <w:top w:w="40" w:type="dxa"/>
              <w:left w:w="20" w:type="dxa"/>
              <w:bottom w:w="40" w:type="dxa"/>
              <w:right w:w="20" w:type="dxa"/>
            </w:tcMar>
            <w:vAlign w:val="bottom"/>
          </w:tcPr>
          <w:p w14:paraId="5EA2652E" w14:textId="77777777" w:rsidR="003C66EB" w:rsidRDefault="00D96C4E">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2F" w14:textId="77777777" w:rsidR="003C66EB" w:rsidRDefault="00D96C4E">
            <w:pPr>
              <w:jc w:val="right"/>
              <w:textAlignment w:val="bottom"/>
            </w:pPr>
            <w:r>
              <w:rPr>
                <w:rFonts w:ascii="Arial" w:eastAsia="宋体" w:hAnsi="Arial" w:cs="Arial"/>
                <w:b/>
                <w:bCs/>
                <w:color w:val="000000"/>
                <w:sz w:val="15"/>
                <w:szCs w:val="15"/>
              </w:rPr>
              <w:t>110,960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3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32"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3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35"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3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38" w14:textId="77777777" w:rsidR="003C66EB" w:rsidRDefault="00D96C4E">
            <w:pPr>
              <w:jc w:val="right"/>
              <w:textAlignment w:val="bottom"/>
            </w:pPr>
            <w:r>
              <w:rPr>
                <w:rFonts w:ascii="Arial" w:eastAsia="宋体" w:hAnsi="Arial" w:cs="Arial"/>
                <w:b/>
                <w:bCs/>
                <w:color w:val="000000"/>
                <w:sz w:val="15"/>
                <w:szCs w:val="15"/>
              </w:rPr>
              <w:t>110,960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3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3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3B" w14:textId="77777777" w:rsidR="003C66EB" w:rsidRDefault="00D96C4E">
            <w:pPr>
              <w:jc w:val="right"/>
              <w:textAlignment w:val="bottom"/>
            </w:pPr>
            <w:r>
              <w:rPr>
                <w:rFonts w:ascii="Arial" w:eastAsia="宋体" w:hAnsi="Arial" w:cs="Arial"/>
                <w:color w:val="000000"/>
                <w:sz w:val="15"/>
                <w:szCs w:val="15"/>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3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3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3E" w14:textId="77777777" w:rsidR="003C66EB" w:rsidRDefault="00D96C4E">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4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41" w14:textId="77777777" w:rsidR="003C66EB" w:rsidRDefault="00D96C4E">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4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44" w14:textId="77777777" w:rsidR="003C66EB" w:rsidRDefault="00D96C4E">
            <w:pPr>
              <w:jc w:val="right"/>
              <w:textAlignment w:val="bottom"/>
            </w:pPr>
            <w:r>
              <w:rPr>
                <w:rFonts w:ascii="Arial" w:eastAsia="宋体" w:hAnsi="Arial" w:cs="Arial"/>
                <w:color w:val="000000"/>
                <w:sz w:val="15"/>
                <w:szCs w:val="15"/>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45" w14:textId="77777777" w:rsidR="003C66EB" w:rsidRDefault="003C66EB">
            <w:pPr>
              <w:jc w:val="right"/>
              <w:rPr>
                <w:rFonts w:ascii="宋体"/>
              </w:rPr>
            </w:pPr>
          </w:p>
        </w:tc>
      </w:tr>
      <w:tr w:rsidR="003C66EB" w14:paraId="5EA26557" w14:textId="77777777">
        <w:tc>
          <w:tcPr>
            <w:tcW w:w="0" w:type="auto"/>
            <w:gridSpan w:val="3"/>
            <w:shd w:val="clear" w:color="auto" w:fill="CCEEFF"/>
            <w:tcMar>
              <w:top w:w="40" w:type="dxa"/>
              <w:left w:w="20" w:type="dxa"/>
              <w:bottom w:w="40" w:type="dxa"/>
              <w:right w:w="20" w:type="dxa"/>
            </w:tcMar>
            <w:vAlign w:val="bottom"/>
          </w:tcPr>
          <w:p w14:paraId="5EA26547" w14:textId="77777777" w:rsidR="003C66EB" w:rsidRDefault="00D96C4E">
            <w:pPr>
              <w:textAlignment w:val="bottom"/>
            </w:pPr>
            <w:r>
              <w:rPr>
                <w:rFonts w:ascii="Arial" w:eastAsia="宋体" w:hAnsi="Arial" w:cs="Arial"/>
                <w:b/>
                <w:bCs/>
                <w:color w:val="000000"/>
                <w:sz w:val="15"/>
                <w:szCs w:val="15"/>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tcPr>
          <w:p w14:paraId="5EA2654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49"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4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4B"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4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4D"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4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4F"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5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51"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5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53"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5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6555" w14:textId="77777777" w:rsidR="003C66EB" w:rsidRDefault="003C66E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5EA26556" w14:textId="77777777" w:rsidR="003C66EB" w:rsidRDefault="003C66EB">
            <w:pPr>
              <w:rPr>
                <w:rFonts w:ascii="宋体"/>
              </w:rPr>
            </w:pPr>
          </w:p>
        </w:tc>
      </w:tr>
      <w:tr w:rsidR="003C66EB" w14:paraId="5EA26570" w14:textId="77777777">
        <w:tc>
          <w:tcPr>
            <w:tcW w:w="0" w:type="auto"/>
            <w:gridSpan w:val="3"/>
            <w:shd w:val="clear" w:color="auto" w:fill="FFFFFF"/>
            <w:tcMar>
              <w:top w:w="40" w:type="dxa"/>
              <w:left w:w="20" w:type="dxa"/>
              <w:bottom w:w="40" w:type="dxa"/>
              <w:right w:w="20" w:type="dxa"/>
            </w:tcMar>
            <w:vAlign w:val="bottom"/>
          </w:tcPr>
          <w:p w14:paraId="5EA26558" w14:textId="77777777" w:rsidR="003C66EB" w:rsidRDefault="00D96C4E">
            <w:pPr>
              <w:textAlignment w:val="bottom"/>
            </w:pPr>
            <w:r>
              <w:rPr>
                <w:rFonts w:ascii="Arial" w:eastAsia="宋体" w:hAnsi="Arial" w:cs="Arial"/>
                <w:color w:val="000000"/>
                <w:sz w:val="15"/>
                <w:szCs w:val="15"/>
              </w:rPr>
              <w:t>US Treasury and agency securities</w:t>
            </w:r>
          </w:p>
        </w:tc>
        <w:tc>
          <w:tcPr>
            <w:tcW w:w="0" w:type="auto"/>
            <w:gridSpan w:val="2"/>
            <w:shd w:val="clear" w:color="auto" w:fill="FFFFFF"/>
            <w:tcMar>
              <w:top w:w="40" w:type="dxa"/>
              <w:left w:w="20" w:type="dxa"/>
              <w:bottom w:w="40" w:type="dxa"/>
              <w:right w:w="0" w:type="dxa"/>
            </w:tcMar>
            <w:vAlign w:val="bottom"/>
          </w:tcPr>
          <w:p w14:paraId="5EA26559"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5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5F"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6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62" w14:textId="77777777" w:rsidR="003C66EB" w:rsidRDefault="00D96C4E">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6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6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65"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6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68"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6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6B"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6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6E"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6F" w14:textId="77777777" w:rsidR="003C66EB" w:rsidRDefault="003C66EB">
            <w:pPr>
              <w:jc w:val="right"/>
              <w:rPr>
                <w:rFonts w:ascii="宋体"/>
              </w:rPr>
            </w:pPr>
          </w:p>
        </w:tc>
      </w:tr>
      <w:tr w:rsidR="003C66EB" w14:paraId="5EA26589" w14:textId="77777777">
        <w:tc>
          <w:tcPr>
            <w:tcW w:w="0" w:type="auto"/>
            <w:gridSpan w:val="3"/>
            <w:shd w:val="clear" w:color="auto" w:fill="CCEEFF"/>
            <w:tcMar>
              <w:top w:w="40" w:type="dxa"/>
              <w:left w:w="20" w:type="dxa"/>
              <w:bottom w:w="40" w:type="dxa"/>
              <w:right w:w="20" w:type="dxa"/>
            </w:tcMar>
            <w:vAlign w:val="bottom"/>
          </w:tcPr>
          <w:p w14:paraId="5EA26571" w14:textId="77777777" w:rsidR="003C66EB" w:rsidRDefault="00D96C4E">
            <w:pPr>
              <w:textAlignment w:val="bottom"/>
            </w:pPr>
            <w:r>
              <w:rPr>
                <w:rFonts w:ascii="Arial" w:eastAsia="宋体" w:hAnsi="Arial" w:cs="Arial"/>
                <w:color w:val="000000"/>
                <w:sz w:val="15"/>
                <w:szCs w:val="15"/>
              </w:rPr>
              <w:t>Corporate debt securities</w:t>
            </w:r>
          </w:p>
        </w:tc>
        <w:tc>
          <w:tcPr>
            <w:tcW w:w="0" w:type="auto"/>
            <w:gridSpan w:val="2"/>
            <w:shd w:val="clear" w:color="auto" w:fill="CCEEFF"/>
            <w:tcMar>
              <w:top w:w="40" w:type="dxa"/>
              <w:left w:w="20" w:type="dxa"/>
              <w:bottom w:w="40" w:type="dxa"/>
              <w:right w:w="0" w:type="dxa"/>
            </w:tcMar>
            <w:vAlign w:val="bottom"/>
          </w:tcPr>
          <w:p w14:paraId="5EA26572" w14:textId="77777777" w:rsidR="003C66EB" w:rsidRDefault="00D96C4E">
            <w:pPr>
              <w:jc w:val="right"/>
              <w:textAlignment w:val="bottom"/>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7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75"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7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7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7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7B" w14:textId="77777777" w:rsidR="003C66EB" w:rsidRDefault="00D96C4E">
            <w:pPr>
              <w:jc w:val="right"/>
              <w:textAlignment w:val="bottom"/>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7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7E" w14:textId="77777777" w:rsidR="003C66EB" w:rsidRDefault="00D96C4E">
            <w:pPr>
              <w:jc w:val="right"/>
              <w:textAlignment w:val="bottom"/>
            </w:pPr>
            <w:r>
              <w:rPr>
                <w:rFonts w:ascii="Arial" w:eastAsia="宋体" w:hAnsi="Arial" w:cs="Arial"/>
                <w:color w:val="000000"/>
                <w:sz w:val="15"/>
                <w:szCs w:val="15"/>
              </w:rPr>
              <w:t>110 </w:t>
            </w:r>
          </w:p>
        </w:tc>
        <w:tc>
          <w:tcPr>
            <w:tcW w:w="0" w:type="auto"/>
            <w:shd w:val="clear" w:color="auto" w:fill="CCEEFF"/>
            <w:tcMar>
              <w:top w:w="40" w:type="dxa"/>
              <w:left w:w="0" w:type="dxa"/>
              <w:bottom w:w="40" w:type="dxa"/>
              <w:right w:w="20" w:type="dxa"/>
            </w:tcMar>
            <w:vAlign w:val="bottom"/>
          </w:tcPr>
          <w:p w14:paraId="5EA265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8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81"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8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8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84"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8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8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87" w14:textId="77777777" w:rsidR="003C66EB" w:rsidRDefault="00D96C4E">
            <w:pPr>
              <w:jc w:val="right"/>
              <w:textAlignment w:val="bottom"/>
            </w:pPr>
            <w:r>
              <w:rPr>
                <w:rFonts w:ascii="Arial" w:eastAsia="宋体" w:hAnsi="Arial" w:cs="Arial"/>
                <w:color w:val="000000"/>
                <w:sz w:val="15"/>
                <w:szCs w:val="15"/>
              </w:rPr>
              <w:t>110 </w:t>
            </w:r>
          </w:p>
        </w:tc>
        <w:tc>
          <w:tcPr>
            <w:tcW w:w="0" w:type="auto"/>
            <w:shd w:val="clear" w:color="auto" w:fill="CCEEFF"/>
            <w:tcMar>
              <w:top w:w="40" w:type="dxa"/>
              <w:left w:w="0" w:type="dxa"/>
              <w:bottom w:w="40" w:type="dxa"/>
              <w:right w:w="20" w:type="dxa"/>
            </w:tcMar>
            <w:vAlign w:val="bottom"/>
          </w:tcPr>
          <w:p w14:paraId="5EA26588" w14:textId="77777777" w:rsidR="003C66EB" w:rsidRDefault="003C66EB">
            <w:pPr>
              <w:jc w:val="right"/>
              <w:rPr>
                <w:rFonts w:ascii="宋体"/>
              </w:rPr>
            </w:pPr>
          </w:p>
        </w:tc>
      </w:tr>
      <w:tr w:rsidR="003C66EB" w14:paraId="5EA265A2" w14:textId="77777777">
        <w:tc>
          <w:tcPr>
            <w:tcW w:w="0" w:type="auto"/>
            <w:gridSpan w:val="3"/>
            <w:shd w:val="clear" w:color="auto" w:fill="FFFFFF"/>
            <w:tcMar>
              <w:top w:w="40" w:type="dxa"/>
              <w:left w:w="20" w:type="dxa"/>
              <w:bottom w:w="40" w:type="dxa"/>
              <w:right w:w="20" w:type="dxa"/>
            </w:tcMar>
            <w:vAlign w:val="bottom"/>
          </w:tcPr>
          <w:p w14:paraId="5EA2658A" w14:textId="77777777" w:rsidR="003C66EB" w:rsidRDefault="00D96C4E">
            <w:pPr>
              <w:textAlignment w:val="bottom"/>
            </w:pPr>
            <w:r>
              <w:rPr>
                <w:rFonts w:ascii="Arial" w:eastAsia="宋体" w:hAnsi="Arial" w:cs="Arial"/>
                <w:color w:val="000000"/>
                <w:sz w:val="15"/>
                <w:szCs w:val="15"/>
              </w:rPr>
              <w:t>Equity securities</w:t>
            </w:r>
          </w:p>
        </w:tc>
        <w:tc>
          <w:tcPr>
            <w:tcW w:w="0" w:type="auto"/>
            <w:gridSpan w:val="2"/>
            <w:shd w:val="clear" w:color="auto" w:fill="FFFFFF"/>
            <w:tcMar>
              <w:top w:w="40" w:type="dxa"/>
              <w:left w:w="20" w:type="dxa"/>
              <w:bottom w:w="40" w:type="dxa"/>
              <w:right w:w="0" w:type="dxa"/>
            </w:tcMar>
            <w:vAlign w:val="bottom"/>
          </w:tcPr>
          <w:p w14:paraId="5EA2658B" w14:textId="77777777" w:rsidR="003C66EB" w:rsidRDefault="00D96C4E">
            <w:pPr>
              <w:jc w:val="right"/>
              <w:textAlignment w:val="bottom"/>
            </w:pPr>
            <w:r>
              <w:rPr>
                <w:rFonts w:ascii="Arial" w:eastAsia="宋体" w:hAnsi="Arial" w:cs="Arial"/>
                <w:b/>
                <w:bCs/>
                <w:color w:val="000000"/>
                <w:sz w:val="15"/>
                <w:szCs w:val="15"/>
              </w:rPr>
              <w:t>9,308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8E" w14:textId="77777777" w:rsidR="003C66EB" w:rsidRDefault="00D96C4E">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91" w14:textId="77777777" w:rsidR="003C66EB" w:rsidRDefault="00D96C4E">
            <w:pPr>
              <w:jc w:val="right"/>
              <w:textAlignment w:val="bottom"/>
            </w:pPr>
            <w:r>
              <w:rPr>
                <w:rFonts w:ascii="Arial" w:eastAsia="宋体" w:hAnsi="Arial" w:cs="Arial"/>
                <w:b/>
                <w:bCs/>
                <w:color w:val="000000"/>
                <w:sz w:val="15"/>
                <w:szCs w:val="15"/>
              </w:rPr>
              <w:t>1,444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94" w14:textId="77777777" w:rsidR="003C66EB" w:rsidRDefault="00D96C4E">
            <w:pPr>
              <w:jc w:val="right"/>
              <w:textAlignment w:val="bottom"/>
            </w:pPr>
            <w:r>
              <w:rPr>
                <w:rFonts w:ascii="Arial" w:eastAsia="宋体" w:hAnsi="Arial" w:cs="Arial"/>
                <w:b/>
                <w:bCs/>
                <w:color w:val="000000"/>
                <w:sz w:val="15"/>
                <w:szCs w:val="15"/>
              </w:rPr>
              <w:t>10,790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5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97" w14:textId="77777777" w:rsidR="003C66EB" w:rsidRDefault="00D96C4E">
            <w:pPr>
              <w:jc w:val="right"/>
              <w:textAlignment w:val="bottom"/>
            </w:pPr>
            <w:r>
              <w:rPr>
                <w:rFonts w:ascii="Arial" w:eastAsia="宋体" w:hAnsi="Arial" w:cs="Arial"/>
                <w:color w:val="000000"/>
                <w:sz w:val="15"/>
                <w:szCs w:val="15"/>
              </w:rPr>
              <w:t>7,578 </w:t>
            </w:r>
          </w:p>
        </w:tc>
        <w:tc>
          <w:tcPr>
            <w:tcW w:w="0" w:type="auto"/>
            <w:shd w:val="clear" w:color="auto" w:fill="FFFFFF"/>
            <w:tcMar>
              <w:top w:w="40" w:type="dxa"/>
              <w:left w:w="0" w:type="dxa"/>
              <w:bottom w:w="40" w:type="dxa"/>
              <w:right w:w="20" w:type="dxa"/>
            </w:tcMar>
            <w:vAlign w:val="bottom"/>
          </w:tcPr>
          <w:p w14:paraId="5EA265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9A" w14:textId="77777777" w:rsidR="003C66EB" w:rsidRDefault="00D96C4E">
            <w:pPr>
              <w:jc w:val="right"/>
              <w:textAlignment w:val="bottom"/>
            </w:pPr>
            <w:r>
              <w:rPr>
                <w:rFonts w:ascii="Arial" w:eastAsia="宋体" w:hAnsi="Arial" w:cs="Arial"/>
                <w:color w:val="000000"/>
                <w:sz w:val="15"/>
                <w:szCs w:val="15"/>
              </w:rPr>
              <w:t>56 </w:t>
            </w:r>
          </w:p>
        </w:tc>
        <w:tc>
          <w:tcPr>
            <w:tcW w:w="0" w:type="auto"/>
            <w:shd w:val="clear" w:color="auto" w:fill="FFFFFF"/>
            <w:tcMar>
              <w:top w:w="40" w:type="dxa"/>
              <w:left w:w="0" w:type="dxa"/>
              <w:bottom w:w="40" w:type="dxa"/>
              <w:right w:w="20" w:type="dxa"/>
            </w:tcMar>
            <w:vAlign w:val="bottom"/>
          </w:tcPr>
          <w:p w14:paraId="5EA2659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9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9D" w14:textId="77777777" w:rsidR="003C66EB" w:rsidRDefault="00D96C4E">
            <w:pPr>
              <w:jc w:val="right"/>
              <w:textAlignment w:val="bottom"/>
            </w:pPr>
            <w:r>
              <w:rPr>
                <w:rFonts w:ascii="Arial" w:eastAsia="宋体" w:hAnsi="Arial" w:cs="Arial"/>
                <w:color w:val="000000"/>
                <w:sz w:val="15"/>
                <w:szCs w:val="15"/>
              </w:rPr>
              <w:t>1,156 </w:t>
            </w:r>
          </w:p>
        </w:tc>
        <w:tc>
          <w:tcPr>
            <w:tcW w:w="0" w:type="auto"/>
            <w:shd w:val="clear" w:color="auto" w:fill="FFFFFF"/>
            <w:tcMar>
              <w:top w:w="40" w:type="dxa"/>
              <w:left w:w="0" w:type="dxa"/>
              <w:bottom w:w="40" w:type="dxa"/>
              <w:right w:w="20" w:type="dxa"/>
            </w:tcMar>
            <w:vAlign w:val="bottom"/>
          </w:tcPr>
          <w:p w14:paraId="5EA2659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9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5A0" w14:textId="77777777" w:rsidR="003C66EB" w:rsidRDefault="00D96C4E">
            <w:pPr>
              <w:jc w:val="right"/>
              <w:textAlignment w:val="bottom"/>
            </w:pPr>
            <w:r>
              <w:rPr>
                <w:rFonts w:ascii="Arial" w:eastAsia="宋体" w:hAnsi="Arial" w:cs="Arial"/>
                <w:color w:val="000000"/>
                <w:sz w:val="15"/>
                <w:szCs w:val="15"/>
              </w:rPr>
              <w:t>8,790 </w:t>
            </w:r>
          </w:p>
        </w:tc>
        <w:tc>
          <w:tcPr>
            <w:tcW w:w="0" w:type="auto"/>
            <w:shd w:val="clear" w:color="auto" w:fill="FFFFFF"/>
            <w:tcMar>
              <w:top w:w="40" w:type="dxa"/>
              <w:left w:w="0" w:type="dxa"/>
              <w:bottom w:w="40" w:type="dxa"/>
              <w:right w:w="20" w:type="dxa"/>
            </w:tcMar>
            <w:vAlign w:val="bottom"/>
          </w:tcPr>
          <w:p w14:paraId="5EA265A1" w14:textId="77777777" w:rsidR="003C66EB" w:rsidRDefault="003C66EB">
            <w:pPr>
              <w:jc w:val="right"/>
              <w:rPr>
                <w:rFonts w:ascii="宋体"/>
              </w:rPr>
            </w:pPr>
          </w:p>
        </w:tc>
      </w:tr>
      <w:tr w:rsidR="003C66EB" w14:paraId="5EA265BB" w14:textId="77777777">
        <w:tc>
          <w:tcPr>
            <w:tcW w:w="0" w:type="auto"/>
            <w:gridSpan w:val="3"/>
            <w:shd w:val="clear" w:color="auto" w:fill="CCEEFF"/>
            <w:tcMar>
              <w:top w:w="40" w:type="dxa"/>
              <w:left w:w="20" w:type="dxa"/>
              <w:bottom w:w="40" w:type="dxa"/>
              <w:right w:w="20" w:type="dxa"/>
            </w:tcMar>
            <w:vAlign w:val="bottom"/>
          </w:tcPr>
          <w:p w14:paraId="5EA265A3" w14:textId="77777777" w:rsidR="003C66EB" w:rsidRDefault="00D96C4E">
            <w:pPr>
              <w:textAlignment w:val="bottom"/>
            </w:pPr>
            <w:r>
              <w:rPr>
                <w:rFonts w:ascii="Arial" w:eastAsia="宋体" w:hAnsi="Arial" w:cs="Arial"/>
                <w:color w:val="000000"/>
                <w:sz w:val="15"/>
                <w:szCs w:val="15"/>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A265A4" w14:textId="77777777" w:rsidR="003C66EB" w:rsidRDefault="00D96C4E">
            <w:pPr>
              <w:jc w:val="right"/>
              <w:textAlignment w:val="bottom"/>
            </w:pPr>
            <w:r>
              <w:rPr>
                <w:rFonts w:ascii="Arial" w:eastAsia="宋体" w:hAnsi="Arial" w:cs="Arial"/>
                <w:b/>
                <w:bCs/>
                <w:color w:val="000000"/>
                <w:sz w:val="15"/>
                <w:szCs w:val="15"/>
              </w:rPr>
              <w:t>6,757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A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A7"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A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A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AA"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A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AD" w14:textId="77777777" w:rsidR="003C66EB" w:rsidRDefault="00D96C4E">
            <w:pPr>
              <w:jc w:val="right"/>
              <w:textAlignment w:val="bottom"/>
            </w:pPr>
            <w:r>
              <w:rPr>
                <w:rFonts w:ascii="Arial" w:eastAsia="宋体" w:hAnsi="Arial" w:cs="Arial"/>
                <w:b/>
                <w:bCs/>
                <w:color w:val="000000"/>
                <w:sz w:val="15"/>
                <w:szCs w:val="15"/>
              </w:rPr>
              <w:t>6,757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A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B0" w14:textId="77777777" w:rsidR="003C66EB" w:rsidRDefault="00D96C4E">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5EA265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B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B3"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B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B6"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5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B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5B9" w14:textId="77777777" w:rsidR="003C66EB" w:rsidRDefault="00D96C4E">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5EA265BA" w14:textId="77777777" w:rsidR="003C66EB" w:rsidRDefault="003C66EB">
            <w:pPr>
              <w:jc w:val="right"/>
              <w:rPr>
                <w:rFonts w:ascii="宋体"/>
              </w:rPr>
            </w:pPr>
          </w:p>
        </w:tc>
      </w:tr>
      <w:tr w:rsidR="003C66EB" w14:paraId="5EA265D4" w14:textId="77777777">
        <w:tc>
          <w:tcPr>
            <w:tcW w:w="0" w:type="auto"/>
            <w:gridSpan w:val="3"/>
            <w:shd w:val="clear" w:color="auto" w:fill="FFFFFF"/>
            <w:tcMar>
              <w:top w:w="40" w:type="dxa"/>
              <w:left w:w="20" w:type="dxa"/>
              <w:bottom w:w="40" w:type="dxa"/>
              <w:right w:w="20" w:type="dxa"/>
            </w:tcMar>
            <w:vAlign w:val="bottom"/>
          </w:tcPr>
          <w:p w14:paraId="5EA265BC" w14:textId="77777777" w:rsidR="003C66EB" w:rsidRDefault="00D96C4E">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BD" w14:textId="77777777" w:rsidR="003C66EB" w:rsidRDefault="00D96C4E">
            <w:pPr>
              <w:jc w:val="right"/>
              <w:textAlignment w:val="bottom"/>
            </w:pPr>
            <w:r>
              <w:rPr>
                <w:rFonts w:ascii="Arial" w:eastAsia="宋体" w:hAnsi="Arial" w:cs="Arial"/>
                <w:b/>
                <w:bCs/>
                <w:color w:val="000000"/>
                <w:sz w:val="15"/>
                <w:szCs w:val="15"/>
              </w:rPr>
              <w:t>16,163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B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B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C0" w14:textId="77777777" w:rsidR="003C66EB" w:rsidRDefault="00D96C4E">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C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C3" w14:textId="77777777" w:rsidR="003C66EB" w:rsidRDefault="00D96C4E">
            <w:pPr>
              <w:jc w:val="right"/>
              <w:textAlignment w:val="bottom"/>
            </w:pPr>
            <w:r>
              <w:rPr>
                <w:rFonts w:ascii="Arial" w:eastAsia="宋体" w:hAnsi="Arial" w:cs="Arial"/>
                <w:b/>
                <w:bCs/>
                <w:color w:val="000000"/>
                <w:sz w:val="15"/>
                <w:szCs w:val="15"/>
              </w:rPr>
              <w:t>1,444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C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C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C6" w14:textId="77777777" w:rsidR="003C66EB" w:rsidRDefault="00D96C4E">
            <w:pPr>
              <w:jc w:val="right"/>
              <w:textAlignment w:val="bottom"/>
            </w:pPr>
            <w:r>
              <w:rPr>
                <w:rFonts w:ascii="Arial" w:eastAsia="宋体" w:hAnsi="Arial" w:cs="Arial"/>
                <w:b/>
                <w:bCs/>
                <w:color w:val="000000"/>
                <w:sz w:val="15"/>
                <w:szCs w:val="15"/>
              </w:rPr>
              <w:t>17,645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C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C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C9" w14:textId="77777777" w:rsidR="003C66EB" w:rsidRDefault="00D96C4E">
            <w:pPr>
              <w:jc w:val="right"/>
              <w:textAlignment w:val="bottom"/>
            </w:pPr>
            <w:r>
              <w:rPr>
                <w:rFonts w:ascii="Arial" w:eastAsia="宋体" w:hAnsi="Arial" w:cs="Arial"/>
                <w:color w:val="000000"/>
                <w:sz w:val="15"/>
                <w:szCs w:val="15"/>
              </w:rPr>
              <w:t>12,441 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C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C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CC" w14:textId="77777777" w:rsidR="003C66EB" w:rsidRDefault="00D96C4E">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C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CF" w14:textId="77777777" w:rsidR="003C66EB" w:rsidRDefault="00D96C4E">
            <w:pPr>
              <w:jc w:val="right"/>
              <w:textAlignment w:val="bottom"/>
            </w:pPr>
            <w:r>
              <w:rPr>
                <w:rFonts w:ascii="Arial" w:eastAsia="宋体" w:hAnsi="Arial" w:cs="Arial"/>
                <w:color w:val="000000"/>
                <w:sz w:val="15"/>
                <w:szCs w:val="15"/>
              </w:rPr>
              <w:t>1,156 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5D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5D2" w14:textId="77777777" w:rsidR="003C66EB" w:rsidRDefault="00D96C4E">
            <w:pPr>
              <w:jc w:val="right"/>
              <w:textAlignment w:val="bottom"/>
            </w:pPr>
            <w:r>
              <w:rPr>
                <w:rFonts w:ascii="Arial" w:eastAsia="宋体" w:hAnsi="Arial" w:cs="Arial"/>
                <w:color w:val="000000"/>
                <w:sz w:val="15"/>
                <w:szCs w:val="15"/>
              </w:rPr>
              <w:t>13,653 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5D3" w14:textId="77777777" w:rsidR="003C66EB" w:rsidRDefault="003C66EB">
            <w:pPr>
              <w:jc w:val="right"/>
              <w:rPr>
                <w:rFonts w:ascii="宋体"/>
              </w:rPr>
            </w:pPr>
          </w:p>
        </w:tc>
      </w:tr>
      <w:tr w:rsidR="00D96C4E" w14:paraId="5EA265F5" w14:textId="77777777">
        <w:tc>
          <w:tcPr>
            <w:tcW w:w="0" w:type="auto"/>
            <w:gridSpan w:val="3"/>
            <w:shd w:val="clear" w:color="auto" w:fill="CCEEFF"/>
            <w:tcMar>
              <w:top w:w="40" w:type="dxa"/>
              <w:left w:w="20" w:type="dxa"/>
              <w:bottom w:w="40" w:type="dxa"/>
              <w:right w:w="20" w:type="dxa"/>
            </w:tcMar>
            <w:vAlign w:val="bottom"/>
          </w:tcPr>
          <w:p w14:paraId="5EA265D5" w14:textId="77777777" w:rsidR="003C66EB" w:rsidRDefault="00D96C4E">
            <w:pPr>
              <w:textAlignment w:val="bottom"/>
            </w:pPr>
            <w:r>
              <w:rPr>
                <w:rFonts w:ascii="Arial" w:eastAsia="宋体" w:hAnsi="Arial" w:cs="Arial"/>
                <w:b/>
                <w:bCs/>
                <w:color w:val="000000"/>
                <w:sz w:val="15"/>
                <w:szCs w:val="15"/>
              </w:rPr>
              <w:t>Gross amount of recognized liabilities for repurchase agreements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D6"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D7" w14:textId="77777777" w:rsidR="003C66EB" w:rsidRDefault="00D96C4E">
            <w:pPr>
              <w:jc w:val="right"/>
              <w:textAlignment w:val="bottom"/>
            </w:pPr>
            <w:r>
              <w:rPr>
                <w:rFonts w:ascii="Arial" w:eastAsia="宋体" w:hAnsi="Arial" w:cs="Arial"/>
                <w:b/>
                <w:bCs/>
                <w:color w:val="000000"/>
                <w:sz w:val="15"/>
                <w:szCs w:val="15"/>
              </w:rPr>
              <w:t>127,123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D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DA"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DB" w14:textId="77777777" w:rsidR="003C66EB" w:rsidRDefault="00D96C4E">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DD"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DE"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DF" w14:textId="77777777" w:rsidR="003C66EB" w:rsidRDefault="00D96C4E">
            <w:pPr>
              <w:jc w:val="right"/>
              <w:textAlignment w:val="bottom"/>
            </w:pPr>
            <w:r>
              <w:rPr>
                <w:rFonts w:ascii="Arial" w:eastAsia="宋体" w:hAnsi="Arial" w:cs="Arial"/>
                <w:b/>
                <w:bCs/>
                <w:color w:val="000000"/>
                <w:sz w:val="15"/>
                <w:szCs w:val="15"/>
              </w:rPr>
              <w:t>1,444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E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E1"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E2"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E3" w14:textId="77777777" w:rsidR="003C66EB" w:rsidRDefault="00D96C4E">
            <w:pPr>
              <w:jc w:val="right"/>
              <w:textAlignment w:val="bottom"/>
            </w:pPr>
            <w:r>
              <w:rPr>
                <w:rFonts w:ascii="Arial" w:eastAsia="宋体" w:hAnsi="Arial" w:cs="Arial"/>
                <w:b/>
                <w:bCs/>
                <w:color w:val="000000"/>
                <w:sz w:val="15"/>
                <w:szCs w:val="15"/>
              </w:rPr>
              <w:t>128,605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E5"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E6"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E7" w14:textId="77777777" w:rsidR="003C66EB" w:rsidRDefault="00D96C4E">
            <w:pPr>
              <w:jc w:val="right"/>
              <w:textAlignment w:val="bottom"/>
            </w:pPr>
            <w:r>
              <w:rPr>
                <w:rFonts w:ascii="Arial" w:eastAsia="宋体" w:hAnsi="Arial" w:cs="Arial"/>
                <w:color w:val="000000"/>
                <w:sz w:val="15"/>
                <w:szCs w:val="15"/>
              </w:rPr>
              <w:t>164,581 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E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E9"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EA"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EB" w14:textId="77777777" w:rsidR="003C66EB" w:rsidRDefault="00D96C4E">
            <w:pPr>
              <w:jc w:val="right"/>
              <w:textAlignment w:val="bottom"/>
            </w:pPr>
            <w:r>
              <w:rPr>
                <w:rFonts w:ascii="Arial" w:eastAsia="宋体" w:hAnsi="Arial" w:cs="Arial"/>
                <w:color w:val="000000"/>
                <w:sz w:val="15"/>
                <w:szCs w:val="15"/>
              </w:rPr>
              <w:t>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E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ED"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EE"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EF" w14:textId="77777777" w:rsidR="003C66EB" w:rsidRDefault="00D96C4E">
            <w:pPr>
              <w:jc w:val="right"/>
              <w:textAlignment w:val="bottom"/>
            </w:pPr>
            <w:r>
              <w:rPr>
                <w:rFonts w:ascii="Arial" w:eastAsia="宋体" w:hAnsi="Arial" w:cs="Arial"/>
                <w:color w:val="000000"/>
                <w:sz w:val="15"/>
                <w:szCs w:val="15"/>
              </w:rPr>
              <w:t>1,156 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F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5F1"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5F2"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5F3" w14:textId="77777777" w:rsidR="003C66EB" w:rsidRDefault="00D96C4E">
            <w:pPr>
              <w:jc w:val="right"/>
              <w:textAlignment w:val="bottom"/>
            </w:pPr>
            <w:r>
              <w:rPr>
                <w:rFonts w:ascii="Arial" w:eastAsia="宋体" w:hAnsi="Arial" w:cs="Arial"/>
                <w:color w:val="000000"/>
                <w:sz w:val="15"/>
                <w:szCs w:val="15"/>
              </w:rPr>
              <w:t>165,793 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5F4" w14:textId="77777777" w:rsidR="003C66EB" w:rsidRDefault="003C66EB">
            <w:pPr>
              <w:jc w:val="right"/>
              <w:rPr>
                <w:rFonts w:ascii="宋体"/>
              </w:rPr>
            </w:pPr>
          </w:p>
        </w:tc>
      </w:tr>
    </w:tbl>
    <w:p w14:paraId="5EA265F6"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3C66EB" w14:paraId="5EA26606" w14:textId="77777777">
        <w:tc>
          <w:tcPr>
            <w:tcW w:w="50" w:type="pct"/>
            <w:shd w:val="clear" w:color="auto" w:fill="auto"/>
          </w:tcPr>
          <w:p w14:paraId="5EA265F7" w14:textId="77777777" w:rsidR="003C66EB" w:rsidRDefault="003C66EB">
            <w:pPr>
              <w:rPr>
                <w:rFonts w:ascii="宋体"/>
              </w:rPr>
            </w:pPr>
          </w:p>
        </w:tc>
        <w:tc>
          <w:tcPr>
            <w:tcW w:w="1348" w:type="pct"/>
            <w:shd w:val="clear" w:color="auto" w:fill="auto"/>
          </w:tcPr>
          <w:p w14:paraId="5EA265F8" w14:textId="77777777" w:rsidR="003C66EB" w:rsidRDefault="003C66EB">
            <w:pPr>
              <w:rPr>
                <w:rFonts w:ascii="宋体"/>
              </w:rPr>
            </w:pPr>
          </w:p>
        </w:tc>
        <w:tc>
          <w:tcPr>
            <w:tcW w:w="5" w:type="pct"/>
            <w:shd w:val="clear" w:color="auto" w:fill="auto"/>
          </w:tcPr>
          <w:p w14:paraId="5EA265F9" w14:textId="77777777" w:rsidR="003C66EB" w:rsidRDefault="003C66EB">
            <w:pPr>
              <w:rPr>
                <w:rFonts w:ascii="宋体"/>
              </w:rPr>
            </w:pPr>
          </w:p>
        </w:tc>
        <w:tc>
          <w:tcPr>
            <w:tcW w:w="50" w:type="pct"/>
            <w:shd w:val="clear" w:color="auto" w:fill="auto"/>
          </w:tcPr>
          <w:p w14:paraId="5EA265FA" w14:textId="77777777" w:rsidR="003C66EB" w:rsidRDefault="003C66EB">
            <w:pPr>
              <w:rPr>
                <w:rFonts w:ascii="宋体"/>
              </w:rPr>
            </w:pPr>
          </w:p>
        </w:tc>
        <w:tc>
          <w:tcPr>
            <w:tcW w:w="1048" w:type="pct"/>
            <w:shd w:val="clear" w:color="auto" w:fill="auto"/>
          </w:tcPr>
          <w:p w14:paraId="5EA265FB" w14:textId="77777777" w:rsidR="003C66EB" w:rsidRDefault="003C66EB">
            <w:pPr>
              <w:rPr>
                <w:rFonts w:ascii="宋体"/>
              </w:rPr>
            </w:pPr>
          </w:p>
        </w:tc>
        <w:tc>
          <w:tcPr>
            <w:tcW w:w="5" w:type="pct"/>
            <w:shd w:val="clear" w:color="auto" w:fill="auto"/>
          </w:tcPr>
          <w:p w14:paraId="5EA265FC" w14:textId="77777777" w:rsidR="003C66EB" w:rsidRDefault="003C66EB">
            <w:pPr>
              <w:rPr>
                <w:rFonts w:ascii="宋体"/>
              </w:rPr>
            </w:pPr>
          </w:p>
        </w:tc>
        <w:tc>
          <w:tcPr>
            <w:tcW w:w="50" w:type="pct"/>
            <w:shd w:val="clear" w:color="auto" w:fill="auto"/>
          </w:tcPr>
          <w:p w14:paraId="5EA265FD" w14:textId="77777777" w:rsidR="003C66EB" w:rsidRDefault="003C66EB">
            <w:pPr>
              <w:rPr>
                <w:rFonts w:ascii="宋体"/>
              </w:rPr>
            </w:pPr>
          </w:p>
        </w:tc>
        <w:tc>
          <w:tcPr>
            <w:tcW w:w="917" w:type="pct"/>
            <w:shd w:val="clear" w:color="auto" w:fill="auto"/>
          </w:tcPr>
          <w:p w14:paraId="5EA265FE" w14:textId="77777777" w:rsidR="003C66EB" w:rsidRDefault="003C66EB">
            <w:pPr>
              <w:rPr>
                <w:rFonts w:ascii="宋体"/>
              </w:rPr>
            </w:pPr>
          </w:p>
        </w:tc>
        <w:tc>
          <w:tcPr>
            <w:tcW w:w="5" w:type="pct"/>
            <w:shd w:val="clear" w:color="auto" w:fill="auto"/>
          </w:tcPr>
          <w:p w14:paraId="5EA265FF" w14:textId="77777777" w:rsidR="003C66EB" w:rsidRDefault="003C66EB">
            <w:pPr>
              <w:rPr>
                <w:rFonts w:ascii="宋体"/>
              </w:rPr>
            </w:pPr>
          </w:p>
        </w:tc>
        <w:tc>
          <w:tcPr>
            <w:tcW w:w="50" w:type="pct"/>
            <w:shd w:val="clear" w:color="auto" w:fill="auto"/>
          </w:tcPr>
          <w:p w14:paraId="5EA26600" w14:textId="77777777" w:rsidR="003C66EB" w:rsidRDefault="003C66EB">
            <w:pPr>
              <w:rPr>
                <w:rFonts w:ascii="宋体"/>
              </w:rPr>
            </w:pPr>
          </w:p>
        </w:tc>
        <w:tc>
          <w:tcPr>
            <w:tcW w:w="917" w:type="pct"/>
            <w:shd w:val="clear" w:color="auto" w:fill="auto"/>
          </w:tcPr>
          <w:p w14:paraId="5EA26601" w14:textId="77777777" w:rsidR="003C66EB" w:rsidRDefault="003C66EB">
            <w:pPr>
              <w:rPr>
                <w:rFonts w:ascii="宋体"/>
              </w:rPr>
            </w:pPr>
          </w:p>
        </w:tc>
        <w:tc>
          <w:tcPr>
            <w:tcW w:w="5" w:type="pct"/>
            <w:shd w:val="clear" w:color="auto" w:fill="auto"/>
          </w:tcPr>
          <w:p w14:paraId="5EA26602" w14:textId="77777777" w:rsidR="003C66EB" w:rsidRDefault="003C66EB">
            <w:pPr>
              <w:rPr>
                <w:rFonts w:ascii="宋体"/>
              </w:rPr>
            </w:pPr>
          </w:p>
        </w:tc>
        <w:tc>
          <w:tcPr>
            <w:tcW w:w="50" w:type="pct"/>
            <w:shd w:val="clear" w:color="auto" w:fill="auto"/>
          </w:tcPr>
          <w:p w14:paraId="5EA26603" w14:textId="77777777" w:rsidR="003C66EB" w:rsidRDefault="003C66EB">
            <w:pPr>
              <w:rPr>
                <w:rFonts w:ascii="宋体"/>
              </w:rPr>
            </w:pPr>
          </w:p>
        </w:tc>
        <w:tc>
          <w:tcPr>
            <w:tcW w:w="493" w:type="pct"/>
            <w:shd w:val="clear" w:color="auto" w:fill="auto"/>
          </w:tcPr>
          <w:p w14:paraId="5EA26604" w14:textId="77777777" w:rsidR="003C66EB" w:rsidRDefault="003C66EB">
            <w:pPr>
              <w:rPr>
                <w:rFonts w:ascii="宋体"/>
              </w:rPr>
            </w:pPr>
          </w:p>
        </w:tc>
        <w:tc>
          <w:tcPr>
            <w:tcW w:w="5" w:type="pct"/>
            <w:shd w:val="clear" w:color="auto" w:fill="auto"/>
          </w:tcPr>
          <w:p w14:paraId="5EA26605" w14:textId="77777777" w:rsidR="003C66EB" w:rsidRDefault="003C66EB">
            <w:pPr>
              <w:rPr>
                <w:rFonts w:ascii="宋体"/>
              </w:rPr>
            </w:pPr>
          </w:p>
        </w:tc>
      </w:tr>
      <w:tr w:rsidR="003C66EB" w14:paraId="5EA2660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66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6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60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6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60B" w14:textId="77777777" w:rsidR="003C66EB" w:rsidRDefault="003C66EB">
            <w:pPr>
              <w:rPr>
                <w:rFonts w:ascii="宋体"/>
              </w:rPr>
            </w:pPr>
          </w:p>
        </w:tc>
      </w:tr>
    </w:tbl>
    <w:p w14:paraId="5EA2660D" w14:textId="77777777" w:rsidR="003C66EB" w:rsidRDefault="00D96C4E">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Represents a security interest in underlying client assets related to our enhanced custody business, which assets clients have allowed us to transfer and re-pledge.</w:t>
      </w:r>
    </w:p>
    <w:p w14:paraId="5EA2660E" w14:textId="77777777" w:rsidR="003C66EB" w:rsidRDefault="00D96C4E">
      <w:pPr>
        <w:spacing w:before="180"/>
        <w:jc w:val="both"/>
      </w:pPr>
      <w:r>
        <w:rPr>
          <w:rFonts w:ascii="Arial" w:eastAsia="宋体" w:hAnsi="Arial" w:cs="Arial"/>
          <w:b/>
          <w:bCs/>
          <w:color w:val="000000"/>
          <w:sz w:val="20"/>
          <w:szCs w:val="20"/>
        </w:rPr>
        <w:t>Note 9.    Commitments and Guarantees</w:t>
      </w:r>
    </w:p>
    <w:p w14:paraId="5EA2660F" w14:textId="77777777" w:rsidR="003C66EB" w:rsidRDefault="00D96C4E">
      <w:pPr>
        <w:spacing w:before="60"/>
        <w:ind w:firstLine="450"/>
        <w:jc w:val="both"/>
      </w:pPr>
      <w:r>
        <w:rPr>
          <w:rFonts w:ascii="Arial" w:eastAsia="宋体" w:hAnsi="Arial" w:cs="Arial"/>
          <w:color w:val="000000"/>
          <w:sz w:val="20"/>
          <w:szCs w:val="20"/>
        </w:rPr>
        <w:t>For additional information on our commitments and gu</w:t>
      </w:r>
      <w:r>
        <w:rPr>
          <w:rFonts w:ascii="Arial" w:eastAsia="宋体" w:hAnsi="Arial" w:cs="Arial"/>
          <w:color w:val="000000"/>
          <w:sz w:val="20"/>
          <w:szCs w:val="20"/>
        </w:rPr>
        <w:t>arantees, refer to page 166 in Note 12 to the consolidated financial statements included under Item 8, Financial Statements and Supplementary Data, in our 2020 Form 10-K.</w:t>
      </w:r>
    </w:p>
    <w:p w14:paraId="5EA26610" w14:textId="77777777" w:rsidR="003C66EB" w:rsidRDefault="00D96C4E">
      <w:pPr>
        <w:spacing w:before="60"/>
        <w:ind w:firstLine="450"/>
        <w:jc w:val="both"/>
      </w:pPr>
      <w:r>
        <w:rPr>
          <w:rFonts w:ascii="Arial" w:eastAsia="宋体" w:hAnsi="Arial" w:cs="Arial"/>
          <w:color w:val="000000"/>
          <w:sz w:val="20"/>
          <w:szCs w:val="20"/>
        </w:rPr>
        <w:t>The following table presents the aggregate gross contractual amounts of our off-balan</w:t>
      </w:r>
      <w:r>
        <w:rPr>
          <w:rFonts w:ascii="Arial" w:eastAsia="宋体" w:hAnsi="Arial" w:cs="Arial"/>
          <w:color w:val="000000"/>
          <w:sz w:val="20"/>
          <w:szCs w:val="20"/>
        </w:rPr>
        <w:t>ce sheet commitments and off-balance sheet guarantees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932"/>
        <w:gridCol w:w="36"/>
        <w:gridCol w:w="104"/>
        <w:gridCol w:w="1980"/>
        <w:gridCol w:w="36"/>
        <w:gridCol w:w="36"/>
        <w:gridCol w:w="36"/>
        <w:gridCol w:w="36"/>
        <w:gridCol w:w="105"/>
        <w:gridCol w:w="1952"/>
        <w:gridCol w:w="36"/>
      </w:tblGrid>
      <w:tr w:rsidR="003C66EB" w14:paraId="5EA2661D" w14:textId="77777777">
        <w:tc>
          <w:tcPr>
            <w:tcW w:w="50" w:type="pct"/>
            <w:shd w:val="clear" w:color="auto" w:fill="auto"/>
          </w:tcPr>
          <w:p w14:paraId="5EA26611" w14:textId="77777777" w:rsidR="003C66EB" w:rsidRDefault="003C66EB">
            <w:pPr>
              <w:rPr>
                <w:rFonts w:ascii="宋体"/>
              </w:rPr>
            </w:pPr>
          </w:p>
        </w:tc>
        <w:tc>
          <w:tcPr>
            <w:tcW w:w="2379" w:type="pct"/>
            <w:shd w:val="clear" w:color="auto" w:fill="auto"/>
          </w:tcPr>
          <w:p w14:paraId="5EA26612" w14:textId="77777777" w:rsidR="003C66EB" w:rsidRDefault="003C66EB">
            <w:pPr>
              <w:rPr>
                <w:rFonts w:ascii="宋体"/>
              </w:rPr>
            </w:pPr>
          </w:p>
        </w:tc>
        <w:tc>
          <w:tcPr>
            <w:tcW w:w="5" w:type="pct"/>
            <w:shd w:val="clear" w:color="auto" w:fill="auto"/>
          </w:tcPr>
          <w:p w14:paraId="5EA26613" w14:textId="77777777" w:rsidR="003C66EB" w:rsidRDefault="003C66EB">
            <w:pPr>
              <w:rPr>
                <w:rFonts w:ascii="宋体"/>
              </w:rPr>
            </w:pPr>
          </w:p>
        </w:tc>
        <w:tc>
          <w:tcPr>
            <w:tcW w:w="50" w:type="pct"/>
            <w:shd w:val="clear" w:color="auto" w:fill="auto"/>
          </w:tcPr>
          <w:p w14:paraId="5EA26614" w14:textId="77777777" w:rsidR="003C66EB" w:rsidRDefault="003C66EB">
            <w:pPr>
              <w:rPr>
                <w:rFonts w:ascii="宋体"/>
              </w:rPr>
            </w:pPr>
          </w:p>
        </w:tc>
        <w:tc>
          <w:tcPr>
            <w:tcW w:w="1209" w:type="pct"/>
            <w:shd w:val="clear" w:color="auto" w:fill="auto"/>
          </w:tcPr>
          <w:p w14:paraId="5EA26615" w14:textId="77777777" w:rsidR="003C66EB" w:rsidRDefault="003C66EB">
            <w:pPr>
              <w:rPr>
                <w:rFonts w:ascii="宋体"/>
              </w:rPr>
            </w:pPr>
          </w:p>
        </w:tc>
        <w:tc>
          <w:tcPr>
            <w:tcW w:w="5" w:type="pct"/>
            <w:shd w:val="clear" w:color="auto" w:fill="auto"/>
          </w:tcPr>
          <w:p w14:paraId="5EA26616" w14:textId="77777777" w:rsidR="003C66EB" w:rsidRDefault="003C66EB">
            <w:pPr>
              <w:rPr>
                <w:rFonts w:ascii="宋体"/>
              </w:rPr>
            </w:pPr>
          </w:p>
        </w:tc>
        <w:tc>
          <w:tcPr>
            <w:tcW w:w="5" w:type="pct"/>
            <w:shd w:val="clear" w:color="auto" w:fill="auto"/>
          </w:tcPr>
          <w:p w14:paraId="5EA26617" w14:textId="77777777" w:rsidR="003C66EB" w:rsidRDefault="003C66EB">
            <w:pPr>
              <w:rPr>
                <w:rFonts w:ascii="宋体"/>
              </w:rPr>
            </w:pPr>
          </w:p>
        </w:tc>
        <w:tc>
          <w:tcPr>
            <w:tcW w:w="26" w:type="pct"/>
            <w:shd w:val="clear" w:color="auto" w:fill="auto"/>
          </w:tcPr>
          <w:p w14:paraId="5EA26618" w14:textId="77777777" w:rsidR="003C66EB" w:rsidRDefault="003C66EB">
            <w:pPr>
              <w:rPr>
                <w:rFonts w:ascii="宋体"/>
              </w:rPr>
            </w:pPr>
          </w:p>
        </w:tc>
        <w:tc>
          <w:tcPr>
            <w:tcW w:w="5" w:type="pct"/>
            <w:shd w:val="clear" w:color="auto" w:fill="auto"/>
          </w:tcPr>
          <w:p w14:paraId="5EA26619" w14:textId="77777777" w:rsidR="003C66EB" w:rsidRDefault="003C66EB">
            <w:pPr>
              <w:rPr>
                <w:rFonts w:ascii="宋体"/>
              </w:rPr>
            </w:pPr>
          </w:p>
        </w:tc>
        <w:tc>
          <w:tcPr>
            <w:tcW w:w="50" w:type="pct"/>
            <w:shd w:val="clear" w:color="auto" w:fill="auto"/>
          </w:tcPr>
          <w:p w14:paraId="5EA2661A" w14:textId="77777777" w:rsidR="003C66EB" w:rsidRDefault="003C66EB">
            <w:pPr>
              <w:rPr>
                <w:rFonts w:ascii="宋体"/>
              </w:rPr>
            </w:pPr>
          </w:p>
        </w:tc>
        <w:tc>
          <w:tcPr>
            <w:tcW w:w="1209" w:type="pct"/>
            <w:shd w:val="clear" w:color="auto" w:fill="auto"/>
          </w:tcPr>
          <w:p w14:paraId="5EA2661B" w14:textId="77777777" w:rsidR="003C66EB" w:rsidRDefault="003C66EB">
            <w:pPr>
              <w:rPr>
                <w:rFonts w:ascii="宋体"/>
              </w:rPr>
            </w:pPr>
          </w:p>
        </w:tc>
        <w:tc>
          <w:tcPr>
            <w:tcW w:w="5" w:type="pct"/>
            <w:shd w:val="clear" w:color="auto" w:fill="auto"/>
          </w:tcPr>
          <w:p w14:paraId="5EA2661C" w14:textId="77777777" w:rsidR="003C66EB" w:rsidRDefault="003C66EB">
            <w:pPr>
              <w:rPr>
                <w:rFonts w:ascii="宋体"/>
              </w:rPr>
            </w:pPr>
          </w:p>
        </w:tc>
      </w:tr>
      <w:tr w:rsidR="003C66EB" w14:paraId="5EA26622" w14:textId="77777777">
        <w:tc>
          <w:tcPr>
            <w:tcW w:w="0" w:type="auto"/>
            <w:gridSpan w:val="3"/>
            <w:shd w:val="clear" w:color="auto" w:fill="auto"/>
            <w:tcMar>
              <w:top w:w="40" w:type="dxa"/>
              <w:left w:w="20" w:type="dxa"/>
              <w:bottom w:w="40" w:type="dxa"/>
              <w:right w:w="20" w:type="dxa"/>
            </w:tcMar>
            <w:vAlign w:val="bottom"/>
          </w:tcPr>
          <w:p w14:paraId="5EA2661E"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A2661F"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662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621"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6627" w14:textId="77777777">
        <w:tc>
          <w:tcPr>
            <w:tcW w:w="0" w:type="auto"/>
            <w:gridSpan w:val="3"/>
            <w:shd w:val="clear" w:color="auto" w:fill="auto"/>
            <w:tcMar>
              <w:top w:w="40" w:type="dxa"/>
              <w:left w:w="20" w:type="dxa"/>
              <w:bottom w:w="40" w:type="dxa"/>
              <w:right w:w="20" w:type="dxa"/>
            </w:tcMar>
            <w:vAlign w:val="bottom"/>
          </w:tcPr>
          <w:p w14:paraId="5EA26623" w14:textId="77777777" w:rsidR="003C66EB" w:rsidRDefault="00D96C4E">
            <w:pPr>
              <w:textAlignment w:val="bottom"/>
            </w:pPr>
            <w:r>
              <w:rPr>
                <w:rFonts w:ascii="Arial" w:eastAsia="宋体" w:hAnsi="Arial" w:cs="Arial"/>
                <w:b/>
                <w:bCs/>
                <w:color w:val="000000"/>
                <w:sz w:val="15"/>
                <w:szCs w:val="15"/>
              </w:rPr>
              <w:t>Commitments:</w:t>
            </w:r>
          </w:p>
        </w:tc>
        <w:tc>
          <w:tcPr>
            <w:tcW w:w="0" w:type="auto"/>
            <w:gridSpan w:val="3"/>
            <w:tcBorders>
              <w:top w:val="single" w:sz="8" w:space="0" w:color="000000"/>
            </w:tcBorders>
            <w:shd w:val="clear" w:color="auto" w:fill="auto"/>
            <w:tcMar>
              <w:top w:w="0" w:type="dxa"/>
              <w:left w:w="20" w:type="dxa"/>
              <w:bottom w:w="0" w:type="dxa"/>
              <w:right w:w="20" w:type="dxa"/>
            </w:tcMar>
          </w:tcPr>
          <w:p w14:paraId="5EA266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625"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626" w14:textId="77777777" w:rsidR="003C66EB" w:rsidRDefault="003C66EB">
            <w:pPr>
              <w:rPr>
                <w:rFonts w:ascii="宋体"/>
              </w:rPr>
            </w:pPr>
          </w:p>
        </w:tc>
      </w:tr>
      <w:tr w:rsidR="003C66EB" w14:paraId="5EA26630" w14:textId="77777777">
        <w:tc>
          <w:tcPr>
            <w:tcW w:w="0" w:type="auto"/>
            <w:gridSpan w:val="3"/>
            <w:shd w:val="clear" w:color="auto" w:fill="CCEEFF"/>
            <w:tcMar>
              <w:top w:w="40" w:type="dxa"/>
              <w:left w:w="20" w:type="dxa"/>
              <w:bottom w:w="40" w:type="dxa"/>
              <w:right w:w="20" w:type="dxa"/>
            </w:tcMar>
            <w:vAlign w:val="bottom"/>
          </w:tcPr>
          <w:p w14:paraId="5EA26628" w14:textId="77777777" w:rsidR="003C66EB" w:rsidRDefault="00D96C4E">
            <w:pPr>
              <w:textAlignment w:val="bottom"/>
            </w:pPr>
            <w:r>
              <w:rPr>
                <w:rFonts w:ascii="Arial" w:eastAsia="宋体" w:hAnsi="Arial" w:cs="Arial"/>
                <w:color w:val="000000"/>
                <w:sz w:val="15"/>
                <w:szCs w:val="15"/>
              </w:rPr>
              <w:t>Unfunded credit facilities</w:t>
            </w:r>
          </w:p>
        </w:tc>
        <w:tc>
          <w:tcPr>
            <w:tcW w:w="0" w:type="auto"/>
            <w:shd w:val="clear" w:color="auto" w:fill="CCEEFF"/>
            <w:tcMar>
              <w:top w:w="40" w:type="dxa"/>
              <w:left w:w="20" w:type="dxa"/>
              <w:bottom w:w="40" w:type="dxa"/>
              <w:right w:w="0" w:type="dxa"/>
            </w:tcMar>
            <w:vAlign w:val="bottom"/>
          </w:tcPr>
          <w:p w14:paraId="5EA26629"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62A" w14:textId="77777777" w:rsidR="003C66EB" w:rsidRDefault="00D96C4E">
            <w:pPr>
              <w:jc w:val="right"/>
              <w:textAlignment w:val="bottom"/>
            </w:pPr>
            <w:r>
              <w:rPr>
                <w:rFonts w:ascii="Arial" w:eastAsia="宋体" w:hAnsi="Arial" w:cs="Arial"/>
                <w:b/>
                <w:bCs/>
                <w:color w:val="000000"/>
                <w:sz w:val="15"/>
                <w:szCs w:val="15"/>
              </w:rPr>
              <w:t>34,114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62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62C"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62D"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62E" w14:textId="77777777" w:rsidR="003C66EB" w:rsidRDefault="00D96C4E">
            <w:pPr>
              <w:jc w:val="right"/>
              <w:textAlignment w:val="bottom"/>
            </w:pPr>
            <w:r>
              <w:rPr>
                <w:rFonts w:ascii="Arial" w:eastAsia="宋体" w:hAnsi="Arial" w:cs="Arial"/>
                <w:color w:val="000000"/>
                <w:sz w:val="15"/>
                <w:szCs w:val="15"/>
              </w:rPr>
              <w:t>34,213 </w:t>
            </w:r>
          </w:p>
        </w:tc>
        <w:tc>
          <w:tcPr>
            <w:tcW w:w="0" w:type="auto"/>
            <w:shd w:val="clear" w:color="auto" w:fill="CCEEFF"/>
            <w:tcMar>
              <w:top w:w="40" w:type="dxa"/>
              <w:left w:w="0" w:type="dxa"/>
              <w:bottom w:w="40" w:type="dxa"/>
              <w:right w:w="20" w:type="dxa"/>
            </w:tcMar>
            <w:vAlign w:val="bottom"/>
          </w:tcPr>
          <w:p w14:paraId="5EA2662F" w14:textId="77777777" w:rsidR="003C66EB" w:rsidRDefault="003C66EB">
            <w:pPr>
              <w:jc w:val="right"/>
              <w:rPr>
                <w:rFonts w:ascii="宋体"/>
              </w:rPr>
            </w:pPr>
          </w:p>
        </w:tc>
      </w:tr>
      <w:tr w:rsidR="003C66EB" w14:paraId="5EA26635" w14:textId="77777777">
        <w:tc>
          <w:tcPr>
            <w:tcW w:w="0" w:type="auto"/>
            <w:gridSpan w:val="3"/>
            <w:shd w:val="clear" w:color="auto" w:fill="FFFFFF"/>
            <w:tcMar>
              <w:top w:w="40" w:type="dxa"/>
              <w:left w:w="20" w:type="dxa"/>
              <w:bottom w:w="40" w:type="dxa"/>
              <w:right w:w="20" w:type="dxa"/>
            </w:tcMar>
            <w:vAlign w:val="bottom"/>
          </w:tcPr>
          <w:p w14:paraId="5EA26631" w14:textId="77777777" w:rsidR="003C66EB" w:rsidRDefault="00D96C4E">
            <w:pPr>
              <w:textAlignment w:val="bottom"/>
            </w:pPr>
            <w:r>
              <w:rPr>
                <w:rFonts w:ascii="Arial" w:eastAsia="宋体" w:hAnsi="Arial" w:cs="Arial"/>
                <w:b/>
                <w:bCs/>
                <w:color w:val="000000"/>
                <w:sz w:val="15"/>
                <w:szCs w:val="15"/>
              </w:rPr>
              <w:t>Guarantees</w:t>
            </w:r>
            <w:r>
              <w:rPr>
                <w:rFonts w:ascii="Arial" w:eastAsia="宋体" w:hAnsi="Arial" w:cs="Arial"/>
                <w:color w:val="000000"/>
                <w:sz w:val="9"/>
                <w:szCs w:val="9"/>
              </w:rPr>
              <w:t>(1)</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5EA2663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63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634" w14:textId="77777777" w:rsidR="003C66EB" w:rsidRDefault="003C66EB">
            <w:pPr>
              <w:rPr>
                <w:rFonts w:ascii="宋体"/>
              </w:rPr>
            </w:pPr>
          </w:p>
        </w:tc>
      </w:tr>
      <w:tr w:rsidR="003C66EB" w14:paraId="5EA2663E" w14:textId="77777777">
        <w:tc>
          <w:tcPr>
            <w:tcW w:w="0" w:type="auto"/>
            <w:gridSpan w:val="3"/>
            <w:shd w:val="clear" w:color="auto" w:fill="CCEEFF"/>
            <w:tcMar>
              <w:top w:w="40" w:type="dxa"/>
              <w:left w:w="20" w:type="dxa"/>
              <w:bottom w:w="40" w:type="dxa"/>
              <w:right w:w="20" w:type="dxa"/>
            </w:tcMar>
            <w:vAlign w:val="bottom"/>
          </w:tcPr>
          <w:p w14:paraId="5EA26636" w14:textId="77777777" w:rsidR="003C66EB" w:rsidRDefault="00D96C4E">
            <w:pPr>
              <w:textAlignment w:val="bottom"/>
            </w:pPr>
            <w:r>
              <w:rPr>
                <w:rFonts w:ascii="Arial" w:eastAsia="宋体" w:hAnsi="Arial" w:cs="Arial"/>
                <w:color w:val="000000"/>
                <w:sz w:val="15"/>
                <w:szCs w:val="15"/>
              </w:rPr>
              <w:t xml:space="preserve">Indemnified </w:t>
            </w:r>
            <w:r>
              <w:rPr>
                <w:rFonts w:ascii="Arial" w:eastAsia="宋体" w:hAnsi="Arial" w:cs="Arial"/>
                <w:color w:val="000000"/>
                <w:sz w:val="15"/>
                <w:szCs w:val="15"/>
              </w:rPr>
              <w:t>securities financing</w:t>
            </w:r>
          </w:p>
        </w:tc>
        <w:tc>
          <w:tcPr>
            <w:tcW w:w="0" w:type="auto"/>
            <w:shd w:val="clear" w:color="auto" w:fill="CCEEFF"/>
            <w:tcMar>
              <w:top w:w="40" w:type="dxa"/>
              <w:left w:w="20" w:type="dxa"/>
              <w:bottom w:w="40" w:type="dxa"/>
              <w:right w:w="0" w:type="dxa"/>
            </w:tcMar>
            <w:vAlign w:val="bottom"/>
          </w:tcPr>
          <w:p w14:paraId="5EA26637"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638" w14:textId="77777777" w:rsidR="003C66EB" w:rsidRDefault="00D96C4E">
            <w:pPr>
              <w:jc w:val="right"/>
              <w:textAlignment w:val="bottom"/>
            </w:pPr>
            <w:r>
              <w:rPr>
                <w:rFonts w:ascii="Arial" w:eastAsia="宋体" w:hAnsi="Arial" w:cs="Arial"/>
                <w:b/>
                <w:bCs/>
                <w:color w:val="000000"/>
                <w:sz w:val="15"/>
                <w:szCs w:val="15"/>
              </w:rPr>
              <w:t>436,039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63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63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63B"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63C" w14:textId="77777777" w:rsidR="003C66EB" w:rsidRDefault="00D96C4E">
            <w:pPr>
              <w:jc w:val="right"/>
              <w:textAlignment w:val="bottom"/>
            </w:pPr>
            <w:r>
              <w:rPr>
                <w:rFonts w:ascii="Arial" w:eastAsia="宋体" w:hAnsi="Arial" w:cs="Arial"/>
                <w:color w:val="000000"/>
                <w:sz w:val="15"/>
                <w:szCs w:val="15"/>
              </w:rPr>
              <w:t>440,875 </w:t>
            </w:r>
          </w:p>
        </w:tc>
        <w:tc>
          <w:tcPr>
            <w:tcW w:w="0" w:type="auto"/>
            <w:shd w:val="clear" w:color="auto" w:fill="CCEEFF"/>
            <w:tcMar>
              <w:top w:w="40" w:type="dxa"/>
              <w:left w:w="0" w:type="dxa"/>
              <w:bottom w:w="40" w:type="dxa"/>
              <w:right w:w="20" w:type="dxa"/>
            </w:tcMar>
            <w:vAlign w:val="bottom"/>
          </w:tcPr>
          <w:p w14:paraId="5EA2663D" w14:textId="77777777" w:rsidR="003C66EB" w:rsidRDefault="003C66EB">
            <w:pPr>
              <w:jc w:val="right"/>
              <w:rPr>
                <w:rFonts w:ascii="宋体"/>
              </w:rPr>
            </w:pPr>
          </w:p>
        </w:tc>
      </w:tr>
      <w:tr w:rsidR="003C66EB" w14:paraId="5EA26645" w14:textId="77777777">
        <w:tc>
          <w:tcPr>
            <w:tcW w:w="0" w:type="auto"/>
            <w:gridSpan w:val="3"/>
            <w:shd w:val="clear" w:color="auto" w:fill="FFFFFF"/>
            <w:tcMar>
              <w:top w:w="40" w:type="dxa"/>
              <w:left w:w="20" w:type="dxa"/>
              <w:bottom w:w="40" w:type="dxa"/>
              <w:right w:w="20" w:type="dxa"/>
            </w:tcMar>
            <w:vAlign w:val="bottom"/>
          </w:tcPr>
          <w:p w14:paraId="5EA2663F" w14:textId="77777777" w:rsidR="003C66EB" w:rsidRDefault="00D96C4E">
            <w:pPr>
              <w:textAlignment w:val="bottom"/>
            </w:pPr>
            <w:r>
              <w:rPr>
                <w:rFonts w:ascii="Arial" w:eastAsia="宋体" w:hAnsi="Arial" w:cs="Arial"/>
                <w:color w:val="000000"/>
                <w:sz w:val="15"/>
                <w:szCs w:val="15"/>
              </w:rPr>
              <w:t>Standby letters of credit</w:t>
            </w:r>
          </w:p>
        </w:tc>
        <w:tc>
          <w:tcPr>
            <w:tcW w:w="0" w:type="auto"/>
            <w:gridSpan w:val="2"/>
            <w:shd w:val="clear" w:color="auto" w:fill="auto"/>
            <w:tcMar>
              <w:top w:w="40" w:type="dxa"/>
              <w:left w:w="20" w:type="dxa"/>
              <w:bottom w:w="40" w:type="dxa"/>
              <w:right w:w="0" w:type="dxa"/>
            </w:tcMar>
            <w:vAlign w:val="bottom"/>
          </w:tcPr>
          <w:p w14:paraId="5EA26640" w14:textId="77777777" w:rsidR="003C66EB" w:rsidRDefault="00D96C4E">
            <w:pPr>
              <w:jc w:val="right"/>
              <w:textAlignment w:val="bottom"/>
            </w:pPr>
            <w:r>
              <w:rPr>
                <w:rFonts w:ascii="Arial" w:eastAsia="宋体" w:hAnsi="Arial" w:cs="Arial"/>
                <w:b/>
                <w:bCs/>
                <w:color w:val="000000"/>
                <w:sz w:val="15"/>
                <w:szCs w:val="15"/>
              </w:rPr>
              <w:t>3,502</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A2664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64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643" w14:textId="77777777" w:rsidR="003C66EB" w:rsidRDefault="00D96C4E">
            <w:pPr>
              <w:jc w:val="right"/>
              <w:textAlignment w:val="bottom"/>
            </w:pPr>
            <w:r>
              <w:rPr>
                <w:rFonts w:ascii="Arial" w:eastAsia="宋体" w:hAnsi="Arial" w:cs="Arial"/>
                <w:color w:val="000000"/>
                <w:sz w:val="15"/>
                <w:szCs w:val="15"/>
              </w:rPr>
              <w:t>3,330 </w:t>
            </w:r>
          </w:p>
        </w:tc>
        <w:tc>
          <w:tcPr>
            <w:tcW w:w="0" w:type="auto"/>
            <w:shd w:val="clear" w:color="auto" w:fill="FFFFFF"/>
            <w:tcMar>
              <w:top w:w="40" w:type="dxa"/>
              <w:left w:w="0" w:type="dxa"/>
              <w:bottom w:w="40" w:type="dxa"/>
              <w:right w:w="20" w:type="dxa"/>
            </w:tcMar>
            <w:vAlign w:val="bottom"/>
          </w:tcPr>
          <w:p w14:paraId="5EA26644" w14:textId="77777777" w:rsidR="003C66EB" w:rsidRDefault="003C66EB">
            <w:pPr>
              <w:jc w:val="right"/>
              <w:rPr>
                <w:rFonts w:ascii="宋体"/>
              </w:rPr>
            </w:pPr>
          </w:p>
        </w:tc>
      </w:tr>
    </w:tbl>
    <w:p w14:paraId="5EA26646" w14:textId="77777777" w:rsidR="003C66EB" w:rsidRDefault="003C66EB">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19"/>
        <w:gridCol w:w="36"/>
        <w:gridCol w:w="36"/>
        <w:gridCol w:w="2025"/>
        <w:gridCol w:w="36"/>
      </w:tblGrid>
      <w:tr w:rsidR="003C66EB" w14:paraId="5EA2664D" w14:textId="77777777">
        <w:tc>
          <w:tcPr>
            <w:tcW w:w="50" w:type="pct"/>
            <w:shd w:val="clear" w:color="auto" w:fill="auto"/>
          </w:tcPr>
          <w:p w14:paraId="5EA26647" w14:textId="77777777" w:rsidR="003C66EB" w:rsidRDefault="003C66EB">
            <w:pPr>
              <w:rPr>
                <w:rFonts w:ascii="宋体"/>
              </w:rPr>
            </w:pPr>
          </w:p>
        </w:tc>
        <w:tc>
          <w:tcPr>
            <w:tcW w:w="2249" w:type="pct"/>
            <w:shd w:val="clear" w:color="auto" w:fill="auto"/>
          </w:tcPr>
          <w:p w14:paraId="5EA26648" w14:textId="77777777" w:rsidR="003C66EB" w:rsidRDefault="003C66EB">
            <w:pPr>
              <w:rPr>
                <w:rFonts w:ascii="宋体"/>
              </w:rPr>
            </w:pPr>
          </w:p>
        </w:tc>
        <w:tc>
          <w:tcPr>
            <w:tcW w:w="5" w:type="pct"/>
            <w:shd w:val="clear" w:color="auto" w:fill="auto"/>
          </w:tcPr>
          <w:p w14:paraId="5EA26649" w14:textId="77777777" w:rsidR="003C66EB" w:rsidRDefault="003C66EB">
            <w:pPr>
              <w:rPr>
                <w:rFonts w:ascii="宋体"/>
              </w:rPr>
            </w:pPr>
          </w:p>
        </w:tc>
        <w:tc>
          <w:tcPr>
            <w:tcW w:w="50" w:type="pct"/>
            <w:shd w:val="clear" w:color="auto" w:fill="auto"/>
          </w:tcPr>
          <w:p w14:paraId="5EA2664A" w14:textId="77777777" w:rsidR="003C66EB" w:rsidRDefault="003C66EB">
            <w:pPr>
              <w:rPr>
                <w:rFonts w:ascii="宋体"/>
              </w:rPr>
            </w:pPr>
          </w:p>
        </w:tc>
        <w:tc>
          <w:tcPr>
            <w:tcW w:w="2640" w:type="pct"/>
            <w:shd w:val="clear" w:color="auto" w:fill="auto"/>
          </w:tcPr>
          <w:p w14:paraId="5EA2664B" w14:textId="77777777" w:rsidR="003C66EB" w:rsidRDefault="003C66EB">
            <w:pPr>
              <w:rPr>
                <w:rFonts w:ascii="宋体"/>
              </w:rPr>
            </w:pPr>
          </w:p>
        </w:tc>
        <w:tc>
          <w:tcPr>
            <w:tcW w:w="5" w:type="pct"/>
            <w:shd w:val="clear" w:color="auto" w:fill="auto"/>
          </w:tcPr>
          <w:p w14:paraId="5EA2664C" w14:textId="77777777" w:rsidR="003C66EB" w:rsidRDefault="003C66EB">
            <w:pPr>
              <w:rPr>
                <w:rFonts w:ascii="宋体"/>
              </w:rPr>
            </w:pPr>
          </w:p>
        </w:tc>
      </w:tr>
      <w:tr w:rsidR="003C66EB" w14:paraId="5EA2665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664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64F" w14:textId="77777777" w:rsidR="003C66EB" w:rsidRDefault="003C66EB">
            <w:pPr>
              <w:rPr>
                <w:rFonts w:ascii="宋体"/>
              </w:rPr>
            </w:pPr>
          </w:p>
        </w:tc>
      </w:tr>
    </w:tbl>
    <w:p w14:paraId="5EA26651" w14:textId="77777777" w:rsidR="003C66EB" w:rsidRDefault="00D96C4E">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The potential losses associated with these guarantees equal the gross contractual amounts and do not consider the value of any collateral or </w:t>
      </w:r>
      <w:r>
        <w:rPr>
          <w:rFonts w:ascii="Arial" w:eastAsia="宋体" w:hAnsi="Arial" w:cs="Arial"/>
          <w:color w:val="000000"/>
          <w:sz w:val="14"/>
          <w:szCs w:val="14"/>
        </w:rPr>
        <w:t>reflect any participations to independent third parties.</w:t>
      </w:r>
    </w:p>
    <w:p w14:paraId="5EA26652" w14:textId="77777777" w:rsidR="003C66EB" w:rsidRDefault="00D96C4E">
      <w:pPr>
        <w:spacing w:before="60"/>
        <w:ind w:firstLine="450"/>
        <w:jc w:val="both"/>
      </w:pPr>
      <w:r>
        <w:rPr>
          <w:rFonts w:ascii="Arial" w:eastAsia="宋体" w:hAnsi="Arial" w:cs="Arial"/>
          <w:color w:val="000000"/>
          <w:sz w:val="20"/>
          <w:szCs w:val="20"/>
        </w:rPr>
        <w:t>As of March 31, 2021, approximately 72% of our unfunded commitments to extend credit expire within one year, compared to approximately 73% as of December 31, 2020.</w:t>
      </w:r>
    </w:p>
    <w:p w14:paraId="5EA26653" w14:textId="77777777" w:rsidR="003C66EB" w:rsidRDefault="00D96C4E">
      <w:pPr>
        <w:spacing w:before="60"/>
        <w:jc w:val="both"/>
      </w:pPr>
      <w:r>
        <w:rPr>
          <w:rFonts w:ascii="Arial" w:eastAsia="宋体" w:hAnsi="Arial" w:cs="Arial"/>
          <w:i/>
          <w:iCs/>
          <w:color w:val="000000"/>
          <w:sz w:val="20"/>
          <w:szCs w:val="20"/>
        </w:rPr>
        <w:t>Indemnified Securities Financing</w:t>
      </w:r>
    </w:p>
    <w:p w14:paraId="5EA26654" w14:textId="77777777" w:rsidR="003C66EB" w:rsidRDefault="00D96C4E">
      <w:pPr>
        <w:spacing w:before="60"/>
        <w:ind w:firstLine="450"/>
        <w:jc w:val="both"/>
      </w:pPr>
      <w:r>
        <w:rPr>
          <w:rFonts w:ascii="Arial" w:eastAsia="宋体" w:hAnsi="Arial" w:cs="Arial"/>
          <w:color w:val="000000"/>
          <w:sz w:val="20"/>
          <w:szCs w:val="20"/>
        </w:rPr>
        <w:t>Fo</w:t>
      </w:r>
      <w:r>
        <w:rPr>
          <w:rFonts w:ascii="Arial" w:eastAsia="宋体" w:hAnsi="Arial" w:cs="Arial"/>
          <w:color w:val="000000"/>
          <w:sz w:val="20"/>
          <w:szCs w:val="20"/>
        </w:rPr>
        <w:t>r additional information on our indemnified securities financing, refer to page 166 in Note 12 to the consolidated financial statements included under Item 8, Financial Statements and Supplementary Data, in our 2020 Form 10-K.</w:t>
      </w:r>
    </w:p>
    <w:p w14:paraId="5EA26655" w14:textId="77777777" w:rsidR="003C66EB" w:rsidRDefault="00D96C4E">
      <w:pPr>
        <w:spacing w:before="60"/>
        <w:ind w:firstLine="450"/>
        <w:jc w:val="both"/>
      </w:pPr>
      <w:r>
        <w:rPr>
          <w:rFonts w:ascii="Arial" w:eastAsia="宋体" w:hAnsi="Arial" w:cs="Arial"/>
          <w:color w:val="000000"/>
          <w:sz w:val="20"/>
          <w:szCs w:val="20"/>
        </w:rPr>
        <w:t>The following table summarize</w:t>
      </w:r>
      <w:r>
        <w:rPr>
          <w:rFonts w:ascii="Arial" w:eastAsia="宋体" w:hAnsi="Arial" w:cs="Arial"/>
          <w:color w:val="000000"/>
          <w:sz w:val="20"/>
          <w:szCs w:val="20"/>
        </w:rPr>
        <w:t>s the aggregate fair values of indemnified securities financing and related collateral, as well as collateral invested in indemnified repurchase agreements,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932"/>
        <w:gridCol w:w="37"/>
        <w:gridCol w:w="104"/>
        <w:gridCol w:w="1980"/>
        <w:gridCol w:w="36"/>
        <w:gridCol w:w="36"/>
        <w:gridCol w:w="36"/>
        <w:gridCol w:w="36"/>
        <w:gridCol w:w="105"/>
        <w:gridCol w:w="1951"/>
        <w:gridCol w:w="36"/>
      </w:tblGrid>
      <w:tr w:rsidR="003C66EB" w14:paraId="5EA26662" w14:textId="77777777">
        <w:tc>
          <w:tcPr>
            <w:tcW w:w="50" w:type="pct"/>
            <w:shd w:val="clear" w:color="auto" w:fill="auto"/>
          </w:tcPr>
          <w:p w14:paraId="5EA26656" w14:textId="77777777" w:rsidR="003C66EB" w:rsidRDefault="003C66EB">
            <w:pPr>
              <w:rPr>
                <w:rFonts w:ascii="宋体"/>
              </w:rPr>
            </w:pPr>
          </w:p>
        </w:tc>
        <w:tc>
          <w:tcPr>
            <w:tcW w:w="2379" w:type="pct"/>
            <w:shd w:val="clear" w:color="auto" w:fill="auto"/>
          </w:tcPr>
          <w:p w14:paraId="5EA26657" w14:textId="77777777" w:rsidR="003C66EB" w:rsidRDefault="003C66EB">
            <w:pPr>
              <w:rPr>
                <w:rFonts w:ascii="宋体"/>
              </w:rPr>
            </w:pPr>
          </w:p>
        </w:tc>
        <w:tc>
          <w:tcPr>
            <w:tcW w:w="5" w:type="pct"/>
            <w:shd w:val="clear" w:color="auto" w:fill="auto"/>
          </w:tcPr>
          <w:p w14:paraId="5EA26658" w14:textId="77777777" w:rsidR="003C66EB" w:rsidRDefault="003C66EB">
            <w:pPr>
              <w:rPr>
                <w:rFonts w:ascii="宋体"/>
              </w:rPr>
            </w:pPr>
          </w:p>
        </w:tc>
        <w:tc>
          <w:tcPr>
            <w:tcW w:w="50" w:type="pct"/>
            <w:shd w:val="clear" w:color="auto" w:fill="auto"/>
          </w:tcPr>
          <w:p w14:paraId="5EA26659" w14:textId="77777777" w:rsidR="003C66EB" w:rsidRDefault="003C66EB">
            <w:pPr>
              <w:rPr>
                <w:rFonts w:ascii="宋体"/>
              </w:rPr>
            </w:pPr>
          </w:p>
        </w:tc>
        <w:tc>
          <w:tcPr>
            <w:tcW w:w="1209" w:type="pct"/>
            <w:shd w:val="clear" w:color="auto" w:fill="auto"/>
          </w:tcPr>
          <w:p w14:paraId="5EA2665A" w14:textId="77777777" w:rsidR="003C66EB" w:rsidRDefault="003C66EB">
            <w:pPr>
              <w:rPr>
                <w:rFonts w:ascii="宋体"/>
              </w:rPr>
            </w:pPr>
          </w:p>
        </w:tc>
        <w:tc>
          <w:tcPr>
            <w:tcW w:w="5" w:type="pct"/>
            <w:shd w:val="clear" w:color="auto" w:fill="auto"/>
          </w:tcPr>
          <w:p w14:paraId="5EA2665B" w14:textId="77777777" w:rsidR="003C66EB" w:rsidRDefault="003C66EB">
            <w:pPr>
              <w:rPr>
                <w:rFonts w:ascii="宋体"/>
              </w:rPr>
            </w:pPr>
          </w:p>
        </w:tc>
        <w:tc>
          <w:tcPr>
            <w:tcW w:w="5" w:type="pct"/>
            <w:shd w:val="clear" w:color="auto" w:fill="auto"/>
          </w:tcPr>
          <w:p w14:paraId="5EA2665C" w14:textId="77777777" w:rsidR="003C66EB" w:rsidRDefault="003C66EB">
            <w:pPr>
              <w:rPr>
                <w:rFonts w:ascii="宋体"/>
              </w:rPr>
            </w:pPr>
          </w:p>
        </w:tc>
        <w:tc>
          <w:tcPr>
            <w:tcW w:w="26" w:type="pct"/>
            <w:shd w:val="clear" w:color="auto" w:fill="auto"/>
          </w:tcPr>
          <w:p w14:paraId="5EA2665D" w14:textId="77777777" w:rsidR="003C66EB" w:rsidRDefault="003C66EB">
            <w:pPr>
              <w:rPr>
                <w:rFonts w:ascii="宋体"/>
              </w:rPr>
            </w:pPr>
          </w:p>
        </w:tc>
        <w:tc>
          <w:tcPr>
            <w:tcW w:w="5" w:type="pct"/>
            <w:shd w:val="clear" w:color="auto" w:fill="auto"/>
          </w:tcPr>
          <w:p w14:paraId="5EA2665E" w14:textId="77777777" w:rsidR="003C66EB" w:rsidRDefault="003C66EB">
            <w:pPr>
              <w:rPr>
                <w:rFonts w:ascii="宋体"/>
              </w:rPr>
            </w:pPr>
          </w:p>
        </w:tc>
        <w:tc>
          <w:tcPr>
            <w:tcW w:w="50" w:type="pct"/>
            <w:shd w:val="clear" w:color="auto" w:fill="auto"/>
          </w:tcPr>
          <w:p w14:paraId="5EA2665F" w14:textId="77777777" w:rsidR="003C66EB" w:rsidRDefault="003C66EB">
            <w:pPr>
              <w:rPr>
                <w:rFonts w:ascii="宋体"/>
              </w:rPr>
            </w:pPr>
          </w:p>
        </w:tc>
        <w:tc>
          <w:tcPr>
            <w:tcW w:w="1209" w:type="pct"/>
            <w:shd w:val="clear" w:color="auto" w:fill="auto"/>
          </w:tcPr>
          <w:p w14:paraId="5EA26660" w14:textId="77777777" w:rsidR="003C66EB" w:rsidRDefault="003C66EB">
            <w:pPr>
              <w:rPr>
                <w:rFonts w:ascii="宋体"/>
              </w:rPr>
            </w:pPr>
          </w:p>
        </w:tc>
        <w:tc>
          <w:tcPr>
            <w:tcW w:w="5" w:type="pct"/>
            <w:shd w:val="clear" w:color="auto" w:fill="auto"/>
          </w:tcPr>
          <w:p w14:paraId="5EA26661" w14:textId="77777777" w:rsidR="003C66EB" w:rsidRDefault="003C66EB">
            <w:pPr>
              <w:rPr>
                <w:rFonts w:ascii="宋体"/>
              </w:rPr>
            </w:pPr>
          </w:p>
        </w:tc>
      </w:tr>
      <w:tr w:rsidR="003C66EB" w14:paraId="5EA26667" w14:textId="77777777">
        <w:tc>
          <w:tcPr>
            <w:tcW w:w="0" w:type="auto"/>
            <w:gridSpan w:val="3"/>
            <w:shd w:val="clear" w:color="auto" w:fill="auto"/>
            <w:tcMar>
              <w:top w:w="40" w:type="dxa"/>
              <w:left w:w="20" w:type="dxa"/>
              <w:bottom w:w="40" w:type="dxa"/>
              <w:right w:w="20" w:type="dxa"/>
            </w:tcMar>
            <w:vAlign w:val="bottom"/>
          </w:tcPr>
          <w:p w14:paraId="5EA26663" w14:textId="77777777" w:rsidR="003C66EB" w:rsidRDefault="00D96C4E">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A26664" w14:textId="77777777" w:rsidR="003C66EB" w:rsidRDefault="00D96C4E">
            <w:pPr>
              <w:jc w:val="center"/>
              <w:textAlignment w:val="bottom"/>
            </w:pPr>
            <w:r>
              <w:rPr>
                <w:rFonts w:ascii="Arial" w:eastAsia="宋体" w:hAnsi="Arial" w:cs="Arial"/>
                <w:b/>
                <w:bCs/>
                <w:color w:val="000000"/>
                <w:sz w:val="15"/>
                <w:szCs w:val="15"/>
              </w:rPr>
              <w:t>March 31, 2021</w:t>
            </w:r>
          </w:p>
        </w:tc>
        <w:tc>
          <w:tcPr>
            <w:tcW w:w="0" w:type="auto"/>
            <w:gridSpan w:val="3"/>
            <w:shd w:val="clear" w:color="auto" w:fill="auto"/>
            <w:tcMar>
              <w:top w:w="0" w:type="dxa"/>
              <w:left w:w="20" w:type="dxa"/>
              <w:bottom w:w="0" w:type="dxa"/>
              <w:right w:w="20" w:type="dxa"/>
            </w:tcMar>
          </w:tcPr>
          <w:p w14:paraId="5EA2666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666" w14:textId="77777777" w:rsidR="003C66EB" w:rsidRDefault="00D96C4E">
            <w:pPr>
              <w:jc w:val="center"/>
              <w:textAlignment w:val="bottom"/>
            </w:pPr>
            <w:r>
              <w:rPr>
                <w:rFonts w:ascii="Arial" w:eastAsia="宋体" w:hAnsi="Arial" w:cs="Arial"/>
                <w:b/>
                <w:bCs/>
                <w:color w:val="000000"/>
                <w:sz w:val="15"/>
                <w:szCs w:val="15"/>
              </w:rPr>
              <w:t>December 31, 2020</w:t>
            </w:r>
          </w:p>
        </w:tc>
      </w:tr>
      <w:tr w:rsidR="003C66EB" w14:paraId="5EA26670" w14:textId="77777777">
        <w:tc>
          <w:tcPr>
            <w:tcW w:w="0" w:type="auto"/>
            <w:gridSpan w:val="3"/>
            <w:shd w:val="clear" w:color="auto" w:fill="CCEEFF"/>
            <w:tcMar>
              <w:top w:w="40" w:type="dxa"/>
              <w:left w:w="20" w:type="dxa"/>
              <w:bottom w:w="40" w:type="dxa"/>
              <w:right w:w="20" w:type="dxa"/>
            </w:tcMar>
            <w:vAlign w:val="bottom"/>
          </w:tcPr>
          <w:p w14:paraId="5EA26668" w14:textId="77777777" w:rsidR="003C66EB" w:rsidRDefault="00D96C4E">
            <w:pPr>
              <w:textAlignment w:val="bottom"/>
            </w:pPr>
            <w:r>
              <w:rPr>
                <w:rFonts w:ascii="Arial" w:eastAsia="宋体" w:hAnsi="Arial" w:cs="Arial"/>
                <w:color w:val="000000"/>
                <w:sz w:val="15"/>
                <w:szCs w:val="15"/>
              </w:rPr>
              <w:t xml:space="preserve">Fair </w:t>
            </w:r>
            <w:r>
              <w:rPr>
                <w:rFonts w:ascii="Arial" w:eastAsia="宋体" w:hAnsi="Arial" w:cs="Arial"/>
                <w:color w:val="000000"/>
                <w:sz w:val="15"/>
                <w:szCs w:val="15"/>
              </w:rPr>
              <w:t>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6669"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66A" w14:textId="77777777" w:rsidR="003C66EB" w:rsidRDefault="00D96C4E">
            <w:pPr>
              <w:jc w:val="right"/>
              <w:textAlignment w:val="bottom"/>
            </w:pPr>
            <w:r>
              <w:rPr>
                <w:rFonts w:ascii="Arial" w:eastAsia="宋体" w:hAnsi="Arial" w:cs="Arial"/>
                <w:b/>
                <w:bCs/>
                <w:color w:val="000000"/>
                <w:sz w:val="15"/>
                <w:szCs w:val="15"/>
              </w:rPr>
              <w:t>436,039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6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66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66D"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66E" w14:textId="77777777" w:rsidR="003C66EB" w:rsidRDefault="00D96C4E">
            <w:pPr>
              <w:jc w:val="right"/>
              <w:textAlignment w:val="bottom"/>
            </w:pPr>
            <w:r>
              <w:rPr>
                <w:rFonts w:ascii="Arial" w:eastAsia="宋体" w:hAnsi="Arial" w:cs="Arial"/>
                <w:color w:val="000000"/>
                <w:sz w:val="15"/>
                <w:szCs w:val="15"/>
              </w:rPr>
              <w:t>440,875 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66F" w14:textId="77777777" w:rsidR="003C66EB" w:rsidRDefault="003C66EB">
            <w:pPr>
              <w:jc w:val="right"/>
              <w:rPr>
                <w:rFonts w:ascii="宋体"/>
              </w:rPr>
            </w:pPr>
          </w:p>
        </w:tc>
      </w:tr>
      <w:tr w:rsidR="003C66EB" w14:paraId="5EA26677" w14:textId="77777777">
        <w:tc>
          <w:tcPr>
            <w:tcW w:w="0" w:type="auto"/>
            <w:gridSpan w:val="3"/>
            <w:shd w:val="clear" w:color="auto" w:fill="FFFFFF"/>
            <w:tcMar>
              <w:top w:w="40" w:type="dxa"/>
              <w:left w:w="20" w:type="dxa"/>
              <w:bottom w:w="40" w:type="dxa"/>
              <w:right w:w="20" w:type="dxa"/>
            </w:tcMar>
            <w:vAlign w:val="bottom"/>
          </w:tcPr>
          <w:p w14:paraId="5EA26671" w14:textId="77777777" w:rsidR="003C66EB" w:rsidRDefault="00D96C4E">
            <w:pPr>
              <w:textAlignment w:val="bottom"/>
            </w:pPr>
            <w:r>
              <w:rPr>
                <w:rFonts w:ascii="Arial" w:eastAsia="宋体" w:hAnsi="Arial" w:cs="Arial"/>
                <w:color w:val="000000"/>
                <w:sz w:val="15"/>
                <w:szCs w:val="15"/>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5EA26672" w14:textId="77777777" w:rsidR="003C66EB" w:rsidRDefault="00D96C4E">
            <w:pPr>
              <w:jc w:val="right"/>
              <w:textAlignment w:val="bottom"/>
            </w:pPr>
            <w:r>
              <w:rPr>
                <w:rFonts w:ascii="Arial" w:eastAsia="宋体" w:hAnsi="Arial" w:cs="Arial"/>
                <w:b/>
                <w:bCs/>
                <w:color w:val="000000"/>
                <w:sz w:val="15"/>
                <w:szCs w:val="15"/>
              </w:rPr>
              <w:t>457,367</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A2667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67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675" w14:textId="77777777" w:rsidR="003C66EB" w:rsidRDefault="00D96C4E">
            <w:pPr>
              <w:jc w:val="right"/>
              <w:textAlignment w:val="bottom"/>
            </w:pPr>
            <w:r>
              <w:rPr>
                <w:rFonts w:ascii="Arial" w:eastAsia="宋体" w:hAnsi="Arial" w:cs="Arial"/>
                <w:color w:val="000000"/>
                <w:sz w:val="15"/>
                <w:szCs w:val="15"/>
              </w:rPr>
              <w:t>463,273 </w:t>
            </w:r>
          </w:p>
        </w:tc>
        <w:tc>
          <w:tcPr>
            <w:tcW w:w="0" w:type="auto"/>
            <w:shd w:val="clear" w:color="auto" w:fill="FFFFFF"/>
            <w:tcMar>
              <w:top w:w="40" w:type="dxa"/>
              <w:left w:w="0" w:type="dxa"/>
              <w:bottom w:w="40" w:type="dxa"/>
              <w:right w:w="20" w:type="dxa"/>
            </w:tcMar>
            <w:vAlign w:val="bottom"/>
          </w:tcPr>
          <w:p w14:paraId="5EA26676" w14:textId="77777777" w:rsidR="003C66EB" w:rsidRDefault="003C66EB">
            <w:pPr>
              <w:jc w:val="right"/>
              <w:rPr>
                <w:rFonts w:ascii="宋体"/>
              </w:rPr>
            </w:pPr>
          </w:p>
        </w:tc>
      </w:tr>
      <w:tr w:rsidR="003C66EB" w14:paraId="5EA2667E" w14:textId="77777777">
        <w:tc>
          <w:tcPr>
            <w:tcW w:w="0" w:type="auto"/>
            <w:gridSpan w:val="3"/>
            <w:shd w:val="clear" w:color="auto" w:fill="CCEEFF"/>
            <w:tcMar>
              <w:top w:w="40" w:type="dxa"/>
              <w:left w:w="20" w:type="dxa"/>
              <w:bottom w:w="40" w:type="dxa"/>
              <w:right w:w="20" w:type="dxa"/>
            </w:tcMar>
            <w:vAlign w:val="bottom"/>
          </w:tcPr>
          <w:p w14:paraId="5EA26678" w14:textId="77777777" w:rsidR="003C66EB" w:rsidRDefault="00D96C4E">
            <w:pPr>
              <w:textAlignment w:val="bottom"/>
            </w:pPr>
            <w:r>
              <w:rPr>
                <w:rFonts w:ascii="Arial" w:eastAsia="宋体" w:hAnsi="Arial" w:cs="Arial"/>
                <w:color w:val="000000"/>
                <w:sz w:val="15"/>
                <w:szCs w:val="15"/>
              </w:rPr>
              <w:t xml:space="preserve">Fair value of collateral for indemnified </w:t>
            </w:r>
            <w:r>
              <w:rPr>
                <w:rFonts w:ascii="Arial" w:eastAsia="宋体" w:hAnsi="Arial" w:cs="Arial"/>
                <w:color w:val="000000"/>
                <w:sz w:val="15"/>
                <w:szCs w:val="15"/>
              </w:rPr>
              <w:t>securities 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5EA26679" w14:textId="77777777" w:rsidR="003C66EB" w:rsidRDefault="00D96C4E">
            <w:pPr>
              <w:jc w:val="right"/>
              <w:textAlignment w:val="bottom"/>
            </w:pPr>
            <w:r>
              <w:rPr>
                <w:rFonts w:ascii="Arial" w:eastAsia="宋体" w:hAnsi="Arial" w:cs="Arial"/>
                <w:b/>
                <w:bCs/>
                <w:color w:val="000000"/>
                <w:sz w:val="15"/>
                <w:szCs w:val="15"/>
              </w:rPr>
              <w:t>59,308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67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67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67C" w14:textId="77777777" w:rsidR="003C66EB" w:rsidRDefault="00D96C4E">
            <w:pPr>
              <w:jc w:val="right"/>
              <w:textAlignment w:val="bottom"/>
            </w:pPr>
            <w:r>
              <w:rPr>
                <w:rFonts w:ascii="Arial" w:eastAsia="宋体" w:hAnsi="Arial" w:cs="Arial"/>
                <w:color w:val="000000"/>
                <w:sz w:val="15"/>
                <w:szCs w:val="15"/>
              </w:rPr>
              <w:t>54,432 </w:t>
            </w:r>
          </w:p>
        </w:tc>
        <w:tc>
          <w:tcPr>
            <w:tcW w:w="0" w:type="auto"/>
            <w:shd w:val="clear" w:color="auto" w:fill="CCEEFF"/>
            <w:tcMar>
              <w:top w:w="40" w:type="dxa"/>
              <w:left w:w="0" w:type="dxa"/>
              <w:bottom w:w="40" w:type="dxa"/>
              <w:right w:w="20" w:type="dxa"/>
            </w:tcMar>
            <w:vAlign w:val="bottom"/>
          </w:tcPr>
          <w:p w14:paraId="5EA2667D" w14:textId="77777777" w:rsidR="003C66EB" w:rsidRDefault="003C66EB">
            <w:pPr>
              <w:jc w:val="right"/>
              <w:rPr>
                <w:rFonts w:ascii="宋体"/>
              </w:rPr>
            </w:pPr>
          </w:p>
        </w:tc>
      </w:tr>
      <w:tr w:rsidR="003C66EB" w14:paraId="5EA26685" w14:textId="77777777">
        <w:tc>
          <w:tcPr>
            <w:tcW w:w="0" w:type="auto"/>
            <w:gridSpan w:val="3"/>
            <w:shd w:val="clear" w:color="auto" w:fill="FFFFFF"/>
            <w:tcMar>
              <w:top w:w="40" w:type="dxa"/>
              <w:left w:w="20" w:type="dxa"/>
              <w:bottom w:w="40" w:type="dxa"/>
              <w:right w:w="20" w:type="dxa"/>
            </w:tcMar>
            <w:vAlign w:val="bottom"/>
          </w:tcPr>
          <w:p w14:paraId="5EA2667F" w14:textId="77777777" w:rsidR="003C66EB" w:rsidRDefault="00D96C4E">
            <w:pPr>
              <w:textAlignment w:val="bottom"/>
            </w:pPr>
            <w:r>
              <w:rPr>
                <w:rFonts w:ascii="Arial" w:eastAsia="宋体" w:hAnsi="Arial" w:cs="Arial"/>
                <w:color w:val="000000"/>
                <w:sz w:val="15"/>
                <w:szCs w:val="15"/>
              </w:rPr>
              <w:t>Fair value of cash and securities held by us or our agents as collateral for investments in indemnified repurchase agreements</w:t>
            </w:r>
          </w:p>
        </w:tc>
        <w:tc>
          <w:tcPr>
            <w:tcW w:w="0" w:type="auto"/>
            <w:gridSpan w:val="2"/>
            <w:shd w:val="clear" w:color="auto" w:fill="auto"/>
            <w:tcMar>
              <w:top w:w="40" w:type="dxa"/>
              <w:left w:w="20" w:type="dxa"/>
              <w:bottom w:w="40" w:type="dxa"/>
              <w:right w:w="0" w:type="dxa"/>
            </w:tcMar>
            <w:vAlign w:val="bottom"/>
          </w:tcPr>
          <w:p w14:paraId="5EA26680" w14:textId="77777777" w:rsidR="003C66EB" w:rsidRDefault="00D96C4E">
            <w:pPr>
              <w:jc w:val="right"/>
              <w:textAlignment w:val="bottom"/>
            </w:pPr>
            <w:r>
              <w:rPr>
                <w:rFonts w:ascii="Arial" w:eastAsia="宋体" w:hAnsi="Arial" w:cs="Arial"/>
                <w:b/>
                <w:bCs/>
                <w:color w:val="000000"/>
                <w:sz w:val="15"/>
                <w:szCs w:val="15"/>
              </w:rPr>
              <w:t>64,146</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A2668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68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683" w14:textId="77777777" w:rsidR="003C66EB" w:rsidRDefault="00D96C4E">
            <w:pPr>
              <w:jc w:val="right"/>
              <w:textAlignment w:val="bottom"/>
            </w:pPr>
            <w:r>
              <w:rPr>
                <w:rFonts w:ascii="Arial" w:eastAsia="宋体" w:hAnsi="Arial" w:cs="Arial"/>
                <w:color w:val="000000"/>
                <w:sz w:val="15"/>
                <w:szCs w:val="15"/>
              </w:rPr>
              <w:t>58,092 </w:t>
            </w:r>
          </w:p>
        </w:tc>
        <w:tc>
          <w:tcPr>
            <w:tcW w:w="0" w:type="auto"/>
            <w:shd w:val="clear" w:color="auto" w:fill="FFFFFF"/>
            <w:tcMar>
              <w:top w:w="40" w:type="dxa"/>
              <w:left w:w="0" w:type="dxa"/>
              <w:bottom w:w="40" w:type="dxa"/>
              <w:right w:w="20" w:type="dxa"/>
            </w:tcMar>
            <w:vAlign w:val="bottom"/>
          </w:tcPr>
          <w:p w14:paraId="5EA26684" w14:textId="77777777" w:rsidR="003C66EB" w:rsidRDefault="003C66EB">
            <w:pPr>
              <w:jc w:val="right"/>
              <w:rPr>
                <w:rFonts w:ascii="宋体"/>
              </w:rPr>
            </w:pPr>
          </w:p>
        </w:tc>
      </w:tr>
    </w:tbl>
    <w:p w14:paraId="5EA26686" w14:textId="77777777" w:rsidR="003C66EB" w:rsidRDefault="00D96C4E">
      <w:pPr>
        <w:spacing w:before="60"/>
        <w:ind w:firstLine="450"/>
        <w:jc w:val="both"/>
      </w:pPr>
      <w:r>
        <w:rPr>
          <w:rFonts w:ascii="Arial" w:eastAsia="宋体" w:hAnsi="Arial" w:cs="Arial"/>
          <w:color w:val="000000"/>
          <w:sz w:val="20"/>
          <w:szCs w:val="20"/>
        </w:rPr>
        <w:t xml:space="preserve">In certain cases, we </w:t>
      </w:r>
      <w:r>
        <w:rPr>
          <w:rFonts w:ascii="Arial" w:eastAsia="宋体" w:hAnsi="Arial" w:cs="Arial"/>
          <w:color w:val="000000"/>
          <w:sz w:val="20"/>
          <w:szCs w:val="20"/>
        </w:rPr>
        <w:t xml:space="preserve">participate in securities finance transactions as a principal. As a principal, we borrow securities from the lending client and then lend such securities to the subsequent borrower, either our client or a broker/dealer. Our right to receive and obligation </w:t>
      </w:r>
      <w:r>
        <w:rPr>
          <w:rFonts w:ascii="Arial" w:eastAsia="宋体" w:hAnsi="Arial" w:cs="Arial"/>
          <w:color w:val="000000"/>
          <w:sz w:val="20"/>
          <w:szCs w:val="20"/>
        </w:rPr>
        <w:t>to return collateral in connection with our securities lending transactions are recorded in other assets and other liabilities, respectively, in our consolidated statement of condition. As of March 31, 2021 and December 31, 2020, we had approximately $24.7</w:t>
      </w:r>
      <w:r>
        <w:rPr>
          <w:rFonts w:ascii="Arial" w:eastAsia="宋体" w:hAnsi="Arial" w:cs="Arial"/>
          <w:color w:val="000000"/>
          <w:sz w:val="20"/>
          <w:szCs w:val="20"/>
        </w:rPr>
        <w:t>7 billion and $18.33 billion, respectively, of collateral provided and approximately $13.80 billion and $9.36 billion, respectively, of collateral received from clients in connection with our participation in principal securities finance transactions.</w:t>
      </w:r>
    </w:p>
    <w:p w14:paraId="5EA26687" w14:textId="77777777" w:rsidR="003C66EB" w:rsidRDefault="00D96C4E">
      <w:pPr>
        <w:ind w:firstLine="450"/>
        <w:jc w:val="right"/>
      </w:pPr>
      <w:r>
        <w:rPr>
          <w:rFonts w:ascii="Arial" w:eastAsia="宋体" w:hAnsi="Arial" w:cs="Arial"/>
          <w:color w:val="000000"/>
          <w:sz w:val="18"/>
          <w:szCs w:val="18"/>
        </w:rPr>
        <w:t>Stat</w:t>
      </w:r>
      <w:r>
        <w:rPr>
          <w:rFonts w:ascii="Arial" w:eastAsia="宋体" w:hAnsi="Arial" w:cs="Arial"/>
          <w:color w:val="000000"/>
          <w:sz w:val="18"/>
          <w:szCs w:val="18"/>
        </w:rPr>
        <w:t>e Street Corporation | 74</w:t>
      </w:r>
    </w:p>
    <w:p w14:paraId="5EA26688" w14:textId="77777777" w:rsidR="003C66EB" w:rsidRDefault="003C66EB">
      <w:pPr>
        <w:ind w:firstLine="450"/>
        <w:jc w:val="center"/>
      </w:pPr>
    </w:p>
    <w:p w14:paraId="5EA26689" w14:textId="77777777" w:rsidR="003C66EB" w:rsidRDefault="00D96C4E">
      <w:r>
        <w:pict w14:anchorId="5EA287FA">
          <v:rect id="_x0000_i1098" style="width:415.3pt;height:1.5pt" o:hralign="center" o:hrstd="t" o:hr="t" fillcolor="#a0a0a0" stroked="f"/>
        </w:pict>
      </w:r>
    </w:p>
    <w:p w14:paraId="5EA2668A" w14:textId="77777777" w:rsidR="003C66EB" w:rsidRDefault="00D96C4E">
      <w:pPr>
        <w:ind w:firstLine="450"/>
        <w:jc w:val="center"/>
      </w:pPr>
      <w:r>
        <w:rPr>
          <w:rFonts w:ascii="Arial" w:eastAsia="宋体" w:hAnsi="Arial" w:cs="Arial"/>
          <w:b/>
          <w:bCs/>
          <w:color w:val="000000"/>
          <w:sz w:val="20"/>
          <w:szCs w:val="20"/>
        </w:rPr>
        <w:t>STATE STREET CORPORATION</w:t>
      </w:r>
    </w:p>
    <w:p w14:paraId="5EA2668B"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68C" w14:textId="77777777" w:rsidR="003C66EB" w:rsidRDefault="00D96C4E">
      <w:pPr>
        <w:ind w:firstLine="450"/>
        <w:jc w:val="center"/>
      </w:pPr>
      <w:r>
        <w:rPr>
          <w:rFonts w:ascii="Arial" w:eastAsia="宋体" w:hAnsi="Arial" w:cs="Arial"/>
          <w:b/>
          <w:bCs/>
          <w:color w:val="000000"/>
          <w:sz w:val="20"/>
          <w:szCs w:val="20"/>
        </w:rPr>
        <w:t>(UNAUDITED)</w:t>
      </w:r>
    </w:p>
    <w:p w14:paraId="5EA2668D" w14:textId="77777777" w:rsidR="003C66EB" w:rsidRDefault="00D96C4E">
      <w:pPr>
        <w:spacing w:before="60"/>
        <w:jc w:val="both"/>
      </w:pPr>
      <w:r>
        <w:rPr>
          <w:rFonts w:ascii="Arial" w:eastAsia="宋体" w:hAnsi="Arial" w:cs="Arial"/>
          <w:i/>
          <w:iCs/>
          <w:color w:val="000000"/>
          <w:sz w:val="20"/>
          <w:szCs w:val="20"/>
        </w:rPr>
        <w:t>FICC Guarantee</w:t>
      </w:r>
    </w:p>
    <w:p w14:paraId="5EA2668E" w14:textId="77777777" w:rsidR="003C66EB" w:rsidRDefault="00D96C4E">
      <w:pPr>
        <w:ind w:firstLine="450"/>
        <w:jc w:val="both"/>
        <w:textAlignment w:val="top"/>
      </w:pPr>
      <w:r>
        <w:rPr>
          <w:rFonts w:ascii="Arial" w:eastAsia="宋体" w:hAnsi="Arial" w:cs="Arial"/>
          <w:color w:val="000000"/>
          <w:sz w:val="20"/>
          <w:szCs w:val="20"/>
        </w:rPr>
        <w:t xml:space="preserve">As a sponsoring member in the FICC member program, we provide a guarantee to FICC in the event a customer fails to </w:t>
      </w:r>
      <w:r>
        <w:rPr>
          <w:rFonts w:ascii="Arial" w:eastAsia="宋体" w:hAnsi="Arial" w:cs="Arial"/>
          <w:color w:val="000000"/>
          <w:sz w:val="20"/>
          <w:szCs w:val="20"/>
        </w:rPr>
        <w:t>perform its obligations under a transaction. In order to minimize the risk associated with this guarantee, sponsored members acting as buyers generally grant a security interest in the subject securities received under and held on their behalf by State Str</w:t>
      </w:r>
      <w:r>
        <w:rPr>
          <w:rFonts w:ascii="Arial" w:eastAsia="宋体" w:hAnsi="Arial" w:cs="Arial"/>
          <w:color w:val="000000"/>
          <w:sz w:val="20"/>
          <w:szCs w:val="20"/>
        </w:rPr>
        <w:t>eet. For additional information on our repurchase and reverse repurchase agreements, please refer to Note 8 to the consolidated financial statements in this Form 10-Q.</w:t>
      </w:r>
    </w:p>
    <w:p w14:paraId="5EA2668F" w14:textId="77777777" w:rsidR="003C66EB" w:rsidRDefault="00D96C4E">
      <w:pPr>
        <w:spacing w:before="180"/>
        <w:textAlignment w:val="top"/>
      </w:pPr>
      <w:r>
        <w:rPr>
          <w:rFonts w:ascii="Arial" w:eastAsia="宋体" w:hAnsi="Arial" w:cs="Arial"/>
          <w:b/>
          <w:bCs/>
          <w:color w:val="000000"/>
          <w:sz w:val="20"/>
          <w:szCs w:val="20"/>
        </w:rPr>
        <w:t>Note 10.    Contingencies</w:t>
      </w:r>
    </w:p>
    <w:p w14:paraId="5EA26690" w14:textId="77777777" w:rsidR="003C66EB" w:rsidRDefault="00D96C4E">
      <w:pPr>
        <w:spacing w:before="60"/>
        <w:textAlignment w:val="top"/>
      </w:pPr>
      <w:r>
        <w:rPr>
          <w:rFonts w:ascii="Arial" w:eastAsia="宋体" w:hAnsi="Arial" w:cs="Arial"/>
          <w:b/>
          <w:bCs/>
          <w:i/>
          <w:iCs/>
          <w:color w:val="000000"/>
          <w:sz w:val="20"/>
          <w:szCs w:val="20"/>
        </w:rPr>
        <w:t>Legal and Regulatory Matters</w:t>
      </w:r>
    </w:p>
    <w:p w14:paraId="5EA26691" w14:textId="77777777" w:rsidR="003C66EB" w:rsidRDefault="00D96C4E">
      <w:pPr>
        <w:spacing w:before="60"/>
        <w:ind w:firstLine="450"/>
        <w:jc w:val="both"/>
        <w:textAlignment w:val="top"/>
      </w:pPr>
      <w:r>
        <w:rPr>
          <w:rFonts w:ascii="Arial" w:eastAsia="宋体" w:hAnsi="Arial" w:cs="Arial"/>
          <w:color w:val="000000"/>
          <w:sz w:val="20"/>
          <w:szCs w:val="20"/>
        </w:rPr>
        <w:t>In the ordinary course of busines</w:t>
      </w:r>
      <w:r>
        <w:rPr>
          <w:rFonts w:ascii="Arial" w:eastAsia="宋体" w:hAnsi="Arial" w:cs="Arial"/>
          <w:color w:val="000000"/>
          <w:sz w:val="20"/>
          <w:szCs w:val="20"/>
        </w:rPr>
        <w:t>s, we and our subsidiaries are involved in disputes, litigation, and governmental or regulatory inquiries and investigations, both pending and threatened. These matters, if resolved adversely against us or settled, may result in monetary awards or payments</w:t>
      </w:r>
      <w:r>
        <w:rPr>
          <w:rFonts w:ascii="Arial" w:eastAsia="宋体" w:hAnsi="Arial" w:cs="Arial"/>
          <w:color w:val="000000"/>
          <w:sz w:val="20"/>
          <w:szCs w:val="20"/>
        </w:rPr>
        <w:t>, fines and penalties or require changes in our business practices. The resolution or settlement of these matters is inherently difficult to predict. Based on our assessment of these pending matters, we do not believe that the amount of any judgment, settl</w:t>
      </w:r>
      <w:r>
        <w:rPr>
          <w:rFonts w:ascii="Arial" w:eastAsia="宋体" w:hAnsi="Arial" w:cs="Arial"/>
          <w:color w:val="000000"/>
          <w:sz w:val="20"/>
          <w:szCs w:val="20"/>
        </w:rPr>
        <w:t>ement or other action arising from any pending matter is likely to have a material adverse effect on our consolidated financial condition. However, an adverse outcome or development in certain of the matters described below could have a material adverse ef</w:t>
      </w:r>
      <w:r>
        <w:rPr>
          <w:rFonts w:ascii="Arial" w:eastAsia="宋体" w:hAnsi="Arial" w:cs="Arial"/>
          <w:color w:val="000000"/>
          <w:sz w:val="20"/>
          <w:szCs w:val="20"/>
        </w:rPr>
        <w:t xml:space="preserve">fect on our consolidated results of operations for the period in which such matter is resolved, or an accrual is determined to be required, on our consolidated financial condition, or on our reputation. </w:t>
      </w:r>
    </w:p>
    <w:p w14:paraId="5EA26692" w14:textId="77777777" w:rsidR="003C66EB" w:rsidRDefault="00D96C4E">
      <w:pPr>
        <w:spacing w:before="60"/>
        <w:ind w:firstLine="450"/>
        <w:jc w:val="both"/>
        <w:textAlignment w:val="top"/>
      </w:pPr>
      <w:r>
        <w:rPr>
          <w:rFonts w:ascii="Arial" w:eastAsia="宋体" w:hAnsi="Arial" w:cs="Arial"/>
          <w:color w:val="000000"/>
          <w:sz w:val="20"/>
          <w:szCs w:val="20"/>
        </w:rPr>
        <w:t>We evaluate our needs for accruals of loss contingen</w:t>
      </w:r>
      <w:r>
        <w:rPr>
          <w:rFonts w:ascii="Arial" w:eastAsia="宋体" w:hAnsi="Arial" w:cs="Arial"/>
          <w:color w:val="000000"/>
          <w:sz w:val="20"/>
          <w:szCs w:val="20"/>
        </w:rPr>
        <w:t>cies related to legal and regulatory proceedings on a case-by-case basis. When we have a liability that we deem probable, and we deem the amount of such liability can be reasonably estimated as of the date of our consolidated financial statements, we accru</w:t>
      </w:r>
      <w:r>
        <w:rPr>
          <w:rFonts w:ascii="Arial" w:eastAsia="宋体" w:hAnsi="Arial" w:cs="Arial"/>
          <w:color w:val="000000"/>
          <w:sz w:val="20"/>
          <w:szCs w:val="20"/>
        </w:rPr>
        <w:t>e our estimate of the amount of loss. We also consider a loss probable and establish an accrual when we make, or intend to make, an offer of settlement. Once established, an accrual is subject to subsequent adjustment as a result of additional information.</w:t>
      </w:r>
      <w:r>
        <w:rPr>
          <w:rFonts w:ascii="Arial" w:eastAsia="宋体" w:hAnsi="Arial" w:cs="Arial"/>
          <w:color w:val="000000"/>
          <w:sz w:val="20"/>
          <w:szCs w:val="20"/>
        </w:rPr>
        <w:t xml:space="preserve"> The resolution of legal and regulatory proceedings and the amount of reasonably estimable loss (or range thereof) are inherently difficult to predict, especially in the early stages of proceedings. Even if a loss is probable, an amount (or range) of loss </w:t>
      </w:r>
      <w:r>
        <w:rPr>
          <w:rFonts w:ascii="Arial" w:eastAsia="宋体" w:hAnsi="Arial" w:cs="Arial"/>
          <w:color w:val="000000"/>
          <w:sz w:val="20"/>
          <w:szCs w:val="20"/>
        </w:rPr>
        <w:t xml:space="preserve">might not be reasonably estimated until the later stages of the proceeding due to many factors such as the presence of complex or novel legal theories, the discretion of governmental authorities in seeking sanctions or negotiating resolutions in civil and </w:t>
      </w:r>
      <w:r>
        <w:rPr>
          <w:rFonts w:ascii="Arial" w:eastAsia="宋体" w:hAnsi="Arial" w:cs="Arial"/>
          <w:color w:val="000000"/>
          <w:sz w:val="20"/>
          <w:szCs w:val="20"/>
        </w:rPr>
        <w:t xml:space="preserve">criminal matters, the pace and timing of discovery </w:t>
      </w:r>
    </w:p>
    <w:p w14:paraId="5EA26693" w14:textId="77777777" w:rsidR="003C66EB" w:rsidRDefault="00D96C4E">
      <w:pPr>
        <w:spacing w:before="60"/>
        <w:jc w:val="both"/>
        <w:textAlignment w:val="top"/>
      </w:pPr>
      <w:r>
        <w:rPr>
          <w:rFonts w:ascii="Arial" w:eastAsia="宋体" w:hAnsi="Arial" w:cs="Arial"/>
          <w:color w:val="000000"/>
          <w:sz w:val="20"/>
          <w:szCs w:val="20"/>
        </w:rPr>
        <w:t xml:space="preserve">and other assessments of facts and the procedural posture of the matter (collectively, "factors influencing reasonable estimates"). </w:t>
      </w:r>
    </w:p>
    <w:p w14:paraId="5EA26694" w14:textId="77777777" w:rsidR="003C66EB" w:rsidRDefault="00D96C4E">
      <w:pPr>
        <w:spacing w:before="60"/>
        <w:ind w:firstLine="450"/>
        <w:jc w:val="both"/>
        <w:textAlignment w:val="top"/>
      </w:pPr>
      <w:r>
        <w:rPr>
          <w:rFonts w:ascii="Arial" w:eastAsia="宋体" w:hAnsi="Arial" w:cs="Arial"/>
          <w:color w:val="000000"/>
          <w:sz w:val="20"/>
          <w:szCs w:val="20"/>
        </w:rPr>
        <w:t>As of March 31, 2021, our aggregate accruals for loss contingencies for</w:t>
      </w:r>
      <w:r>
        <w:rPr>
          <w:rFonts w:ascii="Arial" w:eastAsia="宋体" w:hAnsi="Arial" w:cs="Arial"/>
          <w:color w:val="000000"/>
          <w:sz w:val="20"/>
          <w:szCs w:val="20"/>
        </w:rPr>
        <w:t xml:space="preserve"> legal, regulatory and related matters totaled approximately $146 million, including potential fines by government agencies and civil litigation with respect to the matters specifically discussed below. To the extent that we have established accruals in ou</w:t>
      </w:r>
      <w:r>
        <w:rPr>
          <w:rFonts w:ascii="Arial" w:eastAsia="宋体" w:hAnsi="Arial" w:cs="Arial"/>
          <w:color w:val="000000"/>
          <w:sz w:val="20"/>
          <w:szCs w:val="20"/>
        </w:rPr>
        <w:t xml:space="preserve">r consolidated statement of condition for probable loss contingencies, such accruals may not be sufficient to cover our ultimate financial exposure associated with any settlements or judgments. Any such ultimate financial exposure, or proceedings to which </w:t>
      </w:r>
      <w:r>
        <w:rPr>
          <w:rFonts w:ascii="Arial" w:eastAsia="宋体" w:hAnsi="Arial" w:cs="Arial"/>
          <w:color w:val="000000"/>
          <w:sz w:val="20"/>
          <w:szCs w:val="20"/>
        </w:rPr>
        <w:t xml:space="preserve">we may become subject in the future, could have a material adverse effect on our businesses, on our future consolidated financial statements or on our reputation. </w:t>
      </w:r>
    </w:p>
    <w:p w14:paraId="5EA26695" w14:textId="77777777" w:rsidR="003C66EB" w:rsidRDefault="00D96C4E">
      <w:pPr>
        <w:spacing w:before="60"/>
        <w:ind w:firstLine="450"/>
        <w:jc w:val="both"/>
        <w:textAlignment w:val="top"/>
      </w:pPr>
      <w:r>
        <w:rPr>
          <w:rFonts w:ascii="Arial" w:eastAsia="宋体" w:hAnsi="Arial" w:cs="Arial"/>
          <w:color w:val="000000"/>
          <w:sz w:val="20"/>
          <w:szCs w:val="20"/>
        </w:rPr>
        <w:t>As of March 31, 2021, for those matters for which we have accrued probable loss contingencie</w:t>
      </w:r>
      <w:r>
        <w:rPr>
          <w:rFonts w:ascii="Arial" w:eastAsia="宋体" w:hAnsi="Arial" w:cs="Arial"/>
          <w:color w:val="000000"/>
          <w:sz w:val="20"/>
          <w:szCs w:val="20"/>
        </w:rPr>
        <w:t>s (including the Invoicing Matter described below) and for other matters for which loss is reasonably possible (but not probable) in future periods, and for which we are able to estimate a range of reasonably possible loss, our estimate of the aggregate re</w:t>
      </w:r>
      <w:r>
        <w:rPr>
          <w:rFonts w:ascii="Arial" w:eastAsia="宋体" w:hAnsi="Arial" w:cs="Arial"/>
          <w:color w:val="000000"/>
          <w:sz w:val="20"/>
          <w:szCs w:val="20"/>
        </w:rPr>
        <w:t>asonably possible loss (in excess of any accrued amounts) ranges up to approximately $40 million. Our estimate with respect to the aggregate reasonably possible loss is based upon currently available information and is subject to significant judgment and a</w:t>
      </w:r>
      <w:r>
        <w:rPr>
          <w:rFonts w:ascii="Arial" w:eastAsia="宋体" w:hAnsi="Arial" w:cs="Arial"/>
          <w:color w:val="000000"/>
          <w:sz w:val="20"/>
          <w:szCs w:val="20"/>
        </w:rPr>
        <w:t xml:space="preserve"> variety of assumptions and known and unknown uncertainties, which may change quickly and significantly from time to time, particularly if and as we engage with applicable governmental agencies or plaintiffs in connection with a proceeding. Also, the matte</w:t>
      </w:r>
      <w:r>
        <w:rPr>
          <w:rFonts w:ascii="Arial" w:eastAsia="宋体" w:hAnsi="Arial" w:cs="Arial"/>
          <w:color w:val="000000"/>
          <w:sz w:val="20"/>
          <w:szCs w:val="20"/>
        </w:rPr>
        <w:t>rs underlying the reasonably possible loss will change from time to time. As a result, actual results may vary significantly from the current estimate.</w:t>
      </w:r>
    </w:p>
    <w:p w14:paraId="5EA26696" w14:textId="77777777" w:rsidR="003C66EB" w:rsidRDefault="00D96C4E">
      <w:pPr>
        <w:spacing w:before="60"/>
        <w:ind w:firstLine="450"/>
        <w:jc w:val="both"/>
        <w:textAlignment w:val="top"/>
      </w:pPr>
      <w:r>
        <w:rPr>
          <w:rFonts w:ascii="Arial" w:eastAsia="宋体" w:hAnsi="Arial" w:cs="Arial"/>
          <w:color w:val="000000"/>
          <w:sz w:val="20"/>
          <w:szCs w:val="20"/>
        </w:rPr>
        <w:t>In certain pending matters, it is not currently feasible to reasonably estimate the amount or a range of</w:t>
      </w:r>
      <w:r>
        <w:rPr>
          <w:rFonts w:ascii="Arial" w:eastAsia="宋体" w:hAnsi="Arial" w:cs="Arial"/>
          <w:color w:val="000000"/>
          <w:sz w:val="20"/>
          <w:szCs w:val="20"/>
        </w:rPr>
        <w:t xml:space="preserve"> reasonably possible loss, and such losses, which may be significant, are not included in the estimate of reasonably possible loss discussed above. This is due to, among other factors, the factors influencing reasonable estimates described above. An advers</w:t>
      </w:r>
      <w:r>
        <w:rPr>
          <w:rFonts w:ascii="Arial" w:eastAsia="宋体" w:hAnsi="Arial" w:cs="Arial"/>
          <w:color w:val="000000"/>
          <w:sz w:val="20"/>
          <w:szCs w:val="20"/>
        </w:rPr>
        <w:t>e outcome in one or more of the matters for which we have not estimated the amount or a range of reasonably possible loss, individually or in the aggregate, could have a material adverse effect on our businesses, on our future consolidated financial statem</w:t>
      </w:r>
      <w:r>
        <w:rPr>
          <w:rFonts w:ascii="Arial" w:eastAsia="宋体" w:hAnsi="Arial" w:cs="Arial"/>
          <w:color w:val="000000"/>
          <w:sz w:val="20"/>
          <w:szCs w:val="20"/>
        </w:rPr>
        <w:t>ents or on our reputation. Given that our actual losses from any legal or regulatory proceeding for which we have provided an estimate of the reasonably possible loss could significantly exceed such estimate, and given that we cannot estimate reasonably po</w:t>
      </w:r>
      <w:r>
        <w:rPr>
          <w:rFonts w:ascii="Arial" w:eastAsia="宋体" w:hAnsi="Arial" w:cs="Arial"/>
          <w:color w:val="000000"/>
          <w:sz w:val="20"/>
          <w:szCs w:val="20"/>
        </w:rPr>
        <w:t xml:space="preserve">ssible loss for all legal and </w:t>
      </w:r>
    </w:p>
    <w:p w14:paraId="5EA26697" w14:textId="77777777" w:rsidR="003C66EB" w:rsidRDefault="00D96C4E">
      <w:pPr>
        <w:ind w:firstLine="450"/>
        <w:jc w:val="right"/>
      </w:pPr>
      <w:r>
        <w:rPr>
          <w:rFonts w:ascii="Arial" w:eastAsia="宋体" w:hAnsi="Arial" w:cs="Arial"/>
          <w:color w:val="000000"/>
          <w:sz w:val="18"/>
          <w:szCs w:val="18"/>
        </w:rPr>
        <w:t>State Street Corporation | 75</w:t>
      </w:r>
    </w:p>
    <w:p w14:paraId="5EA26698" w14:textId="77777777" w:rsidR="003C66EB" w:rsidRDefault="003C66EB">
      <w:pPr>
        <w:ind w:firstLine="450"/>
        <w:jc w:val="center"/>
      </w:pPr>
    </w:p>
    <w:p w14:paraId="5EA26699" w14:textId="77777777" w:rsidR="003C66EB" w:rsidRDefault="00D96C4E">
      <w:r>
        <w:pict w14:anchorId="5EA287FB">
          <v:rect id="_x0000_i1099" style="width:415.3pt;height:1.5pt" o:hralign="center" o:hrstd="t" o:hr="t" fillcolor="#a0a0a0" stroked="f"/>
        </w:pict>
      </w:r>
    </w:p>
    <w:p w14:paraId="5EA2669A" w14:textId="77777777" w:rsidR="003C66EB" w:rsidRDefault="00D96C4E">
      <w:pPr>
        <w:ind w:firstLine="450"/>
        <w:jc w:val="center"/>
      </w:pPr>
      <w:r>
        <w:rPr>
          <w:rFonts w:ascii="Arial" w:eastAsia="宋体" w:hAnsi="Arial" w:cs="Arial"/>
          <w:b/>
          <w:bCs/>
          <w:color w:val="000000"/>
          <w:sz w:val="20"/>
          <w:szCs w:val="20"/>
        </w:rPr>
        <w:t>STATE STREET CORPORATION</w:t>
      </w:r>
    </w:p>
    <w:p w14:paraId="5EA2669B"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69C" w14:textId="77777777" w:rsidR="003C66EB" w:rsidRDefault="00D96C4E">
      <w:pPr>
        <w:ind w:firstLine="450"/>
        <w:jc w:val="center"/>
      </w:pPr>
      <w:r>
        <w:rPr>
          <w:rFonts w:ascii="Arial" w:eastAsia="宋体" w:hAnsi="Arial" w:cs="Arial"/>
          <w:b/>
          <w:bCs/>
          <w:color w:val="000000"/>
          <w:sz w:val="20"/>
          <w:szCs w:val="20"/>
        </w:rPr>
        <w:t>(UNAUDITED)</w:t>
      </w:r>
    </w:p>
    <w:p w14:paraId="5EA2669D" w14:textId="77777777" w:rsidR="003C66EB" w:rsidRDefault="00D96C4E">
      <w:pPr>
        <w:spacing w:before="60"/>
        <w:jc w:val="both"/>
        <w:textAlignment w:val="top"/>
      </w:pPr>
      <w:r>
        <w:rPr>
          <w:rFonts w:ascii="Arial" w:eastAsia="宋体" w:hAnsi="Arial" w:cs="Arial"/>
          <w:color w:val="000000"/>
          <w:sz w:val="20"/>
          <w:szCs w:val="20"/>
        </w:rPr>
        <w:t xml:space="preserve">regulatory proceedings as to which we may be subject now or in the future, no conclusion as to our ultimate exposure from current pending or potential legal or regulatory proceedings should be drawn from the current estimate of reasonably possible loss. </w:t>
      </w:r>
    </w:p>
    <w:p w14:paraId="5EA2669E" w14:textId="77777777" w:rsidR="003C66EB" w:rsidRDefault="00D96C4E">
      <w:pPr>
        <w:spacing w:before="60"/>
        <w:ind w:firstLine="450"/>
        <w:jc w:val="both"/>
        <w:textAlignment w:val="top"/>
      </w:pPr>
      <w:r>
        <w:rPr>
          <w:rFonts w:ascii="Arial" w:eastAsia="宋体" w:hAnsi="Arial" w:cs="Arial"/>
          <w:color w:val="000000"/>
          <w:sz w:val="20"/>
          <w:szCs w:val="20"/>
        </w:rPr>
        <w:t>T</w:t>
      </w:r>
      <w:r>
        <w:rPr>
          <w:rFonts w:ascii="Arial" w:eastAsia="宋体" w:hAnsi="Arial" w:cs="Arial"/>
          <w:color w:val="000000"/>
          <w:sz w:val="20"/>
          <w:szCs w:val="20"/>
        </w:rPr>
        <w:t xml:space="preserve">he following discussion provides information with respect to significant legal, governmental and regulatory matters. </w:t>
      </w:r>
    </w:p>
    <w:p w14:paraId="5EA2669F" w14:textId="77777777" w:rsidR="003C66EB" w:rsidRDefault="00D96C4E">
      <w:pPr>
        <w:spacing w:before="60"/>
        <w:jc w:val="both"/>
        <w:textAlignment w:val="top"/>
      </w:pPr>
      <w:r>
        <w:rPr>
          <w:rFonts w:ascii="Arial" w:eastAsia="宋体" w:hAnsi="Arial" w:cs="Arial"/>
          <w:i/>
          <w:iCs/>
          <w:color w:val="000000"/>
          <w:sz w:val="20"/>
          <w:szCs w:val="20"/>
        </w:rPr>
        <w:t>Invoicing Matter</w:t>
      </w:r>
    </w:p>
    <w:p w14:paraId="5EA266A0" w14:textId="77777777" w:rsidR="003C66EB" w:rsidRDefault="00D96C4E">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 reimbursed most of our affe</w:t>
      </w:r>
      <w:r>
        <w:rPr>
          <w:rFonts w:ascii="Arial" w:eastAsia="宋体" w:hAnsi="Arial" w:cs="Arial"/>
          <w:color w:val="000000"/>
          <w:sz w:val="20"/>
          <w:szCs w:val="20"/>
        </w:rPr>
        <w:t>cted customers for those expenses, and we have implemented enhancements to our billing processes. In connection with our enhancements to our billing processes, we continue to review historical billing practices and may from time to time identify additional</w:t>
      </w:r>
      <w:r>
        <w:rPr>
          <w:rFonts w:ascii="Arial" w:eastAsia="宋体" w:hAnsi="Arial" w:cs="Arial"/>
          <w:color w:val="000000"/>
          <w:sz w:val="20"/>
          <w:szCs w:val="20"/>
        </w:rPr>
        <w:t xml:space="preserve"> remediation. In 2017, we identified an additional area of incorrect expense billing associated with mailing services in our retirement services business. We currently expect the cumulative total of our payments to customers for these invoicing errors, inc</w:t>
      </w:r>
      <w:r>
        <w:rPr>
          <w:rFonts w:ascii="Arial" w:eastAsia="宋体" w:hAnsi="Arial" w:cs="Arial"/>
          <w:color w:val="000000"/>
          <w:sz w:val="20"/>
          <w:szCs w:val="20"/>
        </w:rPr>
        <w:t>luding the error in the retirement services business, to be at least $370 million, all of which has been paid or is accrued. However, we may identify additional remediation costs.</w:t>
      </w:r>
    </w:p>
    <w:p w14:paraId="5EA266A1" w14:textId="77777777" w:rsidR="003C66EB" w:rsidRDefault="00D96C4E">
      <w:pPr>
        <w:spacing w:before="60"/>
        <w:ind w:firstLine="450"/>
        <w:jc w:val="both"/>
        <w:textAlignment w:val="top"/>
      </w:pPr>
      <w:r>
        <w:rPr>
          <w:rFonts w:ascii="Arial" w:eastAsia="宋体" w:hAnsi="Arial" w:cs="Arial"/>
          <w:color w:val="000000"/>
          <w:sz w:val="20"/>
          <w:szCs w:val="20"/>
        </w:rPr>
        <w:t>In March 2017, a purported class action was commenced against us alleging th</w:t>
      </w:r>
      <w:r>
        <w:rPr>
          <w:rFonts w:ascii="Arial" w:eastAsia="宋体" w:hAnsi="Arial" w:cs="Arial"/>
          <w:color w:val="000000"/>
          <w:sz w:val="20"/>
          <w:szCs w:val="20"/>
        </w:rPr>
        <w:t>at our invoicing practices violated duties owed to retirement plan customers under the Employee Retirement Income Security Act. In addition, we have received a purported class action demand letter alleging that our invoicing practices were unfair and decep</w:t>
      </w:r>
      <w:r>
        <w:rPr>
          <w:rFonts w:ascii="Arial" w:eastAsia="宋体" w:hAnsi="Arial" w:cs="Arial"/>
          <w:color w:val="000000"/>
          <w:sz w:val="20"/>
          <w:szCs w:val="20"/>
        </w:rPr>
        <w:t xml:space="preserve">tive under Massachusetts law. A class of customers, or particular customers, may assert that we have not paid to them all amounts incorrectly invoiced, and may seek double or treble damages under Massachusetts law. </w:t>
      </w:r>
    </w:p>
    <w:p w14:paraId="5EA266A2" w14:textId="77777777" w:rsidR="003C66EB" w:rsidRDefault="00D96C4E">
      <w:pPr>
        <w:spacing w:before="60"/>
        <w:ind w:firstLine="450"/>
        <w:jc w:val="both"/>
        <w:textAlignment w:val="top"/>
      </w:pPr>
      <w:r>
        <w:rPr>
          <w:rFonts w:ascii="Arial" w:eastAsia="宋体" w:hAnsi="Arial" w:cs="Arial"/>
          <w:color w:val="000000"/>
          <w:sz w:val="20"/>
          <w:szCs w:val="20"/>
        </w:rPr>
        <w:t>We are also cooperating with investigati</w:t>
      </w:r>
      <w:r>
        <w:rPr>
          <w:rFonts w:ascii="Arial" w:eastAsia="宋体" w:hAnsi="Arial" w:cs="Arial"/>
          <w:color w:val="000000"/>
          <w:sz w:val="20"/>
          <w:szCs w:val="20"/>
        </w:rPr>
        <w:t>ons by governmental and regulatory authorities on these matters, including the civil and criminal divisions of the DOJ and the DOL, which reviews could result in significant fines or other sanctions, civil and criminal, against us. In June 2019, we reached</w:t>
      </w:r>
      <w:r>
        <w:rPr>
          <w:rFonts w:ascii="Arial" w:eastAsia="宋体" w:hAnsi="Arial" w:cs="Arial"/>
          <w:color w:val="000000"/>
          <w:sz w:val="20"/>
          <w:szCs w:val="20"/>
        </w:rPr>
        <w:t xml:space="preserve"> an agreement with the SEC to settle its claims that we violated the recordkeeping provisions of Section 34(b) of the Investment Company Act of 1940 and caused violations of Section 31(a) of the Investment Company Act and Rules 31a-1(a) and 31a-1(b) thereu</w:t>
      </w:r>
      <w:r>
        <w:rPr>
          <w:rFonts w:ascii="Arial" w:eastAsia="宋体" w:hAnsi="Arial" w:cs="Arial"/>
          <w:color w:val="000000"/>
          <w:sz w:val="20"/>
          <w:szCs w:val="20"/>
        </w:rPr>
        <w:t xml:space="preserve">nder in connection with our overcharges of customers which are registered investment companies. In reaching this settlement, we neither admitted nor denied the claims contained in the SEC’s order, and agreed to pay a civil monetary penalty of $40 million. </w:t>
      </w:r>
      <w:r>
        <w:rPr>
          <w:rFonts w:ascii="Arial" w:eastAsia="宋体" w:hAnsi="Arial" w:cs="Arial"/>
          <w:color w:val="000000"/>
          <w:sz w:val="20"/>
          <w:szCs w:val="20"/>
        </w:rPr>
        <w:t xml:space="preserve">Also in June 2019, we reached an agreement with the Massachusetts Attorney </w:t>
      </w:r>
    </w:p>
    <w:p w14:paraId="5EA266A3" w14:textId="77777777" w:rsidR="003C66EB" w:rsidRDefault="00D96C4E">
      <w:pPr>
        <w:spacing w:before="60"/>
        <w:jc w:val="both"/>
        <w:textAlignment w:val="top"/>
      </w:pPr>
      <w:r>
        <w:rPr>
          <w:rFonts w:ascii="Arial" w:eastAsia="宋体" w:hAnsi="Arial" w:cs="Arial"/>
          <w:color w:val="000000"/>
          <w:sz w:val="20"/>
          <w:szCs w:val="20"/>
        </w:rPr>
        <w:t>General’s office to resolve its claims related to this matter. In reaching this settlement, we neither admitted nor denied the claims in the order, and agreed to pay a civil moneta</w:t>
      </w:r>
      <w:r>
        <w:rPr>
          <w:rFonts w:ascii="Arial" w:eastAsia="宋体" w:hAnsi="Arial" w:cs="Arial"/>
          <w:color w:val="000000"/>
          <w:sz w:val="20"/>
          <w:szCs w:val="20"/>
        </w:rPr>
        <w:t>ry penalty of $5.5 million. The costs associated with these settlements were within our related previously established accruals for loss contingencies. The SEC and Massachusetts Attorney General’s office settlements both recognize that the payment of $48.8</w:t>
      </w:r>
      <w:r>
        <w:rPr>
          <w:rFonts w:ascii="Arial" w:eastAsia="宋体" w:hAnsi="Arial" w:cs="Arial"/>
          <w:color w:val="000000"/>
          <w:sz w:val="20"/>
          <w:szCs w:val="20"/>
        </w:rPr>
        <w:t xml:space="preserve"> million in disgorgement and interest is satisfied by our direct reimbursements of our customers. </w:t>
      </w:r>
    </w:p>
    <w:p w14:paraId="5EA266A4" w14:textId="77777777" w:rsidR="003C66EB" w:rsidRDefault="00D96C4E">
      <w:pPr>
        <w:spacing w:after="60"/>
        <w:ind w:firstLine="450"/>
        <w:jc w:val="both"/>
        <w:textAlignment w:val="top"/>
      </w:pPr>
      <w:r>
        <w:rPr>
          <w:rFonts w:ascii="Arial" w:eastAsia="宋体" w:hAnsi="Arial" w:cs="Arial"/>
          <w:color w:val="000000"/>
          <w:sz w:val="20"/>
          <w:szCs w:val="20"/>
        </w:rPr>
        <w:t>In January 2020, the DOJ outlined a framework for a possible resolution of their review. We are discussing the terms of a potential settlement of this matter</w:t>
      </w:r>
      <w:r>
        <w:rPr>
          <w:rFonts w:ascii="Arial" w:eastAsia="宋体" w:hAnsi="Arial" w:cs="Arial"/>
          <w:color w:val="000000"/>
          <w:sz w:val="20"/>
          <w:szCs w:val="20"/>
        </w:rPr>
        <w:t xml:space="preserve"> with the DOJ. Separately, we have inquired of the DOL as to the status of their review but have not entered into settlement discussions with the DOL. There can be no assurance that any settlement with the DOJ or DOL will be reached on financial or other t</w:t>
      </w:r>
      <w:r>
        <w:rPr>
          <w:rFonts w:ascii="Arial" w:eastAsia="宋体" w:hAnsi="Arial" w:cs="Arial"/>
          <w:color w:val="000000"/>
          <w:sz w:val="20"/>
          <w:szCs w:val="20"/>
        </w:rPr>
        <w:t>erms acceptable to us or at all. The aggregate amount of penalties that may potentially be imposed upon us in connection with the resolution of all outstanding investigations into our historical billing practices is not currently known. We have established</w:t>
      </w:r>
      <w:r>
        <w:rPr>
          <w:rFonts w:ascii="Arial" w:eastAsia="宋体" w:hAnsi="Arial" w:cs="Arial"/>
          <w:color w:val="000000"/>
          <w:sz w:val="20"/>
          <w:szCs w:val="20"/>
        </w:rPr>
        <w:t xml:space="preserve"> a legal accrual with respect to the pending governmental investigations and civil litigation with respect to this matter, however, our ultimate liability with respect to this matter might be significantly in excess of our current accrual. Government autho</w:t>
      </w:r>
      <w:r>
        <w:rPr>
          <w:rFonts w:ascii="Arial" w:eastAsia="宋体" w:hAnsi="Arial" w:cs="Arial"/>
          <w:color w:val="000000"/>
          <w:sz w:val="20"/>
          <w:szCs w:val="20"/>
        </w:rPr>
        <w:t xml:space="preserve">rities have significant discretion in criminal and civil matters as to the fines and other penalties they may seek to impose. Any resolution of the DOJ and DOL claims may involve penalties that could be a significant percentage, or a multiple of, all or a </w:t>
      </w:r>
      <w:r>
        <w:rPr>
          <w:rFonts w:ascii="Arial" w:eastAsia="宋体" w:hAnsi="Arial" w:cs="Arial"/>
          <w:color w:val="000000"/>
          <w:sz w:val="20"/>
          <w:szCs w:val="20"/>
        </w:rPr>
        <w:t>portion of the overcharge. The severity of such fines or penalties could take into account factors such as the amount or duration of our incorrect invoicing and the government’s or regulators’ assessment of the conduct of our employees, as well as prior co</w:t>
      </w:r>
      <w:r>
        <w:rPr>
          <w:rFonts w:ascii="Arial" w:eastAsia="宋体" w:hAnsi="Arial" w:cs="Arial"/>
          <w:color w:val="000000"/>
          <w:sz w:val="20"/>
          <w:szCs w:val="20"/>
        </w:rPr>
        <w:t xml:space="preserve">nduct such as that which resulted in our January 2017 deferred prosecution agreement and settlement of civil claims regarding our indirect FX business. </w:t>
      </w:r>
    </w:p>
    <w:p w14:paraId="5EA266A5" w14:textId="77777777" w:rsidR="003C66EB" w:rsidRDefault="00D96C4E">
      <w:pPr>
        <w:spacing w:after="60"/>
        <w:ind w:firstLine="450"/>
        <w:jc w:val="both"/>
        <w:textAlignment w:val="top"/>
      </w:pPr>
      <w:r>
        <w:rPr>
          <w:rFonts w:ascii="Arial" w:eastAsia="宋体" w:hAnsi="Arial" w:cs="Arial"/>
          <w:color w:val="000000"/>
          <w:sz w:val="20"/>
          <w:szCs w:val="20"/>
        </w:rPr>
        <w:t>The outcome of any of these proceedings and, in particular, any criminal sanction could materially adve</w:t>
      </w:r>
      <w:r>
        <w:rPr>
          <w:rFonts w:ascii="Arial" w:eastAsia="宋体" w:hAnsi="Arial" w:cs="Arial"/>
          <w:color w:val="000000"/>
          <w:sz w:val="20"/>
          <w:szCs w:val="20"/>
        </w:rPr>
        <w:t xml:space="preserve">rsely affect our results of operations and could have significant additional consequences for our business and reputation. </w:t>
      </w:r>
    </w:p>
    <w:p w14:paraId="5EA266A6" w14:textId="77777777" w:rsidR="003C66EB" w:rsidRDefault="00D96C4E">
      <w:pPr>
        <w:spacing w:before="60"/>
        <w:jc w:val="both"/>
        <w:textAlignment w:val="top"/>
      </w:pPr>
      <w:r>
        <w:rPr>
          <w:rFonts w:ascii="Arial" w:eastAsia="宋体" w:hAnsi="Arial" w:cs="Arial"/>
          <w:i/>
          <w:iCs/>
          <w:color w:val="000000"/>
          <w:sz w:val="20"/>
          <w:szCs w:val="20"/>
        </w:rPr>
        <w:t>Shareholder Litigation</w:t>
      </w:r>
    </w:p>
    <w:p w14:paraId="5EA266A7" w14:textId="77777777" w:rsidR="003C66EB" w:rsidRDefault="00D96C4E">
      <w:pPr>
        <w:ind w:firstLine="450"/>
        <w:jc w:val="both"/>
        <w:textAlignment w:val="top"/>
      </w:pPr>
      <w:r>
        <w:rPr>
          <w:rFonts w:ascii="Arial" w:eastAsia="宋体" w:hAnsi="Arial" w:cs="Arial"/>
          <w:color w:val="000000"/>
          <w:sz w:val="20"/>
          <w:szCs w:val="20"/>
        </w:rPr>
        <w:t xml:space="preserve">A shareholder of ours has filed a derivative complaint against the Company’s past and present </w:t>
      </w:r>
      <w:r>
        <w:rPr>
          <w:rFonts w:ascii="Arial" w:eastAsia="宋体" w:hAnsi="Arial" w:cs="Arial"/>
          <w:color w:val="000000"/>
          <w:sz w:val="20"/>
          <w:szCs w:val="20"/>
        </w:rPr>
        <w:t>officers and directors to recover alleged losses incurred by the Company relating to the invoicing matter and to the Ohio public retirement plans matter.</w:t>
      </w:r>
    </w:p>
    <w:p w14:paraId="5EA266A8" w14:textId="77777777" w:rsidR="003C66EB" w:rsidRDefault="00D96C4E">
      <w:pPr>
        <w:spacing w:before="60"/>
        <w:textAlignment w:val="top"/>
      </w:pPr>
      <w:r>
        <w:rPr>
          <w:rFonts w:ascii="Arial" w:eastAsia="宋体" w:hAnsi="Arial" w:cs="Arial"/>
          <w:b/>
          <w:bCs/>
          <w:i/>
          <w:iCs/>
          <w:color w:val="000000"/>
          <w:sz w:val="20"/>
          <w:szCs w:val="20"/>
        </w:rPr>
        <w:t>Income Taxes</w:t>
      </w:r>
    </w:p>
    <w:p w14:paraId="5EA266A9" w14:textId="77777777" w:rsidR="003C66EB" w:rsidRDefault="00D96C4E">
      <w:pPr>
        <w:spacing w:before="60"/>
        <w:ind w:firstLine="450"/>
        <w:jc w:val="both"/>
        <w:textAlignment w:val="top"/>
      </w:pPr>
      <w:r>
        <w:rPr>
          <w:rFonts w:ascii="Arial" w:eastAsia="宋体" w:hAnsi="Arial" w:cs="Arial"/>
          <w:color w:val="000000"/>
          <w:sz w:val="20"/>
          <w:szCs w:val="20"/>
        </w:rPr>
        <w:t>In determining our provision for income taxes, we make certain judgments and interpretati</w:t>
      </w:r>
      <w:r>
        <w:rPr>
          <w:rFonts w:ascii="Arial" w:eastAsia="宋体" w:hAnsi="Arial" w:cs="Arial"/>
          <w:color w:val="000000"/>
          <w:sz w:val="20"/>
          <w:szCs w:val="20"/>
        </w:rPr>
        <w:t xml:space="preserve">ons with </w:t>
      </w:r>
    </w:p>
    <w:p w14:paraId="5EA266AA" w14:textId="77777777" w:rsidR="003C66EB" w:rsidRDefault="00D96C4E">
      <w:pPr>
        <w:ind w:firstLine="450"/>
        <w:jc w:val="right"/>
      </w:pPr>
      <w:r>
        <w:rPr>
          <w:rFonts w:ascii="Arial" w:eastAsia="宋体" w:hAnsi="Arial" w:cs="Arial"/>
          <w:color w:val="000000"/>
          <w:sz w:val="18"/>
          <w:szCs w:val="18"/>
        </w:rPr>
        <w:t>State Street Corporation | 76</w:t>
      </w:r>
    </w:p>
    <w:p w14:paraId="5EA266AB" w14:textId="77777777" w:rsidR="003C66EB" w:rsidRDefault="003C66EB">
      <w:pPr>
        <w:ind w:firstLine="450"/>
        <w:jc w:val="center"/>
      </w:pPr>
    </w:p>
    <w:p w14:paraId="5EA266AC" w14:textId="77777777" w:rsidR="003C66EB" w:rsidRDefault="00D96C4E">
      <w:r>
        <w:pict w14:anchorId="5EA287FC">
          <v:rect id="_x0000_i1100" style="width:415.3pt;height:1.5pt" o:hralign="center" o:hrstd="t" o:hr="t" fillcolor="#a0a0a0" stroked="f"/>
        </w:pict>
      </w:r>
    </w:p>
    <w:p w14:paraId="5EA266AD" w14:textId="77777777" w:rsidR="003C66EB" w:rsidRDefault="00D96C4E">
      <w:pPr>
        <w:ind w:firstLine="450"/>
        <w:jc w:val="center"/>
      </w:pPr>
      <w:r>
        <w:rPr>
          <w:rFonts w:ascii="Arial" w:eastAsia="宋体" w:hAnsi="Arial" w:cs="Arial"/>
          <w:b/>
          <w:bCs/>
          <w:color w:val="000000"/>
          <w:sz w:val="20"/>
          <w:szCs w:val="20"/>
        </w:rPr>
        <w:t>STATE STREET CORPORATION</w:t>
      </w:r>
    </w:p>
    <w:p w14:paraId="5EA266AE"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6AF" w14:textId="77777777" w:rsidR="003C66EB" w:rsidRDefault="00D96C4E">
      <w:pPr>
        <w:ind w:firstLine="450"/>
        <w:jc w:val="center"/>
      </w:pPr>
      <w:r>
        <w:rPr>
          <w:rFonts w:ascii="Arial" w:eastAsia="宋体" w:hAnsi="Arial" w:cs="Arial"/>
          <w:b/>
          <w:bCs/>
          <w:color w:val="000000"/>
          <w:sz w:val="20"/>
          <w:szCs w:val="20"/>
        </w:rPr>
        <w:t>(UNAUDITED)</w:t>
      </w:r>
    </w:p>
    <w:p w14:paraId="5EA266B0" w14:textId="77777777" w:rsidR="003C66EB" w:rsidRDefault="00D96C4E">
      <w:pPr>
        <w:spacing w:before="60"/>
        <w:jc w:val="both"/>
        <w:textAlignment w:val="top"/>
      </w:pPr>
      <w:r>
        <w:rPr>
          <w:rFonts w:ascii="Arial" w:eastAsia="宋体" w:hAnsi="Arial" w:cs="Arial"/>
          <w:color w:val="000000"/>
          <w:sz w:val="20"/>
          <w:szCs w:val="20"/>
        </w:rPr>
        <w:t>respect to tax laws in jurisdictions in which we have business operations. Because of the complex nature of these laws, in the normal course of our business, we are subject to challenges from U.S. and non-U.S. income tax authorities regarding the amount of</w:t>
      </w:r>
      <w:r>
        <w:rPr>
          <w:rFonts w:ascii="Arial" w:eastAsia="宋体" w:hAnsi="Arial" w:cs="Arial"/>
          <w:color w:val="000000"/>
          <w:sz w:val="20"/>
          <w:szCs w:val="20"/>
        </w:rPr>
        <w:t xml:space="preserve"> income taxes due. These challenges may result in adjustments to the timing or amount of taxable income or deductions or the allocation of taxable income among tax jurisdictions. We recognize a tax benefit when it is more likely than not that our position </w:t>
      </w:r>
      <w:r>
        <w:rPr>
          <w:rFonts w:ascii="Arial" w:eastAsia="宋体" w:hAnsi="Arial" w:cs="Arial"/>
          <w:color w:val="000000"/>
          <w:sz w:val="20"/>
          <w:szCs w:val="20"/>
        </w:rPr>
        <w:t xml:space="preserve">will result in a tax deduction or credit. Unrecognized tax benefits of approximately $310 million as of March 31, 2021 increased from $308 million as of December 31, 2020. </w:t>
      </w:r>
    </w:p>
    <w:p w14:paraId="5EA266B1" w14:textId="77777777" w:rsidR="003C66EB" w:rsidRDefault="00D96C4E">
      <w:pPr>
        <w:ind w:firstLine="450"/>
        <w:jc w:val="both"/>
        <w:textAlignment w:val="top"/>
      </w:pPr>
      <w:r>
        <w:rPr>
          <w:rFonts w:ascii="Arial" w:eastAsia="宋体" w:hAnsi="Arial" w:cs="Arial"/>
          <w:color w:val="000000"/>
          <w:sz w:val="20"/>
          <w:szCs w:val="20"/>
        </w:rPr>
        <w:t>We are presently under audit by a number of tax authorities, and the Internal Reven</w:t>
      </w:r>
      <w:r>
        <w:rPr>
          <w:rFonts w:ascii="Arial" w:eastAsia="宋体" w:hAnsi="Arial" w:cs="Arial"/>
          <w:color w:val="000000"/>
          <w:sz w:val="20"/>
          <w:szCs w:val="20"/>
        </w:rPr>
        <w:t>ue Service is currently reviewing our U.S. income tax returns, including amended returns, for tax years 2014-2018. The earliest tax year open to examination in jurisdictions where we have material operations is 2013. Management believes that we have suffic</w:t>
      </w:r>
      <w:r>
        <w:rPr>
          <w:rFonts w:ascii="Arial" w:eastAsia="宋体" w:hAnsi="Arial" w:cs="Arial"/>
          <w:color w:val="000000"/>
          <w:sz w:val="20"/>
          <w:szCs w:val="20"/>
        </w:rPr>
        <w:t>iently accrued liabilities as of March 31, 2021 for potential tax exposures.</w:t>
      </w:r>
    </w:p>
    <w:p w14:paraId="5EA266B2" w14:textId="77777777" w:rsidR="003C66EB" w:rsidRDefault="00D96C4E">
      <w:pPr>
        <w:spacing w:before="90"/>
        <w:textAlignment w:val="top"/>
      </w:pPr>
      <w:r>
        <w:rPr>
          <w:rFonts w:ascii="Arial" w:eastAsia="宋体" w:hAnsi="Arial" w:cs="Arial"/>
          <w:b/>
          <w:bCs/>
          <w:color w:val="000000"/>
          <w:sz w:val="20"/>
          <w:szCs w:val="20"/>
        </w:rPr>
        <w:t>Note 11.    Variable Interest Entities</w:t>
      </w:r>
    </w:p>
    <w:p w14:paraId="5EA266B3" w14:textId="77777777" w:rsidR="003C66EB" w:rsidRDefault="00D96C4E">
      <w:pPr>
        <w:spacing w:before="60"/>
        <w:ind w:firstLine="450"/>
        <w:jc w:val="both"/>
        <w:textAlignment w:val="top"/>
      </w:pPr>
      <w:r>
        <w:rPr>
          <w:rFonts w:ascii="Arial" w:eastAsia="宋体" w:hAnsi="Arial" w:cs="Arial"/>
          <w:color w:val="000000"/>
          <w:sz w:val="20"/>
          <w:szCs w:val="20"/>
        </w:rPr>
        <w:t>For additional information on our variable interest entities (VIEs), refer to pages 169 to 170 in Note 14 to the consolidated financial stat</w:t>
      </w:r>
      <w:r>
        <w:rPr>
          <w:rFonts w:ascii="Arial" w:eastAsia="宋体" w:hAnsi="Arial" w:cs="Arial"/>
          <w:color w:val="000000"/>
          <w:sz w:val="20"/>
          <w:szCs w:val="20"/>
        </w:rPr>
        <w:t>ements included under Item 8, Financial Statements and Supplementary Data, "Variable Interest Entities", in our 2020 Form 10-K.</w:t>
      </w:r>
    </w:p>
    <w:p w14:paraId="5EA266B4" w14:textId="77777777" w:rsidR="003C66EB" w:rsidRDefault="00D96C4E">
      <w:pPr>
        <w:spacing w:before="60"/>
        <w:jc w:val="both"/>
        <w:textAlignment w:val="top"/>
      </w:pPr>
      <w:r>
        <w:rPr>
          <w:rFonts w:ascii="Arial" w:eastAsia="宋体" w:hAnsi="Arial" w:cs="Arial"/>
          <w:b/>
          <w:bCs/>
          <w:i/>
          <w:iCs/>
          <w:color w:val="000000"/>
          <w:sz w:val="20"/>
          <w:szCs w:val="20"/>
        </w:rPr>
        <w:t>Tax-Exempt Investment Program</w:t>
      </w:r>
    </w:p>
    <w:p w14:paraId="5EA266B5" w14:textId="77777777" w:rsidR="003C66EB" w:rsidRDefault="00D96C4E">
      <w:pPr>
        <w:spacing w:before="60"/>
        <w:ind w:firstLine="450"/>
        <w:jc w:val="both"/>
        <w:textAlignment w:val="top"/>
      </w:pPr>
      <w:r>
        <w:rPr>
          <w:rFonts w:ascii="Arial" w:eastAsia="宋体" w:hAnsi="Arial" w:cs="Arial"/>
          <w:color w:val="000000"/>
          <w:sz w:val="20"/>
          <w:szCs w:val="20"/>
        </w:rPr>
        <w:t>In the normal course of our business, we structure and sell certificated interests in pools of tax</w:t>
      </w:r>
      <w:r>
        <w:rPr>
          <w:rFonts w:ascii="Arial" w:eastAsia="宋体" w:hAnsi="Arial" w:cs="Arial"/>
          <w:color w:val="000000"/>
          <w:sz w:val="20"/>
          <w:szCs w:val="20"/>
        </w:rPr>
        <w:t>-exempt investment grade assets, principally to our mutual fund clients. We structure these pools as partnership trusts, and the assets and liabilities of the trusts are recorded in our consolidated statement of condition as AFS investment securities and o</w:t>
      </w:r>
      <w:r>
        <w:rPr>
          <w:rFonts w:ascii="Arial" w:eastAsia="宋体" w:hAnsi="Arial" w:cs="Arial"/>
          <w:color w:val="000000"/>
          <w:sz w:val="20"/>
          <w:szCs w:val="20"/>
        </w:rPr>
        <w:t xml:space="preserve">ther short-term borrowings. As of March 31, 2021 and December 31, 2020, we carried AFS investment </w:t>
      </w:r>
    </w:p>
    <w:p w14:paraId="5EA266B6" w14:textId="77777777" w:rsidR="003C66EB" w:rsidRDefault="00D96C4E">
      <w:pPr>
        <w:spacing w:before="60"/>
        <w:jc w:val="both"/>
        <w:textAlignment w:val="top"/>
      </w:pPr>
      <w:r>
        <w:rPr>
          <w:rFonts w:ascii="Arial" w:eastAsia="宋体" w:hAnsi="Arial" w:cs="Arial"/>
          <w:color w:val="000000"/>
          <w:sz w:val="20"/>
          <w:szCs w:val="20"/>
        </w:rPr>
        <w:t>securities, composed of securities related to state and political subdivisions, with a fair value of $0.70 billion and $0.70 billion, respectively, and other</w:t>
      </w:r>
      <w:r>
        <w:rPr>
          <w:rFonts w:ascii="Arial" w:eastAsia="宋体" w:hAnsi="Arial" w:cs="Arial"/>
          <w:color w:val="000000"/>
          <w:sz w:val="20"/>
          <w:szCs w:val="20"/>
        </w:rPr>
        <w:t xml:space="preserve"> short-term borrowings of $0.61 billion and $0.62 billion, respectively, in our consolidated statement of condition in connection with these trusts. The interest income and interest expense generated by the investments and certificated interests, respectiv</w:t>
      </w:r>
      <w:r>
        <w:rPr>
          <w:rFonts w:ascii="Arial" w:eastAsia="宋体" w:hAnsi="Arial" w:cs="Arial"/>
          <w:color w:val="000000"/>
          <w:sz w:val="20"/>
          <w:szCs w:val="20"/>
        </w:rPr>
        <w:t>ely, are recorded as components of NII when earned or incurred.</w:t>
      </w:r>
    </w:p>
    <w:p w14:paraId="5EA266B7" w14:textId="77777777" w:rsidR="003C66EB" w:rsidRDefault="00D96C4E">
      <w:pPr>
        <w:spacing w:before="60"/>
        <w:ind w:firstLine="450"/>
        <w:jc w:val="both"/>
        <w:textAlignment w:val="top"/>
      </w:pPr>
      <w:r>
        <w:rPr>
          <w:rFonts w:ascii="Arial" w:eastAsia="宋体" w:hAnsi="Arial" w:cs="Arial"/>
          <w:color w:val="000000"/>
          <w:sz w:val="20"/>
          <w:szCs w:val="20"/>
        </w:rPr>
        <w:t>The trusts had a weighted-average life of approximately 2.4 years as of March 31, 2021, compared to approximately 2.7 years as of December 31, 2020.</w:t>
      </w:r>
    </w:p>
    <w:p w14:paraId="5EA266B8" w14:textId="77777777" w:rsidR="003C66EB" w:rsidRDefault="00D96C4E">
      <w:pPr>
        <w:spacing w:before="60"/>
        <w:jc w:val="both"/>
        <w:textAlignment w:val="top"/>
      </w:pPr>
      <w:r>
        <w:rPr>
          <w:rFonts w:ascii="Arial" w:eastAsia="宋体" w:hAnsi="Arial" w:cs="Arial"/>
          <w:b/>
          <w:bCs/>
          <w:i/>
          <w:iCs/>
          <w:color w:val="000000"/>
          <w:sz w:val="20"/>
          <w:szCs w:val="20"/>
        </w:rPr>
        <w:t>Interests in Investment Funds</w:t>
      </w:r>
    </w:p>
    <w:p w14:paraId="5EA266B9" w14:textId="77777777" w:rsidR="003C66EB" w:rsidRDefault="00D96C4E">
      <w:pPr>
        <w:spacing w:before="60"/>
        <w:ind w:firstLine="450"/>
        <w:jc w:val="both"/>
        <w:textAlignment w:val="top"/>
      </w:pPr>
      <w:r>
        <w:rPr>
          <w:rFonts w:ascii="Arial" w:eastAsia="宋体" w:hAnsi="Arial" w:cs="Arial"/>
          <w:color w:val="000000"/>
          <w:sz w:val="20"/>
          <w:szCs w:val="20"/>
        </w:rPr>
        <w:t>As of March 3</w:t>
      </w:r>
      <w:r>
        <w:rPr>
          <w:rFonts w:ascii="Arial" w:eastAsia="宋体" w:hAnsi="Arial" w:cs="Arial"/>
          <w:color w:val="000000"/>
          <w:sz w:val="20"/>
          <w:szCs w:val="20"/>
        </w:rPr>
        <w:t>1, 2021, the aggregate assets and liabilities of our consolidated sponsored investment funds totaled $13 million and $0 million, respectively. As of December 31, 2020, the aggregate assets and liabilities of our consolidated sponsored investment funds tota</w:t>
      </w:r>
      <w:r>
        <w:rPr>
          <w:rFonts w:ascii="Arial" w:eastAsia="宋体" w:hAnsi="Arial" w:cs="Arial"/>
          <w:color w:val="000000"/>
          <w:sz w:val="20"/>
          <w:szCs w:val="20"/>
        </w:rPr>
        <w:t>led $17 million and $4 million, respectively. As of both March 31, 2021 and December 31, 2020, our maximum total exposure associated with the consolidated sponsored investment funds totaled $13 million, and represented the value of our economic ownership i</w:t>
      </w:r>
      <w:r>
        <w:rPr>
          <w:rFonts w:ascii="Arial" w:eastAsia="宋体" w:hAnsi="Arial" w:cs="Arial"/>
          <w:color w:val="000000"/>
          <w:sz w:val="20"/>
          <w:szCs w:val="20"/>
        </w:rPr>
        <w:t xml:space="preserve">nterest in the funds. </w:t>
      </w:r>
    </w:p>
    <w:p w14:paraId="5EA266BA" w14:textId="77777777" w:rsidR="003C66EB" w:rsidRDefault="00D96C4E">
      <w:pPr>
        <w:spacing w:before="60"/>
        <w:ind w:firstLine="450"/>
        <w:jc w:val="both"/>
        <w:textAlignment w:val="top"/>
      </w:pPr>
      <w:r>
        <w:rPr>
          <w:rFonts w:ascii="Arial" w:eastAsia="宋体" w:hAnsi="Arial" w:cs="Arial"/>
          <w:color w:val="000000"/>
          <w:sz w:val="20"/>
          <w:szCs w:val="20"/>
        </w:rPr>
        <w:t>As of March 31, 2021 and December 31, 2020, we managed certain funds, considered VIEs, in which we held a variable interest but for which we were not deemed to be the primary beneficiary. Our potential maximum loss exposure related t</w:t>
      </w:r>
      <w:r>
        <w:rPr>
          <w:rFonts w:ascii="Arial" w:eastAsia="宋体" w:hAnsi="Arial" w:cs="Arial"/>
          <w:color w:val="000000"/>
          <w:sz w:val="20"/>
          <w:szCs w:val="20"/>
        </w:rPr>
        <w:t>o these unconsolidated funds totaled $22 million as of both March 31, 2021 and December 31, 2020, and represented the carrying value of our investments, which are recorded in other assets in our consolidated statement of condition. The amount of loss we ma</w:t>
      </w:r>
      <w:r>
        <w:rPr>
          <w:rFonts w:ascii="Arial" w:eastAsia="宋体" w:hAnsi="Arial" w:cs="Arial"/>
          <w:color w:val="000000"/>
          <w:sz w:val="20"/>
          <w:szCs w:val="20"/>
        </w:rPr>
        <w:t>y recognize during any period is limited to the carrying amount of our investments in the unconsolidated funds.</w:t>
      </w:r>
    </w:p>
    <w:p w14:paraId="5EA266BB" w14:textId="77777777" w:rsidR="003C66EB" w:rsidRDefault="00D96C4E">
      <w:pPr>
        <w:ind w:firstLine="450"/>
        <w:jc w:val="right"/>
      </w:pPr>
      <w:r>
        <w:rPr>
          <w:rFonts w:ascii="Arial" w:eastAsia="宋体" w:hAnsi="Arial" w:cs="Arial"/>
          <w:color w:val="000000"/>
          <w:sz w:val="18"/>
          <w:szCs w:val="18"/>
        </w:rPr>
        <w:t>State Street Corporation | 77</w:t>
      </w:r>
    </w:p>
    <w:p w14:paraId="5EA266BC" w14:textId="77777777" w:rsidR="003C66EB" w:rsidRDefault="003C66EB">
      <w:pPr>
        <w:ind w:firstLine="450"/>
        <w:jc w:val="center"/>
      </w:pPr>
    </w:p>
    <w:p w14:paraId="5EA266BD" w14:textId="77777777" w:rsidR="003C66EB" w:rsidRDefault="00D96C4E">
      <w:r>
        <w:pict w14:anchorId="5EA287FD">
          <v:rect id="_x0000_i1101" style="width:415.3pt;height:1.5pt" o:hralign="center" o:hrstd="t" o:hr="t" fillcolor="#a0a0a0" stroked="f"/>
        </w:pict>
      </w:r>
    </w:p>
    <w:p w14:paraId="5EA266BE" w14:textId="77777777" w:rsidR="003C66EB" w:rsidRDefault="00D96C4E">
      <w:pPr>
        <w:ind w:firstLine="450"/>
        <w:jc w:val="center"/>
      </w:pPr>
      <w:r>
        <w:rPr>
          <w:rFonts w:ascii="Arial" w:eastAsia="宋体" w:hAnsi="Arial" w:cs="Arial"/>
          <w:b/>
          <w:bCs/>
          <w:color w:val="000000"/>
          <w:sz w:val="20"/>
          <w:szCs w:val="20"/>
        </w:rPr>
        <w:t>STATE STREET CORPORATION</w:t>
      </w:r>
    </w:p>
    <w:p w14:paraId="5EA266BF"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6C0" w14:textId="77777777" w:rsidR="003C66EB" w:rsidRDefault="00D96C4E">
      <w:pPr>
        <w:ind w:firstLine="450"/>
        <w:jc w:val="center"/>
      </w:pPr>
      <w:r>
        <w:rPr>
          <w:rFonts w:ascii="Arial" w:eastAsia="宋体" w:hAnsi="Arial" w:cs="Arial"/>
          <w:b/>
          <w:bCs/>
          <w:color w:val="000000"/>
          <w:sz w:val="20"/>
          <w:szCs w:val="20"/>
        </w:rPr>
        <w:t>(UNAUDITED)</w:t>
      </w:r>
    </w:p>
    <w:p w14:paraId="5EA266C1" w14:textId="77777777" w:rsidR="003C66EB" w:rsidRDefault="00D96C4E">
      <w:pPr>
        <w:spacing w:before="180"/>
      </w:pPr>
      <w:r>
        <w:rPr>
          <w:rFonts w:ascii="Arial" w:eastAsia="宋体" w:hAnsi="Arial" w:cs="Arial"/>
          <w:b/>
          <w:bCs/>
          <w:color w:val="000000"/>
          <w:sz w:val="20"/>
          <w:szCs w:val="20"/>
        </w:rPr>
        <w:t>Note 12.    Sharehold</w:t>
      </w:r>
      <w:r>
        <w:rPr>
          <w:rFonts w:ascii="Arial" w:eastAsia="宋体" w:hAnsi="Arial" w:cs="Arial"/>
          <w:b/>
          <w:bCs/>
          <w:color w:val="000000"/>
          <w:sz w:val="20"/>
          <w:szCs w:val="20"/>
        </w:rPr>
        <w:t>ers' Equity</w:t>
      </w:r>
    </w:p>
    <w:p w14:paraId="5EA266C2" w14:textId="77777777" w:rsidR="003C66EB" w:rsidRDefault="00D96C4E">
      <w:pPr>
        <w:spacing w:before="60"/>
      </w:pPr>
      <w:r>
        <w:rPr>
          <w:rFonts w:ascii="Arial" w:eastAsia="宋体" w:hAnsi="Arial" w:cs="Arial"/>
          <w:b/>
          <w:bCs/>
          <w:i/>
          <w:iCs/>
          <w:color w:val="000000"/>
          <w:sz w:val="20"/>
          <w:szCs w:val="20"/>
        </w:rPr>
        <w:t xml:space="preserve">Preferred Stock </w:t>
      </w:r>
    </w:p>
    <w:p w14:paraId="5EA266C3" w14:textId="77777777" w:rsidR="003C66EB" w:rsidRDefault="00D96C4E">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following table summarizes selected terms of each of the series of the preferred stock issued and outstanding as of March 31, 2021:</w:t>
      </w:r>
    </w:p>
    <w:tbl>
      <w:tblPr>
        <w:tblW w:w="5000" w:type="pct"/>
        <w:tblCellMar>
          <w:top w:w="15" w:type="dxa"/>
          <w:left w:w="15" w:type="dxa"/>
          <w:bottom w:w="15" w:type="dxa"/>
          <w:right w:w="15" w:type="dxa"/>
        </w:tblCellMar>
        <w:tblLook w:val="04A0" w:firstRow="1" w:lastRow="0" w:firstColumn="1" w:lastColumn="0" w:noHBand="0" w:noVBand="1"/>
      </w:tblPr>
      <w:tblGrid>
        <w:gridCol w:w="84"/>
        <w:gridCol w:w="453"/>
        <w:gridCol w:w="35"/>
        <w:gridCol w:w="36"/>
        <w:gridCol w:w="35"/>
        <w:gridCol w:w="35"/>
        <w:gridCol w:w="59"/>
        <w:gridCol w:w="532"/>
        <w:gridCol w:w="37"/>
        <w:gridCol w:w="36"/>
        <w:gridCol w:w="36"/>
        <w:gridCol w:w="36"/>
        <w:gridCol w:w="84"/>
        <w:gridCol w:w="540"/>
        <w:gridCol w:w="36"/>
        <w:gridCol w:w="36"/>
        <w:gridCol w:w="36"/>
        <w:gridCol w:w="36"/>
        <w:gridCol w:w="91"/>
        <w:gridCol w:w="592"/>
        <w:gridCol w:w="36"/>
        <w:gridCol w:w="84"/>
        <w:gridCol w:w="538"/>
        <w:gridCol w:w="36"/>
        <w:gridCol w:w="36"/>
        <w:gridCol w:w="36"/>
        <w:gridCol w:w="36"/>
        <w:gridCol w:w="86"/>
        <w:gridCol w:w="560"/>
        <w:gridCol w:w="36"/>
        <w:gridCol w:w="36"/>
        <w:gridCol w:w="36"/>
        <w:gridCol w:w="36"/>
        <w:gridCol w:w="86"/>
        <w:gridCol w:w="560"/>
        <w:gridCol w:w="36"/>
        <w:gridCol w:w="36"/>
        <w:gridCol w:w="36"/>
        <w:gridCol w:w="36"/>
        <w:gridCol w:w="55"/>
        <w:gridCol w:w="594"/>
        <w:gridCol w:w="37"/>
        <w:gridCol w:w="36"/>
        <w:gridCol w:w="36"/>
        <w:gridCol w:w="36"/>
        <w:gridCol w:w="102"/>
        <w:gridCol w:w="651"/>
        <w:gridCol w:w="37"/>
        <w:gridCol w:w="36"/>
        <w:gridCol w:w="36"/>
        <w:gridCol w:w="36"/>
        <w:gridCol w:w="85"/>
        <w:gridCol w:w="440"/>
        <w:gridCol w:w="36"/>
        <w:gridCol w:w="36"/>
        <w:gridCol w:w="36"/>
        <w:gridCol w:w="36"/>
        <w:gridCol w:w="74"/>
        <w:gridCol w:w="618"/>
        <w:gridCol w:w="36"/>
      </w:tblGrid>
      <w:tr w:rsidR="003C66EB" w14:paraId="5EA26700" w14:textId="77777777">
        <w:tc>
          <w:tcPr>
            <w:tcW w:w="50" w:type="pct"/>
            <w:shd w:val="clear" w:color="auto" w:fill="auto"/>
          </w:tcPr>
          <w:p w14:paraId="5EA266C4" w14:textId="77777777" w:rsidR="003C66EB" w:rsidRDefault="003C66EB">
            <w:pPr>
              <w:rPr>
                <w:rFonts w:ascii="宋体"/>
              </w:rPr>
            </w:pPr>
          </w:p>
        </w:tc>
        <w:tc>
          <w:tcPr>
            <w:tcW w:w="273" w:type="pct"/>
            <w:shd w:val="clear" w:color="auto" w:fill="auto"/>
          </w:tcPr>
          <w:p w14:paraId="5EA266C5" w14:textId="77777777" w:rsidR="003C66EB" w:rsidRDefault="003C66EB">
            <w:pPr>
              <w:rPr>
                <w:rFonts w:ascii="宋体"/>
              </w:rPr>
            </w:pPr>
          </w:p>
        </w:tc>
        <w:tc>
          <w:tcPr>
            <w:tcW w:w="5" w:type="pct"/>
            <w:shd w:val="clear" w:color="auto" w:fill="auto"/>
          </w:tcPr>
          <w:p w14:paraId="5EA266C6" w14:textId="77777777" w:rsidR="003C66EB" w:rsidRDefault="003C66EB">
            <w:pPr>
              <w:rPr>
                <w:rFonts w:ascii="宋体"/>
              </w:rPr>
            </w:pPr>
          </w:p>
        </w:tc>
        <w:tc>
          <w:tcPr>
            <w:tcW w:w="5" w:type="pct"/>
            <w:shd w:val="clear" w:color="auto" w:fill="auto"/>
          </w:tcPr>
          <w:p w14:paraId="5EA266C7" w14:textId="77777777" w:rsidR="003C66EB" w:rsidRDefault="003C66EB">
            <w:pPr>
              <w:rPr>
                <w:rFonts w:ascii="宋体"/>
              </w:rPr>
            </w:pPr>
          </w:p>
        </w:tc>
        <w:tc>
          <w:tcPr>
            <w:tcW w:w="19" w:type="pct"/>
            <w:shd w:val="clear" w:color="auto" w:fill="auto"/>
          </w:tcPr>
          <w:p w14:paraId="5EA266C8" w14:textId="77777777" w:rsidR="003C66EB" w:rsidRDefault="003C66EB">
            <w:pPr>
              <w:rPr>
                <w:rFonts w:ascii="宋体"/>
              </w:rPr>
            </w:pPr>
          </w:p>
        </w:tc>
        <w:tc>
          <w:tcPr>
            <w:tcW w:w="5" w:type="pct"/>
            <w:shd w:val="clear" w:color="auto" w:fill="auto"/>
          </w:tcPr>
          <w:p w14:paraId="5EA266C9" w14:textId="77777777" w:rsidR="003C66EB" w:rsidRDefault="003C66EB">
            <w:pPr>
              <w:rPr>
                <w:rFonts w:ascii="宋体"/>
              </w:rPr>
            </w:pPr>
          </w:p>
        </w:tc>
        <w:tc>
          <w:tcPr>
            <w:tcW w:w="50" w:type="pct"/>
            <w:shd w:val="clear" w:color="auto" w:fill="auto"/>
          </w:tcPr>
          <w:p w14:paraId="5EA266CA" w14:textId="77777777" w:rsidR="003C66EB" w:rsidRDefault="003C66EB">
            <w:pPr>
              <w:rPr>
                <w:rFonts w:ascii="宋体"/>
              </w:rPr>
            </w:pPr>
          </w:p>
        </w:tc>
        <w:tc>
          <w:tcPr>
            <w:tcW w:w="463" w:type="pct"/>
            <w:shd w:val="clear" w:color="auto" w:fill="auto"/>
          </w:tcPr>
          <w:p w14:paraId="5EA266CB" w14:textId="77777777" w:rsidR="003C66EB" w:rsidRDefault="003C66EB">
            <w:pPr>
              <w:rPr>
                <w:rFonts w:ascii="宋体"/>
              </w:rPr>
            </w:pPr>
          </w:p>
        </w:tc>
        <w:tc>
          <w:tcPr>
            <w:tcW w:w="5" w:type="pct"/>
            <w:shd w:val="clear" w:color="auto" w:fill="auto"/>
          </w:tcPr>
          <w:p w14:paraId="5EA266CC" w14:textId="77777777" w:rsidR="003C66EB" w:rsidRDefault="003C66EB">
            <w:pPr>
              <w:rPr>
                <w:rFonts w:ascii="宋体"/>
              </w:rPr>
            </w:pPr>
          </w:p>
        </w:tc>
        <w:tc>
          <w:tcPr>
            <w:tcW w:w="5" w:type="pct"/>
            <w:shd w:val="clear" w:color="auto" w:fill="auto"/>
          </w:tcPr>
          <w:p w14:paraId="5EA266CD" w14:textId="77777777" w:rsidR="003C66EB" w:rsidRDefault="003C66EB">
            <w:pPr>
              <w:rPr>
                <w:rFonts w:ascii="宋体"/>
              </w:rPr>
            </w:pPr>
          </w:p>
        </w:tc>
        <w:tc>
          <w:tcPr>
            <w:tcW w:w="26" w:type="pct"/>
            <w:shd w:val="clear" w:color="auto" w:fill="auto"/>
          </w:tcPr>
          <w:p w14:paraId="5EA266CE" w14:textId="77777777" w:rsidR="003C66EB" w:rsidRDefault="003C66EB">
            <w:pPr>
              <w:rPr>
                <w:rFonts w:ascii="宋体"/>
              </w:rPr>
            </w:pPr>
          </w:p>
        </w:tc>
        <w:tc>
          <w:tcPr>
            <w:tcW w:w="5" w:type="pct"/>
            <w:shd w:val="clear" w:color="auto" w:fill="auto"/>
          </w:tcPr>
          <w:p w14:paraId="5EA266CF" w14:textId="77777777" w:rsidR="003C66EB" w:rsidRDefault="003C66EB">
            <w:pPr>
              <w:rPr>
                <w:rFonts w:ascii="宋体"/>
              </w:rPr>
            </w:pPr>
          </w:p>
        </w:tc>
        <w:tc>
          <w:tcPr>
            <w:tcW w:w="50" w:type="pct"/>
            <w:shd w:val="clear" w:color="auto" w:fill="auto"/>
          </w:tcPr>
          <w:p w14:paraId="5EA266D0" w14:textId="77777777" w:rsidR="003C66EB" w:rsidRDefault="003C66EB">
            <w:pPr>
              <w:rPr>
                <w:rFonts w:ascii="宋体"/>
              </w:rPr>
            </w:pPr>
          </w:p>
        </w:tc>
        <w:tc>
          <w:tcPr>
            <w:tcW w:w="332" w:type="pct"/>
            <w:shd w:val="clear" w:color="auto" w:fill="auto"/>
          </w:tcPr>
          <w:p w14:paraId="5EA266D1" w14:textId="77777777" w:rsidR="003C66EB" w:rsidRDefault="003C66EB">
            <w:pPr>
              <w:rPr>
                <w:rFonts w:ascii="宋体"/>
              </w:rPr>
            </w:pPr>
          </w:p>
        </w:tc>
        <w:tc>
          <w:tcPr>
            <w:tcW w:w="5" w:type="pct"/>
            <w:shd w:val="clear" w:color="auto" w:fill="auto"/>
          </w:tcPr>
          <w:p w14:paraId="5EA266D2" w14:textId="77777777" w:rsidR="003C66EB" w:rsidRDefault="003C66EB">
            <w:pPr>
              <w:rPr>
                <w:rFonts w:ascii="宋体"/>
              </w:rPr>
            </w:pPr>
          </w:p>
        </w:tc>
        <w:tc>
          <w:tcPr>
            <w:tcW w:w="5" w:type="pct"/>
            <w:shd w:val="clear" w:color="auto" w:fill="auto"/>
          </w:tcPr>
          <w:p w14:paraId="5EA266D3" w14:textId="77777777" w:rsidR="003C66EB" w:rsidRDefault="003C66EB">
            <w:pPr>
              <w:rPr>
                <w:rFonts w:ascii="宋体"/>
              </w:rPr>
            </w:pPr>
          </w:p>
        </w:tc>
        <w:tc>
          <w:tcPr>
            <w:tcW w:w="26" w:type="pct"/>
            <w:shd w:val="clear" w:color="auto" w:fill="auto"/>
          </w:tcPr>
          <w:p w14:paraId="5EA266D4" w14:textId="77777777" w:rsidR="003C66EB" w:rsidRDefault="003C66EB">
            <w:pPr>
              <w:rPr>
                <w:rFonts w:ascii="宋体"/>
              </w:rPr>
            </w:pPr>
          </w:p>
        </w:tc>
        <w:tc>
          <w:tcPr>
            <w:tcW w:w="5" w:type="pct"/>
            <w:shd w:val="clear" w:color="auto" w:fill="auto"/>
          </w:tcPr>
          <w:p w14:paraId="5EA266D5" w14:textId="77777777" w:rsidR="003C66EB" w:rsidRDefault="003C66EB">
            <w:pPr>
              <w:rPr>
                <w:rFonts w:ascii="宋体"/>
              </w:rPr>
            </w:pPr>
          </w:p>
        </w:tc>
        <w:tc>
          <w:tcPr>
            <w:tcW w:w="50" w:type="pct"/>
            <w:shd w:val="clear" w:color="auto" w:fill="auto"/>
          </w:tcPr>
          <w:p w14:paraId="5EA266D6" w14:textId="77777777" w:rsidR="003C66EB" w:rsidRDefault="003C66EB">
            <w:pPr>
              <w:rPr>
                <w:rFonts w:ascii="宋体"/>
              </w:rPr>
            </w:pPr>
          </w:p>
        </w:tc>
        <w:tc>
          <w:tcPr>
            <w:tcW w:w="332" w:type="pct"/>
            <w:shd w:val="clear" w:color="auto" w:fill="auto"/>
          </w:tcPr>
          <w:p w14:paraId="5EA266D7" w14:textId="77777777" w:rsidR="003C66EB" w:rsidRDefault="003C66EB">
            <w:pPr>
              <w:rPr>
                <w:rFonts w:ascii="宋体"/>
              </w:rPr>
            </w:pPr>
          </w:p>
        </w:tc>
        <w:tc>
          <w:tcPr>
            <w:tcW w:w="5" w:type="pct"/>
            <w:shd w:val="clear" w:color="auto" w:fill="auto"/>
          </w:tcPr>
          <w:p w14:paraId="5EA266D8" w14:textId="77777777" w:rsidR="003C66EB" w:rsidRDefault="003C66EB">
            <w:pPr>
              <w:rPr>
                <w:rFonts w:ascii="宋体"/>
              </w:rPr>
            </w:pPr>
          </w:p>
        </w:tc>
        <w:tc>
          <w:tcPr>
            <w:tcW w:w="50" w:type="pct"/>
            <w:shd w:val="clear" w:color="auto" w:fill="auto"/>
          </w:tcPr>
          <w:p w14:paraId="5EA266D9" w14:textId="77777777" w:rsidR="003C66EB" w:rsidRDefault="003C66EB">
            <w:pPr>
              <w:rPr>
                <w:rFonts w:ascii="宋体"/>
              </w:rPr>
            </w:pPr>
          </w:p>
        </w:tc>
        <w:tc>
          <w:tcPr>
            <w:tcW w:w="332" w:type="pct"/>
            <w:shd w:val="clear" w:color="auto" w:fill="auto"/>
          </w:tcPr>
          <w:p w14:paraId="5EA266DA" w14:textId="77777777" w:rsidR="003C66EB" w:rsidRDefault="003C66EB">
            <w:pPr>
              <w:rPr>
                <w:rFonts w:ascii="宋体"/>
              </w:rPr>
            </w:pPr>
          </w:p>
        </w:tc>
        <w:tc>
          <w:tcPr>
            <w:tcW w:w="5" w:type="pct"/>
            <w:shd w:val="clear" w:color="auto" w:fill="auto"/>
          </w:tcPr>
          <w:p w14:paraId="5EA266DB" w14:textId="77777777" w:rsidR="003C66EB" w:rsidRDefault="003C66EB">
            <w:pPr>
              <w:rPr>
                <w:rFonts w:ascii="宋体"/>
              </w:rPr>
            </w:pPr>
          </w:p>
        </w:tc>
        <w:tc>
          <w:tcPr>
            <w:tcW w:w="5" w:type="pct"/>
            <w:shd w:val="clear" w:color="auto" w:fill="auto"/>
          </w:tcPr>
          <w:p w14:paraId="5EA266DC" w14:textId="77777777" w:rsidR="003C66EB" w:rsidRDefault="003C66EB">
            <w:pPr>
              <w:rPr>
                <w:rFonts w:ascii="宋体"/>
              </w:rPr>
            </w:pPr>
          </w:p>
        </w:tc>
        <w:tc>
          <w:tcPr>
            <w:tcW w:w="26" w:type="pct"/>
            <w:shd w:val="clear" w:color="auto" w:fill="auto"/>
          </w:tcPr>
          <w:p w14:paraId="5EA266DD" w14:textId="77777777" w:rsidR="003C66EB" w:rsidRDefault="003C66EB">
            <w:pPr>
              <w:rPr>
                <w:rFonts w:ascii="宋体"/>
              </w:rPr>
            </w:pPr>
          </w:p>
        </w:tc>
        <w:tc>
          <w:tcPr>
            <w:tcW w:w="5" w:type="pct"/>
            <w:shd w:val="clear" w:color="auto" w:fill="auto"/>
          </w:tcPr>
          <w:p w14:paraId="5EA266DE" w14:textId="77777777" w:rsidR="003C66EB" w:rsidRDefault="003C66EB">
            <w:pPr>
              <w:rPr>
                <w:rFonts w:ascii="宋体"/>
              </w:rPr>
            </w:pPr>
          </w:p>
        </w:tc>
        <w:tc>
          <w:tcPr>
            <w:tcW w:w="50" w:type="pct"/>
            <w:shd w:val="clear" w:color="auto" w:fill="auto"/>
          </w:tcPr>
          <w:p w14:paraId="5EA266DF" w14:textId="77777777" w:rsidR="003C66EB" w:rsidRDefault="003C66EB">
            <w:pPr>
              <w:rPr>
                <w:rFonts w:ascii="宋体"/>
              </w:rPr>
            </w:pPr>
          </w:p>
        </w:tc>
        <w:tc>
          <w:tcPr>
            <w:tcW w:w="332" w:type="pct"/>
            <w:shd w:val="clear" w:color="auto" w:fill="auto"/>
          </w:tcPr>
          <w:p w14:paraId="5EA266E0" w14:textId="77777777" w:rsidR="003C66EB" w:rsidRDefault="003C66EB">
            <w:pPr>
              <w:rPr>
                <w:rFonts w:ascii="宋体"/>
              </w:rPr>
            </w:pPr>
          </w:p>
        </w:tc>
        <w:tc>
          <w:tcPr>
            <w:tcW w:w="5" w:type="pct"/>
            <w:shd w:val="clear" w:color="auto" w:fill="auto"/>
          </w:tcPr>
          <w:p w14:paraId="5EA266E1" w14:textId="77777777" w:rsidR="003C66EB" w:rsidRDefault="003C66EB">
            <w:pPr>
              <w:rPr>
                <w:rFonts w:ascii="宋体"/>
              </w:rPr>
            </w:pPr>
          </w:p>
        </w:tc>
        <w:tc>
          <w:tcPr>
            <w:tcW w:w="5" w:type="pct"/>
            <w:shd w:val="clear" w:color="auto" w:fill="auto"/>
          </w:tcPr>
          <w:p w14:paraId="5EA266E2" w14:textId="77777777" w:rsidR="003C66EB" w:rsidRDefault="003C66EB">
            <w:pPr>
              <w:rPr>
                <w:rFonts w:ascii="宋体"/>
              </w:rPr>
            </w:pPr>
          </w:p>
        </w:tc>
        <w:tc>
          <w:tcPr>
            <w:tcW w:w="26" w:type="pct"/>
            <w:shd w:val="clear" w:color="auto" w:fill="auto"/>
          </w:tcPr>
          <w:p w14:paraId="5EA266E3" w14:textId="77777777" w:rsidR="003C66EB" w:rsidRDefault="003C66EB">
            <w:pPr>
              <w:rPr>
                <w:rFonts w:ascii="宋体"/>
              </w:rPr>
            </w:pPr>
          </w:p>
        </w:tc>
        <w:tc>
          <w:tcPr>
            <w:tcW w:w="5" w:type="pct"/>
            <w:shd w:val="clear" w:color="auto" w:fill="auto"/>
          </w:tcPr>
          <w:p w14:paraId="5EA266E4" w14:textId="77777777" w:rsidR="003C66EB" w:rsidRDefault="003C66EB">
            <w:pPr>
              <w:rPr>
                <w:rFonts w:ascii="宋体"/>
              </w:rPr>
            </w:pPr>
          </w:p>
        </w:tc>
        <w:tc>
          <w:tcPr>
            <w:tcW w:w="50" w:type="pct"/>
            <w:shd w:val="clear" w:color="auto" w:fill="auto"/>
          </w:tcPr>
          <w:p w14:paraId="5EA266E5" w14:textId="77777777" w:rsidR="003C66EB" w:rsidRDefault="003C66EB">
            <w:pPr>
              <w:rPr>
                <w:rFonts w:ascii="宋体"/>
              </w:rPr>
            </w:pPr>
          </w:p>
        </w:tc>
        <w:tc>
          <w:tcPr>
            <w:tcW w:w="332" w:type="pct"/>
            <w:shd w:val="clear" w:color="auto" w:fill="auto"/>
          </w:tcPr>
          <w:p w14:paraId="5EA266E6" w14:textId="77777777" w:rsidR="003C66EB" w:rsidRDefault="003C66EB">
            <w:pPr>
              <w:rPr>
                <w:rFonts w:ascii="宋体"/>
              </w:rPr>
            </w:pPr>
          </w:p>
        </w:tc>
        <w:tc>
          <w:tcPr>
            <w:tcW w:w="5" w:type="pct"/>
            <w:shd w:val="clear" w:color="auto" w:fill="auto"/>
          </w:tcPr>
          <w:p w14:paraId="5EA266E7" w14:textId="77777777" w:rsidR="003C66EB" w:rsidRDefault="003C66EB">
            <w:pPr>
              <w:rPr>
                <w:rFonts w:ascii="宋体"/>
              </w:rPr>
            </w:pPr>
          </w:p>
        </w:tc>
        <w:tc>
          <w:tcPr>
            <w:tcW w:w="5" w:type="pct"/>
            <w:shd w:val="clear" w:color="auto" w:fill="auto"/>
          </w:tcPr>
          <w:p w14:paraId="5EA266E8" w14:textId="77777777" w:rsidR="003C66EB" w:rsidRDefault="003C66EB">
            <w:pPr>
              <w:rPr>
                <w:rFonts w:ascii="宋体"/>
              </w:rPr>
            </w:pPr>
          </w:p>
        </w:tc>
        <w:tc>
          <w:tcPr>
            <w:tcW w:w="26" w:type="pct"/>
            <w:shd w:val="clear" w:color="auto" w:fill="auto"/>
          </w:tcPr>
          <w:p w14:paraId="5EA266E9" w14:textId="77777777" w:rsidR="003C66EB" w:rsidRDefault="003C66EB">
            <w:pPr>
              <w:rPr>
                <w:rFonts w:ascii="宋体"/>
              </w:rPr>
            </w:pPr>
          </w:p>
        </w:tc>
        <w:tc>
          <w:tcPr>
            <w:tcW w:w="5" w:type="pct"/>
            <w:shd w:val="clear" w:color="auto" w:fill="auto"/>
          </w:tcPr>
          <w:p w14:paraId="5EA266EA" w14:textId="77777777" w:rsidR="003C66EB" w:rsidRDefault="003C66EB">
            <w:pPr>
              <w:rPr>
                <w:rFonts w:ascii="宋体"/>
              </w:rPr>
            </w:pPr>
          </w:p>
        </w:tc>
        <w:tc>
          <w:tcPr>
            <w:tcW w:w="50" w:type="pct"/>
            <w:shd w:val="clear" w:color="auto" w:fill="auto"/>
          </w:tcPr>
          <w:p w14:paraId="5EA266EB" w14:textId="77777777" w:rsidR="003C66EB" w:rsidRDefault="003C66EB">
            <w:pPr>
              <w:rPr>
                <w:rFonts w:ascii="宋体"/>
              </w:rPr>
            </w:pPr>
          </w:p>
        </w:tc>
        <w:tc>
          <w:tcPr>
            <w:tcW w:w="559" w:type="pct"/>
            <w:shd w:val="clear" w:color="auto" w:fill="auto"/>
          </w:tcPr>
          <w:p w14:paraId="5EA266EC" w14:textId="77777777" w:rsidR="003C66EB" w:rsidRDefault="003C66EB">
            <w:pPr>
              <w:rPr>
                <w:rFonts w:ascii="宋体"/>
              </w:rPr>
            </w:pPr>
          </w:p>
        </w:tc>
        <w:tc>
          <w:tcPr>
            <w:tcW w:w="5" w:type="pct"/>
            <w:shd w:val="clear" w:color="auto" w:fill="auto"/>
          </w:tcPr>
          <w:p w14:paraId="5EA266ED" w14:textId="77777777" w:rsidR="003C66EB" w:rsidRDefault="003C66EB">
            <w:pPr>
              <w:rPr>
                <w:rFonts w:ascii="宋体"/>
              </w:rPr>
            </w:pPr>
          </w:p>
        </w:tc>
        <w:tc>
          <w:tcPr>
            <w:tcW w:w="5" w:type="pct"/>
            <w:shd w:val="clear" w:color="auto" w:fill="auto"/>
          </w:tcPr>
          <w:p w14:paraId="5EA266EE" w14:textId="77777777" w:rsidR="003C66EB" w:rsidRDefault="003C66EB">
            <w:pPr>
              <w:rPr>
                <w:rFonts w:ascii="宋体"/>
              </w:rPr>
            </w:pPr>
          </w:p>
        </w:tc>
        <w:tc>
          <w:tcPr>
            <w:tcW w:w="26" w:type="pct"/>
            <w:shd w:val="clear" w:color="auto" w:fill="auto"/>
          </w:tcPr>
          <w:p w14:paraId="5EA266EF" w14:textId="77777777" w:rsidR="003C66EB" w:rsidRDefault="003C66EB">
            <w:pPr>
              <w:rPr>
                <w:rFonts w:ascii="宋体"/>
              </w:rPr>
            </w:pPr>
          </w:p>
        </w:tc>
        <w:tc>
          <w:tcPr>
            <w:tcW w:w="5" w:type="pct"/>
            <w:shd w:val="clear" w:color="auto" w:fill="auto"/>
          </w:tcPr>
          <w:p w14:paraId="5EA266F0" w14:textId="77777777" w:rsidR="003C66EB" w:rsidRDefault="003C66EB">
            <w:pPr>
              <w:rPr>
                <w:rFonts w:ascii="宋体"/>
              </w:rPr>
            </w:pPr>
          </w:p>
        </w:tc>
        <w:tc>
          <w:tcPr>
            <w:tcW w:w="50" w:type="pct"/>
            <w:shd w:val="clear" w:color="auto" w:fill="auto"/>
          </w:tcPr>
          <w:p w14:paraId="5EA266F1" w14:textId="77777777" w:rsidR="003C66EB" w:rsidRDefault="003C66EB">
            <w:pPr>
              <w:rPr>
                <w:rFonts w:ascii="宋体"/>
              </w:rPr>
            </w:pPr>
          </w:p>
        </w:tc>
        <w:tc>
          <w:tcPr>
            <w:tcW w:w="325" w:type="pct"/>
            <w:shd w:val="clear" w:color="auto" w:fill="auto"/>
          </w:tcPr>
          <w:p w14:paraId="5EA266F2" w14:textId="77777777" w:rsidR="003C66EB" w:rsidRDefault="003C66EB">
            <w:pPr>
              <w:rPr>
                <w:rFonts w:ascii="宋体"/>
              </w:rPr>
            </w:pPr>
          </w:p>
        </w:tc>
        <w:tc>
          <w:tcPr>
            <w:tcW w:w="5" w:type="pct"/>
            <w:shd w:val="clear" w:color="auto" w:fill="auto"/>
          </w:tcPr>
          <w:p w14:paraId="5EA266F3" w14:textId="77777777" w:rsidR="003C66EB" w:rsidRDefault="003C66EB">
            <w:pPr>
              <w:rPr>
                <w:rFonts w:ascii="宋体"/>
              </w:rPr>
            </w:pPr>
          </w:p>
        </w:tc>
        <w:tc>
          <w:tcPr>
            <w:tcW w:w="5" w:type="pct"/>
            <w:shd w:val="clear" w:color="auto" w:fill="auto"/>
          </w:tcPr>
          <w:p w14:paraId="5EA266F4" w14:textId="77777777" w:rsidR="003C66EB" w:rsidRDefault="003C66EB">
            <w:pPr>
              <w:rPr>
                <w:rFonts w:ascii="宋体"/>
              </w:rPr>
            </w:pPr>
          </w:p>
        </w:tc>
        <w:tc>
          <w:tcPr>
            <w:tcW w:w="26" w:type="pct"/>
            <w:shd w:val="clear" w:color="auto" w:fill="auto"/>
          </w:tcPr>
          <w:p w14:paraId="5EA266F5" w14:textId="77777777" w:rsidR="003C66EB" w:rsidRDefault="003C66EB">
            <w:pPr>
              <w:rPr>
                <w:rFonts w:ascii="宋体"/>
              </w:rPr>
            </w:pPr>
          </w:p>
        </w:tc>
        <w:tc>
          <w:tcPr>
            <w:tcW w:w="5" w:type="pct"/>
            <w:shd w:val="clear" w:color="auto" w:fill="auto"/>
          </w:tcPr>
          <w:p w14:paraId="5EA266F6" w14:textId="77777777" w:rsidR="003C66EB" w:rsidRDefault="003C66EB">
            <w:pPr>
              <w:rPr>
                <w:rFonts w:ascii="宋体"/>
              </w:rPr>
            </w:pPr>
          </w:p>
        </w:tc>
        <w:tc>
          <w:tcPr>
            <w:tcW w:w="50" w:type="pct"/>
            <w:shd w:val="clear" w:color="auto" w:fill="auto"/>
          </w:tcPr>
          <w:p w14:paraId="5EA266F7" w14:textId="77777777" w:rsidR="003C66EB" w:rsidRDefault="003C66EB">
            <w:pPr>
              <w:rPr>
                <w:rFonts w:ascii="宋体"/>
              </w:rPr>
            </w:pPr>
          </w:p>
        </w:tc>
        <w:tc>
          <w:tcPr>
            <w:tcW w:w="361" w:type="pct"/>
            <w:shd w:val="clear" w:color="auto" w:fill="auto"/>
          </w:tcPr>
          <w:p w14:paraId="5EA266F8" w14:textId="77777777" w:rsidR="003C66EB" w:rsidRDefault="003C66EB">
            <w:pPr>
              <w:rPr>
                <w:rFonts w:ascii="宋体"/>
              </w:rPr>
            </w:pPr>
          </w:p>
        </w:tc>
        <w:tc>
          <w:tcPr>
            <w:tcW w:w="5" w:type="pct"/>
            <w:shd w:val="clear" w:color="auto" w:fill="auto"/>
          </w:tcPr>
          <w:p w14:paraId="5EA266F9" w14:textId="77777777" w:rsidR="003C66EB" w:rsidRDefault="003C66EB">
            <w:pPr>
              <w:rPr>
                <w:rFonts w:ascii="宋体"/>
              </w:rPr>
            </w:pPr>
          </w:p>
        </w:tc>
        <w:tc>
          <w:tcPr>
            <w:tcW w:w="5" w:type="pct"/>
            <w:shd w:val="clear" w:color="auto" w:fill="auto"/>
          </w:tcPr>
          <w:p w14:paraId="5EA266FA" w14:textId="77777777" w:rsidR="003C66EB" w:rsidRDefault="003C66EB">
            <w:pPr>
              <w:rPr>
                <w:rFonts w:ascii="宋体"/>
              </w:rPr>
            </w:pPr>
          </w:p>
        </w:tc>
        <w:tc>
          <w:tcPr>
            <w:tcW w:w="26" w:type="pct"/>
            <w:shd w:val="clear" w:color="auto" w:fill="auto"/>
          </w:tcPr>
          <w:p w14:paraId="5EA266FB" w14:textId="77777777" w:rsidR="003C66EB" w:rsidRDefault="003C66EB">
            <w:pPr>
              <w:rPr>
                <w:rFonts w:ascii="宋体"/>
              </w:rPr>
            </w:pPr>
          </w:p>
        </w:tc>
        <w:tc>
          <w:tcPr>
            <w:tcW w:w="5" w:type="pct"/>
            <w:shd w:val="clear" w:color="auto" w:fill="auto"/>
          </w:tcPr>
          <w:p w14:paraId="5EA266FC" w14:textId="77777777" w:rsidR="003C66EB" w:rsidRDefault="003C66EB">
            <w:pPr>
              <w:rPr>
                <w:rFonts w:ascii="宋体"/>
              </w:rPr>
            </w:pPr>
          </w:p>
        </w:tc>
        <w:tc>
          <w:tcPr>
            <w:tcW w:w="50" w:type="pct"/>
            <w:shd w:val="clear" w:color="auto" w:fill="auto"/>
          </w:tcPr>
          <w:p w14:paraId="5EA266FD" w14:textId="77777777" w:rsidR="003C66EB" w:rsidRDefault="003C66EB">
            <w:pPr>
              <w:rPr>
                <w:rFonts w:ascii="宋体"/>
              </w:rPr>
            </w:pPr>
          </w:p>
        </w:tc>
        <w:tc>
          <w:tcPr>
            <w:tcW w:w="428" w:type="pct"/>
            <w:shd w:val="clear" w:color="auto" w:fill="auto"/>
          </w:tcPr>
          <w:p w14:paraId="5EA266FE" w14:textId="77777777" w:rsidR="003C66EB" w:rsidRDefault="003C66EB">
            <w:pPr>
              <w:rPr>
                <w:rFonts w:ascii="宋体"/>
              </w:rPr>
            </w:pPr>
          </w:p>
        </w:tc>
        <w:tc>
          <w:tcPr>
            <w:tcW w:w="5" w:type="pct"/>
            <w:shd w:val="clear" w:color="auto" w:fill="auto"/>
          </w:tcPr>
          <w:p w14:paraId="5EA266FF" w14:textId="77777777" w:rsidR="003C66EB" w:rsidRDefault="003C66EB">
            <w:pPr>
              <w:rPr>
                <w:rFonts w:ascii="宋体"/>
              </w:rPr>
            </w:pPr>
          </w:p>
        </w:tc>
      </w:tr>
      <w:tr w:rsidR="003C66EB" w14:paraId="5EA26715" w14:textId="77777777">
        <w:tc>
          <w:tcPr>
            <w:tcW w:w="0" w:type="auto"/>
            <w:gridSpan w:val="3"/>
            <w:shd w:val="clear" w:color="auto" w:fill="auto"/>
            <w:tcMar>
              <w:top w:w="40" w:type="dxa"/>
              <w:left w:w="20" w:type="dxa"/>
              <w:bottom w:w="40" w:type="dxa"/>
              <w:right w:w="20" w:type="dxa"/>
            </w:tcMar>
            <w:vAlign w:val="bottom"/>
          </w:tcPr>
          <w:p w14:paraId="5EA26701" w14:textId="77777777" w:rsidR="003C66EB" w:rsidRDefault="00D96C4E">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(2)</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tcPr>
          <w:p w14:paraId="5EA26702"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03" w14:textId="77777777" w:rsidR="003C66EB" w:rsidRDefault="00D96C4E">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tcPr>
          <w:p w14:paraId="5EA2670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05" w14:textId="77777777" w:rsidR="003C66EB" w:rsidRDefault="00D96C4E">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tcPr>
          <w:p w14:paraId="5EA2670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07" w14:textId="77777777" w:rsidR="003C66EB" w:rsidRDefault="00D96C4E">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40" w:type="dxa"/>
              <w:left w:w="20" w:type="dxa"/>
              <w:bottom w:w="40" w:type="dxa"/>
              <w:right w:w="20" w:type="dxa"/>
            </w:tcMar>
            <w:vAlign w:val="bottom"/>
          </w:tcPr>
          <w:p w14:paraId="5EA26708" w14:textId="77777777" w:rsidR="003C66EB" w:rsidRDefault="00D96C4E">
            <w:pPr>
              <w:jc w:val="center"/>
              <w:textAlignment w:val="bottom"/>
            </w:pPr>
            <w:r>
              <w:rPr>
                <w:rFonts w:ascii="Arial" w:eastAsia="宋体" w:hAnsi="Arial" w:cs="Arial"/>
                <w:b/>
                <w:bCs/>
                <w:color w:val="000000"/>
                <w:sz w:val="12"/>
                <w:szCs w:val="12"/>
              </w:rPr>
              <w:t xml:space="preserve">Ownership Interest Per Depositary </w:t>
            </w:r>
            <w:r>
              <w:rPr>
                <w:rFonts w:ascii="Arial" w:eastAsia="宋体" w:hAnsi="Arial" w:cs="Arial"/>
                <w:b/>
                <w:bCs/>
                <w:color w:val="000000"/>
                <w:sz w:val="12"/>
                <w:szCs w:val="12"/>
              </w:rPr>
              <w:t>Share</w:t>
            </w:r>
          </w:p>
        </w:tc>
        <w:tc>
          <w:tcPr>
            <w:tcW w:w="0" w:type="auto"/>
            <w:gridSpan w:val="3"/>
            <w:shd w:val="clear" w:color="auto" w:fill="auto"/>
            <w:tcMar>
              <w:top w:w="0" w:type="dxa"/>
              <w:left w:w="20" w:type="dxa"/>
              <w:bottom w:w="0" w:type="dxa"/>
              <w:right w:w="20" w:type="dxa"/>
            </w:tcMar>
          </w:tcPr>
          <w:p w14:paraId="5EA2670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0A" w14:textId="77777777" w:rsidR="003C66EB" w:rsidRDefault="00D96C4E">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tcPr>
          <w:p w14:paraId="5EA2670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0C" w14:textId="77777777" w:rsidR="003C66EB" w:rsidRDefault="00D96C4E">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tcPr>
          <w:p w14:paraId="5EA2670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0E" w14:textId="77777777" w:rsidR="003C66EB" w:rsidRDefault="00D96C4E">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tcPr>
          <w:p w14:paraId="5EA2670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10" w14:textId="77777777" w:rsidR="003C66EB" w:rsidRDefault="00D96C4E">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tcPr>
          <w:p w14:paraId="5EA2671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12" w14:textId="77777777" w:rsidR="003C66EB" w:rsidRDefault="00D96C4E">
            <w:pPr>
              <w:jc w:val="center"/>
              <w:textAlignment w:val="bottom"/>
            </w:pPr>
            <w:r>
              <w:rPr>
                <w:rFonts w:ascii="Arial" w:eastAsia="宋体" w:hAnsi="Arial" w:cs="Arial"/>
                <w:b/>
                <w:bCs/>
                <w:color w:val="000000"/>
                <w:sz w:val="12"/>
                <w:szCs w:val="12"/>
              </w:rPr>
              <w:t>Carrying Value as of March 31, 2021</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tcPr>
          <w:p w14:paraId="5EA2671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714" w14:textId="77777777" w:rsidR="003C66EB" w:rsidRDefault="00D96C4E">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(1)</w:t>
            </w:r>
          </w:p>
        </w:tc>
      </w:tr>
      <w:tr w:rsidR="003C66EB" w14:paraId="5EA2672A" w14:textId="77777777">
        <w:trPr>
          <w:hidden/>
        </w:trPr>
        <w:tc>
          <w:tcPr>
            <w:tcW w:w="0" w:type="auto"/>
            <w:gridSpan w:val="3"/>
            <w:shd w:val="clear" w:color="auto" w:fill="auto"/>
          </w:tcPr>
          <w:p w14:paraId="5EA26716" w14:textId="77777777" w:rsidR="003C66EB" w:rsidRDefault="003C66EB">
            <w:pPr>
              <w:rPr>
                <w:rFonts w:ascii="宋体"/>
                <w:vanish/>
              </w:rPr>
            </w:pPr>
          </w:p>
        </w:tc>
        <w:tc>
          <w:tcPr>
            <w:tcW w:w="0" w:type="auto"/>
            <w:gridSpan w:val="3"/>
            <w:shd w:val="clear" w:color="auto" w:fill="auto"/>
          </w:tcPr>
          <w:p w14:paraId="5EA26717" w14:textId="77777777" w:rsidR="003C66EB" w:rsidRDefault="003C66EB">
            <w:pPr>
              <w:rPr>
                <w:rFonts w:ascii="宋体"/>
                <w:vanish/>
              </w:rPr>
            </w:pPr>
          </w:p>
        </w:tc>
        <w:tc>
          <w:tcPr>
            <w:tcW w:w="0" w:type="auto"/>
            <w:gridSpan w:val="3"/>
            <w:shd w:val="clear" w:color="auto" w:fill="auto"/>
          </w:tcPr>
          <w:p w14:paraId="5EA26718" w14:textId="77777777" w:rsidR="003C66EB" w:rsidRDefault="003C66EB">
            <w:pPr>
              <w:rPr>
                <w:rFonts w:ascii="宋体"/>
                <w:vanish/>
              </w:rPr>
            </w:pPr>
          </w:p>
        </w:tc>
        <w:tc>
          <w:tcPr>
            <w:tcW w:w="0" w:type="auto"/>
            <w:gridSpan w:val="3"/>
            <w:shd w:val="clear" w:color="auto" w:fill="auto"/>
          </w:tcPr>
          <w:p w14:paraId="5EA26719" w14:textId="77777777" w:rsidR="003C66EB" w:rsidRDefault="003C66EB">
            <w:pPr>
              <w:rPr>
                <w:rFonts w:ascii="宋体"/>
                <w:vanish/>
              </w:rPr>
            </w:pPr>
          </w:p>
        </w:tc>
        <w:tc>
          <w:tcPr>
            <w:tcW w:w="0" w:type="auto"/>
            <w:gridSpan w:val="3"/>
            <w:shd w:val="clear" w:color="auto" w:fill="auto"/>
          </w:tcPr>
          <w:p w14:paraId="5EA2671A" w14:textId="77777777" w:rsidR="003C66EB" w:rsidRDefault="003C66EB">
            <w:pPr>
              <w:rPr>
                <w:rFonts w:ascii="宋体"/>
                <w:vanish/>
              </w:rPr>
            </w:pPr>
          </w:p>
        </w:tc>
        <w:tc>
          <w:tcPr>
            <w:tcW w:w="0" w:type="auto"/>
            <w:gridSpan w:val="3"/>
            <w:shd w:val="clear" w:color="auto" w:fill="auto"/>
          </w:tcPr>
          <w:p w14:paraId="5EA2671B" w14:textId="77777777" w:rsidR="003C66EB" w:rsidRDefault="003C66EB">
            <w:pPr>
              <w:rPr>
                <w:rFonts w:ascii="宋体"/>
                <w:vanish/>
              </w:rPr>
            </w:pPr>
          </w:p>
        </w:tc>
        <w:tc>
          <w:tcPr>
            <w:tcW w:w="0" w:type="auto"/>
            <w:gridSpan w:val="3"/>
            <w:shd w:val="clear" w:color="auto" w:fill="auto"/>
          </w:tcPr>
          <w:p w14:paraId="5EA2671C" w14:textId="77777777" w:rsidR="003C66EB" w:rsidRDefault="003C66EB">
            <w:pPr>
              <w:rPr>
                <w:rFonts w:ascii="宋体"/>
                <w:vanish/>
              </w:rPr>
            </w:pPr>
          </w:p>
        </w:tc>
        <w:tc>
          <w:tcPr>
            <w:tcW w:w="0" w:type="auto"/>
            <w:gridSpan w:val="3"/>
            <w:shd w:val="clear" w:color="auto" w:fill="auto"/>
          </w:tcPr>
          <w:p w14:paraId="5EA2671D" w14:textId="77777777" w:rsidR="003C66EB" w:rsidRDefault="003C66EB">
            <w:pPr>
              <w:rPr>
                <w:rFonts w:ascii="宋体"/>
                <w:vanish/>
              </w:rPr>
            </w:pPr>
          </w:p>
        </w:tc>
        <w:tc>
          <w:tcPr>
            <w:tcW w:w="0" w:type="auto"/>
            <w:gridSpan w:val="3"/>
            <w:shd w:val="clear" w:color="auto" w:fill="auto"/>
          </w:tcPr>
          <w:p w14:paraId="5EA2671E" w14:textId="77777777" w:rsidR="003C66EB" w:rsidRDefault="003C66EB">
            <w:pPr>
              <w:rPr>
                <w:rFonts w:ascii="宋体"/>
                <w:vanish/>
              </w:rPr>
            </w:pPr>
          </w:p>
        </w:tc>
        <w:tc>
          <w:tcPr>
            <w:tcW w:w="0" w:type="auto"/>
            <w:gridSpan w:val="3"/>
            <w:shd w:val="clear" w:color="auto" w:fill="auto"/>
          </w:tcPr>
          <w:p w14:paraId="5EA2671F" w14:textId="77777777" w:rsidR="003C66EB" w:rsidRDefault="003C66EB">
            <w:pPr>
              <w:rPr>
                <w:rFonts w:ascii="宋体"/>
                <w:vanish/>
              </w:rPr>
            </w:pPr>
          </w:p>
        </w:tc>
        <w:tc>
          <w:tcPr>
            <w:tcW w:w="0" w:type="auto"/>
            <w:gridSpan w:val="3"/>
            <w:shd w:val="clear" w:color="auto" w:fill="auto"/>
          </w:tcPr>
          <w:p w14:paraId="5EA26720" w14:textId="77777777" w:rsidR="003C66EB" w:rsidRDefault="003C66EB">
            <w:pPr>
              <w:rPr>
                <w:rFonts w:ascii="宋体"/>
                <w:vanish/>
              </w:rPr>
            </w:pPr>
          </w:p>
        </w:tc>
        <w:tc>
          <w:tcPr>
            <w:tcW w:w="0" w:type="auto"/>
            <w:gridSpan w:val="3"/>
            <w:shd w:val="clear" w:color="auto" w:fill="auto"/>
          </w:tcPr>
          <w:p w14:paraId="5EA26721" w14:textId="77777777" w:rsidR="003C66EB" w:rsidRDefault="003C66EB">
            <w:pPr>
              <w:rPr>
                <w:rFonts w:ascii="宋体"/>
                <w:vanish/>
              </w:rPr>
            </w:pPr>
          </w:p>
        </w:tc>
        <w:tc>
          <w:tcPr>
            <w:tcW w:w="0" w:type="auto"/>
            <w:gridSpan w:val="3"/>
            <w:shd w:val="clear" w:color="auto" w:fill="auto"/>
          </w:tcPr>
          <w:p w14:paraId="5EA26722" w14:textId="77777777" w:rsidR="003C66EB" w:rsidRDefault="003C66EB">
            <w:pPr>
              <w:rPr>
                <w:rFonts w:ascii="宋体"/>
                <w:vanish/>
              </w:rPr>
            </w:pPr>
          </w:p>
        </w:tc>
        <w:tc>
          <w:tcPr>
            <w:tcW w:w="0" w:type="auto"/>
            <w:gridSpan w:val="3"/>
            <w:shd w:val="clear" w:color="auto" w:fill="auto"/>
          </w:tcPr>
          <w:p w14:paraId="5EA26723" w14:textId="77777777" w:rsidR="003C66EB" w:rsidRDefault="003C66EB">
            <w:pPr>
              <w:rPr>
                <w:rFonts w:ascii="宋体"/>
                <w:vanish/>
              </w:rPr>
            </w:pPr>
          </w:p>
        </w:tc>
        <w:tc>
          <w:tcPr>
            <w:tcW w:w="0" w:type="auto"/>
            <w:gridSpan w:val="3"/>
            <w:shd w:val="clear" w:color="auto" w:fill="auto"/>
          </w:tcPr>
          <w:p w14:paraId="5EA26724" w14:textId="77777777" w:rsidR="003C66EB" w:rsidRDefault="003C66EB">
            <w:pPr>
              <w:rPr>
                <w:rFonts w:ascii="宋体"/>
                <w:vanish/>
              </w:rPr>
            </w:pPr>
          </w:p>
        </w:tc>
        <w:tc>
          <w:tcPr>
            <w:tcW w:w="0" w:type="auto"/>
            <w:gridSpan w:val="3"/>
            <w:shd w:val="clear" w:color="auto" w:fill="auto"/>
          </w:tcPr>
          <w:p w14:paraId="5EA26725" w14:textId="77777777" w:rsidR="003C66EB" w:rsidRDefault="003C66EB">
            <w:pPr>
              <w:rPr>
                <w:rFonts w:ascii="宋体"/>
                <w:vanish/>
              </w:rPr>
            </w:pPr>
          </w:p>
        </w:tc>
        <w:tc>
          <w:tcPr>
            <w:tcW w:w="0" w:type="auto"/>
            <w:gridSpan w:val="3"/>
            <w:shd w:val="clear" w:color="auto" w:fill="auto"/>
          </w:tcPr>
          <w:p w14:paraId="5EA26726" w14:textId="77777777" w:rsidR="003C66EB" w:rsidRDefault="003C66EB">
            <w:pPr>
              <w:rPr>
                <w:rFonts w:ascii="宋体"/>
                <w:vanish/>
              </w:rPr>
            </w:pPr>
          </w:p>
        </w:tc>
        <w:tc>
          <w:tcPr>
            <w:tcW w:w="0" w:type="auto"/>
            <w:gridSpan w:val="3"/>
            <w:shd w:val="clear" w:color="auto" w:fill="auto"/>
          </w:tcPr>
          <w:p w14:paraId="5EA26727" w14:textId="77777777" w:rsidR="003C66EB" w:rsidRDefault="003C66EB">
            <w:pPr>
              <w:rPr>
                <w:rFonts w:ascii="宋体"/>
                <w:vanish/>
              </w:rPr>
            </w:pPr>
          </w:p>
        </w:tc>
        <w:tc>
          <w:tcPr>
            <w:tcW w:w="0" w:type="auto"/>
            <w:gridSpan w:val="3"/>
            <w:shd w:val="clear" w:color="auto" w:fill="auto"/>
          </w:tcPr>
          <w:p w14:paraId="5EA26728" w14:textId="77777777" w:rsidR="003C66EB" w:rsidRDefault="003C66EB">
            <w:pPr>
              <w:rPr>
                <w:rFonts w:ascii="宋体"/>
                <w:vanish/>
              </w:rPr>
            </w:pPr>
          </w:p>
        </w:tc>
        <w:tc>
          <w:tcPr>
            <w:tcW w:w="0" w:type="auto"/>
            <w:gridSpan w:val="3"/>
            <w:shd w:val="clear" w:color="auto" w:fill="auto"/>
          </w:tcPr>
          <w:p w14:paraId="5EA26729" w14:textId="77777777" w:rsidR="003C66EB" w:rsidRDefault="003C66EB">
            <w:pPr>
              <w:rPr>
                <w:rFonts w:ascii="宋体"/>
                <w:vanish/>
              </w:rPr>
            </w:pPr>
          </w:p>
        </w:tc>
      </w:tr>
      <w:tr w:rsidR="003C66EB" w14:paraId="5EA2674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672B" w14:textId="77777777" w:rsidR="003C66EB" w:rsidRDefault="00D96C4E">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tcPr>
          <w:p w14:paraId="5EA2672C"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672D" w14:textId="77777777" w:rsidR="003C66EB" w:rsidRDefault="00D96C4E">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tcPr>
          <w:p w14:paraId="5EA2672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672F" w14:textId="77777777" w:rsidR="003C66EB" w:rsidRDefault="00D96C4E">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673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3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6732" w14:textId="77777777" w:rsidR="003C66EB" w:rsidRDefault="00D96C4E">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6733" w14:textId="77777777" w:rsidR="003C66EB" w:rsidRDefault="003C66EB">
            <w:pPr>
              <w:jc w:val="right"/>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6734" w14:textId="77777777" w:rsidR="003C66EB" w:rsidRDefault="00D96C4E">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5EA2673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6736" w14:textId="77777777" w:rsidR="003C66EB" w:rsidRDefault="00D96C4E">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67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3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A26739" w14:textId="77777777" w:rsidR="003C66EB" w:rsidRDefault="00D96C4E">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67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3B"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673C" w14:textId="77777777" w:rsidR="003C66EB" w:rsidRDefault="00D96C4E">
            <w:pPr>
              <w:textAlignment w:val="center"/>
            </w:pPr>
            <w:r>
              <w:rPr>
                <w:rFonts w:ascii="Arial" w:eastAsia="宋体" w:hAnsi="Arial" w:cs="Arial"/>
                <w:color w:val="000000"/>
                <w:sz w:val="12"/>
                <w:szCs w:val="12"/>
              </w:rPr>
              <w:t xml:space="preserve">5.90% to but </w:t>
            </w:r>
            <w:r>
              <w:rPr>
                <w:rFonts w:ascii="Arial" w:eastAsia="宋体" w:hAnsi="Arial" w:cs="Arial"/>
                <w:color w:val="000000"/>
                <w:sz w:val="12"/>
                <w:szCs w:val="12"/>
              </w:rPr>
              <w:t>excluding March 15, 2024, then a floating rate equal to the three-month LIBOR plus 3.108%</w:t>
            </w:r>
          </w:p>
        </w:tc>
        <w:tc>
          <w:tcPr>
            <w:tcW w:w="0" w:type="auto"/>
            <w:gridSpan w:val="3"/>
            <w:shd w:val="clear" w:color="auto" w:fill="CCEEFF"/>
            <w:tcMar>
              <w:top w:w="0" w:type="dxa"/>
              <w:left w:w="20" w:type="dxa"/>
              <w:bottom w:w="0" w:type="dxa"/>
              <w:right w:w="20" w:type="dxa"/>
            </w:tcMar>
          </w:tcPr>
          <w:p w14:paraId="5EA2673D"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673E" w14:textId="77777777" w:rsidR="003C66EB" w:rsidRDefault="00D96C4E">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tcPr>
          <w:p w14:paraId="5EA2673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A26740" w14:textId="77777777" w:rsidR="003C66EB" w:rsidRDefault="00D96C4E">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EA26741" w14:textId="77777777" w:rsidR="003C66EB" w:rsidRDefault="00D96C4E">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A2674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43" w14:textId="77777777" w:rsidR="003C66EB" w:rsidRDefault="003C66E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A26744" w14:textId="77777777" w:rsidR="003C66EB" w:rsidRDefault="00D96C4E">
            <w:pPr>
              <w:textAlignment w:val="center"/>
            </w:pPr>
            <w:r>
              <w:rPr>
                <w:rFonts w:ascii="Arial" w:eastAsia="宋体" w:hAnsi="Arial" w:cs="Arial"/>
                <w:color w:val="000000"/>
                <w:sz w:val="12"/>
                <w:szCs w:val="12"/>
              </w:rPr>
              <w:t>March 15, 2024</w:t>
            </w:r>
          </w:p>
        </w:tc>
      </w:tr>
      <w:tr w:rsidR="003C66EB" w14:paraId="5EA2675F" w14:textId="77777777">
        <w:tc>
          <w:tcPr>
            <w:tcW w:w="0" w:type="auto"/>
            <w:gridSpan w:val="3"/>
            <w:shd w:val="clear" w:color="auto" w:fill="FFFFFF"/>
            <w:tcMar>
              <w:top w:w="40" w:type="dxa"/>
              <w:left w:w="20" w:type="dxa"/>
              <w:bottom w:w="40" w:type="dxa"/>
              <w:right w:w="20" w:type="dxa"/>
            </w:tcMar>
            <w:vAlign w:val="center"/>
          </w:tcPr>
          <w:p w14:paraId="5EA26746" w14:textId="77777777" w:rsidR="003C66EB" w:rsidRDefault="00D96C4E">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tcPr>
          <w:p w14:paraId="5EA26747"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48" w14:textId="77777777" w:rsidR="003C66EB" w:rsidRDefault="00D96C4E">
            <w:pPr>
              <w:textAlignment w:val="center"/>
            </w:pPr>
            <w:r>
              <w:rPr>
                <w:rFonts w:ascii="Arial" w:eastAsia="宋体" w:hAnsi="Arial" w:cs="Arial"/>
                <w:color w:val="000000"/>
                <w:sz w:val="12"/>
                <w:szCs w:val="12"/>
              </w:rPr>
              <w:t xml:space="preserve">May </w:t>
            </w:r>
            <w:r>
              <w:rPr>
                <w:rFonts w:ascii="Arial" w:eastAsia="宋体" w:hAnsi="Arial" w:cs="Arial"/>
                <w:color w:val="000000"/>
                <w:sz w:val="12"/>
                <w:szCs w:val="12"/>
              </w:rPr>
              <w:t>2015</w:t>
            </w:r>
          </w:p>
        </w:tc>
        <w:tc>
          <w:tcPr>
            <w:tcW w:w="0" w:type="auto"/>
            <w:gridSpan w:val="3"/>
            <w:shd w:val="clear" w:color="auto" w:fill="FFFFFF"/>
            <w:tcMar>
              <w:top w:w="0" w:type="dxa"/>
              <w:left w:w="20" w:type="dxa"/>
              <w:bottom w:w="0" w:type="dxa"/>
              <w:right w:w="20" w:type="dxa"/>
            </w:tcMar>
          </w:tcPr>
          <w:p w14:paraId="5EA267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4A" w14:textId="77777777" w:rsidR="003C66EB" w:rsidRDefault="00D96C4E">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5EA2674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4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4D" w14:textId="77777777" w:rsidR="003C66EB" w:rsidRDefault="00D96C4E">
            <w:pPr>
              <w:jc w:val="right"/>
              <w:textAlignment w:val="center"/>
            </w:pPr>
            <w:r>
              <w:rPr>
                <w:rFonts w:ascii="Arial" w:eastAsia="宋体" w:hAnsi="Arial" w:cs="Arial"/>
                <w:color w:val="000000"/>
                <w:sz w:val="12"/>
                <w:szCs w:val="12"/>
              </w:rPr>
              <w:t>250 </w:t>
            </w:r>
          </w:p>
        </w:tc>
        <w:tc>
          <w:tcPr>
            <w:tcW w:w="0" w:type="auto"/>
            <w:shd w:val="clear" w:color="auto" w:fill="FFFFFF"/>
            <w:tcMar>
              <w:top w:w="40" w:type="dxa"/>
              <w:left w:w="0" w:type="dxa"/>
              <w:bottom w:w="40" w:type="dxa"/>
              <w:right w:w="20" w:type="dxa"/>
            </w:tcMar>
            <w:vAlign w:val="center"/>
          </w:tcPr>
          <w:p w14:paraId="5EA2674E" w14:textId="77777777" w:rsidR="003C66EB" w:rsidRDefault="003C66EB">
            <w:pPr>
              <w:jc w:val="right"/>
              <w:rPr>
                <w:rFonts w:ascii="宋体"/>
              </w:rPr>
            </w:pPr>
          </w:p>
        </w:tc>
        <w:tc>
          <w:tcPr>
            <w:tcW w:w="0" w:type="auto"/>
            <w:gridSpan w:val="3"/>
            <w:shd w:val="clear" w:color="auto" w:fill="FFFFFF"/>
            <w:tcMar>
              <w:top w:w="40" w:type="dxa"/>
              <w:left w:w="20" w:type="dxa"/>
              <w:bottom w:w="40" w:type="dxa"/>
              <w:right w:w="20" w:type="dxa"/>
            </w:tcMar>
            <w:vAlign w:val="center"/>
          </w:tcPr>
          <w:p w14:paraId="5EA2674F" w14:textId="77777777" w:rsidR="003C66EB" w:rsidRDefault="00D96C4E">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5EA2675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51" w14:textId="77777777" w:rsidR="003C66EB" w:rsidRDefault="00D96C4E">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A2675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5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54" w14:textId="77777777" w:rsidR="003C66EB" w:rsidRDefault="00D96C4E">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A267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56"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57" w14:textId="77777777" w:rsidR="003C66EB" w:rsidRDefault="00D96C4E">
            <w:pPr>
              <w:textAlignment w:val="center"/>
            </w:pPr>
            <w:r>
              <w:rPr>
                <w:rFonts w:ascii="Arial" w:eastAsia="宋体" w:hAnsi="Arial" w:cs="Arial"/>
                <w:color w:val="000000"/>
                <w:sz w:val="12"/>
                <w:szCs w:val="12"/>
              </w:rPr>
              <w:t>5.25% to but excluding September 15, 2020, then a floating rate equal to the three-month LIBOR plus 3.597%, or 3.78088% effective March 15, 2021</w:t>
            </w:r>
          </w:p>
        </w:tc>
        <w:tc>
          <w:tcPr>
            <w:tcW w:w="0" w:type="auto"/>
            <w:gridSpan w:val="3"/>
            <w:shd w:val="clear" w:color="auto" w:fill="FFFFFF"/>
            <w:tcMar>
              <w:top w:w="0" w:type="dxa"/>
              <w:left w:w="20" w:type="dxa"/>
              <w:bottom w:w="0" w:type="dxa"/>
              <w:right w:w="20" w:type="dxa"/>
            </w:tcMar>
          </w:tcPr>
          <w:p w14:paraId="5EA26758"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59" w14:textId="77777777" w:rsidR="003C66EB" w:rsidRDefault="00D96C4E">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tcPr>
          <w:p w14:paraId="5EA2675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5B" w14:textId="77777777" w:rsidR="003C66EB" w:rsidRDefault="00D96C4E">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5EA2675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5D"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5E" w14:textId="77777777" w:rsidR="003C66EB" w:rsidRDefault="00D96C4E">
            <w:pPr>
              <w:textAlignment w:val="center"/>
            </w:pPr>
            <w:r>
              <w:rPr>
                <w:rFonts w:ascii="Arial" w:eastAsia="宋体" w:hAnsi="Arial" w:cs="Arial"/>
                <w:color w:val="000000"/>
                <w:sz w:val="12"/>
                <w:szCs w:val="12"/>
              </w:rPr>
              <w:t>September 15, 2020</w:t>
            </w:r>
          </w:p>
        </w:tc>
      </w:tr>
      <w:tr w:rsidR="003C66EB" w14:paraId="5EA26779" w14:textId="77777777">
        <w:tc>
          <w:tcPr>
            <w:tcW w:w="0" w:type="auto"/>
            <w:gridSpan w:val="3"/>
            <w:shd w:val="clear" w:color="auto" w:fill="CCEEFF"/>
            <w:tcMar>
              <w:top w:w="40" w:type="dxa"/>
              <w:left w:w="20" w:type="dxa"/>
              <w:bottom w:w="40" w:type="dxa"/>
              <w:right w:w="20" w:type="dxa"/>
            </w:tcMar>
            <w:vAlign w:val="center"/>
          </w:tcPr>
          <w:p w14:paraId="5EA26760" w14:textId="77777777" w:rsidR="003C66EB" w:rsidRDefault="00D96C4E">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tcPr>
          <w:p w14:paraId="5EA26761"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6762" w14:textId="77777777" w:rsidR="003C66EB" w:rsidRDefault="00D96C4E">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tcPr>
          <w:p w14:paraId="5EA267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6764" w14:textId="77777777" w:rsidR="003C66EB" w:rsidRDefault="00D96C4E">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5EA267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6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6767" w14:textId="77777777" w:rsidR="003C66EB" w:rsidRDefault="00D96C4E">
            <w:pPr>
              <w:jc w:val="right"/>
              <w:textAlignment w:val="center"/>
            </w:pPr>
            <w:r>
              <w:rPr>
                <w:rFonts w:ascii="Arial" w:eastAsia="宋体" w:hAnsi="Arial" w:cs="Arial"/>
                <w:color w:val="000000"/>
                <w:sz w:val="12"/>
                <w:szCs w:val="12"/>
              </w:rPr>
              <w:t>500 </w:t>
            </w:r>
          </w:p>
        </w:tc>
        <w:tc>
          <w:tcPr>
            <w:tcW w:w="0" w:type="auto"/>
            <w:shd w:val="clear" w:color="auto" w:fill="CCEEFF"/>
            <w:tcMar>
              <w:top w:w="40" w:type="dxa"/>
              <w:left w:w="0" w:type="dxa"/>
              <w:bottom w:w="40" w:type="dxa"/>
              <w:right w:w="20" w:type="dxa"/>
            </w:tcMar>
            <w:vAlign w:val="center"/>
          </w:tcPr>
          <w:p w14:paraId="5EA26768" w14:textId="77777777" w:rsidR="003C66EB" w:rsidRDefault="003C66EB">
            <w:pPr>
              <w:jc w:val="right"/>
              <w:rPr>
                <w:rFonts w:ascii="宋体"/>
              </w:rPr>
            </w:pPr>
          </w:p>
        </w:tc>
        <w:tc>
          <w:tcPr>
            <w:tcW w:w="0" w:type="auto"/>
            <w:gridSpan w:val="3"/>
            <w:shd w:val="clear" w:color="auto" w:fill="CCEEFF"/>
            <w:tcMar>
              <w:top w:w="40" w:type="dxa"/>
              <w:left w:w="20" w:type="dxa"/>
              <w:bottom w:w="40" w:type="dxa"/>
              <w:right w:w="20" w:type="dxa"/>
            </w:tcMar>
            <w:vAlign w:val="center"/>
          </w:tcPr>
          <w:p w14:paraId="5EA26769" w14:textId="77777777" w:rsidR="003C66EB" w:rsidRDefault="00D96C4E">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5EA2676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676B" w14:textId="77777777" w:rsidR="003C66EB" w:rsidRDefault="00D96C4E">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5EA267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6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676E" w14:textId="77777777" w:rsidR="003C66EB" w:rsidRDefault="00D96C4E">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5EA2676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70"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6771" w14:textId="77777777" w:rsidR="003C66EB" w:rsidRDefault="00D96C4E">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tcPr>
          <w:p w14:paraId="5EA26772"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6773" w14:textId="77777777" w:rsidR="003C66EB" w:rsidRDefault="00D96C4E">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tcPr>
          <w:p w14:paraId="5EA2677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center"/>
          </w:tcPr>
          <w:p w14:paraId="5EA26775" w14:textId="77777777" w:rsidR="003C66EB" w:rsidRDefault="00D96C4E">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5EA267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777"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center"/>
          </w:tcPr>
          <w:p w14:paraId="5EA26778" w14:textId="77777777" w:rsidR="003C66EB" w:rsidRDefault="00D96C4E">
            <w:pPr>
              <w:textAlignment w:val="center"/>
            </w:pPr>
            <w:r>
              <w:rPr>
                <w:rFonts w:ascii="Arial" w:eastAsia="宋体" w:hAnsi="Arial" w:cs="Arial"/>
                <w:color w:val="000000"/>
                <w:sz w:val="12"/>
                <w:szCs w:val="12"/>
              </w:rPr>
              <w:t>March 15, 2026</w:t>
            </w:r>
          </w:p>
        </w:tc>
      </w:tr>
      <w:tr w:rsidR="003C66EB" w14:paraId="5EA26793" w14:textId="77777777">
        <w:tc>
          <w:tcPr>
            <w:tcW w:w="0" w:type="auto"/>
            <w:gridSpan w:val="3"/>
            <w:shd w:val="clear" w:color="auto" w:fill="FFFFFF"/>
            <w:tcMar>
              <w:top w:w="40" w:type="dxa"/>
              <w:left w:w="20" w:type="dxa"/>
              <w:bottom w:w="40" w:type="dxa"/>
              <w:right w:w="20" w:type="dxa"/>
            </w:tcMar>
            <w:vAlign w:val="center"/>
          </w:tcPr>
          <w:p w14:paraId="5EA2677A" w14:textId="77777777" w:rsidR="003C66EB" w:rsidRDefault="00D96C4E">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tcPr>
          <w:p w14:paraId="5EA2677B"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7C" w14:textId="77777777" w:rsidR="003C66EB" w:rsidRDefault="00D96C4E">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tcPr>
          <w:p w14:paraId="5EA2677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7E" w14:textId="77777777" w:rsidR="003C66EB" w:rsidRDefault="00D96C4E">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5EA267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8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81" w14:textId="77777777" w:rsidR="003C66EB" w:rsidRDefault="00D96C4E">
            <w:pPr>
              <w:jc w:val="right"/>
              <w:textAlignment w:val="center"/>
            </w:pPr>
            <w:r>
              <w:rPr>
                <w:rFonts w:ascii="Arial" w:eastAsia="宋体" w:hAnsi="Arial" w:cs="Arial"/>
                <w:color w:val="000000"/>
                <w:sz w:val="12"/>
                <w:szCs w:val="12"/>
              </w:rPr>
              <w:t>500 </w:t>
            </w:r>
          </w:p>
        </w:tc>
        <w:tc>
          <w:tcPr>
            <w:tcW w:w="0" w:type="auto"/>
            <w:shd w:val="clear" w:color="auto" w:fill="FFFFFF"/>
            <w:tcMar>
              <w:top w:w="40" w:type="dxa"/>
              <w:left w:w="0" w:type="dxa"/>
              <w:bottom w:w="40" w:type="dxa"/>
              <w:right w:w="20" w:type="dxa"/>
            </w:tcMar>
            <w:vAlign w:val="center"/>
          </w:tcPr>
          <w:p w14:paraId="5EA26782" w14:textId="77777777" w:rsidR="003C66EB" w:rsidRDefault="003C66EB">
            <w:pPr>
              <w:jc w:val="right"/>
              <w:rPr>
                <w:rFonts w:ascii="宋体"/>
              </w:rPr>
            </w:pPr>
          </w:p>
        </w:tc>
        <w:tc>
          <w:tcPr>
            <w:tcW w:w="0" w:type="auto"/>
            <w:gridSpan w:val="3"/>
            <w:shd w:val="clear" w:color="auto" w:fill="FFFFFF"/>
            <w:tcMar>
              <w:top w:w="40" w:type="dxa"/>
              <w:left w:w="20" w:type="dxa"/>
              <w:bottom w:w="40" w:type="dxa"/>
              <w:right w:w="20" w:type="dxa"/>
            </w:tcMar>
            <w:vAlign w:val="center"/>
          </w:tcPr>
          <w:p w14:paraId="5EA26783" w14:textId="77777777" w:rsidR="003C66EB" w:rsidRDefault="00D96C4E">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5EA2678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85" w14:textId="77777777" w:rsidR="003C66EB" w:rsidRDefault="00D96C4E">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A267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88" w14:textId="77777777" w:rsidR="003C66EB" w:rsidRDefault="00D96C4E">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A267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8A"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8B" w14:textId="77777777" w:rsidR="003C66EB" w:rsidRDefault="00D96C4E">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FFFFFF"/>
            <w:tcMar>
              <w:top w:w="0" w:type="dxa"/>
              <w:left w:w="20" w:type="dxa"/>
              <w:bottom w:w="0" w:type="dxa"/>
              <w:right w:w="20" w:type="dxa"/>
            </w:tcMar>
          </w:tcPr>
          <w:p w14:paraId="5EA2678C"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8D" w14:textId="77777777" w:rsidR="003C66EB" w:rsidRDefault="00D96C4E">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tcPr>
          <w:p w14:paraId="5EA2678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center"/>
          </w:tcPr>
          <w:p w14:paraId="5EA2678F" w14:textId="77777777" w:rsidR="003C66EB" w:rsidRDefault="00D96C4E">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5EA2679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791" w14:textId="77777777" w:rsidR="003C66EB" w:rsidRDefault="003C66EB">
            <w:pPr>
              <w:rPr>
                <w:rFonts w:ascii="宋体"/>
              </w:rPr>
            </w:pPr>
          </w:p>
        </w:tc>
        <w:tc>
          <w:tcPr>
            <w:tcW w:w="0" w:type="auto"/>
            <w:gridSpan w:val="3"/>
            <w:shd w:val="clear" w:color="auto" w:fill="FFFFFF"/>
            <w:tcMar>
              <w:top w:w="40" w:type="dxa"/>
              <w:left w:w="20" w:type="dxa"/>
              <w:bottom w:w="40" w:type="dxa"/>
              <w:right w:w="20" w:type="dxa"/>
            </w:tcMar>
            <w:vAlign w:val="center"/>
          </w:tcPr>
          <w:p w14:paraId="5EA26792" w14:textId="77777777" w:rsidR="003C66EB" w:rsidRDefault="00D96C4E">
            <w:pPr>
              <w:textAlignment w:val="center"/>
            </w:pPr>
            <w:r>
              <w:rPr>
                <w:rFonts w:ascii="Arial" w:eastAsia="宋体" w:hAnsi="Arial" w:cs="Arial"/>
                <w:color w:val="000000"/>
                <w:sz w:val="12"/>
                <w:szCs w:val="12"/>
              </w:rPr>
              <w:t>December 15, 2023</w:t>
            </w:r>
          </w:p>
        </w:tc>
      </w:tr>
    </w:tbl>
    <w:p w14:paraId="5EA26794" w14:textId="77777777" w:rsidR="003C66EB" w:rsidRDefault="003C66EB">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3C66EB" w14:paraId="5EA267A1" w14:textId="77777777">
        <w:trPr>
          <w:jc w:val="center"/>
        </w:trPr>
        <w:tc>
          <w:tcPr>
            <w:tcW w:w="50" w:type="pct"/>
            <w:shd w:val="clear" w:color="auto" w:fill="auto"/>
          </w:tcPr>
          <w:p w14:paraId="5EA26795" w14:textId="77777777" w:rsidR="003C66EB" w:rsidRDefault="003C66EB">
            <w:pPr>
              <w:rPr>
                <w:rFonts w:ascii="宋体"/>
              </w:rPr>
            </w:pPr>
          </w:p>
        </w:tc>
        <w:tc>
          <w:tcPr>
            <w:tcW w:w="1349" w:type="pct"/>
            <w:shd w:val="clear" w:color="auto" w:fill="auto"/>
          </w:tcPr>
          <w:p w14:paraId="5EA26796" w14:textId="77777777" w:rsidR="003C66EB" w:rsidRDefault="003C66EB">
            <w:pPr>
              <w:rPr>
                <w:rFonts w:ascii="宋体"/>
              </w:rPr>
            </w:pPr>
          </w:p>
        </w:tc>
        <w:tc>
          <w:tcPr>
            <w:tcW w:w="5" w:type="pct"/>
            <w:shd w:val="clear" w:color="auto" w:fill="auto"/>
          </w:tcPr>
          <w:p w14:paraId="5EA26797" w14:textId="77777777" w:rsidR="003C66EB" w:rsidRDefault="003C66EB">
            <w:pPr>
              <w:rPr>
                <w:rFonts w:ascii="宋体"/>
              </w:rPr>
            </w:pPr>
          </w:p>
        </w:tc>
        <w:tc>
          <w:tcPr>
            <w:tcW w:w="50" w:type="pct"/>
            <w:shd w:val="clear" w:color="auto" w:fill="auto"/>
          </w:tcPr>
          <w:p w14:paraId="5EA26798" w14:textId="77777777" w:rsidR="003C66EB" w:rsidRDefault="003C66EB">
            <w:pPr>
              <w:rPr>
                <w:rFonts w:ascii="宋体"/>
              </w:rPr>
            </w:pPr>
          </w:p>
        </w:tc>
        <w:tc>
          <w:tcPr>
            <w:tcW w:w="915" w:type="pct"/>
            <w:shd w:val="clear" w:color="auto" w:fill="auto"/>
          </w:tcPr>
          <w:p w14:paraId="5EA26799" w14:textId="77777777" w:rsidR="003C66EB" w:rsidRDefault="003C66EB">
            <w:pPr>
              <w:rPr>
                <w:rFonts w:ascii="宋体"/>
              </w:rPr>
            </w:pPr>
          </w:p>
        </w:tc>
        <w:tc>
          <w:tcPr>
            <w:tcW w:w="5" w:type="pct"/>
            <w:shd w:val="clear" w:color="auto" w:fill="auto"/>
          </w:tcPr>
          <w:p w14:paraId="5EA2679A" w14:textId="77777777" w:rsidR="003C66EB" w:rsidRDefault="003C66EB">
            <w:pPr>
              <w:rPr>
                <w:rFonts w:ascii="宋体"/>
              </w:rPr>
            </w:pPr>
          </w:p>
        </w:tc>
        <w:tc>
          <w:tcPr>
            <w:tcW w:w="50" w:type="pct"/>
            <w:shd w:val="clear" w:color="auto" w:fill="auto"/>
          </w:tcPr>
          <w:p w14:paraId="5EA2679B" w14:textId="77777777" w:rsidR="003C66EB" w:rsidRDefault="003C66EB">
            <w:pPr>
              <w:rPr>
                <w:rFonts w:ascii="宋体"/>
              </w:rPr>
            </w:pPr>
          </w:p>
        </w:tc>
        <w:tc>
          <w:tcPr>
            <w:tcW w:w="915" w:type="pct"/>
            <w:shd w:val="clear" w:color="auto" w:fill="auto"/>
          </w:tcPr>
          <w:p w14:paraId="5EA2679C" w14:textId="77777777" w:rsidR="003C66EB" w:rsidRDefault="003C66EB">
            <w:pPr>
              <w:rPr>
                <w:rFonts w:ascii="宋体"/>
              </w:rPr>
            </w:pPr>
          </w:p>
        </w:tc>
        <w:tc>
          <w:tcPr>
            <w:tcW w:w="5" w:type="pct"/>
            <w:shd w:val="clear" w:color="auto" w:fill="auto"/>
          </w:tcPr>
          <w:p w14:paraId="5EA2679D" w14:textId="77777777" w:rsidR="003C66EB" w:rsidRDefault="003C66EB">
            <w:pPr>
              <w:rPr>
                <w:rFonts w:ascii="宋体"/>
              </w:rPr>
            </w:pPr>
          </w:p>
        </w:tc>
        <w:tc>
          <w:tcPr>
            <w:tcW w:w="50" w:type="pct"/>
            <w:shd w:val="clear" w:color="auto" w:fill="auto"/>
          </w:tcPr>
          <w:p w14:paraId="5EA2679E" w14:textId="77777777" w:rsidR="003C66EB" w:rsidRDefault="003C66EB">
            <w:pPr>
              <w:rPr>
                <w:rFonts w:ascii="宋体"/>
              </w:rPr>
            </w:pPr>
          </w:p>
        </w:tc>
        <w:tc>
          <w:tcPr>
            <w:tcW w:w="1599" w:type="pct"/>
            <w:shd w:val="clear" w:color="auto" w:fill="auto"/>
          </w:tcPr>
          <w:p w14:paraId="5EA2679F" w14:textId="77777777" w:rsidR="003C66EB" w:rsidRDefault="003C66EB">
            <w:pPr>
              <w:rPr>
                <w:rFonts w:ascii="宋体"/>
              </w:rPr>
            </w:pPr>
          </w:p>
        </w:tc>
        <w:tc>
          <w:tcPr>
            <w:tcW w:w="5" w:type="pct"/>
            <w:shd w:val="clear" w:color="auto" w:fill="auto"/>
          </w:tcPr>
          <w:p w14:paraId="5EA267A0" w14:textId="77777777" w:rsidR="003C66EB" w:rsidRDefault="003C66EB">
            <w:pPr>
              <w:rPr>
                <w:rFonts w:ascii="宋体"/>
              </w:rPr>
            </w:pPr>
          </w:p>
        </w:tc>
      </w:tr>
      <w:tr w:rsidR="003C66EB" w14:paraId="5EA267A6"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5EA267A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7A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7A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7A5" w14:textId="77777777" w:rsidR="003C66EB" w:rsidRDefault="003C66EB">
            <w:pPr>
              <w:rPr>
                <w:rFonts w:ascii="宋体"/>
              </w:rPr>
            </w:pPr>
          </w:p>
        </w:tc>
      </w:tr>
    </w:tbl>
    <w:p w14:paraId="5EA267A7" w14:textId="77777777" w:rsidR="003C66EB" w:rsidRDefault="00D96C4E">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On the redemption date, or any dividend payment date thereafter, the preferred stock and corresponding depositary shares may be redeemed by us, in whole or in part, at the liquidation price per share and </w:t>
      </w:r>
      <w:r>
        <w:rPr>
          <w:rFonts w:ascii="Arial" w:eastAsia="宋体" w:hAnsi="Arial" w:cs="Arial"/>
          <w:color w:val="000000"/>
          <w:sz w:val="12"/>
          <w:szCs w:val="12"/>
        </w:rPr>
        <w:t>liquidation price per depositary share plus any declared and unpaid dividends, without accumulation of any undeclared dividends.</w:t>
      </w:r>
    </w:p>
    <w:p w14:paraId="5EA267A8" w14:textId="77777777" w:rsidR="003C66EB" w:rsidRDefault="00D96C4E">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The preferred stock and corresponding depositary shares may be redeemed at our option in whole, but not in part, prior to t</w:t>
      </w:r>
      <w:r>
        <w:rPr>
          <w:rFonts w:ascii="Arial" w:eastAsia="宋体" w:hAnsi="Arial" w:cs="Arial"/>
          <w:color w:val="000000"/>
          <w:sz w:val="12"/>
          <w:szCs w:val="12"/>
        </w:rPr>
        <w:t>he redemption date upon the occurrence of a regulatory capital treatment event, as defined in the certificate of designation, at a redemption price equal to the liquidation price per share and liquidation price per depositary share plus any declared and un</w:t>
      </w:r>
      <w:r>
        <w:rPr>
          <w:rFonts w:ascii="Arial" w:eastAsia="宋体" w:hAnsi="Arial" w:cs="Arial"/>
          <w:color w:val="000000"/>
          <w:sz w:val="12"/>
          <w:szCs w:val="12"/>
        </w:rPr>
        <w:t>paid dividends, without accumulation of any undeclared dividends.</w:t>
      </w:r>
    </w:p>
    <w:p w14:paraId="5EA267A9" w14:textId="77777777" w:rsidR="003C66EB" w:rsidRDefault="00D96C4E">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We did not elect redemption on September 15, 2020 or December 15, 2020.</w:t>
      </w:r>
    </w:p>
    <w:p w14:paraId="5EA267AA" w14:textId="77777777" w:rsidR="003C66EB" w:rsidRDefault="00D96C4E">
      <w:pPr>
        <w:spacing w:before="60"/>
        <w:ind w:firstLine="450"/>
        <w:jc w:val="both"/>
      </w:pPr>
      <w:r>
        <w:rPr>
          <w:rFonts w:ascii="Arial" w:eastAsia="宋体" w:hAnsi="Arial" w:cs="Arial"/>
          <w:color w:val="000000"/>
          <w:sz w:val="20"/>
          <w:szCs w:val="20"/>
        </w:rPr>
        <w:t>On Marc</w:t>
      </w:r>
      <w:r>
        <w:rPr>
          <w:rFonts w:ascii="Arial" w:eastAsia="宋体" w:hAnsi="Arial" w:cs="Arial"/>
          <w:color w:val="000000"/>
          <w:sz w:val="20"/>
          <w:szCs w:val="20"/>
        </w:rPr>
        <w:t xml:space="preserve">h 15, 2021, we redeemed an aggregate of $500 million, or 5,000 of the 7,500 outstanding shares of our non-cumulative perpetual preferred stock, Series F, for cash at a redemption price of $100,000 per share (equivalent to $1,000 per depositary share) plus </w:t>
      </w:r>
      <w:r>
        <w:rPr>
          <w:rFonts w:ascii="Arial" w:eastAsia="宋体" w:hAnsi="Arial" w:cs="Arial"/>
          <w:color w:val="000000"/>
          <w:sz w:val="20"/>
          <w:szCs w:val="20"/>
        </w:rPr>
        <w:t>all declared and unpaid dividends.</w:t>
      </w:r>
    </w:p>
    <w:p w14:paraId="5EA267AB" w14:textId="77777777" w:rsidR="003C66EB" w:rsidRDefault="00D96C4E">
      <w:pPr>
        <w:spacing w:before="60"/>
        <w:ind w:firstLine="450"/>
        <w:jc w:val="both"/>
      </w:pPr>
      <w:r>
        <w:rPr>
          <w:rFonts w:ascii="Arial" w:eastAsia="宋体" w:hAnsi="Arial" w:cs="Arial"/>
          <w:color w:val="000000"/>
          <w:sz w:val="20"/>
          <w:szCs w:val="20"/>
        </w:rPr>
        <w:t>The following table presents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59"/>
        <w:gridCol w:w="36"/>
        <w:gridCol w:w="36"/>
        <w:gridCol w:w="36"/>
        <w:gridCol w:w="36"/>
        <w:gridCol w:w="105"/>
        <w:gridCol w:w="860"/>
        <w:gridCol w:w="36"/>
        <w:gridCol w:w="36"/>
        <w:gridCol w:w="36"/>
        <w:gridCol w:w="36"/>
        <w:gridCol w:w="105"/>
        <w:gridCol w:w="848"/>
        <w:gridCol w:w="36"/>
        <w:gridCol w:w="36"/>
        <w:gridCol w:w="36"/>
        <w:gridCol w:w="36"/>
        <w:gridCol w:w="105"/>
        <w:gridCol w:w="861"/>
        <w:gridCol w:w="36"/>
        <w:gridCol w:w="36"/>
        <w:gridCol w:w="36"/>
        <w:gridCol w:w="36"/>
        <w:gridCol w:w="105"/>
        <w:gridCol w:w="861"/>
        <w:gridCol w:w="36"/>
      </w:tblGrid>
      <w:tr w:rsidR="003C66EB" w14:paraId="5EA267D0" w14:textId="77777777">
        <w:tc>
          <w:tcPr>
            <w:tcW w:w="50" w:type="pct"/>
            <w:shd w:val="clear" w:color="auto" w:fill="auto"/>
          </w:tcPr>
          <w:p w14:paraId="5EA267AC" w14:textId="77777777" w:rsidR="003C66EB" w:rsidRDefault="003C66EB">
            <w:pPr>
              <w:rPr>
                <w:rFonts w:ascii="宋体"/>
              </w:rPr>
            </w:pPr>
          </w:p>
        </w:tc>
        <w:tc>
          <w:tcPr>
            <w:tcW w:w="1031" w:type="pct"/>
            <w:shd w:val="clear" w:color="auto" w:fill="auto"/>
          </w:tcPr>
          <w:p w14:paraId="5EA267AD" w14:textId="77777777" w:rsidR="003C66EB" w:rsidRDefault="003C66EB">
            <w:pPr>
              <w:rPr>
                <w:rFonts w:ascii="宋体"/>
              </w:rPr>
            </w:pPr>
          </w:p>
        </w:tc>
        <w:tc>
          <w:tcPr>
            <w:tcW w:w="5" w:type="pct"/>
            <w:shd w:val="clear" w:color="auto" w:fill="auto"/>
          </w:tcPr>
          <w:p w14:paraId="5EA267AE" w14:textId="77777777" w:rsidR="003C66EB" w:rsidRDefault="003C66EB">
            <w:pPr>
              <w:rPr>
                <w:rFonts w:ascii="宋体"/>
              </w:rPr>
            </w:pPr>
          </w:p>
        </w:tc>
        <w:tc>
          <w:tcPr>
            <w:tcW w:w="50" w:type="pct"/>
            <w:shd w:val="clear" w:color="auto" w:fill="auto"/>
          </w:tcPr>
          <w:p w14:paraId="5EA267AF" w14:textId="77777777" w:rsidR="003C66EB" w:rsidRDefault="003C66EB">
            <w:pPr>
              <w:rPr>
                <w:rFonts w:ascii="宋体"/>
              </w:rPr>
            </w:pPr>
          </w:p>
        </w:tc>
        <w:tc>
          <w:tcPr>
            <w:tcW w:w="561" w:type="pct"/>
            <w:shd w:val="clear" w:color="auto" w:fill="auto"/>
          </w:tcPr>
          <w:p w14:paraId="5EA267B0" w14:textId="77777777" w:rsidR="003C66EB" w:rsidRDefault="003C66EB">
            <w:pPr>
              <w:rPr>
                <w:rFonts w:ascii="宋体"/>
              </w:rPr>
            </w:pPr>
          </w:p>
        </w:tc>
        <w:tc>
          <w:tcPr>
            <w:tcW w:w="5" w:type="pct"/>
            <w:shd w:val="clear" w:color="auto" w:fill="auto"/>
          </w:tcPr>
          <w:p w14:paraId="5EA267B1" w14:textId="77777777" w:rsidR="003C66EB" w:rsidRDefault="003C66EB">
            <w:pPr>
              <w:rPr>
                <w:rFonts w:ascii="宋体"/>
              </w:rPr>
            </w:pPr>
          </w:p>
        </w:tc>
        <w:tc>
          <w:tcPr>
            <w:tcW w:w="5" w:type="pct"/>
            <w:shd w:val="clear" w:color="auto" w:fill="auto"/>
          </w:tcPr>
          <w:p w14:paraId="5EA267B2" w14:textId="77777777" w:rsidR="003C66EB" w:rsidRDefault="003C66EB">
            <w:pPr>
              <w:rPr>
                <w:rFonts w:ascii="宋体"/>
              </w:rPr>
            </w:pPr>
          </w:p>
        </w:tc>
        <w:tc>
          <w:tcPr>
            <w:tcW w:w="26" w:type="pct"/>
            <w:shd w:val="clear" w:color="auto" w:fill="auto"/>
          </w:tcPr>
          <w:p w14:paraId="5EA267B3" w14:textId="77777777" w:rsidR="003C66EB" w:rsidRDefault="003C66EB">
            <w:pPr>
              <w:rPr>
                <w:rFonts w:ascii="宋体"/>
              </w:rPr>
            </w:pPr>
          </w:p>
        </w:tc>
        <w:tc>
          <w:tcPr>
            <w:tcW w:w="5" w:type="pct"/>
            <w:shd w:val="clear" w:color="auto" w:fill="auto"/>
          </w:tcPr>
          <w:p w14:paraId="5EA267B4" w14:textId="77777777" w:rsidR="003C66EB" w:rsidRDefault="003C66EB">
            <w:pPr>
              <w:rPr>
                <w:rFonts w:ascii="宋体"/>
              </w:rPr>
            </w:pPr>
          </w:p>
        </w:tc>
        <w:tc>
          <w:tcPr>
            <w:tcW w:w="50" w:type="pct"/>
            <w:shd w:val="clear" w:color="auto" w:fill="auto"/>
          </w:tcPr>
          <w:p w14:paraId="5EA267B5" w14:textId="77777777" w:rsidR="003C66EB" w:rsidRDefault="003C66EB">
            <w:pPr>
              <w:rPr>
                <w:rFonts w:ascii="宋体"/>
              </w:rPr>
            </w:pPr>
          </w:p>
        </w:tc>
        <w:tc>
          <w:tcPr>
            <w:tcW w:w="569" w:type="pct"/>
            <w:shd w:val="clear" w:color="auto" w:fill="auto"/>
          </w:tcPr>
          <w:p w14:paraId="5EA267B6" w14:textId="77777777" w:rsidR="003C66EB" w:rsidRDefault="003C66EB">
            <w:pPr>
              <w:rPr>
                <w:rFonts w:ascii="宋体"/>
              </w:rPr>
            </w:pPr>
          </w:p>
        </w:tc>
        <w:tc>
          <w:tcPr>
            <w:tcW w:w="5" w:type="pct"/>
            <w:shd w:val="clear" w:color="auto" w:fill="auto"/>
          </w:tcPr>
          <w:p w14:paraId="5EA267B7" w14:textId="77777777" w:rsidR="003C66EB" w:rsidRDefault="003C66EB">
            <w:pPr>
              <w:rPr>
                <w:rFonts w:ascii="宋体"/>
              </w:rPr>
            </w:pPr>
          </w:p>
        </w:tc>
        <w:tc>
          <w:tcPr>
            <w:tcW w:w="5" w:type="pct"/>
            <w:shd w:val="clear" w:color="auto" w:fill="auto"/>
          </w:tcPr>
          <w:p w14:paraId="5EA267B8" w14:textId="77777777" w:rsidR="003C66EB" w:rsidRDefault="003C66EB">
            <w:pPr>
              <w:rPr>
                <w:rFonts w:ascii="宋体"/>
              </w:rPr>
            </w:pPr>
          </w:p>
        </w:tc>
        <w:tc>
          <w:tcPr>
            <w:tcW w:w="26" w:type="pct"/>
            <w:shd w:val="clear" w:color="auto" w:fill="auto"/>
          </w:tcPr>
          <w:p w14:paraId="5EA267B9" w14:textId="77777777" w:rsidR="003C66EB" w:rsidRDefault="003C66EB">
            <w:pPr>
              <w:rPr>
                <w:rFonts w:ascii="宋体"/>
              </w:rPr>
            </w:pPr>
          </w:p>
        </w:tc>
        <w:tc>
          <w:tcPr>
            <w:tcW w:w="5" w:type="pct"/>
            <w:shd w:val="clear" w:color="auto" w:fill="auto"/>
          </w:tcPr>
          <w:p w14:paraId="5EA267BA" w14:textId="77777777" w:rsidR="003C66EB" w:rsidRDefault="003C66EB">
            <w:pPr>
              <w:rPr>
                <w:rFonts w:ascii="宋体"/>
              </w:rPr>
            </w:pPr>
          </w:p>
        </w:tc>
        <w:tc>
          <w:tcPr>
            <w:tcW w:w="50" w:type="pct"/>
            <w:shd w:val="clear" w:color="auto" w:fill="auto"/>
          </w:tcPr>
          <w:p w14:paraId="5EA267BB" w14:textId="77777777" w:rsidR="003C66EB" w:rsidRDefault="003C66EB">
            <w:pPr>
              <w:rPr>
                <w:rFonts w:ascii="宋体"/>
              </w:rPr>
            </w:pPr>
          </w:p>
        </w:tc>
        <w:tc>
          <w:tcPr>
            <w:tcW w:w="569" w:type="pct"/>
            <w:shd w:val="clear" w:color="auto" w:fill="auto"/>
          </w:tcPr>
          <w:p w14:paraId="5EA267BC" w14:textId="77777777" w:rsidR="003C66EB" w:rsidRDefault="003C66EB">
            <w:pPr>
              <w:rPr>
                <w:rFonts w:ascii="宋体"/>
              </w:rPr>
            </w:pPr>
          </w:p>
        </w:tc>
        <w:tc>
          <w:tcPr>
            <w:tcW w:w="5" w:type="pct"/>
            <w:shd w:val="clear" w:color="auto" w:fill="auto"/>
          </w:tcPr>
          <w:p w14:paraId="5EA267BD" w14:textId="77777777" w:rsidR="003C66EB" w:rsidRDefault="003C66EB">
            <w:pPr>
              <w:rPr>
                <w:rFonts w:ascii="宋体"/>
              </w:rPr>
            </w:pPr>
          </w:p>
        </w:tc>
        <w:tc>
          <w:tcPr>
            <w:tcW w:w="5" w:type="pct"/>
            <w:shd w:val="clear" w:color="auto" w:fill="auto"/>
          </w:tcPr>
          <w:p w14:paraId="5EA267BE" w14:textId="77777777" w:rsidR="003C66EB" w:rsidRDefault="003C66EB">
            <w:pPr>
              <w:rPr>
                <w:rFonts w:ascii="宋体"/>
              </w:rPr>
            </w:pPr>
          </w:p>
        </w:tc>
        <w:tc>
          <w:tcPr>
            <w:tcW w:w="26" w:type="pct"/>
            <w:shd w:val="clear" w:color="auto" w:fill="auto"/>
          </w:tcPr>
          <w:p w14:paraId="5EA267BF" w14:textId="77777777" w:rsidR="003C66EB" w:rsidRDefault="003C66EB">
            <w:pPr>
              <w:rPr>
                <w:rFonts w:ascii="宋体"/>
              </w:rPr>
            </w:pPr>
          </w:p>
        </w:tc>
        <w:tc>
          <w:tcPr>
            <w:tcW w:w="5" w:type="pct"/>
            <w:shd w:val="clear" w:color="auto" w:fill="auto"/>
          </w:tcPr>
          <w:p w14:paraId="5EA267C0" w14:textId="77777777" w:rsidR="003C66EB" w:rsidRDefault="003C66EB">
            <w:pPr>
              <w:rPr>
                <w:rFonts w:ascii="宋体"/>
              </w:rPr>
            </w:pPr>
          </w:p>
        </w:tc>
        <w:tc>
          <w:tcPr>
            <w:tcW w:w="50" w:type="pct"/>
            <w:shd w:val="clear" w:color="auto" w:fill="auto"/>
          </w:tcPr>
          <w:p w14:paraId="5EA267C1" w14:textId="77777777" w:rsidR="003C66EB" w:rsidRDefault="003C66EB">
            <w:pPr>
              <w:rPr>
                <w:rFonts w:ascii="宋体"/>
              </w:rPr>
            </w:pPr>
          </w:p>
        </w:tc>
        <w:tc>
          <w:tcPr>
            <w:tcW w:w="561" w:type="pct"/>
            <w:shd w:val="clear" w:color="auto" w:fill="auto"/>
          </w:tcPr>
          <w:p w14:paraId="5EA267C2" w14:textId="77777777" w:rsidR="003C66EB" w:rsidRDefault="003C66EB">
            <w:pPr>
              <w:rPr>
                <w:rFonts w:ascii="宋体"/>
              </w:rPr>
            </w:pPr>
          </w:p>
        </w:tc>
        <w:tc>
          <w:tcPr>
            <w:tcW w:w="5" w:type="pct"/>
            <w:shd w:val="clear" w:color="auto" w:fill="auto"/>
          </w:tcPr>
          <w:p w14:paraId="5EA267C3" w14:textId="77777777" w:rsidR="003C66EB" w:rsidRDefault="003C66EB">
            <w:pPr>
              <w:rPr>
                <w:rFonts w:ascii="宋体"/>
              </w:rPr>
            </w:pPr>
          </w:p>
        </w:tc>
        <w:tc>
          <w:tcPr>
            <w:tcW w:w="5" w:type="pct"/>
            <w:shd w:val="clear" w:color="auto" w:fill="auto"/>
          </w:tcPr>
          <w:p w14:paraId="5EA267C4" w14:textId="77777777" w:rsidR="003C66EB" w:rsidRDefault="003C66EB">
            <w:pPr>
              <w:rPr>
                <w:rFonts w:ascii="宋体"/>
              </w:rPr>
            </w:pPr>
          </w:p>
        </w:tc>
        <w:tc>
          <w:tcPr>
            <w:tcW w:w="26" w:type="pct"/>
            <w:shd w:val="clear" w:color="auto" w:fill="auto"/>
          </w:tcPr>
          <w:p w14:paraId="5EA267C5" w14:textId="77777777" w:rsidR="003C66EB" w:rsidRDefault="003C66EB">
            <w:pPr>
              <w:rPr>
                <w:rFonts w:ascii="宋体"/>
              </w:rPr>
            </w:pPr>
          </w:p>
        </w:tc>
        <w:tc>
          <w:tcPr>
            <w:tcW w:w="5" w:type="pct"/>
            <w:shd w:val="clear" w:color="auto" w:fill="auto"/>
          </w:tcPr>
          <w:p w14:paraId="5EA267C6" w14:textId="77777777" w:rsidR="003C66EB" w:rsidRDefault="003C66EB">
            <w:pPr>
              <w:rPr>
                <w:rFonts w:ascii="宋体"/>
              </w:rPr>
            </w:pPr>
          </w:p>
        </w:tc>
        <w:tc>
          <w:tcPr>
            <w:tcW w:w="50" w:type="pct"/>
            <w:shd w:val="clear" w:color="auto" w:fill="auto"/>
          </w:tcPr>
          <w:p w14:paraId="5EA267C7" w14:textId="77777777" w:rsidR="003C66EB" w:rsidRDefault="003C66EB">
            <w:pPr>
              <w:rPr>
                <w:rFonts w:ascii="宋体"/>
              </w:rPr>
            </w:pPr>
          </w:p>
        </w:tc>
        <w:tc>
          <w:tcPr>
            <w:tcW w:w="569" w:type="pct"/>
            <w:shd w:val="clear" w:color="auto" w:fill="auto"/>
          </w:tcPr>
          <w:p w14:paraId="5EA267C8" w14:textId="77777777" w:rsidR="003C66EB" w:rsidRDefault="003C66EB">
            <w:pPr>
              <w:rPr>
                <w:rFonts w:ascii="宋体"/>
              </w:rPr>
            </w:pPr>
          </w:p>
        </w:tc>
        <w:tc>
          <w:tcPr>
            <w:tcW w:w="5" w:type="pct"/>
            <w:shd w:val="clear" w:color="auto" w:fill="auto"/>
          </w:tcPr>
          <w:p w14:paraId="5EA267C9" w14:textId="77777777" w:rsidR="003C66EB" w:rsidRDefault="003C66EB">
            <w:pPr>
              <w:rPr>
                <w:rFonts w:ascii="宋体"/>
              </w:rPr>
            </w:pPr>
          </w:p>
        </w:tc>
        <w:tc>
          <w:tcPr>
            <w:tcW w:w="5" w:type="pct"/>
            <w:shd w:val="clear" w:color="auto" w:fill="auto"/>
          </w:tcPr>
          <w:p w14:paraId="5EA267CA" w14:textId="77777777" w:rsidR="003C66EB" w:rsidRDefault="003C66EB">
            <w:pPr>
              <w:rPr>
                <w:rFonts w:ascii="宋体"/>
              </w:rPr>
            </w:pPr>
          </w:p>
        </w:tc>
        <w:tc>
          <w:tcPr>
            <w:tcW w:w="26" w:type="pct"/>
            <w:shd w:val="clear" w:color="auto" w:fill="auto"/>
          </w:tcPr>
          <w:p w14:paraId="5EA267CB" w14:textId="77777777" w:rsidR="003C66EB" w:rsidRDefault="003C66EB">
            <w:pPr>
              <w:rPr>
                <w:rFonts w:ascii="宋体"/>
              </w:rPr>
            </w:pPr>
          </w:p>
        </w:tc>
        <w:tc>
          <w:tcPr>
            <w:tcW w:w="5" w:type="pct"/>
            <w:shd w:val="clear" w:color="auto" w:fill="auto"/>
          </w:tcPr>
          <w:p w14:paraId="5EA267CC" w14:textId="77777777" w:rsidR="003C66EB" w:rsidRDefault="003C66EB">
            <w:pPr>
              <w:rPr>
                <w:rFonts w:ascii="宋体"/>
              </w:rPr>
            </w:pPr>
          </w:p>
        </w:tc>
        <w:tc>
          <w:tcPr>
            <w:tcW w:w="50" w:type="pct"/>
            <w:shd w:val="clear" w:color="auto" w:fill="auto"/>
          </w:tcPr>
          <w:p w14:paraId="5EA267CD" w14:textId="77777777" w:rsidR="003C66EB" w:rsidRDefault="003C66EB">
            <w:pPr>
              <w:rPr>
                <w:rFonts w:ascii="宋体"/>
              </w:rPr>
            </w:pPr>
          </w:p>
        </w:tc>
        <w:tc>
          <w:tcPr>
            <w:tcW w:w="569" w:type="pct"/>
            <w:shd w:val="clear" w:color="auto" w:fill="auto"/>
          </w:tcPr>
          <w:p w14:paraId="5EA267CE" w14:textId="77777777" w:rsidR="003C66EB" w:rsidRDefault="003C66EB">
            <w:pPr>
              <w:rPr>
                <w:rFonts w:ascii="宋体"/>
              </w:rPr>
            </w:pPr>
          </w:p>
        </w:tc>
        <w:tc>
          <w:tcPr>
            <w:tcW w:w="5" w:type="pct"/>
            <w:shd w:val="clear" w:color="auto" w:fill="auto"/>
          </w:tcPr>
          <w:p w14:paraId="5EA267CF" w14:textId="77777777" w:rsidR="003C66EB" w:rsidRDefault="003C66EB">
            <w:pPr>
              <w:rPr>
                <w:rFonts w:ascii="宋体"/>
              </w:rPr>
            </w:pPr>
          </w:p>
        </w:tc>
      </w:tr>
      <w:tr w:rsidR="003C66EB" w14:paraId="5EA267F3" w14:textId="77777777">
        <w:trPr>
          <w:hidden/>
        </w:trPr>
        <w:tc>
          <w:tcPr>
            <w:tcW w:w="0" w:type="auto"/>
            <w:gridSpan w:val="3"/>
            <w:shd w:val="clear" w:color="auto" w:fill="auto"/>
          </w:tcPr>
          <w:p w14:paraId="5EA267D1" w14:textId="77777777" w:rsidR="003C66EB" w:rsidRDefault="003C66EB">
            <w:pPr>
              <w:rPr>
                <w:rFonts w:ascii="宋体"/>
                <w:vanish/>
              </w:rPr>
            </w:pPr>
          </w:p>
        </w:tc>
        <w:tc>
          <w:tcPr>
            <w:tcW w:w="0" w:type="auto"/>
            <w:shd w:val="clear" w:color="auto" w:fill="auto"/>
          </w:tcPr>
          <w:p w14:paraId="5EA267D2" w14:textId="77777777" w:rsidR="003C66EB" w:rsidRDefault="003C66EB">
            <w:pPr>
              <w:rPr>
                <w:rFonts w:ascii="宋体"/>
              </w:rPr>
            </w:pPr>
          </w:p>
        </w:tc>
        <w:tc>
          <w:tcPr>
            <w:tcW w:w="0" w:type="auto"/>
            <w:shd w:val="clear" w:color="auto" w:fill="auto"/>
          </w:tcPr>
          <w:p w14:paraId="5EA267D3" w14:textId="77777777" w:rsidR="003C66EB" w:rsidRDefault="003C66EB">
            <w:pPr>
              <w:rPr>
                <w:rFonts w:ascii="宋体"/>
              </w:rPr>
            </w:pPr>
          </w:p>
        </w:tc>
        <w:tc>
          <w:tcPr>
            <w:tcW w:w="0" w:type="auto"/>
            <w:shd w:val="clear" w:color="auto" w:fill="auto"/>
          </w:tcPr>
          <w:p w14:paraId="5EA267D4" w14:textId="77777777" w:rsidR="003C66EB" w:rsidRDefault="003C66EB">
            <w:pPr>
              <w:rPr>
                <w:rFonts w:ascii="宋体"/>
              </w:rPr>
            </w:pPr>
          </w:p>
        </w:tc>
        <w:tc>
          <w:tcPr>
            <w:tcW w:w="0" w:type="auto"/>
            <w:shd w:val="clear" w:color="auto" w:fill="auto"/>
          </w:tcPr>
          <w:p w14:paraId="5EA267D5" w14:textId="77777777" w:rsidR="003C66EB" w:rsidRDefault="003C66EB">
            <w:pPr>
              <w:rPr>
                <w:rFonts w:ascii="宋体"/>
              </w:rPr>
            </w:pPr>
          </w:p>
        </w:tc>
        <w:tc>
          <w:tcPr>
            <w:tcW w:w="0" w:type="auto"/>
            <w:shd w:val="clear" w:color="auto" w:fill="auto"/>
          </w:tcPr>
          <w:p w14:paraId="5EA267D6" w14:textId="77777777" w:rsidR="003C66EB" w:rsidRDefault="003C66EB">
            <w:pPr>
              <w:rPr>
                <w:rFonts w:ascii="宋体"/>
              </w:rPr>
            </w:pPr>
          </w:p>
        </w:tc>
        <w:tc>
          <w:tcPr>
            <w:tcW w:w="0" w:type="auto"/>
            <w:shd w:val="clear" w:color="auto" w:fill="auto"/>
          </w:tcPr>
          <w:p w14:paraId="5EA267D7" w14:textId="77777777" w:rsidR="003C66EB" w:rsidRDefault="003C66EB">
            <w:pPr>
              <w:rPr>
                <w:rFonts w:ascii="宋体"/>
              </w:rPr>
            </w:pPr>
          </w:p>
        </w:tc>
        <w:tc>
          <w:tcPr>
            <w:tcW w:w="0" w:type="auto"/>
            <w:shd w:val="clear" w:color="auto" w:fill="auto"/>
          </w:tcPr>
          <w:p w14:paraId="5EA267D8" w14:textId="77777777" w:rsidR="003C66EB" w:rsidRDefault="003C66EB">
            <w:pPr>
              <w:rPr>
                <w:rFonts w:ascii="宋体"/>
              </w:rPr>
            </w:pPr>
          </w:p>
        </w:tc>
        <w:tc>
          <w:tcPr>
            <w:tcW w:w="0" w:type="auto"/>
            <w:shd w:val="clear" w:color="auto" w:fill="auto"/>
          </w:tcPr>
          <w:p w14:paraId="5EA267D9" w14:textId="77777777" w:rsidR="003C66EB" w:rsidRDefault="003C66EB">
            <w:pPr>
              <w:rPr>
                <w:rFonts w:ascii="宋体"/>
              </w:rPr>
            </w:pPr>
          </w:p>
        </w:tc>
        <w:tc>
          <w:tcPr>
            <w:tcW w:w="0" w:type="auto"/>
            <w:shd w:val="clear" w:color="auto" w:fill="auto"/>
          </w:tcPr>
          <w:p w14:paraId="5EA267DA" w14:textId="77777777" w:rsidR="003C66EB" w:rsidRDefault="003C66EB">
            <w:pPr>
              <w:rPr>
                <w:rFonts w:ascii="宋体"/>
              </w:rPr>
            </w:pPr>
          </w:p>
        </w:tc>
        <w:tc>
          <w:tcPr>
            <w:tcW w:w="0" w:type="auto"/>
            <w:shd w:val="clear" w:color="auto" w:fill="auto"/>
          </w:tcPr>
          <w:p w14:paraId="5EA267DB" w14:textId="77777777" w:rsidR="003C66EB" w:rsidRDefault="003C66EB">
            <w:pPr>
              <w:rPr>
                <w:rFonts w:ascii="宋体"/>
              </w:rPr>
            </w:pPr>
          </w:p>
        </w:tc>
        <w:tc>
          <w:tcPr>
            <w:tcW w:w="0" w:type="auto"/>
            <w:shd w:val="clear" w:color="auto" w:fill="auto"/>
          </w:tcPr>
          <w:p w14:paraId="5EA267DC" w14:textId="77777777" w:rsidR="003C66EB" w:rsidRDefault="003C66EB">
            <w:pPr>
              <w:rPr>
                <w:rFonts w:ascii="宋体"/>
              </w:rPr>
            </w:pPr>
          </w:p>
        </w:tc>
        <w:tc>
          <w:tcPr>
            <w:tcW w:w="0" w:type="auto"/>
            <w:shd w:val="clear" w:color="auto" w:fill="auto"/>
          </w:tcPr>
          <w:p w14:paraId="5EA267DD" w14:textId="77777777" w:rsidR="003C66EB" w:rsidRDefault="003C66EB">
            <w:pPr>
              <w:rPr>
                <w:rFonts w:ascii="宋体"/>
              </w:rPr>
            </w:pPr>
          </w:p>
        </w:tc>
        <w:tc>
          <w:tcPr>
            <w:tcW w:w="0" w:type="auto"/>
            <w:shd w:val="clear" w:color="auto" w:fill="auto"/>
          </w:tcPr>
          <w:p w14:paraId="5EA267DE" w14:textId="77777777" w:rsidR="003C66EB" w:rsidRDefault="003C66EB">
            <w:pPr>
              <w:rPr>
                <w:rFonts w:ascii="宋体"/>
              </w:rPr>
            </w:pPr>
          </w:p>
        </w:tc>
        <w:tc>
          <w:tcPr>
            <w:tcW w:w="0" w:type="auto"/>
            <w:shd w:val="clear" w:color="auto" w:fill="auto"/>
          </w:tcPr>
          <w:p w14:paraId="5EA267DF" w14:textId="77777777" w:rsidR="003C66EB" w:rsidRDefault="003C66EB">
            <w:pPr>
              <w:rPr>
                <w:rFonts w:ascii="宋体"/>
              </w:rPr>
            </w:pPr>
          </w:p>
        </w:tc>
        <w:tc>
          <w:tcPr>
            <w:tcW w:w="0" w:type="auto"/>
            <w:shd w:val="clear" w:color="auto" w:fill="auto"/>
          </w:tcPr>
          <w:p w14:paraId="5EA267E0" w14:textId="77777777" w:rsidR="003C66EB" w:rsidRDefault="003C66EB">
            <w:pPr>
              <w:rPr>
                <w:rFonts w:ascii="宋体"/>
              </w:rPr>
            </w:pPr>
          </w:p>
        </w:tc>
        <w:tc>
          <w:tcPr>
            <w:tcW w:w="0" w:type="auto"/>
            <w:shd w:val="clear" w:color="auto" w:fill="auto"/>
          </w:tcPr>
          <w:p w14:paraId="5EA267E1" w14:textId="77777777" w:rsidR="003C66EB" w:rsidRDefault="003C66EB">
            <w:pPr>
              <w:rPr>
                <w:rFonts w:ascii="宋体"/>
              </w:rPr>
            </w:pPr>
          </w:p>
        </w:tc>
        <w:tc>
          <w:tcPr>
            <w:tcW w:w="0" w:type="auto"/>
            <w:shd w:val="clear" w:color="auto" w:fill="auto"/>
          </w:tcPr>
          <w:p w14:paraId="5EA267E2" w14:textId="77777777" w:rsidR="003C66EB" w:rsidRDefault="003C66EB">
            <w:pPr>
              <w:rPr>
                <w:rFonts w:ascii="宋体"/>
              </w:rPr>
            </w:pPr>
          </w:p>
        </w:tc>
        <w:tc>
          <w:tcPr>
            <w:tcW w:w="0" w:type="auto"/>
            <w:shd w:val="clear" w:color="auto" w:fill="auto"/>
          </w:tcPr>
          <w:p w14:paraId="5EA267E3" w14:textId="77777777" w:rsidR="003C66EB" w:rsidRDefault="003C66EB">
            <w:pPr>
              <w:rPr>
                <w:rFonts w:ascii="宋体"/>
              </w:rPr>
            </w:pPr>
          </w:p>
        </w:tc>
        <w:tc>
          <w:tcPr>
            <w:tcW w:w="0" w:type="auto"/>
            <w:shd w:val="clear" w:color="auto" w:fill="auto"/>
          </w:tcPr>
          <w:p w14:paraId="5EA267E4" w14:textId="77777777" w:rsidR="003C66EB" w:rsidRDefault="003C66EB">
            <w:pPr>
              <w:rPr>
                <w:rFonts w:ascii="宋体"/>
              </w:rPr>
            </w:pPr>
          </w:p>
        </w:tc>
        <w:tc>
          <w:tcPr>
            <w:tcW w:w="0" w:type="auto"/>
            <w:shd w:val="clear" w:color="auto" w:fill="auto"/>
          </w:tcPr>
          <w:p w14:paraId="5EA267E5" w14:textId="77777777" w:rsidR="003C66EB" w:rsidRDefault="003C66EB">
            <w:pPr>
              <w:rPr>
                <w:rFonts w:ascii="宋体"/>
              </w:rPr>
            </w:pPr>
          </w:p>
        </w:tc>
        <w:tc>
          <w:tcPr>
            <w:tcW w:w="0" w:type="auto"/>
            <w:shd w:val="clear" w:color="auto" w:fill="auto"/>
          </w:tcPr>
          <w:p w14:paraId="5EA267E6" w14:textId="77777777" w:rsidR="003C66EB" w:rsidRDefault="003C66EB">
            <w:pPr>
              <w:rPr>
                <w:rFonts w:ascii="宋体"/>
              </w:rPr>
            </w:pPr>
          </w:p>
        </w:tc>
        <w:tc>
          <w:tcPr>
            <w:tcW w:w="0" w:type="auto"/>
            <w:shd w:val="clear" w:color="auto" w:fill="auto"/>
          </w:tcPr>
          <w:p w14:paraId="5EA267E7" w14:textId="77777777" w:rsidR="003C66EB" w:rsidRDefault="003C66EB">
            <w:pPr>
              <w:rPr>
                <w:rFonts w:ascii="宋体"/>
              </w:rPr>
            </w:pPr>
          </w:p>
        </w:tc>
        <w:tc>
          <w:tcPr>
            <w:tcW w:w="0" w:type="auto"/>
            <w:shd w:val="clear" w:color="auto" w:fill="auto"/>
          </w:tcPr>
          <w:p w14:paraId="5EA267E8" w14:textId="77777777" w:rsidR="003C66EB" w:rsidRDefault="003C66EB">
            <w:pPr>
              <w:rPr>
                <w:rFonts w:ascii="宋体"/>
              </w:rPr>
            </w:pPr>
          </w:p>
        </w:tc>
        <w:tc>
          <w:tcPr>
            <w:tcW w:w="0" w:type="auto"/>
            <w:shd w:val="clear" w:color="auto" w:fill="auto"/>
          </w:tcPr>
          <w:p w14:paraId="5EA267E9" w14:textId="77777777" w:rsidR="003C66EB" w:rsidRDefault="003C66EB">
            <w:pPr>
              <w:rPr>
                <w:rFonts w:ascii="宋体"/>
              </w:rPr>
            </w:pPr>
          </w:p>
        </w:tc>
        <w:tc>
          <w:tcPr>
            <w:tcW w:w="0" w:type="auto"/>
            <w:shd w:val="clear" w:color="auto" w:fill="auto"/>
          </w:tcPr>
          <w:p w14:paraId="5EA267EA" w14:textId="77777777" w:rsidR="003C66EB" w:rsidRDefault="003C66EB">
            <w:pPr>
              <w:rPr>
                <w:rFonts w:ascii="宋体"/>
              </w:rPr>
            </w:pPr>
          </w:p>
        </w:tc>
        <w:tc>
          <w:tcPr>
            <w:tcW w:w="0" w:type="auto"/>
            <w:shd w:val="clear" w:color="auto" w:fill="auto"/>
          </w:tcPr>
          <w:p w14:paraId="5EA267EB" w14:textId="77777777" w:rsidR="003C66EB" w:rsidRDefault="003C66EB">
            <w:pPr>
              <w:rPr>
                <w:rFonts w:ascii="宋体"/>
              </w:rPr>
            </w:pPr>
          </w:p>
        </w:tc>
        <w:tc>
          <w:tcPr>
            <w:tcW w:w="0" w:type="auto"/>
            <w:shd w:val="clear" w:color="auto" w:fill="auto"/>
          </w:tcPr>
          <w:p w14:paraId="5EA267EC" w14:textId="77777777" w:rsidR="003C66EB" w:rsidRDefault="003C66EB">
            <w:pPr>
              <w:rPr>
                <w:rFonts w:ascii="宋体"/>
              </w:rPr>
            </w:pPr>
          </w:p>
        </w:tc>
        <w:tc>
          <w:tcPr>
            <w:tcW w:w="0" w:type="auto"/>
            <w:shd w:val="clear" w:color="auto" w:fill="auto"/>
          </w:tcPr>
          <w:p w14:paraId="5EA267ED" w14:textId="77777777" w:rsidR="003C66EB" w:rsidRDefault="003C66EB">
            <w:pPr>
              <w:rPr>
                <w:rFonts w:ascii="宋体"/>
              </w:rPr>
            </w:pPr>
          </w:p>
        </w:tc>
        <w:tc>
          <w:tcPr>
            <w:tcW w:w="0" w:type="auto"/>
            <w:shd w:val="clear" w:color="auto" w:fill="auto"/>
          </w:tcPr>
          <w:p w14:paraId="5EA267EE" w14:textId="77777777" w:rsidR="003C66EB" w:rsidRDefault="003C66EB">
            <w:pPr>
              <w:rPr>
                <w:rFonts w:ascii="宋体"/>
              </w:rPr>
            </w:pPr>
          </w:p>
        </w:tc>
        <w:tc>
          <w:tcPr>
            <w:tcW w:w="0" w:type="auto"/>
            <w:shd w:val="clear" w:color="auto" w:fill="auto"/>
          </w:tcPr>
          <w:p w14:paraId="5EA267EF" w14:textId="77777777" w:rsidR="003C66EB" w:rsidRDefault="003C66EB">
            <w:pPr>
              <w:rPr>
                <w:rFonts w:ascii="宋体"/>
              </w:rPr>
            </w:pPr>
          </w:p>
        </w:tc>
        <w:tc>
          <w:tcPr>
            <w:tcW w:w="0" w:type="auto"/>
            <w:shd w:val="clear" w:color="auto" w:fill="auto"/>
          </w:tcPr>
          <w:p w14:paraId="5EA267F0" w14:textId="77777777" w:rsidR="003C66EB" w:rsidRDefault="003C66EB">
            <w:pPr>
              <w:rPr>
                <w:rFonts w:ascii="宋体"/>
              </w:rPr>
            </w:pPr>
          </w:p>
        </w:tc>
        <w:tc>
          <w:tcPr>
            <w:tcW w:w="0" w:type="auto"/>
            <w:shd w:val="clear" w:color="auto" w:fill="auto"/>
          </w:tcPr>
          <w:p w14:paraId="5EA267F1" w14:textId="77777777" w:rsidR="003C66EB" w:rsidRDefault="003C66EB">
            <w:pPr>
              <w:rPr>
                <w:rFonts w:ascii="宋体"/>
              </w:rPr>
            </w:pPr>
          </w:p>
        </w:tc>
        <w:tc>
          <w:tcPr>
            <w:tcW w:w="0" w:type="auto"/>
            <w:shd w:val="clear" w:color="auto" w:fill="auto"/>
          </w:tcPr>
          <w:p w14:paraId="5EA267F2" w14:textId="77777777" w:rsidR="003C66EB" w:rsidRDefault="003C66EB">
            <w:pPr>
              <w:rPr>
                <w:rFonts w:ascii="宋体"/>
              </w:rPr>
            </w:pPr>
          </w:p>
        </w:tc>
      </w:tr>
      <w:tr w:rsidR="003C66EB" w14:paraId="5EA26814" w14:textId="77777777">
        <w:trPr>
          <w:hidden/>
        </w:trPr>
        <w:tc>
          <w:tcPr>
            <w:tcW w:w="0" w:type="auto"/>
            <w:gridSpan w:val="3"/>
            <w:shd w:val="clear" w:color="auto" w:fill="auto"/>
          </w:tcPr>
          <w:p w14:paraId="5EA267F4" w14:textId="77777777" w:rsidR="003C66EB" w:rsidRDefault="003C66EB">
            <w:pPr>
              <w:rPr>
                <w:rFonts w:ascii="宋体"/>
                <w:vanish/>
              </w:rPr>
            </w:pPr>
          </w:p>
        </w:tc>
        <w:tc>
          <w:tcPr>
            <w:tcW w:w="0" w:type="auto"/>
            <w:gridSpan w:val="3"/>
            <w:shd w:val="clear" w:color="auto" w:fill="auto"/>
          </w:tcPr>
          <w:p w14:paraId="5EA267F5" w14:textId="77777777" w:rsidR="003C66EB" w:rsidRDefault="003C66EB">
            <w:pPr>
              <w:rPr>
                <w:rFonts w:ascii="宋体"/>
                <w:vanish/>
              </w:rPr>
            </w:pPr>
          </w:p>
        </w:tc>
        <w:tc>
          <w:tcPr>
            <w:tcW w:w="0" w:type="auto"/>
            <w:shd w:val="clear" w:color="auto" w:fill="auto"/>
          </w:tcPr>
          <w:p w14:paraId="5EA267F6" w14:textId="77777777" w:rsidR="003C66EB" w:rsidRDefault="003C66EB">
            <w:pPr>
              <w:rPr>
                <w:rFonts w:ascii="宋体"/>
              </w:rPr>
            </w:pPr>
          </w:p>
        </w:tc>
        <w:tc>
          <w:tcPr>
            <w:tcW w:w="0" w:type="auto"/>
            <w:shd w:val="clear" w:color="auto" w:fill="auto"/>
          </w:tcPr>
          <w:p w14:paraId="5EA267F7" w14:textId="77777777" w:rsidR="003C66EB" w:rsidRDefault="003C66EB">
            <w:pPr>
              <w:rPr>
                <w:rFonts w:ascii="宋体"/>
              </w:rPr>
            </w:pPr>
          </w:p>
        </w:tc>
        <w:tc>
          <w:tcPr>
            <w:tcW w:w="0" w:type="auto"/>
            <w:shd w:val="clear" w:color="auto" w:fill="auto"/>
          </w:tcPr>
          <w:p w14:paraId="5EA267F8" w14:textId="77777777" w:rsidR="003C66EB" w:rsidRDefault="003C66EB">
            <w:pPr>
              <w:rPr>
                <w:rFonts w:ascii="宋体"/>
              </w:rPr>
            </w:pPr>
          </w:p>
        </w:tc>
        <w:tc>
          <w:tcPr>
            <w:tcW w:w="0" w:type="auto"/>
            <w:shd w:val="clear" w:color="auto" w:fill="auto"/>
          </w:tcPr>
          <w:p w14:paraId="5EA267F9" w14:textId="77777777" w:rsidR="003C66EB" w:rsidRDefault="003C66EB">
            <w:pPr>
              <w:rPr>
                <w:rFonts w:ascii="宋体"/>
              </w:rPr>
            </w:pPr>
          </w:p>
        </w:tc>
        <w:tc>
          <w:tcPr>
            <w:tcW w:w="0" w:type="auto"/>
            <w:shd w:val="clear" w:color="auto" w:fill="auto"/>
          </w:tcPr>
          <w:p w14:paraId="5EA267FA" w14:textId="77777777" w:rsidR="003C66EB" w:rsidRDefault="003C66EB">
            <w:pPr>
              <w:rPr>
                <w:rFonts w:ascii="宋体"/>
              </w:rPr>
            </w:pPr>
          </w:p>
        </w:tc>
        <w:tc>
          <w:tcPr>
            <w:tcW w:w="0" w:type="auto"/>
            <w:shd w:val="clear" w:color="auto" w:fill="auto"/>
          </w:tcPr>
          <w:p w14:paraId="5EA267FB" w14:textId="77777777" w:rsidR="003C66EB" w:rsidRDefault="003C66EB">
            <w:pPr>
              <w:rPr>
                <w:rFonts w:ascii="宋体"/>
              </w:rPr>
            </w:pPr>
          </w:p>
        </w:tc>
        <w:tc>
          <w:tcPr>
            <w:tcW w:w="0" w:type="auto"/>
            <w:shd w:val="clear" w:color="auto" w:fill="auto"/>
          </w:tcPr>
          <w:p w14:paraId="5EA267FC" w14:textId="77777777" w:rsidR="003C66EB" w:rsidRDefault="003C66EB">
            <w:pPr>
              <w:rPr>
                <w:rFonts w:ascii="宋体"/>
              </w:rPr>
            </w:pPr>
          </w:p>
        </w:tc>
        <w:tc>
          <w:tcPr>
            <w:tcW w:w="0" w:type="auto"/>
            <w:shd w:val="clear" w:color="auto" w:fill="auto"/>
          </w:tcPr>
          <w:p w14:paraId="5EA267FD" w14:textId="77777777" w:rsidR="003C66EB" w:rsidRDefault="003C66EB">
            <w:pPr>
              <w:rPr>
                <w:rFonts w:ascii="宋体"/>
              </w:rPr>
            </w:pPr>
          </w:p>
        </w:tc>
        <w:tc>
          <w:tcPr>
            <w:tcW w:w="0" w:type="auto"/>
            <w:shd w:val="clear" w:color="auto" w:fill="auto"/>
          </w:tcPr>
          <w:p w14:paraId="5EA267FE" w14:textId="77777777" w:rsidR="003C66EB" w:rsidRDefault="003C66EB">
            <w:pPr>
              <w:rPr>
                <w:rFonts w:ascii="宋体"/>
              </w:rPr>
            </w:pPr>
          </w:p>
        </w:tc>
        <w:tc>
          <w:tcPr>
            <w:tcW w:w="0" w:type="auto"/>
            <w:shd w:val="clear" w:color="auto" w:fill="auto"/>
          </w:tcPr>
          <w:p w14:paraId="5EA267FF" w14:textId="77777777" w:rsidR="003C66EB" w:rsidRDefault="003C66EB">
            <w:pPr>
              <w:rPr>
                <w:rFonts w:ascii="宋体"/>
              </w:rPr>
            </w:pPr>
          </w:p>
        </w:tc>
        <w:tc>
          <w:tcPr>
            <w:tcW w:w="0" w:type="auto"/>
            <w:shd w:val="clear" w:color="auto" w:fill="auto"/>
          </w:tcPr>
          <w:p w14:paraId="5EA26800" w14:textId="77777777" w:rsidR="003C66EB" w:rsidRDefault="003C66EB">
            <w:pPr>
              <w:rPr>
                <w:rFonts w:ascii="宋体"/>
              </w:rPr>
            </w:pPr>
          </w:p>
        </w:tc>
        <w:tc>
          <w:tcPr>
            <w:tcW w:w="0" w:type="auto"/>
            <w:shd w:val="clear" w:color="auto" w:fill="auto"/>
          </w:tcPr>
          <w:p w14:paraId="5EA26801" w14:textId="77777777" w:rsidR="003C66EB" w:rsidRDefault="003C66EB">
            <w:pPr>
              <w:rPr>
                <w:rFonts w:ascii="宋体"/>
              </w:rPr>
            </w:pPr>
          </w:p>
        </w:tc>
        <w:tc>
          <w:tcPr>
            <w:tcW w:w="0" w:type="auto"/>
            <w:shd w:val="clear" w:color="auto" w:fill="auto"/>
          </w:tcPr>
          <w:p w14:paraId="5EA26802" w14:textId="77777777" w:rsidR="003C66EB" w:rsidRDefault="003C66EB">
            <w:pPr>
              <w:rPr>
                <w:rFonts w:ascii="宋体"/>
              </w:rPr>
            </w:pPr>
          </w:p>
        </w:tc>
        <w:tc>
          <w:tcPr>
            <w:tcW w:w="0" w:type="auto"/>
            <w:shd w:val="clear" w:color="auto" w:fill="auto"/>
          </w:tcPr>
          <w:p w14:paraId="5EA26803" w14:textId="77777777" w:rsidR="003C66EB" w:rsidRDefault="003C66EB">
            <w:pPr>
              <w:rPr>
                <w:rFonts w:ascii="宋体"/>
              </w:rPr>
            </w:pPr>
          </w:p>
        </w:tc>
        <w:tc>
          <w:tcPr>
            <w:tcW w:w="0" w:type="auto"/>
            <w:shd w:val="clear" w:color="auto" w:fill="auto"/>
          </w:tcPr>
          <w:p w14:paraId="5EA26804" w14:textId="77777777" w:rsidR="003C66EB" w:rsidRDefault="003C66EB">
            <w:pPr>
              <w:rPr>
                <w:rFonts w:ascii="宋体"/>
              </w:rPr>
            </w:pPr>
          </w:p>
        </w:tc>
        <w:tc>
          <w:tcPr>
            <w:tcW w:w="0" w:type="auto"/>
            <w:shd w:val="clear" w:color="auto" w:fill="auto"/>
          </w:tcPr>
          <w:p w14:paraId="5EA26805" w14:textId="77777777" w:rsidR="003C66EB" w:rsidRDefault="003C66EB">
            <w:pPr>
              <w:rPr>
                <w:rFonts w:ascii="宋体"/>
              </w:rPr>
            </w:pPr>
          </w:p>
        </w:tc>
        <w:tc>
          <w:tcPr>
            <w:tcW w:w="0" w:type="auto"/>
            <w:shd w:val="clear" w:color="auto" w:fill="auto"/>
          </w:tcPr>
          <w:p w14:paraId="5EA26806" w14:textId="77777777" w:rsidR="003C66EB" w:rsidRDefault="003C66EB">
            <w:pPr>
              <w:rPr>
                <w:rFonts w:ascii="宋体"/>
              </w:rPr>
            </w:pPr>
          </w:p>
        </w:tc>
        <w:tc>
          <w:tcPr>
            <w:tcW w:w="0" w:type="auto"/>
            <w:shd w:val="clear" w:color="auto" w:fill="auto"/>
          </w:tcPr>
          <w:p w14:paraId="5EA26807" w14:textId="77777777" w:rsidR="003C66EB" w:rsidRDefault="003C66EB">
            <w:pPr>
              <w:rPr>
                <w:rFonts w:ascii="宋体"/>
              </w:rPr>
            </w:pPr>
          </w:p>
        </w:tc>
        <w:tc>
          <w:tcPr>
            <w:tcW w:w="0" w:type="auto"/>
            <w:shd w:val="clear" w:color="auto" w:fill="auto"/>
          </w:tcPr>
          <w:p w14:paraId="5EA26808" w14:textId="77777777" w:rsidR="003C66EB" w:rsidRDefault="003C66EB">
            <w:pPr>
              <w:rPr>
                <w:rFonts w:ascii="宋体"/>
              </w:rPr>
            </w:pPr>
          </w:p>
        </w:tc>
        <w:tc>
          <w:tcPr>
            <w:tcW w:w="0" w:type="auto"/>
            <w:shd w:val="clear" w:color="auto" w:fill="auto"/>
          </w:tcPr>
          <w:p w14:paraId="5EA26809" w14:textId="77777777" w:rsidR="003C66EB" w:rsidRDefault="003C66EB">
            <w:pPr>
              <w:rPr>
                <w:rFonts w:ascii="宋体"/>
              </w:rPr>
            </w:pPr>
          </w:p>
        </w:tc>
        <w:tc>
          <w:tcPr>
            <w:tcW w:w="0" w:type="auto"/>
            <w:shd w:val="clear" w:color="auto" w:fill="auto"/>
          </w:tcPr>
          <w:p w14:paraId="5EA2680A" w14:textId="77777777" w:rsidR="003C66EB" w:rsidRDefault="003C66EB">
            <w:pPr>
              <w:rPr>
                <w:rFonts w:ascii="宋体"/>
              </w:rPr>
            </w:pPr>
          </w:p>
        </w:tc>
        <w:tc>
          <w:tcPr>
            <w:tcW w:w="0" w:type="auto"/>
            <w:shd w:val="clear" w:color="auto" w:fill="auto"/>
          </w:tcPr>
          <w:p w14:paraId="5EA2680B" w14:textId="77777777" w:rsidR="003C66EB" w:rsidRDefault="003C66EB">
            <w:pPr>
              <w:rPr>
                <w:rFonts w:ascii="宋体"/>
              </w:rPr>
            </w:pPr>
          </w:p>
        </w:tc>
        <w:tc>
          <w:tcPr>
            <w:tcW w:w="0" w:type="auto"/>
            <w:shd w:val="clear" w:color="auto" w:fill="auto"/>
          </w:tcPr>
          <w:p w14:paraId="5EA2680C" w14:textId="77777777" w:rsidR="003C66EB" w:rsidRDefault="003C66EB">
            <w:pPr>
              <w:rPr>
                <w:rFonts w:ascii="宋体"/>
              </w:rPr>
            </w:pPr>
          </w:p>
        </w:tc>
        <w:tc>
          <w:tcPr>
            <w:tcW w:w="0" w:type="auto"/>
            <w:shd w:val="clear" w:color="auto" w:fill="auto"/>
          </w:tcPr>
          <w:p w14:paraId="5EA2680D" w14:textId="77777777" w:rsidR="003C66EB" w:rsidRDefault="003C66EB">
            <w:pPr>
              <w:rPr>
                <w:rFonts w:ascii="宋体"/>
              </w:rPr>
            </w:pPr>
          </w:p>
        </w:tc>
        <w:tc>
          <w:tcPr>
            <w:tcW w:w="0" w:type="auto"/>
            <w:shd w:val="clear" w:color="auto" w:fill="auto"/>
          </w:tcPr>
          <w:p w14:paraId="5EA2680E" w14:textId="77777777" w:rsidR="003C66EB" w:rsidRDefault="003C66EB">
            <w:pPr>
              <w:rPr>
                <w:rFonts w:ascii="宋体"/>
              </w:rPr>
            </w:pPr>
          </w:p>
        </w:tc>
        <w:tc>
          <w:tcPr>
            <w:tcW w:w="0" w:type="auto"/>
            <w:shd w:val="clear" w:color="auto" w:fill="auto"/>
          </w:tcPr>
          <w:p w14:paraId="5EA2680F" w14:textId="77777777" w:rsidR="003C66EB" w:rsidRDefault="003C66EB">
            <w:pPr>
              <w:rPr>
                <w:rFonts w:ascii="宋体"/>
              </w:rPr>
            </w:pPr>
          </w:p>
        </w:tc>
        <w:tc>
          <w:tcPr>
            <w:tcW w:w="0" w:type="auto"/>
            <w:shd w:val="clear" w:color="auto" w:fill="auto"/>
          </w:tcPr>
          <w:p w14:paraId="5EA26810" w14:textId="77777777" w:rsidR="003C66EB" w:rsidRDefault="003C66EB">
            <w:pPr>
              <w:rPr>
                <w:rFonts w:ascii="宋体"/>
              </w:rPr>
            </w:pPr>
          </w:p>
        </w:tc>
        <w:tc>
          <w:tcPr>
            <w:tcW w:w="0" w:type="auto"/>
            <w:shd w:val="clear" w:color="auto" w:fill="auto"/>
          </w:tcPr>
          <w:p w14:paraId="5EA26811" w14:textId="77777777" w:rsidR="003C66EB" w:rsidRDefault="003C66EB">
            <w:pPr>
              <w:rPr>
                <w:rFonts w:ascii="宋体"/>
              </w:rPr>
            </w:pPr>
          </w:p>
        </w:tc>
        <w:tc>
          <w:tcPr>
            <w:tcW w:w="0" w:type="auto"/>
            <w:shd w:val="clear" w:color="auto" w:fill="auto"/>
          </w:tcPr>
          <w:p w14:paraId="5EA26812" w14:textId="77777777" w:rsidR="003C66EB" w:rsidRDefault="003C66EB">
            <w:pPr>
              <w:rPr>
                <w:rFonts w:ascii="宋体"/>
              </w:rPr>
            </w:pPr>
          </w:p>
        </w:tc>
        <w:tc>
          <w:tcPr>
            <w:tcW w:w="0" w:type="auto"/>
            <w:shd w:val="clear" w:color="auto" w:fill="auto"/>
          </w:tcPr>
          <w:p w14:paraId="5EA26813" w14:textId="77777777" w:rsidR="003C66EB" w:rsidRDefault="003C66EB">
            <w:pPr>
              <w:rPr>
                <w:rFonts w:ascii="宋体"/>
              </w:rPr>
            </w:pPr>
          </w:p>
        </w:tc>
      </w:tr>
      <w:tr w:rsidR="003C66EB" w14:paraId="5EA26831" w14:textId="77777777">
        <w:trPr>
          <w:hidden/>
        </w:trPr>
        <w:tc>
          <w:tcPr>
            <w:tcW w:w="0" w:type="auto"/>
            <w:gridSpan w:val="3"/>
            <w:shd w:val="clear" w:color="auto" w:fill="auto"/>
          </w:tcPr>
          <w:p w14:paraId="5EA26815" w14:textId="77777777" w:rsidR="003C66EB" w:rsidRDefault="003C66EB">
            <w:pPr>
              <w:rPr>
                <w:rFonts w:ascii="宋体"/>
                <w:vanish/>
              </w:rPr>
            </w:pPr>
          </w:p>
        </w:tc>
        <w:tc>
          <w:tcPr>
            <w:tcW w:w="0" w:type="auto"/>
            <w:gridSpan w:val="3"/>
            <w:shd w:val="clear" w:color="auto" w:fill="auto"/>
          </w:tcPr>
          <w:p w14:paraId="5EA26816" w14:textId="77777777" w:rsidR="003C66EB" w:rsidRDefault="003C66EB">
            <w:pPr>
              <w:rPr>
                <w:rFonts w:ascii="宋体"/>
                <w:vanish/>
              </w:rPr>
            </w:pPr>
          </w:p>
        </w:tc>
        <w:tc>
          <w:tcPr>
            <w:tcW w:w="0" w:type="auto"/>
            <w:gridSpan w:val="3"/>
            <w:shd w:val="clear" w:color="auto" w:fill="auto"/>
          </w:tcPr>
          <w:p w14:paraId="5EA26817" w14:textId="77777777" w:rsidR="003C66EB" w:rsidRDefault="003C66EB">
            <w:pPr>
              <w:rPr>
                <w:rFonts w:ascii="宋体"/>
                <w:vanish/>
              </w:rPr>
            </w:pPr>
          </w:p>
        </w:tc>
        <w:tc>
          <w:tcPr>
            <w:tcW w:w="0" w:type="auto"/>
            <w:gridSpan w:val="3"/>
            <w:shd w:val="clear" w:color="auto" w:fill="auto"/>
          </w:tcPr>
          <w:p w14:paraId="5EA26818" w14:textId="77777777" w:rsidR="003C66EB" w:rsidRDefault="003C66EB">
            <w:pPr>
              <w:rPr>
                <w:rFonts w:ascii="宋体"/>
                <w:vanish/>
              </w:rPr>
            </w:pPr>
          </w:p>
        </w:tc>
        <w:tc>
          <w:tcPr>
            <w:tcW w:w="0" w:type="auto"/>
            <w:shd w:val="clear" w:color="auto" w:fill="auto"/>
          </w:tcPr>
          <w:p w14:paraId="5EA26819" w14:textId="77777777" w:rsidR="003C66EB" w:rsidRDefault="003C66EB">
            <w:pPr>
              <w:rPr>
                <w:rFonts w:ascii="宋体"/>
              </w:rPr>
            </w:pPr>
          </w:p>
        </w:tc>
        <w:tc>
          <w:tcPr>
            <w:tcW w:w="0" w:type="auto"/>
            <w:shd w:val="clear" w:color="auto" w:fill="auto"/>
          </w:tcPr>
          <w:p w14:paraId="5EA2681A" w14:textId="77777777" w:rsidR="003C66EB" w:rsidRDefault="003C66EB">
            <w:pPr>
              <w:rPr>
                <w:rFonts w:ascii="宋体"/>
              </w:rPr>
            </w:pPr>
          </w:p>
        </w:tc>
        <w:tc>
          <w:tcPr>
            <w:tcW w:w="0" w:type="auto"/>
            <w:shd w:val="clear" w:color="auto" w:fill="auto"/>
          </w:tcPr>
          <w:p w14:paraId="5EA2681B" w14:textId="77777777" w:rsidR="003C66EB" w:rsidRDefault="003C66EB">
            <w:pPr>
              <w:rPr>
                <w:rFonts w:ascii="宋体"/>
              </w:rPr>
            </w:pPr>
          </w:p>
        </w:tc>
        <w:tc>
          <w:tcPr>
            <w:tcW w:w="0" w:type="auto"/>
            <w:shd w:val="clear" w:color="auto" w:fill="auto"/>
          </w:tcPr>
          <w:p w14:paraId="5EA2681C" w14:textId="77777777" w:rsidR="003C66EB" w:rsidRDefault="003C66EB">
            <w:pPr>
              <w:rPr>
                <w:rFonts w:ascii="宋体"/>
              </w:rPr>
            </w:pPr>
          </w:p>
        </w:tc>
        <w:tc>
          <w:tcPr>
            <w:tcW w:w="0" w:type="auto"/>
            <w:shd w:val="clear" w:color="auto" w:fill="auto"/>
          </w:tcPr>
          <w:p w14:paraId="5EA2681D" w14:textId="77777777" w:rsidR="003C66EB" w:rsidRDefault="003C66EB">
            <w:pPr>
              <w:rPr>
                <w:rFonts w:ascii="宋体"/>
              </w:rPr>
            </w:pPr>
          </w:p>
        </w:tc>
        <w:tc>
          <w:tcPr>
            <w:tcW w:w="0" w:type="auto"/>
            <w:shd w:val="clear" w:color="auto" w:fill="auto"/>
          </w:tcPr>
          <w:p w14:paraId="5EA2681E" w14:textId="77777777" w:rsidR="003C66EB" w:rsidRDefault="003C66EB">
            <w:pPr>
              <w:rPr>
                <w:rFonts w:ascii="宋体"/>
              </w:rPr>
            </w:pPr>
          </w:p>
        </w:tc>
        <w:tc>
          <w:tcPr>
            <w:tcW w:w="0" w:type="auto"/>
            <w:shd w:val="clear" w:color="auto" w:fill="auto"/>
          </w:tcPr>
          <w:p w14:paraId="5EA2681F" w14:textId="77777777" w:rsidR="003C66EB" w:rsidRDefault="003C66EB">
            <w:pPr>
              <w:rPr>
                <w:rFonts w:ascii="宋体"/>
              </w:rPr>
            </w:pPr>
          </w:p>
        </w:tc>
        <w:tc>
          <w:tcPr>
            <w:tcW w:w="0" w:type="auto"/>
            <w:shd w:val="clear" w:color="auto" w:fill="auto"/>
          </w:tcPr>
          <w:p w14:paraId="5EA26820" w14:textId="77777777" w:rsidR="003C66EB" w:rsidRDefault="003C66EB">
            <w:pPr>
              <w:rPr>
                <w:rFonts w:ascii="宋体"/>
              </w:rPr>
            </w:pPr>
          </w:p>
        </w:tc>
        <w:tc>
          <w:tcPr>
            <w:tcW w:w="0" w:type="auto"/>
            <w:shd w:val="clear" w:color="auto" w:fill="auto"/>
          </w:tcPr>
          <w:p w14:paraId="5EA26821" w14:textId="77777777" w:rsidR="003C66EB" w:rsidRDefault="003C66EB">
            <w:pPr>
              <w:rPr>
                <w:rFonts w:ascii="宋体"/>
              </w:rPr>
            </w:pPr>
          </w:p>
        </w:tc>
        <w:tc>
          <w:tcPr>
            <w:tcW w:w="0" w:type="auto"/>
            <w:shd w:val="clear" w:color="auto" w:fill="auto"/>
          </w:tcPr>
          <w:p w14:paraId="5EA26822" w14:textId="77777777" w:rsidR="003C66EB" w:rsidRDefault="003C66EB">
            <w:pPr>
              <w:rPr>
                <w:rFonts w:ascii="宋体"/>
              </w:rPr>
            </w:pPr>
          </w:p>
        </w:tc>
        <w:tc>
          <w:tcPr>
            <w:tcW w:w="0" w:type="auto"/>
            <w:shd w:val="clear" w:color="auto" w:fill="auto"/>
          </w:tcPr>
          <w:p w14:paraId="5EA26823" w14:textId="77777777" w:rsidR="003C66EB" w:rsidRDefault="003C66EB">
            <w:pPr>
              <w:rPr>
                <w:rFonts w:ascii="宋体"/>
              </w:rPr>
            </w:pPr>
          </w:p>
        </w:tc>
        <w:tc>
          <w:tcPr>
            <w:tcW w:w="0" w:type="auto"/>
            <w:shd w:val="clear" w:color="auto" w:fill="auto"/>
          </w:tcPr>
          <w:p w14:paraId="5EA26824" w14:textId="77777777" w:rsidR="003C66EB" w:rsidRDefault="003C66EB">
            <w:pPr>
              <w:rPr>
                <w:rFonts w:ascii="宋体"/>
              </w:rPr>
            </w:pPr>
          </w:p>
        </w:tc>
        <w:tc>
          <w:tcPr>
            <w:tcW w:w="0" w:type="auto"/>
            <w:shd w:val="clear" w:color="auto" w:fill="auto"/>
          </w:tcPr>
          <w:p w14:paraId="5EA26825" w14:textId="77777777" w:rsidR="003C66EB" w:rsidRDefault="003C66EB">
            <w:pPr>
              <w:rPr>
                <w:rFonts w:ascii="宋体"/>
              </w:rPr>
            </w:pPr>
          </w:p>
        </w:tc>
        <w:tc>
          <w:tcPr>
            <w:tcW w:w="0" w:type="auto"/>
            <w:shd w:val="clear" w:color="auto" w:fill="auto"/>
          </w:tcPr>
          <w:p w14:paraId="5EA26826" w14:textId="77777777" w:rsidR="003C66EB" w:rsidRDefault="003C66EB">
            <w:pPr>
              <w:rPr>
                <w:rFonts w:ascii="宋体"/>
              </w:rPr>
            </w:pPr>
          </w:p>
        </w:tc>
        <w:tc>
          <w:tcPr>
            <w:tcW w:w="0" w:type="auto"/>
            <w:shd w:val="clear" w:color="auto" w:fill="auto"/>
          </w:tcPr>
          <w:p w14:paraId="5EA26827" w14:textId="77777777" w:rsidR="003C66EB" w:rsidRDefault="003C66EB">
            <w:pPr>
              <w:rPr>
                <w:rFonts w:ascii="宋体"/>
              </w:rPr>
            </w:pPr>
          </w:p>
        </w:tc>
        <w:tc>
          <w:tcPr>
            <w:tcW w:w="0" w:type="auto"/>
            <w:shd w:val="clear" w:color="auto" w:fill="auto"/>
          </w:tcPr>
          <w:p w14:paraId="5EA26828" w14:textId="77777777" w:rsidR="003C66EB" w:rsidRDefault="003C66EB">
            <w:pPr>
              <w:rPr>
                <w:rFonts w:ascii="宋体"/>
              </w:rPr>
            </w:pPr>
          </w:p>
        </w:tc>
        <w:tc>
          <w:tcPr>
            <w:tcW w:w="0" w:type="auto"/>
            <w:shd w:val="clear" w:color="auto" w:fill="auto"/>
          </w:tcPr>
          <w:p w14:paraId="5EA26829" w14:textId="77777777" w:rsidR="003C66EB" w:rsidRDefault="003C66EB">
            <w:pPr>
              <w:rPr>
                <w:rFonts w:ascii="宋体"/>
              </w:rPr>
            </w:pPr>
          </w:p>
        </w:tc>
        <w:tc>
          <w:tcPr>
            <w:tcW w:w="0" w:type="auto"/>
            <w:shd w:val="clear" w:color="auto" w:fill="auto"/>
          </w:tcPr>
          <w:p w14:paraId="5EA2682A" w14:textId="77777777" w:rsidR="003C66EB" w:rsidRDefault="003C66EB">
            <w:pPr>
              <w:rPr>
                <w:rFonts w:ascii="宋体"/>
              </w:rPr>
            </w:pPr>
          </w:p>
        </w:tc>
        <w:tc>
          <w:tcPr>
            <w:tcW w:w="0" w:type="auto"/>
            <w:shd w:val="clear" w:color="auto" w:fill="auto"/>
          </w:tcPr>
          <w:p w14:paraId="5EA2682B" w14:textId="77777777" w:rsidR="003C66EB" w:rsidRDefault="003C66EB">
            <w:pPr>
              <w:rPr>
                <w:rFonts w:ascii="宋体"/>
              </w:rPr>
            </w:pPr>
          </w:p>
        </w:tc>
        <w:tc>
          <w:tcPr>
            <w:tcW w:w="0" w:type="auto"/>
            <w:shd w:val="clear" w:color="auto" w:fill="auto"/>
          </w:tcPr>
          <w:p w14:paraId="5EA2682C" w14:textId="77777777" w:rsidR="003C66EB" w:rsidRDefault="003C66EB">
            <w:pPr>
              <w:rPr>
                <w:rFonts w:ascii="宋体"/>
              </w:rPr>
            </w:pPr>
          </w:p>
        </w:tc>
        <w:tc>
          <w:tcPr>
            <w:tcW w:w="0" w:type="auto"/>
            <w:shd w:val="clear" w:color="auto" w:fill="auto"/>
          </w:tcPr>
          <w:p w14:paraId="5EA2682D" w14:textId="77777777" w:rsidR="003C66EB" w:rsidRDefault="003C66EB">
            <w:pPr>
              <w:rPr>
                <w:rFonts w:ascii="宋体"/>
              </w:rPr>
            </w:pPr>
          </w:p>
        </w:tc>
        <w:tc>
          <w:tcPr>
            <w:tcW w:w="0" w:type="auto"/>
            <w:shd w:val="clear" w:color="auto" w:fill="auto"/>
          </w:tcPr>
          <w:p w14:paraId="5EA2682E" w14:textId="77777777" w:rsidR="003C66EB" w:rsidRDefault="003C66EB">
            <w:pPr>
              <w:rPr>
                <w:rFonts w:ascii="宋体"/>
              </w:rPr>
            </w:pPr>
          </w:p>
        </w:tc>
        <w:tc>
          <w:tcPr>
            <w:tcW w:w="0" w:type="auto"/>
            <w:shd w:val="clear" w:color="auto" w:fill="auto"/>
          </w:tcPr>
          <w:p w14:paraId="5EA2682F" w14:textId="77777777" w:rsidR="003C66EB" w:rsidRDefault="003C66EB">
            <w:pPr>
              <w:rPr>
                <w:rFonts w:ascii="宋体"/>
              </w:rPr>
            </w:pPr>
          </w:p>
        </w:tc>
        <w:tc>
          <w:tcPr>
            <w:tcW w:w="0" w:type="auto"/>
            <w:shd w:val="clear" w:color="auto" w:fill="auto"/>
          </w:tcPr>
          <w:p w14:paraId="5EA26830" w14:textId="77777777" w:rsidR="003C66EB" w:rsidRDefault="003C66EB">
            <w:pPr>
              <w:rPr>
                <w:rFonts w:ascii="宋体"/>
              </w:rPr>
            </w:pPr>
          </w:p>
        </w:tc>
      </w:tr>
      <w:tr w:rsidR="003C66EB" w14:paraId="5EA2683E" w14:textId="77777777">
        <w:trPr>
          <w:hidden/>
        </w:trPr>
        <w:tc>
          <w:tcPr>
            <w:tcW w:w="0" w:type="auto"/>
            <w:gridSpan w:val="3"/>
            <w:shd w:val="clear" w:color="auto" w:fill="auto"/>
          </w:tcPr>
          <w:p w14:paraId="5EA26832" w14:textId="77777777" w:rsidR="003C66EB" w:rsidRDefault="003C66EB">
            <w:pPr>
              <w:rPr>
                <w:rFonts w:ascii="宋体"/>
                <w:vanish/>
              </w:rPr>
            </w:pPr>
          </w:p>
        </w:tc>
        <w:tc>
          <w:tcPr>
            <w:tcW w:w="0" w:type="auto"/>
            <w:gridSpan w:val="3"/>
            <w:shd w:val="clear" w:color="auto" w:fill="auto"/>
          </w:tcPr>
          <w:p w14:paraId="5EA26833" w14:textId="77777777" w:rsidR="003C66EB" w:rsidRDefault="003C66EB">
            <w:pPr>
              <w:rPr>
                <w:rFonts w:ascii="宋体"/>
                <w:vanish/>
              </w:rPr>
            </w:pPr>
          </w:p>
        </w:tc>
        <w:tc>
          <w:tcPr>
            <w:tcW w:w="0" w:type="auto"/>
            <w:gridSpan w:val="3"/>
            <w:shd w:val="clear" w:color="auto" w:fill="auto"/>
          </w:tcPr>
          <w:p w14:paraId="5EA26834" w14:textId="77777777" w:rsidR="003C66EB" w:rsidRDefault="003C66EB">
            <w:pPr>
              <w:rPr>
                <w:rFonts w:ascii="宋体"/>
                <w:vanish/>
              </w:rPr>
            </w:pPr>
          </w:p>
        </w:tc>
        <w:tc>
          <w:tcPr>
            <w:tcW w:w="0" w:type="auto"/>
            <w:gridSpan w:val="3"/>
            <w:shd w:val="clear" w:color="auto" w:fill="auto"/>
          </w:tcPr>
          <w:p w14:paraId="5EA26835" w14:textId="77777777" w:rsidR="003C66EB" w:rsidRDefault="003C66EB">
            <w:pPr>
              <w:rPr>
                <w:rFonts w:ascii="宋体"/>
                <w:vanish/>
              </w:rPr>
            </w:pPr>
          </w:p>
        </w:tc>
        <w:tc>
          <w:tcPr>
            <w:tcW w:w="0" w:type="auto"/>
            <w:gridSpan w:val="3"/>
            <w:shd w:val="clear" w:color="auto" w:fill="auto"/>
          </w:tcPr>
          <w:p w14:paraId="5EA26836" w14:textId="77777777" w:rsidR="003C66EB" w:rsidRDefault="003C66EB">
            <w:pPr>
              <w:rPr>
                <w:rFonts w:ascii="宋体"/>
                <w:vanish/>
              </w:rPr>
            </w:pPr>
          </w:p>
        </w:tc>
        <w:tc>
          <w:tcPr>
            <w:tcW w:w="0" w:type="auto"/>
            <w:gridSpan w:val="3"/>
            <w:shd w:val="clear" w:color="auto" w:fill="auto"/>
          </w:tcPr>
          <w:p w14:paraId="5EA26837" w14:textId="77777777" w:rsidR="003C66EB" w:rsidRDefault="003C66EB">
            <w:pPr>
              <w:rPr>
                <w:rFonts w:ascii="宋体"/>
                <w:vanish/>
              </w:rPr>
            </w:pPr>
          </w:p>
        </w:tc>
        <w:tc>
          <w:tcPr>
            <w:tcW w:w="0" w:type="auto"/>
            <w:gridSpan w:val="3"/>
            <w:shd w:val="clear" w:color="auto" w:fill="auto"/>
          </w:tcPr>
          <w:p w14:paraId="5EA26838" w14:textId="77777777" w:rsidR="003C66EB" w:rsidRDefault="003C66EB">
            <w:pPr>
              <w:rPr>
                <w:rFonts w:ascii="宋体"/>
                <w:vanish/>
              </w:rPr>
            </w:pPr>
          </w:p>
        </w:tc>
        <w:tc>
          <w:tcPr>
            <w:tcW w:w="0" w:type="auto"/>
            <w:gridSpan w:val="3"/>
            <w:shd w:val="clear" w:color="auto" w:fill="auto"/>
          </w:tcPr>
          <w:p w14:paraId="5EA26839" w14:textId="77777777" w:rsidR="003C66EB" w:rsidRDefault="003C66EB">
            <w:pPr>
              <w:rPr>
                <w:rFonts w:ascii="宋体"/>
                <w:vanish/>
              </w:rPr>
            </w:pPr>
          </w:p>
        </w:tc>
        <w:tc>
          <w:tcPr>
            <w:tcW w:w="0" w:type="auto"/>
            <w:gridSpan w:val="3"/>
            <w:shd w:val="clear" w:color="auto" w:fill="auto"/>
          </w:tcPr>
          <w:p w14:paraId="5EA2683A" w14:textId="77777777" w:rsidR="003C66EB" w:rsidRDefault="003C66EB">
            <w:pPr>
              <w:rPr>
                <w:rFonts w:ascii="宋体"/>
                <w:vanish/>
              </w:rPr>
            </w:pPr>
          </w:p>
        </w:tc>
        <w:tc>
          <w:tcPr>
            <w:tcW w:w="0" w:type="auto"/>
            <w:gridSpan w:val="3"/>
            <w:shd w:val="clear" w:color="auto" w:fill="auto"/>
          </w:tcPr>
          <w:p w14:paraId="5EA2683B" w14:textId="77777777" w:rsidR="003C66EB" w:rsidRDefault="003C66EB">
            <w:pPr>
              <w:rPr>
                <w:rFonts w:ascii="宋体"/>
                <w:vanish/>
              </w:rPr>
            </w:pPr>
          </w:p>
        </w:tc>
        <w:tc>
          <w:tcPr>
            <w:tcW w:w="0" w:type="auto"/>
            <w:gridSpan w:val="3"/>
            <w:shd w:val="clear" w:color="auto" w:fill="auto"/>
          </w:tcPr>
          <w:p w14:paraId="5EA2683C" w14:textId="77777777" w:rsidR="003C66EB" w:rsidRDefault="003C66EB">
            <w:pPr>
              <w:rPr>
                <w:rFonts w:ascii="宋体"/>
                <w:vanish/>
              </w:rPr>
            </w:pPr>
          </w:p>
        </w:tc>
        <w:tc>
          <w:tcPr>
            <w:tcW w:w="0" w:type="auto"/>
            <w:gridSpan w:val="3"/>
            <w:shd w:val="clear" w:color="auto" w:fill="auto"/>
          </w:tcPr>
          <w:p w14:paraId="5EA2683D" w14:textId="77777777" w:rsidR="003C66EB" w:rsidRDefault="003C66EB">
            <w:pPr>
              <w:rPr>
                <w:rFonts w:ascii="宋体"/>
                <w:vanish/>
              </w:rPr>
            </w:pPr>
          </w:p>
        </w:tc>
      </w:tr>
      <w:tr w:rsidR="003C66EB" w14:paraId="5EA2684B" w14:textId="77777777">
        <w:trPr>
          <w:hidden/>
        </w:trPr>
        <w:tc>
          <w:tcPr>
            <w:tcW w:w="0" w:type="auto"/>
            <w:gridSpan w:val="3"/>
            <w:shd w:val="clear" w:color="auto" w:fill="auto"/>
          </w:tcPr>
          <w:p w14:paraId="5EA2683F" w14:textId="77777777" w:rsidR="003C66EB" w:rsidRDefault="003C66EB">
            <w:pPr>
              <w:rPr>
                <w:rFonts w:ascii="宋体"/>
                <w:vanish/>
              </w:rPr>
            </w:pPr>
          </w:p>
        </w:tc>
        <w:tc>
          <w:tcPr>
            <w:tcW w:w="0" w:type="auto"/>
            <w:gridSpan w:val="3"/>
            <w:shd w:val="clear" w:color="auto" w:fill="auto"/>
          </w:tcPr>
          <w:p w14:paraId="5EA26840" w14:textId="77777777" w:rsidR="003C66EB" w:rsidRDefault="003C66EB">
            <w:pPr>
              <w:rPr>
                <w:rFonts w:ascii="宋体"/>
                <w:vanish/>
              </w:rPr>
            </w:pPr>
          </w:p>
        </w:tc>
        <w:tc>
          <w:tcPr>
            <w:tcW w:w="0" w:type="auto"/>
            <w:gridSpan w:val="3"/>
            <w:shd w:val="clear" w:color="auto" w:fill="auto"/>
          </w:tcPr>
          <w:p w14:paraId="5EA26841" w14:textId="77777777" w:rsidR="003C66EB" w:rsidRDefault="003C66EB">
            <w:pPr>
              <w:rPr>
                <w:rFonts w:ascii="宋体"/>
                <w:vanish/>
              </w:rPr>
            </w:pPr>
          </w:p>
        </w:tc>
        <w:tc>
          <w:tcPr>
            <w:tcW w:w="0" w:type="auto"/>
            <w:gridSpan w:val="3"/>
            <w:shd w:val="clear" w:color="auto" w:fill="auto"/>
          </w:tcPr>
          <w:p w14:paraId="5EA26842" w14:textId="77777777" w:rsidR="003C66EB" w:rsidRDefault="003C66EB">
            <w:pPr>
              <w:rPr>
                <w:rFonts w:ascii="宋体"/>
                <w:vanish/>
              </w:rPr>
            </w:pPr>
          </w:p>
        </w:tc>
        <w:tc>
          <w:tcPr>
            <w:tcW w:w="0" w:type="auto"/>
            <w:gridSpan w:val="3"/>
            <w:shd w:val="clear" w:color="auto" w:fill="auto"/>
          </w:tcPr>
          <w:p w14:paraId="5EA26843" w14:textId="77777777" w:rsidR="003C66EB" w:rsidRDefault="003C66EB">
            <w:pPr>
              <w:rPr>
                <w:rFonts w:ascii="宋体"/>
                <w:vanish/>
              </w:rPr>
            </w:pPr>
          </w:p>
        </w:tc>
        <w:tc>
          <w:tcPr>
            <w:tcW w:w="0" w:type="auto"/>
            <w:gridSpan w:val="3"/>
            <w:shd w:val="clear" w:color="auto" w:fill="auto"/>
          </w:tcPr>
          <w:p w14:paraId="5EA26844" w14:textId="77777777" w:rsidR="003C66EB" w:rsidRDefault="003C66EB">
            <w:pPr>
              <w:rPr>
                <w:rFonts w:ascii="宋体"/>
                <w:vanish/>
              </w:rPr>
            </w:pPr>
          </w:p>
        </w:tc>
        <w:tc>
          <w:tcPr>
            <w:tcW w:w="0" w:type="auto"/>
            <w:gridSpan w:val="3"/>
            <w:shd w:val="clear" w:color="auto" w:fill="auto"/>
          </w:tcPr>
          <w:p w14:paraId="5EA26845" w14:textId="77777777" w:rsidR="003C66EB" w:rsidRDefault="003C66EB">
            <w:pPr>
              <w:rPr>
                <w:rFonts w:ascii="宋体"/>
                <w:vanish/>
              </w:rPr>
            </w:pPr>
          </w:p>
        </w:tc>
        <w:tc>
          <w:tcPr>
            <w:tcW w:w="0" w:type="auto"/>
            <w:gridSpan w:val="3"/>
            <w:shd w:val="clear" w:color="auto" w:fill="auto"/>
          </w:tcPr>
          <w:p w14:paraId="5EA26846" w14:textId="77777777" w:rsidR="003C66EB" w:rsidRDefault="003C66EB">
            <w:pPr>
              <w:rPr>
                <w:rFonts w:ascii="宋体"/>
                <w:vanish/>
              </w:rPr>
            </w:pPr>
          </w:p>
        </w:tc>
        <w:tc>
          <w:tcPr>
            <w:tcW w:w="0" w:type="auto"/>
            <w:gridSpan w:val="3"/>
            <w:shd w:val="clear" w:color="auto" w:fill="auto"/>
          </w:tcPr>
          <w:p w14:paraId="5EA26847" w14:textId="77777777" w:rsidR="003C66EB" w:rsidRDefault="003C66EB">
            <w:pPr>
              <w:rPr>
                <w:rFonts w:ascii="宋体"/>
                <w:vanish/>
              </w:rPr>
            </w:pPr>
          </w:p>
        </w:tc>
        <w:tc>
          <w:tcPr>
            <w:tcW w:w="0" w:type="auto"/>
            <w:gridSpan w:val="3"/>
            <w:shd w:val="clear" w:color="auto" w:fill="auto"/>
          </w:tcPr>
          <w:p w14:paraId="5EA26848" w14:textId="77777777" w:rsidR="003C66EB" w:rsidRDefault="003C66EB">
            <w:pPr>
              <w:rPr>
                <w:rFonts w:ascii="宋体"/>
                <w:vanish/>
              </w:rPr>
            </w:pPr>
          </w:p>
        </w:tc>
        <w:tc>
          <w:tcPr>
            <w:tcW w:w="0" w:type="auto"/>
            <w:gridSpan w:val="3"/>
            <w:shd w:val="clear" w:color="auto" w:fill="auto"/>
          </w:tcPr>
          <w:p w14:paraId="5EA26849" w14:textId="77777777" w:rsidR="003C66EB" w:rsidRDefault="003C66EB">
            <w:pPr>
              <w:rPr>
                <w:rFonts w:ascii="宋体"/>
                <w:vanish/>
              </w:rPr>
            </w:pPr>
          </w:p>
        </w:tc>
        <w:tc>
          <w:tcPr>
            <w:tcW w:w="0" w:type="auto"/>
            <w:gridSpan w:val="3"/>
            <w:shd w:val="clear" w:color="auto" w:fill="auto"/>
          </w:tcPr>
          <w:p w14:paraId="5EA2684A" w14:textId="77777777" w:rsidR="003C66EB" w:rsidRDefault="003C66EB">
            <w:pPr>
              <w:rPr>
                <w:rFonts w:ascii="宋体"/>
                <w:vanish/>
              </w:rPr>
            </w:pPr>
          </w:p>
        </w:tc>
      </w:tr>
      <w:tr w:rsidR="003C66EB" w14:paraId="5EA26858" w14:textId="77777777">
        <w:trPr>
          <w:hidden/>
        </w:trPr>
        <w:tc>
          <w:tcPr>
            <w:tcW w:w="0" w:type="auto"/>
            <w:gridSpan w:val="3"/>
            <w:shd w:val="clear" w:color="auto" w:fill="auto"/>
          </w:tcPr>
          <w:p w14:paraId="5EA2684C" w14:textId="77777777" w:rsidR="003C66EB" w:rsidRDefault="003C66EB">
            <w:pPr>
              <w:rPr>
                <w:rFonts w:ascii="宋体"/>
                <w:vanish/>
              </w:rPr>
            </w:pPr>
          </w:p>
        </w:tc>
        <w:tc>
          <w:tcPr>
            <w:tcW w:w="0" w:type="auto"/>
            <w:gridSpan w:val="3"/>
            <w:shd w:val="clear" w:color="auto" w:fill="auto"/>
          </w:tcPr>
          <w:p w14:paraId="5EA2684D" w14:textId="77777777" w:rsidR="003C66EB" w:rsidRDefault="003C66EB">
            <w:pPr>
              <w:rPr>
                <w:rFonts w:ascii="宋体"/>
                <w:vanish/>
              </w:rPr>
            </w:pPr>
          </w:p>
        </w:tc>
        <w:tc>
          <w:tcPr>
            <w:tcW w:w="0" w:type="auto"/>
            <w:gridSpan w:val="3"/>
            <w:shd w:val="clear" w:color="auto" w:fill="auto"/>
          </w:tcPr>
          <w:p w14:paraId="5EA2684E" w14:textId="77777777" w:rsidR="003C66EB" w:rsidRDefault="003C66EB">
            <w:pPr>
              <w:rPr>
                <w:rFonts w:ascii="宋体"/>
                <w:vanish/>
              </w:rPr>
            </w:pPr>
          </w:p>
        </w:tc>
        <w:tc>
          <w:tcPr>
            <w:tcW w:w="0" w:type="auto"/>
            <w:gridSpan w:val="3"/>
            <w:shd w:val="clear" w:color="auto" w:fill="auto"/>
          </w:tcPr>
          <w:p w14:paraId="5EA2684F" w14:textId="77777777" w:rsidR="003C66EB" w:rsidRDefault="003C66EB">
            <w:pPr>
              <w:rPr>
                <w:rFonts w:ascii="宋体"/>
                <w:vanish/>
              </w:rPr>
            </w:pPr>
          </w:p>
        </w:tc>
        <w:tc>
          <w:tcPr>
            <w:tcW w:w="0" w:type="auto"/>
            <w:gridSpan w:val="3"/>
            <w:shd w:val="clear" w:color="auto" w:fill="auto"/>
          </w:tcPr>
          <w:p w14:paraId="5EA26850" w14:textId="77777777" w:rsidR="003C66EB" w:rsidRDefault="003C66EB">
            <w:pPr>
              <w:rPr>
                <w:rFonts w:ascii="宋体"/>
                <w:vanish/>
              </w:rPr>
            </w:pPr>
          </w:p>
        </w:tc>
        <w:tc>
          <w:tcPr>
            <w:tcW w:w="0" w:type="auto"/>
            <w:gridSpan w:val="3"/>
            <w:shd w:val="clear" w:color="auto" w:fill="auto"/>
          </w:tcPr>
          <w:p w14:paraId="5EA26851" w14:textId="77777777" w:rsidR="003C66EB" w:rsidRDefault="003C66EB">
            <w:pPr>
              <w:rPr>
                <w:rFonts w:ascii="宋体"/>
                <w:vanish/>
              </w:rPr>
            </w:pPr>
          </w:p>
        </w:tc>
        <w:tc>
          <w:tcPr>
            <w:tcW w:w="0" w:type="auto"/>
            <w:gridSpan w:val="3"/>
            <w:shd w:val="clear" w:color="auto" w:fill="auto"/>
          </w:tcPr>
          <w:p w14:paraId="5EA26852" w14:textId="77777777" w:rsidR="003C66EB" w:rsidRDefault="003C66EB">
            <w:pPr>
              <w:rPr>
                <w:rFonts w:ascii="宋体"/>
                <w:vanish/>
              </w:rPr>
            </w:pPr>
          </w:p>
        </w:tc>
        <w:tc>
          <w:tcPr>
            <w:tcW w:w="0" w:type="auto"/>
            <w:gridSpan w:val="3"/>
            <w:shd w:val="clear" w:color="auto" w:fill="auto"/>
          </w:tcPr>
          <w:p w14:paraId="5EA26853" w14:textId="77777777" w:rsidR="003C66EB" w:rsidRDefault="003C66EB">
            <w:pPr>
              <w:rPr>
                <w:rFonts w:ascii="宋体"/>
                <w:vanish/>
              </w:rPr>
            </w:pPr>
          </w:p>
        </w:tc>
        <w:tc>
          <w:tcPr>
            <w:tcW w:w="0" w:type="auto"/>
            <w:gridSpan w:val="3"/>
            <w:shd w:val="clear" w:color="auto" w:fill="auto"/>
          </w:tcPr>
          <w:p w14:paraId="5EA26854" w14:textId="77777777" w:rsidR="003C66EB" w:rsidRDefault="003C66EB">
            <w:pPr>
              <w:rPr>
                <w:rFonts w:ascii="宋体"/>
                <w:vanish/>
              </w:rPr>
            </w:pPr>
          </w:p>
        </w:tc>
        <w:tc>
          <w:tcPr>
            <w:tcW w:w="0" w:type="auto"/>
            <w:gridSpan w:val="3"/>
            <w:shd w:val="clear" w:color="auto" w:fill="auto"/>
          </w:tcPr>
          <w:p w14:paraId="5EA26855" w14:textId="77777777" w:rsidR="003C66EB" w:rsidRDefault="003C66EB">
            <w:pPr>
              <w:rPr>
                <w:rFonts w:ascii="宋体"/>
                <w:vanish/>
              </w:rPr>
            </w:pPr>
          </w:p>
        </w:tc>
        <w:tc>
          <w:tcPr>
            <w:tcW w:w="0" w:type="auto"/>
            <w:gridSpan w:val="3"/>
            <w:shd w:val="clear" w:color="auto" w:fill="auto"/>
          </w:tcPr>
          <w:p w14:paraId="5EA26856" w14:textId="77777777" w:rsidR="003C66EB" w:rsidRDefault="003C66EB">
            <w:pPr>
              <w:rPr>
                <w:rFonts w:ascii="宋体"/>
                <w:vanish/>
              </w:rPr>
            </w:pPr>
          </w:p>
        </w:tc>
        <w:tc>
          <w:tcPr>
            <w:tcW w:w="0" w:type="auto"/>
            <w:gridSpan w:val="3"/>
            <w:shd w:val="clear" w:color="auto" w:fill="auto"/>
          </w:tcPr>
          <w:p w14:paraId="5EA26857" w14:textId="77777777" w:rsidR="003C66EB" w:rsidRDefault="003C66EB">
            <w:pPr>
              <w:rPr>
                <w:rFonts w:ascii="宋体"/>
                <w:vanish/>
              </w:rPr>
            </w:pPr>
          </w:p>
        </w:tc>
      </w:tr>
      <w:tr w:rsidR="003C66EB" w14:paraId="5EA26865" w14:textId="77777777">
        <w:trPr>
          <w:hidden/>
        </w:trPr>
        <w:tc>
          <w:tcPr>
            <w:tcW w:w="0" w:type="auto"/>
            <w:gridSpan w:val="3"/>
            <w:shd w:val="clear" w:color="auto" w:fill="auto"/>
          </w:tcPr>
          <w:p w14:paraId="5EA26859" w14:textId="77777777" w:rsidR="003C66EB" w:rsidRDefault="003C66EB">
            <w:pPr>
              <w:rPr>
                <w:rFonts w:ascii="宋体"/>
                <w:vanish/>
              </w:rPr>
            </w:pPr>
          </w:p>
        </w:tc>
        <w:tc>
          <w:tcPr>
            <w:tcW w:w="0" w:type="auto"/>
            <w:gridSpan w:val="3"/>
            <w:shd w:val="clear" w:color="auto" w:fill="auto"/>
          </w:tcPr>
          <w:p w14:paraId="5EA2685A" w14:textId="77777777" w:rsidR="003C66EB" w:rsidRDefault="003C66EB">
            <w:pPr>
              <w:rPr>
                <w:rFonts w:ascii="宋体"/>
                <w:vanish/>
              </w:rPr>
            </w:pPr>
          </w:p>
        </w:tc>
        <w:tc>
          <w:tcPr>
            <w:tcW w:w="0" w:type="auto"/>
            <w:gridSpan w:val="3"/>
            <w:shd w:val="clear" w:color="auto" w:fill="auto"/>
          </w:tcPr>
          <w:p w14:paraId="5EA2685B" w14:textId="77777777" w:rsidR="003C66EB" w:rsidRDefault="003C66EB">
            <w:pPr>
              <w:rPr>
                <w:rFonts w:ascii="宋体"/>
                <w:vanish/>
              </w:rPr>
            </w:pPr>
          </w:p>
        </w:tc>
        <w:tc>
          <w:tcPr>
            <w:tcW w:w="0" w:type="auto"/>
            <w:gridSpan w:val="3"/>
            <w:shd w:val="clear" w:color="auto" w:fill="auto"/>
          </w:tcPr>
          <w:p w14:paraId="5EA2685C" w14:textId="77777777" w:rsidR="003C66EB" w:rsidRDefault="003C66EB">
            <w:pPr>
              <w:rPr>
                <w:rFonts w:ascii="宋体"/>
                <w:vanish/>
              </w:rPr>
            </w:pPr>
          </w:p>
        </w:tc>
        <w:tc>
          <w:tcPr>
            <w:tcW w:w="0" w:type="auto"/>
            <w:gridSpan w:val="3"/>
            <w:shd w:val="clear" w:color="auto" w:fill="auto"/>
          </w:tcPr>
          <w:p w14:paraId="5EA2685D" w14:textId="77777777" w:rsidR="003C66EB" w:rsidRDefault="003C66EB">
            <w:pPr>
              <w:rPr>
                <w:rFonts w:ascii="宋体"/>
                <w:vanish/>
              </w:rPr>
            </w:pPr>
          </w:p>
        </w:tc>
        <w:tc>
          <w:tcPr>
            <w:tcW w:w="0" w:type="auto"/>
            <w:gridSpan w:val="3"/>
            <w:shd w:val="clear" w:color="auto" w:fill="auto"/>
          </w:tcPr>
          <w:p w14:paraId="5EA2685E" w14:textId="77777777" w:rsidR="003C66EB" w:rsidRDefault="003C66EB">
            <w:pPr>
              <w:rPr>
                <w:rFonts w:ascii="宋体"/>
                <w:vanish/>
              </w:rPr>
            </w:pPr>
          </w:p>
        </w:tc>
        <w:tc>
          <w:tcPr>
            <w:tcW w:w="0" w:type="auto"/>
            <w:gridSpan w:val="3"/>
            <w:shd w:val="clear" w:color="auto" w:fill="auto"/>
          </w:tcPr>
          <w:p w14:paraId="5EA2685F" w14:textId="77777777" w:rsidR="003C66EB" w:rsidRDefault="003C66EB">
            <w:pPr>
              <w:rPr>
                <w:rFonts w:ascii="宋体"/>
                <w:vanish/>
              </w:rPr>
            </w:pPr>
          </w:p>
        </w:tc>
        <w:tc>
          <w:tcPr>
            <w:tcW w:w="0" w:type="auto"/>
            <w:gridSpan w:val="3"/>
            <w:shd w:val="clear" w:color="auto" w:fill="auto"/>
          </w:tcPr>
          <w:p w14:paraId="5EA26860" w14:textId="77777777" w:rsidR="003C66EB" w:rsidRDefault="003C66EB">
            <w:pPr>
              <w:rPr>
                <w:rFonts w:ascii="宋体"/>
                <w:vanish/>
              </w:rPr>
            </w:pPr>
          </w:p>
        </w:tc>
        <w:tc>
          <w:tcPr>
            <w:tcW w:w="0" w:type="auto"/>
            <w:gridSpan w:val="3"/>
            <w:shd w:val="clear" w:color="auto" w:fill="auto"/>
          </w:tcPr>
          <w:p w14:paraId="5EA26861" w14:textId="77777777" w:rsidR="003C66EB" w:rsidRDefault="003C66EB">
            <w:pPr>
              <w:rPr>
                <w:rFonts w:ascii="宋体"/>
                <w:vanish/>
              </w:rPr>
            </w:pPr>
          </w:p>
        </w:tc>
        <w:tc>
          <w:tcPr>
            <w:tcW w:w="0" w:type="auto"/>
            <w:gridSpan w:val="3"/>
            <w:shd w:val="clear" w:color="auto" w:fill="auto"/>
          </w:tcPr>
          <w:p w14:paraId="5EA26862" w14:textId="77777777" w:rsidR="003C66EB" w:rsidRDefault="003C66EB">
            <w:pPr>
              <w:rPr>
                <w:rFonts w:ascii="宋体"/>
                <w:vanish/>
              </w:rPr>
            </w:pPr>
          </w:p>
        </w:tc>
        <w:tc>
          <w:tcPr>
            <w:tcW w:w="0" w:type="auto"/>
            <w:gridSpan w:val="3"/>
            <w:shd w:val="clear" w:color="auto" w:fill="auto"/>
          </w:tcPr>
          <w:p w14:paraId="5EA26863" w14:textId="77777777" w:rsidR="003C66EB" w:rsidRDefault="003C66EB">
            <w:pPr>
              <w:rPr>
                <w:rFonts w:ascii="宋体"/>
                <w:vanish/>
              </w:rPr>
            </w:pPr>
          </w:p>
        </w:tc>
        <w:tc>
          <w:tcPr>
            <w:tcW w:w="0" w:type="auto"/>
            <w:gridSpan w:val="3"/>
            <w:shd w:val="clear" w:color="auto" w:fill="auto"/>
          </w:tcPr>
          <w:p w14:paraId="5EA26864" w14:textId="77777777" w:rsidR="003C66EB" w:rsidRDefault="003C66EB">
            <w:pPr>
              <w:rPr>
                <w:rFonts w:ascii="宋体"/>
                <w:vanish/>
              </w:rPr>
            </w:pPr>
          </w:p>
        </w:tc>
      </w:tr>
      <w:tr w:rsidR="003C66EB" w14:paraId="5EA26872" w14:textId="77777777">
        <w:trPr>
          <w:hidden/>
        </w:trPr>
        <w:tc>
          <w:tcPr>
            <w:tcW w:w="0" w:type="auto"/>
            <w:gridSpan w:val="3"/>
            <w:shd w:val="clear" w:color="auto" w:fill="auto"/>
          </w:tcPr>
          <w:p w14:paraId="5EA26866" w14:textId="77777777" w:rsidR="003C66EB" w:rsidRDefault="003C66EB">
            <w:pPr>
              <w:rPr>
                <w:rFonts w:ascii="宋体"/>
                <w:vanish/>
              </w:rPr>
            </w:pPr>
          </w:p>
        </w:tc>
        <w:tc>
          <w:tcPr>
            <w:tcW w:w="0" w:type="auto"/>
            <w:gridSpan w:val="3"/>
            <w:shd w:val="clear" w:color="auto" w:fill="auto"/>
          </w:tcPr>
          <w:p w14:paraId="5EA26867" w14:textId="77777777" w:rsidR="003C66EB" w:rsidRDefault="003C66EB">
            <w:pPr>
              <w:rPr>
                <w:rFonts w:ascii="宋体"/>
                <w:vanish/>
              </w:rPr>
            </w:pPr>
          </w:p>
        </w:tc>
        <w:tc>
          <w:tcPr>
            <w:tcW w:w="0" w:type="auto"/>
            <w:gridSpan w:val="3"/>
            <w:shd w:val="clear" w:color="auto" w:fill="auto"/>
          </w:tcPr>
          <w:p w14:paraId="5EA26868" w14:textId="77777777" w:rsidR="003C66EB" w:rsidRDefault="003C66EB">
            <w:pPr>
              <w:rPr>
                <w:rFonts w:ascii="宋体"/>
                <w:vanish/>
              </w:rPr>
            </w:pPr>
          </w:p>
        </w:tc>
        <w:tc>
          <w:tcPr>
            <w:tcW w:w="0" w:type="auto"/>
            <w:gridSpan w:val="3"/>
            <w:shd w:val="clear" w:color="auto" w:fill="auto"/>
          </w:tcPr>
          <w:p w14:paraId="5EA26869" w14:textId="77777777" w:rsidR="003C66EB" w:rsidRDefault="003C66EB">
            <w:pPr>
              <w:rPr>
                <w:rFonts w:ascii="宋体"/>
                <w:vanish/>
              </w:rPr>
            </w:pPr>
          </w:p>
        </w:tc>
        <w:tc>
          <w:tcPr>
            <w:tcW w:w="0" w:type="auto"/>
            <w:gridSpan w:val="3"/>
            <w:shd w:val="clear" w:color="auto" w:fill="auto"/>
          </w:tcPr>
          <w:p w14:paraId="5EA2686A" w14:textId="77777777" w:rsidR="003C66EB" w:rsidRDefault="003C66EB">
            <w:pPr>
              <w:rPr>
                <w:rFonts w:ascii="宋体"/>
                <w:vanish/>
              </w:rPr>
            </w:pPr>
          </w:p>
        </w:tc>
        <w:tc>
          <w:tcPr>
            <w:tcW w:w="0" w:type="auto"/>
            <w:gridSpan w:val="3"/>
            <w:shd w:val="clear" w:color="auto" w:fill="auto"/>
          </w:tcPr>
          <w:p w14:paraId="5EA2686B" w14:textId="77777777" w:rsidR="003C66EB" w:rsidRDefault="003C66EB">
            <w:pPr>
              <w:rPr>
                <w:rFonts w:ascii="宋体"/>
                <w:vanish/>
              </w:rPr>
            </w:pPr>
          </w:p>
        </w:tc>
        <w:tc>
          <w:tcPr>
            <w:tcW w:w="0" w:type="auto"/>
            <w:gridSpan w:val="3"/>
            <w:shd w:val="clear" w:color="auto" w:fill="auto"/>
          </w:tcPr>
          <w:p w14:paraId="5EA2686C" w14:textId="77777777" w:rsidR="003C66EB" w:rsidRDefault="003C66EB">
            <w:pPr>
              <w:rPr>
                <w:rFonts w:ascii="宋体"/>
                <w:vanish/>
              </w:rPr>
            </w:pPr>
          </w:p>
        </w:tc>
        <w:tc>
          <w:tcPr>
            <w:tcW w:w="0" w:type="auto"/>
            <w:gridSpan w:val="3"/>
            <w:shd w:val="clear" w:color="auto" w:fill="auto"/>
          </w:tcPr>
          <w:p w14:paraId="5EA2686D" w14:textId="77777777" w:rsidR="003C66EB" w:rsidRDefault="003C66EB">
            <w:pPr>
              <w:rPr>
                <w:rFonts w:ascii="宋体"/>
                <w:vanish/>
              </w:rPr>
            </w:pPr>
          </w:p>
        </w:tc>
        <w:tc>
          <w:tcPr>
            <w:tcW w:w="0" w:type="auto"/>
            <w:gridSpan w:val="3"/>
            <w:shd w:val="clear" w:color="auto" w:fill="auto"/>
          </w:tcPr>
          <w:p w14:paraId="5EA2686E" w14:textId="77777777" w:rsidR="003C66EB" w:rsidRDefault="003C66EB">
            <w:pPr>
              <w:rPr>
                <w:rFonts w:ascii="宋体"/>
                <w:vanish/>
              </w:rPr>
            </w:pPr>
          </w:p>
        </w:tc>
        <w:tc>
          <w:tcPr>
            <w:tcW w:w="0" w:type="auto"/>
            <w:gridSpan w:val="3"/>
            <w:shd w:val="clear" w:color="auto" w:fill="auto"/>
          </w:tcPr>
          <w:p w14:paraId="5EA2686F" w14:textId="77777777" w:rsidR="003C66EB" w:rsidRDefault="003C66EB">
            <w:pPr>
              <w:rPr>
                <w:rFonts w:ascii="宋体"/>
                <w:vanish/>
              </w:rPr>
            </w:pPr>
          </w:p>
        </w:tc>
        <w:tc>
          <w:tcPr>
            <w:tcW w:w="0" w:type="auto"/>
            <w:gridSpan w:val="3"/>
            <w:shd w:val="clear" w:color="auto" w:fill="auto"/>
          </w:tcPr>
          <w:p w14:paraId="5EA26870" w14:textId="77777777" w:rsidR="003C66EB" w:rsidRDefault="003C66EB">
            <w:pPr>
              <w:rPr>
                <w:rFonts w:ascii="宋体"/>
                <w:vanish/>
              </w:rPr>
            </w:pPr>
          </w:p>
        </w:tc>
        <w:tc>
          <w:tcPr>
            <w:tcW w:w="0" w:type="auto"/>
            <w:gridSpan w:val="3"/>
            <w:shd w:val="clear" w:color="auto" w:fill="auto"/>
          </w:tcPr>
          <w:p w14:paraId="5EA26871" w14:textId="77777777" w:rsidR="003C66EB" w:rsidRDefault="003C66EB">
            <w:pPr>
              <w:rPr>
                <w:rFonts w:ascii="宋体"/>
                <w:vanish/>
              </w:rPr>
            </w:pPr>
          </w:p>
        </w:tc>
      </w:tr>
      <w:tr w:rsidR="003C66EB" w14:paraId="5EA2687F" w14:textId="77777777">
        <w:trPr>
          <w:hidden/>
        </w:trPr>
        <w:tc>
          <w:tcPr>
            <w:tcW w:w="0" w:type="auto"/>
            <w:gridSpan w:val="3"/>
            <w:shd w:val="clear" w:color="auto" w:fill="auto"/>
          </w:tcPr>
          <w:p w14:paraId="5EA26873" w14:textId="77777777" w:rsidR="003C66EB" w:rsidRDefault="003C66EB">
            <w:pPr>
              <w:rPr>
                <w:rFonts w:ascii="宋体"/>
                <w:vanish/>
              </w:rPr>
            </w:pPr>
          </w:p>
        </w:tc>
        <w:tc>
          <w:tcPr>
            <w:tcW w:w="0" w:type="auto"/>
            <w:gridSpan w:val="3"/>
            <w:shd w:val="clear" w:color="auto" w:fill="auto"/>
          </w:tcPr>
          <w:p w14:paraId="5EA26874" w14:textId="77777777" w:rsidR="003C66EB" w:rsidRDefault="003C66EB">
            <w:pPr>
              <w:rPr>
                <w:rFonts w:ascii="宋体"/>
                <w:vanish/>
              </w:rPr>
            </w:pPr>
          </w:p>
        </w:tc>
        <w:tc>
          <w:tcPr>
            <w:tcW w:w="0" w:type="auto"/>
            <w:gridSpan w:val="3"/>
            <w:shd w:val="clear" w:color="auto" w:fill="auto"/>
          </w:tcPr>
          <w:p w14:paraId="5EA26875" w14:textId="77777777" w:rsidR="003C66EB" w:rsidRDefault="003C66EB">
            <w:pPr>
              <w:rPr>
                <w:rFonts w:ascii="宋体"/>
                <w:vanish/>
              </w:rPr>
            </w:pPr>
          </w:p>
        </w:tc>
        <w:tc>
          <w:tcPr>
            <w:tcW w:w="0" w:type="auto"/>
            <w:gridSpan w:val="3"/>
            <w:shd w:val="clear" w:color="auto" w:fill="auto"/>
          </w:tcPr>
          <w:p w14:paraId="5EA26876" w14:textId="77777777" w:rsidR="003C66EB" w:rsidRDefault="003C66EB">
            <w:pPr>
              <w:rPr>
                <w:rFonts w:ascii="宋体"/>
                <w:vanish/>
              </w:rPr>
            </w:pPr>
          </w:p>
        </w:tc>
        <w:tc>
          <w:tcPr>
            <w:tcW w:w="0" w:type="auto"/>
            <w:gridSpan w:val="3"/>
            <w:shd w:val="clear" w:color="auto" w:fill="auto"/>
          </w:tcPr>
          <w:p w14:paraId="5EA26877" w14:textId="77777777" w:rsidR="003C66EB" w:rsidRDefault="003C66EB">
            <w:pPr>
              <w:rPr>
                <w:rFonts w:ascii="宋体"/>
                <w:vanish/>
              </w:rPr>
            </w:pPr>
          </w:p>
        </w:tc>
        <w:tc>
          <w:tcPr>
            <w:tcW w:w="0" w:type="auto"/>
            <w:gridSpan w:val="3"/>
            <w:shd w:val="clear" w:color="auto" w:fill="auto"/>
          </w:tcPr>
          <w:p w14:paraId="5EA26878" w14:textId="77777777" w:rsidR="003C66EB" w:rsidRDefault="003C66EB">
            <w:pPr>
              <w:rPr>
                <w:rFonts w:ascii="宋体"/>
                <w:vanish/>
              </w:rPr>
            </w:pPr>
          </w:p>
        </w:tc>
        <w:tc>
          <w:tcPr>
            <w:tcW w:w="0" w:type="auto"/>
            <w:gridSpan w:val="3"/>
            <w:shd w:val="clear" w:color="auto" w:fill="auto"/>
          </w:tcPr>
          <w:p w14:paraId="5EA26879" w14:textId="77777777" w:rsidR="003C66EB" w:rsidRDefault="003C66EB">
            <w:pPr>
              <w:rPr>
                <w:rFonts w:ascii="宋体"/>
                <w:vanish/>
              </w:rPr>
            </w:pPr>
          </w:p>
        </w:tc>
        <w:tc>
          <w:tcPr>
            <w:tcW w:w="0" w:type="auto"/>
            <w:gridSpan w:val="3"/>
            <w:shd w:val="clear" w:color="auto" w:fill="auto"/>
          </w:tcPr>
          <w:p w14:paraId="5EA2687A" w14:textId="77777777" w:rsidR="003C66EB" w:rsidRDefault="003C66EB">
            <w:pPr>
              <w:rPr>
                <w:rFonts w:ascii="宋体"/>
                <w:vanish/>
              </w:rPr>
            </w:pPr>
          </w:p>
        </w:tc>
        <w:tc>
          <w:tcPr>
            <w:tcW w:w="0" w:type="auto"/>
            <w:gridSpan w:val="3"/>
            <w:shd w:val="clear" w:color="auto" w:fill="auto"/>
          </w:tcPr>
          <w:p w14:paraId="5EA2687B" w14:textId="77777777" w:rsidR="003C66EB" w:rsidRDefault="003C66EB">
            <w:pPr>
              <w:rPr>
                <w:rFonts w:ascii="宋体"/>
                <w:vanish/>
              </w:rPr>
            </w:pPr>
          </w:p>
        </w:tc>
        <w:tc>
          <w:tcPr>
            <w:tcW w:w="0" w:type="auto"/>
            <w:gridSpan w:val="3"/>
            <w:shd w:val="clear" w:color="auto" w:fill="auto"/>
          </w:tcPr>
          <w:p w14:paraId="5EA2687C" w14:textId="77777777" w:rsidR="003C66EB" w:rsidRDefault="003C66EB">
            <w:pPr>
              <w:rPr>
                <w:rFonts w:ascii="宋体"/>
                <w:vanish/>
              </w:rPr>
            </w:pPr>
          </w:p>
        </w:tc>
        <w:tc>
          <w:tcPr>
            <w:tcW w:w="0" w:type="auto"/>
            <w:gridSpan w:val="3"/>
            <w:shd w:val="clear" w:color="auto" w:fill="auto"/>
          </w:tcPr>
          <w:p w14:paraId="5EA2687D" w14:textId="77777777" w:rsidR="003C66EB" w:rsidRDefault="003C66EB">
            <w:pPr>
              <w:rPr>
                <w:rFonts w:ascii="宋体"/>
                <w:vanish/>
              </w:rPr>
            </w:pPr>
          </w:p>
        </w:tc>
        <w:tc>
          <w:tcPr>
            <w:tcW w:w="0" w:type="auto"/>
            <w:gridSpan w:val="3"/>
            <w:shd w:val="clear" w:color="auto" w:fill="auto"/>
          </w:tcPr>
          <w:p w14:paraId="5EA2687E" w14:textId="77777777" w:rsidR="003C66EB" w:rsidRDefault="003C66EB">
            <w:pPr>
              <w:rPr>
                <w:rFonts w:ascii="宋体"/>
                <w:vanish/>
              </w:rPr>
            </w:pPr>
          </w:p>
        </w:tc>
      </w:tr>
      <w:tr w:rsidR="003C66EB" w14:paraId="5EA2688C" w14:textId="77777777">
        <w:trPr>
          <w:hidden/>
        </w:trPr>
        <w:tc>
          <w:tcPr>
            <w:tcW w:w="0" w:type="auto"/>
            <w:gridSpan w:val="3"/>
            <w:shd w:val="clear" w:color="auto" w:fill="auto"/>
          </w:tcPr>
          <w:p w14:paraId="5EA26880" w14:textId="77777777" w:rsidR="003C66EB" w:rsidRDefault="003C66EB">
            <w:pPr>
              <w:rPr>
                <w:rFonts w:ascii="宋体"/>
                <w:vanish/>
              </w:rPr>
            </w:pPr>
          </w:p>
        </w:tc>
        <w:tc>
          <w:tcPr>
            <w:tcW w:w="0" w:type="auto"/>
            <w:gridSpan w:val="3"/>
            <w:shd w:val="clear" w:color="auto" w:fill="auto"/>
          </w:tcPr>
          <w:p w14:paraId="5EA26881" w14:textId="77777777" w:rsidR="003C66EB" w:rsidRDefault="003C66EB">
            <w:pPr>
              <w:rPr>
                <w:rFonts w:ascii="宋体"/>
                <w:vanish/>
              </w:rPr>
            </w:pPr>
          </w:p>
        </w:tc>
        <w:tc>
          <w:tcPr>
            <w:tcW w:w="0" w:type="auto"/>
            <w:gridSpan w:val="3"/>
            <w:shd w:val="clear" w:color="auto" w:fill="auto"/>
          </w:tcPr>
          <w:p w14:paraId="5EA26882" w14:textId="77777777" w:rsidR="003C66EB" w:rsidRDefault="003C66EB">
            <w:pPr>
              <w:rPr>
                <w:rFonts w:ascii="宋体"/>
                <w:vanish/>
              </w:rPr>
            </w:pPr>
          </w:p>
        </w:tc>
        <w:tc>
          <w:tcPr>
            <w:tcW w:w="0" w:type="auto"/>
            <w:gridSpan w:val="3"/>
            <w:shd w:val="clear" w:color="auto" w:fill="auto"/>
          </w:tcPr>
          <w:p w14:paraId="5EA26883" w14:textId="77777777" w:rsidR="003C66EB" w:rsidRDefault="003C66EB">
            <w:pPr>
              <w:rPr>
                <w:rFonts w:ascii="宋体"/>
                <w:vanish/>
              </w:rPr>
            </w:pPr>
          </w:p>
        </w:tc>
        <w:tc>
          <w:tcPr>
            <w:tcW w:w="0" w:type="auto"/>
            <w:gridSpan w:val="3"/>
            <w:shd w:val="clear" w:color="auto" w:fill="auto"/>
          </w:tcPr>
          <w:p w14:paraId="5EA26884" w14:textId="77777777" w:rsidR="003C66EB" w:rsidRDefault="003C66EB">
            <w:pPr>
              <w:rPr>
                <w:rFonts w:ascii="宋体"/>
                <w:vanish/>
              </w:rPr>
            </w:pPr>
          </w:p>
        </w:tc>
        <w:tc>
          <w:tcPr>
            <w:tcW w:w="0" w:type="auto"/>
            <w:gridSpan w:val="3"/>
            <w:shd w:val="clear" w:color="auto" w:fill="auto"/>
          </w:tcPr>
          <w:p w14:paraId="5EA26885" w14:textId="77777777" w:rsidR="003C66EB" w:rsidRDefault="003C66EB">
            <w:pPr>
              <w:rPr>
                <w:rFonts w:ascii="宋体"/>
                <w:vanish/>
              </w:rPr>
            </w:pPr>
          </w:p>
        </w:tc>
        <w:tc>
          <w:tcPr>
            <w:tcW w:w="0" w:type="auto"/>
            <w:gridSpan w:val="3"/>
            <w:shd w:val="clear" w:color="auto" w:fill="auto"/>
          </w:tcPr>
          <w:p w14:paraId="5EA26886" w14:textId="77777777" w:rsidR="003C66EB" w:rsidRDefault="003C66EB">
            <w:pPr>
              <w:rPr>
                <w:rFonts w:ascii="宋体"/>
                <w:vanish/>
              </w:rPr>
            </w:pPr>
          </w:p>
        </w:tc>
        <w:tc>
          <w:tcPr>
            <w:tcW w:w="0" w:type="auto"/>
            <w:gridSpan w:val="3"/>
            <w:shd w:val="clear" w:color="auto" w:fill="auto"/>
          </w:tcPr>
          <w:p w14:paraId="5EA26887" w14:textId="77777777" w:rsidR="003C66EB" w:rsidRDefault="003C66EB">
            <w:pPr>
              <w:rPr>
                <w:rFonts w:ascii="宋体"/>
                <w:vanish/>
              </w:rPr>
            </w:pPr>
          </w:p>
        </w:tc>
        <w:tc>
          <w:tcPr>
            <w:tcW w:w="0" w:type="auto"/>
            <w:gridSpan w:val="3"/>
            <w:shd w:val="clear" w:color="auto" w:fill="auto"/>
          </w:tcPr>
          <w:p w14:paraId="5EA26888" w14:textId="77777777" w:rsidR="003C66EB" w:rsidRDefault="003C66EB">
            <w:pPr>
              <w:rPr>
                <w:rFonts w:ascii="宋体"/>
                <w:vanish/>
              </w:rPr>
            </w:pPr>
          </w:p>
        </w:tc>
        <w:tc>
          <w:tcPr>
            <w:tcW w:w="0" w:type="auto"/>
            <w:gridSpan w:val="3"/>
            <w:shd w:val="clear" w:color="auto" w:fill="auto"/>
          </w:tcPr>
          <w:p w14:paraId="5EA26889" w14:textId="77777777" w:rsidR="003C66EB" w:rsidRDefault="003C66EB">
            <w:pPr>
              <w:rPr>
                <w:rFonts w:ascii="宋体"/>
                <w:vanish/>
              </w:rPr>
            </w:pPr>
          </w:p>
        </w:tc>
        <w:tc>
          <w:tcPr>
            <w:tcW w:w="0" w:type="auto"/>
            <w:gridSpan w:val="3"/>
            <w:shd w:val="clear" w:color="auto" w:fill="auto"/>
          </w:tcPr>
          <w:p w14:paraId="5EA2688A" w14:textId="77777777" w:rsidR="003C66EB" w:rsidRDefault="003C66EB">
            <w:pPr>
              <w:rPr>
                <w:rFonts w:ascii="宋体"/>
                <w:vanish/>
              </w:rPr>
            </w:pPr>
          </w:p>
        </w:tc>
        <w:tc>
          <w:tcPr>
            <w:tcW w:w="0" w:type="auto"/>
            <w:gridSpan w:val="3"/>
            <w:shd w:val="clear" w:color="auto" w:fill="auto"/>
          </w:tcPr>
          <w:p w14:paraId="5EA2688B" w14:textId="77777777" w:rsidR="003C66EB" w:rsidRDefault="003C66EB">
            <w:pPr>
              <w:rPr>
                <w:rFonts w:ascii="宋体"/>
                <w:vanish/>
              </w:rPr>
            </w:pPr>
          </w:p>
        </w:tc>
      </w:tr>
      <w:tr w:rsidR="003C66EB" w14:paraId="5EA26899" w14:textId="77777777">
        <w:trPr>
          <w:hidden/>
        </w:trPr>
        <w:tc>
          <w:tcPr>
            <w:tcW w:w="0" w:type="auto"/>
            <w:gridSpan w:val="3"/>
            <w:shd w:val="clear" w:color="auto" w:fill="auto"/>
          </w:tcPr>
          <w:p w14:paraId="5EA2688D" w14:textId="77777777" w:rsidR="003C66EB" w:rsidRDefault="003C66EB">
            <w:pPr>
              <w:rPr>
                <w:rFonts w:ascii="宋体"/>
                <w:vanish/>
              </w:rPr>
            </w:pPr>
          </w:p>
        </w:tc>
        <w:tc>
          <w:tcPr>
            <w:tcW w:w="0" w:type="auto"/>
            <w:gridSpan w:val="3"/>
            <w:shd w:val="clear" w:color="auto" w:fill="auto"/>
          </w:tcPr>
          <w:p w14:paraId="5EA2688E" w14:textId="77777777" w:rsidR="003C66EB" w:rsidRDefault="003C66EB">
            <w:pPr>
              <w:rPr>
                <w:rFonts w:ascii="宋体"/>
                <w:vanish/>
              </w:rPr>
            </w:pPr>
          </w:p>
        </w:tc>
        <w:tc>
          <w:tcPr>
            <w:tcW w:w="0" w:type="auto"/>
            <w:gridSpan w:val="3"/>
            <w:shd w:val="clear" w:color="auto" w:fill="auto"/>
          </w:tcPr>
          <w:p w14:paraId="5EA2688F" w14:textId="77777777" w:rsidR="003C66EB" w:rsidRDefault="003C66EB">
            <w:pPr>
              <w:rPr>
                <w:rFonts w:ascii="宋体"/>
                <w:vanish/>
              </w:rPr>
            </w:pPr>
          </w:p>
        </w:tc>
        <w:tc>
          <w:tcPr>
            <w:tcW w:w="0" w:type="auto"/>
            <w:gridSpan w:val="3"/>
            <w:shd w:val="clear" w:color="auto" w:fill="auto"/>
          </w:tcPr>
          <w:p w14:paraId="5EA26890" w14:textId="77777777" w:rsidR="003C66EB" w:rsidRDefault="003C66EB">
            <w:pPr>
              <w:rPr>
                <w:rFonts w:ascii="宋体"/>
                <w:vanish/>
              </w:rPr>
            </w:pPr>
          </w:p>
        </w:tc>
        <w:tc>
          <w:tcPr>
            <w:tcW w:w="0" w:type="auto"/>
            <w:gridSpan w:val="3"/>
            <w:shd w:val="clear" w:color="auto" w:fill="auto"/>
          </w:tcPr>
          <w:p w14:paraId="5EA26891" w14:textId="77777777" w:rsidR="003C66EB" w:rsidRDefault="003C66EB">
            <w:pPr>
              <w:rPr>
                <w:rFonts w:ascii="宋体"/>
                <w:vanish/>
              </w:rPr>
            </w:pPr>
          </w:p>
        </w:tc>
        <w:tc>
          <w:tcPr>
            <w:tcW w:w="0" w:type="auto"/>
            <w:gridSpan w:val="3"/>
            <w:shd w:val="clear" w:color="auto" w:fill="auto"/>
          </w:tcPr>
          <w:p w14:paraId="5EA26892" w14:textId="77777777" w:rsidR="003C66EB" w:rsidRDefault="003C66EB">
            <w:pPr>
              <w:rPr>
                <w:rFonts w:ascii="宋体"/>
                <w:vanish/>
              </w:rPr>
            </w:pPr>
          </w:p>
        </w:tc>
        <w:tc>
          <w:tcPr>
            <w:tcW w:w="0" w:type="auto"/>
            <w:gridSpan w:val="3"/>
            <w:shd w:val="clear" w:color="auto" w:fill="auto"/>
          </w:tcPr>
          <w:p w14:paraId="5EA26893" w14:textId="77777777" w:rsidR="003C66EB" w:rsidRDefault="003C66EB">
            <w:pPr>
              <w:rPr>
                <w:rFonts w:ascii="宋体"/>
                <w:vanish/>
              </w:rPr>
            </w:pPr>
          </w:p>
        </w:tc>
        <w:tc>
          <w:tcPr>
            <w:tcW w:w="0" w:type="auto"/>
            <w:gridSpan w:val="3"/>
            <w:shd w:val="clear" w:color="auto" w:fill="auto"/>
          </w:tcPr>
          <w:p w14:paraId="5EA26894" w14:textId="77777777" w:rsidR="003C66EB" w:rsidRDefault="003C66EB">
            <w:pPr>
              <w:rPr>
                <w:rFonts w:ascii="宋体"/>
                <w:vanish/>
              </w:rPr>
            </w:pPr>
          </w:p>
        </w:tc>
        <w:tc>
          <w:tcPr>
            <w:tcW w:w="0" w:type="auto"/>
            <w:gridSpan w:val="3"/>
            <w:shd w:val="clear" w:color="auto" w:fill="auto"/>
          </w:tcPr>
          <w:p w14:paraId="5EA26895" w14:textId="77777777" w:rsidR="003C66EB" w:rsidRDefault="003C66EB">
            <w:pPr>
              <w:rPr>
                <w:rFonts w:ascii="宋体"/>
                <w:vanish/>
              </w:rPr>
            </w:pPr>
          </w:p>
        </w:tc>
        <w:tc>
          <w:tcPr>
            <w:tcW w:w="0" w:type="auto"/>
            <w:gridSpan w:val="3"/>
            <w:shd w:val="clear" w:color="auto" w:fill="auto"/>
          </w:tcPr>
          <w:p w14:paraId="5EA26896" w14:textId="77777777" w:rsidR="003C66EB" w:rsidRDefault="003C66EB">
            <w:pPr>
              <w:rPr>
                <w:rFonts w:ascii="宋体"/>
                <w:vanish/>
              </w:rPr>
            </w:pPr>
          </w:p>
        </w:tc>
        <w:tc>
          <w:tcPr>
            <w:tcW w:w="0" w:type="auto"/>
            <w:gridSpan w:val="3"/>
            <w:shd w:val="clear" w:color="auto" w:fill="auto"/>
          </w:tcPr>
          <w:p w14:paraId="5EA26897" w14:textId="77777777" w:rsidR="003C66EB" w:rsidRDefault="003C66EB">
            <w:pPr>
              <w:rPr>
                <w:rFonts w:ascii="宋体"/>
                <w:vanish/>
              </w:rPr>
            </w:pPr>
          </w:p>
        </w:tc>
        <w:tc>
          <w:tcPr>
            <w:tcW w:w="0" w:type="auto"/>
            <w:gridSpan w:val="3"/>
            <w:shd w:val="clear" w:color="auto" w:fill="auto"/>
          </w:tcPr>
          <w:p w14:paraId="5EA26898" w14:textId="77777777" w:rsidR="003C66EB" w:rsidRDefault="003C66EB">
            <w:pPr>
              <w:rPr>
                <w:rFonts w:ascii="宋体"/>
                <w:vanish/>
              </w:rPr>
            </w:pPr>
          </w:p>
        </w:tc>
      </w:tr>
      <w:tr w:rsidR="003C66EB" w14:paraId="5EA268A6" w14:textId="77777777">
        <w:trPr>
          <w:hidden/>
        </w:trPr>
        <w:tc>
          <w:tcPr>
            <w:tcW w:w="0" w:type="auto"/>
            <w:gridSpan w:val="3"/>
            <w:shd w:val="clear" w:color="auto" w:fill="auto"/>
          </w:tcPr>
          <w:p w14:paraId="5EA2689A" w14:textId="77777777" w:rsidR="003C66EB" w:rsidRDefault="003C66EB">
            <w:pPr>
              <w:rPr>
                <w:rFonts w:ascii="宋体"/>
                <w:vanish/>
              </w:rPr>
            </w:pPr>
          </w:p>
        </w:tc>
        <w:tc>
          <w:tcPr>
            <w:tcW w:w="0" w:type="auto"/>
            <w:gridSpan w:val="3"/>
            <w:shd w:val="clear" w:color="auto" w:fill="auto"/>
          </w:tcPr>
          <w:p w14:paraId="5EA2689B" w14:textId="77777777" w:rsidR="003C66EB" w:rsidRDefault="003C66EB">
            <w:pPr>
              <w:rPr>
                <w:rFonts w:ascii="宋体"/>
                <w:vanish/>
              </w:rPr>
            </w:pPr>
          </w:p>
        </w:tc>
        <w:tc>
          <w:tcPr>
            <w:tcW w:w="0" w:type="auto"/>
            <w:gridSpan w:val="3"/>
            <w:shd w:val="clear" w:color="auto" w:fill="auto"/>
          </w:tcPr>
          <w:p w14:paraId="5EA2689C" w14:textId="77777777" w:rsidR="003C66EB" w:rsidRDefault="003C66EB">
            <w:pPr>
              <w:rPr>
                <w:rFonts w:ascii="宋体"/>
                <w:vanish/>
              </w:rPr>
            </w:pPr>
          </w:p>
        </w:tc>
        <w:tc>
          <w:tcPr>
            <w:tcW w:w="0" w:type="auto"/>
            <w:gridSpan w:val="3"/>
            <w:shd w:val="clear" w:color="auto" w:fill="auto"/>
          </w:tcPr>
          <w:p w14:paraId="5EA2689D" w14:textId="77777777" w:rsidR="003C66EB" w:rsidRDefault="003C66EB">
            <w:pPr>
              <w:rPr>
                <w:rFonts w:ascii="宋体"/>
                <w:vanish/>
              </w:rPr>
            </w:pPr>
          </w:p>
        </w:tc>
        <w:tc>
          <w:tcPr>
            <w:tcW w:w="0" w:type="auto"/>
            <w:gridSpan w:val="3"/>
            <w:shd w:val="clear" w:color="auto" w:fill="auto"/>
          </w:tcPr>
          <w:p w14:paraId="5EA2689E" w14:textId="77777777" w:rsidR="003C66EB" w:rsidRDefault="003C66EB">
            <w:pPr>
              <w:rPr>
                <w:rFonts w:ascii="宋体"/>
                <w:vanish/>
              </w:rPr>
            </w:pPr>
          </w:p>
        </w:tc>
        <w:tc>
          <w:tcPr>
            <w:tcW w:w="0" w:type="auto"/>
            <w:gridSpan w:val="3"/>
            <w:shd w:val="clear" w:color="auto" w:fill="auto"/>
          </w:tcPr>
          <w:p w14:paraId="5EA2689F" w14:textId="77777777" w:rsidR="003C66EB" w:rsidRDefault="003C66EB">
            <w:pPr>
              <w:rPr>
                <w:rFonts w:ascii="宋体"/>
                <w:vanish/>
              </w:rPr>
            </w:pPr>
          </w:p>
        </w:tc>
        <w:tc>
          <w:tcPr>
            <w:tcW w:w="0" w:type="auto"/>
            <w:gridSpan w:val="3"/>
            <w:shd w:val="clear" w:color="auto" w:fill="auto"/>
          </w:tcPr>
          <w:p w14:paraId="5EA268A0" w14:textId="77777777" w:rsidR="003C66EB" w:rsidRDefault="003C66EB">
            <w:pPr>
              <w:rPr>
                <w:rFonts w:ascii="宋体"/>
                <w:vanish/>
              </w:rPr>
            </w:pPr>
          </w:p>
        </w:tc>
        <w:tc>
          <w:tcPr>
            <w:tcW w:w="0" w:type="auto"/>
            <w:gridSpan w:val="3"/>
            <w:shd w:val="clear" w:color="auto" w:fill="auto"/>
          </w:tcPr>
          <w:p w14:paraId="5EA268A1" w14:textId="77777777" w:rsidR="003C66EB" w:rsidRDefault="003C66EB">
            <w:pPr>
              <w:rPr>
                <w:rFonts w:ascii="宋体"/>
                <w:vanish/>
              </w:rPr>
            </w:pPr>
          </w:p>
        </w:tc>
        <w:tc>
          <w:tcPr>
            <w:tcW w:w="0" w:type="auto"/>
            <w:gridSpan w:val="3"/>
            <w:shd w:val="clear" w:color="auto" w:fill="auto"/>
          </w:tcPr>
          <w:p w14:paraId="5EA268A2" w14:textId="77777777" w:rsidR="003C66EB" w:rsidRDefault="003C66EB">
            <w:pPr>
              <w:rPr>
                <w:rFonts w:ascii="宋体"/>
                <w:vanish/>
              </w:rPr>
            </w:pPr>
          </w:p>
        </w:tc>
        <w:tc>
          <w:tcPr>
            <w:tcW w:w="0" w:type="auto"/>
            <w:gridSpan w:val="3"/>
            <w:shd w:val="clear" w:color="auto" w:fill="auto"/>
          </w:tcPr>
          <w:p w14:paraId="5EA268A3" w14:textId="77777777" w:rsidR="003C66EB" w:rsidRDefault="003C66EB">
            <w:pPr>
              <w:rPr>
                <w:rFonts w:ascii="宋体"/>
                <w:vanish/>
              </w:rPr>
            </w:pPr>
          </w:p>
        </w:tc>
        <w:tc>
          <w:tcPr>
            <w:tcW w:w="0" w:type="auto"/>
            <w:gridSpan w:val="3"/>
            <w:shd w:val="clear" w:color="auto" w:fill="auto"/>
          </w:tcPr>
          <w:p w14:paraId="5EA268A4" w14:textId="77777777" w:rsidR="003C66EB" w:rsidRDefault="003C66EB">
            <w:pPr>
              <w:rPr>
                <w:rFonts w:ascii="宋体"/>
                <w:vanish/>
              </w:rPr>
            </w:pPr>
          </w:p>
        </w:tc>
        <w:tc>
          <w:tcPr>
            <w:tcW w:w="0" w:type="auto"/>
            <w:gridSpan w:val="3"/>
            <w:shd w:val="clear" w:color="auto" w:fill="auto"/>
          </w:tcPr>
          <w:p w14:paraId="5EA268A5" w14:textId="77777777" w:rsidR="003C66EB" w:rsidRDefault="003C66EB">
            <w:pPr>
              <w:rPr>
                <w:rFonts w:ascii="宋体"/>
                <w:vanish/>
              </w:rPr>
            </w:pPr>
          </w:p>
        </w:tc>
      </w:tr>
      <w:tr w:rsidR="003C66EB" w14:paraId="5EA268B3" w14:textId="77777777">
        <w:trPr>
          <w:hidden/>
        </w:trPr>
        <w:tc>
          <w:tcPr>
            <w:tcW w:w="0" w:type="auto"/>
            <w:gridSpan w:val="3"/>
            <w:shd w:val="clear" w:color="auto" w:fill="auto"/>
          </w:tcPr>
          <w:p w14:paraId="5EA268A7" w14:textId="77777777" w:rsidR="003C66EB" w:rsidRDefault="003C66EB">
            <w:pPr>
              <w:rPr>
                <w:rFonts w:ascii="宋体"/>
                <w:vanish/>
              </w:rPr>
            </w:pPr>
          </w:p>
        </w:tc>
        <w:tc>
          <w:tcPr>
            <w:tcW w:w="0" w:type="auto"/>
            <w:gridSpan w:val="3"/>
            <w:shd w:val="clear" w:color="auto" w:fill="auto"/>
          </w:tcPr>
          <w:p w14:paraId="5EA268A8" w14:textId="77777777" w:rsidR="003C66EB" w:rsidRDefault="003C66EB">
            <w:pPr>
              <w:rPr>
                <w:rFonts w:ascii="宋体"/>
                <w:vanish/>
              </w:rPr>
            </w:pPr>
          </w:p>
        </w:tc>
        <w:tc>
          <w:tcPr>
            <w:tcW w:w="0" w:type="auto"/>
            <w:gridSpan w:val="3"/>
            <w:shd w:val="clear" w:color="auto" w:fill="auto"/>
          </w:tcPr>
          <w:p w14:paraId="5EA268A9" w14:textId="77777777" w:rsidR="003C66EB" w:rsidRDefault="003C66EB">
            <w:pPr>
              <w:rPr>
                <w:rFonts w:ascii="宋体"/>
                <w:vanish/>
              </w:rPr>
            </w:pPr>
          </w:p>
        </w:tc>
        <w:tc>
          <w:tcPr>
            <w:tcW w:w="0" w:type="auto"/>
            <w:gridSpan w:val="3"/>
            <w:shd w:val="clear" w:color="auto" w:fill="auto"/>
          </w:tcPr>
          <w:p w14:paraId="5EA268AA" w14:textId="77777777" w:rsidR="003C66EB" w:rsidRDefault="003C66EB">
            <w:pPr>
              <w:rPr>
                <w:rFonts w:ascii="宋体"/>
                <w:vanish/>
              </w:rPr>
            </w:pPr>
          </w:p>
        </w:tc>
        <w:tc>
          <w:tcPr>
            <w:tcW w:w="0" w:type="auto"/>
            <w:gridSpan w:val="3"/>
            <w:shd w:val="clear" w:color="auto" w:fill="auto"/>
          </w:tcPr>
          <w:p w14:paraId="5EA268AB" w14:textId="77777777" w:rsidR="003C66EB" w:rsidRDefault="003C66EB">
            <w:pPr>
              <w:rPr>
                <w:rFonts w:ascii="宋体"/>
                <w:vanish/>
              </w:rPr>
            </w:pPr>
          </w:p>
        </w:tc>
        <w:tc>
          <w:tcPr>
            <w:tcW w:w="0" w:type="auto"/>
            <w:gridSpan w:val="3"/>
            <w:shd w:val="clear" w:color="auto" w:fill="auto"/>
          </w:tcPr>
          <w:p w14:paraId="5EA268AC" w14:textId="77777777" w:rsidR="003C66EB" w:rsidRDefault="003C66EB">
            <w:pPr>
              <w:rPr>
                <w:rFonts w:ascii="宋体"/>
                <w:vanish/>
              </w:rPr>
            </w:pPr>
          </w:p>
        </w:tc>
        <w:tc>
          <w:tcPr>
            <w:tcW w:w="0" w:type="auto"/>
            <w:gridSpan w:val="3"/>
            <w:shd w:val="clear" w:color="auto" w:fill="auto"/>
          </w:tcPr>
          <w:p w14:paraId="5EA268AD" w14:textId="77777777" w:rsidR="003C66EB" w:rsidRDefault="003C66EB">
            <w:pPr>
              <w:rPr>
                <w:rFonts w:ascii="宋体"/>
                <w:vanish/>
              </w:rPr>
            </w:pPr>
          </w:p>
        </w:tc>
        <w:tc>
          <w:tcPr>
            <w:tcW w:w="0" w:type="auto"/>
            <w:gridSpan w:val="3"/>
            <w:shd w:val="clear" w:color="auto" w:fill="auto"/>
          </w:tcPr>
          <w:p w14:paraId="5EA268AE" w14:textId="77777777" w:rsidR="003C66EB" w:rsidRDefault="003C66EB">
            <w:pPr>
              <w:rPr>
                <w:rFonts w:ascii="宋体"/>
                <w:vanish/>
              </w:rPr>
            </w:pPr>
          </w:p>
        </w:tc>
        <w:tc>
          <w:tcPr>
            <w:tcW w:w="0" w:type="auto"/>
            <w:gridSpan w:val="3"/>
            <w:shd w:val="clear" w:color="auto" w:fill="auto"/>
          </w:tcPr>
          <w:p w14:paraId="5EA268AF" w14:textId="77777777" w:rsidR="003C66EB" w:rsidRDefault="003C66EB">
            <w:pPr>
              <w:rPr>
                <w:rFonts w:ascii="宋体"/>
                <w:vanish/>
              </w:rPr>
            </w:pPr>
          </w:p>
        </w:tc>
        <w:tc>
          <w:tcPr>
            <w:tcW w:w="0" w:type="auto"/>
            <w:gridSpan w:val="3"/>
            <w:shd w:val="clear" w:color="auto" w:fill="auto"/>
          </w:tcPr>
          <w:p w14:paraId="5EA268B0" w14:textId="77777777" w:rsidR="003C66EB" w:rsidRDefault="003C66EB">
            <w:pPr>
              <w:rPr>
                <w:rFonts w:ascii="宋体"/>
                <w:vanish/>
              </w:rPr>
            </w:pPr>
          </w:p>
        </w:tc>
        <w:tc>
          <w:tcPr>
            <w:tcW w:w="0" w:type="auto"/>
            <w:gridSpan w:val="3"/>
            <w:shd w:val="clear" w:color="auto" w:fill="auto"/>
          </w:tcPr>
          <w:p w14:paraId="5EA268B1" w14:textId="77777777" w:rsidR="003C66EB" w:rsidRDefault="003C66EB">
            <w:pPr>
              <w:rPr>
                <w:rFonts w:ascii="宋体"/>
                <w:vanish/>
              </w:rPr>
            </w:pPr>
          </w:p>
        </w:tc>
        <w:tc>
          <w:tcPr>
            <w:tcW w:w="0" w:type="auto"/>
            <w:gridSpan w:val="3"/>
            <w:shd w:val="clear" w:color="auto" w:fill="auto"/>
          </w:tcPr>
          <w:p w14:paraId="5EA268B2" w14:textId="77777777" w:rsidR="003C66EB" w:rsidRDefault="003C66EB">
            <w:pPr>
              <w:rPr>
                <w:rFonts w:ascii="宋体"/>
                <w:vanish/>
              </w:rPr>
            </w:pPr>
          </w:p>
        </w:tc>
      </w:tr>
      <w:tr w:rsidR="003C66EB" w14:paraId="5EA268B6" w14:textId="77777777">
        <w:tc>
          <w:tcPr>
            <w:tcW w:w="0" w:type="auto"/>
            <w:gridSpan w:val="3"/>
            <w:shd w:val="clear" w:color="auto" w:fill="auto"/>
            <w:tcMar>
              <w:top w:w="0" w:type="dxa"/>
              <w:left w:w="20" w:type="dxa"/>
              <w:bottom w:w="0" w:type="dxa"/>
              <w:right w:w="20" w:type="dxa"/>
            </w:tcMar>
          </w:tcPr>
          <w:p w14:paraId="5EA268B4" w14:textId="77777777" w:rsidR="003C66EB" w:rsidRDefault="003C66EB">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A268B5" w14:textId="77777777" w:rsidR="003C66EB" w:rsidRDefault="00D96C4E">
            <w:pPr>
              <w:jc w:val="center"/>
              <w:textAlignment w:val="bottom"/>
            </w:pPr>
            <w:r>
              <w:rPr>
                <w:rFonts w:ascii="Arial" w:eastAsia="宋体" w:hAnsi="Arial" w:cs="Arial"/>
                <w:b/>
                <w:bCs/>
                <w:color w:val="000000"/>
                <w:sz w:val="15"/>
                <w:szCs w:val="15"/>
              </w:rPr>
              <w:t>Three Months Ended March 31,</w:t>
            </w:r>
          </w:p>
        </w:tc>
      </w:tr>
      <w:tr w:rsidR="003C66EB" w14:paraId="5EA268BB" w14:textId="77777777">
        <w:tc>
          <w:tcPr>
            <w:tcW w:w="0" w:type="auto"/>
            <w:gridSpan w:val="3"/>
            <w:shd w:val="clear" w:color="auto" w:fill="auto"/>
            <w:tcMar>
              <w:top w:w="0" w:type="dxa"/>
              <w:left w:w="20" w:type="dxa"/>
              <w:bottom w:w="0" w:type="dxa"/>
              <w:right w:w="20" w:type="dxa"/>
            </w:tcMar>
          </w:tcPr>
          <w:p w14:paraId="5EA268B7"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68B8" w14:textId="77777777" w:rsidR="003C66EB" w:rsidRDefault="00D96C4E">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68B9"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68BA" w14:textId="77777777" w:rsidR="003C66EB" w:rsidRDefault="00D96C4E">
            <w:pPr>
              <w:jc w:val="center"/>
              <w:textAlignment w:val="bottom"/>
            </w:pPr>
            <w:r>
              <w:rPr>
                <w:rFonts w:ascii="Arial" w:eastAsia="宋体" w:hAnsi="Arial" w:cs="Arial"/>
                <w:b/>
                <w:bCs/>
                <w:color w:val="000000"/>
                <w:sz w:val="15"/>
                <w:szCs w:val="15"/>
              </w:rPr>
              <w:t>2020</w:t>
            </w:r>
          </w:p>
        </w:tc>
      </w:tr>
      <w:tr w:rsidR="003C66EB" w14:paraId="5EA268C8" w14:textId="77777777">
        <w:tc>
          <w:tcPr>
            <w:tcW w:w="0" w:type="auto"/>
            <w:gridSpan w:val="3"/>
            <w:shd w:val="clear" w:color="auto" w:fill="auto"/>
            <w:tcMar>
              <w:top w:w="40" w:type="dxa"/>
              <w:left w:w="20" w:type="dxa"/>
              <w:bottom w:w="40" w:type="dxa"/>
              <w:right w:w="20" w:type="dxa"/>
            </w:tcMar>
            <w:vAlign w:val="bottom"/>
          </w:tcPr>
          <w:p w14:paraId="5EA268BC" w14:textId="77777777" w:rsidR="003C66EB" w:rsidRDefault="00D96C4E">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8BD" w14:textId="77777777" w:rsidR="003C66EB" w:rsidRDefault="00D96C4E">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8B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8BF" w14:textId="77777777" w:rsidR="003C66EB" w:rsidRDefault="00D96C4E">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8C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8C1" w14:textId="77777777" w:rsidR="003C66EB" w:rsidRDefault="00D96C4E">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tcPr>
          <w:p w14:paraId="5EA268C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8C3" w14:textId="77777777" w:rsidR="003C66EB" w:rsidRDefault="00D96C4E">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8C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8C5" w14:textId="77777777" w:rsidR="003C66EB" w:rsidRDefault="00D96C4E">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8C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8C7" w14:textId="77777777" w:rsidR="003C66EB" w:rsidRDefault="00D96C4E">
            <w:pPr>
              <w:jc w:val="center"/>
              <w:textAlignment w:val="bottom"/>
            </w:pPr>
            <w:r>
              <w:rPr>
                <w:rFonts w:ascii="Arial" w:eastAsia="宋体" w:hAnsi="Arial" w:cs="Arial"/>
                <w:b/>
                <w:bCs/>
                <w:color w:val="000000"/>
                <w:sz w:val="15"/>
                <w:szCs w:val="15"/>
              </w:rPr>
              <w:t>Total</w:t>
            </w:r>
          </w:p>
        </w:tc>
      </w:tr>
      <w:tr w:rsidR="003C66EB" w14:paraId="5EA268D5" w14:textId="77777777">
        <w:tc>
          <w:tcPr>
            <w:tcW w:w="0" w:type="auto"/>
            <w:gridSpan w:val="3"/>
            <w:shd w:val="clear" w:color="auto" w:fill="auto"/>
            <w:tcMar>
              <w:top w:w="40" w:type="dxa"/>
              <w:left w:w="20" w:type="dxa"/>
              <w:bottom w:w="40" w:type="dxa"/>
              <w:right w:w="20" w:type="dxa"/>
            </w:tcMar>
            <w:vAlign w:val="bottom"/>
          </w:tcPr>
          <w:p w14:paraId="5EA268C9" w14:textId="77777777" w:rsidR="003C66EB" w:rsidRDefault="00D96C4E">
            <w:pPr>
              <w:textAlignment w:val="bottom"/>
            </w:pPr>
            <w:r>
              <w:rPr>
                <w:rFonts w:ascii="Arial" w:eastAsia="宋体" w:hAnsi="Arial" w:cs="Arial"/>
                <w:b/>
                <w:bCs/>
                <w:color w:val="000000"/>
                <w:sz w:val="15"/>
                <w:szCs w:val="15"/>
              </w:rPr>
              <w:t>Preferred Stock:</w:t>
            </w:r>
          </w:p>
        </w:tc>
        <w:tc>
          <w:tcPr>
            <w:tcW w:w="0" w:type="auto"/>
            <w:gridSpan w:val="3"/>
            <w:tcBorders>
              <w:top w:val="single" w:sz="8" w:space="0" w:color="000000"/>
            </w:tcBorders>
            <w:shd w:val="clear" w:color="auto" w:fill="auto"/>
            <w:tcMar>
              <w:top w:w="0" w:type="dxa"/>
              <w:left w:w="20" w:type="dxa"/>
              <w:bottom w:w="0" w:type="dxa"/>
              <w:right w:w="20" w:type="dxa"/>
            </w:tcMar>
          </w:tcPr>
          <w:p w14:paraId="5EA268C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8CB"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8C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8CD"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8C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8C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8D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8D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8D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8D3"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8D4" w14:textId="77777777" w:rsidR="003C66EB" w:rsidRDefault="003C66EB">
            <w:pPr>
              <w:rPr>
                <w:rFonts w:ascii="宋体"/>
              </w:rPr>
            </w:pPr>
          </w:p>
        </w:tc>
      </w:tr>
      <w:tr w:rsidR="003C66EB" w14:paraId="5EA268EE" w14:textId="77777777">
        <w:tc>
          <w:tcPr>
            <w:tcW w:w="0" w:type="auto"/>
            <w:gridSpan w:val="3"/>
            <w:shd w:val="clear" w:color="auto" w:fill="CCEEFF"/>
            <w:tcMar>
              <w:top w:w="40" w:type="dxa"/>
              <w:left w:w="20" w:type="dxa"/>
              <w:bottom w:w="40" w:type="dxa"/>
              <w:right w:w="20" w:type="dxa"/>
            </w:tcMar>
            <w:vAlign w:val="bottom"/>
          </w:tcPr>
          <w:p w14:paraId="5EA268D6" w14:textId="77777777" w:rsidR="003C66EB" w:rsidRDefault="00D96C4E">
            <w:pPr>
              <w:textAlignment w:val="bottom"/>
            </w:pPr>
            <w:r>
              <w:rPr>
                <w:rFonts w:ascii="Arial" w:eastAsia="宋体" w:hAnsi="Arial" w:cs="Arial"/>
                <w:color w:val="000000"/>
                <w:sz w:val="15"/>
                <w:szCs w:val="15"/>
              </w:rPr>
              <w:t>Series C</w:t>
            </w:r>
          </w:p>
        </w:tc>
        <w:tc>
          <w:tcPr>
            <w:tcW w:w="0" w:type="auto"/>
            <w:shd w:val="clear" w:color="auto" w:fill="CCEEFF"/>
            <w:tcMar>
              <w:top w:w="40" w:type="dxa"/>
              <w:left w:w="20" w:type="dxa"/>
              <w:bottom w:w="40" w:type="dxa"/>
              <w:right w:w="0" w:type="dxa"/>
            </w:tcMar>
            <w:vAlign w:val="bottom"/>
          </w:tcPr>
          <w:p w14:paraId="5EA268D7"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8D8"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8D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8D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8DB"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8D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8D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8DE"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8DF" w14:textId="77777777" w:rsidR="003C66EB" w:rsidRDefault="00D96C4E">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A268E0"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8E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8E2"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8E3"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8E4" w14:textId="77777777" w:rsidR="003C66EB" w:rsidRDefault="00D96C4E">
            <w:pPr>
              <w:jc w:val="right"/>
              <w:textAlignment w:val="bottom"/>
            </w:pPr>
            <w:r>
              <w:rPr>
                <w:rFonts w:ascii="Arial" w:eastAsia="宋体" w:hAnsi="Arial" w:cs="Arial"/>
                <w:color w:val="000000"/>
                <w:sz w:val="15"/>
                <w:szCs w:val="15"/>
              </w:rPr>
              <w:t>1,313 </w:t>
            </w:r>
          </w:p>
        </w:tc>
        <w:tc>
          <w:tcPr>
            <w:tcW w:w="0" w:type="auto"/>
            <w:shd w:val="clear" w:color="auto" w:fill="CCEEFF"/>
            <w:tcMar>
              <w:top w:w="40" w:type="dxa"/>
              <w:left w:w="0" w:type="dxa"/>
              <w:bottom w:w="40" w:type="dxa"/>
              <w:right w:w="20" w:type="dxa"/>
            </w:tcMar>
            <w:vAlign w:val="bottom"/>
          </w:tcPr>
          <w:p w14:paraId="5EA268E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8E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8E7"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8E8" w14:textId="77777777" w:rsidR="003C66EB" w:rsidRDefault="00D96C4E">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5EA268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8EA"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8EB" w14:textId="77777777" w:rsidR="003C66EB" w:rsidRDefault="00D96C4E">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A268EC" w14:textId="77777777" w:rsidR="003C66EB" w:rsidRDefault="00D96C4E">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5EA268ED" w14:textId="77777777" w:rsidR="003C66EB" w:rsidRDefault="003C66EB">
            <w:pPr>
              <w:jc w:val="right"/>
              <w:rPr>
                <w:rFonts w:ascii="宋体"/>
              </w:rPr>
            </w:pPr>
          </w:p>
        </w:tc>
      </w:tr>
      <w:tr w:rsidR="003C66EB" w14:paraId="5EA26901" w14:textId="77777777">
        <w:tc>
          <w:tcPr>
            <w:tcW w:w="0" w:type="auto"/>
            <w:gridSpan w:val="3"/>
            <w:shd w:val="clear" w:color="auto" w:fill="FFFFFF"/>
            <w:tcMar>
              <w:top w:w="40" w:type="dxa"/>
              <w:left w:w="20" w:type="dxa"/>
              <w:bottom w:w="40" w:type="dxa"/>
              <w:right w:w="20" w:type="dxa"/>
            </w:tcMar>
            <w:vAlign w:val="bottom"/>
          </w:tcPr>
          <w:p w14:paraId="5EA268EF" w14:textId="77777777" w:rsidR="003C66EB" w:rsidRDefault="00D96C4E">
            <w:pPr>
              <w:textAlignment w:val="bottom"/>
            </w:pPr>
            <w:r>
              <w:rPr>
                <w:rFonts w:ascii="Arial" w:eastAsia="宋体" w:hAnsi="Arial" w:cs="Arial"/>
                <w:color w:val="000000"/>
                <w:sz w:val="15"/>
                <w:szCs w:val="15"/>
              </w:rPr>
              <w:t>Series D</w:t>
            </w:r>
          </w:p>
        </w:tc>
        <w:tc>
          <w:tcPr>
            <w:tcW w:w="0" w:type="auto"/>
            <w:gridSpan w:val="2"/>
            <w:shd w:val="clear" w:color="auto" w:fill="FFFFFF"/>
            <w:tcMar>
              <w:top w:w="40" w:type="dxa"/>
              <w:left w:w="20" w:type="dxa"/>
              <w:bottom w:w="40" w:type="dxa"/>
              <w:right w:w="0" w:type="dxa"/>
            </w:tcMar>
            <w:vAlign w:val="bottom"/>
          </w:tcPr>
          <w:p w14:paraId="5EA268F0" w14:textId="77777777" w:rsidR="003C66EB" w:rsidRDefault="00D96C4E">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8F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8F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8F3" w14:textId="77777777" w:rsidR="003C66EB" w:rsidRDefault="00D96C4E">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8F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8F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8F6" w14:textId="77777777" w:rsidR="003C66EB" w:rsidRDefault="00D96C4E">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8F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8F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8F9" w14:textId="77777777" w:rsidR="003C66EB" w:rsidRDefault="00D96C4E">
            <w:pPr>
              <w:jc w:val="right"/>
              <w:textAlignment w:val="bottom"/>
            </w:pPr>
            <w:r>
              <w:rPr>
                <w:rFonts w:ascii="Arial" w:eastAsia="宋体" w:hAnsi="Arial" w:cs="Arial"/>
                <w:color w:val="000000"/>
                <w:sz w:val="15"/>
                <w:szCs w:val="15"/>
              </w:rPr>
              <w:t>1,475 </w:t>
            </w:r>
          </w:p>
        </w:tc>
        <w:tc>
          <w:tcPr>
            <w:tcW w:w="0" w:type="auto"/>
            <w:shd w:val="clear" w:color="auto" w:fill="FFFFFF"/>
            <w:tcMar>
              <w:top w:w="40" w:type="dxa"/>
              <w:left w:w="0" w:type="dxa"/>
              <w:bottom w:w="40" w:type="dxa"/>
              <w:right w:w="20" w:type="dxa"/>
            </w:tcMar>
            <w:vAlign w:val="bottom"/>
          </w:tcPr>
          <w:p w14:paraId="5EA268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8F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8FC" w14:textId="77777777" w:rsidR="003C66EB" w:rsidRDefault="00D96C4E">
            <w:pPr>
              <w:jc w:val="right"/>
              <w:textAlignment w:val="bottom"/>
            </w:pPr>
            <w:r>
              <w:rPr>
                <w:rFonts w:ascii="Arial" w:eastAsia="宋体" w:hAnsi="Arial" w:cs="Arial"/>
                <w:color w:val="000000"/>
                <w:sz w:val="15"/>
                <w:szCs w:val="15"/>
              </w:rPr>
              <w:t>0.37 </w:t>
            </w:r>
          </w:p>
        </w:tc>
        <w:tc>
          <w:tcPr>
            <w:tcW w:w="0" w:type="auto"/>
            <w:shd w:val="clear" w:color="auto" w:fill="FFFFFF"/>
            <w:tcMar>
              <w:top w:w="40" w:type="dxa"/>
              <w:left w:w="0" w:type="dxa"/>
              <w:bottom w:w="40" w:type="dxa"/>
              <w:right w:w="20" w:type="dxa"/>
            </w:tcMar>
            <w:vAlign w:val="bottom"/>
          </w:tcPr>
          <w:p w14:paraId="5EA268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8F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8FF" w14:textId="77777777" w:rsidR="003C66EB" w:rsidRDefault="00D96C4E">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5EA26900" w14:textId="77777777" w:rsidR="003C66EB" w:rsidRDefault="003C66EB">
            <w:pPr>
              <w:jc w:val="right"/>
              <w:rPr>
                <w:rFonts w:ascii="宋体"/>
              </w:rPr>
            </w:pPr>
          </w:p>
        </w:tc>
      </w:tr>
      <w:tr w:rsidR="003C66EB" w14:paraId="5EA2690E" w14:textId="77777777">
        <w:trPr>
          <w:hidden/>
        </w:trPr>
        <w:tc>
          <w:tcPr>
            <w:tcW w:w="0" w:type="auto"/>
            <w:gridSpan w:val="3"/>
            <w:shd w:val="clear" w:color="auto" w:fill="auto"/>
          </w:tcPr>
          <w:p w14:paraId="5EA26902" w14:textId="77777777" w:rsidR="003C66EB" w:rsidRDefault="003C66EB">
            <w:pPr>
              <w:rPr>
                <w:rFonts w:ascii="宋体"/>
                <w:vanish/>
              </w:rPr>
            </w:pPr>
          </w:p>
        </w:tc>
        <w:tc>
          <w:tcPr>
            <w:tcW w:w="0" w:type="auto"/>
            <w:gridSpan w:val="3"/>
            <w:shd w:val="clear" w:color="auto" w:fill="auto"/>
          </w:tcPr>
          <w:p w14:paraId="5EA26903" w14:textId="77777777" w:rsidR="003C66EB" w:rsidRDefault="003C66EB">
            <w:pPr>
              <w:rPr>
                <w:rFonts w:ascii="宋体"/>
                <w:vanish/>
              </w:rPr>
            </w:pPr>
          </w:p>
        </w:tc>
        <w:tc>
          <w:tcPr>
            <w:tcW w:w="0" w:type="auto"/>
            <w:gridSpan w:val="3"/>
            <w:shd w:val="clear" w:color="auto" w:fill="auto"/>
          </w:tcPr>
          <w:p w14:paraId="5EA26904" w14:textId="77777777" w:rsidR="003C66EB" w:rsidRDefault="003C66EB">
            <w:pPr>
              <w:rPr>
                <w:rFonts w:ascii="宋体"/>
                <w:vanish/>
              </w:rPr>
            </w:pPr>
          </w:p>
        </w:tc>
        <w:tc>
          <w:tcPr>
            <w:tcW w:w="0" w:type="auto"/>
            <w:gridSpan w:val="3"/>
            <w:shd w:val="clear" w:color="auto" w:fill="auto"/>
          </w:tcPr>
          <w:p w14:paraId="5EA26905" w14:textId="77777777" w:rsidR="003C66EB" w:rsidRDefault="003C66EB">
            <w:pPr>
              <w:rPr>
                <w:rFonts w:ascii="宋体"/>
                <w:vanish/>
              </w:rPr>
            </w:pPr>
          </w:p>
        </w:tc>
        <w:tc>
          <w:tcPr>
            <w:tcW w:w="0" w:type="auto"/>
            <w:gridSpan w:val="3"/>
            <w:shd w:val="clear" w:color="auto" w:fill="auto"/>
          </w:tcPr>
          <w:p w14:paraId="5EA26906" w14:textId="77777777" w:rsidR="003C66EB" w:rsidRDefault="003C66EB">
            <w:pPr>
              <w:rPr>
                <w:rFonts w:ascii="宋体"/>
                <w:vanish/>
              </w:rPr>
            </w:pPr>
          </w:p>
        </w:tc>
        <w:tc>
          <w:tcPr>
            <w:tcW w:w="0" w:type="auto"/>
            <w:gridSpan w:val="3"/>
            <w:shd w:val="clear" w:color="auto" w:fill="auto"/>
          </w:tcPr>
          <w:p w14:paraId="5EA26907" w14:textId="77777777" w:rsidR="003C66EB" w:rsidRDefault="003C66EB">
            <w:pPr>
              <w:rPr>
                <w:rFonts w:ascii="宋体"/>
                <w:vanish/>
              </w:rPr>
            </w:pPr>
          </w:p>
        </w:tc>
        <w:tc>
          <w:tcPr>
            <w:tcW w:w="0" w:type="auto"/>
            <w:gridSpan w:val="3"/>
            <w:shd w:val="clear" w:color="auto" w:fill="auto"/>
          </w:tcPr>
          <w:p w14:paraId="5EA26908" w14:textId="77777777" w:rsidR="003C66EB" w:rsidRDefault="003C66EB">
            <w:pPr>
              <w:rPr>
                <w:rFonts w:ascii="宋体"/>
                <w:vanish/>
              </w:rPr>
            </w:pPr>
          </w:p>
        </w:tc>
        <w:tc>
          <w:tcPr>
            <w:tcW w:w="0" w:type="auto"/>
            <w:gridSpan w:val="3"/>
            <w:shd w:val="clear" w:color="auto" w:fill="auto"/>
          </w:tcPr>
          <w:p w14:paraId="5EA26909" w14:textId="77777777" w:rsidR="003C66EB" w:rsidRDefault="003C66EB">
            <w:pPr>
              <w:rPr>
                <w:rFonts w:ascii="宋体"/>
                <w:vanish/>
              </w:rPr>
            </w:pPr>
          </w:p>
        </w:tc>
        <w:tc>
          <w:tcPr>
            <w:tcW w:w="0" w:type="auto"/>
            <w:gridSpan w:val="3"/>
            <w:shd w:val="clear" w:color="auto" w:fill="auto"/>
          </w:tcPr>
          <w:p w14:paraId="5EA2690A" w14:textId="77777777" w:rsidR="003C66EB" w:rsidRDefault="003C66EB">
            <w:pPr>
              <w:rPr>
                <w:rFonts w:ascii="宋体"/>
                <w:vanish/>
              </w:rPr>
            </w:pPr>
          </w:p>
        </w:tc>
        <w:tc>
          <w:tcPr>
            <w:tcW w:w="0" w:type="auto"/>
            <w:gridSpan w:val="3"/>
            <w:shd w:val="clear" w:color="auto" w:fill="auto"/>
          </w:tcPr>
          <w:p w14:paraId="5EA2690B" w14:textId="77777777" w:rsidR="003C66EB" w:rsidRDefault="003C66EB">
            <w:pPr>
              <w:rPr>
                <w:rFonts w:ascii="宋体"/>
                <w:vanish/>
              </w:rPr>
            </w:pPr>
          </w:p>
        </w:tc>
        <w:tc>
          <w:tcPr>
            <w:tcW w:w="0" w:type="auto"/>
            <w:gridSpan w:val="3"/>
            <w:shd w:val="clear" w:color="auto" w:fill="auto"/>
          </w:tcPr>
          <w:p w14:paraId="5EA2690C" w14:textId="77777777" w:rsidR="003C66EB" w:rsidRDefault="003C66EB">
            <w:pPr>
              <w:rPr>
                <w:rFonts w:ascii="宋体"/>
                <w:vanish/>
              </w:rPr>
            </w:pPr>
          </w:p>
        </w:tc>
        <w:tc>
          <w:tcPr>
            <w:tcW w:w="0" w:type="auto"/>
            <w:gridSpan w:val="3"/>
            <w:shd w:val="clear" w:color="auto" w:fill="auto"/>
          </w:tcPr>
          <w:p w14:paraId="5EA2690D" w14:textId="77777777" w:rsidR="003C66EB" w:rsidRDefault="003C66EB">
            <w:pPr>
              <w:rPr>
                <w:rFonts w:ascii="宋体"/>
                <w:vanish/>
              </w:rPr>
            </w:pPr>
          </w:p>
        </w:tc>
      </w:tr>
      <w:tr w:rsidR="003C66EB" w14:paraId="5EA26921" w14:textId="77777777">
        <w:tc>
          <w:tcPr>
            <w:tcW w:w="0" w:type="auto"/>
            <w:gridSpan w:val="3"/>
            <w:shd w:val="clear" w:color="auto" w:fill="CCEEFF"/>
            <w:tcMar>
              <w:top w:w="40" w:type="dxa"/>
              <w:left w:w="20" w:type="dxa"/>
              <w:bottom w:w="40" w:type="dxa"/>
              <w:right w:w="20" w:type="dxa"/>
            </w:tcMar>
            <w:vAlign w:val="bottom"/>
          </w:tcPr>
          <w:p w14:paraId="5EA2690F" w14:textId="77777777" w:rsidR="003C66EB" w:rsidRDefault="00D96C4E">
            <w:pPr>
              <w:textAlignment w:val="bottom"/>
            </w:pPr>
            <w:r>
              <w:rPr>
                <w:rFonts w:ascii="Arial" w:eastAsia="宋体" w:hAnsi="Arial" w:cs="Arial"/>
                <w:color w:val="000000"/>
                <w:sz w:val="15"/>
                <w:szCs w:val="15"/>
              </w:rPr>
              <w:t>Series F</w:t>
            </w:r>
          </w:p>
        </w:tc>
        <w:tc>
          <w:tcPr>
            <w:tcW w:w="0" w:type="auto"/>
            <w:gridSpan w:val="2"/>
            <w:shd w:val="clear" w:color="auto" w:fill="CCEEFF"/>
            <w:tcMar>
              <w:top w:w="40" w:type="dxa"/>
              <w:left w:w="20" w:type="dxa"/>
              <w:bottom w:w="40" w:type="dxa"/>
              <w:right w:w="0" w:type="dxa"/>
            </w:tcMar>
            <w:vAlign w:val="bottom"/>
          </w:tcPr>
          <w:p w14:paraId="5EA26910" w14:textId="77777777" w:rsidR="003C66EB" w:rsidRDefault="00D96C4E">
            <w:pPr>
              <w:jc w:val="right"/>
              <w:textAlignment w:val="bottom"/>
            </w:pPr>
            <w:r>
              <w:rPr>
                <w:rFonts w:ascii="Arial" w:eastAsia="宋体" w:hAnsi="Arial" w:cs="Arial"/>
                <w:b/>
                <w:bCs/>
                <w:color w:val="000000"/>
                <w:sz w:val="15"/>
                <w:szCs w:val="15"/>
              </w:rPr>
              <w:t>953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1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13" w14:textId="77777777" w:rsidR="003C66EB" w:rsidRDefault="00D96C4E">
            <w:pPr>
              <w:jc w:val="right"/>
              <w:textAlignment w:val="bottom"/>
            </w:pPr>
            <w:r>
              <w:rPr>
                <w:rFonts w:ascii="Arial" w:eastAsia="宋体" w:hAnsi="Arial" w:cs="Arial"/>
                <w:b/>
                <w:bCs/>
                <w:color w:val="000000"/>
                <w:sz w:val="15"/>
                <w:szCs w:val="15"/>
              </w:rPr>
              <w:t>9.53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1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16" w14:textId="77777777" w:rsidR="003C66EB" w:rsidRDefault="00D96C4E">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19" w14:textId="77777777" w:rsidR="003C66EB" w:rsidRDefault="00D96C4E">
            <w:pPr>
              <w:jc w:val="right"/>
              <w:textAlignment w:val="bottom"/>
            </w:pPr>
            <w:r>
              <w:rPr>
                <w:rFonts w:ascii="Arial" w:eastAsia="宋体" w:hAnsi="Arial" w:cs="Arial"/>
                <w:color w:val="000000"/>
                <w:sz w:val="15"/>
                <w:szCs w:val="15"/>
              </w:rPr>
              <w:t>2,625 </w:t>
            </w:r>
          </w:p>
        </w:tc>
        <w:tc>
          <w:tcPr>
            <w:tcW w:w="0" w:type="auto"/>
            <w:shd w:val="clear" w:color="auto" w:fill="CCEEFF"/>
            <w:tcMar>
              <w:top w:w="40" w:type="dxa"/>
              <w:left w:w="0" w:type="dxa"/>
              <w:bottom w:w="40" w:type="dxa"/>
              <w:right w:w="20" w:type="dxa"/>
            </w:tcMar>
            <w:vAlign w:val="bottom"/>
          </w:tcPr>
          <w:p w14:paraId="5EA269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1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1C" w14:textId="77777777" w:rsidR="003C66EB" w:rsidRDefault="00D96C4E">
            <w:pPr>
              <w:jc w:val="right"/>
              <w:textAlignment w:val="bottom"/>
            </w:pPr>
            <w:r>
              <w:rPr>
                <w:rFonts w:ascii="Arial" w:eastAsia="宋体" w:hAnsi="Arial" w:cs="Arial"/>
                <w:color w:val="000000"/>
                <w:sz w:val="15"/>
                <w:szCs w:val="15"/>
              </w:rPr>
              <w:t>26.25 </w:t>
            </w:r>
          </w:p>
        </w:tc>
        <w:tc>
          <w:tcPr>
            <w:tcW w:w="0" w:type="auto"/>
            <w:shd w:val="clear" w:color="auto" w:fill="CCEEFF"/>
            <w:tcMar>
              <w:top w:w="40" w:type="dxa"/>
              <w:left w:w="0" w:type="dxa"/>
              <w:bottom w:w="40" w:type="dxa"/>
              <w:right w:w="20" w:type="dxa"/>
            </w:tcMar>
            <w:vAlign w:val="bottom"/>
          </w:tcPr>
          <w:p w14:paraId="5EA269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1F" w14:textId="77777777" w:rsidR="003C66EB" w:rsidRDefault="00D96C4E">
            <w:pPr>
              <w:jc w:val="right"/>
              <w:textAlignment w:val="bottom"/>
            </w:pPr>
            <w:r>
              <w:rPr>
                <w:rFonts w:ascii="Arial" w:eastAsia="宋体" w:hAnsi="Arial" w:cs="Arial"/>
                <w:color w:val="000000"/>
                <w:sz w:val="15"/>
                <w:szCs w:val="15"/>
              </w:rPr>
              <w:t>20 </w:t>
            </w:r>
          </w:p>
        </w:tc>
        <w:tc>
          <w:tcPr>
            <w:tcW w:w="0" w:type="auto"/>
            <w:shd w:val="clear" w:color="auto" w:fill="CCEEFF"/>
            <w:tcMar>
              <w:top w:w="40" w:type="dxa"/>
              <w:left w:w="0" w:type="dxa"/>
              <w:bottom w:w="40" w:type="dxa"/>
              <w:right w:w="20" w:type="dxa"/>
            </w:tcMar>
            <w:vAlign w:val="bottom"/>
          </w:tcPr>
          <w:p w14:paraId="5EA26920" w14:textId="77777777" w:rsidR="003C66EB" w:rsidRDefault="003C66EB">
            <w:pPr>
              <w:jc w:val="right"/>
              <w:rPr>
                <w:rFonts w:ascii="宋体"/>
              </w:rPr>
            </w:pPr>
          </w:p>
        </w:tc>
      </w:tr>
      <w:tr w:rsidR="003C66EB" w14:paraId="5EA26934" w14:textId="77777777">
        <w:tc>
          <w:tcPr>
            <w:tcW w:w="0" w:type="auto"/>
            <w:gridSpan w:val="3"/>
            <w:shd w:val="clear" w:color="auto" w:fill="FFFFFF"/>
            <w:tcMar>
              <w:top w:w="40" w:type="dxa"/>
              <w:left w:w="20" w:type="dxa"/>
              <w:bottom w:w="40" w:type="dxa"/>
              <w:right w:w="20" w:type="dxa"/>
            </w:tcMar>
            <w:vAlign w:val="bottom"/>
          </w:tcPr>
          <w:p w14:paraId="5EA26922" w14:textId="77777777" w:rsidR="003C66EB" w:rsidRDefault="00D96C4E">
            <w:pPr>
              <w:textAlignment w:val="bottom"/>
            </w:pPr>
            <w:r>
              <w:rPr>
                <w:rFonts w:ascii="Arial" w:eastAsia="宋体" w:hAnsi="Arial" w:cs="Arial"/>
                <w:color w:val="000000"/>
                <w:sz w:val="15"/>
                <w:szCs w:val="15"/>
              </w:rPr>
              <w:t>Series G</w:t>
            </w:r>
          </w:p>
        </w:tc>
        <w:tc>
          <w:tcPr>
            <w:tcW w:w="0" w:type="auto"/>
            <w:gridSpan w:val="2"/>
            <w:shd w:val="clear" w:color="auto" w:fill="FFFFFF"/>
            <w:tcMar>
              <w:top w:w="40" w:type="dxa"/>
              <w:left w:w="20" w:type="dxa"/>
              <w:bottom w:w="40" w:type="dxa"/>
              <w:right w:w="0" w:type="dxa"/>
            </w:tcMar>
            <w:vAlign w:val="bottom"/>
          </w:tcPr>
          <w:p w14:paraId="5EA26923" w14:textId="77777777" w:rsidR="003C66EB" w:rsidRDefault="00D96C4E">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92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92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926" w14:textId="77777777" w:rsidR="003C66EB" w:rsidRDefault="00D96C4E">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9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9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929" w14:textId="77777777" w:rsidR="003C66EB" w:rsidRDefault="00D96C4E">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A269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9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92C" w14:textId="77777777" w:rsidR="003C66EB" w:rsidRDefault="00D96C4E">
            <w:pPr>
              <w:jc w:val="right"/>
              <w:textAlignment w:val="bottom"/>
            </w:pPr>
            <w:r>
              <w:rPr>
                <w:rFonts w:ascii="Arial" w:eastAsia="宋体" w:hAnsi="Arial" w:cs="Arial"/>
                <w:color w:val="000000"/>
                <w:sz w:val="15"/>
                <w:szCs w:val="15"/>
              </w:rPr>
              <w:t>1,338 </w:t>
            </w:r>
          </w:p>
        </w:tc>
        <w:tc>
          <w:tcPr>
            <w:tcW w:w="0" w:type="auto"/>
            <w:shd w:val="clear" w:color="auto" w:fill="FFFFFF"/>
            <w:tcMar>
              <w:top w:w="40" w:type="dxa"/>
              <w:left w:w="0" w:type="dxa"/>
              <w:bottom w:w="40" w:type="dxa"/>
              <w:right w:w="20" w:type="dxa"/>
            </w:tcMar>
            <w:vAlign w:val="bottom"/>
          </w:tcPr>
          <w:p w14:paraId="5EA269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92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92F" w14:textId="77777777" w:rsidR="003C66EB" w:rsidRDefault="00D96C4E">
            <w:pPr>
              <w:jc w:val="right"/>
              <w:textAlignment w:val="bottom"/>
            </w:pPr>
            <w:r>
              <w:rPr>
                <w:rFonts w:ascii="Arial" w:eastAsia="宋体" w:hAnsi="Arial" w:cs="Arial"/>
                <w:color w:val="000000"/>
                <w:sz w:val="15"/>
                <w:szCs w:val="15"/>
              </w:rPr>
              <w:t>0.33 </w:t>
            </w:r>
          </w:p>
        </w:tc>
        <w:tc>
          <w:tcPr>
            <w:tcW w:w="0" w:type="auto"/>
            <w:shd w:val="clear" w:color="auto" w:fill="FFFFFF"/>
            <w:tcMar>
              <w:top w:w="40" w:type="dxa"/>
              <w:left w:w="0" w:type="dxa"/>
              <w:bottom w:w="40" w:type="dxa"/>
              <w:right w:w="20" w:type="dxa"/>
            </w:tcMar>
            <w:vAlign w:val="bottom"/>
          </w:tcPr>
          <w:p w14:paraId="5EA269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9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932" w14:textId="77777777" w:rsidR="003C66EB" w:rsidRDefault="00D96C4E">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5EA26933" w14:textId="77777777" w:rsidR="003C66EB" w:rsidRDefault="003C66EB">
            <w:pPr>
              <w:jc w:val="right"/>
              <w:rPr>
                <w:rFonts w:ascii="宋体"/>
              </w:rPr>
            </w:pPr>
          </w:p>
        </w:tc>
      </w:tr>
      <w:tr w:rsidR="003C66EB" w14:paraId="5EA26947" w14:textId="77777777">
        <w:tc>
          <w:tcPr>
            <w:tcW w:w="0" w:type="auto"/>
            <w:gridSpan w:val="3"/>
            <w:shd w:val="clear" w:color="auto" w:fill="CCEEFF"/>
            <w:tcMar>
              <w:top w:w="40" w:type="dxa"/>
              <w:left w:w="20" w:type="dxa"/>
              <w:bottom w:w="40" w:type="dxa"/>
              <w:right w:w="20" w:type="dxa"/>
            </w:tcMar>
            <w:vAlign w:val="bottom"/>
          </w:tcPr>
          <w:p w14:paraId="5EA26935" w14:textId="77777777" w:rsidR="003C66EB" w:rsidRDefault="00D96C4E">
            <w:pPr>
              <w:textAlignment w:val="bottom"/>
            </w:pPr>
            <w:r>
              <w:rPr>
                <w:rFonts w:ascii="Arial" w:eastAsia="宋体" w:hAnsi="Arial" w:cs="Arial"/>
                <w:color w:val="000000"/>
                <w:sz w:val="15"/>
                <w:szCs w:val="15"/>
              </w:rPr>
              <w:t>Series H</w:t>
            </w:r>
          </w:p>
        </w:tc>
        <w:tc>
          <w:tcPr>
            <w:tcW w:w="0" w:type="auto"/>
            <w:gridSpan w:val="2"/>
            <w:shd w:val="clear" w:color="auto" w:fill="CCEEFF"/>
            <w:tcMar>
              <w:top w:w="40" w:type="dxa"/>
              <w:left w:w="20" w:type="dxa"/>
              <w:bottom w:w="40" w:type="dxa"/>
              <w:right w:w="0" w:type="dxa"/>
            </w:tcMar>
            <w:vAlign w:val="bottom"/>
          </w:tcPr>
          <w:p w14:paraId="5EA26936"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3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39"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3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3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3C" w14:textId="77777777" w:rsidR="003C66EB" w:rsidRDefault="00D96C4E">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3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3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3F"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4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4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42"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4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945" w14:textId="77777777" w:rsidR="003C66EB" w:rsidRDefault="00D96C4E">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A26946" w14:textId="77777777" w:rsidR="003C66EB" w:rsidRDefault="003C66EB">
            <w:pPr>
              <w:jc w:val="right"/>
              <w:rPr>
                <w:rFonts w:ascii="宋体"/>
              </w:rPr>
            </w:pPr>
          </w:p>
        </w:tc>
      </w:tr>
      <w:tr w:rsidR="003C66EB" w14:paraId="5EA26958" w14:textId="77777777">
        <w:tc>
          <w:tcPr>
            <w:tcW w:w="0" w:type="auto"/>
            <w:gridSpan w:val="3"/>
            <w:shd w:val="clear" w:color="auto" w:fill="FFFFFF"/>
            <w:tcMar>
              <w:top w:w="40" w:type="dxa"/>
              <w:left w:w="20" w:type="dxa"/>
              <w:bottom w:w="40" w:type="dxa"/>
              <w:right w:w="20" w:type="dxa"/>
            </w:tcMar>
            <w:vAlign w:val="bottom"/>
          </w:tcPr>
          <w:p w14:paraId="5EA26948" w14:textId="77777777" w:rsidR="003C66EB" w:rsidRDefault="00D96C4E">
            <w:pPr>
              <w:textAlignment w:val="bottom"/>
            </w:pPr>
            <w:r>
              <w:rPr>
                <w:rFonts w:ascii="Arial" w:eastAsia="宋体" w:hAnsi="Arial" w:cs="Arial"/>
                <w:color w:val="000000"/>
                <w:sz w:val="15"/>
                <w:szCs w:val="15"/>
              </w:rPr>
              <w:t>Total</w:t>
            </w:r>
          </w:p>
        </w:tc>
        <w:tc>
          <w:tcPr>
            <w:tcW w:w="0" w:type="auto"/>
            <w:gridSpan w:val="3"/>
            <w:shd w:val="clear" w:color="auto" w:fill="FFFFFF"/>
            <w:tcMar>
              <w:top w:w="0" w:type="dxa"/>
              <w:left w:w="20" w:type="dxa"/>
              <w:bottom w:w="0" w:type="dxa"/>
              <w:right w:w="20" w:type="dxa"/>
            </w:tcMar>
          </w:tcPr>
          <w:p w14:paraId="5EA2694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4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4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4C"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694D" w14:textId="77777777" w:rsidR="003C66EB" w:rsidRDefault="00D96C4E">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694E" w14:textId="77777777" w:rsidR="003C66EB" w:rsidRDefault="00D96C4E">
            <w:pPr>
              <w:jc w:val="right"/>
              <w:textAlignment w:val="bottom"/>
            </w:pPr>
            <w:r>
              <w:rPr>
                <w:rFonts w:ascii="Arial" w:eastAsia="宋体" w:hAnsi="Arial" w:cs="Arial"/>
                <w:b/>
                <w:bCs/>
                <w:color w:val="000000"/>
                <w:sz w:val="15"/>
                <w:szCs w:val="15"/>
              </w:rPr>
              <w:t>25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94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95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5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5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5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954"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6955" w14:textId="77777777" w:rsidR="003C66EB" w:rsidRDefault="00D96C4E">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6956" w14:textId="77777777" w:rsidR="003C66EB" w:rsidRDefault="00D96C4E">
            <w:pPr>
              <w:jc w:val="right"/>
              <w:textAlignment w:val="bottom"/>
            </w:pPr>
            <w:r>
              <w:rPr>
                <w:rFonts w:ascii="Arial" w:eastAsia="宋体" w:hAnsi="Arial" w:cs="Arial"/>
                <w:color w:val="000000"/>
                <w:sz w:val="15"/>
                <w:szCs w:val="15"/>
              </w:rPr>
              <w:t>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957" w14:textId="77777777" w:rsidR="003C66EB" w:rsidRDefault="003C66EB">
            <w:pPr>
              <w:jc w:val="right"/>
              <w:rPr>
                <w:rFonts w:ascii="宋体"/>
              </w:rPr>
            </w:pPr>
          </w:p>
        </w:tc>
      </w:tr>
      <w:tr w:rsidR="003C66EB" w14:paraId="5EA26965" w14:textId="77777777">
        <w:trPr>
          <w:trHeight w:val="100"/>
        </w:trPr>
        <w:tc>
          <w:tcPr>
            <w:tcW w:w="0" w:type="auto"/>
            <w:gridSpan w:val="3"/>
            <w:shd w:val="clear" w:color="auto" w:fill="auto"/>
            <w:tcMar>
              <w:top w:w="0" w:type="dxa"/>
              <w:left w:w="20" w:type="dxa"/>
              <w:bottom w:w="0" w:type="dxa"/>
              <w:right w:w="20" w:type="dxa"/>
            </w:tcMar>
          </w:tcPr>
          <w:p w14:paraId="5EA2695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5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5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5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5D"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695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5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6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6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6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963"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6964" w14:textId="77777777" w:rsidR="003C66EB" w:rsidRDefault="003C66EB">
            <w:pPr>
              <w:rPr>
                <w:rFonts w:ascii="宋体"/>
              </w:rPr>
            </w:pPr>
          </w:p>
        </w:tc>
      </w:tr>
    </w:tbl>
    <w:p w14:paraId="5EA26966" w14:textId="77777777" w:rsidR="003C66EB" w:rsidRDefault="00D96C4E">
      <w:pPr>
        <w:spacing w:before="60" w:after="60"/>
        <w:ind w:firstLine="450"/>
        <w:jc w:val="both"/>
      </w:pPr>
      <w:r>
        <w:rPr>
          <w:rFonts w:ascii="Arial" w:eastAsia="宋体" w:hAnsi="Arial" w:cs="Arial"/>
          <w:color w:val="000000"/>
          <w:sz w:val="20"/>
          <w:szCs w:val="20"/>
        </w:rPr>
        <w:t xml:space="preserve">In April 2021, we declared dividends on our series D, F, G and H preferred stock of approximately $1,475, $966, $1,338 and $2,813 respectively, per share, or approximately $0.37, $9.66, $0.33 and $28.13 </w:t>
      </w:r>
      <w:r>
        <w:rPr>
          <w:rFonts w:ascii="Arial" w:eastAsia="宋体" w:hAnsi="Arial" w:cs="Arial"/>
          <w:color w:val="000000"/>
          <w:sz w:val="20"/>
          <w:szCs w:val="20"/>
        </w:rPr>
        <w:t>respectively, per depositary share. These dividends total approximately $11 million, $2 million, $7 million and $14 million on our series D, F, G and H preferred stock, respectively, which will be paid in June 2021.</w:t>
      </w:r>
    </w:p>
    <w:p w14:paraId="5EA26967" w14:textId="77777777" w:rsidR="003C66EB" w:rsidRDefault="00D96C4E">
      <w:pPr>
        <w:spacing w:before="60"/>
        <w:jc w:val="both"/>
      </w:pPr>
      <w:r>
        <w:rPr>
          <w:rFonts w:ascii="Arial" w:eastAsia="宋体" w:hAnsi="Arial" w:cs="Arial"/>
          <w:b/>
          <w:bCs/>
          <w:i/>
          <w:iCs/>
          <w:color w:val="000000"/>
          <w:sz w:val="20"/>
          <w:szCs w:val="20"/>
          <w:shd w:val="clear" w:color="auto" w:fill="FFFFFF"/>
        </w:rPr>
        <w:t>Common Stock</w:t>
      </w:r>
    </w:p>
    <w:p w14:paraId="5EA26968" w14:textId="77777777" w:rsidR="003C66EB" w:rsidRDefault="00D96C4E">
      <w:pPr>
        <w:ind w:firstLine="450"/>
        <w:jc w:val="both"/>
      </w:pPr>
      <w:r>
        <w:rPr>
          <w:rFonts w:ascii="Arial" w:eastAsia="宋体" w:hAnsi="Arial" w:cs="Arial"/>
          <w:color w:val="000000"/>
          <w:sz w:val="20"/>
          <w:szCs w:val="20"/>
        </w:rPr>
        <w:t xml:space="preserve">In June 2019, our </w:t>
      </w:r>
      <w:r>
        <w:rPr>
          <w:rFonts w:ascii="Arial" w:eastAsia="宋体" w:hAnsi="Arial" w:cs="Arial"/>
          <w:color w:val="000000"/>
          <w:sz w:val="20"/>
          <w:szCs w:val="20"/>
        </w:rPr>
        <w:t>Board approved a common stock purchase program authorizing the purchase of up to $2.0 billion of our common stock from July 1, 2019 through June 30, 2020 (the 2019 Program). We repurchased $500 million of our common stock in each of the third and fourth qu</w:t>
      </w:r>
      <w:r>
        <w:rPr>
          <w:rFonts w:ascii="Arial" w:eastAsia="宋体" w:hAnsi="Arial" w:cs="Arial"/>
          <w:color w:val="000000"/>
          <w:sz w:val="20"/>
          <w:szCs w:val="20"/>
        </w:rPr>
        <w:t>arters of 2019 and the first quarter of 2020 under the 2019 Program.</w:t>
      </w:r>
    </w:p>
    <w:p w14:paraId="5EA26969" w14:textId="77777777" w:rsidR="003C66EB" w:rsidRDefault="00D96C4E">
      <w:pPr>
        <w:ind w:firstLine="450"/>
        <w:jc w:val="right"/>
      </w:pPr>
      <w:r>
        <w:rPr>
          <w:rFonts w:ascii="Arial" w:eastAsia="宋体" w:hAnsi="Arial" w:cs="Arial"/>
          <w:color w:val="000000"/>
          <w:sz w:val="18"/>
          <w:szCs w:val="18"/>
        </w:rPr>
        <w:t>State Street Corporation | 78</w:t>
      </w:r>
    </w:p>
    <w:p w14:paraId="5EA2696A" w14:textId="77777777" w:rsidR="003C66EB" w:rsidRDefault="003C66EB">
      <w:pPr>
        <w:ind w:firstLine="450"/>
        <w:jc w:val="center"/>
      </w:pPr>
    </w:p>
    <w:p w14:paraId="5EA2696B" w14:textId="77777777" w:rsidR="003C66EB" w:rsidRDefault="00D96C4E">
      <w:r>
        <w:pict w14:anchorId="5EA287FE">
          <v:rect id="_x0000_i1102" style="width:415.3pt;height:1.5pt" o:hralign="center" o:hrstd="t" o:hr="t" fillcolor="#a0a0a0" stroked="f"/>
        </w:pict>
      </w:r>
    </w:p>
    <w:p w14:paraId="5EA2696C" w14:textId="77777777" w:rsidR="003C66EB" w:rsidRDefault="00D96C4E">
      <w:pPr>
        <w:ind w:firstLine="450"/>
        <w:jc w:val="center"/>
      </w:pPr>
      <w:r>
        <w:rPr>
          <w:rFonts w:ascii="Arial" w:eastAsia="宋体" w:hAnsi="Arial" w:cs="Arial"/>
          <w:b/>
          <w:bCs/>
          <w:color w:val="000000"/>
          <w:sz w:val="20"/>
          <w:szCs w:val="20"/>
        </w:rPr>
        <w:t>STATE STREET CORPORATION</w:t>
      </w:r>
    </w:p>
    <w:p w14:paraId="5EA2696D"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96E" w14:textId="77777777" w:rsidR="003C66EB" w:rsidRDefault="00D96C4E">
      <w:pPr>
        <w:ind w:firstLine="450"/>
        <w:jc w:val="center"/>
      </w:pPr>
      <w:r>
        <w:rPr>
          <w:rFonts w:ascii="Arial" w:eastAsia="宋体" w:hAnsi="Arial" w:cs="Arial"/>
          <w:b/>
          <w:bCs/>
          <w:color w:val="000000"/>
          <w:sz w:val="20"/>
          <w:szCs w:val="20"/>
        </w:rPr>
        <w:t>(UNAUDITED)</w:t>
      </w:r>
    </w:p>
    <w:p w14:paraId="5EA2696F" w14:textId="77777777" w:rsidR="003C66EB" w:rsidRDefault="00D96C4E">
      <w:pPr>
        <w:ind w:firstLine="450"/>
        <w:jc w:val="both"/>
      </w:pPr>
      <w:r>
        <w:rPr>
          <w:rFonts w:ascii="Arial" w:eastAsia="宋体" w:hAnsi="Arial" w:cs="Arial"/>
          <w:color w:val="000000"/>
          <w:sz w:val="20"/>
          <w:szCs w:val="20"/>
        </w:rPr>
        <w:t xml:space="preserve">On March 16, 2020, we, along with the other U.S. G-SIBs, </w:t>
      </w:r>
      <w:r>
        <w:rPr>
          <w:rFonts w:ascii="Arial" w:eastAsia="宋体" w:hAnsi="Arial" w:cs="Arial"/>
          <w:color w:val="000000"/>
          <w:sz w:val="20"/>
          <w:szCs w:val="20"/>
        </w:rPr>
        <w:t>suspended common share repurchases and maintained this suspension through the fourth quarter of 2020 in response to the COVID-19 pandemic. This suspension was consistent with limitations imposed by the Federal Reserve beginning in the second quarter of 202</w:t>
      </w:r>
      <w:r>
        <w:rPr>
          <w:rFonts w:ascii="Arial" w:eastAsia="宋体" w:hAnsi="Arial" w:cs="Arial"/>
          <w:color w:val="000000"/>
          <w:sz w:val="20"/>
          <w:szCs w:val="20"/>
        </w:rPr>
        <w:t>0. As a result, we had no repurchases of our common stock in the second, third or fourth quarters of 2020.</w:t>
      </w:r>
    </w:p>
    <w:p w14:paraId="5EA26970" w14:textId="77777777" w:rsidR="003C66EB" w:rsidRDefault="00D96C4E">
      <w:pPr>
        <w:spacing w:before="60"/>
        <w:ind w:firstLine="450"/>
        <w:jc w:val="both"/>
      </w:pPr>
      <w:r>
        <w:rPr>
          <w:rFonts w:ascii="Arial" w:eastAsia="宋体" w:hAnsi="Arial" w:cs="Arial"/>
          <w:color w:val="000000"/>
          <w:sz w:val="20"/>
          <w:szCs w:val="20"/>
          <w:shd w:val="clear" w:color="auto" w:fill="FFFFFF"/>
        </w:rPr>
        <w:t>In December 2020, the Federal Reserve issued results of 2020 resubmission stress tests and authorized us to continue to pay common stock dividends at</w:t>
      </w:r>
      <w:r>
        <w:rPr>
          <w:rFonts w:ascii="Arial" w:eastAsia="宋体" w:hAnsi="Arial" w:cs="Arial"/>
          <w:color w:val="000000"/>
          <w:sz w:val="20"/>
          <w:szCs w:val="20"/>
          <w:shd w:val="clear" w:color="auto" w:fill="FFFFFF"/>
        </w:rPr>
        <w:t xml:space="preserve"> current levels and to resume repurchasing common shares in the first quarter of 2021. </w:t>
      </w:r>
      <w:r>
        <w:rPr>
          <w:rFonts w:ascii="Arial" w:eastAsia="宋体" w:hAnsi="Arial" w:cs="Arial"/>
          <w:color w:val="000000"/>
          <w:sz w:val="20"/>
          <w:szCs w:val="20"/>
        </w:rPr>
        <w:t>In January 2021, our Board authorized a share repurchase program for the purchase of up to $475 million of our common stock through March 31, 2021. In April 2021, our Bo</w:t>
      </w:r>
      <w:r>
        <w:rPr>
          <w:rFonts w:ascii="Arial" w:eastAsia="宋体" w:hAnsi="Arial" w:cs="Arial"/>
          <w:color w:val="000000"/>
          <w:sz w:val="20"/>
          <w:szCs w:val="20"/>
        </w:rPr>
        <w:t>ard authorized a share repurchase program for the purchase of up to $425 million of our common stock through June 30, 2021, consistent with the limit set by the Federal Reserve.</w:t>
      </w:r>
    </w:p>
    <w:p w14:paraId="5EA26971" w14:textId="77777777" w:rsidR="003C66EB" w:rsidRDefault="00D96C4E">
      <w:pPr>
        <w:spacing w:before="60"/>
        <w:ind w:firstLine="450"/>
        <w:jc w:val="both"/>
      </w:pPr>
      <w:r>
        <w:rPr>
          <w:rFonts w:ascii="Arial" w:eastAsia="宋体" w:hAnsi="Arial" w:cs="Arial"/>
          <w:color w:val="000000"/>
          <w:sz w:val="20"/>
          <w:szCs w:val="20"/>
        </w:rPr>
        <w:t xml:space="preserve">The tables below present the activity under our common stock purchase program </w:t>
      </w:r>
      <w:r>
        <w:rPr>
          <w:rFonts w:ascii="Arial" w:eastAsia="宋体" w:hAnsi="Arial" w:cs="Arial"/>
          <w:color w:val="000000"/>
          <w:sz w:val="20"/>
          <w:szCs w:val="20"/>
        </w:rPr>
        <w:t>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gridCol w:w="108"/>
        <w:gridCol w:w="108"/>
        <w:gridCol w:w="108"/>
        <w:gridCol w:w="108"/>
        <w:gridCol w:w="108"/>
        <w:gridCol w:w="36"/>
        <w:gridCol w:w="36"/>
        <w:gridCol w:w="36"/>
        <w:gridCol w:w="36"/>
        <w:gridCol w:w="36"/>
        <w:gridCol w:w="36"/>
        <w:gridCol w:w="36"/>
        <w:gridCol w:w="36"/>
        <w:gridCol w:w="36"/>
        <w:gridCol w:w="37"/>
        <w:gridCol w:w="2258"/>
        <w:gridCol w:w="36"/>
        <w:gridCol w:w="36"/>
        <w:gridCol w:w="36"/>
        <w:gridCol w:w="36"/>
        <w:gridCol w:w="99"/>
        <w:gridCol w:w="2225"/>
        <w:gridCol w:w="36"/>
        <w:gridCol w:w="36"/>
        <w:gridCol w:w="36"/>
        <w:gridCol w:w="36"/>
        <w:gridCol w:w="99"/>
        <w:gridCol w:w="2225"/>
        <w:gridCol w:w="36"/>
      </w:tblGrid>
      <w:tr w:rsidR="003C66EB" w14:paraId="5EA2698E" w14:textId="77777777">
        <w:trPr>
          <w:hidden/>
        </w:trPr>
        <w:tc>
          <w:tcPr>
            <w:tcW w:w="0" w:type="auto"/>
            <w:shd w:val="clear" w:color="auto" w:fill="auto"/>
          </w:tcPr>
          <w:p w14:paraId="5EA26972" w14:textId="77777777" w:rsidR="003C66EB" w:rsidRDefault="003C66EB">
            <w:pPr>
              <w:rPr>
                <w:rFonts w:ascii="宋体"/>
                <w:vanish/>
              </w:rPr>
            </w:pPr>
          </w:p>
        </w:tc>
        <w:tc>
          <w:tcPr>
            <w:tcW w:w="0" w:type="auto"/>
            <w:shd w:val="clear" w:color="auto" w:fill="auto"/>
          </w:tcPr>
          <w:p w14:paraId="5EA26973" w14:textId="77777777" w:rsidR="003C66EB" w:rsidRDefault="003C66EB">
            <w:pPr>
              <w:rPr>
                <w:rFonts w:ascii="宋体"/>
                <w:vanish/>
              </w:rPr>
            </w:pPr>
          </w:p>
        </w:tc>
        <w:tc>
          <w:tcPr>
            <w:tcW w:w="0" w:type="auto"/>
            <w:shd w:val="clear" w:color="auto" w:fill="auto"/>
          </w:tcPr>
          <w:p w14:paraId="5EA26974" w14:textId="77777777" w:rsidR="003C66EB" w:rsidRDefault="003C66EB">
            <w:pPr>
              <w:rPr>
                <w:rFonts w:ascii="宋体"/>
                <w:vanish/>
              </w:rPr>
            </w:pPr>
          </w:p>
        </w:tc>
        <w:tc>
          <w:tcPr>
            <w:tcW w:w="0" w:type="auto"/>
            <w:shd w:val="clear" w:color="auto" w:fill="auto"/>
          </w:tcPr>
          <w:p w14:paraId="5EA26975" w14:textId="77777777" w:rsidR="003C66EB" w:rsidRDefault="003C66EB">
            <w:pPr>
              <w:rPr>
                <w:rFonts w:ascii="宋体"/>
                <w:vanish/>
              </w:rPr>
            </w:pPr>
          </w:p>
        </w:tc>
        <w:tc>
          <w:tcPr>
            <w:tcW w:w="0" w:type="auto"/>
            <w:shd w:val="clear" w:color="auto" w:fill="auto"/>
          </w:tcPr>
          <w:p w14:paraId="5EA26976" w14:textId="77777777" w:rsidR="003C66EB" w:rsidRDefault="003C66EB">
            <w:pPr>
              <w:rPr>
                <w:rFonts w:ascii="宋体"/>
                <w:vanish/>
              </w:rPr>
            </w:pPr>
          </w:p>
        </w:tc>
        <w:tc>
          <w:tcPr>
            <w:tcW w:w="0" w:type="auto"/>
            <w:shd w:val="clear" w:color="auto" w:fill="auto"/>
          </w:tcPr>
          <w:p w14:paraId="5EA26977" w14:textId="77777777" w:rsidR="003C66EB" w:rsidRDefault="003C66EB">
            <w:pPr>
              <w:rPr>
                <w:rFonts w:ascii="宋体"/>
                <w:vanish/>
              </w:rPr>
            </w:pPr>
          </w:p>
        </w:tc>
        <w:tc>
          <w:tcPr>
            <w:tcW w:w="0" w:type="auto"/>
            <w:shd w:val="clear" w:color="auto" w:fill="auto"/>
          </w:tcPr>
          <w:p w14:paraId="5EA26978" w14:textId="77777777" w:rsidR="003C66EB" w:rsidRDefault="003C66EB">
            <w:pPr>
              <w:rPr>
                <w:rFonts w:ascii="宋体"/>
                <w:vanish/>
              </w:rPr>
            </w:pPr>
          </w:p>
        </w:tc>
        <w:tc>
          <w:tcPr>
            <w:tcW w:w="0" w:type="auto"/>
            <w:shd w:val="clear" w:color="auto" w:fill="auto"/>
          </w:tcPr>
          <w:p w14:paraId="5EA26979" w14:textId="77777777" w:rsidR="003C66EB" w:rsidRDefault="003C66EB">
            <w:pPr>
              <w:rPr>
                <w:rFonts w:ascii="宋体"/>
                <w:vanish/>
              </w:rPr>
            </w:pPr>
          </w:p>
        </w:tc>
        <w:tc>
          <w:tcPr>
            <w:tcW w:w="0" w:type="auto"/>
            <w:shd w:val="clear" w:color="auto" w:fill="auto"/>
          </w:tcPr>
          <w:p w14:paraId="5EA2697A" w14:textId="77777777" w:rsidR="003C66EB" w:rsidRDefault="003C66EB">
            <w:pPr>
              <w:rPr>
                <w:rFonts w:ascii="宋体"/>
                <w:vanish/>
              </w:rPr>
            </w:pPr>
          </w:p>
        </w:tc>
        <w:tc>
          <w:tcPr>
            <w:tcW w:w="0" w:type="auto"/>
            <w:shd w:val="clear" w:color="auto" w:fill="auto"/>
          </w:tcPr>
          <w:p w14:paraId="5EA2697B" w14:textId="77777777" w:rsidR="003C66EB" w:rsidRDefault="003C66EB">
            <w:pPr>
              <w:rPr>
                <w:rFonts w:ascii="宋体"/>
                <w:vanish/>
              </w:rPr>
            </w:pPr>
          </w:p>
        </w:tc>
        <w:tc>
          <w:tcPr>
            <w:tcW w:w="0" w:type="auto"/>
            <w:gridSpan w:val="3"/>
            <w:shd w:val="clear" w:color="auto" w:fill="auto"/>
          </w:tcPr>
          <w:p w14:paraId="5EA2697C" w14:textId="77777777" w:rsidR="003C66EB" w:rsidRDefault="003C66EB">
            <w:pPr>
              <w:rPr>
                <w:rFonts w:ascii="宋体"/>
                <w:vanish/>
              </w:rPr>
            </w:pPr>
          </w:p>
        </w:tc>
        <w:tc>
          <w:tcPr>
            <w:tcW w:w="0" w:type="auto"/>
            <w:gridSpan w:val="3"/>
            <w:shd w:val="clear" w:color="auto" w:fill="auto"/>
          </w:tcPr>
          <w:p w14:paraId="5EA2697D" w14:textId="77777777" w:rsidR="003C66EB" w:rsidRDefault="003C66EB">
            <w:pPr>
              <w:rPr>
                <w:rFonts w:ascii="宋体"/>
                <w:vanish/>
              </w:rPr>
            </w:pPr>
          </w:p>
        </w:tc>
        <w:tc>
          <w:tcPr>
            <w:tcW w:w="0" w:type="auto"/>
            <w:gridSpan w:val="3"/>
            <w:shd w:val="clear" w:color="auto" w:fill="auto"/>
          </w:tcPr>
          <w:p w14:paraId="5EA2697E" w14:textId="77777777" w:rsidR="003C66EB" w:rsidRDefault="003C66EB">
            <w:pPr>
              <w:rPr>
                <w:rFonts w:ascii="宋体"/>
                <w:vanish/>
              </w:rPr>
            </w:pPr>
          </w:p>
        </w:tc>
        <w:tc>
          <w:tcPr>
            <w:tcW w:w="50" w:type="pct"/>
            <w:shd w:val="clear" w:color="auto" w:fill="auto"/>
          </w:tcPr>
          <w:p w14:paraId="5EA2697F" w14:textId="77777777" w:rsidR="003C66EB" w:rsidRDefault="003C66EB">
            <w:pPr>
              <w:rPr>
                <w:rFonts w:ascii="宋体"/>
              </w:rPr>
            </w:pPr>
          </w:p>
        </w:tc>
        <w:tc>
          <w:tcPr>
            <w:tcW w:w="1587" w:type="pct"/>
            <w:shd w:val="clear" w:color="auto" w:fill="auto"/>
          </w:tcPr>
          <w:p w14:paraId="5EA26980" w14:textId="77777777" w:rsidR="003C66EB" w:rsidRDefault="003C66EB">
            <w:pPr>
              <w:rPr>
                <w:rFonts w:ascii="宋体"/>
              </w:rPr>
            </w:pPr>
          </w:p>
        </w:tc>
        <w:tc>
          <w:tcPr>
            <w:tcW w:w="5" w:type="pct"/>
            <w:shd w:val="clear" w:color="auto" w:fill="auto"/>
          </w:tcPr>
          <w:p w14:paraId="5EA26981" w14:textId="77777777" w:rsidR="003C66EB" w:rsidRDefault="003C66EB">
            <w:pPr>
              <w:rPr>
                <w:rFonts w:ascii="宋体"/>
              </w:rPr>
            </w:pPr>
          </w:p>
        </w:tc>
        <w:tc>
          <w:tcPr>
            <w:tcW w:w="5" w:type="pct"/>
            <w:shd w:val="clear" w:color="auto" w:fill="auto"/>
          </w:tcPr>
          <w:p w14:paraId="5EA26982" w14:textId="77777777" w:rsidR="003C66EB" w:rsidRDefault="003C66EB">
            <w:pPr>
              <w:rPr>
                <w:rFonts w:ascii="宋体"/>
              </w:rPr>
            </w:pPr>
          </w:p>
        </w:tc>
        <w:tc>
          <w:tcPr>
            <w:tcW w:w="26" w:type="pct"/>
            <w:shd w:val="clear" w:color="auto" w:fill="auto"/>
          </w:tcPr>
          <w:p w14:paraId="5EA26983" w14:textId="77777777" w:rsidR="003C66EB" w:rsidRDefault="003C66EB">
            <w:pPr>
              <w:rPr>
                <w:rFonts w:ascii="宋体"/>
              </w:rPr>
            </w:pPr>
          </w:p>
        </w:tc>
        <w:tc>
          <w:tcPr>
            <w:tcW w:w="5" w:type="pct"/>
            <w:shd w:val="clear" w:color="auto" w:fill="auto"/>
          </w:tcPr>
          <w:p w14:paraId="5EA26984" w14:textId="77777777" w:rsidR="003C66EB" w:rsidRDefault="003C66EB">
            <w:pPr>
              <w:rPr>
                <w:rFonts w:ascii="宋体"/>
              </w:rPr>
            </w:pPr>
          </w:p>
        </w:tc>
        <w:tc>
          <w:tcPr>
            <w:tcW w:w="50" w:type="pct"/>
            <w:shd w:val="clear" w:color="auto" w:fill="auto"/>
          </w:tcPr>
          <w:p w14:paraId="5EA26985" w14:textId="77777777" w:rsidR="003C66EB" w:rsidRDefault="003C66EB">
            <w:pPr>
              <w:rPr>
                <w:rFonts w:ascii="宋体"/>
              </w:rPr>
            </w:pPr>
          </w:p>
        </w:tc>
        <w:tc>
          <w:tcPr>
            <w:tcW w:w="1587" w:type="pct"/>
            <w:shd w:val="clear" w:color="auto" w:fill="auto"/>
          </w:tcPr>
          <w:p w14:paraId="5EA26986" w14:textId="77777777" w:rsidR="003C66EB" w:rsidRDefault="003C66EB">
            <w:pPr>
              <w:rPr>
                <w:rFonts w:ascii="宋体"/>
              </w:rPr>
            </w:pPr>
          </w:p>
        </w:tc>
        <w:tc>
          <w:tcPr>
            <w:tcW w:w="5" w:type="pct"/>
            <w:shd w:val="clear" w:color="auto" w:fill="auto"/>
          </w:tcPr>
          <w:p w14:paraId="5EA26987" w14:textId="77777777" w:rsidR="003C66EB" w:rsidRDefault="003C66EB">
            <w:pPr>
              <w:rPr>
                <w:rFonts w:ascii="宋体"/>
              </w:rPr>
            </w:pPr>
          </w:p>
        </w:tc>
        <w:tc>
          <w:tcPr>
            <w:tcW w:w="5" w:type="pct"/>
            <w:shd w:val="clear" w:color="auto" w:fill="auto"/>
          </w:tcPr>
          <w:p w14:paraId="5EA26988" w14:textId="77777777" w:rsidR="003C66EB" w:rsidRDefault="003C66EB">
            <w:pPr>
              <w:rPr>
                <w:rFonts w:ascii="宋体"/>
              </w:rPr>
            </w:pPr>
          </w:p>
        </w:tc>
        <w:tc>
          <w:tcPr>
            <w:tcW w:w="26" w:type="pct"/>
            <w:shd w:val="clear" w:color="auto" w:fill="auto"/>
          </w:tcPr>
          <w:p w14:paraId="5EA26989" w14:textId="77777777" w:rsidR="003C66EB" w:rsidRDefault="003C66EB">
            <w:pPr>
              <w:rPr>
                <w:rFonts w:ascii="宋体"/>
              </w:rPr>
            </w:pPr>
          </w:p>
        </w:tc>
        <w:tc>
          <w:tcPr>
            <w:tcW w:w="5" w:type="pct"/>
            <w:shd w:val="clear" w:color="auto" w:fill="auto"/>
          </w:tcPr>
          <w:p w14:paraId="5EA2698A" w14:textId="77777777" w:rsidR="003C66EB" w:rsidRDefault="003C66EB">
            <w:pPr>
              <w:rPr>
                <w:rFonts w:ascii="宋体"/>
              </w:rPr>
            </w:pPr>
          </w:p>
        </w:tc>
        <w:tc>
          <w:tcPr>
            <w:tcW w:w="50" w:type="pct"/>
            <w:shd w:val="clear" w:color="auto" w:fill="auto"/>
          </w:tcPr>
          <w:p w14:paraId="5EA2698B" w14:textId="77777777" w:rsidR="003C66EB" w:rsidRDefault="003C66EB">
            <w:pPr>
              <w:rPr>
                <w:rFonts w:ascii="宋体"/>
              </w:rPr>
            </w:pPr>
          </w:p>
        </w:tc>
        <w:tc>
          <w:tcPr>
            <w:tcW w:w="1587" w:type="pct"/>
            <w:shd w:val="clear" w:color="auto" w:fill="auto"/>
          </w:tcPr>
          <w:p w14:paraId="5EA2698C" w14:textId="77777777" w:rsidR="003C66EB" w:rsidRDefault="003C66EB">
            <w:pPr>
              <w:rPr>
                <w:rFonts w:ascii="宋体"/>
              </w:rPr>
            </w:pPr>
          </w:p>
        </w:tc>
        <w:tc>
          <w:tcPr>
            <w:tcW w:w="5" w:type="pct"/>
            <w:shd w:val="clear" w:color="auto" w:fill="auto"/>
          </w:tcPr>
          <w:p w14:paraId="5EA2698D" w14:textId="77777777" w:rsidR="003C66EB" w:rsidRDefault="003C66EB">
            <w:pPr>
              <w:rPr>
                <w:rFonts w:ascii="宋体"/>
              </w:rPr>
            </w:pPr>
          </w:p>
        </w:tc>
      </w:tr>
      <w:tr w:rsidR="003C66EB" w14:paraId="5EA269AD" w14:textId="77777777">
        <w:trPr>
          <w:hidden/>
        </w:trPr>
        <w:tc>
          <w:tcPr>
            <w:tcW w:w="0" w:type="auto"/>
            <w:shd w:val="clear" w:color="auto" w:fill="auto"/>
          </w:tcPr>
          <w:p w14:paraId="5EA2698F" w14:textId="77777777" w:rsidR="003C66EB" w:rsidRDefault="003C66EB">
            <w:pPr>
              <w:rPr>
                <w:rFonts w:ascii="宋体"/>
                <w:vanish/>
              </w:rPr>
            </w:pPr>
          </w:p>
        </w:tc>
        <w:tc>
          <w:tcPr>
            <w:tcW w:w="0" w:type="auto"/>
            <w:shd w:val="clear" w:color="auto" w:fill="auto"/>
          </w:tcPr>
          <w:p w14:paraId="5EA26990" w14:textId="77777777" w:rsidR="003C66EB" w:rsidRDefault="003C66EB">
            <w:pPr>
              <w:rPr>
                <w:rFonts w:ascii="宋体"/>
                <w:vanish/>
              </w:rPr>
            </w:pPr>
          </w:p>
        </w:tc>
        <w:tc>
          <w:tcPr>
            <w:tcW w:w="0" w:type="auto"/>
            <w:shd w:val="clear" w:color="auto" w:fill="auto"/>
          </w:tcPr>
          <w:p w14:paraId="5EA26991" w14:textId="77777777" w:rsidR="003C66EB" w:rsidRDefault="003C66EB">
            <w:pPr>
              <w:rPr>
                <w:rFonts w:ascii="宋体"/>
                <w:vanish/>
              </w:rPr>
            </w:pPr>
          </w:p>
        </w:tc>
        <w:tc>
          <w:tcPr>
            <w:tcW w:w="0" w:type="auto"/>
            <w:shd w:val="clear" w:color="auto" w:fill="auto"/>
          </w:tcPr>
          <w:p w14:paraId="5EA26992" w14:textId="77777777" w:rsidR="003C66EB" w:rsidRDefault="003C66EB">
            <w:pPr>
              <w:rPr>
                <w:rFonts w:ascii="宋体"/>
                <w:vanish/>
              </w:rPr>
            </w:pPr>
          </w:p>
        </w:tc>
        <w:tc>
          <w:tcPr>
            <w:tcW w:w="0" w:type="auto"/>
            <w:shd w:val="clear" w:color="auto" w:fill="auto"/>
          </w:tcPr>
          <w:p w14:paraId="5EA26993" w14:textId="77777777" w:rsidR="003C66EB" w:rsidRDefault="003C66EB">
            <w:pPr>
              <w:rPr>
                <w:rFonts w:ascii="宋体"/>
                <w:vanish/>
              </w:rPr>
            </w:pPr>
          </w:p>
        </w:tc>
        <w:tc>
          <w:tcPr>
            <w:tcW w:w="0" w:type="auto"/>
            <w:gridSpan w:val="5"/>
            <w:shd w:val="clear" w:color="auto" w:fill="auto"/>
            <w:tcMar>
              <w:top w:w="40" w:type="dxa"/>
              <w:left w:w="20" w:type="dxa"/>
              <w:bottom w:w="40" w:type="dxa"/>
              <w:right w:w="20" w:type="dxa"/>
            </w:tcMar>
            <w:vAlign w:val="bottom"/>
          </w:tcPr>
          <w:p w14:paraId="5EA26994" w14:textId="77777777" w:rsidR="003C66EB" w:rsidRDefault="00D96C4E">
            <w:pPr>
              <w:jc w:val="center"/>
              <w:textAlignment w:val="bottom"/>
            </w:pPr>
            <w:r>
              <w:rPr>
                <w:rFonts w:ascii="Arial" w:eastAsia="宋体" w:hAnsi="Arial" w:cs="Arial"/>
                <w:b/>
                <w:bCs/>
                <w:color w:val="000000"/>
                <w:sz w:val="14"/>
                <w:szCs w:val="14"/>
              </w:rPr>
              <w:t>Three Months Ended March 31, 2021</w:t>
            </w:r>
          </w:p>
        </w:tc>
        <w:tc>
          <w:tcPr>
            <w:tcW w:w="0" w:type="auto"/>
            <w:shd w:val="clear" w:color="auto" w:fill="auto"/>
          </w:tcPr>
          <w:p w14:paraId="5EA26995" w14:textId="77777777" w:rsidR="003C66EB" w:rsidRDefault="003C66EB">
            <w:pPr>
              <w:rPr>
                <w:rFonts w:ascii="宋体"/>
              </w:rPr>
            </w:pPr>
          </w:p>
        </w:tc>
        <w:tc>
          <w:tcPr>
            <w:tcW w:w="0" w:type="auto"/>
            <w:shd w:val="clear" w:color="auto" w:fill="auto"/>
          </w:tcPr>
          <w:p w14:paraId="5EA26996" w14:textId="77777777" w:rsidR="003C66EB" w:rsidRDefault="003C66EB">
            <w:pPr>
              <w:rPr>
                <w:rFonts w:ascii="宋体"/>
              </w:rPr>
            </w:pPr>
          </w:p>
        </w:tc>
        <w:tc>
          <w:tcPr>
            <w:tcW w:w="0" w:type="auto"/>
            <w:shd w:val="clear" w:color="auto" w:fill="auto"/>
          </w:tcPr>
          <w:p w14:paraId="5EA26997" w14:textId="77777777" w:rsidR="003C66EB" w:rsidRDefault="003C66EB">
            <w:pPr>
              <w:rPr>
                <w:rFonts w:ascii="宋体"/>
              </w:rPr>
            </w:pPr>
          </w:p>
        </w:tc>
        <w:tc>
          <w:tcPr>
            <w:tcW w:w="0" w:type="auto"/>
            <w:shd w:val="clear" w:color="auto" w:fill="auto"/>
          </w:tcPr>
          <w:p w14:paraId="5EA26998" w14:textId="77777777" w:rsidR="003C66EB" w:rsidRDefault="003C66EB">
            <w:pPr>
              <w:rPr>
                <w:rFonts w:ascii="宋体"/>
              </w:rPr>
            </w:pPr>
          </w:p>
        </w:tc>
        <w:tc>
          <w:tcPr>
            <w:tcW w:w="0" w:type="auto"/>
            <w:shd w:val="clear" w:color="auto" w:fill="auto"/>
          </w:tcPr>
          <w:p w14:paraId="5EA26999" w14:textId="77777777" w:rsidR="003C66EB" w:rsidRDefault="003C66EB">
            <w:pPr>
              <w:rPr>
                <w:rFonts w:ascii="宋体"/>
              </w:rPr>
            </w:pPr>
          </w:p>
        </w:tc>
        <w:tc>
          <w:tcPr>
            <w:tcW w:w="0" w:type="auto"/>
            <w:shd w:val="clear" w:color="auto" w:fill="auto"/>
          </w:tcPr>
          <w:p w14:paraId="5EA2699A" w14:textId="77777777" w:rsidR="003C66EB" w:rsidRDefault="003C66EB">
            <w:pPr>
              <w:rPr>
                <w:rFonts w:ascii="宋体"/>
              </w:rPr>
            </w:pPr>
          </w:p>
        </w:tc>
        <w:tc>
          <w:tcPr>
            <w:tcW w:w="0" w:type="auto"/>
            <w:shd w:val="clear" w:color="auto" w:fill="auto"/>
          </w:tcPr>
          <w:p w14:paraId="5EA2699B" w14:textId="77777777" w:rsidR="003C66EB" w:rsidRDefault="003C66EB">
            <w:pPr>
              <w:rPr>
                <w:rFonts w:ascii="宋体"/>
              </w:rPr>
            </w:pPr>
          </w:p>
        </w:tc>
        <w:tc>
          <w:tcPr>
            <w:tcW w:w="0" w:type="auto"/>
            <w:shd w:val="clear" w:color="auto" w:fill="auto"/>
          </w:tcPr>
          <w:p w14:paraId="5EA2699C" w14:textId="77777777" w:rsidR="003C66EB" w:rsidRDefault="003C66EB">
            <w:pPr>
              <w:rPr>
                <w:rFonts w:ascii="宋体"/>
              </w:rPr>
            </w:pPr>
          </w:p>
        </w:tc>
        <w:tc>
          <w:tcPr>
            <w:tcW w:w="0" w:type="auto"/>
            <w:shd w:val="clear" w:color="auto" w:fill="auto"/>
          </w:tcPr>
          <w:p w14:paraId="5EA2699D" w14:textId="77777777" w:rsidR="003C66EB" w:rsidRDefault="003C66EB">
            <w:pPr>
              <w:rPr>
                <w:rFonts w:ascii="宋体"/>
              </w:rPr>
            </w:pPr>
          </w:p>
        </w:tc>
        <w:tc>
          <w:tcPr>
            <w:tcW w:w="0" w:type="auto"/>
            <w:shd w:val="clear" w:color="auto" w:fill="auto"/>
          </w:tcPr>
          <w:p w14:paraId="5EA2699E" w14:textId="77777777" w:rsidR="003C66EB" w:rsidRDefault="003C66EB">
            <w:pPr>
              <w:rPr>
                <w:rFonts w:ascii="宋体"/>
              </w:rPr>
            </w:pPr>
          </w:p>
        </w:tc>
        <w:tc>
          <w:tcPr>
            <w:tcW w:w="0" w:type="auto"/>
            <w:shd w:val="clear" w:color="auto" w:fill="auto"/>
          </w:tcPr>
          <w:p w14:paraId="5EA2699F" w14:textId="77777777" w:rsidR="003C66EB" w:rsidRDefault="003C66EB">
            <w:pPr>
              <w:rPr>
                <w:rFonts w:ascii="宋体"/>
              </w:rPr>
            </w:pPr>
          </w:p>
        </w:tc>
        <w:tc>
          <w:tcPr>
            <w:tcW w:w="0" w:type="auto"/>
            <w:shd w:val="clear" w:color="auto" w:fill="auto"/>
          </w:tcPr>
          <w:p w14:paraId="5EA269A0" w14:textId="77777777" w:rsidR="003C66EB" w:rsidRDefault="003C66EB">
            <w:pPr>
              <w:rPr>
                <w:rFonts w:ascii="宋体"/>
              </w:rPr>
            </w:pPr>
          </w:p>
        </w:tc>
        <w:tc>
          <w:tcPr>
            <w:tcW w:w="0" w:type="auto"/>
            <w:shd w:val="clear" w:color="auto" w:fill="auto"/>
          </w:tcPr>
          <w:p w14:paraId="5EA269A1" w14:textId="77777777" w:rsidR="003C66EB" w:rsidRDefault="003C66EB">
            <w:pPr>
              <w:rPr>
                <w:rFonts w:ascii="宋体"/>
              </w:rPr>
            </w:pPr>
          </w:p>
        </w:tc>
        <w:tc>
          <w:tcPr>
            <w:tcW w:w="0" w:type="auto"/>
            <w:shd w:val="clear" w:color="auto" w:fill="auto"/>
          </w:tcPr>
          <w:p w14:paraId="5EA269A2" w14:textId="77777777" w:rsidR="003C66EB" w:rsidRDefault="003C66EB">
            <w:pPr>
              <w:rPr>
                <w:rFonts w:ascii="宋体"/>
              </w:rPr>
            </w:pPr>
          </w:p>
        </w:tc>
        <w:tc>
          <w:tcPr>
            <w:tcW w:w="0" w:type="auto"/>
            <w:shd w:val="clear" w:color="auto" w:fill="auto"/>
          </w:tcPr>
          <w:p w14:paraId="5EA269A3" w14:textId="77777777" w:rsidR="003C66EB" w:rsidRDefault="003C66EB">
            <w:pPr>
              <w:rPr>
                <w:rFonts w:ascii="宋体"/>
              </w:rPr>
            </w:pPr>
          </w:p>
        </w:tc>
        <w:tc>
          <w:tcPr>
            <w:tcW w:w="0" w:type="auto"/>
            <w:shd w:val="clear" w:color="auto" w:fill="auto"/>
          </w:tcPr>
          <w:p w14:paraId="5EA269A4" w14:textId="77777777" w:rsidR="003C66EB" w:rsidRDefault="003C66EB">
            <w:pPr>
              <w:rPr>
                <w:rFonts w:ascii="宋体"/>
              </w:rPr>
            </w:pPr>
          </w:p>
        </w:tc>
        <w:tc>
          <w:tcPr>
            <w:tcW w:w="0" w:type="auto"/>
            <w:shd w:val="clear" w:color="auto" w:fill="auto"/>
          </w:tcPr>
          <w:p w14:paraId="5EA269A5" w14:textId="77777777" w:rsidR="003C66EB" w:rsidRDefault="003C66EB">
            <w:pPr>
              <w:rPr>
                <w:rFonts w:ascii="宋体"/>
              </w:rPr>
            </w:pPr>
          </w:p>
        </w:tc>
        <w:tc>
          <w:tcPr>
            <w:tcW w:w="0" w:type="auto"/>
            <w:shd w:val="clear" w:color="auto" w:fill="auto"/>
          </w:tcPr>
          <w:p w14:paraId="5EA269A6" w14:textId="77777777" w:rsidR="003C66EB" w:rsidRDefault="003C66EB">
            <w:pPr>
              <w:rPr>
                <w:rFonts w:ascii="宋体"/>
              </w:rPr>
            </w:pPr>
          </w:p>
        </w:tc>
        <w:tc>
          <w:tcPr>
            <w:tcW w:w="0" w:type="auto"/>
            <w:shd w:val="clear" w:color="auto" w:fill="auto"/>
          </w:tcPr>
          <w:p w14:paraId="5EA269A7" w14:textId="77777777" w:rsidR="003C66EB" w:rsidRDefault="003C66EB">
            <w:pPr>
              <w:rPr>
                <w:rFonts w:ascii="宋体"/>
              </w:rPr>
            </w:pPr>
          </w:p>
        </w:tc>
        <w:tc>
          <w:tcPr>
            <w:tcW w:w="0" w:type="auto"/>
            <w:shd w:val="clear" w:color="auto" w:fill="auto"/>
          </w:tcPr>
          <w:p w14:paraId="5EA269A8" w14:textId="77777777" w:rsidR="003C66EB" w:rsidRDefault="003C66EB">
            <w:pPr>
              <w:rPr>
                <w:rFonts w:ascii="宋体"/>
              </w:rPr>
            </w:pPr>
          </w:p>
        </w:tc>
        <w:tc>
          <w:tcPr>
            <w:tcW w:w="0" w:type="auto"/>
            <w:shd w:val="clear" w:color="auto" w:fill="auto"/>
          </w:tcPr>
          <w:p w14:paraId="5EA269A9" w14:textId="77777777" w:rsidR="003C66EB" w:rsidRDefault="003C66EB">
            <w:pPr>
              <w:rPr>
                <w:rFonts w:ascii="宋体"/>
              </w:rPr>
            </w:pPr>
          </w:p>
        </w:tc>
        <w:tc>
          <w:tcPr>
            <w:tcW w:w="0" w:type="auto"/>
            <w:shd w:val="clear" w:color="auto" w:fill="auto"/>
          </w:tcPr>
          <w:p w14:paraId="5EA269AA" w14:textId="77777777" w:rsidR="003C66EB" w:rsidRDefault="003C66EB">
            <w:pPr>
              <w:rPr>
                <w:rFonts w:ascii="宋体"/>
              </w:rPr>
            </w:pPr>
          </w:p>
        </w:tc>
        <w:tc>
          <w:tcPr>
            <w:tcW w:w="0" w:type="auto"/>
            <w:shd w:val="clear" w:color="auto" w:fill="auto"/>
          </w:tcPr>
          <w:p w14:paraId="5EA269AB" w14:textId="77777777" w:rsidR="003C66EB" w:rsidRDefault="003C66EB">
            <w:pPr>
              <w:rPr>
                <w:rFonts w:ascii="宋体"/>
              </w:rPr>
            </w:pPr>
          </w:p>
        </w:tc>
        <w:tc>
          <w:tcPr>
            <w:tcW w:w="0" w:type="auto"/>
            <w:shd w:val="clear" w:color="auto" w:fill="auto"/>
          </w:tcPr>
          <w:p w14:paraId="5EA269AC" w14:textId="77777777" w:rsidR="003C66EB" w:rsidRDefault="003C66EB">
            <w:pPr>
              <w:rPr>
                <w:rFonts w:ascii="宋体"/>
              </w:rPr>
            </w:pPr>
          </w:p>
        </w:tc>
      </w:tr>
      <w:tr w:rsidR="003C66EB" w14:paraId="5EA269C0" w14:textId="77777777">
        <w:trPr>
          <w:hidden/>
        </w:trPr>
        <w:tc>
          <w:tcPr>
            <w:tcW w:w="0" w:type="auto"/>
            <w:shd w:val="clear" w:color="auto" w:fill="auto"/>
          </w:tcPr>
          <w:p w14:paraId="5EA269AE" w14:textId="77777777" w:rsidR="003C66EB" w:rsidRDefault="003C66EB">
            <w:pPr>
              <w:rPr>
                <w:rFonts w:ascii="宋体"/>
                <w:vanish/>
              </w:rPr>
            </w:pPr>
          </w:p>
        </w:tc>
        <w:tc>
          <w:tcPr>
            <w:tcW w:w="0" w:type="auto"/>
            <w:shd w:val="clear" w:color="auto" w:fill="auto"/>
          </w:tcPr>
          <w:p w14:paraId="5EA269AF" w14:textId="77777777" w:rsidR="003C66EB" w:rsidRDefault="003C66EB">
            <w:pPr>
              <w:rPr>
                <w:rFonts w:ascii="宋体"/>
                <w:vanish/>
              </w:rPr>
            </w:pPr>
          </w:p>
        </w:tc>
        <w:tc>
          <w:tcPr>
            <w:tcW w:w="0" w:type="auto"/>
            <w:shd w:val="clear" w:color="auto" w:fill="auto"/>
          </w:tcPr>
          <w:p w14:paraId="5EA269B0" w14:textId="77777777" w:rsidR="003C66EB" w:rsidRDefault="003C66EB">
            <w:pPr>
              <w:rPr>
                <w:rFonts w:ascii="宋体"/>
                <w:vanish/>
              </w:rPr>
            </w:pPr>
          </w:p>
        </w:tc>
        <w:tc>
          <w:tcPr>
            <w:tcW w:w="0" w:type="auto"/>
            <w:shd w:val="clear" w:color="auto" w:fill="auto"/>
          </w:tcPr>
          <w:p w14:paraId="5EA269B1" w14:textId="77777777" w:rsidR="003C66EB" w:rsidRDefault="003C66EB">
            <w:pPr>
              <w:rPr>
                <w:rFonts w:ascii="宋体"/>
                <w:vanish/>
              </w:rPr>
            </w:pPr>
          </w:p>
        </w:tc>
        <w:tc>
          <w:tcPr>
            <w:tcW w:w="0" w:type="auto"/>
            <w:shd w:val="clear" w:color="auto" w:fill="auto"/>
          </w:tcPr>
          <w:p w14:paraId="5EA269B2" w14:textId="77777777" w:rsidR="003C66EB" w:rsidRDefault="003C66EB">
            <w:pPr>
              <w:rPr>
                <w:rFonts w:ascii="宋体"/>
                <w:vanish/>
              </w:rPr>
            </w:pPr>
          </w:p>
        </w:tc>
        <w:tc>
          <w:tcPr>
            <w:tcW w:w="0" w:type="auto"/>
            <w:shd w:val="clear" w:color="auto" w:fill="auto"/>
          </w:tcPr>
          <w:p w14:paraId="5EA269B3" w14:textId="77777777" w:rsidR="003C66EB" w:rsidRDefault="003C66EB">
            <w:pPr>
              <w:rPr>
                <w:rFonts w:ascii="宋体"/>
                <w:vanish/>
              </w:rPr>
            </w:pPr>
          </w:p>
        </w:tc>
        <w:tc>
          <w:tcPr>
            <w:tcW w:w="0" w:type="auto"/>
            <w:shd w:val="clear" w:color="auto" w:fill="auto"/>
          </w:tcPr>
          <w:p w14:paraId="5EA269B4" w14:textId="77777777" w:rsidR="003C66EB" w:rsidRDefault="003C66EB">
            <w:pPr>
              <w:rPr>
                <w:rFonts w:ascii="宋体"/>
                <w:vanish/>
              </w:rPr>
            </w:pPr>
          </w:p>
        </w:tc>
        <w:tc>
          <w:tcPr>
            <w:tcW w:w="0" w:type="auto"/>
            <w:shd w:val="clear" w:color="auto" w:fill="auto"/>
          </w:tcPr>
          <w:p w14:paraId="5EA269B5" w14:textId="77777777" w:rsidR="003C66EB" w:rsidRDefault="003C66EB">
            <w:pPr>
              <w:rPr>
                <w:rFonts w:ascii="宋体"/>
                <w:vanish/>
              </w:rPr>
            </w:pPr>
          </w:p>
        </w:tc>
        <w:tc>
          <w:tcPr>
            <w:tcW w:w="0" w:type="auto"/>
            <w:shd w:val="clear" w:color="auto" w:fill="auto"/>
          </w:tcPr>
          <w:p w14:paraId="5EA269B6" w14:textId="77777777" w:rsidR="003C66EB" w:rsidRDefault="003C66EB">
            <w:pPr>
              <w:rPr>
                <w:rFonts w:ascii="宋体"/>
                <w:vanish/>
              </w:rPr>
            </w:pPr>
          </w:p>
        </w:tc>
        <w:tc>
          <w:tcPr>
            <w:tcW w:w="0" w:type="auto"/>
            <w:shd w:val="clear" w:color="auto" w:fill="auto"/>
          </w:tcPr>
          <w:p w14:paraId="5EA269B7" w14:textId="77777777" w:rsidR="003C66EB" w:rsidRDefault="003C66EB">
            <w:pPr>
              <w:rPr>
                <w:rFonts w:ascii="宋体"/>
                <w:vanish/>
              </w:rPr>
            </w:pPr>
          </w:p>
        </w:tc>
        <w:tc>
          <w:tcPr>
            <w:tcW w:w="0" w:type="auto"/>
            <w:gridSpan w:val="3"/>
            <w:shd w:val="clear" w:color="auto" w:fill="auto"/>
          </w:tcPr>
          <w:p w14:paraId="5EA269B8" w14:textId="77777777" w:rsidR="003C66EB" w:rsidRDefault="003C66EB">
            <w:pPr>
              <w:rPr>
                <w:rFonts w:ascii="宋体"/>
                <w:vanish/>
              </w:rPr>
            </w:pPr>
          </w:p>
        </w:tc>
        <w:tc>
          <w:tcPr>
            <w:tcW w:w="0" w:type="auto"/>
            <w:gridSpan w:val="3"/>
            <w:shd w:val="clear" w:color="auto" w:fill="auto"/>
          </w:tcPr>
          <w:p w14:paraId="5EA269B9" w14:textId="77777777" w:rsidR="003C66EB" w:rsidRDefault="003C66EB">
            <w:pPr>
              <w:rPr>
                <w:rFonts w:ascii="宋体"/>
                <w:vanish/>
              </w:rPr>
            </w:pPr>
          </w:p>
        </w:tc>
        <w:tc>
          <w:tcPr>
            <w:tcW w:w="0" w:type="auto"/>
            <w:gridSpan w:val="3"/>
            <w:shd w:val="clear" w:color="auto" w:fill="auto"/>
          </w:tcPr>
          <w:p w14:paraId="5EA269BA"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9BB" w14:textId="77777777" w:rsidR="003C66EB" w:rsidRDefault="00D96C4E">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5EA269B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9BD" w14:textId="77777777" w:rsidR="003C66EB" w:rsidRDefault="00D96C4E">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9BE"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9BF" w14:textId="77777777" w:rsidR="003C66EB" w:rsidRDefault="00D96C4E">
            <w:pPr>
              <w:jc w:val="center"/>
              <w:textAlignment w:val="bottom"/>
            </w:pPr>
            <w:r>
              <w:rPr>
                <w:rFonts w:ascii="Arial" w:eastAsia="宋体" w:hAnsi="Arial" w:cs="Arial"/>
                <w:b/>
                <w:bCs/>
                <w:color w:val="000000"/>
                <w:sz w:val="14"/>
                <w:szCs w:val="14"/>
              </w:rPr>
              <w:t>Total Acquired (In millions)</w:t>
            </w:r>
          </w:p>
        </w:tc>
      </w:tr>
      <w:tr w:rsidR="003C66EB" w14:paraId="5EA269D3" w14:textId="77777777">
        <w:trPr>
          <w:hidden/>
        </w:trPr>
        <w:tc>
          <w:tcPr>
            <w:tcW w:w="0" w:type="auto"/>
            <w:shd w:val="clear" w:color="auto" w:fill="auto"/>
          </w:tcPr>
          <w:p w14:paraId="5EA269C1" w14:textId="77777777" w:rsidR="003C66EB" w:rsidRDefault="003C66EB">
            <w:pPr>
              <w:rPr>
                <w:rFonts w:ascii="宋体"/>
                <w:vanish/>
              </w:rPr>
            </w:pPr>
          </w:p>
        </w:tc>
        <w:tc>
          <w:tcPr>
            <w:tcW w:w="0" w:type="auto"/>
            <w:shd w:val="clear" w:color="auto" w:fill="auto"/>
          </w:tcPr>
          <w:p w14:paraId="5EA269C2" w14:textId="77777777" w:rsidR="003C66EB" w:rsidRDefault="003C66EB">
            <w:pPr>
              <w:rPr>
                <w:rFonts w:ascii="宋体"/>
                <w:vanish/>
              </w:rPr>
            </w:pPr>
          </w:p>
        </w:tc>
        <w:tc>
          <w:tcPr>
            <w:tcW w:w="0" w:type="auto"/>
            <w:shd w:val="clear" w:color="auto" w:fill="auto"/>
          </w:tcPr>
          <w:p w14:paraId="5EA269C3" w14:textId="77777777" w:rsidR="003C66EB" w:rsidRDefault="003C66EB">
            <w:pPr>
              <w:rPr>
                <w:rFonts w:ascii="宋体"/>
                <w:vanish/>
              </w:rPr>
            </w:pPr>
          </w:p>
        </w:tc>
        <w:tc>
          <w:tcPr>
            <w:tcW w:w="0" w:type="auto"/>
            <w:shd w:val="clear" w:color="auto" w:fill="auto"/>
          </w:tcPr>
          <w:p w14:paraId="5EA269C4" w14:textId="77777777" w:rsidR="003C66EB" w:rsidRDefault="003C66EB">
            <w:pPr>
              <w:rPr>
                <w:rFonts w:ascii="宋体"/>
                <w:vanish/>
              </w:rPr>
            </w:pPr>
          </w:p>
        </w:tc>
        <w:tc>
          <w:tcPr>
            <w:tcW w:w="0" w:type="auto"/>
            <w:shd w:val="clear" w:color="auto" w:fill="auto"/>
          </w:tcPr>
          <w:p w14:paraId="5EA269C5" w14:textId="77777777" w:rsidR="003C66EB" w:rsidRDefault="003C66EB">
            <w:pPr>
              <w:rPr>
                <w:rFonts w:ascii="宋体"/>
                <w:vanish/>
              </w:rPr>
            </w:pPr>
          </w:p>
        </w:tc>
        <w:tc>
          <w:tcPr>
            <w:tcW w:w="0" w:type="auto"/>
            <w:shd w:val="clear" w:color="auto" w:fill="auto"/>
          </w:tcPr>
          <w:p w14:paraId="5EA269C6" w14:textId="77777777" w:rsidR="003C66EB" w:rsidRDefault="003C66EB">
            <w:pPr>
              <w:rPr>
                <w:rFonts w:ascii="宋体"/>
                <w:vanish/>
              </w:rPr>
            </w:pPr>
          </w:p>
        </w:tc>
        <w:tc>
          <w:tcPr>
            <w:tcW w:w="0" w:type="auto"/>
            <w:shd w:val="clear" w:color="auto" w:fill="auto"/>
          </w:tcPr>
          <w:p w14:paraId="5EA269C7" w14:textId="77777777" w:rsidR="003C66EB" w:rsidRDefault="003C66EB">
            <w:pPr>
              <w:rPr>
                <w:rFonts w:ascii="宋体"/>
                <w:vanish/>
              </w:rPr>
            </w:pPr>
          </w:p>
        </w:tc>
        <w:tc>
          <w:tcPr>
            <w:tcW w:w="0" w:type="auto"/>
            <w:shd w:val="clear" w:color="auto" w:fill="auto"/>
          </w:tcPr>
          <w:p w14:paraId="5EA269C8" w14:textId="77777777" w:rsidR="003C66EB" w:rsidRDefault="003C66EB">
            <w:pPr>
              <w:rPr>
                <w:rFonts w:ascii="宋体"/>
                <w:vanish/>
              </w:rPr>
            </w:pPr>
          </w:p>
        </w:tc>
        <w:tc>
          <w:tcPr>
            <w:tcW w:w="0" w:type="auto"/>
            <w:shd w:val="clear" w:color="auto" w:fill="auto"/>
          </w:tcPr>
          <w:p w14:paraId="5EA269C9" w14:textId="77777777" w:rsidR="003C66EB" w:rsidRDefault="003C66EB">
            <w:pPr>
              <w:rPr>
                <w:rFonts w:ascii="宋体"/>
                <w:vanish/>
              </w:rPr>
            </w:pPr>
          </w:p>
        </w:tc>
        <w:tc>
          <w:tcPr>
            <w:tcW w:w="0" w:type="auto"/>
            <w:shd w:val="clear" w:color="auto" w:fill="auto"/>
          </w:tcPr>
          <w:p w14:paraId="5EA269CA" w14:textId="77777777" w:rsidR="003C66EB" w:rsidRDefault="003C66EB">
            <w:pPr>
              <w:rPr>
                <w:rFonts w:ascii="宋体"/>
                <w:vanish/>
              </w:rPr>
            </w:pPr>
          </w:p>
        </w:tc>
        <w:tc>
          <w:tcPr>
            <w:tcW w:w="0" w:type="auto"/>
            <w:gridSpan w:val="3"/>
            <w:shd w:val="clear" w:color="auto" w:fill="auto"/>
          </w:tcPr>
          <w:p w14:paraId="5EA269CB" w14:textId="77777777" w:rsidR="003C66EB" w:rsidRDefault="003C66EB">
            <w:pPr>
              <w:rPr>
                <w:rFonts w:ascii="宋体"/>
                <w:vanish/>
              </w:rPr>
            </w:pPr>
          </w:p>
        </w:tc>
        <w:tc>
          <w:tcPr>
            <w:tcW w:w="0" w:type="auto"/>
            <w:gridSpan w:val="3"/>
            <w:shd w:val="clear" w:color="auto" w:fill="auto"/>
          </w:tcPr>
          <w:p w14:paraId="5EA269CC" w14:textId="77777777" w:rsidR="003C66EB" w:rsidRDefault="003C66EB">
            <w:pPr>
              <w:rPr>
                <w:rFonts w:ascii="宋体"/>
                <w:vanish/>
              </w:rPr>
            </w:pPr>
          </w:p>
        </w:tc>
        <w:tc>
          <w:tcPr>
            <w:tcW w:w="0" w:type="auto"/>
            <w:gridSpan w:val="3"/>
            <w:shd w:val="clear" w:color="auto" w:fill="auto"/>
          </w:tcPr>
          <w:p w14:paraId="5EA269CD" w14:textId="77777777" w:rsidR="003C66EB" w:rsidRDefault="003C66EB">
            <w:pPr>
              <w:rPr>
                <w:rFonts w:ascii="宋体"/>
                <w:vanish/>
              </w:rPr>
            </w:pPr>
          </w:p>
        </w:tc>
        <w:tc>
          <w:tcPr>
            <w:tcW w:w="0" w:type="auto"/>
            <w:gridSpan w:val="3"/>
            <w:shd w:val="clear" w:color="auto" w:fill="auto"/>
          </w:tcPr>
          <w:p w14:paraId="5EA269CE" w14:textId="77777777" w:rsidR="003C66EB" w:rsidRDefault="003C66EB">
            <w:pPr>
              <w:rPr>
                <w:rFonts w:ascii="宋体"/>
                <w:vanish/>
              </w:rPr>
            </w:pPr>
          </w:p>
        </w:tc>
        <w:tc>
          <w:tcPr>
            <w:tcW w:w="0" w:type="auto"/>
            <w:gridSpan w:val="3"/>
            <w:shd w:val="clear" w:color="auto" w:fill="auto"/>
          </w:tcPr>
          <w:p w14:paraId="5EA269CF" w14:textId="77777777" w:rsidR="003C66EB" w:rsidRDefault="003C66EB">
            <w:pPr>
              <w:rPr>
                <w:rFonts w:ascii="宋体"/>
                <w:vanish/>
              </w:rPr>
            </w:pPr>
          </w:p>
        </w:tc>
        <w:tc>
          <w:tcPr>
            <w:tcW w:w="0" w:type="auto"/>
            <w:gridSpan w:val="3"/>
            <w:shd w:val="clear" w:color="auto" w:fill="auto"/>
          </w:tcPr>
          <w:p w14:paraId="5EA269D0" w14:textId="77777777" w:rsidR="003C66EB" w:rsidRDefault="003C66EB">
            <w:pPr>
              <w:rPr>
                <w:rFonts w:ascii="宋体"/>
                <w:vanish/>
              </w:rPr>
            </w:pPr>
          </w:p>
        </w:tc>
        <w:tc>
          <w:tcPr>
            <w:tcW w:w="0" w:type="auto"/>
            <w:gridSpan w:val="3"/>
            <w:shd w:val="clear" w:color="auto" w:fill="auto"/>
          </w:tcPr>
          <w:p w14:paraId="5EA269D1" w14:textId="77777777" w:rsidR="003C66EB" w:rsidRDefault="003C66EB">
            <w:pPr>
              <w:rPr>
                <w:rFonts w:ascii="宋体"/>
                <w:vanish/>
              </w:rPr>
            </w:pPr>
          </w:p>
        </w:tc>
        <w:tc>
          <w:tcPr>
            <w:tcW w:w="0" w:type="auto"/>
            <w:gridSpan w:val="3"/>
            <w:shd w:val="clear" w:color="auto" w:fill="auto"/>
          </w:tcPr>
          <w:p w14:paraId="5EA269D2" w14:textId="77777777" w:rsidR="003C66EB" w:rsidRDefault="003C66EB">
            <w:pPr>
              <w:rPr>
                <w:rFonts w:ascii="宋体"/>
                <w:vanish/>
              </w:rPr>
            </w:pPr>
          </w:p>
        </w:tc>
      </w:tr>
      <w:tr w:rsidR="003C66EB" w14:paraId="5EA269EB" w14:textId="77777777">
        <w:trPr>
          <w:hidden/>
        </w:trPr>
        <w:tc>
          <w:tcPr>
            <w:tcW w:w="0" w:type="auto"/>
            <w:shd w:val="clear" w:color="auto" w:fill="auto"/>
          </w:tcPr>
          <w:p w14:paraId="5EA269D4" w14:textId="77777777" w:rsidR="003C66EB" w:rsidRDefault="003C66EB">
            <w:pPr>
              <w:rPr>
                <w:rFonts w:ascii="宋体"/>
                <w:vanish/>
              </w:rPr>
            </w:pPr>
          </w:p>
        </w:tc>
        <w:tc>
          <w:tcPr>
            <w:tcW w:w="0" w:type="auto"/>
            <w:shd w:val="clear" w:color="auto" w:fill="auto"/>
          </w:tcPr>
          <w:p w14:paraId="5EA269D5" w14:textId="77777777" w:rsidR="003C66EB" w:rsidRDefault="003C66EB">
            <w:pPr>
              <w:rPr>
                <w:rFonts w:ascii="宋体"/>
                <w:vanish/>
              </w:rPr>
            </w:pPr>
          </w:p>
        </w:tc>
        <w:tc>
          <w:tcPr>
            <w:tcW w:w="0" w:type="auto"/>
            <w:shd w:val="clear" w:color="auto" w:fill="auto"/>
          </w:tcPr>
          <w:p w14:paraId="5EA269D6" w14:textId="77777777" w:rsidR="003C66EB" w:rsidRDefault="003C66EB">
            <w:pPr>
              <w:rPr>
                <w:rFonts w:ascii="宋体"/>
                <w:vanish/>
              </w:rPr>
            </w:pPr>
          </w:p>
        </w:tc>
        <w:tc>
          <w:tcPr>
            <w:tcW w:w="0" w:type="auto"/>
            <w:shd w:val="clear" w:color="auto" w:fill="auto"/>
          </w:tcPr>
          <w:p w14:paraId="5EA269D7" w14:textId="77777777" w:rsidR="003C66EB" w:rsidRDefault="003C66EB">
            <w:pPr>
              <w:rPr>
                <w:rFonts w:ascii="宋体"/>
                <w:vanish/>
              </w:rPr>
            </w:pPr>
          </w:p>
        </w:tc>
        <w:tc>
          <w:tcPr>
            <w:tcW w:w="0" w:type="auto"/>
            <w:shd w:val="clear" w:color="auto" w:fill="auto"/>
          </w:tcPr>
          <w:p w14:paraId="5EA269D8" w14:textId="77777777" w:rsidR="003C66EB" w:rsidRDefault="003C66EB">
            <w:pPr>
              <w:rPr>
                <w:rFonts w:ascii="宋体"/>
                <w:vanish/>
              </w:rPr>
            </w:pPr>
          </w:p>
        </w:tc>
        <w:tc>
          <w:tcPr>
            <w:tcW w:w="0" w:type="auto"/>
            <w:shd w:val="clear" w:color="auto" w:fill="auto"/>
          </w:tcPr>
          <w:p w14:paraId="5EA269D9" w14:textId="77777777" w:rsidR="003C66EB" w:rsidRDefault="003C66EB">
            <w:pPr>
              <w:rPr>
                <w:rFonts w:ascii="宋体"/>
                <w:vanish/>
              </w:rPr>
            </w:pPr>
          </w:p>
        </w:tc>
        <w:tc>
          <w:tcPr>
            <w:tcW w:w="0" w:type="auto"/>
            <w:shd w:val="clear" w:color="auto" w:fill="auto"/>
          </w:tcPr>
          <w:p w14:paraId="5EA269DA" w14:textId="77777777" w:rsidR="003C66EB" w:rsidRDefault="003C66EB">
            <w:pPr>
              <w:rPr>
                <w:rFonts w:ascii="宋体"/>
                <w:vanish/>
              </w:rPr>
            </w:pPr>
          </w:p>
        </w:tc>
        <w:tc>
          <w:tcPr>
            <w:tcW w:w="0" w:type="auto"/>
            <w:shd w:val="clear" w:color="auto" w:fill="auto"/>
          </w:tcPr>
          <w:p w14:paraId="5EA269DB" w14:textId="77777777" w:rsidR="003C66EB" w:rsidRDefault="003C66EB">
            <w:pPr>
              <w:rPr>
                <w:rFonts w:ascii="宋体"/>
                <w:vanish/>
              </w:rPr>
            </w:pPr>
          </w:p>
        </w:tc>
        <w:tc>
          <w:tcPr>
            <w:tcW w:w="0" w:type="auto"/>
            <w:shd w:val="clear" w:color="auto" w:fill="auto"/>
          </w:tcPr>
          <w:p w14:paraId="5EA269DC" w14:textId="77777777" w:rsidR="003C66EB" w:rsidRDefault="003C66EB">
            <w:pPr>
              <w:rPr>
                <w:rFonts w:ascii="宋体"/>
                <w:vanish/>
              </w:rPr>
            </w:pPr>
          </w:p>
        </w:tc>
        <w:tc>
          <w:tcPr>
            <w:tcW w:w="0" w:type="auto"/>
            <w:shd w:val="clear" w:color="auto" w:fill="auto"/>
          </w:tcPr>
          <w:p w14:paraId="5EA269DD" w14:textId="77777777" w:rsidR="003C66EB" w:rsidRDefault="003C66EB">
            <w:pPr>
              <w:rPr>
                <w:rFonts w:ascii="宋体"/>
                <w:vanish/>
              </w:rPr>
            </w:pPr>
          </w:p>
        </w:tc>
        <w:tc>
          <w:tcPr>
            <w:tcW w:w="0" w:type="auto"/>
            <w:gridSpan w:val="3"/>
            <w:shd w:val="clear" w:color="auto" w:fill="auto"/>
          </w:tcPr>
          <w:p w14:paraId="5EA269DE" w14:textId="77777777" w:rsidR="003C66EB" w:rsidRDefault="003C66EB">
            <w:pPr>
              <w:rPr>
                <w:rFonts w:ascii="宋体"/>
                <w:vanish/>
              </w:rPr>
            </w:pPr>
          </w:p>
        </w:tc>
        <w:tc>
          <w:tcPr>
            <w:tcW w:w="0" w:type="auto"/>
            <w:gridSpan w:val="3"/>
            <w:shd w:val="clear" w:color="auto" w:fill="auto"/>
          </w:tcPr>
          <w:p w14:paraId="5EA269DF" w14:textId="77777777" w:rsidR="003C66EB" w:rsidRDefault="003C66EB">
            <w:pPr>
              <w:rPr>
                <w:rFonts w:ascii="宋体"/>
                <w:vanish/>
              </w:rPr>
            </w:pPr>
          </w:p>
        </w:tc>
        <w:tc>
          <w:tcPr>
            <w:tcW w:w="0" w:type="auto"/>
            <w:gridSpan w:val="3"/>
            <w:shd w:val="clear" w:color="auto" w:fill="auto"/>
          </w:tcPr>
          <w:p w14:paraId="5EA269E0"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9E1" w14:textId="77777777" w:rsidR="003C66EB" w:rsidRDefault="00D96C4E">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9E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E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9E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9E5" w14:textId="77777777" w:rsidR="003C66EB" w:rsidRDefault="00D96C4E">
            <w:pPr>
              <w:jc w:val="right"/>
              <w:textAlignment w:val="bottom"/>
            </w:pPr>
            <w:r>
              <w:rPr>
                <w:rFonts w:ascii="Arial" w:eastAsia="宋体" w:hAnsi="Arial" w:cs="Arial"/>
                <w:b/>
                <w:bCs/>
                <w:color w:val="000000"/>
                <w:sz w:val="14"/>
                <w:szCs w:val="14"/>
              </w:rPr>
              <w:t>76.21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9E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9E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9E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9E9" w14:textId="77777777" w:rsidR="003C66EB" w:rsidRDefault="00D96C4E">
            <w:pPr>
              <w:jc w:val="right"/>
              <w:textAlignment w:val="bottom"/>
            </w:pPr>
            <w:r>
              <w:rPr>
                <w:rFonts w:ascii="Arial" w:eastAsia="宋体" w:hAnsi="Arial" w:cs="Arial"/>
                <w:b/>
                <w:bCs/>
                <w:color w:val="000000"/>
                <w:sz w:val="14"/>
                <w:szCs w:val="14"/>
              </w:rPr>
              <w:t>475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9EA" w14:textId="77777777" w:rsidR="003C66EB" w:rsidRDefault="003C66EB">
            <w:pPr>
              <w:jc w:val="right"/>
              <w:rPr>
                <w:rFonts w:ascii="宋体"/>
              </w:rPr>
            </w:pPr>
          </w:p>
        </w:tc>
      </w:tr>
      <w:tr w:rsidR="003C66EB" w14:paraId="5EA269FE" w14:textId="77777777">
        <w:trPr>
          <w:hidden/>
        </w:trPr>
        <w:tc>
          <w:tcPr>
            <w:tcW w:w="0" w:type="auto"/>
            <w:shd w:val="clear" w:color="auto" w:fill="auto"/>
          </w:tcPr>
          <w:p w14:paraId="5EA269EC" w14:textId="77777777" w:rsidR="003C66EB" w:rsidRDefault="003C66EB">
            <w:pPr>
              <w:rPr>
                <w:rFonts w:ascii="宋体"/>
                <w:vanish/>
              </w:rPr>
            </w:pPr>
          </w:p>
        </w:tc>
        <w:tc>
          <w:tcPr>
            <w:tcW w:w="0" w:type="auto"/>
            <w:shd w:val="clear" w:color="auto" w:fill="auto"/>
          </w:tcPr>
          <w:p w14:paraId="5EA269ED" w14:textId="77777777" w:rsidR="003C66EB" w:rsidRDefault="003C66EB">
            <w:pPr>
              <w:rPr>
                <w:rFonts w:ascii="宋体"/>
                <w:vanish/>
              </w:rPr>
            </w:pPr>
          </w:p>
        </w:tc>
        <w:tc>
          <w:tcPr>
            <w:tcW w:w="0" w:type="auto"/>
            <w:shd w:val="clear" w:color="auto" w:fill="auto"/>
          </w:tcPr>
          <w:p w14:paraId="5EA269EE" w14:textId="77777777" w:rsidR="003C66EB" w:rsidRDefault="003C66EB">
            <w:pPr>
              <w:rPr>
                <w:rFonts w:ascii="宋体"/>
                <w:vanish/>
              </w:rPr>
            </w:pPr>
          </w:p>
        </w:tc>
        <w:tc>
          <w:tcPr>
            <w:tcW w:w="0" w:type="auto"/>
            <w:shd w:val="clear" w:color="auto" w:fill="auto"/>
          </w:tcPr>
          <w:p w14:paraId="5EA269EF" w14:textId="77777777" w:rsidR="003C66EB" w:rsidRDefault="003C66EB">
            <w:pPr>
              <w:rPr>
                <w:rFonts w:ascii="宋体"/>
                <w:vanish/>
              </w:rPr>
            </w:pPr>
          </w:p>
        </w:tc>
        <w:tc>
          <w:tcPr>
            <w:tcW w:w="0" w:type="auto"/>
            <w:shd w:val="clear" w:color="auto" w:fill="auto"/>
          </w:tcPr>
          <w:p w14:paraId="5EA269F0" w14:textId="77777777" w:rsidR="003C66EB" w:rsidRDefault="003C66EB">
            <w:pPr>
              <w:rPr>
                <w:rFonts w:ascii="宋体"/>
                <w:vanish/>
              </w:rPr>
            </w:pPr>
          </w:p>
        </w:tc>
        <w:tc>
          <w:tcPr>
            <w:tcW w:w="0" w:type="auto"/>
            <w:shd w:val="clear" w:color="auto" w:fill="auto"/>
          </w:tcPr>
          <w:p w14:paraId="5EA269F1" w14:textId="77777777" w:rsidR="003C66EB" w:rsidRDefault="003C66EB">
            <w:pPr>
              <w:rPr>
                <w:rFonts w:ascii="宋体"/>
                <w:vanish/>
              </w:rPr>
            </w:pPr>
          </w:p>
        </w:tc>
        <w:tc>
          <w:tcPr>
            <w:tcW w:w="0" w:type="auto"/>
            <w:shd w:val="clear" w:color="auto" w:fill="auto"/>
          </w:tcPr>
          <w:p w14:paraId="5EA269F2" w14:textId="77777777" w:rsidR="003C66EB" w:rsidRDefault="003C66EB">
            <w:pPr>
              <w:rPr>
                <w:rFonts w:ascii="宋体"/>
                <w:vanish/>
              </w:rPr>
            </w:pPr>
          </w:p>
        </w:tc>
        <w:tc>
          <w:tcPr>
            <w:tcW w:w="0" w:type="auto"/>
            <w:shd w:val="clear" w:color="auto" w:fill="auto"/>
          </w:tcPr>
          <w:p w14:paraId="5EA269F3" w14:textId="77777777" w:rsidR="003C66EB" w:rsidRDefault="003C66EB">
            <w:pPr>
              <w:rPr>
                <w:rFonts w:ascii="宋体"/>
                <w:vanish/>
              </w:rPr>
            </w:pPr>
          </w:p>
        </w:tc>
        <w:tc>
          <w:tcPr>
            <w:tcW w:w="0" w:type="auto"/>
            <w:shd w:val="clear" w:color="auto" w:fill="auto"/>
          </w:tcPr>
          <w:p w14:paraId="5EA269F4" w14:textId="77777777" w:rsidR="003C66EB" w:rsidRDefault="003C66EB">
            <w:pPr>
              <w:rPr>
                <w:rFonts w:ascii="宋体"/>
                <w:vanish/>
              </w:rPr>
            </w:pPr>
          </w:p>
        </w:tc>
        <w:tc>
          <w:tcPr>
            <w:tcW w:w="0" w:type="auto"/>
            <w:shd w:val="clear" w:color="auto" w:fill="auto"/>
          </w:tcPr>
          <w:p w14:paraId="5EA269F5" w14:textId="77777777" w:rsidR="003C66EB" w:rsidRDefault="003C66EB">
            <w:pPr>
              <w:rPr>
                <w:rFonts w:ascii="宋体"/>
                <w:vanish/>
              </w:rPr>
            </w:pPr>
          </w:p>
        </w:tc>
        <w:tc>
          <w:tcPr>
            <w:tcW w:w="0" w:type="auto"/>
            <w:gridSpan w:val="3"/>
            <w:shd w:val="clear" w:color="auto" w:fill="auto"/>
          </w:tcPr>
          <w:p w14:paraId="5EA269F6" w14:textId="77777777" w:rsidR="003C66EB" w:rsidRDefault="003C66EB">
            <w:pPr>
              <w:rPr>
                <w:rFonts w:ascii="宋体"/>
                <w:vanish/>
              </w:rPr>
            </w:pPr>
          </w:p>
        </w:tc>
        <w:tc>
          <w:tcPr>
            <w:tcW w:w="0" w:type="auto"/>
            <w:gridSpan w:val="3"/>
            <w:shd w:val="clear" w:color="auto" w:fill="auto"/>
          </w:tcPr>
          <w:p w14:paraId="5EA269F7" w14:textId="77777777" w:rsidR="003C66EB" w:rsidRDefault="003C66EB">
            <w:pPr>
              <w:rPr>
                <w:rFonts w:ascii="宋体"/>
                <w:vanish/>
              </w:rPr>
            </w:pPr>
          </w:p>
        </w:tc>
        <w:tc>
          <w:tcPr>
            <w:tcW w:w="0" w:type="auto"/>
            <w:gridSpan w:val="3"/>
            <w:shd w:val="clear" w:color="auto" w:fill="auto"/>
          </w:tcPr>
          <w:p w14:paraId="5EA269F8" w14:textId="77777777" w:rsidR="003C66EB" w:rsidRDefault="003C66EB">
            <w:pPr>
              <w:rPr>
                <w:rFonts w:ascii="宋体"/>
                <w:vanish/>
              </w:rPr>
            </w:pPr>
          </w:p>
        </w:tc>
        <w:tc>
          <w:tcPr>
            <w:tcW w:w="0" w:type="auto"/>
            <w:gridSpan w:val="3"/>
            <w:shd w:val="clear" w:color="auto" w:fill="auto"/>
          </w:tcPr>
          <w:p w14:paraId="5EA269F9" w14:textId="77777777" w:rsidR="003C66EB" w:rsidRDefault="003C66EB">
            <w:pPr>
              <w:rPr>
                <w:rFonts w:ascii="宋体"/>
                <w:vanish/>
              </w:rPr>
            </w:pPr>
          </w:p>
        </w:tc>
        <w:tc>
          <w:tcPr>
            <w:tcW w:w="0" w:type="auto"/>
            <w:gridSpan w:val="3"/>
            <w:shd w:val="clear" w:color="auto" w:fill="auto"/>
          </w:tcPr>
          <w:p w14:paraId="5EA269FA" w14:textId="77777777" w:rsidR="003C66EB" w:rsidRDefault="003C66EB">
            <w:pPr>
              <w:rPr>
                <w:rFonts w:ascii="宋体"/>
                <w:vanish/>
              </w:rPr>
            </w:pPr>
          </w:p>
        </w:tc>
        <w:tc>
          <w:tcPr>
            <w:tcW w:w="0" w:type="auto"/>
            <w:gridSpan w:val="3"/>
            <w:shd w:val="clear" w:color="auto" w:fill="auto"/>
          </w:tcPr>
          <w:p w14:paraId="5EA269FB" w14:textId="77777777" w:rsidR="003C66EB" w:rsidRDefault="003C66EB">
            <w:pPr>
              <w:rPr>
                <w:rFonts w:ascii="宋体"/>
                <w:vanish/>
              </w:rPr>
            </w:pPr>
          </w:p>
        </w:tc>
        <w:tc>
          <w:tcPr>
            <w:tcW w:w="0" w:type="auto"/>
            <w:gridSpan w:val="3"/>
            <w:shd w:val="clear" w:color="auto" w:fill="auto"/>
          </w:tcPr>
          <w:p w14:paraId="5EA269FC" w14:textId="77777777" w:rsidR="003C66EB" w:rsidRDefault="003C66EB">
            <w:pPr>
              <w:rPr>
                <w:rFonts w:ascii="宋体"/>
                <w:vanish/>
              </w:rPr>
            </w:pPr>
          </w:p>
        </w:tc>
        <w:tc>
          <w:tcPr>
            <w:tcW w:w="0" w:type="auto"/>
            <w:gridSpan w:val="3"/>
            <w:shd w:val="clear" w:color="auto" w:fill="auto"/>
          </w:tcPr>
          <w:p w14:paraId="5EA269FD" w14:textId="77777777" w:rsidR="003C66EB" w:rsidRDefault="003C66EB">
            <w:pPr>
              <w:rPr>
                <w:rFonts w:ascii="宋体"/>
                <w:vanish/>
              </w:rPr>
            </w:pPr>
          </w:p>
        </w:tc>
      </w:tr>
    </w:tbl>
    <w:p w14:paraId="5EA269FF" w14:textId="77777777" w:rsidR="003C66EB" w:rsidRDefault="003C66EB">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gridCol w:w="108"/>
        <w:gridCol w:w="108"/>
        <w:gridCol w:w="108"/>
        <w:gridCol w:w="108"/>
        <w:gridCol w:w="108"/>
        <w:gridCol w:w="36"/>
        <w:gridCol w:w="36"/>
        <w:gridCol w:w="36"/>
        <w:gridCol w:w="36"/>
        <w:gridCol w:w="36"/>
        <w:gridCol w:w="36"/>
        <w:gridCol w:w="36"/>
        <w:gridCol w:w="36"/>
        <w:gridCol w:w="36"/>
        <w:gridCol w:w="37"/>
        <w:gridCol w:w="2258"/>
        <w:gridCol w:w="36"/>
        <w:gridCol w:w="36"/>
        <w:gridCol w:w="36"/>
        <w:gridCol w:w="36"/>
        <w:gridCol w:w="99"/>
        <w:gridCol w:w="2225"/>
        <w:gridCol w:w="36"/>
        <w:gridCol w:w="36"/>
        <w:gridCol w:w="36"/>
        <w:gridCol w:w="36"/>
        <w:gridCol w:w="99"/>
        <w:gridCol w:w="2225"/>
        <w:gridCol w:w="36"/>
      </w:tblGrid>
      <w:tr w:rsidR="003C66EB" w14:paraId="5EA26A1C" w14:textId="77777777">
        <w:trPr>
          <w:hidden/>
        </w:trPr>
        <w:tc>
          <w:tcPr>
            <w:tcW w:w="0" w:type="auto"/>
            <w:shd w:val="clear" w:color="auto" w:fill="auto"/>
          </w:tcPr>
          <w:p w14:paraId="5EA26A00" w14:textId="77777777" w:rsidR="003C66EB" w:rsidRDefault="003C66EB">
            <w:pPr>
              <w:rPr>
                <w:rFonts w:ascii="宋体"/>
                <w:vanish/>
              </w:rPr>
            </w:pPr>
          </w:p>
        </w:tc>
        <w:tc>
          <w:tcPr>
            <w:tcW w:w="0" w:type="auto"/>
            <w:shd w:val="clear" w:color="auto" w:fill="auto"/>
          </w:tcPr>
          <w:p w14:paraId="5EA26A01" w14:textId="77777777" w:rsidR="003C66EB" w:rsidRDefault="003C66EB">
            <w:pPr>
              <w:rPr>
                <w:rFonts w:ascii="宋体"/>
                <w:vanish/>
              </w:rPr>
            </w:pPr>
          </w:p>
        </w:tc>
        <w:tc>
          <w:tcPr>
            <w:tcW w:w="0" w:type="auto"/>
            <w:shd w:val="clear" w:color="auto" w:fill="auto"/>
          </w:tcPr>
          <w:p w14:paraId="5EA26A02" w14:textId="77777777" w:rsidR="003C66EB" w:rsidRDefault="003C66EB">
            <w:pPr>
              <w:rPr>
                <w:rFonts w:ascii="宋体"/>
                <w:vanish/>
              </w:rPr>
            </w:pPr>
          </w:p>
        </w:tc>
        <w:tc>
          <w:tcPr>
            <w:tcW w:w="0" w:type="auto"/>
            <w:shd w:val="clear" w:color="auto" w:fill="auto"/>
          </w:tcPr>
          <w:p w14:paraId="5EA26A03" w14:textId="77777777" w:rsidR="003C66EB" w:rsidRDefault="003C66EB">
            <w:pPr>
              <w:rPr>
                <w:rFonts w:ascii="宋体"/>
                <w:vanish/>
              </w:rPr>
            </w:pPr>
          </w:p>
        </w:tc>
        <w:tc>
          <w:tcPr>
            <w:tcW w:w="0" w:type="auto"/>
            <w:shd w:val="clear" w:color="auto" w:fill="auto"/>
          </w:tcPr>
          <w:p w14:paraId="5EA26A04" w14:textId="77777777" w:rsidR="003C66EB" w:rsidRDefault="003C66EB">
            <w:pPr>
              <w:rPr>
                <w:rFonts w:ascii="宋体"/>
                <w:vanish/>
              </w:rPr>
            </w:pPr>
          </w:p>
        </w:tc>
        <w:tc>
          <w:tcPr>
            <w:tcW w:w="0" w:type="auto"/>
            <w:shd w:val="clear" w:color="auto" w:fill="auto"/>
          </w:tcPr>
          <w:p w14:paraId="5EA26A05" w14:textId="77777777" w:rsidR="003C66EB" w:rsidRDefault="003C66EB">
            <w:pPr>
              <w:rPr>
                <w:rFonts w:ascii="宋体"/>
                <w:vanish/>
              </w:rPr>
            </w:pPr>
          </w:p>
        </w:tc>
        <w:tc>
          <w:tcPr>
            <w:tcW w:w="0" w:type="auto"/>
            <w:shd w:val="clear" w:color="auto" w:fill="auto"/>
          </w:tcPr>
          <w:p w14:paraId="5EA26A06" w14:textId="77777777" w:rsidR="003C66EB" w:rsidRDefault="003C66EB">
            <w:pPr>
              <w:rPr>
                <w:rFonts w:ascii="宋体"/>
                <w:vanish/>
              </w:rPr>
            </w:pPr>
          </w:p>
        </w:tc>
        <w:tc>
          <w:tcPr>
            <w:tcW w:w="0" w:type="auto"/>
            <w:shd w:val="clear" w:color="auto" w:fill="auto"/>
          </w:tcPr>
          <w:p w14:paraId="5EA26A07" w14:textId="77777777" w:rsidR="003C66EB" w:rsidRDefault="003C66EB">
            <w:pPr>
              <w:rPr>
                <w:rFonts w:ascii="宋体"/>
                <w:vanish/>
              </w:rPr>
            </w:pPr>
          </w:p>
        </w:tc>
        <w:tc>
          <w:tcPr>
            <w:tcW w:w="0" w:type="auto"/>
            <w:shd w:val="clear" w:color="auto" w:fill="auto"/>
          </w:tcPr>
          <w:p w14:paraId="5EA26A08" w14:textId="77777777" w:rsidR="003C66EB" w:rsidRDefault="003C66EB">
            <w:pPr>
              <w:rPr>
                <w:rFonts w:ascii="宋体"/>
                <w:vanish/>
              </w:rPr>
            </w:pPr>
          </w:p>
        </w:tc>
        <w:tc>
          <w:tcPr>
            <w:tcW w:w="0" w:type="auto"/>
            <w:shd w:val="clear" w:color="auto" w:fill="auto"/>
          </w:tcPr>
          <w:p w14:paraId="5EA26A09" w14:textId="77777777" w:rsidR="003C66EB" w:rsidRDefault="003C66EB">
            <w:pPr>
              <w:rPr>
                <w:rFonts w:ascii="宋体"/>
                <w:vanish/>
              </w:rPr>
            </w:pPr>
          </w:p>
        </w:tc>
        <w:tc>
          <w:tcPr>
            <w:tcW w:w="0" w:type="auto"/>
            <w:gridSpan w:val="3"/>
            <w:shd w:val="clear" w:color="auto" w:fill="auto"/>
          </w:tcPr>
          <w:p w14:paraId="5EA26A0A" w14:textId="77777777" w:rsidR="003C66EB" w:rsidRDefault="003C66EB">
            <w:pPr>
              <w:rPr>
                <w:rFonts w:ascii="宋体"/>
                <w:vanish/>
              </w:rPr>
            </w:pPr>
          </w:p>
        </w:tc>
        <w:tc>
          <w:tcPr>
            <w:tcW w:w="0" w:type="auto"/>
            <w:gridSpan w:val="3"/>
            <w:shd w:val="clear" w:color="auto" w:fill="auto"/>
          </w:tcPr>
          <w:p w14:paraId="5EA26A0B" w14:textId="77777777" w:rsidR="003C66EB" w:rsidRDefault="003C66EB">
            <w:pPr>
              <w:rPr>
                <w:rFonts w:ascii="宋体"/>
                <w:vanish/>
              </w:rPr>
            </w:pPr>
          </w:p>
        </w:tc>
        <w:tc>
          <w:tcPr>
            <w:tcW w:w="0" w:type="auto"/>
            <w:gridSpan w:val="3"/>
            <w:shd w:val="clear" w:color="auto" w:fill="auto"/>
          </w:tcPr>
          <w:p w14:paraId="5EA26A0C" w14:textId="77777777" w:rsidR="003C66EB" w:rsidRDefault="003C66EB">
            <w:pPr>
              <w:rPr>
                <w:rFonts w:ascii="宋体"/>
                <w:vanish/>
              </w:rPr>
            </w:pPr>
          </w:p>
        </w:tc>
        <w:tc>
          <w:tcPr>
            <w:tcW w:w="50" w:type="pct"/>
            <w:shd w:val="clear" w:color="auto" w:fill="auto"/>
          </w:tcPr>
          <w:p w14:paraId="5EA26A0D" w14:textId="77777777" w:rsidR="003C66EB" w:rsidRDefault="003C66EB">
            <w:pPr>
              <w:rPr>
                <w:rFonts w:ascii="宋体"/>
              </w:rPr>
            </w:pPr>
          </w:p>
        </w:tc>
        <w:tc>
          <w:tcPr>
            <w:tcW w:w="1587" w:type="pct"/>
            <w:shd w:val="clear" w:color="auto" w:fill="auto"/>
          </w:tcPr>
          <w:p w14:paraId="5EA26A0E" w14:textId="77777777" w:rsidR="003C66EB" w:rsidRDefault="003C66EB">
            <w:pPr>
              <w:rPr>
                <w:rFonts w:ascii="宋体"/>
              </w:rPr>
            </w:pPr>
          </w:p>
        </w:tc>
        <w:tc>
          <w:tcPr>
            <w:tcW w:w="5" w:type="pct"/>
            <w:shd w:val="clear" w:color="auto" w:fill="auto"/>
          </w:tcPr>
          <w:p w14:paraId="5EA26A0F" w14:textId="77777777" w:rsidR="003C66EB" w:rsidRDefault="003C66EB">
            <w:pPr>
              <w:rPr>
                <w:rFonts w:ascii="宋体"/>
              </w:rPr>
            </w:pPr>
          </w:p>
        </w:tc>
        <w:tc>
          <w:tcPr>
            <w:tcW w:w="5" w:type="pct"/>
            <w:shd w:val="clear" w:color="auto" w:fill="auto"/>
          </w:tcPr>
          <w:p w14:paraId="5EA26A10" w14:textId="77777777" w:rsidR="003C66EB" w:rsidRDefault="003C66EB">
            <w:pPr>
              <w:rPr>
                <w:rFonts w:ascii="宋体"/>
              </w:rPr>
            </w:pPr>
          </w:p>
        </w:tc>
        <w:tc>
          <w:tcPr>
            <w:tcW w:w="26" w:type="pct"/>
            <w:shd w:val="clear" w:color="auto" w:fill="auto"/>
          </w:tcPr>
          <w:p w14:paraId="5EA26A11" w14:textId="77777777" w:rsidR="003C66EB" w:rsidRDefault="003C66EB">
            <w:pPr>
              <w:rPr>
                <w:rFonts w:ascii="宋体"/>
              </w:rPr>
            </w:pPr>
          </w:p>
        </w:tc>
        <w:tc>
          <w:tcPr>
            <w:tcW w:w="5" w:type="pct"/>
            <w:shd w:val="clear" w:color="auto" w:fill="auto"/>
          </w:tcPr>
          <w:p w14:paraId="5EA26A12" w14:textId="77777777" w:rsidR="003C66EB" w:rsidRDefault="003C66EB">
            <w:pPr>
              <w:rPr>
                <w:rFonts w:ascii="宋体"/>
              </w:rPr>
            </w:pPr>
          </w:p>
        </w:tc>
        <w:tc>
          <w:tcPr>
            <w:tcW w:w="50" w:type="pct"/>
            <w:shd w:val="clear" w:color="auto" w:fill="auto"/>
          </w:tcPr>
          <w:p w14:paraId="5EA26A13" w14:textId="77777777" w:rsidR="003C66EB" w:rsidRDefault="003C66EB">
            <w:pPr>
              <w:rPr>
                <w:rFonts w:ascii="宋体"/>
              </w:rPr>
            </w:pPr>
          </w:p>
        </w:tc>
        <w:tc>
          <w:tcPr>
            <w:tcW w:w="1587" w:type="pct"/>
            <w:shd w:val="clear" w:color="auto" w:fill="auto"/>
          </w:tcPr>
          <w:p w14:paraId="5EA26A14" w14:textId="77777777" w:rsidR="003C66EB" w:rsidRDefault="003C66EB">
            <w:pPr>
              <w:rPr>
                <w:rFonts w:ascii="宋体"/>
              </w:rPr>
            </w:pPr>
          </w:p>
        </w:tc>
        <w:tc>
          <w:tcPr>
            <w:tcW w:w="5" w:type="pct"/>
            <w:shd w:val="clear" w:color="auto" w:fill="auto"/>
          </w:tcPr>
          <w:p w14:paraId="5EA26A15" w14:textId="77777777" w:rsidR="003C66EB" w:rsidRDefault="003C66EB">
            <w:pPr>
              <w:rPr>
                <w:rFonts w:ascii="宋体"/>
              </w:rPr>
            </w:pPr>
          </w:p>
        </w:tc>
        <w:tc>
          <w:tcPr>
            <w:tcW w:w="5" w:type="pct"/>
            <w:shd w:val="clear" w:color="auto" w:fill="auto"/>
          </w:tcPr>
          <w:p w14:paraId="5EA26A16" w14:textId="77777777" w:rsidR="003C66EB" w:rsidRDefault="003C66EB">
            <w:pPr>
              <w:rPr>
                <w:rFonts w:ascii="宋体"/>
              </w:rPr>
            </w:pPr>
          </w:p>
        </w:tc>
        <w:tc>
          <w:tcPr>
            <w:tcW w:w="26" w:type="pct"/>
            <w:shd w:val="clear" w:color="auto" w:fill="auto"/>
          </w:tcPr>
          <w:p w14:paraId="5EA26A17" w14:textId="77777777" w:rsidR="003C66EB" w:rsidRDefault="003C66EB">
            <w:pPr>
              <w:rPr>
                <w:rFonts w:ascii="宋体"/>
              </w:rPr>
            </w:pPr>
          </w:p>
        </w:tc>
        <w:tc>
          <w:tcPr>
            <w:tcW w:w="5" w:type="pct"/>
            <w:shd w:val="clear" w:color="auto" w:fill="auto"/>
          </w:tcPr>
          <w:p w14:paraId="5EA26A18" w14:textId="77777777" w:rsidR="003C66EB" w:rsidRDefault="003C66EB">
            <w:pPr>
              <w:rPr>
                <w:rFonts w:ascii="宋体"/>
              </w:rPr>
            </w:pPr>
          </w:p>
        </w:tc>
        <w:tc>
          <w:tcPr>
            <w:tcW w:w="50" w:type="pct"/>
            <w:shd w:val="clear" w:color="auto" w:fill="auto"/>
          </w:tcPr>
          <w:p w14:paraId="5EA26A19" w14:textId="77777777" w:rsidR="003C66EB" w:rsidRDefault="003C66EB">
            <w:pPr>
              <w:rPr>
                <w:rFonts w:ascii="宋体"/>
              </w:rPr>
            </w:pPr>
          </w:p>
        </w:tc>
        <w:tc>
          <w:tcPr>
            <w:tcW w:w="1587" w:type="pct"/>
            <w:shd w:val="clear" w:color="auto" w:fill="auto"/>
          </w:tcPr>
          <w:p w14:paraId="5EA26A1A" w14:textId="77777777" w:rsidR="003C66EB" w:rsidRDefault="003C66EB">
            <w:pPr>
              <w:rPr>
                <w:rFonts w:ascii="宋体"/>
              </w:rPr>
            </w:pPr>
          </w:p>
        </w:tc>
        <w:tc>
          <w:tcPr>
            <w:tcW w:w="5" w:type="pct"/>
            <w:shd w:val="clear" w:color="auto" w:fill="auto"/>
          </w:tcPr>
          <w:p w14:paraId="5EA26A1B" w14:textId="77777777" w:rsidR="003C66EB" w:rsidRDefault="003C66EB">
            <w:pPr>
              <w:rPr>
                <w:rFonts w:ascii="宋体"/>
              </w:rPr>
            </w:pPr>
          </w:p>
        </w:tc>
      </w:tr>
      <w:tr w:rsidR="003C66EB" w14:paraId="5EA26A3B" w14:textId="77777777">
        <w:trPr>
          <w:hidden/>
        </w:trPr>
        <w:tc>
          <w:tcPr>
            <w:tcW w:w="0" w:type="auto"/>
            <w:shd w:val="clear" w:color="auto" w:fill="auto"/>
          </w:tcPr>
          <w:p w14:paraId="5EA26A1D" w14:textId="77777777" w:rsidR="003C66EB" w:rsidRDefault="003C66EB">
            <w:pPr>
              <w:rPr>
                <w:rFonts w:ascii="宋体"/>
                <w:vanish/>
              </w:rPr>
            </w:pPr>
          </w:p>
        </w:tc>
        <w:tc>
          <w:tcPr>
            <w:tcW w:w="0" w:type="auto"/>
            <w:shd w:val="clear" w:color="auto" w:fill="auto"/>
          </w:tcPr>
          <w:p w14:paraId="5EA26A1E" w14:textId="77777777" w:rsidR="003C66EB" w:rsidRDefault="003C66EB">
            <w:pPr>
              <w:rPr>
                <w:rFonts w:ascii="宋体"/>
                <w:vanish/>
              </w:rPr>
            </w:pPr>
          </w:p>
        </w:tc>
        <w:tc>
          <w:tcPr>
            <w:tcW w:w="0" w:type="auto"/>
            <w:shd w:val="clear" w:color="auto" w:fill="auto"/>
          </w:tcPr>
          <w:p w14:paraId="5EA26A1F" w14:textId="77777777" w:rsidR="003C66EB" w:rsidRDefault="003C66EB">
            <w:pPr>
              <w:rPr>
                <w:rFonts w:ascii="宋体"/>
                <w:vanish/>
              </w:rPr>
            </w:pPr>
          </w:p>
        </w:tc>
        <w:tc>
          <w:tcPr>
            <w:tcW w:w="0" w:type="auto"/>
            <w:shd w:val="clear" w:color="auto" w:fill="auto"/>
          </w:tcPr>
          <w:p w14:paraId="5EA26A20" w14:textId="77777777" w:rsidR="003C66EB" w:rsidRDefault="003C66EB">
            <w:pPr>
              <w:rPr>
                <w:rFonts w:ascii="宋体"/>
                <w:vanish/>
              </w:rPr>
            </w:pPr>
          </w:p>
        </w:tc>
        <w:tc>
          <w:tcPr>
            <w:tcW w:w="0" w:type="auto"/>
            <w:shd w:val="clear" w:color="auto" w:fill="auto"/>
          </w:tcPr>
          <w:p w14:paraId="5EA26A21" w14:textId="77777777" w:rsidR="003C66EB" w:rsidRDefault="003C66EB">
            <w:pPr>
              <w:rPr>
                <w:rFonts w:ascii="宋体"/>
                <w:vanish/>
              </w:rPr>
            </w:pPr>
          </w:p>
        </w:tc>
        <w:tc>
          <w:tcPr>
            <w:tcW w:w="0" w:type="auto"/>
            <w:gridSpan w:val="5"/>
            <w:shd w:val="clear" w:color="auto" w:fill="auto"/>
            <w:tcMar>
              <w:top w:w="40" w:type="dxa"/>
              <w:left w:w="20" w:type="dxa"/>
              <w:bottom w:w="40" w:type="dxa"/>
              <w:right w:w="20" w:type="dxa"/>
            </w:tcMar>
            <w:vAlign w:val="bottom"/>
          </w:tcPr>
          <w:p w14:paraId="5EA26A22" w14:textId="77777777" w:rsidR="003C66EB" w:rsidRDefault="00D96C4E">
            <w:pPr>
              <w:jc w:val="center"/>
              <w:textAlignment w:val="bottom"/>
            </w:pPr>
            <w:r>
              <w:rPr>
                <w:rFonts w:ascii="Arial" w:eastAsia="宋体" w:hAnsi="Arial" w:cs="Arial"/>
                <w:b/>
                <w:bCs/>
                <w:color w:val="000000"/>
                <w:sz w:val="14"/>
                <w:szCs w:val="14"/>
              </w:rPr>
              <w:t>Three Months Ended March 31, 2020</w:t>
            </w:r>
          </w:p>
        </w:tc>
        <w:tc>
          <w:tcPr>
            <w:tcW w:w="0" w:type="auto"/>
            <w:shd w:val="clear" w:color="auto" w:fill="auto"/>
          </w:tcPr>
          <w:p w14:paraId="5EA26A23" w14:textId="77777777" w:rsidR="003C66EB" w:rsidRDefault="003C66EB">
            <w:pPr>
              <w:rPr>
                <w:rFonts w:ascii="宋体"/>
              </w:rPr>
            </w:pPr>
          </w:p>
        </w:tc>
        <w:tc>
          <w:tcPr>
            <w:tcW w:w="0" w:type="auto"/>
            <w:shd w:val="clear" w:color="auto" w:fill="auto"/>
          </w:tcPr>
          <w:p w14:paraId="5EA26A24" w14:textId="77777777" w:rsidR="003C66EB" w:rsidRDefault="003C66EB">
            <w:pPr>
              <w:rPr>
                <w:rFonts w:ascii="宋体"/>
              </w:rPr>
            </w:pPr>
          </w:p>
        </w:tc>
        <w:tc>
          <w:tcPr>
            <w:tcW w:w="0" w:type="auto"/>
            <w:shd w:val="clear" w:color="auto" w:fill="auto"/>
          </w:tcPr>
          <w:p w14:paraId="5EA26A25" w14:textId="77777777" w:rsidR="003C66EB" w:rsidRDefault="003C66EB">
            <w:pPr>
              <w:rPr>
                <w:rFonts w:ascii="宋体"/>
              </w:rPr>
            </w:pPr>
          </w:p>
        </w:tc>
        <w:tc>
          <w:tcPr>
            <w:tcW w:w="0" w:type="auto"/>
            <w:shd w:val="clear" w:color="auto" w:fill="auto"/>
          </w:tcPr>
          <w:p w14:paraId="5EA26A26" w14:textId="77777777" w:rsidR="003C66EB" w:rsidRDefault="003C66EB">
            <w:pPr>
              <w:rPr>
                <w:rFonts w:ascii="宋体"/>
              </w:rPr>
            </w:pPr>
          </w:p>
        </w:tc>
        <w:tc>
          <w:tcPr>
            <w:tcW w:w="0" w:type="auto"/>
            <w:shd w:val="clear" w:color="auto" w:fill="auto"/>
          </w:tcPr>
          <w:p w14:paraId="5EA26A27" w14:textId="77777777" w:rsidR="003C66EB" w:rsidRDefault="003C66EB">
            <w:pPr>
              <w:rPr>
                <w:rFonts w:ascii="宋体"/>
              </w:rPr>
            </w:pPr>
          </w:p>
        </w:tc>
        <w:tc>
          <w:tcPr>
            <w:tcW w:w="0" w:type="auto"/>
            <w:shd w:val="clear" w:color="auto" w:fill="auto"/>
          </w:tcPr>
          <w:p w14:paraId="5EA26A28" w14:textId="77777777" w:rsidR="003C66EB" w:rsidRDefault="003C66EB">
            <w:pPr>
              <w:rPr>
                <w:rFonts w:ascii="宋体"/>
              </w:rPr>
            </w:pPr>
          </w:p>
        </w:tc>
        <w:tc>
          <w:tcPr>
            <w:tcW w:w="0" w:type="auto"/>
            <w:shd w:val="clear" w:color="auto" w:fill="auto"/>
          </w:tcPr>
          <w:p w14:paraId="5EA26A29" w14:textId="77777777" w:rsidR="003C66EB" w:rsidRDefault="003C66EB">
            <w:pPr>
              <w:rPr>
                <w:rFonts w:ascii="宋体"/>
              </w:rPr>
            </w:pPr>
          </w:p>
        </w:tc>
        <w:tc>
          <w:tcPr>
            <w:tcW w:w="0" w:type="auto"/>
            <w:shd w:val="clear" w:color="auto" w:fill="auto"/>
          </w:tcPr>
          <w:p w14:paraId="5EA26A2A" w14:textId="77777777" w:rsidR="003C66EB" w:rsidRDefault="003C66EB">
            <w:pPr>
              <w:rPr>
                <w:rFonts w:ascii="宋体"/>
              </w:rPr>
            </w:pPr>
          </w:p>
        </w:tc>
        <w:tc>
          <w:tcPr>
            <w:tcW w:w="0" w:type="auto"/>
            <w:shd w:val="clear" w:color="auto" w:fill="auto"/>
          </w:tcPr>
          <w:p w14:paraId="5EA26A2B" w14:textId="77777777" w:rsidR="003C66EB" w:rsidRDefault="003C66EB">
            <w:pPr>
              <w:rPr>
                <w:rFonts w:ascii="宋体"/>
              </w:rPr>
            </w:pPr>
          </w:p>
        </w:tc>
        <w:tc>
          <w:tcPr>
            <w:tcW w:w="0" w:type="auto"/>
            <w:shd w:val="clear" w:color="auto" w:fill="auto"/>
          </w:tcPr>
          <w:p w14:paraId="5EA26A2C" w14:textId="77777777" w:rsidR="003C66EB" w:rsidRDefault="003C66EB">
            <w:pPr>
              <w:rPr>
                <w:rFonts w:ascii="宋体"/>
              </w:rPr>
            </w:pPr>
          </w:p>
        </w:tc>
        <w:tc>
          <w:tcPr>
            <w:tcW w:w="0" w:type="auto"/>
            <w:shd w:val="clear" w:color="auto" w:fill="auto"/>
          </w:tcPr>
          <w:p w14:paraId="5EA26A2D" w14:textId="77777777" w:rsidR="003C66EB" w:rsidRDefault="003C66EB">
            <w:pPr>
              <w:rPr>
                <w:rFonts w:ascii="宋体"/>
              </w:rPr>
            </w:pPr>
          </w:p>
        </w:tc>
        <w:tc>
          <w:tcPr>
            <w:tcW w:w="0" w:type="auto"/>
            <w:shd w:val="clear" w:color="auto" w:fill="auto"/>
          </w:tcPr>
          <w:p w14:paraId="5EA26A2E" w14:textId="77777777" w:rsidR="003C66EB" w:rsidRDefault="003C66EB">
            <w:pPr>
              <w:rPr>
                <w:rFonts w:ascii="宋体"/>
              </w:rPr>
            </w:pPr>
          </w:p>
        </w:tc>
        <w:tc>
          <w:tcPr>
            <w:tcW w:w="0" w:type="auto"/>
            <w:shd w:val="clear" w:color="auto" w:fill="auto"/>
          </w:tcPr>
          <w:p w14:paraId="5EA26A2F" w14:textId="77777777" w:rsidR="003C66EB" w:rsidRDefault="003C66EB">
            <w:pPr>
              <w:rPr>
                <w:rFonts w:ascii="宋体"/>
              </w:rPr>
            </w:pPr>
          </w:p>
        </w:tc>
        <w:tc>
          <w:tcPr>
            <w:tcW w:w="0" w:type="auto"/>
            <w:shd w:val="clear" w:color="auto" w:fill="auto"/>
          </w:tcPr>
          <w:p w14:paraId="5EA26A30" w14:textId="77777777" w:rsidR="003C66EB" w:rsidRDefault="003C66EB">
            <w:pPr>
              <w:rPr>
                <w:rFonts w:ascii="宋体"/>
              </w:rPr>
            </w:pPr>
          </w:p>
        </w:tc>
        <w:tc>
          <w:tcPr>
            <w:tcW w:w="0" w:type="auto"/>
            <w:shd w:val="clear" w:color="auto" w:fill="auto"/>
          </w:tcPr>
          <w:p w14:paraId="5EA26A31" w14:textId="77777777" w:rsidR="003C66EB" w:rsidRDefault="003C66EB">
            <w:pPr>
              <w:rPr>
                <w:rFonts w:ascii="宋体"/>
              </w:rPr>
            </w:pPr>
          </w:p>
        </w:tc>
        <w:tc>
          <w:tcPr>
            <w:tcW w:w="0" w:type="auto"/>
            <w:shd w:val="clear" w:color="auto" w:fill="auto"/>
          </w:tcPr>
          <w:p w14:paraId="5EA26A32" w14:textId="77777777" w:rsidR="003C66EB" w:rsidRDefault="003C66EB">
            <w:pPr>
              <w:rPr>
                <w:rFonts w:ascii="宋体"/>
              </w:rPr>
            </w:pPr>
          </w:p>
        </w:tc>
        <w:tc>
          <w:tcPr>
            <w:tcW w:w="0" w:type="auto"/>
            <w:shd w:val="clear" w:color="auto" w:fill="auto"/>
          </w:tcPr>
          <w:p w14:paraId="5EA26A33" w14:textId="77777777" w:rsidR="003C66EB" w:rsidRDefault="003C66EB">
            <w:pPr>
              <w:rPr>
                <w:rFonts w:ascii="宋体"/>
              </w:rPr>
            </w:pPr>
          </w:p>
        </w:tc>
        <w:tc>
          <w:tcPr>
            <w:tcW w:w="0" w:type="auto"/>
            <w:shd w:val="clear" w:color="auto" w:fill="auto"/>
          </w:tcPr>
          <w:p w14:paraId="5EA26A34" w14:textId="77777777" w:rsidR="003C66EB" w:rsidRDefault="003C66EB">
            <w:pPr>
              <w:rPr>
                <w:rFonts w:ascii="宋体"/>
              </w:rPr>
            </w:pPr>
          </w:p>
        </w:tc>
        <w:tc>
          <w:tcPr>
            <w:tcW w:w="0" w:type="auto"/>
            <w:shd w:val="clear" w:color="auto" w:fill="auto"/>
          </w:tcPr>
          <w:p w14:paraId="5EA26A35" w14:textId="77777777" w:rsidR="003C66EB" w:rsidRDefault="003C66EB">
            <w:pPr>
              <w:rPr>
                <w:rFonts w:ascii="宋体"/>
              </w:rPr>
            </w:pPr>
          </w:p>
        </w:tc>
        <w:tc>
          <w:tcPr>
            <w:tcW w:w="0" w:type="auto"/>
            <w:shd w:val="clear" w:color="auto" w:fill="auto"/>
          </w:tcPr>
          <w:p w14:paraId="5EA26A36" w14:textId="77777777" w:rsidR="003C66EB" w:rsidRDefault="003C66EB">
            <w:pPr>
              <w:rPr>
                <w:rFonts w:ascii="宋体"/>
              </w:rPr>
            </w:pPr>
          </w:p>
        </w:tc>
        <w:tc>
          <w:tcPr>
            <w:tcW w:w="0" w:type="auto"/>
            <w:shd w:val="clear" w:color="auto" w:fill="auto"/>
          </w:tcPr>
          <w:p w14:paraId="5EA26A37" w14:textId="77777777" w:rsidR="003C66EB" w:rsidRDefault="003C66EB">
            <w:pPr>
              <w:rPr>
                <w:rFonts w:ascii="宋体"/>
              </w:rPr>
            </w:pPr>
          </w:p>
        </w:tc>
        <w:tc>
          <w:tcPr>
            <w:tcW w:w="0" w:type="auto"/>
            <w:shd w:val="clear" w:color="auto" w:fill="auto"/>
          </w:tcPr>
          <w:p w14:paraId="5EA26A38" w14:textId="77777777" w:rsidR="003C66EB" w:rsidRDefault="003C66EB">
            <w:pPr>
              <w:rPr>
                <w:rFonts w:ascii="宋体"/>
              </w:rPr>
            </w:pPr>
          </w:p>
        </w:tc>
        <w:tc>
          <w:tcPr>
            <w:tcW w:w="0" w:type="auto"/>
            <w:shd w:val="clear" w:color="auto" w:fill="auto"/>
          </w:tcPr>
          <w:p w14:paraId="5EA26A39" w14:textId="77777777" w:rsidR="003C66EB" w:rsidRDefault="003C66EB">
            <w:pPr>
              <w:rPr>
                <w:rFonts w:ascii="宋体"/>
              </w:rPr>
            </w:pPr>
          </w:p>
        </w:tc>
        <w:tc>
          <w:tcPr>
            <w:tcW w:w="0" w:type="auto"/>
            <w:shd w:val="clear" w:color="auto" w:fill="auto"/>
          </w:tcPr>
          <w:p w14:paraId="5EA26A3A" w14:textId="77777777" w:rsidR="003C66EB" w:rsidRDefault="003C66EB">
            <w:pPr>
              <w:rPr>
                <w:rFonts w:ascii="宋体"/>
              </w:rPr>
            </w:pPr>
          </w:p>
        </w:tc>
      </w:tr>
      <w:tr w:rsidR="003C66EB" w14:paraId="5EA26A4E" w14:textId="77777777">
        <w:trPr>
          <w:hidden/>
        </w:trPr>
        <w:tc>
          <w:tcPr>
            <w:tcW w:w="0" w:type="auto"/>
            <w:shd w:val="clear" w:color="auto" w:fill="auto"/>
          </w:tcPr>
          <w:p w14:paraId="5EA26A3C" w14:textId="77777777" w:rsidR="003C66EB" w:rsidRDefault="003C66EB">
            <w:pPr>
              <w:rPr>
                <w:rFonts w:ascii="宋体"/>
                <w:vanish/>
              </w:rPr>
            </w:pPr>
          </w:p>
        </w:tc>
        <w:tc>
          <w:tcPr>
            <w:tcW w:w="0" w:type="auto"/>
            <w:shd w:val="clear" w:color="auto" w:fill="auto"/>
          </w:tcPr>
          <w:p w14:paraId="5EA26A3D" w14:textId="77777777" w:rsidR="003C66EB" w:rsidRDefault="003C66EB">
            <w:pPr>
              <w:rPr>
                <w:rFonts w:ascii="宋体"/>
                <w:vanish/>
              </w:rPr>
            </w:pPr>
          </w:p>
        </w:tc>
        <w:tc>
          <w:tcPr>
            <w:tcW w:w="0" w:type="auto"/>
            <w:shd w:val="clear" w:color="auto" w:fill="auto"/>
          </w:tcPr>
          <w:p w14:paraId="5EA26A3E" w14:textId="77777777" w:rsidR="003C66EB" w:rsidRDefault="003C66EB">
            <w:pPr>
              <w:rPr>
                <w:rFonts w:ascii="宋体"/>
                <w:vanish/>
              </w:rPr>
            </w:pPr>
          </w:p>
        </w:tc>
        <w:tc>
          <w:tcPr>
            <w:tcW w:w="0" w:type="auto"/>
            <w:shd w:val="clear" w:color="auto" w:fill="auto"/>
          </w:tcPr>
          <w:p w14:paraId="5EA26A3F" w14:textId="77777777" w:rsidR="003C66EB" w:rsidRDefault="003C66EB">
            <w:pPr>
              <w:rPr>
                <w:rFonts w:ascii="宋体"/>
                <w:vanish/>
              </w:rPr>
            </w:pPr>
          </w:p>
        </w:tc>
        <w:tc>
          <w:tcPr>
            <w:tcW w:w="0" w:type="auto"/>
            <w:shd w:val="clear" w:color="auto" w:fill="auto"/>
          </w:tcPr>
          <w:p w14:paraId="5EA26A40" w14:textId="77777777" w:rsidR="003C66EB" w:rsidRDefault="003C66EB">
            <w:pPr>
              <w:rPr>
                <w:rFonts w:ascii="宋体"/>
                <w:vanish/>
              </w:rPr>
            </w:pPr>
          </w:p>
        </w:tc>
        <w:tc>
          <w:tcPr>
            <w:tcW w:w="0" w:type="auto"/>
            <w:shd w:val="clear" w:color="auto" w:fill="auto"/>
          </w:tcPr>
          <w:p w14:paraId="5EA26A41" w14:textId="77777777" w:rsidR="003C66EB" w:rsidRDefault="003C66EB">
            <w:pPr>
              <w:rPr>
                <w:rFonts w:ascii="宋体"/>
                <w:vanish/>
              </w:rPr>
            </w:pPr>
          </w:p>
        </w:tc>
        <w:tc>
          <w:tcPr>
            <w:tcW w:w="0" w:type="auto"/>
            <w:shd w:val="clear" w:color="auto" w:fill="auto"/>
          </w:tcPr>
          <w:p w14:paraId="5EA26A42" w14:textId="77777777" w:rsidR="003C66EB" w:rsidRDefault="003C66EB">
            <w:pPr>
              <w:rPr>
                <w:rFonts w:ascii="宋体"/>
                <w:vanish/>
              </w:rPr>
            </w:pPr>
          </w:p>
        </w:tc>
        <w:tc>
          <w:tcPr>
            <w:tcW w:w="0" w:type="auto"/>
            <w:shd w:val="clear" w:color="auto" w:fill="auto"/>
          </w:tcPr>
          <w:p w14:paraId="5EA26A43" w14:textId="77777777" w:rsidR="003C66EB" w:rsidRDefault="003C66EB">
            <w:pPr>
              <w:rPr>
                <w:rFonts w:ascii="宋体"/>
                <w:vanish/>
              </w:rPr>
            </w:pPr>
          </w:p>
        </w:tc>
        <w:tc>
          <w:tcPr>
            <w:tcW w:w="0" w:type="auto"/>
            <w:shd w:val="clear" w:color="auto" w:fill="auto"/>
          </w:tcPr>
          <w:p w14:paraId="5EA26A44" w14:textId="77777777" w:rsidR="003C66EB" w:rsidRDefault="003C66EB">
            <w:pPr>
              <w:rPr>
                <w:rFonts w:ascii="宋体"/>
                <w:vanish/>
              </w:rPr>
            </w:pPr>
          </w:p>
        </w:tc>
        <w:tc>
          <w:tcPr>
            <w:tcW w:w="0" w:type="auto"/>
            <w:shd w:val="clear" w:color="auto" w:fill="auto"/>
          </w:tcPr>
          <w:p w14:paraId="5EA26A45" w14:textId="77777777" w:rsidR="003C66EB" w:rsidRDefault="003C66EB">
            <w:pPr>
              <w:rPr>
                <w:rFonts w:ascii="宋体"/>
                <w:vanish/>
              </w:rPr>
            </w:pPr>
          </w:p>
        </w:tc>
        <w:tc>
          <w:tcPr>
            <w:tcW w:w="0" w:type="auto"/>
            <w:gridSpan w:val="3"/>
            <w:shd w:val="clear" w:color="auto" w:fill="auto"/>
          </w:tcPr>
          <w:p w14:paraId="5EA26A46" w14:textId="77777777" w:rsidR="003C66EB" w:rsidRDefault="003C66EB">
            <w:pPr>
              <w:rPr>
                <w:rFonts w:ascii="宋体"/>
                <w:vanish/>
              </w:rPr>
            </w:pPr>
          </w:p>
        </w:tc>
        <w:tc>
          <w:tcPr>
            <w:tcW w:w="0" w:type="auto"/>
            <w:gridSpan w:val="3"/>
            <w:shd w:val="clear" w:color="auto" w:fill="auto"/>
          </w:tcPr>
          <w:p w14:paraId="5EA26A47" w14:textId="77777777" w:rsidR="003C66EB" w:rsidRDefault="003C66EB">
            <w:pPr>
              <w:rPr>
                <w:rFonts w:ascii="宋体"/>
                <w:vanish/>
              </w:rPr>
            </w:pPr>
          </w:p>
        </w:tc>
        <w:tc>
          <w:tcPr>
            <w:tcW w:w="0" w:type="auto"/>
            <w:gridSpan w:val="3"/>
            <w:shd w:val="clear" w:color="auto" w:fill="auto"/>
          </w:tcPr>
          <w:p w14:paraId="5EA26A48"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49" w14:textId="77777777" w:rsidR="003C66EB" w:rsidRDefault="00D96C4E">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5EA26A4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4B" w14:textId="77777777" w:rsidR="003C66EB" w:rsidRDefault="00D96C4E">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A4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4D" w14:textId="77777777" w:rsidR="003C66EB" w:rsidRDefault="00D96C4E">
            <w:pPr>
              <w:jc w:val="center"/>
              <w:textAlignment w:val="bottom"/>
            </w:pPr>
            <w:r>
              <w:rPr>
                <w:rFonts w:ascii="Arial" w:eastAsia="宋体" w:hAnsi="Arial" w:cs="Arial"/>
                <w:b/>
                <w:bCs/>
                <w:color w:val="000000"/>
                <w:sz w:val="14"/>
                <w:szCs w:val="14"/>
              </w:rPr>
              <w:t>Total Acquired (In millions)</w:t>
            </w:r>
          </w:p>
        </w:tc>
      </w:tr>
      <w:tr w:rsidR="003C66EB" w14:paraId="5EA26A61" w14:textId="77777777">
        <w:trPr>
          <w:hidden/>
        </w:trPr>
        <w:tc>
          <w:tcPr>
            <w:tcW w:w="0" w:type="auto"/>
            <w:shd w:val="clear" w:color="auto" w:fill="auto"/>
          </w:tcPr>
          <w:p w14:paraId="5EA26A4F" w14:textId="77777777" w:rsidR="003C66EB" w:rsidRDefault="003C66EB">
            <w:pPr>
              <w:rPr>
                <w:rFonts w:ascii="宋体"/>
                <w:vanish/>
              </w:rPr>
            </w:pPr>
          </w:p>
        </w:tc>
        <w:tc>
          <w:tcPr>
            <w:tcW w:w="0" w:type="auto"/>
            <w:shd w:val="clear" w:color="auto" w:fill="auto"/>
          </w:tcPr>
          <w:p w14:paraId="5EA26A50" w14:textId="77777777" w:rsidR="003C66EB" w:rsidRDefault="003C66EB">
            <w:pPr>
              <w:rPr>
                <w:rFonts w:ascii="宋体"/>
                <w:vanish/>
              </w:rPr>
            </w:pPr>
          </w:p>
        </w:tc>
        <w:tc>
          <w:tcPr>
            <w:tcW w:w="0" w:type="auto"/>
            <w:shd w:val="clear" w:color="auto" w:fill="auto"/>
          </w:tcPr>
          <w:p w14:paraId="5EA26A51" w14:textId="77777777" w:rsidR="003C66EB" w:rsidRDefault="003C66EB">
            <w:pPr>
              <w:rPr>
                <w:rFonts w:ascii="宋体"/>
                <w:vanish/>
              </w:rPr>
            </w:pPr>
          </w:p>
        </w:tc>
        <w:tc>
          <w:tcPr>
            <w:tcW w:w="0" w:type="auto"/>
            <w:shd w:val="clear" w:color="auto" w:fill="auto"/>
          </w:tcPr>
          <w:p w14:paraId="5EA26A52" w14:textId="77777777" w:rsidR="003C66EB" w:rsidRDefault="003C66EB">
            <w:pPr>
              <w:rPr>
                <w:rFonts w:ascii="宋体"/>
                <w:vanish/>
              </w:rPr>
            </w:pPr>
          </w:p>
        </w:tc>
        <w:tc>
          <w:tcPr>
            <w:tcW w:w="0" w:type="auto"/>
            <w:shd w:val="clear" w:color="auto" w:fill="auto"/>
          </w:tcPr>
          <w:p w14:paraId="5EA26A53" w14:textId="77777777" w:rsidR="003C66EB" w:rsidRDefault="003C66EB">
            <w:pPr>
              <w:rPr>
                <w:rFonts w:ascii="宋体"/>
                <w:vanish/>
              </w:rPr>
            </w:pPr>
          </w:p>
        </w:tc>
        <w:tc>
          <w:tcPr>
            <w:tcW w:w="0" w:type="auto"/>
            <w:shd w:val="clear" w:color="auto" w:fill="auto"/>
          </w:tcPr>
          <w:p w14:paraId="5EA26A54" w14:textId="77777777" w:rsidR="003C66EB" w:rsidRDefault="003C66EB">
            <w:pPr>
              <w:rPr>
                <w:rFonts w:ascii="宋体"/>
                <w:vanish/>
              </w:rPr>
            </w:pPr>
          </w:p>
        </w:tc>
        <w:tc>
          <w:tcPr>
            <w:tcW w:w="0" w:type="auto"/>
            <w:shd w:val="clear" w:color="auto" w:fill="auto"/>
          </w:tcPr>
          <w:p w14:paraId="5EA26A55" w14:textId="77777777" w:rsidR="003C66EB" w:rsidRDefault="003C66EB">
            <w:pPr>
              <w:rPr>
                <w:rFonts w:ascii="宋体"/>
                <w:vanish/>
              </w:rPr>
            </w:pPr>
          </w:p>
        </w:tc>
        <w:tc>
          <w:tcPr>
            <w:tcW w:w="0" w:type="auto"/>
            <w:shd w:val="clear" w:color="auto" w:fill="auto"/>
          </w:tcPr>
          <w:p w14:paraId="5EA26A56" w14:textId="77777777" w:rsidR="003C66EB" w:rsidRDefault="003C66EB">
            <w:pPr>
              <w:rPr>
                <w:rFonts w:ascii="宋体"/>
                <w:vanish/>
              </w:rPr>
            </w:pPr>
          </w:p>
        </w:tc>
        <w:tc>
          <w:tcPr>
            <w:tcW w:w="0" w:type="auto"/>
            <w:shd w:val="clear" w:color="auto" w:fill="auto"/>
          </w:tcPr>
          <w:p w14:paraId="5EA26A57" w14:textId="77777777" w:rsidR="003C66EB" w:rsidRDefault="003C66EB">
            <w:pPr>
              <w:rPr>
                <w:rFonts w:ascii="宋体"/>
                <w:vanish/>
              </w:rPr>
            </w:pPr>
          </w:p>
        </w:tc>
        <w:tc>
          <w:tcPr>
            <w:tcW w:w="0" w:type="auto"/>
            <w:shd w:val="clear" w:color="auto" w:fill="auto"/>
          </w:tcPr>
          <w:p w14:paraId="5EA26A58" w14:textId="77777777" w:rsidR="003C66EB" w:rsidRDefault="003C66EB">
            <w:pPr>
              <w:rPr>
                <w:rFonts w:ascii="宋体"/>
                <w:vanish/>
              </w:rPr>
            </w:pPr>
          </w:p>
        </w:tc>
        <w:tc>
          <w:tcPr>
            <w:tcW w:w="0" w:type="auto"/>
            <w:gridSpan w:val="3"/>
            <w:shd w:val="clear" w:color="auto" w:fill="auto"/>
          </w:tcPr>
          <w:p w14:paraId="5EA26A59" w14:textId="77777777" w:rsidR="003C66EB" w:rsidRDefault="003C66EB">
            <w:pPr>
              <w:rPr>
                <w:rFonts w:ascii="宋体"/>
                <w:vanish/>
              </w:rPr>
            </w:pPr>
          </w:p>
        </w:tc>
        <w:tc>
          <w:tcPr>
            <w:tcW w:w="0" w:type="auto"/>
            <w:gridSpan w:val="3"/>
            <w:shd w:val="clear" w:color="auto" w:fill="auto"/>
          </w:tcPr>
          <w:p w14:paraId="5EA26A5A" w14:textId="77777777" w:rsidR="003C66EB" w:rsidRDefault="003C66EB">
            <w:pPr>
              <w:rPr>
                <w:rFonts w:ascii="宋体"/>
                <w:vanish/>
              </w:rPr>
            </w:pPr>
          </w:p>
        </w:tc>
        <w:tc>
          <w:tcPr>
            <w:tcW w:w="0" w:type="auto"/>
            <w:gridSpan w:val="3"/>
            <w:shd w:val="clear" w:color="auto" w:fill="auto"/>
          </w:tcPr>
          <w:p w14:paraId="5EA26A5B" w14:textId="77777777" w:rsidR="003C66EB" w:rsidRDefault="003C66EB">
            <w:pPr>
              <w:rPr>
                <w:rFonts w:ascii="宋体"/>
                <w:vanish/>
              </w:rPr>
            </w:pPr>
          </w:p>
        </w:tc>
        <w:tc>
          <w:tcPr>
            <w:tcW w:w="0" w:type="auto"/>
            <w:gridSpan w:val="3"/>
            <w:shd w:val="clear" w:color="auto" w:fill="auto"/>
          </w:tcPr>
          <w:p w14:paraId="5EA26A5C" w14:textId="77777777" w:rsidR="003C66EB" w:rsidRDefault="003C66EB">
            <w:pPr>
              <w:rPr>
                <w:rFonts w:ascii="宋体"/>
                <w:vanish/>
              </w:rPr>
            </w:pPr>
          </w:p>
        </w:tc>
        <w:tc>
          <w:tcPr>
            <w:tcW w:w="0" w:type="auto"/>
            <w:gridSpan w:val="3"/>
            <w:shd w:val="clear" w:color="auto" w:fill="auto"/>
          </w:tcPr>
          <w:p w14:paraId="5EA26A5D" w14:textId="77777777" w:rsidR="003C66EB" w:rsidRDefault="003C66EB">
            <w:pPr>
              <w:rPr>
                <w:rFonts w:ascii="宋体"/>
                <w:vanish/>
              </w:rPr>
            </w:pPr>
          </w:p>
        </w:tc>
        <w:tc>
          <w:tcPr>
            <w:tcW w:w="0" w:type="auto"/>
            <w:gridSpan w:val="3"/>
            <w:shd w:val="clear" w:color="auto" w:fill="auto"/>
          </w:tcPr>
          <w:p w14:paraId="5EA26A5E" w14:textId="77777777" w:rsidR="003C66EB" w:rsidRDefault="003C66EB">
            <w:pPr>
              <w:rPr>
                <w:rFonts w:ascii="宋体"/>
                <w:vanish/>
              </w:rPr>
            </w:pPr>
          </w:p>
        </w:tc>
        <w:tc>
          <w:tcPr>
            <w:tcW w:w="0" w:type="auto"/>
            <w:gridSpan w:val="3"/>
            <w:shd w:val="clear" w:color="auto" w:fill="auto"/>
          </w:tcPr>
          <w:p w14:paraId="5EA26A5F" w14:textId="77777777" w:rsidR="003C66EB" w:rsidRDefault="003C66EB">
            <w:pPr>
              <w:rPr>
                <w:rFonts w:ascii="宋体"/>
                <w:vanish/>
              </w:rPr>
            </w:pPr>
          </w:p>
        </w:tc>
        <w:tc>
          <w:tcPr>
            <w:tcW w:w="0" w:type="auto"/>
            <w:gridSpan w:val="3"/>
            <w:shd w:val="clear" w:color="auto" w:fill="auto"/>
          </w:tcPr>
          <w:p w14:paraId="5EA26A60" w14:textId="77777777" w:rsidR="003C66EB" w:rsidRDefault="003C66EB">
            <w:pPr>
              <w:rPr>
                <w:rFonts w:ascii="宋体"/>
                <w:vanish/>
              </w:rPr>
            </w:pPr>
          </w:p>
        </w:tc>
      </w:tr>
      <w:tr w:rsidR="003C66EB" w14:paraId="5EA26A79" w14:textId="77777777">
        <w:trPr>
          <w:hidden/>
        </w:trPr>
        <w:tc>
          <w:tcPr>
            <w:tcW w:w="0" w:type="auto"/>
            <w:shd w:val="clear" w:color="auto" w:fill="auto"/>
          </w:tcPr>
          <w:p w14:paraId="5EA26A62" w14:textId="77777777" w:rsidR="003C66EB" w:rsidRDefault="003C66EB">
            <w:pPr>
              <w:rPr>
                <w:rFonts w:ascii="宋体"/>
                <w:vanish/>
              </w:rPr>
            </w:pPr>
          </w:p>
        </w:tc>
        <w:tc>
          <w:tcPr>
            <w:tcW w:w="0" w:type="auto"/>
            <w:shd w:val="clear" w:color="auto" w:fill="auto"/>
          </w:tcPr>
          <w:p w14:paraId="5EA26A63" w14:textId="77777777" w:rsidR="003C66EB" w:rsidRDefault="003C66EB">
            <w:pPr>
              <w:rPr>
                <w:rFonts w:ascii="宋体"/>
                <w:vanish/>
              </w:rPr>
            </w:pPr>
          </w:p>
        </w:tc>
        <w:tc>
          <w:tcPr>
            <w:tcW w:w="0" w:type="auto"/>
            <w:shd w:val="clear" w:color="auto" w:fill="auto"/>
          </w:tcPr>
          <w:p w14:paraId="5EA26A64" w14:textId="77777777" w:rsidR="003C66EB" w:rsidRDefault="003C66EB">
            <w:pPr>
              <w:rPr>
                <w:rFonts w:ascii="宋体"/>
                <w:vanish/>
              </w:rPr>
            </w:pPr>
          </w:p>
        </w:tc>
        <w:tc>
          <w:tcPr>
            <w:tcW w:w="0" w:type="auto"/>
            <w:shd w:val="clear" w:color="auto" w:fill="auto"/>
          </w:tcPr>
          <w:p w14:paraId="5EA26A65" w14:textId="77777777" w:rsidR="003C66EB" w:rsidRDefault="003C66EB">
            <w:pPr>
              <w:rPr>
                <w:rFonts w:ascii="宋体"/>
                <w:vanish/>
              </w:rPr>
            </w:pPr>
          </w:p>
        </w:tc>
        <w:tc>
          <w:tcPr>
            <w:tcW w:w="0" w:type="auto"/>
            <w:shd w:val="clear" w:color="auto" w:fill="auto"/>
          </w:tcPr>
          <w:p w14:paraId="5EA26A66" w14:textId="77777777" w:rsidR="003C66EB" w:rsidRDefault="003C66EB">
            <w:pPr>
              <w:rPr>
                <w:rFonts w:ascii="宋体"/>
                <w:vanish/>
              </w:rPr>
            </w:pPr>
          </w:p>
        </w:tc>
        <w:tc>
          <w:tcPr>
            <w:tcW w:w="0" w:type="auto"/>
            <w:shd w:val="clear" w:color="auto" w:fill="auto"/>
          </w:tcPr>
          <w:p w14:paraId="5EA26A67" w14:textId="77777777" w:rsidR="003C66EB" w:rsidRDefault="003C66EB">
            <w:pPr>
              <w:rPr>
                <w:rFonts w:ascii="宋体"/>
                <w:vanish/>
              </w:rPr>
            </w:pPr>
          </w:p>
        </w:tc>
        <w:tc>
          <w:tcPr>
            <w:tcW w:w="0" w:type="auto"/>
            <w:shd w:val="clear" w:color="auto" w:fill="auto"/>
          </w:tcPr>
          <w:p w14:paraId="5EA26A68" w14:textId="77777777" w:rsidR="003C66EB" w:rsidRDefault="003C66EB">
            <w:pPr>
              <w:rPr>
                <w:rFonts w:ascii="宋体"/>
                <w:vanish/>
              </w:rPr>
            </w:pPr>
          </w:p>
        </w:tc>
        <w:tc>
          <w:tcPr>
            <w:tcW w:w="0" w:type="auto"/>
            <w:shd w:val="clear" w:color="auto" w:fill="auto"/>
          </w:tcPr>
          <w:p w14:paraId="5EA26A69" w14:textId="77777777" w:rsidR="003C66EB" w:rsidRDefault="003C66EB">
            <w:pPr>
              <w:rPr>
                <w:rFonts w:ascii="宋体"/>
                <w:vanish/>
              </w:rPr>
            </w:pPr>
          </w:p>
        </w:tc>
        <w:tc>
          <w:tcPr>
            <w:tcW w:w="0" w:type="auto"/>
            <w:shd w:val="clear" w:color="auto" w:fill="auto"/>
          </w:tcPr>
          <w:p w14:paraId="5EA26A6A" w14:textId="77777777" w:rsidR="003C66EB" w:rsidRDefault="003C66EB">
            <w:pPr>
              <w:rPr>
                <w:rFonts w:ascii="宋体"/>
                <w:vanish/>
              </w:rPr>
            </w:pPr>
          </w:p>
        </w:tc>
        <w:tc>
          <w:tcPr>
            <w:tcW w:w="0" w:type="auto"/>
            <w:shd w:val="clear" w:color="auto" w:fill="auto"/>
          </w:tcPr>
          <w:p w14:paraId="5EA26A6B" w14:textId="77777777" w:rsidR="003C66EB" w:rsidRDefault="003C66EB">
            <w:pPr>
              <w:rPr>
                <w:rFonts w:ascii="宋体"/>
                <w:vanish/>
              </w:rPr>
            </w:pPr>
          </w:p>
        </w:tc>
        <w:tc>
          <w:tcPr>
            <w:tcW w:w="0" w:type="auto"/>
            <w:gridSpan w:val="3"/>
            <w:shd w:val="clear" w:color="auto" w:fill="auto"/>
          </w:tcPr>
          <w:p w14:paraId="5EA26A6C" w14:textId="77777777" w:rsidR="003C66EB" w:rsidRDefault="003C66EB">
            <w:pPr>
              <w:rPr>
                <w:rFonts w:ascii="宋体"/>
                <w:vanish/>
              </w:rPr>
            </w:pPr>
          </w:p>
        </w:tc>
        <w:tc>
          <w:tcPr>
            <w:tcW w:w="0" w:type="auto"/>
            <w:gridSpan w:val="3"/>
            <w:shd w:val="clear" w:color="auto" w:fill="auto"/>
          </w:tcPr>
          <w:p w14:paraId="5EA26A6D" w14:textId="77777777" w:rsidR="003C66EB" w:rsidRDefault="003C66EB">
            <w:pPr>
              <w:rPr>
                <w:rFonts w:ascii="宋体"/>
                <w:vanish/>
              </w:rPr>
            </w:pPr>
          </w:p>
        </w:tc>
        <w:tc>
          <w:tcPr>
            <w:tcW w:w="0" w:type="auto"/>
            <w:gridSpan w:val="3"/>
            <w:shd w:val="clear" w:color="auto" w:fill="auto"/>
          </w:tcPr>
          <w:p w14:paraId="5EA26A6E"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A6F" w14:textId="77777777" w:rsidR="003C66EB" w:rsidRDefault="00D96C4E">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A7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A72"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A73" w14:textId="77777777" w:rsidR="003C66EB" w:rsidRDefault="00D96C4E">
            <w:pPr>
              <w:jc w:val="right"/>
              <w:textAlignment w:val="bottom"/>
            </w:pPr>
            <w:r>
              <w:rPr>
                <w:rFonts w:ascii="Arial" w:eastAsia="宋体" w:hAnsi="Arial" w:cs="Arial"/>
                <w:color w:val="000000"/>
                <w:sz w:val="14"/>
                <w:szCs w:val="14"/>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A7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A7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A77" w14:textId="77777777" w:rsidR="003C66EB" w:rsidRDefault="00D96C4E">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78" w14:textId="77777777" w:rsidR="003C66EB" w:rsidRDefault="003C66EB">
            <w:pPr>
              <w:jc w:val="right"/>
              <w:rPr>
                <w:rFonts w:ascii="宋体"/>
              </w:rPr>
            </w:pPr>
          </w:p>
        </w:tc>
      </w:tr>
      <w:tr w:rsidR="003C66EB" w14:paraId="5EA26A8C" w14:textId="77777777">
        <w:trPr>
          <w:hidden/>
        </w:trPr>
        <w:tc>
          <w:tcPr>
            <w:tcW w:w="0" w:type="auto"/>
            <w:shd w:val="clear" w:color="auto" w:fill="auto"/>
          </w:tcPr>
          <w:p w14:paraId="5EA26A7A" w14:textId="77777777" w:rsidR="003C66EB" w:rsidRDefault="003C66EB">
            <w:pPr>
              <w:rPr>
                <w:rFonts w:ascii="宋体"/>
                <w:vanish/>
              </w:rPr>
            </w:pPr>
          </w:p>
        </w:tc>
        <w:tc>
          <w:tcPr>
            <w:tcW w:w="0" w:type="auto"/>
            <w:shd w:val="clear" w:color="auto" w:fill="auto"/>
          </w:tcPr>
          <w:p w14:paraId="5EA26A7B" w14:textId="77777777" w:rsidR="003C66EB" w:rsidRDefault="003C66EB">
            <w:pPr>
              <w:rPr>
                <w:rFonts w:ascii="宋体"/>
                <w:vanish/>
              </w:rPr>
            </w:pPr>
          </w:p>
        </w:tc>
        <w:tc>
          <w:tcPr>
            <w:tcW w:w="0" w:type="auto"/>
            <w:shd w:val="clear" w:color="auto" w:fill="auto"/>
          </w:tcPr>
          <w:p w14:paraId="5EA26A7C" w14:textId="77777777" w:rsidR="003C66EB" w:rsidRDefault="003C66EB">
            <w:pPr>
              <w:rPr>
                <w:rFonts w:ascii="宋体"/>
                <w:vanish/>
              </w:rPr>
            </w:pPr>
          </w:p>
        </w:tc>
        <w:tc>
          <w:tcPr>
            <w:tcW w:w="0" w:type="auto"/>
            <w:shd w:val="clear" w:color="auto" w:fill="auto"/>
          </w:tcPr>
          <w:p w14:paraId="5EA26A7D" w14:textId="77777777" w:rsidR="003C66EB" w:rsidRDefault="003C66EB">
            <w:pPr>
              <w:rPr>
                <w:rFonts w:ascii="宋体"/>
                <w:vanish/>
              </w:rPr>
            </w:pPr>
          </w:p>
        </w:tc>
        <w:tc>
          <w:tcPr>
            <w:tcW w:w="0" w:type="auto"/>
            <w:shd w:val="clear" w:color="auto" w:fill="auto"/>
          </w:tcPr>
          <w:p w14:paraId="5EA26A7E" w14:textId="77777777" w:rsidR="003C66EB" w:rsidRDefault="003C66EB">
            <w:pPr>
              <w:rPr>
                <w:rFonts w:ascii="宋体"/>
                <w:vanish/>
              </w:rPr>
            </w:pPr>
          </w:p>
        </w:tc>
        <w:tc>
          <w:tcPr>
            <w:tcW w:w="0" w:type="auto"/>
            <w:shd w:val="clear" w:color="auto" w:fill="auto"/>
          </w:tcPr>
          <w:p w14:paraId="5EA26A7F" w14:textId="77777777" w:rsidR="003C66EB" w:rsidRDefault="003C66EB">
            <w:pPr>
              <w:rPr>
                <w:rFonts w:ascii="宋体"/>
                <w:vanish/>
              </w:rPr>
            </w:pPr>
          </w:p>
        </w:tc>
        <w:tc>
          <w:tcPr>
            <w:tcW w:w="0" w:type="auto"/>
            <w:shd w:val="clear" w:color="auto" w:fill="auto"/>
          </w:tcPr>
          <w:p w14:paraId="5EA26A80" w14:textId="77777777" w:rsidR="003C66EB" w:rsidRDefault="003C66EB">
            <w:pPr>
              <w:rPr>
                <w:rFonts w:ascii="宋体"/>
                <w:vanish/>
              </w:rPr>
            </w:pPr>
          </w:p>
        </w:tc>
        <w:tc>
          <w:tcPr>
            <w:tcW w:w="0" w:type="auto"/>
            <w:shd w:val="clear" w:color="auto" w:fill="auto"/>
          </w:tcPr>
          <w:p w14:paraId="5EA26A81" w14:textId="77777777" w:rsidR="003C66EB" w:rsidRDefault="003C66EB">
            <w:pPr>
              <w:rPr>
                <w:rFonts w:ascii="宋体"/>
                <w:vanish/>
              </w:rPr>
            </w:pPr>
          </w:p>
        </w:tc>
        <w:tc>
          <w:tcPr>
            <w:tcW w:w="0" w:type="auto"/>
            <w:shd w:val="clear" w:color="auto" w:fill="auto"/>
          </w:tcPr>
          <w:p w14:paraId="5EA26A82" w14:textId="77777777" w:rsidR="003C66EB" w:rsidRDefault="003C66EB">
            <w:pPr>
              <w:rPr>
                <w:rFonts w:ascii="宋体"/>
                <w:vanish/>
              </w:rPr>
            </w:pPr>
          </w:p>
        </w:tc>
        <w:tc>
          <w:tcPr>
            <w:tcW w:w="0" w:type="auto"/>
            <w:shd w:val="clear" w:color="auto" w:fill="auto"/>
          </w:tcPr>
          <w:p w14:paraId="5EA26A83" w14:textId="77777777" w:rsidR="003C66EB" w:rsidRDefault="003C66EB">
            <w:pPr>
              <w:rPr>
                <w:rFonts w:ascii="宋体"/>
                <w:vanish/>
              </w:rPr>
            </w:pPr>
          </w:p>
        </w:tc>
        <w:tc>
          <w:tcPr>
            <w:tcW w:w="0" w:type="auto"/>
            <w:gridSpan w:val="3"/>
            <w:shd w:val="clear" w:color="auto" w:fill="auto"/>
          </w:tcPr>
          <w:p w14:paraId="5EA26A84" w14:textId="77777777" w:rsidR="003C66EB" w:rsidRDefault="003C66EB">
            <w:pPr>
              <w:rPr>
                <w:rFonts w:ascii="宋体"/>
                <w:vanish/>
              </w:rPr>
            </w:pPr>
          </w:p>
        </w:tc>
        <w:tc>
          <w:tcPr>
            <w:tcW w:w="0" w:type="auto"/>
            <w:gridSpan w:val="3"/>
            <w:shd w:val="clear" w:color="auto" w:fill="auto"/>
          </w:tcPr>
          <w:p w14:paraId="5EA26A85" w14:textId="77777777" w:rsidR="003C66EB" w:rsidRDefault="003C66EB">
            <w:pPr>
              <w:rPr>
                <w:rFonts w:ascii="宋体"/>
                <w:vanish/>
              </w:rPr>
            </w:pPr>
          </w:p>
        </w:tc>
        <w:tc>
          <w:tcPr>
            <w:tcW w:w="0" w:type="auto"/>
            <w:gridSpan w:val="3"/>
            <w:shd w:val="clear" w:color="auto" w:fill="auto"/>
          </w:tcPr>
          <w:p w14:paraId="5EA26A86" w14:textId="77777777" w:rsidR="003C66EB" w:rsidRDefault="003C66EB">
            <w:pPr>
              <w:rPr>
                <w:rFonts w:ascii="宋体"/>
                <w:vanish/>
              </w:rPr>
            </w:pPr>
          </w:p>
        </w:tc>
        <w:tc>
          <w:tcPr>
            <w:tcW w:w="0" w:type="auto"/>
            <w:gridSpan w:val="3"/>
            <w:shd w:val="clear" w:color="auto" w:fill="auto"/>
          </w:tcPr>
          <w:p w14:paraId="5EA26A87" w14:textId="77777777" w:rsidR="003C66EB" w:rsidRDefault="003C66EB">
            <w:pPr>
              <w:rPr>
                <w:rFonts w:ascii="宋体"/>
                <w:vanish/>
              </w:rPr>
            </w:pPr>
          </w:p>
        </w:tc>
        <w:tc>
          <w:tcPr>
            <w:tcW w:w="0" w:type="auto"/>
            <w:gridSpan w:val="3"/>
            <w:shd w:val="clear" w:color="auto" w:fill="auto"/>
          </w:tcPr>
          <w:p w14:paraId="5EA26A88" w14:textId="77777777" w:rsidR="003C66EB" w:rsidRDefault="003C66EB">
            <w:pPr>
              <w:rPr>
                <w:rFonts w:ascii="宋体"/>
                <w:vanish/>
              </w:rPr>
            </w:pPr>
          </w:p>
        </w:tc>
        <w:tc>
          <w:tcPr>
            <w:tcW w:w="0" w:type="auto"/>
            <w:gridSpan w:val="3"/>
            <w:shd w:val="clear" w:color="auto" w:fill="auto"/>
          </w:tcPr>
          <w:p w14:paraId="5EA26A89" w14:textId="77777777" w:rsidR="003C66EB" w:rsidRDefault="003C66EB">
            <w:pPr>
              <w:rPr>
                <w:rFonts w:ascii="宋体"/>
                <w:vanish/>
              </w:rPr>
            </w:pPr>
          </w:p>
        </w:tc>
        <w:tc>
          <w:tcPr>
            <w:tcW w:w="0" w:type="auto"/>
            <w:gridSpan w:val="3"/>
            <w:shd w:val="clear" w:color="auto" w:fill="auto"/>
          </w:tcPr>
          <w:p w14:paraId="5EA26A8A" w14:textId="77777777" w:rsidR="003C66EB" w:rsidRDefault="003C66EB">
            <w:pPr>
              <w:rPr>
                <w:rFonts w:ascii="宋体"/>
                <w:vanish/>
              </w:rPr>
            </w:pPr>
          </w:p>
        </w:tc>
        <w:tc>
          <w:tcPr>
            <w:tcW w:w="0" w:type="auto"/>
            <w:gridSpan w:val="3"/>
            <w:shd w:val="clear" w:color="auto" w:fill="auto"/>
          </w:tcPr>
          <w:p w14:paraId="5EA26A8B" w14:textId="77777777" w:rsidR="003C66EB" w:rsidRDefault="003C66EB">
            <w:pPr>
              <w:rPr>
                <w:rFonts w:ascii="宋体"/>
                <w:vanish/>
              </w:rPr>
            </w:pPr>
          </w:p>
        </w:tc>
      </w:tr>
    </w:tbl>
    <w:p w14:paraId="5EA26A8D" w14:textId="77777777" w:rsidR="003C66EB" w:rsidRDefault="00D96C4E">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1052"/>
        <w:gridCol w:w="36"/>
        <w:gridCol w:w="99"/>
        <w:gridCol w:w="1430"/>
        <w:gridCol w:w="36"/>
        <w:gridCol w:w="36"/>
        <w:gridCol w:w="36"/>
        <w:gridCol w:w="36"/>
        <w:gridCol w:w="99"/>
        <w:gridCol w:w="1390"/>
        <w:gridCol w:w="36"/>
        <w:gridCol w:w="36"/>
        <w:gridCol w:w="36"/>
        <w:gridCol w:w="36"/>
        <w:gridCol w:w="99"/>
        <w:gridCol w:w="1390"/>
        <w:gridCol w:w="36"/>
        <w:gridCol w:w="36"/>
        <w:gridCol w:w="36"/>
        <w:gridCol w:w="36"/>
        <w:gridCol w:w="99"/>
        <w:gridCol w:w="13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26AAE" w14:textId="77777777">
        <w:tc>
          <w:tcPr>
            <w:tcW w:w="50" w:type="pct"/>
            <w:shd w:val="clear" w:color="auto" w:fill="auto"/>
          </w:tcPr>
          <w:p w14:paraId="5EA26A8E" w14:textId="77777777" w:rsidR="003C66EB" w:rsidRDefault="003C66EB">
            <w:pPr>
              <w:rPr>
                <w:rFonts w:ascii="宋体"/>
              </w:rPr>
            </w:pPr>
          </w:p>
        </w:tc>
        <w:tc>
          <w:tcPr>
            <w:tcW w:w="729" w:type="pct"/>
            <w:shd w:val="clear" w:color="auto" w:fill="auto"/>
          </w:tcPr>
          <w:p w14:paraId="5EA26A8F" w14:textId="77777777" w:rsidR="003C66EB" w:rsidRDefault="003C66EB">
            <w:pPr>
              <w:rPr>
                <w:rFonts w:ascii="宋体"/>
              </w:rPr>
            </w:pPr>
          </w:p>
        </w:tc>
        <w:tc>
          <w:tcPr>
            <w:tcW w:w="5" w:type="pct"/>
            <w:shd w:val="clear" w:color="auto" w:fill="auto"/>
          </w:tcPr>
          <w:p w14:paraId="5EA26A90" w14:textId="77777777" w:rsidR="003C66EB" w:rsidRDefault="003C66EB">
            <w:pPr>
              <w:rPr>
                <w:rFonts w:ascii="宋体"/>
              </w:rPr>
            </w:pPr>
          </w:p>
        </w:tc>
        <w:tc>
          <w:tcPr>
            <w:tcW w:w="50" w:type="pct"/>
            <w:shd w:val="clear" w:color="auto" w:fill="auto"/>
          </w:tcPr>
          <w:p w14:paraId="5EA26A91" w14:textId="77777777" w:rsidR="003C66EB" w:rsidRDefault="003C66EB">
            <w:pPr>
              <w:rPr>
                <w:rFonts w:ascii="宋体"/>
              </w:rPr>
            </w:pPr>
          </w:p>
        </w:tc>
        <w:tc>
          <w:tcPr>
            <w:tcW w:w="971" w:type="pct"/>
            <w:shd w:val="clear" w:color="auto" w:fill="auto"/>
          </w:tcPr>
          <w:p w14:paraId="5EA26A92" w14:textId="77777777" w:rsidR="003C66EB" w:rsidRDefault="003C66EB">
            <w:pPr>
              <w:rPr>
                <w:rFonts w:ascii="宋体"/>
              </w:rPr>
            </w:pPr>
          </w:p>
        </w:tc>
        <w:tc>
          <w:tcPr>
            <w:tcW w:w="5" w:type="pct"/>
            <w:shd w:val="clear" w:color="auto" w:fill="auto"/>
          </w:tcPr>
          <w:p w14:paraId="5EA26A93" w14:textId="77777777" w:rsidR="003C66EB" w:rsidRDefault="003C66EB">
            <w:pPr>
              <w:rPr>
                <w:rFonts w:ascii="宋体"/>
              </w:rPr>
            </w:pPr>
          </w:p>
        </w:tc>
        <w:tc>
          <w:tcPr>
            <w:tcW w:w="5" w:type="pct"/>
            <w:shd w:val="clear" w:color="auto" w:fill="auto"/>
          </w:tcPr>
          <w:p w14:paraId="5EA26A94" w14:textId="77777777" w:rsidR="003C66EB" w:rsidRDefault="003C66EB">
            <w:pPr>
              <w:rPr>
                <w:rFonts w:ascii="宋体"/>
              </w:rPr>
            </w:pPr>
          </w:p>
        </w:tc>
        <w:tc>
          <w:tcPr>
            <w:tcW w:w="26" w:type="pct"/>
            <w:shd w:val="clear" w:color="auto" w:fill="auto"/>
          </w:tcPr>
          <w:p w14:paraId="5EA26A95" w14:textId="77777777" w:rsidR="003C66EB" w:rsidRDefault="003C66EB">
            <w:pPr>
              <w:rPr>
                <w:rFonts w:ascii="宋体"/>
              </w:rPr>
            </w:pPr>
          </w:p>
        </w:tc>
        <w:tc>
          <w:tcPr>
            <w:tcW w:w="5" w:type="pct"/>
            <w:shd w:val="clear" w:color="auto" w:fill="auto"/>
          </w:tcPr>
          <w:p w14:paraId="5EA26A96" w14:textId="77777777" w:rsidR="003C66EB" w:rsidRDefault="003C66EB">
            <w:pPr>
              <w:rPr>
                <w:rFonts w:ascii="宋体"/>
              </w:rPr>
            </w:pPr>
          </w:p>
        </w:tc>
        <w:tc>
          <w:tcPr>
            <w:tcW w:w="50" w:type="pct"/>
            <w:shd w:val="clear" w:color="auto" w:fill="auto"/>
          </w:tcPr>
          <w:p w14:paraId="5EA26A97" w14:textId="77777777" w:rsidR="003C66EB" w:rsidRDefault="003C66EB">
            <w:pPr>
              <w:rPr>
                <w:rFonts w:ascii="宋体"/>
              </w:rPr>
            </w:pPr>
          </w:p>
        </w:tc>
        <w:tc>
          <w:tcPr>
            <w:tcW w:w="971" w:type="pct"/>
            <w:shd w:val="clear" w:color="auto" w:fill="auto"/>
          </w:tcPr>
          <w:p w14:paraId="5EA26A98" w14:textId="77777777" w:rsidR="003C66EB" w:rsidRDefault="003C66EB">
            <w:pPr>
              <w:rPr>
                <w:rFonts w:ascii="宋体"/>
              </w:rPr>
            </w:pPr>
          </w:p>
        </w:tc>
        <w:tc>
          <w:tcPr>
            <w:tcW w:w="5" w:type="pct"/>
            <w:shd w:val="clear" w:color="auto" w:fill="auto"/>
          </w:tcPr>
          <w:p w14:paraId="5EA26A99" w14:textId="77777777" w:rsidR="003C66EB" w:rsidRDefault="003C66EB">
            <w:pPr>
              <w:rPr>
                <w:rFonts w:ascii="宋体"/>
              </w:rPr>
            </w:pPr>
          </w:p>
        </w:tc>
        <w:tc>
          <w:tcPr>
            <w:tcW w:w="5" w:type="pct"/>
            <w:shd w:val="clear" w:color="auto" w:fill="auto"/>
          </w:tcPr>
          <w:p w14:paraId="5EA26A9A" w14:textId="77777777" w:rsidR="003C66EB" w:rsidRDefault="003C66EB">
            <w:pPr>
              <w:rPr>
                <w:rFonts w:ascii="宋体"/>
              </w:rPr>
            </w:pPr>
          </w:p>
        </w:tc>
        <w:tc>
          <w:tcPr>
            <w:tcW w:w="26" w:type="pct"/>
            <w:shd w:val="clear" w:color="auto" w:fill="auto"/>
          </w:tcPr>
          <w:p w14:paraId="5EA26A9B" w14:textId="77777777" w:rsidR="003C66EB" w:rsidRDefault="003C66EB">
            <w:pPr>
              <w:rPr>
                <w:rFonts w:ascii="宋体"/>
              </w:rPr>
            </w:pPr>
          </w:p>
        </w:tc>
        <w:tc>
          <w:tcPr>
            <w:tcW w:w="5" w:type="pct"/>
            <w:shd w:val="clear" w:color="auto" w:fill="auto"/>
          </w:tcPr>
          <w:p w14:paraId="5EA26A9C" w14:textId="77777777" w:rsidR="003C66EB" w:rsidRDefault="003C66EB">
            <w:pPr>
              <w:rPr>
                <w:rFonts w:ascii="宋体"/>
              </w:rPr>
            </w:pPr>
          </w:p>
        </w:tc>
        <w:tc>
          <w:tcPr>
            <w:tcW w:w="50" w:type="pct"/>
            <w:shd w:val="clear" w:color="auto" w:fill="auto"/>
          </w:tcPr>
          <w:p w14:paraId="5EA26A9D" w14:textId="77777777" w:rsidR="003C66EB" w:rsidRDefault="003C66EB">
            <w:pPr>
              <w:rPr>
                <w:rFonts w:ascii="宋体"/>
              </w:rPr>
            </w:pPr>
          </w:p>
        </w:tc>
        <w:tc>
          <w:tcPr>
            <w:tcW w:w="971" w:type="pct"/>
            <w:shd w:val="clear" w:color="auto" w:fill="auto"/>
          </w:tcPr>
          <w:p w14:paraId="5EA26A9E" w14:textId="77777777" w:rsidR="003C66EB" w:rsidRDefault="003C66EB">
            <w:pPr>
              <w:rPr>
                <w:rFonts w:ascii="宋体"/>
              </w:rPr>
            </w:pPr>
          </w:p>
        </w:tc>
        <w:tc>
          <w:tcPr>
            <w:tcW w:w="5" w:type="pct"/>
            <w:shd w:val="clear" w:color="auto" w:fill="auto"/>
          </w:tcPr>
          <w:p w14:paraId="5EA26A9F" w14:textId="77777777" w:rsidR="003C66EB" w:rsidRDefault="003C66EB">
            <w:pPr>
              <w:rPr>
                <w:rFonts w:ascii="宋体"/>
              </w:rPr>
            </w:pPr>
          </w:p>
        </w:tc>
        <w:tc>
          <w:tcPr>
            <w:tcW w:w="5" w:type="pct"/>
            <w:shd w:val="clear" w:color="auto" w:fill="auto"/>
          </w:tcPr>
          <w:p w14:paraId="5EA26AA0" w14:textId="77777777" w:rsidR="003C66EB" w:rsidRDefault="003C66EB">
            <w:pPr>
              <w:rPr>
                <w:rFonts w:ascii="宋体"/>
              </w:rPr>
            </w:pPr>
          </w:p>
        </w:tc>
        <w:tc>
          <w:tcPr>
            <w:tcW w:w="26" w:type="pct"/>
            <w:shd w:val="clear" w:color="auto" w:fill="auto"/>
          </w:tcPr>
          <w:p w14:paraId="5EA26AA1" w14:textId="77777777" w:rsidR="003C66EB" w:rsidRDefault="003C66EB">
            <w:pPr>
              <w:rPr>
                <w:rFonts w:ascii="宋体"/>
              </w:rPr>
            </w:pPr>
          </w:p>
        </w:tc>
        <w:tc>
          <w:tcPr>
            <w:tcW w:w="5" w:type="pct"/>
            <w:shd w:val="clear" w:color="auto" w:fill="auto"/>
          </w:tcPr>
          <w:p w14:paraId="5EA26AA2" w14:textId="77777777" w:rsidR="003C66EB" w:rsidRDefault="003C66EB">
            <w:pPr>
              <w:rPr>
                <w:rFonts w:ascii="宋体"/>
              </w:rPr>
            </w:pPr>
          </w:p>
        </w:tc>
        <w:tc>
          <w:tcPr>
            <w:tcW w:w="50" w:type="pct"/>
            <w:shd w:val="clear" w:color="auto" w:fill="auto"/>
          </w:tcPr>
          <w:p w14:paraId="5EA26AA3" w14:textId="77777777" w:rsidR="003C66EB" w:rsidRDefault="003C66EB">
            <w:pPr>
              <w:rPr>
                <w:rFonts w:ascii="宋体"/>
              </w:rPr>
            </w:pPr>
          </w:p>
        </w:tc>
        <w:tc>
          <w:tcPr>
            <w:tcW w:w="971" w:type="pct"/>
            <w:shd w:val="clear" w:color="auto" w:fill="auto"/>
          </w:tcPr>
          <w:p w14:paraId="5EA26AA4" w14:textId="77777777" w:rsidR="003C66EB" w:rsidRDefault="003C66EB">
            <w:pPr>
              <w:rPr>
                <w:rFonts w:ascii="宋体"/>
              </w:rPr>
            </w:pPr>
          </w:p>
        </w:tc>
        <w:tc>
          <w:tcPr>
            <w:tcW w:w="5" w:type="pct"/>
            <w:shd w:val="clear" w:color="auto" w:fill="auto"/>
          </w:tcPr>
          <w:p w14:paraId="5EA26AA5" w14:textId="77777777" w:rsidR="003C66EB" w:rsidRDefault="003C66EB">
            <w:pPr>
              <w:rPr>
                <w:rFonts w:ascii="宋体"/>
              </w:rPr>
            </w:pPr>
          </w:p>
        </w:tc>
        <w:tc>
          <w:tcPr>
            <w:tcW w:w="0" w:type="auto"/>
            <w:shd w:val="clear" w:color="auto" w:fill="auto"/>
          </w:tcPr>
          <w:p w14:paraId="5EA26AA6" w14:textId="77777777" w:rsidR="003C66EB" w:rsidRDefault="003C66EB">
            <w:pPr>
              <w:rPr>
                <w:rFonts w:ascii="宋体"/>
                <w:vanish/>
              </w:rPr>
            </w:pPr>
          </w:p>
        </w:tc>
        <w:tc>
          <w:tcPr>
            <w:tcW w:w="0" w:type="auto"/>
            <w:shd w:val="clear" w:color="auto" w:fill="auto"/>
          </w:tcPr>
          <w:p w14:paraId="5EA26AA7" w14:textId="77777777" w:rsidR="003C66EB" w:rsidRDefault="003C66EB">
            <w:pPr>
              <w:rPr>
                <w:rFonts w:ascii="宋体"/>
                <w:vanish/>
              </w:rPr>
            </w:pPr>
          </w:p>
        </w:tc>
        <w:tc>
          <w:tcPr>
            <w:tcW w:w="0" w:type="auto"/>
            <w:gridSpan w:val="3"/>
            <w:shd w:val="clear" w:color="auto" w:fill="auto"/>
          </w:tcPr>
          <w:p w14:paraId="5EA26AA8" w14:textId="77777777" w:rsidR="003C66EB" w:rsidRDefault="003C66EB">
            <w:pPr>
              <w:rPr>
                <w:rFonts w:ascii="宋体"/>
                <w:vanish/>
              </w:rPr>
            </w:pPr>
          </w:p>
        </w:tc>
        <w:tc>
          <w:tcPr>
            <w:tcW w:w="0" w:type="auto"/>
            <w:gridSpan w:val="3"/>
            <w:shd w:val="clear" w:color="auto" w:fill="auto"/>
          </w:tcPr>
          <w:p w14:paraId="5EA26AA9" w14:textId="77777777" w:rsidR="003C66EB" w:rsidRDefault="003C66EB">
            <w:pPr>
              <w:rPr>
                <w:rFonts w:ascii="宋体"/>
                <w:vanish/>
              </w:rPr>
            </w:pPr>
          </w:p>
        </w:tc>
        <w:tc>
          <w:tcPr>
            <w:tcW w:w="0" w:type="auto"/>
            <w:gridSpan w:val="3"/>
            <w:shd w:val="clear" w:color="auto" w:fill="auto"/>
          </w:tcPr>
          <w:p w14:paraId="5EA26AAA" w14:textId="77777777" w:rsidR="003C66EB" w:rsidRDefault="003C66EB">
            <w:pPr>
              <w:rPr>
                <w:rFonts w:ascii="宋体"/>
                <w:vanish/>
              </w:rPr>
            </w:pPr>
          </w:p>
        </w:tc>
        <w:tc>
          <w:tcPr>
            <w:tcW w:w="0" w:type="auto"/>
            <w:gridSpan w:val="3"/>
            <w:shd w:val="clear" w:color="auto" w:fill="auto"/>
          </w:tcPr>
          <w:p w14:paraId="5EA26AAB" w14:textId="77777777" w:rsidR="003C66EB" w:rsidRDefault="003C66EB">
            <w:pPr>
              <w:rPr>
                <w:rFonts w:ascii="宋体"/>
                <w:vanish/>
              </w:rPr>
            </w:pPr>
          </w:p>
        </w:tc>
        <w:tc>
          <w:tcPr>
            <w:tcW w:w="0" w:type="auto"/>
            <w:gridSpan w:val="3"/>
            <w:shd w:val="clear" w:color="auto" w:fill="auto"/>
          </w:tcPr>
          <w:p w14:paraId="5EA26AAC" w14:textId="77777777" w:rsidR="003C66EB" w:rsidRDefault="003C66EB">
            <w:pPr>
              <w:rPr>
                <w:rFonts w:ascii="宋体"/>
                <w:vanish/>
              </w:rPr>
            </w:pPr>
          </w:p>
        </w:tc>
        <w:tc>
          <w:tcPr>
            <w:tcW w:w="0" w:type="auto"/>
            <w:gridSpan w:val="3"/>
            <w:shd w:val="clear" w:color="auto" w:fill="auto"/>
          </w:tcPr>
          <w:p w14:paraId="5EA26AAD" w14:textId="77777777" w:rsidR="003C66EB" w:rsidRDefault="003C66EB">
            <w:pPr>
              <w:rPr>
                <w:rFonts w:ascii="宋体"/>
                <w:vanish/>
              </w:rPr>
            </w:pPr>
          </w:p>
        </w:tc>
      </w:tr>
      <w:tr w:rsidR="003C66EB" w14:paraId="5EA26AC5" w14:textId="77777777">
        <w:tc>
          <w:tcPr>
            <w:tcW w:w="0" w:type="auto"/>
            <w:gridSpan w:val="3"/>
            <w:shd w:val="clear" w:color="auto" w:fill="auto"/>
            <w:tcMar>
              <w:top w:w="0" w:type="dxa"/>
              <w:left w:w="20" w:type="dxa"/>
              <w:bottom w:w="0" w:type="dxa"/>
              <w:right w:w="20" w:type="dxa"/>
            </w:tcMar>
          </w:tcPr>
          <w:p w14:paraId="5EA26AAF" w14:textId="77777777" w:rsidR="003C66EB" w:rsidRDefault="003C66E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A26AB0"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Pr>
          <w:p w14:paraId="5EA26AB1" w14:textId="77777777" w:rsidR="003C66EB" w:rsidRDefault="003C66EB">
            <w:pPr>
              <w:rPr>
                <w:rFonts w:ascii="宋体"/>
                <w:vanish/>
              </w:rPr>
            </w:pPr>
          </w:p>
        </w:tc>
        <w:tc>
          <w:tcPr>
            <w:tcW w:w="0" w:type="auto"/>
            <w:shd w:val="clear" w:color="auto" w:fill="auto"/>
          </w:tcPr>
          <w:p w14:paraId="5EA26AB2" w14:textId="77777777" w:rsidR="003C66EB" w:rsidRDefault="003C66EB">
            <w:pPr>
              <w:rPr>
                <w:rFonts w:ascii="宋体"/>
                <w:vanish/>
              </w:rPr>
            </w:pPr>
          </w:p>
        </w:tc>
        <w:tc>
          <w:tcPr>
            <w:tcW w:w="0" w:type="auto"/>
            <w:shd w:val="clear" w:color="auto" w:fill="auto"/>
          </w:tcPr>
          <w:p w14:paraId="5EA26AB3" w14:textId="77777777" w:rsidR="003C66EB" w:rsidRDefault="003C66EB">
            <w:pPr>
              <w:rPr>
                <w:rFonts w:ascii="宋体"/>
              </w:rPr>
            </w:pPr>
          </w:p>
        </w:tc>
        <w:tc>
          <w:tcPr>
            <w:tcW w:w="0" w:type="auto"/>
            <w:shd w:val="clear" w:color="auto" w:fill="auto"/>
          </w:tcPr>
          <w:p w14:paraId="5EA26AB4" w14:textId="77777777" w:rsidR="003C66EB" w:rsidRDefault="003C66EB">
            <w:pPr>
              <w:rPr>
                <w:rFonts w:ascii="宋体"/>
              </w:rPr>
            </w:pPr>
          </w:p>
        </w:tc>
        <w:tc>
          <w:tcPr>
            <w:tcW w:w="0" w:type="auto"/>
            <w:shd w:val="clear" w:color="auto" w:fill="auto"/>
          </w:tcPr>
          <w:p w14:paraId="5EA26AB5" w14:textId="77777777" w:rsidR="003C66EB" w:rsidRDefault="003C66EB">
            <w:pPr>
              <w:rPr>
                <w:rFonts w:ascii="宋体"/>
              </w:rPr>
            </w:pPr>
          </w:p>
        </w:tc>
        <w:tc>
          <w:tcPr>
            <w:tcW w:w="0" w:type="auto"/>
            <w:shd w:val="clear" w:color="auto" w:fill="auto"/>
          </w:tcPr>
          <w:p w14:paraId="5EA26AB6" w14:textId="77777777" w:rsidR="003C66EB" w:rsidRDefault="003C66EB">
            <w:pPr>
              <w:rPr>
                <w:rFonts w:ascii="宋体"/>
              </w:rPr>
            </w:pPr>
          </w:p>
        </w:tc>
        <w:tc>
          <w:tcPr>
            <w:tcW w:w="0" w:type="auto"/>
            <w:shd w:val="clear" w:color="auto" w:fill="auto"/>
          </w:tcPr>
          <w:p w14:paraId="5EA26AB7" w14:textId="77777777" w:rsidR="003C66EB" w:rsidRDefault="003C66EB">
            <w:pPr>
              <w:rPr>
                <w:rFonts w:ascii="宋体"/>
              </w:rPr>
            </w:pPr>
          </w:p>
        </w:tc>
        <w:tc>
          <w:tcPr>
            <w:tcW w:w="0" w:type="auto"/>
            <w:shd w:val="clear" w:color="auto" w:fill="auto"/>
          </w:tcPr>
          <w:p w14:paraId="5EA26AB8" w14:textId="77777777" w:rsidR="003C66EB" w:rsidRDefault="003C66EB">
            <w:pPr>
              <w:rPr>
                <w:rFonts w:ascii="宋体"/>
              </w:rPr>
            </w:pPr>
          </w:p>
        </w:tc>
        <w:tc>
          <w:tcPr>
            <w:tcW w:w="0" w:type="auto"/>
            <w:shd w:val="clear" w:color="auto" w:fill="auto"/>
          </w:tcPr>
          <w:p w14:paraId="5EA26AB9" w14:textId="77777777" w:rsidR="003C66EB" w:rsidRDefault="003C66EB">
            <w:pPr>
              <w:rPr>
                <w:rFonts w:ascii="宋体"/>
              </w:rPr>
            </w:pPr>
          </w:p>
        </w:tc>
        <w:tc>
          <w:tcPr>
            <w:tcW w:w="0" w:type="auto"/>
            <w:shd w:val="clear" w:color="auto" w:fill="auto"/>
          </w:tcPr>
          <w:p w14:paraId="5EA26ABA" w14:textId="77777777" w:rsidR="003C66EB" w:rsidRDefault="003C66EB">
            <w:pPr>
              <w:rPr>
                <w:rFonts w:ascii="宋体"/>
              </w:rPr>
            </w:pPr>
          </w:p>
        </w:tc>
        <w:tc>
          <w:tcPr>
            <w:tcW w:w="0" w:type="auto"/>
            <w:shd w:val="clear" w:color="auto" w:fill="auto"/>
          </w:tcPr>
          <w:p w14:paraId="5EA26ABB" w14:textId="77777777" w:rsidR="003C66EB" w:rsidRDefault="003C66EB">
            <w:pPr>
              <w:rPr>
                <w:rFonts w:ascii="宋体"/>
              </w:rPr>
            </w:pPr>
          </w:p>
        </w:tc>
        <w:tc>
          <w:tcPr>
            <w:tcW w:w="0" w:type="auto"/>
            <w:shd w:val="clear" w:color="auto" w:fill="auto"/>
          </w:tcPr>
          <w:p w14:paraId="5EA26ABC" w14:textId="77777777" w:rsidR="003C66EB" w:rsidRDefault="003C66EB">
            <w:pPr>
              <w:rPr>
                <w:rFonts w:ascii="宋体"/>
              </w:rPr>
            </w:pPr>
          </w:p>
        </w:tc>
        <w:tc>
          <w:tcPr>
            <w:tcW w:w="0" w:type="auto"/>
            <w:shd w:val="clear" w:color="auto" w:fill="auto"/>
          </w:tcPr>
          <w:p w14:paraId="5EA26ABD" w14:textId="77777777" w:rsidR="003C66EB" w:rsidRDefault="003C66EB">
            <w:pPr>
              <w:rPr>
                <w:rFonts w:ascii="宋体"/>
              </w:rPr>
            </w:pPr>
          </w:p>
        </w:tc>
        <w:tc>
          <w:tcPr>
            <w:tcW w:w="0" w:type="auto"/>
            <w:shd w:val="clear" w:color="auto" w:fill="auto"/>
          </w:tcPr>
          <w:p w14:paraId="5EA26ABE" w14:textId="77777777" w:rsidR="003C66EB" w:rsidRDefault="003C66EB">
            <w:pPr>
              <w:rPr>
                <w:rFonts w:ascii="宋体"/>
              </w:rPr>
            </w:pPr>
          </w:p>
        </w:tc>
        <w:tc>
          <w:tcPr>
            <w:tcW w:w="0" w:type="auto"/>
            <w:shd w:val="clear" w:color="auto" w:fill="auto"/>
          </w:tcPr>
          <w:p w14:paraId="5EA26ABF" w14:textId="77777777" w:rsidR="003C66EB" w:rsidRDefault="003C66EB">
            <w:pPr>
              <w:rPr>
                <w:rFonts w:ascii="宋体"/>
              </w:rPr>
            </w:pPr>
          </w:p>
        </w:tc>
        <w:tc>
          <w:tcPr>
            <w:tcW w:w="0" w:type="auto"/>
            <w:shd w:val="clear" w:color="auto" w:fill="auto"/>
          </w:tcPr>
          <w:p w14:paraId="5EA26AC0" w14:textId="77777777" w:rsidR="003C66EB" w:rsidRDefault="003C66EB">
            <w:pPr>
              <w:rPr>
                <w:rFonts w:ascii="宋体"/>
              </w:rPr>
            </w:pPr>
          </w:p>
        </w:tc>
        <w:tc>
          <w:tcPr>
            <w:tcW w:w="0" w:type="auto"/>
            <w:shd w:val="clear" w:color="auto" w:fill="auto"/>
          </w:tcPr>
          <w:p w14:paraId="5EA26AC1" w14:textId="77777777" w:rsidR="003C66EB" w:rsidRDefault="003C66EB">
            <w:pPr>
              <w:rPr>
                <w:rFonts w:ascii="宋体"/>
              </w:rPr>
            </w:pPr>
          </w:p>
        </w:tc>
        <w:tc>
          <w:tcPr>
            <w:tcW w:w="0" w:type="auto"/>
            <w:shd w:val="clear" w:color="auto" w:fill="auto"/>
          </w:tcPr>
          <w:p w14:paraId="5EA26AC2" w14:textId="77777777" w:rsidR="003C66EB" w:rsidRDefault="003C66EB">
            <w:pPr>
              <w:rPr>
                <w:rFonts w:ascii="宋体"/>
              </w:rPr>
            </w:pPr>
          </w:p>
        </w:tc>
        <w:tc>
          <w:tcPr>
            <w:tcW w:w="0" w:type="auto"/>
            <w:shd w:val="clear" w:color="auto" w:fill="auto"/>
          </w:tcPr>
          <w:p w14:paraId="5EA26AC3" w14:textId="77777777" w:rsidR="003C66EB" w:rsidRDefault="003C66EB">
            <w:pPr>
              <w:rPr>
                <w:rFonts w:ascii="宋体"/>
              </w:rPr>
            </w:pPr>
          </w:p>
        </w:tc>
        <w:tc>
          <w:tcPr>
            <w:tcW w:w="0" w:type="auto"/>
            <w:shd w:val="clear" w:color="auto" w:fill="auto"/>
          </w:tcPr>
          <w:p w14:paraId="5EA26AC4" w14:textId="77777777" w:rsidR="003C66EB" w:rsidRDefault="003C66EB">
            <w:pPr>
              <w:rPr>
                <w:rFonts w:ascii="宋体"/>
              </w:rPr>
            </w:pPr>
          </w:p>
        </w:tc>
      </w:tr>
      <w:tr w:rsidR="003C66EB" w14:paraId="5EA26ADA" w14:textId="77777777">
        <w:tc>
          <w:tcPr>
            <w:tcW w:w="0" w:type="auto"/>
            <w:gridSpan w:val="3"/>
            <w:shd w:val="clear" w:color="auto" w:fill="auto"/>
            <w:tcMar>
              <w:top w:w="0" w:type="dxa"/>
              <w:left w:w="20" w:type="dxa"/>
              <w:bottom w:w="0" w:type="dxa"/>
              <w:right w:w="20" w:type="dxa"/>
            </w:tcMar>
          </w:tcPr>
          <w:p w14:paraId="5EA26AC6"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AC7"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6AC8" w14:textId="77777777" w:rsidR="003C66EB" w:rsidRDefault="003C66E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AC9" w14:textId="77777777" w:rsidR="003C66EB" w:rsidRDefault="00D96C4E">
            <w:pPr>
              <w:jc w:val="center"/>
              <w:textAlignment w:val="bottom"/>
            </w:pPr>
            <w:r>
              <w:rPr>
                <w:rFonts w:ascii="Arial" w:eastAsia="宋体" w:hAnsi="Arial" w:cs="Arial"/>
                <w:b/>
                <w:bCs/>
                <w:color w:val="000000"/>
                <w:sz w:val="14"/>
                <w:szCs w:val="14"/>
              </w:rPr>
              <w:t>2020</w:t>
            </w:r>
          </w:p>
        </w:tc>
        <w:tc>
          <w:tcPr>
            <w:tcW w:w="0" w:type="auto"/>
            <w:shd w:val="clear" w:color="auto" w:fill="auto"/>
          </w:tcPr>
          <w:p w14:paraId="5EA26ACA" w14:textId="77777777" w:rsidR="003C66EB" w:rsidRDefault="003C66EB">
            <w:pPr>
              <w:rPr>
                <w:rFonts w:ascii="宋体"/>
                <w:vanish/>
              </w:rPr>
            </w:pPr>
          </w:p>
        </w:tc>
        <w:tc>
          <w:tcPr>
            <w:tcW w:w="0" w:type="auto"/>
            <w:shd w:val="clear" w:color="auto" w:fill="auto"/>
          </w:tcPr>
          <w:p w14:paraId="5EA26ACB" w14:textId="77777777" w:rsidR="003C66EB" w:rsidRDefault="003C66EB">
            <w:pPr>
              <w:rPr>
                <w:rFonts w:ascii="宋体"/>
                <w:vanish/>
              </w:rPr>
            </w:pPr>
          </w:p>
        </w:tc>
        <w:tc>
          <w:tcPr>
            <w:tcW w:w="0" w:type="auto"/>
            <w:gridSpan w:val="3"/>
            <w:shd w:val="clear" w:color="auto" w:fill="auto"/>
          </w:tcPr>
          <w:p w14:paraId="5EA26ACC" w14:textId="77777777" w:rsidR="003C66EB" w:rsidRDefault="003C66EB">
            <w:pPr>
              <w:rPr>
                <w:rFonts w:ascii="宋体"/>
                <w:vanish/>
              </w:rPr>
            </w:pPr>
          </w:p>
        </w:tc>
        <w:tc>
          <w:tcPr>
            <w:tcW w:w="0" w:type="auto"/>
            <w:gridSpan w:val="3"/>
            <w:shd w:val="clear" w:color="auto" w:fill="auto"/>
          </w:tcPr>
          <w:p w14:paraId="5EA26ACD" w14:textId="77777777" w:rsidR="003C66EB" w:rsidRDefault="003C66EB">
            <w:pPr>
              <w:rPr>
                <w:rFonts w:ascii="宋体"/>
                <w:vanish/>
              </w:rPr>
            </w:pPr>
          </w:p>
        </w:tc>
        <w:tc>
          <w:tcPr>
            <w:tcW w:w="0" w:type="auto"/>
            <w:shd w:val="clear" w:color="auto" w:fill="auto"/>
          </w:tcPr>
          <w:p w14:paraId="5EA26ACE" w14:textId="77777777" w:rsidR="003C66EB" w:rsidRDefault="003C66EB">
            <w:pPr>
              <w:rPr>
                <w:rFonts w:ascii="宋体"/>
              </w:rPr>
            </w:pPr>
          </w:p>
        </w:tc>
        <w:tc>
          <w:tcPr>
            <w:tcW w:w="0" w:type="auto"/>
            <w:shd w:val="clear" w:color="auto" w:fill="auto"/>
          </w:tcPr>
          <w:p w14:paraId="5EA26ACF" w14:textId="77777777" w:rsidR="003C66EB" w:rsidRDefault="003C66EB">
            <w:pPr>
              <w:rPr>
                <w:rFonts w:ascii="宋体"/>
              </w:rPr>
            </w:pPr>
          </w:p>
        </w:tc>
        <w:tc>
          <w:tcPr>
            <w:tcW w:w="0" w:type="auto"/>
            <w:shd w:val="clear" w:color="auto" w:fill="auto"/>
          </w:tcPr>
          <w:p w14:paraId="5EA26AD0" w14:textId="77777777" w:rsidR="003C66EB" w:rsidRDefault="003C66EB">
            <w:pPr>
              <w:rPr>
                <w:rFonts w:ascii="宋体"/>
              </w:rPr>
            </w:pPr>
          </w:p>
        </w:tc>
        <w:tc>
          <w:tcPr>
            <w:tcW w:w="0" w:type="auto"/>
            <w:shd w:val="clear" w:color="auto" w:fill="auto"/>
          </w:tcPr>
          <w:p w14:paraId="5EA26AD1" w14:textId="77777777" w:rsidR="003C66EB" w:rsidRDefault="003C66EB">
            <w:pPr>
              <w:rPr>
                <w:rFonts w:ascii="宋体"/>
              </w:rPr>
            </w:pPr>
          </w:p>
        </w:tc>
        <w:tc>
          <w:tcPr>
            <w:tcW w:w="0" w:type="auto"/>
            <w:shd w:val="clear" w:color="auto" w:fill="auto"/>
          </w:tcPr>
          <w:p w14:paraId="5EA26AD2" w14:textId="77777777" w:rsidR="003C66EB" w:rsidRDefault="003C66EB">
            <w:pPr>
              <w:rPr>
                <w:rFonts w:ascii="宋体"/>
              </w:rPr>
            </w:pPr>
          </w:p>
        </w:tc>
        <w:tc>
          <w:tcPr>
            <w:tcW w:w="0" w:type="auto"/>
            <w:shd w:val="clear" w:color="auto" w:fill="auto"/>
          </w:tcPr>
          <w:p w14:paraId="5EA26AD3" w14:textId="77777777" w:rsidR="003C66EB" w:rsidRDefault="003C66EB">
            <w:pPr>
              <w:rPr>
                <w:rFonts w:ascii="宋体"/>
              </w:rPr>
            </w:pPr>
          </w:p>
        </w:tc>
        <w:tc>
          <w:tcPr>
            <w:tcW w:w="0" w:type="auto"/>
            <w:shd w:val="clear" w:color="auto" w:fill="auto"/>
          </w:tcPr>
          <w:p w14:paraId="5EA26AD4" w14:textId="77777777" w:rsidR="003C66EB" w:rsidRDefault="003C66EB">
            <w:pPr>
              <w:rPr>
                <w:rFonts w:ascii="宋体"/>
              </w:rPr>
            </w:pPr>
          </w:p>
        </w:tc>
        <w:tc>
          <w:tcPr>
            <w:tcW w:w="0" w:type="auto"/>
            <w:shd w:val="clear" w:color="auto" w:fill="auto"/>
          </w:tcPr>
          <w:p w14:paraId="5EA26AD5" w14:textId="77777777" w:rsidR="003C66EB" w:rsidRDefault="003C66EB">
            <w:pPr>
              <w:rPr>
                <w:rFonts w:ascii="宋体"/>
              </w:rPr>
            </w:pPr>
          </w:p>
        </w:tc>
        <w:tc>
          <w:tcPr>
            <w:tcW w:w="0" w:type="auto"/>
            <w:shd w:val="clear" w:color="auto" w:fill="auto"/>
          </w:tcPr>
          <w:p w14:paraId="5EA26AD6" w14:textId="77777777" w:rsidR="003C66EB" w:rsidRDefault="003C66EB">
            <w:pPr>
              <w:rPr>
                <w:rFonts w:ascii="宋体"/>
              </w:rPr>
            </w:pPr>
          </w:p>
        </w:tc>
        <w:tc>
          <w:tcPr>
            <w:tcW w:w="0" w:type="auto"/>
            <w:shd w:val="clear" w:color="auto" w:fill="auto"/>
          </w:tcPr>
          <w:p w14:paraId="5EA26AD7" w14:textId="77777777" w:rsidR="003C66EB" w:rsidRDefault="003C66EB">
            <w:pPr>
              <w:rPr>
                <w:rFonts w:ascii="宋体"/>
              </w:rPr>
            </w:pPr>
          </w:p>
        </w:tc>
        <w:tc>
          <w:tcPr>
            <w:tcW w:w="0" w:type="auto"/>
            <w:shd w:val="clear" w:color="auto" w:fill="auto"/>
          </w:tcPr>
          <w:p w14:paraId="5EA26AD8" w14:textId="77777777" w:rsidR="003C66EB" w:rsidRDefault="003C66EB">
            <w:pPr>
              <w:rPr>
                <w:rFonts w:ascii="宋体"/>
              </w:rPr>
            </w:pPr>
          </w:p>
        </w:tc>
        <w:tc>
          <w:tcPr>
            <w:tcW w:w="0" w:type="auto"/>
            <w:shd w:val="clear" w:color="auto" w:fill="auto"/>
          </w:tcPr>
          <w:p w14:paraId="5EA26AD9" w14:textId="77777777" w:rsidR="003C66EB" w:rsidRDefault="003C66EB">
            <w:pPr>
              <w:rPr>
                <w:rFonts w:ascii="宋体"/>
              </w:rPr>
            </w:pPr>
          </w:p>
        </w:tc>
      </w:tr>
      <w:tr w:rsidR="003C66EB" w14:paraId="5EA26AED" w14:textId="77777777">
        <w:tc>
          <w:tcPr>
            <w:tcW w:w="0" w:type="auto"/>
            <w:gridSpan w:val="3"/>
            <w:shd w:val="clear" w:color="auto" w:fill="FFFFFF"/>
            <w:tcMar>
              <w:top w:w="0" w:type="dxa"/>
              <w:left w:w="20" w:type="dxa"/>
              <w:bottom w:w="0" w:type="dxa"/>
              <w:right w:w="20" w:type="dxa"/>
            </w:tcMar>
          </w:tcPr>
          <w:p w14:paraId="5EA26AD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DC" w14:textId="77777777" w:rsidR="003C66EB" w:rsidRDefault="00D96C4E">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AD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DE" w14:textId="77777777" w:rsidR="003C66EB" w:rsidRDefault="00D96C4E">
            <w:pPr>
              <w:jc w:val="center"/>
              <w:textAlignment w:val="bottom"/>
            </w:pPr>
            <w:r>
              <w:rPr>
                <w:rFonts w:ascii="Arial" w:eastAsia="宋体" w:hAnsi="Arial" w:cs="Arial"/>
                <w:b/>
                <w:bCs/>
                <w:color w:val="000000"/>
                <w:sz w:val="14"/>
                <w:szCs w:val="14"/>
              </w:rPr>
              <w:t xml:space="preserve">Total </w:t>
            </w:r>
          </w:p>
          <w:p w14:paraId="5EA26ADF" w14:textId="77777777" w:rsidR="003C66EB" w:rsidRDefault="00D96C4E">
            <w:pPr>
              <w:jc w:val="center"/>
              <w:textAlignment w:val="bottom"/>
            </w:pPr>
            <w:r>
              <w:rPr>
                <w:rFonts w:ascii="Arial" w:eastAsia="宋体" w:hAnsi="Arial" w:cs="Arial"/>
                <w:b/>
                <w:bCs/>
                <w:color w:val="000000"/>
                <w:sz w:val="14"/>
                <w:szCs w:val="14"/>
              </w:rPr>
              <w:t>(In millions)</w:t>
            </w:r>
          </w:p>
        </w:tc>
        <w:tc>
          <w:tcPr>
            <w:tcW w:w="0" w:type="auto"/>
            <w:gridSpan w:val="3"/>
            <w:shd w:val="clear" w:color="auto" w:fill="auto"/>
            <w:tcMar>
              <w:top w:w="0" w:type="dxa"/>
              <w:left w:w="20" w:type="dxa"/>
              <w:bottom w:w="0" w:type="dxa"/>
              <w:right w:w="20" w:type="dxa"/>
            </w:tcMar>
          </w:tcPr>
          <w:p w14:paraId="5EA26AE0"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E1" w14:textId="77777777" w:rsidR="003C66EB" w:rsidRDefault="00D96C4E">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5EA26AE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AE3" w14:textId="77777777" w:rsidR="003C66EB" w:rsidRDefault="00D96C4E">
            <w:pPr>
              <w:jc w:val="center"/>
              <w:textAlignment w:val="bottom"/>
            </w:pPr>
            <w:r>
              <w:rPr>
                <w:rFonts w:ascii="Arial" w:eastAsia="宋体" w:hAnsi="Arial" w:cs="Arial"/>
                <w:b/>
                <w:bCs/>
                <w:color w:val="000000"/>
                <w:sz w:val="14"/>
                <w:szCs w:val="14"/>
              </w:rPr>
              <w:t xml:space="preserve">Total </w:t>
            </w:r>
          </w:p>
          <w:p w14:paraId="5EA26AE4" w14:textId="77777777" w:rsidR="003C66EB" w:rsidRDefault="00D96C4E">
            <w:pPr>
              <w:jc w:val="cente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shd w:val="clear" w:color="auto" w:fill="auto"/>
          </w:tcPr>
          <w:p w14:paraId="5EA26AE5" w14:textId="77777777" w:rsidR="003C66EB" w:rsidRDefault="003C66EB">
            <w:pPr>
              <w:rPr>
                <w:rFonts w:ascii="宋体"/>
                <w:vanish/>
              </w:rPr>
            </w:pPr>
          </w:p>
        </w:tc>
        <w:tc>
          <w:tcPr>
            <w:tcW w:w="0" w:type="auto"/>
            <w:shd w:val="clear" w:color="auto" w:fill="auto"/>
          </w:tcPr>
          <w:p w14:paraId="5EA26AE6" w14:textId="77777777" w:rsidR="003C66EB" w:rsidRDefault="003C66EB">
            <w:pPr>
              <w:rPr>
                <w:rFonts w:ascii="宋体"/>
                <w:vanish/>
              </w:rPr>
            </w:pPr>
          </w:p>
        </w:tc>
        <w:tc>
          <w:tcPr>
            <w:tcW w:w="0" w:type="auto"/>
            <w:gridSpan w:val="3"/>
            <w:shd w:val="clear" w:color="auto" w:fill="auto"/>
          </w:tcPr>
          <w:p w14:paraId="5EA26AE7" w14:textId="77777777" w:rsidR="003C66EB" w:rsidRDefault="003C66EB">
            <w:pPr>
              <w:rPr>
                <w:rFonts w:ascii="宋体"/>
                <w:vanish/>
              </w:rPr>
            </w:pPr>
          </w:p>
        </w:tc>
        <w:tc>
          <w:tcPr>
            <w:tcW w:w="0" w:type="auto"/>
            <w:gridSpan w:val="3"/>
            <w:shd w:val="clear" w:color="auto" w:fill="auto"/>
          </w:tcPr>
          <w:p w14:paraId="5EA26AE8" w14:textId="77777777" w:rsidR="003C66EB" w:rsidRDefault="003C66EB">
            <w:pPr>
              <w:rPr>
                <w:rFonts w:ascii="宋体"/>
                <w:vanish/>
              </w:rPr>
            </w:pPr>
          </w:p>
        </w:tc>
        <w:tc>
          <w:tcPr>
            <w:tcW w:w="0" w:type="auto"/>
            <w:gridSpan w:val="3"/>
            <w:shd w:val="clear" w:color="auto" w:fill="auto"/>
          </w:tcPr>
          <w:p w14:paraId="5EA26AE9" w14:textId="77777777" w:rsidR="003C66EB" w:rsidRDefault="003C66EB">
            <w:pPr>
              <w:rPr>
                <w:rFonts w:ascii="宋体"/>
                <w:vanish/>
              </w:rPr>
            </w:pPr>
          </w:p>
        </w:tc>
        <w:tc>
          <w:tcPr>
            <w:tcW w:w="0" w:type="auto"/>
            <w:gridSpan w:val="3"/>
            <w:shd w:val="clear" w:color="auto" w:fill="auto"/>
          </w:tcPr>
          <w:p w14:paraId="5EA26AEA" w14:textId="77777777" w:rsidR="003C66EB" w:rsidRDefault="003C66EB">
            <w:pPr>
              <w:rPr>
                <w:rFonts w:ascii="宋体"/>
                <w:vanish/>
              </w:rPr>
            </w:pPr>
          </w:p>
        </w:tc>
        <w:tc>
          <w:tcPr>
            <w:tcW w:w="0" w:type="auto"/>
            <w:gridSpan w:val="3"/>
            <w:shd w:val="clear" w:color="auto" w:fill="auto"/>
          </w:tcPr>
          <w:p w14:paraId="5EA26AEB" w14:textId="77777777" w:rsidR="003C66EB" w:rsidRDefault="003C66EB">
            <w:pPr>
              <w:rPr>
                <w:rFonts w:ascii="宋体"/>
                <w:vanish/>
              </w:rPr>
            </w:pPr>
          </w:p>
        </w:tc>
        <w:tc>
          <w:tcPr>
            <w:tcW w:w="0" w:type="auto"/>
            <w:gridSpan w:val="3"/>
            <w:shd w:val="clear" w:color="auto" w:fill="auto"/>
          </w:tcPr>
          <w:p w14:paraId="5EA26AEC" w14:textId="77777777" w:rsidR="003C66EB" w:rsidRDefault="003C66EB">
            <w:pPr>
              <w:rPr>
                <w:rFonts w:ascii="宋体"/>
                <w:vanish/>
              </w:rPr>
            </w:pPr>
          </w:p>
        </w:tc>
      </w:tr>
      <w:tr w:rsidR="003C66EB" w14:paraId="5EA26B06" w14:textId="77777777">
        <w:tc>
          <w:tcPr>
            <w:tcW w:w="0" w:type="auto"/>
            <w:gridSpan w:val="3"/>
            <w:shd w:val="clear" w:color="auto" w:fill="CCEEFF"/>
            <w:tcMar>
              <w:top w:w="40" w:type="dxa"/>
              <w:left w:w="20" w:type="dxa"/>
              <w:bottom w:w="40" w:type="dxa"/>
              <w:right w:w="20" w:type="dxa"/>
            </w:tcMar>
            <w:vAlign w:val="bottom"/>
          </w:tcPr>
          <w:p w14:paraId="5EA26AEE" w14:textId="77777777" w:rsidR="003C66EB" w:rsidRDefault="00D96C4E">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6AE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AF0" w14:textId="77777777" w:rsidR="003C66EB" w:rsidRDefault="00D96C4E">
            <w:pPr>
              <w:jc w:val="right"/>
              <w:textAlignment w:val="bottom"/>
            </w:pPr>
            <w:r>
              <w:rPr>
                <w:rFonts w:ascii="Arial" w:eastAsia="宋体" w:hAnsi="Arial" w:cs="Arial"/>
                <w:b/>
                <w:bCs/>
                <w:color w:val="000000"/>
                <w:sz w:val="14"/>
                <w:szCs w:val="14"/>
              </w:rPr>
              <w:t>0.52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F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AF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AF3"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AF4" w14:textId="77777777" w:rsidR="003C66EB" w:rsidRDefault="00D96C4E">
            <w:pPr>
              <w:jc w:val="right"/>
              <w:textAlignment w:val="bottom"/>
            </w:pPr>
            <w:r>
              <w:rPr>
                <w:rFonts w:ascii="Arial" w:eastAsia="宋体" w:hAnsi="Arial" w:cs="Arial"/>
                <w:b/>
                <w:bCs/>
                <w:color w:val="000000"/>
                <w:sz w:val="14"/>
                <w:szCs w:val="14"/>
              </w:rPr>
              <w:t>182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F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AF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AF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AF8" w14:textId="77777777" w:rsidR="003C66EB" w:rsidRDefault="00D96C4E">
            <w:pPr>
              <w:jc w:val="right"/>
              <w:textAlignment w:val="bottom"/>
            </w:pPr>
            <w:r>
              <w:rPr>
                <w:rFonts w:ascii="Arial" w:eastAsia="宋体" w:hAnsi="Arial" w:cs="Arial"/>
                <w:color w:val="000000"/>
                <w:sz w:val="14"/>
                <w:szCs w:val="14"/>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F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AF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AF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AFC" w14:textId="77777777" w:rsidR="003C66EB" w:rsidRDefault="00D96C4E">
            <w:pPr>
              <w:jc w:val="right"/>
              <w:textAlignment w:val="bottom"/>
            </w:pPr>
            <w:r>
              <w:rPr>
                <w:rFonts w:ascii="Arial" w:eastAsia="宋体" w:hAnsi="Arial" w:cs="Arial"/>
                <w:color w:val="000000"/>
                <w:sz w:val="14"/>
                <w:szCs w:val="14"/>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AFD" w14:textId="77777777" w:rsidR="003C66EB" w:rsidRDefault="003C66EB">
            <w:pPr>
              <w:jc w:val="right"/>
              <w:rPr>
                <w:rFonts w:ascii="宋体"/>
              </w:rPr>
            </w:pPr>
          </w:p>
        </w:tc>
        <w:tc>
          <w:tcPr>
            <w:tcW w:w="0" w:type="auto"/>
            <w:shd w:val="clear" w:color="auto" w:fill="auto"/>
          </w:tcPr>
          <w:p w14:paraId="5EA26AFE" w14:textId="77777777" w:rsidR="003C66EB" w:rsidRDefault="003C66EB">
            <w:pPr>
              <w:rPr>
                <w:rFonts w:ascii="宋体"/>
                <w:vanish/>
              </w:rPr>
            </w:pPr>
          </w:p>
        </w:tc>
        <w:tc>
          <w:tcPr>
            <w:tcW w:w="0" w:type="auto"/>
            <w:shd w:val="clear" w:color="auto" w:fill="auto"/>
          </w:tcPr>
          <w:p w14:paraId="5EA26AFF" w14:textId="77777777" w:rsidR="003C66EB" w:rsidRDefault="003C66EB">
            <w:pPr>
              <w:rPr>
                <w:rFonts w:ascii="宋体"/>
                <w:vanish/>
              </w:rPr>
            </w:pPr>
          </w:p>
        </w:tc>
        <w:tc>
          <w:tcPr>
            <w:tcW w:w="0" w:type="auto"/>
            <w:gridSpan w:val="3"/>
            <w:shd w:val="clear" w:color="auto" w:fill="auto"/>
          </w:tcPr>
          <w:p w14:paraId="5EA26B00" w14:textId="77777777" w:rsidR="003C66EB" w:rsidRDefault="003C66EB">
            <w:pPr>
              <w:rPr>
                <w:rFonts w:ascii="宋体"/>
                <w:vanish/>
              </w:rPr>
            </w:pPr>
          </w:p>
        </w:tc>
        <w:tc>
          <w:tcPr>
            <w:tcW w:w="0" w:type="auto"/>
            <w:gridSpan w:val="3"/>
            <w:shd w:val="clear" w:color="auto" w:fill="auto"/>
          </w:tcPr>
          <w:p w14:paraId="5EA26B01" w14:textId="77777777" w:rsidR="003C66EB" w:rsidRDefault="003C66EB">
            <w:pPr>
              <w:rPr>
                <w:rFonts w:ascii="宋体"/>
                <w:vanish/>
              </w:rPr>
            </w:pPr>
          </w:p>
        </w:tc>
        <w:tc>
          <w:tcPr>
            <w:tcW w:w="0" w:type="auto"/>
            <w:gridSpan w:val="3"/>
            <w:shd w:val="clear" w:color="auto" w:fill="auto"/>
          </w:tcPr>
          <w:p w14:paraId="5EA26B02" w14:textId="77777777" w:rsidR="003C66EB" w:rsidRDefault="003C66EB">
            <w:pPr>
              <w:rPr>
                <w:rFonts w:ascii="宋体"/>
                <w:vanish/>
              </w:rPr>
            </w:pPr>
          </w:p>
        </w:tc>
        <w:tc>
          <w:tcPr>
            <w:tcW w:w="0" w:type="auto"/>
            <w:gridSpan w:val="3"/>
            <w:shd w:val="clear" w:color="auto" w:fill="auto"/>
          </w:tcPr>
          <w:p w14:paraId="5EA26B03" w14:textId="77777777" w:rsidR="003C66EB" w:rsidRDefault="003C66EB">
            <w:pPr>
              <w:rPr>
                <w:rFonts w:ascii="宋体"/>
                <w:vanish/>
              </w:rPr>
            </w:pPr>
          </w:p>
        </w:tc>
        <w:tc>
          <w:tcPr>
            <w:tcW w:w="0" w:type="auto"/>
            <w:gridSpan w:val="3"/>
            <w:shd w:val="clear" w:color="auto" w:fill="auto"/>
          </w:tcPr>
          <w:p w14:paraId="5EA26B04" w14:textId="77777777" w:rsidR="003C66EB" w:rsidRDefault="003C66EB">
            <w:pPr>
              <w:rPr>
                <w:rFonts w:ascii="宋体"/>
                <w:vanish/>
              </w:rPr>
            </w:pPr>
          </w:p>
        </w:tc>
        <w:tc>
          <w:tcPr>
            <w:tcW w:w="0" w:type="auto"/>
            <w:gridSpan w:val="3"/>
            <w:shd w:val="clear" w:color="auto" w:fill="auto"/>
          </w:tcPr>
          <w:p w14:paraId="5EA26B05" w14:textId="77777777" w:rsidR="003C66EB" w:rsidRDefault="003C66EB">
            <w:pPr>
              <w:rPr>
                <w:rFonts w:ascii="宋体"/>
                <w:vanish/>
              </w:rPr>
            </w:pPr>
          </w:p>
        </w:tc>
      </w:tr>
      <w:tr w:rsidR="003C66EB" w14:paraId="5EA26B17" w14:textId="77777777">
        <w:trPr>
          <w:trHeight w:val="100"/>
        </w:trPr>
        <w:tc>
          <w:tcPr>
            <w:tcW w:w="0" w:type="auto"/>
            <w:gridSpan w:val="3"/>
            <w:shd w:val="clear" w:color="auto" w:fill="auto"/>
            <w:tcMar>
              <w:top w:w="0" w:type="dxa"/>
              <w:left w:w="20" w:type="dxa"/>
              <w:bottom w:w="0" w:type="dxa"/>
              <w:right w:w="20" w:type="dxa"/>
            </w:tcMar>
          </w:tcPr>
          <w:p w14:paraId="5EA26B0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B0E" w14:textId="77777777" w:rsidR="003C66EB" w:rsidRDefault="003C66EB">
            <w:pPr>
              <w:rPr>
                <w:rFonts w:ascii="宋体"/>
              </w:rPr>
            </w:pPr>
          </w:p>
        </w:tc>
        <w:tc>
          <w:tcPr>
            <w:tcW w:w="0" w:type="auto"/>
            <w:shd w:val="clear" w:color="auto" w:fill="auto"/>
          </w:tcPr>
          <w:p w14:paraId="5EA26B0F" w14:textId="77777777" w:rsidR="003C66EB" w:rsidRDefault="003C66EB">
            <w:pPr>
              <w:rPr>
                <w:rFonts w:ascii="宋体"/>
                <w:vanish/>
              </w:rPr>
            </w:pPr>
          </w:p>
        </w:tc>
        <w:tc>
          <w:tcPr>
            <w:tcW w:w="0" w:type="auto"/>
            <w:shd w:val="clear" w:color="auto" w:fill="auto"/>
          </w:tcPr>
          <w:p w14:paraId="5EA26B10" w14:textId="77777777" w:rsidR="003C66EB" w:rsidRDefault="003C66EB">
            <w:pPr>
              <w:rPr>
                <w:rFonts w:ascii="宋体"/>
                <w:vanish/>
              </w:rPr>
            </w:pPr>
          </w:p>
        </w:tc>
        <w:tc>
          <w:tcPr>
            <w:tcW w:w="0" w:type="auto"/>
            <w:gridSpan w:val="3"/>
            <w:shd w:val="clear" w:color="auto" w:fill="auto"/>
          </w:tcPr>
          <w:p w14:paraId="5EA26B11" w14:textId="77777777" w:rsidR="003C66EB" w:rsidRDefault="003C66EB">
            <w:pPr>
              <w:rPr>
                <w:rFonts w:ascii="宋体"/>
                <w:vanish/>
              </w:rPr>
            </w:pPr>
          </w:p>
        </w:tc>
        <w:tc>
          <w:tcPr>
            <w:tcW w:w="0" w:type="auto"/>
            <w:gridSpan w:val="3"/>
            <w:shd w:val="clear" w:color="auto" w:fill="auto"/>
          </w:tcPr>
          <w:p w14:paraId="5EA26B12" w14:textId="77777777" w:rsidR="003C66EB" w:rsidRDefault="003C66EB">
            <w:pPr>
              <w:rPr>
                <w:rFonts w:ascii="宋体"/>
                <w:vanish/>
              </w:rPr>
            </w:pPr>
          </w:p>
        </w:tc>
        <w:tc>
          <w:tcPr>
            <w:tcW w:w="0" w:type="auto"/>
            <w:gridSpan w:val="3"/>
            <w:shd w:val="clear" w:color="auto" w:fill="auto"/>
          </w:tcPr>
          <w:p w14:paraId="5EA26B13" w14:textId="77777777" w:rsidR="003C66EB" w:rsidRDefault="003C66EB">
            <w:pPr>
              <w:rPr>
                <w:rFonts w:ascii="宋体"/>
                <w:vanish/>
              </w:rPr>
            </w:pPr>
          </w:p>
        </w:tc>
        <w:tc>
          <w:tcPr>
            <w:tcW w:w="0" w:type="auto"/>
            <w:gridSpan w:val="3"/>
            <w:shd w:val="clear" w:color="auto" w:fill="auto"/>
          </w:tcPr>
          <w:p w14:paraId="5EA26B14" w14:textId="77777777" w:rsidR="003C66EB" w:rsidRDefault="003C66EB">
            <w:pPr>
              <w:rPr>
                <w:rFonts w:ascii="宋体"/>
                <w:vanish/>
              </w:rPr>
            </w:pPr>
          </w:p>
        </w:tc>
        <w:tc>
          <w:tcPr>
            <w:tcW w:w="0" w:type="auto"/>
            <w:gridSpan w:val="3"/>
            <w:shd w:val="clear" w:color="auto" w:fill="auto"/>
          </w:tcPr>
          <w:p w14:paraId="5EA26B15" w14:textId="77777777" w:rsidR="003C66EB" w:rsidRDefault="003C66EB">
            <w:pPr>
              <w:rPr>
                <w:rFonts w:ascii="宋体"/>
                <w:vanish/>
              </w:rPr>
            </w:pPr>
          </w:p>
        </w:tc>
        <w:tc>
          <w:tcPr>
            <w:tcW w:w="0" w:type="auto"/>
            <w:gridSpan w:val="3"/>
            <w:shd w:val="clear" w:color="auto" w:fill="auto"/>
          </w:tcPr>
          <w:p w14:paraId="5EA26B16" w14:textId="77777777" w:rsidR="003C66EB" w:rsidRDefault="003C66EB">
            <w:pPr>
              <w:rPr>
                <w:rFonts w:ascii="宋体"/>
                <w:vanish/>
              </w:rPr>
            </w:pPr>
          </w:p>
        </w:tc>
      </w:tr>
    </w:tbl>
    <w:p w14:paraId="5EA26B18" w14:textId="77777777" w:rsidR="003C66EB" w:rsidRDefault="00D96C4E">
      <w:pPr>
        <w:spacing w:before="60"/>
      </w:pPr>
      <w:r>
        <w:rPr>
          <w:rFonts w:ascii="Arial" w:eastAsia="宋体" w:hAnsi="Arial" w:cs="Arial"/>
          <w:b/>
          <w:bCs/>
          <w:i/>
          <w:iCs/>
          <w:color w:val="000000"/>
          <w:sz w:val="20"/>
          <w:szCs w:val="20"/>
        </w:rPr>
        <w:t>Accumulated Other Comprehensive Income (Loss)</w:t>
      </w:r>
    </w:p>
    <w:p w14:paraId="5EA26B19" w14:textId="77777777" w:rsidR="003C66EB" w:rsidRDefault="00D96C4E">
      <w:pPr>
        <w:spacing w:before="60"/>
        <w:ind w:firstLine="450"/>
      </w:pPr>
      <w:r>
        <w:rPr>
          <w:rFonts w:ascii="Arial" w:eastAsia="宋体" w:hAnsi="Arial" w:cs="Arial"/>
          <w:color w:val="000000"/>
          <w:sz w:val="20"/>
          <w:szCs w:val="20"/>
        </w:rPr>
        <w:t xml:space="preserve">The following </w:t>
      </w:r>
      <w:r>
        <w:rPr>
          <w:rFonts w:ascii="Arial" w:eastAsia="宋体" w:hAnsi="Arial" w:cs="Arial"/>
          <w:color w:val="000000"/>
          <w:sz w:val="20"/>
          <w:szCs w:val="20"/>
        </w:rPr>
        <w:t>table presents the after-tax components of AOCI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8"/>
        <w:gridCol w:w="5484"/>
        <w:gridCol w:w="39"/>
        <w:gridCol w:w="93"/>
        <w:gridCol w:w="1134"/>
        <w:gridCol w:w="36"/>
        <w:gridCol w:w="36"/>
        <w:gridCol w:w="36"/>
        <w:gridCol w:w="36"/>
        <w:gridCol w:w="94"/>
        <w:gridCol w:w="1108"/>
        <w:gridCol w:w="36"/>
        <w:gridCol w:w="36"/>
        <w:gridCol w:w="36"/>
        <w:gridCol w:w="36"/>
        <w:gridCol w:w="36"/>
      </w:tblGrid>
      <w:tr w:rsidR="003C66EB" w14:paraId="5EA26B2A" w14:textId="77777777">
        <w:tc>
          <w:tcPr>
            <w:tcW w:w="50" w:type="pct"/>
            <w:shd w:val="clear" w:color="auto" w:fill="auto"/>
          </w:tcPr>
          <w:p w14:paraId="5EA26B1A" w14:textId="77777777" w:rsidR="003C66EB" w:rsidRDefault="003C66EB">
            <w:pPr>
              <w:rPr>
                <w:rFonts w:ascii="宋体"/>
              </w:rPr>
            </w:pPr>
          </w:p>
        </w:tc>
        <w:tc>
          <w:tcPr>
            <w:tcW w:w="3371" w:type="pct"/>
            <w:shd w:val="clear" w:color="auto" w:fill="auto"/>
          </w:tcPr>
          <w:p w14:paraId="5EA26B1B" w14:textId="77777777" w:rsidR="003C66EB" w:rsidRDefault="003C66EB">
            <w:pPr>
              <w:rPr>
                <w:rFonts w:ascii="宋体"/>
              </w:rPr>
            </w:pPr>
          </w:p>
        </w:tc>
        <w:tc>
          <w:tcPr>
            <w:tcW w:w="5" w:type="pct"/>
            <w:shd w:val="clear" w:color="auto" w:fill="auto"/>
          </w:tcPr>
          <w:p w14:paraId="5EA26B1C" w14:textId="77777777" w:rsidR="003C66EB" w:rsidRDefault="003C66EB">
            <w:pPr>
              <w:rPr>
                <w:rFonts w:ascii="宋体"/>
              </w:rPr>
            </w:pPr>
          </w:p>
        </w:tc>
        <w:tc>
          <w:tcPr>
            <w:tcW w:w="50" w:type="pct"/>
            <w:shd w:val="clear" w:color="auto" w:fill="auto"/>
          </w:tcPr>
          <w:p w14:paraId="5EA26B1D" w14:textId="77777777" w:rsidR="003C66EB" w:rsidRDefault="003C66EB">
            <w:pPr>
              <w:rPr>
                <w:rFonts w:ascii="宋体"/>
              </w:rPr>
            </w:pPr>
          </w:p>
        </w:tc>
        <w:tc>
          <w:tcPr>
            <w:tcW w:w="713" w:type="pct"/>
            <w:shd w:val="clear" w:color="auto" w:fill="auto"/>
          </w:tcPr>
          <w:p w14:paraId="5EA26B1E" w14:textId="77777777" w:rsidR="003C66EB" w:rsidRDefault="003C66EB">
            <w:pPr>
              <w:rPr>
                <w:rFonts w:ascii="宋体"/>
              </w:rPr>
            </w:pPr>
          </w:p>
        </w:tc>
        <w:tc>
          <w:tcPr>
            <w:tcW w:w="5" w:type="pct"/>
            <w:shd w:val="clear" w:color="auto" w:fill="auto"/>
          </w:tcPr>
          <w:p w14:paraId="5EA26B1F" w14:textId="77777777" w:rsidR="003C66EB" w:rsidRDefault="003C66EB">
            <w:pPr>
              <w:rPr>
                <w:rFonts w:ascii="宋体"/>
              </w:rPr>
            </w:pPr>
          </w:p>
        </w:tc>
        <w:tc>
          <w:tcPr>
            <w:tcW w:w="5" w:type="pct"/>
            <w:shd w:val="clear" w:color="auto" w:fill="auto"/>
          </w:tcPr>
          <w:p w14:paraId="5EA26B20" w14:textId="77777777" w:rsidR="003C66EB" w:rsidRDefault="003C66EB">
            <w:pPr>
              <w:rPr>
                <w:rFonts w:ascii="宋体"/>
              </w:rPr>
            </w:pPr>
          </w:p>
        </w:tc>
        <w:tc>
          <w:tcPr>
            <w:tcW w:w="26" w:type="pct"/>
            <w:shd w:val="clear" w:color="auto" w:fill="auto"/>
          </w:tcPr>
          <w:p w14:paraId="5EA26B21" w14:textId="77777777" w:rsidR="003C66EB" w:rsidRDefault="003C66EB">
            <w:pPr>
              <w:rPr>
                <w:rFonts w:ascii="宋体"/>
              </w:rPr>
            </w:pPr>
          </w:p>
        </w:tc>
        <w:tc>
          <w:tcPr>
            <w:tcW w:w="5" w:type="pct"/>
            <w:shd w:val="clear" w:color="auto" w:fill="auto"/>
          </w:tcPr>
          <w:p w14:paraId="5EA26B22" w14:textId="77777777" w:rsidR="003C66EB" w:rsidRDefault="003C66EB">
            <w:pPr>
              <w:rPr>
                <w:rFonts w:ascii="宋体"/>
              </w:rPr>
            </w:pPr>
          </w:p>
        </w:tc>
        <w:tc>
          <w:tcPr>
            <w:tcW w:w="50" w:type="pct"/>
            <w:shd w:val="clear" w:color="auto" w:fill="auto"/>
          </w:tcPr>
          <w:p w14:paraId="5EA26B23" w14:textId="77777777" w:rsidR="003C66EB" w:rsidRDefault="003C66EB">
            <w:pPr>
              <w:rPr>
                <w:rFonts w:ascii="宋体"/>
              </w:rPr>
            </w:pPr>
          </w:p>
        </w:tc>
        <w:tc>
          <w:tcPr>
            <w:tcW w:w="713" w:type="pct"/>
            <w:shd w:val="clear" w:color="auto" w:fill="auto"/>
          </w:tcPr>
          <w:p w14:paraId="5EA26B24" w14:textId="77777777" w:rsidR="003C66EB" w:rsidRDefault="003C66EB">
            <w:pPr>
              <w:rPr>
                <w:rFonts w:ascii="宋体"/>
              </w:rPr>
            </w:pPr>
          </w:p>
        </w:tc>
        <w:tc>
          <w:tcPr>
            <w:tcW w:w="5" w:type="pct"/>
            <w:shd w:val="clear" w:color="auto" w:fill="auto"/>
          </w:tcPr>
          <w:p w14:paraId="5EA26B25" w14:textId="77777777" w:rsidR="003C66EB" w:rsidRDefault="003C66EB">
            <w:pPr>
              <w:rPr>
                <w:rFonts w:ascii="宋体"/>
              </w:rPr>
            </w:pPr>
          </w:p>
        </w:tc>
        <w:tc>
          <w:tcPr>
            <w:tcW w:w="0" w:type="auto"/>
            <w:shd w:val="clear" w:color="auto" w:fill="auto"/>
          </w:tcPr>
          <w:p w14:paraId="5EA26B26" w14:textId="77777777" w:rsidR="003C66EB" w:rsidRDefault="003C66EB">
            <w:pPr>
              <w:rPr>
                <w:rFonts w:ascii="宋体"/>
                <w:vanish/>
              </w:rPr>
            </w:pPr>
          </w:p>
        </w:tc>
        <w:tc>
          <w:tcPr>
            <w:tcW w:w="0" w:type="auto"/>
            <w:shd w:val="clear" w:color="auto" w:fill="auto"/>
          </w:tcPr>
          <w:p w14:paraId="5EA26B27" w14:textId="77777777" w:rsidR="003C66EB" w:rsidRDefault="003C66EB">
            <w:pPr>
              <w:rPr>
                <w:rFonts w:ascii="宋体"/>
                <w:vanish/>
              </w:rPr>
            </w:pPr>
          </w:p>
        </w:tc>
        <w:tc>
          <w:tcPr>
            <w:tcW w:w="0" w:type="auto"/>
            <w:shd w:val="clear" w:color="auto" w:fill="auto"/>
          </w:tcPr>
          <w:p w14:paraId="5EA26B28" w14:textId="77777777" w:rsidR="003C66EB" w:rsidRDefault="003C66EB">
            <w:pPr>
              <w:rPr>
                <w:rFonts w:ascii="宋体"/>
                <w:vanish/>
              </w:rPr>
            </w:pPr>
          </w:p>
        </w:tc>
        <w:tc>
          <w:tcPr>
            <w:tcW w:w="0" w:type="auto"/>
            <w:shd w:val="clear" w:color="auto" w:fill="auto"/>
          </w:tcPr>
          <w:p w14:paraId="5EA26B29" w14:textId="77777777" w:rsidR="003C66EB" w:rsidRDefault="003C66EB">
            <w:pPr>
              <w:rPr>
                <w:rFonts w:ascii="宋体"/>
                <w:vanish/>
              </w:rPr>
            </w:pPr>
          </w:p>
        </w:tc>
      </w:tr>
      <w:tr w:rsidR="003C66EB" w14:paraId="5EA26B31" w14:textId="77777777">
        <w:tc>
          <w:tcPr>
            <w:tcW w:w="0" w:type="auto"/>
            <w:gridSpan w:val="3"/>
            <w:shd w:val="clear" w:color="auto" w:fill="auto"/>
            <w:tcMar>
              <w:top w:w="0" w:type="dxa"/>
              <w:left w:w="20" w:type="dxa"/>
              <w:bottom w:w="0" w:type="dxa"/>
              <w:right w:w="20" w:type="dxa"/>
            </w:tcMar>
          </w:tcPr>
          <w:p w14:paraId="5EA26B2B"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6B2C"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Pr>
          <w:p w14:paraId="5EA26B2D" w14:textId="77777777" w:rsidR="003C66EB" w:rsidRDefault="003C66EB">
            <w:pPr>
              <w:rPr>
                <w:rFonts w:ascii="宋体"/>
                <w:vanish/>
              </w:rPr>
            </w:pPr>
          </w:p>
        </w:tc>
        <w:tc>
          <w:tcPr>
            <w:tcW w:w="0" w:type="auto"/>
            <w:shd w:val="clear" w:color="auto" w:fill="auto"/>
          </w:tcPr>
          <w:p w14:paraId="5EA26B2E" w14:textId="77777777" w:rsidR="003C66EB" w:rsidRDefault="003C66EB">
            <w:pPr>
              <w:rPr>
                <w:rFonts w:ascii="宋体"/>
                <w:vanish/>
              </w:rPr>
            </w:pPr>
          </w:p>
        </w:tc>
        <w:tc>
          <w:tcPr>
            <w:tcW w:w="0" w:type="auto"/>
            <w:shd w:val="clear" w:color="auto" w:fill="auto"/>
          </w:tcPr>
          <w:p w14:paraId="5EA26B2F" w14:textId="77777777" w:rsidR="003C66EB" w:rsidRDefault="003C66EB">
            <w:pPr>
              <w:rPr>
                <w:rFonts w:ascii="宋体"/>
                <w:vanish/>
              </w:rPr>
            </w:pPr>
          </w:p>
        </w:tc>
        <w:tc>
          <w:tcPr>
            <w:tcW w:w="0" w:type="auto"/>
            <w:shd w:val="clear" w:color="auto" w:fill="auto"/>
          </w:tcPr>
          <w:p w14:paraId="5EA26B30" w14:textId="77777777" w:rsidR="003C66EB" w:rsidRDefault="003C66EB">
            <w:pPr>
              <w:rPr>
                <w:rFonts w:ascii="宋体"/>
                <w:vanish/>
              </w:rPr>
            </w:pPr>
          </w:p>
        </w:tc>
      </w:tr>
      <w:tr w:rsidR="003C66EB" w14:paraId="5EA26B3A" w14:textId="77777777">
        <w:tc>
          <w:tcPr>
            <w:tcW w:w="0" w:type="auto"/>
            <w:gridSpan w:val="3"/>
            <w:shd w:val="clear" w:color="auto" w:fill="auto"/>
            <w:tcMar>
              <w:top w:w="40" w:type="dxa"/>
              <w:left w:w="20" w:type="dxa"/>
              <w:bottom w:w="40" w:type="dxa"/>
              <w:right w:w="20" w:type="dxa"/>
            </w:tcMar>
            <w:vAlign w:val="bottom"/>
          </w:tcPr>
          <w:p w14:paraId="5EA26B32" w14:textId="77777777" w:rsidR="003C66EB" w:rsidRDefault="00D96C4E">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B33"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6B3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B35" w14:textId="77777777" w:rsidR="003C66EB" w:rsidRDefault="00D96C4E">
            <w:pPr>
              <w:jc w:val="center"/>
              <w:textAlignment w:val="bottom"/>
            </w:pPr>
            <w:r>
              <w:rPr>
                <w:rFonts w:ascii="Arial" w:eastAsia="宋体" w:hAnsi="Arial" w:cs="Arial"/>
                <w:b/>
                <w:bCs/>
                <w:color w:val="000000"/>
                <w:sz w:val="13"/>
                <w:szCs w:val="13"/>
              </w:rPr>
              <w:t>2020</w:t>
            </w:r>
          </w:p>
        </w:tc>
        <w:tc>
          <w:tcPr>
            <w:tcW w:w="0" w:type="auto"/>
            <w:shd w:val="clear" w:color="auto" w:fill="auto"/>
          </w:tcPr>
          <w:p w14:paraId="5EA26B36" w14:textId="77777777" w:rsidR="003C66EB" w:rsidRDefault="003C66EB">
            <w:pPr>
              <w:rPr>
                <w:rFonts w:ascii="宋体"/>
                <w:vanish/>
              </w:rPr>
            </w:pPr>
          </w:p>
        </w:tc>
        <w:tc>
          <w:tcPr>
            <w:tcW w:w="0" w:type="auto"/>
            <w:shd w:val="clear" w:color="auto" w:fill="auto"/>
          </w:tcPr>
          <w:p w14:paraId="5EA26B37" w14:textId="77777777" w:rsidR="003C66EB" w:rsidRDefault="003C66EB">
            <w:pPr>
              <w:rPr>
                <w:rFonts w:ascii="宋体"/>
                <w:vanish/>
              </w:rPr>
            </w:pPr>
          </w:p>
        </w:tc>
        <w:tc>
          <w:tcPr>
            <w:tcW w:w="0" w:type="auto"/>
            <w:shd w:val="clear" w:color="auto" w:fill="auto"/>
          </w:tcPr>
          <w:p w14:paraId="5EA26B38" w14:textId="77777777" w:rsidR="003C66EB" w:rsidRDefault="003C66EB">
            <w:pPr>
              <w:rPr>
                <w:rFonts w:ascii="宋体"/>
                <w:vanish/>
              </w:rPr>
            </w:pPr>
          </w:p>
        </w:tc>
        <w:tc>
          <w:tcPr>
            <w:tcW w:w="0" w:type="auto"/>
            <w:shd w:val="clear" w:color="auto" w:fill="auto"/>
          </w:tcPr>
          <w:p w14:paraId="5EA26B39" w14:textId="77777777" w:rsidR="003C66EB" w:rsidRDefault="003C66EB">
            <w:pPr>
              <w:rPr>
                <w:rFonts w:ascii="宋体"/>
                <w:vanish/>
              </w:rPr>
            </w:pPr>
          </w:p>
        </w:tc>
      </w:tr>
      <w:tr w:rsidR="003C66EB" w14:paraId="5EA26B47" w14:textId="77777777">
        <w:tc>
          <w:tcPr>
            <w:tcW w:w="0" w:type="auto"/>
            <w:gridSpan w:val="3"/>
            <w:shd w:val="clear" w:color="auto" w:fill="CCEEFF"/>
            <w:tcMar>
              <w:top w:w="40" w:type="dxa"/>
              <w:left w:w="20" w:type="dxa"/>
              <w:bottom w:w="40" w:type="dxa"/>
              <w:right w:w="20" w:type="dxa"/>
            </w:tcMar>
            <w:vAlign w:val="bottom"/>
          </w:tcPr>
          <w:p w14:paraId="5EA26B3B" w14:textId="77777777" w:rsidR="003C66EB" w:rsidRDefault="00D96C4E">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6B3C"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B3D" w14:textId="77777777" w:rsidR="003C66EB" w:rsidRDefault="00D96C4E">
            <w:pPr>
              <w:jc w:val="right"/>
              <w:textAlignment w:val="bottom"/>
            </w:pPr>
            <w:r>
              <w:rPr>
                <w:rFonts w:ascii="Arial" w:eastAsia="宋体" w:hAnsi="Arial" w:cs="Arial"/>
                <w:b/>
                <w:bCs/>
                <w:color w:val="000000"/>
                <w:sz w:val="13"/>
                <w:szCs w:val="13"/>
              </w:rPr>
              <w:t>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B3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B3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B40"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B41" w14:textId="77777777" w:rsidR="003C66EB" w:rsidRDefault="00D96C4E">
            <w:pPr>
              <w:jc w:val="right"/>
              <w:textAlignment w:val="bottom"/>
            </w:pPr>
            <w:r>
              <w:rPr>
                <w:rFonts w:ascii="Arial" w:eastAsia="宋体" w:hAnsi="Arial" w:cs="Arial"/>
                <w:color w:val="000000"/>
                <w:sz w:val="13"/>
                <w:szCs w:val="13"/>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B42" w14:textId="77777777" w:rsidR="003C66EB" w:rsidRDefault="003C66EB">
            <w:pPr>
              <w:jc w:val="right"/>
              <w:rPr>
                <w:rFonts w:ascii="宋体"/>
              </w:rPr>
            </w:pPr>
          </w:p>
        </w:tc>
        <w:tc>
          <w:tcPr>
            <w:tcW w:w="0" w:type="auto"/>
            <w:shd w:val="clear" w:color="auto" w:fill="auto"/>
          </w:tcPr>
          <w:p w14:paraId="5EA26B43" w14:textId="77777777" w:rsidR="003C66EB" w:rsidRDefault="003C66EB">
            <w:pPr>
              <w:rPr>
                <w:rFonts w:ascii="宋体"/>
                <w:vanish/>
              </w:rPr>
            </w:pPr>
          </w:p>
        </w:tc>
        <w:tc>
          <w:tcPr>
            <w:tcW w:w="0" w:type="auto"/>
            <w:shd w:val="clear" w:color="auto" w:fill="auto"/>
          </w:tcPr>
          <w:p w14:paraId="5EA26B44" w14:textId="77777777" w:rsidR="003C66EB" w:rsidRDefault="003C66EB">
            <w:pPr>
              <w:rPr>
                <w:rFonts w:ascii="宋体"/>
                <w:vanish/>
              </w:rPr>
            </w:pPr>
          </w:p>
        </w:tc>
        <w:tc>
          <w:tcPr>
            <w:tcW w:w="0" w:type="auto"/>
            <w:shd w:val="clear" w:color="auto" w:fill="auto"/>
          </w:tcPr>
          <w:p w14:paraId="5EA26B45" w14:textId="77777777" w:rsidR="003C66EB" w:rsidRDefault="003C66EB">
            <w:pPr>
              <w:rPr>
                <w:rFonts w:ascii="宋体"/>
                <w:vanish/>
              </w:rPr>
            </w:pPr>
          </w:p>
        </w:tc>
        <w:tc>
          <w:tcPr>
            <w:tcW w:w="0" w:type="auto"/>
            <w:shd w:val="clear" w:color="auto" w:fill="auto"/>
          </w:tcPr>
          <w:p w14:paraId="5EA26B46" w14:textId="77777777" w:rsidR="003C66EB" w:rsidRDefault="003C66EB">
            <w:pPr>
              <w:rPr>
                <w:rFonts w:ascii="宋体"/>
                <w:vanish/>
              </w:rPr>
            </w:pPr>
          </w:p>
        </w:tc>
      </w:tr>
      <w:tr w:rsidR="003C66EB" w14:paraId="5EA26B52" w14:textId="77777777">
        <w:tc>
          <w:tcPr>
            <w:tcW w:w="0" w:type="auto"/>
            <w:gridSpan w:val="3"/>
            <w:shd w:val="clear" w:color="auto" w:fill="FFFFFF"/>
            <w:tcMar>
              <w:top w:w="40" w:type="dxa"/>
              <w:left w:w="155" w:type="dxa"/>
              <w:bottom w:w="40" w:type="dxa"/>
              <w:right w:w="20" w:type="dxa"/>
            </w:tcMar>
            <w:vAlign w:val="bottom"/>
          </w:tcPr>
          <w:p w14:paraId="5EA26B48" w14:textId="77777777" w:rsidR="003C66EB" w:rsidRDefault="00D96C4E">
            <w:pPr>
              <w:textAlignment w:val="bottom"/>
            </w:pPr>
            <w:r>
              <w:rPr>
                <w:rFonts w:ascii="Arial" w:eastAsia="宋体" w:hAnsi="Arial" w:cs="Arial"/>
                <w:color w:val="000000"/>
                <w:sz w:val="13"/>
                <w:szCs w:val="13"/>
              </w:rPr>
              <w:t xml:space="preserve">Net unrealized gains </w:t>
            </w:r>
            <w:r>
              <w:rPr>
                <w:rFonts w:ascii="Arial" w:eastAsia="宋体" w:hAnsi="Arial" w:cs="Arial"/>
                <w:color w:val="000000"/>
                <w:sz w:val="13"/>
                <w:szCs w:val="13"/>
              </w:rPr>
              <w:t>(losses) on available-for-sale securities portfolio</w:t>
            </w:r>
          </w:p>
        </w:tc>
        <w:tc>
          <w:tcPr>
            <w:tcW w:w="0" w:type="auto"/>
            <w:gridSpan w:val="2"/>
            <w:shd w:val="clear" w:color="auto" w:fill="FFFFFF"/>
            <w:tcMar>
              <w:top w:w="40" w:type="dxa"/>
              <w:left w:w="20" w:type="dxa"/>
              <w:bottom w:w="40" w:type="dxa"/>
              <w:right w:w="0" w:type="dxa"/>
            </w:tcMar>
            <w:vAlign w:val="bottom"/>
          </w:tcPr>
          <w:p w14:paraId="5EA26B49" w14:textId="77777777" w:rsidR="003C66EB" w:rsidRDefault="00D96C4E">
            <w:pPr>
              <w:jc w:val="right"/>
              <w:textAlignment w:val="bottom"/>
            </w:pPr>
            <w:r>
              <w:rPr>
                <w:rFonts w:ascii="Arial" w:eastAsia="宋体" w:hAnsi="Arial" w:cs="Arial"/>
                <w:b/>
                <w:bCs/>
                <w:color w:val="000000"/>
                <w:sz w:val="13"/>
                <w:szCs w:val="13"/>
              </w:rPr>
              <w:t>502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6B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B4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B4C" w14:textId="77777777" w:rsidR="003C66EB" w:rsidRDefault="00D96C4E">
            <w:pPr>
              <w:jc w:val="right"/>
              <w:textAlignment w:val="bottom"/>
            </w:pPr>
            <w:r>
              <w:rPr>
                <w:rFonts w:ascii="Arial" w:eastAsia="宋体" w:hAnsi="Arial" w:cs="Arial"/>
                <w:color w:val="000000"/>
                <w:sz w:val="13"/>
                <w:szCs w:val="13"/>
              </w:rPr>
              <w:t>556 </w:t>
            </w:r>
          </w:p>
        </w:tc>
        <w:tc>
          <w:tcPr>
            <w:tcW w:w="0" w:type="auto"/>
            <w:shd w:val="clear" w:color="auto" w:fill="FFFFFF"/>
            <w:tcMar>
              <w:top w:w="40" w:type="dxa"/>
              <w:left w:w="0" w:type="dxa"/>
              <w:bottom w:w="40" w:type="dxa"/>
              <w:right w:w="20" w:type="dxa"/>
            </w:tcMar>
            <w:vAlign w:val="bottom"/>
          </w:tcPr>
          <w:p w14:paraId="5EA26B4D" w14:textId="77777777" w:rsidR="003C66EB" w:rsidRDefault="003C66EB">
            <w:pPr>
              <w:jc w:val="right"/>
              <w:rPr>
                <w:rFonts w:ascii="宋体"/>
              </w:rPr>
            </w:pPr>
          </w:p>
        </w:tc>
        <w:tc>
          <w:tcPr>
            <w:tcW w:w="0" w:type="auto"/>
            <w:shd w:val="clear" w:color="auto" w:fill="auto"/>
          </w:tcPr>
          <w:p w14:paraId="5EA26B4E" w14:textId="77777777" w:rsidR="003C66EB" w:rsidRDefault="003C66EB">
            <w:pPr>
              <w:rPr>
                <w:rFonts w:ascii="宋体"/>
                <w:vanish/>
              </w:rPr>
            </w:pPr>
          </w:p>
        </w:tc>
        <w:tc>
          <w:tcPr>
            <w:tcW w:w="0" w:type="auto"/>
            <w:shd w:val="clear" w:color="auto" w:fill="auto"/>
          </w:tcPr>
          <w:p w14:paraId="5EA26B4F" w14:textId="77777777" w:rsidR="003C66EB" w:rsidRDefault="003C66EB">
            <w:pPr>
              <w:rPr>
                <w:rFonts w:ascii="宋体"/>
                <w:vanish/>
              </w:rPr>
            </w:pPr>
          </w:p>
        </w:tc>
        <w:tc>
          <w:tcPr>
            <w:tcW w:w="0" w:type="auto"/>
            <w:shd w:val="clear" w:color="auto" w:fill="auto"/>
          </w:tcPr>
          <w:p w14:paraId="5EA26B50" w14:textId="77777777" w:rsidR="003C66EB" w:rsidRDefault="003C66EB">
            <w:pPr>
              <w:rPr>
                <w:rFonts w:ascii="宋体"/>
                <w:vanish/>
              </w:rPr>
            </w:pPr>
          </w:p>
        </w:tc>
        <w:tc>
          <w:tcPr>
            <w:tcW w:w="0" w:type="auto"/>
            <w:shd w:val="clear" w:color="auto" w:fill="auto"/>
          </w:tcPr>
          <w:p w14:paraId="5EA26B51" w14:textId="77777777" w:rsidR="003C66EB" w:rsidRDefault="003C66EB">
            <w:pPr>
              <w:rPr>
                <w:rFonts w:ascii="宋体"/>
                <w:vanish/>
              </w:rPr>
            </w:pPr>
          </w:p>
        </w:tc>
      </w:tr>
      <w:tr w:rsidR="003C66EB" w14:paraId="5EA26B5D" w14:textId="77777777">
        <w:tc>
          <w:tcPr>
            <w:tcW w:w="0" w:type="auto"/>
            <w:gridSpan w:val="3"/>
            <w:shd w:val="clear" w:color="auto" w:fill="CCEEFF"/>
            <w:tcMar>
              <w:top w:w="40" w:type="dxa"/>
              <w:left w:w="155" w:type="dxa"/>
              <w:bottom w:w="40" w:type="dxa"/>
              <w:right w:w="20" w:type="dxa"/>
            </w:tcMar>
            <w:vAlign w:val="bottom"/>
          </w:tcPr>
          <w:p w14:paraId="5EA26B53" w14:textId="77777777" w:rsidR="003C66EB" w:rsidRDefault="00D96C4E">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5EA26B54" w14:textId="77777777" w:rsidR="003C66EB" w:rsidRDefault="00D96C4E">
            <w:pPr>
              <w:jc w:val="right"/>
              <w:textAlignment w:val="bottom"/>
            </w:pPr>
            <w:r>
              <w:rPr>
                <w:rFonts w:ascii="Arial" w:eastAsia="宋体" w:hAnsi="Arial" w:cs="Arial"/>
                <w:b/>
                <w:bCs/>
                <w:color w:val="000000"/>
                <w:sz w:val="13"/>
                <w:szCs w:val="13"/>
              </w:rPr>
              <w:t>(46)</w:t>
            </w:r>
          </w:p>
        </w:tc>
        <w:tc>
          <w:tcPr>
            <w:tcW w:w="0" w:type="auto"/>
            <w:shd w:val="clear" w:color="auto" w:fill="CCEEFF"/>
            <w:tcMar>
              <w:top w:w="40" w:type="dxa"/>
              <w:left w:w="0" w:type="dxa"/>
              <w:bottom w:w="40" w:type="dxa"/>
              <w:right w:w="20" w:type="dxa"/>
            </w:tcMar>
            <w:vAlign w:val="bottom"/>
          </w:tcPr>
          <w:p w14:paraId="5EA26B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B5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B57" w14:textId="77777777" w:rsidR="003C66EB" w:rsidRDefault="00D96C4E">
            <w:pPr>
              <w:jc w:val="right"/>
              <w:textAlignment w:val="bottom"/>
            </w:pPr>
            <w:r>
              <w:rPr>
                <w:rFonts w:ascii="Arial" w:eastAsia="宋体" w:hAnsi="Arial" w:cs="Arial"/>
                <w:color w:val="000000"/>
                <w:sz w:val="13"/>
                <w:szCs w:val="13"/>
              </w:rPr>
              <w:t>23 </w:t>
            </w:r>
          </w:p>
        </w:tc>
        <w:tc>
          <w:tcPr>
            <w:tcW w:w="0" w:type="auto"/>
            <w:shd w:val="clear" w:color="auto" w:fill="CCEEFF"/>
            <w:tcMar>
              <w:top w:w="40" w:type="dxa"/>
              <w:left w:w="0" w:type="dxa"/>
              <w:bottom w:w="40" w:type="dxa"/>
              <w:right w:w="20" w:type="dxa"/>
            </w:tcMar>
            <w:vAlign w:val="bottom"/>
          </w:tcPr>
          <w:p w14:paraId="5EA26B58" w14:textId="77777777" w:rsidR="003C66EB" w:rsidRDefault="003C66EB">
            <w:pPr>
              <w:jc w:val="right"/>
              <w:rPr>
                <w:rFonts w:ascii="宋体"/>
              </w:rPr>
            </w:pPr>
          </w:p>
        </w:tc>
        <w:tc>
          <w:tcPr>
            <w:tcW w:w="0" w:type="auto"/>
            <w:shd w:val="clear" w:color="auto" w:fill="auto"/>
          </w:tcPr>
          <w:p w14:paraId="5EA26B59" w14:textId="77777777" w:rsidR="003C66EB" w:rsidRDefault="003C66EB">
            <w:pPr>
              <w:rPr>
                <w:rFonts w:ascii="宋体"/>
                <w:vanish/>
              </w:rPr>
            </w:pPr>
          </w:p>
        </w:tc>
        <w:tc>
          <w:tcPr>
            <w:tcW w:w="0" w:type="auto"/>
            <w:shd w:val="clear" w:color="auto" w:fill="auto"/>
          </w:tcPr>
          <w:p w14:paraId="5EA26B5A" w14:textId="77777777" w:rsidR="003C66EB" w:rsidRDefault="003C66EB">
            <w:pPr>
              <w:rPr>
                <w:rFonts w:ascii="宋体"/>
                <w:vanish/>
              </w:rPr>
            </w:pPr>
          </w:p>
        </w:tc>
        <w:tc>
          <w:tcPr>
            <w:tcW w:w="0" w:type="auto"/>
            <w:shd w:val="clear" w:color="auto" w:fill="auto"/>
          </w:tcPr>
          <w:p w14:paraId="5EA26B5B" w14:textId="77777777" w:rsidR="003C66EB" w:rsidRDefault="003C66EB">
            <w:pPr>
              <w:rPr>
                <w:rFonts w:ascii="宋体"/>
                <w:vanish/>
              </w:rPr>
            </w:pPr>
          </w:p>
        </w:tc>
        <w:tc>
          <w:tcPr>
            <w:tcW w:w="0" w:type="auto"/>
            <w:shd w:val="clear" w:color="auto" w:fill="auto"/>
          </w:tcPr>
          <w:p w14:paraId="5EA26B5C" w14:textId="77777777" w:rsidR="003C66EB" w:rsidRDefault="003C66EB">
            <w:pPr>
              <w:rPr>
                <w:rFonts w:ascii="宋体"/>
                <w:vanish/>
              </w:rPr>
            </w:pPr>
          </w:p>
        </w:tc>
      </w:tr>
      <w:tr w:rsidR="003C66EB" w14:paraId="5EA26B68" w14:textId="77777777">
        <w:tc>
          <w:tcPr>
            <w:tcW w:w="0" w:type="auto"/>
            <w:gridSpan w:val="3"/>
            <w:shd w:val="clear" w:color="auto" w:fill="FFFFFF"/>
            <w:tcMar>
              <w:top w:w="40" w:type="dxa"/>
              <w:left w:w="20" w:type="dxa"/>
              <w:bottom w:w="40" w:type="dxa"/>
              <w:right w:w="20" w:type="dxa"/>
            </w:tcMar>
            <w:vAlign w:val="bottom"/>
          </w:tcPr>
          <w:p w14:paraId="5EA26B5E" w14:textId="77777777" w:rsidR="003C66EB" w:rsidRDefault="00D96C4E">
            <w:pPr>
              <w:textAlignment w:val="bottom"/>
            </w:pPr>
            <w:r>
              <w:rPr>
                <w:rFonts w:ascii="Arial" w:eastAsia="宋体" w:hAnsi="Arial" w:cs="Arial"/>
                <w:color w:val="000000"/>
                <w:sz w:val="13"/>
                <w:szCs w:val="13"/>
              </w:rPr>
              <w:t>Net unrealized gains (losses) on 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B5F" w14:textId="77777777" w:rsidR="003C66EB" w:rsidRDefault="00D96C4E">
            <w:pPr>
              <w:jc w:val="right"/>
              <w:textAlignment w:val="bottom"/>
            </w:pPr>
            <w:r>
              <w:rPr>
                <w:rFonts w:ascii="Arial" w:eastAsia="宋体" w:hAnsi="Arial" w:cs="Arial"/>
                <w:b/>
                <w:bCs/>
                <w:color w:val="000000"/>
                <w:sz w:val="13"/>
                <w:szCs w:val="13"/>
              </w:rPr>
              <w:t>456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B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B6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B62" w14:textId="77777777" w:rsidR="003C66EB" w:rsidRDefault="00D96C4E">
            <w:pPr>
              <w:jc w:val="right"/>
              <w:textAlignment w:val="bottom"/>
            </w:pPr>
            <w:r>
              <w:rPr>
                <w:rFonts w:ascii="Arial" w:eastAsia="宋体" w:hAnsi="Arial" w:cs="Arial"/>
                <w:color w:val="000000"/>
                <w:sz w:val="13"/>
                <w:szCs w:val="13"/>
              </w:rPr>
              <w:t>579 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B63" w14:textId="77777777" w:rsidR="003C66EB" w:rsidRDefault="003C66EB">
            <w:pPr>
              <w:jc w:val="right"/>
              <w:rPr>
                <w:rFonts w:ascii="宋体"/>
              </w:rPr>
            </w:pPr>
          </w:p>
        </w:tc>
        <w:tc>
          <w:tcPr>
            <w:tcW w:w="0" w:type="auto"/>
            <w:shd w:val="clear" w:color="auto" w:fill="auto"/>
          </w:tcPr>
          <w:p w14:paraId="5EA26B64" w14:textId="77777777" w:rsidR="003C66EB" w:rsidRDefault="003C66EB">
            <w:pPr>
              <w:rPr>
                <w:rFonts w:ascii="宋体"/>
                <w:vanish/>
              </w:rPr>
            </w:pPr>
          </w:p>
        </w:tc>
        <w:tc>
          <w:tcPr>
            <w:tcW w:w="0" w:type="auto"/>
            <w:shd w:val="clear" w:color="auto" w:fill="auto"/>
          </w:tcPr>
          <w:p w14:paraId="5EA26B65" w14:textId="77777777" w:rsidR="003C66EB" w:rsidRDefault="003C66EB">
            <w:pPr>
              <w:rPr>
                <w:rFonts w:ascii="宋体"/>
                <w:vanish/>
              </w:rPr>
            </w:pPr>
          </w:p>
        </w:tc>
        <w:tc>
          <w:tcPr>
            <w:tcW w:w="0" w:type="auto"/>
            <w:shd w:val="clear" w:color="auto" w:fill="auto"/>
          </w:tcPr>
          <w:p w14:paraId="5EA26B66" w14:textId="77777777" w:rsidR="003C66EB" w:rsidRDefault="003C66EB">
            <w:pPr>
              <w:rPr>
                <w:rFonts w:ascii="宋体"/>
                <w:vanish/>
              </w:rPr>
            </w:pPr>
          </w:p>
        </w:tc>
        <w:tc>
          <w:tcPr>
            <w:tcW w:w="0" w:type="auto"/>
            <w:shd w:val="clear" w:color="auto" w:fill="auto"/>
          </w:tcPr>
          <w:p w14:paraId="5EA26B67" w14:textId="77777777" w:rsidR="003C66EB" w:rsidRDefault="003C66EB">
            <w:pPr>
              <w:rPr>
                <w:rFonts w:ascii="宋体"/>
                <w:vanish/>
              </w:rPr>
            </w:pPr>
          </w:p>
        </w:tc>
      </w:tr>
      <w:tr w:rsidR="003C66EB" w14:paraId="5EA26B73" w14:textId="77777777">
        <w:tc>
          <w:tcPr>
            <w:tcW w:w="0" w:type="auto"/>
            <w:gridSpan w:val="3"/>
            <w:shd w:val="clear" w:color="auto" w:fill="CCEEFF"/>
            <w:tcMar>
              <w:top w:w="40" w:type="dxa"/>
              <w:left w:w="20" w:type="dxa"/>
              <w:bottom w:w="40" w:type="dxa"/>
              <w:right w:w="20" w:type="dxa"/>
            </w:tcMar>
            <w:vAlign w:val="bottom"/>
          </w:tcPr>
          <w:p w14:paraId="5EA26B69" w14:textId="77777777" w:rsidR="003C66EB" w:rsidRDefault="00D96C4E">
            <w:pPr>
              <w:textAlignment w:val="bottom"/>
            </w:pPr>
            <w:r>
              <w:rPr>
                <w:rFonts w:ascii="Arial" w:eastAsia="宋体" w:hAnsi="Arial" w:cs="Arial"/>
                <w:color w:val="000000"/>
                <w:sz w:val="13"/>
                <w:szCs w:val="13"/>
              </w:rPr>
              <w:t>Net unrealized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5EA26B6A" w14:textId="77777777" w:rsidR="003C66EB" w:rsidRDefault="00D96C4E">
            <w:pPr>
              <w:jc w:val="right"/>
              <w:textAlignment w:val="bottom"/>
            </w:pPr>
            <w:r>
              <w:rPr>
                <w:rFonts w:ascii="Arial" w:eastAsia="宋体" w:hAnsi="Arial" w:cs="Arial"/>
                <w:b/>
                <w:bCs/>
                <w:color w:val="000000"/>
                <w:sz w:val="13"/>
                <w:szCs w:val="13"/>
              </w:rPr>
              <w:t>(21)</w:t>
            </w:r>
          </w:p>
        </w:tc>
        <w:tc>
          <w:tcPr>
            <w:tcW w:w="0" w:type="auto"/>
            <w:shd w:val="clear" w:color="auto" w:fill="CCEEFF"/>
            <w:tcMar>
              <w:top w:w="40" w:type="dxa"/>
              <w:left w:w="0" w:type="dxa"/>
              <w:bottom w:w="40" w:type="dxa"/>
              <w:right w:w="20" w:type="dxa"/>
            </w:tcMar>
            <w:vAlign w:val="bottom"/>
          </w:tcPr>
          <w:p w14:paraId="5EA26B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B6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B6D" w14:textId="77777777" w:rsidR="003C66EB" w:rsidRDefault="00D96C4E">
            <w:pPr>
              <w:jc w:val="right"/>
              <w:textAlignment w:val="bottom"/>
            </w:pPr>
            <w:r>
              <w:rPr>
                <w:rFonts w:ascii="Arial" w:eastAsia="宋体" w:hAnsi="Arial" w:cs="Arial"/>
                <w:color w:val="000000"/>
                <w:sz w:val="13"/>
                <w:szCs w:val="13"/>
              </w:rPr>
              <w:t>(43)</w:t>
            </w:r>
          </w:p>
        </w:tc>
        <w:tc>
          <w:tcPr>
            <w:tcW w:w="0" w:type="auto"/>
            <w:shd w:val="clear" w:color="auto" w:fill="CCEEFF"/>
            <w:tcMar>
              <w:top w:w="40" w:type="dxa"/>
              <w:left w:w="0" w:type="dxa"/>
              <w:bottom w:w="40" w:type="dxa"/>
              <w:right w:w="20" w:type="dxa"/>
            </w:tcMar>
            <w:vAlign w:val="bottom"/>
          </w:tcPr>
          <w:p w14:paraId="5EA26B6E" w14:textId="77777777" w:rsidR="003C66EB" w:rsidRDefault="003C66EB">
            <w:pPr>
              <w:jc w:val="right"/>
              <w:rPr>
                <w:rFonts w:ascii="宋体"/>
              </w:rPr>
            </w:pPr>
          </w:p>
        </w:tc>
        <w:tc>
          <w:tcPr>
            <w:tcW w:w="0" w:type="auto"/>
            <w:shd w:val="clear" w:color="auto" w:fill="auto"/>
          </w:tcPr>
          <w:p w14:paraId="5EA26B6F" w14:textId="77777777" w:rsidR="003C66EB" w:rsidRDefault="003C66EB">
            <w:pPr>
              <w:rPr>
                <w:rFonts w:ascii="宋体"/>
                <w:vanish/>
              </w:rPr>
            </w:pPr>
          </w:p>
        </w:tc>
        <w:tc>
          <w:tcPr>
            <w:tcW w:w="0" w:type="auto"/>
            <w:shd w:val="clear" w:color="auto" w:fill="auto"/>
          </w:tcPr>
          <w:p w14:paraId="5EA26B70" w14:textId="77777777" w:rsidR="003C66EB" w:rsidRDefault="003C66EB">
            <w:pPr>
              <w:rPr>
                <w:rFonts w:ascii="宋体"/>
                <w:vanish/>
              </w:rPr>
            </w:pPr>
          </w:p>
        </w:tc>
        <w:tc>
          <w:tcPr>
            <w:tcW w:w="0" w:type="auto"/>
            <w:shd w:val="clear" w:color="auto" w:fill="auto"/>
          </w:tcPr>
          <w:p w14:paraId="5EA26B71" w14:textId="77777777" w:rsidR="003C66EB" w:rsidRDefault="003C66EB">
            <w:pPr>
              <w:rPr>
                <w:rFonts w:ascii="宋体"/>
                <w:vanish/>
              </w:rPr>
            </w:pPr>
          </w:p>
        </w:tc>
        <w:tc>
          <w:tcPr>
            <w:tcW w:w="0" w:type="auto"/>
            <w:shd w:val="clear" w:color="auto" w:fill="auto"/>
          </w:tcPr>
          <w:p w14:paraId="5EA26B72" w14:textId="77777777" w:rsidR="003C66EB" w:rsidRDefault="003C66EB">
            <w:pPr>
              <w:rPr>
                <w:rFonts w:ascii="宋体"/>
                <w:vanish/>
              </w:rPr>
            </w:pPr>
          </w:p>
        </w:tc>
      </w:tr>
      <w:tr w:rsidR="003C66EB" w14:paraId="5EA26B7C" w14:textId="77777777">
        <w:trPr>
          <w:hidden/>
        </w:trPr>
        <w:tc>
          <w:tcPr>
            <w:tcW w:w="0" w:type="auto"/>
            <w:gridSpan w:val="3"/>
            <w:shd w:val="clear" w:color="auto" w:fill="auto"/>
          </w:tcPr>
          <w:p w14:paraId="5EA26B74" w14:textId="77777777" w:rsidR="003C66EB" w:rsidRDefault="003C66EB">
            <w:pPr>
              <w:rPr>
                <w:rFonts w:ascii="宋体"/>
                <w:vanish/>
              </w:rPr>
            </w:pPr>
          </w:p>
        </w:tc>
        <w:tc>
          <w:tcPr>
            <w:tcW w:w="0" w:type="auto"/>
            <w:gridSpan w:val="3"/>
            <w:shd w:val="clear" w:color="auto" w:fill="auto"/>
          </w:tcPr>
          <w:p w14:paraId="5EA26B75" w14:textId="77777777" w:rsidR="003C66EB" w:rsidRDefault="003C66EB">
            <w:pPr>
              <w:rPr>
                <w:rFonts w:ascii="宋体"/>
                <w:vanish/>
              </w:rPr>
            </w:pPr>
          </w:p>
        </w:tc>
        <w:tc>
          <w:tcPr>
            <w:tcW w:w="0" w:type="auto"/>
            <w:gridSpan w:val="3"/>
            <w:shd w:val="clear" w:color="auto" w:fill="auto"/>
          </w:tcPr>
          <w:p w14:paraId="5EA26B76" w14:textId="77777777" w:rsidR="003C66EB" w:rsidRDefault="003C66EB">
            <w:pPr>
              <w:rPr>
                <w:rFonts w:ascii="宋体"/>
                <w:vanish/>
              </w:rPr>
            </w:pPr>
          </w:p>
        </w:tc>
        <w:tc>
          <w:tcPr>
            <w:tcW w:w="0" w:type="auto"/>
            <w:gridSpan w:val="3"/>
            <w:shd w:val="clear" w:color="auto" w:fill="auto"/>
          </w:tcPr>
          <w:p w14:paraId="5EA26B77" w14:textId="77777777" w:rsidR="003C66EB" w:rsidRDefault="003C66EB">
            <w:pPr>
              <w:rPr>
                <w:rFonts w:ascii="宋体"/>
                <w:vanish/>
              </w:rPr>
            </w:pPr>
          </w:p>
        </w:tc>
        <w:tc>
          <w:tcPr>
            <w:tcW w:w="0" w:type="auto"/>
            <w:shd w:val="clear" w:color="auto" w:fill="auto"/>
          </w:tcPr>
          <w:p w14:paraId="5EA26B78" w14:textId="77777777" w:rsidR="003C66EB" w:rsidRDefault="003C66EB">
            <w:pPr>
              <w:rPr>
                <w:rFonts w:ascii="宋体"/>
                <w:vanish/>
              </w:rPr>
            </w:pPr>
          </w:p>
        </w:tc>
        <w:tc>
          <w:tcPr>
            <w:tcW w:w="0" w:type="auto"/>
            <w:shd w:val="clear" w:color="auto" w:fill="auto"/>
          </w:tcPr>
          <w:p w14:paraId="5EA26B79" w14:textId="77777777" w:rsidR="003C66EB" w:rsidRDefault="003C66EB">
            <w:pPr>
              <w:rPr>
                <w:rFonts w:ascii="宋体"/>
                <w:vanish/>
              </w:rPr>
            </w:pPr>
          </w:p>
        </w:tc>
        <w:tc>
          <w:tcPr>
            <w:tcW w:w="0" w:type="auto"/>
            <w:shd w:val="clear" w:color="auto" w:fill="auto"/>
          </w:tcPr>
          <w:p w14:paraId="5EA26B7A" w14:textId="77777777" w:rsidR="003C66EB" w:rsidRDefault="003C66EB">
            <w:pPr>
              <w:rPr>
                <w:rFonts w:ascii="宋体"/>
                <w:vanish/>
              </w:rPr>
            </w:pPr>
          </w:p>
        </w:tc>
        <w:tc>
          <w:tcPr>
            <w:tcW w:w="0" w:type="auto"/>
            <w:shd w:val="clear" w:color="auto" w:fill="auto"/>
          </w:tcPr>
          <w:p w14:paraId="5EA26B7B" w14:textId="77777777" w:rsidR="003C66EB" w:rsidRDefault="003C66EB">
            <w:pPr>
              <w:rPr>
                <w:rFonts w:ascii="宋体"/>
                <w:vanish/>
              </w:rPr>
            </w:pPr>
          </w:p>
        </w:tc>
      </w:tr>
      <w:tr w:rsidR="003C66EB" w14:paraId="5EA26B87" w14:textId="77777777">
        <w:tc>
          <w:tcPr>
            <w:tcW w:w="0" w:type="auto"/>
            <w:gridSpan w:val="3"/>
            <w:shd w:val="clear" w:color="auto" w:fill="FFFFFF"/>
            <w:tcMar>
              <w:top w:w="40" w:type="dxa"/>
              <w:left w:w="20" w:type="dxa"/>
              <w:bottom w:w="40" w:type="dxa"/>
              <w:right w:w="20" w:type="dxa"/>
            </w:tcMar>
            <w:vAlign w:val="bottom"/>
          </w:tcPr>
          <w:p w14:paraId="5EA26B7D" w14:textId="77777777" w:rsidR="003C66EB" w:rsidRDefault="00D96C4E">
            <w:pPr>
              <w:textAlignment w:val="bottom"/>
            </w:pPr>
            <w:r>
              <w:rPr>
                <w:rFonts w:ascii="Arial" w:eastAsia="宋体" w:hAnsi="Arial" w:cs="Arial"/>
                <w:color w:val="000000"/>
                <w:sz w:val="13"/>
                <w:szCs w:val="13"/>
              </w:rPr>
              <w:t>Net unrealized gains (losses) on hedges of net investments in non-U.S. subsidiaries</w:t>
            </w:r>
          </w:p>
        </w:tc>
        <w:tc>
          <w:tcPr>
            <w:tcW w:w="0" w:type="auto"/>
            <w:gridSpan w:val="2"/>
            <w:shd w:val="clear" w:color="auto" w:fill="FFFFFF"/>
            <w:tcMar>
              <w:top w:w="40" w:type="dxa"/>
              <w:left w:w="20" w:type="dxa"/>
              <w:bottom w:w="40" w:type="dxa"/>
              <w:right w:w="0" w:type="dxa"/>
            </w:tcMar>
            <w:vAlign w:val="bottom"/>
          </w:tcPr>
          <w:p w14:paraId="5EA26B7E" w14:textId="77777777" w:rsidR="003C66EB" w:rsidRDefault="00D96C4E">
            <w:pPr>
              <w:jc w:val="right"/>
              <w:textAlignment w:val="bottom"/>
            </w:pPr>
            <w:r>
              <w:rPr>
                <w:rFonts w:ascii="Arial" w:eastAsia="宋体" w:hAnsi="Arial" w:cs="Arial"/>
                <w:b/>
                <w:bCs/>
                <w:color w:val="000000"/>
                <w:sz w:val="13"/>
                <w:szCs w:val="13"/>
              </w:rPr>
              <w:t>(69)</w:t>
            </w:r>
          </w:p>
        </w:tc>
        <w:tc>
          <w:tcPr>
            <w:tcW w:w="0" w:type="auto"/>
            <w:shd w:val="clear" w:color="auto" w:fill="FFFFFF"/>
            <w:tcMar>
              <w:top w:w="40" w:type="dxa"/>
              <w:left w:w="0" w:type="dxa"/>
              <w:bottom w:w="40" w:type="dxa"/>
              <w:right w:w="20" w:type="dxa"/>
            </w:tcMar>
            <w:vAlign w:val="bottom"/>
          </w:tcPr>
          <w:p w14:paraId="5EA26B7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B8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B81" w14:textId="77777777" w:rsidR="003C66EB" w:rsidRDefault="00D96C4E">
            <w:pPr>
              <w:jc w:val="right"/>
              <w:textAlignment w:val="bottom"/>
            </w:pPr>
            <w:r>
              <w:rPr>
                <w:rFonts w:ascii="Arial" w:eastAsia="宋体" w:hAnsi="Arial" w:cs="Arial"/>
                <w:color w:val="000000"/>
                <w:sz w:val="13"/>
                <w:szCs w:val="13"/>
              </w:rPr>
              <w:t>154 </w:t>
            </w:r>
          </w:p>
        </w:tc>
        <w:tc>
          <w:tcPr>
            <w:tcW w:w="0" w:type="auto"/>
            <w:shd w:val="clear" w:color="auto" w:fill="FFFFFF"/>
            <w:tcMar>
              <w:top w:w="40" w:type="dxa"/>
              <w:left w:w="0" w:type="dxa"/>
              <w:bottom w:w="40" w:type="dxa"/>
              <w:right w:w="20" w:type="dxa"/>
            </w:tcMar>
            <w:vAlign w:val="bottom"/>
          </w:tcPr>
          <w:p w14:paraId="5EA26B82" w14:textId="77777777" w:rsidR="003C66EB" w:rsidRDefault="003C66EB">
            <w:pPr>
              <w:jc w:val="right"/>
              <w:rPr>
                <w:rFonts w:ascii="宋体"/>
              </w:rPr>
            </w:pPr>
          </w:p>
        </w:tc>
        <w:tc>
          <w:tcPr>
            <w:tcW w:w="0" w:type="auto"/>
            <w:shd w:val="clear" w:color="auto" w:fill="auto"/>
          </w:tcPr>
          <w:p w14:paraId="5EA26B83" w14:textId="77777777" w:rsidR="003C66EB" w:rsidRDefault="003C66EB">
            <w:pPr>
              <w:rPr>
                <w:rFonts w:ascii="宋体"/>
                <w:vanish/>
              </w:rPr>
            </w:pPr>
          </w:p>
        </w:tc>
        <w:tc>
          <w:tcPr>
            <w:tcW w:w="0" w:type="auto"/>
            <w:shd w:val="clear" w:color="auto" w:fill="auto"/>
          </w:tcPr>
          <w:p w14:paraId="5EA26B84" w14:textId="77777777" w:rsidR="003C66EB" w:rsidRDefault="003C66EB">
            <w:pPr>
              <w:rPr>
                <w:rFonts w:ascii="宋体"/>
                <w:vanish/>
              </w:rPr>
            </w:pPr>
          </w:p>
        </w:tc>
        <w:tc>
          <w:tcPr>
            <w:tcW w:w="0" w:type="auto"/>
            <w:shd w:val="clear" w:color="auto" w:fill="auto"/>
          </w:tcPr>
          <w:p w14:paraId="5EA26B85" w14:textId="77777777" w:rsidR="003C66EB" w:rsidRDefault="003C66EB">
            <w:pPr>
              <w:rPr>
                <w:rFonts w:ascii="宋体"/>
                <w:vanish/>
              </w:rPr>
            </w:pPr>
          </w:p>
        </w:tc>
        <w:tc>
          <w:tcPr>
            <w:tcW w:w="0" w:type="auto"/>
            <w:shd w:val="clear" w:color="auto" w:fill="auto"/>
          </w:tcPr>
          <w:p w14:paraId="5EA26B86" w14:textId="77777777" w:rsidR="003C66EB" w:rsidRDefault="003C66EB">
            <w:pPr>
              <w:rPr>
                <w:rFonts w:ascii="宋体"/>
                <w:vanish/>
              </w:rPr>
            </w:pPr>
          </w:p>
        </w:tc>
      </w:tr>
      <w:tr w:rsidR="003C66EB" w14:paraId="5EA26B92" w14:textId="77777777">
        <w:tc>
          <w:tcPr>
            <w:tcW w:w="0" w:type="auto"/>
            <w:gridSpan w:val="3"/>
            <w:shd w:val="clear" w:color="auto" w:fill="CCEEFF"/>
            <w:tcMar>
              <w:top w:w="40" w:type="dxa"/>
              <w:left w:w="20" w:type="dxa"/>
              <w:bottom w:w="40" w:type="dxa"/>
              <w:right w:w="20" w:type="dxa"/>
            </w:tcMar>
            <w:vAlign w:val="bottom"/>
          </w:tcPr>
          <w:p w14:paraId="5EA26B88" w14:textId="77777777" w:rsidR="003C66EB" w:rsidRDefault="00D96C4E">
            <w:pPr>
              <w:textAlignment w:val="bottom"/>
            </w:pPr>
            <w:r>
              <w:rPr>
                <w:rFonts w:ascii="Arial" w:eastAsia="宋体" w:hAnsi="Arial" w:cs="Arial"/>
                <w:color w:val="000000"/>
                <w:sz w:val="13"/>
                <w:szCs w:val="13"/>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5EA26B89" w14:textId="77777777" w:rsidR="003C66EB" w:rsidRDefault="00D96C4E">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5EA26B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B8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B8C" w14:textId="77777777" w:rsidR="003C66EB" w:rsidRDefault="00D96C4E">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EA26B8D" w14:textId="77777777" w:rsidR="003C66EB" w:rsidRDefault="003C66EB">
            <w:pPr>
              <w:jc w:val="right"/>
              <w:rPr>
                <w:rFonts w:ascii="宋体"/>
              </w:rPr>
            </w:pPr>
          </w:p>
        </w:tc>
        <w:tc>
          <w:tcPr>
            <w:tcW w:w="0" w:type="auto"/>
            <w:shd w:val="clear" w:color="auto" w:fill="auto"/>
          </w:tcPr>
          <w:p w14:paraId="5EA26B8E" w14:textId="77777777" w:rsidR="003C66EB" w:rsidRDefault="003C66EB">
            <w:pPr>
              <w:rPr>
                <w:rFonts w:ascii="宋体"/>
                <w:vanish/>
              </w:rPr>
            </w:pPr>
          </w:p>
        </w:tc>
        <w:tc>
          <w:tcPr>
            <w:tcW w:w="0" w:type="auto"/>
            <w:shd w:val="clear" w:color="auto" w:fill="auto"/>
          </w:tcPr>
          <w:p w14:paraId="5EA26B8F" w14:textId="77777777" w:rsidR="003C66EB" w:rsidRDefault="003C66EB">
            <w:pPr>
              <w:rPr>
                <w:rFonts w:ascii="宋体"/>
                <w:vanish/>
              </w:rPr>
            </w:pPr>
          </w:p>
        </w:tc>
        <w:tc>
          <w:tcPr>
            <w:tcW w:w="0" w:type="auto"/>
            <w:shd w:val="clear" w:color="auto" w:fill="auto"/>
          </w:tcPr>
          <w:p w14:paraId="5EA26B90" w14:textId="77777777" w:rsidR="003C66EB" w:rsidRDefault="003C66EB">
            <w:pPr>
              <w:rPr>
                <w:rFonts w:ascii="宋体"/>
                <w:vanish/>
              </w:rPr>
            </w:pPr>
          </w:p>
        </w:tc>
        <w:tc>
          <w:tcPr>
            <w:tcW w:w="0" w:type="auto"/>
            <w:shd w:val="clear" w:color="auto" w:fill="auto"/>
          </w:tcPr>
          <w:p w14:paraId="5EA26B91" w14:textId="77777777" w:rsidR="003C66EB" w:rsidRDefault="003C66EB">
            <w:pPr>
              <w:rPr>
                <w:rFonts w:ascii="宋体"/>
                <w:vanish/>
              </w:rPr>
            </w:pPr>
          </w:p>
        </w:tc>
      </w:tr>
      <w:tr w:rsidR="003C66EB" w14:paraId="5EA26B9D" w14:textId="77777777">
        <w:tc>
          <w:tcPr>
            <w:tcW w:w="0" w:type="auto"/>
            <w:gridSpan w:val="3"/>
            <w:shd w:val="clear" w:color="auto" w:fill="FFFFFF"/>
            <w:tcMar>
              <w:top w:w="40" w:type="dxa"/>
              <w:left w:w="20" w:type="dxa"/>
              <w:bottom w:w="40" w:type="dxa"/>
              <w:right w:w="20" w:type="dxa"/>
            </w:tcMar>
            <w:vAlign w:val="bottom"/>
          </w:tcPr>
          <w:p w14:paraId="5EA26B93" w14:textId="77777777" w:rsidR="003C66EB" w:rsidRDefault="00D96C4E">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FFFFFF"/>
            <w:tcMar>
              <w:top w:w="40" w:type="dxa"/>
              <w:left w:w="20" w:type="dxa"/>
              <w:bottom w:w="40" w:type="dxa"/>
              <w:right w:w="0" w:type="dxa"/>
            </w:tcMar>
            <w:vAlign w:val="bottom"/>
          </w:tcPr>
          <w:p w14:paraId="5EA26B94" w14:textId="77777777" w:rsidR="003C66EB" w:rsidRDefault="00D96C4E">
            <w:pPr>
              <w:jc w:val="right"/>
              <w:textAlignment w:val="bottom"/>
            </w:pPr>
            <w:r>
              <w:rPr>
                <w:rFonts w:ascii="Arial" w:eastAsia="宋体" w:hAnsi="Arial" w:cs="Arial"/>
                <w:b/>
                <w:bCs/>
                <w:color w:val="000000"/>
                <w:sz w:val="13"/>
                <w:szCs w:val="13"/>
              </w:rPr>
              <w:t>(170)</w:t>
            </w:r>
          </w:p>
        </w:tc>
        <w:tc>
          <w:tcPr>
            <w:tcW w:w="0" w:type="auto"/>
            <w:shd w:val="clear" w:color="auto" w:fill="FFFFFF"/>
            <w:tcMar>
              <w:top w:w="40" w:type="dxa"/>
              <w:left w:w="0" w:type="dxa"/>
              <w:bottom w:w="40" w:type="dxa"/>
              <w:right w:w="20" w:type="dxa"/>
            </w:tcMar>
            <w:vAlign w:val="bottom"/>
          </w:tcPr>
          <w:p w14:paraId="5EA26B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B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B97" w14:textId="77777777" w:rsidR="003C66EB" w:rsidRDefault="00D96C4E">
            <w:pPr>
              <w:jc w:val="right"/>
              <w:textAlignment w:val="bottom"/>
            </w:pPr>
            <w:r>
              <w:rPr>
                <w:rFonts w:ascii="Arial" w:eastAsia="宋体" w:hAnsi="Arial" w:cs="Arial"/>
                <w:color w:val="000000"/>
                <w:sz w:val="13"/>
                <w:szCs w:val="13"/>
              </w:rPr>
              <w:t>(175)</w:t>
            </w:r>
          </w:p>
        </w:tc>
        <w:tc>
          <w:tcPr>
            <w:tcW w:w="0" w:type="auto"/>
            <w:shd w:val="clear" w:color="auto" w:fill="FFFFFF"/>
            <w:tcMar>
              <w:top w:w="40" w:type="dxa"/>
              <w:left w:w="0" w:type="dxa"/>
              <w:bottom w:w="40" w:type="dxa"/>
              <w:right w:w="20" w:type="dxa"/>
            </w:tcMar>
            <w:vAlign w:val="bottom"/>
          </w:tcPr>
          <w:p w14:paraId="5EA26B98" w14:textId="77777777" w:rsidR="003C66EB" w:rsidRDefault="003C66EB">
            <w:pPr>
              <w:jc w:val="right"/>
              <w:rPr>
                <w:rFonts w:ascii="宋体"/>
              </w:rPr>
            </w:pPr>
          </w:p>
        </w:tc>
        <w:tc>
          <w:tcPr>
            <w:tcW w:w="0" w:type="auto"/>
            <w:shd w:val="clear" w:color="auto" w:fill="auto"/>
          </w:tcPr>
          <w:p w14:paraId="5EA26B99" w14:textId="77777777" w:rsidR="003C66EB" w:rsidRDefault="003C66EB">
            <w:pPr>
              <w:rPr>
                <w:rFonts w:ascii="宋体"/>
                <w:vanish/>
              </w:rPr>
            </w:pPr>
          </w:p>
        </w:tc>
        <w:tc>
          <w:tcPr>
            <w:tcW w:w="0" w:type="auto"/>
            <w:shd w:val="clear" w:color="auto" w:fill="auto"/>
          </w:tcPr>
          <w:p w14:paraId="5EA26B9A" w14:textId="77777777" w:rsidR="003C66EB" w:rsidRDefault="003C66EB">
            <w:pPr>
              <w:rPr>
                <w:rFonts w:ascii="宋体"/>
                <w:vanish/>
              </w:rPr>
            </w:pPr>
          </w:p>
        </w:tc>
        <w:tc>
          <w:tcPr>
            <w:tcW w:w="0" w:type="auto"/>
            <w:shd w:val="clear" w:color="auto" w:fill="auto"/>
          </w:tcPr>
          <w:p w14:paraId="5EA26B9B" w14:textId="77777777" w:rsidR="003C66EB" w:rsidRDefault="003C66EB">
            <w:pPr>
              <w:rPr>
                <w:rFonts w:ascii="宋体"/>
                <w:vanish/>
              </w:rPr>
            </w:pPr>
          </w:p>
        </w:tc>
        <w:tc>
          <w:tcPr>
            <w:tcW w:w="0" w:type="auto"/>
            <w:shd w:val="clear" w:color="auto" w:fill="auto"/>
          </w:tcPr>
          <w:p w14:paraId="5EA26B9C" w14:textId="77777777" w:rsidR="003C66EB" w:rsidRDefault="003C66EB">
            <w:pPr>
              <w:rPr>
                <w:rFonts w:ascii="宋体"/>
                <w:vanish/>
              </w:rPr>
            </w:pPr>
          </w:p>
        </w:tc>
      </w:tr>
      <w:tr w:rsidR="003C66EB" w14:paraId="5EA26BA8" w14:textId="77777777">
        <w:tc>
          <w:tcPr>
            <w:tcW w:w="0" w:type="auto"/>
            <w:gridSpan w:val="3"/>
            <w:shd w:val="clear" w:color="auto" w:fill="CCEEFF"/>
            <w:tcMar>
              <w:top w:w="40" w:type="dxa"/>
              <w:left w:w="20" w:type="dxa"/>
              <w:bottom w:w="40" w:type="dxa"/>
              <w:right w:w="20" w:type="dxa"/>
            </w:tcMar>
            <w:vAlign w:val="bottom"/>
          </w:tcPr>
          <w:p w14:paraId="5EA26B9E" w14:textId="77777777" w:rsidR="003C66EB" w:rsidRDefault="00D96C4E">
            <w:pPr>
              <w:textAlignment w:val="bottom"/>
            </w:pPr>
            <w:r>
              <w:rPr>
                <w:rFonts w:ascii="Arial" w:eastAsia="宋体" w:hAnsi="Arial" w:cs="Arial"/>
                <w:color w:val="000000"/>
                <w:sz w:val="13"/>
                <w:szCs w:val="13"/>
              </w:rPr>
              <w:t>Foreign currency translation</w:t>
            </w:r>
          </w:p>
        </w:tc>
        <w:tc>
          <w:tcPr>
            <w:tcW w:w="0" w:type="auto"/>
            <w:gridSpan w:val="2"/>
            <w:shd w:val="clear" w:color="auto" w:fill="CCEEFF"/>
            <w:tcMar>
              <w:top w:w="40" w:type="dxa"/>
              <w:left w:w="20" w:type="dxa"/>
              <w:bottom w:w="40" w:type="dxa"/>
              <w:right w:w="0" w:type="dxa"/>
            </w:tcMar>
            <w:vAlign w:val="bottom"/>
          </w:tcPr>
          <w:p w14:paraId="5EA26B9F" w14:textId="77777777" w:rsidR="003C66EB" w:rsidRDefault="00D96C4E">
            <w:pPr>
              <w:jc w:val="right"/>
              <w:textAlignment w:val="bottom"/>
            </w:pPr>
            <w:r>
              <w:rPr>
                <w:rFonts w:ascii="Arial" w:eastAsia="宋体" w:hAnsi="Arial" w:cs="Arial"/>
                <w:b/>
                <w:bCs/>
                <w:color w:val="000000"/>
                <w:sz w:val="13"/>
                <w:szCs w:val="13"/>
              </w:rPr>
              <w:t>(669)</w:t>
            </w:r>
          </w:p>
        </w:tc>
        <w:tc>
          <w:tcPr>
            <w:tcW w:w="0" w:type="auto"/>
            <w:shd w:val="clear" w:color="auto" w:fill="CCEEFF"/>
            <w:tcMar>
              <w:top w:w="40" w:type="dxa"/>
              <w:left w:w="0" w:type="dxa"/>
              <w:bottom w:w="40" w:type="dxa"/>
              <w:right w:w="20" w:type="dxa"/>
            </w:tcMar>
            <w:vAlign w:val="bottom"/>
          </w:tcPr>
          <w:p w14:paraId="5EA26BA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BA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BA2" w14:textId="77777777" w:rsidR="003C66EB" w:rsidRDefault="00D96C4E">
            <w:pPr>
              <w:jc w:val="right"/>
              <w:textAlignment w:val="bottom"/>
            </w:pPr>
            <w:r>
              <w:rPr>
                <w:rFonts w:ascii="Arial" w:eastAsia="宋体" w:hAnsi="Arial" w:cs="Arial"/>
                <w:color w:val="000000"/>
                <w:sz w:val="13"/>
                <w:szCs w:val="13"/>
              </w:rPr>
              <w:t>(1,480)</w:t>
            </w:r>
          </w:p>
        </w:tc>
        <w:tc>
          <w:tcPr>
            <w:tcW w:w="0" w:type="auto"/>
            <w:shd w:val="clear" w:color="auto" w:fill="CCEEFF"/>
            <w:tcMar>
              <w:top w:w="40" w:type="dxa"/>
              <w:left w:w="0" w:type="dxa"/>
              <w:bottom w:w="40" w:type="dxa"/>
              <w:right w:w="20" w:type="dxa"/>
            </w:tcMar>
            <w:vAlign w:val="bottom"/>
          </w:tcPr>
          <w:p w14:paraId="5EA26BA3" w14:textId="77777777" w:rsidR="003C66EB" w:rsidRDefault="003C66EB">
            <w:pPr>
              <w:jc w:val="right"/>
              <w:rPr>
                <w:rFonts w:ascii="宋体"/>
              </w:rPr>
            </w:pPr>
          </w:p>
        </w:tc>
        <w:tc>
          <w:tcPr>
            <w:tcW w:w="0" w:type="auto"/>
            <w:shd w:val="clear" w:color="auto" w:fill="auto"/>
          </w:tcPr>
          <w:p w14:paraId="5EA26BA4" w14:textId="77777777" w:rsidR="003C66EB" w:rsidRDefault="003C66EB">
            <w:pPr>
              <w:rPr>
                <w:rFonts w:ascii="宋体"/>
                <w:vanish/>
              </w:rPr>
            </w:pPr>
          </w:p>
        </w:tc>
        <w:tc>
          <w:tcPr>
            <w:tcW w:w="0" w:type="auto"/>
            <w:shd w:val="clear" w:color="auto" w:fill="auto"/>
          </w:tcPr>
          <w:p w14:paraId="5EA26BA5" w14:textId="77777777" w:rsidR="003C66EB" w:rsidRDefault="003C66EB">
            <w:pPr>
              <w:rPr>
                <w:rFonts w:ascii="宋体"/>
                <w:vanish/>
              </w:rPr>
            </w:pPr>
          </w:p>
        </w:tc>
        <w:tc>
          <w:tcPr>
            <w:tcW w:w="0" w:type="auto"/>
            <w:shd w:val="clear" w:color="auto" w:fill="auto"/>
          </w:tcPr>
          <w:p w14:paraId="5EA26BA6" w14:textId="77777777" w:rsidR="003C66EB" w:rsidRDefault="003C66EB">
            <w:pPr>
              <w:rPr>
                <w:rFonts w:ascii="宋体"/>
                <w:vanish/>
              </w:rPr>
            </w:pPr>
          </w:p>
        </w:tc>
        <w:tc>
          <w:tcPr>
            <w:tcW w:w="0" w:type="auto"/>
            <w:shd w:val="clear" w:color="auto" w:fill="auto"/>
          </w:tcPr>
          <w:p w14:paraId="5EA26BA7" w14:textId="77777777" w:rsidR="003C66EB" w:rsidRDefault="003C66EB">
            <w:pPr>
              <w:rPr>
                <w:rFonts w:ascii="宋体"/>
                <w:vanish/>
              </w:rPr>
            </w:pPr>
          </w:p>
        </w:tc>
      </w:tr>
      <w:tr w:rsidR="003C66EB" w14:paraId="5EA26BB5" w14:textId="77777777">
        <w:tc>
          <w:tcPr>
            <w:tcW w:w="0" w:type="auto"/>
            <w:gridSpan w:val="3"/>
            <w:shd w:val="clear" w:color="auto" w:fill="FFFFFF"/>
            <w:tcMar>
              <w:top w:w="40" w:type="dxa"/>
              <w:left w:w="20" w:type="dxa"/>
              <w:bottom w:w="40" w:type="dxa"/>
              <w:right w:w="20" w:type="dxa"/>
            </w:tcMar>
            <w:vAlign w:val="bottom"/>
          </w:tcPr>
          <w:p w14:paraId="5EA26BA9" w14:textId="77777777" w:rsidR="003C66EB" w:rsidRDefault="00D96C4E">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BAA"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BAB" w14:textId="77777777" w:rsidR="003C66EB" w:rsidRDefault="00D96C4E">
            <w:pPr>
              <w:jc w:val="right"/>
              <w:textAlignment w:val="bottom"/>
            </w:pPr>
            <w:r>
              <w:rPr>
                <w:rFonts w:ascii="Arial" w:eastAsia="宋体" w:hAnsi="Arial" w:cs="Arial"/>
                <w:b/>
                <w:bCs/>
                <w:color w:val="000000"/>
                <w:sz w:val="13"/>
                <w:szCs w:val="13"/>
              </w:rPr>
              <w:t>(418)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BA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BAD"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BAE"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BAF" w14:textId="77777777" w:rsidR="003C66EB" w:rsidRDefault="00D96C4E">
            <w:pPr>
              <w:jc w:val="right"/>
              <w:textAlignment w:val="bottom"/>
            </w:pPr>
            <w:r>
              <w:rPr>
                <w:rFonts w:ascii="Arial" w:eastAsia="宋体" w:hAnsi="Arial" w:cs="Arial"/>
                <w:color w:val="000000"/>
                <w:sz w:val="13"/>
                <w:szCs w:val="13"/>
              </w:rPr>
              <w:t>(920)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BB0" w14:textId="77777777" w:rsidR="003C66EB" w:rsidRDefault="003C66EB">
            <w:pPr>
              <w:jc w:val="right"/>
              <w:rPr>
                <w:rFonts w:ascii="宋体"/>
              </w:rPr>
            </w:pPr>
          </w:p>
        </w:tc>
        <w:tc>
          <w:tcPr>
            <w:tcW w:w="0" w:type="auto"/>
            <w:shd w:val="clear" w:color="auto" w:fill="auto"/>
          </w:tcPr>
          <w:p w14:paraId="5EA26BB1" w14:textId="77777777" w:rsidR="003C66EB" w:rsidRDefault="003C66EB">
            <w:pPr>
              <w:rPr>
                <w:rFonts w:ascii="宋体"/>
                <w:vanish/>
              </w:rPr>
            </w:pPr>
          </w:p>
        </w:tc>
        <w:tc>
          <w:tcPr>
            <w:tcW w:w="0" w:type="auto"/>
            <w:shd w:val="clear" w:color="auto" w:fill="auto"/>
          </w:tcPr>
          <w:p w14:paraId="5EA26BB2" w14:textId="77777777" w:rsidR="003C66EB" w:rsidRDefault="003C66EB">
            <w:pPr>
              <w:rPr>
                <w:rFonts w:ascii="宋体"/>
                <w:vanish/>
              </w:rPr>
            </w:pPr>
          </w:p>
        </w:tc>
        <w:tc>
          <w:tcPr>
            <w:tcW w:w="0" w:type="auto"/>
            <w:shd w:val="clear" w:color="auto" w:fill="auto"/>
          </w:tcPr>
          <w:p w14:paraId="5EA26BB3" w14:textId="77777777" w:rsidR="003C66EB" w:rsidRDefault="003C66EB">
            <w:pPr>
              <w:rPr>
                <w:rFonts w:ascii="宋体"/>
                <w:vanish/>
              </w:rPr>
            </w:pPr>
          </w:p>
        </w:tc>
        <w:tc>
          <w:tcPr>
            <w:tcW w:w="0" w:type="auto"/>
            <w:shd w:val="clear" w:color="auto" w:fill="auto"/>
          </w:tcPr>
          <w:p w14:paraId="5EA26BB4" w14:textId="77777777" w:rsidR="003C66EB" w:rsidRDefault="003C66EB">
            <w:pPr>
              <w:rPr>
                <w:rFonts w:ascii="宋体"/>
                <w:vanish/>
              </w:rPr>
            </w:pPr>
          </w:p>
        </w:tc>
      </w:tr>
    </w:tbl>
    <w:p w14:paraId="5EA26BB6" w14:textId="77777777" w:rsidR="003C66EB" w:rsidRDefault="00D96C4E">
      <w:pPr>
        <w:spacing w:before="120"/>
        <w:ind w:firstLine="450"/>
      </w:pPr>
      <w:r>
        <w:rPr>
          <w:rFonts w:ascii="Arial" w:eastAsia="宋体" w:hAnsi="Arial" w:cs="Arial"/>
          <w:color w:val="000000"/>
          <w:sz w:val="20"/>
          <w:szCs w:val="20"/>
        </w:rPr>
        <w:t>The following table presents changes in AOCI by component, net of related taxes,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1339"/>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304"/>
        <w:gridCol w:w="36"/>
      </w:tblGrid>
      <w:tr w:rsidR="003C66EB" w14:paraId="5EA26BE1" w14:textId="77777777">
        <w:tc>
          <w:tcPr>
            <w:tcW w:w="50" w:type="pct"/>
            <w:shd w:val="clear" w:color="auto" w:fill="auto"/>
          </w:tcPr>
          <w:p w14:paraId="5EA26BB7" w14:textId="77777777" w:rsidR="003C66EB" w:rsidRDefault="003C66EB">
            <w:pPr>
              <w:rPr>
                <w:rFonts w:ascii="宋体"/>
              </w:rPr>
            </w:pPr>
          </w:p>
        </w:tc>
        <w:tc>
          <w:tcPr>
            <w:tcW w:w="1303" w:type="pct"/>
            <w:shd w:val="clear" w:color="auto" w:fill="auto"/>
          </w:tcPr>
          <w:p w14:paraId="5EA26BB8" w14:textId="77777777" w:rsidR="003C66EB" w:rsidRDefault="003C66EB">
            <w:pPr>
              <w:rPr>
                <w:rFonts w:ascii="宋体"/>
              </w:rPr>
            </w:pPr>
          </w:p>
        </w:tc>
        <w:tc>
          <w:tcPr>
            <w:tcW w:w="5" w:type="pct"/>
            <w:shd w:val="clear" w:color="auto" w:fill="auto"/>
          </w:tcPr>
          <w:p w14:paraId="5EA26BB9" w14:textId="77777777" w:rsidR="003C66EB" w:rsidRDefault="003C66EB">
            <w:pPr>
              <w:rPr>
                <w:rFonts w:ascii="宋体"/>
              </w:rPr>
            </w:pPr>
          </w:p>
        </w:tc>
        <w:tc>
          <w:tcPr>
            <w:tcW w:w="50" w:type="pct"/>
            <w:shd w:val="clear" w:color="auto" w:fill="auto"/>
          </w:tcPr>
          <w:p w14:paraId="5EA26BBA" w14:textId="77777777" w:rsidR="003C66EB" w:rsidRDefault="003C66EB">
            <w:pPr>
              <w:rPr>
                <w:rFonts w:ascii="宋体"/>
              </w:rPr>
            </w:pPr>
          </w:p>
        </w:tc>
        <w:tc>
          <w:tcPr>
            <w:tcW w:w="495" w:type="pct"/>
            <w:shd w:val="clear" w:color="auto" w:fill="auto"/>
          </w:tcPr>
          <w:p w14:paraId="5EA26BBB" w14:textId="77777777" w:rsidR="003C66EB" w:rsidRDefault="003C66EB">
            <w:pPr>
              <w:rPr>
                <w:rFonts w:ascii="宋体"/>
              </w:rPr>
            </w:pPr>
          </w:p>
        </w:tc>
        <w:tc>
          <w:tcPr>
            <w:tcW w:w="5" w:type="pct"/>
            <w:shd w:val="clear" w:color="auto" w:fill="auto"/>
          </w:tcPr>
          <w:p w14:paraId="5EA26BBC" w14:textId="77777777" w:rsidR="003C66EB" w:rsidRDefault="003C66EB">
            <w:pPr>
              <w:rPr>
                <w:rFonts w:ascii="宋体"/>
              </w:rPr>
            </w:pPr>
          </w:p>
        </w:tc>
        <w:tc>
          <w:tcPr>
            <w:tcW w:w="5" w:type="pct"/>
            <w:shd w:val="clear" w:color="auto" w:fill="auto"/>
          </w:tcPr>
          <w:p w14:paraId="5EA26BBD" w14:textId="77777777" w:rsidR="003C66EB" w:rsidRDefault="003C66EB">
            <w:pPr>
              <w:rPr>
                <w:rFonts w:ascii="宋体"/>
              </w:rPr>
            </w:pPr>
          </w:p>
        </w:tc>
        <w:tc>
          <w:tcPr>
            <w:tcW w:w="19" w:type="pct"/>
            <w:shd w:val="clear" w:color="auto" w:fill="auto"/>
          </w:tcPr>
          <w:p w14:paraId="5EA26BBE" w14:textId="77777777" w:rsidR="003C66EB" w:rsidRDefault="003C66EB">
            <w:pPr>
              <w:rPr>
                <w:rFonts w:ascii="宋体"/>
              </w:rPr>
            </w:pPr>
          </w:p>
        </w:tc>
        <w:tc>
          <w:tcPr>
            <w:tcW w:w="5" w:type="pct"/>
            <w:shd w:val="clear" w:color="auto" w:fill="auto"/>
          </w:tcPr>
          <w:p w14:paraId="5EA26BBF" w14:textId="77777777" w:rsidR="003C66EB" w:rsidRDefault="003C66EB">
            <w:pPr>
              <w:rPr>
                <w:rFonts w:ascii="宋体"/>
              </w:rPr>
            </w:pPr>
          </w:p>
        </w:tc>
        <w:tc>
          <w:tcPr>
            <w:tcW w:w="50" w:type="pct"/>
            <w:shd w:val="clear" w:color="auto" w:fill="auto"/>
          </w:tcPr>
          <w:p w14:paraId="5EA26BC0" w14:textId="77777777" w:rsidR="003C66EB" w:rsidRDefault="003C66EB">
            <w:pPr>
              <w:rPr>
                <w:rFonts w:ascii="宋体"/>
              </w:rPr>
            </w:pPr>
          </w:p>
        </w:tc>
        <w:tc>
          <w:tcPr>
            <w:tcW w:w="451" w:type="pct"/>
            <w:shd w:val="clear" w:color="auto" w:fill="auto"/>
          </w:tcPr>
          <w:p w14:paraId="5EA26BC1" w14:textId="77777777" w:rsidR="003C66EB" w:rsidRDefault="003C66EB">
            <w:pPr>
              <w:rPr>
                <w:rFonts w:ascii="宋体"/>
              </w:rPr>
            </w:pPr>
          </w:p>
        </w:tc>
        <w:tc>
          <w:tcPr>
            <w:tcW w:w="5" w:type="pct"/>
            <w:shd w:val="clear" w:color="auto" w:fill="auto"/>
          </w:tcPr>
          <w:p w14:paraId="5EA26BC2" w14:textId="77777777" w:rsidR="003C66EB" w:rsidRDefault="003C66EB">
            <w:pPr>
              <w:rPr>
                <w:rFonts w:ascii="宋体"/>
              </w:rPr>
            </w:pPr>
          </w:p>
        </w:tc>
        <w:tc>
          <w:tcPr>
            <w:tcW w:w="5" w:type="pct"/>
            <w:shd w:val="clear" w:color="auto" w:fill="auto"/>
          </w:tcPr>
          <w:p w14:paraId="5EA26BC3" w14:textId="77777777" w:rsidR="003C66EB" w:rsidRDefault="003C66EB">
            <w:pPr>
              <w:rPr>
                <w:rFonts w:ascii="宋体"/>
              </w:rPr>
            </w:pPr>
          </w:p>
        </w:tc>
        <w:tc>
          <w:tcPr>
            <w:tcW w:w="19" w:type="pct"/>
            <w:shd w:val="clear" w:color="auto" w:fill="auto"/>
          </w:tcPr>
          <w:p w14:paraId="5EA26BC4" w14:textId="77777777" w:rsidR="003C66EB" w:rsidRDefault="003C66EB">
            <w:pPr>
              <w:rPr>
                <w:rFonts w:ascii="宋体"/>
              </w:rPr>
            </w:pPr>
          </w:p>
        </w:tc>
        <w:tc>
          <w:tcPr>
            <w:tcW w:w="5" w:type="pct"/>
            <w:shd w:val="clear" w:color="auto" w:fill="auto"/>
          </w:tcPr>
          <w:p w14:paraId="5EA26BC5" w14:textId="77777777" w:rsidR="003C66EB" w:rsidRDefault="003C66EB">
            <w:pPr>
              <w:rPr>
                <w:rFonts w:ascii="宋体"/>
              </w:rPr>
            </w:pPr>
          </w:p>
        </w:tc>
        <w:tc>
          <w:tcPr>
            <w:tcW w:w="50" w:type="pct"/>
            <w:shd w:val="clear" w:color="auto" w:fill="auto"/>
          </w:tcPr>
          <w:p w14:paraId="5EA26BC6" w14:textId="77777777" w:rsidR="003C66EB" w:rsidRDefault="003C66EB">
            <w:pPr>
              <w:rPr>
                <w:rFonts w:ascii="宋体"/>
              </w:rPr>
            </w:pPr>
          </w:p>
        </w:tc>
        <w:tc>
          <w:tcPr>
            <w:tcW w:w="613" w:type="pct"/>
            <w:shd w:val="clear" w:color="auto" w:fill="auto"/>
          </w:tcPr>
          <w:p w14:paraId="5EA26BC7" w14:textId="77777777" w:rsidR="003C66EB" w:rsidRDefault="003C66EB">
            <w:pPr>
              <w:rPr>
                <w:rFonts w:ascii="宋体"/>
              </w:rPr>
            </w:pPr>
          </w:p>
        </w:tc>
        <w:tc>
          <w:tcPr>
            <w:tcW w:w="5" w:type="pct"/>
            <w:shd w:val="clear" w:color="auto" w:fill="auto"/>
          </w:tcPr>
          <w:p w14:paraId="5EA26BC8" w14:textId="77777777" w:rsidR="003C66EB" w:rsidRDefault="003C66EB">
            <w:pPr>
              <w:rPr>
                <w:rFonts w:ascii="宋体"/>
              </w:rPr>
            </w:pPr>
          </w:p>
        </w:tc>
        <w:tc>
          <w:tcPr>
            <w:tcW w:w="5" w:type="pct"/>
            <w:shd w:val="clear" w:color="auto" w:fill="auto"/>
          </w:tcPr>
          <w:p w14:paraId="5EA26BC9" w14:textId="77777777" w:rsidR="003C66EB" w:rsidRDefault="003C66EB">
            <w:pPr>
              <w:rPr>
                <w:rFonts w:ascii="宋体"/>
              </w:rPr>
            </w:pPr>
          </w:p>
        </w:tc>
        <w:tc>
          <w:tcPr>
            <w:tcW w:w="19" w:type="pct"/>
            <w:shd w:val="clear" w:color="auto" w:fill="auto"/>
          </w:tcPr>
          <w:p w14:paraId="5EA26BCA" w14:textId="77777777" w:rsidR="003C66EB" w:rsidRDefault="003C66EB">
            <w:pPr>
              <w:rPr>
                <w:rFonts w:ascii="宋体"/>
              </w:rPr>
            </w:pPr>
          </w:p>
        </w:tc>
        <w:tc>
          <w:tcPr>
            <w:tcW w:w="5" w:type="pct"/>
            <w:shd w:val="clear" w:color="auto" w:fill="auto"/>
          </w:tcPr>
          <w:p w14:paraId="5EA26BCB" w14:textId="77777777" w:rsidR="003C66EB" w:rsidRDefault="003C66EB">
            <w:pPr>
              <w:rPr>
                <w:rFonts w:ascii="宋体"/>
              </w:rPr>
            </w:pPr>
          </w:p>
        </w:tc>
        <w:tc>
          <w:tcPr>
            <w:tcW w:w="50" w:type="pct"/>
            <w:shd w:val="clear" w:color="auto" w:fill="auto"/>
          </w:tcPr>
          <w:p w14:paraId="5EA26BCC" w14:textId="77777777" w:rsidR="003C66EB" w:rsidRDefault="003C66EB">
            <w:pPr>
              <w:rPr>
                <w:rFonts w:ascii="宋体"/>
              </w:rPr>
            </w:pPr>
          </w:p>
        </w:tc>
        <w:tc>
          <w:tcPr>
            <w:tcW w:w="495" w:type="pct"/>
            <w:shd w:val="clear" w:color="auto" w:fill="auto"/>
          </w:tcPr>
          <w:p w14:paraId="5EA26BCD" w14:textId="77777777" w:rsidR="003C66EB" w:rsidRDefault="003C66EB">
            <w:pPr>
              <w:rPr>
                <w:rFonts w:ascii="宋体"/>
              </w:rPr>
            </w:pPr>
          </w:p>
        </w:tc>
        <w:tc>
          <w:tcPr>
            <w:tcW w:w="5" w:type="pct"/>
            <w:shd w:val="clear" w:color="auto" w:fill="auto"/>
          </w:tcPr>
          <w:p w14:paraId="5EA26BCE" w14:textId="77777777" w:rsidR="003C66EB" w:rsidRDefault="003C66EB">
            <w:pPr>
              <w:rPr>
                <w:rFonts w:ascii="宋体"/>
              </w:rPr>
            </w:pPr>
          </w:p>
        </w:tc>
        <w:tc>
          <w:tcPr>
            <w:tcW w:w="5" w:type="pct"/>
            <w:shd w:val="clear" w:color="auto" w:fill="auto"/>
          </w:tcPr>
          <w:p w14:paraId="5EA26BCF" w14:textId="77777777" w:rsidR="003C66EB" w:rsidRDefault="003C66EB">
            <w:pPr>
              <w:rPr>
                <w:rFonts w:ascii="宋体"/>
              </w:rPr>
            </w:pPr>
          </w:p>
        </w:tc>
        <w:tc>
          <w:tcPr>
            <w:tcW w:w="19" w:type="pct"/>
            <w:shd w:val="clear" w:color="auto" w:fill="auto"/>
          </w:tcPr>
          <w:p w14:paraId="5EA26BD0" w14:textId="77777777" w:rsidR="003C66EB" w:rsidRDefault="003C66EB">
            <w:pPr>
              <w:rPr>
                <w:rFonts w:ascii="宋体"/>
              </w:rPr>
            </w:pPr>
          </w:p>
        </w:tc>
        <w:tc>
          <w:tcPr>
            <w:tcW w:w="5" w:type="pct"/>
            <w:shd w:val="clear" w:color="auto" w:fill="auto"/>
          </w:tcPr>
          <w:p w14:paraId="5EA26BD1" w14:textId="77777777" w:rsidR="003C66EB" w:rsidRDefault="003C66EB">
            <w:pPr>
              <w:rPr>
                <w:rFonts w:ascii="宋体"/>
              </w:rPr>
            </w:pPr>
          </w:p>
        </w:tc>
        <w:tc>
          <w:tcPr>
            <w:tcW w:w="50" w:type="pct"/>
            <w:shd w:val="clear" w:color="auto" w:fill="auto"/>
          </w:tcPr>
          <w:p w14:paraId="5EA26BD2" w14:textId="77777777" w:rsidR="003C66EB" w:rsidRDefault="003C66EB">
            <w:pPr>
              <w:rPr>
                <w:rFonts w:ascii="宋体"/>
              </w:rPr>
            </w:pPr>
          </w:p>
        </w:tc>
        <w:tc>
          <w:tcPr>
            <w:tcW w:w="356" w:type="pct"/>
            <w:shd w:val="clear" w:color="auto" w:fill="auto"/>
          </w:tcPr>
          <w:p w14:paraId="5EA26BD3" w14:textId="77777777" w:rsidR="003C66EB" w:rsidRDefault="003C66EB">
            <w:pPr>
              <w:rPr>
                <w:rFonts w:ascii="宋体"/>
              </w:rPr>
            </w:pPr>
          </w:p>
        </w:tc>
        <w:tc>
          <w:tcPr>
            <w:tcW w:w="5" w:type="pct"/>
            <w:shd w:val="clear" w:color="auto" w:fill="auto"/>
          </w:tcPr>
          <w:p w14:paraId="5EA26BD4" w14:textId="77777777" w:rsidR="003C66EB" w:rsidRDefault="003C66EB">
            <w:pPr>
              <w:rPr>
                <w:rFonts w:ascii="宋体"/>
              </w:rPr>
            </w:pPr>
          </w:p>
        </w:tc>
        <w:tc>
          <w:tcPr>
            <w:tcW w:w="5" w:type="pct"/>
            <w:shd w:val="clear" w:color="auto" w:fill="auto"/>
          </w:tcPr>
          <w:p w14:paraId="5EA26BD5" w14:textId="77777777" w:rsidR="003C66EB" w:rsidRDefault="003C66EB">
            <w:pPr>
              <w:rPr>
                <w:rFonts w:ascii="宋体"/>
              </w:rPr>
            </w:pPr>
          </w:p>
        </w:tc>
        <w:tc>
          <w:tcPr>
            <w:tcW w:w="19" w:type="pct"/>
            <w:shd w:val="clear" w:color="auto" w:fill="auto"/>
          </w:tcPr>
          <w:p w14:paraId="5EA26BD6" w14:textId="77777777" w:rsidR="003C66EB" w:rsidRDefault="003C66EB">
            <w:pPr>
              <w:rPr>
                <w:rFonts w:ascii="宋体"/>
              </w:rPr>
            </w:pPr>
          </w:p>
        </w:tc>
        <w:tc>
          <w:tcPr>
            <w:tcW w:w="5" w:type="pct"/>
            <w:shd w:val="clear" w:color="auto" w:fill="auto"/>
          </w:tcPr>
          <w:p w14:paraId="5EA26BD7" w14:textId="77777777" w:rsidR="003C66EB" w:rsidRDefault="003C66EB">
            <w:pPr>
              <w:rPr>
                <w:rFonts w:ascii="宋体"/>
              </w:rPr>
            </w:pPr>
          </w:p>
        </w:tc>
        <w:tc>
          <w:tcPr>
            <w:tcW w:w="50" w:type="pct"/>
            <w:shd w:val="clear" w:color="auto" w:fill="auto"/>
          </w:tcPr>
          <w:p w14:paraId="5EA26BD8" w14:textId="77777777" w:rsidR="003C66EB" w:rsidRDefault="003C66EB">
            <w:pPr>
              <w:rPr>
                <w:rFonts w:ascii="宋体"/>
              </w:rPr>
            </w:pPr>
          </w:p>
        </w:tc>
        <w:tc>
          <w:tcPr>
            <w:tcW w:w="348" w:type="pct"/>
            <w:shd w:val="clear" w:color="auto" w:fill="auto"/>
          </w:tcPr>
          <w:p w14:paraId="5EA26BD9" w14:textId="77777777" w:rsidR="003C66EB" w:rsidRDefault="003C66EB">
            <w:pPr>
              <w:rPr>
                <w:rFonts w:ascii="宋体"/>
              </w:rPr>
            </w:pPr>
          </w:p>
        </w:tc>
        <w:tc>
          <w:tcPr>
            <w:tcW w:w="5" w:type="pct"/>
            <w:shd w:val="clear" w:color="auto" w:fill="auto"/>
          </w:tcPr>
          <w:p w14:paraId="5EA26BDA" w14:textId="77777777" w:rsidR="003C66EB" w:rsidRDefault="003C66EB">
            <w:pPr>
              <w:rPr>
                <w:rFonts w:ascii="宋体"/>
              </w:rPr>
            </w:pPr>
          </w:p>
        </w:tc>
        <w:tc>
          <w:tcPr>
            <w:tcW w:w="5" w:type="pct"/>
            <w:shd w:val="clear" w:color="auto" w:fill="auto"/>
          </w:tcPr>
          <w:p w14:paraId="5EA26BDB" w14:textId="77777777" w:rsidR="003C66EB" w:rsidRDefault="003C66EB">
            <w:pPr>
              <w:rPr>
                <w:rFonts w:ascii="宋体"/>
              </w:rPr>
            </w:pPr>
          </w:p>
        </w:tc>
        <w:tc>
          <w:tcPr>
            <w:tcW w:w="19" w:type="pct"/>
            <w:shd w:val="clear" w:color="auto" w:fill="auto"/>
          </w:tcPr>
          <w:p w14:paraId="5EA26BDC" w14:textId="77777777" w:rsidR="003C66EB" w:rsidRDefault="003C66EB">
            <w:pPr>
              <w:rPr>
                <w:rFonts w:ascii="宋体"/>
              </w:rPr>
            </w:pPr>
          </w:p>
        </w:tc>
        <w:tc>
          <w:tcPr>
            <w:tcW w:w="5" w:type="pct"/>
            <w:shd w:val="clear" w:color="auto" w:fill="auto"/>
          </w:tcPr>
          <w:p w14:paraId="5EA26BDD" w14:textId="77777777" w:rsidR="003C66EB" w:rsidRDefault="003C66EB">
            <w:pPr>
              <w:rPr>
                <w:rFonts w:ascii="宋体"/>
              </w:rPr>
            </w:pPr>
          </w:p>
        </w:tc>
        <w:tc>
          <w:tcPr>
            <w:tcW w:w="50" w:type="pct"/>
            <w:shd w:val="clear" w:color="auto" w:fill="auto"/>
          </w:tcPr>
          <w:p w14:paraId="5EA26BDE" w14:textId="77777777" w:rsidR="003C66EB" w:rsidRDefault="003C66EB">
            <w:pPr>
              <w:rPr>
                <w:rFonts w:ascii="宋体"/>
              </w:rPr>
            </w:pPr>
          </w:p>
        </w:tc>
        <w:tc>
          <w:tcPr>
            <w:tcW w:w="319" w:type="pct"/>
            <w:shd w:val="clear" w:color="auto" w:fill="auto"/>
          </w:tcPr>
          <w:p w14:paraId="5EA26BDF" w14:textId="77777777" w:rsidR="003C66EB" w:rsidRDefault="003C66EB">
            <w:pPr>
              <w:rPr>
                <w:rFonts w:ascii="宋体"/>
              </w:rPr>
            </w:pPr>
          </w:p>
        </w:tc>
        <w:tc>
          <w:tcPr>
            <w:tcW w:w="5" w:type="pct"/>
            <w:shd w:val="clear" w:color="auto" w:fill="auto"/>
          </w:tcPr>
          <w:p w14:paraId="5EA26BE0" w14:textId="77777777" w:rsidR="003C66EB" w:rsidRDefault="003C66EB">
            <w:pPr>
              <w:rPr>
                <w:rFonts w:ascii="宋体"/>
              </w:rPr>
            </w:pPr>
          </w:p>
        </w:tc>
      </w:tr>
      <w:tr w:rsidR="003C66EB" w14:paraId="5EA26BF0" w14:textId="77777777">
        <w:tc>
          <w:tcPr>
            <w:tcW w:w="0" w:type="auto"/>
            <w:gridSpan w:val="3"/>
            <w:shd w:val="clear" w:color="auto" w:fill="auto"/>
            <w:tcMar>
              <w:top w:w="40" w:type="dxa"/>
              <w:left w:w="20" w:type="dxa"/>
              <w:bottom w:w="40" w:type="dxa"/>
              <w:right w:w="20" w:type="dxa"/>
            </w:tcMar>
            <w:vAlign w:val="bottom"/>
          </w:tcPr>
          <w:p w14:paraId="5EA26BE2" w14:textId="77777777" w:rsidR="003C66EB" w:rsidRDefault="00D96C4E">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A26BE3" w14:textId="77777777" w:rsidR="003C66EB" w:rsidRDefault="00D96C4E">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tcPr>
          <w:p w14:paraId="5EA26BE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BE5" w14:textId="77777777" w:rsidR="003C66EB" w:rsidRDefault="00D96C4E">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tcPr>
          <w:p w14:paraId="5EA26BE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BE7" w14:textId="77777777" w:rsidR="003C66EB" w:rsidRDefault="00D96C4E">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tcPr>
          <w:p w14:paraId="5EA26BE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BE9" w14:textId="77777777" w:rsidR="003C66EB" w:rsidRDefault="00D96C4E">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tcPr>
          <w:p w14:paraId="5EA26BE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BEB" w14:textId="77777777" w:rsidR="003C66EB" w:rsidRDefault="00D96C4E">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tcPr>
          <w:p w14:paraId="5EA26BE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BED" w14:textId="77777777" w:rsidR="003C66EB" w:rsidRDefault="00D96C4E">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tcPr>
          <w:p w14:paraId="5EA26BE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BEF" w14:textId="77777777" w:rsidR="003C66EB" w:rsidRDefault="00D96C4E">
            <w:pPr>
              <w:jc w:val="center"/>
              <w:textAlignment w:val="bottom"/>
            </w:pPr>
            <w:r>
              <w:rPr>
                <w:rFonts w:ascii="Arial" w:eastAsia="宋体" w:hAnsi="Arial" w:cs="Arial"/>
                <w:b/>
                <w:bCs/>
                <w:color w:val="000000"/>
                <w:sz w:val="13"/>
                <w:szCs w:val="13"/>
              </w:rPr>
              <w:t>Total</w:t>
            </w:r>
          </w:p>
        </w:tc>
      </w:tr>
      <w:tr w:rsidR="003C66EB" w14:paraId="5EA26BFF" w14:textId="77777777">
        <w:trPr>
          <w:hidden/>
        </w:trPr>
        <w:tc>
          <w:tcPr>
            <w:tcW w:w="0" w:type="auto"/>
            <w:gridSpan w:val="3"/>
            <w:shd w:val="clear" w:color="auto" w:fill="auto"/>
          </w:tcPr>
          <w:p w14:paraId="5EA26BF1" w14:textId="77777777" w:rsidR="003C66EB" w:rsidRDefault="003C66EB">
            <w:pPr>
              <w:rPr>
                <w:rFonts w:ascii="宋体"/>
                <w:vanish/>
              </w:rPr>
            </w:pPr>
          </w:p>
        </w:tc>
        <w:tc>
          <w:tcPr>
            <w:tcW w:w="0" w:type="auto"/>
            <w:gridSpan w:val="3"/>
            <w:shd w:val="clear" w:color="auto" w:fill="auto"/>
          </w:tcPr>
          <w:p w14:paraId="5EA26BF2" w14:textId="77777777" w:rsidR="003C66EB" w:rsidRDefault="003C66EB">
            <w:pPr>
              <w:rPr>
                <w:rFonts w:ascii="宋体"/>
                <w:vanish/>
              </w:rPr>
            </w:pPr>
          </w:p>
        </w:tc>
        <w:tc>
          <w:tcPr>
            <w:tcW w:w="0" w:type="auto"/>
            <w:gridSpan w:val="3"/>
            <w:shd w:val="clear" w:color="auto" w:fill="auto"/>
          </w:tcPr>
          <w:p w14:paraId="5EA26BF3" w14:textId="77777777" w:rsidR="003C66EB" w:rsidRDefault="003C66EB">
            <w:pPr>
              <w:rPr>
                <w:rFonts w:ascii="宋体"/>
                <w:vanish/>
              </w:rPr>
            </w:pPr>
          </w:p>
        </w:tc>
        <w:tc>
          <w:tcPr>
            <w:tcW w:w="0" w:type="auto"/>
            <w:gridSpan w:val="3"/>
            <w:shd w:val="clear" w:color="auto" w:fill="auto"/>
          </w:tcPr>
          <w:p w14:paraId="5EA26BF4" w14:textId="77777777" w:rsidR="003C66EB" w:rsidRDefault="003C66EB">
            <w:pPr>
              <w:rPr>
                <w:rFonts w:ascii="宋体"/>
                <w:vanish/>
              </w:rPr>
            </w:pPr>
          </w:p>
        </w:tc>
        <w:tc>
          <w:tcPr>
            <w:tcW w:w="0" w:type="auto"/>
            <w:gridSpan w:val="3"/>
            <w:shd w:val="clear" w:color="auto" w:fill="auto"/>
          </w:tcPr>
          <w:p w14:paraId="5EA26BF5" w14:textId="77777777" w:rsidR="003C66EB" w:rsidRDefault="003C66EB">
            <w:pPr>
              <w:rPr>
                <w:rFonts w:ascii="宋体"/>
                <w:vanish/>
              </w:rPr>
            </w:pPr>
          </w:p>
        </w:tc>
        <w:tc>
          <w:tcPr>
            <w:tcW w:w="0" w:type="auto"/>
            <w:gridSpan w:val="3"/>
            <w:shd w:val="clear" w:color="auto" w:fill="auto"/>
          </w:tcPr>
          <w:p w14:paraId="5EA26BF6" w14:textId="77777777" w:rsidR="003C66EB" w:rsidRDefault="003C66EB">
            <w:pPr>
              <w:rPr>
                <w:rFonts w:ascii="宋体"/>
                <w:vanish/>
              </w:rPr>
            </w:pPr>
          </w:p>
        </w:tc>
        <w:tc>
          <w:tcPr>
            <w:tcW w:w="0" w:type="auto"/>
            <w:gridSpan w:val="3"/>
            <w:shd w:val="clear" w:color="auto" w:fill="auto"/>
          </w:tcPr>
          <w:p w14:paraId="5EA26BF7" w14:textId="77777777" w:rsidR="003C66EB" w:rsidRDefault="003C66EB">
            <w:pPr>
              <w:rPr>
                <w:rFonts w:ascii="宋体"/>
                <w:vanish/>
              </w:rPr>
            </w:pPr>
          </w:p>
        </w:tc>
        <w:tc>
          <w:tcPr>
            <w:tcW w:w="0" w:type="auto"/>
            <w:gridSpan w:val="3"/>
            <w:shd w:val="clear" w:color="auto" w:fill="auto"/>
          </w:tcPr>
          <w:p w14:paraId="5EA26BF8" w14:textId="77777777" w:rsidR="003C66EB" w:rsidRDefault="003C66EB">
            <w:pPr>
              <w:rPr>
                <w:rFonts w:ascii="宋体"/>
                <w:vanish/>
              </w:rPr>
            </w:pPr>
          </w:p>
        </w:tc>
        <w:tc>
          <w:tcPr>
            <w:tcW w:w="0" w:type="auto"/>
            <w:gridSpan w:val="3"/>
            <w:shd w:val="clear" w:color="auto" w:fill="auto"/>
          </w:tcPr>
          <w:p w14:paraId="5EA26BF9" w14:textId="77777777" w:rsidR="003C66EB" w:rsidRDefault="003C66EB">
            <w:pPr>
              <w:rPr>
                <w:rFonts w:ascii="宋体"/>
                <w:vanish/>
              </w:rPr>
            </w:pPr>
          </w:p>
        </w:tc>
        <w:tc>
          <w:tcPr>
            <w:tcW w:w="0" w:type="auto"/>
            <w:gridSpan w:val="3"/>
            <w:shd w:val="clear" w:color="auto" w:fill="auto"/>
          </w:tcPr>
          <w:p w14:paraId="5EA26BFA" w14:textId="77777777" w:rsidR="003C66EB" w:rsidRDefault="003C66EB">
            <w:pPr>
              <w:rPr>
                <w:rFonts w:ascii="宋体"/>
                <w:vanish/>
              </w:rPr>
            </w:pPr>
          </w:p>
        </w:tc>
        <w:tc>
          <w:tcPr>
            <w:tcW w:w="0" w:type="auto"/>
            <w:gridSpan w:val="3"/>
            <w:shd w:val="clear" w:color="auto" w:fill="auto"/>
          </w:tcPr>
          <w:p w14:paraId="5EA26BFB" w14:textId="77777777" w:rsidR="003C66EB" w:rsidRDefault="003C66EB">
            <w:pPr>
              <w:rPr>
                <w:rFonts w:ascii="宋体"/>
                <w:vanish/>
              </w:rPr>
            </w:pPr>
          </w:p>
        </w:tc>
        <w:tc>
          <w:tcPr>
            <w:tcW w:w="0" w:type="auto"/>
            <w:gridSpan w:val="3"/>
            <w:shd w:val="clear" w:color="auto" w:fill="auto"/>
          </w:tcPr>
          <w:p w14:paraId="5EA26BFC" w14:textId="77777777" w:rsidR="003C66EB" w:rsidRDefault="003C66EB">
            <w:pPr>
              <w:rPr>
                <w:rFonts w:ascii="宋体"/>
                <w:vanish/>
              </w:rPr>
            </w:pPr>
          </w:p>
        </w:tc>
        <w:tc>
          <w:tcPr>
            <w:tcW w:w="0" w:type="auto"/>
            <w:gridSpan w:val="3"/>
            <w:shd w:val="clear" w:color="auto" w:fill="auto"/>
          </w:tcPr>
          <w:p w14:paraId="5EA26BFD" w14:textId="77777777" w:rsidR="003C66EB" w:rsidRDefault="003C66EB">
            <w:pPr>
              <w:rPr>
                <w:rFonts w:ascii="宋体"/>
                <w:vanish/>
              </w:rPr>
            </w:pPr>
          </w:p>
        </w:tc>
        <w:tc>
          <w:tcPr>
            <w:tcW w:w="0" w:type="auto"/>
            <w:gridSpan w:val="3"/>
            <w:shd w:val="clear" w:color="auto" w:fill="auto"/>
          </w:tcPr>
          <w:p w14:paraId="5EA26BFE" w14:textId="77777777" w:rsidR="003C66EB" w:rsidRDefault="003C66EB">
            <w:pPr>
              <w:rPr>
                <w:rFonts w:ascii="宋体"/>
                <w:vanish/>
              </w:rPr>
            </w:pPr>
          </w:p>
        </w:tc>
      </w:tr>
      <w:tr w:rsidR="003C66EB" w14:paraId="5EA26C0E" w14:textId="77777777">
        <w:trPr>
          <w:hidden/>
        </w:trPr>
        <w:tc>
          <w:tcPr>
            <w:tcW w:w="0" w:type="auto"/>
            <w:gridSpan w:val="3"/>
            <w:shd w:val="clear" w:color="auto" w:fill="auto"/>
          </w:tcPr>
          <w:p w14:paraId="5EA26C00" w14:textId="77777777" w:rsidR="003C66EB" w:rsidRDefault="003C66EB">
            <w:pPr>
              <w:rPr>
                <w:rFonts w:ascii="宋体"/>
                <w:vanish/>
              </w:rPr>
            </w:pPr>
          </w:p>
        </w:tc>
        <w:tc>
          <w:tcPr>
            <w:tcW w:w="0" w:type="auto"/>
            <w:gridSpan w:val="3"/>
            <w:shd w:val="clear" w:color="auto" w:fill="auto"/>
          </w:tcPr>
          <w:p w14:paraId="5EA26C01" w14:textId="77777777" w:rsidR="003C66EB" w:rsidRDefault="003C66EB">
            <w:pPr>
              <w:rPr>
                <w:rFonts w:ascii="宋体"/>
                <w:vanish/>
              </w:rPr>
            </w:pPr>
          </w:p>
        </w:tc>
        <w:tc>
          <w:tcPr>
            <w:tcW w:w="0" w:type="auto"/>
            <w:gridSpan w:val="3"/>
            <w:shd w:val="clear" w:color="auto" w:fill="auto"/>
          </w:tcPr>
          <w:p w14:paraId="5EA26C02" w14:textId="77777777" w:rsidR="003C66EB" w:rsidRDefault="003C66EB">
            <w:pPr>
              <w:rPr>
                <w:rFonts w:ascii="宋体"/>
                <w:vanish/>
              </w:rPr>
            </w:pPr>
          </w:p>
        </w:tc>
        <w:tc>
          <w:tcPr>
            <w:tcW w:w="0" w:type="auto"/>
            <w:gridSpan w:val="3"/>
            <w:shd w:val="clear" w:color="auto" w:fill="auto"/>
          </w:tcPr>
          <w:p w14:paraId="5EA26C03" w14:textId="77777777" w:rsidR="003C66EB" w:rsidRDefault="003C66EB">
            <w:pPr>
              <w:rPr>
                <w:rFonts w:ascii="宋体"/>
                <w:vanish/>
              </w:rPr>
            </w:pPr>
          </w:p>
        </w:tc>
        <w:tc>
          <w:tcPr>
            <w:tcW w:w="0" w:type="auto"/>
            <w:gridSpan w:val="3"/>
            <w:shd w:val="clear" w:color="auto" w:fill="auto"/>
          </w:tcPr>
          <w:p w14:paraId="5EA26C04" w14:textId="77777777" w:rsidR="003C66EB" w:rsidRDefault="003C66EB">
            <w:pPr>
              <w:rPr>
                <w:rFonts w:ascii="宋体"/>
                <w:vanish/>
              </w:rPr>
            </w:pPr>
          </w:p>
        </w:tc>
        <w:tc>
          <w:tcPr>
            <w:tcW w:w="0" w:type="auto"/>
            <w:gridSpan w:val="3"/>
            <w:shd w:val="clear" w:color="auto" w:fill="auto"/>
          </w:tcPr>
          <w:p w14:paraId="5EA26C05" w14:textId="77777777" w:rsidR="003C66EB" w:rsidRDefault="003C66EB">
            <w:pPr>
              <w:rPr>
                <w:rFonts w:ascii="宋体"/>
                <w:vanish/>
              </w:rPr>
            </w:pPr>
          </w:p>
        </w:tc>
        <w:tc>
          <w:tcPr>
            <w:tcW w:w="0" w:type="auto"/>
            <w:gridSpan w:val="3"/>
            <w:shd w:val="clear" w:color="auto" w:fill="auto"/>
          </w:tcPr>
          <w:p w14:paraId="5EA26C06" w14:textId="77777777" w:rsidR="003C66EB" w:rsidRDefault="003C66EB">
            <w:pPr>
              <w:rPr>
                <w:rFonts w:ascii="宋体"/>
                <w:vanish/>
              </w:rPr>
            </w:pPr>
          </w:p>
        </w:tc>
        <w:tc>
          <w:tcPr>
            <w:tcW w:w="0" w:type="auto"/>
            <w:gridSpan w:val="3"/>
            <w:shd w:val="clear" w:color="auto" w:fill="auto"/>
          </w:tcPr>
          <w:p w14:paraId="5EA26C07" w14:textId="77777777" w:rsidR="003C66EB" w:rsidRDefault="003C66EB">
            <w:pPr>
              <w:rPr>
                <w:rFonts w:ascii="宋体"/>
                <w:vanish/>
              </w:rPr>
            </w:pPr>
          </w:p>
        </w:tc>
        <w:tc>
          <w:tcPr>
            <w:tcW w:w="0" w:type="auto"/>
            <w:gridSpan w:val="3"/>
            <w:shd w:val="clear" w:color="auto" w:fill="auto"/>
          </w:tcPr>
          <w:p w14:paraId="5EA26C08" w14:textId="77777777" w:rsidR="003C66EB" w:rsidRDefault="003C66EB">
            <w:pPr>
              <w:rPr>
                <w:rFonts w:ascii="宋体"/>
                <w:vanish/>
              </w:rPr>
            </w:pPr>
          </w:p>
        </w:tc>
        <w:tc>
          <w:tcPr>
            <w:tcW w:w="0" w:type="auto"/>
            <w:gridSpan w:val="3"/>
            <w:shd w:val="clear" w:color="auto" w:fill="auto"/>
          </w:tcPr>
          <w:p w14:paraId="5EA26C09" w14:textId="77777777" w:rsidR="003C66EB" w:rsidRDefault="003C66EB">
            <w:pPr>
              <w:rPr>
                <w:rFonts w:ascii="宋体"/>
                <w:vanish/>
              </w:rPr>
            </w:pPr>
          </w:p>
        </w:tc>
        <w:tc>
          <w:tcPr>
            <w:tcW w:w="0" w:type="auto"/>
            <w:gridSpan w:val="3"/>
            <w:shd w:val="clear" w:color="auto" w:fill="auto"/>
          </w:tcPr>
          <w:p w14:paraId="5EA26C0A" w14:textId="77777777" w:rsidR="003C66EB" w:rsidRDefault="003C66EB">
            <w:pPr>
              <w:rPr>
                <w:rFonts w:ascii="宋体"/>
                <w:vanish/>
              </w:rPr>
            </w:pPr>
          </w:p>
        </w:tc>
        <w:tc>
          <w:tcPr>
            <w:tcW w:w="0" w:type="auto"/>
            <w:gridSpan w:val="3"/>
            <w:shd w:val="clear" w:color="auto" w:fill="auto"/>
          </w:tcPr>
          <w:p w14:paraId="5EA26C0B" w14:textId="77777777" w:rsidR="003C66EB" w:rsidRDefault="003C66EB">
            <w:pPr>
              <w:rPr>
                <w:rFonts w:ascii="宋体"/>
                <w:vanish/>
              </w:rPr>
            </w:pPr>
          </w:p>
        </w:tc>
        <w:tc>
          <w:tcPr>
            <w:tcW w:w="0" w:type="auto"/>
            <w:gridSpan w:val="3"/>
            <w:shd w:val="clear" w:color="auto" w:fill="auto"/>
          </w:tcPr>
          <w:p w14:paraId="5EA26C0C" w14:textId="77777777" w:rsidR="003C66EB" w:rsidRDefault="003C66EB">
            <w:pPr>
              <w:rPr>
                <w:rFonts w:ascii="宋体"/>
                <w:vanish/>
              </w:rPr>
            </w:pPr>
          </w:p>
        </w:tc>
        <w:tc>
          <w:tcPr>
            <w:tcW w:w="0" w:type="auto"/>
            <w:gridSpan w:val="3"/>
            <w:shd w:val="clear" w:color="auto" w:fill="auto"/>
          </w:tcPr>
          <w:p w14:paraId="5EA26C0D" w14:textId="77777777" w:rsidR="003C66EB" w:rsidRDefault="003C66EB">
            <w:pPr>
              <w:rPr>
                <w:rFonts w:ascii="宋体"/>
                <w:vanish/>
              </w:rPr>
            </w:pPr>
          </w:p>
        </w:tc>
      </w:tr>
      <w:tr w:rsidR="003C66EB" w14:paraId="5EA26C1D" w14:textId="77777777">
        <w:trPr>
          <w:hidden/>
        </w:trPr>
        <w:tc>
          <w:tcPr>
            <w:tcW w:w="0" w:type="auto"/>
            <w:gridSpan w:val="3"/>
            <w:shd w:val="clear" w:color="auto" w:fill="auto"/>
          </w:tcPr>
          <w:p w14:paraId="5EA26C0F" w14:textId="77777777" w:rsidR="003C66EB" w:rsidRDefault="003C66EB">
            <w:pPr>
              <w:rPr>
                <w:rFonts w:ascii="宋体"/>
                <w:vanish/>
              </w:rPr>
            </w:pPr>
          </w:p>
        </w:tc>
        <w:tc>
          <w:tcPr>
            <w:tcW w:w="0" w:type="auto"/>
            <w:gridSpan w:val="3"/>
            <w:shd w:val="clear" w:color="auto" w:fill="auto"/>
          </w:tcPr>
          <w:p w14:paraId="5EA26C10" w14:textId="77777777" w:rsidR="003C66EB" w:rsidRDefault="003C66EB">
            <w:pPr>
              <w:rPr>
                <w:rFonts w:ascii="宋体"/>
                <w:vanish/>
              </w:rPr>
            </w:pPr>
          </w:p>
        </w:tc>
        <w:tc>
          <w:tcPr>
            <w:tcW w:w="0" w:type="auto"/>
            <w:gridSpan w:val="3"/>
            <w:shd w:val="clear" w:color="auto" w:fill="auto"/>
          </w:tcPr>
          <w:p w14:paraId="5EA26C11" w14:textId="77777777" w:rsidR="003C66EB" w:rsidRDefault="003C66EB">
            <w:pPr>
              <w:rPr>
                <w:rFonts w:ascii="宋体"/>
                <w:vanish/>
              </w:rPr>
            </w:pPr>
          </w:p>
        </w:tc>
        <w:tc>
          <w:tcPr>
            <w:tcW w:w="0" w:type="auto"/>
            <w:gridSpan w:val="3"/>
            <w:shd w:val="clear" w:color="auto" w:fill="auto"/>
          </w:tcPr>
          <w:p w14:paraId="5EA26C12" w14:textId="77777777" w:rsidR="003C66EB" w:rsidRDefault="003C66EB">
            <w:pPr>
              <w:rPr>
                <w:rFonts w:ascii="宋体"/>
                <w:vanish/>
              </w:rPr>
            </w:pPr>
          </w:p>
        </w:tc>
        <w:tc>
          <w:tcPr>
            <w:tcW w:w="0" w:type="auto"/>
            <w:gridSpan w:val="3"/>
            <w:shd w:val="clear" w:color="auto" w:fill="auto"/>
          </w:tcPr>
          <w:p w14:paraId="5EA26C13" w14:textId="77777777" w:rsidR="003C66EB" w:rsidRDefault="003C66EB">
            <w:pPr>
              <w:rPr>
                <w:rFonts w:ascii="宋体"/>
                <w:vanish/>
              </w:rPr>
            </w:pPr>
          </w:p>
        </w:tc>
        <w:tc>
          <w:tcPr>
            <w:tcW w:w="0" w:type="auto"/>
            <w:gridSpan w:val="3"/>
            <w:shd w:val="clear" w:color="auto" w:fill="auto"/>
          </w:tcPr>
          <w:p w14:paraId="5EA26C14" w14:textId="77777777" w:rsidR="003C66EB" w:rsidRDefault="003C66EB">
            <w:pPr>
              <w:rPr>
                <w:rFonts w:ascii="宋体"/>
                <w:vanish/>
              </w:rPr>
            </w:pPr>
          </w:p>
        </w:tc>
        <w:tc>
          <w:tcPr>
            <w:tcW w:w="0" w:type="auto"/>
            <w:gridSpan w:val="3"/>
            <w:shd w:val="clear" w:color="auto" w:fill="auto"/>
          </w:tcPr>
          <w:p w14:paraId="5EA26C15" w14:textId="77777777" w:rsidR="003C66EB" w:rsidRDefault="003C66EB">
            <w:pPr>
              <w:rPr>
                <w:rFonts w:ascii="宋体"/>
                <w:vanish/>
              </w:rPr>
            </w:pPr>
          </w:p>
        </w:tc>
        <w:tc>
          <w:tcPr>
            <w:tcW w:w="0" w:type="auto"/>
            <w:gridSpan w:val="3"/>
            <w:shd w:val="clear" w:color="auto" w:fill="auto"/>
          </w:tcPr>
          <w:p w14:paraId="5EA26C16" w14:textId="77777777" w:rsidR="003C66EB" w:rsidRDefault="003C66EB">
            <w:pPr>
              <w:rPr>
                <w:rFonts w:ascii="宋体"/>
                <w:vanish/>
              </w:rPr>
            </w:pPr>
          </w:p>
        </w:tc>
        <w:tc>
          <w:tcPr>
            <w:tcW w:w="0" w:type="auto"/>
            <w:gridSpan w:val="3"/>
            <w:shd w:val="clear" w:color="auto" w:fill="auto"/>
          </w:tcPr>
          <w:p w14:paraId="5EA26C17" w14:textId="77777777" w:rsidR="003C66EB" w:rsidRDefault="003C66EB">
            <w:pPr>
              <w:rPr>
                <w:rFonts w:ascii="宋体"/>
                <w:vanish/>
              </w:rPr>
            </w:pPr>
          </w:p>
        </w:tc>
        <w:tc>
          <w:tcPr>
            <w:tcW w:w="0" w:type="auto"/>
            <w:gridSpan w:val="3"/>
            <w:shd w:val="clear" w:color="auto" w:fill="auto"/>
          </w:tcPr>
          <w:p w14:paraId="5EA26C18" w14:textId="77777777" w:rsidR="003C66EB" w:rsidRDefault="003C66EB">
            <w:pPr>
              <w:rPr>
                <w:rFonts w:ascii="宋体"/>
                <w:vanish/>
              </w:rPr>
            </w:pPr>
          </w:p>
        </w:tc>
        <w:tc>
          <w:tcPr>
            <w:tcW w:w="0" w:type="auto"/>
            <w:gridSpan w:val="3"/>
            <w:shd w:val="clear" w:color="auto" w:fill="auto"/>
          </w:tcPr>
          <w:p w14:paraId="5EA26C19" w14:textId="77777777" w:rsidR="003C66EB" w:rsidRDefault="003C66EB">
            <w:pPr>
              <w:rPr>
                <w:rFonts w:ascii="宋体"/>
                <w:vanish/>
              </w:rPr>
            </w:pPr>
          </w:p>
        </w:tc>
        <w:tc>
          <w:tcPr>
            <w:tcW w:w="0" w:type="auto"/>
            <w:gridSpan w:val="3"/>
            <w:shd w:val="clear" w:color="auto" w:fill="auto"/>
          </w:tcPr>
          <w:p w14:paraId="5EA26C1A" w14:textId="77777777" w:rsidR="003C66EB" w:rsidRDefault="003C66EB">
            <w:pPr>
              <w:rPr>
                <w:rFonts w:ascii="宋体"/>
                <w:vanish/>
              </w:rPr>
            </w:pPr>
          </w:p>
        </w:tc>
        <w:tc>
          <w:tcPr>
            <w:tcW w:w="0" w:type="auto"/>
            <w:gridSpan w:val="3"/>
            <w:shd w:val="clear" w:color="auto" w:fill="auto"/>
          </w:tcPr>
          <w:p w14:paraId="5EA26C1B" w14:textId="77777777" w:rsidR="003C66EB" w:rsidRDefault="003C66EB">
            <w:pPr>
              <w:rPr>
                <w:rFonts w:ascii="宋体"/>
                <w:vanish/>
              </w:rPr>
            </w:pPr>
          </w:p>
        </w:tc>
        <w:tc>
          <w:tcPr>
            <w:tcW w:w="0" w:type="auto"/>
            <w:gridSpan w:val="3"/>
            <w:shd w:val="clear" w:color="auto" w:fill="auto"/>
          </w:tcPr>
          <w:p w14:paraId="5EA26C1C" w14:textId="77777777" w:rsidR="003C66EB" w:rsidRDefault="003C66EB">
            <w:pPr>
              <w:rPr>
                <w:rFonts w:ascii="宋体"/>
                <w:vanish/>
              </w:rPr>
            </w:pPr>
          </w:p>
        </w:tc>
      </w:tr>
      <w:tr w:rsidR="003C66EB" w14:paraId="5EA26C2C" w14:textId="77777777">
        <w:trPr>
          <w:hidden/>
        </w:trPr>
        <w:tc>
          <w:tcPr>
            <w:tcW w:w="0" w:type="auto"/>
            <w:gridSpan w:val="3"/>
            <w:shd w:val="clear" w:color="auto" w:fill="auto"/>
          </w:tcPr>
          <w:p w14:paraId="5EA26C1E" w14:textId="77777777" w:rsidR="003C66EB" w:rsidRDefault="003C66EB">
            <w:pPr>
              <w:rPr>
                <w:rFonts w:ascii="宋体"/>
                <w:vanish/>
              </w:rPr>
            </w:pPr>
          </w:p>
        </w:tc>
        <w:tc>
          <w:tcPr>
            <w:tcW w:w="0" w:type="auto"/>
            <w:gridSpan w:val="3"/>
            <w:shd w:val="clear" w:color="auto" w:fill="auto"/>
          </w:tcPr>
          <w:p w14:paraId="5EA26C1F" w14:textId="77777777" w:rsidR="003C66EB" w:rsidRDefault="003C66EB">
            <w:pPr>
              <w:rPr>
                <w:rFonts w:ascii="宋体"/>
                <w:vanish/>
              </w:rPr>
            </w:pPr>
          </w:p>
        </w:tc>
        <w:tc>
          <w:tcPr>
            <w:tcW w:w="0" w:type="auto"/>
            <w:gridSpan w:val="3"/>
            <w:shd w:val="clear" w:color="auto" w:fill="auto"/>
          </w:tcPr>
          <w:p w14:paraId="5EA26C20" w14:textId="77777777" w:rsidR="003C66EB" w:rsidRDefault="003C66EB">
            <w:pPr>
              <w:rPr>
                <w:rFonts w:ascii="宋体"/>
                <w:vanish/>
              </w:rPr>
            </w:pPr>
          </w:p>
        </w:tc>
        <w:tc>
          <w:tcPr>
            <w:tcW w:w="0" w:type="auto"/>
            <w:gridSpan w:val="3"/>
            <w:shd w:val="clear" w:color="auto" w:fill="auto"/>
          </w:tcPr>
          <w:p w14:paraId="5EA26C21" w14:textId="77777777" w:rsidR="003C66EB" w:rsidRDefault="003C66EB">
            <w:pPr>
              <w:rPr>
                <w:rFonts w:ascii="宋体"/>
                <w:vanish/>
              </w:rPr>
            </w:pPr>
          </w:p>
        </w:tc>
        <w:tc>
          <w:tcPr>
            <w:tcW w:w="0" w:type="auto"/>
            <w:gridSpan w:val="3"/>
            <w:shd w:val="clear" w:color="auto" w:fill="auto"/>
          </w:tcPr>
          <w:p w14:paraId="5EA26C22" w14:textId="77777777" w:rsidR="003C66EB" w:rsidRDefault="003C66EB">
            <w:pPr>
              <w:rPr>
                <w:rFonts w:ascii="宋体"/>
                <w:vanish/>
              </w:rPr>
            </w:pPr>
          </w:p>
        </w:tc>
        <w:tc>
          <w:tcPr>
            <w:tcW w:w="0" w:type="auto"/>
            <w:gridSpan w:val="3"/>
            <w:shd w:val="clear" w:color="auto" w:fill="auto"/>
          </w:tcPr>
          <w:p w14:paraId="5EA26C23" w14:textId="77777777" w:rsidR="003C66EB" w:rsidRDefault="003C66EB">
            <w:pPr>
              <w:rPr>
                <w:rFonts w:ascii="宋体"/>
                <w:vanish/>
              </w:rPr>
            </w:pPr>
          </w:p>
        </w:tc>
        <w:tc>
          <w:tcPr>
            <w:tcW w:w="0" w:type="auto"/>
            <w:gridSpan w:val="3"/>
            <w:shd w:val="clear" w:color="auto" w:fill="auto"/>
          </w:tcPr>
          <w:p w14:paraId="5EA26C24" w14:textId="77777777" w:rsidR="003C66EB" w:rsidRDefault="003C66EB">
            <w:pPr>
              <w:rPr>
                <w:rFonts w:ascii="宋体"/>
                <w:vanish/>
              </w:rPr>
            </w:pPr>
          </w:p>
        </w:tc>
        <w:tc>
          <w:tcPr>
            <w:tcW w:w="0" w:type="auto"/>
            <w:gridSpan w:val="3"/>
            <w:shd w:val="clear" w:color="auto" w:fill="auto"/>
          </w:tcPr>
          <w:p w14:paraId="5EA26C25" w14:textId="77777777" w:rsidR="003C66EB" w:rsidRDefault="003C66EB">
            <w:pPr>
              <w:rPr>
                <w:rFonts w:ascii="宋体"/>
                <w:vanish/>
              </w:rPr>
            </w:pPr>
          </w:p>
        </w:tc>
        <w:tc>
          <w:tcPr>
            <w:tcW w:w="0" w:type="auto"/>
            <w:gridSpan w:val="3"/>
            <w:shd w:val="clear" w:color="auto" w:fill="auto"/>
          </w:tcPr>
          <w:p w14:paraId="5EA26C26" w14:textId="77777777" w:rsidR="003C66EB" w:rsidRDefault="003C66EB">
            <w:pPr>
              <w:rPr>
                <w:rFonts w:ascii="宋体"/>
                <w:vanish/>
              </w:rPr>
            </w:pPr>
          </w:p>
        </w:tc>
        <w:tc>
          <w:tcPr>
            <w:tcW w:w="0" w:type="auto"/>
            <w:gridSpan w:val="3"/>
            <w:shd w:val="clear" w:color="auto" w:fill="auto"/>
          </w:tcPr>
          <w:p w14:paraId="5EA26C27" w14:textId="77777777" w:rsidR="003C66EB" w:rsidRDefault="003C66EB">
            <w:pPr>
              <w:rPr>
                <w:rFonts w:ascii="宋体"/>
                <w:vanish/>
              </w:rPr>
            </w:pPr>
          </w:p>
        </w:tc>
        <w:tc>
          <w:tcPr>
            <w:tcW w:w="0" w:type="auto"/>
            <w:gridSpan w:val="3"/>
            <w:shd w:val="clear" w:color="auto" w:fill="auto"/>
          </w:tcPr>
          <w:p w14:paraId="5EA26C28" w14:textId="77777777" w:rsidR="003C66EB" w:rsidRDefault="003C66EB">
            <w:pPr>
              <w:rPr>
                <w:rFonts w:ascii="宋体"/>
                <w:vanish/>
              </w:rPr>
            </w:pPr>
          </w:p>
        </w:tc>
        <w:tc>
          <w:tcPr>
            <w:tcW w:w="0" w:type="auto"/>
            <w:gridSpan w:val="3"/>
            <w:shd w:val="clear" w:color="auto" w:fill="auto"/>
          </w:tcPr>
          <w:p w14:paraId="5EA26C29" w14:textId="77777777" w:rsidR="003C66EB" w:rsidRDefault="003C66EB">
            <w:pPr>
              <w:rPr>
                <w:rFonts w:ascii="宋体"/>
                <w:vanish/>
              </w:rPr>
            </w:pPr>
          </w:p>
        </w:tc>
        <w:tc>
          <w:tcPr>
            <w:tcW w:w="0" w:type="auto"/>
            <w:gridSpan w:val="3"/>
            <w:shd w:val="clear" w:color="auto" w:fill="auto"/>
          </w:tcPr>
          <w:p w14:paraId="5EA26C2A" w14:textId="77777777" w:rsidR="003C66EB" w:rsidRDefault="003C66EB">
            <w:pPr>
              <w:rPr>
                <w:rFonts w:ascii="宋体"/>
                <w:vanish/>
              </w:rPr>
            </w:pPr>
          </w:p>
        </w:tc>
        <w:tc>
          <w:tcPr>
            <w:tcW w:w="0" w:type="auto"/>
            <w:gridSpan w:val="3"/>
            <w:shd w:val="clear" w:color="auto" w:fill="auto"/>
          </w:tcPr>
          <w:p w14:paraId="5EA26C2B" w14:textId="77777777" w:rsidR="003C66EB" w:rsidRDefault="003C66EB">
            <w:pPr>
              <w:rPr>
                <w:rFonts w:ascii="宋体"/>
                <w:vanish/>
              </w:rPr>
            </w:pPr>
          </w:p>
        </w:tc>
      </w:tr>
      <w:tr w:rsidR="003C66EB" w14:paraId="5EA26C3B" w14:textId="77777777">
        <w:trPr>
          <w:hidden/>
        </w:trPr>
        <w:tc>
          <w:tcPr>
            <w:tcW w:w="0" w:type="auto"/>
            <w:gridSpan w:val="3"/>
            <w:shd w:val="clear" w:color="auto" w:fill="auto"/>
          </w:tcPr>
          <w:p w14:paraId="5EA26C2D" w14:textId="77777777" w:rsidR="003C66EB" w:rsidRDefault="003C66EB">
            <w:pPr>
              <w:rPr>
                <w:rFonts w:ascii="宋体"/>
                <w:vanish/>
              </w:rPr>
            </w:pPr>
          </w:p>
        </w:tc>
        <w:tc>
          <w:tcPr>
            <w:tcW w:w="0" w:type="auto"/>
            <w:gridSpan w:val="3"/>
            <w:shd w:val="clear" w:color="auto" w:fill="auto"/>
          </w:tcPr>
          <w:p w14:paraId="5EA26C2E" w14:textId="77777777" w:rsidR="003C66EB" w:rsidRDefault="003C66EB">
            <w:pPr>
              <w:rPr>
                <w:rFonts w:ascii="宋体"/>
                <w:vanish/>
              </w:rPr>
            </w:pPr>
          </w:p>
        </w:tc>
        <w:tc>
          <w:tcPr>
            <w:tcW w:w="0" w:type="auto"/>
            <w:gridSpan w:val="3"/>
            <w:shd w:val="clear" w:color="auto" w:fill="auto"/>
          </w:tcPr>
          <w:p w14:paraId="5EA26C2F" w14:textId="77777777" w:rsidR="003C66EB" w:rsidRDefault="003C66EB">
            <w:pPr>
              <w:rPr>
                <w:rFonts w:ascii="宋体"/>
                <w:vanish/>
              </w:rPr>
            </w:pPr>
          </w:p>
        </w:tc>
        <w:tc>
          <w:tcPr>
            <w:tcW w:w="0" w:type="auto"/>
            <w:gridSpan w:val="3"/>
            <w:shd w:val="clear" w:color="auto" w:fill="auto"/>
          </w:tcPr>
          <w:p w14:paraId="5EA26C30" w14:textId="77777777" w:rsidR="003C66EB" w:rsidRDefault="003C66EB">
            <w:pPr>
              <w:rPr>
                <w:rFonts w:ascii="宋体"/>
                <w:vanish/>
              </w:rPr>
            </w:pPr>
          </w:p>
        </w:tc>
        <w:tc>
          <w:tcPr>
            <w:tcW w:w="0" w:type="auto"/>
            <w:gridSpan w:val="3"/>
            <w:shd w:val="clear" w:color="auto" w:fill="auto"/>
          </w:tcPr>
          <w:p w14:paraId="5EA26C31" w14:textId="77777777" w:rsidR="003C66EB" w:rsidRDefault="003C66EB">
            <w:pPr>
              <w:rPr>
                <w:rFonts w:ascii="宋体"/>
                <w:vanish/>
              </w:rPr>
            </w:pPr>
          </w:p>
        </w:tc>
        <w:tc>
          <w:tcPr>
            <w:tcW w:w="0" w:type="auto"/>
            <w:gridSpan w:val="3"/>
            <w:shd w:val="clear" w:color="auto" w:fill="auto"/>
          </w:tcPr>
          <w:p w14:paraId="5EA26C32" w14:textId="77777777" w:rsidR="003C66EB" w:rsidRDefault="003C66EB">
            <w:pPr>
              <w:rPr>
                <w:rFonts w:ascii="宋体"/>
                <w:vanish/>
              </w:rPr>
            </w:pPr>
          </w:p>
        </w:tc>
        <w:tc>
          <w:tcPr>
            <w:tcW w:w="0" w:type="auto"/>
            <w:gridSpan w:val="3"/>
            <w:shd w:val="clear" w:color="auto" w:fill="auto"/>
          </w:tcPr>
          <w:p w14:paraId="5EA26C33" w14:textId="77777777" w:rsidR="003C66EB" w:rsidRDefault="003C66EB">
            <w:pPr>
              <w:rPr>
                <w:rFonts w:ascii="宋体"/>
                <w:vanish/>
              </w:rPr>
            </w:pPr>
          </w:p>
        </w:tc>
        <w:tc>
          <w:tcPr>
            <w:tcW w:w="0" w:type="auto"/>
            <w:gridSpan w:val="3"/>
            <w:shd w:val="clear" w:color="auto" w:fill="auto"/>
          </w:tcPr>
          <w:p w14:paraId="5EA26C34" w14:textId="77777777" w:rsidR="003C66EB" w:rsidRDefault="003C66EB">
            <w:pPr>
              <w:rPr>
                <w:rFonts w:ascii="宋体"/>
                <w:vanish/>
              </w:rPr>
            </w:pPr>
          </w:p>
        </w:tc>
        <w:tc>
          <w:tcPr>
            <w:tcW w:w="0" w:type="auto"/>
            <w:gridSpan w:val="3"/>
            <w:shd w:val="clear" w:color="auto" w:fill="auto"/>
          </w:tcPr>
          <w:p w14:paraId="5EA26C35" w14:textId="77777777" w:rsidR="003C66EB" w:rsidRDefault="003C66EB">
            <w:pPr>
              <w:rPr>
                <w:rFonts w:ascii="宋体"/>
                <w:vanish/>
              </w:rPr>
            </w:pPr>
          </w:p>
        </w:tc>
        <w:tc>
          <w:tcPr>
            <w:tcW w:w="0" w:type="auto"/>
            <w:gridSpan w:val="3"/>
            <w:shd w:val="clear" w:color="auto" w:fill="auto"/>
          </w:tcPr>
          <w:p w14:paraId="5EA26C36" w14:textId="77777777" w:rsidR="003C66EB" w:rsidRDefault="003C66EB">
            <w:pPr>
              <w:rPr>
                <w:rFonts w:ascii="宋体"/>
                <w:vanish/>
              </w:rPr>
            </w:pPr>
          </w:p>
        </w:tc>
        <w:tc>
          <w:tcPr>
            <w:tcW w:w="0" w:type="auto"/>
            <w:gridSpan w:val="3"/>
            <w:shd w:val="clear" w:color="auto" w:fill="auto"/>
          </w:tcPr>
          <w:p w14:paraId="5EA26C37" w14:textId="77777777" w:rsidR="003C66EB" w:rsidRDefault="003C66EB">
            <w:pPr>
              <w:rPr>
                <w:rFonts w:ascii="宋体"/>
                <w:vanish/>
              </w:rPr>
            </w:pPr>
          </w:p>
        </w:tc>
        <w:tc>
          <w:tcPr>
            <w:tcW w:w="0" w:type="auto"/>
            <w:gridSpan w:val="3"/>
            <w:shd w:val="clear" w:color="auto" w:fill="auto"/>
          </w:tcPr>
          <w:p w14:paraId="5EA26C38" w14:textId="77777777" w:rsidR="003C66EB" w:rsidRDefault="003C66EB">
            <w:pPr>
              <w:rPr>
                <w:rFonts w:ascii="宋体"/>
                <w:vanish/>
              </w:rPr>
            </w:pPr>
          </w:p>
        </w:tc>
        <w:tc>
          <w:tcPr>
            <w:tcW w:w="0" w:type="auto"/>
            <w:gridSpan w:val="3"/>
            <w:shd w:val="clear" w:color="auto" w:fill="auto"/>
          </w:tcPr>
          <w:p w14:paraId="5EA26C39" w14:textId="77777777" w:rsidR="003C66EB" w:rsidRDefault="003C66EB">
            <w:pPr>
              <w:rPr>
                <w:rFonts w:ascii="宋体"/>
                <w:vanish/>
              </w:rPr>
            </w:pPr>
          </w:p>
        </w:tc>
        <w:tc>
          <w:tcPr>
            <w:tcW w:w="0" w:type="auto"/>
            <w:gridSpan w:val="3"/>
            <w:shd w:val="clear" w:color="auto" w:fill="auto"/>
          </w:tcPr>
          <w:p w14:paraId="5EA26C3A" w14:textId="77777777" w:rsidR="003C66EB" w:rsidRDefault="003C66EB">
            <w:pPr>
              <w:rPr>
                <w:rFonts w:ascii="宋体"/>
                <w:vanish/>
              </w:rPr>
            </w:pPr>
          </w:p>
        </w:tc>
      </w:tr>
      <w:tr w:rsidR="003C66EB" w14:paraId="5EA26C58" w14:textId="77777777">
        <w:tc>
          <w:tcPr>
            <w:tcW w:w="0" w:type="auto"/>
            <w:gridSpan w:val="3"/>
            <w:shd w:val="clear" w:color="auto" w:fill="CCEEFF"/>
            <w:tcMar>
              <w:top w:w="40" w:type="dxa"/>
              <w:left w:w="20" w:type="dxa"/>
              <w:bottom w:w="40" w:type="dxa"/>
              <w:right w:w="20" w:type="dxa"/>
            </w:tcMar>
            <w:vAlign w:val="bottom"/>
          </w:tcPr>
          <w:p w14:paraId="5EA26C3C" w14:textId="77777777" w:rsidR="003C66EB" w:rsidRDefault="00D96C4E">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6C3D"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3E" w14:textId="77777777" w:rsidR="003C66EB" w:rsidRDefault="00D96C4E">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4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C41"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42" w14:textId="77777777" w:rsidR="003C66EB" w:rsidRDefault="00D96C4E">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4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4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C4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46" w14:textId="77777777" w:rsidR="003C66EB" w:rsidRDefault="00D96C4E">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4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C49"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4A" w14:textId="77777777" w:rsidR="003C66EB" w:rsidRDefault="00D96C4E">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4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4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C4D"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4E" w14:textId="77777777" w:rsidR="003C66EB" w:rsidRDefault="00D96C4E">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5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C51"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52" w14:textId="77777777" w:rsidR="003C66EB" w:rsidRDefault="00D96C4E">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5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C5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C56" w14:textId="77777777" w:rsidR="003C66EB" w:rsidRDefault="00D96C4E">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C57" w14:textId="77777777" w:rsidR="003C66EB" w:rsidRDefault="003C66EB">
            <w:pPr>
              <w:jc w:val="right"/>
              <w:rPr>
                <w:rFonts w:ascii="宋体"/>
              </w:rPr>
            </w:pPr>
          </w:p>
        </w:tc>
      </w:tr>
      <w:tr w:rsidR="003C66EB" w14:paraId="5EA26C6E" w14:textId="77777777">
        <w:tc>
          <w:tcPr>
            <w:tcW w:w="0" w:type="auto"/>
            <w:gridSpan w:val="3"/>
            <w:shd w:val="clear" w:color="auto" w:fill="FFFFFF"/>
            <w:tcMar>
              <w:top w:w="40" w:type="dxa"/>
              <w:left w:w="20" w:type="dxa"/>
              <w:bottom w:w="40" w:type="dxa"/>
              <w:right w:w="20" w:type="dxa"/>
            </w:tcMar>
            <w:vAlign w:val="bottom"/>
          </w:tcPr>
          <w:p w14:paraId="5EA26C59" w14:textId="77777777" w:rsidR="003C66EB" w:rsidRDefault="00D96C4E">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EA26C5A" w14:textId="77777777" w:rsidR="003C66EB" w:rsidRDefault="00D96C4E">
            <w:pPr>
              <w:jc w:val="right"/>
              <w:textAlignment w:val="bottom"/>
            </w:pPr>
            <w:r>
              <w:rPr>
                <w:rFonts w:ascii="Arial" w:eastAsia="宋体" w:hAnsi="Arial" w:cs="Arial"/>
                <w:b/>
                <w:bCs/>
                <w:color w:val="000000"/>
                <w:sz w:val="13"/>
                <w:szCs w:val="13"/>
              </w:rPr>
              <w:t>(15)</w:t>
            </w:r>
          </w:p>
        </w:tc>
        <w:tc>
          <w:tcPr>
            <w:tcW w:w="0" w:type="auto"/>
            <w:shd w:val="clear" w:color="auto" w:fill="FFFFFF"/>
            <w:tcMar>
              <w:top w:w="40" w:type="dxa"/>
              <w:left w:w="0" w:type="dxa"/>
              <w:bottom w:w="40" w:type="dxa"/>
              <w:right w:w="20" w:type="dxa"/>
            </w:tcMar>
            <w:vAlign w:val="bottom"/>
          </w:tcPr>
          <w:p w14:paraId="5EA26C5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5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C5D" w14:textId="77777777" w:rsidR="003C66EB" w:rsidRDefault="00D96C4E">
            <w:pPr>
              <w:jc w:val="right"/>
              <w:textAlignment w:val="bottom"/>
            </w:pPr>
            <w:r>
              <w:rPr>
                <w:rFonts w:ascii="Arial" w:eastAsia="宋体" w:hAnsi="Arial" w:cs="Arial"/>
                <w:b/>
                <w:bCs/>
                <w:color w:val="000000"/>
                <w:sz w:val="13"/>
                <w:szCs w:val="13"/>
              </w:rPr>
              <w:t>(413)</w:t>
            </w:r>
          </w:p>
        </w:tc>
        <w:tc>
          <w:tcPr>
            <w:tcW w:w="0" w:type="auto"/>
            <w:shd w:val="clear" w:color="auto" w:fill="FFFFFF"/>
            <w:tcMar>
              <w:top w:w="40" w:type="dxa"/>
              <w:left w:w="0" w:type="dxa"/>
              <w:bottom w:w="40" w:type="dxa"/>
              <w:right w:w="20" w:type="dxa"/>
            </w:tcMar>
            <w:vAlign w:val="bottom"/>
          </w:tcPr>
          <w:p w14:paraId="5EA26C5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5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C60" w14:textId="77777777" w:rsidR="003C66EB" w:rsidRDefault="00D96C4E">
            <w:pPr>
              <w:jc w:val="right"/>
              <w:textAlignment w:val="bottom"/>
            </w:pPr>
            <w:r>
              <w:rPr>
                <w:rFonts w:ascii="Arial" w:eastAsia="宋体" w:hAnsi="Arial" w:cs="Arial"/>
                <w:b/>
                <w:bCs/>
                <w:color w:val="000000"/>
                <w:sz w:val="13"/>
                <w:szCs w:val="13"/>
              </w:rPr>
              <w:t>135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6C6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6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C63"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6C6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6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C66"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6C6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6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C69" w14:textId="77777777" w:rsidR="003C66EB" w:rsidRDefault="00D96C4E">
            <w:pPr>
              <w:jc w:val="right"/>
              <w:textAlignment w:val="bottom"/>
            </w:pPr>
            <w:r>
              <w:rPr>
                <w:rFonts w:ascii="Arial" w:eastAsia="宋体" w:hAnsi="Arial" w:cs="Arial"/>
                <w:b/>
                <w:bCs/>
                <w:color w:val="000000"/>
                <w:sz w:val="13"/>
                <w:szCs w:val="13"/>
              </w:rPr>
              <w:t>(335)</w:t>
            </w:r>
          </w:p>
        </w:tc>
        <w:tc>
          <w:tcPr>
            <w:tcW w:w="0" w:type="auto"/>
            <w:shd w:val="clear" w:color="auto" w:fill="FFFFFF"/>
            <w:tcMar>
              <w:top w:w="40" w:type="dxa"/>
              <w:left w:w="0" w:type="dxa"/>
              <w:bottom w:w="40" w:type="dxa"/>
              <w:right w:w="20" w:type="dxa"/>
            </w:tcMar>
            <w:vAlign w:val="bottom"/>
          </w:tcPr>
          <w:p w14:paraId="5EA26C6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6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C6C" w14:textId="77777777" w:rsidR="003C66EB" w:rsidRDefault="00D96C4E">
            <w:pPr>
              <w:jc w:val="right"/>
              <w:textAlignment w:val="bottom"/>
            </w:pPr>
            <w:r>
              <w:rPr>
                <w:rFonts w:ascii="Arial" w:eastAsia="宋体" w:hAnsi="Arial" w:cs="Arial"/>
                <w:b/>
                <w:bCs/>
                <w:color w:val="000000"/>
                <w:sz w:val="13"/>
                <w:szCs w:val="13"/>
              </w:rPr>
              <w:t>(628)</w:t>
            </w:r>
          </w:p>
        </w:tc>
        <w:tc>
          <w:tcPr>
            <w:tcW w:w="0" w:type="auto"/>
            <w:shd w:val="clear" w:color="auto" w:fill="FFFFFF"/>
            <w:tcMar>
              <w:top w:w="40" w:type="dxa"/>
              <w:left w:w="0" w:type="dxa"/>
              <w:bottom w:w="40" w:type="dxa"/>
              <w:right w:w="20" w:type="dxa"/>
            </w:tcMar>
            <w:vAlign w:val="bottom"/>
          </w:tcPr>
          <w:p w14:paraId="5EA26C6D" w14:textId="77777777" w:rsidR="003C66EB" w:rsidRDefault="003C66EB">
            <w:pPr>
              <w:jc w:val="right"/>
              <w:rPr>
                <w:rFonts w:ascii="宋体"/>
              </w:rPr>
            </w:pPr>
          </w:p>
        </w:tc>
      </w:tr>
      <w:tr w:rsidR="003C66EB" w14:paraId="5EA26C7D" w14:textId="77777777">
        <w:trPr>
          <w:hidden/>
        </w:trPr>
        <w:tc>
          <w:tcPr>
            <w:tcW w:w="0" w:type="auto"/>
            <w:gridSpan w:val="3"/>
            <w:shd w:val="clear" w:color="auto" w:fill="auto"/>
          </w:tcPr>
          <w:p w14:paraId="5EA26C6F" w14:textId="77777777" w:rsidR="003C66EB" w:rsidRDefault="003C66EB">
            <w:pPr>
              <w:rPr>
                <w:rFonts w:ascii="宋体"/>
                <w:vanish/>
              </w:rPr>
            </w:pPr>
          </w:p>
        </w:tc>
        <w:tc>
          <w:tcPr>
            <w:tcW w:w="0" w:type="auto"/>
            <w:gridSpan w:val="3"/>
            <w:shd w:val="clear" w:color="auto" w:fill="auto"/>
          </w:tcPr>
          <w:p w14:paraId="5EA26C70" w14:textId="77777777" w:rsidR="003C66EB" w:rsidRDefault="003C66EB">
            <w:pPr>
              <w:rPr>
                <w:rFonts w:ascii="宋体"/>
                <w:vanish/>
              </w:rPr>
            </w:pPr>
          </w:p>
        </w:tc>
        <w:tc>
          <w:tcPr>
            <w:tcW w:w="0" w:type="auto"/>
            <w:gridSpan w:val="3"/>
            <w:shd w:val="clear" w:color="auto" w:fill="auto"/>
          </w:tcPr>
          <w:p w14:paraId="5EA26C71" w14:textId="77777777" w:rsidR="003C66EB" w:rsidRDefault="003C66EB">
            <w:pPr>
              <w:rPr>
                <w:rFonts w:ascii="宋体"/>
                <w:vanish/>
              </w:rPr>
            </w:pPr>
          </w:p>
        </w:tc>
        <w:tc>
          <w:tcPr>
            <w:tcW w:w="0" w:type="auto"/>
            <w:gridSpan w:val="3"/>
            <w:shd w:val="clear" w:color="auto" w:fill="auto"/>
          </w:tcPr>
          <w:p w14:paraId="5EA26C72" w14:textId="77777777" w:rsidR="003C66EB" w:rsidRDefault="003C66EB">
            <w:pPr>
              <w:rPr>
                <w:rFonts w:ascii="宋体"/>
                <w:vanish/>
              </w:rPr>
            </w:pPr>
          </w:p>
        </w:tc>
        <w:tc>
          <w:tcPr>
            <w:tcW w:w="0" w:type="auto"/>
            <w:gridSpan w:val="3"/>
            <w:shd w:val="clear" w:color="auto" w:fill="auto"/>
          </w:tcPr>
          <w:p w14:paraId="5EA26C73" w14:textId="77777777" w:rsidR="003C66EB" w:rsidRDefault="003C66EB">
            <w:pPr>
              <w:rPr>
                <w:rFonts w:ascii="宋体"/>
                <w:vanish/>
              </w:rPr>
            </w:pPr>
          </w:p>
        </w:tc>
        <w:tc>
          <w:tcPr>
            <w:tcW w:w="0" w:type="auto"/>
            <w:gridSpan w:val="3"/>
            <w:shd w:val="clear" w:color="auto" w:fill="auto"/>
          </w:tcPr>
          <w:p w14:paraId="5EA26C74" w14:textId="77777777" w:rsidR="003C66EB" w:rsidRDefault="003C66EB">
            <w:pPr>
              <w:rPr>
                <w:rFonts w:ascii="宋体"/>
                <w:vanish/>
              </w:rPr>
            </w:pPr>
          </w:p>
        </w:tc>
        <w:tc>
          <w:tcPr>
            <w:tcW w:w="0" w:type="auto"/>
            <w:gridSpan w:val="3"/>
            <w:shd w:val="clear" w:color="auto" w:fill="auto"/>
          </w:tcPr>
          <w:p w14:paraId="5EA26C75" w14:textId="77777777" w:rsidR="003C66EB" w:rsidRDefault="003C66EB">
            <w:pPr>
              <w:rPr>
                <w:rFonts w:ascii="宋体"/>
                <w:vanish/>
              </w:rPr>
            </w:pPr>
          </w:p>
        </w:tc>
        <w:tc>
          <w:tcPr>
            <w:tcW w:w="0" w:type="auto"/>
            <w:gridSpan w:val="3"/>
            <w:shd w:val="clear" w:color="auto" w:fill="auto"/>
          </w:tcPr>
          <w:p w14:paraId="5EA26C76" w14:textId="77777777" w:rsidR="003C66EB" w:rsidRDefault="003C66EB">
            <w:pPr>
              <w:rPr>
                <w:rFonts w:ascii="宋体"/>
                <w:vanish/>
              </w:rPr>
            </w:pPr>
          </w:p>
        </w:tc>
        <w:tc>
          <w:tcPr>
            <w:tcW w:w="0" w:type="auto"/>
            <w:gridSpan w:val="3"/>
            <w:shd w:val="clear" w:color="auto" w:fill="auto"/>
          </w:tcPr>
          <w:p w14:paraId="5EA26C77" w14:textId="77777777" w:rsidR="003C66EB" w:rsidRDefault="003C66EB">
            <w:pPr>
              <w:rPr>
                <w:rFonts w:ascii="宋体"/>
                <w:vanish/>
              </w:rPr>
            </w:pPr>
          </w:p>
        </w:tc>
        <w:tc>
          <w:tcPr>
            <w:tcW w:w="0" w:type="auto"/>
            <w:gridSpan w:val="3"/>
            <w:shd w:val="clear" w:color="auto" w:fill="auto"/>
          </w:tcPr>
          <w:p w14:paraId="5EA26C78" w14:textId="77777777" w:rsidR="003C66EB" w:rsidRDefault="003C66EB">
            <w:pPr>
              <w:rPr>
                <w:rFonts w:ascii="宋体"/>
                <w:vanish/>
              </w:rPr>
            </w:pPr>
          </w:p>
        </w:tc>
        <w:tc>
          <w:tcPr>
            <w:tcW w:w="0" w:type="auto"/>
            <w:gridSpan w:val="3"/>
            <w:shd w:val="clear" w:color="auto" w:fill="auto"/>
          </w:tcPr>
          <w:p w14:paraId="5EA26C79" w14:textId="77777777" w:rsidR="003C66EB" w:rsidRDefault="003C66EB">
            <w:pPr>
              <w:rPr>
                <w:rFonts w:ascii="宋体"/>
                <w:vanish/>
              </w:rPr>
            </w:pPr>
          </w:p>
        </w:tc>
        <w:tc>
          <w:tcPr>
            <w:tcW w:w="0" w:type="auto"/>
            <w:gridSpan w:val="3"/>
            <w:shd w:val="clear" w:color="auto" w:fill="auto"/>
          </w:tcPr>
          <w:p w14:paraId="5EA26C7A" w14:textId="77777777" w:rsidR="003C66EB" w:rsidRDefault="003C66EB">
            <w:pPr>
              <w:rPr>
                <w:rFonts w:ascii="宋体"/>
                <w:vanish/>
              </w:rPr>
            </w:pPr>
          </w:p>
        </w:tc>
        <w:tc>
          <w:tcPr>
            <w:tcW w:w="0" w:type="auto"/>
            <w:gridSpan w:val="3"/>
            <w:shd w:val="clear" w:color="auto" w:fill="auto"/>
          </w:tcPr>
          <w:p w14:paraId="5EA26C7B" w14:textId="77777777" w:rsidR="003C66EB" w:rsidRDefault="003C66EB">
            <w:pPr>
              <w:rPr>
                <w:rFonts w:ascii="宋体"/>
                <w:vanish/>
              </w:rPr>
            </w:pPr>
          </w:p>
        </w:tc>
        <w:tc>
          <w:tcPr>
            <w:tcW w:w="0" w:type="auto"/>
            <w:gridSpan w:val="3"/>
            <w:shd w:val="clear" w:color="auto" w:fill="auto"/>
          </w:tcPr>
          <w:p w14:paraId="5EA26C7C" w14:textId="77777777" w:rsidR="003C66EB" w:rsidRDefault="003C66EB">
            <w:pPr>
              <w:rPr>
                <w:rFonts w:ascii="宋体"/>
                <w:vanish/>
              </w:rPr>
            </w:pPr>
          </w:p>
        </w:tc>
      </w:tr>
      <w:tr w:rsidR="003C66EB" w14:paraId="5EA26C93" w14:textId="77777777">
        <w:tc>
          <w:tcPr>
            <w:tcW w:w="0" w:type="auto"/>
            <w:gridSpan w:val="3"/>
            <w:shd w:val="clear" w:color="auto" w:fill="CCEEFF"/>
            <w:tcMar>
              <w:top w:w="40" w:type="dxa"/>
              <w:left w:w="20" w:type="dxa"/>
              <w:bottom w:w="40" w:type="dxa"/>
              <w:right w:w="20" w:type="dxa"/>
            </w:tcMar>
            <w:vAlign w:val="bottom"/>
          </w:tcPr>
          <w:p w14:paraId="5EA26C7E" w14:textId="77777777" w:rsidR="003C66EB" w:rsidRDefault="00D96C4E">
            <w:pPr>
              <w:textAlignment w:val="bottom"/>
            </w:pPr>
            <w:r>
              <w:rPr>
                <w:rFonts w:ascii="Arial" w:eastAsia="宋体" w:hAnsi="Arial" w:cs="Arial"/>
                <w:color w:val="000000"/>
                <w:sz w:val="13"/>
                <w:szCs w:val="13"/>
              </w:rPr>
              <w:t xml:space="preserve">Amounts </w:t>
            </w:r>
            <w:r>
              <w:rPr>
                <w:rFonts w:ascii="Arial" w:eastAsia="宋体" w:hAnsi="Arial" w:cs="Arial"/>
                <w:color w:val="000000"/>
                <w:sz w:val="13"/>
                <w:szCs w:val="13"/>
              </w:rPr>
              <w:t>reclassified into earnings</w:t>
            </w:r>
          </w:p>
        </w:tc>
        <w:tc>
          <w:tcPr>
            <w:tcW w:w="0" w:type="auto"/>
            <w:gridSpan w:val="2"/>
            <w:shd w:val="clear" w:color="auto" w:fill="CCEEFF"/>
            <w:tcMar>
              <w:top w:w="40" w:type="dxa"/>
              <w:left w:w="20" w:type="dxa"/>
              <w:bottom w:w="40" w:type="dxa"/>
              <w:right w:w="0" w:type="dxa"/>
            </w:tcMar>
            <w:vAlign w:val="bottom"/>
          </w:tcPr>
          <w:p w14:paraId="5EA26C7F" w14:textId="77777777" w:rsidR="003C66EB" w:rsidRDefault="00D96C4E">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8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C82"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8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C85"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8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8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C88"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8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C8B" w14:textId="77777777" w:rsidR="003C66EB" w:rsidRDefault="00D96C4E">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8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8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C8E"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8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9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C91" w14:textId="77777777" w:rsidR="003C66EB" w:rsidRDefault="00D96C4E">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C92" w14:textId="77777777" w:rsidR="003C66EB" w:rsidRDefault="003C66EB">
            <w:pPr>
              <w:jc w:val="right"/>
              <w:rPr>
                <w:rFonts w:ascii="宋体"/>
              </w:rPr>
            </w:pPr>
          </w:p>
        </w:tc>
      </w:tr>
      <w:tr w:rsidR="003C66EB" w14:paraId="5EA26CA9" w14:textId="77777777">
        <w:tc>
          <w:tcPr>
            <w:tcW w:w="0" w:type="auto"/>
            <w:gridSpan w:val="3"/>
            <w:shd w:val="clear" w:color="auto" w:fill="FFFFFF"/>
            <w:tcMar>
              <w:top w:w="40" w:type="dxa"/>
              <w:left w:w="20" w:type="dxa"/>
              <w:bottom w:w="40" w:type="dxa"/>
              <w:right w:w="20" w:type="dxa"/>
            </w:tcMar>
            <w:vAlign w:val="bottom"/>
          </w:tcPr>
          <w:p w14:paraId="5EA26C94" w14:textId="77777777" w:rsidR="003C66EB" w:rsidRDefault="00D96C4E">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95"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9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9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98" w14:textId="77777777" w:rsidR="003C66EB" w:rsidRDefault="00D96C4E">
            <w:pPr>
              <w:jc w:val="right"/>
              <w:textAlignment w:val="bottom"/>
            </w:pPr>
            <w:r>
              <w:rPr>
                <w:rFonts w:ascii="Arial" w:eastAsia="宋体" w:hAnsi="Arial" w:cs="Arial"/>
                <w:b/>
                <w:bCs/>
                <w:color w:val="000000"/>
                <w:sz w:val="13"/>
                <w:szCs w:val="13"/>
              </w:rPr>
              <w:t>(413)</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9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9A"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9B" w14:textId="77777777" w:rsidR="003C66EB" w:rsidRDefault="00D96C4E">
            <w:pPr>
              <w:jc w:val="right"/>
              <w:textAlignment w:val="bottom"/>
            </w:pPr>
            <w:r>
              <w:rPr>
                <w:rFonts w:ascii="Arial" w:eastAsia="宋体" w:hAnsi="Arial" w:cs="Arial"/>
                <w:b/>
                <w:bCs/>
                <w:color w:val="000000"/>
                <w:sz w:val="13"/>
                <w:szCs w:val="13"/>
              </w:rPr>
              <w:t>135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9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9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9E"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9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A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A1" w14:textId="77777777" w:rsidR="003C66EB" w:rsidRDefault="00D96C4E">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A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A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A4" w14:textId="77777777" w:rsidR="003C66EB" w:rsidRDefault="00D96C4E">
            <w:pPr>
              <w:jc w:val="right"/>
              <w:textAlignment w:val="bottom"/>
            </w:pPr>
            <w:r>
              <w:rPr>
                <w:rFonts w:ascii="Arial" w:eastAsia="宋体" w:hAnsi="Arial" w:cs="Arial"/>
                <w:b/>
                <w:bCs/>
                <w:color w:val="000000"/>
                <w:sz w:val="13"/>
                <w:szCs w:val="13"/>
              </w:rPr>
              <w:t>(335)</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A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CA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CA7" w14:textId="77777777" w:rsidR="003C66EB" w:rsidRDefault="00D96C4E">
            <w:pPr>
              <w:jc w:val="right"/>
              <w:textAlignment w:val="bottom"/>
            </w:pPr>
            <w:r>
              <w:rPr>
                <w:rFonts w:ascii="Arial" w:eastAsia="宋体" w:hAnsi="Arial" w:cs="Arial"/>
                <w:b/>
                <w:bCs/>
                <w:color w:val="000000"/>
                <w:sz w:val="13"/>
                <w:szCs w:val="13"/>
              </w:rPr>
              <w:t>(605)</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CA8" w14:textId="77777777" w:rsidR="003C66EB" w:rsidRDefault="003C66EB">
            <w:pPr>
              <w:jc w:val="right"/>
              <w:rPr>
                <w:rFonts w:ascii="宋体"/>
              </w:rPr>
            </w:pPr>
          </w:p>
        </w:tc>
      </w:tr>
      <w:tr w:rsidR="003C66EB" w14:paraId="5EA26CC6" w14:textId="77777777">
        <w:tc>
          <w:tcPr>
            <w:tcW w:w="0" w:type="auto"/>
            <w:gridSpan w:val="3"/>
            <w:shd w:val="clear" w:color="auto" w:fill="CCEEFF"/>
            <w:tcMar>
              <w:top w:w="40" w:type="dxa"/>
              <w:left w:w="20" w:type="dxa"/>
              <w:bottom w:w="40" w:type="dxa"/>
              <w:right w:w="20" w:type="dxa"/>
            </w:tcMar>
            <w:vAlign w:val="bottom"/>
          </w:tcPr>
          <w:p w14:paraId="5EA26CAA" w14:textId="77777777" w:rsidR="003C66EB" w:rsidRDefault="00D96C4E">
            <w:pPr>
              <w:textAlignment w:val="bottom"/>
            </w:pPr>
            <w:r>
              <w:rPr>
                <w:rFonts w:ascii="Arial" w:eastAsia="宋体" w:hAnsi="Arial" w:cs="Arial"/>
                <w:b/>
                <w:bCs/>
                <w:color w:val="000000"/>
                <w:sz w:val="13"/>
                <w:szCs w:val="13"/>
              </w:rPr>
              <w:t>Balance as of March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AB"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AC" w14:textId="77777777" w:rsidR="003C66EB" w:rsidRDefault="00D96C4E">
            <w:pPr>
              <w:jc w:val="right"/>
              <w:textAlignment w:val="bottom"/>
            </w:pPr>
            <w:r>
              <w:rPr>
                <w:rFonts w:ascii="Arial" w:eastAsia="宋体" w:hAnsi="Arial" w:cs="Arial"/>
                <w:b/>
                <w:bCs/>
                <w:color w:val="000000"/>
                <w:sz w:val="13"/>
                <w:szCs w:val="13"/>
              </w:rPr>
              <w:t>57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A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AF"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B0" w14:textId="77777777" w:rsidR="003C66EB" w:rsidRDefault="00D96C4E">
            <w:pPr>
              <w:jc w:val="right"/>
              <w:textAlignment w:val="bottom"/>
            </w:pPr>
            <w:r>
              <w:rPr>
                <w:rFonts w:ascii="Arial" w:eastAsia="宋体" w:hAnsi="Arial" w:cs="Arial"/>
                <w:b/>
                <w:bCs/>
                <w:color w:val="000000"/>
                <w:sz w:val="13"/>
                <w:szCs w:val="13"/>
              </w:rPr>
              <w:t>435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B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B3"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B4" w14:textId="77777777" w:rsidR="003C66EB" w:rsidRDefault="00D96C4E">
            <w:pPr>
              <w:jc w:val="right"/>
              <w:textAlignment w:val="bottom"/>
            </w:pPr>
            <w:r>
              <w:rPr>
                <w:rFonts w:ascii="Arial" w:eastAsia="宋体" w:hAnsi="Arial" w:cs="Arial"/>
                <w:b/>
                <w:bCs/>
                <w:color w:val="000000"/>
                <w:sz w:val="13"/>
                <w:szCs w:val="13"/>
              </w:rPr>
              <w:t>(69)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B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B6"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B7"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B8" w14:textId="77777777" w:rsidR="003C66EB" w:rsidRDefault="00D96C4E">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B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B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BB"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BC" w14:textId="77777777" w:rsidR="003C66EB" w:rsidRDefault="00D96C4E">
            <w:pPr>
              <w:jc w:val="right"/>
              <w:textAlignment w:val="bottom"/>
            </w:pPr>
            <w:r>
              <w:rPr>
                <w:rFonts w:ascii="Arial" w:eastAsia="宋体" w:hAnsi="Arial" w:cs="Arial"/>
                <w:b/>
                <w:bCs/>
                <w:color w:val="000000"/>
                <w:sz w:val="13"/>
                <w:szCs w:val="13"/>
              </w:rPr>
              <w:t>(170)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B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B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BF"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C0" w14:textId="77777777" w:rsidR="003C66EB" w:rsidRDefault="00D96C4E">
            <w:pPr>
              <w:jc w:val="right"/>
              <w:textAlignment w:val="bottom"/>
            </w:pPr>
            <w:r>
              <w:rPr>
                <w:rFonts w:ascii="Arial" w:eastAsia="宋体" w:hAnsi="Arial" w:cs="Arial"/>
                <w:b/>
                <w:bCs/>
                <w:color w:val="000000"/>
                <w:sz w:val="13"/>
                <w:szCs w:val="13"/>
              </w:rPr>
              <w:t>(669)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C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CC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6CC3"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6CC4" w14:textId="77777777" w:rsidR="003C66EB" w:rsidRDefault="00D96C4E">
            <w:pPr>
              <w:jc w:val="right"/>
              <w:textAlignment w:val="bottom"/>
            </w:pPr>
            <w:r>
              <w:rPr>
                <w:rFonts w:ascii="Arial" w:eastAsia="宋体" w:hAnsi="Arial" w:cs="Arial"/>
                <w:b/>
                <w:bCs/>
                <w:color w:val="000000"/>
                <w:sz w:val="13"/>
                <w:szCs w:val="13"/>
              </w:rPr>
              <w:t>(418)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6CC5" w14:textId="77777777" w:rsidR="003C66EB" w:rsidRDefault="003C66EB">
            <w:pPr>
              <w:jc w:val="right"/>
              <w:rPr>
                <w:rFonts w:ascii="宋体"/>
              </w:rPr>
            </w:pPr>
          </w:p>
        </w:tc>
      </w:tr>
    </w:tbl>
    <w:p w14:paraId="5EA26CC7" w14:textId="77777777" w:rsidR="003C66EB" w:rsidRDefault="003C66EB">
      <w:pPr>
        <w:ind w:firstLine="450"/>
      </w:pPr>
    </w:p>
    <w:p w14:paraId="5EA26CC8" w14:textId="77777777" w:rsidR="003C66EB" w:rsidRDefault="00D96C4E">
      <w:pPr>
        <w:ind w:firstLine="450"/>
        <w:jc w:val="right"/>
      </w:pPr>
      <w:r>
        <w:rPr>
          <w:rFonts w:ascii="Arial" w:eastAsia="宋体" w:hAnsi="Arial" w:cs="Arial"/>
          <w:color w:val="000000"/>
          <w:sz w:val="18"/>
          <w:szCs w:val="18"/>
        </w:rPr>
        <w:t>State Street Corporation | 79</w:t>
      </w:r>
    </w:p>
    <w:p w14:paraId="5EA26CC9" w14:textId="77777777" w:rsidR="003C66EB" w:rsidRDefault="003C66EB">
      <w:pPr>
        <w:ind w:firstLine="450"/>
        <w:jc w:val="center"/>
      </w:pPr>
    </w:p>
    <w:p w14:paraId="5EA26CCA" w14:textId="77777777" w:rsidR="003C66EB" w:rsidRDefault="00D96C4E">
      <w:r>
        <w:pict w14:anchorId="5EA287FF">
          <v:rect id="_x0000_i1103" style="width:415.3pt;height:1.5pt" o:hralign="center" o:hrstd="t" o:hr="t" fillcolor="#a0a0a0" stroked="f"/>
        </w:pict>
      </w:r>
    </w:p>
    <w:p w14:paraId="5EA26CCB" w14:textId="77777777" w:rsidR="003C66EB" w:rsidRDefault="00D96C4E">
      <w:pPr>
        <w:ind w:firstLine="450"/>
        <w:jc w:val="center"/>
      </w:pPr>
      <w:r>
        <w:rPr>
          <w:rFonts w:ascii="Arial" w:eastAsia="宋体" w:hAnsi="Arial" w:cs="Arial"/>
          <w:b/>
          <w:bCs/>
          <w:color w:val="000000"/>
          <w:sz w:val="20"/>
          <w:szCs w:val="20"/>
        </w:rPr>
        <w:t>STATE STREET CORPORATION</w:t>
      </w:r>
    </w:p>
    <w:p w14:paraId="5EA26CCC"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CCD" w14:textId="77777777" w:rsidR="003C66EB" w:rsidRDefault="00D96C4E">
      <w:pPr>
        <w:ind w:firstLine="450"/>
        <w:jc w:val="center"/>
      </w:pPr>
      <w:r>
        <w:rPr>
          <w:rFonts w:ascii="Arial" w:eastAsia="宋体" w:hAnsi="Arial" w:cs="Arial"/>
          <w:b/>
          <w:bCs/>
          <w:color w:val="000000"/>
          <w:sz w:val="20"/>
          <w:szCs w:val="20"/>
        </w:rPr>
        <w:t>(UNAUDITED)</w:t>
      </w:r>
    </w:p>
    <w:tbl>
      <w:tblPr>
        <w:tblW w:w="4978" w:type="pct"/>
        <w:tblCellMar>
          <w:top w:w="15" w:type="dxa"/>
          <w:left w:w="15" w:type="dxa"/>
          <w:bottom w:w="15" w:type="dxa"/>
          <w:right w:w="15" w:type="dxa"/>
        </w:tblCellMar>
        <w:tblLook w:val="04A0" w:firstRow="1" w:lastRow="0" w:firstColumn="1" w:lastColumn="0" w:noHBand="0" w:noVBand="1"/>
      </w:tblPr>
      <w:tblGrid>
        <w:gridCol w:w="39"/>
        <w:gridCol w:w="1339"/>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304"/>
        <w:gridCol w:w="36"/>
      </w:tblGrid>
      <w:tr w:rsidR="003C66EB" w14:paraId="5EA26CF8" w14:textId="77777777">
        <w:tc>
          <w:tcPr>
            <w:tcW w:w="50" w:type="pct"/>
            <w:shd w:val="clear" w:color="auto" w:fill="auto"/>
          </w:tcPr>
          <w:p w14:paraId="5EA26CCE" w14:textId="77777777" w:rsidR="003C66EB" w:rsidRDefault="003C66EB">
            <w:pPr>
              <w:rPr>
                <w:rFonts w:ascii="宋体"/>
              </w:rPr>
            </w:pPr>
          </w:p>
        </w:tc>
        <w:tc>
          <w:tcPr>
            <w:tcW w:w="1303" w:type="pct"/>
            <w:shd w:val="clear" w:color="auto" w:fill="auto"/>
          </w:tcPr>
          <w:p w14:paraId="5EA26CCF" w14:textId="77777777" w:rsidR="003C66EB" w:rsidRDefault="003C66EB">
            <w:pPr>
              <w:rPr>
                <w:rFonts w:ascii="宋体"/>
              </w:rPr>
            </w:pPr>
          </w:p>
        </w:tc>
        <w:tc>
          <w:tcPr>
            <w:tcW w:w="5" w:type="pct"/>
            <w:shd w:val="clear" w:color="auto" w:fill="auto"/>
          </w:tcPr>
          <w:p w14:paraId="5EA26CD0" w14:textId="77777777" w:rsidR="003C66EB" w:rsidRDefault="003C66EB">
            <w:pPr>
              <w:rPr>
                <w:rFonts w:ascii="宋体"/>
              </w:rPr>
            </w:pPr>
          </w:p>
        </w:tc>
        <w:tc>
          <w:tcPr>
            <w:tcW w:w="50" w:type="pct"/>
            <w:shd w:val="clear" w:color="auto" w:fill="auto"/>
          </w:tcPr>
          <w:p w14:paraId="5EA26CD1" w14:textId="77777777" w:rsidR="003C66EB" w:rsidRDefault="003C66EB">
            <w:pPr>
              <w:rPr>
                <w:rFonts w:ascii="宋体"/>
              </w:rPr>
            </w:pPr>
          </w:p>
        </w:tc>
        <w:tc>
          <w:tcPr>
            <w:tcW w:w="495" w:type="pct"/>
            <w:shd w:val="clear" w:color="auto" w:fill="auto"/>
          </w:tcPr>
          <w:p w14:paraId="5EA26CD2" w14:textId="77777777" w:rsidR="003C66EB" w:rsidRDefault="003C66EB">
            <w:pPr>
              <w:rPr>
                <w:rFonts w:ascii="宋体"/>
              </w:rPr>
            </w:pPr>
          </w:p>
        </w:tc>
        <w:tc>
          <w:tcPr>
            <w:tcW w:w="5" w:type="pct"/>
            <w:shd w:val="clear" w:color="auto" w:fill="auto"/>
          </w:tcPr>
          <w:p w14:paraId="5EA26CD3" w14:textId="77777777" w:rsidR="003C66EB" w:rsidRDefault="003C66EB">
            <w:pPr>
              <w:rPr>
                <w:rFonts w:ascii="宋体"/>
              </w:rPr>
            </w:pPr>
          </w:p>
        </w:tc>
        <w:tc>
          <w:tcPr>
            <w:tcW w:w="5" w:type="pct"/>
            <w:shd w:val="clear" w:color="auto" w:fill="auto"/>
          </w:tcPr>
          <w:p w14:paraId="5EA26CD4" w14:textId="77777777" w:rsidR="003C66EB" w:rsidRDefault="003C66EB">
            <w:pPr>
              <w:rPr>
                <w:rFonts w:ascii="宋体"/>
              </w:rPr>
            </w:pPr>
          </w:p>
        </w:tc>
        <w:tc>
          <w:tcPr>
            <w:tcW w:w="19" w:type="pct"/>
            <w:shd w:val="clear" w:color="auto" w:fill="auto"/>
          </w:tcPr>
          <w:p w14:paraId="5EA26CD5" w14:textId="77777777" w:rsidR="003C66EB" w:rsidRDefault="003C66EB">
            <w:pPr>
              <w:rPr>
                <w:rFonts w:ascii="宋体"/>
              </w:rPr>
            </w:pPr>
          </w:p>
        </w:tc>
        <w:tc>
          <w:tcPr>
            <w:tcW w:w="5" w:type="pct"/>
            <w:shd w:val="clear" w:color="auto" w:fill="auto"/>
          </w:tcPr>
          <w:p w14:paraId="5EA26CD6" w14:textId="77777777" w:rsidR="003C66EB" w:rsidRDefault="003C66EB">
            <w:pPr>
              <w:rPr>
                <w:rFonts w:ascii="宋体"/>
              </w:rPr>
            </w:pPr>
          </w:p>
        </w:tc>
        <w:tc>
          <w:tcPr>
            <w:tcW w:w="50" w:type="pct"/>
            <w:shd w:val="clear" w:color="auto" w:fill="auto"/>
          </w:tcPr>
          <w:p w14:paraId="5EA26CD7" w14:textId="77777777" w:rsidR="003C66EB" w:rsidRDefault="003C66EB">
            <w:pPr>
              <w:rPr>
                <w:rFonts w:ascii="宋体"/>
              </w:rPr>
            </w:pPr>
          </w:p>
        </w:tc>
        <w:tc>
          <w:tcPr>
            <w:tcW w:w="451" w:type="pct"/>
            <w:shd w:val="clear" w:color="auto" w:fill="auto"/>
          </w:tcPr>
          <w:p w14:paraId="5EA26CD8" w14:textId="77777777" w:rsidR="003C66EB" w:rsidRDefault="003C66EB">
            <w:pPr>
              <w:rPr>
                <w:rFonts w:ascii="宋体"/>
              </w:rPr>
            </w:pPr>
          </w:p>
        </w:tc>
        <w:tc>
          <w:tcPr>
            <w:tcW w:w="5" w:type="pct"/>
            <w:shd w:val="clear" w:color="auto" w:fill="auto"/>
          </w:tcPr>
          <w:p w14:paraId="5EA26CD9" w14:textId="77777777" w:rsidR="003C66EB" w:rsidRDefault="003C66EB">
            <w:pPr>
              <w:rPr>
                <w:rFonts w:ascii="宋体"/>
              </w:rPr>
            </w:pPr>
          </w:p>
        </w:tc>
        <w:tc>
          <w:tcPr>
            <w:tcW w:w="5" w:type="pct"/>
            <w:shd w:val="clear" w:color="auto" w:fill="auto"/>
          </w:tcPr>
          <w:p w14:paraId="5EA26CDA" w14:textId="77777777" w:rsidR="003C66EB" w:rsidRDefault="003C66EB">
            <w:pPr>
              <w:rPr>
                <w:rFonts w:ascii="宋体"/>
              </w:rPr>
            </w:pPr>
          </w:p>
        </w:tc>
        <w:tc>
          <w:tcPr>
            <w:tcW w:w="19" w:type="pct"/>
            <w:shd w:val="clear" w:color="auto" w:fill="auto"/>
          </w:tcPr>
          <w:p w14:paraId="5EA26CDB" w14:textId="77777777" w:rsidR="003C66EB" w:rsidRDefault="003C66EB">
            <w:pPr>
              <w:rPr>
                <w:rFonts w:ascii="宋体"/>
              </w:rPr>
            </w:pPr>
          </w:p>
        </w:tc>
        <w:tc>
          <w:tcPr>
            <w:tcW w:w="5" w:type="pct"/>
            <w:shd w:val="clear" w:color="auto" w:fill="auto"/>
          </w:tcPr>
          <w:p w14:paraId="5EA26CDC" w14:textId="77777777" w:rsidR="003C66EB" w:rsidRDefault="003C66EB">
            <w:pPr>
              <w:rPr>
                <w:rFonts w:ascii="宋体"/>
              </w:rPr>
            </w:pPr>
          </w:p>
        </w:tc>
        <w:tc>
          <w:tcPr>
            <w:tcW w:w="50" w:type="pct"/>
            <w:shd w:val="clear" w:color="auto" w:fill="auto"/>
          </w:tcPr>
          <w:p w14:paraId="5EA26CDD" w14:textId="77777777" w:rsidR="003C66EB" w:rsidRDefault="003C66EB">
            <w:pPr>
              <w:rPr>
                <w:rFonts w:ascii="宋体"/>
              </w:rPr>
            </w:pPr>
          </w:p>
        </w:tc>
        <w:tc>
          <w:tcPr>
            <w:tcW w:w="613" w:type="pct"/>
            <w:shd w:val="clear" w:color="auto" w:fill="auto"/>
          </w:tcPr>
          <w:p w14:paraId="5EA26CDE" w14:textId="77777777" w:rsidR="003C66EB" w:rsidRDefault="003C66EB">
            <w:pPr>
              <w:rPr>
                <w:rFonts w:ascii="宋体"/>
              </w:rPr>
            </w:pPr>
          </w:p>
        </w:tc>
        <w:tc>
          <w:tcPr>
            <w:tcW w:w="5" w:type="pct"/>
            <w:shd w:val="clear" w:color="auto" w:fill="auto"/>
          </w:tcPr>
          <w:p w14:paraId="5EA26CDF" w14:textId="77777777" w:rsidR="003C66EB" w:rsidRDefault="003C66EB">
            <w:pPr>
              <w:rPr>
                <w:rFonts w:ascii="宋体"/>
              </w:rPr>
            </w:pPr>
          </w:p>
        </w:tc>
        <w:tc>
          <w:tcPr>
            <w:tcW w:w="5" w:type="pct"/>
            <w:shd w:val="clear" w:color="auto" w:fill="auto"/>
          </w:tcPr>
          <w:p w14:paraId="5EA26CE0" w14:textId="77777777" w:rsidR="003C66EB" w:rsidRDefault="003C66EB">
            <w:pPr>
              <w:rPr>
                <w:rFonts w:ascii="宋体"/>
              </w:rPr>
            </w:pPr>
          </w:p>
        </w:tc>
        <w:tc>
          <w:tcPr>
            <w:tcW w:w="19" w:type="pct"/>
            <w:shd w:val="clear" w:color="auto" w:fill="auto"/>
          </w:tcPr>
          <w:p w14:paraId="5EA26CE1" w14:textId="77777777" w:rsidR="003C66EB" w:rsidRDefault="003C66EB">
            <w:pPr>
              <w:rPr>
                <w:rFonts w:ascii="宋体"/>
              </w:rPr>
            </w:pPr>
          </w:p>
        </w:tc>
        <w:tc>
          <w:tcPr>
            <w:tcW w:w="5" w:type="pct"/>
            <w:shd w:val="clear" w:color="auto" w:fill="auto"/>
          </w:tcPr>
          <w:p w14:paraId="5EA26CE2" w14:textId="77777777" w:rsidR="003C66EB" w:rsidRDefault="003C66EB">
            <w:pPr>
              <w:rPr>
                <w:rFonts w:ascii="宋体"/>
              </w:rPr>
            </w:pPr>
          </w:p>
        </w:tc>
        <w:tc>
          <w:tcPr>
            <w:tcW w:w="50" w:type="pct"/>
            <w:shd w:val="clear" w:color="auto" w:fill="auto"/>
          </w:tcPr>
          <w:p w14:paraId="5EA26CE3" w14:textId="77777777" w:rsidR="003C66EB" w:rsidRDefault="003C66EB">
            <w:pPr>
              <w:rPr>
                <w:rFonts w:ascii="宋体"/>
              </w:rPr>
            </w:pPr>
          </w:p>
        </w:tc>
        <w:tc>
          <w:tcPr>
            <w:tcW w:w="495" w:type="pct"/>
            <w:shd w:val="clear" w:color="auto" w:fill="auto"/>
          </w:tcPr>
          <w:p w14:paraId="5EA26CE4" w14:textId="77777777" w:rsidR="003C66EB" w:rsidRDefault="003C66EB">
            <w:pPr>
              <w:rPr>
                <w:rFonts w:ascii="宋体"/>
              </w:rPr>
            </w:pPr>
          </w:p>
        </w:tc>
        <w:tc>
          <w:tcPr>
            <w:tcW w:w="5" w:type="pct"/>
            <w:shd w:val="clear" w:color="auto" w:fill="auto"/>
          </w:tcPr>
          <w:p w14:paraId="5EA26CE5" w14:textId="77777777" w:rsidR="003C66EB" w:rsidRDefault="003C66EB">
            <w:pPr>
              <w:rPr>
                <w:rFonts w:ascii="宋体"/>
              </w:rPr>
            </w:pPr>
          </w:p>
        </w:tc>
        <w:tc>
          <w:tcPr>
            <w:tcW w:w="5" w:type="pct"/>
            <w:shd w:val="clear" w:color="auto" w:fill="auto"/>
          </w:tcPr>
          <w:p w14:paraId="5EA26CE6" w14:textId="77777777" w:rsidR="003C66EB" w:rsidRDefault="003C66EB">
            <w:pPr>
              <w:rPr>
                <w:rFonts w:ascii="宋体"/>
              </w:rPr>
            </w:pPr>
          </w:p>
        </w:tc>
        <w:tc>
          <w:tcPr>
            <w:tcW w:w="19" w:type="pct"/>
            <w:shd w:val="clear" w:color="auto" w:fill="auto"/>
          </w:tcPr>
          <w:p w14:paraId="5EA26CE7" w14:textId="77777777" w:rsidR="003C66EB" w:rsidRDefault="003C66EB">
            <w:pPr>
              <w:rPr>
                <w:rFonts w:ascii="宋体"/>
              </w:rPr>
            </w:pPr>
          </w:p>
        </w:tc>
        <w:tc>
          <w:tcPr>
            <w:tcW w:w="5" w:type="pct"/>
            <w:shd w:val="clear" w:color="auto" w:fill="auto"/>
          </w:tcPr>
          <w:p w14:paraId="5EA26CE8" w14:textId="77777777" w:rsidR="003C66EB" w:rsidRDefault="003C66EB">
            <w:pPr>
              <w:rPr>
                <w:rFonts w:ascii="宋体"/>
              </w:rPr>
            </w:pPr>
          </w:p>
        </w:tc>
        <w:tc>
          <w:tcPr>
            <w:tcW w:w="50" w:type="pct"/>
            <w:shd w:val="clear" w:color="auto" w:fill="auto"/>
          </w:tcPr>
          <w:p w14:paraId="5EA26CE9" w14:textId="77777777" w:rsidR="003C66EB" w:rsidRDefault="003C66EB">
            <w:pPr>
              <w:rPr>
                <w:rFonts w:ascii="宋体"/>
              </w:rPr>
            </w:pPr>
          </w:p>
        </w:tc>
        <w:tc>
          <w:tcPr>
            <w:tcW w:w="356" w:type="pct"/>
            <w:shd w:val="clear" w:color="auto" w:fill="auto"/>
          </w:tcPr>
          <w:p w14:paraId="5EA26CEA" w14:textId="77777777" w:rsidR="003C66EB" w:rsidRDefault="003C66EB">
            <w:pPr>
              <w:rPr>
                <w:rFonts w:ascii="宋体"/>
              </w:rPr>
            </w:pPr>
          </w:p>
        </w:tc>
        <w:tc>
          <w:tcPr>
            <w:tcW w:w="5" w:type="pct"/>
            <w:shd w:val="clear" w:color="auto" w:fill="auto"/>
          </w:tcPr>
          <w:p w14:paraId="5EA26CEB" w14:textId="77777777" w:rsidR="003C66EB" w:rsidRDefault="003C66EB">
            <w:pPr>
              <w:rPr>
                <w:rFonts w:ascii="宋体"/>
              </w:rPr>
            </w:pPr>
          </w:p>
        </w:tc>
        <w:tc>
          <w:tcPr>
            <w:tcW w:w="5" w:type="pct"/>
            <w:shd w:val="clear" w:color="auto" w:fill="auto"/>
          </w:tcPr>
          <w:p w14:paraId="5EA26CEC" w14:textId="77777777" w:rsidR="003C66EB" w:rsidRDefault="003C66EB">
            <w:pPr>
              <w:rPr>
                <w:rFonts w:ascii="宋体"/>
              </w:rPr>
            </w:pPr>
          </w:p>
        </w:tc>
        <w:tc>
          <w:tcPr>
            <w:tcW w:w="19" w:type="pct"/>
            <w:shd w:val="clear" w:color="auto" w:fill="auto"/>
          </w:tcPr>
          <w:p w14:paraId="5EA26CED" w14:textId="77777777" w:rsidR="003C66EB" w:rsidRDefault="003C66EB">
            <w:pPr>
              <w:rPr>
                <w:rFonts w:ascii="宋体"/>
              </w:rPr>
            </w:pPr>
          </w:p>
        </w:tc>
        <w:tc>
          <w:tcPr>
            <w:tcW w:w="5" w:type="pct"/>
            <w:shd w:val="clear" w:color="auto" w:fill="auto"/>
          </w:tcPr>
          <w:p w14:paraId="5EA26CEE" w14:textId="77777777" w:rsidR="003C66EB" w:rsidRDefault="003C66EB">
            <w:pPr>
              <w:rPr>
                <w:rFonts w:ascii="宋体"/>
              </w:rPr>
            </w:pPr>
          </w:p>
        </w:tc>
        <w:tc>
          <w:tcPr>
            <w:tcW w:w="50" w:type="pct"/>
            <w:shd w:val="clear" w:color="auto" w:fill="auto"/>
          </w:tcPr>
          <w:p w14:paraId="5EA26CEF" w14:textId="77777777" w:rsidR="003C66EB" w:rsidRDefault="003C66EB">
            <w:pPr>
              <w:rPr>
                <w:rFonts w:ascii="宋体"/>
              </w:rPr>
            </w:pPr>
          </w:p>
        </w:tc>
        <w:tc>
          <w:tcPr>
            <w:tcW w:w="348" w:type="pct"/>
            <w:shd w:val="clear" w:color="auto" w:fill="auto"/>
          </w:tcPr>
          <w:p w14:paraId="5EA26CF0" w14:textId="77777777" w:rsidR="003C66EB" w:rsidRDefault="003C66EB">
            <w:pPr>
              <w:rPr>
                <w:rFonts w:ascii="宋体"/>
              </w:rPr>
            </w:pPr>
          </w:p>
        </w:tc>
        <w:tc>
          <w:tcPr>
            <w:tcW w:w="5" w:type="pct"/>
            <w:shd w:val="clear" w:color="auto" w:fill="auto"/>
          </w:tcPr>
          <w:p w14:paraId="5EA26CF1" w14:textId="77777777" w:rsidR="003C66EB" w:rsidRDefault="003C66EB">
            <w:pPr>
              <w:rPr>
                <w:rFonts w:ascii="宋体"/>
              </w:rPr>
            </w:pPr>
          </w:p>
        </w:tc>
        <w:tc>
          <w:tcPr>
            <w:tcW w:w="5" w:type="pct"/>
            <w:shd w:val="clear" w:color="auto" w:fill="auto"/>
          </w:tcPr>
          <w:p w14:paraId="5EA26CF2" w14:textId="77777777" w:rsidR="003C66EB" w:rsidRDefault="003C66EB">
            <w:pPr>
              <w:rPr>
                <w:rFonts w:ascii="宋体"/>
              </w:rPr>
            </w:pPr>
          </w:p>
        </w:tc>
        <w:tc>
          <w:tcPr>
            <w:tcW w:w="19" w:type="pct"/>
            <w:shd w:val="clear" w:color="auto" w:fill="auto"/>
          </w:tcPr>
          <w:p w14:paraId="5EA26CF3" w14:textId="77777777" w:rsidR="003C66EB" w:rsidRDefault="003C66EB">
            <w:pPr>
              <w:rPr>
                <w:rFonts w:ascii="宋体"/>
              </w:rPr>
            </w:pPr>
          </w:p>
        </w:tc>
        <w:tc>
          <w:tcPr>
            <w:tcW w:w="5" w:type="pct"/>
            <w:shd w:val="clear" w:color="auto" w:fill="auto"/>
          </w:tcPr>
          <w:p w14:paraId="5EA26CF4" w14:textId="77777777" w:rsidR="003C66EB" w:rsidRDefault="003C66EB">
            <w:pPr>
              <w:rPr>
                <w:rFonts w:ascii="宋体"/>
              </w:rPr>
            </w:pPr>
          </w:p>
        </w:tc>
        <w:tc>
          <w:tcPr>
            <w:tcW w:w="50" w:type="pct"/>
            <w:shd w:val="clear" w:color="auto" w:fill="auto"/>
          </w:tcPr>
          <w:p w14:paraId="5EA26CF5" w14:textId="77777777" w:rsidR="003C66EB" w:rsidRDefault="003C66EB">
            <w:pPr>
              <w:rPr>
                <w:rFonts w:ascii="宋体"/>
              </w:rPr>
            </w:pPr>
          </w:p>
        </w:tc>
        <w:tc>
          <w:tcPr>
            <w:tcW w:w="319" w:type="pct"/>
            <w:shd w:val="clear" w:color="auto" w:fill="auto"/>
          </w:tcPr>
          <w:p w14:paraId="5EA26CF6" w14:textId="77777777" w:rsidR="003C66EB" w:rsidRDefault="003C66EB">
            <w:pPr>
              <w:rPr>
                <w:rFonts w:ascii="宋体"/>
              </w:rPr>
            </w:pPr>
          </w:p>
        </w:tc>
        <w:tc>
          <w:tcPr>
            <w:tcW w:w="5" w:type="pct"/>
            <w:shd w:val="clear" w:color="auto" w:fill="auto"/>
          </w:tcPr>
          <w:p w14:paraId="5EA26CF7" w14:textId="77777777" w:rsidR="003C66EB" w:rsidRDefault="003C66EB">
            <w:pPr>
              <w:rPr>
                <w:rFonts w:ascii="宋体"/>
              </w:rPr>
            </w:pPr>
          </w:p>
        </w:tc>
      </w:tr>
      <w:tr w:rsidR="003C66EB" w14:paraId="5EA26D07" w14:textId="77777777">
        <w:tc>
          <w:tcPr>
            <w:tcW w:w="0" w:type="auto"/>
            <w:gridSpan w:val="3"/>
            <w:shd w:val="clear" w:color="auto" w:fill="auto"/>
            <w:tcMar>
              <w:top w:w="40" w:type="dxa"/>
              <w:left w:w="20" w:type="dxa"/>
              <w:bottom w:w="40" w:type="dxa"/>
              <w:right w:w="20" w:type="dxa"/>
            </w:tcMar>
            <w:vAlign w:val="bottom"/>
          </w:tcPr>
          <w:p w14:paraId="5EA26CF9" w14:textId="77777777" w:rsidR="003C66EB" w:rsidRDefault="00D96C4E">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A26CFA" w14:textId="77777777" w:rsidR="003C66EB" w:rsidRDefault="00D96C4E">
            <w:pPr>
              <w:jc w:val="center"/>
              <w:textAlignment w:val="bottom"/>
            </w:pPr>
            <w:r>
              <w:rPr>
                <w:rFonts w:ascii="Arial" w:eastAsia="宋体" w:hAnsi="Arial" w:cs="Arial"/>
                <w:b/>
                <w:bCs/>
                <w:color w:val="000000"/>
                <w:sz w:val="13"/>
                <w:szCs w:val="13"/>
              </w:rPr>
              <w:t xml:space="preserve">Net Unrealized Gains (Losses) on </w:t>
            </w:r>
            <w:r>
              <w:rPr>
                <w:rFonts w:ascii="Arial" w:eastAsia="宋体" w:hAnsi="Arial" w:cs="Arial"/>
                <w:b/>
                <w:bCs/>
                <w:color w:val="000000"/>
                <w:sz w:val="13"/>
                <w:szCs w:val="13"/>
              </w:rPr>
              <w:t>Cash Flow Hedges</w:t>
            </w:r>
          </w:p>
        </w:tc>
        <w:tc>
          <w:tcPr>
            <w:tcW w:w="0" w:type="auto"/>
            <w:gridSpan w:val="3"/>
            <w:shd w:val="clear" w:color="auto" w:fill="auto"/>
            <w:tcMar>
              <w:top w:w="0" w:type="dxa"/>
              <w:left w:w="20" w:type="dxa"/>
              <w:bottom w:w="0" w:type="dxa"/>
              <w:right w:w="20" w:type="dxa"/>
            </w:tcMar>
          </w:tcPr>
          <w:p w14:paraId="5EA26CF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CFC" w14:textId="77777777" w:rsidR="003C66EB" w:rsidRDefault="00D96C4E">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tcPr>
          <w:p w14:paraId="5EA26CF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CFE" w14:textId="77777777" w:rsidR="003C66EB" w:rsidRDefault="00D96C4E">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tcPr>
          <w:p w14:paraId="5EA26CF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D00" w14:textId="77777777" w:rsidR="003C66EB" w:rsidRDefault="00D96C4E">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tcPr>
          <w:p w14:paraId="5EA26D0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D02" w14:textId="77777777" w:rsidR="003C66EB" w:rsidRDefault="00D96C4E">
            <w:pPr>
              <w:jc w:val="center"/>
              <w:textAlignment w:val="bottom"/>
            </w:pPr>
            <w:r>
              <w:rPr>
                <w:rFonts w:ascii="Arial" w:eastAsia="宋体" w:hAnsi="Arial" w:cs="Arial"/>
                <w:b/>
                <w:bCs/>
                <w:color w:val="000000"/>
                <w:sz w:val="13"/>
                <w:szCs w:val="13"/>
              </w:rPr>
              <w:t xml:space="preserve">Net Unrealized </w:t>
            </w:r>
            <w:r>
              <w:rPr>
                <w:rFonts w:ascii="Arial" w:eastAsia="宋体" w:hAnsi="Arial" w:cs="Arial"/>
                <w:b/>
                <w:bCs/>
                <w:color w:val="000000"/>
                <w:sz w:val="13"/>
                <w:szCs w:val="13"/>
              </w:rPr>
              <w:t>Losses on Retirement Plans</w:t>
            </w:r>
          </w:p>
        </w:tc>
        <w:tc>
          <w:tcPr>
            <w:tcW w:w="0" w:type="auto"/>
            <w:gridSpan w:val="3"/>
            <w:shd w:val="clear" w:color="auto" w:fill="auto"/>
            <w:tcMar>
              <w:top w:w="0" w:type="dxa"/>
              <w:left w:w="20" w:type="dxa"/>
              <w:bottom w:w="0" w:type="dxa"/>
              <w:right w:w="20" w:type="dxa"/>
            </w:tcMar>
          </w:tcPr>
          <w:p w14:paraId="5EA26D0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D04" w14:textId="77777777" w:rsidR="003C66EB" w:rsidRDefault="00D96C4E">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tcPr>
          <w:p w14:paraId="5EA26D0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D06" w14:textId="77777777" w:rsidR="003C66EB" w:rsidRDefault="00D96C4E">
            <w:pPr>
              <w:jc w:val="center"/>
              <w:textAlignment w:val="bottom"/>
            </w:pPr>
            <w:r>
              <w:rPr>
                <w:rFonts w:ascii="Arial" w:eastAsia="宋体" w:hAnsi="Arial" w:cs="Arial"/>
                <w:b/>
                <w:bCs/>
                <w:color w:val="000000"/>
                <w:sz w:val="13"/>
                <w:szCs w:val="13"/>
              </w:rPr>
              <w:t>Total</w:t>
            </w:r>
          </w:p>
        </w:tc>
      </w:tr>
      <w:tr w:rsidR="003C66EB" w14:paraId="5EA26D24" w14:textId="77777777">
        <w:tc>
          <w:tcPr>
            <w:tcW w:w="0" w:type="auto"/>
            <w:gridSpan w:val="3"/>
            <w:shd w:val="clear" w:color="auto" w:fill="CCEEFF"/>
            <w:tcMar>
              <w:top w:w="40" w:type="dxa"/>
              <w:left w:w="20" w:type="dxa"/>
              <w:bottom w:w="40" w:type="dxa"/>
              <w:right w:w="20" w:type="dxa"/>
            </w:tcMar>
            <w:vAlign w:val="bottom"/>
          </w:tcPr>
          <w:p w14:paraId="5EA26D08" w14:textId="77777777" w:rsidR="003C66EB" w:rsidRDefault="00D96C4E">
            <w:pPr>
              <w:textAlignment w:val="bottom"/>
            </w:pPr>
            <w:r>
              <w:rPr>
                <w:rFonts w:ascii="Arial" w:eastAsia="宋体" w:hAnsi="Arial" w:cs="Arial"/>
                <w:b/>
                <w:bCs/>
                <w:color w:val="000000"/>
                <w:sz w:val="13"/>
                <w:szCs w:val="13"/>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6D09"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0A" w14:textId="77777777" w:rsidR="003C66EB" w:rsidRDefault="00D96C4E">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0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0D"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0E" w14:textId="77777777" w:rsidR="003C66EB" w:rsidRDefault="00D96C4E">
            <w:pPr>
              <w:jc w:val="right"/>
              <w:textAlignment w:val="bottom"/>
            </w:pPr>
            <w:r>
              <w:rPr>
                <w:rFonts w:ascii="Arial" w:eastAsia="宋体" w:hAnsi="Arial" w:cs="Arial"/>
                <w:color w:val="000000"/>
                <w:sz w:val="13"/>
                <w:szCs w:val="13"/>
              </w:rPr>
              <w:t>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1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11"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12" w14:textId="77777777" w:rsidR="003C66EB" w:rsidRDefault="00D96C4E">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1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1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1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16" w14:textId="77777777" w:rsidR="003C66EB" w:rsidRDefault="00D96C4E">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1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19"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1A" w14:textId="77777777" w:rsidR="003C66EB" w:rsidRDefault="00D96C4E">
            <w:pPr>
              <w:jc w:val="right"/>
              <w:textAlignment w:val="bottom"/>
            </w:pPr>
            <w:r>
              <w:rPr>
                <w:rFonts w:ascii="Arial" w:eastAsia="宋体" w:hAnsi="Arial" w:cs="Arial"/>
                <w:color w:val="000000"/>
                <w:sz w:val="13"/>
                <w:szCs w:val="13"/>
              </w:rPr>
              <w:t>(187)</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1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1D"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1E" w14:textId="77777777" w:rsidR="003C66EB" w:rsidRDefault="00D96C4E">
            <w:pPr>
              <w:jc w:val="right"/>
              <w:textAlignment w:val="bottom"/>
            </w:pPr>
            <w:r>
              <w:rPr>
                <w:rFonts w:ascii="Arial" w:eastAsia="宋体" w:hAnsi="Arial" w:cs="Arial"/>
                <w:color w:val="000000"/>
                <w:sz w:val="13"/>
                <w:szCs w:val="13"/>
              </w:rPr>
              <w:t>(1,072)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2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21"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22" w14:textId="77777777" w:rsidR="003C66EB" w:rsidRDefault="00D96C4E">
            <w:pPr>
              <w:jc w:val="right"/>
              <w:textAlignment w:val="bottom"/>
            </w:pPr>
            <w:r>
              <w:rPr>
                <w:rFonts w:ascii="Arial" w:eastAsia="宋体" w:hAnsi="Arial" w:cs="Arial"/>
                <w:color w:val="000000"/>
                <w:sz w:val="13"/>
                <w:szCs w:val="13"/>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23" w14:textId="77777777" w:rsidR="003C66EB" w:rsidRDefault="003C66EB">
            <w:pPr>
              <w:jc w:val="right"/>
              <w:rPr>
                <w:rFonts w:ascii="宋体"/>
              </w:rPr>
            </w:pPr>
          </w:p>
        </w:tc>
      </w:tr>
      <w:tr w:rsidR="003C66EB" w14:paraId="5EA26D3A" w14:textId="77777777">
        <w:tc>
          <w:tcPr>
            <w:tcW w:w="0" w:type="auto"/>
            <w:gridSpan w:val="3"/>
            <w:shd w:val="clear" w:color="auto" w:fill="FFFFFF"/>
            <w:tcMar>
              <w:top w:w="40" w:type="dxa"/>
              <w:left w:w="20" w:type="dxa"/>
              <w:bottom w:w="40" w:type="dxa"/>
              <w:right w:w="20" w:type="dxa"/>
            </w:tcMar>
            <w:vAlign w:val="bottom"/>
          </w:tcPr>
          <w:p w14:paraId="5EA26D25" w14:textId="77777777" w:rsidR="003C66EB" w:rsidRDefault="00D96C4E">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EA26D26" w14:textId="77777777" w:rsidR="003C66EB" w:rsidRDefault="00D96C4E">
            <w:pPr>
              <w:jc w:val="right"/>
              <w:textAlignment w:val="bottom"/>
            </w:pPr>
            <w:r>
              <w:rPr>
                <w:rFonts w:ascii="Arial" w:eastAsia="宋体" w:hAnsi="Arial" w:cs="Arial"/>
                <w:color w:val="000000"/>
                <w:sz w:val="13"/>
                <w:szCs w:val="13"/>
              </w:rPr>
              <w:t>112 </w:t>
            </w:r>
          </w:p>
        </w:tc>
        <w:tc>
          <w:tcPr>
            <w:tcW w:w="0" w:type="auto"/>
            <w:shd w:val="clear" w:color="auto" w:fill="FFFFFF"/>
            <w:tcMar>
              <w:top w:w="40" w:type="dxa"/>
              <w:left w:w="0" w:type="dxa"/>
              <w:bottom w:w="40" w:type="dxa"/>
              <w:right w:w="20" w:type="dxa"/>
            </w:tcMar>
            <w:vAlign w:val="bottom"/>
          </w:tcPr>
          <w:p w14:paraId="5EA26D2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2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D29" w14:textId="77777777" w:rsidR="003C66EB" w:rsidRDefault="00D96C4E">
            <w:pPr>
              <w:jc w:val="right"/>
              <w:textAlignment w:val="bottom"/>
            </w:pPr>
            <w:r>
              <w:rPr>
                <w:rFonts w:ascii="Arial" w:eastAsia="宋体" w:hAnsi="Arial" w:cs="Arial"/>
                <w:color w:val="000000"/>
                <w:sz w:val="13"/>
                <w:szCs w:val="13"/>
              </w:rPr>
              <w:t>126 </w:t>
            </w:r>
          </w:p>
        </w:tc>
        <w:tc>
          <w:tcPr>
            <w:tcW w:w="0" w:type="auto"/>
            <w:shd w:val="clear" w:color="auto" w:fill="FFFFFF"/>
            <w:tcMar>
              <w:top w:w="40" w:type="dxa"/>
              <w:left w:w="0" w:type="dxa"/>
              <w:bottom w:w="40" w:type="dxa"/>
              <w:right w:w="20" w:type="dxa"/>
            </w:tcMar>
            <w:vAlign w:val="bottom"/>
          </w:tcPr>
          <w:p w14:paraId="5EA26D2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2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D2C" w14:textId="77777777" w:rsidR="003C66EB" w:rsidRDefault="00D96C4E">
            <w:pPr>
              <w:jc w:val="right"/>
              <w:textAlignment w:val="bottom"/>
            </w:pPr>
            <w:r>
              <w:rPr>
                <w:rFonts w:ascii="Arial" w:eastAsia="宋体" w:hAnsi="Arial" w:cs="Arial"/>
                <w:color w:val="000000"/>
                <w:sz w:val="13"/>
                <w:szCs w:val="13"/>
              </w:rPr>
              <w:t>108 </w:t>
            </w:r>
          </w:p>
        </w:tc>
        <w:tc>
          <w:tcPr>
            <w:tcW w:w="0" w:type="auto"/>
            <w:shd w:val="clear" w:color="auto" w:fill="FFFFFF"/>
            <w:tcMar>
              <w:top w:w="40" w:type="dxa"/>
              <w:left w:w="0" w:type="dxa"/>
              <w:bottom w:w="40" w:type="dxa"/>
              <w:right w:w="20" w:type="dxa"/>
            </w:tcMar>
            <w:vAlign w:val="bottom"/>
          </w:tcPr>
          <w:p w14:paraId="5EA26D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2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D2F"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6D3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3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D32"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6D3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3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D35" w14:textId="77777777" w:rsidR="003C66EB" w:rsidRDefault="00D96C4E">
            <w:pPr>
              <w:jc w:val="right"/>
              <w:textAlignment w:val="bottom"/>
            </w:pPr>
            <w:r>
              <w:rPr>
                <w:rFonts w:ascii="Arial" w:eastAsia="宋体" w:hAnsi="Arial" w:cs="Arial"/>
                <w:color w:val="000000"/>
                <w:sz w:val="13"/>
                <w:szCs w:val="13"/>
              </w:rPr>
              <w:t>(408)</w:t>
            </w:r>
          </w:p>
        </w:tc>
        <w:tc>
          <w:tcPr>
            <w:tcW w:w="0" w:type="auto"/>
            <w:shd w:val="clear" w:color="auto" w:fill="FFFFFF"/>
            <w:tcMar>
              <w:top w:w="40" w:type="dxa"/>
              <w:left w:w="0" w:type="dxa"/>
              <w:bottom w:w="40" w:type="dxa"/>
              <w:right w:w="20" w:type="dxa"/>
            </w:tcMar>
            <w:vAlign w:val="bottom"/>
          </w:tcPr>
          <w:p w14:paraId="5EA26D3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3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D38" w14:textId="77777777" w:rsidR="003C66EB" w:rsidRDefault="00D96C4E">
            <w:pPr>
              <w:jc w:val="right"/>
              <w:textAlignment w:val="bottom"/>
            </w:pPr>
            <w:r>
              <w:rPr>
                <w:rFonts w:ascii="Arial" w:eastAsia="宋体" w:hAnsi="Arial" w:cs="Arial"/>
                <w:color w:val="000000"/>
                <w:sz w:val="13"/>
                <w:szCs w:val="13"/>
              </w:rPr>
              <w:t>(62)</w:t>
            </w:r>
          </w:p>
        </w:tc>
        <w:tc>
          <w:tcPr>
            <w:tcW w:w="0" w:type="auto"/>
            <w:shd w:val="clear" w:color="auto" w:fill="FFFFFF"/>
            <w:tcMar>
              <w:top w:w="40" w:type="dxa"/>
              <w:left w:w="0" w:type="dxa"/>
              <w:bottom w:w="40" w:type="dxa"/>
              <w:right w:w="20" w:type="dxa"/>
            </w:tcMar>
            <w:vAlign w:val="bottom"/>
          </w:tcPr>
          <w:p w14:paraId="5EA26D39" w14:textId="77777777" w:rsidR="003C66EB" w:rsidRDefault="003C66EB">
            <w:pPr>
              <w:jc w:val="right"/>
              <w:rPr>
                <w:rFonts w:ascii="宋体"/>
              </w:rPr>
            </w:pPr>
          </w:p>
        </w:tc>
      </w:tr>
      <w:tr w:rsidR="003C66EB" w14:paraId="5EA26D49" w14:textId="77777777">
        <w:trPr>
          <w:hidden/>
        </w:trPr>
        <w:tc>
          <w:tcPr>
            <w:tcW w:w="0" w:type="auto"/>
            <w:gridSpan w:val="3"/>
            <w:shd w:val="clear" w:color="auto" w:fill="auto"/>
          </w:tcPr>
          <w:p w14:paraId="5EA26D3B" w14:textId="77777777" w:rsidR="003C66EB" w:rsidRDefault="003C66EB">
            <w:pPr>
              <w:rPr>
                <w:rFonts w:ascii="宋体"/>
                <w:vanish/>
              </w:rPr>
            </w:pPr>
          </w:p>
        </w:tc>
        <w:tc>
          <w:tcPr>
            <w:tcW w:w="0" w:type="auto"/>
            <w:gridSpan w:val="3"/>
            <w:shd w:val="clear" w:color="auto" w:fill="auto"/>
          </w:tcPr>
          <w:p w14:paraId="5EA26D3C" w14:textId="77777777" w:rsidR="003C66EB" w:rsidRDefault="003C66EB">
            <w:pPr>
              <w:rPr>
                <w:rFonts w:ascii="宋体"/>
                <w:vanish/>
              </w:rPr>
            </w:pPr>
          </w:p>
        </w:tc>
        <w:tc>
          <w:tcPr>
            <w:tcW w:w="0" w:type="auto"/>
            <w:gridSpan w:val="3"/>
            <w:shd w:val="clear" w:color="auto" w:fill="auto"/>
          </w:tcPr>
          <w:p w14:paraId="5EA26D3D" w14:textId="77777777" w:rsidR="003C66EB" w:rsidRDefault="003C66EB">
            <w:pPr>
              <w:rPr>
                <w:rFonts w:ascii="宋体"/>
                <w:vanish/>
              </w:rPr>
            </w:pPr>
          </w:p>
        </w:tc>
        <w:tc>
          <w:tcPr>
            <w:tcW w:w="0" w:type="auto"/>
            <w:gridSpan w:val="3"/>
            <w:shd w:val="clear" w:color="auto" w:fill="auto"/>
          </w:tcPr>
          <w:p w14:paraId="5EA26D3E" w14:textId="77777777" w:rsidR="003C66EB" w:rsidRDefault="003C66EB">
            <w:pPr>
              <w:rPr>
                <w:rFonts w:ascii="宋体"/>
                <w:vanish/>
              </w:rPr>
            </w:pPr>
          </w:p>
        </w:tc>
        <w:tc>
          <w:tcPr>
            <w:tcW w:w="0" w:type="auto"/>
            <w:gridSpan w:val="3"/>
            <w:shd w:val="clear" w:color="auto" w:fill="auto"/>
          </w:tcPr>
          <w:p w14:paraId="5EA26D3F" w14:textId="77777777" w:rsidR="003C66EB" w:rsidRDefault="003C66EB">
            <w:pPr>
              <w:rPr>
                <w:rFonts w:ascii="宋体"/>
                <w:vanish/>
              </w:rPr>
            </w:pPr>
          </w:p>
        </w:tc>
        <w:tc>
          <w:tcPr>
            <w:tcW w:w="0" w:type="auto"/>
            <w:gridSpan w:val="3"/>
            <w:shd w:val="clear" w:color="auto" w:fill="auto"/>
          </w:tcPr>
          <w:p w14:paraId="5EA26D40" w14:textId="77777777" w:rsidR="003C66EB" w:rsidRDefault="003C66EB">
            <w:pPr>
              <w:rPr>
                <w:rFonts w:ascii="宋体"/>
                <w:vanish/>
              </w:rPr>
            </w:pPr>
          </w:p>
        </w:tc>
        <w:tc>
          <w:tcPr>
            <w:tcW w:w="0" w:type="auto"/>
            <w:gridSpan w:val="3"/>
            <w:shd w:val="clear" w:color="auto" w:fill="auto"/>
          </w:tcPr>
          <w:p w14:paraId="5EA26D41" w14:textId="77777777" w:rsidR="003C66EB" w:rsidRDefault="003C66EB">
            <w:pPr>
              <w:rPr>
                <w:rFonts w:ascii="宋体"/>
                <w:vanish/>
              </w:rPr>
            </w:pPr>
          </w:p>
        </w:tc>
        <w:tc>
          <w:tcPr>
            <w:tcW w:w="0" w:type="auto"/>
            <w:gridSpan w:val="3"/>
            <w:shd w:val="clear" w:color="auto" w:fill="auto"/>
          </w:tcPr>
          <w:p w14:paraId="5EA26D42" w14:textId="77777777" w:rsidR="003C66EB" w:rsidRDefault="003C66EB">
            <w:pPr>
              <w:rPr>
                <w:rFonts w:ascii="宋体"/>
                <w:vanish/>
              </w:rPr>
            </w:pPr>
          </w:p>
        </w:tc>
        <w:tc>
          <w:tcPr>
            <w:tcW w:w="0" w:type="auto"/>
            <w:gridSpan w:val="3"/>
            <w:shd w:val="clear" w:color="auto" w:fill="auto"/>
          </w:tcPr>
          <w:p w14:paraId="5EA26D43" w14:textId="77777777" w:rsidR="003C66EB" w:rsidRDefault="003C66EB">
            <w:pPr>
              <w:rPr>
                <w:rFonts w:ascii="宋体"/>
                <w:vanish/>
              </w:rPr>
            </w:pPr>
          </w:p>
        </w:tc>
        <w:tc>
          <w:tcPr>
            <w:tcW w:w="0" w:type="auto"/>
            <w:gridSpan w:val="3"/>
            <w:shd w:val="clear" w:color="auto" w:fill="auto"/>
          </w:tcPr>
          <w:p w14:paraId="5EA26D44" w14:textId="77777777" w:rsidR="003C66EB" w:rsidRDefault="003C66EB">
            <w:pPr>
              <w:rPr>
                <w:rFonts w:ascii="宋体"/>
                <w:vanish/>
              </w:rPr>
            </w:pPr>
          </w:p>
        </w:tc>
        <w:tc>
          <w:tcPr>
            <w:tcW w:w="0" w:type="auto"/>
            <w:gridSpan w:val="3"/>
            <w:shd w:val="clear" w:color="auto" w:fill="auto"/>
          </w:tcPr>
          <w:p w14:paraId="5EA26D45" w14:textId="77777777" w:rsidR="003C66EB" w:rsidRDefault="003C66EB">
            <w:pPr>
              <w:rPr>
                <w:rFonts w:ascii="宋体"/>
                <w:vanish/>
              </w:rPr>
            </w:pPr>
          </w:p>
        </w:tc>
        <w:tc>
          <w:tcPr>
            <w:tcW w:w="0" w:type="auto"/>
            <w:gridSpan w:val="3"/>
            <w:shd w:val="clear" w:color="auto" w:fill="auto"/>
          </w:tcPr>
          <w:p w14:paraId="5EA26D46" w14:textId="77777777" w:rsidR="003C66EB" w:rsidRDefault="003C66EB">
            <w:pPr>
              <w:rPr>
                <w:rFonts w:ascii="宋体"/>
                <w:vanish/>
              </w:rPr>
            </w:pPr>
          </w:p>
        </w:tc>
        <w:tc>
          <w:tcPr>
            <w:tcW w:w="0" w:type="auto"/>
            <w:gridSpan w:val="3"/>
            <w:shd w:val="clear" w:color="auto" w:fill="auto"/>
          </w:tcPr>
          <w:p w14:paraId="5EA26D47" w14:textId="77777777" w:rsidR="003C66EB" w:rsidRDefault="003C66EB">
            <w:pPr>
              <w:rPr>
                <w:rFonts w:ascii="宋体"/>
                <w:vanish/>
              </w:rPr>
            </w:pPr>
          </w:p>
        </w:tc>
        <w:tc>
          <w:tcPr>
            <w:tcW w:w="0" w:type="auto"/>
            <w:gridSpan w:val="3"/>
            <w:shd w:val="clear" w:color="auto" w:fill="auto"/>
          </w:tcPr>
          <w:p w14:paraId="5EA26D48" w14:textId="77777777" w:rsidR="003C66EB" w:rsidRDefault="003C66EB">
            <w:pPr>
              <w:rPr>
                <w:rFonts w:ascii="宋体"/>
                <w:vanish/>
              </w:rPr>
            </w:pPr>
          </w:p>
        </w:tc>
      </w:tr>
      <w:tr w:rsidR="003C66EB" w14:paraId="5EA26D5F" w14:textId="77777777">
        <w:tc>
          <w:tcPr>
            <w:tcW w:w="0" w:type="auto"/>
            <w:gridSpan w:val="3"/>
            <w:shd w:val="clear" w:color="auto" w:fill="CCEEFF"/>
            <w:tcMar>
              <w:top w:w="40" w:type="dxa"/>
              <w:left w:w="20" w:type="dxa"/>
              <w:bottom w:w="40" w:type="dxa"/>
              <w:right w:w="20" w:type="dxa"/>
            </w:tcMar>
            <w:vAlign w:val="bottom"/>
          </w:tcPr>
          <w:p w14:paraId="5EA26D4A" w14:textId="77777777" w:rsidR="003C66EB" w:rsidRDefault="00D96C4E">
            <w:pPr>
              <w:textAlignment w:val="bottom"/>
            </w:pPr>
            <w:r>
              <w:rPr>
                <w:rFonts w:ascii="Arial" w:eastAsia="宋体" w:hAnsi="Arial" w:cs="Arial"/>
                <w:color w:val="000000"/>
                <w:sz w:val="13"/>
                <w:szCs w:val="13"/>
              </w:rPr>
              <w:t xml:space="preserve">Amounts </w:t>
            </w:r>
            <w:r>
              <w:rPr>
                <w:rFonts w:ascii="Arial" w:eastAsia="宋体" w:hAnsi="Arial" w:cs="Arial"/>
                <w:color w:val="000000"/>
                <w:sz w:val="13"/>
                <w:szCs w:val="13"/>
              </w:rPr>
              <w:t>reclassified into (out of) earnings</w:t>
            </w:r>
          </w:p>
        </w:tc>
        <w:tc>
          <w:tcPr>
            <w:tcW w:w="0" w:type="auto"/>
            <w:gridSpan w:val="2"/>
            <w:shd w:val="clear" w:color="auto" w:fill="CCEEFF"/>
            <w:tcMar>
              <w:top w:w="40" w:type="dxa"/>
              <w:left w:w="20" w:type="dxa"/>
              <w:bottom w:w="40" w:type="dxa"/>
              <w:right w:w="0" w:type="dxa"/>
            </w:tcMar>
            <w:vAlign w:val="bottom"/>
          </w:tcPr>
          <w:p w14:paraId="5EA26D4B" w14:textId="77777777" w:rsidR="003C66EB" w:rsidRDefault="00D96C4E">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5EA26D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4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D4E" w14:textId="77777777" w:rsidR="003C66EB" w:rsidRDefault="00D96C4E">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5EA26D4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5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D5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D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5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D54"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D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5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D57" w14:textId="77777777" w:rsidR="003C66EB" w:rsidRDefault="00D96C4E">
            <w:pPr>
              <w:jc w:val="right"/>
              <w:textAlignment w:val="bottom"/>
            </w:pPr>
            <w:r>
              <w:rPr>
                <w:rFonts w:ascii="Arial" w:eastAsia="宋体" w:hAnsi="Arial" w:cs="Arial"/>
                <w:color w:val="000000"/>
                <w:sz w:val="13"/>
                <w:szCs w:val="13"/>
              </w:rPr>
              <w:t>12 </w:t>
            </w:r>
          </w:p>
        </w:tc>
        <w:tc>
          <w:tcPr>
            <w:tcW w:w="0" w:type="auto"/>
            <w:shd w:val="clear" w:color="auto" w:fill="CCEEFF"/>
            <w:tcMar>
              <w:top w:w="40" w:type="dxa"/>
              <w:left w:w="0" w:type="dxa"/>
              <w:bottom w:w="40" w:type="dxa"/>
              <w:right w:w="20" w:type="dxa"/>
            </w:tcMar>
            <w:vAlign w:val="bottom"/>
          </w:tcPr>
          <w:p w14:paraId="5EA26D5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5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D5A"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6D5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5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D5D" w14:textId="77777777" w:rsidR="003C66EB" w:rsidRDefault="00D96C4E">
            <w:pPr>
              <w:jc w:val="right"/>
              <w:textAlignment w:val="bottom"/>
            </w:pPr>
            <w:r>
              <w:rPr>
                <w:rFonts w:ascii="Arial" w:eastAsia="宋体" w:hAnsi="Arial" w:cs="Arial"/>
                <w:color w:val="000000"/>
                <w:sz w:val="13"/>
                <w:szCs w:val="13"/>
              </w:rPr>
              <w:t>18 </w:t>
            </w:r>
          </w:p>
        </w:tc>
        <w:tc>
          <w:tcPr>
            <w:tcW w:w="0" w:type="auto"/>
            <w:shd w:val="clear" w:color="auto" w:fill="CCEEFF"/>
            <w:tcMar>
              <w:top w:w="40" w:type="dxa"/>
              <w:left w:w="0" w:type="dxa"/>
              <w:bottom w:w="40" w:type="dxa"/>
              <w:right w:w="20" w:type="dxa"/>
            </w:tcMar>
            <w:vAlign w:val="bottom"/>
          </w:tcPr>
          <w:p w14:paraId="5EA26D5E" w14:textId="77777777" w:rsidR="003C66EB" w:rsidRDefault="003C66EB">
            <w:pPr>
              <w:jc w:val="right"/>
              <w:rPr>
                <w:rFonts w:ascii="宋体"/>
              </w:rPr>
            </w:pPr>
          </w:p>
        </w:tc>
      </w:tr>
      <w:tr w:rsidR="003C66EB" w14:paraId="5EA26D75" w14:textId="77777777">
        <w:tc>
          <w:tcPr>
            <w:tcW w:w="0" w:type="auto"/>
            <w:gridSpan w:val="3"/>
            <w:shd w:val="clear" w:color="auto" w:fill="FFFFFF"/>
            <w:tcMar>
              <w:top w:w="40" w:type="dxa"/>
              <w:left w:w="20" w:type="dxa"/>
              <w:bottom w:w="40" w:type="dxa"/>
              <w:right w:w="20" w:type="dxa"/>
            </w:tcMar>
            <w:vAlign w:val="bottom"/>
          </w:tcPr>
          <w:p w14:paraId="5EA26D60" w14:textId="77777777" w:rsidR="003C66EB" w:rsidRDefault="00D96C4E">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61" w14:textId="77777777" w:rsidR="003C66EB" w:rsidRDefault="00D96C4E">
            <w:pPr>
              <w:jc w:val="right"/>
              <w:textAlignment w:val="bottom"/>
            </w:pPr>
            <w:r>
              <w:rPr>
                <w:rFonts w:ascii="Arial" w:eastAsia="宋体" w:hAnsi="Arial" w:cs="Arial"/>
                <w:color w:val="000000"/>
                <w:sz w:val="13"/>
                <w:szCs w:val="13"/>
              </w:rPr>
              <w:t>117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6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64" w14:textId="77777777" w:rsidR="003C66EB" w:rsidRDefault="00D96C4E">
            <w:pPr>
              <w:jc w:val="right"/>
              <w:textAlignment w:val="bottom"/>
            </w:pPr>
            <w:r>
              <w:rPr>
                <w:rFonts w:ascii="Arial" w:eastAsia="宋体" w:hAnsi="Arial" w:cs="Arial"/>
                <w:color w:val="000000"/>
                <w:sz w:val="13"/>
                <w:szCs w:val="13"/>
              </w:rPr>
              <w:t>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6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67" w14:textId="77777777" w:rsidR="003C66EB" w:rsidRDefault="00D96C4E">
            <w:pPr>
              <w:jc w:val="right"/>
              <w:textAlignment w:val="bottom"/>
            </w:pPr>
            <w:r>
              <w:rPr>
                <w:rFonts w:ascii="Arial" w:eastAsia="宋体" w:hAnsi="Arial" w:cs="Arial"/>
                <w:color w:val="000000"/>
                <w:sz w:val="13"/>
                <w:szCs w:val="13"/>
              </w:rPr>
              <w:t>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6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6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6A" w14:textId="77777777" w:rsidR="003C66EB" w:rsidRDefault="00D96C4E">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6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6C"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6D" w14:textId="77777777" w:rsidR="003C66EB" w:rsidRDefault="00D96C4E">
            <w:pPr>
              <w:jc w:val="right"/>
              <w:textAlignment w:val="bottom"/>
            </w:pPr>
            <w:r>
              <w:rPr>
                <w:rFonts w:ascii="Arial" w:eastAsia="宋体" w:hAnsi="Arial" w:cs="Arial"/>
                <w:color w:val="000000"/>
                <w:sz w:val="13"/>
                <w:szCs w:val="13"/>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6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70" w14:textId="77777777" w:rsidR="003C66EB" w:rsidRDefault="00D96C4E">
            <w:pPr>
              <w:jc w:val="right"/>
              <w:textAlignment w:val="bottom"/>
            </w:pPr>
            <w:r>
              <w:rPr>
                <w:rFonts w:ascii="Arial" w:eastAsia="宋体" w:hAnsi="Arial" w:cs="Arial"/>
                <w:color w:val="000000"/>
                <w:sz w:val="13"/>
                <w:szCs w:val="13"/>
              </w:rPr>
              <w:t>(408)</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D7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6D73" w14:textId="77777777" w:rsidR="003C66EB" w:rsidRDefault="00D96C4E">
            <w:pPr>
              <w:jc w:val="right"/>
              <w:textAlignment w:val="bottom"/>
            </w:pPr>
            <w:r>
              <w:rPr>
                <w:rFonts w:ascii="Arial" w:eastAsia="宋体" w:hAnsi="Arial" w:cs="Arial"/>
                <w:color w:val="000000"/>
                <w:sz w:val="13"/>
                <w:szCs w:val="13"/>
              </w:rPr>
              <w:t>(44)</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6D74" w14:textId="77777777" w:rsidR="003C66EB" w:rsidRDefault="003C66EB">
            <w:pPr>
              <w:jc w:val="right"/>
              <w:rPr>
                <w:rFonts w:ascii="宋体"/>
              </w:rPr>
            </w:pPr>
          </w:p>
        </w:tc>
      </w:tr>
      <w:tr w:rsidR="003C66EB" w14:paraId="5EA26D92" w14:textId="77777777">
        <w:tc>
          <w:tcPr>
            <w:tcW w:w="0" w:type="auto"/>
            <w:gridSpan w:val="3"/>
            <w:shd w:val="clear" w:color="auto" w:fill="CCEEFF"/>
            <w:tcMar>
              <w:top w:w="40" w:type="dxa"/>
              <w:left w:w="20" w:type="dxa"/>
              <w:bottom w:w="40" w:type="dxa"/>
              <w:right w:w="20" w:type="dxa"/>
            </w:tcMar>
            <w:vAlign w:val="bottom"/>
          </w:tcPr>
          <w:p w14:paraId="5EA26D76" w14:textId="77777777" w:rsidR="003C66EB" w:rsidRDefault="00D96C4E">
            <w:pPr>
              <w:textAlignment w:val="bottom"/>
            </w:pPr>
            <w:r>
              <w:rPr>
                <w:rFonts w:ascii="Arial" w:eastAsia="宋体" w:hAnsi="Arial" w:cs="Arial"/>
                <w:b/>
                <w:bCs/>
                <w:color w:val="000000"/>
                <w:sz w:val="13"/>
                <w:szCs w:val="13"/>
              </w:rPr>
              <w:t>Balance as of March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6D77"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78" w14:textId="77777777" w:rsidR="003C66EB" w:rsidRDefault="00D96C4E">
            <w:pPr>
              <w:jc w:val="right"/>
              <w:textAlignment w:val="bottom"/>
            </w:pPr>
            <w:r>
              <w:rPr>
                <w:rFonts w:ascii="Arial" w:eastAsia="宋体" w:hAnsi="Arial" w:cs="Arial"/>
                <w:color w:val="000000"/>
                <w:sz w:val="13"/>
                <w:szCs w:val="13"/>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7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7B"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7C" w14:textId="77777777" w:rsidR="003C66EB" w:rsidRDefault="00D96C4E">
            <w:pPr>
              <w:jc w:val="right"/>
              <w:textAlignment w:val="bottom"/>
            </w:pPr>
            <w:r>
              <w:rPr>
                <w:rFonts w:ascii="Arial" w:eastAsia="宋体" w:hAnsi="Arial" w:cs="Arial"/>
                <w:color w:val="000000"/>
                <w:sz w:val="13"/>
                <w:szCs w:val="13"/>
              </w:rPr>
              <w:t>536 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7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7F"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80" w14:textId="77777777" w:rsidR="003C66EB" w:rsidRDefault="00D96C4E">
            <w:pPr>
              <w:jc w:val="right"/>
              <w:textAlignment w:val="bottom"/>
            </w:pPr>
            <w:r>
              <w:rPr>
                <w:rFonts w:ascii="Arial" w:eastAsia="宋体" w:hAnsi="Arial" w:cs="Arial"/>
                <w:color w:val="000000"/>
                <w:sz w:val="13"/>
                <w:szCs w:val="13"/>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8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82"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83"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84" w14:textId="77777777" w:rsidR="003C66EB" w:rsidRDefault="00D96C4E">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8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86"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87"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88" w14:textId="77777777" w:rsidR="003C66EB" w:rsidRDefault="00D96C4E">
            <w:pPr>
              <w:jc w:val="right"/>
              <w:textAlignment w:val="bottom"/>
            </w:pPr>
            <w:r>
              <w:rPr>
                <w:rFonts w:ascii="Arial" w:eastAsia="宋体" w:hAnsi="Arial" w:cs="Arial"/>
                <w:color w:val="000000"/>
                <w:sz w:val="13"/>
                <w:szCs w:val="13"/>
              </w:rPr>
              <w:t>(175)</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8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8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8B"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8C" w14:textId="77777777" w:rsidR="003C66EB" w:rsidRDefault="00D96C4E">
            <w:pPr>
              <w:jc w:val="right"/>
              <w:textAlignment w:val="bottom"/>
            </w:pPr>
            <w:r>
              <w:rPr>
                <w:rFonts w:ascii="Arial" w:eastAsia="宋体" w:hAnsi="Arial" w:cs="Arial"/>
                <w:color w:val="000000"/>
                <w:sz w:val="13"/>
                <w:szCs w:val="13"/>
              </w:rPr>
              <w:t>(1,480)</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D8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6D8F"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6D90" w14:textId="77777777" w:rsidR="003C66EB" w:rsidRDefault="00D96C4E">
            <w:pPr>
              <w:jc w:val="right"/>
              <w:textAlignment w:val="bottom"/>
            </w:pPr>
            <w:r>
              <w:rPr>
                <w:rFonts w:ascii="Arial" w:eastAsia="宋体" w:hAnsi="Arial" w:cs="Arial"/>
                <w:color w:val="000000"/>
                <w:sz w:val="13"/>
                <w:szCs w:val="13"/>
              </w:rPr>
              <w:t>(920)</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D91" w14:textId="77777777" w:rsidR="003C66EB" w:rsidRDefault="003C66EB">
            <w:pPr>
              <w:jc w:val="right"/>
              <w:rPr>
                <w:rFonts w:ascii="宋体"/>
              </w:rPr>
            </w:pPr>
          </w:p>
        </w:tc>
      </w:tr>
      <w:tr w:rsidR="003C66EB" w14:paraId="5EA26DA1" w14:textId="77777777">
        <w:trPr>
          <w:trHeight w:val="120"/>
        </w:trPr>
        <w:tc>
          <w:tcPr>
            <w:tcW w:w="0" w:type="auto"/>
            <w:gridSpan w:val="3"/>
            <w:shd w:val="clear" w:color="auto" w:fill="FFFFFF"/>
            <w:tcMar>
              <w:top w:w="0" w:type="dxa"/>
              <w:left w:w="20" w:type="dxa"/>
              <w:bottom w:w="0" w:type="dxa"/>
              <w:right w:w="20" w:type="dxa"/>
            </w:tcMar>
          </w:tcPr>
          <w:p w14:paraId="5EA26D93"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9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D95"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9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D97"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9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D99"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9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D9B"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9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D9D"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9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D9F"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6DA0" w14:textId="77777777" w:rsidR="003C66EB" w:rsidRDefault="003C66EB">
            <w:pPr>
              <w:rPr>
                <w:rFonts w:ascii="宋体"/>
              </w:rPr>
            </w:pPr>
          </w:p>
        </w:tc>
      </w:tr>
    </w:tbl>
    <w:p w14:paraId="5EA26DA2" w14:textId="77777777" w:rsidR="003C66EB" w:rsidRDefault="00D96C4E">
      <w:pPr>
        <w:spacing w:before="60"/>
        <w:ind w:firstLine="450"/>
      </w:pPr>
      <w:r>
        <w:rPr>
          <w:rFonts w:ascii="Arial" w:eastAsia="宋体" w:hAnsi="Arial" w:cs="Arial"/>
          <w:color w:val="000000"/>
          <w:sz w:val="20"/>
          <w:szCs w:val="20"/>
        </w:rPr>
        <w:t>The following table presents after-tax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4008"/>
        <w:gridCol w:w="36"/>
        <w:gridCol w:w="99"/>
        <w:gridCol w:w="765"/>
        <w:gridCol w:w="37"/>
        <w:gridCol w:w="36"/>
        <w:gridCol w:w="36"/>
        <w:gridCol w:w="36"/>
        <w:gridCol w:w="99"/>
        <w:gridCol w:w="741"/>
        <w:gridCol w:w="37"/>
        <w:gridCol w:w="36"/>
        <w:gridCol w:w="36"/>
        <w:gridCol w:w="36"/>
        <w:gridCol w:w="41"/>
        <w:gridCol w:w="2157"/>
        <w:gridCol w:w="37"/>
      </w:tblGrid>
      <w:tr w:rsidR="003C66EB" w14:paraId="5EA26DB5" w14:textId="77777777">
        <w:tc>
          <w:tcPr>
            <w:tcW w:w="50" w:type="pct"/>
            <w:shd w:val="clear" w:color="auto" w:fill="auto"/>
          </w:tcPr>
          <w:p w14:paraId="5EA26DA3" w14:textId="77777777" w:rsidR="003C66EB" w:rsidRDefault="003C66EB">
            <w:pPr>
              <w:rPr>
                <w:rFonts w:ascii="宋体"/>
              </w:rPr>
            </w:pPr>
          </w:p>
        </w:tc>
        <w:tc>
          <w:tcPr>
            <w:tcW w:w="2426" w:type="pct"/>
            <w:shd w:val="clear" w:color="auto" w:fill="auto"/>
          </w:tcPr>
          <w:p w14:paraId="5EA26DA4" w14:textId="77777777" w:rsidR="003C66EB" w:rsidRDefault="003C66EB">
            <w:pPr>
              <w:rPr>
                <w:rFonts w:ascii="宋体"/>
              </w:rPr>
            </w:pPr>
          </w:p>
        </w:tc>
        <w:tc>
          <w:tcPr>
            <w:tcW w:w="5" w:type="pct"/>
            <w:shd w:val="clear" w:color="auto" w:fill="auto"/>
          </w:tcPr>
          <w:p w14:paraId="5EA26DA5" w14:textId="77777777" w:rsidR="003C66EB" w:rsidRDefault="003C66EB">
            <w:pPr>
              <w:rPr>
                <w:rFonts w:ascii="宋体"/>
              </w:rPr>
            </w:pPr>
          </w:p>
        </w:tc>
        <w:tc>
          <w:tcPr>
            <w:tcW w:w="50" w:type="pct"/>
            <w:shd w:val="clear" w:color="auto" w:fill="auto"/>
          </w:tcPr>
          <w:p w14:paraId="5EA26DA6" w14:textId="77777777" w:rsidR="003C66EB" w:rsidRDefault="003C66EB">
            <w:pPr>
              <w:rPr>
                <w:rFonts w:ascii="宋体"/>
              </w:rPr>
            </w:pPr>
          </w:p>
        </w:tc>
        <w:tc>
          <w:tcPr>
            <w:tcW w:w="479" w:type="pct"/>
            <w:shd w:val="clear" w:color="auto" w:fill="auto"/>
          </w:tcPr>
          <w:p w14:paraId="5EA26DA7" w14:textId="77777777" w:rsidR="003C66EB" w:rsidRDefault="003C66EB">
            <w:pPr>
              <w:rPr>
                <w:rFonts w:ascii="宋体"/>
              </w:rPr>
            </w:pPr>
          </w:p>
        </w:tc>
        <w:tc>
          <w:tcPr>
            <w:tcW w:w="5" w:type="pct"/>
            <w:shd w:val="clear" w:color="auto" w:fill="auto"/>
          </w:tcPr>
          <w:p w14:paraId="5EA26DA8" w14:textId="77777777" w:rsidR="003C66EB" w:rsidRDefault="003C66EB">
            <w:pPr>
              <w:rPr>
                <w:rFonts w:ascii="宋体"/>
              </w:rPr>
            </w:pPr>
          </w:p>
        </w:tc>
        <w:tc>
          <w:tcPr>
            <w:tcW w:w="5" w:type="pct"/>
            <w:shd w:val="clear" w:color="auto" w:fill="auto"/>
          </w:tcPr>
          <w:p w14:paraId="5EA26DA9" w14:textId="77777777" w:rsidR="003C66EB" w:rsidRDefault="003C66EB">
            <w:pPr>
              <w:rPr>
                <w:rFonts w:ascii="宋体"/>
              </w:rPr>
            </w:pPr>
          </w:p>
        </w:tc>
        <w:tc>
          <w:tcPr>
            <w:tcW w:w="26" w:type="pct"/>
            <w:shd w:val="clear" w:color="auto" w:fill="auto"/>
          </w:tcPr>
          <w:p w14:paraId="5EA26DAA" w14:textId="77777777" w:rsidR="003C66EB" w:rsidRDefault="003C66EB">
            <w:pPr>
              <w:rPr>
                <w:rFonts w:ascii="宋体"/>
              </w:rPr>
            </w:pPr>
          </w:p>
        </w:tc>
        <w:tc>
          <w:tcPr>
            <w:tcW w:w="5" w:type="pct"/>
            <w:shd w:val="clear" w:color="auto" w:fill="auto"/>
          </w:tcPr>
          <w:p w14:paraId="5EA26DAB" w14:textId="77777777" w:rsidR="003C66EB" w:rsidRDefault="003C66EB">
            <w:pPr>
              <w:rPr>
                <w:rFonts w:ascii="宋体"/>
              </w:rPr>
            </w:pPr>
          </w:p>
        </w:tc>
        <w:tc>
          <w:tcPr>
            <w:tcW w:w="50" w:type="pct"/>
            <w:shd w:val="clear" w:color="auto" w:fill="auto"/>
          </w:tcPr>
          <w:p w14:paraId="5EA26DAC" w14:textId="77777777" w:rsidR="003C66EB" w:rsidRDefault="003C66EB">
            <w:pPr>
              <w:rPr>
                <w:rFonts w:ascii="宋体"/>
              </w:rPr>
            </w:pPr>
          </w:p>
        </w:tc>
        <w:tc>
          <w:tcPr>
            <w:tcW w:w="479" w:type="pct"/>
            <w:shd w:val="clear" w:color="auto" w:fill="auto"/>
          </w:tcPr>
          <w:p w14:paraId="5EA26DAD" w14:textId="77777777" w:rsidR="003C66EB" w:rsidRDefault="003C66EB">
            <w:pPr>
              <w:rPr>
                <w:rFonts w:ascii="宋体"/>
              </w:rPr>
            </w:pPr>
          </w:p>
        </w:tc>
        <w:tc>
          <w:tcPr>
            <w:tcW w:w="5" w:type="pct"/>
            <w:shd w:val="clear" w:color="auto" w:fill="auto"/>
          </w:tcPr>
          <w:p w14:paraId="5EA26DAE" w14:textId="77777777" w:rsidR="003C66EB" w:rsidRDefault="003C66EB">
            <w:pPr>
              <w:rPr>
                <w:rFonts w:ascii="宋体"/>
              </w:rPr>
            </w:pPr>
          </w:p>
        </w:tc>
        <w:tc>
          <w:tcPr>
            <w:tcW w:w="5" w:type="pct"/>
            <w:shd w:val="clear" w:color="auto" w:fill="auto"/>
          </w:tcPr>
          <w:p w14:paraId="5EA26DAF" w14:textId="77777777" w:rsidR="003C66EB" w:rsidRDefault="003C66EB">
            <w:pPr>
              <w:rPr>
                <w:rFonts w:ascii="宋体"/>
              </w:rPr>
            </w:pPr>
          </w:p>
        </w:tc>
        <w:tc>
          <w:tcPr>
            <w:tcW w:w="26" w:type="pct"/>
            <w:shd w:val="clear" w:color="auto" w:fill="auto"/>
          </w:tcPr>
          <w:p w14:paraId="5EA26DB0" w14:textId="77777777" w:rsidR="003C66EB" w:rsidRDefault="003C66EB">
            <w:pPr>
              <w:rPr>
                <w:rFonts w:ascii="宋体"/>
              </w:rPr>
            </w:pPr>
          </w:p>
        </w:tc>
        <w:tc>
          <w:tcPr>
            <w:tcW w:w="5" w:type="pct"/>
            <w:shd w:val="clear" w:color="auto" w:fill="auto"/>
          </w:tcPr>
          <w:p w14:paraId="5EA26DB1" w14:textId="77777777" w:rsidR="003C66EB" w:rsidRDefault="003C66EB">
            <w:pPr>
              <w:rPr>
                <w:rFonts w:ascii="宋体"/>
              </w:rPr>
            </w:pPr>
          </w:p>
        </w:tc>
        <w:tc>
          <w:tcPr>
            <w:tcW w:w="50" w:type="pct"/>
            <w:shd w:val="clear" w:color="auto" w:fill="auto"/>
          </w:tcPr>
          <w:p w14:paraId="5EA26DB2" w14:textId="77777777" w:rsidR="003C66EB" w:rsidRDefault="003C66EB">
            <w:pPr>
              <w:rPr>
                <w:rFonts w:ascii="宋体"/>
              </w:rPr>
            </w:pPr>
          </w:p>
        </w:tc>
        <w:tc>
          <w:tcPr>
            <w:tcW w:w="1321" w:type="pct"/>
            <w:shd w:val="clear" w:color="auto" w:fill="auto"/>
          </w:tcPr>
          <w:p w14:paraId="5EA26DB3" w14:textId="77777777" w:rsidR="003C66EB" w:rsidRDefault="003C66EB">
            <w:pPr>
              <w:rPr>
                <w:rFonts w:ascii="宋体"/>
              </w:rPr>
            </w:pPr>
          </w:p>
        </w:tc>
        <w:tc>
          <w:tcPr>
            <w:tcW w:w="5" w:type="pct"/>
            <w:shd w:val="clear" w:color="auto" w:fill="auto"/>
          </w:tcPr>
          <w:p w14:paraId="5EA26DB4" w14:textId="77777777" w:rsidR="003C66EB" w:rsidRDefault="003C66EB">
            <w:pPr>
              <w:rPr>
                <w:rFonts w:ascii="宋体"/>
              </w:rPr>
            </w:pPr>
          </w:p>
        </w:tc>
      </w:tr>
      <w:tr w:rsidR="003C66EB" w14:paraId="5EA26DC0" w14:textId="77777777">
        <w:trPr>
          <w:hidden/>
        </w:trPr>
        <w:tc>
          <w:tcPr>
            <w:tcW w:w="0" w:type="auto"/>
            <w:gridSpan w:val="3"/>
            <w:shd w:val="clear" w:color="auto" w:fill="auto"/>
          </w:tcPr>
          <w:p w14:paraId="5EA26DB6" w14:textId="77777777" w:rsidR="003C66EB" w:rsidRDefault="003C66EB">
            <w:pPr>
              <w:rPr>
                <w:rFonts w:ascii="宋体"/>
                <w:vanish/>
              </w:rPr>
            </w:pPr>
          </w:p>
        </w:tc>
        <w:tc>
          <w:tcPr>
            <w:tcW w:w="0" w:type="auto"/>
            <w:gridSpan w:val="3"/>
            <w:shd w:val="clear" w:color="auto" w:fill="auto"/>
          </w:tcPr>
          <w:p w14:paraId="5EA26DB7" w14:textId="77777777" w:rsidR="003C66EB" w:rsidRDefault="003C66EB">
            <w:pPr>
              <w:rPr>
                <w:rFonts w:ascii="宋体"/>
                <w:vanish/>
              </w:rPr>
            </w:pPr>
          </w:p>
        </w:tc>
        <w:tc>
          <w:tcPr>
            <w:tcW w:w="0" w:type="auto"/>
            <w:gridSpan w:val="3"/>
            <w:shd w:val="clear" w:color="auto" w:fill="auto"/>
          </w:tcPr>
          <w:p w14:paraId="5EA26DB8" w14:textId="77777777" w:rsidR="003C66EB" w:rsidRDefault="003C66EB">
            <w:pPr>
              <w:rPr>
                <w:rFonts w:ascii="宋体"/>
                <w:vanish/>
              </w:rPr>
            </w:pPr>
          </w:p>
        </w:tc>
        <w:tc>
          <w:tcPr>
            <w:tcW w:w="0" w:type="auto"/>
            <w:gridSpan w:val="3"/>
            <w:shd w:val="clear" w:color="auto" w:fill="auto"/>
          </w:tcPr>
          <w:p w14:paraId="5EA26DB9" w14:textId="77777777" w:rsidR="003C66EB" w:rsidRDefault="003C66EB">
            <w:pPr>
              <w:rPr>
                <w:rFonts w:ascii="宋体"/>
                <w:vanish/>
              </w:rPr>
            </w:pPr>
          </w:p>
        </w:tc>
        <w:tc>
          <w:tcPr>
            <w:tcW w:w="0" w:type="auto"/>
            <w:shd w:val="clear" w:color="auto" w:fill="auto"/>
          </w:tcPr>
          <w:p w14:paraId="5EA26DBA" w14:textId="77777777" w:rsidR="003C66EB" w:rsidRDefault="003C66EB">
            <w:pPr>
              <w:rPr>
                <w:rFonts w:ascii="宋体"/>
              </w:rPr>
            </w:pPr>
          </w:p>
        </w:tc>
        <w:tc>
          <w:tcPr>
            <w:tcW w:w="0" w:type="auto"/>
            <w:shd w:val="clear" w:color="auto" w:fill="auto"/>
          </w:tcPr>
          <w:p w14:paraId="5EA26DBB" w14:textId="77777777" w:rsidR="003C66EB" w:rsidRDefault="003C66EB">
            <w:pPr>
              <w:rPr>
                <w:rFonts w:ascii="宋体"/>
              </w:rPr>
            </w:pPr>
          </w:p>
        </w:tc>
        <w:tc>
          <w:tcPr>
            <w:tcW w:w="0" w:type="auto"/>
            <w:shd w:val="clear" w:color="auto" w:fill="auto"/>
          </w:tcPr>
          <w:p w14:paraId="5EA26DBC" w14:textId="77777777" w:rsidR="003C66EB" w:rsidRDefault="003C66EB">
            <w:pPr>
              <w:rPr>
                <w:rFonts w:ascii="宋体"/>
              </w:rPr>
            </w:pPr>
          </w:p>
        </w:tc>
        <w:tc>
          <w:tcPr>
            <w:tcW w:w="0" w:type="auto"/>
            <w:shd w:val="clear" w:color="auto" w:fill="auto"/>
          </w:tcPr>
          <w:p w14:paraId="5EA26DBD" w14:textId="77777777" w:rsidR="003C66EB" w:rsidRDefault="003C66EB">
            <w:pPr>
              <w:rPr>
                <w:rFonts w:ascii="宋体"/>
              </w:rPr>
            </w:pPr>
          </w:p>
        </w:tc>
        <w:tc>
          <w:tcPr>
            <w:tcW w:w="0" w:type="auto"/>
            <w:shd w:val="clear" w:color="auto" w:fill="auto"/>
          </w:tcPr>
          <w:p w14:paraId="5EA26DBE" w14:textId="77777777" w:rsidR="003C66EB" w:rsidRDefault="003C66EB">
            <w:pPr>
              <w:rPr>
                <w:rFonts w:ascii="宋体"/>
              </w:rPr>
            </w:pPr>
          </w:p>
        </w:tc>
        <w:tc>
          <w:tcPr>
            <w:tcW w:w="0" w:type="auto"/>
            <w:shd w:val="clear" w:color="auto" w:fill="auto"/>
          </w:tcPr>
          <w:p w14:paraId="5EA26DBF" w14:textId="77777777" w:rsidR="003C66EB" w:rsidRDefault="003C66EB">
            <w:pPr>
              <w:rPr>
                <w:rFonts w:ascii="宋体"/>
              </w:rPr>
            </w:pPr>
          </w:p>
        </w:tc>
      </w:tr>
      <w:tr w:rsidR="003C66EB" w14:paraId="5EA26DC7" w14:textId="77777777">
        <w:trPr>
          <w:hidden/>
        </w:trPr>
        <w:tc>
          <w:tcPr>
            <w:tcW w:w="0" w:type="auto"/>
            <w:gridSpan w:val="3"/>
            <w:shd w:val="clear" w:color="auto" w:fill="auto"/>
          </w:tcPr>
          <w:p w14:paraId="5EA26DC1" w14:textId="77777777" w:rsidR="003C66EB" w:rsidRDefault="003C66EB">
            <w:pPr>
              <w:rPr>
                <w:rFonts w:ascii="宋体"/>
                <w:vanish/>
              </w:rPr>
            </w:pPr>
          </w:p>
        </w:tc>
        <w:tc>
          <w:tcPr>
            <w:tcW w:w="0" w:type="auto"/>
            <w:gridSpan w:val="3"/>
            <w:shd w:val="clear" w:color="auto" w:fill="auto"/>
          </w:tcPr>
          <w:p w14:paraId="5EA26DC2" w14:textId="77777777" w:rsidR="003C66EB" w:rsidRDefault="003C66EB">
            <w:pPr>
              <w:rPr>
                <w:rFonts w:ascii="宋体"/>
                <w:vanish/>
              </w:rPr>
            </w:pPr>
          </w:p>
        </w:tc>
        <w:tc>
          <w:tcPr>
            <w:tcW w:w="0" w:type="auto"/>
            <w:gridSpan w:val="3"/>
            <w:shd w:val="clear" w:color="auto" w:fill="auto"/>
          </w:tcPr>
          <w:p w14:paraId="5EA26DC3" w14:textId="77777777" w:rsidR="003C66EB" w:rsidRDefault="003C66EB">
            <w:pPr>
              <w:rPr>
                <w:rFonts w:ascii="宋体"/>
                <w:vanish/>
              </w:rPr>
            </w:pPr>
          </w:p>
        </w:tc>
        <w:tc>
          <w:tcPr>
            <w:tcW w:w="0" w:type="auto"/>
            <w:gridSpan w:val="3"/>
            <w:shd w:val="clear" w:color="auto" w:fill="auto"/>
          </w:tcPr>
          <w:p w14:paraId="5EA26DC4" w14:textId="77777777" w:rsidR="003C66EB" w:rsidRDefault="003C66EB">
            <w:pPr>
              <w:rPr>
                <w:rFonts w:ascii="宋体"/>
                <w:vanish/>
              </w:rPr>
            </w:pPr>
          </w:p>
        </w:tc>
        <w:tc>
          <w:tcPr>
            <w:tcW w:w="0" w:type="auto"/>
            <w:gridSpan w:val="3"/>
            <w:shd w:val="clear" w:color="auto" w:fill="auto"/>
          </w:tcPr>
          <w:p w14:paraId="5EA26DC5" w14:textId="77777777" w:rsidR="003C66EB" w:rsidRDefault="003C66EB">
            <w:pPr>
              <w:rPr>
                <w:rFonts w:ascii="宋体"/>
                <w:vanish/>
              </w:rPr>
            </w:pPr>
          </w:p>
        </w:tc>
        <w:tc>
          <w:tcPr>
            <w:tcW w:w="0" w:type="auto"/>
            <w:gridSpan w:val="3"/>
            <w:shd w:val="clear" w:color="auto" w:fill="auto"/>
          </w:tcPr>
          <w:p w14:paraId="5EA26DC6" w14:textId="77777777" w:rsidR="003C66EB" w:rsidRDefault="003C66EB">
            <w:pPr>
              <w:rPr>
                <w:rFonts w:ascii="宋体"/>
                <w:vanish/>
              </w:rPr>
            </w:pPr>
          </w:p>
        </w:tc>
      </w:tr>
      <w:tr w:rsidR="003C66EB" w14:paraId="5EA26DD2" w14:textId="77777777">
        <w:trPr>
          <w:hidden/>
        </w:trPr>
        <w:tc>
          <w:tcPr>
            <w:tcW w:w="0" w:type="auto"/>
            <w:gridSpan w:val="3"/>
            <w:shd w:val="clear" w:color="auto" w:fill="auto"/>
          </w:tcPr>
          <w:p w14:paraId="5EA26DC8" w14:textId="77777777" w:rsidR="003C66EB" w:rsidRDefault="003C66EB">
            <w:pPr>
              <w:rPr>
                <w:rFonts w:ascii="宋体"/>
                <w:vanish/>
              </w:rPr>
            </w:pPr>
          </w:p>
        </w:tc>
        <w:tc>
          <w:tcPr>
            <w:tcW w:w="0" w:type="auto"/>
            <w:gridSpan w:val="3"/>
            <w:shd w:val="clear" w:color="auto" w:fill="auto"/>
          </w:tcPr>
          <w:p w14:paraId="5EA26DC9" w14:textId="77777777" w:rsidR="003C66EB" w:rsidRDefault="003C66EB">
            <w:pPr>
              <w:rPr>
                <w:rFonts w:ascii="宋体"/>
                <w:vanish/>
              </w:rPr>
            </w:pPr>
          </w:p>
        </w:tc>
        <w:tc>
          <w:tcPr>
            <w:tcW w:w="0" w:type="auto"/>
            <w:gridSpan w:val="3"/>
            <w:shd w:val="clear" w:color="auto" w:fill="auto"/>
          </w:tcPr>
          <w:p w14:paraId="5EA26DCA" w14:textId="77777777" w:rsidR="003C66EB" w:rsidRDefault="003C66EB">
            <w:pPr>
              <w:rPr>
                <w:rFonts w:ascii="宋体"/>
                <w:vanish/>
              </w:rPr>
            </w:pPr>
          </w:p>
        </w:tc>
        <w:tc>
          <w:tcPr>
            <w:tcW w:w="0" w:type="auto"/>
            <w:gridSpan w:val="3"/>
            <w:shd w:val="clear" w:color="auto" w:fill="auto"/>
          </w:tcPr>
          <w:p w14:paraId="5EA26DCB" w14:textId="77777777" w:rsidR="003C66EB" w:rsidRDefault="003C66EB">
            <w:pPr>
              <w:rPr>
                <w:rFonts w:ascii="宋体"/>
                <w:vanish/>
              </w:rPr>
            </w:pPr>
          </w:p>
        </w:tc>
        <w:tc>
          <w:tcPr>
            <w:tcW w:w="0" w:type="auto"/>
            <w:shd w:val="clear" w:color="auto" w:fill="auto"/>
          </w:tcPr>
          <w:p w14:paraId="5EA26DCC" w14:textId="77777777" w:rsidR="003C66EB" w:rsidRDefault="003C66EB">
            <w:pPr>
              <w:rPr>
                <w:rFonts w:ascii="宋体"/>
              </w:rPr>
            </w:pPr>
          </w:p>
        </w:tc>
        <w:tc>
          <w:tcPr>
            <w:tcW w:w="0" w:type="auto"/>
            <w:shd w:val="clear" w:color="auto" w:fill="auto"/>
          </w:tcPr>
          <w:p w14:paraId="5EA26DCD" w14:textId="77777777" w:rsidR="003C66EB" w:rsidRDefault="003C66EB">
            <w:pPr>
              <w:rPr>
                <w:rFonts w:ascii="宋体"/>
              </w:rPr>
            </w:pPr>
          </w:p>
        </w:tc>
        <w:tc>
          <w:tcPr>
            <w:tcW w:w="0" w:type="auto"/>
            <w:shd w:val="clear" w:color="auto" w:fill="auto"/>
          </w:tcPr>
          <w:p w14:paraId="5EA26DCE" w14:textId="77777777" w:rsidR="003C66EB" w:rsidRDefault="003C66EB">
            <w:pPr>
              <w:rPr>
                <w:rFonts w:ascii="宋体"/>
              </w:rPr>
            </w:pPr>
          </w:p>
        </w:tc>
        <w:tc>
          <w:tcPr>
            <w:tcW w:w="0" w:type="auto"/>
            <w:shd w:val="clear" w:color="auto" w:fill="auto"/>
          </w:tcPr>
          <w:p w14:paraId="5EA26DCF" w14:textId="77777777" w:rsidR="003C66EB" w:rsidRDefault="003C66EB">
            <w:pPr>
              <w:rPr>
                <w:rFonts w:ascii="宋体"/>
              </w:rPr>
            </w:pPr>
          </w:p>
        </w:tc>
        <w:tc>
          <w:tcPr>
            <w:tcW w:w="0" w:type="auto"/>
            <w:shd w:val="clear" w:color="auto" w:fill="auto"/>
          </w:tcPr>
          <w:p w14:paraId="5EA26DD0" w14:textId="77777777" w:rsidR="003C66EB" w:rsidRDefault="003C66EB">
            <w:pPr>
              <w:rPr>
                <w:rFonts w:ascii="宋体"/>
              </w:rPr>
            </w:pPr>
          </w:p>
        </w:tc>
        <w:tc>
          <w:tcPr>
            <w:tcW w:w="0" w:type="auto"/>
            <w:shd w:val="clear" w:color="auto" w:fill="auto"/>
          </w:tcPr>
          <w:p w14:paraId="5EA26DD1" w14:textId="77777777" w:rsidR="003C66EB" w:rsidRDefault="003C66EB">
            <w:pPr>
              <w:rPr>
                <w:rFonts w:ascii="宋体"/>
              </w:rPr>
            </w:pPr>
          </w:p>
        </w:tc>
      </w:tr>
      <w:tr w:rsidR="003C66EB" w14:paraId="5EA26DD9" w14:textId="77777777">
        <w:trPr>
          <w:hidden/>
        </w:trPr>
        <w:tc>
          <w:tcPr>
            <w:tcW w:w="0" w:type="auto"/>
            <w:gridSpan w:val="3"/>
            <w:shd w:val="clear" w:color="auto" w:fill="auto"/>
          </w:tcPr>
          <w:p w14:paraId="5EA26DD3" w14:textId="77777777" w:rsidR="003C66EB" w:rsidRDefault="003C66EB">
            <w:pPr>
              <w:rPr>
                <w:rFonts w:ascii="宋体"/>
                <w:vanish/>
              </w:rPr>
            </w:pPr>
          </w:p>
        </w:tc>
        <w:tc>
          <w:tcPr>
            <w:tcW w:w="0" w:type="auto"/>
            <w:gridSpan w:val="3"/>
            <w:shd w:val="clear" w:color="auto" w:fill="auto"/>
          </w:tcPr>
          <w:p w14:paraId="5EA26DD4" w14:textId="77777777" w:rsidR="003C66EB" w:rsidRDefault="003C66EB">
            <w:pPr>
              <w:rPr>
                <w:rFonts w:ascii="宋体"/>
                <w:vanish/>
              </w:rPr>
            </w:pPr>
          </w:p>
        </w:tc>
        <w:tc>
          <w:tcPr>
            <w:tcW w:w="0" w:type="auto"/>
            <w:gridSpan w:val="3"/>
            <w:shd w:val="clear" w:color="auto" w:fill="auto"/>
          </w:tcPr>
          <w:p w14:paraId="5EA26DD5" w14:textId="77777777" w:rsidR="003C66EB" w:rsidRDefault="003C66EB">
            <w:pPr>
              <w:rPr>
                <w:rFonts w:ascii="宋体"/>
                <w:vanish/>
              </w:rPr>
            </w:pPr>
          </w:p>
        </w:tc>
        <w:tc>
          <w:tcPr>
            <w:tcW w:w="0" w:type="auto"/>
            <w:gridSpan w:val="3"/>
            <w:shd w:val="clear" w:color="auto" w:fill="auto"/>
          </w:tcPr>
          <w:p w14:paraId="5EA26DD6" w14:textId="77777777" w:rsidR="003C66EB" w:rsidRDefault="003C66EB">
            <w:pPr>
              <w:rPr>
                <w:rFonts w:ascii="宋体"/>
                <w:vanish/>
              </w:rPr>
            </w:pPr>
          </w:p>
        </w:tc>
        <w:tc>
          <w:tcPr>
            <w:tcW w:w="0" w:type="auto"/>
            <w:gridSpan w:val="3"/>
            <w:shd w:val="clear" w:color="auto" w:fill="auto"/>
          </w:tcPr>
          <w:p w14:paraId="5EA26DD7" w14:textId="77777777" w:rsidR="003C66EB" w:rsidRDefault="003C66EB">
            <w:pPr>
              <w:rPr>
                <w:rFonts w:ascii="宋体"/>
                <w:vanish/>
              </w:rPr>
            </w:pPr>
          </w:p>
        </w:tc>
        <w:tc>
          <w:tcPr>
            <w:tcW w:w="0" w:type="auto"/>
            <w:gridSpan w:val="3"/>
            <w:shd w:val="clear" w:color="auto" w:fill="auto"/>
          </w:tcPr>
          <w:p w14:paraId="5EA26DD8" w14:textId="77777777" w:rsidR="003C66EB" w:rsidRDefault="003C66EB">
            <w:pPr>
              <w:rPr>
                <w:rFonts w:ascii="宋体"/>
                <w:vanish/>
              </w:rPr>
            </w:pPr>
          </w:p>
        </w:tc>
      </w:tr>
      <w:tr w:rsidR="003C66EB" w14:paraId="5EA26DE0" w14:textId="77777777">
        <w:trPr>
          <w:hidden/>
        </w:trPr>
        <w:tc>
          <w:tcPr>
            <w:tcW w:w="0" w:type="auto"/>
            <w:gridSpan w:val="3"/>
            <w:shd w:val="clear" w:color="auto" w:fill="auto"/>
          </w:tcPr>
          <w:p w14:paraId="5EA26DDA" w14:textId="77777777" w:rsidR="003C66EB" w:rsidRDefault="003C66EB">
            <w:pPr>
              <w:rPr>
                <w:rFonts w:ascii="宋体"/>
                <w:vanish/>
              </w:rPr>
            </w:pPr>
          </w:p>
        </w:tc>
        <w:tc>
          <w:tcPr>
            <w:tcW w:w="0" w:type="auto"/>
            <w:gridSpan w:val="3"/>
            <w:shd w:val="clear" w:color="auto" w:fill="auto"/>
          </w:tcPr>
          <w:p w14:paraId="5EA26DDB" w14:textId="77777777" w:rsidR="003C66EB" w:rsidRDefault="003C66EB">
            <w:pPr>
              <w:rPr>
                <w:rFonts w:ascii="宋体"/>
                <w:vanish/>
              </w:rPr>
            </w:pPr>
          </w:p>
        </w:tc>
        <w:tc>
          <w:tcPr>
            <w:tcW w:w="0" w:type="auto"/>
            <w:gridSpan w:val="3"/>
            <w:shd w:val="clear" w:color="auto" w:fill="auto"/>
          </w:tcPr>
          <w:p w14:paraId="5EA26DDC" w14:textId="77777777" w:rsidR="003C66EB" w:rsidRDefault="003C66EB">
            <w:pPr>
              <w:rPr>
                <w:rFonts w:ascii="宋体"/>
                <w:vanish/>
              </w:rPr>
            </w:pPr>
          </w:p>
        </w:tc>
        <w:tc>
          <w:tcPr>
            <w:tcW w:w="0" w:type="auto"/>
            <w:gridSpan w:val="3"/>
            <w:shd w:val="clear" w:color="auto" w:fill="auto"/>
          </w:tcPr>
          <w:p w14:paraId="5EA26DDD" w14:textId="77777777" w:rsidR="003C66EB" w:rsidRDefault="003C66EB">
            <w:pPr>
              <w:rPr>
                <w:rFonts w:ascii="宋体"/>
                <w:vanish/>
              </w:rPr>
            </w:pPr>
          </w:p>
        </w:tc>
        <w:tc>
          <w:tcPr>
            <w:tcW w:w="0" w:type="auto"/>
            <w:gridSpan w:val="3"/>
            <w:shd w:val="clear" w:color="auto" w:fill="auto"/>
          </w:tcPr>
          <w:p w14:paraId="5EA26DDE" w14:textId="77777777" w:rsidR="003C66EB" w:rsidRDefault="003C66EB">
            <w:pPr>
              <w:rPr>
                <w:rFonts w:ascii="宋体"/>
                <w:vanish/>
              </w:rPr>
            </w:pPr>
          </w:p>
        </w:tc>
        <w:tc>
          <w:tcPr>
            <w:tcW w:w="0" w:type="auto"/>
            <w:gridSpan w:val="3"/>
            <w:shd w:val="clear" w:color="auto" w:fill="auto"/>
          </w:tcPr>
          <w:p w14:paraId="5EA26DDF" w14:textId="77777777" w:rsidR="003C66EB" w:rsidRDefault="003C66EB">
            <w:pPr>
              <w:rPr>
                <w:rFonts w:ascii="宋体"/>
                <w:vanish/>
              </w:rPr>
            </w:pPr>
          </w:p>
        </w:tc>
      </w:tr>
      <w:tr w:rsidR="003C66EB" w14:paraId="5EA26DE7" w14:textId="77777777">
        <w:trPr>
          <w:hidden/>
        </w:trPr>
        <w:tc>
          <w:tcPr>
            <w:tcW w:w="0" w:type="auto"/>
            <w:gridSpan w:val="3"/>
            <w:shd w:val="clear" w:color="auto" w:fill="auto"/>
          </w:tcPr>
          <w:p w14:paraId="5EA26DE1" w14:textId="77777777" w:rsidR="003C66EB" w:rsidRDefault="003C66EB">
            <w:pPr>
              <w:rPr>
                <w:rFonts w:ascii="宋体"/>
                <w:vanish/>
              </w:rPr>
            </w:pPr>
          </w:p>
        </w:tc>
        <w:tc>
          <w:tcPr>
            <w:tcW w:w="0" w:type="auto"/>
            <w:gridSpan w:val="3"/>
            <w:shd w:val="clear" w:color="auto" w:fill="auto"/>
          </w:tcPr>
          <w:p w14:paraId="5EA26DE2" w14:textId="77777777" w:rsidR="003C66EB" w:rsidRDefault="003C66EB">
            <w:pPr>
              <w:rPr>
                <w:rFonts w:ascii="宋体"/>
                <w:vanish/>
              </w:rPr>
            </w:pPr>
          </w:p>
        </w:tc>
        <w:tc>
          <w:tcPr>
            <w:tcW w:w="0" w:type="auto"/>
            <w:gridSpan w:val="3"/>
            <w:shd w:val="clear" w:color="auto" w:fill="auto"/>
          </w:tcPr>
          <w:p w14:paraId="5EA26DE3" w14:textId="77777777" w:rsidR="003C66EB" w:rsidRDefault="003C66EB">
            <w:pPr>
              <w:rPr>
                <w:rFonts w:ascii="宋体"/>
                <w:vanish/>
              </w:rPr>
            </w:pPr>
          </w:p>
        </w:tc>
        <w:tc>
          <w:tcPr>
            <w:tcW w:w="0" w:type="auto"/>
            <w:gridSpan w:val="3"/>
            <w:shd w:val="clear" w:color="auto" w:fill="auto"/>
          </w:tcPr>
          <w:p w14:paraId="5EA26DE4" w14:textId="77777777" w:rsidR="003C66EB" w:rsidRDefault="003C66EB">
            <w:pPr>
              <w:rPr>
                <w:rFonts w:ascii="宋体"/>
                <w:vanish/>
              </w:rPr>
            </w:pPr>
          </w:p>
        </w:tc>
        <w:tc>
          <w:tcPr>
            <w:tcW w:w="0" w:type="auto"/>
            <w:gridSpan w:val="3"/>
            <w:shd w:val="clear" w:color="auto" w:fill="auto"/>
          </w:tcPr>
          <w:p w14:paraId="5EA26DE5" w14:textId="77777777" w:rsidR="003C66EB" w:rsidRDefault="003C66EB">
            <w:pPr>
              <w:rPr>
                <w:rFonts w:ascii="宋体"/>
                <w:vanish/>
              </w:rPr>
            </w:pPr>
          </w:p>
        </w:tc>
        <w:tc>
          <w:tcPr>
            <w:tcW w:w="0" w:type="auto"/>
            <w:gridSpan w:val="3"/>
            <w:shd w:val="clear" w:color="auto" w:fill="auto"/>
          </w:tcPr>
          <w:p w14:paraId="5EA26DE6" w14:textId="77777777" w:rsidR="003C66EB" w:rsidRDefault="003C66EB">
            <w:pPr>
              <w:rPr>
                <w:rFonts w:ascii="宋体"/>
                <w:vanish/>
              </w:rPr>
            </w:pPr>
          </w:p>
        </w:tc>
      </w:tr>
      <w:tr w:rsidR="003C66EB" w14:paraId="5EA26DEE" w14:textId="77777777">
        <w:trPr>
          <w:hidden/>
        </w:trPr>
        <w:tc>
          <w:tcPr>
            <w:tcW w:w="0" w:type="auto"/>
            <w:gridSpan w:val="3"/>
            <w:shd w:val="clear" w:color="auto" w:fill="auto"/>
          </w:tcPr>
          <w:p w14:paraId="5EA26DE8" w14:textId="77777777" w:rsidR="003C66EB" w:rsidRDefault="003C66EB">
            <w:pPr>
              <w:rPr>
                <w:rFonts w:ascii="宋体"/>
                <w:vanish/>
              </w:rPr>
            </w:pPr>
          </w:p>
        </w:tc>
        <w:tc>
          <w:tcPr>
            <w:tcW w:w="0" w:type="auto"/>
            <w:gridSpan w:val="3"/>
            <w:shd w:val="clear" w:color="auto" w:fill="auto"/>
          </w:tcPr>
          <w:p w14:paraId="5EA26DE9" w14:textId="77777777" w:rsidR="003C66EB" w:rsidRDefault="003C66EB">
            <w:pPr>
              <w:rPr>
                <w:rFonts w:ascii="宋体"/>
                <w:vanish/>
              </w:rPr>
            </w:pPr>
          </w:p>
        </w:tc>
        <w:tc>
          <w:tcPr>
            <w:tcW w:w="0" w:type="auto"/>
            <w:gridSpan w:val="3"/>
            <w:shd w:val="clear" w:color="auto" w:fill="auto"/>
          </w:tcPr>
          <w:p w14:paraId="5EA26DEA" w14:textId="77777777" w:rsidR="003C66EB" w:rsidRDefault="003C66EB">
            <w:pPr>
              <w:rPr>
                <w:rFonts w:ascii="宋体"/>
                <w:vanish/>
              </w:rPr>
            </w:pPr>
          </w:p>
        </w:tc>
        <w:tc>
          <w:tcPr>
            <w:tcW w:w="0" w:type="auto"/>
            <w:gridSpan w:val="3"/>
            <w:shd w:val="clear" w:color="auto" w:fill="auto"/>
          </w:tcPr>
          <w:p w14:paraId="5EA26DEB" w14:textId="77777777" w:rsidR="003C66EB" w:rsidRDefault="003C66EB">
            <w:pPr>
              <w:rPr>
                <w:rFonts w:ascii="宋体"/>
                <w:vanish/>
              </w:rPr>
            </w:pPr>
          </w:p>
        </w:tc>
        <w:tc>
          <w:tcPr>
            <w:tcW w:w="0" w:type="auto"/>
            <w:gridSpan w:val="3"/>
            <w:shd w:val="clear" w:color="auto" w:fill="auto"/>
          </w:tcPr>
          <w:p w14:paraId="5EA26DEC" w14:textId="77777777" w:rsidR="003C66EB" w:rsidRDefault="003C66EB">
            <w:pPr>
              <w:rPr>
                <w:rFonts w:ascii="宋体"/>
                <w:vanish/>
              </w:rPr>
            </w:pPr>
          </w:p>
        </w:tc>
        <w:tc>
          <w:tcPr>
            <w:tcW w:w="0" w:type="auto"/>
            <w:gridSpan w:val="3"/>
            <w:shd w:val="clear" w:color="auto" w:fill="auto"/>
          </w:tcPr>
          <w:p w14:paraId="5EA26DED" w14:textId="77777777" w:rsidR="003C66EB" w:rsidRDefault="003C66EB">
            <w:pPr>
              <w:rPr>
                <w:rFonts w:ascii="宋体"/>
                <w:vanish/>
              </w:rPr>
            </w:pPr>
          </w:p>
        </w:tc>
      </w:tr>
      <w:tr w:rsidR="003C66EB" w14:paraId="5EA26DF5" w14:textId="77777777">
        <w:trPr>
          <w:hidden/>
        </w:trPr>
        <w:tc>
          <w:tcPr>
            <w:tcW w:w="0" w:type="auto"/>
            <w:gridSpan w:val="3"/>
            <w:shd w:val="clear" w:color="auto" w:fill="auto"/>
          </w:tcPr>
          <w:p w14:paraId="5EA26DEF" w14:textId="77777777" w:rsidR="003C66EB" w:rsidRDefault="003C66EB">
            <w:pPr>
              <w:rPr>
                <w:rFonts w:ascii="宋体"/>
                <w:vanish/>
              </w:rPr>
            </w:pPr>
          </w:p>
        </w:tc>
        <w:tc>
          <w:tcPr>
            <w:tcW w:w="0" w:type="auto"/>
            <w:gridSpan w:val="3"/>
            <w:shd w:val="clear" w:color="auto" w:fill="auto"/>
          </w:tcPr>
          <w:p w14:paraId="5EA26DF0" w14:textId="77777777" w:rsidR="003C66EB" w:rsidRDefault="003C66EB">
            <w:pPr>
              <w:rPr>
                <w:rFonts w:ascii="宋体"/>
                <w:vanish/>
              </w:rPr>
            </w:pPr>
          </w:p>
        </w:tc>
        <w:tc>
          <w:tcPr>
            <w:tcW w:w="0" w:type="auto"/>
            <w:gridSpan w:val="3"/>
            <w:shd w:val="clear" w:color="auto" w:fill="auto"/>
          </w:tcPr>
          <w:p w14:paraId="5EA26DF1" w14:textId="77777777" w:rsidR="003C66EB" w:rsidRDefault="003C66EB">
            <w:pPr>
              <w:rPr>
                <w:rFonts w:ascii="宋体"/>
                <w:vanish/>
              </w:rPr>
            </w:pPr>
          </w:p>
        </w:tc>
        <w:tc>
          <w:tcPr>
            <w:tcW w:w="0" w:type="auto"/>
            <w:gridSpan w:val="3"/>
            <w:shd w:val="clear" w:color="auto" w:fill="auto"/>
          </w:tcPr>
          <w:p w14:paraId="5EA26DF2" w14:textId="77777777" w:rsidR="003C66EB" w:rsidRDefault="003C66EB">
            <w:pPr>
              <w:rPr>
                <w:rFonts w:ascii="宋体"/>
                <w:vanish/>
              </w:rPr>
            </w:pPr>
          </w:p>
        </w:tc>
        <w:tc>
          <w:tcPr>
            <w:tcW w:w="0" w:type="auto"/>
            <w:gridSpan w:val="3"/>
            <w:shd w:val="clear" w:color="auto" w:fill="auto"/>
          </w:tcPr>
          <w:p w14:paraId="5EA26DF3" w14:textId="77777777" w:rsidR="003C66EB" w:rsidRDefault="003C66EB">
            <w:pPr>
              <w:rPr>
                <w:rFonts w:ascii="宋体"/>
                <w:vanish/>
              </w:rPr>
            </w:pPr>
          </w:p>
        </w:tc>
        <w:tc>
          <w:tcPr>
            <w:tcW w:w="0" w:type="auto"/>
            <w:gridSpan w:val="3"/>
            <w:shd w:val="clear" w:color="auto" w:fill="auto"/>
          </w:tcPr>
          <w:p w14:paraId="5EA26DF4" w14:textId="77777777" w:rsidR="003C66EB" w:rsidRDefault="003C66EB">
            <w:pPr>
              <w:rPr>
                <w:rFonts w:ascii="宋体"/>
                <w:vanish/>
              </w:rPr>
            </w:pPr>
          </w:p>
        </w:tc>
      </w:tr>
      <w:tr w:rsidR="003C66EB" w14:paraId="5EA26DFC" w14:textId="77777777">
        <w:trPr>
          <w:hidden/>
        </w:trPr>
        <w:tc>
          <w:tcPr>
            <w:tcW w:w="0" w:type="auto"/>
            <w:gridSpan w:val="3"/>
            <w:shd w:val="clear" w:color="auto" w:fill="auto"/>
          </w:tcPr>
          <w:p w14:paraId="5EA26DF6" w14:textId="77777777" w:rsidR="003C66EB" w:rsidRDefault="003C66EB">
            <w:pPr>
              <w:rPr>
                <w:rFonts w:ascii="宋体"/>
                <w:vanish/>
              </w:rPr>
            </w:pPr>
          </w:p>
        </w:tc>
        <w:tc>
          <w:tcPr>
            <w:tcW w:w="0" w:type="auto"/>
            <w:gridSpan w:val="3"/>
            <w:shd w:val="clear" w:color="auto" w:fill="auto"/>
          </w:tcPr>
          <w:p w14:paraId="5EA26DF7" w14:textId="77777777" w:rsidR="003C66EB" w:rsidRDefault="003C66EB">
            <w:pPr>
              <w:rPr>
                <w:rFonts w:ascii="宋体"/>
                <w:vanish/>
              </w:rPr>
            </w:pPr>
          </w:p>
        </w:tc>
        <w:tc>
          <w:tcPr>
            <w:tcW w:w="0" w:type="auto"/>
            <w:gridSpan w:val="3"/>
            <w:shd w:val="clear" w:color="auto" w:fill="auto"/>
          </w:tcPr>
          <w:p w14:paraId="5EA26DF8" w14:textId="77777777" w:rsidR="003C66EB" w:rsidRDefault="003C66EB">
            <w:pPr>
              <w:rPr>
                <w:rFonts w:ascii="宋体"/>
                <w:vanish/>
              </w:rPr>
            </w:pPr>
          </w:p>
        </w:tc>
        <w:tc>
          <w:tcPr>
            <w:tcW w:w="0" w:type="auto"/>
            <w:gridSpan w:val="3"/>
            <w:shd w:val="clear" w:color="auto" w:fill="auto"/>
          </w:tcPr>
          <w:p w14:paraId="5EA26DF9" w14:textId="77777777" w:rsidR="003C66EB" w:rsidRDefault="003C66EB">
            <w:pPr>
              <w:rPr>
                <w:rFonts w:ascii="宋体"/>
                <w:vanish/>
              </w:rPr>
            </w:pPr>
          </w:p>
        </w:tc>
        <w:tc>
          <w:tcPr>
            <w:tcW w:w="0" w:type="auto"/>
            <w:gridSpan w:val="3"/>
            <w:shd w:val="clear" w:color="auto" w:fill="auto"/>
          </w:tcPr>
          <w:p w14:paraId="5EA26DFA" w14:textId="77777777" w:rsidR="003C66EB" w:rsidRDefault="003C66EB">
            <w:pPr>
              <w:rPr>
                <w:rFonts w:ascii="宋体"/>
                <w:vanish/>
              </w:rPr>
            </w:pPr>
          </w:p>
        </w:tc>
        <w:tc>
          <w:tcPr>
            <w:tcW w:w="0" w:type="auto"/>
            <w:gridSpan w:val="3"/>
            <w:shd w:val="clear" w:color="auto" w:fill="auto"/>
          </w:tcPr>
          <w:p w14:paraId="5EA26DFB" w14:textId="77777777" w:rsidR="003C66EB" w:rsidRDefault="003C66EB">
            <w:pPr>
              <w:rPr>
                <w:rFonts w:ascii="宋体"/>
                <w:vanish/>
              </w:rPr>
            </w:pPr>
          </w:p>
        </w:tc>
      </w:tr>
      <w:tr w:rsidR="003C66EB" w14:paraId="5EA26E03" w14:textId="77777777">
        <w:trPr>
          <w:hidden/>
        </w:trPr>
        <w:tc>
          <w:tcPr>
            <w:tcW w:w="0" w:type="auto"/>
            <w:gridSpan w:val="3"/>
            <w:shd w:val="clear" w:color="auto" w:fill="auto"/>
          </w:tcPr>
          <w:p w14:paraId="5EA26DFD" w14:textId="77777777" w:rsidR="003C66EB" w:rsidRDefault="003C66EB">
            <w:pPr>
              <w:rPr>
                <w:rFonts w:ascii="宋体"/>
                <w:vanish/>
              </w:rPr>
            </w:pPr>
          </w:p>
        </w:tc>
        <w:tc>
          <w:tcPr>
            <w:tcW w:w="0" w:type="auto"/>
            <w:gridSpan w:val="3"/>
            <w:shd w:val="clear" w:color="auto" w:fill="auto"/>
          </w:tcPr>
          <w:p w14:paraId="5EA26DFE" w14:textId="77777777" w:rsidR="003C66EB" w:rsidRDefault="003C66EB">
            <w:pPr>
              <w:rPr>
                <w:rFonts w:ascii="宋体"/>
                <w:vanish/>
              </w:rPr>
            </w:pPr>
          </w:p>
        </w:tc>
        <w:tc>
          <w:tcPr>
            <w:tcW w:w="0" w:type="auto"/>
            <w:gridSpan w:val="3"/>
            <w:shd w:val="clear" w:color="auto" w:fill="auto"/>
          </w:tcPr>
          <w:p w14:paraId="5EA26DFF" w14:textId="77777777" w:rsidR="003C66EB" w:rsidRDefault="003C66EB">
            <w:pPr>
              <w:rPr>
                <w:rFonts w:ascii="宋体"/>
                <w:vanish/>
              </w:rPr>
            </w:pPr>
          </w:p>
        </w:tc>
        <w:tc>
          <w:tcPr>
            <w:tcW w:w="0" w:type="auto"/>
            <w:gridSpan w:val="3"/>
            <w:shd w:val="clear" w:color="auto" w:fill="auto"/>
          </w:tcPr>
          <w:p w14:paraId="5EA26E00" w14:textId="77777777" w:rsidR="003C66EB" w:rsidRDefault="003C66EB">
            <w:pPr>
              <w:rPr>
                <w:rFonts w:ascii="宋体"/>
                <w:vanish/>
              </w:rPr>
            </w:pPr>
          </w:p>
        </w:tc>
        <w:tc>
          <w:tcPr>
            <w:tcW w:w="0" w:type="auto"/>
            <w:gridSpan w:val="3"/>
            <w:shd w:val="clear" w:color="auto" w:fill="auto"/>
          </w:tcPr>
          <w:p w14:paraId="5EA26E01" w14:textId="77777777" w:rsidR="003C66EB" w:rsidRDefault="003C66EB">
            <w:pPr>
              <w:rPr>
                <w:rFonts w:ascii="宋体"/>
                <w:vanish/>
              </w:rPr>
            </w:pPr>
          </w:p>
        </w:tc>
        <w:tc>
          <w:tcPr>
            <w:tcW w:w="0" w:type="auto"/>
            <w:gridSpan w:val="3"/>
            <w:shd w:val="clear" w:color="auto" w:fill="auto"/>
          </w:tcPr>
          <w:p w14:paraId="5EA26E02" w14:textId="77777777" w:rsidR="003C66EB" w:rsidRDefault="003C66EB">
            <w:pPr>
              <w:rPr>
                <w:rFonts w:ascii="宋体"/>
                <w:vanish/>
              </w:rPr>
            </w:pPr>
          </w:p>
        </w:tc>
      </w:tr>
      <w:tr w:rsidR="003C66EB" w14:paraId="5EA26E0A" w14:textId="77777777">
        <w:trPr>
          <w:hidden/>
        </w:trPr>
        <w:tc>
          <w:tcPr>
            <w:tcW w:w="0" w:type="auto"/>
            <w:gridSpan w:val="3"/>
            <w:shd w:val="clear" w:color="auto" w:fill="auto"/>
          </w:tcPr>
          <w:p w14:paraId="5EA26E04" w14:textId="77777777" w:rsidR="003C66EB" w:rsidRDefault="003C66EB">
            <w:pPr>
              <w:rPr>
                <w:rFonts w:ascii="宋体"/>
                <w:vanish/>
              </w:rPr>
            </w:pPr>
          </w:p>
        </w:tc>
        <w:tc>
          <w:tcPr>
            <w:tcW w:w="0" w:type="auto"/>
            <w:gridSpan w:val="3"/>
            <w:shd w:val="clear" w:color="auto" w:fill="auto"/>
          </w:tcPr>
          <w:p w14:paraId="5EA26E05" w14:textId="77777777" w:rsidR="003C66EB" w:rsidRDefault="003C66EB">
            <w:pPr>
              <w:rPr>
                <w:rFonts w:ascii="宋体"/>
                <w:vanish/>
              </w:rPr>
            </w:pPr>
          </w:p>
        </w:tc>
        <w:tc>
          <w:tcPr>
            <w:tcW w:w="0" w:type="auto"/>
            <w:gridSpan w:val="3"/>
            <w:shd w:val="clear" w:color="auto" w:fill="auto"/>
          </w:tcPr>
          <w:p w14:paraId="5EA26E06" w14:textId="77777777" w:rsidR="003C66EB" w:rsidRDefault="003C66EB">
            <w:pPr>
              <w:rPr>
                <w:rFonts w:ascii="宋体"/>
                <w:vanish/>
              </w:rPr>
            </w:pPr>
          </w:p>
        </w:tc>
        <w:tc>
          <w:tcPr>
            <w:tcW w:w="0" w:type="auto"/>
            <w:gridSpan w:val="3"/>
            <w:shd w:val="clear" w:color="auto" w:fill="auto"/>
          </w:tcPr>
          <w:p w14:paraId="5EA26E07" w14:textId="77777777" w:rsidR="003C66EB" w:rsidRDefault="003C66EB">
            <w:pPr>
              <w:rPr>
                <w:rFonts w:ascii="宋体"/>
                <w:vanish/>
              </w:rPr>
            </w:pPr>
          </w:p>
        </w:tc>
        <w:tc>
          <w:tcPr>
            <w:tcW w:w="0" w:type="auto"/>
            <w:gridSpan w:val="3"/>
            <w:shd w:val="clear" w:color="auto" w:fill="auto"/>
          </w:tcPr>
          <w:p w14:paraId="5EA26E08" w14:textId="77777777" w:rsidR="003C66EB" w:rsidRDefault="003C66EB">
            <w:pPr>
              <w:rPr>
                <w:rFonts w:ascii="宋体"/>
                <w:vanish/>
              </w:rPr>
            </w:pPr>
          </w:p>
        </w:tc>
        <w:tc>
          <w:tcPr>
            <w:tcW w:w="0" w:type="auto"/>
            <w:gridSpan w:val="3"/>
            <w:shd w:val="clear" w:color="auto" w:fill="auto"/>
          </w:tcPr>
          <w:p w14:paraId="5EA26E09" w14:textId="77777777" w:rsidR="003C66EB" w:rsidRDefault="003C66EB">
            <w:pPr>
              <w:rPr>
                <w:rFonts w:ascii="宋体"/>
                <w:vanish/>
              </w:rPr>
            </w:pPr>
          </w:p>
        </w:tc>
      </w:tr>
      <w:tr w:rsidR="003C66EB" w14:paraId="5EA26E11" w14:textId="77777777">
        <w:trPr>
          <w:hidden/>
        </w:trPr>
        <w:tc>
          <w:tcPr>
            <w:tcW w:w="0" w:type="auto"/>
            <w:gridSpan w:val="3"/>
            <w:shd w:val="clear" w:color="auto" w:fill="auto"/>
          </w:tcPr>
          <w:p w14:paraId="5EA26E0B" w14:textId="77777777" w:rsidR="003C66EB" w:rsidRDefault="003C66EB">
            <w:pPr>
              <w:rPr>
                <w:rFonts w:ascii="宋体"/>
                <w:vanish/>
              </w:rPr>
            </w:pPr>
          </w:p>
        </w:tc>
        <w:tc>
          <w:tcPr>
            <w:tcW w:w="0" w:type="auto"/>
            <w:gridSpan w:val="3"/>
            <w:shd w:val="clear" w:color="auto" w:fill="auto"/>
          </w:tcPr>
          <w:p w14:paraId="5EA26E0C" w14:textId="77777777" w:rsidR="003C66EB" w:rsidRDefault="003C66EB">
            <w:pPr>
              <w:rPr>
                <w:rFonts w:ascii="宋体"/>
                <w:vanish/>
              </w:rPr>
            </w:pPr>
          </w:p>
        </w:tc>
        <w:tc>
          <w:tcPr>
            <w:tcW w:w="0" w:type="auto"/>
            <w:gridSpan w:val="3"/>
            <w:shd w:val="clear" w:color="auto" w:fill="auto"/>
          </w:tcPr>
          <w:p w14:paraId="5EA26E0D" w14:textId="77777777" w:rsidR="003C66EB" w:rsidRDefault="003C66EB">
            <w:pPr>
              <w:rPr>
                <w:rFonts w:ascii="宋体"/>
                <w:vanish/>
              </w:rPr>
            </w:pPr>
          </w:p>
        </w:tc>
        <w:tc>
          <w:tcPr>
            <w:tcW w:w="0" w:type="auto"/>
            <w:gridSpan w:val="3"/>
            <w:shd w:val="clear" w:color="auto" w:fill="auto"/>
          </w:tcPr>
          <w:p w14:paraId="5EA26E0E" w14:textId="77777777" w:rsidR="003C66EB" w:rsidRDefault="003C66EB">
            <w:pPr>
              <w:rPr>
                <w:rFonts w:ascii="宋体"/>
                <w:vanish/>
              </w:rPr>
            </w:pPr>
          </w:p>
        </w:tc>
        <w:tc>
          <w:tcPr>
            <w:tcW w:w="0" w:type="auto"/>
            <w:gridSpan w:val="3"/>
            <w:shd w:val="clear" w:color="auto" w:fill="auto"/>
          </w:tcPr>
          <w:p w14:paraId="5EA26E0F" w14:textId="77777777" w:rsidR="003C66EB" w:rsidRDefault="003C66EB">
            <w:pPr>
              <w:rPr>
                <w:rFonts w:ascii="宋体"/>
                <w:vanish/>
              </w:rPr>
            </w:pPr>
          </w:p>
        </w:tc>
        <w:tc>
          <w:tcPr>
            <w:tcW w:w="0" w:type="auto"/>
            <w:gridSpan w:val="3"/>
            <w:shd w:val="clear" w:color="auto" w:fill="auto"/>
          </w:tcPr>
          <w:p w14:paraId="5EA26E10" w14:textId="77777777" w:rsidR="003C66EB" w:rsidRDefault="003C66EB">
            <w:pPr>
              <w:rPr>
                <w:rFonts w:ascii="宋体"/>
                <w:vanish/>
              </w:rPr>
            </w:pPr>
          </w:p>
        </w:tc>
      </w:tr>
      <w:tr w:rsidR="003C66EB" w14:paraId="5EA26E18" w14:textId="77777777">
        <w:trPr>
          <w:hidden/>
        </w:trPr>
        <w:tc>
          <w:tcPr>
            <w:tcW w:w="0" w:type="auto"/>
            <w:gridSpan w:val="3"/>
            <w:shd w:val="clear" w:color="auto" w:fill="auto"/>
          </w:tcPr>
          <w:p w14:paraId="5EA26E12" w14:textId="77777777" w:rsidR="003C66EB" w:rsidRDefault="003C66EB">
            <w:pPr>
              <w:rPr>
                <w:rFonts w:ascii="宋体"/>
                <w:vanish/>
              </w:rPr>
            </w:pPr>
          </w:p>
        </w:tc>
        <w:tc>
          <w:tcPr>
            <w:tcW w:w="0" w:type="auto"/>
            <w:gridSpan w:val="3"/>
            <w:shd w:val="clear" w:color="auto" w:fill="auto"/>
          </w:tcPr>
          <w:p w14:paraId="5EA26E13" w14:textId="77777777" w:rsidR="003C66EB" w:rsidRDefault="003C66EB">
            <w:pPr>
              <w:rPr>
                <w:rFonts w:ascii="宋体"/>
                <w:vanish/>
              </w:rPr>
            </w:pPr>
          </w:p>
        </w:tc>
        <w:tc>
          <w:tcPr>
            <w:tcW w:w="0" w:type="auto"/>
            <w:gridSpan w:val="3"/>
            <w:shd w:val="clear" w:color="auto" w:fill="auto"/>
          </w:tcPr>
          <w:p w14:paraId="5EA26E14" w14:textId="77777777" w:rsidR="003C66EB" w:rsidRDefault="003C66EB">
            <w:pPr>
              <w:rPr>
                <w:rFonts w:ascii="宋体"/>
                <w:vanish/>
              </w:rPr>
            </w:pPr>
          </w:p>
        </w:tc>
        <w:tc>
          <w:tcPr>
            <w:tcW w:w="0" w:type="auto"/>
            <w:gridSpan w:val="3"/>
            <w:shd w:val="clear" w:color="auto" w:fill="auto"/>
          </w:tcPr>
          <w:p w14:paraId="5EA26E15" w14:textId="77777777" w:rsidR="003C66EB" w:rsidRDefault="003C66EB">
            <w:pPr>
              <w:rPr>
                <w:rFonts w:ascii="宋体"/>
                <w:vanish/>
              </w:rPr>
            </w:pPr>
          </w:p>
        </w:tc>
        <w:tc>
          <w:tcPr>
            <w:tcW w:w="0" w:type="auto"/>
            <w:gridSpan w:val="3"/>
            <w:shd w:val="clear" w:color="auto" w:fill="auto"/>
          </w:tcPr>
          <w:p w14:paraId="5EA26E16" w14:textId="77777777" w:rsidR="003C66EB" w:rsidRDefault="003C66EB">
            <w:pPr>
              <w:rPr>
                <w:rFonts w:ascii="宋体"/>
                <w:vanish/>
              </w:rPr>
            </w:pPr>
          </w:p>
        </w:tc>
        <w:tc>
          <w:tcPr>
            <w:tcW w:w="0" w:type="auto"/>
            <w:gridSpan w:val="3"/>
            <w:shd w:val="clear" w:color="auto" w:fill="auto"/>
          </w:tcPr>
          <w:p w14:paraId="5EA26E17" w14:textId="77777777" w:rsidR="003C66EB" w:rsidRDefault="003C66EB">
            <w:pPr>
              <w:rPr>
                <w:rFonts w:ascii="宋体"/>
                <w:vanish/>
              </w:rPr>
            </w:pPr>
          </w:p>
        </w:tc>
      </w:tr>
      <w:tr w:rsidR="003C66EB" w14:paraId="5EA26E1F" w14:textId="77777777">
        <w:trPr>
          <w:hidden/>
        </w:trPr>
        <w:tc>
          <w:tcPr>
            <w:tcW w:w="0" w:type="auto"/>
            <w:gridSpan w:val="3"/>
            <w:shd w:val="clear" w:color="auto" w:fill="auto"/>
          </w:tcPr>
          <w:p w14:paraId="5EA26E19" w14:textId="77777777" w:rsidR="003C66EB" w:rsidRDefault="003C66EB">
            <w:pPr>
              <w:rPr>
                <w:rFonts w:ascii="宋体"/>
                <w:vanish/>
              </w:rPr>
            </w:pPr>
          </w:p>
        </w:tc>
        <w:tc>
          <w:tcPr>
            <w:tcW w:w="0" w:type="auto"/>
            <w:gridSpan w:val="3"/>
            <w:shd w:val="clear" w:color="auto" w:fill="auto"/>
          </w:tcPr>
          <w:p w14:paraId="5EA26E1A" w14:textId="77777777" w:rsidR="003C66EB" w:rsidRDefault="003C66EB">
            <w:pPr>
              <w:rPr>
                <w:rFonts w:ascii="宋体"/>
                <w:vanish/>
              </w:rPr>
            </w:pPr>
          </w:p>
        </w:tc>
        <w:tc>
          <w:tcPr>
            <w:tcW w:w="0" w:type="auto"/>
            <w:gridSpan w:val="3"/>
            <w:shd w:val="clear" w:color="auto" w:fill="auto"/>
          </w:tcPr>
          <w:p w14:paraId="5EA26E1B" w14:textId="77777777" w:rsidR="003C66EB" w:rsidRDefault="003C66EB">
            <w:pPr>
              <w:rPr>
                <w:rFonts w:ascii="宋体"/>
                <w:vanish/>
              </w:rPr>
            </w:pPr>
          </w:p>
        </w:tc>
        <w:tc>
          <w:tcPr>
            <w:tcW w:w="0" w:type="auto"/>
            <w:gridSpan w:val="3"/>
            <w:shd w:val="clear" w:color="auto" w:fill="auto"/>
          </w:tcPr>
          <w:p w14:paraId="5EA26E1C" w14:textId="77777777" w:rsidR="003C66EB" w:rsidRDefault="003C66EB">
            <w:pPr>
              <w:rPr>
                <w:rFonts w:ascii="宋体"/>
                <w:vanish/>
              </w:rPr>
            </w:pPr>
          </w:p>
        </w:tc>
        <w:tc>
          <w:tcPr>
            <w:tcW w:w="0" w:type="auto"/>
            <w:gridSpan w:val="3"/>
            <w:shd w:val="clear" w:color="auto" w:fill="auto"/>
          </w:tcPr>
          <w:p w14:paraId="5EA26E1D" w14:textId="77777777" w:rsidR="003C66EB" w:rsidRDefault="003C66EB">
            <w:pPr>
              <w:rPr>
                <w:rFonts w:ascii="宋体"/>
                <w:vanish/>
              </w:rPr>
            </w:pPr>
          </w:p>
        </w:tc>
        <w:tc>
          <w:tcPr>
            <w:tcW w:w="0" w:type="auto"/>
            <w:gridSpan w:val="3"/>
            <w:shd w:val="clear" w:color="auto" w:fill="auto"/>
          </w:tcPr>
          <w:p w14:paraId="5EA26E1E" w14:textId="77777777" w:rsidR="003C66EB" w:rsidRDefault="003C66EB">
            <w:pPr>
              <w:rPr>
                <w:rFonts w:ascii="宋体"/>
                <w:vanish/>
              </w:rPr>
            </w:pPr>
          </w:p>
        </w:tc>
      </w:tr>
      <w:tr w:rsidR="003C66EB" w14:paraId="5EA26E26" w14:textId="77777777">
        <w:trPr>
          <w:hidden/>
        </w:trPr>
        <w:tc>
          <w:tcPr>
            <w:tcW w:w="0" w:type="auto"/>
            <w:gridSpan w:val="3"/>
            <w:shd w:val="clear" w:color="auto" w:fill="auto"/>
          </w:tcPr>
          <w:p w14:paraId="5EA26E20" w14:textId="77777777" w:rsidR="003C66EB" w:rsidRDefault="003C66EB">
            <w:pPr>
              <w:rPr>
                <w:rFonts w:ascii="宋体"/>
                <w:vanish/>
              </w:rPr>
            </w:pPr>
          </w:p>
        </w:tc>
        <w:tc>
          <w:tcPr>
            <w:tcW w:w="0" w:type="auto"/>
            <w:gridSpan w:val="3"/>
            <w:shd w:val="clear" w:color="auto" w:fill="auto"/>
          </w:tcPr>
          <w:p w14:paraId="5EA26E21" w14:textId="77777777" w:rsidR="003C66EB" w:rsidRDefault="003C66EB">
            <w:pPr>
              <w:rPr>
                <w:rFonts w:ascii="宋体"/>
                <w:vanish/>
              </w:rPr>
            </w:pPr>
          </w:p>
        </w:tc>
        <w:tc>
          <w:tcPr>
            <w:tcW w:w="0" w:type="auto"/>
            <w:gridSpan w:val="3"/>
            <w:shd w:val="clear" w:color="auto" w:fill="auto"/>
          </w:tcPr>
          <w:p w14:paraId="5EA26E22" w14:textId="77777777" w:rsidR="003C66EB" w:rsidRDefault="003C66EB">
            <w:pPr>
              <w:rPr>
                <w:rFonts w:ascii="宋体"/>
                <w:vanish/>
              </w:rPr>
            </w:pPr>
          </w:p>
        </w:tc>
        <w:tc>
          <w:tcPr>
            <w:tcW w:w="0" w:type="auto"/>
            <w:gridSpan w:val="3"/>
            <w:shd w:val="clear" w:color="auto" w:fill="auto"/>
          </w:tcPr>
          <w:p w14:paraId="5EA26E23" w14:textId="77777777" w:rsidR="003C66EB" w:rsidRDefault="003C66EB">
            <w:pPr>
              <w:rPr>
                <w:rFonts w:ascii="宋体"/>
                <w:vanish/>
              </w:rPr>
            </w:pPr>
          </w:p>
        </w:tc>
        <w:tc>
          <w:tcPr>
            <w:tcW w:w="0" w:type="auto"/>
            <w:gridSpan w:val="3"/>
            <w:shd w:val="clear" w:color="auto" w:fill="auto"/>
          </w:tcPr>
          <w:p w14:paraId="5EA26E24" w14:textId="77777777" w:rsidR="003C66EB" w:rsidRDefault="003C66EB">
            <w:pPr>
              <w:rPr>
                <w:rFonts w:ascii="宋体"/>
                <w:vanish/>
              </w:rPr>
            </w:pPr>
          </w:p>
        </w:tc>
        <w:tc>
          <w:tcPr>
            <w:tcW w:w="0" w:type="auto"/>
            <w:gridSpan w:val="3"/>
            <w:shd w:val="clear" w:color="auto" w:fill="auto"/>
          </w:tcPr>
          <w:p w14:paraId="5EA26E25" w14:textId="77777777" w:rsidR="003C66EB" w:rsidRDefault="003C66EB">
            <w:pPr>
              <w:rPr>
                <w:rFonts w:ascii="宋体"/>
                <w:vanish/>
              </w:rPr>
            </w:pPr>
          </w:p>
        </w:tc>
      </w:tr>
      <w:tr w:rsidR="003C66EB" w14:paraId="5EA26E2D" w14:textId="77777777">
        <w:trPr>
          <w:hidden/>
        </w:trPr>
        <w:tc>
          <w:tcPr>
            <w:tcW w:w="0" w:type="auto"/>
            <w:gridSpan w:val="3"/>
            <w:shd w:val="clear" w:color="auto" w:fill="auto"/>
          </w:tcPr>
          <w:p w14:paraId="5EA26E27" w14:textId="77777777" w:rsidR="003C66EB" w:rsidRDefault="003C66EB">
            <w:pPr>
              <w:rPr>
                <w:rFonts w:ascii="宋体"/>
                <w:vanish/>
              </w:rPr>
            </w:pPr>
          </w:p>
        </w:tc>
        <w:tc>
          <w:tcPr>
            <w:tcW w:w="0" w:type="auto"/>
            <w:gridSpan w:val="3"/>
            <w:shd w:val="clear" w:color="auto" w:fill="auto"/>
          </w:tcPr>
          <w:p w14:paraId="5EA26E28" w14:textId="77777777" w:rsidR="003C66EB" w:rsidRDefault="003C66EB">
            <w:pPr>
              <w:rPr>
                <w:rFonts w:ascii="宋体"/>
                <w:vanish/>
              </w:rPr>
            </w:pPr>
          </w:p>
        </w:tc>
        <w:tc>
          <w:tcPr>
            <w:tcW w:w="0" w:type="auto"/>
            <w:gridSpan w:val="3"/>
            <w:shd w:val="clear" w:color="auto" w:fill="auto"/>
          </w:tcPr>
          <w:p w14:paraId="5EA26E29" w14:textId="77777777" w:rsidR="003C66EB" w:rsidRDefault="003C66EB">
            <w:pPr>
              <w:rPr>
                <w:rFonts w:ascii="宋体"/>
                <w:vanish/>
              </w:rPr>
            </w:pPr>
          </w:p>
        </w:tc>
        <w:tc>
          <w:tcPr>
            <w:tcW w:w="0" w:type="auto"/>
            <w:gridSpan w:val="3"/>
            <w:shd w:val="clear" w:color="auto" w:fill="auto"/>
          </w:tcPr>
          <w:p w14:paraId="5EA26E2A" w14:textId="77777777" w:rsidR="003C66EB" w:rsidRDefault="003C66EB">
            <w:pPr>
              <w:rPr>
                <w:rFonts w:ascii="宋体"/>
                <w:vanish/>
              </w:rPr>
            </w:pPr>
          </w:p>
        </w:tc>
        <w:tc>
          <w:tcPr>
            <w:tcW w:w="0" w:type="auto"/>
            <w:gridSpan w:val="3"/>
            <w:shd w:val="clear" w:color="auto" w:fill="auto"/>
          </w:tcPr>
          <w:p w14:paraId="5EA26E2B" w14:textId="77777777" w:rsidR="003C66EB" w:rsidRDefault="003C66EB">
            <w:pPr>
              <w:rPr>
                <w:rFonts w:ascii="宋体"/>
                <w:vanish/>
              </w:rPr>
            </w:pPr>
          </w:p>
        </w:tc>
        <w:tc>
          <w:tcPr>
            <w:tcW w:w="0" w:type="auto"/>
            <w:gridSpan w:val="3"/>
            <w:shd w:val="clear" w:color="auto" w:fill="auto"/>
          </w:tcPr>
          <w:p w14:paraId="5EA26E2C" w14:textId="77777777" w:rsidR="003C66EB" w:rsidRDefault="003C66EB">
            <w:pPr>
              <w:rPr>
                <w:rFonts w:ascii="宋体"/>
                <w:vanish/>
              </w:rPr>
            </w:pPr>
          </w:p>
        </w:tc>
      </w:tr>
      <w:tr w:rsidR="003C66EB" w14:paraId="5EA26E34" w14:textId="77777777">
        <w:trPr>
          <w:hidden/>
        </w:trPr>
        <w:tc>
          <w:tcPr>
            <w:tcW w:w="0" w:type="auto"/>
            <w:gridSpan w:val="3"/>
            <w:shd w:val="clear" w:color="auto" w:fill="auto"/>
          </w:tcPr>
          <w:p w14:paraId="5EA26E2E" w14:textId="77777777" w:rsidR="003C66EB" w:rsidRDefault="003C66EB">
            <w:pPr>
              <w:rPr>
                <w:rFonts w:ascii="宋体"/>
                <w:vanish/>
              </w:rPr>
            </w:pPr>
          </w:p>
        </w:tc>
        <w:tc>
          <w:tcPr>
            <w:tcW w:w="0" w:type="auto"/>
            <w:gridSpan w:val="3"/>
            <w:shd w:val="clear" w:color="auto" w:fill="auto"/>
          </w:tcPr>
          <w:p w14:paraId="5EA26E2F" w14:textId="77777777" w:rsidR="003C66EB" w:rsidRDefault="003C66EB">
            <w:pPr>
              <w:rPr>
                <w:rFonts w:ascii="宋体"/>
                <w:vanish/>
              </w:rPr>
            </w:pPr>
          </w:p>
        </w:tc>
        <w:tc>
          <w:tcPr>
            <w:tcW w:w="0" w:type="auto"/>
            <w:gridSpan w:val="3"/>
            <w:shd w:val="clear" w:color="auto" w:fill="auto"/>
          </w:tcPr>
          <w:p w14:paraId="5EA26E30" w14:textId="77777777" w:rsidR="003C66EB" w:rsidRDefault="003C66EB">
            <w:pPr>
              <w:rPr>
                <w:rFonts w:ascii="宋体"/>
                <w:vanish/>
              </w:rPr>
            </w:pPr>
          </w:p>
        </w:tc>
        <w:tc>
          <w:tcPr>
            <w:tcW w:w="0" w:type="auto"/>
            <w:gridSpan w:val="3"/>
            <w:shd w:val="clear" w:color="auto" w:fill="auto"/>
          </w:tcPr>
          <w:p w14:paraId="5EA26E31" w14:textId="77777777" w:rsidR="003C66EB" w:rsidRDefault="003C66EB">
            <w:pPr>
              <w:rPr>
                <w:rFonts w:ascii="宋体"/>
                <w:vanish/>
              </w:rPr>
            </w:pPr>
          </w:p>
        </w:tc>
        <w:tc>
          <w:tcPr>
            <w:tcW w:w="0" w:type="auto"/>
            <w:gridSpan w:val="3"/>
            <w:shd w:val="clear" w:color="auto" w:fill="auto"/>
          </w:tcPr>
          <w:p w14:paraId="5EA26E32" w14:textId="77777777" w:rsidR="003C66EB" w:rsidRDefault="003C66EB">
            <w:pPr>
              <w:rPr>
                <w:rFonts w:ascii="宋体"/>
                <w:vanish/>
              </w:rPr>
            </w:pPr>
          </w:p>
        </w:tc>
        <w:tc>
          <w:tcPr>
            <w:tcW w:w="0" w:type="auto"/>
            <w:gridSpan w:val="3"/>
            <w:shd w:val="clear" w:color="auto" w:fill="auto"/>
          </w:tcPr>
          <w:p w14:paraId="5EA26E33" w14:textId="77777777" w:rsidR="003C66EB" w:rsidRDefault="003C66EB">
            <w:pPr>
              <w:rPr>
                <w:rFonts w:ascii="宋体"/>
                <w:vanish/>
              </w:rPr>
            </w:pPr>
          </w:p>
        </w:tc>
      </w:tr>
      <w:tr w:rsidR="003C66EB" w14:paraId="5EA26E3B" w14:textId="77777777">
        <w:trPr>
          <w:hidden/>
        </w:trPr>
        <w:tc>
          <w:tcPr>
            <w:tcW w:w="0" w:type="auto"/>
            <w:gridSpan w:val="3"/>
            <w:shd w:val="clear" w:color="auto" w:fill="auto"/>
          </w:tcPr>
          <w:p w14:paraId="5EA26E35" w14:textId="77777777" w:rsidR="003C66EB" w:rsidRDefault="003C66EB">
            <w:pPr>
              <w:rPr>
                <w:rFonts w:ascii="宋体"/>
                <w:vanish/>
              </w:rPr>
            </w:pPr>
          </w:p>
        </w:tc>
        <w:tc>
          <w:tcPr>
            <w:tcW w:w="0" w:type="auto"/>
            <w:gridSpan w:val="3"/>
            <w:shd w:val="clear" w:color="auto" w:fill="auto"/>
          </w:tcPr>
          <w:p w14:paraId="5EA26E36" w14:textId="77777777" w:rsidR="003C66EB" w:rsidRDefault="003C66EB">
            <w:pPr>
              <w:rPr>
                <w:rFonts w:ascii="宋体"/>
                <w:vanish/>
              </w:rPr>
            </w:pPr>
          </w:p>
        </w:tc>
        <w:tc>
          <w:tcPr>
            <w:tcW w:w="0" w:type="auto"/>
            <w:gridSpan w:val="3"/>
            <w:shd w:val="clear" w:color="auto" w:fill="auto"/>
          </w:tcPr>
          <w:p w14:paraId="5EA26E37" w14:textId="77777777" w:rsidR="003C66EB" w:rsidRDefault="003C66EB">
            <w:pPr>
              <w:rPr>
                <w:rFonts w:ascii="宋体"/>
                <w:vanish/>
              </w:rPr>
            </w:pPr>
          </w:p>
        </w:tc>
        <w:tc>
          <w:tcPr>
            <w:tcW w:w="0" w:type="auto"/>
            <w:gridSpan w:val="3"/>
            <w:shd w:val="clear" w:color="auto" w:fill="auto"/>
          </w:tcPr>
          <w:p w14:paraId="5EA26E38" w14:textId="77777777" w:rsidR="003C66EB" w:rsidRDefault="003C66EB">
            <w:pPr>
              <w:rPr>
                <w:rFonts w:ascii="宋体"/>
                <w:vanish/>
              </w:rPr>
            </w:pPr>
          </w:p>
        </w:tc>
        <w:tc>
          <w:tcPr>
            <w:tcW w:w="0" w:type="auto"/>
            <w:gridSpan w:val="3"/>
            <w:shd w:val="clear" w:color="auto" w:fill="auto"/>
          </w:tcPr>
          <w:p w14:paraId="5EA26E39" w14:textId="77777777" w:rsidR="003C66EB" w:rsidRDefault="003C66EB">
            <w:pPr>
              <w:rPr>
                <w:rFonts w:ascii="宋体"/>
                <w:vanish/>
              </w:rPr>
            </w:pPr>
          </w:p>
        </w:tc>
        <w:tc>
          <w:tcPr>
            <w:tcW w:w="0" w:type="auto"/>
            <w:gridSpan w:val="3"/>
            <w:shd w:val="clear" w:color="auto" w:fill="auto"/>
          </w:tcPr>
          <w:p w14:paraId="5EA26E3A" w14:textId="77777777" w:rsidR="003C66EB" w:rsidRDefault="003C66EB">
            <w:pPr>
              <w:rPr>
                <w:rFonts w:ascii="宋体"/>
                <w:vanish/>
              </w:rPr>
            </w:pPr>
          </w:p>
        </w:tc>
      </w:tr>
      <w:tr w:rsidR="003C66EB" w14:paraId="5EA26E40" w14:textId="77777777">
        <w:tc>
          <w:tcPr>
            <w:tcW w:w="0" w:type="auto"/>
            <w:gridSpan w:val="3"/>
            <w:shd w:val="clear" w:color="auto" w:fill="auto"/>
            <w:tcMar>
              <w:top w:w="0" w:type="dxa"/>
              <w:left w:w="20" w:type="dxa"/>
              <w:bottom w:w="0" w:type="dxa"/>
              <w:right w:w="20" w:type="dxa"/>
            </w:tcMar>
          </w:tcPr>
          <w:p w14:paraId="5EA26E3C"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6E3D"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Mar>
              <w:top w:w="0" w:type="dxa"/>
              <w:left w:w="20" w:type="dxa"/>
              <w:bottom w:w="0" w:type="dxa"/>
              <w:right w:w="20" w:type="dxa"/>
            </w:tcMar>
          </w:tcPr>
          <w:p w14:paraId="5EA26E3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E3F" w14:textId="77777777" w:rsidR="003C66EB" w:rsidRDefault="003C66EB">
            <w:pPr>
              <w:rPr>
                <w:rFonts w:ascii="宋体"/>
              </w:rPr>
            </w:pPr>
          </w:p>
        </w:tc>
      </w:tr>
      <w:tr w:rsidR="003C66EB" w14:paraId="5EA26E47" w14:textId="77777777">
        <w:tc>
          <w:tcPr>
            <w:tcW w:w="0" w:type="auto"/>
            <w:gridSpan w:val="3"/>
            <w:shd w:val="clear" w:color="auto" w:fill="auto"/>
            <w:tcMar>
              <w:top w:w="0" w:type="dxa"/>
              <w:left w:w="20" w:type="dxa"/>
              <w:bottom w:w="0" w:type="dxa"/>
              <w:right w:w="20" w:type="dxa"/>
            </w:tcMar>
          </w:tcPr>
          <w:p w14:paraId="5EA26E4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E42"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6E43" w14:textId="77777777" w:rsidR="003C66EB" w:rsidRDefault="003C66E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A26E44"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5EA26E4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E46" w14:textId="77777777" w:rsidR="003C66EB" w:rsidRDefault="003C66EB">
            <w:pPr>
              <w:rPr>
                <w:rFonts w:ascii="宋体"/>
              </w:rPr>
            </w:pPr>
          </w:p>
        </w:tc>
      </w:tr>
      <w:tr w:rsidR="003C66EB" w14:paraId="5EA26E4C" w14:textId="77777777">
        <w:tc>
          <w:tcPr>
            <w:tcW w:w="0" w:type="auto"/>
            <w:gridSpan w:val="3"/>
            <w:shd w:val="clear" w:color="auto" w:fill="auto"/>
            <w:tcMar>
              <w:top w:w="40" w:type="dxa"/>
              <w:left w:w="20" w:type="dxa"/>
              <w:bottom w:w="40" w:type="dxa"/>
              <w:right w:w="20" w:type="dxa"/>
            </w:tcMar>
            <w:vAlign w:val="bottom"/>
          </w:tcPr>
          <w:p w14:paraId="5EA26E48" w14:textId="77777777" w:rsidR="003C66EB" w:rsidRDefault="00D96C4E">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6E49" w14:textId="77777777" w:rsidR="003C66EB" w:rsidRDefault="00D96C4E">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 xml:space="preserve">(out of) </w:t>
            </w: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tcPr>
          <w:p w14:paraId="5EA26E4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6E4B" w14:textId="77777777" w:rsidR="003C66EB" w:rsidRDefault="00D96C4E">
            <w:pPr>
              <w:jc w:val="center"/>
              <w:textAlignment w:val="bottom"/>
            </w:pPr>
            <w:r>
              <w:rPr>
                <w:rFonts w:ascii="Arial" w:eastAsia="宋体" w:hAnsi="Arial" w:cs="Arial"/>
                <w:b/>
                <w:bCs/>
                <w:color w:val="000000"/>
                <w:sz w:val="14"/>
                <w:szCs w:val="14"/>
              </w:rPr>
              <w:t>Affected Line Item in Consolidated Statement of Income</w:t>
            </w:r>
          </w:p>
        </w:tc>
      </w:tr>
      <w:tr w:rsidR="003C66EB" w14:paraId="5EA26E53" w14:textId="77777777">
        <w:trPr>
          <w:hidden/>
        </w:trPr>
        <w:tc>
          <w:tcPr>
            <w:tcW w:w="0" w:type="auto"/>
            <w:gridSpan w:val="3"/>
            <w:shd w:val="clear" w:color="auto" w:fill="auto"/>
          </w:tcPr>
          <w:p w14:paraId="5EA26E4D" w14:textId="77777777" w:rsidR="003C66EB" w:rsidRDefault="003C66EB">
            <w:pPr>
              <w:rPr>
                <w:rFonts w:ascii="宋体"/>
                <w:vanish/>
              </w:rPr>
            </w:pPr>
          </w:p>
        </w:tc>
        <w:tc>
          <w:tcPr>
            <w:tcW w:w="0" w:type="auto"/>
            <w:gridSpan w:val="3"/>
            <w:shd w:val="clear" w:color="auto" w:fill="auto"/>
          </w:tcPr>
          <w:p w14:paraId="5EA26E4E" w14:textId="77777777" w:rsidR="003C66EB" w:rsidRDefault="003C66EB">
            <w:pPr>
              <w:rPr>
                <w:rFonts w:ascii="宋体"/>
                <w:vanish/>
              </w:rPr>
            </w:pPr>
          </w:p>
        </w:tc>
        <w:tc>
          <w:tcPr>
            <w:tcW w:w="0" w:type="auto"/>
            <w:gridSpan w:val="3"/>
            <w:shd w:val="clear" w:color="auto" w:fill="auto"/>
          </w:tcPr>
          <w:p w14:paraId="5EA26E4F" w14:textId="77777777" w:rsidR="003C66EB" w:rsidRDefault="003C66EB">
            <w:pPr>
              <w:rPr>
                <w:rFonts w:ascii="宋体"/>
                <w:vanish/>
              </w:rPr>
            </w:pPr>
          </w:p>
        </w:tc>
        <w:tc>
          <w:tcPr>
            <w:tcW w:w="0" w:type="auto"/>
            <w:gridSpan w:val="3"/>
            <w:shd w:val="clear" w:color="auto" w:fill="auto"/>
          </w:tcPr>
          <w:p w14:paraId="5EA26E50" w14:textId="77777777" w:rsidR="003C66EB" w:rsidRDefault="003C66EB">
            <w:pPr>
              <w:rPr>
                <w:rFonts w:ascii="宋体"/>
                <w:vanish/>
              </w:rPr>
            </w:pPr>
          </w:p>
        </w:tc>
        <w:tc>
          <w:tcPr>
            <w:tcW w:w="0" w:type="auto"/>
            <w:gridSpan w:val="3"/>
            <w:shd w:val="clear" w:color="auto" w:fill="auto"/>
          </w:tcPr>
          <w:p w14:paraId="5EA26E51" w14:textId="77777777" w:rsidR="003C66EB" w:rsidRDefault="003C66EB">
            <w:pPr>
              <w:rPr>
                <w:rFonts w:ascii="宋体"/>
                <w:vanish/>
              </w:rPr>
            </w:pPr>
          </w:p>
        </w:tc>
        <w:tc>
          <w:tcPr>
            <w:tcW w:w="0" w:type="auto"/>
            <w:gridSpan w:val="3"/>
            <w:shd w:val="clear" w:color="auto" w:fill="auto"/>
          </w:tcPr>
          <w:p w14:paraId="5EA26E52" w14:textId="77777777" w:rsidR="003C66EB" w:rsidRDefault="003C66EB">
            <w:pPr>
              <w:rPr>
                <w:rFonts w:ascii="宋体"/>
                <w:vanish/>
              </w:rPr>
            </w:pPr>
          </w:p>
        </w:tc>
      </w:tr>
      <w:tr w:rsidR="003C66EB" w14:paraId="5EA26E5A" w14:textId="77777777">
        <w:trPr>
          <w:hidden/>
        </w:trPr>
        <w:tc>
          <w:tcPr>
            <w:tcW w:w="0" w:type="auto"/>
            <w:gridSpan w:val="3"/>
            <w:shd w:val="clear" w:color="auto" w:fill="auto"/>
          </w:tcPr>
          <w:p w14:paraId="5EA26E54" w14:textId="77777777" w:rsidR="003C66EB" w:rsidRDefault="003C66EB">
            <w:pPr>
              <w:rPr>
                <w:rFonts w:ascii="宋体"/>
                <w:vanish/>
              </w:rPr>
            </w:pPr>
          </w:p>
        </w:tc>
        <w:tc>
          <w:tcPr>
            <w:tcW w:w="0" w:type="auto"/>
            <w:gridSpan w:val="3"/>
            <w:shd w:val="clear" w:color="auto" w:fill="auto"/>
          </w:tcPr>
          <w:p w14:paraId="5EA26E55" w14:textId="77777777" w:rsidR="003C66EB" w:rsidRDefault="003C66EB">
            <w:pPr>
              <w:rPr>
                <w:rFonts w:ascii="宋体"/>
                <w:vanish/>
              </w:rPr>
            </w:pPr>
          </w:p>
        </w:tc>
        <w:tc>
          <w:tcPr>
            <w:tcW w:w="0" w:type="auto"/>
            <w:gridSpan w:val="3"/>
            <w:shd w:val="clear" w:color="auto" w:fill="auto"/>
          </w:tcPr>
          <w:p w14:paraId="5EA26E56" w14:textId="77777777" w:rsidR="003C66EB" w:rsidRDefault="003C66EB">
            <w:pPr>
              <w:rPr>
                <w:rFonts w:ascii="宋体"/>
                <w:vanish/>
              </w:rPr>
            </w:pPr>
          </w:p>
        </w:tc>
        <w:tc>
          <w:tcPr>
            <w:tcW w:w="0" w:type="auto"/>
            <w:gridSpan w:val="3"/>
            <w:shd w:val="clear" w:color="auto" w:fill="auto"/>
          </w:tcPr>
          <w:p w14:paraId="5EA26E57" w14:textId="77777777" w:rsidR="003C66EB" w:rsidRDefault="003C66EB">
            <w:pPr>
              <w:rPr>
                <w:rFonts w:ascii="宋体"/>
                <w:vanish/>
              </w:rPr>
            </w:pPr>
          </w:p>
        </w:tc>
        <w:tc>
          <w:tcPr>
            <w:tcW w:w="0" w:type="auto"/>
            <w:gridSpan w:val="3"/>
            <w:shd w:val="clear" w:color="auto" w:fill="auto"/>
          </w:tcPr>
          <w:p w14:paraId="5EA26E58" w14:textId="77777777" w:rsidR="003C66EB" w:rsidRDefault="003C66EB">
            <w:pPr>
              <w:rPr>
                <w:rFonts w:ascii="宋体"/>
                <w:vanish/>
              </w:rPr>
            </w:pPr>
          </w:p>
        </w:tc>
        <w:tc>
          <w:tcPr>
            <w:tcW w:w="0" w:type="auto"/>
            <w:gridSpan w:val="3"/>
            <w:shd w:val="clear" w:color="auto" w:fill="auto"/>
          </w:tcPr>
          <w:p w14:paraId="5EA26E59" w14:textId="77777777" w:rsidR="003C66EB" w:rsidRDefault="003C66EB">
            <w:pPr>
              <w:rPr>
                <w:rFonts w:ascii="宋体"/>
                <w:vanish/>
              </w:rPr>
            </w:pPr>
          </w:p>
        </w:tc>
      </w:tr>
      <w:tr w:rsidR="003C66EB" w14:paraId="5EA26E61" w14:textId="77777777">
        <w:trPr>
          <w:hidden/>
        </w:trPr>
        <w:tc>
          <w:tcPr>
            <w:tcW w:w="0" w:type="auto"/>
            <w:gridSpan w:val="3"/>
            <w:shd w:val="clear" w:color="auto" w:fill="auto"/>
          </w:tcPr>
          <w:p w14:paraId="5EA26E5B" w14:textId="77777777" w:rsidR="003C66EB" w:rsidRDefault="003C66EB">
            <w:pPr>
              <w:rPr>
                <w:rFonts w:ascii="宋体"/>
                <w:vanish/>
              </w:rPr>
            </w:pPr>
          </w:p>
        </w:tc>
        <w:tc>
          <w:tcPr>
            <w:tcW w:w="0" w:type="auto"/>
            <w:gridSpan w:val="3"/>
            <w:shd w:val="clear" w:color="auto" w:fill="auto"/>
          </w:tcPr>
          <w:p w14:paraId="5EA26E5C" w14:textId="77777777" w:rsidR="003C66EB" w:rsidRDefault="003C66EB">
            <w:pPr>
              <w:rPr>
                <w:rFonts w:ascii="宋体"/>
                <w:vanish/>
              </w:rPr>
            </w:pPr>
          </w:p>
        </w:tc>
        <w:tc>
          <w:tcPr>
            <w:tcW w:w="0" w:type="auto"/>
            <w:gridSpan w:val="3"/>
            <w:shd w:val="clear" w:color="auto" w:fill="auto"/>
          </w:tcPr>
          <w:p w14:paraId="5EA26E5D" w14:textId="77777777" w:rsidR="003C66EB" w:rsidRDefault="003C66EB">
            <w:pPr>
              <w:rPr>
                <w:rFonts w:ascii="宋体"/>
                <w:vanish/>
              </w:rPr>
            </w:pPr>
          </w:p>
        </w:tc>
        <w:tc>
          <w:tcPr>
            <w:tcW w:w="0" w:type="auto"/>
            <w:gridSpan w:val="3"/>
            <w:shd w:val="clear" w:color="auto" w:fill="auto"/>
          </w:tcPr>
          <w:p w14:paraId="5EA26E5E" w14:textId="77777777" w:rsidR="003C66EB" w:rsidRDefault="003C66EB">
            <w:pPr>
              <w:rPr>
                <w:rFonts w:ascii="宋体"/>
                <w:vanish/>
              </w:rPr>
            </w:pPr>
          </w:p>
        </w:tc>
        <w:tc>
          <w:tcPr>
            <w:tcW w:w="0" w:type="auto"/>
            <w:gridSpan w:val="3"/>
            <w:shd w:val="clear" w:color="auto" w:fill="auto"/>
          </w:tcPr>
          <w:p w14:paraId="5EA26E5F" w14:textId="77777777" w:rsidR="003C66EB" w:rsidRDefault="003C66EB">
            <w:pPr>
              <w:rPr>
                <w:rFonts w:ascii="宋体"/>
                <w:vanish/>
              </w:rPr>
            </w:pPr>
          </w:p>
        </w:tc>
        <w:tc>
          <w:tcPr>
            <w:tcW w:w="0" w:type="auto"/>
            <w:gridSpan w:val="3"/>
            <w:shd w:val="clear" w:color="auto" w:fill="auto"/>
          </w:tcPr>
          <w:p w14:paraId="5EA26E60" w14:textId="77777777" w:rsidR="003C66EB" w:rsidRDefault="003C66EB">
            <w:pPr>
              <w:rPr>
                <w:rFonts w:ascii="宋体"/>
                <w:vanish/>
              </w:rPr>
            </w:pPr>
          </w:p>
        </w:tc>
      </w:tr>
      <w:tr w:rsidR="003C66EB" w14:paraId="5EA26E68" w14:textId="77777777">
        <w:tc>
          <w:tcPr>
            <w:tcW w:w="0" w:type="auto"/>
            <w:gridSpan w:val="3"/>
            <w:shd w:val="clear" w:color="auto" w:fill="FFFFFF"/>
            <w:tcMar>
              <w:top w:w="40" w:type="dxa"/>
              <w:left w:w="20" w:type="dxa"/>
              <w:bottom w:w="40" w:type="dxa"/>
              <w:right w:w="20" w:type="dxa"/>
            </w:tcMar>
            <w:vAlign w:val="bottom"/>
          </w:tcPr>
          <w:p w14:paraId="5EA26E62" w14:textId="77777777" w:rsidR="003C66EB" w:rsidRDefault="00D96C4E">
            <w:pPr>
              <w:textAlignment w:val="bottom"/>
            </w:pPr>
            <w:r>
              <w:rPr>
                <w:rFonts w:ascii="Arial" w:eastAsia="宋体" w:hAnsi="Arial" w:cs="Arial"/>
                <w:b/>
                <w:bCs/>
                <w:color w:val="000000"/>
                <w:sz w:val="14"/>
                <w:szCs w:val="14"/>
              </w:rPr>
              <w:t>Available-for-sale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5EA26E63"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6E64"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6E6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66"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6E67" w14:textId="77777777" w:rsidR="003C66EB" w:rsidRDefault="003C66EB">
            <w:pPr>
              <w:rPr>
                <w:rFonts w:ascii="宋体"/>
              </w:rPr>
            </w:pPr>
          </w:p>
        </w:tc>
      </w:tr>
      <w:tr w:rsidR="003C66EB" w14:paraId="5EA26E73" w14:textId="77777777">
        <w:tc>
          <w:tcPr>
            <w:tcW w:w="0" w:type="auto"/>
            <w:gridSpan w:val="3"/>
            <w:shd w:val="clear" w:color="auto" w:fill="CCEEFF"/>
            <w:tcMar>
              <w:top w:w="40" w:type="dxa"/>
              <w:left w:w="20" w:type="dxa"/>
              <w:bottom w:w="40" w:type="dxa"/>
              <w:right w:w="20" w:type="dxa"/>
            </w:tcMar>
            <w:vAlign w:val="bottom"/>
          </w:tcPr>
          <w:p w14:paraId="5EA26E69" w14:textId="77777777" w:rsidR="003C66EB" w:rsidRDefault="00D96C4E">
            <w:pPr>
              <w:textAlignment w:val="bottom"/>
            </w:pPr>
            <w:r>
              <w:rPr>
                <w:rFonts w:ascii="Arial" w:eastAsia="宋体" w:hAnsi="Arial" w:cs="Arial"/>
                <w:color w:val="000000"/>
                <w:sz w:val="14"/>
                <w:szCs w:val="14"/>
              </w:rPr>
              <w:t>Net realized gains (losses) from sales of available-for-sale securities, net of related taxes of $0 and $1, respectively</w:t>
            </w:r>
          </w:p>
        </w:tc>
        <w:tc>
          <w:tcPr>
            <w:tcW w:w="0" w:type="auto"/>
            <w:shd w:val="clear" w:color="auto" w:fill="CCEEFF"/>
            <w:tcMar>
              <w:top w:w="40" w:type="dxa"/>
              <w:left w:w="20" w:type="dxa"/>
              <w:bottom w:w="40" w:type="dxa"/>
              <w:right w:w="0" w:type="dxa"/>
            </w:tcMar>
            <w:vAlign w:val="bottom"/>
          </w:tcPr>
          <w:p w14:paraId="5EA26E6A" w14:textId="77777777" w:rsidR="003C66EB" w:rsidRDefault="00D96C4E">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A26E6B"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6E6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E6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E6E" w14:textId="77777777" w:rsidR="003C66EB" w:rsidRDefault="00D96C4E">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A26E6F"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6E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E71"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6E72" w14:textId="77777777" w:rsidR="003C66EB" w:rsidRDefault="00D96C4E">
            <w:pPr>
              <w:textAlignment w:val="bottom"/>
            </w:pPr>
            <w:r>
              <w:rPr>
                <w:rFonts w:ascii="Arial" w:eastAsia="宋体" w:hAnsi="Arial" w:cs="Arial"/>
                <w:color w:val="000000"/>
                <w:sz w:val="14"/>
                <w:szCs w:val="14"/>
              </w:rPr>
              <w:t>Net gains (losses) from sales of available-for-sale securities</w:t>
            </w:r>
          </w:p>
        </w:tc>
      </w:tr>
      <w:tr w:rsidR="003C66EB" w14:paraId="5EA26E7A" w14:textId="77777777">
        <w:trPr>
          <w:hidden/>
        </w:trPr>
        <w:tc>
          <w:tcPr>
            <w:tcW w:w="0" w:type="auto"/>
            <w:gridSpan w:val="3"/>
            <w:shd w:val="clear" w:color="auto" w:fill="auto"/>
          </w:tcPr>
          <w:p w14:paraId="5EA26E74" w14:textId="77777777" w:rsidR="003C66EB" w:rsidRDefault="003C66EB">
            <w:pPr>
              <w:rPr>
                <w:rFonts w:ascii="宋体"/>
                <w:vanish/>
              </w:rPr>
            </w:pPr>
          </w:p>
        </w:tc>
        <w:tc>
          <w:tcPr>
            <w:tcW w:w="0" w:type="auto"/>
            <w:gridSpan w:val="3"/>
            <w:shd w:val="clear" w:color="auto" w:fill="auto"/>
          </w:tcPr>
          <w:p w14:paraId="5EA26E75" w14:textId="77777777" w:rsidR="003C66EB" w:rsidRDefault="003C66EB">
            <w:pPr>
              <w:rPr>
                <w:rFonts w:ascii="宋体"/>
                <w:vanish/>
              </w:rPr>
            </w:pPr>
          </w:p>
        </w:tc>
        <w:tc>
          <w:tcPr>
            <w:tcW w:w="0" w:type="auto"/>
            <w:gridSpan w:val="3"/>
            <w:shd w:val="clear" w:color="auto" w:fill="auto"/>
          </w:tcPr>
          <w:p w14:paraId="5EA26E76" w14:textId="77777777" w:rsidR="003C66EB" w:rsidRDefault="003C66EB">
            <w:pPr>
              <w:rPr>
                <w:rFonts w:ascii="宋体"/>
                <w:vanish/>
              </w:rPr>
            </w:pPr>
          </w:p>
        </w:tc>
        <w:tc>
          <w:tcPr>
            <w:tcW w:w="0" w:type="auto"/>
            <w:gridSpan w:val="3"/>
            <w:shd w:val="clear" w:color="auto" w:fill="auto"/>
          </w:tcPr>
          <w:p w14:paraId="5EA26E77" w14:textId="77777777" w:rsidR="003C66EB" w:rsidRDefault="003C66EB">
            <w:pPr>
              <w:rPr>
                <w:rFonts w:ascii="宋体"/>
                <w:vanish/>
              </w:rPr>
            </w:pPr>
          </w:p>
        </w:tc>
        <w:tc>
          <w:tcPr>
            <w:tcW w:w="0" w:type="auto"/>
            <w:gridSpan w:val="3"/>
            <w:shd w:val="clear" w:color="auto" w:fill="auto"/>
          </w:tcPr>
          <w:p w14:paraId="5EA26E78" w14:textId="77777777" w:rsidR="003C66EB" w:rsidRDefault="003C66EB">
            <w:pPr>
              <w:rPr>
                <w:rFonts w:ascii="宋体"/>
                <w:vanish/>
              </w:rPr>
            </w:pPr>
          </w:p>
        </w:tc>
        <w:tc>
          <w:tcPr>
            <w:tcW w:w="0" w:type="auto"/>
            <w:gridSpan w:val="3"/>
            <w:shd w:val="clear" w:color="auto" w:fill="auto"/>
          </w:tcPr>
          <w:p w14:paraId="5EA26E79" w14:textId="77777777" w:rsidR="003C66EB" w:rsidRDefault="003C66EB">
            <w:pPr>
              <w:rPr>
                <w:rFonts w:ascii="宋体"/>
                <w:vanish/>
              </w:rPr>
            </w:pPr>
          </w:p>
        </w:tc>
      </w:tr>
      <w:tr w:rsidR="003C66EB" w14:paraId="5EA26E81" w14:textId="77777777">
        <w:trPr>
          <w:hidden/>
        </w:trPr>
        <w:tc>
          <w:tcPr>
            <w:tcW w:w="0" w:type="auto"/>
            <w:gridSpan w:val="3"/>
            <w:shd w:val="clear" w:color="auto" w:fill="auto"/>
          </w:tcPr>
          <w:p w14:paraId="5EA26E7B" w14:textId="77777777" w:rsidR="003C66EB" w:rsidRDefault="003C66EB">
            <w:pPr>
              <w:rPr>
                <w:rFonts w:ascii="宋体"/>
                <w:vanish/>
              </w:rPr>
            </w:pPr>
          </w:p>
        </w:tc>
        <w:tc>
          <w:tcPr>
            <w:tcW w:w="0" w:type="auto"/>
            <w:gridSpan w:val="3"/>
            <w:shd w:val="clear" w:color="auto" w:fill="auto"/>
          </w:tcPr>
          <w:p w14:paraId="5EA26E7C" w14:textId="77777777" w:rsidR="003C66EB" w:rsidRDefault="003C66EB">
            <w:pPr>
              <w:rPr>
                <w:rFonts w:ascii="宋体"/>
                <w:vanish/>
              </w:rPr>
            </w:pPr>
          </w:p>
        </w:tc>
        <w:tc>
          <w:tcPr>
            <w:tcW w:w="0" w:type="auto"/>
            <w:gridSpan w:val="3"/>
            <w:shd w:val="clear" w:color="auto" w:fill="auto"/>
          </w:tcPr>
          <w:p w14:paraId="5EA26E7D" w14:textId="77777777" w:rsidR="003C66EB" w:rsidRDefault="003C66EB">
            <w:pPr>
              <w:rPr>
                <w:rFonts w:ascii="宋体"/>
                <w:vanish/>
              </w:rPr>
            </w:pPr>
          </w:p>
        </w:tc>
        <w:tc>
          <w:tcPr>
            <w:tcW w:w="0" w:type="auto"/>
            <w:gridSpan w:val="3"/>
            <w:shd w:val="clear" w:color="auto" w:fill="auto"/>
          </w:tcPr>
          <w:p w14:paraId="5EA26E7E" w14:textId="77777777" w:rsidR="003C66EB" w:rsidRDefault="003C66EB">
            <w:pPr>
              <w:rPr>
                <w:rFonts w:ascii="宋体"/>
                <w:vanish/>
              </w:rPr>
            </w:pPr>
          </w:p>
        </w:tc>
        <w:tc>
          <w:tcPr>
            <w:tcW w:w="0" w:type="auto"/>
            <w:gridSpan w:val="3"/>
            <w:shd w:val="clear" w:color="auto" w:fill="auto"/>
          </w:tcPr>
          <w:p w14:paraId="5EA26E7F" w14:textId="77777777" w:rsidR="003C66EB" w:rsidRDefault="003C66EB">
            <w:pPr>
              <w:rPr>
                <w:rFonts w:ascii="宋体"/>
                <w:vanish/>
              </w:rPr>
            </w:pPr>
          </w:p>
        </w:tc>
        <w:tc>
          <w:tcPr>
            <w:tcW w:w="0" w:type="auto"/>
            <w:gridSpan w:val="3"/>
            <w:shd w:val="clear" w:color="auto" w:fill="auto"/>
          </w:tcPr>
          <w:p w14:paraId="5EA26E80" w14:textId="77777777" w:rsidR="003C66EB" w:rsidRDefault="003C66EB">
            <w:pPr>
              <w:rPr>
                <w:rFonts w:ascii="宋体"/>
                <w:vanish/>
              </w:rPr>
            </w:pPr>
          </w:p>
        </w:tc>
      </w:tr>
      <w:tr w:rsidR="003C66EB" w14:paraId="5EA26E88" w14:textId="77777777">
        <w:trPr>
          <w:hidden/>
        </w:trPr>
        <w:tc>
          <w:tcPr>
            <w:tcW w:w="0" w:type="auto"/>
            <w:gridSpan w:val="3"/>
            <w:shd w:val="clear" w:color="auto" w:fill="auto"/>
          </w:tcPr>
          <w:p w14:paraId="5EA26E82" w14:textId="77777777" w:rsidR="003C66EB" w:rsidRDefault="003C66EB">
            <w:pPr>
              <w:rPr>
                <w:rFonts w:ascii="宋体"/>
                <w:vanish/>
              </w:rPr>
            </w:pPr>
          </w:p>
        </w:tc>
        <w:tc>
          <w:tcPr>
            <w:tcW w:w="0" w:type="auto"/>
            <w:gridSpan w:val="3"/>
            <w:shd w:val="clear" w:color="auto" w:fill="auto"/>
          </w:tcPr>
          <w:p w14:paraId="5EA26E83" w14:textId="77777777" w:rsidR="003C66EB" w:rsidRDefault="003C66EB">
            <w:pPr>
              <w:rPr>
                <w:rFonts w:ascii="宋体"/>
                <w:vanish/>
              </w:rPr>
            </w:pPr>
          </w:p>
        </w:tc>
        <w:tc>
          <w:tcPr>
            <w:tcW w:w="0" w:type="auto"/>
            <w:gridSpan w:val="3"/>
            <w:shd w:val="clear" w:color="auto" w:fill="auto"/>
          </w:tcPr>
          <w:p w14:paraId="5EA26E84" w14:textId="77777777" w:rsidR="003C66EB" w:rsidRDefault="003C66EB">
            <w:pPr>
              <w:rPr>
                <w:rFonts w:ascii="宋体"/>
                <w:vanish/>
              </w:rPr>
            </w:pPr>
          </w:p>
        </w:tc>
        <w:tc>
          <w:tcPr>
            <w:tcW w:w="0" w:type="auto"/>
            <w:gridSpan w:val="3"/>
            <w:shd w:val="clear" w:color="auto" w:fill="auto"/>
          </w:tcPr>
          <w:p w14:paraId="5EA26E85" w14:textId="77777777" w:rsidR="003C66EB" w:rsidRDefault="003C66EB">
            <w:pPr>
              <w:rPr>
                <w:rFonts w:ascii="宋体"/>
                <w:vanish/>
              </w:rPr>
            </w:pPr>
          </w:p>
        </w:tc>
        <w:tc>
          <w:tcPr>
            <w:tcW w:w="0" w:type="auto"/>
            <w:gridSpan w:val="3"/>
            <w:shd w:val="clear" w:color="auto" w:fill="auto"/>
          </w:tcPr>
          <w:p w14:paraId="5EA26E86" w14:textId="77777777" w:rsidR="003C66EB" w:rsidRDefault="003C66EB">
            <w:pPr>
              <w:rPr>
                <w:rFonts w:ascii="宋体"/>
                <w:vanish/>
              </w:rPr>
            </w:pPr>
          </w:p>
        </w:tc>
        <w:tc>
          <w:tcPr>
            <w:tcW w:w="0" w:type="auto"/>
            <w:gridSpan w:val="3"/>
            <w:shd w:val="clear" w:color="auto" w:fill="auto"/>
          </w:tcPr>
          <w:p w14:paraId="5EA26E87" w14:textId="77777777" w:rsidR="003C66EB" w:rsidRDefault="003C66EB">
            <w:pPr>
              <w:rPr>
                <w:rFonts w:ascii="宋体"/>
                <w:vanish/>
              </w:rPr>
            </w:pPr>
          </w:p>
        </w:tc>
      </w:tr>
      <w:tr w:rsidR="003C66EB" w14:paraId="5EA26E8F" w14:textId="77777777">
        <w:tc>
          <w:tcPr>
            <w:tcW w:w="0" w:type="auto"/>
            <w:gridSpan w:val="3"/>
            <w:shd w:val="clear" w:color="auto" w:fill="FFFFFF"/>
            <w:tcMar>
              <w:top w:w="40" w:type="dxa"/>
              <w:left w:w="20" w:type="dxa"/>
              <w:bottom w:w="40" w:type="dxa"/>
              <w:right w:w="20" w:type="dxa"/>
            </w:tcMar>
            <w:vAlign w:val="bottom"/>
          </w:tcPr>
          <w:p w14:paraId="5EA26E89" w14:textId="77777777" w:rsidR="003C66EB" w:rsidRDefault="00D96C4E">
            <w:pPr>
              <w:textAlignment w:val="bottom"/>
            </w:pPr>
            <w:r>
              <w:rPr>
                <w:rFonts w:ascii="Arial" w:eastAsia="宋体" w:hAnsi="Arial" w:cs="Arial"/>
                <w:b/>
                <w:bCs/>
                <w:color w:val="000000"/>
                <w:sz w:val="14"/>
                <w:szCs w:val="14"/>
              </w:rPr>
              <w:t>Cash flow hedges:</w:t>
            </w:r>
          </w:p>
        </w:tc>
        <w:tc>
          <w:tcPr>
            <w:tcW w:w="0" w:type="auto"/>
            <w:gridSpan w:val="3"/>
            <w:shd w:val="clear" w:color="auto" w:fill="FFFFFF"/>
            <w:tcMar>
              <w:top w:w="0" w:type="dxa"/>
              <w:left w:w="20" w:type="dxa"/>
              <w:bottom w:w="0" w:type="dxa"/>
              <w:right w:w="20" w:type="dxa"/>
            </w:tcMar>
          </w:tcPr>
          <w:p w14:paraId="5EA26E8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8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8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8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8E" w14:textId="77777777" w:rsidR="003C66EB" w:rsidRDefault="003C66EB">
            <w:pPr>
              <w:rPr>
                <w:rFonts w:ascii="宋体"/>
              </w:rPr>
            </w:pPr>
          </w:p>
        </w:tc>
      </w:tr>
      <w:tr w:rsidR="003C66EB" w14:paraId="5EA26E98" w14:textId="77777777">
        <w:tc>
          <w:tcPr>
            <w:tcW w:w="0" w:type="auto"/>
            <w:gridSpan w:val="3"/>
            <w:shd w:val="clear" w:color="auto" w:fill="CCEEFF"/>
            <w:tcMar>
              <w:top w:w="40" w:type="dxa"/>
              <w:left w:w="20" w:type="dxa"/>
              <w:bottom w:w="40" w:type="dxa"/>
              <w:right w:w="20" w:type="dxa"/>
            </w:tcMar>
            <w:vAlign w:val="bottom"/>
          </w:tcPr>
          <w:p w14:paraId="5EA26E90" w14:textId="77777777" w:rsidR="003C66EB" w:rsidRDefault="00D96C4E">
            <w:pPr>
              <w:textAlignment w:val="bottom"/>
            </w:pPr>
            <w:r>
              <w:rPr>
                <w:rFonts w:ascii="Arial" w:eastAsia="宋体" w:hAnsi="Arial" w:cs="Arial"/>
                <w:color w:val="000000"/>
                <w:sz w:val="14"/>
                <w:szCs w:val="14"/>
              </w:rPr>
              <w:t>Gain reclassified from accumulated other comprehensive income into Income, net of related taxes of $6 and $2</w:t>
            </w:r>
          </w:p>
        </w:tc>
        <w:tc>
          <w:tcPr>
            <w:tcW w:w="0" w:type="auto"/>
            <w:gridSpan w:val="2"/>
            <w:shd w:val="clear" w:color="auto" w:fill="CCEEFF"/>
            <w:tcMar>
              <w:top w:w="40" w:type="dxa"/>
              <w:left w:w="20" w:type="dxa"/>
              <w:bottom w:w="40" w:type="dxa"/>
              <w:right w:w="0" w:type="dxa"/>
            </w:tcMar>
            <w:vAlign w:val="bottom"/>
          </w:tcPr>
          <w:p w14:paraId="5EA26E91" w14:textId="77777777" w:rsidR="003C66EB" w:rsidRDefault="00D96C4E">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6E9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E9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E94" w14:textId="77777777" w:rsidR="003C66EB" w:rsidRDefault="00D96C4E">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5EA26E9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E96"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6E97" w14:textId="77777777" w:rsidR="003C66EB" w:rsidRDefault="00D96C4E">
            <w:pPr>
              <w:textAlignment w:val="bottom"/>
            </w:pPr>
            <w:r>
              <w:rPr>
                <w:rFonts w:ascii="Arial" w:eastAsia="宋体" w:hAnsi="Arial" w:cs="Arial"/>
                <w:color w:val="000000"/>
                <w:sz w:val="14"/>
                <w:szCs w:val="14"/>
              </w:rPr>
              <w:t xml:space="preserve">Net interest </w:t>
            </w:r>
            <w:r>
              <w:rPr>
                <w:rFonts w:ascii="Arial" w:eastAsia="宋体" w:hAnsi="Arial" w:cs="Arial"/>
                <w:color w:val="000000"/>
                <w:sz w:val="14"/>
                <w:szCs w:val="14"/>
              </w:rPr>
              <w:t>income reclassified from other comprehensive income</w:t>
            </w:r>
          </w:p>
        </w:tc>
      </w:tr>
      <w:tr w:rsidR="003C66EB" w14:paraId="5EA26E9F" w14:textId="77777777">
        <w:tc>
          <w:tcPr>
            <w:tcW w:w="0" w:type="auto"/>
            <w:gridSpan w:val="3"/>
            <w:shd w:val="clear" w:color="auto" w:fill="FFFFFF"/>
            <w:tcMar>
              <w:top w:w="40" w:type="dxa"/>
              <w:left w:w="20" w:type="dxa"/>
              <w:bottom w:w="40" w:type="dxa"/>
              <w:right w:w="20" w:type="dxa"/>
            </w:tcMar>
            <w:vAlign w:val="bottom"/>
          </w:tcPr>
          <w:p w14:paraId="5EA26E99" w14:textId="77777777" w:rsidR="003C66EB" w:rsidRDefault="00D96C4E">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tcPr>
          <w:p w14:paraId="5EA26E9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9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9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9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9E" w14:textId="77777777" w:rsidR="003C66EB" w:rsidRDefault="003C66EB">
            <w:pPr>
              <w:rPr>
                <w:rFonts w:ascii="宋体"/>
              </w:rPr>
            </w:pPr>
          </w:p>
        </w:tc>
      </w:tr>
      <w:tr w:rsidR="003C66EB" w14:paraId="5EA26EA8" w14:textId="77777777">
        <w:tc>
          <w:tcPr>
            <w:tcW w:w="0" w:type="auto"/>
            <w:gridSpan w:val="3"/>
            <w:shd w:val="clear" w:color="auto" w:fill="CCEEFF"/>
            <w:tcMar>
              <w:top w:w="40" w:type="dxa"/>
              <w:left w:w="20" w:type="dxa"/>
              <w:bottom w:w="40" w:type="dxa"/>
              <w:right w:w="20" w:type="dxa"/>
            </w:tcMar>
            <w:vAlign w:val="bottom"/>
          </w:tcPr>
          <w:p w14:paraId="5EA26EA0" w14:textId="77777777" w:rsidR="003C66EB" w:rsidRDefault="00D96C4E">
            <w:pPr>
              <w:textAlignment w:val="bottom"/>
            </w:pPr>
            <w:r>
              <w:rPr>
                <w:rFonts w:ascii="Arial" w:eastAsia="宋体" w:hAnsi="Arial" w:cs="Arial"/>
                <w:color w:val="000000"/>
                <w:sz w:val="14"/>
                <w:szCs w:val="14"/>
              </w:rPr>
              <w:t>Amortization of actuarial losses, net of related taxes of $3 and $4, respectively</w:t>
            </w:r>
          </w:p>
        </w:tc>
        <w:tc>
          <w:tcPr>
            <w:tcW w:w="0" w:type="auto"/>
            <w:gridSpan w:val="2"/>
            <w:shd w:val="clear" w:color="auto" w:fill="CCEEFF"/>
            <w:tcMar>
              <w:top w:w="40" w:type="dxa"/>
              <w:left w:w="20" w:type="dxa"/>
              <w:bottom w:w="40" w:type="dxa"/>
              <w:right w:w="0" w:type="dxa"/>
            </w:tcMar>
            <w:vAlign w:val="bottom"/>
          </w:tcPr>
          <w:p w14:paraId="5EA26EA1" w14:textId="77777777" w:rsidR="003C66EB" w:rsidRDefault="00D96C4E">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6E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EA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EA4" w14:textId="77777777" w:rsidR="003C66EB" w:rsidRDefault="00D96C4E">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EA26E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EA6" w14:textId="77777777" w:rsidR="003C66EB" w:rsidRDefault="003C66EB">
            <w:pPr>
              <w:rPr>
                <w:rFonts w:ascii="宋体"/>
              </w:rPr>
            </w:pPr>
          </w:p>
        </w:tc>
        <w:tc>
          <w:tcPr>
            <w:tcW w:w="0" w:type="auto"/>
            <w:gridSpan w:val="3"/>
            <w:shd w:val="clear" w:color="auto" w:fill="CCEEFF"/>
            <w:tcMar>
              <w:top w:w="40" w:type="dxa"/>
              <w:left w:w="20" w:type="dxa"/>
              <w:bottom w:w="40" w:type="dxa"/>
              <w:right w:w="20" w:type="dxa"/>
            </w:tcMar>
            <w:vAlign w:val="bottom"/>
          </w:tcPr>
          <w:p w14:paraId="5EA26EA7" w14:textId="77777777" w:rsidR="003C66EB" w:rsidRDefault="00D96C4E">
            <w:pPr>
              <w:textAlignment w:val="bottom"/>
            </w:pPr>
            <w:r>
              <w:rPr>
                <w:rFonts w:ascii="Arial" w:eastAsia="宋体" w:hAnsi="Arial" w:cs="Arial"/>
                <w:color w:val="000000"/>
                <w:sz w:val="14"/>
                <w:szCs w:val="14"/>
              </w:rPr>
              <w:t>Compensation and employee benefits expenses</w:t>
            </w:r>
          </w:p>
        </w:tc>
      </w:tr>
      <w:tr w:rsidR="003C66EB" w14:paraId="5EA26EAF" w14:textId="77777777">
        <w:trPr>
          <w:hidden/>
        </w:trPr>
        <w:tc>
          <w:tcPr>
            <w:tcW w:w="0" w:type="auto"/>
            <w:gridSpan w:val="3"/>
            <w:shd w:val="clear" w:color="auto" w:fill="auto"/>
          </w:tcPr>
          <w:p w14:paraId="5EA26EA9" w14:textId="77777777" w:rsidR="003C66EB" w:rsidRDefault="003C66EB">
            <w:pPr>
              <w:rPr>
                <w:rFonts w:ascii="宋体"/>
                <w:vanish/>
              </w:rPr>
            </w:pPr>
          </w:p>
        </w:tc>
        <w:tc>
          <w:tcPr>
            <w:tcW w:w="0" w:type="auto"/>
            <w:gridSpan w:val="3"/>
            <w:shd w:val="clear" w:color="auto" w:fill="auto"/>
          </w:tcPr>
          <w:p w14:paraId="5EA26EAA" w14:textId="77777777" w:rsidR="003C66EB" w:rsidRDefault="003C66EB">
            <w:pPr>
              <w:rPr>
                <w:rFonts w:ascii="宋体"/>
                <w:vanish/>
              </w:rPr>
            </w:pPr>
          </w:p>
        </w:tc>
        <w:tc>
          <w:tcPr>
            <w:tcW w:w="0" w:type="auto"/>
            <w:gridSpan w:val="3"/>
            <w:shd w:val="clear" w:color="auto" w:fill="auto"/>
          </w:tcPr>
          <w:p w14:paraId="5EA26EAB" w14:textId="77777777" w:rsidR="003C66EB" w:rsidRDefault="003C66EB">
            <w:pPr>
              <w:rPr>
                <w:rFonts w:ascii="宋体"/>
                <w:vanish/>
              </w:rPr>
            </w:pPr>
          </w:p>
        </w:tc>
        <w:tc>
          <w:tcPr>
            <w:tcW w:w="0" w:type="auto"/>
            <w:gridSpan w:val="3"/>
            <w:shd w:val="clear" w:color="auto" w:fill="auto"/>
          </w:tcPr>
          <w:p w14:paraId="5EA26EAC" w14:textId="77777777" w:rsidR="003C66EB" w:rsidRDefault="003C66EB">
            <w:pPr>
              <w:rPr>
                <w:rFonts w:ascii="宋体"/>
                <w:vanish/>
              </w:rPr>
            </w:pPr>
          </w:p>
        </w:tc>
        <w:tc>
          <w:tcPr>
            <w:tcW w:w="0" w:type="auto"/>
            <w:gridSpan w:val="3"/>
            <w:shd w:val="clear" w:color="auto" w:fill="auto"/>
          </w:tcPr>
          <w:p w14:paraId="5EA26EAD" w14:textId="77777777" w:rsidR="003C66EB" w:rsidRDefault="003C66EB">
            <w:pPr>
              <w:rPr>
                <w:rFonts w:ascii="宋体"/>
                <w:vanish/>
              </w:rPr>
            </w:pPr>
          </w:p>
        </w:tc>
        <w:tc>
          <w:tcPr>
            <w:tcW w:w="0" w:type="auto"/>
            <w:gridSpan w:val="3"/>
            <w:shd w:val="clear" w:color="auto" w:fill="auto"/>
          </w:tcPr>
          <w:p w14:paraId="5EA26EAE" w14:textId="77777777" w:rsidR="003C66EB" w:rsidRDefault="003C66EB">
            <w:pPr>
              <w:rPr>
                <w:rFonts w:ascii="宋体"/>
                <w:vanish/>
              </w:rPr>
            </w:pPr>
          </w:p>
        </w:tc>
      </w:tr>
      <w:tr w:rsidR="003C66EB" w14:paraId="5EA26EB6" w14:textId="77777777">
        <w:trPr>
          <w:hidden/>
        </w:trPr>
        <w:tc>
          <w:tcPr>
            <w:tcW w:w="0" w:type="auto"/>
            <w:gridSpan w:val="3"/>
            <w:shd w:val="clear" w:color="auto" w:fill="auto"/>
          </w:tcPr>
          <w:p w14:paraId="5EA26EB0" w14:textId="77777777" w:rsidR="003C66EB" w:rsidRDefault="003C66EB">
            <w:pPr>
              <w:rPr>
                <w:rFonts w:ascii="宋体"/>
                <w:vanish/>
              </w:rPr>
            </w:pPr>
          </w:p>
        </w:tc>
        <w:tc>
          <w:tcPr>
            <w:tcW w:w="0" w:type="auto"/>
            <w:gridSpan w:val="3"/>
            <w:shd w:val="clear" w:color="auto" w:fill="auto"/>
          </w:tcPr>
          <w:p w14:paraId="5EA26EB1" w14:textId="77777777" w:rsidR="003C66EB" w:rsidRDefault="003C66EB">
            <w:pPr>
              <w:rPr>
                <w:rFonts w:ascii="宋体"/>
                <w:vanish/>
              </w:rPr>
            </w:pPr>
          </w:p>
        </w:tc>
        <w:tc>
          <w:tcPr>
            <w:tcW w:w="0" w:type="auto"/>
            <w:gridSpan w:val="3"/>
            <w:shd w:val="clear" w:color="auto" w:fill="auto"/>
          </w:tcPr>
          <w:p w14:paraId="5EA26EB2" w14:textId="77777777" w:rsidR="003C66EB" w:rsidRDefault="003C66EB">
            <w:pPr>
              <w:rPr>
                <w:rFonts w:ascii="宋体"/>
                <w:vanish/>
              </w:rPr>
            </w:pPr>
          </w:p>
        </w:tc>
        <w:tc>
          <w:tcPr>
            <w:tcW w:w="0" w:type="auto"/>
            <w:gridSpan w:val="3"/>
            <w:shd w:val="clear" w:color="auto" w:fill="auto"/>
          </w:tcPr>
          <w:p w14:paraId="5EA26EB3" w14:textId="77777777" w:rsidR="003C66EB" w:rsidRDefault="003C66EB">
            <w:pPr>
              <w:rPr>
                <w:rFonts w:ascii="宋体"/>
                <w:vanish/>
              </w:rPr>
            </w:pPr>
          </w:p>
        </w:tc>
        <w:tc>
          <w:tcPr>
            <w:tcW w:w="0" w:type="auto"/>
            <w:gridSpan w:val="3"/>
            <w:shd w:val="clear" w:color="auto" w:fill="auto"/>
          </w:tcPr>
          <w:p w14:paraId="5EA26EB4" w14:textId="77777777" w:rsidR="003C66EB" w:rsidRDefault="003C66EB">
            <w:pPr>
              <w:rPr>
                <w:rFonts w:ascii="宋体"/>
                <w:vanish/>
              </w:rPr>
            </w:pPr>
          </w:p>
        </w:tc>
        <w:tc>
          <w:tcPr>
            <w:tcW w:w="0" w:type="auto"/>
            <w:gridSpan w:val="3"/>
            <w:shd w:val="clear" w:color="auto" w:fill="auto"/>
          </w:tcPr>
          <w:p w14:paraId="5EA26EB5" w14:textId="77777777" w:rsidR="003C66EB" w:rsidRDefault="003C66EB">
            <w:pPr>
              <w:rPr>
                <w:rFonts w:ascii="宋体"/>
                <w:vanish/>
              </w:rPr>
            </w:pPr>
          </w:p>
        </w:tc>
      </w:tr>
      <w:tr w:rsidR="003C66EB" w14:paraId="5EA26EBD" w14:textId="77777777">
        <w:trPr>
          <w:hidden/>
        </w:trPr>
        <w:tc>
          <w:tcPr>
            <w:tcW w:w="0" w:type="auto"/>
            <w:gridSpan w:val="3"/>
            <w:shd w:val="clear" w:color="auto" w:fill="auto"/>
          </w:tcPr>
          <w:p w14:paraId="5EA26EB7" w14:textId="77777777" w:rsidR="003C66EB" w:rsidRDefault="003C66EB">
            <w:pPr>
              <w:rPr>
                <w:rFonts w:ascii="宋体"/>
                <w:vanish/>
              </w:rPr>
            </w:pPr>
          </w:p>
        </w:tc>
        <w:tc>
          <w:tcPr>
            <w:tcW w:w="0" w:type="auto"/>
            <w:gridSpan w:val="3"/>
            <w:shd w:val="clear" w:color="auto" w:fill="auto"/>
          </w:tcPr>
          <w:p w14:paraId="5EA26EB8" w14:textId="77777777" w:rsidR="003C66EB" w:rsidRDefault="003C66EB">
            <w:pPr>
              <w:rPr>
                <w:rFonts w:ascii="宋体"/>
                <w:vanish/>
              </w:rPr>
            </w:pPr>
          </w:p>
        </w:tc>
        <w:tc>
          <w:tcPr>
            <w:tcW w:w="0" w:type="auto"/>
            <w:gridSpan w:val="3"/>
            <w:shd w:val="clear" w:color="auto" w:fill="auto"/>
          </w:tcPr>
          <w:p w14:paraId="5EA26EB9" w14:textId="77777777" w:rsidR="003C66EB" w:rsidRDefault="003C66EB">
            <w:pPr>
              <w:rPr>
                <w:rFonts w:ascii="宋体"/>
                <w:vanish/>
              </w:rPr>
            </w:pPr>
          </w:p>
        </w:tc>
        <w:tc>
          <w:tcPr>
            <w:tcW w:w="0" w:type="auto"/>
            <w:gridSpan w:val="3"/>
            <w:shd w:val="clear" w:color="auto" w:fill="auto"/>
          </w:tcPr>
          <w:p w14:paraId="5EA26EBA" w14:textId="77777777" w:rsidR="003C66EB" w:rsidRDefault="003C66EB">
            <w:pPr>
              <w:rPr>
                <w:rFonts w:ascii="宋体"/>
                <w:vanish/>
              </w:rPr>
            </w:pPr>
          </w:p>
        </w:tc>
        <w:tc>
          <w:tcPr>
            <w:tcW w:w="0" w:type="auto"/>
            <w:gridSpan w:val="3"/>
            <w:shd w:val="clear" w:color="auto" w:fill="auto"/>
          </w:tcPr>
          <w:p w14:paraId="5EA26EBB" w14:textId="77777777" w:rsidR="003C66EB" w:rsidRDefault="003C66EB">
            <w:pPr>
              <w:rPr>
                <w:rFonts w:ascii="宋体"/>
                <w:vanish/>
              </w:rPr>
            </w:pPr>
          </w:p>
        </w:tc>
        <w:tc>
          <w:tcPr>
            <w:tcW w:w="0" w:type="auto"/>
            <w:gridSpan w:val="3"/>
            <w:shd w:val="clear" w:color="auto" w:fill="auto"/>
          </w:tcPr>
          <w:p w14:paraId="5EA26EBC" w14:textId="77777777" w:rsidR="003C66EB" w:rsidRDefault="003C66EB">
            <w:pPr>
              <w:rPr>
                <w:rFonts w:ascii="宋体"/>
                <w:vanish/>
              </w:rPr>
            </w:pPr>
          </w:p>
        </w:tc>
      </w:tr>
      <w:tr w:rsidR="003C66EB" w14:paraId="5EA26EC8" w14:textId="77777777">
        <w:tc>
          <w:tcPr>
            <w:tcW w:w="0" w:type="auto"/>
            <w:gridSpan w:val="3"/>
            <w:shd w:val="clear" w:color="auto" w:fill="FFFFFF"/>
            <w:tcMar>
              <w:top w:w="40" w:type="dxa"/>
              <w:left w:w="20" w:type="dxa"/>
              <w:bottom w:w="40" w:type="dxa"/>
              <w:right w:w="20" w:type="dxa"/>
            </w:tcMar>
            <w:vAlign w:val="bottom"/>
          </w:tcPr>
          <w:p w14:paraId="5EA26EBE" w14:textId="77777777" w:rsidR="003C66EB" w:rsidRDefault="00D96C4E">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reclassifications (into) out of Accumulated other comprehensive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EBF"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EC0" w14:textId="77777777" w:rsidR="003C66EB" w:rsidRDefault="00D96C4E">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E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EC2"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6EC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6EC4" w14:textId="77777777" w:rsidR="003C66EB" w:rsidRDefault="00D96C4E">
            <w:pPr>
              <w:jc w:val="right"/>
              <w:textAlignment w:val="bottom"/>
            </w:pPr>
            <w:r>
              <w:rPr>
                <w:rFonts w:ascii="Arial" w:eastAsia="宋体" w:hAnsi="Arial" w:cs="Arial"/>
                <w:color w:val="000000"/>
                <w:sz w:val="14"/>
                <w:szCs w:val="14"/>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6EC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EC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EC7" w14:textId="77777777" w:rsidR="003C66EB" w:rsidRDefault="003C66EB">
            <w:pPr>
              <w:rPr>
                <w:rFonts w:ascii="宋体"/>
              </w:rPr>
            </w:pPr>
          </w:p>
        </w:tc>
      </w:tr>
    </w:tbl>
    <w:p w14:paraId="5EA26EC9" w14:textId="77777777" w:rsidR="003C66EB" w:rsidRDefault="00D96C4E">
      <w:pPr>
        <w:spacing w:before="60"/>
        <w:jc w:val="both"/>
      </w:pPr>
      <w:r>
        <w:rPr>
          <w:rFonts w:ascii="Arial" w:eastAsia="宋体" w:hAnsi="Arial" w:cs="Arial"/>
          <w:b/>
          <w:bCs/>
          <w:color w:val="000000"/>
          <w:sz w:val="20"/>
          <w:szCs w:val="20"/>
        </w:rPr>
        <w:t xml:space="preserve">Note </w:t>
      </w:r>
      <w:r>
        <w:rPr>
          <w:rFonts w:ascii="Arial" w:eastAsia="宋体" w:hAnsi="Arial" w:cs="Arial"/>
          <w:b/>
          <w:bCs/>
          <w:color w:val="000000"/>
          <w:sz w:val="20"/>
          <w:szCs w:val="20"/>
        </w:rPr>
        <w:t>13.    Regulatory Capital</w:t>
      </w:r>
    </w:p>
    <w:p w14:paraId="5EA26ECA" w14:textId="77777777" w:rsidR="003C66EB" w:rsidRDefault="00D96C4E">
      <w:pPr>
        <w:spacing w:before="60"/>
        <w:ind w:firstLine="450"/>
        <w:jc w:val="both"/>
      </w:pPr>
      <w:r>
        <w:rPr>
          <w:rFonts w:ascii="Arial" w:eastAsia="宋体" w:hAnsi="Arial" w:cs="Arial"/>
          <w:color w:val="000000"/>
          <w:sz w:val="20"/>
          <w:szCs w:val="20"/>
        </w:rPr>
        <w:t xml:space="preserve">For additional information on our regulatory capital, including the regulatory capital requirements administered by federal banking agencies, and to which we are subject, refer to page 174 in Note 16 to the consolidated financial </w:t>
      </w:r>
      <w:r>
        <w:rPr>
          <w:rFonts w:ascii="Arial" w:eastAsia="宋体" w:hAnsi="Arial" w:cs="Arial"/>
          <w:color w:val="000000"/>
          <w:sz w:val="20"/>
          <w:szCs w:val="20"/>
        </w:rPr>
        <w:t>statements included under Item 8, Financial Statements and Supplementary Data, in our 2020 Form 10-K.</w:t>
      </w:r>
    </w:p>
    <w:p w14:paraId="5EA26ECB" w14:textId="77777777" w:rsidR="003C66EB" w:rsidRDefault="00D96C4E">
      <w:pPr>
        <w:spacing w:before="60"/>
        <w:ind w:firstLine="450"/>
        <w:jc w:val="both"/>
      </w:pPr>
      <w:r>
        <w:rPr>
          <w:rFonts w:ascii="Arial" w:eastAsia="宋体" w:hAnsi="Arial" w:cs="Arial"/>
          <w:color w:val="000000"/>
          <w:sz w:val="20"/>
          <w:szCs w:val="20"/>
        </w:rPr>
        <w:t>As of March 31, 2021, we and State Street Bank exceeded all regulatory capital adequacy requirements to which we were subject to. As of March 31, 2021, St</w:t>
      </w:r>
      <w:r>
        <w:rPr>
          <w:rFonts w:ascii="Arial" w:eastAsia="宋体" w:hAnsi="Arial" w:cs="Arial"/>
          <w:color w:val="000000"/>
          <w:sz w:val="20"/>
          <w:szCs w:val="20"/>
        </w:rPr>
        <w:t>ate Street Bank was categorized as “well capitalized” under the applicable regulatory capital adequacy framework, and exceeded all “well capitalized” ratio guidelines to which it was subject. Management believes that no conditions or events have occurred s</w:t>
      </w:r>
      <w:r>
        <w:rPr>
          <w:rFonts w:ascii="Arial" w:eastAsia="宋体" w:hAnsi="Arial" w:cs="Arial"/>
          <w:color w:val="000000"/>
          <w:sz w:val="20"/>
          <w:szCs w:val="20"/>
        </w:rPr>
        <w:t>ince March 31, 2021 that have changed the capital categorization of State Street Bank.</w:t>
      </w:r>
    </w:p>
    <w:p w14:paraId="5EA26ECC" w14:textId="77777777" w:rsidR="003C66EB" w:rsidRDefault="00D96C4E">
      <w:pPr>
        <w:spacing w:before="60"/>
        <w:ind w:firstLine="450"/>
        <w:jc w:val="both"/>
      </w:pPr>
      <w:r>
        <w:rPr>
          <w:rFonts w:ascii="Arial" w:eastAsia="宋体" w:hAnsi="Arial" w:cs="Arial"/>
          <w:color w:val="000000"/>
          <w:sz w:val="20"/>
          <w:szCs w:val="20"/>
        </w:rPr>
        <w:t>The following table presents the regulatory capital structure, total RWA, related regulatory capital ratios and the minimum required regulatory capital ratios for us and</w:t>
      </w:r>
      <w:r>
        <w:rPr>
          <w:rFonts w:ascii="Arial" w:eastAsia="宋体" w:hAnsi="Arial" w:cs="Arial"/>
          <w:color w:val="000000"/>
          <w:sz w:val="20"/>
          <w:szCs w:val="20"/>
        </w:rPr>
        <w:t xml:space="preserve"> State Street Bank as of the dates indicated.</w:t>
      </w:r>
    </w:p>
    <w:p w14:paraId="5EA26ECD" w14:textId="77777777" w:rsidR="003C66EB" w:rsidRDefault="00D96C4E">
      <w:pPr>
        <w:ind w:firstLine="450"/>
        <w:jc w:val="right"/>
      </w:pPr>
      <w:r>
        <w:rPr>
          <w:rFonts w:ascii="Arial" w:eastAsia="宋体" w:hAnsi="Arial" w:cs="Arial"/>
          <w:color w:val="000000"/>
          <w:sz w:val="18"/>
          <w:szCs w:val="18"/>
        </w:rPr>
        <w:t>State Street Corporation | 80</w:t>
      </w:r>
    </w:p>
    <w:p w14:paraId="5EA26ECE" w14:textId="77777777" w:rsidR="003C66EB" w:rsidRDefault="003C66EB">
      <w:pPr>
        <w:ind w:firstLine="450"/>
        <w:jc w:val="center"/>
      </w:pPr>
    </w:p>
    <w:p w14:paraId="5EA26ECF" w14:textId="77777777" w:rsidR="003C66EB" w:rsidRDefault="00D96C4E">
      <w:r>
        <w:pict w14:anchorId="5EA28800">
          <v:rect id="_x0000_i1104" style="width:415.3pt;height:1.5pt" o:hralign="center" o:hrstd="t" o:hr="t" fillcolor="#a0a0a0" stroked="f"/>
        </w:pict>
      </w:r>
    </w:p>
    <w:p w14:paraId="5EA26ED0" w14:textId="77777777" w:rsidR="003C66EB" w:rsidRDefault="00D96C4E">
      <w:pPr>
        <w:ind w:firstLine="450"/>
        <w:jc w:val="center"/>
      </w:pPr>
      <w:r>
        <w:rPr>
          <w:rFonts w:ascii="Arial" w:eastAsia="宋体" w:hAnsi="Arial" w:cs="Arial"/>
          <w:b/>
          <w:bCs/>
          <w:color w:val="000000"/>
          <w:sz w:val="20"/>
          <w:szCs w:val="20"/>
        </w:rPr>
        <w:t>STATE STREET CORPORATION</w:t>
      </w:r>
    </w:p>
    <w:p w14:paraId="5EA26ED1"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6ED2" w14:textId="77777777" w:rsidR="003C66EB" w:rsidRDefault="00D96C4E">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95"/>
        <w:gridCol w:w="438"/>
        <w:gridCol w:w="37"/>
        <w:gridCol w:w="79"/>
        <w:gridCol w:w="652"/>
        <w:gridCol w:w="112"/>
        <w:gridCol w:w="82"/>
        <w:gridCol w:w="651"/>
        <w:gridCol w:w="113"/>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tblGrid>
      <w:tr w:rsidR="003C66EB" w14:paraId="5EA26F09" w14:textId="77777777">
        <w:tc>
          <w:tcPr>
            <w:tcW w:w="50" w:type="pct"/>
            <w:shd w:val="clear" w:color="auto" w:fill="auto"/>
          </w:tcPr>
          <w:p w14:paraId="5EA26ED3" w14:textId="77777777" w:rsidR="003C66EB" w:rsidRDefault="003C66EB">
            <w:pPr>
              <w:rPr>
                <w:rFonts w:ascii="宋体"/>
              </w:rPr>
            </w:pPr>
          </w:p>
        </w:tc>
        <w:tc>
          <w:tcPr>
            <w:tcW w:w="427" w:type="pct"/>
            <w:shd w:val="clear" w:color="auto" w:fill="auto"/>
          </w:tcPr>
          <w:p w14:paraId="5EA26ED4" w14:textId="77777777" w:rsidR="003C66EB" w:rsidRDefault="003C66EB">
            <w:pPr>
              <w:rPr>
                <w:rFonts w:ascii="宋体"/>
              </w:rPr>
            </w:pPr>
          </w:p>
        </w:tc>
        <w:tc>
          <w:tcPr>
            <w:tcW w:w="5" w:type="pct"/>
            <w:shd w:val="clear" w:color="auto" w:fill="auto"/>
          </w:tcPr>
          <w:p w14:paraId="5EA26ED5" w14:textId="77777777" w:rsidR="003C66EB" w:rsidRDefault="003C66EB">
            <w:pPr>
              <w:rPr>
                <w:rFonts w:ascii="宋体"/>
              </w:rPr>
            </w:pPr>
          </w:p>
        </w:tc>
        <w:tc>
          <w:tcPr>
            <w:tcW w:w="50" w:type="pct"/>
            <w:shd w:val="clear" w:color="auto" w:fill="auto"/>
          </w:tcPr>
          <w:p w14:paraId="5EA26ED6" w14:textId="77777777" w:rsidR="003C66EB" w:rsidRDefault="003C66EB">
            <w:pPr>
              <w:rPr>
                <w:rFonts w:ascii="宋体"/>
              </w:rPr>
            </w:pPr>
          </w:p>
        </w:tc>
        <w:tc>
          <w:tcPr>
            <w:tcW w:w="442" w:type="pct"/>
            <w:shd w:val="clear" w:color="auto" w:fill="auto"/>
          </w:tcPr>
          <w:p w14:paraId="5EA26ED7" w14:textId="77777777" w:rsidR="003C66EB" w:rsidRDefault="003C66EB">
            <w:pPr>
              <w:rPr>
                <w:rFonts w:ascii="宋体"/>
              </w:rPr>
            </w:pPr>
          </w:p>
        </w:tc>
        <w:tc>
          <w:tcPr>
            <w:tcW w:w="5" w:type="pct"/>
            <w:shd w:val="clear" w:color="auto" w:fill="auto"/>
          </w:tcPr>
          <w:p w14:paraId="5EA26ED8" w14:textId="77777777" w:rsidR="003C66EB" w:rsidRDefault="003C66EB">
            <w:pPr>
              <w:rPr>
                <w:rFonts w:ascii="宋体"/>
              </w:rPr>
            </w:pPr>
          </w:p>
        </w:tc>
        <w:tc>
          <w:tcPr>
            <w:tcW w:w="50" w:type="pct"/>
            <w:shd w:val="clear" w:color="auto" w:fill="auto"/>
          </w:tcPr>
          <w:p w14:paraId="5EA26ED9" w14:textId="77777777" w:rsidR="003C66EB" w:rsidRDefault="003C66EB">
            <w:pPr>
              <w:rPr>
                <w:rFonts w:ascii="宋体"/>
              </w:rPr>
            </w:pPr>
          </w:p>
        </w:tc>
        <w:tc>
          <w:tcPr>
            <w:tcW w:w="434" w:type="pct"/>
            <w:shd w:val="clear" w:color="auto" w:fill="auto"/>
          </w:tcPr>
          <w:p w14:paraId="5EA26EDA" w14:textId="77777777" w:rsidR="003C66EB" w:rsidRDefault="003C66EB">
            <w:pPr>
              <w:rPr>
                <w:rFonts w:ascii="宋体"/>
              </w:rPr>
            </w:pPr>
          </w:p>
        </w:tc>
        <w:tc>
          <w:tcPr>
            <w:tcW w:w="5" w:type="pct"/>
            <w:shd w:val="clear" w:color="auto" w:fill="auto"/>
          </w:tcPr>
          <w:p w14:paraId="5EA26EDB" w14:textId="77777777" w:rsidR="003C66EB" w:rsidRDefault="003C66EB">
            <w:pPr>
              <w:rPr>
                <w:rFonts w:ascii="宋体"/>
              </w:rPr>
            </w:pPr>
          </w:p>
        </w:tc>
        <w:tc>
          <w:tcPr>
            <w:tcW w:w="50" w:type="pct"/>
            <w:shd w:val="clear" w:color="auto" w:fill="auto"/>
          </w:tcPr>
          <w:p w14:paraId="5EA26EDC" w14:textId="77777777" w:rsidR="003C66EB" w:rsidRDefault="003C66EB">
            <w:pPr>
              <w:rPr>
                <w:rFonts w:ascii="宋体"/>
              </w:rPr>
            </w:pPr>
          </w:p>
        </w:tc>
        <w:tc>
          <w:tcPr>
            <w:tcW w:w="354" w:type="pct"/>
            <w:shd w:val="clear" w:color="auto" w:fill="auto"/>
          </w:tcPr>
          <w:p w14:paraId="5EA26EDD" w14:textId="77777777" w:rsidR="003C66EB" w:rsidRDefault="003C66EB">
            <w:pPr>
              <w:rPr>
                <w:rFonts w:ascii="宋体"/>
              </w:rPr>
            </w:pPr>
          </w:p>
        </w:tc>
        <w:tc>
          <w:tcPr>
            <w:tcW w:w="5" w:type="pct"/>
            <w:shd w:val="clear" w:color="auto" w:fill="auto"/>
          </w:tcPr>
          <w:p w14:paraId="5EA26EDE" w14:textId="77777777" w:rsidR="003C66EB" w:rsidRDefault="003C66EB">
            <w:pPr>
              <w:rPr>
                <w:rFonts w:ascii="宋体"/>
              </w:rPr>
            </w:pPr>
          </w:p>
        </w:tc>
        <w:tc>
          <w:tcPr>
            <w:tcW w:w="5" w:type="pct"/>
            <w:shd w:val="clear" w:color="auto" w:fill="auto"/>
          </w:tcPr>
          <w:p w14:paraId="5EA26EDF" w14:textId="77777777" w:rsidR="003C66EB" w:rsidRDefault="003C66EB">
            <w:pPr>
              <w:rPr>
                <w:rFonts w:ascii="宋体"/>
              </w:rPr>
            </w:pPr>
          </w:p>
        </w:tc>
        <w:tc>
          <w:tcPr>
            <w:tcW w:w="26" w:type="pct"/>
            <w:shd w:val="clear" w:color="auto" w:fill="auto"/>
          </w:tcPr>
          <w:p w14:paraId="5EA26EE0" w14:textId="77777777" w:rsidR="003C66EB" w:rsidRDefault="003C66EB">
            <w:pPr>
              <w:rPr>
                <w:rFonts w:ascii="宋体"/>
              </w:rPr>
            </w:pPr>
          </w:p>
        </w:tc>
        <w:tc>
          <w:tcPr>
            <w:tcW w:w="5" w:type="pct"/>
            <w:shd w:val="clear" w:color="auto" w:fill="auto"/>
          </w:tcPr>
          <w:p w14:paraId="5EA26EE1" w14:textId="77777777" w:rsidR="003C66EB" w:rsidRDefault="003C66EB">
            <w:pPr>
              <w:rPr>
                <w:rFonts w:ascii="宋体"/>
              </w:rPr>
            </w:pPr>
          </w:p>
        </w:tc>
        <w:tc>
          <w:tcPr>
            <w:tcW w:w="50" w:type="pct"/>
            <w:shd w:val="clear" w:color="auto" w:fill="auto"/>
          </w:tcPr>
          <w:p w14:paraId="5EA26EE2" w14:textId="77777777" w:rsidR="003C66EB" w:rsidRDefault="003C66EB">
            <w:pPr>
              <w:rPr>
                <w:rFonts w:ascii="宋体"/>
              </w:rPr>
            </w:pPr>
          </w:p>
        </w:tc>
        <w:tc>
          <w:tcPr>
            <w:tcW w:w="354" w:type="pct"/>
            <w:shd w:val="clear" w:color="auto" w:fill="auto"/>
          </w:tcPr>
          <w:p w14:paraId="5EA26EE3" w14:textId="77777777" w:rsidR="003C66EB" w:rsidRDefault="003C66EB">
            <w:pPr>
              <w:rPr>
                <w:rFonts w:ascii="宋体"/>
              </w:rPr>
            </w:pPr>
          </w:p>
        </w:tc>
        <w:tc>
          <w:tcPr>
            <w:tcW w:w="5" w:type="pct"/>
            <w:shd w:val="clear" w:color="auto" w:fill="auto"/>
          </w:tcPr>
          <w:p w14:paraId="5EA26EE4" w14:textId="77777777" w:rsidR="003C66EB" w:rsidRDefault="003C66EB">
            <w:pPr>
              <w:rPr>
                <w:rFonts w:ascii="宋体"/>
              </w:rPr>
            </w:pPr>
          </w:p>
        </w:tc>
        <w:tc>
          <w:tcPr>
            <w:tcW w:w="5" w:type="pct"/>
            <w:shd w:val="clear" w:color="auto" w:fill="auto"/>
          </w:tcPr>
          <w:p w14:paraId="5EA26EE5" w14:textId="77777777" w:rsidR="003C66EB" w:rsidRDefault="003C66EB">
            <w:pPr>
              <w:rPr>
                <w:rFonts w:ascii="宋体"/>
              </w:rPr>
            </w:pPr>
          </w:p>
        </w:tc>
        <w:tc>
          <w:tcPr>
            <w:tcW w:w="26" w:type="pct"/>
            <w:shd w:val="clear" w:color="auto" w:fill="auto"/>
          </w:tcPr>
          <w:p w14:paraId="5EA26EE6" w14:textId="77777777" w:rsidR="003C66EB" w:rsidRDefault="003C66EB">
            <w:pPr>
              <w:rPr>
                <w:rFonts w:ascii="宋体"/>
              </w:rPr>
            </w:pPr>
          </w:p>
        </w:tc>
        <w:tc>
          <w:tcPr>
            <w:tcW w:w="5" w:type="pct"/>
            <w:shd w:val="clear" w:color="auto" w:fill="auto"/>
          </w:tcPr>
          <w:p w14:paraId="5EA26EE7" w14:textId="77777777" w:rsidR="003C66EB" w:rsidRDefault="003C66EB">
            <w:pPr>
              <w:rPr>
                <w:rFonts w:ascii="宋体"/>
              </w:rPr>
            </w:pPr>
          </w:p>
        </w:tc>
        <w:tc>
          <w:tcPr>
            <w:tcW w:w="50" w:type="pct"/>
            <w:shd w:val="clear" w:color="auto" w:fill="auto"/>
          </w:tcPr>
          <w:p w14:paraId="5EA26EE8" w14:textId="77777777" w:rsidR="003C66EB" w:rsidRDefault="003C66EB">
            <w:pPr>
              <w:rPr>
                <w:rFonts w:ascii="宋体"/>
              </w:rPr>
            </w:pPr>
          </w:p>
        </w:tc>
        <w:tc>
          <w:tcPr>
            <w:tcW w:w="354" w:type="pct"/>
            <w:shd w:val="clear" w:color="auto" w:fill="auto"/>
          </w:tcPr>
          <w:p w14:paraId="5EA26EE9" w14:textId="77777777" w:rsidR="003C66EB" w:rsidRDefault="003C66EB">
            <w:pPr>
              <w:rPr>
                <w:rFonts w:ascii="宋体"/>
              </w:rPr>
            </w:pPr>
          </w:p>
        </w:tc>
        <w:tc>
          <w:tcPr>
            <w:tcW w:w="5" w:type="pct"/>
            <w:shd w:val="clear" w:color="auto" w:fill="auto"/>
          </w:tcPr>
          <w:p w14:paraId="5EA26EEA" w14:textId="77777777" w:rsidR="003C66EB" w:rsidRDefault="003C66EB">
            <w:pPr>
              <w:rPr>
                <w:rFonts w:ascii="宋体"/>
              </w:rPr>
            </w:pPr>
          </w:p>
        </w:tc>
        <w:tc>
          <w:tcPr>
            <w:tcW w:w="5" w:type="pct"/>
            <w:shd w:val="clear" w:color="auto" w:fill="auto"/>
          </w:tcPr>
          <w:p w14:paraId="5EA26EEB" w14:textId="77777777" w:rsidR="003C66EB" w:rsidRDefault="003C66EB">
            <w:pPr>
              <w:rPr>
                <w:rFonts w:ascii="宋体"/>
              </w:rPr>
            </w:pPr>
          </w:p>
        </w:tc>
        <w:tc>
          <w:tcPr>
            <w:tcW w:w="26" w:type="pct"/>
            <w:shd w:val="clear" w:color="auto" w:fill="auto"/>
          </w:tcPr>
          <w:p w14:paraId="5EA26EEC" w14:textId="77777777" w:rsidR="003C66EB" w:rsidRDefault="003C66EB">
            <w:pPr>
              <w:rPr>
                <w:rFonts w:ascii="宋体"/>
              </w:rPr>
            </w:pPr>
          </w:p>
        </w:tc>
        <w:tc>
          <w:tcPr>
            <w:tcW w:w="5" w:type="pct"/>
            <w:shd w:val="clear" w:color="auto" w:fill="auto"/>
          </w:tcPr>
          <w:p w14:paraId="5EA26EED" w14:textId="77777777" w:rsidR="003C66EB" w:rsidRDefault="003C66EB">
            <w:pPr>
              <w:rPr>
                <w:rFonts w:ascii="宋体"/>
              </w:rPr>
            </w:pPr>
          </w:p>
        </w:tc>
        <w:tc>
          <w:tcPr>
            <w:tcW w:w="50" w:type="pct"/>
            <w:shd w:val="clear" w:color="auto" w:fill="auto"/>
          </w:tcPr>
          <w:p w14:paraId="5EA26EEE" w14:textId="77777777" w:rsidR="003C66EB" w:rsidRDefault="003C66EB">
            <w:pPr>
              <w:rPr>
                <w:rFonts w:ascii="宋体"/>
              </w:rPr>
            </w:pPr>
          </w:p>
        </w:tc>
        <w:tc>
          <w:tcPr>
            <w:tcW w:w="354" w:type="pct"/>
            <w:shd w:val="clear" w:color="auto" w:fill="auto"/>
          </w:tcPr>
          <w:p w14:paraId="5EA26EEF" w14:textId="77777777" w:rsidR="003C66EB" w:rsidRDefault="003C66EB">
            <w:pPr>
              <w:rPr>
                <w:rFonts w:ascii="宋体"/>
              </w:rPr>
            </w:pPr>
          </w:p>
        </w:tc>
        <w:tc>
          <w:tcPr>
            <w:tcW w:w="5" w:type="pct"/>
            <w:shd w:val="clear" w:color="auto" w:fill="auto"/>
          </w:tcPr>
          <w:p w14:paraId="5EA26EF0" w14:textId="77777777" w:rsidR="003C66EB" w:rsidRDefault="003C66EB">
            <w:pPr>
              <w:rPr>
                <w:rFonts w:ascii="宋体"/>
              </w:rPr>
            </w:pPr>
          </w:p>
        </w:tc>
        <w:tc>
          <w:tcPr>
            <w:tcW w:w="5" w:type="pct"/>
            <w:shd w:val="clear" w:color="auto" w:fill="auto"/>
          </w:tcPr>
          <w:p w14:paraId="5EA26EF1" w14:textId="77777777" w:rsidR="003C66EB" w:rsidRDefault="003C66EB">
            <w:pPr>
              <w:rPr>
                <w:rFonts w:ascii="宋体"/>
              </w:rPr>
            </w:pPr>
          </w:p>
        </w:tc>
        <w:tc>
          <w:tcPr>
            <w:tcW w:w="26" w:type="pct"/>
            <w:shd w:val="clear" w:color="auto" w:fill="auto"/>
          </w:tcPr>
          <w:p w14:paraId="5EA26EF2" w14:textId="77777777" w:rsidR="003C66EB" w:rsidRDefault="003C66EB">
            <w:pPr>
              <w:rPr>
                <w:rFonts w:ascii="宋体"/>
              </w:rPr>
            </w:pPr>
          </w:p>
        </w:tc>
        <w:tc>
          <w:tcPr>
            <w:tcW w:w="5" w:type="pct"/>
            <w:shd w:val="clear" w:color="auto" w:fill="auto"/>
          </w:tcPr>
          <w:p w14:paraId="5EA26EF3" w14:textId="77777777" w:rsidR="003C66EB" w:rsidRDefault="003C66EB">
            <w:pPr>
              <w:rPr>
                <w:rFonts w:ascii="宋体"/>
              </w:rPr>
            </w:pPr>
          </w:p>
        </w:tc>
        <w:tc>
          <w:tcPr>
            <w:tcW w:w="50" w:type="pct"/>
            <w:shd w:val="clear" w:color="auto" w:fill="auto"/>
          </w:tcPr>
          <w:p w14:paraId="5EA26EF4" w14:textId="77777777" w:rsidR="003C66EB" w:rsidRDefault="003C66EB">
            <w:pPr>
              <w:rPr>
                <w:rFonts w:ascii="宋体"/>
              </w:rPr>
            </w:pPr>
          </w:p>
        </w:tc>
        <w:tc>
          <w:tcPr>
            <w:tcW w:w="354" w:type="pct"/>
            <w:shd w:val="clear" w:color="auto" w:fill="auto"/>
          </w:tcPr>
          <w:p w14:paraId="5EA26EF5" w14:textId="77777777" w:rsidR="003C66EB" w:rsidRDefault="003C66EB">
            <w:pPr>
              <w:rPr>
                <w:rFonts w:ascii="宋体"/>
              </w:rPr>
            </w:pPr>
          </w:p>
        </w:tc>
        <w:tc>
          <w:tcPr>
            <w:tcW w:w="5" w:type="pct"/>
            <w:shd w:val="clear" w:color="auto" w:fill="auto"/>
          </w:tcPr>
          <w:p w14:paraId="5EA26EF6" w14:textId="77777777" w:rsidR="003C66EB" w:rsidRDefault="003C66EB">
            <w:pPr>
              <w:rPr>
                <w:rFonts w:ascii="宋体"/>
              </w:rPr>
            </w:pPr>
          </w:p>
        </w:tc>
        <w:tc>
          <w:tcPr>
            <w:tcW w:w="5" w:type="pct"/>
            <w:shd w:val="clear" w:color="auto" w:fill="auto"/>
          </w:tcPr>
          <w:p w14:paraId="5EA26EF7" w14:textId="77777777" w:rsidR="003C66EB" w:rsidRDefault="003C66EB">
            <w:pPr>
              <w:rPr>
                <w:rFonts w:ascii="宋体"/>
              </w:rPr>
            </w:pPr>
          </w:p>
        </w:tc>
        <w:tc>
          <w:tcPr>
            <w:tcW w:w="26" w:type="pct"/>
            <w:shd w:val="clear" w:color="auto" w:fill="auto"/>
          </w:tcPr>
          <w:p w14:paraId="5EA26EF8" w14:textId="77777777" w:rsidR="003C66EB" w:rsidRDefault="003C66EB">
            <w:pPr>
              <w:rPr>
                <w:rFonts w:ascii="宋体"/>
              </w:rPr>
            </w:pPr>
          </w:p>
        </w:tc>
        <w:tc>
          <w:tcPr>
            <w:tcW w:w="5" w:type="pct"/>
            <w:shd w:val="clear" w:color="auto" w:fill="auto"/>
          </w:tcPr>
          <w:p w14:paraId="5EA26EF9" w14:textId="77777777" w:rsidR="003C66EB" w:rsidRDefault="003C66EB">
            <w:pPr>
              <w:rPr>
                <w:rFonts w:ascii="宋体"/>
              </w:rPr>
            </w:pPr>
          </w:p>
        </w:tc>
        <w:tc>
          <w:tcPr>
            <w:tcW w:w="50" w:type="pct"/>
            <w:shd w:val="clear" w:color="auto" w:fill="auto"/>
          </w:tcPr>
          <w:p w14:paraId="5EA26EFA" w14:textId="77777777" w:rsidR="003C66EB" w:rsidRDefault="003C66EB">
            <w:pPr>
              <w:rPr>
                <w:rFonts w:ascii="宋体"/>
              </w:rPr>
            </w:pPr>
          </w:p>
        </w:tc>
        <w:tc>
          <w:tcPr>
            <w:tcW w:w="354" w:type="pct"/>
            <w:shd w:val="clear" w:color="auto" w:fill="auto"/>
          </w:tcPr>
          <w:p w14:paraId="5EA26EFB" w14:textId="77777777" w:rsidR="003C66EB" w:rsidRDefault="003C66EB">
            <w:pPr>
              <w:rPr>
                <w:rFonts w:ascii="宋体"/>
              </w:rPr>
            </w:pPr>
          </w:p>
        </w:tc>
        <w:tc>
          <w:tcPr>
            <w:tcW w:w="5" w:type="pct"/>
            <w:shd w:val="clear" w:color="auto" w:fill="auto"/>
          </w:tcPr>
          <w:p w14:paraId="5EA26EFC" w14:textId="77777777" w:rsidR="003C66EB" w:rsidRDefault="003C66EB">
            <w:pPr>
              <w:rPr>
                <w:rFonts w:ascii="宋体"/>
              </w:rPr>
            </w:pPr>
          </w:p>
        </w:tc>
        <w:tc>
          <w:tcPr>
            <w:tcW w:w="5" w:type="pct"/>
            <w:shd w:val="clear" w:color="auto" w:fill="auto"/>
          </w:tcPr>
          <w:p w14:paraId="5EA26EFD" w14:textId="77777777" w:rsidR="003C66EB" w:rsidRDefault="003C66EB">
            <w:pPr>
              <w:rPr>
                <w:rFonts w:ascii="宋体"/>
              </w:rPr>
            </w:pPr>
          </w:p>
        </w:tc>
        <w:tc>
          <w:tcPr>
            <w:tcW w:w="26" w:type="pct"/>
            <w:shd w:val="clear" w:color="auto" w:fill="auto"/>
          </w:tcPr>
          <w:p w14:paraId="5EA26EFE" w14:textId="77777777" w:rsidR="003C66EB" w:rsidRDefault="003C66EB">
            <w:pPr>
              <w:rPr>
                <w:rFonts w:ascii="宋体"/>
              </w:rPr>
            </w:pPr>
          </w:p>
        </w:tc>
        <w:tc>
          <w:tcPr>
            <w:tcW w:w="5" w:type="pct"/>
            <w:shd w:val="clear" w:color="auto" w:fill="auto"/>
          </w:tcPr>
          <w:p w14:paraId="5EA26EFF" w14:textId="77777777" w:rsidR="003C66EB" w:rsidRDefault="003C66EB">
            <w:pPr>
              <w:rPr>
                <w:rFonts w:ascii="宋体"/>
              </w:rPr>
            </w:pPr>
          </w:p>
        </w:tc>
        <w:tc>
          <w:tcPr>
            <w:tcW w:w="50" w:type="pct"/>
            <w:shd w:val="clear" w:color="auto" w:fill="auto"/>
          </w:tcPr>
          <w:p w14:paraId="5EA26F00" w14:textId="77777777" w:rsidR="003C66EB" w:rsidRDefault="003C66EB">
            <w:pPr>
              <w:rPr>
                <w:rFonts w:ascii="宋体"/>
              </w:rPr>
            </w:pPr>
          </w:p>
        </w:tc>
        <w:tc>
          <w:tcPr>
            <w:tcW w:w="354" w:type="pct"/>
            <w:shd w:val="clear" w:color="auto" w:fill="auto"/>
          </w:tcPr>
          <w:p w14:paraId="5EA26F01" w14:textId="77777777" w:rsidR="003C66EB" w:rsidRDefault="003C66EB">
            <w:pPr>
              <w:rPr>
                <w:rFonts w:ascii="宋体"/>
              </w:rPr>
            </w:pPr>
          </w:p>
        </w:tc>
        <w:tc>
          <w:tcPr>
            <w:tcW w:w="5" w:type="pct"/>
            <w:shd w:val="clear" w:color="auto" w:fill="auto"/>
          </w:tcPr>
          <w:p w14:paraId="5EA26F02" w14:textId="77777777" w:rsidR="003C66EB" w:rsidRDefault="003C66EB">
            <w:pPr>
              <w:rPr>
                <w:rFonts w:ascii="宋体"/>
              </w:rPr>
            </w:pPr>
          </w:p>
        </w:tc>
        <w:tc>
          <w:tcPr>
            <w:tcW w:w="5" w:type="pct"/>
            <w:shd w:val="clear" w:color="auto" w:fill="auto"/>
          </w:tcPr>
          <w:p w14:paraId="5EA26F03" w14:textId="77777777" w:rsidR="003C66EB" w:rsidRDefault="003C66EB">
            <w:pPr>
              <w:rPr>
                <w:rFonts w:ascii="宋体"/>
              </w:rPr>
            </w:pPr>
          </w:p>
        </w:tc>
        <w:tc>
          <w:tcPr>
            <w:tcW w:w="26" w:type="pct"/>
            <w:shd w:val="clear" w:color="auto" w:fill="auto"/>
          </w:tcPr>
          <w:p w14:paraId="5EA26F04" w14:textId="77777777" w:rsidR="003C66EB" w:rsidRDefault="003C66EB">
            <w:pPr>
              <w:rPr>
                <w:rFonts w:ascii="宋体"/>
              </w:rPr>
            </w:pPr>
          </w:p>
        </w:tc>
        <w:tc>
          <w:tcPr>
            <w:tcW w:w="5" w:type="pct"/>
            <w:shd w:val="clear" w:color="auto" w:fill="auto"/>
          </w:tcPr>
          <w:p w14:paraId="5EA26F05" w14:textId="77777777" w:rsidR="003C66EB" w:rsidRDefault="003C66EB">
            <w:pPr>
              <w:rPr>
                <w:rFonts w:ascii="宋体"/>
              </w:rPr>
            </w:pPr>
          </w:p>
        </w:tc>
        <w:tc>
          <w:tcPr>
            <w:tcW w:w="50" w:type="pct"/>
            <w:shd w:val="clear" w:color="auto" w:fill="auto"/>
          </w:tcPr>
          <w:p w14:paraId="5EA26F06" w14:textId="77777777" w:rsidR="003C66EB" w:rsidRDefault="003C66EB">
            <w:pPr>
              <w:rPr>
                <w:rFonts w:ascii="宋体"/>
              </w:rPr>
            </w:pPr>
          </w:p>
        </w:tc>
        <w:tc>
          <w:tcPr>
            <w:tcW w:w="354" w:type="pct"/>
            <w:shd w:val="clear" w:color="auto" w:fill="auto"/>
          </w:tcPr>
          <w:p w14:paraId="5EA26F07" w14:textId="77777777" w:rsidR="003C66EB" w:rsidRDefault="003C66EB">
            <w:pPr>
              <w:rPr>
                <w:rFonts w:ascii="宋体"/>
              </w:rPr>
            </w:pPr>
          </w:p>
        </w:tc>
        <w:tc>
          <w:tcPr>
            <w:tcW w:w="5" w:type="pct"/>
            <w:shd w:val="clear" w:color="auto" w:fill="auto"/>
          </w:tcPr>
          <w:p w14:paraId="5EA26F08" w14:textId="77777777" w:rsidR="003C66EB" w:rsidRDefault="003C66EB">
            <w:pPr>
              <w:rPr>
                <w:rFonts w:ascii="宋体"/>
              </w:rPr>
            </w:pPr>
          </w:p>
        </w:tc>
      </w:tr>
      <w:tr w:rsidR="003C66EB" w14:paraId="5EA26F0E" w14:textId="77777777">
        <w:tc>
          <w:tcPr>
            <w:tcW w:w="0" w:type="auto"/>
            <w:gridSpan w:val="9"/>
            <w:shd w:val="clear" w:color="auto" w:fill="auto"/>
            <w:tcMar>
              <w:top w:w="0" w:type="dxa"/>
              <w:left w:w="20" w:type="dxa"/>
              <w:bottom w:w="0" w:type="dxa"/>
              <w:right w:w="20" w:type="dxa"/>
            </w:tcMar>
          </w:tcPr>
          <w:p w14:paraId="5EA26F0A" w14:textId="77777777" w:rsidR="003C66EB" w:rsidRDefault="003C66EB">
            <w:pPr>
              <w:rPr>
                <w:rFonts w:ascii="宋体"/>
              </w:rPr>
            </w:pPr>
          </w:p>
        </w:tc>
        <w:tc>
          <w:tcPr>
            <w:tcW w:w="0" w:type="auto"/>
            <w:gridSpan w:val="21"/>
            <w:shd w:val="clear" w:color="auto" w:fill="FFFFFF"/>
            <w:tcMar>
              <w:top w:w="40" w:type="dxa"/>
              <w:left w:w="20" w:type="dxa"/>
              <w:bottom w:w="40" w:type="dxa"/>
              <w:right w:w="20" w:type="dxa"/>
            </w:tcMar>
            <w:vAlign w:val="bottom"/>
          </w:tcPr>
          <w:p w14:paraId="5EA26F0B" w14:textId="77777777" w:rsidR="003C66EB" w:rsidRDefault="00D96C4E">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tcPr>
          <w:p w14:paraId="5EA26F0C" w14:textId="77777777" w:rsidR="003C66EB" w:rsidRDefault="003C66EB">
            <w:pPr>
              <w:rPr>
                <w:rFonts w:ascii="宋体"/>
              </w:rPr>
            </w:pPr>
          </w:p>
        </w:tc>
        <w:tc>
          <w:tcPr>
            <w:tcW w:w="0" w:type="auto"/>
            <w:gridSpan w:val="21"/>
            <w:shd w:val="clear" w:color="auto" w:fill="FFFFFF"/>
            <w:tcMar>
              <w:top w:w="40" w:type="dxa"/>
              <w:left w:w="20" w:type="dxa"/>
              <w:bottom w:w="40" w:type="dxa"/>
              <w:right w:w="20" w:type="dxa"/>
            </w:tcMar>
            <w:vAlign w:val="bottom"/>
          </w:tcPr>
          <w:p w14:paraId="5EA26F0D" w14:textId="77777777" w:rsidR="003C66EB" w:rsidRDefault="00D96C4E">
            <w:pPr>
              <w:jc w:val="center"/>
              <w:textAlignment w:val="bottom"/>
            </w:pPr>
            <w:r>
              <w:rPr>
                <w:rFonts w:ascii="Arial" w:eastAsia="宋体" w:hAnsi="Arial" w:cs="Arial"/>
                <w:b/>
                <w:bCs/>
                <w:color w:val="000000"/>
                <w:sz w:val="12"/>
                <w:szCs w:val="12"/>
              </w:rPr>
              <w:t>State Street Bank</w:t>
            </w:r>
          </w:p>
        </w:tc>
      </w:tr>
      <w:tr w:rsidR="003C66EB" w14:paraId="5EA26F1F" w14:textId="77777777">
        <w:tc>
          <w:tcPr>
            <w:tcW w:w="0" w:type="auto"/>
            <w:gridSpan w:val="9"/>
            <w:shd w:val="clear" w:color="auto" w:fill="auto"/>
            <w:tcMar>
              <w:top w:w="40" w:type="dxa"/>
              <w:left w:w="20" w:type="dxa"/>
              <w:bottom w:w="40" w:type="dxa"/>
              <w:right w:w="20" w:type="dxa"/>
            </w:tcMar>
            <w:vAlign w:val="bottom"/>
          </w:tcPr>
          <w:p w14:paraId="5EA26F0F" w14:textId="77777777" w:rsidR="003C66EB" w:rsidRDefault="00D96C4E">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0" w14:textId="77777777" w:rsidR="003C66EB" w:rsidRDefault="00D96C4E">
            <w:pPr>
              <w:jc w:val="center"/>
              <w:textAlignment w:val="bottom"/>
            </w:pPr>
            <w:r>
              <w:rPr>
                <w:rFonts w:ascii="Arial" w:eastAsia="宋体" w:hAnsi="Arial" w:cs="Arial"/>
                <w:b/>
                <w:bCs/>
                <w:color w:val="000000"/>
                <w:sz w:val="11"/>
                <w:szCs w:val="11"/>
              </w:rPr>
              <w:t>Basel III Advanced Approaches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6F1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2" w14:textId="77777777" w:rsidR="003C66EB" w:rsidRDefault="00D96C4E">
            <w:pPr>
              <w:jc w:val="center"/>
              <w:textAlignment w:val="bottom"/>
            </w:pPr>
            <w:r>
              <w:rPr>
                <w:rFonts w:ascii="Arial" w:eastAsia="宋体" w:hAnsi="Arial" w:cs="Arial"/>
                <w:b/>
                <w:bCs/>
                <w:color w:val="000000"/>
                <w:sz w:val="11"/>
                <w:szCs w:val="11"/>
              </w:rPr>
              <w:t xml:space="preserve">Basel III Standardized Approach March </w:t>
            </w:r>
            <w:r>
              <w:rPr>
                <w:rFonts w:ascii="Arial" w:eastAsia="宋体" w:hAnsi="Arial" w:cs="Arial"/>
                <w:b/>
                <w:bCs/>
                <w:color w:val="000000"/>
                <w:sz w:val="11"/>
                <w:szCs w:val="11"/>
              </w:rPr>
              <w:t>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6F1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4" w14:textId="77777777" w:rsidR="003C66EB" w:rsidRDefault="00D96C4E">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6F15"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6" w14:textId="77777777" w:rsidR="003C66EB" w:rsidRDefault="00D96C4E">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tcPr>
          <w:p w14:paraId="5EA26F17"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8" w14:textId="77777777" w:rsidR="003C66EB" w:rsidRDefault="00D96C4E">
            <w:pPr>
              <w:jc w:val="center"/>
              <w:textAlignment w:val="bottom"/>
            </w:pPr>
            <w:r>
              <w:rPr>
                <w:rFonts w:ascii="Arial" w:eastAsia="宋体" w:hAnsi="Arial" w:cs="Arial"/>
                <w:b/>
                <w:bCs/>
                <w:color w:val="000000"/>
                <w:sz w:val="11"/>
                <w:szCs w:val="11"/>
              </w:rPr>
              <w:t>Basel III Advanced Approaches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6F1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A" w14:textId="77777777" w:rsidR="003C66EB" w:rsidRDefault="00D96C4E">
            <w:pPr>
              <w:jc w:val="center"/>
              <w:textAlignment w:val="bottom"/>
            </w:pPr>
            <w:r>
              <w:rPr>
                <w:rFonts w:ascii="Arial" w:eastAsia="宋体" w:hAnsi="Arial" w:cs="Arial"/>
                <w:b/>
                <w:bCs/>
                <w:color w:val="000000"/>
                <w:sz w:val="11"/>
                <w:szCs w:val="11"/>
              </w:rPr>
              <w:t>Basel III Standardized Approach March 31, 2021</w:t>
            </w:r>
          </w:p>
        </w:tc>
        <w:tc>
          <w:tcPr>
            <w:tcW w:w="0" w:type="auto"/>
            <w:gridSpan w:val="3"/>
            <w:tcBorders>
              <w:top w:val="single" w:sz="8" w:space="0" w:color="000000"/>
            </w:tcBorders>
            <w:shd w:val="clear" w:color="auto" w:fill="auto"/>
            <w:tcMar>
              <w:top w:w="0" w:type="dxa"/>
              <w:left w:w="20" w:type="dxa"/>
              <w:bottom w:w="0" w:type="dxa"/>
              <w:right w:w="20" w:type="dxa"/>
            </w:tcMar>
          </w:tcPr>
          <w:p w14:paraId="5EA26F1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C" w14:textId="77777777" w:rsidR="003C66EB" w:rsidRDefault="00D96C4E">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5EA26F1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6F1E" w14:textId="77777777" w:rsidR="003C66EB" w:rsidRDefault="00D96C4E">
            <w:pPr>
              <w:jc w:val="center"/>
              <w:textAlignment w:val="bottom"/>
            </w:pPr>
            <w:r>
              <w:rPr>
                <w:rFonts w:ascii="Arial" w:eastAsia="宋体" w:hAnsi="Arial" w:cs="Arial"/>
                <w:b/>
                <w:bCs/>
                <w:color w:val="000000"/>
                <w:sz w:val="11"/>
                <w:szCs w:val="11"/>
              </w:rPr>
              <w:t>Basel III Standardized Approach December 31, 2020</w:t>
            </w:r>
          </w:p>
        </w:tc>
      </w:tr>
      <w:tr w:rsidR="003C66EB" w14:paraId="5EA26F30" w14:textId="77777777">
        <w:tc>
          <w:tcPr>
            <w:tcW w:w="0" w:type="auto"/>
            <w:gridSpan w:val="9"/>
            <w:shd w:val="clear" w:color="auto" w:fill="auto"/>
            <w:tcMar>
              <w:top w:w="40" w:type="dxa"/>
              <w:left w:w="20" w:type="dxa"/>
              <w:bottom w:w="40" w:type="dxa"/>
              <w:right w:w="20" w:type="dxa"/>
            </w:tcMar>
            <w:vAlign w:val="bottom"/>
          </w:tcPr>
          <w:p w14:paraId="5EA26F20" w14:textId="77777777" w:rsidR="003C66EB" w:rsidRDefault="00D96C4E">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tcPr>
          <w:p w14:paraId="5EA26F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A"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6F2E"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6F2F" w14:textId="77777777" w:rsidR="003C66EB" w:rsidRDefault="003C66EB">
            <w:pPr>
              <w:rPr>
                <w:rFonts w:ascii="宋体"/>
              </w:rPr>
            </w:pPr>
          </w:p>
        </w:tc>
      </w:tr>
      <w:tr w:rsidR="00D96C4E" w14:paraId="5EA26F51" w14:textId="77777777">
        <w:tc>
          <w:tcPr>
            <w:tcW w:w="0" w:type="auto"/>
            <w:gridSpan w:val="9"/>
            <w:shd w:val="clear" w:color="auto" w:fill="CCEEFF"/>
            <w:tcMar>
              <w:top w:w="40" w:type="dxa"/>
              <w:left w:w="245" w:type="dxa"/>
              <w:bottom w:w="40" w:type="dxa"/>
              <w:right w:w="20" w:type="dxa"/>
            </w:tcMar>
            <w:vAlign w:val="bottom"/>
          </w:tcPr>
          <w:p w14:paraId="5EA26F31" w14:textId="77777777" w:rsidR="003C66EB" w:rsidRDefault="00D96C4E">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5EA26F32"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6F33" w14:textId="77777777" w:rsidR="003C66EB" w:rsidRDefault="00D96C4E">
            <w:pPr>
              <w:jc w:val="right"/>
              <w:textAlignment w:val="bottom"/>
            </w:pPr>
            <w:r>
              <w:rPr>
                <w:rFonts w:ascii="Arial" w:eastAsia="宋体" w:hAnsi="Arial" w:cs="Arial"/>
                <w:b/>
                <w:bCs/>
                <w:color w:val="000000"/>
                <w:sz w:val="12"/>
                <w:szCs w:val="12"/>
              </w:rPr>
              <w:t>10,731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6F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3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36"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6F37" w14:textId="77777777" w:rsidR="003C66EB" w:rsidRDefault="00D96C4E">
            <w:pPr>
              <w:jc w:val="right"/>
              <w:textAlignment w:val="bottom"/>
            </w:pPr>
            <w:r>
              <w:rPr>
                <w:rFonts w:ascii="Arial" w:eastAsia="宋体" w:hAnsi="Arial" w:cs="Arial"/>
                <w:b/>
                <w:bCs/>
                <w:color w:val="000000"/>
                <w:sz w:val="12"/>
                <w:szCs w:val="12"/>
              </w:rPr>
              <w:t>10,731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6F3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3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3A"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6F3B" w14:textId="77777777" w:rsidR="003C66EB" w:rsidRDefault="00D96C4E">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A26F3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3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3E"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6F3F" w14:textId="77777777" w:rsidR="003C66EB" w:rsidRDefault="00D96C4E">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A26F4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4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42"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6F43" w14:textId="77777777" w:rsidR="003C66EB" w:rsidRDefault="00D96C4E">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6F4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4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46"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6F47" w14:textId="77777777" w:rsidR="003C66EB" w:rsidRDefault="00D96C4E">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6F4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49"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4A"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6F4B" w14:textId="77777777" w:rsidR="003C66EB" w:rsidRDefault="00D96C4E">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A26F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4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6F4E"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6F4F" w14:textId="77777777" w:rsidR="003C66EB" w:rsidRDefault="00D96C4E">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A26F50" w14:textId="77777777" w:rsidR="003C66EB" w:rsidRDefault="003C66EB">
            <w:pPr>
              <w:jc w:val="right"/>
              <w:rPr>
                <w:rFonts w:ascii="宋体"/>
              </w:rPr>
            </w:pPr>
          </w:p>
        </w:tc>
      </w:tr>
      <w:tr w:rsidR="003C66EB" w14:paraId="5EA26F6A" w14:textId="77777777">
        <w:tc>
          <w:tcPr>
            <w:tcW w:w="0" w:type="auto"/>
            <w:gridSpan w:val="9"/>
            <w:shd w:val="clear" w:color="auto" w:fill="FFFFFF"/>
            <w:tcMar>
              <w:top w:w="40" w:type="dxa"/>
              <w:left w:w="245" w:type="dxa"/>
              <w:bottom w:w="40" w:type="dxa"/>
              <w:right w:w="20" w:type="dxa"/>
            </w:tcMar>
            <w:vAlign w:val="bottom"/>
          </w:tcPr>
          <w:p w14:paraId="5EA26F52" w14:textId="77777777" w:rsidR="003C66EB" w:rsidRDefault="00D96C4E">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5EA26F53" w14:textId="77777777" w:rsidR="003C66EB" w:rsidRDefault="00D96C4E">
            <w:pPr>
              <w:jc w:val="right"/>
              <w:textAlignment w:val="bottom"/>
            </w:pPr>
            <w:r>
              <w:rPr>
                <w:rFonts w:ascii="Arial" w:eastAsia="宋体" w:hAnsi="Arial" w:cs="Arial"/>
                <w:b/>
                <w:bCs/>
                <w:color w:val="000000"/>
                <w:sz w:val="12"/>
                <w:szCs w:val="12"/>
              </w:rPr>
              <w:t>23,751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5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5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56" w14:textId="77777777" w:rsidR="003C66EB" w:rsidRDefault="00D96C4E">
            <w:pPr>
              <w:jc w:val="right"/>
              <w:textAlignment w:val="bottom"/>
            </w:pPr>
            <w:r>
              <w:rPr>
                <w:rFonts w:ascii="Arial" w:eastAsia="宋体" w:hAnsi="Arial" w:cs="Arial"/>
                <w:b/>
                <w:bCs/>
                <w:color w:val="000000"/>
                <w:sz w:val="12"/>
                <w:szCs w:val="12"/>
              </w:rPr>
              <w:t>23,751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5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5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59" w14:textId="77777777" w:rsidR="003C66EB" w:rsidRDefault="00D96C4E">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A26F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5C" w14:textId="77777777" w:rsidR="003C66EB" w:rsidRDefault="00D96C4E">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A26F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5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5F" w14:textId="77777777" w:rsidR="003C66EB" w:rsidRDefault="00D96C4E">
            <w:pPr>
              <w:jc w:val="right"/>
              <w:textAlignment w:val="bottom"/>
            </w:pPr>
            <w:r>
              <w:rPr>
                <w:rFonts w:ascii="Arial" w:eastAsia="宋体" w:hAnsi="Arial" w:cs="Arial"/>
                <w:b/>
                <w:bCs/>
                <w:color w:val="000000"/>
                <w:sz w:val="12"/>
                <w:szCs w:val="12"/>
              </w:rPr>
              <w:t>13,479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6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6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62" w14:textId="77777777" w:rsidR="003C66EB" w:rsidRDefault="00D96C4E">
            <w:pPr>
              <w:jc w:val="right"/>
              <w:textAlignment w:val="bottom"/>
            </w:pPr>
            <w:r>
              <w:rPr>
                <w:rFonts w:ascii="Arial" w:eastAsia="宋体" w:hAnsi="Arial" w:cs="Arial"/>
                <w:b/>
                <w:bCs/>
                <w:color w:val="000000"/>
                <w:sz w:val="12"/>
                <w:szCs w:val="12"/>
              </w:rPr>
              <w:t>13,479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6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6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65" w14:textId="77777777" w:rsidR="003C66EB" w:rsidRDefault="00D96C4E">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A26F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6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68" w14:textId="77777777" w:rsidR="003C66EB" w:rsidRDefault="00D96C4E">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A26F69" w14:textId="77777777" w:rsidR="003C66EB" w:rsidRDefault="003C66EB">
            <w:pPr>
              <w:jc w:val="right"/>
              <w:rPr>
                <w:rFonts w:ascii="宋体"/>
              </w:rPr>
            </w:pPr>
          </w:p>
        </w:tc>
      </w:tr>
      <w:tr w:rsidR="003C66EB" w14:paraId="5EA26F83" w14:textId="77777777">
        <w:tc>
          <w:tcPr>
            <w:tcW w:w="0" w:type="auto"/>
            <w:gridSpan w:val="9"/>
            <w:shd w:val="clear" w:color="auto" w:fill="CCEEFF"/>
            <w:tcMar>
              <w:top w:w="40" w:type="dxa"/>
              <w:left w:w="245" w:type="dxa"/>
              <w:bottom w:w="40" w:type="dxa"/>
              <w:right w:w="20" w:type="dxa"/>
            </w:tcMar>
            <w:vAlign w:val="bottom"/>
          </w:tcPr>
          <w:p w14:paraId="5EA26F6B" w14:textId="77777777" w:rsidR="003C66EB" w:rsidRDefault="00D96C4E">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EA26F6C" w14:textId="77777777" w:rsidR="003C66EB" w:rsidRDefault="00D96C4E">
            <w:pPr>
              <w:jc w:val="right"/>
              <w:textAlignment w:val="bottom"/>
            </w:pPr>
            <w:r>
              <w:rPr>
                <w:rFonts w:ascii="Arial" w:eastAsia="宋体" w:hAnsi="Arial" w:cs="Arial"/>
                <w:b/>
                <w:bCs/>
                <w:color w:val="000000"/>
                <w:sz w:val="12"/>
                <w:szCs w:val="12"/>
              </w:rPr>
              <w:t>(418)</w:t>
            </w:r>
          </w:p>
        </w:tc>
        <w:tc>
          <w:tcPr>
            <w:tcW w:w="0" w:type="auto"/>
            <w:shd w:val="clear" w:color="auto" w:fill="CCEEFF"/>
            <w:tcMar>
              <w:top w:w="40" w:type="dxa"/>
              <w:left w:w="0" w:type="dxa"/>
              <w:bottom w:w="40" w:type="dxa"/>
              <w:right w:w="20" w:type="dxa"/>
            </w:tcMar>
            <w:vAlign w:val="bottom"/>
          </w:tcPr>
          <w:p w14:paraId="5EA26F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6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6F" w14:textId="77777777" w:rsidR="003C66EB" w:rsidRDefault="00D96C4E">
            <w:pPr>
              <w:jc w:val="right"/>
              <w:textAlignment w:val="bottom"/>
            </w:pPr>
            <w:r>
              <w:rPr>
                <w:rFonts w:ascii="Arial" w:eastAsia="宋体" w:hAnsi="Arial" w:cs="Arial"/>
                <w:b/>
                <w:bCs/>
                <w:color w:val="000000"/>
                <w:sz w:val="12"/>
                <w:szCs w:val="12"/>
              </w:rPr>
              <w:t>(418)</w:t>
            </w:r>
          </w:p>
        </w:tc>
        <w:tc>
          <w:tcPr>
            <w:tcW w:w="0" w:type="auto"/>
            <w:shd w:val="clear" w:color="auto" w:fill="CCEEFF"/>
            <w:tcMar>
              <w:top w:w="40" w:type="dxa"/>
              <w:left w:w="0" w:type="dxa"/>
              <w:bottom w:w="40" w:type="dxa"/>
              <w:right w:w="20" w:type="dxa"/>
            </w:tcMar>
            <w:vAlign w:val="bottom"/>
          </w:tcPr>
          <w:p w14:paraId="5EA26F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7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72" w14:textId="77777777" w:rsidR="003C66EB" w:rsidRDefault="00D96C4E">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A26F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7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75" w14:textId="77777777" w:rsidR="003C66EB" w:rsidRDefault="00D96C4E">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A26F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7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78" w14:textId="77777777" w:rsidR="003C66EB" w:rsidRDefault="00D96C4E">
            <w:pPr>
              <w:jc w:val="right"/>
              <w:textAlignment w:val="bottom"/>
            </w:pPr>
            <w:r>
              <w:rPr>
                <w:rFonts w:ascii="Arial" w:eastAsia="宋体" w:hAnsi="Arial" w:cs="Arial"/>
                <w:b/>
                <w:bCs/>
                <w:color w:val="000000"/>
                <w:sz w:val="12"/>
                <w:szCs w:val="12"/>
              </w:rPr>
              <w:t>(221)</w:t>
            </w:r>
          </w:p>
        </w:tc>
        <w:tc>
          <w:tcPr>
            <w:tcW w:w="0" w:type="auto"/>
            <w:shd w:val="clear" w:color="auto" w:fill="CCEEFF"/>
            <w:tcMar>
              <w:top w:w="40" w:type="dxa"/>
              <w:left w:w="0" w:type="dxa"/>
              <w:bottom w:w="40" w:type="dxa"/>
              <w:right w:w="20" w:type="dxa"/>
            </w:tcMar>
            <w:vAlign w:val="bottom"/>
          </w:tcPr>
          <w:p w14:paraId="5EA26F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7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7B" w14:textId="77777777" w:rsidR="003C66EB" w:rsidRDefault="00D96C4E">
            <w:pPr>
              <w:jc w:val="right"/>
              <w:textAlignment w:val="bottom"/>
            </w:pPr>
            <w:r>
              <w:rPr>
                <w:rFonts w:ascii="Arial" w:eastAsia="宋体" w:hAnsi="Arial" w:cs="Arial"/>
                <w:b/>
                <w:bCs/>
                <w:color w:val="000000"/>
                <w:sz w:val="12"/>
                <w:szCs w:val="12"/>
              </w:rPr>
              <w:t>(221)</w:t>
            </w:r>
          </w:p>
        </w:tc>
        <w:tc>
          <w:tcPr>
            <w:tcW w:w="0" w:type="auto"/>
            <w:shd w:val="clear" w:color="auto" w:fill="CCEEFF"/>
            <w:tcMar>
              <w:top w:w="40" w:type="dxa"/>
              <w:left w:w="0" w:type="dxa"/>
              <w:bottom w:w="40" w:type="dxa"/>
              <w:right w:w="20" w:type="dxa"/>
            </w:tcMar>
            <w:vAlign w:val="bottom"/>
          </w:tcPr>
          <w:p w14:paraId="5EA26F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7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7E" w14:textId="77777777" w:rsidR="003C66EB" w:rsidRDefault="00D96C4E">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A26F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8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81" w14:textId="77777777" w:rsidR="003C66EB" w:rsidRDefault="00D96C4E">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A26F82" w14:textId="77777777" w:rsidR="003C66EB" w:rsidRDefault="003C66EB">
            <w:pPr>
              <w:jc w:val="right"/>
              <w:rPr>
                <w:rFonts w:ascii="宋体"/>
              </w:rPr>
            </w:pPr>
          </w:p>
        </w:tc>
      </w:tr>
      <w:tr w:rsidR="003C66EB" w14:paraId="5EA26F9C" w14:textId="77777777">
        <w:tc>
          <w:tcPr>
            <w:tcW w:w="0" w:type="auto"/>
            <w:gridSpan w:val="9"/>
            <w:shd w:val="clear" w:color="auto" w:fill="FFFFFF"/>
            <w:tcMar>
              <w:top w:w="40" w:type="dxa"/>
              <w:left w:w="245" w:type="dxa"/>
              <w:bottom w:w="40" w:type="dxa"/>
              <w:right w:w="20" w:type="dxa"/>
            </w:tcMar>
            <w:vAlign w:val="bottom"/>
          </w:tcPr>
          <w:p w14:paraId="5EA26F84" w14:textId="77777777" w:rsidR="003C66EB" w:rsidRDefault="00D96C4E">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5EA26F85" w14:textId="77777777" w:rsidR="003C66EB" w:rsidRDefault="00D96C4E">
            <w:pPr>
              <w:jc w:val="right"/>
              <w:textAlignment w:val="bottom"/>
            </w:pPr>
            <w:r>
              <w:rPr>
                <w:rFonts w:ascii="Arial" w:eastAsia="宋体" w:hAnsi="Arial" w:cs="Arial"/>
                <w:b/>
                <w:bCs/>
                <w:color w:val="000000"/>
                <w:sz w:val="12"/>
                <w:szCs w:val="12"/>
              </w:rPr>
              <w:t>(11,035)</w:t>
            </w:r>
          </w:p>
        </w:tc>
        <w:tc>
          <w:tcPr>
            <w:tcW w:w="0" w:type="auto"/>
            <w:shd w:val="clear" w:color="auto" w:fill="FFFFFF"/>
            <w:tcMar>
              <w:top w:w="40" w:type="dxa"/>
              <w:left w:w="0" w:type="dxa"/>
              <w:bottom w:w="40" w:type="dxa"/>
              <w:right w:w="20" w:type="dxa"/>
            </w:tcMar>
            <w:vAlign w:val="bottom"/>
          </w:tcPr>
          <w:p w14:paraId="5EA26F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8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88" w14:textId="77777777" w:rsidR="003C66EB" w:rsidRDefault="00D96C4E">
            <w:pPr>
              <w:jc w:val="right"/>
              <w:textAlignment w:val="bottom"/>
            </w:pPr>
            <w:r>
              <w:rPr>
                <w:rFonts w:ascii="Arial" w:eastAsia="宋体" w:hAnsi="Arial" w:cs="Arial"/>
                <w:b/>
                <w:bCs/>
                <w:color w:val="000000"/>
                <w:sz w:val="12"/>
                <w:szCs w:val="12"/>
              </w:rPr>
              <w:t>(11,035)</w:t>
            </w:r>
          </w:p>
        </w:tc>
        <w:tc>
          <w:tcPr>
            <w:tcW w:w="0" w:type="auto"/>
            <w:shd w:val="clear" w:color="auto" w:fill="FFFFFF"/>
            <w:tcMar>
              <w:top w:w="40" w:type="dxa"/>
              <w:left w:w="0" w:type="dxa"/>
              <w:bottom w:w="40" w:type="dxa"/>
              <w:right w:w="20" w:type="dxa"/>
            </w:tcMar>
            <w:vAlign w:val="bottom"/>
          </w:tcPr>
          <w:p w14:paraId="5EA26F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8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8B" w14:textId="77777777" w:rsidR="003C66EB" w:rsidRDefault="00D96C4E">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A26F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8E" w14:textId="77777777" w:rsidR="003C66EB" w:rsidRDefault="00D96C4E">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A26F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91"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94"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97"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9A" w14:textId="77777777" w:rsidR="003C66EB" w:rsidRDefault="00D96C4E">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6F9B" w14:textId="77777777" w:rsidR="003C66EB" w:rsidRDefault="003C66EB">
            <w:pPr>
              <w:jc w:val="right"/>
              <w:rPr>
                <w:rFonts w:ascii="宋体"/>
              </w:rPr>
            </w:pPr>
          </w:p>
        </w:tc>
      </w:tr>
      <w:tr w:rsidR="003C66EB" w14:paraId="5EA26FB5" w14:textId="77777777">
        <w:tc>
          <w:tcPr>
            <w:tcW w:w="0" w:type="auto"/>
            <w:gridSpan w:val="9"/>
            <w:shd w:val="clear" w:color="auto" w:fill="CCEEFF"/>
            <w:tcMar>
              <w:top w:w="40" w:type="dxa"/>
              <w:left w:w="155" w:type="dxa"/>
              <w:bottom w:w="40" w:type="dxa"/>
              <w:right w:w="20" w:type="dxa"/>
            </w:tcMar>
            <w:vAlign w:val="bottom"/>
          </w:tcPr>
          <w:p w14:paraId="5EA26F9D" w14:textId="77777777" w:rsidR="003C66EB" w:rsidRDefault="00D96C4E">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9E" w14:textId="77777777" w:rsidR="003C66EB" w:rsidRDefault="00D96C4E">
            <w:pPr>
              <w:jc w:val="right"/>
              <w:textAlignment w:val="bottom"/>
            </w:pPr>
            <w:r>
              <w:rPr>
                <w:rFonts w:ascii="Arial" w:eastAsia="宋体" w:hAnsi="Arial" w:cs="Arial"/>
                <w:b/>
                <w:bCs/>
                <w:color w:val="000000"/>
                <w:sz w:val="12"/>
                <w:szCs w:val="12"/>
              </w:rPr>
              <w:t>23,029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A0"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A1" w14:textId="77777777" w:rsidR="003C66EB" w:rsidRDefault="00D96C4E">
            <w:pPr>
              <w:jc w:val="right"/>
              <w:textAlignment w:val="bottom"/>
            </w:pPr>
            <w:r>
              <w:rPr>
                <w:rFonts w:ascii="Arial" w:eastAsia="宋体" w:hAnsi="Arial" w:cs="Arial"/>
                <w:b/>
                <w:bCs/>
                <w:color w:val="000000"/>
                <w:sz w:val="12"/>
                <w:szCs w:val="12"/>
              </w:rPr>
              <w:t>23,029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A3"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A4" w14:textId="77777777" w:rsidR="003C66EB" w:rsidRDefault="00D96C4E">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A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A6"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A7" w14:textId="77777777" w:rsidR="003C66EB" w:rsidRDefault="00D96C4E">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A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A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AA" w14:textId="77777777" w:rsidR="003C66EB" w:rsidRDefault="00D96C4E">
            <w:pPr>
              <w:jc w:val="right"/>
              <w:textAlignment w:val="bottom"/>
            </w:pPr>
            <w:r>
              <w:rPr>
                <w:rFonts w:ascii="Arial" w:eastAsia="宋体" w:hAnsi="Arial" w:cs="Arial"/>
                <w:b/>
                <w:bCs/>
                <w:color w:val="000000"/>
                <w:sz w:val="12"/>
                <w:szCs w:val="12"/>
              </w:rPr>
              <w:t>26,151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A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AD" w14:textId="77777777" w:rsidR="003C66EB" w:rsidRDefault="00D96C4E">
            <w:pPr>
              <w:jc w:val="right"/>
              <w:textAlignment w:val="bottom"/>
            </w:pPr>
            <w:r>
              <w:rPr>
                <w:rFonts w:ascii="Arial" w:eastAsia="宋体" w:hAnsi="Arial" w:cs="Arial"/>
                <w:b/>
                <w:bCs/>
                <w:color w:val="000000"/>
                <w:sz w:val="12"/>
                <w:szCs w:val="12"/>
              </w:rPr>
              <w:t>26,151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A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B0" w14:textId="77777777" w:rsidR="003C66EB" w:rsidRDefault="00D96C4E">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B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B3" w14:textId="77777777" w:rsidR="003C66EB" w:rsidRDefault="00D96C4E">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B4" w14:textId="77777777" w:rsidR="003C66EB" w:rsidRDefault="003C66EB">
            <w:pPr>
              <w:jc w:val="right"/>
              <w:rPr>
                <w:rFonts w:ascii="宋体"/>
              </w:rPr>
            </w:pPr>
          </w:p>
        </w:tc>
      </w:tr>
      <w:tr w:rsidR="003C66EB" w14:paraId="5EA26FC6" w14:textId="77777777">
        <w:tc>
          <w:tcPr>
            <w:tcW w:w="0" w:type="auto"/>
            <w:gridSpan w:val="9"/>
            <w:shd w:val="clear" w:color="auto" w:fill="FFFFFF"/>
            <w:tcMar>
              <w:top w:w="40" w:type="dxa"/>
              <w:left w:w="155" w:type="dxa"/>
              <w:bottom w:w="40" w:type="dxa"/>
              <w:right w:w="20" w:type="dxa"/>
            </w:tcMar>
            <w:vAlign w:val="bottom"/>
          </w:tcPr>
          <w:p w14:paraId="5EA26FB6" w14:textId="77777777" w:rsidR="003C66EB" w:rsidRDefault="00D96C4E">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tcPr>
          <w:p w14:paraId="5EA26FB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8"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A"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C"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E"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B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C0"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C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C2"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C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C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6FC5" w14:textId="77777777" w:rsidR="003C66EB" w:rsidRDefault="003C66EB">
            <w:pPr>
              <w:rPr>
                <w:rFonts w:ascii="宋体"/>
              </w:rPr>
            </w:pPr>
          </w:p>
        </w:tc>
      </w:tr>
      <w:tr w:rsidR="003C66EB" w14:paraId="5EA26FDF" w14:textId="77777777">
        <w:tc>
          <w:tcPr>
            <w:tcW w:w="0" w:type="auto"/>
            <w:gridSpan w:val="9"/>
            <w:shd w:val="clear" w:color="auto" w:fill="CCEEFF"/>
            <w:tcMar>
              <w:top w:w="40" w:type="dxa"/>
              <w:left w:w="245" w:type="dxa"/>
              <w:bottom w:w="40" w:type="dxa"/>
              <w:right w:w="20" w:type="dxa"/>
            </w:tcMar>
            <w:vAlign w:val="bottom"/>
          </w:tcPr>
          <w:p w14:paraId="5EA26FC7" w14:textId="77777777" w:rsidR="003C66EB" w:rsidRDefault="00D96C4E">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5EA26FC8" w14:textId="77777777" w:rsidR="003C66EB" w:rsidRDefault="00D96C4E">
            <w:pPr>
              <w:jc w:val="right"/>
              <w:textAlignment w:val="bottom"/>
            </w:pPr>
            <w:r>
              <w:rPr>
                <w:rFonts w:ascii="Arial" w:eastAsia="宋体" w:hAnsi="Arial" w:cs="Arial"/>
                <w:b/>
                <w:bCs/>
                <w:color w:val="000000"/>
                <w:sz w:val="12"/>
                <w:szCs w:val="12"/>
              </w:rPr>
              <w:t>(9,149)</w:t>
            </w:r>
          </w:p>
        </w:tc>
        <w:tc>
          <w:tcPr>
            <w:tcW w:w="0" w:type="auto"/>
            <w:shd w:val="clear" w:color="auto" w:fill="CCEEFF"/>
            <w:tcMar>
              <w:top w:w="40" w:type="dxa"/>
              <w:left w:w="0" w:type="dxa"/>
              <w:bottom w:w="40" w:type="dxa"/>
              <w:right w:w="20" w:type="dxa"/>
            </w:tcMar>
            <w:vAlign w:val="bottom"/>
          </w:tcPr>
          <w:p w14:paraId="5EA26F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C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CB" w14:textId="77777777" w:rsidR="003C66EB" w:rsidRDefault="00D96C4E">
            <w:pPr>
              <w:jc w:val="right"/>
              <w:textAlignment w:val="bottom"/>
            </w:pPr>
            <w:r>
              <w:rPr>
                <w:rFonts w:ascii="Arial" w:eastAsia="宋体" w:hAnsi="Arial" w:cs="Arial"/>
                <w:b/>
                <w:bCs/>
                <w:color w:val="000000"/>
                <w:sz w:val="12"/>
                <w:szCs w:val="12"/>
              </w:rPr>
              <w:t>(9,149)</w:t>
            </w:r>
          </w:p>
        </w:tc>
        <w:tc>
          <w:tcPr>
            <w:tcW w:w="0" w:type="auto"/>
            <w:shd w:val="clear" w:color="auto" w:fill="CCEEFF"/>
            <w:tcMar>
              <w:top w:w="40" w:type="dxa"/>
              <w:left w:w="0" w:type="dxa"/>
              <w:bottom w:w="40" w:type="dxa"/>
              <w:right w:w="20" w:type="dxa"/>
            </w:tcMar>
            <w:vAlign w:val="bottom"/>
          </w:tcPr>
          <w:p w14:paraId="5EA26F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C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CE" w14:textId="77777777" w:rsidR="003C66EB" w:rsidRDefault="00D96C4E">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A26F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D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D1" w14:textId="77777777" w:rsidR="003C66EB" w:rsidRDefault="00D96C4E">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A26FD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D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D4" w14:textId="77777777" w:rsidR="003C66EB" w:rsidRDefault="00D96C4E">
            <w:pPr>
              <w:jc w:val="right"/>
              <w:textAlignment w:val="bottom"/>
            </w:pPr>
            <w:r>
              <w:rPr>
                <w:rFonts w:ascii="Arial" w:eastAsia="宋体" w:hAnsi="Arial" w:cs="Arial"/>
                <w:b/>
                <w:bCs/>
                <w:color w:val="000000"/>
                <w:sz w:val="12"/>
                <w:szCs w:val="12"/>
              </w:rPr>
              <w:t>(8,880)</w:t>
            </w:r>
          </w:p>
        </w:tc>
        <w:tc>
          <w:tcPr>
            <w:tcW w:w="0" w:type="auto"/>
            <w:shd w:val="clear" w:color="auto" w:fill="CCEEFF"/>
            <w:tcMar>
              <w:top w:w="40" w:type="dxa"/>
              <w:left w:w="0" w:type="dxa"/>
              <w:bottom w:w="40" w:type="dxa"/>
              <w:right w:w="20" w:type="dxa"/>
            </w:tcMar>
            <w:vAlign w:val="bottom"/>
          </w:tcPr>
          <w:p w14:paraId="5EA26FD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D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D7" w14:textId="77777777" w:rsidR="003C66EB" w:rsidRDefault="00D96C4E">
            <w:pPr>
              <w:jc w:val="right"/>
              <w:textAlignment w:val="bottom"/>
            </w:pPr>
            <w:r>
              <w:rPr>
                <w:rFonts w:ascii="Arial" w:eastAsia="宋体" w:hAnsi="Arial" w:cs="Arial"/>
                <w:b/>
                <w:bCs/>
                <w:color w:val="000000"/>
                <w:sz w:val="12"/>
                <w:szCs w:val="12"/>
              </w:rPr>
              <w:t>(8,880)</w:t>
            </w:r>
          </w:p>
        </w:tc>
        <w:tc>
          <w:tcPr>
            <w:tcW w:w="0" w:type="auto"/>
            <w:shd w:val="clear" w:color="auto" w:fill="CCEEFF"/>
            <w:tcMar>
              <w:top w:w="40" w:type="dxa"/>
              <w:left w:w="0" w:type="dxa"/>
              <w:bottom w:w="40" w:type="dxa"/>
              <w:right w:w="20" w:type="dxa"/>
            </w:tcMar>
            <w:vAlign w:val="bottom"/>
          </w:tcPr>
          <w:p w14:paraId="5EA26FD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D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DA" w14:textId="77777777" w:rsidR="003C66EB" w:rsidRDefault="00D96C4E">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A26F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D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6FDD" w14:textId="77777777" w:rsidR="003C66EB" w:rsidRDefault="00D96C4E">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A26FDE" w14:textId="77777777" w:rsidR="003C66EB" w:rsidRDefault="003C66EB">
            <w:pPr>
              <w:jc w:val="right"/>
              <w:rPr>
                <w:rFonts w:ascii="宋体"/>
              </w:rPr>
            </w:pPr>
          </w:p>
        </w:tc>
      </w:tr>
      <w:tr w:rsidR="003C66EB" w14:paraId="5EA26FF8" w14:textId="77777777">
        <w:tc>
          <w:tcPr>
            <w:tcW w:w="0" w:type="auto"/>
            <w:gridSpan w:val="9"/>
            <w:shd w:val="clear" w:color="auto" w:fill="FFFFFF"/>
            <w:tcMar>
              <w:top w:w="40" w:type="dxa"/>
              <w:left w:w="20" w:type="dxa"/>
              <w:bottom w:w="40" w:type="dxa"/>
              <w:right w:w="20" w:type="dxa"/>
            </w:tcMar>
            <w:vAlign w:val="bottom"/>
          </w:tcPr>
          <w:p w14:paraId="5EA26FE0" w14:textId="77777777" w:rsidR="003C66EB" w:rsidRDefault="00D96C4E">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5EA26FE1" w14:textId="77777777" w:rsidR="003C66EB" w:rsidRDefault="00D96C4E">
            <w:pPr>
              <w:jc w:val="right"/>
              <w:textAlignment w:val="bottom"/>
            </w:pPr>
            <w:r>
              <w:rPr>
                <w:rFonts w:ascii="Arial" w:eastAsia="宋体" w:hAnsi="Arial" w:cs="Arial"/>
                <w:b/>
                <w:bCs/>
                <w:color w:val="000000"/>
                <w:sz w:val="12"/>
                <w:szCs w:val="12"/>
              </w:rPr>
              <w:t>(437)</w:t>
            </w:r>
          </w:p>
        </w:tc>
        <w:tc>
          <w:tcPr>
            <w:tcW w:w="0" w:type="auto"/>
            <w:shd w:val="clear" w:color="auto" w:fill="FFFFFF"/>
            <w:tcMar>
              <w:top w:w="40" w:type="dxa"/>
              <w:left w:w="0" w:type="dxa"/>
              <w:bottom w:w="40" w:type="dxa"/>
              <w:right w:w="20" w:type="dxa"/>
            </w:tcMar>
            <w:vAlign w:val="bottom"/>
          </w:tcPr>
          <w:p w14:paraId="5EA26FE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E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E4" w14:textId="77777777" w:rsidR="003C66EB" w:rsidRDefault="00D96C4E">
            <w:pPr>
              <w:jc w:val="right"/>
              <w:textAlignment w:val="bottom"/>
            </w:pPr>
            <w:r>
              <w:rPr>
                <w:rFonts w:ascii="Arial" w:eastAsia="宋体" w:hAnsi="Arial" w:cs="Arial"/>
                <w:b/>
                <w:bCs/>
                <w:color w:val="000000"/>
                <w:sz w:val="12"/>
                <w:szCs w:val="12"/>
              </w:rPr>
              <w:t>(437)</w:t>
            </w:r>
          </w:p>
        </w:tc>
        <w:tc>
          <w:tcPr>
            <w:tcW w:w="0" w:type="auto"/>
            <w:shd w:val="clear" w:color="auto" w:fill="FFFFFF"/>
            <w:tcMar>
              <w:top w:w="40" w:type="dxa"/>
              <w:left w:w="0" w:type="dxa"/>
              <w:bottom w:w="40" w:type="dxa"/>
              <w:right w:w="20" w:type="dxa"/>
            </w:tcMar>
            <w:vAlign w:val="bottom"/>
          </w:tcPr>
          <w:p w14:paraId="5EA26F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E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E7" w14:textId="77777777" w:rsidR="003C66EB" w:rsidRDefault="00D96C4E">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A26F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E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EA" w14:textId="77777777" w:rsidR="003C66EB" w:rsidRDefault="00D96C4E">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A26FE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E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ED" w14:textId="77777777" w:rsidR="003C66EB" w:rsidRDefault="00D96C4E">
            <w:pPr>
              <w:jc w:val="right"/>
              <w:textAlignment w:val="bottom"/>
            </w:pPr>
            <w:r>
              <w:rPr>
                <w:rFonts w:ascii="Arial" w:eastAsia="宋体" w:hAnsi="Arial" w:cs="Arial"/>
                <w:b/>
                <w:bCs/>
                <w:color w:val="000000"/>
                <w:sz w:val="12"/>
                <w:szCs w:val="12"/>
              </w:rPr>
              <w:t>(250)</w:t>
            </w:r>
          </w:p>
        </w:tc>
        <w:tc>
          <w:tcPr>
            <w:tcW w:w="0" w:type="auto"/>
            <w:shd w:val="clear" w:color="auto" w:fill="FFFFFF"/>
            <w:tcMar>
              <w:top w:w="40" w:type="dxa"/>
              <w:left w:w="0" w:type="dxa"/>
              <w:bottom w:w="40" w:type="dxa"/>
              <w:right w:w="20" w:type="dxa"/>
            </w:tcMar>
            <w:vAlign w:val="bottom"/>
          </w:tcPr>
          <w:p w14:paraId="5EA26FE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E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F0" w14:textId="77777777" w:rsidR="003C66EB" w:rsidRDefault="00D96C4E">
            <w:pPr>
              <w:jc w:val="right"/>
              <w:textAlignment w:val="bottom"/>
            </w:pPr>
            <w:r>
              <w:rPr>
                <w:rFonts w:ascii="Arial" w:eastAsia="宋体" w:hAnsi="Arial" w:cs="Arial"/>
                <w:b/>
                <w:bCs/>
                <w:color w:val="000000"/>
                <w:sz w:val="12"/>
                <w:szCs w:val="12"/>
              </w:rPr>
              <w:t>(250)</w:t>
            </w:r>
          </w:p>
        </w:tc>
        <w:tc>
          <w:tcPr>
            <w:tcW w:w="0" w:type="auto"/>
            <w:shd w:val="clear" w:color="auto" w:fill="FFFFFF"/>
            <w:tcMar>
              <w:top w:w="40" w:type="dxa"/>
              <w:left w:w="0" w:type="dxa"/>
              <w:bottom w:w="40" w:type="dxa"/>
              <w:right w:w="20" w:type="dxa"/>
            </w:tcMar>
            <w:vAlign w:val="bottom"/>
          </w:tcPr>
          <w:p w14:paraId="5EA26FF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F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F3" w14:textId="77777777" w:rsidR="003C66EB" w:rsidRDefault="00D96C4E">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A26FF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6FF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6FF6" w14:textId="77777777" w:rsidR="003C66EB" w:rsidRDefault="00D96C4E">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A26FF7" w14:textId="77777777" w:rsidR="003C66EB" w:rsidRDefault="003C66EB">
            <w:pPr>
              <w:jc w:val="right"/>
              <w:rPr>
                <w:rFonts w:ascii="宋体"/>
              </w:rPr>
            </w:pPr>
          </w:p>
        </w:tc>
      </w:tr>
      <w:tr w:rsidR="003C66EB" w14:paraId="5EA27011" w14:textId="77777777">
        <w:tc>
          <w:tcPr>
            <w:tcW w:w="0" w:type="auto"/>
            <w:gridSpan w:val="9"/>
            <w:shd w:val="clear" w:color="auto" w:fill="CCEEFF"/>
            <w:tcMar>
              <w:top w:w="40" w:type="dxa"/>
              <w:left w:w="20" w:type="dxa"/>
              <w:bottom w:w="40" w:type="dxa"/>
              <w:right w:w="20" w:type="dxa"/>
            </w:tcMar>
            <w:vAlign w:val="bottom"/>
          </w:tcPr>
          <w:p w14:paraId="5EA26FF9" w14:textId="77777777" w:rsidR="003C66EB" w:rsidRDefault="00D96C4E">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FA" w14:textId="77777777" w:rsidR="003C66EB" w:rsidRDefault="00D96C4E">
            <w:pPr>
              <w:jc w:val="right"/>
              <w:textAlignment w:val="bottom"/>
            </w:pPr>
            <w:r>
              <w:rPr>
                <w:rFonts w:ascii="Arial" w:eastAsia="宋体" w:hAnsi="Arial" w:cs="Arial"/>
                <w:b/>
                <w:bCs/>
                <w:color w:val="000000"/>
                <w:sz w:val="12"/>
                <w:szCs w:val="12"/>
              </w:rPr>
              <w:t>13,443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F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F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6FFD" w14:textId="77777777" w:rsidR="003C66EB" w:rsidRDefault="00D96C4E">
            <w:pPr>
              <w:jc w:val="right"/>
              <w:textAlignment w:val="bottom"/>
            </w:pPr>
            <w:r>
              <w:rPr>
                <w:rFonts w:ascii="Arial" w:eastAsia="宋体" w:hAnsi="Arial" w:cs="Arial"/>
                <w:b/>
                <w:bCs/>
                <w:color w:val="000000"/>
                <w:sz w:val="12"/>
                <w:szCs w:val="12"/>
              </w:rPr>
              <w:t>13,443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6F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6FF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00" w14:textId="77777777" w:rsidR="003C66EB" w:rsidRDefault="00D96C4E">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0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0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03" w14:textId="77777777" w:rsidR="003C66EB" w:rsidRDefault="00D96C4E">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0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0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06"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0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0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09"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0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0C"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0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0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0F"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10" w14:textId="77777777" w:rsidR="003C66EB" w:rsidRDefault="003C66EB">
            <w:pPr>
              <w:jc w:val="right"/>
              <w:rPr>
                <w:rFonts w:ascii="宋体"/>
              </w:rPr>
            </w:pPr>
          </w:p>
        </w:tc>
      </w:tr>
      <w:tr w:rsidR="003C66EB" w14:paraId="5EA2702A" w14:textId="77777777">
        <w:tc>
          <w:tcPr>
            <w:tcW w:w="0" w:type="auto"/>
            <w:gridSpan w:val="9"/>
            <w:shd w:val="clear" w:color="auto" w:fill="FFFFFF"/>
            <w:tcMar>
              <w:top w:w="40" w:type="dxa"/>
              <w:left w:w="245" w:type="dxa"/>
              <w:bottom w:w="40" w:type="dxa"/>
              <w:right w:w="20" w:type="dxa"/>
            </w:tcMar>
            <w:vAlign w:val="bottom"/>
          </w:tcPr>
          <w:p w14:paraId="5EA27012" w14:textId="77777777" w:rsidR="003C66EB" w:rsidRDefault="00D96C4E">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13" w14:textId="77777777" w:rsidR="003C66EB" w:rsidRDefault="00D96C4E">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1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1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16" w14:textId="77777777" w:rsidR="003C66EB" w:rsidRDefault="00D96C4E">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1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1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19" w14:textId="77777777" w:rsidR="003C66EB" w:rsidRDefault="00D96C4E">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1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1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1C" w14:textId="77777777" w:rsidR="003C66EB" w:rsidRDefault="00D96C4E">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1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1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1F"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2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2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22"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2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2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25" w14:textId="77777777" w:rsidR="003C66EB" w:rsidRDefault="00D96C4E">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2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2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28" w14:textId="77777777" w:rsidR="003C66EB" w:rsidRDefault="00D96C4E">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29" w14:textId="77777777" w:rsidR="003C66EB" w:rsidRDefault="003C66EB">
            <w:pPr>
              <w:jc w:val="right"/>
              <w:rPr>
                <w:rFonts w:ascii="宋体"/>
              </w:rPr>
            </w:pPr>
          </w:p>
        </w:tc>
      </w:tr>
      <w:tr w:rsidR="003C66EB" w14:paraId="5EA27041" w14:textId="77777777">
        <w:trPr>
          <w:hidden/>
        </w:trPr>
        <w:tc>
          <w:tcPr>
            <w:tcW w:w="0" w:type="auto"/>
            <w:gridSpan w:val="3"/>
            <w:shd w:val="clear" w:color="auto" w:fill="auto"/>
          </w:tcPr>
          <w:p w14:paraId="5EA2702B" w14:textId="77777777" w:rsidR="003C66EB" w:rsidRDefault="003C66EB">
            <w:pPr>
              <w:rPr>
                <w:rFonts w:ascii="宋体"/>
                <w:vanish/>
              </w:rPr>
            </w:pPr>
          </w:p>
        </w:tc>
        <w:tc>
          <w:tcPr>
            <w:tcW w:w="0" w:type="auto"/>
            <w:gridSpan w:val="3"/>
            <w:shd w:val="clear" w:color="auto" w:fill="auto"/>
          </w:tcPr>
          <w:p w14:paraId="5EA2702C" w14:textId="77777777" w:rsidR="003C66EB" w:rsidRDefault="003C66EB">
            <w:pPr>
              <w:rPr>
                <w:rFonts w:ascii="宋体"/>
                <w:vanish/>
              </w:rPr>
            </w:pPr>
          </w:p>
        </w:tc>
        <w:tc>
          <w:tcPr>
            <w:tcW w:w="0" w:type="auto"/>
            <w:gridSpan w:val="3"/>
            <w:shd w:val="clear" w:color="auto" w:fill="auto"/>
          </w:tcPr>
          <w:p w14:paraId="5EA2702D" w14:textId="77777777" w:rsidR="003C66EB" w:rsidRDefault="003C66EB">
            <w:pPr>
              <w:rPr>
                <w:rFonts w:ascii="宋体"/>
                <w:vanish/>
              </w:rPr>
            </w:pPr>
          </w:p>
        </w:tc>
        <w:tc>
          <w:tcPr>
            <w:tcW w:w="0" w:type="auto"/>
            <w:gridSpan w:val="3"/>
            <w:shd w:val="clear" w:color="auto" w:fill="auto"/>
          </w:tcPr>
          <w:p w14:paraId="5EA2702E" w14:textId="77777777" w:rsidR="003C66EB" w:rsidRDefault="003C66EB">
            <w:pPr>
              <w:rPr>
                <w:rFonts w:ascii="宋体"/>
                <w:vanish/>
              </w:rPr>
            </w:pPr>
          </w:p>
        </w:tc>
        <w:tc>
          <w:tcPr>
            <w:tcW w:w="0" w:type="auto"/>
            <w:gridSpan w:val="3"/>
            <w:shd w:val="clear" w:color="auto" w:fill="auto"/>
          </w:tcPr>
          <w:p w14:paraId="5EA2702F" w14:textId="77777777" w:rsidR="003C66EB" w:rsidRDefault="003C66EB">
            <w:pPr>
              <w:rPr>
                <w:rFonts w:ascii="宋体"/>
                <w:vanish/>
              </w:rPr>
            </w:pPr>
          </w:p>
        </w:tc>
        <w:tc>
          <w:tcPr>
            <w:tcW w:w="0" w:type="auto"/>
            <w:gridSpan w:val="3"/>
            <w:shd w:val="clear" w:color="auto" w:fill="auto"/>
          </w:tcPr>
          <w:p w14:paraId="5EA27030" w14:textId="77777777" w:rsidR="003C66EB" w:rsidRDefault="003C66EB">
            <w:pPr>
              <w:rPr>
                <w:rFonts w:ascii="宋体"/>
                <w:vanish/>
              </w:rPr>
            </w:pPr>
          </w:p>
        </w:tc>
        <w:tc>
          <w:tcPr>
            <w:tcW w:w="0" w:type="auto"/>
            <w:gridSpan w:val="3"/>
            <w:shd w:val="clear" w:color="auto" w:fill="auto"/>
          </w:tcPr>
          <w:p w14:paraId="5EA27031" w14:textId="77777777" w:rsidR="003C66EB" w:rsidRDefault="003C66EB">
            <w:pPr>
              <w:rPr>
                <w:rFonts w:ascii="宋体"/>
                <w:vanish/>
              </w:rPr>
            </w:pPr>
          </w:p>
        </w:tc>
        <w:tc>
          <w:tcPr>
            <w:tcW w:w="0" w:type="auto"/>
            <w:gridSpan w:val="3"/>
            <w:shd w:val="clear" w:color="auto" w:fill="auto"/>
          </w:tcPr>
          <w:p w14:paraId="5EA27032" w14:textId="77777777" w:rsidR="003C66EB" w:rsidRDefault="003C66EB">
            <w:pPr>
              <w:rPr>
                <w:rFonts w:ascii="宋体"/>
                <w:vanish/>
              </w:rPr>
            </w:pPr>
          </w:p>
        </w:tc>
        <w:tc>
          <w:tcPr>
            <w:tcW w:w="0" w:type="auto"/>
            <w:gridSpan w:val="3"/>
            <w:shd w:val="clear" w:color="auto" w:fill="auto"/>
          </w:tcPr>
          <w:p w14:paraId="5EA27033" w14:textId="77777777" w:rsidR="003C66EB" w:rsidRDefault="003C66EB">
            <w:pPr>
              <w:rPr>
                <w:rFonts w:ascii="宋体"/>
                <w:vanish/>
              </w:rPr>
            </w:pPr>
          </w:p>
        </w:tc>
        <w:tc>
          <w:tcPr>
            <w:tcW w:w="0" w:type="auto"/>
            <w:gridSpan w:val="3"/>
            <w:shd w:val="clear" w:color="auto" w:fill="auto"/>
          </w:tcPr>
          <w:p w14:paraId="5EA27034" w14:textId="77777777" w:rsidR="003C66EB" w:rsidRDefault="003C66EB">
            <w:pPr>
              <w:rPr>
                <w:rFonts w:ascii="宋体"/>
                <w:vanish/>
              </w:rPr>
            </w:pPr>
          </w:p>
        </w:tc>
        <w:tc>
          <w:tcPr>
            <w:tcW w:w="0" w:type="auto"/>
            <w:gridSpan w:val="3"/>
            <w:shd w:val="clear" w:color="auto" w:fill="auto"/>
          </w:tcPr>
          <w:p w14:paraId="5EA27035" w14:textId="77777777" w:rsidR="003C66EB" w:rsidRDefault="003C66EB">
            <w:pPr>
              <w:rPr>
                <w:rFonts w:ascii="宋体"/>
                <w:vanish/>
              </w:rPr>
            </w:pPr>
          </w:p>
        </w:tc>
        <w:tc>
          <w:tcPr>
            <w:tcW w:w="0" w:type="auto"/>
            <w:gridSpan w:val="3"/>
            <w:shd w:val="clear" w:color="auto" w:fill="auto"/>
          </w:tcPr>
          <w:p w14:paraId="5EA27036" w14:textId="77777777" w:rsidR="003C66EB" w:rsidRDefault="003C66EB">
            <w:pPr>
              <w:rPr>
                <w:rFonts w:ascii="宋体"/>
                <w:vanish/>
              </w:rPr>
            </w:pPr>
          </w:p>
        </w:tc>
        <w:tc>
          <w:tcPr>
            <w:tcW w:w="0" w:type="auto"/>
            <w:gridSpan w:val="3"/>
            <w:shd w:val="clear" w:color="auto" w:fill="auto"/>
          </w:tcPr>
          <w:p w14:paraId="5EA27037" w14:textId="77777777" w:rsidR="003C66EB" w:rsidRDefault="003C66EB">
            <w:pPr>
              <w:rPr>
                <w:rFonts w:ascii="宋体"/>
                <w:vanish/>
              </w:rPr>
            </w:pPr>
          </w:p>
        </w:tc>
        <w:tc>
          <w:tcPr>
            <w:tcW w:w="0" w:type="auto"/>
            <w:gridSpan w:val="3"/>
            <w:shd w:val="clear" w:color="auto" w:fill="auto"/>
          </w:tcPr>
          <w:p w14:paraId="5EA27038" w14:textId="77777777" w:rsidR="003C66EB" w:rsidRDefault="003C66EB">
            <w:pPr>
              <w:rPr>
                <w:rFonts w:ascii="宋体"/>
                <w:vanish/>
              </w:rPr>
            </w:pPr>
          </w:p>
        </w:tc>
        <w:tc>
          <w:tcPr>
            <w:tcW w:w="0" w:type="auto"/>
            <w:gridSpan w:val="3"/>
            <w:shd w:val="clear" w:color="auto" w:fill="auto"/>
          </w:tcPr>
          <w:p w14:paraId="5EA27039" w14:textId="77777777" w:rsidR="003C66EB" w:rsidRDefault="003C66EB">
            <w:pPr>
              <w:rPr>
                <w:rFonts w:ascii="宋体"/>
                <w:vanish/>
              </w:rPr>
            </w:pPr>
          </w:p>
        </w:tc>
        <w:tc>
          <w:tcPr>
            <w:tcW w:w="0" w:type="auto"/>
            <w:gridSpan w:val="3"/>
            <w:shd w:val="clear" w:color="auto" w:fill="auto"/>
          </w:tcPr>
          <w:p w14:paraId="5EA2703A" w14:textId="77777777" w:rsidR="003C66EB" w:rsidRDefault="003C66EB">
            <w:pPr>
              <w:rPr>
                <w:rFonts w:ascii="宋体"/>
                <w:vanish/>
              </w:rPr>
            </w:pPr>
          </w:p>
        </w:tc>
        <w:tc>
          <w:tcPr>
            <w:tcW w:w="0" w:type="auto"/>
            <w:shd w:val="clear" w:color="auto" w:fill="auto"/>
          </w:tcPr>
          <w:p w14:paraId="5EA2703B" w14:textId="77777777" w:rsidR="003C66EB" w:rsidRDefault="003C66EB">
            <w:pPr>
              <w:rPr>
                <w:rFonts w:ascii="宋体"/>
              </w:rPr>
            </w:pPr>
          </w:p>
        </w:tc>
        <w:tc>
          <w:tcPr>
            <w:tcW w:w="0" w:type="auto"/>
            <w:shd w:val="clear" w:color="auto" w:fill="auto"/>
          </w:tcPr>
          <w:p w14:paraId="5EA2703C" w14:textId="77777777" w:rsidR="003C66EB" w:rsidRDefault="003C66EB">
            <w:pPr>
              <w:rPr>
                <w:rFonts w:ascii="宋体"/>
              </w:rPr>
            </w:pPr>
          </w:p>
        </w:tc>
        <w:tc>
          <w:tcPr>
            <w:tcW w:w="0" w:type="auto"/>
            <w:shd w:val="clear" w:color="auto" w:fill="auto"/>
          </w:tcPr>
          <w:p w14:paraId="5EA2703D" w14:textId="77777777" w:rsidR="003C66EB" w:rsidRDefault="003C66EB">
            <w:pPr>
              <w:rPr>
                <w:rFonts w:ascii="宋体"/>
              </w:rPr>
            </w:pPr>
          </w:p>
        </w:tc>
        <w:tc>
          <w:tcPr>
            <w:tcW w:w="0" w:type="auto"/>
            <w:shd w:val="clear" w:color="auto" w:fill="auto"/>
          </w:tcPr>
          <w:p w14:paraId="5EA2703E" w14:textId="77777777" w:rsidR="003C66EB" w:rsidRDefault="003C66EB">
            <w:pPr>
              <w:rPr>
                <w:rFonts w:ascii="宋体"/>
              </w:rPr>
            </w:pPr>
          </w:p>
        </w:tc>
        <w:tc>
          <w:tcPr>
            <w:tcW w:w="0" w:type="auto"/>
            <w:shd w:val="clear" w:color="auto" w:fill="auto"/>
          </w:tcPr>
          <w:p w14:paraId="5EA2703F" w14:textId="77777777" w:rsidR="003C66EB" w:rsidRDefault="003C66EB">
            <w:pPr>
              <w:rPr>
                <w:rFonts w:ascii="宋体"/>
              </w:rPr>
            </w:pPr>
          </w:p>
        </w:tc>
        <w:tc>
          <w:tcPr>
            <w:tcW w:w="0" w:type="auto"/>
            <w:shd w:val="clear" w:color="auto" w:fill="auto"/>
          </w:tcPr>
          <w:p w14:paraId="5EA27040" w14:textId="77777777" w:rsidR="003C66EB" w:rsidRDefault="003C66EB">
            <w:pPr>
              <w:rPr>
                <w:rFonts w:ascii="宋体"/>
              </w:rPr>
            </w:pPr>
          </w:p>
        </w:tc>
      </w:tr>
      <w:tr w:rsidR="003C66EB" w14:paraId="5EA27058" w14:textId="77777777">
        <w:trPr>
          <w:hidden/>
        </w:trPr>
        <w:tc>
          <w:tcPr>
            <w:tcW w:w="0" w:type="auto"/>
            <w:gridSpan w:val="3"/>
            <w:shd w:val="clear" w:color="auto" w:fill="auto"/>
          </w:tcPr>
          <w:p w14:paraId="5EA27042" w14:textId="77777777" w:rsidR="003C66EB" w:rsidRDefault="003C66EB">
            <w:pPr>
              <w:rPr>
                <w:rFonts w:ascii="宋体"/>
                <w:vanish/>
              </w:rPr>
            </w:pPr>
          </w:p>
        </w:tc>
        <w:tc>
          <w:tcPr>
            <w:tcW w:w="0" w:type="auto"/>
            <w:gridSpan w:val="3"/>
            <w:shd w:val="clear" w:color="auto" w:fill="auto"/>
          </w:tcPr>
          <w:p w14:paraId="5EA27043" w14:textId="77777777" w:rsidR="003C66EB" w:rsidRDefault="003C66EB">
            <w:pPr>
              <w:rPr>
                <w:rFonts w:ascii="宋体"/>
                <w:vanish/>
              </w:rPr>
            </w:pPr>
          </w:p>
        </w:tc>
        <w:tc>
          <w:tcPr>
            <w:tcW w:w="0" w:type="auto"/>
            <w:gridSpan w:val="3"/>
            <w:shd w:val="clear" w:color="auto" w:fill="auto"/>
          </w:tcPr>
          <w:p w14:paraId="5EA27044" w14:textId="77777777" w:rsidR="003C66EB" w:rsidRDefault="003C66EB">
            <w:pPr>
              <w:rPr>
                <w:rFonts w:ascii="宋体"/>
                <w:vanish/>
              </w:rPr>
            </w:pPr>
          </w:p>
        </w:tc>
        <w:tc>
          <w:tcPr>
            <w:tcW w:w="0" w:type="auto"/>
            <w:gridSpan w:val="3"/>
            <w:shd w:val="clear" w:color="auto" w:fill="auto"/>
          </w:tcPr>
          <w:p w14:paraId="5EA27045" w14:textId="77777777" w:rsidR="003C66EB" w:rsidRDefault="003C66EB">
            <w:pPr>
              <w:rPr>
                <w:rFonts w:ascii="宋体"/>
                <w:vanish/>
              </w:rPr>
            </w:pPr>
          </w:p>
        </w:tc>
        <w:tc>
          <w:tcPr>
            <w:tcW w:w="0" w:type="auto"/>
            <w:gridSpan w:val="3"/>
            <w:shd w:val="clear" w:color="auto" w:fill="auto"/>
          </w:tcPr>
          <w:p w14:paraId="5EA27046" w14:textId="77777777" w:rsidR="003C66EB" w:rsidRDefault="003C66EB">
            <w:pPr>
              <w:rPr>
                <w:rFonts w:ascii="宋体"/>
                <w:vanish/>
              </w:rPr>
            </w:pPr>
          </w:p>
        </w:tc>
        <w:tc>
          <w:tcPr>
            <w:tcW w:w="0" w:type="auto"/>
            <w:gridSpan w:val="3"/>
            <w:shd w:val="clear" w:color="auto" w:fill="auto"/>
          </w:tcPr>
          <w:p w14:paraId="5EA27047" w14:textId="77777777" w:rsidR="003C66EB" w:rsidRDefault="003C66EB">
            <w:pPr>
              <w:rPr>
                <w:rFonts w:ascii="宋体"/>
                <w:vanish/>
              </w:rPr>
            </w:pPr>
          </w:p>
        </w:tc>
        <w:tc>
          <w:tcPr>
            <w:tcW w:w="0" w:type="auto"/>
            <w:gridSpan w:val="3"/>
            <w:shd w:val="clear" w:color="auto" w:fill="auto"/>
          </w:tcPr>
          <w:p w14:paraId="5EA27048" w14:textId="77777777" w:rsidR="003C66EB" w:rsidRDefault="003C66EB">
            <w:pPr>
              <w:rPr>
                <w:rFonts w:ascii="宋体"/>
                <w:vanish/>
              </w:rPr>
            </w:pPr>
          </w:p>
        </w:tc>
        <w:tc>
          <w:tcPr>
            <w:tcW w:w="0" w:type="auto"/>
            <w:gridSpan w:val="3"/>
            <w:shd w:val="clear" w:color="auto" w:fill="auto"/>
          </w:tcPr>
          <w:p w14:paraId="5EA27049" w14:textId="77777777" w:rsidR="003C66EB" w:rsidRDefault="003C66EB">
            <w:pPr>
              <w:rPr>
                <w:rFonts w:ascii="宋体"/>
                <w:vanish/>
              </w:rPr>
            </w:pPr>
          </w:p>
        </w:tc>
        <w:tc>
          <w:tcPr>
            <w:tcW w:w="0" w:type="auto"/>
            <w:gridSpan w:val="3"/>
            <w:shd w:val="clear" w:color="auto" w:fill="auto"/>
          </w:tcPr>
          <w:p w14:paraId="5EA2704A" w14:textId="77777777" w:rsidR="003C66EB" w:rsidRDefault="003C66EB">
            <w:pPr>
              <w:rPr>
                <w:rFonts w:ascii="宋体"/>
                <w:vanish/>
              </w:rPr>
            </w:pPr>
          </w:p>
        </w:tc>
        <w:tc>
          <w:tcPr>
            <w:tcW w:w="0" w:type="auto"/>
            <w:gridSpan w:val="3"/>
            <w:shd w:val="clear" w:color="auto" w:fill="auto"/>
          </w:tcPr>
          <w:p w14:paraId="5EA2704B" w14:textId="77777777" w:rsidR="003C66EB" w:rsidRDefault="003C66EB">
            <w:pPr>
              <w:rPr>
                <w:rFonts w:ascii="宋体"/>
                <w:vanish/>
              </w:rPr>
            </w:pPr>
          </w:p>
        </w:tc>
        <w:tc>
          <w:tcPr>
            <w:tcW w:w="0" w:type="auto"/>
            <w:gridSpan w:val="3"/>
            <w:shd w:val="clear" w:color="auto" w:fill="auto"/>
          </w:tcPr>
          <w:p w14:paraId="5EA2704C" w14:textId="77777777" w:rsidR="003C66EB" w:rsidRDefault="003C66EB">
            <w:pPr>
              <w:rPr>
                <w:rFonts w:ascii="宋体"/>
                <w:vanish/>
              </w:rPr>
            </w:pPr>
          </w:p>
        </w:tc>
        <w:tc>
          <w:tcPr>
            <w:tcW w:w="0" w:type="auto"/>
            <w:gridSpan w:val="3"/>
            <w:shd w:val="clear" w:color="auto" w:fill="auto"/>
          </w:tcPr>
          <w:p w14:paraId="5EA2704D" w14:textId="77777777" w:rsidR="003C66EB" w:rsidRDefault="003C66EB">
            <w:pPr>
              <w:rPr>
                <w:rFonts w:ascii="宋体"/>
                <w:vanish/>
              </w:rPr>
            </w:pPr>
          </w:p>
        </w:tc>
        <w:tc>
          <w:tcPr>
            <w:tcW w:w="0" w:type="auto"/>
            <w:gridSpan w:val="3"/>
            <w:shd w:val="clear" w:color="auto" w:fill="auto"/>
          </w:tcPr>
          <w:p w14:paraId="5EA2704E" w14:textId="77777777" w:rsidR="003C66EB" w:rsidRDefault="003C66EB">
            <w:pPr>
              <w:rPr>
                <w:rFonts w:ascii="宋体"/>
                <w:vanish/>
              </w:rPr>
            </w:pPr>
          </w:p>
        </w:tc>
        <w:tc>
          <w:tcPr>
            <w:tcW w:w="0" w:type="auto"/>
            <w:gridSpan w:val="3"/>
            <w:shd w:val="clear" w:color="auto" w:fill="auto"/>
          </w:tcPr>
          <w:p w14:paraId="5EA2704F" w14:textId="77777777" w:rsidR="003C66EB" w:rsidRDefault="003C66EB">
            <w:pPr>
              <w:rPr>
                <w:rFonts w:ascii="宋体"/>
                <w:vanish/>
              </w:rPr>
            </w:pPr>
          </w:p>
        </w:tc>
        <w:tc>
          <w:tcPr>
            <w:tcW w:w="0" w:type="auto"/>
            <w:gridSpan w:val="3"/>
            <w:shd w:val="clear" w:color="auto" w:fill="auto"/>
          </w:tcPr>
          <w:p w14:paraId="5EA27050" w14:textId="77777777" w:rsidR="003C66EB" w:rsidRDefault="003C66EB">
            <w:pPr>
              <w:rPr>
                <w:rFonts w:ascii="宋体"/>
                <w:vanish/>
              </w:rPr>
            </w:pPr>
          </w:p>
        </w:tc>
        <w:tc>
          <w:tcPr>
            <w:tcW w:w="0" w:type="auto"/>
            <w:gridSpan w:val="3"/>
            <w:shd w:val="clear" w:color="auto" w:fill="auto"/>
          </w:tcPr>
          <w:p w14:paraId="5EA27051" w14:textId="77777777" w:rsidR="003C66EB" w:rsidRDefault="003C66EB">
            <w:pPr>
              <w:rPr>
                <w:rFonts w:ascii="宋体"/>
                <w:vanish/>
              </w:rPr>
            </w:pPr>
          </w:p>
        </w:tc>
        <w:tc>
          <w:tcPr>
            <w:tcW w:w="0" w:type="auto"/>
            <w:shd w:val="clear" w:color="auto" w:fill="auto"/>
          </w:tcPr>
          <w:p w14:paraId="5EA27052" w14:textId="77777777" w:rsidR="003C66EB" w:rsidRDefault="003C66EB">
            <w:pPr>
              <w:rPr>
                <w:rFonts w:ascii="宋体"/>
              </w:rPr>
            </w:pPr>
          </w:p>
        </w:tc>
        <w:tc>
          <w:tcPr>
            <w:tcW w:w="0" w:type="auto"/>
            <w:shd w:val="clear" w:color="auto" w:fill="auto"/>
          </w:tcPr>
          <w:p w14:paraId="5EA27053" w14:textId="77777777" w:rsidR="003C66EB" w:rsidRDefault="003C66EB">
            <w:pPr>
              <w:rPr>
                <w:rFonts w:ascii="宋体"/>
              </w:rPr>
            </w:pPr>
          </w:p>
        </w:tc>
        <w:tc>
          <w:tcPr>
            <w:tcW w:w="0" w:type="auto"/>
            <w:shd w:val="clear" w:color="auto" w:fill="auto"/>
          </w:tcPr>
          <w:p w14:paraId="5EA27054" w14:textId="77777777" w:rsidR="003C66EB" w:rsidRDefault="003C66EB">
            <w:pPr>
              <w:rPr>
                <w:rFonts w:ascii="宋体"/>
              </w:rPr>
            </w:pPr>
          </w:p>
        </w:tc>
        <w:tc>
          <w:tcPr>
            <w:tcW w:w="0" w:type="auto"/>
            <w:shd w:val="clear" w:color="auto" w:fill="auto"/>
          </w:tcPr>
          <w:p w14:paraId="5EA27055" w14:textId="77777777" w:rsidR="003C66EB" w:rsidRDefault="003C66EB">
            <w:pPr>
              <w:rPr>
                <w:rFonts w:ascii="宋体"/>
              </w:rPr>
            </w:pPr>
          </w:p>
        </w:tc>
        <w:tc>
          <w:tcPr>
            <w:tcW w:w="0" w:type="auto"/>
            <w:shd w:val="clear" w:color="auto" w:fill="auto"/>
          </w:tcPr>
          <w:p w14:paraId="5EA27056" w14:textId="77777777" w:rsidR="003C66EB" w:rsidRDefault="003C66EB">
            <w:pPr>
              <w:rPr>
                <w:rFonts w:ascii="宋体"/>
              </w:rPr>
            </w:pPr>
          </w:p>
        </w:tc>
        <w:tc>
          <w:tcPr>
            <w:tcW w:w="0" w:type="auto"/>
            <w:shd w:val="clear" w:color="auto" w:fill="auto"/>
          </w:tcPr>
          <w:p w14:paraId="5EA27057" w14:textId="77777777" w:rsidR="003C66EB" w:rsidRDefault="003C66EB">
            <w:pPr>
              <w:rPr>
                <w:rFonts w:ascii="宋体"/>
              </w:rPr>
            </w:pPr>
          </w:p>
        </w:tc>
      </w:tr>
      <w:tr w:rsidR="003C66EB" w14:paraId="5EA27071" w14:textId="77777777">
        <w:tc>
          <w:tcPr>
            <w:tcW w:w="0" w:type="auto"/>
            <w:gridSpan w:val="9"/>
            <w:shd w:val="clear" w:color="auto" w:fill="CCEEFF"/>
            <w:tcMar>
              <w:top w:w="40" w:type="dxa"/>
              <w:left w:w="20" w:type="dxa"/>
              <w:bottom w:w="40" w:type="dxa"/>
              <w:right w:w="20" w:type="dxa"/>
            </w:tcMar>
            <w:vAlign w:val="bottom"/>
          </w:tcPr>
          <w:p w14:paraId="5EA27059" w14:textId="77777777" w:rsidR="003C66EB" w:rsidRDefault="00D96C4E">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5A" w14:textId="77777777" w:rsidR="003C66EB" w:rsidRDefault="00D96C4E">
            <w:pPr>
              <w:jc w:val="right"/>
              <w:textAlignment w:val="bottom"/>
            </w:pPr>
            <w:r>
              <w:rPr>
                <w:rFonts w:ascii="Arial" w:eastAsia="宋体" w:hAnsi="Arial" w:cs="Arial"/>
                <w:b/>
                <w:bCs/>
                <w:color w:val="000000"/>
                <w:sz w:val="12"/>
                <w:szCs w:val="12"/>
              </w:rPr>
              <w:t>15,419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5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5C"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5D" w14:textId="77777777" w:rsidR="003C66EB" w:rsidRDefault="00D96C4E">
            <w:pPr>
              <w:jc w:val="right"/>
              <w:textAlignment w:val="bottom"/>
            </w:pPr>
            <w:r>
              <w:rPr>
                <w:rFonts w:ascii="Arial" w:eastAsia="宋体" w:hAnsi="Arial" w:cs="Arial"/>
                <w:b/>
                <w:bCs/>
                <w:color w:val="000000"/>
                <w:sz w:val="12"/>
                <w:szCs w:val="12"/>
              </w:rPr>
              <w:t>15,419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5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60" w14:textId="77777777" w:rsidR="003C66EB" w:rsidRDefault="00D96C4E">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6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63" w14:textId="77777777" w:rsidR="003C66EB" w:rsidRDefault="00D96C4E">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65"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66"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68"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69" w14:textId="77777777" w:rsidR="003C66EB" w:rsidRDefault="00D96C4E">
            <w:pPr>
              <w:jc w:val="right"/>
              <w:textAlignment w:val="bottom"/>
            </w:pPr>
            <w:r>
              <w:rPr>
                <w:rFonts w:ascii="Arial" w:eastAsia="宋体" w:hAnsi="Arial" w:cs="Arial"/>
                <w:b/>
                <w:bCs/>
                <w:color w:val="000000"/>
                <w:sz w:val="12"/>
                <w:szCs w:val="12"/>
              </w:rPr>
              <w:t>17,021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6B"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6C"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6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6E"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06F" w14:textId="77777777" w:rsidR="003C66EB" w:rsidRDefault="00D96C4E">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070" w14:textId="77777777" w:rsidR="003C66EB" w:rsidRDefault="003C66EB">
            <w:pPr>
              <w:jc w:val="right"/>
              <w:rPr>
                <w:rFonts w:ascii="宋体"/>
              </w:rPr>
            </w:pPr>
          </w:p>
        </w:tc>
      </w:tr>
      <w:tr w:rsidR="003C66EB" w14:paraId="5EA2708A" w14:textId="77777777">
        <w:tc>
          <w:tcPr>
            <w:tcW w:w="0" w:type="auto"/>
            <w:gridSpan w:val="9"/>
            <w:shd w:val="clear" w:color="auto" w:fill="FFFFFF"/>
            <w:tcMar>
              <w:top w:w="40" w:type="dxa"/>
              <w:left w:w="245" w:type="dxa"/>
              <w:bottom w:w="40" w:type="dxa"/>
              <w:right w:w="20" w:type="dxa"/>
            </w:tcMar>
            <w:vAlign w:val="bottom"/>
          </w:tcPr>
          <w:p w14:paraId="5EA27072" w14:textId="77777777" w:rsidR="003C66EB" w:rsidRDefault="00D96C4E">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73" w14:textId="77777777" w:rsidR="003C66EB" w:rsidRDefault="00D96C4E">
            <w:pPr>
              <w:jc w:val="right"/>
              <w:textAlignment w:val="bottom"/>
            </w:pPr>
            <w:r>
              <w:rPr>
                <w:rFonts w:ascii="Arial" w:eastAsia="宋体" w:hAnsi="Arial" w:cs="Arial"/>
                <w:b/>
                <w:bCs/>
                <w:color w:val="000000"/>
                <w:sz w:val="12"/>
                <w:szCs w:val="12"/>
              </w:rPr>
              <w:t>1,801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7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76" w14:textId="77777777" w:rsidR="003C66EB" w:rsidRDefault="00D96C4E">
            <w:pPr>
              <w:jc w:val="right"/>
              <w:textAlignment w:val="bottom"/>
            </w:pPr>
            <w:r>
              <w:rPr>
                <w:rFonts w:ascii="Arial" w:eastAsia="宋体" w:hAnsi="Arial" w:cs="Arial"/>
                <w:b/>
                <w:bCs/>
                <w:color w:val="000000"/>
                <w:sz w:val="12"/>
                <w:szCs w:val="12"/>
              </w:rPr>
              <w:t>1,801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7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7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79" w14:textId="77777777" w:rsidR="003C66EB" w:rsidRDefault="00D96C4E">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7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7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7C" w14:textId="77777777" w:rsidR="003C66EB" w:rsidRDefault="00D96C4E">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7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7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7F" w14:textId="77777777" w:rsidR="003C66EB" w:rsidRDefault="00D96C4E">
            <w:pPr>
              <w:jc w:val="right"/>
              <w:textAlignment w:val="bottom"/>
            </w:pPr>
            <w:r>
              <w:rPr>
                <w:rFonts w:ascii="Arial" w:eastAsia="宋体" w:hAnsi="Arial" w:cs="Arial"/>
                <w:b/>
                <w:bCs/>
                <w:color w:val="000000"/>
                <w:sz w:val="12"/>
                <w:szCs w:val="12"/>
              </w:rPr>
              <w:t>963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8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81"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82" w14:textId="77777777" w:rsidR="003C66EB" w:rsidRDefault="00D96C4E">
            <w:pPr>
              <w:jc w:val="right"/>
              <w:textAlignment w:val="bottom"/>
            </w:pPr>
            <w:r>
              <w:rPr>
                <w:rFonts w:ascii="Arial" w:eastAsia="宋体" w:hAnsi="Arial" w:cs="Arial"/>
                <w:b/>
                <w:bCs/>
                <w:color w:val="000000"/>
                <w:sz w:val="12"/>
                <w:szCs w:val="12"/>
              </w:rPr>
              <w:t>963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8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84"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85" w14:textId="77777777" w:rsidR="003C66EB" w:rsidRDefault="00D96C4E">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8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088" w14:textId="77777777" w:rsidR="003C66EB" w:rsidRDefault="00D96C4E">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89" w14:textId="77777777" w:rsidR="003C66EB" w:rsidRDefault="003C66EB">
            <w:pPr>
              <w:jc w:val="right"/>
              <w:rPr>
                <w:rFonts w:ascii="宋体"/>
              </w:rPr>
            </w:pPr>
          </w:p>
        </w:tc>
      </w:tr>
      <w:tr w:rsidR="003C66EB" w14:paraId="5EA270A1" w14:textId="77777777">
        <w:trPr>
          <w:hidden/>
        </w:trPr>
        <w:tc>
          <w:tcPr>
            <w:tcW w:w="0" w:type="auto"/>
            <w:gridSpan w:val="3"/>
            <w:shd w:val="clear" w:color="auto" w:fill="auto"/>
          </w:tcPr>
          <w:p w14:paraId="5EA2708B" w14:textId="77777777" w:rsidR="003C66EB" w:rsidRDefault="003C66EB">
            <w:pPr>
              <w:rPr>
                <w:rFonts w:ascii="宋体"/>
                <w:vanish/>
              </w:rPr>
            </w:pPr>
          </w:p>
        </w:tc>
        <w:tc>
          <w:tcPr>
            <w:tcW w:w="0" w:type="auto"/>
            <w:gridSpan w:val="3"/>
            <w:shd w:val="clear" w:color="auto" w:fill="auto"/>
          </w:tcPr>
          <w:p w14:paraId="5EA2708C" w14:textId="77777777" w:rsidR="003C66EB" w:rsidRDefault="003C66EB">
            <w:pPr>
              <w:rPr>
                <w:rFonts w:ascii="宋体"/>
                <w:vanish/>
              </w:rPr>
            </w:pPr>
          </w:p>
        </w:tc>
        <w:tc>
          <w:tcPr>
            <w:tcW w:w="0" w:type="auto"/>
            <w:gridSpan w:val="3"/>
            <w:shd w:val="clear" w:color="auto" w:fill="auto"/>
          </w:tcPr>
          <w:p w14:paraId="5EA2708D" w14:textId="77777777" w:rsidR="003C66EB" w:rsidRDefault="003C66EB">
            <w:pPr>
              <w:rPr>
                <w:rFonts w:ascii="宋体"/>
                <w:vanish/>
              </w:rPr>
            </w:pPr>
          </w:p>
        </w:tc>
        <w:tc>
          <w:tcPr>
            <w:tcW w:w="0" w:type="auto"/>
            <w:gridSpan w:val="3"/>
            <w:shd w:val="clear" w:color="auto" w:fill="auto"/>
          </w:tcPr>
          <w:p w14:paraId="5EA2708E" w14:textId="77777777" w:rsidR="003C66EB" w:rsidRDefault="003C66EB">
            <w:pPr>
              <w:rPr>
                <w:rFonts w:ascii="宋体"/>
                <w:vanish/>
              </w:rPr>
            </w:pPr>
          </w:p>
        </w:tc>
        <w:tc>
          <w:tcPr>
            <w:tcW w:w="0" w:type="auto"/>
            <w:gridSpan w:val="3"/>
            <w:shd w:val="clear" w:color="auto" w:fill="auto"/>
          </w:tcPr>
          <w:p w14:paraId="5EA2708F" w14:textId="77777777" w:rsidR="003C66EB" w:rsidRDefault="003C66EB">
            <w:pPr>
              <w:rPr>
                <w:rFonts w:ascii="宋体"/>
                <w:vanish/>
              </w:rPr>
            </w:pPr>
          </w:p>
        </w:tc>
        <w:tc>
          <w:tcPr>
            <w:tcW w:w="0" w:type="auto"/>
            <w:gridSpan w:val="3"/>
            <w:shd w:val="clear" w:color="auto" w:fill="auto"/>
          </w:tcPr>
          <w:p w14:paraId="5EA27090" w14:textId="77777777" w:rsidR="003C66EB" w:rsidRDefault="003C66EB">
            <w:pPr>
              <w:rPr>
                <w:rFonts w:ascii="宋体"/>
                <w:vanish/>
              </w:rPr>
            </w:pPr>
          </w:p>
        </w:tc>
        <w:tc>
          <w:tcPr>
            <w:tcW w:w="0" w:type="auto"/>
            <w:gridSpan w:val="3"/>
            <w:shd w:val="clear" w:color="auto" w:fill="auto"/>
          </w:tcPr>
          <w:p w14:paraId="5EA27091" w14:textId="77777777" w:rsidR="003C66EB" w:rsidRDefault="003C66EB">
            <w:pPr>
              <w:rPr>
                <w:rFonts w:ascii="宋体"/>
                <w:vanish/>
              </w:rPr>
            </w:pPr>
          </w:p>
        </w:tc>
        <w:tc>
          <w:tcPr>
            <w:tcW w:w="0" w:type="auto"/>
            <w:gridSpan w:val="3"/>
            <w:shd w:val="clear" w:color="auto" w:fill="auto"/>
          </w:tcPr>
          <w:p w14:paraId="5EA27092" w14:textId="77777777" w:rsidR="003C66EB" w:rsidRDefault="003C66EB">
            <w:pPr>
              <w:rPr>
                <w:rFonts w:ascii="宋体"/>
                <w:vanish/>
              </w:rPr>
            </w:pPr>
          </w:p>
        </w:tc>
        <w:tc>
          <w:tcPr>
            <w:tcW w:w="0" w:type="auto"/>
            <w:gridSpan w:val="3"/>
            <w:shd w:val="clear" w:color="auto" w:fill="auto"/>
          </w:tcPr>
          <w:p w14:paraId="5EA27093" w14:textId="77777777" w:rsidR="003C66EB" w:rsidRDefault="003C66EB">
            <w:pPr>
              <w:rPr>
                <w:rFonts w:ascii="宋体"/>
                <w:vanish/>
              </w:rPr>
            </w:pPr>
          </w:p>
        </w:tc>
        <w:tc>
          <w:tcPr>
            <w:tcW w:w="0" w:type="auto"/>
            <w:gridSpan w:val="3"/>
            <w:shd w:val="clear" w:color="auto" w:fill="auto"/>
          </w:tcPr>
          <w:p w14:paraId="5EA27094" w14:textId="77777777" w:rsidR="003C66EB" w:rsidRDefault="003C66EB">
            <w:pPr>
              <w:rPr>
                <w:rFonts w:ascii="宋体"/>
                <w:vanish/>
              </w:rPr>
            </w:pPr>
          </w:p>
        </w:tc>
        <w:tc>
          <w:tcPr>
            <w:tcW w:w="0" w:type="auto"/>
            <w:gridSpan w:val="3"/>
            <w:shd w:val="clear" w:color="auto" w:fill="auto"/>
          </w:tcPr>
          <w:p w14:paraId="5EA27095" w14:textId="77777777" w:rsidR="003C66EB" w:rsidRDefault="003C66EB">
            <w:pPr>
              <w:rPr>
                <w:rFonts w:ascii="宋体"/>
                <w:vanish/>
              </w:rPr>
            </w:pPr>
          </w:p>
        </w:tc>
        <w:tc>
          <w:tcPr>
            <w:tcW w:w="0" w:type="auto"/>
            <w:gridSpan w:val="3"/>
            <w:shd w:val="clear" w:color="auto" w:fill="auto"/>
          </w:tcPr>
          <w:p w14:paraId="5EA27096" w14:textId="77777777" w:rsidR="003C66EB" w:rsidRDefault="003C66EB">
            <w:pPr>
              <w:rPr>
                <w:rFonts w:ascii="宋体"/>
                <w:vanish/>
              </w:rPr>
            </w:pPr>
          </w:p>
        </w:tc>
        <w:tc>
          <w:tcPr>
            <w:tcW w:w="0" w:type="auto"/>
            <w:gridSpan w:val="3"/>
            <w:shd w:val="clear" w:color="auto" w:fill="auto"/>
          </w:tcPr>
          <w:p w14:paraId="5EA27097" w14:textId="77777777" w:rsidR="003C66EB" w:rsidRDefault="003C66EB">
            <w:pPr>
              <w:rPr>
                <w:rFonts w:ascii="宋体"/>
                <w:vanish/>
              </w:rPr>
            </w:pPr>
          </w:p>
        </w:tc>
        <w:tc>
          <w:tcPr>
            <w:tcW w:w="0" w:type="auto"/>
            <w:gridSpan w:val="3"/>
            <w:shd w:val="clear" w:color="auto" w:fill="auto"/>
          </w:tcPr>
          <w:p w14:paraId="5EA27098" w14:textId="77777777" w:rsidR="003C66EB" w:rsidRDefault="003C66EB">
            <w:pPr>
              <w:rPr>
                <w:rFonts w:ascii="宋体"/>
                <w:vanish/>
              </w:rPr>
            </w:pPr>
          </w:p>
        </w:tc>
        <w:tc>
          <w:tcPr>
            <w:tcW w:w="0" w:type="auto"/>
            <w:gridSpan w:val="3"/>
            <w:shd w:val="clear" w:color="auto" w:fill="auto"/>
          </w:tcPr>
          <w:p w14:paraId="5EA27099" w14:textId="77777777" w:rsidR="003C66EB" w:rsidRDefault="003C66EB">
            <w:pPr>
              <w:rPr>
                <w:rFonts w:ascii="宋体"/>
                <w:vanish/>
              </w:rPr>
            </w:pPr>
          </w:p>
        </w:tc>
        <w:tc>
          <w:tcPr>
            <w:tcW w:w="0" w:type="auto"/>
            <w:gridSpan w:val="3"/>
            <w:shd w:val="clear" w:color="auto" w:fill="auto"/>
          </w:tcPr>
          <w:p w14:paraId="5EA2709A" w14:textId="77777777" w:rsidR="003C66EB" w:rsidRDefault="003C66EB">
            <w:pPr>
              <w:rPr>
                <w:rFonts w:ascii="宋体"/>
                <w:vanish/>
              </w:rPr>
            </w:pPr>
          </w:p>
        </w:tc>
        <w:tc>
          <w:tcPr>
            <w:tcW w:w="0" w:type="auto"/>
            <w:shd w:val="clear" w:color="auto" w:fill="auto"/>
          </w:tcPr>
          <w:p w14:paraId="5EA2709B" w14:textId="77777777" w:rsidR="003C66EB" w:rsidRDefault="003C66EB">
            <w:pPr>
              <w:rPr>
                <w:rFonts w:ascii="宋体"/>
              </w:rPr>
            </w:pPr>
          </w:p>
        </w:tc>
        <w:tc>
          <w:tcPr>
            <w:tcW w:w="0" w:type="auto"/>
            <w:shd w:val="clear" w:color="auto" w:fill="auto"/>
          </w:tcPr>
          <w:p w14:paraId="5EA2709C" w14:textId="77777777" w:rsidR="003C66EB" w:rsidRDefault="003C66EB">
            <w:pPr>
              <w:rPr>
                <w:rFonts w:ascii="宋体"/>
              </w:rPr>
            </w:pPr>
          </w:p>
        </w:tc>
        <w:tc>
          <w:tcPr>
            <w:tcW w:w="0" w:type="auto"/>
            <w:shd w:val="clear" w:color="auto" w:fill="auto"/>
          </w:tcPr>
          <w:p w14:paraId="5EA2709D" w14:textId="77777777" w:rsidR="003C66EB" w:rsidRDefault="003C66EB">
            <w:pPr>
              <w:rPr>
                <w:rFonts w:ascii="宋体"/>
              </w:rPr>
            </w:pPr>
          </w:p>
        </w:tc>
        <w:tc>
          <w:tcPr>
            <w:tcW w:w="0" w:type="auto"/>
            <w:shd w:val="clear" w:color="auto" w:fill="auto"/>
          </w:tcPr>
          <w:p w14:paraId="5EA2709E" w14:textId="77777777" w:rsidR="003C66EB" w:rsidRDefault="003C66EB">
            <w:pPr>
              <w:rPr>
                <w:rFonts w:ascii="宋体"/>
              </w:rPr>
            </w:pPr>
          </w:p>
        </w:tc>
        <w:tc>
          <w:tcPr>
            <w:tcW w:w="0" w:type="auto"/>
            <w:shd w:val="clear" w:color="auto" w:fill="auto"/>
          </w:tcPr>
          <w:p w14:paraId="5EA2709F" w14:textId="77777777" w:rsidR="003C66EB" w:rsidRDefault="003C66EB">
            <w:pPr>
              <w:rPr>
                <w:rFonts w:ascii="宋体"/>
              </w:rPr>
            </w:pPr>
          </w:p>
        </w:tc>
        <w:tc>
          <w:tcPr>
            <w:tcW w:w="0" w:type="auto"/>
            <w:shd w:val="clear" w:color="auto" w:fill="auto"/>
          </w:tcPr>
          <w:p w14:paraId="5EA270A0" w14:textId="77777777" w:rsidR="003C66EB" w:rsidRDefault="003C66EB">
            <w:pPr>
              <w:rPr>
                <w:rFonts w:ascii="宋体"/>
              </w:rPr>
            </w:pPr>
          </w:p>
        </w:tc>
      </w:tr>
      <w:tr w:rsidR="003C66EB" w14:paraId="5EA270BA" w14:textId="77777777">
        <w:tc>
          <w:tcPr>
            <w:tcW w:w="0" w:type="auto"/>
            <w:gridSpan w:val="9"/>
            <w:shd w:val="clear" w:color="auto" w:fill="CCEEFF"/>
            <w:tcMar>
              <w:top w:w="40" w:type="dxa"/>
              <w:left w:w="245" w:type="dxa"/>
              <w:bottom w:w="40" w:type="dxa"/>
              <w:right w:w="20" w:type="dxa"/>
            </w:tcMar>
            <w:vAlign w:val="bottom"/>
          </w:tcPr>
          <w:p w14:paraId="5EA270A2" w14:textId="77777777" w:rsidR="003C66EB" w:rsidRDefault="00D96C4E">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5EA270A3"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0A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A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A6" w14:textId="77777777" w:rsidR="003C66EB" w:rsidRDefault="00D96C4E">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0A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A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A9" w14:textId="77777777" w:rsidR="003C66EB" w:rsidRDefault="00D96C4E">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5EA270A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A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AC" w14:textId="77777777" w:rsidR="003C66EB" w:rsidRDefault="00D96C4E">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A270A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A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AF" w14:textId="77777777" w:rsidR="003C66EB" w:rsidRDefault="00D96C4E">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0B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B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B2" w14:textId="77777777" w:rsidR="003C66EB" w:rsidRDefault="00D96C4E">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0B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B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B5" w14:textId="77777777" w:rsidR="003C66EB" w:rsidRDefault="00D96C4E">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5EA270B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0B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0B8" w14:textId="77777777" w:rsidR="003C66EB" w:rsidRDefault="00D96C4E">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A270B9" w14:textId="77777777" w:rsidR="003C66EB" w:rsidRDefault="003C66EB">
            <w:pPr>
              <w:jc w:val="right"/>
              <w:rPr>
                <w:rFonts w:ascii="宋体"/>
              </w:rPr>
            </w:pPr>
          </w:p>
        </w:tc>
      </w:tr>
      <w:tr w:rsidR="003C66EB" w14:paraId="5EA270D1" w14:textId="77777777">
        <w:trPr>
          <w:hidden/>
        </w:trPr>
        <w:tc>
          <w:tcPr>
            <w:tcW w:w="0" w:type="auto"/>
            <w:gridSpan w:val="3"/>
            <w:shd w:val="clear" w:color="auto" w:fill="auto"/>
          </w:tcPr>
          <w:p w14:paraId="5EA270BB" w14:textId="77777777" w:rsidR="003C66EB" w:rsidRDefault="003C66EB">
            <w:pPr>
              <w:rPr>
                <w:rFonts w:ascii="宋体"/>
                <w:vanish/>
              </w:rPr>
            </w:pPr>
          </w:p>
        </w:tc>
        <w:tc>
          <w:tcPr>
            <w:tcW w:w="0" w:type="auto"/>
            <w:gridSpan w:val="3"/>
            <w:shd w:val="clear" w:color="auto" w:fill="auto"/>
          </w:tcPr>
          <w:p w14:paraId="5EA270BC" w14:textId="77777777" w:rsidR="003C66EB" w:rsidRDefault="003C66EB">
            <w:pPr>
              <w:rPr>
                <w:rFonts w:ascii="宋体"/>
                <w:vanish/>
              </w:rPr>
            </w:pPr>
          </w:p>
        </w:tc>
        <w:tc>
          <w:tcPr>
            <w:tcW w:w="0" w:type="auto"/>
            <w:gridSpan w:val="3"/>
            <w:shd w:val="clear" w:color="auto" w:fill="auto"/>
          </w:tcPr>
          <w:p w14:paraId="5EA270BD" w14:textId="77777777" w:rsidR="003C66EB" w:rsidRDefault="003C66EB">
            <w:pPr>
              <w:rPr>
                <w:rFonts w:ascii="宋体"/>
                <w:vanish/>
              </w:rPr>
            </w:pPr>
          </w:p>
        </w:tc>
        <w:tc>
          <w:tcPr>
            <w:tcW w:w="0" w:type="auto"/>
            <w:gridSpan w:val="3"/>
            <w:shd w:val="clear" w:color="auto" w:fill="auto"/>
          </w:tcPr>
          <w:p w14:paraId="5EA270BE" w14:textId="77777777" w:rsidR="003C66EB" w:rsidRDefault="003C66EB">
            <w:pPr>
              <w:rPr>
                <w:rFonts w:ascii="宋体"/>
                <w:vanish/>
              </w:rPr>
            </w:pPr>
          </w:p>
        </w:tc>
        <w:tc>
          <w:tcPr>
            <w:tcW w:w="0" w:type="auto"/>
            <w:gridSpan w:val="3"/>
            <w:shd w:val="clear" w:color="auto" w:fill="auto"/>
          </w:tcPr>
          <w:p w14:paraId="5EA270BF" w14:textId="77777777" w:rsidR="003C66EB" w:rsidRDefault="003C66EB">
            <w:pPr>
              <w:rPr>
                <w:rFonts w:ascii="宋体"/>
                <w:vanish/>
              </w:rPr>
            </w:pPr>
          </w:p>
        </w:tc>
        <w:tc>
          <w:tcPr>
            <w:tcW w:w="0" w:type="auto"/>
            <w:gridSpan w:val="3"/>
            <w:shd w:val="clear" w:color="auto" w:fill="auto"/>
          </w:tcPr>
          <w:p w14:paraId="5EA270C0" w14:textId="77777777" w:rsidR="003C66EB" w:rsidRDefault="003C66EB">
            <w:pPr>
              <w:rPr>
                <w:rFonts w:ascii="宋体"/>
                <w:vanish/>
              </w:rPr>
            </w:pPr>
          </w:p>
        </w:tc>
        <w:tc>
          <w:tcPr>
            <w:tcW w:w="0" w:type="auto"/>
            <w:gridSpan w:val="3"/>
            <w:shd w:val="clear" w:color="auto" w:fill="auto"/>
          </w:tcPr>
          <w:p w14:paraId="5EA270C1" w14:textId="77777777" w:rsidR="003C66EB" w:rsidRDefault="003C66EB">
            <w:pPr>
              <w:rPr>
                <w:rFonts w:ascii="宋体"/>
                <w:vanish/>
              </w:rPr>
            </w:pPr>
          </w:p>
        </w:tc>
        <w:tc>
          <w:tcPr>
            <w:tcW w:w="0" w:type="auto"/>
            <w:gridSpan w:val="3"/>
            <w:shd w:val="clear" w:color="auto" w:fill="auto"/>
          </w:tcPr>
          <w:p w14:paraId="5EA270C2" w14:textId="77777777" w:rsidR="003C66EB" w:rsidRDefault="003C66EB">
            <w:pPr>
              <w:rPr>
                <w:rFonts w:ascii="宋体"/>
                <w:vanish/>
              </w:rPr>
            </w:pPr>
          </w:p>
        </w:tc>
        <w:tc>
          <w:tcPr>
            <w:tcW w:w="0" w:type="auto"/>
            <w:gridSpan w:val="3"/>
            <w:shd w:val="clear" w:color="auto" w:fill="auto"/>
          </w:tcPr>
          <w:p w14:paraId="5EA270C3" w14:textId="77777777" w:rsidR="003C66EB" w:rsidRDefault="003C66EB">
            <w:pPr>
              <w:rPr>
                <w:rFonts w:ascii="宋体"/>
                <w:vanish/>
              </w:rPr>
            </w:pPr>
          </w:p>
        </w:tc>
        <w:tc>
          <w:tcPr>
            <w:tcW w:w="0" w:type="auto"/>
            <w:gridSpan w:val="3"/>
            <w:shd w:val="clear" w:color="auto" w:fill="auto"/>
          </w:tcPr>
          <w:p w14:paraId="5EA270C4" w14:textId="77777777" w:rsidR="003C66EB" w:rsidRDefault="003C66EB">
            <w:pPr>
              <w:rPr>
                <w:rFonts w:ascii="宋体"/>
                <w:vanish/>
              </w:rPr>
            </w:pPr>
          </w:p>
        </w:tc>
        <w:tc>
          <w:tcPr>
            <w:tcW w:w="0" w:type="auto"/>
            <w:gridSpan w:val="3"/>
            <w:shd w:val="clear" w:color="auto" w:fill="auto"/>
          </w:tcPr>
          <w:p w14:paraId="5EA270C5" w14:textId="77777777" w:rsidR="003C66EB" w:rsidRDefault="003C66EB">
            <w:pPr>
              <w:rPr>
                <w:rFonts w:ascii="宋体"/>
                <w:vanish/>
              </w:rPr>
            </w:pPr>
          </w:p>
        </w:tc>
        <w:tc>
          <w:tcPr>
            <w:tcW w:w="0" w:type="auto"/>
            <w:gridSpan w:val="3"/>
            <w:shd w:val="clear" w:color="auto" w:fill="auto"/>
          </w:tcPr>
          <w:p w14:paraId="5EA270C6" w14:textId="77777777" w:rsidR="003C66EB" w:rsidRDefault="003C66EB">
            <w:pPr>
              <w:rPr>
                <w:rFonts w:ascii="宋体"/>
                <w:vanish/>
              </w:rPr>
            </w:pPr>
          </w:p>
        </w:tc>
        <w:tc>
          <w:tcPr>
            <w:tcW w:w="0" w:type="auto"/>
            <w:gridSpan w:val="3"/>
            <w:shd w:val="clear" w:color="auto" w:fill="auto"/>
          </w:tcPr>
          <w:p w14:paraId="5EA270C7" w14:textId="77777777" w:rsidR="003C66EB" w:rsidRDefault="003C66EB">
            <w:pPr>
              <w:rPr>
                <w:rFonts w:ascii="宋体"/>
                <w:vanish/>
              </w:rPr>
            </w:pPr>
          </w:p>
        </w:tc>
        <w:tc>
          <w:tcPr>
            <w:tcW w:w="0" w:type="auto"/>
            <w:gridSpan w:val="3"/>
            <w:shd w:val="clear" w:color="auto" w:fill="auto"/>
          </w:tcPr>
          <w:p w14:paraId="5EA270C8" w14:textId="77777777" w:rsidR="003C66EB" w:rsidRDefault="003C66EB">
            <w:pPr>
              <w:rPr>
                <w:rFonts w:ascii="宋体"/>
                <w:vanish/>
              </w:rPr>
            </w:pPr>
          </w:p>
        </w:tc>
        <w:tc>
          <w:tcPr>
            <w:tcW w:w="0" w:type="auto"/>
            <w:gridSpan w:val="3"/>
            <w:shd w:val="clear" w:color="auto" w:fill="auto"/>
          </w:tcPr>
          <w:p w14:paraId="5EA270C9" w14:textId="77777777" w:rsidR="003C66EB" w:rsidRDefault="003C66EB">
            <w:pPr>
              <w:rPr>
                <w:rFonts w:ascii="宋体"/>
                <w:vanish/>
              </w:rPr>
            </w:pPr>
          </w:p>
        </w:tc>
        <w:tc>
          <w:tcPr>
            <w:tcW w:w="0" w:type="auto"/>
            <w:gridSpan w:val="3"/>
            <w:shd w:val="clear" w:color="auto" w:fill="auto"/>
          </w:tcPr>
          <w:p w14:paraId="5EA270CA" w14:textId="77777777" w:rsidR="003C66EB" w:rsidRDefault="003C66EB">
            <w:pPr>
              <w:rPr>
                <w:rFonts w:ascii="宋体"/>
                <w:vanish/>
              </w:rPr>
            </w:pPr>
          </w:p>
        </w:tc>
        <w:tc>
          <w:tcPr>
            <w:tcW w:w="0" w:type="auto"/>
            <w:shd w:val="clear" w:color="auto" w:fill="auto"/>
          </w:tcPr>
          <w:p w14:paraId="5EA270CB" w14:textId="77777777" w:rsidR="003C66EB" w:rsidRDefault="003C66EB">
            <w:pPr>
              <w:rPr>
                <w:rFonts w:ascii="宋体"/>
              </w:rPr>
            </w:pPr>
          </w:p>
        </w:tc>
        <w:tc>
          <w:tcPr>
            <w:tcW w:w="0" w:type="auto"/>
            <w:shd w:val="clear" w:color="auto" w:fill="auto"/>
          </w:tcPr>
          <w:p w14:paraId="5EA270CC" w14:textId="77777777" w:rsidR="003C66EB" w:rsidRDefault="003C66EB">
            <w:pPr>
              <w:rPr>
                <w:rFonts w:ascii="宋体"/>
              </w:rPr>
            </w:pPr>
          </w:p>
        </w:tc>
        <w:tc>
          <w:tcPr>
            <w:tcW w:w="0" w:type="auto"/>
            <w:shd w:val="clear" w:color="auto" w:fill="auto"/>
          </w:tcPr>
          <w:p w14:paraId="5EA270CD" w14:textId="77777777" w:rsidR="003C66EB" w:rsidRDefault="003C66EB">
            <w:pPr>
              <w:rPr>
                <w:rFonts w:ascii="宋体"/>
              </w:rPr>
            </w:pPr>
          </w:p>
        </w:tc>
        <w:tc>
          <w:tcPr>
            <w:tcW w:w="0" w:type="auto"/>
            <w:shd w:val="clear" w:color="auto" w:fill="auto"/>
          </w:tcPr>
          <w:p w14:paraId="5EA270CE" w14:textId="77777777" w:rsidR="003C66EB" w:rsidRDefault="003C66EB">
            <w:pPr>
              <w:rPr>
                <w:rFonts w:ascii="宋体"/>
              </w:rPr>
            </w:pPr>
          </w:p>
        </w:tc>
        <w:tc>
          <w:tcPr>
            <w:tcW w:w="0" w:type="auto"/>
            <w:shd w:val="clear" w:color="auto" w:fill="auto"/>
          </w:tcPr>
          <w:p w14:paraId="5EA270CF" w14:textId="77777777" w:rsidR="003C66EB" w:rsidRDefault="003C66EB">
            <w:pPr>
              <w:rPr>
                <w:rFonts w:ascii="宋体"/>
              </w:rPr>
            </w:pPr>
          </w:p>
        </w:tc>
        <w:tc>
          <w:tcPr>
            <w:tcW w:w="0" w:type="auto"/>
            <w:shd w:val="clear" w:color="auto" w:fill="auto"/>
          </w:tcPr>
          <w:p w14:paraId="5EA270D0" w14:textId="77777777" w:rsidR="003C66EB" w:rsidRDefault="003C66EB">
            <w:pPr>
              <w:rPr>
                <w:rFonts w:ascii="宋体"/>
              </w:rPr>
            </w:pPr>
          </w:p>
        </w:tc>
      </w:tr>
      <w:tr w:rsidR="00D96C4E" w14:paraId="5EA270F2" w14:textId="77777777">
        <w:tc>
          <w:tcPr>
            <w:tcW w:w="0" w:type="auto"/>
            <w:gridSpan w:val="9"/>
            <w:shd w:val="clear" w:color="auto" w:fill="FFFFFF"/>
            <w:tcMar>
              <w:top w:w="40" w:type="dxa"/>
              <w:left w:w="20" w:type="dxa"/>
              <w:bottom w:w="40" w:type="dxa"/>
              <w:right w:w="20" w:type="dxa"/>
            </w:tcMar>
            <w:vAlign w:val="bottom"/>
          </w:tcPr>
          <w:p w14:paraId="5EA270D2" w14:textId="77777777" w:rsidR="003C66EB" w:rsidRDefault="00D96C4E">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70D3"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D4" w14:textId="77777777" w:rsidR="003C66EB" w:rsidRDefault="00D96C4E">
            <w:pPr>
              <w:jc w:val="right"/>
              <w:textAlignment w:val="bottom"/>
            </w:pPr>
            <w:r>
              <w:rPr>
                <w:rFonts w:ascii="Arial" w:eastAsia="宋体" w:hAnsi="Arial" w:cs="Arial"/>
                <w:b/>
                <w:bCs/>
                <w:color w:val="000000"/>
                <w:sz w:val="12"/>
                <w:szCs w:val="12"/>
              </w:rPr>
              <w:t>17,220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D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D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D7"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D8" w14:textId="77777777" w:rsidR="003C66EB" w:rsidRDefault="00D96C4E">
            <w:pPr>
              <w:jc w:val="right"/>
              <w:textAlignment w:val="bottom"/>
            </w:pPr>
            <w:r>
              <w:rPr>
                <w:rFonts w:ascii="Arial" w:eastAsia="宋体" w:hAnsi="Arial" w:cs="Arial"/>
                <w:b/>
                <w:bCs/>
                <w:color w:val="000000"/>
                <w:sz w:val="12"/>
                <w:szCs w:val="12"/>
              </w:rPr>
              <w:t>17,355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D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DA"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DB"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DC" w14:textId="77777777" w:rsidR="003C66EB" w:rsidRDefault="00D96C4E">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D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D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DF"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E0" w14:textId="77777777" w:rsidR="003C66EB" w:rsidRDefault="00D96C4E">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E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E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E3"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E4" w14:textId="77777777" w:rsidR="003C66EB" w:rsidRDefault="00D96C4E">
            <w:pPr>
              <w:jc w:val="right"/>
              <w:textAlignment w:val="bottom"/>
            </w:pPr>
            <w:r>
              <w:rPr>
                <w:rFonts w:ascii="Arial" w:eastAsia="宋体" w:hAnsi="Arial" w:cs="Arial"/>
                <w:b/>
                <w:bCs/>
                <w:color w:val="000000"/>
                <w:sz w:val="12"/>
                <w:szCs w:val="12"/>
              </w:rPr>
              <w:t>17,984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E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E7"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E8" w14:textId="77777777" w:rsidR="003C66EB" w:rsidRDefault="00D96C4E">
            <w:pPr>
              <w:jc w:val="right"/>
              <w:textAlignment w:val="bottom"/>
            </w:pPr>
            <w:r>
              <w:rPr>
                <w:rFonts w:ascii="Arial" w:eastAsia="宋体" w:hAnsi="Arial" w:cs="Arial"/>
                <w:b/>
                <w:bCs/>
                <w:color w:val="000000"/>
                <w:sz w:val="12"/>
                <w:szCs w:val="12"/>
              </w:rPr>
              <w:t>18,119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E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EA"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EB"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EC" w14:textId="77777777" w:rsidR="003C66EB" w:rsidRDefault="00D96C4E">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0EE"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0EF"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0F0" w14:textId="77777777" w:rsidR="003C66EB" w:rsidRDefault="00D96C4E">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0F1" w14:textId="77777777" w:rsidR="003C66EB" w:rsidRDefault="003C66EB">
            <w:pPr>
              <w:jc w:val="right"/>
              <w:rPr>
                <w:rFonts w:ascii="宋体"/>
              </w:rPr>
            </w:pPr>
          </w:p>
        </w:tc>
      </w:tr>
      <w:tr w:rsidR="003C66EB" w14:paraId="5EA27103" w14:textId="77777777">
        <w:tc>
          <w:tcPr>
            <w:tcW w:w="0" w:type="auto"/>
            <w:gridSpan w:val="9"/>
            <w:shd w:val="clear" w:color="auto" w:fill="CCEEFF"/>
            <w:tcMar>
              <w:top w:w="40" w:type="dxa"/>
              <w:left w:w="20" w:type="dxa"/>
              <w:bottom w:w="40" w:type="dxa"/>
              <w:right w:w="20" w:type="dxa"/>
            </w:tcMar>
            <w:vAlign w:val="bottom"/>
          </w:tcPr>
          <w:p w14:paraId="5EA270F3" w14:textId="77777777" w:rsidR="003C66EB" w:rsidRDefault="00D96C4E">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tcPr>
          <w:p w14:paraId="5EA270F4"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0F5"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0F6"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0F7"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0F8"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0F9"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0FA"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0FB"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0FC"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0FD"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0FE"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0FF"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100"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101"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102" w14:textId="77777777" w:rsidR="003C66EB" w:rsidRDefault="003C66EB">
            <w:pPr>
              <w:rPr>
                <w:rFonts w:ascii="宋体"/>
              </w:rPr>
            </w:pPr>
          </w:p>
        </w:tc>
      </w:tr>
      <w:tr w:rsidR="00D96C4E" w14:paraId="5EA27124" w14:textId="77777777">
        <w:tc>
          <w:tcPr>
            <w:tcW w:w="0" w:type="auto"/>
            <w:gridSpan w:val="9"/>
            <w:shd w:val="clear" w:color="auto" w:fill="FFFFFF"/>
            <w:tcMar>
              <w:top w:w="40" w:type="dxa"/>
              <w:left w:w="20" w:type="dxa"/>
              <w:bottom w:w="40" w:type="dxa"/>
              <w:right w:w="20" w:type="dxa"/>
            </w:tcMar>
            <w:vAlign w:val="bottom"/>
          </w:tcPr>
          <w:p w14:paraId="5EA27104" w14:textId="77777777" w:rsidR="003C66EB" w:rsidRDefault="00D96C4E">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5EA27105"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7106" w14:textId="77777777" w:rsidR="003C66EB" w:rsidRDefault="00D96C4E">
            <w:pPr>
              <w:jc w:val="right"/>
              <w:textAlignment w:val="bottom"/>
            </w:pPr>
            <w:r>
              <w:rPr>
                <w:rFonts w:ascii="Arial" w:eastAsia="宋体" w:hAnsi="Arial" w:cs="Arial"/>
                <w:b/>
                <w:bCs/>
                <w:color w:val="000000"/>
                <w:sz w:val="12"/>
                <w:szCs w:val="12"/>
              </w:rPr>
              <w:t>66,726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0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08"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09"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710A" w14:textId="77777777" w:rsidR="003C66EB" w:rsidRDefault="00D96C4E">
            <w:pPr>
              <w:jc w:val="right"/>
              <w:textAlignment w:val="bottom"/>
            </w:pPr>
            <w:r>
              <w:rPr>
                <w:rFonts w:ascii="Arial" w:eastAsia="宋体" w:hAnsi="Arial" w:cs="Arial"/>
                <w:b/>
                <w:bCs/>
                <w:color w:val="000000"/>
                <w:sz w:val="12"/>
                <w:szCs w:val="12"/>
              </w:rPr>
              <w:t>122,074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0C"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0D"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710E" w14:textId="77777777" w:rsidR="003C66EB" w:rsidRDefault="00D96C4E">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5EA2710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10"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11"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7112" w14:textId="77777777" w:rsidR="003C66EB" w:rsidRDefault="00D96C4E">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5EA2711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14"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15"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7116" w14:textId="77777777" w:rsidR="003C66EB" w:rsidRDefault="00D96C4E">
            <w:pPr>
              <w:jc w:val="right"/>
              <w:textAlignment w:val="bottom"/>
            </w:pPr>
            <w:r>
              <w:rPr>
                <w:rFonts w:ascii="Arial" w:eastAsia="宋体" w:hAnsi="Arial" w:cs="Arial"/>
                <w:b/>
                <w:bCs/>
                <w:color w:val="000000"/>
                <w:sz w:val="12"/>
                <w:szCs w:val="12"/>
              </w:rPr>
              <w:t>62,082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1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18"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19"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A2711A" w14:textId="77777777" w:rsidR="003C66EB" w:rsidRDefault="00D96C4E">
            <w:pPr>
              <w:jc w:val="right"/>
              <w:textAlignment w:val="bottom"/>
            </w:pPr>
            <w:r>
              <w:rPr>
                <w:rFonts w:ascii="Arial" w:eastAsia="宋体" w:hAnsi="Arial" w:cs="Arial"/>
                <w:b/>
                <w:bCs/>
                <w:color w:val="000000"/>
                <w:sz w:val="12"/>
                <w:szCs w:val="12"/>
              </w:rPr>
              <w:t>119,020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1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1C"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1D"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711E" w14:textId="77777777" w:rsidR="003C66EB" w:rsidRDefault="00D96C4E">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5EA2711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20"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121" w14:textId="77777777" w:rsidR="003C66EB" w:rsidRDefault="00D96C4E">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A27122" w14:textId="77777777" w:rsidR="003C66EB" w:rsidRDefault="00D96C4E">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5EA27123" w14:textId="77777777" w:rsidR="003C66EB" w:rsidRDefault="003C66EB">
            <w:pPr>
              <w:jc w:val="right"/>
              <w:rPr>
                <w:rFonts w:ascii="宋体"/>
              </w:rPr>
            </w:pPr>
          </w:p>
        </w:tc>
      </w:tr>
      <w:tr w:rsidR="003C66EB" w14:paraId="5EA27139" w14:textId="77777777">
        <w:tc>
          <w:tcPr>
            <w:tcW w:w="0" w:type="auto"/>
            <w:gridSpan w:val="9"/>
            <w:shd w:val="clear" w:color="auto" w:fill="CCEEFF"/>
            <w:tcMar>
              <w:top w:w="40" w:type="dxa"/>
              <w:left w:w="20" w:type="dxa"/>
              <w:bottom w:w="40" w:type="dxa"/>
              <w:right w:w="20" w:type="dxa"/>
            </w:tcMar>
            <w:vAlign w:val="bottom"/>
          </w:tcPr>
          <w:p w14:paraId="5EA27125" w14:textId="77777777" w:rsidR="003C66EB" w:rsidRDefault="00D96C4E">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5EA27126" w14:textId="77777777" w:rsidR="003C66EB" w:rsidRDefault="00D96C4E">
            <w:pPr>
              <w:jc w:val="right"/>
              <w:textAlignment w:val="bottom"/>
            </w:pPr>
            <w:r>
              <w:rPr>
                <w:rFonts w:ascii="Arial" w:eastAsia="宋体" w:hAnsi="Arial" w:cs="Arial"/>
                <w:b/>
                <w:bCs/>
                <w:color w:val="000000"/>
                <w:sz w:val="12"/>
                <w:szCs w:val="12"/>
              </w:rPr>
              <w:t>44,075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28"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7129" w14:textId="77777777" w:rsidR="003C66EB" w:rsidRDefault="00D96C4E">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tcPr>
          <w:p w14:paraId="5EA2712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2B" w14:textId="77777777" w:rsidR="003C66EB" w:rsidRDefault="00D96C4E">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5EA2712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2D"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712E" w14:textId="77777777" w:rsidR="003C66EB" w:rsidRDefault="00D96C4E">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tcPr>
          <w:p w14:paraId="5EA2712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30" w14:textId="77777777" w:rsidR="003C66EB" w:rsidRDefault="00D96C4E">
            <w:pPr>
              <w:jc w:val="right"/>
              <w:textAlignment w:val="bottom"/>
            </w:pPr>
            <w:r>
              <w:rPr>
                <w:rFonts w:ascii="Arial" w:eastAsia="宋体" w:hAnsi="Arial" w:cs="Arial"/>
                <w:b/>
                <w:bCs/>
                <w:color w:val="000000"/>
                <w:sz w:val="12"/>
                <w:szCs w:val="12"/>
              </w:rPr>
              <w:t>43,600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3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32"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7133" w14:textId="77777777" w:rsidR="003C66EB" w:rsidRDefault="00D96C4E">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tcPr>
          <w:p w14:paraId="5EA2713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35" w14:textId="77777777" w:rsidR="003C66EB" w:rsidRDefault="00D96C4E">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5EA2713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37" w14:textId="77777777" w:rsidR="003C66EB" w:rsidRDefault="003C66EB">
            <w:pPr>
              <w:rPr>
                <w:rFonts w:ascii="宋体"/>
              </w:rPr>
            </w:pPr>
          </w:p>
        </w:tc>
        <w:tc>
          <w:tcPr>
            <w:tcW w:w="0" w:type="auto"/>
            <w:gridSpan w:val="3"/>
            <w:shd w:val="clear" w:color="auto" w:fill="CCEEFF"/>
            <w:tcMar>
              <w:top w:w="40" w:type="dxa"/>
              <w:left w:w="20" w:type="dxa"/>
              <w:bottom w:w="40" w:type="dxa"/>
              <w:right w:w="140" w:type="dxa"/>
            </w:tcMar>
            <w:vAlign w:val="bottom"/>
          </w:tcPr>
          <w:p w14:paraId="5EA27138" w14:textId="77777777" w:rsidR="003C66EB" w:rsidRDefault="00D96C4E">
            <w:pPr>
              <w:jc w:val="right"/>
              <w:textAlignment w:val="bottom"/>
            </w:pPr>
            <w:r>
              <w:rPr>
                <w:rFonts w:ascii="Arial" w:eastAsia="宋体" w:hAnsi="Arial" w:cs="Arial"/>
                <w:color w:val="000000"/>
                <w:sz w:val="12"/>
                <w:szCs w:val="12"/>
              </w:rPr>
              <w:t>NA</w:t>
            </w:r>
          </w:p>
        </w:tc>
      </w:tr>
      <w:tr w:rsidR="003C66EB" w14:paraId="5EA27152" w14:textId="77777777">
        <w:tc>
          <w:tcPr>
            <w:tcW w:w="0" w:type="auto"/>
            <w:gridSpan w:val="9"/>
            <w:shd w:val="clear" w:color="auto" w:fill="FFFFFF"/>
            <w:tcMar>
              <w:top w:w="40" w:type="dxa"/>
              <w:left w:w="155" w:type="dxa"/>
              <w:bottom w:w="40" w:type="dxa"/>
              <w:right w:w="20" w:type="dxa"/>
            </w:tcMar>
            <w:vAlign w:val="bottom"/>
          </w:tcPr>
          <w:p w14:paraId="5EA2713A" w14:textId="77777777" w:rsidR="003C66EB" w:rsidRDefault="00D96C4E">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5EA2713B"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3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3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3E"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4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41"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71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4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44"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714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4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47"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4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4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4A" w14:textId="77777777" w:rsidR="003C66EB" w:rsidRDefault="00D96C4E">
            <w:pPr>
              <w:jc w:val="right"/>
              <w:textAlignment w:val="bottom"/>
            </w:pPr>
            <w:r>
              <w:rPr>
                <w:rFonts w:ascii="Arial" w:eastAsia="宋体" w:hAnsi="Arial" w:cs="Arial"/>
                <w:b/>
                <w:bCs/>
                <w:color w:val="000000"/>
                <w:sz w:val="12"/>
                <w:szCs w:val="12"/>
              </w:rPr>
              <w:t>2,250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4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4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4D"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714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4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50" w14:textId="77777777" w:rsidR="003C66EB" w:rsidRDefault="00D96C4E">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A27151" w14:textId="77777777" w:rsidR="003C66EB" w:rsidRDefault="003C66EB">
            <w:pPr>
              <w:jc w:val="right"/>
              <w:rPr>
                <w:rFonts w:ascii="宋体"/>
              </w:rPr>
            </w:pPr>
          </w:p>
        </w:tc>
      </w:tr>
      <w:tr w:rsidR="00D96C4E" w14:paraId="5EA27173" w14:textId="77777777">
        <w:tc>
          <w:tcPr>
            <w:tcW w:w="0" w:type="auto"/>
            <w:gridSpan w:val="9"/>
            <w:shd w:val="clear" w:color="auto" w:fill="CCEEFF"/>
            <w:tcMar>
              <w:top w:w="40" w:type="dxa"/>
              <w:left w:w="20" w:type="dxa"/>
              <w:bottom w:w="40" w:type="dxa"/>
              <w:right w:w="20" w:type="dxa"/>
            </w:tcMar>
            <w:vAlign w:val="bottom"/>
          </w:tcPr>
          <w:p w14:paraId="5EA27153" w14:textId="77777777" w:rsidR="003C66EB" w:rsidRDefault="00D96C4E">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154"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55" w14:textId="77777777" w:rsidR="003C66EB" w:rsidRDefault="00D96C4E">
            <w:pPr>
              <w:jc w:val="right"/>
              <w:textAlignment w:val="bottom"/>
            </w:pPr>
            <w:r>
              <w:rPr>
                <w:rFonts w:ascii="Arial" w:eastAsia="宋体" w:hAnsi="Arial" w:cs="Arial"/>
                <w:b/>
                <w:bCs/>
                <w:color w:val="000000"/>
                <w:sz w:val="12"/>
                <w:szCs w:val="12"/>
              </w:rPr>
              <w:t>113,051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5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5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58"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59" w14:textId="77777777" w:rsidR="003C66EB" w:rsidRDefault="00D96C4E">
            <w:pPr>
              <w:jc w:val="right"/>
              <w:textAlignment w:val="bottom"/>
            </w:pPr>
            <w:r>
              <w:rPr>
                <w:rFonts w:ascii="Arial" w:eastAsia="宋体" w:hAnsi="Arial" w:cs="Arial"/>
                <w:b/>
                <w:bCs/>
                <w:color w:val="000000"/>
                <w:sz w:val="12"/>
                <w:szCs w:val="12"/>
              </w:rPr>
              <w:t>124,324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5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5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5C"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5D" w14:textId="77777777" w:rsidR="003C66EB" w:rsidRDefault="00D96C4E">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5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60"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61" w14:textId="77777777" w:rsidR="003C66EB" w:rsidRDefault="00D96C4E">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6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64"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65" w14:textId="77777777" w:rsidR="003C66EB" w:rsidRDefault="00D96C4E">
            <w:pPr>
              <w:jc w:val="right"/>
              <w:textAlignment w:val="bottom"/>
            </w:pPr>
            <w:r>
              <w:rPr>
                <w:rFonts w:ascii="Arial" w:eastAsia="宋体" w:hAnsi="Arial" w:cs="Arial"/>
                <w:b/>
                <w:bCs/>
                <w:color w:val="000000"/>
                <w:sz w:val="12"/>
                <w:szCs w:val="12"/>
              </w:rPr>
              <w:t>107,932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6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6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68" w14:textId="77777777" w:rsidR="003C66EB" w:rsidRDefault="00D96C4E">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69" w14:textId="77777777" w:rsidR="003C66EB" w:rsidRDefault="00D96C4E">
            <w:pPr>
              <w:jc w:val="right"/>
              <w:textAlignment w:val="bottom"/>
            </w:pPr>
            <w:r>
              <w:rPr>
                <w:rFonts w:ascii="Arial" w:eastAsia="宋体" w:hAnsi="Arial" w:cs="Arial"/>
                <w:b/>
                <w:bCs/>
                <w:color w:val="000000"/>
                <w:sz w:val="12"/>
                <w:szCs w:val="12"/>
              </w:rPr>
              <w:t>121,270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6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6C"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6D" w14:textId="77777777" w:rsidR="003C66EB" w:rsidRDefault="00D96C4E">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6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6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170" w14:textId="77777777" w:rsidR="003C66EB" w:rsidRDefault="00D96C4E">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171" w14:textId="77777777" w:rsidR="003C66EB" w:rsidRDefault="00D96C4E">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72" w14:textId="77777777" w:rsidR="003C66EB" w:rsidRDefault="003C66EB">
            <w:pPr>
              <w:jc w:val="right"/>
              <w:rPr>
                <w:rFonts w:ascii="宋体"/>
              </w:rPr>
            </w:pPr>
          </w:p>
        </w:tc>
      </w:tr>
      <w:tr w:rsidR="003C66EB" w14:paraId="5EA27186" w14:textId="77777777">
        <w:trPr>
          <w:trHeight w:val="120"/>
        </w:trPr>
        <w:tc>
          <w:tcPr>
            <w:tcW w:w="0" w:type="auto"/>
            <w:gridSpan w:val="3"/>
            <w:shd w:val="clear" w:color="auto" w:fill="FFFFFF"/>
            <w:tcMar>
              <w:top w:w="0" w:type="dxa"/>
              <w:left w:w="20" w:type="dxa"/>
              <w:bottom w:w="0" w:type="dxa"/>
              <w:right w:w="20" w:type="dxa"/>
            </w:tcMar>
          </w:tcPr>
          <w:p w14:paraId="5EA2717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75"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76"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77"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78"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7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7A"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7B"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7C"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7D"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7E"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7F"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80"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81"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82"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8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84" w14:textId="77777777" w:rsidR="003C66EB" w:rsidRDefault="003C66E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5EA27185" w14:textId="77777777" w:rsidR="003C66EB" w:rsidRDefault="003C66EB">
            <w:pPr>
              <w:rPr>
                <w:rFonts w:ascii="宋体"/>
              </w:rPr>
            </w:pPr>
          </w:p>
        </w:tc>
      </w:tr>
      <w:tr w:rsidR="00D96C4E" w14:paraId="5EA271A7" w14:textId="77777777">
        <w:tc>
          <w:tcPr>
            <w:tcW w:w="0" w:type="auto"/>
            <w:gridSpan w:val="9"/>
            <w:shd w:val="clear" w:color="auto" w:fill="CCEEFF"/>
            <w:tcMar>
              <w:top w:w="40" w:type="dxa"/>
              <w:left w:w="20" w:type="dxa"/>
              <w:bottom w:w="40" w:type="dxa"/>
              <w:right w:w="20" w:type="dxa"/>
            </w:tcMar>
            <w:vAlign w:val="bottom"/>
          </w:tcPr>
          <w:p w14:paraId="5EA27187" w14:textId="77777777" w:rsidR="003C66EB" w:rsidRDefault="00D96C4E">
            <w:pPr>
              <w:textAlignment w:val="bottom"/>
            </w:pPr>
            <w:r>
              <w:rPr>
                <w:rFonts w:ascii="Arial" w:eastAsia="宋体" w:hAnsi="Arial" w:cs="Arial"/>
                <w:b/>
                <w:bCs/>
                <w:color w:val="000000"/>
                <w:sz w:val="12"/>
                <w:szCs w:val="12"/>
              </w:rPr>
              <w:t xml:space="preserve">Adjusted </w:t>
            </w:r>
            <w:r>
              <w:rPr>
                <w:rFonts w:ascii="Arial" w:eastAsia="宋体" w:hAnsi="Arial" w:cs="Arial"/>
                <w:b/>
                <w:bCs/>
                <w:color w:val="000000"/>
                <w:sz w:val="12"/>
                <w:szCs w:val="12"/>
              </w:rPr>
              <w:t>quarterly average assets</w:t>
            </w:r>
          </w:p>
        </w:tc>
        <w:tc>
          <w:tcPr>
            <w:tcW w:w="0" w:type="auto"/>
            <w:shd w:val="clear" w:color="auto" w:fill="CCEEFF"/>
            <w:tcMar>
              <w:top w:w="40" w:type="dxa"/>
              <w:left w:w="20" w:type="dxa"/>
              <w:bottom w:w="40" w:type="dxa"/>
              <w:right w:w="0" w:type="dxa"/>
            </w:tcMar>
            <w:vAlign w:val="bottom"/>
          </w:tcPr>
          <w:p w14:paraId="5EA27188"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7189" w14:textId="77777777" w:rsidR="003C66EB" w:rsidRDefault="00D96C4E">
            <w:pPr>
              <w:jc w:val="right"/>
              <w:textAlignment w:val="bottom"/>
            </w:pPr>
            <w:r>
              <w:rPr>
                <w:rFonts w:ascii="Arial" w:eastAsia="宋体" w:hAnsi="Arial" w:cs="Arial"/>
                <w:b/>
                <w:bCs/>
                <w:color w:val="000000"/>
                <w:sz w:val="12"/>
                <w:szCs w:val="12"/>
              </w:rPr>
              <w:t>285,480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8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8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8C"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718D" w14:textId="77777777" w:rsidR="003C66EB" w:rsidRDefault="00D96C4E">
            <w:pPr>
              <w:jc w:val="right"/>
              <w:textAlignment w:val="bottom"/>
            </w:pPr>
            <w:r>
              <w:rPr>
                <w:rFonts w:ascii="Arial" w:eastAsia="宋体" w:hAnsi="Arial" w:cs="Arial"/>
                <w:b/>
                <w:bCs/>
                <w:color w:val="000000"/>
                <w:sz w:val="12"/>
                <w:szCs w:val="12"/>
              </w:rPr>
              <w:t>285,480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8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8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90"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7191" w14:textId="77777777" w:rsidR="003C66EB" w:rsidRDefault="00D96C4E">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A2719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9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94"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7195" w14:textId="77777777" w:rsidR="003C66EB" w:rsidRDefault="00D96C4E">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A2719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97"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98"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7199" w14:textId="77777777" w:rsidR="003C66EB" w:rsidRDefault="00D96C4E">
            <w:pPr>
              <w:jc w:val="right"/>
              <w:textAlignment w:val="bottom"/>
            </w:pPr>
            <w:r>
              <w:rPr>
                <w:rFonts w:ascii="Arial" w:eastAsia="宋体" w:hAnsi="Arial" w:cs="Arial"/>
                <w:b/>
                <w:bCs/>
                <w:color w:val="000000"/>
                <w:sz w:val="12"/>
                <w:szCs w:val="12"/>
              </w:rPr>
              <w:t>282,319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9B"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9C" w14:textId="77777777" w:rsidR="003C66EB" w:rsidRDefault="00D96C4E">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A2719D" w14:textId="77777777" w:rsidR="003C66EB" w:rsidRDefault="00D96C4E">
            <w:pPr>
              <w:jc w:val="right"/>
              <w:textAlignment w:val="bottom"/>
            </w:pPr>
            <w:r>
              <w:rPr>
                <w:rFonts w:ascii="Arial" w:eastAsia="宋体" w:hAnsi="Arial" w:cs="Arial"/>
                <w:b/>
                <w:bCs/>
                <w:color w:val="000000"/>
                <w:sz w:val="12"/>
                <w:szCs w:val="12"/>
              </w:rPr>
              <w:t>282,319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9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A0"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71A1" w14:textId="77777777" w:rsidR="003C66EB" w:rsidRDefault="00D96C4E">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A271A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1A3"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1A4" w14:textId="77777777" w:rsidR="003C66EB" w:rsidRDefault="00D96C4E">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A271A5" w14:textId="77777777" w:rsidR="003C66EB" w:rsidRDefault="00D96C4E">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A271A6" w14:textId="77777777" w:rsidR="003C66EB" w:rsidRDefault="003C66EB">
            <w:pPr>
              <w:jc w:val="right"/>
              <w:rPr>
                <w:rFonts w:ascii="宋体"/>
              </w:rPr>
            </w:pPr>
          </w:p>
        </w:tc>
      </w:tr>
      <w:tr w:rsidR="003C66EB" w14:paraId="5EA271BA" w14:textId="77777777">
        <w:trPr>
          <w:trHeight w:val="100"/>
        </w:trPr>
        <w:tc>
          <w:tcPr>
            <w:tcW w:w="0" w:type="auto"/>
            <w:gridSpan w:val="3"/>
            <w:shd w:val="clear" w:color="auto" w:fill="auto"/>
            <w:tcMar>
              <w:top w:w="0" w:type="dxa"/>
              <w:left w:w="20" w:type="dxa"/>
              <w:bottom w:w="0" w:type="dxa"/>
              <w:right w:w="20" w:type="dxa"/>
            </w:tcMar>
          </w:tcPr>
          <w:p w14:paraId="5EA271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A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9" w14:textId="77777777" w:rsidR="003C66EB" w:rsidRDefault="003C66EB">
            <w:pPr>
              <w:rPr>
                <w:rFonts w:ascii="宋体"/>
              </w:rPr>
            </w:pPr>
          </w:p>
        </w:tc>
      </w:tr>
      <w:tr w:rsidR="003C66EB" w14:paraId="5EA271CD" w14:textId="77777777">
        <w:tc>
          <w:tcPr>
            <w:tcW w:w="0" w:type="auto"/>
            <w:gridSpan w:val="3"/>
            <w:shd w:val="clear" w:color="auto" w:fill="auto"/>
            <w:tcMar>
              <w:top w:w="40" w:type="dxa"/>
              <w:left w:w="20" w:type="dxa"/>
              <w:bottom w:w="40" w:type="dxa"/>
              <w:right w:w="20" w:type="dxa"/>
            </w:tcMar>
            <w:vAlign w:val="bottom"/>
          </w:tcPr>
          <w:p w14:paraId="5EA271BB" w14:textId="77777777" w:rsidR="003C66EB" w:rsidRDefault="00D96C4E">
            <w:pPr>
              <w:textAlignment w:val="bottom"/>
            </w:pPr>
            <w:r>
              <w:rPr>
                <w:rFonts w:ascii="Arial" w:eastAsia="宋体" w:hAnsi="Arial" w:cs="Arial"/>
                <w:b/>
                <w:bCs/>
                <w:color w:val="000000"/>
                <w:sz w:val="12"/>
                <w:szCs w:val="12"/>
              </w:rPr>
              <w:t>Capital Ratios:</w:t>
            </w:r>
          </w:p>
        </w:tc>
        <w:tc>
          <w:tcPr>
            <w:tcW w:w="0" w:type="auto"/>
            <w:gridSpan w:val="3"/>
            <w:shd w:val="clear" w:color="auto" w:fill="auto"/>
            <w:tcMar>
              <w:top w:w="40" w:type="dxa"/>
              <w:left w:w="20" w:type="dxa"/>
              <w:bottom w:w="40" w:type="dxa"/>
              <w:right w:w="20" w:type="dxa"/>
            </w:tcMar>
            <w:vAlign w:val="bottom"/>
          </w:tcPr>
          <w:p w14:paraId="5EA271BC" w14:textId="77777777" w:rsidR="003C66EB" w:rsidRDefault="00D96C4E">
            <w:pP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5EA271BD" w14:textId="77777777" w:rsidR="003C66EB" w:rsidRDefault="00D96C4E">
            <w:pPr>
              <w:jc w:val="center"/>
              <w:textAlignment w:val="bottom"/>
            </w:pPr>
            <w:r>
              <w:rPr>
                <w:rFonts w:ascii="Arial" w:eastAsia="宋体" w:hAnsi="Arial" w:cs="Arial"/>
                <w:color w:val="000000"/>
                <w:sz w:val="12"/>
                <w:szCs w:val="12"/>
              </w:rPr>
              <w:t xml:space="preserve">2020 Minimum </w:t>
            </w:r>
            <w:r>
              <w:rPr>
                <w:rFonts w:ascii="Arial" w:eastAsia="宋体" w:hAnsi="Arial" w:cs="Arial"/>
                <w:color w:val="000000"/>
                <w:sz w:val="12"/>
                <w:szCs w:val="12"/>
              </w:rPr>
              <w:t>Requirements</w:t>
            </w:r>
            <w:r>
              <w:rPr>
                <w:rFonts w:ascii="Arial" w:eastAsia="宋体" w:hAnsi="Arial" w:cs="Arial"/>
                <w:color w:val="000000"/>
                <w:sz w:val="7"/>
                <w:szCs w:val="7"/>
              </w:rPr>
              <w:t>(4)</w:t>
            </w:r>
          </w:p>
        </w:tc>
        <w:tc>
          <w:tcPr>
            <w:tcW w:w="0" w:type="auto"/>
            <w:gridSpan w:val="3"/>
            <w:shd w:val="clear" w:color="auto" w:fill="auto"/>
            <w:tcMar>
              <w:top w:w="0" w:type="dxa"/>
              <w:left w:w="20" w:type="dxa"/>
              <w:bottom w:w="0" w:type="dxa"/>
              <w:right w:w="20" w:type="dxa"/>
            </w:tcMar>
          </w:tcPr>
          <w:p w14:paraId="5EA271B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B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6"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1C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1CC" w14:textId="77777777" w:rsidR="003C66EB" w:rsidRDefault="003C66EB">
            <w:pPr>
              <w:rPr>
                <w:rFonts w:ascii="宋体"/>
              </w:rPr>
            </w:pPr>
          </w:p>
        </w:tc>
      </w:tr>
      <w:tr w:rsidR="00D96C4E" w14:paraId="5EA271EA" w14:textId="77777777">
        <w:tc>
          <w:tcPr>
            <w:tcW w:w="0" w:type="auto"/>
            <w:gridSpan w:val="3"/>
            <w:shd w:val="clear" w:color="auto" w:fill="CCEEFF"/>
            <w:tcMar>
              <w:top w:w="40" w:type="dxa"/>
              <w:left w:w="20" w:type="dxa"/>
              <w:bottom w:w="40" w:type="dxa"/>
              <w:right w:w="20" w:type="dxa"/>
            </w:tcMar>
            <w:vAlign w:val="bottom"/>
          </w:tcPr>
          <w:p w14:paraId="5EA271CE" w14:textId="77777777" w:rsidR="003C66EB" w:rsidRDefault="00D96C4E">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1CF" w14:textId="77777777" w:rsidR="003C66EB" w:rsidRDefault="00D96C4E">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D0"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1D1" w14:textId="77777777" w:rsidR="003C66EB" w:rsidRDefault="00D96C4E">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1D2" w14:textId="77777777" w:rsidR="003C66EB" w:rsidRDefault="00D96C4E">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5EA271D3" w14:textId="77777777" w:rsidR="003C66EB" w:rsidRDefault="00D96C4E">
            <w:pPr>
              <w:jc w:val="right"/>
              <w:textAlignment w:val="bottom"/>
            </w:pPr>
            <w:r>
              <w:rPr>
                <w:rFonts w:ascii="Arial" w:eastAsia="宋体" w:hAnsi="Arial" w:cs="Arial"/>
                <w:b/>
                <w:bCs/>
                <w:color w:val="000000"/>
                <w:sz w:val="12"/>
                <w:szCs w:val="12"/>
              </w:rPr>
              <w:t>11.9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D4"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71D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D6" w14:textId="77777777" w:rsidR="003C66EB" w:rsidRDefault="00D96C4E">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D7"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71D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D9" w14:textId="77777777" w:rsidR="003C66EB" w:rsidRDefault="00D96C4E">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EA271DA" w14:textId="77777777" w:rsidR="003C66EB" w:rsidRDefault="00D96C4E">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5EA271D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DC" w14:textId="77777777" w:rsidR="003C66EB" w:rsidRDefault="00D96C4E">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EA271DD" w14:textId="77777777" w:rsidR="003C66EB" w:rsidRDefault="00D96C4E">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5EA271D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DF" w14:textId="77777777" w:rsidR="003C66EB" w:rsidRDefault="00D96C4E">
            <w:pPr>
              <w:jc w:val="right"/>
              <w:textAlignment w:val="bottom"/>
            </w:pPr>
            <w:r>
              <w:rPr>
                <w:rFonts w:ascii="Arial" w:eastAsia="宋体" w:hAnsi="Arial" w:cs="Arial"/>
                <w:b/>
                <w:bCs/>
                <w:color w:val="000000"/>
                <w:sz w:val="12"/>
                <w:szCs w:val="12"/>
              </w:rPr>
              <w:t>15.8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E0"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71E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E2" w14:textId="77777777" w:rsidR="003C66EB" w:rsidRDefault="00D96C4E">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1E3" w14:textId="77777777" w:rsidR="003C66EB" w:rsidRDefault="00D96C4E">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5EA271E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E5" w14:textId="77777777" w:rsidR="003C66EB" w:rsidRDefault="00D96C4E">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5EA271E6" w14:textId="77777777" w:rsidR="003C66EB" w:rsidRDefault="00D96C4E">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5EA271E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1E8" w14:textId="77777777" w:rsidR="003C66EB" w:rsidRDefault="00D96C4E">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A271E9" w14:textId="77777777" w:rsidR="003C66EB" w:rsidRDefault="00D96C4E">
            <w:pPr>
              <w:jc w:val="right"/>
              <w:textAlignment w:val="bottom"/>
            </w:pPr>
            <w:r>
              <w:rPr>
                <w:rFonts w:ascii="Arial" w:eastAsia="宋体" w:hAnsi="Arial" w:cs="Arial"/>
                <w:color w:val="000000"/>
                <w:sz w:val="12"/>
                <w:szCs w:val="12"/>
              </w:rPr>
              <w:t>%</w:t>
            </w:r>
          </w:p>
        </w:tc>
      </w:tr>
      <w:tr w:rsidR="00D96C4E" w14:paraId="5EA27207" w14:textId="77777777">
        <w:tc>
          <w:tcPr>
            <w:tcW w:w="0" w:type="auto"/>
            <w:gridSpan w:val="3"/>
            <w:shd w:val="clear" w:color="auto" w:fill="FFFFFF"/>
            <w:tcMar>
              <w:top w:w="40" w:type="dxa"/>
              <w:left w:w="20" w:type="dxa"/>
              <w:bottom w:w="40" w:type="dxa"/>
              <w:right w:w="20" w:type="dxa"/>
            </w:tcMar>
            <w:vAlign w:val="bottom"/>
          </w:tcPr>
          <w:p w14:paraId="5EA271EB" w14:textId="77777777" w:rsidR="003C66EB" w:rsidRDefault="00D96C4E">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5EA271EC" w14:textId="77777777" w:rsidR="003C66EB" w:rsidRDefault="00D96C4E">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ED" w14:textId="77777777" w:rsidR="003C66EB" w:rsidRDefault="003C66E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A271EE" w14:textId="77777777" w:rsidR="003C66EB" w:rsidRDefault="00D96C4E">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5EA271EF" w14:textId="77777777" w:rsidR="003C66EB" w:rsidRDefault="003C66E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A271F0" w14:textId="77777777" w:rsidR="003C66EB" w:rsidRDefault="00D96C4E">
            <w:pPr>
              <w:jc w:val="right"/>
              <w:textAlignment w:val="bottom"/>
            </w:pPr>
            <w:r>
              <w:rPr>
                <w:rFonts w:ascii="Arial" w:eastAsia="宋体" w:hAnsi="Arial" w:cs="Arial"/>
                <w:b/>
                <w:bCs/>
                <w:color w:val="000000"/>
                <w:sz w:val="12"/>
                <w:szCs w:val="12"/>
              </w:rPr>
              <w:t>13.6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F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F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F3" w14:textId="77777777" w:rsidR="003C66EB" w:rsidRDefault="00D96C4E">
            <w:pPr>
              <w:jc w:val="right"/>
              <w:textAlignment w:val="bottom"/>
            </w:pPr>
            <w:r>
              <w:rPr>
                <w:rFonts w:ascii="Arial" w:eastAsia="宋体" w:hAnsi="Arial" w:cs="Arial"/>
                <w:b/>
                <w:bCs/>
                <w:color w:val="000000"/>
                <w:sz w:val="12"/>
                <w:szCs w:val="12"/>
              </w:rPr>
              <w:t>12.4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F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F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F6" w14:textId="77777777" w:rsidR="003C66EB" w:rsidRDefault="00D96C4E">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5EA271F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F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F9" w14:textId="77777777" w:rsidR="003C66EB" w:rsidRDefault="00D96C4E">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5EA271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F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FC" w14:textId="77777777" w:rsidR="003C66EB" w:rsidRDefault="00D96C4E">
            <w:pPr>
              <w:jc w:val="right"/>
              <w:textAlignment w:val="bottom"/>
            </w:pPr>
            <w:r>
              <w:rPr>
                <w:rFonts w:ascii="Arial" w:eastAsia="宋体" w:hAnsi="Arial" w:cs="Arial"/>
                <w:b/>
                <w:bCs/>
                <w:color w:val="000000"/>
                <w:sz w:val="12"/>
                <w:szCs w:val="12"/>
              </w:rPr>
              <w:t>15.8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1F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1F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1FF" w14:textId="77777777" w:rsidR="003C66EB" w:rsidRDefault="00D96C4E">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20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0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02" w14:textId="77777777" w:rsidR="003C66EB" w:rsidRDefault="00D96C4E">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5EA2720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0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05" w14:textId="77777777" w:rsidR="003C66EB" w:rsidRDefault="00D96C4E">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5EA27206" w14:textId="77777777" w:rsidR="003C66EB" w:rsidRDefault="003C66EB">
            <w:pPr>
              <w:jc w:val="right"/>
              <w:rPr>
                <w:rFonts w:ascii="宋体"/>
              </w:rPr>
            </w:pPr>
          </w:p>
        </w:tc>
      </w:tr>
      <w:tr w:rsidR="00D96C4E" w14:paraId="5EA27224" w14:textId="77777777">
        <w:tc>
          <w:tcPr>
            <w:tcW w:w="0" w:type="auto"/>
            <w:gridSpan w:val="3"/>
            <w:shd w:val="clear" w:color="auto" w:fill="CCEEFF"/>
            <w:tcMar>
              <w:top w:w="40" w:type="dxa"/>
              <w:left w:w="20" w:type="dxa"/>
              <w:bottom w:w="40" w:type="dxa"/>
              <w:right w:w="20" w:type="dxa"/>
            </w:tcMar>
            <w:vAlign w:val="bottom"/>
          </w:tcPr>
          <w:p w14:paraId="5EA27208" w14:textId="77777777" w:rsidR="003C66EB" w:rsidRDefault="00D96C4E">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5EA27209" w14:textId="77777777" w:rsidR="003C66EB" w:rsidRDefault="00D96C4E">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20A" w14:textId="77777777" w:rsidR="003C66EB" w:rsidRDefault="003C66E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A2720B" w14:textId="77777777" w:rsidR="003C66EB" w:rsidRDefault="00D96C4E">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5EA2720C" w14:textId="77777777" w:rsidR="003C66EB" w:rsidRDefault="003C66EB">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A2720D" w14:textId="77777777" w:rsidR="003C66EB" w:rsidRDefault="00D96C4E">
            <w:pPr>
              <w:jc w:val="right"/>
              <w:textAlignment w:val="bottom"/>
            </w:pPr>
            <w:r>
              <w:rPr>
                <w:rFonts w:ascii="Arial" w:eastAsia="宋体" w:hAnsi="Arial" w:cs="Arial"/>
                <w:b/>
                <w:bCs/>
                <w:color w:val="000000"/>
                <w:sz w:val="12"/>
                <w:szCs w:val="12"/>
              </w:rPr>
              <w:t>15.2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20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0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10" w14:textId="77777777" w:rsidR="003C66EB" w:rsidRDefault="00D96C4E">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2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1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13" w14:textId="77777777" w:rsidR="003C66EB" w:rsidRDefault="00D96C4E">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5EA2721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1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16" w14:textId="77777777" w:rsidR="003C66EB" w:rsidRDefault="00D96C4E">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A272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18"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19" w14:textId="77777777" w:rsidR="003C66EB" w:rsidRDefault="00D96C4E">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21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1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1C" w14:textId="77777777" w:rsidR="003C66EB" w:rsidRDefault="00D96C4E">
            <w:pPr>
              <w:jc w:val="right"/>
              <w:textAlignment w:val="bottom"/>
            </w:pPr>
            <w:r>
              <w:rPr>
                <w:rFonts w:ascii="Arial" w:eastAsia="宋体" w:hAnsi="Arial" w:cs="Arial"/>
                <w:b/>
                <w:bCs/>
                <w:color w:val="000000"/>
                <w:sz w:val="12"/>
                <w:szCs w:val="12"/>
              </w:rPr>
              <w:t>14.9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A2721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1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1F" w14:textId="77777777" w:rsidR="003C66EB" w:rsidRDefault="00D96C4E">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5EA272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2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22" w14:textId="77777777" w:rsidR="003C66EB" w:rsidRDefault="00D96C4E">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5EA27223" w14:textId="77777777" w:rsidR="003C66EB" w:rsidRDefault="003C66EB">
            <w:pPr>
              <w:jc w:val="right"/>
              <w:rPr>
                <w:rFonts w:ascii="宋体"/>
              </w:rPr>
            </w:pPr>
          </w:p>
        </w:tc>
      </w:tr>
      <w:tr w:rsidR="00D96C4E" w14:paraId="5EA27241" w14:textId="77777777">
        <w:tc>
          <w:tcPr>
            <w:tcW w:w="0" w:type="auto"/>
            <w:gridSpan w:val="3"/>
            <w:shd w:val="clear" w:color="auto" w:fill="FFFFFF"/>
            <w:tcMar>
              <w:top w:w="40" w:type="dxa"/>
              <w:left w:w="20" w:type="dxa"/>
              <w:bottom w:w="40" w:type="dxa"/>
              <w:right w:w="20" w:type="dxa"/>
            </w:tcMar>
            <w:vAlign w:val="bottom"/>
          </w:tcPr>
          <w:p w14:paraId="5EA27225" w14:textId="77777777" w:rsidR="003C66EB" w:rsidRDefault="00D96C4E">
            <w:pPr>
              <w:textAlignment w:val="bottom"/>
            </w:pPr>
            <w:r>
              <w:rPr>
                <w:rFonts w:ascii="Arial" w:eastAsia="宋体" w:hAnsi="Arial" w:cs="Arial"/>
                <w:color w:val="000000"/>
                <w:sz w:val="12"/>
                <w:szCs w:val="12"/>
              </w:rPr>
              <w:t>Tier 1 leverage</w:t>
            </w:r>
            <w:r>
              <w:rPr>
                <w:rFonts w:ascii="Arial" w:eastAsia="宋体" w:hAnsi="Arial" w:cs="Arial"/>
                <w:color w:val="000000"/>
                <w:sz w:val="7"/>
                <w:szCs w:val="7"/>
              </w:rPr>
              <w:t>(5)</w:t>
            </w:r>
          </w:p>
        </w:tc>
        <w:tc>
          <w:tcPr>
            <w:tcW w:w="0" w:type="auto"/>
            <w:gridSpan w:val="2"/>
            <w:shd w:val="clear" w:color="auto" w:fill="FFFFFF"/>
            <w:tcMar>
              <w:top w:w="40" w:type="dxa"/>
              <w:left w:w="20" w:type="dxa"/>
              <w:bottom w:w="40" w:type="dxa"/>
              <w:right w:w="0" w:type="dxa"/>
            </w:tcMar>
            <w:vAlign w:val="bottom"/>
          </w:tcPr>
          <w:p w14:paraId="5EA27226" w14:textId="77777777" w:rsidR="003C66EB" w:rsidRDefault="00D96C4E">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227" w14:textId="77777777" w:rsidR="003C66EB" w:rsidRDefault="003C66E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A27228" w14:textId="77777777" w:rsidR="003C66EB" w:rsidRDefault="00D96C4E">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5EA27229" w14:textId="77777777" w:rsidR="003C66EB" w:rsidRDefault="003C66EB">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A2722A" w14:textId="77777777" w:rsidR="003C66EB" w:rsidRDefault="00D96C4E">
            <w:pPr>
              <w:jc w:val="right"/>
              <w:textAlignment w:val="bottom"/>
            </w:pPr>
            <w:r>
              <w:rPr>
                <w:rFonts w:ascii="Arial" w:eastAsia="宋体" w:hAnsi="Arial" w:cs="Arial"/>
                <w:b/>
                <w:bCs/>
                <w:color w:val="000000"/>
                <w:sz w:val="12"/>
                <w:szCs w:val="12"/>
              </w:rPr>
              <w:t>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22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2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2D" w14:textId="77777777" w:rsidR="003C66EB" w:rsidRDefault="00D96C4E">
            <w:pPr>
              <w:jc w:val="right"/>
              <w:textAlignment w:val="bottom"/>
            </w:pPr>
            <w:r>
              <w:rPr>
                <w:rFonts w:ascii="Arial" w:eastAsia="宋体" w:hAnsi="Arial" w:cs="Arial"/>
                <w:b/>
                <w:bCs/>
                <w:color w:val="000000"/>
                <w:sz w:val="12"/>
                <w:szCs w:val="12"/>
              </w:rPr>
              <w:t>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22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2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30" w14:textId="77777777" w:rsidR="003C66EB" w:rsidRDefault="00D96C4E">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5EA272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3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33" w14:textId="77777777" w:rsidR="003C66EB" w:rsidRDefault="00D96C4E">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5EA272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3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36" w14:textId="77777777" w:rsidR="003C66EB" w:rsidRDefault="00D96C4E">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2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39" w14:textId="77777777" w:rsidR="003C66EB" w:rsidRDefault="00D96C4E">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A272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3C" w14:textId="77777777" w:rsidR="003C66EB" w:rsidRDefault="00D96C4E">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EA272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3F" w14:textId="77777777" w:rsidR="003C66EB" w:rsidRDefault="00D96C4E">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EA27240" w14:textId="77777777" w:rsidR="003C66EB" w:rsidRDefault="003C66EB">
            <w:pPr>
              <w:jc w:val="right"/>
              <w:rPr>
                <w:rFonts w:ascii="宋体"/>
              </w:rPr>
            </w:pPr>
          </w:p>
        </w:tc>
      </w:tr>
    </w:tbl>
    <w:p w14:paraId="5EA27242"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3C66EB" w14:paraId="5EA27249" w14:textId="77777777">
        <w:tc>
          <w:tcPr>
            <w:tcW w:w="50" w:type="pct"/>
            <w:shd w:val="clear" w:color="auto" w:fill="auto"/>
          </w:tcPr>
          <w:p w14:paraId="5EA27243" w14:textId="77777777" w:rsidR="003C66EB" w:rsidRDefault="003C66EB">
            <w:pPr>
              <w:rPr>
                <w:rFonts w:ascii="宋体"/>
              </w:rPr>
            </w:pPr>
          </w:p>
        </w:tc>
        <w:tc>
          <w:tcPr>
            <w:tcW w:w="1348" w:type="pct"/>
            <w:shd w:val="clear" w:color="auto" w:fill="auto"/>
          </w:tcPr>
          <w:p w14:paraId="5EA27244" w14:textId="77777777" w:rsidR="003C66EB" w:rsidRDefault="003C66EB">
            <w:pPr>
              <w:rPr>
                <w:rFonts w:ascii="宋体"/>
              </w:rPr>
            </w:pPr>
          </w:p>
        </w:tc>
        <w:tc>
          <w:tcPr>
            <w:tcW w:w="5" w:type="pct"/>
            <w:shd w:val="clear" w:color="auto" w:fill="auto"/>
          </w:tcPr>
          <w:p w14:paraId="5EA27245" w14:textId="77777777" w:rsidR="003C66EB" w:rsidRDefault="003C66EB">
            <w:pPr>
              <w:rPr>
                <w:rFonts w:ascii="宋体"/>
              </w:rPr>
            </w:pPr>
          </w:p>
        </w:tc>
        <w:tc>
          <w:tcPr>
            <w:tcW w:w="50" w:type="pct"/>
            <w:shd w:val="clear" w:color="auto" w:fill="auto"/>
          </w:tcPr>
          <w:p w14:paraId="5EA27246" w14:textId="77777777" w:rsidR="003C66EB" w:rsidRDefault="003C66EB">
            <w:pPr>
              <w:rPr>
                <w:rFonts w:ascii="宋体"/>
              </w:rPr>
            </w:pPr>
          </w:p>
        </w:tc>
        <w:tc>
          <w:tcPr>
            <w:tcW w:w="3541" w:type="pct"/>
            <w:shd w:val="clear" w:color="auto" w:fill="auto"/>
          </w:tcPr>
          <w:p w14:paraId="5EA27247" w14:textId="77777777" w:rsidR="003C66EB" w:rsidRDefault="003C66EB">
            <w:pPr>
              <w:rPr>
                <w:rFonts w:ascii="宋体"/>
              </w:rPr>
            </w:pPr>
          </w:p>
        </w:tc>
        <w:tc>
          <w:tcPr>
            <w:tcW w:w="5" w:type="pct"/>
            <w:shd w:val="clear" w:color="auto" w:fill="auto"/>
          </w:tcPr>
          <w:p w14:paraId="5EA27248" w14:textId="77777777" w:rsidR="003C66EB" w:rsidRDefault="003C66EB">
            <w:pPr>
              <w:rPr>
                <w:rFonts w:ascii="宋体"/>
              </w:rPr>
            </w:pPr>
          </w:p>
        </w:tc>
      </w:tr>
      <w:tr w:rsidR="003C66EB" w14:paraId="5EA2724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724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24B" w14:textId="77777777" w:rsidR="003C66EB" w:rsidRDefault="003C66EB">
            <w:pPr>
              <w:rPr>
                <w:rFonts w:ascii="宋体"/>
              </w:rPr>
            </w:pPr>
          </w:p>
        </w:tc>
      </w:tr>
    </w:tbl>
    <w:p w14:paraId="5EA2724D" w14:textId="77777777" w:rsidR="003C66EB" w:rsidRDefault="00D96C4E">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5EA2724E" w14:textId="77777777" w:rsidR="003C66EB" w:rsidRDefault="00D96C4E">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5EA2724F" w14:textId="77777777" w:rsidR="003C66EB" w:rsidRDefault="00D96C4E">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w:t>
      </w:r>
      <w:r>
        <w:rPr>
          <w:rFonts w:ascii="Arial" w:eastAsia="宋体" w:hAnsi="Arial" w:cs="Arial"/>
          <w:color w:val="000000"/>
          <w:sz w:val="12"/>
          <w:szCs w:val="12"/>
        </w:rPr>
        <w:t>anced approaches rules and regulatory guidance concerning operational risk models, RWA attributable to operational risk can vary substantially from period-to-period, without direct correlation to the effects of a particular loss event on our results of ope</w:t>
      </w:r>
      <w:r>
        <w:rPr>
          <w:rFonts w:ascii="Arial" w:eastAsia="宋体" w:hAnsi="Arial" w:cs="Arial"/>
          <w:color w:val="000000"/>
          <w:sz w:val="12"/>
          <w:szCs w:val="12"/>
        </w:rPr>
        <w:t>rations and financial condition and impacting dates and periods that may differ from the dates and periods as of and during which the loss event is reflected in our financial statements, with the timing and categorization dependent on the processes for mod</w:t>
      </w:r>
      <w:r>
        <w:rPr>
          <w:rFonts w:ascii="Arial" w:eastAsia="宋体" w:hAnsi="Arial" w:cs="Arial"/>
          <w:color w:val="000000"/>
          <w:sz w:val="12"/>
          <w:szCs w:val="12"/>
        </w:rPr>
        <w:t>el updates and, if applicable, model revalidation and regulatory review and related supervisory processes. An individual loss event can have a significant effect on the output of our operational RWA under the advanced approaches depending on the severity o</w:t>
      </w:r>
      <w:r>
        <w:rPr>
          <w:rFonts w:ascii="Arial" w:eastAsia="宋体" w:hAnsi="Arial" w:cs="Arial"/>
          <w:color w:val="000000"/>
          <w:sz w:val="12"/>
          <w:szCs w:val="12"/>
        </w:rPr>
        <w:t>f the loss event and its categorization among the seven Basel-defined UOMs.</w:t>
      </w:r>
    </w:p>
    <w:p w14:paraId="5EA27250" w14:textId="77777777" w:rsidR="003C66EB" w:rsidRDefault="00D96C4E">
      <w:pPr>
        <w:spacing w:before="2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 1.0% and a countercyc</w:t>
      </w:r>
      <w:r>
        <w:rPr>
          <w:rFonts w:ascii="Arial" w:eastAsia="宋体" w:hAnsi="Arial" w:cs="Arial"/>
          <w:color w:val="000000"/>
          <w:sz w:val="12"/>
          <w:szCs w:val="12"/>
        </w:rPr>
        <w:t>lical buffer of 0%.</w:t>
      </w:r>
    </w:p>
    <w:p w14:paraId="5EA27251" w14:textId="77777777" w:rsidR="003C66EB" w:rsidRDefault="00D96C4E">
      <w:pPr>
        <w:spacing w:before="20"/>
        <w:jc w:val="both"/>
      </w:pPr>
      <w:r>
        <w:rPr>
          <w:rFonts w:ascii="Arial" w:eastAsia="宋体" w:hAnsi="Arial" w:cs="Arial"/>
          <w:color w:val="000000"/>
          <w:sz w:val="7"/>
          <w:szCs w:val="7"/>
        </w:rPr>
        <w:t xml:space="preserve">(5) </w:t>
      </w:r>
      <w:r>
        <w:rPr>
          <w:rFonts w:ascii="Arial" w:eastAsia="宋体" w:hAnsi="Arial" w:cs="Arial"/>
          <w:color w:val="000000"/>
          <w:sz w:val="12"/>
          <w:szCs w:val="12"/>
        </w:rPr>
        <w:t>State Street Bank is required to maintain a minimum Tier 1 leverage ratio of 5% as it is the insured depository institution subsidiary of one of the eight U.S. G-SIBs.</w:t>
      </w:r>
    </w:p>
    <w:p w14:paraId="5EA27252" w14:textId="77777777" w:rsidR="003C66EB" w:rsidRDefault="00D96C4E">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5EA27253" w14:textId="77777777" w:rsidR="003C66EB" w:rsidRDefault="00D96C4E">
      <w:pPr>
        <w:ind w:firstLine="450"/>
        <w:jc w:val="right"/>
      </w:pPr>
      <w:r>
        <w:rPr>
          <w:rFonts w:ascii="Arial" w:eastAsia="宋体" w:hAnsi="Arial" w:cs="Arial"/>
          <w:color w:val="000000"/>
          <w:sz w:val="18"/>
          <w:szCs w:val="18"/>
        </w:rPr>
        <w:t>State Street Corporation | 81</w:t>
      </w:r>
    </w:p>
    <w:p w14:paraId="5EA27254" w14:textId="77777777" w:rsidR="003C66EB" w:rsidRDefault="003C66EB">
      <w:pPr>
        <w:ind w:firstLine="450"/>
        <w:jc w:val="center"/>
      </w:pPr>
    </w:p>
    <w:p w14:paraId="5EA27255" w14:textId="77777777" w:rsidR="003C66EB" w:rsidRDefault="00D96C4E">
      <w:r>
        <w:pict w14:anchorId="5EA28801">
          <v:rect id="_x0000_i1105" style="width:415.3pt;height:1.5pt" o:hralign="center" o:hrstd="t" o:hr="t" fillcolor="#a0a0a0" stroked="f"/>
        </w:pict>
      </w:r>
    </w:p>
    <w:p w14:paraId="5EA27256" w14:textId="77777777" w:rsidR="003C66EB" w:rsidRDefault="00D96C4E">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5EA27257"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7258" w14:textId="77777777" w:rsidR="003C66EB" w:rsidRDefault="00D96C4E">
      <w:pPr>
        <w:ind w:firstLine="450"/>
        <w:jc w:val="center"/>
      </w:pPr>
      <w:r>
        <w:rPr>
          <w:rFonts w:ascii="Arial" w:eastAsia="宋体" w:hAnsi="Arial" w:cs="Arial"/>
          <w:b/>
          <w:bCs/>
          <w:color w:val="000000"/>
          <w:sz w:val="20"/>
          <w:szCs w:val="20"/>
        </w:rPr>
        <w:t>(UNAUDITED)</w:t>
      </w:r>
    </w:p>
    <w:p w14:paraId="5EA27259" w14:textId="77777777" w:rsidR="003C66EB" w:rsidRDefault="00D96C4E">
      <w:pPr>
        <w:spacing w:before="180"/>
        <w:jc w:val="both"/>
        <w:textAlignment w:val="top"/>
      </w:pPr>
      <w:r>
        <w:rPr>
          <w:rFonts w:ascii="Arial" w:eastAsia="宋体" w:hAnsi="Arial" w:cs="Arial"/>
          <w:b/>
          <w:bCs/>
          <w:color w:val="000000"/>
          <w:sz w:val="20"/>
          <w:szCs w:val="20"/>
        </w:rPr>
        <w:t>Note 14.    Net Interest Income</w:t>
      </w:r>
    </w:p>
    <w:p w14:paraId="5EA2725A"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the components of interest income and interest expense, and related NII, for the periods indicated:</w:t>
      </w:r>
    </w:p>
    <w:tbl>
      <w:tblPr>
        <w:tblW w:w="4921" w:type="pct"/>
        <w:tblCellMar>
          <w:top w:w="15" w:type="dxa"/>
          <w:left w:w="15" w:type="dxa"/>
          <w:bottom w:w="15" w:type="dxa"/>
          <w:right w:w="15" w:type="dxa"/>
        </w:tblCellMar>
        <w:tblLook w:val="04A0" w:firstRow="1" w:lastRow="0" w:firstColumn="1" w:lastColumn="0" w:noHBand="0" w:noVBand="1"/>
      </w:tblPr>
      <w:tblGrid>
        <w:gridCol w:w="39"/>
        <w:gridCol w:w="3844"/>
        <w:gridCol w:w="38"/>
        <w:gridCol w:w="36"/>
        <w:gridCol w:w="194"/>
        <w:gridCol w:w="194"/>
        <w:gridCol w:w="93"/>
        <w:gridCol w:w="1621"/>
        <w:gridCol w:w="36"/>
        <w:gridCol w:w="36"/>
        <w:gridCol w:w="70"/>
        <w:gridCol w:w="36"/>
        <w:gridCol w:w="93"/>
        <w:gridCol w:w="1622"/>
        <w:gridCol w:w="36"/>
        <w:gridCol w:w="36"/>
        <w:gridCol w:w="36"/>
        <w:gridCol w:w="36"/>
        <w:gridCol w:w="36"/>
        <w:gridCol w:w="36"/>
        <w:gridCol w:w="36"/>
      </w:tblGrid>
      <w:tr w:rsidR="003C66EB" w14:paraId="5EA2726C" w14:textId="77777777">
        <w:tc>
          <w:tcPr>
            <w:tcW w:w="50" w:type="pct"/>
            <w:shd w:val="clear" w:color="auto" w:fill="auto"/>
          </w:tcPr>
          <w:p w14:paraId="5EA2725B" w14:textId="77777777" w:rsidR="003C66EB" w:rsidRDefault="003C66EB">
            <w:pPr>
              <w:rPr>
                <w:rFonts w:ascii="宋体"/>
              </w:rPr>
            </w:pPr>
          </w:p>
        </w:tc>
        <w:tc>
          <w:tcPr>
            <w:tcW w:w="2564" w:type="pct"/>
            <w:shd w:val="clear" w:color="auto" w:fill="auto"/>
          </w:tcPr>
          <w:p w14:paraId="5EA2725C" w14:textId="77777777" w:rsidR="003C66EB" w:rsidRDefault="003C66EB">
            <w:pPr>
              <w:rPr>
                <w:rFonts w:ascii="宋体"/>
              </w:rPr>
            </w:pPr>
          </w:p>
        </w:tc>
        <w:tc>
          <w:tcPr>
            <w:tcW w:w="5" w:type="pct"/>
            <w:shd w:val="clear" w:color="auto" w:fill="auto"/>
          </w:tcPr>
          <w:p w14:paraId="5EA2725D" w14:textId="77777777" w:rsidR="003C66EB" w:rsidRDefault="003C66EB">
            <w:pPr>
              <w:rPr>
                <w:rFonts w:ascii="宋体"/>
              </w:rPr>
            </w:pPr>
          </w:p>
        </w:tc>
        <w:tc>
          <w:tcPr>
            <w:tcW w:w="0" w:type="auto"/>
            <w:shd w:val="clear" w:color="auto" w:fill="auto"/>
          </w:tcPr>
          <w:p w14:paraId="5EA2725E" w14:textId="77777777" w:rsidR="003C66EB" w:rsidRDefault="003C66EB">
            <w:pPr>
              <w:rPr>
                <w:rFonts w:ascii="宋体"/>
                <w:vanish/>
              </w:rPr>
            </w:pPr>
          </w:p>
        </w:tc>
        <w:tc>
          <w:tcPr>
            <w:tcW w:w="0" w:type="auto"/>
            <w:shd w:val="clear" w:color="auto" w:fill="auto"/>
          </w:tcPr>
          <w:p w14:paraId="5EA2725F" w14:textId="77777777" w:rsidR="003C66EB" w:rsidRDefault="003C66EB">
            <w:pPr>
              <w:rPr>
                <w:rFonts w:ascii="宋体"/>
                <w:vanish/>
              </w:rPr>
            </w:pPr>
          </w:p>
        </w:tc>
        <w:tc>
          <w:tcPr>
            <w:tcW w:w="0" w:type="auto"/>
            <w:shd w:val="clear" w:color="auto" w:fill="auto"/>
          </w:tcPr>
          <w:p w14:paraId="5EA27260" w14:textId="77777777" w:rsidR="003C66EB" w:rsidRDefault="003C66EB">
            <w:pPr>
              <w:rPr>
                <w:rFonts w:ascii="宋体"/>
                <w:vanish/>
              </w:rPr>
            </w:pPr>
          </w:p>
        </w:tc>
        <w:tc>
          <w:tcPr>
            <w:tcW w:w="50" w:type="pct"/>
            <w:shd w:val="clear" w:color="auto" w:fill="auto"/>
          </w:tcPr>
          <w:p w14:paraId="5EA27261" w14:textId="77777777" w:rsidR="003C66EB" w:rsidRDefault="003C66EB">
            <w:pPr>
              <w:rPr>
                <w:rFonts w:ascii="宋体"/>
              </w:rPr>
            </w:pPr>
          </w:p>
        </w:tc>
        <w:tc>
          <w:tcPr>
            <w:tcW w:w="1095" w:type="pct"/>
            <w:shd w:val="clear" w:color="auto" w:fill="auto"/>
          </w:tcPr>
          <w:p w14:paraId="5EA27262" w14:textId="77777777" w:rsidR="003C66EB" w:rsidRDefault="003C66EB">
            <w:pPr>
              <w:rPr>
                <w:rFonts w:ascii="宋体"/>
              </w:rPr>
            </w:pPr>
          </w:p>
        </w:tc>
        <w:tc>
          <w:tcPr>
            <w:tcW w:w="5" w:type="pct"/>
            <w:shd w:val="clear" w:color="auto" w:fill="auto"/>
          </w:tcPr>
          <w:p w14:paraId="5EA27263" w14:textId="77777777" w:rsidR="003C66EB" w:rsidRDefault="003C66EB">
            <w:pPr>
              <w:rPr>
                <w:rFonts w:ascii="宋体"/>
              </w:rPr>
            </w:pPr>
          </w:p>
        </w:tc>
        <w:tc>
          <w:tcPr>
            <w:tcW w:w="5" w:type="pct"/>
            <w:shd w:val="clear" w:color="auto" w:fill="auto"/>
          </w:tcPr>
          <w:p w14:paraId="5EA27264" w14:textId="77777777" w:rsidR="003C66EB" w:rsidRDefault="003C66EB">
            <w:pPr>
              <w:rPr>
                <w:rFonts w:ascii="宋体"/>
              </w:rPr>
            </w:pPr>
          </w:p>
        </w:tc>
        <w:tc>
          <w:tcPr>
            <w:tcW w:w="69" w:type="pct"/>
            <w:shd w:val="clear" w:color="auto" w:fill="auto"/>
          </w:tcPr>
          <w:p w14:paraId="5EA27265" w14:textId="77777777" w:rsidR="003C66EB" w:rsidRDefault="003C66EB">
            <w:pPr>
              <w:rPr>
                <w:rFonts w:ascii="宋体"/>
              </w:rPr>
            </w:pPr>
          </w:p>
        </w:tc>
        <w:tc>
          <w:tcPr>
            <w:tcW w:w="5" w:type="pct"/>
            <w:shd w:val="clear" w:color="auto" w:fill="auto"/>
          </w:tcPr>
          <w:p w14:paraId="5EA27266" w14:textId="77777777" w:rsidR="003C66EB" w:rsidRDefault="003C66EB">
            <w:pPr>
              <w:rPr>
                <w:rFonts w:ascii="宋体"/>
              </w:rPr>
            </w:pPr>
          </w:p>
        </w:tc>
        <w:tc>
          <w:tcPr>
            <w:tcW w:w="50" w:type="pct"/>
            <w:shd w:val="clear" w:color="auto" w:fill="auto"/>
          </w:tcPr>
          <w:p w14:paraId="5EA27267" w14:textId="77777777" w:rsidR="003C66EB" w:rsidRDefault="003C66EB">
            <w:pPr>
              <w:rPr>
                <w:rFonts w:ascii="宋体"/>
              </w:rPr>
            </w:pPr>
          </w:p>
        </w:tc>
        <w:tc>
          <w:tcPr>
            <w:tcW w:w="1095" w:type="pct"/>
            <w:shd w:val="clear" w:color="auto" w:fill="auto"/>
          </w:tcPr>
          <w:p w14:paraId="5EA27268" w14:textId="77777777" w:rsidR="003C66EB" w:rsidRDefault="003C66EB">
            <w:pPr>
              <w:rPr>
                <w:rFonts w:ascii="宋体"/>
              </w:rPr>
            </w:pPr>
          </w:p>
        </w:tc>
        <w:tc>
          <w:tcPr>
            <w:tcW w:w="5" w:type="pct"/>
            <w:shd w:val="clear" w:color="auto" w:fill="auto"/>
          </w:tcPr>
          <w:p w14:paraId="5EA27269" w14:textId="77777777" w:rsidR="003C66EB" w:rsidRDefault="003C66EB">
            <w:pPr>
              <w:rPr>
                <w:rFonts w:ascii="宋体"/>
              </w:rPr>
            </w:pPr>
          </w:p>
        </w:tc>
        <w:tc>
          <w:tcPr>
            <w:tcW w:w="0" w:type="auto"/>
            <w:gridSpan w:val="3"/>
            <w:shd w:val="clear" w:color="auto" w:fill="auto"/>
          </w:tcPr>
          <w:p w14:paraId="5EA2726A" w14:textId="77777777" w:rsidR="003C66EB" w:rsidRDefault="003C66EB">
            <w:pPr>
              <w:rPr>
                <w:rFonts w:ascii="宋体"/>
                <w:vanish/>
              </w:rPr>
            </w:pPr>
          </w:p>
        </w:tc>
        <w:tc>
          <w:tcPr>
            <w:tcW w:w="0" w:type="auto"/>
            <w:gridSpan w:val="3"/>
            <w:shd w:val="clear" w:color="auto" w:fill="auto"/>
          </w:tcPr>
          <w:p w14:paraId="5EA2726B" w14:textId="77777777" w:rsidR="003C66EB" w:rsidRDefault="003C66EB">
            <w:pPr>
              <w:rPr>
                <w:rFonts w:ascii="宋体"/>
                <w:vanish/>
              </w:rPr>
            </w:pPr>
          </w:p>
        </w:tc>
      </w:tr>
      <w:tr w:rsidR="003C66EB" w14:paraId="5EA2727C" w14:textId="77777777">
        <w:tc>
          <w:tcPr>
            <w:tcW w:w="0" w:type="auto"/>
            <w:gridSpan w:val="3"/>
            <w:shd w:val="clear" w:color="auto" w:fill="auto"/>
            <w:tcMar>
              <w:top w:w="0" w:type="dxa"/>
              <w:left w:w="20" w:type="dxa"/>
              <w:bottom w:w="0" w:type="dxa"/>
              <w:right w:w="20" w:type="dxa"/>
            </w:tcMar>
          </w:tcPr>
          <w:p w14:paraId="5EA2726D" w14:textId="77777777" w:rsidR="003C66EB" w:rsidRDefault="003C66EB">
            <w:pPr>
              <w:rPr>
                <w:rFonts w:ascii="宋体"/>
              </w:rPr>
            </w:pPr>
          </w:p>
        </w:tc>
        <w:tc>
          <w:tcPr>
            <w:tcW w:w="0" w:type="auto"/>
            <w:shd w:val="clear" w:color="auto" w:fill="auto"/>
          </w:tcPr>
          <w:p w14:paraId="5EA2726E" w14:textId="77777777" w:rsidR="003C66EB" w:rsidRDefault="003C66EB">
            <w:pPr>
              <w:rPr>
                <w:rFonts w:ascii="宋体"/>
                <w:vanish/>
              </w:rPr>
            </w:pPr>
          </w:p>
        </w:tc>
        <w:tc>
          <w:tcPr>
            <w:tcW w:w="0" w:type="auto"/>
            <w:gridSpan w:val="5"/>
            <w:shd w:val="clear" w:color="auto" w:fill="auto"/>
            <w:tcMar>
              <w:top w:w="40" w:type="dxa"/>
              <w:left w:w="20" w:type="dxa"/>
              <w:bottom w:w="40" w:type="dxa"/>
              <w:right w:w="20" w:type="dxa"/>
            </w:tcMar>
            <w:vAlign w:val="bottom"/>
          </w:tcPr>
          <w:p w14:paraId="5EA2726F"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Pr>
          <w:p w14:paraId="5EA27270" w14:textId="77777777" w:rsidR="003C66EB" w:rsidRDefault="003C66EB">
            <w:pPr>
              <w:rPr>
                <w:rFonts w:ascii="宋体"/>
              </w:rPr>
            </w:pPr>
          </w:p>
        </w:tc>
        <w:tc>
          <w:tcPr>
            <w:tcW w:w="0" w:type="auto"/>
            <w:shd w:val="clear" w:color="auto" w:fill="auto"/>
          </w:tcPr>
          <w:p w14:paraId="5EA27271" w14:textId="77777777" w:rsidR="003C66EB" w:rsidRDefault="003C66EB">
            <w:pPr>
              <w:rPr>
                <w:rFonts w:ascii="宋体"/>
              </w:rPr>
            </w:pPr>
          </w:p>
        </w:tc>
        <w:tc>
          <w:tcPr>
            <w:tcW w:w="0" w:type="auto"/>
            <w:shd w:val="clear" w:color="auto" w:fill="auto"/>
          </w:tcPr>
          <w:p w14:paraId="5EA27272" w14:textId="77777777" w:rsidR="003C66EB" w:rsidRDefault="003C66EB">
            <w:pPr>
              <w:rPr>
                <w:rFonts w:ascii="宋体"/>
              </w:rPr>
            </w:pPr>
          </w:p>
        </w:tc>
        <w:tc>
          <w:tcPr>
            <w:tcW w:w="0" w:type="auto"/>
            <w:shd w:val="clear" w:color="auto" w:fill="auto"/>
          </w:tcPr>
          <w:p w14:paraId="5EA27273" w14:textId="77777777" w:rsidR="003C66EB" w:rsidRDefault="003C66EB">
            <w:pPr>
              <w:rPr>
                <w:rFonts w:ascii="宋体"/>
              </w:rPr>
            </w:pPr>
          </w:p>
        </w:tc>
        <w:tc>
          <w:tcPr>
            <w:tcW w:w="0" w:type="auto"/>
            <w:shd w:val="clear" w:color="auto" w:fill="auto"/>
          </w:tcPr>
          <w:p w14:paraId="5EA27274" w14:textId="77777777" w:rsidR="003C66EB" w:rsidRDefault="003C66EB">
            <w:pPr>
              <w:rPr>
                <w:rFonts w:ascii="宋体"/>
              </w:rPr>
            </w:pPr>
          </w:p>
        </w:tc>
        <w:tc>
          <w:tcPr>
            <w:tcW w:w="0" w:type="auto"/>
            <w:shd w:val="clear" w:color="auto" w:fill="auto"/>
          </w:tcPr>
          <w:p w14:paraId="5EA27275" w14:textId="77777777" w:rsidR="003C66EB" w:rsidRDefault="003C66EB">
            <w:pPr>
              <w:rPr>
                <w:rFonts w:ascii="宋体"/>
              </w:rPr>
            </w:pPr>
          </w:p>
        </w:tc>
        <w:tc>
          <w:tcPr>
            <w:tcW w:w="0" w:type="auto"/>
            <w:shd w:val="clear" w:color="auto" w:fill="auto"/>
          </w:tcPr>
          <w:p w14:paraId="5EA27276" w14:textId="77777777" w:rsidR="003C66EB" w:rsidRDefault="003C66EB">
            <w:pPr>
              <w:rPr>
                <w:rFonts w:ascii="宋体"/>
              </w:rPr>
            </w:pPr>
          </w:p>
        </w:tc>
        <w:tc>
          <w:tcPr>
            <w:tcW w:w="0" w:type="auto"/>
            <w:shd w:val="clear" w:color="auto" w:fill="auto"/>
          </w:tcPr>
          <w:p w14:paraId="5EA27277" w14:textId="77777777" w:rsidR="003C66EB" w:rsidRDefault="003C66EB">
            <w:pPr>
              <w:rPr>
                <w:rFonts w:ascii="宋体"/>
              </w:rPr>
            </w:pPr>
          </w:p>
        </w:tc>
        <w:tc>
          <w:tcPr>
            <w:tcW w:w="0" w:type="auto"/>
            <w:shd w:val="clear" w:color="auto" w:fill="auto"/>
          </w:tcPr>
          <w:p w14:paraId="5EA27278" w14:textId="77777777" w:rsidR="003C66EB" w:rsidRDefault="003C66EB">
            <w:pPr>
              <w:rPr>
                <w:rFonts w:ascii="宋体"/>
              </w:rPr>
            </w:pPr>
          </w:p>
        </w:tc>
        <w:tc>
          <w:tcPr>
            <w:tcW w:w="0" w:type="auto"/>
            <w:shd w:val="clear" w:color="auto" w:fill="auto"/>
          </w:tcPr>
          <w:p w14:paraId="5EA27279" w14:textId="77777777" w:rsidR="003C66EB" w:rsidRDefault="003C66EB">
            <w:pPr>
              <w:rPr>
                <w:rFonts w:ascii="宋体"/>
              </w:rPr>
            </w:pPr>
          </w:p>
        </w:tc>
        <w:tc>
          <w:tcPr>
            <w:tcW w:w="0" w:type="auto"/>
            <w:shd w:val="clear" w:color="auto" w:fill="auto"/>
          </w:tcPr>
          <w:p w14:paraId="5EA2727A" w14:textId="77777777" w:rsidR="003C66EB" w:rsidRDefault="003C66EB">
            <w:pPr>
              <w:rPr>
                <w:rFonts w:ascii="宋体"/>
              </w:rPr>
            </w:pPr>
          </w:p>
        </w:tc>
        <w:tc>
          <w:tcPr>
            <w:tcW w:w="0" w:type="auto"/>
            <w:shd w:val="clear" w:color="auto" w:fill="auto"/>
          </w:tcPr>
          <w:p w14:paraId="5EA2727B" w14:textId="77777777" w:rsidR="003C66EB" w:rsidRDefault="003C66EB">
            <w:pPr>
              <w:rPr>
                <w:rFonts w:ascii="宋体"/>
              </w:rPr>
            </w:pPr>
          </w:p>
        </w:tc>
      </w:tr>
      <w:tr w:rsidR="003C66EB" w14:paraId="5EA27286" w14:textId="77777777">
        <w:tc>
          <w:tcPr>
            <w:tcW w:w="0" w:type="auto"/>
            <w:gridSpan w:val="3"/>
            <w:shd w:val="clear" w:color="auto" w:fill="auto"/>
            <w:tcMar>
              <w:top w:w="40" w:type="dxa"/>
              <w:left w:w="20" w:type="dxa"/>
              <w:bottom w:w="40" w:type="dxa"/>
              <w:right w:w="20" w:type="dxa"/>
            </w:tcMar>
            <w:vAlign w:val="bottom"/>
          </w:tcPr>
          <w:p w14:paraId="5EA2727D" w14:textId="77777777" w:rsidR="003C66EB" w:rsidRDefault="00D96C4E">
            <w:pPr>
              <w:textAlignment w:val="bottom"/>
            </w:pPr>
            <w:r>
              <w:rPr>
                <w:rFonts w:ascii="Arial" w:eastAsia="宋体" w:hAnsi="Arial" w:cs="Arial"/>
                <w:b/>
                <w:bCs/>
                <w:color w:val="000000"/>
                <w:sz w:val="13"/>
                <w:szCs w:val="13"/>
              </w:rPr>
              <w:t>(In millions)</w:t>
            </w:r>
          </w:p>
        </w:tc>
        <w:tc>
          <w:tcPr>
            <w:tcW w:w="0" w:type="auto"/>
            <w:shd w:val="clear" w:color="auto" w:fill="auto"/>
          </w:tcPr>
          <w:p w14:paraId="5EA2727E" w14:textId="77777777" w:rsidR="003C66EB" w:rsidRDefault="003C66EB">
            <w:pPr>
              <w:rPr>
                <w:rFonts w:ascii="宋体"/>
                <w:vanish/>
              </w:rPr>
            </w:pPr>
          </w:p>
        </w:tc>
        <w:tc>
          <w:tcPr>
            <w:tcW w:w="0" w:type="auto"/>
            <w:shd w:val="clear" w:color="auto" w:fill="auto"/>
          </w:tcPr>
          <w:p w14:paraId="5EA2727F" w14:textId="77777777" w:rsidR="003C66EB" w:rsidRDefault="003C66EB">
            <w:pPr>
              <w:rPr>
                <w:rFonts w:ascii="宋体"/>
                <w:vanish/>
              </w:rPr>
            </w:pPr>
          </w:p>
        </w:tc>
        <w:tc>
          <w:tcPr>
            <w:tcW w:w="0" w:type="auto"/>
            <w:shd w:val="clear" w:color="auto" w:fill="auto"/>
          </w:tcPr>
          <w:p w14:paraId="5EA27280"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281"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728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283"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5EA27284" w14:textId="77777777" w:rsidR="003C66EB" w:rsidRDefault="003C66EB">
            <w:pPr>
              <w:rPr>
                <w:rFonts w:ascii="宋体"/>
                <w:vanish/>
              </w:rPr>
            </w:pPr>
          </w:p>
        </w:tc>
        <w:tc>
          <w:tcPr>
            <w:tcW w:w="0" w:type="auto"/>
            <w:gridSpan w:val="3"/>
            <w:shd w:val="clear" w:color="auto" w:fill="auto"/>
          </w:tcPr>
          <w:p w14:paraId="5EA27285" w14:textId="77777777" w:rsidR="003C66EB" w:rsidRDefault="003C66EB">
            <w:pPr>
              <w:rPr>
                <w:rFonts w:ascii="宋体"/>
                <w:vanish/>
              </w:rPr>
            </w:pPr>
          </w:p>
        </w:tc>
      </w:tr>
      <w:tr w:rsidR="003C66EB" w14:paraId="5EA27290" w14:textId="77777777">
        <w:tc>
          <w:tcPr>
            <w:tcW w:w="0" w:type="auto"/>
            <w:gridSpan w:val="3"/>
            <w:shd w:val="clear" w:color="auto" w:fill="auto"/>
            <w:tcMar>
              <w:top w:w="40" w:type="dxa"/>
              <w:left w:w="20" w:type="dxa"/>
              <w:bottom w:w="40" w:type="dxa"/>
              <w:right w:w="20" w:type="dxa"/>
            </w:tcMar>
            <w:vAlign w:val="bottom"/>
          </w:tcPr>
          <w:p w14:paraId="5EA27287" w14:textId="77777777" w:rsidR="003C66EB" w:rsidRDefault="00D96C4E">
            <w:pPr>
              <w:textAlignment w:val="bottom"/>
            </w:pPr>
            <w:r>
              <w:rPr>
                <w:rFonts w:ascii="Arial" w:eastAsia="宋体" w:hAnsi="Arial" w:cs="Arial"/>
                <w:b/>
                <w:bCs/>
                <w:color w:val="000000"/>
                <w:sz w:val="13"/>
                <w:szCs w:val="13"/>
              </w:rPr>
              <w:t>Interest income:</w:t>
            </w:r>
          </w:p>
        </w:tc>
        <w:tc>
          <w:tcPr>
            <w:tcW w:w="0" w:type="auto"/>
            <w:shd w:val="clear" w:color="auto" w:fill="auto"/>
          </w:tcPr>
          <w:p w14:paraId="5EA27288" w14:textId="77777777" w:rsidR="003C66EB" w:rsidRDefault="003C66EB">
            <w:pPr>
              <w:rPr>
                <w:rFonts w:ascii="宋体"/>
                <w:vanish/>
              </w:rPr>
            </w:pPr>
          </w:p>
        </w:tc>
        <w:tc>
          <w:tcPr>
            <w:tcW w:w="0" w:type="auto"/>
            <w:shd w:val="clear" w:color="auto" w:fill="auto"/>
          </w:tcPr>
          <w:p w14:paraId="5EA27289" w14:textId="77777777" w:rsidR="003C66EB" w:rsidRDefault="003C66EB">
            <w:pPr>
              <w:rPr>
                <w:rFonts w:ascii="宋体"/>
                <w:vanish/>
              </w:rPr>
            </w:pPr>
          </w:p>
        </w:tc>
        <w:tc>
          <w:tcPr>
            <w:tcW w:w="0" w:type="auto"/>
            <w:shd w:val="clear" w:color="auto" w:fill="auto"/>
          </w:tcPr>
          <w:p w14:paraId="5EA2728A"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728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28C"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728D" w14:textId="77777777" w:rsidR="003C66EB" w:rsidRDefault="003C66EB">
            <w:pPr>
              <w:rPr>
                <w:rFonts w:ascii="宋体"/>
              </w:rPr>
            </w:pPr>
          </w:p>
        </w:tc>
        <w:tc>
          <w:tcPr>
            <w:tcW w:w="0" w:type="auto"/>
            <w:gridSpan w:val="3"/>
            <w:shd w:val="clear" w:color="auto" w:fill="auto"/>
          </w:tcPr>
          <w:p w14:paraId="5EA2728E" w14:textId="77777777" w:rsidR="003C66EB" w:rsidRDefault="003C66EB">
            <w:pPr>
              <w:rPr>
                <w:rFonts w:ascii="宋体"/>
                <w:vanish/>
              </w:rPr>
            </w:pPr>
          </w:p>
        </w:tc>
        <w:tc>
          <w:tcPr>
            <w:tcW w:w="0" w:type="auto"/>
            <w:gridSpan w:val="3"/>
            <w:shd w:val="clear" w:color="auto" w:fill="auto"/>
          </w:tcPr>
          <w:p w14:paraId="5EA2728F" w14:textId="77777777" w:rsidR="003C66EB" w:rsidRDefault="003C66EB">
            <w:pPr>
              <w:rPr>
                <w:rFonts w:ascii="宋体"/>
                <w:vanish/>
              </w:rPr>
            </w:pPr>
          </w:p>
        </w:tc>
      </w:tr>
      <w:tr w:rsidR="003C66EB" w14:paraId="5EA2729E" w14:textId="77777777">
        <w:tc>
          <w:tcPr>
            <w:tcW w:w="0" w:type="auto"/>
            <w:gridSpan w:val="3"/>
            <w:shd w:val="clear" w:color="auto" w:fill="CCEEFF"/>
            <w:tcMar>
              <w:top w:w="40" w:type="dxa"/>
              <w:left w:w="20" w:type="dxa"/>
              <w:bottom w:w="40" w:type="dxa"/>
              <w:right w:w="20" w:type="dxa"/>
            </w:tcMar>
            <w:vAlign w:val="bottom"/>
          </w:tcPr>
          <w:p w14:paraId="5EA27291" w14:textId="77777777" w:rsidR="003C66EB" w:rsidRDefault="00D96C4E">
            <w:pPr>
              <w:textAlignment w:val="bottom"/>
            </w:pPr>
            <w:r>
              <w:rPr>
                <w:rFonts w:ascii="Arial" w:eastAsia="宋体" w:hAnsi="Arial" w:cs="Arial"/>
                <w:color w:val="000000"/>
                <w:sz w:val="13"/>
                <w:szCs w:val="13"/>
              </w:rPr>
              <w:t>Interest-bearing deposits with banks</w:t>
            </w:r>
          </w:p>
        </w:tc>
        <w:tc>
          <w:tcPr>
            <w:tcW w:w="0" w:type="auto"/>
            <w:shd w:val="clear" w:color="auto" w:fill="auto"/>
          </w:tcPr>
          <w:p w14:paraId="5EA27292" w14:textId="77777777" w:rsidR="003C66EB" w:rsidRDefault="003C66EB">
            <w:pPr>
              <w:rPr>
                <w:rFonts w:ascii="宋体"/>
                <w:vanish/>
              </w:rPr>
            </w:pPr>
          </w:p>
        </w:tc>
        <w:tc>
          <w:tcPr>
            <w:tcW w:w="0" w:type="auto"/>
            <w:shd w:val="clear" w:color="auto" w:fill="auto"/>
          </w:tcPr>
          <w:p w14:paraId="5EA27293" w14:textId="77777777" w:rsidR="003C66EB" w:rsidRDefault="003C66EB">
            <w:pPr>
              <w:rPr>
                <w:rFonts w:ascii="宋体"/>
                <w:vanish/>
              </w:rPr>
            </w:pPr>
          </w:p>
        </w:tc>
        <w:tc>
          <w:tcPr>
            <w:tcW w:w="0" w:type="auto"/>
            <w:shd w:val="clear" w:color="auto" w:fill="auto"/>
          </w:tcPr>
          <w:p w14:paraId="5EA27294" w14:textId="77777777" w:rsidR="003C66EB" w:rsidRDefault="003C66EB">
            <w:pPr>
              <w:rPr>
                <w:rFonts w:ascii="宋体"/>
                <w:vanish/>
              </w:rPr>
            </w:pPr>
          </w:p>
        </w:tc>
        <w:tc>
          <w:tcPr>
            <w:tcW w:w="0" w:type="auto"/>
            <w:shd w:val="clear" w:color="auto" w:fill="CCEEFF"/>
            <w:tcMar>
              <w:top w:w="40" w:type="dxa"/>
              <w:left w:w="20" w:type="dxa"/>
              <w:bottom w:w="40" w:type="dxa"/>
              <w:right w:w="0" w:type="dxa"/>
            </w:tcMar>
            <w:vAlign w:val="bottom"/>
          </w:tcPr>
          <w:p w14:paraId="5EA27295"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A27296" w14:textId="77777777" w:rsidR="003C66EB" w:rsidRDefault="00D96C4E">
            <w:pPr>
              <w:jc w:val="right"/>
              <w:textAlignment w:val="bottom"/>
            </w:pPr>
            <w:r>
              <w:rPr>
                <w:rFonts w:ascii="Arial" w:eastAsia="宋体" w:hAnsi="Arial" w:cs="Arial"/>
                <w:b/>
                <w:bCs/>
                <w:color w:val="000000"/>
                <w:sz w:val="13"/>
                <w:szCs w:val="13"/>
              </w:rPr>
              <w:t>(9)</w:t>
            </w:r>
          </w:p>
        </w:tc>
        <w:tc>
          <w:tcPr>
            <w:tcW w:w="0" w:type="auto"/>
            <w:shd w:val="clear" w:color="auto" w:fill="CCEEFF"/>
            <w:tcMar>
              <w:top w:w="40" w:type="dxa"/>
              <w:left w:w="0" w:type="dxa"/>
              <w:bottom w:w="40" w:type="dxa"/>
              <w:right w:w="20" w:type="dxa"/>
            </w:tcMar>
            <w:vAlign w:val="bottom"/>
          </w:tcPr>
          <w:p w14:paraId="5EA272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98"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299" w14:textId="77777777" w:rsidR="003C66EB" w:rsidRDefault="00D96C4E">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A2729A" w14:textId="77777777" w:rsidR="003C66EB" w:rsidRDefault="00D96C4E">
            <w:pPr>
              <w:jc w:val="right"/>
              <w:textAlignment w:val="bottom"/>
            </w:pPr>
            <w:r>
              <w:rPr>
                <w:rFonts w:ascii="Arial" w:eastAsia="宋体" w:hAnsi="Arial" w:cs="Arial"/>
                <w:color w:val="000000"/>
                <w:sz w:val="13"/>
                <w:szCs w:val="13"/>
              </w:rPr>
              <w:t>81 </w:t>
            </w:r>
          </w:p>
        </w:tc>
        <w:tc>
          <w:tcPr>
            <w:tcW w:w="0" w:type="auto"/>
            <w:shd w:val="clear" w:color="auto" w:fill="CCEEFF"/>
            <w:tcMar>
              <w:top w:w="40" w:type="dxa"/>
              <w:left w:w="0" w:type="dxa"/>
              <w:bottom w:w="40" w:type="dxa"/>
              <w:right w:w="20" w:type="dxa"/>
            </w:tcMar>
            <w:vAlign w:val="bottom"/>
          </w:tcPr>
          <w:p w14:paraId="5EA2729B" w14:textId="77777777" w:rsidR="003C66EB" w:rsidRDefault="003C66EB">
            <w:pPr>
              <w:jc w:val="right"/>
              <w:rPr>
                <w:rFonts w:ascii="宋体"/>
              </w:rPr>
            </w:pPr>
          </w:p>
        </w:tc>
        <w:tc>
          <w:tcPr>
            <w:tcW w:w="0" w:type="auto"/>
            <w:gridSpan w:val="3"/>
            <w:shd w:val="clear" w:color="auto" w:fill="auto"/>
          </w:tcPr>
          <w:p w14:paraId="5EA2729C" w14:textId="77777777" w:rsidR="003C66EB" w:rsidRDefault="003C66EB">
            <w:pPr>
              <w:rPr>
                <w:rFonts w:ascii="宋体"/>
                <w:vanish/>
              </w:rPr>
            </w:pPr>
          </w:p>
        </w:tc>
        <w:tc>
          <w:tcPr>
            <w:tcW w:w="0" w:type="auto"/>
            <w:gridSpan w:val="3"/>
            <w:shd w:val="clear" w:color="auto" w:fill="auto"/>
          </w:tcPr>
          <w:p w14:paraId="5EA2729D" w14:textId="77777777" w:rsidR="003C66EB" w:rsidRDefault="003C66EB">
            <w:pPr>
              <w:rPr>
                <w:rFonts w:ascii="宋体"/>
                <w:vanish/>
              </w:rPr>
            </w:pPr>
          </w:p>
        </w:tc>
      </w:tr>
      <w:tr w:rsidR="003C66EB" w14:paraId="5EA272A8" w14:textId="77777777">
        <w:tc>
          <w:tcPr>
            <w:tcW w:w="0" w:type="auto"/>
            <w:gridSpan w:val="3"/>
            <w:shd w:val="clear" w:color="auto" w:fill="FFFFFF"/>
            <w:tcMar>
              <w:top w:w="40" w:type="dxa"/>
              <w:left w:w="20" w:type="dxa"/>
              <w:bottom w:w="40" w:type="dxa"/>
              <w:right w:w="20" w:type="dxa"/>
            </w:tcMar>
            <w:vAlign w:val="bottom"/>
          </w:tcPr>
          <w:p w14:paraId="5EA2729F" w14:textId="77777777" w:rsidR="003C66EB" w:rsidRDefault="00D96C4E">
            <w:pPr>
              <w:textAlignment w:val="bottom"/>
            </w:pPr>
            <w:r>
              <w:rPr>
                <w:rFonts w:ascii="Arial" w:eastAsia="宋体" w:hAnsi="Arial" w:cs="Arial"/>
                <w:color w:val="000000"/>
                <w:sz w:val="13"/>
                <w:szCs w:val="13"/>
              </w:rPr>
              <w:t>Investment securities:</w:t>
            </w:r>
          </w:p>
        </w:tc>
        <w:tc>
          <w:tcPr>
            <w:tcW w:w="0" w:type="auto"/>
            <w:shd w:val="clear" w:color="auto" w:fill="auto"/>
          </w:tcPr>
          <w:p w14:paraId="5EA272A0" w14:textId="77777777" w:rsidR="003C66EB" w:rsidRDefault="003C66EB">
            <w:pPr>
              <w:rPr>
                <w:rFonts w:ascii="宋体"/>
                <w:vanish/>
              </w:rPr>
            </w:pPr>
          </w:p>
        </w:tc>
        <w:tc>
          <w:tcPr>
            <w:tcW w:w="0" w:type="auto"/>
            <w:shd w:val="clear" w:color="auto" w:fill="auto"/>
          </w:tcPr>
          <w:p w14:paraId="5EA272A1" w14:textId="77777777" w:rsidR="003C66EB" w:rsidRDefault="003C66EB">
            <w:pPr>
              <w:rPr>
                <w:rFonts w:ascii="宋体"/>
                <w:vanish/>
              </w:rPr>
            </w:pPr>
          </w:p>
        </w:tc>
        <w:tc>
          <w:tcPr>
            <w:tcW w:w="0" w:type="auto"/>
            <w:shd w:val="clear" w:color="auto" w:fill="auto"/>
          </w:tcPr>
          <w:p w14:paraId="5EA272A2"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2A3"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2A4"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2A5" w14:textId="77777777" w:rsidR="003C66EB" w:rsidRDefault="003C66EB">
            <w:pPr>
              <w:rPr>
                <w:rFonts w:ascii="宋体"/>
              </w:rPr>
            </w:pPr>
          </w:p>
        </w:tc>
        <w:tc>
          <w:tcPr>
            <w:tcW w:w="0" w:type="auto"/>
            <w:gridSpan w:val="3"/>
            <w:shd w:val="clear" w:color="auto" w:fill="auto"/>
          </w:tcPr>
          <w:p w14:paraId="5EA272A6" w14:textId="77777777" w:rsidR="003C66EB" w:rsidRDefault="003C66EB">
            <w:pPr>
              <w:rPr>
                <w:rFonts w:ascii="宋体"/>
                <w:vanish/>
              </w:rPr>
            </w:pPr>
          </w:p>
        </w:tc>
        <w:tc>
          <w:tcPr>
            <w:tcW w:w="0" w:type="auto"/>
            <w:gridSpan w:val="3"/>
            <w:shd w:val="clear" w:color="auto" w:fill="auto"/>
          </w:tcPr>
          <w:p w14:paraId="5EA272A7" w14:textId="77777777" w:rsidR="003C66EB" w:rsidRDefault="003C66EB">
            <w:pPr>
              <w:rPr>
                <w:rFonts w:ascii="宋体"/>
                <w:vanish/>
              </w:rPr>
            </w:pPr>
          </w:p>
        </w:tc>
      </w:tr>
      <w:tr w:rsidR="003C66EB" w14:paraId="5EA272B2" w14:textId="77777777">
        <w:trPr>
          <w:hidden/>
        </w:trPr>
        <w:tc>
          <w:tcPr>
            <w:tcW w:w="0" w:type="auto"/>
            <w:gridSpan w:val="3"/>
            <w:shd w:val="clear" w:color="auto" w:fill="auto"/>
          </w:tcPr>
          <w:p w14:paraId="5EA272A9" w14:textId="77777777" w:rsidR="003C66EB" w:rsidRDefault="003C66EB">
            <w:pPr>
              <w:rPr>
                <w:rFonts w:ascii="宋体"/>
                <w:vanish/>
              </w:rPr>
            </w:pPr>
          </w:p>
        </w:tc>
        <w:tc>
          <w:tcPr>
            <w:tcW w:w="0" w:type="auto"/>
            <w:shd w:val="clear" w:color="auto" w:fill="auto"/>
          </w:tcPr>
          <w:p w14:paraId="5EA272AA" w14:textId="77777777" w:rsidR="003C66EB" w:rsidRDefault="003C66EB">
            <w:pPr>
              <w:rPr>
                <w:rFonts w:ascii="宋体"/>
                <w:vanish/>
              </w:rPr>
            </w:pPr>
          </w:p>
        </w:tc>
        <w:tc>
          <w:tcPr>
            <w:tcW w:w="0" w:type="auto"/>
            <w:shd w:val="clear" w:color="auto" w:fill="auto"/>
          </w:tcPr>
          <w:p w14:paraId="5EA272AB" w14:textId="77777777" w:rsidR="003C66EB" w:rsidRDefault="003C66EB">
            <w:pPr>
              <w:rPr>
                <w:rFonts w:ascii="宋体"/>
                <w:vanish/>
              </w:rPr>
            </w:pPr>
          </w:p>
        </w:tc>
        <w:tc>
          <w:tcPr>
            <w:tcW w:w="0" w:type="auto"/>
            <w:shd w:val="clear" w:color="auto" w:fill="auto"/>
          </w:tcPr>
          <w:p w14:paraId="5EA272AC" w14:textId="77777777" w:rsidR="003C66EB" w:rsidRDefault="003C66EB">
            <w:pPr>
              <w:rPr>
                <w:rFonts w:ascii="宋体"/>
                <w:vanish/>
              </w:rPr>
            </w:pPr>
          </w:p>
        </w:tc>
        <w:tc>
          <w:tcPr>
            <w:tcW w:w="0" w:type="auto"/>
            <w:gridSpan w:val="3"/>
            <w:shd w:val="clear" w:color="auto" w:fill="auto"/>
          </w:tcPr>
          <w:p w14:paraId="5EA272AD" w14:textId="77777777" w:rsidR="003C66EB" w:rsidRDefault="003C66EB">
            <w:pPr>
              <w:rPr>
                <w:rFonts w:ascii="宋体"/>
                <w:vanish/>
              </w:rPr>
            </w:pPr>
          </w:p>
        </w:tc>
        <w:tc>
          <w:tcPr>
            <w:tcW w:w="0" w:type="auto"/>
            <w:gridSpan w:val="3"/>
            <w:shd w:val="clear" w:color="auto" w:fill="auto"/>
          </w:tcPr>
          <w:p w14:paraId="5EA272AE" w14:textId="77777777" w:rsidR="003C66EB" w:rsidRDefault="003C66EB">
            <w:pPr>
              <w:rPr>
                <w:rFonts w:ascii="宋体"/>
                <w:vanish/>
              </w:rPr>
            </w:pPr>
          </w:p>
        </w:tc>
        <w:tc>
          <w:tcPr>
            <w:tcW w:w="0" w:type="auto"/>
            <w:gridSpan w:val="3"/>
            <w:shd w:val="clear" w:color="auto" w:fill="auto"/>
          </w:tcPr>
          <w:p w14:paraId="5EA272AF" w14:textId="77777777" w:rsidR="003C66EB" w:rsidRDefault="003C66EB">
            <w:pPr>
              <w:rPr>
                <w:rFonts w:ascii="宋体"/>
                <w:vanish/>
              </w:rPr>
            </w:pPr>
          </w:p>
        </w:tc>
        <w:tc>
          <w:tcPr>
            <w:tcW w:w="0" w:type="auto"/>
            <w:gridSpan w:val="3"/>
            <w:shd w:val="clear" w:color="auto" w:fill="auto"/>
          </w:tcPr>
          <w:p w14:paraId="5EA272B0" w14:textId="77777777" w:rsidR="003C66EB" w:rsidRDefault="003C66EB">
            <w:pPr>
              <w:rPr>
                <w:rFonts w:ascii="宋体"/>
                <w:vanish/>
              </w:rPr>
            </w:pPr>
          </w:p>
        </w:tc>
        <w:tc>
          <w:tcPr>
            <w:tcW w:w="0" w:type="auto"/>
            <w:gridSpan w:val="3"/>
            <w:shd w:val="clear" w:color="auto" w:fill="auto"/>
          </w:tcPr>
          <w:p w14:paraId="5EA272B1" w14:textId="77777777" w:rsidR="003C66EB" w:rsidRDefault="003C66EB">
            <w:pPr>
              <w:rPr>
                <w:rFonts w:ascii="宋体"/>
                <w:vanish/>
              </w:rPr>
            </w:pPr>
          </w:p>
        </w:tc>
      </w:tr>
      <w:tr w:rsidR="003C66EB" w14:paraId="5EA272BC" w14:textId="77777777">
        <w:trPr>
          <w:hidden/>
        </w:trPr>
        <w:tc>
          <w:tcPr>
            <w:tcW w:w="0" w:type="auto"/>
            <w:gridSpan w:val="3"/>
            <w:shd w:val="clear" w:color="auto" w:fill="auto"/>
          </w:tcPr>
          <w:p w14:paraId="5EA272B3" w14:textId="77777777" w:rsidR="003C66EB" w:rsidRDefault="003C66EB">
            <w:pPr>
              <w:rPr>
                <w:rFonts w:ascii="宋体"/>
                <w:vanish/>
              </w:rPr>
            </w:pPr>
          </w:p>
        </w:tc>
        <w:tc>
          <w:tcPr>
            <w:tcW w:w="0" w:type="auto"/>
            <w:shd w:val="clear" w:color="auto" w:fill="auto"/>
          </w:tcPr>
          <w:p w14:paraId="5EA272B4" w14:textId="77777777" w:rsidR="003C66EB" w:rsidRDefault="003C66EB">
            <w:pPr>
              <w:rPr>
                <w:rFonts w:ascii="宋体"/>
                <w:vanish/>
              </w:rPr>
            </w:pPr>
          </w:p>
        </w:tc>
        <w:tc>
          <w:tcPr>
            <w:tcW w:w="0" w:type="auto"/>
            <w:shd w:val="clear" w:color="auto" w:fill="auto"/>
          </w:tcPr>
          <w:p w14:paraId="5EA272B5" w14:textId="77777777" w:rsidR="003C66EB" w:rsidRDefault="003C66EB">
            <w:pPr>
              <w:rPr>
                <w:rFonts w:ascii="宋体"/>
                <w:vanish/>
              </w:rPr>
            </w:pPr>
          </w:p>
        </w:tc>
        <w:tc>
          <w:tcPr>
            <w:tcW w:w="0" w:type="auto"/>
            <w:shd w:val="clear" w:color="auto" w:fill="auto"/>
          </w:tcPr>
          <w:p w14:paraId="5EA272B6" w14:textId="77777777" w:rsidR="003C66EB" w:rsidRDefault="003C66EB">
            <w:pPr>
              <w:rPr>
                <w:rFonts w:ascii="宋体"/>
                <w:vanish/>
              </w:rPr>
            </w:pPr>
          </w:p>
        </w:tc>
        <w:tc>
          <w:tcPr>
            <w:tcW w:w="0" w:type="auto"/>
            <w:gridSpan w:val="3"/>
            <w:shd w:val="clear" w:color="auto" w:fill="auto"/>
          </w:tcPr>
          <w:p w14:paraId="5EA272B7" w14:textId="77777777" w:rsidR="003C66EB" w:rsidRDefault="003C66EB">
            <w:pPr>
              <w:rPr>
                <w:rFonts w:ascii="宋体"/>
                <w:vanish/>
              </w:rPr>
            </w:pPr>
          </w:p>
        </w:tc>
        <w:tc>
          <w:tcPr>
            <w:tcW w:w="0" w:type="auto"/>
            <w:gridSpan w:val="3"/>
            <w:shd w:val="clear" w:color="auto" w:fill="auto"/>
          </w:tcPr>
          <w:p w14:paraId="5EA272B8" w14:textId="77777777" w:rsidR="003C66EB" w:rsidRDefault="003C66EB">
            <w:pPr>
              <w:rPr>
                <w:rFonts w:ascii="宋体"/>
                <w:vanish/>
              </w:rPr>
            </w:pPr>
          </w:p>
        </w:tc>
        <w:tc>
          <w:tcPr>
            <w:tcW w:w="0" w:type="auto"/>
            <w:gridSpan w:val="3"/>
            <w:shd w:val="clear" w:color="auto" w:fill="auto"/>
          </w:tcPr>
          <w:p w14:paraId="5EA272B9" w14:textId="77777777" w:rsidR="003C66EB" w:rsidRDefault="003C66EB">
            <w:pPr>
              <w:rPr>
                <w:rFonts w:ascii="宋体"/>
                <w:vanish/>
              </w:rPr>
            </w:pPr>
          </w:p>
        </w:tc>
        <w:tc>
          <w:tcPr>
            <w:tcW w:w="0" w:type="auto"/>
            <w:gridSpan w:val="3"/>
            <w:shd w:val="clear" w:color="auto" w:fill="auto"/>
          </w:tcPr>
          <w:p w14:paraId="5EA272BA" w14:textId="77777777" w:rsidR="003C66EB" w:rsidRDefault="003C66EB">
            <w:pPr>
              <w:rPr>
                <w:rFonts w:ascii="宋体"/>
                <w:vanish/>
              </w:rPr>
            </w:pPr>
          </w:p>
        </w:tc>
        <w:tc>
          <w:tcPr>
            <w:tcW w:w="0" w:type="auto"/>
            <w:gridSpan w:val="3"/>
            <w:shd w:val="clear" w:color="auto" w:fill="auto"/>
          </w:tcPr>
          <w:p w14:paraId="5EA272BB" w14:textId="77777777" w:rsidR="003C66EB" w:rsidRDefault="003C66EB">
            <w:pPr>
              <w:rPr>
                <w:rFonts w:ascii="宋体"/>
                <w:vanish/>
              </w:rPr>
            </w:pPr>
          </w:p>
        </w:tc>
      </w:tr>
      <w:tr w:rsidR="003C66EB" w14:paraId="5EA272C6" w14:textId="77777777">
        <w:trPr>
          <w:hidden/>
        </w:trPr>
        <w:tc>
          <w:tcPr>
            <w:tcW w:w="0" w:type="auto"/>
            <w:gridSpan w:val="3"/>
            <w:shd w:val="clear" w:color="auto" w:fill="auto"/>
          </w:tcPr>
          <w:p w14:paraId="5EA272BD" w14:textId="77777777" w:rsidR="003C66EB" w:rsidRDefault="003C66EB">
            <w:pPr>
              <w:rPr>
                <w:rFonts w:ascii="宋体"/>
                <w:vanish/>
              </w:rPr>
            </w:pPr>
          </w:p>
        </w:tc>
        <w:tc>
          <w:tcPr>
            <w:tcW w:w="0" w:type="auto"/>
            <w:shd w:val="clear" w:color="auto" w:fill="auto"/>
          </w:tcPr>
          <w:p w14:paraId="5EA272BE" w14:textId="77777777" w:rsidR="003C66EB" w:rsidRDefault="003C66EB">
            <w:pPr>
              <w:rPr>
                <w:rFonts w:ascii="宋体"/>
                <w:vanish/>
              </w:rPr>
            </w:pPr>
          </w:p>
        </w:tc>
        <w:tc>
          <w:tcPr>
            <w:tcW w:w="0" w:type="auto"/>
            <w:shd w:val="clear" w:color="auto" w:fill="auto"/>
          </w:tcPr>
          <w:p w14:paraId="5EA272BF" w14:textId="77777777" w:rsidR="003C66EB" w:rsidRDefault="003C66EB">
            <w:pPr>
              <w:rPr>
                <w:rFonts w:ascii="宋体"/>
                <w:vanish/>
              </w:rPr>
            </w:pPr>
          </w:p>
        </w:tc>
        <w:tc>
          <w:tcPr>
            <w:tcW w:w="0" w:type="auto"/>
            <w:shd w:val="clear" w:color="auto" w:fill="auto"/>
          </w:tcPr>
          <w:p w14:paraId="5EA272C0" w14:textId="77777777" w:rsidR="003C66EB" w:rsidRDefault="003C66EB">
            <w:pPr>
              <w:rPr>
                <w:rFonts w:ascii="宋体"/>
                <w:vanish/>
              </w:rPr>
            </w:pPr>
          </w:p>
        </w:tc>
        <w:tc>
          <w:tcPr>
            <w:tcW w:w="0" w:type="auto"/>
            <w:gridSpan w:val="3"/>
            <w:shd w:val="clear" w:color="auto" w:fill="auto"/>
          </w:tcPr>
          <w:p w14:paraId="5EA272C1" w14:textId="77777777" w:rsidR="003C66EB" w:rsidRDefault="003C66EB">
            <w:pPr>
              <w:rPr>
                <w:rFonts w:ascii="宋体"/>
                <w:vanish/>
              </w:rPr>
            </w:pPr>
          </w:p>
        </w:tc>
        <w:tc>
          <w:tcPr>
            <w:tcW w:w="0" w:type="auto"/>
            <w:gridSpan w:val="3"/>
            <w:shd w:val="clear" w:color="auto" w:fill="auto"/>
          </w:tcPr>
          <w:p w14:paraId="5EA272C2" w14:textId="77777777" w:rsidR="003C66EB" w:rsidRDefault="003C66EB">
            <w:pPr>
              <w:rPr>
                <w:rFonts w:ascii="宋体"/>
                <w:vanish/>
              </w:rPr>
            </w:pPr>
          </w:p>
        </w:tc>
        <w:tc>
          <w:tcPr>
            <w:tcW w:w="0" w:type="auto"/>
            <w:gridSpan w:val="3"/>
            <w:shd w:val="clear" w:color="auto" w:fill="auto"/>
          </w:tcPr>
          <w:p w14:paraId="5EA272C3" w14:textId="77777777" w:rsidR="003C66EB" w:rsidRDefault="003C66EB">
            <w:pPr>
              <w:rPr>
                <w:rFonts w:ascii="宋体"/>
                <w:vanish/>
              </w:rPr>
            </w:pPr>
          </w:p>
        </w:tc>
        <w:tc>
          <w:tcPr>
            <w:tcW w:w="0" w:type="auto"/>
            <w:gridSpan w:val="3"/>
            <w:shd w:val="clear" w:color="auto" w:fill="auto"/>
          </w:tcPr>
          <w:p w14:paraId="5EA272C4" w14:textId="77777777" w:rsidR="003C66EB" w:rsidRDefault="003C66EB">
            <w:pPr>
              <w:rPr>
                <w:rFonts w:ascii="宋体"/>
                <w:vanish/>
              </w:rPr>
            </w:pPr>
          </w:p>
        </w:tc>
        <w:tc>
          <w:tcPr>
            <w:tcW w:w="0" w:type="auto"/>
            <w:gridSpan w:val="3"/>
            <w:shd w:val="clear" w:color="auto" w:fill="auto"/>
          </w:tcPr>
          <w:p w14:paraId="5EA272C5" w14:textId="77777777" w:rsidR="003C66EB" w:rsidRDefault="003C66EB">
            <w:pPr>
              <w:rPr>
                <w:rFonts w:ascii="宋体"/>
                <w:vanish/>
              </w:rPr>
            </w:pPr>
          </w:p>
        </w:tc>
      </w:tr>
      <w:tr w:rsidR="003C66EB" w14:paraId="5EA272D2" w14:textId="77777777">
        <w:tc>
          <w:tcPr>
            <w:tcW w:w="0" w:type="auto"/>
            <w:gridSpan w:val="3"/>
            <w:shd w:val="clear" w:color="auto" w:fill="CCEEFF"/>
            <w:tcMar>
              <w:top w:w="40" w:type="dxa"/>
              <w:left w:w="140" w:type="dxa"/>
              <w:bottom w:w="40" w:type="dxa"/>
              <w:right w:w="20" w:type="dxa"/>
            </w:tcMar>
            <w:vAlign w:val="bottom"/>
          </w:tcPr>
          <w:p w14:paraId="5EA272C7" w14:textId="77777777" w:rsidR="003C66EB" w:rsidRDefault="00D96C4E">
            <w:pPr>
              <w:textAlignment w:val="bottom"/>
            </w:pPr>
            <w:r>
              <w:rPr>
                <w:rFonts w:ascii="Arial" w:eastAsia="宋体" w:hAnsi="Arial" w:cs="Arial"/>
                <w:color w:val="000000"/>
                <w:sz w:val="14"/>
                <w:szCs w:val="14"/>
              </w:rPr>
              <w:t xml:space="preserve">Investment securities </w:t>
            </w:r>
            <w:r>
              <w:rPr>
                <w:rFonts w:ascii="Arial" w:eastAsia="宋体" w:hAnsi="Arial" w:cs="Arial"/>
                <w:color w:val="000000"/>
                <w:sz w:val="14"/>
                <w:szCs w:val="14"/>
              </w:rPr>
              <w:t>available-for-sale</w:t>
            </w:r>
          </w:p>
        </w:tc>
        <w:tc>
          <w:tcPr>
            <w:tcW w:w="0" w:type="auto"/>
            <w:shd w:val="clear" w:color="auto" w:fill="auto"/>
          </w:tcPr>
          <w:p w14:paraId="5EA272C8" w14:textId="77777777" w:rsidR="003C66EB" w:rsidRDefault="003C66EB">
            <w:pPr>
              <w:rPr>
                <w:rFonts w:ascii="宋体"/>
                <w:vanish/>
              </w:rPr>
            </w:pPr>
          </w:p>
        </w:tc>
        <w:tc>
          <w:tcPr>
            <w:tcW w:w="0" w:type="auto"/>
            <w:shd w:val="clear" w:color="auto" w:fill="auto"/>
          </w:tcPr>
          <w:p w14:paraId="5EA272C9" w14:textId="77777777" w:rsidR="003C66EB" w:rsidRDefault="003C66EB">
            <w:pPr>
              <w:rPr>
                <w:rFonts w:ascii="宋体"/>
                <w:vanish/>
              </w:rPr>
            </w:pPr>
          </w:p>
        </w:tc>
        <w:tc>
          <w:tcPr>
            <w:tcW w:w="0" w:type="auto"/>
            <w:shd w:val="clear" w:color="auto" w:fill="auto"/>
          </w:tcPr>
          <w:p w14:paraId="5EA272C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2CB" w14:textId="77777777" w:rsidR="003C66EB" w:rsidRDefault="00D96C4E">
            <w:pPr>
              <w:jc w:val="right"/>
              <w:textAlignment w:val="bottom"/>
            </w:pPr>
            <w:r>
              <w:rPr>
                <w:rFonts w:ascii="Arial" w:eastAsia="宋体" w:hAnsi="Arial" w:cs="Arial"/>
                <w:b/>
                <w:bCs/>
                <w:color w:val="000000"/>
                <w:sz w:val="13"/>
                <w:szCs w:val="13"/>
              </w:rPr>
              <w:t>140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2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C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CE" w14:textId="77777777" w:rsidR="003C66EB" w:rsidRDefault="00D96C4E">
            <w:pPr>
              <w:jc w:val="right"/>
              <w:textAlignment w:val="bottom"/>
            </w:pPr>
            <w:r>
              <w:rPr>
                <w:rFonts w:ascii="Arial" w:eastAsia="宋体" w:hAnsi="Arial" w:cs="Arial"/>
                <w:color w:val="000000"/>
                <w:sz w:val="13"/>
                <w:szCs w:val="13"/>
              </w:rPr>
              <w:t>213 </w:t>
            </w:r>
          </w:p>
        </w:tc>
        <w:tc>
          <w:tcPr>
            <w:tcW w:w="0" w:type="auto"/>
            <w:shd w:val="clear" w:color="auto" w:fill="CCEEFF"/>
            <w:tcMar>
              <w:top w:w="40" w:type="dxa"/>
              <w:left w:w="0" w:type="dxa"/>
              <w:bottom w:w="40" w:type="dxa"/>
              <w:right w:w="20" w:type="dxa"/>
            </w:tcMar>
            <w:vAlign w:val="bottom"/>
          </w:tcPr>
          <w:p w14:paraId="5EA272CF" w14:textId="77777777" w:rsidR="003C66EB" w:rsidRDefault="003C66EB">
            <w:pPr>
              <w:jc w:val="right"/>
              <w:rPr>
                <w:rFonts w:ascii="宋体"/>
              </w:rPr>
            </w:pPr>
          </w:p>
        </w:tc>
        <w:tc>
          <w:tcPr>
            <w:tcW w:w="0" w:type="auto"/>
            <w:gridSpan w:val="3"/>
            <w:shd w:val="clear" w:color="auto" w:fill="auto"/>
          </w:tcPr>
          <w:p w14:paraId="5EA272D0" w14:textId="77777777" w:rsidR="003C66EB" w:rsidRDefault="003C66EB">
            <w:pPr>
              <w:rPr>
                <w:rFonts w:ascii="宋体"/>
                <w:vanish/>
              </w:rPr>
            </w:pPr>
          </w:p>
        </w:tc>
        <w:tc>
          <w:tcPr>
            <w:tcW w:w="0" w:type="auto"/>
            <w:gridSpan w:val="3"/>
            <w:shd w:val="clear" w:color="auto" w:fill="auto"/>
          </w:tcPr>
          <w:p w14:paraId="5EA272D1" w14:textId="77777777" w:rsidR="003C66EB" w:rsidRDefault="003C66EB">
            <w:pPr>
              <w:rPr>
                <w:rFonts w:ascii="宋体"/>
                <w:vanish/>
              </w:rPr>
            </w:pPr>
          </w:p>
        </w:tc>
      </w:tr>
      <w:tr w:rsidR="003C66EB" w14:paraId="5EA272DE" w14:textId="77777777">
        <w:tc>
          <w:tcPr>
            <w:tcW w:w="0" w:type="auto"/>
            <w:gridSpan w:val="3"/>
            <w:shd w:val="clear" w:color="auto" w:fill="FFFFFF"/>
            <w:tcMar>
              <w:top w:w="40" w:type="dxa"/>
              <w:left w:w="140" w:type="dxa"/>
              <w:bottom w:w="40" w:type="dxa"/>
              <w:right w:w="20" w:type="dxa"/>
            </w:tcMar>
            <w:vAlign w:val="bottom"/>
          </w:tcPr>
          <w:p w14:paraId="5EA272D3" w14:textId="77777777" w:rsidR="003C66EB" w:rsidRDefault="00D96C4E">
            <w:pPr>
              <w:textAlignment w:val="bottom"/>
            </w:pPr>
            <w:r>
              <w:rPr>
                <w:rFonts w:ascii="Arial" w:eastAsia="宋体" w:hAnsi="Arial" w:cs="Arial"/>
                <w:color w:val="000000"/>
                <w:sz w:val="14"/>
                <w:szCs w:val="14"/>
              </w:rPr>
              <w:t>Investment securities held-to-maturity</w:t>
            </w:r>
          </w:p>
        </w:tc>
        <w:tc>
          <w:tcPr>
            <w:tcW w:w="0" w:type="auto"/>
            <w:shd w:val="clear" w:color="auto" w:fill="auto"/>
          </w:tcPr>
          <w:p w14:paraId="5EA272D4" w14:textId="77777777" w:rsidR="003C66EB" w:rsidRDefault="003C66EB">
            <w:pPr>
              <w:rPr>
                <w:rFonts w:ascii="宋体"/>
                <w:vanish/>
              </w:rPr>
            </w:pPr>
          </w:p>
        </w:tc>
        <w:tc>
          <w:tcPr>
            <w:tcW w:w="0" w:type="auto"/>
            <w:shd w:val="clear" w:color="auto" w:fill="auto"/>
          </w:tcPr>
          <w:p w14:paraId="5EA272D5" w14:textId="77777777" w:rsidR="003C66EB" w:rsidRDefault="003C66EB">
            <w:pPr>
              <w:rPr>
                <w:rFonts w:ascii="宋体"/>
                <w:vanish/>
              </w:rPr>
            </w:pPr>
          </w:p>
        </w:tc>
        <w:tc>
          <w:tcPr>
            <w:tcW w:w="0" w:type="auto"/>
            <w:shd w:val="clear" w:color="auto" w:fill="auto"/>
          </w:tcPr>
          <w:p w14:paraId="5EA272D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2D7" w14:textId="77777777" w:rsidR="003C66EB" w:rsidRDefault="00D96C4E">
            <w:pPr>
              <w:jc w:val="right"/>
              <w:textAlignment w:val="bottom"/>
            </w:pPr>
            <w:r>
              <w:rPr>
                <w:rFonts w:ascii="Arial" w:eastAsia="宋体" w:hAnsi="Arial" w:cs="Arial"/>
                <w:b/>
                <w:bCs/>
                <w:color w:val="000000"/>
                <w:sz w:val="13"/>
                <w:szCs w:val="13"/>
              </w:rPr>
              <w:t>180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2D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D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DA" w14:textId="77777777" w:rsidR="003C66EB" w:rsidRDefault="00D96C4E">
            <w:pPr>
              <w:jc w:val="right"/>
              <w:textAlignment w:val="bottom"/>
            </w:pPr>
            <w:r>
              <w:rPr>
                <w:rFonts w:ascii="Arial" w:eastAsia="宋体" w:hAnsi="Arial" w:cs="Arial"/>
                <w:color w:val="000000"/>
                <w:sz w:val="13"/>
                <w:szCs w:val="13"/>
              </w:rPr>
              <w:t>271 </w:t>
            </w:r>
          </w:p>
        </w:tc>
        <w:tc>
          <w:tcPr>
            <w:tcW w:w="0" w:type="auto"/>
            <w:shd w:val="clear" w:color="auto" w:fill="FFFFFF"/>
            <w:tcMar>
              <w:top w:w="40" w:type="dxa"/>
              <w:left w:w="0" w:type="dxa"/>
              <w:bottom w:w="40" w:type="dxa"/>
              <w:right w:w="20" w:type="dxa"/>
            </w:tcMar>
            <w:vAlign w:val="bottom"/>
          </w:tcPr>
          <w:p w14:paraId="5EA272DB" w14:textId="77777777" w:rsidR="003C66EB" w:rsidRDefault="003C66EB">
            <w:pPr>
              <w:jc w:val="right"/>
              <w:rPr>
                <w:rFonts w:ascii="宋体"/>
              </w:rPr>
            </w:pPr>
          </w:p>
        </w:tc>
        <w:tc>
          <w:tcPr>
            <w:tcW w:w="0" w:type="auto"/>
            <w:gridSpan w:val="3"/>
            <w:shd w:val="clear" w:color="auto" w:fill="auto"/>
          </w:tcPr>
          <w:p w14:paraId="5EA272DC" w14:textId="77777777" w:rsidR="003C66EB" w:rsidRDefault="003C66EB">
            <w:pPr>
              <w:rPr>
                <w:rFonts w:ascii="宋体"/>
                <w:vanish/>
              </w:rPr>
            </w:pPr>
          </w:p>
        </w:tc>
        <w:tc>
          <w:tcPr>
            <w:tcW w:w="0" w:type="auto"/>
            <w:gridSpan w:val="3"/>
            <w:shd w:val="clear" w:color="auto" w:fill="auto"/>
          </w:tcPr>
          <w:p w14:paraId="5EA272DD" w14:textId="77777777" w:rsidR="003C66EB" w:rsidRDefault="003C66EB">
            <w:pPr>
              <w:rPr>
                <w:rFonts w:ascii="宋体"/>
                <w:vanish/>
              </w:rPr>
            </w:pPr>
          </w:p>
        </w:tc>
      </w:tr>
      <w:tr w:rsidR="003C66EB" w14:paraId="5EA272EA" w14:textId="77777777">
        <w:tc>
          <w:tcPr>
            <w:tcW w:w="0" w:type="auto"/>
            <w:gridSpan w:val="3"/>
            <w:shd w:val="clear" w:color="auto" w:fill="CCEEFF"/>
            <w:tcMar>
              <w:top w:w="40" w:type="dxa"/>
              <w:left w:w="155" w:type="dxa"/>
              <w:bottom w:w="40" w:type="dxa"/>
              <w:right w:w="20" w:type="dxa"/>
            </w:tcMar>
            <w:vAlign w:val="bottom"/>
          </w:tcPr>
          <w:p w14:paraId="5EA272DF" w14:textId="77777777" w:rsidR="003C66EB" w:rsidRDefault="00D96C4E">
            <w:pPr>
              <w:textAlignment w:val="bottom"/>
            </w:pPr>
            <w:r>
              <w:rPr>
                <w:rFonts w:ascii="Arial" w:eastAsia="宋体" w:hAnsi="Arial" w:cs="Arial"/>
                <w:color w:val="000000"/>
                <w:sz w:val="13"/>
                <w:szCs w:val="13"/>
              </w:rPr>
              <w:t>Investment securities purchased under money market liquidity facility</w:t>
            </w:r>
          </w:p>
        </w:tc>
        <w:tc>
          <w:tcPr>
            <w:tcW w:w="0" w:type="auto"/>
            <w:shd w:val="clear" w:color="auto" w:fill="auto"/>
          </w:tcPr>
          <w:p w14:paraId="5EA272E0" w14:textId="77777777" w:rsidR="003C66EB" w:rsidRDefault="003C66EB">
            <w:pPr>
              <w:rPr>
                <w:rFonts w:ascii="宋体"/>
                <w:vanish/>
              </w:rPr>
            </w:pPr>
          </w:p>
        </w:tc>
        <w:tc>
          <w:tcPr>
            <w:tcW w:w="0" w:type="auto"/>
            <w:shd w:val="clear" w:color="auto" w:fill="auto"/>
          </w:tcPr>
          <w:p w14:paraId="5EA272E1" w14:textId="77777777" w:rsidR="003C66EB" w:rsidRDefault="003C66EB">
            <w:pPr>
              <w:rPr>
                <w:rFonts w:ascii="宋体"/>
                <w:vanish/>
              </w:rPr>
            </w:pPr>
          </w:p>
        </w:tc>
        <w:tc>
          <w:tcPr>
            <w:tcW w:w="0" w:type="auto"/>
            <w:shd w:val="clear" w:color="auto" w:fill="auto"/>
          </w:tcPr>
          <w:p w14:paraId="5EA272E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2E3" w14:textId="77777777" w:rsidR="003C66EB" w:rsidRDefault="00D96C4E">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2E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2E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2E6" w14:textId="77777777" w:rsidR="003C66EB" w:rsidRDefault="00D96C4E">
            <w:pPr>
              <w:jc w:val="right"/>
              <w:textAlignment w:val="bottom"/>
            </w:pPr>
            <w:r>
              <w:rPr>
                <w:rFonts w:ascii="Arial" w:eastAsia="宋体" w:hAnsi="Arial" w:cs="Arial"/>
                <w:color w:val="000000"/>
                <w:sz w:val="13"/>
                <w:szCs w:val="13"/>
              </w:rPr>
              <w:t>8 </w:t>
            </w:r>
          </w:p>
        </w:tc>
        <w:tc>
          <w:tcPr>
            <w:tcW w:w="0" w:type="auto"/>
            <w:shd w:val="clear" w:color="auto" w:fill="CCEEFF"/>
            <w:tcMar>
              <w:top w:w="40" w:type="dxa"/>
              <w:left w:w="0" w:type="dxa"/>
              <w:bottom w:w="40" w:type="dxa"/>
              <w:right w:w="20" w:type="dxa"/>
            </w:tcMar>
            <w:vAlign w:val="bottom"/>
          </w:tcPr>
          <w:p w14:paraId="5EA272E7" w14:textId="77777777" w:rsidR="003C66EB" w:rsidRDefault="003C66EB">
            <w:pPr>
              <w:jc w:val="right"/>
              <w:rPr>
                <w:rFonts w:ascii="宋体"/>
              </w:rPr>
            </w:pPr>
          </w:p>
        </w:tc>
        <w:tc>
          <w:tcPr>
            <w:tcW w:w="0" w:type="auto"/>
            <w:gridSpan w:val="3"/>
            <w:shd w:val="clear" w:color="auto" w:fill="auto"/>
          </w:tcPr>
          <w:p w14:paraId="5EA272E8" w14:textId="77777777" w:rsidR="003C66EB" w:rsidRDefault="003C66EB">
            <w:pPr>
              <w:rPr>
                <w:rFonts w:ascii="宋体"/>
                <w:vanish/>
              </w:rPr>
            </w:pPr>
          </w:p>
        </w:tc>
        <w:tc>
          <w:tcPr>
            <w:tcW w:w="0" w:type="auto"/>
            <w:gridSpan w:val="3"/>
            <w:shd w:val="clear" w:color="auto" w:fill="auto"/>
          </w:tcPr>
          <w:p w14:paraId="5EA272E9" w14:textId="77777777" w:rsidR="003C66EB" w:rsidRDefault="003C66EB">
            <w:pPr>
              <w:rPr>
                <w:rFonts w:ascii="宋体"/>
                <w:vanish/>
              </w:rPr>
            </w:pPr>
          </w:p>
        </w:tc>
      </w:tr>
      <w:tr w:rsidR="003C66EB" w14:paraId="5EA272F4" w14:textId="77777777">
        <w:trPr>
          <w:hidden/>
        </w:trPr>
        <w:tc>
          <w:tcPr>
            <w:tcW w:w="0" w:type="auto"/>
            <w:gridSpan w:val="3"/>
            <w:shd w:val="clear" w:color="auto" w:fill="auto"/>
          </w:tcPr>
          <w:p w14:paraId="5EA272EB" w14:textId="77777777" w:rsidR="003C66EB" w:rsidRDefault="003C66EB">
            <w:pPr>
              <w:rPr>
                <w:rFonts w:ascii="宋体"/>
                <w:vanish/>
              </w:rPr>
            </w:pPr>
          </w:p>
        </w:tc>
        <w:tc>
          <w:tcPr>
            <w:tcW w:w="0" w:type="auto"/>
            <w:shd w:val="clear" w:color="auto" w:fill="auto"/>
          </w:tcPr>
          <w:p w14:paraId="5EA272EC" w14:textId="77777777" w:rsidR="003C66EB" w:rsidRDefault="003C66EB">
            <w:pPr>
              <w:rPr>
                <w:rFonts w:ascii="宋体"/>
                <w:vanish/>
              </w:rPr>
            </w:pPr>
          </w:p>
        </w:tc>
        <w:tc>
          <w:tcPr>
            <w:tcW w:w="0" w:type="auto"/>
            <w:shd w:val="clear" w:color="auto" w:fill="auto"/>
          </w:tcPr>
          <w:p w14:paraId="5EA272ED" w14:textId="77777777" w:rsidR="003C66EB" w:rsidRDefault="003C66EB">
            <w:pPr>
              <w:rPr>
                <w:rFonts w:ascii="宋体"/>
                <w:vanish/>
              </w:rPr>
            </w:pPr>
          </w:p>
        </w:tc>
        <w:tc>
          <w:tcPr>
            <w:tcW w:w="0" w:type="auto"/>
            <w:shd w:val="clear" w:color="auto" w:fill="auto"/>
          </w:tcPr>
          <w:p w14:paraId="5EA272EE" w14:textId="77777777" w:rsidR="003C66EB" w:rsidRDefault="003C66EB">
            <w:pPr>
              <w:rPr>
                <w:rFonts w:ascii="宋体"/>
                <w:vanish/>
              </w:rPr>
            </w:pPr>
          </w:p>
        </w:tc>
        <w:tc>
          <w:tcPr>
            <w:tcW w:w="0" w:type="auto"/>
            <w:gridSpan w:val="3"/>
            <w:shd w:val="clear" w:color="auto" w:fill="auto"/>
          </w:tcPr>
          <w:p w14:paraId="5EA272EF" w14:textId="77777777" w:rsidR="003C66EB" w:rsidRDefault="003C66EB">
            <w:pPr>
              <w:rPr>
                <w:rFonts w:ascii="宋体"/>
                <w:vanish/>
              </w:rPr>
            </w:pPr>
          </w:p>
        </w:tc>
        <w:tc>
          <w:tcPr>
            <w:tcW w:w="0" w:type="auto"/>
            <w:gridSpan w:val="3"/>
            <w:shd w:val="clear" w:color="auto" w:fill="auto"/>
          </w:tcPr>
          <w:p w14:paraId="5EA272F0" w14:textId="77777777" w:rsidR="003C66EB" w:rsidRDefault="003C66EB">
            <w:pPr>
              <w:rPr>
                <w:rFonts w:ascii="宋体"/>
                <w:vanish/>
              </w:rPr>
            </w:pPr>
          </w:p>
        </w:tc>
        <w:tc>
          <w:tcPr>
            <w:tcW w:w="0" w:type="auto"/>
            <w:gridSpan w:val="3"/>
            <w:shd w:val="clear" w:color="auto" w:fill="auto"/>
          </w:tcPr>
          <w:p w14:paraId="5EA272F1" w14:textId="77777777" w:rsidR="003C66EB" w:rsidRDefault="003C66EB">
            <w:pPr>
              <w:rPr>
                <w:rFonts w:ascii="宋体"/>
                <w:vanish/>
              </w:rPr>
            </w:pPr>
          </w:p>
        </w:tc>
        <w:tc>
          <w:tcPr>
            <w:tcW w:w="0" w:type="auto"/>
            <w:gridSpan w:val="3"/>
            <w:shd w:val="clear" w:color="auto" w:fill="auto"/>
          </w:tcPr>
          <w:p w14:paraId="5EA272F2" w14:textId="77777777" w:rsidR="003C66EB" w:rsidRDefault="003C66EB">
            <w:pPr>
              <w:rPr>
                <w:rFonts w:ascii="宋体"/>
                <w:vanish/>
              </w:rPr>
            </w:pPr>
          </w:p>
        </w:tc>
        <w:tc>
          <w:tcPr>
            <w:tcW w:w="0" w:type="auto"/>
            <w:gridSpan w:val="3"/>
            <w:shd w:val="clear" w:color="auto" w:fill="auto"/>
          </w:tcPr>
          <w:p w14:paraId="5EA272F3" w14:textId="77777777" w:rsidR="003C66EB" w:rsidRDefault="003C66EB">
            <w:pPr>
              <w:rPr>
                <w:rFonts w:ascii="宋体"/>
                <w:vanish/>
              </w:rPr>
            </w:pPr>
          </w:p>
        </w:tc>
      </w:tr>
      <w:tr w:rsidR="003C66EB" w14:paraId="5EA27300" w14:textId="77777777">
        <w:tc>
          <w:tcPr>
            <w:tcW w:w="0" w:type="auto"/>
            <w:gridSpan w:val="3"/>
            <w:shd w:val="clear" w:color="auto" w:fill="FFFFFF"/>
            <w:tcMar>
              <w:top w:w="40" w:type="dxa"/>
              <w:left w:w="20" w:type="dxa"/>
              <w:bottom w:w="40" w:type="dxa"/>
              <w:right w:w="20" w:type="dxa"/>
            </w:tcMar>
            <w:vAlign w:val="bottom"/>
          </w:tcPr>
          <w:p w14:paraId="5EA272F5" w14:textId="77777777" w:rsidR="003C66EB" w:rsidRDefault="00D96C4E">
            <w:pPr>
              <w:textAlignment w:val="bottom"/>
            </w:pPr>
            <w:r>
              <w:rPr>
                <w:rFonts w:ascii="Arial" w:eastAsia="宋体" w:hAnsi="Arial" w:cs="Arial"/>
                <w:color w:val="000000"/>
                <w:sz w:val="13"/>
                <w:szCs w:val="13"/>
              </w:rPr>
              <w:t>Securities purchased under resale agreements</w:t>
            </w:r>
          </w:p>
        </w:tc>
        <w:tc>
          <w:tcPr>
            <w:tcW w:w="0" w:type="auto"/>
            <w:shd w:val="clear" w:color="auto" w:fill="auto"/>
          </w:tcPr>
          <w:p w14:paraId="5EA272F6" w14:textId="77777777" w:rsidR="003C66EB" w:rsidRDefault="003C66EB">
            <w:pPr>
              <w:rPr>
                <w:rFonts w:ascii="宋体"/>
                <w:vanish/>
              </w:rPr>
            </w:pPr>
          </w:p>
        </w:tc>
        <w:tc>
          <w:tcPr>
            <w:tcW w:w="0" w:type="auto"/>
            <w:shd w:val="clear" w:color="auto" w:fill="auto"/>
          </w:tcPr>
          <w:p w14:paraId="5EA272F7" w14:textId="77777777" w:rsidR="003C66EB" w:rsidRDefault="003C66EB">
            <w:pPr>
              <w:rPr>
                <w:rFonts w:ascii="宋体"/>
                <w:vanish/>
              </w:rPr>
            </w:pPr>
          </w:p>
        </w:tc>
        <w:tc>
          <w:tcPr>
            <w:tcW w:w="0" w:type="auto"/>
            <w:shd w:val="clear" w:color="auto" w:fill="auto"/>
          </w:tcPr>
          <w:p w14:paraId="5EA272F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2F9" w14:textId="77777777" w:rsidR="003C66EB" w:rsidRDefault="00D96C4E">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2F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2F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2FC" w14:textId="77777777" w:rsidR="003C66EB" w:rsidRDefault="00D96C4E">
            <w:pPr>
              <w:jc w:val="right"/>
              <w:textAlignment w:val="bottom"/>
            </w:pPr>
            <w:r>
              <w:rPr>
                <w:rFonts w:ascii="Arial" w:eastAsia="宋体" w:hAnsi="Arial" w:cs="Arial"/>
                <w:color w:val="000000"/>
                <w:sz w:val="13"/>
                <w:szCs w:val="13"/>
              </w:rPr>
              <w:t>65 </w:t>
            </w:r>
          </w:p>
        </w:tc>
        <w:tc>
          <w:tcPr>
            <w:tcW w:w="0" w:type="auto"/>
            <w:shd w:val="clear" w:color="auto" w:fill="FFFFFF"/>
            <w:tcMar>
              <w:top w:w="40" w:type="dxa"/>
              <w:left w:w="0" w:type="dxa"/>
              <w:bottom w:w="40" w:type="dxa"/>
              <w:right w:w="20" w:type="dxa"/>
            </w:tcMar>
            <w:vAlign w:val="bottom"/>
          </w:tcPr>
          <w:p w14:paraId="5EA272FD" w14:textId="77777777" w:rsidR="003C66EB" w:rsidRDefault="003C66EB">
            <w:pPr>
              <w:jc w:val="right"/>
              <w:rPr>
                <w:rFonts w:ascii="宋体"/>
              </w:rPr>
            </w:pPr>
          </w:p>
        </w:tc>
        <w:tc>
          <w:tcPr>
            <w:tcW w:w="0" w:type="auto"/>
            <w:gridSpan w:val="3"/>
            <w:shd w:val="clear" w:color="auto" w:fill="auto"/>
          </w:tcPr>
          <w:p w14:paraId="5EA272FE" w14:textId="77777777" w:rsidR="003C66EB" w:rsidRDefault="003C66EB">
            <w:pPr>
              <w:rPr>
                <w:rFonts w:ascii="宋体"/>
                <w:vanish/>
              </w:rPr>
            </w:pPr>
          </w:p>
        </w:tc>
        <w:tc>
          <w:tcPr>
            <w:tcW w:w="0" w:type="auto"/>
            <w:gridSpan w:val="3"/>
            <w:shd w:val="clear" w:color="auto" w:fill="auto"/>
          </w:tcPr>
          <w:p w14:paraId="5EA272FF" w14:textId="77777777" w:rsidR="003C66EB" w:rsidRDefault="003C66EB">
            <w:pPr>
              <w:rPr>
                <w:rFonts w:ascii="宋体"/>
                <w:vanish/>
              </w:rPr>
            </w:pPr>
          </w:p>
        </w:tc>
      </w:tr>
      <w:tr w:rsidR="003C66EB" w14:paraId="5EA2730C" w14:textId="77777777">
        <w:tc>
          <w:tcPr>
            <w:tcW w:w="0" w:type="auto"/>
            <w:gridSpan w:val="3"/>
            <w:shd w:val="clear" w:color="auto" w:fill="CCEEFF"/>
            <w:tcMar>
              <w:top w:w="40" w:type="dxa"/>
              <w:left w:w="20" w:type="dxa"/>
              <w:bottom w:w="40" w:type="dxa"/>
              <w:right w:w="20" w:type="dxa"/>
            </w:tcMar>
            <w:vAlign w:val="bottom"/>
          </w:tcPr>
          <w:p w14:paraId="5EA27301" w14:textId="77777777" w:rsidR="003C66EB" w:rsidRDefault="00D96C4E">
            <w:pPr>
              <w:textAlignment w:val="bottom"/>
            </w:pPr>
            <w:r>
              <w:rPr>
                <w:rFonts w:ascii="Arial" w:eastAsia="宋体" w:hAnsi="Arial" w:cs="Arial"/>
                <w:color w:val="000000"/>
                <w:sz w:val="13"/>
                <w:szCs w:val="13"/>
              </w:rPr>
              <w:t>Loans</w:t>
            </w:r>
          </w:p>
        </w:tc>
        <w:tc>
          <w:tcPr>
            <w:tcW w:w="0" w:type="auto"/>
            <w:shd w:val="clear" w:color="auto" w:fill="auto"/>
          </w:tcPr>
          <w:p w14:paraId="5EA27302" w14:textId="77777777" w:rsidR="003C66EB" w:rsidRDefault="003C66EB">
            <w:pPr>
              <w:rPr>
                <w:rFonts w:ascii="宋体"/>
                <w:vanish/>
              </w:rPr>
            </w:pPr>
          </w:p>
        </w:tc>
        <w:tc>
          <w:tcPr>
            <w:tcW w:w="0" w:type="auto"/>
            <w:shd w:val="clear" w:color="auto" w:fill="auto"/>
          </w:tcPr>
          <w:p w14:paraId="5EA27303" w14:textId="77777777" w:rsidR="003C66EB" w:rsidRDefault="003C66EB">
            <w:pPr>
              <w:rPr>
                <w:rFonts w:ascii="宋体"/>
                <w:vanish/>
              </w:rPr>
            </w:pPr>
          </w:p>
        </w:tc>
        <w:tc>
          <w:tcPr>
            <w:tcW w:w="0" w:type="auto"/>
            <w:shd w:val="clear" w:color="auto" w:fill="auto"/>
          </w:tcPr>
          <w:p w14:paraId="5EA27304"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305" w14:textId="77777777" w:rsidR="003C66EB" w:rsidRDefault="00D96C4E">
            <w:pPr>
              <w:jc w:val="right"/>
              <w:textAlignment w:val="bottom"/>
            </w:pPr>
            <w:r>
              <w:rPr>
                <w:rFonts w:ascii="Arial" w:eastAsia="宋体" w:hAnsi="Arial" w:cs="Arial"/>
                <w:b/>
                <w:bCs/>
                <w:color w:val="000000"/>
                <w:sz w:val="13"/>
                <w:szCs w:val="13"/>
              </w:rPr>
              <w:t>141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30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0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308" w14:textId="77777777" w:rsidR="003C66EB" w:rsidRDefault="00D96C4E">
            <w:pPr>
              <w:jc w:val="right"/>
              <w:textAlignment w:val="bottom"/>
            </w:pPr>
            <w:r>
              <w:rPr>
                <w:rFonts w:ascii="Arial" w:eastAsia="宋体" w:hAnsi="Arial" w:cs="Arial"/>
                <w:color w:val="000000"/>
                <w:sz w:val="13"/>
                <w:szCs w:val="13"/>
              </w:rPr>
              <w:t>184 </w:t>
            </w:r>
          </w:p>
        </w:tc>
        <w:tc>
          <w:tcPr>
            <w:tcW w:w="0" w:type="auto"/>
            <w:shd w:val="clear" w:color="auto" w:fill="CCEEFF"/>
            <w:tcMar>
              <w:top w:w="40" w:type="dxa"/>
              <w:left w:w="0" w:type="dxa"/>
              <w:bottom w:w="40" w:type="dxa"/>
              <w:right w:w="20" w:type="dxa"/>
            </w:tcMar>
            <w:vAlign w:val="bottom"/>
          </w:tcPr>
          <w:p w14:paraId="5EA27309" w14:textId="77777777" w:rsidR="003C66EB" w:rsidRDefault="003C66EB">
            <w:pPr>
              <w:jc w:val="right"/>
              <w:rPr>
                <w:rFonts w:ascii="宋体"/>
              </w:rPr>
            </w:pPr>
          </w:p>
        </w:tc>
        <w:tc>
          <w:tcPr>
            <w:tcW w:w="0" w:type="auto"/>
            <w:gridSpan w:val="3"/>
            <w:shd w:val="clear" w:color="auto" w:fill="auto"/>
          </w:tcPr>
          <w:p w14:paraId="5EA2730A" w14:textId="77777777" w:rsidR="003C66EB" w:rsidRDefault="003C66EB">
            <w:pPr>
              <w:rPr>
                <w:rFonts w:ascii="宋体"/>
                <w:vanish/>
              </w:rPr>
            </w:pPr>
          </w:p>
        </w:tc>
        <w:tc>
          <w:tcPr>
            <w:tcW w:w="0" w:type="auto"/>
            <w:gridSpan w:val="3"/>
            <w:shd w:val="clear" w:color="auto" w:fill="auto"/>
          </w:tcPr>
          <w:p w14:paraId="5EA2730B" w14:textId="77777777" w:rsidR="003C66EB" w:rsidRDefault="003C66EB">
            <w:pPr>
              <w:rPr>
                <w:rFonts w:ascii="宋体"/>
                <w:vanish/>
              </w:rPr>
            </w:pPr>
          </w:p>
        </w:tc>
      </w:tr>
      <w:tr w:rsidR="003C66EB" w14:paraId="5EA27318" w14:textId="77777777">
        <w:tc>
          <w:tcPr>
            <w:tcW w:w="0" w:type="auto"/>
            <w:gridSpan w:val="3"/>
            <w:shd w:val="clear" w:color="auto" w:fill="FFFFFF"/>
            <w:tcMar>
              <w:top w:w="40" w:type="dxa"/>
              <w:left w:w="20" w:type="dxa"/>
              <w:bottom w:w="40" w:type="dxa"/>
              <w:right w:w="20" w:type="dxa"/>
            </w:tcMar>
            <w:vAlign w:val="bottom"/>
          </w:tcPr>
          <w:p w14:paraId="5EA2730D" w14:textId="77777777" w:rsidR="003C66EB" w:rsidRDefault="00D96C4E">
            <w:pPr>
              <w:textAlignment w:val="bottom"/>
            </w:pPr>
            <w:r>
              <w:rPr>
                <w:rFonts w:ascii="Arial" w:eastAsia="宋体" w:hAnsi="Arial" w:cs="Arial"/>
                <w:color w:val="000000"/>
                <w:sz w:val="13"/>
                <w:szCs w:val="13"/>
              </w:rPr>
              <w:t>Other interest-earning assets</w:t>
            </w:r>
          </w:p>
        </w:tc>
        <w:tc>
          <w:tcPr>
            <w:tcW w:w="0" w:type="auto"/>
            <w:shd w:val="clear" w:color="auto" w:fill="auto"/>
          </w:tcPr>
          <w:p w14:paraId="5EA2730E" w14:textId="77777777" w:rsidR="003C66EB" w:rsidRDefault="003C66EB">
            <w:pPr>
              <w:rPr>
                <w:rFonts w:ascii="宋体"/>
                <w:vanish/>
              </w:rPr>
            </w:pPr>
          </w:p>
        </w:tc>
        <w:tc>
          <w:tcPr>
            <w:tcW w:w="0" w:type="auto"/>
            <w:shd w:val="clear" w:color="auto" w:fill="auto"/>
          </w:tcPr>
          <w:p w14:paraId="5EA2730F" w14:textId="77777777" w:rsidR="003C66EB" w:rsidRDefault="003C66EB">
            <w:pPr>
              <w:rPr>
                <w:rFonts w:ascii="宋体"/>
                <w:vanish/>
              </w:rPr>
            </w:pPr>
          </w:p>
        </w:tc>
        <w:tc>
          <w:tcPr>
            <w:tcW w:w="0" w:type="auto"/>
            <w:shd w:val="clear" w:color="auto" w:fill="auto"/>
          </w:tcPr>
          <w:p w14:paraId="5EA2731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311" w14:textId="77777777" w:rsidR="003C66EB" w:rsidRDefault="00D96C4E">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31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1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314" w14:textId="77777777" w:rsidR="003C66EB" w:rsidRDefault="00D96C4E">
            <w:pPr>
              <w:jc w:val="right"/>
              <w:textAlignment w:val="bottom"/>
            </w:pPr>
            <w:r>
              <w:rPr>
                <w:rFonts w:ascii="Arial" w:eastAsia="宋体" w:hAnsi="Arial" w:cs="Arial"/>
                <w:color w:val="000000"/>
                <w:sz w:val="13"/>
                <w:szCs w:val="13"/>
              </w:rPr>
              <w:t>46 </w:t>
            </w:r>
          </w:p>
        </w:tc>
        <w:tc>
          <w:tcPr>
            <w:tcW w:w="0" w:type="auto"/>
            <w:shd w:val="clear" w:color="auto" w:fill="FFFFFF"/>
            <w:tcMar>
              <w:top w:w="40" w:type="dxa"/>
              <w:left w:w="0" w:type="dxa"/>
              <w:bottom w:w="40" w:type="dxa"/>
              <w:right w:w="20" w:type="dxa"/>
            </w:tcMar>
            <w:vAlign w:val="bottom"/>
          </w:tcPr>
          <w:p w14:paraId="5EA27315" w14:textId="77777777" w:rsidR="003C66EB" w:rsidRDefault="003C66EB">
            <w:pPr>
              <w:jc w:val="right"/>
              <w:rPr>
                <w:rFonts w:ascii="宋体"/>
              </w:rPr>
            </w:pPr>
          </w:p>
        </w:tc>
        <w:tc>
          <w:tcPr>
            <w:tcW w:w="0" w:type="auto"/>
            <w:gridSpan w:val="3"/>
            <w:shd w:val="clear" w:color="auto" w:fill="auto"/>
          </w:tcPr>
          <w:p w14:paraId="5EA27316" w14:textId="77777777" w:rsidR="003C66EB" w:rsidRDefault="003C66EB">
            <w:pPr>
              <w:rPr>
                <w:rFonts w:ascii="宋体"/>
                <w:vanish/>
              </w:rPr>
            </w:pPr>
          </w:p>
        </w:tc>
        <w:tc>
          <w:tcPr>
            <w:tcW w:w="0" w:type="auto"/>
            <w:gridSpan w:val="3"/>
            <w:shd w:val="clear" w:color="auto" w:fill="auto"/>
          </w:tcPr>
          <w:p w14:paraId="5EA27317" w14:textId="77777777" w:rsidR="003C66EB" w:rsidRDefault="003C66EB">
            <w:pPr>
              <w:rPr>
                <w:rFonts w:ascii="宋体"/>
                <w:vanish/>
              </w:rPr>
            </w:pPr>
          </w:p>
        </w:tc>
      </w:tr>
      <w:tr w:rsidR="003C66EB" w14:paraId="5EA27324" w14:textId="77777777">
        <w:tc>
          <w:tcPr>
            <w:tcW w:w="0" w:type="auto"/>
            <w:gridSpan w:val="3"/>
            <w:shd w:val="clear" w:color="auto" w:fill="CCEEFF"/>
            <w:tcMar>
              <w:top w:w="40" w:type="dxa"/>
              <w:left w:w="20" w:type="dxa"/>
              <w:bottom w:w="40" w:type="dxa"/>
              <w:right w:w="20" w:type="dxa"/>
            </w:tcMar>
            <w:vAlign w:val="bottom"/>
          </w:tcPr>
          <w:p w14:paraId="5EA27319" w14:textId="77777777" w:rsidR="003C66EB" w:rsidRDefault="00D96C4E">
            <w:pPr>
              <w:textAlignment w:val="bottom"/>
            </w:pPr>
            <w:r>
              <w:rPr>
                <w:rFonts w:ascii="Arial" w:eastAsia="宋体" w:hAnsi="Arial" w:cs="Arial"/>
                <w:color w:val="000000"/>
                <w:sz w:val="13"/>
                <w:szCs w:val="13"/>
              </w:rPr>
              <w:t>Total interest income</w:t>
            </w:r>
          </w:p>
        </w:tc>
        <w:tc>
          <w:tcPr>
            <w:tcW w:w="0" w:type="auto"/>
            <w:shd w:val="clear" w:color="auto" w:fill="auto"/>
          </w:tcPr>
          <w:p w14:paraId="5EA2731A" w14:textId="77777777" w:rsidR="003C66EB" w:rsidRDefault="003C66EB">
            <w:pPr>
              <w:rPr>
                <w:rFonts w:ascii="宋体"/>
                <w:vanish/>
              </w:rPr>
            </w:pPr>
          </w:p>
        </w:tc>
        <w:tc>
          <w:tcPr>
            <w:tcW w:w="0" w:type="auto"/>
            <w:shd w:val="clear" w:color="auto" w:fill="auto"/>
          </w:tcPr>
          <w:p w14:paraId="5EA2731B" w14:textId="77777777" w:rsidR="003C66EB" w:rsidRDefault="003C66EB">
            <w:pPr>
              <w:rPr>
                <w:rFonts w:ascii="宋体"/>
                <w:vanish/>
              </w:rPr>
            </w:pPr>
          </w:p>
        </w:tc>
        <w:tc>
          <w:tcPr>
            <w:tcW w:w="0" w:type="auto"/>
            <w:shd w:val="clear" w:color="auto" w:fill="auto"/>
          </w:tcPr>
          <w:p w14:paraId="5EA2731C"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31D" w14:textId="77777777" w:rsidR="003C66EB" w:rsidRDefault="00D96C4E">
            <w:pPr>
              <w:jc w:val="right"/>
              <w:textAlignment w:val="bottom"/>
            </w:pPr>
            <w:r>
              <w:rPr>
                <w:rFonts w:ascii="Arial" w:eastAsia="宋体" w:hAnsi="Arial" w:cs="Arial"/>
                <w:b/>
                <w:bCs/>
                <w:color w:val="000000"/>
                <w:sz w:val="13"/>
                <w:szCs w:val="13"/>
              </w:rPr>
              <w:t>471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3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1F"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320" w14:textId="77777777" w:rsidR="003C66EB" w:rsidRDefault="00D96C4E">
            <w:pPr>
              <w:jc w:val="right"/>
              <w:textAlignment w:val="bottom"/>
            </w:pPr>
            <w:r>
              <w:rPr>
                <w:rFonts w:ascii="Arial" w:eastAsia="宋体" w:hAnsi="Arial" w:cs="Arial"/>
                <w:color w:val="000000"/>
                <w:sz w:val="13"/>
                <w:szCs w:val="13"/>
              </w:rPr>
              <w:t>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321" w14:textId="77777777" w:rsidR="003C66EB" w:rsidRDefault="003C66EB">
            <w:pPr>
              <w:jc w:val="right"/>
              <w:rPr>
                <w:rFonts w:ascii="宋体"/>
              </w:rPr>
            </w:pPr>
          </w:p>
        </w:tc>
        <w:tc>
          <w:tcPr>
            <w:tcW w:w="0" w:type="auto"/>
            <w:gridSpan w:val="3"/>
            <w:shd w:val="clear" w:color="auto" w:fill="auto"/>
          </w:tcPr>
          <w:p w14:paraId="5EA27322" w14:textId="77777777" w:rsidR="003C66EB" w:rsidRDefault="003C66EB">
            <w:pPr>
              <w:rPr>
                <w:rFonts w:ascii="宋体"/>
                <w:vanish/>
              </w:rPr>
            </w:pPr>
          </w:p>
        </w:tc>
        <w:tc>
          <w:tcPr>
            <w:tcW w:w="0" w:type="auto"/>
            <w:gridSpan w:val="3"/>
            <w:shd w:val="clear" w:color="auto" w:fill="auto"/>
          </w:tcPr>
          <w:p w14:paraId="5EA27323" w14:textId="77777777" w:rsidR="003C66EB" w:rsidRDefault="003C66EB">
            <w:pPr>
              <w:rPr>
                <w:rFonts w:ascii="宋体"/>
                <w:vanish/>
              </w:rPr>
            </w:pPr>
          </w:p>
        </w:tc>
      </w:tr>
      <w:tr w:rsidR="003C66EB" w14:paraId="5EA2732E" w14:textId="77777777">
        <w:tc>
          <w:tcPr>
            <w:tcW w:w="0" w:type="auto"/>
            <w:gridSpan w:val="3"/>
            <w:shd w:val="clear" w:color="auto" w:fill="FFFFFF"/>
            <w:tcMar>
              <w:top w:w="40" w:type="dxa"/>
              <w:left w:w="20" w:type="dxa"/>
              <w:bottom w:w="40" w:type="dxa"/>
              <w:right w:w="20" w:type="dxa"/>
            </w:tcMar>
            <w:vAlign w:val="bottom"/>
          </w:tcPr>
          <w:p w14:paraId="5EA27325" w14:textId="77777777" w:rsidR="003C66EB" w:rsidRDefault="00D96C4E">
            <w:pPr>
              <w:textAlignment w:val="bottom"/>
            </w:pPr>
            <w:r>
              <w:rPr>
                <w:rFonts w:ascii="Arial" w:eastAsia="宋体" w:hAnsi="Arial" w:cs="Arial"/>
                <w:b/>
                <w:bCs/>
                <w:color w:val="000000"/>
                <w:sz w:val="13"/>
                <w:szCs w:val="13"/>
              </w:rPr>
              <w:t>Interest expense:</w:t>
            </w:r>
          </w:p>
        </w:tc>
        <w:tc>
          <w:tcPr>
            <w:tcW w:w="0" w:type="auto"/>
            <w:shd w:val="clear" w:color="auto" w:fill="auto"/>
          </w:tcPr>
          <w:p w14:paraId="5EA27326" w14:textId="77777777" w:rsidR="003C66EB" w:rsidRDefault="003C66EB">
            <w:pPr>
              <w:rPr>
                <w:rFonts w:ascii="宋体"/>
                <w:vanish/>
              </w:rPr>
            </w:pPr>
          </w:p>
        </w:tc>
        <w:tc>
          <w:tcPr>
            <w:tcW w:w="0" w:type="auto"/>
            <w:shd w:val="clear" w:color="auto" w:fill="auto"/>
          </w:tcPr>
          <w:p w14:paraId="5EA27327" w14:textId="77777777" w:rsidR="003C66EB" w:rsidRDefault="003C66EB">
            <w:pPr>
              <w:rPr>
                <w:rFonts w:ascii="宋体"/>
                <w:vanish/>
              </w:rPr>
            </w:pPr>
          </w:p>
        </w:tc>
        <w:tc>
          <w:tcPr>
            <w:tcW w:w="0" w:type="auto"/>
            <w:shd w:val="clear" w:color="auto" w:fill="auto"/>
          </w:tcPr>
          <w:p w14:paraId="5EA27328" w14:textId="77777777" w:rsidR="003C66EB" w:rsidRDefault="003C66EB">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7329" w14:textId="77777777" w:rsidR="003C66EB" w:rsidRDefault="003C66EB">
            <w:pPr>
              <w:rPr>
                <w:rFonts w:ascii="宋体"/>
              </w:rPr>
            </w:pPr>
          </w:p>
        </w:tc>
        <w:tc>
          <w:tcPr>
            <w:tcW w:w="0" w:type="auto"/>
            <w:gridSpan w:val="3"/>
            <w:shd w:val="clear" w:color="auto" w:fill="FFFFFF"/>
            <w:tcMar>
              <w:top w:w="0" w:type="dxa"/>
              <w:left w:w="20" w:type="dxa"/>
              <w:bottom w:w="0" w:type="dxa"/>
              <w:right w:w="20" w:type="dxa"/>
            </w:tcMar>
          </w:tcPr>
          <w:p w14:paraId="5EA2732A" w14:textId="77777777" w:rsidR="003C66EB" w:rsidRDefault="003C66E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5EA2732B" w14:textId="77777777" w:rsidR="003C66EB" w:rsidRDefault="003C66EB">
            <w:pPr>
              <w:rPr>
                <w:rFonts w:ascii="宋体"/>
              </w:rPr>
            </w:pPr>
          </w:p>
        </w:tc>
        <w:tc>
          <w:tcPr>
            <w:tcW w:w="0" w:type="auto"/>
            <w:gridSpan w:val="3"/>
            <w:shd w:val="clear" w:color="auto" w:fill="auto"/>
          </w:tcPr>
          <w:p w14:paraId="5EA2732C" w14:textId="77777777" w:rsidR="003C66EB" w:rsidRDefault="003C66EB">
            <w:pPr>
              <w:rPr>
                <w:rFonts w:ascii="宋体"/>
                <w:vanish/>
              </w:rPr>
            </w:pPr>
          </w:p>
        </w:tc>
        <w:tc>
          <w:tcPr>
            <w:tcW w:w="0" w:type="auto"/>
            <w:gridSpan w:val="3"/>
            <w:shd w:val="clear" w:color="auto" w:fill="auto"/>
          </w:tcPr>
          <w:p w14:paraId="5EA2732D" w14:textId="77777777" w:rsidR="003C66EB" w:rsidRDefault="003C66EB">
            <w:pPr>
              <w:rPr>
                <w:rFonts w:ascii="宋体"/>
                <w:vanish/>
              </w:rPr>
            </w:pPr>
          </w:p>
        </w:tc>
      </w:tr>
      <w:tr w:rsidR="003C66EB" w14:paraId="5EA2733A" w14:textId="77777777">
        <w:tc>
          <w:tcPr>
            <w:tcW w:w="0" w:type="auto"/>
            <w:gridSpan w:val="3"/>
            <w:shd w:val="clear" w:color="auto" w:fill="CCEEFF"/>
            <w:tcMar>
              <w:top w:w="40" w:type="dxa"/>
              <w:left w:w="20" w:type="dxa"/>
              <w:bottom w:w="40" w:type="dxa"/>
              <w:right w:w="20" w:type="dxa"/>
            </w:tcMar>
            <w:vAlign w:val="bottom"/>
          </w:tcPr>
          <w:p w14:paraId="5EA2732F" w14:textId="77777777" w:rsidR="003C66EB" w:rsidRDefault="00D96C4E">
            <w:pPr>
              <w:textAlignment w:val="bottom"/>
            </w:pPr>
            <w:r>
              <w:rPr>
                <w:rFonts w:ascii="Arial" w:eastAsia="宋体" w:hAnsi="Arial" w:cs="Arial"/>
                <w:color w:val="000000"/>
                <w:sz w:val="13"/>
                <w:szCs w:val="13"/>
              </w:rPr>
              <w:t>Interest-bearing deposits</w:t>
            </w:r>
          </w:p>
        </w:tc>
        <w:tc>
          <w:tcPr>
            <w:tcW w:w="0" w:type="auto"/>
            <w:shd w:val="clear" w:color="auto" w:fill="auto"/>
          </w:tcPr>
          <w:p w14:paraId="5EA27330" w14:textId="77777777" w:rsidR="003C66EB" w:rsidRDefault="003C66EB">
            <w:pPr>
              <w:rPr>
                <w:rFonts w:ascii="宋体"/>
                <w:vanish/>
              </w:rPr>
            </w:pPr>
          </w:p>
        </w:tc>
        <w:tc>
          <w:tcPr>
            <w:tcW w:w="0" w:type="auto"/>
            <w:shd w:val="clear" w:color="auto" w:fill="auto"/>
          </w:tcPr>
          <w:p w14:paraId="5EA27331" w14:textId="77777777" w:rsidR="003C66EB" w:rsidRDefault="003C66EB">
            <w:pPr>
              <w:rPr>
                <w:rFonts w:ascii="宋体"/>
                <w:vanish/>
              </w:rPr>
            </w:pPr>
          </w:p>
        </w:tc>
        <w:tc>
          <w:tcPr>
            <w:tcW w:w="0" w:type="auto"/>
            <w:shd w:val="clear" w:color="auto" w:fill="auto"/>
          </w:tcPr>
          <w:p w14:paraId="5EA2733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333" w14:textId="77777777" w:rsidR="003C66EB" w:rsidRDefault="00D96C4E">
            <w:pPr>
              <w:jc w:val="right"/>
              <w:textAlignment w:val="bottom"/>
            </w:pPr>
            <w:r>
              <w:rPr>
                <w:rFonts w:ascii="Arial" w:eastAsia="宋体" w:hAnsi="Arial" w:cs="Arial"/>
                <w:b/>
                <w:bCs/>
                <w:color w:val="000000"/>
                <w:sz w:val="13"/>
                <w:szCs w:val="13"/>
              </w:rPr>
              <w:t>(69)</w:t>
            </w:r>
          </w:p>
        </w:tc>
        <w:tc>
          <w:tcPr>
            <w:tcW w:w="0" w:type="auto"/>
            <w:shd w:val="clear" w:color="auto" w:fill="CCEEFF"/>
            <w:tcMar>
              <w:top w:w="40" w:type="dxa"/>
              <w:left w:w="0" w:type="dxa"/>
              <w:bottom w:w="40" w:type="dxa"/>
              <w:right w:w="20" w:type="dxa"/>
            </w:tcMar>
            <w:vAlign w:val="bottom"/>
          </w:tcPr>
          <w:p w14:paraId="5EA273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3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336" w14:textId="77777777" w:rsidR="003C66EB" w:rsidRDefault="00D96C4E">
            <w:pPr>
              <w:jc w:val="right"/>
              <w:textAlignment w:val="bottom"/>
            </w:pPr>
            <w:r>
              <w:rPr>
                <w:rFonts w:ascii="Arial" w:eastAsia="宋体" w:hAnsi="Arial" w:cs="Arial"/>
                <w:color w:val="000000"/>
                <w:sz w:val="13"/>
                <w:szCs w:val="13"/>
              </w:rPr>
              <w:t>68 </w:t>
            </w:r>
          </w:p>
        </w:tc>
        <w:tc>
          <w:tcPr>
            <w:tcW w:w="0" w:type="auto"/>
            <w:shd w:val="clear" w:color="auto" w:fill="CCEEFF"/>
            <w:tcMar>
              <w:top w:w="40" w:type="dxa"/>
              <w:left w:w="0" w:type="dxa"/>
              <w:bottom w:w="40" w:type="dxa"/>
              <w:right w:w="20" w:type="dxa"/>
            </w:tcMar>
            <w:vAlign w:val="bottom"/>
          </w:tcPr>
          <w:p w14:paraId="5EA27337" w14:textId="77777777" w:rsidR="003C66EB" w:rsidRDefault="003C66EB">
            <w:pPr>
              <w:jc w:val="right"/>
              <w:rPr>
                <w:rFonts w:ascii="宋体"/>
              </w:rPr>
            </w:pPr>
          </w:p>
        </w:tc>
        <w:tc>
          <w:tcPr>
            <w:tcW w:w="0" w:type="auto"/>
            <w:gridSpan w:val="3"/>
            <w:shd w:val="clear" w:color="auto" w:fill="auto"/>
          </w:tcPr>
          <w:p w14:paraId="5EA27338" w14:textId="77777777" w:rsidR="003C66EB" w:rsidRDefault="003C66EB">
            <w:pPr>
              <w:rPr>
                <w:rFonts w:ascii="宋体"/>
                <w:vanish/>
              </w:rPr>
            </w:pPr>
          </w:p>
        </w:tc>
        <w:tc>
          <w:tcPr>
            <w:tcW w:w="0" w:type="auto"/>
            <w:gridSpan w:val="3"/>
            <w:shd w:val="clear" w:color="auto" w:fill="auto"/>
          </w:tcPr>
          <w:p w14:paraId="5EA27339" w14:textId="77777777" w:rsidR="003C66EB" w:rsidRDefault="003C66EB">
            <w:pPr>
              <w:rPr>
                <w:rFonts w:ascii="宋体"/>
                <w:vanish/>
              </w:rPr>
            </w:pPr>
          </w:p>
        </w:tc>
      </w:tr>
      <w:tr w:rsidR="003C66EB" w14:paraId="5EA27346" w14:textId="77777777">
        <w:tc>
          <w:tcPr>
            <w:tcW w:w="0" w:type="auto"/>
            <w:gridSpan w:val="3"/>
            <w:shd w:val="clear" w:color="auto" w:fill="FFFFFF"/>
            <w:tcMar>
              <w:top w:w="40" w:type="dxa"/>
              <w:left w:w="20" w:type="dxa"/>
              <w:bottom w:w="40" w:type="dxa"/>
              <w:right w:w="20" w:type="dxa"/>
            </w:tcMar>
            <w:vAlign w:val="bottom"/>
          </w:tcPr>
          <w:p w14:paraId="5EA2733B" w14:textId="77777777" w:rsidR="003C66EB" w:rsidRDefault="00D96C4E">
            <w:pPr>
              <w:textAlignment w:val="bottom"/>
            </w:pPr>
            <w:r>
              <w:rPr>
                <w:rFonts w:ascii="Arial" w:eastAsia="宋体" w:hAnsi="Arial" w:cs="Arial"/>
                <w:color w:val="000000"/>
                <w:sz w:val="13"/>
                <w:szCs w:val="13"/>
              </w:rPr>
              <w:t>Short term borrowings under money market liquidity facility</w:t>
            </w:r>
          </w:p>
        </w:tc>
        <w:tc>
          <w:tcPr>
            <w:tcW w:w="0" w:type="auto"/>
            <w:shd w:val="clear" w:color="auto" w:fill="auto"/>
          </w:tcPr>
          <w:p w14:paraId="5EA2733C" w14:textId="77777777" w:rsidR="003C66EB" w:rsidRDefault="003C66EB">
            <w:pPr>
              <w:rPr>
                <w:rFonts w:ascii="宋体"/>
                <w:vanish/>
              </w:rPr>
            </w:pPr>
          </w:p>
        </w:tc>
        <w:tc>
          <w:tcPr>
            <w:tcW w:w="0" w:type="auto"/>
            <w:shd w:val="clear" w:color="auto" w:fill="auto"/>
          </w:tcPr>
          <w:p w14:paraId="5EA2733D" w14:textId="77777777" w:rsidR="003C66EB" w:rsidRDefault="003C66EB">
            <w:pPr>
              <w:rPr>
                <w:rFonts w:ascii="宋体"/>
                <w:vanish/>
              </w:rPr>
            </w:pPr>
          </w:p>
        </w:tc>
        <w:tc>
          <w:tcPr>
            <w:tcW w:w="0" w:type="auto"/>
            <w:shd w:val="clear" w:color="auto" w:fill="auto"/>
          </w:tcPr>
          <w:p w14:paraId="5EA2733E"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33F" w14:textId="77777777" w:rsidR="003C66EB" w:rsidRDefault="00D96C4E">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3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342" w14:textId="77777777" w:rsidR="003C66EB" w:rsidRDefault="00D96C4E">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5EA27343" w14:textId="77777777" w:rsidR="003C66EB" w:rsidRDefault="003C66EB">
            <w:pPr>
              <w:jc w:val="right"/>
              <w:rPr>
                <w:rFonts w:ascii="宋体"/>
              </w:rPr>
            </w:pPr>
          </w:p>
        </w:tc>
        <w:tc>
          <w:tcPr>
            <w:tcW w:w="0" w:type="auto"/>
            <w:gridSpan w:val="3"/>
            <w:shd w:val="clear" w:color="auto" w:fill="auto"/>
          </w:tcPr>
          <w:p w14:paraId="5EA27344" w14:textId="77777777" w:rsidR="003C66EB" w:rsidRDefault="003C66EB">
            <w:pPr>
              <w:rPr>
                <w:rFonts w:ascii="宋体"/>
                <w:vanish/>
              </w:rPr>
            </w:pPr>
          </w:p>
        </w:tc>
        <w:tc>
          <w:tcPr>
            <w:tcW w:w="0" w:type="auto"/>
            <w:gridSpan w:val="3"/>
            <w:shd w:val="clear" w:color="auto" w:fill="auto"/>
          </w:tcPr>
          <w:p w14:paraId="5EA27345" w14:textId="77777777" w:rsidR="003C66EB" w:rsidRDefault="003C66EB">
            <w:pPr>
              <w:rPr>
                <w:rFonts w:ascii="宋体"/>
                <w:vanish/>
              </w:rPr>
            </w:pPr>
          </w:p>
        </w:tc>
      </w:tr>
      <w:tr w:rsidR="003C66EB" w14:paraId="5EA27352" w14:textId="77777777">
        <w:tc>
          <w:tcPr>
            <w:tcW w:w="0" w:type="auto"/>
            <w:gridSpan w:val="3"/>
            <w:shd w:val="clear" w:color="auto" w:fill="CCEEFF"/>
            <w:tcMar>
              <w:top w:w="40" w:type="dxa"/>
              <w:left w:w="20" w:type="dxa"/>
              <w:bottom w:w="40" w:type="dxa"/>
              <w:right w:w="20" w:type="dxa"/>
            </w:tcMar>
            <w:vAlign w:val="bottom"/>
          </w:tcPr>
          <w:p w14:paraId="5EA27347" w14:textId="77777777" w:rsidR="003C66EB" w:rsidRDefault="00D96C4E">
            <w:pPr>
              <w:textAlignment w:val="bottom"/>
            </w:pPr>
            <w:r>
              <w:rPr>
                <w:rFonts w:ascii="Arial" w:eastAsia="宋体" w:hAnsi="Arial" w:cs="Arial"/>
                <w:color w:val="000000"/>
                <w:sz w:val="13"/>
                <w:szCs w:val="13"/>
              </w:rPr>
              <w:t>Securities sold under repurchase agreements</w:t>
            </w:r>
          </w:p>
        </w:tc>
        <w:tc>
          <w:tcPr>
            <w:tcW w:w="0" w:type="auto"/>
            <w:shd w:val="clear" w:color="auto" w:fill="auto"/>
          </w:tcPr>
          <w:p w14:paraId="5EA27348" w14:textId="77777777" w:rsidR="003C66EB" w:rsidRDefault="003C66EB">
            <w:pPr>
              <w:rPr>
                <w:rFonts w:ascii="宋体"/>
                <w:vanish/>
              </w:rPr>
            </w:pPr>
          </w:p>
        </w:tc>
        <w:tc>
          <w:tcPr>
            <w:tcW w:w="0" w:type="auto"/>
            <w:shd w:val="clear" w:color="auto" w:fill="auto"/>
          </w:tcPr>
          <w:p w14:paraId="5EA27349" w14:textId="77777777" w:rsidR="003C66EB" w:rsidRDefault="003C66EB">
            <w:pPr>
              <w:rPr>
                <w:rFonts w:ascii="宋体"/>
                <w:vanish/>
              </w:rPr>
            </w:pPr>
          </w:p>
        </w:tc>
        <w:tc>
          <w:tcPr>
            <w:tcW w:w="0" w:type="auto"/>
            <w:shd w:val="clear" w:color="auto" w:fill="auto"/>
          </w:tcPr>
          <w:p w14:paraId="5EA2734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34B"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34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4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34E" w14:textId="77777777" w:rsidR="003C66EB" w:rsidRDefault="00D96C4E">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5EA2734F" w14:textId="77777777" w:rsidR="003C66EB" w:rsidRDefault="003C66EB">
            <w:pPr>
              <w:jc w:val="right"/>
              <w:rPr>
                <w:rFonts w:ascii="宋体"/>
              </w:rPr>
            </w:pPr>
          </w:p>
        </w:tc>
        <w:tc>
          <w:tcPr>
            <w:tcW w:w="0" w:type="auto"/>
            <w:gridSpan w:val="3"/>
            <w:shd w:val="clear" w:color="auto" w:fill="auto"/>
          </w:tcPr>
          <w:p w14:paraId="5EA27350" w14:textId="77777777" w:rsidR="003C66EB" w:rsidRDefault="003C66EB">
            <w:pPr>
              <w:rPr>
                <w:rFonts w:ascii="宋体"/>
                <w:vanish/>
              </w:rPr>
            </w:pPr>
          </w:p>
        </w:tc>
        <w:tc>
          <w:tcPr>
            <w:tcW w:w="0" w:type="auto"/>
            <w:gridSpan w:val="3"/>
            <w:shd w:val="clear" w:color="auto" w:fill="auto"/>
          </w:tcPr>
          <w:p w14:paraId="5EA27351" w14:textId="77777777" w:rsidR="003C66EB" w:rsidRDefault="003C66EB">
            <w:pPr>
              <w:rPr>
                <w:rFonts w:ascii="宋体"/>
                <w:vanish/>
              </w:rPr>
            </w:pPr>
          </w:p>
        </w:tc>
      </w:tr>
      <w:tr w:rsidR="003C66EB" w14:paraId="5EA2735E" w14:textId="77777777">
        <w:tc>
          <w:tcPr>
            <w:tcW w:w="0" w:type="auto"/>
            <w:gridSpan w:val="3"/>
            <w:shd w:val="clear" w:color="auto" w:fill="FFFFFF"/>
            <w:tcMar>
              <w:top w:w="40" w:type="dxa"/>
              <w:left w:w="20" w:type="dxa"/>
              <w:bottom w:w="40" w:type="dxa"/>
              <w:right w:w="20" w:type="dxa"/>
            </w:tcMar>
            <w:vAlign w:val="bottom"/>
          </w:tcPr>
          <w:p w14:paraId="5EA27353" w14:textId="77777777" w:rsidR="003C66EB" w:rsidRDefault="00D96C4E">
            <w:pPr>
              <w:textAlignment w:val="bottom"/>
            </w:pPr>
            <w:r>
              <w:rPr>
                <w:rFonts w:ascii="Arial" w:eastAsia="宋体" w:hAnsi="Arial" w:cs="Arial"/>
                <w:color w:val="000000"/>
                <w:sz w:val="13"/>
                <w:szCs w:val="13"/>
              </w:rPr>
              <w:t>Other short-term borrowings</w:t>
            </w:r>
          </w:p>
        </w:tc>
        <w:tc>
          <w:tcPr>
            <w:tcW w:w="0" w:type="auto"/>
            <w:shd w:val="clear" w:color="auto" w:fill="auto"/>
          </w:tcPr>
          <w:p w14:paraId="5EA27354" w14:textId="77777777" w:rsidR="003C66EB" w:rsidRDefault="003C66EB">
            <w:pPr>
              <w:rPr>
                <w:rFonts w:ascii="宋体"/>
                <w:vanish/>
              </w:rPr>
            </w:pPr>
          </w:p>
        </w:tc>
        <w:tc>
          <w:tcPr>
            <w:tcW w:w="0" w:type="auto"/>
            <w:shd w:val="clear" w:color="auto" w:fill="auto"/>
          </w:tcPr>
          <w:p w14:paraId="5EA27355" w14:textId="77777777" w:rsidR="003C66EB" w:rsidRDefault="003C66EB">
            <w:pPr>
              <w:rPr>
                <w:rFonts w:ascii="宋体"/>
                <w:vanish/>
              </w:rPr>
            </w:pPr>
          </w:p>
        </w:tc>
        <w:tc>
          <w:tcPr>
            <w:tcW w:w="0" w:type="auto"/>
            <w:shd w:val="clear" w:color="auto" w:fill="auto"/>
          </w:tcPr>
          <w:p w14:paraId="5EA2735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357"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35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5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35A" w14:textId="77777777" w:rsidR="003C66EB" w:rsidRDefault="00D96C4E">
            <w:pPr>
              <w:jc w:val="right"/>
              <w:textAlignment w:val="bottom"/>
            </w:pPr>
            <w:r>
              <w:rPr>
                <w:rFonts w:ascii="Arial" w:eastAsia="宋体" w:hAnsi="Arial" w:cs="Arial"/>
                <w:color w:val="000000"/>
                <w:sz w:val="13"/>
                <w:szCs w:val="13"/>
              </w:rPr>
              <w:t>10 </w:t>
            </w:r>
          </w:p>
        </w:tc>
        <w:tc>
          <w:tcPr>
            <w:tcW w:w="0" w:type="auto"/>
            <w:shd w:val="clear" w:color="auto" w:fill="FFFFFF"/>
            <w:tcMar>
              <w:top w:w="40" w:type="dxa"/>
              <w:left w:w="0" w:type="dxa"/>
              <w:bottom w:w="40" w:type="dxa"/>
              <w:right w:w="20" w:type="dxa"/>
            </w:tcMar>
            <w:vAlign w:val="bottom"/>
          </w:tcPr>
          <w:p w14:paraId="5EA2735B" w14:textId="77777777" w:rsidR="003C66EB" w:rsidRDefault="003C66EB">
            <w:pPr>
              <w:jc w:val="right"/>
              <w:rPr>
                <w:rFonts w:ascii="宋体"/>
              </w:rPr>
            </w:pPr>
          </w:p>
        </w:tc>
        <w:tc>
          <w:tcPr>
            <w:tcW w:w="0" w:type="auto"/>
            <w:gridSpan w:val="3"/>
            <w:shd w:val="clear" w:color="auto" w:fill="auto"/>
          </w:tcPr>
          <w:p w14:paraId="5EA2735C" w14:textId="77777777" w:rsidR="003C66EB" w:rsidRDefault="003C66EB">
            <w:pPr>
              <w:rPr>
                <w:rFonts w:ascii="宋体"/>
                <w:vanish/>
              </w:rPr>
            </w:pPr>
          </w:p>
        </w:tc>
        <w:tc>
          <w:tcPr>
            <w:tcW w:w="0" w:type="auto"/>
            <w:gridSpan w:val="3"/>
            <w:shd w:val="clear" w:color="auto" w:fill="auto"/>
          </w:tcPr>
          <w:p w14:paraId="5EA2735D" w14:textId="77777777" w:rsidR="003C66EB" w:rsidRDefault="003C66EB">
            <w:pPr>
              <w:rPr>
                <w:rFonts w:ascii="宋体"/>
                <w:vanish/>
              </w:rPr>
            </w:pPr>
          </w:p>
        </w:tc>
      </w:tr>
      <w:tr w:rsidR="003C66EB" w14:paraId="5EA2736A" w14:textId="77777777">
        <w:tc>
          <w:tcPr>
            <w:tcW w:w="0" w:type="auto"/>
            <w:gridSpan w:val="3"/>
            <w:shd w:val="clear" w:color="auto" w:fill="CCEEFF"/>
            <w:tcMar>
              <w:top w:w="40" w:type="dxa"/>
              <w:left w:w="20" w:type="dxa"/>
              <w:bottom w:w="40" w:type="dxa"/>
              <w:right w:w="20" w:type="dxa"/>
            </w:tcMar>
            <w:vAlign w:val="bottom"/>
          </w:tcPr>
          <w:p w14:paraId="5EA2735F" w14:textId="77777777" w:rsidR="003C66EB" w:rsidRDefault="00D96C4E">
            <w:pPr>
              <w:textAlignment w:val="bottom"/>
            </w:pPr>
            <w:r>
              <w:rPr>
                <w:rFonts w:ascii="Arial" w:eastAsia="宋体" w:hAnsi="Arial" w:cs="Arial"/>
                <w:color w:val="000000"/>
                <w:sz w:val="13"/>
                <w:szCs w:val="13"/>
              </w:rPr>
              <w:t>Long-term debt</w:t>
            </w:r>
          </w:p>
        </w:tc>
        <w:tc>
          <w:tcPr>
            <w:tcW w:w="0" w:type="auto"/>
            <w:shd w:val="clear" w:color="auto" w:fill="auto"/>
          </w:tcPr>
          <w:p w14:paraId="5EA27360" w14:textId="77777777" w:rsidR="003C66EB" w:rsidRDefault="003C66EB">
            <w:pPr>
              <w:rPr>
                <w:rFonts w:ascii="宋体"/>
                <w:vanish/>
              </w:rPr>
            </w:pPr>
          </w:p>
        </w:tc>
        <w:tc>
          <w:tcPr>
            <w:tcW w:w="0" w:type="auto"/>
            <w:shd w:val="clear" w:color="auto" w:fill="auto"/>
          </w:tcPr>
          <w:p w14:paraId="5EA27361" w14:textId="77777777" w:rsidR="003C66EB" w:rsidRDefault="003C66EB">
            <w:pPr>
              <w:rPr>
                <w:rFonts w:ascii="宋体"/>
                <w:vanish/>
              </w:rPr>
            </w:pPr>
          </w:p>
        </w:tc>
        <w:tc>
          <w:tcPr>
            <w:tcW w:w="0" w:type="auto"/>
            <w:shd w:val="clear" w:color="auto" w:fill="auto"/>
          </w:tcPr>
          <w:p w14:paraId="5EA2736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363" w14:textId="77777777" w:rsidR="003C66EB" w:rsidRDefault="00D96C4E">
            <w:pPr>
              <w:jc w:val="right"/>
              <w:textAlignment w:val="bottom"/>
            </w:pPr>
            <w:r>
              <w:rPr>
                <w:rFonts w:ascii="Arial" w:eastAsia="宋体" w:hAnsi="Arial" w:cs="Arial"/>
                <w:b/>
                <w:bCs/>
                <w:color w:val="000000"/>
                <w:sz w:val="13"/>
                <w:szCs w:val="13"/>
              </w:rPr>
              <w:t>60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36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6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366" w14:textId="77777777" w:rsidR="003C66EB" w:rsidRDefault="00D96C4E">
            <w:pPr>
              <w:jc w:val="right"/>
              <w:textAlignment w:val="bottom"/>
            </w:pPr>
            <w:r>
              <w:rPr>
                <w:rFonts w:ascii="Arial" w:eastAsia="宋体" w:hAnsi="Arial" w:cs="Arial"/>
                <w:color w:val="000000"/>
                <w:sz w:val="13"/>
                <w:szCs w:val="13"/>
              </w:rPr>
              <w:t>88 </w:t>
            </w:r>
          </w:p>
        </w:tc>
        <w:tc>
          <w:tcPr>
            <w:tcW w:w="0" w:type="auto"/>
            <w:shd w:val="clear" w:color="auto" w:fill="CCEEFF"/>
            <w:tcMar>
              <w:top w:w="40" w:type="dxa"/>
              <w:left w:w="0" w:type="dxa"/>
              <w:bottom w:w="40" w:type="dxa"/>
              <w:right w:w="20" w:type="dxa"/>
            </w:tcMar>
            <w:vAlign w:val="bottom"/>
          </w:tcPr>
          <w:p w14:paraId="5EA27367" w14:textId="77777777" w:rsidR="003C66EB" w:rsidRDefault="003C66EB">
            <w:pPr>
              <w:jc w:val="right"/>
              <w:rPr>
                <w:rFonts w:ascii="宋体"/>
              </w:rPr>
            </w:pPr>
          </w:p>
        </w:tc>
        <w:tc>
          <w:tcPr>
            <w:tcW w:w="0" w:type="auto"/>
            <w:gridSpan w:val="3"/>
            <w:shd w:val="clear" w:color="auto" w:fill="auto"/>
          </w:tcPr>
          <w:p w14:paraId="5EA27368" w14:textId="77777777" w:rsidR="003C66EB" w:rsidRDefault="003C66EB">
            <w:pPr>
              <w:rPr>
                <w:rFonts w:ascii="宋体"/>
                <w:vanish/>
              </w:rPr>
            </w:pPr>
          </w:p>
        </w:tc>
        <w:tc>
          <w:tcPr>
            <w:tcW w:w="0" w:type="auto"/>
            <w:gridSpan w:val="3"/>
            <w:shd w:val="clear" w:color="auto" w:fill="auto"/>
          </w:tcPr>
          <w:p w14:paraId="5EA27369" w14:textId="77777777" w:rsidR="003C66EB" w:rsidRDefault="003C66EB">
            <w:pPr>
              <w:rPr>
                <w:rFonts w:ascii="宋体"/>
                <w:vanish/>
              </w:rPr>
            </w:pPr>
          </w:p>
        </w:tc>
      </w:tr>
      <w:tr w:rsidR="003C66EB" w14:paraId="5EA27376" w14:textId="77777777">
        <w:tc>
          <w:tcPr>
            <w:tcW w:w="0" w:type="auto"/>
            <w:gridSpan w:val="3"/>
            <w:shd w:val="clear" w:color="auto" w:fill="FFFFFF"/>
            <w:tcMar>
              <w:top w:w="40" w:type="dxa"/>
              <w:left w:w="20" w:type="dxa"/>
              <w:bottom w:w="40" w:type="dxa"/>
              <w:right w:w="20" w:type="dxa"/>
            </w:tcMar>
            <w:vAlign w:val="bottom"/>
          </w:tcPr>
          <w:p w14:paraId="5EA2736B" w14:textId="77777777" w:rsidR="003C66EB" w:rsidRDefault="00D96C4E">
            <w:pPr>
              <w:textAlignment w:val="bottom"/>
            </w:pPr>
            <w:r>
              <w:rPr>
                <w:rFonts w:ascii="Arial" w:eastAsia="宋体" w:hAnsi="Arial" w:cs="Arial"/>
                <w:color w:val="000000"/>
                <w:sz w:val="13"/>
                <w:szCs w:val="13"/>
              </w:rPr>
              <w:t>Other interest-bearing liabilities</w:t>
            </w:r>
          </w:p>
        </w:tc>
        <w:tc>
          <w:tcPr>
            <w:tcW w:w="0" w:type="auto"/>
            <w:shd w:val="clear" w:color="auto" w:fill="auto"/>
          </w:tcPr>
          <w:p w14:paraId="5EA2736C" w14:textId="77777777" w:rsidR="003C66EB" w:rsidRDefault="003C66EB">
            <w:pPr>
              <w:rPr>
                <w:rFonts w:ascii="宋体"/>
                <w:vanish/>
              </w:rPr>
            </w:pPr>
          </w:p>
        </w:tc>
        <w:tc>
          <w:tcPr>
            <w:tcW w:w="0" w:type="auto"/>
            <w:shd w:val="clear" w:color="auto" w:fill="auto"/>
          </w:tcPr>
          <w:p w14:paraId="5EA2736D" w14:textId="77777777" w:rsidR="003C66EB" w:rsidRDefault="003C66EB">
            <w:pPr>
              <w:rPr>
                <w:rFonts w:ascii="宋体"/>
                <w:vanish/>
              </w:rPr>
            </w:pPr>
          </w:p>
        </w:tc>
        <w:tc>
          <w:tcPr>
            <w:tcW w:w="0" w:type="auto"/>
            <w:shd w:val="clear" w:color="auto" w:fill="auto"/>
          </w:tcPr>
          <w:p w14:paraId="5EA2736E"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36F" w14:textId="77777777" w:rsidR="003C66EB" w:rsidRDefault="00D96C4E">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37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7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372" w14:textId="77777777" w:rsidR="003C66EB" w:rsidRDefault="00D96C4E">
            <w:pPr>
              <w:jc w:val="right"/>
              <w:textAlignment w:val="bottom"/>
            </w:pPr>
            <w:r>
              <w:rPr>
                <w:rFonts w:ascii="Arial" w:eastAsia="宋体" w:hAnsi="Arial" w:cs="Arial"/>
                <w:color w:val="000000"/>
                <w:sz w:val="13"/>
                <w:szCs w:val="13"/>
              </w:rPr>
              <w:t>30 </w:t>
            </w:r>
          </w:p>
        </w:tc>
        <w:tc>
          <w:tcPr>
            <w:tcW w:w="0" w:type="auto"/>
            <w:shd w:val="clear" w:color="auto" w:fill="FFFFFF"/>
            <w:tcMar>
              <w:top w:w="40" w:type="dxa"/>
              <w:left w:w="0" w:type="dxa"/>
              <w:bottom w:w="40" w:type="dxa"/>
              <w:right w:w="20" w:type="dxa"/>
            </w:tcMar>
            <w:vAlign w:val="bottom"/>
          </w:tcPr>
          <w:p w14:paraId="5EA27373" w14:textId="77777777" w:rsidR="003C66EB" w:rsidRDefault="003C66EB">
            <w:pPr>
              <w:jc w:val="right"/>
              <w:rPr>
                <w:rFonts w:ascii="宋体"/>
              </w:rPr>
            </w:pPr>
          </w:p>
        </w:tc>
        <w:tc>
          <w:tcPr>
            <w:tcW w:w="0" w:type="auto"/>
            <w:gridSpan w:val="3"/>
            <w:shd w:val="clear" w:color="auto" w:fill="auto"/>
          </w:tcPr>
          <w:p w14:paraId="5EA27374" w14:textId="77777777" w:rsidR="003C66EB" w:rsidRDefault="003C66EB">
            <w:pPr>
              <w:rPr>
                <w:rFonts w:ascii="宋体"/>
                <w:vanish/>
              </w:rPr>
            </w:pPr>
          </w:p>
        </w:tc>
        <w:tc>
          <w:tcPr>
            <w:tcW w:w="0" w:type="auto"/>
            <w:gridSpan w:val="3"/>
            <w:shd w:val="clear" w:color="auto" w:fill="auto"/>
          </w:tcPr>
          <w:p w14:paraId="5EA27375" w14:textId="77777777" w:rsidR="003C66EB" w:rsidRDefault="003C66EB">
            <w:pPr>
              <w:rPr>
                <w:rFonts w:ascii="宋体"/>
                <w:vanish/>
              </w:rPr>
            </w:pPr>
          </w:p>
        </w:tc>
      </w:tr>
      <w:tr w:rsidR="003C66EB" w14:paraId="5EA27382" w14:textId="77777777">
        <w:tc>
          <w:tcPr>
            <w:tcW w:w="0" w:type="auto"/>
            <w:gridSpan w:val="3"/>
            <w:shd w:val="clear" w:color="auto" w:fill="CCEEFF"/>
            <w:tcMar>
              <w:top w:w="40" w:type="dxa"/>
              <w:left w:w="20" w:type="dxa"/>
              <w:bottom w:w="40" w:type="dxa"/>
              <w:right w:w="20" w:type="dxa"/>
            </w:tcMar>
            <w:vAlign w:val="bottom"/>
          </w:tcPr>
          <w:p w14:paraId="5EA27377" w14:textId="77777777" w:rsidR="003C66EB" w:rsidRDefault="00D96C4E">
            <w:pPr>
              <w:textAlignment w:val="bottom"/>
            </w:pPr>
            <w:r>
              <w:rPr>
                <w:rFonts w:ascii="Arial" w:eastAsia="宋体" w:hAnsi="Arial" w:cs="Arial"/>
                <w:color w:val="000000"/>
                <w:sz w:val="13"/>
                <w:szCs w:val="13"/>
              </w:rPr>
              <w:t>Total interest expense</w:t>
            </w:r>
          </w:p>
        </w:tc>
        <w:tc>
          <w:tcPr>
            <w:tcW w:w="0" w:type="auto"/>
            <w:shd w:val="clear" w:color="auto" w:fill="auto"/>
          </w:tcPr>
          <w:p w14:paraId="5EA27378" w14:textId="77777777" w:rsidR="003C66EB" w:rsidRDefault="003C66EB">
            <w:pPr>
              <w:rPr>
                <w:rFonts w:ascii="宋体"/>
                <w:vanish/>
              </w:rPr>
            </w:pPr>
          </w:p>
        </w:tc>
        <w:tc>
          <w:tcPr>
            <w:tcW w:w="0" w:type="auto"/>
            <w:shd w:val="clear" w:color="auto" w:fill="auto"/>
          </w:tcPr>
          <w:p w14:paraId="5EA27379" w14:textId="77777777" w:rsidR="003C66EB" w:rsidRDefault="003C66EB">
            <w:pPr>
              <w:rPr>
                <w:rFonts w:ascii="宋体"/>
                <w:vanish/>
              </w:rPr>
            </w:pPr>
          </w:p>
        </w:tc>
        <w:tc>
          <w:tcPr>
            <w:tcW w:w="0" w:type="auto"/>
            <w:shd w:val="clear" w:color="auto" w:fill="auto"/>
          </w:tcPr>
          <w:p w14:paraId="5EA2737A"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37B" w14:textId="77777777" w:rsidR="003C66EB" w:rsidRDefault="00D96C4E">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3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7D"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37E" w14:textId="77777777" w:rsidR="003C66EB" w:rsidRDefault="00D96C4E">
            <w:pPr>
              <w:jc w:val="right"/>
              <w:textAlignment w:val="bottom"/>
            </w:pPr>
            <w:r>
              <w:rPr>
                <w:rFonts w:ascii="Arial" w:eastAsia="宋体" w:hAnsi="Arial" w:cs="Arial"/>
                <w:color w:val="000000"/>
                <w:sz w:val="13"/>
                <w:szCs w:val="13"/>
              </w:rPr>
              <w:t>204 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37F" w14:textId="77777777" w:rsidR="003C66EB" w:rsidRDefault="003C66EB">
            <w:pPr>
              <w:jc w:val="right"/>
              <w:rPr>
                <w:rFonts w:ascii="宋体"/>
              </w:rPr>
            </w:pPr>
          </w:p>
        </w:tc>
        <w:tc>
          <w:tcPr>
            <w:tcW w:w="0" w:type="auto"/>
            <w:gridSpan w:val="3"/>
            <w:shd w:val="clear" w:color="auto" w:fill="auto"/>
          </w:tcPr>
          <w:p w14:paraId="5EA27380" w14:textId="77777777" w:rsidR="003C66EB" w:rsidRDefault="003C66EB">
            <w:pPr>
              <w:rPr>
                <w:rFonts w:ascii="宋体"/>
                <w:vanish/>
              </w:rPr>
            </w:pPr>
          </w:p>
        </w:tc>
        <w:tc>
          <w:tcPr>
            <w:tcW w:w="0" w:type="auto"/>
            <w:gridSpan w:val="3"/>
            <w:shd w:val="clear" w:color="auto" w:fill="auto"/>
          </w:tcPr>
          <w:p w14:paraId="5EA27381" w14:textId="77777777" w:rsidR="003C66EB" w:rsidRDefault="003C66EB">
            <w:pPr>
              <w:rPr>
                <w:rFonts w:ascii="宋体"/>
                <w:vanish/>
              </w:rPr>
            </w:pPr>
          </w:p>
        </w:tc>
      </w:tr>
      <w:tr w:rsidR="003C66EB" w14:paraId="5EA27390" w14:textId="77777777">
        <w:tc>
          <w:tcPr>
            <w:tcW w:w="0" w:type="auto"/>
            <w:gridSpan w:val="3"/>
            <w:shd w:val="clear" w:color="auto" w:fill="FFFFFF"/>
            <w:tcMar>
              <w:top w:w="40" w:type="dxa"/>
              <w:left w:w="20" w:type="dxa"/>
              <w:bottom w:w="40" w:type="dxa"/>
              <w:right w:w="20" w:type="dxa"/>
            </w:tcMar>
            <w:vAlign w:val="bottom"/>
          </w:tcPr>
          <w:p w14:paraId="5EA27383" w14:textId="77777777" w:rsidR="003C66EB" w:rsidRDefault="00D96C4E">
            <w:pPr>
              <w:textAlignment w:val="bottom"/>
            </w:pPr>
            <w:r>
              <w:rPr>
                <w:rFonts w:ascii="Arial" w:eastAsia="宋体" w:hAnsi="Arial" w:cs="Arial"/>
                <w:b/>
                <w:bCs/>
                <w:color w:val="000000"/>
                <w:sz w:val="13"/>
                <w:szCs w:val="13"/>
              </w:rPr>
              <w:t>Net interest income</w:t>
            </w:r>
          </w:p>
        </w:tc>
        <w:tc>
          <w:tcPr>
            <w:tcW w:w="0" w:type="auto"/>
            <w:shd w:val="clear" w:color="auto" w:fill="auto"/>
          </w:tcPr>
          <w:p w14:paraId="5EA27384" w14:textId="77777777" w:rsidR="003C66EB" w:rsidRDefault="003C66EB">
            <w:pPr>
              <w:rPr>
                <w:rFonts w:ascii="宋体"/>
                <w:vanish/>
              </w:rPr>
            </w:pPr>
          </w:p>
        </w:tc>
        <w:tc>
          <w:tcPr>
            <w:tcW w:w="0" w:type="auto"/>
            <w:shd w:val="clear" w:color="auto" w:fill="auto"/>
          </w:tcPr>
          <w:p w14:paraId="5EA27385" w14:textId="77777777" w:rsidR="003C66EB" w:rsidRDefault="003C66EB">
            <w:pPr>
              <w:rPr>
                <w:rFonts w:ascii="宋体"/>
                <w:vanish/>
              </w:rPr>
            </w:pPr>
          </w:p>
        </w:tc>
        <w:tc>
          <w:tcPr>
            <w:tcW w:w="0" w:type="auto"/>
            <w:shd w:val="clear" w:color="auto" w:fill="auto"/>
          </w:tcPr>
          <w:p w14:paraId="5EA27386" w14:textId="77777777" w:rsidR="003C66EB" w:rsidRDefault="003C66EB">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387"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388" w14:textId="77777777" w:rsidR="003C66EB" w:rsidRDefault="00D96C4E">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38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8A"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38B"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38C" w14:textId="77777777" w:rsidR="003C66EB" w:rsidRDefault="00D96C4E">
            <w:pPr>
              <w:jc w:val="right"/>
              <w:textAlignment w:val="bottom"/>
            </w:pPr>
            <w:r>
              <w:rPr>
                <w:rFonts w:ascii="Arial" w:eastAsia="宋体" w:hAnsi="Arial" w:cs="Arial"/>
                <w:color w:val="000000"/>
                <w:sz w:val="13"/>
                <w:szCs w:val="13"/>
              </w:rPr>
              <w:t>664 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38D" w14:textId="77777777" w:rsidR="003C66EB" w:rsidRDefault="003C66EB">
            <w:pPr>
              <w:jc w:val="right"/>
              <w:rPr>
                <w:rFonts w:ascii="宋体"/>
              </w:rPr>
            </w:pPr>
          </w:p>
        </w:tc>
        <w:tc>
          <w:tcPr>
            <w:tcW w:w="0" w:type="auto"/>
            <w:gridSpan w:val="3"/>
            <w:shd w:val="clear" w:color="auto" w:fill="auto"/>
          </w:tcPr>
          <w:p w14:paraId="5EA2738E" w14:textId="77777777" w:rsidR="003C66EB" w:rsidRDefault="003C66EB">
            <w:pPr>
              <w:rPr>
                <w:rFonts w:ascii="宋体"/>
                <w:vanish/>
              </w:rPr>
            </w:pPr>
          </w:p>
        </w:tc>
        <w:tc>
          <w:tcPr>
            <w:tcW w:w="0" w:type="auto"/>
            <w:gridSpan w:val="3"/>
            <w:shd w:val="clear" w:color="auto" w:fill="auto"/>
          </w:tcPr>
          <w:p w14:paraId="5EA2738F" w14:textId="77777777" w:rsidR="003C66EB" w:rsidRDefault="003C66EB">
            <w:pPr>
              <w:rPr>
                <w:rFonts w:ascii="宋体"/>
                <w:vanish/>
              </w:rPr>
            </w:pPr>
          </w:p>
        </w:tc>
      </w:tr>
    </w:tbl>
    <w:p w14:paraId="5EA27391" w14:textId="77777777" w:rsidR="003C66EB" w:rsidRDefault="00D96C4E">
      <w:pPr>
        <w:spacing w:before="180"/>
        <w:jc w:val="both"/>
        <w:textAlignment w:val="top"/>
      </w:pPr>
      <w:r>
        <w:rPr>
          <w:rFonts w:ascii="Arial" w:eastAsia="宋体" w:hAnsi="Arial" w:cs="Arial"/>
          <w:b/>
          <w:bCs/>
          <w:color w:val="000000"/>
          <w:sz w:val="20"/>
          <w:szCs w:val="20"/>
        </w:rPr>
        <w:t>Note 15.    Expenses</w:t>
      </w:r>
    </w:p>
    <w:p w14:paraId="5EA27392" w14:textId="77777777" w:rsidR="003C66EB" w:rsidRDefault="00D96C4E">
      <w:pPr>
        <w:spacing w:before="60"/>
        <w:ind w:firstLine="450"/>
        <w:jc w:val="both"/>
        <w:textAlignment w:val="top"/>
      </w:pPr>
      <w:r>
        <w:rPr>
          <w:rFonts w:ascii="Arial" w:eastAsia="宋体" w:hAnsi="Arial" w:cs="Arial"/>
          <w:color w:val="000000"/>
          <w:sz w:val="20"/>
          <w:szCs w:val="20"/>
        </w:rPr>
        <w:t xml:space="preserve">The following table presents the components of other expenses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4"/>
        <w:gridCol w:w="4136"/>
        <w:gridCol w:w="37"/>
        <w:gridCol w:w="36"/>
        <w:gridCol w:w="36"/>
        <w:gridCol w:w="36"/>
        <w:gridCol w:w="98"/>
        <w:gridCol w:w="1691"/>
        <w:gridCol w:w="36"/>
        <w:gridCol w:w="36"/>
        <w:gridCol w:w="73"/>
        <w:gridCol w:w="36"/>
        <w:gridCol w:w="98"/>
        <w:gridCol w:w="1691"/>
        <w:gridCol w:w="36"/>
        <w:gridCol w:w="36"/>
        <w:gridCol w:w="36"/>
        <w:gridCol w:w="36"/>
        <w:gridCol w:w="36"/>
        <w:gridCol w:w="36"/>
        <w:gridCol w:w="36"/>
      </w:tblGrid>
      <w:tr w:rsidR="003C66EB" w14:paraId="5EA273A4" w14:textId="77777777">
        <w:tc>
          <w:tcPr>
            <w:tcW w:w="50" w:type="pct"/>
            <w:shd w:val="clear" w:color="auto" w:fill="auto"/>
          </w:tcPr>
          <w:p w14:paraId="5EA27393" w14:textId="77777777" w:rsidR="003C66EB" w:rsidRDefault="003C66EB">
            <w:pPr>
              <w:rPr>
                <w:rFonts w:ascii="宋体"/>
              </w:rPr>
            </w:pPr>
          </w:p>
        </w:tc>
        <w:tc>
          <w:tcPr>
            <w:tcW w:w="2602" w:type="pct"/>
            <w:shd w:val="clear" w:color="auto" w:fill="auto"/>
          </w:tcPr>
          <w:p w14:paraId="5EA27394" w14:textId="77777777" w:rsidR="003C66EB" w:rsidRDefault="003C66EB">
            <w:pPr>
              <w:rPr>
                <w:rFonts w:ascii="宋体"/>
              </w:rPr>
            </w:pPr>
          </w:p>
        </w:tc>
        <w:tc>
          <w:tcPr>
            <w:tcW w:w="5" w:type="pct"/>
            <w:shd w:val="clear" w:color="auto" w:fill="auto"/>
          </w:tcPr>
          <w:p w14:paraId="5EA27395" w14:textId="77777777" w:rsidR="003C66EB" w:rsidRDefault="003C66EB">
            <w:pPr>
              <w:rPr>
                <w:rFonts w:ascii="宋体"/>
              </w:rPr>
            </w:pPr>
          </w:p>
        </w:tc>
        <w:tc>
          <w:tcPr>
            <w:tcW w:w="0" w:type="auto"/>
            <w:shd w:val="clear" w:color="auto" w:fill="auto"/>
          </w:tcPr>
          <w:p w14:paraId="5EA27396" w14:textId="77777777" w:rsidR="003C66EB" w:rsidRDefault="003C66EB">
            <w:pPr>
              <w:rPr>
                <w:rFonts w:ascii="宋体"/>
                <w:vanish/>
              </w:rPr>
            </w:pPr>
          </w:p>
        </w:tc>
        <w:tc>
          <w:tcPr>
            <w:tcW w:w="0" w:type="auto"/>
            <w:shd w:val="clear" w:color="auto" w:fill="auto"/>
          </w:tcPr>
          <w:p w14:paraId="5EA27397" w14:textId="77777777" w:rsidR="003C66EB" w:rsidRDefault="003C66EB">
            <w:pPr>
              <w:rPr>
                <w:rFonts w:ascii="宋体"/>
                <w:vanish/>
              </w:rPr>
            </w:pPr>
          </w:p>
        </w:tc>
        <w:tc>
          <w:tcPr>
            <w:tcW w:w="0" w:type="auto"/>
            <w:shd w:val="clear" w:color="auto" w:fill="auto"/>
          </w:tcPr>
          <w:p w14:paraId="5EA27398" w14:textId="77777777" w:rsidR="003C66EB" w:rsidRDefault="003C66EB">
            <w:pPr>
              <w:rPr>
                <w:rFonts w:ascii="宋体"/>
                <w:vanish/>
              </w:rPr>
            </w:pPr>
          </w:p>
        </w:tc>
        <w:tc>
          <w:tcPr>
            <w:tcW w:w="50" w:type="pct"/>
            <w:shd w:val="clear" w:color="auto" w:fill="auto"/>
          </w:tcPr>
          <w:p w14:paraId="5EA27399" w14:textId="77777777" w:rsidR="003C66EB" w:rsidRDefault="003C66EB">
            <w:pPr>
              <w:rPr>
                <w:rFonts w:ascii="宋体"/>
              </w:rPr>
            </w:pPr>
          </w:p>
        </w:tc>
        <w:tc>
          <w:tcPr>
            <w:tcW w:w="1077" w:type="pct"/>
            <w:shd w:val="clear" w:color="auto" w:fill="auto"/>
          </w:tcPr>
          <w:p w14:paraId="5EA2739A" w14:textId="77777777" w:rsidR="003C66EB" w:rsidRDefault="003C66EB">
            <w:pPr>
              <w:rPr>
                <w:rFonts w:ascii="宋体"/>
              </w:rPr>
            </w:pPr>
          </w:p>
        </w:tc>
        <w:tc>
          <w:tcPr>
            <w:tcW w:w="5" w:type="pct"/>
            <w:shd w:val="clear" w:color="auto" w:fill="auto"/>
          </w:tcPr>
          <w:p w14:paraId="5EA2739B" w14:textId="77777777" w:rsidR="003C66EB" w:rsidRDefault="003C66EB">
            <w:pPr>
              <w:rPr>
                <w:rFonts w:ascii="宋体"/>
              </w:rPr>
            </w:pPr>
          </w:p>
        </w:tc>
        <w:tc>
          <w:tcPr>
            <w:tcW w:w="5" w:type="pct"/>
            <w:shd w:val="clear" w:color="auto" w:fill="auto"/>
          </w:tcPr>
          <w:p w14:paraId="5EA2739C" w14:textId="77777777" w:rsidR="003C66EB" w:rsidRDefault="003C66EB">
            <w:pPr>
              <w:rPr>
                <w:rFonts w:ascii="宋体"/>
              </w:rPr>
            </w:pPr>
          </w:p>
        </w:tc>
        <w:tc>
          <w:tcPr>
            <w:tcW w:w="68" w:type="pct"/>
            <w:shd w:val="clear" w:color="auto" w:fill="auto"/>
          </w:tcPr>
          <w:p w14:paraId="5EA2739D" w14:textId="77777777" w:rsidR="003C66EB" w:rsidRDefault="003C66EB">
            <w:pPr>
              <w:rPr>
                <w:rFonts w:ascii="宋体"/>
              </w:rPr>
            </w:pPr>
          </w:p>
        </w:tc>
        <w:tc>
          <w:tcPr>
            <w:tcW w:w="5" w:type="pct"/>
            <w:shd w:val="clear" w:color="auto" w:fill="auto"/>
          </w:tcPr>
          <w:p w14:paraId="5EA2739E" w14:textId="77777777" w:rsidR="003C66EB" w:rsidRDefault="003C66EB">
            <w:pPr>
              <w:rPr>
                <w:rFonts w:ascii="宋体"/>
              </w:rPr>
            </w:pPr>
          </w:p>
        </w:tc>
        <w:tc>
          <w:tcPr>
            <w:tcW w:w="50" w:type="pct"/>
            <w:shd w:val="clear" w:color="auto" w:fill="auto"/>
          </w:tcPr>
          <w:p w14:paraId="5EA2739F" w14:textId="77777777" w:rsidR="003C66EB" w:rsidRDefault="003C66EB">
            <w:pPr>
              <w:rPr>
                <w:rFonts w:ascii="宋体"/>
              </w:rPr>
            </w:pPr>
          </w:p>
        </w:tc>
        <w:tc>
          <w:tcPr>
            <w:tcW w:w="1077" w:type="pct"/>
            <w:shd w:val="clear" w:color="auto" w:fill="auto"/>
          </w:tcPr>
          <w:p w14:paraId="5EA273A0" w14:textId="77777777" w:rsidR="003C66EB" w:rsidRDefault="003C66EB">
            <w:pPr>
              <w:rPr>
                <w:rFonts w:ascii="宋体"/>
              </w:rPr>
            </w:pPr>
          </w:p>
        </w:tc>
        <w:tc>
          <w:tcPr>
            <w:tcW w:w="5" w:type="pct"/>
            <w:shd w:val="clear" w:color="auto" w:fill="auto"/>
          </w:tcPr>
          <w:p w14:paraId="5EA273A1" w14:textId="77777777" w:rsidR="003C66EB" w:rsidRDefault="003C66EB">
            <w:pPr>
              <w:rPr>
                <w:rFonts w:ascii="宋体"/>
              </w:rPr>
            </w:pPr>
          </w:p>
        </w:tc>
        <w:tc>
          <w:tcPr>
            <w:tcW w:w="0" w:type="auto"/>
            <w:gridSpan w:val="3"/>
            <w:shd w:val="clear" w:color="auto" w:fill="auto"/>
          </w:tcPr>
          <w:p w14:paraId="5EA273A2" w14:textId="77777777" w:rsidR="003C66EB" w:rsidRDefault="003C66EB">
            <w:pPr>
              <w:rPr>
                <w:rFonts w:ascii="宋体"/>
                <w:vanish/>
              </w:rPr>
            </w:pPr>
          </w:p>
        </w:tc>
        <w:tc>
          <w:tcPr>
            <w:tcW w:w="0" w:type="auto"/>
            <w:gridSpan w:val="3"/>
            <w:shd w:val="clear" w:color="auto" w:fill="auto"/>
          </w:tcPr>
          <w:p w14:paraId="5EA273A3" w14:textId="77777777" w:rsidR="003C66EB" w:rsidRDefault="003C66EB">
            <w:pPr>
              <w:rPr>
                <w:rFonts w:ascii="宋体"/>
                <w:vanish/>
              </w:rPr>
            </w:pPr>
          </w:p>
        </w:tc>
      </w:tr>
      <w:tr w:rsidR="003C66EB" w14:paraId="5EA273B2" w14:textId="77777777">
        <w:tc>
          <w:tcPr>
            <w:tcW w:w="0" w:type="auto"/>
            <w:gridSpan w:val="3"/>
            <w:shd w:val="clear" w:color="auto" w:fill="auto"/>
            <w:tcMar>
              <w:top w:w="0" w:type="dxa"/>
              <w:left w:w="20" w:type="dxa"/>
              <w:bottom w:w="0" w:type="dxa"/>
              <w:right w:w="20" w:type="dxa"/>
            </w:tcMar>
          </w:tcPr>
          <w:p w14:paraId="5EA273A5" w14:textId="77777777" w:rsidR="003C66EB" w:rsidRDefault="003C66EB">
            <w:pPr>
              <w:rPr>
                <w:rFonts w:ascii="宋体"/>
              </w:rPr>
            </w:pPr>
          </w:p>
        </w:tc>
        <w:tc>
          <w:tcPr>
            <w:tcW w:w="0" w:type="auto"/>
            <w:shd w:val="clear" w:color="auto" w:fill="auto"/>
          </w:tcPr>
          <w:p w14:paraId="5EA273A6" w14:textId="77777777" w:rsidR="003C66EB" w:rsidRDefault="003C66EB">
            <w:pPr>
              <w:rPr>
                <w:rFonts w:ascii="宋体"/>
                <w:vanish/>
              </w:rPr>
            </w:pPr>
          </w:p>
        </w:tc>
        <w:tc>
          <w:tcPr>
            <w:tcW w:w="0" w:type="auto"/>
            <w:shd w:val="clear" w:color="auto" w:fill="auto"/>
          </w:tcPr>
          <w:p w14:paraId="5EA273A7" w14:textId="77777777" w:rsidR="003C66EB" w:rsidRDefault="003C66EB">
            <w:pPr>
              <w:rPr>
                <w:rFonts w:ascii="宋体"/>
                <w:vanish/>
              </w:rPr>
            </w:pPr>
          </w:p>
        </w:tc>
        <w:tc>
          <w:tcPr>
            <w:tcW w:w="0" w:type="auto"/>
            <w:gridSpan w:val="7"/>
            <w:shd w:val="clear" w:color="auto" w:fill="auto"/>
            <w:tcMar>
              <w:top w:w="40" w:type="dxa"/>
              <w:left w:w="20" w:type="dxa"/>
              <w:bottom w:w="40" w:type="dxa"/>
              <w:right w:w="20" w:type="dxa"/>
            </w:tcMar>
            <w:vAlign w:val="bottom"/>
          </w:tcPr>
          <w:p w14:paraId="5EA273A8"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tcPr>
          <w:p w14:paraId="5EA273A9" w14:textId="77777777" w:rsidR="003C66EB" w:rsidRDefault="003C66EB">
            <w:pPr>
              <w:rPr>
                <w:rFonts w:ascii="宋体"/>
              </w:rPr>
            </w:pPr>
          </w:p>
        </w:tc>
        <w:tc>
          <w:tcPr>
            <w:tcW w:w="0" w:type="auto"/>
            <w:shd w:val="clear" w:color="auto" w:fill="auto"/>
          </w:tcPr>
          <w:p w14:paraId="5EA273AA" w14:textId="77777777" w:rsidR="003C66EB" w:rsidRDefault="003C66EB">
            <w:pPr>
              <w:rPr>
                <w:rFonts w:ascii="宋体"/>
              </w:rPr>
            </w:pPr>
          </w:p>
        </w:tc>
        <w:tc>
          <w:tcPr>
            <w:tcW w:w="0" w:type="auto"/>
            <w:shd w:val="clear" w:color="auto" w:fill="auto"/>
          </w:tcPr>
          <w:p w14:paraId="5EA273AB" w14:textId="77777777" w:rsidR="003C66EB" w:rsidRDefault="003C66EB">
            <w:pPr>
              <w:rPr>
                <w:rFonts w:ascii="宋体"/>
              </w:rPr>
            </w:pPr>
          </w:p>
        </w:tc>
        <w:tc>
          <w:tcPr>
            <w:tcW w:w="0" w:type="auto"/>
            <w:shd w:val="clear" w:color="auto" w:fill="auto"/>
          </w:tcPr>
          <w:p w14:paraId="5EA273AC" w14:textId="77777777" w:rsidR="003C66EB" w:rsidRDefault="003C66EB">
            <w:pPr>
              <w:rPr>
                <w:rFonts w:ascii="宋体"/>
              </w:rPr>
            </w:pPr>
          </w:p>
        </w:tc>
        <w:tc>
          <w:tcPr>
            <w:tcW w:w="0" w:type="auto"/>
            <w:shd w:val="clear" w:color="auto" w:fill="auto"/>
          </w:tcPr>
          <w:p w14:paraId="5EA273AD" w14:textId="77777777" w:rsidR="003C66EB" w:rsidRDefault="003C66EB">
            <w:pPr>
              <w:rPr>
                <w:rFonts w:ascii="宋体"/>
              </w:rPr>
            </w:pPr>
          </w:p>
        </w:tc>
        <w:tc>
          <w:tcPr>
            <w:tcW w:w="0" w:type="auto"/>
            <w:shd w:val="clear" w:color="auto" w:fill="auto"/>
          </w:tcPr>
          <w:p w14:paraId="5EA273AE" w14:textId="77777777" w:rsidR="003C66EB" w:rsidRDefault="003C66EB">
            <w:pPr>
              <w:rPr>
                <w:rFonts w:ascii="宋体"/>
              </w:rPr>
            </w:pPr>
          </w:p>
        </w:tc>
        <w:tc>
          <w:tcPr>
            <w:tcW w:w="0" w:type="auto"/>
            <w:shd w:val="clear" w:color="auto" w:fill="auto"/>
          </w:tcPr>
          <w:p w14:paraId="5EA273AF" w14:textId="77777777" w:rsidR="003C66EB" w:rsidRDefault="003C66EB">
            <w:pPr>
              <w:rPr>
                <w:rFonts w:ascii="宋体"/>
              </w:rPr>
            </w:pPr>
          </w:p>
        </w:tc>
        <w:tc>
          <w:tcPr>
            <w:tcW w:w="0" w:type="auto"/>
            <w:shd w:val="clear" w:color="auto" w:fill="auto"/>
          </w:tcPr>
          <w:p w14:paraId="5EA273B0" w14:textId="77777777" w:rsidR="003C66EB" w:rsidRDefault="003C66EB">
            <w:pPr>
              <w:rPr>
                <w:rFonts w:ascii="宋体"/>
              </w:rPr>
            </w:pPr>
          </w:p>
        </w:tc>
        <w:tc>
          <w:tcPr>
            <w:tcW w:w="0" w:type="auto"/>
            <w:shd w:val="clear" w:color="auto" w:fill="auto"/>
          </w:tcPr>
          <w:p w14:paraId="5EA273B1" w14:textId="77777777" w:rsidR="003C66EB" w:rsidRDefault="003C66EB">
            <w:pPr>
              <w:rPr>
                <w:rFonts w:ascii="宋体"/>
              </w:rPr>
            </w:pPr>
          </w:p>
        </w:tc>
      </w:tr>
      <w:tr w:rsidR="003C66EB" w14:paraId="5EA273BC" w14:textId="77777777">
        <w:tc>
          <w:tcPr>
            <w:tcW w:w="0" w:type="auto"/>
            <w:gridSpan w:val="3"/>
            <w:shd w:val="clear" w:color="auto" w:fill="auto"/>
            <w:tcMar>
              <w:top w:w="40" w:type="dxa"/>
              <w:left w:w="20" w:type="dxa"/>
              <w:bottom w:w="40" w:type="dxa"/>
              <w:right w:w="20" w:type="dxa"/>
            </w:tcMar>
            <w:vAlign w:val="bottom"/>
          </w:tcPr>
          <w:p w14:paraId="5EA273B3" w14:textId="77777777" w:rsidR="003C66EB" w:rsidRDefault="00D96C4E">
            <w:pPr>
              <w:textAlignment w:val="bottom"/>
            </w:pPr>
            <w:r>
              <w:rPr>
                <w:rFonts w:ascii="Arial" w:eastAsia="宋体" w:hAnsi="Arial" w:cs="Arial"/>
                <w:b/>
                <w:bCs/>
                <w:color w:val="000000"/>
                <w:sz w:val="14"/>
                <w:szCs w:val="14"/>
              </w:rPr>
              <w:t>(In millions)</w:t>
            </w:r>
          </w:p>
        </w:tc>
        <w:tc>
          <w:tcPr>
            <w:tcW w:w="0" w:type="auto"/>
            <w:shd w:val="clear" w:color="auto" w:fill="auto"/>
          </w:tcPr>
          <w:p w14:paraId="5EA273B4" w14:textId="77777777" w:rsidR="003C66EB" w:rsidRDefault="003C66EB">
            <w:pPr>
              <w:rPr>
                <w:rFonts w:ascii="宋体"/>
                <w:vanish/>
              </w:rPr>
            </w:pPr>
          </w:p>
        </w:tc>
        <w:tc>
          <w:tcPr>
            <w:tcW w:w="0" w:type="auto"/>
            <w:shd w:val="clear" w:color="auto" w:fill="auto"/>
          </w:tcPr>
          <w:p w14:paraId="5EA273B5" w14:textId="77777777" w:rsidR="003C66EB" w:rsidRDefault="003C66EB">
            <w:pPr>
              <w:rPr>
                <w:rFonts w:ascii="宋体"/>
                <w:vanish/>
              </w:rPr>
            </w:pPr>
          </w:p>
        </w:tc>
        <w:tc>
          <w:tcPr>
            <w:tcW w:w="0" w:type="auto"/>
            <w:shd w:val="clear" w:color="auto" w:fill="auto"/>
          </w:tcPr>
          <w:p w14:paraId="5EA273B6" w14:textId="77777777" w:rsidR="003C66EB" w:rsidRDefault="003C66E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3B7" w14:textId="77777777" w:rsidR="003C66EB" w:rsidRDefault="00D96C4E">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73B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3B9" w14:textId="77777777" w:rsidR="003C66EB" w:rsidRDefault="00D96C4E">
            <w:pPr>
              <w:jc w:val="center"/>
              <w:textAlignment w:val="bottom"/>
            </w:pPr>
            <w:r>
              <w:rPr>
                <w:rFonts w:ascii="Arial" w:eastAsia="宋体" w:hAnsi="Arial" w:cs="Arial"/>
                <w:b/>
                <w:bCs/>
                <w:color w:val="000000"/>
                <w:sz w:val="14"/>
                <w:szCs w:val="14"/>
              </w:rPr>
              <w:t>2020</w:t>
            </w:r>
          </w:p>
        </w:tc>
        <w:tc>
          <w:tcPr>
            <w:tcW w:w="0" w:type="auto"/>
            <w:gridSpan w:val="3"/>
            <w:shd w:val="clear" w:color="auto" w:fill="auto"/>
          </w:tcPr>
          <w:p w14:paraId="5EA273BA" w14:textId="77777777" w:rsidR="003C66EB" w:rsidRDefault="003C66EB">
            <w:pPr>
              <w:rPr>
                <w:rFonts w:ascii="宋体"/>
                <w:vanish/>
              </w:rPr>
            </w:pPr>
          </w:p>
        </w:tc>
        <w:tc>
          <w:tcPr>
            <w:tcW w:w="0" w:type="auto"/>
            <w:gridSpan w:val="3"/>
            <w:shd w:val="clear" w:color="auto" w:fill="auto"/>
          </w:tcPr>
          <w:p w14:paraId="5EA273BB" w14:textId="77777777" w:rsidR="003C66EB" w:rsidRDefault="003C66EB">
            <w:pPr>
              <w:rPr>
                <w:rFonts w:ascii="宋体"/>
                <w:vanish/>
              </w:rPr>
            </w:pPr>
          </w:p>
        </w:tc>
      </w:tr>
      <w:tr w:rsidR="003C66EB" w14:paraId="5EA273CA" w14:textId="77777777">
        <w:tc>
          <w:tcPr>
            <w:tcW w:w="0" w:type="auto"/>
            <w:gridSpan w:val="3"/>
            <w:shd w:val="clear" w:color="auto" w:fill="CCEEFF"/>
            <w:tcMar>
              <w:top w:w="40" w:type="dxa"/>
              <w:left w:w="20" w:type="dxa"/>
              <w:bottom w:w="40" w:type="dxa"/>
              <w:right w:w="20" w:type="dxa"/>
            </w:tcMar>
            <w:vAlign w:val="bottom"/>
          </w:tcPr>
          <w:p w14:paraId="5EA273BD" w14:textId="77777777" w:rsidR="003C66EB" w:rsidRDefault="00D96C4E">
            <w:pPr>
              <w:textAlignment w:val="bottom"/>
            </w:pPr>
            <w:r>
              <w:rPr>
                <w:rFonts w:ascii="Arial" w:eastAsia="宋体" w:hAnsi="Arial" w:cs="Arial"/>
                <w:color w:val="000000"/>
                <w:sz w:val="14"/>
                <w:szCs w:val="14"/>
              </w:rPr>
              <w:t>Professional services</w:t>
            </w:r>
          </w:p>
        </w:tc>
        <w:tc>
          <w:tcPr>
            <w:tcW w:w="0" w:type="auto"/>
            <w:shd w:val="clear" w:color="auto" w:fill="auto"/>
          </w:tcPr>
          <w:p w14:paraId="5EA273BE" w14:textId="77777777" w:rsidR="003C66EB" w:rsidRDefault="003C66EB">
            <w:pPr>
              <w:rPr>
                <w:rFonts w:ascii="宋体"/>
                <w:vanish/>
              </w:rPr>
            </w:pPr>
          </w:p>
        </w:tc>
        <w:tc>
          <w:tcPr>
            <w:tcW w:w="0" w:type="auto"/>
            <w:shd w:val="clear" w:color="auto" w:fill="auto"/>
          </w:tcPr>
          <w:p w14:paraId="5EA273BF" w14:textId="77777777" w:rsidR="003C66EB" w:rsidRDefault="003C66EB">
            <w:pPr>
              <w:rPr>
                <w:rFonts w:ascii="宋体"/>
                <w:vanish/>
              </w:rPr>
            </w:pPr>
          </w:p>
        </w:tc>
        <w:tc>
          <w:tcPr>
            <w:tcW w:w="0" w:type="auto"/>
            <w:shd w:val="clear" w:color="auto" w:fill="auto"/>
          </w:tcPr>
          <w:p w14:paraId="5EA273C0"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3C1"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3C2" w14:textId="77777777" w:rsidR="003C66EB" w:rsidRDefault="00D96C4E">
            <w:pPr>
              <w:jc w:val="right"/>
              <w:textAlignment w:val="bottom"/>
            </w:pPr>
            <w:r>
              <w:rPr>
                <w:rFonts w:ascii="Arial" w:eastAsia="宋体" w:hAnsi="Arial" w:cs="Arial"/>
                <w:b/>
                <w:bCs/>
                <w:color w:val="000000"/>
                <w:sz w:val="14"/>
                <w:szCs w:val="14"/>
              </w:rPr>
              <w:t>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3C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C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3C5"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3C6" w14:textId="77777777" w:rsidR="003C66EB" w:rsidRDefault="00D96C4E">
            <w:pPr>
              <w:jc w:val="right"/>
              <w:textAlignment w:val="bottom"/>
            </w:pPr>
            <w:r>
              <w:rPr>
                <w:rFonts w:ascii="Arial" w:eastAsia="宋体" w:hAnsi="Arial" w:cs="Arial"/>
                <w:color w:val="000000"/>
                <w:sz w:val="14"/>
                <w:szCs w:val="14"/>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3C7" w14:textId="77777777" w:rsidR="003C66EB" w:rsidRDefault="003C66EB">
            <w:pPr>
              <w:jc w:val="right"/>
              <w:rPr>
                <w:rFonts w:ascii="宋体"/>
              </w:rPr>
            </w:pPr>
          </w:p>
        </w:tc>
        <w:tc>
          <w:tcPr>
            <w:tcW w:w="0" w:type="auto"/>
            <w:gridSpan w:val="3"/>
            <w:shd w:val="clear" w:color="auto" w:fill="auto"/>
          </w:tcPr>
          <w:p w14:paraId="5EA273C8" w14:textId="77777777" w:rsidR="003C66EB" w:rsidRDefault="003C66EB">
            <w:pPr>
              <w:rPr>
                <w:rFonts w:ascii="宋体"/>
                <w:vanish/>
              </w:rPr>
            </w:pPr>
          </w:p>
        </w:tc>
        <w:tc>
          <w:tcPr>
            <w:tcW w:w="0" w:type="auto"/>
            <w:gridSpan w:val="3"/>
            <w:shd w:val="clear" w:color="auto" w:fill="auto"/>
          </w:tcPr>
          <w:p w14:paraId="5EA273C9" w14:textId="77777777" w:rsidR="003C66EB" w:rsidRDefault="003C66EB">
            <w:pPr>
              <w:rPr>
                <w:rFonts w:ascii="宋体"/>
                <w:vanish/>
              </w:rPr>
            </w:pPr>
          </w:p>
        </w:tc>
      </w:tr>
      <w:tr w:rsidR="003C66EB" w14:paraId="5EA273D6" w14:textId="77777777">
        <w:tc>
          <w:tcPr>
            <w:tcW w:w="0" w:type="auto"/>
            <w:gridSpan w:val="3"/>
            <w:shd w:val="clear" w:color="auto" w:fill="FFFFFF"/>
            <w:tcMar>
              <w:top w:w="40" w:type="dxa"/>
              <w:left w:w="20" w:type="dxa"/>
              <w:bottom w:w="40" w:type="dxa"/>
              <w:right w:w="20" w:type="dxa"/>
            </w:tcMar>
            <w:vAlign w:val="bottom"/>
          </w:tcPr>
          <w:p w14:paraId="5EA273CB" w14:textId="77777777" w:rsidR="003C66EB" w:rsidRDefault="00D96C4E">
            <w:pPr>
              <w:textAlignment w:val="bottom"/>
            </w:pPr>
            <w:r>
              <w:rPr>
                <w:rFonts w:ascii="Arial" w:eastAsia="宋体" w:hAnsi="Arial" w:cs="Arial"/>
                <w:color w:val="000000"/>
                <w:sz w:val="14"/>
                <w:szCs w:val="14"/>
              </w:rPr>
              <w:t>Regulatory fees and assessments</w:t>
            </w:r>
          </w:p>
        </w:tc>
        <w:tc>
          <w:tcPr>
            <w:tcW w:w="0" w:type="auto"/>
            <w:shd w:val="clear" w:color="auto" w:fill="auto"/>
          </w:tcPr>
          <w:p w14:paraId="5EA273CC" w14:textId="77777777" w:rsidR="003C66EB" w:rsidRDefault="003C66EB">
            <w:pPr>
              <w:rPr>
                <w:rFonts w:ascii="宋体"/>
                <w:vanish/>
              </w:rPr>
            </w:pPr>
          </w:p>
        </w:tc>
        <w:tc>
          <w:tcPr>
            <w:tcW w:w="0" w:type="auto"/>
            <w:shd w:val="clear" w:color="auto" w:fill="auto"/>
          </w:tcPr>
          <w:p w14:paraId="5EA273CD" w14:textId="77777777" w:rsidR="003C66EB" w:rsidRDefault="003C66EB">
            <w:pPr>
              <w:rPr>
                <w:rFonts w:ascii="宋体"/>
                <w:vanish/>
              </w:rPr>
            </w:pPr>
          </w:p>
        </w:tc>
        <w:tc>
          <w:tcPr>
            <w:tcW w:w="0" w:type="auto"/>
            <w:shd w:val="clear" w:color="auto" w:fill="auto"/>
          </w:tcPr>
          <w:p w14:paraId="5EA273CE"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3CF" w14:textId="77777777" w:rsidR="003C66EB" w:rsidRDefault="00D96C4E">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3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D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3D2" w14:textId="77777777" w:rsidR="003C66EB" w:rsidRDefault="00D96C4E">
            <w:pPr>
              <w:jc w:val="right"/>
              <w:textAlignment w:val="bottom"/>
            </w:pPr>
            <w:r>
              <w:rPr>
                <w:rFonts w:ascii="Arial" w:eastAsia="宋体" w:hAnsi="Arial" w:cs="Arial"/>
                <w:color w:val="000000"/>
                <w:sz w:val="14"/>
                <w:szCs w:val="14"/>
              </w:rPr>
              <w:t>12 </w:t>
            </w:r>
          </w:p>
        </w:tc>
        <w:tc>
          <w:tcPr>
            <w:tcW w:w="0" w:type="auto"/>
            <w:shd w:val="clear" w:color="auto" w:fill="FFFFFF"/>
            <w:tcMar>
              <w:top w:w="40" w:type="dxa"/>
              <w:left w:w="0" w:type="dxa"/>
              <w:bottom w:w="40" w:type="dxa"/>
              <w:right w:w="20" w:type="dxa"/>
            </w:tcMar>
            <w:vAlign w:val="bottom"/>
          </w:tcPr>
          <w:p w14:paraId="5EA273D3" w14:textId="77777777" w:rsidR="003C66EB" w:rsidRDefault="003C66EB">
            <w:pPr>
              <w:jc w:val="right"/>
              <w:rPr>
                <w:rFonts w:ascii="宋体"/>
              </w:rPr>
            </w:pPr>
          </w:p>
        </w:tc>
        <w:tc>
          <w:tcPr>
            <w:tcW w:w="0" w:type="auto"/>
            <w:gridSpan w:val="3"/>
            <w:shd w:val="clear" w:color="auto" w:fill="auto"/>
          </w:tcPr>
          <w:p w14:paraId="5EA273D4" w14:textId="77777777" w:rsidR="003C66EB" w:rsidRDefault="003C66EB">
            <w:pPr>
              <w:rPr>
                <w:rFonts w:ascii="宋体"/>
                <w:vanish/>
              </w:rPr>
            </w:pPr>
          </w:p>
        </w:tc>
        <w:tc>
          <w:tcPr>
            <w:tcW w:w="0" w:type="auto"/>
            <w:gridSpan w:val="3"/>
            <w:shd w:val="clear" w:color="auto" w:fill="auto"/>
          </w:tcPr>
          <w:p w14:paraId="5EA273D5" w14:textId="77777777" w:rsidR="003C66EB" w:rsidRDefault="003C66EB">
            <w:pPr>
              <w:rPr>
                <w:rFonts w:ascii="宋体"/>
                <w:vanish/>
              </w:rPr>
            </w:pPr>
          </w:p>
        </w:tc>
      </w:tr>
      <w:tr w:rsidR="003C66EB" w14:paraId="5EA273E2" w14:textId="77777777">
        <w:tc>
          <w:tcPr>
            <w:tcW w:w="0" w:type="auto"/>
            <w:gridSpan w:val="3"/>
            <w:shd w:val="clear" w:color="auto" w:fill="CCEEFF"/>
            <w:tcMar>
              <w:top w:w="40" w:type="dxa"/>
              <w:left w:w="20" w:type="dxa"/>
              <w:bottom w:w="40" w:type="dxa"/>
              <w:right w:w="20" w:type="dxa"/>
            </w:tcMar>
            <w:vAlign w:val="bottom"/>
          </w:tcPr>
          <w:p w14:paraId="5EA273D7" w14:textId="77777777" w:rsidR="003C66EB" w:rsidRDefault="00D96C4E">
            <w:pPr>
              <w:textAlignment w:val="bottom"/>
            </w:pPr>
            <w:r>
              <w:rPr>
                <w:rFonts w:ascii="Arial" w:eastAsia="宋体" w:hAnsi="Arial" w:cs="Arial"/>
                <w:color w:val="000000"/>
                <w:sz w:val="14"/>
                <w:szCs w:val="14"/>
              </w:rPr>
              <w:t>Sales advertising public relations</w:t>
            </w:r>
          </w:p>
        </w:tc>
        <w:tc>
          <w:tcPr>
            <w:tcW w:w="0" w:type="auto"/>
            <w:shd w:val="clear" w:color="auto" w:fill="auto"/>
          </w:tcPr>
          <w:p w14:paraId="5EA273D8" w14:textId="77777777" w:rsidR="003C66EB" w:rsidRDefault="003C66EB">
            <w:pPr>
              <w:rPr>
                <w:rFonts w:ascii="宋体"/>
                <w:vanish/>
              </w:rPr>
            </w:pPr>
          </w:p>
        </w:tc>
        <w:tc>
          <w:tcPr>
            <w:tcW w:w="0" w:type="auto"/>
            <w:shd w:val="clear" w:color="auto" w:fill="auto"/>
          </w:tcPr>
          <w:p w14:paraId="5EA273D9" w14:textId="77777777" w:rsidR="003C66EB" w:rsidRDefault="003C66EB">
            <w:pPr>
              <w:rPr>
                <w:rFonts w:ascii="宋体"/>
                <w:vanish/>
              </w:rPr>
            </w:pPr>
          </w:p>
        </w:tc>
        <w:tc>
          <w:tcPr>
            <w:tcW w:w="0" w:type="auto"/>
            <w:shd w:val="clear" w:color="auto" w:fill="auto"/>
          </w:tcPr>
          <w:p w14:paraId="5EA273D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3DB" w14:textId="77777777" w:rsidR="003C66EB" w:rsidRDefault="00D96C4E">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3D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D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3DE" w14:textId="77777777" w:rsidR="003C66EB" w:rsidRDefault="00D96C4E">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5EA273DF" w14:textId="77777777" w:rsidR="003C66EB" w:rsidRDefault="003C66EB">
            <w:pPr>
              <w:jc w:val="right"/>
              <w:rPr>
                <w:rFonts w:ascii="宋体"/>
              </w:rPr>
            </w:pPr>
          </w:p>
        </w:tc>
        <w:tc>
          <w:tcPr>
            <w:tcW w:w="0" w:type="auto"/>
            <w:gridSpan w:val="3"/>
            <w:shd w:val="clear" w:color="auto" w:fill="auto"/>
          </w:tcPr>
          <w:p w14:paraId="5EA273E0" w14:textId="77777777" w:rsidR="003C66EB" w:rsidRDefault="003C66EB">
            <w:pPr>
              <w:rPr>
                <w:rFonts w:ascii="宋体"/>
                <w:vanish/>
              </w:rPr>
            </w:pPr>
          </w:p>
        </w:tc>
        <w:tc>
          <w:tcPr>
            <w:tcW w:w="0" w:type="auto"/>
            <w:gridSpan w:val="3"/>
            <w:shd w:val="clear" w:color="auto" w:fill="auto"/>
          </w:tcPr>
          <w:p w14:paraId="5EA273E1" w14:textId="77777777" w:rsidR="003C66EB" w:rsidRDefault="003C66EB">
            <w:pPr>
              <w:rPr>
                <w:rFonts w:ascii="宋体"/>
                <w:vanish/>
              </w:rPr>
            </w:pPr>
          </w:p>
        </w:tc>
      </w:tr>
      <w:tr w:rsidR="003C66EB" w14:paraId="5EA273EE" w14:textId="77777777">
        <w:tc>
          <w:tcPr>
            <w:tcW w:w="0" w:type="auto"/>
            <w:gridSpan w:val="3"/>
            <w:shd w:val="clear" w:color="auto" w:fill="FFFFFF"/>
            <w:tcMar>
              <w:top w:w="40" w:type="dxa"/>
              <w:left w:w="20" w:type="dxa"/>
              <w:bottom w:w="40" w:type="dxa"/>
              <w:right w:w="20" w:type="dxa"/>
            </w:tcMar>
            <w:vAlign w:val="bottom"/>
          </w:tcPr>
          <w:p w14:paraId="5EA273E3" w14:textId="77777777" w:rsidR="003C66EB" w:rsidRDefault="00D96C4E">
            <w:pPr>
              <w:textAlignment w:val="bottom"/>
            </w:pPr>
            <w:r>
              <w:rPr>
                <w:rFonts w:ascii="Arial" w:eastAsia="宋体" w:hAnsi="Arial" w:cs="Arial"/>
                <w:color w:val="000000"/>
                <w:sz w:val="14"/>
                <w:szCs w:val="14"/>
              </w:rPr>
              <w:t>Securities processing</w:t>
            </w:r>
          </w:p>
        </w:tc>
        <w:tc>
          <w:tcPr>
            <w:tcW w:w="0" w:type="auto"/>
            <w:shd w:val="clear" w:color="auto" w:fill="auto"/>
          </w:tcPr>
          <w:p w14:paraId="5EA273E4" w14:textId="77777777" w:rsidR="003C66EB" w:rsidRDefault="003C66EB">
            <w:pPr>
              <w:rPr>
                <w:rFonts w:ascii="宋体"/>
                <w:vanish/>
              </w:rPr>
            </w:pPr>
          </w:p>
        </w:tc>
        <w:tc>
          <w:tcPr>
            <w:tcW w:w="0" w:type="auto"/>
            <w:shd w:val="clear" w:color="auto" w:fill="auto"/>
          </w:tcPr>
          <w:p w14:paraId="5EA273E5" w14:textId="77777777" w:rsidR="003C66EB" w:rsidRDefault="003C66EB">
            <w:pPr>
              <w:rPr>
                <w:rFonts w:ascii="宋体"/>
                <w:vanish/>
              </w:rPr>
            </w:pPr>
          </w:p>
        </w:tc>
        <w:tc>
          <w:tcPr>
            <w:tcW w:w="0" w:type="auto"/>
            <w:shd w:val="clear" w:color="auto" w:fill="auto"/>
          </w:tcPr>
          <w:p w14:paraId="5EA273E6"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3E7" w14:textId="77777777" w:rsidR="003C66EB" w:rsidRDefault="00D96C4E">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3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3E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3EA" w14:textId="77777777" w:rsidR="003C66EB" w:rsidRDefault="00D96C4E">
            <w:pPr>
              <w:jc w:val="right"/>
              <w:textAlignment w:val="bottom"/>
            </w:pPr>
            <w:r>
              <w:rPr>
                <w:rFonts w:ascii="Arial" w:eastAsia="宋体" w:hAnsi="Arial" w:cs="Arial"/>
                <w:color w:val="000000"/>
                <w:sz w:val="14"/>
                <w:szCs w:val="14"/>
              </w:rPr>
              <w:t>15 </w:t>
            </w:r>
          </w:p>
        </w:tc>
        <w:tc>
          <w:tcPr>
            <w:tcW w:w="0" w:type="auto"/>
            <w:shd w:val="clear" w:color="auto" w:fill="FFFFFF"/>
            <w:tcMar>
              <w:top w:w="40" w:type="dxa"/>
              <w:left w:w="0" w:type="dxa"/>
              <w:bottom w:w="40" w:type="dxa"/>
              <w:right w:w="20" w:type="dxa"/>
            </w:tcMar>
            <w:vAlign w:val="bottom"/>
          </w:tcPr>
          <w:p w14:paraId="5EA273EB" w14:textId="77777777" w:rsidR="003C66EB" w:rsidRDefault="003C66EB">
            <w:pPr>
              <w:jc w:val="right"/>
              <w:rPr>
                <w:rFonts w:ascii="宋体"/>
              </w:rPr>
            </w:pPr>
          </w:p>
        </w:tc>
        <w:tc>
          <w:tcPr>
            <w:tcW w:w="0" w:type="auto"/>
            <w:gridSpan w:val="3"/>
            <w:shd w:val="clear" w:color="auto" w:fill="auto"/>
          </w:tcPr>
          <w:p w14:paraId="5EA273EC" w14:textId="77777777" w:rsidR="003C66EB" w:rsidRDefault="003C66EB">
            <w:pPr>
              <w:rPr>
                <w:rFonts w:ascii="宋体"/>
                <w:vanish/>
              </w:rPr>
            </w:pPr>
          </w:p>
        </w:tc>
        <w:tc>
          <w:tcPr>
            <w:tcW w:w="0" w:type="auto"/>
            <w:gridSpan w:val="3"/>
            <w:shd w:val="clear" w:color="auto" w:fill="auto"/>
          </w:tcPr>
          <w:p w14:paraId="5EA273ED" w14:textId="77777777" w:rsidR="003C66EB" w:rsidRDefault="003C66EB">
            <w:pPr>
              <w:rPr>
                <w:rFonts w:ascii="宋体"/>
                <w:vanish/>
              </w:rPr>
            </w:pPr>
          </w:p>
        </w:tc>
      </w:tr>
      <w:tr w:rsidR="003C66EB" w14:paraId="5EA273FA" w14:textId="77777777">
        <w:tc>
          <w:tcPr>
            <w:tcW w:w="0" w:type="auto"/>
            <w:gridSpan w:val="3"/>
            <w:shd w:val="clear" w:color="auto" w:fill="CCEEFF"/>
            <w:tcMar>
              <w:top w:w="40" w:type="dxa"/>
              <w:left w:w="20" w:type="dxa"/>
              <w:bottom w:w="40" w:type="dxa"/>
              <w:right w:w="20" w:type="dxa"/>
            </w:tcMar>
            <w:vAlign w:val="bottom"/>
          </w:tcPr>
          <w:p w14:paraId="5EA273EF" w14:textId="77777777" w:rsidR="003C66EB" w:rsidRDefault="00D96C4E">
            <w:pPr>
              <w:textAlignment w:val="bottom"/>
            </w:pPr>
            <w:r>
              <w:rPr>
                <w:rFonts w:ascii="Arial" w:eastAsia="宋体" w:hAnsi="Arial" w:cs="Arial"/>
                <w:color w:val="000000"/>
                <w:sz w:val="14"/>
                <w:szCs w:val="14"/>
              </w:rPr>
              <w:t>Insurance</w:t>
            </w:r>
          </w:p>
        </w:tc>
        <w:tc>
          <w:tcPr>
            <w:tcW w:w="0" w:type="auto"/>
            <w:shd w:val="clear" w:color="auto" w:fill="auto"/>
          </w:tcPr>
          <w:p w14:paraId="5EA273F0" w14:textId="77777777" w:rsidR="003C66EB" w:rsidRDefault="003C66EB">
            <w:pPr>
              <w:rPr>
                <w:rFonts w:ascii="宋体"/>
                <w:vanish/>
              </w:rPr>
            </w:pPr>
          </w:p>
        </w:tc>
        <w:tc>
          <w:tcPr>
            <w:tcW w:w="0" w:type="auto"/>
            <w:shd w:val="clear" w:color="auto" w:fill="auto"/>
          </w:tcPr>
          <w:p w14:paraId="5EA273F1" w14:textId="77777777" w:rsidR="003C66EB" w:rsidRDefault="003C66EB">
            <w:pPr>
              <w:rPr>
                <w:rFonts w:ascii="宋体"/>
                <w:vanish/>
              </w:rPr>
            </w:pPr>
          </w:p>
        </w:tc>
        <w:tc>
          <w:tcPr>
            <w:tcW w:w="0" w:type="auto"/>
            <w:shd w:val="clear" w:color="auto" w:fill="auto"/>
          </w:tcPr>
          <w:p w14:paraId="5EA273F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3F3" w14:textId="77777777" w:rsidR="003C66EB" w:rsidRDefault="00D96C4E">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3F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3F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3F6" w14:textId="77777777" w:rsidR="003C66EB" w:rsidRDefault="00D96C4E">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5EA273F7" w14:textId="77777777" w:rsidR="003C66EB" w:rsidRDefault="003C66EB">
            <w:pPr>
              <w:jc w:val="right"/>
              <w:rPr>
                <w:rFonts w:ascii="宋体"/>
              </w:rPr>
            </w:pPr>
          </w:p>
        </w:tc>
        <w:tc>
          <w:tcPr>
            <w:tcW w:w="0" w:type="auto"/>
            <w:gridSpan w:val="3"/>
            <w:shd w:val="clear" w:color="auto" w:fill="auto"/>
          </w:tcPr>
          <w:p w14:paraId="5EA273F8" w14:textId="77777777" w:rsidR="003C66EB" w:rsidRDefault="003C66EB">
            <w:pPr>
              <w:rPr>
                <w:rFonts w:ascii="宋体"/>
                <w:vanish/>
              </w:rPr>
            </w:pPr>
          </w:p>
        </w:tc>
        <w:tc>
          <w:tcPr>
            <w:tcW w:w="0" w:type="auto"/>
            <w:gridSpan w:val="3"/>
            <w:shd w:val="clear" w:color="auto" w:fill="auto"/>
          </w:tcPr>
          <w:p w14:paraId="5EA273F9" w14:textId="77777777" w:rsidR="003C66EB" w:rsidRDefault="003C66EB">
            <w:pPr>
              <w:rPr>
                <w:rFonts w:ascii="宋体"/>
                <w:vanish/>
              </w:rPr>
            </w:pPr>
          </w:p>
        </w:tc>
      </w:tr>
      <w:tr w:rsidR="003C66EB" w14:paraId="5EA27404" w14:textId="77777777">
        <w:trPr>
          <w:hidden/>
        </w:trPr>
        <w:tc>
          <w:tcPr>
            <w:tcW w:w="0" w:type="auto"/>
            <w:gridSpan w:val="3"/>
            <w:shd w:val="clear" w:color="auto" w:fill="auto"/>
          </w:tcPr>
          <w:p w14:paraId="5EA273FB" w14:textId="77777777" w:rsidR="003C66EB" w:rsidRDefault="003C66EB">
            <w:pPr>
              <w:rPr>
                <w:rFonts w:ascii="宋体"/>
                <w:vanish/>
              </w:rPr>
            </w:pPr>
          </w:p>
        </w:tc>
        <w:tc>
          <w:tcPr>
            <w:tcW w:w="0" w:type="auto"/>
            <w:shd w:val="clear" w:color="auto" w:fill="auto"/>
          </w:tcPr>
          <w:p w14:paraId="5EA273FC" w14:textId="77777777" w:rsidR="003C66EB" w:rsidRDefault="003C66EB">
            <w:pPr>
              <w:rPr>
                <w:rFonts w:ascii="宋体"/>
                <w:vanish/>
              </w:rPr>
            </w:pPr>
          </w:p>
        </w:tc>
        <w:tc>
          <w:tcPr>
            <w:tcW w:w="0" w:type="auto"/>
            <w:shd w:val="clear" w:color="auto" w:fill="auto"/>
          </w:tcPr>
          <w:p w14:paraId="5EA273FD" w14:textId="77777777" w:rsidR="003C66EB" w:rsidRDefault="003C66EB">
            <w:pPr>
              <w:rPr>
                <w:rFonts w:ascii="宋体"/>
                <w:vanish/>
              </w:rPr>
            </w:pPr>
          </w:p>
        </w:tc>
        <w:tc>
          <w:tcPr>
            <w:tcW w:w="0" w:type="auto"/>
            <w:shd w:val="clear" w:color="auto" w:fill="auto"/>
          </w:tcPr>
          <w:p w14:paraId="5EA273FE" w14:textId="77777777" w:rsidR="003C66EB" w:rsidRDefault="003C66EB">
            <w:pPr>
              <w:rPr>
                <w:rFonts w:ascii="宋体"/>
                <w:vanish/>
              </w:rPr>
            </w:pPr>
          </w:p>
        </w:tc>
        <w:tc>
          <w:tcPr>
            <w:tcW w:w="0" w:type="auto"/>
            <w:gridSpan w:val="3"/>
            <w:shd w:val="clear" w:color="auto" w:fill="auto"/>
          </w:tcPr>
          <w:p w14:paraId="5EA273FF" w14:textId="77777777" w:rsidR="003C66EB" w:rsidRDefault="003C66EB">
            <w:pPr>
              <w:rPr>
                <w:rFonts w:ascii="宋体"/>
                <w:vanish/>
              </w:rPr>
            </w:pPr>
          </w:p>
        </w:tc>
        <w:tc>
          <w:tcPr>
            <w:tcW w:w="0" w:type="auto"/>
            <w:gridSpan w:val="3"/>
            <w:shd w:val="clear" w:color="auto" w:fill="auto"/>
          </w:tcPr>
          <w:p w14:paraId="5EA27400" w14:textId="77777777" w:rsidR="003C66EB" w:rsidRDefault="003C66EB">
            <w:pPr>
              <w:rPr>
                <w:rFonts w:ascii="宋体"/>
                <w:vanish/>
              </w:rPr>
            </w:pPr>
          </w:p>
        </w:tc>
        <w:tc>
          <w:tcPr>
            <w:tcW w:w="0" w:type="auto"/>
            <w:gridSpan w:val="3"/>
            <w:shd w:val="clear" w:color="auto" w:fill="auto"/>
          </w:tcPr>
          <w:p w14:paraId="5EA27401" w14:textId="77777777" w:rsidR="003C66EB" w:rsidRDefault="003C66EB">
            <w:pPr>
              <w:rPr>
                <w:rFonts w:ascii="宋体"/>
                <w:vanish/>
              </w:rPr>
            </w:pPr>
          </w:p>
        </w:tc>
        <w:tc>
          <w:tcPr>
            <w:tcW w:w="0" w:type="auto"/>
            <w:gridSpan w:val="3"/>
            <w:shd w:val="clear" w:color="auto" w:fill="auto"/>
          </w:tcPr>
          <w:p w14:paraId="5EA27402" w14:textId="77777777" w:rsidR="003C66EB" w:rsidRDefault="003C66EB">
            <w:pPr>
              <w:rPr>
                <w:rFonts w:ascii="宋体"/>
                <w:vanish/>
              </w:rPr>
            </w:pPr>
          </w:p>
        </w:tc>
        <w:tc>
          <w:tcPr>
            <w:tcW w:w="0" w:type="auto"/>
            <w:gridSpan w:val="3"/>
            <w:shd w:val="clear" w:color="auto" w:fill="auto"/>
          </w:tcPr>
          <w:p w14:paraId="5EA27403" w14:textId="77777777" w:rsidR="003C66EB" w:rsidRDefault="003C66EB">
            <w:pPr>
              <w:rPr>
                <w:rFonts w:ascii="宋体"/>
                <w:vanish/>
              </w:rPr>
            </w:pPr>
          </w:p>
        </w:tc>
      </w:tr>
      <w:tr w:rsidR="003C66EB" w14:paraId="5EA27410" w14:textId="77777777">
        <w:tc>
          <w:tcPr>
            <w:tcW w:w="0" w:type="auto"/>
            <w:gridSpan w:val="3"/>
            <w:shd w:val="clear" w:color="auto" w:fill="FFFFFF"/>
            <w:tcMar>
              <w:top w:w="40" w:type="dxa"/>
              <w:left w:w="20" w:type="dxa"/>
              <w:bottom w:w="40" w:type="dxa"/>
              <w:right w:w="20" w:type="dxa"/>
            </w:tcMar>
            <w:vAlign w:val="bottom"/>
          </w:tcPr>
          <w:p w14:paraId="5EA27405" w14:textId="77777777" w:rsidR="003C66EB" w:rsidRDefault="00D96C4E">
            <w:pPr>
              <w:textAlignment w:val="bottom"/>
            </w:pPr>
            <w:r>
              <w:rPr>
                <w:rFonts w:ascii="Arial" w:eastAsia="宋体" w:hAnsi="Arial" w:cs="Arial"/>
                <w:color w:val="000000"/>
                <w:sz w:val="14"/>
                <w:szCs w:val="14"/>
              </w:rPr>
              <w:t>Bank operations</w:t>
            </w:r>
          </w:p>
        </w:tc>
        <w:tc>
          <w:tcPr>
            <w:tcW w:w="0" w:type="auto"/>
            <w:shd w:val="clear" w:color="auto" w:fill="auto"/>
          </w:tcPr>
          <w:p w14:paraId="5EA27406" w14:textId="77777777" w:rsidR="003C66EB" w:rsidRDefault="003C66EB">
            <w:pPr>
              <w:rPr>
                <w:rFonts w:ascii="宋体"/>
                <w:vanish/>
              </w:rPr>
            </w:pPr>
          </w:p>
        </w:tc>
        <w:tc>
          <w:tcPr>
            <w:tcW w:w="0" w:type="auto"/>
            <w:shd w:val="clear" w:color="auto" w:fill="auto"/>
          </w:tcPr>
          <w:p w14:paraId="5EA27407" w14:textId="77777777" w:rsidR="003C66EB" w:rsidRDefault="003C66EB">
            <w:pPr>
              <w:rPr>
                <w:rFonts w:ascii="宋体"/>
                <w:vanish/>
              </w:rPr>
            </w:pPr>
          </w:p>
        </w:tc>
        <w:tc>
          <w:tcPr>
            <w:tcW w:w="0" w:type="auto"/>
            <w:shd w:val="clear" w:color="auto" w:fill="auto"/>
          </w:tcPr>
          <w:p w14:paraId="5EA2740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409"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40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40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40C" w14:textId="77777777" w:rsidR="003C66EB" w:rsidRDefault="00D96C4E">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5EA2740D" w14:textId="77777777" w:rsidR="003C66EB" w:rsidRDefault="003C66EB">
            <w:pPr>
              <w:jc w:val="right"/>
              <w:rPr>
                <w:rFonts w:ascii="宋体"/>
              </w:rPr>
            </w:pPr>
          </w:p>
        </w:tc>
        <w:tc>
          <w:tcPr>
            <w:tcW w:w="0" w:type="auto"/>
            <w:gridSpan w:val="3"/>
            <w:shd w:val="clear" w:color="auto" w:fill="auto"/>
          </w:tcPr>
          <w:p w14:paraId="5EA2740E" w14:textId="77777777" w:rsidR="003C66EB" w:rsidRDefault="003C66EB">
            <w:pPr>
              <w:rPr>
                <w:rFonts w:ascii="宋体"/>
                <w:vanish/>
              </w:rPr>
            </w:pPr>
          </w:p>
        </w:tc>
        <w:tc>
          <w:tcPr>
            <w:tcW w:w="0" w:type="auto"/>
            <w:gridSpan w:val="3"/>
            <w:shd w:val="clear" w:color="auto" w:fill="auto"/>
          </w:tcPr>
          <w:p w14:paraId="5EA2740F" w14:textId="77777777" w:rsidR="003C66EB" w:rsidRDefault="003C66EB">
            <w:pPr>
              <w:rPr>
                <w:rFonts w:ascii="宋体"/>
                <w:vanish/>
              </w:rPr>
            </w:pPr>
          </w:p>
        </w:tc>
      </w:tr>
      <w:tr w:rsidR="003C66EB" w14:paraId="5EA2741A" w14:textId="77777777">
        <w:trPr>
          <w:hidden/>
        </w:trPr>
        <w:tc>
          <w:tcPr>
            <w:tcW w:w="0" w:type="auto"/>
            <w:gridSpan w:val="3"/>
            <w:shd w:val="clear" w:color="auto" w:fill="auto"/>
          </w:tcPr>
          <w:p w14:paraId="5EA27411" w14:textId="77777777" w:rsidR="003C66EB" w:rsidRDefault="003C66EB">
            <w:pPr>
              <w:rPr>
                <w:rFonts w:ascii="宋体"/>
                <w:vanish/>
              </w:rPr>
            </w:pPr>
          </w:p>
        </w:tc>
        <w:tc>
          <w:tcPr>
            <w:tcW w:w="0" w:type="auto"/>
            <w:shd w:val="clear" w:color="auto" w:fill="auto"/>
          </w:tcPr>
          <w:p w14:paraId="5EA27412" w14:textId="77777777" w:rsidR="003C66EB" w:rsidRDefault="003C66EB">
            <w:pPr>
              <w:rPr>
                <w:rFonts w:ascii="宋体"/>
                <w:vanish/>
              </w:rPr>
            </w:pPr>
          </w:p>
        </w:tc>
        <w:tc>
          <w:tcPr>
            <w:tcW w:w="0" w:type="auto"/>
            <w:shd w:val="clear" w:color="auto" w:fill="auto"/>
          </w:tcPr>
          <w:p w14:paraId="5EA27413" w14:textId="77777777" w:rsidR="003C66EB" w:rsidRDefault="003C66EB">
            <w:pPr>
              <w:rPr>
                <w:rFonts w:ascii="宋体"/>
                <w:vanish/>
              </w:rPr>
            </w:pPr>
          </w:p>
        </w:tc>
        <w:tc>
          <w:tcPr>
            <w:tcW w:w="0" w:type="auto"/>
            <w:shd w:val="clear" w:color="auto" w:fill="auto"/>
          </w:tcPr>
          <w:p w14:paraId="5EA27414" w14:textId="77777777" w:rsidR="003C66EB" w:rsidRDefault="003C66EB">
            <w:pPr>
              <w:rPr>
                <w:rFonts w:ascii="宋体"/>
                <w:vanish/>
              </w:rPr>
            </w:pPr>
          </w:p>
        </w:tc>
        <w:tc>
          <w:tcPr>
            <w:tcW w:w="0" w:type="auto"/>
            <w:gridSpan w:val="3"/>
            <w:shd w:val="clear" w:color="auto" w:fill="auto"/>
          </w:tcPr>
          <w:p w14:paraId="5EA27415" w14:textId="77777777" w:rsidR="003C66EB" w:rsidRDefault="003C66EB">
            <w:pPr>
              <w:rPr>
                <w:rFonts w:ascii="宋体"/>
                <w:vanish/>
              </w:rPr>
            </w:pPr>
          </w:p>
        </w:tc>
        <w:tc>
          <w:tcPr>
            <w:tcW w:w="0" w:type="auto"/>
            <w:gridSpan w:val="3"/>
            <w:shd w:val="clear" w:color="auto" w:fill="auto"/>
          </w:tcPr>
          <w:p w14:paraId="5EA27416" w14:textId="77777777" w:rsidR="003C66EB" w:rsidRDefault="003C66EB">
            <w:pPr>
              <w:rPr>
                <w:rFonts w:ascii="宋体"/>
                <w:vanish/>
              </w:rPr>
            </w:pPr>
          </w:p>
        </w:tc>
        <w:tc>
          <w:tcPr>
            <w:tcW w:w="0" w:type="auto"/>
            <w:gridSpan w:val="3"/>
            <w:shd w:val="clear" w:color="auto" w:fill="auto"/>
          </w:tcPr>
          <w:p w14:paraId="5EA27417" w14:textId="77777777" w:rsidR="003C66EB" w:rsidRDefault="003C66EB">
            <w:pPr>
              <w:rPr>
                <w:rFonts w:ascii="宋体"/>
                <w:vanish/>
              </w:rPr>
            </w:pPr>
          </w:p>
        </w:tc>
        <w:tc>
          <w:tcPr>
            <w:tcW w:w="0" w:type="auto"/>
            <w:gridSpan w:val="3"/>
            <w:shd w:val="clear" w:color="auto" w:fill="auto"/>
          </w:tcPr>
          <w:p w14:paraId="5EA27418" w14:textId="77777777" w:rsidR="003C66EB" w:rsidRDefault="003C66EB">
            <w:pPr>
              <w:rPr>
                <w:rFonts w:ascii="宋体"/>
                <w:vanish/>
              </w:rPr>
            </w:pPr>
          </w:p>
        </w:tc>
        <w:tc>
          <w:tcPr>
            <w:tcW w:w="0" w:type="auto"/>
            <w:gridSpan w:val="3"/>
            <w:shd w:val="clear" w:color="auto" w:fill="auto"/>
          </w:tcPr>
          <w:p w14:paraId="5EA27419" w14:textId="77777777" w:rsidR="003C66EB" w:rsidRDefault="003C66EB">
            <w:pPr>
              <w:rPr>
                <w:rFonts w:ascii="宋体"/>
                <w:vanish/>
              </w:rPr>
            </w:pPr>
          </w:p>
        </w:tc>
      </w:tr>
      <w:tr w:rsidR="003C66EB" w14:paraId="5EA27426" w14:textId="77777777">
        <w:tc>
          <w:tcPr>
            <w:tcW w:w="0" w:type="auto"/>
            <w:gridSpan w:val="3"/>
            <w:shd w:val="clear" w:color="auto" w:fill="CCEEFF"/>
            <w:tcMar>
              <w:top w:w="40" w:type="dxa"/>
              <w:left w:w="20" w:type="dxa"/>
              <w:bottom w:w="40" w:type="dxa"/>
              <w:right w:w="20" w:type="dxa"/>
            </w:tcMar>
            <w:vAlign w:val="bottom"/>
          </w:tcPr>
          <w:p w14:paraId="5EA2741B" w14:textId="77777777" w:rsidR="003C66EB" w:rsidRDefault="00D96C4E">
            <w:pPr>
              <w:textAlignment w:val="bottom"/>
            </w:pPr>
            <w:r>
              <w:rPr>
                <w:rFonts w:ascii="Arial" w:eastAsia="宋体" w:hAnsi="Arial" w:cs="Arial"/>
                <w:color w:val="000000"/>
                <w:sz w:val="14"/>
                <w:szCs w:val="14"/>
              </w:rPr>
              <w:t>Other</w:t>
            </w:r>
          </w:p>
        </w:tc>
        <w:tc>
          <w:tcPr>
            <w:tcW w:w="0" w:type="auto"/>
            <w:shd w:val="clear" w:color="auto" w:fill="auto"/>
          </w:tcPr>
          <w:p w14:paraId="5EA2741C" w14:textId="77777777" w:rsidR="003C66EB" w:rsidRDefault="003C66EB">
            <w:pPr>
              <w:rPr>
                <w:rFonts w:ascii="宋体"/>
                <w:vanish/>
              </w:rPr>
            </w:pPr>
          </w:p>
        </w:tc>
        <w:tc>
          <w:tcPr>
            <w:tcW w:w="0" w:type="auto"/>
            <w:shd w:val="clear" w:color="auto" w:fill="auto"/>
          </w:tcPr>
          <w:p w14:paraId="5EA2741D" w14:textId="77777777" w:rsidR="003C66EB" w:rsidRDefault="003C66EB">
            <w:pPr>
              <w:rPr>
                <w:rFonts w:ascii="宋体"/>
                <w:vanish/>
              </w:rPr>
            </w:pPr>
          </w:p>
        </w:tc>
        <w:tc>
          <w:tcPr>
            <w:tcW w:w="0" w:type="auto"/>
            <w:shd w:val="clear" w:color="auto" w:fill="auto"/>
          </w:tcPr>
          <w:p w14:paraId="5EA2741E"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41F" w14:textId="77777777" w:rsidR="003C66EB" w:rsidRDefault="00D96C4E">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42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2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422" w14:textId="77777777" w:rsidR="003C66EB" w:rsidRDefault="00D96C4E">
            <w:pPr>
              <w:jc w:val="right"/>
              <w:textAlignment w:val="bottom"/>
            </w:pPr>
            <w:r>
              <w:rPr>
                <w:rFonts w:ascii="Arial" w:eastAsia="宋体" w:hAnsi="Arial" w:cs="Arial"/>
                <w:color w:val="000000"/>
                <w:sz w:val="14"/>
                <w:szCs w:val="14"/>
              </w:rPr>
              <w:t>90 </w:t>
            </w:r>
          </w:p>
        </w:tc>
        <w:tc>
          <w:tcPr>
            <w:tcW w:w="0" w:type="auto"/>
            <w:shd w:val="clear" w:color="auto" w:fill="CCEEFF"/>
            <w:tcMar>
              <w:top w:w="40" w:type="dxa"/>
              <w:left w:w="0" w:type="dxa"/>
              <w:bottom w:w="40" w:type="dxa"/>
              <w:right w:w="20" w:type="dxa"/>
            </w:tcMar>
            <w:vAlign w:val="bottom"/>
          </w:tcPr>
          <w:p w14:paraId="5EA27423" w14:textId="77777777" w:rsidR="003C66EB" w:rsidRDefault="003C66EB">
            <w:pPr>
              <w:jc w:val="right"/>
              <w:rPr>
                <w:rFonts w:ascii="宋体"/>
              </w:rPr>
            </w:pPr>
          </w:p>
        </w:tc>
        <w:tc>
          <w:tcPr>
            <w:tcW w:w="0" w:type="auto"/>
            <w:gridSpan w:val="3"/>
            <w:shd w:val="clear" w:color="auto" w:fill="auto"/>
          </w:tcPr>
          <w:p w14:paraId="5EA27424" w14:textId="77777777" w:rsidR="003C66EB" w:rsidRDefault="003C66EB">
            <w:pPr>
              <w:rPr>
                <w:rFonts w:ascii="宋体"/>
                <w:vanish/>
              </w:rPr>
            </w:pPr>
          </w:p>
        </w:tc>
        <w:tc>
          <w:tcPr>
            <w:tcW w:w="0" w:type="auto"/>
            <w:gridSpan w:val="3"/>
            <w:shd w:val="clear" w:color="auto" w:fill="auto"/>
          </w:tcPr>
          <w:p w14:paraId="5EA27425" w14:textId="77777777" w:rsidR="003C66EB" w:rsidRDefault="003C66EB">
            <w:pPr>
              <w:rPr>
                <w:rFonts w:ascii="宋体"/>
                <w:vanish/>
              </w:rPr>
            </w:pPr>
          </w:p>
        </w:tc>
      </w:tr>
      <w:tr w:rsidR="003C66EB" w14:paraId="5EA27434" w14:textId="77777777">
        <w:tc>
          <w:tcPr>
            <w:tcW w:w="0" w:type="auto"/>
            <w:gridSpan w:val="3"/>
            <w:shd w:val="clear" w:color="auto" w:fill="FFFFFF"/>
            <w:tcMar>
              <w:top w:w="40" w:type="dxa"/>
              <w:left w:w="20" w:type="dxa"/>
              <w:bottom w:w="40" w:type="dxa"/>
              <w:right w:w="20" w:type="dxa"/>
            </w:tcMar>
            <w:vAlign w:val="bottom"/>
          </w:tcPr>
          <w:p w14:paraId="5EA27427" w14:textId="77777777" w:rsidR="003C66EB" w:rsidRDefault="00D96C4E">
            <w:pPr>
              <w:textAlignment w:val="bottom"/>
            </w:pPr>
            <w:r>
              <w:rPr>
                <w:rFonts w:ascii="Arial" w:eastAsia="宋体" w:hAnsi="Arial" w:cs="Arial"/>
                <w:color w:val="000000"/>
                <w:sz w:val="14"/>
                <w:szCs w:val="14"/>
              </w:rPr>
              <w:t>Total other expenses</w:t>
            </w:r>
          </w:p>
        </w:tc>
        <w:tc>
          <w:tcPr>
            <w:tcW w:w="0" w:type="auto"/>
            <w:shd w:val="clear" w:color="auto" w:fill="auto"/>
          </w:tcPr>
          <w:p w14:paraId="5EA27428" w14:textId="77777777" w:rsidR="003C66EB" w:rsidRDefault="003C66EB">
            <w:pPr>
              <w:rPr>
                <w:rFonts w:ascii="宋体"/>
                <w:vanish/>
              </w:rPr>
            </w:pPr>
          </w:p>
        </w:tc>
        <w:tc>
          <w:tcPr>
            <w:tcW w:w="0" w:type="auto"/>
            <w:shd w:val="clear" w:color="auto" w:fill="auto"/>
          </w:tcPr>
          <w:p w14:paraId="5EA27429" w14:textId="77777777" w:rsidR="003C66EB" w:rsidRDefault="003C66EB">
            <w:pPr>
              <w:rPr>
                <w:rFonts w:ascii="宋体"/>
                <w:vanish/>
              </w:rPr>
            </w:pPr>
          </w:p>
        </w:tc>
        <w:tc>
          <w:tcPr>
            <w:tcW w:w="0" w:type="auto"/>
            <w:shd w:val="clear" w:color="auto" w:fill="auto"/>
          </w:tcPr>
          <w:p w14:paraId="5EA2742A" w14:textId="77777777" w:rsidR="003C66EB" w:rsidRDefault="003C66EB">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42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42C" w14:textId="77777777" w:rsidR="003C66EB" w:rsidRDefault="00D96C4E">
            <w:pPr>
              <w:jc w:val="right"/>
              <w:textAlignment w:val="bottom"/>
            </w:pPr>
            <w:r>
              <w:rPr>
                <w:rFonts w:ascii="Arial" w:eastAsia="宋体" w:hAnsi="Arial" w:cs="Arial"/>
                <w:b/>
                <w:bCs/>
                <w:color w:val="000000"/>
                <w:sz w:val="14"/>
                <w:szCs w:val="14"/>
              </w:rPr>
              <w:t>222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42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42E"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42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430" w14:textId="77777777" w:rsidR="003C66EB" w:rsidRDefault="00D96C4E">
            <w:pPr>
              <w:jc w:val="right"/>
              <w:textAlignment w:val="bottom"/>
            </w:pPr>
            <w:r>
              <w:rPr>
                <w:rFonts w:ascii="Arial" w:eastAsia="宋体" w:hAnsi="Arial" w:cs="Arial"/>
                <w:color w:val="000000"/>
                <w:sz w:val="14"/>
                <w:szCs w:val="14"/>
              </w:rPr>
              <w:t>230 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431" w14:textId="77777777" w:rsidR="003C66EB" w:rsidRDefault="003C66EB">
            <w:pPr>
              <w:jc w:val="right"/>
              <w:rPr>
                <w:rFonts w:ascii="宋体"/>
              </w:rPr>
            </w:pPr>
          </w:p>
        </w:tc>
        <w:tc>
          <w:tcPr>
            <w:tcW w:w="0" w:type="auto"/>
            <w:gridSpan w:val="3"/>
            <w:shd w:val="clear" w:color="auto" w:fill="auto"/>
          </w:tcPr>
          <w:p w14:paraId="5EA27432" w14:textId="77777777" w:rsidR="003C66EB" w:rsidRDefault="003C66EB">
            <w:pPr>
              <w:rPr>
                <w:rFonts w:ascii="宋体"/>
                <w:vanish/>
              </w:rPr>
            </w:pPr>
          </w:p>
        </w:tc>
        <w:tc>
          <w:tcPr>
            <w:tcW w:w="0" w:type="auto"/>
            <w:gridSpan w:val="3"/>
            <w:shd w:val="clear" w:color="auto" w:fill="auto"/>
          </w:tcPr>
          <w:p w14:paraId="5EA27433" w14:textId="77777777" w:rsidR="003C66EB" w:rsidRDefault="003C66EB">
            <w:pPr>
              <w:rPr>
                <w:rFonts w:ascii="宋体"/>
                <w:vanish/>
              </w:rPr>
            </w:pPr>
          </w:p>
        </w:tc>
      </w:tr>
    </w:tbl>
    <w:p w14:paraId="5EA27435" w14:textId="77777777" w:rsidR="003C66EB" w:rsidRDefault="003C66EB">
      <w:pPr>
        <w:ind w:firstLine="450"/>
        <w:jc w:val="both"/>
        <w:textAlignment w:val="top"/>
      </w:pPr>
    </w:p>
    <w:p w14:paraId="5EA27436" w14:textId="77777777" w:rsidR="003C66EB" w:rsidRDefault="00D96C4E">
      <w:pPr>
        <w:spacing w:before="60"/>
        <w:jc w:val="both"/>
        <w:textAlignment w:val="top"/>
      </w:pPr>
      <w:r>
        <w:rPr>
          <w:rFonts w:ascii="Arial" w:eastAsia="宋体" w:hAnsi="Arial" w:cs="Arial"/>
          <w:b/>
          <w:bCs/>
          <w:i/>
          <w:iCs/>
          <w:color w:val="000000"/>
          <w:sz w:val="20"/>
          <w:szCs w:val="20"/>
        </w:rPr>
        <w:t>Acquisition Costs</w:t>
      </w:r>
    </w:p>
    <w:p w14:paraId="5EA27437" w14:textId="77777777" w:rsidR="003C66EB" w:rsidRDefault="00D96C4E">
      <w:pPr>
        <w:spacing w:before="60"/>
        <w:ind w:firstLine="450"/>
        <w:jc w:val="both"/>
        <w:textAlignment w:val="top"/>
      </w:pPr>
      <w:r>
        <w:rPr>
          <w:rFonts w:ascii="Arial" w:eastAsia="宋体" w:hAnsi="Arial" w:cs="Arial"/>
          <w:color w:val="000000"/>
          <w:sz w:val="20"/>
          <w:szCs w:val="20"/>
        </w:rPr>
        <w:t xml:space="preserve">We recorded approximately $11 million of acquisition costs in the first quarter of 2021 compared to $11 million in the same period in 2020 related to our acquisition of CRD. </w:t>
      </w:r>
    </w:p>
    <w:p w14:paraId="5EA27438" w14:textId="77777777" w:rsidR="003C66EB" w:rsidRDefault="00D96C4E">
      <w:pPr>
        <w:spacing w:before="60"/>
        <w:jc w:val="both"/>
        <w:textAlignment w:val="top"/>
      </w:pPr>
      <w:r>
        <w:rPr>
          <w:rFonts w:ascii="Arial" w:eastAsia="宋体" w:hAnsi="Arial" w:cs="Arial"/>
          <w:b/>
          <w:bCs/>
          <w:i/>
          <w:iCs/>
          <w:color w:val="000000"/>
          <w:sz w:val="20"/>
          <w:szCs w:val="20"/>
        </w:rPr>
        <w:t>Restructuring and Repositioning Charges</w:t>
      </w:r>
    </w:p>
    <w:p w14:paraId="5EA27439" w14:textId="77777777" w:rsidR="003C66EB" w:rsidRDefault="00D96C4E">
      <w:pPr>
        <w:spacing w:before="60"/>
        <w:ind w:firstLine="450"/>
        <w:jc w:val="both"/>
        <w:textAlignment w:val="top"/>
      </w:pPr>
      <w:r>
        <w:rPr>
          <w:rFonts w:ascii="Arial" w:eastAsia="宋体" w:hAnsi="Arial" w:cs="Arial"/>
          <w:color w:val="000000"/>
          <w:sz w:val="20"/>
          <w:szCs w:val="20"/>
        </w:rPr>
        <w:t>The following table pr</w:t>
      </w:r>
      <w:r>
        <w:rPr>
          <w:rFonts w:ascii="Arial" w:eastAsia="宋体" w:hAnsi="Arial" w:cs="Arial"/>
          <w:color w:val="000000"/>
          <w:sz w:val="20"/>
          <w:szCs w:val="20"/>
        </w:rPr>
        <w:t>esents aggregate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82"/>
        <w:gridCol w:w="39"/>
        <w:gridCol w:w="94"/>
        <w:gridCol w:w="1214"/>
        <w:gridCol w:w="36"/>
        <w:gridCol w:w="36"/>
        <w:gridCol w:w="70"/>
        <w:gridCol w:w="36"/>
        <w:gridCol w:w="94"/>
        <w:gridCol w:w="1189"/>
        <w:gridCol w:w="36"/>
        <w:gridCol w:w="36"/>
        <w:gridCol w:w="70"/>
        <w:gridCol w:w="36"/>
        <w:gridCol w:w="36"/>
        <w:gridCol w:w="36"/>
        <w:gridCol w:w="36"/>
        <w:gridCol w:w="36"/>
        <w:gridCol w:w="94"/>
        <w:gridCol w:w="1215"/>
        <w:gridCol w:w="36"/>
        <w:gridCol w:w="36"/>
        <w:gridCol w:w="71"/>
        <w:gridCol w:w="36"/>
        <w:gridCol w:w="93"/>
        <w:gridCol w:w="1165"/>
        <w:gridCol w:w="36"/>
      </w:tblGrid>
      <w:tr w:rsidR="003C66EB" w14:paraId="5EA27456" w14:textId="77777777">
        <w:tc>
          <w:tcPr>
            <w:tcW w:w="50" w:type="pct"/>
            <w:shd w:val="clear" w:color="auto" w:fill="auto"/>
          </w:tcPr>
          <w:p w14:paraId="5EA2743A" w14:textId="77777777" w:rsidR="003C66EB" w:rsidRDefault="003C66EB">
            <w:pPr>
              <w:rPr>
                <w:rFonts w:ascii="宋体"/>
              </w:rPr>
            </w:pPr>
          </w:p>
        </w:tc>
        <w:tc>
          <w:tcPr>
            <w:tcW w:w="1477" w:type="pct"/>
            <w:shd w:val="clear" w:color="auto" w:fill="auto"/>
          </w:tcPr>
          <w:p w14:paraId="5EA2743B" w14:textId="77777777" w:rsidR="003C66EB" w:rsidRDefault="003C66EB">
            <w:pPr>
              <w:rPr>
                <w:rFonts w:ascii="宋体"/>
              </w:rPr>
            </w:pPr>
          </w:p>
        </w:tc>
        <w:tc>
          <w:tcPr>
            <w:tcW w:w="5" w:type="pct"/>
            <w:shd w:val="clear" w:color="auto" w:fill="auto"/>
          </w:tcPr>
          <w:p w14:paraId="5EA2743C" w14:textId="77777777" w:rsidR="003C66EB" w:rsidRDefault="003C66EB">
            <w:pPr>
              <w:rPr>
                <w:rFonts w:ascii="宋体"/>
              </w:rPr>
            </w:pPr>
          </w:p>
        </w:tc>
        <w:tc>
          <w:tcPr>
            <w:tcW w:w="50" w:type="pct"/>
            <w:shd w:val="clear" w:color="auto" w:fill="auto"/>
          </w:tcPr>
          <w:p w14:paraId="5EA2743D" w14:textId="77777777" w:rsidR="003C66EB" w:rsidRDefault="003C66EB">
            <w:pPr>
              <w:rPr>
                <w:rFonts w:ascii="宋体"/>
              </w:rPr>
            </w:pPr>
          </w:p>
        </w:tc>
        <w:tc>
          <w:tcPr>
            <w:tcW w:w="765" w:type="pct"/>
            <w:shd w:val="clear" w:color="auto" w:fill="auto"/>
          </w:tcPr>
          <w:p w14:paraId="5EA2743E" w14:textId="77777777" w:rsidR="003C66EB" w:rsidRDefault="003C66EB">
            <w:pPr>
              <w:rPr>
                <w:rFonts w:ascii="宋体"/>
              </w:rPr>
            </w:pPr>
          </w:p>
        </w:tc>
        <w:tc>
          <w:tcPr>
            <w:tcW w:w="5" w:type="pct"/>
            <w:shd w:val="clear" w:color="auto" w:fill="auto"/>
          </w:tcPr>
          <w:p w14:paraId="5EA2743F" w14:textId="77777777" w:rsidR="003C66EB" w:rsidRDefault="003C66EB">
            <w:pPr>
              <w:rPr>
                <w:rFonts w:ascii="宋体"/>
              </w:rPr>
            </w:pPr>
          </w:p>
        </w:tc>
        <w:tc>
          <w:tcPr>
            <w:tcW w:w="5" w:type="pct"/>
            <w:shd w:val="clear" w:color="auto" w:fill="auto"/>
          </w:tcPr>
          <w:p w14:paraId="5EA27440" w14:textId="77777777" w:rsidR="003C66EB" w:rsidRDefault="003C66EB">
            <w:pPr>
              <w:rPr>
                <w:rFonts w:ascii="宋体"/>
              </w:rPr>
            </w:pPr>
          </w:p>
        </w:tc>
        <w:tc>
          <w:tcPr>
            <w:tcW w:w="67" w:type="pct"/>
            <w:shd w:val="clear" w:color="auto" w:fill="auto"/>
          </w:tcPr>
          <w:p w14:paraId="5EA27441" w14:textId="77777777" w:rsidR="003C66EB" w:rsidRDefault="003C66EB">
            <w:pPr>
              <w:rPr>
                <w:rFonts w:ascii="宋体"/>
              </w:rPr>
            </w:pPr>
          </w:p>
        </w:tc>
        <w:tc>
          <w:tcPr>
            <w:tcW w:w="5" w:type="pct"/>
            <w:shd w:val="clear" w:color="auto" w:fill="auto"/>
          </w:tcPr>
          <w:p w14:paraId="5EA27442" w14:textId="77777777" w:rsidR="003C66EB" w:rsidRDefault="003C66EB">
            <w:pPr>
              <w:rPr>
                <w:rFonts w:ascii="宋体"/>
              </w:rPr>
            </w:pPr>
          </w:p>
        </w:tc>
        <w:tc>
          <w:tcPr>
            <w:tcW w:w="50" w:type="pct"/>
            <w:shd w:val="clear" w:color="auto" w:fill="auto"/>
          </w:tcPr>
          <w:p w14:paraId="5EA27443" w14:textId="77777777" w:rsidR="003C66EB" w:rsidRDefault="003C66EB">
            <w:pPr>
              <w:rPr>
                <w:rFonts w:ascii="宋体"/>
              </w:rPr>
            </w:pPr>
          </w:p>
        </w:tc>
        <w:tc>
          <w:tcPr>
            <w:tcW w:w="749" w:type="pct"/>
            <w:shd w:val="clear" w:color="auto" w:fill="auto"/>
          </w:tcPr>
          <w:p w14:paraId="5EA27444" w14:textId="77777777" w:rsidR="003C66EB" w:rsidRDefault="003C66EB">
            <w:pPr>
              <w:rPr>
                <w:rFonts w:ascii="宋体"/>
              </w:rPr>
            </w:pPr>
          </w:p>
        </w:tc>
        <w:tc>
          <w:tcPr>
            <w:tcW w:w="5" w:type="pct"/>
            <w:shd w:val="clear" w:color="auto" w:fill="auto"/>
          </w:tcPr>
          <w:p w14:paraId="5EA27445" w14:textId="77777777" w:rsidR="003C66EB" w:rsidRDefault="003C66EB">
            <w:pPr>
              <w:rPr>
                <w:rFonts w:ascii="宋体"/>
              </w:rPr>
            </w:pPr>
          </w:p>
        </w:tc>
        <w:tc>
          <w:tcPr>
            <w:tcW w:w="5" w:type="pct"/>
            <w:shd w:val="clear" w:color="auto" w:fill="auto"/>
          </w:tcPr>
          <w:p w14:paraId="5EA27446" w14:textId="77777777" w:rsidR="003C66EB" w:rsidRDefault="003C66EB">
            <w:pPr>
              <w:rPr>
                <w:rFonts w:ascii="宋体"/>
              </w:rPr>
            </w:pPr>
          </w:p>
        </w:tc>
        <w:tc>
          <w:tcPr>
            <w:tcW w:w="67" w:type="pct"/>
            <w:shd w:val="clear" w:color="auto" w:fill="auto"/>
          </w:tcPr>
          <w:p w14:paraId="5EA27447" w14:textId="77777777" w:rsidR="003C66EB" w:rsidRDefault="003C66EB">
            <w:pPr>
              <w:rPr>
                <w:rFonts w:ascii="宋体"/>
              </w:rPr>
            </w:pPr>
          </w:p>
        </w:tc>
        <w:tc>
          <w:tcPr>
            <w:tcW w:w="5" w:type="pct"/>
            <w:shd w:val="clear" w:color="auto" w:fill="auto"/>
          </w:tcPr>
          <w:p w14:paraId="5EA27448" w14:textId="77777777" w:rsidR="003C66EB" w:rsidRDefault="003C66EB">
            <w:pPr>
              <w:rPr>
                <w:rFonts w:ascii="宋体"/>
              </w:rPr>
            </w:pPr>
          </w:p>
        </w:tc>
        <w:tc>
          <w:tcPr>
            <w:tcW w:w="0" w:type="auto"/>
            <w:shd w:val="clear" w:color="auto" w:fill="auto"/>
          </w:tcPr>
          <w:p w14:paraId="5EA27449" w14:textId="77777777" w:rsidR="003C66EB" w:rsidRDefault="003C66EB">
            <w:pPr>
              <w:rPr>
                <w:rFonts w:ascii="宋体"/>
                <w:vanish/>
              </w:rPr>
            </w:pPr>
          </w:p>
        </w:tc>
        <w:tc>
          <w:tcPr>
            <w:tcW w:w="0" w:type="auto"/>
            <w:shd w:val="clear" w:color="auto" w:fill="auto"/>
          </w:tcPr>
          <w:p w14:paraId="5EA2744A" w14:textId="77777777" w:rsidR="003C66EB" w:rsidRDefault="003C66EB">
            <w:pPr>
              <w:rPr>
                <w:rFonts w:ascii="宋体"/>
                <w:vanish/>
              </w:rPr>
            </w:pPr>
          </w:p>
        </w:tc>
        <w:tc>
          <w:tcPr>
            <w:tcW w:w="0" w:type="auto"/>
            <w:shd w:val="clear" w:color="auto" w:fill="auto"/>
          </w:tcPr>
          <w:p w14:paraId="5EA2744B" w14:textId="77777777" w:rsidR="003C66EB" w:rsidRDefault="003C66EB">
            <w:pPr>
              <w:rPr>
                <w:rFonts w:ascii="宋体"/>
                <w:vanish/>
              </w:rPr>
            </w:pPr>
          </w:p>
        </w:tc>
        <w:tc>
          <w:tcPr>
            <w:tcW w:w="0" w:type="auto"/>
            <w:shd w:val="clear" w:color="auto" w:fill="auto"/>
          </w:tcPr>
          <w:p w14:paraId="5EA2744C" w14:textId="77777777" w:rsidR="003C66EB" w:rsidRDefault="003C66EB">
            <w:pPr>
              <w:rPr>
                <w:rFonts w:ascii="宋体"/>
                <w:vanish/>
              </w:rPr>
            </w:pPr>
          </w:p>
        </w:tc>
        <w:tc>
          <w:tcPr>
            <w:tcW w:w="50" w:type="pct"/>
            <w:shd w:val="clear" w:color="auto" w:fill="auto"/>
          </w:tcPr>
          <w:p w14:paraId="5EA2744D" w14:textId="77777777" w:rsidR="003C66EB" w:rsidRDefault="003C66EB">
            <w:pPr>
              <w:rPr>
                <w:rFonts w:ascii="宋体"/>
              </w:rPr>
            </w:pPr>
          </w:p>
        </w:tc>
        <w:tc>
          <w:tcPr>
            <w:tcW w:w="765" w:type="pct"/>
            <w:shd w:val="clear" w:color="auto" w:fill="auto"/>
          </w:tcPr>
          <w:p w14:paraId="5EA2744E" w14:textId="77777777" w:rsidR="003C66EB" w:rsidRDefault="003C66EB">
            <w:pPr>
              <w:rPr>
                <w:rFonts w:ascii="宋体"/>
              </w:rPr>
            </w:pPr>
          </w:p>
        </w:tc>
        <w:tc>
          <w:tcPr>
            <w:tcW w:w="5" w:type="pct"/>
            <w:shd w:val="clear" w:color="auto" w:fill="auto"/>
          </w:tcPr>
          <w:p w14:paraId="5EA2744F" w14:textId="77777777" w:rsidR="003C66EB" w:rsidRDefault="003C66EB">
            <w:pPr>
              <w:rPr>
                <w:rFonts w:ascii="宋体"/>
              </w:rPr>
            </w:pPr>
          </w:p>
        </w:tc>
        <w:tc>
          <w:tcPr>
            <w:tcW w:w="5" w:type="pct"/>
            <w:shd w:val="clear" w:color="auto" w:fill="auto"/>
          </w:tcPr>
          <w:p w14:paraId="5EA27450" w14:textId="77777777" w:rsidR="003C66EB" w:rsidRDefault="003C66EB">
            <w:pPr>
              <w:rPr>
                <w:rFonts w:ascii="宋体"/>
              </w:rPr>
            </w:pPr>
          </w:p>
        </w:tc>
        <w:tc>
          <w:tcPr>
            <w:tcW w:w="67" w:type="pct"/>
            <w:shd w:val="clear" w:color="auto" w:fill="auto"/>
          </w:tcPr>
          <w:p w14:paraId="5EA27451" w14:textId="77777777" w:rsidR="003C66EB" w:rsidRDefault="003C66EB">
            <w:pPr>
              <w:rPr>
                <w:rFonts w:ascii="宋体"/>
              </w:rPr>
            </w:pPr>
          </w:p>
        </w:tc>
        <w:tc>
          <w:tcPr>
            <w:tcW w:w="5" w:type="pct"/>
            <w:shd w:val="clear" w:color="auto" w:fill="auto"/>
          </w:tcPr>
          <w:p w14:paraId="5EA27452" w14:textId="77777777" w:rsidR="003C66EB" w:rsidRDefault="003C66EB">
            <w:pPr>
              <w:rPr>
                <w:rFonts w:ascii="宋体"/>
              </w:rPr>
            </w:pPr>
          </w:p>
        </w:tc>
        <w:tc>
          <w:tcPr>
            <w:tcW w:w="50" w:type="pct"/>
            <w:shd w:val="clear" w:color="auto" w:fill="auto"/>
          </w:tcPr>
          <w:p w14:paraId="5EA27453" w14:textId="77777777" w:rsidR="003C66EB" w:rsidRDefault="003C66EB">
            <w:pPr>
              <w:rPr>
                <w:rFonts w:ascii="宋体"/>
              </w:rPr>
            </w:pPr>
          </w:p>
        </w:tc>
        <w:tc>
          <w:tcPr>
            <w:tcW w:w="734" w:type="pct"/>
            <w:shd w:val="clear" w:color="auto" w:fill="auto"/>
          </w:tcPr>
          <w:p w14:paraId="5EA27454" w14:textId="77777777" w:rsidR="003C66EB" w:rsidRDefault="003C66EB">
            <w:pPr>
              <w:rPr>
                <w:rFonts w:ascii="宋体"/>
              </w:rPr>
            </w:pPr>
          </w:p>
        </w:tc>
        <w:tc>
          <w:tcPr>
            <w:tcW w:w="5" w:type="pct"/>
            <w:shd w:val="clear" w:color="auto" w:fill="auto"/>
          </w:tcPr>
          <w:p w14:paraId="5EA27455" w14:textId="77777777" w:rsidR="003C66EB" w:rsidRDefault="003C66EB">
            <w:pPr>
              <w:rPr>
                <w:rFonts w:ascii="宋体"/>
              </w:rPr>
            </w:pPr>
          </w:p>
        </w:tc>
      </w:tr>
      <w:tr w:rsidR="003C66EB" w14:paraId="5EA27463" w14:textId="77777777">
        <w:tc>
          <w:tcPr>
            <w:tcW w:w="0" w:type="auto"/>
            <w:gridSpan w:val="3"/>
            <w:shd w:val="clear" w:color="auto" w:fill="auto"/>
            <w:tcMar>
              <w:top w:w="40" w:type="dxa"/>
              <w:left w:w="20" w:type="dxa"/>
              <w:bottom w:w="40" w:type="dxa"/>
              <w:right w:w="20" w:type="dxa"/>
            </w:tcMar>
            <w:vAlign w:val="bottom"/>
          </w:tcPr>
          <w:p w14:paraId="5EA27457" w14:textId="77777777" w:rsidR="003C66EB" w:rsidRDefault="00D96C4E">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A27458" w14:textId="77777777" w:rsidR="003C66EB" w:rsidRDefault="00D96C4E">
            <w:pPr>
              <w:jc w:val="center"/>
              <w:textAlignment w:val="bottom"/>
            </w:pPr>
            <w:r>
              <w:rPr>
                <w:rFonts w:ascii="Arial" w:eastAsia="宋体" w:hAnsi="Arial" w:cs="Arial"/>
                <w:b/>
                <w:bCs/>
                <w:color w:val="000000"/>
                <w:sz w:val="13"/>
                <w:szCs w:val="13"/>
              </w:rPr>
              <w:t>Employee</w:t>
            </w:r>
            <w:r>
              <w:rPr>
                <w:rFonts w:ascii="Arial" w:eastAsia="宋体" w:hAnsi="Arial" w:cs="Arial"/>
                <w:b/>
                <w:bCs/>
                <w:color w:val="000000"/>
                <w:sz w:val="13"/>
                <w:szCs w:val="13"/>
              </w:rPr>
              <w:br/>
              <w:t>Related Costs</w:t>
            </w:r>
          </w:p>
        </w:tc>
        <w:tc>
          <w:tcPr>
            <w:tcW w:w="0" w:type="auto"/>
            <w:gridSpan w:val="3"/>
            <w:shd w:val="clear" w:color="auto" w:fill="auto"/>
            <w:tcMar>
              <w:top w:w="0" w:type="dxa"/>
              <w:left w:w="20" w:type="dxa"/>
              <w:bottom w:w="0" w:type="dxa"/>
              <w:right w:w="20" w:type="dxa"/>
            </w:tcMar>
          </w:tcPr>
          <w:p w14:paraId="5EA2745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745A" w14:textId="77777777" w:rsidR="003C66EB" w:rsidRDefault="00D96C4E">
            <w:pPr>
              <w:jc w:val="center"/>
              <w:textAlignment w:val="bottom"/>
            </w:pPr>
            <w:r>
              <w:rPr>
                <w:rFonts w:ascii="Arial" w:eastAsia="宋体" w:hAnsi="Arial" w:cs="Arial"/>
                <w:b/>
                <w:bCs/>
                <w:color w:val="000000"/>
                <w:sz w:val="13"/>
                <w:szCs w:val="13"/>
              </w:rPr>
              <w:t>Real Estate</w:t>
            </w:r>
            <w:r>
              <w:rPr>
                <w:rFonts w:ascii="Arial" w:eastAsia="宋体" w:hAnsi="Arial" w:cs="Arial"/>
                <w:b/>
                <w:bCs/>
                <w:color w:val="000000"/>
                <w:sz w:val="13"/>
                <w:szCs w:val="13"/>
              </w:rPr>
              <w:br/>
              <w:t>Actions</w:t>
            </w:r>
          </w:p>
        </w:tc>
        <w:tc>
          <w:tcPr>
            <w:tcW w:w="0" w:type="auto"/>
            <w:gridSpan w:val="3"/>
            <w:shd w:val="clear" w:color="auto" w:fill="auto"/>
            <w:tcMar>
              <w:top w:w="0" w:type="dxa"/>
              <w:left w:w="20" w:type="dxa"/>
              <w:bottom w:w="0" w:type="dxa"/>
              <w:right w:w="20" w:type="dxa"/>
            </w:tcMar>
          </w:tcPr>
          <w:p w14:paraId="5EA2745B" w14:textId="77777777" w:rsidR="003C66EB" w:rsidRDefault="003C66EB">
            <w:pPr>
              <w:rPr>
                <w:rFonts w:ascii="宋体"/>
              </w:rPr>
            </w:pPr>
          </w:p>
        </w:tc>
        <w:tc>
          <w:tcPr>
            <w:tcW w:w="0" w:type="auto"/>
            <w:shd w:val="clear" w:color="auto" w:fill="auto"/>
          </w:tcPr>
          <w:p w14:paraId="5EA2745C" w14:textId="77777777" w:rsidR="003C66EB" w:rsidRDefault="003C66EB">
            <w:pPr>
              <w:rPr>
                <w:rFonts w:ascii="宋体"/>
                <w:vanish/>
              </w:rPr>
            </w:pPr>
          </w:p>
        </w:tc>
        <w:tc>
          <w:tcPr>
            <w:tcW w:w="0" w:type="auto"/>
            <w:shd w:val="clear" w:color="auto" w:fill="auto"/>
          </w:tcPr>
          <w:p w14:paraId="5EA2745D" w14:textId="77777777" w:rsidR="003C66EB" w:rsidRDefault="003C66EB">
            <w:pPr>
              <w:rPr>
                <w:rFonts w:ascii="宋体"/>
                <w:vanish/>
              </w:rPr>
            </w:pPr>
          </w:p>
        </w:tc>
        <w:tc>
          <w:tcPr>
            <w:tcW w:w="0" w:type="auto"/>
            <w:shd w:val="clear" w:color="auto" w:fill="auto"/>
          </w:tcPr>
          <w:p w14:paraId="5EA2745E" w14:textId="77777777" w:rsidR="003C66EB" w:rsidRDefault="003C66EB">
            <w:pPr>
              <w:rPr>
                <w:rFonts w:ascii="宋体"/>
                <w:vanish/>
              </w:rPr>
            </w:pPr>
          </w:p>
        </w:tc>
        <w:tc>
          <w:tcPr>
            <w:tcW w:w="0" w:type="auto"/>
            <w:shd w:val="clear" w:color="auto" w:fill="auto"/>
          </w:tcPr>
          <w:p w14:paraId="5EA2745F" w14:textId="77777777" w:rsidR="003C66EB" w:rsidRDefault="003C66EB">
            <w:pPr>
              <w:rPr>
                <w:rFonts w:ascii="宋体"/>
                <w:vanish/>
              </w:rPr>
            </w:pPr>
          </w:p>
        </w:tc>
        <w:tc>
          <w:tcPr>
            <w:tcW w:w="0" w:type="auto"/>
            <w:gridSpan w:val="3"/>
            <w:shd w:val="clear" w:color="auto" w:fill="auto"/>
            <w:tcMar>
              <w:top w:w="40" w:type="dxa"/>
              <w:left w:w="20" w:type="dxa"/>
              <w:bottom w:w="40" w:type="dxa"/>
              <w:right w:w="20" w:type="dxa"/>
            </w:tcMar>
            <w:vAlign w:val="bottom"/>
          </w:tcPr>
          <w:p w14:paraId="5EA27460" w14:textId="77777777" w:rsidR="003C66EB" w:rsidRDefault="00D96C4E">
            <w:pPr>
              <w:jc w:val="center"/>
              <w:textAlignment w:val="bottom"/>
            </w:pPr>
            <w:r>
              <w:rPr>
                <w:rFonts w:ascii="Arial" w:eastAsia="宋体" w:hAnsi="Arial" w:cs="Arial"/>
                <w:b/>
                <w:bCs/>
                <w:color w:val="000000"/>
                <w:sz w:val="13"/>
                <w:szCs w:val="13"/>
              </w:rPr>
              <w:t>Asset and Other Write-offs</w:t>
            </w:r>
          </w:p>
        </w:tc>
        <w:tc>
          <w:tcPr>
            <w:tcW w:w="0" w:type="auto"/>
            <w:gridSpan w:val="3"/>
            <w:shd w:val="clear" w:color="auto" w:fill="auto"/>
            <w:tcMar>
              <w:top w:w="0" w:type="dxa"/>
              <w:left w:w="20" w:type="dxa"/>
              <w:bottom w:w="0" w:type="dxa"/>
              <w:right w:w="20" w:type="dxa"/>
            </w:tcMar>
          </w:tcPr>
          <w:p w14:paraId="5EA2746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7462" w14:textId="77777777" w:rsidR="003C66EB" w:rsidRDefault="00D96C4E">
            <w:pPr>
              <w:jc w:val="center"/>
              <w:textAlignment w:val="bottom"/>
            </w:pPr>
            <w:r>
              <w:rPr>
                <w:rFonts w:ascii="Arial" w:eastAsia="宋体" w:hAnsi="Arial" w:cs="Arial"/>
                <w:b/>
                <w:bCs/>
                <w:color w:val="000000"/>
                <w:sz w:val="13"/>
                <w:szCs w:val="13"/>
              </w:rPr>
              <w:t>Total</w:t>
            </w:r>
          </w:p>
        </w:tc>
      </w:tr>
      <w:tr w:rsidR="003C66EB" w14:paraId="5EA27478" w14:textId="77777777">
        <w:tc>
          <w:tcPr>
            <w:tcW w:w="0" w:type="auto"/>
            <w:gridSpan w:val="3"/>
            <w:shd w:val="clear" w:color="auto" w:fill="CCEEFF"/>
            <w:tcMar>
              <w:top w:w="40" w:type="dxa"/>
              <w:left w:w="20" w:type="dxa"/>
              <w:bottom w:w="40" w:type="dxa"/>
              <w:right w:w="20" w:type="dxa"/>
            </w:tcMar>
            <w:vAlign w:val="bottom"/>
          </w:tcPr>
          <w:p w14:paraId="5EA27464" w14:textId="77777777" w:rsidR="003C66EB" w:rsidRDefault="00D96C4E">
            <w:pPr>
              <w:textAlignment w:val="bottom"/>
            </w:pPr>
            <w:r>
              <w:rPr>
                <w:rFonts w:ascii="Arial" w:eastAsia="宋体" w:hAnsi="Arial" w:cs="Arial"/>
                <w:b/>
                <w:bCs/>
                <w:color w:val="000000"/>
                <w:sz w:val="13"/>
                <w:szCs w:val="13"/>
              </w:rPr>
              <w:t>Accrual 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46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66" w14:textId="77777777" w:rsidR="003C66EB" w:rsidRDefault="00D96C4E">
            <w:pPr>
              <w:jc w:val="right"/>
              <w:textAlignment w:val="bottom"/>
            </w:pPr>
            <w:r>
              <w:rPr>
                <w:rFonts w:ascii="Arial" w:eastAsia="宋体" w:hAnsi="Arial" w:cs="Arial"/>
                <w:color w:val="000000"/>
                <w:sz w:val="13"/>
                <w:szCs w:val="13"/>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6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6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469"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6A" w14:textId="77777777" w:rsidR="003C66EB" w:rsidRDefault="00D96C4E">
            <w:pPr>
              <w:jc w:val="right"/>
              <w:textAlignment w:val="bottom"/>
            </w:pPr>
            <w:r>
              <w:rPr>
                <w:rFonts w:ascii="Arial" w:eastAsia="宋体" w:hAnsi="Arial" w:cs="Arial"/>
                <w:color w:val="000000"/>
                <w:sz w:val="13"/>
                <w:szCs w:val="13"/>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6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6C" w14:textId="77777777" w:rsidR="003C66EB" w:rsidRDefault="003C66EB">
            <w:pPr>
              <w:rPr>
                <w:rFonts w:ascii="宋体"/>
              </w:rPr>
            </w:pPr>
          </w:p>
        </w:tc>
        <w:tc>
          <w:tcPr>
            <w:tcW w:w="0" w:type="auto"/>
            <w:shd w:val="clear" w:color="auto" w:fill="auto"/>
          </w:tcPr>
          <w:p w14:paraId="5EA2746D" w14:textId="77777777" w:rsidR="003C66EB" w:rsidRDefault="003C66EB">
            <w:pPr>
              <w:rPr>
                <w:rFonts w:ascii="宋体"/>
                <w:vanish/>
              </w:rPr>
            </w:pPr>
          </w:p>
        </w:tc>
        <w:tc>
          <w:tcPr>
            <w:tcW w:w="0" w:type="auto"/>
            <w:shd w:val="clear" w:color="auto" w:fill="auto"/>
          </w:tcPr>
          <w:p w14:paraId="5EA2746E" w14:textId="77777777" w:rsidR="003C66EB" w:rsidRDefault="003C66EB">
            <w:pPr>
              <w:rPr>
                <w:rFonts w:ascii="宋体"/>
                <w:vanish/>
              </w:rPr>
            </w:pPr>
          </w:p>
        </w:tc>
        <w:tc>
          <w:tcPr>
            <w:tcW w:w="0" w:type="auto"/>
            <w:shd w:val="clear" w:color="auto" w:fill="auto"/>
          </w:tcPr>
          <w:p w14:paraId="5EA2746F" w14:textId="77777777" w:rsidR="003C66EB" w:rsidRDefault="003C66EB">
            <w:pPr>
              <w:rPr>
                <w:rFonts w:ascii="宋体"/>
                <w:vanish/>
              </w:rPr>
            </w:pPr>
          </w:p>
        </w:tc>
        <w:tc>
          <w:tcPr>
            <w:tcW w:w="0" w:type="auto"/>
            <w:shd w:val="clear" w:color="auto" w:fill="auto"/>
          </w:tcPr>
          <w:p w14:paraId="5EA27470"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471"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72" w14:textId="77777777" w:rsidR="003C66EB" w:rsidRDefault="00D96C4E">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7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47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76" w14:textId="77777777" w:rsidR="003C66EB" w:rsidRDefault="00D96C4E">
            <w:pPr>
              <w:jc w:val="right"/>
              <w:textAlignment w:val="bottom"/>
            </w:pPr>
            <w:r>
              <w:rPr>
                <w:rFonts w:ascii="Arial" w:eastAsia="宋体" w:hAnsi="Arial" w:cs="Arial"/>
                <w:color w:val="000000"/>
                <w:sz w:val="13"/>
                <w:szCs w:val="13"/>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77" w14:textId="77777777" w:rsidR="003C66EB" w:rsidRDefault="003C66EB">
            <w:pPr>
              <w:jc w:val="right"/>
              <w:rPr>
                <w:rFonts w:ascii="宋体"/>
              </w:rPr>
            </w:pPr>
          </w:p>
        </w:tc>
      </w:tr>
      <w:tr w:rsidR="003C66EB" w14:paraId="5EA27485" w14:textId="77777777">
        <w:trPr>
          <w:hidden/>
        </w:trPr>
        <w:tc>
          <w:tcPr>
            <w:tcW w:w="0" w:type="auto"/>
            <w:gridSpan w:val="3"/>
            <w:shd w:val="clear" w:color="auto" w:fill="auto"/>
          </w:tcPr>
          <w:p w14:paraId="5EA27479" w14:textId="77777777" w:rsidR="003C66EB" w:rsidRDefault="003C66EB">
            <w:pPr>
              <w:rPr>
                <w:rFonts w:ascii="宋体"/>
                <w:vanish/>
              </w:rPr>
            </w:pPr>
          </w:p>
        </w:tc>
        <w:tc>
          <w:tcPr>
            <w:tcW w:w="0" w:type="auto"/>
            <w:gridSpan w:val="3"/>
            <w:shd w:val="clear" w:color="auto" w:fill="auto"/>
          </w:tcPr>
          <w:p w14:paraId="5EA2747A" w14:textId="77777777" w:rsidR="003C66EB" w:rsidRDefault="003C66EB">
            <w:pPr>
              <w:rPr>
                <w:rFonts w:ascii="宋体"/>
                <w:vanish/>
              </w:rPr>
            </w:pPr>
          </w:p>
        </w:tc>
        <w:tc>
          <w:tcPr>
            <w:tcW w:w="0" w:type="auto"/>
            <w:gridSpan w:val="3"/>
            <w:shd w:val="clear" w:color="auto" w:fill="auto"/>
          </w:tcPr>
          <w:p w14:paraId="5EA2747B" w14:textId="77777777" w:rsidR="003C66EB" w:rsidRDefault="003C66EB">
            <w:pPr>
              <w:rPr>
                <w:rFonts w:ascii="宋体"/>
                <w:vanish/>
              </w:rPr>
            </w:pPr>
          </w:p>
        </w:tc>
        <w:tc>
          <w:tcPr>
            <w:tcW w:w="0" w:type="auto"/>
            <w:gridSpan w:val="3"/>
            <w:shd w:val="clear" w:color="auto" w:fill="auto"/>
          </w:tcPr>
          <w:p w14:paraId="5EA2747C" w14:textId="77777777" w:rsidR="003C66EB" w:rsidRDefault="003C66EB">
            <w:pPr>
              <w:rPr>
                <w:rFonts w:ascii="宋体"/>
                <w:vanish/>
              </w:rPr>
            </w:pPr>
          </w:p>
        </w:tc>
        <w:tc>
          <w:tcPr>
            <w:tcW w:w="0" w:type="auto"/>
            <w:gridSpan w:val="3"/>
            <w:shd w:val="clear" w:color="auto" w:fill="auto"/>
          </w:tcPr>
          <w:p w14:paraId="5EA2747D" w14:textId="77777777" w:rsidR="003C66EB" w:rsidRDefault="003C66EB">
            <w:pPr>
              <w:rPr>
                <w:rFonts w:ascii="宋体"/>
                <w:vanish/>
              </w:rPr>
            </w:pPr>
          </w:p>
        </w:tc>
        <w:tc>
          <w:tcPr>
            <w:tcW w:w="0" w:type="auto"/>
            <w:shd w:val="clear" w:color="auto" w:fill="auto"/>
          </w:tcPr>
          <w:p w14:paraId="5EA2747E" w14:textId="77777777" w:rsidR="003C66EB" w:rsidRDefault="003C66EB">
            <w:pPr>
              <w:rPr>
                <w:rFonts w:ascii="宋体"/>
                <w:vanish/>
              </w:rPr>
            </w:pPr>
          </w:p>
        </w:tc>
        <w:tc>
          <w:tcPr>
            <w:tcW w:w="0" w:type="auto"/>
            <w:shd w:val="clear" w:color="auto" w:fill="auto"/>
          </w:tcPr>
          <w:p w14:paraId="5EA2747F" w14:textId="77777777" w:rsidR="003C66EB" w:rsidRDefault="003C66EB">
            <w:pPr>
              <w:rPr>
                <w:rFonts w:ascii="宋体"/>
                <w:vanish/>
              </w:rPr>
            </w:pPr>
          </w:p>
        </w:tc>
        <w:tc>
          <w:tcPr>
            <w:tcW w:w="0" w:type="auto"/>
            <w:shd w:val="clear" w:color="auto" w:fill="auto"/>
          </w:tcPr>
          <w:p w14:paraId="5EA27480" w14:textId="77777777" w:rsidR="003C66EB" w:rsidRDefault="003C66EB">
            <w:pPr>
              <w:rPr>
                <w:rFonts w:ascii="宋体"/>
                <w:vanish/>
              </w:rPr>
            </w:pPr>
          </w:p>
        </w:tc>
        <w:tc>
          <w:tcPr>
            <w:tcW w:w="0" w:type="auto"/>
            <w:shd w:val="clear" w:color="auto" w:fill="auto"/>
          </w:tcPr>
          <w:p w14:paraId="5EA27481" w14:textId="77777777" w:rsidR="003C66EB" w:rsidRDefault="003C66EB">
            <w:pPr>
              <w:rPr>
                <w:rFonts w:ascii="宋体"/>
                <w:vanish/>
              </w:rPr>
            </w:pPr>
          </w:p>
        </w:tc>
        <w:tc>
          <w:tcPr>
            <w:tcW w:w="0" w:type="auto"/>
            <w:gridSpan w:val="3"/>
            <w:shd w:val="clear" w:color="auto" w:fill="auto"/>
          </w:tcPr>
          <w:p w14:paraId="5EA27482" w14:textId="77777777" w:rsidR="003C66EB" w:rsidRDefault="003C66EB">
            <w:pPr>
              <w:rPr>
                <w:rFonts w:ascii="宋体"/>
                <w:vanish/>
              </w:rPr>
            </w:pPr>
          </w:p>
        </w:tc>
        <w:tc>
          <w:tcPr>
            <w:tcW w:w="0" w:type="auto"/>
            <w:gridSpan w:val="3"/>
            <w:shd w:val="clear" w:color="auto" w:fill="auto"/>
          </w:tcPr>
          <w:p w14:paraId="5EA27483" w14:textId="77777777" w:rsidR="003C66EB" w:rsidRDefault="003C66EB">
            <w:pPr>
              <w:rPr>
                <w:rFonts w:ascii="宋体"/>
                <w:vanish/>
              </w:rPr>
            </w:pPr>
          </w:p>
        </w:tc>
        <w:tc>
          <w:tcPr>
            <w:tcW w:w="0" w:type="auto"/>
            <w:gridSpan w:val="3"/>
            <w:shd w:val="clear" w:color="auto" w:fill="auto"/>
          </w:tcPr>
          <w:p w14:paraId="5EA27484" w14:textId="77777777" w:rsidR="003C66EB" w:rsidRDefault="003C66EB">
            <w:pPr>
              <w:rPr>
                <w:rFonts w:ascii="宋体"/>
                <w:vanish/>
              </w:rPr>
            </w:pPr>
          </w:p>
        </w:tc>
      </w:tr>
      <w:tr w:rsidR="003C66EB" w14:paraId="5EA27496" w14:textId="77777777">
        <w:tc>
          <w:tcPr>
            <w:tcW w:w="0" w:type="auto"/>
            <w:gridSpan w:val="3"/>
            <w:shd w:val="clear" w:color="auto" w:fill="FFFFFF"/>
            <w:tcMar>
              <w:top w:w="40" w:type="dxa"/>
              <w:left w:w="20" w:type="dxa"/>
              <w:bottom w:w="40" w:type="dxa"/>
              <w:right w:w="20" w:type="dxa"/>
            </w:tcMar>
            <w:vAlign w:val="bottom"/>
          </w:tcPr>
          <w:p w14:paraId="5EA27486" w14:textId="77777777" w:rsidR="003C66EB" w:rsidRDefault="00D96C4E">
            <w:pPr>
              <w:textAlignment w:val="bottom"/>
            </w:pPr>
            <w:r>
              <w:rPr>
                <w:rFonts w:ascii="Arial" w:eastAsia="宋体" w:hAnsi="Arial" w:cs="Arial"/>
                <w:color w:val="000000"/>
                <w:sz w:val="13"/>
                <w:szCs w:val="13"/>
              </w:rPr>
              <w:t>Payments and Other Adjustments</w:t>
            </w:r>
          </w:p>
        </w:tc>
        <w:tc>
          <w:tcPr>
            <w:tcW w:w="0" w:type="auto"/>
            <w:gridSpan w:val="2"/>
            <w:shd w:val="clear" w:color="auto" w:fill="FFFFFF"/>
            <w:tcMar>
              <w:top w:w="40" w:type="dxa"/>
              <w:left w:w="20" w:type="dxa"/>
              <w:bottom w:w="40" w:type="dxa"/>
              <w:right w:w="0" w:type="dxa"/>
            </w:tcMar>
            <w:vAlign w:val="bottom"/>
          </w:tcPr>
          <w:p w14:paraId="5EA27487" w14:textId="77777777" w:rsidR="003C66EB" w:rsidRDefault="00D96C4E">
            <w:pPr>
              <w:jc w:val="right"/>
              <w:textAlignment w:val="bottom"/>
            </w:pPr>
            <w:r>
              <w:rPr>
                <w:rFonts w:ascii="Arial" w:eastAsia="宋体" w:hAnsi="Arial" w:cs="Arial"/>
                <w:color w:val="000000"/>
                <w:sz w:val="13"/>
                <w:szCs w:val="13"/>
              </w:rPr>
              <w:t>(33)</w:t>
            </w:r>
          </w:p>
        </w:tc>
        <w:tc>
          <w:tcPr>
            <w:tcW w:w="0" w:type="auto"/>
            <w:shd w:val="clear" w:color="auto" w:fill="FFFFFF"/>
            <w:tcMar>
              <w:top w:w="40" w:type="dxa"/>
              <w:left w:w="0" w:type="dxa"/>
              <w:bottom w:w="40" w:type="dxa"/>
              <w:right w:w="20" w:type="dxa"/>
            </w:tcMar>
            <w:vAlign w:val="bottom"/>
          </w:tcPr>
          <w:p w14:paraId="5EA2748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48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48A" w14:textId="77777777" w:rsidR="003C66EB" w:rsidRDefault="00D96C4E">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A2748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48C" w14:textId="77777777" w:rsidR="003C66EB" w:rsidRDefault="003C66EB">
            <w:pPr>
              <w:rPr>
                <w:rFonts w:ascii="宋体"/>
              </w:rPr>
            </w:pPr>
          </w:p>
        </w:tc>
        <w:tc>
          <w:tcPr>
            <w:tcW w:w="0" w:type="auto"/>
            <w:shd w:val="clear" w:color="auto" w:fill="auto"/>
          </w:tcPr>
          <w:p w14:paraId="5EA2748D" w14:textId="77777777" w:rsidR="003C66EB" w:rsidRDefault="003C66EB">
            <w:pPr>
              <w:rPr>
                <w:rFonts w:ascii="宋体"/>
                <w:vanish/>
              </w:rPr>
            </w:pPr>
          </w:p>
        </w:tc>
        <w:tc>
          <w:tcPr>
            <w:tcW w:w="0" w:type="auto"/>
            <w:shd w:val="clear" w:color="auto" w:fill="auto"/>
          </w:tcPr>
          <w:p w14:paraId="5EA2748E" w14:textId="77777777" w:rsidR="003C66EB" w:rsidRDefault="003C66EB">
            <w:pPr>
              <w:rPr>
                <w:rFonts w:ascii="宋体"/>
                <w:vanish/>
              </w:rPr>
            </w:pPr>
          </w:p>
        </w:tc>
        <w:tc>
          <w:tcPr>
            <w:tcW w:w="0" w:type="auto"/>
            <w:shd w:val="clear" w:color="auto" w:fill="auto"/>
          </w:tcPr>
          <w:p w14:paraId="5EA2748F" w14:textId="77777777" w:rsidR="003C66EB" w:rsidRDefault="003C66EB">
            <w:pPr>
              <w:rPr>
                <w:rFonts w:ascii="宋体"/>
                <w:vanish/>
              </w:rPr>
            </w:pPr>
          </w:p>
        </w:tc>
        <w:tc>
          <w:tcPr>
            <w:tcW w:w="0" w:type="auto"/>
            <w:shd w:val="clear" w:color="auto" w:fill="auto"/>
          </w:tcPr>
          <w:p w14:paraId="5EA2749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491"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4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4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494" w14:textId="77777777" w:rsidR="003C66EB" w:rsidRDefault="00D96C4E">
            <w:pPr>
              <w:jc w:val="right"/>
              <w:textAlignment w:val="bottom"/>
            </w:pPr>
            <w:r>
              <w:rPr>
                <w:rFonts w:ascii="Arial" w:eastAsia="宋体" w:hAnsi="Arial" w:cs="Arial"/>
                <w:color w:val="000000"/>
                <w:sz w:val="13"/>
                <w:szCs w:val="13"/>
              </w:rPr>
              <w:t>(34)</w:t>
            </w:r>
          </w:p>
        </w:tc>
        <w:tc>
          <w:tcPr>
            <w:tcW w:w="0" w:type="auto"/>
            <w:shd w:val="clear" w:color="auto" w:fill="FFFFFF"/>
            <w:tcMar>
              <w:top w:w="40" w:type="dxa"/>
              <w:left w:w="0" w:type="dxa"/>
              <w:bottom w:w="40" w:type="dxa"/>
              <w:right w:w="20" w:type="dxa"/>
            </w:tcMar>
            <w:vAlign w:val="bottom"/>
          </w:tcPr>
          <w:p w14:paraId="5EA27495" w14:textId="77777777" w:rsidR="003C66EB" w:rsidRDefault="003C66EB">
            <w:pPr>
              <w:jc w:val="right"/>
              <w:rPr>
                <w:rFonts w:ascii="宋体"/>
              </w:rPr>
            </w:pPr>
          </w:p>
        </w:tc>
      </w:tr>
      <w:tr w:rsidR="003C66EB" w14:paraId="5EA274AB" w14:textId="77777777">
        <w:tc>
          <w:tcPr>
            <w:tcW w:w="0" w:type="auto"/>
            <w:gridSpan w:val="3"/>
            <w:shd w:val="clear" w:color="auto" w:fill="CCEEFF"/>
            <w:tcMar>
              <w:top w:w="40" w:type="dxa"/>
              <w:left w:w="20" w:type="dxa"/>
              <w:bottom w:w="40" w:type="dxa"/>
              <w:right w:w="20" w:type="dxa"/>
            </w:tcMar>
            <w:vAlign w:val="bottom"/>
          </w:tcPr>
          <w:p w14:paraId="5EA27497" w14:textId="77777777" w:rsidR="003C66EB" w:rsidRDefault="00D96C4E">
            <w:pPr>
              <w:textAlignment w:val="bottom"/>
            </w:pPr>
            <w:r>
              <w:rPr>
                <w:rFonts w:ascii="Arial" w:eastAsia="宋体" w:hAnsi="Arial" w:cs="Arial"/>
                <w:b/>
                <w:bCs/>
                <w:color w:val="000000"/>
                <w:sz w:val="13"/>
                <w:szCs w:val="13"/>
              </w:rPr>
              <w:t>Accrual Balance at March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498"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99" w14:textId="77777777" w:rsidR="003C66EB" w:rsidRDefault="00D96C4E">
            <w:pPr>
              <w:jc w:val="right"/>
              <w:textAlignment w:val="bottom"/>
            </w:pPr>
            <w:r>
              <w:rPr>
                <w:rFonts w:ascii="Arial" w:eastAsia="宋体" w:hAnsi="Arial" w:cs="Arial"/>
                <w:color w:val="000000"/>
                <w:sz w:val="13"/>
                <w:szCs w:val="13"/>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9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9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49C"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9D" w14:textId="77777777" w:rsidR="003C66EB" w:rsidRDefault="00D96C4E">
            <w:pPr>
              <w:jc w:val="right"/>
              <w:textAlignment w:val="bottom"/>
            </w:pPr>
            <w:r>
              <w:rPr>
                <w:rFonts w:ascii="Arial" w:eastAsia="宋体" w:hAnsi="Arial" w:cs="Arial"/>
                <w:color w:val="000000"/>
                <w:sz w:val="13"/>
                <w:szCs w:val="13"/>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9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9F" w14:textId="77777777" w:rsidR="003C66EB" w:rsidRDefault="003C66EB">
            <w:pPr>
              <w:rPr>
                <w:rFonts w:ascii="宋体"/>
              </w:rPr>
            </w:pPr>
          </w:p>
        </w:tc>
        <w:tc>
          <w:tcPr>
            <w:tcW w:w="0" w:type="auto"/>
            <w:shd w:val="clear" w:color="auto" w:fill="auto"/>
          </w:tcPr>
          <w:p w14:paraId="5EA274A0" w14:textId="77777777" w:rsidR="003C66EB" w:rsidRDefault="003C66EB">
            <w:pPr>
              <w:rPr>
                <w:rFonts w:ascii="宋体"/>
                <w:vanish/>
              </w:rPr>
            </w:pPr>
          </w:p>
        </w:tc>
        <w:tc>
          <w:tcPr>
            <w:tcW w:w="0" w:type="auto"/>
            <w:shd w:val="clear" w:color="auto" w:fill="auto"/>
          </w:tcPr>
          <w:p w14:paraId="5EA274A1" w14:textId="77777777" w:rsidR="003C66EB" w:rsidRDefault="003C66EB">
            <w:pPr>
              <w:rPr>
                <w:rFonts w:ascii="宋体"/>
                <w:vanish/>
              </w:rPr>
            </w:pPr>
          </w:p>
        </w:tc>
        <w:tc>
          <w:tcPr>
            <w:tcW w:w="0" w:type="auto"/>
            <w:shd w:val="clear" w:color="auto" w:fill="auto"/>
          </w:tcPr>
          <w:p w14:paraId="5EA274A2" w14:textId="77777777" w:rsidR="003C66EB" w:rsidRDefault="003C66EB">
            <w:pPr>
              <w:rPr>
                <w:rFonts w:ascii="宋体"/>
                <w:vanish/>
              </w:rPr>
            </w:pPr>
          </w:p>
        </w:tc>
        <w:tc>
          <w:tcPr>
            <w:tcW w:w="0" w:type="auto"/>
            <w:shd w:val="clear" w:color="auto" w:fill="auto"/>
          </w:tcPr>
          <w:p w14:paraId="5EA274A3"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4A4"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A5" w14:textId="77777777" w:rsidR="003C66EB" w:rsidRDefault="00D96C4E">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A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4A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4A8"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4A9" w14:textId="77777777" w:rsidR="003C66EB" w:rsidRDefault="00D96C4E">
            <w:pPr>
              <w:jc w:val="right"/>
              <w:textAlignment w:val="bottom"/>
            </w:pPr>
            <w:r>
              <w:rPr>
                <w:rFonts w:ascii="Arial" w:eastAsia="宋体" w:hAnsi="Arial" w:cs="Arial"/>
                <w:color w:val="000000"/>
                <w:sz w:val="13"/>
                <w:szCs w:val="13"/>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4AA" w14:textId="77777777" w:rsidR="003C66EB" w:rsidRDefault="003C66EB">
            <w:pPr>
              <w:jc w:val="right"/>
              <w:rPr>
                <w:rFonts w:ascii="宋体"/>
              </w:rPr>
            </w:pPr>
          </w:p>
        </w:tc>
      </w:tr>
      <w:tr w:rsidR="003C66EB" w14:paraId="5EA274B8" w14:textId="77777777">
        <w:trPr>
          <w:hidden/>
        </w:trPr>
        <w:tc>
          <w:tcPr>
            <w:tcW w:w="0" w:type="auto"/>
            <w:gridSpan w:val="3"/>
            <w:shd w:val="clear" w:color="auto" w:fill="auto"/>
          </w:tcPr>
          <w:p w14:paraId="5EA274AC" w14:textId="77777777" w:rsidR="003C66EB" w:rsidRDefault="003C66EB">
            <w:pPr>
              <w:rPr>
                <w:rFonts w:ascii="宋体"/>
                <w:vanish/>
              </w:rPr>
            </w:pPr>
          </w:p>
        </w:tc>
        <w:tc>
          <w:tcPr>
            <w:tcW w:w="0" w:type="auto"/>
            <w:gridSpan w:val="3"/>
            <w:shd w:val="clear" w:color="auto" w:fill="auto"/>
          </w:tcPr>
          <w:p w14:paraId="5EA274AD" w14:textId="77777777" w:rsidR="003C66EB" w:rsidRDefault="003C66EB">
            <w:pPr>
              <w:rPr>
                <w:rFonts w:ascii="宋体"/>
                <w:vanish/>
              </w:rPr>
            </w:pPr>
          </w:p>
        </w:tc>
        <w:tc>
          <w:tcPr>
            <w:tcW w:w="0" w:type="auto"/>
            <w:gridSpan w:val="3"/>
            <w:shd w:val="clear" w:color="auto" w:fill="auto"/>
          </w:tcPr>
          <w:p w14:paraId="5EA274AE" w14:textId="77777777" w:rsidR="003C66EB" w:rsidRDefault="003C66EB">
            <w:pPr>
              <w:rPr>
                <w:rFonts w:ascii="宋体"/>
                <w:vanish/>
              </w:rPr>
            </w:pPr>
          </w:p>
        </w:tc>
        <w:tc>
          <w:tcPr>
            <w:tcW w:w="0" w:type="auto"/>
            <w:gridSpan w:val="3"/>
            <w:shd w:val="clear" w:color="auto" w:fill="auto"/>
          </w:tcPr>
          <w:p w14:paraId="5EA274AF" w14:textId="77777777" w:rsidR="003C66EB" w:rsidRDefault="003C66EB">
            <w:pPr>
              <w:rPr>
                <w:rFonts w:ascii="宋体"/>
                <w:vanish/>
              </w:rPr>
            </w:pPr>
          </w:p>
        </w:tc>
        <w:tc>
          <w:tcPr>
            <w:tcW w:w="0" w:type="auto"/>
            <w:gridSpan w:val="3"/>
            <w:shd w:val="clear" w:color="auto" w:fill="auto"/>
          </w:tcPr>
          <w:p w14:paraId="5EA274B0" w14:textId="77777777" w:rsidR="003C66EB" w:rsidRDefault="003C66EB">
            <w:pPr>
              <w:rPr>
                <w:rFonts w:ascii="宋体"/>
                <w:vanish/>
              </w:rPr>
            </w:pPr>
          </w:p>
        </w:tc>
        <w:tc>
          <w:tcPr>
            <w:tcW w:w="0" w:type="auto"/>
            <w:shd w:val="clear" w:color="auto" w:fill="auto"/>
          </w:tcPr>
          <w:p w14:paraId="5EA274B1" w14:textId="77777777" w:rsidR="003C66EB" w:rsidRDefault="003C66EB">
            <w:pPr>
              <w:rPr>
                <w:rFonts w:ascii="宋体"/>
                <w:vanish/>
              </w:rPr>
            </w:pPr>
          </w:p>
        </w:tc>
        <w:tc>
          <w:tcPr>
            <w:tcW w:w="0" w:type="auto"/>
            <w:shd w:val="clear" w:color="auto" w:fill="auto"/>
          </w:tcPr>
          <w:p w14:paraId="5EA274B2" w14:textId="77777777" w:rsidR="003C66EB" w:rsidRDefault="003C66EB">
            <w:pPr>
              <w:rPr>
                <w:rFonts w:ascii="宋体"/>
                <w:vanish/>
              </w:rPr>
            </w:pPr>
          </w:p>
        </w:tc>
        <w:tc>
          <w:tcPr>
            <w:tcW w:w="0" w:type="auto"/>
            <w:shd w:val="clear" w:color="auto" w:fill="auto"/>
          </w:tcPr>
          <w:p w14:paraId="5EA274B3" w14:textId="77777777" w:rsidR="003C66EB" w:rsidRDefault="003C66EB">
            <w:pPr>
              <w:rPr>
                <w:rFonts w:ascii="宋体"/>
                <w:vanish/>
              </w:rPr>
            </w:pPr>
          </w:p>
        </w:tc>
        <w:tc>
          <w:tcPr>
            <w:tcW w:w="0" w:type="auto"/>
            <w:shd w:val="clear" w:color="auto" w:fill="auto"/>
          </w:tcPr>
          <w:p w14:paraId="5EA274B4" w14:textId="77777777" w:rsidR="003C66EB" w:rsidRDefault="003C66EB">
            <w:pPr>
              <w:rPr>
                <w:rFonts w:ascii="宋体"/>
                <w:vanish/>
              </w:rPr>
            </w:pPr>
          </w:p>
        </w:tc>
        <w:tc>
          <w:tcPr>
            <w:tcW w:w="0" w:type="auto"/>
            <w:gridSpan w:val="3"/>
            <w:shd w:val="clear" w:color="auto" w:fill="auto"/>
          </w:tcPr>
          <w:p w14:paraId="5EA274B5" w14:textId="77777777" w:rsidR="003C66EB" w:rsidRDefault="003C66EB">
            <w:pPr>
              <w:rPr>
                <w:rFonts w:ascii="宋体"/>
                <w:vanish/>
              </w:rPr>
            </w:pPr>
          </w:p>
        </w:tc>
        <w:tc>
          <w:tcPr>
            <w:tcW w:w="0" w:type="auto"/>
            <w:gridSpan w:val="3"/>
            <w:shd w:val="clear" w:color="auto" w:fill="auto"/>
          </w:tcPr>
          <w:p w14:paraId="5EA274B6" w14:textId="77777777" w:rsidR="003C66EB" w:rsidRDefault="003C66EB">
            <w:pPr>
              <w:rPr>
                <w:rFonts w:ascii="宋体"/>
                <w:vanish/>
              </w:rPr>
            </w:pPr>
          </w:p>
        </w:tc>
        <w:tc>
          <w:tcPr>
            <w:tcW w:w="0" w:type="auto"/>
            <w:gridSpan w:val="3"/>
            <w:shd w:val="clear" w:color="auto" w:fill="auto"/>
          </w:tcPr>
          <w:p w14:paraId="5EA274B7" w14:textId="77777777" w:rsidR="003C66EB" w:rsidRDefault="003C66EB">
            <w:pPr>
              <w:rPr>
                <w:rFonts w:ascii="宋体"/>
                <w:vanish/>
              </w:rPr>
            </w:pPr>
          </w:p>
        </w:tc>
      </w:tr>
      <w:tr w:rsidR="003C66EB" w14:paraId="5EA274C5" w14:textId="77777777">
        <w:trPr>
          <w:hidden/>
        </w:trPr>
        <w:tc>
          <w:tcPr>
            <w:tcW w:w="0" w:type="auto"/>
            <w:gridSpan w:val="3"/>
            <w:shd w:val="clear" w:color="auto" w:fill="auto"/>
          </w:tcPr>
          <w:p w14:paraId="5EA274B9" w14:textId="77777777" w:rsidR="003C66EB" w:rsidRDefault="003C66EB">
            <w:pPr>
              <w:rPr>
                <w:rFonts w:ascii="宋体"/>
                <w:vanish/>
              </w:rPr>
            </w:pPr>
          </w:p>
        </w:tc>
        <w:tc>
          <w:tcPr>
            <w:tcW w:w="0" w:type="auto"/>
            <w:gridSpan w:val="3"/>
            <w:shd w:val="clear" w:color="auto" w:fill="auto"/>
          </w:tcPr>
          <w:p w14:paraId="5EA274BA" w14:textId="77777777" w:rsidR="003C66EB" w:rsidRDefault="003C66EB">
            <w:pPr>
              <w:rPr>
                <w:rFonts w:ascii="宋体"/>
                <w:vanish/>
              </w:rPr>
            </w:pPr>
          </w:p>
        </w:tc>
        <w:tc>
          <w:tcPr>
            <w:tcW w:w="0" w:type="auto"/>
            <w:gridSpan w:val="3"/>
            <w:shd w:val="clear" w:color="auto" w:fill="auto"/>
          </w:tcPr>
          <w:p w14:paraId="5EA274BB" w14:textId="77777777" w:rsidR="003C66EB" w:rsidRDefault="003C66EB">
            <w:pPr>
              <w:rPr>
                <w:rFonts w:ascii="宋体"/>
                <w:vanish/>
              </w:rPr>
            </w:pPr>
          </w:p>
        </w:tc>
        <w:tc>
          <w:tcPr>
            <w:tcW w:w="0" w:type="auto"/>
            <w:gridSpan w:val="3"/>
            <w:shd w:val="clear" w:color="auto" w:fill="auto"/>
          </w:tcPr>
          <w:p w14:paraId="5EA274BC" w14:textId="77777777" w:rsidR="003C66EB" w:rsidRDefault="003C66EB">
            <w:pPr>
              <w:rPr>
                <w:rFonts w:ascii="宋体"/>
                <w:vanish/>
              </w:rPr>
            </w:pPr>
          </w:p>
        </w:tc>
        <w:tc>
          <w:tcPr>
            <w:tcW w:w="0" w:type="auto"/>
            <w:gridSpan w:val="3"/>
            <w:shd w:val="clear" w:color="auto" w:fill="auto"/>
          </w:tcPr>
          <w:p w14:paraId="5EA274BD" w14:textId="77777777" w:rsidR="003C66EB" w:rsidRDefault="003C66EB">
            <w:pPr>
              <w:rPr>
                <w:rFonts w:ascii="宋体"/>
                <w:vanish/>
              </w:rPr>
            </w:pPr>
          </w:p>
        </w:tc>
        <w:tc>
          <w:tcPr>
            <w:tcW w:w="0" w:type="auto"/>
            <w:shd w:val="clear" w:color="auto" w:fill="auto"/>
          </w:tcPr>
          <w:p w14:paraId="5EA274BE" w14:textId="77777777" w:rsidR="003C66EB" w:rsidRDefault="003C66EB">
            <w:pPr>
              <w:rPr>
                <w:rFonts w:ascii="宋体"/>
                <w:vanish/>
              </w:rPr>
            </w:pPr>
          </w:p>
        </w:tc>
        <w:tc>
          <w:tcPr>
            <w:tcW w:w="0" w:type="auto"/>
            <w:shd w:val="clear" w:color="auto" w:fill="auto"/>
          </w:tcPr>
          <w:p w14:paraId="5EA274BF" w14:textId="77777777" w:rsidR="003C66EB" w:rsidRDefault="003C66EB">
            <w:pPr>
              <w:rPr>
                <w:rFonts w:ascii="宋体"/>
                <w:vanish/>
              </w:rPr>
            </w:pPr>
          </w:p>
        </w:tc>
        <w:tc>
          <w:tcPr>
            <w:tcW w:w="0" w:type="auto"/>
            <w:shd w:val="clear" w:color="auto" w:fill="auto"/>
          </w:tcPr>
          <w:p w14:paraId="5EA274C0" w14:textId="77777777" w:rsidR="003C66EB" w:rsidRDefault="003C66EB">
            <w:pPr>
              <w:rPr>
                <w:rFonts w:ascii="宋体"/>
                <w:vanish/>
              </w:rPr>
            </w:pPr>
          </w:p>
        </w:tc>
        <w:tc>
          <w:tcPr>
            <w:tcW w:w="0" w:type="auto"/>
            <w:shd w:val="clear" w:color="auto" w:fill="auto"/>
          </w:tcPr>
          <w:p w14:paraId="5EA274C1" w14:textId="77777777" w:rsidR="003C66EB" w:rsidRDefault="003C66EB">
            <w:pPr>
              <w:rPr>
                <w:rFonts w:ascii="宋体"/>
                <w:vanish/>
              </w:rPr>
            </w:pPr>
          </w:p>
        </w:tc>
        <w:tc>
          <w:tcPr>
            <w:tcW w:w="0" w:type="auto"/>
            <w:gridSpan w:val="3"/>
            <w:shd w:val="clear" w:color="auto" w:fill="auto"/>
          </w:tcPr>
          <w:p w14:paraId="5EA274C2" w14:textId="77777777" w:rsidR="003C66EB" w:rsidRDefault="003C66EB">
            <w:pPr>
              <w:rPr>
                <w:rFonts w:ascii="宋体"/>
                <w:vanish/>
              </w:rPr>
            </w:pPr>
          </w:p>
        </w:tc>
        <w:tc>
          <w:tcPr>
            <w:tcW w:w="0" w:type="auto"/>
            <w:gridSpan w:val="3"/>
            <w:shd w:val="clear" w:color="auto" w:fill="auto"/>
          </w:tcPr>
          <w:p w14:paraId="5EA274C3" w14:textId="77777777" w:rsidR="003C66EB" w:rsidRDefault="003C66EB">
            <w:pPr>
              <w:rPr>
                <w:rFonts w:ascii="宋体"/>
                <w:vanish/>
              </w:rPr>
            </w:pPr>
          </w:p>
        </w:tc>
        <w:tc>
          <w:tcPr>
            <w:tcW w:w="0" w:type="auto"/>
            <w:gridSpan w:val="3"/>
            <w:shd w:val="clear" w:color="auto" w:fill="auto"/>
          </w:tcPr>
          <w:p w14:paraId="5EA274C4" w14:textId="77777777" w:rsidR="003C66EB" w:rsidRDefault="003C66EB">
            <w:pPr>
              <w:rPr>
                <w:rFonts w:ascii="宋体"/>
                <w:vanish/>
              </w:rPr>
            </w:pPr>
          </w:p>
        </w:tc>
      </w:tr>
      <w:tr w:rsidR="003C66EB" w14:paraId="5EA274D2" w14:textId="77777777">
        <w:trPr>
          <w:hidden/>
        </w:trPr>
        <w:tc>
          <w:tcPr>
            <w:tcW w:w="0" w:type="auto"/>
            <w:gridSpan w:val="3"/>
            <w:shd w:val="clear" w:color="auto" w:fill="auto"/>
          </w:tcPr>
          <w:p w14:paraId="5EA274C6" w14:textId="77777777" w:rsidR="003C66EB" w:rsidRDefault="003C66EB">
            <w:pPr>
              <w:rPr>
                <w:rFonts w:ascii="宋体"/>
                <w:vanish/>
              </w:rPr>
            </w:pPr>
          </w:p>
        </w:tc>
        <w:tc>
          <w:tcPr>
            <w:tcW w:w="0" w:type="auto"/>
            <w:gridSpan w:val="3"/>
            <w:shd w:val="clear" w:color="auto" w:fill="auto"/>
          </w:tcPr>
          <w:p w14:paraId="5EA274C7" w14:textId="77777777" w:rsidR="003C66EB" w:rsidRDefault="003C66EB">
            <w:pPr>
              <w:rPr>
                <w:rFonts w:ascii="宋体"/>
                <w:vanish/>
              </w:rPr>
            </w:pPr>
          </w:p>
        </w:tc>
        <w:tc>
          <w:tcPr>
            <w:tcW w:w="0" w:type="auto"/>
            <w:gridSpan w:val="3"/>
            <w:shd w:val="clear" w:color="auto" w:fill="auto"/>
          </w:tcPr>
          <w:p w14:paraId="5EA274C8" w14:textId="77777777" w:rsidR="003C66EB" w:rsidRDefault="003C66EB">
            <w:pPr>
              <w:rPr>
                <w:rFonts w:ascii="宋体"/>
                <w:vanish/>
              </w:rPr>
            </w:pPr>
          </w:p>
        </w:tc>
        <w:tc>
          <w:tcPr>
            <w:tcW w:w="0" w:type="auto"/>
            <w:gridSpan w:val="3"/>
            <w:shd w:val="clear" w:color="auto" w:fill="auto"/>
          </w:tcPr>
          <w:p w14:paraId="5EA274C9" w14:textId="77777777" w:rsidR="003C66EB" w:rsidRDefault="003C66EB">
            <w:pPr>
              <w:rPr>
                <w:rFonts w:ascii="宋体"/>
                <w:vanish/>
              </w:rPr>
            </w:pPr>
          </w:p>
        </w:tc>
        <w:tc>
          <w:tcPr>
            <w:tcW w:w="0" w:type="auto"/>
            <w:gridSpan w:val="3"/>
            <w:shd w:val="clear" w:color="auto" w:fill="auto"/>
          </w:tcPr>
          <w:p w14:paraId="5EA274CA" w14:textId="77777777" w:rsidR="003C66EB" w:rsidRDefault="003C66EB">
            <w:pPr>
              <w:rPr>
                <w:rFonts w:ascii="宋体"/>
                <w:vanish/>
              </w:rPr>
            </w:pPr>
          </w:p>
        </w:tc>
        <w:tc>
          <w:tcPr>
            <w:tcW w:w="0" w:type="auto"/>
            <w:shd w:val="clear" w:color="auto" w:fill="auto"/>
          </w:tcPr>
          <w:p w14:paraId="5EA274CB" w14:textId="77777777" w:rsidR="003C66EB" w:rsidRDefault="003C66EB">
            <w:pPr>
              <w:rPr>
                <w:rFonts w:ascii="宋体"/>
                <w:vanish/>
              </w:rPr>
            </w:pPr>
          </w:p>
        </w:tc>
        <w:tc>
          <w:tcPr>
            <w:tcW w:w="0" w:type="auto"/>
            <w:shd w:val="clear" w:color="auto" w:fill="auto"/>
          </w:tcPr>
          <w:p w14:paraId="5EA274CC" w14:textId="77777777" w:rsidR="003C66EB" w:rsidRDefault="003C66EB">
            <w:pPr>
              <w:rPr>
                <w:rFonts w:ascii="宋体"/>
                <w:vanish/>
              </w:rPr>
            </w:pPr>
          </w:p>
        </w:tc>
        <w:tc>
          <w:tcPr>
            <w:tcW w:w="0" w:type="auto"/>
            <w:shd w:val="clear" w:color="auto" w:fill="auto"/>
          </w:tcPr>
          <w:p w14:paraId="5EA274CD" w14:textId="77777777" w:rsidR="003C66EB" w:rsidRDefault="003C66EB">
            <w:pPr>
              <w:rPr>
                <w:rFonts w:ascii="宋体"/>
                <w:vanish/>
              </w:rPr>
            </w:pPr>
          </w:p>
        </w:tc>
        <w:tc>
          <w:tcPr>
            <w:tcW w:w="0" w:type="auto"/>
            <w:shd w:val="clear" w:color="auto" w:fill="auto"/>
          </w:tcPr>
          <w:p w14:paraId="5EA274CE" w14:textId="77777777" w:rsidR="003C66EB" w:rsidRDefault="003C66EB">
            <w:pPr>
              <w:rPr>
                <w:rFonts w:ascii="宋体"/>
                <w:vanish/>
              </w:rPr>
            </w:pPr>
          </w:p>
        </w:tc>
        <w:tc>
          <w:tcPr>
            <w:tcW w:w="0" w:type="auto"/>
            <w:gridSpan w:val="3"/>
            <w:shd w:val="clear" w:color="auto" w:fill="auto"/>
          </w:tcPr>
          <w:p w14:paraId="5EA274CF" w14:textId="77777777" w:rsidR="003C66EB" w:rsidRDefault="003C66EB">
            <w:pPr>
              <w:rPr>
                <w:rFonts w:ascii="宋体"/>
                <w:vanish/>
              </w:rPr>
            </w:pPr>
          </w:p>
        </w:tc>
        <w:tc>
          <w:tcPr>
            <w:tcW w:w="0" w:type="auto"/>
            <w:gridSpan w:val="3"/>
            <w:shd w:val="clear" w:color="auto" w:fill="auto"/>
          </w:tcPr>
          <w:p w14:paraId="5EA274D0" w14:textId="77777777" w:rsidR="003C66EB" w:rsidRDefault="003C66EB">
            <w:pPr>
              <w:rPr>
                <w:rFonts w:ascii="宋体"/>
                <w:vanish/>
              </w:rPr>
            </w:pPr>
          </w:p>
        </w:tc>
        <w:tc>
          <w:tcPr>
            <w:tcW w:w="0" w:type="auto"/>
            <w:gridSpan w:val="3"/>
            <w:shd w:val="clear" w:color="auto" w:fill="auto"/>
          </w:tcPr>
          <w:p w14:paraId="5EA274D1" w14:textId="77777777" w:rsidR="003C66EB" w:rsidRDefault="003C66EB">
            <w:pPr>
              <w:rPr>
                <w:rFonts w:ascii="宋体"/>
                <w:vanish/>
              </w:rPr>
            </w:pPr>
          </w:p>
        </w:tc>
      </w:tr>
      <w:tr w:rsidR="003C66EB" w14:paraId="5EA274DF" w14:textId="77777777">
        <w:trPr>
          <w:hidden/>
        </w:trPr>
        <w:tc>
          <w:tcPr>
            <w:tcW w:w="0" w:type="auto"/>
            <w:gridSpan w:val="3"/>
            <w:shd w:val="clear" w:color="auto" w:fill="auto"/>
          </w:tcPr>
          <w:p w14:paraId="5EA274D3" w14:textId="77777777" w:rsidR="003C66EB" w:rsidRDefault="003C66EB">
            <w:pPr>
              <w:rPr>
                <w:rFonts w:ascii="宋体"/>
                <w:vanish/>
              </w:rPr>
            </w:pPr>
          </w:p>
        </w:tc>
        <w:tc>
          <w:tcPr>
            <w:tcW w:w="0" w:type="auto"/>
            <w:gridSpan w:val="3"/>
            <w:shd w:val="clear" w:color="auto" w:fill="auto"/>
          </w:tcPr>
          <w:p w14:paraId="5EA274D4" w14:textId="77777777" w:rsidR="003C66EB" w:rsidRDefault="003C66EB">
            <w:pPr>
              <w:rPr>
                <w:rFonts w:ascii="宋体"/>
                <w:vanish/>
              </w:rPr>
            </w:pPr>
          </w:p>
        </w:tc>
        <w:tc>
          <w:tcPr>
            <w:tcW w:w="0" w:type="auto"/>
            <w:gridSpan w:val="3"/>
            <w:shd w:val="clear" w:color="auto" w:fill="auto"/>
          </w:tcPr>
          <w:p w14:paraId="5EA274D5" w14:textId="77777777" w:rsidR="003C66EB" w:rsidRDefault="003C66EB">
            <w:pPr>
              <w:rPr>
                <w:rFonts w:ascii="宋体"/>
                <w:vanish/>
              </w:rPr>
            </w:pPr>
          </w:p>
        </w:tc>
        <w:tc>
          <w:tcPr>
            <w:tcW w:w="0" w:type="auto"/>
            <w:gridSpan w:val="3"/>
            <w:shd w:val="clear" w:color="auto" w:fill="auto"/>
          </w:tcPr>
          <w:p w14:paraId="5EA274D6" w14:textId="77777777" w:rsidR="003C66EB" w:rsidRDefault="003C66EB">
            <w:pPr>
              <w:rPr>
                <w:rFonts w:ascii="宋体"/>
                <w:vanish/>
              </w:rPr>
            </w:pPr>
          </w:p>
        </w:tc>
        <w:tc>
          <w:tcPr>
            <w:tcW w:w="0" w:type="auto"/>
            <w:gridSpan w:val="3"/>
            <w:shd w:val="clear" w:color="auto" w:fill="auto"/>
          </w:tcPr>
          <w:p w14:paraId="5EA274D7" w14:textId="77777777" w:rsidR="003C66EB" w:rsidRDefault="003C66EB">
            <w:pPr>
              <w:rPr>
                <w:rFonts w:ascii="宋体"/>
                <w:vanish/>
              </w:rPr>
            </w:pPr>
          </w:p>
        </w:tc>
        <w:tc>
          <w:tcPr>
            <w:tcW w:w="0" w:type="auto"/>
            <w:shd w:val="clear" w:color="auto" w:fill="auto"/>
          </w:tcPr>
          <w:p w14:paraId="5EA274D8" w14:textId="77777777" w:rsidR="003C66EB" w:rsidRDefault="003C66EB">
            <w:pPr>
              <w:rPr>
                <w:rFonts w:ascii="宋体"/>
                <w:vanish/>
              </w:rPr>
            </w:pPr>
          </w:p>
        </w:tc>
        <w:tc>
          <w:tcPr>
            <w:tcW w:w="0" w:type="auto"/>
            <w:shd w:val="clear" w:color="auto" w:fill="auto"/>
          </w:tcPr>
          <w:p w14:paraId="5EA274D9" w14:textId="77777777" w:rsidR="003C66EB" w:rsidRDefault="003C66EB">
            <w:pPr>
              <w:rPr>
                <w:rFonts w:ascii="宋体"/>
                <w:vanish/>
              </w:rPr>
            </w:pPr>
          </w:p>
        </w:tc>
        <w:tc>
          <w:tcPr>
            <w:tcW w:w="0" w:type="auto"/>
            <w:shd w:val="clear" w:color="auto" w:fill="auto"/>
          </w:tcPr>
          <w:p w14:paraId="5EA274DA" w14:textId="77777777" w:rsidR="003C66EB" w:rsidRDefault="003C66EB">
            <w:pPr>
              <w:rPr>
                <w:rFonts w:ascii="宋体"/>
                <w:vanish/>
              </w:rPr>
            </w:pPr>
          </w:p>
        </w:tc>
        <w:tc>
          <w:tcPr>
            <w:tcW w:w="0" w:type="auto"/>
            <w:shd w:val="clear" w:color="auto" w:fill="auto"/>
          </w:tcPr>
          <w:p w14:paraId="5EA274DB" w14:textId="77777777" w:rsidR="003C66EB" w:rsidRDefault="003C66EB">
            <w:pPr>
              <w:rPr>
                <w:rFonts w:ascii="宋体"/>
                <w:vanish/>
              </w:rPr>
            </w:pPr>
          </w:p>
        </w:tc>
        <w:tc>
          <w:tcPr>
            <w:tcW w:w="0" w:type="auto"/>
            <w:gridSpan w:val="3"/>
            <w:shd w:val="clear" w:color="auto" w:fill="auto"/>
          </w:tcPr>
          <w:p w14:paraId="5EA274DC" w14:textId="77777777" w:rsidR="003C66EB" w:rsidRDefault="003C66EB">
            <w:pPr>
              <w:rPr>
                <w:rFonts w:ascii="宋体"/>
                <w:vanish/>
              </w:rPr>
            </w:pPr>
          </w:p>
        </w:tc>
        <w:tc>
          <w:tcPr>
            <w:tcW w:w="0" w:type="auto"/>
            <w:gridSpan w:val="3"/>
            <w:shd w:val="clear" w:color="auto" w:fill="auto"/>
          </w:tcPr>
          <w:p w14:paraId="5EA274DD" w14:textId="77777777" w:rsidR="003C66EB" w:rsidRDefault="003C66EB">
            <w:pPr>
              <w:rPr>
                <w:rFonts w:ascii="宋体"/>
                <w:vanish/>
              </w:rPr>
            </w:pPr>
          </w:p>
        </w:tc>
        <w:tc>
          <w:tcPr>
            <w:tcW w:w="0" w:type="auto"/>
            <w:gridSpan w:val="3"/>
            <w:shd w:val="clear" w:color="auto" w:fill="auto"/>
          </w:tcPr>
          <w:p w14:paraId="5EA274DE" w14:textId="77777777" w:rsidR="003C66EB" w:rsidRDefault="003C66EB">
            <w:pPr>
              <w:rPr>
                <w:rFonts w:ascii="宋体"/>
                <w:vanish/>
              </w:rPr>
            </w:pPr>
          </w:p>
        </w:tc>
      </w:tr>
      <w:tr w:rsidR="003C66EB" w14:paraId="5EA274EC" w14:textId="77777777">
        <w:trPr>
          <w:hidden/>
        </w:trPr>
        <w:tc>
          <w:tcPr>
            <w:tcW w:w="0" w:type="auto"/>
            <w:gridSpan w:val="3"/>
            <w:shd w:val="clear" w:color="auto" w:fill="auto"/>
          </w:tcPr>
          <w:p w14:paraId="5EA274E0" w14:textId="77777777" w:rsidR="003C66EB" w:rsidRDefault="003C66EB">
            <w:pPr>
              <w:rPr>
                <w:rFonts w:ascii="宋体"/>
                <w:vanish/>
              </w:rPr>
            </w:pPr>
          </w:p>
        </w:tc>
        <w:tc>
          <w:tcPr>
            <w:tcW w:w="0" w:type="auto"/>
            <w:gridSpan w:val="3"/>
            <w:shd w:val="clear" w:color="auto" w:fill="auto"/>
          </w:tcPr>
          <w:p w14:paraId="5EA274E1" w14:textId="77777777" w:rsidR="003C66EB" w:rsidRDefault="003C66EB">
            <w:pPr>
              <w:rPr>
                <w:rFonts w:ascii="宋体"/>
                <w:vanish/>
              </w:rPr>
            </w:pPr>
          </w:p>
        </w:tc>
        <w:tc>
          <w:tcPr>
            <w:tcW w:w="0" w:type="auto"/>
            <w:gridSpan w:val="3"/>
            <w:shd w:val="clear" w:color="auto" w:fill="auto"/>
          </w:tcPr>
          <w:p w14:paraId="5EA274E2" w14:textId="77777777" w:rsidR="003C66EB" w:rsidRDefault="003C66EB">
            <w:pPr>
              <w:rPr>
                <w:rFonts w:ascii="宋体"/>
                <w:vanish/>
              </w:rPr>
            </w:pPr>
          </w:p>
        </w:tc>
        <w:tc>
          <w:tcPr>
            <w:tcW w:w="0" w:type="auto"/>
            <w:gridSpan w:val="3"/>
            <w:shd w:val="clear" w:color="auto" w:fill="auto"/>
          </w:tcPr>
          <w:p w14:paraId="5EA274E3" w14:textId="77777777" w:rsidR="003C66EB" w:rsidRDefault="003C66EB">
            <w:pPr>
              <w:rPr>
                <w:rFonts w:ascii="宋体"/>
                <w:vanish/>
              </w:rPr>
            </w:pPr>
          </w:p>
        </w:tc>
        <w:tc>
          <w:tcPr>
            <w:tcW w:w="0" w:type="auto"/>
            <w:gridSpan w:val="3"/>
            <w:shd w:val="clear" w:color="auto" w:fill="auto"/>
          </w:tcPr>
          <w:p w14:paraId="5EA274E4" w14:textId="77777777" w:rsidR="003C66EB" w:rsidRDefault="003C66EB">
            <w:pPr>
              <w:rPr>
                <w:rFonts w:ascii="宋体"/>
                <w:vanish/>
              </w:rPr>
            </w:pPr>
          </w:p>
        </w:tc>
        <w:tc>
          <w:tcPr>
            <w:tcW w:w="0" w:type="auto"/>
            <w:shd w:val="clear" w:color="auto" w:fill="auto"/>
          </w:tcPr>
          <w:p w14:paraId="5EA274E5" w14:textId="77777777" w:rsidR="003C66EB" w:rsidRDefault="003C66EB">
            <w:pPr>
              <w:rPr>
                <w:rFonts w:ascii="宋体"/>
                <w:vanish/>
              </w:rPr>
            </w:pPr>
          </w:p>
        </w:tc>
        <w:tc>
          <w:tcPr>
            <w:tcW w:w="0" w:type="auto"/>
            <w:shd w:val="clear" w:color="auto" w:fill="auto"/>
          </w:tcPr>
          <w:p w14:paraId="5EA274E6" w14:textId="77777777" w:rsidR="003C66EB" w:rsidRDefault="003C66EB">
            <w:pPr>
              <w:rPr>
                <w:rFonts w:ascii="宋体"/>
                <w:vanish/>
              </w:rPr>
            </w:pPr>
          </w:p>
        </w:tc>
        <w:tc>
          <w:tcPr>
            <w:tcW w:w="0" w:type="auto"/>
            <w:shd w:val="clear" w:color="auto" w:fill="auto"/>
          </w:tcPr>
          <w:p w14:paraId="5EA274E7" w14:textId="77777777" w:rsidR="003C66EB" w:rsidRDefault="003C66EB">
            <w:pPr>
              <w:rPr>
                <w:rFonts w:ascii="宋体"/>
                <w:vanish/>
              </w:rPr>
            </w:pPr>
          </w:p>
        </w:tc>
        <w:tc>
          <w:tcPr>
            <w:tcW w:w="0" w:type="auto"/>
            <w:shd w:val="clear" w:color="auto" w:fill="auto"/>
          </w:tcPr>
          <w:p w14:paraId="5EA274E8" w14:textId="77777777" w:rsidR="003C66EB" w:rsidRDefault="003C66EB">
            <w:pPr>
              <w:rPr>
                <w:rFonts w:ascii="宋体"/>
                <w:vanish/>
              </w:rPr>
            </w:pPr>
          </w:p>
        </w:tc>
        <w:tc>
          <w:tcPr>
            <w:tcW w:w="0" w:type="auto"/>
            <w:gridSpan w:val="3"/>
            <w:shd w:val="clear" w:color="auto" w:fill="auto"/>
          </w:tcPr>
          <w:p w14:paraId="5EA274E9" w14:textId="77777777" w:rsidR="003C66EB" w:rsidRDefault="003C66EB">
            <w:pPr>
              <w:rPr>
                <w:rFonts w:ascii="宋体"/>
                <w:vanish/>
              </w:rPr>
            </w:pPr>
          </w:p>
        </w:tc>
        <w:tc>
          <w:tcPr>
            <w:tcW w:w="0" w:type="auto"/>
            <w:gridSpan w:val="3"/>
            <w:shd w:val="clear" w:color="auto" w:fill="auto"/>
          </w:tcPr>
          <w:p w14:paraId="5EA274EA" w14:textId="77777777" w:rsidR="003C66EB" w:rsidRDefault="003C66EB">
            <w:pPr>
              <w:rPr>
                <w:rFonts w:ascii="宋体"/>
                <w:vanish/>
              </w:rPr>
            </w:pPr>
          </w:p>
        </w:tc>
        <w:tc>
          <w:tcPr>
            <w:tcW w:w="0" w:type="auto"/>
            <w:gridSpan w:val="3"/>
            <w:shd w:val="clear" w:color="auto" w:fill="auto"/>
          </w:tcPr>
          <w:p w14:paraId="5EA274EB" w14:textId="77777777" w:rsidR="003C66EB" w:rsidRDefault="003C66EB">
            <w:pPr>
              <w:rPr>
                <w:rFonts w:ascii="宋体"/>
                <w:vanish/>
              </w:rPr>
            </w:pPr>
          </w:p>
        </w:tc>
      </w:tr>
      <w:tr w:rsidR="003C66EB" w14:paraId="5EA274F9" w14:textId="77777777">
        <w:trPr>
          <w:hidden/>
        </w:trPr>
        <w:tc>
          <w:tcPr>
            <w:tcW w:w="0" w:type="auto"/>
            <w:gridSpan w:val="3"/>
            <w:shd w:val="clear" w:color="auto" w:fill="auto"/>
          </w:tcPr>
          <w:p w14:paraId="5EA274ED" w14:textId="77777777" w:rsidR="003C66EB" w:rsidRDefault="003C66EB">
            <w:pPr>
              <w:rPr>
                <w:rFonts w:ascii="宋体"/>
                <w:vanish/>
              </w:rPr>
            </w:pPr>
          </w:p>
        </w:tc>
        <w:tc>
          <w:tcPr>
            <w:tcW w:w="0" w:type="auto"/>
            <w:gridSpan w:val="3"/>
            <w:shd w:val="clear" w:color="auto" w:fill="auto"/>
          </w:tcPr>
          <w:p w14:paraId="5EA274EE" w14:textId="77777777" w:rsidR="003C66EB" w:rsidRDefault="003C66EB">
            <w:pPr>
              <w:rPr>
                <w:rFonts w:ascii="宋体"/>
                <w:vanish/>
              </w:rPr>
            </w:pPr>
          </w:p>
        </w:tc>
        <w:tc>
          <w:tcPr>
            <w:tcW w:w="0" w:type="auto"/>
            <w:gridSpan w:val="3"/>
            <w:shd w:val="clear" w:color="auto" w:fill="auto"/>
          </w:tcPr>
          <w:p w14:paraId="5EA274EF" w14:textId="77777777" w:rsidR="003C66EB" w:rsidRDefault="003C66EB">
            <w:pPr>
              <w:rPr>
                <w:rFonts w:ascii="宋体"/>
                <w:vanish/>
              </w:rPr>
            </w:pPr>
          </w:p>
        </w:tc>
        <w:tc>
          <w:tcPr>
            <w:tcW w:w="0" w:type="auto"/>
            <w:gridSpan w:val="3"/>
            <w:shd w:val="clear" w:color="auto" w:fill="auto"/>
          </w:tcPr>
          <w:p w14:paraId="5EA274F0" w14:textId="77777777" w:rsidR="003C66EB" w:rsidRDefault="003C66EB">
            <w:pPr>
              <w:rPr>
                <w:rFonts w:ascii="宋体"/>
                <w:vanish/>
              </w:rPr>
            </w:pPr>
          </w:p>
        </w:tc>
        <w:tc>
          <w:tcPr>
            <w:tcW w:w="0" w:type="auto"/>
            <w:gridSpan w:val="3"/>
            <w:shd w:val="clear" w:color="auto" w:fill="auto"/>
          </w:tcPr>
          <w:p w14:paraId="5EA274F1" w14:textId="77777777" w:rsidR="003C66EB" w:rsidRDefault="003C66EB">
            <w:pPr>
              <w:rPr>
                <w:rFonts w:ascii="宋体"/>
                <w:vanish/>
              </w:rPr>
            </w:pPr>
          </w:p>
        </w:tc>
        <w:tc>
          <w:tcPr>
            <w:tcW w:w="0" w:type="auto"/>
            <w:shd w:val="clear" w:color="auto" w:fill="auto"/>
          </w:tcPr>
          <w:p w14:paraId="5EA274F2" w14:textId="77777777" w:rsidR="003C66EB" w:rsidRDefault="003C66EB">
            <w:pPr>
              <w:rPr>
                <w:rFonts w:ascii="宋体"/>
                <w:vanish/>
              </w:rPr>
            </w:pPr>
          </w:p>
        </w:tc>
        <w:tc>
          <w:tcPr>
            <w:tcW w:w="0" w:type="auto"/>
            <w:shd w:val="clear" w:color="auto" w:fill="auto"/>
          </w:tcPr>
          <w:p w14:paraId="5EA274F3" w14:textId="77777777" w:rsidR="003C66EB" w:rsidRDefault="003C66EB">
            <w:pPr>
              <w:rPr>
                <w:rFonts w:ascii="宋体"/>
                <w:vanish/>
              </w:rPr>
            </w:pPr>
          </w:p>
        </w:tc>
        <w:tc>
          <w:tcPr>
            <w:tcW w:w="0" w:type="auto"/>
            <w:shd w:val="clear" w:color="auto" w:fill="auto"/>
          </w:tcPr>
          <w:p w14:paraId="5EA274F4" w14:textId="77777777" w:rsidR="003C66EB" w:rsidRDefault="003C66EB">
            <w:pPr>
              <w:rPr>
                <w:rFonts w:ascii="宋体"/>
                <w:vanish/>
              </w:rPr>
            </w:pPr>
          </w:p>
        </w:tc>
        <w:tc>
          <w:tcPr>
            <w:tcW w:w="0" w:type="auto"/>
            <w:shd w:val="clear" w:color="auto" w:fill="auto"/>
          </w:tcPr>
          <w:p w14:paraId="5EA274F5" w14:textId="77777777" w:rsidR="003C66EB" w:rsidRDefault="003C66EB">
            <w:pPr>
              <w:rPr>
                <w:rFonts w:ascii="宋体"/>
                <w:vanish/>
              </w:rPr>
            </w:pPr>
          </w:p>
        </w:tc>
        <w:tc>
          <w:tcPr>
            <w:tcW w:w="0" w:type="auto"/>
            <w:gridSpan w:val="3"/>
            <w:shd w:val="clear" w:color="auto" w:fill="auto"/>
          </w:tcPr>
          <w:p w14:paraId="5EA274F6" w14:textId="77777777" w:rsidR="003C66EB" w:rsidRDefault="003C66EB">
            <w:pPr>
              <w:rPr>
                <w:rFonts w:ascii="宋体"/>
                <w:vanish/>
              </w:rPr>
            </w:pPr>
          </w:p>
        </w:tc>
        <w:tc>
          <w:tcPr>
            <w:tcW w:w="0" w:type="auto"/>
            <w:gridSpan w:val="3"/>
            <w:shd w:val="clear" w:color="auto" w:fill="auto"/>
          </w:tcPr>
          <w:p w14:paraId="5EA274F7" w14:textId="77777777" w:rsidR="003C66EB" w:rsidRDefault="003C66EB">
            <w:pPr>
              <w:rPr>
                <w:rFonts w:ascii="宋体"/>
                <w:vanish/>
              </w:rPr>
            </w:pPr>
          </w:p>
        </w:tc>
        <w:tc>
          <w:tcPr>
            <w:tcW w:w="0" w:type="auto"/>
            <w:gridSpan w:val="3"/>
            <w:shd w:val="clear" w:color="auto" w:fill="auto"/>
          </w:tcPr>
          <w:p w14:paraId="5EA274F8" w14:textId="77777777" w:rsidR="003C66EB" w:rsidRDefault="003C66EB">
            <w:pPr>
              <w:rPr>
                <w:rFonts w:ascii="宋体"/>
                <w:vanish/>
              </w:rPr>
            </w:pPr>
          </w:p>
        </w:tc>
      </w:tr>
      <w:tr w:rsidR="003C66EB" w14:paraId="5EA27506" w14:textId="77777777">
        <w:trPr>
          <w:hidden/>
        </w:trPr>
        <w:tc>
          <w:tcPr>
            <w:tcW w:w="0" w:type="auto"/>
            <w:gridSpan w:val="3"/>
            <w:shd w:val="clear" w:color="auto" w:fill="auto"/>
          </w:tcPr>
          <w:p w14:paraId="5EA274FA" w14:textId="77777777" w:rsidR="003C66EB" w:rsidRDefault="003C66EB">
            <w:pPr>
              <w:rPr>
                <w:rFonts w:ascii="宋体"/>
                <w:vanish/>
              </w:rPr>
            </w:pPr>
          </w:p>
        </w:tc>
        <w:tc>
          <w:tcPr>
            <w:tcW w:w="0" w:type="auto"/>
            <w:gridSpan w:val="3"/>
            <w:shd w:val="clear" w:color="auto" w:fill="auto"/>
          </w:tcPr>
          <w:p w14:paraId="5EA274FB" w14:textId="77777777" w:rsidR="003C66EB" w:rsidRDefault="003C66EB">
            <w:pPr>
              <w:rPr>
                <w:rFonts w:ascii="宋体"/>
                <w:vanish/>
              </w:rPr>
            </w:pPr>
          </w:p>
        </w:tc>
        <w:tc>
          <w:tcPr>
            <w:tcW w:w="0" w:type="auto"/>
            <w:gridSpan w:val="3"/>
            <w:shd w:val="clear" w:color="auto" w:fill="auto"/>
          </w:tcPr>
          <w:p w14:paraId="5EA274FC" w14:textId="77777777" w:rsidR="003C66EB" w:rsidRDefault="003C66EB">
            <w:pPr>
              <w:rPr>
                <w:rFonts w:ascii="宋体"/>
                <w:vanish/>
              </w:rPr>
            </w:pPr>
          </w:p>
        </w:tc>
        <w:tc>
          <w:tcPr>
            <w:tcW w:w="0" w:type="auto"/>
            <w:gridSpan w:val="3"/>
            <w:shd w:val="clear" w:color="auto" w:fill="auto"/>
          </w:tcPr>
          <w:p w14:paraId="5EA274FD" w14:textId="77777777" w:rsidR="003C66EB" w:rsidRDefault="003C66EB">
            <w:pPr>
              <w:rPr>
                <w:rFonts w:ascii="宋体"/>
                <w:vanish/>
              </w:rPr>
            </w:pPr>
          </w:p>
        </w:tc>
        <w:tc>
          <w:tcPr>
            <w:tcW w:w="0" w:type="auto"/>
            <w:gridSpan w:val="3"/>
            <w:shd w:val="clear" w:color="auto" w:fill="auto"/>
          </w:tcPr>
          <w:p w14:paraId="5EA274FE" w14:textId="77777777" w:rsidR="003C66EB" w:rsidRDefault="003C66EB">
            <w:pPr>
              <w:rPr>
                <w:rFonts w:ascii="宋体"/>
                <w:vanish/>
              </w:rPr>
            </w:pPr>
          </w:p>
        </w:tc>
        <w:tc>
          <w:tcPr>
            <w:tcW w:w="0" w:type="auto"/>
            <w:shd w:val="clear" w:color="auto" w:fill="auto"/>
          </w:tcPr>
          <w:p w14:paraId="5EA274FF" w14:textId="77777777" w:rsidR="003C66EB" w:rsidRDefault="003C66EB">
            <w:pPr>
              <w:rPr>
                <w:rFonts w:ascii="宋体"/>
                <w:vanish/>
              </w:rPr>
            </w:pPr>
          </w:p>
        </w:tc>
        <w:tc>
          <w:tcPr>
            <w:tcW w:w="0" w:type="auto"/>
            <w:shd w:val="clear" w:color="auto" w:fill="auto"/>
          </w:tcPr>
          <w:p w14:paraId="5EA27500" w14:textId="77777777" w:rsidR="003C66EB" w:rsidRDefault="003C66EB">
            <w:pPr>
              <w:rPr>
                <w:rFonts w:ascii="宋体"/>
                <w:vanish/>
              </w:rPr>
            </w:pPr>
          </w:p>
        </w:tc>
        <w:tc>
          <w:tcPr>
            <w:tcW w:w="0" w:type="auto"/>
            <w:shd w:val="clear" w:color="auto" w:fill="auto"/>
          </w:tcPr>
          <w:p w14:paraId="5EA27501" w14:textId="77777777" w:rsidR="003C66EB" w:rsidRDefault="003C66EB">
            <w:pPr>
              <w:rPr>
                <w:rFonts w:ascii="宋体"/>
                <w:vanish/>
              </w:rPr>
            </w:pPr>
          </w:p>
        </w:tc>
        <w:tc>
          <w:tcPr>
            <w:tcW w:w="0" w:type="auto"/>
            <w:shd w:val="clear" w:color="auto" w:fill="auto"/>
          </w:tcPr>
          <w:p w14:paraId="5EA27502" w14:textId="77777777" w:rsidR="003C66EB" w:rsidRDefault="003C66EB">
            <w:pPr>
              <w:rPr>
                <w:rFonts w:ascii="宋体"/>
                <w:vanish/>
              </w:rPr>
            </w:pPr>
          </w:p>
        </w:tc>
        <w:tc>
          <w:tcPr>
            <w:tcW w:w="0" w:type="auto"/>
            <w:gridSpan w:val="3"/>
            <w:shd w:val="clear" w:color="auto" w:fill="auto"/>
          </w:tcPr>
          <w:p w14:paraId="5EA27503" w14:textId="77777777" w:rsidR="003C66EB" w:rsidRDefault="003C66EB">
            <w:pPr>
              <w:rPr>
                <w:rFonts w:ascii="宋体"/>
                <w:vanish/>
              </w:rPr>
            </w:pPr>
          </w:p>
        </w:tc>
        <w:tc>
          <w:tcPr>
            <w:tcW w:w="0" w:type="auto"/>
            <w:gridSpan w:val="3"/>
            <w:shd w:val="clear" w:color="auto" w:fill="auto"/>
          </w:tcPr>
          <w:p w14:paraId="5EA27504" w14:textId="77777777" w:rsidR="003C66EB" w:rsidRDefault="003C66EB">
            <w:pPr>
              <w:rPr>
                <w:rFonts w:ascii="宋体"/>
                <w:vanish/>
              </w:rPr>
            </w:pPr>
          </w:p>
        </w:tc>
        <w:tc>
          <w:tcPr>
            <w:tcW w:w="0" w:type="auto"/>
            <w:gridSpan w:val="3"/>
            <w:shd w:val="clear" w:color="auto" w:fill="auto"/>
          </w:tcPr>
          <w:p w14:paraId="5EA27505" w14:textId="77777777" w:rsidR="003C66EB" w:rsidRDefault="003C66EB">
            <w:pPr>
              <w:rPr>
                <w:rFonts w:ascii="宋体"/>
                <w:vanish/>
              </w:rPr>
            </w:pPr>
          </w:p>
        </w:tc>
      </w:tr>
      <w:tr w:rsidR="003C66EB" w14:paraId="5EA27513" w14:textId="77777777">
        <w:trPr>
          <w:hidden/>
        </w:trPr>
        <w:tc>
          <w:tcPr>
            <w:tcW w:w="0" w:type="auto"/>
            <w:gridSpan w:val="3"/>
            <w:shd w:val="clear" w:color="auto" w:fill="auto"/>
          </w:tcPr>
          <w:p w14:paraId="5EA27507" w14:textId="77777777" w:rsidR="003C66EB" w:rsidRDefault="003C66EB">
            <w:pPr>
              <w:rPr>
                <w:rFonts w:ascii="宋体"/>
                <w:vanish/>
              </w:rPr>
            </w:pPr>
          </w:p>
        </w:tc>
        <w:tc>
          <w:tcPr>
            <w:tcW w:w="0" w:type="auto"/>
            <w:gridSpan w:val="3"/>
            <w:shd w:val="clear" w:color="auto" w:fill="auto"/>
          </w:tcPr>
          <w:p w14:paraId="5EA27508" w14:textId="77777777" w:rsidR="003C66EB" w:rsidRDefault="003C66EB">
            <w:pPr>
              <w:rPr>
                <w:rFonts w:ascii="宋体"/>
                <w:vanish/>
              </w:rPr>
            </w:pPr>
          </w:p>
        </w:tc>
        <w:tc>
          <w:tcPr>
            <w:tcW w:w="0" w:type="auto"/>
            <w:gridSpan w:val="3"/>
            <w:shd w:val="clear" w:color="auto" w:fill="auto"/>
          </w:tcPr>
          <w:p w14:paraId="5EA27509" w14:textId="77777777" w:rsidR="003C66EB" w:rsidRDefault="003C66EB">
            <w:pPr>
              <w:rPr>
                <w:rFonts w:ascii="宋体"/>
                <w:vanish/>
              </w:rPr>
            </w:pPr>
          </w:p>
        </w:tc>
        <w:tc>
          <w:tcPr>
            <w:tcW w:w="0" w:type="auto"/>
            <w:gridSpan w:val="3"/>
            <w:shd w:val="clear" w:color="auto" w:fill="auto"/>
          </w:tcPr>
          <w:p w14:paraId="5EA2750A" w14:textId="77777777" w:rsidR="003C66EB" w:rsidRDefault="003C66EB">
            <w:pPr>
              <w:rPr>
                <w:rFonts w:ascii="宋体"/>
                <w:vanish/>
              </w:rPr>
            </w:pPr>
          </w:p>
        </w:tc>
        <w:tc>
          <w:tcPr>
            <w:tcW w:w="0" w:type="auto"/>
            <w:gridSpan w:val="3"/>
            <w:shd w:val="clear" w:color="auto" w:fill="auto"/>
          </w:tcPr>
          <w:p w14:paraId="5EA2750B" w14:textId="77777777" w:rsidR="003C66EB" w:rsidRDefault="003C66EB">
            <w:pPr>
              <w:rPr>
                <w:rFonts w:ascii="宋体"/>
                <w:vanish/>
              </w:rPr>
            </w:pPr>
          </w:p>
        </w:tc>
        <w:tc>
          <w:tcPr>
            <w:tcW w:w="0" w:type="auto"/>
            <w:shd w:val="clear" w:color="auto" w:fill="auto"/>
          </w:tcPr>
          <w:p w14:paraId="5EA2750C" w14:textId="77777777" w:rsidR="003C66EB" w:rsidRDefault="003C66EB">
            <w:pPr>
              <w:rPr>
                <w:rFonts w:ascii="宋体"/>
                <w:vanish/>
              </w:rPr>
            </w:pPr>
          </w:p>
        </w:tc>
        <w:tc>
          <w:tcPr>
            <w:tcW w:w="0" w:type="auto"/>
            <w:shd w:val="clear" w:color="auto" w:fill="auto"/>
          </w:tcPr>
          <w:p w14:paraId="5EA2750D" w14:textId="77777777" w:rsidR="003C66EB" w:rsidRDefault="003C66EB">
            <w:pPr>
              <w:rPr>
                <w:rFonts w:ascii="宋体"/>
                <w:vanish/>
              </w:rPr>
            </w:pPr>
          </w:p>
        </w:tc>
        <w:tc>
          <w:tcPr>
            <w:tcW w:w="0" w:type="auto"/>
            <w:shd w:val="clear" w:color="auto" w:fill="auto"/>
          </w:tcPr>
          <w:p w14:paraId="5EA2750E" w14:textId="77777777" w:rsidR="003C66EB" w:rsidRDefault="003C66EB">
            <w:pPr>
              <w:rPr>
                <w:rFonts w:ascii="宋体"/>
                <w:vanish/>
              </w:rPr>
            </w:pPr>
          </w:p>
        </w:tc>
        <w:tc>
          <w:tcPr>
            <w:tcW w:w="0" w:type="auto"/>
            <w:shd w:val="clear" w:color="auto" w:fill="auto"/>
          </w:tcPr>
          <w:p w14:paraId="5EA2750F" w14:textId="77777777" w:rsidR="003C66EB" w:rsidRDefault="003C66EB">
            <w:pPr>
              <w:rPr>
                <w:rFonts w:ascii="宋体"/>
                <w:vanish/>
              </w:rPr>
            </w:pPr>
          </w:p>
        </w:tc>
        <w:tc>
          <w:tcPr>
            <w:tcW w:w="0" w:type="auto"/>
            <w:gridSpan w:val="3"/>
            <w:shd w:val="clear" w:color="auto" w:fill="auto"/>
          </w:tcPr>
          <w:p w14:paraId="5EA27510" w14:textId="77777777" w:rsidR="003C66EB" w:rsidRDefault="003C66EB">
            <w:pPr>
              <w:rPr>
                <w:rFonts w:ascii="宋体"/>
                <w:vanish/>
              </w:rPr>
            </w:pPr>
          </w:p>
        </w:tc>
        <w:tc>
          <w:tcPr>
            <w:tcW w:w="0" w:type="auto"/>
            <w:gridSpan w:val="3"/>
            <w:shd w:val="clear" w:color="auto" w:fill="auto"/>
          </w:tcPr>
          <w:p w14:paraId="5EA27511" w14:textId="77777777" w:rsidR="003C66EB" w:rsidRDefault="003C66EB">
            <w:pPr>
              <w:rPr>
                <w:rFonts w:ascii="宋体"/>
                <w:vanish/>
              </w:rPr>
            </w:pPr>
          </w:p>
        </w:tc>
        <w:tc>
          <w:tcPr>
            <w:tcW w:w="0" w:type="auto"/>
            <w:gridSpan w:val="3"/>
            <w:shd w:val="clear" w:color="auto" w:fill="auto"/>
          </w:tcPr>
          <w:p w14:paraId="5EA27512" w14:textId="77777777" w:rsidR="003C66EB" w:rsidRDefault="003C66EB">
            <w:pPr>
              <w:rPr>
                <w:rFonts w:ascii="宋体"/>
                <w:vanish/>
              </w:rPr>
            </w:pPr>
          </w:p>
        </w:tc>
      </w:tr>
      <w:tr w:rsidR="003C66EB" w14:paraId="5EA27520" w14:textId="77777777">
        <w:trPr>
          <w:hidden/>
        </w:trPr>
        <w:tc>
          <w:tcPr>
            <w:tcW w:w="0" w:type="auto"/>
            <w:gridSpan w:val="3"/>
            <w:shd w:val="clear" w:color="auto" w:fill="auto"/>
          </w:tcPr>
          <w:p w14:paraId="5EA27514" w14:textId="77777777" w:rsidR="003C66EB" w:rsidRDefault="003C66EB">
            <w:pPr>
              <w:rPr>
                <w:rFonts w:ascii="宋体"/>
                <w:vanish/>
              </w:rPr>
            </w:pPr>
          </w:p>
        </w:tc>
        <w:tc>
          <w:tcPr>
            <w:tcW w:w="0" w:type="auto"/>
            <w:gridSpan w:val="3"/>
            <w:shd w:val="clear" w:color="auto" w:fill="auto"/>
          </w:tcPr>
          <w:p w14:paraId="5EA27515" w14:textId="77777777" w:rsidR="003C66EB" w:rsidRDefault="003C66EB">
            <w:pPr>
              <w:rPr>
                <w:rFonts w:ascii="宋体"/>
                <w:vanish/>
              </w:rPr>
            </w:pPr>
          </w:p>
        </w:tc>
        <w:tc>
          <w:tcPr>
            <w:tcW w:w="0" w:type="auto"/>
            <w:gridSpan w:val="3"/>
            <w:shd w:val="clear" w:color="auto" w:fill="auto"/>
          </w:tcPr>
          <w:p w14:paraId="5EA27516" w14:textId="77777777" w:rsidR="003C66EB" w:rsidRDefault="003C66EB">
            <w:pPr>
              <w:rPr>
                <w:rFonts w:ascii="宋体"/>
                <w:vanish/>
              </w:rPr>
            </w:pPr>
          </w:p>
        </w:tc>
        <w:tc>
          <w:tcPr>
            <w:tcW w:w="0" w:type="auto"/>
            <w:gridSpan w:val="3"/>
            <w:shd w:val="clear" w:color="auto" w:fill="auto"/>
          </w:tcPr>
          <w:p w14:paraId="5EA27517" w14:textId="77777777" w:rsidR="003C66EB" w:rsidRDefault="003C66EB">
            <w:pPr>
              <w:rPr>
                <w:rFonts w:ascii="宋体"/>
                <w:vanish/>
              </w:rPr>
            </w:pPr>
          </w:p>
        </w:tc>
        <w:tc>
          <w:tcPr>
            <w:tcW w:w="0" w:type="auto"/>
            <w:gridSpan w:val="3"/>
            <w:shd w:val="clear" w:color="auto" w:fill="auto"/>
          </w:tcPr>
          <w:p w14:paraId="5EA27518" w14:textId="77777777" w:rsidR="003C66EB" w:rsidRDefault="003C66EB">
            <w:pPr>
              <w:rPr>
                <w:rFonts w:ascii="宋体"/>
                <w:vanish/>
              </w:rPr>
            </w:pPr>
          </w:p>
        </w:tc>
        <w:tc>
          <w:tcPr>
            <w:tcW w:w="0" w:type="auto"/>
            <w:shd w:val="clear" w:color="auto" w:fill="auto"/>
          </w:tcPr>
          <w:p w14:paraId="5EA27519" w14:textId="77777777" w:rsidR="003C66EB" w:rsidRDefault="003C66EB">
            <w:pPr>
              <w:rPr>
                <w:rFonts w:ascii="宋体"/>
                <w:vanish/>
              </w:rPr>
            </w:pPr>
          </w:p>
        </w:tc>
        <w:tc>
          <w:tcPr>
            <w:tcW w:w="0" w:type="auto"/>
            <w:shd w:val="clear" w:color="auto" w:fill="auto"/>
          </w:tcPr>
          <w:p w14:paraId="5EA2751A" w14:textId="77777777" w:rsidR="003C66EB" w:rsidRDefault="003C66EB">
            <w:pPr>
              <w:rPr>
                <w:rFonts w:ascii="宋体"/>
                <w:vanish/>
              </w:rPr>
            </w:pPr>
          </w:p>
        </w:tc>
        <w:tc>
          <w:tcPr>
            <w:tcW w:w="0" w:type="auto"/>
            <w:shd w:val="clear" w:color="auto" w:fill="auto"/>
          </w:tcPr>
          <w:p w14:paraId="5EA2751B" w14:textId="77777777" w:rsidR="003C66EB" w:rsidRDefault="003C66EB">
            <w:pPr>
              <w:rPr>
                <w:rFonts w:ascii="宋体"/>
                <w:vanish/>
              </w:rPr>
            </w:pPr>
          </w:p>
        </w:tc>
        <w:tc>
          <w:tcPr>
            <w:tcW w:w="0" w:type="auto"/>
            <w:shd w:val="clear" w:color="auto" w:fill="auto"/>
          </w:tcPr>
          <w:p w14:paraId="5EA2751C" w14:textId="77777777" w:rsidR="003C66EB" w:rsidRDefault="003C66EB">
            <w:pPr>
              <w:rPr>
                <w:rFonts w:ascii="宋体"/>
                <w:vanish/>
              </w:rPr>
            </w:pPr>
          </w:p>
        </w:tc>
        <w:tc>
          <w:tcPr>
            <w:tcW w:w="0" w:type="auto"/>
            <w:gridSpan w:val="3"/>
            <w:shd w:val="clear" w:color="auto" w:fill="auto"/>
          </w:tcPr>
          <w:p w14:paraId="5EA2751D" w14:textId="77777777" w:rsidR="003C66EB" w:rsidRDefault="003C66EB">
            <w:pPr>
              <w:rPr>
                <w:rFonts w:ascii="宋体"/>
                <w:vanish/>
              </w:rPr>
            </w:pPr>
          </w:p>
        </w:tc>
        <w:tc>
          <w:tcPr>
            <w:tcW w:w="0" w:type="auto"/>
            <w:gridSpan w:val="3"/>
            <w:shd w:val="clear" w:color="auto" w:fill="auto"/>
          </w:tcPr>
          <w:p w14:paraId="5EA2751E" w14:textId="77777777" w:rsidR="003C66EB" w:rsidRDefault="003C66EB">
            <w:pPr>
              <w:rPr>
                <w:rFonts w:ascii="宋体"/>
                <w:vanish/>
              </w:rPr>
            </w:pPr>
          </w:p>
        </w:tc>
        <w:tc>
          <w:tcPr>
            <w:tcW w:w="0" w:type="auto"/>
            <w:gridSpan w:val="3"/>
            <w:shd w:val="clear" w:color="auto" w:fill="auto"/>
          </w:tcPr>
          <w:p w14:paraId="5EA2751F" w14:textId="77777777" w:rsidR="003C66EB" w:rsidRDefault="003C66EB">
            <w:pPr>
              <w:rPr>
                <w:rFonts w:ascii="宋体"/>
                <w:vanish/>
              </w:rPr>
            </w:pPr>
          </w:p>
        </w:tc>
      </w:tr>
      <w:tr w:rsidR="003C66EB" w14:paraId="5EA2752D" w14:textId="77777777">
        <w:trPr>
          <w:hidden/>
        </w:trPr>
        <w:tc>
          <w:tcPr>
            <w:tcW w:w="0" w:type="auto"/>
            <w:gridSpan w:val="3"/>
            <w:shd w:val="clear" w:color="auto" w:fill="auto"/>
          </w:tcPr>
          <w:p w14:paraId="5EA27521" w14:textId="77777777" w:rsidR="003C66EB" w:rsidRDefault="003C66EB">
            <w:pPr>
              <w:rPr>
                <w:rFonts w:ascii="宋体"/>
                <w:vanish/>
              </w:rPr>
            </w:pPr>
          </w:p>
        </w:tc>
        <w:tc>
          <w:tcPr>
            <w:tcW w:w="0" w:type="auto"/>
            <w:gridSpan w:val="3"/>
            <w:shd w:val="clear" w:color="auto" w:fill="auto"/>
          </w:tcPr>
          <w:p w14:paraId="5EA27522" w14:textId="77777777" w:rsidR="003C66EB" w:rsidRDefault="003C66EB">
            <w:pPr>
              <w:rPr>
                <w:rFonts w:ascii="宋体"/>
                <w:vanish/>
              </w:rPr>
            </w:pPr>
          </w:p>
        </w:tc>
        <w:tc>
          <w:tcPr>
            <w:tcW w:w="0" w:type="auto"/>
            <w:gridSpan w:val="3"/>
            <w:shd w:val="clear" w:color="auto" w:fill="auto"/>
          </w:tcPr>
          <w:p w14:paraId="5EA27523" w14:textId="77777777" w:rsidR="003C66EB" w:rsidRDefault="003C66EB">
            <w:pPr>
              <w:rPr>
                <w:rFonts w:ascii="宋体"/>
                <w:vanish/>
              </w:rPr>
            </w:pPr>
          </w:p>
        </w:tc>
        <w:tc>
          <w:tcPr>
            <w:tcW w:w="0" w:type="auto"/>
            <w:gridSpan w:val="3"/>
            <w:shd w:val="clear" w:color="auto" w:fill="auto"/>
          </w:tcPr>
          <w:p w14:paraId="5EA27524" w14:textId="77777777" w:rsidR="003C66EB" w:rsidRDefault="003C66EB">
            <w:pPr>
              <w:rPr>
                <w:rFonts w:ascii="宋体"/>
                <w:vanish/>
              </w:rPr>
            </w:pPr>
          </w:p>
        </w:tc>
        <w:tc>
          <w:tcPr>
            <w:tcW w:w="0" w:type="auto"/>
            <w:gridSpan w:val="3"/>
            <w:shd w:val="clear" w:color="auto" w:fill="auto"/>
          </w:tcPr>
          <w:p w14:paraId="5EA27525" w14:textId="77777777" w:rsidR="003C66EB" w:rsidRDefault="003C66EB">
            <w:pPr>
              <w:rPr>
                <w:rFonts w:ascii="宋体"/>
                <w:vanish/>
              </w:rPr>
            </w:pPr>
          </w:p>
        </w:tc>
        <w:tc>
          <w:tcPr>
            <w:tcW w:w="0" w:type="auto"/>
            <w:shd w:val="clear" w:color="auto" w:fill="auto"/>
          </w:tcPr>
          <w:p w14:paraId="5EA27526" w14:textId="77777777" w:rsidR="003C66EB" w:rsidRDefault="003C66EB">
            <w:pPr>
              <w:rPr>
                <w:rFonts w:ascii="宋体"/>
                <w:vanish/>
              </w:rPr>
            </w:pPr>
          </w:p>
        </w:tc>
        <w:tc>
          <w:tcPr>
            <w:tcW w:w="0" w:type="auto"/>
            <w:shd w:val="clear" w:color="auto" w:fill="auto"/>
          </w:tcPr>
          <w:p w14:paraId="5EA27527" w14:textId="77777777" w:rsidR="003C66EB" w:rsidRDefault="003C66EB">
            <w:pPr>
              <w:rPr>
                <w:rFonts w:ascii="宋体"/>
                <w:vanish/>
              </w:rPr>
            </w:pPr>
          </w:p>
        </w:tc>
        <w:tc>
          <w:tcPr>
            <w:tcW w:w="0" w:type="auto"/>
            <w:shd w:val="clear" w:color="auto" w:fill="auto"/>
          </w:tcPr>
          <w:p w14:paraId="5EA27528" w14:textId="77777777" w:rsidR="003C66EB" w:rsidRDefault="003C66EB">
            <w:pPr>
              <w:rPr>
                <w:rFonts w:ascii="宋体"/>
                <w:vanish/>
              </w:rPr>
            </w:pPr>
          </w:p>
        </w:tc>
        <w:tc>
          <w:tcPr>
            <w:tcW w:w="0" w:type="auto"/>
            <w:shd w:val="clear" w:color="auto" w:fill="auto"/>
          </w:tcPr>
          <w:p w14:paraId="5EA27529" w14:textId="77777777" w:rsidR="003C66EB" w:rsidRDefault="003C66EB">
            <w:pPr>
              <w:rPr>
                <w:rFonts w:ascii="宋体"/>
                <w:vanish/>
              </w:rPr>
            </w:pPr>
          </w:p>
        </w:tc>
        <w:tc>
          <w:tcPr>
            <w:tcW w:w="0" w:type="auto"/>
            <w:gridSpan w:val="3"/>
            <w:shd w:val="clear" w:color="auto" w:fill="auto"/>
          </w:tcPr>
          <w:p w14:paraId="5EA2752A" w14:textId="77777777" w:rsidR="003C66EB" w:rsidRDefault="003C66EB">
            <w:pPr>
              <w:rPr>
                <w:rFonts w:ascii="宋体"/>
                <w:vanish/>
              </w:rPr>
            </w:pPr>
          </w:p>
        </w:tc>
        <w:tc>
          <w:tcPr>
            <w:tcW w:w="0" w:type="auto"/>
            <w:gridSpan w:val="3"/>
            <w:shd w:val="clear" w:color="auto" w:fill="auto"/>
          </w:tcPr>
          <w:p w14:paraId="5EA2752B" w14:textId="77777777" w:rsidR="003C66EB" w:rsidRDefault="003C66EB">
            <w:pPr>
              <w:rPr>
                <w:rFonts w:ascii="宋体"/>
                <w:vanish/>
              </w:rPr>
            </w:pPr>
          </w:p>
        </w:tc>
        <w:tc>
          <w:tcPr>
            <w:tcW w:w="0" w:type="auto"/>
            <w:gridSpan w:val="3"/>
            <w:shd w:val="clear" w:color="auto" w:fill="auto"/>
          </w:tcPr>
          <w:p w14:paraId="5EA2752C" w14:textId="77777777" w:rsidR="003C66EB" w:rsidRDefault="003C66EB">
            <w:pPr>
              <w:rPr>
                <w:rFonts w:ascii="宋体"/>
                <w:vanish/>
              </w:rPr>
            </w:pPr>
          </w:p>
        </w:tc>
      </w:tr>
      <w:tr w:rsidR="003C66EB" w14:paraId="5EA2753A" w14:textId="77777777">
        <w:trPr>
          <w:hidden/>
        </w:trPr>
        <w:tc>
          <w:tcPr>
            <w:tcW w:w="0" w:type="auto"/>
            <w:gridSpan w:val="3"/>
            <w:shd w:val="clear" w:color="auto" w:fill="auto"/>
          </w:tcPr>
          <w:p w14:paraId="5EA2752E" w14:textId="77777777" w:rsidR="003C66EB" w:rsidRDefault="003C66EB">
            <w:pPr>
              <w:rPr>
                <w:rFonts w:ascii="宋体"/>
                <w:vanish/>
              </w:rPr>
            </w:pPr>
          </w:p>
        </w:tc>
        <w:tc>
          <w:tcPr>
            <w:tcW w:w="0" w:type="auto"/>
            <w:gridSpan w:val="3"/>
            <w:shd w:val="clear" w:color="auto" w:fill="auto"/>
          </w:tcPr>
          <w:p w14:paraId="5EA2752F" w14:textId="77777777" w:rsidR="003C66EB" w:rsidRDefault="003C66EB">
            <w:pPr>
              <w:rPr>
                <w:rFonts w:ascii="宋体"/>
                <w:vanish/>
              </w:rPr>
            </w:pPr>
          </w:p>
        </w:tc>
        <w:tc>
          <w:tcPr>
            <w:tcW w:w="0" w:type="auto"/>
            <w:gridSpan w:val="3"/>
            <w:shd w:val="clear" w:color="auto" w:fill="auto"/>
          </w:tcPr>
          <w:p w14:paraId="5EA27530" w14:textId="77777777" w:rsidR="003C66EB" w:rsidRDefault="003C66EB">
            <w:pPr>
              <w:rPr>
                <w:rFonts w:ascii="宋体"/>
                <w:vanish/>
              </w:rPr>
            </w:pPr>
          </w:p>
        </w:tc>
        <w:tc>
          <w:tcPr>
            <w:tcW w:w="0" w:type="auto"/>
            <w:gridSpan w:val="3"/>
            <w:shd w:val="clear" w:color="auto" w:fill="auto"/>
          </w:tcPr>
          <w:p w14:paraId="5EA27531" w14:textId="77777777" w:rsidR="003C66EB" w:rsidRDefault="003C66EB">
            <w:pPr>
              <w:rPr>
                <w:rFonts w:ascii="宋体"/>
                <w:vanish/>
              </w:rPr>
            </w:pPr>
          </w:p>
        </w:tc>
        <w:tc>
          <w:tcPr>
            <w:tcW w:w="0" w:type="auto"/>
            <w:gridSpan w:val="3"/>
            <w:shd w:val="clear" w:color="auto" w:fill="auto"/>
          </w:tcPr>
          <w:p w14:paraId="5EA27532" w14:textId="77777777" w:rsidR="003C66EB" w:rsidRDefault="003C66EB">
            <w:pPr>
              <w:rPr>
                <w:rFonts w:ascii="宋体"/>
                <w:vanish/>
              </w:rPr>
            </w:pPr>
          </w:p>
        </w:tc>
        <w:tc>
          <w:tcPr>
            <w:tcW w:w="0" w:type="auto"/>
            <w:shd w:val="clear" w:color="auto" w:fill="auto"/>
          </w:tcPr>
          <w:p w14:paraId="5EA27533" w14:textId="77777777" w:rsidR="003C66EB" w:rsidRDefault="003C66EB">
            <w:pPr>
              <w:rPr>
                <w:rFonts w:ascii="宋体"/>
                <w:vanish/>
              </w:rPr>
            </w:pPr>
          </w:p>
        </w:tc>
        <w:tc>
          <w:tcPr>
            <w:tcW w:w="0" w:type="auto"/>
            <w:shd w:val="clear" w:color="auto" w:fill="auto"/>
          </w:tcPr>
          <w:p w14:paraId="5EA27534" w14:textId="77777777" w:rsidR="003C66EB" w:rsidRDefault="003C66EB">
            <w:pPr>
              <w:rPr>
                <w:rFonts w:ascii="宋体"/>
                <w:vanish/>
              </w:rPr>
            </w:pPr>
          </w:p>
        </w:tc>
        <w:tc>
          <w:tcPr>
            <w:tcW w:w="0" w:type="auto"/>
            <w:shd w:val="clear" w:color="auto" w:fill="auto"/>
          </w:tcPr>
          <w:p w14:paraId="5EA27535" w14:textId="77777777" w:rsidR="003C66EB" w:rsidRDefault="003C66EB">
            <w:pPr>
              <w:rPr>
                <w:rFonts w:ascii="宋体"/>
                <w:vanish/>
              </w:rPr>
            </w:pPr>
          </w:p>
        </w:tc>
        <w:tc>
          <w:tcPr>
            <w:tcW w:w="0" w:type="auto"/>
            <w:shd w:val="clear" w:color="auto" w:fill="auto"/>
          </w:tcPr>
          <w:p w14:paraId="5EA27536" w14:textId="77777777" w:rsidR="003C66EB" w:rsidRDefault="003C66EB">
            <w:pPr>
              <w:rPr>
                <w:rFonts w:ascii="宋体"/>
                <w:vanish/>
              </w:rPr>
            </w:pPr>
          </w:p>
        </w:tc>
        <w:tc>
          <w:tcPr>
            <w:tcW w:w="0" w:type="auto"/>
            <w:gridSpan w:val="3"/>
            <w:shd w:val="clear" w:color="auto" w:fill="auto"/>
          </w:tcPr>
          <w:p w14:paraId="5EA27537" w14:textId="77777777" w:rsidR="003C66EB" w:rsidRDefault="003C66EB">
            <w:pPr>
              <w:rPr>
                <w:rFonts w:ascii="宋体"/>
                <w:vanish/>
              </w:rPr>
            </w:pPr>
          </w:p>
        </w:tc>
        <w:tc>
          <w:tcPr>
            <w:tcW w:w="0" w:type="auto"/>
            <w:gridSpan w:val="3"/>
            <w:shd w:val="clear" w:color="auto" w:fill="auto"/>
          </w:tcPr>
          <w:p w14:paraId="5EA27538" w14:textId="77777777" w:rsidR="003C66EB" w:rsidRDefault="003C66EB">
            <w:pPr>
              <w:rPr>
                <w:rFonts w:ascii="宋体"/>
                <w:vanish/>
              </w:rPr>
            </w:pPr>
          </w:p>
        </w:tc>
        <w:tc>
          <w:tcPr>
            <w:tcW w:w="0" w:type="auto"/>
            <w:gridSpan w:val="3"/>
            <w:shd w:val="clear" w:color="auto" w:fill="auto"/>
          </w:tcPr>
          <w:p w14:paraId="5EA27539" w14:textId="77777777" w:rsidR="003C66EB" w:rsidRDefault="003C66EB">
            <w:pPr>
              <w:rPr>
                <w:rFonts w:ascii="宋体"/>
                <w:vanish/>
              </w:rPr>
            </w:pPr>
          </w:p>
        </w:tc>
      </w:tr>
      <w:tr w:rsidR="003C66EB" w14:paraId="5EA2754F" w14:textId="77777777">
        <w:tc>
          <w:tcPr>
            <w:tcW w:w="0" w:type="auto"/>
            <w:gridSpan w:val="3"/>
            <w:shd w:val="clear" w:color="auto" w:fill="FFFFFF"/>
            <w:tcMar>
              <w:top w:w="40" w:type="dxa"/>
              <w:left w:w="20" w:type="dxa"/>
              <w:bottom w:w="40" w:type="dxa"/>
              <w:right w:w="20" w:type="dxa"/>
            </w:tcMar>
            <w:vAlign w:val="bottom"/>
          </w:tcPr>
          <w:p w14:paraId="5EA2753B" w14:textId="77777777" w:rsidR="003C66EB" w:rsidRDefault="00D96C4E">
            <w:pPr>
              <w:textAlignment w:val="bottom"/>
            </w:pPr>
            <w:r>
              <w:rPr>
                <w:rFonts w:ascii="Arial" w:eastAsia="宋体" w:hAnsi="Arial" w:cs="Arial"/>
                <w:b/>
                <w:bCs/>
                <w:color w:val="000000"/>
                <w:sz w:val="13"/>
                <w:szCs w:val="13"/>
              </w:rPr>
              <w:t>Accrual Balance at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5EA2753C" w14:textId="77777777" w:rsidR="003C66EB" w:rsidRDefault="00D96C4E">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753D" w14:textId="77777777" w:rsidR="003C66EB" w:rsidRDefault="00D96C4E">
            <w:pPr>
              <w:jc w:val="right"/>
              <w:textAlignment w:val="bottom"/>
            </w:pPr>
            <w:r>
              <w:rPr>
                <w:rFonts w:ascii="Arial" w:eastAsia="宋体" w:hAnsi="Arial" w:cs="Arial"/>
                <w:b/>
                <w:bCs/>
                <w:color w:val="000000"/>
                <w:sz w:val="13"/>
                <w:szCs w:val="13"/>
              </w:rPr>
              <w:t>190</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753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3F"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7540" w14:textId="77777777" w:rsidR="003C66EB" w:rsidRDefault="00D96C4E">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7541" w14:textId="77777777" w:rsidR="003C66EB" w:rsidRDefault="00D96C4E">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754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43" w14:textId="77777777" w:rsidR="003C66EB" w:rsidRDefault="003C66EB">
            <w:pPr>
              <w:rPr>
                <w:rFonts w:ascii="宋体"/>
              </w:rPr>
            </w:pPr>
          </w:p>
        </w:tc>
        <w:tc>
          <w:tcPr>
            <w:tcW w:w="0" w:type="auto"/>
            <w:shd w:val="clear" w:color="auto" w:fill="auto"/>
          </w:tcPr>
          <w:p w14:paraId="5EA27544" w14:textId="77777777" w:rsidR="003C66EB" w:rsidRDefault="003C66EB">
            <w:pPr>
              <w:rPr>
                <w:rFonts w:ascii="宋体"/>
                <w:vanish/>
              </w:rPr>
            </w:pPr>
          </w:p>
        </w:tc>
        <w:tc>
          <w:tcPr>
            <w:tcW w:w="0" w:type="auto"/>
            <w:shd w:val="clear" w:color="auto" w:fill="auto"/>
          </w:tcPr>
          <w:p w14:paraId="5EA27545" w14:textId="77777777" w:rsidR="003C66EB" w:rsidRDefault="003C66EB">
            <w:pPr>
              <w:rPr>
                <w:rFonts w:ascii="宋体"/>
                <w:vanish/>
              </w:rPr>
            </w:pPr>
          </w:p>
        </w:tc>
        <w:tc>
          <w:tcPr>
            <w:tcW w:w="0" w:type="auto"/>
            <w:shd w:val="clear" w:color="auto" w:fill="auto"/>
          </w:tcPr>
          <w:p w14:paraId="5EA27546" w14:textId="77777777" w:rsidR="003C66EB" w:rsidRDefault="003C66EB">
            <w:pPr>
              <w:rPr>
                <w:rFonts w:ascii="宋体"/>
                <w:vanish/>
              </w:rPr>
            </w:pPr>
          </w:p>
        </w:tc>
        <w:tc>
          <w:tcPr>
            <w:tcW w:w="0" w:type="auto"/>
            <w:shd w:val="clear" w:color="auto" w:fill="auto"/>
          </w:tcPr>
          <w:p w14:paraId="5EA27547" w14:textId="77777777" w:rsidR="003C66EB" w:rsidRDefault="003C66EB">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7548" w14:textId="77777777" w:rsidR="003C66EB" w:rsidRDefault="00D96C4E">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754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754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4B" w14:textId="77777777" w:rsidR="003C66EB" w:rsidRDefault="003C66E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A2754C" w14:textId="77777777" w:rsidR="003C66EB" w:rsidRDefault="00D96C4E">
            <w:pPr>
              <w:textAlignment w:val="bottom"/>
            </w:pPr>
            <w:r>
              <w:rPr>
                <w:rFonts w:ascii="Arial" w:eastAsia="宋体" w:hAnsi="Arial" w:cs="Arial"/>
                <w:b/>
                <w:bCs/>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A2754D" w14:textId="77777777" w:rsidR="003C66EB" w:rsidRDefault="00D96C4E">
            <w:pPr>
              <w:jc w:val="right"/>
              <w:textAlignment w:val="bottom"/>
            </w:pPr>
            <w:r>
              <w:rPr>
                <w:rFonts w:ascii="Arial" w:eastAsia="宋体" w:hAnsi="Arial" w:cs="Arial"/>
                <w:b/>
                <w:bCs/>
                <w:color w:val="000000"/>
                <w:sz w:val="13"/>
                <w:szCs w:val="13"/>
              </w:rPr>
              <w:t>196</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A2754E" w14:textId="77777777" w:rsidR="003C66EB" w:rsidRDefault="003C66EB">
            <w:pPr>
              <w:jc w:val="right"/>
              <w:rPr>
                <w:rFonts w:ascii="宋体"/>
              </w:rPr>
            </w:pPr>
          </w:p>
        </w:tc>
      </w:tr>
      <w:tr w:rsidR="003C66EB" w14:paraId="5EA27560" w14:textId="77777777">
        <w:tc>
          <w:tcPr>
            <w:tcW w:w="0" w:type="auto"/>
            <w:gridSpan w:val="3"/>
            <w:shd w:val="clear" w:color="auto" w:fill="CCEEFF"/>
            <w:tcMar>
              <w:top w:w="40" w:type="dxa"/>
              <w:left w:w="20" w:type="dxa"/>
              <w:bottom w:w="40" w:type="dxa"/>
              <w:right w:w="20" w:type="dxa"/>
            </w:tcMar>
            <w:vAlign w:val="bottom"/>
          </w:tcPr>
          <w:p w14:paraId="5EA27550" w14:textId="77777777" w:rsidR="003C66EB" w:rsidRDefault="00D96C4E">
            <w:pPr>
              <w:textAlignment w:val="bottom"/>
            </w:pPr>
            <w:r>
              <w:rPr>
                <w:rFonts w:ascii="Arial" w:eastAsia="宋体" w:hAnsi="Arial" w:cs="Arial"/>
                <w:color w:val="000000"/>
                <w:sz w:val="13"/>
                <w:szCs w:val="13"/>
              </w:rPr>
              <w:t>Accruals for Beacon</w:t>
            </w:r>
          </w:p>
        </w:tc>
        <w:tc>
          <w:tcPr>
            <w:tcW w:w="0" w:type="auto"/>
            <w:gridSpan w:val="2"/>
            <w:shd w:val="clear" w:color="auto" w:fill="CCEEFF"/>
            <w:tcMar>
              <w:top w:w="40" w:type="dxa"/>
              <w:left w:w="20" w:type="dxa"/>
              <w:bottom w:w="40" w:type="dxa"/>
              <w:right w:w="0" w:type="dxa"/>
            </w:tcMar>
            <w:vAlign w:val="bottom"/>
          </w:tcPr>
          <w:p w14:paraId="5EA27551" w14:textId="77777777" w:rsidR="003C66EB" w:rsidRDefault="00D96C4E">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5EA2755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5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554"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5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56" w14:textId="77777777" w:rsidR="003C66EB" w:rsidRDefault="003C66EB">
            <w:pPr>
              <w:rPr>
                <w:rFonts w:ascii="宋体"/>
              </w:rPr>
            </w:pPr>
          </w:p>
        </w:tc>
        <w:tc>
          <w:tcPr>
            <w:tcW w:w="0" w:type="auto"/>
            <w:shd w:val="clear" w:color="auto" w:fill="auto"/>
          </w:tcPr>
          <w:p w14:paraId="5EA27557" w14:textId="77777777" w:rsidR="003C66EB" w:rsidRDefault="003C66EB">
            <w:pPr>
              <w:rPr>
                <w:rFonts w:ascii="宋体"/>
                <w:vanish/>
              </w:rPr>
            </w:pPr>
          </w:p>
        </w:tc>
        <w:tc>
          <w:tcPr>
            <w:tcW w:w="0" w:type="auto"/>
            <w:shd w:val="clear" w:color="auto" w:fill="auto"/>
          </w:tcPr>
          <w:p w14:paraId="5EA27558" w14:textId="77777777" w:rsidR="003C66EB" w:rsidRDefault="003C66EB">
            <w:pPr>
              <w:rPr>
                <w:rFonts w:ascii="宋体"/>
                <w:vanish/>
              </w:rPr>
            </w:pPr>
          </w:p>
        </w:tc>
        <w:tc>
          <w:tcPr>
            <w:tcW w:w="0" w:type="auto"/>
            <w:shd w:val="clear" w:color="auto" w:fill="auto"/>
          </w:tcPr>
          <w:p w14:paraId="5EA27559" w14:textId="77777777" w:rsidR="003C66EB" w:rsidRDefault="003C66EB">
            <w:pPr>
              <w:rPr>
                <w:rFonts w:ascii="宋体"/>
                <w:vanish/>
              </w:rPr>
            </w:pPr>
          </w:p>
        </w:tc>
        <w:tc>
          <w:tcPr>
            <w:tcW w:w="0" w:type="auto"/>
            <w:shd w:val="clear" w:color="auto" w:fill="auto"/>
          </w:tcPr>
          <w:p w14:paraId="5EA2755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55B"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5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5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55E" w14:textId="77777777" w:rsidR="003C66EB" w:rsidRDefault="00D96C4E">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5EA2755F" w14:textId="77777777" w:rsidR="003C66EB" w:rsidRDefault="003C66EB">
            <w:pPr>
              <w:jc w:val="right"/>
              <w:rPr>
                <w:rFonts w:ascii="宋体"/>
              </w:rPr>
            </w:pPr>
          </w:p>
        </w:tc>
      </w:tr>
      <w:tr w:rsidR="003C66EB" w14:paraId="5EA27571" w14:textId="77777777">
        <w:tc>
          <w:tcPr>
            <w:tcW w:w="0" w:type="auto"/>
            <w:gridSpan w:val="3"/>
            <w:shd w:val="clear" w:color="auto" w:fill="FFFFFF"/>
            <w:tcMar>
              <w:top w:w="40" w:type="dxa"/>
              <w:left w:w="20" w:type="dxa"/>
              <w:bottom w:w="40" w:type="dxa"/>
              <w:right w:w="20" w:type="dxa"/>
            </w:tcMar>
            <w:vAlign w:val="bottom"/>
          </w:tcPr>
          <w:p w14:paraId="5EA27561" w14:textId="77777777" w:rsidR="003C66EB" w:rsidRDefault="00D96C4E">
            <w:pPr>
              <w:textAlignment w:val="bottom"/>
            </w:pPr>
            <w:r>
              <w:rPr>
                <w:rFonts w:ascii="Arial" w:eastAsia="宋体" w:hAnsi="Arial" w:cs="Arial"/>
                <w:color w:val="000000"/>
                <w:sz w:val="13"/>
                <w:szCs w:val="13"/>
              </w:rPr>
              <w:t>Accruals for Repositioning Charges</w:t>
            </w:r>
          </w:p>
        </w:tc>
        <w:tc>
          <w:tcPr>
            <w:tcW w:w="0" w:type="auto"/>
            <w:gridSpan w:val="2"/>
            <w:shd w:val="clear" w:color="auto" w:fill="FFFFFF"/>
            <w:tcMar>
              <w:top w:w="40" w:type="dxa"/>
              <w:left w:w="20" w:type="dxa"/>
              <w:bottom w:w="40" w:type="dxa"/>
              <w:right w:w="0" w:type="dxa"/>
            </w:tcMar>
            <w:vAlign w:val="bottom"/>
          </w:tcPr>
          <w:p w14:paraId="5EA27562"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56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64"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565" w14:textId="77777777" w:rsidR="003C66EB" w:rsidRDefault="00D96C4E">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56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67" w14:textId="77777777" w:rsidR="003C66EB" w:rsidRDefault="003C66EB">
            <w:pPr>
              <w:rPr>
                <w:rFonts w:ascii="宋体"/>
              </w:rPr>
            </w:pPr>
          </w:p>
        </w:tc>
        <w:tc>
          <w:tcPr>
            <w:tcW w:w="0" w:type="auto"/>
            <w:shd w:val="clear" w:color="auto" w:fill="auto"/>
          </w:tcPr>
          <w:p w14:paraId="5EA27568" w14:textId="77777777" w:rsidR="003C66EB" w:rsidRDefault="003C66EB">
            <w:pPr>
              <w:rPr>
                <w:rFonts w:ascii="宋体"/>
                <w:vanish/>
              </w:rPr>
            </w:pPr>
          </w:p>
        </w:tc>
        <w:tc>
          <w:tcPr>
            <w:tcW w:w="0" w:type="auto"/>
            <w:shd w:val="clear" w:color="auto" w:fill="auto"/>
          </w:tcPr>
          <w:p w14:paraId="5EA27569" w14:textId="77777777" w:rsidR="003C66EB" w:rsidRDefault="003C66EB">
            <w:pPr>
              <w:rPr>
                <w:rFonts w:ascii="宋体"/>
                <w:vanish/>
              </w:rPr>
            </w:pPr>
          </w:p>
        </w:tc>
        <w:tc>
          <w:tcPr>
            <w:tcW w:w="0" w:type="auto"/>
            <w:shd w:val="clear" w:color="auto" w:fill="auto"/>
          </w:tcPr>
          <w:p w14:paraId="5EA2756A" w14:textId="77777777" w:rsidR="003C66EB" w:rsidRDefault="003C66EB">
            <w:pPr>
              <w:rPr>
                <w:rFonts w:ascii="宋体"/>
                <w:vanish/>
              </w:rPr>
            </w:pPr>
          </w:p>
        </w:tc>
        <w:tc>
          <w:tcPr>
            <w:tcW w:w="0" w:type="auto"/>
            <w:shd w:val="clear" w:color="auto" w:fill="auto"/>
          </w:tcPr>
          <w:p w14:paraId="5EA2756B"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56C"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56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6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56F" w14:textId="77777777" w:rsidR="003C66EB" w:rsidRDefault="00D96C4E">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570" w14:textId="77777777" w:rsidR="003C66EB" w:rsidRDefault="003C66EB">
            <w:pPr>
              <w:jc w:val="right"/>
              <w:rPr>
                <w:rFonts w:ascii="宋体"/>
              </w:rPr>
            </w:pPr>
          </w:p>
        </w:tc>
      </w:tr>
      <w:tr w:rsidR="003C66EB" w14:paraId="5EA27582" w14:textId="77777777">
        <w:tc>
          <w:tcPr>
            <w:tcW w:w="0" w:type="auto"/>
            <w:gridSpan w:val="3"/>
            <w:shd w:val="clear" w:color="auto" w:fill="CCEEFF"/>
            <w:tcMar>
              <w:top w:w="40" w:type="dxa"/>
              <w:left w:w="20" w:type="dxa"/>
              <w:bottom w:w="40" w:type="dxa"/>
              <w:right w:w="20" w:type="dxa"/>
            </w:tcMar>
            <w:vAlign w:val="bottom"/>
          </w:tcPr>
          <w:p w14:paraId="5EA27572" w14:textId="77777777" w:rsidR="003C66EB" w:rsidRDefault="00D96C4E">
            <w:pPr>
              <w:textAlignment w:val="bottom"/>
            </w:pPr>
            <w:r>
              <w:rPr>
                <w:rFonts w:ascii="Arial" w:eastAsia="宋体" w:hAnsi="Arial" w:cs="Arial"/>
                <w:color w:val="000000"/>
                <w:sz w:val="13"/>
                <w:szCs w:val="13"/>
              </w:rPr>
              <w:t>Payments and Other Adjustments</w:t>
            </w:r>
          </w:p>
        </w:tc>
        <w:tc>
          <w:tcPr>
            <w:tcW w:w="0" w:type="auto"/>
            <w:gridSpan w:val="2"/>
            <w:shd w:val="clear" w:color="auto" w:fill="CCEEFF"/>
            <w:tcMar>
              <w:top w:w="40" w:type="dxa"/>
              <w:left w:w="20" w:type="dxa"/>
              <w:bottom w:w="40" w:type="dxa"/>
              <w:right w:w="0" w:type="dxa"/>
            </w:tcMar>
            <w:vAlign w:val="bottom"/>
          </w:tcPr>
          <w:p w14:paraId="5EA27573" w14:textId="77777777" w:rsidR="003C66EB" w:rsidRDefault="00D96C4E">
            <w:pPr>
              <w:jc w:val="right"/>
              <w:textAlignment w:val="bottom"/>
            </w:pPr>
            <w:r>
              <w:rPr>
                <w:rFonts w:ascii="Arial" w:eastAsia="宋体" w:hAnsi="Arial" w:cs="Arial"/>
                <w:b/>
                <w:bCs/>
                <w:color w:val="000000"/>
                <w:sz w:val="13"/>
                <w:szCs w:val="13"/>
              </w:rPr>
              <w:t>(9)</w:t>
            </w:r>
          </w:p>
        </w:tc>
        <w:tc>
          <w:tcPr>
            <w:tcW w:w="0" w:type="auto"/>
            <w:shd w:val="clear" w:color="auto" w:fill="CCEEFF"/>
            <w:tcMar>
              <w:top w:w="40" w:type="dxa"/>
              <w:left w:w="0" w:type="dxa"/>
              <w:bottom w:w="40" w:type="dxa"/>
              <w:right w:w="20" w:type="dxa"/>
            </w:tcMar>
            <w:vAlign w:val="bottom"/>
          </w:tcPr>
          <w:p w14:paraId="5EA2757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7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576" w14:textId="77777777" w:rsidR="003C66EB" w:rsidRDefault="00D96C4E">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5EA2757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78" w14:textId="77777777" w:rsidR="003C66EB" w:rsidRDefault="003C66EB">
            <w:pPr>
              <w:rPr>
                <w:rFonts w:ascii="宋体"/>
              </w:rPr>
            </w:pPr>
          </w:p>
        </w:tc>
        <w:tc>
          <w:tcPr>
            <w:tcW w:w="0" w:type="auto"/>
            <w:shd w:val="clear" w:color="auto" w:fill="auto"/>
          </w:tcPr>
          <w:p w14:paraId="5EA27579" w14:textId="77777777" w:rsidR="003C66EB" w:rsidRDefault="003C66EB">
            <w:pPr>
              <w:rPr>
                <w:rFonts w:ascii="宋体"/>
                <w:vanish/>
              </w:rPr>
            </w:pPr>
          </w:p>
        </w:tc>
        <w:tc>
          <w:tcPr>
            <w:tcW w:w="0" w:type="auto"/>
            <w:shd w:val="clear" w:color="auto" w:fill="auto"/>
          </w:tcPr>
          <w:p w14:paraId="5EA2757A" w14:textId="77777777" w:rsidR="003C66EB" w:rsidRDefault="003C66EB">
            <w:pPr>
              <w:rPr>
                <w:rFonts w:ascii="宋体"/>
                <w:vanish/>
              </w:rPr>
            </w:pPr>
          </w:p>
        </w:tc>
        <w:tc>
          <w:tcPr>
            <w:tcW w:w="0" w:type="auto"/>
            <w:shd w:val="clear" w:color="auto" w:fill="auto"/>
          </w:tcPr>
          <w:p w14:paraId="5EA2757B" w14:textId="77777777" w:rsidR="003C66EB" w:rsidRDefault="003C66EB">
            <w:pPr>
              <w:rPr>
                <w:rFonts w:ascii="宋体"/>
                <w:vanish/>
              </w:rPr>
            </w:pPr>
          </w:p>
        </w:tc>
        <w:tc>
          <w:tcPr>
            <w:tcW w:w="0" w:type="auto"/>
            <w:shd w:val="clear" w:color="auto" w:fill="auto"/>
          </w:tcPr>
          <w:p w14:paraId="5EA2757C"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57D"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57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7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580" w14:textId="77777777" w:rsidR="003C66EB" w:rsidRDefault="00D96C4E">
            <w:pPr>
              <w:jc w:val="right"/>
              <w:textAlignment w:val="bottom"/>
            </w:pPr>
            <w:r>
              <w:rPr>
                <w:rFonts w:ascii="Arial" w:eastAsia="宋体" w:hAnsi="Arial" w:cs="Arial"/>
                <w:b/>
                <w:bCs/>
                <w:color w:val="000000"/>
                <w:sz w:val="13"/>
                <w:szCs w:val="13"/>
              </w:rPr>
              <w:t>(11)</w:t>
            </w:r>
          </w:p>
        </w:tc>
        <w:tc>
          <w:tcPr>
            <w:tcW w:w="0" w:type="auto"/>
            <w:shd w:val="clear" w:color="auto" w:fill="CCEEFF"/>
            <w:tcMar>
              <w:top w:w="40" w:type="dxa"/>
              <w:left w:w="0" w:type="dxa"/>
              <w:bottom w:w="40" w:type="dxa"/>
              <w:right w:w="20" w:type="dxa"/>
            </w:tcMar>
            <w:vAlign w:val="bottom"/>
          </w:tcPr>
          <w:p w14:paraId="5EA27581" w14:textId="77777777" w:rsidR="003C66EB" w:rsidRDefault="003C66EB">
            <w:pPr>
              <w:jc w:val="right"/>
              <w:rPr>
                <w:rFonts w:ascii="宋体"/>
              </w:rPr>
            </w:pPr>
          </w:p>
        </w:tc>
      </w:tr>
      <w:tr w:rsidR="003C66EB" w14:paraId="5EA27597" w14:textId="77777777">
        <w:tc>
          <w:tcPr>
            <w:tcW w:w="0" w:type="auto"/>
            <w:gridSpan w:val="3"/>
            <w:shd w:val="clear" w:color="auto" w:fill="FFFFFF"/>
            <w:tcMar>
              <w:top w:w="40" w:type="dxa"/>
              <w:left w:w="20" w:type="dxa"/>
              <w:bottom w:w="40" w:type="dxa"/>
              <w:right w:w="20" w:type="dxa"/>
            </w:tcMar>
            <w:vAlign w:val="bottom"/>
          </w:tcPr>
          <w:p w14:paraId="5EA27583" w14:textId="77777777" w:rsidR="003C66EB" w:rsidRDefault="00D96C4E">
            <w:pPr>
              <w:textAlignment w:val="bottom"/>
            </w:pPr>
            <w:r>
              <w:rPr>
                <w:rFonts w:ascii="Arial" w:eastAsia="宋体" w:hAnsi="Arial" w:cs="Arial"/>
                <w:b/>
                <w:bCs/>
                <w:color w:val="000000"/>
                <w:sz w:val="13"/>
                <w:szCs w:val="13"/>
              </w:rPr>
              <w:t>Accrual Balance at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584"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585" w14:textId="77777777" w:rsidR="003C66EB" w:rsidRDefault="00D96C4E">
            <w:pPr>
              <w:jc w:val="right"/>
              <w:textAlignment w:val="bottom"/>
            </w:pPr>
            <w:r>
              <w:rPr>
                <w:rFonts w:ascii="Arial" w:eastAsia="宋体" w:hAnsi="Arial" w:cs="Arial"/>
                <w:b/>
                <w:bCs/>
                <w:color w:val="000000"/>
                <w:sz w:val="13"/>
                <w:szCs w:val="13"/>
              </w:rPr>
              <w:t>180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58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87"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588"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589" w14:textId="77777777" w:rsidR="003C66EB" w:rsidRDefault="00D96C4E">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5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8B" w14:textId="77777777" w:rsidR="003C66EB" w:rsidRDefault="003C66EB">
            <w:pPr>
              <w:rPr>
                <w:rFonts w:ascii="宋体"/>
              </w:rPr>
            </w:pPr>
          </w:p>
        </w:tc>
        <w:tc>
          <w:tcPr>
            <w:tcW w:w="0" w:type="auto"/>
            <w:shd w:val="clear" w:color="auto" w:fill="auto"/>
          </w:tcPr>
          <w:p w14:paraId="5EA2758C" w14:textId="77777777" w:rsidR="003C66EB" w:rsidRDefault="003C66EB">
            <w:pPr>
              <w:rPr>
                <w:rFonts w:ascii="宋体"/>
                <w:vanish/>
              </w:rPr>
            </w:pPr>
          </w:p>
        </w:tc>
        <w:tc>
          <w:tcPr>
            <w:tcW w:w="0" w:type="auto"/>
            <w:shd w:val="clear" w:color="auto" w:fill="auto"/>
          </w:tcPr>
          <w:p w14:paraId="5EA2758D" w14:textId="77777777" w:rsidR="003C66EB" w:rsidRDefault="003C66EB">
            <w:pPr>
              <w:rPr>
                <w:rFonts w:ascii="宋体"/>
                <w:vanish/>
              </w:rPr>
            </w:pPr>
          </w:p>
        </w:tc>
        <w:tc>
          <w:tcPr>
            <w:tcW w:w="0" w:type="auto"/>
            <w:shd w:val="clear" w:color="auto" w:fill="auto"/>
          </w:tcPr>
          <w:p w14:paraId="5EA2758E" w14:textId="77777777" w:rsidR="003C66EB" w:rsidRDefault="003C66EB">
            <w:pPr>
              <w:rPr>
                <w:rFonts w:ascii="宋体"/>
                <w:vanish/>
              </w:rPr>
            </w:pPr>
          </w:p>
        </w:tc>
        <w:tc>
          <w:tcPr>
            <w:tcW w:w="0" w:type="auto"/>
            <w:shd w:val="clear" w:color="auto" w:fill="auto"/>
          </w:tcPr>
          <w:p w14:paraId="5EA2758F" w14:textId="77777777" w:rsidR="003C66EB" w:rsidRDefault="003C66EB">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590"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591"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5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93" w14:textId="77777777" w:rsidR="003C66EB" w:rsidRDefault="003C66E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7594"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A27595" w14:textId="77777777" w:rsidR="003C66EB" w:rsidRDefault="00D96C4E">
            <w:pPr>
              <w:jc w:val="right"/>
              <w:textAlignment w:val="bottom"/>
            </w:pPr>
            <w:r>
              <w:rPr>
                <w:rFonts w:ascii="Arial" w:eastAsia="宋体" w:hAnsi="Arial" w:cs="Arial"/>
                <w:b/>
                <w:bCs/>
                <w:color w:val="000000"/>
                <w:sz w:val="13"/>
                <w:szCs w:val="13"/>
              </w:rPr>
              <w:t>186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7596" w14:textId="77777777" w:rsidR="003C66EB" w:rsidRDefault="003C66EB">
            <w:pPr>
              <w:jc w:val="right"/>
              <w:rPr>
                <w:rFonts w:ascii="宋体"/>
              </w:rPr>
            </w:pPr>
          </w:p>
        </w:tc>
      </w:tr>
      <w:tr w:rsidR="003C66EB" w14:paraId="5EA275A4" w14:textId="77777777">
        <w:trPr>
          <w:hidden/>
        </w:trPr>
        <w:tc>
          <w:tcPr>
            <w:tcW w:w="0" w:type="auto"/>
            <w:gridSpan w:val="3"/>
            <w:shd w:val="clear" w:color="auto" w:fill="auto"/>
          </w:tcPr>
          <w:p w14:paraId="5EA27598" w14:textId="77777777" w:rsidR="003C66EB" w:rsidRDefault="003C66EB">
            <w:pPr>
              <w:rPr>
                <w:rFonts w:ascii="宋体"/>
                <w:vanish/>
              </w:rPr>
            </w:pPr>
          </w:p>
        </w:tc>
        <w:tc>
          <w:tcPr>
            <w:tcW w:w="0" w:type="auto"/>
            <w:gridSpan w:val="3"/>
            <w:shd w:val="clear" w:color="auto" w:fill="auto"/>
          </w:tcPr>
          <w:p w14:paraId="5EA27599" w14:textId="77777777" w:rsidR="003C66EB" w:rsidRDefault="003C66EB">
            <w:pPr>
              <w:rPr>
                <w:rFonts w:ascii="宋体"/>
                <w:vanish/>
              </w:rPr>
            </w:pPr>
          </w:p>
        </w:tc>
        <w:tc>
          <w:tcPr>
            <w:tcW w:w="0" w:type="auto"/>
            <w:gridSpan w:val="3"/>
            <w:shd w:val="clear" w:color="auto" w:fill="auto"/>
          </w:tcPr>
          <w:p w14:paraId="5EA2759A" w14:textId="77777777" w:rsidR="003C66EB" w:rsidRDefault="003C66EB">
            <w:pPr>
              <w:rPr>
                <w:rFonts w:ascii="宋体"/>
                <w:vanish/>
              </w:rPr>
            </w:pPr>
          </w:p>
        </w:tc>
        <w:tc>
          <w:tcPr>
            <w:tcW w:w="0" w:type="auto"/>
            <w:gridSpan w:val="3"/>
            <w:shd w:val="clear" w:color="auto" w:fill="auto"/>
          </w:tcPr>
          <w:p w14:paraId="5EA2759B" w14:textId="77777777" w:rsidR="003C66EB" w:rsidRDefault="003C66EB">
            <w:pPr>
              <w:rPr>
                <w:rFonts w:ascii="宋体"/>
                <w:vanish/>
              </w:rPr>
            </w:pPr>
          </w:p>
        </w:tc>
        <w:tc>
          <w:tcPr>
            <w:tcW w:w="0" w:type="auto"/>
            <w:gridSpan w:val="3"/>
            <w:shd w:val="clear" w:color="auto" w:fill="auto"/>
          </w:tcPr>
          <w:p w14:paraId="5EA2759C" w14:textId="77777777" w:rsidR="003C66EB" w:rsidRDefault="003C66EB">
            <w:pPr>
              <w:rPr>
                <w:rFonts w:ascii="宋体"/>
                <w:vanish/>
              </w:rPr>
            </w:pPr>
          </w:p>
        </w:tc>
        <w:tc>
          <w:tcPr>
            <w:tcW w:w="0" w:type="auto"/>
            <w:shd w:val="clear" w:color="auto" w:fill="auto"/>
          </w:tcPr>
          <w:p w14:paraId="5EA2759D" w14:textId="77777777" w:rsidR="003C66EB" w:rsidRDefault="003C66EB">
            <w:pPr>
              <w:rPr>
                <w:rFonts w:ascii="宋体"/>
                <w:vanish/>
              </w:rPr>
            </w:pPr>
          </w:p>
        </w:tc>
        <w:tc>
          <w:tcPr>
            <w:tcW w:w="0" w:type="auto"/>
            <w:shd w:val="clear" w:color="auto" w:fill="auto"/>
          </w:tcPr>
          <w:p w14:paraId="5EA2759E" w14:textId="77777777" w:rsidR="003C66EB" w:rsidRDefault="003C66EB">
            <w:pPr>
              <w:rPr>
                <w:rFonts w:ascii="宋体"/>
                <w:vanish/>
              </w:rPr>
            </w:pPr>
          </w:p>
        </w:tc>
        <w:tc>
          <w:tcPr>
            <w:tcW w:w="0" w:type="auto"/>
            <w:shd w:val="clear" w:color="auto" w:fill="auto"/>
          </w:tcPr>
          <w:p w14:paraId="5EA2759F" w14:textId="77777777" w:rsidR="003C66EB" w:rsidRDefault="003C66EB">
            <w:pPr>
              <w:rPr>
                <w:rFonts w:ascii="宋体"/>
                <w:vanish/>
              </w:rPr>
            </w:pPr>
          </w:p>
        </w:tc>
        <w:tc>
          <w:tcPr>
            <w:tcW w:w="0" w:type="auto"/>
            <w:shd w:val="clear" w:color="auto" w:fill="auto"/>
          </w:tcPr>
          <w:p w14:paraId="5EA275A0" w14:textId="77777777" w:rsidR="003C66EB" w:rsidRDefault="003C66EB">
            <w:pPr>
              <w:rPr>
                <w:rFonts w:ascii="宋体"/>
                <w:vanish/>
              </w:rPr>
            </w:pPr>
          </w:p>
        </w:tc>
        <w:tc>
          <w:tcPr>
            <w:tcW w:w="0" w:type="auto"/>
            <w:gridSpan w:val="3"/>
            <w:shd w:val="clear" w:color="auto" w:fill="auto"/>
          </w:tcPr>
          <w:p w14:paraId="5EA275A1" w14:textId="77777777" w:rsidR="003C66EB" w:rsidRDefault="003C66EB">
            <w:pPr>
              <w:rPr>
                <w:rFonts w:ascii="宋体"/>
                <w:vanish/>
              </w:rPr>
            </w:pPr>
          </w:p>
        </w:tc>
        <w:tc>
          <w:tcPr>
            <w:tcW w:w="0" w:type="auto"/>
            <w:gridSpan w:val="3"/>
            <w:shd w:val="clear" w:color="auto" w:fill="auto"/>
          </w:tcPr>
          <w:p w14:paraId="5EA275A2" w14:textId="77777777" w:rsidR="003C66EB" w:rsidRDefault="003C66EB">
            <w:pPr>
              <w:rPr>
                <w:rFonts w:ascii="宋体"/>
                <w:vanish/>
              </w:rPr>
            </w:pPr>
          </w:p>
        </w:tc>
        <w:tc>
          <w:tcPr>
            <w:tcW w:w="0" w:type="auto"/>
            <w:gridSpan w:val="3"/>
            <w:shd w:val="clear" w:color="auto" w:fill="auto"/>
          </w:tcPr>
          <w:p w14:paraId="5EA275A3" w14:textId="77777777" w:rsidR="003C66EB" w:rsidRDefault="003C66EB">
            <w:pPr>
              <w:rPr>
                <w:rFonts w:ascii="宋体"/>
                <w:vanish/>
              </w:rPr>
            </w:pPr>
          </w:p>
        </w:tc>
      </w:tr>
    </w:tbl>
    <w:p w14:paraId="5EA275A5" w14:textId="77777777" w:rsidR="003C66EB" w:rsidRDefault="00D96C4E">
      <w:pPr>
        <w:spacing w:before="180"/>
        <w:textAlignment w:val="top"/>
      </w:pPr>
      <w:r>
        <w:rPr>
          <w:rFonts w:ascii="Arial" w:eastAsia="宋体" w:hAnsi="Arial" w:cs="Arial"/>
          <w:b/>
          <w:bCs/>
          <w:color w:val="000000"/>
          <w:sz w:val="20"/>
          <w:szCs w:val="20"/>
        </w:rPr>
        <w:t xml:space="preserve">Note 16. Earnings Per Common Share </w:t>
      </w:r>
    </w:p>
    <w:p w14:paraId="5EA275A6" w14:textId="77777777" w:rsidR="003C66EB" w:rsidRDefault="00D96C4E">
      <w:pPr>
        <w:spacing w:before="60"/>
        <w:ind w:firstLine="450"/>
        <w:jc w:val="both"/>
        <w:textAlignment w:val="top"/>
      </w:pPr>
      <w:r>
        <w:rPr>
          <w:rFonts w:ascii="Arial" w:eastAsia="宋体" w:hAnsi="Arial" w:cs="Arial"/>
          <w:color w:val="000000"/>
          <w:sz w:val="20"/>
          <w:szCs w:val="20"/>
        </w:rPr>
        <w:t xml:space="preserve">For additional information on our earnings per share calculation methodologies, refer to pages 181 to 182 in Note 23 to the consolidated financial statements included under Item 8, Financial Statements and Supplementary </w:t>
      </w:r>
      <w:r>
        <w:rPr>
          <w:rFonts w:ascii="Arial" w:eastAsia="宋体" w:hAnsi="Arial" w:cs="Arial"/>
          <w:color w:val="000000"/>
          <w:sz w:val="20"/>
          <w:szCs w:val="20"/>
        </w:rPr>
        <w:t>Data, in our 2020 Form 10-K.</w:t>
      </w:r>
    </w:p>
    <w:p w14:paraId="5EA275A7" w14:textId="77777777" w:rsidR="003C66EB" w:rsidRDefault="00D96C4E">
      <w:pPr>
        <w:spacing w:before="60"/>
        <w:ind w:firstLine="450"/>
        <w:jc w:val="both"/>
        <w:textAlignment w:val="top"/>
      </w:pPr>
      <w:r>
        <w:rPr>
          <w:rFonts w:ascii="Arial" w:eastAsia="宋体" w:hAnsi="Arial" w:cs="Arial"/>
          <w:color w:val="000000"/>
          <w:sz w:val="20"/>
          <w:szCs w:val="20"/>
        </w:rPr>
        <w:t>The following table presents the computation of basic and diluted earnings per common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3837"/>
        <w:gridCol w:w="37"/>
        <w:gridCol w:w="94"/>
        <w:gridCol w:w="1894"/>
        <w:gridCol w:w="36"/>
        <w:gridCol w:w="36"/>
        <w:gridCol w:w="77"/>
        <w:gridCol w:w="36"/>
        <w:gridCol w:w="94"/>
        <w:gridCol w:w="1894"/>
        <w:gridCol w:w="36"/>
        <w:gridCol w:w="36"/>
        <w:gridCol w:w="36"/>
        <w:gridCol w:w="36"/>
        <w:gridCol w:w="36"/>
        <w:gridCol w:w="36"/>
        <w:gridCol w:w="36"/>
      </w:tblGrid>
      <w:tr w:rsidR="003C66EB" w14:paraId="5EA275B6" w14:textId="77777777">
        <w:tc>
          <w:tcPr>
            <w:tcW w:w="50" w:type="pct"/>
            <w:shd w:val="clear" w:color="auto" w:fill="auto"/>
          </w:tcPr>
          <w:p w14:paraId="5EA275A8" w14:textId="77777777" w:rsidR="003C66EB" w:rsidRDefault="003C66EB">
            <w:pPr>
              <w:rPr>
                <w:rFonts w:ascii="宋体"/>
              </w:rPr>
            </w:pPr>
          </w:p>
        </w:tc>
        <w:tc>
          <w:tcPr>
            <w:tcW w:w="2382" w:type="pct"/>
            <w:shd w:val="clear" w:color="auto" w:fill="auto"/>
          </w:tcPr>
          <w:p w14:paraId="5EA275A9" w14:textId="77777777" w:rsidR="003C66EB" w:rsidRDefault="003C66EB">
            <w:pPr>
              <w:rPr>
                <w:rFonts w:ascii="宋体"/>
              </w:rPr>
            </w:pPr>
          </w:p>
        </w:tc>
        <w:tc>
          <w:tcPr>
            <w:tcW w:w="5" w:type="pct"/>
            <w:shd w:val="clear" w:color="auto" w:fill="auto"/>
          </w:tcPr>
          <w:p w14:paraId="5EA275AA" w14:textId="77777777" w:rsidR="003C66EB" w:rsidRDefault="003C66EB">
            <w:pPr>
              <w:rPr>
                <w:rFonts w:ascii="宋体"/>
              </w:rPr>
            </w:pPr>
          </w:p>
        </w:tc>
        <w:tc>
          <w:tcPr>
            <w:tcW w:w="50" w:type="pct"/>
            <w:shd w:val="clear" w:color="auto" w:fill="auto"/>
          </w:tcPr>
          <w:p w14:paraId="5EA275AB" w14:textId="77777777" w:rsidR="003C66EB" w:rsidRDefault="003C66EB">
            <w:pPr>
              <w:rPr>
                <w:rFonts w:ascii="宋体"/>
              </w:rPr>
            </w:pPr>
          </w:p>
        </w:tc>
        <w:tc>
          <w:tcPr>
            <w:tcW w:w="1187" w:type="pct"/>
            <w:shd w:val="clear" w:color="auto" w:fill="auto"/>
          </w:tcPr>
          <w:p w14:paraId="5EA275AC" w14:textId="77777777" w:rsidR="003C66EB" w:rsidRDefault="003C66EB">
            <w:pPr>
              <w:rPr>
                <w:rFonts w:ascii="宋体"/>
              </w:rPr>
            </w:pPr>
          </w:p>
        </w:tc>
        <w:tc>
          <w:tcPr>
            <w:tcW w:w="5" w:type="pct"/>
            <w:shd w:val="clear" w:color="auto" w:fill="auto"/>
          </w:tcPr>
          <w:p w14:paraId="5EA275AD" w14:textId="77777777" w:rsidR="003C66EB" w:rsidRDefault="003C66EB">
            <w:pPr>
              <w:rPr>
                <w:rFonts w:ascii="宋体"/>
              </w:rPr>
            </w:pPr>
          </w:p>
        </w:tc>
        <w:tc>
          <w:tcPr>
            <w:tcW w:w="5" w:type="pct"/>
            <w:shd w:val="clear" w:color="auto" w:fill="auto"/>
          </w:tcPr>
          <w:p w14:paraId="5EA275AE" w14:textId="77777777" w:rsidR="003C66EB" w:rsidRDefault="003C66EB">
            <w:pPr>
              <w:rPr>
                <w:rFonts w:ascii="宋体"/>
              </w:rPr>
            </w:pPr>
          </w:p>
        </w:tc>
        <w:tc>
          <w:tcPr>
            <w:tcW w:w="68" w:type="pct"/>
            <w:shd w:val="clear" w:color="auto" w:fill="auto"/>
          </w:tcPr>
          <w:p w14:paraId="5EA275AF" w14:textId="77777777" w:rsidR="003C66EB" w:rsidRDefault="003C66EB">
            <w:pPr>
              <w:rPr>
                <w:rFonts w:ascii="宋体"/>
              </w:rPr>
            </w:pPr>
          </w:p>
        </w:tc>
        <w:tc>
          <w:tcPr>
            <w:tcW w:w="5" w:type="pct"/>
            <w:shd w:val="clear" w:color="auto" w:fill="auto"/>
          </w:tcPr>
          <w:p w14:paraId="5EA275B0" w14:textId="77777777" w:rsidR="003C66EB" w:rsidRDefault="003C66EB">
            <w:pPr>
              <w:rPr>
                <w:rFonts w:ascii="宋体"/>
              </w:rPr>
            </w:pPr>
          </w:p>
        </w:tc>
        <w:tc>
          <w:tcPr>
            <w:tcW w:w="50" w:type="pct"/>
            <w:shd w:val="clear" w:color="auto" w:fill="auto"/>
          </w:tcPr>
          <w:p w14:paraId="5EA275B1" w14:textId="77777777" w:rsidR="003C66EB" w:rsidRDefault="003C66EB">
            <w:pPr>
              <w:rPr>
                <w:rFonts w:ascii="宋体"/>
              </w:rPr>
            </w:pPr>
          </w:p>
        </w:tc>
        <w:tc>
          <w:tcPr>
            <w:tcW w:w="1187" w:type="pct"/>
            <w:shd w:val="clear" w:color="auto" w:fill="auto"/>
          </w:tcPr>
          <w:p w14:paraId="5EA275B2" w14:textId="77777777" w:rsidR="003C66EB" w:rsidRDefault="003C66EB">
            <w:pPr>
              <w:rPr>
                <w:rFonts w:ascii="宋体"/>
              </w:rPr>
            </w:pPr>
          </w:p>
        </w:tc>
        <w:tc>
          <w:tcPr>
            <w:tcW w:w="5" w:type="pct"/>
            <w:shd w:val="clear" w:color="auto" w:fill="auto"/>
          </w:tcPr>
          <w:p w14:paraId="5EA275B3" w14:textId="77777777" w:rsidR="003C66EB" w:rsidRDefault="003C66EB">
            <w:pPr>
              <w:rPr>
                <w:rFonts w:ascii="宋体"/>
              </w:rPr>
            </w:pPr>
          </w:p>
        </w:tc>
        <w:tc>
          <w:tcPr>
            <w:tcW w:w="0" w:type="auto"/>
            <w:gridSpan w:val="3"/>
            <w:shd w:val="clear" w:color="auto" w:fill="auto"/>
          </w:tcPr>
          <w:p w14:paraId="5EA275B4" w14:textId="77777777" w:rsidR="003C66EB" w:rsidRDefault="003C66EB">
            <w:pPr>
              <w:rPr>
                <w:rFonts w:ascii="宋体"/>
                <w:vanish/>
              </w:rPr>
            </w:pPr>
          </w:p>
        </w:tc>
        <w:tc>
          <w:tcPr>
            <w:tcW w:w="0" w:type="auto"/>
            <w:gridSpan w:val="3"/>
            <w:shd w:val="clear" w:color="auto" w:fill="auto"/>
          </w:tcPr>
          <w:p w14:paraId="5EA275B5" w14:textId="77777777" w:rsidR="003C66EB" w:rsidRDefault="003C66EB">
            <w:pPr>
              <w:rPr>
                <w:rFonts w:ascii="宋体"/>
                <w:vanish/>
              </w:rPr>
            </w:pPr>
          </w:p>
        </w:tc>
      </w:tr>
      <w:tr w:rsidR="003C66EB" w14:paraId="5EA275BF" w14:textId="77777777">
        <w:tc>
          <w:tcPr>
            <w:tcW w:w="0" w:type="auto"/>
            <w:gridSpan w:val="3"/>
            <w:shd w:val="clear" w:color="auto" w:fill="auto"/>
            <w:tcMar>
              <w:top w:w="0" w:type="dxa"/>
              <w:left w:w="20" w:type="dxa"/>
              <w:bottom w:w="0" w:type="dxa"/>
              <w:right w:w="20" w:type="dxa"/>
            </w:tcMar>
          </w:tcPr>
          <w:p w14:paraId="5EA275B7" w14:textId="77777777" w:rsidR="003C66EB" w:rsidRDefault="003C66EB">
            <w:pPr>
              <w:rPr>
                <w:rFonts w:ascii="宋体"/>
              </w:rPr>
            </w:pPr>
          </w:p>
        </w:tc>
        <w:tc>
          <w:tcPr>
            <w:tcW w:w="0" w:type="auto"/>
            <w:gridSpan w:val="9"/>
            <w:shd w:val="clear" w:color="auto" w:fill="auto"/>
            <w:tcMar>
              <w:top w:w="40" w:type="dxa"/>
              <w:left w:w="20" w:type="dxa"/>
              <w:bottom w:w="40" w:type="dxa"/>
              <w:right w:w="20" w:type="dxa"/>
            </w:tcMar>
            <w:vAlign w:val="bottom"/>
          </w:tcPr>
          <w:p w14:paraId="5EA275B8"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Pr>
          <w:p w14:paraId="5EA275B9" w14:textId="77777777" w:rsidR="003C66EB" w:rsidRDefault="003C66EB">
            <w:pPr>
              <w:rPr>
                <w:rFonts w:ascii="宋体"/>
              </w:rPr>
            </w:pPr>
          </w:p>
        </w:tc>
        <w:tc>
          <w:tcPr>
            <w:tcW w:w="0" w:type="auto"/>
            <w:shd w:val="clear" w:color="auto" w:fill="auto"/>
          </w:tcPr>
          <w:p w14:paraId="5EA275BA" w14:textId="77777777" w:rsidR="003C66EB" w:rsidRDefault="003C66EB">
            <w:pPr>
              <w:rPr>
                <w:rFonts w:ascii="宋体"/>
              </w:rPr>
            </w:pPr>
          </w:p>
        </w:tc>
        <w:tc>
          <w:tcPr>
            <w:tcW w:w="0" w:type="auto"/>
            <w:shd w:val="clear" w:color="auto" w:fill="auto"/>
          </w:tcPr>
          <w:p w14:paraId="5EA275BB" w14:textId="77777777" w:rsidR="003C66EB" w:rsidRDefault="003C66EB">
            <w:pPr>
              <w:rPr>
                <w:rFonts w:ascii="宋体"/>
              </w:rPr>
            </w:pPr>
          </w:p>
        </w:tc>
        <w:tc>
          <w:tcPr>
            <w:tcW w:w="0" w:type="auto"/>
            <w:shd w:val="clear" w:color="auto" w:fill="auto"/>
          </w:tcPr>
          <w:p w14:paraId="5EA275BC" w14:textId="77777777" w:rsidR="003C66EB" w:rsidRDefault="003C66EB">
            <w:pPr>
              <w:rPr>
                <w:rFonts w:ascii="宋体"/>
              </w:rPr>
            </w:pPr>
          </w:p>
        </w:tc>
        <w:tc>
          <w:tcPr>
            <w:tcW w:w="0" w:type="auto"/>
            <w:shd w:val="clear" w:color="auto" w:fill="auto"/>
          </w:tcPr>
          <w:p w14:paraId="5EA275BD" w14:textId="77777777" w:rsidR="003C66EB" w:rsidRDefault="003C66EB">
            <w:pPr>
              <w:rPr>
                <w:rFonts w:ascii="宋体"/>
              </w:rPr>
            </w:pPr>
          </w:p>
        </w:tc>
        <w:tc>
          <w:tcPr>
            <w:tcW w:w="0" w:type="auto"/>
            <w:shd w:val="clear" w:color="auto" w:fill="auto"/>
          </w:tcPr>
          <w:p w14:paraId="5EA275BE" w14:textId="77777777" w:rsidR="003C66EB" w:rsidRDefault="003C66EB">
            <w:pPr>
              <w:rPr>
                <w:rFonts w:ascii="宋体"/>
              </w:rPr>
            </w:pPr>
          </w:p>
        </w:tc>
      </w:tr>
      <w:tr w:rsidR="003C66EB" w14:paraId="5EA275C6" w14:textId="77777777">
        <w:tc>
          <w:tcPr>
            <w:tcW w:w="0" w:type="auto"/>
            <w:gridSpan w:val="3"/>
            <w:shd w:val="clear" w:color="auto" w:fill="auto"/>
            <w:tcMar>
              <w:top w:w="40" w:type="dxa"/>
              <w:left w:w="20" w:type="dxa"/>
              <w:bottom w:w="40" w:type="dxa"/>
              <w:right w:w="20" w:type="dxa"/>
            </w:tcMar>
            <w:vAlign w:val="bottom"/>
          </w:tcPr>
          <w:p w14:paraId="5EA275C0" w14:textId="77777777" w:rsidR="003C66EB" w:rsidRDefault="00D96C4E">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5C1"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75C2"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5C3" w14:textId="77777777" w:rsidR="003C66EB" w:rsidRDefault="00D96C4E">
            <w:pPr>
              <w:jc w:val="center"/>
              <w:textAlignment w:val="bottom"/>
            </w:pPr>
            <w:r>
              <w:rPr>
                <w:rFonts w:ascii="Arial" w:eastAsia="宋体" w:hAnsi="Arial" w:cs="Arial"/>
                <w:b/>
                <w:bCs/>
                <w:color w:val="000000"/>
                <w:sz w:val="13"/>
                <w:szCs w:val="13"/>
              </w:rPr>
              <w:t>2020</w:t>
            </w:r>
          </w:p>
        </w:tc>
        <w:tc>
          <w:tcPr>
            <w:tcW w:w="0" w:type="auto"/>
            <w:gridSpan w:val="3"/>
            <w:shd w:val="clear" w:color="auto" w:fill="auto"/>
          </w:tcPr>
          <w:p w14:paraId="5EA275C4" w14:textId="77777777" w:rsidR="003C66EB" w:rsidRDefault="003C66EB">
            <w:pPr>
              <w:rPr>
                <w:rFonts w:ascii="宋体"/>
                <w:vanish/>
              </w:rPr>
            </w:pPr>
          </w:p>
        </w:tc>
        <w:tc>
          <w:tcPr>
            <w:tcW w:w="0" w:type="auto"/>
            <w:gridSpan w:val="3"/>
            <w:shd w:val="clear" w:color="auto" w:fill="auto"/>
          </w:tcPr>
          <w:p w14:paraId="5EA275C5" w14:textId="77777777" w:rsidR="003C66EB" w:rsidRDefault="003C66EB">
            <w:pPr>
              <w:rPr>
                <w:rFonts w:ascii="宋体"/>
                <w:vanish/>
              </w:rPr>
            </w:pPr>
          </w:p>
        </w:tc>
      </w:tr>
      <w:tr w:rsidR="003C66EB" w14:paraId="5EA275D1" w14:textId="77777777">
        <w:tc>
          <w:tcPr>
            <w:tcW w:w="0" w:type="auto"/>
            <w:gridSpan w:val="3"/>
            <w:shd w:val="clear" w:color="auto" w:fill="CCEEFF"/>
            <w:tcMar>
              <w:top w:w="40" w:type="dxa"/>
              <w:left w:w="20" w:type="dxa"/>
              <w:bottom w:w="40" w:type="dxa"/>
              <w:right w:w="20" w:type="dxa"/>
            </w:tcMar>
            <w:vAlign w:val="bottom"/>
          </w:tcPr>
          <w:p w14:paraId="5EA275C7" w14:textId="77777777" w:rsidR="003C66EB" w:rsidRDefault="00D96C4E">
            <w:pPr>
              <w:textAlignment w:val="bottom"/>
            </w:pPr>
            <w:r>
              <w:rPr>
                <w:rFonts w:ascii="Arial" w:eastAsia="宋体" w:hAnsi="Arial" w:cs="Arial"/>
                <w:b/>
                <w:bCs/>
                <w:color w:val="000000"/>
                <w:sz w:val="13"/>
                <w:szCs w:val="13"/>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5C8"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5C9" w14:textId="77777777" w:rsidR="003C66EB" w:rsidRDefault="00D96C4E">
            <w:pPr>
              <w:jc w:val="right"/>
              <w:textAlignment w:val="bottom"/>
            </w:pPr>
            <w:r>
              <w:rPr>
                <w:rFonts w:ascii="Arial" w:eastAsia="宋体" w:hAnsi="Arial" w:cs="Arial"/>
                <w:b/>
                <w:bCs/>
                <w:color w:val="000000"/>
                <w:sz w:val="13"/>
                <w:szCs w:val="13"/>
              </w:rPr>
              <w:t>519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5C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C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5CC"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5CD" w14:textId="77777777" w:rsidR="003C66EB" w:rsidRDefault="00D96C4E">
            <w:pPr>
              <w:jc w:val="right"/>
              <w:textAlignment w:val="bottom"/>
            </w:pPr>
            <w:r>
              <w:rPr>
                <w:rFonts w:ascii="Arial" w:eastAsia="宋体" w:hAnsi="Arial" w:cs="Arial"/>
                <w:color w:val="000000"/>
                <w:sz w:val="13"/>
                <w:szCs w:val="13"/>
              </w:rPr>
              <w:t>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5CE" w14:textId="77777777" w:rsidR="003C66EB" w:rsidRDefault="003C66EB">
            <w:pPr>
              <w:jc w:val="right"/>
              <w:rPr>
                <w:rFonts w:ascii="宋体"/>
              </w:rPr>
            </w:pPr>
          </w:p>
        </w:tc>
        <w:tc>
          <w:tcPr>
            <w:tcW w:w="0" w:type="auto"/>
            <w:gridSpan w:val="3"/>
            <w:shd w:val="clear" w:color="auto" w:fill="auto"/>
          </w:tcPr>
          <w:p w14:paraId="5EA275CF" w14:textId="77777777" w:rsidR="003C66EB" w:rsidRDefault="003C66EB">
            <w:pPr>
              <w:rPr>
                <w:rFonts w:ascii="宋体"/>
                <w:vanish/>
              </w:rPr>
            </w:pPr>
          </w:p>
        </w:tc>
        <w:tc>
          <w:tcPr>
            <w:tcW w:w="0" w:type="auto"/>
            <w:gridSpan w:val="3"/>
            <w:shd w:val="clear" w:color="auto" w:fill="auto"/>
          </w:tcPr>
          <w:p w14:paraId="5EA275D0" w14:textId="77777777" w:rsidR="003C66EB" w:rsidRDefault="003C66EB">
            <w:pPr>
              <w:rPr>
                <w:rFonts w:ascii="宋体"/>
                <w:vanish/>
              </w:rPr>
            </w:pPr>
          </w:p>
        </w:tc>
      </w:tr>
      <w:tr w:rsidR="003C66EB" w14:paraId="5EA275D8" w14:textId="77777777">
        <w:tc>
          <w:tcPr>
            <w:tcW w:w="0" w:type="auto"/>
            <w:gridSpan w:val="3"/>
            <w:shd w:val="clear" w:color="auto" w:fill="FFFFFF"/>
            <w:tcMar>
              <w:top w:w="40" w:type="dxa"/>
              <w:left w:w="20" w:type="dxa"/>
              <w:bottom w:w="40" w:type="dxa"/>
              <w:right w:w="20" w:type="dxa"/>
            </w:tcMar>
            <w:vAlign w:val="bottom"/>
          </w:tcPr>
          <w:p w14:paraId="5EA275D2" w14:textId="77777777" w:rsidR="003C66EB" w:rsidRDefault="00D96C4E">
            <w:pPr>
              <w:textAlignment w:val="bottom"/>
            </w:pPr>
            <w:r>
              <w:rPr>
                <w:rFonts w:ascii="Arial" w:eastAsia="宋体" w:hAnsi="Arial" w:cs="Arial"/>
                <w:color w:val="000000"/>
                <w:sz w:val="13"/>
                <w:szCs w:val="13"/>
              </w:rPr>
              <w:t>Less:</w:t>
            </w:r>
          </w:p>
        </w:tc>
        <w:tc>
          <w:tcPr>
            <w:tcW w:w="0" w:type="auto"/>
            <w:gridSpan w:val="3"/>
            <w:shd w:val="clear" w:color="auto" w:fill="auto"/>
            <w:tcMar>
              <w:top w:w="0" w:type="dxa"/>
              <w:left w:w="20" w:type="dxa"/>
              <w:bottom w:w="0" w:type="dxa"/>
              <w:right w:w="20" w:type="dxa"/>
            </w:tcMar>
          </w:tcPr>
          <w:p w14:paraId="5EA275D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5D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5D5" w14:textId="77777777" w:rsidR="003C66EB" w:rsidRDefault="003C66EB">
            <w:pPr>
              <w:rPr>
                <w:rFonts w:ascii="宋体"/>
              </w:rPr>
            </w:pPr>
          </w:p>
        </w:tc>
        <w:tc>
          <w:tcPr>
            <w:tcW w:w="0" w:type="auto"/>
            <w:gridSpan w:val="3"/>
            <w:shd w:val="clear" w:color="auto" w:fill="auto"/>
          </w:tcPr>
          <w:p w14:paraId="5EA275D6" w14:textId="77777777" w:rsidR="003C66EB" w:rsidRDefault="003C66EB">
            <w:pPr>
              <w:rPr>
                <w:rFonts w:ascii="宋体"/>
                <w:vanish/>
              </w:rPr>
            </w:pPr>
          </w:p>
        </w:tc>
        <w:tc>
          <w:tcPr>
            <w:tcW w:w="0" w:type="auto"/>
            <w:gridSpan w:val="3"/>
            <w:shd w:val="clear" w:color="auto" w:fill="auto"/>
          </w:tcPr>
          <w:p w14:paraId="5EA275D7" w14:textId="77777777" w:rsidR="003C66EB" w:rsidRDefault="003C66EB">
            <w:pPr>
              <w:rPr>
                <w:rFonts w:ascii="宋体"/>
                <w:vanish/>
              </w:rPr>
            </w:pPr>
          </w:p>
        </w:tc>
      </w:tr>
      <w:tr w:rsidR="003C66EB" w14:paraId="5EA275E1" w14:textId="77777777">
        <w:tc>
          <w:tcPr>
            <w:tcW w:w="0" w:type="auto"/>
            <w:gridSpan w:val="3"/>
            <w:shd w:val="clear" w:color="auto" w:fill="CCEEFF"/>
            <w:tcMar>
              <w:top w:w="40" w:type="dxa"/>
              <w:left w:w="20" w:type="dxa"/>
              <w:bottom w:w="40" w:type="dxa"/>
              <w:right w:w="20" w:type="dxa"/>
            </w:tcMar>
            <w:vAlign w:val="bottom"/>
          </w:tcPr>
          <w:p w14:paraId="5EA275D9" w14:textId="77777777" w:rsidR="003C66EB" w:rsidRDefault="00D96C4E">
            <w:pPr>
              <w:textAlignment w:val="bottom"/>
            </w:pPr>
            <w:r>
              <w:rPr>
                <w:rFonts w:ascii="Arial" w:eastAsia="宋体" w:hAnsi="Arial" w:cs="Arial"/>
                <w:color w:val="000000"/>
                <w:sz w:val="13"/>
                <w:szCs w:val="13"/>
              </w:rPr>
              <w:t xml:space="preserve">Preferred stock dividends </w:t>
            </w:r>
          </w:p>
        </w:tc>
        <w:tc>
          <w:tcPr>
            <w:tcW w:w="0" w:type="auto"/>
            <w:gridSpan w:val="2"/>
            <w:shd w:val="clear" w:color="auto" w:fill="CCEEFF"/>
            <w:tcMar>
              <w:top w:w="40" w:type="dxa"/>
              <w:left w:w="20" w:type="dxa"/>
              <w:bottom w:w="40" w:type="dxa"/>
              <w:right w:w="0" w:type="dxa"/>
            </w:tcMar>
            <w:vAlign w:val="bottom"/>
          </w:tcPr>
          <w:p w14:paraId="5EA275DA" w14:textId="77777777" w:rsidR="003C66EB" w:rsidRDefault="00D96C4E">
            <w:pPr>
              <w:jc w:val="right"/>
              <w:textAlignment w:val="bottom"/>
            </w:pPr>
            <w:r>
              <w:rPr>
                <w:rFonts w:ascii="Arial" w:eastAsia="宋体" w:hAnsi="Arial" w:cs="Arial"/>
                <w:b/>
                <w:bCs/>
                <w:color w:val="000000"/>
                <w:sz w:val="13"/>
                <w:szCs w:val="13"/>
              </w:rPr>
              <w:t>(30)</w:t>
            </w:r>
          </w:p>
        </w:tc>
        <w:tc>
          <w:tcPr>
            <w:tcW w:w="0" w:type="auto"/>
            <w:shd w:val="clear" w:color="auto" w:fill="CCEEFF"/>
            <w:tcMar>
              <w:top w:w="40" w:type="dxa"/>
              <w:left w:w="0" w:type="dxa"/>
              <w:bottom w:w="40" w:type="dxa"/>
              <w:right w:w="20" w:type="dxa"/>
            </w:tcMar>
            <w:vAlign w:val="bottom"/>
          </w:tcPr>
          <w:p w14:paraId="5EA275D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D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5DD" w14:textId="77777777" w:rsidR="003C66EB" w:rsidRDefault="00D96C4E">
            <w:pPr>
              <w:jc w:val="right"/>
              <w:textAlignment w:val="bottom"/>
            </w:pPr>
            <w:r>
              <w:rPr>
                <w:rFonts w:ascii="Arial" w:eastAsia="宋体" w:hAnsi="Arial" w:cs="Arial"/>
                <w:color w:val="000000"/>
                <w:sz w:val="13"/>
                <w:szCs w:val="13"/>
              </w:rPr>
              <w:t>(53)</w:t>
            </w:r>
          </w:p>
        </w:tc>
        <w:tc>
          <w:tcPr>
            <w:tcW w:w="0" w:type="auto"/>
            <w:shd w:val="clear" w:color="auto" w:fill="CCEEFF"/>
            <w:tcMar>
              <w:top w:w="40" w:type="dxa"/>
              <w:left w:w="0" w:type="dxa"/>
              <w:bottom w:w="40" w:type="dxa"/>
              <w:right w:w="20" w:type="dxa"/>
            </w:tcMar>
            <w:vAlign w:val="bottom"/>
          </w:tcPr>
          <w:p w14:paraId="5EA275DE" w14:textId="77777777" w:rsidR="003C66EB" w:rsidRDefault="003C66EB">
            <w:pPr>
              <w:jc w:val="right"/>
              <w:rPr>
                <w:rFonts w:ascii="宋体"/>
              </w:rPr>
            </w:pPr>
          </w:p>
        </w:tc>
        <w:tc>
          <w:tcPr>
            <w:tcW w:w="0" w:type="auto"/>
            <w:gridSpan w:val="3"/>
            <w:shd w:val="clear" w:color="auto" w:fill="auto"/>
          </w:tcPr>
          <w:p w14:paraId="5EA275DF" w14:textId="77777777" w:rsidR="003C66EB" w:rsidRDefault="003C66EB">
            <w:pPr>
              <w:rPr>
                <w:rFonts w:ascii="宋体"/>
                <w:vanish/>
              </w:rPr>
            </w:pPr>
          </w:p>
        </w:tc>
        <w:tc>
          <w:tcPr>
            <w:tcW w:w="0" w:type="auto"/>
            <w:gridSpan w:val="3"/>
            <w:shd w:val="clear" w:color="auto" w:fill="auto"/>
          </w:tcPr>
          <w:p w14:paraId="5EA275E0" w14:textId="77777777" w:rsidR="003C66EB" w:rsidRDefault="003C66EB">
            <w:pPr>
              <w:rPr>
                <w:rFonts w:ascii="宋体"/>
                <w:vanish/>
              </w:rPr>
            </w:pPr>
          </w:p>
        </w:tc>
      </w:tr>
      <w:tr w:rsidR="003C66EB" w14:paraId="5EA275EA" w14:textId="77777777">
        <w:tc>
          <w:tcPr>
            <w:tcW w:w="0" w:type="auto"/>
            <w:gridSpan w:val="3"/>
            <w:shd w:val="clear" w:color="auto" w:fill="FFFFFF"/>
            <w:tcMar>
              <w:top w:w="40" w:type="dxa"/>
              <w:left w:w="20" w:type="dxa"/>
              <w:bottom w:w="40" w:type="dxa"/>
              <w:right w:w="20" w:type="dxa"/>
            </w:tcMar>
            <w:vAlign w:val="bottom"/>
          </w:tcPr>
          <w:p w14:paraId="5EA275E2" w14:textId="77777777" w:rsidR="003C66EB" w:rsidRDefault="00D96C4E">
            <w:pPr>
              <w:textAlignment w:val="bottom"/>
            </w:pPr>
            <w:r>
              <w:rPr>
                <w:rFonts w:ascii="Arial" w:eastAsia="宋体" w:hAnsi="Arial" w:cs="Arial"/>
                <w:color w:val="000000"/>
                <w:sz w:val="13"/>
                <w:szCs w:val="13"/>
              </w:rPr>
              <w:t>Dividends and undistributed earnings allocated to participating securities</w:t>
            </w:r>
            <w:r>
              <w:rPr>
                <w:rFonts w:ascii="Arial" w:eastAsia="宋体" w:hAnsi="Arial" w:cs="Arial"/>
                <w:color w:val="000000"/>
                <w:sz w:val="8"/>
                <w:szCs w:val="8"/>
              </w:rPr>
              <w:t>(1)</w:t>
            </w:r>
          </w:p>
        </w:tc>
        <w:tc>
          <w:tcPr>
            <w:tcW w:w="0" w:type="auto"/>
            <w:gridSpan w:val="2"/>
            <w:shd w:val="clear" w:color="auto" w:fill="auto"/>
            <w:tcMar>
              <w:top w:w="40" w:type="dxa"/>
              <w:left w:w="20" w:type="dxa"/>
              <w:bottom w:w="40" w:type="dxa"/>
              <w:right w:w="0" w:type="dxa"/>
            </w:tcMar>
            <w:vAlign w:val="bottom"/>
          </w:tcPr>
          <w:p w14:paraId="5EA275E3"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A275E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5E5"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75E6" w14:textId="77777777" w:rsidR="003C66EB" w:rsidRDefault="00D96C4E">
            <w:pPr>
              <w:jc w:val="right"/>
              <w:textAlignment w:val="bottom"/>
            </w:pPr>
            <w:r>
              <w:rPr>
                <w:rFonts w:ascii="Arial" w:eastAsia="宋体" w:hAnsi="Arial" w:cs="Arial"/>
                <w:color w:val="000000"/>
                <w:sz w:val="13"/>
                <w:szCs w:val="13"/>
              </w:rPr>
              <w:t>(1)</w:t>
            </w:r>
          </w:p>
        </w:tc>
        <w:tc>
          <w:tcPr>
            <w:tcW w:w="0" w:type="auto"/>
            <w:shd w:val="clear" w:color="auto" w:fill="auto"/>
            <w:tcMar>
              <w:top w:w="40" w:type="dxa"/>
              <w:left w:w="0" w:type="dxa"/>
              <w:bottom w:w="40" w:type="dxa"/>
              <w:right w:w="20" w:type="dxa"/>
            </w:tcMar>
            <w:vAlign w:val="bottom"/>
          </w:tcPr>
          <w:p w14:paraId="5EA275E7" w14:textId="77777777" w:rsidR="003C66EB" w:rsidRDefault="003C66EB">
            <w:pPr>
              <w:jc w:val="right"/>
              <w:rPr>
                <w:rFonts w:ascii="宋体"/>
              </w:rPr>
            </w:pPr>
          </w:p>
        </w:tc>
        <w:tc>
          <w:tcPr>
            <w:tcW w:w="0" w:type="auto"/>
            <w:gridSpan w:val="3"/>
            <w:shd w:val="clear" w:color="auto" w:fill="auto"/>
          </w:tcPr>
          <w:p w14:paraId="5EA275E8" w14:textId="77777777" w:rsidR="003C66EB" w:rsidRDefault="003C66EB">
            <w:pPr>
              <w:rPr>
                <w:rFonts w:ascii="宋体"/>
                <w:vanish/>
              </w:rPr>
            </w:pPr>
          </w:p>
        </w:tc>
        <w:tc>
          <w:tcPr>
            <w:tcW w:w="0" w:type="auto"/>
            <w:gridSpan w:val="3"/>
            <w:shd w:val="clear" w:color="auto" w:fill="auto"/>
          </w:tcPr>
          <w:p w14:paraId="5EA275E9" w14:textId="77777777" w:rsidR="003C66EB" w:rsidRDefault="003C66EB">
            <w:pPr>
              <w:rPr>
                <w:rFonts w:ascii="宋体"/>
                <w:vanish/>
              </w:rPr>
            </w:pPr>
          </w:p>
        </w:tc>
      </w:tr>
      <w:tr w:rsidR="003C66EB" w14:paraId="5EA275F5" w14:textId="77777777">
        <w:tc>
          <w:tcPr>
            <w:tcW w:w="0" w:type="auto"/>
            <w:gridSpan w:val="3"/>
            <w:shd w:val="clear" w:color="auto" w:fill="CCEEFF"/>
            <w:tcMar>
              <w:top w:w="40" w:type="dxa"/>
              <w:left w:w="20" w:type="dxa"/>
              <w:bottom w:w="40" w:type="dxa"/>
              <w:right w:w="20" w:type="dxa"/>
            </w:tcMar>
            <w:vAlign w:val="bottom"/>
          </w:tcPr>
          <w:p w14:paraId="5EA275EB" w14:textId="77777777" w:rsidR="003C66EB" w:rsidRDefault="00D96C4E">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5EC"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5ED" w14:textId="77777777" w:rsidR="003C66EB" w:rsidRDefault="00D96C4E">
            <w:pPr>
              <w:jc w:val="right"/>
              <w:textAlignment w:val="bottom"/>
            </w:pPr>
            <w:r>
              <w:rPr>
                <w:rFonts w:ascii="Arial" w:eastAsia="宋体" w:hAnsi="Arial" w:cs="Arial"/>
                <w:b/>
                <w:bCs/>
                <w:color w:val="000000"/>
                <w:sz w:val="13"/>
                <w:szCs w:val="13"/>
              </w:rPr>
              <w:t>489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5E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5E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5F0"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5F1" w14:textId="77777777" w:rsidR="003C66EB" w:rsidRDefault="00D96C4E">
            <w:pPr>
              <w:jc w:val="right"/>
              <w:textAlignment w:val="bottom"/>
            </w:pPr>
            <w:r>
              <w:rPr>
                <w:rFonts w:ascii="Arial" w:eastAsia="宋体" w:hAnsi="Arial" w:cs="Arial"/>
                <w:color w:val="000000"/>
                <w:sz w:val="13"/>
                <w:szCs w:val="13"/>
              </w:rPr>
              <w:t>580 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5F2" w14:textId="77777777" w:rsidR="003C66EB" w:rsidRDefault="003C66EB">
            <w:pPr>
              <w:jc w:val="right"/>
              <w:rPr>
                <w:rFonts w:ascii="宋体"/>
              </w:rPr>
            </w:pPr>
          </w:p>
        </w:tc>
        <w:tc>
          <w:tcPr>
            <w:tcW w:w="0" w:type="auto"/>
            <w:gridSpan w:val="3"/>
            <w:shd w:val="clear" w:color="auto" w:fill="auto"/>
          </w:tcPr>
          <w:p w14:paraId="5EA275F3" w14:textId="77777777" w:rsidR="003C66EB" w:rsidRDefault="003C66EB">
            <w:pPr>
              <w:rPr>
                <w:rFonts w:ascii="宋体"/>
                <w:vanish/>
              </w:rPr>
            </w:pPr>
          </w:p>
        </w:tc>
        <w:tc>
          <w:tcPr>
            <w:tcW w:w="0" w:type="auto"/>
            <w:gridSpan w:val="3"/>
            <w:shd w:val="clear" w:color="auto" w:fill="auto"/>
          </w:tcPr>
          <w:p w14:paraId="5EA275F4" w14:textId="77777777" w:rsidR="003C66EB" w:rsidRDefault="003C66EB">
            <w:pPr>
              <w:rPr>
                <w:rFonts w:ascii="宋体"/>
                <w:vanish/>
              </w:rPr>
            </w:pPr>
          </w:p>
        </w:tc>
      </w:tr>
      <w:tr w:rsidR="003C66EB" w14:paraId="5EA275FC" w14:textId="77777777">
        <w:tc>
          <w:tcPr>
            <w:tcW w:w="0" w:type="auto"/>
            <w:gridSpan w:val="3"/>
            <w:shd w:val="clear" w:color="auto" w:fill="auto"/>
            <w:tcMar>
              <w:top w:w="40" w:type="dxa"/>
              <w:left w:w="20" w:type="dxa"/>
              <w:bottom w:w="40" w:type="dxa"/>
              <w:right w:w="20" w:type="dxa"/>
            </w:tcMar>
            <w:vAlign w:val="bottom"/>
          </w:tcPr>
          <w:p w14:paraId="5EA275F6" w14:textId="77777777" w:rsidR="003C66EB" w:rsidRDefault="00D96C4E">
            <w:pPr>
              <w:textAlignment w:val="bottom"/>
            </w:pPr>
            <w:r>
              <w:rPr>
                <w:rFonts w:ascii="Arial" w:eastAsia="宋体" w:hAnsi="Arial" w:cs="Arial"/>
                <w:b/>
                <w:bCs/>
                <w:color w:val="000000"/>
                <w:sz w:val="13"/>
                <w:szCs w:val="13"/>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tcPr>
          <w:p w14:paraId="5EA275F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5F8"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5F9" w14:textId="77777777" w:rsidR="003C66EB" w:rsidRDefault="003C66EB">
            <w:pPr>
              <w:rPr>
                <w:rFonts w:ascii="宋体"/>
              </w:rPr>
            </w:pPr>
          </w:p>
        </w:tc>
        <w:tc>
          <w:tcPr>
            <w:tcW w:w="0" w:type="auto"/>
            <w:gridSpan w:val="3"/>
            <w:shd w:val="clear" w:color="auto" w:fill="auto"/>
          </w:tcPr>
          <w:p w14:paraId="5EA275FA" w14:textId="77777777" w:rsidR="003C66EB" w:rsidRDefault="003C66EB">
            <w:pPr>
              <w:rPr>
                <w:rFonts w:ascii="宋体"/>
                <w:vanish/>
              </w:rPr>
            </w:pPr>
          </w:p>
        </w:tc>
        <w:tc>
          <w:tcPr>
            <w:tcW w:w="0" w:type="auto"/>
            <w:gridSpan w:val="3"/>
            <w:shd w:val="clear" w:color="auto" w:fill="auto"/>
          </w:tcPr>
          <w:p w14:paraId="5EA275FB" w14:textId="77777777" w:rsidR="003C66EB" w:rsidRDefault="003C66EB">
            <w:pPr>
              <w:rPr>
                <w:rFonts w:ascii="宋体"/>
                <w:vanish/>
              </w:rPr>
            </w:pPr>
          </w:p>
        </w:tc>
      </w:tr>
      <w:tr w:rsidR="003C66EB" w14:paraId="5EA27605" w14:textId="77777777">
        <w:tc>
          <w:tcPr>
            <w:tcW w:w="0" w:type="auto"/>
            <w:gridSpan w:val="3"/>
            <w:shd w:val="clear" w:color="auto" w:fill="CCEEFF"/>
            <w:tcMar>
              <w:top w:w="40" w:type="dxa"/>
              <w:left w:w="20" w:type="dxa"/>
              <w:bottom w:w="40" w:type="dxa"/>
              <w:right w:w="20" w:type="dxa"/>
            </w:tcMar>
            <w:vAlign w:val="bottom"/>
          </w:tcPr>
          <w:p w14:paraId="5EA275FD" w14:textId="77777777" w:rsidR="003C66EB" w:rsidRDefault="00D96C4E">
            <w:pPr>
              <w:textAlignment w:val="bottom"/>
            </w:pPr>
            <w:r>
              <w:rPr>
                <w:rFonts w:ascii="Arial" w:eastAsia="宋体" w:hAnsi="Arial" w:cs="Arial"/>
                <w:color w:val="000000"/>
                <w:sz w:val="13"/>
                <w:szCs w:val="13"/>
              </w:rPr>
              <w:t>Basic average common shares</w:t>
            </w:r>
          </w:p>
        </w:tc>
        <w:tc>
          <w:tcPr>
            <w:tcW w:w="0" w:type="auto"/>
            <w:gridSpan w:val="2"/>
            <w:shd w:val="clear" w:color="auto" w:fill="CCEEFF"/>
            <w:tcMar>
              <w:top w:w="40" w:type="dxa"/>
              <w:left w:w="20" w:type="dxa"/>
              <w:bottom w:w="40" w:type="dxa"/>
              <w:right w:w="0" w:type="dxa"/>
            </w:tcMar>
            <w:vAlign w:val="bottom"/>
          </w:tcPr>
          <w:p w14:paraId="5EA275FE" w14:textId="77777777" w:rsidR="003C66EB" w:rsidRDefault="00D96C4E">
            <w:pPr>
              <w:jc w:val="right"/>
              <w:textAlignment w:val="bottom"/>
            </w:pPr>
            <w:r>
              <w:rPr>
                <w:rFonts w:ascii="Arial" w:eastAsia="宋体" w:hAnsi="Arial" w:cs="Arial"/>
                <w:b/>
                <w:bCs/>
                <w:color w:val="000000"/>
                <w:sz w:val="13"/>
                <w:szCs w:val="13"/>
              </w:rPr>
              <w:t>350,743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5F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60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601" w14:textId="77777777" w:rsidR="003C66EB" w:rsidRDefault="00D96C4E">
            <w:pPr>
              <w:jc w:val="right"/>
              <w:textAlignment w:val="bottom"/>
            </w:pPr>
            <w:r>
              <w:rPr>
                <w:rFonts w:ascii="Arial" w:eastAsia="宋体" w:hAnsi="Arial" w:cs="Arial"/>
                <w:color w:val="000000"/>
                <w:sz w:val="13"/>
                <w:szCs w:val="13"/>
              </w:rPr>
              <w:t>353,746 </w:t>
            </w:r>
          </w:p>
        </w:tc>
        <w:tc>
          <w:tcPr>
            <w:tcW w:w="0" w:type="auto"/>
            <w:shd w:val="clear" w:color="auto" w:fill="CCEEFF"/>
            <w:tcMar>
              <w:top w:w="40" w:type="dxa"/>
              <w:left w:w="0" w:type="dxa"/>
              <w:bottom w:w="40" w:type="dxa"/>
              <w:right w:w="20" w:type="dxa"/>
            </w:tcMar>
            <w:vAlign w:val="bottom"/>
          </w:tcPr>
          <w:p w14:paraId="5EA27602" w14:textId="77777777" w:rsidR="003C66EB" w:rsidRDefault="003C66EB">
            <w:pPr>
              <w:jc w:val="right"/>
              <w:rPr>
                <w:rFonts w:ascii="宋体"/>
              </w:rPr>
            </w:pPr>
          </w:p>
        </w:tc>
        <w:tc>
          <w:tcPr>
            <w:tcW w:w="0" w:type="auto"/>
            <w:gridSpan w:val="3"/>
            <w:shd w:val="clear" w:color="auto" w:fill="auto"/>
          </w:tcPr>
          <w:p w14:paraId="5EA27603" w14:textId="77777777" w:rsidR="003C66EB" w:rsidRDefault="003C66EB">
            <w:pPr>
              <w:rPr>
                <w:rFonts w:ascii="宋体"/>
                <w:vanish/>
              </w:rPr>
            </w:pPr>
          </w:p>
        </w:tc>
        <w:tc>
          <w:tcPr>
            <w:tcW w:w="0" w:type="auto"/>
            <w:gridSpan w:val="3"/>
            <w:shd w:val="clear" w:color="auto" w:fill="auto"/>
          </w:tcPr>
          <w:p w14:paraId="5EA27604" w14:textId="77777777" w:rsidR="003C66EB" w:rsidRDefault="003C66EB">
            <w:pPr>
              <w:rPr>
                <w:rFonts w:ascii="宋体"/>
                <w:vanish/>
              </w:rPr>
            </w:pPr>
          </w:p>
        </w:tc>
      </w:tr>
      <w:tr w:rsidR="003C66EB" w14:paraId="5EA2760E" w14:textId="77777777">
        <w:tc>
          <w:tcPr>
            <w:tcW w:w="0" w:type="auto"/>
            <w:gridSpan w:val="3"/>
            <w:shd w:val="clear" w:color="auto" w:fill="auto"/>
            <w:tcMar>
              <w:top w:w="40" w:type="dxa"/>
              <w:left w:w="20" w:type="dxa"/>
              <w:bottom w:w="40" w:type="dxa"/>
              <w:right w:w="20" w:type="dxa"/>
            </w:tcMar>
            <w:vAlign w:val="bottom"/>
          </w:tcPr>
          <w:p w14:paraId="5EA27606" w14:textId="77777777" w:rsidR="003C66EB" w:rsidRDefault="00D96C4E">
            <w:pPr>
              <w:textAlignment w:val="bottom"/>
            </w:pPr>
            <w:r>
              <w:rPr>
                <w:rFonts w:ascii="Arial" w:eastAsia="宋体" w:hAnsi="Arial" w:cs="Arial"/>
                <w:color w:val="000000"/>
                <w:sz w:val="13"/>
                <w:szCs w:val="13"/>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5EA27607" w14:textId="77777777" w:rsidR="003C66EB" w:rsidRDefault="00D96C4E">
            <w:pPr>
              <w:jc w:val="right"/>
              <w:textAlignment w:val="bottom"/>
            </w:pPr>
            <w:r>
              <w:rPr>
                <w:rFonts w:ascii="Arial" w:eastAsia="宋体" w:hAnsi="Arial" w:cs="Arial"/>
                <w:b/>
                <w:bCs/>
                <w:color w:val="000000"/>
                <w:sz w:val="13"/>
                <w:szCs w:val="13"/>
              </w:rPr>
              <w:t>4,947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60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60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60A" w14:textId="77777777" w:rsidR="003C66EB" w:rsidRDefault="00D96C4E">
            <w:pPr>
              <w:jc w:val="right"/>
              <w:textAlignment w:val="bottom"/>
            </w:pPr>
            <w:r>
              <w:rPr>
                <w:rFonts w:ascii="Arial" w:eastAsia="宋体" w:hAnsi="Arial" w:cs="Arial"/>
                <w:color w:val="000000"/>
                <w:sz w:val="13"/>
                <w:szCs w:val="13"/>
              </w:rPr>
              <w:t>4,247 </w:t>
            </w:r>
          </w:p>
        </w:tc>
        <w:tc>
          <w:tcPr>
            <w:tcW w:w="0" w:type="auto"/>
            <w:shd w:val="clear" w:color="auto" w:fill="FFFFFF"/>
            <w:tcMar>
              <w:top w:w="40" w:type="dxa"/>
              <w:left w:w="0" w:type="dxa"/>
              <w:bottom w:w="40" w:type="dxa"/>
              <w:right w:w="20" w:type="dxa"/>
            </w:tcMar>
            <w:vAlign w:val="bottom"/>
          </w:tcPr>
          <w:p w14:paraId="5EA2760B" w14:textId="77777777" w:rsidR="003C66EB" w:rsidRDefault="003C66EB">
            <w:pPr>
              <w:jc w:val="right"/>
              <w:rPr>
                <w:rFonts w:ascii="宋体"/>
              </w:rPr>
            </w:pPr>
          </w:p>
        </w:tc>
        <w:tc>
          <w:tcPr>
            <w:tcW w:w="0" w:type="auto"/>
            <w:gridSpan w:val="3"/>
            <w:shd w:val="clear" w:color="auto" w:fill="auto"/>
          </w:tcPr>
          <w:p w14:paraId="5EA2760C" w14:textId="77777777" w:rsidR="003C66EB" w:rsidRDefault="003C66EB">
            <w:pPr>
              <w:rPr>
                <w:rFonts w:ascii="宋体"/>
                <w:vanish/>
              </w:rPr>
            </w:pPr>
          </w:p>
        </w:tc>
        <w:tc>
          <w:tcPr>
            <w:tcW w:w="0" w:type="auto"/>
            <w:gridSpan w:val="3"/>
            <w:shd w:val="clear" w:color="auto" w:fill="auto"/>
          </w:tcPr>
          <w:p w14:paraId="5EA2760D" w14:textId="77777777" w:rsidR="003C66EB" w:rsidRDefault="003C66EB">
            <w:pPr>
              <w:rPr>
                <w:rFonts w:ascii="宋体"/>
                <w:vanish/>
              </w:rPr>
            </w:pPr>
          </w:p>
        </w:tc>
      </w:tr>
      <w:tr w:rsidR="003C66EB" w14:paraId="5EA27617" w14:textId="77777777">
        <w:tc>
          <w:tcPr>
            <w:tcW w:w="0" w:type="auto"/>
            <w:gridSpan w:val="3"/>
            <w:shd w:val="clear" w:color="auto" w:fill="CCEEFF"/>
            <w:tcMar>
              <w:top w:w="40" w:type="dxa"/>
              <w:left w:w="20" w:type="dxa"/>
              <w:bottom w:w="40" w:type="dxa"/>
              <w:right w:w="20" w:type="dxa"/>
            </w:tcMar>
            <w:vAlign w:val="bottom"/>
          </w:tcPr>
          <w:p w14:paraId="5EA2760F" w14:textId="77777777" w:rsidR="003C66EB" w:rsidRDefault="00D96C4E">
            <w:pPr>
              <w:textAlignment w:val="bottom"/>
            </w:pPr>
            <w:r>
              <w:rPr>
                <w:rFonts w:ascii="Arial" w:eastAsia="宋体" w:hAnsi="Arial" w:cs="Arial"/>
                <w:color w:val="000000"/>
                <w:sz w:val="13"/>
                <w:szCs w:val="13"/>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610" w14:textId="77777777" w:rsidR="003C66EB" w:rsidRDefault="00D96C4E">
            <w:pPr>
              <w:jc w:val="right"/>
              <w:textAlignment w:val="bottom"/>
            </w:pPr>
            <w:r>
              <w:rPr>
                <w:rFonts w:ascii="Arial" w:eastAsia="宋体" w:hAnsi="Arial" w:cs="Arial"/>
                <w:b/>
                <w:bCs/>
                <w:color w:val="000000"/>
                <w:sz w:val="13"/>
                <w:szCs w:val="13"/>
              </w:rPr>
              <w:t>355,690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61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612"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613" w14:textId="77777777" w:rsidR="003C66EB" w:rsidRDefault="00D96C4E">
            <w:pPr>
              <w:jc w:val="right"/>
              <w:textAlignment w:val="bottom"/>
            </w:pPr>
            <w:r>
              <w:rPr>
                <w:rFonts w:ascii="Arial" w:eastAsia="宋体" w:hAnsi="Arial" w:cs="Arial"/>
                <w:color w:val="000000"/>
                <w:sz w:val="13"/>
                <w:szCs w:val="13"/>
              </w:rPr>
              <w:t>357,993 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614" w14:textId="77777777" w:rsidR="003C66EB" w:rsidRDefault="003C66EB">
            <w:pPr>
              <w:jc w:val="right"/>
              <w:rPr>
                <w:rFonts w:ascii="宋体"/>
              </w:rPr>
            </w:pPr>
          </w:p>
        </w:tc>
        <w:tc>
          <w:tcPr>
            <w:tcW w:w="0" w:type="auto"/>
            <w:gridSpan w:val="3"/>
            <w:shd w:val="clear" w:color="auto" w:fill="auto"/>
          </w:tcPr>
          <w:p w14:paraId="5EA27615" w14:textId="77777777" w:rsidR="003C66EB" w:rsidRDefault="003C66EB">
            <w:pPr>
              <w:rPr>
                <w:rFonts w:ascii="宋体"/>
                <w:vanish/>
              </w:rPr>
            </w:pPr>
          </w:p>
        </w:tc>
        <w:tc>
          <w:tcPr>
            <w:tcW w:w="0" w:type="auto"/>
            <w:gridSpan w:val="3"/>
            <w:shd w:val="clear" w:color="auto" w:fill="auto"/>
          </w:tcPr>
          <w:p w14:paraId="5EA27616" w14:textId="77777777" w:rsidR="003C66EB" w:rsidRDefault="003C66EB">
            <w:pPr>
              <w:rPr>
                <w:rFonts w:ascii="宋体"/>
                <w:vanish/>
              </w:rPr>
            </w:pPr>
          </w:p>
        </w:tc>
      </w:tr>
      <w:tr w:rsidR="003C66EB" w14:paraId="5EA27620" w14:textId="77777777">
        <w:tc>
          <w:tcPr>
            <w:tcW w:w="0" w:type="auto"/>
            <w:gridSpan w:val="3"/>
            <w:shd w:val="clear" w:color="auto" w:fill="auto"/>
            <w:tcMar>
              <w:top w:w="40" w:type="dxa"/>
              <w:left w:w="20" w:type="dxa"/>
              <w:bottom w:w="40" w:type="dxa"/>
              <w:right w:w="20" w:type="dxa"/>
            </w:tcMar>
            <w:vAlign w:val="bottom"/>
          </w:tcPr>
          <w:p w14:paraId="5EA27618" w14:textId="77777777" w:rsidR="003C66EB" w:rsidRDefault="00D96C4E">
            <w:pPr>
              <w:textAlignment w:val="bottom"/>
            </w:pPr>
            <w:r>
              <w:rPr>
                <w:rFonts w:ascii="Arial" w:eastAsia="宋体" w:hAnsi="Arial" w:cs="Arial"/>
                <w:color w:val="000000"/>
                <w:sz w:val="13"/>
                <w:szCs w:val="13"/>
              </w:rPr>
              <w:t>Anti-dilutive securities</w:t>
            </w:r>
            <w:r>
              <w:rPr>
                <w:rFonts w:ascii="Arial" w:eastAsia="宋体" w:hAnsi="Arial" w:cs="Arial"/>
                <w:color w:val="000000"/>
                <w:sz w:val="8"/>
                <w:szCs w:val="8"/>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A27619" w14:textId="77777777" w:rsidR="003C66EB" w:rsidRDefault="00D96C4E">
            <w:pPr>
              <w:jc w:val="right"/>
              <w:textAlignment w:val="bottom"/>
            </w:pPr>
            <w:r>
              <w:rPr>
                <w:rFonts w:ascii="Arial" w:eastAsia="宋体" w:hAnsi="Arial" w:cs="Arial"/>
                <w:b/>
                <w:bCs/>
                <w:color w:val="000000"/>
                <w:sz w:val="13"/>
                <w:szCs w:val="13"/>
              </w:rPr>
              <w:t>255</w:t>
            </w:r>
            <w:r>
              <w:rPr>
                <w:rFonts w:ascii="Arial" w:eastAsia="宋体" w:hAnsi="Arial" w:cs="Arial"/>
                <w:color w:val="000000"/>
                <w:sz w:val="13"/>
                <w:szCs w:val="13"/>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EA2761A"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761B" w14:textId="77777777" w:rsidR="003C66EB" w:rsidRDefault="003C66EB">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A2761C" w14:textId="77777777" w:rsidR="003C66EB" w:rsidRDefault="00D96C4E">
            <w:pPr>
              <w:jc w:val="right"/>
              <w:textAlignment w:val="bottom"/>
            </w:pPr>
            <w:r>
              <w:rPr>
                <w:rFonts w:ascii="Arial" w:eastAsia="宋体" w:hAnsi="Arial" w:cs="Arial"/>
                <w:color w:val="000000"/>
                <w:sz w:val="13"/>
                <w:szCs w:val="13"/>
              </w:rPr>
              <w:t>918 </w:t>
            </w:r>
          </w:p>
        </w:tc>
        <w:tc>
          <w:tcPr>
            <w:tcW w:w="0" w:type="auto"/>
            <w:tcBorders>
              <w:top w:val="double" w:sz="6" w:space="0" w:color="000000"/>
            </w:tcBorders>
            <w:shd w:val="clear" w:color="auto" w:fill="auto"/>
            <w:tcMar>
              <w:top w:w="40" w:type="dxa"/>
              <w:left w:w="0" w:type="dxa"/>
              <w:bottom w:w="40" w:type="dxa"/>
              <w:right w:w="20" w:type="dxa"/>
            </w:tcMar>
            <w:vAlign w:val="bottom"/>
          </w:tcPr>
          <w:p w14:paraId="5EA2761D" w14:textId="77777777" w:rsidR="003C66EB" w:rsidRDefault="003C66EB">
            <w:pPr>
              <w:jc w:val="right"/>
              <w:rPr>
                <w:rFonts w:ascii="宋体"/>
              </w:rPr>
            </w:pPr>
          </w:p>
        </w:tc>
        <w:tc>
          <w:tcPr>
            <w:tcW w:w="0" w:type="auto"/>
            <w:gridSpan w:val="3"/>
            <w:shd w:val="clear" w:color="auto" w:fill="auto"/>
          </w:tcPr>
          <w:p w14:paraId="5EA2761E" w14:textId="77777777" w:rsidR="003C66EB" w:rsidRDefault="003C66EB">
            <w:pPr>
              <w:rPr>
                <w:rFonts w:ascii="宋体"/>
                <w:vanish/>
              </w:rPr>
            </w:pPr>
          </w:p>
        </w:tc>
        <w:tc>
          <w:tcPr>
            <w:tcW w:w="0" w:type="auto"/>
            <w:gridSpan w:val="3"/>
            <w:shd w:val="clear" w:color="auto" w:fill="auto"/>
          </w:tcPr>
          <w:p w14:paraId="5EA2761F" w14:textId="77777777" w:rsidR="003C66EB" w:rsidRDefault="003C66EB">
            <w:pPr>
              <w:rPr>
                <w:rFonts w:ascii="宋体"/>
                <w:vanish/>
              </w:rPr>
            </w:pPr>
          </w:p>
        </w:tc>
      </w:tr>
      <w:tr w:rsidR="003C66EB" w14:paraId="5EA27627" w14:textId="77777777">
        <w:tc>
          <w:tcPr>
            <w:tcW w:w="0" w:type="auto"/>
            <w:gridSpan w:val="3"/>
            <w:shd w:val="clear" w:color="auto" w:fill="CCEEFF"/>
            <w:tcMar>
              <w:top w:w="40" w:type="dxa"/>
              <w:left w:w="20" w:type="dxa"/>
              <w:bottom w:w="40" w:type="dxa"/>
              <w:right w:w="20" w:type="dxa"/>
            </w:tcMar>
            <w:vAlign w:val="bottom"/>
          </w:tcPr>
          <w:p w14:paraId="5EA27621" w14:textId="77777777" w:rsidR="003C66EB" w:rsidRDefault="00D96C4E">
            <w:pPr>
              <w:textAlignment w:val="bottom"/>
            </w:pPr>
            <w:r>
              <w:rPr>
                <w:rFonts w:ascii="Arial" w:eastAsia="宋体" w:hAnsi="Arial" w:cs="Arial"/>
                <w:b/>
                <w:bCs/>
                <w:color w:val="000000"/>
                <w:sz w:val="13"/>
                <w:szCs w:val="13"/>
              </w:rPr>
              <w:t>Earnings per common share:</w:t>
            </w:r>
          </w:p>
        </w:tc>
        <w:tc>
          <w:tcPr>
            <w:tcW w:w="0" w:type="auto"/>
            <w:gridSpan w:val="3"/>
            <w:shd w:val="clear" w:color="auto" w:fill="CCEEFF"/>
            <w:tcMar>
              <w:top w:w="0" w:type="dxa"/>
              <w:left w:w="20" w:type="dxa"/>
              <w:bottom w:w="0" w:type="dxa"/>
              <w:right w:w="20" w:type="dxa"/>
            </w:tcMar>
          </w:tcPr>
          <w:p w14:paraId="5EA27622"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623"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624" w14:textId="77777777" w:rsidR="003C66EB" w:rsidRDefault="003C66EB">
            <w:pPr>
              <w:rPr>
                <w:rFonts w:ascii="宋体"/>
              </w:rPr>
            </w:pPr>
          </w:p>
        </w:tc>
        <w:tc>
          <w:tcPr>
            <w:tcW w:w="0" w:type="auto"/>
            <w:gridSpan w:val="3"/>
            <w:shd w:val="clear" w:color="auto" w:fill="auto"/>
          </w:tcPr>
          <w:p w14:paraId="5EA27625" w14:textId="77777777" w:rsidR="003C66EB" w:rsidRDefault="003C66EB">
            <w:pPr>
              <w:rPr>
                <w:rFonts w:ascii="宋体"/>
                <w:vanish/>
              </w:rPr>
            </w:pPr>
          </w:p>
        </w:tc>
        <w:tc>
          <w:tcPr>
            <w:tcW w:w="0" w:type="auto"/>
            <w:gridSpan w:val="3"/>
            <w:shd w:val="clear" w:color="auto" w:fill="auto"/>
          </w:tcPr>
          <w:p w14:paraId="5EA27626" w14:textId="77777777" w:rsidR="003C66EB" w:rsidRDefault="003C66EB">
            <w:pPr>
              <w:rPr>
                <w:rFonts w:ascii="宋体"/>
                <w:vanish/>
              </w:rPr>
            </w:pPr>
          </w:p>
        </w:tc>
      </w:tr>
      <w:tr w:rsidR="003C66EB" w14:paraId="5EA27632" w14:textId="77777777">
        <w:tc>
          <w:tcPr>
            <w:tcW w:w="0" w:type="auto"/>
            <w:gridSpan w:val="3"/>
            <w:shd w:val="clear" w:color="auto" w:fill="auto"/>
            <w:tcMar>
              <w:top w:w="40" w:type="dxa"/>
              <w:left w:w="20" w:type="dxa"/>
              <w:bottom w:w="40" w:type="dxa"/>
              <w:right w:w="20" w:type="dxa"/>
            </w:tcMar>
            <w:vAlign w:val="bottom"/>
          </w:tcPr>
          <w:p w14:paraId="5EA27628" w14:textId="77777777" w:rsidR="003C66EB" w:rsidRDefault="00D96C4E">
            <w:pPr>
              <w:textAlignment w:val="bottom"/>
            </w:pPr>
            <w:r>
              <w:rPr>
                <w:rFonts w:ascii="Arial" w:eastAsia="宋体" w:hAnsi="Arial" w:cs="Arial"/>
                <w:color w:val="000000"/>
                <w:sz w:val="13"/>
                <w:szCs w:val="13"/>
              </w:rPr>
              <w:t>Basic</w:t>
            </w:r>
          </w:p>
        </w:tc>
        <w:tc>
          <w:tcPr>
            <w:tcW w:w="0" w:type="auto"/>
            <w:shd w:val="clear" w:color="auto" w:fill="FFFFFF"/>
            <w:tcMar>
              <w:top w:w="40" w:type="dxa"/>
              <w:left w:w="20" w:type="dxa"/>
              <w:bottom w:w="40" w:type="dxa"/>
              <w:right w:w="0" w:type="dxa"/>
            </w:tcMar>
            <w:vAlign w:val="bottom"/>
          </w:tcPr>
          <w:p w14:paraId="5EA27629" w14:textId="77777777" w:rsidR="003C66EB" w:rsidRDefault="00D96C4E">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A2762A" w14:textId="77777777" w:rsidR="003C66EB" w:rsidRDefault="00D96C4E">
            <w:pPr>
              <w:jc w:val="right"/>
              <w:textAlignment w:val="bottom"/>
            </w:pPr>
            <w:r>
              <w:rPr>
                <w:rFonts w:ascii="Arial" w:eastAsia="宋体" w:hAnsi="Arial" w:cs="Arial"/>
                <w:b/>
                <w:bCs/>
                <w:color w:val="000000"/>
                <w:sz w:val="13"/>
                <w:szCs w:val="13"/>
              </w:rPr>
              <w:t>1.39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62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62C"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62D" w14:textId="77777777" w:rsidR="003C66EB" w:rsidRDefault="00D96C4E">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A2762E" w14:textId="77777777" w:rsidR="003C66EB" w:rsidRDefault="00D96C4E">
            <w:pPr>
              <w:jc w:val="right"/>
              <w:textAlignment w:val="bottom"/>
            </w:pPr>
            <w:r>
              <w:rPr>
                <w:rFonts w:ascii="Arial" w:eastAsia="宋体" w:hAnsi="Arial" w:cs="Arial"/>
                <w:color w:val="000000"/>
                <w:sz w:val="13"/>
                <w:szCs w:val="13"/>
              </w:rPr>
              <w:t>1.64 </w:t>
            </w:r>
          </w:p>
        </w:tc>
        <w:tc>
          <w:tcPr>
            <w:tcW w:w="0" w:type="auto"/>
            <w:shd w:val="clear" w:color="auto" w:fill="FFFFFF"/>
            <w:tcMar>
              <w:top w:w="40" w:type="dxa"/>
              <w:left w:w="0" w:type="dxa"/>
              <w:bottom w:w="40" w:type="dxa"/>
              <w:right w:w="20" w:type="dxa"/>
            </w:tcMar>
            <w:vAlign w:val="bottom"/>
          </w:tcPr>
          <w:p w14:paraId="5EA2762F" w14:textId="77777777" w:rsidR="003C66EB" w:rsidRDefault="003C66EB">
            <w:pPr>
              <w:jc w:val="right"/>
              <w:rPr>
                <w:rFonts w:ascii="宋体"/>
              </w:rPr>
            </w:pPr>
          </w:p>
        </w:tc>
        <w:tc>
          <w:tcPr>
            <w:tcW w:w="0" w:type="auto"/>
            <w:gridSpan w:val="3"/>
            <w:shd w:val="clear" w:color="auto" w:fill="auto"/>
          </w:tcPr>
          <w:p w14:paraId="5EA27630" w14:textId="77777777" w:rsidR="003C66EB" w:rsidRDefault="003C66EB">
            <w:pPr>
              <w:rPr>
                <w:rFonts w:ascii="宋体"/>
                <w:vanish/>
              </w:rPr>
            </w:pPr>
          </w:p>
        </w:tc>
        <w:tc>
          <w:tcPr>
            <w:tcW w:w="0" w:type="auto"/>
            <w:gridSpan w:val="3"/>
            <w:shd w:val="clear" w:color="auto" w:fill="auto"/>
          </w:tcPr>
          <w:p w14:paraId="5EA27631" w14:textId="77777777" w:rsidR="003C66EB" w:rsidRDefault="003C66EB">
            <w:pPr>
              <w:rPr>
                <w:rFonts w:ascii="宋体"/>
                <w:vanish/>
              </w:rPr>
            </w:pPr>
          </w:p>
        </w:tc>
      </w:tr>
      <w:tr w:rsidR="003C66EB" w14:paraId="5EA2763B" w14:textId="77777777">
        <w:tc>
          <w:tcPr>
            <w:tcW w:w="0" w:type="auto"/>
            <w:gridSpan w:val="3"/>
            <w:shd w:val="clear" w:color="auto" w:fill="CCEEFF"/>
            <w:tcMar>
              <w:top w:w="40" w:type="dxa"/>
              <w:left w:w="20" w:type="dxa"/>
              <w:bottom w:w="40" w:type="dxa"/>
              <w:right w:w="20" w:type="dxa"/>
            </w:tcMar>
            <w:vAlign w:val="bottom"/>
          </w:tcPr>
          <w:p w14:paraId="5EA27633" w14:textId="77777777" w:rsidR="003C66EB" w:rsidRDefault="00D96C4E">
            <w:pPr>
              <w:textAlignment w:val="bottom"/>
            </w:pPr>
            <w:r>
              <w:rPr>
                <w:rFonts w:ascii="Arial" w:eastAsia="宋体" w:hAnsi="Arial" w:cs="Arial"/>
                <w:color w:val="000000"/>
                <w:sz w:val="13"/>
                <w:szCs w:val="13"/>
              </w:rPr>
              <w:t>Diluted</w:t>
            </w:r>
            <w:r>
              <w:rPr>
                <w:rFonts w:ascii="Arial" w:eastAsia="宋体" w:hAnsi="Arial" w:cs="Arial"/>
                <w:color w:val="000000"/>
                <w:sz w:val="8"/>
                <w:szCs w:val="8"/>
              </w:rPr>
              <w:t>(3)</w:t>
            </w:r>
          </w:p>
        </w:tc>
        <w:tc>
          <w:tcPr>
            <w:tcW w:w="0" w:type="auto"/>
            <w:gridSpan w:val="2"/>
            <w:shd w:val="clear" w:color="auto" w:fill="CCEEFF"/>
            <w:tcMar>
              <w:top w:w="40" w:type="dxa"/>
              <w:left w:w="20" w:type="dxa"/>
              <w:bottom w:w="40" w:type="dxa"/>
              <w:right w:w="0" w:type="dxa"/>
            </w:tcMar>
            <w:vAlign w:val="bottom"/>
          </w:tcPr>
          <w:p w14:paraId="5EA27634" w14:textId="77777777" w:rsidR="003C66EB" w:rsidRDefault="00D96C4E">
            <w:pPr>
              <w:jc w:val="right"/>
              <w:textAlignment w:val="bottom"/>
            </w:pPr>
            <w:r>
              <w:rPr>
                <w:rFonts w:ascii="Arial" w:eastAsia="宋体" w:hAnsi="Arial" w:cs="Arial"/>
                <w:b/>
                <w:bCs/>
                <w:color w:val="000000"/>
                <w:sz w:val="13"/>
                <w:szCs w:val="13"/>
              </w:rPr>
              <w:t>1.37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63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63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637" w14:textId="77777777" w:rsidR="003C66EB" w:rsidRDefault="00D96C4E">
            <w:pPr>
              <w:jc w:val="right"/>
              <w:textAlignment w:val="bottom"/>
            </w:pPr>
            <w:r>
              <w:rPr>
                <w:rFonts w:ascii="Arial" w:eastAsia="宋体" w:hAnsi="Arial" w:cs="Arial"/>
                <w:color w:val="000000"/>
                <w:sz w:val="13"/>
                <w:szCs w:val="13"/>
              </w:rPr>
              <w:t>1.62 </w:t>
            </w:r>
          </w:p>
        </w:tc>
        <w:tc>
          <w:tcPr>
            <w:tcW w:w="0" w:type="auto"/>
            <w:shd w:val="clear" w:color="auto" w:fill="CCEEFF"/>
            <w:tcMar>
              <w:top w:w="40" w:type="dxa"/>
              <w:left w:w="0" w:type="dxa"/>
              <w:bottom w:w="40" w:type="dxa"/>
              <w:right w:w="20" w:type="dxa"/>
            </w:tcMar>
            <w:vAlign w:val="bottom"/>
          </w:tcPr>
          <w:p w14:paraId="5EA27638" w14:textId="77777777" w:rsidR="003C66EB" w:rsidRDefault="003C66EB">
            <w:pPr>
              <w:jc w:val="right"/>
              <w:rPr>
                <w:rFonts w:ascii="宋体"/>
              </w:rPr>
            </w:pPr>
          </w:p>
        </w:tc>
        <w:tc>
          <w:tcPr>
            <w:tcW w:w="0" w:type="auto"/>
            <w:gridSpan w:val="3"/>
            <w:shd w:val="clear" w:color="auto" w:fill="auto"/>
          </w:tcPr>
          <w:p w14:paraId="5EA27639" w14:textId="77777777" w:rsidR="003C66EB" w:rsidRDefault="003C66EB">
            <w:pPr>
              <w:rPr>
                <w:rFonts w:ascii="宋体"/>
                <w:vanish/>
              </w:rPr>
            </w:pPr>
          </w:p>
        </w:tc>
        <w:tc>
          <w:tcPr>
            <w:tcW w:w="0" w:type="auto"/>
            <w:gridSpan w:val="3"/>
            <w:shd w:val="clear" w:color="auto" w:fill="auto"/>
          </w:tcPr>
          <w:p w14:paraId="5EA2763A" w14:textId="77777777" w:rsidR="003C66EB" w:rsidRDefault="003C66EB">
            <w:pPr>
              <w:rPr>
                <w:rFonts w:ascii="宋体"/>
                <w:vanish/>
              </w:rPr>
            </w:pPr>
          </w:p>
        </w:tc>
      </w:tr>
      <w:tr w:rsidR="003C66EB" w14:paraId="5EA27642" w14:textId="77777777">
        <w:trPr>
          <w:hidden/>
        </w:trPr>
        <w:tc>
          <w:tcPr>
            <w:tcW w:w="0" w:type="auto"/>
            <w:gridSpan w:val="3"/>
            <w:shd w:val="clear" w:color="auto" w:fill="auto"/>
          </w:tcPr>
          <w:p w14:paraId="5EA2763C" w14:textId="77777777" w:rsidR="003C66EB" w:rsidRDefault="003C66EB">
            <w:pPr>
              <w:rPr>
                <w:rFonts w:ascii="宋体"/>
                <w:vanish/>
              </w:rPr>
            </w:pPr>
          </w:p>
        </w:tc>
        <w:tc>
          <w:tcPr>
            <w:tcW w:w="0" w:type="auto"/>
            <w:gridSpan w:val="3"/>
            <w:shd w:val="clear" w:color="auto" w:fill="auto"/>
          </w:tcPr>
          <w:p w14:paraId="5EA2763D" w14:textId="77777777" w:rsidR="003C66EB" w:rsidRDefault="003C66EB">
            <w:pPr>
              <w:rPr>
                <w:rFonts w:ascii="宋体"/>
                <w:vanish/>
              </w:rPr>
            </w:pPr>
          </w:p>
        </w:tc>
        <w:tc>
          <w:tcPr>
            <w:tcW w:w="0" w:type="auto"/>
            <w:gridSpan w:val="3"/>
            <w:shd w:val="clear" w:color="auto" w:fill="auto"/>
          </w:tcPr>
          <w:p w14:paraId="5EA2763E" w14:textId="77777777" w:rsidR="003C66EB" w:rsidRDefault="003C66EB">
            <w:pPr>
              <w:rPr>
                <w:rFonts w:ascii="宋体"/>
                <w:vanish/>
              </w:rPr>
            </w:pPr>
          </w:p>
        </w:tc>
        <w:tc>
          <w:tcPr>
            <w:tcW w:w="0" w:type="auto"/>
            <w:gridSpan w:val="3"/>
            <w:shd w:val="clear" w:color="auto" w:fill="auto"/>
          </w:tcPr>
          <w:p w14:paraId="5EA2763F" w14:textId="77777777" w:rsidR="003C66EB" w:rsidRDefault="003C66EB">
            <w:pPr>
              <w:rPr>
                <w:rFonts w:ascii="宋体"/>
                <w:vanish/>
              </w:rPr>
            </w:pPr>
          </w:p>
        </w:tc>
        <w:tc>
          <w:tcPr>
            <w:tcW w:w="0" w:type="auto"/>
            <w:gridSpan w:val="3"/>
            <w:shd w:val="clear" w:color="auto" w:fill="auto"/>
          </w:tcPr>
          <w:p w14:paraId="5EA27640" w14:textId="77777777" w:rsidR="003C66EB" w:rsidRDefault="003C66EB">
            <w:pPr>
              <w:rPr>
                <w:rFonts w:ascii="宋体"/>
                <w:vanish/>
              </w:rPr>
            </w:pPr>
          </w:p>
        </w:tc>
        <w:tc>
          <w:tcPr>
            <w:tcW w:w="0" w:type="auto"/>
            <w:gridSpan w:val="3"/>
            <w:shd w:val="clear" w:color="auto" w:fill="auto"/>
          </w:tcPr>
          <w:p w14:paraId="5EA27641" w14:textId="77777777" w:rsidR="003C66EB" w:rsidRDefault="003C66EB">
            <w:pPr>
              <w:rPr>
                <w:rFonts w:ascii="宋体"/>
                <w:vanish/>
              </w:rPr>
            </w:pPr>
          </w:p>
        </w:tc>
      </w:tr>
      <w:tr w:rsidR="003C66EB" w14:paraId="5EA27649" w14:textId="77777777">
        <w:trPr>
          <w:hidden/>
        </w:trPr>
        <w:tc>
          <w:tcPr>
            <w:tcW w:w="0" w:type="auto"/>
            <w:gridSpan w:val="3"/>
            <w:shd w:val="clear" w:color="auto" w:fill="auto"/>
          </w:tcPr>
          <w:p w14:paraId="5EA27643" w14:textId="77777777" w:rsidR="003C66EB" w:rsidRDefault="003C66EB">
            <w:pPr>
              <w:rPr>
                <w:rFonts w:ascii="宋体"/>
                <w:vanish/>
              </w:rPr>
            </w:pPr>
          </w:p>
        </w:tc>
        <w:tc>
          <w:tcPr>
            <w:tcW w:w="0" w:type="auto"/>
            <w:gridSpan w:val="3"/>
            <w:shd w:val="clear" w:color="auto" w:fill="auto"/>
          </w:tcPr>
          <w:p w14:paraId="5EA27644" w14:textId="77777777" w:rsidR="003C66EB" w:rsidRDefault="003C66EB">
            <w:pPr>
              <w:rPr>
                <w:rFonts w:ascii="宋体"/>
                <w:vanish/>
              </w:rPr>
            </w:pPr>
          </w:p>
        </w:tc>
        <w:tc>
          <w:tcPr>
            <w:tcW w:w="0" w:type="auto"/>
            <w:gridSpan w:val="3"/>
            <w:shd w:val="clear" w:color="auto" w:fill="auto"/>
          </w:tcPr>
          <w:p w14:paraId="5EA27645" w14:textId="77777777" w:rsidR="003C66EB" w:rsidRDefault="003C66EB">
            <w:pPr>
              <w:rPr>
                <w:rFonts w:ascii="宋体"/>
                <w:vanish/>
              </w:rPr>
            </w:pPr>
          </w:p>
        </w:tc>
        <w:tc>
          <w:tcPr>
            <w:tcW w:w="0" w:type="auto"/>
            <w:gridSpan w:val="3"/>
            <w:shd w:val="clear" w:color="auto" w:fill="auto"/>
          </w:tcPr>
          <w:p w14:paraId="5EA27646" w14:textId="77777777" w:rsidR="003C66EB" w:rsidRDefault="003C66EB">
            <w:pPr>
              <w:rPr>
                <w:rFonts w:ascii="宋体"/>
                <w:vanish/>
              </w:rPr>
            </w:pPr>
          </w:p>
        </w:tc>
        <w:tc>
          <w:tcPr>
            <w:tcW w:w="0" w:type="auto"/>
            <w:gridSpan w:val="3"/>
            <w:shd w:val="clear" w:color="auto" w:fill="auto"/>
          </w:tcPr>
          <w:p w14:paraId="5EA27647" w14:textId="77777777" w:rsidR="003C66EB" w:rsidRDefault="003C66EB">
            <w:pPr>
              <w:rPr>
                <w:rFonts w:ascii="宋体"/>
                <w:vanish/>
              </w:rPr>
            </w:pPr>
          </w:p>
        </w:tc>
        <w:tc>
          <w:tcPr>
            <w:tcW w:w="0" w:type="auto"/>
            <w:gridSpan w:val="3"/>
            <w:shd w:val="clear" w:color="auto" w:fill="auto"/>
          </w:tcPr>
          <w:p w14:paraId="5EA27648" w14:textId="77777777" w:rsidR="003C66EB" w:rsidRDefault="003C66EB">
            <w:pPr>
              <w:rPr>
                <w:rFonts w:ascii="宋体"/>
                <w:vanish/>
              </w:rPr>
            </w:pPr>
          </w:p>
        </w:tc>
      </w:tr>
      <w:tr w:rsidR="003C66EB" w14:paraId="5EA27650" w14:textId="77777777">
        <w:trPr>
          <w:hidden/>
        </w:trPr>
        <w:tc>
          <w:tcPr>
            <w:tcW w:w="0" w:type="auto"/>
            <w:gridSpan w:val="3"/>
            <w:shd w:val="clear" w:color="auto" w:fill="auto"/>
          </w:tcPr>
          <w:p w14:paraId="5EA2764A" w14:textId="77777777" w:rsidR="003C66EB" w:rsidRDefault="003C66EB">
            <w:pPr>
              <w:rPr>
                <w:rFonts w:ascii="宋体"/>
                <w:vanish/>
              </w:rPr>
            </w:pPr>
          </w:p>
        </w:tc>
        <w:tc>
          <w:tcPr>
            <w:tcW w:w="0" w:type="auto"/>
            <w:gridSpan w:val="3"/>
            <w:shd w:val="clear" w:color="auto" w:fill="auto"/>
          </w:tcPr>
          <w:p w14:paraId="5EA2764B" w14:textId="77777777" w:rsidR="003C66EB" w:rsidRDefault="003C66EB">
            <w:pPr>
              <w:rPr>
                <w:rFonts w:ascii="宋体"/>
                <w:vanish/>
              </w:rPr>
            </w:pPr>
          </w:p>
        </w:tc>
        <w:tc>
          <w:tcPr>
            <w:tcW w:w="0" w:type="auto"/>
            <w:gridSpan w:val="3"/>
            <w:shd w:val="clear" w:color="auto" w:fill="auto"/>
          </w:tcPr>
          <w:p w14:paraId="5EA2764C" w14:textId="77777777" w:rsidR="003C66EB" w:rsidRDefault="003C66EB">
            <w:pPr>
              <w:rPr>
                <w:rFonts w:ascii="宋体"/>
                <w:vanish/>
              </w:rPr>
            </w:pPr>
          </w:p>
        </w:tc>
        <w:tc>
          <w:tcPr>
            <w:tcW w:w="0" w:type="auto"/>
            <w:gridSpan w:val="3"/>
            <w:shd w:val="clear" w:color="auto" w:fill="auto"/>
          </w:tcPr>
          <w:p w14:paraId="5EA2764D" w14:textId="77777777" w:rsidR="003C66EB" w:rsidRDefault="003C66EB">
            <w:pPr>
              <w:rPr>
                <w:rFonts w:ascii="宋体"/>
                <w:vanish/>
              </w:rPr>
            </w:pPr>
          </w:p>
        </w:tc>
        <w:tc>
          <w:tcPr>
            <w:tcW w:w="0" w:type="auto"/>
            <w:gridSpan w:val="3"/>
            <w:shd w:val="clear" w:color="auto" w:fill="auto"/>
          </w:tcPr>
          <w:p w14:paraId="5EA2764E" w14:textId="77777777" w:rsidR="003C66EB" w:rsidRDefault="003C66EB">
            <w:pPr>
              <w:rPr>
                <w:rFonts w:ascii="宋体"/>
                <w:vanish/>
              </w:rPr>
            </w:pPr>
          </w:p>
        </w:tc>
        <w:tc>
          <w:tcPr>
            <w:tcW w:w="0" w:type="auto"/>
            <w:gridSpan w:val="3"/>
            <w:shd w:val="clear" w:color="auto" w:fill="auto"/>
          </w:tcPr>
          <w:p w14:paraId="5EA2764F" w14:textId="77777777" w:rsidR="003C66EB" w:rsidRDefault="003C66EB">
            <w:pPr>
              <w:rPr>
                <w:rFonts w:ascii="宋体"/>
                <w:vanish/>
              </w:rPr>
            </w:pPr>
          </w:p>
        </w:tc>
      </w:tr>
      <w:tr w:rsidR="003C66EB" w14:paraId="5EA27657" w14:textId="77777777">
        <w:trPr>
          <w:hidden/>
        </w:trPr>
        <w:tc>
          <w:tcPr>
            <w:tcW w:w="0" w:type="auto"/>
            <w:gridSpan w:val="3"/>
            <w:shd w:val="clear" w:color="auto" w:fill="auto"/>
          </w:tcPr>
          <w:p w14:paraId="5EA27651" w14:textId="77777777" w:rsidR="003C66EB" w:rsidRDefault="003C66EB">
            <w:pPr>
              <w:rPr>
                <w:rFonts w:ascii="宋体"/>
                <w:vanish/>
              </w:rPr>
            </w:pPr>
          </w:p>
        </w:tc>
        <w:tc>
          <w:tcPr>
            <w:tcW w:w="0" w:type="auto"/>
            <w:gridSpan w:val="3"/>
            <w:shd w:val="clear" w:color="auto" w:fill="auto"/>
          </w:tcPr>
          <w:p w14:paraId="5EA27652" w14:textId="77777777" w:rsidR="003C66EB" w:rsidRDefault="003C66EB">
            <w:pPr>
              <w:rPr>
                <w:rFonts w:ascii="宋体"/>
                <w:vanish/>
              </w:rPr>
            </w:pPr>
          </w:p>
        </w:tc>
        <w:tc>
          <w:tcPr>
            <w:tcW w:w="0" w:type="auto"/>
            <w:gridSpan w:val="3"/>
            <w:shd w:val="clear" w:color="auto" w:fill="auto"/>
          </w:tcPr>
          <w:p w14:paraId="5EA27653" w14:textId="77777777" w:rsidR="003C66EB" w:rsidRDefault="003C66EB">
            <w:pPr>
              <w:rPr>
                <w:rFonts w:ascii="宋体"/>
                <w:vanish/>
              </w:rPr>
            </w:pPr>
          </w:p>
        </w:tc>
        <w:tc>
          <w:tcPr>
            <w:tcW w:w="0" w:type="auto"/>
            <w:gridSpan w:val="3"/>
            <w:shd w:val="clear" w:color="auto" w:fill="auto"/>
          </w:tcPr>
          <w:p w14:paraId="5EA27654" w14:textId="77777777" w:rsidR="003C66EB" w:rsidRDefault="003C66EB">
            <w:pPr>
              <w:rPr>
                <w:rFonts w:ascii="宋体"/>
                <w:vanish/>
              </w:rPr>
            </w:pPr>
          </w:p>
        </w:tc>
        <w:tc>
          <w:tcPr>
            <w:tcW w:w="0" w:type="auto"/>
            <w:gridSpan w:val="3"/>
            <w:shd w:val="clear" w:color="auto" w:fill="auto"/>
          </w:tcPr>
          <w:p w14:paraId="5EA27655" w14:textId="77777777" w:rsidR="003C66EB" w:rsidRDefault="003C66EB">
            <w:pPr>
              <w:rPr>
                <w:rFonts w:ascii="宋体"/>
                <w:vanish/>
              </w:rPr>
            </w:pPr>
          </w:p>
        </w:tc>
        <w:tc>
          <w:tcPr>
            <w:tcW w:w="0" w:type="auto"/>
            <w:gridSpan w:val="3"/>
            <w:shd w:val="clear" w:color="auto" w:fill="auto"/>
          </w:tcPr>
          <w:p w14:paraId="5EA27656" w14:textId="77777777" w:rsidR="003C66EB" w:rsidRDefault="003C66EB">
            <w:pPr>
              <w:rPr>
                <w:rFonts w:ascii="宋体"/>
                <w:vanish/>
              </w:rPr>
            </w:pPr>
          </w:p>
        </w:tc>
      </w:tr>
      <w:tr w:rsidR="003C66EB" w14:paraId="5EA2765E" w14:textId="77777777">
        <w:trPr>
          <w:hidden/>
        </w:trPr>
        <w:tc>
          <w:tcPr>
            <w:tcW w:w="0" w:type="auto"/>
            <w:gridSpan w:val="3"/>
            <w:shd w:val="clear" w:color="auto" w:fill="auto"/>
          </w:tcPr>
          <w:p w14:paraId="5EA27658" w14:textId="77777777" w:rsidR="003C66EB" w:rsidRDefault="003C66EB">
            <w:pPr>
              <w:rPr>
                <w:rFonts w:ascii="宋体"/>
                <w:vanish/>
              </w:rPr>
            </w:pPr>
          </w:p>
        </w:tc>
        <w:tc>
          <w:tcPr>
            <w:tcW w:w="0" w:type="auto"/>
            <w:gridSpan w:val="3"/>
            <w:shd w:val="clear" w:color="auto" w:fill="auto"/>
          </w:tcPr>
          <w:p w14:paraId="5EA27659" w14:textId="77777777" w:rsidR="003C66EB" w:rsidRDefault="003C66EB">
            <w:pPr>
              <w:rPr>
                <w:rFonts w:ascii="宋体"/>
                <w:vanish/>
              </w:rPr>
            </w:pPr>
          </w:p>
        </w:tc>
        <w:tc>
          <w:tcPr>
            <w:tcW w:w="0" w:type="auto"/>
            <w:gridSpan w:val="3"/>
            <w:shd w:val="clear" w:color="auto" w:fill="auto"/>
          </w:tcPr>
          <w:p w14:paraId="5EA2765A" w14:textId="77777777" w:rsidR="003C66EB" w:rsidRDefault="003C66EB">
            <w:pPr>
              <w:rPr>
                <w:rFonts w:ascii="宋体"/>
                <w:vanish/>
              </w:rPr>
            </w:pPr>
          </w:p>
        </w:tc>
        <w:tc>
          <w:tcPr>
            <w:tcW w:w="0" w:type="auto"/>
            <w:gridSpan w:val="3"/>
            <w:shd w:val="clear" w:color="auto" w:fill="auto"/>
          </w:tcPr>
          <w:p w14:paraId="5EA2765B" w14:textId="77777777" w:rsidR="003C66EB" w:rsidRDefault="003C66EB">
            <w:pPr>
              <w:rPr>
                <w:rFonts w:ascii="宋体"/>
                <w:vanish/>
              </w:rPr>
            </w:pPr>
          </w:p>
        </w:tc>
        <w:tc>
          <w:tcPr>
            <w:tcW w:w="0" w:type="auto"/>
            <w:gridSpan w:val="3"/>
            <w:shd w:val="clear" w:color="auto" w:fill="auto"/>
          </w:tcPr>
          <w:p w14:paraId="5EA2765C" w14:textId="77777777" w:rsidR="003C66EB" w:rsidRDefault="003C66EB">
            <w:pPr>
              <w:rPr>
                <w:rFonts w:ascii="宋体"/>
                <w:vanish/>
              </w:rPr>
            </w:pPr>
          </w:p>
        </w:tc>
        <w:tc>
          <w:tcPr>
            <w:tcW w:w="0" w:type="auto"/>
            <w:gridSpan w:val="3"/>
            <w:shd w:val="clear" w:color="auto" w:fill="auto"/>
          </w:tcPr>
          <w:p w14:paraId="5EA2765D" w14:textId="77777777" w:rsidR="003C66EB" w:rsidRDefault="003C66EB">
            <w:pPr>
              <w:rPr>
                <w:rFonts w:ascii="宋体"/>
                <w:vanish/>
              </w:rPr>
            </w:pPr>
          </w:p>
        </w:tc>
      </w:tr>
      <w:tr w:rsidR="003C66EB" w14:paraId="5EA27665" w14:textId="77777777">
        <w:trPr>
          <w:hidden/>
        </w:trPr>
        <w:tc>
          <w:tcPr>
            <w:tcW w:w="0" w:type="auto"/>
            <w:gridSpan w:val="3"/>
            <w:shd w:val="clear" w:color="auto" w:fill="auto"/>
          </w:tcPr>
          <w:p w14:paraId="5EA2765F" w14:textId="77777777" w:rsidR="003C66EB" w:rsidRDefault="003C66EB">
            <w:pPr>
              <w:rPr>
                <w:rFonts w:ascii="宋体"/>
                <w:vanish/>
              </w:rPr>
            </w:pPr>
          </w:p>
        </w:tc>
        <w:tc>
          <w:tcPr>
            <w:tcW w:w="0" w:type="auto"/>
            <w:gridSpan w:val="3"/>
            <w:shd w:val="clear" w:color="auto" w:fill="auto"/>
          </w:tcPr>
          <w:p w14:paraId="5EA27660" w14:textId="77777777" w:rsidR="003C66EB" w:rsidRDefault="003C66EB">
            <w:pPr>
              <w:rPr>
                <w:rFonts w:ascii="宋体"/>
                <w:vanish/>
              </w:rPr>
            </w:pPr>
          </w:p>
        </w:tc>
        <w:tc>
          <w:tcPr>
            <w:tcW w:w="0" w:type="auto"/>
            <w:gridSpan w:val="3"/>
            <w:shd w:val="clear" w:color="auto" w:fill="auto"/>
          </w:tcPr>
          <w:p w14:paraId="5EA27661" w14:textId="77777777" w:rsidR="003C66EB" w:rsidRDefault="003C66EB">
            <w:pPr>
              <w:rPr>
                <w:rFonts w:ascii="宋体"/>
                <w:vanish/>
              </w:rPr>
            </w:pPr>
          </w:p>
        </w:tc>
        <w:tc>
          <w:tcPr>
            <w:tcW w:w="0" w:type="auto"/>
            <w:gridSpan w:val="3"/>
            <w:shd w:val="clear" w:color="auto" w:fill="auto"/>
          </w:tcPr>
          <w:p w14:paraId="5EA27662" w14:textId="77777777" w:rsidR="003C66EB" w:rsidRDefault="003C66EB">
            <w:pPr>
              <w:rPr>
                <w:rFonts w:ascii="宋体"/>
                <w:vanish/>
              </w:rPr>
            </w:pPr>
          </w:p>
        </w:tc>
        <w:tc>
          <w:tcPr>
            <w:tcW w:w="0" w:type="auto"/>
            <w:gridSpan w:val="3"/>
            <w:shd w:val="clear" w:color="auto" w:fill="auto"/>
          </w:tcPr>
          <w:p w14:paraId="5EA27663" w14:textId="77777777" w:rsidR="003C66EB" w:rsidRDefault="003C66EB">
            <w:pPr>
              <w:rPr>
                <w:rFonts w:ascii="宋体"/>
                <w:vanish/>
              </w:rPr>
            </w:pPr>
          </w:p>
        </w:tc>
        <w:tc>
          <w:tcPr>
            <w:tcW w:w="0" w:type="auto"/>
            <w:gridSpan w:val="3"/>
            <w:shd w:val="clear" w:color="auto" w:fill="auto"/>
          </w:tcPr>
          <w:p w14:paraId="5EA27664" w14:textId="77777777" w:rsidR="003C66EB" w:rsidRDefault="003C66EB">
            <w:pPr>
              <w:rPr>
                <w:rFonts w:ascii="宋体"/>
                <w:vanish/>
              </w:rPr>
            </w:pPr>
          </w:p>
        </w:tc>
      </w:tr>
      <w:tr w:rsidR="003C66EB" w14:paraId="5EA2766C" w14:textId="77777777">
        <w:trPr>
          <w:hidden/>
        </w:trPr>
        <w:tc>
          <w:tcPr>
            <w:tcW w:w="0" w:type="auto"/>
            <w:gridSpan w:val="3"/>
            <w:shd w:val="clear" w:color="auto" w:fill="auto"/>
          </w:tcPr>
          <w:p w14:paraId="5EA27666" w14:textId="77777777" w:rsidR="003C66EB" w:rsidRDefault="003C66EB">
            <w:pPr>
              <w:rPr>
                <w:rFonts w:ascii="宋体"/>
                <w:vanish/>
              </w:rPr>
            </w:pPr>
          </w:p>
        </w:tc>
        <w:tc>
          <w:tcPr>
            <w:tcW w:w="0" w:type="auto"/>
            <w:gridSpan w:val="3"/>
            <w:shd w:val="clear" w:color="auto" w:fill="auto"/>
          </w:tcPr>
          <w:p w14:paraId="5EA27667" w14:textId="77777777" w:rsidR="003C66EB" w:rsidRDefault="003C66EB">
            <w:pPr>
              <w:rPr>
                <w:rFonts w:ascii="宋体"/>
                <w:vanish/>
              </w:rPr>
            </w:pPr>
          </w:p>
        </w:tc>
        <w:tc>
          <w:tcPr>
            <w:tcW w:w="0" w:type="auto"/>
            <w:gridSpan w:val="3"/>
            <w:shd w:val="clear" w:color="auto" w:fill="auto"/>
          </w:tcPr>
          <w:p w14:paraId="5EA27668" w14:textId="77777777" w:rsidR="003C66EB" w:rsidRDefault="003C66EB">
            <w:pPr>
              <w:rPr>
                <w:rFonts w:ascii="宋体"/>
                <w:vanish/>
              </w:rPr>
            </w:pPr>
          </w:p>
        </w:tc>
        <w:tc>
          <w:tcPr>
            <w:tcW w:w="0" w:type="auto"/>
            <w:gridSpan w:val="3"/>
            <w:shd w:val="clear" w:color="auto" w:fill="auto"/>
          </w:tcPr>
          <w:p w14:paraId="5EA27669" w14:textId="77777777" w:rsidR="003C66EB" w:rsidRDefault="003C66EB">
            <w:pPr>
              <w:rPr>
                <w:rFonts w:ascii="宋体"/>
                <w:vanish/>
              </w:rPr>
            </w:pPr>
          </w:p>
        </w:tc>
        <w:tc>
          <w:tcPr>
            <w:tcW w:w="0" w:type="auto"/>
            <w:gridSpan w:val="3"/>
            <w:shd w:val="clear" w:color="auto" w:fill="auto"/>
          </w:tcPr>
          <w:p w14:paraId="5EA2766A" w14:textId="77777777" w:rsidR="003C66EB" w:rsidRDefault="003C66EB">
            <w:pPr>
              <w:rPr>
                <w:rFonts w:ascii="宋体"/>
                <w:vanish/>
              </w:rPr>
            </w:pPr>
          </w:p>
        </w:tc>
        <w:tc>
          <w:tcPr>
            <w:tcW w:w="0" w:type="auto"/>
            <w:gridSpan w:val="3"/>
            <w:shd w:val="clear" w:color="auto" w:fill="auto"/>
          </w:tcPr>
          <w:p w14:paraId="5EA2766B" w14:textId="77777777" w:rsidR="003C66EB" w:rsidRDefault="003C66EB">
            <w:pPr>
              <w:rPr>
                <w:rFonts w:ascii="宋体"/>
                <w:vanish/>
              </w:rPr>
            </w:pPr>
          </w:p>
        </w:tc>
      </w:tr>
      <w:tr w:rsidR="003C66EB" w14:paraId="5EA27673" w14:textId="77777777">
        <w:trPr>
          <w:hidden/>
        </w:trPr>
        <w:tc>
          <w:tcPr>
            <w:tcW w:w="0" w:type="auto"/>
            <w:gridSpan w:val="3"/>
            <w:shd w:val="clear" w:color="auto" w:fill="auto"/>
          </w:tcPr>
          <w:p w14:paraId="5EA2766D" w14:textId="77777777" w:rsidR="003C66EB" w:rsidRDefault="003C66EB">
            <w:pPr>
              <w:rPr>
                <w:rFonts w:ascii="宋体"/>
                <w:vanish/>
              </w:rPr>
            </w:pPr>
          </w:p>
        </w:tc>
        <w:tc>
          <w:tcPr>
            <w:tcW w:w="0" w:type="auto"/>
            <w:gridSpan w:val="3"/>
            <w:shd w:val="clear" w:color="auto" w:fill="auto"/>
          </w:tcPr>
          <w:p w14:paraId="5EA2766E" w14:textId="77777777" w:rsidR="003C66EB" w:rsidRDefault="003C66EB">
            <w:pPr>
              <w:rPr>
                <w:rFonts w:ascii="宋体"/>
                <w:vanish/>
              </w:rPr>
            </w:pPr>
          </w:p>
        </w:tc>
        <w:tc>
          <w:tcPr>
            <w:tcW w:w="0" w:type="auto"/>
            <w:gridSpan w:val="3"/>
            <w:shd w:val="clear" w:color="auto" w:fill="auto"/>
          </w:tcPr>
          <w:p w14:paraId="5EA2766F" w14:textId="77777777" w:rsidR="003C66EB" w:rsidRDefault="003C66EB">
            <w:pPr>
              <w:rPr>
                <w:rFonts w:ascii="宋体"/>
                <w:vanish/>
              </w:rPr>
            </w:pPr>
          </w:p>
        </w:tc>
        <w:tc>
          <w:tcPr>
            <w:tcW w:w="0" w:type="auto"/>
            <w:gridSpan w:val="3"/>
            <w:shd w:val="clear" w:color="auto" w:fill="auto"/>
          </w:tcPr>
          <w:p w14:paraId="5EA27670" w14:textId="77777777" w:rsidR="003C66EB" w:rsidRDefault="003C66EB">
            <w:pPr>
              <w:rPr>
                <w:rFonts w:ascii="宋体"/>
                <w:vanish/>
              </w:rPr>
            </w:pPr>
          </w:p>
        </w:tc>
        <w:tc>
          <w:tcPr>
            <w:tcW w:w="0" w:type="auto"/>
            <w:gridSpan w:val="3"/>
            <w:shd w:val="clear" w:color="auto" w:fill="auto"/>
          </w:tcPr>
          <w:p w14:paraId="5EA27671" w14:textId="77777777" w:rsidR="003C66EB" w:rsidRDefault="003C66EB">
            <w:pPr>
              <w:rPr>
                <w:rFonts w:ascii="宋体"/>
                <w:vanish/>
              </w:rPr>
            </w:pPr>
          </w:p>
        </w:tc>
        <w:tc>
          <w:tcPr>
            <w:tcW w:w="0" w:type="auto"/>
            <w:gridSpan w:val="3"/>
            <w:shd w:val="clear" w:color="auto" w:fill="auto"/>
          </w:tcPr>
          <w:p w14:paraId="5EA27672" w14:textId="77777777" w:rsidR="003C66EB" w:rsidRDefault="003C66EB">
            <w:pPr>
              <w:rPr>
                <w:rFonts w:ascii="宋体"/>
                <w:vanish/>
              </w:rPr>
            </w:pPr>
          </w:p>
        </w:tc>
      </w:tr>
      <w:tr w:rsidR="003C66EB" w14:paraId="5EA2767A" w14:textId="77777777">
        <w:trPr>
          <w:hidden/>
        </w:trPr>
        <w:tc>
          <w:tcPr>
            <w:tcW w:w="0" w:type="auto"/>
            <w:gridSpan w:val="3"/>
            <w:shd w:val="clear" w:color="auto" w:fill="auto"/>
          </w:tcPr>
          <w:p w14:paraId="5EA27674" w14:textId="77777777" w:rsidR="003C66EB" w:rsidRDefault="003C66EB">
            <w:pPr>
              <w:rPr>
                <w:rFonts w:ascii="宋体"/>
                <w:vanish/>
              </w:rPr>
            </w:pPr>
          </w:p>
        </w:tc>
        <w:tc>
          <w:tcPr>
            <w:tcW w:w="0" w:type="auto"/>
            <w:gridSpan w:val="3"/>
            <w:shd w:val="clear" w:color="auto" w:fill="auto"/>
          </w:tcPr>
          <w:p w14:paraId="5EA27675" w14:textId="77777777" w:rsidR="003C66EB" w:rsidRDefault="003C66EB">
            <w:pPr>
              <w:rPr>
                <w:rFonts w:ascii="宋体"/>
                <w:vanish/>
              </w:rPr>
            </w:pPr>
          </w:p>
        </w:tc>
        <w:tc>
          <w:tcPr>
            <w:tcW w:w="0" w:type="auto"/>
            <w:gridSpan w:val="3"/>
            <w:shd w:val="clear" w:color="auto" w:fill="auto"/>
          </w:tcPr>
          <w:p w14:paraId="5EA27676" w14:textId="77777777" w:rsidR="003C66EB" w:rsidRDefault="003C66EB">
            <w:pPr>
              <w:rPr>
                <w:rFonts w:ascii="宋体"/>
                <w:vanish/>
              </w:rPr>
            </w:pPr>
          </w:p>
        </w:tc>
        <w:tc>
          <w:tcPr>
            <w:tcW w:w="0" w:type="auto"/>
            <w:gridSpan w:val="3"/>
            <w:shd w:val="clear" w:color="auto" w:fill="auto"/>
          </w:tcPr>
          <w:p w14:paraId="5EA27677" w14:textId="77777777" w:rsidR="003C66EB" w:rsidRDefault="003C66EB">
            <w:pPr>
              <w:rPr>
                <w:rFonts w:ascii="宋体"/>
                <w:vanish/>
              </w:rPr>
            </w:pPr>
          </w:p>
        </w:tc>
        <w:tc>
          <w:tcPr>
            <w:tcW w:w="0" w:type="auto"/>
            <w:gridSpan w:val="3"/>
            <w:shd w:val="clear" w:color="auto" w:fill="auto"/>
          </w:tcPr>
          <w:p w14:paraId="5EA27678" w14:textId="77777777" w:rsidR="003C66EB" w:rsidRDefault="003C66EB">
            <w:pPr>
              <w:rPr>
                <w:rFonts w:ascii="宋体"/>
                <w:vanish/>
              </w:rPr>
            </w:pPr>
          </w:p>
        </w:tc>
        <w:tc>
          <w:tcPr>
            <w:tcW w:w="0" w:type="auto"/>
            <w:gridSpan w:val="3"/>
            <w:shd w:val="clear" w:color="auto" w:fill="auto"/>
          </w:tcPr>
          <w:p w14:paraId="5EA27679" w14:textId="77777777" w:rsidR="003C66EB" w:rsidRDefault="003C66EB">
            <w:pPr>
              <w:rPr>
                <w:rFonts w:ascii="宋体"/>
                <w:vanish/>
              </w:rPr>
            </w:pPr>
          </w:p>
        </w:tc>
      </w:tr>
      <w:tr w:rsidR="003C66EB" w14:paraId="5EA27681" w14:textId="77777777">
        <w:trPr>
          <w:hidden/>
        </w:trPr>
        <w:tc>
          <w:tcPr>
            <w:tcW w:w="0" w:type="auto"/>
            <w:gridSpan w:val="3"/>
            <w:shd w:val="clear" w:color="auto" w:fill="auto"/>
          </w:tcPr>
          <w:p w14:paraId="5EA2767B" w14:textId="77777777" w:rsidR="003C66EB" w:rsidRDefault="003C66EB">
            <w:pPr>
              <w:rPr>
                <w:rFonts w:ascii="宋体"/>
                <w:vanish/>
              </w:rPr>
            </w:pPr>
          </w:p>
        </w:tc>
        <w:tc>
          <w:tcPr>
            <w:tcW w:w="0" w:type="auto"/>
            <w:gridSpan w:val="3"/>
            <w:shd w:val="clear" w:color="auto" w:fill="auto"/>
          </w:tcPr>
          <w:p w14:paraId="5EA2767C" w14:textId="77777777" w:rsidR="003C66EB" w:rsidRDefault="003C66EB">
            <w:pPr>
              <w:rPr>
                <w:rFonts w:ascii="宋体"/>
                <w:vanish/>
              </w:rPr>
            </w:pPr>
          </w:p>
        </w:tc>
        <w:tc>
          <w:tcPr>
            <w:tcW w:w="0" w:type="auto"/>
            <w:gridSpan w:val="3"/>
            <w:shd w:val="clear" w:color="auto" w:fill="auto"/>
          </w:tcPr>
          <w:p w14:paraId="5EA2767D" w14:textId="77777777" w:rsidR="003C66EB" w:rsidRDefault="003C66EB">
            <w:pPr>
              <w:rPr>
                <w:rFonts w:ascii="宋体"/>
                <w:vanish/>
              </w:rPr>
            </w:pPr>
          </w:p>
        </w:tc>
        <w:tc>
          <w:tcPr>
            <w:tcW w:w="0" w:type="auto"/>
            <w:gridSpan w:val="3"/>
            <w:shd w:val="clear" w:color="auto" w:fill="auto"/>
          </w:tcPr>
          <w:p w14:paraId="5EA2767E" w14:textId="77777777" w:rsidR="003C66EB" w:rsidRDefault="003C66EB">
            <w:pPr>
              <w:rPr>
                <w:rFonts w:ascii="宋体"/>
                <w:vanish/>
              </w:rPr>
            </w:pPr>
          </w:p>
        </w:tc>
        <w:tc>
          <w:tcPr>
            <w:tcW w:w="0" w:type="auto"/>
            <w:gridSpan w:val="3"/>
            <w:shd w:val="clear" w:color="auto" w:fill="auto"/>
          </w:tcPr>
          <w:p w14:paraId="5EA2767F" w14:textId="77777777" w:rsidR="003C66EB" w:rsidRDefault="003C66EB">
            <w:pPr>
              <w:rPr>
                <w:rFonts w:ascii="宋体"/>
                <w:vanish/>
              </w:rPr>
            </w:pPr>
          </w:p>
        </w:tc>
        <w:tc>
          <w:tcPr>
            <w:tcW w:w="0" w:type="auto"/>
            <w:gridSpan w:val="3"/>
            <w:shd w:val="clear" w:color="auto" w:fill="auto"/>
          </w:tcPr>
          <w:p w14:paraId="5EA27680" w14:textId="77777777" w:rsidR="003C66EB" w:rsidRDefault="003C66EB">
            <w:pPr>
              <w:rPr>
                <w:rFonts w:ascii="宋体"/>
                <w:vanish/>
              </w:rPr>
            </w:pPr>
          </w:p>
        </w:tc>
      </w:tr>
      <w:tr w:rsidR="003C66EB" w14:paraId="5EA27688" w14:textId="77777777">
        <w:trPr>
          <w:hidden/>
        </w:trPr>
        <w:tc>
          <w:tcPr>
            <w:tcW w:w="0" w:type="auto"/>
            <w:gridSpan w:val="3"/>
            <w:shd w:val="clear" w:color="auto" w:fill="auto"/>
          </w:tcPr>
          <w:p w14:paraId="5EA27682" w14:textId="77777777" w:rsidR="003C66EB" w:rsidRDefault="003C66EB">
            <w:pPr>
              <w:rPr>
                <w:rFonts w:ascii="宋体"/>
                <w:vanish/>
              </w:rPr>
            </w:pPr>
          </w:p>
        </w:tc>
        <w:tc>
          <w:tcPr>
            <w:tcW w:w="0" w:type="auto"/>
            <w:gridSpan w:val="3"/>
            <w:shd w:val="clear" w:color="auto" w:fill="auto"/>
          </w:tcPr>
          <w:p w14:paraId="5EA27683" w14:textId="77777777" w:rsidR="003C66EB" w:rsidRDefault="003C66EB">
            <w:pPr>
              <w:rPr>
                <w:rFonts w:ascii="宋体"/>
                <w:vanish/>
              </w:rPr>
            </w:pPr>
          </w:p>
        </w:tc>
        <w:tc>
          <w:tcPr>
            <w:tcW w:w="0" w:type="auto"/>
            <w:gridSpan w:val="3"/>
            <w:shd w:val="clear" w:color="auto" w:fill="auto"/>
          </w:tcPr>
          <w:p w14:paraId="5EA27684" w14:textId="77777777" w:rsidR="003C66EB" w:rsidRDefault="003C66EB">
            <w:pPr>
              <w:rPr>
                <w:rFonts w:ascii="宋体"/>
                <w:vanish/>
              </w:rPr>
            </w:pPr>
          </w:p>
        </w:tc>
        <w:tc>
          <w:tcPr>
            <w:tcW w:w="0" w:type="auto"/>
            <w:gridSpan w:val="3"/>
            <w:shd w:val="clear" w:color="auto" w:fill="auto"/>
          </w:tcPr>
          <w:p w14:paraId="5EA27685" w14:textId="77777777" w:rsidR="003C66EB" w:rsidRDefault="003C66EB">
            <w:pPr>
              <w:rPr>
                <w:rFonts w:ascii="宋体"/>
                <w:vanish/>
              </w:rPr>
            </w:pPr>
          </w:p>
        </w:tc>
        <w:tc>
          <w:tcPr>
            <w:tcW w:w="0" w:type="auto"/>
            <w:gridSpan w:val="3"/>
            <w:shd w:val="clear" w:color="auto" w:fill="auto"/>
          </w:tcPr>
          <w:p w14:paraId="5EA27686" w14:textId="77777777" w:rsidR="003C66EB" w:rsidRDefault="003C66EB">
            <w:pPr>
              <w:rPr>
                <w:rFonts w:ascii="宋体"/>
                <w:vanish/>
              </w:rPr>
            </w:pPr>
          </w:p>
        </w:tc>
        <w:tc>
          <w:tcPr>
            <w:tcW w:w="0" w:type="auto"/>
            <w:gridSpan w:val="3"/>
            <w:shd w:val="clear" w:color="auto" w:fill="auto"/>
          </w:tcPr>
          <w:p w14:paraId="5EA27687" w14:textId="77777777" w:rsidR="003C66EB" w:rsidRDefault="003C66EB">
            <w:pPr>
              <w:rPr>
                <w:rFonts w:ascii="宋体"/>
                <w:vanish/>
              </w:rPr>
            </w:pPr>
          </w:p>
        </w:tc>
      </w:tr>
      <w:tr w:rsidR="003C66EB" w14:paraId="5EA2768F" w14:textId="77777777">
        <w:trPr>
          <w:hidden/>
        </w:trPr>
        <w:tc>
          <w:tcPr>
            <w:tcW w:w="0" w:type="auto"/>
            <w:gridSpan w:val="3"/>
            <w:shd w:val="clear" w:color="auto" w:fill="auto"/>
          </w:tcPr>
          <w:p w14:paraId="5EA27689" w14:textId="77777777" w:rsidR="003C66EB" w:rsidRDefault="003C66EB">
            <w:pPr>
              <w:rPr>
                <w:rFonts w:ascii="宋体"/>
                <w:vanish/>
              </w:rPr>
            </w:pPr>
          </w:p>
        </w:tc>
        <w:tc>
          <w:tcPr>
            <w:tcW w:w="0" w:type="auto"/>
            <w:gridSpan w:val="3"/>
            <w:shd w:val="clear" w:color="auto" w:fill="auto"/>
          </w:tcPr>
          <w:p w14:paraId="5EA2768A" w14:textId="77777777" w:rsidR="003C66EB" w:rsidRDefault="003C66EB">
            <w:pPr>
              <w:rPr>
                <w:rFonts w:ascii="宋体"/>
                <w:vanish/>
              </w:rPr>
            </w:pPr>
          </w:p>
        </w:tc>
        <w:tc>
          <w:tcPr>
            <w:tcW w:w="0" w:type="auto"/>
            <w:gridSpan w:val="3"/>
            <w:shd w:val="clear" w:color="auto" w:fill="auto"/>
          </w:tcPr>
          <w:p w14:paraId="5EA2768B" w14:textId="77777777" w:rsidR="003C66EB" w:rsidRDefault="003C66EB">
            <w:pPr>
              <w:rPr>
                <w:rFonts w:ascii="宋体"/>
                <w:vanish/>
              </w:rPr>
            </w:pPr>
          </w:p>
        </w:tc>
        <w:tc>
          <w:tcPr>
            <w:tcW w:w="0" w:type="auto"/>
            <w:gridSpan w:val="3"/>
            <w:shd w:val="clear" w:color="auto" w:fill="auto"/>
          </w:tcPr>
          <w:p w14:paraId="5EA2768C" w14:textId="77777777" w:rsidR="003C66EB" w:rsidRDefault="003C66EB">
            <w:pPr>
              <w:rPr>
                <w:rFonts w:ascii="宋体"/>
                <w:vanish/>
              </w:rPr>
            </w:pPr>
          </w:p>
        </w:tc>
        <w:tc>
          <w:tcPr>
            <w:tcW w:w="0" w:type="auto"/>
            <w:gridSpan w:val="3"/>
            <w:shd w:val="clear" w:color="auto" w:fill="auto"/>
          </w:tcPr>
          <w:p w14:paraId="5EA2768D" w14:textId="77777777" w:rsidR="003C66EB" w:rsidRDefault="003C66EB">
            <w:pPr>
              <w:rPr>
                <w:rFonts w:ascii="宋体"/>
                <w:vanish/>
              </w:rPr>
            </w:pPr>
          </w:p>
        </w:tc>
        <w:tc>
          <w:tcPr>
            <w:tcW w:w="0" w:type="auto"/>
            <w:gridSpan w:val="3"/>
            <w:shd w:val="clear" w:color="auto" w:fill="auto"/>
          </w:tcPr>
          <w:p w14:paraId="5EA2768E" w14:textId="77777777" w:rsidR="003C66EB" w:rsidRDefault="003C66EB">
            <w:pPr>
              <w:rPr>
                <w:rFonts w:ascii="宋体"/>
                <w:vanish/>
              </w:rPr>
            </w:pPr>
          </w:p>
        </w:tc>
      </w:tr>
      <w:tr w:rsidR="003C66EB" w14:paraId="5EA27696" w14:textId="77777777">
        <w:trPr>
          <w:hidden/>
        </w:trPr>
        <w:tc>
          <w:tcPr>
            <w:tcW w:w="0" w:type="auto"/>
            <w:gridSpan w:val="3"/>
            <w:shd w:val="clear" w:color="auto" w:fill="auto"/>
          </w:tcPr>
          <w:p w14:paraId="5EA27690" w14:textId="77777777" w:rsidR="003C66EB" w:rsidRDefault="003C66EB">
            <w:pPr>
              <w:rPr>
                <w:rFonts w:ascii="宋体"/>
                <w:vanish/>
              </w:rPr>
            </w:pPr>
          </w:p>
        </w:tc>
        <w:tc>
          <w:tcPr>
            <w:tcW w:w="0" w:type="auto"/>
            <w:gridSpan w:val="3"/>
            <w:shd w:val="clear" w:color="auto" w:fill="auto"/>
          </w:tcPr>
          <w:p w14:paraId="5EA27691" w14:textId="77777777" w:rsidR="003C66EB" w:rsidRDefault="003C66EB">
            <w:pPr>
              <w:rPr>
                <w:rFonts w:ascii="宋体"/>
                <w:vanish/>
              </w:rPr>
            </w:pPr>
          </w:p>
        </w:tc>
        <w:tc>
          <w:tcPr>
            <w:tcW w:w="0" w:type="auto"/>
            <w:gridSpan w:val="3"/>
            <w:shd w:val="clear" w:color="auto" w:fill="auto"/>
          </w:tcPr>
          <w:p w14:paraId="5EA27692" w14:textId="77777777" w:rsidR="003C66EB" w:rsidRDefault="003C66EB">
            <w:pPr>
              <w:rPr>
                <w:rFonts w:ascii="宋体"/>
                <w:vanish/>
              </w:rPr>
            </w:pPr>
          </w:p>
        </w:tc>
        <w:tc>
          <w:tcPr>
            <w:tcW w:w="0" w:type="auto"/>
            <w:gridSpan w:val="3"/>
            <w:shd w:val="clear" w:color="auto" w:fill="auto"/>
          </w:tcPr>
          <w:p w14:paraId="5EA27693" w14:textId="77777777" w:rsidR="003C66EB" w:rsidRDefault="003C66EB">
            <w:pPr>
              <w:rPr>
                <w:rFonts w:ascii="宋体"/>
                <w:vanish/>
              </w:rPr>
            </w:pPr>
          </w:p>
        </w:tc>
        <w:tc>
          <w:tcPr>
            <w:tcW w:w="0" w:type="auto"/>
            <w:gridSpan w:val="3"/>
            <w:shd w:val="clear" w:color="auto" w:fill="auto"/>
          </w:tcPr>
          <w:p w14:paraId="5EA27694" w14:textId="77777777" w:rsidR="003C66EB" w:rsidRDefault="003C66EB">
            <w:pPr>
              <w:rPr>
                <w:rFonts w:ascii="宋体"/>
                <w:vanish/>
              </w:rPr>
            </w:pPr>
          </w:p>
        </w:tc>
        <w:tc>
          <w:tcPr>
            <w:tcW w:w="0" w:type="auto"/>
            <w:gridSpan w:val="3"/>
            <w:shd w:val="clear" w:color="auto" w:fill="auto"/>
          </w:tcPr>
          <w:p w14:paraId="5EA27695" w14:textId="77777777" w:rsidR="003C66EB" w:rsidRDefault="003C66EB">
            <w:pPr>
              <w:rPr>
                <w:rFonts w:ascii="宋体"/>
                <w:vanish/>
              </w:rPr>
            </w:pPr>
          </w:p>
        </w:tc>
      </w:tr>
      <w:tr w:rsidR="003C66EB" w14:paraId="5EA2769D" w14:textId="77777777">
        <w:trPr>
          <w:hidden/>
        </w:trPr>
        <w:tc>
          <w:tcPr>
            <w:tcW w:w="0" w:type="auto"/>
            <w:gridSpan w:val="3"/>
            <w:shd w:val="clear" w:color="auto" w:fill="auto"/>
          </w:tcPr>
          <w:p w14:paraId="5EA27697" w14:textId="77777777" w:rsidR="003C66EB" w:rsidRDefault="003C66EB">
            <w:pPr>
              <w:rPr>
                <w:rFonts w:ascii="宋体"/>
                <w:vanish/>
              </w:rPr>
            </w:pPr>
          </w:p>
        </w:tc>
        <w:tc>
          <w:tcPr>
            <w:tcW w:w="0" w:type="auto"/>
            <w:gridSpan w:val="3"/>
            <w:shd w:val="clear" w:color="auto" w:fill="auto"/>
          </w:tcPr>
          <w:p w14:paraId="5EA27698" w14:textId="77777777" w:rsidR="003C66EB" w:rsidRDefault="003C66EB">
            <w:pPr>
              <w:rPr>
                <w:rFonts w:ascii="宋体"/>
                <w:vanish/>
              </w:rPr>
            </w:pPr>
          </w:p>
        </w:tc>
        <w:tc>
          <w:tcPr>
            <w:tcW w:w="0" w:type="auto"/>
            <w:gridSpan w:val="3"/>
            <w:shd w:val="clear" w:color="auto" w:fill="auto"/>
          </w:tcPr>
          <w:p w14:paraId="5EA27699" w14:textId="77777777" w:rsidR="003C66EB" w:rsidRDefault="003C66EB">
            <w:pPr>
              <w:rPr>
                <w:rFonts w:ascii="宋体"/>
                <w:vanish/>
              </w:rPr>
            </w:pPr>
          </w:p>
        </w:tc>
        <w:tc>
          <w:tcPr>
            <w:tcW w:w="0" w:type="auto"/>
            <w:gridSpan w:val="3"/>
            <w:shd w:val="clear" w:color="auto" w:fill="auto"/>
          </w:tcPr>
          <w:p w14:paraId="5EA2769A" w14:textId="77777777" w:rsidR="003C66EB" w:rsidRDefault="003C66EB">
            <w:pPr>
              <w:rPr>
                <w:rFonts w:ascii="宋体"/>
                <w:vanish/>
              </w:rPr>
            </w:pPr>
          </w:p>
        </w:tc>
        <w:tc>
          <w:tcPr>
            <w:tcW w:w="0" w:type="auto"/>
            <w:gridSpan w:val="3"/>
            <w:shd w:val="clear" w:color="auto" w:fill="auto"/>
          </w:tcPr>
          <w:p w14:paraId="5EA2769B" w14:textId="77777777" w:rsidR="003C66EB" w:rsidRDefault="003C66EB">
            <w:pPr>
              <w:rPr>
                <w:rFonts w:ascii="宋体"/>
                <w:vanish/>
              </w:rPr>
            </w:pPr>
          </w:p>
        </w:tc>
        <w:tc>
          <w:tcPr>
            <w:tcW w:w="0" w:type="auto"/>
            <w:gridSpan w:val="3"/>
            <w:shd w:val="clear" w:color="auto" w:fill="auto"/>
          </w:tcPr>
          <w:p w14:paraId="5EA2769C" w14:textId="77777777" w:rsidR="003C66EB" w:rsidRDefault="003C66EB">
            <w:pPr>
              <w:rPr>
                <w:rFonts w:ascii="宋体"/>
                <w:vanish/>
              </w:rPr>
            </w:pPr>
          </w:p>
        </w:tc>
      </w:tr>
      <w:tr w:rsidR="003C66EB" w14:paraId="5EA276A4" w14:textId="77777777">
        <w:trPr>
          <w:hidden/>
        </w:trPr>
        <w:tc>
          <w:tcPr>
            <w:tcW w:w="0" w:type="auto"/>
            <w:gridSpan w:val="3"/>
            <w:shd w:val="clear" w:color="auto" w:fill="auto"/>
          </w:tcPr>
          <w:p w14:paraId="5EA2769E" w14:textId="77777777" w:rsidR="003C66EB" w:rsidRDefault="003C66EB">
            <w:pPr>
              <w:rPr>
                <w:rFonts w:ascii="宋体"/>
                <w:vanish/>
              </w:rPr>
            </w:pPr>
          </w:p>
        </w:tc>
        <w:tc>
          <w:tcPr>
            <w:tcW w:w="0" w:type="auto"/>
            <w:gridSpan w:val="3"/>
            <w:shd w:val="clear" w:color="auto" w:fill="auto"/>
          </w:tcPr>
          <w:p w14:paraId="5EA2769F" w14:textId="77777777" w:rsidR="003C66EB" w:rsidRDefault="003C66EB">
            <w:pPr>
              <w:rPr>
                <w:rFonts w:ascii="宋体"/>
                <w:vanish/>
              </w:rPr>
            </w:pPr>
          </w:p>
        </w:tc>
        <w:tc>
          <w:tcPr>
            <w:tcW w:w="0" w:type="auto"/>
            <w:gridSpan w:val="3"/>
            <w:shd w:val="clear" w:color="auto" w:fill="auto"/>
          </w:tcPr>
          <w:p w14:paraId="5EA276A0" w14:textId="77777777" w:rsidR="003C66EB" w:rsidRDefault="003C66EB">
            <w:pPr>
              <w:rPr>
                <w:rFonts w:ascii="宋体"/>
                <w:vanish/>
              </w:rPr>
            </w:pPr>
          </w:p>
        </w:tc>
        <w:tc>
          <w:tcPr>
            <w:tcW w:w="0" w:type="auto"/>
            <w:gridSpan w:val="3"/>
            <w:shd w:val="clear" w:color="auto" w:fill="auto"/>
          </w:tcPr>
          <w:p w14:paraId="5EA276A1" w14:textId="77777777" w:rsidR="003C66EB" w:rsidRDefault="003C66EB">
            <w:pPr>
              <w:rPr>
                <w:rFonts w:ascii="宋体"/>
                <w:vanish/>
              </w:rPr>
            </w:pPr>
          </w:p>
        </w:tc>
        <w:tc>
          <w:tcPr>
            <w:tcW w:w="0" w:type="auto"/>
            <w:gridSpan w:val="3"/>
            <w:shd w:val="clear" w:color="auto" w:fill="auto"/>
          </w:tcPr>
          <w:p w14:paraId="5EA276A2" w14:textId="77777777" w:rsidR="003C66EB" w:rsidRDefault="003C66EB">
            <w:pPr>
              <w:rPr>
                <w:rFonts w:ascii="宋体"/>
                <w:vanish/>
              </w:rPr>
            </w:pPr>
          </w:p>
        </w:tc>
        <w:tc>
          <w:tcPr>
            <w:tcW w:w="0" w:type="auto"/>
            <w:gridSpan w:val="3"/>
            <w:shd w:val="clear" w:color="auto" w:fill="auto"/>
          </w:tcPr>
          <w:p w14:paraId="5EA276A3" w14:textId="77777777" w:rsidR="003C66EB" w:rsidRDefault="003C66EB">
            <w:pPr>
              <w:rPr>
                <w:rFonts w:ascii="宋体"/>
                <w:vanish/>
              </w:rPr>
            </w:pPr>
          </w:p>
        </w:tc>
      </w:tr>
    </w:tbl>
    <w:p w14:paraId="5EA276A5"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57"/>
        <w:gridCol w:w="36"/>
        <w:gridCol w:w="70"/>
        <w:gridCol w:w="4168"/>
        <w:gridCol w:w="36"/>
      </w:tblGrid>
      <w:tr w:rsidR="003C66EB" w14:paraId="5EA276AC" w14:textId="77777777">
        <w:tc>
          <w:tcPr>
            <w:tcW w:w="50" w:type="pct"/>
            <w:shd w:val="clear" w:color="auto" w:fill="auto"/>
          </w:tcPr>
          <w:p w14:paraId="5EA276A6" w14:textId="77777777" w:rsidR="003C66EB" w:rsidRDefault="003C66EB">
            <w:pPr>
              <w:rPr>
                <w:rFonts w:ascii="宋体"/>
              </w:rPr>
            </w:pPr>
          </w:p>
        </w:tc>
        <w:tc>
          <w:tcPr>
            <w:tcW w:w="2382" w:type="pct"/>
            <w:shd w:val="clear" w:color="auto" w:fill="auto"/>
          </w:tcPr>
          <w:p w14:paraId="5EA276A7" w14:textId="77777777" w:rsidR="003C66EB" w:rsidRDefault="003C66EB">
            <w:pPr>
              <w:rPr>
                <w:rFonts w:ascii="宋体"/>
              </w:rPr>
            </w:pPr>
          </w:p>
        </w:tc>
        <w:tc>
          <w:tcPr>
            <w:tcW w:w="5" w:type="pct"/>
            <w:shd w:val="clear" w:color="auto" w:fill="auto"/>
          </w:tcPr>
          <w:p w14:paraId="5EA276A8" w14:textId="77777777" w:rsidR="003C66EB" w:rsidRDefault="003C66EB">
            <w:pPr>
              <w:rPr>
                <w:rFonts w:ascii="宋体"/>
              </w:rPr>
            </w:pPr>
          </w:p>
        </w:tc>
        <w:tc>
          <w:tcPr>
            <w:tcW w:w="50" w:type="pct"/>
            <w:shd w:val="clear" w:color="auto" w:fill="auto"/>
          </w:tcPr>
          <w:p w14:paraId="5EA276A9" w14:textId="77777777" w:rsidR="003C66EB" w:rsidRDefault="003C66EB">
            <w:pPr>
              <w:rPr>
                <w:rFonts w:ascii="宋体"/>
              </w:rPr>
            </w:pPr>
          </w:p>
        </w:tc>
        <w:tc>
          <w:tcPr>
            <w:tcW w:w="2507" w:type="pct"/>
            <w:shd w:val="clear" w:color="auto" w:fill="auto"/>
          </w:tcPr>
          <w:p w14:paraId="5EA276AA" w14:textId="77777777" w:rsidR="003C66EB" w:rsidRDefault="003C66EB">
            <w:pPr>
              <w:rPr>
                <w:rFonts w:ascii="宋体"/>
              </w:rPr>
            </w:pPr>
          </w:p>
        </w:tc>
        <w:tc>
          <w:tcPr>
            <w:tcW w:w="5" w:type="pct"/>
            <w:shd w:val="clear" w:color="auto" w:fill="auto"/>
          </w:tcPr>
          <w:p w14:paraId="5EA276AB" w14:textId="77777777" w:rsidR="003C66EB" w:rsidRDefault="003C66EB">
            <w:pPr>
              <w:rPr>
                <w:rFonts w:ascii="宋体"/>
              </w:rPr>
            </w:pPr>
          </w:p>
        </w:tc>
      </w:tr>
      <w:tr w:rsidR="003C66EB" w14:paraId="5EA276A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76A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6AE" w14:textId="77777777" w:rsidR="003C66EB" w:rsidRDefault="003C66EB">
            <w:pPr>
              <w:rPr>
                <w:rFonts w:ascii="宋体"/>
              </w:rPr>
            </w:pPr>
          </w:p>
        </w:tc>
      </w:tr>
      <w:tr w:rsidR="003C66EB" w14:paraId="5EA276B2" w14:textId="77777777">
        <w:trPr>
          <w:hidden/>
        </w:trPr>
        <w:tc>
          <w:tcPr>
            <w:tcW w:w="0" w:type="auto"/>
            <w:gridSpan w:val="3"/>
            <w:shd w:val="clear" w:color="auto" w:fill="auto"/>
          </w:tcPr>
          <w:p w14:paraId="5EA276B0" w14:textId="77777777" w:rsidR="003C66EB" w:rsidRDefault="003C66EB">
            <w:pPr>
              <w:rPr>
                <w:rFonts w:ascii="宋体"/>
                <w:vanish/>
              </w:rPr>
            </w:pPr>
          </w:p>
        </w:tc>
        <w:tc>
          <w:tcPr>
            <w:tcW w:w="0" w:type="auto"/>
            <w:gridSpan w:val="3"/>
            <w:shd w:val="clear" w:color="auto" w:fill="auto"/>
          </w:tcPr>
          <w:p w14:paraId="5EA276B1" w14:textId="77777777" w:rsidR="003C66EB" w:rsidRDefault="003C66EB">
            <w:pPr>
              <w:rPr>
                <w:rFonts w:ascii="宋体"/>
                <w:vanish/>
              </w:rPr>
            </w:pPr>
          </w:p>
        </w:tc>
      </w:tr>
    </w:tbl>
    <w:p w14:paraId="5EA276B3" w14:textId="77777777" w:rsidR="003C66EB" w:rsidRDefault="00D96C4E">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Represents the portion of net income available to common equity allocated to participating securities, composed of unvested and fully vested SERP (Supplemental executive retirement plans) shares and fully vested deferred director stock awards, which ar</w:t>
      </w:r>
      <w:r>
        <w:rPr>
          <w:rFonts w:ascii="Arial" w:eastAsia="宋体" w:hAnsi="Arial" w:cs="Arial"/>
          <w:color w:val="000000"/>
          <w:sz w:val="12"/>
          <w:szCs w:val="12"/>
        </w:rPr>
        <w:t>e equity-based awards that contain non-forfeitable rights to dividends, and are considered to participate with the common stock in undistributed earnings.</w:t>
      </w:r>
    </w:p>
    <w:p w14:paraId="5EA276B4" w14:textId="77777777" w:rsidR="003C66EB" w:rsidRDefault="00D96C4E">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equity-based awards outstanding but not included in the computation of diluted </w:t>
      </w:r>
      <w:r>
        <w:rPr>
          <w:rFonts w:ascii="Arial" w:eastAsia="宋体" w:hAnsi="Arial" w:cs="Arial"/>
          <w:color w:val="000000"/>
          <w:sz w:val="12"/>
          <w:szCs w:val="12"/>
        </w:rPr>
        <w:t>average common shares, because their effect was anti-dilutive. Additional information about equity-based awards is provided on pages 176 and 177 in Note 18 to the consolidated financial statements included under Item 8, Financial Statements and Supplementa</w:t>
      </w:r>
      <w:r>
        <w:rPr>
          <w:rFonts w:ascii="Arial" w:eastAsia="宋体" w:hAnsi="Arial" w:cs="Arial"/>
          <w:color w:val="000000"/>
          <w:sz w:val="12"/>
          <w:szCs w:val="12"/>
        </w:rPr>
        <w:t>ry Data, in our 2020 Form 10-K.</w:t>
      </w:r>
    </w:p>
    <w:p w14:paraId="5EA276B5" w14:textId="77777777" w:rsidR="003C66EB" w:rsidRDefault="00D96C4E">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Calculations reflect allocation of earnings to participating securities using the two-class method, as this computation is more dilutive than the treasury stock method.</w:t>
      </w:r>
    </w:p>
    <w:p w14:paraId="5EA276B6" w14:textId="77777777" w:rsidR="003C66EB" w:rsidRDefault="00D96C4E">
      <w:pPr>
        <w:ind w:firstLine="450"/>
        <w:jc w:val="right"/>
      </w:pPr>
      <w:r>
        <w:rPr>
          <w:rFonts w:ascii="Arial" w:eastAsia="宋体" w:hAnsi="Arial" w:cs="Arial"/>
          <w:color w:val="000000"/>
          <w:sz w:val="18"/>
          <w:szCs w:val="18"/>
        </w:rPr>
        <w:t>State Street Corporation | 82</w:t>
      </w:r>
    </w:p>
    <w:p w14:paraId="5EA276B7" w14:textId="77777777" w:rsidR="003C66EB" w:rsidRDefault="003C66EB">
      <w:pPr>
        <w:ind w:firstLine="450"/>
        <w:jc w:val="center"/>
      </w:pPr>
    </w:p>
    <w:p w14:paraId="5EA276B8" w14:textId="77777777" w:rsidR="003C66EB" w:rsidRDefault="00D96C4E">
      <w:r>
        <w:pict w14:anchorId="5EA28802">
          <v:rect id="_x0000_i1106" style="width:415.3pt;height:1.5pt" o:hralign="center" o:hrstd="t" o:hr="t" fillcolor="#a0a0a0" stroked="f"/>
        </w:pict>
      </w:r>
    </w:p>
    <w:p w14:paraId="5EA276B9" w14:textId="77777777" w:rsidR="003C66EB" w:rsidRDefault="00D96C4E">
      <w:pPr>
        <w:ind w:firstLine="450"/>
        <w:jc w:val="center"/>
      </w:pPr>
      <w:r>
        <w:rPr>
          <w:rFonts w:ascii="Arial" w:eastAsia="宋体" w:hAnsi="Arial" w:cs="Arial"/>
          <w:b/>
          <w:bCs/>
          <w:color w:val="000000"/>
          <w:sz w:val="20"/>
          <w:szCs w:val="20"/>
        </w:rPr>
        <w:t>STATE STREET CORPO</w:t>
      </w:r>
      <w:r>
        <w:rPr>
          <w:rFonts w:ascii="Arial" w:eastAsia="宋体" w:hAnsi="Arial" w:cs="Arial"/>
          <w:b/>
          <w:bCs/>
          <w:color w:val="000000"/>
          <w:sz w:val="20"/>
          <w:szCs w:val="20"/>
        </w:rPr>
        <w:t>RATION</w:t>
      </w:r>
    </w:p>
    <w:p w14:paraId="5EA276BA"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76BB" w14:textId="77777777" w:rsidR="003C66EB" w:rsidRDefault="00D96C4E">
      <w:pPr>
        <w:ind w:firstLine="450"/>
        <w:jc w:val="center"/>
      </w:pPr>
      <w:r>
        <w:rPr>
          <w:rFonts w:ascii="Arial" w:eastAsia="宋体" w:hAnsi="Arial" w:cs="Arial"/>
          <w:b/>
          <w:bCs/>
          <w:color w:val="000000"/>
          <w:sz w:val="20"/>
          <w:szCs w:val="20"/>
        </w:rPr>
        <w:t>(UNAUDITED)</w:t>
      </w:r>
    </w:p>
    <w:p w14:paraId="5EA276BC" w14:textId="77777777" w:rsidR="003C66EB" w:rsidRDefault="00D96C4E">
      <w:pPr>
        <w:spacing w:before="90"/>
        <w:jc w:val="both"/>
      </w:pPr>
      <w:r>
        <w:rPr>
          <w:rFonts w:ascii="Arial" w:eastAsia="宋体" w:hAnsi="Arial" w:cs="Arial"/>
          <w:b/>
          <w:bCs/>
          <w:color w:val="000000"/>
          <w:sz w:val="20"/>
          <w:szCs w:val="20"/>
        </w:rPr>
        <w:t>Note 17. Line of Business Information</w:t>
      </w:r>
    </w:p>
    <w:p w14:paraId="5EA276BD" w14:textId="77777777" w:rsidR="003C66EB" w:rsidRDefault="00D96C4E">
      <w:pPr>
        <w:spacing w:before="60"/>
        <w:ind w:firstLine="450"/>
        <w:jc w:val="both"/>
      </w:pPr>
      <w:r>
        <w:rPr>
          <w:rFonts w:ascii="Arial" w:eastAsia="宋体" w:hAnsi="Arial" w:cs="Arial"/>
          <w:color w:val="000000"/>
          <w:sz w:val="20"/>
          <w:szCs w:val="20"/>
        </w:rPr>
        <w:t>Our operations are organized into two lines of business: Investment Servicing and Investment Management, which are defined based on products and s</w:t>
      </w:r>
      <w:r>
        <w:rPr>
          <w:rFonts w:ascii="Arial" w:eastAsia="宋体" w:hAnsi="Arial" w:cs="Arial"/>
          <w:color w:val="000000"/>
          <w:sz w:val="20"/>
          <w:szCs w:val="20"/>
        </w:rPr>
        <w:t>ervices provided. The results of operations for these lines of business are not necessarily comparable with those of other companies, including companies in the financial services industry. For information about our two lines of business, as well as revenu</w:t>
      </w:r>
      <w:r>
        <w:rPr>
          <w:rFonts w:ascii="Arial" w:eastAsia="宋体" w:hAnsi="Arial" w:cs="Arial"/>
          <w:color w:val="000000"/>
          <w:sz w:val="20"/>
          <w:szCs w:val="20"/>
        </w:rPr>
        <w:t>es, expenses and capital allocation methodologies associated with them, refer to pages 182 to 183 in Note 24 to the consolidated financial statements included under Item 8, Financial Statements and Supplementary Data, in our 2020 Form 10-K.</w:t>
      </w:r>
    </w:p>
    <w:p w14:paraId="5EA276BE" w14:textId="77777777" w:rsidR="003C66EB" w:rsidRDefault="00D96C4E">
      <w:pPr>
        <w:spacing w:before="60"/>
        <w:ind w:firstLine="450"/>
        <w:jc w:val="both"/>
      </w:pPr>
      <w:r>
        <w:rPr>
          <w:rFonts w:ascii="Arial" w:eastAsia="宋体" w:hAnsi="Arial" w:cs="Arial"/>
          <w:color w:val="000000"/>
          <w:sz w:val="20"/>
          <w:szCs w:val="20"/>
        </w:rPr>
        <w:t>The following i</w:t>
      </w:r>
      <w:r>
        <w:rPr>
          <w:rFonts w:ascii="Arial" w:eastAsia="宋体" w:hAnsi="Arial" w:cs="Arial"/>
          <w:color w:val="000000"/>
          <w:sz w:val="20"/>
          <w:szCs w:val="20"/>
        </w:rPr>
        <w:t>s a summary of our line of business results for the periods indicated. The "Other" columns represent costs incurred that are not allocated to a specific line of business, certain employee costs, including certain severance and restructuring costs, acquisit</w:t>
      </w:r>
      <w:r>
        <w:rPr>
          <w:rFonts w:ascii="Arial" w:eastAsia="宋体" w:hAnsi="Arial" w:cs="Arial"/>
          <w:color w:val="000000"/>
          <w:sz w:val="20"/>
          <w:szCs w:val="20"/>
        </w:rPr>
        <w:t>ion costs and certain provisions for legal contingencies.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170"/>
        <w:gridCol w:w="37"/>
        <w:gridCol w:w="93"/>
        <w:gridCol w:w="477"/>
        <w:gridCol w:w="136"/>
        <w:gridCol w:w="36"/>
        <w:gridCol w:w="36"/>
        <w:gridCol w:w="36"/>
        <w:gridCol w:w="93"/>
        <w:gridCol w:w="388"/>
        <w:gridCol w:w="136"/>
        <w:gridCol w:w="36"/>
        <w:gridCol w:w="36"/>
        <w:gridCol w:w="36"/>
        <w:gridCol w:w="36"/>
        <w:gridCol w:w="36"/>
        <w:gridCol w:w="36"/>
        <w:gridCol w:w="36"/>
        <w:gridCol w:w="36"/>
        <w:gridCol w:w="36"/>
        <w:gridCol w:w="93"/>
        <w:gridCol w:w="388"/>
        <w:gridCol w:w="136"/>
        <w:gridCol w:w="36"/>
        <w:gridCol w:w="36"/>
        <w:gridCol w:w="36"/>
        <w:gridCol w:w="93"/>
        <w:gridCol w:w="388"/>
        <w:gridCol w:w="136"/>
        <w:gridCol w:w="36"/>
        <w:gridCol w:w="36"/>
        <w:gridCol w:w="36"/>
        <w:gridCol w:w="36"/>
        <w:gridCol w:w="36"/>
        <w:gridCol w:w="36"/>
        <w:gridCol w:w="36"/>
        <w:gridCol w:w="36"/>
        <w:gridCol w:w="36"/>
        <w:gridCol w:w="93"/>
        <w:gridCol w:w="388"/>
        <w:gridCol w:w="36"/>
        <w:gridCol w:w="36"/>
        <w:gridCol w:w="36"/>
        <w:gridCol w:w="36"/>
        <w:gridCol w:w="93"/>
        <w:gridCol w:w="388"/>
        <w:gridCol w:w="36"/>
        <w:gridCol w:w="37"/>
        <w:gridCol w:w="37"/>
        <w:gridCol w:w="36"/>
        <w:gridCol w:w="58"/>
        <w:gridCol w:w="58"/>
        <w:gridCol w:w="58"/>
        <w:gridCol w:w="58"/>
        <w:gridCol w:w="58"/>
        <w:gridCol w:w="58"/>
        <w:gridCol w:w="93"/>
        <w:gridCol w:w="387"/>
        <w:gridCol w:w="136"/>
        <w:gridCol w:w="36"/>
        <w:gridCol w:w="36"/>
        <w:gridCol w:w="382"/>
      </w:tblGrid>
      <w:tr w:rsidR="003C66EB" w14:paraId="5EA276F2" w14:textId="77777777">
        <w:tc>
          <w:tcPr>
            <w:tcW w:w="50" w:type="pct"/>
            <w:shd w:val="clear" w:color="auto" w:fill="auto"/>
          </w:tcPr>
          <w:p w14:paraId="5EA276BF" w14:textId="77777777" w:rsidR="003C66EB" w:rsidRDefault="003C66EB">
            <w:pPr>
              <w:rPr>
                <w:rFonts w:ascii="宋体"/>
              </w:rPr>
            </w:pPr>
          </w:p>
        </w:tc>
        <w:tc>
          <w:tcPr>
            <w:tcW w:w="1414" w:type="pct"/>
            <w:shd w:val="clear" w:color="auto" w:fill="auto"/>
          </w:tcPr>
          <w:p w14:paraId="5EA276C0" w14:textId="77777777" w:rsidR="003C66EB" w:rsidRDefault="003C66EB">
            <w:pPr>
              <w:rPr>
                <w:rFonts w:ascii="宋体"/>
              </w:rPr>
            </w:pPr>
          </w:p>
        </w:tc>
        <w:tc>
          <w:tcPr>
            <w:tcW w:w="5" w:type="pct"/>
            <w:shd w:val="clear" w:color="auto" w:fill="auto"/>
          </w:tcPr>
          <w:p w14:paraId="5EA276C1" w14:textId="77777777" w:rsidR="003C66EB" w:rsidRDefault="003C66EB">
            <w:pPr>
              <w:rPr>
                <w:rFonts w:ascii="宋体"/>
              </w:rPr>
            </w:pPr>
          </w:p>
        </w:tc>
        <w:tc>
          <w:tcPr>
            <w:tcW w:w="50" w:type="pct"/>
            <w:shd w:val="clear" w:color="auto" w:fill="auto"/>
          </w:tcPr>
          <w:p w14:paraId="5EA276C2" w14:textId="77777777" w:rsidR="003C66EB" w:rsidRDefault="003C66EB">
            <w:pPr>
              <w:rPr>
                <w:rFonts w:ascii="宋体"/>
              </w:rPr>
            </w:pPr>
          </w:p>
        </w:tc>
        <w:tc>
          <w:tcPr>
            <w:tcW w:w="354" w:type="pct"/>
            <w:shd w:val="clear" w:color="auto" w:fill="auto"/>
          </w:tcPr>
          <w:p w14:paraId="5EA276C3" w14:textId="77777777" w:rsidR="003C66EB" w:rsidRDefault="003C66EB">
            <w:pPr>
              <w:rPr>
                <w:rFonts w:ascii="宋体"/>
              </w:rPr>
            </w:pPr>
          </w:p>
        </w:tc>
        <w:tc>
          <w:tcPr>
            <w:tcW w:w="5" w:type="pct"/>
            <w:shd w:val="clear" w:color="auto" w:fill="auto"/>
          </w:tcPr>
          <w:p w14:paraId="5EA276C4" w14:textId="77777777" w:rsidR="003C66EB" w:rsidRDefault="003C66EB">
            <w:pPr>
              <w:rPr>
                <w:rFonts w:ascii="宋体"/>
              </w:rPr>
            </w:pPr>
          </w:p>
        </w:tc>
        <w:tc>
          <w:tcPr>
            <w:tcW w:w="5" w:type="pct"/>
            <w:shd w:val="clear" w:color="auto" w:fill="auto"/>
          </w:tcPr>
          <w:p w14:paraId="5EA276C5" w14:textId="77777777" w:rsidR="003C66EB" w:rsidRDefault="003C66EB">
            <w:pPr>
              <w:rPr>
                <w:rFonts w:ascii="宋体"/>
              </w:rPr>
            </w:pPr>
          </w:p>
        </w:tc>
        <w:tc>
          <w:tcPr>
            <w:tcW w:w="26" w:type="pct"/>
            <w:shd w:val="clear" w:color="auto" w:fill="auto"/>
          </w:tcPr>
          <w:p w14:paraId="5EA276C6" w14:textId="77777777" w:rsidR="003C66EB" w:rsidRDefault="003C66EB">
            <w:pPr>
              <w:rPr>
                <w:rFonts w:ascii="宋体"/>
              </w:rPr>
            </w:pPr>
          </w:p>
        </w:tc>
        <w:tc>
          <w:tcPr>
            <w:tcW w:w="5" w:type="pct"/>
            <w:shd w:val="clear" w:color="auto" w:fill="auto"/>
          </w:tcPr>
          <w:p w14:paraId="5EA276C7" w14:textId="77777777" w:rsidR="003C66EB" w:rsidRDefault="003C66EB">
            <w:pPr>
              <w:rPr>
                <w:rFonts w:ascii="宋体"/>
              </w:rPr>
            </w:pPr>
          </w:p>
        </w:tc>
        <w:tc>
          <w:tcPr>
            <w:tcW w:w="50" w:type="pct"/>
            <w:shd w:val="clear" w:color="auto" w:fill="auto"/>
          </w:tcPr>
          <w:p w14:paraId="5EA276C8" w14:textId="77777777" w:rsidR="003C66EB" w:rsidRDefault="003C66EB">
            <w:pPr>
              <w:rPr>
                <w:rFonts w:ascii="宋体"/>
              </w:rPr>
            </w:pPr>
          </w:p>
        </w:tc>
        <w:tc>
          <w:tcPr>
            <w:tcW w:w="354" w:type="pct"/>
            <w:shd w:val="clear" w:color="auto" w:fill="auto"/>
          </w:tcPr>
          <w:p w14:paraId="5EA276C9" w14:textId="77777777" w:rsidR="003C66EB" w:rsidRDefault="003C66EB">
            <w:pPr>
              <w:rPr>
                <w:rFonts w:ascii="宋体"/>
              </w:rPr>
            </w:pPr>
          </w:p>
        </w:tc>
        <w:tc>
          <w:tcPr>
            <w:tcW w:w="5" w:type="pct"/>
            <w:shd w:val="clear" w:color="auto" w:fill="auto"/>
          </w:tcPr>
          <w:p w14:paraId="5EA276CA" w14:textId="77777777" w:rsidR="003C66EB" w:rsidRDefault="003C66EB">
            <w:pPr>
              <w:rPr>
                <w:rFonts w:ascii="宋体"/>
              </w:rPr>
            </w:pPr>
          </w:p>
        </w:tc>
        <w:tc>
          <w:tcPr>
            <w:tcW w:w="5" w:type="pct"/>
            <w:shd w:val="clear" w:color="auto" w:fill="auto"/>
          </w:tcPr>
          <w:p w14:paraId="5EA276CB" w14:textId="77777777" w:rsidR="003C66EB" w:rsidRDefault="003C66EB">
            <w:pPr>
              <w:rPr>
                <w:rFonts w:ascii="宋体"/>
              </w:rPr>
            </w:pPr>
          </w:p>
        </w:tc>
        <w:tc>
          <w:tcPr>
            <w:tcW w:w="26" w:type="pct"/>
            <w:shd w:val="clear" w:color="auto" w:fill="auto"/>
          </w:tcPr>
          <w:p w14:paraId="5EA276CC" w14:textId="77777777" w:rsidR="003C66EB" w:rsidRDefault="003C66EB">
            <w:pPr>
              <w:rPr>
                <w:rFonts w:ascii="宋体"/>
              </w:rPr>
            </w:pPr>
          </w:p>
        </w:tc>
        <w:tc>
          <w:tcPr>
            <w:tcW w:w="5" w:type="pct"/>
            <w:shd w:val="clear" w:color="auto" w:fill="auto"/>
          </w:tcPr>
          <w:p w14:paraId="5EA276CD" w14:textId="77777777" w:rsidR="003C66EB" w:rsidRDefault="003C66EB">
            <w:pPr>
              <w:rPr>
                <w:rFonts w:ascii="宋体"/>
              </w:rPr>
            </w:pPr>
          </w:p>
        </w:tc>
        <w:tc>
          <w:tcPr>
            <w:tcW w:w="0" w:type="auto"/>
            <w:gridSpan w:val="3"/>
            <w:shd w:val="clear" w:color="auto" w:fill="auto"/>
          </w:tcPr>
          <w:p w14:paraId="5EA276CE" w14:textId="77777777" w:rsidR="003C66EB" w:rsidRDefault="003C66EB">
            <w:pPr>
              <w:rPr>
                <w:rFonts w:ascii="宋体"/>
                <w:vanish/>
              </w:rPr>
            </w:pPr>
          </w:p>
        </w:tc>
        <w:tc>
          <w:tcPr>
            <w:tcW w:w="0" w:type="auto"/>
            <w:gridSpan w:val="3"/>
            <w:shd w:val="clear" w:color="auto" w:fill="auto"/>
          </w:tcPr>
          <w:p w14:paraId="5EA276CF" w14:textId="77777777" w:rsidR="003C66EB" w:rsidRDefault="003C66EB">
            <w:pPr>
              <w:rPr>
                <w:rFonts w:ascii="宋体"/>
                <w:vanish/>
              </w:rPr>
            </w:pPr>
          </w:p>
        </w:tc>
        <w:tc>
          <w:tcPr>
            <w:tcW w:w="50" w:type="pct"/>
            <w:shd w:val="clear" w:color="auto" w:fill="auto"/>
          </w:tcPr>
          <w:p w14:paraId="5EA276D0" w14:textId="77777777" w:rsidR="003C66EB" w:rsidRDefault="003C66EB">
            <w:pPr>
              <w:rPr>
                <w:rFonts w:ascii="宋体"/>
              </w:rPr>
            </w:pPr>
          </w:p>
        </w:tc>
        <w:tc>
          <w:tcPr>
            <w:tcW w:w="354" w:type="pct"/>
            <w:shd w:val="clear" w:color="auto" w:fill="auto"/>
          </w:tcPr>
          <w:p w14:paraId="5EA276D1" w14:textId="77777777" w:rsidR="003C66EB" w:rsidRDefault="003C66EB">
            <w:pPr>
              <w:rPr>
                <w:rFonts w:ascii="宋体"/>
              </w:rPr>
            </w:pPr>
          </w:p>
        </w:tc>
        <w:tc>
          <w:tcPr>
            <w:tcW w:w="5" w:type="pct"/>
            <w:shd w:val="clear" w:color="auto" w:fill="auto"/>
          </w:tcPr>
          <w:p w14:paraId="5EA276D2" w14:textId="77777777" w:rsidR="003C66EB" w:rsidRDefault="003C66EB">
            <w:pPr>
              <w:rPr>
                <w:rFonts w:ascii="宋体"/>
              </w:rPr>
            </w:pPr>
          </w:p>
        </w:tc>
        <w:tc>
          <w:tcPr>
            <w:tcW w:w="5" w:type="pct"/>
            <w:shd w:val="clear" w:color="auto" w:fill="auto"/>
          </w:tcPr>
          <w:p w14:paraId="5EA276D3" w14:textId="77777777" w:rsidR="003C66EB" w:rsidRDefault="003C66EB">
            <w:pPr>
              <w:rPr>
                <w:rFonts w:ascii="宋体"/>
              </w:rPr>
            </w:pPr>
          </w:p>
        </w:tc>
        <w:tc>
          <w:tcPr>
            <w:tcW w:w="26" w:type="pct"/>
            <w:shd w:val="clear" w:color="auto" w:fill="auto"/>
          </w:tcPr>
          <w:p w14:paraId="5EA276D4" w14:textId="77777777" w:rsidR="003C66EB" w:rsidRDefault="003C66EB">
            <w:pPr>
              <w:rPr>
                <w:rFonts w:ascii="宋体"/>
              </w:rPr>
            </w:pPr>
          </w:p>
        </w:tc>
        <w:tc>
          <w:tcPr>
            <w:tcW w:w="5" w:type="pct"/>
            <w:shd w:val="clear" w:color="auto" w:fill="auto"/>
          </w:tcPr>
          <w:p w14:paraId="5EA276D5" w14:textId="77777777" w:rsidR="003C66EB" w:rsidRDefault="003C66EB">
            <w:pPr>
              <w:rPr>
                <w:rFonts w:ascii="宋体"/>
              </w:rPr>
            </w:pPr>
          </w:p>
        </w:tc>
        <w:tc>
          <w:tcPr>
            <w:tcW w:w="50" w:type="pct"/>
            <w:shd w:val="clear" w:color="auto" w:fill="auto"/>
          </w:tcPr>
          <w:p w14:paraId="5EA276D6" w14:textId="77777777" w:rsidR="003C66EB" w:rsidRDefault="003C66EB">
            <w:pPr>
              <w:rPr>
                <w:rFonts w:ascii="宋体"/>
              </w:rPr>
            </w:pPr>
          </w:p>
        </w:tc>
        <w:tc>
          <w:tcPr>
            <w:tcW w:w="354" w:type="pct"/>
            <w:shd w:val="clear" w:color="auto" w:fill="auto"/>
          </w:tcPr>
          <w:p w14:paraId="5EA276D7" w14:textId="77777777" w:rsidR="003C66EB" w:rsidRDefault="003C66EB">
            <w:pPr>
              <w:rPr>
                <w:rFonts w:ascii="宋体"/>
              </w:rPr>
            </w:pPr>
          </w:p>
        </w:tc>
        <w:tc>
          <w:tcPr>
            <w:tcW w:w="5" w:type="pct"/>
            <w:shd w:val="clear" w:color="auto" w:fill="auto"/>
          </w:tcPr>
          <w:p w14:paraId="5EA276D8" w14:textId="77777777" w:rsidR="003C66EB" w:rsidRDefault="003C66EB">
            <w:pPr>
              <w:rPr>
                <w:rFonts w:ascii="宋体"/>
              </w:rPr>
            </w:pPr>
          </w:p>
        </w:tc>
        <w:tc>
          <w:tcPr>
            <w:tcW w:w="5" w:type="pct"/>
            <w:shd w:val="clear" w:color="auto" w:fill="auto"/>
          </w:tcPr>
          <w:p w14:paraId="5EA276D9" w14:textId="77777777" w:rsidR="003C66EB" w:rsidRDefault="003C66EB">
            <w:pPr>
              <w:rPr>
                <w:rFonts w:ascii="宋体"/>
              </w:rPr>
            </w:pPr>
          </w:p>
        </w:tc>
        <w:tc>
          <w:tcPr>
            <w:tcW w:w="26" w:type="pct"/>
            <w:shd w:val="clear" w:color="auto" w:fill="auto"/>
          </w:tcPr>
          <w:p w14:paraId="5EA276DA" w14:textId="77777777" w:rsidR="003C66EB" w:rsidRDefault="003C66EB">
            <w:pPr>
              <w:rPr>
                <w:rFonts w:ascii="宋体"/>
              </w:rPr>
            </w:pPr>
          </w:p>
        </w:tc>
        <w:tc>
          <w:tcPr>
            <w:tcW w:w="5" w:type="pct"/>
            <w:shd w:val="clear" w:color="auto" w:fill="auto"/>
          </w:tcPr>
          <w:p w14:paraId="5EA276DB" w14:textId="77777777" w:rsidR="003C66EB" w:rsidRDefault="003C66EB">
            <w:pPr>
              <w:rPr>
                <w:rFonts w:ascii="宋体"/>
              </w:rPr>
            </w:pPr>
          </w:p>
        </w:tc>
        <w:tc>
          <w:tcPr>
            <w:tcW w:w="0" w:type="auto"/>
            <w:gridSpan w:val="3"/>
            <w:shd w:val="clear" w:color="auto" w:fill="auto"/>
          </w:tcPr>
          <w:p w14:paraId="5EA276DC" w14:textId="77777777" w:rsidR="003C66EB" w:rsidRDefault="003C66EB">
            <w:pPr>
              <w:rPr>
                <w:rFonts w:ascii="宋体"/>
                <w:vanish/>
              </w:rPr>
            </w:pPr>
          </w:p>
        </w:tc>
        <w:tc>
          <w:tcPr>
            <w:tcW w:w="0" w:type="auto"/>
            <w:gridSpan w:val="3"/>
            <w:shd w:val="clear" w:color="auto" w:fill="auto"/>
          </w:tcPr>
          <w:p w14:paraId="5EA276DD" w14:textId="77777777" w:rsidR="003C66EB" w:rsidRDefault="003C66EB">
            <w:pPr>
              <w:rPr>
                <w:rFonts w:ascii="宋体"/>
                <w:vanish/>
              </w:rPr>
            </w:pPr>
          </w:p>
        </w:tc>
        <w:tc>
          <w:tcPr>
            <w:tcW w:w="50" w:type="pct"/>
            <w:shd w:val="clear" w:color="auto" w:fill="auto"/>
          </w:tcPr>
          <w:p w14:paraId="5EA276DE" w14:textId="77777777" w:rsidR="003C66EB" w:rsidRDefault="003C66EB">
            <w:pPr>
              <w:rPr>
                <w:rFonts w:ascii="宋体"/>
              </w:rPr>
            </w:pPr>
          </w:p>
        </w:tc>
        <w:tc>
          <w:tcPr>
            <w:tcW w:w="354" w:type="pct"/>
            <w:shd w:val="clear" w:color="auto" w:fill="auto"/>
          </w:tcPr>
          <w:p w14:paraId="5EA276DF" w14:textId="77777777" w:rsidR="003C66EB" w:rsidRDefault="003C66EB">
            <w:pPr>
              <w:rPr>
                <w:rFonts w:ascii="宋体"/>
              </w:rPr>
            </w:pPr>
          </w:p>
        </w:tc>
        <w:tc>
          <w:tcPr>
            <w:tcW w:w="5" w:type="pct"/>
            <w:shd w:val="clear" w:color="auto" w:fill="auto"/>
          </w:tcPr>
          <w:p w14:paraId="5EA276E0" w14:textId="77777777" w:rsidR="003C66EB" w:rsidRDefault="003C66EB">
            <w:pPr>
              <w:rPr>
                <w:rFonts w:ascii="宋体"/>
              </w:rPr>
            </w:pPr>
          </w:p>
        </w:tc>
        <w:tc>
          <w:tcPr>
            <w:tcW w:w="5" w:type="pct"/>
            <w:shd w:val="clear" w:color="auto" w:fill="auto"/>
          </w:tcPr>
          <w:p w14:paraId="5EA276E1" w14:textId="77777777" w:rsidR="003C66EB" w:rsidRDefault="003C66EB">
            <w:pPr>
              <w:rPr>
                <w:rFonts w:ascii="宋体"/>
              </w:rPr>
            </w:pPr>
          </w:p>
        </w:tc>
        <w:tc>
          <w:tcPr>
            <w:tcW w:w="26" w:type="pct"/>
            <w:shd w:val="clear" w:color="auto" w:fill="auto"/>
          </w:tcPr>
          <w:p w14:paraId="5EA276E2" w14:textId="77777777" w:rsidR="003C66EB" w:rsidRDefault="003C66EB">
            <w:pPr>
              <w:rPr>
                <w:rFonts w:ascii="宋体"/>
              </w:rPr>
            </w:pPr>
          </w:p>
        </w:tc>
        <w:tc>
          <w:tcPr>
            <w:tcW w:w="5" w:type="pct"/>
            <w:shd w:val="clear" w:color="auto" w:fill="auto"/>
          </w:tcPr>
          <w:p w14:paraId="5EA276E3" w14:textId="77777777" w:rsidR="003C66EB" w:rsidRDefault="003C66EB">
            <w:pPr>
              <w:rPr>
                <w:rFonts w:ascii="宋体"/>
              </w:rPr>
            </w:pPr>
          </w:p>
        </w:tc>
        <w:tc>
          <w:tcPr>
            <w:tcW w:w="50" w:type="pct"/>
            <w:shd w:val="clear" w:color="auto" w:fill="auto"/>
          </w:tcPr>
          <w:p w14:paraId="5EA276E4" w14:textId="77777777" w:rsidR="003C66EB" w:rsidRDefault="003C66EB">
            <w:pPr>
              <w:rPr>
                <w:rFonts w:ascii="宋体"/>
              </w:rPr>
            </w:pPr>
          </w:p>
        </w:tc>
        <w:tc>
          <w:tcPr>
            <w:tcW w:w="354" w:type="pct"/>
            <w:shd w:val="clear" w:color="auto" w:fill="auto"/>
          </w:tcPr>
          <w:p w14:paraId="5EA276E5" w14:textId="77777777" w:rsidR="003C66EB" w:rsidRDefault="003C66EB">
            <w:pPr>
              <w:rPr>
                <w:rFonts w:ascii="宋体"/>
              </w:rPr>
            </w:pPr>
          </w:p>
        </w:tc>
        <w:tc>
          <w:tcPr>
            <w:tcW w:w="5" w:type="pct"/>
            <w:shd w:val="clear" w:color="auto" w:fill="auto"/>
          </w:tcPr>
          <w:p w14:paraId="5EA276E6" w14:textId="77777777" w:rsidR="003C66EB" w:rsidRDefault="003C66EB">
            <w:pPr>
              <w:rPr>
                <w:rFonts w:ascii="宋体"/>
              </w:rPr>
            </w:pPr>
          </w:p>
        </w:tc>
        <w:tc>
          <w:tcPr>
            <w:tcW w:w="5" w:type="pct"/>
            <w:shd w:val="clear" w:color="auto" w:fill="auto"/>
          </w:tcPr>
          <w:p w14:paraId="5EA276E7" w14:textId="77777777" w:rsidR="003C66EB" w:rsidRDefault="003C66EB">
            <w:pPr>
              <w:rPr>
                <w:rFonts w:ascii="宋体"/>
              </w:rPr>
            </w:pPr>
          </w:p>
        </w:tc>
        <w:tc>
          <w:tcPr>
            <w:tcW w:w="26" w:type="pct"/>
            <w:shd w:val="clear" w:color="auto" w:fill="auto"/>
          </w:tcPr>
          <w:p w14:paraId="5EA276E8" w14:textId="77777777" w:rsidR="003C66EB" w:rsidRDefault="003C66EB">
            <w:pPr>
              <w:rPr>
                <w:rFonts w:ascii="宋体"/>
              </w:rPr>
            </w:pPr>
          </w:p>
        </w:tc>
        <w:tc>
          <w:tcPr>
            <w:tcW w:w="5" w:type="pct"/>
            <w:shd w:val="clear" w:color="auto" w:fill="auto"/>
          </w:tcPr>
          <w:p w14:paraId="5EA276E9" w14:textId="77777777" w:rsidR="003C66EB" w:rsidRDefault="003C66EB">
            <w:pPr>
              <w:rPr>
                <w:rFonts w:ascii="宋体"/>
              </w:rPr>
            </w:pPr>
          </w:p>
        </w:tc>
        <w:tc>
          <w:tcPr>
            <w:tcW w:w="0" w:type="auto"/>
            <w:gridSpan w:val="3"/>
            <w:shd w:val="clear" w:color="auto" w:fill="auto"/>
          </w:tcPr>
          <w:p w14:paraId="5EA276EA" w14:textId="77777777" w:rsidR="003C66EB" w:rsidRDefault="003C66EB">
            <w:pPr>
              <w:rPr>
                <w:rFonts w:ascii="宋体"/>
                <w:vanish/>
              </w:rPr>
            </w:pPr>
          </w:p>
        </w:tc>
        <w:tc>
          <w:tcPr>
            <w:tcW w:w="0" w:type="auto"/>
            <w:gridSpan w:val="3"/>
            <w:shd w:val="clear" w:color="auto" w:fill="auto"/>
          </w:tcPr>
          <w:p w14:paraId="5EA276EB" w14:textId="77777777" w:rsidR="003C66EB" w:rsidRDefault="003C66EB">
            <w:pPr>
              <w:rPr>
                <w:rFonts w:ascii="宋体"/>
                <w:vanish/>
              </w:rPr>
            </w:pPr>
          </w:p>
        </w:tc>
        <w:tc>
          <w:tcPr>
            <w:tcW w:w="50" w:type="pct"/>
            <w:shd w:val="clear" w:color="auto" w:fill="auto"/>
          </w:tcPr>
          <w:p w14:paraId="5EA276EC" w14:textId="77777777" w:rsidR="003C66EB" w:rsidRDefault="003C66EB">
            <w:pPr>
              <w:rPr>
                <w:rFonts w:ascii="宋体"/>
              </w:rPr>
            </w:pPr>
          </w:p>
        </w:tc>
        <w:tc>
          <w:tcPr>
            <w:tcW w:w="354" w:type="pct"/>
            <w:shd w:val="clear" w:color="auto" w:fill="auto"/>
          </w:tcPr>
          <w:p w14:paraId="5EA276ED" w14:textId="77777777" w:rsidR="003C66EB" w:rsidRDefault="003C66EB">
            <w:pPr>
              <w:rPr>
                <w:rFonts w:ascii="宋体"/>
              </w:rPr>
            </w:pPr>
          </w:p>
        </w:tc>
        <w:tc>
          <w:tcPr>
            <w:tcW w:w="5" w:type="pct"/>
            <w:shd w:val="clear" w:color="auto" w:fill="auto"/>
          </w:tcPr>
          <w:p w14:paraId="5EA276EE" w14:textId="77777777" w:rsidR="003C66EB" w:rsidRDefault="003C66EB">
            <w:pPr>
              <w:rPr>
                <w:rFonts w:ascii="宋体"/>
              </w:rPr>
            </w:pPr>
          </w:p>
        </w:tc>
        <w:tc>
          <w:tcPr>
            <w:tcW w:w="5" w:type="pct"/>
            <w:shd w:val="clear" w:color="auto" w:fill="auto"/>
          </w:tcPr>
          <w:p w14:paraId="5EA276EF" w14:textId="77777777" w:rsidR="003C66EB" w:rsidRDefault="003C66EB">
            <w:pPr>
              <w:rPr>
                <w:rFonts w:ascii="宋体"/>
              </w:rPr>
            </w:pPr>
          </w:p>
        </w:tc>
        <w:tc>
          <w:tcPr>
            <w:tcW w:w="26" w:type="pct"/>
            <w:shd w:val="clear" w:color="auto" w:fill="auto"/>
          </w:tcPr>
          <w:p w14:paraId="5EA276F0" w14:textId="77777777" w:rsidR="003C66EB" w:rsidRDefault="003C66EB">
            <w:pPr>
              <w:rPr>
                <w:rFonts w:ascii="宋体"/>
              </w:rPr>
            </w:pPr>
          </w:p>
        </w:tc>
        <w:tc>
          <w:tcPr>
            <w:tcW w:w="5" w:type="pct"/>
            <w:shd w:val="clear" w:color="auto" w:fill="auto"/>
          </w:tcPr>
          <w:p w14:paraId="5EA276F1" w14:textId="77777777" w:rsidR="003C66EB" w:rsidRDefault="003C66EB">
            <w:pPr>
              <w:rPr>
                <w:rFonts w:ascii="宋体"/>
              </w:rPr>
            </w:pPr>
          </w:p>
        </w:tc>
      </w:tr>
      <w:tr w:rsidR="003C66EB" w14:paraId="5EA2772E" w14:textId="77777777">
        <w:trPr>
          <w:hidden/>
        </w:trPr>
        <w:tc>
          <w:tcPr>
            <w:tcW w:w="0" w:type="auto"/>
            <w:gridSpan w:val="3"/>
            <w:shd w:val="clear" w:color="auto" w:fill="auto"/>
          </w:tcPr>
          <w:p w14:paraId="5EA276F3" w14:textId="77777777" w:rsidR="003C66EB" w:rsidRDefault="003C66EB">
            <w:pPr>
              <w:rPr>
                <w:rFonts w:ascii="宋体"/>
                <w:vanish/>
              </w:rPr>
            </w:pPr>
          </w:p>
        </w:tc>
        <w:tc>
          <w:tcPr>
            <w:tcW w:w="0" w:type="auto"/>
            <w:gridSpan w:val="3"/>
            <w:shd w:val="clear" w:color="auto" w:fill="auto"/>
          </w:tcPr>
          <w:p w14:paraId="5EA276F4" w14:textId="77777777" w:rsidR="003C66EB" w:rsidRDefault="003C66EB">
            <w:pPr>
              <w:rPr>
                <w:rFonts w:ascii="宋体"/>
                <w:vanish/>
              </w:rPr>
            </w:pPr>
          </w:p>
        </w:tc>
        <w:tc>
          <w:tcPr>
            <w:tcW w:w="0" w:type="auto"/>
            <w:shd w:val="clear" w:color="auto" w:fill="auto"/>
          </w:tcPr>
          <w:p w14:paraId="5EA276F5" w14:textId="77777777" w:rsidR="003C66EB" w:rsidRDefault="003C66EB">
            <w:pPr>
              <w:rPr>
                <w:rFonts w:ascii="宋体"/>
              </w:rPr>
            </w:pPr>
          </w:p>
        </w:tc>
        <w:tc>
          <w:tcPr>
            <w:tcW w:w="0" w:type="auto"/>
            <w:shd w:val="clear" w:color="auto" w:fill="auto"/>
          </w:tcPr>
          <w:p w14:paraId="5EA276F6" w14:textId="77777777" w:rsidR="003C66EB" w:rsidRDefault="003C66EB">
            <w:pPr>
              <w:rPr>
                <w:rFonts w:ascii="宋体"/>
              </w:rPr>
            </w:pPr>
          </w:p>
        </w:tc>
        <w:tc>
          <w:tcPr>
            <w:tcW w:w="0" w:type="auto"/>
            <w:shd w:val="clear" w:color="auto" w:fill="auto"/>
          </w:tcPr>
          <w:p w14:paraId="5EA276F7" w14:textId="77777777" w:rsidR="003C66EB" w:rsidRDefault="003C66EB">
            <w:pPr>
              <w:rPr>
                <w:rFonts w:ascii="宋体"/>
              </w:rPr>
            </w:pPr>
          </w:p>
        </w:tc>
        <w:tc>
          <w:tcPr>
            <w:tcW w:w="0" w:type="auto"/>
            <w:shd w:val="clear" w:color="auto" w:fill="auto"/>
          </w:tcPr>
          <w:p w14:paraId="5EA276F8" w14:textId="77777777" w:rsidR="003C66EB" w:rsidRDefault="003C66EB">
            <w:pPr>
              <w:rPr>
                <w:rFonts w:ascii="宋体"/>
              </w:rPr>
            </w:pPr>
          </w:p>
        </w:tc>
        <w:tc>
          <w:tcPr>
            <w:tcW w:w="0" w:type="auto"/>
            <w:shd w:val="clear" w:color="auto" w:fill="auto"/>
          </w:tcPr>
          <w:p w14:paraId="5EA276F9" w14:textId="77777777" w:rsidR="003C66EB" w:rsidRDefault="003C66EB">
            <w:pPr>
              <w:rPr>
                <w:rFonts w:ascii="宋体"/>
              </w:rPr>
            </w:pPr>
          </w:p>
        </w:tc>
        <w:tc>
          <w:tcPr>
            <w:tcW w:w="0" w:type="auto"/>
            <w:shd w:val="clear" w:color="auto" w:fill="auto"/>
          </w:tcPr>
          <w:p w14:paraId="5EA276FA" w14:textId="77777777" w:rsidR="003C66EB" w:rsidRDefault="003C66EB">
            <w:pPr>
              <w:rPr>
                <w:rFonts w:ascii="宋体"/>
              </w:rPr>
            </w:pPr>
          </w:p>
        </w:tc>
        <w:tc>
          <w:tcPr>
            <w:tcW w:w="0" w:type="auto"/>
            <w:shd w:val="clear" w:color="auto" w:fill="auto"/>
          </w:tcPr>
          <w:p w14:paraId="5EA276FB" w14:textId="77777777" w:rsidR="003C66EB" w:rsidRDefault="003C66EB">
            <w:pPr>
              <w:rPr>
                <w:rFonts w:ascii="宋体"/>
              </w:rPr>
            </w:pPr>
          </w:p>
        </w:tc>
        <w:tc>
          <w:tcPr>
            <w:tcW w:w="0" w:type="auto"/>
            <w:shd w:val="clear" w:color="auto" w:fill="auto"/>
          </w:tcPr>
          <w:p w14:paraId="5EA276FC" w14:textId="77777777" w:rsidR="003C66EB" w:rsidRDefault="003C66EB">
            <w:pPr>
              <w:rPr>
                <w:rFonts w:ascii="宋体"/>
              </w:rPr>
            </w:pPr>
          </w:p>
        </w:tc>
        <w:tc>
          <w:tcPr>
            <w:tcW w:w="0" w:type="auto"/>
            <w:shd w:val="clear" w:color="auto" w:fill="auto"/>
          </w:tcPr>
          <w:p w14:paraId="5EA276FD" w14:textId="77777777" w:rsidR="003C66EB" w:rsidRDefault="003C66EB">
            <w:pPr>
              <w:rPr>
                <w:rFonts w:ascii="宋体"/>
              </w:rPr>
            </w:pPr>
          </w:p>
        </w:tc>
        <w:tc>
          <w:tcPr>
            <w:tcW w:w="0" w:type="auto"/>
            <w:shd w:val="clear" w:color="auto" w:fill="auto"/>
          </w:tcPr>
          <w:p w14:paraId="5EA276FE" w14:textId="77777777" w:rsidR="003C66EB" w:rsidRDefault="003C66EB">
            <w:pPr>
              <w:rPr>
                <w:rFonts w:ascii="宋体"/>
              </w:rPr>
            </w:pPr>
          </w:p>
        </w:tc>
        <w:tc>
          <w:tcPr>
            <w:tcW w:w="0" w:type="auto"/>
            <w:shd w:val="clear" w:color="auto" w:fill="auto"/>
          </w:tcPr>
          <w:p w14:paraId="5EA276FF" w14:textId="77777777" w:rsidR="003C66EB" w:rsidRDefault="003C66EB">
            <w:pPr>
              <w:rPr>
                <w:rFonts w:ascii="宋体"/>
              </w:rPr>
            </w:pPr>
          </w:p>
        </w:tc>
        <w:tc>
          <w:tcPr>
            <w:tcW w:w="0" w:type="auto"/>
            <w:shd w:val="clear" w:color="auto" w:fill="auto"/>
          </w:tcPr>
          <w:p w14:paraId="5EA27700" w14:textId="77777777" w:rsidR="003C66EB" w:rsidRDefault="003C66EB">
            <w:pPr>
              <w:rPr>
                <w:rFonts w:ascii="宋体"/>
              </w:rPr>
            </w:pPr>
          </w:p>
        </w:tc>
        <w:tc>
          <w:tcPr>
            <w:tcW w:w="0" w:type="auto"/>
            <w:shd w:val="clear" w:color="auto" w:fill="auto"/>
          </w:tcPr>
          <w:p w14:paraId="5EA27701" w14:textId="77777777" w:rsidR="003C66EB" w:rsidRDefault="003C66EB">
            <w:pPr>
              <w:rPr>
                <w:rFonts w:ascii="宋体"/>
              </w:rPr>
            </w:pPr>
          </w:p>
        </w:tc>
        <w:tc>
          <w:tcPr>
            <w:tcW w:w="0" w:type="auto"/>
            <w:shd w:val="clear" w:color="auto" w:fill="auto"/>
          </w:tcPr>
          <w:p w14:paraId="5EA27702" w14:textId="77777777" w:rsidR="003C66EB" w:rsidRDefault="003C66EB">
            <w:pPr>
              <w:rPr>
                <w:rFonts w:ascii="宋体"/>
              </w:rPr>
            </w:pPr>
          </w:p>
        </w:tc>
        <w:tc>
          <w:tcPr>
            <w:tcW w:w="0" w:type="auto"/>
            <w:shd w:val="clear" w:color="auto" w:fill="auto"/>
          </w:tcPr>
          <w:p w14:paraId="5EA27703" w14:textId="77777777" w:rsidR="003C66EB" w:rsidRDefault="003C66EB">
            <w:pPr>
              <w:rPr>
                <w:rFonts w:ascii="宋体"/>
              </w:rPr>
            </w:pPr>
          </w:p>
        </w:tc>
        <w:tc>
          <w:tcPr>
            <w:tcW w:w="0" w:type="auto"/>
            <w:shd w:val="clear" w:color="auto" w:fill="auto"/>
          </w:tcPr>
          <w:p w14:paraId="5EA27704" w14:textId="77777777" w:rsidR="003C66EB" w:rsidRDefault="003C66EB">
            <w:pPr>
              <w:rPr>
                <w:rFonts w:ascii="宋体"/>
              </w:rPr>
            </w:pPr>
          </w:p>
        </w:tc>
        <w:tc>
          <w:tcPr>
            <w:tcW w:w="0" w:type="auto"/>
            <w:shd w:val="clear" w:color="auto" w:fill="auto"/>
          </w:tcPr>
          <w:p w14:paraId="5EA27705" w14:textId="77777777" w:rsidR="003C66EB" w:rsidRDefault="003C66EB">
            <w:pPr>
              <w:rPr>
                <w:rFonts w:ascii="宋体"/>
              </w:rPr>
            </w:pPr>
          </w:p>
        </w:tc>
        <w:tc>
          <w:tcPr>
            <w:tcW w:w="0" w:type="auto"/>
            <w:shd w:val="clear" w:color="auto" w:fill="auto"/>
          </w:tcPr>
          <w:p w14:paraId="5EA27706" w14:textId="77777777" w:rsidR="003C66EB" w:rsidRDefault="003C66EB">
            <w:pPr>
              <w:rPr>
                <w:rFonts w:ascii="宋体"/>
              </w:rPr>
            </w:pPr>
          </w:p>
        </w:tc>
        <w:tc>
          <w:tcPr>
            <w:tcW w:w="0" w:type="auto"/>
            <w:shd w:val="clear" w:color="auto" w:fill="auto"/>
          </w:tcPr>
          <w:p w14:paraId="5EA27707" w14:textId="77777777" w:rsidR="003C66EB" w:rsidRDefault="003C66EB">
            <w:pPr>
              <w:rPr>
                <w:rFonts w:ascii="宋体"/>
              </w:rPr>
            </w:pPr>
          </w:p>
        </w:tc>
        <w:tc>
          <w:tcPr>
            <w:tcW w:w="0" w:type="auto"/>
            <w:shd w:val="clear" w:color="auto" w:fill="auto"/>
          </w:tcPr>
          <w:p w14:paraId="5EA27708" w14:textId="77777777" w:rsidR="003C66EB" w:rsidRDefault="003C66EB">
            <w:pPr>
              <w:rPr>
                <w:rFonts w:ascii="宋体"/>
              </w:rPr>
            </w:pPr>
          </w:p>
        </w:tc>
        <w:tc>
          <w:tcPr>
            <w:tcW w:w="0" w:type="auto"/>
            <w:shd w:val="clear" w:color="auto" w:fill="auto"/>
          </w:tcPr>
          <w:p w14:paraId="5EA27709" w14:textId="77777777" w:rsidR="003C66EB" w:rsidRDefault="003C66EB">
            <w:pPr>
              <w:rPr>
                <w:rFonts w:ascii="宋体"/>
              </w:rPr>
            </w:pPr>
          </w:p>
        </w:tc>
        <w:tc>
          <w:tcPr>
            <w:tcW w:w="0" w:type="auto"/>
            <w:shd w:val="clear" w:color="auto" w:fill="auto"/>
          </w:tcPr>
          <w:p w14:paraId="5EA2770A" w14:textId="77777777" w:rsidR="003C66EB" w:rsidRDefault="003C66EB">
            <w:pPr>
              <w:rPr>
                <w:rFonts w:ascii="宋体"/>
              </w:rPr>
            </w:pPr>
          </w:p>
        </w:tc>
        <w:tc>
          <w:tcPr>
            <w:tcW w:w="0" w:type="auto"/>
            <w:shd w:val="clear" w:color="auto" w:fill="auto"/>
          </w:tcPr>
          <w:p w14:paraId="5EA2770B" w14:textId="77777777" w:rsidR="003C66EB" w:rsidRDefault="003C66EB">
            <w:pPr>
              <w:rPr>
                <w:rFonts w:ascii="宋体"/>
              </w:rPr>
            </w:pPr>
          </w:p>
        </w:tc>
        <w:tc>
          <w:tcPr>
            <w:tcW w:w="0" w:type="auto"/>
            <w:shd w:val="clear" w:color="auto" w:fill="auto"/>
          </w:tcPr>
          <w:p w14:paraId="5EA2770C" w14:textId="77777777" w:rsidR="003C66EB" w:rsidRDefault="003C66EB">
            <w:pPr>
              <w:rPr>
                <w:rFonts w:ascii="宋体"/>
              </w:rPr>
            </w:pPr>
          </w:p>
        </w:tc>
        <w:tc>
          <w:tcPr>
            <w:tcW w:w="0" w:type="auto"/>
            <w:shd w:val="clear" w:color="auto" w:fill="auto"/>
          </w:tcPr>
          <w:p w14:paraId="5EA2770D" w14:textId="77777777" w:rsidR="003C66EB" w:rsidRDefault="003C66EB">
            <w:pPr>
              <w:rPr>
                <w:rFonts w:ascii="宋体"/>
              </w:rPr>
            </w:pPr>
          </w:p>
        </w:tc>
        <w:tc>
          <w:tcPr>
            <w:tcW w:w="0" w:type="auto"/>
            <w:shd w:val="clear" w:color="auto" w:fill="auto"/>
          </w:tcPr>
          <w:p w14:paraId="5EA2770E" w14:textId="77777777" w:rsidR="003C66EB" w:rsidRDefault="003C66EB">
            <w:pPr>
              <w:rPr>
                <w:rFonts w:ascii="宋体"/>
              </w:rPr>
            </w:pPr>
          </w:p>
        </w:tc>
        <w:tc>
          <w:tcPr>
            <w:tcW w:w="0" w:type="auto"/>
            <w:shd w:val="clear" w:color="auto" w:fill="auto"/>
          </w:tcPr>
          <w:p w14:paraId="5EA2770F" w14:textId="77777777" w:rsidR="003C66EB" w:rsidRDefault="003C66EB">
            <w:pPr>
              <w:rPr>
                <w:rFonts w:ascii="宋体"/>
              </w:rPr>
            </w:pPr>
          </w:p>
        </w:tc>
        <w:tc>
          <w:tcPr>
            <w:tcW w:w="0" w:type="auto"/>
            <w:shd w:val="clear" w:color="auto" w:fill="auto"/>
          </w:tcPr>
          <w:p w14:paraId="5EA27710" w14:textId="77777777" w:rsidR="003C66EB" w:rsidRDefault="003C66EB">
            <w:pPr>
              <w:rPr>
                <w:rFonts w:ascii="宋体"/>
              </w:rPr>
            </w:pPr>
          </w:p>
        </w:tc>
        <w:tc>
          <w:tcPr>
            <w:tcW w:w="0" w:type="auto"/>
            <w:shd w:val="clear" w:color="auto" w:fill="auto"/>
          </w:tcPr>
          <w:p w14:paraId="5EA27711" w14:textId="77777777" w:rsidR="003C66EB" w:rsidRDefault="003C66EB">
            <w:pPr>
              <w:rPr>
                <w:rFonts w:ascii="宋体"/>
              </w:rPr>
            </w:pPr>
          </w:p>
        </w:tc>
        <w:tc>
          <w:tcPr>
            <w:tcW w:w="0" w:type="auto"/>
            <w:shd w:val="clear" w:color="auto" w:fill="auto"/>
          </w:tcPr>
          <w:p w14:paraId="5EA27712" w14:textId="77777777" w:rsidR="003C66EB" w:rsidRDefault="003C66EB">
            <w:pPr>
              <w:rPr>
                <w:rFonts w:ascii="宋体"/>
              </w:rPr>
            </w:pPr>
          </w:p>
        </w:tc>
        <w:tc>
          <w:tcPr>
            <w:tcW w:w="0" w:type="auto"/>
            <w:shd w:val="clear" w:color="auto" w:fill="auto"/>
          </w:tcPr>
          <w:p w14:paraId="5EA27713" w14:textId="77777777" w:rsidR="003C66EB" w:rsidRDefault="003C66EB">
            <w:pPr>
              <w:rPr>
                <w:rFonts w:ascii="宋体"/>
              </w:rPr>
            </w:pPr>
          </w:p>
        </w:tc>
        <w:tc>
          <w:tcPr>
            <w:tcW w:w="0" w:type="auto"/>
            <w:shd w:val="clear" w:color="auto" w:fill="auto"/>
          </w:tcPr>
          <w:p w14:paraId="5EA27714" w14:textId="77777777" w:rsidR="003C66EB" w:rsidRDefault="003C66EB">
            <w:pPr>
              <w:rPr>
                <w:rFonts w:ascii="宋体"/>
              </w:rPr>
            </w:pPr>
          </w:p>
        </w:tc>
        <w:tc>
          <w:tcPr>
            <w:tcW w:w="0" w:type="auto"/>
            <w:shd w:val="clear" w:color="auto" w:fill="auto"/>
          </w:tcPr>
          <w:p w14:paraId="5EA27715" w14:textId="77777777" w:rsidR="003C66EB" w:rsidRDefault="003C66EB">
            <w:pPr>
              <w:rPr>
                <w:rFonts w:ascii="宋体"/>
              </w:rPr>
            </w:pPr>
          </w:p>
        </w:tc>
        <w:tc>
          <w:tcPr>
            <w:tcW w:w="0" w:type="auto"/>
            <w:shd w:val="clear" w:color="auto" w:fill="auto"/>
          </w:tcPr>
          <w:p w14:paraId="5EA27716" w14:textId="77777777" w:rsidR="003C66EB" w:rsidRDefault="003C66EB">
            <w:pPr>
              <w:rPr>
                <w:rFonts w:ascii="宋体"/>
              </w:rPr>
            </w:pPr>
          </w:p>
        </w:tc>
        <w:tc>
          <w:tcPr>
            <w:tcW w:w="0" w:type="auto"/>
            <w:shd w:val="clear" w:color="auto" w:fill="auto"/>
          </w:tcPr>
          <w:p w14:paraId="5EA27717" w14:textId="77777777" w:rsidR="003C66EB" w:rsidRDefault="003C66EB">
            <w:pPr>
              <w:rPr>
                <w:rFonts w:ascii="宋体"/>
              </w:rPr>
            </w:pPr>
          </w:p>
        </w:tc>
        <w:tc>
          <w:tcPr>
            <w:tcW w:w="0" w:type="auto"/>
            <w:shd w:val="clear" w:color="auto" w:fill="auto"/>
          </w:tcPr>
          <w:p w14:paraId="5EA27718" w14:textId="77777777" w:rsidR="003C66EB" w:rsidRDefault="003C66EB">
            <w:pPr>
              <w:rPr>
                <w:rFonts w:ascii="宋体"/>
              </w:rPr>
            </w:pPr>
          </w:p>
        </w:tc>
        <w:tc>
          <w:tcPr>
            <w:tcW w:w="0" w:type="auto"/>
            <w:shd w:val="clear" w:color="auto" w:fill="auto"/>
          </w:tcPr>
          <w:p w14:paraId="5EA27719" w14:textId="77777777" w:rsidR="003C66EB" w:rsidRDefault="003C66EB">
            <w:pPr>
              <w:rPr>
                <w:rFonts w:ascii="宋体"/>
              </w:rPr>
            </w:pPr>
          </w:p>
        </w:tc>
        <w:tc>
          <w:tcPr>
            <w:tcW w:w="0" w:type="auto"/>
            <w:shd w:val="clear" w:color="auto" w:fill="auto"/>
          </w:tcPr>
          <w:p w14:paraId="5EA2771A" w14:textId="77777777" w:rsidR="003C66EB" w:rsidRDefault="003C66EB">
            <w:pPr>
              <w:rPr>
                <w:rFonts w:ascii="宋体"/>
              </w:rPr>
            </w:pPr>
          </w:p>
        </w:tc>
        <w:tc>
          <w:tcPr>
            <w:tcW w:w="0" w:type="auto"/>
            <w:shd w:val="clear" w:color="auto" w:fill="auto"/>
          </w:tcPr>
          <w:p w14:paraId="5EA2771B" w14:textId="77777777" w:rsidR="003C66EB" w:rsidRDefault="003C66EB">
            <w:pPr>
              <w:rPr>
                <w:rFonts w:ascii="宋体"/>
              </w:rPr>
            </w:pPr>
          </w:p>
        </w:tc>
        <w:tc>
          <w:tcPr>
            <w:tcW w:w="0" w:type="auto"/>
            <w:shd w:val="clear" w:color="auto" w:fill="auto"/>
          </w:tcPr>
          <w:p w14:paraId="5EA2771C" w14:textId="77777777" w:rsidR="003C66EB" w:rsidRDefault="003C66EB">
            <w:pPr>
              <w:rPr>
                <w:rFonts w:ascii="宋体"/>
              </w:rPr>
            </w:pPr>
          </w:p>
        </w:tc>
        <w:tc>
          <w:tcPr>
            <w:tcW w:w="0" w:type="auto"/>
            <w:shd w:val="clear" w:color="auto" w:fill="auto"/>
          </w:tcPr>
          <w:p w14:paraId="5EA2771D" w14:textId="77777777" w:rsidR="003C66EB" w:rsidRDefault="003C66EB">
            <w:pPr>
              <w:rPr>
                <w:rFonts w:ascii="宋体"/>
              </w:rPr>
            </w:pPr>
          </w:p>
        </w:tc>
        <w:tc>
          <w:tcPr>
            <w:tcW w:w="0" w:type="auto"/>
            <w:shd w:val="clear" w:color="auto" w:fill="auto"/>
          </w:tcPr>
          <w:p w14:paraId="5EA2771E" w14:textId="77777777" w:rsidR="003C66EB" w:rsidRDefault="003C66EB">
            <w:pPr>
              <w:rPr>
                <w:rFonts w:ascii="宋体"/>
              </w:rPr>
            </w:pPr>
          </w:p>
        </w:tc>
        <w:tc>
          <w:tcPr>
            <w:tcW w:w="0" w:type="auto"/>
            <w:shd w:val="clear" w:color="auto" w:fill="auto"/>
          </w:tcPr>
          <w:p w14:paraId="5EA2771F" w14:textId="77777777" w:rsidR="003C66EB" w:rsidRDefault="003C66EB">
            <w:pPr>
              <w:rPr>
                <w:rFonts w:ascii="宋体"/>
              </w:rPr>
            </w:pPr>
          </w:p>
        </w:tc>
        <w:tc>
          <w:tcPr>
            <w:tcW w:w="0" w:type="auto"/>
            <w:shd w:val="clear" w:color="auto" w:fill="auto"/>
          </w:tcPr>
          <w:p w14:paraId="5EA27720" w14:textId="77777777" w:rsidR="003C66EB" w:rsidRDefault="003C66EB">
            <w:pPr>
              <w:rPr>
                <w:rFonts w:ascii="宋体"/>
              </w:rPr>
            </w:pPr>
          </w:p>
        </w:tc>
        <w:tc>
          <w:tcPr>
            <w:tcW w:w="0" w:type="auto"/>
            <w:shd w:val="clear" w:color="auto" w:fill="auto"/>
          </w:tcPr>
          <w:p w14:paraId="5EA27721" w14:textId="77777777" w:rsidR="003C66EB" w:rsidRDefault="003C66EB">
            <w:pPr>
              <w:rPr>
                <w:rFonts w:ascii="宋体"/>
              </w:rPr>
            </w:pPr>
          </w:p>
        </w:tc>
        <w:tc>
          <w:tcPr>
            <w:tcW w:w="0" w:type="auto"/>
            <w:shd w:val="clear" w:color="auto" w:fill="auto"/>
          </w:tcPr>
          <w:p w14:paraId="5EA27722" w14:textId="77777777" w:rsidR="003C66EB" w:rsidRDefault="003C66EB">
            <w:pPr>
              <w:rPr>
                <w:rFonts w:ascii="宋体"/>
              </w:rPr>
            </w:pPr>
          </w:p>
        </w:tc>
        <w:tc>
          <w:tcPr>
            <w:tcW w:w="0" w:type="auto"/>
            <w:shd w:val="clear" w:color="auto" w:fill="auto"/>
          </w:tcPr>
          <w:p w14:paraId="5EA27723" w14:textId="77777777" w:rsidR="003C66EB" w:rsidRDefault="003C66EB">
            <w:pPr>
              <w:rPr>
                <w:rFonts w:ascii="宋体"/>
              </w:rPr>
            </w:pPr>
          </w:p>
        </w:tc>
        <w:tc>
          <w:tcPr>
            <w:tcW w:w="0" w:type="auto"/>
            <w:shd w:val="clear" w:color="auto" w:fill="auto"/>
          </w:tcPr>
          <w:p w14:paraId="5EA27724" w14:textId="77777777" w:rsidR="003C66EB" w:rsidRDefault="003C66EB">
            <w:pPr>
              <w:rPr>
                <w:rFonts w:ascii="宋体"/>
              </w:rPr>
            </w:pPr>
          </w:p>
        </w:tc>
        <w:tc>
          <w:tcPr>
            <w:tcW w:w="0" w:type="auto"/>
            <w:shd w:val="clear" w:color="auto" w:fill="auto"/>
          </w:tcPr>
          <w:p w14:paraId="5EA27725" w14:textId="77777777" w:rsidR="003C66EB" w:rsidRDefault="003C66EB">
            <w:pPr>
              <w:rPr>
                <w:rFonts w:ascii="宋体"/>
              </w:rPr>
            </w:pPr>
          </w:p>
        </w:tc>
        <w:tc>
          <w:tcPr>
            <w:tcW w:w="0" w:type="auto"/>
            <w:shd w:val="clear" w:color="auto" w:fill="auto"/>
          </w:tcPr>
          <w:p w14:paraId="5EA27726" w14:textId="77777777" w:rsidR="003C66EB" w:rsidRDefault="003C66EB">
            <w:pPr>
              <w:rPr>
                <w:rFonts w:ascii="宋体"/>
              </w:rPr>
            </w:pPr>
          </w:p>
        </w:tc>
        <w:tc>
          <w:tcPr>
            <w:tcW w:w="0" w:type="auto"/>
            <w:shd w:val="clear" w:color="auto" w:fill="auto"/>
          </w:tcPr>
          <w:p w14:paraId="5EA27727" w14:textId="77777777" w:rsidR="003C66EB" w:rsidRDefault="003C66EB">
            <w:pPr>
              <w:rPr>
                <w:rFonts w:ascii="宋体"/>
              </w:rPr>
            </w:pPr>
          </w:p>
        </w:tc>
        <w:tc>
          <w:tcPr>
            <w:tcW w:w="0" w:type="auto"/>
            <w:shd w:val="clear" w:color="auto" w:fill="auto"/>
          </w:tcPr>
          <w:p w14:paraId="5EA27728" w14:textId="77777777" w:rsidR="003C66EB" w:rsidRDefault="003C66EB">
            <w:pPr>
              <w:rPr>
                <w:rFonts w:ascii="宋体"/>
              </w:rPr>
            </w:pPr>
          </w:p>
        </w:tc>
        <w:tc>
          <w:tcPr>
            <w:tcW w:w="0" w:type="auto"/>
            <w:shd w:val="clear" w:color="auto" w:fill="auto"/>
          </w:tcPr>
          <w:p w14:paraId="5EA27729" w14:textId="77777777" w:rsidR="003C66EB" w:rsidRDefault="003C66EB">
            <w:pPr>
              <w:rPr>
                <w:rFonts w:ascii="宋体"/>
              </w:rPr>
            </w:pPr>
          </w:p>
        </w:tc>
        <w:tc>
          <w:tcPr>
            <w:tcW w:w="0" w:type="auto"/>
            <w:shd w:val="clear" w:color="auto" w:fill="auto"/>
          </w:tcPr>
          <w:p w14:paraId="5EA2772A" w14:textId="77777777" w:rsidR="003C66EB" w:rsidRDefault="003C66EB">
            <w:pPr>
              <w:rPr>
                <w:rFonts w:ascii="宋体"/>
              </w:rPr>
            </w:pPr>
          </w:p>
        </w:tc>
        <w:tc>
          <w:tcPr>
            <w:tcW w:w="0" w:type="auto"/>
            <w:shd w:val="clear" w:color="auto" w:fill="auto"/>
          </w:tcPr>
          <w:p w14:paraId="5EA2772B" w14:textId="77777777" w:rsidR="003C66EB" w:rsidRDefault="003C66EB">
            <w:pPr>
              <w:rPr>
                <w:rFonts w:ascii="宋体"/>
              </w:rPr>
            </w:pPr>
          </w:p>
        </w:tc>
        <w:tc>
          <w:tcPr>
            <w:tcW w:w="0" w:type="auto"/>
            <w:shd w:val="clear" w:color="auto" w:fill="auto"/>
          </w:tcPr>
          <w:p w14:paraId="5EA2772C" w14:textId="77777777" w:rsidR="003C66EB" w:rsidRDefault="003C66EB">
            <w:pPr>
              <w:rPr>
                <w:rFonts w:ascii="宋体"/>
              </w:rPr>
            </w:pPr>
          </w:p>
        </w:tc>
        <w:tc>
          <w:tcPr>
            <w:tcW w:w="0" w:type="auto"/>
            <w:shd w:val="clear" w:color="auto" w:fill="auto"/>
          </w:tcPr>
          <w:p w14:paraId="5EA2772D" w14:textId="77777777" w:rsidR="003C66EB" w:rsidRDefault="003C66EB">
            <w:pPr>
              <w:rPr>
                <w:rFonts w:ascii="宋体"/>
              </w:rPr>
            </w:pPr>
          </w:p>
        </w:tc>
      </w:tr>
      <w:tr w:rsidR="003C66EB" w14:paraId="5EA2775A" w14:textId="77777777">
        <w:trPr>
          <w:hidden/>
        </w:trPr>
        <w:tc>
          <w:tcPr>
            <w:tcW w:w="0" w:type="auto"/>
            <w:gridSpan w:val="3"/>
            <w:shd w:val="clear" w:color="auto" w:fill="auto"/>
          </w:tcPr>
          <w:p w14:paraId="5EA2772F" w14:textId="77777777" w:rsidR="003C66EB" w:rsidRDefault="003C66EB">
            <w:pPr>
              <w:rPr>
                <w:rFonts w:ascii="宋体"/>
                <w:vanish/>
              </w:rPr>
            </w:pPr>
          </w:p>
        </w:tc>
        <w:tc>
          <w:tcPr>
            <w:tcW w:w="0" w:type="auto"/>
            <w:gridSpan w:val="3"/>
            <w:shd w:val="clear" w:color="auto" w:fill="auto"/>
          </w:tcPr>
          <w:p w14:paraId="5EA27730" w14:textId="77777777" w:rsidR="003C66EB" w:rsidRDefault="003C66EB">
            <w:pPr>
              <w:rPr>
                <w:rFonts w:ascii="宋体"/>
                <w:vanish/>
              </w:rPr>
            </w:pPr>
          </w:p>
        </w:tc>
        <w:tc>
          <w:tcPr>
            <w:tcW w:w="0" w:type="auto"/>
            <w:gridSpan w:val="3"/>
            <w:shd w:val="clear" w:color="auto" w:fill="auto"/>
          </w:tcPr>
          <w:p w14:paraId="5EA27731" w14:textId="77777777" w:rsidR="003C66EB" w:rsidRDefault="003C66EB">
            <w:pPr>
              <w:rPr>
                <w:rFonts w:ascii="宋体"/>
                <w:vanish/>
              </w:rPr>
            </w:pPr>
          </w:p>
        </w:tc>
        <w:tc>
          <w:tcPr>
            <w:tcW w:w="0" w:type="auto"/>
            <w:gridSpan w:val="3"/>
            <w:shd w:val="clear" w:color="auto" w:fill="auto"/>
          </w:tcPr>
          <w:p w14:paraId="5EA27732" w14:textId="77777777" w:rsidR="003C66EB" w:rsidRDefault="003C66EB">
            <w:pPr>
              <w:rPr>
                <w:rFonts w:ascii="宋体"/>
                <w:vanish/>
              </w:rPr>
            </w:pPr>
          </w:p>
        </w:tc>
        <w:tc>
          <w:tcPr>
            <w:tcW w:w="0" w:type="auto"/>
            <w:gridSpan w:val="3"/>
            <w:shd w:val="clear" w:color="auto" w:fill="auto"/>
          </w:tcPr>
          <w:p w14:paraId="5EA27733" w14:textId="77777777" w:rsidR="003C66EB" w:rsidRDefault="003C66EB">
            <w:pPr>
              <w:rPr>
                <w:rFonts w:ascii="宋体"/>
                <w:vanish/>
              </w:rPr>
            </w:pPr>
          </w:p>
        </w:tc>
        <w:tc>
          <w:tcPr>
            <w:tcW w:w="0" w:type="auto"/>
            <w:gridSpan w:val="3"/>
            <w:shd w:val="clear" w:color="auto" w:fill="auto"/>
          </w:tcPr>
          <w:p w14:paraId="5EA27734" w14:textId="77777777" w:rsidR="003C66EB" w:rsidRDefault="003C66EB">
            <w:pPr>
              <w:rPr>
                <w:rFonts w:ascii="宋体"/>
                <w:vanish/>
              </w:rPr>
            </w:pPr>
          </w:p>
        </w:tc>
        <w:tc>
          <w:tcPr>
            <w:tcW w:w="0" w:type="auto"/>
            <w:gridSpan w:val="3"/>
            <w:shd w:val="clear" w:color="auto" w:fill="auto"/>
          </w:tcPr>
          <w:p w14:paraId="5EA27735" w14:textId="77777777" w:rsidR="003C66EB" w:rsidRDefault="003C66EB">
            <w:pPr>
              <w:rPr>
                <w:rFonts w:ascii="宋体"/>
                <w:vanish/>
              </w:rPr>
            </w:pPr>
          </w:p>
        </w:tc>
        <w:tc>
          <w:tcPr>
            <w:tcW w:w="0" w:type="auto"/>
            <w:gridSpan w:val="3"/>
            <w:shd w:val="clear" w:color="auto" w:fill="auto"/>
          </w:tcPr>
          <w:p w14:paraId="5EA27736" w14:textId="77777777" w:rsidR="003C66EB" w:rsidRDefault="003C66EB">
            <w:pPr>
              <w:rPr>
                <w:rFonts w:ascii="宋体"/>
                <w:vanish/>
              </w:rPr>
            </w:pPr>
          </w:p>
        </w:tc>
        <w:tc>
          <w:tcPr>
            <w:tcW w:w="0" w:type="auto"/>
            <w:gridSpan w:val="3"/>
            <w:shd w:val="clear" w:color="auto" w:fill="auto"/>
          </w:tcPr>
          <w:p w14:paraId="5EA27737" w14:textId="77777777" w:rsidR="003C66EB" w:rsidRDefault="003C66EB">
            <w:pPr>
              <w:rPr>
                <w:rFonts w:ascii="宋体"/>
                <w:vanish/>
              </w:rPr>
            </w:pPr>
          </w:p>
        </w:tc>
        <w:tc>
          <w:tcPr>
            <w:tcW w:w="0" w:type="auto"/>
            <w:gridSpan w:val="3"/>
            <w:shd w:val="clear" w:color="auto" w:fill="auto"/>
          </w:tcPr>
          <w:p w14:paraId="5EA27738" w14:textId="77777777" w:rsidR="003C66EB" w:rsidRDefault="003C66EB">
            <w:pPr>
              <w:rPr>
                <w:rFonts w:ascii="宋体"/>
                <w:vanish/>
              </w:rPr>
            </w:pPr>
          </w:p>
        </w:tc>
        <w:tc>
          <w:tcPr>
            <w:tcW w:w="0" w:type="auto"/>
            <w:shd w:val="clear" w:color="auto" w:fill="auto"/>
          </w:tcPr>
          <w:p w14:paraId="5EA27739" w14:textId="77777777" w:rsidR="003C66EB" w:rsidRDefault="003C66EB">
            <w:pPr>
              <w:rPr>
                <w:rFonts w:ascii="宋体"/>
              </w:rPr>
            </w:pPr>
          </w:p>
        </w:tc>
        <w:tc>
          <w:tcPr>
            <w:tcW w:w="0" w:type="auto"/>
            <w:shd w:val="clear" w:color="auto" w:fill="auto"/>
          </w:tcPr>
          <w:p w14:paraId="5EA2773A" w14:textId="77777777" w:rsidR="003C66EB" w:rsidRDefault="003C66EB">
            <w:pPr>
              <w:rPr>
                <w:rFonts w:ascii="宋体"/>
              </w:rPr>
            </w:pPr>
          </w:p>
        </w:tc>
        <w:tc>
          <w:tcPr>
            <w:tcW w:w="0" w:type="auto"/>
            <w:shd w:val="clear" w:color="auto" w:fill="auto"/>
          </w:tcPr>
          <w:p w14:paraId="5EA2773B" w14:textId="77777777" w:rsidR="003C66EB" w:rsidRDefault="003C66EB">
            <w:pPr>
              <w:rPr>
                <w:rFonts w:ascii="宋体"/>
              </w:rPr>
            </w:pPr>
          </w:p>
        </w:tc>
        <w:tc>
          <w:tcPr>
            <w:tcW w:w="0" w:type="auto"/>
            <w:shd w:val="clear" w:color="auto" w:fill="auto"/>
          </w:tcPr>
          <w:p w14:paraId="5EA2773C" w14:textId="77777777" w:rsidR="003C66EB" w:rsidRDefault="003C66EB">
            <w:pPr>
              <w:rPr>
                <w:rFonts w:ascii="宋体"/>
              </w:rPr>
            </w:pPr>
          </w:p>
        </w:tc>
        <w:tc>
          <w:tcPr>
            <w:tcW w:w="0" w:type="auto"/>
            <w:shd w:val="clear" w:color="auto" w:fill="auto"/>
          </w:tcPr>
          <w:p w14:paraId="5EA2773D" w14:textId="77777777" w:rsidR="003C66EB" w:rsidRDefault="003C66EB">
            <w:pPr>
              <w:rPr>
                <w:rFonts w:ascii="宋体"/>
              </w:rPr>
            </w:pPr>
          </w:p>
        </w:tc>
        <w:tc>
          <w:tcPr>
            <w:tcW w:w="0" w:type="auto"/>
            <w:shd w:val="clear" w:color="auto" w:fill="auto"/>
          </w:tcPr>
          <w:p w14:paraId="5EA2773E" w14:textId="77777777" w:rsidR="003C66EB" w:rsidRDefault="003C66EB">
            <w:pPr>
              <w:rPr>
                <w:rFonts w:ascii="宋体"/>
              </w:rPr>
            </w:pPr>
          </w:p>
        </w:tc>
        <w:tc>
          <w:tcPr>
            <w:tcW w:w="0" w:type="auto"/>
            <w:shd w:val="clear" w:color="auto" w:fill="auto"/>
          </w:tcPr>
          <w:p w14:paraId="5EA2773F" w14:textId="77777777" w:rsidR="003C66EB" w:rsidRDefault="003C66EB">
            <w:pPr>
              <w:rPr>
                <w:rFonts w:ascii="宋体"/>
              </w:rPr>
            </w:pPr>
          </w:p>
        </w:tc>
        <w:tc>
          <w:tcPr>
            <w:tcW w:w="0" w:type="auto"/>
            <w:shd w:val="clear" w:color="auto" w:fill="auto"/>
          </w:tcPr>
          <w:p w14:paraId="5EA27740" w14:textId="77777777" w:rsidR="003C66EB" w:rsidRDefault="003C66EB">
            <w:pPr>
              <w:rPr>
                <w:rFonts w:ascii="宋体"/>
              </w:rPr>
            </w:pPr>
          </w:p>
        </w:tc>
        <w:tc>
          <w:tcPr>
            <w:tcW w:w="0" w:type="auto"/>
            <w:shd w:val="clear" w:color="auto" w:fill="auto"/>
          </w:tcPr>
          <w:p w14:paraId="5EA27741" w14:textId="77777777" w:rsidR="003C66EB" w:rsidRDefault="003C66EB">
            <w:pPr>
              <w:rPr>
                <w:rFonts w:ascii="宋体"/>
              </w:rPr>
            </w:pPr>
          </w:p>
        </w:tc>
        <w:tc>
          <w:tcPr>
            <w:tcW w:w="0" w:type="auto"/>
            <w:shd w:val="clear" w:color="auto" w:fill="auto"/>
          </w:tcPr>
          <w:p w14:paraId="5EA27742" w14:textId="77777777" w:rsidR="003C66EB" w:rsidRDefault="003C66EB">
            <w:pPr>
              <w:rPr>
                <w:rFonts w:ascii="宋体"/>
              </w:rPr>
            </w:pPr>
          </w:p>
        </w:tc>
        <w:tc>
          <w:tcPr>
            <w:tcW w:w="0" w:type="auto"/>
            <w:shd w:val="clear" w:color="auto" w:fill="auto"/>
          </w:tcPr>
          <w:p w14:paraId="5EA27743" w14:textId="77777777" w:rsidR="003C66EB" w:rsidRDefault="003C66EB">
            <w:pPr>
              <w:rPr>
                <w:rFonts w:ascii="宋体"/>
              </w:rPr>
            </w:pPr>
          </w:p>
        </w:tc>
        <w:tc>
          <w:tcPr>
            <w:tcW w:w="0" w:type="auto"/>
            <w:shd w:val="clear" w:color="auto" w:fill="auto"/>
          </w:tcPr>
          <w:p w14:paraId="5EA27744" w14:textId="77777777" w:rsidR="003C66EB" w:rsidRDefault="003C66EB">
            <w:pPr>
              <w:rPr>
                <w:rFonts w:ascii="宋体"/>
              </w:rPr>
            </w:pPr>
          </w:p>
        </w:tc>
        <w:tc>
          <w:tcPr>
            <w:tcW w:w="0" w:type="auto"/>
            <w:shd w:val="clear" w:color="auto" w:fill="auto"/>
          </w:tcPr>
          <w:p w14:paraId="5EA27745" w14:textId="77777777" w:rsidR="003C66EB" w:rsidRDefault="003C66EB">
            <w:pPr>
              <w:rPr>
                <w:rFonts w:ascii="宋体"/>
              </w:rPr>
            </w:pPr>
          </w:p>
        </w:tc>
        <w:tc>
          <w:tcPr>
            <w:tcW w:w="0" w:type="auto"/>
            <w:shd w:val="clear" w:color="auto" w:fill="auto"/>
          </w:tcPr>
          <w:p w14:paraId="5EA27746" w14:textId="77777777" w:rsidR="003C66EB" w:rsidRDefault="003C66EB">
            <w:pPr>
              <w:rPr>
                <w:rFonts w:ascii="宋体"/>
              </w:rPr>
            </w:pPr>
          </w:p>
        </w:tc>
        <w:tc>
          <w:tcPr>
            <w:tcW w:w="0" w:type="auto"/>
            <w:shd w:val="clear" w:color="auto" w:fill="auto"/>
          </w:tcPr>
          <w:p w14:paraId="5EA27747" w14:textId="77777777" w:rsidR="003C66EB" w:rsidRDefault="003C66EB">
            <w:pPr>
              <w:rPr>
                <w:rFonts w:ascii="宋体"/>
              </w:rPr>
            </w:pPr>
          </w:p>
        </w:tc>
        <w:tc>
          <w:tcPr>
            <w:tcW w:w="0" w:type="auto"/>
            <w:shd w:val="clear" w:color="auto" w:fill="auto"/>
          </w:tcPr>
          <w:p w14:paraId="5EA27748" w14:textId="77777777" w:rsidR="003C66EB" w:rsidRDefault="003C66EB">
            <w:pPr>
              <w:rPr>
                <w:rFonts w:ascii="宋体"/>
              </w:rPr>
            </w:pPr>
          </w:p>
        </w:tc>
        <w:tc>
          <w:tcPr>
            <w:tcW w:w="0" w:type="auto"/>
            <w:shd w:val="clear" w:color="auto" w:fill="auto"/>
          </w:tcPr>
          <w:p w14:paraId="5EA27749" w14:textId="77777777" w:rsidR="003C66EB" w:rsidRDefault="003C66EB">
            <w:pPr>
              <w:rPr>
                <w:rFonts w:ascii="宋体"/>
              </w:rPr>
            </w:pPr>
          </w:p>
        </w:tc>
        <w:tc>
          <w:tcPr>
            <w:tcW w:w="0" w:type="auto"/>
            <w:shd w:val="clear" w:color="auto" w:fill="auto"/>
          </w:tcPr>
          <w:p w14:paraId="5EA2774A" w14:textId="77777777" w:rsidR="003C66EB" w:rsidRDefault="003C66EB">
            <w:pPr>
              <w:rPr>
                <w:rFonts w:ascii="宋体"/>
              </w:rPr>
            </w:pPr>
          </w:p>
        </w:tc>
        <w:tc>
          <w:tcPr>
            <w:tcW w:w="0" w:type="auto"/>
            <w:shd w:val="clear" w:color="auto" w:fill="auto"/>
          </w:tcPr>
          <w:p w14:paraId="5EA2774B" w14:textId="77777777" w:rsidR="003C66EB" w:rsidRDefault="003C66EB">
            <w:pPr>
              <w:rPr>
                <w:rFonts w:ascii="宋体"/>
              </w:rPr>
            </w:pPr>
          </w:p>
        </w:tc>
        <w:tc>
          <w:tcPr>
            <w:tcW w:w="0" w:type="auto"/>
            <w:shd w:val="clear" w:color="auto" w:fill="auto"/>
          </w:tcPr>
          <w:p w14:paraId="5EA2774C" w14:textId="77777777" w:rsidR="003C66EB" w:rsidRDefault="003C66EB">
            <w:pPr>
              <w:rPr>
                <w:rFonts w:ascii="宋体"/>
              </w:rPr>
            </w:pPr>
          </w:p>
        </w:tc>
        <w:tc>
          <w:tcPr>
            <w:tcW w:w="0" w:type="auto"/>
            <w:shd w:val="clear" w:color="auto" w:fill="auto"/>
          </w:tcPr>
          <w:p w14:paraId="5EA2774D" w14:textId="77777777" w:rsidR="003C66EB" w:rsidRDefault="003C66EB">
            <w:pPr>
              <w:rPr>
                <w:rFonts w:ascii="宋体"/>
              </w:rPr>
            </w:pPr>
          </w:p>
        </w:tc>
        <w:tc>
          <w:tcPr>
            <w:tcW w:w="0" w:type="auto"/>
            <w:shd w:val="clear" w:color="auto" w:fill="auto"/>
          </w:tcPr>
          <w:p w14:paraId="5EA2774E" w14:textId="77777777" w:rsidR="003C66EB" w:rsidRDefault="003C66EB">
            <w:pPr>
              <w:rPr>
                <w:rFonts w:ascii="宋体"/>
              </w:rPr>
            </w:pPr>
          </w:p>
        </w:tc>
        <w:tc>
          <w:tcPr>
            <w:tcW w:w="0" w:type="auto"/>
            <w:shd w:val="clear" w:color="auto" w:fill="auto"/>
          </w:tcPr>
          <w:p w14:paraId="5EA2774F" w14:textId="77777777" w:rsidR="003C66EB" w:rsidRDefault="003C66EB">
            <w:pPr>
              <w:rPr>
                <w:rFonts w:ascii="宋体"/>
              </w:rPr>
            </w:pPr>
          </w:p>
        </w:tc>
        <w:tc>
          <w:tcPr>
            <w:tcW w:w="0" w:type="auto"/>
            <w:shd w:val="clear" w:color="auto" w:fill="auto"/>
          </w:tcPr>
          <w:p w14:paraId="5EA27750" w14:textId="77777777" w:rsidR="003C66EB" w:rsidRDefault="003C66EB">
            <w:pPr>
              <w:rPr>
                <w:rFonts w:ascii="宋体"/>
              </w:rPr>
            </w:pPr>
          </w:p>
        </w:tc>
        <w:tc>
          <w:tcPr>
            <w:tcW w:w="0" w:type="auto"/>
            <w:shd w:val="clear" w:color="auto" w:fill="auto"/>
          </w:tcPr>
          <w:p w14:paraId="5EA27751" w14:textId="77777777" w:rsidR="003C66EB" w:rsidRDefault="003C66EB">
            <w:pPr>
              <w:rPr>
                <w:rFonts w:ascii="宋体"/>
              </w:rPr>
            </w:pPr>
          </w:p>
        </w:tc>
        <w:tc>
          <w:tcPr>
            <w:tcW w:w="0" w:type="auto"/>
            <w:shd w:val="clear" w:color="auto" w:fill="auto"/>
          </w:tcPr>
          <w:p w14:paraId="5EA27752" w14:textId="77777777" w:rsidR="003C66EB" w:rsidRDefault="003C66EB">
            <w:pPr>
              <w:rPr>
                <w:rFonts w:ascii="宋体"/>
              </w:rPr>
            </w:pPr>
          </w:p>
        </w:tc>
        <w:tc>
          <w:tcPr>
            <w:tcW w:w="0" w:type="auto"/>
            <w:shd w:val="clear" w:color="auto" w:fill="auto"/>
          </w:tcPr>
          <w:p w14:paraId="5EA27753" w14:textId="77777777" w:rsidR="003C66EB" w:rsidRDefault="003C66EB">
            <w:pPr>
              <w:rPr>
                <w:rFonts w:ascii="宋体"/>
              </w:rPr>
            </w:pPr>
          </w:p>
        </w:tc>
        <w:tc>
          <w:tcPr>
            <w:tcW w:w="0" w:type="auto"/>
            <w:shd w:val="clear" w:color="auto" w:fill="auto"/>
          </w:tcPr>
          <w:p w14:paraId="5EA27754" w14:textId="77777777" w:rsidR="003C66EB" w:rsidRDefault="003C66EB">
            <w:pPr>
              <w:rPr>
                <w:rFonts w:ascii="宋体"/>
              </w:rPr>
            </w:pPr>
          </w:p>
        </w:tc>
        <w:tc>
          <w:tcPr>
            <w:tcW w:w="0" w:type="auto"/>
            <w:shd w:val="clear" w:color="auto" w:fill="auto"/>
          </w:tcPr>
          <w:p w14:paraId="5EA27755" w14:textId="77777777" w:rsidR="003C66EB" w:rsidRDefault="003C66EB">
            <w:pPr>
              <w:rPr>
                <w:rFonts w:ascii="宋体"/>
              </w:rPr>
            </w:pPr>
          </w:p>
        </w:tc>
        <w:tc>
          <w:tcPr>
            <w:tcW w:w="0" w:type="auto"/>
            <w:shd w:val="clear" w:color="auto" w:fill="auto"/>
          </w:tcPr>
          <w:p w14:paraId="5EA27756" w14:textId="77777777" w:rsidR="003C66EB" w:rsidRDefault="003C66EB">
            <w:pPr>
              <w:rPr>
                <w:rFonts w:ascii="宋体"/>
              </w:rPr>
            </w:pPr>
          </w:p>
        </w:tc>
        <w:tc>
          <w:tcPr>
            <w:tcW w:w="0" w:type="auto"/>
            <w:shd w:val="clear" w:color="auto" w:fill="auto"/>
          </w:tcPr>
          <w:p w14:paraId="5EA27757" w14:textId="77777777" w:rsidR="003C66EB" w:rsidRDefault="003C66EB">
            <w:pPr>
              <w:rPr>
                <w:rFonts w:ascii="宋体"/>
              </w:rPr>
            </w:pPr>
          </w:p>
        </w:tc>
        <w:tc>
          <w:tcPr>
            <w:tcW w:w="0" w:type="auto"/>
            <w:shd w:val="clear" w:color="auto" w:fill="auto"/>
          </w:tcPr>
          <w:p w14:paraId="5EA27758" w14:textId="77777777" w:rsidR="003C66EB" w:rsidRDefault="003C66EB">
            <w:pPr>
              <w:rPr>
                <w:rFonts w:ascii="宋体"/>
              </w:rPr>
            </w:pPr>
          </w:p>
        </w:tc>
        <w:tc>
          <w:tcPr>
            <w:tcW w:w="0" w:type="auto"/>
            <w:shd w:val="clear" w:color="auto" w:fill="auto"/>
          </w:tcPr>
          <w:p w14:paraId="5EA27759" w14:textId="77777777" w:rsidR="003C66EB" w:rsidRDefault="003C66EB">
            <w:pPr>
              <w:rPr>
                <w:rFonts w:ascii="宋体"/>
              </w:rPr>
            </w:pPr>
          </w:p>
        </w:tc>
      </w:tr>
      <w:tr w:rsidR="003C66EB" w14:paraId="5EA27771" w14:textId="77777777">
        <w:trPr>
          <w:hidden/>
        </w:trPr>
        <w:tc>
          <w:tcPr>
            <w:tcW w:w="0" w:type="auto"/>
            <w:gridSpan w:val="3"/>
            <w:shd w:val="clear" w:color="auto" w:fill="auto"/>
          </w:tcPr>
          <w:p w14:paraId="5EA2775B" w14:textId="77777777" w:rsidR="003C66EB" w:rsidRDefault="003C66EB">
            <w:pPr>
              <w:rPr>
                <w:rFonts w:ascii="宋体"/>
                <w:vanish/>
              </w:rPr>
            </w:pPr>
          </w:p>
        </w:tc>
        <w:tc>
          <w:tcPr>
            <w:tcW w:w="0" w:type="auto"/>
            <w:gridSpan w:val="3"/>
            <w:shd w:val="clear" w:color="auto" w:fill="auto"/>
          </w:tcPr>
          <w:p w14:paraId="5EA2775C" w14:textId="77777777" w:rsidR="003C66EB" w:rsidRDefault="003C66EB">
            <w:pPr>
              <w:rPr>
                <w:rFonts w:ascii="宋体"/>
                <w:vanish/>
              </w:rPr>
            </w:pPr>
          </w:p>
        </w:tc>
        <w:tc>
          <w:tcPr>
            <w:tcW w:w="0" w:type="auto"/>
            <w:gridSpan w:val="3"/>
            <w:shd w:val="clear" w:color="auto" w:fill="auto"/>
          </w:tcPr>
          <w:p w14:paraId="5EA2775D" w14:textId="77777777" w:rsidR="003C66EB" w:rsidRDefault="003C66EB">
            <w:pPr>
              <w:rPr>
                <w:rFonts w:ascii="宋体"/>
                <w:vanish/>
              </w:rPr>
            </w:pPr>
          </w:p>
        </w:tc>
        <w:tc>
          <w:tcPr>
            <w:tcW w:w="0" w:type="auto"/>
            <w:gridSpan w:val="3"/>
            <w:shd w:val="clear" w:color="auto" w:fill="auto"/>
          </w:tcPr>
          <w:p w14:paraId="5EA2775E" w14:textId="77777777" w:rsidR="003C66EB" w:rsidRDefault="003C66EB">
            <w:pPr>
              <w:rPr>
                <w:rFonts w:ascii="宋体"/>
                <w:vanish/>
              </w:rPr>
            </w:pPr>
          </w:p>
        </w:tc>
        <w:tc>
          <w:tcPr>
            <w:tcW w:w="0" w:type="auto"/>
            <w:gridSpan w:val="3"/>
            <w:shd w:val="clear" w:color="auto" w:fill="auto"/>
          </w:tcPr>
          <w:p w14:paraId="5EA2775F" w14:textId="77777777" w:rsidR="003C66EB" w:rsidRDefault="003C66EB">
            <w:pPr>
              <w:rPr>
                <w:rFonts w:ascii="宋体"/>
                <w:vanish/>
              </w:rPr>
            </w:pPr>
          </w:p>
        </w:tc>
        <w:tc>
          <w:tcPr>
            <w:tcW w:w="0" w:type="auto"/>
            <w:gridSpan w:val="3"/>
            <w:shd w:val="clear" w:color="auto" w:fill="auto"/>
          </w:tcPr>
          <w:p w14:paraId="5EA27760" w14:textId="77777777" w:rsidR="003C66EB" w:rsidRDefault="003C66EB">
            <w:pPr>
              <w:rPr>
                <w:rFonts w:ascii="宋体"/>
                <w:vanish/>
              </w:rPr>
            </w:pPr>
          </w:p>
        </w:tc>
        <w:tc>
          <w:tcPr>
            <w:tcW w:w="0" w:type="auto"/>
            <w:gridSpan w:val="3"/>
            <w:shd w:val="clear" w:color="auto" w:fill="auto"/>
          </w:tcPr>
          <w:p w14:paraId="5EA27761" w14:textId="77777777" w:rsidR="003C66EB" w:rsidRDefault="003C66EB">
            <w:pPr>
              <w:rPr>
                <w:rFonts w:ascii="宋体"/>
                <w:vanish/>
              </w:rPr>
            </w:pPr>
          </w:p>
        </w:tc>
        <w:tc>
          <w:tcPr>
            <w:tcW w:w="0" w:type="auto"/>
            <w:gridSpan w:val="3"/>
            <w:shd w:val="clear" w:color="auto" w:fill="auto"/>
          </w:tcPr>
          <w:p w14:paraId="5EA27762" w14:textId="77777777" w:rsidR="003C66EB" w:rsidRDefault="003C66EB">
            <w:pPr>
              <w:rPr>
                <w:rFonts w:ascii="宋体"/>
                <w:vanish/>
              </w:rPr>
            </w:pPr>
          </w:p>
        </w:tc>
        <w:tc>
          <w:tcPr>
            <w:tcW w:w="0" w:type="auto"/>
            <w:gridSpan w:val="3"/>
            <w:shd w:val="clear" w:color="auto" w:fill="auto"/>
          </w:tcPr>
          <w:p w14:paraId="5EA27763" w14:textId="77777777" w:rsidR="003C66EB" w:rsidRDefault="003C66EB">
            <w:pPr>
              <w:rPr>
                <w:rFonts w:ascii="宋体"/>
                <w:vanish/>
              </w:rPr>
            </w:pPr>
          </w:p>
        </w:tc>
        <w:tc>
          <w:tcPr>
            <w:tcW w:w="0" w:type="auto"/>
            <w:gridSpan w:val="3"/>
            <w:shd w:val="clear" w:color="auto" w:fill="auto"/>
          </w:tcPr>
          <w:p w14:paraId="5EA27764" w14:textId="77777777" w:rsidR="003C66EB" w:rsidRDefault="003C66EB">
            <w:pPr>
              <w:rPr>
                <w:rFonts w:ascii="宋体"/>
                <w:vanish/>
              </w:rPr>
            </w:pPr>
          </w:p>
        </w:tc>
        <w:tc>
          <w:tcPr>
            <w:tcW w:w="0" w:type="auto"/>
            <w:gridSpan w:val="3"/>
            <w:shd w:val="clear" w:color="auto" w:fill="auto"/>
          </w:tcPr>
          <w:p w14:paraId="5EA27765" w14:textId="77777777" w:rsidR="003C66EB" w:rsidRDefault="003C66EB">
            <w:pPr>
              <w:rPr>
                <w:rFonts w:ascii="宋体"/>
                <w:vanish/>
              </w:rPr>
            </w:pPr>
          </w:p>
        </w:tc>
        <w:tc>
          <w:tcPr>
            <w:tcW w:w="0" w:type="auto"/>
            <w:gridSpan w:val="3"/>
            <w:shd w:val="clear" w:color="auto" w:fill="auto"/>
          </w:tcPr>
          <w:p w14:paraId="5EA27766" w14:textId="77777777" w:rsidR="003C66EB" w:rsidRDefault="003C66EB">
            <w:pPr>
              <w:rPr>
                <w:rFonts w:ascii="宋体"/>
                <w:vanish/>
              </w:rPr>
            </w:pPr>
          </w:p>
        </w:tc>
        <w:tc>
          <w:tcPr>
            <w:tcW w:w="0" w:type="auto"/>
            <w:gridSpan w:val="3"/>
            <w:shd w:val="clear" w:color="auto" w:fill="auto"/>
          </w:tcPr>
          <w:p w14:paraId="5EA27767" w14:textId="77777777" w:rsidR="003C66EB" w:rsidRDefault="003C66EB">
            <w:pPr>
              <w:rPr>
                <w:rFonts w:ascii="宋体"/>
                <w:vanish/>
              </w:rPr>
            </w:pPr>
          </w:p>
        </w:tc>
        <w:tc>
          <w:tcPr>
            <w:tcW w:w="0" w:type="auto"/>
            <w:gridSpan w:val="3"/>
            <w:shd w:val="clear" w:color="auto" w:fill="auto"/>
          </w:tcPr>
          <w:p w14:paraId="5EA27768" w14:textId="77777777" w:rsidR="003C66EB" w:rsidRDefault="003C66EB">
            <w:pPr>
              <w:rPr>
                <w:rFonts w:ascii="宋体"/>
                <w:vanish/>
              </w:rPr>
            </w:pPr>
          </w:p>
        </w:tc>
        <w:tc>
          <w:tcPr>
            <w:tcW w:w="0" w:type="auto"/>
            <w:gridSpan w:val="3"/>
            <w:shd w:val="clear" w:color="auto" w:fill="auto"/>
          </w:tcPr>
          <w:p w14:paraId="5EA27769" w14:textId="77777777" w:rsidR="003C66EB" w:rsidRDefault="003C66EB">
            <w:pPr>
              <w:rPr>
                <w:rFonts w:ascii="宋体"/>
                <w:vanish/>
              </w:rPr>
            </w:pPr>
          </w:p>
        </w:tc>
        <w:tc>
          <w:tcPr>
            <w:tcW w:w="0" w:type="auto"/>
            <w:gridSpan w:val="3"/>
            <w:shd w:val="clear" w:color="auto" w:fill="auto"/>
          </w:tcPr>
          <w:p w14:paraId="5EA2776A" w14:textId="77777777" w:rsidR="003C66EB" w:rsidRDefault="003C66EB">
            <w:pPr>
              <w:rPr>
                <w:rFonts w:ascii="宋体"/>
                <w:vanish/>
              </w:rPr>
            </w:pPr>
          </w:p>
        </w:tc>
        <w:tc>
          <w:tcPr>
            <w:tcW w:w="0" w:type="auto"/>
            <w:gridSpan w:val="3"/>
            <w:shd w:val="clear" w:color="auto" w:fill="auto"/>
          </w:tcPr>
          <w:p w14:paraId="5EA2776B" w14:textId="77777777" w:rsidR="003C66EB" w:rsidRDefault="003C66EB">
            <w:pPr>
              <w:rPr>
                <w:rFonts w:ascii="宋体"/>
                <w:vanish/>
              </w:rPr>
            </w:pPr>
          </w:p>
        </w:tc>
        <w:tc>
          <w:tcPr>
            <w:tcW w:w="0" w:type="auto"/>
            <w:gridSpan w:val="3"/>
            <w:shd w:val="clear" w:color="auto" w:fill="auto"/>
          </w:tcPr>
          <w:p w14:paraId="5EA2776C" w14:textId="77777777" w:rsidR="003C66EB" w:rsidRDefault="003C66EB">
            <w:pPr>
              <w:rPr>
                <w:rFonts w:ascii="宋体"/>
                <w:vanish/>
              </w:rPr>
            </w:pPr>
          </w:p>
        </w:tc>
        <w:tc>
          <w:tcPr>
            <w:tcW w:w="0" w:type="auto"/>
            <w:gridSpan w:val="3"/>
            <w:shd w:val="clear" w:color="auto" w:fill="auto"/>
          </w:tcPr>
          <w:p w14:paraId="5EA2776D" w14:textId="77777777" w:rsidR="003C66EB" w:rsidRDefault="003C66EB">
            <w:pPr>
              <w:rPr>
                <w:rFonts w:ascii="宋体"/>
                <w:vanish/>
              </w:rPr>
            </w:pPr>
          </w:p>
        </w:tc>
        <w:tc>
          <w:tcPr>
            <w:tcW w:w="0" w:type="auto"/>
            <w:gridSpan w:val="3"/>
            <w:shd w:val="clear" w:color="auto" w:fill="auto"/>
          </w:tcPr>
          <w:p w14:paraId="5EA2776E" w14:textId="77777777" w:rsidR="003C66EB" w:rsidRDefault="003C66EB">
            <w:pPr>
              <w:rPr>
                <w:rFonts w:ascii="宋体"/>
                <w:vanish/>
              </w:rPr>
            </w:pPr>
          </w:p>
        </w:tc>
        <w:tc>
          <w:tcPr>
            <w:tcW w:w="0" w:type="auto"/>
            <w:gridSpan w:val="2"/>
            <w:shd w:val="clear" w:color="auto" w:fill="auto"/>
          </w:tcPr>
          <w:p w14:paraId="5EA2776F" w14:textId="77777777" w:rsidR="003C66EB" w:rsidRDefault="003C66EB">
            <w:pPr>
              <w:rPr>
                <w:rFonts w:ascii="宋体"/>
                <w:vanish/>
              </w:rPr>
            </w:pPr>
          </w:p>
        </w:tc>
        <w:tc>
          <w:tcPr>
            <w:tcW w:w="0" w:type="auto"/>
            <w:shd w:val="clear" w:color="auto" w:fill="auto"/>
          </w:tcPr>
          <w:p w14:paraId="5EA27770" w14:textId="77777777" w:rsidR="003C66EB" w:rsidRDefault="003C66EB">
            <w:pPr>
              <w:rPr>
                <w:rFonts w:ascii="宋体"/>
                <w:vanish/>
              </w:rPr>
            </w:pPr>
          </w:p>
        </w:tc>
      </w:tr>
      <w:tr w:rsidR="003C66EB" w14:paraId="5EA27788" w14:textId="77777777">
        <w:trPr>
          <w:hidden/>
        </w:trPr>
        <w:tc>
          <w:tcPr>
            <w:tcW w:w="0" w:type="auto"/>
            <w:gridSpan w:val="3"/>
            <w:shd w:val="clear" w:color="auto" w:fill="auto"/>
          </w:tcPr>
          <w:p w14:paraId="5EA27772" w14:textId="77777777" w:rsidR="003C66EB" w:rsidRDefault="003C66EB">
            <w:pPr>
              <w:rPr>
                <w:rFonts w:ascii="宋体"/>
                <w:vanish/>
              </w:rPr>
            </w:pPr>
          </w:p>
        </w:tc>
        <w:tc>
          <w:tcPr>
            <w:tcW w:w="0" w:type="auto"/>
            <w:gridSpan w:val="3"/>
            <w:shd w:val="clear" w:color="auto" w:fill="auto"/>
          </w:tcPr>
          <w:p w14:paraId="5EA27773" w14:textId="77777777" w:rsidR="003C66EB" w:rsidRDefault="003C66EB">
            <w:pPr>
              <w:rPr>
                <w:rFonts w:ascii="宋体"/>
                <w:vanish/>
              </w:rPr>
            </w:pPr>
          </w:p>
        </w:tc>
        <w:tc>
          <w:tcPr>
            <w:tcW w:w="0" w:type="auto"/>
            <w:gridSpan w:val="3"/>
            <w:shd w:val="clear" w:color="auto" w:fill="auto"/>
          </w:tcPr>
          <w:p w14:paraId="5EA27774" w14:textId="77777777" w:rsidR="003C66EB" w:rsidRDefault="003C66EB">
            <w:pPr>
              <w:rPr>
                <w:rFonts w:ascii="宋体"/>
                <w:vanish/>
              </w:rPr>
            </w:pPr>
          </w:p>
        </w:tc>
        <w:tc>
          <w:tcPr>
            <w:tcW w:w="0" w:type="auto"/>
            <w:gridSpan w:val="3"/>
            <w:shd w:val="clear" w:color="auto" w:fill="auto"/>
          </w:tcPr>
          <w:p w14:paraId="5EA27775" w14:textId="77777777" w:rsidR="003C66EB" w:rsidRDefault="003C66EB">
            <w:pPr>
              <w:rPr>
                <w:rFonts w:ascii="宋体"/>
                <w:vanish/>
              </w:rPr>
            </w:pPr>
          </w:p>
        </w:tc>
        <w:tc>
          <w:tcPr>
            <w:tcW w:w="0" w:type="auto"/>
            <w:gridSpan w:val="3"/>
            <w:shd w:val="clear" w:color="auto" w:fill="auto"/>
          </w:tcPr>
          <w:p w14:paraId="5EA27776" w14:textId="77777777" w:rsidR="003C66EB" w:rsidRDefault="003C66EB">
            <w:pPr>
              <w:rPr>
                <w:rFonts w:ascii="宋体"/>
                <w:vanish/>
              </w:rPr>
            </w:pPr>
          </w:p>
        </w:tc>
        <w:tc>
          <w:tcPr>
            <w:tcW w:w="0" w:type="auto"/>
            <w:gridSpan w:val="3"/>
            <w:shd w:val="clear" w:color="auto" w:fill="auto"/>
          </w:tcPr>
          <w:p w14:paraId="5EA27777" w14:textId="77777777" w:rsidR="003C66EB" w:rsidRDefault="003C66EB">
            <w:pPr>
              <w:rPr>
                <w:rFonts w:ascii="宋体"/>
                <w:vanish/>
              </w:rPr>
            </w:pPr>
          </w:p>
        </w:tc>
        <w:tc>
          <w:tcPr>
            <w:tcW w:w="0" w:type="auto"/>
            <w:gridSpan w:val="3"/>
            <w:shd w:val="clear" w:color="auto" w:fill="auto"/>
          </w:tcPr>
          <w:p w14:paraId="5EA27778" w14:textId="77777777" w:rsidR="003C66EB" w:rsidRDefault="003C66EB">
            <w:pPr>
              <w:rPr>
                <w:rFonts w:ascii="宋体"/>
                <w:vanish/>
              </w:rPr>
            </w:pPr>
          </w:p>
        </w:tc>
        <w:tc>
          <w:tcPr>
            <w:tcW w:w="0" w:type="auto"/>
            <w:gridSpan w:val="3"/>
            <w:shd w:val="clear" w:color="auto" w:fill="auto"/>
          </w:tcPr>
          <w:p w14:paraId="5EA27779" w14:textId="77777777" w:rsidR="003C66EB" w:rsidRDefault="003C66EB">
            <w:pPr>
              <w:rPr>
                <w:rFonts w:ascii="宋体"/>
                <w:vanish/>
              </w:rPr>
            </w:pPr>
          </w:p>
        </w:tc>
        <w:tc>
          <w:tcPr>
            <w:tcW w:w="0" w:type="auto"/>
            <w:gridSpan w:val="3"/>
            <w:shd w:val="clear" w:color="auto" w:fill="auto"/>
          </w:tcPr>
          <w:p w14:paraId="5EA2777A" w14:textId="77777777" w:rsidR="003C66EB" w:rsidRDefault="003C66EB">
            <w:pPr>
              <w:rPr>
                <w:rFonts w:ascii="宋体"/>
                <w:vanish/>
              </w:rPr>
            </w:pPr>
          </w:p>
        </w:tc>
        <w:tc>
          <w:tcPr>
            <w:tcW w:w="0" w:type="auto"/>
            <w:gridSpan w:val="3"/>
            <w:shd w:val="clear" w:color="auto" w:fill="auto"/>
          </w:tcPr>
          <w:p w14:paraId="5EA2777B" w14:textId="77777777" w:rsidR="003C66EB" w:rsidRDefault="003C66EB">
            <w:pPr>
              <w:rPr>
                <w:rFonts w:ascii="宋体"/>
                <w:vanish/>
              </w:rPr>
            </w:pPr>
          </w:p>
        </w:tc>
        <w:tc>
          <w:tcPr>
            <w:tcW w:w="0" w:type="auto"/>
            <w:gridSpan w:val="3"/>
            <w:shd w:val="clear" w:color="auto" w:fill="auto"/>
          </w:tcPr>
          <w:p w14:paraId="5EA2777C" w14:textId="77777777" w:rsidR="003C66EB" w:rsidRDefault="003C66EB">
            <w:pPr>
              <w:rPr>
                <w:rFonts w:ascii="宋体"/>
                <w:vanish/>
              </w:rPr>
            </w:pPr>
          </w:p>
        </w:tc>
        <w:tc>
          <w:tcPr>
            <w:tcW w:w="0" w:type="auto"/>
            <w:gridSpan w:val="3"/>
            <w:shd w:val="clear" w:color="auto" w:fill="auto"/>
          </w:tcPr>
          <w:p w14:paraId="5EA2777D" w14:textId="77777777" w:rsidR="003C66EB" w:rsidRDefault="003C66EB">
            <w:pPr>
              <w:rPr>
                <w:rFonts w:ascii="宋体"/>
                <w:vanish/>
              </w:rPr>
            </w:pPr>
          </w:p>
        </w:tc>
        <w:tc>
          <w:tcPr>
            <w:tcW w:w="0" w:type="auto"/>
            <w:gridSpan w:val="3"/>
            <w:shd w:val="clear" w:color="auto" w:fill="auto"/>
          </w:tcPr>
          <w:p w14:paraId="5EA2777E" w14:textId="77777777" w:rsidR="003C66EB" w:rsidRDefault="003C66EB">
            <w:pPr>
              <w:rPr>
                <w:rFonts w:ascii="宋体"/>
                <w:vanish/>
              </w:rPr>
            </w:pPr>
          </w:p>
        </w:tc>
        <w:tc>
          <w:tcPr>
            <w:tcW w:w="0" w:type="auto"/>
            <w:gridSpan w:val="3"/>
            <w:shd w:val="clear" w:color="auto" w:fill="auto"/>
          </w:tcPr>
          <w:p w14:paraId="5EA2777F" w14:textId="77777777" w:rsidR="003C66EB" w:rsidRDefault="003C66EB">
            <w:pPr>
              <w:rPr>
                <w:rFonts w:ascii="宋体"/>
                <w:vanish/>
              </w:rPr>
            </w:pPr>
          </w:p>
        </w:tc>
        <w:tc>
          <w:tcPr>
            <w:tcW w:w="0" w:type="auto"/>
            <w:gridSpan w:val="3"/>
            <w:shd w:val="clear" w:color="auto" w:fill="auto"/>
          </w:tcPr>
          <w:p w14:paraId="5EA27780" w14:textId="77777777" w:rsidR="003C66EB" w:rsidRDefault="003C66EB">
            <w:pPr>
              <w:rPr>
                <w:rFonts w:ascii="宋体"/>
                <w:vanish/>
              </w:rPr>
            </w:pPr>
          </w:p>
        </w:tc>
        <w:tc>
          <w:tcPr>
            <w:tcW w:w="0" w:type="auto"/>
            <w:gridSpan w:val="3"/>
            <w:shd w:val="clear" w:color="auto" w:fill="auto"/>
          </w:tcPr>
          <w:p w14:paraId="5EA27781" w14:textId="77777777" w:rsidR="003C66EB" w:rsidRDefault="003C66EB">
            <w:pPr>
              <w:rPr>
                <w:rFonts w:ascii="宋体"/>
                <w:vanish/>
              </w:rPr>
            </w:pPr>
          </w:p>
        </w:tc>
        <w:tc>
          <w:tcPr>
            <w:tcW w:w="0" w:type="auto"/>
            <w:gridSpan w:val="3"/>
            <w:shd w:val="clear" w:color="auto" w:fill="auto"/>
          </w:tcPr>
          <w:p w14:paraId="5EA27782" w14:textId="77777777" w:rsidR="003C66EB" w:rsidRDefault="003C66EB">
            <w:pPr>
              <w:rPr>
                <w:rFonts w:ascii="宋体"/>
                <w:vanish/>
              </w:rPr>
            </w:pPr>
          </w:p>
        </w:tc>
        <w:tc>
          <w:tcPr>
            <w:tcW w:w="0" w:type="auto"/>
            <w:gridSpan w:val="3"/>
            <w:shd w:val="clear" w:color="auto" w:fill="auto"/>
          </w:tcPr>
          <w:p w14:paraId="5EA27783" w14:textId="77777777" w:rsidR="003C66EB" w:rsidRDefault="003C66EB">
            <w:pPr>
              <w:rPr>
                <w:rFonts w:ascii="宋体"/>
                <w:vanish/>
              </w:rPr>
            </w:pPr>
          </w:p>
        </w:tc>
        <w:tc>
          <w:tcPr>
            <w:tcW w:w="0" w:type="auto"/>
            <w:gridSpan w:val="3"/>
            <w:shd w:val="clear" w:color="auto" w:fill="auto"/>
          </w:tcPr>
          <w:p w14:paraId="5EA27784" w14:textId="77777777" w:rsidR="003C66EB" w:rsidRDefault="003C66EB">
            <w:pPr>
              <w:rPr>
                <w:rFonts w:ascii="宋体"/>
                <w:vanish/>
              </w:rPr>
            </w:pPr>
          </w:p>
        </w:tc>
        <w:tc>
          <w:tcPr>
            <w:tcW w:w="0" w:type="auto"/>
            <w:gridSpan w:val="3"/>
            <w:shd w:val="clear" w:color="auto" w:fill="auto"/>
          </w:tcPr>
          <w:p w14:paraId="5EA27785" w14:textId="77777777" w:rsidR="003C66EB" w:rsidRDefault="003C66EB">
            <w:pPr>
              <w:rPr>
                <w:rFonts w:ascii="宋体"/>
                <w:vanish/>
              </w:rPr>
            </w:pPr>
          </w:p>
        </w:tc>
        <w:tc>
          <w:tcPr>
            <w:tcW w:w="0" w:type="auto"/>
            <w:gridSpan w:val="2"/>
            <w:shd w:val="clear" w:color="auto" w:fill="auto"/>
          </w:tcPr>
          <w:p w14:paraId="5EA27786" w14:textId="77777777" w:rsidR="003C66EB" w:rsidRDefault="003C66EB">
            <w:pPr>
              <w:rPr>
                <w:rFonts w:ascii="宋体"/>
                <w:vanish/>
              </w:rPr>
            </w:pPr>
          </w:p>
        </w:tc>
        <w:tc>
          <w:tcPr>
            <w:tcW w:w="0" w:type="auto"/>
            <w:shd w:val="clear" w:color="auto" w:fill="auto"/>
          </w:tcPr>
          <w:p w14:paraId="5EA27787" w14:textId="77777777" w:rsidR="003C66EB" w:rsidRDefault="003C66EB">
            <w:pPr>
              <w:rPr>
                <w:rFonts w:ascii="宋体"/>
                <w:vanish/>
              </w:rPr>
            </w:pPr>
          </w:p>
        </w:tc>
      </w:tr>
      <w:tr w:rsidR="003C66EB" w14:paraId="5EA2779F" w14:textId="77777777">
        <w:trPr>
          <w:hidden/>
        </w:trPr>
        <w:tc>
          <w:tcPr>
            <w:tcW w:w="0" w:type="auto"/>
            <w:gridSpan w:val="3"/>
            <w:shd w:val="clear" w:color="auto" w:fill="auto"/>
          </w:tcPr>
          <w:p w14:paraId="5EA27789" w14:textId="77777777" w:rsidR="003C66EB" w:rsidRDefault="003C66EB">
            <w:pPr>
              <w:rPr>
                <w:rFonts w:ascii="宋体"/>
                <w:vanish/>
              </w:rPr>
            </w:pPr>
          </w:p>
        </w:tc>
        <w:tc>
          <w:tcPr>
            <w:tcW w:w="0" w:type="auto"/>
            <w:gridSpan w:val="3"/>
            <w:shd w:val="clear" w:color="auto" w:fill="auto"/>
          </w:tcPr>
          <w:p w14:paraId="5EA2778A" w14:textId="77777777" w:rsidR="003C66EB" w:rsidRDefault="003C66EB">
            <w:pPr>
              <w:rPr>
                <w:rFonts w:ascii="宋体"/>
                <w:vanish/>
              </w:rPr>
            </w:pPr>
          </w:p>
        </w:tc>
        <w:tc>
          <w:tcPr>
            <w:tcW w:w="0" w:type="auto"/>
            <w:gridSpan w:val="3"/>
            <w:shd w:val="clear" w:color="auto" w:fill="auto"/>
          </w:tcPr>
          <w:p w14:paraId="5EA2778B" w14:textId="77777777" w:rsidR="003C66EB" w:rsidRDefault="003C66EB">
            <w:pPr>
              <w:rPr>
                <w:rFonts w:ascii="宋体"/>
                <w:vanish/>
              </w:rPr>
            </w:pPr>
          </w:p>
        </w:tc>
        <w:tc>
          <w:tcPr>
            <w:tcW w:w="0" w:type="auto"/>
            <w:gridSpan w:val="3"/>
            <w:shd w:val="clear" w:color="auto" w:fill="auto"/>
          </w:tcPr>
          <w:p w14:paraId="5EA2778C" w14:textId="77777777" w:rsidR="003C66EB" w:rsidRDefault="003C66EB">
            <w:pPr>
              <w:rPr>
                <w:rFonts w:ascii="宋体"/>
                <w:vanish/>
              </w:rPr>
            </w:pPr>
          </w:p>
        </w:tc>
        <w:tc>
          <w:tcPr>
            <w:tcW w:w="0" w:type="auto"/>
            <w:gridSpan w:val="3"/>
            <w:shd w:val="clear" w:color="auto" w:fill="auto"/>
          </w:tcPr>
          <w:p w14:paraId="5EA2778D" w14:textId="77777777" w:rsidR="003C66EB" w:rsidRDefault="003C66EB">
            <w:pPr>
              <w:rPr>
                <w:rFonts w:ascii="宋体"/>
                <w:vanish/>
              </w:rPr>
            </w:pPr>
          </w:p>
        </w:tc>
        <w:tc>
          <w:tcPr>
            <w:tcW w:w="0" w:type="auto"/>
            <w:gridSpan w:val="3"/>
            <w:shd w:val="clear" w:color="auto" w:fill="auto"/>
          </w:tcPr>
          <w:p w14:paraId="5EA2778E" w14:textId="77777777" w:rsidR="003C66EB" w:rsidRDefault="003C66EB">
            <w:pPr>
              <w:rPr>
                <w:rFonts w:ascii="宋体"/>
                <w:vanish/>
              </w:rPr>
            </w:pPr>
          </w:p>
        </w:tc>
        <w:tc>
          <w:tcPr>
            <w:tcW w:w="0" w:type="auto"/>
            <w:gridSpan w:val="3"/>
            <w:shd w:val="clear" w:color="auto" w:fill="auto"/>
          </w:tcPr>
          <w:p w14:paraId="5EA2778F" w14:textId="77777777" w:rsidR="003C66EB" w:rsidRDefault="003C66EB">
            <w:pPr>
              <w:rPr>
                <w:rFonts w:ascii="宋体"/>
                <w:vanish/>
              </w:rPr>
            </w:pPr>
          </w:p>
        </w:tc>
        <w:tc>
          <w:tcPr>
            <w:tcW w:w="0" w:type="auto"/>
            <w:gridSpan w:val="3"/>
            <w:shd w:val="clear" w:color="auto" w:fill="auto"/>
          </w:tcPr>
          <w:p w14:paraId="5EA27790" w14:textId="77777777" w:rsidR="003C66EB" w:rsidRDefault="003C66EB">
            <w:pPr>
              <w:rPr>
                <w:rFonts w:ascii="宋体"/>
                <w:vanish/>
              </w:rPr>
            </w:pPr>
          </w:p>
        </w:tc>
        <w:tc>
          <w:tcPr>
            <w:tcW w:w="0" w:type="auto"/>
            <w:gridSpan w:val="3"/>
            <w:shd w:val="clear" w:color="auto" w:fill="auto"/>
          </w:tcPr>
          <w:p w14:paraId="5EA27791" w14:textId="77777777" w:rsidR="003C66EB" w:rsidRDefault="003C66EB">
            <w:pPr>
              <w:rPr>
                <w:rFonts w:ascii="宋体"/>
                <w:vanish/>
              </w:rPr>
            </w:pPr>
          </w:p>
        </w:tc>
        <w:tc>
          <w:tcPr>
            <w:tcW w:w="0" w:type="auto"/>
            <w:gridSpan w:val="3"/>
            <w:shd w:val="clear" w:color="auto" w:fill="auto"/>
          </w:tcPr>
          <w:p w14:paraId="5EA27792" w14:textId="77777777" w:rsidR="003C66EB" w:rsidRDefault="003C66EB">
            <w:pPr>
              <w:rPr>
                <w:rFonts w:ascii="宋体"/>
                <w:vanish/>
              </w:rPr>
            </w:pPr>
          </w:p>
        </w:tc>
        <w:tc>
          <w:tcPr>
            <w:tcW w:w="0" w:type="auto"/>
            <w:gridSpan w:val="3"/>
            <w:shd w:val="clear" w:color="auto" w:fill="auto"/>
          </w:tcPr>
          <w:p w14:paraId="5EA27793" w14:textId="77777777" w:rsidR="003C66EB" w:rsidRDefault="003C66EB">
            <w:pPr>
              <w:rPr>
                <w:rFonts w:ascii="宋体"/>
                <w:vanish/>
              </w:rPr>
            </w:pPr>
          </w:p>
        </w:tc>
        <w:tc>
          <w:tcPr>
            <w:tcW w:w="0" w:type="auto"/>
            <w:gridSpan w:val="3"/>
            <w:shd w:val="clear" w:color="auto" w:fill="auto"/>
          </w:tcPr>
          <w:p w14:paraId="5EA27794" w14:textId="77777777" w:rsidR="003C66EB" w:rsidRDefault="003C66EB">
            <w:pPr>
              <w:rPr>
                <w:rFonts w:ascii="宋体"/>
                <w:vanish/>
              </w:rPr>
            </w:pPr>
          </w:p>
        </w:tc>
        <w:tc>
          <w:tcPr>
            <w:tcW w:w="0" w:type="auto"/>
            <w:gridSpan w:val="3"/>
            <w:shd w:val="clear" w:color="auto" w:fill="auto"/>
          </w:tcPr>
          <w:p w14:paraId="5EA27795" w14:textId="77777777" w:rsidR="003C66EB" w:rsidRDefault="003C66EB">
            <w:pPr>
              <w:rPr>
                <w:rFonts w:ascii="宋体"/>
                <w:vanish/>
              </w:rPr>
            </w:pPr>
          </w:p>
        </w:tc>
        <w:tc>
          <w:tcPr>
            <w:tcW w:w="0" w:type="auto"/>
            <w:gridSpan w:val="3"/>
            <w:shd w:val="clear" w:color="auto" w:fill="auto"/>
          </w:tcPr>
          <w:p w14:paraId="5EA27796" w14:textId="77777777" w:rsidR="003C66EB" w:rsidRDefault="003C66EB">
            <w:pPr>
              <w:rPr>
                <w:rFonts w:ascii="宋体"/>
                <w:vanish/>
              </w:rPr>
            </w:pPr>
          </w:p>
        </w:tc>
        <w:tc>
          <w:tcPr>
            <w:tcW w:w="0" w:type="auto"/>
            <w:gridSpan w:val="3"/>
            <w:shd w:val="clear" w:color="auto" w:fill="auto"/>
          </w:tcPr>
          <w:p w14:paraId="5EA27797" w14:textId="77777777" w:rsidR="003C66EB" w:rsidRDefault="003C66EB">
            <w:pPr>
              <w:rPr>
                <w:rFonts w:ascii="宋体"/>
                <w:vanish/>
              </w:rPr>
            </w:pPr>
          </w:p>
        </w:tc>
        <w:tc>
          <w:tcPr>
            <w:tcW w:w="0" w:type="auto"/>
            <w:gridSpan w:val="3"/>
            <w:shd w:val="clear" w:color="auto" w:fill="auto"/>
          </w:tcPr>
          <w:p w14:paraId="5EA27798" w14:textId="77777777" w:rsidR="003C66EB" w:rsidRDefault="003C66EB">
            <w:pPr>
              <w:rPr>
                <w:rFonts w:ascii="宋体"/>
                <w:vanish/>
              </w:rPr>
            </w:pPr>
          </w:p>
        </w:tc>
        <w:tc>
          <w:tcPr>
            <w:tcW w:w="0" w:type="auto"/>
            <w:gridSpan w:val="3"/>
            <w:shd w:val="clear" w:color="auto" w:fill="auto"/>
          </w:tcPr>
          <w:p w14:paraId="5EA27799" w14:textId="77777777" w:rsidR="003C66EB" w:rsidRDefault="003C66EB">
            <w:pPr>
              <w:rPr>
                <w:rFonts w:ascii="宋体"/>
                <w:vanish/>
              </w:rPr>
            </w:pPr>
          </w:p>
        </w:tc>
        <w:tc>
          <w:tcPr>
            <w:tcW w:w="0" w:type="auto"/>
            <w:gridSpan w:val="3"/>
            <w:shd w:val="clear" w:color="auto" w:fill="auto"/>
          </w:tcPr>
          <w:p w14:paraId="5EA2779A" w14:textId="77777777" w:rsidR="003C66EB" w:rsidRDefault="003C66EB">
            <w:pPr>
              <w:rPr>
                <w:rFonts w:ascii="宋体"/>
                <w:vanish/>
              </w:rPr>
            </w:pPr>
          </w:p>
        </w:tc>
        <w:tc>
          <w:tcPr>
            <w:tcW w:w="0" w:type="auto"/>
            <w:gridSpan w:val="3"/>
            <w:shd w:val="clear" w:color="auto" w:fill="auto"/>
          </w:tcPr>
          <w:p w14:paraId="5EA2779B" w14:textId="77777777" w:rsidR="003C66EB" w:rsidRDefault="003C66EB">
            <w:pPr>
              <w:rPr>
                <w:rFonts w:ascii="宋体"/>
                <w:vanish/>
              </w:rPr>
            </w:pPr>
          </w:p>
        </w:tc>
        <w:tc>
          <w:tcPr>
            <w:tcW w:w="0" w:type="auto"/>
            <w:gridSpan w:val="3"/>
            <w:shd w:val="clear" w:color="auto" w:fill="auto"/>
          </w:tcPr>
          <w:p w14:paraId="5EA2779C" w14:textId="77777777" w:rsidR="003C66EB" w:rsidRDefault="003C66EB">
            <w:pPr>
              <w:rPr>
                <w:rFonts w:ascii="宋体"/>
                <w:vanish/>
              </w:rPr>
            </w:pPr>
          </w:p>
        </w:tc>
        <w:tc>
          <w:tcPr>
            <w:tcW w:w="0" w:type="auto"/>
            <w:gridSpan w:val="2"/>
            <w:shd w:val="clear" w:color="auto" w:fill="auto"/>
          </w:tcPr>
          <w:p w14:paraId="5EA2779D" w14:textId="77777777" w:rsidR="003C66EB" w:rsidRDefault="003C66EB">
            <w:pPr>
              <w:rPr>
                <w:rFonts w:ascii="宋体"/>
                <w:vanish/>
              </w:rPr>
            </w:pPr>
          </w:p>
        </w:tc>
        <w:tc>
          <w:tcPr>
            <w:tcW w:w="0" w:type="auto"/>
            <w:shd w:val="clear" w:color="auto" w:fill="auto"/>
          </w:tcPr>
          <w:p w14:paraId="5EA2779E" w14:textId="77777777" w:rsidR="003C66EB" w:rsidRDefault="003C66EB">
            <w:pPr>
              <w:rPr>
                <w:rFonts w:ascii="宋体"/>
                <w:vanish/>
              </w:rPr>
            </w:pPr>
          </w:p>
        </w:tc>
      </w:tr>
      <w:tr w:rsidR="003C66EB" w14:paraId="5EA277B6" w14:textId="77777777">
        <w:trPr>
          <w:hidden/>
        </w:trPr>
        <w:tc>
          <w:tcPr>
            <w:tcW w:w="0" w:type="auto"/>
            <w:gridSpan w:val="3"/>
            <w:shd w:val="clear" w:color="auto" w:fill="auto"/>
          </w:tcPr>
          <w:p w14:paraId="5EA277A0" w14:textId="77777777" w:rsidR="003C66EB" w:rsidRDefault="003C66EB">
            <w:pPr>
              <w:rPr>
                <w:rFonts w:ascii="宋体"/>
                <w:vanish/>
              </w:rPr>
            </w:pPr>
          </w:p>
        </w:tc>
        <w:tc>
          <w:tcPr>
            <w:tcW w:w="0" w:type="auto"/>
            <w:gridSpan w:val="3"/>
            <w:shd w:val="clear" w:color="auto" w:fill="auto"/>
          </w:tcPr>
          <w:p w14:paraId="5EA277A1" w14:textId="77777777" w:rsidR="003C66EB" w:rsidRDefault="003C66EB">
            <w:pPr>
              <w:rPr>
                <w:rFonts w:ascii="宋体"/>
                <w:vanish/>
              </w:rPr>
            </w:pPr>
          </w:p>
        </w:tc>
        <w:tc>
          <w:tcPr>
            <w:tcW w:w="0" w:type="auto"/>
            <w:gridSpan w:val="3"/>
            <w:shd w:val="clear" w:color="auto" w:fill="auto"/>
          </w:tcPr>
          <w:p w14:paraId="5EA277A2" w14:textId="77777777" w:rsidR="003C66EB" w:rsidRDefault="003C66EB">
            <w:pPr>
              <w:rPr>
                <w:rFonts w:ascii="宋体"/>
                <w:vanish/>
              </w:rPr>
            </w:pPr>
          </w:p>
        </w:tc>
        <w:tc>
          <w:tcPr>
            <w:tcW w:w="0" w:type="auto"/>
            <w:gridSpan w:val="3"/>
            <w:shd w:val="clear" w:color="auto" w:fill="auto"/>
          </w:tcPr>
          <w:p w14:paraId="5EA277A3" w14:textId="77777777" w:rsidR="003C66EB" w:rsidRDefault="003C66EB">
            <w:pPr>
              <w:rPr>
                <w:rFonts w:ascii="宋体"/>
                <w:vanish/>
              </w:rPr>
            </w:pPr>
          </w:p>
        </w:tc>
        <w:tc>
          <w:tcPr>
            <w:tcW w:w="0" w:type="auto"/>
            <w:gridSpan w:val="3"/>
            <w:shd w:val="clear" w:color="auto" w:fill="auto"/>
          </w:tcPr>
          <w:p w14:paraId="5EA277A4" w14:textId="77777777" w:rsidR="003C66EB" w:rsidRDefault="003C66EB">
            <w:pPr>
              <w:rPr>
                <w:rFonts w:ascii="宋体"/>
                <w:vanish/>
              </w:rPr>
            </w:pPr>
          </w:p>
        </w:tc>
        <w:tc>
          <w:tcPr>
            <w:tcW w:w="0" w:type="auto"/>
            <w:gridSpan w:val="3"/>
            <w:shd w:val="clear" w:color="auto" w:fill="auto"/>
          </w:tcPr>
          <w:p w14:paraId="5EA277A5" w14:textId="77777777" w:rsidR="003C66EB" w:rsidRDefault="003C66EB">
            <w:pPr>
              <w:rPr>
                <w:rFonts w:ascii="宋体"/>
                <w:vanish/>
              </w:rPr>
            </w:pPr>
          </w:p>
        </w:tc>
        <w:tc>
          <w:tcPr>
            <w:tcW w:w="0" w:type="auto"/>
            <w:gridSpan w:val="3"/>
            <w:shd w:val="clear" w:color="auto" w:fill="auto"/>
          </w:tcPr>
          <w:p w14:paraId="5EA277A6" w14:textId="77777777" w:rsidR="003C66EB" w:rsidRDefault="003C66EB">
            <w:pPr>
              <w:rPr>
                <w:rFonts w:ascii="宋体"/>
                <w:vanish/>
              </w:rPr>
            </w:pPr>
          </w:p>
        </w:tc>
        <w:tc>
          <w:tcPr>
            <w:tcW w:w="0" w:type="auto"/>
            <w:gridSpan w:val="3"/>
            <w:shd w:val="clear" w:color="auto" w:fill="auto"/>
          </w:tcPr>
          <w:p w14:paraId="5EA277A7" w14:textId="77777777" w:rsidR="003C66EB" w:rsidRDefault="003C66EB">
            <w:pPr>
              <w:rPr>
                <w:rFonts w:ascii="宋体"/>
                <w:vanish/>
              </w:rPr>
            </w:pPr>
          </w:p>
        </w:tc>
        <w:tc>
          <w:tcPr>
            <w:tcW w:w="0" w:type="auto"/>
            <w:gridSpan w:val="3"/>
            <w:shd w:val="clear" w:color="auto" w:fill="auto"/>
          </w:tcPr>
          <w:p w14:paraId="5EA277A8" w14:textId="77777777" w:rsidR="003C66EB" w:rsidRDefault="003C66EB">
            <w:pPr>
              <w:rPr>
                <w:rFonts w:ascii="宋体"/>
                <w:vanish/>
              </w:rPr>
            </w:pPr>
          </w:p>
        </w:tc>
        <w:tc>
          <w:tcPr>
            <w:tcW w:w="0" w:type="auto"/>
            <w:gridSpan w:val="3"/>
            <w:shd w:val="clear" w:color="auto" w:fill="auto"/>
          </w:tcPr>
          <w:p w14:paraId="5EA277A9" w14:textId="77777777" w:rsidR="003C66EB" w:rsidRDefault="003C66EB">
            <w:pPr>
              <w:rPr>
                <w:rFonts w:ascii="宋体"/>
                <w:vanish/>
              </w:rPr>
            </w:pPr>
          </w:p>
        </w:tc>
        <w:tc>
          <w:tcPr>
            <w:tcW w:w="0" w:type="auto"/>
            <w:gridSpan w:val="3"/>
            <w:shd w:val="clear" w:color="auto" w:fill="auto"/>
          </w:tcPr>
          <w:p w14:paraId="5EA277AA" w14:textId="77777777" w:rsidR="003C66EB" w:rsidRDefault="003C66EB">
            <w:pPr>
              <w:rPr>
                <w:rFonts w:ascii="宋体"/>
                <w:vanish/>
              </w:rPr>
            </w:pPr>
          </w:p>
        </w:tc>
        <w:tc>
          <w:tcPr>
            <w:tcW w:w="0" w:type="auto"/>
            <w:gridSpan w:val="3"/>
            <w:shd w:val="clear" w:color="auto" w:fill="auto"/>
          </w:tcPr>
          <w:p w14:paraId="5EA277AB" w14:textId="77777777" w:rsidR="003C66EB" w:rsidRDefault="003C66EB">
            <w:pPr>
              <w:rPr>
                <w:rFonts w:ascii="宋体"/>
                <w:vanish/>
              </w:rPr>
            </w:pPr>
          </w:p>
        </w:tc>
        <w:tc>
          <w:tcPr>
            <w:tcW w:w="0" w:type="auto"/>
            <w:gridSpan w:val="3"/>
            <w:shd w:val="clear" w:color="auto" w:fill="auto"/>
          </w:tcPr>
          <w:p w14:paraId="5EA277AC" w14:textId="77777777" w:rsidR="003C66EB" w:rsidRDefault="003C66EB">
            <w:pPr>
              <w:rPr>
                <w:rFonts w:ascii="宋体"/>
                <w:vanish/>
              </w:rPr>
            </w:pPr>
          </w:p>
        </w:tc>
        <w:tc>
          <w:tcPr>
            <w:tcW w:w="0" w:type="auto"/>
            <w:gridSpan w:val="3"/>
            <w:shd w:val="clear" w:color="auto" w:fill="auto"/>
          </w:tcPr>
          <w:p w14:paraId="5EA277AD" w14:textId="77777777" w:rsidR="003C66EB" w:rsidRDefault="003C66EB">
            <w:pPr>
              <w:rPr>
                <w:rFonts w:ascii="宋体"/>
                <w:vanish/>
              </w:rPr>
            </w:pPr>
          </w:p>
        </w:tc>
        <w:tc>
          <w:tcPr>
            <w:tcW w:w="0" w:type="auto"/>
            <w:gridSpan w:val="3"/>
            <w:shd w:val="clear" w:color="auto" w:fill="auto"/>
          </w:tcPr>
          <w:p w14:paraId="5EA277AE" w14:textId="77777777" w:rsidR="003C66EB" w:rsidRDefault="003C66EB">
            <w:pPr>
              <w:rPr>
                <w:rFonts w:ascii="宋体"/>
                <w:vanish/>
              </w:rPr>
            </w:pPr>
          </w:p>
        </w:tc>
        <w:tc>
          <w:tcPr>
            <w:tcW w:w="0" w:type="auto"/>
            <w:gridSpan w:val="3"/>
            <w:shd w:val="clear" w:color="auto" w:fill="auto"/>
          </w:tcPr>
          <w:p w14:paraId="5EA277AF" w14:textId="77777777" w:rsidR="003C66EB" w:rsidRDefault="003C66EB">
            <w:pPr>
              <w:rPr>
                <w:rFonts w:ascii="宋体"/>
                <w:vanish/>
              </w:rPr>
            </w:pPr>
          </w:p>
        </w:tc>
        <w:tc>
          <w:tcPr>
            <w:tcW w:w="0" w:type="auto"/>
            <w:gridSpan w:val="3"/>
            <w:shd w:val="clear" w:color="auto" w:fill="auto"/>
          </w:tcPr>
          <w:p w14:paraId="5EA277B0" w14:textId="77777777" w:rsidR="003C66EB" w:rsidRDefault="003C66EB">
            <w:pPr>
              <w:rPr>
                <w:rFonts w:ascii="宋体"/>
                <w:vanish/>
              </w:rPr>
            </w:pPr>
          </w:p>
        </w:tc>
        <w:tc>
          <w:tcPr>
            <w:tcW w:w="0" w:type="auto"/>
            <w:gridSpan w:val="3"/>
            <w:shd w:val="clear" w:color="auto" w:fill="auto"/>
          </w:tcPr>
          <w:p w14:paraId="5EA277B1" w14:textId="77777777" w:rsidR="003C66EB" w:rsidRDefault="003C66EB">
            <w:pPr>
              <w:rPr>
                <w:rFonts w:ascii="宋体"/>
                <w:vanish/>
              </w:rPr>
            </w:pPr>
          </w:p>
        </w:tc>
        <w:tc>
          <w:tcPr>
            <w:tcW w:w="0" w:type="auto"/>
            <w:gridSpan w:val="3"/>
            <w:shd w:val="clear" w:color="auto" w:fill="auto"/>
          </w:tcPr>
          <w:p w14:paraId="5EA277B2" w14:textId="77777777" w:rsidR="003C66EB" w:rsidRDefault="003C66EB">
            <w:pPr>
              <w:rPr>
                <w:rFonts w:ascii="宋体"/>
                <w:vanish/>
              </w:rPr>
            </w:pPr>
          </w:p>
        </w:tc>
        <w:tc>
          <w:tcPr>
            <w:tcW w:w="0" w:type="auto"/>
            <w:gridSpan w:val="3"/>
            <w:shd w:val="clear" w:color="auto" w:fill="auto"/>
          </w:tcPr>
          <w:p w14:paraId="5EA277B3" w14:textId="77777777" w:rsidR="003C66EB" w:rsidRDefault="003C66EB">
            <w:pPr>
              <w:rPr>
                <w:rFonts w:ascii="宋体"/>
                <w:vanish/>
              </w:rPr>
            </w:pPr>
          </w:p>
        </w:tc>
        <w:tc>
          <w:tcPr>
            <w:tcW w:w="0" w:type="auto"/>
            <w:gridSpan w:val="2"/>
            <w:shd w:val="clear" w:color="auto" w:fill="auto"/>
          </w:tcPr>
          <w:p w14:paraId="5EA277B4" w14:textId="77777777" w:rsidR="003C66EB" w:rsidRDefault="003C66EB">
            <w:pPr>
              <w:rPr>
                <w:rFonts w:ascii="宋体"/>
                <w:vanish/>
              </w:rPr>
            </w:pPr>
          </w:p>
        </w:tc>
        <w:tc>
          <w:tcPr>
            <w:tcW w:w="0" w:type="auto"/>
            <w:shd w:val="clear" w:color="auto" w:fill="auto"/>
          </w:tcPr>
          <w:p w14:paraId="5EA277B5" w14:textId="77777777" w:rsidR="003C66EB" w:rsidRDefault="003C66EB">
            <w:pPr>
              <w:rPr>
                <w:rFonts w:ascii="宋体"/>
                <w:vanish/>
              </w:rPr>
            </w:pPr>
          </w:p>
        </w:tc>
      </w:tr>
      <w:tr w:rsidR="003C66EB" w14:paraId="5EA277CD" w14:textId="77777777">
        <w:trPr>
          <w:hidden/>
        </w:trPr>
        <w:tc>
          <w:tcPr>
            <w:tcW w:w="0" w:type="auto"/>
            <w:gridSpan w:val="3"/>
            <w:shd w:val="clear" w:color="auto" w:fill="auto"/>
          </w:tcPr>
          <w:p w14:paraId="5EA277B7" w14:textId="77777777" w:rsidR="003C66EB" w:rsidRDefault="003C66EB">
            <w:pPr>
              <w:rPr>
                <w:rFonts w:ascii="宋体"/>
                <w:vanish/>
              </w:rPr>
            </w:pPr>
          </w:p>
        </w:tc>
        <w:tc>
          <w:tcPr>
            <w:tcW w:w="0" w:type="auto"/>
            <w:gridSpan w:val="3"/>
            <w:shd w:val="clear" w:color="auto" w:fill="auto"/>
          </w:tcPr>
          <w:p w14:paraId="5EA277B8" w14:textId="77777777" w:rsidR="003C66EB" w:rsidRDefault="003C66EB">
            <w:pPr>
              <w:rPr>
                <w:rFonts w:ascii="宋体"/>
                <w:vanish/>
              </w:rPr>
            </w:pPr>
          </w:p>
        </w:tc>
        <w:tc>
          <w:tcPr>
            <w:tcW w:w="0" w:type="auto"/>
            <w:gridSpan w:val="3"/>
            <w:shd w:val="clear" w:color="auto" w:fill="auto"/>
          </w:tcPr>
          <w:p w14:paraId="5EA277B9" w14:textId="77777777" w:rsidR="003C66EB" w:rsidRDefault="003C66EB">
            <w:pPr>
              <w:rPr>
                <w:rFonts w:ascii="宋体"/>
                <w:vanish/>
              </w:rPr>
            </w:pPr>
          </w:p>
        </w:tc>
        <w:tc>
          <w:tcPr>
            <w:tcW w:w="0" w:type="auto"/>
            <w:gridSpan w:val="3"/>
            <w:shd w:val="clear" w:color="auto" w:fill="auto"/>
          </w:tcPr>
          <w:p w14:paraId="5EA277BA" w14:textId="77777777" w:rsidR="003C66EB" w:rsidRDefault="003C66EB">
            <w:pPr>
              <w:rPr>
                <w:rFonts w:ascii="宋体"/>
                <w:vanish/>
              </w:rPr>
            </w:pPr>
          </w:p>
        </w:tc>
        <w:tc>
          <w:tcPr>
            <w:tcW w:w="0" w:type="auto"/>
            <w:gridSpan w:val="3"/>
            <w:shd w:val="clear" w:color="auto" w:fill="auto"/>
          </w:tcPr>
          <w:p w14:paraId="5EA277BB" w14:textId="77777777" w:rsidR="003C66EB" w:rsidRDefault="003C66EB">
            <w:pPr>
              <w:rPr>
                <w:rFonts w:ascii="宋体"/>
                <w:vanish/>
              </w:rPr>
            </w:pPr>
          </w:p>
        </w:tc>
        <w:tc>
          <w:tcPr>
            <w:tcW w:w="0" w:type="auto"/>
            <w:gridSpan w:val="3"/>
            <w:shd w:val="clear" w:color="auto" w:fill="auto"/>
          </w:tcPr>
          <w:p w14:paraId="5EA277BC" w14:textId="77777777" w:rsidR="003C66EB" w:rsidRDefault="003C66EB">
            <w:pPr>
              <w:rPr>
                <w:rFonts w:ascii="宋体"/>
                <w:vanish/>
              </w:rPr>
            </w:pPr>
          </w:p>
        </w:tc>
        <w:tc>
          <w:tcPr>
            <w:tcW w:w="0" w:type="auto"/>
            <w:gridSpan w:val="3"/>
            <w:shd w:val="clear" w:color="auto" w:fill="auto"/>
          </w:tcPr>
          <w:p w14:paraId="5EA277BD" w14:textId="77777777" w:rsidR="003C66EB" w:rsidRDefault="003C66EB">
            <w:pPr>
              <w:rPr>
                <w:rFonts w:ascii="宋体"/>
                <w:vanish/>
              </w:rPr>
            </w:pPr>
          </w:p>
        </w:tc>
        <w:tc>
          <w:tcPr>
            <w:tcW w:w="0" w:type="auto"/>
            <w:gridSpan w:val="3"/>
            <w:shd w:val="clear" w:color="auto" w:fill="auto"/>
          </w:tcPr>
          <w:p w14:paraId="5EA277BE" w14:textId="77777777" w:rsidR="003C66EB" w:rsidRDefault="003C66EB">
            <w:pPr>
              <w:rPr>
                <w:rFonts w:ascii="宋体"/>
                <w:vanish/>
              </w:rPr>
            </w:pPr>
          </w:p>
        </w:tc>
        <w:tc>
          <w:tcPr>
            <w:tcW w:w="0" w:type="auto"/>
            <w:gridSpan w:val="3"/>
            <w:shd w:val="clear" w:color="auto" w:fill="auto"/>
          </w:tcPr>
          <w:p w14:paraId="5EA277BF" w14:textId="77777777" w:rsidR="003C66EB" w:rsidRDefault="003C66EB">
            <w:pPr>
              <w:rPr>
                <w:rFonts w:ascii="宋体"/>
                <w:vanish/>
              </w:rPr>
            </w:pPr>
          </w:p>
        </w:tc>
        <w:tc>
          <w:tcPr>
            <w:tcW w:w="0" w:type="auto"/>
            <w:gridSpan w:val="3"/>
            <w:shd w:val="clear" w:color="auto" w:fill="auto"/>
          </w:tcPr>
          <w:p w14:paraId="5EA277C0" w14:textId="77777777" w:rsidR="003C66EB" w:rsidRDefault="003C66EB">
            <w:pPr>
              <w:rPr>
                <w:rFonts w:ascii="宋体"/>
                <w:vanish/>
              </w:rPr>
            </w:pPr>
          </w:p>
        </w:tc>
        <w:tc>
          <w:tcPr>
            <w:tcW w:w="0" w:type="auto"/>
            <w:gridSpan w:val="3"/>
            <w:shd w:val="clear" w:color="auto" w:fill="auto"/>
          </w:tcPr>
          <w:p w14:paraId="5EA277C1" w14:textId="77777777" w:rsidR="003C66EB" w:rsidRDefault="003C66EB">
            <w:pPr>
              <w:rPr>
                <w:rFonts w:ascii="宋体"/>
                <w:vanish/>
              </w:rPr>
            </w:pPr>
          </w:p>
        </w:tc>
        <w:tc>
          <w:tcPr>
            <w:tcW w:w="0" w:type="auto"/>
            <w:gridSpan w:val="3"/>
            <w:shd w:val="clear" w:color="auto" w:fill="auto"/>
          </w:tcPr>
          <w:p w14:paraId="5EA277C2" w14:textId="77777777" w:rsidR="003C66EB" w:rsidRDefault="003C66EB">
            <w:pPr>
              <w:rPr>
                <w:rFonts w:ascii="宋体"/>
                <w:vanish/>
              </w:rPr>
            </w:pPr>
          </w:p>
        </w:tc>
        <w:tc>
          <w:tcPr>
            <w:tcW w:w="0" w:type="auto"/>
            <w:gridSpan w:val="3"/>
            <w:shd w:val="clear" w:color="auto" w:fill="auto"/>
          </w:tcPr>
          <w:p w14:paraId="5EA277C3" w14:textId="77777777" w:rsidR="003C66EB" w:rsidRDefault="003C66EB">
            <w:pPr>
              <w:rPr>
                <w:rFonts w:ascii="宋体"/>
                <w:vanish/>
              </w:rPr>
            </w:pPr>
          </w:p>
        </w:tc>
        <w:tc>
          <w:tcPr>
            <w:tcW w:w="0" w:type="auto"/>
            <w:gridSpan w:val="3"/>
            <w:shd w:val="clear" w:color="auto" w:fill="auto"/>
          </w:tcPr>
          <w:p w14:paraId="5EA277C4" w14:textId="77777777" w:rsidR="003C66EB" w:rsidRDefault="003C66EB">
            <w:pPr>
              <w:rPr>
                <w:rFonts w:ascii="宋体"/>
                <w:vanish/>
              </w:rPr>
            </w:pPr>
          </w:p>
        </w:tc>
        <w:tc>
          <w:tcPr>
            <w:tcW w:w="0" w:type="auto"/>
            <w:gridSpan w:val="3"/>
            <w:shd w:val="clear" w:color="auto" w:fill="auto"/>
          </w:tcPr>
          <w:p w14:paraId="5EA277C5" w14:textId="77777777" w:rsidR="003C66EB" w:rsidRDefault="003C66EB">
            <w:pPr>
              <w:rPr>
                <w:rFonts w:ascii="宋体"/>
                <w:vanish/>
              </w:rPr>
            </w:pPr>
          </w:p>
        </w:tc>
        <w:tc>
          <w:tcPr>
            <w:tcW w:w="0" w:type="auto"/>
            <w:gridSpan w:val="3"/>
            <w:shd w:val="clear" w:color="auto" w:fill="auto"/>
          </w:tcPr>
          <w:p w14:paraId="5EA277C6" w14:textId="77777777" w:rsidR="003C66EB" w:rsidRDefault="003C66EB">
            <w:pPr>
              <w:rPr>
                <w:rFonts w:ascii="宋体"/>
                <w:vanish/>
              </w:rPr>
            </w:pPr>
          </w:p>
        </w:tc>
        <w:tc>
          <w:tcPr>
            <w:tcW w:w="0" w:type="auto"/>
            <w:gridSpan w:val="3"/>
            <w:shd w:val="clear" w:color="auto" w:fill="auto"/>
          </w:tcPr>
          <w:p w14:paraId="5EA277C7" w14:textId="77777777" w:rsidR="003C66EB" w:rsidRDefault="003C66EB">
            <w:pPr>
              <w:rPr>
                <w:rFonts w:ascii="宋体"/>
                <w:vanish/>
              </w:rPr>
            </w:pPr>
          </w:p>
        </w:tc>
        <w:tc>
          <w:tcPr>
            <w:tcW w:w="0" w:type="auto"/>
            <w:gridSpan w:val="3"/>
            <w:shd w:val="clear" w:color="auto" w:fill="auto"/>
          </w:tcPr>
          <w:p w14:paraId="5EA277C8" w14:textId="77777777" w:rsidR="003C66EB" w:rsidRDefault="003C66EB">
            <w:pPr>
              <w:rPr>
                <w:rFonts w:ascii="宋体"/>
                <w:vanish/>
              </w:rPr>
            </w:pPr>
          </w:p>
        </w:tc>
        <w:tc>
          <w:tcPr>
            <w:tcW w:w="0" w:type="auto"/>
            <w:gridSpan w:val="3"/>
            <w:shd w:val="clear" w:color="auto" w:fill="auto"/>
          </w:tcPr>
          <w:p w14:paraId="5EA277C9" w14:textId="77777777" w:rsidR="003C66EB" w:rsidRDefault="003C66EB">
            <w:pPr>
              <w:rPr>
                <w:rFonts w:ascii="宋体"/>
                <w:vanish/>
              </w:rPr>
            </w:pPr>
          </w:p>
        </w:tc>
        <w:tc>
          <w:tcPr>
            <w:tcW w:w="0" w:type="auto"/>
            <w:gridSpan w:val="3"/>
            <w:shd w:val="clear" w:color="auto" w:fill="auto"/>
          </w:tcPr>
          <w:p w14:paraId="5EA277CA" w14:textId="77777777" w:rsidR="003C66EB" w:rsidRDefault="003C66EB">
            <w:pPr>
              <w:rPr>
                <w:rFonts w:ascii="宋体"/>
                <w:vanish/>
              </w:rPr>
            </w:pPr>
          </w:p>
        </w:tc>
        <w:tc>
          <w:tcPr>
            <w:tcW w:w="0" w:type="auto"/>
            <w:gridSpan w:val="2"/>
            <w:shd w:val="clear" w:color="auto" w:fill="auto"/>
          </w:tcPr>
          <w:p w14:paraId="5EA277CB" w14:textId="77777777" w:rsidR="003C66EB" w:rsidRDefault="003C66EB">
            <w:pPr>
              <w:rPr>
                <w:rFonts w:ascii="宋体"/>
                <w:vanish/>
              </w:rPr>
            </w:pPr>
          </w:p>
        </w:tc>
        <w:tc>
          <w:tcPr>
            <w:tcW w:w="0" w:type="auto"/>
            <w:shd w:val="clear" w:color="auto" w:fill="auto"/>
          </w:tcPr>
          <w:p w14:paraId="5EA277CC" w14:textId="77777777" w:rsidR="003C66EB" w:rsidRDefault="003C66EB">
            <w:pPr>
              <w:rPr>
                <w:rFonts w:ascii="宋体"/>
                <w:vanish/>
              </w:rPr>
            </w:pPr>
          </w:p>
        </w:tc>
      </w:tr>
      <w:tr w:rsidR="003C66EB" w14:paraId="5EA277E4" w14:textId="77777777">
        <w:trPr>
          <w:hidden/>
        </w:trPr>
        <w:tc>
          <w:tcPr>
            <w:tcW w:w="0" w:type="auto"/>
            <w:gridSpan w:val="3"/>
            <w:shd w:val="clear" w:color="auto" w:fill="auto"/>
          </w:tcPr>
          <w:p w14:paraId="5EA277CE" w14:textId="77777777" w:rsidR="003C66EB" w:rsidRDefault="003C66EB">
            <w:pPr>
              <w:rPr>
                <w:rFonts w:ascii="宋体"/>
                <w:vanish/>
              </w:rPr>
            </w:pPr>
          </w:p>
        </w:tc>
        <w:tc>
          <w:tcPr>
            <w:tcW w:w="0" w:type="auto"/>
            <w:gridSpan w:val="3"/>
            <w:shd w:val="clear" w:color="auto" w:fill="auto"/>
          </w:tcPr>
          <w:p w14:paraId="5EA277CF" w14:textId="77777777" w:rsidR="003C66EB" w:rsidRDefault="003C66EB">
            <w:pPr>
              <w:rPr>
                <w:rFonts w:ascii="宋体"/>
                <w:vanish/>
              </w:rPr>
            </w:pPr>
          </w:p>
        </w:tc>
        <w:tc>
          <w:tcPr>
            <w:tcW w:w="0" w:type="auto"/>
            <w:gridSpan w:val="3"/>
            <w:shd w:val="clear" w:color="auto" w:fill="auto"/>
          </w:tcPr>
          <w:p w14:paraId="5EA277D0" w14:textId="77777777" w:rsidR="003C66EB" w:rsidRDefault="003C66EB">
            <w:pPr>
              <w:rPr>
                <w:rFonts w:ascii="宋体"/>
                <w:vanish/>
              </w:rPr>
            </w:pPr>
          </w:p>
        </w:tc>
        <w:tc>
          <w:tcPr>
            <w:tcW w:w="0" w:type="auto"/>
            <w:gridSpan w:val="3"/>
            <w:shd w:val="clear" w:color="auto" w:fill="auto"/>
          </w:tcPr>
          <w:p w14:paraId="5EA277D1" w14:textId="77777777" w:rsidR="003C66EB" w:rsidRDefault="003C66EB">
            <w:pPr>
              <w:rPr>
                <w:rFonts w:ascii="宋体"/>
                <w:vanish/>
              </w:rPr>
            </w:pPr>
          </w:p>
        </w:tc>
        <w:tc>
          <w:tcPr>
            <w:tcW w:w="0" w:type="auto"/>
            <w:gridSpan w:val="3"/>
            <w:shd w:val="clear" w:color="auto" w:fill="auto"/>
          </w:tcPr>
          <w:p w14:paraId="5EA277D2" w14:textId="77777777" w:rsidR="003C66EB" w:rsidRDefault="003C66EB">
            <w:pPr>
              <w:rPr>
                <w:rFonts w:ascii="宋体"/>
                <w:vanish/>
              </w:rPr>
            </w:pPr>
          </w:p>
        </w:tc>
        <w:tc>
          <w:tcPr>
            <w:tcW w:w="0" w:type="auto"/>
            <w:gridSpan w:val="3"/>
            <w:shd w:val="clear" w:color="auto" w:fill="auto"/>
          </w:tcPr>
          <w:p w14:paraId="5EA277D3" w14:textId="77777777" w:rsidR="003C66EB" w:rsidRDefault="003C66EB">
            <w:pPr>
              <w:rPr>
                <w:rFonts w:ascii="宋体"/>
                <w:vanish/>
              </w:rPr>
            </w:pPr>
          </w:p>
        </w:tc>
        <w:tc>
          <w:tcPr>
            <w:tcW w:w="0" w:type="auto"/>
            <w:gridSpan w:val="3"/>
            <w:shd w:val="clear" w:color="auto" w:fill="auto"/>
          </w:tcPr>
          <w:p w14:paraId="5EA277D4" w14:textId="77777777" w:rsidR="003C66EB" w:rsidRDefault="003C66EB">
            <w:pPr>
              <w:rPr>
                <w:rFonts w:ascii="宋体"/>
                <w:vanish/>
              </w:rPr>
            </w:pPr>
          </w:p>
        </w:tc>
        <w:tc>
          <w:tcPr>
            <w:tcW w:w="0" w:type="auto"/>
            <w:gridSpan w:val="3"/>
            <w:shd w:val="clear" w:color="auto" w:fill="auto"/>
          </w:tcPr>
          <w:p w14:paraId="5EA277D5" w14:textId="77777777" w:rsidR="003C66EB" w:rsidRDefault="003C66EB">
            <w:pPr>
              <w:rPr>
                <w:rFonts w:ascii="宋体"/>
                <w:vanish/>
              </w:rPr>
            </w:pPr>
          </w:p>
        </w:tc>
        <w:tc>
          <w:tcPr>
            <w:tcW w:w="0" w:type="auto"/>
            <w:gridSpan w:val="3"/>
            <w:shd w:val="clear" w:color="auto" w:fill="auto"/>
          </w:tcPr>
          <w:p w14:paraId="5EA277D6" w14:textId="77777777" w:rsidR="003C66EB" w:rsidRDefault="003C66EB">
            <w:pPr>
              <w:rPr>
                <w:rFonts w:ascii="宋体"/>
                <w:vanish/>
              </w:rPr>
            </w:pPr>
          </w:p>
        </w:tc>
        <w:tc>
          <w:tcPr>
            <w:tcW w:w="0" w:type="auto"/>
            <w:gridSpan w:val="3"/>
            <w:shd w:val="clear" w:color="auto" w:fill="auto"/>
          </w:tcPr>
          <w:p w14:paraId="5EA277D7" w14:textId="77777777" w:rsidR="003C66EB" w:rsidRDefault="003C66EB">
            <w:pPr>
              <w:rPr>
                <w:rFonts w:ascii="宋体"/>
                <w:vanish/>
              </w:rPr>
            </w:pPr>
          </w:p>
        </w:tc>
        <w:tc>
          <w:tcPr>
            <w:tcW w:w="0" w:type="auto"/>
            <w:gridSpan w:val="3"/>
            <w:shd w:val="clear" w:color="auto" w:fill="auto"/>
          </w:tcPr>
          <w:p w14:paraId="5EA277D8" w14:textId="77777777" w:rsidR="003C66EB" w:rsidRDefault="003C66EB">
            <w:pPr>
              <w:rPr>
                <w:rFonts w:ascii="宋体"/>
                <w:vanish/>
              </w:rPr>
            </w:pPr>
          </w:p>
        </w:tc>
        <w:tc>
          <w:tcPr>
            <w:tcW w:w="0" w:type="auto"/>
            <w:gridSpan w:val="3"/>
            <w:shd w:val="clear" w:color="auto" w:fill="auto"/>
          </w:tcPr>
          <w:p w14:paraId="5EA277D9" w14:textId="77777777" w:rsidR="003C66EB" w:rsidRDefault="003C66EB">
            <w:pPr>
              <w:rPr>
                <w:rFonts w:ascii="宋体"/>
                <w:vanish/>
              </w:rPr>
            </w:pPr>
          </w:p>
        </w:tc>
        <w:tc>
          <w:tcPr>
            <w:tcW w:w="0" w:type="auto"/>
            <w:gridSpan w:val="3"/>
            <w:shd w:val="clear" w:color="auto" w:fill="auto"/>
          </w:tcPr>
          <w:p w14:paraId="5EA277DA" w14:textId="77777777" w:rsidR="003C66EB" w:rsidRDefault="003C66EB">
            <w:pPr>
              <w:rPr>
                <w:rFonts w:ascii="宋体"/>
                <w:vanish/>
              </w:rPr>
            </w:pPr>
          </w:p>
        </w:tc>
        <w:tc>
          <w:tcPr>
            <w:tcW w:w="0" w:type="auto"/>
            <w:gridSpan w:val="3"/>
            <w:shd w:val="clear" w:color="auto" w:fill="auto"/>
          </w:tcPr>
          <w:p w14:paraId="5EA277DB" w14:textId="77777777" w:rsidR="003C66EB" w:rsidRDefault="003C66EB">
            <w:pPr>
              <w:rPr>
                <w:rFonts w:ascii="宋体"/>
                <w:vanish/>
              </w:rPr>
            </w:pPr>
          </w:p>
        </w:tc>
        <w:tc>
          <w:tcPr>
            <w:tcW w:w="0" w:type="auto"/>
            <w:gridSpan w:val="3"/>
            <w:shd w:val="clear" w:color="auto" w:fill="auto"/>
          </w:tcPr>
          <w:p w14:paraId="5EA277DC" w14:textId="77777777" w:rsidR="003C66EB" w:rsidRDefault="003C66EB">
            <w:pPr>
              <w:rPr>
                <w:rFonts w:ascii="宋体"/>
                <w:vanish/>
              </w:rPr>
            </w:pPr>
          </w:p>
        </w:tc>
        <w:tc>
          <w:tcPr>
            <w:tcW w:w="0" w:type="auto"/>
            <w:gridSpan w:val="3"/>
            <w:shd w:val="clear" w:color="auto" w:fill="auto"/>
          </w:tcPr>
          <w:p w14:paraId="5EA277DD" w14:textId="77777777" w:rsidR="003C66EB" w:rsidRDefault="003C66EB">
            <w:pPr>
              <w:rPr>
                <w:rFonts w:ascii="宋体"/>
                <w:vanish/>
              </w:rPr>
            </w:pPr>
          </w:p>
        </w:tc>
        <w:tc>
          <w:tcPr>
            <w:tcW w:w="0" w:type="auto"/>
            <w:gridSpan w:val="3"/>
            <w:shd w:val="clear" w:color="auto" w:fill="auto"/>
          </w:tcPr>
          <w:p w14:paraId="5EA277DE" w14:textId="77777777" w:rsidR="003C66EB" w:rsidRDefault="003C66EB">
            <w:pPr>
              <w:rPr>
                <w:rFonts w:ascii="宋体"/>
                <w:vanish/>
              </w:rPr>
            </w:pPr>
          </w:p>
        </w:tc>
        <w:tc>
          <w:tcPr>
            <w:tcW w:w="0" w:type="auto"/>
            <w:gridSpan w:val="3"/>
            <w:shd w:val="clear" w:color="auto" w:fill="auto"/>
          </w:tcPr>
          <w:p w14:paraId="5EA277DF" w14:textId="77777777" w:rsidR="003C66EB" w:rsidRDefault="003C66EB">
            <w:pPr>
              <w:rPr>
                <w:rFonts w:ascii="宋体"/>
                <w:vanish/>
              </w:rPr>
            </w:pPr>
          </w:p>
        </w:tc>
        <w:tc>
          <w:tcPr>
            <w:tcW w:w="0" w:type="auto"/>
            <w:gridSpan w:val="3"/>
            <w:shd w:val="clear" w:color="auto" w:fill="auto"/>
          </w:tcPr>
          <w:p w14:paraId="5EA277E0" w14:textId="77777777" w:rsidR="003C66EB" w:rsidRDefault="003C66EB">
            <w:pPr>
              <w:rPr>
                <w:rFonts w:ascii="宋体"/>
                <w:vanish/>
              </w:rPr>
            </w:pPr>
          </w:p>
        </w:tc>
        <w:tc>
          <w:tcPr>
            <w:tcW w:w="0" w:type="auto"/>
            <w:gridSpan w:val="3"/>
            <w:shd w:val="clear" w:color="auto" w:fill="auto"/>
          </w:tcPr>
          <w:p w14:paraId="5EA277E1" w14:textId="77777777" w:rsidR="003C66EB" w:rsidRDefault="003C66EB">
            <w:pPr>
              <w:rPr>
                <w:rFonts w:ascii="宋体"/>
                <w:vanish/>
              </w:rPr>
            </w:pPr>
          </w:p>
        </w:tc>
        <w:tc>
          <w:tcPr>
            <w:tcW w:w="0" w:type="auto"/>
            <w:gridSpan w:val="2"/>
            <w:shd w:val="clear" w:color="auto" w:fill="auto"/>
          </w:tcPr>
          <w:p w14:paraId="5EA277E2" w14:textId="77777777" w:rsidR="003C66EB" w:rsidRDefault="003C66EB">
            <w:pPr>
              <w:rPr>
                <w:rFonts w:ascii="宋体"/>
                <w:vanish/>
              </w:rPr>
            </w:pPr>
          </w:p>
        </w:tc>
        <w:tc>
          <w:tcPr>
            <w:tcW w:w="0" w:type="auto"/>
            <w:shd w:val="clear" w:color="auto" w:fill="auto"/>
          </w:tcPr>
          <w:p w14:paraId="5EA277E3" w14:textId="77777777" w:rsidR="003C66EB" w:rsidRDefault="003C66EB">
            <w:pPr>
              <w:rPr>
                <w:rFonts w:ascii="宋体"/>
                <w:vanish/>
              </w:rPr>
            </w:pPr>
          </w:p>
        </w:tc>
      </w:tr>
      <w:tr w:rsidR="003C66EB" w14:paraId="5EA277FB" w14:textId="77777777">
        <w:trPr>
          <w:hidden/>
        </w:trPr>
        <w:tc>
          <w:tcPr>
            <w:tcW w:w="0" w:type="auto"/>
            <w:gridSpan w:val="3"/>
            <w:shd w:val="clear" w:color="auto" w:fill="auto"/>
          </w:tcPr>
          <w:p w14:paraId="5EA277E5" w14:textId="77777777" w:rsidR="003C66EB" w:rsidRDefault="003C66EB">
            <w:pPr>
              <w:rPr>
                <w:rFonts w:ascii="宋体"/>
                <w:vanish/>
              </w:rPr>
            </w:pPr>
          </w:p>
        </w:tc>
        <w:tc>
          <w:tcPr>
            <w:tcW w:w="0" w:type="auto"/>
            <w:gridSpan w:val="3"/>
            <w:shd w:val="clear" w:color="auto" w:fill="auto"/>
          </w:tcPr>
          <w:p w14:paraId="5EA277E6" w14:textId="77777777" w:rsidR="003C66EB" w:rsidRDefault="003C66EB">
            <w:pPr>
              <w:rPr>
                <w:rFonts w:ascii="宋体"/>
                <w:vanish/>
              </w:rPr>
            </w:pPr>
          </w:p>
        </w:tc>
        <w:tc>
          <w:tcPr>
            <w:tcW w:w="0" w:type="auto"/>
            <w:gridSpan w:val="3"/>
            <w:shd w:val="clear" w:color="auto" w:fill="auto"/>
          </w:tcPr>
          <w:p w14:paraId="5EA277E7" w14:textId="77777777" w:rsidR="003C66EB" w:rsidRDefault="003C66EB">
            <w:pPr>
              <w:rPr>
                <w:rFonts w:ascii="宋体"/>
                <w:vanish/>
              </w:rPr>
            </w:pPr>
          </w:p>
        </w:tc>
        <w:tc>
          <w:tcPr>
            <w:tcW w:w="0" w:type="auto"/>
            <w:gridSpan w:val="3"/>
            <w:shd w:val="clear" w:color="auto" w:fill="auto"/>
          </w:tcPr>
          <w:p w14:paraId="5EA277E8" w14:textId="77777777" w:rsidR="003C66EB" w:rsidRDefault="003C66EB">
            <w:pPr>
              <w:rPr>
                <w:rFonts w:ascii="宋体"/>
                <w:vanish/>
              </w:rPr>
            </w:pPr>
          </w:p>
        </w:tc>
        <w:tc>
          <w:tcPr>
            <w:tcW w:w="0" w:type="auto"/>
            <w:gridSpan w:val="3"/>
            <w:shd w:val="clear" w:color="auto" w:fill="auto"/>
          </w:tcPr>
          <w:p w14:paraId="5EA277E9" w14:textId="77777777" w:rsidR="003C66EB" w:rsidRDefault="003C66EB">
            <w:pPr>
              <w:rPr>
                <w:rFonts w:ascii="宋体"/>
                <w:vanish/>
              </w:rPr>
            </w:pPr>
          </w:p>
        </w:tc>
        <w:tc>
          <w:tcPr>
            <w:tcW w:w="0" w:type="auto"/>
            <w:gridSpan w:val="3"/>
            <w:shd w:val="clear" w:color="auto" w:fill="auto"/>
          </w:tcPr>
          <w:p w14:paraId="5EA277EA" w14:textId="77777777" w:rsidR="003C66EB" w:rsidRDefault="003C66EB">
            <w:pPr>
              <w:rPr>
                <w:rFonts w:ascii="宋体"/>
                <w:vanish/>
              </w:rPr>
            </w:pPr>
          </w:p>
        </w:tc>
        <w:tc>
          <w:tcPr>
            <w:tcW w:w="0" w:type="auto"/>
            <w:gridSpan w:val="3"/>
            <w:shd w:val="clear" w:color="auto" w:fill="auto"/>
          </w:tcPr>
          <w:p w14:paraId="5EA277EB" w14:textId="77777777" w:rsidR="003C66EB" w:rsidRDefault="003C66EB">
            <w:pPr>
              <w:rPr>
                <w:rFonts w:ascii="宋体"/>
                <w:vanish/>
              </w:rPr>
            </w:pPr>
          </w:p>
        </w:tc>
        <w:tc>
          <w:tcPr>
            <w:tcW w:w="0" w:type="auto"/>
            <w:gridSpan w:val="3"/>
            <w:shd w:val="clear" w:color="auto" w:fill="auto"/>
          </w:tcPr>
          <w:p w14:paraId="5EA277EC" w14:textId="77777777" w:rsidR="003C66EB" w:rsidRDefault="003C66EB">
            <w:pPr>
              <w:rPr>
                <w:rFonts w:ascii="宋体"/>
                <w:vanish/>
              </w:rPr>
            </w:pPr>
          </w:p>
        </w:tc>
        <w:tc>
          <w:tcPr>
            <w:tcW w:w="0" w:type="auto"/>
            <w:gridSpan w:val="3"/>
            <w:shd w:val="clear" w:color="auto" w:fill="auto"/>
          </w:tcPr>
          <w:p w14:paraId="5EA277ED" w14:textId="77777777" w:rsidR="003C66EB" w:rsidRDefault="003C66EB">
            <w:pPr>
              <w:rPr>
                <w:rFonts w:ascii="宋体"/>
                <w:vanish/>
              </w:rPr>
            </w:pPr>
          </w:p>
        </w:tc>
        <w:tc>
          <w:tcPr>
            <w:tcW w:w="0" w:type="auto"/>
            <w:gridSpan w:val="3"/>
            <w:shd w:val="clear" w:color="auto" w:fill="auto"/>
          </w:tcPr>
          <w:p w14:paraId="5EA277EE" w14:textId="77777777" w:rsidR="003C66EB" w:rsidRDefault="003C66EB">
            <w:pPr>
              <w:rPr>
                <w:rFonts w:ascii="宋体"/>
                <w:vanish/>
              </w:rPr>
            </w:pPr>
          </w:p>
        </w:tc>
        <w:tc>
          <w:tcPr>
            <w:tcW w:w="0" w:type="auto"/>
            <w:gridSpan w:val="3"/>
            <w:shd w:val="clear" w:color="auto" w:fill="auto"/>
          </w:tcPr>
          <w:p w14:paraId="5EA277EF" w14:textId="77777777" w:rsidR="003C66EB" w:rsidRDefault="003C66EB">
            <w:pPr>
              <w:rPr>
                <w:rFonts w:ascii="宋体"/>
                <w:vanish/>
              </w:rPr>
            </w:pPr>
          </w:p>
        </w:tc>
        <w:tc>
          <w:tcPr>
            <w:tcW w:w="0" w:type="auto"/>
            <w:gridSpan w:val="3"/>
            <w:shd w:val="clear" w:color="auto" w:fill="auto"/>
          </w:tcPr>
          <w:p w14:paraId="5EA277F0" w14:textId="77777777" w:rsidR="003C66EB" w:rsidRDefault="003C66EB">
            <w:pPr>
              <w:rPr>
                <w:rFonts w:ascii="宋体"/>
                <w:vanish/>
              </w:rPr>
            </w:pPr>
          </w:p>
        </w:tc>
        <w:tc>
          <w:tcPr>
            <w:tcW w:w="0" w:type="auto"/>
            <w:gridSpan w:val="3"/>
            <w:shd w:val="clear" w:color="auto" w:fill="auto"/>
          </w:tcPr>
          <w:p w14:paraId="5EA277F1" w14:textId="77777777" w:rsidR="003C66EB" w:rsidRDefault="003C66EB">
            <w:pPr>
              <w:rPr>
                <w:rFonts w:ascii="宋体"/>
                <w:vanish/>
              </w:rPr>
            </w:pPr>
          </w:p>
        </w:tc>
        <w:tc>
          <w:tcPr>
            <w:tcW w:w="0" w:type="auto"/>
            <w:gridSpan w:val="3"/>
            <w:shd w:val="clear" w:color="auto" w:fill="auto"/>
          </w:tcPr>
          <w:p w14:paraId="5EA277F2" w14:textId="77777777" w:rsidR="003C66EB" w:rsidRDefault="003C66EB">
            <w:pPr>
              <w:rPr>
                <w:rFonts w:ascii="宋体"/>
                <w:vanish/>
              </w:rPr>
            </w:pPr>
          </w:p>
        </w:tc>
        <w:tc>
          <w:tcPr>
            <w:tcW w:w="0" w:type="auto"/>
            <w:gridSpan w:val="3"/>
            <w:shd w:val="clear" w:color="auto" w:fill="auto"/>
          </w:tcPr>
          <w:p w14:paraId="5EA277F3" w14:textId="77777777" w:rsidR="003C66EB" w:rsidRDefault="003C66EB">
            <w:pPr>
              <w:rPr>
                <w:rFonts w:ascii="宋体"/>
                <w:vanish/>
              </w:rPr>
            </w:pPr>
          </w:p>
        </w:tc>
        <w:tc>
          <w:tcPr>
            <w:tcW w:w="0" w:type="auto"/>
            <w:gridSpan w:val="3"/>
            <w:shd w:val="clear" w:color="auto" w:fill="auto"/>
          </w:tcPr>
          <w:p w14:paraId="5EA277F4" w14:textId="77777777" w:rsidR="003C66EB" w:rsidRDefault="003C66EB">
            <w:pPr>
              <w:rPr>
                <w:rFonts w:ascii="宋体"/>
                <w:vanish/>
              </w:rPr>
            </w:pPr>
          </w:p>
        </w:tc>
        <w:tc>
          <w:tcPr>
            <w:tcW w:w="0" w:type="auto"/>
            <w:gridSpan w:val="3"/>
            <w:shd w:val="clear" w:color="auto" w:fill="auto"/>
          </w:tcPr>
          <w:p w14:paraId="5EA277F5" w14:textId="77777777" w:rsidR="003C66EB" w:rsidRDefault="003C66EB">
            <w:pPr>
              <w:rPr>
                <w:rFonts w:ascii="宋体"/>
                <w:vanish/>
              </w:rPr>
            </w:pPr>
          </w:p>
        </w:tc>
        <w:tc>
          <w:tcPr>
            <w:tcW w:w="0" w:type="auto"/>
            <w:gridSpan w:val="3"/>
            <w:shd w:val="clear" w:color="auto" w:fill="auto"/>
          </w:tcPr>
          <w:p w14:paraId="5EA277F6" w14:textId="77777777" w:rsidR="003C66EB" w:rsidRDefault="003C66EB">
            <w:pPr>
              <w:rPr>
                <w:rFonts w:ascii="宋体"/>
                <w:vanish/>
              </w:rPr>
            </w:pPr>
          </w:p>
        </w:tc>
        <w:tc>
          <w:tcPr>
            <w:tcW w:w="0" w:type="auto"/>
            <w:gridSpan w:val="3"/>
            <w:shd w:val="clear" w:color="auto" w:fill="auto"/>
          </w:tcPr>
          <w:p w14:paraId="5EA277F7" w14:textId="77777777" w:rsidR="003C66EB" w:rsidRDefault="003C66EB">
            <w:pPr>
              <w:rPr>
                <w:rFonts w:ascii="宋体"/>
                <w:vanish/>
              </w:rPr>
            </w:pPr>
          </w:p>
        </w:tc>
        <w:tc>
          <w:tcPr>
            <w:tcW w:w="0" w:type="auto"/>
            <w:gridSpan w:val="3"/>
            <w:shd w:val="clear" w:color="auto" w:fill="auto"/>
          </w:tcPr>
          <w:p w14:paraId="5EA277F8" w14:textId="77777777" w:rsidR="003C66EB" w:rsidRDefault="003C66EB">
            <w:pPr>
              <w:rPr>
                <w:rFonts w:ascii="宋体"/>
                <w:vanish/>
              </w:rPr>
            </w:pPr>
          </w:p>
        </w:tc>
        <w:tc>
          <w:tcPr>
            <w:tcW w:w="0" w:type="auto"/>
            <w:gridSpan w:val="2"/>
            <w:shd w:val="clear" w:color="auto" w:fill="auto"/>
          </w:tcPr>
          <w:p w14:paraId="5EA277F9" w14:textId="77777777" w:rsidR="003C66EB" w:rsidRDefault="003C66EB">
            <w:pPr>
              <w:rPr>
                <w:rFonts w:ascii="宋体"/>
                <w:vanish/>
              </w:rPr>
            </w:pPr>
          </w:p>
        </w:tc>
        <w:tc>
          <w:tcPr>
            <w:tcW w:w="0" w:type="auto"/>
            <w:shd w:val="clear" w:color="auto" w:fill="auto"/>
          </w:tcPr>
          <w:p w14:paraId="5EA277FA" w14:textId="77777777" w:rsidR="003C66EB" w:rsidRDefault="003C66EB">
            <w:pPr>
              <w:rPr>
                <w:rFonts w:ascii="宋体"/>
                <w:vanish/>
              </w:rPr>
            </w:pPr>
          </w:p>
        </w:tc>
      </w:tr>
      <w:tr w:rsidR="003C66EB" w14:paraId="5EA27812" w14:textId="77777777">
        <w:trPr>
          <w:hidden/>
        </w:trPr>
        <w:tc>
          <w:tcPr>
            <w:tcW w:w="0" w:type="auto"/>
            <w:gridSpan w:val="3"/>
            <w:shd w:val="clear" w:color="auto" w:fill="auto"/>
          </w:tcPr>
          <w:p w14:paraId="5EA277FC" w14:textId="77777777" w:rsidR="003C66EB" w:rsidRDefault="003C66EB">
            <w:pPr>
              <w:rPr>
                <w:rFonts w:ascii="宋体"/>
                <w:vanish/>
              </w:rPr>
            </w:pPr>
          </w:p>
        </w:tc>
        <w:tc>
          <w:tcPr>
            <w:tcW w:w="0" w:type="auto"/>
            <w:gridSpan w:val="3"/>
            <w:shd w:val="clear" w:color="auto" w:fill="auto"/>
          </w:tcPr>
          <w:p w14:paraId="5EA277FD" w14:textId="77777777" w:rsidR="003C66EB" w:rsidRDefault="003C66EB">
            <w:pPr>
              <w:rPr>
                <w:rFonts w:ascii="宋体"/>
                <w:vanish/>
              </w:rPr>
            </w:pPr>
          </w:p>
        </w:tc>
        <w:tc>
          <w:tcPr>
            <w:tcW w:w="0" w:type="auto"/>
            <w:gridSpan w:val="3"/>
            <w:shd w:val="clear" w:color="auto" w:fill="auto"/>
          </w:tcPr>
          <w:p w14:paraId="5EA277FE" w14:textId="77777777" w:rsidR="003C66EB" w:rsidRDefault="003C66EB">
            <w:pPr>
              <w:rPr>
                <w:rFonts w:ascii="宋体"/>
                <w:vanish/>
              </w:rPr>
            </w:pPr>
          </w:p>
        </w:tc>
        <w:tc>
          <w:tcPr>
            <w:tcW w:w="0" w:type="auto"/>
            <w:gridSpan w:val="3"/>
            <w:shd w:val="clear" w:color="auto" w:fill="auto"/>
          </w:tcPr>
          <w:p w14:paraId="5EA277FF" w14:textId="77777777" w:rsidR="003C66EB" w:rsidRDefault="003C66EB">
            <w:pPr>
              <w:rPr>
                <w:rFonts w:ascii="宋体"/>
                <w:vanish/>
              </w:rPr>
            </w:pPr>
          </w:p>
        </w:tc>
        <w:tc>
          <w:tcPr>
            <w:tcW w:w="0" w:type="auto"/>
            <w:gridSpan w:val="3"/>
            <w:shd w:val="clear" w:color="auto" w:fill="auto"/>
          </w:tcPr>
          <w:p w14:paraId="5EA27800" w14:textId="77777777" w:rsidR="003C66EB" w:rsidRDefault="003C66EB">
            <w:pPr>
              <w:rPr>
                <w:rFonts w:ascii="宋体"/>
                <w:vanish/>
              </w:rPr>
            </w:pPr>
          </w:p>
        </w:tc>
        <w:tc>
          <w:tcPr>
            <w:tcW w:w="0" w:type="auto"/>
            <w:gridSpan w:val="3"/>
            <w:shd w:val="clear" w:color="auto" w:fill="auto"/>
          </w:tcPr>
          <w:p w14:paraId="5EA27801" w14:textId="77777777" w:rsidR="003C66EB" w:rsidRDefault="003C66EB">
            <w:pPr>
              <w:rPr>
                <w:rFonts w:ascii="宋体"/>
                <w:vanish/>
              </w:rPr>
            </w:pPr>
          </w:p>
        </w:tc>
        <w:tc>
          <w:tcPr>
            <w:tcW w:w="0" w:type="auto"/>
            <w:gridSpan w:val="3"/>
            <w:shd w:val="clear" w:color="auto" w:fill="auto"/>
          </w:tcPr>
          <w:p w14:paraId="5EA27802" w14:textId="77777777" w:rsidR="003C66EB" w:rsidRDefault="003C66EB">
            <w:pPr>
              <w:rPr>
                <w:rFonts w:ascii="宋体"/>
                <w:vanish/>
              </w:rPr>
            </w:pPr>
          </w:p>
        </w:tc>
        <w:tc>
          <w:tcPr>
            <w:tcW w:w="0" w:type="auto"/>
            <w:gridSpan w:val="3"/>
            <w:shd w:val="clear" w:color="auto" w:fill="auto"/>
          </w:tcPr>
          <w:p w14:paraId="5EA27803" w14:textId="77777777" w:rsidR="003C66EB" w:rsidRDefault="003C66EB">
            <w:pPr>
              <w:rPr>
                <w:rFonts w:ascii="宋体"/>
                <w:vanish/>
              </w:rPr>
            </w:pPr>
          </w:p>
        </w:tc>
        <w:tc>
          <w:tcPr>
            <w:tcW w:w="0" w:type="auto"/>
            <w:gridSpan w:val="3"/>
            <w:shd w:val="clear" w:color="auto" w:fill="auto"/>
          </w:tcPr>
          <w:p w14:paraId="5EA27804" w14:textId="77777777" w:rsidR="003C66EB" w:rsidRDefault="003C66EB">
            <w:pPr>
              <w:rPr>
                <w:rFonts w:ascii="宋体"/>
                <w:vanish/>
              </w:rPr>
            </w:pPr>
          </w:p>
        </w:tc>
        <w:tc>
          <w:tcPr>
            <w:tcW w:w="0" w:type="auto"/>
            <w:gridSpan w:val="3"/>
            <w:shd w:val="clear" w:color="auto" w:fill="auto"/>
          </w:tcPr>
          <w:p w14:paraId="5EA27805" w14:textId="77777777" w:rsidR="003C66EB" w:rsidRDefault="003C66EB">
            <w:pPr>
              <w:rPr>
                <w:rFonts w:ascii="宋体"/>
                <w:vanish/>
              </w:rPr>
            </w:pPr>
          </w:p>
        </w:tc>
        <w:tc>
          <w:tcPr>
            <w:tcW w:w="0" w:type="auto"/>
            <w:gridSpan w:val="3"/>
            <w:shd w:val="clear" w:color="auto" w:fill="auto"/>
          </w:tcPr>
          <w:p w14:paraId="5EA27806" w14:textId="77777777" w:rsidR="003C66EB" w:rsidRDefault="003C66EB">
            <w:pPr>
              <w:rPr>
                <w:rFonts w:ascii="宋体"/>
                <w:vanish/>
              </w:rPr>
            </w:pPr>
          </w:p>
        </w:tc>
        <w:tc>
          <w:tcPr>
            <w:tcW w:w="0" w:type="auto"/>
            <w:gridSpan w:val="3"/>
            <w:shd w:val="clear" w:color="auto" w:fill="auto"/>
          </w:tcPr>
          <w:p w14:paraId="5EA27807" w14:textId="77777777" w:rsidR="003C66EB" w:rsidRDefault="003C66EB">
            <w:pPr>
              <w:rPr>
                <w:rFonts w:ascii="宋体"/>
                <w:vanish/>
              </w:rPr>
            </w:pPr>
          </w:p>
        </w:tc>
        <w:tc>
          <w:tcPr>
            <w:tcW w:w="0" w:type="auto"/>
            <w:gridSpan w:val="3"/>
            <w:shd w:val="clear" w:color="auto" w:fill="auto"/>
          </w:tcPr>
          <w:p w14:paraId="5EA27808" w14:textId="77777777" w:rsidR="003C66EB" w:rsidRDefault="003C66EB">
            <w:pPr>
              <w:rPr>
                <w:rFonts w:ascii="宋体"/>
                <w:vanish/>
              </w:rPr>
            </w:pPr>
          </w:p>
        </w:tc>
        <w:tc>
          <w:tcPr>
            <w:tcW w:w="0" w:type="auto"/>
            <w:gridSpan w:val="3"/>
            <w:shd w:val="clear" w:color="auto" w:fill="auto"/>
          </w:tcPr>
          <w:p w14:paraId="5EA27809" w14:textId="77777777" w:rsidR="003C66EB" w:rsidRDefault="003C66EB">
            <w:pPr>
              <w:rPr>
                <w:rFonts w:ascii="宋体"/>
                <w:vanish/>
              </w:rPr>
            </w:pPr>
          </w:p>
        </w:tc>
        <w:tc>
          <w:tcPr>
            <w:tcW w:w="0" w:type="auto"/>
            <w:gridSpan w:val="3"/>
            <w:shd w:val="clear" w:color="auto" w:fill="auto"/>
          </w:tcPr>
          <w:p w14:paraId="5EA2780A" w14:textId="77777777" w:rsidR="003C66EB" w:rsidRDefault="003C66EB">
            <w:pPr>
              <w:rPr>
                <w:rFonts w:ascii="宋体"/>
                <w:vanish/>
              </w:rPr>
            </w:pPr>
          </w:p>
        </w:tc>
        <w:tc>
          <w:tcPr>
            <w:tcW w:w="0" w:type="auto"/>
            <w:gridSpan w:val="3"/>
            <w:shd w:val="clear" w:color="auto" w:fill="auto"/>
          </w:tcPr>
          <w:p w14:paraId="5EA2780B" w14:textId="77777777" w:rsidR="003C66EB" w:rsidRDefault="003C66EB">
            <w:pPr>
              <w:rPr>
                <w:rFonts w:ascii="宋体"/>
                <w:vanish/>
              </w:rPr>
            </w:pPr>
          </w:p>
        </w:tc>
        <w:tc>
          <w:tcPr>
            <w:tcW w:w="0" w:type="auto"/>
            <w:gridSpan w:val="3"/>
            <w:shd w:val="clear" w:color="auto" w:fill="auto"/>
          </w:tcPr>
          <w:p w14:paraId="5EA2780C" w14:textId="77777777" w:rsidR="003C66EB" w:rsidRDefault="003C66EB">
            <w:pPr>
              <w:rPr>
                <w:rFonts w:ascii="宋体"/>
                <w:vanish/>
              </w:rPr>
            </w:pPr>
          </w:p>
        </w:tc>
        <w:tc>
          <w:tcPr>
            <w:tcW w:w="0" w:type="auto"/>
            <w:gridSpan w:val="3"/>
            <w:shd w:val="clear" w:color="auto" w:fill="auto"/>
          </w:tcPr>
          <w:p w14:paraId="5EA2780D" w14:textId="77777777" w:rsidR="003C66EB" w:rsidRDefault="003C66EB">
            <w:pPr>
              <w:rPr>
                <w:rFonts w:ascii="宋体"/>
                <w:vanish/>
              </w:rPr>
            </w:pPr>
          </w:p>
        </w:tc>
        <w:tc>
          <w:tcPr>
            <w:tcW w:w="0" w:type="auto"/>
            <w:gridSpan w:val="3"/>
            <w:shd w:val="clear" w:color="auto" w:fill="auto"/>
          </w:tcPr>
          <w:p w14:paraId="5EA2780E" w14:textId="77777777" w:rsidR="003C66EB" w:rsidRDefault="003C66EB">
            <w:pPr>
              <w:rPr>
                <w:rFonts w:ascii="宋体"/>
                <w:vanish/>
              </w:rPr>
            </w:pPr>
          </w:p>
        </w:tc>
        <w:tc>
          <w:tcPr>
            <w:tcW w:w="0" w:type="auto"/>
            <w:gridSpan w:val="3"/>
            <w:shd w:val="clear" w:color="auto" w:fill="auto"/>
          </w:tcPr>
          <w:p w14:paraId="5EA2780F" w14:textId="77777777" w:rsidR="003C66EB" w:rsidRDefault="003C66EB">
            <w:pPr>
              <w:rPr>
                <w:rFonts w:ascii="宋体"/>
                <w:vanish/>
              </w:rPr>
            </w:pPr>
          </w:p>
        </w:tc>
        <w:tc>
          <w:tcPr>
            <w:tcW w:w="0" w:type="auto"/>
            <w:gridSpan w:val="2"/>
            <w:shd w:val="clear" w:color="auto" w:fill="auto"/>
          </w:tcPr>
          <w:p w14:paraId="5EA27810" w14:textId="77777777" w:rsidR="003C66EB" w:rsidRDefault="003C66EB">
            <w:pPr>
              <w:rPr>
                <w:rFonts w:ascii="宋体"/>
                <w:vanish/>
              </w:rPr>
            </w:pPr>
          </w:p>
        </w:tc>
        <w:tc>
          <w:tcPr>
            <w:tcW w:w="0" w:type="auto"/>
            <w:shd w:val="clear" w:color="auto" w:fill="auto"/>
          </w:tcPr>
          <w:p w14:paraId="5EA27811" w14:textId="77777777" w:rsidR="003C66EB" w:rsidRDefault="003C66EB">
            <w:pPr>
              <w:rPr>
                <w:rFonts w:ascii="宋体"/>
                <w:vanish/>
              </w:rPr>
            </w:pPr>
          </w:p>
        </w:tc>
      </w:tr>
      <w:tr w:rsidR="003C66EB" w14:paraId="5EA27829" w14:textId="77777777">
        <w:trPr>
          <w:hidden/>
        </w:trPr>
        <w:tc>
          <w:tcPr>
            <w:tcW w:w="0" w:type="auto"/>
            <w:gridSpan w:val="3"/>
            <w:shd w:val="clear" w:color="auto" w:fill="auto"/>
          </w:tcPr>
          <w:p w14:paraId="5EA27813" w14:textId="77777777" w:rsidR="003C66EB" w:rsidRDefault="003C66EB">
            <w:pPr>
              <w:rPr>
                <w:rFonts w:ascii="宋体"/>
                <w:vanish/>
              </w:rPr>
            </w:pPr>
          </w:p>
        </w:tc>
        <w:tc>
          <w:tcPr>
            <w:tcW w:w="0" w:type="auto"/>
            <w:gridSpan w:val="3"/>
            <w:shd w:val="clear" w:color="auto" w:fill="auto"/>
          </w:tcPr>
          <w:p w14:paraId="5EA27814" w14:textId="77777777" w:rsidR="003C66EB" w:rsidRDefault="003C66EB">
            <w:pPr>
              <w:rPr>
                <w:rFonts w:ascii="宋体"/>
                <w:vanish/>
              </w:rPr>
            </w:pPr>
          </w:p>
        </w:tc>
        <w:tc>
          <w:tcPr>
            <w:tcW w:w="0" w:type="auto"/>
            <w:gridSpan w:val="3"/>
            <w:shd w:val="clear" w:color="auto" w:fill="auto"/>
          </w:tcPr>
          <w:p w14:paraId="5EA27815" w14:textId="77777777" w:rsidR="003C66EB" w:rsidRDefault="003C66EB">
            <w:pPr>
              <w:rPr>
                <w:rFonts w:ascii="宋体"/>
                <w:vanish/>
              </w:rPr>
            </w:pPr>
          </w:p>
        </w:tc>
        <w:tc>
          <w:tcPr>
            <w:tcW w:w="0" w:type="auto"/>
            <w:gridSpan w:val="3"/>
            <w:shd w:val="clear" w:color="auto" w:fill="auto"/>
          </w:tcPr>
          <w:p w14:paraId="5EA27816" w14:textId="77777777" w:rsidR="003C66EB" w:rsidRDefault="003C66EB">
            <w:pPr>
              <w:rPr>
                <w:rFonts w:ascii="宋体"/>
                <w:vanish/>
              </w:rPr>
            </w:pPr>
          </w:p>
        </w:tc>
        <w:tc>
          <w:tcPr>
            <w:tcW w:w="0" w:type="auto"/>
            <w:gridSpan w:val="3"/>
            <w:shd w:val="clear" w:color="auto" w:fill="auto"/>
          </w:tcPr>
          <w:p w14:paraId="5EA27817" w14:textId="77777777" w:rsidR="003C66EB" w:rsidRDefault="003C66EB">
            <w:pPr>
              <w:rPr>
                <w:rFonts w:ascii="宋体"/>
                <w:vanish/>
              </w:rPr>
            </w:pPr>
          </w:p>
        </w:tc>
        <w:tc>
          <w:tcPr>
            <w:tcW w:w="0" w:type="auto"/>
            <w:gridSpan w:val="3"/>
            <w:shd w:val="clear" w:color="auto" w:fill="auto"/>
          </w:tcPr>
          <w:p w14:paraId="5EA27818" w14:textId="77777777" w:rsidR="003C66EB" w:rsidRDefault="003C66EB">
            <w:pPr>
              <w:rPr>
                <w:rFonts w:ascii="宋体"/>
                <w:vanish/>
              </w:rPr>
            </w:pPr>
          </w:p>
        </w:tc>
        <w:tc>
          <w:tcPr>
            <w:tcW w:w="0" w:type="auto"/>
            <w:gridSpan w:val="3"/>
            <w:shd w:val="clear" w:color="auto" w:fill="auto"/>
          </w:tcPr>
          <w:p w14:paraId="5EA27819" w14:textId="77777777" w:rsidR="003C66EB" w:rsidRDefault="003C66EB">
            <w:pPr>
              <w:rPr>
                <w:rFonts w:ascii="宋体"/>
                <w:vanish/>
              </w:rPr>
            </w:pPr>
          </w:p>
        </w:tc>
        <w:tc>
          <w:tcPr>
            <w:tcW w:w="0" w:type="auto"/>
            <w:gridSpan w:val="3"/>
            <w:shd w:val="clear" w:color="auto" w:fill="auto"/>
          </w:tcPr>
          <w:p w14:paraId="5EA2781A" w14:textId="77777777" w:rsidR="003C66EB" w:rsidRDefault="003C66EB">
            <w:pPr>
              <w:rPr>
                <w:rFonts w:ascii="宋体"/>
                <w:vanish/>
              </w:rPr>
            </w:pPr>
          </w:p>
        </w:tc>
        <w:tc>
          <w:tcPr>
            <w:tcW w:w="0" w:type="auto"/>
            <w:gridSpan w:val="3"/>
            <w:shd w:val="clear" w:color="auto" w:fill="auto"/>
          </w:tcPr>
          <w:p w14:paraId="5EA2781B" w14:textId="77777777" w:rsidR="003C66EB" w:rsidRDefault="003C66EB">
            <w:pPr>
              <w:rPr>
                <w:rFonts w:ascii="宋体"/>
                <w:vanish/>
              </w:rPr>
            </w:pPr>
          </w:p>
        </w:tc>
        <w:tc>
          <w:tcPr>
            <w:tcW w:w="0" w:type="auto"/>
            <w:gridSpan w:val="3"/>
            <w:shd w:val="clear" w:color="auto" w:fill="auto"/>
          </w:tcPr>
          <w:p w14:paraId="5EA2781C" w14:textId="77777777" w:rsidR="003C66EB" w:rsidRDefault="003C66EB">
            <w:pPr>
              <w:rPr>
                <w:rFonts w:ascii="宋体"/>
                <w:vanish/>
              </w:rPr>
            </w:pPr>
          </w:p>
        </w:tc>
        <w:tc>
          <w:tcPr>
            <w:tcW w:w="0" w:type="auto"/>
            <w:gridSpan w:val="3"/>
            <w:shd w:val="clear" w:color="auto" w:fill="auto"/>
          </w:tcPr>
          <w:p w14:paraId="5EA2781D" w14:textId="77777777" w:rsidR="003C66EB" w:rsidRDefault="003C66EB">
            <w:pPr>
              <w:rPr>
                <w:rFonts w:ascii="宋体"/>
                <w:vanish/>
              </w:rPr>
            </w:pPr>
          </w:p>
        </w:tc>
        <w:tc>
          <w:tcPr>
            <w:tcW w:w="0" w:type="auto"/>
            <w:gridSpan w:val="3"/>
            <w:shd w:val="clear" w:color="auto" w:fill="auto"/>
          </w:tcPr>
          <w:p w14:paraId="5EA2781E" w14:textId="77777777" w:rsidR="003C66EB" w:rsidRDefault="003C66EB">
            <w:pPr>
              <w:rPr>
                <w:rFonts w:ascii="宋体"/>
                <w:vanish/>
              </w:rPr>
            </w:pPr>
          </w:p>
        </w:tc>
        <w:tc>
          <w:tcPr>
            <w:tcW w:w="0" w:type="auto"/>
            <w:gridSpan w:val="3"/>
            <w:shd w:val="clear" w:color="auto" w:fill="auto"/>
          </w:tcPr>
          <w:p w14:paraId="5EA2781F" w14:textId="77777777" w:rsidR="003C66EB" w:rsidRDefault="003C66EB">
            <w:pPr>
              <w:rPr>
                <w:rFonts w:ascii="宋体"/>
                <w:vanish/>
              </w:rPr>
            </w:pPr>
          </w:p>
        </w:tc>
        <w:tc>
          <w:tcPr>
            <w:tcW w:w="0" w:type="auto"/>
            <w:gridSpan w:val="3"/>
            <w:shd w:val="clear" w:color="auto" w:fill="auto"/>
          </w:tcPr>
          <w:p w14:paraId="5EA27820" w14:textId="77777777" w:rsidR="003C66EB" w:rsidRDefault="003C66EB">
            <w:pPr>
              <w:rPr>
                <w:rFonts w:ascii="宋体"/>
                <w:vanish/>
              </w:rPr>
            </w:pPr>
          </w:p>
        </w:tc>
        <w:tc>
          <w:tcPr>
            <w:tcW w:w="0" w:type="auto"/>
            <w:gridSpan w:val="3"/>
            <w:shd w:val="clear" w:color="auto" w:fill="auto"/>
          </w:tcPr>
          <w:p w14:paraId="5EA27821" w14:textId="77777777" w:rsidR="003C66EB" w:rsidRDefault="003C66EB">
            <w:pPr>
              <w:rPr>
                <w:rFonts w:ascii="宋体"/>
                <w:vanish/>
              </w:rPr>
            </w:pPr>
          </w:p>
        </w:tc>
        <w:tc>
          <w:tcPr>
            <w:tcW w:w="0" w:type="auto"/>
            <w:gridSpan w:val="3"/>
            <w:shd w:val="clear" w:color="auto" w:fill="auto"/>
          </w:tcPr>
          <w:p w14:paraId="5EA27822" w14:textId="77777777" w:rsidR="003C66EB" w:rsidRDefault="003C66EB">
            <w:pPr>
              <w:rPr>
                <w:rFonts w:ascii="宋体"/>
                <w:vanish/>
              </w:rPr>
            </w:pPr>
          </w:p>
        </w:tc>
        <w:tc>
          <w:tcPr>
            <w:tcW w:w="0" w:type="auto"/>
            <w:gridSpan w:val="3"/>
            <w:shd w:val="clear" w:color="auto" w:fill="auto"/>
          </w:tcPr>
          <w:p w14:paraId="5EA27823" w14:textId="77777777" w:rsidR="003C66EB" w:rsidRDefault="003C66EB">
            <w:pPr>
              <w:rPr>
                <w:rFonts w:ascii="宋体"/>
                <w:vanish/>
              </w:rPr>
            </w:pPr>
          </w:p>
        </w:tc>
        <w:tc>
          <w:tcPr>
            <w:tcW w:w="0" w:type="auto"/>
            <w:gridSpan w:val="3"/>
            <w:shd w:val="clear" w:color="auto" w:fill="auto"/>
          </w:tcPr>
          <w:p w14:paraId="5EA27824" w14:textId="77777777" w:rsidR="003C66EB" w:rsidRDefault="003C66EB">
            <w:pPr>
              <w:rPr>
                <w:rFonts w:ascii="宋体"/>
                <w:vanish/>
              </w:rPr>
            </w:pPr>
          </w:p>
        </w:tc>
        <w:tc>
          <w:tcPr>
            <w:tcW w:w="0" w:type="auto"/>
            <w:gridSpan w:val="3"/>
            <w:shd w:val="clear" w:color="auto" w:fill="auto"/>
          </w:tcPr>
          <w:p w14:paraId="5EA27825" w14:textId="77777777" w:rsidR="003C66EB" w:rsidRDefault="003C66EB">
            <w:pPr>
              <w:rPr>
                <w:rFonts w:ascii="宋体"/>
                <w:vanish/>
              </w:rPr>
            </w:pPr>
          </w:p>
        </w:tc>
        <w:tc>
          <w:tcPr>
            <w:tcW w:w="0" w:type="auto"/>
            <w:gridSpan w:val="3"/>
            <w:shd w:val="clear" w:color="auto" w:fill="auto"/>
          </w:tcPr>
          <w:p w14:paraId="5EA27826" w14:textId="77777777" w:rsidR="003C66EB" w:rsidRDefault="003C66EB">
            <w:pPr>
              <w:rPr>
                <w:rFonts w:ascii="宋体"/>
                <w:vanish/>
              </w:rPr>
            </w:pPr>
          </w:p>
        </w:tc>
        <w:tc>
          <w:tcPr>
            <w:tcW w:w="0" w:type="auto"/>
            <w:gridSpan w:val="2"/>
            <w:shd w:val="clear" w:color="auto" w:fill="auto"/>
          </w:tcPr>
          <w:p w14:paraId="5EA27827" w14:textId="77777777" w:rsidR="003C66EB" w:rsidRDefault="003C66EB">
            <w:pPr>
              <w:rPr>
                <w:rFonts w:ascii="宋体"/>
                <w:vanish/>
              </w:rPr>
            </w:pPr>
          </w:p>
        </w:tc>
        <w:tc>
          <w:tcPr>
            <w:tcW w:w="0" w:type="auto"/>
            <w:shd w:val="clear" w:color="auto" w:fill="auto"/>
          </w:tcPr>
          <w:p w14:paraId="5EA27828" w14:textId="77777777" w:rsidR="003C66EB" w:rsidRDefault="003C66EB">
            <w:pPr>
              <w:rPr>
                <w:rFonts w:ascii="宋体"/>
                <w:vanish/>
              </w:rPr>
            </w:pPr>
          </w:p>
        </w:tc>
      </w:tr>
      <w:tr w:rsidR="003C66EB" w14:paraId="5EA27840" w14:textId="77777777">
        <w:trPr>
          <w:hidden/>
        </w:trPr>
        <w:tc>
          <w:tcPr>
            <w:tcW w:w="0" w:type="auto"/>
            <w:gridSpan w:val="3"/>
            <w:shd w:val="clear" w:color="auto" w:fill="auto"/>
          </w:tcPr>
          <w:p w14:paraId="5EA2782A" w14:textId="77777777" w:rsidR="003C66EB" w:rsidRDefault="003C66EB">
            <w:pPr>
              <w:rPr>
                <w:rFonts w:ascii="宋体"/>
                <w:vanish/>
              </w:rPr>
            </w:pPr>
          </w:p>
        </w:tc>
        <w:tc>
          <w:tcPr>
            <w:tcW w:w="0" w:type="auto"/>
            <w:gridSpan w:val="3"/>
            <w:shd w:val="clear" w:color="auto" w:fill="auto"/>
          </w:tcPr>
          <w:p w14:paraId="5EA2782B" w14:textId="77777777" w:rsidR="003C66EB" w:rsidRDefault="003C66EB">
            <w:pPr>
              <w:rPr>
                <w:rFonts w:ascii="宋体"/>
                <w:vanish/>
              </w:rPr>
            </w:pPr>
          </w:p>
        </w:tc>
        <w:tc>
          <w:tcPr>
            <w:tcW w:w="0" w:type="auto"/>
            <w:gridSpan w:val="3"/>
            <w:shd w:val="clear" w:color="auto" w:fill="auto"/>
          </w:tcPr>
          <w:p w14:paraId="5EA2782C" w14:textId="77777777" w:rsidR="003C66EB" w:rsidRDefault="003C66EB">
            <w:pPr>
              <w:rPr>
                <w:rFonts w:ascii="宋体"/>
                <w:vanish/>
              </w:rPr>
            </w:pPr>
          </w:p>
        </w:tc>
        <w:tc>
          <w:tcPr>
            <w:tcW w:w="0" w:type="auto"/>
            <w:gridSpan w:val="3"/>
            <w:shd w:val="clear" w:color="auto" w:fill="auto"/>
          </w:tcPr>
          <w:p w14:paraId="5EA2782D" w14:textId="77777777" w:rsidR="003C66EB" w:rsidRDefault="003C66EB">
            <w:pPr>
              <w:rPr>
                <w:rFonts w:ascii="宋体"/>
                <w:vanish/>
              </w:rPr>
            </w:pPr>
          </w:p>
        </w:tc>
        <w:tc>
          <w:tcPr>
            <w:tcW w:w="0" w:type="auto"/>
            <w:gridSpan w:val="3"/>
            <w:shd w:val="clear" w:color="auto" w:fill="auto"/>
          </w:tcPr>
          <w:p w14:paraId="5EA2782E" w14:textId="77777777" w:rsidR="003C66EB" w:rsidRDefault="003C66EB">
            <w:pPr>
              <w:rPr>
                <w:rFonts w:ascii="宋体"/>
                <w:vanish/>
              </w:rPr>
            </w:pPr>
          </w:p>
        </w:tc>
        <w:tc>
          <w:tcPr>
            <w:tcW w:w="0" w:type="auto"/>
            <w:gridSpan w:val="3"/>
            <w:shd w:val="clear" w:color="auto" w:fill="auto"/>
          </w:tcPr>
          <w:p w14:paraId="5EA2782F" w14:textId="77777777" w:rsidR="003C66EB" w:rsidRDefault="003C66EB">
            <w:pPr>
              <w:rPr>
                <w:rFonts w:ascii="宋体"/>
                <w:vanish/>
              </w:rPr>
            </w:pPr>
          </w:p>
        </w:tc>
        <w:tc>
          <w:tcPr>
            <w:tcW w:w="0" w:type="auto"/>
            <w:gridSpan w:val="3"/>
            <w:shd w:val="clear" w:color="auto" w:fill="auto"/>
          </w:tcPr>
          <w:p w14:paraId="5EA27830" w14:textId="77777777" w:rsidR="003C66EB" w:rsidRDefault="003C66EB">
            <w:pPr>
              <w:rPr>
                <w:rFonts w:ascii="宋体"/>
                <w:vanish/>
              </w:rPr>
            </w:pPr>
          </w:p>
        </w:tc>
        <w:tc>
          <w:tcPr>
            <w:tcW w:w="0" w:type="auto"/>
            <w:gridSpan w:val="3"/>
            <w:shd w:val="clear" w:color="auto" w:fill="auto"/>
          </w:tcPr>
          <w:p w14:paraId="5EA27831" w14:textId="77777777" w:rsidR="003C66EB" w:rsidRDefault="003C66EB">
            <w:pPr>
              <w:rPr>
                <w:rFonts w:ascii="宋体"/>
                <w:vanish/>
              </w:rPr>
            </w:pPr>
          </w:p>
        </w:tc>
        <w:tc>
          <w:tcPr>
            <w:tcW w:w="0" w:type="auto"/>
            <w:gridSpan w:val="3"/>
            <w:shd w:val="clear" w:color="auto" w:fill="auto"/>
          </w:tcPr>
          <w:p w14:paraId="5EA27832" w14:textId="77777777" w:rsidR="003C66EB" w:rsidRDefault="003C66EB">
            <w:pPr>
              <w:rPr>
                <w:rFonts w:ascii="宋体"/>
                <w:vanish/>
              </w:rPr>
            </w:pPr>
          </w:p>
        </w:tc>
        <w:tc>
          <w:tcPr>
            <w:tcW w:w="0" w:type="auto"/>
            <w:gridSpan w:val="3"/>
            <w:shd w:val="clear" w:color="auto" w:fill="auto"/>
          </w:tcPr>
          <w:p w14:paraId="5EA27833" w14:textId="77777777" w:rsidR="003C66EB" w:rsidRDefault="003C66EB">
            <w:pPr>
              <w:rPr>
                <w:rFonts w:ascii="宋体"/>
                <w:vanish/>
              </w:rPr>
            </w:pPr>
          </w:p>
        </w:tc>
        <w:tc>
          <w:tcPr>
            <w:tcW w:w="0" w:type="auto"/>
            <w:gridSpan w:val="3"/>
            <w:shd w:val="clear" w:color="auto" w:fill="auto"/>
          </w:tcPr>
          <w:p w14:paraId="5EA27834" w14:textId="77777777" w:rsidR="003C66EB" w:rsidRDefault="003C66EB">
            <w:pPr>
              <w:rPr>
                <w:rFonts w:ascii="宋体"/>
                <w:vanish/>
              </w:rPr>
            </w:pPr>
          </w:p>
        </w:tc>
        <w:tc>
          <w:tcPr>
            <w:tcW w:w="0" w:type="auto"/>
            <w:gridSpan w:val="3"/>
            <w:shd w:val="clear" w:color="auto" w:fill="auto"/>
          </w:tcPr>
          <w:p w14:paraId="5EA27835" w14:textId="77777777" w:rsidR="003C66EB" w:rsidRDefault="003C66EB">
            <w:pPr>
              <w:rPr>
                <w:rFonts w:ascii="宋体"/>
                <w:vanish/>
              </w:rPr>
            </w:pPr>
          </w:p>
        </w:tc>
        <w:tc>
          <w:tcPr>
            <w:tcW w:w="0" w:type="auto"/>
            <w:gridSpan w:val="3"/>
            <w:shd w:val="clear" w:color="auto" w:fill="auto"/>
          </w:tcPr>
          <w:p w14:paraId="5EA27836" w14:textId="77777777" w:rsidR="003C66EB" w:rsidRDefault="003C66EB">
            <w:pPr>
              <w:rPr>
                <w:rFonts w:ascii="宋体"/>
                <w:vanish/>
              </w:rPr>
            </w:pPr>
          </w:p>
        </w:tc>
        <w:tc>
          <w:tcPr>
            <w:tcW w:w="0" w:type="auto"/>
            <w:gridSpan w:val="3"/>
            <w:shd w:val="clear" w:color="auto" w:fill="auto"/>
          </w:tcPr>
          <w:p w14:paraId="5EA27837" w14:textId="77777777" w:rsidR="003C66EB" w:rsidRDefault="003C66EB">
            <w:pPr>
              <w:rPr>
                <w:rFonts w:ascii="宋体"/>
                <w:vanish/>
              </w:rPr>
            </w:pPr>
          </w:p>
        </w:tc>
        <w:tc>
          <w:tcPr>
            <w:tcW w:w="0" w:type="auto"/>
            <w:gridSpan w:val="3"/>
            <w:shd w:val="clear" w:color="auto" w:fill="auto"/>
          </w:tcPr>
          <w:p w14:paraId="5EA27838" w14:textId="77777777" w:rsidR="003C66EB" w:rsidRDefault="003C66EB">
            <w:pPr>
              <w:rPr>
                <w:rFonts w:ascii="宋体"/>
                <w:vanish/>
              </w:rPr>
            </w:pPr>
          </w:p>
        </w:tc>
        <w:tc>
          <w:tcPr>
            <w:tcW w:w="0" w:type="auto"/>
            <w:gridSpan w:val="3"/>
            <w:shd w:val="clear" w:color="auto" w:fill="auto"/>
          </w:tcPr>
          <w:p w14:paraId="5EA27839" w14:textId="77777777" w:rsidR="003C66EB" w:rsidRDefault="003C66EB">
            <w:pPr>
              <w:rPr>
                <w:rFonts w:ascii="宋体"/>
                <w:vanish/>
              </w:rPr>
            </w:pPr>
          </w:p>
        </w:tc>
        <w:tc>
          <w:tcPr>
            <w:tcW w:w="0" w:type="auto"/>
            <w:gridSpan w:val="3"/>
            <w:shd w:val="clear" w:color="auto" w:fill="auto"/>
          </w:tcPr>
          <w:p w14:paraId="5EA2783A" w14:textId="77777777" w:rsidR="003C66EB" w:rsidRDefault="003C66EB">
            <w:pPr>
              <w:rPr>
                <w:rFonts w:ascii="宋体"/>
                <w:vanish/>
              </w:rPr>
            </w:pPr>
          </w:p>
        </w:tc>
        <w:tc>
          <w:tcPr>
            <w:tcW w:w="0" w:type="auto"/>
            <w:gridSpan w:val="3"/>
            <w:shd w:val="clear" w:color="auto" w:fill="auto"/>
          </w:tcPr>
          <w:p w14:paraId="5EA2783B" w14:textId="77777777" w:rsidR="003C66EB" w:rsidRDefault="003C66EB">
            <w:pPr>
              <w:rPr>
                <w:rFonts w:ascii="宋体"/>
                <w:vanish/>
              </w:rPr>
            </w:pPr>
          </w:p>
        </w:tc>
        <w:tc>
          <w:tcPr>
            <w:tcW w:w="0" w:type="auto"/>
            <w:gridSpan w:val="3"/>
            <w:shd w:val="clear" w:color="auto" w:fill="auto"/>
          </w:tcPr>
          <w:p w14:paraId="5EA2783C" w14:textId="77777777" w:rsidR="003C66EB" w:rsidRDefault="003C66EB">
            <w:pPr>
              <w:rPr>
                <w:rFonts w:ascii="宋体"/>
                <w:vanish/>
              </w:rPr>
            </w:pPr>
          </w:p>
        </w:tc>
        <w:tc>
          <w:tcPr>
            <w:tcW w:w="0" w:type="auto"/>
            <w:gridSpan w:val="3"/>
            <w:shd w:val="clear" w:color="auto" w:fill="auto"/>
          </w:tcPr>
          <w:p w14:paraId="5EA2783D" w14:textId="77777777" w:rsidR="003C66EB" w:rsidRDefault="003C66EB">
            <w:pPr>
              <w:rPr>
                <w:rFonts w:ascii="宋体"/>
                <w:vanish/>
              </w:rPr>
            </w:pPr>
          </w:p>
        </w:tc>
        <w:tc>
          <w:tcPr>
            <w:tcW w:w="0" w:type="auto"/>
            <w:gridSpan w:val="2"/>
            <w:shd w:val="clear" w:color="auto" w:fill="auto"/>
          </w:tcPr>
          <w:p w14:paraId="5EA2783E" w14:textId="77777777" w:rsidR="003C66EB" w:rsidRDefault="003C66EB">
            <w:pPr>
              <w:rPr>
                <w:rFonts w:ascii="宋体"/>
                <w:vanish/>
              </w:rPr>
            </w:pPr>
          </w:p>
        </w:tc>
        <w:tc>
          <w:tcPr>
            <w:tcW w:w="0" w:type="auto"/>
            <w:shd w:val="clear" w:color="auto" w:fill="auto"/>
          </w:tcPr>
          <w:p w14:paraId="5EA2783F" w14:textId="77777777" w:rsidR="003C66EB" w:rsidRDefault="003C66EB">
            <w:pPr>
              <w:rPr>
                <w:rFonts w:ascii="宋体"/>
                <w:vanish/>
              </w:rPr>
            </w:pPr>
          </w:p>
        </w:tc>
      </w:tr>
      <w:tr w:rsidR="003C66EB" w14:paraId="5EA27857" w14:textId="77777777">
        <w:trPr>
          <w:hidden/>
        </w:trPr>
        <w:tc>
          <w:tcPr>
            <w:tcW w:w="0" w:type="auto"/>
            <w:gridSpan w:val="3"/>
            <w:shd w:val="clear" w:color="auto" w:fill="auto"/>
          </w:tcPr>
          <w:p w14:paraId="5EA27841" w14:textId="77777777" w:rsidR="003C66EB" w:rsidRDefault="003C66EB">
            <w:pPr>
              <w:rPr>
                <w:rFonts w:ascii="宋体"/>
                <w:vanish/>
              </w:rPr>
            </w:pPr>
          </w:p>
        </w:tc>
        <w:tc>
          <w:tcPr>
            <w:tcW w:w="0" w:type="auto"/>
            <w:gridSpan w:val="3"/>
            <w:shd w:val="clear" w:color="auto" w:fill="auto"/>
          </w:tcPr>
          <w:p w14:paraId="5EA27842" w14:textId="77777777" w:rsidR="003C66EB" w:rsidRDefault="003C66EB">
            <w:pPr>
              <w:rPr>
                <w:rFonts w:ascii="宋体"/>
                <w:vanish/>
              </w:rPr>
            </w:pPr>
          </w:p>
        </w:tc>
        <w:tc>
          <w:tcPr>
            <w:tcW w:w="0" w:type="auto"/>
            <w:gridSpan w:val="3"/>
            <w:shd w:val="clear" w:color="auto" w:fill="auto"/>
          </w:tcPr>
          <w:p w14:paraId="5EA27843" w14:textId="77777777" w:rsidR="003C66EB" w:rsidRDefault="003C66EB">
            <w:pPr>
              <w:rPr>
                <w:rFonts w:ascii="宋体"/>
                <w:vanish/>
              </w:rPr>
            </w:pPr>
          </w:p>
        </w:tc>
        <w:tc>
          <w:tcPr>
            <w:tcW w:w="0" w:type="auto"/>
            <w:gridSpan w:val="3"/>
            <w:shd w:val="clear" w:color="auto" w:fill="auto"/>
          </w:tcPr>
          <w:p w14:paraId="5EA27844" w14:textId="77777777" w:rsidR="003C66EB" w:rsidRDefault="003C66EB">
            <w:pPr>
              <w:rPr>
                <w:rFonts w:ascii="宋体"/>
                <w:vanish/>
              </w:rPr>
            </w:pPr>
          </w:p>
        </w:tc>
        <w:tc>
          <w:tcPr>
            <w:tcW w:w="0" w:type="auto"/>
            <w:gridSpan w:val="3"/>
            <w:shd w:val="clear" w:color="auto" w:fill="auto"/>
          </w:tcPr>
          <w:p w14:paraId="5EA27845" w14:textId="77777777" w:rsidR="003C66EB" w:rsidRDefault="003C66EB">
            <w:pPr>
              <w:rPr>
                <w:rFonts w:ascii="宋体"/>
                <w:vanish/>
              </w:rPr>
            </w:pPr>
          </w:p>
        </w:tc>
        <w:tc>
          <w:tcPr>
            <w:tcW w:w="0" w:type="auto"/>
            <w:gridSpan w:val="3"/>
            <w:shd w:val="clear" w:color="auto" w:fill="auto"/>
          </w:tcPr>
          <w:p w14:paraId="5EA27846" w14:textId="77777777" w:rsidR="003C66EB" w:rsidRDefault="003C66EB">
            <w:pPr>
              <w:rPr>
                <w:rFonts w:ascii="宋体"/>
                <w:vanish/>
              </w:rPr>
            </w:pPr>
          </w:p>
        </w:tc>
        <w:tc>
          <w:tcPr>
            <w:tcW w:w="0" w:type="auto"/>
            <w:gridSpan w:val="3"/>
            <w:shd w:val="clear" w:color="auto" w:fill="auto"/>
          </w:tcPr>
          <w:p w14:paraId="5EA27847" w14:textId="77777777" w:rsidR="003C66EB" w:rsidRDefault="003C66EB">
            <w:pPr>
              <w:rPr>
                <w:rFonts w:ascii="宋体"/>
                <w:vanish/>
              </w:rPr>
            </w:pPr>
          </w:p>
        </w:tc>
        <w:tc>
          <w:tcPr>
            <w:tcW w:w="0" w:type="auto"/>
            <w:gridSpan w:val="3"/>
            <w:shd w:val="clear" w:color="auto" w:fill="auto"/>
          </w:tcPr>
          <w:p w14:paraId="5EA27848" w14:textId="77777777" w:rsidR="003C66EB" w:rsidRDefault="003C66EB">
            <w:pPr>
              <w:rPr>
                <w:rFonts w:ascii="宋体"/>
                <w:vanish/>
              </w:rPr>
            </w:pPr>
          </w:p>
        </w:tc>
        <w:tc>
          <w:tcPr>
            <w:tcW w:w="0" w:type="auto"/>
            <w:gridSpan w:val="3"/>
            <w:shd w:val="clear" w:color="auto" w:fill="auto"/>
          </w:tcPr>
          <w:p w14:paraId="5EA27849" w14:textId="77777777" w:rsidR="003C66EB" w:rsidRDefault="003C66EB">
            <w:pPr>
              <w:rPr>
                <w:rFonts w:ascii="宋体"/>
                <w:vanish/>
              </w:rPr>
            </w:pPr>
          </w:p>
        </w:tc>
        <w:tc>
          <w:tcPr>
            <w:tcW w:w="0" w:type="auto"/>
            <w:gridSpan w:val="3"/>
            <w:shd w:val="clear" w:color="auto" w:fill="auto"/>
          </w:tcPr>
          <w:p w14:paraId="5EA2784A" w14:textId="77777777" w:rsidR="003C66EB" w:rsidRDefault="003C66EB">
            <w:pPr>
              <w:rPr>
                <w:rFonts w:ascii="宋体"/>
                <w:vanish/>
              </w:rPr>
            </w:pPr>
          </w:p>
        </w:tc>
        <w:tc>
          <w:tcPr>
            <w:tcW w:w="0" w:type="auto"/>
            <w:gridSpan w:val="3"/>
            <w:shd w:val="clear" w:color="auto" w:fill="auto"/>
          </w:tcPr>
          <w:p w14:paraId="5EA2784B" w14:textId="77777777" w:rsidR="003C66EB" w:rsidRDefault="003C66EB">
            <w:pPr>
              <w:rPr>
                <w:rFonts w:ascii="宋体"/>
                <w:vanish/>
              </w:rPr>
            </w:pPr>
          </w:p>
        </w:tc>
        <w:tc>
          <w:tcPr>
            <w:tcW w:w="0" w:type="auto"/>
            <w:gridSpan w:val="3"/>
            <w:shd w:val="clear" w:color="auto" w:fill="auto"/>
          </w:tcPr>
          <w:p w14:paraId="5EA2784C" w14:textId="77777777" w:rsidR="003C66EB" w:rsidRDefault="003C66EB">
            <w:pPr>
              <w:rPr>
                <w:rFonts w:ascii="宋体"/>
                <w:vanish/>
              </w:rPr>
            </w:pPr>
          </w:p>
        </w:tc>
        <w:tc>
          <w:tcPr>
            <w:tcW w:w="0" w:type="auto"/>
            <w:gridSpan w:val="3"/>
            <w:shd w:val="clear" w:color="auto" w:fill="auto"/>
          </w:tcPr>
          <w:p w14:paraId="5EA2784D" w14:textId="77777777" w:rsidR="003C66EB" w:rsidRDefault="003C66EB">
            <w:pPr>
              <w:rPr>
                <w:rFonts w:ascii="宋体"/>
                <w:vanish/>
              </w:rPr>
            </w:pPr>
          </w:p>
        </w:tc>
        <w:tc>
          <w:tcPr>
            <w:tcW w:w="0" w:type="auto"/>
            <w:gridSpan w:val="3"/>
            <w:shd w:val="clear" w:color="auto" w:fill="auto"/>
          </w:tcPr>
          <w:p w14:paraId="5EA2784E" w14:textId="77777777" w:rsidR="003C66EB" w:rsidRDefault="003C66EB">
            <w:pPr>
              <w:rPr>
                <w:rFonts w:ascii="宋体"/>
                <w:vanish/>
              </w:rPr>
            </w:pPr>
          </w:p>
        </w:tc>
        <w:tc>
          <w:tcPr>
            <w:tcW w:w="0" w:type="auto"/>
            <w:gridSpan w:val="3"/>
            <w:shd w:val="clear" w:color="auto" w:fill="auto"/>
          </w:tcPr>
          <w:p w14:paraId="5EA2784F" w14:textId="77777777" w:rsidR="003C66EB" w:rsidRDefault="003C66EB">
            <w:pPr>
              <w:rPr>
                <w:rFonts w:ascii="宋体"/>
                <w:vanish/>
              </w:rPr>
            </w:pPr>
          </w:p>
        </w:tc>
        <w:tc>
          <w:tcPr>
            <w:tcW w:w="0" w:type="auto"/>
            <w:gridSpan w:val="3"/>
            <w:shd w:val="clear" w:color="auto" w:fill="auto"/>
          </w:tcPr>
          <w:p w14:paraId="5EA27850" w14:textId="77777777" w:rsidR="003C66EB" w:rsidRDefault="003C66EB">
            <w:pPr>
              <w:rPr>
                <w:rFonts w:ascii="宋体"/>
                <w:vanish/>
              </w:rPr>
            </w:pPr>
          </w:p>
        </w:tc>
        <w:tc>
          <w:tcPr>
            <w:tcW w:w="0" w:type="auto"/>
            <w:gridSpan w:val="3"/>
            <w:shd w:val="clear" w:color="auto" w:fill="auto"/>
          </w:tcPr>
          <w:p w14:paraId="5EA27851" w14:textId="77777777" w:rsidR="003C66EB" w:rsidRDefault="003C66EB">
            <w:pPr>
              <w:rPr>
                <w:rFonts w:ascii="宋体"/>
                <w:vanish/>
              </w:rPr>
            </w:pPr>
          </w:p>
        </w:tc>
        <w:tc>
          <w:tcPr>
            <w:tcW w:w="0" w:type="auto"/>
            <w:gridSpan w:val="3"/>
            <w:shd w:val="clear" w:color="auto" w:fill="auto"/>
          </w:tcPr>
          <w:p w14:paraId="5EA27852" w14:textId="77777777" w:rsidR="003C66EB" w:rsidRDefault="003C66EB">
            <w:pPr>
              <w:rPr>
                <w:rFonts w:ascii="宋体"/>
                <w:vanish/>
              </w:rPr>
            </w:pPr>
          </w:p>
        </w:tc>
        <w:tc>
          <w:tcPr>
            <w:tcW w:w="0" w:type="auto"/>
            <w:gridSpan w:val="3"/>
            <w:shd w:val="clear" w:color="auto" w:fill="auto"/>
          </w:tcPr>
          <w:p w14:paraId="5EA27853" w14:textId="77777777" w:rsidR="003C66EB" w:rsidRDefault="003C66EB">
            <w:pPr>
              <w:rPr>
                <w:rFonts w:ascii="宋体"/>
                <w:vanish/>
              </w:rPr>
            </w:pPr>
          </w:p>
        </w:tc>
        <w:tc>
          <w:tcPr>
            <w:tcW w:w="0" w:type="auto"/>
            <w:gridSpan w:val="3"/>
            <w:shd w:val="clear" w:color="auto" w:fill="auto"/>
          </w:tcPr>
          <w:p w14:paraId="5EA27854" w14:textId="77777777" w:rsidR="003C66EB" w:rsidRDefault="003C66EB">
            <w:pPr>
              <w:rPr>
                <w:rFonts w:ascii="宋体"/>
                <w:vanish/>
              </w:rPr>
            </w:pPr>
          </w:p>
        </w:tc>
        <w:tc>
          <w:tcPr>
            <w:tcW w:w="0" w:type="auto"/>
            <w:gridSpan w:val="2"/>
            <w:shd w:val="clear" w:color="auto" w:fill="auto"/>
          </w:tcPr>
          <w:p w14:paraId="5EA27855" w14:textId="77777777" w:rsidR="003C66EB" w:rsidRDefault="003C66EB">
            <w:pPr>
              <w:rPr>
                <w:rFonts w:ascii="宋体"/>
                <w:vanish/>
              </w:rPr>
            </w:pPr>
          </w:p>
        </w:tc>
        <w:tc>
          <w:tcPr>
            <w:tcW w:w="0" w:type="auto"/>
            <w:shd w:val="clear" w:color="auto" w:fill="auto"/>
          </w:tcPr>
          <w:p w14:paraId="5EA27856" w14:textId="77777777" w:rsidR="003C66EB" w:rsidRDefault="003C66EB">
            <w:pPr>
              <w:rPr>
                <w:rFonts w:ascii="宋体"/>
                <w:vanish/>
              </w:rPr>
            </w:pPr>
          </w:p>
        </w:tc>
      </w:tr>
      <w:tr w:rsidR="003C66EB" w14:paraId="5EA2786E" w14:textId="77777777">
        <w:trPr>
          <w:hidden/>
        </w:trPr>
        <w:tc>
          <w:tcPr>
            <w:tcW w:w="0" w:type="auto"/>
            <w:gridSpan w:val="3"/>
            <w:shd w:val="clear" w:color="auto" w:fill="auto"/>
          </w:tcPr>
          <w:p w14:paraId="5EA27858" w14:textId="77777777" w:rsidR="003C66EB" w:rsidRDefault="003C66EB">
            <w:pPr>
              <w:rPr>
                <w:rFonts w:ascii="宋体"/>
                <w:vanish/>
              </w:rPr>
            </w:pPr>
          </w:p>
        </w:tc>
        <w:tc>
          <w:tcPr>
            <w:tcW w:w="0" w:type="auto"/>
            <w:gridSpan w:val="3"/>
            <w:shd w:val="clear" w:color="auto" w:fill="auto"/>
          </w:tcPr>
          <w:p w14:paraId="5EA27859" w14:textId="77777777" w:rsidR="003C66EB" w:rsidRDefault="003C66EB">
            <w:pPr>
              <w:rPr>
                <w:rFonts w:ascii="宋体"/>
                <w:vanish/>
              </w:rPr>
            </w:pPr>
          </w:p>
        </w:tc>
        <w:tc>
          <w:tcPr>
            <w:tcW w:w="0" w:type="auto"/>
            <w:gridSpan w:val="3"/>
            <w:shd w:val="clear" w:color="auto" w:fill="auto"/>
          </w:tcPr>
          <w:p w14:paraId="5EA2785A" w14:textId="77777777" w:rsidR="003C66EB" w:rsidRDefault="003C66EB">
            <w:pPr>
              <w:rPr>
                <w:rFonts w:ascii="宋体"/>
                <w:vanish/>
              </w:rPr>
            </w:pPr>
          </w:p>
        </w:tc>
        <w:tc>
          <w:tcPr>
            <w:tcW w:w="0" w:type="auto"/>
            <w:gridSpan w:val="3"/>
            <w:shd w:val="clear" w:color="auto" w:fill="auto"/>
          </w:tcPr>
          <w:p w14:paraId="5EA2785B" w14:textId="77777777" w:rsidR="003C66EB" w:rsidRDefault="003C66EB">
            <w:pPr>
              <w:rPr>
                <w:rFonts w:ascii="宋体"/>
                <w:vanish/>
              </w:rPr>
            </w:pPr>
          </w:p>
        </w:tc>
        <w:tc>
          <w:tcPr>
            <w:tcW w:w="0" w:type="auto"/>
            <w:gridSpan w:val="3"/>
            <w:shd w:val="clear" w:color="auto" w:fill="auto"/>
          </w:tcPr>
          <w:p w14:paraId="5EA2785C" w14:textId="77777777" w:rsidR="003C66EB" w:rsidRDefault="003C66EB">
            <w:pPr>
              <w:rPr>
                <w:rFonts w:ascii="宋体"/>
                <w:vanish/>
              </w:rPr>
            </w:pPr>
          </w:p>
        </w:tc>
        <w:tc>
          <w:tcPr>
            <w:tcW w:w="0" w:type="auto"/>
            <w:gridSpan w:val="3"/>
            <w:shd w:val="clear" w:color="auto" w:fill="auto"/>
          </w:tcPr>
          <w:p w14:paraId="5EA2785D" w14:textId="77777777" w:rsidR="003C66EB" w:rsidRDefault="003C66EB">
            <w:pPr>
              <w:rPr>
                <w:rFonts w:ascii="宋体"/>
                <w:vanish/>
              </w:rPr>
            </w:pPr>
          </w:p>
        </w:tc>
        <w:tc>
          <w:tcPr>
            <w:tcW w:w="0" w:type="auto"/>
            <w:gridSpan w:val="3"/>
            <w:shd w:val="clear" w:color="auto" w:fill="auto"/>
          </w:tcPr>
          <w:p w14:paraId="5EA2785E" w14:textId="77777777" w:rsidR="003C66EB" w:rsidRDefault="003C66EB">
            <w:pPr>
              <w:rPr>
                <w:rFonts w:ascii="宋体"/>
                <w:vanish/>
              </w:rPr>
            </w:pPr>
          </w:p>
        </w:tc>
        <w:tc>
          <w:tcPr>
            <w:tcW w:w="0" w:type="auto"/>
            <w:gridSpan w:val="3"/>
            <w:shd w:val="clear" w:color="auto" w:fill="auto"/>
          </w:tcPr>
          <w:p w14:paraId="5EA2785F" w14:textId="77777777" w:rsidR="003C66EB" w:rsidRDefault="003C66EB">
            <w:pPr>
              <w:rPr>
                <w:rFonts w:ascii="宋体"/>
                <w:vanish/>
              </w:rPr>
            </w:pPr>
          </w:p>
        </w:tc>
        <w:tc>
          <w:tcPr>
            <w:tcW w:w="0" w:type="auto"/>
            <w:gridSpan w:val="3"/>
            <w:shd w:val="clear" w:color="auto" w:fill="auto"/>
          </w:tcPr>
          <w:p w14:paraId="5EA27860" w14:textId="77777777" w:rsidR="003C66EB" w:rsidRDefault="003C66EB">
            <w:pPr>
              <w:rPr>
                <w:rFonts w:ascii="宋体"/>
                <w:vanish/>
              </w:rPr>
            </w:pPr>
          </w:p>
        </w:tc>
        <w:tc>
          <w:tcPr>
            <w:tcW w:w="0" w:type="auto"/>
            <w:gridSpan w:val="3"/>
            <w:shd w:val="clear" w:color="auto" w:fill="auto"/>
          </w:tcPr>
          <w:p w14:paraId="5EA27861" w14:textId="77777777" w:rsidR="003C66EB" w:rsidRDefault="003C66EB">
            <w:pPr>
              <w:rPr>
                <w:rFonts w:ascii="宋体"/>
                <w:vanish/>
              </w:rPr>
            </w:pPr>
          </w:p>
        </w:tc>
        <w:tc>
          <w:tcPr>
            <w:tcW w:w="0" w:type="auto"/>
            <w:gridSpan w:val="3"/>
            <w:shd w:val="clear" w:color="auto" w:fill="auto"/>
          </w:tcPr>
          <w:p w14:paraId="5EA27862" w14:textId="77777777" w:rsidR="003C66EB" w:rsidRDefault="003C66EB">
            <w:pPr>
              <w:rPr>
                <w:rFonts w:ascii="宋体"/>
                <w:vanish/>
              </w:rPr>
            </w:pPr>
          </w:p>
        </w:tc>
        <w:tc>
          <w:tcPr>
            <w:tcW w:w="0" w:type="auto"/>
            <w:gridSpan w:val="3"/>
            <w:shd w:val="clear" w:color="auto" w:fill="auto"/>
          </w:tcPr>
          <w:p w14:paraId="5EA27863" w14:textId="77777777" w:rsidR="003C66EB" w:rsidRDefault="003C66EB">
            <w:pPr>
              <w:rPr>
                <w:rFonts w:ascii="宋体"/>
                <w:vanish/>
              </w:rPr>
            </w:pPr>
          </w:p>
        </w:tc>
        <w:tc>
          <w:tcPr>
            <w:tcW w:w="0" w:type="auto"/>
            <w:gridSpan w:val="3"/>
            <w:shd w:val="clear" w:color="auto" w:fill="auto"/>
          </w:tcPr>
          <w:p w14:paraId="5EA27864" w14:textId="77777777" w:rsidR="003C66EB" w:rsidRDefault="003C66EB">
            <w:pPr>
              <w:rPr>
                <w:rFonts w:ascii="宋体"/>
                <w:vanish/>
              </w:rPr>
            </w:pPr>
          </w:p>
        </w:tc>
        <w:tc>
          <w:tcPr>
            <w:tcW w:w="0" w:type="auto"/>
            <w:gridSpan w:val="3"/>
            <w:shd w:val="clear" w:color="auto" w:fill="auto"/>
          </w:tcPr>
          <w:p w14:paraId="5EA27865" w14:textId="77777777" w:rsidR="003C66EB" w:rsidRDefault="003C66EB">
            <w:pPr>
              <w:rPr>
                <w:rFonts w:ascii="宋体"/>
                <w:vanish/>
              </w:rPr>
            </w:pPr>
          </w:p>
        </w:tc>
        <w:tc>
          <w:tcPr>
            <w:tcW w:w="0" w:type="auto"/>
            <w:gridSpan w:val="3"/>
            <w:shd w:val="clear" w:color="auto" w:fill="auto"/>
          </w:tcPr>
          <w:p w14:paraId="5EA27866" w14:textId="77777777" w:rsidR="003C66EB" w:rsidRDefault="003C66EB">
            <w:pPr>
              <w:rPr>
                <w:rFonts w:ascii="宋体"/>
                <w:vanish/>
              </w:rPr>
            </w:pPr>
          </w:p>
        </w:tc>
        <w:tc>
          <w:tcPr>
            <w:tcW w:w="0" w:type="auto"/>
            <w:gridSpan w:val="3"/>
            <w:shd w:val="clear" w:color="auto" w:fill="auto"/>
          </w:tcPr>
          <w:p w14:paraId="5EA27867" w14:textId="77777777" w:rsidR="003C66EB" w:rsidRDefault="003C66EB">
            <w:pPr>
              <w:rPr>
                <w:rFonts w:ascii="宋体"/>
                <w:vanish/>
              </w:rPr>
            </w:pPr>
          </w:p>
        </w:tc>
        <w:tc>
          <w:tcPr>
            <w:tcW w:w="0" w:type="auto"/>
            <w:gridSpan w:val="3"/>
            <w:shd w:val="clear" w:color="auto" w:fill="auto"/>
          </w:tcPr>
          <w:p w14:paraId="5EA27868" w14:textId="77777777" w:rsidR="003C66EB" w:rsidRDefault="003C66EB">
            <w:pPr>
              <w:rPr>
                <w:rFonts w:ascii="宋体"/>
                <w:vanish/>
              </w:rPr>
            </w:pPr>
          </w:p>
        </w:tc>
        <w:tc>
          <w:tcPr>
            <w:tcW w:w="0" w:type="auto"/>
            <w:gridSpan w:val="3"/>
            <w:shd w:val="clear" w:color="auto" w:fill="auto"/>
          </w:tcPr>
          <w:p w14:paraId="5EA27869" w14:textId="77777777" w:rsidR="003C66EB" w:rsidRDefault="003C66EB">
            <w:pPr>
              <w:rPr>
                <w:rFonts w:ascii="宋体"/>
                <w:vanish/>
              </w:rPr>
            </w:pPr>
          </w:p>
        </w:tc>
        <w:tc>
          <w:tcPr>
            <w:tcW w:w="0" w:type="auto"/>
            <w:gridSpan w:val="3"/>
            <w:shd w:val="clear" w:color="auto" w:fill="auto"/>
          </w:tcPr>
          <w:p w14:paraId="5EA2786A" w14:textId="77777777" w:rsidR="003C66EB" w:rsidRDefault="003C66EB">
            <w:pPr>
              <w:rPr>
                <w:rFonts w:ascii="宋体"/>
                <w:vanish/>
              </w:rPr>
            </w:pPr>
          </w:p>
        </w:tc>
        <w:tc>
          <w:tcPr>
            <w:tcW w:w="0" w:type="auto"/>
            <w:gridSpan w:val="3"/>
            <w:shd w:val="clear" w:color="auto" w:fill="auto"/>
          </w:tcPr>
          <w:p w14:paraId="5EA2786B" w14:textId="77777777" w:rsidR="003C66EB" w:rsidRDefault="003C66EB">
            <w:pPr>
              <w:rPr>
                <w:rFonts w:ascii="宋体"/>
                <w:vanish/>
              </w:rPr>
            </w:pPr>
          </w:p>
        </w:tc>
        <w:tc>
          <w:tcPr>
            <w:tcW w:w="0" w:type="auto"/>
            <w:gridSpan w:val="2"/>
            <w:shd w:val="clear" w:color="auto" w:fill="auto"/>
          </w:tcPr>
          <w:p w14:paraId="5EA2786C" w14:textId="77777777" w:rsidR="003C66EB" w:rsidRDefault="003C66EB">
            <w:pPr>
              <w:rPr>
                <w:rFonts w:ascii="宋体"/>
                <w:vanish/>
              </w:rPr>
            </w:pPr>
          </w:p>
        </w:tc>
        <w:tc>
          <w:tcPr>
            <w:tcW w:w="0" w:type="auto"/>
            <w:shd w:val="clear" w:color="auto" w:fill="auto"/>
          </w:tcPr>
          <w:p w14:paraId="5EA2786D" w14:textId="77777777" w:rsidR="003C66EB" w:rsidRDefault="003C66EB">
            <w:pPr>
              <w:rPr>
                <w:rFonts w:ascii="宋体"/>
                <w:vanish/>
              </w:rPr>
            </w:pPr>
          </w:p>
        </w:tc>
      </w:tr>
      <w:tr w:rsidR="003C66EB" w14:paraId="5EA27885" w14:textId="77777777">
        <w:trPr>
          <w:hidden/>
        </w:trPr>
        <w:tc>
          <w:tcPr>
            <w:tcW w:w="0" w:type="auto"/>
            <w:gridSpan w:val="3"/>
            <w:shd w:val="clear" w:color="auto" w:fill="auto"/>
          </w:tcPr>
          <w:p w14:paraId="5EA2786F" w14:textId="77777777" w:rsidR="003C66EB" w:rsidRDefault="003C66EB">
            <w:pPr>
              <w:rPr>
                <w:rFonts w:ascii="宋体"/>
                <w:vanish/>
              </w:rPr>
            </w:pPr>
          </w:p>
        </w:tc>
        <w:tc>
          <w:tcPr>
            <w:tcW w:w="0" w:type="auto"/>
            <w:gridSpan w:val="3"/>
            <w:shd w:val="clear" w:color="auto" w:fill="auto"/>
          </w:tcPr>
          <w:p w14:paraId="5EA27870" w14:textId="77777777" w:rsidR="003C66EB" w:rsidRDefault="003C66EB">
            <w:pPr>
              <w:rPr>
                <w:rFonts w:ascii="宋体"/>
                <w:vanish/>
              </w:rPr>
            </w:pPr>
          </w:p>
        </w:tc>
        <w:tc>
          <w:tcPr>
            <w:tcW w:w="0" w:type="auto"/>
            <w:gridSpan w:val="3"/>
            <w:shd w:val="clear" w:color="auto" w:fill="auto"/>
          </w:tcPr>
          <w:p w14:paraId="5EA27871" w14:textId="77777777" w:rsidR="003C66EB" w:rsidRDefault="003C66EB">
            <w:pPr>
              <w:rPr>
                <w:rFonts w:ascii="宋体"/>
                <w:vanish/>
              </w:rPr>
            </w:pPr>
          </w:p>
        </w:tc>
        <w:tc>
          <w:tcPr>
            <w:tcW w:w="0" w:type="auto"/>
            <w:gridSpan w:val="3"/>
            <w:shd w:val="clear" w:color="auto" w:fill="auto"/>
          </w:tcPr>
          <w:p w14:paraId="5EA27872" w14:textId="77777777" w:rsidR="003C66EB" w:rsidRDefault="003C66EB">
            <w:pPr>
              <w:rPr>
                <w:rFonts w:ascii="宋体"/>
                <w:vanish/>
              </w:rPr>
            </w:pPr>
          </w:p>
        </w:tc>
        <w:tc>
          <w:tcPr>
            <w:tcW w:w="0" w:type="auto"/>
            <w:gridSpan w:val="3"/>
            <w:shd w:val="clear" w:color="auto" w:fill="auto"/>
          </w:tcPr>
          <w:p w14:paraId="5EA27873" w14:textId="77777777" w:rsidR="003C66EB" w:rsidRDefault="003C66EB">
            <w:pPr>
              <w:rPr>
                <w:rFonts w:ascii="宋体"/>
                <w:vanish/>
              </w:rPr>
            </w:pPr>
          </w:p>
        </w:tc>
        <w:tc>
          <w:tcPr>
            <w:tcW w:w="0" w:type="auto"/>
            <w:gridSpan w:val="3"/>
            <w:shd w:val="clear" w:color="auto" w:fill="auto"/>
          </w:tcPr>
          <w:p w14:paraId="5EA27874" w14:textId="77777777" w:rsidR="003C66EB" w:rsidRDefault="003C66EB">
            <w:pPr>
              <w:rPr>
                <w:rFonts w:ascii="宋体"/>
                <w:vanish/>
              </w:rPr>
            </w:pPr>
          </w:p>
        </w:tc>
        <w:tc>
          <w:tcPr>
            <w:tcW w:w="0" w:type="auto"/>
            <w:gridSpan w:val="3"/>
            <w:shd w:val="clear" w:color="auto" w:fill="auto"/>
          </w:tcPr>
          <w:p w14:paraId="5EA27875" w14:textId="77777777" w:rsidR="003C66EB" w:rsidRDefault="003C66EB">
            <w:pPr>
              <w:rPr>
                <w:rFonts w:ascii="宋体"/>
                <w:vanish/>
              </w:rPr>
            </w:pPr>
          </w:p>
        </w:tc>
        <w:tc>
          <w:tcPr>
            <w:tcW w:w="0" w:type="auto"/>
            <w:gridSpan w:val="3"/>
            <w:shd w:val="clear" w:color="auto" w:fill="auto"/>
          </w:tcPr>
          <w:p w14:paraId="5EA27876" w14:textId="77777777" w:rsidR="003C66EB" w:rsidRDefault="003C66EB">
            <w:pPr>
              <w:rPr>
                <w:rFonts w:ascii="宋体"/>
                <w:vanish/>
              </w:rPr>
            </w:pPr>
          </w:p>
        </w:tc>
        <w:tc>
          <w:tcPr>
            <w:tcW w:w="0" w:type="auto"/>
            <w:gridSpan w:val="3"/>
            <w:shd w:val="clear" w:color="auto" w:fill="auto"/>
          </w:tcPr>
          <w:p w14:paraId="5EA27877" w14:textId="77777777" w:rsidR="003C66EB" w:rsidRDefault="003C66EB">
            <w:pPr>
              <w:rPr>
                <w:rFonts w:ascii="宋体"/>
                <w:vanish/>
              </w:rPr>
            </w:pPr>
          </w:p>
        </w:tc>
        <w:tc>
          <w:tcPr>
            <w:tcW w:w="0" w:type="auto"/>
            <w:gridSpan w:val="3"/>
            <w:shd w:val="clear" w:color="auto" w:fill="auto"/>
          </w:tcPr>
          <w:p w14:paraId="5EA27878" w14:textId="77777777" w:rsidR="003C66EB" w:rsidRDefault="003C66EB">
            <w:pPr>
              <w:rPr>
                <w:rFonts w:ascii="宋体"/>
                <w:vanish/>
              </w:rPr>
            </w:pPr>
          </w:p>
        </w:tc>
        <w:tc>
          <w:tcPr>
            <w:tcW w:w="0" w:type="auto"/>
            <w:gridSpan w:val="3"/>
            <w:shd w:val="clear" w:color="auto" w:fill="auto"/>
          </w:tcPr>
          <w:p w14:paraId="5EA27879" w14:textId="77777777" w:rsidR="003C66EB" w:rsidRDefault="003C66EB">
            <w:pPr>
              <w:rPr>
                <w:rFonts w:ascii="宋体"/>
                <w:vanish/>
              </w:rPr>
            </w:pPr>
          </w:p>
        </w:tc>
        <w:tc>
          <w:tcPr>
            <w:tcW w:w="0" w:type="auto"/>
            <w:gridSpan w:val="3"/>
            <w:shd w:val="clear" w:color="auto" w:fill="auto"/>
          </w:tcPr>
          <w:p w14:paraId="5EA2787A" w14:textId="77777777" w:rsidR="003C66EB" w:rsidRDefault="003C66EB">
            <w:pPr>
              <w:rPr>
                <w:rFonts w:ascii="宋体"/>
                <w:vanish/>
              </w:rPr>
            </w:pPr>
          </w:p>
        </w:tc>
        <w:tc>
          <w:tcPr>
            <w:tcW w:w="0" w:type="auto"/>
            <w:gridSpan w:val="3"/>
            <w:shd w:val="clear" w:color="auto" w:fill="auto"/>
          </w:tcPr>
          <w:p w14:paraId="5EA2787B" w14:textId="77777777" w:rsidR="003C66EB" w:rsidRDefault="003C66EB">
            <w:pPr>
              <w:rPr>
                <w:rFonts w:ascii="宋体"/>
                <w:vanish/>
              </w:rPr>
            </w:pPr>
          </w:p>
        </w:tc>
        <w:tc>
          <w:tcPr>
            <w:tcW w:w="0" w:type="auto"/>
            <w:gridSpan w:val="3"/>
            <w:shd w:val="clear" w:color="auto" w:fill="auto"/>
          </w:tcPr>
          <w:p w14:paraId="5EA2787C" w14:textId="77777777" w:rsidR="003C66EB" w:rsidRDefault="003C66EB">
            <w:pPr>
              <w:rPr>
                <w:rFonts w:ascii="宋体"/>
                <w:vanish/>
              </w:rPr>
            </w:pPr>
          </w:p>
        </w:tc>
        <w:tc>
          <w:tcPr>
            <w:tcW w:w="0" w:type="auto"/>
            <w:gridSpan w:val="3"/>
            <w:shd w:val="clear" w:color="auto" w:fill="auto"/>
          </w:tcPr>
          <w:p w14:paraId="5EA2787D" w14:textId="77777777" w:rsidR="003C66EB" w:rsidRDefault="003C66EB">
            <w:pPr>
              <w:rPr>
                <w:rFonts w:ascii="宋体"/>
                <w:vanish/>
              </w:rPr>
            </w:pPr>
          </w:p>
        </w:tc>
        <w:tc>
          <w:tcPr>
            <w:tcW w:w="0" w:type="auto"/>
            <w:gridSpan w:val="3"/>
            <w:shd w:val="clear" w:color="auto" w:fill="auto"/>
          </w:tcPr>
          <w:p w14:paraId="5EA2787E" w14:textId="77777777" w:rsidR="003C66EB" w:rsidRDefault="003C66EB">
            <w:pPr>
              <w:rPr>
                <w:rFonts w:ascii="宋体"/>
                <w:vanish/>
              </w:rPr>
            </w:pPr>
          </w:p>
        </w:tc>
        <w:tc>
          <w:tcPr>
            <w:tcW w:w="0" w:type="auto"/>
            <w:gridSpan w:val="3"/>
            <w:shd w:val="clear" w:color="auto" w:fill="auto"/>
          </w:tcPr>
          <w:p w14:paraId="5EA2787F" w14:textId="77777777" w:rsidR="003C66EB" w:rsidRDefault="003C66EB">
            <w:pPr>
              <w:rPr>
                <w:rFonts w:ascii="宋体"/>
                <w:vanish/>
              </w:rPr>
            </w:pPr>
          </w:p>
        </w:tc>
        <w:tc>
          <w:tcPr>
            <w:tcW w:w="0" w:type="auto"/>
            <w:gridSpan w:val="3"/>
            <w:shd w:val="clear" w:color="auto" w:fill="auto"/>
          </w:tcPr>
          <w:p w14:paraId="5EA27880" w14:textId="77777777" w:rsidR="003C66EB" w:rsidRDefault="003C66EB">
            <w:pPr>
              <w:rPr>
                <w:rFonts w:ascii="宋体"/>
                <w:vanish/>
              </w:rPr>
            </w:pPr>
          </w:p>
        </w:tc>
        <w:tc>
          <w:tcPr>
            <w:tcW w:w="0" w:type="auto"/>
            <w:gridSpan w:val="3"/>
            <w:shd w:val="clear" w:color="auto" w:fill="auto"/>
          </w:tcPr>
          <w:p w14:paraId="5EA27881" w14:textId="77777777" w:rsidR="003C66EB" w:rsidRDefault="003C66EB">
            <w:pPr>
              <w:rPr>
                <w:rFonts w:ascii="宋体"/>
                <w:vanish/>
              </w:rPr>
            </w:pPr>
          </w:p>
        </w:tc>
        <w:tc>
          <w:tcPr>
            <w:tcW w:w="0" w:type="auto"/>
            <w:gridSpan w:val="3"/>
            <w:shd w:val="clear" w:color="auto" w:fill="auto"/>
          </w:tcPr>
          <w:p w14:paraId="5EA27882" w14:textId="77777777" w:rsidR="003C66EB" w:rsidRDefault="003C66EB">
            <w:pPr>
              <w:rPr>
                <w:rFonts w:ascii="宋体"/>
                <w:vanish/>
              </w:rPr>
            </w:pPr>
          </w:p>
        </w:tc>
        <w:tc>
          <w:tcPr>
            <w:tcW w:w="0" w:type="auto"/>
            <w:gridSpan w:val="2"/>
            <w:shd w:val="clear" w:color="auto" w:fill="auto"/>
          </w:tcPr>
          <w:p w14:paraId="5EA27883" w14:textId="77777777" w:rsidR="003C66EB" w:rsidRDefault="003C66EB">
            <w:pPr>
              <w:rPr>
                <w:rFonts w:ascii="宋体"/>
                <w:vanish/>
              </w:rPr>
            </w:pPr>
          </w:p>
        </w:tc>
        <w:tc>
          <w:tcPr>
            <w:tcW w:w="0" w:type="auto"/>
            <w:shd w:val="clear" w:color="auto" w:fill="auto"/>
          </w:tcPr>
          <w:p w14:paraId="5EA27884" w14:textId="77777777" w:rsidR="003C66EB" w:rsidRDefault="003C66EB">
            <w:pPr>
              <w:rPr>
                <w:rFonts w:ascii="宋体"/>
                <w:vanish/>
              </w:rPr>
            </w:pPr>
          </w:p>
        </w:tc>
      </w:tr>
      <w:tr w:rsidR="003C66EB" w14:paraId="5EA2789C" w14:textId="77777777">
        <w:trPr>
          <w:hidden/>
        </w:trPr>
        <w:tc>
          <w:tcPr>
            <w:tcW w:w="0" w:type="auto"/>
            <w:gridSpan w:val="3"/>
            <w:shd w:val="clear" w:color="auto" w:fill="auto"/>
          </w:tcPr>
          <w:p w14:paraId="5EA27886" w14:textId="77777777" w:rsidR="003C66EB" w:rsidRDefault="003C66EB">
            <w:pPr>
              <w:rPr>
                <w:rFonts w:ascii="宋体"/>
                <w:vanish/>
              </w:rPr>
            </w:pPr>
          </w:p>
        </w:tc>
        <w:tc>
          <w:tcPr>
            <w:tcW w:w="0" w:type="auto"/>
            <w:gridSpan w:val="3"/>
            <w:shd w:val="clear" w:color="auto" w:fill="auto"/>
          </w:tcPr>
          <w:p w14:paraId="5EA27887" w14:textId="77777777" w:rsidR="003C66EB" w:rsidRDefault="003C66EB">
            <w:pPr>
              <w:rPr>
                <w:rFonts w:ascii="宋体"/>
                <w:vanish/>
              </w:rPr>
            </w:pPr>
          </w:p>
        </w:tc>
        <w:tc>
          <w:tcPr>
            <w:tcW w:w="0" w:type="auto"/>
            <w:gridSpan w:val="3"/>
            <w:shd w:val="clear" w:color="auto" w:fill="auto"/>
          </w:tcPr>
          <w:p w14:paraId="5EA27888" w14:textId="77777777" w:rsidR="003C66EB" w:rsidRDefault="003C66EB">
            <w:pPr>
              <w:rPr>
                <w:rFonts w:ascii="宋体"/>
                <w:vanish/>
              </w:rPr>
            </w:pPr>
          </w:p>
        </w:tc>
        <w:tc>
          <w:tcPr>
            <w:tcW w:w="0" w:type="auto"/>
            <w:gridSpan w:val="3"/>
            <w:shd w:val="clear" w:color="auto" w:fill="auto"/>
          </w:tcPr>
          <w:p w14:paraId="5EA27889" w14:textId="77777777" w:rsidR="003C66EB" w:rsidRDefault="003C66EB">
            <w:pPr>
              <w:rPr>
                <w:rFonts w:ascii="宋体"/>
                <w:vanish/>
              </w:rPr>
            </w:pPr>
          </w:p>
        </w:tc>
        <w:tc>
          <w:tcPr>
            <w:tcW w:w="0" w:type="auto"/>
            <w:gridSpan w:val="3"/>
            <w:shd w:val="clear" w:color="auto" w:fill="auto"/>
          </w:tcPr>
          <w:p w14:paraId="5EA2788A" w14:textId="77777777" w:rsidR="003C66EB" w:rsidRDefault="003C66EB">
            <w:pPr>
              <w:rPr>
                <w:rFonts w:ascii="宋体"/>
                <w:vanish/>
              </w:rPr>
            </w:pPr>
          </w:p>
        </w:tc>
        <w:tc>
          <w:tcPr>
            <w:tcW w:w="0" w:type="auto"/>
            <w:gridSpan w:val="3"/>
            <w:shd w:val="clear" w:color="auto" w:fill="auto"/>
          </w:tcPr>
          <w:p w14:paraId="5EA2788B" w14:textId="77777777" w:rsidR="003C66EB" w:rsidRDefault="003C66EB">
            <w:pPr>
              <w:rPr>
                <w:rFonts w:ascii="宋体"/>
                <w:vanish/>
              </w:rPr>
            </w:pPr>
          </w:p>
        </w:tc>
        <w:tc>
          <w:tcPr>
            <w:tcW w:w="0" w:type="auto"/>
            <w:gridSpan w:val="3"/>
            <w:shd w:val="clear" w:color="auto" w:fill="auto"/>
          </w:tcPr>
          <w:p w14:paraId="5EA2788C" w14:textId="77777777" w:rsidR="003C66EB" w:rsidRDefault="003C66EB">
            <w:pPr>
              <w:rPr>
                <w:rFonts w:ascii="宋体"/>
                <w:vanish/>
              </w:rPr>
            </w:pPr>
          </w:p>
        </w:tc>
        <w:tc>
          <w:tcPr>
            <w:tcW w:w="0" w:type="auto"/>
            <w:gridSpan w:val="3"/>
            <w:shd w:val="clear" w:color="auto" w:fill="auto"/>
          </w:tcPr>
          <w:p w14:paraId="5EA2788D" w14:textId="77777777" w:rsidR="003C66EB" w:rsidRDefault="003C66EB">
            <w:pPr>
              <w:rPr>
                <w:rFonts w:ascii="宋体"/>
                <w:vanish/>
              </w:rPr>
            </w:pPr>
          </w:p>
        </w:tc>
        <w:tc>
          <w:tcPr>
            <w:tcW w:w="0" w:type="auto"/>
            <w:gridSpan w:val="3"/>
            <w:shd w:val="clear" w:color="auto" w:fill="auto"/>
          </w:tcPr>
          <w:p w14:paraId="5EA2788E" w14:textId="77777777" w:rsidR="003C66EB" w:rsidRDefault="003C66EB">
            <w:pPr>
              <w:rPr>
                <w:rFonts w:ascii="宋体"/>
                <w:vanish/>
              </w:rPr>
            </w:pPr>
          </w:p>
        </w:tc>
        <w:tc>
          <w:tcPr>
            <w:tcW w:w="0" w:type="auto"/>
            <w:gridSpan w:val="3"/>
            <w:shd w:val="clear" w:color="auto" w:fill="auto"/>
          </w:tcPr>
          <w:p w14:paraId="5EA2788F" w14:textId="77777777" w:rsidR="003C66EB" w:rsidRDefault="003C66EB">
            <w:pPr>
              <w:rPr>
                <w:rFonts w:ascii="宋体"/>
                <w:vanish/>
              </w:rPr>
            </w:pPr>
          </w:p>
        </w:tc>
        <w:tc>
          <w:tcPr>
            <w:tcW w:w="0" w:type="auto"/>
            <w:gridSpan w:val="3"/>
            <w:shd w:val="clear" w:color="auto" w:fill="auto"/>
          </w:tcPr>
          <w:p w14:paraId="5EA27890" w14:textId="77777777" w:rsidR="003C66EB" w:rsidRDefault="003C66EB">
            <w:pPr>
              <w:rPr>
                <w:rFonts w:ascii="宋体"/>
                <w:vanish/>
              </w:rPr>
            </w:pPr>
          </w:p>
        </w:tc>
        <w:tc>
          <w:tcPr>
            <w:tcW w:w="0" w:type="auto"/>
            <w:gridSpan w:val="3"/>
            <w:shd w:val="clear" w:color="auto" w:fill="auto"/>
          </w:tcPr>
          <w:p w14:paraId="5EA27891" w14:textId="77777777" w:rsidR="003C66EB" w:rsidRDefault="003C66EB">
            <w:pPr>
              <w:rPr>
                <w:rFonts w:ascii="宋体"/>
                <w:vanish/>
              </w:rPr>
            </w:pPr>
          </w:p>
        </w:tc>
        <w:tc>
          <w:tcPr>
            <w:tcW w:w="0" w:type="auto"/>
            <w:gridSpan w:val="3"/>
            <w:shd w:val="clear" w:color="auto" w:fill="auto"/>
          </w:tcPr>
          <w:p w14:paraId="5EA27892" w14:textId="77777777" w:rsidR="003C66EB" w:rsidRDefault="003C66EB">
            <w:pPr>
              <w:rPr>
                <w:rFonts w:ascii="宋体"/>
                <w:vanish/>
              </w:rPr>
            </w:pPr>
          </w:p>
        </w:tc>
        <w:tc>
          <w:tcPr>
            <w:tcW w:w="0" w:type="auto"/>
            <w:gridSpan w:val="3"/>
            <w:shd w:val="clear" w:color="auto" w:fill="auto"/>
          </w:tcPr>
          <w:p w14:paraId="5EA27893" w14:textId="77777777" w:rsidR="003C66EB" w:rsidRDefault="003C66EB">
            <w:pPr>
              <w:rPr>
                <w:rFonts w:ascii="宋体"/>
                <w:vanish/>
              </w:rPr>
            </w:pPr>
          </w:p>
        </w:tc>
        <w:tc>
          <w:tcPr>
            <w:tcW w:w="0" w:type="auto"/>
            <w:gridSpan w:val="3"/>
            <w:shd w:val="clear" w:color="auto" w:fill="auto"/>
          </w:tcPr>
          <w:p w14:paraId="5EA27894" w14:textId="77777777" w:rsidR="003C66EB" w:rsidRDefault="003C66EB">
            <w:pPr>
              <w:rPr>
                <w:rFonts w:ascii="宋体"/>
                <w:vanish/>
              </w:rPr>
            </w:pPr>
          </w:p>
        </w:tc>
        <w:tc>
          <w:tcPr>
            <w:tcW w:w="0" w:type="auto"/>
            <w:gridSpan w:val="3"/>
            <w:shd w:val="clear" w:color="auto" w:fill="auto"/>
          </w:tcPr>
          <w:p w14:paraId="5EA27895" w14:textId="77777777" w:rsidR="003C66EB" w:rsidRDefault="003C66EB">
            <w:pPr>
              <w:rPr>
                <w:rFonts w:ascii="宋体"/>
                <w:vanish/>
              </w:rPr>
            </w:pPr>
          </w:p>
        </w:tc>
        <w:tc>
          <w:tcPr>
            <w:tcW w:w="0" w:type="auto"/>
            <w:gridSpan w:val="3"/>
            <w:shd w:val="clear" w:color="auto" w:fill="auto"/>
          </w:tcPr>
          <w:p w14:paraId="5EA27896" w14:textId="77777777" w:rsidR="003C66EB" w:rsidRDefault="003C66EB">
            <w:pPr>
              <w:rPr>
                <w:rFonts w:ascii="宋体"/>
                <w:vanish/>
              </w:rPr>
            </w:pPr>
          </w:p>
        </w:tc>
        <w:tc>
          <w:tcPr>
            <w:tcW w:w="0" w:type="auto"/>
            <w:gridSpan w:val="3"/>
            <w:shd w:val="clear" w:color="auto" w:fill="auto"/>
          </w:tcPr>
          <w:p w14:paraId="5EA27897" w14:textId="77777777" w:rsidR="003C66EB" w:rsidRDefault="003C66EB">
            <w:pPr>
              <w:rPr>
                <w:rFonts w:ascii="宋体"/>
                <w:vanish/>
              </w:rPr>
            </w:pPr>
          </w:p>
        </w:tc>
        <w:tc>
          <w:tcPr>
            <w:tcW w:w="0" w:type="auto"/>
            <w:gridSpan w:val="3"/>
            <w:shd w:val="clear" w:color="auto" w:fill="auto"/>
          </w:tcPr>
          <w:p w14:paraId="5EA27898" w14:textId="77777777" w:rsidR="003C66EB" w:rsidRDefault="003C66EB">
            <w:pPr>
              <w:rPr>
                <w:rFonts w:ascii="宋体"/>
                <w:vanish/>
              </w:rPr>
            </w:pPr>
          </w:p>
        </w:tc>
        <w:tc>
          <w:tcPr>
            <w:tcW w:w="0" w:type="auto"/>
            <w:gridSpan w:val="3"/>
            <w:shd w:val="clear" w:color="auto" w:fill="auto"/>
          </w:tcPr>
          <w:p w14:paraId="5EA27899" w14:textId="77777777" w:rsidR="003C66EB" w:rsidRDefault="003C66EB">
            <w:pPr>
              <w:rPr>
                <w:rFonts w:ascii="宋体"/>
                <w:vanish/>
              </w:rPr>
            </w:pPr>
          </w:p>
        </w:tc>
        <w:tc>
          <w:tcPr>
            <w:tcW w:w="0" w:type="auto"/>
            <w:gridSpan w:val="2"/>
            <w:shd w:val="clear" w:color="auto" w:fill="auto"/>
          </w:tcPr>
          <w:p w14:paraId="5EA2789A" w14:textId="77777777" w:rsidR="003C66EB" w:rsidRDefault="003C66EB">
            <w:pPr>
              <w:rPr>
                <w:rFonts w:ascii="宋体"/>
                <w:vanish/>
              </w:rPr>
            </w:pPr>
          </w:p>
        </w:tc>
        <w:tc>
          <w:tcPr>
            <w:tcW w:w="0" w:type="auto"/>
            <w:shd w:val="clear" w:color="auto" w:fill="auto"/>
          </w:tcPr>
          <w:p w14:paraId="5EA2789B" w14:textId="77777777" w:rsidR="003C66EB" w:rsidRDefault="003C66EB">
            <w:pPr>
              <w:rPr>
                <w:rFonts w:ascii="宋体"/>
                <w:vanish/>
              </w:rPr>
            </w:pPr>
          </w:p>
        </w:tc>
      </w:tr>
      <w:tr w:rsidR="003C66EB" w14:paraId="5EA278B3" w14:textId="77777777">
        <w:trPr>
          <w:hidden/>
        </w:trPr>
        <w:tc>
          <w:tcPr>
            <w:tcW w:w="0" w:type="auto"/>
            <w:gridSpan w:val="3"/>
            <w:shd w:val="clear" w:color="auto" w:fill="auto"/>
          </w:tcPr>
          <w:p w14:paraId="5EA2789D" w14:textId="77777777" w:rsidR="003C66EB" w:rsidRDefault="003C66EB">
            <w:pPr>
              <w:rPr>
                <w:rFonts w:ascii="宋体"/>
                <w:vanish/>
              </w:rPr>
            </w:pPr>
          </w:p>
        </w:tc>
        <w:tc>
          <w:tcPr>
            <w:tcW w:w="0" w:type="auto"/>
            <w:gridSpan w:val="3"/>
            <w:shd w:val="clear" w:color="auto" w:fill="auto"/>
          </w:tcPr>
          <w:p w14:paraId="5EA2789E" w14:textId="77777777" w:rsidR="003C66EB" w:rsidRDefault="003C66EB">
            <w:pPr>
              <w:rPr>
                <w:rFonts w:ascii="宋体"/>
                <w:vanish/>
              </w:rPr>
            </w:pPr>
          </w:p>
        </w:tc>
        <w:tc>
          <w:tcPr>
            <w:tcW w:w="0" w:type="auto"/>
            <w:gridSpan w:val="3"/>
            <w:shd w:val="clear" w:color="auto" w:fill="auto"/>
          </w:tcPr>
          <w:p w14:paraId="5EA2789F" w14:textId="77777777" w:rsidR="003C66EB" w:rsidRDefault="003C66EB">
            <w:pPr>
              <w:rPr>
                <w:rFonts w:ascii="宋体"/>
                <w:vanish/>
              </w:rPr>
            </w:pPr>
          </w:p>
        </w:tc>
        <w:tc>
          <w:tcPr>
            <w:tcW w:w="0" w:type="auto"/>
            <w:gridSpan w:val="3"/>
            <w:shd w:val="clear" w:color="auto" w:fill="auto"/>
          </w:tcPr>
          <w:p w14:paraId="5EA278A0" w14:textId="77777777" w:rsidR="003C66EB" w:rsidRDefault="003C66EB">
            <w:pPr>
              <w:rPr>
                <w:rFonts w:ascii="宋体"/>
                <w:vanish/>
              </w:rPr>
            </w:pPr>
          </w:p>
        </w:tc>
        <w:tc>
          <w:tcPr>
            <w:tcW w:w="0" w:type="auto"/>
            <w:gridSpan w:val="3"/>
            <w:shd w:val="clear" w:color="auto" w:fill="auto"/>
          </w:tcPr>
          <w:p w14:paraId="5EA278A1" w14:textId="77777777" w:rsidR="003C66EB" w:rsidRDefault="003C66EB">
            <w:pPr>
              <w:rPr>
                <w:rFonts w:ascii="宋体"/>
                <w:vanish/>
              </w:rPr>
            </w:pPr>
          </w:p>
        </w:tc>
        <w:tc>
          <w:tcPr>
            <w:tcW w:w="0" w:type="auto"/>
            <w:gridSpan w:val="3"/>
            <w:shd w:val="clear" w:color="auto" w:fill="auto"/>
          </w:tcPr>
          <w:p w14:paraId="5EA278A2" w14:textId="77777777" w:rsidR="003C66EB" w:rsidRDefault="003C66EB">
            <w:pPr>
              <w:rPr>
                <w:rFonts w:ascii="宋体"/>
                <w:vanish/>
              </w:rPr>
            </w:pPr>
          </w:p>
        </w:tc>
        <w:tc>
          <w:tcPr>
            <w:tcW w:w="0" w:type="auto"/>
            <w:gridSpan w:val="3"/>
            <w:shd w:val="clear" w:color="auto" w:fill="auto"/>
          </w:tcPr>
          <w:p w14:paraId="5EA278A3" w14:textId="77777777" w:rsidR="003C66EB" w:rsidRDefault="003C66EB">
            <w:pPr>
              <w:rPr>
                <w:rFonts w:ascii="宋体"/>
                <w:vanish/>
              </w:rPr>
            </w:pPr>
          </w:p>
        </w:tc>
        <w:tc>
          <w:tcPr>
            <w:tcW w:w="0" w:type="auto"/>
            <w:gridSpan w:val="3"/>
            <w:shd w:val="clear" w:color="auto" w:fill="auto"/>
          </w:tcPr>
          <w:p w14:paraId="5EA278A4" w14:textId="77777777" w:rsidR="003C66EB" w:rsidRDefault="003C66EB">
            <w:pPr>
              <w:rPr>
                <w:rFonts w:ascii="宋体"/>
                <w:vanish/>
              </w:rPr>
            </w:pPr>
          </w:p>
        </w:tc>
        <w:tc>
          <w:tcPr>
            <w:tcW w:w="0" w:type="auto"/>
            <w:gridSpan w:val="3"/>
            <w:shd w:val="clear" w:color="auto" w:fill="auto"/>
          </w:tcPr>
          <w:p w14:paraId="5EA278A5" w14:textId="77777777" w:rsidR="003C66EB" w:rsidRDefault="003C66EB">
            <w:pPr>
              <w:rPr>
                <w:rFonts w:ascii="宋体"/>
                <w:vanish/>
              </w:rPr>
            </w:pPr>
          </w:p>
        </w:tc>
        <w:tc>
          <w:tcPr>
            <w:tcW w:w="0" w:type="auto"/>
            <w:gridSpan w:val="3"/>
            <w:shd w:val="clear" w:color="auto" w:fill="auto"/>
          </w:tcPr>
          <w:p w14:paraId="5EA278A6" w14:textId="77777777" w:rsidR="003C66EB" w:rsidRDefault="003C66EB">
            <w:pPr>
              <w:rPr>
                <w:rFonts w:ascii="宋体"/>
                <w:vanish/>
              </w:rPr>
            </w:pPr>
          </w:p>
        </w:tc>
        <w:tc>
          <w:tcPr>
            <w:tcW w:w="0" w:type="auto"/>
            <w:gridSpan w:val="3"/>
            <w:shd w:val="clear" w:color="auto" w:fill="auto"/>
          </w:tcPr>
          <w:p w14:paraId="5EA278A7" w14:textId="77777777" w:rsidR="003C66EB" w:rsidRDefault="003C66EB">
            <w:pPr>
              <w:rPr>
                <w:rFonts w:ascii="宋体"/>
                <w:vanish/>
              </w:rPr>
            </w:pPr>
          </w:p>
        </w:tc>
        <w:tc>
          <w:tcPr>
            <w:tcW w:w="0" w:type="auto"/>
            <w:gridSpan w:val="3"/>
            <w:shd w:val="clear" w:color="auto" w:fill="auto"/>
          </w:tcPr>
          <w:p w14:paraId="5EA278A8" w14:textId="77777777" w:rsidR="003C66EB" w:rsidRDefault="003C66EB">
            <w:pPr>
              <w:rPr>
                <w:rFonts w:ascii="宋体"/>
                <w:vanish/>
              </w:rPr>
            </w:pPr>
          </w:p>
        </w:tc>
        <w:tc>
          <w:tcPr>
            <w:tcW w:w="0" w:type="auto"/>
            <w:gridSpan w:val="3"/>
            <w:shd w:val="clear" w:color="auto" w:fill="auto"/>
          </w:tcPr>
          <w:p w14:paraId="5EA278A9" w14:textId="77777777" w:rsidR="003C66EB" w:rsidRDefault="003C66EB">
            <w:pPr>
              <w:rPr>
                <w:rFonts w:ascii="宋体"/>
                <w:vanish/>
              </w:rPr>
            </w:pPr>
          </w:p>
        </w:tc>
        <w:tc>
          <w:tcPr>
            <w:tcW w:w="0" w:type="auto"/>
            <w:gridSpan w:val="3"/>
            <w:shd w:val="clear" w:color="auto" w:fill="auto"/>
          </w:tcPr>
          <w:p w14:paraId="5EA278AA" w14:textId="77777777" w:rsidR="003C66EB" w:rsidRDefault="003C66EB">
            <w:pPr>
              <w:rPr>
                <w:rFonts w:ascii="宋体"/>
                <w:vanish/>
              </w:rPr>
            </w:pPr>
          </w:p>
        </w:tc>
        <w:tc>
          <w:tcPr>
            <w:tcW w:w="0" w:type="auto"/>
            <w:gridSpan w:val="3"/>
            <w:shd w:val="clear" w:color="auto" w:fill="auto"/>
          </w:tcPr>
          <w:p w14:paraId="5EA278AB" w14:textId="77777777" w:rsidR="003C66EB" w:rsidRDefault="003C66EB">
            <w:pPr>
              <w:rPr>
                <w:rFonts w:ascii="宋体"/>
                <w:vanish/>
              </w:rPr>
            </w:pPr>
          </w:p>
        </w:tc>
        <w:tc>
          <w:tcPr>
            <w:tcW w:w="0" w:type="auto"/>
            <w:gridSpan w:val="3"/>
            <w:shd w:val="clear" w:color="auto" w:fill="auto"/>
          </w:tcPr>
          <w:p w14:paraId="5EA278AC" w14:textId="77777777" w:rsidR="003C66EB" w:rsidRDefault="003C66EB">
            <w:pPr>
              <w:rPr>
                <w:rFonts w:ascii="宋体"/>
                <w:vanish/>
              </w:rPr>
            </w:pPr>
          </w:p>
        </w:tc>
        <w:tc>
          <w:tcPr>
            <w:tcW w:w="0" w:type="auto"/>
            <w:gridSpan w:val="3"/>
            <w:shd w:val="clear" w:color="auto" w:fill="auto"/>
          </w:tcPr>
          <w:p w14:paraId="5EA278AD" w14:textId="77777777" w:rsidR="003C66EB" w:rsidRDefault="003C66EB">
            <w:pPr>
              <w:rPr>
                <w:rFonts w:ascii="宋体"/>
                <w:vanish/>
              </w:rPr>
            </w:pPr>
          </w:p>
        </w:tc>
        <w:tc>
          <w:tcPr>
            <w:tcW w:w="0" w:type="auto"/>
            <w:gridSpan w:val="3"/>
            <w:shd w:val="clear" w:color="auto" w:fill="auto"/>
          </w:tcPr>
          <w:p w14:paraId="5EA278AE" w14:textId="77777777" w:rsidR="003C66EB" w:rsidRDefault="003C66EB">
            <w:pPr>
              <w:rPr>
                <w:rFonts w:ascii="宋体"/>
                <w:vanish/>
              </w:rPr>
            </w:pPr>
          </w:p>
        </w:tc>
        <w:tc>
          <w:tcPr>
            <w:tcW w:w="0" w:type="auto"/>
            <w:gridSpan w:val="3"/>
            <w:shd w:val="clear" w:color="auto" w:fill="auto"/>
          </w:tcPr>
          <w:p w14:paraId="5EA278AF" w14:textId="77777777" w:rsidR="003C66EB" w:rsidRDefault="003C66EB">
            <w:pPr>
              <w:rPr>
                <w:rFonts w:ascii="宋体"/>
                <w:vanish/>
              </w:rPr>
            </w:pPr>
          </w:p>
        </w:tc>
        <w:tc>
          <w:tcPr>
            <w:tcW w:w="0" w:type="auto"/>
            <w:gridSpan w:val="3"/>
            <w:shd w:val="clear" w:color="auto" w:fill="auto"/>
          </w:tcPr>
          <w:p w14:paraId="5EA278B0" w14:textId="77777777" w:rsidR="003C66EB" w:rsidRDefault="003C66EB">
            <w:pPr>
              <w:rPr>
                <w:rFonts w:ascii="宋体"/>
                <w:vanish/>
              </w:rPr>
            </w:pPr>
          </w:p>
        </w:tc>
        <w:tc>
          <w:tcPr>
            <w:tcW w:w="0" w:type="auto"/>
            <w:gridSpan w:val="2"/>
            <w:shd w:val="clear" w:color="auto" w:fill="auto"/>
          </w:tcPr>
          <w:p w14:paraId="5EA278B1" w14:textId="77777777" w:rsidR="003C66EB" w:rsidRDefault="003C66EB">
            <w:pPr>
              <w:rPr>
                <w:rFonts w:ascii="宋体"/>
                <w:vanish/>
              </w:rPr>
            </w:pPr>
          </w:p>
        </w:tc>
        <w:tc>
          <w:tcPr>
            <w:tcW w:w="0" w:type="auto"/>
            <w:shd w:val="clear" w:color="auto" w:fill="auto"/>
          </w:tcPr>
          <w:p w14:paraId="5EA278B2" w14:textId="77777777" w:rsidR="003C66EB" w:rsidRDefault="003C66EB">
            <w:pPr>
              <w:rPr>
                <w:rFonts w:ascii="宋体"/>
                <w:vanish/>
              </w:rPr>
            </w:pPr>
          </w:p>
        </w:tc>
      </w:tr>
      <w:tr w:rsidR="003C66EB" w14:paraId="5EA278CA" w14:textId="77777777">
        <w:trPr>
          <w:hidden/>
        </w:trPr>
        <w:tc>
          <w:tcPr>
            <w:tcW w:w="0" w:type="auto"/>
            <w:gridSpan w:val="3"/>
            <w:shd w:val="clear" w:color="auto" w:fill="auto"/>
          </w:tcPr>
          <w:p w14:paraId="5EA278B4" w14:textId="77777777" w:rsidR="003C66EB" w:rsidRDefault="003C66EB">
            <w:pPr>
              <w:rPr>
                <w:rFonts w:ascii="宋体"/>
                <w:vanish/>
              </w:rPr>
            </w:pPr>
          </w:p>
        </w:tc>
        <w:tc>
          <w:tcPr>
            <w:tcW w:w="0" w:type="auto"/>
            <w:gridSpan w:val="3"/>
            <w:shd w:val="clear" w:color="auto" w:fill="auto"/>
          </w:tcPr>
          <w:p w14:paraId="5EA278B5" w14:textId="77777777" w:rsidR="003C66EB" w:rsidRDefault="003C66EB">
            <w:pPr>
              <w:rPr>
                <w:rFonts w:ascii="宋体"/>
                <w:vanish/>
              </w:rPr>
            </w:pPr>
          </w:p>
        </w:tc>
        <w:tc>
          <w:tcPr>
            <w:tcW w:w="0" w:type="auto"/>
            <w:gridSpan w:val="3"/>
            <w:shd w:val="clear" w:color="auto" w:fill="auto"/>
          </w:tcPr>
          <w:p w14:paraId="5EA278B6" w14:textId="77777777" w:rsidR="003C66EB" w:rsidRDefault="003C66EB">
            <w:pPr>
              <w:rPr>
                <w:rFonts w:ascii="宋体"/>
                <w:vanish/>
              </w:rPr>
            </w:pPr>
          </w:p>
        </w:tc>
        <w:tc>
          <w:tcPr>
            <w:tcW w:w="0" w:type="auto"/>
            <w:gridSpan w:val="3"/>
            <w:shd w:val="clear" w:color="auto" w:fill="auto"/>
          </w:tcPr>
          <w:p w14:paraId="5EA278B7" w14:textId="77777777" w:rsidR="003C66EB" w:rsidRDefault="003C66EB">
            <w:pPr>
              <w:rPr>
                <w:rFonts w:ascii="宋体"/>
                <w:vanish/>
              </w:rPr>
            </w:pPr>
          </w:p>
        </w:tc>
        <w:tc>
          <w:tcPr>
            <w:tcW w:w="0" w:type="auto"/>
            <w:gridSpan w:val="3"/>
            <w:shd w:val="clear" w:color="auto" w:fill="auto"/>
          </w:tcPr>
          <w:p w14:paraId="5EA278B8" w14:textId="77777777" w:rsidR="003C66EB" w:rsidRDefault="003C66EB">
            <w:pPr>
              <w:rPr>
                <w:rFonts w:ascii="宋体"/>
                <w:vanish/>
              </w:rPr>
            </w:pPr>
          </w:p>
        </w:tc>
        <w:tc>
          <w:tcPr>
            <w:tcW w:w="0" w:type="auto"/>
            <w:gridSpan w:val="3"/>
            <w:shd w:val="clear" w:color="auto" w:fill="auto"/>
          </w:tcPr>
          <w:p w14:paraId="5EA278B9" w14:textId="77777777" w:rsidR="003C66EB" w:rsidRDefault="003C66EB">
            <w:pPr>
              <w:rPr>
                <w:rFonts w:ascii="宋体"/>
                <w:vanish/>
              </w:rPr>
            </w:pPr>
          </w:p>
        </w:tc>
        <w:tc>
          <w:tcPr>
            <w:tcW w:w="0" w:type="auto"/>
            <w:gridSpan w:val="3"/>
            <w:shd w:val="clear" w:color="auto" w:fill="auto"/>
          </w:tcPr>
          <w:p w14:paraId="5EA278BA" w14:textId="77777777" w:rsidR="003C66EB" w:rsidRDefault="003C66EB">
            <w:pPr>
              <w:rPr>
                <w:rFonts w:ascii="宋体"/>
                <w:vanish/>
              </w:rPr>
            </w:pPr>
          </w:p>
        </w:tc>
        <w:tc>
          <w:tcPr>
            <w:tcW w:w="0" w:type="auto"/>
            <w:gridSpan w:val="3"/>
            <w:shd w:val="clear" w:color="auto" w:fill="auto"/>
          </w:tcPr>
          <w:p w14:paraId="5EA278BB" w14:textId="77777777" w:rsidR="003C66EB" w:rsidRDefault="003C66EB">
            <w:pPr>
              <w:rPr>
                <w:rFonts w:ascii="宋体"/>
                <w:vanish/>
              </w:rPr>
            </w:pPr>
          </w:p>
        </w:tc>
        <w:tc>
          <w:tcPr>
            <w:tcW w:w="0" w:type="auto"/>
            <w:gridSpan w:val="3"/>
            <w:shd w:val="clear" w:color="auto" w:fill="auto"/>
          </w:tcPr>
          <w:p w14:paraId="5EA278BC" w14:textId="77777777" w:rsidR="003C66EB" w:rsidRDefault="003C66EB">
            <w:pPr>
              <w:rPr>
                <w:rFonts w:ascii="宋体"/>
                <w:vanish/>
              </w:rPr>
            </w:pPr>
          </w:p>
        </w:tc>
        <w:tc>
          <w:tcPr>
            <w:tcW w:w="0" w:type="auto"/>
            <w:gridSpan w:val="3"/>
            <w:shd w:val="clear" w:color="auto" w:fill="auto"/>
          </w:tcPr>
          <w:p w14:paraId="5EA278BD" w14:textId="77777777" w:rsidR="003C66EB" w:rsidRDefault="003C66EB">
            <w:pPr>
              <w:rPr>
                <w:rFonts w:ascii="宋体"/>
                <w:vanish/>
              </w:rPr>
            </w:pPr>
          </w:p>
        </w:tc>
        <w:tc>
          <w:tcPr>
            <w:tcW w:w="0" w:type="auto"/>
            <w:gridSpan w:val="3"/>
            <w:shd w:val="clear" w:color="auto" w:fill="auto"/>
          </w:tcPr>
          <w:p w14:paraId="5EA278BE" w14:textId="77777777" w:rsidR="003C66EB" w:rsidRDefault="003C66EB">
            <w:pPr>
              <w:rPr>
                <w:rFonts w:ascii="宋体"/>
                <w:vanish/>
              </w:rPr>
            </w:pPr>
          </w:p>
        </w:tc>
        <w:tc>
          <w:tcPr>
            <w:tcW w:w="0" w:type="auto"/>
            <w:gridSpan w:val="3"/>
            <w:shd w:val="clear" w:color="auto" w:fill="auto"/>
          </w:tcPr>
          <w:p w14:paraId="5EA278BF" w14:textId="77777777" w:rsidR="003C66EB" w:rsidRDefault="003C66EB">
            <w:pPr>
              <w:rPr>
                <w:rFonts w:ascii="宋体"/>
                <w:vanish/>
              </w:rPr>
            </w:pPr>
          </w:p>
        </w:tc>
        <w:tc>
          <w:tcPr>
            <w:tcW w:w="0" w:type="auto"/>
            <w:gridSpan w:val="3"/>
            <w:shd w:val="clear" w:color="auto" w:fill="auto"/>
          </w:tcPr>
          <w:p w14:paraId="5EA278C0" w14:textId="77777777" w:rsidR="003C66EB" w:rsidRDefault="003C66EB">
            <w:pPr>
              <w:rPr>
                <w:rFonts w:ascii="宋体"/>
                <w:vanish/>
              </w:rPr>
            </w:pPr>
          </w:p>
        </w:tc>
        <w:tc>
          <w:tcPr>
            <w:tcW w:w="0" w:type="auto"/>
            <w:gridSpan w:val="3"/>
            <w:shd w:val="clear" w:color="auto" w:fill="auto"/>
          </w:tcPr>
          <w:p w14:paraId="5EA278C1" w14:textId="77777777" w:rsidR="003C66EB" w:rsidRDefault="003C66EB">
            <w:pPr>
              <w:rPr>
                <w:rFonts w:ascii="宋体"/>
                <w:vanish/>
              </w:rPr>
            </w:pPr>
          </w:p>
        </w:tc>
        <w:tc>
          <w:tcPr>
            <w:tcW w:w="0" w:type="auto"/>
            <w:gridSpan w:val="3"/>
            <w:shd w:val="clear" w:color="auto" w:fill="auto"/>
          </w:tcPr>
          <w:p w14:paraId="5EA278C2" w14:textId="77777777" w:rsidR="003C66EB" w:rsidRDefault="003C66EB">
            <w:pPr>
              <w:rPr>
                <w:rFonts w:ascii="宋体"/>
                <w:vanish/>
              </w:rPr>
            </w:pPr>
          </w:p>
        </w:tc>
        <w:tc>
          <w:tcPr>
            <w:tcW w:w="0" w:type="auto"/>
            <w:gridSpan w:val="3"/>
            <w:shd w:val="clear" w:color="auto" w:fill="auto"/>
          </w:tcPr>
          <w:p w14:paraId="5EA278C3" w14:textId="77777777" w:rsidR="003C66EB" w:rsidRDefault="003C66EB">
            <w:pPr>
              <w:rPr>
                <w:rFonts w:ascii="宋体"/>
                <w:vanish/>
              </w:rPr>
            </w:pPr>
          </w:p>
        </w:tc>
        <w:tc>
          <w:tcPr>
            <w:tcW w:w="0" w:type="auto"/>
            <w:gridSpan w:val="3"/>
            <w:shd w:val="clear" w:color="auto" w:fill="auto"/>
          </w:tcPr>
          <w:p w14:paraId="5EA278C4" w14:textId="77777777" w:rsidR="003C66EB" w:rsidRDefault="003C66EB">
            <w:pPr>
              <w:rPr>
                <w:rFonts w:ascii="宋体"/>
                <w:vanish/>
              </w:rPr>
            </w:pPr>
          </w:p>
        </w:tc>
        <w:tc>
          <w:tcPr>
            <w:tcW w:w="0" w:type="auto"/>
            <w:gridSpan w:val="3"/>
            <w:shd w:val="clear" w:color="auto" w:fill="auto"/>
          </w:tcPr>
          <w:p w14:paraId="5EA278C5" w14:textId="77777777" w:rsidR="003C66EB" w:rsidRDefault="003C66EB">
            <w:pPr>
              <w:rPr>
                <w:rFonts w:ascii="宋体"/>
                <w:vanish/>
              </w:rPr>
            </w:pPr>
          </w:p>
        </w:tc>
        <w:tc>
          <w:tcPr>
            <w:tcW w:w="0" w:type="auto"/>
            <w:gridSpan w:val="3"/>
            <w:shd w:val="clear" w:color="auto" w:fill="auto"/>
          </w:tcPr>
          <w:p w14:paraId="5EA278C6" w14:textId="77777777" w:rsidR="003C66EB" w:rsidRDefault="003C66EB">
            <w:pPr>
              <w:rPr>
                <w:rFonts w:ascii="宋体"/>
                <w:vanish/>
              </w:rPr>
            </w:pPr>
          </w:p>
        </w:tc>
        <w:tc>
          <w:tcPr>
            <w:tcW w:w="0" w:type="auto"/>
            <w:gridSpan w:val="3"/>
            <w:shd w:val="clear" w:color="auto" w:fill="auto"/>
          </w:tcPr>
          <w:p w14:paraId="5EA278C7" w14:textId="77777777" w:rsidR="003C66EB" w:rsidRDefault="003C66EB">
            <w:pPr>
              <w:rPr>
                <w:rFonts w:ascii="宋体"/>
                <w:vanish/>
              </w:rPr>
            </w:pPr>
          </w:p>
        </w:tc>
        <w:tc>
          <w:tcPr>
            <w:tcW w:w="0" w:type="auto"/>
            <w:gridSpan w:val="2"/>
            <w:shd w:val="clear" w:color="auto" w:fill="auto"/>
          </w:tcPr>
          <w:p w14:paraId="5EA278C8" w14:textId="77777777" w:rsidR="003C66EB" w:rsidRDefault="003C66EB">
            <w:pPr>
              <w:rPr>
                <w:rFonts w:ascii="宋体"/>
                <w:vanish/>
              </w:rPr>
            </w:pPr>
          </w:p>
        </w:tc>
        <w:tc>
          <w:tcPr>
            <w:tcW w:w="0" w:type="auto"/>
            <w:shd w:val="clear" w:color="auto" w:fill="auto"/>
          </w:tcPr>
          <w:p w14:paraId="5EA278C9" w14:textId="77777777" w:rsidR="003C66EB" w:rsidRDefault="003C66EB">
            <w:pPr>
              <w:rPr>
                <w:rFonts w:ascii="宋体"/>
                <w:vanish/>
              </w:rPr>
            </w:pPr>
          </w:p>
        </w:tc>
      </w:tr>
      <w:tr w:rsidR="003C66EB" w14:paraId="5EA278E1" w14:textId="77777777">
        <w:trPr>
          <w:hidden/>
        </w:trPr>
        <w:tc>
          <w:tcPr>
            <w:tcW w:w="0" w:type="auto"/>
            <w:gridSpan w:val="3"/>
            <w:shd w:val="clear" w:color="auto" w:fill="auto"/>
          </w:tcPr>
          <w:p w14:paraId="5EA278CB" w14:textId="77777777" w:rsidR="003C66EB" w:rsidRDefault="003C66EB">
            <w:pPr>
              <w:rPr>
                <w:rFonts w:ascii="宋体"/>
                <w:vanish/>
              </w:rPr>
            </w:pPr>
          </w:p>
        </w:tc>
        <w:tc>
          <w:tcPr>
            <w:tcW w:w="0" w:type="auto"/>
            <w:gridSpan w:val="3"/>
            <w:shd w:val="clear" w:color="auto" w:fill="auto"/>
          </w:tcPr>
          <w:p w14:paraId="5EA278CC" w14:textId="77777777" w:rsidR="003C66EB" w:rsidRDefault="003C66EB">
            <w:pPr>
              <w:rPr>
                <w:rFonts w:ascii="宋体"/>
                <w:vanish/>
              </w:rPr>
            </w:pPr>
          </w:p>
        </w:tc>
        <w:tc>
          <w:tcPr>
            <w:tcW w:w="0" w:type="auto"/>
            <w:gridSpan w:val="3"/>
            <w:shd w:val="clear" w:color="auto" w:fill="auto"/>
          </w:tcPr>
          <w:p w14:paraId="5EA278CD" w14:textId="77777777" w:rsidR="003C66EB" w:rsidRDefault="003C66EB">
            <w:pPr>
              <w:rPr>
                <w:rFonts w:ascii="宋体"/>
                <w:vanish/>
              </w:rPr>
            </w:pPr>
          </w:p>
        </w:tc>
        <w:tc>
          <w:tcPr>
            <w:tcW w:w="0" w:type="auto"/>
            <w:gridSpan w:val="3"/>
            <w:shd w:val="clear" w:color="auto" w:fill="auto"/>
          </w:tcPr>
          <w:p w14:paraId="5EA278CE" w14:textId="77777777" w:rsidR="003C66EB" w:rsidRDefault="003C66EB">
            <w:pPr>
              <w:rPr>
                <w:rFonts w:ascii="宋体"/>
                <w:vanish/>
              </w:rPr>
            </w:pPr>
          </w:p>
        </w:tc>
        <w:tc>
          <w:tcPr>
            <w:tcW w:w="0" w:type="auto"/>
            <w:gridSpan w:val="3"/>
            <w:shd w:val="clear" w:color="auto" w:fill="auto"/>
          </w:tcPr>
          <w:p w14:paraId="5EA278CF" w14:textId="77777777" w:rsidR="003C66EB" w:rsidRDefault="003C66EB">
            <w:pPr>
              <w:rPr>
                <w:rFonts w:ascii="宋体"/>
                <w:vanish/>
              </w:rPr>
            </w:pPr>
          </w:p>
        </w:tc>
        <w:tc>
          <w:tcPr>
            <w:tcW w:w="0" w:type="auto"/>
            <w:gridSpan w:val="3"/>
            <w:shd w:val="clear" w:color="auto" w:fill="auto"/>
          </w:tcPr>
          <w:p w14:paraId="5EA278D0" w14:textId="77777777" w:rsidR="003C66EB" w:rsidRDefault="003C66EB">
            <w:pPr>
              <w:rPr>
                <w:rFonts w:ascii="宋体"/>
                <w:vanish/>
              </w:rPr>
            </w:pPr>
          </w:p>
        </w:tc>
        <w:tc>
          <w:tcPr>
            <w:tcW w:w="0" w:type="auto"/>
            <w:gridSpan w:val="3"/>
            <w:shd w:val="clear" w:color="auto" w:fill="auto"/>
          </w:tcPr>
          <w:p w14:paraId="5EA278D1" w14:textId="77777777" w:rsidR="003C66EB" w:rsidRDefault="003C66EB">
            <w:pPr>
              <w:rPr>
                <w:rFonts w:ascii="宋体"/>
                <w:vanish/>
              </w:rPr>
            </w:pPr>
          </w:p>
        </w:tc>
        <w:tc>
          <w:tcPr>
            <w:tcW w:w="0" w:type="auto"/>
            <w:gridSpan w:val="3"/>
            <w:shd w:val="clear" w:color="auto" w:fill="auto"/>
          </w:tcPr>
          <w:p w14:paraId="5EA278D2" w14:textId="77777777" w:rsidR="003C66EB" w:rsidRDefault="003C66EB">
            <w:pPr>
              <w:rPr>
                <w:rFonts w:ascii="宋体"/>
                <w:vanish/>
              </w:rPr>
            </w:pPr>
          </w:p>
        </w:tc>
        <w:tc>
          <w:tcPr>
            <w:tcW w:w="0" w:type="auto"/>
            <w:gridSpan w:val="3"/>
            <w:shd w:val="clear" w:color="auto" w:fill="auto"/>
          </w:tcPr>
          <w:p w14:paraId="5EA278D3" w14:textId="77777777" w:rsidR="003C66EB" w:rsidRDefault="003C66EB">
            <w:pPr>
              <w:rPr>
                <w:rFonts w:ascii="宋体"/>
                <w:vanish/>
              </w:rPr>
            </w:pPr>
          </w:p>
        </w:tc>
        <w:tc>
          <w:tcPr>
            <w:tcW w:w="0" w:type="auto"/>
            <w:gridSpan w:val="3"/>
            <w:shd w:val="clear" w:color="auto" w:fill="auto"/>
          </w:tcPr>
          <w:p w14:paraId="5EA278D4" w14:textId="77777777" w:rsidR="003C66EB" w:rsidRDefault="003C66EB">
            <w:pPr>
              <w:rPr>
                <w:rFonts w:ascii="宋体"/>
                <w:vanish/>
              </w:rPr>
            </w:pPr>
          </w:p>
        </w:tc>
        <w:tc>
          <w:tcPr>
            <w:tcW w:w="0" w:type="auto"/>
            <w:gridSpan w:val="3"/>
            <w:shd w:val="clear" w:color="auto" w:fill="auto"/>
          </w:tcPr>
          <w:p w14:paraId="5EA278D5" w14:textId="77777777" w:rsidR="003C66EB" w:rsidRDefault="003C66EB">
            <w:pPr>
              <w:rPr>
                <w:rFonts w:ascii="宋体"/>
                <w:vanish/>
              </w:rPr>
            </w:pPr>
          </w:p>
        </w:tc>
        <w:tc>
          <w:tcPr>
            <w:tcW w:w="0" w:type="auto"/>
            <w:gridSpan w:val="3"/>
            <w:shd w:val="clear" w:color="auto" w:fill="auto"/>
          </w:tcPr>
          <w:p w14:paraId="5EA278D6" w14:textId="77777777" w:rsidR="003C66EB" w:rsidRDefault="003C66EB">
            <w:pPr>
              <w:rPr>
                <w:rFonts w:ascii="宋体"/>
                <w:vanish/>
              </w:rPr>
            </w:pPr>
          </w:p>
        </w:tc>
        <w:tc>
          <w:tcPr>
            <w:tcW w:w="0" w:type="auto"/>
            <w:gridSpan w:val="3"/>
            <w:shd w:val="clear" w:color="auto" w:fill="auto"/>
          </w:tcPr>
          <w:p w14:paraId="5EA278D7" w14:textId="77777777" w:rsidR="003C66EB" w:rsidRDefault="003C66EB">
            <w:pPr>
              <w:rPr>
                <w:rFonts w:ascii="宋体"/>
                <w:vanish/>
              </w:rPr>
            </w:pPr>
          </w:p>
        </w:tc>
        <w:tc>
          <w:tcPr>
            <w:tcW w:w="0" w:type="auto"/>
            <w:gridSpan w:val="3"/>
            <w:shd w:val="clear" w:color="auto" w:fill="auto"/>
          </w:tcPr>
          <w:p w14:paraId="5EA278D8" w14:textId="77777777" w:rsidR="003C66EB" w:rsidRDefault="003C66EB">
            <w:pPr>
              <w:rPr>
                <w:rFonts w:ascii="宋体"/>
                <w:vanish/>
              </w:rPr>
            </w:pPr>
          </w:p>
        </w:tc>
        <w:tc>
          <w:tcPr>
            <w:tcW w:w="0" w:type="auto"/>
            <w:gridSpan w:val="3"/>
            <w:shd w:val="clear" w:color="auto" w:fill="auto"/>
          </w:tcPr>
          <w:p w14:paraId="5EA278D9" w14:textId="77777777" w:rsidR="003C66EB" w:rsidRDefault="003C66EB">
            <w:pPr>
              <w:rPr>
                <w:rFonts w:ascii="宋体"/>
                <w:vanish/>
              </w:rPr>
            </w:pPr>
          </w:p>
        </w:tc>
        <w:tc>
          <w:tcPr>
            <w:tcW w:w="0" w:type="auto"/>
            <w:gridSpan w:val="3"/>
            <w:shd w:val="clear" w:color="auto" w:fill="auto"/>
          </w:tcPr>
          <w:p w14:paraId="5EA278DA" w14:textId="77777777" w:rsidR="003C66EB" w:rsidRDefault="003C66EB">
            <w:pPr>
              <w:rPr>
                <w:rFonts w:ascii="宋体"/>
                <w:vanish/>
              </w:rPr>
            </w:pPr>
          </w:p>
        </w:tc>
        <w:tc>
          <w:tcPr>
            <w:tcW w:w="0" w:type="auto"/>
            <w:gridSpan w:val="3"/>
            <w:shd w:val="clear" w:color="auto" w:fill="auto"/>
          </w:tcPr>
          <w:p w14:paraId="5EA278DB" w14:textId="77777777" w:rsidR="003C66EB" w:rsidRDefault="003C66EB">
            <w:pPr>
              <w:rPr>
                <w:rFonts w:ascii="宋体"/>
                <w:vanish/>
              </w:rPr>
            </w:pPr>
          </w:p>
        </w:tc>
        <w:tc>
          <w:tcPr>
            <w:tcW w:w="0" w:type="auto"/>
            <w:gridSpan w:val="3"/>
            <w:shd w:val="clear" w:color="auto" w:fill="auto"/>
          </w:tcPr>
          <w:p w14:paraId="5EA278DC" w14:textId="77777777" w:rsidR="003C66EB" w:rsidRDefault="003C66EB">
            <w:pPr>
              <w:rPr>
                <w:rFonts w:ascii="宋体"/>
                <w:vanish/>
              </w:rPr>
            </w:pPr>
          </w:p>
        </w:tc>
        <w:tc>
          <w:tcPr>
            <w:tcW w:w="0" w:type="auto"/>
            <w:gridSpan w:val="3"/>
            <w:shd w:val="clear" w:color="auto" w:fill="auto"/>
          </w:tcPr>
          <w:p w14:paraId="5EA278DD" w14:textId="77777777" w:rsidR="003C66EB" w:rsidRDefault="003C66EB">
            <w:pPr>
              <w:rPr>
                <w:rFonts w:ascii="宋体"/>
                <w:vanish/>
              </w:rPr>
            </w:pPr>
          </w:p>
        </w:tc>
        <w:tc>
          <w:tcPr>
            <w:tcW w:w="0" w:type="auto"/>
            <w:gridSpan w:val="3"/>
            <w:shd w:val="clear" w:color="auto" w:fill="auto"/>
          </w:tcPr>
          <w:p w14:paraId="5EA278DE" w14:textId="77777777" w:rsidR="003C66EB" w:rsidRDefault="003C66EB">
            <w:pPr>
              <w:rPr>
                <w:rFonts w:ascii="宋体"/>
                <w:vanish/>
              </w:rPr>
            </w:pPr>
          </w:p>
        </w:tc>
        <w:tc>
          <w:tcPr>
            <w:tcW w:w="0" w:type="auto"/>
            <w:gridSpan w:val="2"/>
            <w:shd w:val="clear" w:color="auto" w:fill="auto"/>
          </w:tcPr>
          <w:p w14:paraId="5EA278DF" w14:textId="77777777" w:rsidR="003C66EB" w:rsidRDefault="003C66EB">
            <w:pPr>
              <w:rPr>
                <w:rFonts w:ascii="宋体"/>
                <w:vanish/>
              </w:rPr>
            </w:pPr>
          </w:p>
        </w:tc>
        <w:tc>
          <w:tcPr>
            <w:tcW w:w="0" w:type="auto"/>
            <w:shd w:val="clear" w:color="auto" w:fill="auto"/>
          </w:tcPr>
          <w:p w14:paraId="5EA278E0" w14:textId="77777777" w:rsidR="003C66EB" w:rsidRDefault="003C66EB">
            <w:pPr>
              <w:rPr>
                <w:rFonts w:ascii="宋体"/>
                <w:vanish/>
              </w:rPr>
            </w:pPr>
          </w:p>
        </w:tc>
      </w:tr>
      <w:tr w:rsidR="003C66EB" w14:paraId="5EA278F8" w14:textId="77777777">
        <w:trPr>
          <w:hidden/>
        </w:trPr>
        <w:tc>
          <w:tcPr>
            <w:tcW w:w="0" w:type="auto"/>
            <w:gridSpan w:val="3"/>
            <w:shd w:val="clear" w:color="auto" w:fill="auto"/>
          </w:tcPr>
          <w:p w14:paraId="5EA278E2" w14:textId="77777777" w:rsidR="003C66EB" w:rsidRDefault="003C66EB">
            <w:pPr>
              <w:rPr>
                <w:rFonts w:ascii="宋体"/>
                <w:vanish/>
              </w:rPr>
            </w:pPr>
          </w:p>
        </w:tc>
        <w:tc>
          <w:tcPr>
            <w:tcW w:w="0" w:type="auto"/>
            <w:gridSpan w:val="3"/>
            <w:shd w:val="clear" w:color="auto" w:fill="auto"/>
          </w:tcPr>
          <w:p w14:paraId="5EA278E3" w14:textId="77777777" w:rsidR="003C66EB" w:rsidRDefault="003C66EB">
            <w:pPr>
              <w:rPr>
                <w:rFonts w:ascii="宋体"/>
                <w:vanish/>
              </w:rPr>
            </w:pPr>
          </w:p>
        </w:tc>
        <w:tc>
          <w:tcPr>
            <w:tcW w:w="0" w:type="auto"/>
            <w:gridSpan w:val="3"/>
            <w:shd w:val="clear" w:color="auto" w:fill="auto"/>
          </w:tcPr>
          <w:p w14:paraId="5EA278E4" w14:textId="77777777" w:rsidR="003C66EB" w:rsidRDefault="003C66EB">
            <w:pPr>
              <w:rPr>
                <w:rFonts w:ascii="宋体"/>
                <w:vanish/>
              </w:rPr>
            </w:pPr>
          </w:p>
        </w:tc>
        <w:tc>
          <w:tcPr>
            <w:tcW w:w="0" w:type="auto"/>
            <w:gridSpan w:val="3"/>
            <w:shd w:val="clear" w:color="auto" w:fill="auto"/>
          </w:tcPr>
          <w:p w14:paraId="5EA278E5" w14:textId="77777777" w:rsidR="003C66EB" w:rsidRDefault="003C66EB">
            <w:pPr>
              <w:rPr>
                <w:rFonts w:ascii="宋体"/>
                <w:vanish/>
              </w:rPr>
            </w:pPr>
          </w:p>
        </w:tc>
        <w:tc>
          <w:tcPr>
            <w:tcW w:w="0" w:type="auto"/>
            <w:gridSpan w:val="3"/>
            <w:shd w:val="clear" w:color="auto" w:fill="auto"/>
          </w:tcPr>
          <w:p w14:paraId="5EA278E6" w14:textId="77777777" w:rsidR="003C66EB" w:rsidRDefault="003C66EB">
            <w:pPr>
              <w:rPr>
                <w:rFonts w:ascii="宋体"/>
                <w:vanish/>
              </w:rPr>
            </w:pPr>
          </w:p>
        </w:tc>
        <w:tc>
          <w:tcPr>
            <w:tcW w:w="0" w:type="auto"/>
            <w:gridSpan w:val="3"/>
            <w:shd w:val="clear" w:color="auto" w:fill="auto"/>
          </w:tcPr>
          <w:p w14:paraId="5EA278E7" w14:textId="77777777" w:rsidR="003C66EB" w:rsidRDefault="003C66EB">
            <w:pPr>
              <w:rPr>
                <w:rFonts w:ascii="宋体"/>
                <w:vanish/>
              </w:rPr>
            </w:pPr>
          </w:p>
        </w:tc>
        <w:tc>
          <w:tcPr>
            <w:tcW w:w="0" w:type="auto"/>
            <w:gridSpan w:val="3"/>
            <w:shd w:val="clear" w:color="auto" w:fill="auto"/>
          </w:tcPr>
          <w:p w14:paraId="5EA278E8" w14:textId="77777777" w:rsidR="003C66EB" w:rsidRDefault="003C66EB">
            <w:pPr>
              <w:rPr>
                <w:rFonts w:ascii="宋体"/>
                <w:vanish/>
              </w:rPr>
            </w:pPr>
          </w:p>
        </w:tc>
        <w:tc>
          <w:tcPr>
            <w:tcW w:w="0" w:type="auto"/>
            <w:gridSpan w:val="3"/>
            <w:shd w:val="clear" w:color="auto" w:fill="auto"/>
          </w:tcPr>
          <w:p w14:paraId="5EA278E9" w14:textId="77777777" w:rsidR="003C66EB" w:rsidRDefault="003C66EB">
            <w:pPr>
              <w:rPr>
                <w:rFonts w:ascii="宋体"/>
                <w:vanish/>
              </w:rPr>
            </w:pPr>
          </w:p>
        </w:tc>
        <w:tc>
          <w:tcPr>
            <w:tcW w:w="0" w:type="auto"/>
            <w:gridSpan w:val="3"/>
            <w:shd w:val="clear" w:color="auto" w:fill="auto"/>
          </w:tcPr>
          <w:p w14:paraId="5EA278EA" w14:textId="77777777" w:rsidR="003C66EB" w:rsidRDefault="003C66EB">
            <w:pPr>
              <w:rPr>
                <w:rFonts w:ascii="宋体"/>
                <w:vanish/>
              </w:rPr>
            </w:pPr>
          </w:p>
        </w:tc>
        <w:tc>
          <w:tcPr>
            <w:tcW w:w="0" w:type="auto"/>
            <w:gridSpan w:val="3"/>
            <w:shd w:val="clear" w:color="auto" w:fill="auto"/>
          </w:tcPr>
          <w:p w14:paraId="5EA278EB" w14:textId="77777777" w:rsidR="003C66EB" w:rsidRDefault="003C66EB">
            <w:pPr>
              <w:rPr>
                <w:rFonts w:ascii="宋体"/>
                <w:vanish/>
              </w:rPr>
            </w:pPr>
          </w:p>
        </w:tc>
        <w:tc>
          <w:tcPr>
            <w:tcW w:w="0" w:type="auto"/>
            <w:gridSpan w:val="3"/>
            <w:shd w:val="clear" w:color="auto" w:fill="auto"/>
          </w:tcPr>
          <w:p w14:paraId="5EA278EC" w14:textId="77777777" w:rsidR="003C66EB" w:rsidRDefault="003C66EB">
            <w:pPr>
              <w:rPr>
                <w:rFonts w:ascii="宋体"/>
                <w:vanish/>
              </w:rPr>
            </w:pPr>
          </w:p>
        </w:tc>
        <w:tc>
          <w:tcPr>
            <w:tcW w:w="0" w:type="auto"/>
            <w:gridSpan w:val="3"/>
            <w:shd w:val="clear" w:color="auto" w:fill="auto"/>
          </w:tcPr>
          <w:p w14:paraId="5EA278ED" w14:textId="77777777" w:rsidR="003C66EB" w:rsidRDefault="003C66EB">
            <w:pPr>
              <w:rPr>
                <w:rFonts w:ascii="宋体"/>
                <w:vanish/>
              </w:rPr>
            </w:pPr>
          </w:p>
        </w:tc>
        <w:tc>
          <w:tcPr>
            <w:tcW w:w="0" w:type="auto"/>
            <w:gridSpan w:val="3"/>
            <w:shd w:val="clear" w:color="auto" w:fill="auto"/>
          </w:tcPr>
          <w:p w14:paraId="5EA278EE" w14:textId="77777777" w:rsidR="003C66EB" w:rsidRDefault="003C66EB">
            <w:pPr>
              <w:rPr>
                <w:rFonts w:ascii="宋体"/>
                <w:vanish/>
              </w:rPr>
            </w:pPr>
          </w:p>
        </w:tc>
        <w:tc>
          <w:tcPr>
            <w:tcW w:w="0" w:type="auto"/>
            <w:gridSpan w:val="3"/>
            <w:shd w:val="clear" w:color="auto" w:fill="auto"/>
          </w:tcPr>
          <w:p w14:paraId="5EA278EF" w14:textId="77777777" w:rsidR="003C66EB" w:rsidRDefault="003C66EB">
            <w:pPr>
              <w:rPr>
                <w:rFonts w:ascii="宋体"/>
                <w:vanish/>
              </w:rPr>
            </w:pPr>
          </w:p>
        </w:tc>
        <w:tc>
          <w:tcPr>
            <w:tcW w:w="0" w:type="auto"/>
            <w:gridSpan w:val="3"/>
            <w:shd w:val="clear" w:color="auto" w:fill="auto"/>
          </w:tcPr>
          <w:p w14:paraId="5EA278F0" w14:textId="77777777" w:rsidR="003C66EB" w:rsidRDefault="003C66EB">
            <w:pPr>
              <w:rPr>
                <w:rFonts w:ascii="宋体"/>
                <w:vanish/>
              </w:rPr>
            </w:pPr>
          </w:p>
        </w:tc>
        <w:tc>
          <w:tcPr>
            <w:tcW w:w="0" w:type="auto"/>
            <w:gridSpan w:val="3"/>
            <w:shd w:val="clear" w:color="auto" w:fill="auto"/>
          </w:tcPr>
          <w:p w14:paraId="5EA278F1" w14:textId="77777777" w:rsidR="003C66EB" w:rsidRDefault="003C66EB">
            <w:pPr>
              <w:rPr>
                <w:rFonts w:ascii="宋体"/>
                <w:vanish/>
              </w:rPr>
            </w:pPr>
          </w:p>
        </w:tc>
        <w:tc>
          <w:tcPr>
            <w:tcW w:w="0" w:type="auto"/>
            <w:gridSpan w:val="3"/>
            <w:shd w:val="clear" w:color="auto" w:fill="auto"/>
          </w:tcPr>
          <w:p w14:paraId="5EA278F2" w14:textId="77777777" w:rsidR="003C66EB" w:rsidRDefault="003C66EB">
            <w:pPr>
              <w:rPr>
                <w:rFonts w:ascii="宋体"/>
                <w:vanish/>
              </w:rPr>
            </w:pPr>
          </w:p>
        </w:tc>
        <w:tc>
          <w:tcPr>
            <w:tcW w:w="0" w:type="auto"/>
            <w:gridSpan w:val="3"/>
            <w:shd w:val="clear" w:color="auto" w:fill="auto"/>
          </w:tcPr>
          <w:p w14:paraId="5EA278F3" w14:textId="77777777" w:rsidR="003C66EB" w:rsidRDefault="003C66EB">
            <w:pPr>
              <w:rPr>
                <w:rFonts w:ascii="宋体"/>
                <w:vanish/>
              </w:rPr>
            </w:pPr>
          </w:p>
        </w:tc>
        <w:tc>
          <w:tcPr>
            <w:tcW w:w="0" w:type="auto"/>
            <w:gridSpan w:val="3"/>
            <w:shd w:val="clear" w:color="auto" w:fill="auto"/>
          </w:tcPr>
          <w:p w14:paraId="5EA278F4" w14:textId="77777777" w:rsidR="003C66EB" w:rsidRDefault="003C66EB">
            <w:pPr>
              <w:rPr>
                <w:rFonts w:ascii="宋体"/>
                <w:vanish/>
              </w:rPr>
            </w:pPr>
          </w:p>
        </w:tc>
        <w:tc>
          <w:tcPr>
            <w:tcW w:w="0" w:type="auto"/>
            <w:gridSpan w:val="3"/>
            <w:shd w:val="clear" w:color="auto" w:fill="auto"/>
          </w:tcPr>
          <w:p w14:paraId="5EA278F5" w14:textId="77777777" w:rsidR="003C66EB" w:rsidRDefault="003C66EB">
            <w:pPr>
              <w:rPr>
                <w:rFonts w:ascii="宋体"/>
                <w:vanish/>
              </w:rPr>
            </w:pPr>
          </w:p>
        </w:tc>
        <w:tc>
          <w:tcPr>
            <w:tcW w:w="0" w:type="auto"/>
            <w:gridSpan w:val="2"/>
            <w:shd w:val="clear" w:color="auto" w:fill="auto"/>
          </w:tcPr>
          <w:p w14:paraId="5EA278F6" w14:textId="77777777" w:rsidR="003C66EB" w:rsidRDefault="003C66EB">
            <w:pPr>
              <w:rPr>
                <w:rFonts w:ascii="宋体"/>
                <w:vanish/>
              </w:rPr>
            </w:pPr>
          </w:p>
        </w:tc>
        <w:tc>
          <w:tcPr>
            <w:tcW w:w="0" w:type="auto"/>
            <w:shd w:val="clear" w:color="auto" w:fill="auto"/>
          </w:tcPr>
          <w:p w14:paraId="5EA278F7" w14:textId="77777777" w:rsidR="003C66EB" w:rsidRDefault="003C66EB">
            <w:pPr>
              <w:rPr>
                <w:rFonts w:ascii="宋体"/>
                <w:vanish/>
              </w:rPr>
            </w:pPr>
          </w:p>
        </w:tc>
      </w:tr>
      <w:tr w:rsidR="003C66EB" w14:paraId="5EA2790F" w14:textId="77777777">
        <w:trPr>
          <w:hidden/>
        </w:trPr>
        <w:tc>
          <w:tcPr>
            <w:tcW w:w="0" w:type="auto"/>
            <w:gridSpan w:val="3"/>
            <w:shd w:val="clear" w:color="auto" w:fill="auto"/>
          </w:tcPr>
          <w:p w14:paraId="5EA278F9" w14:textId="77777777" w:rsidR="003C66EB" w:rsidRDefault="003C66EB">
            <w:pPr>
              <w:rPr>
                <w:rFonts w:ascii="宋体"/>
                <w:vanish/>
              </w:rPr>
            </w:pPr>
          </w:p>
        </w:tc>
        <w:tc>
          <w:tcPr>
            <w:tcW w:w="0" w:type="auto"/>
            <w:gridSpan w:val="3"/>
            <w:shd w:val="clear" w:color="auto" w:fill="auto"/>
          </w:tcPr>
          <w:p w14:paraId="5EA278FA" w14:textId="77777777" w:rsidR="003C66EB" w:rsidRDefault="003C66EB">
            <w:pPr>
              <w:rPr>
                <w:rFonts w:ascii="宋体"/>
                <w:vanish/>
              </w:rPr>
            </w:pPr>
          </w:p>
        </w:tc>
        <w:tc>
          <w:tcPr>
            <w:tcW w:w="0" w:type="auto"/>
            <w:gridSpan w:val="3"/>
            <w:shd w:val="clear" w:color="auto" w:fill="auto"/>
          </w:tcPr>
          <w:p w14:paraId="5EA278FB" w14:textId="77777777" w:rsidR="003C66EB" w:rsidRDefault="003C66EB">
            <w:pPr>
              <w:rPr>
                <w:rFonts w:ascii="宋体"/>
                <w:vanish/>
              </w:rPr>
            </w:pPr>
          </w:p>
        </w:tc>
        <w:tc>
          <w:tcPr>
            <w:tcW w:w="0" w:type="auto"/>
            <w:gridSpan w:val="3"/>
            <w:shd w:val="clear" w:color="auto" w:fill="auto"/>
          </w:tcPr>
          <w:p w14:paraId="5EA278FC" w14:textId="77777777" w:rsidR="003C66EB" w:rsidRDefault="003C66EB">
            <w:pPr>
              <w:rPr>
                <w:rFonts w:ascii="宋体"/>
                <w:vanish/>
              </w:rPr>
            </w:pPr>
          </w:p>
        </w:tc>
        <w:tc>
          <w:tcPr>
            <w:tcW w:w="0" w:type="auto"/>
            <w:gridSpan w:val="3"/>
            <w:shd w:val="clear" w:color="auto" w:fill="auto"/>
          </w:tcPr>
          <w:p w14:paraId="5EA278FD" w14:textId="77777777" w:rsidR="003C66EB" w:rsidRDefault="003C66EB">
            <w:pPr>
              <w:rPr>
                <w:rFonts w:ascii="宋体"/>
                <w:vanish/>
              </w:rPr>
            </w:pPr>
          </w:p>
        </w:tc>
        <w:tc>
          <w:tcPr>
            <w:tcW w:w="0" w:type="auto"/>
            <w:gridSpan w:val="3"/>
            <w:shd w:val="clear" w:color="auto" w:fill="auto"/>
          </w:tcPr>
          <w:p w14:paraId="5EA278FE" w14:textId="77777777" w:rsidR="003C66EB" w:rsidRDefault="003C66EB">
            <w:pPr>
              <w:rPr>
                <w:rFonts w:ascii="宋体"/>
                <w:vanish/>
              </w:rPr>
            </w:pPr>
          </w:p>
        </w:tc>
        <w:tc>
          <w:tcPr>
            <w:tcW w:w="0" w:type="auto"/>
            <w:gridSpan w:val="3"/>
            <w:shd w:val="clear" w:color="auto" w:fill="auto"/>
          </w:tcPr>
          <w:p w14:paraId="5EA278FF" w14:textId="77777777" w:rsidR="003C66EB" w:rsidRDefault="003C66EB">
            <w:pPr>
              <w:rPr>
                <w:rFonts w:ascii="宋体"/>
                <w:vanish/>
              </w:rPr>
            </w:pPr>
          </w:p>
        </w:tc>
        <w:tc>
          <w:tcPr>
            <w:tcW w:w="0" w:type="auto"/>
            <w:gridSpan w:val="3"/>
            <w:shd w:val="clear" w:color="auto" w:fill="auto"/>
          </w:tcPr>
          <w:p w14:paraId="5EA27900" w14:textId="77777777" w:rsidR="003C66EB" w:rsidRDefault="003C66EB">
            <w:pPr>
              <w:rPr>
                <w:rFonts w:ascii="宋体"/>
                <w:vanish/>
              </w:rPr>
            </w:pPr>
          </w:p>
        </w:tc>
        <w:tc>
          <w:tcPr>
            <w:tcW w:w="0" w:type="auto"/>
            <w:gridSpan w:val="3"/>
            <w:shd w:val="clear" w:color="auto" w:fill="auto"/>
          </w:tcPr>
          <w:p w14:paraId="5EA27901" w14:textId="77777777" w:rsidR="003C66EB" w:rsidRDefault="003C66EB">
            <w:pPr>
              <w:rPr>
                <w:rFonts w:ascii="宋体"/>
                <w:vanish/>
              </w:rPr>
            </w:pPr>
          </w:p>
        </w:tc>
        <w:tc>
          <w:tcPr>
            <w:tcW w:w="0" w:type="auto"/>
            <w:gridSpan w:val="3"/>
            <w:shd w:val="clear" w:color="auto" w:fill="auto"/>
          </w:tcPr>
          <w:p w14:paraId="5EA27902" w14:textId="77777777" w:rsidR="003C66EB" w:rsidRDefault="003C66EB">
            <w:pPr>
              <w:rPr>
                <w:rFonts w:ascii="宋体"/>
                <w:vanish/>
              </w:rPr>
            </w:pPr>
          </w:p>
        </w:tc>
        <w:tc>
          <w:tcPr>
            <w:tcW w:w="0" w:type="auto"/>
            <w:gridSpan w:val="3"/>
            <w:shd w:val="clear" w:color="auto" w:fill="auto"/>
          </w:tcPr>
          <w:p w14:paraId="5EA27903" w14:textId="77777777" w:rsidR="003C66EB" w:rsidRDefault="003C66EB">
            <w:pPr>
              <w:rPr>
                <w:rFonts w:ascii="宋体"/>
                <w:vanish/>
              </w:rPr>
            </w:pPr>
          </w:p>
        </w:tc>
        <w:tc>
          <w:tcPr>
            <w:tcW w:w="0" w:type="auto"/>
            <w:gridSpan w:val="3"/>
            <w:shd w:val="clear" w:color="auto" w:fill="auto"/>
          </w:tcPr>
          <w:p w14:paraId="5EA27904" w14:textId="77777777" w:rsidR="003C66EB" w:rsidRDefault="003C66EB">
            <w:pPr>
              <w:rPr>
                <w:rFonts w:ascii="宋体"/>
                <w:vanish/>
              </w:rPr>
            </w:pPr>
          </w:p>
        </w:tc>
        <w:tc>
          <w:tcPr>
            <w:tcW w:w="0" w:type="auto"/>
            <w:gridSpan w:val="3"/>
            <w:shd w:val="clear" w:color="auto" w:fill="auto"/>
          </w:tcPr>
          <w:p w14:paraId="5EA27905" w14:textId="77777777" w:rsidR="003C66EB" w:rsidRDefault="003C66EB">
            <w:pPr>
              <w:rPr>
                <w:rFonts w:ascii="宋体"/>
                <w:vanish/>
              </w:rPr>
            </w:pPr>
          </w:p>
        </w:tc>
        <w:tc>
          <w:tcPr>
            <w:tcW w:w="0" w:type="auto"/>
            <w:gridSpan w:val="3"/>
            <w:shd w:val="clear" w:color="auto" w:fill="auto"/>
          </w:tcPr>
          <w:p w14:paraId="5EA27906" w14:textId="77777777" w:rsidR="003C66EB" w:rsidRDefault="003C66EB">
            <w:pPr>
              <w:rPr>
                <w:rFonts w:ascii="宋体"/>
                <w:vanish/>
              </w:rPr>
            </w:pPr>
          </w:p>
        </w:tc>
        <w:tc>
          <w:tcPr>
            <w:tcW w:w="0" w:type="auto"/>
            <w:gridSpan w:val="3"/>
            <w:shd w:val="clear" w:color="auto" w:fill="auto"/>
          </w:tcPr>
          <w:p w14:paraId="5EA27907" w14:textId="77777777" w:rsidR="003C66EB" w:rsidRDefault="003C66EB">
            <w:pPr>
              <w:rPr>
                <w:rFonts w:ascii="宋体"/>
                <w:vanish/>
              </w:rPr>
            </w:pPr>
          </w:p>
        </w:tc>
        <w:tc>
          <w:tcPr>
            <w:tcW w:w="0" w:type="auto"/>
            <w:gridSpan w:val="3"/>
            <w:shd w:val="clear" w:color="auto" w:fill="auto"/>
          </w:tcPr>
          <w:p w14:paraId="5EA27908" w14:textId="77777777" w:rsidR="003C66EB" w:rsidRDefault="003C66EB">
            <w:pPr>
              <w:rPr>
                <w:rFonts w:ascii="宋体"/>
                <w:vanish/>
              </w:rPr>
            </w:pPr>
          </w:p>
        </w:tc>
        <w:tc>
          <w:tcPr>
            <w:tcW w:w="0" w:type="auto"/>
            <w:gridSpan w:val="3"/>
            <w:shd w:val="clear" w:color="auto" w:fill="auto"/>
          </w:tcPr>
          <w:p w14:paraId="5EA27909" w14:textId="77777777" w:rsidR="003C66EB" w:rsidRDefault="003C66EB">
            <w:pPr>
              <w:rPr>
                <w:rFonts w:ascii="宋体"/>
                <w:vanish/>
              </w:rPr>
            </w:pPr>
          </w:p>
        </w:tc>
        <w:tc>
          <w:tcPr>
            <w:tcW w:w="0" w:type="auto"/>
            <w:gridSpan w:val="3"/>
            <w:shd w:val="clear" w:color="auto" w:fill="auto"/>
          </w:tcPr>
          <w:p w14:paraId="5EA2790A" w14:textId="77777777" w:rsidR="003C66EB" w:rsidRDefault="003C66EB">
            <w:pPr>
              <w:rPr>
                <w:rFonts w:ascii="宋体"/>
                <w:vanish/>
              </w:rPr>
            </w:pPr>
          </w:p>
        </w:tc>
        <w:tc>
          <w:tcPr>
            <w:tcW w:w="0" w:type="auto"/>
            <w:gridSpan w:val="3"/>
            <w:shd w:val="clear" w:color="auto" w:fill="auto"/>
          </w:tcPr>
          <w:p w14:paraId="5EA2790B" w14:textId="77777777" w:rsidR="003C66EB" w:rsidRDefault="003C66EB">
            <w:pPr>
              <w:rPr>
                <w:rFonts w:ascii="宋体"/>
                <w:vanish/>
              </w:rPr>
            </w:pPr>
          </w:p>
        </w:tc>
        <w:tc>
          <w:tcPr>
            <w:tcW w:w="0" w:type="auto"/>
            <w:gridSpan w:val="3"/>
            <w:shd w:val="clear" w:color="auto" w:fill="auto"/>
          </w:tcPr>
          <w:p w14:paraId="5EA2790C" w14:textId="77777777" w:rsidR="003C66EB" w:rsidRDefault="003C66EB">
            <w:pPr>
              <w:rPr>
                <w:rFonts w:ascii="宋体"/>
                <w:vanish/>
              </w:rPr>
            </w:pPr>
          </w:p>
        </w:tc>
        <w:tc>
          <w:tcPr>
            <w:tcW w:w="0" w:type="auto"/>
            <w:gridSpan w:val="2"/>
            <w:shd w:val="clear" w:color="auto" w:fill="auto"/>
          </w:tcPr>
          <w:p w14:paraId="5EA2790D" w14:textId="77777777" w:rsidR="003C66EB" w:rsidRDefault="003C66EB">
            <w:pPr>
              <w:rPr>
                <w:rFonts w:ascii="宋体"/>
                <w:vanish/>
              </w:rPr>
            </w:pPr>
          </w:p>
        </w:tc>
        <w:tc>
          <w:tcPr>
            <w:tcW w:w="0" w:type="auto"/>
            <w:shd w:val="clear" w:color="auto" w:fill="auto"/>
          </w:tcPr>
          <w:p w14:paraId="5EA2790E" w14:textId="77777777" w:rsidR="003C66EB" w:rsidRDefault="003C66EB">
            <w:pPr>
              <w:rPr>
                <w:rFonts w:ascii="宋体"/>
                <w:vanish/>
              </w:rPr>
            </w:pPr>
          </w:p>
        </w:tc>
      </w:tr>
      <w:tr w:rsidR="003C66EB" w14:paraId="5EA27926" w14:textId="77777777">
        <w:trPr>
          <w:hidden/>
        </w:trPr>
        <w:tc>
          <w:tcPr>
            <w:tcW w:w="0" w:type="auto"/>
            <w:gridSpan w:val="3"/>
            <w:shd w:val="clear" w:color="auto" w:fill="auto"/>
          </w:tcPr>
          <w:p w14:paraId="5EA27910" w14:textId="77777777" w:rsidR="003C66EB" w:rsidRDefault="003C66EB">
            <w:pPr>
              <w:rPr>
                <w:rFonts w:ascii="宋体"/>
                <w:vanish/>
              </w:rPr>
            </w:pPr>
          </w:p>
        </w:tc>
        <w:tc>
          <w:tcPr>
            <w:tcW w:w="0" w:type="auto"/>
            <w:gridSpan w:val="3"/>
            <w:shd w:val="clear" w:color="auto" w:fill="auto"/>
          </w:tcPr>
          <w:p w14:paraId="5EA27911" w14:textId="77777777" w:rsidR="003C66EB" w:rsidRDefault="003C66EB">
            <w:pPr>
              <w:rPr>
                <w:rFonts w:ascii="宋体"/>
                <w:vanish/>
              </w:rPr>
            </w:pPr>
          </w:p>
        </w:tc>
        <w:tc>
          <w:tcPr>
            <w:tcW w:w="0" w:type="auto"/>
            <w:gridSpan w:val="3"/>
            <w:shd w:val="clear" w:color="auto" w:fill="auto"/>
          </w:tcPr>
          <w:p w14:paraId="5EA27912" w14:textId="77777777" w:rsidR="003C66EB" w:rsidRDefault="003C66EB">
            <w:pPr>
              <w:rPr>
                <w:rFonts w:ascii="宋体"/>
                <w:vanish/>
              </w:rPr>
            </w:pPr>
          </w:p>
        </w:tc>
        <w:tc>
          <w:tcPr>
            <w:tcW w:w="0" w:type="auto"/>
            <w:gridSpan w:val="3"/>
            <w:shd w:val="clear" w:color="auto" w:fill="auto"/>
          </w:tcPr>
          <w:p w14:paraId="5EA27913" w14:textId="77777777" w:rsidR="003C66EB" w:rsidRDefault="003C66EB">
            <w:pPr>
              <w:rPr>
                <w:rFonts w:ascii="宋体"/>
                <w:vanish/>
              </w:rPr>
            </w:pPr>
          </w:p>
        </w:tc>
        <w:tc>
          <w:tcPr>
            <w:tcW w:w="0" w:type="auto"/>
            <w:gridSpan w:val="3"/>
            <w:shd w:val="clear" w:color="auto" w:fill="auto"/>
          </w:tcPr>
          <w:p w14:paraId="5EA27914" w14:textId="77777777" w:rsidR="003C66EB" w:rsidRDefault="003C66EB">
            <w:pPr>
              <w:rPr>
                <w:rFonts w:ascii="宋体"/>
                <w:vanish/>
              </w:rPr>
            </w:pPr>
          </w:p>
        </w:tc>
        <w:tc>
          <w:tcPr>
            <w:tcW w:w="0" w:type="auto"/>
            <w:gridSpan w:val="3"/>
            <w:shd w:val="clear" w:color="auto" w:fill="auto"/>
          </w:tcPr>
          <w:p w14:paraId="5EA27915" w14:textId="77777777" w:rsidR="003C66EB" w:rsidRDefault="003C66EB">
            <w:pPr>
              <w:rPr>
                <w:rFonts w:ascii="宋体"/>
                <w:vanish/>
              </w:rPr>
            </w:pPr>
          </w:p>
        </w:tc>
        <w:tc>
          <w:tcPr>
            <w:tcW w:w="0" w:type="auto"/>
            <w:gridSpan w:val="3"/>
            <w:shd w:val="clear" w:color="auto" w:fill="auto"/>
          </w:tcPr>
          <w:p w14:paraId="5EA27916" w14:textId="77777777" w:rsidR="003C66EB" w:rsidRDefault="003C66EB">
            <w:pPr>
              <w:rPr>
                <w:rFonts w:ascii="宋体"/>
                <w:vanish/>
              </w:rPr>
            </w:pPr>
          </w:p>
        </w:tc>
        <w:tc>
          <w:tcPr>
            <w:tcW w:w="0" w:type="auto"/>
            <w:gridSpan w:val="3"/>
            <w:shd w:val="clear" w:color="auto" w:fill="auto"/>
          </w:tcPr>
          <w:p w14:paraId="5EA27917" w14:textId="77777777" w:rsidR="003C66EB" w:rsidRDefault="003C66EB">
            <w:pPr>
              <w:rPr>
                <w:rFonts w:ascii="宋体"/>
                <w:vanish/>
              </w:rPr>
            </w:pPr>
          </w:p>
        </w:tc>
        <w:tc>
          <w:tcPr>
            <w:tcW w:w="0" w:type="auto"/>
            <w:gridSpan w:val="3"/>
            <w:shd w:val="clear" w:color="auto" w:fill="auto"/>
          </w:tcPr>
          <w:p w14:paraId="5EA27918" w14:textId="77777777" w:rsidR="003C66EB" w:rsidRDefault="003C66EB">
            <w:pPr>
              <w:rPr>
                <w:rFonts w:ascii="宋体"/>
                <w:vanish/>
              </w:rPr>
            </w:pPr>
          </w:p>
        </w:tc>
        <w:tc>
          <w:tcPr>
            <w:tcW w:w="0" w:type="auto"/>
            <w:gridSpan w:val="3"/>
            <w:shd w:val="clear" w:color="auto" w:fill="auto"/>
          </w:tcPr>
          <w:p w14:paraId="5EA27919" w14:textId="77777777" w:rsidR="003C66EB" w:rsidRDefault="003C66EB">
            <w:pPr>
              <w:rPr>
                <w:rFonts w:ascii="宋体"/>
                <w:vanish/>
              </w:rPr>
            </w:pPr>
          </w:p>
        </w:tc>
        <w:tc>
          <w:tcPr>
            <w:tcW w:w="0" w:type="auto"/>
            <w:gridSpan w:val="3"/>
            <w:shd w:val="clear" w:color="auto" w:fill="auto"/>
          </w:tcPr>
          <w:p w14:paraId="5EA2791A" w14:textId="77777777" w:rsidR="003C66EB" w:rsidRDefault="003C66EB">
            <w:pPr>
              <w:rPr>
                <w:rFonts w:ascii="宋体"/>
                <w:vanish/>
              </w:rPr>
            </w:pPr>
          </w:p>
        </w:tc>
        <w:tc>
          <w:tcPr>
            <w:tcW w:w="0" w:type="auto"/>
            <w:gridSpan w:val="3"/>
            <w:shd w:val="clear" w:color="auto" w:fill="auto"/>
          </w:tcPr>
          <w:p w14:paraId="5EA2791B" w14:textId="77777777" w:rsidR="003C66EB" w:rsidRDefault="003C66EB">
            <w:pPr>
              <w:rPr>
                <w:rFonts w:ascii="宋体"/>
                <w:vanish/>
              </w:rPr>
            </w:pPr>
          </w:p>
        </w:tc>
        <w:tc>
          <w:tcPr>
            <w:tcW w:w="0" w:type="auto"/>
            <w:gridSpan w:val="3"/>
            <w:shd w:val="clear" w:color="auto" w:fill="auto"/>
          </w:tcPr>
          <w:p w14:paraId="5EA2791C" w14:textId="77777777" w:rsidR="003C66EB" w:rsidRDefault="003C66EB">
            <w:pPr>
              <w:rPr>
                <w:rFonts w:ascii="宋体"/>
                <w:vanish/>
              </w:rPr>
            </w:pPr>
          </w:p>
        </w:tc>
        <w:tc>
          <w:tcPr>
            <w:tcW w:w="0" w:type="auto"/>
            <w:gridSpan w:val="3"/>
            <w:shd w:val="clear" w:color="auto" w:fill="auto"/>
          </w:tcPr>
          <w:p w14:paraId="5EA2791D" w14:textId="77777777" w:rsidR="003C66EB" w:rsidRDefault="003C66EB">
            <w:pPr>
              <w:rPr>
                <w:rFonts w:ascii="宋体"/>
                <w:vanish/>
              </w:rPr>
            </w:pPr>
          </w:p>
        </w:tc>
        <w:tc>
          <w:tcPr>
            <w:tcW w:w="0" w:type="auto"/>
            <w:gridSpan w:val="3"/>
            <w:shd w:val="clear" w:color="auto" w:fill="auto"/>
          </w:tcPr>
          <w:p w14:paraId="5EA2791E" w14:textId="77777777" w:rsidR="003C66EB" w:rsidRDefault="003C66EB">
            <w:pPr>
              <w:rPr>
                <w:rFonts w:ascii="宋体"/>
                <w:vanish/>
              </w:rPr>
            </w:pPr>
          </w:p>
        </w:tc>
        <w:tc>
          <w:tcPr>
            <w:tcW w:w="0" w:type="auto"/>
            <w:gridSpan w:val="3"/>
            <w:shd w:val="clear" w:color="auto" w:fill="auto"/>
          </w:tcPr>
          <w:p w14:paraId="5EA2791F" w14:textId="77777777" w:rsidR="003C66EB" w:rsidRDefault="003C66EB">
            <w:pPr>
              <w:rPr>
                <w:rFonts w:ascii="宋体"/>
                <w:vanish/>
              </w:rPr>
            </w:pPr>
          </w:p>
        </w:tc>
        <w:tc>
          <w:tcPr>
            <w:tcW w:w="0" w:type="auto"/>
            <w:gridSpan w:val="3"/>
            <w:shd w:val="clear" w:color="auto" w:fill="auto"/>
          </w:tcPr>
          <w:p w14:paraId="5EA27920" w14:textId="77777777" w:rsidR="003C66EB" w:rsidRDefault="003C66EB">
            <w:pPr>
              <w:rPr>
                <w:rFonts w:ascii="宋体"/>
                <w:vanish/>
              </w:rPr>
            </w:pPr>
          </w:p>
        </w:tc>
        <w:tc>
          <w:tcPr>
            <w:tcW w:w="0" w:type="auto"/>
            <w:gridSpan w:val="3"/>
            <w:shd w:val="clear" w:color="auto" w:fill="auto"/>
          </w:tcPr>
          <w:p w14:paraId="5EA27921" w14:textId="77777777" w:rsidR="003C66EB" w:rsidRDefault="003C66EB">
            <w:pPr>
              <w:rPr>
                <w:rFonts w:ascii="宋体"/>
                <w:vanish/>
              </w:rPr>
            </w:pPr>
          </w:p>
        </w:tc>
        <w:tc>
          <w:tcPr>
            <w:tcW w:w="0" w:type="auto"/>
            <w:gridSpan w:val="3"/>
            <w:shd w:val="clear" w:color="auto" w:fill="auto"/>
          </w:tcPr>
          <w:p w14:paraId="5EA27922" w14:textId="77777777" w:rsidR="003C66EB" w:rsidRDefault="003C66EB">
            <w:pPr>
              <w:rPr>
                <w:rFonts w:ascii="宋体"/>
                <w:vanish/>
              </w:rPr>
            </w:pPr>
          </w:p>
        </w:tc>
        <w:tc>
          <w:tcPr>
            <w:tcW w:w="0" w:type="auto"/>
            <w:gridSpan w:val="3"/>
            <w:shd w:val="clear" w:color="auto" w:fill="auto"/>
          </w:tcPr>
          <w:p w14:paraId="5EA27923" w14:textId="77777777" w:rsidR="003C66EB" w:rsidRDefault="003C66EB">
            <w:pPr>
              <w:rPr>
                <w:rFonts w:ascii="宋体"/>
                <w:vanish/>
              </w:rPr>
            </w:pPr>
          </w:p>
        </w:tc>
        <w:tc>
          <w:tcPr>
            <w:tcW w:w="0" w:type="auto"/>
            <w:gridSpan w:val="2"/>
            <w:shd w:val="clear" w:color="auto" w:fill="auto"/>
          </w:tcPr>
          <w:p w14:paraId="5EA27924" w14:textId="77777777" w:rsidR="003C66EB" w:rsidRDefault="003C66EB">
            <w:pPr>
              <w:rPr>
                <w:rFonts w:ascii="宋体"/>
                <w:vanish/>
              </w:rPr>
            </w:pPr>
          </w:p>
        </w:tc>
        <w:tc>
          <w:tcPr>
            <w:tcW w:w="0" w:type="auto"/>
            <w:shd w:val="clear" w:color="auto" w:fill="auto"/>
          </w:tcPr>
          <w:p w14:paraId="5EA27925" w14:textId="77777777" w:rsidR="003C66EB" w:rsidRDefault="003C66EB">
            <w:pPr>
              <w:rPr>
                <w:rFonts w:ascii="宋体"/>
                <w:vanish/>
              </w:rPr>
            </w:pPr>
          </w:p>
        </w:tc>
      </w:tr>
      <w:tr w:rsidR="003C66EB" w14:paraId="5EA2793D" w14:textId="77777777">
        <w:trPr>
          <w:hidden/>
        </w:trPr>
        <w:tc>
          <w:tcPr>
            <w:tcW w:w="0" w:type="auto"/>
            <w:gridSpan w:val="3"/>
            <w:shd w:val="clear" w:color="auto" w:fill="auto"/>
          </w:tcPr>
          <w:p w14:paraId="5EA27927" w14:textId="77777777" w:rsidR="003C66EB" w:rsidRDefault="003C66EB">
            <w:pPr>
              <w:rPr>
                <w:rFonts w:ascii="宋体"/>
                <w:vanish/>
              </w:rPr>
            </w:pPr>
          </w:p>
        </w:tc>
        <w:tc>
          <w:tcPr>
            <w:tcW w:w="0" w:type="auto"/>
            <w:gridSpan w:val="3"/>
            <w:shd w:val="clear" w:color="auto" w:fill="auto"/>
          </w:tcPr>
          <w:p w14:paraId="5EA27928" w14:textId="77777777" w:rsidR="003C66EB" w:rsidRDefault="003C66EB">
            <w:pPr>
              <w:rPr>
                <w:rFonts w:ascii="宋体"/>
                <w:vanish/>
              </w:rPr>
            </w:pPr>
          </w:p>
        </w:tc>
        <w:tc>
          <w:tcPr>
            <w:tcW w:w="0" w:type="auto"/>
            <w:gridSpan w:val="3"/>
            <w:shd w:val="clear" w:color="auto" w:fill="auto"/>
          </w:tcPr>
          <w:p w14:paraId="5EA27929" w14:textId="77777777" w:rsidR="003C66EB" w:rsidRDefault="003C66EB">
            <w:pPr>
              <w:rPr>
                <w:rFonts w:ascii="宋体"/>
                <w:vanish/>
              </w:rPr>
            </w:pPr>
          </w:p>
        </w:tc>
        <w:tc>
          <w:tcPr>
            <w:tcW w:w="0" w:type="auto"/>
            <w:gridSpan w:val="3"/>
            <w:shd w:val="clear" w:color="auto" w:fill="auto"/>
          </w:tcPr>
          <w:p w14:paraId="5EA2792A" w14:textId="77777777" w:rsidR="003C66EB" w:rsidRDefault="003C66EB">
            <w:pPr>
              <w:rPr>
                <w:rFonts w:ascii="宋体"/>
                <w:vanish/>
              </w:rPr>
            </w:pPr>
          </w:p>
        </w:tc>
        <w:tc>
          <w:tcPr>
            <w:tcW w:w="0" w:type="auto"/>
            <w:gridSpan w:val="3"/>
            <w:shd w:val="clear" w:color="auto" w:fill="auto"/>
          </w:tcPr>
          <w:p w14:paraId="5EA2792B" w14:textId="77777777" w:rsidR="003C66EB" w:rsidRDefault="003C66EB">
            <w:pPr>
              <w:rPr>
                <w:rFonts w:ascii="宋体"/>
                <w:vanish/>
              </w:rPr>
            </w:pPr>
          </w:p>
        </w:tc>
        <w:tc>
          <w:tcPr>
            <w:tcW w:w="0" w:type="auto"/>
            <w:gridSpan w:val="3"/>
            <w:shd w:val="clear" w:color="auto" w:fill="auto"/>
          </w:tcPr>
          <w:p w14:paraId="5EA2792C" w14:textId="77777777" w:rsidR="003C66EB" w:rsidRDefault="003C66EB">
            <w:pPr>
              <w:rPr>
                <w:rFonts w:ascii="宋体"/>
                <w:vanish/>
              </w:rPr>
            </w:pPr>
          </w:p>
        </w:tc>
        <w:tc>
          <w:tcPr>
            <w:tcW w:w="0" w:type="auto"/>
            <w:gridSpan w:val="3"/>
            <w:shd w:val="clear" w:color="auto" w:fill="auto"/>
          </w:tcPr>
          <w:p w14:paraId="5EA2792D" w14:textId="77777777" w:rsidR="003C66EB" w:rsidRDefault="003C66EB">
            <w:pPr>
              <w:rPr>
                <w:rFonts w:ascii="宋体"/>
                <w:vanish/>
              </w:rPr>
            </w:pPr>
          </w:p>
        </w:tc>
        <w:tc>
          <w:tcPr>
            <w:tcW w:w="0" w:type="auto"/>
            <w:gridSpan w:val="3"/>
            <w:shd w:val="clear" w:color="auto" w:fill="auto"/>
          </w:tcPr>
          <w:p w14:paraId="5EA2792E" w14:textId="77777777" w:rsidR="003C66EB" w:rsidRDefault="003C66EB">
            <w:pPr>
              <w:rPr>
                <w:rFonts w:ascii="宋体"/>
                <w:vanish/>
              </w:rPr>
            </w:pPr>
          </w:p>
        </w:tc>
        <w:tc>
          <w:tcPr>
            <w:tcW w:w="0" w:type="auto"/>
            <w:gridSpan w:val="3"/>
            <w:shd w:val="clear" w:color="auto" w:fill="auto"/>
          </w:tcPr>
          <w:p w14:paraId="5EA2792F" w14:textId="77777777" w:rsidR="003C66EB" w:rsidRDefault="003C66EB">
            <w:pPr>
              <w:rPr>
                <w:rFonts w:ascii="宋体"/>
                <w:vanish/>
              </w:rPr>
            </w:pPr>
          </w:p>
        </w:tc>
        <w:tc>
          <w:tcPr>
            <w:tcW w:w="0" w:type="auto"/>
            <w:gridSpan w:val="3"/>
            <w:shd w:val="clear" w:color="auto" w:fill="auto"/>
          </w:tcPr>
          <w:p w14:paraId="5EA27930" w14:textId="77777777" w:rsidR="003C66EB" w:rsidRDefault="003C66EB">
            <w:pPr>
              <w:rPr>
                <w:rFonts w:ascii="宋体"/>
                <w:vanish/>
              </w:rPr>
            </w:pPr>
          </w:p>
        </w:tc>
        <w:tc>
          <w:tcPr>
            <w:tcW w:w="0" w:type="auto"/>
            <w:gridSpan w:val="3"/>
            <w:shd w:val="clear" w:color="auto" w:fill="auto"/>
          </w:tcPr>
          <w:p w14:paraId="5EA27931" w14:textId="77777777" w:rsidR="003C66EB" w:rsidRDefault="003C66EB">
            <w:pPr>
              <w:rPr>
                <w:rFonts w:ascii="宋体"/>
                <w:vanish/>
              </w:rPr>
            </w:pPr>
          </w:p>
        </w:tc>
        <w:tc>
          <w:tcPr>
            <w:tcW w:w="0" w:type="auto"/>
            <w:gridSpan w:val="3"/>
            <w:shd w:val="clear" w:color="auto" w:fill="auto"/>
          </w:tcPr>
          <w:p w14:paraId="5EA27932" w14:textId="77777777" w:rsidR="003C66EB" w:rsidRDefault="003C66EB">
            <w:pPr>
              <w:rPr>
                <w:rFonts w:ascii="宋体"/>
                <w:vanish/>
              </w:rPr>
            </w:pPr>
          </w:p>
        </w:tc>
        <w:tc>
          <w:tcPr>
            <w:tcW w:w="0" w:type="auto"/>
            <w:gridSpan w:val="3"/>
            <w:shd w:val="clear" w:color="auto" w:fill="auto"/>
          </w:tcPr>
          <w:p w14:paraId="5EA27933" w14:textId="77777777" w:rsidR="003C66EB" w:rsidRDefault="003C66EB">
            <w:pPr>
              <w:rPr>
                <w:rFonts w:ascii="宋体"/>
                <w:vanish/>
              </w:rPr>
            </w:pPr>
          </w:p>
        </w:tc>
        <w:tc>
          <w:tcPr>
            <w:tcW w:w="0" w:type="auto"/>
            <w:gridSpan w:val="3"/>
            <w:shd w:val="clear" w:color="auto" w:fill="auto"/>
          </w:tcPr>
          <w:p w14:paraId="5EA27934" w14:textId="77777777" w:rsidR="003C66EB" w:rsidRDefault="003C66EB">
            <w:pPr>
              <w:rPr>
                <w:rFonts w:ascii="宋体"/>
                <w:vanish/>
              </w:rPr>
            </w:pPr>
          </w:p>
        </w:tc>
        <w:tc>
          <w:tcPr>
            <w:tcW w:w="0" w:type="auto"/>
            <w:gridSpan w:val="3"/>
            <w:shd w:val="clear" w:color="auto" w:fill="auto"/>
          </w:tcPr>
          <w:p w14:paraId="5EA27935" w14:textId="77777777" w:rsidR="003C66EB" w:rsidRDefault="003C66EB">
            <w:pPr>
              <w:rPr>
                <w:rFonts w:ascii="宋体"/>
                <w:vanish/>
              </w:rPr>
            </w:pPr>
          </w:p>
        </w:tc>
        <w:tc>
          <w:tcPr>
            <w:tcW w:w="0" w:type="auto"/>
            <w:gridSpan w:val="3"/>
            <w:shd w:val="clear" w:color="auto" w:fill="auto"/>
          </w:tcPr>
          <w:p w14:paraId="5EA27936" w14:textId="77777777" w:rsidR="003C66EB" w:rsidRDefault="003C66EB">
            <w:pPr>
              <w:rPr>
                <w:rFonts w:ascii="宋体"/>
                <w:vanish/>
              </w:rPr>
            </w:pPr>
          </w:p>
        </w:tc>
        <w:tc>
          <w:tcPr>
            <w:tcW w:w="0" w:type="auto"/>
            <w:gridSpan w:val="3"/>
            <w:shd w:val="clear" w:color="auto" w:fill="auto"/>
          </w:tcPr>
          <w:p w14:paraId="5EA27937" w14:textId="77777777" w:rsidR="003C66EB" w:rsidRDefault="003C66EB">
            <w:pPr>
              <w:rPr>
                <w:rFonts w:ascii="宋体"/>
                <w:vanish/>
              </w:rPr>
            </w:pPr>
          </w:p>
        </w:tc>
        <w:tc>
          <w:tcPr>
            <w:tcW w:w="0" w:type="auto"/>
            <w:gridSpan w:val="3"/>
            <w:shd w:val="clear" w:color="auto" w:fill="auto"/>
          </w:tcPr>
          <w:p w14:paraId="5EA27938" w14:textId="77777777" w:rsidR="003C66EB" w:rsidRDefault="003C66EB">
            <w:pPr>
              <w:rPr>
                <w:rFonts w:ascii="宋体"/>
                <w:vanish/>
              </w:rPr>
            </w:pPr>
          </w:p>
        </w:tc>
        <w:tc>
          <w:tcPr>
            <w:tcW w:w="0" w:type="auto"/>
            <w:gridSpan w:val="3"/>
            <w:shd w:val="clear" w:color="auto" w:fill="auto"/>
          </w:tcPr>
          <w:p w14:paraId="5EA27939" w14:textId="77777777" w:rsidR="003C66EB" w:rsidRDefault="003C66EB">
            <w:pPr>
              <w:rPr>
                <w:rFonts w:ascii="宋体"/>
                <w:vanish/>
              </w:rPr>
            </w:pPr>
          </w:p>
        </w:tc>
        <w:tc>
          <w:tcPr>
            <w:tcW w:w="0" w:type="auto"/>
            <w:gridSpan w:val="3"/>
            <w:shd w:val="clear" w:color="auto" w:fill="auto"/>
          </w:tcPr>
          <w:p w14:paraId="5EA2793A" w14:textId="77777777" w:rsidR="003C66EB" w:rsidRDefault="003C66EB">
            <w:pPr>
              <w:rPr>
                <w:rFonts w:ascii="宋体"/>
                <w:vanish/>
              </w:rPr>
            </w:pPr>
          </w:p>
        </w:tc>
        <w:tc>
          <w:tcPr>
            <w:tcW w:w="0" w:type="auto"/>
            <w:gridSpan w:val="2"/>
            <w:shd w:val="clear" w:color="auto" w:fill="auto"/>
          </w:tcPr>
          <w:p w14:paraId="5EA2793B" w14:textId="77777777" w:rsidR="003C66EB" w:rsidRDefault="003C66EB">
            <w:pPr>
              <w:rPr>
                <w:rFonts w:ascii="宋体"/>
                <w:vanish/>
              </w:rPr>
            </w:pPr>
          </w:p>
        </w:tc>
        <w:tc>
          <w:tcPr>
            <w:tcW w:w="0" w:type="auto"/>
            <w:shd w:val="clear" w:color="auto" w:fill="auto"/>
          </w:tcPr>
          <w:p w14:paraId="5EA2793C" w14:textId="77777777" w:rsidR="003C66EB" w:rsidRDefault="003C66EB">
            <w:pPr>
              <w:rPr>
                <w:rFonts w:ascii="宋体"/>
                <w:vanish/>
              </w:rPr>
            </w:pPr>
          </w:p>
        </w:tc>
      </w:tr>
      <w:tr w:rsidR="003C66EB" w14:paraId="5EA2794F" w14:textId="77777777">
        <w:tc>
          <w:tcPr>
            <w:tcW w:w="0" w:type="auto"/>
            <w:gridSpan w:val="3"/>
            <w:shd w:val="clear" w:color="auto" w:fill="auto"/>
            <w:tcMar>
              <w:top w:w="0" w:type="dxa"/>
              <w:left w:w="20" w:type="dxa"/>
              <w:bottom w:w="0" w:type="dxa"/>
              <w:right w:w="20" w:type="dxa"/>
            </w:tcMar>
          </w:tcPr>
          <w:p w14:paraId="5EA2793E" w14:textId="77777777" w:rsidR="003C66EB" w:rsidRDefault="003C66EB">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5EA2793F" w14:textId="77777777" w:rsidR="003C66EB" w:rsidRDefault="00D96C4E">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Pr>
          <w:p w14:paraId="5EA27940" w14:textId="77777777" w:rsidR="003C66EB" w:rsidRDefault="003C66EB">
            <w:pPr>
              <w:rPr>
                <w:rFonts w:ascii="宋体"/>
              </w:rPr>
            </w:pPr>
          </w:p>
        </w:tc>
        <w:tc>
          <w:tcPr>
            <w:tcW w:w="0" w:type="auto"/>
            <w:shd w:val="clear" w:color="auto" w:fill="auto"/>
          </w:tcPr>
          <w:p w14:paraId="5EA27941" w14:textId="77777777" w:rsidR="003C66EB" w:rsidRDefault="003C66EB">
            <w:pPr>
              <w:rPr>
                <w:rFonts w:ascii="宋体"/>
              </w:rPr>
            </w:pPr>
          </w:p>
        </w:tc>
        <w:tc>
          <w:tcPr>
            <w:tcW w:w="0" w:type="auto"/>
            <w:shd w:val="clear" w:color="auto" w:fill="auto"/>
          </w:tcPr>
          <w:p w14:paraId="5EA27942" w14:textId="77777777" w:rsidR="003C66EB" w:rsidRDefault="003C66EB">
            <w:pPr>
              <w:rPr>
                <w:rFonts w:ascii="宋体"/>
              </w:rPr>
            </w:pPr>
          </w:p>
        </w:tc>
        <w:tc>
          <w:tcPr>
            <w:tcW w:w="0" w:type="auto"/>
            <w:shd w:val="clear" w:color="auto" w:fill="auto"/>
          </w:tcPr>
          <w:p w14:paraId="5EA27943" w14:textId="77777777" w:rsidR="003C66EB" w:rsidRDefault="003C66EB">
            <w:pPr>
              <w:rPr>
                <w:rFonts w:ascii="宋体"/>
              </w:rPr>
            </w:pPr>
          </w:p>
        </w:tc>
        <w:tc>
          <w:tcPr>
            <w:tcW w:w="0" w:type="auto"/>
            <w:shd w:val="clear" w:color="auto" w:fill="auto"/>
          </w:tcPr>
          <w:p w14:paraId="5EA27944" w14:textId="77777777" w:rsidR="003C66EB" w:rsidRDefault="003C66EB">
            <w:pPr>
              <w:rPr>
                <w:rFonts w:ascii="宋体"/>
              </w:rPr>
            </w:pPr>
          </w:p>
        </w:tc>
        <w:tc>
          <w:tcPr>
            <w:tcW w:w="0" w:type="auto"/>
            <w:shd w:val="clear" w:color="auto" w:fill="auto"/>
          </w:tcPr>
          <w:p w14:paraId="5EA27945" w14:textId="77777777" w:rsidR="003C66EB" w:rsidRDefault="003C66EB">
            <w:pPr>
              <w:rPr>
                <w:rFonts w:ascii="宋体"/>
              </w:rPr>
            </w:pPr>
          </w:p>
        </w:tc>
        <w:tc>
          <w:tcPr>
            <w:tcW w:w="0" w:type="auto"/>
            <w:shd w:val="clear" w:color="auto" w:fill="auto"/>
          </w:tcPr>
          <w:p w14:paraId="5EA27946" w14:textId="77777777" w:rsidR="003C66EB" w:rsidRDefault="003C66EB">
            <w:pPr>
              <w:rPr>
                <w:rFonts w:ascii="宋体"/>
              </w:rPr>
            </w:pPr>
          </w:p>
        </w:tc>
        <w:tc>
          <w:tcPr>
            <w:tcW w:w="0" w:type="auto"/>
            <w:shd w:val="clear" w:color="auto" w:fill="auto"/>
          </w:tcPr>
          <w:p w14:paraId="5EA27947" w14:textId="77777777" w:rsidR="003C66EB" w:rsidRDefault="003C66EB">
            <w:pPr>
              <w:rPr>
                <w:rFonts w:ascii="宋体"/>
              </w:rPr>
            </w:pPr>
          </w:p>
        </w:tc>
        <w:tc>
          <w:tcPr>
            <w:tcW w:w="0" w:type="auto"/>
            <w:shd w:val="clear" w:color="auto" w:fill="auto"/>
          </w:tcPr>
          <w:p w14:paraId="5EA27948" w14:textId="77777777" w:rsidR="003C66EB" w:rsidRDefault="003C66EB">
            <w:pPr>
              <w:rPr>
                <w:rFonts w:ascii="宋体"/>
              </w:rPr>
            </w:pPr>
          </w:p>
        </w:tc>
        <w:tc>
          <w:tcPr>
            <w:tcW w:w="0" w:type="auto"/>
            <w:shd w:val="clear" w:color="auto" w:fill="auto"/>
          </w:tcPr>
          <w:p w14:paraId="5EA27949" w14:textId="77777777" w:rsidR="003C66EB" w:rsidRDefault="003C66EB">
            <w:pPr>
              <w:rPr>
                <w:rFonts w:ascii="宋体"/>
              </w:rPr>
            </w:pPr>
          </w:p>
        </w:tc>
        <w:tc>
          <w:tcPr>
            <w:tcW w:w="0" w:type="auto"/>
            <w:shd w:val="clear" w:color="auto" w:fill="auto"/>
          </w:tcPr>
          <w:p w14:paraId="5EA2794A" w14:textId="77777777" w:rsidR="003C66EB" w:rsidRDefault="003C66EB">
            <w:pPr>
              <w:rPr>
                <w:rFonts w:ascii="宋体"/>
              </w:rPr>
            </w:pPr>
          </w:p>
        </w:tc>
        <w:tc>
          <w:tcPr>
            <w:tcW w:w="0" w:type="auto"/>
            <w:shd w:val="clear" w:color="auto" w:fill="auto"/>
          </w:tcPr>
          <w:p w14:paraId="5EA2794B" w14:textId="77777777" w:rsidR="003C66EB" w:rsidRDefault="003C66EB">
            <w:pPr>
              <w:rPr>
                <w:rFonts w:ascii="宋体"/>
              </w:rPr>
            </w:pPr>
          </w:p>
        </w:tc>
        <w:tc>
          <w:tcPr>
            <w:tcW w:w="0" w:type="auto"/>
            <w:shd w:val="clear" w:color="auto" w:fill="auto"/>
          </w:tcPr>
          <w:p w14:paraId="5EA2794C" w14:textId="77777777" w:rsidR="003C66EB" w:rsidRDefault="003C66EB">
            <w:pPr>
              <w:rPr>
                <w:rFonts w:ascii="宋体"/>
              </w:rPr>
            </w:pPr>
          </w:p>
        </w:tc>
        <w:tc>
          <w:tcPr>
            <w:tcW w:w="0" w:type="auto"/>
            <w:shd w:val="clear" w:color="auto" w:fill="auto"/>
          </w:tcPr>
          <w:p w14:paraId="5EA2794D" w14:textId="77777777" w:rsidR="003C66EB" w:rsidRDefault="003C66EB">
            <w:pPr>
              <w:rPr>
                <w:rFonts w:ascii="宋体"/>
              </w:rPr>
            </w:pPr>
          </w:p>
        </w:tc>
        <w:tc>
          <w:tcPr>
            <w:tcW w:w="0" w:type="auto"/>
            <w:shd w:val="clear" w:color="auto" w:fill="auto"/>
          </w:tcPr>
          <w:p w14:paraId="5EA2794E" w14:textId="77777777" w:rsidR="003C66EB" w:rsidRDefault="003C66EB">
            <w:pPr>
              <w:rPr>
                <w:rFonts w:ascii="宋体"/>
              </w:rPr>
            </w:pPr>
          </w:p>
        </w:tc>
      </w:tr>
      <w:tr w:rsidR="003C66EB" w14:paraId="5EA2795E" w14:textId="77777777">
        <w:tc>
          <w:tcPr>
            <w:tcW w:w="0" w:type="auto"/>
            <w:gridSpan w:val="3"/>
            <w:shd w:val="clear" w:color="auto" w:fill="auto"/>
            <w:tcMar>
              <w:top w:w="0" w:type="dxa"/>
              <w:left w:w="20" w:type="dxa"/>
              <w:bottom w:w="0" w:type="dxa"/>
              <w:right w:w="20" w:type="dxa"/>
            </w:tcMar>
          </w:tcPr>
          <w:p w14:paraId="5EA27950" w14:textId="77777777" w:rsidR="003C66EB" w:rsidRDefault="003C66EB">
            <w:pPr>
              <w:rPr>
                <w:rFonts w:ascii="宋体"/>
              </w:rPr>
            </w:pPr>
          </w:p>
        </w:tc>
        <w:tc>
          <w:tcPr>
            <w:tcW w:w="0" w:type="auto"/>
            <w:gridSpan w:val="12"/>
            <w:tcBorders>
              <w:top w:val="single" w:sz="8" w:space="0" w:color="000000"/>
            </w:tcBorders>
            <w:shd w:val="clear" w:color="auto" w:fill="auto"/>
            <w:tcMar>
              <w:top w:w="40" w:type="dxa"/>
              <w:left w:w="20" w:type="dxa"/>
              <w:bottom w:w="40" w:type="dxa"/>
              <w:right w:w="20" w:type="dxa"/>
            </w:tcMar>
            <w:vAlign w:val="bottom"/>
          </w:tcPr>
          <w:p w14:paraId="5EA27951" w14:textId="77777777" w:rsidR="003C66EB" w:rsidRDefault="00D96C4E">
            <w:pPr>
              <w:jc w:val="center"/>
              <w:textAlignment w:val="bottom"/>
            </w:pPr>
            <w:r>
              <w:rPr>
                <w:rFonts w:ascii="Arial" w:eastAsia="宋体" w:hAnsi="Arial" w:cs="Arial"/>
                <w:b/>
                <w:bCs/>
                <w:color w:val="000000"/>
                <w:sz w:val="13"/>
                <w:szCs w:val="13"/>
              </w:rPr>
              <w:t>Investment</w:t>
            </w:r>
            <w:r>
              <w:rPr>
                <w:rFonts w:ascii="Arial" w:eastAsia="宋体" w:hAnsi="Arial" w:cs="Arial"/>
                <w:b/>
                <w:bCs/>
                <w:color w:val="000000"/>
                <w:sz w:val="13"/>
                <w:szCs w:val="13"/>
              </w:rPr>
              <w:br/>
              <w:t>Servicing</w:t>
            </w:r>
          </w:p>
        </w:tc>
        <w:tc>
          <w:tcPr>
            <w:tcW w:w="0" w:type="auto"/>
            <w:gridSpan w:val="3"/>
            <w:shd w:val="clear" w:color="auto" w:fill="auto"/>
          </w:tcPr>
          <w:p w14:paraId="5EA27952" w14:textId="77777777" w:rsidR="003C66EB" w:rsidRDefault="003C66EB">
            <w:pPr>
              <w:rPr>
                <w:rFonts w:ascii="宋体"/>
                <w:vanish/>
              </w:rPr>
            </w:pPr>
          </w:p>
        </w:tc>
        <w:tc>
          <w:tcPr>
            <w:tcW w:w="0" w:type="auto"/>
            <w:gridSpan w:val="12"/>
            <w:tcBorders>
              <w:top w:val="single" w:sz="8" w:space="0" w:color="000000"/>
            </w:tcBorders>
            <w:shd w:val="clear" w:color="auto" w:fill="auto"/>
            <w:tcMar>
              <w:top w:w="40" w:type="dxa"/>
              <w:left w:w="20" w:type="dxa"/>
              <w:bottom w:w="40" w:type="dxa"/>
              <w:right w:w="20" w:type="dxa"/>
            </w:tcMar>
            <w:vAlign w:val="bottom"/>
          </w:tcPr>
          <w:p w14:paraId="5EA27953" w14:textId="77777777" w:rsidR="003C66EB" w:rsidRDefault="00D96C4E">
            <w:pPr>
              <w:jc w:val="center"/>
              <w:textAlignment w:val="bottom"/>
            </w:pPr>
            <w:r>
              <w:rPr>
                <w:rFonts w:ascii="Arial" w:eastAsia="宋体" w:hAnsi="Arial" w:cs="Arial"/>
                <w:b/>
                <w:bCs/>
                <w:color w:val="000000"/>
                <w:sz w:val="13"/>
                <w:szCs w:val="13"/>
              </w:rPr>
              <w:t>Investment</w:t>
            </w:r>
            <w:r>
              <w:rPr>
                <w:rFonts w:ascii="Arial" w:eastAsia="宋体" w:hAnsi="Arial" w:cs="Arial"/>
                <w:b/>
                <w:bCs/>
                <w:color w:val="000000"/>
                <w:sz w:val="13"/>
                <w:szCs w:val="13"/>
              </w:rPr>
              <w:br/>
              <w:t>Management</w:t>
            </w:r>
          </w:p>
        </w:tc>
        <w:tc>
          <w:tcPr>
            <w:tcW w:w="0" w:type="auto"/>
            <w:gridSpan w:val="3"/>
            <w:shd w:val="clear" w:color="auto" w:fill="auto"/>
          </w:tcPr>
          <w:p w14:paraId="5EA27954" w14:textId="77777777" w:rsidR="003C66EB" w:rsidRDefault="003C66EB">
            <w:pPr>
              <w:rPr>
                <w:rFonts w:ascii="宋体"/>
                <w:vanish/>
              </w:rPr>
            </w:pPr>
          </w:p>
        </w:tc>
        <w:tc>
          <w:tcPr>
            <w:tcW w:w="0" w:type="auto"/>
            <w:gridSpan w:val="12"/>
            <w:tcBorders>
              <w:top w:val="single" w:sz="8" w:space="0" w:color="000000"/>
            </w:tcBorders>
            <w:shd w:val="clear" w:color="auto" w:fill="auto"/>
            <w:tcMar>
              <w:top w:w="40" w:type="dxa"/>
              <w:left w:w="20" w:type="dxa"/>
              <w:bottom w:w="40" w:type="dxa"/>
              <w:right w:w="20" w:type="dxa"/>
            </w:tcMar>
            <w:vAlign w:val="bottom"/>
          </w:tcPr>
          <w:p w14:paraId="5EA27955" w14:textId="77777777" w:rsidR="003C66EB" w:rsidRDefault="00D96C4E">
            <w:pPr>
              <w:jc w:val="center"/>
              <w:textAlignment w:val="bottom"/>
            </w:pPr>
            <w:r>
              <w:rPr>
                <w:rFonts w:ascii="Arial" w:eastAsia="宋体" w:hAnsi="Arial" w:cs="Arial"/>
                <w:b/>
                <w:bCs/>
                <w:color w:val="000000"/>
                <w:sz w:val="13"/>
                <w:szCs w:val="13"/>
              </w:rPr>
              <w:t>Other</w:t>
            </w:r>
          </w:p>
        </w:tc>
        <w:tc>
          <w:tcPr>
            <w:tcW w:w="0" w:type="auto"/>
            <w:gridSpan w:val="3"/>
            <w:shd w:val="clear" w:color="auto" w:fill="auto"/>
          </w:tcPr>
          <w:p w14:paraId="5EA27956" w14:textId="77777777" w:rsidR="003C66EB" w:rsidRDefault="003C66EB">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A27957" w14:textId="77777777" w:rsidR="003C66EB" w:rsidRDefault="00D96C4E">
            <w:pPr>
              <w:jc w:val="center"/>
              <w:textAlignment w:val="bottom"/>
            </w:pPr>
            <w:r>
              <w:rPr>
                <w:rFonts w:ascii="Arial" w:eastAsia="宋体" w:hAnsi="Arial" w:cs="Arial"/>
                <w:b/>
                <w:bCs/>
                <w:color w:val="000000"/>
                <w:sz w:val="13"/>
                <w:szCs w:val="13"/>
              </w:rPr>
              <w:t>Total</w:t>
            </w:r>
          </w:p>
        </w:tc>
        <w:tc>
          <w:tcPr>
            <w:tcW w:w="0" w:type="auto"/>
            <w:shd w:val="clear" w:color="auto" w:fill="auto"/>
          </w:tcPr>
          <w:p w14:paraId="5EA27958" w14:textId="77777777" w:rsidR="003C66EB" w:rsidRDefault="003C66EB">
            <w:pPr>
              <w:rPr>
                <w:rFonts w:ascii="宋体"/>
              </w:rPr>
            </w:pPr>
          </w:p>
        </w:tc>
        <w:tc>
          <w:tcPr>
            <w:tcW w:w="0" w:type="auto"/>
            <w:shd w:val="clear" w:color="auto" w:fill="auto"/>
          </w:tcPr>
          <w:p w14:paraId="5EA27959" w14:textId="77777777" w:rsidR="003C66EB" w:rsidRDefault="003C66EB">
            <w:pPr>
              <w:rPr>
                <w:rFonts w:ascii="宋体"/>
              </w:rPr>
            </w:pPr>
          </w:p>
        </w:tc>
        <w:tc>
          <w:tcPr>
            <w:tcW w:w="0" w:type="auto"/>
            <w:shd w:val="clear" w:color="auto" w:fill="auto"/>
          </w:tcPr>
          <w:p w14:paraId="5EA2795A" w14:textId="77777777" w:rsidR="003C66EB" w:rsidRDefault="003C66EB">
            <w:pPr>
              <w:rPr>
                <w:rFonts w:ascii="宋体"/>
              </w:rPr>
            </w:pPr>
          </w:p>
        </w:tc>
        <w:tc>
          <w:tcPr>
            <w:tcW w:w="0" w:type="auto"/>
            <w:shd w:val="clear" w:color="auto" w:fill="auto"/>
          </w:tcPr>
          <w:p w14:paraId="5EA2795B" w14:textId="77777777" w:rsidR="003C66EB" w:rsidRDefault="003C66EB">
            <w:pPr>
              <w:rPr>
                <w:rFonts w:ascii="宋体"/>
              </w:rPr>
            </w:pPr>
          </w:p>
        </w:tc>
        <w:tc>
          <w:tcPr>
            <w:tcW w:w="0" w:type="auto"/>
            <w:shd w:val="clear" w:color="auto" w:fill="auto"/>
          </w:tcPr>
          <w:p w14:paraId="5EA2795C" w14:textId="77777777" w:rsidR="003C66EB" w:rsidRDefault="003C66EB">
            <w:pPr>
              <w:rPr>
                <w:rFonts w:ascii="宋体"/>
              </w:rPr>
            </w:pPr>
          </w:p>
        </w:tc>
        <w:tc>
          <w:tcPr>
            <w:tcW w:w="0" w:type="auto"/>
            <w:shd w:val="clear" w:color="auto" w:fill="auto"/>
          </w:tcPr>
          <w:p w14:paraId="5EA2795D" w14:textId="77777777" w:rsidR="003C66EB" w:rsidRDefault="003C66EB">
            <w:pPr>
              <w:rPr>
                <w:rFonts w:ascii="宋体"/>
              </w:rPr>
            </w:pPr>
          </w:p>
        </w:tc>
      </w:tr>
      <w:tr w:rsidR="003C66EB" w14:paraId="5EA27975" w14:textId="77777777">
        <w:tc>
          <w:tcPr>
            <w:tcW w:w="0" w:type="auto"/>
            <w:gridSpan w:val="3"/>
            <w:shd w:val="clear" w:color="auto" w:fill="FFFFFF"/>
            <w:tcMar>
              <w:top w:w="40" w:type="dxa"/>
              <w:left w:w="20" w:type="dxa"/>
              <w:bottom w:w="40" w:type="dxa"/>
              <w:right w:w="20" w:type="dxa"/>
            </w:tcMar>
            <w:vAlign w:val="bottom"/>
          </w:tcPr>
          <w:p w14:paraId="5EA2795F" w14:textId="77777777" w:rsidR="003C66EB" w:rsidRDefault="00D96C4E">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60"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tcPr>
          <w:p w14:paraId="5EA27961"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62" w14:textId="77777777" w:rsidR="003C66EB" w:rsidRDefault="00D96C4E">
            <w:pPr>
              <w:jc w:val="center"/>
              <w:textAlignment w:val="bottom"/>
            </w:pPr>
            <w:r>
              <w:rPr>
                <w:rFonts w:ascii="Arial" w:eastAsia="宋体" w:hAnsi="Arial" w:cs="Arial"/>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5EA27963" w14:textId="77777777" w:rsidR="003C66EB" w:rsidRDefault="003C66EB">
            <w:pPr>
              <w:rPr>
                <w:rFonts w:ascii="宋体"/>
              </w:rPr>
            </w:pPr>
          </w:p>
        </w:tc>
        <w:tc>
          <w:tcPr>
            <w:tcW w:w="0" w:type="auto"/>
            <w:gridSpan w:val="3"/>
            <w:shd w:val="clear" w:color="auto" w:fill="auto"/>
          </w:tcPr>
          <w:p w14:paraId="5EA27964" w14:textId="77777777" w:rsidR="003C66EB" w:rsidRDefault="003C66EB">
            <w:pPr>
              <w:rPr>
                <w:rFonts w:ascii="宋体"/>
                <w:vanish/>
              </w:rPr>
            </w:pPr>
          </w:p>
        </w:tc>
        <w:tc>
          <w:tcPr>
            <w:tcW w:w="0" w:type="auto"/>
            <w:gridSpan w:val="3"/>
            <w:shd w:val="clear" w:color="auto" w:fill="auto"/>
          </w:tcPr>
          <w:p w14:paraId="5EA27965" w14:textId="77777777" w:rsidR="003C66EB" w:rsidRDefault="003C66EB">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66"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tcPr>
          <w:p w14:paraId="5EA27967"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68" w14:textId="77777777" w:rsidR="003C66EB" w:rsidRDefault="00D96C4E">
            <w:pPr>
              <w:jc w:val="center"/>
              <w:textAlignment w:val="bottom"/>
            </w:pPr>
            <w:r>
              <w:rPr>
                <w:rFonts w:ascii="Arial" w:eastAsia="宋体" w:hAnsi="Arial" w:cs="Arial"/>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5EA27969" w14:textId="77777777" w:rsidR="003C66EB" w:rsidRDefault="003C66EB">
            <w:pPr>
              <w:rPr>
                <w:rFonts w:ascii="宋体"/>
              </w:rPr>
            </w:pPr>
          </w:p>
        </w:tc>
        <w:tc>
          <w:tcPr>
            <w:tcW w:w="0" w:type="auto"/>
            <w:gridSpan w:val="3"/>
            <w:shd w:val="clear" w:color="auto" w:fill="auto"/>
          </w:tcPr>
          <w:p w14:paraId="5EA2796A" w14:textId="77777777" w:rsidR="003C66EB" w:rsidRDefault="003C66EB">
            <w:pPr>
              <w:rPr>
                <w:rFonts w:ascii="宋体"/>
                <w:vanish/>
              </w:rPr>
            </w:pPr>
          </w:p>
        </w:tc>
        <w:tc>
          <w:tcPr>
            <w:tcW w:w="0" w:type="auto"/>
            <w:gridSpan w:val="3"/>
            <w:shd w:val="clear" w:color="auto" w:fill="auto"/>
          </w:tcPr>
          <w:p w14:paraId="5EA2796B" w14:textId="77777777" w:rsidR="003C66EB" w:rsidRDefault="003C66EB">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6C"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tcPr>
          <w:p w14:paraId="5EA2796D" w14:textId="77777777" w:rsidR="003C66EB" w:rsidRDefault="003C66E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6E" w14:textId="77777777" w:rsidR="003C66EB" w:rsidRDefault="00D96C4E">
            <w:pPr>
              <w:jc w:val="center"/>
              <w:textAlignment w:val="bottom"/>
            </w:pPr>
            <w:r>
              <w:rPr>
                <w:rFonts w:ascii="Arial" w:eastAsia="宋体" w:hAnsi="Arial" w:cs="Arial"/>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5EA2796F" w14:textId="77777777" w:rsidR="003C66EB" w:rsidRDefault="003C66EB">
            <w:pPr>
              <w:rPr>
                <w:rFonts w:ascii="宋体"/>
              </w:rPr>
            </w:pPr>
          </w:p>
        </w:tc>
        <w:tc>
          <w:tcPr>
            <w:tcW w:w="0" w:type="auto"/>
            <w:gridSpan w:val="3"/>
            <w:shd w:val="clear" w:color="auto" w:fill="auto"/>
          </w:tcPr>
          <w:p w14:paraId="5EA27970" w14:textId="77777777" w:rsidR="003C66EB" w:rsidRDefault="003C66EB">
            <w:pPr>
              <w:rPr>
                <w:rFonts w:ascii="宋体"/>
                <w:vanish/>
              </w:rPr>
            </w:pPr>
          </w:p>
        </w:tc>
        <w:tc>
          <w:tcPr>
            <w:tcW w:w="0" w:type="auto"/>
            <w:gridSpan w:val="3"/>
            <w:shd w:val="clear" w:color="auto" w:fill="auto"/>
          </w:tcPr>
          <w:p w14:paraId="5EA27971" w14:textId="77777777" w:rsidR="003C66EB" w:rsidRDefault="003C66EB">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A27972" w14:textId="77777777" w:rsidR="003C66EB" w:rsidRDefault="00D96C4E">
            <w:pPr>
              <w:jc w:val="center"/>
              <w:textAlignment w:val="bottom"/>
            </w:pPr>
            <w:r>
              <w:rPr>
                <w:rFonts w:ascii="Arial" w:eastAsia="宋体" w:hAnsi="Arial" w:cs="Arial"/>
                <w:b/>
                <w:bCs/>
                <w:color w:val="000000"/>
                <w:sz w:val="13"/>
                <w:szCs w:val="13"/>
              </w:rPr>
              <w:t>2021</w:t>
            </w:r>
          </w:p>
        </w:tc>
        <w:tc>
          <w:tcPr>
            <w:tcW w:w="0" w:type="auto"/>
            <w:gridSpan w:val="2"/>
            <w:tcBorders>
              <w:top w:val="single" w:sz="8" w:space="0" w:color="000000"/>
            </w:tcBorders>
            <w:shd w:val="clear" w:color="auto" w:fill="FFFFFF"/>
            <w:tcMar>
              <w:top w:w="0" w:type="dxa"/>
              <w:left w:w="20" w:type="dxa"/>
              <w:bottom w:w="0" w:type="dxa"/>
              <w:right w:w="20" w:type="dxa"/>
            </w:tcMar>
          </w:tcPr>
          <w:p w14:paraId="5EA27973"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5EA27974" w14:textId="77777777" w:rsidR="003C66EB" w:rsidRDefault="00D96C4E">
            <w:pPr>
              <w:jc w:val="center"/>
              <w:textAlignment w:val="bottom"/>
            </w:pPr>
            <w:r>
              <w:rPr>
                <w:rFonts w:ascii="Arial" w:eastAsia="宋体" w:hAnsi="Arial" w:cs="Arial"/>
                <w:color w:val="000000"/>
                <w:sz w:val="13"/>
                <w:szCs w:val="13"/>
              </w:rPr>
              <w:t>2020</w:t>
            </w:r>
          </w:p>
        </w:tc>
      </w:tr>
      <w:tr w:rsidR="003C66EB" w14:paraId="5EA2799B" w14:textId="77777777">
        <w:tc>
          <w:tcPr>
            <w:tcW w:w="0" w:type="auto"/>
            <w:gridSpan w:val="3"/>
            <w:shd w:val="clear" w:color="auto" w:fill="CCEEFF"/>
            <w:tcMar>
              <w:top w:w="40" w:type="dxa"/>
              <w:left w:w="20" w:type="dxa"/>
              <w:bottom w:w="40" w:type="dxa"/>
              <w:right w:w="20" w:type="dxa"/>
            </w:tcMar>
            <w:vAlign w:val="bottom"/>
          </w:tcPr>
          <w:p w14:paraId="5EA27976" w14:textId="77777777" w:rsidR="003C66EB" w:rsidRDefault="00D96C4E">
            <w:pPr>
              <w:textAlignment w:val="bottom"/>
            </w:pPr>
            <w:r>
              <w:rPr>
                <w:rFonts w:ascii="Arial" w:eastAsia="宋体" w:hAnsi="Arial" w:cs="Arial"/>
                <w:color w:val="000000"/>
                <w:sz w:val="13"/>
                <w:szCs w:val="13"/>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977"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78" w14:textId="77777777" w:rsidR="003C66EB" w:rsidRDefault="00D96C4E">
            <w:pPr>
              <w:jc w:val="right"/>
              <w:textAlignment w:val="bottom"/>
            </w:pPr>
            <w:r>
              <w:rPr>
                <w:rFonts w:ascii="Arial" w:eastAsia="宋体" w:hAnsi="Arial" w:cs="Arial"/>
                <w:b/>
                <w:bCs/>
                <w:color w:val="000000"/>
                <w:sz w:val="13"/>
                <w:szCs w:val="13"/>
              </w:rPr>
              <w:t>1,371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7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7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7B"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7C" w14:textId="77777777" w:rsidR="003C66EB" w:rsidRDefault="00D96C4E">
            <w:pPr>
              <w:jc w:val="right"/>
              <w:textAlignment w:val="bottom"/>
            </w:pPr>
            <w:r>
              <w:rPr>
                <w:rFonts w:ascii="Arial" w:eastAsia="宋体" w:hAnsi="Arial" w:cs="Arial"/>
                <w:color w:val="000000"/>
                <w:sz w:val="13"/>
                <w:szCs w:val="13"/>
              </w:rPr>
              <w:t>1,287 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7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7E" w14:textId="77777777" w:rsidR="003C66EB" w:rsidRDefault="003C66EB">
            <w:pPr>
              <w:rPr>
                <w:rFonts w:ascii="宋体"/>
              </w:rPr>
            </w:pPr>
          </w:p>
        </w:tc>
        <w:tc>
          <w:tcPr>
            <w:tcW w:w="0" w:type="auto"/>
            <w:gridSpan w:val="3"/>
            <w:shd w:val="clear" w:color="auto" w:fill="auto"/>
          </w:tcPr>
          <w:p w14:paraId="5EA2797F" w14:textId="77777777" w:rsidR="003C66EB" w:rsidRDefault="003C66EB">
            <w:pPr>
              <w:rPr>
                <w:rFonts w:ascii="宋体"/>
                <w:vanish/>
              </w:rPr>
            </w:pPr>
          </w:p>
        </w:tc>
        <w:tc>
          <w:tcPr>
            <w:tcW w:w="0" w:type="auto"/>
            <w:gridSpan w:val="3"/>
            <w:shd w:val="clear" w:color="auto" w:fill="auto"/>
          </w:tcPr>
          <w:p w14:paraId="5EA27980"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81"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82"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8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85"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86" w14:textId="77777777" w:rsidR="003C66EB" w:rsidRDefault="00D96C4E">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8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88" w14:textId="77777777" w:rsidR="003C66EB" w:rsidRDefault="003C66EB">
            <w:pPr>
              <w:rPr>
                <w:rFonts w:ascii="宋体"/>
              </w:rPr>
            </w:pPr>
          </w:p>
        </w:tc>
        <w:tc>
          <w:tcPr>
            <w:tcW w:w="0" w:type="auto"/>
            <w:gridSpan w:val="3"/>
            <w:shd w:val="clear" w:color="auto" w:fill="auto"/>
          </w:tcPr>
          <w:p w14:paraId="5EA27989" w14:textId="77777777" w:rsidR="003C66EB" w:rsidRDefault="003C66EB">
            <w:pPr>
              <w:rPr>
                <w:rFonts w:ascii="宋体"/>
                <w:vanish/>
              </w:rPr>
            </w:pPr>
          </w:p>
        </w:tc>
        <w:tc>
          <w:tcPr>
            <w:tcW w:w="0" w:type="auto"/>
            <w:gridSpan w:val="3"/>
            <w:shd w:val="clear" w:color="auto" w:fill="auto"/>
          </w:tcPr>
          <w:p w14:paraId="5EA2798A"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8B"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8C"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8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8E"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8F"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90" w14:textId="77777777" w:rsidR="003C66EB" w:rsidRDefault="00D96C4E">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9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92" w14:textId="77777777" w:rsidR="003C66EB" w:rsidRDefault="003C66EB">
            <w:pPr>
              <w:rPr>
                <w:rFonts w:ascii="宋体"/>
              </w:rPr>
            </w:pPr>
          </w:p>
        </w:tc>
        <w:tc>
          <w:tcPr>
            <w:tcW w:w="0" w:type="auto"/>
            <w:gridSpan w:val="3"/>
            <w:shd w:val="clear" w:color="auto" w:fill="auto"/>
          </w:tcPr>
          <w:p w14:paraId="5EA27993" w14:textId="77777777" w:rsidR="003C66EB" w:rsidRDefault="003C66EB">
            <w:pPr>
              <w:rPr>
                <w:rFonts w:ascii="宋体"/>
                <w:vanish/>
              </w:rPr>
            </w:pPr>
          </w:p>
        </w:tc>
        <w:tc>
          <w:tcPr>
            <w:tcW w:w="0" w:type="auto"/>
            <w:gridSpan w:val="3"/>
            <w:shd w:val="clear" w:color="auto" w:fill="auto"/>
          </w:tcPr>
          <w:p w14:paraId="5EA27994" w14:textId="77777777" w:rsidR="003C66EB" w:rsidRDefault="003C66EB">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95"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996" w14:textId="77777777" w:rsidR="003C66EB" w:rsidRDefault="00D96C4E">
            <w:pPr>
              <w:jc w:val="right"/>
              <w:textAlignment w:val="bottom"/>
            </w:pPr>
            <w:r>
              <w:rPr>
                <w:rFonts w:ascii="Arial" w:eastAsia="宋体" w:hAnsi="Arial" w:cs="Arial"/>
                <w:b/>
                <w:bCs/>
                <w:color w:val="000000"/>
                <w:sz w:val="13"/>
                <w:szCs w:val="13"/>
              </w:rPr>
              <w:t>1,371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997"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799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999" w14:textId="77777777" w:rsidR="003C66EB" w:rsidRDefault="00D96C4E">
            <w:pPr>
              <w:textAlignment w:val="bottom"/>
            </w:pPr>
            <w:r>
              <w:rPr>
                <w:rFonts w:ascii="Arial" w:eastAsia="宋体" w:hAnsi="Arial" w:cs="Arial"/>
                <w:color w:val="000000"/>
                <w:sz w:val="13"/>
                <w:szCs w:val="13"/>
              </w:rPr>
              <w:t>$</w:t>
            </w:r>
          </w:p>
          <w:p w14:paraId="5EA2799A" w14:textId="77777777" w:rsidR="003C66EB" w:rsidRDefault="00D96C4E">
            <w:pPr>
              <w:jc w:val="right"/>
              <w:textAlignment w:val="bottom"/>
            </w:pPr>
            <w:r>
              <w:rPr>
                <w:rFonts w:ascii="Arial" w:eastAsia="宋体" w:hAnsi="Arial" w:cs="Arial"/>
                <w:color w:val="000000"/>
                <w:sz w:val="13"/>
                <w:szCs w:val="13"/>
              </w:rPr>
              <w:t>1,287 </w:t>
            </w:r>
          </w:p>
        </w:tc>
      </w:tr>
      <w:tr w:rsidR="003C66EB" w14:paraId="5EA279B9" w14:textId="77777777">
        <w:tc>
          <w:tcPr>
            <w:tcW w:w="0" w:type="auto"/>
            <w:gridSpan w:val="3"/>
            <w:shd w:val="clear" w:color="auto" w:fill="FFFFFF"/>
            <w:tcMar>
              <w:top w:w="40" w:type="dxa"/>
              <w:left w:w="20" w:type="dxa"/>
              <w:bottom w:w="40" w:type="dxa"/>
              <w:right w:w="20" w:type="dxa"/>
            </w:tcMar>
            <w:vAlign w:val="bottom"/>
          </w:tcPr>
          <w:p w14:paraId="5EA2799C" w14:textId="77777777" w:rsidR="003C66EB" w:rsidRDefault="00D96C4E">
            <w:pPr>
              <w:textAlignment w:val="bottom"/>
            </w:pPr>
            <w:r>
              <w:rPr>
                <w:rFonts w:ascii="Arial" w:eastAsia="宋体" w:hAnsi="Arial" w:cs="Arial"/>
                <w:color w:val="000000"/>
                <w:sz w:val="13"/>
                <w:szCs w:val="13"/>
              </w:rPr>
              <w:t>Management fees</w:t>
            </w:r>
          </w:p>
        </w:tc>
        <w:tc>
          <w:tcPr>
            <w:tcW w:w="0" w:type="auto"/>
            <w:gridSpan w:val="2"/>
            <w:shd w:val="clear" w:color="auto" w:fill="FFFFFF"/>
            <w:tcMar>
              <w:top w:w="40" w:type="dxa"/>
              <w:left w:w="20" w:type="dxa"/>
              <w:bottom w:w="40" w:type="dxa"/>
              <w:right w:w="0" w:type="dxa"/>
            </w:tcMar>
            <w:vAlign w:val="bottom"/>
          </w:tcPr>
          <w:p w14:paraId="5EA2799D"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9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9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9A0"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A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A2" w14:textId="77777777" w:rsidR="003C66EB" w:rsidRDefault="003C66EB">
            <w:pPr>
              <w:rPr>
                <w:rFonts w:ascii="宋体"/>
              </w:rPr>
            </w:pPr>
          </w:p>
        </w:tc>
        <w:tc>
          <w:tcPr>
            <w:tcW w:w="0" w:type="auto"/>
            <w:gridSpan w:val="3"/>
            <w:shd w:val="clear" w:color="auto" w:fill="auto"/>
          </w:tcPr>
          <w:p w14:paraId="5EA279A3" w14:textId="77777777" w:rsidR="003C66EB" w:rsidRDefault="003C66EB">
            <w:pPr>
              <w:rPr>
                <w:rFonts w:ascii="宋体"/>
                <w:vanish/>
              </w:rPr>
            </w:pPr>
          </w:p>
        </w:tc>
        <w:tc>
          <w:tcPr>
            <w:tcW w:w="0" w:type="auto"/>
            <w:gridSpan w:val="3"/>
            <w:shd w:val="clear" w:color="auto" w:fill="auto"/>
          </w:tcPr>
          <w:p w14:paraId="5EA279A4"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9A5" w14:textId="77777777" w:rsidR="003C66EB" w:rsidRDefault="00D96C4E">
            <w:pPr>
              <w:jc w:val="right"/>
              <w:textAlignment w:val="bottom"/>
            </w:pPr>
            <w:r>
              <w:rPr>
                <w:rFonts w:ascii="Arial" w:eastAsia="宋体" w:hAnsi="Arial" w:cs="Arial"/>
                <w:b/>
                <w:bCs/>
                <w:color w:val="000000"/>
                <w:sz w:val="13"/>
                <w:szCs w:val="13"/>
              </w:rPr>
              <w:t>493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A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A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9A8" w14:textId="77777777" w:rsidR="003C66EB" w:rsidRDefault="00D96C4E">
            <w:pPr>
              <w:jc w:val="right"/>
              <w:textAlignment w:val="bottom"/>
            </w:pPr>
            <w:r>
              <w:rPr>
                <w:rFonts w:ascii="Arial" w:eastAsia="宋体" w:hAnsi="Arial" w:cs="Arial"/>
                <w:color w:val="000000"/>
                <w:sz w:val="13"/>
                <w:szCs w:val="13"/>
              </w:rPr>
              <w:t>464 </w:t>
            </w:r>
          </w:p>
        </w:tc>
        <w:tc>
          <w:tcPr>
            <w:tcW w:w="0" w:type="auto"/>
            <w:shd w:val="clear" w:color="auto" w:fill="FFFFFF"/>
            <w:tcMar>
              <w:top w:w="40" w:type="dxa"/>
              <w:left w:w="0" w:type="dxa"/>
              <w:bottom w:w="40" w:type="dxa"/>
              <w:right w:w="20" w:type="dxa"/>
            </w:tcMar>
            <w:vAlign w:val="bottom"/>
          </w:tcPr>
          <w:p w14:paraId="5EA279A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AA" w14:textId="77777777" w:rsidR="003C66EB" w:rsidRDefault="003C66EB">
            <w:pPr>
              <w:rPr>
                <w:rFonts w:ascii="宋体"/>
              </w:rPr>
            </w:pPr>
          </w:p>
        </w:tc>
        <w:tc>
          <w:tcPr>
            <w:tcW w:w="0" w:type="auto"/>
            <w:gridSpan w:val="3"/>
            <w:shd w:val="clear" w:color="auto" w:fill="auto"/>
          </w:tcPr>
          <w:p w14:paraId="5EA279AB" w14:textId="77777777" w:rsidR="003C66EB" w:rsidRDefault="003C66EB">
            <w:pPr>
              <w:rPr>
                <w:rFonts w:ascii="宋体"/>
                <w:vanish/>
              </w:rPr>
            </w:pPr>
          </w:p>
        </w:tc>
        <w:tc>
          <w:tcPr>
            <w:tcW w:w="0" w:type="auto"/>
            <w:gridSpan w:val="3"/>
            <w:shd w:val="clear" w:color="auto" w:fill="auto"/>
          </w:tcPr>
          <w:p w14:paraId="5EA279AC"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9AD"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A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A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9B0"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B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B2" w14:textId="77777777" w:rsidR="003C66EB" w:rsidRDefault="003C66EB">
            <w:pPr>
              <w:rPr>
                <w:rFonts w:ascii="宋体"/>
              </w:rPr>
            </w:pPr>
          </w:p>
        </w:tc>
        <w:tc>
          <w:tcPr>
            <w:tcW w:w="0" w:type="auto"/>
            <w:gridSpan w:val="3"/>
            <w:shd w:val="clear" w:color="auto" w:fill="auto"/>
          </w:tcPr>
          <w:p w14:paraId="5EA279B3" w14:textId="77777777" w:rsidR="003C66EB" w:rsidRDefault="003C66EB">
            <w:pPr>
              <w:rPr>
                <w:rFonts w:ascii="宋体"/>
                <w:vanish/>
              </w:rPr>
            </w:pPr>
          </w:p>
        </w:tc>
        <w:tc>
          <w:tcPr>
            <w:tcW w:w="0" w:type="auto"/>
            <w:gridSpan w:val="3"/>
            <w:shd w:val="clear" w:color="auto" w:fill="auto"/>
          </w:tcPr>
          <w:p w14:paraId="5EA279B4"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9B5" w14:textId="77777777" w:rsidR="003C66EB" w:rsidRDefault="00D96C4E">
            <w:pPr>
              <w:jc w:val="right"/>
              <w:textAlignment w:val="bottom"/>
            </w:pPr>
            <w:r>
              <w:rPr>
                <w:rFonts w:ascii="Arial" w:eastAsia="宋体" w:hAnsi="Arial" w:cs="Arial"/>
                <w:b/>
                <w:bCs/>
                <w:color w:val="000000"/>
                <w:sz w:val="13"/>
                <w:szCs w:val="13"/>
              </w:rPr>
              <w:t>493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B6"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79B7"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9B8" w14:textId="77777777" w:rsidR="003C66EB" w:rsidRDefault="00D96C4E">
            <w:pPr>
              <w:jc w:val="right"/>
              <w:textAlignment w:val="bottom"/>
            </w:pPr>
            <w:r>
              <w:rPr>
                <w:rFonts w:ascii="Arial" w:eastAsia="宋体" w:hAnsi="Arial" w:cs="Arial"/>
                <w:color w:val="000000"/>
                <w:sz w:val="13"/>
                <w:szCs w:val="13"/>
              </w:rPr>
              <w:t>464 </w:t>
            </w:r>
          </w:p>
        </w:tc>
      </w:tr>
      <w:tr w:rsidR="003C66EB" w14:paraId="5EA279D7" w14:textId="77777777">
        <w:tc>
          <w:tcPr>
            <w:tcW w:w="0" w:type="auto"/>
            <w:gridSpan w:val="3"/>
            <w:shd w:val="clear" w:color="auto" w:fill="CCEEFF"/>
            <w:tcMar>
              <w:top w:w="40" w:type="dxa"/>
              <w:left w:w="20" w:type="dxa"/>
              <w:bottom w:w="40" w:type="dxa"/>
              <w:right w:w="20" w:type="dxa"/>
            </w:tcMar>
            <w:vAlign w:val="bottom"/>
          </w:tcPr>
          <w:p w14:paraId="5EA279BA" w14:textId="77777777" w:rsidR="003C66EB" w:rsidRDefault="00D96C4E">
            <w:pPr>
              <w:textAlignment w:val="bottom"/>
            </w:pPr>
            <w:r>
              <w:rPr>
                <w:rFonts w:ascii="Arial" w:eastAsia="宋体" w:hAnsi="Arial" w:cs="Arial"/>
                <w:color w:val="000000"/>
                <w:sz w:val="13"/>
                <w:szCs w:val="13"/>
              </w:rPr>
              <w:t>Foreign exchange trading services</w:t>
            </w:r>
          </w:p>
        </w:tc>
        <w:tc>
          <w:tcPr>
            <w:tcW w:w="0" w:type="auto"/>
            <w:gridSpan w:val="2"/>
            <w:shd w:val="clear" w:color="auto" w:fill="CCEEFF"/>
            <w:tcMar>
              <w:top w:w="40" w:type="dxa"/>
              <w:left w:w="20" w:type="dxa"/>
              <w:bottom w:w="40" w:type="dxa"/>
              <w:right w:w="0" w:type="dxa"/>
            </w:tcMar>
            <w:vAlign w:val="bottom"/>
          </w:tcPr>
          <w:p w14:paraId="5EA279BB" w14:textId="77777777" w:rsidR="003C66EB" w:rsidRDefault="00D96C4E">
            <w:pPr>
              <w:jc w:val="right"/>
              <w:textAlignment w:val="bottom"/>
            </w:pPr>
            <w:r>
              <w:rPr>
                <w:rFonts w:ascii="Arial" w:eastAsia="宋体" w:hAnsi="Arial" w:cs="Arial"/>
                <w:b/>
                <w:bCs/>
                <w:color w:val="000000"/>
                <w:sz w:val="13"/>
                <w:szCs w:val="13"/>
              </w:rPr>
              <w:t>333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9B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B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9BE" w14:textId="77777777" w:rsidR="003C66EB" w:rsidRDefault="00D96C4E">
            <w:pPr>
              <w:jc w:val="right"/>
              <w:textAlignment w:val="bottom"/>
            </w:pPr>
            <w:r>
              <w:rPr>
                <w:rFonts w:ascii="Arial" w:eastAsia="宋体" w:hAnsi="Arial" w:cs="Arial"/>
                <w:color w:val="000000"/>
                <w:sz w:val="13"/>
                <w:szCs w:val="13"/>
              </w:rPr>
              <w:t>434 </w:t>
            </w:r>
          </w:p>
        </w:tc>
        <w:tc>
          <w:tcPr>
            <w:tcW w:w="0" w:type="auto"/>
            <w:shd w:val="clear" w:color="auto" w:fill="CCEEFF"/>
            <w:tcMar>
              <w:top w:w="40" w:type="dxa"/>
              <w:left w:w="0" w:type="dxa"/>
              <w:bottom w:w="40" w:type="dxa"/>
              <w:right w:w="20" w:type="dxa"/>
            </w:tcMar>
            <w:vAlign w:val="bottom"/>
          </w:tcPr>
          <w:p w14:paraId="5EA279B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C0" w14:textId="77777777" w:rsidR="003C66EB" w:rsidRDefault="003C66EB">
            <w:pPr>
              <w:rPr>
                <w:rFonts w:ascii="宋体"/>
              </w:rPr>
            </w:pPr>
          </w:p>
        </w:tc>
        <w:tc>
          <w:tcPr>
            <w:tcW w:w="0" w:type="auto"/>
            <w:gridSpan w:val="3"/>
            <w:shd w:val="clear" w:color="auto" w:fill="auto"/>
          </w:tcPr>
          <w:p w14:paraId="5EA279C1" w14:textId="77777777" w:rsidR="003C66EB" w:rsidRDefault="003C66EB">
            <w:pPr>
              <w:rPr>
                <w:rFonts w:ascii="宋体"/>
                <w:vanish/>
              </w:rPr>
            </w:pPr>
          </w:p>
        </w:tc>
        <w:tc>
          <w:tcPr>
            <w:tcW w:w="0" w:type="auto"/>
            <w:gridSpan w:val="3"/>
            <w:shd w:val="clear" w:color="auto" w:fill="auto"/>
          </w:tcPr>
          <w:p w14:paraId="5EA279C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9C3" w14:textId="77777777" w:rsidR="003C66EB" w:rsidRDefault="00D96C4E">
            <w:pPr>
              <w:jc w:val="right"/>
              <w:textAlignment w:val="bottom"/>
            </w:pPr>
            <w:r>
              <w:rPr>
                <w:rFonts w:ascii="Arial" w:eastAsia="宋体" w:hAnsi="Arial" w:cs="Arial"/>
                <w:b/>
                <w:bCs/>
                <w:color w:val="000000"/>
                <w:sz w:val="13"/>
                <w:szCs w:val="13"/>
              </w:rPr>
              <w:t>13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9C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C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9C6" w14:textId="77777777" w:rsidR="003C66EB" w:rsidRDefault="00D96C4E">
            <w:pPr>
              <w:jc w:val="right"/>
              <w:textAlignment w:val="bottom"/>
            </w:pPr>
            <w:r>
              <w:rPr>
                <w:rFonts w:ascii="Arial" w:eastAsia="宋体" w:hAnsi="Arial" w:cs="Arial"/>
                <w:color w:val="000000"/>
                <w:sz w:val="13"/>
                <w:szCs w:val="13"/>
              </w:rPr>
              <w:t>10 </w:t>
            </w:r>
          </w:p>
        </w:tc>
        <w:tc>
          <w:tcPr>
            <w:tcW w:w="0" w:type="auto"/>
            <w:shd w:val="clear" w:color="auto" w:fill="CCEEFF"/>
            <w:tcMar>
              <w:top w:w="40" w:type="dxa"/>
              <w:left w:w="0" w:type="dxa"/>
              <w:bottom w:w="40" w:type="dxa"/>
              <w:right w:w="20" w:type="dxa"/>
            </w:tcMar>
            <w:vAlign w:val="bottom"/>
          </w:tcPr>
          <w:p w14:paraId="5EA279C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C8" w14:textId="77777777" w:rsidR="003C66EB" w:rsidRDefault="003C66EB">
            <w:pPr>
              <w:rPr>
                <w:rFonts w:ascii="宋体"/>
              </w:rPr>
            </w:pPr>
          </w:p>
        </w:tc>
        <w:tc>
          <w:tcPr>
            <w:tcW w:w="0" w:type="auto"/>
            <w:gridSpan w:val="3"/>
            <w:shd w:val="clear" w:color="auto" w:fill="auto"/>
          </w:tcPr>
          <w:p w14:paraId="5EA279C9" w14:textId="77777777" w:rsidR="003C66EB" w:rsidRDefault="003C66EB">
            <w:pPr>
              <w:rPr>
                <w:rFonts w:ascii="宋体"/>
                <w:vanish/>
              </w:rPr>
            </w:pPr>
          </w:p>
        </w:tc>
        <w:tc>
          <w:tcPr>
            <w:tcW w:w="0" w:type="auto"/>
            <w:gridSpan w:val="3"/>
            <w:shd w:val="clear" w:color="auto" w:fill="auto"/>
          </w:tcPr>
          <w:p w14:paraId="5EA279C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9CB"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9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C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9CE"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9C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D0" w14:textId="77777777" w:rsidR="003C66EB" w:rsidRDefault="003C66EB">
            <w:pPr>
              <w:rPr>
                <w:rFonts w:ascii="宋体"/>
              </w:rPr>
            </w:pPr>
          </w:p>
        </w:tc>
        <w:tc>
          <w:tcPr>
            <w:tcW w:w="0" w:type="auto"/>
            <w:gridSpan w:val="3"/>
            <w:shd w:val="clear" w:color="auto" w:fill="auto"/>
          </w:tcPr>
          <w:p w14:paraId="5EA279D1" w14:textId="77777777" w:rsidR="003C66EB" w:rsidRDefault="003C66EB">
            <w:pPr>
              <w:rPr>
                <w:rFonts w:ascii="宋体"/>
                <w:vanish/>
              </w:rPr>
            </w:pPr>
          </w:p>
        </w:tc>
        <w:tc>
          <w:tcPr>
            <w:tcW w:w="0" w:type="auto"/>
            <w:gridSpan w:val="3"/>
            <w:shd w:val="clear" w:color="auto" w:fill="auto"/>
          </w:tcPr>
          <w:p w14:paraId="5EA279D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9D3" w14:textId="77777777" w:rsidR="003C66EB" w:rsidRDefault="00D96C4E">
            <w:pPr>
              <w:jc w:val="right"/>
              <w:textAlignment w:val="bottom"/>
            </w:pPr>
            <w:r>
              <w:rPr>
                <w:rFonts w:ascii="Arial" w:eastAsia="宋体" w:hAnsi="Arial" w:cs="Arial"/>
                <w:b/>
                <w:bCs/>
                <w:color w:val="000000"/>
                <w:sz w:val="13"/>
                <w:szCs w:val="13"/>
              </w:rPr>
              <w:t>346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9D4"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79D5"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9D6" w14:textId="77777777" w:rsidR="003C66EB" w:rsidRDefault="00D96C4E">
            <w:pPr>
              <w:jc w:val="right"/>
              <w:textAlignment w:val="bottom"/>
            </w:pPr>
            <w:r>
              <w:rPr>
                <w:rFonts w:ascii="Arial" w:eastAsia="宋体" w:hAnsi="Arial" w:cs="Arial"/>
                <w:color w:val="000000"/>
                <w:sz w:val="13"/>
                <w:szCs w:val="13"/>
              </w:rPr>
              <w:t>444 </w:t>
            </w:r>
          </w:p>
        </w:tc>
      </w:tr>
      <w:tr w:rsidR="003C66EB" w14:paraId="5EA279F5" w14:textId="77777777">
        <w:tc>
          <w:tcPr>
            <w:tcW w:w="0" w:type="auto"/>
            <w:gridSpan w:val="3"/>
            <w:shd w:val="clear" w:color="auto" w:fill="FFFFFF"/>
            <w:tcMar>
              <w:top w:w="40" w:type="dxa"/>
              <w:left w:w="20" w:type="dxa"/>
              <w:bottom w:w="40" w:type="dxa"/>
              <w:right w:w="20" w:type="dxa"/>
            </w:tcMar>
            <w:vAlign w:val="bottom"/>
          </w:tcPr>
          <w:p w14:paraId="5EA279D8" w14:textId="77777777" w:rsidR="003C66EB" w:rsidRDefault="00D96C4E">
            <w:pPr>
              <w:textAlignment w:val="bottom"/>
            </w:pPr>
            <w:r>
              <w:rPr>
                <w:rFonts w:ascii="Arial" w:eastAsia="宋体" w:hAnsi="Arial" w:cs="Arial"/>
                <w:color w:val="000000"/>
                <w:sz w:val="13"/>
                <w:szCs w:val="13"/>
              </w:rPr>
              <w:t>Securities finance</w:t>
            </w:r>
          </w:p>
        </w:tc>
        <w:tc>
          <w:tcPr>
            <w:tcW w:w="0" w:type="auto"/>
            <w:gridSpan w:val="2"/>
            <w:shd w:val="clear" w:color="auto" w:fill="FFFFFF"/>
            <w:tcMar>
              <w:top w:w="40" w:type="dxa"/>
              <w:left w:w="20" w:type="dxa"/>
              <w:bottom w:w="40" w:type="dxa"/>
              <w:right w:w="0" w:type="dxa"/>
            </w:tcMar>
            <w:vAlign w:val="bottom"/>
          </w:tcPr>
          <w:p w14:paraId="5EA279D9" w14:textId="77777777" w:rsidR="003C66EB" w:rsidRDefault="00D96C4E">
            <w:pPr>
              <w:jc w:val="right"/>
              <w:textAlignment w:val="bottom"/>
            </w:pPr>
            <w:r>
              <w:rPr>
                <w:rFonts w:ascii="Arial" w:eastAsia="宋体" w:hAnsi="Arial" w:cs="Arial"/>
                <w:b/>
                <w:bCs/>
                <w:color w:val="000000"/>
                <w:sz w:val="13"/>
                <w:szCs w:val="13"/>
              </w:rPr>
              <w:t>95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D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D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9DC" w14:textId="77777777" w:rsidR="003C66EB" w:rsidRDefault="00D96C4E">
            <w:pPr>
              <w:jc w:val="right"/>
              <w:textAlignment w:val="bottom"/>
            </w:pPr>
            <w:r>
              <w:rPr>
                <w:rFonts w:ascii="Arial" w:eastAsia="宋体" w:hAnsi="Arial" w:cs="Arial"/>
                <w:color w:val="000000"/>
                <w:sz w:val="13"/>
                <w:szCs w:val="13"/>
              </w:rPr>
              <w:t>89 </w:t>
            </w:r>
          </w:p>
        </w:tc>
        <w:tc>
          <w:tcPr>
            <w:tcW w:w="0" w:type="auto"/>
            <w:shd w:val="clear" w:color="auto" w:fill="FFFFFF"/>
            <w:tcMar>
              <w:top w:w="40" w:type="dxa"/>
              <w:left w:w="0" w:type="dxa"/>
              <w:bottom w:w="40" w:type="dxa"/>
              <w:right w:w="20" w:type="dxa"/>
            </w:tcMar>
            <w:vAlign w:val="bottom"/>
          </w:tcPr>
          <w:p w14:paraId="5EA279D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DE" w14:textId="77777777" w:rsidR="003C66EB" w:rsidRDefault="003C66EB">
            <w:pPr>
              <w:rPr>
                <w:rFonts w:ascii="宋体"/>
              </w:rPr>
            </w:pPr>
          </w:p>
        </w:tc>
        <w:tc>
          <w:tcPr>
            <w:tcW w:w="0" w:type="auto"/>
            <w:gridSpan w:val="3"/>
            <w:shd w:val="clear" w:color="auto" w:fill="auto"/>
          </w:tcPr>
          <w:p w14:paraId="5EA279DF" w14:textId="77777777" w:rsidR="003C66EB" w:rsidRDefault="003C66EB">
            <w:pPr>
              <w:rPr>
                <w:rFonts w:ascii="宋体"/>
                <w:vanish/>
              </w:rPr>
            </w:pPr>
          </w:p>
        </w:tc>
        <w:tc>
          <w:tcPr>
            <w:tcW w:w="0" w:type="auto"/>
            <w:gridSpan w:val="3"/>
            <w:shd w:val="clear" w:color="auto" w:fill="auto"/>
          </w:tcPr>
          <w:p w14:paraId="5EA279E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9E1" w14:textId="77777777" w:rsidR="003C66EB" w:rsidRDefault="00D96C4E">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E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E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9E4" w14:textId="77777777" w:rsidR="003C66EB" w:rsidRDefault="00D96C4E">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5EA279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E6" w14:textId="77777777" w:rsidR="003C66EB" w:rsidRDefault="003C66EB">
            <w:pPr>
              <w:rPr>
                <w:rFonts w:ascii="宋体"/>
              </w:rPr>
            </w:pPr>
          </w:p>
        </w:tc>
        <w:tc>
          <w:tcPr>
            <w:tcW w:w="0" w:type="auto"/>
            <w:gridSpan w:val="3"/>
            <w:shd w:val="clear" w:color="auto" w:fill="auto"/>
          </w:tcPr>
          <w:p w14:paraId="5EA279E7" w14:textId="77777777" w:rsidR="003C66EB" w:rsidRDefault="003C66EB">
            <w:pPr>
              <w:rPr>
                <w:rFonts w:ascii="宋体"/>
                <w:vanish/>
              </w:rPr>
            </w:pPr>
          </w:p>
        </w:tc>
        <w:tc>
          <w:tcPr>
            <w:tcW w:w="0" w:type="auto"/>
            <w:gridSpan w:val="3"/>
            <w:shd w:val="clear" w:color="auto" w:fill="auto"/>
          </w:tcPr>
          <w:p w14:paraId="5EA279E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9E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E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E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9E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E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9EE" w14:textId="77777777" w:rsidR="003C66EB" w:rsidRDefault="003C66EB">
            <w:pPr>
              <w:rPr>
                <w:rFonts w:ascii="宋体"/>
              </w:rPr>
            </w:pPr>
          </w:p>
        </w:tc>
        <w:tc>
          <w:tcPr>
            <w:tcW w:w="0" w:type="auto"/>
            <w:gridSpan w:val="3"/>
            <w:shd w:val="clear" w:color="auto" w:fill="auto"/>
          </w:tcPr>
          <w:p w14:paraId="5EA279EF" w14:textId="77777777" w:rsidR="003C66EB" w:rsidRDefault="003C66EB">
            <w:pPr>
              <w:rPr>
                <w:rFonts w:ascii="宋体"/>
                <w:vanish/>
              </w:rPr>
            </w:pPr>
          </w:p>
        </w:tc>
        <w:tc>
          <w:tcPr>
            <w:tcW w:w="0" w:type="auto"/>
            <w:gridSpan w:val="3"/>
            <w:shd w:val="clear" w:color="auto" w:fill="auto"/>
          </w:tcPr>
          <w:p w14:paraId="5EA279F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9F1" w14:textId="77777777" w:rsidR="003C66EB" w:rsidRDefault="00D96C4E">
            <w:pPr>
              <w:jc w:val="right"/>
              <w:textAlignment w:val="bottom"/>
            </w:pPr>
            <w:r>
              <w:rPr>
                <w:rFonts w:ascii="Arial" w:eastAsia="宋体" w:hAnsi="Arial" w:cs="Arial"/>
                <w:b/>
                <w:bCs/>
                <w:color w:val="000000"/>
                <w:sz w:val="13"/>
                <w:szCs w:val="13"/>
              </w:rPr>
              <w:t>99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9F2"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79F3"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9F4" w14:textId="77777777" w:rsidR="003C66EB" w:rsidRDefault="00D96C4E">
            <w:pPr>
              <w:jc w:val="right"/>
              <w:textAlignment w:val="bottom"/>
            </w:pPr>
            <w:r>
              <w:rPr>
                <w:rFonts w:ascii="Arial" w:eastAsia="宋体" w:hAnsi="Arial" w:cs="Arial"/>
                <w:color w:val="000000"/>
                <w:sz w:val="13"/>
                <w:szCs w:val="13"/>
              </w:rPr>
              <w:t>92 </w:t>
            </w:r>
          </w:p>
        </w:tc>
      </w:tr>
      <w:tr w:rsidR="003C66EB" w14:paraId="5EA27A13" w14:textId="77777777">
        <w:tc>
          <w:tcPr>
            <w:tcW w:w="0" w:type="auto"/>
            <w:gridSpan w:val="3"/>
            <w:shd w:val="clear" w:color="auto" w:fill="CCEEFF"/>
            <w:tcMar>
              <w:top w:w="40" w:type="dxa"/>
              <w:left w:w="20" w:type="dxa"/>
              <w:bottom w:w="40" w:type="dxa"/>
              <w:right w:w="20" w:type="dxa"/>
            </w:tcMar>
            <w:vAlign w:val="bottom"/>
          </w:tcPr>
          <w:p w14:paraId="5EA279F6" w14:textId="77777777" w:rsidR="003C66EB" w:rsidRDefault="00D96C4E">
            <w:pPr>
              <w:textAlignment w:val="bottom"/>
            </w:pPr>
            <w:r>
              <w:rPr>
                <w:rFonts w:ascii="Arial" w:eastAsia="宋体" w:hAnsi="Arial" w:cs="Arial"/>
                <w:color w:val="000000"/>
                <w:sz w:val="13"/>
                <w:szCs w:val="13"/>
              </w:rPr>
              <w:t>Software and processing fees</w:t>
            </w:r>
            <w:r>
              <w:rPr>
                <w:rFonts w:ascii="Arial" w:eastAsia="宋体" w:hAnsi="Arial" w:cs="Arial"/>
                <w:color w:val="000000"/>
                <w:sz w:val="8"/>
                <w:szCs w:val="8"/>
              </w:rPr>
              <w:t>(1)(2)</w:t>
            </w:r>
          </w:p>
        </w:tc>
        <w:tc>
          <w:tcPr>
            <w:tcW w:w="0" w:type="auto"/>
            <w:gridSpan w:val="2"/>
            <w:shd w:val="clear" w:color="auto" w:fill="CCEEFF"/>
            <w:tcMar>
              <w:top w:w="40" w:type="dxa"/>
              <w:left w:w="20" w:type="dxa"/>
              <w:bottom w:w="40" w:type="dxa"/>
              <w:right w:w="0" w:type="dxa"/>
            </w:tcMar>
            <w:vAlign w:val="bottom"/>
          </w:tcPr>
          <w:p w14:paraId="5EA279F7" w14:textId="77777777" w:rsidR="003C66EB" w:rsidRDefault="00D96C4E">
            <w:pPr>
              <w:jc w:val="right"/>
              <w:textAlignment w:val="bottom"/>
            </w:pPr>
            <w:r>
              <w:rPr>
                <w:rFonts w:ascii="Arial" w:eastAsia="宋体" w:hAnsi="Arial" w:cs="Arial"/>
                <w:b/>
                <w:bCs/>
                <w:color w:val="000000"/>
                <w:sz w:val="13"/>
                <w:szCs w:val="13"/>
              </w:rPr>
              <w:t>172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9F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F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9FA" w14:textId="77777777" w:rsidR="003C66EB" w:rsidRDefault="00D96C4E">
            <w:pPr>
              <w:jc w:val="right"/>
              <w:textAlignment w:val="bottom"/>
            </w:pPr>
            <w:r>
              <w:rPr>
                <w:rFonts w:ascii="Arial" w:eastAsia="宋体" w:hAnsi="Arial" w:cs="Arial"/>
                <w:color w:val="000000"/>
                <w:sz w:val="13"/>
                <w:szCs w:val="13"/>
              </w:rPr>
              <w:t>137 </w:t>
            </w:r>
          </w:p>
        </w:tc>
        <w:tc>
          <w:tcPr>
            <w:tcW w:w="0" w:type="auto"/>
            <w:shd w:val="clear" w:color="auto" w:fill="CCEEFF"/>
            <w:tcMar>
              <w:top w:w="40" w:type="dxa"/>
              <w:left w:w="0" w:type="dxa"/>
              <w:bottom w:w="40" w:type="dxa"/>
              <w:right w:w="20" w:type="dxa"/>
            </w:tcMar>
            <w:vAlign w:val="bottom"/>
          </w:tcPr>
          <w:p w14:paraId="5EA279F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9FC" w14:textId="77777777" w:rsidR="003C66EB" w:rsidRDefault="003C66EB">
            <w:pPr>
              <w:rPr>
                <w:rFonts w:ascii="宋体"/>
              </w:rPr>
            </w:pPr>
          </w:p>
        </w:tc>
        <w:tc>
          <w:tcPr>
            <w:tcW w:w="0" w:type="auto"/>
            <w:gridSpan w:val="3"/>
            <w:shd w:val="clear" w:color="auto" w:fill="auto"/>
          </w:tcPr>
          <w:p w14:paraId="5EA279FD" w14:textId="77777777" w:rsidR="003C66EB" w:rsidRDefault="003C66EB">
            <w:pPr>
              <w:rPr>
                <w:rFonts w:ascii="宋体"/>
                <w:vanish/>
              </w:rPr>
            </w:pPr>
          </w:p>
        </w:tc>
        <w:tc>
          <w:tcPr>
            <w:tcW w:w="0" w:type="auto"/>
            <w:gridSpan w:val="3"/>
            <w:shd w:val="clear" w:color="auto" w:fill="auto"/>
          </w:tcPr>
          <w:p w14:paraId="5EA279FE"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9FF" w14:textId="77777777" w:rsidR="003C66EB" w:rsidRDefault="00D96C4E">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0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0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A02" w14:textId="77777777" w:rsidR="003C66EB" w:rsidRDefault="00D96C4E">
            <w:pPr>
              <w:jc w:val="right"/>
              <w:textAlignment w:val="bottom"/>
            </w:pPr>
            <w:r>
              <w:rPr>
                <w:rFonts w:ascii="Arial" w:eastAsia="宋体" w:hAnsi="Arial" w:cs="Arial"/>
                <w:color w:val="000000"/>
                <w:sz w:val="13"/>
                <w:szCs w:val="13"/>
              </w:rPr>
              <w:t>(25)</w:t>
            </w:r>
          </w:p>
        </w:tc>
        <w:tc>
          <w:tcPr>
            <w:tcW w:w="0" w:type="auto"/>
            <w:shd w:val="clear" w:color="auto" w:fill="CCEEFF"/>
            <w:tcMar>
              <w:top w:w="40" w:type="dxa"/>
              <w:left w:w="0" w:type="dxa"/>
              <w:bottom w:w="40" w:type="dxa"/>
              <w:right w:w="20" w:type="dxa"/>
            </w:tcMar>
            <w:vAlign w:val="bottom"/>
          </w:tcPr>
          <w:p w14:paraId="5EA27A0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04" w14:textId="77777777" w:rsidR="003C66EB" w:rsidRDefault="003C66EB">
            <w:pPr>
              <w:rPr>
                <w:rFonts w:ascii="宋体"/>
              </w:rPr>
            </w:pPr>
          </w:p>
        </w:tc>
        <w:tc>
          <w:tcPr>
            <w:tcW w:w="0" w:type="auto"/>
            <w:gridSpan w:val="3"/>
            <w:shd w:val="clear" w:color="auto" w:fill="auto"/>
          </w:tcPr>
          <w:p w14:paraId="5EA27A05" w14:textId="77777777" w:rsidR="003C66EB" w:rsidRDefault="003C66EB">
            <w:pPr>
              <w:rPr>
                <w:rFonts w:ascii="宋体"/>
                <w:vanish/>
              </w:rPr>
            </w:pPr>
          </w:p>
        </w:tc>
        <w:tc>
          <w:tcPr>
            <w:tcW w:w="0" w:type="auto"/>
            <w:gridSpan w:val="3"/>
            <w:shd w:val="clear" w:color="auto" w:fill="auto"/>
          </w:tcPr>
          <w:p w14:paraId="5EA27A06"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A07"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0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A0A"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0C" w14:textId="77777777" w:rsidR="003C66EB" w:rsidRDefault="003C66EB">
            <w:pPr>
              <w:rPr>
                <w:rFonts w:ascii="宋体"/>
              </w:rPr>
            </w:pPr>
          </w:p>
        </w:tc>
        <w:tc>
          <w:tcPr>
            <w:tcW w:w="0" w:type="auto"/>
            <w:gridSpan w:val="3"/>
            <w:shd w:val="clear" w:color="auto" w:fill="auto"/>
          </w:tcPr>
          <w:p w14:paraId="5EA27A0D" w14:textId="77777777" w:rsidR="003C66EB" w:rsidRDefault="003C66EB">
            <w:pPr>
              <w:rPr>
                <w:rFonts w:ascii="宋体"/>
                <w:vanish/>
              </w:rPr>
            </w:pPr>
          </w:p>
        </w:tc>
        <w:tc>
          <w:tcPr>
            <w:tcW w:w="0" w:type="auto"/>
            <w:gridSpan w:val="3"/>
            <w:shd w:val="clear" w:color="auto" w:fill="auto"/>
          </w:tcPr>
          <w:p w14:paraId="5EA27A0E"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A0F" w14:textId="77777777" w:rsidR="003C66EB" w:rsidRDefault="00D96C4E">
            <w:pPr>
              <w:jc w:val="right"/>
              <w:textAlignment w:val="bottom"/>
            </w:pPr>
            <w:r>
              <w:rPr>
                <w:rFonts w:ascii="Arial" w:eastAsia="宋体" w:hAnsi="Arial" w:cs="Arial"/>
                <w:b/>
                <w:bCs/>
                <w:color w:val="000000"/>
                <w:sz w:val="13"/>
                <w:szCs w:val="13"/>
              </w:rPr>
              <w:t>174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10"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7A1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A12" w14:textId="77777777" w:rsidR="003C66EB" w:rsidRDefault="00D96C4E">
            <w:pPr>
              <w:jc w:val="right"/>
              <w:textAlignment w:val="bottom"/>
            </w:pPr>
            <w:r>
              <w:rPr>
                <w:rFonts w:ascii="Arial" w:eastAsia="宋体" w:hAnsi="Arial" w:cs="Arial"/>
                <w:color w:val="000000"/>
                <w:sz w:val="13"/>
                <w:szCs w:val="13"/>
              </w:rPr>
              <w:t>112 </w:t>
            </w:r>
          </w:p>
        </w:tc>
      </w:tr>
      <w:tr w:rsidR="003C66EB" w14:paraId="5EA27A31" w14:textId="77777777">
        <w:tc>
          <w:tcPr>
            <w:tcW w:w="0" w:type="auto"/>
            <w:gridSpan w:val="3"/>
            <w:shd w:val="clear" w:color="auto" w:fill="FFFFFF"/>
            <w:tcMar>
              <w:top w:w="40" w:type="dxa"/>
              <w:left w:w="20" w:type="dxa"/>
              <w:bottom w:w="40" w:type="dxa"/>
              <w:right w:w="20" w:type="dxa"/>
            </w:tcMar>
            <w:vAlign w:val="bottom"/>
          </w:tcPr>
          <w:p w14:paraId="5EA27A14" w14:textId="77777777" w:rsidR="003C66EB" w:rsidRDefault="00D96C4E">
            <w:pPr>
              <w:textAlignment w:val="bottom"/>
            </w:pPr>
            <w:r>
              <w:rPr>
                <w:rFonts w:ascii="Arial" w:eastAsia="宋体" w:hAnsi="Arial" w:cs="Arial"/>
                <w:color w:val="000000"/>
                <w:sz w:val="13"/>
                <w:szCs w:val="13"/>
              </w:rPr>
              <w:t>Total fee revenue</w:t>
            </w:r>
            <w:r>
              <w:rPr>
                <w:rFonts w:ascii="Arial" w:eastAsia="宋体" w:hAnsi="Arial" w:cs="Arial"/>
                <w:color w:val="000000"/>
                <w:sz w:val="8"/>
                <w:szCs w:val="8"/>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15" w14:textId="77777777" w:rsidR="003C66EB" w:rsidRDefault="00D96C4E">
            <w:pPr>
              <w:jc w:val="right"/>
              <w:textAlignment w:val="bottom"/>
            </w:pPr>
            <w:r>
              <w:rPr>
                <w:rFonts w:ascii="Arial" w:eastAsia="宋体" w:hAnsi="Arial" w:cs="Arial"/>
                <w:b/>
                <w:bCs/>
                <w:color w:val="000000"/>
                <w:sz w:val="13"/>
                <w:szCs w:val="13"/>
              </w:rPr>
              <w:t>1,971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1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1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18" w14:textId="77777777" w:rsidR="003C66EB" w:rsidRDefault="00D96C4E">
            <w:pPr>
              <w:jc w:val="right"/>
              <w:textAlignment w:val="bottom"/>
            </w:pPr>
            <w:r>
              <w:rPr>
                <w:rFonts w:ascii="Arial" w:eastAsia="宋体" w:hAnsi="Arial" w:cs="Arial"/>
                <w:color w:val="000000"/>
                <w:sz w:val="13"/>
                <w:szCs w:val="13"/>
              </w:rPr>
              <w:t>1,947 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1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1A" w14:textId="77777777" w:rsidR="003C66EB" w:rsidRDefault="003C66EB">
            <w:pPr>
              <w:rPr>
                <w:rFonts w:ascii="宋体"/>
              </w:rPr>
            </w:pPr>
          </w:p>
        </w:tc>
        <w:tc>
          <w:tcPr>
            <w:tcW w:w="0" w:type="auto"/>
            <w:gridSpan w:val="3"/>
            <w:shd w:val="clear" w:color="auto" w:fill="auto"/>
          </w:tcPr>
          <w:p w14:paraId="5EA27A1B" w14:textId="77777777" w:rsidR="003C66EB" w:rsidRDefault="003C66EB">
            <w:pPr>
              <w:rPr>
                <w:rFonts w:ascii="宋体"/>
                <w:vanish/>
              </w:rPr>
            </w:pPr>
          </w:p>
        </w:tc>
        <w:tc>
          <w:tcPr>
            <w:tcW w:w="0" w:type="auto"/>
            <w:gridSpan w:val="3"/>
            <w:shd w:val="clear" w:color="auto" w:fill="auto"/>
          </w:tcPr>
          <w:p w14:paraId="5EA27A1C"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1D" w14:textId="77777777" w:rsidR="003C66EB" w:rsidRDefault="00D96C4E">
            <w:pPr>
              <w:jc w:val="right"/>
              <w:textAlignment w:val="bottom"/>
            </w:pPr>
            <w:r>
              <w:rPr>
                <w:rFonts w:ascii="Arial" w:eastAsia="宋体" w:hAnsi="Arial" w:cs="Arial"/>
                <w:b/>
                <w:bCs/>
                <w:color w:val="000000"/>
                <w:sz w:val="13"/>
                <w:szCs w:val="13"/>
              </w:rPr>
              <w:t>512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1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1F"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20" w14:textId="77777777" w:rsidR="003C66EB" w:rsidRDefault="00D96C4E">
            <w:pPr>
              <w:jc w:val="right"/>
              <w:textAlignment w:val="bottom"/>
            </w:pPr>
            <w:r>
              <w:rPr>
                <w:rFonts w:ascii="Arial" w:eastAsia="宋体" w:hAnsi="Arial" w:cs="Arial"/>
                <w:color w:val="000000"/>
                <w:sz w:val="13"/>
                <w:szCs w:val="13"/>
              </w:rPr>
              <w:t>452 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2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22" w14:textId="77777777" w:rsidR="003C66EB" w:rsidRDefault="003C66EB">
            <w:pPr>
              <w:rPr>
                <w:rFonts w:ascii="宋体"/>
              </w:rPr>
            </w:pPr>
          </w:p>
        </w:tc>
        <w:tc>
          <w:tcPr>
            <w:tcW w:w="0" w:type="auto"/>
            <w:gridSpan w:val="3"/>
            <w:shd w:val="clear" w:color="auto" w:fill="auto"/>
          </w:tcPr>
          <w:p w14:paraId="5EA27A23" w14:textId="77777777" w:rsidR="003C66EB" w:rsidRDefault="003C66EB">
            <w:pPr>
              <w:rPr>
                <w:rFonts w:ascii="宋体"/>
                <w:vanish/>
              </w:rPr>
            </w:pPr>
          </w:p>
        </w:tc>
        <w:tc>
          <w:tcPr>
            <w:tcW w:w="0" w:type="auto"/>
            <w:gridSpan w:val="3"/>
            <w:shd w:val="clear" w:color="auto" w:fill="auto"/>
          </w:tcPr>
          <w:p w14:paraId="5EA27A24"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25"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2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2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28" w14:textId="77777777" w:rsidR="003C66EB" w:rsidRDefault="00D96C4E">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2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2A" w14:textId="77777777" w:rsidR="003C66EB" w:rsidRDefault="003C66EB">
            <w:pPr>
              <w:rPr>
                <w:rFonts w:ascii="宋体"/>
              </w:rPr>
            </w:pPr>
          </w:p>
        </w:tc>
        <w:tc>
          <w:tcPr>
            <w:tcW w:w="0" w:type="auto"/>
            <w:gridSpan w:val="3"/>
            <w:shd w:val="clear" w:color="auto" w:fill="auto"/>
          </w:tcPr>
          <w:p w14:paraId="5EA27A2B" w14:textId="77777777" w:rsidR="003C66EB" w:rsidRDefault="003C66EB">
            <w:pPr>
              <w:rPr>
                <w:rFonts w:ascii="宋体"/>
                <w:vanish/>
              </w:rPr>
            </w:pPr>
          </w:p>
        </w:tc>
        <w:tc>
          <w:tcPr>
            <w:tcW w:w="0" w:type="auto"/>
            <w:gridSpan w:val="3"/>
            <w:shd w:val="clear" w:color="auto" w:fill="auto"/>
          </w:tcPr>
          <w:p w14:paraId="5EA27A2C" w14:textId="77777777" w:rsidR="003C66EB" w:rsidRDefault="003C66E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A2D" w14:textId="77777777" w:rsidR="003C66EB" w:rsidRDefault="00D96C4E">
            <w:pPr>
              <w:jc w:val="right"/>
              <w:textAlignment w:val="bottom"/>
            </w:pPr>
            <w:r>
              <w:rPr>
                <w:rFonts w:ascii="Arial" w:eastAsia="宋体" w:hAnsi="Arial" w:cs="Arial"/>
                <w:b/>
                <w:bCs/>
                <w:color w:val="000000"/>
                <w:sz w:val="13"/>
                <w:szCs w:val="13"/>
              </w:rPr>
              <w:t>2,483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A2E"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7A2F"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A30" w14:textId="77777777" w:rsidR="003C66EB" w:rsidRDefault="00D96C4E">
            <w:pPr>
              <w:jc w:val="right"/>
              <w:textAlignment w:val="bottom"/>
            </w:pPr>
            <w:r>
              <w:rPr>
                <w:rFonts w:ascii="Arial" w:eastAsia="宋体" w:hAnsi="Arial" w:cs="Arial"/>
                <w:color w:val="000000"/>
                <w:sz w:val="13"/>
                <w:szCs w:val="13"/>
              </w:rPr>
              <w:t>2,399 </w:t>
            </w:r>
          </w:p>
        </w:tc>
      </w:tr>
      <w:tr w:rsidR="003C66EB" w14:paraId="5EA27A4F" w14:textId="77777777">
        <w:tc>
          <w:tcPr>
            <w:tcW w:w="0" w:type="auto"/>
            <w:gridSpan w:val="3"/>
            <w:shd w:val="clear" w:color="auto" w:fill="CCEEFF"/>
            <w:tcMar>
              <w:top w:w="40" w:type="dxa"/>
              <w:left w:w="20" w:type="dxa"/>
              <w:bottom w:w="40" w:type="dxa"/>
              <w:right w:w="20" w:type="dxa"/>
            </w:tcMar>
            <w:vAlign w:val="bottom"/>
          </w:tcPr>
          <w:p w14:paraId="5EA27A32" w14:textId="77777777" w:rsidR="003C66EB" w:rsidRDefault="00D96C4E">
            <w:pPr>
              <w:textAlignment w:val="bottom"/>
            </w:pPr>
            <w:r>
              <w:rPr>
                <w:rFonts w:ascii="Arial" w:eastAsia="宋体" w:hAnsi="Arial" w:cs="Arial"/>
                <w:color w:val="000000"/>
                <w:sz w:val="13"/>
                <w:szCs w:val="13"/>
              </w:rPr>
              <w:t>Net interest income</w:t>
            </w:r>
          </w:p>
        </w:tc>
        <w:tc>
          <w:tcPr>
            <w:tcW w:w="0" w:type="auto"/>
            <w:gridSpan w:val="2"/>
            <w:shd w:val="clear" w:color="auto" w:fill="CCEEFF"/>
            <w:tcMar>
              <w:top w:w="40" w:type="dxa"/>
              <w:left w:w="20" w:type="dxa"/>
              <w:bottom w:w="40" w:type="dxa"/>
              <w:right w:w="0" w:type="dxa"/>
            </w:tcMar>
            <w:vAlign w:val="bottom"/>
          </w:tcPr>
          <w:p w14:paraId="5EA27A33" w14:textId="77777777" w:rsidR="003C66EB" w:rsidRDefault="00D96C4E">
            <w:pPr>
              <w:jc w:val="right"/>
              <w:textAlignment w:val="bottom"/>
            </w:pPr>
            <w:r>
              <w:rPr>
                <w:rFonts w:ascii="Arial" w:eastAsia="宋体" w:hAnsi="Arial" w:cs="Arial"/>
                <w:b/>
                <w:bCs/>
                <w:color w:val="000000"/>
                <w:sz w:val="13"/>
                <w:szCs w:val="13"/>
              </w:rPr>
              <w:t>473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3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3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A36" w14:textId="77777777" w:rsidR="003C66EB" w:rsidRDefault="00D96C4E">
            <w:pPr>
              <w:jc w:val="right"/>
              <w:textAlignment w:val="bottom"/>
            </w:pPr>
            <w:r>
              <w:rPr>
                <w:rFonts w:ascii="Arial" w:eastAsia="宋体" w:hAnsi="Arial" w:cs="Arial"/>
                <w:color w:val="000000"/>
                <w:sz w:val="13"/>
                <w:szCs w:val="13"/>
              </w:rPr>
              <w:t>663 </w:t>
            </w:r>
          </w:p>
        </w:tc>
        <w:tc>
          <w:tcPr>
            <w:tcW w:w="0" w:type="auto"/>
            <w:shd w:val="clear" w:color="auto" w:fill="CCEEFF"/>
            <w:tcMar>
              <w:top w:w="40" w:type="dxa"/>
              <w:left w:w="0" w:type="dxa"/>
              <w:bottom w:w="40" w:type="dxa"/>
              <w:right w:w="20" w:type="dxa"/>
            </w:tcMar>
            <w:vAlign w:val="bottom"/>
          </w:tcPr>
          <w:p w14:paraId="5EA27A3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38" w14:textId="77777777" w:rsidR="003C66EB" w:rsidRDefault="003C66EB">
            <w:pPr>
              <w:rPr>
                <w:rFonts w:ascii="宋体"/>
              </w:rPr>
            </w:pPr>
          </w:p>
        </w:tc>
        <w:tc>
          <w:tcPr>
            <w:tcW w:w="0" w:type="auto"/>
            <w:gridSpan w:val="3"/>
            <w:shd w:val="clear" w:color="auto" w:fill="auto"/>
          </w:tcPr>
          <w:p w14:paraId="5EA27A39" w14:textId="77777777" w:rsidR="003C66EB" w:rsidRDefault="003C66EB">
            <w:pPr>
              <w:rPr>
                <w:rFonts w:ascii="宋体"/>
                <w:vanish/>
              </w:rPr>
            </w:pPr>
          </w:p>
        </w:tc>
        <w:tc>
          <w:tcPr>
            <w:tcW w:w="0" w:type="auto"/>
            <w:gridSpan w:val="3"/>
            <w:shd w:val="clear" w:color="auto" w:fill="auto"/>
          </w:tcPr>
          <w:p w14:paraId="5EA27A3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A3B" w14:textId="77777777" w:rsidR="003C66EB" w:rsidRDefault="00D96C4E">
            <w:pPr>
              <w:jc w:val="right"/>
              <w:textAlignment w:val="bottom"/>
            </w:pPr>
            <w:r>
              <w:rPr>
                <w:rFonts w:ascii="Arial" w:eastAsia="宋体" w:hAnsi="Arial" w:cs="Arial"/>
                <w:b/>
                <w:bCs/>
                <w:color w:val="000000"/>
                <w:sz w:val="13"/>
                <w:szCs w:val="13"/>
              </w:rPr>
              <w:t>(6)</w:t>
            </w:r>
          </w:p>
        </w:tc>
        <w:tc>
          <w:tcPr>
            <w:tcW w:w="0" w:type="auto"/>
            <w:shd w:val="clear" w:color="auto" w:fill="CCEEFF"/>
            <w:tcMar>
              <w:top w:w="40" w:type="dxa"/>
              <w:left w:w="0" w:type="dxa"/>
              <w:bottom w:w="40" w:type="dxa"/>
              <w:right w:w="20" w:type="dxa"/>
            </w:tcMar>
            <w:vAlign w:val="bottom"/>
          </w:tcPr>
          <w:p w14:paraId="5EA27A3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3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A3E" w14:textId="77777777" w:rsidR="003C66EB" w:rsidRDefault="00D96C4E">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5EA27A3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40" w14:textId="77777777" w:rsidR="003C66EB" w:rsidRDefault="003C66EB">
            <w:pPr>
              <w:rPr>
                <w:rFonts w:ascii="宋体"/>
              </w:rPr>
            </w:pPr>
          </w:p>
        </w:tc>
        <w:tc>
          <w:tcPr>
            <w:tcW w:w="0" w:type="auto"/>
            <w:gridSpan w:val="3"/>
            <w:shd w:val="clear" w:color="auto" w:fill="auto"/>
          </w:tcPr>
          <w:p w14:paraId="5EA27A41" w14:textId="77777777" w:rsidR="003C66EB" w:rsidRDefault="003C66EB">
            <w:pPr>
              <w:rPr>
                <w:rFonts w:ascii="宋体"/>
                <w:vanish/>
              </w:rPr>
            </w:pPr>
          </w:p>
        </w:tc>
        <w:tc>
          <w:tcPr>
            <w:tcW w:w="0" w:type="auto"/>
            <w:gridSpan w:val="3"/>
            <w:shd w:val="clear" w:color="auto" w:fill="auto"/>
          </w:tcPr>
          <w:p w14:paraId="5EA27A42"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A43"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4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4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A46"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4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48" w14:textId="77777777" w:rsidR="003C66EB" w:rsidRDefault="003C66EB">
            <w:pPr>
              <w:rPr>
                <w:rFonts w:ascii="宋体"/>
              </w:rPr>
            </w:pPr>
          </w:p>
        </w:tc>
        <w:tc>
          <w:tcPr>
            <w:tcW w:w="0" w:type="auto"/>
            <w:gridSpan w:val="3"/>
            <w:shd w:val="clear" w:color="auto" w:fill="auto"/>
          </w:tcPr>
          <w:p w14:paraId="5EA27A49" w14:textId="77777777" w:rsidR="003C66EB" w:rsidRDefault="003C66EB">
            <w:pPr>
              <w:rPr>
                <w:rFonts w:ascii="宋体"/>
                <w:vanish/>
              </w:rPr>
            </w:pPr>
          </w:p>
        </w:tc>
        <w:tc>
          <w:tcPr>
            <w:tcW w:w="0" w:type="auto"/>
            <w:gridSpan w:val="3"/>
            <w:shd w:val="clear" w:color="auto" w:fill="auto"/>
          </w:tcPr>
          <w:p w14:paraId="5EA27A4A"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A4B" w14:textId="77777777" w:rsidR="003C66EB" w:rsidRDefault="00D96C4E">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A4C"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7A4D"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A4E" w14:textId="77777777" w:rsidR="003C66EB" w:rsidRDefault="00D96C4E">
            <w:pPr>
              <w:jc w:val="right"/>
              <w:textAlignment w:val="bottom"/>
            </w:pPr>
            <w:r>
              <w:rPr>
                <w:rFonts w:ascii="Arial" w:eastAsia="宋体" w:hAnsi="Arial" w:cs="Arial"/>
                <w:color w:val="000000"/>
                <w:sz w:val="13"/>
                <w:szCs w:val="13"/>
              </w:rPr>
              <w:t>664 </w:t>
            </w:r>
          </w:p>
        </w:tc>
      </w:tr>
      <w:tr w:rsidR="003C66EB" w14:paraId="5EA27A6D" w14:textId="77777777">
        <w:tc>
          <w:tcPr>
            <w:tcW w:w="0" w:type="auto"/>
            <w:gridSpan w:val="3"/>
            <w:shd w:val="clear" w:color="auto" w:fill="FFFFFF"/>
            <w:tcMar>
              <w:top w:w="40" w:type="dxa"/>
              <w:left w:w="20" w:type="dxa"/>
              <w:bottom w:w="40" w:type="dxa"/>
              <w:right w:w="20" w:type="dxa"/>
            </w:tcMar>
            <w:vAlign w:val="bottom"/>
          </w:tcPr>
          <w:p w14:paraId="5EA27A50" w14:textId="77777777" w:rsidR="003C66EB" w:rsidRDefault="00D96C4E">
            <w:pPr>
              <w:textAlignment w:val="bottom"/>
            </w:pPr>
            <w:r>
              <w:rPr>
                <w:rFonts w:ascii="Arial" w:eastAsia="宋体" w:hAnsi="Arial" w:cs="Arial"/>
                <w:color w:val="000000"/>
                <w:sz w:val="13"/>
                <w:szCs w:val="13"/>
              </w:rPr>
              <w:t>Total other income</w:t>
            </w:r>
          </w:p>
        </w:tc>
        <w:tc>
          <w:tcPr>
            <w:tcW w:w="0" w:type="auto"/>
            <w:gridSpan w:val="2"/>
            <w:shd w:val="clear" w:color="auto" w:fill="FFFFFF"/>
            <w:tcMar>
              <w:top w:w="40" w:type="dxa"/>
              <w:left w:w="20" w:type="dxa"/>
              <w:bottom w:w="40" w:type="dxa"/>
              <w:right w:w="0" w:type="dxa"/>
            </w:tcMar>
            <w:vAlign w:val="bottom"/>
          </w:tcPr>
          <w:p w14:paraId="5EA27A51"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5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5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A54" w14:textId="77777777" w:rsidR="003C66EB" w:rsidRDefault="00D96C4E">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5EA27A5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56" w14:textId="77777777" w:rsidR="003C66EB" w:rsidRDefault="003C66EB">
            <w:pPr>
              <w:rPr>
                <w:rFonts w:ascii="宋体"/>
              </w:rPr>
            </w:pPr>
          </w:p>
        </w:tc>
        <w:tc>
          <w:tcPr>
            <w:tcW w:w="0" w:type="auto"/>
            <w:gridSpan w:val="3"/>
            <w:shd w:val="clear" w:color="auto" w:fill="auto"/>
          </w:tcPr>
          <w:p w14:paraId="5EA27A57" w14:textId="77777777" w:rsidR="003C66EB" w:rsidRDefault="003C66EB">
            <w:pPr>
              <w:rPr>
                <w:rFonts w:ascii="宋体"/>
                <w:vanish/>
              </w:rPr>
            </w:pPr>
          </w:p>
        </w:tc>
        <w:tc>
          <w:tcPr>
            <w:tcW w:w="0" w:type="auto"/>
            <w:gridSpan w:val="3"/>
            <w:shd w:val="clear" w:color="auto" w:fill="auto"/>
          </w:tcPr>
          <w:p w14:paraId="5EA27A5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A5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5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5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A5C"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5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5E" w14:textId="77777777" w:rsidR="003C66EB" w:rsidRDefault="003C66EB">
            <w:pPr>
              <w:rPr>
                <w:rFonts w:ascii="宋体"/>
              </w:rPr>
            </w:pPr>
          </w:p>
        </w:tc>
        <w:tc>
          <w:tcPr>
            <w:tcW w:w="0" w:type="auto"/>
            <w:gridSpan w:val="3"/>
            <w:shd w:val="clear" w:color="auto" w:fill="auto"/>
          </w:tcPr>
          <w:p w14:paraId="5EA27A5F" w14:textId="77777777" w:rsidR="003C66EB" w:rsidRDefault="003C66EB">
            <w:pPr>
              <w:rPr>
                <w:rFonts w:ascii="宋体"/>
                <w:vanish/>
              </w:rPr>
            </w:pPr>
          </w:p>
        </w:tc>
        <w:tc>
          <w:tcPr>
            <w:tcW w:w="0" w:type="auto"/>
            <w:gridSpan w:val="3"/>
            <w:shd w:val="clear" w:color="auto" w:fill="auto"/>
          </w:tcPr>
          <w:p w14:paraId="5EA27A60"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A61"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6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6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A64"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6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66" w14:textId="77777777" w:rsidR="003C66EB" w:rsidRDefault="003C66EB">
            <w:pPr>
              <w:rPr>
                <w:rFonts w:ascii="宋体"/>
              </w:rPr>
            </w:pPr>
          </w:p>
        </w:tc>
        <w:tc>
          <w:tcPr>
            <w:tcW w:w="0" w:type="auto"/>
            <w:gridSpan w:val="3"/>
            <w:shd w:val="clear" w:color="auto" w:fill="auto"/>
          </w:tcPr>
          <w:p w14:paraId="5EA27A67" w14:textId="77777777" w:rsidR="003C66EB" w:rsidRDefault="003C66EB">
            <w:pPr>
              <w:rPr>
                <w:rFonts w:ascii="宋体"/>
                <w:vanish/>
              </w:rPr>
            </w:pPr>
          </w:p>
        </w:tc>
        <w:tc>
          <w:tcPr>
            <w:tcW w:w="0" w:type="auto"/>
            <w:gridSpan w:val="3"/>
            <w:shd w:val="clear" w:color="auto" w:fill="auto"/>
          </w:tcPr>
          <w:p w14:paraId="5EA27A68"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A69"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6A"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7A6B"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A6C" w14:textId="77777777" w:rsidR="003C66EB" w:rsidRDefault="00D96C4E">
            <w:pPr>
              <w:jc w:val="right"/>
              <w:textAlignment w:val="bottom"/>
            </w:pPr>
            <w:r>
              <w:rPr>
                <w:rFonts w:ascii="Arial" w:eastAsia="宋体" w:hAnsi="Arial" w:cs="Arial"/>
                <w:color w:val="000000"/>
                <w:sz w:val="13"/>
                <w:szCs w:val="13"/>
              </w:rPr>
              <w:t>2 </w:t>
            </w:r>
          </w:p>
        </w:tc>
      </w:tr>
      <w:tr w:rsidR="003C66EB" w14:paraId="5EA27A8B" w14:textId="77777777">
        <w:tc>
          <w:tcPr>
            <w:tcW w:w="0" w:type="auto"/>
            <w:gridSpan w:val="3"/>
            <w:shd w:val="clear" w:color="auto" w:fill="CCEEFF"/>
            <w:tcMar>
              <w:top w:w="40" w:type="dxa"/>
              <w:left w:w="20" w:type="dxa"/>
              <w:bottom w:w="40" w:type="dxa"/>
              <w:right w:w="20" w:type="dxa"/>
            </w:tcMar>
            <w:vAlign w:val="bottom"/>
          </w:tcPr>
          <w:p w14:paraId="5EA27A6E" w14:textId="77777777" w:rsidR="003C66EB" w:rsidRDefault="00D96C4E">
            <w:pPr>
              <w:textAlignment w:val="bottom"/>
            </w:pPr>
            <w:r>
              <w:rPr>
                <w:rFonts w:ascii="Arial" w:eastAsia="宋体" w:hAnsi="Arial" w:cs="Arial"/>
                <w:b/>
                <w:bCs/>
                <w:color w:val="000000"/>
                <w:sz w:val="13"/>
                <w:szCs w:val="13"/>
              </w:rPr>
              <w:t>Total revenue</w:t>
            </w:r>
            <w:r>
              <w:rPr>
                <w:rFonts w:ascii="Arial" w:eastAsia="宋体" w:hAnsi="Arial" w:cs="Arial"/>
                <w:b/>
                <w:bCs/>
                <w:color w:val="000000"/>
                <w:sz w:val="8"/>
                <w:szCs w:val="8"/>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6F" w14:textId="77777777" w:rsidR="003C66EB" w:rsidRDefault="00D96C4E">
            <w:pPr>
              <w:jc w:val="right"/>
              <w:textAlignment w:val="bottom"/>
            </w:pPr>
            <w:r>
              <w:rPr>
                <w:rFonts w:ascii="Arial" w:eastAsia="宋体" w:hAnsi="Arial" w:cs="Arial"/>
                <w:b/>
                <w:bCs/>
                <w:color w:val="000000"/>
                <w:sz w:val="13"/>
                <w:szCs w:val="13"/>
              </w:rPr>
              <w:t>2,444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7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7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72" w14:textId="77777777" w:rsidR="003C66EB" w:rsidRDefault="00D96C4E">
            <w:pPr>
              <w:jc w:val="right"/>
              <w:textAlignment w:val="bottom"/>
            </w:pPr>
            <w:r>
              <w:rPr>
                <w:rFonts w:ascii="Arial" w:eastAsia="宋体" w:hAnsi="Arial" w:cs="Arial"/>
                <w:color w:val="000000"/>
                <w:sz w:val="13"/>
                <w:szCs w:val="13"/>
              </w:rPr>
              <w:t>2,612 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7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74" w14:textId="77777777" w:rsidR="003C66EB" w:rsidRDefault="003C66EB">
            <w:pPr>
              <w:rPr>
                <w:rFonts w:ascii="宋体"/>
              </w:rPr>
            </w:pPr>
          </w:p>
        </w:tc>
        <w:tc>
          <w:tcPr>
            <w:tcW w:w="0" w:type="auto"/>
            <w:gridSpan w:val="3"/>
            <w:shd w:val="clear" w:color="auto" w:fill="auto"/>
          </w:tcPr>
          <w:p w14:paraId="5EA27A75" w14:textId="77777777" w:rsidR="003C66EB" w:rsidRDefault="003C66EB">
            <w:pPr>
              <w:rPr>
                <w:rFonts w:ascii="宋体"/>
                <w:vanish/>
              </w:rPr>
            </w:pPr>
          </w:p>
        </w:tc>
        <w:tc>
          <w:tcPr>
            <w:tcW w:w="0" w:type="auto"/>
            <w:gridSpan w:val="3"/>
            <w:shd w:val="clear" w:color="auto" w:fill="auto"/>
          </w:tcPr>
          <w:p w14:paraId="5EA27A76"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77" w14:textId="77777777" w:rsidR="003C66EB" w:rsidRDefault="00D96C4E">
            <w:pPr>
              <w:jc w:val="right"/>
              <w:textAlignment w:val="bottom"/>
            </w:pPr>
            <w:r>
              <w:rPr>
                <w:rFonts w:ascii="Arial" w:eastAsia="宋体" w:hAnsi="Arial" w:cs="Arial"/>
                <w:b/>
                <w:bCs/>
                <w:color w:val="000000"/>
                <w:sz w:val="13"/>
                <w:szCs w:val="13"/>
              </w:rPr>
              <w:t>506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7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79"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7A" w14:textId="77777777" w:rsidR="003C66EB" w:rsidRDefault="00D96C4E">
            <w:pPr>
              <w:jc w:val="right"/>
              <w:textAlignment w:val="bottom"/>
            </w:pPr>
            <w:r>
              <w:rPr>
                <w:rFonts w:ascii="Arial" w:eastAsia="宋体" w:hAnsi="Arial" w:cs="Arial"/>
                <w:color w:val="000000"/>
                <w:sz w:val="13"/>
                <w:szCs w:val="13"/>
              </w:rPr>
              <w:t>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7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7C" w14:textId="77777777" w:rsidR="003C66EB" w:rsidRDefault="003C66EB">
            <w:pPr>
              <w:rPr>
                <w:rFonts w:ascii="宋体"/>
              </w:rPr>
            </w:pPr>
          </w:p>
        </w:tc>
        <w:tc>
          <w:tcPr>
            <w:tcW w:w="0" w:type="auto"/>
            <w:gridSpan w:val="3"/>
            <w:shd w:val="clear" w:color="auto" w:fill="auto"/>
          </w:tcPr>
          <w:p w14:paraId="5EA27A7D" w14:textId="77777777" w:rsidR="003C66EB" w:rsidRDefault="003C66EB">
            <w:pPr>
              <w:rPr>
                <w:rFonts w:ascii="宋体"/>
                <w:vanish/>
              </w:rPr>
            </w:pPr>
          </w:p>
        </w:tc>
        <w:tc>
          <w:tcPr>
            <w:tcW w:w="0" w:type="auto"/>
            <w:gridSpan w:val="3"/>
            <w:shd w:val="clear" w:color="auto" w:fill="auto"/>
          </w:tcPr>
          <w:p w14:paraId="5EA27A7E"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7F"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8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81" w14:textId="77777777" w:rsidR="003C66EB" w:rsidRDefault="003C66E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82" w14:textId="77777777" w:rsidR="003C66EB" w:rsidRDefault="00D96C4E">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8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A84" w14:textId="77777777" w:rsidR="003C66EB" w:rsidRDefault="003C66EB">
            <w:pPr>
              <w:rPr>
                <w:rFonts w:ascii="宋体"/>
              </w:rPr>
            </w:pPr>
          </w:p>
        </w:tc>
        <w:tc>
          <w:tcPr>
            <w:tcW w:w="0" w:type="auto"/>
            <w:gridSpan w:val="3"/>
            <w:shd w:val="clear" w:color="auto" w:fill="auto"/>
          </w:tcPr>
          <w:p w14:paraId="5EA27A85" w14:textId="77777777" w:rsidR="003C66EB" w:rsidRDefault="003C66EB">
            <w:pPr>
              <w:rPr>
                <w:rFonts w:ascii="宋体"/>
                <w:vanish/>
              </w:rPr>
            </w:pPr>
          </w:p>
        </w:tc>
        <w:tc>
          <w:tcPr>
            <w:tcW w:w="0" w:type="auto"/>
            <w:gridSpan w:val="3"/>
            <w:shd w:val="clear" w:color="auto" w:fill="auto"/>
          </w:tcPr>
          <w:p w14:paraId="5EA27A86" w14:textId="77777777" w:rsidR="003C66EB" w:rsidRDefault="003C66E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A27A87" w14:textId="77777777" w:rsidR="003C66EB" w:rsidRDefault="00D96C4E">
            <w:pPr>
              <w:jc w:val="right"/>
              <w:textAlignment w:val="bottom"/>
            </w:pPr>
            <w:r>
              <w:rPr>
                <w:rFonts w:ascii="Arial" w:eastAsia="宋体" w:hAnsi="Arial" w:cs="Arial"/>
                <w:b/>
                <w:bCs/>
                <w:color w:val="000000"/>
                <w:sz w:val="13"/>
                <w:szCs w:val="13"/>
              </w:rPr>
              <w:t>2,950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A88"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7A89"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A8A" w14:textId="77777777" w:rsidR="003C66EB" w:rsidRDefault="00D96C4E">
            <w:pPr>
              <w:jc w:val="right"/>
              <w:textAlignment w:val="bottom"/>
            </w:pPr>
            <w:r>
              <w:rPr>
                <w:rFonts w:ascii="Arial" w:eastAsia="宋体" w:hAnsi="Arial" w:cs="Arial"/>
                <w:color w:val="000000"/>
                <w:sz w:val="13"/>
                <w:szCs w:val="13"/>
              </w:rPr>
              <w:t>3,065 </w:t>
            </w:r>
          </w:p>
        </w:tc>
      </w:tr>
      <w:tr w:rsidR="003C66EB" w14:paraId="5EA27AA9" w14:textId="77777777">
        <w:tc>
          <w:tcPr>
            <w:tcW w:w="0" w:type="auto"/>
            <w:gridSpan w:val="3"/>
            <w:shd w:val="clear" w:color="auto" w:fill="FFFFFF"/>
            <w:tcMar>
              <w:top w:w="40" w:type="dxa"/>
              <w:left w:w="20" w:type="dxa"/>
              <w:bottom w:w="40" w:type="dxa"/>
              <w:right w:w="20" w:type="dxa"/>
            </w:tcMar>
            <w:vAlign w:val="bottom"/>
          </w:tcPr>
          <w:p w14:paraId="5EA27A8C" w14:textId="77777777" w:rsidR="003C66EB" w:rsidRDefault="00D96C4E">
            <w:pPr>
              <w:textAlignment w:val="bottom"/>
            </w:pPr>
            <w:r>
              <w:rPr>
                <w:rFonts w:ascii="Arial" w:eastAsia="宋体" w:hAnsi="Arial" w:cs="Arial"/>
                <w:color w:val="000000"/>
                <w:sz w:val="13"/>
                <w:szCs w:val="13"/>
              </w:rPr>
              <w:t>Provision for credit losses</w:t>
            </w:r>
          </w:p>
        </w:tc>
        <w:tc>
          <w:tcPr>
            <w:tcW w:w="0" w:type="auto"/>
            <w:gridSpan w:val="2"/>
            <w:shd w:val="clear" w:color="auto" w:fill="FFFFFF"/>
            <w:tcMar>
              <w:top w:w="40" w:type="dxa"/>
              <w:left w:w="20" w:type="dxa"/>
              <w:bottom w:w="40" w:type="dxa"/>
              <w:right w:w="0" w:type="dxa"/>
            </w:tcMar>
            <w:vAlign w:val="bottom"/>
          </w:tcPr>
          <w:p w14:paraId="5EA27A8D" w14:textId="77777777" w:rsidR="003C66EB" w:rsidRDefault="00D96C4E">
            <w:pPr>
              <w:jc w:val="right"/>
              <w:textAlignment w:val="bottom"/>
            </w:pPr>
            <w:r>
              <w:rPr>
                <w:rFonts w:ascii="Arial" w:eastAsia="宋体" w:hAnsi="Arial" w:cs="Arial"/>
                <w:b/>
                <w:bCs/>
                <w:color w:val="000000"/>
                <w:sz w:val="13"/>
                <w:szCs w:val="13"/>
              </w:rPr>
              <w:t>(9)</w:t>
            </w:r>
          </w:p>
        </w:tc>
        <w:tc>
          <w:tcPr>
            <w:tcW w:w="0" w:type="auto"/>
            <w:shd w:val="clear" w:color="auto" w:fill="FFFFFF"/>
            <w:tcMar>
              <w:top w:w="40" w:type="dxa"/>
              <w:left w:w="0" w:type="dxa"/>
              <w:bottom w:w="40" w:type="dxa"/>
              <w:right w:w="20" w:type="dxa"/>
            </w:tcMar>
            <w:vAlign w:val="bottom"/>
          </w:tcPr>
          <w:p w14:paraId="5EA27A8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8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A90" w14:textId="77777777" w:rsidR="003C66EB" w:rsidRDefault="00D96C4E">
            <w:pPr>
              <w:jc w:val="right"/>
              <w:textAlignment w:val="bottom"/>
            </w:pPr>
            <w:r>
              <w:rPr>
                <w:rFonts w:ascii="Arial" w:eastAsia="宋体" w:hAnsi="Arial" w:cs="Arial"/>
                <w:color w:val="000000"/>
                <w:sz w:val="13"/>
                <w:szCs w:val="13"/>
              </w:rPr>
              <w:t>36 </w:t>
            </w:r>
          </w:p>
        </w:tc>
        <w:tc>
          <w:tcPr>
            <w:tcW w:w="0" w:type="auto"/>
            <w:shd w:val="clear" w:color="auto" w:fill="FFFFFF"/>
            <w:tcMar>
              <w:top w:w="40" w:type="dxa"/>
              <w:left w:w="0" w:type="dxa"/>
              <w:bottom w:w="40" w:type="dxa"/>
              <w:right w:w="20" w:type="dxa"/>
            </w:tcMar>
            <w:vAlign w:val="bottom"/>
          </w:tcPr>
          <w:p w14:paraId="5EA27A9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92" w14:textId="77777777" w:rsidR="003C66EB" w:rsidRDefault="003C66EB">
            <w:pPr>
              <w:rPr>
                <w:rFonts w:ascii="宋体"/>
              </w:rPr>
            </w:pPr>
          </w:p>
        </w:tc>
        <w:tc>
          <w:tcPr>
            <w:tcW w:w="0" w:type="auto"/>
            <w:gridSpan w:val="3"/>
            <w:shd w:val="clear" w:color="auto" w:fill="auto"/>
          </w:tcPr>
          <w:p w14:paraId="5EA27A93" w14:textId="77777777" w:rsidR="003C66EB" w:rsidRDefault="003C66EB">
            <w:pPr>
              <w:rPr>
                <w:rFonts w:ascii="宋体"/>
                <w:vanish/>
              </w:rPr>
            </w:pPr>
          </w:p>
        </w:tc>
        <w:tc>
          <w:tcPr>
            <w:tcW w:w="0" w:type="auto"/>
            <w:gridSpan w:val="3"/>
            <w:shd w:val="clear" w:color="auto" w:fill="auto"/>
          </w:tcPr>
          <w:p w14:paraId="5EA27A94"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A95"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96"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9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A98"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9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9A" w14:textId="77777777" w:rsidR="003C66EB" w:rsidRDefault="003C66EB">
            <w:pPr>
              <w:rPr>
                <w:rFonts w:ascii="宋体"/>
              </w:rPr>
            </w:pPr>
          </w:p>
        </w:tc>
        <w:tc>
          <w:tcPr>
            <w:tcW w:w="0" w:type="auto"/>
            <w:gridSpan w:val="3"/>
            <w:shd w:val="clear" w:color="auto" w:fill="auto"/>
          </w:tcPr>
          <w:p w14:paraId="5EA27A9B" w14:textId="77777777" w:rsidR="003C66EB" w:rsidRDefault="003C66EB">
            <w:pPr>
              <w:rPr>
                <w:rFonts w:ascii="宋体"/>
                <w:vanish/>
              </w:rPr>
            </w:pPr>
          </w:p>
        </w:tc>
        <w:tc>
          <w:tcPr>
            <w:tcW w:w="0" w:type="auto"/>
            <w:gridSpan w:val="3"/>
            <w:shd w:val="clear" w:color="auto" w:fill="auto"/>
          </w:tcPr>
          <w:p w14:paraId="5EA27A9C"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A9D" w14:textId="77777777" w:rsidR="003C66EB" w:rsidRDefault="00D96C4E">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9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9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AA0" w14:textId="77777777" w:rsidR="003C66EB" w:rsidRDefault="00D96C4E">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A27AA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AA2" w14:textId="77777777" w:rsidR="003C66EB" w:rsidRDefault="003C66EB">
            <w:pPr>
              <w:rPr>
                <w:rFonts w:ascii="宋体"/>
              </w:rPr>
            </w:pPr>
          </w:p>
        </w:tc>
        <w:tc>
          <w:tcPr>
            <w:tcW w:w="0" w:type="auto"/>
            <w:gridSpan w:val="3"/>
            <w:shd w:val="clear" w:color="auto" w:fill="auto"/>
          </w:tcPr>
          <w:p w14:paraId="5EA27AA3" w14:textId="77777777" w:rsidR="003C66EB" w:rsidRDefault="003C66EB">
            <w:pPr>
              <w:rPr>
                <w:rFonts w:ascii="宋体"/>
                <w:vanish/>
              </w:rPr>
            </w:pPr>
          </w:p>
        </w:tc>
        <w:tc>
          <w:tcPr>
            <w:tcW w:w="0" w:type="auto"/>
            <w:gridSpan w:val="3"/>
            <w:shd w:val="clear" w:color="auto" w:fill="auto"/>
          </w:tcPr>
          <w:p w14:paraId="5EA27AA4" w14:textId="77777777" w:rsidR="003C66EB" w:rsidRDefault="003C66EB">
            <w:pPr>
              <w:rPr>
                <w:rFonts w:ascii="宋体"/>
                <w:vanish/>
              </w:rPr>
            </w:pPr>
          </w:p>
        </w:tc>
        <w:tc>
          <w:tcPr>
            <w:tcW w:w="0" w:type="auto"/>
            <w:gridSpan w:val="2"/>
            <w:shd w:val="clear" w:color="auto" w:fill="FFFFFF"/>
            <w:tcMar>
              <w:top w:w="40" w:type="dxa"/>
              <w:left w:w="20" w:type="dxa"/>
              <w:bottom w:w="40" w:type="dxa"/>
              <w:right w:w="0" w:type="dxa"/>
            </w:tcMar>
            <w:vAlign w:val="bottom"/>
          </w:tcPr>
          <w:p w14:paraId="5EA27AA5" w14:textId="77777777" w:rsidR="003C66EB" w:rsidRDefault="00D96C4E">
            <w:pPr>
              <w:jc w:val="right"/>
              <w:textAlignment w:val="bottom"/>
            </w:pPr>
            <w:r>
              <w:rPr>
                <w:rFonts w:ascii="Arial" w:eastAsia="宋体" w:hAnsi="Arial" w:cs="Arial"/>
                <w:b/>
                <w:bCs/>
                <w:color w:val="000000"/>
                <w:sz w:val="13"/>
                <w:szCs w:val="13"/>
              </w:rPr>
              <w:t>(9)</w:t>
            </w:r>
          </w:p>
        </w:tc>
        <w:tc>
          <w:tcPr>
            <w:tcW w:w="0" w:type="auto"/>
            <w:shd w:val="clear" w:color="auto" w:fill="FFFFFF"/>
            <w:tcMar>
              <w:top w:w="40" w:type="dxa"/>
              <w:left w:w="0" w:type="dxa"/>
              <w:bottom w:w="40" w:type="dxa"/>
              <w:right w:w="20" w:type="dxa"/>
            </w:tcMar>
            <w:vAlign w:val="bottom"/>
          </w:tcPr>
          <w:p w14:paraId="5EA27AA6"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7AA7"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7AA8" w14:textId="77777777" w:rsidR="003C66EB" w:rsidRDefault="00D96C4E">
            <w:pPr>
              <w:jc w:val="right"/>
              <w:textAlignment w:val="bottom"/>
            </w:pPr>
            <w:r>
              <w:rPr>
                <w:rFonts w:ascii="Arial" w:eastAsia="宋体" w:hAnsi="Arial" w:cs="Arial"/>
                <w:color w:val="000000"/>
                <w:sz w:val="13"/>
                <w:szCs w:val="13"/>
              </w:rPr>
              <w:t>36 </w:t>
            </w:r>
          </w:p>
        </w:tc>
      </w:tr>
      <w:tr w:rsidR="003C66EB" w14:paraId="5EA27AC0" w14:textId="77777777">
        <w:trPr>
          <w:hidden/>
        </w:trPr>
        <w:tc>
          <w:tcPr>
            <w:tcW w:w="0" w:type="auto"/>
            <w:gridSpan w:val="3"/>
            <w:shd w:val="clear" w:color="auto" w:fill="auto"/>
          </w:tcPr>
          <w:p w14:paraId="5EA27AAA" w14:textId="77777777" w:rsidR="003C66EB" w:rsidRDefault="003C66EB">
            <w:pPr>
              <w:rPr>
                <w:rFonts w:ascii="宋体"/>
                <w:vanish/>
              </w:rPr>
            </w:pPr>
          </w:p>
        </w:tc>
        <w:tc>
          <w:tcPr>
            <w:tcW w:w="0" w:type="auto"/>
            <w:gridSpan w:val="3"/>
            <w:shd w:val="clear" w:color="auto" w:fill="auto"/>
          </w:tcPr>
          <w:p w14:paraId="5EA27AAB" w14:textId="77777777" w:rsidR="003C66EB" w:rsidRDefault="003C66EB">
            <w:pPr>
              <w:rPr>
                <w:rFonts w:ascii="宋体"/>
                <w:vanish/>
              </w:rPr>
            </w:pPr>
          </w:p>
        </w:tc>
        <w:tc>
          <w:tcPr>
            <w:tcW w:w="0" w:type="auto"/>
            <w:gridSpan w:val="3"/>
            <w:shd w:val="clear" w:color="auto" w:fill="auto"/>
          </w:tcPr>
          <w:p w14:paraId="5EA27AAC" w14:textId="77777777" w:rsidR="003C66EB" w:rsidRDefault="003C66EB">
            <w:pPr>
              <w:rPr>
                <w:rFonts w:ascii="宋体"/>
                <w:vanish/>
              </w:rPr>
            </w:pPr>
          </w:p>
        </w:tc>
        <w:tc>
          <w:tcPr>
            <w:tcW w:w="0" w:type="auto"/>
            <w:gridSpan w:val="3"/>
            <w:shd w:val="clear" w:color="auto" w:fill="auto"/>
          </w:tcPr>
          <w:p w14:paraId="5EA27AAD" w14:textId="77777777" w:rsidR="003C66EB" w:rsidRDefault="003C66EB">
            <w:pPr>
              <w:rPr>
                <w:rFonts w:ascii="宋体"/>
                <w:vanish/>
              </w:rPr>
            </w:pPr>
          </w:p>
        </w:tc>
        <w:tc>
          <w:tcPr>
            <w:tcW w:w="0" w:type="auto"/>
            <w:gridSpan w:val="3"/>
            <w:shd w:val="clear" w:color="auto" w:fill="auto"/>
          </w:tcPr>
          <w:p w14:paraId="5EA27AAE" w14:textId="77777777" w:rsidR="003C66EB" w:rsidRDefault="003C66EB">
            <w:pPr>
              <w:rPr>
                <w:rFonts w:ascii="宋体"/>
                <w:vanish/>
              </w:rPr>
            </w:pPr>
          </w:p>
        </w:tc>
        <w:tc>
          <w:tcPr>
            <w:tcW w:w="0" w:type="auto"/>
            <w:gridSpan w:val="3"/>
            <w:shd w:val="clear" w:color="auto" w:fill="auto"/>
          </w:tcPr>
          <w:p w14:paraId="5EA27AAF" w14:textId="77777777" w:rsidR="003C66EB" w:rsidRDefault="003C66EB">
            <w:pPr>
              <w:rPr>
                <w:rFonts w:ascii="宋体"/>
                <w:vanish/>
              </w:rPr>
            </w:pPr>
          </w:p>
        </w:tc>
        <w:tc>
          <w:tcPr>
            <w:tcW w:w="0" w:type="auto"/>
            <w:gridSpan w:val="3"/>
            <w:shd w:val="clear" w:color="auto" w:fill="auto"/>
          </w:tcPr>
          <w:p w14:paraId="5EA27AB0" w14:textId="77777777" w:rsidR="003C66EB" w:rsidRDefault="003C66EB">
            <w:pPr>
              <w:rPr>
                <w:rFonts w:ascii="宋体"/>
                <w:vanish/>
              </w:rPr>
            </w:pPr>
          </w:p>
        </w:tc>
        <w:tc>
          <w:tcPr>
            <w:tcW w:w="0" w:type="auto"/>
            <w:gridSpan w:val="3"/>
            <w:shd w:val="clear" w:color="auto" w:fill="auto"/>
          </w:tcPr>
          <w:p w14:paraId="5EA27AB1" w14:textId="77777777" w:rsidR="003C66EB" w:rsidRDefault="003C66EB">
            <w:pPr>
              <w:rPr>
                <w:rFonts w:ascii="宋体"/>
                <w:vanish/>
              </w:rPr>
            </w:pPr>
          </w:p>
        </w:tc>
        <w:tc>
          <w:tcPr>
            <w:tcW w:w="0" w:type="auto"/>
            <w:gridSpan w:val="3"/>
            <w:shd w:val="clear" w:color="auto" w:fill="auto"/>
          </w:tcPr>
          <w:p w14:paraId="5EA27AB2" w14:textId="77777777" w:rsidR="003C66EB" w:rsidRDefault="003C66EB">
            <w:pPr>
              <w:rPr>
                <w:rFonts w:ascii="宋体"/>
                <w:vanish/>
              </w:rPr>
            </w:pPr>
          </w:p>
        </w:tc>
        <w:tc>
          <w:tcPr>
            <w:tcW w:w="0" w:type="auto"/>
            <w:gridSpan w:val="3"/>
            <w:shd w:val="clear" w:color="auto" w:fill="auto"/>
          </w:tcPr>
          <w:p w14:paraId="5EA27AB3" w14:textId="77777777" w:rsidR="003C66EB" w:rsidRDefault="003C66EB">
            <w:pPr>
              <w:rPr>
                <w:rFonts w:ascii="宋体"/>
                <w:vanish/>
              </w:rPr>
            </w:pPr>
          </w:p>
        </w:tc>
        <w:tc>
          <w:tcPr>
            <w:tcW w:w="0" w:type="auto"/>
            <w:gridSpan w:val="3"/>
            <w:shd w:val="clear" w:color="auto" w:fill="auto"/>
          </w:tcPr>
          <w:p w14:paraId="5EA27AB4" w14:textId="77777777" w:rsidR="003C66EB" w:rsidRDefault="003C66EB">
            <w:pPr>
              <w:rPr>
                <w:rFonts w:ascii="宋体"/>
                <w:vanish/>
              </w:rPr>
            </w:pPr>
          </w:p>
        </w:tc>
        <w:tc>
          <w:tcPr>
            <w:tcW w:w="0" w:type="auto"/>
            <w:gridSpan w:val="3"/>
            <w:shd w:val="clear" w:color="auto" w:fill="auto"/>
          </w:tcPr>
          <w:p w14:paraId="5EA27AB5" w14:textId="77777777" w:rsidR="003C66EB" w:rsidRDefault="003C66EB">
            <w:pPr>
              <w:rPr>
                <w:rFonts w:ascii="宋体"/>
                <w:vanish/>
              </w:rPr>
            </w:pPr>
          </w:p>
        </w:tc>
        <w:tc>
          <w:tcPr>
            <w:tcW w:w="0" w:type="auto"/>
            <w:gridSpan w:val="3"/>
            <w:shd w:val="clear" w:color="auto" w:fill="auto"/>
          </w:tcPr>
          <w:p w14:paraId="5EA27AB6" w14:textId="77777777" w:rsidR="003C66EB" w:rsidRDefault="003C66EB">
            <w:pPr>
              <w:rPr>
                <w:rFonts w:ascii="宋体"/>
                <w:vanish/>
              </w:rPr>
            </w:pPr>
          </w:p>
        </w:tc>
        <w:tc>
          <w:tcPr>
            <w:tcW w:w="0" w:type="auto"/>
            <w:gridSpan w:val="3"/>
            <w:shd w:val="clear" w:color="auto" w:fill="auto"/>
          </w:tcPr>
          <w:p w14:paraId="5EA27AB7" w14:textId="77777777" w:rsidR="003C66EB" w:rsidRDefault="003C66EB">
            <w:pPr>
              <w:rPr>
                <w:rFonts w:ascii="宋体"/>
                <w:vanish/>
              </w:rPr>
            </w:pPr>
          </w:p>
        </w:tc>
        <w:tc>
          <w:tcPr>
            <w:tcW w:w="0" w:type="auto"/>
            <w:gridSpan w:val="3"/>
            <w:shd w:val="clear" w:color="auto" w:fill="auto"/>
          </w:tcPr>
          <w:p w14:paraId="5EA27AB8" w14:textId="77777777" w:rsidR="003C66EB" w:rsidRDefault="003C66EB">
            <w:pPr>
              <w:rPr>
                <w:rFonts w:ascii="宋体"/>
                <w:vanish/>
              </w:rPr>
            </w:pPr>
          </w:p>
        </w:tc>
        <w:tc>
          <w:tcPr>
            <w:tcW w:w="0" w:type="auto"/>
            <w:gridSpan w:val="3"/>
            <w:shd w:val="clear" w:color="auto" w:fill="auto"/>
          </w:tcPr>
          <w:p w14:paraId="5EA27AB9" w14:textId="77777777" w:rsidR="003C66EB" w:rsidRDefault="003C66EB">
            <w:pPr>
              <w:rPr>
                <w:rFonts w:ascii="宋体"/>
                <w:vanish/>
              </w:rPr>
            </w:pPr>
          </w:p>
        </w:tc>
        <w:tc>
          <w:tcPr>
            <w:tcW w:w="0" w:type="auto"/>
            <w:gridSpan w:val="3"/>
            <w:shd w:val="clear" w:color="auto" w:fill="auto"/>
          </w:tcPr>
          <w:p w14:paraId="5EA27ABA" w14:textId="77777777" w:rsidR="003C66EB" w:rsidRDefault="003C66EB">
            <w:pPr>
              <w:rPr>
                <w:rFonts w:ascii="宋体"/>
                <w:vanish/>
              </w:rPr>
            </w:pPr>
          </w:p>
        </w:tc>
        <w:tc>
          <w:tcPr>
            <w:tcW w:w="0" w:type="auto"/>
            <w:gridSpan w:val="3"/>
            <w:shd w:val="clear" w:color="auto" w:fill="auto"/>
          </w:tcPr>
          <w:p w14:paraId="5EA27ABB" w14:textId="77777777" w:rsidR="003C66EB" w:rsidRDefault="003C66EB">
            <w:pPr>
              <w:rPr>
                <w:rFonts w:ascii="宋体"/>
                <w:vanish/>
              </w:rPr>
            </w:pPr>
          </w:p>
        </w:tc>
        <w:tc>
          <w:tcPr>
            <w:tcW w:w="0" w:type="auto"/>
            <w:gridSpan w:val="3"/>
            <w:shd w:val="clear" w:color="auto" w:fill="auto"/>
          </w:tcPr>
          <w:p w14:paraId="5EA27ABC" w14:textId="77777777" w:rsidR="003C66EB" w:rsidRDefault="003C66EB">
            <w:pPr>
              <w:rPr>
                <w:rFonts w:ascii="宋体"/>
                <w:vanish/>
              </w:rPr>
            </w:pPr>
          </w:p>
        </w:tc>
        <w:tc>
          <w:tcPr>
            <w:tcW w:w="0" w:type="auto"/>
            <w:gridSpan w:val="3"/>
            <w:shd w:val="clear" w:color="auto" w:fill="auto"/>
          </w:tcPr>
          <w:p w14:paraId="5EA27ABD" w14:textId="77777777" w:rsidR="003C66EB" w:rsidRDefault="003C66EB">
            <w:pPr>
              <w:rPr>
                <w:rFonts w:ascii="宋体"/>
                <w:vanish/>
              </w:rPr>
            </w:pPr>
          </w:p>
        </w:tc>
        <w:tc>
          <w:tcPr>
            <w:tcW w:w="0" w:type="auto"/>
            <w:gridSpan w:val="2"/>
            <w:shd w:val="clear" w:color="auto" w:fill="auto"/>
          </w:tcPr>
          <w:p w14:paraId="5EA27ABE" w14:textId="77777777" w:rsidR="003C66EB" w:rsidRDefault="003C66EB">
            <w:pPr>
              <w:rPr>
                <w:rFonts w:ascii="宋体"/>
                <w:vanish/>
              </w:rPr>
            </w:pPr>
          </w:p>
        </w:tc>
        <w:tc>
          <w:tcPr>
            <w:tcW w:w="0" w:type="auto"/>
            <w:shd w:val="clear" w:color="auto" w:fill="auto"/>
          </w:tcPr>
          <w:p w14:paraId="5EA27ABF" w14:textId="77777777" w:rsidR="003C66EB" w:rsidRDefault="003C66EB">
            <w:pPr>
              <w:rPr>
                <w:rFonts w:ascii="宋体"/>
                <w:vanish/>
              </w:rPr>
            </w:pPr>
          </w:p>
        </w:tc>
      </w:tr>
      <w:tr w:rsidR="003C66EB" w14:paraId="5EA27AD7" w14:textId="77777777">
        <w:trPr>
          <w:hidden/>
        </w:trPr>
        <w:tc>
          <w:tcPr>
            <w:tcW w:w="0" w:type="auto"/>
            <w:gridSpan w:val="3"/>
            <w:shd w:val="clear" w:color="auto" w:fill="auto"/>
          </w:tcPr>
          <w:p w14:paraId="5EA27AC1" w14:textId="77777777" w:rsidR="003C66EB" w:rsidRDefault="003C66EB">
            <w:pPr>
              <w:rPr>
                <w:rFonts w:ascii="宋体"/>
                <w:vanish/>
              </w:rPr>
            </w:pPr>
          </w:p>
        </w:tc>
        <w:tc>
          <w:tcPr>
            <w:tcW w:w="0" w:type="auto"/>
            <w:gridSpan w:val="3"/>
            <w:shd w:val="clear" w:color="auto" w:fill="auto"/>
          </w:tcPr>
          <w:p w14:paraId="5EA27AC2" w14:textId="77777777" w:rsidR="003C66EB" w:rsidRDefault="003C66EB">
            <w:pPr>
              <w:rPr>
                <w:rFonts w:ascii="宋体"/>
                <w:vanish/>
              </w:rPr>
            </w:pPr>
          </w:p>
        </w:tc>
        <w:tc>
          <w:tcPr>
            <w:tcW w:w="0" w:type="auto"/>
            <w:gridSpan w:val="3"/>
            <w:shd w:val="clear" w:color="auto" w:fill="auto"/>
          </w:tcPr>
          <w:p w14:paraId="5EA27AC3" w14:textId="77777777" w:rsidR="003C66EB" w:rsidRDefault="003C66EB">
            <w:pPr>
              <w:rPr>
                <w:rFonts w:ascii="宋体"/>
                <w:vanish/>
              </w:rPr>
            </w:pPr>
          </w:p>
        </w:tc>
        <w:tc>
          <w:tcPr>
            <w:tcW w:w="0" w:type="auto"/>
            <w:gridSpan w:val="3"/>
            <w:shd w:val="clear" w:color="auto" w:fill="auto"/>
          </w:tcPr>
          <w:p w14:paraId="5EA27AC4" w14:textId="77777777" w:rsidR="003C66EB" w:rsidRDefault="003C66EB">
            <w:pPr>
              <w:rPr>
                <w:rFonts w:ascii="宋体"/>
                <w:vanish/>
              </w:rPr>
            </w:pPr>
          </w:p>
        </w:tc>
        <w:tc>
          <w:tcPr>
            <w:tcW w:w="0" w:type="auto"/>
            <w:gridSpan w:val="3"/>
            <w:shd w:val="clear" w:color="auto" w:fill="auto"/>
          </w:tcPr>
          <w:p w14:paraId="5EA27AC5" w14:textId="77777777" w:rsidR="003C66EB" w:rsidRDefault="003C66EB">
            <w:pPr>
              <w:rPr>
                <w:rFonts w:ascii="宋体"/>
                <w:vanish/>
              </w:rPr>
            </w:pPr>
          </w:p>
        </w:tc>
        <w:tc>
          <w:tcPr>
            <w:tcW w:w="0" w:type="auto"/>
            <w:gridSpan w:val="3"/>
            <w:shd w:val="clear" w:color="auto" w:fill="auto"/>
          </w:tcPr>
          <w:p w14:paraId="5EA27AC6" w14:textId="77777777" w:rsidR="003C66EB" w:rsidRDefault="003C66EB">
            <w:pPr>
              <w:rPr>
                <w:rFonts w:ascii="宋体"/>
                <w:vanish/>
              </w:rPr>
            </w:pPr>
          </w:p>
        </w:tc>
        <w:tc>
          <w:tcPr>
            <w:tcW w:w="0" w:type="auto"/>
            <w:gridSpan w:val="3"/>
            <w:shd w:val="clear" w:color="auto" w:fill="auto"/>
          </w:tcPr>
          <w:p w14:paraId="5EA27AC7" w14:textId="77777777" w:rsidR="003C66EB" w:rsidRDefault="003C66EB">
            <w:pPr>
              <w:rPr>
                <w:rFonts w:ascii="宋体"/>
                <w:vanish/>
              </w:rPr>
            </w:pPr>
          </w:p>
        </w:tc>
        <w:tc>
          <w:tcPr>
            <w:tcW w:w="0" w:type="auto"/>
            <w:gridSpan w:val="3"/>
            <w:shd w:val="clear" w:color="auto" w:fill="auto"/>
          </w:tcPr>
          <w:p w14:paraId="5EA27AC8" w14:textId="77777777" w:rsidR="003C66EB" w:rsidRDefault="003C66EB">
            <w:pPr>
              <w:rPr>
                <w:rFonts w:ascii="宋体"/>
                <w:vanish/>
              </w:rPr>
            </w:pPr>
          </w:p>
        </w:tc>
        <w:tc>
          <w:tcPr>
            <w:tcW w:w="0" w:type="auto"/>
            <w:gridSpan w:val="3"/>
            <w:shd w:val="clear" w:color="auto" w:fill="auto"/>
          </w:tcPr>
          <w:p w14:paraId="5EA27AC9" w14:textId="77777777" w:rsidR="003C66EB" w:rsidRDefault="003C66EB">
            <w:pPr>
              <w:rPr>
                <w:rFonts w:ascii="宋体"/>
                <w:vanish/>
              </w:rPr>
            </w:pPr>
          </w:p>
        </w:tc>
        <w:tc>
          <w:tcPr>
            <w:tcW w:w="0" w:type="auto"/>
            <w:gridSpan w:val="3"/>
            <w:shd w:val="clear" w:color="auto" w:fill="auto"/>
          </w:tcPr>
          <w:p w14:paraId="5EA27ACA" w14:textId="77777777" w:rsidR="003C66EB" w:rsidRDefault="003C66EB">
            <w:pPr>
              <w:rPr>
                <w:rFonts w:ascii="宋体"/>
                <w:vanish/>
              </w:rPr>
            </w:pPr>
          </w:p>
        </w:tc>
        <w:tc>
          <w:tcPr>
            <w:tcW w:w="0" w:type="auto"/>
            <w:gridSpan w:val="3"/>
            <w:shd w:val="clear" w:color="auto" w:fill="auto"/>
          </w:tcPr>
          <w:p w14:paraId="5EA27ACB" w14:textId="77777777" w:rsidR="003C66EB" w:rsidRDefault="003C66EB">
            <w:pPr>
              <w:rPr>
                <w:rFonts w:ascii="宋体"/>
                <w:vanish/>
              </w:rPr>
            </w:pPr>
          </w:p>
        </w:tc>
        <w:tc>
          <w:tcPr>
            <w:tcW w:w="0" w:type="auto"/>
            <w:gridSpan w:val="3"/>
            <w:shd w:val="clear" w:color="auto" w:fill="auto"/>
          </w:tcPr>
          <w:p w14:paraId="5EA27ACC" w14:textId="77777777" w:rsidR="003C66EB" w:rsidRDefault="003C66EB">
            <w:pPr>
              <w:rPr>
                <w:rFonts w:ascii="宋体"/>
                <w:vanish/>
              </w:rPr>
            </w:pPr>
          </w:p>
        </w:tc>
        <w:tc>
          <w:tcPr>
            <w:tcW w:w="0" w:type="auto"/>
            <w:gridSpan w:val="3"/>
            <w:shd w:val="clear" w:color="auto" w:fill="auto"/>
          </w:tcPr>
          <w:p w14:paraId="5EA27ACD" w14:textId="77777777" w:rsidR="003C66EB" w:rsidRDefault="003C66EB">
            <w:pPr>
              <w:rPr>
                <w:rFonts w:ascii="宋体"/>
                <w:vanish/>
              </w:rPr>
            </w:pPr>
          </w:p>
        </w:tc>
        <w:tc>
          <w:tcPr>
            <w:tcW w:w="0" w:type="auto"/>
            <w:gridSpan w:val="3"/>
            <w:shd w:val="clear" w:color="auto" w:fill="auto"/>
          </w:tcPr>
          <w:p w14:paraId="5EA27ACE" w14:textId="77777777" w:rsidR="003C66EB" w:rsidRDefault="003C66EB">
            <w:pPr>
              <w:rPr>
                <w:rFonts w:ascii="宋体"/>
                <w:vanish/>
              </w:rPr>
            </w:pPr>
          </w:p>
        </w:tc>
        <w:tc>
          <w:tcPr>
            <w:tcW w:w="0" w:type="auto"/>
            <w:gridSpan w:val="3"/>
            <w:shd w:val="clear" w:color="auto" w:fill="auto"/>
          </w:tcPr>
          <w:p w14:paraId="5EA27ACF" w14:textId="77777777" w:rsidR="003C66EB" w:rsidRDefault="003C66EB">
            <w:pPr>
              <w:rPr>
                <w:rFonts w:ascii="宋体"/>
                <w:vanish/>
              </w:rPr>
            </w:pPr>
          </w:p>
        </w:tc>
        <w:tc>
          <w:tcPr>
            <w:tcW w:w="0" w:type="auto"/>
            <w:gridSpan w:val="3"/>
            <w:shd w:val="clear" w:color="auto" w:fill="auto"/>
          </w:tcPr>
          <w:p w14:paraId="5EA27AD0" w14:textId="77777777" w:rsidR="003C66EB" w:rsidRDefault="003C66EB">
            <w:pPr>
              <w:rPr>
                <w:rFonts w:ascii="宋体"/>
                <w:vanish/>
              </w:rPr>
            </w:pPr>
          </w:p>
        </w:tc>
        <w:tc>
          <w:tcPr>
            <w:tcW w:w="0" w:type="auto"/>
            <w:gridSpan w:val="3"/>
            <w:shd w:val="clear" w:color="auto" w:fill="auto"/>
          </w:tcPr>
          <w:p w14:paraId="5EA27AD1" w14:textId="77777777" w:rsidR="003C66EB" w:rsidRDefault="003C66EB">
            <w:pPr>
              <w:rPr>
                <w:rFonts w:ascii="宋体"/>
                <w:vanish/>
              </w:rPr>
            </w:pPr>
          </w:p>
        </w:tc>
        <w:tc>
          <w:tcPr>
            <w:tcW w:w="0" w:type="auto"/>
            <w:gridSpan w:val="3"/>
            <w:shd w:val="clear" w:color="auto" w:fill="auto"/>
          </w:tcPr>
          <w:p w14:paraId="5EA27AD2" w14:textId="77777777" w:rsidR="003C66EB" w:rsidRDefault="003C66EB">
            <w:pPr>
              <w:rPr>
                <w:rFonts w:ascii="宋体"/>
                <w:vanish/>
              </w:rPr>
            </w:pPr>
          </w:p>
        </w:tc>
        <w:tc>
          <w:tcPr>
            <w:tcW w:w="0" w:type="auto"/>
            <w:gridSpan w:val="3"/>
            <w:shd w:val="clear" w:color="auto" w:fill="auto"/>
          </w:tcPr>
          <w:p w14:paraId="5EA27AD3" w14:textId="77777777" w:rsidR="003C66EB" w:rsidRDefault="003C66EB">
            <w:pPr>
              <w:rPr>
                <w:rFonts w:ascii="宋体"/>
                <w:vanish/>
              </w:rPr>
            </w:pPr>
          </w:p>
        </w:tc>
        <w:tc>
          <w:tcPr>
            <w:tcW w:w="0" w:type="auto"/>
            <w:gridSpan w:val="3"/>
            <w:shd w:val="clear" w:color="auto" w:fill="auto"/>
          </w:tcPr>
          <w:p w14:paraId="5EA27AD4" w14:textId="77777777" w:rsidR="003C66EB" w:rsidRDefault="003C66EB">
            <w:pPr>
              <w:rPr>
                <w:rFonts w:ascii="宋体"/>
                <w:vanish/>
              </w:rPr>
            </w:pPr>
          </w:p>
        </w:tc>
        <w:tc>
          <w:tcPr>
            <w:tcW w:w="0" w:type="auto"/>
            <w:gridSpan w:val="2"/>
            <w:shd w:val="clear" w:color="auto" w:fill="auto"/>
          </w:tcPr>
          <w:p w14:paraId="5EA27AD5" w14:textId="77777777" w:rsidR="003C66EB" w:rsidRDefault="003C66EB">
            <w:pPr>
              <w:rPr>
                <w:rFonts w:ascii="宋体"/>
                <w:vanish/>
              </w:rPr>
            </w:pPr>
          </w:p>
        </w:tc>
        <w:tc>
          <w:tcPr>
            <w:tcW w:w="0" w:type="auto"/>
            <w:shd w:val="clear" w:color="auto" w:fill="auto"/>
          </w:tcPr>
          <w:p w14:paraId="5EA27AD6" w14:textId="77777777" w:rsidR="003C66EB" w:rsidRDefault="003C66EB">
            <w:pPr>
              <w:rPr>
                <w:rFonts w:ascii="宋体"/>
                <w:vanish/>
              </w:rPr>
            </w:pPr>
          </w:p>
        </w:tc>
      </w:tr>
      <w:tr w:rsidR="003C66EB" w14:paraId="5EA27AEE" w14:textId="77777777">
        <w:trPr>
          <w:hidden/>
        </w:trPr>
        <w:tc>
          <w:tcPr>
            <w:tcW w:w="0" w:type="auto"/>
            <w:gridSpan w:val="3"/>
            <w:shd w:val="clear" w:color="auto" w:fill="auto"/>
          </w:tcPr>
          <w:p w14:paraId="5EA27AD8" w14:textId="77777777" w:rsidR="003C66EB" w:rsidRDefault="003C66EB">
            <w:pPr>
              <w:rPr>
                <w:rFonts w:ascii="宋体"/>
                <w:vanish/>
              </w:rPr>
            </w:pPr>
          </w:p>
        </w:tc>
        <w:tc>
          <w:tcPr>
            <w:tcW w:w="0" w:type="auto"/>
            <w:gridSpan w:val="3"/>
            <w:shd w:val="clear" w:color="auto" w:fill="auto"/>
          </w:tcPr>
          <w:p w14:paraId="5EA27AD9" w14:textId="77777777" w:rsidR="003C66EB" w:rsidRDefault="003C66EB">
            <w:pPr>
              <w:rPr>
                <w:rFonts w:ascii="宋体"/>
                <w:vanish/>
              </w:rPr>
            </w:pPr>
          </w:p>
        </w:tc>
        <w:tc>
          <w:tcPr>
            <w:tcW w:w="0" w:type="auto"/>
            <w:gridSpan w:val="3"/>
            <w:shd w:val="clear" w:color="auto" w:fill="auto"/>
          </w:tcPr>
          <w:p w14:paraId="5EA27ADA" w14:textId="77777777" w:rsidR="003C66EB" w:rsidRDefault="003C66EB">
            <w:pPr>
              <w:rPr>
                <w:rFonts w:ascii="宋体"/>
                <w:vanish/>
              </w:rPr>
            </w:pPr>
          </w:p>
        </w:tc>
        <w:tc>
          <w:tcPr>
            <w:tcW w:w="0" w:type="auto"/>
            <w:gridSpan w:val="3"/>
            <w:shd w:val="clear" w:color="auto" w:fill="auto"/>
          </w:tcPr>
          <w:p w14:paraId="5EA27ADB" w14:textId="77777777" w:rsidR="003C66EB" w:rsidRDefault="003C66EB">
            <w:pPr>
              <w:rPr>
                <w:rFonts w:ascii="宋体"/>
                <w:vanish/>
              </w:rPr>
            </w:pPr>
          </w:p>
        </w:tc>
        <w:tc>
          <w:tcPr>
            <w:tcW w:w="0" w:type="auto"/>
            <w:gridSpan w:val="3"/>
            <w:shd w:val="clear" w:color="auto" w:fill="auto"/>
          </w:tcPr>
          <w:p w14:paraId="5EA27ADC" w14:textId="77777777" w:rsidR="003C66EB" w:rsidRDefault="003C66EB">
            <w:pPr>
              <w:rPr>
                <w:rFonts w:ascii="宋体"/>
                <w:vanish/>
              </w:rPr>
            </w:pPr>
          </w:p>
        </w:tc>
        <w:tc>
          <w:tcPr>
            <w:tcW w:w="0" w:type="auto"/>
            <w:gridSpan w:val="3"/>
            <w:shd w:val="clear" w:color="auto" w:fill="auto"/>
          </w:tcPr>
          <w:p w14:paraId="5EA27ADD" w14:textId="77777777" w:rsidR="003C66EB" w:rsidRDefault="003C66EB">
            <w:pPr>
              <w:rPr>
                <w:rFonts w:ascii="宋体"/>
                <w:vanish/>
              </w:rPr>
            </w:pPr>
          </w:p>
        </w:tc>
        <w:tc>
          <w:tcPr>
            <w:tcW w:w="0" w:type="auto"/>
            <w:gridSpan w:val="3"/>
            <w:shd w:val="clear" w:color="auto" w:fill="auto"/>
          </w:tcPr>
          <w:p w14:paraId="5EA27ADE" w14:textId="77777777" w:rsidR="003C66EB" w:rsidRDefault="003C66EB">
            <w:pPr>
              <w:rPr>
                <w:rFonts w:ascii="宋体"/>
                <w:vanish/>
              </w:rPr>
            </w:pPr>
          </w:p>
        </w:tc>
        <w:tc>
          <w:tcPr>
            <w:tcW w:w="0" w:type="auto"/>
            <w:gridSpan w:val="3"/>
            <w:shd w:val="clear" w:color="auto" w:fill="auto"/>
          </w:tcPr>
          <w:p w14:paraId="5EA27ADF" w14:textId="77777777" w:rsidR="003C66EB" w:rsidRDefault="003C66EB">
            <w:pPr>
              <w:rPr>
                <w:rFonts w:ascii="宋体"/>
                <w:vanish/>
              </w:rPr>
            </w:pPr>
          </w:p>
        </w:tc>
        <w:tc>
          <w:tcPr>
            <w:tcW w:w="0" w:type="auto"/>
            <w:gridSpan w:val="3"/>
            <w:shd w:val="clear" w:color="auto" w:fill="auto"/>
          </w:tcPr>
          <w:p w14:paraId="5EA27AE0" w14:textId="77777777" w:rsidR="003C66EB" w:rsidRDefault="003C66EB">
            <w:pPr>
              <w:rPr>
                <w:rFonts w:ascii="宋体"/>
                <w:vanish/>
              </w:rPr>
            </w:pPr>
          </w:p>
        </w:tc>
        <w:tc>
          <w:tcPr>
            <w:tcW w:w="0" w:type="auto"/>
            <w:gridSpan w:val="3"/>
            <w:shd w:val="clear" w:color="auto" w:fill="auto"/>
          </w:tcPr>
          <w:p w14:paraId="5EA27AE1" w14:textId="77777777" w:rsidR="003C66EB" w:rsidRDefault="003C66EB">
            <w:pPr>
              <w:rPr>
                <w:rFonts w:ascii="宋体"/>
                <w:vanish/>
              </w:rPr>
            </w:pPr>
          </w:p>
        </w:tc>
        <w:tc>
          <w:tcPr>
            <w:tcW w:w="0" w:type="auto"/>
            <w:gridSpan w:val="3"/>
            <w:shd w:val="clear" w:color="auto" w:fill="auto"/>
          </w:tcPr>
          <w:p w14:paraId="5EA27AE2" w14:textId="77777777" w:rsidR="003C66EB" w:rsidRDefault="003C66EB">
            <w:pPr>
              <w:rPr>
                <w:rFonts w:ascii="宋体"/>
                <w:vanish/>
              </w:rPr>
            </w:pPr>
          </w:p>
        </w:tc>
        <w:tc>
          <w:tcPr>
            <w:tcW w:w="0" w:type="auto"/>
            <w:gridSpan w:val="3"/>
            <w:shd w:val="clear" w:color="auto" w:fill="auto"/>
          </w:tcPr>
          <w:p w14:paraId="5EA27AE3" w14:textId="77777777" w:rsidR="003C66EB" w:rsidRDefault="003C66EB">
            <w:pPr>
              <w:rPr>
                <w:rFonts w:ascii="宋体"/>
                <w:vanish/>
              </w:rPr>
            </w:pPr>
          </w:p>
        </w:tc>
        <w:tc>
          <w:tcPr>
            <w:tcW w:w="0" w:type="auto"/>
            <w:gridSpan w:val="3"/>
            <w:shd w:val="clear" w:color="auto" w:fill="auto"/>
          </w:tcPr>
          <w:p w14:paraId="5EA27AE4" w14:textId="77777777" w:rsidR="003C66EB" w:rsidRDefault="003C66EB">
            <w:pPr>
              <w:rPr>
                <w:rFonts w:ascii="宋体"/>
                <w:vanish/>
              </w:rPr>
            </w:pPr>
          </w:p>
        </w:tc>
        <w:tc>
          <w:tcPr>
            <w:tcW w:w="0" w:type="auto"/>
            <w:gridSpan w:val="3"/>
            <w:shd w:val="clear" w:color="auto" w:fill="auto"/>
          </w:tcPr>
          <w:p w14:paraId="5EA27AE5" w14:textId="77777777" w:rsidR="003C66EB" w:rsidRDefault="003C66EB">
            <w:pPr>
              <w:rPr>
                <w:rFonts w:ascii="宋体"/>
                <w:vanish/>
              </w:rPr>
            </w:pPr>
          </w:p>
        </w:tc>
        <w:tc>
          <w:tcPr>
            <w:tcW w:w="0" w:type="auto"/>
            <w:gridSpan w:val="3"/>
            <w:shd w:val="clear" w:color="auto" w:fill="auto"/>
          </w:tcPr>
          <w:p w14:paraId="5EA27AE6" w14:textId="77777777" w:rsidR="003C66EB" w:rsidRDefault="003C66EB">
            <w:pPr>
              <w:rPr>
                <w:rFonts w:ascii="宋体"/>
                <w:vanish/>
              </w:rPr>
            </w:pPr>
          </w:p>
        </w:tc>
        <w:tc>
          <w:tcPr>
            <w:tcW w:w="0" w:type="auto"/>
            <w:gridSpan w:val="3"/>
            <w:shd w:val="clear" w:color="auto" w:fill="auto"/>
          </w:tcPr>
          <w:p w14:paraId="5EA27AE7" w14:textId="77777777" w:rsidR="003C66EB" w:rsidRDefault="003C66EB">
            <w:pPr>
              <w:rPr>
                <w:rFonts w:ascii="宋体"/>
                <w:vanish/>
              </w:rPr>
            </w:pPr>
          </w:p>
        </w:tc>
        <w:tc>
          <w:tcPr>
            <w:tcW w:w="0" w:type="auto"/>
            <w:gridSpan w:val="3"/>
            <w:shd w:val="clear" w:color="auto" w:fill="auto"/>
          </w:tcPr>
          <w:p w14:paraId="5EA27AE8" w14:textId="77777777" w:rsidR="003C66EB" w:rsidRDefault="003C66EB">
            <w:pPr>
              <w:rPr>
                <w:rFonts w:ascii="宋体"/>
                <w:vanish/>
              </w:rPr>
            </w:pPr>
          </w:p>
        </w:tc>
        <w:tc>
          <w:tcPr>
            <w:tcW w:w="0" w:type="auto"/>
            <w:gridSpan w:val="3"/>
            <w:shd w:val="clear" w:color="auto" w:fill="auto"/>
          </w:tcPr>
          <w:p w14:paraId="5EA27AE9" w14:textId="77777777" w:rsidR="003C66EB" w:rsidRDefault="003C66EB">
            <w:pPr>
              <w:rPr>
                <w:rFonts w:ascii="宋体"/>
                <w:vanish/>
              </w:rPr>
            </w:pPr>
          </w:p>
        </w:tc>
        <w:tc>
          <w:tcPr>
            <w:tcW w:w="0" w:type="auto"/>
            <w:gridSpan w:val="3"/>
            <w:shd w:val="clear" w:color="auto" w:fill="auto"/>
          </w:tcPr>
          <w:p w14:paraId="5EA27AEA" w14:textId="77777777" w:rsidR="003C66EB" w:rsidRDefault="003C66EB">
            <w:pPr>
              <w:rPr>
                <w:rFonts w:ascii="宋体"/>
                <w:vanish/>
              </w:rPr>
            </w:pPr>
          </w:p>
        </w:tc>
        <w:tc>
          <w:tcPr>
            <w:tcW w:w="0" w:type="auto"/>
            <w:gridSpan w:val="3"/>
            <w:shd w:val="clear" w:color="auto" w:fill="auto"/>
          </w:tcPr>
          <w:p w14:paraId="5EA27AEB" w14:textId="77777777" w:rsidR="003C66EB" w:rsidRDefault="003C66EB">
            <w:pPr>
              <w:rPr>
                <w:rFonts w:ascii="宋体"/>
                <w:vanish/>
              </w:rPr>
            </w:pPr>
          </w:p>
        </w:tc>
        <w:tc>
          <w:tcPr>
            <w:tcW w:w="0" w:type="auto"/>
            <w:gridSpan w:val="2"/>
            <w:shd w:val="clear" w:color="auto" w:fill="auto"/>
          </w:tcPr>
          <w:p w14:paraId="5EA27AEC" w14:textId="77777777" w:rsidR="003C66EB" w:rsidRDefault="003C66EB">
            <w:pPr>
              <w:rPr>
                <w:rFonts w:ascii="宋体"/>
                <w:vanish/>
              </w:rPr>
            </w:pPr>
          </w:p>
        </w:tc>
        <w:tc>
          <w:tcPr>
            <w:tcW w:w="0" w:type="auto"/>
            <w:shd w:val="clear" w:color="auto" w:fill="auto"/>
          </w:tcPr>
          <w:p w14:paraId="5EA27AED" w14:textId="77777777" w:rsidR="003C66EB" w:rsidRDefault="003C66EB">
            <w:pPr>
              <w:rPr>
                <w:rFonts w:ascii="宋体"/>
                <w:vanish/>
              </w:rPr>
            </w:pPr>
          </w:p>
        </w:tc>
      </w:tr>
      <w:tr w:rsidR="003C66EB" w14:paraId="5EA27B05" w14:textId="77777777">
        <w:trPr>
          <w:hidden/>
        </w:trPr>
        <w:tc>
          <w:tcPr>
            <w:tcW w:w="0" w:type="auto"/>
            <w:gridSpan w:val="3"/>
            <w:shd w:val="clear" w:color="auto" w:fill="auto"/>
          </w:tcPr>
          <w:p w14:paraId="5EA27AEF" w14:textId="77777777" w:rsidR="003C66EB" w:rsidRDefault="003C66EB">
            <w:pPr>
              <w:rPr>
                <w:rFonts w:ascii="宋体"/>
                <w:vanish/>
              </w:rPr>
            </w:pPr>
          </w:p>
        </w:tc>
        <w:tc>
          <w:tcPr>
            <w:tcW w:w="0" w:type="auto"/>
            <w:gridSpan w:val="3"/>
            <w:shd w:val="clear" w:color="auto" w:fill="auto"/>
          </w:tcPr>
          <w:p w14:paraId="5EA27AF0" w14:textId="77777777" w:rsidR="003C66EB" w:rsidRDefault="003C66EB">
            <w:pPr>
              <w:rPr>
                <w:rFonts w:ascii="宋体"/>
                <w:vanish/>
              </w:rPr>
            </w:pPr>
          </w:p>
        </w:tc>
        <w:tc>
          <w:tcPr>
            <w:tcW w:w="0" w:type="auto"/>
            <w:gridSpan w:val="3"/>
            <w:shd w:val="clear" w:color="auto" w:fill="auto"/>
          </w:tcPr>
          <w:p w14:paraId="5EA27AF1" w14:textId="77777777" w:rsidR="003C66EB" w:rsidRDefault="003C66EB">
            <w:pPr>
              <w:rPr>
                <w:rFonts w:ascii="宋体"/>
                <w:vanish/>
              </w:rPr>
            </w:pPr>
          </w:p>
        </w:tc>
        <w:tc>
          <w:tcPr>
            <w:tcW w:w="0" w:type="auto"/>
            <w:gridSpan w:val="3"/>
            <w:shd w:val="clear" w:color="auto" w:fill="auto"/>
          </w:tcPr>
          <w:p w14:paraId="5EA27AF2" w14:textId="77777777" w:rsidR="003C66EB" w:rsidRDefault="003C66EB">
            <w:pPr>
              <w:rPr>
                <w:rFonts w:ascii="宋体"/>
                <w:vanish/>
              </w:rPr>
            </w:pPr>
          </w:p>
        </w:tc>
        <w:tc>
          <w:tcPr>
            <w:tcW w:w="0" w:type="auto"/>
            <w:gridSpan w:val="3"/>
            <w:shd w:val="clear" w:color="auto" w:fill="auto"/>
          </w:tcPr>
          <w:p w14:paraId="5EA27AF3" w14:textId="77777777" w:rsidR="003C66EB" w:rsidRDefault="003C66EB">
            <w:pPr>
              <w:rPr>
                <w:rFonts w:ascii="宋体"/>
                <w:vanish/>
              </w:rPr>
            </w:pPr>
          </w:p>
        </w:tc>
        <w:tc>
          <w:tcPr>
            <w:tcW w:w="0" w:type="auto"/>
            <w:gridSpan w:val="3"/>
            <w:shd w:val="clear" w:color="auto" w:fill="auto"/>
          </w:tcPr>
          <w:p w14:paraId="5EA27AF4" w14:textId="77777777" w:rsidR="003C66EB" w:rsidRDefault="003C66EB">
            <w:pPr>
              <w:rPr>
                <w:rFonts w:ascii="宋体"/>
                <w:vanish/>
              </w:rPr>
            </w:pPr>
          </w:p>
        </w:tc>
        <w:tc>
          <w:tcPr>
            <w:tcW w:w="0" w:type="auto"/>
            <w:gridSpan w:val="3"/>
            <w:shd w:val="clear" w:color="auto" w:fill="auto"/>
          </w:tcPr>
          <w:p w14:paraId="5EA27AF5" w14:textId="77777777" w:rsidR="003C66EB" w:rsidRDefault="003C66EB">
            <w:pPr>
              <w:rPr>
                <w:rFonts w:ascii="宋体"/>
                <w:vanish/>
              </w:rPr>
            </w:pPr>
          </w:p>
        </w:tc>
        <w:tc>
          <w:tcPr>
            <w:tcW w:w="0" w:type="auto"/>
            <w:gridSpan w:val="3"/>
            <w:shd w:val="clear" w:color="auto" w:fill="auto"/>
          </w:tcPr>
          <w:p w14:paraId="5EA27AF6" w14:textId="77777777" w:rsidR="003C66EB" w:rsidRDefault="003C66EB">
            <w:pPr>
              <w:rPr>
                <w:rFonts w:ascii="宋体"/>
                <w:vanish/>
              </w:rPr>
            </w:pPr>
          </w:p>
        </w:tc>
        <w:tc>
          <w:tcPr>
            <w:tcW w:w="0" w:type="auto"/>
            <w:gridSpan w:val="3"/>
            <w:shd w:val="clear" w:color="auto" w:fill="auto"/>
          </w:tcPr>
          <w:p w14:paraId="5EA27AF7" w14:textId="77777777" w:rsidR="003C66EB" w:rsidRDefault="003C66EB">
            <w:pPr>
              <w:rPr>
                <w:rFonts w:ascii="宋体"/>
                <w:vanish/>
              </w:rPr>
            </w:pPr>
          </w:p>
        </w:tc>
        <w:tc>
          <w:tcPr>
            <w:tcW w:w="0" w:type="auto"/>
            <w:gridSpan w:val="3"/>
            <w:shd w:val="clear" w:color="auto" w:fill="auto"/>
          </w:tcPr>
          <w:p w14:paraId="5EA27AF8" w14:textId="77777777" w:rsidR="003C66EB" w:rsidRDefault="003C66EB">
            <w:pPr>
              <w:rPr>
                <w:rFonts w:ascii="宋体"/>
                <w:vanish/>
              </w:rPr>
            </w:pPr>
          </w:p>
        </w:tc>
        <w:tc>
          <w:tcPr>
            <w:tcW w:w="0" w:type="auto"/>
            <w:gridSpan w:val="3"/>
            <w:shd w:val="clear" w:color="auto" w:fill="auto"/>
          </w:tcPr>
          <w:p w14:paraId="5EA27AF9" w14:textId="77777777" w:rsidR="003C66EB" w:rsidRDefault="003C66EB">
            <w:pPr>
              <w:rPr>
                <w:rFonts w:ascii="宋体"/>
                <w:vanish/>
              </w:rPr>
            </w:pPr>
          </w:p>
        </w:tc>
        <w:tc>
          <w:tcPr>
            <w:tcW w:w="0" w:type="auto"/>
            <w:gridSpan w:val="3"/>
            <w:shd w:val="clear" w:color="auto" w:fill="auto"/>
          </w:tcPr>
          <w:p w14:paraId="5EA27AFA" w14:textId="77777777" w:rsidR="003C66EB" w:rsidRDefault="003C66EB">
            <w:pPr>
              <w:rPr>
                <w:rFonts w:ascii="宋体"/>
                <w:vanish/>
              </w:rPr>
            </w:pPr>
          </w:p>
        </w:tc>
        <w:tc>
          <w:tcPr>
            <w:tcW w:w="0" w:type="auto"/>
            <w:gridSpan w:val="3"/>
            <w:shd w:val="clear" w:color="auto" w:fill="auto"/>
          </w:tcPr>
          <w:p w14:paraId="5EA27AFB" w14:textId="77777777" w:rsidR="003C66EB" w:rsidRDefault="003C66EB">
            <w:pPr>
              <w:rPr>
                <w:rFonts w:ascii="宋体"/>
                <w:vanish/>
              </w:rPr>
            </w:pPr>
          </w:p>
        </w:tc>
        <w:tc>
          <w:tcPr>
            <w:tcW w:w="0" w:type="auto"/>
            <w:gridSpan w:val="3"/>
            <w:shd w:val="clear" w:color="auto" w:fill="auto"/>
          </w:tcPr>
          <w:p w14:paraId="5EA27AFC" w14:textId="77777777" w:rsidR="003C66EB" w:rsidRDefault="003C66EB">
            <w:pPr>
              <w:rPr>
                <w:rFonts w:ascii="宋体"/>
                <w:vanish/>
              </w:rPr>
            </w:pPr>
          </w:p>
        </w:tc>
        <w:tc>
          <w:tcPr>
            <w:tcW w:w="0" w:type="auto"/>
            <w:gridSpan w:val="3"/>
            <w:shd w:val="clear" w:color="auto" w:fill="auto"/>
          </w:tcPr>
          <w:p w14:paraId="5EA27AFD" w14:textId="77777777" w:rsidR="003C66EB" w:rsidRDefault="003C66EB">
            <w:pPr>
              <w:rPr>
                <w:rFonts w:ascii="宋体"/>
                <w:vanish/>
              </w:rPr>
            </w:pPr>
          </w:p>
        </w:tc>
        <w:tc>
          <w:tcPr>
            <w:tcW w:w="0" w:type="auto"/>
            <w:gridSpan w:val="3"/>
            <w:shd w:val="clear" w:color="auto" w:fill="auto"/>
          </w:tcPr>
          <w:p w14:paraId="5EA27AFE" w14:textId="77777777" w:rsidR="003C66EB" w:rsidRDefault="003C66EB">
            <w:pPr>
              <w:rPr>
                <w:rFonts w:ascii="宋体"/>
                <w:vanish/>
              </w:rPr>
            </w:pPr>
          </w:p>
        </w:tc>
        <w:tc>
          <w:tcPr>
            <w:tcW w:w="0" w:type="auto"/>
            <w:gridSpan w:val="3"/>
            <w:shd w:val="clear" w:color="auto" w:fill="auto"/>
          </w:tcPr>
          <w:p w14:paraId="5EA27AFF" w14:textId="77777777" w:rsidR="003C66EB" w:rsidRDefault="003C66EB">
            <w:pPr>
              <w:rPr>
                <w:rFonts w:ascii="宋体"/>
                <w:vanish/>
              </w:rPr>
            </w:pPr>
          </w:p>
        </w:tc>
        <w:tc>
          <w:tcPr>
            <w:tcW w:w="0" w:type="auto"/>
            <w:gridSpan w:val="3"/>
            <w:shd w:val="clear" w:color="auto" w:fill="auto"/>
          </w:tcPr>
          <w:p w14:paraId="5EA27B00" w14:textId="77777777" w:rsidR="003C66EB" w:rsidRDefault="003C66EB">
            <w:pPr>
              <w:rPr>
                <w:rFonts w:ascii="宋体"/>
                <w:vanish/>
              </w:rPr>
            </w:pPr>
          </w:p>
        </w:tc>
        <w:tc>
          <w:tcPr>
            <w:tcW w:w="0" w:type="auto"/>
            <w:gridSpan w:val="3"/>
            <w:shd w:val="clear" w:color="auto" w:fill="auto"/>
          </w:tcPr>
          <w:p w14:paraId="5EA27B01" w14:textId="77777777" w:rsidR="003C66EB" w:rsidRDefault="003C66EB">
            <w:pPr>
              <w:rPr>
                <w:rFonts w:ascii="宋体"/>
                <w:vanish/>
              </w:rPr>
            </w:pPr>
          </w:p>
        </w:tc>
        <w:tc>
          <w:tcPr>
            <w:tcW w:w="0" w:type="auto"/>
            <w:gridSpan w:val="3"/>
            <w:shd w:val="clear" w:color="auto" w:fill="auto"/>
          </w:tcPr>
          <w:p w14:paraId="5EA27B02" w14:textId="77777777" w:rsidR="003C66EB" w:rsidRDefault="003C66EB">
            <w:pPr>
              <w:rPr>
                <w:rFonts w:ascii="宋体"/>
                <w:vanish/>
              </w:rPr>
            </w:pPr>
          </w:p>
        </w:tc>
        <w:tc>
          <w:tcPr>
            <w:tcW w:w="0" w:type="auto"/>
            <w:gridSpan w:val="2"/>
            <w:shd w:val="clear" w:color="auto" w:fill="auto"/>
          </w:tcPr>
          <w:p w14:paraId="5EA27B03" w14:textId="77777777" w:rsidR="003C66EB" w:rsidRDefault="003C66EB">
            <w:pPr>
              <w:rPr>
                <w:rFonts w:ascii="宋体"/>
                <w:vanish/>
              </w:rPr>
            </w:pPr>
          </w:p>
        </w:tc>
        <w:tc>
          <w:tcPr>
            <w:tcW w:w="0" w:type="auto"/>
            <w:shd w:val="clear" w:color="auto" w:fill="auto"/>
          </w:tcPr>
          <w:p w14:paraId="5EA27B04" w14:textId="77777777" w:rsidR="003C66EB" w:rsidRDefault="003C66EB">
            <w:pPr>
              <w:rPr>
                <w:rFonts w:ascii="宋体"/>
                <w:vanish/>
              </w:rPr>
            </w:pPr>
          </w:p>
        </w:tc>
      </w:tr>
      <w:tr w:rsidR="003C66EB" w14:paraId="5EA27B23" w14:textId="77777777">
        <w:tc>
          <w:tcPr>
            <w:tcW w:w="0" w:type="auto"/>
            <w:gridSpan w:val="3"/>
            <w:shd w:val="clear" w:color="auto" w:fill="CCEEFF"/>
            <w:tcMar>
              <w:top w:w="40" w:type="dxa"/>
              <w:left w:w="20" w:type="dxa"/>
              <w:bottom w:w="40" w:type="dxa"/>
              <w:right w:w="20" w:type="dxa"/>
            </w:tcMar>
            <w:vAlign w:val="bottom"/>
          </w:tcPr>
          <w:p w14:paraId="5EA27B06" w14:textId="77777777" w:rsidR="003C66EB" w:rsidRDefault="00D96C4E">
            <w:pPr>
              <w:textAlignment w:val="bottom"/>
            </w:pPr>
            <w:r>
              <w:rPr>
                <w:rFonts w:ascii="Arial" w:eastAsia="宋体" w:hAnsi="Arial" w:cs="Arial"/>
                <w:b/>
                <w:bCs/>
                <w:color w:val="000000"/>
                <w:sz w:val="13"/>
                <w:szCs w:val="13"/>
              </w:rPr>
              <w:t>Total expenses</w:t>
            </w:r>
            <w:r>
              <w:rPr>
                <w:rFonts w:ascii="Arial" w:eastAsia="宋体" w:hAnsi="Arial" w:cs="Arial"/>
                <w:b/>
                <w:bCs/>
                <w:color w:val="000000"/>
                <w:sz w:val="8"/>
                <w:szCs w:val="8"/>
              </w:rPr>
              <w:t>(1)</w:t>
            </w:r>
          </w:p>
        </w:tc>
        <w:tc>
          <w:tcPr>
            <w:tcW w:w="0" w:type="auto"/>
            <w:gridSpan w:val="2"/>
            <w:shd w:val="clear" w:color="auto" w:fill="CCEEFF"/>
            <w:tcMar>
              <w:top w:w="40" w:type="dxa"/>
              <w:left w:w="20" w:type="dxa"/>
              <w:bottom w:w="40" w:type="dxa"/>
              <w:right w:w="0" w:type="dxa"/>
            </w:tcMar>
            <w:vAlign w:val="bottom"/>
          </w:tcPr>
          <w:p w14:paraId="5EA27B07" w14:textId="77777777" w:rsidR="003C66EB" w:rsidRDefault="00D96C4E">
            <w:pPr>
              <w:jc w:val="right"/>
              <w:textAlignment w:val="bottom"/>
            </w:pPr>
            <w:r>
              <w:rPr>
                <w:rFonts w:ascii="Arial" w:eastAsia="宋体" w:hAnsi="Arial" w:cs="Arial"/>
                <w:b/>
                <w:bCs/>
                <w:color w:val="000000"/>
                <w:sz w:val="13"/>
                <w:szCs w:val="13"/>
              </w:rPr>
              <w:t>1,879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B0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B0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B0A" w14:textId="77777777" w:rsidR="003C66EB" w:rsidRDefault="00D96C4E">
            <w:pPr>
              <w:jc w:val="right"/>
              <w:textAlignment w:val="bottom"/>
            </w:pPr>
            <w:r>
              <w:rPr>
                <w:rFonts w:ascii="Arial" w:eastAsia="宋体" w:hAnsi="Arial" w:cs="Arial"/>
                <w:color w:val="000000"/>
                <w:sz w:val="13"/>
                <w:szCs w:val="13"/>
              </w:rPr>
              <w:t>1,859 </w:t>
            </w:r>
          </w:p>
        </w:tc>
        <w:tc>
          <w:tcPr>
            <w:tcW w:w="0" w:type="auto"/>
            <w:shd w:val="clear" w:color="auto" w:fill="CCEEFF"/>
            <w:tcMar>
              <w:top w:w="40" w:type="dxa"/>
              <w:left w:w="0" w:type="dxa"/>
              <w:bottom w:w="40" w:type="dxa"/>
              <w:right w:w="20" w:type="dxa"/>
            </w:tcMar>
            <w:vAlign w:val="bottom"/>
          </w:tcPr>
          <w:p w14:paraId="5EA27B0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B0C" w14:textId="77777777" w:rsidR="003C66EB" w:rsidRDefault="003C66EB">
            <w:pPr>
              <w:rPr>
                <w:rFonts w:ascii="宋体"/>
              </w:rPr>
            </w:pPr>
          </w:p>
        </w:tc>
        <w:tc>
          <w:tcPr>
            <w:tcW w:w="0" w:type="auto"/>
            <w:gridSpan w:val="3"/>
            <w:shd w:val="clear" w:color="auto" w:fill="auto"/>
          </w:tcPr>
          <w:p w14:paraId="5EA27B0D" w14:textId="77777777" w:rsidR="003C66EB" w:rsidRDefault="003C66EB">
            <w:pPr>
              <w:rPr>
                <w:rFonts w:ascii="宋体"/>
                <w:vanish/>
              </w:rPr>
            </w:pPr>
          </w:p>
        </w:tc>
        <w:tc>
          <w:tcPr>
            <w:tcW w:w="0" w:type="auto"/>
            <w:gridSpan w:val="3"/>
            <w:shd w:val="clear" w:color="auto" w:fill="auto"/>
          </w:tcPr>
          <w:p w14:paraId="5EA27B0E"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B0F" w14:textId="77777777" w:rsidR="003C66EB" w:rsidRDefault="00D96C4E">
            <w:pPr>
              <w:jc w:val="right"/>
              <w:textAlignment w:val="bottom"/>
            </w:pPr>
            <w:r>
              <w:rPr>
                <w:rFonts w:ascii="Arial" w:eastAsia="宋体" w:hAnsi="Arial" w:cs="Arial"/>
                <w:b/>
                <w:bCs/>
                <w:color w:val="000000"/>
                <w:sz w:val="13"/>
                <w:szCs w:val="13"/>
              </w:rPr>
              <w:t>397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B1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B1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B12" w14:textId="77777777" w:rsidR="003C66EB" w:rsidRDefault="00D96C4E">
            <w:pPr>
              <w:jc w:val="right"/>
              <w:textAlignment w:val="bottom"/>
            </w:pPr>
            <w:r>
              <w:rPr>
                <w:rFonts w:ascii="Arial" w:eastAsia="宋体" w:hAnsi="Arial" w:cs="Arial"/>
                <w:color w:val="000000"/>
                <w:sz w:val="13"/>
                <w:szCs w:val="13"/>
              </w:rPr>
              <w:t>385 </w:t>
            </w:r>
          </w:p>
        </w:tc>
        <w:tc>
          <w:tcPr>
            <w:tcW w:w="0" w:type="auto"/>
            <w:shd w:val="clear" w:color="auto" w:fill="CCEEFF"/>
            <w:tcMar>
              <w:top w:w="40" w:type="dxa"/>
              <w:left w:w="0" w:type="dxa"/>
              <w:bottom w:w="40" w:type="dxa"/>
              <w:right w:w="20" w:type="dxa"/>
            </w:tcMar>
            <w:vAlign w:val="bottom"/>
          </w:tcPr>
          <w:p w14:paraId="5EA27B1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B14" w14:textId="77777777" w:rsidR="003C66EB" w:rsidRDefault="003C66EB">
            <w:pPr>
              <w:rPr>
                <w:rFonts w:ascii="宋体"/>
              </w:rPr>
            </w:pPr>
          </w:p>
        </w:tc>
        <w:tc>
          <w:tcPr>
            <w:tcW w:w="0" w:type="auto"/>
            <w:gridSpan w:val="3"/>
            <w:shd w:val="clear" w:color="auto" w:fill="auto"/>
          </w:tcPr>
          <w:p w14:paraId="5EA27B15" w14:textId="77777777" w:rsidR="003C66EB" w:rsidRDefault="003C66EB">
            <w:pPr>
              <w:rPr>
                <w:rFonts w:ascii="宋体"/>
                <w:vanish/>
              </w:rPr>
            </w:pPr>
          </w:p>
        </w:tc>
        <w:tc>
          <w:tcPr>
            <w:tcW w:w="0" w:type="auto"/>
            <w:gridSpan w:val="3"/>
            <w:shd w:val="clear" w:color="auto" w:fill="auto"/>
          </w:tcPr>
          <w:p w14:paraId="5EA27B16"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B17" w14:textId="77777777" w:rsidR="003C66EB" w:rsidRDefault="00D96C4E">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B1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B1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B1A" w14:textId="77777777" w:rsidR="003C66EB" w:rsidRDefault="00D96C4E">
            <w:pPr>
              <w:jc w:val="right"/>
              <w:textAlignment w:val="bottom"/>
            </w:pPr>
            <w:r>
              <w:rPr>
                <w:rFonts w:ascii="Arial" w:eastAsia="宋体" w:hAnsi="Arial" w:cs="Arial"/>
                <w:color w:val="000000"/>
                <w:sz w:val="13"/>
                <w:szCs w:val="13"/>
              </w:rPr>
              <w:t>11 </w:t>
            </w:r>
          </w:p>
        </w:tc>
        <w:tc>
          <w:tcPr>
            <w:tcW w:w="0" w:type="auto"/>
            <w:shd w:val="clear" w:color="auto" w:fill="CCEEFF"/>
            <w:tcMar>
              <w:top w:w="40" w:type="dxa"/>
              <w:left w:w="0" w:type="dxa"/>
              <w:bottom w:w="40" w:type="dxa"/>
              <w:right w:w="20" w:type="dxa"/>
            </w:tcMar>
            <w:vAlign w:val="bottom"/>
          </w:tcPr>
          <w:p w14:paraId="5EA27B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B1C" w14:textId="77777777" w:rsidR="003C66EB" w:rsidRDefault="003C66EB">
            <w:pPr>
              <w:rPr>
                <w:rFonts w:ascii="宋体"/>
              </w:rPr>
            </w:pPr>
          </w:p>
        </w:tc>
        <w:tc>
          <w:tcPr>
            <w:tcW w:w="0" w:type="auto"/>
            <w:gridSpan w:val="3"/>
            <w:shd w:val="clear" w:color="auto" w:fill="auto"/>
          </w:tcPr>
          <w:p w14:paraId="5EA27B1D" w14:textId="77777777" w:rsidR="003C66EB" w:rsidRDefault="003C66EB">
            <w:pPr>
              <w:rPr>
                <w:rFonts w:ascii="宋体"/>
                <w:vanish/>
              </w:rPr>
            </w:pPr>
          </w:p>
        </w:tc>
        <w:tc>
          <w:tcPr>
            <w:tcW w:w="0" w:type="auto"/>
            <w:gridSpan w:val="3"/>
            <w:shd w:val="clear" w:color="auto" w:fill="auto"/>
          </w:tcPr>
          <w:p w14:paraId="5EA27B1E" w14:textId="77777777" w:rsidR="003C66EB" w:rsidRDefault="003C66EB">
            <w:pPr>
              <w:rPr>
                <w:rFonts w:ascii="宋体"/>
                <w:vanish/>
              </w:rPr>
            </w:pPr>
          </w:p>
        </w:tc>
        <w:tc>
          <w:tcPr>
            <w:tcW w:w="0" w:type="auto"/>
            <w:gridSpan w:val="2"/>
            <w:shd w:val="clear" w:color="auto" w:fill="CCEEFF"/>
            <w:tcMar>
              <w:top w:w="40" w:type="dxa"/>
              <w:left w:w="20" w:type="dxa"/>
              <w:bottom w:w="40" w:type="dxa"/>
              <w:right w:w="0" w:type="dxa"/>
            </w:tcMar>
            <w:vAlign w:val="bottom"/>
          </w:tcPr>
          <w:p w14:paraId="5EA27B1F" w14:textId="77777777" w:rsidR="003C66EB" w:rsidRDefault="00D96C4E">
            <w:pPr>
              <w:jc w:val="right"/>
              <w:textAlignment w:val="bottom"/>
            </w:pPr>
            <w:r>
              <w:rPr>
                <w:rFonts w:ascii="Arial" w:eastAsia="宋体" w:hAnsi="Arial" w:cs="Arial"/>
                <w:b/>
                <w:bCs/>
                <w:color w:val="000000"/>
                <w:sz w:val="13"/>
                <w:szCs w:val="13"/>
              </w:rPr>
              <w:t>2,332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A27B20" w14:textId="77777777" w:rsidR="003C66EB" w:rsidRDefault="003C66EB">
            <w:pPr>
              <w:jc w:val="right"/>
              <w:rPr>
                <w:rFonts w:ascii="宋体"/>
              </w:rPr>
            </w:pPr>
          </w:p>
        </w:tc>
        <w:tc>
          <w:tcPr>
            <w:tcW w:w="0" w:type="auto"/>
            <w:gridSpan w:val="2"/>
            <w:shd w:val="clear" w:color="auto" w:fill="CCEEFF"/>
            <w:tcMar>
              <w:top w:w="0" w:type="dxa"/>
              <w:left w:w="20" w:type="dxa"/>
              <w:bottom w:w="0" w:type="dxa"/>
              <w:right w:w="20" w:type="dxa"/>
            </w:tcMar>
          </w:tcPr>
          <w:p w14:paraId="5EA27B21"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7B22" w14:textId="77777777" w:rsidR="003C66EB" w:rsidRDefault="00D96C4E">
            <w:pPr>
              <w:jc w:val="right"/>
              <w:textAlignment w:val="bottom"/>
            </w:pPr>
            <w:r>
              <w:rPr>
                <w:rFonts w:ascii="Arial" w:eastAsia="宋体" w:hAnsi="Arial" w:cs="Arial"/>
                <w:color w:val="000000"/>
                <w:sz w:val="13"/>
                <w:szCs w:val="13"/>
              </w:rPr>
              <w:t>2,255 </w:t>
            </w:r>
          </w:p>
        </w:tc>
      </w:tr>
      <w:tr w:rsidR="003C66EB" w14:paraId="5EA27B49" w14:textId="77777777">
        <w:tc>
          <w:tcPr>
            <w:tcW w:w="0" w:type="auto"/>
            <w:gridSpan w:val="3"/>
            <w:shd w:val="clear" w:color="auto" w:fill="FFFFFF"/>
            <w:tcMar>
              <w:top w:w="40" w:type="dxa"/>
              <w:left w:w="20" w:type="dxa"/>
              <w:bottom w:w="40" w:type="dxa"/>
              <w:right w:w="20" w:type="dxa"/>
            </w:tcMar>
            <w:vAlign w:val="bottom"/>
          </w:tcPr>
          <w:p w14:paraId="5EA27B24" w14:textId="77777777" w:rsidR="003C66EB" w:rsidRDefault="00D96C4E">
            <w:pPr>
              <w:textAlignment w:val="bottom"/>
            </w:pPr>
            <w:r>
              <w:rPr>
                <w:rFonts w:ascii="Arial" w:eastAsia="宋体" w:hAnsi="Arial" w:cs="Arial"/>
                <w:b/>
                <w:bCs/>
                <w:color w:val="000000"/>
                <w:sz w:val="13"/>
                <w:szCs w:val="13"/>
              </w:rPr>
              <w:t>Income before income tax expense</w:t>
            </w:r>
          </w:p>
        </w:tc>
        <w:tc>
          <w:tcPr>
            <w:tcW w:w="0" w:type="auto"/>
            <w:tcBorders>
              <w:top w:val="single" w:sz="8" w:space="0" w:color="000000"/>
            </w:tcBorders>
            <w:shd w:val="clear" w:color="auto" w:fill="FFFFFF"/>
            <w:tcMar>
              <w:top w:w="40" w:type="dxa"/>
              <w:left w:w="20" w:type="dxa"/>
              <w:bottom w:w="40" w:type="dxa"/>
              <w:right w:w="0" w:type="dxa"/>
            </w:tcMar>
            <w:vAlign w:val="bottom"/>
          </w:tcPr>
          <w:p w14:paraId="5EA27B25"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B26" w14:textId="77777777" w:rsidR="003C66EB" w:rsidRDefault="00D96C4E">
            <w:pPr>
              <w:jc w:val="right"/>
              <w:textAlignment w:val="bottom"/>
            </w:pPr>
            <w:r>
              <w:rPr>
                <w:rFonts w:ascii="Arial" w:eastAsia="宋体" w:hAnsi="Arial" w:cs="Arial"/>
                <w:b/>
                <w:bCs/>
                <w:color w:val="000000"/>
                <w:sz w:val="13"/>
                <w:szCs w:val="13"/>
              </w:rPr>
              <w:t>574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B27" w14:textId="77777777" w:rsidR="003C66EB" w:rsidRDefault="003C66EB">
            <w:pPr>
              <w:jc w:val="right"/>
              <w:rPr>
                <w:rFonts w:ascii="宋体"/>
              </w:rPr>
            </w:pPr>
          </w:p>
        </w:tc>
        <w:tc>
          <w:tcPr>
            <w:tcW w:w="0" w:type="auto"/>
            <w:gridSpan w:val="3"/>
            <w:shd w:val="clear" w:color="auto" w:fill="auto"/>
            <w:tcMar>
              <w:top w:w="0" w:type="dxa"/>
              <w:left w:w="20" w:type="dxa"/>
              <w:bottom w:w="0" w:type="dxa"/>
              <w:right w:w="20" w:type="dxa"/>
            </w:tcMar>
          </w:tcPr>
          <w:p w14:paraId="5EA27B28" w14:textId="77777777" w:rsidR="003C66EB" w:rsidRDefault="003C66E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EA27B29"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EA27B2A" w14:textId="77777777" w:rsidR="003C66EB" w:rsidRDefault="00D96C4E">
            <w:pPr>
              <w:jc w:val="right"/>
              <w:textAlignment w:val="bottom"/>
            </w:pPr>
            <w:r>
              <w:rPr>
                <w:rFonts w:ascii="Arial" w:eastAsia="宋体" w:hAnsi="Arial" w:cs="Arial"/>
                <w:color w:val="000000"/>
                <w:sz w:val="13"/>
                <w:szCs w:val="13"/>
              </w:rPr>
              <w:t>717 </w:t>
            </w:r>
          </w:p>
        </w:tc>
        <w:tc>
          <w:tcPr>
            <w:tcW w:w="0" w:type="auto"/>
            <w:tcBorders>
              <w:top w:val="single" w:sz="8" w:space="0" w:color="000000"/>
            </w:tcBorders>
            <w:shd w:val="clear" w:color="auto" w:fill="auto"/>
            <w:tcMar>
              <w:top w:w="40" w:type="dxa"/>
              <w:left w:w="0" w:type="dxa"/>
              <w:bottom w:w="40" w:type="dxa"/>
              <w:right w:w="20" w:type="dxa"/>
            </w:tcMar>
            <w:vAlign w:val="bottom"/>
          </w:tcPr>
          <w:p w14:paraId="5EA27B2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B2C" w14:textId="77777777" w:rsidR="003C66EB" w:rsidRDefault="003C66EB">
            <w:pPr>
              <w:rPr>
                <w:rFonts w:ascii="宋体"/>
              </w:rPr>
            </w:pPr>
          </w:p>
        </w:tc>
        <w:tc>
          <w:tcPr>
            <w:tcW w:w="0" w:type="auto"/>
            <w:gridSpan w:val="3"/>
            <w:shd w:val="clear" w:color="auto" w:fill="auto"/>
          </w:tcPr>
          <w:p w14:paraId="5EA27B2D" w14:textId="77777777" w:rsidR="003C66EB" w:rsidRDefault="003C66EB">
            <w:pPr>
              <w:rPr>
                <w:rFonts w:ascii="宋体"/>
                <w:vanish/>
              </w:rPr>
            </w:pPr>
          </w:p>
        </w:tc>
        <w:tc>
          <w:tcPr>
            <w:tcW w:w="0" w:type="auto"/>
            <w:gridSpan w:val="3"/>
            <w:shd w:val="clear" w:color="auto" w:fill="auto"/>
          </w:tcPr>
          <w:p w14:paraId="5EA27B2E" w14:textId="77777777" w:rsidR="003C66EB" w:rsidRDefault="003C66EB">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B2F"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B30" w14:textId="77777777" w:rsidR="003C66EB" w:rsidRDefault="00D96C4E">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B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B32"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B33"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B34" w14:textId="77777777" w:rsidR="003C66EB" w:rsidRDefault="00D96C4E">
            <w:pPr>
              <w:jc w:val="right"/>
              <w:textAlignment w:val="bottom"/>
            </w:pPr>
            <w:r>
              <w:rPr>
                <w:rFonts w:ascii="Arial" w:eastAsia="宋体" w:hAnsi="Arial" w:cs="Arial"/>
                <w:color w:val="000000"/>
                <w:sz w:val="13"/>
                <w:szCs w:val="13"/>
              </w:rPr>
              <w:t>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B3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B36" w14:textId="77777777" w:rsidR="003C66EB" w:rsidRDefault="003C66EB">
            <w:pPr>
              <w:rPr>
                <w:rFonts w:ascii="宋体"/>
              </w:rPr>
            </w:pPr>
          </w:p>
        </w:tc>
        <w:tc>
          <w:tcPr>
            <w:tcW w:w="0" w:type="auto"/>
            <w:gridSpan w:val="3"/>
            <w:shd w:val="clear" w:color="auto" w:fill="auto"/>
          </w:tcPr>
          <w:p w14:paraId="5EA27B37" w14:textId="77777777" w:rsidR="003C66EB" w:rsidRDefault="003C66EB">
            <w:pPr>
              <w:rPr>
                <w:rFonts w:ascii="宋体"/>
                <w:vanish/>
              </w:rPr>
            </w:pPr>
          </w:p>
        </w:tc>
        <w:tc>
          <w:tcPr>
            <w:tcW w:w="0" w:type="auto"/>
            <w:gridSpan w:val="3"/>
            <w:shd w:val="clear" w:color="auto" w:fill="auto"/>
          </w:tcPr>
          <w:p w14:paraId="5EA27B38" w14:textId="77777777" w:rsidR="003C66EB" w:rsidRDefault="003C66EB">
            <w:pPr>
              <w:rPr>
                <w:rFonts w:ascii="宋体"/>
                <w:vanish/>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EA27B39"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EA27B3A" w14:textId="77777777" w:rsidR="003C66EB" w:rsidRDefault="00D96C4E">
            <w:pPr>
              <w:jc w:val="right"/>
              <w:textAlignment w:val="bottom"/>
            </w:pPr>
            <w:r>
              <w:rPr>
                <w:rFonts w:ascii="Arial" w:eastAsia="宋体" w:hAnsi="Arial" w:cs="Arial"/>
                <w:b/>
                <w:bCs/>
                <w:color w:val="000000"/>
                <w:sz w:val="13"/>
                <w:szCs w:val="13"/>
              </w:rPr>
              <w:t>(56)</w:t>
            </w:r>
          </w:p>
        </w:tc>
        <w:tc>
          <w:tcPr>
            <w:tcW w:w="0" w:type="auto"/>
            <w:tcBorders>
              <w:top w:val="single" w:sz="8" w:space="0" w:color="000000"/>
            </w:tcBorders>
            <w:shd w:val="clear" w:color="auto" w:fill="auto"/>
            <w:tcMar>
              <w:top w:w="40" w:type="dxa"/>
              <w:left w:w="0" w:type="dxa"/>
              <w:bottom w:w="40" w:type="dxa"/>
              <w:right w:w="20" w:type="dxa"/>
            </w:tcMar>
            <w:vAlign w:val="bottom"/>
          </w:tcPr>
          <w:p w14:paraId="5EA27B3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B3C"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B3D" w14:textId="77777777" w:rsidR="003C66EB" w:rsidRDefault="00D96C4E">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A27B3E" w14:textId="77777777" w:rsidR="003C66EB" w:rsidRDefault="00D96C4E">
            <w:pPr>
              <w:jc w:val="right"/>
              <w:textAlignment w:val="bottom"/>
            </w:pPr>
            <w:r>
              <w:rPr>
                <w:rFonts w:ascii="Arial" w:eastAsia="宋体" w:hAnsi="Arial" w:cs="Arial"/>
                <w:color w:val="000000"/>
                <w:sz w:val="13"/>
                <w:szCs w:val="13"/>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B3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B40" w14:textId="77777777" w:rsidR="003C66EB" w:rsidRDefault="003C66EB">
            <w:pPr>
              <w:rPr>
                <w:rFonts w:ascii="宋体"/>
              </w:rPr>
            </w:pPr>
          </w:p>
        </w:tc>
        <w:tc>
          <w:tcPr>
            <w:tcW w:w="0" w:type="auto"/>
            <w:gridSpan w:val="3"/>
            <w:shd w:val="clear" w:color="auto" w:fill="auto"/>
          </w:tcPr>
          <w:p w14:paraId="5EA27B41" w14:textId="77777777" w:rsidR="003C66EB" w:rsidRDefault="003C66EB">
            <w:pPr>
              <w:rPr>
                <w:rFonts w:ascii="宋体"/>
                <w:vanish/>
              </w:rPr>
            </w:pPr>
          </w:p>
        </w:tc>
        <w:tc>
          <w:tcPr>
            <w:tcW w:w="0" w:type="auto"/>
            <w:gridSpan w:val="3"/>
            <w:shd w:val="clear" w:color="auto" w:fill="auto"/>
          </w:tcPr>
          <w:p w14:paraId="5EA27B42" w14:textId="77777777" w:rsidR="003C66EB" w:rsidRDefault="003C66EB">
            <w:pPr>
              <w:rPr>
                <w:rFonts w:ascii="宋体"/>
                <w:vanish/>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EA27B43" w14:textId="77777777" w:rsidR="003C66EB" w:rsidRDefault="00D96C4E">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EA27B44" w14:textId="77777777" w:rsidR="003C66EB" w:rsidRDefault="00D96C4E">
            <w:pPr>
              <w:jc w:val="right"/>
              <w:textAlignment w:val="bottom"/>
            </w:pPr>
            <w:r>
              <w:rPr>
                <w:rFonts w:ascii="Arial" w:eastAsia="宋体" w:hAnsi="Arial" w:cs="Arial"/>
                <w:b/>
                <w:bCs/>
                <w:color w:val="000000"/>
                <w:sz w:val="13"/>
                <w:szCs w:val="13"/>
              </w:rPr>
              <w:t>627</w:t>
            </w:r>
            <w:r>
              <w:rPr>
                <w:rFonts w:ascii="Arial" w:eastAsia="宋体" w:hAnsi="Arial" w:cs="Arial"/>
                <w:color w:val="000000"/>
                <w:sz w:val="13"/>
                <w:szCs w:val="13"/>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EA27B45" w14:textId="77777777" w:rsidR="003C66EB" w:rsidRDefault="003C66EB">
            <w:pPr>
              <w:jc w:val="right"/>
              <w:rPr>
                <w:rFonts w:ascii="宋体"/>
              </w:rPr>
            </w:pPr>
          </w:p>
        </w:tc>
        <w:tc>
          <w:tcPr>
            <w:tcW w:w="0" w:type="auto"/>
            <w:gridSpan w:val="2"/>
            <w:shd w:val="clear" w:color="auto" w:fill="FFFFFF"/>
            <w:tcMar>
              <w:top w:w="0" w:type="dxa"/>
              <w:left w:w="20" w:type="dxa"/>
              <w:bottom w:w="0" w:type="dxa"/>
              <w:right w:w="20" w:type="dxa"/>
            </w:tcMar>
          </w:tcPr>
          <w:p w14:paraId="5EA27B46" w14:textId="77777777" w:rsidR="003C66EB" w:rsidRDefault="003C66E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A27B47" w14:textId="77777777" w:rsidR="003C66EB" w:rsidRDefault="00D96C4E">
            <w:pPr>
              <w:textAlignment w:val="bottom"/>
            </w:pPr>
            <w:r>
              <w:rPr>
                <w:rFonts w:ascii="Arial" w:eastAsia="宋体" w:hAnsi="Arial" w:cs="Arial"/>
                <w:color w:val="000000"/>
                <w:sz w:val="13"/>
                <w:szCs w:val="13"/>
              </w:rPr>
              <w:t>$</w:t>
            </w:r>
          </w:p>
          <w:p w14:paraId="5EA27B48" w14:textId="77777777" w:rsidR="003C66EB" w:rsidRDefault="00D96C4E">
            <w:pPr>
              <w:jc w:val="right"/>
              <w:textAlignment w:val="bottom"/>
            </w:pPr>
            <w:r>
              <w:rPr>
                <w:rFonts w:ascii="Arial" w:eastAsia="宋体" w:hAnsi="Arial" w:cs="Arial"/>
                <w:color w:val="000000"/>
                <w:sz w:val="13"/>
                <w:szCs w:val="13"/>
              </w:rPr>
              <w:t>774 </w:t>
            </w:r>
          </w:p>
        </w:tc>
      </w:tr>
      <w:tr w:rsidR="003C66EB" w14:paraId="5EA27B66" w14:textId="77777777">
        <w:tc>
          <w:tcPr>
            <w:tcW w:w="0" w:type="auto"/>
            <w:gridSpan w:val="3"/>
            <w:shd w:val="clear" w:color="auto" w:fill="CCEEFF"/>
            <w:tcMar>
              <w:top w:w="40" w:type="dxa"/>
              <w:left w:w="20" w:type="dxa"/>
              <w:bottom w:w="40" w:type="dxa"/>
              <w:right w:w="20" w:type="dxa"/>
            </w:tcMar>
            <w:vAlign w:val="bottom"/>
          </w:tcPr>
          <w:p w14:paraId="5EA27B4A" w14:textId="77777777" w:rsidR="003C66EB" w:rsidRDefault="00D96C4E">
            <w:pPr>
              <w:textAlignment w:val="bottom"/>
            </w:pPr>
            <w:r>
              <w:rPr>
                <w:rFonts w:ascii="Arial" w:eastAsia="宋体" w:hAnsi="Arial" w:cs="Arial"/>
                <w:color w:val="000000"/>
                <w:sz w:val="13"/>
                <w:szCs w:val="13"/>
              </w:rPr>
              <w:t>Pre-tax margin</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A27B4B" w14:textId="77777777" w:rsidR="003C66EB" w:rsidRDefault="00D96C4E">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A27B4C" w14:textId="77777777" w:rsidR="003C66EB" w:rsidRDefault="00D96C4E">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5EA27B4D" w14:textId="77777777" w:rsidR="003C66EB" w:rsidRDefault="003C66E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A27B4E" w14:textId="77777777" w:rsidR="003C66EB" w:rsidRDefault="00D96C4E">
            <w:pPr>
              <w:jc w:val="right"/>
              <w:textAlignment w:val="bottom"/>
            </w:pPr>
            <w:r>
              <w:rPr>
                <w:rFonts w:ascii="Arial" w:eastAsia="宋体" w:hAnsi="Arial" w:cs="Arial"/>
                <w:color w:val="000000"/>
                <w:sz w:val="13"/>
                <w:szCs w:val="13"/>
              </w:rPr>
              <w:t>27 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A27B4F" w14:textId="77777777" w:rsidR="003C66EB" w:rsidRDefault="00D96C4E">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5EA27B50" w14:textId="77777777" w:rsidR="003C66EB" w:rsidRDefault="003C66EB">
            <w:pPr>
              <w:rPr>
                <w:rFonts w:ascii="宋体"/>
              </w:rPr>
            </w:pPr>
          </w:p>
        </w:tc>
        <w:tc>
          <w:tcPr>
            <w:tcW w:w="0" w:type="auto"/>
            <w:gridSpan w:val="3"/>
            <w:shd w:val="clear" w:color="auto" w:fill="auto"/>
          </w:tcPr>
          <w:p w14:paraId="5EA27B51" w14:textId="77777777" w:rsidR="003C66EB" w:rsidRDefault="003C66EB">
            <w:pPr>
              <w:rPr>
                <w:rFonts w:ascii="宋体"/>
                <w:vanish/>
              </w:rPr>
            </w:pPr>
          </w:p>
        </w:tc>
        <w:tc>
          <w:tcPr>
            <w:tcW w:w="0" w:type="auto"/>
            <w:gridSpan w:val="3"/>
            <w:shd w:val="clear" w:color="auto" w:fill="auto"/>
          </w:tcPr>
          <w:p w14:paraId="5EA27B52" w14:textId="77777777" w:rsidR="003C66EB" w:rsidRDefault="003C66EB">
            <w:pPr>
              <w:rPr>
                <w:rFonts w:ascii="宋体"/>
                <w:vanish/>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A27B53" w14:textId="77777777" w:rsidR="003C66EB" w:rsidRDefault="00D96C4E">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A27B54" w14:textId="77777777" w:rsidR="003C66EB" w:rsidRDefault="00D96C4E">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5EA27B55" w14:textId="77777777" w:rsidR="003C66EB" w:rsidRDefault="003C66E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A27B56" w14:textId="77777777" w:rsidR="003C66EB" w:rsidRDefault="00D96C4E">
            <w:pPr>
              <w:jc w:val="right"/>
              <w:textAlignment w:val="bottom"/>
            </w:pPr>
            <w:r>
              <w:rPr>
                <w:rFonts w:ascii="Arial" w:eastAsia="宋体" w:hAnsi="Arial" w:cs="Arial"/>
                <w:color w:val="000000"/>
                <w:sz w:val="13"/>
                <w:szCs w:val="13"/>
              </w:rPr>
              <w:t>15 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A27B57" w14:textId="77777777" w:rsidR="003C66EB" w:rsidRDefault="00D96C4E">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5EA27B58" w14:textId="77777777" w:rsidR="003C66EB" w:rsidRDefault="003C66EB">
            <w:pPr>
              <w:rPr>
                <w:rFonts w:ascii="宋体"/>
              </w:rPr>
            </w:pPr>
          </w:p>
        </w:tc>
        <w:tc>
          <w:tcPr>
            <w:tcW w:w="0" w:type="auto"/>
            <w:gridSpan w:val="3"/>
            <w:shd w:val="clear" w:color="auto" w:fill="auto"/>
          </w:tcPr>
          <w:p w14:paraId="5EA27B59" w14:textId="77777777" w:rsidR="003C66EB" w:rsidRDefault="003C66EB">
            <w:pPr>
              <w:rPr>
                <w:rFonts w:ascii="宋体"/>
                <w:vanish/>
              </w:rPr>
            </w:pPr>
          </w:p>
        </w:tc>
        <w:tc>
          <w:tcPr>
            <w:tcW w:w="0" w:type="auto"/>
            <w:gridSpan w:val="3"/>
            <w:shd w:val="clear" w:color="auto" w:fill="auto"/>
          </w:tcPr>
          <w:p w14:paraId="5EA27B5A" w14:textId="77777777" w:rsidR="003C66EB" w:rsidRDefault="003C66EB">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B5B"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B5C" w14:textId="77777777" w:rsidR="003C66EB" w:rsidRDefault="003C66E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5EA27B5D" w14:textId="77777777" w:rsidR="003C66EB" w:rsidRDefault="003C66EB">
            <w:pPr>
              <w:rPr>
                <w:rFonts w:ascii="宋体"/>
              </w:rPr>
            </w:pPr>
          </w:p>
        </w:tc>
        <w:tc>
          <w:tcPr>
            <w:tcW w:w="0" w:type="auto"/>
            <w:gridSpan w:val="3"/>
            <w:shd w:val="clear" w:color="auto" w:fill="CCEEFF"/>
            <w:tcMar>
              <w:top w:w="0" w:type="dxa"/>
              <w:left w:w="20" w:type="dxa"/>
              <w:bottom w:w="0" w:type="dxa"/>
              <w:right w:w="20" w:type="dxa"/>
            </w:tcMar>
          </w:tcPr>
          <w:p w14:paraId="5EA27B5E" w14:textId="77777777" w:rsidR="003C66EB" w:rsidRDefault="003C66EB">
            <w:pPr>
              <w:rPr>
                <w:rFonts w:ascii="宋体"/>
              </w:rPr>
            </w:pPr>
          </w:p>
        </w:tc>
        <w:tc>
          <w:tcPr>
            <w:tcW w:w="0" w:type="auto"/>
            <w:gridSpan w:val="3"/>
            <w:shd w:val="clear" w:color="auto" w:fill="auto"/>
          </w:tcPr>
          <w:p w14:paraId="5EA27B5F" w14:textId="77777777" w:rsidR="003C66EB" w:rsidRDefault="003C66EB">
            <w:pPr>
              <w:rPr>
                <w:rFonts w:ascii="宋体"/>
                <w:vanish/>
              </w:rPr>
            </w:pPr>
          </w:p>
        </w:tc>
        <w:tc>
          <w:tcPr>
            <w:tcW w:w="0" w:type="auto"/>
            <w:gridSpan w:val="3"/>
            <w:shd w:val="clear" w:color="auto" w:fill="auto"/>
          </w:tcPr>
          <w:p w14:paraId="5EA27B60" w14:textId="77777777" w:rsidR="003C66EB" w:rsidRDefault="003C66EB">
            <w:pPr>
              <w:rPr>
                <w:rFonts w:ascii="宋体"/>
                <w:vanish/>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A27B61" w14:textId="77777777" w:rsidR="003C66EB" w:rsidRDefault="00D96C4E">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A27B62" w14:textId="77777777" w:rsidR="003C66EB" w:rsidRDefault="00D96C4E">
            <w:pPr>
              <w:jc w:val="right"/>
              <w:textAlignment w:val="bottom"/>
            </w:pPr>
            <w:r>
              <w:rPr>
                <w:rFonts w:ascii="Arial" w:eastAsia="宋体" w:hAnsi="Arial" w:cs="Arial"/>
                <w:b/>
                <w:bCs/>
                <w:color w:val="000000"/>
                <w:sz w:val="13"/>
                <w:szCs w:val="13"/>
              </w:rPr>
              <w:t>%</w:t>
            </w:r>
          </w:p>
        </w:tc>
        <w:tc>
          <w:tcPr>
            <w:tcW w:w="0" w:type="auto"/>
            <w:gridSpan w:val="2"/>
            <w:shd w:val="clear" w:color="auto" w:fill="CCEEFF"/>
            <w:tcMar>
              <w:top w:w="0" w:type="dxa"/>
              <w:left w:w="20" w:type="dxa"/>
              <w:bottom w:w="0" w:type="dxa"/>
              <w:right w:w="20" w:type="dxa"/>
            </w:tcMar>
          </w:tcPr>
          <w:p w14:paraId="5EA27B63" w14:textId="77777777" w:rsidR="003C66EB" w:rsidRDefault="003C66EB">
            <w:pPr>
              <w:rPr>
                <w:rFonts w:ascii="宋体"/>
              </w:rPr>
            </w:pPr>
          </w:p>
        </w:tc>
        <w:tc>
          <w:tcPr>
            <w:tcW w:w="0" w:type="auto"/>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A27B64" w14:textId="77777777" w:rsidR="003C66EB" w:rsidRDefault="00D96C4E">
            <w:pPr>
              <w:jc w:val="right"/>
              <w:textAlignment w:val="bottom"/>
            </w:pPr>
            <w:r>
              <w:rPr>
                <w:rFonts w:ascii="Arial" w:eastAsia="宋体" w:hAnsi="Arial" w:cs="Arial"/>
                <w:color w:val="000000"/>
                <w:sz w:val="13"/>
                <w:szCs w:val="13"/>
              </w:rPr>
              <w:t>25 </w:t>
            </w:r>
          </w:p>
          <w:p w14:paraId="5EA27B65" w14:textId="77777777" w:rsidR="003C66EB" w:rsidRDefault="00D96C4E">
            <w:pPr>
              <w:jc w:val="right"/>
              <w:textAlignment w:val="bottom"/>
            </w:pPr>
            <w:r>
              <w:rPr>
                <w:rFonts w:ascii="Arial" w:eastAsia="宋体" w:hAnsi="Arial" w:cs="Arial"/>
                <w:color w:val="000000"/>
                <w:sz w:val="13"/>
                <w:szCs w:val="13"/>
              </w:rPr>
              <w:t>%</w:t>
            </w:r>
          </w:p>
        </w:tc>
      </w:tr>
      <w:tr w:rsidR="003C66EB" w14:paraId="5EA27B7D" w14:textId="77777777">
        <w:trPr>
          <w:hidden/>
        </w:trPr>
        <w:tc>
          <w:tcPr>
            <w:tcW w:w="0" w:type="auto"/>
            <w:gridSpan w:val="3"/>
            <w:shd w:val="clear" w:color="auto" w:fill="auto"/>
          </w:tcPr>
          <w:p w14:paraId="5EA27B67" w14:textId="77777777" w:rsidR="003C66EB" w:rsidRDefault="003C66EB">
            <w:pPr>
              <w:rPr>
                <w:rFonts w:ascii="宋体"/>
                <w:vanish/>
              </w:rPr>
            </w:pPr>
          </w:p>
        </w:tc>
        <w:tc>
          <w:tcPr>
            <w:tcW w:w="0" w:type="auto"/>
            <w:gridSpan w:val="3"/>
            <w:shd w:val="clear" w:color="auto" w:fill="auto"/>
          </w:tcPr>
          <w:p w14:paraId="5EA27B68" w14:textId="77777777" w:rsidR="003C66EB" w:rsidRDefault="003C66EB">
            <w:pPr>
              <w:rPr>
                <w:rFonts w:ascii="宋体"/>
                <w:vanish/>
              </w:rPr>
            </w:pPr>
          </w:p>
        </w:tc>
        <w:tc>
          <w:tcPr>
            <w:tcW w:w="0" w:type="auto"/>
            <w:gridSpan w:val="3"/>
            <w:shd w:val="clear" w:color="auto" w:fill="auto"/>
          </w:tcPr>
          <w:p w14:paraId="5EA27B69" w14:textId="77777777" w:rsidR="003C66EB" w:rsidRDefault="003C66EB">
            <w:pPr>
              <w:rPr>
                <w:rFonts w:ascii="宋体"/>
                <w:vanish/>
              </w:rPr>
            </w:pPr>
          </w:p>
        </w:tc>
        <w:tc>
          <w:tcPr>
            <w:tcW w:w="0" w:type="auto"/>
            <w:gridSpan w:val="3"/>
            <w:shd w:val="clear" w:color="auto" w:fill="auto"/>
          </w:tcPr>
          <w:p w14:paraId="5EA27B6A" w14:textId="77777777" w:rsidR="003C66EB" w:rsidRDefault="003C66EB">
            <w:pPr>
              <w:rPr>
                <w:rFonts w:ascii="宋体"/>
                <w:vanish/>
              </w:rPr>
            </w:pPr>
          </w:p>
        </w:tc>
        <w:tc>
          <w:tcPr>
            <w:tcW w:w="0" w:type="auto"/>
            <w:gridSpan w:val="3"/>
            <w:shd w:val="clear" w:color="auto" w:fill="auto"/>
          </w:tcPr>
          <w:p w14:paraId="5EA27B6B" w14:textId="77777777" w:rsidR="003C66EB" w:rsidRDefault="003C66EB">
            <w:pPr>
              <w:rPr>
                <w:rFonts w:ascii="宋体"/>
                <w:vanish/>
              </w:rPr>
            </w:pPr>
          </w:p>
        </w:tc>
        <w:tc>
          <w:tcPr>
            <w:tcW w:w="0" w:type="auto"/>
            <w:gridSpan w:val="3"/>
            <w:shd w:val="clear" w:color="auto" w:fill="auto"/>
          </w:tcPr>
          <w:p w14:paraId="5EA27B6C" w14:textId="77777777" w:rsidR="003C66EB" w:rsidRDefault="003C66EB">
            <w:pPr>
              <w:rPr>
                <w:rFonts w:ascii="宋体"/>
                <w:vanish/>
              </w:rPr>
            </w:pPr>
          </w:p>
        </w:tc>
        <w:tc>
          <w:tcPr>
            <w:tcW w:w="0" w:type="auto"/>
            <w:gridSpan w:val="3"/>
            <w:shd w:val="clear" w:color="auto" w:fill="auto"/>
          </w:tcPr>
          <w:p w14:paraId="5EA27B6D" w14:textId="77777777" w:rsidR="003C66EB" w:rsidRDefault="003C66EB">
            <w:pPr>
              <w:rPr>
                <w:rFonts w:ascii="宋体"/>
                <w:vanish/>
              </w:rPr>
            </w:pPr>
          </w:p>
        </w:tc>
        <w:tc>
          <w:tcPr>
            <w:tcW w:w="0" w:type="auto"/>
            <w:gridSpan w:val="3"/>
            <w:shd w:val="clear" w:color="auto" w:fill="auto"/>
          </w:tcPr>
          <w:p w14:paraId="5EA27B6E" w14:textId="77777777" w:rsidR="003C66EB" w:rsidRDefault="003C66EB">
            <w:pPr>
              <w:rPr>
                <w:rFonts w:ascii="宋体"/>
                <w:vanish/>
              </w:rPr>
            </w:pPr>
          </w:p>
        </w:tc>
        <w:tc>
          <w:tcPr>
            <w:tcW w:w="0" w:type="auto"/>
            <w:gridSpan w:val="3"/>
            <w:shd w:val="clear" w:color="auto" w:fill="auto"/>
          </w:tcPr>
          <w:p w14:paraId="5EA27B6F" w14:textId="77777777" w:rsidR="003C66EB" w:rsidRDefault="003C66EB">
            <w:pPr>
              <w:rPr>
                <w:rFonts w:ascii="宋体"/>
                <w:vanish/>
              </w:rPr>
            </w:pPr>
          </w:p>
        </w:tc>
        <w:tc>
          <w:tcPr>
            <w:tcW w:w="0" w:type="auto"/>
            <w:gridSpan w:val="3"/>
            <w:shd w:val="clear" w:color="auto" w:fill="auto"/>
          </w:tcPr>
          <w:p w14:paraId="5EA27B70" w14:textId="77777777" w:rsidR="003C66EB" w:rsidRDefault="003C66EB">
            <w:pPr>
              <w:rPr>
                <w:rFonts w:ascii="宋体"/>
                <w:vanish/>
              </w:rPr>
            </w:pPr>
          </w:p>
        </w:tc>
        <w:tc>
          <w:tcPr>
            <w:tcW w:w="0" w:type="auto"/>
            <w:gridSpan w:val="3"/>
            <w:shd w:val="clear" w:color="auto" w:fill="auto"/>
          </w:tcPr>
          <w:p w14:paraId="5EA27B71" w14:textId="77777777" w:rsidR="003C66EB" w:rsidRDefault="003C66EB">
            <w:pPr>
              <w:rPr>
                <w:rFonts w:ascii="宋体"/>
                <w:vanish/>
              </w:rPr>
            </w:pPr>
          </w:p>
        </w:tc>
        <w:tc>
          <w:tcPr>
            <w:tcW w:w="0" w:type="auto"/>
            <w:gridSpan w:val="3"/>
            <w:shd w:val="clear" w:color="auto" w:fill="auto"/>
          </w:tcPr>
          <w:p w14:paraId="5EA27B72" w14:textId="77777777" w:rsidR="003C66EB" w:rsidRDefault="003C66EB">
            <w:pPr>
              <w:rPr>
                <w:rFonts w:ascii="宋体"/>
                <w:vanish/>
              </w:rPr>
            </w:pPr>
          </w:p>
        </w:tc>
        <w:tc>
          <w:tcPr>
            <w:tcW w:w="0" w:type="auto"/>
            <w:gridSpan w:val="3"/>
            <w:shd w:val="clear" w:color="auto" w:fill="auto"/>
          </w:tcPr>
          <w:p w14:paraId="5EA27B73" w14:textId="77777777" w:rsidR="003C66EB" w:rsidRDefault="003C66EB">
            <w:pPr>
              <w:rPr>
                <w:rFonts w:ascii="宋体"/>
                <w:vanish/>
              </w:rPr>
            </w:pPr>
          </w:p>
        </w:tc>
        <w:tc>
          <w:tcPr>
            <w:tcW w:w="0" w:type="auto"/>
            <w:gridSpan w:val="3"/>
            <w:shd w:val="clear" w:color="auto" w:fill="auto"/>
          </w:tcPr>
          <w:p w14:paraId="5EA27B74" w14:textId="77777777" w:rsidR="003C66EB" w:rsidRDefault="003C66EB">
            <w:pPr>
              <w:rPr>
                <w:rFonts w:ascii="宋体"/>
                <w:vanish/>
              </w:rPr>
            </w:pPr>
          </w:p>
        </w:tc>
        <w:tc>
          <w:tcPr>
            <w:tcW w:w="0" w:type="auto"/>
            <w:gridSpan w:val="3"/>
            <w:shd w:val="clear" w:color="auto" w:fill="auto"/>
          </w:tcPr>
          <w:p w14:paraId="5EA27B75" w14:textId="77777777" w:rsidR="003C66EB" w:rsidRDefault="003C66EB">
            <w:pPr>
              <w:rPr>
                <w:rFonts w:ascii="宋体"/>
                <w:vanish/>
              </w:rPr>
            </w:pPr>
          </w:p>
        </w:tc>
        <w:tc>
          <w:tcPr>
            <w:tcW w:w="0" w:type="auto"/>
            <w:gridSpan w:val="3"/>
            <w:shd w:val="clear" w:color="auto" w:fill="auto"/>
          </w:tcPr>
          <w:p w14:paraId="5EA27B76" w14:textId="77777777" w:rsidR="003C66EB" w:rsidRDefault="003C66EB">
            <w:pPr>
              <w:rPr>
                <w:rFonts w:ascii="宋体"/>
                <w:vanish/>
              </w:rPr>
            </w:pPr>
          </w:p>
        </w:tc>
        <w:tc>
          <w:tcPr>
            <w:tcW w:w="0" w:type="auto"/>
            <w:gridSpan w:val="3"/>
            <w:shd w:val="clear" w:color="auto" w:fill="auto"/>
          </w:tcPr>
          <w:p w14:paraId="5EA27B77" w14:textId="77777777" w:rsidR="003C66EB" w:rsidRDefault="003C66EB">
            <w:pPr>
              <w:rPr>
                <w:rFonts w:ascii="宋体"/>
                <w:vanish/>
              </w:rPr>
            </w:pPr>
          </w:p>
        </w:tc>
        <w:tc>
          <w:tcPr>
            <w:tcW w:w="0" w:type="auto"/>
            <w:gridSpan w:val="3"/>
            <w:shd w:val="clear" w:color="auto" w:fill="auto"/>
          </w:tcPr>
          <w:p w14:paraId="5EA27B78" w14:textId="77777777" w:rsidR="003C66EB" w:rsidRDefault="003C66EB">
            <w:pPr>
              <w:rPr>
                <w:rFonts w:ascii="宋体"/>
                <w:vanish/>
              </w:rPr>
            </w:pPr>
          </w:p>
        </w:tc>
        <w:tc>
          <w:tcPr>
            <w:tcW w:w="0" w:type="auto"/>
            <w:gridSpan w:val="3"/>
            <w:shd w:val="clear" w:color="auto" w:fill="auto"/>
          </w:tcPr>
          <w:p w14:paraId="5EA27B79" w14:textId="77777777" w:rsidR="003C66EB" w:rsidRDefault="003C66EB">
            <w:pPr>
              <w:rPr>
                <w:rFonts w:ascii="宋体"/>
                <w:vanish/>
              </w:rPr>
            </w:pPr>
          </w:p>
        </w:tc>
        <w:tc>
          <w:tcPr>
            <w:tcW w:w="0" w:type="auto"/>
            <w:gridSpan w:val="3"/>
            <w:shd w:val="clear" w:color="auto" w:fill="auto"/>
          </w:tcPr>
          <w:p w14:paraId="5EA27B7A" w14:textId="77777777" w:rsidR="003C66EB" w:rsidRDefault="003C66EB">
            <w:pPr>
              <w:rPr>
                <w:rFonts w:ascii="宋体"/>
                <w:vanish/>
              </w:rPr>
            </w:pPr>
          </w:p>
        </w:tc>
        <w:tc>
          <w:tcPr>
            <w:tcW w:w="0" w:type="auto"/>
            <w:gridSpan w:val="2"/>
            <w:shd w:val="clear" w:color="auto" w:fill="auto"/>
          </w:tcPr>
          <w:p w14:paraId="5EA27B7B" w14:textId="77777777" w:rsidR="003C66EB" w:rsidRDefault="003C66EB">
            <w:pPr>
              <w:rPr>
                <w:rFonts w:ascii="宋体"/>
                <w:vanish/>
              </w:rPr>
            </w:pPr>
          </w:p>
        </w:tc>
        <w:tc>
          <w:tcPr>
            <w:tcW w:w="0" w:type="auto"/>
            <w:shd w:val="clear" w:color="auto" w:fill="auto"/>
          </w:tcPr>
          <w:p w14:paraId="5EA27B7C" w14:textId="77777777" w:rsidR="003C66EB" w:rsidRDefault="003C66EB">
            <w:pPr>
              <w:rPr>
                <w:rFonts w:ascii="宋体"/>
                <w:vanish/>
              </w:rPr>
            </w:pPr>
          </w:p>
        </w:tc>
      </w:tr>
    </w:tbl>
    <w:p w14:paraId="5EA27B7E" w14:textId="77777777" w:rsidR="003C66EB" w:rsidRDefault="003C66EB">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3C66EB" w14:paraId="5EA27B8B" w14:textId="77777777">
        <w:tc>
          <w:tcPr>
            <w:tcW w:w="50" w:type="pct"/>
            <w:shd w:val="clear" w:color="auto" w:fill="auto"/>
          </w:tcPr>
          <w:p w14:paraId="5EA27B7F" w14:textId="77777777" w:rsidR="003C66EB" w:rsidRDefault="003C66EB">
            <w:pPr>
              <w:rPr>
                <w:rFonts w:ascii="宋体"/>
              </w:rPr>
            </w:pPr>
          </w:p>
        </w:tc>
        <w:tc>
          <w:tcPr>
            <w:tcW w:w="1349" w:type="pct"/>
            <w:shd w:val="clear" w:color="auto" w:fill="auto"/>
          </w:tcPr>
          <w:p w14:paraId="5EA27B80" w14:textId="77777777" w:rsidR="003C66EB" w:rsidRDefault="003C66EB">
            <w:pPr>
              <w:rPr>
                <w:rFonts w:ascii="宋体"/>
              </w:rPr>
            </w:pPr>
          </w:p>
        </w:tc>
        <w:tc>
          <w:tcPr>
            <w:tcW w:w="5" w:type="pct"/>
            <w:shd w:val="clear" w:color="auto" w:fill="auto"/>
          </w:tcPr>
          <w:p w14:paraId="5EA27B81" w14:textId="77777777" w:rsidR="003C66EB" w:rsidRDefault="003C66EB">
            <w:pPr>
              <w:rPr>
                <w:rFonts w:ascii="宋体"/>
              </w:rPr>
            </w:pPr>
          </w:p>
        </w:tc>
        <w:tc>
          <w:tcPr>
            <w:tcW w:w="50" w:type="pct"/>
            <w:shd w:val="clear" w:color="auto" w:fill="auto"/>
          </w:tcPr>
          <w:p w14:paraId="5EA27B82" w14:textId="77777777" w:rsidR="003C66EB" w:rsidRDefault="003C66EB">
            <w:pPr>
              <w:rPr>
                <w:rFonts w:ascii="宋体"/>
              </w:rPr>
            </w:pPr>
          </w:p>
        </w:tc>
        <w:tc>
          <w:tcPr>
            <w:tcW w:w="915" w:type="pct"/>
            <w:shd w:val="clear" w:color="auto" w:fill="auto"/>
          </w:tcPr>
          <w:p w14:paraId="5EA27B83" w14:textId="77777777" w:rsidR="003C66EB" w:rsidRDefault="003C66EB">
            <w:pPr>
              <w:rPr>
                <w:rFonts w:ascii="宋体"/>
              </w:rPr>
            </w:pPr>
          </w:p>
        </w:tc>
        <w:tc>
          <w:tcPr>
            <w:tcW w:w="5" w:type="pct"/>
            <w:shd w:val="clear" w:color="auto" w:fill="auto"/>
          </w:tcPr>
          <w:p w14:paraId="5EA27B84" w14:textId="77777777" w:rsidR="003C66EB" w:rsidRDefault="003C66EB">
            <w:pPr>
              <w:rPr>
                <w:rFonts w:ascii="宋体"/>
              </w:rPr>
            </w:pPr>
          </w:p>
        </w:tc>
        <w:tc>
          <w:tcPr>
            <w:tcW w:w="50" w:type="pct"/>
            <w:shd w:val="clear" w:color="auto" w:fill="auto"/>
          </w:tcPr>
          <w:p w14:paraId="5EA27B85" w14:textId="77777777" w:rsidR="003C66EB" w:rsidRDefault="003C66EB">
            <w:pPr>
              <w:rPr>
                <w:rFonts w:ascii="宋体"/>
              </w:rPr>
            </w:pPr>
          </w:p>
        </w:tc>
        <w:tc>
          <w:tcPr>
            <w:tcW w:w="915" w:type="pct"/>
            <w:shd w:val="clear" w:color="auto" w:fill="auto"/>
          </w:tcPr>
          <w:p w14:paraId="5EA27B86" w14:textId="77777777" w:rsidR="003C66EB" w:rsidRDefault="003C66EB">
            <w:pPr>
              <w:rPr>
                <w:rFonts w:ascii="宋体"/>
              </w:rPr>
            </w:pPr>
          </w:p>
        </w:tc>
        <w:tc>
          <w:tcPr>
            <w:tcW w:w="5" w:type="pct"/>
            <w:shd w:val="clear" w:color="auto" w:fill="auto"/>
          </w:tcPr>
          <w:p w14:paraId="5EA27B87" w14:textId="77777777" w:rsidR="003C66EB" w:rsidRDefault="003C66EB">
            <w:pPr>
              <w:rPr>
                <w:rFonts w:ascii="宋体"/>
              </w:rPr>
            </w:pPr>
          </w:p>
        </w:tc>
        <w:tc>
          <w:tcPr>
            <w:tcW w:w="50" w:type="pct"/>
            <w:shd w:val="clear" w:color="auto" w:fill="auto"/>
          </w:tcPr>
          <w:p w14:paraId="5EA27B88" w14:textId="77777777" w:rsidR="003C66EB" w:rsidRDefault="003C66EB">
            <w:pPr>
              <w:rPr>
                <w:rFonts w:ascii="宋体"/>
              </w:rPr>
            </w:pPr>
          </w:p>
        </w:tc>
        <w:tc>
          <w:tcPr>
            <w:tcW w:w="1599" w:type="pct"/>
            <w:shd w:val="clear" w:color="auto" w:fill="auto"/>
          </w:tcPr>
          <w:p w14:paraId="5EA27B89" w14:textId="77777777" w:rsidR="003C66EB" w:rsidRDefault="003C66EB">
            <w:pPr>
              <w:rPr>
                <w:rFonts w:ascii="宋体"/>
              </w:rPr>
            </w:pPr>
          </w:p>
        </w:tc>
        <w:tc>
          <w:tcPr>
            <w:tcW w:w="5" w:type="pct"/>
            <w:shd w:val="clear" w:color="auto" w:fill="auto"/>
          </w:tcPr>
          <w:p w14:paraId="5EA27B8A" w14:textId="77777777" w:rsidR="003C66EB" w:rsidRDefault="003C66EB">
            <w:pPr>
              <w:rPr>
                <w:rFonts w:ascii="宋体"/>
              </w:rPr>
            </w:pPr>
          </w:p>
        </w:tc>
      </w:tr>
      <w:tr w:rsidR="003C66EB" w14:paraId="5EA27B9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7B8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B8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B8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B8F" w14:textId="77777777" w:rsidR="003C66EB" w:rsidRDefault="003C66EB">
            <w:pPr>
              <w:rPr>
                <w:rFonts w:ascii="宋体"/>
              </w:rPr>
            </w:pPr>
          </w:p>
        </w:tc>
      </w:tr>
    </w:tbl>
    <w:p w14:paraId="5EA27B91" w14:textId="77777777" w:rsidR="003C66EB" w:rsidRDefault="00D96C4E">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Investment Servicing includes results from our acquisition of CRD on October 1, 2018.</w:t>
      </w:r>
    </w:p>
    <w:p w14:paraId="5EA27B92" w14:textId="77777777" w:rsidR="003C66EB" w:rsidRDefault="00D96C4E">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Investment Management includes other revenue items that are primarily driven by </w:t>
      </w:r>
      <w:r>
        <w:rPr>
          <w:rFonts w:ascii="Arial" w:eastAsia="宋体" w:hAnsi="Arial" w:cs="Arial"/>
          <w:color w:val="000000"/>
          <w:sz w:val="12"/>
          <w:szCs w:val="12"/>
        </w:rPr>
        <w:t>equity market movements.</w:t>
      </w:r>
    </w:p>
    <w:p w14:paraId="5EA27B93" w14:textId="77777777" w:rsidR="003C66EB" w:rsidRDefault="00D96C4E">
      <w:pPr>
        <w:ind w:firstLine="450"/>
        <w:jc w:val="right"/>
      </w:pPr>
      <w:r>
        <w:rPr>
          <w:rFonts w:ascii="Arial" w:eastAsia="宋体" w:hAnsi="Arial" w:cs="Arial"/>
          <w:color w:val="000000"/>
          <w:sz w:val="18"/>
          <w:szCs w:val="18"/>
        </w:rPr>
        <w:t>State Street Corporation | 83</w:t>
      </w:r>
    </w:p>
    <w:p w14:paraId="5EA27B94" w14:textId="77777777" w:rsidR="003C66EB" w:rsidRDefault="003C66EB">
      <w:pPr>
        <w:ind w:firstLine="450"/>
        <w:jc w:val="center"/>
      </w:pPr>
    </w:p>
    <w:p w14:paraId="5EA27B95" w14:textId="77777777" w:rsidR="003C66EB" w:rsidRDefault="00D96C4E">
      <w:r>
        <w:pict w14:anchorId="5EA28803">
          <v:rect id="_x0000_i1107" style="width:415.3pt;height:1.5pt" o:hralign="center" o:hrstd="t" o:hr="t" fillcolor="#a0a0a0" stroked="f"/>
        </w:pict>
      </w:r>
    </w:p>
    <w:p w14:paraId="5EA27B96" w14:textId="77777777" w:rsidR="003C66EB" w:rsidRDefault="00D96C4E">
      <w:pPr>
        <w:ind w:firstLine="450"/>
        <w:jc w:val="center"/>
      </w:pPr>
      <w:r>
        <w:rPr>
          <w:rFonts w:ascii="Arial" w:eastAsia="宋体" w:hAnsi="Arial" w:cs="Arial"/>
          <w:b/>
          <w:bCs/>
          <w:color w:val="000000"/>
          <w:sz w:val="20"/>
          <w:szCs w:val="20"/>
        </w:rPr>
        <w:t>STATE STREET CORPORATION</w:t>
      </w:r>
    </w:p>
    <w:p w14:paraId="5EA27B97"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7B98" w14:textId="77777777" w:rsidR="003C66EB" w:rsidRDefault="00D96C4E">
      <w:pPr>
        <w:ind w:firstLine="450"/>
        <w:jc w:val="center"/>
      </w:pPr>
      <w:r>
        <w:rPr>
          <w:rFonts w:ascii="Arial" w:eastAsia="宋体" w:hAnsi="Arial" w:cs="Arial"/>
          <w:b/>
          <w:bCs/>
          <w:color w:val="000000"/>
          <w:sz w:val="20"/>
          <w:szCs w:val="20"/>
        </w:rPr>
        <w:t>(UNAUDITED)</w:t>
      </w:r>
    </w:p>
    <w:p w14:paraId="5EA27B99" w14:textId="77777777" w:rsidR="003C66EB" w:rsidRDefault="00D96C4E">
      <w:pPr>
        <w:spacing w:before="180"/>
        <w:jc w:val="both"/>
      </w:pPr>
      <w:r>
        <w:rPr>
          <w:rFonts w:ascii="Arial" w:eastAsia="宋体" w:hAnsi="Arial" w:cs="Arial"/>
          <w:b/>
          <w:bCs/>
          <w:color w:val="000000"/>
          <w:sz w:val="20"/>
          <w:szCs w:val="20"/>
        </w:rPr>
        <w:t>Note 18.  Revenue from Contracts with Customers</w:t>
      </w:r>
    </w:p>
    <w:p w14:paraId="5EA27B9A" w14:textId="77777777" w:rsidR="003C66EB" w:rsidRDefault="00D96C4E">
      <w:pPr>
        <w:spacing w:before="60"/>
        <w:ind w:firstLine="450"/>
        <w:jc w:val="both"/>
      </w:pPr>
      <w:r>
        <w:rPr>
          <w:rFonts w:ascii="Arial" w:eastAsia="宋体" w:hAnsi="Arial" w:cs="Arial"/>
          <w:color w:val="000000"/>
          <w:sz w:val="20"/>
          <w:szCs w:val="20"/>
        </w:rPr>
        <w:t>For additional information on our revenue from contracts wit</w:t>
      </w:r>
      <w:r>
        <w:rPr>
          <w:rFonts w:ascii="Arial" w:eastAsia="宋体" w:hAnsi="Arial" w:cs="Arial"/>
          <w:color w:val="000000"/>
          <w:sz w:val="20"/>
          <w:szCs w:val="20"/>
        </w:rPr>
        <w:t>h customers, including revenues associated with both our Investment Servicing and Investment Management lines of business, refer to pages 184 to 186 in Note 25 to the consolidated financial statements included under Item 8, Financial Statements and Supplem</w:t>
      </w:r>
      <w:r>
        <w:rPr>
          <w:rFonts w:ascii="Arial" w:eastAsia="宋体" w:hAnsi="Arial" w:cs="Arial"/>
          <w:color w:val="000000"/>
          <w:sz w:val="20"/>
          <w:szCs w:val="20"/>
        </w:rPr>
        <w:t>entary Data, in our 2020 Form 10-K.</w:t>
      </w:r>
    </w:p>
    <w:p w14:paraId="5EA27B9B" w14:textId="77777777" w:rsidR="003C66EB" w:rsidRDefault="00D96C4E">
      <w:pPr>
        <w:spacing w:before="60"/>
        <w:jc w:val="both"/>
      </w:pPr>
      <w:r>
        <w:rPr>
          <w:rFonts w:ascii="Arial" w:eastAsia="宋体" w:hAnsi="Arial" w:cs="Arial"/>
          <w:b/>
          <w:bCs/>
          <w:i/>
          <w:iCs/>
          <w:color w:val="000000"/>
          <w:sz w:val="20"/>
          <w:szCs w:val="20"/>
        </w:rPr>
        <w:t>Revenue by category</w:t>
      </w:r>
    </w:p>
    <w:p w14:paraId="5EA27B9C" w14:textId="77777777" w:rsidR="003C66EB" w:rsidRDefault="00D96C4E">
      <w:pPr>
        <w:spacing w:before="60"/>
        <w:ind w:firstLine="450"/>
        <w:jc w:val="both"/>
      </w:pPr>
      <w:r>
        <w:rPr>
          <w:rFonts w:ascii="Arial" w:eastAsia="宋体" w:hAnsi="Arial" w:cs="Arial"/>
          <w:color w:val="000000"/>
          <w:sz w:val="20"/>
          <w:szCs w:val="20"/>
        </w:rPr>
        <w:t>In the following table, revenue is disaggregated by our two lines of business and by revenue stream for which the nature, amount, timing and uncertainty of revenue and cash flows are affected by econo</w:t>
      </w:r>
      <w:r>
        <w:rPr>
          <w:rFonts w:ascii="Arial" w:eastAsia="宋体" w:hAnsi="Arial" w:cs="Arial"/>
          <w:color w:val="000000"/>
          <w:sz w:val="20"/>
          <w:szCs w:val="20"/>
        </w:rPr>
        <w:t xml:space="preserve">mic factors. </w:t>
      </w:r>
    </w:p>
    <w:tbl>
      <w:tblPr>
        <w:tblW w:w="4854" w:type="pct"/>
        <w:tblCellMar>
          <w:top w:w="15" w:type="dxa"/>
          <w:left w:w="15" w:type="dxa"/>
          <w:bottom w:w="15" w:type="dxa"/>
          <w:right w:w="15" w:type="dxa"/>
        </w:tblCellMar>
        <w:tblLook w:val="04A0" w:firstRow="1" w:lastRow="0" w:firstColumn="1" w:lastColumn="0" w:noHBand="0" w:noVBand="1"/>
      </w:tblPr>
      <w:tblGrid>
        <w:gridCol w:w="40"/>
        <w:gridCol w:w="1707"/>
        <w:gridCol w:w="38"/>
        <w:gridCol w:w="99"/>
        <w:gridCol w:w="582"/>
        <w:gridCol w:w="36"/>
        <w:gridCol w:w="36"/>
        <w:gridCol w:w="36"/>
        <w:gridCol w:w="36"/>
        <w:gridCol w:w="99"/>
        <w:gridCol w:w="557"/>
        <w:gridCol w:w="36"/>
        <w:gridCol w:w="36"/>
        <w:gridCol w:w="36"/>
        <w:gridCol w:w="36"/>
        <w:gridCol w:w="98"/>
        <w:gridCol w:w="513"/>
        <w:gridCol w:w="36"/>
        <w:gridCol w:w="36"/>
        <w:gridCol w:w="36"/>
        <w:gridCol w:w="36"/>
        <w:gridCol w:w="99"/>
        <w:gridCol w:w="665"/>
        <w:gridCol w:w="36"/>
        <w:gridCol w:w="36"/>
        <w:gridCol w:w="36"/>
        <w:gridCol w:w="36"/>
        <w:gridCol w:w="99"/>
        <w:gridCol w:w="569"/>
        <w:gridCol w:w="36"/>
        <w:gridCol w:w="36"/>
        <w:gridCol w:w="36"/>
        <w:gridCol w:w="36"/>
        <w:gridCol w:w="98"/>
        <w:gridCol w:w="384"/>
        <w:gridCol w:w="36"/>
        <w:gridCol w:w="36"/>
        <w:gridCol w:w="36"/>
        <w:gridCol w:w="36"/>
        <w:gridCol w:w="36"/>
        <w:gridCol w:w="36"/>
        <w:gridCol w:w="36"/>
        <w:gridCol w:w="36"/>
        <w:gridCol w:w="36"/>
        <w:gridCol w:w="36"/>
        <w:gridCol w:w="125"/>
        <w:gridCol w:w="125"/>
        <w:gridCol w:w="125"/>
        <w:gridCol w:w="36"/>
        <w:gridCol w:w="36"/>
        <w:gridCol w:w="36"/>
        <w:gridCol w:w="36"/>
        <w:gridCol w:w="36"/>
        <w:gridCol w:w="36"/>
        <w:gridCol w:w="36"/>
        <w:gridCol w:w="36"/>
        <w:gridCol w:w="36"/>
        <w:gridCol w:w="98"/>
        <w:gridCol w:w="533"/>
        <w:gridCol w:w="36"/>
      </w:tblGrid>
      <w:tr w:rsidR="003C66EB" w14:paraId="5EA27BCF" w14:textId="77777777">
        <w:tc>
          <w:tcPr>
            <w:tcW w:w="50" w:type="pct"/>
            <w:shd w:val="clear" w:color="auto" w:fill="auto"/>
          </w:tcPr>
          <w:p w14:paraId="5EA27B9D" w14:textId="77777777" w:rsidR="003C66EB" w:rsidRDefault="003C66EB">
            <w:pPr>
              <w:rPr>
                <w:rFonts w:ascii="宋体"/>
              </w:rPr>
            </w:pPr>
          </w:p>
        </w:tc>
        <w:tc>
          <w:tcPr>
            <w:tcW w:w="1217" w:type="pct"/>
            <w:shd w:val="clear" w:color="auto" w:fill="auto"/>
          </w:tcPr>
          <w:p w14:paraId="5EA27B9E" w14:textId="77777777" w:rsidR="003C66EB" w:rsidRDefault="003C66EB">
            <w:pPr>
              <w:rPr>
                <w:rFonts w:ascii="宋体"/>
              </w:rPr>
            </w:pPr>
          </w:p>
        </w:tc>
        <w:tc>
          <w:tcPr>
            <w:tcW w:w="5" w:type="pct"/>
            <w:shd w:val="clear" w:color="auto" w:fill="auto"/>
          </w:tcPr>
          <w:p w14:paraId="5EA27B9F" w14:textId="77777777" w:rsidR="003C66EB" w:rsidRDefault="003C66EB">
            <w:pPr>
              <w:rPr>
                <w:rFonts w:ascii="宋体"/>
              </w:rPr>
            </w:pPr>
          </w:p>
        </w:tc>
        <w:tc>
          <w:tcPr>
            <w:tcW w:w="50" w:type="pct"/>
            <w:shd w:val="clear" w:color="auto" w:fill="auto"/>
          </w:tcPr>
          <w:p w14:paraId="5EA27BA0" w14:textId="77777777" w:rsidR="003C66EB" w:rsidRDefault="003C66EB">
            <w:pPr>
              <w:rPr>
                <w:rFonts w:ascii="宋体"/>
              </w:rPr>
            </w:pPr>
          </w:p>
        </w:tc>
        <w:tc>
          <w:tcPr>
            <w:tcW w:w="434" w:type="pct"/>
            <w:shd w:val="clear" w:color="auto" w:fill="auto"/>
          </w:tcPr>
          <w:p w14:paraId="5EA27BA1" w14:textId="77777777" w:rsidR="003C66EB" w:rsidRDefault="003C66EB">
            <w:pPr>
              <w:rPr>
                <w:rFonts w:ascii="宋体"/>
              </w:rPr>
            </w:pPr>
          </w:p>
        </w:tc>
        <w:tc>
          <w:tcPr>
            <w:tcW w:w="5" w:type="pct"/>
            <w:shd w:val="clear" w:color="auto" w:fill="auto"/>
          </w:tcPr>
          <w:p w14:paraId="5EA27BA2" w14:textId="77777777" w:rsidR="003C66EB" w:rsidRDefault="003C66EB">
            <w:pPr>
              <w:rPr>
                <w:rFonts w:ascii="宋体"/>
              </w:rPr>
            </w:pPr>
          </w:p>
        </w:tc>
        <w:tc>
          <w:tcPr>
            <w:tcW w:w="5" w:type="pct"/>
            <w:shd w:val="clear" w:color="auto" w:fill="auto"/>
          </w:tcPr>
          <w:p w14:paraId="5EA27BA3" w14:textId="77777777" w:rsidR="003C66EB" w:rsidRDefault="003C66EB">
            <w:pPr>
              <w:rPr>
                <w:rFonts w:ascii="宋体"/>
              </w:rPr>
            </w:pPr>
          </w:p>
        </w:tc>
        <w:tc>
          <w:tcPr>
            <w:tcW w:w="27" w:type="pct"/>
            <w:shd w:val="clear" w:color="auto" w:fill="auto"/>
          </w:tcPr>
          <w:p w14:paraId="5EA27BA4" w14:textId="77777777" w:rsidR="003C66EB" w:rsidRDefault="003C66EB">
            <w:pPr>
              <w:rPr>
                <w:rFonts w:ascii="宋体"/>
              </w:rPr>
            </w:pPr>
          </w:p>
        </w:tc>
        <w:tc>
          <w:tcPr>
            <w:tcW w:w="5" w:type="pct"/>
            <w:shd w:val="clear" w:color="auto" w:fill="auto"/>
          </w:tcPr>
          <w:p w14:paraId="5EA27BA5" w14:textId="77777777" w:rsidR="003C66EB" w:rsidRDefault="003C66EB">
            <w:pPr>
              <w:rPr>
                <w:rFonts w:ascii="宋体"/>
              </w:rPr>
            </w:pPr>
          </w:p>
        </w:tc>
        <w:tc>
          <w:tcPr>
            <w:tcW w:w="50" w:type="pct"/>
            <w:shd w:val="clear" w:color="auto" w:fill="auto"/>
          </w:tcPr>
          <w:p w14:paraId="5EA27BA6" w14:textId="77777777" w:rsidR="003C66EB" w:rsidRDefault="003C66EB">
            <w:pPr>
              <w:rPr>
                <w:rFonts w:ascii="宋体"/>
              </w:rPr>
            </w:pPr>
          </w:p>
        </w:tc>
        <w:tc>
          <w:tcPr>
            <w:tcW w:w="449" w:type="pct"/>
            <w:shd w:val="clear" w:color="auto" w:fill="auto"/>
          </w:tcPr>
          <w:p w14:paraId="5EA27BA7" w14:textId="77777777" w:rsidR="003C66EB" w:rsidRDefault="003C66EB">
            <w:pPr>
              <w:rPr>
                <w:rFonts w:ascii="宋体"/>
              </w:rPr>
            </w:pPr>
          </w:p>
        </w:tc>
        <w:tc>
          <w:tcPr>
            <w:tcW w:w="5" w:type="pct"/>
            <w:shd w:val="clear" w:color="auto" w:fill="auto"/>
          </w:tcPr>
          <w:p w14:paraId="5EA27BA8" w14:textId="77777777" w:rsidR="003C66EB" w:rsidRDefault="003C66EB">
            <w:pPr>
              <w:rPr>
                <w:rFonts w:ascii="宋体"/>
              </w:rPr>
            </w:pPr>
          </w:p>
        </w:tc>
        <w:tc>
          <w:tcPr>
            <w:tcW w:w="5" w:type="pct"/>
            <w:shd w:val="clear" w:color="auto" w:fill="auto"/>
          </w:tcPr>
          <w:p w14:paraId="5EA27BA9" w14:textId="77777777" w:rsidR="003C66EB" w:rsidRDefault="003C66EB">
            <w:pPr>
              <w:rPr>
                <w:rFonts w:ascii="宋体"/>
              </w:rPr>
            </w:pPr>
          </w:p>
        </w:tc>
        <w:tc>
          <w:tcPr>
            <w:tcW w:w="27" w:type="pct"/>
            <w:shd w:val="clear" w:color="auto" w:fill="auto"/>
          </w:tcPr>
          <w:p w14:paraId="5EA27BAA" w14:textId="77777777" w:rsidR="003C66EB" w:rsidRDefault="003C66EB">
            <w:pPr>
              <w:rPr>
                <w:rFonts w:ascii="宋体"/>
              </w:rPr>
            </w:pPr>
          </w:p>
        </w:tc>
        <w:tc>
          <w:tcPr>
            <w:tcW w:w="5" w:type="pct"/>
            <w:shd w:val="clear" w:color="auto" w:fill="auto"/>
          </w:tcPr>
          <w:p w14:paraId="5EA27BAB" w14:textId="77777777" w:rsidR="003C66EB" w:rsidRDefault="003C66EB">
            <w:pPr>
              <w:rPr>
                <w:rFonts w:ascii="宋体"/>
              </w:rPr>
            </w:pPr>
          </w:p>
        </w:tc>
        <w:tc>
          <w:tcPr>
            <w:tcW w:w="50" w:type="pct"/>
            <w:shd w:val="clear" w:color="auto" w:fill="auto"/>
          </w:tcPr>
          <w:p w14:paraId="5EA27BAC" w14:textId="77777777" w:rsidR="003C66EB" w:rsidRDefault="003C66EB">
            <w:pPr>
              <w:rPr>
                <w:rFonts w:ascii="宋体"/>
              </w:rPr>
            </w:pPr>
          </w:p>
        </w:tc>
        <w:tc>
          <w:tcPr>
            <w:tcW w:w="419" w:type="pct"/>
            <w:shd w:val="clear" w:color="auto" w:fill="auto"/>
          </w:tcPr>
          <w:p w14:paraId="5EA27BAD" w14:textId="77777777" w:rsidR="003C66EB" w:rsidRDefault="003C66EB">
            <w:pPr>
              <w:rPr>
                <w:rFonts w:ascii="宋体"/>
              </w:rPr>
            </w:pPr>
          </w:p>
        </w:tc>
        <w:tc>
          <w:tcPr>
            <w:tcW w:w="5" w:type="pct"/>
            <w:shd w:val="clear" w:color="auto" w:fill="auto"/>
          </w:tcPr>
          <w:p w14:paraId="5EA27BAE" w14:textId="77777777" w:rsidR="003C66EB" w:rsidRDefault="003C66EB">
            <w:pPr>
              <w:rPr>
                <w:rFonts w:ascii="宋体"/>
              </w:rPr>
            </w:pPr>
          </w:p>
        </w:tc>
        <w:tc>
          <w:tcPr>
            <w:tcW w:w="5" w:type="pct"/>
            <w:shd w:val="clear" w:color="auto" w:fill="auto"/>
          </w:tcPr>
          <w:p w14:paraId="5EA27BAF" w14:textId="77777777" w:rsidR="003C66EB" w:rsidRDefault="003C66EB">
            <w:pPr>
              <w:rPr>
                <w:rFonts w:ascii="宋体"/>
              </w:rPr>
            </w:pPr>
          </w:p>
        </w:tc>
        <w:tc>
          <w:tcPr>
            <w:tcW w:w="27" w:type="pct"/>
            <w:shd w:val="clear" w:color="auto" w:fill="auto"/>
          </w:tcPr>
          <w:p w14:paraId="5EA27BB0" w14:textId="77777777" w:rsidR="003C66EB" w:rsidRDefault="003C66EB">
            <w:pPr>
              <w:rPr>
                <w:rFonts w:ascii="宋体"/>
              </w:rPr>
            </w:pPr>
          </w:p>
        </w:tc>
        <w:tc>
          <w:tcPr>
            <w:tcW w:w="5" w:type="pct"/>
            <w:shd w:val="clear" w:color="auto" w:fill="auto"/>
          </w:tcPr>
          <w:p w14:paraId="5EA27BB1" w14:textId="77777777" w:rsidR="003C66EB" w:rsidRDefault="003C66EB">
            <w:pPr>
              <w:rPr>
                <w:rFonts w:ascii="宋体"/>
              </w:rPr>
            </w:pPr>
          </w:p>
        </w:tc>
        <w:tc>
          <w:tcPr>
            <w:tcW w:w="50" w:type="pct"/>
            <w:shd w:val="clear" w:color="auto" w:fill="auto"/>
          </w:tcPr>
          <w:p w14:paraId="5EA27BB2" w14:textId="77777777" w:rsidR="003C66EB" w:rsidRDefault="003C66EB">
            <w:pPr>
              <w:rPr>
                <w:rFonts w:ascii="宋体"/>
              </w:rPr>
            </w:pPr>
          </w:p>
        </w:tc>
        <w:tc>
          <w:tcPr>
            <w:tcW w:w="524" w:type="pct"/>
            <w:shd w:val="clear" w:color="auto" w:fill="auto"/>
          </w:tcPr>
          <w:p w14:paraId="5EA27BB3" w14:textId="77777777" w:rsidR="003C66EB" w:rsidRDefault="003C66EB">
            <w:pPr>
              <w:rPr>
                <w:rFonts w:ascii="宋体"/>
              </w:rPr>
            </w:pPr>
          </w:p>
        </w:tc>
        <w:tc>
          <w:tcPr>
            <w:tcW w:w="5" w:type="pct"/>
            <w:shd w:val="clear" w:color="auto" w:fill="auto"/>
          </w:tcPr>
          <w:p w14:paraId="5EA27BB4" w14:textId="77777777" w:rsidR="003C66EB" w:rsidRDefault="003C66EB">
            <w:pPr>
              <w:rPr>
                <w:rFonts w:ascii="宋体"/>
              </w:rPr>
            </w:pPr>
          </w:p>
        </w:tc>
        <w:tc>
          <w:tcPr>
            <w:tcW w:w="5" w:type="pct"/>
            <w:shd w:val="clear" w:color="auto" w:fill="auto"/>
          </w:tcPr>
          <w:p w14:paraId="5EA27BB5" w14:textId="77777777" w:rsidR="003C66EB" w:rsidRDefault="003C66EB">
            <w:pPr>
              <w:rPr>
                <w:rFonts w:ascii="宋体"/>
              </w:rPr>
            </w:pPr>
          </w:p>
        </w:tc>
        <w:tc>
          <w:tcPr>
            <w:tcW w:w="27" w:type="pct"/>
            <w:shd w:val="clear" w:color="auto" w:fill="auto"/>
          </w:tcPr>
          <w:p w14:paraId="5EA27BB6" w14:textId="77777777" w:rsidR="003C66EB" w:rsidRDefault="003C66EB">
            <w:pPr>
              <w:rPr>
                <w:rFonts w:ascii="宋体"/>
              </w:rPr>
            </w:pPr>
          </w:p>
        </w:tc>
        <w:tc>
          <w:tcPr>
            <w:tcW w:w="5" w:type="pct"/>
            <w:shd w:val="clear" w:color="auto" w:fill="auto"/>
          </w:tcPr>
          <w:p w14:paraId="5EA27BB7" w14:textId="77777777" w:rsidR="003C66EB" w:rsidRDefault="003C66EB">
            <w:pPr>
              <w:rPr>
                <w:rFonts w:ascii="宋体"/>
              </w:rPr>
            </w:pPr>
          </w:p>
        </w:tc>
        <w:tc>
          <w:tcPr>
            <w:tcW w:w="50" w:type="pct"/>
            <w:shd w:val="clear" w:color="auto" w:fill="auto"/>
          </w:tcPr>
          <w:p w14:paraId="5EA27BB8" w14:textId="77777777" w:rsidR="003C66EB" w:rsidRDefault="003C66EB">
            <w:pPr>
              <w:rPr>
                <w:rFonts w:ascii="宋体"/>
              </w:rPr>
            </w:pPr>
          </w:p>
        </w:tc>
        <w:tc>
          <w:tcPr>
            <w:tcW w:w="457" w:type="pct"/>
            <w:shd w:val="clear" w:color="auto" w:fill="auto"/>
          </w:tcPr>
          <w:p w14:paraId="5EA27BB9" w14:textId="77777777" w:rsidR="003C66EB" w:rsidRDefault="003C66EB">
            <w:pPr>
              <w:rPr>
                <w:rFonts w:ascii="宋体"/>
              </w:rPr>
            </w:pPr>
          </w:p>
        </w:tc>
        <w:tc>
          <w:tcPr>
            <w:tcW w:w="5" w:type="pct"/>
            <w:shd w:val="clear" w:color="auto" w:fill="auto"/>
          </w:tcPr>
          <w:p w14:paraId="5EA27BBA" w14:textId="77777777" w:rsidR="003C66EB" w:rsidRDefault="003C66EB">
            <w:pPr>
              <w:rPr>
                <w:rFonts w:ascii="宋体"/>
              </w:rPr>
            </w:pPr>
          </w:p>
        </w:tc>
        <w:tc>
          <w:tcPr>
            <w:tcW w:w="5" w:type="pct"/>
            <w:shd w:val="clear" w:color="auto" w:fill="auto"/>
          </w:tcPr>
          <w:p w14:paraId="5EA27BBB" w14:textId="77777777" w:rsidR="003C66EB" w:rsidRDefault="003C66EB">
            <w:pPr>
              <w:rPr>
                <w:rFonts w:ascii="宋体"/>
              </w:rPr>
            </w:pPr>
          </w:p>
        </w:tc>
        <w:tc>
          <w:tcPr>
            <w:tcW w:w="27" w:type="pct"/>
            <w:shd w:val="clear" w:color="auto" w:fill="auto"/>
          </w:tcPr>
          <w:p w14:paraId="5EA27BBC" w14:textId="77777777" w:rsidR="003C66EB" w:rsidRDefault="003C66EB">
            <w:pPr>
              <w:rPr>
                <w:rFonts w:ascii="宋体"/>
              </w:rPr>
            </w:pPr>
          </w:p>
        </w:tc>
        <w:tc>
          <w:tcPr>
            <w:tcW w:w="5" w:type="pct"/>
            <w:shd w:val="clear" w:color="auto" w:fill="auto"/>
          </w:tcPr>
          <w:p w14:paraId="5EA27BBD" w14:textId="77777777" w:rsidR="003C66EB" w:rsidRDefault="003C66EB">
            <w:pPr>
              <w:rPr>
                <w:rFonts w:ascii="宋体"/>
              </w:rPr>
            </w:pPr>
          </w:p>
        </w:tc>
        <w:tc>
          <w:tcPr>
            <w:tcW w:w="50" w:type="pct"/>
            <w:shd w:val="clear" w:color="auto" w:fill="auto"/>
          </w:tcPr>
          <w:p w14:paraId="5EA27BBE" w14:textId="77777777" w:rsidR="003C66EB" w:rsidRDefault="003C66EB">
            <w:pPr>
              <w:rPr>
                <w:rFonts w:ascii="宋体"/>
              </w:rPr>
            </w:pPr>
          </w:p>
        </w:tc>
        <w:tc>
          <w:tcPr>
            <w:tcW w:w="329" w:type="pct"/>
            <w:shd w:val="clear" w:color="auto" w:fill="auto"/>
          </w:tcPr>
          <w:p w14:paraId="5EA27BBF" w14:textId="77777777" w:rsidR="003C66EB" w:rsidRDefault="003C66EB">
            <w:pPr>
              <w:rPr>
                <w:rFonts w:ascii="宋体"/>
              </w:rPr>
            </w:pPr>
          </w:p>
        </w:tc>
        <w:tc>
          <w:tcPr>
            <w:tcW w:w="5" w:type="pct"/>
            <w:shd w:val="clear" w:color="auto" w:fill="auto"/>
          </w:tcPr>
          <w:p w14:paraId="5EA27BC0" w14:textId="77777777" w:rsidR="003C66EB" w:rsidRDefault="003C66EB">
            <w:pPr>
              <w:rPr>
                <w:rFonts w:ascii="宋体"/>
              </w:rPr>
            </w:pPr>
          </w:p>
        </w:tc>
        <w:tc>
          <w:tcPr>
            <w:tcW w:w="5" w:type="pct"/>
            <w:shd w:val="clear" w:color="auto" w:fill="auto"/>
          </w:tcPr>
          <w:p w14:paraId="5EA27BC1" w14:textId="77777777" w:rsidR="003C66EB" w:rsidRDefault="003C66EB">
            <w:pPr>
              <w:rPr>
                <w:rFonts w:ascii="宋体"/>
              </w:rPr>
            </w:pPr>
          </w:p>
        </w:tc>
        <w:tc>
          <w:tcPr>
            <w:tcW w:w="27" w:type="pct"/>
            <w:shd w:val="clear" w:color="auto" w:fill="auto"/>
          </w:tcPr>
          <w:p w14:paraId="5EA27BC2" w14:textId="77777777" w:rsidR="003C66EB" w:rsidRDefault="003C66EB">
            <w:pPr>
              <w:rPr>
                <w:rFonts w:ascii="宋体"/>
              </w:rPr>
            </w:pPr>
          </w:p>
        </w:tc>
        <w:tc>
          <w:tcPr>
            <w:tcW w:w="5" w:type="pct"/>
            <w:shd w:val="clear" w:color="auto" w:fill="auto"/>
          </w:tcPr>
          <w:p w14:paraId="5EA27BC3" w14:textId="77777777" w:rsidR="003C66EB" w:rsidRDefault="003C66EB">
            <w:pPr>
              <w:rPr>
                <w:rFonts w:ascii="宋体"/>
              </w:rPr>
            </w:pPr>
          </w:p>
        </w:tc>
        <w:tc>
          <w:tcPr>
            <w:tcW w:w="0" w:type="auto"/>
            <w:gridSpan w:val="3"/>
            <w:shd w:val="clear" w:color="auto" w:fill="auto"/>
          </w:tcPr>
          <w:p w14:paraId="5EA27BC4" w14:textId="77777777" w:rsidR="003C66EB" w:rsidRDefault="003C66EB">
            <w:pPr>
              <w:rPr>
                <w:rFonts w:ascii="宋体"/>
                <w:vanish/>
              </w:rPr>
            </w:pPr>
          </w:p>
        </w:tc>
        <w:tc>
          <w:tcPr>
            <w:tcW w:w="0" w:type="auto"/>
            <w:gridSpan w:val="3"/>
            <w:shd w:val="clear" w:color="auto" w:fill="auto"/>
          </w:tcPr>
          <w:p w14:paraId="5EA27BC5" w14:textId="77777777" w:rsidR="003C66EB" w:rsidRDefault="003C66EB">
            <w:pPr>
              <w:rPr>
                <w:rFonts w:ascii="宋体"/>
                <w:vanish/>
              </w:rPr>
            </w:pPr>
          </w:p>
        </w:tc>
        <w:tc>
          <w:tcPr>
            <w:tcW w:w="0" w:type="auto"/>
            <w:gridSpan w:val="3"/>
            <w:shd w:val="clear" w:color="auto" w:fill="auto"/>
          </w:tcPr>
          <w:p w14:paraId="5EA27BC6" w14:textId="77777777" w:rsidR="003C66EB" w:rsidRDefault="003C66EB">
            <w:pPr>
              <w:rPr>
                <w:rFonts w:ascii="宋体"/>
                <w:vanish/>
              </w:rPr>
            </w:pPr>
          </w:p>
        </w:tc>
        <w:tc>
          <w:tcPr>
            <w:tcW w:w="0" w:type="auto"/>
            <w:gridSpan w:val="3"/>
            <w:shd w:val="clear" w:color="auto" w:fill="auto"/>
          </w:tcPr>
          <w:p w14:paraId="5EA27BC7" w14:textId="77777777" w:rsidR="003C66EB" w:rsidRDefault="003C66EB">
            <w:pPr>
              <w:rPr>
                <w:rFonts w:ascii="宋体"/>
                <w:vanish/>
              </w:rPr>
            </w:pPr>
          </w:p>
        </w:tc>
        <w:tc>
          <w:tcPr>
            <w:tcW w:w="0" w:type="auto"/>
            <w:gridSpan w:val="3"/>
            <w:shd w:val="clear" w:color="auto" w:fill="auto"/>
          </w:tcPr>
          <w:p w14:paraId="5EA27BC8" w14:textId="77777777" w:rsidR="003C66EB" w:rsidRDefault="003C66EB">
            <w:pPr>
              <w:rPr>
                <w:rFonts w:ascii="宋体"/>
                <w:vanish/>
              </w:rPr>
            </w:pPr>
          </w:p>
        </w:tc>
        <w:tc>
          <w:tcPr>
            <w:tcW w:w="5" w:type="pct"/>
            <w:shd w:val="clear" w:color="auto" w:fill="auto"/>
          </w:tcPr>
          <w:p w14:paraId="5EA27BC9" w14:textId="77777777" w:rsidR="003C66EB" w:rsidRDefault="003C66EB">
            <w:pPr>
              <w:rPr>
                <w:rFonts w:ascii="宋体"/>
              </w:rPr>
            </w:pPr>
          </w:p>
        </w:tc>
        <w:tc>
          <w:tcPr>
            <w:tcW w:w="27" w:type="pct"/>
            <w:shd w:val="clear" w:color="auto" w:fill="auto"/>
          </w:tcPr>
          <w:p w14:paraId="5EA27BCA" w14:textId="77777777" w:rsidR="003C66EB" w:rsidRDefault="003C66EB">
            <w:pPr>
              <w:rPr>
                <w:rFonts w:ascii="宋体"/>
              </w:rPr>
            </w:pPr>
          </w:p>
        </w:tc>
        <w:tc>
          <w:tcPr>
            <w:tcW w:w="5" w:type="pct"/>
            <w:shd w:val="clear" w:color="auto" w:fill="auto"/>
          </w:tcPr>
          <w:p w14:paraId="5EA27BCB" w14:textId="77777777" w:rsidR="003C66EB" w:rsidRDefault="003C66EB">
            <w:pPr>
              <w:rPr>
                <w:rFonts w:ascii="宋体"/>
              </w:rPr>
            </w:pPr>
          </w:p>
        </w:tc>
        <w:tc>
          <w:tcPr>
            <w:tcW w:w="50" w:type="pct"/>
            <w:shd w:val="clear" w:color="auto" w:fill="auto"/>
          </w:tcPr>
          <w:p w14:paraId="5EA27BCC" w14:textId="77777777" w:rsidR="003C66EB" w:rsidRDefault="003C66EB">
            <w:pPr>
              <w:rPr>
                <w:rFonts w:ascii="宋体"/>
              </w:rPr>
            </w:pPr>
          </w:p>
        </w:tc>
        <w:tc>
          <w:tcPr>
            <w:tcW w:w="464" w:type="pct"/>
            <w:shd w:val="clear" w:color="auto" w:fill="auto"/>
          </w:tcPr>
          <w:p w14:paraId="5EA27BCD" w14:textId="77777777" w:rsidR="003C66EB" w:rsidRDefault="003C66EB">
            <w:pPr>
              <w:rPr>
                <w:rFonts w:ascii="宋体"/>
              </w:rPr>
            </w:pPr>
          </w:p>
        </w:tc>
        <w:tc>
          <w:tcPr>
            <w:tcW w:w="5" w:type="pct"/>
            <w:shd w:val="clear" w:color="auto" w:fill="auto"/>
          </w:tcPr>
          <w:p w14:paraId="5EA27BCE" w14:textId="77777777" w:rsidR="003C66EB" w:rsidRDefault="003C66EB">
            <w:pPr>
              <w:rPr>
                <w:rFonts w:ascii="宋体"/>
              </w:rPr>
            </w:pPr>
          </w:p>
        </w:tc>
      </w:tr>
      <w:tr w:rsidR="003C66EB" w14:paraId="5EA27BE1" w14:textId="77777777">
        <w:tc>
          <w:tcPr>
            <w:tcW w:w="0" w:type="auto"/>
            <w:gridSpan w:val="3"/>
            <w:shd w:val="clear" w:color="auto" w:fill="auto"/>
            <w:tcMar>
              <w:top w:w="0" w:type="dxa"/>
              <w:left w:w="20" w:type="dxa"/>
              <w:bottom w:w="0" w:type="dxa"/>
              <w:right w:w="20" w:type="dxa"/>
            </w:tcMar>
          </w:tcPr>
          <w:p w14:paraId="5EA27BD0" w14:textId="77777777" w:rsidR="003C66EB" w:rsidRDefault="003C66EB">
            <w:pPr>
              <w:rPr>
                <w:rFonts w:ascii="宋体"/>
              </w:rPr>
            </w:pPr>
          </w:p>
        </w:tc>
        <w:tc>
          <w:tcPr>
            <w:tcW w:w="0" w:type="auto"/>
            <w:gridSpan w:val="42"/>
            <w:shd w:val="clear" w:color="auto" w:fill="auto"/>
            <w:tcMar>
              <w:top w:w="40" w:type="dxa"/>
              <w:left w:w="20" w:type="dxa"/>
              <w:bottom w:w="40" w:type="dxa"/>
              <w:right w:w="20" w:type="dxa"/>
            </w:tcMar>
            <w:vAlign w:val="bottom"/>
          </w:tcPr>
          <w:p w14:paraId="5EA27BD1" w14:textId="77777777" w:rsidR="003C66EB" w:rsidRDefault="00D96C4E">
            <w:pPr>
              <w:jc w:val="center"/>
              <w:textAlignment w:val="bottom"/>
            </w:pPr>
            <w:r>
              <w:rPr>
                <w:rFonts w:ascii="Arial" w:eastAsia="宋体" w:hAnsi="Arial" w:cs="Arial"/>
                <w:b/>
                <w:bCs/>
                <w:color w:val="000000"/>
                <w:sz w:val="14"/>
                <w:szCs w:val="14"/>
              </w:rPr>
              <w:t>Three Months Ended March 31, 2021</w:t>
            </w:r>
          </w:p>
        </w:tc>
        <w:tc>
          <w:tcPr>
            <w:tcW w:w="0" w:type="auto"/>
            <w:shd w:val="clear" w:color="auto" w:fill="auto"/>
          </w:tcPr>
          <w:p w14:paraId="5EA27BD2" w14:textId="77777777" w:rsidR="003C66EB" w:rsidRDefault="003C66EB">
            <w:pPr>
              <w:rPr>
                <w:rFonts w:ascii="宋体"/>
              </w:rPr>
            </w:pPr>
          </w:p>
        </w:tc>
        <w:tc>
          <w:tcPr>
            <w:tcW w:w="0" w:type="auto"/>
            <w:shd w:val="clear" w:color="auto" w:fill="auto"/>
          </w:tcPr>
          <w:p w14:paraId="5EA27BD3" w14:textId="77777777" w:rsidR="003C66EB" w:rsidRDefault="003C66EB">
            <w:pPr>
              <w:rPr>
                <w:rFonts w:ascii="宋体"/>
              </w:rPr>
            </w:pPr>
          </w:p>
        </w:tc>
        <w:tc>
          <w:tcPr>
            <w:tcW w:w="0" w:type="auto"/>
            <w:shd w:val="clear" w:color="auto" w:fill="auto"/>
          </w:tcPr>
          <w:p w14:paraId="5EA27BD4" w14:textId="77777777" w:rsidR="003C66EB" w:rsidRDefault="003C66EB">
            <w:pPr>
              <w:rPr>
                <w:rFonts w:ascii="宋体"/>
              </w:rPr>
            </w:pPr>
          </w:p>
        </w:tc>
        <w:tc>
          <w:tcPr>
            <w:tcW w:w="0" w:type="auto"/>
            <w:shd w:val="clear" w:color="auto" w:fill="auto"/>
          </w:tcPr>
          <w:p w14:paraId="5EA27BD5" w14:textId="77777777" w:rsidR="003C66EB" w:rsidRDefault="003C66EB">
            <w:pPr>
              <w:rPr>
                <w:rFonts w:ascii="宋体"/>
              </w:rPr>
            </w:pPr>
          </w:p>
        </w:tc>
        <w:tc>
          <w:tcPr>
            <w:tcW w:w="0" w:type="auto"/>
            <w:shd w:val="clear" w:color="auto" w:fill="auto"/>
          </w:tcPr>
          <w:p w14:paraId="5EA27BD6" w14:textId="77777777" w:rsidR="003C66EB" w:rsidRDefault="003C66EB">
            <w:pPr>
              <w:rPr>
                <w:rFonts w:ascii="宋体"/>
              </w:rPr>
            </w:pPr>
          </w:p>
        </w:tc>
        <w:tc>
          <w:tcPr>
            <w:tcW w:w="0" w:type="auto"/>
            <w:shd w:val="clear" w:color="auto" w:fill="auto"/>
          </w:tcPr>
          <w:p w14:paraId="5EA27BD7" w14:textId="77777777" w:rsidR="003C66EB" w:rsidRDefault="003C66EB">
            <w:pPr>
              <w:rPr>
                <w:rFonts w:ascii="宋体"/>
              </w:rPr>
            </w:pPr>
          </w:p>
        </w:tc>
        <w:tc>
          <w:tcPr>
            <w:tcW w:w="0" w:type="auto"/>
            <w:shd w:val="clear" w:color="auto" w:fill="auto"/>
          </w:tcPr>
          <w:p w14:paraId="5EA27BD8" w14:textId="77777777" w:rsidR="003C66EB" w:rsidRDefault="003C66EB">
            <w:pPr>
              <w:rPr>
                <w:rFonts w:ascii="宋体"/>
              </w:rPr>
            </w:pPr>
          </w:p>
        </w:tc>
        <w:tc>
          <w:tcPr>
            <w:tcW w:w="0" w:type="auto"/>
            <w:shd w:val="clear" w:color="auto" w:fill="auto"/>
          </w:tcPr>
          <w:p w14:paraId="5EA27BD9" w14:textId="77777777" w:rsidR="003C66EB" w:rsidRDefault="003C66EB">
            <w:pPr>
              <w:rPr>
                <w:rFonts w:ascii="宋体"/>
              </w:rPr>
            </w:pPr>
          </w:p>
        </w:tc>
        <w:tc>
          <w:tcPr>
            <w:tcW w:w="0" w:type="auto"/>
            <w:shd w:val="clear" w:color="auto" w:fill="auto"/>
          </w:tcPr>
          <w:p w14:paraId="5EA27BDA" w14:textId="77777777" w:rsidR="003C66EB" w:rsidRDefault="003C66EB">
            <w:pPr>
              <w:rPr>
                <w:rFonts w:ascii="宋体"/>
              </w:rPr>
            </w:pPr>
          </w:p>
        </w:tc>
        <w:tc>
          <w:tcPr>
            <w:tcW w:w="0" w:type="auto"/>
            <w:shd w:val="clear" w:color="auto" w:fill="auto"/>
          </w:tcPr>
          <w:p w14:paraId="5EA27BDB" w14:textId="77777777" w:rsidR="003C66EB" w:rsidRDefault="003C66EB">
            <w:pPr>
              <w:rPr>
                <w:rFonts w:ascii="宋体"/>
              </w:rPr>
            </w:pPr>
          </w:p>
        </w:tc>
        <w:tc>
          <w:tcPr>
            <w:tcW w:w="0" w:type="auto"/>
            <w:shd w:val="clear" w:color="auto" w:fill="auto"/>
          </w:tcPr>
          <w:p w14:paraId="5EA27BDC" w14:textId="77777777" w:rsidR="003C66EB" w:rsidRDefault="003C66EB">
            <w:pPr>
              <w:rPr>
                <w:rFonts w:ascii="宋体"/>
              </w:rPr>
            </w:pPr>
          </w:p>
        </w:tc>
        <w:tc>
          <w:tcPr>
            <w:tcW w:w="0" w:type="auto"/>
            <w:shd w:val="clear" w:color="auto" w:fill="auto"/>
          </w:tcPr>
          <w:p w14:paraId="5EA27BDD" w14:textId="77777777" w:rsidR="003C66EB" w:rsidRDefault="003C66EB">
            <w:pPr>
              <w:rPr>
                <w:rFonts w:ascii="宋体"/>
              </w:rPr>
            </w:pPr>
          </w:p>
        </w:tc>
        <w:tc>
          <w:tcPr>
            <w:tcW w:w="0" w:type="auto"/>
            <w:shd w:val="clear" w:color="auto" w:fill="auto"/>
          </w:tcPr>
          <w:p w14:paraId="5EA27BDE" w14:textId="77777777" w:rsidR="003C66EB" w:rsidRDefault="003C66EB">
            <w:pPr>
              <w:rPr>
                <w:rFonts w:ascii="宋体"/>
              </w:rPr>
            </w:pPr>
          </w:p>
        </w:tc>
        <w:tc>
          <w:tcPr>
            <w:tcW w:w="0" w:type="auto"/>
            <w:shd w:val="clear" w:color="auto" w:fill="auto"/>
          </w:tcPr>
          <w:p w14:paraId="5EA27BDF" w14:textId="77777777" w:rsidR="003C66EB" w:rsidRDefault="003C66EB">
            <w:pPr>
              <w:rPr>
                <w:rFonts w:ascii="宋体"/>
              </w:rPr>
            </w:pPr>
          </w:p>
        </w:tc>
        <w:tc>
          <w:tcPr>
            <w:tcW w:w="0" w:type="auto"/>
            <w:shd w:val="clear" w:color="auto" w:fill="auto"/>
          </w:tcPr>
          <w:p w14:paraId="5EA27BE0" w14:textId="77777777" w:rsidR="003C66EB" w:rsidRDefault="003C66EB">
            <w:pPr>
              <w:rPr>
                <w:rFonts w:ascii="宋体"/>
              </w:rPr>
            </w:pPr>
          </w:p>
        </w:tc>
      </w:tr>
      <w:tr w:rsidR="003C66EB" w14:paraId="5EA27BF6" w14:textId="77777777">
        <w:tc>
          <w:tcPr>
            <w:tcW w:w="0" w:type="auto"/>
            <w:gridSpan w:val="3"/>
            <w:shd w:val="clear" w:color="auto" w:fill="auto"/>
            <w:tcMar>
              <w:top w:w="0" w:type="dxa"/>
              <w:left w:w="20" w:type="dxa"/>
              <w:bottom w:w="0" w:type="dxa"/>
              <w:right w:w="20" w:type="dxa"/>
            </w:tcMar>
          </w:tcPr>
          <w:p w14:paraId="5EA27BE2"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7BE3" w14:textId="77777777" w:rsidR="003C66EB" w:rsidRDefault="00D96C4E">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tcPr>
          <w:p w14:paraId="5EA27BE4"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7BE5" w14:textId="77777777" w:rsidR="003C66EB" w:rsidRDefault="00D96C4E">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tcPr>
          <w:p w14:paraId="5EA27BE6" w14:textId="77777777" w:rsidR="003C66EB" w:rsidRDefault="003C66EB">
            <w:pPr>
              <w:rPr>
                <w:rFonts w:ascii="宋体"/>
              </w:rPr>
            </w:pPr>
          </w:p>
        </w:tc>
        <w:tc>
          <w:tcPr>
            <w:tcW w:w="0" w:type="auto"/>
            <w:gridSpan w:val="3"/>
            <w:shd w:val="clear" w:color="auto" w:fill="auto"/>
          </w:tcPr>
          <w:p w14:paraId="5EA27BE7"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7BE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BE9" w14:textId="77777777" w:rsidR="003C66EB" w:rsidRDefault="00D96C4E">
            <w:pPr>
              <w:jc w:val="center"/>
              <w:textAlignment w:val="bottom"/>
            </w:pPr>
            <w:r>
              <w:rPr>
                <w:rFonts w:ascii="Arial" w:eastAsia="宋体" w:hAnsi="Arial" w:cs="Arial"/>
                <w:b/>
                <w:bCs/>
                <w:color w:val="000000"/>
                <w:sz w:val="14"/>
                <w:szCs w:val="14"/>
              </w:rPr>
              <w:t>Total</w:t>
            </w:r>
          </w:p>
        </w:tc>
        <w:tc>
          <w:tcPr>
            <w:tcW w:w="0" w:type="auto"/>
            <w:shd w:val="clear" w:color="auto" w:fill="auto"/>
          </w:tcPr>
          <w:p w14:paraId="5EA27BEA" w14:textId="77777777" w:rsidR="003C66EB" w:rsidRDefault="003C66EB">
            <w:pPr>
              <w:rPr>
                <w:rFonts w:ascii="宋体"/>
              </w:rPr>
            </w:pPr>
          </w:p>
        </w:tc>
        <w:tc>
          <w:tcPr>
            <w:tcW w:w="0" w:type="auto"/>
            <w:shd w:val="clear" w:color="auto" w:fill="auto"/>
          </w:tcPr>
          <w:p w14:paraId="5EA27BEB" w14:textId="77777777" w:rsidR="003C66EB" w:rsidRDefault="003C66EB">
            <w:pPr>
              <w:rPr>
                <w:rFonts w:ascii="宋体"/>
              </w:rPr>
            </w:pPr>
          </w:p>
        </w:tc>
        <w:tc>
          <w:tcPr>
            <w:tcW w:w="0" w:type="auto"/>
            <w:shd w:val="clear" w:color="auto" w:fill="auto"/>
          </w:tcPr>
          <w:p w14:paraId="5EA27BEC" w14:textId="77777777" w:rsidR="003C66EB" w:rsidRDefault="003C66EB">
            <w:pPr>
              <w:rPr>
                <w:rFonts w:ascii="宋体"/>
              </w:rPr>
            </w:pPr>
          </w:p>
        </w:tc>
        <w:tc>
          <w:tcPr>
            <w:tcW w:w="0" w:type="auto"/>
            <w:shd w:val="clear" w:color="auto" w:fill="auto"/>
          </w:tcPr>
          <w:p w14:paraId="5EA27BED" w14:textId="77777777" w:rsidR="003C66EB" w:rsidRDefault="003C66EB">
            <w:pPr>
              <w:rPr>
                <w:rFonts w:ascii="宋体"/>
              </w:rPr>
            </w:pPr>
          </w:p>
        </w:tc>
        <w:tc>
          <w:tcPr>
            <w:tcW w:w="0" w:type="auto"/>
            <w:shd w:val="clear" w:color="auto" w:fill="auto"/>
          </w:tcPr>
          <w:p w14:paraId="5EA27BEE" w14:textId="77777777" w:rsidR="003C66EB" w:rsidRDefault="003C66EB">
            <w:pPr>
              <w:rPr>
                <w:rFonts w:ascii="宋体"/>
              </w:rPr>
            </w:pPr>
          </w:p>
        </w:tc>
        <w:tc>
          <w:tcPr>
            <w:tcW w:w="0" w:type="auto"/>
            <w:shd w:val="clear" w:color="auto" w:fill="auto"/>
          </w:tcPr>
          <w:p w14:paraId="5EA27BEF" w14:textId="77777777" w:rsidR="003C66EB" w:rsidRDefault="003C66EB">
            <w:pPr>
              <w:rPr>
                <w:rFonts w:ascii="宋体"/>
              </w:rPr>
            </w:pPr>
          </w:p>
        </w:tc>
        <w:tc>
          <w:tcPr>
            <w:tcW w:w="0" w:type="auto"/>
            <w:shd w:val="clear" w:color="auto" w:fill="auto"/>
          </w:tcPr>
          <w:p w14:paraId="5EA27BF0" w14:textId="77777777" w:rsidR="003C66EB" w:rsidRDefault="003C66EB">
            <w:pPr>
              <w:rPr>
                <w:rFonts w:ascii="宋体"/>
              </w:rPr>
            </w:pPr>
          </w:p>
        </w:tc>
        <w:tc>
          <w:tcPr>
            <w:tcW w:w="0" w:type="auto"/>
            <w:shd w:val="clear" w:color="auto" w:fill="auto"/>
          </w:tcPr>
          <w:p w14:paraId="5EA27BF1" w14:textId="77777777" w:rsidR="003C66EB" w:rsidRDefault="003C66EB">
            <w:pPr>
              <w:rPr>
                <w:rFonts w:ascii="宋体"/>
              </w:rPr>
            </w:pPr>
          </w:p>
        </w:tc>
        <w:tc>
          <w:tcPr>
            <w:tcW w:w="0" w:type="auto"/>
            <w:shd w:val="clear" w:color="auto" w:fill="auto"/>
          </w:tcPr>
          <w:p w14:paraId="5EA27BF2" w14:textId="77777777" w:rsidR="003C66EB" w:rsidRDefault="003C66EB">
            <w:pPr>
              <w:rPr>
                <w:rFonts w:ascii="宋体"/>
              </w:rPr>
            </w:pPr>
          </w:p>
        </w:tc>
        <w:tc>
          <w:tcPr>
            <w:tcW w:w="0" w:type="auto"/>
            <w:shd w:val="clear" w:color="auto" w:fill="auto"/>
          </w:tcPr>
          <w:p w14:paraId="5EA27BF3" w14:textId="77777777" w:rsidR="003C66EB" w:rsidRDefault="003C66EB">
            <w:pPr>
              <w:rPr>
                <w:rFonts w:ascii="宋体"/>
              </w:rPr>
            </w:pPr>
          </w:p>
        </w:tc>
        <w:tc>
          <w:tcPr>
            <w:tcW w:w="0" w:type="auto"/>
            <w:shd w:val="clear" w:color="auto" w:fill="auto"/>
          </w:tcPr>
          <w:p w14:paraId="5EA27BF4" w14:textId="77777777" w:rsidR="003C66EB" w:rsidRDefault="003C66EB">
            <w:pPr>
              <w:rPr>
                <w:rFonts w:ascii="宋体"/>
              </w:rPr>
            </w:pPr>
          </w:p>
        </w:tc>
        <w:tc>
          <w:tcPr>
            <w:tcW w:w="0" w:type="auto"/>
            <w:shd w:val="clear" w:color="auto" w:fill="auto"/>
          </w:tcPr>
          <w:p w14:paraId="5EA27BF5" w14:textId="77777777" w:rsidR="003C66EB" w:rsidRDefault="003C66EB">
            <w:pPr>
              <w:rPr>
                <w:rFonts w:ascii="宋体"/>
              </w:rPr>
            </w:pPr>
          </w:p>
        </w:tc>
      </w:tr>
      <w:tr w:rsidR="003C66EB" w14:paraId="5EA27C0B" w14:textId="77777777">
        <w:tc>
          <w:tcPr>
            <w:tcW w:w="0" w:type="auto"/>
            <w:gridSpan w:val="3"/>
            <w:shd w:val="clear" w:color="auto" w:fill="auto"/>
            <w:tcMar>
              <w:top w:w="40" w:type="dxa"/>
              <w:left w:w="20" w:type="dxa"/>
              <w:bottom w:w="40" w:type="dxa"/>
              <w:right w:w="20" w:type="dxa"/>
            </w:tcMar>
            <w:vAlign w:val="bottom"/>
          </w:tcPr>
          <w:p w14:paraId="5EA27BF7" w14:textId="77777777" w:rsidR="003C66EB" w:rsidRDefault="00D96C4E">
            <w:pPr>
              <w:textAlignment w:val="bottom"/>
            </w:pPr>
            <w:r>
              <w:rPr>
                <w:rFonts w:ascii="Arial" w:eastAsia="宋体" w:hAnsi="Arial" w:cs="Arial"/>
                <w:b/>
                <w:bCs/>
                <w:color w:val="000000"/>
                <w:sz w:val="14"/>
                <w:szCs w:val="14"/>
              </w:rPr>
              <w:t>(Dolla</w:t>
            </w:r>
            <w:r>
              <w:rPr>
                <w:rFonts w:ascii="Arial" w:eastAsia="宋体" w:hAnsi="Arial" w:cs="Arial"/>
                <w:b/>
                <w:bCs/>
                <w:color w:val="000000"/>
                <w:sz w:val="14"/>
                <w:szCs w:val="14"/>
              </w:rPr>
              <w:t>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BF8" w14:textId="77777777" w:rsidR="003C66EB" w:rsidRDefault="00D96C4E">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BF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BFA" w14:textId="77777777" w:rsidR="003C66EB" w:rsidRDefault="00D96C4E">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BF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BFC" w14:textId="77777777" w:rsidR="003C66EB" w:rsidRDefault="00D96C4E">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5EA27BF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BFE" w14:textId="77777777" w:rsidR="003C66EB" w:rsidRDefault="00D96C4E">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BF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C00" w14:textId="77777777" w:rsidR="003C66EB" w:rsidRDefault="00D96C4E">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C0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C02" w14:textId="77777777" w:rsidR="003C66EB" w:rsidRDefault="00D96C4E">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5EA27C03" w14:textId="77777777" w:rsidR="003C66EB" w:rsidRDefault="003C66EB">
            <w:pPr>
              <w:rPr>
                <w:rFonts w:ascii="宋体"/>
              </w:rPr>
            </w:pPr>
          </w:p>
        </w:tc>
        <w:tc>
          <w:tcPr>
            <w:tcW w:w="0" w:type="auto"/>
            <w:gridSpan w:val="3"/>
            <w:shd w:val="clear" w:color="auto" w:fill="auto"/>
          </w:tcPr>
          <w:p w14:paraId="5EA27C04" w14:textId="77777777" w:rsidR="003C66EB" w:rsidRDefault="003C66EB">
            <w:pPr>
              <w:rPr>
                <w:rFonts w:ascii="宋体"/>
                <w:vanish/>
              </w:rPr>
            </w:pPr>
          </w:p>
        </w:tc>
        <w:tc>
          <w:tcPr>
            <w:tcW w:w="0" w:type="auto"/>
            <w:gridSpan w:val="3"/>
            <w:shd w:val="clear" w:color="auto" w:fill="auto"/>
          </w:tcPr>
          <w:p w14:paraId="5EA27C05" w14:textId="77777777" w:rsidR="003C66EB" w:rsidRDefault="003C66EB">
            <w:pPr>
              <w:rPr>
                <w:rFonts w:ascii="宋体"/>
                <w:vanish/>
              </w:rPr>
            </w:pPr>
          </w:p>
        </w:tc>
        <w:tc>
          <w:tcPr>
            <w:tcW w:w="0" w:type="auto"/>
            <w:gridSpan w:val="3"/>
            <w:shd w:val="clear" w:color="auto" w:fill="auto"/>
          </w:tcPr>
          <w:p w14:paraId="5EA27C06" w14:textId="77777777" w:rsidR="003C66EB" w:rsidRDefault="003C66EB">
            <w:pPr>
              <w:rPr>
                <w:rFonts w:ascii="宋体"/>
                <w:vanish/>
              </w:rPr>
            </w:pPr>
          </w:p>
        </w:tc>
        <w:tc>
          <w:tcPr>
            <w:tcW w:w="0" w:type="auto"/>
            <w:gridSpan w:val="3"/>
            <w:shd w:val="clear" w:color="auto" w:fill="auto"/>
          </w:tcPr>
          <w:p w14:paraId="5EA27C07" w14:textId="77777777" w:rsidR="003C66EB" w:rsidRDefault="003C66EB">
            <w:pPr>
              <w:rPr>
                <w:rFonts w:ascii="宋体"/>
                <w:vanish/>
              </w:rPr>
            </w:pPr>
          </w:p>
        </w:tc>
        <w:tc>
          <w:tcPr>
            <w:tcW w:w="0" w:type="auto"/>
            <w:gridSpan w:val="3"/>
            <w:shd w:val="clear" w:color="auto" w:fill="auto"/>
          </w:tcPr>
          <w:p w14:paraId="5EA27C08"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7C0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C0A" w14:textId="77777777" w:rsidR="003C66EB" w:rsidRDefault="00D96C4E">
            <w:pPr>
              <w:jc w:val="center"/>
              <w:textAlignment w:val="bottom"/>
            </w:pPr>
            <w:r>
              <w:rPr>
                <w:rFonts w:ascii="Arial" w:eastAsia="宋体" w:hAnsi="Arial" w:cs="Arial"/>
                <w:b/>
                <w:bCs/>
                <w:color w:val="000000"/>
                <w:sz w:val="14"/>
                <w:szCs w:val="14"/>
              </w:rPr>
              <w:t>2021</w:t>
            </w:r>
          </w:p>
        </w:tc>
      </w:tr>
      <w:tr w:rsidR="003C66EB" w14:paraId="5EA27C2E" w14:textId="77777777">
        <w:tc>
          <w:tcPr>
            <w:tcW w:w="0" w:type="auto"/>
            <w:gridSpan w:val="3"/>
            <w:shd w:val="clear" w:color="auto" w:fill="CCEEFF"/>
            <w:tcMar>
              <w:top w:w="40" w:type="dxa"/>
              <w:left w:w="155" w:type="dxa"/>
              <w:bottom w:w="40" w:type="dxa"/>
              <w:right w:w="20" w:type="dxa"/>
            </w:tcMar>
            <w:vAlign w:val="bottom"/>
          </w:tcPr>
          <w:p w14:paraId="5EA27C0C" w14:textId="77777777" w:rsidR="003C66EB" w:rsidRDefault="00D96C4E">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C0D"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0E" w14:textId="77777777" w:rsidR="003C66EB" w:rsidRDefault="00D96C4E">
            <w:pPr>
              <w:jc w:val="right"/>
              <w:textAlignment w:val="bottom"/>
            </w:pPr>
            <w:r>
              <w:rPr>
                <w:rFonts w:ascii="Arial" w:eastAsia="宋体" w:hAnsi="Arial" w:cs="Arial"/>
                <w:b/>
                <w:bCs/>
                <w:color w:val="000000"/>
                <w:sz w:val="14"/>
                <w:szCs w:val="14"/>
              </w:rPr>
              <w:t>1,371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0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1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11"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1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1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1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15"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16" w14:textId="77777777" w:rsidR="003C66EB" w:rsidRDefault="00D96C4E">
            <w:pPr>
              <w:jc w:val="right"/>
              <w:textAlignment w:val="bottom"/>
            </w:pPr>
            <w:r>
              <w:rPr>
                <w:rFonts w:ascii="Arial" w:eastAsia="宋体" w:hAnsi="Arial" w:cs="Arial"/>
                <w:b/>
                <w:bCs/>
                <w:color w:val="000000"/>
                <w:sz w:val="14"/>
                <w:szCs w:val="14"/>
              </w:rPr>
              <w:t>1,371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1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1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19"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1A"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1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1D"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1E"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1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2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21"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22"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2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24" w14:textId="77777777" w:rsidR="003C66EB" w:rsidRDefault="003C66EB">
            <w:pPr>
              <w:rPr>
                <w:rFonts w:ascii="宋体"/>
              </w:rPr>
            </w:pPr>
          </w:p>
        </w:tc>
        <w:tc>
          <w:tcPr>
            <w:tcW w:w="0" w:type="auto"/>
            <w:gridSpan w:val="3"/>
            <w:shd w:val="clear" w:color="auto" w:fill="auto"/>
          </w:tcPr>
          <w:p w14:paraId="5EA27C25" w14:textId="77777777" w:rsidR="003C66EB" w:rsidRDefault="003C66EB">
            <w:pPr>
              <w:rPr>
                <w:rFonts w:ascii="宋体"/>
                <w:vanish/>
              </w:rPr>
            </w:pPr>
          </w:p>
        </w:tc>
        <w:tc>
          <w:tcPr>
            <w:tcW w:w="0" w:type="auto"/>
            <w:gridSpan w:val="3"/>
            <w:shd w:val="clear" w:color="auto" w:fill="auto"/>
          </w:tcPr>
          <w:p w14:paraId="5EA27C26" w14:textId="77777777" w:rsidR="003C66EB" w:rsidRDefault="003C66EB">
            <w:pPr>
              <w:rPr>
                <w:rFonts w:ascii="宋体"/>
                <w:vanish/>
              </w:rPr>
            </w:pPr>
          </w:p>
        </w:tc>
        <w:tc>
          <w:tcPr>
            <w:tcW w:w="0" w:type="auto"/>
            <w:gridSpan w:val="3"/>
            <w:shd w:val="clear" w:color="auto" w:fill="auto"/>
          </w:tcPr>
          <w:p w14:paraId="5EA27C27" w14:textId="77777777" w:rsidR="003C66EB" w:rsidRDefault="003C66EB">
            <w:pPr>
              <w:rPr>
                <w:rFonts w:ascii="宋体"/>
                <w:vanish/>
              </w:rPr>
            </w:pPr>
          </w:p>
        </w:tc>
        <w:tc>
          <w:tcPr>
            <w:tcW w:w="0" w:type="auto"/>
            <w:gridSpan w:val="3"/>
            <w:shd w:val="clear" w:color="auto" w:fill="auto"/>
          </w:tcPr>
          <w:p w14:paraId="5EA27C28" w14:textId="77777777" w:rsidR="003C66EB" w:rsidRDefault="003C66EB">
            <w:pPr>
              <w:rPr>
                <w:rFonts w:ascii="宋体"/>
                <w:vanish/>
              </w:rPr>
            </w:pPr>
          </w:p>
        </w:tc>
        <w:tc>
          <w:tcPr>
            <w:tcW w:w="0" w:type="auto"/>
            <w:gridSpan w:val="3"/>
            <w:shd w:val="clear" w:color="auto" w:fill="auto"/>
          </w:tcPr>
          <w:p w14:paraId="5EA27C29"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C2A"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2B"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2C" w14:textId="77777777" w:rsidR="003C66EB" w:rsidRDefault="00D96C4E">
            <w:pPr>
              <w:jc w:val="right"/>
              <w:textAlignment w:val="bottom"/>
            </w:pPr>
            <w:r>
              <w:rPr>
                <w:rFonts w:ascii="Arial" w:eastAsia="宋体" w:hAnsi="Arial" w:cs="Arial"/>
                <w:b/>
                <w:bCs/>
                <w:color w:val="000000"/>
                <w:sz w:val="14"/>
                <w:szCs w:val="14"/>
              </w:rPr>
              <w:t>1,371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2D" w14:textId="77777777" w:rsidR="003C66EB" w:rsidRDefault="003C66EB">
            <w:pPr>
              <w:jc w:val="right"/>
              <w:rPr>
                <w:rFonts w:ascii="宋体"/>
              </w:rPr>
            </w:pPr>
          </w:p>
        </w:tc>
      </w:tr>
      <w:tr w:rsidR="003C66EB" w14:paraId="5EA27C4A" w14:textId="77777777">
        <w:tc>
          <w:tcPr>
            <w:tcW w:w="0" w:type="auto"/>
            <w:gridSpan w:val="3"/>
            <w:shd w:val="clear" w:color="auto" w:fill="FFFFFF"/>
            <w:tcMar>
              <w:top w:w="40" w:type="dxa"/>
              <w:left w:w="155" w:type="dxa"/>
              <w:bottom w:w="40" w:type="dxa"/>
              <w:right w:w="20" w:type="dxa"/>
            </w:tcMar>
            <w:vAlign w:val="bottom"/>
          </w:tcPr>
          <w:p w14:paraId="5EA27C2F" w14:textId="77777777" w:rsidR="003C66EB" w:rsidRDefault="00D96C4E">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EA27C30"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3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3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33"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3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36"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39" w14:textId="77777777" w:rsidR="003C66EB" w:rsidRDefault="00D96C4E">
            <w:pPr>
              <w:jc w:val="right"/>
              <w:textAlignment w:val="bottom"/>
            </w:pPr>
            <w:r>
              <w:rPr>
                <w:rFonts w:ascii="Arial" w:eastAsia="宋体" w:hAnsi="Arial" w:cs="Arial"/>
                <w:b/>
                <w:bCs/>
                <w:color w:val="000000"/>
                <w:sz w:val="14"/>
                <w:szCs w:val="14"/>
              </w:rPr>
              <w:t>493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3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3F" w14:textId="77777777" w:rsidR="003C66EB" w:rsidRDefault="00D96C4E">
            <w:pPr>
              <w:jc w:val="right"/>
              <w:textAlignment w:val="bottom"/>
            </w:pPr>
            <w:r>
              <w:rPr>
                <w:rFonts w:ascii="Arial" w:eastAsia="宋体" w:hAnsi="Arial" w:cs="Arial"/>
                <w:b/>
                <w:bCs/>
                <w:color w:val="000000"/>
                <w:sz w:val="14"/>
                <w:szCs w:val="14"/>
              </w:rPr>
              <w:t>493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41" w14:textId="77777777" w:rsidR="003C66EB" w:rsidRDefault="003C66EB">
            <w:pPr>
              <w:rPr>
                <w:rFonts w:ascii="宋体"/>
              </w:rPr>
            </w:pPr>
          </w:p>
        </w:tc>
        <w:tc>
          <w:tcPr>
            <w:tcW w:w="0" w:type="auto"/>
            <w:gridSpan w:val="3"/>
            <w:shd w:val="clear" w:color="auto" w:fill="auto"/>
          </w:tcPr>
          <w:p w14:paraId="5EA27C42" w14:textId="77777777" w:rsidR="003C66EB" w:rsidRDefault="003C66EB">
            <w:pPr>
              <w:rPr>
                <w:rFonts w:ascii="宋体"/>
                <w:vanish/>
              </w:rPr>
            </w:pPr>
          </w:p>
        </w:tc>
        <w:tc>
          <w:tcPr>
            <w:tcW w:w="0" w:type="auto"/>
            <w:gridSpan w:val="3"/>
            <w:shd w:val="clear" w:color="auto" w:fill="auto"/>
          </w:tcPr>
          <w:p w14:paraId="5EA27C43" w14:textId="77777777" w:rsidR="003C66EB" w:rsidRDefault="003C66EB">
            <w:pPr>
              <w:rPr>
                <w:rFonts w:ascii="宋体"/>
                <w:vanish/>
              </w:rPr>
            </w:pPr>
          </w:p>
        </w:tc>
        <w:tc>
          <w:tcPr>
            <w:tcW w:w="0" w:type="auto"/>
            <w:gridSpan w:val="3"/>
            <w:shd w:val="clear" w:color="auto" w:fill="auto"/>
          </w:tcPr>
          <w:p w14:paraId="5EA27C44" w14:textId="77777777" w:rsidR="003C66EB" w:rsidRDefault="003C66EB">
            <w:pPr>
              <w:rPr>
                <w:rFonts w:ascii="宋体"/>
                <w:vanish/>
              </w:rPr>
            </w:pPr>
          </w:p>
        </w:tc>
        <w:tc>
          <w:tcPr>
            <w:tcW w:w="0" w:type="auto"/>
            <w:gridSpan w:val="3"/>
            <w:shd w:val="clear" w:color="auto" w:fill="auto"/>
          </w:tcPr>
          <w:p w14:paraId="5EA27C45" w14:textId="77777777" w:rsidR="003C66EB" w:rsidRDefault="003C66EB">
            <w:pPr>
              <w:rPr>
                <w:rFonts w:ascii="宋体"/>
                <w:vanish/>
              </w:rPr>
            </w:pPr>
          </w:p>
        </w:tc>
        <w:tc>
          <w:tcPr>
            <w:tcW w:w="0" w:type="auto"/>
            <w:gridSpan w:val="3"/>
            <w:shd w:val="clear" w:color="auto" w:fill="auto"/>
          </w:tcPr>
          <w:p w14:paraId="5EA27C46"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C47"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48" w14:textId="77777777" w:rsidR="003C66EB" w:rsidRDefault="00D96C4E">
            <w:pPr>
              <w:jc w:val="right"/>
              <w:textAlignment w:val="bottom"/>
            </w:pPr>
            <w:r>
              <w:rPr>
                <w:rFonts w:ascii="Arial" w:eastAsia="宋体" w:hAnsi="Arial" w:cs="Arial"/>
                <w:b/>
                <w:bCs/>
                <w:color w:val="000000"/>
                <w:sz w:val="14"/>
                <w:szCs w:val="14"/>
              </w:rPr>
              <w:t>493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49" w14:textId="77777777" w:rsidR="003C66EB" w:rsidRDefault="003C66EB">
            <w:pPr>
              <w:jc w:val="right"/>
              <w:rPr>
                <w:rFonts w:ascii="宋体"/>
              </w:rPr>
            </w:pPr>
          </w:p>
        </w:tc>
      </w:tr>
      <w:tr w:rsidR="003C66EB" w14:paraId="5EA27C66" w14:textId="77777777">
        <w:tc>
          <w:tcPr>
            <w:tcW w:w="0" w:type="auto"/>
            <w:gridSpan w:val="3"/>
            <w:shd w:val="clear" w:color="auto" w:fill="CCEEFF"/>
            <w:tcMar>
              <w:top w:w="40" w:type="dxa"/>
              <w:left w:w="155" w:type="dxa"/>
              <w:bottom w:w="40" w:type="dxa"/>
              <w:right w:w="20" w:type="dxa"/>
            </w:tcMar>
            <w:vAlign w:val="bottom"/>
          </w:tcPr>
          <w:p w14:paraId="5EA27C4B" w14:textId="77777777" w:rsidR="003C66EB" w:rsidRDefault="00D96C4E">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EA27C4C" w14:textId="77777777" w:rsidR="003C66EB" w:rsidRDefault="00D96C4E">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4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4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4F" w14:textId="77777777" w:rsidR="003C66EB" w:rsidRDefault="00D96C4E">
            <w:pPr>
              <w:jc w:val="right"/>
              <w:textAlignment w:val="bottom"/>
            </w:pPr>
            <w:r>
              <w:rPr>
                <w:rFonts w:ascii="Arial" w:eastAsia="宋体" w:hAnsi="Arial" w:cs="Arial"/>
                <w:b/>
                <w:bCs/>
                <w:color w:val="000000"/>
                <w:sz w:val="14"/>
                <w:szCs w:val="14"/>
              </w:rPr>
              <w:t>238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5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5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52" w14:textId="77777777" w:rsidR="003C66EB" w:rsidRDefault="00D96C4E">
            <w:pPr>
              <w:jc w:val="right"/>
              <w:textAlignment w:val="bottom"/>
            </w:pPr>
            <w:r>
              <w:rPr>
                <w:rFonts w:ascii="Arial" w:eastAsia="宋体" w:hAnsi="Arial" w:cs="Arial"/>
                <w:b/>
                <w:bCs/>
                <w:color w:val="000000"/>
                <w:sz w:val="14"/>
                <w:szCs w:val="14"/>
              </w:rPr>
              <w:t>333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5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5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55" w14:textId="77777777" w:rsidR="003C66EB" w:rsidRDefault="00D96C4E">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5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5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5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5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5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5B" w14:textId="77777777" w:rsidR="003C66EB" w:rsidRDefault="00D96C4E">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5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5D" w14:textId="77777777" w:rsidR="003C66EB" w:rsidRDefault="003C66EB">
            <w:pPr>
              <w:rPr>
                <w:rFonts w:ascii="宋体"/>
              </w:rPr>
            </w:pPr>
          </w:p>
        </w:tc>
        <w:tc>
          <w:tcPr>
            <w:tcW w:w="0" w:type="auto"/>
            <w:gridSpan w:val="3"/>
            <w:shd w:val="clear" w:color="auto" w:fill="auto"/>
          </w:tcPr>
          <w:p w14:paraId="5EA27C5E" w14:textId="77777777" w:rsidR="003C66EB" w:rsidRDefault="003C66EB">
            <w:pPr>
              <w:rPr>
                <w:rFonts w:ascii="宋体"/>
                <w:vanish/>
              </w:rPr>
            </w:pPr>
          </w:p>
        </w:tc>
        <w:tc>
          <w:tcPr>
            <w:tcW w:w="0" w:type="auto"/>
            <w:gridSpan w:val="3"/>
            <w:shd w:val="clear" w:color="auto" w:fill="auto"/>
          </w:tcPr>
          <w:p w14:paraId="5EA27C5F" w14:textId="77777777" w:rsidR="003C66EB" w:rsidRDefault="003C66EB">
            <w:pPr>
              <w:rPr>
                <w:rFonts w:ascii="宋体"/>
                <w:vanish/>
              </w:rPr>
            </w:pPr>
          </w:p>
        </w:tc>
        <w:tc>
          <w:tcPr>
            <w:tcW w:w="0" w:type="auto"/>
            <w:gridSpan w:val="3"/>
            <w:shd w:val="clear" w:color="auto" w:fill="auto"/>
          </w:tcPr>
          <w:p w14:paraId="5EA27C60" w14:textId="77777777" w:rsidR="003C66EB" w:rsidRDefault="003C66EB">
            <w:pPr>
              <w:rPr>
                <w:rFonts w:ascii="宋体"/>
                <w:vanish/>
              </w:rPr>
            </w:pPr>
          </w:p>
        </w:tc>
        <w:tc>
          <w:tcPr>
            <w:tcW w:w="0" w:type="auto"/>
            <w:gridSpan w:val="3"/>
            <w:shd w:val="clear" w:color="auto" w:fill="auto"/>
          </w:tcPr>
          <w:p w14:paraId="5EA27C61" w14:textId="77777777" w:rsidR="003C66EB" w:rsidRDefault="003C66EB">
            <w:pPr>
              <w:rPr>
                <w:rFonts w:ascii="宋体"/>
                <w:vanish/>
              </w:rPr>
            </w:pPr>
          </w:p>
        </w:tc>
        <w:tc>
          <w:tcPr>
            <w:tcW w:w="0" w:type="auto"/>
            <w:gridSpan w:val="3"/>
            <w:shd w:val="clear" w:color="auto" w:fill="auto"/>
          </w:tcPr>
          <w:p w14:paraId="5EA27C62"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C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64" w14:textId="77777777" w:rsidR="003C66EB" w:rsidRDefault="00D96C4E">
            <w:pPr>
              <w:jc w:val="right"/>
              <w:textAlignment w:val="bottom"/>
            </w:pPr>
            <w:r>
              <w:rPr>
                <w:rFonts w:ascii="Arial" w:eastAsia="宋体" w:hAnsi="Arial" w:cs="Arial"/>
                <w:b/>
                <w:bCs/>
                <w:color w:val="000000"/>
                <w:sz w:val="14"/>
                <w:szCs w:val="14"/>
              </w:rPr>
              <w:t>346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65" w14:textId="77777777" w:rsidR="003C66EB" w:rsidRDefault="003C66EB">
            <w:pPr>
              <w:jc w:val="right"/>
              <w:rPr>
                <w:rFonts w:ascii="宋体"/>
              </w:rPr>
            </w:pPr>
          </w:p>
        </w:tc>
      </w:tr>
      <w:tr w:rsidR="003C66EB" w14:paraId="5EA27C82" w14:textId="77777777">
        <w:tc>
          <w:tcPr>
            <w:tcW w:w="0" w:type="auto"/>
            <w:gridSpan w:val="3"/>
            <w:shd w:val="clear" w:color="auto" w:fill="FFFFFF"/>
            <w:tcMar>
              <w:top w:w="40" w:type="dxa"/>
              <w:left w:w="155" w:type="dxa"/>
              <w:bottom w:w="40" w:type="dxa"/>
              <w:right w:w="20" w:type="dxa"/>
            </w:tcMar>
            <w:vAlign w:val="bottom"/>
          </w:tcPr>
          <w:p w14:paraId="5EA27C67" w14:textId="77777777" w:rsidR="003C66EB" w:rsidRDefault="00D96C4E">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EA27C68" w14:textId="77777777" w:rsidR="003C66EB" w:rsidRDefault="00D96C4E">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6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6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6B" w14:textId="77777777" w:rsidR="003C66EB" w:rsidRDefault="00D96C4E">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6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6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6E" w14:textId="77777777" w:rsidR="003C66EB" w:rsidRDefault="00D96C4E">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6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7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7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7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7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74"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7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7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77" w14:textId="77777777" w:rsidR="003C66EB" w:rsidRDefault="00D96C4E">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7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79" w14:textId="77777777" w:rsidR="003C66EB" w:rsidRDefault="003C66EB">
            <w:pPr>
              <w:rPr>
                <w:rFonts w:ascii="宋体"/>
              </w:rPr>
            </w:pPr>
          </w:p>
        </w:tc>
        <w:tc>
          <w:tcPr>
            <w:tcW w:w="0" w:type="auto"/>
            <w:gridSpan w:val="3"/>
            <w:shd w:val="clear" w:color="auto" w:fill="auto"/>
          </w:tcPr>
          <w:p w14:paraId="5EA27C7A" w14:textId="77777777" w:rsidR="003C66EB" w:rsidRDefault="003C66EB">
            <w:pPr>
              <w:rPr>
                <w:rFonts w:ascii="宋体"/>
                <w:vanish/>
              </w:rPr>
            </w:pPr>
          </w:p>
        </w:tc>
        <w:tc>
          <w:tcPr>
            <w:tcW w:w="0" w:type="auto"/>
            <w:gridSpan w:val="3"/>
            <w:shd w:val="clear" w:color="auto" w:fill="auto"/>
          </w:tcPr>
          <w:p w14:paraId="5EA27C7B" w14:textId="77777777" w:rsidR="003C66EB" w:rsidRDefault="003C66EB">
            <w:pPr>
              <w:rPr>
                <w:rFonts w:ascii="宋体"/>
                <w:vanish/>
              </w:rPr>
            </w:pPr>
          </w:p>
        </w:tc>
        <w:tc>
          <w:tcPr>
            <w:tcW w:w="0" w:type="auto"/>
            <w:gridSpan w:val="3"/>
            <w:shd w:val="clear" w:color="auto" w:fill="auto"/>
          </w:tcPr>
          <w:p w14:paraId="5EA27C7C" w14:textId="77777777" w:rsidR="003C66EB" w:rsidRDefault="003C66EB">
            <w:pPr>
              <w:rPr>
                <w:rFonts w:ascii="宋体"/>
                <w:vanish/>
              </w:rPr>
            </w:pPr>
          </w:p>
        </w:tc>
        <w:tc>
          <w:tcPr>
            <w:tcW w:w="0" w:type="auto"/>
            <w:gridSpan w:val="3"/>
            <w:shd w:val="clear" w:color="auto" w:fill="auto"/>
          </w:tcPr>
          <w:p w14:paraId="5EA27C7D" w14:textId="77777777" w:rsidR="003C66EB" w:rsidRDefault="003C66EB">
            <w:pPr>
              <w:rPr>
                <w:rFonts w:ascii="宋体"/>
                <w:vanish/>
              </w:rPr>
            </w:pPr>
          </w:p>
        </w:tc>
        <w:tc>
          <w:tcPr>
            <w:tcW w:w="0" w:type="auto"/>
            <w:gridSpan w:val="3"/>
            <w:shd w:val="clear" w:color="auto" w:fill="auto"/>
          </w:tcPr>
          <w:p w14:paraId="5EA27C7E"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C7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80" w14:textId="77777777" w:rsidR="003C66EB" w:rsidRDefault="00D96C4E">
            <w:pPr>
              <w:jc w:val="right"/>
              <w:textAlignment w:val="bottom"/>
            </w:pPr>
            <w:r>
              <w:rPr>
                <w:rFonts w:ascii="Arial" w:eastAsia="宋体" w:hAnsi="Arial" w:cs="Arial"/>
                <w:b/>
                <w:bCs/>
                <w:color w:val="000000"/>
                <w:sz w:val="14"/>
                <w:szCs w:val="14"/>
              </w:rPr>
              <w:t>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81" w14:textId="77777777" w:rsidR="003C66EB" w:rsidRDefault="003C66EB">
            <w:pPr>
              <w:jc w:val="right"/>
              <w:rPr>
                <w:rFonts w:ascii="宋体"/>
              </w:rPr>
            </w:pPr>
          </w:p>
        </w:tc>
      </w:tr>
      <w:tr w:rsidR="003C66EB" w14:paraId="5EA27C9E" w14:textId="77777777">
        <w:tc>
          <w:tcPr>
            <w:tcW w:w="0" w:type="auto"/>
            <w:gridSpan w:val="3"/>
            <w:shd w:val="clear" w:color="auto" w:fill="CCEEFF"/>
            <w:tcMar>
              <w:top w:w="40" w:type="dxa"/>
              <w:left w:w="155" w:type="dxa"/>
              <w:bottom w:w="40" w:type="dxa"/>
              <w:right w:w="20" w:type="dxa"/>
            </w:tcMar>
            <w:vAlign w:val="bottom"/>
          </w:tcPr>
          <w:p w14:paraId="5EA27C83" w14:textId="77777777" w:rsidR="003C66EB" w:rsidRDefault="00D96C4E">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5EA27C84" w14:textId="77777777" w:rsidR="003C66EB" w:rsidRDefault="00D96C4E">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8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8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87" w14:textId="77777777" w:rsidR="003C66EB" w:rsidRDefault="00D96C4E">
            <w:pPr>
              <w:jc w:val="right"/>
              <w:textAlignment w:val="bottom"/>
            </w:pPr>
            <w:r>
              <w:rPr>
                <w:rFonts w:ascii="Arial" w:eastAsia="宋体" w:hAnsi="Arial" w:cs="Arial"/>
                <w:b/>
                <w:bCs/>
                <w:color w:val="000000"/>
                <w:sz w:val="14"/>
                <w:szCs w:val="14"/>
              </w:rPr>
              <w:t>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8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8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8A" w14:textId="77777777" w:rsidR="003C66EB" w:rsidRDefault="00D96C4E">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8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8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8D"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8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8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90"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9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9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93" w14:textId="77777777" w:rsidR="003C66EB" w:rsidRDefault="00D96C4E">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9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95" w14:textId="77777777" w:rsidR="003C66EB" w:rsidRDefault="003C66EB">
            <w:pPr>
              <w:rPr>
                <w:rFonts w:ascii="宋体"/>
              </w:rPr>
            </w:pPr>
          </w:p>
        </w:tc>
        <w:tc>
          <w:tcPr>
            <w:tcW w:w="0" w:type="auto"/>
            <w:gridSpan w:val="3"/>
            <w:shd w:val="clear" w:color="auto" w:fill="auto"/>
          </w:tcPr>
          <w:p w14:paraId="5EA27C96" w14:textId="77777777" w:rsidR="003C66EB" w:rsidRDefault="003C66EB">
            <w:pPr>
              <w:rPr>
                <w:rFonts w:ascii="宋体"/>
                <w:vanish/>
              </w:rPr>
            </w:pPr>
          </w:p>
        </w:tc>
        <w:tc>
          <w:tcPr>
            <w:tcW w:w="0" w:type="auto"/>
            <w:gridSpan w:val="3"/>
            <w:shd w:val="clear" w:color="auto" w:fill="auto"/>
          </w:tcPr>
          <w:p w14:paraId="5EA27C97" w14:textId="77777777" w:rsidR="003C66EB" w:rsidRDefault="003C66EB">
            <w:pPr>
              <w:rPr>
                <w:rFonts w:ascii="宋体"/>
                <w:vanish/>
              </w:rPr>
            </w:pPr>
          </w:p>
        </w:tc>
        <w:tc>
          <w:tcPr>
            <w:tcW w:w="0" w:type="auto"/>
            <w:gridSpan w:val="3"/>
            <w:shd w:val="clear" w:color="auto" w:fill="auto"/>
          </w:tcPr>
          <w:p w14:paraId="5EA27C98" w14:textId="77777777" w:rsidR="003C66EB" w:rsidRDefault="003C66EB">
            <w:pPr>
              <w:rPr>
                <w:rFonts w:ascii="宋体"/>
                <w:vanish/>
              </w:rPr>
            </w:pPr>
          </w:p>
        </w:tc>
        <w:tc>
          <w:tcPr>
            <w:tcW w:w="0" w:type="auto"/>
            <w:gridSpan w:val="3"/>
            <w:shd w:val="clear" w:color="auto" w:fill="auto"/>
          </w:tcPr>
          <w:p w14:paraId="5EA27C99" w14:textId="77777777" w:rsidR="003C66EB" w:rsidRDefault="003C66EB">
            <w:pPr>
              <w:rPr>
                <w:rFonts w:ascii="宋体"/>
                <w:vanish/>
              </w:rPr>
            </w:pPr>
          </w:p>
        </w:tc>
        <w:tc>
          <w:tcPr>
            <w:tcW w:w="0" w:type="auto"/>
            <w:gridSpan w:val="3"/>
            <w:shd w:val="clear" w:color="auto" w:fill="auto"/>
          </w:tcPr>
          <w:p w14:paraId="5EA27C9A"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C9B"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9C" w14:textId="77777777" w:rsidR="003C66EB" w:rsidRDefault="00D96C4E">
            <w:pPr>
              <w:jc w:val="right"/>
              <w:textAlignment w:val="bottom"/>
            </w:pPr>
            <w:r>
              <w:rPr>
                <w:rFonts w:ascii="Arial" w:eastAsia="宋体" w:hAnsi="Arial" w:cs="Arial"/>
                <w:b/>
                <w:bCs/>
                <w:color w:val="000000"/>
                <w:sz w:val="14"/>
                <w:szCs w:val="14"/>
              </w:rPr>
              <w:t>174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9D" w14:textId="77777777" w:rsidR="003C66EB" w:rsidRDefault="003C66EB">
            <w:pPr>
              <w:jc w:val="right"/>
              <w:rPr>
                <w:rFonts w:ascii="宋体"/>
              </w:rPr>
            </w:pPr>
          </w:p>
        </w:tc>
      </w:tr>
      <w:tr w:rsidR="003C66EB" w14:paraId="5EA27CBA" w14:textId="77777777">
        <w:tc>
          <w:tcPr>
            <w:tcW w:w="0" w:type="auto"/>
            <w:gridSpan w:val="3"/>
            <w:shd w:val="clear" w:color="auto" w:fill="FFFFFF"/>
            <w:tcMar>
              <w:top w:w="40" w:type="dxa"/>
              <w:left w:w="20" w:type="dxa"/>
              <w:bottom w:w="40" w:type="dxa"/>
              <w:right w:w="20" w:type="dxa"/>
            </w:tcMar>
            <w:vAlign w:val="bottom"/>
          </w:tcPr>
          <w:p w14:paraId="5EA27C9F" w14:textId="77777777" w:rsidR="003C66EB" w:rsidRDefault="00D96C4E">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A0" w14:textId="77777777" w:rsidR="003C66EB" w:rsidRDefault="00D96C4E">
            <w:pPr>
              <w:jc w:val="right"/>
              <w:textAlignment w:val="bottom"/>
            </w:pPr>
            <w:r>
              <w:rPr>
                <w:rFonts w:ascii="Arial" w:eastAsia="宋体" w:hAnsi="Arial" w:cs="Arial"/>
                <w:b/>
                <w:bCs/>
                <w:color w:val="000000"/>
                <w:sz w:val="14"/>
                <w:szCs w:val="14"/>
              </w:rPr>
              <w:t>1,634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A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A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A3" w14:textId="77777777" w:rsidR="003C66EB" w:rsidRDefault="00D96C4E">
            <w:pPr>
              <w:jc w:val="right"/>
              <w:textAlignment w:val="bottom"/>
            </w:pPr>
            <w:r>
              <w:rPr>
                <w:rFonts w:ascii="Arial" w:eastAsia="宋体" w:hAnsi="Arial" w:cs="Arial"/>
                <w:b/>
                <w:bCs/>
                <w:color w:val="000000"/>
                <w:sz w:val="14"/>
                <w:szCs w:val="14"/>
              </w:rPr>
              <w:t>337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A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A5"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A6" w14:textId="77777777" w:rsidR="003C66EB" w:rsidRDefault="00D96C4E">
            <w:pPr>
              <w:jc w:val="right"/>
              <w:textAlignment w:val="bottom"/>
            </w:pPr>
            <w:r>
              <w:rPr>
                <w:rFonts w:ascii="Arial" w:eastAsia="宋体" w:hAnsi="Arial" w:cs="Arial"/>
                <w:b/>
                <w:bCs/>
                <w:color w:val="000000"/>
                <w:sz w:val="14"/>
                <w:szCs w:val="14"/>
              </w:rPr>
              <w:t>1,971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A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A8"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A9" w14:textId="77777777" w:rsidR="003C66EB" w:rsidRDefault="00D96C4E">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A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AB"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AC" w14:textId="77777777" w:rsidR="003C66EB" w:rsidRDefault="00D96C4E">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A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AE"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AF" w14:textId="77777777" w:rsidR="003C66EB" w:rsidRDefault="00D96C4E">
            <w:pPr>
              <w:jc w:val="right"/>
              <w:textAlignment w:val="bottom"/>
            </w:pPr>
            <w:r>
              <w:rPr>
                <w:rFonts w:ascii="Arial" w:eastAsia="宋体" w:hAnsi="Arial" w:cs="Arial"/>
                <w:b/>
                <w:bCs/>
                <w:color w:val="000000"/>
                <w:sz w:val="14"/>
                <w:szCs w:val="14"/>
              </w:rPr>
              <w:t>512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B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B1" w14:textId="77777777" w:rsidR="003C66EB" w:rsidRDefault="003C66EB">
            <w:pPr>
              <w:rPr>
                <w:rFonts w:ascii="宋体"/>
              </w:rPr>
            </w:pPr>
          </w:p>
        </w:tc>
        <w:tc>
          <w:tcPr>
            <w:tcW w:w="0" w:type="auto"/>
            <w:gridSpan w:val="3"/>
            <w:shd w:val="clear" w:color="auto" w:fill="auto"/>
          </w:tcPr>
          <w:p w14:paraId="5EA27CB2" w14:textId="77777777" w:rsidR="003C66EB" w:rsidRDefault="003C66EB">
            <w:pPr>
              <w:rPr>
                <w:rFonts w:ascii="宋体"/>
                <w:vanish/>
              </w:rPr>
            </w:pPr>
          </w:p>
        </w:tc>
        <w:tc>
          <w:tcPr>
            <w:tcW w:w="0" w:type="auto"/>
            <w:gridSpan w:val="3"/>
            <w:shd w:val="clear" w:color="auto" w:fill="auto"/>
          </w:tcPr>
          <w:p w14:paraId="5EA27CB3" w14:textId="77777777" w:rsidR="003C66EB" w:rsidRDefault="003C66EB">
            <w:pPr>
              <w:rPr>
                <w:rFonts w:ascii="宋体"/>
                <w:vanish/>
              </w:rPr>
            </w:pPr>
          </w:p>
        </w:tc>
        <w:tc>
          <w:tcPr>
            <w:tcW w:w="0" w:type="auto"/>
            <w:gridSpan w:val="3"/>
            <w:shd w:val="clear" w:color="auto" w:fill="auto"/>
          </w:tcPr>
          <w:p w14:paraId="5EA27CB4" w14:textId="77777777" w:rsidR="003C66EB" w:rsidRDefault="003C66EB">
            <w:pPr>
              <w:rPr>
                <w:rFonts w:ascii="宋体"/>
                <w:vanish/>
              </w:rPr>
            </w:pPr>
          </w:p>
        </w:tc>
        <w:tc>
          <w:tcPr>
            <w:tcW w:w="0" w:type="auto"/>
            <w:gridSpan w:val="3"/>
            <w:shd w:val="clear" w:color="auto" w:fill="auto"/>
          </w:tcPr>
          <w:p w14:paraId="5EA27CB5" w14:textId="77777777" w:rsidR="003C66EB" w:rsidRDefault="003C66EB">
            <w:pPr>
              <w:rPr>
                <w:rFonts w:ascii="宋体"/>
                <w:vanish/>
              </w:rPr>
            </w:pPr>
          </w:p>
        </w:tc>
        <w:tc>
          <w:tcPr>
            <w:tcW w:w="0" w:type="auto"/>
            <w:gridSpan w:val="3"/>
            <w:shd w:val="clear" w:color="auto" w:fill="auto"/>
          </w:tcPr>
          <w:p w14:paraId="5EA27CB6"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CB7"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CB8" w14:textId="77777777" w:rsidR="003C66EB" w:rsidRDefault="00D96C4E">
            <w:pPr>
              <w:jc w:val="right"/>
              <w:textAlignment w:val="bottom"/>
            </w:pPr>
            <w:r>
              <w:rPr>
                <w:rFonts w:ascii="Arial" w:eastAsia="宋体" w:hAnsi="Arial" w:cs="Arial"/>
                <w:b/>
                <w:bCs/>
                <w:color w:val="000000"/>
                <w:sz w:val="14"/>
                <w:szCs w:val="14"/>
              </w:rPr>
              <w:t>2,483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CB9" w14:textId="77777777" w:rsidR="003C66EB" w:rsidRDefault="003C66EB">
            <w:pPr>
              <w:jc w:val="right"/>
              <w:rPr>
                <w:rFonts w:ascii="宋体"/>
              </w:rPr>
            </w:pPr>
          </w:p>
        </w:tc>
      </w:tr>
      <w:tr w:rsidR="003C66EB" w14:paraId="5EA27CD6" w14:textId="77777777">
        <w:tc>
          <w:tcPr>
            <w:tcW w:w="0" w:type="auto"/>
            <w:gridSpan w:val="3"/>
            <w:shd w:val="clear" w:color="auto" w:fill="CCEEFF"/>
            <w:tcMar>
              <w:top w:w="40" w:type="dxa"/>
              <w:left w:w="155" w:type="dxa"/>
              <w:bottom w:w="40" w:type="dxa"/>
              <w:right w:w="20" w:type="dxa"/>
            </w:tcMar>
            <w:vAlign w:val="bottom"/>
          </w:tcPr>
          <w:p w14:paraId="5EA27CBB" w14:textId="77777777" w:rsidR="003C66EB" w:rsidRDefault="00D96C4E">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EA27CBC"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B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B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BF" w14:textId="77777777" w:rsidR="003C66EB" w:rsidRDefault="00D96C4E">
            <w:pPr>
              <w:jc w:val="right"/>
              <w:textAlignment w:val="bottom"/>
            </w:pPr>
            <w:r>
              <w:rPr>
                <w:rFonts w:ascii="Arial" w:eastAsia="宋体" w:hAnsi="Arial" w:cs="Arial"/>
                <w:b/>
                <w:bCs/>
                <w:color w:val="000000"/>
                <w:sz w:val="14"/>
                <w:szCs w:val="14"/>
              </w:rPr>
              <w:t>473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C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C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C2" w14:textId="77777777" w:rsidR="003C66EB" w:rsidRDefault="00D96C4E">
            <w:pPr>
              <w:jc w:val="right"/>
              <w:textAlignment w:val="bottom"/>
            </w:pPr>
            <w:r>
              <w:rPr>
                <w:rFonts w:ascii="Arial" w:eastAsia="宋体" w:hAnsi="Arial" w:cs="Arial"/>
                <w:b/>
                <w:bCs/>
                <w:color w:val="000000"/>
                <w:sz w:val="14"/>
                <w:szCs w:val="14"/>
              </w:rPr>
              <w:t>473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C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C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C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C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C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C8" w14:textId="77777777" w:rsidR="003C66EB" w:rsidRDefault="00D96C4E">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5EA27CC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C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CB" w14:textId="77777777" w:rsidR="003C66EB" w:rsidRDefault="00D96C4E">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5EA27CC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CD" w14:textId="77777777" w:rsidR="003C66EB" w:rsidRDefault="003C66EB">
            <w:pPr>
              <w:rPr>
                <w:rFonts w:ascii="宋体"/>
              </w:rPr>
            </w:pPr>
          </w:p>
        </w:tc>
        <w:tc>
          <w:tcPr>
            <w:tcW w:w="0" w:type="auto"/>
            <w:gridSpan w:val="3"/>
            <w:shd w:val="clear" w:color="auto" w:fill="auto"/>
          </w:tcPr>
          <w:p w14:paraId="5EA27CCE" w14:textId="77777777" w:rsidR="003C66EB" w:rsidRDefault="003C66EB">
            <w:pPr>
              <w:rPr>
                <w:rFonts w:ascii="宋体"/>
                <w:vanish/>
              </w:rPr>
            </w:pPr>
          </w:p>
        </w:tc>
        <w:tc>
          <w:tcPr>
            <w:tcW w:w="0" w:type="auto"/>
            <w:gridSpan w:val="3"/>
            <w:shd w:val="clear" w:color="auto" w:fill="auto"/>
          </w:tcPr>
          <w:p w14:paraId="5EA27CCF" w14:textId="77777777" w:rsidR="003C66EB" w:rsidRDefault="003C66EB">
            <w:pPr>
              <w:rPr>
                <w:rFonts w:ascii="宋体"/>
                <w:vanish/>
              </w:rPr>
            </w:pPr>
          </w:p>
        </w:tc>
        <w:tc>
          <w:tcPr>
            <w:tcW w:w="0" w:type="auto"/>
            <w:gridSpan w:val="3"/>
            <w:shd w:val="clear" w:color="auto" w:fill="auto"/>
          </w:tcPr>
          <w:p w14:paraId="5EA27CD0" w14:textId="77777777" w:rsidR="003C66EB" w:rsidRDefault="003C66EB">
            <w:pPr>
              <w:rPr>
                <w:rFonts w:ascii="宋体"/>
                <w:vanish/>
              </w:rPr>
            </w:pPr>
          </w:p>
        </w:tc>
        <w:tc>
          <w:tcPr>
            <w:tcW w:w="0" w:type="auto"/>
            <w:gridSpan w:val="3"/>
            <w:shd w:val="clear" w:color="auto" w:fill="auto"/>
          </w:tcPr>
          <w:p w14:paraId="5EA27CD1" w14:textId="77777777" w:rsidR="003C66EB" w:rsidRDefault="003C66EB">
            <w:pPr>
              <w:rPr>
                <w:rFonts w:ascii="宋体"/>
                <w:vanish/>
              </w:rPr>
            </w:pPr>
          </w:p>
        </w:tc>
        <w:tc>
          <w:tcPr>
            <w:tcW w:w="0" w:type="auto"/>
            <w:gridSpan w:val="3"/>
            <w:shd w:val="clear" w:color="auto" w:fill="auto"/>
          </w:tcPr>
          <w:p w14:paraId="5EA27CD2"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CD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CD4" w14:textId="77777777" w:rsidR="003C66EB" w:rsidRDefault="00D96C4E">
            <w:pPr>
              <w:jc w:val="right"/>
              <w:textAlignment w:val="bottom"/>
            </w:pPr>
            <w:r>
              <w:rPr>
                <w:rFonts w:ascii="Arial" w:eastAsia="宋体" w:hAnsi="Arial" w:cs="Arial"/>
                <w:b/>
                <w:bCs/>
                <w:color w:val="000000"/>
                <w:sz w:val="14"/>
                <w:szCs w:val="14"/>
              </w:rPr>
              <w:t>467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CD5" w14:textId="77777777" w:rsidR="003C66EB" w:rsidRDefault="003C66EB">
            <w:pPr>
              <w:jc w:val="right"/>
              <w:rPr>
                <w:rFonts w:ascii="宋体"/>
              </w:rPr>
            </w:pPr>
          </w:p>
        </w:tc>
      </w:tr>
      <w:tr w:rsidR="003C66EB" w14:paraId="5EA27CF2" w14:textId="77777777">
        <w:tc>
          <w:tcPr>
            <w:tcW w:w="0" w:type="auto"/>
            <w:gridSpan w:val="3"/>
            <w:shd w:val="clear" w:color="auto" w:fill="FFFFFF"/>
            <w:tcMar>
              <w:top w:w="40" w:type="dxa"/>
              <w:left w:w="155" w:type="dxa"/>
              <w:bottom w:w="40" w:type="dxa"/>
              <w:right w:w="20" w:type="dxa"/>
            </w:tcMar>
            <w:vAlign w:val="bottom"/>
          </w:tcPr>
          <w:p w14:paraId="5EA27CD7" w14:textId="77777777" w:rsidR="003C66EB" w:rsidRDefault="00D96C4E">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EA27CD8"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D9"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D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DB"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D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D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DE"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D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E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E1"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E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E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E4"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E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E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E7"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E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CE9" w14:textId="77777777" w:rsidR="003C66EB" w:rsidRDefault="003C66EB">
            <w:pPr>
              <w:rPr>
                <w:rFonts w:ascii="宋体"/>
              </w:rPr>
            </w:pPr>
          </w:p>
        </w:tc>
        <w:tc>
          <w:tcPr>
            <w:tcW w:w="0" w:type="auto"/>
            <w:gridSpan w:val="3"/>
            <w:shd w:val="clear" w:color="auto" w:fill="auto"/>
          </w:tcPr>
          <w:p w14:paraId="5EA27CEA" w14:textId="77777777" w:rsidR="003C66EB" w:rsidRDefault="003C66EB">
            <w:pPr>
              <w:rPr>
                <w:rFonts w:ascii="宋体"/>
                <w:vanish/>
              </w:rPr>
            </w:pPr>
          </w:p>
        </w:tc>
        <w:tc>
          <w:tcPr>
            <w:tcW w:w="0" w:type="auto"/>
            <w:gridSpan w:val="3"/>
            <w:shd w:val="clear" w:color="auto" w:fill="auto"/>
          </w:tcPr>
          <w:p w14:paraId="5EA27CEB" w14:textId="77777777" w:rsidR="003C66EB" w:rsidRDefault="003C66EB">
            <w:pPr>
              <w:rPr>
                <w:rFonts w:ascii="宋体"/>
                <w:vanish/>
              </w:rPr>
            </w:pPr>
          </w:p>
        </w:tc>
        <w:tc>
          <w:tcPr>
            <w:tcW w:w="0" w:type="auto"/>
            <w:gridSpan w:val="3"/>
            <w:shd w:val="clear" w:color="auto" w:fill="auto"/>
          </w:tcPr>
          <w:p w14:paraId="5EA27CEC" w14:textId="77777777" w:rsidR="003C66EB" w:rsidRDefault="003C66EB">
            <w:pPr>
              <w:rPr>
                <w:rFonts w:ascii="宋体"/>
                <w:vanish/>
              </w:rPr>
            </w:pPr>
          </w:p>
        </w:tc>
        <w:tc>
          <w:tcPr>
            <w:tcW w:w="0" w:type="auto"/>
            <w:gridSpan w:val="3"/>
            <w:shd w:val="clear" w:color="auto" w:fill="auto"/>
          </w:tcPr>
          <w:p w14:paraId="5EA27CED" w14:textId="77777777" w:rsidR="003C66EB" w:rsidRDefault="003C66EB">
            <w:pPr>
              <w:rPr>
                <w:rFonts w:ascii="宋体"/>
                <w:vanish/>
              </w:rPr>
            </w:pPr>
          </w:p>
        </w:tc>
        <w:tc>
          <w:tcPr>
            <w:tcW w:w="0" w:type="auto"/>
            <w:gridSpan w:val="3"/>
            <w:shd w:val="clear" w:color="auto" w:fill="auto"/>
          </w:tcPr>
          <w:p w14:paraId="5EA27CEE"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CE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CF0"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CF1" w14:textId="77777777" w:rsidR="003C66EB" w:rsidRDefault="003C66EB">
            <w:pPr>
              <w:jc w:val="right"/>
              <w:rPr>
                <w:rFonts w:ascii="宋体"/>
              </w:rPr>
            </w:pPr>
          </w:p>
        </w:tc>
      </w:tr>
      <w:tr w:rsidR="003C66EB" w14:paraId="5EA27D15" w14:textId="77777777">
        <w:tc>
          <w:tcPr>
            <w:tcW w:w="0" w:type="auto"/>
            <w:gridSpan w:val="3"/>
            <w:shd w:val="clear" w:color="auto" w:fill="CCEEFF"/>
            <w:tcMar>
              <w:top w:w="40" w:type="dxa"/>
              <w:left w:w="20" w:type="dxa"/>
              <w:bottom w:w="40" w:type="dxa"/>
              <w:right w:w="20" w:type="dxa"/>
            </w:tcMar>
            <w:vAlign w:val="bottom"/>
          </w:tcPr>
          <w:p w14:paraId="5EA27CF3" w14:textId="77777777" w:rsidR="003C66EB" w:rsidRDefault="00D96C4E">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CF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F5" w14:textId="77777777" w:rsidR="003C66EB" w:rsidRDefault="00D96C4E">
            <w:pPr>
              <w:jc w:val="right"/>
              <w:textAlignment w:val="bottom"/>
            </w:pPr>
            <w:r>
              <w:rPr>
                <w:rFonts w:ascii="Arial" w:eastAsia="宋体" w:hAnsi="Arial" w:cs="Arial"/>
                <w:b/>
                <w:bCs/>
                <w:color w:val="000000"/>
                <w:sz w:val="14"/>
                <w:szCs w:val="14"/>
              </w:rPr>
              <w:t>1,634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F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F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F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F9" w14:textId="77777777" w:rsidR="003C66EB" w:rsidRDefault="00D96C4E">
            <w:pPr>
              <w:jc w:val="right"/>
              <w:textAlignment w:val="bottom"/>
            </w:pPr>
            <w:r>
              <w:rPr>
                <w:rFonts w:ascii="Arial" w:eastAsia="宋体" w:hAnsi="Arial" w:cs="Arial"/>
                <w:b/>
                <w:bCs/>
                <w:color w:val="000000"/>
                <w:sz w:val="14"/>
                <w:szCs w:val="14"/>
              </w:rPr>
              <w:t>810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F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F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CFC"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CFD" w14:textId="77777777" w:rsidR="003C66EB" w:rsidRDefault="00D96C4E">
            <w:pPr>
              <w:jc w:val="right"/>
              <w:textAlignment w:val="bottom"/>
            </w:pPr>
            <w:r>
              <w:rPr>
                <w:rFonts w:ascii="Arial" w:eastAsia="宋体" w:hAnsi="Arial" w:cs="Arial"/>
                <w:b/>
                <w:bCs/>
                <w:color w:val="000000"/>
                <w:sz w:val="14"/>
                <w:szCs w:val="14"/>
              </w:rPr>
              <w:t>2,444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CF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CF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00"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01" w14:textId="77777777" w:rsidR="003C66EB" w:rsidRDefault="00D96C4E">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0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0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04"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05" w14:textId="77777777" w:rsidR="003C66EB" w:rsidRDefault="00D96C4E">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0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0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08"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09" w14:textId="77777777" w:rsidR="003C66EB" w:rsidRDefault="00D96C4E">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0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0B" w14:textId="77777777" w:rsidR="003C66EB" w:rsidRDefault="003C66EB">
            <w:pPr>
              <w:rPr>
                <w:rFonts w:ascii="宋体"/>
              </w:rPr>
            </w:pPr>
          </w:p>
        </w:tc>
        <w:tc>
          <w:tcPr>
            <w:tcW w:w="0" w:type="auto"/>
            <w:gridSpan w:val="3"/>
            <w:shd w:val="clear" w:color="auto" w:fill="auto"/>
          </w:tcPr>
          <w:p w14:paraId="5EA27D0C" w14:textId="77777777" w:rsidR="003C66EB" w:rsidRDefault="003C66EB">
            <w:pPr>
              <w:rPr>
                <w:rFonts w:ascii="宋体"/>
                <w:vanish/>
              </w:rPr>
            </w:pPr>
          </w:p>
        </w:tc>
        <w:tc>
          <w:tcPr>
            <w:tcW w:w="0" w:type="auto"/>
            <w:gridSpan w:val="3"/>
            <w:shd w:val="clear" w:color="auto" w:fill="auto"/>
          </w:tcPr>
          <w:p w14:paraId="5EA27D0D" w14:textId="77777777" w:rsidR="003C66EB" w:rsidRDefault="003C66EB">
            <w:pPr>
              <w:rPr>
                <w:rFonts w:ascii="宋体"/>
                <w:vanish/>
              </w:rPr>
            </w:pPr>
          </w:p>
        </w:tc>
        <w:tc>
          <w:tcPr>
            <w:tcW w:w="0" w:type="auto"/>
            <w:gridSpan w:val="3"/>
            <w:shd w:val="clear" w:color="auto" w:fill="auto"/>
          </w:tcPr>
          <w:p w14:paraId="5EA27D0E" w14:textId="77777777" w:rsidR="003C66EB" w:rsidRDefault="003C66EB">
            <w:pPr>
              <w:rPr>
                <w:rFonts w:ascii="宋体"/>
                <w:vanish/>
              </w:rPr>
            </w:pPr>
          </w:p>
        </w:tc>
        <w:tc>
          <w:tcPr>
            <w:tcW w:w="0" w:type="auto"/>
            <w:gridSpan w:val="3"/>
            <w:shd w:val="clear" w:color="auto" w:fill="auto"/>
          </w:tcPr>
          <w:p w14:paraId="5EA27D0F" w14:textId="77777777" w:rsidR="003C66EB" w:rsidRDefault="003C66EB">
            <w:pPr>
              <w:rPr>
                <w:rFonts w:ascii="宋体"/>
                <w:vanish/>
              </w:rPr>
            </w:pPr>
          </w:p>
        </w:tc>
        <w:tc>
          <w:tcPr>
            <w:tcW w:w="0" w:type="auto"/>
            <w:gridSpan w:val="3"/>
            <w:shd w:val="clear" w:color="auto" w:fill="auto"/>
          </w:tcPr>
          <w:p w14:paraId="5EA27D10"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D11"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12" w14:textId="77777777" w:rsidR="003C66EB" w:rsidRDefault="00D96C4E">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13" w14:textId="77777777" w:rsidR="003C66EB" w:rsidRDefault="00D96C4E">
            <w:pPr>
              <w:jc w:val="right"/>
              <w:textAlignment w:val="bottom"/>
            </w:pPr>
            <w:r>
              <w:rPr>
                <w:rFonts w:ascii="Arial" w:eastAsia="宋体" w:hAnsi="Arial" w:cs="Arial"/>
                <w:b/>
                <w:bCs/>
                <w:color w:val="000000"/>
                <w:sz w:val="14"/>
                <w:szCs w:val="14"/>
              </w:rPr>
              <w:t>2,950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14" w14:textId="77777777" w:rsidR="003C66EB" w:rsidRDefault="003C66EB">
            <w:pPr>
              <w:jc w:val="right"/>
              <w:rPr>
                <w:rFonts w:ascii="宋体"/>
              </w:rPr>
            </w:pPr>
          </w:p>
        </w:tc>
      </w:tr>
      <w:tr w:rsidR="003C66EB" w14:paraId="5EA27D2A" w14:textId="77777777">
        <w:trPr>
          <w:trHeight w:val="180"/>
        </w:trPr>
        <w:tc>
          <w:tcPr>
            <w:tcW w:w="0" w:type="auto"/>
            <w:gridSpan w:val="3"/>
            <w:shd w:val="clear" w:color="auto" w:fill="auto"/>
            <w:tcMar>
              <w:top w:w="0" w:type="dxa"/>
              <w:left w:w="20" w:type="dxa"/>
              <w:bottom w:w="0" w:type="dxa"/>
              <w:right w:w="20" w:type="dxa"/>
            </w:tcMar>
          </w:tcPr>
          <w:p w14:paraId="5EA27D16"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1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D18"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1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D1A"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1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D1C"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D1E"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1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D20"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7D22" w14:textId="77777777" w:rsidR="003C66EB" w:rsidRDefault="003C66EB">
            <w:pPr>
              <w:rPr>
                <w:rFonts w:ascii="宋体"/>
              </w:rPr>
            </w:pPr>
          </w:p>
        </w:tc>
        <w:tc>
          <w:tcPr>
            <w:tcW w:w="0" w:type="auto"/>
            <w:gridSpan w:val="3"/>
            <w:shd w:val="clear" w:color="auto" w:fill="auto"/>
          </w:tcPr>
          <w:p w14:paraId="5EA27D23" w14:textId="77777777" w:rsidR="003C66EB" w:rsidRDefault="003C66EB">
            <w:pPr>
              <w:rPr>
                <w:rFonts w:ascii="宋体"/>
                <w:vanish/>
              </w:rPr>
            </w:pPr>
          </w:p>
        </w:tc>
        <w:tc>
          <w:tcPr>
            <w:tcW w:w="0" w:type="auto"/>
            <w:gridSpan w:val="3"/>
            <w:shd w:val="clear" w:color="auto" w:fill="auto"/>
          </w:tcPr>
          <w:p w14:paraId="5EA27D24" w14:textId="77777777" w:rsidR="003C66EB" w:rsidRDefault="003C66EB">
            <w:pPr>
              <w:rPr>
                <w:rFonts w:ascii="宋体"/>
                <w:vanish/>
              </w:rPr>
            </w:pPr>
          </w:p>
        </w:tc>
        <w:tc>
          <w:tcPr>
            <w:tcW w:w="0" w:type="auto"/>
            <w:gridSpan w:val="3"/>
            <w:shd w:val="clear" w:color="auto" w:fill="auto"/>
          </w:tcPr>
          <w:p w14:paraId="5EA27D25" w14:textId="77777777" w:rsidR="003C66EB" w:rsidRDefault="003C66EB">
            <w:pPr>
              <w:rPr>
                <w:rFonts w:ascii="宋体"/>
                <w:vanish/>
              </w:rPr>
            </w:pPr>
          </w:p>
        </w:tc>
        <w:tc>
          <w:tcPr>
            <w:tcW w:w="0" w:type="auto"/>
            <w:gridSpan w:val="3"/>
            <w:shd w:val="clear" w:color="auto" w:fill="auto"/>
          </w:tcPr>
          <w:p w14:paraId="5EA27D26" w14:textId="77777777" w:rsidR="003C66EB" w:rsidRDefault="003C66EB">
            <w:pPr>
              <w:rPr>
                <w:rFonts w:ascii="宋体"/>
                <w:vanish/>
              </w:rPr>
            </w:pPr>
          </w:p>
        </w:tc>
        <w:tc>
          <w:tcPr>
            <w:tcW w:w="0" w:type="auto"/>
            <w:gridSpan w:val="3"/>
            <w:shd w:val="clear" w:color="auto" w:fill="auto"/>
          </w:tcPr>
          <w:p w14:paraId="5EA27D27"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7D28" w14:textId="77777777" w:rsidR="003C66EB" w:rsidRDefault="003C66E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5EA27D29" w14:textId="77777777" w:rsidR="003C66EB" w:rsidRDefault="003C66EB">
            <w:pPr>
              <w:rPr>
                <w:rFonts w:ascii="宋体"/>
              </w:rPr>
            </w:pPr>
          </w:p>
        </w:tc>
      </w:tr>
      <w:tr w:rsidR="003C66EB" w14:paraId="5EA27D3C" w14:textId="77777777">
        <w:tc>
          <w:tcPr>
            <w:tcW w:w="0" w:type="auto"/>
            <w:gridSpan w:val="3"/>
            <w:shd w:val="clear" w:color="auto" w:fill="auto"/>
            <w:tcMar>
              <w:top w:w="0" w:type="dxa"/>
              <w:left w:w="20" w:type="dxa"/>
              <w:bottom w:w="0" w:type="dxa"/>
              <w:right w:w="20" w:type="dxa"/>
            </w:tcMar>
          </w:tcPr>
          <w:p w14:paraId="5EA27D2B" w14:textId="77777777" w:rsidR="003C66EB" w:rsidRDefault="003C66EB">
            <w:pPr>
              <w:rPr>
                <w:rFonts w:ascii="宋体"/>
              </w:rPr>
            </w:pPr>
          </w:p>
        </w:tc>
        <w:tc>
          <w:tcPr>
            <w:tcW w:w="0" w:type="auto"/>
            <w:gridSpan w:val="42"/>
            <w:shd w:val="clear" w:color="auto" w:fill="auto"/>
            <w:tcMar>
              <w:top w:w="40" w:type="dxa"/>
              <w:left w:w="20" w:type="dxa"/>
              <w:bottom w:w="40" w:type="dxa"/>
              <w:right w:w="20" w:type="dxa"/>
            </w:tcMar>
            <w:vAlign w:val="bottom"/>
          </w:tcPr>
          <w:p w14:paraId="5EA27D2C" w14:textId="77777777" w:rsidR="003C66EB" w:rsidRDefault="00D96C4E">
            <w:pPr>
              <w:jc w:val="center"/>
              <w:textAlignment w:val="bottom"/>
            </w:pPr>
            <w:r>
              <w:rPr>
                <w:rFonts w:ascii="Arial" w:eastAsia="宋体" w:hAnsi="Arial" w:cs="Arial"/>
                <w:b/>
                <w:bCs/>
                <w:color w:val="000000"/>
                <w:sz w:val="14"/>
                <w:szCs w:val="14"/>
              </w:rPr>
              <w:t>Thre</w:t>
            </w:r>
            <w:r>
              <w:rPr>
                <w:rFonts w:ascii="Arial" w:eastAsia="宋体" w:hAnsi="Arial" w:cs="Arial"/>
                <w:b/>
                <w:bCs/>
                <w:color w:val="000000"/>
                <w:sz w:val="14"/>
                <w:szCs w:val="14"/>
              </w:rPr>
              <w:t>e Months Ended March 31, 2020</w:t>
            </w:r>
          </w:p>
        </w:tc>
        <w:tc>
          <w:tcPr>
            <w:tcW w:w="0" w:type="auto"/>
            <w:shd w:val="clear" w:color="auto" w:fill="auto"/>
          </w:tcPr>
          <w:p w14:paraId="5EA27D2D" w14:textId="77777777" w:rsidR="003C66EB" w:rsidRDefault="003C66EB">
            <w:pPr>
              <w:rPr>
                <w:rFonts w:ascii="宋体"/>
              </w:rPr>
            </w:pPr>
          </w:p>
        </w:tc>
        <w:tc>
          <w:tcPr>
            <w:tcW w:w="0" w:type="auto"/>
            <w:shd w:val="clear" w:color="auto" w:fill="auto"/>
          </w:tcPr>
          <w:p w14:paraId="5EA27D2E" w14:textId="77777777" w:rsidR="003C66EB" w:rsidRDefault="003C66EB">
            <w:pPr>
              <w:rPr>
                <w:rFonts w:ascii="宋体"/>
              </w:rPr>
            </w:pPr>
          </w:p>
        </w:tc>
        <w:tc>
          <w:tcPr>
            <w:tcW w:w="0" w:type="auto"/>
            <w:shd w:val="clear" w:color="auto" w:fill="auto"/>
          </w:tcPr>
          <w:p w14:paraId="5EA27D2F" w14:textId="77777777" w:rsidR="003C66EB" w:rsidRDefault="003C66EB">
            <w:pPr>
              <w:rPr>
                <w:rFonts w:ascii="宋体"/>
              </w:rPr>
            </w:pPr>
          </w:p>
        </w:tc>
        <w:tc>
          <w:tcPr>
            <w:tcW w:w="0" w:type="auto"/>
            <w:shd w:val="clear" w:color="auto" w:fill="auto"/>
          </w:tcPr>
          <w:p w14:paraId="5EA27D30" w14:textId="77777777" w:rsidR="003C66EB" w:rsidRDefault="003C66EB">
            <w:pPr>
              <w:rPr>
                <w:rFonts w:ascii="宋体"/>
              </w:rPr>
            </w:pPr>
          </w:p>
        </w:tc>
        <w:tc>
          <w:tcPr>
            <w:tcW w:w="0" w:type="auto"/>
            <w:shd w:val="clear" w:color="auto" w:fill="auto"/>
          </w:tcPr>
          <w:p w14:paraId="5EA27D31" w14:textId="77777777" w:rsidR="003C66EB" w:rsidRDefault="003C66EB">
            <w:pPr>
              <w:rPr>
                <w:rFonts w:ascii="宋体"/>
              </w:rPr>
            </w:pPr>
          </w:p>
        </w:tc>
        <w:tc>
          <w:tcPr>
            <w:tcW w:w="0" w:type="auto"/>
            <w:shd w:val="clear" w:color="auto" w:fill="auto"/>
          </w:tcPr>
          <w:p w14:paraId="5EA27D32" w14:textId="77777777" w:rsidR="003C66EB" w:rsidRDefault="003C66EB">
            <w:pPr>
              <w:rPr>
                <w:rFonts w:ascii="宋体"/>
              </w:rPr>
            </w:pPr>
          </w:p>
        </w:tc>
        <w:tc>
          <w:tcPr>
            <w:tcW w:w="0" w:type="auto"/>
            <w:shd w:val="clear" w:color="auto" w:fill="auto"/>
          </w:tcPr>
          <w:p w14:paraId="5EA27D33" w14:textId="77777777" w:rsidR="003C66EB" w:rsidRDefault="003C66EB">
            <w:pPr>
              <w:rPr>
                <w:rFonts w:ascii="宋体"/>
              </w:rPr>
            </w:pPr>
          </w:p>
        </w:tc>
        <w:tc>
          <w:tcPr>
            <w:tcW w:w="0" w:type="auto"/>
            <w:shd w:val="clear" w:color="auto" w:fill="auto"/>
          </w:tcPr>
          <w:p w14:paraId="5EA27D34" w14:textId="77777777" w:rsidR="003C66EB" w:rsidRDefault="003C66EB">
            <w:pPr>
              <w:rPr>
                <w:rFonts w:ascii="宋体"/>
              </w:rPr>
            </w:pPr>
          </w:p>
        </w:tc>
        <w:tc>
          <w:tcPr>
            <w:tcW w:w="0" w:type="auto"/>
            <w:shd w:val="clear" w:color="auto" w:fill="auto"/>
          </w:tcPr>
          <w:p w14:paraId="5EA27D35" w14:textId="77777777" w:rsidR="003C66EB" w:rsidRDefault="003C66EB">
            <w:pPr>
              <w:rPr>
                <w:rFonts w:ascii="宋体"/>
              </w:rPr>
            </w:pPr>
          </w:p>
        </w:tc>
        <w:tc>
          <w:tcPr>
            <w:tcW w:w="0" w:type="auto"/>
            <w:shd w:val="clear" w:color="auto" w:fill="auto"/>
          </w:tcPr>
          <w:p w14:paraId="5EA27D36" w14:textId="77777777" w:rsidR="003C66EB" w:rsidRDefault="003C66EB">
            <w:pPr>
              <w:rPr>
                <w:rFonts w:ascii="宋体"/>
              </w:rPr>
            </w:pPr>
          </w:p>
        </w:tc>
        <w:tc>
          <w:tcPr>
            <w:tcW w:w="0" w:type="auto"/>
            <w:shd w:val="clear" w:color="auto" w:fill="auto"/>
          </w:tcPr>
          <w:p w14:paraId="5EA27D37" w14:textId="77777777" w:rsidR="003C66EB" w:rsidRDefault="003C66EB">
            <w:pPr>
              <w:rPr>
                <w:rFonts w:ascii="宋体"/>
              </w:rPr>
            </w:pPr>
          </w:p>
        </w:tc>
        <w:tc>
          <w:tcPr>
            <w:tcW w:w="0" w:type="auto"/>
            <w:shd w:val="clear" w:color="auto" w:fill="auto"/>
          </w:tcPr>
          <w:p w14:paraId="5EA27D38" w14:textId="77777777" w:rsidR="003C66EB" w:rsidRDefault="003C66EB">
            <w:pPr>
              <w:rPr>
                <w:rFonts w:ascii="宋体"/>
              </w:rPr>
            </w:pPr>
          </w:p>
        </w:tc>
        <w:tc>
          <w:tcPr>
            <w:tcW w:w="0" w:type="auto"/>
            <w:shd w:val="clear" w:color="auto" w:fill="auto"/>
          </w:tcPr>
          <w:p w14:paraId="5EA27D39" w14:textId="77777777" w:rsidR="003C66EB" w:rsidRDefault="003C66EB">
            <w:pPr>
              <w:rPr>
                <w:rFonts w:ascii="宋体"/>
              </w:rPr>
            </w:pPr>
          </w:p>
        </w:tc>
        <w:tc>
          <w:tcPr>
            <w:tcW w:w="0" w:type="auto"/>
            <w:shd w:val="clear" w:color="auto" w:fill="auto"/>
          </w:tcPr>
          <w:p w14:paraId="5EA27D3A" w14:textId="77777777" w:rsidR="003C66EB" w:rsidRDefault="003C66EB">
            <w:pPr>
              <w:rPr>
                <w:rFonts w:ascii="宋体"/>
              </w:rPr>
            </w:pPr>
          </w:p>
        </w:tc>
        <w:tc>
          <w:tcPr>
            <w:tcW w:w="0" w:type="auto"/>
            <w:shd w:val="clear" w:color="auto" w:fill="auto"/>
          </w:tcPr>
          <w:p w14:paraId="5EA27D3B" w14:textId="77777777" w:rsidR="003C66EB" w:rsidRDefault="003C66EB">
            <w:pPr>
              <w:rPr>
                <w:rFonts w:ascii="宋体"/>
              </w:rPr>
            </w:pPr>
          </w:p>
        </w:tc>
      </w:tr>
      <w:tr w:rsidR="003C66EB" w14:paraId="5EA27D51" w14:textId="77777777">
        <w:tc>
          <w:tcPr>
            <w:tcW w:w="0" w:type="auto"/>
            <w:gridSpan w:val="3"/>
            <w:shd w:val="clear" w:color="auto" w:fill="auto"/>
            <w:tcMar>
              <w:top w:w="0" w:type="dxa"/>
              <w:left w:w="20" w:type="dxa"/>
              <w:bottom w:w="0" w:type="dxa"/>
              <w:right w:w="20" w:type="dxa"/>
            </w:tcMar>
          </w:tcPr>
          <w:p w14:paraId="5EA27D3D"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7D3E" w14:textId="77777777" w:rsidR="003C66EB" w:rsidRDefault="00D96C4E">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tcPr>
          <w:p w14:paraId="5EA27D3F"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7D40" w14:textId="77777777" w:rsidR="003C66EB" w:rsidRDefault="00D96C4E">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tcPr>
          <w:p w14:paraId="5EA27D41" w14:textId="77777777" w:rsidR="003C66EB" w:rsidRDefault="003C66EB">
            <w:pPr>
              <w:rPr>
                <w:rFonts w:ascii="宋体"/>
              </w:rPr>
            </w:pPr>
          </w:p>
        </w:tc>
        <w:tc>
          <w:tcPr>
            <w:tcW w:w="0" w:type="auto"/>
            <w:gridSpan w:val="3"/>
            <w:shd w:val="clear" w:color="auto" w:fill="auto"/>
          </w:tcPr>
          <w:p w14:paraId="5EA27D42" w14:textId="77777777" w:rsidR="003C66EB" w:rsidRDefault="003C66EB">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5EA27D4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44" w14:textId="77777777" w:rsidR="003C66EB" w:rsidRDefault="00D96C4E">
            <w:pPr>
              <w:jc w:val="center"/>
              <w:textAlignment w:val="bottom"/>
            </w:pPr>
            <w:r>
              <w:rPr>
                <w:rFonts w:ascii="Arial" w:eastAsia="宋体" w:hAnsi="Arial" w:cs="Arial"/>
                <w:b/>
                <w:bCs/>
                <w:color w:val="000000"/>
                <w:sz w:val="14"/>
                <w:szCs w:val="14"/>
              </w:rPr>
              <w:t>Total</w:t>
            </w:r>
          </w:p>
        </w:tc>
        <w:tc>
          <w:tcPr>
            <w:tcW w:w="0" w:type="auto"/>
            <w:shd w:val="clear" w:color="auto" w:fill="auto"/>
          </w:tcPr>
          <w:p w14:paraId="5EA27D45" w14:textId="77777777" w:rsidR="003C66EB" w:rsidRDefault="003C66EB">
            <w:pPr>
              <w:rPr>
                <w:rFonts w:ascii="宋体"/>
              </w:rPr>
            </w:pPr>
          </w:p>
        </w:tc>
        <w:tc>
          <w:tcPr>
            <w:tcW w:w="0" w:type="auto"/>
            <w:shd w:val="clear" w:color="auto" w:fill="auto"/>
          </w:tcPr>
          <w:p w14:paraId="5EA27D46" w14:textId="77777777" w:rsidR="003C66EB" w:rsidRDefault="003C66EB">
            <w:pPr>
              <w:rPr>
                <w:rFonts w:ascii="宋体"/>
              </w:rPr>
            </w:pPr>
          </w:p>
        </w:tc>
        <w:tc>
          <w:tcPr>
            <w:tcW w:w="0" w:type="auto"/>
            <w:shd w:val="clear" w:color="auto" w:fill="auto"/>
          </w:tcPr>
          <w:p w14:paraId="5EA27D47" w14:textId="77777777" w:rsidR="003C66EB" w:rsidRDefault="003C66EB">
            <w:pPr>
              <w:rPr>
                <w:rFonts w:ascii="宋体"/>
              </w:rPr>
            </w:pPr>
          </w:p>
        </w:tc>
        <w:tc>
          <w:tcPr>
            <w:tcW w:w="0" w:type="auto"/>
            <w:shd w:val="clear" w:color="auto" w:fill="auto"/>
          </w:tcPr>
          <w:p w14:paraId="5EA27D48" w14:textId="77777777" w:rsidR="003C66EB" w:rsidRDefault="003C66EB">
            <w:pPr>
              <w:rPr>
                <w:rFonts w:ascii="宋体"/>
              </w:rPr>
            </w:pPr>
          </w:p>
        </w:tc>
        <w:tc>
          <w:tcPr>
            <w:tcW w:w="0" w:type="auto"/>
            <w:shd w:val="clear" w:color="auto" w:fill="auto"/>
          </w:tcPr>
          <w:p w14:paraId="5EA27D49" w14:textId="77777777" w:rsidR="003C66EB" w:rsidRDefault="003C66EB">
            <w:pPr>
              <w:rPr>
                <w:rFonts w:ascii="宋体"/>
              </w:rPr>
            </w:pPr>
          </w:p>
        </w:tc>
        <w:tc>
          <w:tcPr>
            <w:tcW w:w="0" w:type="auto"/>
            <w:shd w:val="clear" w:color="auto" w:fill="auto"/>
          </w:tcPr>
          <w:p w14:paraId="5EA27D4A" w14:textId="77777777" w:rsidR="003C66EB" w:rsidRDefault="003C66EB">
            <w:pPr>
              <w:rPr>
                <w:rFonts w:ascii="宋体"/>
              </w:rPr>
            </w:pPr>
          </w:p>
        </w:tc>
        <w:tc>
          <w:tcPr>
            <w:tcW w:w="0" w:type="auto"/>
            <w:shd w:val="clear" w:color="auto" w:fill="auto"/>
          </w:tcPr>
          <w:p w14:paraId="5EA27D4B" w14:textId="77777777" w:rsidR="003C66EB" w:rsidRDefault="003C66EB">
            <w:pPr>
              <w:rPr>
                <w:rFonts w:ascii="宋体"/>
              </w:rPr>
            </w:pPr>
          </w:p>
        </w:tc>
        <w:tc>
          <w:tcPr>
            <w:tcW w:w="0" w:type="auto"/>
            <w:shd w:val="clear" w:color="auto" w:fill="auto"/>
          </w:tcPr>
          <w:p w14:paraId="5EA27D4C" w14:textId="77777777" w:rsidR="003C66EB" w:rsidRDefault="003C66EB">
            <w:pPr>
              <w:rPr>
                <w:rFonts w:ascii="宋体"/>
              </w:rPr>
            </w:pPr>
          </w:p>
        </w:tc>
        <w:tc>
          <w:tcPr>
            <w:tcW w:w="0" w:type="auto"/>
            <w:shd w:val="clear" w:color="auto" w:fill="auto"/>
          </w:tcPr>
          <w:p w14:paraId="5EA27D4D" w14:textId="77777777" w:rsidR="003C66EB" w:rsidRDefault="003C66EB">
            <w:pPr>
              <w:rPr>
                <w:rFonts w:ascii="宋体"/>
              </w:rPr>
            </w:pPr>
          </w:p>
        </w:tc>
        <w:tc>
          <w:tcPr>
            <w:tcW w:w="0" w:type="auto"/>
            <w:shd w:val="clear" w:color="auto" w:fill="auto"/>
          </w:tcPr>
          <w:p w14:paraId="5EA27D4E" w14:textId="77777777" w:rsidR="003C66EB" w:rsidRDefault="003C66EB">
            <w:pPr>
              <w:rPr>
                <w:rFonts w:ascii="宋体"/>
              </w:rPr>
            </w:pPr>
          </w:p>
        </w:tc>
        <w:tc>
          <w:tcPr>
            <w:tcW w:w="0" w:type="auto"/>
            <w:shd w:val="clear" w:color="auto" w:fill="auto"/>
          </w:tcPr>
          <w:p w14:paraId="5EA27D4F" w14:textId="77777777" w:rsidR="003C66EB" w:rsidRDefault="003C66EB">
            <w:pPr>
              <w:rPr>
                <w:rFonts w:ascii="宋体"/>
              </w:rPr>
            </w:pPr>
          </w:p>
        </w:tc>
        <w:tc>
          <w:tcPr>
            <w:tcW w:w="0" w:type="auto"/>
            <w:shd w:val="clear" w:color="auto" w:fill="auto"/>
          </w:tcPr>
          <w:p w14:paraId="5EA27D50" w14:textId="77777777" w:rsidR="003C66EB" w:rsidRDefault="003C66EB">
            <w:pPr>
              <w:rPr>
                <w:rFonts w:ascii="宋体"/>
              </w:rPr>
            </w:pPr>
          </w:p>
        </w:tc>
      </w:tr>
      <w:tr w:rsidR="003C66EB" w14:paraId="5EA27D66" w14:textId="77777777">
        <w:tc>
          <w:tcPr>
            <w:tcW w:w="0" w:type="auto"/>
            <w:gridSpan w:val="3"/>
            <w:shd w:val="clear" w:color="auto" w:fill="auto"/>
            <w:tcMar>
              <w:top w:w="40" w:type="dxa"/>
              <w:left w:w="20" w:type="dxa"/>
              <w:bottom w:w="40" w:type="dxa"/>
              <w:right w:w="20" w:type="dxa"/>
            </w:tcMar>
            <w:vAlign w:val="bottom"/>
          </w:tcPr>
          <w:p w14:paraId="5EA27D52" w14:textId="77777777" w:rsidR="003C66EB" w:rsidRDefault="00D96C4E">
            <w:pPr>
              <w:textAlignment w:val="bottom"/>
            </w:pPr>
            <w:r>
              <w:rPr>
                <w:rFonts w:ascii="Arial" w:eastAsia="宋体" w:hAnsi="Arial" w:cs="Arial"/>
                <w:b/>
                <w:bCs/>
                <w:color w:val="000000"/>
                <w:sz w:val="14"/>
                <w:szCs w:val="14"/>
              </w:rPr>
              <w:t>(Dolla</w:t>
            </w:r>
            <w:r>
              <w:rPr>
                <w:rFonts w:ascii="Arial" w:eastAsia="宋体" w:hAnsi="Arial" w:cs="Arial"/>
                <w:b/>
                <w:bCs/>
                <w:color w:val="000000"/>
                <w:sz w:val="14"/>
                <w:szCs w:val="14"/>
              </w:rPr>
              <w:t>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53" w14:textId="77777777" w:rsidR="003C66EB" w:rsidRDefault="00D96C4E">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D5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55" w14:textId="77777777" w:rsidR="003C66EB" w:rsidRDefault="00D96C4E">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D5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57" w14:textId="77777777" w:rsidR="003C66EB" w:rsidRDefault="00D96C4E">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5EA27D58"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59" w14:textId="77777777" w:rsidR="003C66EB" w:rsidRDefault="00D96C4E">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D5A"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5B" w14:textId="77777777" w:rsidR="003C66EB" w:rsidRDefault="00D96C4E">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5EA27D5C"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5D" w14:textId="77777777" w:rsidR="003C66EB" w:rsidRDefault="00D96C4E">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5EA27D5E" w14:textId="77777777" w:rsidR="003C66EB" w:rsidRDefault="003C66EB">
            <w:pPr>
              <w:rPr>
                <w:rFonts w:ascii="宋体"/>
              </w:rPr>
            </w:pPr>
          </w:p>
        </w:tc>
        <w:tc>
          <w:tcPr>
            <w:tcW w:w="0" w:type="auto"/>
            <w:gridSpan w:val="3"/>
            <w:shd w:val="clear" w:color="auto" w:fill="auto"/>
          </w:tcPr>
          <w:p w14:paraId="5EA27D5F" w14:textId="77777777" w:rsidR="003C66EB" w:rsidRDefault="003C66EB">
            <w:pPr>
              <w:rPr>
                <w:rFonts w:ascii="宋体"/>
                <w:vanish/>
              </w:rPr>
            </w:pPr>
          </w:p>
        </w:tc>
        <w:tc>
          <w:tcPr>
            <w:tcW w:w="0" w:type="auto"/>
            <w:gridSpan w:val="3"/>
            <w:shd w:val="clear" w:color="auto" w:fill="auto"/>
          </w:tcPr>
          <w:p w14:paraId="5EA27D60" w14:textId="77777777" w:rsidR="003C66EB" w:rsidRDefault="003C66EB">
            <w:pPr>
              <w:rPr>
                <w:rFonts w:ascii="宋体"/>
                <w:vanish/>
              </w:rPr>
            </w:pPr>
          </w:p>
        </w:tc>
        <w:tc>
          <w:tcPr>
            <w:tcW w:w="0" w:type="auto"/>
            <w:gridSpan w:val="3"/>
            <w:shd w:val="clear" w:color="auto" w:fill="auto"/>
          </w:tcPr>
          <w:p w14:paraId="5EA27D61" w14:textId="77777777" w:rsidR="003C66EB" w:rsidRDefault="003C66EB">
            <w:pPr>
              <w:rPr>
                <w:rFonts w:ascii="宋体"/>
                <w:vanish/>
              </w:rPr>
            </w:pPr>
          </w:p>
        </w:tc>
        <w:tc>
          <w:tcPr>
            <w:tcW w:w="0" w:type="auto"/>
            <w:gridSpan w:val="3"/>
            <w:shd w:val="clear" w:color="auto" w:fill="auto"/>
          </w:tcPr>
          <w:p w14:paraId="5EA27D62" w14:textId="77777777" w:rsidR="003C66EB" w:rsidRDefault="003C66EB">
            <w:pPr>
              <w:rPr>
                <w:rFonts w:ascii="宋体"/>
                <w:vanish/>
              </w:rPr>
            </w:pPr>
          </w:p>
        </w:tc>
        <w:tc>
          <w:tcPr>
            <w:tcW w:w="0" w:type="auto"/>
            <w:gridSpan w:val="3"/>
            <w:shd w:val="clear" w:color="auto" w:fill="auto"/>
          </w:tcPr>
          <w:p w14:paraId="5EA27D63" w14:textId="77777777" w:rsidR="003C66EB" w:rsidRDefault="003C66EB">
            <w:pPr>
              <w:rPr>
                <w:rFonts w:ascii="宋体"/>
                <w:vanish/>
              </w:rPr>
            </w:pPr>
          </w:p>
        </w:tc>
        <w:tc>
          <w:tcPr>
            <w:tcW w:w="0" w:type="auto"/>
            <w:gridSpan w:val="3"/>
            <w:shd w:val="clear" w:color="auto" w:fill="auto"/>
            <w:tcMar>
              <w:top w:w="0" w:type="dxa"/>
              <w:left w:w="20" w:type="dxa"/>
              <w:bottom w:w="0" w:type="dxa"/>
              <w:right w:w="20" w:type="dxa"/>
            </w:tcMar>
          </w:tcPr>
          <w:p w14:paraId="5EA27D64"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7D65" w14:textId="77777777" w:rsidR="003C66EB" w:rsidRDefault="00D96C4E">
            <w:pPr>
              <w:jc w:val="center"/>
              <w:textAlignment w:val="bottom"/>
            </w:pPr>
            <w:r>
              <w:rPr>
                <w:rFonts w:ascii="Arial" w:eastAsia="宋体" w:hAnsi="Arial" w:cs="Arial"/>
                <w:b/>
                <w:bCs/>
                <w:color w:val="000000"/>
                <w:sz w:val="14"/>
                <w:szCs w:val="14"/>
              </w:rPr>
              <w:t>2020</w:t>
            </w:r>
          </w:p>
        </w:tc>
      </w:tr>
      <w:tr w:rsidR="003C66EB" w14:paraId="5EA27D89" w14:textId="77777777">
        <w:tc>
          <w:tcPr>
            <w:tcW w:w="0" w:type="auto"/>
            <w:gridSpan w:val="3"/>
            <w:shd w:val="clear" w:color="auto" w:fill="CCEEFF"/>
            <w:tcMar>
              <w:top w:w="40" w:type="dxa"/>
              <w:left w:w="155" w:type="dxa"/>
              <w:bottom w:w="40" w:type="dxa"/>
              <w:right w:w="20" w:type="dxa"/>
            </w:tcMar>
            <w:vAlign w:val="bottom"/>
          </w:tcPr>
          <w:p w14:paraId="5EA27D67" w14:textId="77777777" w:rsidR="003C66EB" w:rsidRDefault="00D96C4E">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7D6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69" w14:textId="77777777" w:rsidR="003C66EB" w:rsidRDefault="00D96C4E">
            <w:pPr>
              <w:jc w:val="right"/>
              <w:textAlignment w:val="bottom"/>
            </w:pPr>
            <w:r>
              <w:rPr>
                <w:rFonts w:ascii="Arial" w:eastAsia="宋体" w:hAnsi="Arial" w:cs="Arial"/>
                <w:color w:val="000000"/>
                <w:sz w:val="14"/>
                <w:szCs w:val="14"/>
              </w:rPr>
              <w:t>1,287 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6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6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6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6D"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6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6F"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70"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71" w14:textId="77777777" w:rsidR="003C66EB" w:rsidRDefault="00D96C4E">
            <w:pPr>
              <w:jc w:val="right"/>
              <w:textAlignment w:val="bottom"/>
            </w:pPr>
            <w:r>
              <w:rPr>
                <w:rFonts w:ascii="Arial" w:eastAsia="宋体" w:hAnsi="Arial" w:cs="Arial"/>
                <w:color w:val="000000"/>
                <w:sz w:val="14"/>
                <w:szCs w:val="14"/>
              </w:rPr>
              <w:t>1,287 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7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73"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74"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75"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7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77"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78"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79"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7A"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7B"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7C"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7D" w14:textId="77777777" w:rsidR="003C66EB" w:rsidRDefault="00D96C4E">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7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7F" w14:textId="77777777" w:rsidR="003C66EB" w:rsidRDefault="003C66EB">
            <w:pPr>
              <w:rPr>
                <w:rFonts w:ascii="宋体"/>
              </w:rPr>
            </w:pPr>
          </w:p>
        </w:tc>
        <w:tc>
          <w:tcPr>
            <w:tcW w:w="0" w:type="auto"/>
            <w:gridSpan w:val="3"/>
            <w:shd w:val="clear" w:color="auto" w:fill="auto"/>
          </w:tcPr>
          <w:p w14:paraId="5EA27D80" w14:textId="77777777" w:rsidR="003C66EB" w:rsidRDefault="003C66EB">
            <w:pPr>
              <w:rPr>
                <w:rFonts w:ascii="宋体"/>
                <w:vanish/>
              </w:rPr>
            </w:pPr>
          </w:p>
        </w:tc>
        <w:tc>
          <w:tcPr>
            <w:tcW w:w="0" w:type="auto"/>
            <w:gridSpan w:val="3"/>
            <w:shd w:val="clear" w:color="auto" w:fill="auto"/>
          </w:tcPr>
          <w:p w14:paraId="5EA27D81" w14:textId="77777777" w:rsidR="003C66EB" w:rsidRDefault="003C66EB">
            <w:pPr>
              <w:rPr>
                <w:rFonts w:ascii="宋体"/>
                <w:vanish/>
              </w:rPr>
            </w:pPr>
          </w:p>
        </w:tc>
        <w:tc>
          <w:tcPr>
            <w:tcW w:w="0" w:type="auto"/>
            <w:gridSpan w:val="3"/>
            <w:shd w:val="clear" w:color="auto" w:fill="auto"/>
          </w:tcPr>
          <w:p w14:paraId="5EA27D82" w14:textId="77777777" w:rsidR="003C66EB" w:rsidRDefault="003C66EB">
            <w:pPr>
              <w:rPr>
                <w:rFonts w:ascii="宋体"/>
                <w:vanish/>
              </w:rPr>
            </w:pPr>
          </w:p>
        </w:tc>
        <w:tc>
          <w:tcPr>
            <w:tcW w:w="0" w:type="auto"/>
            <w:gridSpan w:val="3"/>
            <w:shd w:val="clear" w:color="auto" w:fill="auto"/>
          </w:tcPr>
          <w:p w14:paraId="5EA27D83" w14:textId="77777777" w:rsidR="003C66EB" w:rsidRDefault="003C66EB">
            <w:pPr>
              <w:rPr>
                <w:rFonts w:ascii="宋体"/>
                <w:vanish/>
              </w:rPr>
            </w:pPr>
          </w:p>
        </w:tc>
        <w:tc>
          <w:tcPr>
            <w:tcW w:w="0" w:type="auto"/>
            <w:gridSpan w:val="3"/>
            <w:shd w:val="clear" w:color="auto" w:fill="auto"/>
          </w:tcPr>
          <w:p w14:paraId="5EA27D84"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D85"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7D86"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7D87" w14:textId="77777777" w:rsidR="003C66EB" w:rsidRDefault="00D96C4E">
            <w:pPr>
              <w:jc w:val="right"/>
              <w:textAlignment w:val="bottom"/>
            </w:pPr>
            <w:r>
              <w:rPr>
                <w:rFonts w:ascii="Arial" w:eastAsia="宋体" w:hAnsi="Arial" w:cs="Arial"/>
                <w:color w:val="000000"/>
                <w:sz w:val="14"/>
                <w:szCs w:val="14"/>
              </w:rPr>
              <w:t>1,287 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7D88" w14:textId="77777777" w:rsidR="003C66EB" w:rsidRDefault="003C66EB">
            <w:pPr>
              <w:jc w:val="right"/>
              <w:rPr>
                <w:rFonts w:ascii="宋体"/>
              </w:rPr>
            </w:pPr>
          </w:p>
        </w:tc>
      </w:tr>
      <w:tr w:rsidR="003C66EB" w14:paraId="5EA27DA5" w14:textId="77777777">
        <w:tc>
          <w:tcPr>
            <w:tcW w:w="0" w:type="auto"/>
            <w:gridSpan w:val="3"/>
            <w:shd w:val="clear" w:color="auto" w:fill="FFFFFF"/>
            <w:tcMar>
              <w:top w:w="40" w:type="dxa"/>
              <w:left w:w="155" w:type="dxa"/>
              <w:bottom w:w="40" w:type="dxa"/>
              <w:right w:w="20" w:type="dxa"/>
            </w:tcMar>
            <w:vAlign w:val="bottom"/>
          </w:tcPr>
          <w:p w14:paraId="5EA27D8A" w14:textId="77777777" w:rsidR="003C66EB" w:rsidRDefault="00D96C4E">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EA27D8B"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D8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8D"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8E"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D8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90"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91"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D9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93"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94" w14:textId="77777777" w:rsidR="003C66EB" w:rsidRDefault="00D96C4E">
            <w:pPr>
              <w:jc w:val="right"/>
              <w:textAlignment w:val="bottom"/>
            </w:pPr>
            <w:r>
              <w:rPr>
                <w:rFonts w:ascii="Arial" w:eastAsia="宋体" w:hAnsi="Arial" w:cs="Arial"/>
                <w:color w:val="000000"/>
                <w:sz w:val="14"/>
                <w:szCs w:val="14"/>
              </w:rPr>
              <w:t>464 </w:t>
            </w:r>
          </w:p>
        </w:tc>
        <w:tc>
          <w:tcPr>
            <w:tcW w:w="0" w:type="auto"/>
            <w:shd w:val="clear" w:color="auto" w:fill="FFFFFF"/>
            <w:tcMar>
              <w:top w:w="40" w:type="dxa"/>
              <w:left w:w="0" w:type="dxa"/>
              <w:bottom w:w="40" w:type="dxa"/>
              <w:right w:w="20" w:type="dxa"/>
            </w:tcMar>
            <w:vAlign w:val="bottom"/>
          </w:tcPr>
          <w:p w14:paraId="5EA27D9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96"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9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D9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99"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9A" w14:textId="77777777" w:rsidR="003C66EB" w:rsidRDefault="00D96C4E">
            <w:pPr>
              <w:jc w:val="right"/>
              <w:textAlignment w:val="bottom"/>
            </w:pPr>
            <w:r>
              <w:rPr>
                <w:rFonts w:ascii="Arial" w:eastAsia="宋体" w:hAnsi="Arial" w:cs="Arial"/>
                <w:color w:val="000000"/>
                <w:sz w:val="14"/>
                <w:szCs w:val="14"/>
              </w:rPr>
              <w:t>464 </w:t>
            </w:r>
          </w:p>
        </w:tc>
        <w:tc>
          <w:tcPr>
            <w:tcW w:w="0" w:type="auto"/>
            <w:shd w:val="clear" w:color="auto" w:fill="FFFFFF"/>
            <w:tcMar>
              <w:top w:w="40" w:type="dxa"/>
              <w:left w:w="0" w:type="dxa"/>
              <w:bottom w:w="40" w:type="dxa"/>
              <w:right w:w="20" w:type="dxa"/>
            </w:tcMar>
            <w:vAlign w:val="bottom"/>
          </w:tcPr>
          <w:p w14:paraId="5EA27D9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9C" w14:textId="77777777" w:rsidR="003C66EB" w:rsidRDefault="003C66EB">
            <w:pPr>
              <w:rPr>
                <w:rFonts w:ascii="宋体"/>
              </w:rPr>
            </w:pPr>
          </w:p>
        </w:tc>
        <w:tc>
          <w:tcPr>
            <w:tcW w:w="0" w:type="auto"/>
            <w:gridSpan w:val="3"/>
            <w:shd w:val="clear" w:color="auto" w:fill="auto"/>
          </w:tcPr>
          <w:p w14:paraId="5EA27D9D" w14:textId="77777777" w:rsidR="003C66EB" w:rsidRDefault="003C66EB">
            <w:pPr>
              <w:rPr>
                <w:rFonts w:ascii="宋体"/>
                <w:vanish/>
              </w:rPr>
            </w:pPr>
          </w:p>
        </w:tc>
        <w:tc>
          <w:tcPr>
            <w:tcW w:w="0" w:type="auto"/>
            <w:gridSpan w:val="3"/>
            <w:shd w:val="clear" w:color="auto" w:fill="auto"/>
          </w:tcPr>
          <w:p w14:paraId="5EA27D9E" w14:textId="77777777" w:rsidR="003C66EB" w:rsidRDefault="003C66EB">
            <w:pPr>
              <w:rPr>
                <w:rFonts w:ascii="宋体"/>
                <w:vanish/>
              </w:rPr>
            </w:pPr>
          </w:p>
        </w:tc>
        <w:tc>
          <w:tcPr>
            <w:tcW w:w="0" w:type="auto"/>
            <w:gridSpan w:val="3"/>
            <w:shd w:val="clear" w:color="auto" w:fill="auto"/>
          </w:tcPr>
          <w:p w14:paraId="5EA27D9F" w14:textId="77777777" w:rsidR="003C66EB" w:rsidRDefault="003C66EB">
            <w:pPr>
              <w:rPr>
                <w:rFonts w:ascii="宋体"/>
                <w:vanish/>
              </w:rPr>
            </w:pPr>
          </w:p>
        </w:tc>
        <w:tc>
          <w:tcPr>
            <w:tcW w:w="0" w:type="auto"/>
            <w:gridSpan w:val="3"/>
            <w:shd w:val="clear" w:color="auto" w:fill="auto"/>
          </w:tcPr>
          <w:p w14:paraId="5EA27DA0" w14:textId="77777777" w:rsidR="003C66EB" w:rsidRDefault="003C66EB">
            <w:pPr>
              <w:rPr>
                <w:rFonts w:ascii="宋体"/>
                <w:vanish/>
              </w:rPr>
            </w:pPr>
          </w:p>
        </w:tc>
        <w:tc>
          <w:tcPr>
            <w:tcW w:w="0" w:type="auto"/>
            <w:gridSpan w:val="3"/>
            <w:shd w:val="clear" w:color="auto" w:fill="auto"/>
          </w:tcPr>
          <w:p w14:paraId="5EA27DA1"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DA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A3" w14:textId="77777777" w:rsidR="003C66EB" w:rsidRDefault="00D96C4E">
            <w:pPr>
              <w:jc w:val="right"/>
              <w:textAlignment w:val="bottom"/>
            </w:pPr>
            <w:r>
              <w:rPr>
                <w:rFonts w:ascii="Arial" w:eastAsia="宋体" w:hAnsi="Arial" w:cs="Arial"/>
                <w:color w:val="000000"/>
                <w:sz w:val="14"/>
                <w:szCs w:val="14"/>
              </w:rPr>
              <w:t>464 </w:t>
            </w:r>
          </w:p>
        </w:tc>
        <w:tc>
          <w:tcPr>
            <w:tcW w:w="0" w:type="auto"/>
            <w:shd w:val="clear" w:color="auto" w:fill="FFFFFF"/>
            <w:tcMar>
              <w:top w:w="40" w:type="dxa"/>
              <w:left w:w="0" w:type="dxa"/>
              <w:bottom w:w="40" w:type="dxa"/>
              <w:right w:w="20" w:type="dxa"/>
            </w:tcMar>
            <w:vAlign w:val="bottom"/>
          </w:tcPr>
          <w:p w14:paraId="5EA27DA4" w14:textId="77777777" w:rsidR="003C66EB" w:rsidRDefault="003C66EB">
            <w:pPr>
              <w:jc w:val="right"/>
              <w:rPr>
                <w:rFonts w:ascii="宋体"/>
              </w:rPr>
            </w:pPr>
          </w:p>
        </w:tc>
      </w:tr>
      <w:tr w:rsidR="003C66EB" w14:paraId="5EA27DC1" w14:textId="77777777">
        <w:tc>
          <w:tcPr>
            <w:tcW w:w="0" w:type="auto"/>
            <w:gridSpan w:val="3"/>
            <w:shd w:val="clear" w:color="auto" w:fill="CCEEFF"/>
            <w:tcMar>
              <w:top w:w="40" w:type="dxa"/>
              <w:left w:w="155" w:type="dxa"/>
              <w:bottom w:w="40" w:type="dxa"/>
              <w:right w:w="20" w:type="dxa"/>
            </w:tcMar>
            <w:vAlign w:val="bottom"/>
          </w:tcPr>
          <w:p w14:paraId="5EA27DA6" w14:textId="77777777" w:rsidR="003C66EB" w:rsidRDefault="00D96C4E">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EA27DA7" w14:textId="77777777" w:rsidR="003C66EB" w:rsidRDefault="00D96C4E">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5EA27DA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A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AA" w14:textId="77777777" w:rsidR="003C66EB" w:rsidRDefault="00D96C4E">
            <w:pPr>
              <w:jc w:val="right"/>
              <w:textAlignment w:val="bottom"/>
            </w:pPr>
            <w:r>
              <w:rPr>
                <w:rFonts w:ascii="Arial" w:eastAsia="宋体" w:hAnsi="Arial" w:cs="Arial"/>
                <w:color w:val="000000"/>
                <w:sz w:val="14"/>
                <w:szCs w:val="14"/>
              </w:rPr>
              <w:t>334 </w:t>
            </w:r>
          </w:p>
        </w:tc>
        <w:tc>
          <w:tcPr>
            <w:tcW w:w="0" w:type="auto"/>
            <w:shd w:val="clear" w:color="auto" w:fill="CCEEFF"/>
            <w:tcMar>
              <w:top w:w="40" w:type="dxa"/>
              <w:left w:w="0" w:type="dxa"/>
              <w:bottom w:w="40" w:type="dxa"/>
              <w:right w:w="20" w:type="dxa"/>
            </w:tcMar>
            <w:vAlign w:val="bottom"/>
          </w:tcPr>
          <w:p w14:paraId="5EA27DA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A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AD" w14:textId="77777777" w:rsidR="003C66EB" w:rsidRDefault="00D96C4E">
            <w:pPr>
              <w:jc w:val="right"/>
              <w:textAlignment w:val="bottom"/>
            </w:pPr>
            <w:r>
              <w:rPr>
                <w:rFonts w:ascii="Arial" w:eastAsia="宋体" w:hAnsi="Arial" w:cs="Arial"/>
                <w:color w:val="000000"/>
                <w:sz w:val="14"/>
                <w:szCs w:val="14"/>
              </w:rPr>
              <w:t>434 </w:t>
            </w:r>
          </w:p>
        </w:tc>
        <w:tc>
          <w:tcPr>
            <w:tcW w:w="0" w:type="auto"/>
            <w:shd w:val="clear" w:color="auto" w:fill="CCEEFF"/>
            <w:tcMar>
              <w:top w:w="40" w:type="dxa"/>
              <w:left w:w="0" w:type="dxa"/>
              <w:bottom w:w="40" w:type="dxa"/>
              <w:right w:w="20" w:type="dxa"/>
            </w:tcMar>
            <w:vAlign w:val="bottom"/>
          </w:tcPr>
          <w:p w14:paraId="5EA27DA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A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B0"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A27DB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B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B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DB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B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B6" w14:textId="77777777" w:rsidR="003C66EB" w:rsidRDefault="00D96C4E">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A27DB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B8" w14:textId="77777777" w:rsidR="003C66EB" w:rsidRDefault="003C66EB">
            <w:pPr>
              <w:rPr>
                <w:rFonts w:ascii="宋体"/>
              </w:rPr>
            </w:pPr>
          </w:p>
        </w:tc>
        <w:tc>
          <w:tcPr>
            <w:tcW w:w="0" w:type="auto"/>
            <w:gridSpan w:val="3"/>
            <w:shd w:val="clear" w:color="auto" w:fill="auto"/>
          </w:tcPr>
          <w:p w14:paraId="5EA27DB9" w14:textId="77777777" w:rsidR="003C66EB" w:rsidRDefault="003C66EB">
            <w:pPr>
              <w:rPr>
                <w:rFonts w:ascii="宋体"/>
                <w:vanish/>
              </w:rPr>
            </w:pPr>
          </w:p>
        </w:tc>
        <w:tc>
          <w:tcPr>
            <w:tcW w:w="0" w:type="auto"/>
            <w:gridSpan w:val="3"/>
            <w:shd w:val="clear" w:color="auto" w:fill="auto"/>
          </w:tcPr>
          <w:p w14:paraId="5EA27DBA" w14:textId="77777777" w:rsidR="003C66EB" w:rsidRDefault="003C66EB">
            <w:pPr>
              <w:rPr>
                <w:rFonts w:ascii="宋体"/>
                <w:vanish/>
              </w:rPr>
            </w:pPr>
          </w:p>
        </w:tc>
        <w:tc>
          <w:tcPr>
            <w:tcW w:w="0" w:type="auto"/>
            <w:gridSpan w:val="3"/>
            <w:shd w:val="clear" w:color="auto" w:fill="auto"/>
          </w:tcPr>
          <w:p w14:paraId="5EA27DBB" w14:textId="77777777" w:rsidR="003C66EB" w:rsidRDefault="003C66EB">
            <w:pPr>
              <w:rPr>
                <w:rFonts w:ascii="宋体"/>
                <w:vanish/>
              </w:rPr>
            </w:pPr>
          </w:p>
        </w:tc>
        <w:tc>
          <w:tcPr>
            <w:tcW w:w="0" w:type="auto"/>
            <w:gridSpan w:val="3"/>
            <w:shd w:val="clear" w:color="auto" w:fill="auto"/>
          </w:tcPr>
          <w:p w14:paraId="5EA27DBC" w14:textId="77777777" w:rsidR="003C66EB" w:rsidRDefault="003C66EB">
            <w:pPr>
              <w:rPr>
                <w:rFonts w:ascii="宋体"/>
                <w:vanish/>
              </w:rPr>
            </w:pPr>
          </w:p>
        </w:tc>
        <w:tc>
          <w:tcPr>
            <w:tcW w:w="0" w:type="auto"/>
            <w:gridSpan w:val="3"/>
            <w:shd w:val="clear" w:color="auto" w:fill="auto"/>
          </w:tcPr>
          <w:p w14:paraId="5EA27DBD"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DB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BF" w14:textId="77777777" w:rsidR="003C66EB" w:rsidRDefault="00D96C4E">
            <w:pPr>
              <w:jc w:val="right"/>
              <w:textAlignment w:val="bottom"/>
            </w:pPr>
            <w:r>
              <w:rPr>
                <w:rFonts w:ascii="Arial" w:eastAsia="宋体" w:hAnsi="Arial" w:cs="Arial"/>
                <w:color w:val="000000"/>
                <w:sz w:val="14"/>
                <w:szCs w:val="14"/>
              </w:rPr>
              <w:t>444 </w:t>
            </w:r>
          </w:p>
        </w:tc>
        <w:tc>
          <w:tcPr>
            <w:tcW w:w="0" w:type="auto"/>
            <w:shd w:val="clear" w:color="auto" w:fill="CCEEFF"/>
            <w:tcMar>
              <w:top w:w="40" w:type="dxa"/>
              <w:left w:w="0" w:type="dxa"/>
              <w:bottom w:w="40" w:type="dxa"/>
              <w:right w:w="20" w:type="dxa"/>
            </w:tcMar>
            <w:vAlign w:val="bottom"/>
          </w:tcPr>
          <w:p w14:paraId="5EA27DC0" w14:textId="77777777" w:rsidR="003C66EB" w:rsidRDefault="003C66EB">
            <w:pPr>
              <w:jc w:val="right"/>
              <w:rPr>
                <w:rFonts w:ascii="宋体"/>
              </w:rPr>
            </w:pPr>
          </w:p>
        </w:tc>
      </w:tr>
      <w:tr w:rsidR="003C66EB" w14:paraId="5EA27DDD" w14:textId="77777777">
        <w:tc>
          <w:tcPr>
            <w:tcW w:w="0" w:type="auto"/>
            <w:gridSpan w:val="3"/>
            <w:shd w:val="clear" w:color="auto" w:fill="FFFFFF"/>
            <w:tcMar>
              <w:top w:w="40" w:type="dxa"/>
              <w:left w:w="155" w:type="dxa"/>
              <w:bottom w:w="40" w:type="dxa"/>
              <w:right w:w="20" w:type="dxa"/>
            </w:tcMar>
            <w:vAlign w:val="bottom"/>
          </w:tcPr>
          <w:p w14:paraId="5EA27DC2" w14:textId="77777777" w:rsidR="003C66EB" w:rsidRDefault="00D96C4E">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EA27DC3" w14:textId="77777777" w:rsidR="003C66EB" w:rsidRDefault="00D96C4E">
            <w:pPr>
              <w:jc w:val="right"/>
              <w:textAlignment w:val="bottom"/>
            </w:pPr>
            <w:r>
              <w:rPr>
                <w:rFonts w:ascii="Arial" w:eastAsia="宋体" w:hAnsi="Arial" w:cs="Arial"/>
                <w:color w:val="000000"/>
                <w:sz w:val="14"/>
                <w:szCs w:val="14"/>
              </w:rPr>
              <w:t>57 </w:t>
            </w:r>
          </w:p>
        </w:tc>
        <w:tc>
          <w:tcPr>
            <w:tcW w:w="0" w:type="auto"/>
            <w:shd w:val="clear" w:color="auto" w:fill="FFFFFF"/>
            <w:tcMar>
              <w:top w:w="40" w:type="dxa"/>
              <w:left w:w="0" w:type="dxa"/>
              <w:bottom w:w="40" w:type="dxa"/>
              <w:right w:w="20" w:type="dxa"/>
            </w:tcMar>
            <w:vAlign w:val="bottom"/>
          </w:tcPr>
          <w:p w14:paraId="5EA27DC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C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C6" w14:textId="77777777" w:rsidR="003C66EB" w:rsidRDefault="00D96C4E">
            <w:pPr>
              <w:jc w:val="right"/>
              <w:textAlignment w:val="bottom"/>
            </w:pPr>
            <w:r>
              <w:rPr>
                <w:rFonts w:ascii="Arial" w:eastAsia="宋体" w:hAnsi="Arial" w:cs="Arial"/>
                <w:color w:val="000000"/>
                <w:sz w:val="14"/>
                <w:szCs w:val="14"/>
              </w:rPr>
              <w:t>32 </w:t>
            </w:r>
          </w:p>
        </w:tc>
        <w:tc>
          <w:tcPr>
            <w:tcW w:w="0" w:type="auto"/>
            <w:shd w:val="clear" w:color="auto" w:fill="FFFFFF"/>
            <w:tcMar>
              <w:top w:w="40" w:type="dxa"/>
              <w:left w:w="0" w:type="dxa"/>
              <w:bottom w:w="40" w:type="dxa"/>
              <w:right w:w="20" w:type="dxa"/>
            </w:tcMar>
            <w:vAlign w:val="bottom"/>
          </w:tcPr>
          <w:p w14:paraId="5EA27DC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C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C9" w14:textId="77777777" w:rsidR="003C66EB" w:rsidRDefault="00D96C4E">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5EA27DC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C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C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DC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C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CF"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A27DD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D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D2" w14:textId="77777777" w:rsidR="003C66EB" w:rsidRDefault="00D96C4E">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A27DD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D4" w14:textId="77777777" w:rsidR="003C66EB" w:rsidRDefault="003C66EB">
            <w:pPr>
              <w:rPr>
                <w:rFonts w:ascii="宋体"/>
              </w:rPr>
            </w:pPr>
          </w:p>
        </w:tc>
        <w:tc>
          <w:tcPr>
            <w:tcW w:w="0" w:type="auto"/>
            <w:gridSpan w:val="3"/>
            <w:shd w:val="clear" w:color="auto" w:fill="auto"/>
          </w:tcPr>
          <w:p w14:paraId="5EA27DD5" w14:textId="77777777" w:rsidR="003C66EB" w:rsidRDefault="003C66EB">
            <w:pPr>
              <w:rPr>
                <w:rFonts w:ascii="宋体"/>
                <w:vanish/>
              </w:rPr>
            </w:pPr>
          </w:p>
        </w:tc>
        <w:tc>
          <w:tcPr>
            <w:tcW w:w="0" w:type="auto"/>
            <w:gridSpan w:val="3"/>
            <w:shd w:val="clear" w:color="auto" w:fill="auto"/>
          </w:tcPr>
          <w:p w14:paraId="5EA27DD6" w14:textId="77777777" w:rsidR="003C66EB" w:rsidRDefault="003C66EB">
            <w:pPr>
              <w:rPr>
                <w:rFonts w:ascii="宋体"/>
                <w:vanish/>
              </w:rPr>
            </w:pPr>
          </w:p>
        </w:tc>
        <w:tc>
          <w:tcPr>
            <w:tcW w:w="0" w:type="auto"/>
            <w:gridSpan w:val="3"/>
            <w:shd w:val="clear" w:color="auto" w:fill="auto"/>
          </w:tcPr>
          <w:p w14:paraId="5EA27DD7" w14:textId="77777777" w:rsidR="003C66EB" w:rsidRDefault="003C66EB">
            <w:pPr>
              <w:rPr>
                <w:rFonts w:ascii="宋体"/>
                <w:vanish/>
              </w:rPr>
            </w:pPr>
          </w:p>
        </w:tc>
        <w:tc>
          <w:tcPr>
            <w:tcW w:w="0" w:type="auto"/>
            <w:gridSpan w:val="3"/>
            <w:shd w:val="clear" w:color="auto" w:fill="auto"/>
          </w:tcPr>
          <w:p w14:paraId="5EA27DD8" w14:textId="77777777" w:rsidR="003C66EB" w:rsidRDefault="003C66EB">
            <w:pPr>
              <w:rPr>
                <w:rFonts w:ascii="宋体"/>
                <w:vanish/>
              </w:rPr>
            </w:pPr>
          </w:p>
        </w:tc>
        <w:tc>
          <w:tcPr>
            <w:tcW w:w="0" w:type="auto"/>
            <w:gridSpan w:val="3"/>
            <w:shd w:val="clear" w:color="auto" w:fill="auto"/>
          </w:tcPr>
          <w:p w14:paraId="5EA27DD9"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DD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DDB" w14:textId="77777777" w:rsidR="003C66EB" w:rsidRDefault="00D96C4E">
            <w:pPr>
              <w:jc w:val="right"/>
              <w:textAlignment w:val="bottom"/>
            </w:pPr>
            <w:r>
              <w:rPr>
                <w:rFonts w:ascii="Arial" w:eastAsia="宋体" w:hAnsi="Arial" w:cs="Arial"/>
                <w:color w:val="000000"/>
                <w:sz w:val="14"/>
                <w:szCs w:val="14"/>
              </w:rPr>
              <w:t>92 </w:t>
            </w:r>
          </w:p>
        </w:tc>
        <w:tc>
          <w:tcPr>
            <w:tcW w:w="0" w:type="auto"/>
            <w:shd w:val="clear" w:color="auto" w:fill="FFFFFF"/>
            <w:tcMar>
              <w:top w:w="40" w:type="dxa"/>
              <w:left w:w="0" w:type="dxa"/>
              <w:bottom w:w="40" w:type="dxa"/>
              <w:right w:w="20" w:type="dxa"/>
            </w:tcMar>
            <w:vAlign w:val="bottom"/>
          </w:tcPr>
          <w:p w14:paraId="5EA27DDC" w14:textId="77777777" w:rsidR="003C66EB" w:rsidRDefault="003C66EB">
            <w:pPr>
              <w:jc w:val="right"/>
              <w:rPr>
                <w:rFonts w:ascii="宋体"/>
              </w:rPr>
            </w:pPr>
          </w:p>
        </w:tc>
      </w:tr>
      <w:tr w:rsidR="003C66EB" w14:paraId="5EA27DF9" w14:textId="77777777">
        <w:tc>
          <w:tcPr>
            <w:tcW w:w="0" w:type="auto"/>
            <w:gridSpan w:val="3"/>
            <w:shd w:val="clear" w:color="auto" w:fill="CCEEFF"/>
            <w:tcMar>
              <w:top w:w="40" w:type="dxa"/>
              <w:left w:w="155" w:type="dxa"/>
              <w:bottom w:w="40" w:type="dxa"/>
              <w:right w:w="20" w:type="dxa"/>
            </w:tcMar>
            <w:vAlign w:val="bottom"/>
          </w:tcPr>
          <w:p w14:paraId="5EA27DDE" w14:textId="77777777" w:rsidR="003C66EB" w:rsidRDefault="00D96C4E">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5EA27DDF" w14:textId="77777777" w:rsidR="003C66EB" w:rsidRDefault="00D96C4E">
            <w:pPr>
              <w:jc w:val="right"/>
              <w:textAlignment w:val="bottom"/>
            </w:pPr>
            <w:r>
              <w:rPr>
                <w:rFonts w:ascii="Arial" w:eastAsia="宋体" w:hAnsi="Arial" w:cs="Arial"/>
                <w:color w:val="000000"/>
                <w:sz w:val="14"/>
                <w:szCs w:val="14"/>
              </w:rPr>
              <w:t>107 </w:t>
            </w:r>
          </w:p>
        </w:tc>
        <w:tc>
          <w:tcPr>
            <w:tcW w:w="0" w:type="auto"/>
            <w:shd w:val="clear" w:color="auto" w:fill="CCEEFF"/>
            <w:tcMar>
              <w:top w:w="40" w:type="dxa"/>
              <w:left w:w="0" w:type="dxa"/>
              <w:bottom w:w="40" w:type="dxa"/>
              <w:right w:w="20" w:type="dxa"/>
            </w:tcMar>
            <w:vAlign w:val="bottom"/>
          </w:tcPr>
          <w:p w14:paraId="5EA27DE0"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E1"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E2" w14:textId="77777777" w:rsidR="003C66EB" w:rsidRDefault="00D96C4E">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5EA27DE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E4"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E5" w14:textId="77777777" w:rsidR="003C66EB" w:rsidRDefault="00D96C4E">
            <w:pPr>
              <w:jc w:val="right"/>
              <w:textAlignment w:val="bottom"/>
            </w:pPr>
            <w:r>
              <w:rPr>
                <w:rFonts w:ascii="Arial" w:eastAsia="宋体" w:hAnsi="Arial" w:cs="Arial"/>
                <w:color w:val="000000"/>
                <w:sz w:val="14"/>
                <w:szCs w:val="14"/>
              </w:rPr>
              <w:t>137 </w:t>
            </w:r>
          </w:p>
        </w:tc>
        <w:tc>
          <w:tcPr>
            <w:tcW w:w="0" w:type="auto"/>
            <w:shd w:val="clear" w:color="auto" w:fill="CCEEFF"/>
            <w:tcMar>
              <w:top w:w="40" w:type="dxa"/>
              <w:left w:w="0" w:type="dxa"/>
              <w:bottom w:w="40" w:type="dxa"/>
              <w:right w:w="20" w:type="dxa"/>
            </w:tcMar>
            <w:vAlign w:val="bottom"/>
          </w:tcPr>
          <w:p w14:paraId="5EA27DE6"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E7"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E8"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DE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EA"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EB" w14:textId="77777777" w:rsidR="003C66EB" w:rsidRDefault="00D96C4E">
            <w:pPr>
              <w:jc w:val="right"/>
              <w:textAlignment w:val="bottom"/>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bottom"/>
          </w:tcPr>
          <w:p w14:paraId="5EA27DE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E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EE" w14:textId="77777777" w:rsidR="003C66EB" w:rsidRDefault="00D96C4E">
            <w:pPr>
              <w:jc w:val="right"/>
              <w:textAlignment w:val="bottom"/>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bottom"/>
          </w:tcPr>
          <w:p w14:paraId="5EA27DE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DF0" w14:textId="77777777" w:rsidR="003C66EB" w:rsidRDefault="003C66EB">
            <w:pPr>
              <w:rPr>
                <w:rFonts w:ascii="宋体"/>
              </w:rPr>
            </w:pPr>
          </w:p>
        </w:tc>
        <w:tc>
          <w:tcPr>
            <w:tcW w:w="0" w:type="auto"/>
            <w:gridSpan w:val="3"/>
            <w:shd w:val="clear" w:color="auto" w:fill="auto"/>
          </w:tcPr>
          <w:p w14:paraId="5EA27DF1" w14:textId="77777777" w:rsidR="003C66EB" w:rsidRDefault="003C66EB">
            <w:pPr>
              <w:rPr>
                <w:rFonts w:ascii="宋体"/>
                <w:vanish/>
              </w:rPr>
            </w:pPr>
          </w:p>
        </w:tc>
        <w:tc>
          <w:tcPr>
            <w:tcW w:w="0" w:type="auto"/>
            <w:gridSpan w:val="3"/>
            <w:shd w:val="clear" w:color="auto" w:fill="auto"/>
          </w:tcPr>
          <w:p w14:paraId="5EA27DF2" w14:textId="77777777" w:rsidR="003C66EB" w:rsidRDefault="003C66EB">
            <w:pPr>
              <w:rPr>
                <w:rFonts w:ascii="宋体"/>
                <w:vanish/>
              </w:rPr>
            </w:pPr>
          </w:p>
        </w:tc>
        <w:tc>
          <w:tcPr>
            <w:tcW w:w="0" w:type="auto"/>
            <w:gridSpan w:val="3"/>
            <w:shd w:val="clear" w:color="auto" w:fill="auto"/>
          </w:tcPr>
          <w:p w14:paraId="5EA27DF3" w14:textId="77777777" w:rsidR="003C66EB" w:rsidRDefault="003C66EB">
            <w:pPr>
              <w:rPr>
                <w:rFonts w:ascii="宋体"/>
                <w:vanish/>
              </w:rPr>
            </w:pPr>
          </w:p>
        </w:tc>
        <w:tc>
          <w:tcPr>
            <w:tcW w:w="0" w:type="auto"/>
            <w:gridSpan w:val="3"/>
            <w:shd w:val="clear" w:color="auto" w:fill="auto"/>
          </w:tcPr>
          <w:p w14:paraId="5EA27DF4" w14:textId="77777777" w:rsidR="003C66EB" w:rsidRDefault="003C66EB">
            <w:pPr>
              <w:rPr>
                <w:rFonts w:ascii="宋体"/>
                <w:vanish/>
              </w:rPr>
            </w:pPr>
          </w:p>
        </w:tc>
        <w:tc>
          <w:tcPr>
            <w:tcW w:w="0" w:type="auto"/>
            <w:gridSpan w:val="3"/>
            <w:shd w:val="clear" w:color="auto" w:fill="auto"/>
          </w:tcPr>
          <w:p w14:paraId="5EA27DF5"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DF6"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DF7" w14:textId="77777777" w:rsidR="003C66EB" w:rsidRDefault="00D96C4E">
            <w:pPr>
              <w:jc w:val="right"/>
              <w:textAlignment w:val="bottom"/>
            </w:pPr>
            <w:r>
              <w:rPr>
                <w:rFonts w:ascii="Arial" w:eastAsia="宋体" w:hAnsi="Arial" w:cs="Arial"/>
                <w:color w:val="000000"/>
                <w:sz w:val="14"/>
                <w:szCs w:val="14"/>
              </w:rPr>
              <w:t>112 </w:t>
            </w:r>
          </w:p>
        </w:tc>
        <w:tc>
          <w:tcPr>
            <w:tcW w:w="0" w:type="auto"/>
            <w:shd w:val="clear" w:color="auto" w:fill="CCEEFF"/>
            <w:tcMar>
              <w:top w:w="40" w:type="dxa"/>
              <w:left w:w="0" w:type="dxa"/>
              <w:bottom w:w="40" w:type="dxa"/>
              <w:right w:w="20" w:type="dxa"/>
            </w:tcMar>
            <w:vAlign w:val="bottom"/>
          </w:tcPr>
          <w:p w14:paraId="5EA27DF8" w14:textId="77777777" w:rsidR="003C66EB" w:rsidRDefault="003C66EB">
            <w:pPr>
              <w:jc w:val="right"/>
              <w:rPr>
                <w:rFonts w:ascii="宋体"/>
              </w:rPr>
            </w:pPr>
          </w:p>
        </w:tc>
      </w:tr>
      <w:tr w:rsidR="003C66EB" w14:paraId="5EA27E15" w14:textId="77777777">
        <w:tc>
          <w:tcPr>
            <w:tcW w:w="0" w:type="auto"/>
            <w:gridSpan w:val="3"/>
            <w:shd w:val="clear" w:color="auto" w:fill="FFFFFF"/>
            <w:tcMar>
              <w:top w:w="40" w:type="dxa"/>
              <w:left w:w="20" w:type="dxa"/>
              <w:bottom w:w="40" w:type="dxa"/>
              <w:right w:w="20" w:type="dxa"/>
            </w:tcMar>
            <w:vAlign w:val="bottom"/>
          </w:tcPr>
          <w:p w14:paraId="5EA27DFA" w14:textId="77777777" w:rsidR="003C66EB" w:rsidRDefault="00D96C4E">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DFB" w14:textId="77777777" w:rsidR="003C66EB" w:rsidRDefault="00D96C4E">
            <w:pPr>
              <w:jc w:val="right"/>
              <w:textAlignment w:val="bottom"/>
            </w:pPr>
            <w:r>
              <w:rPr>
                <w:rFonts w:ascii="Arial" w:eastAsia="宋体" w:hAnsi="Arial" w:cs="Arial"/>
                <w:color w:val="000000"/>
                <w:sz w:val="14"/>
                <w:szCs w:val="14"/>
              </w:rPr>
              <w:t>1,551 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DFC"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DFD"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DFE" w14:textId="77777777" w:rsidR="003C66EB" w:rsidRDefault="00D96C4E">
            <w:pPr>
              <w:jc w:val="right"/>
              <w:textAlignment w:val="bottom"/>
            </w:pPr>
            <w:r>
              <w:rPr>
                <w:rFonts w:ascii="Arial" w:eastAsia="宋体" w:hAnsi="Arial" w:cs="Arial"/>
                <w:color w:val="000000"/>
                <w:sz w:val="14"/>
                <w:szCs w:val="14"/>
              </w:rPr>
              <w:t>396 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DFF"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00"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E01" w14:textId="77777777" w:rsidR="003C66EB" w:rsidRDefault="00D96C4E">
            <w:pPr>
              <w:jc w:val="right"/>
              <w:textAlignment w:val="bottom"/>
            </w:pPr>
            <w:r>
              <w:rPr>
                <w:rFonts w:ascii="Arial" w:eastAsia="宋体" w:hAnsi="Arial" w:cs="Arial"/>
                <w:color w:val="000000"/>
                <w:sz w:val="14"/>
                <w:szCs w:val="14"/>
              </w:rPr>
              <w:t>1,947 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E02"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03"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E04" w14:textId="77777777" w:rsidR="003C66EB" w:rsidRDefault="00D96C4E">
            <w:pPr>
              <w:jc w:val="right"/>
              <w:textAlignment w:val="bottom"/>
            </w:pPr>
            <w:r>
              <w:rPr>
                <w:rFonts w:ascii="Arial" w:eastAsia="宋体" w:hAnsi="Arial" w:cs="Arial"/>
                <w:color w:val="000000"/>
                <w:sz w:val="14"/>
                <w:szCs w:val="14"/>
              </w:rPr>
              <w:t>474 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E0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06"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E07" w14:textId="77777777" w:rsidR="003C66EB" w:rsidRDefault="00D96C4E">
            <w:pPr>
              <w:jc w:val="right"/>
              <w:textAlignment w:val="bottom"/>
            </w:pPr>
            <w:r>
              <w:rPr>
                <w:rFonts w:ascii="Arial" w:eastAsia="宋体" w:hAnsi="Arial" w:cs="Arial"/>
                <w:color w:val="000000"/>
                <w:sz w:val="14"/>
                <w:szCs w:val="14"/>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E0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09"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E0A" w14:textId="77777777" w:rsidR="003C66EB" w:rsidRDefault="00D96C4E">
            <w:pPr>
              <w:jc w:val="right"/>
              <w:textAlignment w:val="bottom"/>
            </w:pPr>
            <w:r>
              <w:rPr>
                <w:rFonts w:ascii="Arial" w:eastAsia="宋体" w:hAnsi="Arial" w:cs="Arial"/>
                <w:color w:val="000000"/>
                <w:sz w:val="14"/>
                <w:szCs w:val="14"/>
              </w:rPr>
              <w:t>452 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E0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0C" w14:textId="77777777" w:rsidR="003C66EB" w:rsidRDefault="003C66EB">
            <w:pPr>
              <w:rPr>
                <w:rFonts w:ascii="宋体"/>
              </w:rPr>
            </w:pPr>
          </w:p>
        </w:tc>
        <w:tc>
          <w:tcPr>
            <w:tcW w:w="0" w:type="auto"/>
            <w:gridSpan w:val="3"/>
            <w:shd w:val="clear" w:color="auto" w:fill="auto"/>
          </w:tcPr>
          <w:p w14:paraId="5EA27E0D" w14:textId="77777777" w:rsidR="003C66EB" w:rsidRDefault="003C66EB">
            <w:pPr>
              <w:rPr>
                <w:rFonts w:ascii="宋体"/>
                <w:vanish/>
              </w:rPr>
            </w:pPr>
          </w:p>
        </w:tc>
        <w:tc>
          <w:tcPr>
            <w:tcW w:w="0" w:type="auto"/>
            <w:gridSpan w:val="3"/>
            <w:shd w:val="clear" w:color="auto" w:fill="auto"/>
          </w:tcPr>
          <w:p w14:paraId="5EA27E0E" w14:textId="77777777" w:rsidR="003C66EB" w:rsidRDefault="003C66EB">
            <w:pPr>
              <w:rPr>
                <w:rFonts w:ascii="宋体"/>
                <w:vanish/>
              </w:rPr>
            </w:pPr>
          </w:p>
        </w:tc>
        <w:tc>
          <w:tcPr>
            <w:tcW w:w="0" w:type="auto"/>
            <w:gridSpan w:val="3"/>
            <w:shd w:val="clear" w:color="auto" w:fill="auto"/>
          </w:tcPr>
          <w:p w14:paraId="5EA27E0F" w14:textId="77777777" w:rsidR="003C66EB" w:rsidRDefault="003C66EB">
            <w:pPr>
              <w:rPr>
                <w:rFonts w:ascii="宋体"/>
                <w:vanish/>
              </w:rPr>
            </w:pPr>
          </w:p>
        </w:tc>
        <w:tc>
          <w:tcPr>
            <w:tcW w:w="0" w:type="auto"/>
            <w:gridSpan w:val="3"/>
            <w:shd w:val="clear" w:color="auto" w:fill="auto"/>
          </w:tcPr>
          <w:p w14:paraId="5EA27E10" w14:textId="77777777" w:rsidR="003C66EB" w:rsidRDefault="003C66EB">
            <w:pPr>
              <w:rPr>
                <w:rFonts w:ascii="宋体"/>
                <w:vanish/>
              </w:rPr>
            </w:pPr>
          </w:p>
        </w:tc>
        <w:tc>
          <w:tcPr>
            <w:tcW w:w="0" w:type="auto"/>
            <w:gridSpan w:val="3"/>
            <w:shd w:val="clear" w:color="auto" w:fill="auto"/>
          </w:tcPr>
          <w:p w14:paraId="5EA27E11"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E12" w14:textId="77777777" w:rsidR="003C66EB" w:rsidRDefault="003C66E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A27E13" w14:textId="77777777" w:rsidR="003C66EB" w:rsidRDefault="00D96C4E">
            <w:pPr>
              <w:jc w:val="right"/>
              <w:textAlignment w:val="bottom"/>
            </w:pPr>
            <w:r>
              <w:rPr>
                <w:rFonts w:ascii="Arial" w:eastAsia="宋体" w:hAnsi="Arial" w:cs="Arial"/>
                <w:color w:val="000000"/>
                <w:sz w:val="14"/>
                <w:szCs w:val="14"/>
              </w:rPr>
              <w:t>2,399 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A27E14" w14:textId="77777777" w:rsidR="003C66EB" w:rsidRDefault="003C66EB">
            <w:pPr>
              <w:jc w:val="right"/>
              <w:rPr>
                <w:rFonts w:ascii="宋体"/>
              </w:rPr>
            </w:pPr>
          </w:p>
        </w:tc>
      </w:tr>
      <w:tr w:rsidR="003C66EB" w14:paraId="5EA27E31" w14:textId="77777777">
        <w:tc>
          <w:tcPr>
            <w:tcW w:w="0" w:type="auto"/>
            <w:gridSpan w:val="3"/>
            <w:shd w:val="clear" w:color="auto" w:fill="CCEEFF"/>
            <w:tcMar>
              <w:top w:w="40" w:type="dxa"/>
              <w:left w:w="155" w:type="dxa"/>
              <w:bottom w:w="40" w:type="dxa"/>
              <w:right w:w="20" w:type="dxa"/>
            </w:tcMar>
            <w:vAlign w:val="bottom"/>
          </w:tcPr>
          <w:p w14:paraId="5EA27E16" w14:textId="77777777" w:rsidR="003C66EB" w:rsidRDefault="00D96C4E">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EA27E17"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E18"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19"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E1A" w14:textId="77777777" w:rsidR="003C66EB" w:rsidRDefault="00D96C4E">
            <w:pPr>
              <w:jc w:val="right"/>
              <w:textAlignment w:val="bottom"/>
            </w:pPr>
            <w:r>
              <w:rPr>
                <w:rFonts w:ascii="Arial" w:eastAsia="宋体" w:hAnsi="Arial" w:cs="Arial"/>
                <w:color w:val="000000"/>
                <w:sz w:val="14"/>
                <w:szCs w:val="14"/>
              </w:rPr>
              <w:t>663 </w:t>
            </w:r>
          </w:p>
        </w:tc>
        <w:tc>
          <w:tcPr>
            <w:tcW w:w="0" w:type="auto"/>
            <w:shd w:val="clear" w:color="auto" w:fill="CCEEFF"/>
            <w:tcMar>
              <w:top w:w="40" w:type="dxa"/>
              <w:left w:w="0" w:type="dxa"/>
              <w:bottom w:w="40" w:type="dxa"/>
              <w:right w:w="20" w:type="dxa"/>
            </w:tcMar>
            <w:vAlign w:val="bottom"/>
          </w:tcPr>
          <w:p w14:paraId="5EA27E1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1C"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E1D" w14:textId="77777777" w:rsidR="003C66EB" w:rsidRDefault="00D96C4E">
            <w:pPr>
              <w:jc w:val="right"/>
              <w:textAlignment w:val="bottom"/>
            </w:pPr>
            <w:r>
              <w:rPr>
                <w:rFonts w:ascii="Arial" w:eastAsia="宋体" w:hAnsi="Arial" w:cs="Arial"/>
                <w:color w:val="000000"/>
                <w:sz w:val="14"/>
                <w:szCs w:val="14"/>
              </w:rPr>
              <w:t>663 </w:t>
            </w:r>
          </w:p>
        </w:tc>
        <w:tc>
          <w:tcPr>
            <w:tcW w:w="0" w:type="auto"/>
            <w:shd w:val="clear" w:color="auto" w:fill="CCEEFF"/>
            <w:tcMar>
              <w:top w:w="40" w:type="dxa"/>
              <w:left w:w="0" w:type="dxa"/>
              <w:bottom w:w="40" w:type="dxa"/>
              <w:right w:w="20" w:type="dxa"/>
            </w:tcMar>
            <w:vAlign w:val="bottom"/>
          </w:tcPr>
          <w:p w14:paraId="5EA27E1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1F"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E20"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A27E2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22"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E23"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7E24"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25"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E26" w14:textId="77777777" w:rsidR="003C66EB" w:rsidRDefault="00D96C4E">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A27E2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28" w14:textId="77777777" w:rsidR="003C66EB" w:rsidRDefault="003C66EB">
            <w:pPr>
              <w:rPr>
                <w:rFonts w:ascii="宋体"/>
              </w:rPr>
            </w:pPr>
          </w:p>
        </w:tc>
        <w:tc>
          <w:tcPr>
            <w:tcW w:w="0" w:type="auto"/>
            <w:gridSpan w:val="3"/>
            <w:shd w:val="clear" w:color="auto" w:fill="auto"/>
          </w:tcPr>
          <w:p w14:paraId="5EA27E29" w14:textId="77777777" w:rsidR="003C66EB" w:rsidRDefault="003C66EB">
            <w:pPr>
              <w:rPr>
                <w:rFonts w:ascii="宋体"/>
                <w:vanish/>
              </w:rPr>
            </w:pPr>
          </w:p>
        </w:tc>
        <w:tc>
          <w:tcPr>
            <w:tcW w:w="0" w:type="auto"/>
            <w:gridSpan w:val="3"/>
            <w:shd w:val="clear" w:color="auto" w:fill="auto"/>
          </w:tcPr>
          <w:p w14:paraId="5EA27E2A" w14:textId="77777777" w:rsidR="003C66EB" w:rsidRDefault="003C66EB">
            <w:pPr>
              <w:rPr>
                <w:rFonts w:ascii="宋体"/>
                <w:vanish/>
              </w:rPr>
            </w:pPr>
          </w:p>
        </w:tc>
        <w:tc>
          <w:tcPr>
            <w:tcW w:w="0" w:type="auto"/>
            <w:gridSpan w:val="3"/>
            <w:shd w:val="clear" w:color="auto" w:fill="auto"/>
          </w:tcPr>
          <w:p w14:paraId="5EA27E2B" w14:textId="77777777" w:rsidR="003C66EB" w:rsidRDefault="003C66EB">
            <w:pPr>
              <w:rPr>
                <w:rFonts w:ascii="宋体"/>
                <w:vanish/>
              </w:rPr>
            </w:pPr>
          </w:p>
        </w:tc>
        <w:tc>
          <w:tcPr>
            <w:tcW w:w="0" w:type="auto"/>
            <w:gridSpan w:val="3"/>
            <w:shd w:val="clear" w:color="auto" w:fill="auto"/>
          </w:tcPr>
          <w:p w14:paraId="5EA27E2C" w14:textId="77777777" w:rsidR="003C66EB" w:rsidRDefault="003C66EB">
            <w:pPr>
              <w:rPr>
                <w:rFonts w:ascii="宋体"/>
                <w:vanish/>
              </w:rPr>
            </w:pPr>
          </w:p>
        </w:tc>
        <w:tc>
          <w:tcPr>
            <w:tcW w:w="0" w:type="auto"/>
            <w:gridSpan w:val="3"/>
            <w:shd w:val="clear" w:color="auto" w:fill="auto"/>
          </w:tcPr>
          <w:p w14:paraId="5EA27E2D"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E2E"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7E2F" w14:textId="77777777" w:rsidR="003C66EB" w:rsidRDefault="00D96C4E">
            <w:pPr>
              <w:jc w:val="right"/>
              <w:textAlignment w:val="bottom"/>
            </w:pPr>
            <w:r>
              <w:rPr>
                <w:rFonts w:ascii="Arial" w:eastAsia="宋体" w:hAnsi="Arial" w:cs="Arial"/>
                <w:color w:val="000000"/>
                <w:sz w:val="14"/>
                <w:szCs w:val="14"/>
              </w:rPr>
              <w:t>664 </w:t>
            </w:r>
          </w:p>
        </w:tc>
        <w:tc>
          <w:tcPr>
            <w:tcW w:w="0" w:type="auto"/>
            <w:shd w:val="clear" w:color="auto" w:fill="CCEEFF"/>
            <w:tcMar>
              <w:top w:w="40" w:type="dxa"/>
              <w:left w:w="0" w:type="dxa"/>
              <w:bottom w:w="40" w:type="dxa"/>
              <w:right w:w="20" w:type="dxa"/>
            </w:tcMar>
            <w:vAlign w:val="bottom"/>
          </w:tcPr>
          <w:p w14:paraId="5EA27E30" w14:textId="77777777" w:rsidR="003C66EB" w:rsidRDefault="003C66EB">
            <w:pPr>
              <w:jc w:val="right"/>
              <w:rPr>
                <w:rFonts w:ascii="宋体"/>
              </w:rPr>
            </w:pPr>
          </w:p>
        </w:tc>
      </w:tr>
      <w:tr w:rsidR="003C66EB" w14:paraId="5EA27E4D" w14:textId="77777777">
        <w:tc>
          <w:tcPr>
            <w:tcW w:w="0" w:type="auto"/>
            <w:gridSpan w:val="3"/>
            <w:shd w:val="clear" w:color="auto" w:fill="FFFFFF"/>
            <w:tcMar>
              <w:top w:w="40" w:type="dxa"/>
              <w:left w:w="155" w:type="dxa"/>
              <w:bottom w:w="40" w:type="dxa"/>
              <w:right w:w="20" w:type="dxa"/>
            </w:tcMar>
            <w:vAlign w:val="bottom"/>
          </w:tcPr>
          <w:p w14:paraId="5EA27E32" w14:textId="77777777" w:rsidR="003C66EB" w:rsidRDefault="00D96C4E">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EA27E33"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E3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3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E36"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A27E37"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38"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E39"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A27E3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3B"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E3C"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E3D"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3E"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E3F"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E40"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41"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E42" w14:textId="77777777" w:rsidR="003C66EB" w:rsidRDefault="00D96C4E">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A27E43"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7E44" w14:textId="77777777" w:rsidR="003C66EB" w:rsidRDefault="003C66EB">
            <w:pPr>
              <w:rPr>
                <w:rFonts w:ascii="宋体"/>
              </w:rPr>
            </w:pPr>
          </w:p>
        </w:tc>
        <w:tc>
          <w:tcPr>
            <w:tcW w:w="0" w:type="auto"/>
            <w:gridSpan w:val="3"/>
            <w:shd w:val="clear" w:color="auto" w:fill="auto"/>
          </w:tcPr>
          <w:p w14:paraId="5EA27E45" w14:textId="77777777" w:rsidR="003C66EB" w:rsidRDefault="003C66EB">
            <w:pPr>
              <w:rPr>
                <w:rFonts w:ascii="宋体"/>
                <w:vanish/>
              </w:rPr>
            </w:pPr>
          </w:p>
        </w:tc>
        <w:tc>
          <w:tcPr>
            <w:tcW w:w="0" w:type="auto"/>
            <w:gridSpan w:val="3"/>
            <w:shd w:val="clear" w:color="auto" w:fill="auto"/>
          </w:tcPr>
          <w:p w14:paraId="5EA27E46" w14:textId="77777777" w:rsidR="003C66EB" w:rsidRDefault="003C66EB">
            <w:pPr>
              <w:rPr>
                <w:rFonts w:ascii="宋体"/>
                <w:vanish/>
              </w:rPr>
            </w:pPr>
          </w:p>
        </w:tc>
        <w:tc>
          <w:tcPr>
            <w:tcW w:w="0" w:type="auto"/>
            <w:gridSpan w:val="3"/>
            <w:shd w:val="clear" w:color="auto" w:fill="auto"/>
          </w:tcPr>
          <w:p w14:paraId="5EA27E47" w14:textId="77777777" w:rsidR="003C66EB" w:rsidRDefault="003C66EB">
            <w:pPr>
              <w:rPr>
                <w:rFonts w:ascii="宋体"/>
                <w:vanish/>
              </w:rPr>
            </w:pPr>
          </w:p>
        </w:tc>
        <w:tc>
          <w:tcPr>
            <w:tcW w:w="0" w:type="auto"/>
            <w:gridSpan w:val="3"/>
            <w:shd w:val="clear" w:color="auto" w:fill="auto"/>
          </w:tcPr>
          <w:p w14:paraId="5EA27E48" w14:textId="77777777" w:rsidR="003C66EB" w:rsidRDefault="003C66EB">
            <w:pPr>
              <w:rPr>
                <w:rFonts w:ascii="宋体"/>
                <w:vanish/>
              </w:rPr>
            </w:pPr>
          </w:p>
        </w:tc>
        <w:tc>
          <w:tcPr>
            <w:tcW w:w="0" w:type="auto"/>
            <w:gridSpan w:val="3"/>
            <w:shd w:val="clear" w:color="auto" w:fill="auto"/>
          </w:tcPr>
          <w:p w14:paraId="5EA27E49" w14:textId="77777777" w:rsidR="003C66EB" w:rsidRDefault="003C66EB">
            <w:pPr>
              <w:rPr>
                <w:rFonts w:ascii="宋体"/>
                <w:vanish/>
              </w:rPr>
            </w:pPr>
          </w:p>
        </w:tc>
        <w:tc>
          <w:tcPr>
            <w:tcW w:w="0" w:type="auto"/>
            <w:gridSpan w:val="3"/>
            <w:shd w:val="clear" w:color="auto" w:fill="FFFFFF"/>
            <w:tcMar>
              <w:top w:w="0" w:type="dxa"/>
              <w:left w:w="20" w:type="dxa"/>
              <w:bottom w:w="0" w:type="dxa"/>
              <w:right w:w="20" w:type="dxa"/>
            </w:tcMar>
          </w:tcPr>
          <w:p w14:paraId="5EA27E4A"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7E4B" w14:textId="77777777" w:rsidR="003C66EB" w:rsidRDefault="00D96C4E">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A27E4C" w14:textId="77777777" w:rsidR="003C66EB" w:rsidRDefault="003C66EB">
            <w:pPr>
              <w:jc w:val="right"/>
              <w:rPr>
                <w:rFonts w:ascii="宋体"/>
              </w:rPr>
            </w:pPr>
          </w:p>
        </w:tc>
      </w:tr>
      <w:tr w:rsidR="003C66EB" w14:paraId="5EA27E70" w14:textId="77777777">
        <w:tc>
          <w:tcPr>
            <w:tcW w:w="0" w:type="auto"/>
            <w:gridSpan w:val="3"/>
            <w:shd w:val="clear" w:color="auto" w:fill="CCEEFF"/>
            <w:tcMar>
              <w:top w:w="40" w:type="dxa"/>
              <w:left w:w="20" w:type="dxa"/>
              <w:bottom w:w="40" w:type="dxa"/>
              <w:right w:w="20" w:type="dxa"/>
            </w:tcMar>
            <w:vAlign w:val="bottom"/>
          </w:tcPr>
          <w:p w14:paraId="5EA27E4E" w14:textId="77777777" w:rsidR="003C66EB" w:rsidRDefault="00D96C4E">
            <w:pPr>
              <w:textAlignment w:val="bottom"/>
            </w:pPr>
            <w:r>
              <w:rPr>
                <w:rFonts w:ascii="Arial" w:eastAsia="宋体" w:hAnsi="Arial" w:cs="Arial"/>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4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50" w14:textId="77777777" w:rsidR="003C66EB" w:rsidRDefault="00D96C4E">
            <w:pPr>
              <w:jc w:val="right"/>
              <w:textAlignment w:val="bottom"/>
            </w:pPr>
            <w:r>
              <w:rPr>
                <w:rFonts w:ascii="Arial" w:eastAsia="宋体" w:hAnsi="Arial" w:cs="Arial"/>
                <w:color w:val="000000"/>
                <w:sz w:val="14"/>
                <w:szCs w:val="14"/>
              </w:rPr>
              <w:t>1,551 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5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5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5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54" w14:textId="77777777" w:rsidR="003C66EB" w:rsidRDefault="00D96C4E">
            <w:pPr>
              <w:jc w:val="right"/>
              <w:textAlignment w:val="bottom"/>
            </w:pPr>
            <w:r>
              <w:rPr>
                <w:rFonts w:ascii="Arial" w:eastAsia="宋体" w:hAnsi="Arial" w:cs="Arial"/>
                <w:color w:val="000000"/>
                <w:sz w:val="14"/>
                <w:szCs w:val="14"/>
              </w:rPr>
              <w:t>1,061 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5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56"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57"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58" w14:textId="77777777" w:rsidR="003C66EB" w:rsidRDefault="00D96C4E">
            <w:pPr>
              <w:jc w:val="right"/>
              <w:textAlignment w:val="bottom"/>
            </w:pPr>
            <w:r>
              <w:rPr>
                <w:rFonts w:ascii="Arial" w:eastAsia="宋体" w:hAnsi="Arial" w:cs="Arial"/>
                <w:color w:val="000000"/>
                <w:sz w:val="14"/>
                <w:szCs w:val="14"/>
              </w:rPr>
              <w:t>2,612 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59"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5A"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5B"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5C" w14:textId="77777777" w:rsidR="003C66EB" w:rsidRDefault="00D96C4E">
            <w:pPr>
              <w:jc w:val="right"/>
              <w:textAlignment w:val="bottom"/>
            </w:pPr>
            <w:r>
              <w:rPr>
                <w:rFonts w:ascii="Arial" w:eastAsia="宋体" w:hAnsi="Arial" w:cs="Arial"/>
                <w:color w:val="000000"/>
                <w:sz w:val="14"/>
                <w:szCs w:val="14"/>
              </w:rPr>
              <w:t>474 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5D"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5E"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5F"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60" w14:textId="77777777" w:rsidR="003C66EB" w:rsidRDefault="00D96C4E">
            <w:pPr>
              <w:jc w:val="right"/>
              <w:textAlignment w:val="bottom"/>
            </w:pPr>
            <w:r>
              <w:rPr>
                <w:rFonts w:ascii="Arial" w:eastAsia="宋体" w:hAnsi="Arial" w:cs="Arial"/>
                <w:color w:val="000000"/>
                <w:sz w:val="14"/>
                <w:szCs w:val="14"/>
              </w:rPr>
              <w:t>(21)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61"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62"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63"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64" w14:textId="77777777" w:rsidR="003C66EB" w:rsidRDefault="00D96C4E">
            <w:pPr>
              <w:jc w:val="right"/>
              <w:textAlignment w:val="bottom"/>
            </w:pPr>
            <w:r>
              <w:rPr>
                <w:rFonts w:ascii="Arial" w:eastAsia="宋体" w:hAnsi="Arial" w:cs="Arial"/>
                <w:color w:val="000000"/>
                <w:sz w:val="14"/>
                <w:szCs w:val="14"/>
              </w:rPr>
              <w:t>453 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7E66" w14:textId="77777777" w:rsidR="003C66EB" w:rsidRDefault="003C66EB">
            <w:pPr>
              <w:rPr>
                <w:rFonts w:ascii="宋体"/>
              </w:rPr>
            </w:pPr>
          </w:p>
        </w:tc>
        <w:tc>
          <w:tcPr>
            <w:tcW w:w="0" w:type="auto"/>
            <w:gridSpan w:val="3"/>
            <w:shd w:val="clear" w:color="auto" w:fill="auto"/>
          </w:tcPr>
          <w:p w14:paraId="5EA27E67" w14:textId="77777777" w:rsidR="003C66EB" w:rsidRDefault="003C66EB">
            <w:pPr>
              <w:rPr>
                <w:rFonts w:ascii="宋体"/>
                <w:vanish/>
              </w:rPr>
            </w:pPr>
          </w:p>
        </w:tc>
        <w:tc>
          <w:tcPr>
            <w:tcW w:w="0" w:type="auto"/>
            <w:gridSpan w:val="3"/>
            <w:shd w:val="clear" w:color="auto" w:fill="auto"/>
          </w:tcPr>
          <w:p w14:paraId="5EA27E68" w14:textId="77777777" w:rsidR="003C66EB" w:rsidRDefault="003C66EB">
            <w:pPr>
              <w:rPr>
                <w:rFonts w:ascii="宋体"/>
                <w:vanish/>
              </w:rPr>
            </w:pPr>
          </w:p>
        </w:tc>
        <w:tc>
          <w:tcPr>
            <w:tcW w:w="0" w:type="auto"/>
            <w:gridSpan w:val="3"/>
            <w:shd w:val="clear" w:color="auto" w:fill="auto"/>
          </w:tcPr>
          <w:p w14:paraId="5EA27E69" w14:textId="77777777" w:rsidR="003C66EB" w:rsidRDefault="003C66EB">
            <w:pPr>
              <w:rPr>
                <w:rFonts w:ascii="宋体"/>
                <w:vanish/>
              </w:rPr>
            </w:pPr>
          </w:p>
        </w:tc>
        <w:tc>
          <w:tcPr>
            <w:tcW w:w="0" w:type="auto"/>
            <w:gridSpan w:val="3"/>
            <w:shd w:val="clear" w:color="auto" w:fill="auto"/>
          </w:tcPr>
          <w:p w14:paraId="5EA27E6A" w14:textId="77777777" w:rsidR="003C66EB" w:rsidRDefault="003C66EB">
            <w:pPr>
              <w:rPr>
                <w:rFonts w:ascii="宋体"/>
                <w:vanish/>
              </w:rPr>
            </w:pPr>
          </w:p>
        </w:tc>
        <w:tc>
          <w:tcPr>
            <w:tcW w:w="0" w:type="auto"/>
            <w:gridSpan w:val="3"/>
            <w:shd w:val="clear" w:color="auto" w:fill="auto"/>
          </w:tcPr>
          <w:p w14:paraId="5EA27E6B" w14:textId="77777777" w:rsidR="003C66EB" w:rsidRDefault="003C66EB">
            <w:pPr>
              <w:rPr>
                <w:rFonts w:ascii="宋体"/>
                <w:vanish/>
              </w:rPr>
            </w:pPr>
          </w:p>
        </w:tc>
        <w:tc>
          <w:tcPr>
            <w:tcW w:w="0" w:type="auto"/>
            <w:gridSpan w:val="3"/>
            <w:shd w:val="clear" w:color="auto" w:fill="CCEEFF"/>
            <w:tcMar>
              <w:top w:w="0" w:type="dxa"/>
              <w:left w:w="20" w:type="dxa"/>
              <w:bottom w:w="0" w:type="dxa"/>
              <w:right w:w="20" w:type="dxa"/>
            </w:tcMar>
          </w:tcPr>
          <w:p w14:paraId="5EA27E6C" w14:textId="77777777" w:rsidR="003C66EB" w:rsidRDefault="003C66E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A27E6D" w14:textId="77777777" w:rsidR="003C66EB" w:rsidRDefault="00D96C4E">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A27E6E" w14:textId="77777777" w:rsidR="003C66EB" w:rsidRDefault="00D96C4E">
            <w:pPr>
              <w:jc w:val="right"/>
              <w:textAlignment w:val="bottom"/>
            </w:pPr>
            <w:r>
              <w:rPr>
                <w:rFonts w:ascii="Arial" w:eastAsia="宋体" w:hAnsi="Arial" w:cs="Arial"/>
                <w:color w:val="000000"/>
                <w:sz w:val="14"/>
                <w:szCs w:val="14"/>
              </w:rPr>
              <w:t>3,065 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A27E6F" w14:textId="77777777" w:rsidR="003C66EB" w:rsidRDefault="003C66EB">
            <w:pPr>
              <w:jc w:val="right"/>
              <w:rPr>
                <w:rFonts w:ascii="宋体"/>
              </w:rPr>
            </w:pPr>
          </w:p>
        </w:tc>
      </w:tr>
      <w:tr w:rsidR="003C66EB" w14:paraId="5EA27E85" w14:textId="77777777">
        <w:trPr>
          <w:hidden/>
        </w:trPr>
        <w:tc>
          <w:tcPr>
            <w:tcW w:w="0" w:type="auto"/>
            <w:gridSpan w:val="3"/>
            <w:shd w:val="clear" w:color="auto" w:fill="auto"/>
          </w:tcPr>
          <w:p w14:paraId="5EA27E71" w14:textId="77777777" w:rsidR="003C66EB" w:rsidRDefault="003C66EB">
            <w:pPr>
              <w:rPr>
                <w:rFonts w:ascii="宋体"/>
                <w:vanish/>
              </w:rPr>
            </w:pPr>
          </w:p>
        </w:tc>
        <w:tc>
          <w:tcPr>
            <w:tcW w:w="0" w:type="auto"/>
            <w:gridSpan w:val="3"/>
            <w:shd w:val="clear" w:color="auto" w:fill="auto"/>
          </w:tcPr>
          <w:p w14:paraId="5EA27E72" w14:textId="77777777" w:rsidR="003C66EB" w:rsidRDefault="003C66EB">
            <w:pPr>
              <w:rPr>
                <w:rFonts w:ascii="宋体"/>
                <w:vanish/>
              </w:rPr>
            </w:pPr>
          </w:p>
        </w:tc>
        <w:tc>
          <w:tcPr>
            <w:tcW w:w="0" w:type="auto"/>
            <w:gridSpan w:val="3"/>
            <w:shd w:val="clear" w:color="auto" w:fill="auto"/>
          </w:tcPr>
          <w:p w14:paraId="5EA27E73" w14:textId="77777777" w:rsidR="003C66EB" w:rsidRDefault="003C66EB">
            <w:pPr>
              <w:rPr>
                <w:rFonts w:ascii="宋体"/>
                <w:vanish/>
              </w:rPr>
            </w:pPr>
          </w:p>
        </w:tc>
        <w:tc>
          <w:tcPr>
            <w:tcW w:w="0" w:type="auto"/>
            <w:gridSpan w:val="3"/>
            <w:shd w:val="clear" w:color="auto" w:fill="auto"/>
          </w:tcPr>
          <w:p w14:paraId="5EA27E74" w14:textId="77777777" w:rsidR="003C66EB" w:rsidRDefault="003C66EB">
            <w:pPr>
              <w:rPr>
                <w:rFonts w:ascii="宋体"/>
                <w:vanish/>
              </w:rPr>
            </w:pPr>
          </w:p>
        </w:tc>
        <w:tc>
          <w:tcPr>
            <w:tcW w:w="0" w:type="auto"/>
            <w:gridSpan w:val="3"/>
            <w:shd w:val="clear" w:color="auto" w:fill="auto"/>
          </w:tcPr>
          <w:p w14:paraId="5EA27E75" w14:textId="77777777" w:rsidR="003C66EB" w:rsidRDefault="003C66EB">
            <w:pPr>
              <w:rPr>
                <w:rFonts w:ascii="宋体"/>
                <w:vanish/>
              </w:rPr>
            </w:pPr>
          </w:p>
        </w:tc>
        <w:tc>
          <w:tcPr>
            <w:tcW w:w="0" w:type="auto"/>
            <w:gridSpan w:val="3"/>
            <w:shd w:val="clear" w:color="auto" w:fill="auto"/>
          </w:tcPr>
          <w:p w14:paraId="5EA27E76" w14:textId="77777777" w:rsidR="003C66EB" w:rsidRDefault="003C66EB">
            <w:pPr>
              <w:rPr>
                <w:rFonts w:ascii="宋体"/>
                <w:vanish/>
              </w:rPr>
            </w:pPr>
          </w:p>
        </w:tc>
        <w:tc>
          <w:tcPr>
            <w:tcW w:w="0" w:type="auto"/>
            <w:gridSpan w:val="3"/>
            <w:shd w:val="clear" w:color="auto" w:fill="auto"/>
          </w:tcPr>
          <w:p w14:paraId="5EA27E77" w14:textId="77777777" w:rsidR="003C66EB" w:rsidRDefault="003C66EB">
            <w:pPr>
              <w:rPr>
                <w:rFonts w:ascii="宋体"/>
                <w:vanish/>
              </w:rPr>
            </w:pPr>
          </w:p>
        </w:tc>
        <w:tc>
          <w:tcPr>
            <w:tcW w:w="0" w:type="auto"/>
            <w:gridSpan w:val="3"/>
            <w:shd w:val="clear" w:color="auto" w:fill="auto"/>
          </w:tcPr>
          <w:p w14:paraId="5EA27E78" w14:textId="77777777" w:rsidR="003C66EB" w:rsidRDefault="003C66EB">
            <w:pPr>
              <w:rPr>
                <w:rFonts w:ascii="宋体"/>
                <w:vanish/>
              </w:rPr>
            </w:pPr>
          </w:p>
        </w:tc>
        <w:tc>
          <w:tcPr>
            <w:tcW w:w="0" w:type="auto"/>
            <w:gridSpan w:val="3"/>
            <w:shd w:val="clear" w:color="auto" w:fill="auto"/>
          </w:tcPr>
          <w:p w14:paraId="5EA27E79" w14:textId="77777777" w:rsidR="003C66EB" w:rsidRDefault="003C66EB">
            <w:pPr>
              <w:rPr>
                <w:rFonts w:ascii="宋体"/>
                <w:vanish/>
              </w:rPr>
            </w:pPr>
          </w:p>
        </w:tc>
        <w:tc>
          <w:tcPr>
            <w:tcW w:w="0" w:type="auto"/>
            <w:gridSpan w:val="3"/>
            <w:shd w:val="clear" w:color="auto" w:fill="auto"/>
          </w:tcPr>
          <w:p w14:paraId="5EA27E7A" w14:textId="77777777" w:rsidR="003C66EB" w:rsidRDefault="003C66EB">
            <w:pPr>
              <w:rPr>
                <w:rFonts w:ascii="宋体"/>
                <w:vanish/>
              </w:rPr>
            </w:pPr>
          </w:p>
        </w:tc>
        <w:tc>
          <w:tcPr>
            <w:tcW w:w="0" w:type="auto"/>
            <w:gridSpan w:val="3"/>
            <w:shd w:val="clear" w:color="auto" w:fill="auto"/>
          </w:tcPr>
          <w:p w14:paraId="5EA27E7B" w14:textId="77777777" w:rsidR="003C66EB" w:rsidRDefault="003C66EB">
            <w:pPr>
              <w:rPr>
                <w:rFonts w:ascii="宋体"/>
                <w:vanish/>
              </w:rPr>
            </w:pPr>
          </w:p>
        </w:tc>
        <w:tc>
          <w:tcPr>
            <w:tcW w:w="0" w:type="auto"/>
            <w:gridSpan w:val="3"/>
            <w:shd w:val="clear" w:color="auto" w:fill="auto"/>
          </w:tcPr>
          <w:p w14:paraId="5EA27E7C" w14:textId="77777777" w:rsidR="003C66EB" w:rsidRDefault="003C66EB">
            <w:pPr>
              <w:rPr>
                <w:rFonts w:ascii="宋体"/>
                <w:vanish/>
              </w:rPr>
            </w:pPr>
          </w:p>
        </w:tc>
        <w:tc>
          <w:tcPr>
            <w:tcW w:w="0" w:type="auto"/>
            <w:gridSpan w:val="3"/>
            <w:shd w:val="clear" w:color="auto" w:fill="auto"/>
          </w:tcPr>
          <w:p w14:paraId="5EA27E7D" w14:textId="77777777" w:rsidR="003C66EB" w:rsidRDefault="003C66EB">
            <w:pPr>
              <w:rPr>
                <w:rFonts w:ascii="宋体"/>
                <w:vanish/>
              </w:rPr>
            </w:pPr>
          </w:p>
        </w:tc>
        <w:tc>
          <w:tcPr>
            <w:tcW w:w="0" w:type="auto"/>
            <w:gridSpan w:val="3"/>
            <w:shd w:val="clear" w:color="auto" w:fill="auto"/>
          </w:tcPr>
          <w:p w14:paraId="5EA27E7E" w14:textId="77777777" w:rsidR="003C66EB" w:rsidRDefault="003C66EB">
            <w:pPr>
              <w:rPr>
                <w:rFonts w:ascii="宋体"/>
                <w:vanish/>
              </w:rPr>
            </w:pPr>
          </w:p>
        </w:tc>
        <w:tc>
          <w:tcPr>
            <w:tcW w:w="0" w:type="auto"/>
            <w:gridSpan w:val="3"/>
            <w:shd w:val="clear" w:color="auto" w:fill="auto"/>
          </w:tcPr>
          <w:p w14:paraId="5EA27E7F" w14:textId="77777777" w:rsidR="003C66EB" w:rsidRDefault="003C66EB">
            <w:pPr>
              <w:rPr>
                <w:rFonts w:ascii="宋体"/>
                <w:vanish/>
              </w:rPr>
            </w:pPr>
          </w:p>
        </w:tc>
        <w:tc>
          <w:tcPr>
            <w:tcW w:w="0" w:type="auto"/>
            <w:gridSpan w:val="3"/>
            <w:shd w:val="clear" w:color="auto" w:fill="auto"/>
          </w:tcPr>
          <w:p w14:paraId="5EA27E80" w14:textId="77777777" w:rsidR="003C66EB" w:rsidRDefault="003C66EB">
            <w:pPr>
              <w:rPr>
                <w:rFonts w:ascii="宋体"/>
                <w:vanish/>
              </w:rPr>
            </w:pPr>
          </w:p>
        </w:tc>
        <w:tc>
          <w:tcPr>
            <w:tcW w:w="0" w:type="auto"/>
            <w:gridSpan w:val="3"/>
            <w:shd w:val="clear" w:color="auto" w:fill="auto"/>
          </w:tcPr>
          <w:p w14:paraId="5EA27E81" w14:textId="77777777" w:rsidR="003C66EB" w:rsidRDefault="003C66EB">
            <w:pPr>
              <w:rPr>
                <w:rFonts w:ascii="宋体"/>
                <w:vanish/>
              </w:rPr>
            </w:pPr>
          </w:p>
        </w:tc>
        <w:tc>
          <w:tcPr>
            <w:tcW w:w="0" w:type="auto"/>
            <w:gridSpan w:val="3"/>
            <w:shd w:val="clear" w:color="auto" w:fill="auto"/>
          </w:tcPr>
          <w:p w14:paraId="5EA27E82" w14:textId="77777777" w:rsidR="003C66EB" w:rsidRDefault="003C66EB">
            <w:pPr>
              <w:rPr>
                <w:rFonts w:ascii="宋体"/>
                <w:vanish/>
              </w:rPr>
            </w:pPr>
          </w:p>
        </w:tc>
        <w:tc>
          <w:tcPr>
            <w:tcW w:w="0" w:type="auto"/>
            <w:gridSpan w:val="3"/>
            <w:shd w:val="clear" w:color="auto" w:fill="auto"/>
          </w:tcPr>
          <w:p w14:paraId="5EA27E83" w14:textId="77777777" w:rsidR="003C66EB" w:rsidRDefault="003C66EB">
            <w:pPr>
              <w:rPr>
                <w:rFonts w:ascii="宋体"/>
                <w:vanish/>
              </w:rPr>
            </w:pPr>
          </w:p>
        </w:tc>
        <w:tc>
          <w:tcPr>
            <w:tcW w:w="0" w:type="auto"/>
            <w:gridSpan w:val="3"/>
            <w:shd w:val="clear" w:color="auto" w:fill="auto"/>
          </w:tcPr>
          <w:p w14:paraId="5EA27E84" w14:textId="77777777" w:rsidR="003C66EB" w:rsidRDefault="003C66EB">
            <w:pPr>
              <w:rPr>
                <w:rFonts w:ascii="宋体"/>
                <w:vanish/>
              </w:rPr>
            </w:pPr>
          </w:p>
        </w:tc>
      </w:tr>
      <w:tr w:rsidR="003C66EB" w14:paraId="5EA27E9A" w14:textId="77777777">
        <w:trPr>
          <w:hidden/>
        </w:trPr>
        <w:tc>
          <w:tcPr>
            <w:tcW w:w="0" w:type="auto"/>
            <w:gridSpan w:val="3"/>
            <w:shd w:val="clear" w:color="auto" w:fill="auto"/>
          </w:tcPr>
          <w:p w14:paraId="5EA27E86" w14:textId="77777777" w:rsidR="003C66EB" w:rsidRDefault="003C66EB">
            <w:pPr>
              <w:rPr>
                <w:rFonts w:ascii="宋体"/>
                <w:vanish/>
              </w:rPr>
            </w:pPr>
          </w:p>
        </w:tc>
        <w:tc>
          <w:tcPr>
            <w:tcW w:w="0" w:type="auto"/>
            <w:gridSpan w:val="3"/>
            <w:shd w:val="clear" w:color="auto" w:fill="auto"/>
          </w:tcPr>
          <w:p w14:paraId="5EA27E87" w14:textId="77777777" w:rsidR="003C66EB" w:rsidRDefault="003C66EB">
            <w:pPr>
              <w:rPr>
                <w:rFonts w:ascii="宋体"/>
                <w:vanish/>
              </w:rPr>
            </w:pPr>
          </w:p>
        </w:tc>
        <w:tc>
          <w:tcPr>
            <w:tcW w:w="0" w:type="auto"/>
            <w:gridSpan w:val="3"/>
            <w:shd w:val="clear" w:color="auto" w:fill="auto"/>
          </w:tcPr>
          <w:p w14:paraId="5EA27E88" w14:textId="77777777" w:rsidR="003C66EB" w:rsidRDefault="003C66EB">
            <w:pPr>
              <w:rPr>
                <w:rFonts w:ascii="宋体"/>
                <w:vanish/>
              </w:rPr>
            </w:pPr>
          </w:p>
        </w:tc>
        <w:tc>
          <w:tcPr>
            <w:tcW w:w="0" w:type="auto"/>
            <w:gridSpan w:val="3"/>
            <w:shd w:val="clear" w:color="auto" w:fill="auto"/>
          </w:tcPr>
          <w:p w14:paraId="5EA27E89" w14:textId="77777777" w:rsidR="003C66EB" w:rsidRDefault="003C66EB">
            <w:pPr>
              <w:rPr>
                <w:rFonts w:ascii="宋体"/>
                <w:vanish/>
              </w:rPr>
            </w:pPr>
          </w:p>
        </w:tc>
        <w:tc>
          <w:tcPr>
            <w:tcW w:w="0" w:type="auto"/>
            <w:gridSpan w:val="3"/>
            <w:shd w:val="clear" w:color="auto" w:fill="auto"/>
          </w:tcPr>
          <w:p w14:paraId="5EA27E8A" w14:textId="77777777" w:rsidR="003C66EB" w:rsidRDefault="003C66EB">
            <w:pPr>
              <w:rPr>
                <w:rFonts w:ascii="宋体"/>
                <w:vanish/>
              </w:rPr>
            </w:pPr>
          </w:p>
        </w:tc>
        <w:tc>
          <w:tcPr>
            <w:tcW w:w="0" w:type="auto"/>
            <w:gridSpan w:val="3"/>
            <w:shd w:val="clear" w:color="auto" w:fill="auto"/>
          </w:tcPr>
          <w:p w14:paraId="5EA27E8B" w14:textId="77777777" w:rsidR="003C66EB" w:rsidRDefault="003C66EB">
            <w:pPr>
              <w:rPr>
                <w:rFonts w:ascii="宋体"/>
                <w:vanish/>
              </w:rPr>
            </w:pPr>
          </w:p>
        </w:tc>
        <w:tc>
          <w:tcPr>
            <w:tcW w:w="0" w:type="auto"/>
            <w:gridSpan w:val="3"/>
            <w:shd w:val="clear" w:color="auto" w:fill="auto"/>
          </w:tcPr>
          <w:p w14:paraId="5EA27E8C" w14:textId="77777777" w:rsidR="003C66EB" w:rsidRDefault="003C66EB">
            <w:pPr>
              <w:rPr>
                <w:rFonts w:ascii="宋体"/>
                <w:vanish/>
              </w:rPr>
            </w:pPr>
          </w:p>
        </w:tc>
        <w:tc>
          <w:tcPr>
            <w:tcW w:w="0" w:type="auto"/>
            <w:gridSpan w:val="3"/>
            <w:shd w:val="clear" w:color="auto" w:fill="auto"/>
          </w:tcPr>
          <w:p w14:paraId="5EA27E8D" w14:textId="77777777" w:rsidR="003C66EB" w:rsidRDefault="003C66EB">
            <w:pPr>
              <w:rPr>
                <w:rFonts w:ascii="宋体"/>
                <w:vanish/>
              </w:rPr>
            </w:pPr>
          </w:p>
        </w:tc>
        <w:tc>
          <w:tcPr>
            <w:tcW w:w="0" w:type="auto"/>
            <w:gridSpan w:val="3"/>
            <w:shd w:val="clear" w:color="auto" w:fill="auto"/>
          </w:tcPr>
          <w:p w14:paraId="5EA27E8E" w14:textId="77777777" w:rsidR="003C66EB" w:rsidRDefault="003C66EB">
            <w:pPr>
              <w:rPr>
                <w:rFonts w:ascii="宋体"/>
                <w:vanish/>
              </w:rPr>
            </w:pPr>
          </w:p>
        </w:tc>
        <w:tc>
          <w:tcPr>
            <w:tcW w:w="0" w:type="auto"/>
            <w:gridSpan w:val="3"/>
            <w:shd w:val="clear" w:color="auto" w:fill="auto"/>
          </w:tcPr>
          <w:p w14:paraId="5EA27E8F" w14:textId="77777777" w:rsidR="003C66EB" w:rsidRDefault="003C66EB">
            <w:pPr>
              <w:rPr>
                <w:rFonts w:ascii="宋体"/>
                <w:vanish/>
              </w:rPr>
            </w:pPr>
          </w:p>
        </w:tc>
        <w:tc>
          <w:tcPr>
            <w:tcW w:w="0" w:type="auto"/>
            <w:gridSpan w:val="3"/>
            <w:shd w:val="clear" w:color="auto" w:fill="auto"/>
          </w:tcPr>
          <w:p w14:paraId="5EA27E90" w14:textId="77777777" w:rsidR="003C66EB" w:rsidRDefault="003C66EB">
            <w:pPr>
              <w:rPr>
                <w:rFonts w:ascii="宋体"/>
                <w:vanish/>
              </w:rPr>
            </w:pPr>
          </w:p>
        </w:tc>
        <w:tc>
          <w:tcPr>
            <w:tcW w:w="0" w:type="auto"/>
            <w:gridSpan w:val="3"/>
            <w:shd w:val="clear" w:color="auto" w:fill="auto"/>
          </w:tcPr>
          <w:p w14:paraId="5EA27E91" w14:textId="77777777" w:rsidR="003C66EB" w:rsidRDefault="003C66EB">
            <w:pPr>
              <w:rPr>
                <w:rFonts w:ascii="宋体"/>
                <w:vanish/>
              </w:rPr>
            </w:pPr>
          </w:p>
        </w:tc>
        <w:tc>
          <w:tcPr>
            <w:tcW w:w="0" w:type="auto"/>
            <w:gridSpan w:val="3"/>
            <w:shd w:val="clear" w:color="auto" w:fill="auto"/>
          </w:tcPr>
          <w:p w14:paraId="5EA27E92" w14:textId="77777777" w:rsidR="003C66EB" w:rsidRDefault="003C66EB">
            <w:pPr>
              <w:rPr>
                <w:rFonts w:ascii="宋体"/>
                <w:vanish/>
              </w:rPr>
            </w:pPr>
          </w:p>
        </w:tc>
        <w:tc>
          <w:tcPr>
            <w:tcW w:w="0" w:type="auto"/>
            <w:gridSpan w:val="3"/>
            <w:shd w:val="clear" w:color="auto" w:fill="auto"/>
          </w:tcPr>
          <w:p w14:paraId="5EA27E93" w14:textId="77777777" w:rsidR="003C66EB" w:rsidRDefault="003C66EB">
            <w:pPr>
              <w:rPr>
                <w:rFonts w:ascii="宋体"/>
                <w:vanish/>
              </w:rPr>
            </w:pPr>
          </w:p>
        </w:tc>
        <w:tc>
          <w:tcPr>
            <w:tcW w:w="0" w:type="auto"/>
            <w:gridSpan w:val="3"/>
            <w:shd w:val="clear" w:color="auto" w:fill="auto"/>
          </w:tcPr>
          <w:p w14:paraId="5EA27E94" w14:textId="77777777" w:rsidR="003C66EB" w:rsidRDefault="003C66EB">
            <w:pPr>
              <w:rPr>
                <w:rFonts w:ascii="宋体"/>
                <w:vanish/>
              </w:rPr>
            </w:pPr>
          </w:p>
        </w:tc>
        <w:tc>
          <w:tcPr>
            <w:tcW w:w="0" w:type="auto"/>
            <w:gridSpan w:val="3"/>
            <w:shd w:val="clear" w:color="auto" w:fill="auto"/>
          </w:tcPr>
          <w:p w14:paraId="5EA27E95" w14:textId="77777777" w:rsidR="003C66EB" w:rsidRDefault="003C66EB">
            <w:pPr>
              <w:rPr>
                <w:rFonts w:ascii="宋体"/>
                <w:vanish/>
              </w:rPr>
            </w:pPr>
          </w:p>
        </w:tc>
        <w:tc>
          <w:tcPr>
            <w:tcW w:w="0" w:type="auto"/>
            <w:gridSpan w:val="3"/>
            <w:shd w:val="clear" w:color="auto" w:fill="auto"/>
          </w:tcPr>
          <w:p w14:paraId="5EA27E96" w14:textId="77777777" w:rsidR="003C66EB" w:rsidRDefault="003C66EB">
            <w:pPr>
              <w:rPr>
                <w:rFonts w:ascii="宋体"/>
                <w:vanish/>
              </w:rPr>
            </w:pPr>
          </w:p>
        </w:tc>
        <w:tc>
          <w:tcPr>
            <w:tcW w:w="0" w:type="auto"/>
            <w:gridSpan w:val="3"/>
            <w:shd w:val="clear" w:color="auto" w:fill="auto"/>
          </w:tcPr>
          <w:p w14:paraId="5EA27E97" w14:textId="77777777" w:rsidR="003C66EB" w:rsidRDefault="003C66EB">
            <w:pPr>
              <w:rPr>
                <w:rFonts w:ascii="宋体"/>
                <w:vanish/>
              </w:rPr>
            </w:pPr>
          </w:p>
        </w:tc>
        <w:tc>
          <w:tcPr>
            <w:tcW w:w="0" w:type="auto"/>
            <w:gridSpan w:val="3"/>
            <w:shd w:val="clear" w:color="auto" w:fill="auto"/>
          </w:tcPr>
          <w:p w14:paraId="5EA27E98" w14:textId="77777777" w:rsidR="003C66EB" w:rsidRDefault="003C66EB">
            <w:pPr>
              <w:rPr>
                <w:rFonts w:ascii="宋体"/>
                <w:vanish/>
              </w:rPr>
            </w:pPr>
          </w:p>
        </w:tc>
        <w:tc>
          <w:tcPr>
            <w:tcW w:w="0" w:type="auto"/>
            <w:gridSpan w:val="3"/>
            <w:shd w:val="clear" w:color="auto" w:fill="auto"/>
          </w:tcPr>
          <w:p w14:paraId="5EA27E99" w14:textId="77777777" w:rsidR="003C66EB" w:rsidRDefault="003C66EB">
            <w:pPr>
              <w:rPr>
                <w:rFonts w:ascii="宋体"/>
                <w:vanish/>
              </w:rPr>
            </w:pPr>
          </w:p>
        </w:tc>
      </w:tr>
      <w:tr w:rsidR="003C66EB" w14:paraId="5EA27ED3" w14:textId="77777777">
        <w:trPr>
          <w:hidden/>
        </w:trPr>
        <w:tc>
          <w:tcPr>
            <w:tcW w:w="0" w:type="auto"/>
            <w:gridSpan w:val="3"/>
            <w:shd w:val="clear" w:color="auto" w:fill="auto"/>
          </w:tcPr>
          <w:p w14:paraId="5EA27E9B" w14:textId="77777777" w:rsidR="003C66EB" w:rsidRDefault="003C66EB">
            <w:pPr>
              <w:rPr>
                <w:rFonts w:ascii="宋体"/>
                <w:vanish/>
              </w:rPr>
            </w:pPr>
          </w:p>
        </w:tc>
        <w:tc>
          <w:tcPr>
            <w:tcW w:w="0" w:type="auto"/>
            <w:gridSpan w:val="3"/>
            <w:shd w:val="clear" w:color="auto" w:fill="auto"/>
          </w:tcPr>
          <w:p w14:paraId="5EA27E9C" w14:textId="77777777" w:rsidR="003C66EB" w:rsidRDefault="003C66EB">
            <w:pPr>
              <w:rPr>
                <w:rFonts w:ascii="宋体"/>
                <w:vanish/>
              </w:rPr>
            </w:pPr>
          </w:p>
        </w:tc>
        <w:tc>
          <w:tcPr>
            <w:tcW w:w="0" w:type="auto"/>
            <w:shd w:val="clear" w:color="auto" w:fill="auto"/>
          </w:tcPr>
          <w:p w14:paraId="5EA27E9D" w14:textId="77777777" w:rsidR="003C66EB" w:rsidRDefault="003C66EB">
            <w:pPr>
              <w:rPr>
                <w:rFonts w:ascii="宋体"/>
              </w:rPr>
            </w:pPr>
          </w:p>
        </w:tc>
        <w:tc>
          <w:tcPr>
            <w:tcW w:w="0" w:type="auto"/>
            <w:shd w:val="clear" w:color="auto" w:fill="auto"/>
          </w:tcPr>
          <w:p w14:paraId="5EA27E9E" w14:textId="77777777" w:rsidR="003C66EB" w:rsidRDefault="003C66EB">
            <w:pPr>
              <w:rPr>
                <w:rFonts w:ascii="宋体"/>
              </w:rPr>
            </w:pPr>
          </w:p>
        </w:tc>
        <w:tc>
          <w:tcPr>
            <w:tcW w:w="0" w:type="auto"/>
            <w:shd w:val="clear" w:color="auto" w:fill="auto"/>
          </w:tcPr>
          <w:p w14:paraId="5EA27E9F" w14:textId="77777777" w:rsidR="003C66EB" w:rsidRDefault="003C66EB">
            <w:pPr>
              <w:rPr>
                <w:rFonts w:ascii="宋体"/>
              </w:rPr>
            </w:pPr>
          </w:p>
        </w:tc>
        <w:tc>
          <w:tcPr>
            <w:tcW w:w="0" w:type="auto"/>
            <w:shd w:val="clear" w:color="auto" w:fill="auto"/>
          </w:tcPr>
          <w:p w14:paraId="5EA27EA0" w14:textId="77777777" w:rsidR="003C66EB" w:rsidRDefault="003C66EB">
            <w:pPr>
              <w:rPr>
                <w:rFonts w:ascii="宋体"/>
              </w:rPr>
            </w:pPr>
          </w:p>
        </w:tc>
        <w:tc>
          <w:tcPr>
            <w:tcW w:w="0" w:type="auto"/>
            <w:shd w:val="clear" w:color="auto" w:fill="auto"/>
          </w:tcPr>
          <w:p w14:paraId="5EA27EA1" w14:textId="77777777" w:rsidR="003C66EB" w:rsidRDefault="003C66EB">
            <w:pPr>
              <w:rPr>
                <w:rFonts w:ascii="宋体"/>
              </w:rPr>
            </w:pPr>
          </w:p>
        </w:tc>
        <w:tc>
          <w:tcPr>
            <w:tcW w:w="0" w:type="auto"/>
            <w:shd w:val="clear" w:color="auto" w:fill="auto"/>
          </w:tcPr>
          <w:p w14:paraId="5EA27EA2" w14:textId="77777777" w:rsidR="003C66EB" w:rsidRDefault="003C66EB">
            <w:pPr>
              <w:rPr>
                <w:rFonts w:ascii="宋体"/>
              </w:rPr>
            </w:pPr>
          </w:p>
        </w:tc>
        <w:tc>
          <w:tcPr>
            <w:tcW w:w="0" w:type="auto"/>
            <w:shd w:val="clear" w:color="auto" w:fill="auto"/>
          </w:tcPr>
          <w:p w14:paraId="5EA27EA3" w14:textId="77777777" w:rsidR="003C66EB" w:rsidRDefault="003C66EB">
            <w:pPr>
              <w:rPr>
                <w:rFonts w:ascii="宋体"/>
              </w:rPr>
            </w:pPr>
          </w:p>
        </w:tc>
        <w:tc>
          <w:tcPr>
            <w:tcW w:w="0" w:type="auto"/>
            <w:shd w:val="clear" w:color="auto" w:fill="auto"/>
          </w:tcPr>
          <w:p w14:paraId="5EA27EA4" w14:textId="77777777" w:rsidR="003C66EB" w:rsidRDefault="003C66EB">
            <w:pPr>
              <w:rPr>
                <w:rFonts w:ascii="宋体"/>
              </w:rPr>
            </w:pPr>
          </w:p>
        </w:tc>
        <w:tc>
          <w:tcPr>
            <w:tcW w:w="0" w:type="auto"/>
            <w:shd w:val="clear" w:color="auto" w:fill="auto"/>
          </w:tcPr>
          <w:p w14:paraId="5EA27EA5" w14:textId="77777777" w:rsidR="003C66EB" w:rsidRDefault="003C66EB">
            <w:pPr>
              <w:rPr>
                <w:rFonts w:ascii="宋体"/>
              </w:rPr>
            </w:pPr>
          </w:p>
        </w:tc>
        <w:tc>
          <w:tcPr>
            <w:tcW w:w="0" w:type="auto"/>
            <w:shd w:val="clear" w:color="auto" w:fill="auto"/>
          </w:tcPr>
          <w:p w14:paraId="5EA27EA6" w14:textId="77777777" w:rsidR="003C66EB" w:rsidRDefault="003C66EB">
            <w:pPr>
              <w:rPr>
                <w:rFonts w:ascii="宋体"/>
              </w:rPr>
            </w:pPr>
          </w:p>
        </w:tc>
        <w:tc>
          <w:tcPr>
            <w:tcW w:w="0" w:type="auto"/>
            <w:shd w:val="clear" w:color="auto" w:fill="auto"/>
          </w:tcPr>
          <w:p w14:paraId="5EA27EA7" w14:textId="77777777" w:rsidR="003C66EB" w:rsidRDefault="003C66EB">
            <w:pPr>
              <w:rPr>
                <w:rFonts w:ascii="宋体"/>
              </w:rPr>
            </w:pPr>
          </w:p>
        </w:tc>
        <w:tc>
          <w:tcPr>
            <w:tcW w:w="0" w:type="auto"/>
            <w:shd w:val="clear" w:color="auto" w:fill="auto"/>
          </w:tcPr>
          <w:p w14:paraId="5EA27EA8" w14:textId="77777777" w:rsidR="003C66EB" w:rsidRDefault="003C66EB">
            <w:pPr>
              <w:rPr>
                <w:rFonts w:ascii="宋体"/>
              </w:rPr>
            </w:pPr>
          </w:p>
        </w:tc>
        <w:tc>
          <w:tcPr>
            <w:tcW w:w="0" w:type="auto"/>
            <w:shd w:val="clear" w:color="auto" w:fill="auto"/>
          </w:tcPr>
          <w:p w14:paraId="5EA27EA9" w14:textId="77777777" w:rsidR="003C66EB" w:rsidRDefault="003C66EB">
            <w:pPr>
              <w:rPr>
                <w:rFonts w:ascii="宋体"/>
              </w:rPr>
            </w:pPr>
          </w:p>
        </w:tc>
        <w:tc>
          <w:tcPr>
            <w:tcW w:w="0" w:type="auto"/>
            <w:shd w:val="clear" w:color="auto" w:fill="auto"/>
          </w:tcPr>
          <w:p w14:paraId="5EA27EAA" w14:textId="77777777" w:rsidR="003C66EB" w:rsidRDefault="003C66EB">
            <w:pPr>
              <w:rPr>
                <w:rFonts w:ascii="宋体"/>
              </w:rPr>
            </w:pPr>
          </w:p>
        </w:tc>
        <w:tc>
          <w:tcPr>
            <w:tcW w:w="0" w:type="auto"/>
            <w:shd w:val="clear" w:color="auto" w:fill="auto"/>
          </w:tcPr>
          <w:p w14:paraId="5EA27EAB" w14:textId="77777777" w:rsidR="003C66EB" w:rsidRDefault="003C66EB">
            <w:pPr>
              <w:rPr>
                <w:rFonts w:ascii="宋体"/>
              </w:rPr>
            </w:pPr>
          </w:p>
        </w:tc>
        <w:tc>
          <w:tcPr>
            <w:tcW w:w="0" w:type="auto"/>
            <w:shd w:val="clear" w:color="auto" w:fill="auto"/>
          </w:tcPr>
          <w:p w14:paraId="5EA27EAC" w14:textId="77777777" w:rsidR="003C66EB" w:rsidRDefault="003C66EB">
            <w:pPr>
              <w:rPr>
                <w:rFonts w:ascii="宋体"/>
              </w:rPr>
            </w:pPr>
          </w:p>
        </w:tc>
        <w:tc>
          <w:tcPr>
            <w:tcW w:w="0" w:type="auto"/>
            <w:shd w:val="clear" w:color="auto" w:fill="auto"/>
          </w:tcPr>
          <w:p w14:paraId="5EA27EAD" w14:textId="77777777" w:rsidR="003C66EB" w:rsidRDefault="003C66EB">
            <w:pPr>
              <w:rPr>
                <w:rFonts w:ascii="宋体"/>
              </w:rPr>
            </w:pPr>
          </w:p>
        </w:tc>
        <w:tc>
          <w:tcPr>
            <w:tcW w:w="0" w:type="auto"/>
            <w:shd w:val="clear" w:color="auto" w:fill="auto"/>
          </w:tcPr>
          <w:p w14:paraId="5EA27EAE" w14:textId="77777777" w:rsidR="003C66EB" w:rsidRDefault="003C66EB">
            <w:pPr>
              <w:rPr>
                <w:rFonts w:ascii="宋体"/>
              </w:rPr>
            </w:pPr>
          </w:p>
        </w:tc>
        <w:tc>
          <w:tcPr>
            <w:tcW w:w="0" w:type="auto"/>
            <w:shd w:val="clear" w:color="auto" w:fill="auto"/>
          </w:tcPr>
          <w:p w14:paraId="5EA27EAF" w14:textId="77777777" w:rsidR="003C66EB" w:rsidRDefault="003C66EB">
            <w:pPr>
              <w:rPr>
                <w:rFonts w:ascii="宋体"/>
              </w:rPr>
            </w:pPr>
          </w:p>
        </w:tc>
        <w:tc>
          <w:tcPr>
            <w:tcW w:w="0" w:type="auto"/>
            <w:shd w:val="clear" w:color="auto" w:fill="auto"/>
          </w:tcPr>
          <w:p w14:paraId="5EA27EB0" w14:textId="77777777" w:rsidR="003C66EB" w:rsidRDefault="003C66EB">
            <w:pPr>
              <w:rPr>
                <w:rFonts w:ascii="宋体"/>
              </w:rPr>
            </w:pPr>
          </w:p>
        </w:tc>
        <w:tc>
          <w:tcPr>
            <w:tcW w:w="0" w:type="auto"/>
            <w:shd w:val="clear" w:color="auto" w:fill="auto"/>
          </w:tcPr>
          <w:p w14:paraId="5EA27EB1" w14:textId="77777777" w:rsidR="003C66EB" w:rsidRDefault="003C66EB">
            <w:pPr>
              <w:rPr>
                <w:rFonts w:ascii="宋体"/>
              </w:rPr>
            </w:pPr>
          </w:p>
        </w:tc>
        <w:tc>
          <w:tcPr>
            <w:tcW w:w="0" w:type="auto"/>
            <w:shd w:val="clear" w:color="auto" w:fill="auto"/>
          </w:tcPr>
          <w:p w14:paraId="5EA27EB2" w14:textId="77777777" w:rsidR="003C66EB" w:rsidRDefault="003C66EB">
            <w:pPr>
              <w:rPr>
                <w:rFonts w:ascii="宋体"/>
              </w:rPr>
            </w:pPr>
          </w:p>
        </w:tc>
        <w:tc>
          <w:tcPr>
            <w:tcW w:w="0" w:type="auto"/>
            <w:shd w:val="clear" w:color="auto" w:fill="auto"/>
          </w:tcPr>
          <w:p w14:paraId="5EA27EB3" w14:textId="77777777" w:rsidR="003C66EB" w:rsidRDefault="003C66EB">
            <w:pPr>
              <w:rPr>
                <w:rFonts w:ascii="宋体"/>
              </w:rPr>
            </w:pPr>
          </w:p>
        </w:tc>
        <w:tc>
          <w:tcPr>
            <w:tcW w:w="0" w:type="auto"/>
            <w:shd w:val="clear" w:color="auto" w:fill="auto"/>
          </w:tcPr>
          <w:p w14:paraId="5EA27EB4" w14:textId="77777777" w:rsidR="003C66EB" w:rsidRDefault="003C66EB">
            <w:pPr>
              <w:rPr>
                <w:rFonts w:ascii="宋体"/>
              </w:rPr>
            </w:pPr>
          </w:p>
        </w:tc>
        <w:tc>
          <w:tcPr>
            <w:tcW w:w="0" w:type="auto"/>
            <w:shd w:val="clear" w:color="auto" w:fill="auto"/>
          </w:tcPr>
          <w:p w14:paraId="5EA27EB5" w14:textId="77777777" w:rsidR="003C66EB" w:rsidRDefault="003C66EB">
            <w:pPr>
              <w:rPr>
                <w:rFonts w:ascii="宋体"/>
              </w:rPr>
            </w:pPr>
          </w:p>
        </w:tc>
        <w:tc>
          <w:tcPr>
            <w:tcW w:w="0" w:type="auto"/>
            <w:shd w:val="clear" w:color="auto" w:fill="auto"/>
          </w:tcPr>
          <w:p w14:paraId="5EA27EB6" w14:textId="77777777" w:rsidR="003C66EB" w:rsidRDefault="003C66EB">
            <w:pPr>
              <w:rPr>
                <w:rFonts w:ascii="宋体"/>
              </w:rPr>
            </w:pPr>
          </w:p>
        </w:tc>
        <w:tc>
          <w:tcPr>
            <w:tcW w:w="0" w:type="auto"/>
            <w:shd w:val="clear" w:color="auto" w:fill="auto"/>
          </w:tcPr>
          <w:p w14:paraId="5EA27EB7" w14:textId="77777777" w:rsidR="003C66EB" w:rsidRDefault="003C66EB">
            <w:pPr>
              <w:rPr>
                <w:rFonts w:ascii="宋体"/>
              </w:rPr>
            </w:pPr>
          </w:p>
        </w:tc>
        <w:tc>
          <w:tcPr>
            <w:tcW w:w="0" w:type="auto"/>
            <w:shd w:val="clear" w:color="auto" w:fill="auto"/>
          </w:tcPr>
          <w:p w14:paraId="5EA27EB8" w14:textId="77777777" w:rsidR="003C66EB" w:rsidRDefault="003C66EB">
            <w:pPr>
              <w:rPr>
                <w:rFonts w:ascii="宋体"/>
              </w:rPr>
            </w:pPr>
          </w:p>
        </w:tc>
        <w:tc>
          <w:tcPr>
            <w:tcW w:w="0" w:type="auto"/>
            <w:shd w:val="clear" w:color="auto" w:fill="auto"/>
          </w:tcPr>
          <w:p w14:paraId="5EA27EB9" w14:textId="77777777" w:rsidR="003C66EB" w:rsidRDefault="003C66EB">
            <w:pPr>
              <w:rPr>
                <w:rFonts w:ascii="宋体"/>
              </w:rPr>
            </w:pPr>
          </w:p>
        </w:tc>
        <w:tc>
          <w:tcPr>
            <w:tcW w:w="0" w:type="auto"/>
            <w:shd w:val="clear" w:color="auto" w:fill="auto"/>
          </w:tcPr>
          <w:p w14:paraId="5EA27EBA" w14:textId="77777777" w:rsidR="003C66EB" w:rsidRDefault="003C66EB">
            <w:pPr>
              <w:rPr>
                <w:rFonts w:ascii="宋体"/>
              </w:rPr>
            </w:pPr>
          </w:p>
        </w:tc>
        <w:tc>
          <w:tcPr>
            <w:tcW w:w="0" w:type="auto"/>
            <w:shd w:val="clear" w:color="auto" w:fill="auto"/>
          </w:tcPr>
          <w:p w14:paraId="5EA27EBB" w14:textId="77777777" w:rsidR="003C66EB" w:rsidRDefault="003C66EB">
            <w:pPr>
              <w:rPr>
                <w:rFonts w:ascii="宋体"/>
              </w:rPr>
            </w:pPr>
          </w:p>
        </w:tc>
        <w:tc>
          <w:tcPr>
            <w:tcW w:w="0" w:type="auto"/>
            <w:shd w:val="clear" w:color="auto" w:fill="auto"/>
          </w:tcPr>
          <w:p w14:paraId="5EA27EBC" w14:textId="77777777" w:rsidR="003C66EB" w:rsidRDefault="003C66EB">
            <w:pPr>
              <w:rPr>
                <w:rFonts w:ascii="宋体"/>
              </w:rPr>
            </w:pPr>
          </w:p>
        </w:tc>
        <w:tc>
          <w:tcPr>
            <w:tcW w:w="0" w:type="auto"/>
            <w:shd w:val="clear" w:color="auto" w:fill="auto"/>
          </w:tcPr>
          <w:p w14:paraId="5EA27EBD" w14:textId="77777777" w:rsidR="003C66EB" w:rsidRDefault="003C66EB">
            <w:pPr>
              <w:rPr>
                <w:rFonts w:ascii="宋体"/>
              </w:rPr>
            </w:pPr>
          </w:p>
        </w:tc>
        <w:tc>
          <w:tcPr>
            <w:tcW w:w="0" w:type="auto"/>
            <w:shd w:val="clear" w:color="auto" w:fill="auto"/>
          </w:tcPr>
          <w:p w14:paraId="5EA27EBE" w14:textId="77777777" w:rsidR="003C66EB" w:rsidRDefault="003C66EB">
            <w:pPr>
              <w:rPr>
                <w:rFonts w:ascii="宋体"/>
              </w:rPr>
            </w:pPr>
          </w:p>
        </w:tc>
        <w:tc>
          <w:tcPr>
            <w:tcW w:w="0" w:type="auto"/>
            <w:shd w:val="clear" w:color="auto" w:fill="auto"/>
          </w:tcPr>
          <w:p w14:paraId="5EA27EBF" w14:textId="77777777" w:rsidR="003C66EB" w:rsidRDefault="003C66EB">
            <w:pPr>
              <w:rPr>
                <w:rFonts w:ascii="宋体"/>
              </w:rPr>
            </w:pPr>
          </w:p>
        </w:tc>
        <w:tc>
          <w:tcPr>
            <w:tcW w:w="0" w:type="auto"/>
            <w:shd w:val="clear" w:color="auto" w:fill="auto"/>
          </w:tcPr>
          <w:p w14:paraId="5EA27EC0" w14:textId="77777777" w:rsidR="003C66EB" w:rsidRDefault="003C66EB">
            <w:pPr>
              <w:rPr>
                <w:rFonts w:ascii="宋体"/>
              </w:rPr>
            </w:pPr>
          </w:p>
        </w:tc>
        <w:tc>
          <w:tcPr>
            <w:tcW w:w="0" w:type="auto"/>
            <w:shd w:val="clear" w:color="auto" w:fill="auto"/>
          </w:tcPr>
          <w:p w14:paraId="5EA27EC1" w14:textId="77777777" w:rsidR="003C66EB" w:rsidRDefault="003C66EB">
            <w:pPr>
              <w:rPr>
                <w:rFonts w:ascii="宋体"/>
              </w:rPr>
            </w:pPr>
          </w:p>
        </w:tc>
        <w:tc>
          <w:tcPr>
            <w:tcW w:w="0" w:type="auto"/>
            <w:shd w:val="clear" w:color="auto" w:fill="auto"/>
          </w:tcPr>
          <w:p w14:paraId="5EA27EC2" w14:textId="77777777" w:rsidR="003C66EB" w:rsidRDefault="003C66EB">
            <w:pPr>
              <w:rPr>
                <w:rFonts w:ascii="宋体"/>
              </w:rPr>
            </w:pPr>
          </w:p>
        </w:tc>
        <w:tc>
          <w:tcPr>
            <w:tcW w:w="0" w:type="auto"/>
            <w:shd w:val="clear" w:color="auto" w:fill="auto"/>
          </w:tcPr>
          <w:p w14:paraId="5EA27EC3" w14:textId="77777777" w:rsidR="003C66EB" w:rsidRDefault="003C66EB">
            <w:pPr>
              <w:rPr>
                <w:rFonts w:ascii="宋体"/>
              </w:rPr>
            </w:pPr>
          </w:p>
        </w:tc>
        <w:tc>
          <w:tcPr>
            <w:tcW w:w="0" w:type="auto"/>
            <w:shd w:val="clear" w:color="auto" w:fill="auto"/>
          </w:tcPr>
          <w:p w14:paraId="5EA27EC4" w14:textId="77777777" w:rsidR="003C66EB" w:rsidRDefault="003C66EB">
            <w:pPr>
              <w:rPr>
                <w:rFonts w:ascii="宋体"/>
              </w:rPr>
            </w:pPr>
          </w:p>
        </w:tc>
        <w:tc>
          <w:tcPr>
            <w:tcW w:w="0" w:type="auto"/>
            <w:shd w:val="clear" w:color="auto" w:fill="auto"/>
          </w:tcPr>
          <w:p w14:paraId="5EA27EC5" w14:textId="77777777" w:rsidR="003C66EB" w:rsidRDefault="003C66EB">
            <w:pPr>
              <w:rPr>
                <w:rFonts w:ascii="宋体"/>
              </w:rPr>
            </w:pPr>
          </w:p>
        </w:tc>
        <w:tc>
          <w:tcPr>
            <w:tcW w:w="0" w:type="auto"/>
            <w:shd w:val="clear" w:color="auto" w:fill="auto"/>
          </w:tcPr>
          <w:p w14:paraId="5EA27EC6" w14:textId="77777777" w:rsidR="003C66EB" w:rsidRDefault="003C66EB">
            <w:pPr>
              <w:rPr>
                <w:rFonts w:ascii="宋体"/>
              </w:rPr>
            </w:pPr>
          </w:p>
        </w:tc>
        <w:tc>
          <w:tcPr>
            <w:tcW w:w="0" w:type="auto"/>
            <w:shd w:val="clear" w:color="auto" w:fill="auto"/>
          </w:tcPr>
          <w:p w14:paraId="5EA27EC7" w14:textId="77777777" w:rsidR="003C66EB" w:rsidRDefault="003C66EB">
            <w:pPr>
              <w:rPr>
                <w:rFonts w:ascii="宋体"/>
              </w:rPr>
            </w:pPr>
          </w:p>
        </w:tc>
        <w:tc>
          <w:tcPr>
            <w:tcW w:w="0" w:type="auto"/>
            <w:shd w:val="clear" w:color="auto" w:fill="auto"/>
          </w:tcPr>
          <w:p w14:paraId="5EA27EC8" w14:textId="77777777" w:rsidR="003C66EB" w:rsidRDefault="003C66EB">
            <w:pPr>
              <w:rPr>
                <w:rFonts w:ascii="宋体"/>
              </w:rPr>
            </w:pPr>
          </w:p>
        </w:tc>
        <w:tc>
          <w:tcPr>
            <w:tcW w:w="0" w:type="auto"/>
            <w:shd w:val="clear" w:color="auto" w:fill="auto"/>
          </w:tcPr>
          <w:p w14:paraId="5EA27EC9" w14:textId="77777777" w:rsidR="003C66EB" w:rsidRDefault="003C66EB">
            <w:pPr>
              <w:rPr>
                <w:rFonts w:ascii="宋体"/>
              </w:rPr>
            </w:pPr>
          </w:p>
        </w:tc>
        <w:tc>
          <w:tcPr>
            <w:tcW w:w="0" w:type="auto"/>
            <w:shd w:val="clear" w:color="auto" w:fill="auto"/>
          </w:tcPr>
          <w:p w14:paraId="5EA27ECA" w14:textId="77777777" w:rsidR="003C66EB" w:rsidRDefault="003C66EB">
            <w:pPr>
              <w:rPr>
                <w:rFonts w:ascii="宋体"/>
              </w:rPr>
            </w:pPr>
          </w:p>
        </w:tc>
        <w:tc>
          <w:tcPr>
            <w:tcW w:w="0" w:type="auto"/>
            <w:shd w:val="clear" w:color="auto" w:fill="auto"/>
          </w:tcPr>
          <w:p w14:paraId="5EA27ECB" w14:textId="77777777" w:rsidR="003C66EB" w:rsidRDefault="003C66EB">
            <w:pPr>
              <w:rPr>
                <w:rFonts w:ascii="宋体"/>
              </w:rPr>
            </w:pPr>
          </w:p>
        </w:tc>
        <w:tc>
          <w:tcPr>
            <w:tcW w:w="0" w:type="auto"/>
            <w:shd w:val="clear" w:color="auto" w:fill="auto"/>
          </w:tcPr>
          <w:p w14:paraId="5EA27ECC" w14:textId="77777777" w:rsidR="003C66EB" w:rsidRDefault="003C66EB">
            <w:pPr>
              <w:rPr>
                <w:rFonts w:ascii="宋体"/>
              </w:rPr>
            </w:pPr>
          </w:p>
        </w:tc>
        <w:tc>
          <w:tcPr>
            <w:tcW w:w="0" w:type="auto"/>
            <w:shd w:val="clear" w:color="auto" w:fill="auto"/>
          </w:tcPr>
          <w:p w14:paraId="5EA27ECD" w14:textId="77777777" w:rsidR="003C66EB" w:rsidRDefault="003C66EB">
            <w:pPr>
              <w:rPr>
                <w:rFonts w:ascii="宋体"/>
              </w:rPr>
            </w:pPr>
          </w:p>
        </w:tc>
        <w:tc>
          <w:tcPr>
            <w:tcW w:w="0" w:type="auto"/>
            <w:shd w:val="clear" w:color="auto" w:fill="auto"/>
          </w:tcPr>
          <w:p w14:paraId="5EA27ECE" w14:textId="77777777" w:rsidR="003C66EB" w:rsidRDefault="003C66EB">
            <w:pPr>
              <w:rPr>
                <w:rFonts w:ascii="宋体"/>
              </w:rPr>
            </w:pPr>
          </w:p>
        </w:tc>
        <w:tc>
          <w:tcPr>
            <w:tcW w:w="0" w:type="auto"/>
            <w:shd w:val="clear" w:color="auto" w:fill="auto"/>
          </w:tcPr>
          <w:p w14:paraId="5EA27ECF" w14:textId="77777777" w:rsidR="003C66EB" w:rsidRDefault="003C66EB">
            <w:pPr>
              <w:rPr>
                <w:rFonts w:ascii="宋体"/>
              </w:rPr>
            </w:pPr>
          </w:p>
        </w:tc>
        <w:tc>
          <w:tcPr>
            <w:tcW w:w="0" w:type="auto"/>
            <w:shd w:val="clear" w:color="auto" w:fill="auto"/>
          </w:tcPr>
          <w:p w14:paraId="5EA27ED0" w14:textId="77777777" w:rsidR="003C66EB" w:rsidRDefault="003C66EB">
            <w:pPr>
              <w:rPr>
                <w:rFonts w:ascii="宋体"/>
              </w:rPr>
            </w:pPr>
          </w:p>
        </w:tc>
        <w:tc>
          <w:tcPr>
            <w:tcW w:w="0" w:type="auto"/>
            <w:shd w:val="clear" w:color="auto" w:fill="auto"/>
          </w:tcPr>
          <w:p w14:paraId="5EA27ED1" w14:textId="77777777" w:rsidR="003C66EB" w:rsidRDefault="003C66EB">
            <w:pPr>
              <w:rPr>
                <w:rFonts w:ascii="宋体"/>
              </w:rPr>
            </w:pPr>
          </w:p>
        </w:tc>
        <w:tc>
          <w:tcPr>
            <w:tcW w:w="0" w:type="auto"/>
            <w:shd w:val="clear" w:color="auto" w:fill="auto"/>
          </w:tcPr>
          <w:p w14:paraId="5EA27ED2" w14:textId="77777777" w:rsidR="003C66EB" w:rsidRDefault="003C66EB">
            <w:pPr>
              <w:rPr>
                <w:rFonts w:ascii="宋体"/>
              </w:rPr>
            </w:pPr>
          </w:p>
        </w:tc>
      </w:tr>
      <w:tr w:rsidR="003C66EB" w14:paraId="5EA27F00" w14:textId="77777777">
        <w:trPr>
          <w:hidden/>
        </w:trPr>
        <w:tc>
          <w:tcPr>
            <w:tcW w:w="0" w:type="auto"/>
            <w:gridSpan w:val="3"/>
            <w:shd w:val="clear" w:color="auto" w:fill="auto"/>
          </w:tcPr>
          <w:p w14:paraId="5EA27ED4" w14:textId="77777777" w:rsidR="003C66EB" w:rsidRDefault="003C66EB">
            <w:pPr>
              <w:rPr>
                <w:rFonts w:ascii="宋体"/>
                <w:vanish/>
              </w:rPr>
            </w:pPr>
          </w:p>
        </w:tc>
        <w:tc>
          <w:tcPr>
            <w:tcW w:w="0" w:type="auto"/>
            <w:gridSpan w:val="3"/>
            <w:shd w:val="clear" w:color="auto" w:fill="auto"/>
          </w:tcPr>
          <w:p w14:paraId="5EA27ED5" w14:textId="77777777" w:rsidR="003C66EB" w:rsidRDefault="003C66EB">
            <w:pPr>
              <w:rPr>
                <w:rFonts w:ascii="宋体"/>
                <w:vanish/>
              </w:rPr>
            </w:pPr>
          </w:p>
        </w:tc>
        <w:tc>
          <w:tcPr>
            <w:tcW w:w="0" w:type="auto"/>
            <w:gridSpan w:val="3"/>
            <w:shd w:val="clear" w:color="auto" w:fill="auto"/>
          </w:tcPr>
          <w:p w14:paraId="5EA27ED6" w14:textId="77777777" w:rsidR="003C66EB" w:rsidRDefault="003C66EB">
            <w:pPr>
              <w:rPr>
                <w:rFonts w:ascii="宋体"/>
                <w:vanish/>
              </w:rPr>
            </w:pPr>
          </w:p>
        </w:tc>
        <w:tc>
          <w:tcPr>
            <w:tcW w:w="0" w:type="auto"/>
            <w:gridSpan w:val="3"/>
            <w:shd w:val="clear" w:color="auto" w:fill="auto"/>
          </w:tcPr>
          <w:p w14:paraId="5EA27ED7" w14:textId="77777777" w:rsidR="003C66EB" w:rsidRDefault="003C66EB">
            <w:pPr>
              <w:rPr>
                <w:rFonts w:ascii="宋体"/>
                <w:vanish/>
              </w:rPr>
            </w:pPr>
          </w:p>
        </w:tc>
        <w:tc>
          <w:tcPr>
            <w:tcW w:w="0" w:type="auto"/>
            <w:gridSpan w:val="3"/>
            <w:shd w:val="clear" w:color="auto" w:fill="auto"/>
          </w:tcPr>
          <w:p w14:paraId="5EA27ED8" w14:textId="77777777" w:rsidR="003C66EB" w:rsidRDefault="003C66EB">
            <w:pPr>
              <w:rPr>
                <w:rFonts w:ascii="宋体"/>
                <w:vanish/>
              </w:rPr>
            </w:pPr>
          </w:p>
        </w:tc>
        <w:tc>
          <w:tcPr>
            <w:tcW w:w="0" w:type="auto"/>
            <w:gridSpan w:val="3"/>
            <w:shd w:val="clear" w:color="auto" w:fill="auto"/>
          </w:tcPr>
          <w:p w14:paraId="5EA27ED9" w14:textId="77777777" w:rsidR="003C66EB" w:rsidRDefault="003C66EB">
            <w:pPr>
              <w:rPr>
                <w:rFonts w:ascii="宋体"/>
                <w:vanish/>
              </w:rPr>
            </w:pPr>
          </w:p>
        </w:tc>
        <w:tc>
          <w:tcPr>
            <w:tcW w:w="0" w:type="auto"/>
            <w:gridSpan w:val="3"/>
            <w:shd w:val="clear" w:color="auto" w:fill="auto"/>
          </w:tcPr>
          <w:p w14:paraId="5EA27EDA" w14:textId="77777777" w:rsidR="003C66EB" w:rsidRDefault="003C66EB">
            <w:pPr>
              <w:rPr>
                <w:rFonts w:ascii="宋体"/>
                <w:vanish/>
              </w:rPr>
            </w:pPr>
          </w:p>
        </w:tc>
        <w:tc>
          <w:tcPr>
            <w:tcW w:w="0" w:type="auto"/>
            <w:gridSpan w:val="3"/>
            <w:shd w:val="clear" w:color="auto" w:fill="auto"/>
          </w:tcPr>
          <w:p w14:paraId="5EA27EDB" w14:textId="77777777" w:rsidR="003C66EB" w:rsidRDefault="003C66EB">
            <w:pPr>
              <w:rPr>
                <w:rFonts w:ascii="宋体"/>
                <w:vanish/>
              </w:rPr>
            </w:pPr>
          </w:p>
        </w:tc>
        <w:tc>
          <w:tcPr>
            <w:tcW w:w="0" w:type="auto"/>
            <w:shd w:val="clear" w:color="auto" w:fill="auto"/>
          </w:tcPr>
          <w:p w14:paraId="5EA27EDC" w14:textId="77777777" w:rsidR="003C66EB" w:rsidRDefault="003C66EB">
            <w:pPr>
              <w:rPr>
                <w:rFonts w:ascii="宋体"/>
              </w:rPr>
            </w:pPr>
          </w:p>
        </w:tc>
        <w:tc>
          <w:tcPr>
            <w:tcW w:w="0" w:type="auto"/>
            <w:shd w:val="clear" w:color="auto" w:fill="auto"/>
          </w:tcPr>
          <w:p w14:paraId="5EA27EDD" w14:textId="77777777" w:rsidR="003C66EB" w:rsidRDefault="003C66EB">
            <w:pPr>
              <w:rPr>
                <w:rFonts w:ascii="宋体"/>
              </w:rPr>
            </w:pPr>
          </w:p>
        </w:tc>
        <w:tc>
          <w:tcPr>
            <w:tcW w:w="0" w:type="auto"/>
            <w:shd w:val="clear" w:color="auto" w:fill="auto"/>
          </w:tcPr>
          <w:p w14:paraId="5EA27EDE" w14:textId="77777777" w:rsidR="003C66EB" w:rsidRDefault="003C66EB">
            <w:pPr>
              <w:rPr>
                <w:rFonts w:ascii="宋体"/>
              </w:rPr>
            </w:pPr>
          </w:p>
        </w:tc>
        <w:tc>
          <w:tcPr>
            <w:tcW w:w="0" w:type="auto"/>
            <w:shd w:val="clear" w:color="auto" w:fill="auto"/>
          </w:tcPr>
          <w:p w14:paraId="5EA27EDF" w14:textId="77777777" w:rsidR="003C66EB" w:rsidRDefault="003C66EB">
            <w:pPr>
              <w:rPr>
                <w:rFonts w:ascii="宋体"/>
              </w:rPr>
            </w:pPr>
          </w:p>
        </w:tc>
        <w:tc>
          <w:tcPr>
            <w:tcW w:w="0" w:type="auto"/>
            <w:shd w:val="clear" w:color="auto" w:fill="auto"/>
          </w:tcPr>
          <w:p w14:paraId="5EA27EE0" w14:textId="77777777" w:rsidR="003C66EB" w:rsidRDefault="003C66EB">
            <w:pPr>
              <w:rPr>
                <w:rFonts w:ascii="宋体"/>
              </w:rPr>
            </w:pPr>
          </w:p>
        </w:tc>
        <w:tc>
          <w:tcPr>
            <w:tcW w:w="0" w:type="auto"/>
            <w:shd w:val="clear" w:color="auto" w:fill="auto"/>
          </w:tcPr>
          <w:p w14:paraId="5EA27EE1" w14:textId="77777777" w:rsidR="003C66EB" w:rsidRDefault="003C66EB">
            <w:pPr>
              <w:rPr>
                <w:rFonts w:ascii="宋体"/>
              </w:rPr>
            </w:pPr>
          </w:p>
        </w:tc>
        <w:tc>
          <w:tcPr>
            <w:tcW w:w="0" w:type="auto"/>
            <w:shd w:val="clear" w:color="auto" w:fill="auto"/>
          </w:tcPr>
          <w:p w14:paraId="5EA27EE2" w14:textId="77777777" w:rsidR="003C66EB" w:rsidRDefault="003C66EB">
            <w:pPr>
              <w:rPr>
                <w:rFonts w:ascii="宋体"/>
              </w:rPr>
            </w:pPr>
          </w:p>
        </w:tc>
        <w:tc>
          <w:tcPr>
            <w:tcW w:w="0" w:type="auto"/>
            <w:shd w:val="clear" w:color="auto" w:fill="auto"/>
          </w:tcPr>
          <w:p w14:paraId="5EA27EE3" w14:textId="77777777" w:rsidR="003C66EB" w:rsidRDefault="003C66EB">
            <w:pPr>
              <w:rPr>
                <w:rFonts w:ascii="宋体"/>
              </w:rPr>
            </w:pPr>
          </w:p>
        </w:tc>
        <w:tc>
          <w:tcPr>
            <w:tcW w:w="0" w:type="auto"/>
            <w:shd w:val="clear" w:color="auto" w:fill="auto"/>
          </w:tcPr>
          <w:p w14:paraId="5EA27EE4" w14:textId="77777777" w:rsidR="003C66EB" w:rsidRDefault="003C66EB">
            <w:pPr>
              <w:rPr>
                <w:rFonts w:ascii="宋体"/>
              </w:rPr>
            </w:pPr>
          </w:p>
        </w:tc>
        <w:tc>
          <w:tcPr>
            <w:tcW w:w="0" w:type="auto"/>
            <w:shd w:val="clear" w:color="auto" w:fill="auto"/>
          </w:tcPr>
          <w:p w14:paraId="5EA27EE5" w14:textId="77777777" w:rsidR="003C66EB" w:rsidRDefault="003C66EB">
            <w:pPr>
              <w:rPr>
                <w:rFonts w:ascii="宋体"/>
              </w:rPr>
            </w:pPr>
          </w:p>
        </w:tc>
        <w:tc>
          <w:tcPr>
            <w:tcW w:w="0" w:type="auto"/>
            <w:shd w:val="clear" w:color="auto" w:fill="auto"/>
          </w:tcPr>
          <w:p w14:paraId="5EA27EE6" w14:textId="77777777" w:rsidR="003C66EB" w:rsidRDefault="003C66EB">
            <w:pPr>
              <w:rPr>
                <w:rFonts w:ascii="宋体"/>
              </w:rPr>
            </w:pPr>
          </w:p>
        </w:tc>
        <w:tc>
          <w:tcPr>
            <w:tcW w:w="0" w:type="auto"/>
            <w:shd w:val="clear" w:color="auto" w:fill="auto"/>
          </w:tcPr>
          <w:p w14:paraId="5EA27EE7" w14:textId="77777777" w:rsidR="003C66EB" w:rsidRDefault="003C66EB">
            <w:pPr>
              <w:rPr>
                <w:rFonts w:ascii="宋体"/>
              </w:rPr>
            </w:pPr>
          </w:p>
        </w:tc>
        <w:tc>
          <w:tcPr>
            <w:tcW w:w="0" w:type="auto"/>
            <w:shd w:val="clear" w:color="auto" w:fill="auto"/>
          </w:tcPr>
          <w:p w14:paraId="5EA27EE8" w14:textId="77777777" w:rsidR="003C66EB" w:rsidRDefault="003C66EB">
            <w:pPr>
              <w:rPr>
                <w:rFonts w:ascii="宋体"/>
              </w:rPr>
            </w:pPr>
          </w:p>
        </w:tc>
        <w:tc>
          <w:tcPr>
            <w:tcW w:w="0" w:type="auto"/>
            <w:shd w:val="clear" w:color="auto" w:fill="auto"/>
          </w:tcPr>
          <w:p w14:paraId="5EA27EE9" w14:textId="77777777" w:rsidR="003C66EB" w:rsidRDefault="003C66EB">
            <w:pPr>
              <w:rPr>
                <w:rFonts w:ascii="宋体"/>
              </w:rPr>
            </w:pPr>
          </w:p>
        </w:tc>
        <w:tc>
          <w:tcPr>
            <w:tcW w:w="0" w:type="auto"/>
            <w:shd w:val="clear" w:color="auto" w:fill="auto"/>
          </w:tcPr>
          <w:p w14:paraId="5EA27EEA" w14:textId="77777777" w:rsidR="003C66EB" w:rsidRDefault="003C66EB">
            <w:pPr>
              <w:rPr>
                <w:rFonts w:ascii="宋体"/>
              </w:rPr>
            </w:pPr>
          </w:p>
        </w:tc>
        <w:tc>
          <w:tcPr>
            <w:tcW w:w="0" w:type="auto"/>
            <w:shd w:val="clear" w:color="auto" w:fill="auto"/>
          </w:tcPr>
          <w:p w14:paraId="5EA27EEB" w14:textId="77777777" w:rsidR="003C66EB" w:rsidRDefault="003C66EB">
            <w:pPr>
              <w:rPr>
                <w:rFonts w:ascii="宋体"/>
              </w:rPr>
            </w:pPr>
          </w:p>
        </w:tc>
        <w:tc>
          <w:tcPr>
            <w:tcW w:w="0" w:type="auto"/>
            <w:shd w:val="clear" w:color="auto" w:fill="auto"/>
          </w:tcPr>
          <w:p w14:paraId="5EA27EEC" w14:textId="77777777" w:rsidR="003C66EB" w:rsidRDefault="003C66EB">
            <w:pPr>
              <w:rPr>
                <w:rFonts w:ascii="宋体"/>
              </w:rPr>
            </w:pPr>
          </w:p>
        </w:tc>
        <w:tc>
          <w:tcPr>
            <w:tcW w:w="0" w:type="auto"/>
            <w:shd w:val="clear" w:color="auto" w:fill="auto"/>
          </w:tcPr>
          <w:p w14:paraId="5EA27EED" w14:textId="77777777" w:rsidR="003C66EB" w:rsidRDefault="003C66EB">
            <w:pPr>
              <w:rPr>
                <w:rFonts w:ascii="宋体"/>
              </w:rPr>
            </w:pPr>
          </w:p>
        </w:tc>
        <w:tc>
          <w:tcPr>
            <w:tcW w:w="0" w:type="auto"/>
            <w:shd w:val="clear" w:color="auto" w:fill="auto"/>
          </w:tcPr>
          <w:p w14:paraId="5EA27EEE" w14:textId="77777777" w:rsidR="003C66EB" w:rsidRDefault="003C66EB">
            <w:pPr>
              <w:rPr>
                <w:rFonts w:ascii="宋体"/>
              </w:rPr>
            </w:pPr>
          </w:p>
        </w:tc>
        <w:tc>
          <w:tcPr>
            <w:tcW w:w="0" w:type="auto"/>
            <w:shd w:val="clear" w:color="auto" w:fill="auto"/>
          </w:tcPr>
          <w:p w14:paraId="5EA27EEF" w14:textId="77777777" w:rsidR="003C66EB" w:rsidRDefault="003C66EB">
            <w:pPr>
              <w:rPr>
                <w:rFonts w:ascii="宋体"/>
              </w:rPr>
            </w:pPr>
          </w:p>
        </w:tc>
        <w:tc>
          <w:tcPr>
            <w:tcW w:w="0" w:type="auto"/>
            <w:shd w:val="clear" w:color="auto" w:fill="auto"/>
          </w:tcPr>
          <w:p w14:paraId="5EA27EF0" w14:textId="77777777" w:rsidR="003C66EB" w:rsidRDefault="003C66EB">
            <w:pPr>
              <w:rPr>
                <w:rFonts w:ascii="宋体"/>
              </w:rPr>
            </w:pPr>
          </w:p>
        </w:tc>
        <w:tc>
          <w:tcPr>
            <w:tcW w:w="0" w:type="auto"/>
            <w:shd w:val="clear" w:color="auto" w:fill="auto"/>
          </w:tcPr>
          <w:p w14:paraId="5EA27EF1" w14:textId="77777777" w:rsidR="003C66EB" w:rsidRDefault="003C66EB">
            <w:pPr>
              <w:rPr>
                <w:rFonts w:ascii="宋体"/>
              </w:rPr>
            </w:pPr>
          </w:p>
        </w:tc>
        <w:tc>
          <w:tcPr>
            <w:tcW w:w="0" w:type="auto"/>
            <w:shd w:val="clear" w:color="auto" w:fill="auto"/>
          </w:tcPr>
          <w:p w14:paraId="5EA27EF2" w14:textId="77777777" w:rsidR="003C66EB" w:rsidRDefault="003C66EB">
            <w:pPr>
              <w:rPr>
                <w:rFonts w:ascii="宋体"/>
              </w:rPr>
            </w:pPr>
          </w:p>
        </w:tc>
        <w:tc>
          <w:tcPr>
            <w:tcW w:w="0" w:type="auto"/>
            <w:shd w:val="clear" w:color="auto" w:fill="auto"/>
          </w:tcPr>
          <w:p w14:paraId="5EA27EF3" w14:textId="77777777" w:rsidR="003C66EB" w:rsidRDefault="003C66EB">
            <w:pPr>
              <w:rPr>
                <w:rFonts w:ascii="宋体"/>
              </w:rPr>
            </w:pPr>
          </w:p>
        </w:tc>
        <w:tc>
          <w:tcPr>
            <w:tcW w:w="0" w:type="auto"/>
            <w:shd w:val="clear" w:color="auto" w:fill="auto"/>
          </w:tcPr>
          <w:p w14:paraId="5EA27EF4" w14:textId="77777777" w:rsidR="003C66EB" w:rsidRDefault="003C66EB">
            <w:pPr>
              <w:rPr>
                <w:rFonts w:ascii="宋体"/>
              </w:rPr>
            </w:pPr>
          </w:p>
        </w:tc>
        <w:tc>
          <w:tcPr>
            <w:tcW w:w="0" w:type="auto"/>
            <w:shd w:val="clear" w:color="auto" w:fill="auto"/>
          </w:tcPr>
          <w:p w14:paraId="5EA27EF5" w14:textId="77777777" w:rsidR="003C66EB" w:rsidRDefault="003C66EB">
            <w:pPr>
              <w:rPr>
                <w:rFonts w:ascii="宋体"/>
              </w:rPr>
            </w:pPr>
          </w:p>
        </w:tc>
        <w:tc>
          <w:tcPr>
            <w:tcW w:w="0" w:type="auto"/>
            <w:shd w:val="clear" w:color="auto" w:fill="auto"/>
          </w:tcPr>
          <w:p w14:paraId="5EA27EF6" w14:textId="77777777" w:rsidR="003C66EB" w:rsidRDefault="003C66EB">
            <w:pPr>
              <w:rPr>
                <w:rFonts w:ascii="宋体"/>
              </w:rPr>
            </w:pPr>
          </w:p>
        </w:tc>
        <w:tc>
          <w:tcPr>
            <w:tcW w:w="0" w:type="auto"/>
            <w:shd w:val="clear" w:color="auto" w:fill="auto"/>
          </w:tcPr>
          <w:p w14:paraId="5EA27EF7" w14:textId="77777777" w:rsidR="003C66EB" w:rsidRDefault="003C66EB">
            <w:pPr>
              <w:rPr>
                <w:rFonts w:ascii="宋体"/>
              </w:rPr>
            </w:pPr>
          </w:p>
        </w:tc>
        <w:tc>
          <w:tcPr>
            <w:tcW w:w="0" w:type="auto"/>
            <w:shd w:val="clear" w:color="auto" w:fill="auto"/>
          </w:tcPr>
          <w:p w14:paraId="5EA27EF8" w14:textId="77777777" w:rsidR="003C66EB" w:rsidRDefault="003C66EB">
            <w:pPr>
              <w:rPr>
                <w:rFonts w:ascii="宋体"/>
              </w:rPr>
            </w:pPr>
          </w:p>
        </w:tc>
        <w:tc>
          <w:tcPr>
            <w:tcW w:w="0" w:type="auto"/>
            <w:shd w:val="clear" w:color="auto" w:fill="auto"/>
          </w:tcPr>
          <w:p w14:paraId="5EA27EF9" w14:textId="77777777" w:rsidR="003C66EB" w:rsidRDefault="003C66EB">
            <w:pPr>
              <w:rPr>
                <w:rFonts w:ascii="宋体"/>
              </w:rPr>
            </w:pPr>
          </w:p>
        </w:tc>
        <w:tc>
          <w:tcPr>
            <w:tcW w:w="0" w:type="auto"/>
            <w:shd w:val="clear" w:color="auto" w:fill="auto"/>
          </w:tcPr>
          <w:p w14:paraId="5EA27EFA" w14:textId="77777777" w:rsidR="003C66EB" w:rsidRDefault="003C66EB">
            <w:pPr>
              <w:rPr>
                <w:rFonts w:ascii="宋体"/>
              </w:rPr>
            </w:pPr>
          </w:p>
        </w:tc>
        <w:tc>
          <w:tcPr>
            <w:tcW w:w="0" w:type="auto"/>
            <w:shd w:val="clear" w:color="auto" w:fill="auto"/>
          </w:tcPr>
          <w:p w14:paraId="5EA27EFB" w14:textId="77777777" w:rsidR="003C66EB" w:rsidRDefault="003C66EB">
            <w:pPr>
              <w:rPr>
                <w:rFonts w:ascii="宋体"/>
              </w:rPr>
            </w:pPr>
          </w:p>
        </w:tc>
        <w:tc>
          <w:tcPr>
            <w:tcW w:w="0" w:type="auto"/>
            <w:shd w:val="clear" w:color="auto" w:fill="auto"/>
          </w:tcPr>
          <w:p w14:paraId="5EA27EFC" w14:textId="77777777" w:rsidR="003C66EB" w:rsidRDefault="003C66EB">
            <w:pPr>
              <w:rPr>
                <w:rFonts w:ascii="宋体"/>
              </w:rPr>
            </w:pPr>
          </w:p>
        </w:tc>
        <w:tc>
          <w:tcPr>
            <w:tcW w:w="0" w:type="auto"/>
            <w:shd w:val="clear" w:color="auto" w:fill="auto"/>
          </w:tcPr>
          <w:p w14:paraId="5EA27EFD" w14:textId="77777777" w:rsidR="003C66EB" w:rsidRDefault="003C66EB">
            <w:pPr>
              <w:rPr>
                <w:rFonts w:ascii="宋体"/>
              </w:rPr>
            </w:pPr>
          </w:p>
        </w:tc>
        <w:tc>
          <w:tcPr>
            <w:tcW w:w="0" w:type="auto"/>
            <w:shd w:val="clear" w:color="auto" w:fill="auto"/>
          </w:tcPr>
          <w:p w14:paraId="5EA27EFE" w14:textId="77777777" w:rsidR="003C66EB" w:rsidRDefault="003C66EB">
            <w:pPr>
              <w:rPr>
                <w:rFonts w:ascii="宋体"/>
              </w:rPr>
            </w:pPr>
          </w:p>
        </w:tc>
        <w:tc>
          <w:tcPr>
            <w:tcW w:w="0" w:type="auto"/>
            <w:shd w:val="clear" w:color="auto" w:fill="auto"/>
          </w:tcPr>
          <w:p w14:paraId="5EA27EFF" w14:textId="77777777" w:rsidR="003C66EB" w:rsidRDefault="003C66EB">
            <w:pPr>
              <w:rPr>
                <w:rFonts w:ascii="宋体"/>
              </w:rPr>
            </w:pPr>
          </w:p>
        </w:tc>
      </w:tr>
      <w:tr w:rsidR="003C66EB" w14:paraId="5EA27F15" w14:textId="77777777">
        <w:trPr>
          <w:hidden/>
        </w:trPr>
        <w:tc>
          <w:tcPr>
            <w:tcW w:w="0" w:type="auto"/>
            <w:gridSpan w:val="3"/>
            <w:shd w:val="clear" w:color="auto" w:fill="auto"/>
          </w:tcPr>
          <w:p w14:paraId="5EA27F01" w14:textId="77777777" w:rsidR="003C66EB" w:rsidRDefault="003C66EB">
            <w:pPr>
              <w:rPr>
                <w:rFonts w:ascii="宋体"/>
                <w:vanish/>
              </w:rPr>
            </w:pPr>
          </w:p>
        </w:tc>
        <w:tc>
          <w:tcPr>
            <w:tcW w:w="0" w:type="auto"/>
            <w:gridSpan w:val="3"/>
            <w:shd w:val="clear" w:color="auto" w:fill="auto"/>
          </w:tcPr>
          <w:p w14:paraId="5EA27F02" w14:textId="77777777" w:rsidR="003C66EB" w:rsidRDefault="003C66EB">
            <w:pPr>
              <w:rPr>
                <w:rFonts w:ascii="宋体"/>
                <w:vanish/>
              </w:rPr>
            </w:pPr>
          </w:p>
        </w:tc>
        <w:tc>
          <w:tcPr>
            <w:tcW w:w="0" w:type="auto"/>
            <w:gridSpan w:val="3"/>
            <w:shd w:val="clear" w:color="auto" w:fill="auto"/>
          </w:tcPr>
          <w:p w14:paraId="5EA27F03" w14:textId="77777777" w:rsidR="003C66EB" w:rsidRDefault="003C66EB">
            <w:pPr>
              <w:rPr>
                <w:rFonts w:ascii="宋体"/>
                <w:vanish/>
              </w:rPr>
            </w:pPr>
          </w:p>
        </w:tc>
        <w:tc>
          <w:tcPr>
            <w:tcW w:w="0" w:type="auto"/>
            <w:gridSpan w:val="3"/>
            <w:shd w:val="clear" w:color="auto" w:fill="auto"/>
          </w:tcPr>
          <w:p w14:paraId="5EA27F04" w14:textId="77777777" w:rsidR="003C66EB" w:rsidRDefault="003C66EB">
            <w:pPr>
              <w:rPr>
                <w:rFonts w:ascii="宋体"/>
                <w:vanish/>
              </w:rPr>
            </w:pPr>
          </w:p>
        </w:tc>
        <w:tc>
          <w:tcPr>
            <w:tcW w:w="0" w:type="auto"/>
            <w:gridSpan w:val="3"/>
            <w:shd w:val="clear" w:color="auto" w:fill="auto"/>
          </w:tcPr>
          <w:p w14:paraId="5EA27F05" w14:textId="77777777" w:rsidR="003C66EB" w:rsidRDefault="003C66EB">
            <w:pPr>
              <w:rPr>
                <w:rFonts w:ascii="宋体"/>
                <w:vanish/>
              </w:rPr>
            </w:pPr>
          </w:p>
        </w:tc>
        <w:tc>
          <w:tcPr>
            <w:tcW w:w="0" w:type="auto"/>
            <w:gridSpan w:val="3"/>
            <w:shd w:val="clear" w:color="auto" w:fill="auto"/>
          </w:tcPr>
          <w:p w14:paraId="5EA27F06" w14:textId="77777777" w:rsidR="003C66EB" w:rsidRDefault="003C66EB">
            <w:pPr>
              <w:rPr>
                <w:rFonts w:ascii="宋体"/>
                <w:vanish/>
              </w:rPr>
            </w:pPr>
          </w:p>
        </w:tc>
        <w:tc>
          <w:tcPr>
            <w:tcW w:w="0" w:type="auto"/>
            <w:gridSpan w:val="3"/>
            <w:shd w:val="clear" w:color="auto" w:fill="auto"/>
          </w:tcPr>
          <w:p w14:paraId="5EA27F07" w14:textId="77777777" w:rsidR="003C66EB" w:rsidRDefault="003C66EB">
            <w:pPr>
              <w:rPr>
                <w:rFonts w:ascii="宋体"/>
                <w:vanish/>
              </w:rPr>
            </w:pPr>
          </w:p>
        </w:tc>
        <w:tc>
          <w:tcPr>
            <w:tcW w:w="0" w:type="auto"/>
            <w:gridSpan w:val="3"/>
            <w:shd w:val="clear" w:color="auto" w:fill="auto"/>
          </w:tcPr>
          <w:p w14:paraId="5EA27F08" w14:textId="77777777" w:rsidR="003C66EB" w:rsidRDefault="003C66EB">
            <w:pPr>
              <w:rPr>
                <w:rFonts w:ascii="宋体"/>
                <w:vanish/>
              </w:rPr>
            </w:pPr>
          </w:p>
        </w:tc>
        <w:tc>
          <w:tcPr>
            <w:tcW w:w="0" w:type="auto"/>
            <w:gridSpan w:val="3"/>
            <w:shd w:val="clear" w:color="auto" w:fill="auto"/>
          </w:tcPr>
          <w:p w14:paraId="5EA27F09" w14:textId="77777777" w:rsidR="003C66EB" w:rsidRDefault="003C66EB">
            <w:pPr>
              <w:rPr>
                <w:rFonts w:ascii="宋体"/>
                <w:vanish/>
              </w:rPr>
            </w:pPr>
          </w:p>
        </w:tc>
        <w:tc>
          <w:tcPr>
            <w:tcW w:w="0" w:type="auto"/>
            <w:gridSpan w:val="3"/>
            <w:shd w:val="clear" w:color="auto" w:fill="auto"/>
          </w:tcPr>
          <w:p w14:paraId="5EA27F0A" w14:textId="77777777" w:rsidR="003C66EB" w:rsidRDefault="003C66EB">
            <w:pPr>
              <w:rPr>
                <w:rFonts w:ascii="宋体"/>
                <w:vanish/>
              </w:rPr>
            </w:pPr>
          </w:p>
        </w:tc>
        <w:tc>
          <w:tcPr>
            <w:tcW w:w="0" w:type="auto"/>
            <w:gridSpan w:val="3"/>
            <w:shd w:val="clear" w:color="auto" w:fill="auto"/>
          </w:tcPr>
          <w:p w14:paraId="5EA27F0B" w14:textId="77777777" w:rsidR="003C66EB" w:rsidRDefault="003C66EB">
            <w:pPr>
              <w:rPr>
                <w:rFonts w:ascii="宋体"/>
                <w:vanish/>
              </w:rPr>
            </w:pPr>
          </w:p>
        </w:tc>
        <w:tc>
          <w:tcPr>
            <w:tcW w:w="0" w:type="auto"/>
            <w:gridSpan w:val="3"/>
            <w:shd w:val="clear" w:color="auto" w:fill="auto"/>
          </w:tcPr>
          <w:p w14:paraId="5EA27F0C" w14:textId="77777777" w:rsidR="003C66EB" w:rsidRDefault="003C66EB">
            <w:pPr>
              <w:rPr>
                <w:rFonts w:ascii="宋体"/>
                <w:vanish/>
              </w:rPr>
            </w:pPr>
          </w:p>
        </w:tc>
        <w:tc>
          <w:tcPr>
            <w:tcW w:w="0" w:type="auto"/>
            <w:gridSpan w:val="3"/>
            <w:shd w:val="clear" w:color="auto" w:fill="auto"/>
          </w:tcPr>
          <w:p w14:paraId="5EA27F0D" w14:textId="77777777" w:rsidR="003C66EB" w:rsidRDefault="003C66EB">
            <w:pPr>
              <w:rPr>
                <w:rFonts w:ascii="宋体"/>
                <w:vanish/>
              </w:rPr>
            </w:pPr>
          </w:p>
        </w:tc>
        <w:tc>
          <w:tcPr>
            <w:tcW w:w="0" w:type="auto"/>
            <w:gridSpan w:val="3"/>
            <w:shd w:val="clear" w:color="auto" w:fill="auto"/>
          </w:tcPr>
          <w:p w14:paraId="5EA27F0E" w14:textId="77777777" w:rsidR="003C66EB" w:rsidRDefault="003C66EB">
            <w:pPr>
              <w:rPr>
                <w:rFonts w:ascii="宋体"/>
                <w:vanish/>
              </w:rPr>
            </w:pPr>
          </w:p>
        </w:tc>
        <w:tc>
          <w:tcPr>
            <w:tcW w:w="0" w:type="auto"/>
            <w:gridSpan w:val="3"/>
            <w:shd w:val="clear" w:color="auto" w:fill="auto"/>
          </w:tcPr>
          <w:p w14:paraId="5EA27F0F" w14:textId="77777777" w:rsidR="003C66EB" w:rsidRDefault="003C66EB">
            <w:pPr>
              <w:rPr>
                <w:rFonts w:ascii="宋体"/>
                <w:vanish/>
              </w:rPr>
            </w:pPr>
          </w:p>
        </w:tc>
        <w:tc>
          <w:tcPr>
            <w:tcW w:w="0" w:type="auto"/>
            <w:gridSpan w:val="3"/>
            <w:shd w:val="clear" w:color="auto" w:fill="auto"/>
          </w:tcPr>
          <w:p w14:paraId="5EA27F10" w14:textId="77777777" w:rsidR="003C66EB" w:rsidRDefault="003C66EB">
            <w:pPr>
              <w:rPr>
                <w:rFonts w:ascii="宋体"/>
                <w:vanish/>
              </w:rPr>
            </w:pPr>
          </w:p>
        </w:tc>
        <w:tc>
          <w:tcPr>
            <w:tcW w:w="0" w:type="auto"/>
            <w:gridSpan w:val="3"/>
            <w:shd w:val="clear" w:color="auto" w:fill="auto"/>
          </w:tcPr>
          <w:p w14:paraId="5EA27F11" w14:textId="77777777" w:rsidR="003C66EB" w:rsidRDefault="003C66EB">
            <w:pPr>
              <w:rPr>
                <w:rFonts w:ascii="宋体"/>
                <w:vanish/>
              </w:rPr>
            </w:pPr>
          </w:p>
        </w:tc>
        <w:tc>
          <w:tcPr>
            <w:tcW w:w="0" w:type="auto"/>
            <w:gridSpan w:val="3"/>
            <w:shd w:val="clear" w:color="auto" w:fill="auto"/>
          </w:tcPr>
          <w:p w14:paraId="5EA27F12" w14:textId="77777777" w:rsidR="003C66EB" w:rsidRDefault="003C66EB">
            <w:pPr>
              <w:rPr>
                <w:rFonts w:ascii="宋体"/>
                <w:vanish/>
              </w:rPr>
            </w:pPr>
          </w:p>
        </w:tc>
        <w:tc>
          <w:tcPr>
            <w:tcW w:w="0" w:type="auto"/>
            <w:gridSpan w:val="3"/>
            <w:shd w:val="clear" w:color="auto" w:fill="auto"/>
          </w:tcPr>
          <w:p w14:paraId="5EA27F13" w14:textId="77777777" w:rsidR="003C66EB" w:rsidRDefault="003C66EB">
            <w:pPr>
              <w:rPr>
                <w:rFonts w:ascii="宋体"/>
                <w:vanish/>
              </w:rPr>
            </w:pPr>
          </w:p>
        </w:tc>
        <w:tc>
          <w:tcPr>
            <w:tcW w:w="0" w:type="auto"/>
            <w:gridSpan w:val="3"/>
            <w:shd w:val="clear" w:color="auto" w:fill="auto"/>
          </w:tcPr>
          <w:p w14:paraId="5EA27F14" w14:textId="77777777" w:rsidR="003C66EB" w:rsidRDefault="003C66EB">
            <w:pPr>
              <w:rPr>
                <w:rFonts w:ascii="宋体"/>
                <w:vanish/>
              </w:rPr>
            </w:pPr>
          </w:p>
        </w:tc>
      </w:tr>
      <w:tr w:rsidR="003C66EB" w14:paraId="5EA27F2A" w14:textId="77777777">
        <w:trPr>
          <w:hidden/>
        </w:trPr>
        <w:tc>
          <w:tcPr>
            <w:tcW w:w="0" w:type="auto"/>
            <w:gridSpan w:val="3"/>
            <w:shd w:val="clear" w:color="auto" w:fill="auto"/>
          </w:tcPr>
          <w:p w14:paraId="5EA27F16" w14:textId="77777777" w:rsidR="003C66EB" w:rsidRDefault="003C66EB">
            <w:pPr>
              <w:rPr>
                <w:rFonts w:ascii="宋体"/>
                <w:vanish/>
              </w:rPr>
            </w:pPr>
          </w:p>
        </w:tc>
        <w:tc>
          <w:tcPr>
            <w:tcW w:w="0" w:type="auto"/>
            <w:gridSpan w:val="3"/>
            <w:shd w:val="clear" w:color="auto" w:fill="auto"/>
          </w:tcPr>
          <w:p w14:paraId="5EA27F17" w14:textId="77777777" w:rsidR="003C66EB" w:rsidRDefault="003C66EB">
            <w:pPr>
              <w:rPr>
                <w:rFonts w:ascii="宋体"/>
                <w:vanish/>
              </w:rPr>
            </w:pPr>
          </w:p>
        </w:tc>
        <w:tc>
          <w:tcPr>
            <w:tcW w:w="0" w:type="auto"/>
            <w:gridSpan w:val="3"/>
            <w:shd w:val="clear" w:color="auto" w:fill="auto"/>
          </w:tcPr>
          <w:p w14:paraId="5EA27F18" w14:textId="77777777" w:rsidR="003C66EB" w:rsidRDefault="003C66EB">
            <w:pPr>
              <w:rPr>
                <w:rFonts w:ascii="宋体"/>
                <w:vanish/>
              </w:rPr>
            </w:pPr>
          </w:p>
        </w:tc>
        <w:tc>
          <w:tcPr>
            <w:tcW w:w="0" w:type="auto"/>
            <w:gridSpan w:val="3"/>
            <w:shd w:val="clear" w:color="auto" w:fill="auto"/>
          </w:tcPr>
          <w:p w14:paraId="5EA27F19" w14:textId="77777777" w:rsidR="003C66EB" w:rsidRDefault="003C66EB">
            <w:pPr>
              <w:rPr>
                <w:rFonts w:ascii="宋体"/>
                <w:vanish/>
              </w:rPr>
            </w:pPr>
          </w:p>
        </w:tc>
        <w:tc>
          <w:tcPr>
            <w:tcW w:w="0" w:type="auto"/>
            <w:gridSpan w:val="3"/>
            <w:shd w:val="clear" w:color="auto" w:fill="auto"/>
          </w:tcPr>
          <w:p w14:paraId="5EA27F1A" w14:textId="77777777" w:rsidR="003C66EB" w:rsidRDefault="003C66EB">
            <w:pPr>
              <w:rPr>
                <w:rFonts w:ascii="宋体"/>
                <w:vanish/>
              </w:rPr>
            </w:pPr>
          </w:p>
        </w:tc>
        <w:tc>
          <w:tcPr>
            <w:tcW w:w="0" w:type="auto"/>
            <w:gridSpan w:val="3"/>
            <w:shd w:val="clear" w:color="auto" w:fill="auto"/>
          </w:tcPr>
          <w:p w14:paraId="5EA27F1B" w14:textId="77777777" w:rsidR="003C66EB" w:rsidRDefault="003C66EB">
            <w:pPr>
              <w:rPr>
                <w:rFonts w:ascii="宋体"/>
                <w:vanish/>
              </w:rPr>
            </w:pPr>
          </w:p>
        </w:tc>
        <w:tc>
          <w:tcPr>
            <w:tcW w:w="0" w:type="auto"/>
            <w:gridSpan w:val="3"/>
            <w:shd w:val="clear" w:color="auto" w:fill="auto"/>
          </w:tcPr>
          <w:p w14:paraId="5EA27F1C" w14:textId="77777777" w:rsidR="003C66EB" w:rsidRDefault="003C66EB">
            <w:pPr>
              <w:rPr>
                <w:rFonts w:ascii="宋体"/>
                <w:vanish/>
              </w:rPr>
            </w:pPr>
          </w:p>
        </w:tc>
        <w:tc>
          <w:tcPr>
            <w:tcW w:w="0" w:type="auto"/>
            <w:gridSpan w:val="3"/>
            <w:shd w:val="clear" w:color="auto" w:fill="auto"/>
          </w:tcPr>
          <w:p w14:paraId="5EA27F1D" w14:textId="77777777" w:rsidR="003C66EB" w:rsidRDefault="003C66EB">
            <w:pPr>
              <w:rPr>
                <w:rFonts w:ascii="宋体"/>
                <w:vanish/>
              </w:rPr>
            </w:pPr>
          </w:p>
        </w:tc>
        <w:tc>
          <w:tcPr>
            <w:tcW w:w="0" w:type="auto"/>
            <w:gridSpan w:val="3"/>
            <w:shd w:val="clear" w:color="auto" w:fill="auto"/>
          </w:tcPr>
          <w:p w14:paraId="5EA27F1E" w14:textId="77777777" w:rsidR="003C66EB" w:rsidRDefault="003C66EB">
            <w:pPr>
              <w:rPr>
                <w:rFonts w:ascii="宋体"/>
                <w:vanish/>
              </w:rPr>
            </w:pPr>
          </w:p>
        </w:tc>
        <w:tc>
          <w:tcPr>
            <w:tcW w:w="0" w:type="auto"/>
            <w:gridSpan w:val="3"/>
            <w:shd w:val="clear" w:color="auto" w:fill="auto"/>
          </w:tcPr>
          <w:p w14:paraId="5EA27F1F" w14:textId="77777777" w:rsidR="003C66EB" w:rsidRDefault="003C66EB">
            <w:pPr>
              <w:rPr>
                <w:rFonts w:ascii="宋体"/>
                <w:vanish/>
              </w:rPr>
            </w:pPr>
          </w:p>
        </w:tc>
        <w:tc>
          <w:tcPr>
            <w:tcW w:w="0" w:type="auto"/>
            <w:gridSpan w:val="3"/>
            <w:shd w:val="clear" w:color="auto" w:fill="auto"/>
          </w:tcPr>
          <w:p w14:paraId="5EA27F20" w14:textId="77777777" w:rsidR="003C66EB" w:rsidRDefault="003C66EB">
            <w:pPr>
              <w:rPr>
                <w:rFonts w:ascii="宋体"/>
                <w:vanish/>
              </w:rPr>
            </w:pPr>
          </w:p>
        </w:tc>
        <w:tc>
          <w:tcPr>
            <w:tcW w:w="0" w:type="auto"/>
            <w:gridSpan w:val="3"/>
            <w:shd w:val="clear" w:color="auto" w:fill="auto"/>
          </w:tcPr>
          <w:p w14:paraId="5EA27F21" w14:textId="77777777" w:rsidR="003C66EB" w:rsidRDefault="003C66EB">
            <w:pPr>
              <w:rPr>
                <w:rFonts w:ascii="宋体"/>
                <w:vanish/>
              </w:rPr>
            </w:pPr>
          </w:p>
        </w:tc>
        <w:tc>
          <w:tcPr>
            <w:tcW w:w="0" w:type="auto"/>
            <w:gridSpan w:val="3"/>
            <w:shd w:val="clear" w:color="auto" w:fill="auto"/>
          </w:tcPr>
          <w:p w14:paraId="5EA27F22" w14:textId="77777777" w:rsidR="003C66EB" w:rsidRDefault="003C66EB">
            <w:pPr>
              <w:rPr>
                <w:rFonts w:ascii="宋体"/>
                <w:vanish/>
              </w:rPr>
            </w:pPr>
          </w:p>
        </w:tc>
        <w:tc>
          <w:tcPr>
            <w:tcW w:w="0" w:type="auto"/>
            <w:gridSpan w:val="3"/>
            <w:shd w:val="clear" w:color="auto" w:fill="auto"/>
          </w:tcPr>
          <w:p w14:paraId="5EA27F23" w14:textId="77777777" w:rsidR="003C66EB" w:rsidRDefault="003C66EB">
            <w:pPr>
              <w:rPr>
                <w:rFonts w:ascii="宋体"/>
                <w:vanish/>
              </w:rPr>
            </w:pPr>
          </w:p>
        </w:tc>
        <w:tc>
          <w:tcPr>
            <w:tcW w:w="0" w:type="auto"/>
            <w:gridSpan w:val="3"/>
            <w:shd w:val="clear" w:color="auto" w:fill="auto"/>
          </w:tcPr>
          <w:p w14:paraId="5EA27F24" w14:textId="77777777" w:rsidR="003C66EB" w:rsidRDefault="003C66EB">
            <w:pPr>
              <w:rPr>
                <w:rFonts w:ascii="宋体"/>
                <w:vanish/>
              </w:rPr>
            </w:pPr>
          </w:p>
        </w:tc>
        <w:tc>
          <w:tcPr>
            <w:tcW w:w="0" w:type="auto"/>
            <w:gridSpan w:val="3"/>
            <w:shd w:val="clear" w:color="auto" w:fill="auto"/>
          </w:tcPr>
          <w:p w14:paraId="5EA27F25" w14:textId="77777777" w:rsidR="003C66EB" w:rsidRDefault="003C66EB">
            <w:pPr>
              <w:rPr>
                <w:rFonts w:ascii="宋体"/>
                <w:vanish/>
              </w:rPr>
            </w:pPr>
          </w:p>
        </w:tc>
        <w:tc>
          <w:tcPr>
            <w:tcW w:w="0" w:type="auto"/>
            <w:gridSpan w:val="3"/>
            <w:shd w:val="clear" w:color="auto" w:fill="auto"/>
          </w:tcPr>
          <w:p w14:paraId="5EA27F26" w14:textId="77777777" w:rsidR="003C66EB" w:rsidRDefault="003C66EB">
            <w:pPr>
              <w:rPr>
                <w:rFonts w:ascii="宋体"/>
                <w:vanish/>
              </w:rPr>
            </w:pPr>
          </w:p>
        </w:tc>
        <w:tc>
          <w:tcPr>
            <w:tcW w:w="0" w:type="auto"/>
            <w:gridSpan w:val="3"/>
            <w:shd w:val="clear" w:color="auto" w:fill="auto"/>
          </w:tcPr>
          <w:p w14:paraId="5EA27F27" w14:textId="77777777" w:rsidR="003C66EB" w:rsidRDefault="003C66EB">
            <w:pPr>
              <w:rPr>
                <w:rFonts w:ascii="宋体"/>
                <w:vanish/>
              </w:rPr>
            </w:pPr>
          </w:p>
        </w:tc>
        <w:tc>
          <w:tcPr>
            <w:tcW w:w="0" w:type="auto"/>
            <w:gridSpan w:val="3"/>
            <w:shd w:val="clear" w:color="auto" w:fill="auto"/>
          </w:tcPr>
          <w:p w14:paraId="5EA27F28" w14:textId="77777777" w:rsidR="003C66EB" w:rsidRDefault="003C66EB">
            <w:pPr>
              <w:rPr>
                <w:rFonts w:ascii="宋体"/>
                <w:vanish/>
              </w:rPr>
            </w:pPr>
          </w:p>
        </w:tc>
        <w:tc>
          <w:tcPr>
            <w:tcW w:w="0" w:type="auto"/>
            <w:gridSpan w:val="3"/>
            <w:shd w:val="clear" w:color="auto" w:fill="auto"/>
          </w:tcPr>
          <w:p w14:paraId="5EA27F29" w14:textId="77777777" w:rsidR="003C66EB" w:rsidRDefault="003C66EB">
            <w:pPr>
              <w:rPr>
                <w:rFonts w:ascii="宋体"/>
                <w:vanish/>
              </w:rPr>
            </w:pPr>
          </w:p>
        </w:tc>
      </w:tr>
      <w:tr w:rsidR="003C66EB" w14:paraId="5EA27F3F" w14:textId="77777777">
        <w:trPr>
          <w:hidden/>
        </w:trPr>
        <w:tc>
          <w:tcPr>
            <w:tcW w:w="0" w:type="auto"/>
            <w:gridSpan w:val="3"/>
            <w:shd w:val="clear" w:color="auto" w:fill="auto"/>
          </w:tcPr>
          <w:p w14:paraId="5EA27F2B" w14:textId="77777777" w:rsidR="003C66EB" w:rsidRDefault="003C66EB">
            <w:pPr>
              <w:rPr>
                <w:rFonts w:ascii="宋体"/>
                <w:vanish/>
              </w:rPr>
            </w:pPr>
          </w:p>
        </w:tc>
        <w:tc>
          <w:tcPr>
            <w:tcW w:w="0" w:type="auto"/>
            <w:gridSpan w:val="3"/>
            <w:shd w:val="clear" w:color="auto" w:fill="auto"/>
          </w:tcPr>
          <w:p w14:paraId="5EA27F2C" w14:textId="77777777" w:rsidR="003C66EB" w:rsidRDefault="003C66EB">
            <w:pPr>
              <w:rPr>
                <w:rFonts w:ascii="宋体"/>
                <w:vanish/>
              </w:rPr>
            </w:pPr>
          </w:p>
        </w:tc>
        <w:tc>
          <w:tcPr>
            <w:tcW w:w="0" w:type="auto"/>
            <w:gridSpan w:val="3"/>
            <w:shd w:val="clear" w:color="auto" w:fill="auto"/>
          </w:tcPr>
          <w:p w14:paraId="5EA27F2D" w14:textId="77777777" w:rsidR="003C66EB" w:rsidRDefault="003C66EB">
            <w:pPr>
              <w:rPr>
                <w:rFonts w:ascii="宋体"/>
                <w:vanish/>
              </w:rPr>
            </w:pPr>
          </w:p>
        </w:tc>
        <w:tc>
          <w:tcPr>
            <w:tcW w:w="0" w:type="auto"/>
            <w:gridSpan w:val="3"/>
            <w:shd w:val="clear" w:color="auto" w:fill="auto"/>
          </w:tcPr>
          <w:p w14:paraId="5EA27F2E" w14:textId="77777777" w:rsidR="003C66EB" w:rsidRDefault="003C66EB">
            <w:pPr>
              <w:rPr>
                <w:rFonts w:ascii="宋体"/>
                <w:vanish/>
              </w:rPr>
            </w:pPr>
          </w:p>
        </w:tc>
        <w:tc>
          <w:tcPr>
            <w:tcW w:w="0" w:type="auto"/>
            <w:gridSpan w:val="3"/>
            <w:shd w:val="clear" w:color="auto" w:fill="auto"/>
          </w:tcPr>
          <w:p w14:paraId="5EA27F2F" w14:textId="77777777" w:rsidR="003C66EB" w:rsidRDefault="003C66EB">
            <w:pPr>
              <w:rPr>
                <w:rFonts w:ascii="宋体"/>
                <w:vanish/>
              </w:rPr>
            </w:pPr>
          </w:p>
        </w:tc>
        <w:tc>
          <w:tcPr>
            <w:tcW w:w="0" w:type="auto"/>
            <w:gridSpan w:val="3"/>
            <w:shd w:val="clear" w:color="auto" w:fill="auto"/>
          </w:tcPr>
          <w:p w14:paraId="5EA27F30" w14:textId="77777777" w:rsidR="003C66EB" w:rsidRDefault="003C66EB">
            <w:pPr>
              <w:rPr>
                <w:rFonts w:ascii="宋体"/>
                <w:vanish/>
              </w:rPr>
            </w:pPr>
          </w:p>
        </w:tc>
        <w:tc>
          <w:tcPr>
            <w:tcW w:w="0" w:type="auto"/>
            <w:gridSpan w:val="3"/>
            <w:shd w:val="clear" w:color="auto" w:fill="auto"/>
          </w:tcPr>
          <w:p w14:paraId="5EA27F31" w14:textId="77777777" w:rsidR="003C66EB" w:rsidRDefault="003C66EB">
            <w:pPr>
              <w:rPr>
                <w:rFonts w:ascii="宋体"/>
                <w:vanish/>
              </w:rPr>
            </w:pPr>
          </w:p>
        </w:tc>
        <w:tc>
          <w:tcPr>
            <w:tcW w:w="0" w:type="auto"/>
            <w:gridSpan w:val="3"/>
            <w:shd w:val="clear" w:color="auto" w:fill="auto"/>
          </w:tcPr>
          <w:p w14:paraId="5EA27F32" w14:textId="77777777" w:rsidR="003C66EB" w:rsidRDefault="003C66EB">
            <w:pPr>
              <w:rPr>
                <w:rFonts w:ascii="宋体"/>
                <w:vanish/>
              </w:rPr>
            </w:pPr>
          </w:p>
        </w:tc>
        <w:tc>
          <w:tcPr>
            <w:tcW w:w="0" w:type="auto"/>
            <w:gridSpan w:val="3"/>
            <w:shd w:val="clear" w:color="auto" w:fill="auto"/>
          </w:tcPr>
          <w:p w14:paraId="5EA27F33" w14:textId="77777777" w:rsidR="003C66EB" w:rsidRDefault="003C66EB">
            <w:pPr>
              <w:rPr>
                <w:rFonts w:ascii="宋体"/>
                <w:vanish/>
              </w:rPr>
            </w:pPr>
          </w:p>
        </w:tc>
        <w:tc>
          <w:tcPr>
            <w:tcW w:w="0" w:type="auto"/>
            <w:gridSpan w:val="3"/>
            <w:shd w:val="clear" w:color="auto" w:fill="auto"/>
          </w:tcPr>
          <w:p w14:paraId="5EA27F34" w14:textId="77777777" w:rsidR="003C66EB" w:rsidRDefault="003C66EB">
            <w:pPr>
              <w:rPr>
                <w:rFonts w:ascii="宋体"/>
                <w:vanish/>
              </w:rPr>
            </w:pPr>
          </w:p>
        </w:tc>
        <w:tc>
          <w:tcPr>
            <w:tcW w:w="0" w:type="auto"/>
            <w:gridSpan w:val="3"/>
            <w:shd w:val="clear" w:color="auto" w:fill="auto"/>
          </w:tcPr>
          <w:p w14:paraId="5EA27F35" w14:textId="77777777" w:rsidR="003C66EB" w:rsidRDefault="003C66EB">
            <w:pPr>
              <w:rPr>
                <w:rFonts w:ascii="宋体"/>
                <w:vanish/>
              </w:rPr>
            </w:pPr>
          </w:p>
        </w:tc>
        <w:tc>
          <w:tcPr>
            <w:tcW w:w="0" w:type="auto"/>
            <w:gridSpan w:val="3"/>
            <w:shd w:val="clear" w:color="auto" w:fill="auto"/>
          </w:tcPr>
          <w:p w14:paraId="5EA27F36" w14:textId="77777777" w:rsidR="003C66EB" w:rsidRDefault="003C66EB">
            <w:pPr>
              <w:rPr>
                <w:rFonts w:ascii="宋体"/>
                <w:vanish/>
              </w:rPr>
            </w:pPr>
          </w:p>
        </w:tc>
        <w:tc>
          <w:tcPr>
            <w:tcW w:w="0" w:type="auto"/>
            <w:gridSpan w:val="3"/>
            <w:shd w:val="clear" w:color="auto" w:fill="auto"/>
          </w:tcPr>
          <w:p w14:paraId="5EA27F37" w14:textId="77777777" w:rsidR="003C66EB" w:rsidRDefault="003C66EB">
            <w:pPr>
              <w:rPr>
                <w:rFonts w:ascii="宋体"/>
                <w:vanish/>
              </w:rPr>
            </w:pPr>
          </w:p>
        </w:tc>
        <w:tc>
          <w:tcPr>
            <w:tcW w:w="0" w:type="auto"/>
            <w:gridSpan w:val="3"/>
            <w:shd w:val="clear" w:color="auto" w:fill="auto"/>
          </w:tcPr>
          <w:p w14:paraId="5EA27F38" w14:textId="77777777" w:rsidR="003C66EB" w:rsidRDefault="003C66EB">
            <w:pPr>
              <w:rPr>
                <w:rFonts w:ascii="宋体"/>
                <w:vanish/>
              </w:rPr>
            </w:pPr>
          </w:p>
        </w:tc>
        <w:tc>
          <w:tcPr>
            <w:tcW w:w="0" w:type="auto"/>
            <w:gridSpan w:val="3"/>
            <w:shd w:val="clear" w:color="auto" w:fill="auto"/>
          </w:tcPr>
          <w:p w14:paraId="5EA27F39" w14:textId="77777777" w:rsidR="003C66EB" w:rsidRDefault="003C66EB">
            <w:pPr>
              <w:rPr>
                <w:rFonts w:ascii="宋体"/>
                <w:vanish/>
              </w:rPr>
            </w:pPr>
          </w:p>
        </w:tc>
        <w:tc>
          <w:tcPr>
            <w:tcW w:w="0" w:type="auto"/>
            <w:gridSpan w:val="3"/>
            <w:shd w:val="clear" w:color="auto" w:fill="auto"/>
          </w:tcPr>
          <w:p w14:paraId="5EA27F3A" w14:textId="77777777" w:rsidR="003C66EB" w:rsidRDefault="003C66EB">
            <w:pPr>
              <w:rPr>
                <w:rFonts w:ascii="宋体"/>
                <w:vanish/>
              </w:rPr>
            </w:pPr>
          </w:p>
        </w:tc>
        <w:tc>
          <w:tcPr>
            <w:tcW w:w="0" w:type="auto"/>
            <w:gridSpan w:val="3"/>
            <w:shd w:val="clear" w:color="auto" w:fill="auto"/>
          </w:tcPr>
          <w:p w14:paraId="5EA27F3B" w14:textId="77777777" w:rsidR="003C66EB" w:rsidRDefault="003C66EB">
            <w:pPr>
              <w:rPr>
                <w:rFonts w:ascii="宋体"/>
                <w:vanish/>
              </w:rPr>
            </w:pPr>
          </w:p>
        </w:tc>
        <w:tc>
          <w:tcPr>
            <w:tcW w:w="0" w:type="auto"/>
            <w:gridSpan w:val="3"/>
            <w:shd w:val="clear" w:color="auto" w:fill="auto"/>
          </w:tcPr>
          <w:p w14:paraId="5EA27F3C" w14:textId="77777777" w:rsidR="003C66EB" w:rsidRDefault="003C66EB">
            <w:pPr>
              <w:rPr>
                <w:rFonts w:ascii="宋体"/>
                <w:vanish/>
              </w:rPr>
            </w:pPr>
          </w:p>
        </w:tc>
        <w:tc>
          <w:tcPr>
            <w:tcW w:w="0" w:type="auto"/>
            <w:gridSpan w:val="3"/>
            <w:shd w:val="clear" w:color="auto" w:fill="auto"/>
          </w:tcPr>
          <w:p w14:paraId="5EA27F3D" w14:textId="77777777" w:rsidR="003C66EB" w:rsidRDefault="003C66EB">
            <w:pPr>
              <w:rPr>
                <w:rFonts w:ascii="宋体"/>
                <w:vanish/>
              </w:rPr>
            </w:pPr>
          </w:p>
        </w:tc>
        <w:tc>
          <w:tcPr>
            <w:tcW w:w="0" w:type="auto"/>
            <w:gridSpan w:val="3"/>
            <w:shd w:val="clear" w:color="auto" w:fill="auto"/>
          </w:tcPr>
          <w:p w14:paraId="5EA27F3E" w14:textId="77777777" w:rsidR="003C66EB" w:rsidRDefault="003C66EB">
            <w:pPr>
              <w:rPr>
                <w:rFonts w:ascii="宋体"/>
                <w:vanish/>
              </w:rPr>
            </w:pPr>
          </w:p>
        </w:tc>
      </w:tr>
      <w:tr w:rsidR="003C66EB" w14:paraId="5EA27F54" w14:textId="77777777">
        <w:trPr>
          <w:hidden/>
        </w:trPr>
        <w:tc>
          <w:tcPr>
            <w:tcW w:w="0" w:type="auto"/>
            <w:gridSpan w:val="3"/>
            <w:shd w:val="clear" w:color="auto" w:fill="auto"/>
          </w:tcPr>
          <w:p w14:paraId="5EA27F40" w14:textId="77777777" w:rsidR="003C66EB" w:rsidRDefault="003C66EB">
            <w:pPr>
              <w:rPr>
                <w:rFonts w:ascii="宋体"/>
                <w:vanish/>
              </w:rPr>
            </w:pPr>
          </w:p>
        </w:tc>
        <w:tc>
          <w:tcPr>
            <w:tcW w:w="0" w:type="auto"/>
            <w:gridSpan w:val="3"/>
            <w:shd w:val="clear" w:color="auto" w:fill="auto"/>
          </w:tcPr>
          <w:p w14:paraId="5EA27F41" w14:textId="77777777" w:rsidR="003C66EB" w:rsidRDefault="003C66EB">
            <w:pPr>
              <w:rPr>
                <w:rFonts w:ascii="宋体"/>
                <w:vanish/>
              </w:rPr>
            </w:pPr>
          </w:p>
        </w:tc>
        <w:tc>
          <w:tcPr>
            <w:tcW w:w="0" w:type="auto"/>
            <w:gridSpan w:val="3"/>
            <w:shd w:val="clear" w:color="auto" w:fill="auto"/>
          </w:tcPr>
          <w:p w14:paraId="5EA27F42" w14:textId="77777777" w:rsidR="003C66EB" w:rsidRDefault="003C66EB">
            <w:pPr>
              <w:rPr>
                <w:rFonts w:ascii="宋体"/>
                <w:vanish/>
              </w:rPr>
            </w:pPr>
          </w:p>
        </w:tc>
        <w:tc>
          <w:tcPr>
            <w:tcW w:w="0" w:type="auto"/>
            <w:gridSpan w:val="3"/>
            <w:shd w:val="clear" w:color="auto" w:fill="auto"/>
          </w:tcPr>
          <w:p w14:paraId="5EA27F43" w14:textId="77777777" w:rsidR="003C66EB" w:rsidRDefault="003C66EB">
            <w:pPr>
              <w:rPr>
                <w:rFonts w:ascii="宋体"/>
                <w:vanish/>
              </w:rPr>
            </w:pPr>
          </w:p>
        </w:tc>
        <w:tc>
          <w:tcPr>
            <w:tcW w:w="0" w:type="auto"/>
            <w:gridSpan w:val="3"/>
            <w:shd w:val="clear" w:color="auto" w:fill="auto"/>
          </w:tcPr>
          <w:p w14:paraId="5EA27F44" w14:textId="77777777" w:rsidR="003C66EB" w:rsidRDefault="003C66EB">
            <w:pPr>
              <w:rPr>
                <w:rFonts w:ascii="宋体"/>
                <w:vanish/>
              </w:rPr>
            </w:pPr>
          </w:p>
        </w:tc>
        <w:tc>
          <w:tcPr>
            <w:tcW w:w="0" w:type="auto"/>
            <w:gridSpan w:val="3"/>
            <w:shd w:val="clear" w:color="auto" w:fill="auto"/>
          </w:tcPr>
          <w:p w14:paraId="5EA27F45" w14:textId="77777777" w:rsidR="003C66EB" w:rsidRDefault="003C66EB">
            <w:pPr>
              <w:rPr>
                <w:rFonts w:ascii="宋体"/>
                <w:vanish/>
              </w:rPr>
            </w:pPr>
          </w:p>
        </w:tc>
        <w:tc>
          <w:tcPr>
            <w:tcW w:w="0" w:type="auto"/>
            <w:gridSpan w:val="3"/>
            <w:shd w:val="clear" w:color="auto" w:fill="auto"/>
          </w:tcPr>
          <w:p w14:paraId="5EA27F46" w14:textId="77777777" w:rsidR="003C66EB" w:rsidRDefault="003C66EB">
            <w:pPr>
              <w:rPr>
                <w:rFonts w:ascii="宋体"/>
                <w:vanish/>
              </w:rPr>
            </w:pPr>
          </w:p>
        </w:tc>
        <w:tc>
          <w:tcPr>
            <w:tcW w:w="0" w:type="auto"/>
            <w:gridSpan w:val="3"/>
            <w:shd w:val="clear" w:color="auto" w:fill="auto"/>
          </w:tcPr>
          <w:p w14:paraId="5EA27F47" w14:textId="77777777" w:rsidR="003C66EB" w:rsidRDefault="003C66EB">
            <w:pPr>
              <w:rPr>
                <w:rFonts w:ascii="宋体"/>
                <w:vanish/>
              </w:rPr>
            </w:pPr>
          </w:p>
        </w:tc>
        <w:tc>
          <w:tcPr>
            <w:tcW w:w="0" w:type="auto"/>
            <w:gridSpan w:val="3"/>
            <w:shd w:val="clear" w:color="auto" w:fill="auto"/>
          </w:tcPr>
          <w:p w14:paraId="5EA27F48" w14:textId="77777777" w:rsidR="003C66EB" w:rsidRDefault="003C66EB">
            <w:pPr>
              <w:rPr>
                <w:rFonts w:ascii="宋体"/>
                <w:vanish/>
              </w:rPr>
            </w:pPr>
          </w:p>
        </w:tc>
        <w:tc>
          <w:tcPr>
            <w:tcW w:w="0" w:type="auto"/>
            <w:gridSpan w:val="3"/>
            <w:shd w:val="clear" w:color="auto" w:fill="auto"/>
          </w:tcPr>
          <w:p w14:paraId="5EA27F49" w14:textId="77777777" w:rsidR="003C66EB" w:rsidRDefault="003C66EB">
            <w:pPr>
              <w:rPr>
                <w:rFonts w:ascii="宋体"/>
                <w:vanish/>
              </w:rPr>
            </w:pPr>
          </w:p>
        </w:tc>
        <w:tc>
          <w:tcPr>
            <w:tcW w:w="0" w:type="auto"/>
            <w:gridSpan w:val="3"/>
            <w:shd w:val="clear" w:color="auto" w:fill="auto"/>
          </w:tcPr>
          <w:p w14:paraId="5EA27F4A" w14:textId="77777777" w:rsidR="003C66EB" w:rsidRDefault="003C66EB">
            <w:pPr>
              <w:rPr>
                <w:rFonts w:ascii="宋体"/>
                <w:vanish/>
              </w:rPr>
            </w:pPr>
          </w:p>
        </w:tc>
        <w:tc>
          <w:tcPr>
            <w:tcW w:w="0" w:type="auto"/>
            <w:gridSpan w:val="3"/>
            <w:shd w:val="clear" w:color="auto" w:fill="auto"/>
          </w:tcPr>
          <w:p w14:paraId="5EA27F4B" w14:textId="77777777" w:rsidR="003C66EB" w:rsidRDefault="003C66EB">
            <w:pPr>
              <w:rPr>
                <w:rFonts w:ascii="宋体"/>
                <w:vanish/>
              </w:rPr>
            </w:pPr>
          </w:p>
        </w:tc>
        <w:tc>
          <w:tcPr>
            <w:tcW w:w="0" w:type="auto"/>
            <w:gridSpan w:val="3"/>
            <w:shd w:val="clear" w:color="auto" w:fill="auto"/>
          </w:tcPr>
          <w:p w14:paraId="5EA27F4C" w14:textId="77777777" w:rsidR="003C66EB" w:rsidRDefault="003C66EB">
            <w:pPr>
              <w:rPr>
                <w:rFonts w:ascii="宋体"/>
                <w:vanish/>
              </w:rPr>
            </w:pPr>
          </w:p>
        </w:tc>
        <w:tc>
          <w:tcPr>
            <w:tcW w:w="0" w:type="auto"/>
            <w:gridSpan w:val="3"/>
            <w:shd w:val="clear" w:color="auto" w:fill="auto"/>
          </w:tcPr>
          <w:p w14:paraId="5EA27F4D" w14:textId="77777777" w:rsidR="003C66EB" w:rsidRDefault="003C66EB">
            <w:pPr>
              <w:rPr>
                <w:rFonts w:ascii="宋体"/>
                <w:vanish/>
              </w:rPr>
            </w:pPr>
          </w:p>
        </w:tc>
        <w:tc>
          <w:tcPr>
            <w:tcW w:w="0" w:type="auto"/>
            <w:gridSpan w:val="3"/>
            <w:shd w:val="clear" w:color="auto" w:fill="auto"/>
          </w:tcPr>
          <w:p w14:paraId="5EA27F4E" w14:textId="77777777" w:rsidR="003C66EB" w:rsidRDefault="003C66EB">
            <w:pPr>
              <w:rPr>
                <w:rFonts w:ascii="宋体"/>
                <w:vanish/>
              </w:rPr>
            </w:pPr>
          </w:p>
        </w:tc>
        <w:tc>
          <w:tcPr>
            <w:tcW w:w="0" w:type="auto"/>
            <w:gridSpan w:val="3"/>
            <w:shd w:val="clear" w:color="auto" w:fill="auto"/>
          </w:tcPr>
          <w:p w14:paraId="5EA27F4F" w14:textId="77777777" w:rsidR="003C66EB" w:rsidRDefault="003C66EB">
            <w:pPr>
              <w:rPr>
                <w:rFonts w:ascii="宋体"/>
                <w:vanish/>
              </w:rPr>
            </w:pPr>
          </w:p>
        </w:tc>
        <w:tc>
          <w:tcPr>
            <w:tcW w:w="0" w:type="auto"/>
            <w:gridSpan w:val="3"/>
            <w:shd w:val="clear" w:color="auto" w:fill="auto"/>
          </w:tcPr>
          <w:p w14:paraId="5EA27F50" w14:textId="77777777" w:rsidR="003C66EB" w:rsidRDefault="003C66EB">
            <w:pPr>
              <w:rPr>
                <w:rFonts w:ascii="宋体"/>
                <w:vanish/>
              </w:rPr>
            </w:pPr>
          </w:p>
        </w:tc>
        <w:tc>
          <w:tcPr>
            <w:tcW w:w="0" w:type="auto"/>
            <w:gridSpan w:val="3"/>
            <w:shd w:val="clear" w:color="auto" w:fill="auto"/>
          </w:tcPr>
          <w:p w14:paraId="5EA27F51" w14:textId="77777777" w:rsidR="003C66EB" w:rsidRDefault="003C66EB">
            <w:pPr>
              <w:rPr>
                <w:rFonts w:ascii="宋体"/>
                <w:vanish/>
              </w:rPr>
            </w:pPr>
          </w:p>
        </w:tc>
        <w:tc>
          <w:tcPr>
            <w:tcW w:w="0" w:type="auto"/>
            <w:gridSpan w:val="3"/>
            <w:shd w:val="clear" w:color="auto" w:fill="auto"/>
          </w:tcPr>
          <w:p w14:paraId="5EA27F52" w14:textId="77777777" w:rsidR="003C66EB" w:rsidRDefault="003C66EB">
            <w:pPr>
              <w:rPr>
                <w:rFonts w:ascii="宋体"/>
                <w:vanish/>
              </w:rPr>
            </w:pPr>
          </w:p>
        </w:tc>
        <w:tc>
          <w:tcPr>
            <w:tcW w:w="0" w:type="auto"/>
            <w:gridSpan w:val="3"/>
            <w:shd w:val="clear" w:color="auto" w:fill="auto"/>
          </w:tcPr>
          <w:p w14:paraId="5EA27F53" w14:textId="77777777" w:rsidR="003C66EB" w:rsidRDefault="003C66EB">
            <w:pPr>
              <w:rPr>
                <w:rFonts w:ascii="宋体"/>
                <w:vanish/>
              </w:rPr>
            </w:pPr>
          </w:p>
        </w:tc>
      </w:tr>
      <w:tr w:rsidR="003C66EB" w14:paraId="5EA27F69" w14:textId="77777777">
        <w:trPr>
          <w:hidden/>
        </w:trPr>
        <w:tc>
          <w:tcPr>
            <w:tcW w:w="0" w:type="auto"/>
            <w:gridSpan w:val="3"/>
            <w:shd w:val="clear" w:color="auto" w:fill="auto"/>
          </w:tcPr>
          <w:p w14:paraId="5EA27F55" w14:textId="77777777" w:rsidR="003C66EB" w:rsidRDefault="003C66EB">
            <w:pPr>
              <w:rPr>
                <w:rFonts w:ascii="宋体"/>
                <w:vanish/>
              </w:rPr>
            </w:pPr>
          </w:p>
        </w:tc>
        <w:tc>
          <w:tcPr>
            <w:tcW w:w="0" w:type="auto"/>
            <w:gridSpan w:val="3"/>
            <w:shd w:val="clear" w:color="auto" w:fill="auto"/>
          </w:tcPr>
          <w:p w14:paraId="5EA27F56" w14:textId="77777777" w:rsidR="003C66EB" w:rsidRDefault="003C66EB">
            <w:pPr>
              <w:rPr>
                <w:rFonts w:ascii="宋体"/>
                <w:vanish/>
              </w:rPr>
            </w:pPr>
          </w:p>
        </w:tc>
        <w:tc>
          <w:tcPr>
            <w:tcW w:w="0" w:type="auto"/>
            <w:gridSpan w:val="3"/>
            <w:shd w:val="clear" w:color="auto" w:fill="auto"/>
          </w:tcPr>
          <w:p w14:paraId="5EA27F57" w14:textId="77777777" w:rsidR="003C66EB" w:rsidRDefault="003C66EB">
            <w:pPr>
              <w:rPr>
                <w:rFonts w:ascii="宋体"/>
                <w:vanish/>
              </w:rPr>
            </w:pPr>
          </w:p>
        </w:tc>
        <w:tc>
          <w:tcPr>
            <w:tcW w:w="0" w:type="auto"/>
            <w:gridSpan w:val="3"/>
            <w:shd w:val="clear" w:color="auto" w:fill="auto"/>
          </w:tcPr>
          <w:p w14:paraId="5EA27F58" w14:textId="77777777" w:rsidR="003C66EB" w:rsidRDefault="003C66EB">
            <w:pPr>
              <w:rPr>
                <w:rFonts w:ascii="宋体"/>
                <w:vanish/>
              </w:rPr>
            </w:pPr>
          </w:p>
        </w:tc>
        <w:tc>
          <w:tcPr>
            <w:tcW w:w="0" w:type="auto"/>
            <w:gridSpan w:val="3"/>
            <w:shd w:val="clear" w:color="auto" w:fill="auto"/>
          </w:tcPr>
          <w:p w14:paraId="5EA27F59" w14:textId="77777777" w:rsidR="003C66EB" w:rsidRDefault="003C66EB">
            <w:pPr>
              <w:rPr>
                <w:rFonts w:ascii="宋体"/>
                <w:vanish/>
              </w:rPr>
            </w:pPr>
          </w:p>
        </w:tc>
        <w:tc>
          <w:tcPr>
            <w:tcW w:w="0" w:type="auto"/>
            <w:gridSpan w:val="3"/>
            <w:shd w:val="clear" w:color="auto" w:fill="auto"/>
          </w:tcPr>
          <w:p w14:paraId="5EA27F5A" w14:textId="77777777" w:rsidR="003C66EB" w:rsidRDefault="003C66EB">
            <w:pPr>
              <w:rPr>
                <w:rFonts w:ascii="宋体"/>
                <w:vanish/>
              </w:rPr>
            </w:pPr>
          </w:p>
        </w:tc>
        <w:tc>
          <w:tcPr>
            <w:tcW w:w="0" w:type="auto"/>
            <w:gridSpan w:val="3"/>
            <w:shd w:val="clear" w:color="auto" w:fill="auto"/>
          </w:tcPr>
          <w:p w14:paraId="5EA27F5B" w14:textId="77777777" w:rsidR="003C66EB" w:rsidRDefault="003C66EB">
            <w:pPr>
              <w:rPr>
                <w:rFonts w:ascii="宋体"/>
                <w:vanish/>
              </w:rPr>
            </w:pPr>
          </w:p>
        </w:tc>
        <w:tc>
          <w:tcPr>
            <w:tcW w:w="0" w:type="auto"/>
            <w:gridSpan w:val="3"/>
            <w:shd w:val="clear" w:color="auto" w:fill="auto"/>
          </w:tcPr>
          <w:p w14:paraId="5EA27F5C" w14:textId="77777777" w:rsidR="003C66EB" w:rsidRDefault="003C66EB">
            <w:pPr>
              <w:rPr>
                <w:rFonts w:ascii="宋体"/>
                <w:vanish/>
              </w:rPr>
            </w:pPr>
          </w:p>
        </w:tc>
        <w:tc>
          <w:tcPr>
            <w:tcW w:w="0" w:type="auto"/>
            <w:gridSpan w:val="3"/>
            <w:shd w:val="clear" w:color="auto" w:fill="auto"/>
          </w:tcPr>
          <w:p w14:paraId="5EA27F5D" w14:textId="77777777" w:rsidR="003C66EB" w:rsidRDefault="003C66EB">
            <w:pPr>
              <w:rPr>
                <w:rFonts w:ascii="宋体"/>
                <w:vanish/>
              </w:rPr>
            </w:pPr>
          </w:p>
        </w:tc>
        <w:tc>
          <w:tcPr>
            <w:tcW w:w="0" w:type="auto"/>
            <w:gridSpan w:val="3"/>
            <w:shd w:val="clear" w:color="auto" w:fill="auto"/>
          </w:tcPr>
          <w:p w14:paraId="5EA27F5E" w14:textId="77777777" w:rsidR="003C66EB" w:rsidRDefault="003C66EB">
            <w:pPr>
              <w:rPr>
                <w:rFonts w:ascii="宋体"/>
                <w:vanish/>
              </w:rPr>
            </w:pPr>
          </w:p>
        </w:tc>
        <w:tc>
          <w:tcPr>
            <w:tcW w:w="0" w:type="auto"/>
            <w:gridSpan w:val="3"/>
            <w:shd w:val="clear" w:color="auto" w:fill="auto"/>
          </w:tcPr>
          <w:p w14:paraId="5EA27F5F" w14:textId="77777777" w:rsidR="003C66EB" w:rsidRDefault="003C66EB">
            <w:pPr>
              <w:rPr>
                <w:rFonts w:ascii="宋体"/>
                <w:vanish/>
              </w:rPr>
            </w:pPr>
          </w:p>
        </w:tc>
        <w:tc>
          <w:tcPr>
            <w:tcW w:w="0" w:type="auto"/>
            <w:gridSpan w:val="3"/>
            <w:shd w:val="clear" w:color="auto" w:fill="auto"/>
          </w:tcPr>
          <w:p w14:paraId="5EA27F60" w14:textId="77777777" w:rsidR="003C66EB" w:rsidRDefault="003C66EB">
            <w:pPr>
              <w:rPr>
                <w:rFonts w:ascii="宋体"/>
                <w:vanish/>
              </w:rPr>
            </w:pPr>
          </w:p>
        </w:tc>
        <w:tc>
          <w:tcPr>
            <w:tcW w:w="0" w:type="auto"/>
            <w:gridSpan w:val="3"/>
            <w:shd w:val="clear" w:color="auto" w:fill="auto"/>
          </w:tcPr>
          <w:p w14:paraId="5EA27F61" w14:textId="77777777" w:rsidR="003C66EB" w:rsidRDefault="003C66EB">
            <w:pPr>
              <w:rPr>
                <w:rFonts w:ascii="宋体"/>
                <w:vanish/>
              </w:rPr>
            </w:pPr>
          </w:p>
        </w:tc>
        <w:tc>
          <w:tcPr>
            <w:tcW w:w="0" w:type="auto"/>
            <w:gridSpan w:val="3"/>
            <w:shd w:val="clear" w:color="auto" w:fill="auto"/>
          </w:tcPr>
          <w:p w14:paraId="5EA27F62" w14:textId="77777777" w:rsidR="003C66EB" w:rsidRDefault="003C66EB">
            <w:pPr>
              <w:rPr>
                <w:rFonts w:ascii="宋体"/>
                <w:vanish/>
              </w:rPr>
            </w:pPr>
          </w:p>
        </w:tc>
        <w:tc>
          <w:tcPr>
            <w:tcW w:w="0" w:type="auto"/>
            <w:gridSpan w:val="3"/>
            <w:shd w:val="clear" w:color="auto" w:fill="auto"/>
          </w:tcPr>
          <w:p w14:paraId="5EA27F63" w14:textId="77777777" w:rsidR="003C66EB" w:rsidRDefault="003C66EB">
            <w:pPr>
              <w:rPr>
                <w:rFonts w:ascii="宋体"/>
                <w:vanish/>
              </w:rPr>
            </w:pPr>
          </w:p>
        </w:tc>
        <w:tc>
          <w:tcPr>
            <w:tcW w:w="0" w:type="auto"/>
            <w:gridSpan w:val="3"/>
            <w:shd w:val="clear" w:color="auto" w:fill="auto"/>
          </w:tcPr>
          <w:p w14:paraId="5EA27F64" w14:textId="77777777" w:rsidR="003C66EB" w:rsidRDefault="003C66EB">
            <w:pPr>
              <w:rPr>
                <w:rFonts w:ascii="宋体"/>
                <w:vanish/>
              </w:rPr>
            </w:pPr>
          </w:p>
        </w:tc>
        <w:tc>
          <w:tcPr>
            <w:tcW w:w="0" w:type="auto"/>
            <w:gridSpan w:val="3"/>
            <w:shd w:val="clear" w:color="auto" w:fill="auto"/>
          </w:tcPr>
          <w:p w14:paraId="5EA27F65" w14:textId="77777777" w:rsidR="003C66EB" w:rsidRDefault="003C66EB">
            <w:pPr>
              <w:rPr>
                <w:rFonts w:ascii="宋体"/>
                <w:vanish/>
              </w:rPr>
            </w:pPr>
          </w:p>
        </w:tc>
        <w:tc>
          <w:tcPr>
            <w:tcW w:w="0" w:type="auto"/>
            <w:gridSpan w:val="3"/>
            <w:shd w:val="clear" w:color="auto" w:fill="auto"/>
          </w:tcPr>
          <w:p w14:paraId="5EA27F66" w14:textId="77777777" w:rsidR="003C66EB" w:rsidRDefault="003C66EB">
            <w:pPr>
              <w:rPr>
                <w:rFonts w:ascii="宋体"/>
                <w:vanish/>
              </w:rPr>
            </w:pPr>
          </w:p>
        </w:tc>
        <w:tc>
          <w:tcPr>
            <w:tcW w:w="0" w:type="auto"/>
            <w:gridSpan w:val="3"/>
            <w:shd w:val="clear" w:color="auto" w:fill="auto"/>
          </w:tcPr>
          <w:p w14:paraId="5EA27F67" w14:textId="77777777" w:rsidR="003C66EB" w:rsidRDefault="003C66EB">
            <w:pPr>
              <w:rPr>
                <w:rFonts w:ascii="宋体"/>
                <w:vanish/>
              </w:rPr>
            </w:pPr>
          </w:p>
        </w:tc>
        <w:tc>
          <w:tcPr>
            <w:tcW w:w="0" w:type="auto"/>
            <w:gridSpan w:val="3"/>
            <w:shd w:val="clear" w:color="auto" w:fill="auto"/>
          </w:tcPr>
          <w:p w14:paraId="5EA27F68" w14:textId="77777777" w:rsidR="003C66EB" w:rsidRDefault="003C66EB">
            <w:pPr>
              <w:rPr>
                <w:rFonts w:ascii="宋体"/>
                <w:vanish/>
              </w:rPr>
            </w:pPr>
          </w:p>
        </w:tc>
      </w:tr>
      <w:tr w:rsidR="003C66EB" w14:paraId="5EA27F7E" w14:textId="77777777">
        <w:trPr>
          <w:hidden/>
        </w:trPr>
        <w:tc>
          <w:tcPr>
            <w:tcW w:w="0" w:type="auto"/>
            <w:gridSpan w:val="3"/>
            <w:shd w:val="clear" w:color="auto" w:fill="auto"/>
          </w:tcPr>
          <w:p w14:paraId="5EA27F6A" w14:textId="77777777" w:rsidR="003C66EB" w:rsidRDefault="003C66EB">
            <w:pPr>
              <w:rPr>
                <w:rFonts w:ascii="宋体"/>
                <w:vanish/>
              </w:rPr>
            </w:pPr>
          </w:p>
        </w:tc>
        <w:tc>
          <w:tcPr>
            <w:tcW w:w="0" w:type="auto"/>
            <w:gridSpan w:val="3"/>
            <w:shd w:val="clear" w:color="auto" w:fill="auto"/>
          </w:tcPr>
          <w:p w14:paraId="5EA27F6B" w14:textId="77777777" w:rsidR="003C66EB" w:rsidRDefault="003C66EB">
            <w:pPr>
              <w:rPr>
                <w:rFonts w:ascii="宋体"/>
                <w:vanish/>
              </w:rPr>
            </w:pPr>
          </w:p>
        </w:tc>
        <w:tc>
          <w:tcPr>
            <w:tcW w:w="0" w:type="auto"/>
            <w:gridSpan w:val="3"/>
            <w:shd w:val="clear" w:color="auto" w:fill="auto"/>
          </w:tcPr>
          <w:p w14:paraId="5EA27F6C" w14:textId="77777777" w:rsidR="003C66EB" w:rsidRDefault="003C66EB">
            <w:pPr>
              <w:rPr>
                <w:rFonts w:ascii="宋体"/>
                <w:vanish/>
              </w:rPr>
            </w:pPr>
          </w:p>
        </w:tc>
        <w:tc>
          <w:tcPr>
            <w:tcW w:w="0" w:type="auto"/>
            <w:gridSpan w:val="3"/>
            <w:shd w:val="clear" w:color="auto" w:fill="auto"/>
          </w:tcPr>
          <w:p w14:paraId="5EA27F6D" w14:textId="77777777" w:rsidR="003C66EB" w:rsidRDefault="003C66EB">
            <w:pPr>
              <w:rPr>
                <w:rFonts w:ascii="宋体"/>
                <w:vanish/>
              </w:rPr>
            </w:pPr>
          </w:p>
        </w:tc>
        <w:tc>
          <w:tcPr>
            <w:tcW w:w="0" w:type="auto"/>
            <w:gridSpan w:val="3"/>
            <w:shd w:val="clear" w:color="auto" w:fill="auto"/>
          </w:tcPr>
          <w:p w14:paraId="5EA27F6E" w14:textId="77777777" w:rsidR="003C66EB" w:rsidRDefault="003C66EB">
            <w:pPr>
              <w:rPr>
                <w:rFonts w:ascii="宋体"/>
                <w:vanish/>
              </w:rPr>
            </w:pPr>
          </w:p>
        </w:tc>
        <w:tc>
          <w:tcPr>
            <w:tcW w:w="0" w:type="auto"/>
            <w:gridSpan w:val="3"/>
            <w:shd w:val="clear" w:color="auto" w:fill="auto"/>
          </w:tcPr>
          <w:p w14:paraId="5EA27F6F" w14:textId="77777777" w:rsidR="003C66EB" w:rsidRDefault="003C66EB">
            <w:pPr>
              <w:rPr>
                <w:rFonts w:ascii="宋体"/>
                <w:vanish/>
              </w:rPr>
            </w:pPr>
          </w:p>
        </w:tc>
        <w:tc>
          <w:tcPr>
            <w:tcW w:w="0" w:type="auto"/>
            <w:gridSpan w:val="3"/>
            <w:shd w:val="clear" w:color="auto" w:fill="auto"/>
          </w:tcPr>
          <w:p w14:paraId="5EA27F70" w14:textId="77777777" w:rsidR="003C66EB" w:rsidRDefault="003C66EB">
            <w:pPr>
              <w:rPr>
                <w:rFonts w:ascii="宋体"/>
                <w:vanish/>
              </w:rPr>
            </w:pPr>
          </w:p>
        </w:tc>
        <w:tc>
          <w:tcPr>
            <w:tcW w:w="0" w:type="auto"/>
            <w:gridSpan w:val="3"/>
            <w:shd w:val="clear" w:color="auto" w:fill="auto"/>
          </w:tcPr>
          <w:p w14:paraId="5EA27F71" w14:textId="77777777" w:rsidR="003C66EB" w:rsidRDefault="003C66EB">
            <w:pPr>
              <w:rPr>
                <w:rFonts w:ascii="宋体"/>
                <w:vanish/>
              </w:rPr>
            </w:pPr>
          </w:p>
        </w:tc>
        <w:tc>
          <w:tcPr>
            <w:tcW w:w="0" w:type="auto"/>
            <w:gridSpan w:val="3"/>
            <w:shd w:val="clear" w:color="auto" w:fill="auto"/>
          </w:tcPr>
          <w:p w14:paraId="5EA27F72" w14:textId="77777777" w:rsidR="003C66EB" w:rsidRDefault="003C66EB">
            <w:pPr>
              <w:rPr>
                <w:rFonts w:ascii="宋体"/>
                <w:vanish/>
              </w:rPr>
            </w:pPr>
          </w:p>
        </w:tc>
        <w:tc>
          <w:tcPr>
            <w:tcW w:w="0" w:type="auto"/>
            <w:gridSpan w:val="3"/>
            <w:shd w:val="clear" w:color="auto" w:fill="auto"/>
          </w:tcPr>
          <w:p w14:paraId="5EA27F73" w14:textId="77777777" w:rsidR="003C66EB" w:rsidRDefault="003C66EB">
            <w:pPr>
              <w:rPr>
                <w:rFonts w:ascii="宋体"/>
                <w:vanish/>
              </w:rPr>
            </w:pPr>
          </w:p>
        </w:tc>
        <w:tc>
          <w:tcPr>
            <w:tcW w:w="0" w:type="auto"/>
            <w:gridSpan w:val="3"/>
            <w:shd w:val="clear" w:color="auto" w:fill="auto"/>
          </w:tcPr>
          <w:p w14:paraId="5EA27F74" w14:textId="77777777" w:rsidR="003C66EB" w:rsidRDefault="003C66EB">
            <w:pPr>
              <w:rPr>
                <w:rFonts w:ascii="宋体"/>
                <w:vanish/>
              </w:rPr>
            </w:pPr>
          </w:p>
        </w:tc>
        <w:tc>
          <w:tcPr>
            <w:tcW w:w="0" w:type="auto"/>
            <w:gridSpan w:val="3"/>
            <w:shd w:val="clear" w:color="auto" w:fill="auto"/>
          </w:tcPr>
          <w:p w14:paraId="5EA27F75" w14:textId="77777777" w:rsidR="003C66EB" w:rsidRDefault="003C66EB">
            <w:pPr>
              <w:rPr>
                <w:rFonts w:ascii="宋体"/>
                <w:vanish/>
              </w:rPr>
            </w:pPr>
          </w:p>
        </w:tc>
        <w:tc>
          <w:tcPr>
            <w:tcW w:w="0" w:type="auto"/>
            <w:gridSpan w:val="3"/>
            <w:shd w:val="clear" w:color="auto" w:fill="auto"/>
          </w:tcPr>
          <w:p w14:paraId="5EA27F76" w14:textId="77777777" w:rsidR="003C66EB" w:rsidRDefault="003C66EB">
            <w:pPr>
              <w:rPr>
                <w:rFonts w:ascii="宋体"/>
                <w:vanish/>
              </w:rPr>
            </w:pPr>
          </w:p>
        </w:tc>
        <w:tc>
          <w:tcPr>
            <w:tcW w:w="0" w:type="auto"/>
            <w:gridSpan w:val="3"/>
            <w:shd w:val="clear" w:color="auto" w:fill="auto"/>
          </w:tcPr>
          <w:p w14:paraId="5EA27F77" w14:textId="77777777" w:rsidR="003C66EB" w:rsidRDefault="003C66EB">
            <w:pPr>
              <w:rPr>
                <w:rFonts w:ascii="宋体"/>
                <w:vanish/>
              </w:rPr>
            </w:pPr>
          </w:p>
        </w:tc>
        <w:tc>
          <w:tcPr>
            <w:tcW w:w="0" w:type="auto"/>
            <w:gridSpan w:val="3"/>
            <w:shd w:val="clear" w:color="auto" w:fill="auto"/>
          </w:tcPr>
          <w:p w14:paraId="5EA27F78" w14:textId="77777777" w:rsidR="003C66EB" w:rsidRDefault="003C66EB">
            <w:pPr>
              <w:rPr>
                <w:rFonts w:ascii="宋体"/>
                <w:vanish/>
              </w:rPr>
            </w:pPr>
          </w:p>
        </w:tc>
        <w:tc>
          <w:tcPr>
            <w:tcW w:w="0" w:type="auto"/>
            <w:gridSpan w:val="3"/>
            <w:shd w:val="clear" w:color="auto" w:fill="auto"/>
          </w:tcPr>
          <w:p w14:paraId="5EA27F79" w14:textId="77777777" w:rsidR="003C66EB" w:rsidRDefault="003C66EB">
            <w:pPr>
              <w:rPr>
                <w:rFonts w:ascii="宋体"/>
                <w:vanish/>
              </w:rPr>
            </w:pPr>
          </w:p>
        </w:tc>
        <w:tc>
          <w:tcPr>
            <w:tcW w:w="0" w:type="auto"/>
            <w:gridSpan w:val="3"/>
            <w:shd w:val="clear" w:color="auto" w:fill="auto"/>
          </w:tcPr>
          <w:p w14:paraId="5EA27F7A" w14:textId="77777777" w:rsidR="003C66EB" w:rsidRDefault="003C66EB">
            <w:pPr>
              <w:rPr>
                <w:rFonts w:ascii="宋体"/>
                <w:vanish/>
              </w:rPr>
            </w:pPr>
          </w:p>
        </w:tc>
        <w:tc>
          <w:tcPr>
            <w:tcW w:w="0" w:type="auto"/>
            <w:gridSpan w:val="3"/>
            <w:shd w:val="clear" w:color="auto" w:fill="auto"/>
          </w:tcPr>
          <w:p w14:paraId="5EA27F7B" w14:textId="77777777" w:rsidR="003C66EB" w:rsidRDefault="003C66EB">
            <w:pPr>
              <w:rPr>
                <w:rFonts w:ascii="宋体"/>
                <w:vanish/>
              </w:rPr>
            </w:pPr>
          </w:p>
        </w:tc>
        <w:tc>
          <w:tcPr>
            <w:tcW w:w="0" w:type="auto"/>
            <w:gridSpan w:val="3"/>
            <w:shd w:val="clear" w:color="auto" w:fill="auto"/>
          </w:tcPr>
          <w:p w14:paraId="5EA27F7C" w14:textId="77777777" w:rsidR="003C66EB" w:rsidRDefault="003C66EB">
            <w:pPr>
              <w:rPr>
                <w:rFonts w:ascii="宋体"/>
                <w:vanish/>
              </w:rPr>
            </w:pPr>
          </w:p>
        </w:tc>
        <w:tc>
          <w:tcPr>
            <w:tcW w:w="0" w:type="auto"/>
            <w:gridSpan w:val="3"/>
            <w:shd w:val="clear" w:color="auto" w:fill="auto"/>
          </w:tcPr>
          <w:p w14:paraId="5EA27F7D" w14:textId="77777777" w:rsidR="003C66EB" w:rsidRDefault="003C66EB">
            <w:pPr>
              <w:rPr>
                <w:rFonts w:ascii="宋体"/>
                <w:vanish/>
              </w:rPr>
            </w:pPr>
          </w:p>
        </w:tc>
      </w:tr>
      <w:tr w:rsidR="003C66EB" w14:paraId="5EA27F93" w14:textId="77777777">
        <w:trPr>
          <w:hidden/>
        </w:trPr>
        <w:tc>
          <w:tcPr>
            <w:tcW w:w="0" w:type="auto"/>
            <w:gridSpan w:val="3"/>
            <w:shd w:val="clear" w:color="auto" w:fill="auto"/>
          </w:tcPr>
          <w:p w14:paraId="5EA27F7F" w14:textId="77777777" w:rsidR="003C66EB" w:rsidRDefault="003C66EB">
            <w:pPr>
              <w:rPr>
                <w:rFonts w:ascii="宋体"/>
                <w:vanish/>
              </w:rPr>
            </w:pPr>
          </w:p>
        </w:tc>
        <w:tc>
          <w:tcPr>
            <w:tcW w:w="0" w:type="auto"/>
            <w:gridSpan w:val="3"/>
            <w:shd w:val="clear" w:color="auto" w:fill="auto"/>
          </w:tcPr>
          <w:p w14:paraId="5EA27F80" w14:textId="77777777" w:rsidR="003C66EB" w:rsidRDefault="003C66EB">
            <w:pPr>
              <w:rPr>
                <w:rFonts w:ascii="宋体"/>
                <w:vanish/>
              </w:rPr>
            </w:pPr>
          </w:p>
        </w:tc>
        <w:tc>
          <w:tcPr>
            <w:tcW w:w="0" w:type="auto"/>
            <w:gridSpan w:val="3"/>
            <w:shd w:val="clear" w:color="auto" w:fill="auto"/>
          </w:tcPr>
          <w:p w14:paraId="5EA27F81" w14:textId="77777777" w:rsidR="003C66EB" w:rsidRDefault="003C66EB">
            <w:pPr>
              <w:rPr>
                <w:rFonts w:ascii="宋体"/>
                <w:vanish/>
              </w:rPr>
            </w:pPr>
          </w:p>
        </w:tc>
        <w:tc>
          <w:tcPr>
            <w:tcW w:w="0" w:type="auto"/>
            <w:gridSpan w:val="3"/>
            <w:shd w:val="clear" w:color="auto" w:fill="auto"/>
          </w:tcPr>
          <w:p w14:paraId="5EA27F82" w14:textId="77777777" w:rsidR="003C66EB" w:rsidRDefault="003C66EB">
            <w:pPr>
              <w:rPr>
                <w:rFonts w:ascii="宋体"/>
                <w:vanish/>
              </w:rPr>
            </w:pPr>
          </w:p>
        </w:tc>
        <w:tc>
          <w:tcPr>
            <w:tcW w:w="0" w:type="auto"/>
            <w:gridSpan w:val="3"/>
            <w:shd w:val="clear" w:color="auto" w:fill="auto"/>
          </w:tcPr>
          <w:p w14:paraId="5EA27F83" w14:textId="77777777" w:rsidR="003C66EB" w:rsidRDefault="003C66EB">
            <w:pPr>
              <w:rPr>
                <w:rFonts w:ascii="宋体"/>
                <w:vanish/>
              </w:rPr>
            </w:pPr>
          </w:p>
        </w:tc>
        <w:tc>
          <w:tcPr>
            <w:tcW w:w="0" w:type="auto"/>
            <w:gridSpan w:val="3"/>
            <w:shd w:val="clear" w:color="auto" w:fill="auto"/>
          </w:tcPr>
          <w:p w14:paraId="5EA27F84" w14:textId="77777777" w:rsidR="003C66EB" w:rsidRDefault="003C66EB">
            <w:pPr>
              <w:rPr>
                <w:rFonts w:ascii="宋体"/>
                <w:vanish/>
              </w:rPr>
            </w:pPr>
          </w:p>
        </w:tc>
        <w:tc>
          <w:tcPr>
            <w:tcW w:w="0" w:type="auto"/>
            <w:gridSpan w:val="3"/>
            <w:shd w:val="clear" w:color="auto" w:fill="auto"/>
          </w:tcPr>
          <w:p w14:paraId="5EA27F85" w14:textId="77777777" w:rsidR="003C66EB" w:rsidRDefault="003C66EB">
            <w:pPr>
              <w:rPr>
                <w:rFonts w:ascii="宋体"/>
                <w:vanish/>
              </w:rPr>
            </w:pPr>
          </w:p>
        </w:tc>
        <w:tc>
          <w:tcPr>
            <w:tcW w:w="0" w:type="auto"/>
            <w:gridSpan w:val="3"/>
            <w:shd w:val="clear" w:color="auto" w:fill="auto"/>
          </w:tcPr>
          <w:p w14:paraId="5EA27F86" w14:textId="77777777" w:rsidR="003C66EB" w:rsidRDefault="003C66EB">
            <w:pPr>
              <w:rPr>
                <w:rFonts w:ascii="宋体"/>
                <w:vanish/>
              </w:rPr>
            </w:pPr>
          </w:p>
        </w:tc>
        <w:tc>
          <w:tcPr>
            <w:tcW w:w="0" w:type="auto"/>
            <w:gridSpan w:val="3"/>
            <w:shd w:val="clear" w:color="auto" w:fill="auto"/>
          </w:tcPr>
          <w:p w14:paraId="5EA27F87" w14:textId="77777777" w:rsidR="003C66EB" w:rsidRDefault="003C66EB">
            <w:pPr>
              <w:rPr>
                <w:rFonts w:ascii="宋体"/>
                <w:vanish/>
              </w:rPr>
            </w:pPr>
          </w:p>
        </w:tc>
        <w:tc>
          <w:tcPr>
            <w:tcW w:w="0" w:type="auto"/>
            <w:gridSpan w:val="3"/>
            <w:shd w:val="clear" w:color="auto" w:fill="auto"/>
          </w:tcPr>
          <w:p w14:paraId="5EA27F88" w14:textId="77777777" w:rsidR="003C66EB" w:rsidRDefault="003C66EB">
            <w:pPr>
              <w:rPr>
                <w:rFonts w:ascii="宋体"/>
                <w:vanish/>
              </w:rPr>
            </w:pPr>
          </w:p>
        </w:tc>
        <w:tc>
          <w:tcPr>
            <w:tcW w:w="0" w:type="auto"/>
            <w:gridSpan w:val="3"/>
            <w:shd w:val="clear" w:color="auto" w:fill="auto"/>
          </w:tcPr>
          <w:p w14:paraId="5EA27F89" w14:textId="77777777" w:rsidR="003C66EB" w:rsidRDefault="003C66EB">
            <w:pPr>
              <w:rPr>
                <w:rFonts w:ascii="宋体"/>
                <w:vanish/>
              </w:rPr>
            </w:pPr>
          </w:p>
        </w:tc>
        <w:tc>
          <w:tcPr>
            <w:tcW w:w="0" w:type="auto"/>
            <w:gridSpan w:val="3"/>
            <w:shd w:val="clear" w:color="auto" w:fill="auto"/>
          </w:tcPr>
          <w:p w14:paraId="5EA27F8A" w14:textId="77777777" w:rsidR="003C66EB" w:rsidRDefault="003C66EB">
            <w:pPr>
              <w:rPr>
                <w:rFonts w:ascii="宋体"/>
                <w:vanish/>
              </w:rPr>
            </w:pPr>
          </w:p>
        </w:tc>
        <w:tc>
          <w:tcPr>
            <w:tcW w:w="0" w:type="auto"/>
            <w:gridSpan w:val="3"/>
            <w:shd w:val="clear" w:color="auto" w:fill="auto"/>
          </w:tcPr>
          <w:p w14:paraId="5EA27F8B" w14:textId="77777777" w:rsidR="003C66EB" w:rsidRDefault="003C66EB">
            <w:pPr>
              <w:rPr>
                <w:rFonts w:ascii="宋体"/>
                <w:vanish/>
              </w:rPr>
            </w:pPr>
          </w:p>
        </w:tc>
        <w:tc>
          <w:tcPr>
            <w:tcW w:w="0" w:type="auto"/>
            <w:gridSpan w:val="3"/>
            <w:shd w:val="clear" w:color="auto" w:fill="auto"/>
          </w:tcPr>
          <w:p w14:paraId="5EA27F8C" w14:textId="77777777" w:rsidR="003C66EB" w:rsidRDefault="003C66EB">
            <w:pPr>
              <w:rPr>
                <w:rFonts w:ascii="宋体"/>
                <w:vanish/>
              </w:rPr>
            </w:pPr>
          </w:p>
        </w:tc>
        <w:tc>
          <w:tcPr>
            <w:tcW w:w="0" w:type="auto"/>
            <w:gridSpan w:val="3"/>
            <w:shd w:val="clear" w:color="auto" w:fill="auto"/>
          </w:tcPr>
          <w:p w14:paraId="5EA27F8D" w14:textId="77777777" w:rsidR="003C66EB" w:rsidRDefault="003C66EB">
            <w:pPr>
              <w:rPr>
                <w:rFonts w:ascii="宋体"/>
                <w:vanish/>
              </w:rPr>
            </w:pPr>
          </w:p>
        </w:tc>
        <w:tc>
          <w:tcPr>
            <w:tcW w:w="0" w:type="auto"/>
            <w:gridSpan w:val="3"/>
            <w:shd w:val="clear" w:color="auto" w:fill="auto"/>
          </w:tcPr>
          <w:p w14:paraId="5EA27F8E" w14:textId="77777777" w:rsidR="003C66EB" w:rsidRDefault="003C66EB">
            <w:pPr>
              <w:rPr>
                <w:rFonts w:ascii="宋体"/>
                <w:vanish/>
              </w:rPr>
            </w:pPr>
          </w:p>
        </w:tc>
        <w:tc>
          <w:tcPr>
            <w:tcW w:w="0" w:type="auto"/>
            <w:gridSpan w:val="3"/>
            <w:shd w:val="clear" w:color="auto" w:fill="auto"/>
          </w:tcPr>
          <w:p w14:paraId="5EA27F8F" w14:textId="77777777" w:rsidR="003C66EB" w:rsidRDefault="003C66EB">
            <w:pPr>
              <w:rPr>
                <w:rFonts w:ascii="宋体"/>
                <w:vanish/>
              </w:rPr>
            </w:pPr>
          </w:p>
        </w:tc>
        <w:tc>
          <w:tcPr>
            <w:tcW w:w="0" w:type="auto"/>
            <w:gridSpan w:val="3"/>
            <w:shd w:val="clear" w:color="auto" w:fill="auto"/>
          </w:tcPr>
          <w:p w14:paraId="5EA27F90" w14:textId="77777777" w:rsidR="003C66EB" w:rsidRDefault="003C66EB">
            <w:pPr>
              <w:rPr>
                <w:rFonts w:ascii="宋体"/>
                <w:vanish/>
              </w:rPr>
            </w:pPr>
          </w:p>
        </w:tc>
        <w:tc>
          <w:tcPr>
            <w:tcW w:w="0" w:type="auto"/>
            <w:gridSpan w:val="3"/>
            <w:shd w:val="clear" w:color="auto" w:fill="auto"/>
          </w:tcPr>
          <w:p w14:paraId="5EA27F91" w14:textId="77777777" w:rsidR="003C66EB" w:rsidRDefault="003C66EB">
            <w:pPr>
              <w:rPr>
                <w:rFonts w:ascii="宋体"/>
                <w:vanish/>
              </w:rPr>
            </w:pPr>
          </w:p>
        </w:tc>
        <w:tc>
          <w:tcPr>
            <w:tcW w:w="0" w:type="auto"/>
            <w:gridSpan w:val="3"/>
            <w:shd w:val="clear" w:color="auto" w:fill="auto"/>
          </w:tcPr>
          <w:p w14:paraId="5EA27F92" w14:textId="77777777" w:rsidR="003C66EB" w:rsidRDefault="003C66EB">
            <w:pPr>
              <w:rPr>
                <w:rFonts w:ascii="宋体"/>
                <w:vanish/>
              </w:rPr>
            </w:pPr>
          </w:p>
        </w:tc>
      </w:tr>
      <w:tr w:rsidR="003C66EB" w14:paraId="5EA27FA8" w14:textId="77777777">
        <w:trPr>
          <w:hidden/>
        </w:trPr>
        <w:tc>
          <w:tcPr>
            <w:tcW w:w="0" w:type="auto"/>
            <w:gridSpan w:val="3"/>
            <w:shd w:val="clear" w:color="auto" w:fill="auto"/>
          </w:tcPr>
          <w:p w14:paraId="5EA27F94" w14:textId="77777777" w:rsidR="003C66EB" w:rsidRDefault="003C66EB">
            <w:pPr>
              <w:rPr>
                <w:rFonts w:ascii="宋体"/>
                <w:vanish/>
              </w:rPr>
            </w:pPr>
          </w:p>
        </w:tc>
        <w:tc>
          <w:tcPr>
            <w:tcW w:w="0" w:type="auto"/>
            <w:gridSpan w:val="3"/>
            <w:shd w:val="clear" w:color="auto" w:fill="auto"/>
          </w:tcPr>
          <w:p w14:paraId="5EA27F95" w14:textId="77777777" w:rsidR="003C66EB" w:rsidRDefault="003C66EB">
            <w:pPr>
              <w:rPr>
                <w:rFonts w:ascii="宋体"/>
                <w:vanish/>
              </w:rPr>
            </w:pPr>
          </w:p>
        </w:tc>
        <w:tc>
          <w:tcPr>
            <w:tcW w:w="0" w:type="auto"/>
            <w:gridSpan w:val="3"/>
            <w:shd w:val="clear" w:color="auto" w:fill="auto"/>
          </w:tcPr>
          <w:p w14:paraId="5EA27F96" w14:textId="77777777" w:rsidR="003C66EB" w:rsidRDefault="003C66EB">
            <w:pPr>
              <w:rPr>
                <w:rFonts w:ascii="宋体"/>
                <w:vanish/>
              </w:rPr>
            </w:pPr>
          </w:p>
        </w:tc>
        <w:tc>
          <w:tcPr>
            <w:tcW w:w="0" w:type="auto"/>
            <w:gridSpan w:val="3"/>
            <w:shd w:val="clear" w:color="auto" w:fill="auto"/>
          </w:tcPr>
          <w:p w14:paraId="5EA27F97" w14:textId="77777777" w:rsidR="003C66EB" w:rsidRDefault="003C66EB">
            <w:pPr>
              <w:rPr>
                <w:rFonts w:ascii="宋体"/>
                <w:vanish/>
              </w:rPr>
            </w:pPr>
          </w:p>
        </w:tc>
        <w:tc>
          <w:tcPr>
            <w:tcW w:w="0" w:type="auto"/>
            <w:gridSpan w:val="3"/>
            <w:shd w:val="clear" w:color="auto" w:fill="auto"/>
          </w:tcPr>
          <w:p w14:paraId="5EA27F98" w14:textId="77777777" w:rsidR="003C66EB" w:rsidRDefault="003C66EB">
            <w:pPr>
              <w:rPr>
                <w:rFonts w:ascii="宋体"/>
                <w:vanish/>
              </w:rPr>
            </w:pPr>
          </w:p>
        </w:tc>
        <w:tc>
          <w:tcPr>
            <w:tcW w:w="0" w:type="auto"/>
            <w:gridSpan w:val="3"/>
            <w:shd w:val="clear" w:color="auto" w:fill="auto"/>
          </w:tcPr>
          <w:p w14:paraId="5EA27F99" w14:textId="77777777" w:rsidR="003C66EB" w:rsidRDefault="003C66EB">
            <w:pPr>
              <w:rPr>
                <w:rFonts w:ascii="宋体"/>
                <w:vanish/>
              </w:rPr>
            </w:pPr>
          </w:p>
        </w:tc>
        <w:tc>
          <w:tcPr>
            <w:tcW w:w="0" w:type="auto"/>
            <w:gridSpan w:val="3"/>
            <w:shd w:val="clear" w:color="auto" w:fill="auto"/>
          </w:tcPr>
          <w:p w14:paraId="5EA27F9A" w14:textId="77777777" w:rsidR="003C66EB" w:rsidRDefault="003C66EB">
            <w:pPr>
              <w:rPr>
                <w:rFonts w:ascii="宋体"/>
                <w:vanish/>
              </w:rPr>
            </w:pPr>
          </w:p>
        </w:tc>
        <w:tc>
          <w:tcPr>
            <w:tcW w:w="0" w:type="auto"/>
            <w:gridSpan w:val="3"/>
            <w:shd w:val="clear" w:color="auto" w:fill="auto"/>
          </w:tcPr>
          <w:p w14:paraId="5EA27F9B" w14:textId="77777777" w:rsidR="003C66EB" w:rsidRDefault="003C66EB">
            <w:pPr>
              <w:rPr>
                <w:rFonts w:ascii="宋体"/>
                <w:vanish/>
              </w:rPr>
            </w:pPr>
          </w:p>
        </w:tc>
        <w:tc>
          <w:tcPr>
            <w:tcW w:w="0" w:type="auto"/>
            <w:gridSpan w:val="3"/>
            <w:shd w:val="clear" w:color="auto" w:fill="auto"/>
          </w:tcPr>
          <w:p w14:paraId="5EA27F9C" w14:textId="77777777" w:rsidR="003C66EB" w:rsidRDefault="003C66EB">
            <w:pPr>
              <w:rPr>
                <w:rFonts w:ascii="宋体"/>
                <w:vanish/>
              </w:rPr>
            </w:pPr>
          </w:p>
        </w:tc>
        <w:tc>
          <w:tcPr>
            <w:tcW w:w="0" w:type="auto"/>
            <w:gridSpan w:val="3"/>
            <w:shd w:val="clear" w:color="auto" w:fill="auto"/>
          </w:tcPr>
          <w:p w14:paraId="5EA27F9D" w14:textId="77777777" w:rsidR="003C66EB" w:rsidRDefault="003C66EB">
            <w:pPr>
              <w:rPr>
                <w:rFonts w:ascii="宋体"/>
                <w:vanish/>
              </w:rPr>
            </w:pPr>
          </w:p>
        </w:tc>
        <w:tc>
          <w:tcPr>
            <w:tcW w:w="0" w:type="auto"/>
            <w:gridSpan w:val="3"/>
            <w:shd w:val="clear" w:color="auto" w:fill="auto"/>
          </w:tcPr>
          <w:p w14:paraId="5EA27F9E" w14:textId="77777777" w:rsidR="003C66EB" w:rsidRDefault="003C66EB">
            <w:pPr>
              <w:rPr>
                <w:rFonts w:ascii="宋体"/>
                <w:vanish/>
              </w:rPr>
            </w:pPr>
          </w:p>
        </w:tc>
        <w:tc>
          <w:tcPr>
            <w:tcW w:w="0" w:type="auto"/>
            <w:gridSpan w:val="3"/>
            <w:shd w:val="clear" w:color="auto" w:fill="auto"/>
          </w:tcPr>
          <w:p w14:paraId="5EA27F9F" w14:textId="77777777" w:rsidR="003C66EB" w:rsidRDefault="003C66EB">
            <w:pPr>
              <w:rPr>
                <w:rFonts w:ascii="宋体"/>
                <w:vanish/>
              </w:rPr>
            </w:pPr>
          </w:p>
        </w:tc>
        <w:tc>
          <w:tcPr>
            <w:tcW w:w="0" w:type="auto"/>
            <w:gridSpan w:val="3"/>
            <w:shd w:val="clear" w:color="auto" w:fill="auto"/>
          </w:tcPr>
          <w:p w14:paraId="5EA27FA0" w14:textId="77777777" w:rsidR="003C66EB" w:rsidRDefault="003C66EB">
            <w:pPr>
              <w:rPr>
                <w:rFonts w:ascii="宋体"/>
                <w:vanish/>
              </w:rPr>
            </w:pPr>
          </w:p>
        </w:tc>
        <w:tc>
          <w:tcPr>
            <w:tcW w:w="0" w:type="auto"/>
            <w:gridSpan w:val="3"/>
            <w:shd w:val="clear" w:color="auto" w:fill="auto"/>
          </w:tcPr>
          <w:p w14:paraId="5EA27FA1" w14:textId="77777777" w:rsidR="003C66EB" w:rsidRDefault="003C66EB">
            <w:pPr>
              <w:rPr>
                <w:rFonts w:ascii="宋体"/>
                <w:vanish/>
              </w:rPr>
            </w:pPr>
          </w:p>
        </w:tc>
        <w:tc>
          <w:tcPr>
            <w:tcW w:w="0" w:type="auto"/>
            <w:gridSpan w:val="3"/>
            <w:shd w:val="clear" w:color="auto" w:fill="auto"/>
          </w:tcPr>
          <w:p w14:paraId="5EA27FA2" w14:textId="77777777" w:rsidR="003C66EB" w:rsidRDefault="003C66EB">
            <w:pPr>
              <w:rPr>
                <w:rFonts w:ascii="宋体"/>
                <w:vanish/>
              </w:rPr>
            </w:pPr>
          </w:p>
        </w:tc>
        <w:tc>
          <w:tcPr>
            <w:tcW w:w="0" w:type="auto"/>
            <w:gridSpan w:val="3"/>
            <w:shd w:val="clear" w:color="auto" w:fill="auto"/>
          </w:tcPr>
          <w:p w14:paraId="5EA27FA3" w14:textId="77777777" w:rsidR="003C66EB" w:rsidRDefault="003C66EB">
            <w:pPr>
              <w:rPr>
                <w:rFonts w:ascii="宋体"/>
                <w:vanish/>
              </w:rPr>
            </w:pPr>
          </w:p>
        </w:tc>
        <w:tc>
          <w:tcPr>
            <w:tcW w:w="0" w:type="auto"/>
            <w:gridSpan w:val="3"/>
            <w:shd w:val="clear" w:color="auto" w:fill="auto"/>
          </w:tcPr>
          <w:p w14:paraId="5EA27FA4" w14:textId="77777777" w:rsidR="003C66EB" w:rsidRDefault="003C66EB">
            <w:pPr>
              <w:rPr>
                <w:rFonts w:ascii="宋体"/>
                <w:vanish/>
              </w:rPr>
            </w:pPr>
          </w:p>
        </w:tc>
        <w:tc>
          <w:tcPr>
            <w:tcW w:w="0" w:type="auto"/>
            <w:gridSpan w:val="3"/>
            <w:shd w:val="clear" w:color="auto" w:fill="auto"/>
          </w:tcPr>
          <w:p w14:paraId="5EA27FA5" w14:textId="77777777" w:rsidR="003C66EB" w:rsidRDefault="003C66EB">
            <w:pPr>
              <w:rPr>
                <w:rFonts w:ascii="宋体"/>
                <w:vanish/>
              </w:rPr>
            </w:pPr>
          </w:p>
        </w:tc>
        <w:tc>
          <w:tcPr>
            <w:tcW w:w="0" w:type="auto"/>
            <w:gridSpan w:val="3"/>
            <w:shd w:val="clear" w:color="auto" w:fill="auto"/>
          </w:tcPr>
          <w:p w14:paraId="5EA27FA6" w14:textId="77777777" w:rsidR="003C66EB" w:rsidRDefault="003C66EB">
            <w:pPr>
              <w:rPr>
                <w:rFonts w:ascii="宋体"/>
                <w:vanish/>
              </w:rPr>
            </w:pPr>
          </w:p>
        </w:tc>
        <w:tc>
          <w:tcPr>
            <w:tcW w:w="0" w:type="auto"/>
            <w:gridSpan w:val="3"/>
            <w:shd w:val="clear" w:color="auto" w:fill="auto"/>
          </w:tcPr>
          <w:p w14:paraId="5EA27FA7" w14:textId="77777777" w:rsidR="003C66EB" w:rsidRDefault="003C66EB">
            <w:pPr>
              <w:rPr>
                <w:rFonts w:ascii="宋体"/>
                <w:vanish/>
              </w:rPr>
            </w:pPr>
          </w:p>
        </w:tc>
      </w:tr>
      <w:tr w:rsidR="003C66EB" w14:paraId="5EA27FBD" w14:textId="77777777">
        <w:trPr>
          <w:hidden/>
        </w:trPr>
        <w:tc>
          <w:tcPr>
            <w:tcW w:w="0" w:type="auto"/>
            <w:gridSpan w:val="3"/>
            <w:shd w:val="clear" w:color="auto" w:fill="auto"/>
          </w:tcPr>
          <w:p w14:paraId="5EA27FA9" w14:textId="77777777" w:rsidR="003C66EB" w:rsidRDefault="003C66EB">
            <w:pPr>
              <w:rPr>
                <w:rFonts w:ascii="宋体"/>
                <w:vanish/>
              </w:rPr>
            </w:pPr>
          </w:p>
        </w:tc>
        <w:tc>
          <w:tcPr>
            <w:tcW w:w="0" w:type="auto"/>
            <w:gridSpan w:val="3"/>
            <w:shd w:val="clear" w:color="auto" w:fill="auto"/>
          </w:tcPr>
          <w:p w14:paraId="5EA27FAA" w14:textId="77777777" w:rsidR="003C66EB" w:rsidRDefault="003C66EB">
            <w:pPr>
              <w:rPr>
                <w:rFonts w:ascii="宋体"/>
                <w:vanish/>
              </w:rPr>
            </w:pPr>
          </w:p>
        </w:tc>
        <w:tc>
          <w:tcPr>
            <w:tcW w:w="0" w:type="auto"/>
            <w:gridSpan w:val="3"/>
            <w:shd w:val="clear" w:color="auto" w:fill="auto"/>
          </w:tcPr>
          <w:p w14:paraId="5EA27FAB" w14:textId="77777777" w:rsidR="003C66EB" w:rsidRDefault="003C66EB">
            <w:pPr>
              <w:rPr>
                <w:rFonts w:ascii="宋体"/>
                <w:vanish/>
              </w:rPr>
            </w:pPr>
          </w:p>
        </w:tc>
        <w:tc>
          <w:tcPr>
            <w:tcW w:w="0" w:type="auto"/>
            <w:gridSpan w:val="3"/>
            <w:shd w:val="clear" w:color="auto" w:fill="auto"/>
          </w:tcPr>
          <w:p w14:paraId="5EA27FAC" w14:textId="77777777" w:rsidR="003C66EB" w:rsidRDefault="003C66EB">
            <w:pPr>
              <w:rPr>
                <w:rFonts w:ascii="宋体"/>
                <w:vanish/>
              </w:rPr>
            </w:pPr>
          </w:p>
        </w:tc>
        <w:tc>
          <w:tcPr>
            <w:tcW w:w="0" w:type="auto"/>
            <w:gridSpan w:val="3"/>
            <w:shd w:val="clear" w:color="auto" w:fill="auto"/>
          </w:tcPr>
          <w:p w14:paraId="5EA27FAD" w14:textId="77777777" w:rsidR="003C66EB" w:rsidRDefault="003C66EB">
            <w:pPr>
              <w:rPr>
                <w:rFonts w:ascii="宋体"/>
                <w:vanish/>
              </w:rPr>
            </w:pPr>
          </w:p>
        </w:tc>
        <w:tc>
          <w:tcPr>
            <w:tcW w:w="0" w:type="auto"/>
            <w:gridSpan w:val="3"/>
            <w:shd w:val="clear" w:color="auto" w:fill="auto"/>
          </w:tcPr>
          <w:p w14:paraId="5EA27FAE" w14:textId="77777777" w:rsidR="003C66EB" w:rsidRDefault="003C66EB">
            <w:pPr>
              <w:rPr>
                <w:rFonts w:ascii="宋体"/>
                <w:vanish/>
              </w:rPr>
            </w:pPr>
          </w:p>
        </w:tc>
        <w:tc>
          <w:tcPr>
            <w:tcW w:w="0" w:type="auto"/>
            <w:gridSpan w:val="3"/>
            <w:shd w:val="clear" w:color="auto" w:fill="auto"/>
          </w:tcPr>
          <w:p w14:paraId="5EA27FAF" w14:textId="77777777" w:rsidR="003C66EB" w:rsidRDefault="003C66EB">
            <w:pPr>
              <w:rPr>
                <w:rFonts w:ascii="宋体"/>
                <w:vanish/>
              </w:rPr>
            </w:pPr>
          </w:p>
        </w:tc>
        <w:tc>
          <w:tcPr>
            <w:tcW w:w="0" w:type="auto"/>
            <w:gridSpan w:val="3"/>
            <w:shd w:val="clear" w:color="auto" w:fill="auto"/>
          </w:tcPr>
          <w:p w14:paraId="5EA27FB0" w14:textId="77777777" w:rsidR="003C66EB" w:rsidRDefault="003C66EB">
            <w:pPr>
              <w:rPr>
                <w:rFonts w:ascii="宋体"/>
                <w:vanish/>
              </w:rPr>
            </w:pPr>
          </w:p>
        </w:tc>
        <w:tc>
          <w:tcPr>
            <w:tcW w:w="0" w:type="auto"/>
            <w:gridSpan w:val="3"/>
            <w:shd w:val="clear" w:color="auto" w:fill="auto"/>
          </w:tcPr>
          <w:p w14:paraId="5EA27FB1" w14:textId="77777777" w:rsidR="003C66EB" w:rsidRDefault="003C66EB">
            <w:pPr>
              <w:rPr>
                <w:rFonts w:ascii="宋体"/>
                <w:vanish/>
              </w:rPr>
            </w:pPr>
          </w:p>
        </w:tc>
        <w:tc>
          <w:tcPr>
            <w:tcW w:w="0" w:type="auto"/>
            <w:gridSpan w:val="3"/>
            <w:shd w:val="clear" w:color="auto" w:fill="auto"/>
          </w:tcPr>
          <w:p w14:paraId="5EA27FB2" w14:textId="77777777" w:rsidR="003C66EB" w:rsidRDefault="003C66EB">
            <w:pPr>
              <w:rPr>
                <w:rFonts w:ascii="宋体"/>
                <w:vanish/>
              </w:rPr>
            </w:pPr>
          </w:p>
        </w:tc>
        <w:tc>
          <w:tcPr>
            <w:tcW w:w="0" w:type="auto"/>
            <w:gridSpan w:val="3"/>
            <w:shd w:val="clear" w:color="auto" w:fill="auto"/>
          </w:tcPr>
          <w:p w14:paraId="5EA27FB3" w14:textId="77777777" w:rsidR="003C66EB" w:rsidRDefault="003C66EB">
            <w:pPr>
              <w:rPr>
                <w:rFonts w:ascii="宋体"/>
                <w:vanish/>
              </w:rPr>
            </w:pPr>
          </w:p>
        </w:tc>
        <w:tc>
          <w:tcPr>
            <w:tcW w:w="0" w:type="auto"/>
            <w:gridSpan w:val="3"/>
            <w:shd w:val="clear" w:color="auto" w:fill="auto"/>
          </w:tcPr>
          <w:p w14:paraId="5EA27FB4" w14:textId="77777777" w:rsidR="003C66EB" w:rsidRDefault="003C66EB">
            <w:pPr>
              <w:rPr>
                <w:rFonts w:ascii="宋体"/>
                <w:vanish/>
              </w:rPr>
            </w:pPr>
          </w:p>
        </w:tc>
        <w:tc>
          <w:tcPr>
            <w:tcW w:w="0" w:type="auto"/>
            <w:gridSpan w:val="3"/>
            <w:shd w:val="clear" w:color="auto" w:fill="auto"/>
          </w:tcPr>
          <w:p w14:paraId="5EA27FB5" w14:textId="77777777" w:rsidR="003C66EB" w:rsidRDefault="003C66EB">
            <w:pPr>
              <w:rPr>
                <w:rFonts w:ascii="宋体"/>
                <w:vanish/>
              </w:rPr>
            </w:pPr>
          </w:p>
        </w:tc>
        <w:tc>
          <w:tcPr>
            <w:tcW w:w="0" w:type="auto"/>
            <w:gridSpan w:val="3"/>
            <w:shd w:val="clear" w:color="auto" w:fill="auto"/>
          </w:tcPr>
          <w:p w14:paraId="5EA27FB6" w14:textId="77777777" w:rsidR="003C66EB" w:rsidRDefault="003C66EB">
            <w:pPr>
              <w:rPr>
                <w:rFonts w:ascii="宋体"/>
                <w:vanish/>
              </w:rPr>
            </w:pPr>
          </w:p>
        </w:tc>
        <w:tc>
          <w:tcPr>
            <w:tcW w:w="0" w:type="auto"/>
            <w:gridSpan w:val="3"/>
            <w:shd w:val="clear" w:color="auto" w:fill="auto"/>
          </w:tcPr>
          <w:p w14:paraId="5EA27FB7" w14:textId="77777777" w:rsidR="003C66EB" w:rsidRDefault="003C66EB">
            <w:pPr>
              <w:rPr>
                <w:rFonts w:ascii="宋体"/>
                <w:vanish/>
              </w:rPr>
            </w:pPr>
          </w:p>
        </w:tc>
        <w:tc>
          <w:tcPr>
            <w:tcW w:w="0" w:type="auto"/>
            <w:gridSpan w:val="3"/>
            <w:shd w:val="clear" w:color="auto" w:fill="auto"/>
          </w:tcPr>
          <w:p w14:paraId="5EA27FB8" w14:textId="77777777" w:rsidR="003C66EB" w:rsidRDefault="003C66EB">
            <w:pPr>
              <w:rPr>
                <w:rFonts w:ascii="宋体"/>
                <w:vanish/>
              </w:rPr>
            </w:pPr>
          </w:p>
        </w:tc>
        <w:tc>
          <w:tcPr>
            <w:tcW w:w="0" w:type="auto"/>
            <w:gridSpan w:val="3"/>
            <w:shd w:val="clear" w:color="auto" w:fill="auto"/>
          </w:tcPr>
          <w:p w14:paraId="5EA27FB9" w14:textId="77777777" w:rsidR="003C66EB" w:rsidRDefault="003C66EB">
            <w:pPr>
              <w:rPr>
                <w:rFonts w:ascii="宋体"/>
                <w:vanish/>
              </w:rPr>
            </w:pPr>
          </w:p>
        </w:tc>
        <w:tc>
          <w:tcPr>
            <w:tcW w:w="0" w:type="auto"/>
            <w:gridSpan w:val="3"/>
            <w:shd w:val="clear" w:color="auto" w:fill="auto"/>
          </w:tcPr>
          <w:p w14:paraId="5EA27FBA" w14:textId="77777777" w:rsidR="003C66EB" w:rsidRDefault="003C66EB">
            <w:pPr>
              <w:rPr>
                <w:rFonts w:ascii="宋体"/>
                <w:vanish/>
              </w:rPr>
            </w:pPr>
          </w:p>
        </w:tc>
        <w:tc>
          <w:tcPr>
            <w:tcW w:w="0" w:type="auto"/>
            <w:gridSpan w:val="3"/>
            <w:shd w:val="clear" w:color="auto" w:fill="auto"/>
          </w:tcPr>
          <w:p w14:paraId="5EA27FBB" w14:textId="77777777" w:rsidR="003C66EB" w:rsidRDefault="003C66EB">
            <w:pPr>
              <w:rPr>
                <w:rFonts w:ascii="宋体"/>
                <w:vanish/>
              </w:rPr>
            </w:pPr>
          </w:p>
        </w:tc>
        <w:tc>
          <w:tcPr>
            <w:tcW w:w="0" w:type="auto"/>
            <w:gridSpan w:val="3"/>
            <w:shd w:val="clear" w:color="auto" w:fill="auto"/>
          </w:tcPr>
          <w:p w14:paraId="5EA27FBC" w14:textId="77777777" w:rsidR="003C66EB" w:rsidRDefault="003C66EB">
            <w:pPr>
              <w:rPr>
                <w:rFonts w:ascii="宋体"/>
                <w:vanish/>
              </w:rPr>
            </w:pPr>
          </w:p>
        </w:tc>
      </w:tr>
      <w:tr w:rsidR="003C66EB" w14:paraId="5EA27FD2" w14:textId="77777777">
        <w:trPr>
          <w:hidden/>
        </w:trPr>
        <w:tc>
          <w:tcPr>
            <w:tcW w:w="0" w:type="auto"/>
            <w:gridSpan w:val="3"/>
            <w:shd w:val="clear" w:color="auto" w:fill="auto"/>
          </w:tcPr>
          <w:p w14:paraId="5EA27FBE" w14:textId="77777777" w:rsidR="003C66EB" w:rsidRDefault="003C66EB">
            <w:pPr>
              <w:rPr>
                <w:rFonts w:ascii="宋体"/>
                <w:vanish/>
              </w:rPr>
            </w:pPr>
          </w:p>
        </w:tc>
        <w:tc>
          <w:tcPr>
            <w:tcW w:w="0" w:type="auto"/>
            <w:gridSpan w:val="3"/>
            <w:shd w:val="clear" w:color="auto" w:fill="auto"/>
          </w:tcPr>
          <w:p w14:paraId="5EA27FBF" w14:textId="77777777" w:rsidR="003C66EB" w:rsidRDefault="003C66EB">
            <w:pPr>
              <w:rPr>
                <w:rFonts w:ascii="宋体"/>
                <w:vanish/>
              </w:rPr>
            </w:pPr>
          </w:p>
        </w:tc>
        <w:tc>
          <w:tcPr>
            <w:tcW w:w="0" w:type="auto"/>
            <w:gridSpan w:val="3"/>
            <w:shd w:val="clear" w:color="auto" w:fill="auto"/>
          </w:tcPr>
          <w:p w14:paraId="5EA27FC0" w14:textId="77777777" w:rsidR="003C66EB" w:rsidRDefault="003C66EB">
            <w:pPr>
              <w:rPr>
                <w:rFonts w:ascii="宋体"/>
                <w:vanish/>
              </w:rPr>
            </w:pPr>
          </w:p>
        </w:tc>
        <w:tc>
          <w:tcPr>
            <w:tcW w:w="0" w:type="auto"/>
            <w:gridSpan w:val="3"/>
            <w:shd w:val="clear" w:color="auto" w:fill="auto"/>
          </w:tcPr>
          <w:p w14:paraId="5EA27FC1" w14:textId="77777777" w:rsidR="003C66EB" w:rsidRDefault="003C66EB">
            <w:pPr>
              <w:rPr>
                <w:rFonts w:ascii="宋体"/>
                <w:vanish/>
              </w:rPr>
            </w:pPr>
          </w:p>
        </w:tc>
        <w:tc>
          <w:tcPr>
            <w:tcW w:w="0" w:type="auto"/>
            <w:gridSpan w:val="3"/>
            <w:shd w:val="clear" w:color="auto" w:fill="auto"/>
          </w:tcPr>
          <w:p w14:paraId="5EA27FC2" w14:textId="77777777" w:rsidR="003C66EB" w:rsidRDefault="003C66EB">
            <w:pPr>
              <w:rPr>
                <w:rFonts w:ascii="宋体"/>
                <w:vanish/>
              </w:rPr>
            </w:pPr>
          </w:p>
        </w:tc>
        <w:tc>
          <w:tcPr>
            <w:tcW w:w="0" w:type="auto"/>
            <w:gridSpan w:val="3"/>
            <w:shd w:val="clear" w:color="auto" w:fill="auto"/>
          </w:tcPr>
          <w:p w14:paraId="5EA27FC3" w14:textId="77777777" w:rsidR="003C66EB" w:rsidRDefault="003C66EB">
            <w:pPr>
              <w:rPr>
                <w:rFonts w:ascii="宋体"/>
                <w:vanish/>
              </w:rPr>
            </w:pPr>
          </w:p>
        </w:tc>
        <w:tc>
          <w:tcPr>
            <w:tcW w:w="0" w:type="auto"/>
            <w:gridSpan w:val="3"/>
            <w:shd w:val="clear" w:color="auto" w:fill="auto"/>
          </w:tcPr>
          <w:p w14:paraId="5EA27FC4" w14:textId="77777777" w:rsidR="003C66EB" w:rsidRDefault="003C66EB">
            <w:pPr>
              <w:rPr>
                <w:rFonts w:ascii="宋体"/>
                <w:vanish/>
              </w:rPr>
            </w:pPr>
          </w:p>
        </w:tc>
        <w:tc>
          <w:tcPr>
            <w:tcW w:w="0" w:type="auto"/>
            <w:gridSpan w:val="3"/>
            <w:shd w:val="clear" w:color="auto" w:fill="auto"/>
          </w:tcPr>
          <w:p w14:paraId="5EA27FC5" w14:textId="77777777" w:rsidR="003C66EB" w:rsidRDefault="003C66EB">
            <w:pPr>
              <w:rPr>
                <w:rFonts w:ascii="宋体"/>
                <w:vanish/>
              </w:rPr>
            </w:pPr>
          </w:p>
        </w:tc>
        <w:tc>
          <w:tcPr>
            <w:tcW w:w="0" w:type="auto"/>
            <w:gridSpan w:val="3"/>
            <w:shd w:val="clear" w:color="auto" w:fill="auto"/>
          </w:tcPr>
          <w:p w14:paraId="5EA27FC6" w14:textId="77777777" w:rsidR="003C66EB" w:rsidRDefault="003C66EB">
            <w:pPr>
              <w:rPr>
                <w:rFonts w:ascii="宋体"/>
                <w:vanish/>
              </w:rPr>
            </w:pPr>
          </w:p>
        </w:tc>
        <w:tc>
          <w:tcPr>
            <w:tcW w:w="0" w:type="auto"/>
            <w:gridSpan w:val="3"/>
            <w:shd w:val="clear" w:color="auto" w:fill="auto"/>
          </w:tcPr>
          <w:p w14:paraId="5EA27FC7" w14:textId="77777777" w:rsidR="003C66EB" w:rsidRDefault="003C66EB">
            <w:pPr>
              <w:rPr>
                <w:rFonts w:ascii="宋体"/>
                <w:vanish/>
              </w:rPr>
            </w:pPr>
          </w:p>
        </w:tc>
        <w:tc>
          <w:tcPr>
            <w:tcW w:w="0" w:type="auto"/>
            <w:gridSpan w:val="3"/>
            <w:shd w:val="clear" w:color="auto" w:fill="auto"/>
          </w:tcPr>
          <w:p w14:paraId="5EA27FC8" w14:textId="77777777" w:rsidR="003C66EB" w:rsidRDefault="003C66EB">
            <w:pPr>
              <w:rPr>
                <w:rFonts w:ascii="宋体"/>
                <w:vanish/>
              </w:rPr>
            </w:pPr>
          </w:p>
        </w:tc>
        <w:tc>
          <w:tcPr>
            <w:tcW w:w="0" w:type="auto"/>
            <w:gridSpan w:val="3"/>
            <w:shd w:val="clear" w:color="auto" w:fill="auto"/>
          </w:tcPr>
          <w:p w14:paraId="5EA27FC9" w14:textId="77777777" w:rsidR="003C66EB" w:rsidRDefault="003C66EB">
            <w:pPr>
              <w:rPr>
                <w:rFonts w:ascii="宋体"/>
                <w:vanish/>
              </w:rPr>
            </w:pPr>
          </w:p>
        </w:tc>
        <w:tc>
          <w:tcPr>
            <w:tcW w:w="0" w:type="auto"/>
            <w:gridSpan w:val="3"/>
            <w:shd w:val="clear" w:color="auto" w:fill="auto"/>
          </w:tcPr>
          <w:p w14:paraId="5EA27FCA" w14:textId="77777777" w:rsidR="003C66EB" w:rsidRDefault="003C66EB">
            <w:pPr>
              <w:rPr>
                <w:rFonts w:ascii="宋体"/>
                <w:vanish/>
              </w:rPr>
            </w:pPr>
          </w:p>
        </w:tc>
        <w:tc>
          <w:tcPr>
            <w:tcW w:w="0" w:type="auto"/>
            <w:gridSpan w:val="3"/>
            <w:shd w:val="clear" w:color="auto" w:fill="auto"/>
          </w:tcPr>
          <w:p w14:paraId="5EA27FCB" w14:textId="77777777" w:rsidR="003C66EB" w:rsidRDefault="003C66EB">
            <w:pPr>
              <w:rPr>
                <w:rFonts w:ascii="宋体"/>
                <w:vanish/>
              </w:rPr>
            </w:pPr>
          </w:p>
        </w:tc>
        <w:tc>
          <w:tcPr>
            <w:tcW w:w="0" w:type="auto"/>
            <w:gridSpan w:val="3"/>
            <w:shd w:val="clear" w:color="auto" w:fill="auto"/>
          </w:tcPr>
          <w:p w14:paraId="5EA27FCC" w14:textId="77777777" w:rsidR="003C66EB" w:rsidRDefault="003C66EB">
            <w:pPr>
              <w:rPr>
                <w:rFonts w:ascii="宋体"/>
                <w:vanish/>
              </w:rPr>
            </w:pPr>
          </w:p>
        </w:tc>
        <w:tc>
          <w:tcPr>
            <w:tcW w:w="0" w:type="auto"/>
            <w:gridSpan w:val="3"/>
            <w:shd w:val="clear" w:color="auto" w:fill="auto"/>
          </w:tcPr>
          <w:p w14:paraId="5EA27FCD" w14:textId="77777777" w:rsidR="003C66EB" w:rsidRDefault="003C66EB">
            <w:pPr>
              <w:rPr>
                <w:rFonts w:ascii="宋体"/>
                <w:vanish/>
              </w:rPr>
            </w:pPr>
          </w:p>
        </w:tc>
        <w:tc>
          <w:tcPr>
            <w:tcW w:w="0" w:type="auto"/>
            <w:gridSpan w:val="3"/>
            <w:shd w:val="clear" w:color="auto" w:fill="auto"/>
          </w:tcPr>
          <w:p w14:paraId="5EA27FCE" w14:textId="77777777" w:rsidR="003C66EB" w:rsidRDefault="003C66EB">
            <w:pPr>
              <w:rPr>
                <w:rFonts w:ascii="宋体"/>
                <w:vanish/>
              </w:rPr>
            </w:pPr>
          </w:p>
        </w:tc>
        <w:tc>
          <w:tcPr>
            <w:tcW w:w="0" w:type="auto"/>
            <w:gridSpan w:val="3"/>
            <w:shd w:val="clear" w:color="auto" w:fill="auto"/>
          </w:tcPr>
          <w:p w14:paraId="5EA27FCF" w14:textId="77777777" w:rsidR="003C66EB" w:rsidRDefault="003C66EB">
            <w:pPr>
              <w:rPr>
                <w:rFonts w:ascii="宋体"/>
                <w:vanish/>
              </w:rPr>
            </w:pPr>
          </w:p>
        </w:tc>
        <w:tc>
          <w:tcPr>
            <w:tcW w:w="0" w:type="auto"/>
            <w:gridSpan w:val="3"/>
            <w:shd w:val="clear" w:color="auto" w:fill="auto"/>
          </w:tcPr>
          <w:p w14:paraId="5EA27FD0" w14:textId="77777777" w:rsidR="003C66EB" w:rsidRDefault="003C66EB">
            <w:pPr>
              <w:rPr>
                <w:rFonts w:ascii="宋体"/>
                <w:vanish/>
              </w:rPr>
            </w:pPr>
          </w:p>
        </w:tc>
        <w:tc>
          <w:tcPr>
            <w:tcW w:w="0" w:type="auto"/>
            <w:gridSpan w:val="3"/>
            <w:shd w:val="clear" w:color="auto" w:fill="auto"/>
          </w:tcPr>
          <w:p w14:paraId="5EA27FD1" w14:textId="77777777" w:rsidR="003C66EB" w:rsidRDefault="003C66EB">
            <w:pPr>
              <w:rPr>
                <w:rFonts w:ascii="宋体"/>
                <w:vanish/>
              </w:rPr>
            </w:pPr>
          </w:p>
        </w:tc>
      </w:tr>
    </w:tbl>
    <w:p w14:paraId="5EA27FD3" w14:textId="77777777" w:rsidR="003C66EB" w:rsidRDefault="00D96C4E">
      <w:pPr>
        <w:spacing w:before="90"/>
        <w:jc w:val="both"/>
      </w:pPr>
      <w:r>
        <w:rPr>
          <w:rFonts w:ascii="Arial" w:eastAsia="宋体" w:hAnsi="Arial" w:cs="Arial"/>
          <w:b/>
          <w:bCs/>
          <w:color w:val="000000"/>
          <w:sz w:val="20"/>
          <w:szCs w:val="20"/>
        </w:rPr>
        <w:t>Contract balances and contract costs</w:t>
      </w:r>
    </w:p>
    <w:p w14:paraId="5EA27FD4" w14:textId="77777777" w:rsidR="003C66EB" w:rsidRDefault="00D96C4E">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March 31, 2021 and December 31, 2020, net receivables of $4.24 billion and $2.68 billion, respectively, are included in accrued interest and fees receivable, representing amounts billed or </w:t>
      </w:r>
      <w:r>
        <w:rPr>
          <w:rFonts w:ascii="Arial" w:eastAsia="宋体" w:hAnsi="Arial" w:cs="Arial"/>
          <w:color w:val="000000"/>
          <w:sz w:val="20"/>
          <w:szCs w:val="20"/>
        </w:rPr>
        <w:t>currently billable related to revenue from contracts with customers. As performance obligations are satisfied, we have an unconditional right to payment and billing is generally performed monthly or quarterly; therefore, we do not have significant contract</w:t>
      </w:r>
      <w:r>
        <w:rPr>
          <w:rFonts w:ascii="Arial" w:eastAsia="宋体" w:hAnsi="Arial" w:cs="Arial"/>
          <w:color w:val="000000"/>
          <w:sz w:val="20"/>
          <w:szCs w:val="20"/>
        </w:rPr>
        <w:t xml:space="preserve"> assets or liabilities.</w:t>
      </w:r>
    </w:p>
    <w:p w14:paraId="5EA27FD5" w14:textId="77777777" w:rsidR="003C66EB" w:rsidRDefault="00D96C4E">
      <w:pPr>
        <w:spacing w:before="60"/>
        <w:ind w:firstLine="450"/>
        <w:jc w:val="both"/>
      </w:pPr>
      <w:r>
        <w:rPr>
          <w:rFonts w:ascii="Arial" w:eastAsia="宋体" w:hAnsi="Arial" w:cs="Arial"/>
          <w:color w:val="000000"/>
          <w:sz w:val="20"/>
          <w:szCs w:val="20"/>
        </w:rPr>
        <w:t>No adjustments are made to the promised amount of consideration for the effects of a significant financing component as the period between when we transfer a promised service to a customer and when the customer pays for that service</w:t>
      </w:r>
      <w:r>
        <w:rPr>
          <w:rFonts w:ascii="Arial" w:eastAsia="宋体" w:hAnsi="Arial" w:cs="Arial"/>
          <w:color w:val="000000"/>
          <w:sz w:val="20"/>
          <w:szCs w:val="20"/>
        </w:rPr>
        <w:t xml:space="preserve"> is expected to be one year or less.</w:t>
      </w:r>
    </w:p>
    <w:p w14:paraId="5EA27FD6" w14:textId="77777777" w:rsidR="003C66EB" w:rsidRDefault="00D96C4E">
      <w:pPr>
        <w:ind w:firstLine="450"/>
        <w:jc w:val="right"/>
      </w:pPr>
      <w:r>
        <w:rPr>
          <w:rFonts w:ascii="Arial" w:eastAsia="宋体" w:hAnsi="Arial" w:cs="Arial"/>
          <w:color w:val="000000"/>
          <w:sz w:val="18"/>
          <w:szCs w:val="18"/>
        </w:rPr>
        <w:t>State Street Corporation | 84</w:t>
      </w:r>
    </w:p>
    <w:p w14:paraId="5EA27FD7" w14:textId="77777777" w:rsidR="003C66EB" w:rsidRDefault="003C66EB">
      <w:pPr>
        <w:ind w:firstLine="450"/>
        <w:jc w:val="center"/>
      </w:pPr>
    </w:p>
    <w:p w14:paraId="5EA27FD8" w14:textId="77777777" w:rsidR="003C66EB" w:rsidRDefault="00D96C4E">
      <w:r>
        <w:pict w14:anchorId="5EA28804">
          <v:rect id="_x0000_i1108" style="width:415.3pt;height:1.5pt" o:hralign="center" o:hrstd="t" o:hr="t" fillcolor="#a0a0a0" stroked="f"/>
        </w:pict>
      </w:r>
    </w:p>
    <w:p w14:paraId="5EA27FD9" w14:textId="77777777" w:rsidR="003C66EB" w:rsidRDefault="00D96C4E">
      <w:pPr>
        <w:ind w:firstLine="450"/>
        <w:jc w:val="center"/>
      </w:pPr>
      <w:r>
        <w:rPr>
          <w:rFonts w:ascii="Arial" w:eastAsia="宋体" w:hAnsi="Arial" w:cs="Arial"/>
          <w:b/>
          <w:bCs/>
          <w:color w:val="000000"/>
          <w:sz w:val="20"/>
          <w:szCs w:val="20"/>
        </w:rPr>
        <w:t>STATE STREET CORPORATION</w:t>
      </w:r>
    </w:p>
    <w:p w14:paraId="5EA27FDA" w14:textId="77777777" w:rsidR="003C66EB" w:rsidRDefault="00D96C4E">
      <w:pPr>
        <w:ind w:firstLine="450"/>
        <w:jc w:val="center"/>
      </w:pPr>
      <w:r>
        <w:rPr>
          <w:rFonts w:ascii="Arial" w:eastAsia="宋体" w:hAnsi="Arial" w:cs="Arial"/>
          <w:b/>
          <w:bCs/>
          <w:color w:val="000000"/>
          <w:sz w:val="20"/>
          <w:szCs w:val="20"/>
        </w:rPr>
        <w:t>CONDENSED NOTES TO CONSOLIDATED FINANCIAL STATEMENTS</w:t>
      </w:r>
    </w:p>
    <w:p w14:paraId="5EA27FDB" w14:textId="77777777" w:rsidR="003C66EB" w:rsidRDefault="00D96C4E">
      <w:pPr>
        <w:ind w:firstLine="450"/>
        <w:jc w:val="center"/>
      </w:pPr>
      <w:r>
        <w:rPr>
          <w:rFonts w:ascii="Arial" w:eastAsia="宋体" w:hAnsi="Arial" w:cs="Arial"/>
          <w:b/>
          <w:bCs/>
          <w:color w:val="000000"/>
          <w:sz w:val="20"/>
          <w:szCs w:val="20"/>
        </w:rPr>
        <w:t>(UNAUDITED)</w:t>
      </w:r>
    </w:p>
    <w:p w14:paraId="5EA27FDC" w14:textId="77777777" w:rsidR="003C66EB" w:rsidRDefault="00D96C4E">
      <w:pPr>
        <w:spacing w:before="180"/>
        <w:textAlignment w:val="top"/>
      </w:pPr>
      <w:r>
        <w:rPr>
          <w:rFonts w:ascii="Arial" w:eastAsia="宋体" w:hAnsi="Arial" w:cs="Arial"/>
          <w:b/>
          <w:bCs/>
          <w:color w:val="000000"/>
          <w:sz w:val="20"/>
          <w:szCs w:val="20"/>
        </w:rPr>
        <w:t>Note 19.    Non-U.S. Activities</w:t>
      </w:r>
    </w:p>
    <w:p w14:paraId="5EA27FDD" w14:textId="77777777" w:rsidR="003C66EB" w:rsidRDefault="00D96C4E">
      <w:pPr>
        <w:spacing w:before="60"/>
        <w:ind w:firstLine="450"/>
        <w:jc w:val="both"/>
      </w:pPr>
      <w:r>
        <w:rPr>
          <w:rFonts w:ascii="Arial" w:eastAsia="宋体" w:hAnsi="Arial" w:cs="Arial"/>
          <w:color w:val="000000"/>
          <w:sz w:val="20"/>
          <w:szCs w:val="20"/>
        </w:rPr>
        <w:t xml:space="preserve">We define our non-U.S. activities as those </w:t>
      </w:r>
      <w:r>
        <w:rPr>
          <w:rFonts w:ascii="Arial" w:eastAsia="宋体" w:hAnsi="Arial" w:cs="Arial"/>
          <w:color w:val="000000"/>
          <w:sz w:val="20"/>
          <w:szCs w:val="20"/>
        </w:rPr>
        <w:t>revenue-producing business activities that arise from clients which are generally serviced or managed outside the U.S. Due to the integrated nature of our business, precise segregation of our U.S. and non-U.S. activities is not possible.</w:t>
      </w:r>
    </w:p>
    <w:p w14:paraId="5EA27FDE" w14:textId="77777777" w:rsidR="003C66EB" w:rsidRDefault="00D96C4E">
      <w:pPr>
        <w:spacing w:before="60"/>
        <w:ind w:firstLine="450"/>
        <w:jc w:val="both"/>
      </w:pPr>
      <w:r>
        <w:rPr>
          <w:rFonts w:ascii="Arial" w:eastAsia="宋体" w:hAnsi="Arial" w:cs="Arial"/>
          <w:color w:val="000000"/>
          <w:sz w:val="20"/>
          <w:szCs w:val="20"/>
        </w:rPr>
        <w:t>Subjective estimat</w:t>
      </w:r>
      <w:r>
        <w:rPr>
          <w:rFonts w:ascii="Arial" w:eastAsia="宋体" w:hAnsi="Arial" w:cs="Arial"/>
          <w:color w:val="000000"/>
          <w:sz w:val="20"/>
          <w:szCs w:val="20"/>
        </w:rPr>
        <w:t xml:space="preserve">es, assumptions and other judgments are applied to quantify the financial results and assets related to our non-U.S. activities, including our application of funds transfer pricing, our asset and liability management policies and our allocation of certain </w:t>
      </w:r>
      <w:r>
        <w:rPr>
          <w:rFonts w:ascii="Arial" w:eastAsia="宋体" w:hAnsi="Arial" w:cs="Arial"/>
          <w:color w:val="000000"/>
          <w:sz w:val="20"/>
          <w:szCs w:val="20"/>
        </w:rPr>
        <w:t xml:space="preserve">indirect corporate expenses. Management periodically reviews and updates its processes for quantifying the financial results and assets related to our non-U.S. activities. </w:t>
      </w:r>
    </w:p>
    <w:p w14:paraId="5EA27FDF" w14:textId="77777777" w:rsidR="003C66EB" w:rsidRDefault="00D96C4E">
      <w:pPr>
        <w:spacing w:before="60"/>
        <w:ind w:firstLine="450"/>
        <w:jc w:val="both"/>
      </w:pPr>
      <w:r>
        <w:rPr>
          <w:rFonts w:ascii="Arial" w:eastAsia="宋体" w:hAnsi="Arial" w:cs="Arial"/>
          <w:color w:val="000000"/>
          <w:sz w:val="20"/>
          <w:szCs w:val="20"/>
        </w:rPr>
        <w:t>The following table presents our U.S. and non-U.S. financial results for the period</w:t>
      </w:r>
      <w:r>
        <w:rPr>
          <w:rFonts w:ascii="Arial" w:eastAsia="宋体" w:hAnsi="Arial" w:cs="Arial"/>
          <w:color w:val="000000"/>
          <w:sz w:val="20"/>
          <w:szCs w:val="20"/>
        </w:rPr>
        <w:t>s indicated:</w:t>
      </w:r>
    </w:p>
    <w:tbl>
      <w:tblPr>
        <w:tblW w:w="4971" w:type="pct"/>
        <w:tblCellMar>
          <w:top w:w="15" w:type="dxa"/>
          <w:left w:w="15" w:type="dxa"/>
          <w:bottom w:w="15" w:type="dxa"/>
          <w:right w:w="15" w:type="dxa"/>
        </w:tblCellMar>
        <w:tblLook w:val="04A0" w:firstRow="1" w:lastRow="0" w:firstColumn="1" w:lastColumn="0" w:noHBand="0" w:noVBand="1"/>
      </w:tblPr>
      <w:tblGrid>
        <w:gridCol w:w="37"/>
        <w:gridCol w:w="1279"/>
        <w:gridCol w:w="36"/>
        <w:gridCol w:w="110"/>
        <w:gridCol w:w="801"/>
        <w:gridCol w:w="36"/>
        <w:gridCol w:w="36"/>
        <w:gridCol w:w="36"/>
        <w:gridCol w:w="36"/>
        <w:gridCol w:w="109"/>
        <w:gridCol w:w="749"/>
        <w:gridCol w:w="36"/>
        <w:gridCol w:w="36"/>
        <w:gridCol w:w="36"/>
        <w:gridCol w:w="36"/>
        <w:gridCol w:w="109"/>
        <w:gridCol w:w="749"/>
        <w:gridCol w:w="36"/>
        <w:gridCol w:w="36"/>
        <w:gridCol w:w="36"/>
        <w:gridCol w:w="36"/>
        <w:gridCol w:w="110"/>
        <w:gridCol w:w="766"/>
        <w:gridCol w:w="36"/>
        <w:gridCol w:w="36"/>
        <w:gridCol w:w="36"/>
        <w:gridCol w:w="36"/>
        <w:gridCol w:w="109"/>
        <w:gridCol w:w="736"/>
        <w:gridCol w:w="36"/>
        <w:gridCol w:w="36"/>
        <w:gridCol w:w="36"/>
        <w:gridCol w:w="36"/>
        <w:gridCol w:w="109"/>
        <w:gridCol w:w="75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3C66EB" w14:paraId="5EA2800E" w14:textId="77777777">
        <w:tc>
          <w:tcPr>
            <w:tcW w:w="50" w:type="pct"/>
            <w:shd w:val="clear" w:color="auto" w:fill="auto"/>
          </w:tcPr>
          <w:p w14:paraId="5EA27FE0" w14:textId="77777777" w:rsidR="003C66EB" w:rsidRDefault="003C66EB">
            <w:pPr>
              <w:rPr>
                <w:rFonts w:ascii="宋体"/>
              </w:rPr>
            </w:pPr>
          </w:p>
        </w:tc>
        <w:tc>
          <w:tcPr>
            <w:tcW w:w="922" w:type="pct"/>
            <w:shd w:val="clear" w:color="auto" w:fill="auto"/>
          </w:tcPr>
          <w:p w14:paraId="5EA27FE1" w14:textId="77777777" w:rsidR="003C66EB" w:rsidRDefault="003C66EB">
            <w:pPr>
              <w:rPr>
                <w:rFonts w:ascii="宋体"/>
              </w:rPr>
            </w:pPr>
          </w:p>
        </w:tc>
        <w:tc>
          <w:tcPr>
            <w:tcW w:w="5" w:type="pct"/>
            <w:shd w:val="clear" w:color="auto" w:fill="auto"/>
          </w:tcPr>
          <w:p w14:paraId="5EA27FE2" w14:textId="77777777" w:rsidR="003C66EB" w:rsidRDefault="003C66EB">
            <w:pPr>
              <w:rPr>
                <w:rFonts w:ascii="宋体"/>
              </w:rPr>
            </w:pPr>
          </w:p>
        </w:tc>
        <w:tc>
          <w:tcPr>
            <w:tcW w:w="50" w:type="pct"/>
            <w:shd w:val="clear" w:color="auto" w:fill="auto"/>
          </w:tcPr>
          <w:p w14:paraId="5EA27FE3" w14:textId="77777777" w:rsidR="003C66EB" w:rsidRDefault="003C66EB">
            <w:pPr>
              <w:rPr>
                <w:rFonts w:ascii="宋体"/>
              </w:rPr>
            </w:pPr>
          </w:p>
        </w:tc>
        <w:tc>
          <w:tcPr>
            <w:tcW w:w="584" w:type="pct"/>
            <w:shd w:val="clear" w:color="auto" w:fill="auto"/>
          </w:tcPr>
          <w:p w14:paraId="5EA27FE4" w14:textId="77777777" w:rsidR="003C66EB" w:rsidRDefault="003C66EB">
            <w:pPr>
              <w:rPr>
                <w:rFonts w:ascii="宋体"/>
              </w:rPr>
            </w:pPr>
          </w:p>
        </w:tc>
        <w:tc>
          <w:tcPr>
            <w:tcW w:w="5" w:type="pct"/>
            <w:shd w:val="clear" w:color="auto" w:fill="auto"/>
          </w:tcPr>
          <w:p w14:paraId="5EA27FE5" w14:textId="77777777" w:rsidR="003C66EB" w:rsidRDefault="003C66EB">
            <w:pPr>
              <w:rPr>
                <w:rFonts w:ascii="宋体"/>
              </w:rPr>
            </w:pPr>
          </w:p>
        </w:tc>
        <w:tc>
          <w:tcPr>
            <w:tcW w:w="5" w:type="pct"/>
            <w:shd w:val="clear" w:color="auto" w:fill="auto"/>
          </w:tcPr>
          <w:p w14:paraId="5EA27FE6" w14:textId="77777777" w:rsidR="003C66EB" w:rsidRDefault="003C66EB">
            <w:pPr>
              <w:rPr>
                <w:rFonts w:ascii="宋体"/>
              </w:rPr>
            </w:pPr>
          </w:p>
        </w:tc>
        <w:tc>
          <w:tcPr>
            <w:tcW w:w="26" w:type="pct"/>
            <w:shd w:val="clear" w:color="auto" w:fill="auto"/>
          </w:tcPr>
          <w:p w14:paraId="5EA27FE7" w14:textId="77777777" w:rsidR="003C66EB" w:rsidRDefault="003C66EB">
            <w:pPr>
              <w:rPr>
                <w:rFonts w:ascii="宋体"/>
              </w:rPr>
            </w:pPr>
          </w:p>
        </w:tc>
        <w:tc>
          <w:tcPr>
            <w:tcW w:w="5" w:type="pct"/>
            <w:shd w:val="clear" w:color="auto" w:fill="auto"/>
          </w:tcPr>
          <w:p w14:paraId="5EA27FE8" w14:textId="77777777" w:rsidR="003C66EB" w:rsidRDefault="003C66EB">
            <w:pPr>
              <w:rPr>
                <w:rFonts w:ascii="宋体"/>
              </w:rPr>
            </w:pPr>
          </w:p>
        </w:tc>
        <w:tc>
          <w:tcPr>
            <w:tcW w:w="50" w:type="pct"/>
            <w:shd w:val="clear" w:color="auto" w:fill="auto"/>
          </w:tcPr>
          <w:p w14:paraId="5EA27FE9" w14:textId="77777777" w:rsidR="003C66EB" w:rsidRDefault="003C66EB">
            <w:pPr>
              <w:rPr>
                <w:rFonts w:ascii="宋体"/>
              </w:rPr>
            </w:pPr>
          </w:p>
        </w:tc>
        <w:tc>
          <w:tcPr>
            <w:tcW w:w="584" w:type="pct"/>
            <w:shd w:val="clear" w:color="auto" w:fill="auto"/>
          </w:tcPr>
          <w:p w14:paraId="5EA27FEA" w14:textId="77777777" w:rsidR="003C66EB" w:rsidRDefault="003C66EB">
            <w:pPr>
              <w:rPr>
                <w:rFonts w:ascii="宋体"/>
              </w:rPr>
            </w:pPr>
          </w:p>
        </w:tc>
        <w:tc>
          <w:tcPr>
            <w:tcW w:w="5" w:type="pct"/>
            <w:shd w:val="clear" w:color="auto" w:fill="auto"/>
          </w:tcPr>
          <w:p w14:paraId="5EA27FEB" w14:textId="77777777" w:rsidR="003C66EB" w:rsidRDefault="003C66EB">
            <w:pPr>
              <w:rPr>
                <w:rFonts w:ascii="宋体"/>
              </w:rPr>
            </w:pPr>
          </w:p>
        </w:tc>
        <w:tc>
          <w:tcPr>
            <w:tcW w:w="5" w:type="pct"/>
            <w:shd w:val="clear" w:color="auto" w:fill="auto"/>
          </w:tcPr>
          <w:p w14:paraId="5EA27FEC" w14:textId="77777777" w:rsidR="003C66EB" w:rsidRDefault="003C66EB">
            <w:pPr>
              <w:rPr>
                <w:rFonts w:ascii="宋体"/>
              </w:rPr>
            </w:pPr>
          </w:p>
        </w:tc>
        <w:tc>
          <w:tcPr>
            <w:tcW w:w="26" w:type="pct"/>
            <w:shd w:val="clear" w:color="auto" w:fill="auto"/>
          </w:tcPr>
          <w:p w14:paraId="5EA27FED" w14:textId="77777777" w:rsidR="003C66EB" w:rsidRDefault="003C66EB">
            <w:pPr>
              <w:rPr>
                <w:rFonts w:ascii="宋体"/>
              </w:rPr>
            </w:pPr>
          </w:p>
        </w:tc>
        <w:tc>
          <w:tcPr>
            <w:tcW w:w="5" w:type="pct"/>
            <w:shd w:val="clear" w:color="auto" w:fill="auto"/>
          </w:tcPr>
          <w:p w14:paraId="5EA27FEE" w14:textId="77777777" w:rsidR="003C66EB" w:rsidRDefault="003C66EB">
            <w:pPr>
              <w:rPr>
                <w:rFonts w:ascii="宋体"/>
              </w:rPr>
            </w:pPr>
          </w:p>
        </w:tc>
        <w:tc>
          <w:tcPr>
            <w:tcW w:w="50" w:type="pct"/>
            <w:shd w:val="clear" w:color="auto" w:fill="auto"/>
          </w:tcPr>
          <w:p w14:paraId="5EA27FEF" w14:textId="77777777" w:rsidR="003C66EB" w:rsidRDefault="003C66EB">
            <w:pPr>
              <w:rPr>
                <w:rFonts w:ascii="宋体"/>
              </w:rPr>
            </w:pPr>
          </w:p>
        </w:tc>
        <w:tc>
          <w:tcPr>
            <w:tcW w:w="584" w:type="pct"/>
            <w:shd w:val="clear" w:color="auto" w:fill="auto"/>
          </w:tcPr>
          <w:p w14:paraId="5EA27FF0" w14:textId="77777777" w:rsidR="003C66EB" w:rsidRDefault="003C66EB">
            <w:pPr>
              <w:rPr>
                <w:rFonts w:ascii="宋体"/>
              </w:rPr>
            </w:pPr>
          </w:p>
        </w:tc>
        <w:tc>
          <w:tcPr>
            <w:tcW w:w="5" w:type="pct"/>
            <w:shd w:val="clear" w:color="auto" w:fill="auto"/>
          </w:tcPr>
          <w:p w14:paraId="5EA27FF1" w14:textId="77777777" w:rsidR="003C66EB" w:rsidRDefault="003C66EB">
            <w:pPr>
              <w:rPr>
                <w:rFonts w:ascii="宋体"/>
              </w:rPr>
            </w:pPr>
          </w:p>
        </w:tc>
        <w:tc>
          <w:tcPr>
            <w:tcW w:w="5" w:type="pct"/>
            <w:shd w:val="clear" w:color="auto" w:fill="auto"/>
          </w:tcPr>
          <w:p w14:paraId="5EA27FF2" w14:textId="77777777" w:rsidR="003C66EB" w:rsidRDefault="003C66EB">
            <w:pPr>
              <w:rPr>
                <w:rFonts w:ascii="宋体"/>
              </w:rPr>
            </w:pPr>
          </w:p>
        </w:tc>
        <w:tc>
          <w:tcPr>
            <w:tcW w:w="26" w:type="pct"/>
            <w:shd w:val="clear" w:color="auto" w:fill="auto"/>
          </w:tcPr>
          <w:p w14:paraId="5EA27FF3" w14:textId="77777777" w:rsidR="003C66EB" w:rsidRDefault="003C66EB">
            <w:pPr>
              <w:rPr>
                <w:rFonts w:ascii="宋体"/>
              </w:rPr>
            </w:pPr>
          </w:p>
        </w:tc>
        <w:tc>
          <w:tcPr>
            <w:tcW w:w="5" w:type="pct"/>
            <w:shd w:val="clear" w:color="auto" w:fill="auto"/>
          </w:tcPr>
          <w:p w14:paraId="5EA27FF4" w14:textId="77777777" w:rsidR="003C66EB" w:rsidRDefault="003C66EB">
            <w:pPr>
              <w:rPr>
                <w:rFonts w:ascii="宋体"/>
              </w:rPr>
            </w:pPr>
          </w:p>
        </w:tc>
        <w:tc>
          <w:tcPr>
            <w:tcW w:w="50" w:type="pct"/>
            <w:shd w:val="clear" w:color="auto" w:fill="auto"/>
          </w:tcPr>
          <w:p w14:paraId="5EA27FF5" w14:textId="77777777" w:rsidR="003C66EB" w:rsidRDefault="003C66EB">
            <w:pPr>
              <w:rPr>
                <w:rFonts w:ascii="宋体"/>
              </w:rPr>
            </w:pPr>
          </w:p>
        </w:tc>
        <w:tc>
          <w:tcPr>
            <w:tcW w:w="584" w:type="pct"/>
            <w:shd w:val="clear" w:color="auto" w:fill="auto"/>
          </w:tcPr>
          <w:p w14:paraId="5EA27FF6" w14:textId="77777777" w:rsidR="003C66EB" w:rsidRDefault="003C66EB">
            <w:pPr>
              <w:rPr>
                <w:rFonts w:ascii="宋体"/>
              </w:rPr>
            </w:pPr>
          </w:p>
        </w:tc>
        <w:tc>
          <w:tcPr>
            <w:tcW w:w="5" w:type="pct"/>
            <w:shd w:val="clear" w:color="auto" w:fill="auto"/>
          </w:tcPr>
          <w:p w14:paraId="5EA27FF7" w14:textId="77777777" w:rsidR="003C66EB" w:rsidRDefault="003C66EB">
            <w:pPr>
              <w:rPr>
                <w:rFonts w:ascii="宋体"/>
              </w:rPr>
            </w:pPr>
          </w:p>
        </w:tc>
        <w:tc>
          <w:tcPr>
            <w:tcW w:w="5" w:type="pct"/>
            <w:shd w:val="clear" w:color="auto" w:fill="auto"/>
          </w:tcPr>
          <w:p w14:paraId="5EA27FF8" w14:textId="77777777" w:rsidR="003C66EB" w:rsidRDefault="003C66EB">
            <w:pPr>
              <w:rPr>
                <w:rFonts w:ascii="宋体"/>
              </w:rPr>
            </w:pPr>
          </w:p>
        </w:tc>
        <w:tc>
          <w:tcPr>
            <w:tcW w:w="26" w:type="pct"/>
            <w:shd w:val="clear" w:color="auto" w:fill="auto"/>
          </w:tcPr>
          <w:p w14:paraId="5EA27FF9" w14:textId="77777777" w:rsidR="003C66EB" w:rsidRDefault="003C66EB">
            <w:pPr>
              <w:rPr>
                <w:rFonts w:ascii="宋体"/>
              </w:rPr>
            </w:pPr>
          </w:p>
        </w:tc>
        <w:tc>
          <w:tcPr>
            <w:tcW w:w="5" w:type="pct"/>
            <w:shd w:val="clear" w:color="auto" w:fill="auto"/>
          </w:tcPr>
          <w:p w14:paraId="5EA27FFA" w14:textId="77777777" w:rsidR="003C66EB" w:rsidRDefault="003C66EB">
            <w:pPr>
              <w:rPr>
                <w:rFonts w:ascii="宋体"/>
              </w:rPr>
            </w:pPr>
          </w:p>
        </w:tc>
        <w:tc>
          <w:tcPr>
            <w:tcW w:w="50" w:type="pct"/>
            <w:shd w:val="clear" w:color="auto" w:fill="auto"/>
          </w:tcPr>
          <w:p w14:paraId="5EA27FFB" w14:textId="77777777" w:rsidR="003C66EB" w:rsidRDefault="003C66EB">
            <w:pPr>
              <w:rPr>
                <w:rFonts w:ascii="宋体"/>
              </w:rPr>
            </w:pPr>
          </w:p>
        </w:tc>
        <w:tc>
          <w:tcPr>
            <w:tcW w:w="584" w:type="pct"/>
            <w:shd w:val="clear" w:color="auto" w:fill="auto"/>
          </w:tcPr>
          <w:p w14:paraId="5EA27FFC" w14:textId="77777777" w:rsidR="003C66EB" w:rsidRDefault="003C66EB">
            <w:pPr>
              <w:rPr>
                <w:rFonts w:ascii="宋体"/>
              </w:rPr>
            </w:pPr>
          </w:p>
        </w:tc>
        <w:tc>
          <w:tcPr>
            <w:tcW w:w="5" w:type="pct"/>
            <w:shd w:val="clear" w:color="auto" w:fill="auto"/>
          </w:tcPr>
          <w:p w14:paraId="5EA27FFD" w14:textId="77777777" w:rsidR="003C66EB" w:rsidRDefault="003C66EB">
            <w:pPr>
              <w:rPr>
                <w:rFonts w:ascii="宋体"/>
              </w:rPr>
            </w:pPr>
          </w:p>
        </w:tc>
        <w:tc>
          <w:tcPr>
            <w:tcW w:w="5" w:type="pct"/>
            <w:shd w:val="clear" w:color="auto" w:fill="auto"/>
          </w:tcPr>
          <w:p w14:paraId="5EA27FFE" w14:textId="77777777" w:rsidR="003C66EB" w:rsidRDefault="003C66EB">
            <w:pPr>
              <w:rPr>
                <w:rFonts w:ascii="宋体"/>
              </w:rPr>
            </w:pPr>
          </w:p>
        </w:tc>
        <w:tc>
          <w:tcPr>
            <w:tcW w:w="26" w:type="pct"/>
            <w:shd w:val="clear" w:color="auto" w:fill="auto"/>
          </w:tcPr>
          <w:p w14:paraId="5EA27FFF" w14:textId="77777777" w:rsidR="003C66EB" w:rsidRDefault="003C66EB">
            <w:pPr>
              <w:rPr>
                <w:rFonts w:ascii="宋体"/>
              </w:rPr>
            </w:pPr>
          </w:p>
        </w:tc>
        <w:tc>
          <w:tcPr>
            <w:tcW w:w="5" w:type="pct"/>
            <w:shd w:val="clear" w:color="auto" w:fill="auto"/>
          </w:tcPr>
          <w:p w14:paraId="5EA28000" w14:textId="77777777" w:rsidR="003C66EB" w:rsidRDefault="003C66EB">
            <w:pPr>
              <w:rPr>
                <w:rFonts w:ascii="宋体"/>
              </w:rPr>
            </w:pPr>
          </w:p>
        </w:tc>
        <w:tc>
          <w:tcPr>
            <w:tcW w:w="50" w:type="pct"/>
            <w:shd w:val="clear" w:color="auto" w:fill="auto"/>
          </w:tcPr>
          <w:p w14:paraId="5EA28001" w14:textId="77777777" w:rsidR="003C66EB" w:rsidRDefault="003C66EB">
            <w:pPr>
              <w:rPr>
                <w:rFonts w:ascii="宋体"/>
              </w:rPr>
            </w:pPr>
          </w:p>
        </w:tc>
        <w:tc>
          <w:tcPr>
            <w:tcW w:w="584" w:type="pct"/>
            <w:shd w:val="clear" w:color="auto" w:fill="auto"/>
          </w:tcPr>
          <w:p w14:paraId="5EA28002" w14:textId="77777777" w:rsidR="003C66EB" w:rsidRDefault="003C66EB">
            <w:pPr>
              <w:rPr>
                <w:rFonts w:ascii="宋体"/>
              </w:rPr>
            </w:pPr>
          </w:p>
        </w:tc>
        <w:tc>
          <w:tcPr>
            <w:tcW w:w="5" w:type="pct"/>
            <w:shd w:val="clear" w:color="auto" w:fill="auto"/>
          </w:tcPr>
          <w:p w14:paraId="5EA28003" w14:textId="77777777" w:rsidR="003C66EB" w:rsidRDefault="003C66EB">
            <w:pPr>
              <w:rPr>
                <w:rFonts w:ascii="宋体"/>
              </w:rPr>
            </w:pPr>
          </w:p>
        </w:tc>
        <w:tc>
          <w:tcPr>
            <w:tcW w:w="0" w:type="auto"/>
            <w:gridSpan w:val="3"/>
            <w:shd w:val="clear" w:color="auto" w:fill="auto"/>
          </w:tcPr>
          <w:p w14:paraId="5EA28004" w14:textId="77777777" w:rsidR="003C66EB" w:rsidRDefault="003C66EB">
            <w:pPr>
              <w:rPr>
                <w:rFonts w:ascii="宋体"/>
                <w:vanish/>
              </w:rPr>
            </w:pPr>
          </w:p>
        </w:tc>
        <w:tc>
          <w:tcPr>
            <w:tcW w:w="0" w:type="auto"/>
            <w:gridSpan w:val="3"/>
            <w:shd w:val="clear" w:color="auto" w:fill="auto"/>
          </w:tcPr>
          <w:p w14:paraId="5EA28005" w14:textId="77777777" w:rsidR="003C66EB" w:rsidRDefault="003C66EB">
            <w:pPr>
              <w:rPr>
                <w:rFonts w:ascii="宋体"/>
                <w:vanish/>
              </w:rPr>
            </w:pPr>
          </w:p>
        </w:tc>
        <w:tc>
          <w:tcPr>
            <w:tcW w:w="0" w:type="auto"/>
            <w:gridSpan w:val="3"/>
            <w:shd w:val="clear" w:color="auto" w:fill="auto"/>
          </w:tcPr>
          <w:p w14:paraId="5EA28006" w14:textId="77777777" w:rsidR="003C66EB" w:rsidRDefault="003C66EB">
            <w:pPr>
              <w:rPr>
                <w:rFonts w:ascii="宋体"/>
                <w:vanish/>
              </w:rPr>
            </w:pPr>
          </w:p>
        </w:tc>
        <w:tc>
          <w:tcPr>
            <w:tcW w:w="0" w:type="auto"/>
            <w:gridSpan w:val="3"/>
            <w:shd w:val="clear" w:color="auto" w:fill="auto"/>
          </w:tcPr>
          <w:p w14:paraId="5EA28007" w14:textId="77777777" w:rsidR="003C66EB" w:rsidRDefault="003C66EB">
            <w:pPr>
              <w:rPr>
                <w:rFonts w:ascii="宋体"/>
                <w:vanish/>
              </w:rPr>
            </w:pPr>
          </w:p>
        </w:tc>
        <w:tc>
          <w:tcPr>
            <w:tcW w:w="0" w:type="auto"/>
            <w:gridSpan w:val="3"/>
            <w:shd w:val="clear" w:color="auto" w:fill="auto"/>
          </w:tcPr>
          <w:p w14:paraId="5EA28008" w14:textId="77777777" w:rsidR="003C66EB" w:rsidRDefault="003C66EB">
            <w:pPr>
              <w:rPr>
                <w:rFonts w:ascii="宋体"/>
                <w:vanish/>
              </w:rPr>
            </w:pPr>
          </w:p>
        </w:tc>
        <w:tc>
          <w:tcPr>
            <w:tcW w:w="0" w:type="auto"/>
            <w:gridSpan w:val="3"/>
            <w:shd w:val="clear" w:color="auto" w:fill="auto"/>
          </w:tcPr>
          <w:p w14:paraId="5EA28009" w14:textId="77777777" w:rsidR="003C66EB" w:rsidRDefault="003C66EB">
            <w:pPr>
              <w:rPr>
                <w:rFonts w:ascii="宋体"/>
                <w:vanish/>
              </w:rPr>
            </w:pPr>
          </w:p>
        </w:tc>
        <w:tc>
          <w:tcPr>
            <w:tcW w:w="0" w:type="auto"/>
            <w:gridSpan w:val="3"/>
            <w:shd w:val="clear" w:color="auto" w:fill="auto"/>
          </w:tcPr>
          <w:p w14:paraId="5EA2800A" w14:textId="77777777" w:rsidR="003C66EB" w:rsidRDefault="003C66EB">
            <w:pPr>
              <w:rPr>
                <w:rFonts w:ascii="宋体"/>
                <w:vanish/>
              </w:rPr>
            </w:pPr>
          </w:p>
        </w:tc>
        <w:tc>
          <w:tcPr>
            <w:tcW w:w="0" w:type="auto"/>
            <w:gridSpan w:val="3"/>
            <w:shd w:val="clear" w:color="auto" w:fill="auto"/>
          </w:tcPr>
          <w:p w14:paraId="5EA2800B" w14:textId="77777777" w:rsidR="003C66EB" w:rsidRDefault="003C66EB">
            <w:pPr>
              <w:rPr>
                <w:rFonts w:ascii="宋体"/>
                <w:vanish/>
              </w:rPr>
            </w:pPr>
          </w:p>
        </w:tc>
        <w:tc>
          <w:tcPr>
            <w:tcW w:w="0" w:type="auto"/>
            <w:gridSpan w:val="2"/>
            <w:shd w:val="clear" w:color="auto" w:fill="auto"/>
          </w:tcPr>
          <w:p w14:paraId="5EA2800C" w14:textId="77777777" w:rsidR="003C66EB" w:rsidRDefault="003C66EB">
            <w:pPr>
              <w:rPr>
                <w:rFonts w:ascii="宋体"/>
                <w:vanish/>
              </w:rPr>
            </w:pPr>
          </w:p>
        </w:tc>
        <w:tc>
          <w:tcPr>
            <w:tcW w:w="0" w:type="auto"/>
            <w:shd w:val="clear" w:color="auto" w:fill="auto"/>
          </w:tcPr>
          <w:p w14:paraId="5EA2800D" w14:textId="77777777" w:rsidR="003C66EB" w:rsidRDefault="003C66EB">
            <w:pPr>
              <w:rPr>
                <w:rFonts w:ascii="宋体"/>
                <w:vanish/>
              </w:rPr>
            </w:pPr>
          </w:p>
        </w:tc>
      </w:tr>
      <w:tr w:rsidR="003C66EB" w14:paraId="5EA28032" w14:textId="77777777">
        <w:trPr>
          <w:hidden/>
        </w:trPr>
        <w:tc>
          <w:tcPr>
            <w:tcW w:w="0" w:type="auto"/>
            <w:gridSpan w:val="3"/>
            <w:shd w:val="clear" w:color="auto" w:fill="auto"/>
          </w:tcPr>
          <w:p w14:paraId="5EA2800F" w14:textId="77777777" w:rsidR="003C66EB" w:rsidRDefault="003C66EB">
            <w:pPr>
              <w:rPr>
                <w:rFonts w:ascii="宋体"/>
                <w:vanish/>
              </w:rPr>
            </w:pPr>
          </w:p>
        </w:tc>
        <w:tc>
          <w:tcPr>
            <w:tcW w:w="0" w:type="auto"/>
            <w:gridSpan w:val="3"/>
            <w:shd w:val="clear" w:color="auto" w:fill="auto"/>
          </w:tcPr>
          <w:p w14:paraId="5EA28010" w14:textId="77777777" w:rsidR="003C66EB" w:rsidRDefault="003C66EB">
            <w:pPr>
              <w:rPr>
                <w:rFonts w:ascii="宋体"/>
                <w:vanish/>
              </w:rPr>
            </w:pPr>
          </w:p>
        </w:tc>
        <w:tc>
          <w:tcPr>
            <w:tcW w:w="0" w:type="auto"/>
            <w:gridSpan w:val="3"/>
            <w:shd w:val="clear" w:color="auto" w:fill="auto"/>
          </w:tcPr>
          <w:p w14:paraId="5EA28011" w14:textId="77777777" w:rsidR="003C66EB" w:rsidRDefault="003C66EB">
            <w:pPr>
              <w:rPr>
                <w:rFonts w:ascii="宋体"/>
                <w:vanish/>
              </w:rPr>
            </w:pPr>
          </w:p>
        </w:tc>
        <w:tc>
          <w:tcPr>
            <w:tcW w:w="0" w:type="auto"/>
            <w:gridSpan w:val="3"/>
            <w:shd w:val="clear" w:color="auto" w:fill="auto"/>
          </w:tcPr>
          <w:p w14:paraId="5EA28012" w14:textId="77777777" w:rsidR="003C66EB" w:rsidRDefault="003C66EB">
            <w:pPr>
              <w:rPr>
                <w:rFonts w:ascii="宋体"/>
                <w:vanish/>
              </w:rPr>
            </w:pPr>
          </w:p>
        </w:tc>
        <w:tc>
          <w:tcPr>
            <w:tcW w:w="0" w:type="auto"/>
            <w:gridSpan w:val="3"/>
            <w:shd w:val="clear" w:color="auto" w:fill="auto"/>
          </w:tcPr>
          <w:p w14:paraId="5EA28013" w14:textId="77777777" w:rsidR="003C66EB" w:rsidRDefault="003C66EB">
            <w:pPr>
              <w:rPr>
                <w:rFonts w:ascii="宋体"/>
                <w:vanish/>
              </w:rPr>
            </w:pPr>
          </w:p>
        </w:tc>
        <w:tc>
          <w:tcPr>
            <w:tcW w:w="0" w:type="auto"/>
            <w:gridSpan w:val="3"/>
            <w:shd w:val="clear" w:color="auto" w:fill="auto"/>
          </w:tcPr>
          <w:p w14:paraId="5EA28014" w14:textId="77777777" w:rsidR="003C66EB" w:rsidRDefault="003C66EB">
            <w:pPr>
              <w:rPr>
                <w:rFonts w:ascii="宋体"/>
                <w:vanish/>
              </w:rPr>
            </w:pPr>
          </w:p>
        </w:tc>
        <w:tc>
          <w:tcPr>
            <w:tcW w:w="0" w:type="auto"/>
            <w:gridSpan w:val="3"/>
            <w:shd w:val="clear" w:color="auto" w:fill="auto"/>
          </w:tcPr>
          <w:p w14:paraId="5EA28015" w14:textId="77777777" w:rsidR="003C66EB" w:rsidRDefault="003C66EB">
            <w:pPr>
              <w:rPr>
                <w:rFonts w:ascii="宋体"/>
                <w:vanish/>
              </w:rPr>
            </w:pPr>
          </w:p>
        </w:tc>
        <w:tc>
          <w:tcPr>
            <w:tcW w:w="0" w:type="auto"/>
            <w:gridSpan w:val="3"/>
            <w:shd w:val="clear" w:color="auto" w:fill="auto"/>
          </w:tcPr>
          <w:p w14:paraId="5EA28016" w14:textId="77777777" w:rsidR="003C66EB" w:rsidRDefault="003C66EB">
            <w:pPr>
              <w:rPr>
                <w:rFonts w:ascii="宋体"/>
                <w:vanish/>
              </w:rPr>
            </w:pPr>
          </w:p>
        </w:tc>
        <w:tc>
          <w:tcPr>
            <w:tcW w:w="0" w:type="auto"/>
            <w:gridSpan w:val="3"/>
            <w:shd w:val="clear" w:color="auto" w:fill="auto"/>
          </w:tcPr>
          <w:p w14:paraId="5EA28017" w14:textId="77777777" w:rsidR="003C66EB" w:rsidRDefault="003C66EB">
            <w:pPr>
              <w:rPr>
                <w:rFonts w:ascii="宋体"/>
                <w:vanish/>
              </w:rPr>
            </w:pPr>
          </w:p>
        </w:tc>
        <w:tc>
          <w:tcPr>
            <w:tcW w:w="0" w:type="auto"/>
            <w:gridSpan w:val="3"/>
            <w:shd w:val="clear" w:color="auto" w:fill="auto"/>
          </w:tcPr>
          <w:p w14:paraId="5EA28018" w14:textId="77777777" w:rsidR="003C66EB" w:rsidRDefault="003C66EB">
            <w:pPr>
              <w:rPr>
                <w:rFonts w:ascii="宋体"/>
                <w:vanish/>
              </w:rPr>
            </w:pPr>
          </w:p>
        </w:tc>
        <w:tc>
          <w:tcPr>
            <w:tcW w:w="0" w:type="auto"/>
            <w:gridSpan w:val="3"/>
            <w:shd w:val="clear" w:color="auto" w:fill="auto"/>
          </w:tcPr>
          <w:p w14:paraId="5EA28019" w14:textId="77777777" w:rsidR="003C66EB" w:rsidRDefault="003C66EB">
            <w:pPr>
              <w:rPr>
                <w:rFonts w:ascii="宋体"/>
                <w:vanish/>
              </w:rPr>
            </w:pPr>
          </w:p>
        </w:tc>
        <w:tc>
          <w:tcPr>
            <w:tcW w:w="0" w:type="auto"/>
            <w:gridSpan w:val="3"/>
            <w:shd w:val="clear" w:color="auto" w:fill="auto"/>
          </w:tcPr>
          <w:p w14:paraId="5EA2801A" w14:textId="77777777" w:rsidR="003C66EB" w:rsidRDefault="003C66EB">
            <w:pPr>
              <w:rPr>
                <w:rFonts w:ascii="宋体"/>
                <w:vanish/>
              </w:rPr>
            </w:pPr>
          </w:p>
        </w:tc>
        <w:tc>
          <w:tcPr>
            <w:tcW w:w="0" w:type="auto"/>
            <w:gridSpan w:val="3"/>
            <w:shd w:val="clear" w:color="auto" w:fill="auto"/>
          </w:tcPr>
          <w:p w14:paraId="5EA2801B" w14:textId="77777777" w:rsidR="003C66EB" w:rsidRDefault="003C66EB">
            <w:pPr>
              <w:rPr>
                <w:rFonts w:ascii="宋体"/>
                <w:vanish/>
              </w:rPr>
            </w:pPr>
          </w:p>
        </w:tc>
        <w:tc>
          <w:tcPr>
            <w:tcW w:w="0" w:type="auto"/>
            <w:gridSpan w:val="3"/>
            <w:shd w:val="clear" w:color="auto" w:fill="auto"/>
          </w:tcPr>
          <w:p w14:paraId="5EA2801C" w14:textId="77777777" w:rsidR="003C66EB" w:rsidRDefault="003C66EB">
            <w:pPr>
              <w:rPr>
                <w:rFonts w:ascii="宋体"/>
                <w:vanish/>
              </w:rPr>
            </w:pPr>
          </w:p>
        </w:tc>
        <w:tc>
          <w:tcPr>
            <w:tcW w:w="0" w:type="auto"/>
            <w:shd w:val="clear" w:color="auto" w:fill="auto"/>
          </w:tcPr>
          <w:p w14:paraId="5EA2801D" w14:textId="77777777" w:rsidR="003C66EB" w:rsidRDefault="003C66EB">
            <w:pPr>
              <w:rPr>
                <w:rFonts w:ascii="宋体"/>
              </w:rPr>
            </w:pPr>
          </w:p>
        </w:tc>
        <w:tc>
          <w:tcPr>
            <w:tcW w:w="0" w:type="auto"/>
            <w:shd w:val="clear" w:color="auto" w:fill="auto"/>
          </w:tcPr>
          <w:p w14:paraId="5EA2801E" w14:textId="77777777" w:rsidR="003C66EB" w:rsidRDefault="003C66EB">
            <w:pPr>
              <w:rPr>
                <w:rFonts w:ascii="宋体"/>
              </w:rPr>
            </w:pPr>
          </w:p>
        </w:tc>
        <w:tc>
          <w:tcPr>
            <w:tcW w:w="0" w:type="auto"/>
            <w:shd w:val="clear" w:color="auto" w:fill="auto"/>
          </w:tcPr>
          <w:p w14:paraId="5EA2801F" w14:textId="77777777" w:rsidR="003C66EB" w:rsidRDefault="003C66EB">
            <w:pPr>
              <w:rPr>
                <w:rFonts w:ascii="宋体"/>
              </w:rPr>
            </w:pPr>
          </w:p>
        </w:tc>
        <w:tc>
          <w:tcPr>
            <w:tcW w:w="0" w:type="auto"/>
            <w:shd w:val="clear" w:color="auto" w:fill="auto"/>
          </w:tcPr>
          <w:p w14:paraId="5EA28020" w14:textId="77777777" w:rsidR="003C66EB" w:rsidRDefault="003C66EB">
            <w:pPr>
              <w:rPr>
                <w:rFonts w:ascii="宋体"/>
              </w:rPr>
            </w:pPr>
          </w:p>
        </w:tc>
        <w:tc>
          <w:tcPr>
            <w:tcW w:w="0" w:type="auto"/>
            <w:shd w:val="clear" w:color="auto" w:fill="auto"/>
          </w:tcPr>
          <w:p w14:paraId="5EA28021" w14:textId="77777777" w:rsidR="003C66EB" w:rsidRDefault="003C66EB">
            <w:pPr>
              <w:rPr>
                <w:rFonts w:ascii="宋体"/>
              </w:rPr>
            </w:pPr>
          </w:p>
        </w:tc>
        <w:tc>
          <w:tcPr>
            <w:tcW w:w="0" w:type="auto"/>
            <w:shd w:val="clear" w:color="auto" w:fill="auto"/>
          </w:tcPr>
          <w:p w14:paraId="5EA28022" w14:textId="77777777" w:rsidR="003C66EB" w:rsidRDefault="003C66EB">
            <w:pPr>
              <w:rPr>
                <w:rFonts w:ascii="宋体"/>
              </w:rPr>
            </w:pPr>
          </w:p>
        </w:tc>
        <w:tc>
          <w:tcPr>
            <w:tcW w:w="0" w:type="auto"/>
            <w:shd w:val="clear" w:color="auto" w:fill="auto"/>
          </w:tcPr>
          <w:p w14:paraId="5EA28023" w14:textId="77777777" w:rsidR="003C66EB" w:rsidRDefault="003C66EB">
            <w:pPr>
              <w:rPr>
                <w:rFonts w:ascii="宋体"/>
              </w:rPr>
            </w:pPr>
          </w:p>
        </w:tc>
        <w:tc>
          <w:tcPr>
            <w:tcW w:w="0" w:type="auto"/>
            <w:shd w:val="clear" w:color="auto" w:fill="auto"/>
          </w:tcPr>
          <w:p w14:paraId="5EA28024" w14:textId="77777777" w:rsidR="003C66EB" w:rsidRDefault="003C66EB">
            <w:pPr>
              <w:rPr>
                <w:rFonts w:ascii="宋体"/>
              </w:rPr>
            </w:pPr>
          </w:p>
        </w:tc>
        <w:tc>
          <w:tcPr>
            <w:tcW w:w="0" w:type="auto"/>
            <w:shd w:val="clear" w:color="auto" w:fill="auto"/>
          </w:tcPr>
          <w:p w14:paraId="5EA28025" w14:textId="77777777" w:rsidR="003C66EB" w:rsidRDefault="003C66EB">
            <w:pPr>
              <w:rPr>
                <w:rFonts w:ascii="宋体"/>
              </w:rPr>
            </w:pPr>
          </w:p>
        </w:tc>
        <w:tc>
          <w:tcPr>
            <w:tcW w:w="0" w:type="auto"/>
            <w:shd w:val="clear" w:color="auto" w:fill="auto"/>
          </w:tcPr>
          <w:p w14:paraId="5EA28026" w14:textId="77777777" w:rsidR="003C66EB" w:rsidRDefault="003C66EB">
            <w:pPr>
              <w:rPr>
                <w:rFonts w:ascii="宋体"/>
              </w:rPr>
            </w:pPr>
          </w:p>
        </w:tc>
        <w:tc>
          <w:tcPr>
            <w:tcW w:w="0" w:type="auto"/>
            <w:shd w:val="clear" w:color="auto" w:fill="auto"/>
          </w:tcPr>
          <w:p w14:paraId="5EA28027" w14:textId="77777777" w:rsidR="003C66EB" w:rsidRDefault="003C66EB">
            <w:pPr>
              <w:rPr>
                <w:rFonts w:ascii="宋体"/>
              </w:rPr>
            </w:pPr>
          </w:p>
        </w:tc>
        <w:tc>
          <w:tcPr>
            <w:tcW w:w="0" w:type="auto"/>
            <w:shd w:val="clear" w:color="auto" w:fill="auto"/>
          </w:tcPr>
          <w:p w14:paraId="5EA28028" w14:textId="77777777" w:rsidR="003C66EB" w:rsidRDefault="003C66EB">
            <w:pPr>
              <w:rPr>
                <w:rFonts w:ascii="宋体"/>
              </w:rPr>
            </w:pPr>
          </w:p>
        </w:tc>
        <w:tc>
          <w:tcPr>
            <w:tcW w:w="0" w:type="auto"/>
            <w:shd w:val="clear" w:color="auto" w:fill="auto"/>
          </w:tcPr>
          <w:p w14:paraId="5EA28029" w14:textId="77777777" w:rsidR="003C66EB" w:rsidRDefault="003C66EB">
            <w:pPr>
              <w:rPr>
                <w:rFonts w:ascii="宋体"/>
              </w:rPr>
            </w:pPr>
          </w:p>
        </w:tc>
        <w:tc>
          <w:tcPr>
            <w:tcW w:w="0" w:type="auto"/>
            <w:shd w:val="clear" w:color="auto" w:fill="auto"/>
          </w:tcPr>
          <w:p w14:paraId="5EA2802A" w14:textId="77777777" w:rsidR="003C66EB" w:rsidRDefault="003C66EB">
            <w:pPr>
              <w:rPr>
                <w:rFonts w:ascii="宋体"/>
              </w:rPr>
            </w:pPr>
          </w:p>
        </w:tc>
        <w:tc>
          <w:tcPr>
            <w:tcW w:w="0" w:type="auto"/>
            <w:shd w:val="clear" w:color="auto" w:fill="auto"/>
          </w:tcPr>
          <w:p w14:paraId="5EA2802B" w14:textId="77777777" w:rsidR="003C66EB" w:rsidRDefault="003C66EB">
            <w:pPr>
              <w:rPr>
                <w:rFonts w:ascii="宋体"/>
              </w:rPr>
            </w:pPr>
          </w:p>
        </w:tc>
        <w:tc>
          <w:tcPr>
            <w:tcW w:w="0" w:type="auto"/>
            <w:shd w:val="clear" w:color="auto" w:fill="auto"/>
          </w:tcPr>
          <w:p w14:paraId="5EA2802C" w14:textId="77777777" w:rsidR="003C66EB" w:rsidRDefault="003C66EB">
            <w:pPr>
              <w:rPr>
                <w:rFonts w:ascii="宋体"/>
              </w:rPr>
            </w:pPr>
          </w:p>
        </w:tc>
        <w:tc>
          <w:tcPr>
            <w:tcW w:w="0" w:type="auto"/>
            <w:shd w:val="clear" w:color="auto" w:fill="auto"/>
          </w:tcPr>
          <w:p w14:paraId="5EA2802D" w14:textId="77777777" w:rsidR="003C66EB" w:rsidRDefault="003C66EB">
            <w:pPr>
              <w:rPr>
                <w:rFonts w:ascii="宋体"/>
              </w:rPr>
            </w:pPr>
          </w:p>
        </w:tc>
        <w:tc>
          <w:tcPr>
            <w:tcW w:w="0" w:type="auto"/>
            <w:shd w:val="clear" w:color="auto" w:fill="auto"/>
          </w:tcPr>
          <w:p w14:paraId="5EA2802E" w14:textId="77777777" w:rsidR="003C66EB" w:rsidRDefault="003C66EB">
            <w:pPr>
              <w:rPr>
                <w:rFonts w:ascii="宋体"/>
              </w:rPr>
            </w:pPr>
          </w:p>
        </w:tc>
        <w:tc>
          <w:tcPr>
            <w:tcW w:w="0" w:type="auto"/>
            <w:shd w:val="clear" w:color="auto" w:fill="auto"/>
          </w:tcPr>
          <w:p w14:paraId="5EA2802F" w14:textId="77777777" w:rsidR="003C66EB" w:rsidRDefault="003C66EB">
            <w:pPr>
              <w:rPr>
                <w:rFonts w:ascii="宋体"/>
              </w:rPr>
            </w:pPr>
          </w:p>
        </w:tc>
        <w:tc>
          <w:tcPr>
            <w:tcW w:w="0" w:type="auto"/>
            <w:shd w:val="clear" w:color="auto" w:fill="auto"/>
          </w:tcPr>
          <w:p w14:paraId="5EA28030" w14:textId="77777777" w:rsidR="003C66EB" w:rsidRDefault="003C66EB">
            <w:pPr>
              <w:rPr>
                <w:rFonts w:ascii="宋体"/>
              </w:rPr>
            </w:pPr>
          </w:p>
        </w:tc>
        <w:tc>
          <w:tcPr>
            <w:tcW w:w="0" w:type="auto"/>
            <w:shd w:val="clear" w:color="auto" w:fill="auto"/>
          </w:tcPr>
          <w:p w14:paraId="5EA28031" w14:textId="77777777" w:rsidR="003C66EB" w:rsidRDefault="003C66EB">
            <w:pPr>
              <w:rPr>
                <w:rFonts w:ascii="宋体"/>
              </w:rPr>
            </w:pPr>
          </w:p>
        </w:tc>
      </w:tr>
      <w:tr w:rsidR="003C66EB" w14:paraId="5EA28052" w14:textId="77777777">
        <w:trPr>
          <w:hidden/>
        </w:trPr>
        <w:tc>
          <w:tcPr>
            <w:tcW w:w="0" w:type="auto"/>
            <w:gridSpan w:val="3"/>
            <w:shd w:val="clear" w:color="auto" w:fill="auto"/>
          </w:tcPr>
          <w:p w14:paraId="5EA28033" w14:textId="77777777" w:rsidR="003C66EB" w:rsidRDefault="003C66EB">
            <w:pPr>
              <w:rPr>
                <w:rFonts w:ascii="宋体"/>
                <w:vanish/>
              </w:rPr>
            </w:pPr>
          </w:p>
        </w:tc>
        <w:tc>
          <w:tcPr>
            <w:tcW w:w="0" w:type="auto"/>
            <w:gridSpan w:val="3"/>
            <w:shd w:val="clear" w:color="auto" w:fill="auto"/>
          </w:tcPr>
          <w:p w14:paraId="5EA28034" w14:textId="77777777" w:rsidR="003C66EB" w:rsidRDefault="003C66EB">
            <w:pPr>
              <w:rPr>
                <w:rFonts w:ascii="宋体"/>
                <w:vanish/>
              </w:rPr>
            </w:pPr>
          </w:p>
        </w:tc>
        <w:tc>
          <w:tcPr>
            <w:tcW w:w="0" w:type="auto"/>
            <w:gridSpan w:val="3"/>
            <w:shd w:val="clear" w:color="auto" w:fill="auto"/>
          </w:tcPr>
          <w:p w14:paraId="5EA28035" w14:textId="77777777" w:rsidR="003C66EB" w:rsidRDefault="003C66EB">
            <w:pPr>
              <w:rPr>
                <w:rFonts w:ascii="宋体"/>
                <w:vanish/>
              </w:rPr>
            </w:pPr>
          </w:p>
        </w:tc>
        <w:tc>
          <w:tcPr>
            <w:tcW w:w="0" w:type="auto"/>
            <w:gridSpan w:val="3"/>
            <w:shd w:val="clear" w:color="auto" w:fill="auto"/>
          </w:tcPr>
          <w:p w14:paraId="5EA28036" w14:textId="77777777" w:rsidR="003C66EB" w:rsidRDefault="003C66EB">
            <w:pPr>
              <w:rPr>
                <w:rFonts w:ascii="宋体"/>
                <w:vanish/>
              </w:rPr>
            </w:pPr>
          </w:p>
        </w:tc>
        <w:tc>
          <w:tcPr>
            <w:tcW w:w="0" w:type="auto"/>
            <w:gridSpan w:val="3"/>
            <w:shd w:val="clear" w:color="auto" w:fill="auto"/>
          </w:tcPr>
          <w:p w14:paraId="5EA28037" w14:textId="77777777" w:rsidR="003C66EB" w:rsidRDefault="003C66EB">
            <w:pPr>
              <w:rPr>
                <w:rFonts w:ascii="宋体"/>
                <w:vanish/>
              </w:rPr>
            </w:pPr>
          </w:p>
        </w:tc>
        <w:tc>
          <w:tcPr>
            <w:tcW w:w="0" w:type="auto"/>
            <w:gridSpan w:val="3"/>
            <w:shd w:val="clear" w:color="auto" w:fill="auto"/>
          </w:tcPr>
          <w:p w14:paraId="5EA28038" w14:textId="77777777" w:rsidR="003C66EB" w:rsidRDefault="003C66EB">
            <w:pPr>
              <w:rPr>
                <w:rFonts w:ascii="宋体"/>
                <w:vanish/>
              </w:rPr>
            </w:pPr>
          </w:p>
        </w:tc>
        <w:tc>
          <w:tcPr>
            <w:tcW w:w="0" w:type="auto"/>
            <w:gridSpan w:val="3"/>
            <w:shd w:val="clear" w:color="auto" w:fill="auto"/>
          </w:tcPr>
          <w:p w14:paraId="5EA28039" w14:textId="77777777" w:rsidR="003C66EB" w:rsidRDefault="003C66EB">
            <w:pPr>
              <w:rPr>
                <w:rFonts w:ascii="宋体"/>
                <w:vanish/>
              </w:rPr>
            </w:pPr>
          </w:p>
        </w:tc>
        <w:tc>
          <w:tcPr>
            <w:tcW w:w="0" w:type="auto"/>
            <w:gridSpan w:val="3"/>
            <w:shd w:val="clear" w:color="auto" w:fill="auto"/>
          </w:tcPr>
          <w:p w14:paraId="5EA2803A" w14:textId="77777777" w:rsidR="003C66EB" w:rsidRDefault="003C66EB">
            <w:pPr>
              <w:rPr>
                <w:rFonts w:ascii="宋体"/>
                <w:vanish/>
              </w:rPr>
            </w:pPr>
          </w:p>
        </w:tc>
        <w:tc>
          <w:tcPr>
            <w:tcW w:w="0" w:type="auto"/>
            <w:gridSpan w:val="3"/>
            <w:shd w:val="clear" w:color="auto" w:fill="auto"/>
          </w:tcPr>
          <w:p w14:paraId="5EA2803B" w14:textId="77777777" w:rsidR="003C66EB" w:rsidRDefault="003C66EB">
            <w:pPr>
              <w:rPr>
                <w:rFonts w:ascii="宋体"/>
                <w:vanish/>
              </w:rPr>
            </w:pPr>
          </w:p>
        </w:tc>
        <w:tc>
          <w:tcPr>
            <w:tcW w:w="0" w:type="auto"/>
            <w:gridSpan w:val="3"/>
            <w:shd w:val="clear" w:color="auto" w:fill="auto"/>
          </w:tcPr>
          <w:p w14:paraId="5EA2803C" w14:textId="77777777" w:rsidR="003C66EB" w:rsidRDefault="003C66EB">
            <w:pPr>
              <w:rPr>
                <w:rFonts w:ascii="宋体"/>
                <w:vanish/>
              </w:rPr>
            </w:pPr>
          </w:p>
        </w:tc>
        <w:tc>
          <w:tcPr>
            <w:tcW w:w="0" w:type="auto"/>
            <w:gridSpan w:val="3"/>
            <w:shd w:val="clear" w:color="auto" w:fill="auto"/>
          </w:tcPr>
          <w:p w14:paraId="5EA2803D" w14:textId="77777777" w:rsidR="003C66EB" w:rsidRDefault="003C66EB">
            <w:pPr>
              <w:rPr>
                <w:rFonts w:ascii="宋体"/>
                <w:vanish/>
              </w:rPr>
            </w:pPr>
          </w:p>
        </w:tc>
        <w:tc>
          <w:tcPr>
            <w:tcW w:w="0" w:type="auto"/>
            <w:gridSpan w:val="3"/>
            <w:shd w:val="clear" w:color="auto" w:fill="auto"/>
          </w:tcPr>
          <w:p w14:paraId="5EA2803E" w14:textId="77777777" w:rsidR="003C66EB" w:rsidRDefault="003C66EB">
            <w:pPr>
              <w:rPr>
                <w:rFonts w:ascii="宋体"/>
                <w:vanish/>
              </w:rPr>
            </w:pPr>
          </w:p>
        </w:tc>
        <w:tc>
          <w:tcPr>
            <w:tcW w:w="0" w:type="auto"/>
            <w:gridSpan w:val="3"/>
            <w:shd w:val="clear" w:color="auto" w:fill="auto"/>
          </w:tcPr>
          <w:p w14:paraId="5EA2803F" w14:textId="77777777" w:rsidR="003C66EB" w:rsidRDefault="003C66EB">
            <w:pPr>
              <w:rPr>
                <w:rFonts w:ascii="宋体"/>
                <w:vanish/>
              </w:rPr>
            </w:pPr>
          </w:p>
        </w:tc>
        <w:tc>
          <w:tcPr>
            <w:tcW w:w="0" w:type="auto"/>
            <w:gridSpan w:val="3"/>
            <w:shd w:val="clear" w:color="auto" w:fill="auto"/>
          </w:tcPr>
          <w:p w14:paraId="5EA28040" w14:textId="77777777" w:rsidR="003C66EB" w:rsidRDefault="003C66EB">
            <w:pPr>
              <w:rPr>
                <w:rFonts w:ascii="宋体"/>
                <w:vanish/>
              </w:rPr>
            </w:pPr>
          </w:p>
        </w:tc>
        <w:tc>
          <w:tcPr>
            <w:tcW w:w="0" w:type="auto"/>
            <w:gridSpan w:val="3"/>
            <w:shd w:val="clear" w:color="auto" w:fill="auto"/>
          </w:tcPr>
          <w:p w14:paraId="5EA28041" w14:textId="77777777" w:rsidR="003C66EB" w:rsidRDefault="003C66EB">
            <w:pPr>
              <w:rPr>
                <w:rFonts w:ascii="宋体"/>
                <w:vanish/>
              </w:rPr>
            </w:pPr>
          </w:p>
        </w:tc>
        <w:tc>
          <w:tcPr>
            <w:tcW w:w="0" w:type="auto"/>
            <w:gridSpan w:val="3"/>
            <w:shd w:val="clear" w:color="auto" w:fill="auto"/>
          </w:tcPr>
          <w:p w14:paraId="5EA28042" w14:textId="77777777" w:rsidR="003C66EB" w:rsidRDefault="003C66EB">
            <w:pPr>
              <w:rPr>
                <w:rFonts w:ascii="宋体"/>
                <w:vanish/>
              </w:rPr>
            </w:pPr>
          </w:p>
        </w:tc>
        <w:tc>
          <w:tcPr>
            <w:tcW w:w="0" w:type="auto"/>
            <w:shd w:val="clear" w:color="auto" w:fill="auto"/>
          </w:tcPr>
          <w:p w14:paraId="5EA28043" w14:textId="77777777" w:rsidR="003C66EB" w:rsidRDefault="003C66EB">
            <w:pPr>
              <w:rPr>
                <w:rFonts w:ascii="宋体"/>
              </w:rPr>
            </w:pPr>
          </w:p>
        </w:tc>
        <w:tc>
          <w:tcPr>
            <w:tcW w:w="0" w:type="auto"/>
            <w:shd w:val="clear" w:color="auto" w:fill="auto"/>
          </w:tcPr>
          <w:p w14:paraId="5EA28044" w14:textId="77777777" w:rsidR="003C66EB" w:rsidRDefault="003C66EB">
            <w:pPr>
              <w:rPr>
                <w:rFonts w:ascii="宋体"/>
              </w:rPr>
            </w:pPr>
          </w:p>
        </w:tc>
        <w:tc>
          <w:tcPr>
            <w:tcW w:w="0" w:type="auto"/>
            <w:shd w:val="clear" w:color="auto" w:fill="auto"/>
          </w:tcPr>
          <w:p w14:paraId="5EA28045" w14:textId="77777777" w:rsidR="003C66EB" w:rsidRDefault="003C66EB">
            <w:pPr>
              <w:rPr>
                <w:rFonts w:ascii="宋体"/>
              </w:rPr>
            </w:pPr>
          </w:p>
        </w:tc>
        <w:tc>
          <w:tcPr>
            <w:tcW w:w="0" w:type="auto"/>
            <w:shd w:val="clear" w:color="auto" w:fill="auto"/>
          </w:tcPr>
          <w:p w14:paraId="5EA28046" w14:textId="77777777" w:rsidR="003C66EB" w:rsidRDefault="003C66EB">
            <w:pPr>
              <w:rPr>
                <w:rFonts w:ascii="宋体"/>
              </w:rPr>
            </w:pPr>
          </w:p>
        </w:tc>
        <w:tc>
          <w:tcPr>
            <w:tcW w:w="0" w:type="auto"/>
            <w:shd w:val="clear" w:color="auto" w:fill="auto"/>
          </w:tcPr>
          <w:p w14:paraId="5EA28047" w14:textId="77777777" w:rsidR="003C66EB" w:rsidRDefault="003C66EB">
            <w:pPr>
              <w:rPr>
                <w:rFonts w:ascii="宋体"/>
              </w:rPr>
            </w:pPr>
          </w:p>
        </w:tc>
        <w:tc>
          <w:tcPr>
            <w:tcW w:w="0" w:type="auto"/>
            <w:shd w:val="clear" w:color="auto" w:fill="auto"/>
          </w:tcPr>
          <w:p w14:paraId="5EA28048" w14:textId="77777777" w:rsidR="003C66EB" w:rsidRDefault="003C66EB">
            <w:pPr>
              <w:rPr>
                <w:rFonts w:ascii="宋体"/>
              </w:rPr>
            </w:pPr>
          </w:p>
        </w:tc>
        <w:tc>
          <w:tcPr>
            <w:tcW w:w="0" w:type="auto"/>
            <w:shd w:val="clear" w:color="auto" w:fill="auto"/>
          </w:tcPr>
          <w:p w14:paraId="5EA28049" w14:textId="77777777" w:rsidR="003C66EB" w:rsidRDefault="003C66EB">
            <w:pPr>
              <w:rPr>
                <w:rFonts w:ascii="宋体"/>
              </w:rPr>
            </w:pPr>
          </w:p>
        </w:tc>
        <w:tc>
          <w:tcPr>
            <w:tcW w:w="0" w:type="auto"/>
            <w:shd w:val="clear" w:color="auto" w:fill="auto"/>
          </w:tcPr>
          <w:p w14:paraId="5EA2804A" w14:textId="77777777" w:rsidR="003C66EB" w:rsidRDefault="003C66EB">
            <w:pPr>
              <w:rPr>
                <w:rFonts w:ascii="宋体"/>
              </w:rPr>
            </w:pPr>
          </w:p>
        </w:tc>
        <w:tc>
          <w:tcPr>
            <w:tcW w:w="0" w:type="auto"/>
            <w:shd w:val="clear" w:color="auto" w:fill="auto"/>
          </w:tcPr>
          <w:p w14:paraId="5EA2804B" w14:textId="77777777" w:rsidR="003C66EB" w:rsidRDefault="003C66EB">
            <w:pPr>
              <w:rPr>
                <w:rFonts w:ascii="宋体"/>
              </w:rPr>
            </w:pPr>
          </w:p>
        </w:tc>
        <w:tc>
          <w:tcPr>
            <w:tcW w:w="0" w:type="auto"/>
            <w:shd w:val="clear" w:color="auto" w:fill="auto"/>
          </w:tcPr>
          <w:p w14:paraId="5EA2804C" w14:textId="77777777" w:rsidR="003C66EB" w:rsidRDefault="003C66EB">
            <w:pPr>
              <w:rPr>
                <w:rFonts w:ascii="宋体"/>
              </w:rPr>
            </w:pPr>
          </w:p>
        </w:tc>
        <w:tc>
          <w:tcPr>
            <w:tcW w:w="0" w:type="auto"/>
            <w:shd w:val="clear" w:color="auto" w:fill="auto"/>
          </w:tcPr>
          <w:p w14:paraId="5EA2804D" w14:textId="77777777" w:rsidR="003C66EB" w:rsidRDefault="003C66EB">
            <w:pPr>
              <w:rPr>
                <w:rFonts w:ascii="宋体"/>
              </w:rPr>
            </w:pPr>
          </w:p>
        </w:tc>
        <w:tc>
          <w:tcPr>
            <w:tcW w:w="0" w:type="auto"/>
            <w:shd w:val="clear" w:color="auto" w:fill="auto"/>
          </w:tcPr>
          <w:p w14:paraId="5EA2804E" w14:textId="77777777" w:rsidR="003C66EB" w:rsidRDefault="003C66EB">
            <w:pPr>
              <w:rPr>
                <w:rFonts w:ascii="宋体"/>
              </w:rPr>
            </w:pPr>
          </w:p>
        </w:tc>
        <w:tc>
          <w:tcPr>
            <w:tcW w:w="0" w:type="auto"/>
            <w:shd w:val="clear" w:color="auto" w:fill="auto"/>
          </w:tcPr>
          <w:p w14:paraId="5EA2804F" w14:textId="77777777" w:rsidR="003C66EB" w:rsidRDefault="003C66EB">
            <w:pPr>
              <w:rPr>
                <w:rFonts w:ascii="宋体"/>
              </w:rPr>
            </w:pPr>
          </w:p>
        </w:tc>
        <w:tc>
          <w:tcPr>
            <w:tcW w:w="0" w:type="auto"/>
            <w:shd w:val="clear" w:color="auto" w:fill="auto"/>
          </w:tcPr>
          <w:p w14:paraId="5EA28050" w14:textId="77777777" w:rsidR="003C66EB" w:rsidRDefault="003C66EB">
            <w:pPr>
              <w:rPr>
                <w:rFonts w:ascii="宋体"/>
              </w:rPr>
            </w:pPr>
          </w:p>
        </w:tc>
        <w:tc>
          <w:tcPr>
            <w:tcW w:w="0" w:type="auto"/>
            <w:shd w:val="clear" w:color="auto" w:fill="auto"/>
          </w:tcPr>
          <w:p w14:paraId="5EA28051" w14:textId="77777777" w:rsidR="003C66EB" w:rsidRDefault="003C66EB">
            <w:pPr>
              <w:rPr>
                <w:rFonts w:ascii="宋体"/>
              </w:rPr>
            </w:pPr>
          </w:p>
        </w:tc>
      </w:tr>
      <w:tr w:rsidR="003C66EB" w14:paraId="5EA28069" w14:textId="77777777">
        <w:trPr>
          <w:hidden/>
        </w:trPr>
        <w:tc>
          <w:tcPr>
            <w:tcW w:w="0" w:type="auto"/>
            <w:gridSpan w:val="3"/>
            <w:shd w:val="clear" w:color="auto" w:fill="auto"/>
          </w:tcPr>
          <w:p w14:paraId="5EA28053" w14:textId="77777777" w:rsidR="003C66EB" w:rsidRDefault="003C66EB">
            <w:pPr>
              <w:rPr>
                <w:rFonts w:ascii="宋体"/>
                <w:vanish/>
              </w:rPr>
            </w:pPr>
          </w:p>
        </w:tc>
        <w:tc>
          <w:tcPr>
            <w:tcW w:w="0" w:type="auto"/>
            <w:gridSpan w:val="3"/>
            <w:shd w:val="clear" w:color="auto" w:fill="auto"/>
          </w:tcPr>
          <w:p w14:paraId="5EA28054" w14:textId="77777777" w:rsidR="003C66EB" w:rsidRDefault="003C66EB">
            <w:pPr>
              <w:rPr>
                <w:rFonts w:ascii="宋体"/>
                <w:vanish/>
              </w:rPr>
            </w:pPr>
          </w:p>
        </w:tc>
        <w:tc>
          <w:tcPr>
            <w:tcW w:w="0" w:type="auto"/>
            <w:gridSpan w:val="3"/>
            <w:shd w:val="clear" w:color="auto" w:fill="auto"/>
          </w:tcPr>
          <w:p w14:paraId="5EA28055" w14:textId="77777777" w:rsidR="003C66EB" w:rsidRDefault="003C66EB">
            <w:pPr>
              <w:rPr>
                <w:rFonts w:ascii="宋体"/>
                <w:vanish/>
              </w:rPr>
            </w:pPr>
          </w:p>
        </w:tc>
        <w:tc>
          <w:tcPr>
            <w:tcW w:w="0" w:type="auto"/>
            <w:gridSpan w:val="3"/>
            <w:shd w:val="clear" w:color="auto" w:fill="auto"/>
          </w:tcPr>
          <w:p w14:paraId="5EA28056" w14:textId="77777777" w:rsidR="003C66EB" w:rsidRDefault="003C66EB">
            <w:pPr>
              <w:rPr>
                <w:rFonts w:ascii="宋体"/>
                <w:vanish/>
              </w:rPr>
            </w:pPr>
          </w:p>
        </w:tc>
        <w:tc>
          <w:tcPr>
            <w:tcW w:w="0" w:type="auto"/>
            <w:gridSpan w:val="3"/>
            <w:shd w:val="clear" w:color="auto" w:fill="auto"/>
          </w:tcPr>
          <w:p w14:paraId="5EA28057" w14:textId="77777777" w:rsidR="003C66EB" w:rsidRDefault="003C66EB">
            <w:pPr>
              <w:rPr>
                <w:rFonts w:ascii="宋体"/>
                <w:vanish/>
              </w:rPr>
            </w:pPr>
          </w:p>
        </w:tc>
        <w:tc>
          <w:tcPr>
            <w:tcW w:w="0" w:type="auto"/>
            <w:gridSpan w:val="3"/>
            <w:shd w:val="clear" w:color="auto" w:fill="auto"/>
          </w:tcPr>
          <w:p w14:paraId="5EA28058" w14:textId="77777777" w:rsidR="003C66EB" w:rsidRDefault="003C66EB">
            <w:pPr>
              <w:rPr>
                <w:rFonts w:ascii="宋体"/>
                <w:vanish/>
              </w:rPr>
            </w:pPr>
          </w:p>
        </w:tc>
        <w:tc>
          <w:tcPr>
            <w:tcW w:w="0" w:type="auto"/>
            <w:gridSpan w:val="3"/>
            <w:shd w:val="clear" w:color="auto" w:fill="auto"/>
          </w:tcPr>
          <w:p w14:paraId="5EA28059" w14:textId="77777777" w:rsidR="003C66EB" w:rsidRDefault="003C66EB">
            <w:pPr>
              <w:rPr>
                <w:rFonts w:ascii="宋体"/>
                <w:vanish/>
              </w:rPr>
            </w:pPr>
          </w:p>
        </w:tc>
        <w:tc>
          <w:tcPr>
            <w:tcW w:w="0" w:type="auto"/>
            <w:gridSpan w:val="3"/>
            <w:shd w:val="clear" w:color="auto" w:fill="auto"/>
          </w:tcPr>
          <w:p w14:paraId="5EA2805A" w14:textId="77777777" w:rsidR="003C66EB" w:rsidRDefault="003C66EB">
            <w:pPr>
              <w:rPr>
                <w:rFonts w:ascii="宋体"/>
                <w:vanish/>
              </w:rPr>
            </w:pPr>
          </w:p>
        </w:tc>
        <w:tc>
          <w:tcPr>
            <w:tcW w:w="0" w:type="auto"/>
            <w:gridSpan w:val="3"/>
            <w:shd w:val="clear" w:color="auto" w:fill="auto"/>
          </w:tcPr>
          <w:p w14:paraId="5EA2805B" w14:textId="77777777" w:rsidR="003C66EB" w:rsidRDefault="003C66EB">
            <w:pPr>
              <w:rPr>
                <w:rFonts w:ascii="宋体"/>
                <w:vanish/>
              </w:rPr>
            </w:pPr>
          </w:p>
        </w:tc>
        <w:tc>
          <w:tcPr>
            <w:tcW w:w="0" w:type="auto"/>
            <w:gridSpan w:val="3"/>
            <w:shd w:val="clear" w:color="auto" w:fill="auto"/>
          </w:tcPr>
          <w:p w14:paraId="5EA2805C" w14:textId="77777777" w:rsidR="003C66EB" w:rsidRDefault="003C66EB">
            <w:pPr>
              <w:rPr>
                <w:rFonts w:ascii="宋体"/>
                <w:vanish/>
              </w:rPr>
            </w:pPr>
          </w:p>
        </w:tc>
        <w:tc>
          <w:tcPr>
            <w:tcW w:w="0" w:type="auto"/>
            <w:gridSpan w:val="3"/>
            <w:shd w:val="clear" w:color="auto" w:fill="auto"/>
          </w:tcPr>
          <w:p w14:paraId="5EA2805D" w14:textId="77777777" w:rsidR="003C66EB" w:rsidRDefault="003C66EB">
            <w:pPr>
              <w:rPr>
                <w:rFonts w:ascii="宋体"/>
                <w:vanish/>
              </w:rPr>
            </w:pPr>
          </w:p>
        </w:tc>
        <w:tc>
          <w:tcPr>
            <w:tcW w:w="0" w:type="auto"/>
            <w:gridSpan w:val="3"/>
            <w:shd w:val="clear" w:color="auto" w:fill="auto"/>
          </w:tcPr>
          <w:p w14:paraId="5EA2805E" w14:textId="77777777" w:rsidR="003C66EB" w:rsidRDefault="003C66EB">
            <w:pPr>
              <w:rPr>
                <w:rFonts w:ascii="宋体"/>
                <w:vanish/>
              </w:rPr>
            </w:pPr>
          </w:p>
        </w:tc>
        <w:tc>
          <w:tcPr>
            <w:tcW w:w="0" w:type="auto"/>
            <w:gridSpan w:val="3"/>
            <w:shd w:val="clear" w:color="auto" w:fill="auto"/>
          </w:tcPr>
          <w:p w14:paraId="5EA2805F" w14:textId="77777777" w:rsidR="003C66EB" w:rsidRDefault="003C66EB">
            <w:pPr>
              <w:rPr>
                <w:rFonts w:ascii="宋体"/>
                <w:vanish/>
              </w:rPr>
            </w:pPr>
          </w:p>
        </w:tc>
        <w:tc>
          <w:tcPr>
            <w:tcW w:w="0" w:type="auto"/>
            <w:gridSpan w:val="3"/>
            <w:shd w:val="clear" w:color="auto" w:fill="auto"/>
          </w:tcPr>
          <w:p w14:paraId="5EA28060" w14:textId="77777777" w:rsidR="003C66EB" w:rsidRDefault="003C66EB">
            <w:pPr>
              <w:rPr>
                <w:rFonts w:ascii="宋体"/>
                <w:vanish/>
              </w:rPr>
            </w:pPr>
          </w:p>
        </w:tc>
        <w:tc>
          <w:tcPr>
            <w:tcW w:w="0" w:type="auto"/>
            <w:gridSpan w:val="3"/>
            <w:shd w:val="clear" w:color="auto" w:fill="auto"/>
          </w:tcPr>
          <w:p w14:paraId="5EA28061" w14:textId="77777777" w:rsidR="003C66EB" w:rsidRDefault="003C66EB">
            <w:pPr>
              <w:rPr>
                <w:rFonts w:ascii="宋体"/>
                <w:vanish/>
              </w:rPr>
            </w:pPr>
          </w:p>
        </w:tc>
        <w:tc>
          <w:tcPr>
            <w:tcW w:w="0" w:type="auto"/>
            <w:gridSpan w:val="3"/>
            <w:shd w:val="clear" w:color="auto" w:fill="auto"/>
          </w:tcPr>
          <w:p w14:paraId="5EA28062" w14:textId="77777777" w:rsidR="003C66EB" w:rsidRDefault="003C66EB">
            <w:pPr>
              <w:rPr>
                <w:rFonts w:ascii="宋体"/>
                <w:vanish/>
              </w:rPr>
            </w:pPr>
          </w:p>
        </w:tc>
        <w:tc>
          <w:tcPr>
            <w:tcW w:w="0" w:type="auto"/>
            <w:gridSpan w:val="3"/>
            <w:shd w:val="clear" w:color="auto" w:fill="auto"/>
          </w:tcPr>
          <w:p w14:paraId="5EA28063" w14:textId="77777777" w:rsidR="003C66EB" w:rsidRDefault="003C66EB">
            <w:pPr>
              <w:rPr>
                <w:rFonts w:ascii="宋体"/>
                <w:vanish/>
              </w:rPr>
            </w:pPr>
          </w:p>
        </w:tc>
        <w:tc>
          <w:tcPr>
            <w:tcW w:w="0" w:type="auto"/>
            <w:gridSpan w:val="3"/>
            <w:shd w:val="clear" w:color="auto" w:fill="auto"/>
          </w:tcPr>
          <w:p w14:paraId="5EA28064" w14:textId="77777777" w:rsidR="003C66EB" w:rsidRDefault="003C66EB">
            <w:pPr>
              <w:rPr>
                <w:rFonts w:ascii="宋体"/>
                <w:vanish/>
              </w:rPr>
            </w:pPr>
          </w:p>
        </w:tc>
        <w:tc>
          <w:tcPr>
            <w:tcW w:w="0" w:type="auto"/>
            <w:gridSpan w:val="3"/>
            <w:shd w:val="clear" w:color="auto" w:fill="auto"/>
          </w:tcPr>
          <w:p w14:paraId="5EA28065" w14:textId="77777777" w:rsidR="003C66EB" w:rsidRDefault="003C66EB">
            <w:pPr>
              <w:rPr>
                <w:rFonts w:ascii="宋体"/>
                <w:vanish/>
              </w:rPr>
            </w:pPr>
          </w:p>
        </w:tc>
        <w:tc>
          <w:tcPr>
            <w:tcW w:w="0" w:type="auto"/>
            <w:gridSpan w:val="3"/>
            <w:shd w:val="clear" w:color="auto" w:fill="auto"/>
          </w:tcPr>
          <w:p w14:paraId="5EA28066" w14:textId="77777777" w:rsidR="003C66EB" w:rsidRDefault="003C66EB">
            <w:pPr>
              <w:rPr>
                <w:rFonts w:ascii="宋体"/>
                <w:vanish/>
              </w:rPr>
            </w:pPr>
          </w:p>
        </w:tc>
        <w:tc>
          <w:tcPr>
            <w:tcW w:w="0" w:type="auto"/>
            <w:gridSpan w:val="2"/>
            <w:shd w:val="clear" w:color="auto" w:fill="auto"/>
          </w:tcPr>
          <w:p w14:paraId="5EA28067" w14:textId="77777777" w:rsidR="003C66EB" w:rsidRDefault="003C66EB">
            <w:pPr>
              <w:rPr>
                <w:rFonts w:ascii="宋体"/>
                <w:vanish/>
              </w:rPr>
            </w:pPr>
          </w:p>
        </w:tc>
        <w:tc>
          <w:tcPr>
            <w:tcW w:w="0" w:type="auto"/>
            <w:shd w:val="clear" w:color="auto" w:fill="auto"/>
          </w:tcPr>
          <w:p w14:paraId="5EA28068" w14:textId="77777777" w:rsidR="003C66EB" w:rsidRDefault="003C66EB">
            <w:pPr>
              <w:rPr>
                <w:rFonts w:ascii="宋体"/>
                <w:vanish/>
              </w:rPr>
            </w:pPr>
          </w:p>
        </w:tc>
      </w:tr>
      <w:tr w:rsidR="003C66EB" w14:paraId="5EA28080" w14:textId="77777777">
        <w:trPr>
          <w:hidden/>
        </w:trPr>
        <w:tc>
          <w:tcPr>
            <w:tcW w:w="0" w:type="auto"/>
            <w:gridSpan w:val="3"/>
            <w:shd w:val="clear" w:color="auto" w:fill="auto"/>
          </w:tcPr>
          <w:p w14:paraId="5EA2806A" w14:textId="77777777" w:rsidR="003C66EB" w:rsidRDefault="003C66EB">
            <w:pPr>
              <w:rPr>
                <w:rFonts w:ascii="宋体"/>
                <w:vanish/>
              </w:rPr>
            </w:pPr>
          </w:p>
        </w:tc>
        <w:tc>
          <w:tcPr>
            <w:tcW w:w="0" w:type="auto"/>
            <w:gridSpan w:val="3"/>
            <w:shd w:val="clear" w:color="auto" w:fill="auto"/>
          </w:tcPr>
          <w:p w14:paraId="5EA2806B" w14:textId="77777777" w:rsidR="003C66EB" w:rsidRDefault="003C66EB">
            <w:pPr>
              <w:rPr>
                <w:rFonts w:ascii="宋体"/>
                <w:vanish/>
              </w:rPr>
            </w:pPr>
          </w:p>
        </w:tc>
        <w:tc>
          <w:tcPr>
            <w:tcW w:w="0" w:type="auto"/>
            <w:gridSpan w:val="3"/>
            <w:shd w:val="clear" w:color="auto" w:fill="auto"/>
          </w:tcPr>
          <w:p w14:paraId="5EA2806C" w14:textId="77777777" w:rsidR="003C66EB" w:rsidRDefault="003C66EB">
            <w:pPr>
              <w:rPr>
                <w:rFonts w:ascii="宋体"/>
                <w:vanish/>
              </w:rPr>
            </w:pPr>
          </w:p>
        </w:tc>
        <w:tc>
          <w:tcPr>
            <w:tcW w:w="0" w:type="auto"/>
            <w:gridSpan w:val="3"/>
            <w:shd w:val="clear" w:color="auto" w:fill="auto"/>
          </w:tcPr>
          <w:p w14:paraId="5EA2806D" w14:textId="77777777" w:rsidR="003C66EB" w:rsidRDefault="003C66EB">
            <w:pPr>
              <w:rPr>
                <w:rFonts w:ascii="宋体"/>
                <w:vanish/>
              </w:rPr>
            </w:pPr>
          </w:p>
        </w:tc>
        <w:tc>
          <w:tcPr>
            <w:tcW w:w="0" w:type="auto"/>
            <w:gridSpan w:val="3"/>
            <w:shd w:val="clear" w:color="auto" w:fill="auto"/>
          </w:tcPr>
          <w:p w14:paraId="5EA2806E" w14:textId="77777777" w:rsidR="003C66EB" w:rsidRDefault="003C66EB">
            <w:pPr>
              <w:rPr>
                <w:rFonts w:ascii="宋体"/>
                <w:vanish/>
              </w:rPr>
            </w:pPr>
          </w:p>
        </w:tc>
        <w:tc>
          <w:tcPr>
            <w:tcW w:w="0" w:type="auto"/>
            <w:gridSpan w:val="3"/>
            <w:shd w:val="clear" w:color="auto" w:fill="auto"/>
          </w:tcPr>
          <w:p w14:paraId="5EA2806F" w14:textId="77777777" w:rsidR="003C66EB" w:rsidRDefault="003C66EB">
            <w:pPr>
              <w:rPr>
                <w:rFonts w:ascii="宋体"/>
                <w:vanish/>
              </w:rPr>
            </w:pPr>
          </w:p>
        </w:tc>
        <w:tc>
          <w:tcPr>
            <w:tcW w:w="0" w:type="auto"/>
            <w:gridSpan w:val="3"/>
            <w:shd w:val="clear" w:color="auto" w:fill="auto"/>
          </w:tcPr>
          <w:p w14:paraId="5EA28070" w14:textId="77777777" w:rsidR="003C66EB" w:rsidRDefault="003C66EB">
            <w:pPr>
              <w:rPr>
                <w:rFonts w:ascii="宋体"/>
                <w:vanish/>
              </w:rPr>
            </w:pPr>
          </w:p>
        </w:tc>
        <w:tc>
          <w:tcPr>
            <w:tcW w:w="0" w:type="auto"/>
            <w:gridSpan w:val="3"/>
            <w:shd w:val="clear" w:color="auto" w:fill="auto"/>
          </w:tcPr>
          <w:p w14:paraId="5EA28071" w14:textId="77777777" w:rsidR="003C66EB" w:rsidRDefault="003C66EB">
            <w:pPr>
              <w:rPr>
                <w:rFonts w:ascii="宋体"/>
                <w:vanish/>
              </w:rPr>
            </w:pPr>
          </w:p>
        </w:tc>
        <w:tc>
          <w:tcPr>
            <w:tcW w:w="0" w:type="auto"/>
            <w:gridSpan w:val="3"/>
            <w:shd w:val="clear" w:color="auto" w:fill="auto"/>
          </w:tcPr>
          <w:p w14:paraId="5EA28072" w14:textId="77777777" w:rsidR="003C66EB" w:rsidRDefault="003C66EB">
            <w:pPr>
              <w:rPr>
                <w:rFonts w:ascii="宋体"/>
                <w:vanish/>
              </w:rPr>
            </w:pPr>
          </w:p>
        </w:tc>
        <w:tc>
          <w:tcPr>
            <w:tcW w:w="0" w:type="auto"/>
            <w:gridSpan w:val="3"/>
            <w:shd w:val="clear" w:color="auto" w:fill="auto"/>
          </w:tcPr>
          <w:p w14:paraId="5EA28073" w14:textId="77777777" w:rsidR="003C66EB" w:rsidRDefault="003C66EB">
            <w:pPr>
              <w:rPr>
                <w:rFonts w:ascii="宋体"/>
                <w:vanish/>
              </w:rPr>
            </w:pPr>
          </w:p>
        </w:tc>
        <w:tc>
          <w:tcPr>
            <w:tcW w:w="0" w:type="auto"/>
            <w:gridSpan w:val="3"/>
            <w:shd w:val="clear" w:color="auto" w:fill="auto"/>
          </w:tcPr>
          <w:p w14:paraId="5EA28074" w14:textId="77777777" w:rsidR="003C66EB" w:rsidRDefault="003C66EB">
            <w:pPr>
              <w:rPr>
                <w:rFonts w:ascii="宋体"/>
                <w:vanish/>
              </w:rPr>
            </w:pPr>
          </w:p>
        </w:tc>
        <w:tc>
          <w:tcPr>
            <w:tcW w:w="0" w:type="auto"/>
            <w:gridSpan w:val="3"/>
            <w:shd w:val="clear" w:color="auto" w:fill="auto"/>
          </w:tcPr>
          <w:p w14:paraId="5EA28075" w14:textId="77777777" w:rsidR="003C66EB" w:rsidRDefault="003C66EB">
            <w:pPr>
              <w:rPr>
                <w:rFonts w:ascii="宋体"/>
                <w:vanish/>
              </w:rPr>
            </w:pPr>
          </w:p>
        </w:tc>
        <w:tc>
          <w:tcPr>
            <w:tcW w:w="0" w:type="auto"/>
            <w:gridSpan w:val="3"/>
            <w:shd w:val="clear" w:color="auto" w:fill="auto"/>
          </w:tcPr>
          <w:p w14:paraId="5EA28076" w14:textId="77777777" w:rsidR="003C66EB" w:rsidRDefault="003C66EB">
            <w:pPr>
              <w:rPr>
                <w:rFonts w:ascii="宋体"/>
                <w:vanish/>
              </w:rPr>
            </w:pPr>
          </w:p>
        </w:tc>
        <w:tc>
          <w:tcPr>
            <w:tcW w:w="0" w:type="auto"/>
            <w:gridSpan w:val="3"/>
            <w:shd w:val="clear" w:color="auto" w:fill="auto"/>
          </w:tcPr>
          <w:p w14:paraId="5EA28077" w14:textId="77777777" w:rsidR="003C66EB" w:rsidRDefault="003C66EB">
            <w:pPr>
              <w:rPr>
                <w:rFonts w:ascii="宋体"/>
                <w:vanish/>
              </w:rPr>
            </w:pPr>
          </w:p>
        </w:tc>
        <w:tc>
          <w:tcPr>
            <w:tcW w:w="0" w:type="auto"/>
            <w:gridSpan w:val="3"/>
            <w:shd w:val="clear" w:color="auto" w:fill="auto"/>
          </w:tcPr>
          <w:p w14:paraId="5EA28078" w14:textId="77777777" w:rsidR="003C66EB" w:rsidRDefault="003C66EB">
            <w:pPr>
              <w:rPr>
                <w:rFonts w:ascii="宋体"/>
                <w:vanish/>
              </w:rPr>
            </w:pPr>
          </w:p>
        </w:tc>
        <w:tc>
          <w:tcPr>
            <w:tcW w:w="0" w:type="auto"/>
            <w:gridSpan w:val="3"/>
            <w:shd w:val="clear" w:color="auto" w:fill="auto"/>
          </w:tcPr>
          <w:p w14:paraId="5EA28079" w14:textId="77777777" w:rsidR="003C66EB" w:rsidRDefault="003C66EB">
            <w:pPr>
              <w:rPr>
                <w:rFonts w:ascii="宋体"/>
                <w:vanish/>
              </w:rPr>
            </w:pPr>
          </w:p>
        </w:tc>
        <w:tc>
          <w:tcPr>
            <w:tcW w:w="0" w:type="auto"/>
            <w:gridSpan w:val="3"/>
            <w:shd w:val="clear" w:color="auto" w:fill="auto"/>
          </w:tcPr>
          <w:p w14:paraId="5EA2807A" w14:textId="77777777" w:rsidR="003C66EB" w:rsidRDefault="003C66EB">
            <w:pPr>
              <w:rPr>
                <w:rFonts w:ascii="宋体"/>
                <w:vanish/>
              </w:rPr>
            </w:pPr>
          </w:p>
        </w:tc>
        <w:tc>
          <w:tcPr>
            <w:tcW w:w="0" w:type="auto"/>
            <w:gridSpan w:val="3"/>
            <w:shd w:val="clear" w:color="auto" w:fill="auto"/>
          </w:tcPr>
          <w:p w14:paraId="5EA2807B" w14:textId="77777777" w:rsidR="003C66EB" w:rsidRDefault="003C66EB">
            <w:pPr>
              <w:rPr>
                <w:rFonts w:ascii="宋体"/>
                <w:vanish/>
              </w:rPr>
            </w:pPr>
          </w:p>
        </w:tc>
        <w:tc>
          <w:tcPr>
            <w:tcW w:w="0" w:type="auto"/>
            <w:gridSpan w:val="3"/>
            <w:shd w:val="clear" w:color="auto" w:fill="auto"/>
          </w:tcPr>
          <w:p w14:paraId="5EA2807C" w14:textId="77777777" w:rsidR="003C66EB" w:rsidRDefault="003C66EB">
            <w:pPr>
              <w:rPr>
                <w:rFonts w:ascii="宋体"/>
                <w:vanish/>
              </w:rPr>
            </w:pPr>
          </w:p>
        </w:tc>
        <w:tc>
          <w:tcPr>
            <w:tcW w:w="0" w:type="auto"/>
            <w:gridSpan w:val="3"/>
            <w:shd w:val="clear" w:color="auto" w:fill="auto"/>
          </w:tcPr>
          <w:p w14:paraId="5EA2807D" w14:textId="77777777" w:rsidR="003C66EB" w:rsidRDefault="003C66EB">
            <w:pPr>
              <w:rPr>
                <w:rFonts w:ascii="宋体"/>
                <w:vanish/>
              </w:rPr>
            </w:pPr>
          </w:p>
        </w:tc>
        <w:tc>
          <w:tcPr>
            <w:tcW w:w="0" w:type="auto"/>
            <w:gridSpan w:val="2"/>
            <w:shd w:val="clear" w:color="auto" w:fill="auto"/>
          </w:tcPr>
          <w:p w14:paraId="5EA2807E" w14:textId="77777777" w:rsidR="003C66EB" w:rsidRDefault="003C66EB">
            <w:pPr>
              <w:rPr>
                <w:rFonts w:ascii="宋体"/>
                <w:vanish/>
              </w:rPr>
            </w:pPr>
          </w:p>
        </w:tc>
        <w:tc>
          <w:tcPr>
            <w:tcW w:w="0" w:type="auto"/>
            <w:shd w:val="clear" w:color="auto" w:fill="auto"/>
          </w:tcPr>
          <w:p w14:paraId="5EA2807F" w14:textId="77777777" w:rsidR="003C66EB" w:rsidRDefault="003C66EB">
            <w:pPr>
              <w:rPr>
                <w:rFonts w:ascii="宋体"/>
                <w:vanish/>
              </w:rPr>
            </w:pPr>
          </w:p>
        </w:tc>
      </w:tr>
      <w:tr w:rsidR="003C66EB" w14:paraId="5EA28097" w14:textId="77777777">
        <w:trPr>
          <w:hidden/>
        </w:trPr>
        <w:tc>
          <w:tcPr>
            <w:tcW w:w="0" w:type="auto"/>
            <w:gridSpan w:val="3"/>
            <w:shd w:val="clear" w:color="auto" w:fill="auto"/>
          </w:tcPr>
          <w:p w14:paraId="5EA28081" w14:textId="77777777" w:rsidR="003C66EB" w:rsidRDefault="003C66EB">
            <w:pPr>
              <w:rPr>
                <w:rFonts w:ascii="宋体"/>
                <w:vanish/>
              </w:rPr>
            </w:pPr>
          </w:p>
        </w:tc>
        <w:tc>
          <w:tcPr>
            <w:tcW w:w="0" w:type="auto"/>
            <w:gridSpan w:val="3"/>
            <w:shd w:val="clear" w:color="auto" w:fill="auto"/>
          </w:tcPr>
          <w:p w14:paraId="5EA28082" w14:textId="77777777" w:rsidR="003C66EB" w:rsidRDefault="003C66EB">
            <w:pPr>
              <w:rPr>
                <w:rFonts w:ascii="宋体"/>
                <w:vanish/>
              </w:rPr>
            </w:pPr>
          </w:p>
        </w:tc>
        <w:tc>
          <w:tcPr>
            <w:tcW w:w="0" w:type="auto"/>
            <w:gridSpan w:val="3"/>
            <w:shd w:val="clear" w:color="auto" w:fill="auto"/>
          </w:tcPr>
          <w:p w14:paraId="5EA28083" w14:textId="77777777" w:rsidR="003C66EB" w:rsidRDefault="003C66EB">
            <w:pPr>
              <w:rPr>
                <w:rFonts w:ascii="宋体"/>
                <w:vanish/>
              </w:rPr>
            </w:pPr>
          </w:p>
        </w:tc>
        <w:tc>
          <w:tcPr>
            <w:tcW w:w="0" w:type="auto"/>
            <w:gridSpan w:val="3"/>
            <w:shd w:val="clear" w:color="auto" w:fill="auto"/>
          </w:tcPr>
          <w:p w14:paraId="5EA28084" w14:textId="77777777" w:rsidR="003C66EB" w:rsidRDefault="003C66EB">
            <w:pPr>
              <w:rPr>
                <w:rFonts w:ascii="宋体"/>
                <w:vanish/>
              </w:rPr>
            </w:pPr>
          </w:p>
        </w:tc>
        <w:tc>
          <w:tcPr>
            <w:tcW w:w="0" w:type="auto"/>
            <w:gridSpan w:val="3"/>
            <w:shd w:val="clear" w:color="auto" w:fill="auto"/>
          </w:tcPr>
          <w:p w14:paraId="5EA28085" w14:textId="77777777" w:rsidR="003C66EB" w:rsidRDefault="003C66EB">
            <w:pPr>
              <w:rPr>
                <w:rFonts w:ascii="宋体"/>
                <w:vanish/>
              </w:rPr>
            </w:pPr>
          </w:p>
        </w:tc>
        <w:tc>
          <w:tcPr>
            <w:tcW w:w="0" w:type="auto"/>
            <w:gridSpan w:val="3"/>
            <w:shd w:val="clear" w:color="auto" w:fill="auto"/>
          </w:tcPr>
          <w:p w14:paraId="5EA28086" w14:textId="77777777" w:rsidR="003C66EB" w:rsidRDefault="003C66EB">
            <w:pPr>
              <w:rPr>
                <w:rFonts w:ascii="宋体"/>
                <w:vanish/>
              </w:rPr>
            </w:pPr>
          </w:p>
        </w:tc>
        <w:tc>
          <w:tcPr>
            <w:tcW w:w="0" w:type="auto"/>
            <w:gridSpan w:val="3"/>
            <w:shd w:val="clear" w:color="auto" w:fill="auto"/>
          </w:tcPr>
          <w:p w14:paraId="5EA28087" w14:textId="77777777" w:rsidR="003C66EB" w:rsidRDefault="003C66EB">
            <w:pPr>
              <w:rPr>
                <w:rFonts w:ascii="宋体"/>
                <w:vanish/>
              </w:rPr>
            </w:pPr>
          </w:p>
        </w:tc>
        <w:tc>
          <w:tcPr>
            <w:tcW w:w="0" w:type="auto"/>
            <w:gridSpan w:val="3"/>
            <w:shd w:val="clear" w:color="auto" w:fill="auto"/>
          </w:tcPr>
          <w:p w14:paraId="5EA28088" w14:textId="77777777" w:rsidR="003C66EB" w:rsidRDefault="003C66EB">
            <w:pPr>
              <w:rPr>
                <w:rFonts w:ascii="宋体"/>
                <w:vanish/>
              </w:rPr>
            </w:pPr>
          </w:p>
        </w:tc>
        <w:tc>
          <w:tcPr>
            <w:tcW w:w="0" w:type="auto"/>
            <w:gridSpan w:val="3"/>
            <w:shd w:val="clear" w:color="auto" w:fill="auto"/>
          </w:tcPr>
          <w:p w14:paraId="5EA28089" w14:textId="77777777" w:rsidR="003C66EB" w:rsidRDefault="003C66EB">
            <w:pPr>
              <w:rPr>
                <w:rFonts w:ascii="宋体"/>
                <w:vanish/>
              </w:rPr>
            </w:pPr>
          </w:p>
        </w:tc>
        <w:tc>
          <w:tcPr>
            <w:tcW w:w="0" w:type="auto"/>
            <w:gridSpan w:val="3"/>
            <w:shd w:val="clear" w:color="auto" w:fill="auto"/>
          </w:tcPr>
          <w:p w14:paraId="5EA2808A" w14:textId="77777777" w:rsidR="003C66EB" w:rsidRDefault="003C66EB">
            <w:pPr>
              <w:rPr>
                <w:rFonts w:ascii="宋体"/>
                <w:vanish/>
              </w:rPr>
            </w:pPr>
          </w:p>
        </w:tc>
        <w:tc>
          <w:tcPr>
            <w:tcW w:w="0" w:type="auto"/>
            <w:gridSpan w:val="3"/>
            <w:shd w:val="clear" w:color="auto" w:fill="auto"/>
          </w:tcPr>
          <w:p w14:paraId="5EA2808B" w14:textId="77777777" w:rsidR="003C66EB" w:rsidRDefault="003C66EB">
            <w:pPr>
              <w:rPr>
                <w:rFonts w:ascii="宋体"/>
                <w:vanish/>
              </w:rPr>
            </w:pPr>
          </w:p>
        </w:tc>
        <w:tc>
          <w:tcPr>
            <w:tcW w:w="0" w:type="auto"/>
            <w:gridSpan w:val="3"/>
            <w:shd w:val="clear" w:color="auto" w:fill="auto"/>
          </w:tcPr>
          <w:p w14:paraId="5EA2808C" w14:textId="77777777" w:rsidR="003C66EB" w:rsidRDefault="003C66EB">
            <w:pPr>
              <w:rPr>
                <w:rFonts w:ascii="宋体"/>
                <w:vanish/>
              </w:rPr>
            </w:pPr>
          </w:p>
        </w:tc>
        <w:tc>
          <w:tcPr>
            <w:tcW w:w="0" w:type="auto"/>
            <w:gridSpan w:val="3"/>
            <w:shd w:val="clear" w:color="auto" w:fill="auto"/>
          </w:tcPr>
          <w:p w14:paraId="5EA2808D" w14:textId="77777777" w:rsidR="003C66EB" w:rsidRDefault="003C66EB">
            <w:pPr>
              <w:rPr>
                <w:rFonts w:ascii="宋体"/>
                <w:vanish/>
              </w:rPr>
            </w:pPr>
          </w:p>
        </w:tc>
        <w:tc>
          <w:tcPr>
            <w:tcW w:w="0" w:type="auto"/>
            <w:gridSpan w:val="3"/>
            <w:shd w:val="clear" w:color="auto" w:fill="auto"/>
          </w:tcPr>
          <w:p w14:paraId="5EA2808E" w14:textId="77777777" w:rsidR="003C66EB" w:rsidRDefault="003C66EB">
            <w:pPr>
              <w:rPr>
                <w:rFonts w:ascii="宋体"/>
                <w:vanish/>
              </w:rPr>
            </w:pPr>
          </w:p>
        </w:tc>
        <w:tc>
          <w:tcPr>
            <w:tcW w:w="0" w:type="auto"/>
            <w:gridSpan w:val="3"/>
            <w:shd w:val="clear" w:color="auto" w:fill="auto"/>
          </w:tcPr>
          <w:p w14:paraId="5EA2808F" w14:textId="77777777" w:rsidR="003C66EB" w:rsidRDefault="003C66EB">
            <w:pPr>
              <w:rPr>
                <w:rFonts w:ascii="宋体"/>
                <w:vanish/>
              </w:rPr>
            </w:pPr>
          </w:p>
        </w:tc>
        <w:tc>
          <w:tcPr>
            <w:tcW w:w="0" w:type="auto"/>
            <w:gridSpan w:val="3"/>
            <w:shd w:val="clear" w:color="auto" w:fill="auto"/>
          </w:tcPr>
          <w:p w14:paraId="5EA28090" w14:textId="77777777" w:rsidR="003C66EB" w:rsidRDefault="003C66EB">
            <w:pPr>
              <w:rPr>
                <w:rFonts w:ascii="宋体"/>
                <w:vanish/>
              </w:rPr>
            </w:pPr>
          </w:p>
        </w:tc>
        <w:tc>
          <w:tcPr>
            <w:tcW w:w="0" w:type="auto"/>
            <w:gridSpan w:val="3"/>
            <w:shd w:val="clear" w:color="auto" w:fill="auto"/>
          </w:tcPr>
          <w:p w14:paraId="5EA28091" w14:textId="77777777" w:rsidR="003C66EB" w:rsidRDefault="003C66EB">
            <w:pPr>
              <w:rPr>
                <w:rFonts w:ascii="宋体"/>
                <w:vanish/>
              </w:rPr>
            </w:pPr>
          </w:p>
        </w:tc>
        <w:tc>
          <w:tcPr>
            <w:tcW w:w="0" w:type="auto"/>
            <w:gridSpan w:val="3"/>
            <w:shd w:val="clear" w:color="auto" w:fill="auto"/>
          </w:tcPr>
          <w:p w14:paraId="5EA28092" w14:textId="77777777" w:rsidR="003C66EB" w:rsidRDefault="003C66EB">
            <w:pPr>
              <w:rPr>
                <w:rFonts w:ascii="宋体"/>
                <w:vanish/>
              </w:rPr>
            </w:pPr>
          </w:p>
        </w:tc>
        <w:tc>
          <w:tcPr>
            <w:tcW w:w="0" w:type="auto"/>
            <w:gridSpan w:val="3"/>
            <w:shd w:val="clear" w:color="auto" w:fill="auto"/>
          </w:tcPr>
          <w:p w14:paraId="5EA28093" w14:textId="77777777" w:rsidR="003C66EB" w:rsidRDefault="003C66EB">
            <w:pPr>
              <w:rPr>
                <w:rFonts w:ascii="宋体"/>
                <w:vanish/>
              </w:rPr>
            </w:pPr>
          </w:p>
        </w:tc>
        <w:tc>
          <w:tcPr>
            <w:tcW w:w="0" w:type="auto"/>
            <w:gridSpan w:val="3"/>
            <w:shd w:val="clear" w:color="auto" w:fill="auto"/>
          </w:tcPr>
          <w:p w14:paraId="5EA28094" w14:textId="77777777" w:rsidR="003C66EB" w:rsidRDefault="003C66EB">
            <w:pPr>
              <w:rPr>
                <w:rFonts w:ascii="宋体"/>
                <w:vanish/>
              </w:rPr>
            </w:pPr>
          </w:p>
        </w:tc>
        <w:tc>
          <w:tcPr>
            <w:tcW w:w="0" w:type="auto"/>
            <w:gridSpan w:val="2"/>
            <w:shd w:val="clear" w:color="auto" w:fill="auto"/>
          </w:tcPr>
          <w:p w14:paraId="5EA28095" w14:textId="77777777" w:rsidR="003C66EB" w:rsidRDefault="003C66EB">
            <w:pPr>
              <w:rPr>
                <w:rFonts w:ascii="宋体"/>
                <w:vanish/>
              </w:rPr>
            </w:pPr>
          </w:p>
        </w:tc>
        <w:tc>
          <w:tcPr>
            <w:tcW w:w="0" w:type="auto"/>
            <w:shd w:val="clear" w:color="auto" w:fill="auto"/>
          </w:tcPr>
          <w:p w14:paraId="5EA28096" w14:textId="77777777" w:rsidR="003C66EB" w:rsidRDefault="003C66EB">
            <w:pPr>
              <w:rPr>
                <w:rFonts w:ascii="宋体"/>
                <w:vanish/>
              </w:rPr>
            </w:pPr>
          </w:p>
        </w:tc>
      </w:tr>
      <w:tr w:rsidR="003C66EB" w14:paraId="5EA280AE" w14:textId="77777777">
        <w:trPr>
          <w:hidden/>
        </w:trPr>
        <w:tc>
          <w:tcPr>
            <w:tcW w:w="0" w:type="auto"/>
            <w:gridSpan w:val="3"/>
            <w:shd w:val="clear" w:color="auto" w:fill="auto"/>
          </w:tcPr>
          <w:p w14:paraId="5EA28098" w14:textId="77777777" w:rsidR="003C66EB" w:rsidRDefault="003C66EB">
            <w:pPr>
              <w:rPr>
                <w:rFonts w:ascii="宋体"/>
                <w:vanish/>
              </w:rPr>
            </w:pPr>
          </w:p>
        </w:tc>
        <w:tc>
          <w:tcPr>
            <w:tcW w:w="0" w:type="auto"/>
            <w:gridSpan w:val="3"/>
            <w:shd w:val="clear" w:color="auto" w:fill="auto"/>
          </w:tcPr>
          <w:p w14:paraId="5EA28099" w14:textId="77777777" w:rsidR="003C66EB" w:rsidRDefault="003C66EB">
            <w:pPr>
              <w:rPr>
                <w:rFonts w:ascii="宋体"/>
                <w:vanish/>
              </w:rPr>
            </w:pPr>
          </w:p>
        </w:tc>
        <w:tc>
          <w:tcPr>
            <w:tcW w:w="0" w:type="auto"/>
            <w:gridSpan w:val="3"/>
            <w:shd w:val="clear" w:color="auto" w:fill="auto"/>
          </w:tcPr>
          <w:p w14:paraId="5EA2809A" w14:textId="77777777" w:rsidR="003C66EB" w:rsidRDefault="003C66EB">
            <w:pPr>
              <w:rPr>
                <w:rFonts w:ascii="宋体"/>
                <w:vanish/>
              </w:rPr>
            </w:pPr>
          </w:p>
        </w:tc>
        <w:tc>
          <w:tcPr>
            <w:tcW w:w="0" w:type="auto"/>
            <w:gridSpan w:val="3"/>
            <w:shd w:val="clear" w:color="auto" w:fill="auto"/>
          </w:tcPr>
          <w:p w14:paraId="5EA2809B" w14:textId="77777777" w:rsidR="003C66EB" w:rsidRDefault="003C66EB">
            <w:pPr>
              <w:rPr>
                <w:rFonts w:ascii="宋体"/>
                <w:vanish/>
              </w:rPr>
            </w:pPr>
          </w:p>
        </w:tc>
        <w:tc>
          <w:tcPr>
            <w:tcW w:w="0" w:type="auto"/>
            <w:gridSpan w:val="3"/>
            <w:shd w:val="clear" w:color="auto" w:fill="auto"/>
          </w:tcPr>
          <w:p w14:paraId="5EA2809C" w14:textId="77777777" w:rsidR="003C66EB" w:rsidRDefault="003C66EB">
            <w:pPr>
              <w:rPr>
                <w:rFonts w:ascii="宋体"/>
                <w:vanish/>
              </w:rPr>
            </w:pPr>
          </w:p>
        </w:tc>
        <w:tc>
          <w:tcPr>
            <w:tcW w:w="0" w:type="auto"/>
            <w:gridSpan w:val="3"/>
            <w:shd w:val="clear" w:color="auto" w:fill="auto"/>
          </w:tcPr>
          <w:p w14:paraId="5EA2809D" w14:textId="77777777" w:rsidR="003C66EB" w:rsidRDefault="003C66EB">
            <w:pPr>
              <w:rPr>
                <w:rFonts w:ascii="宋体"/>
                <w:vanish/>
              </w:rPr>
            </w:pPr>
          </w:p>
        </w:tc>
        <w:tc>
          <w:tcPr>
            <w:tcW w:w="0" w:type="auto"/>
            <w:gridSpan w:val="3"/>
            <w:shd w:val="clear" w:color="auto" w:fill="auto"/>
          </w:tcPr>
          <w:p w14:paraId="5EA2809E" w14:textId="77777777" w:rsidR="003C66EB" w:rsidRDefault="003C66EB">
            <w:pPr>
              <w:rPr>
                <w:rFonts w:ascii="宋体"/>
                <w:vanish/>
              </w:rPr>
            </w:pPr>
          </w:p>
        </w:tc>
        <w:tc>
          <w:tcPr>
            <w:tcW w:w="0" w:type="auto"/>
            <w:gridSpan w:val="3"/>
            <w:shd w:val="clear" w:color="auto" w:fill="auto"/>
          </w:tcPr>
          <w:p w14:paraId="5EA2809F" w14:textId="77777777" w:rsidR="003C66EB" w:rsidRDefault="003C66EB">
            <w:pPr>
              <w:rPr>
                <w:rFonts w:ascii="宋体"/>
                <w:vanish/>
              </w:rPr>
            </w:pPr>
          </w:p>
        </w:tc>
        <w:tc>
          <w:tcPr>
            <w:tcW w:w="0" w:type="auto"/>
            <w:gridSpan w:val="3"/>
            <w:shd w:val="clear" w:color="auto" w:fill="auto"/>
          </w:tcPr>
          <w:p w14:paraId="5EA280A0" w14:textId="77777777" w:rsidR="003C66EB" w:rsidRDefault="003C66EB">
            <w:pPr>
              <w:rPr>
                <w:rFonts w:ascii="宋体"/>
                <w:vanish/>
              </w:rPr>
            </w:pPr>
          </w:p>
        </w:tc>
        <w:tc>
          <w:tcPr>
            <w:tcW w:w="0" w:type="auto"/>
            <w:gridSpan w:val="3"/>
            <w:shd w:val="clear" w:color="auto" w:fill="auto"/>
          </w:tcPr>
          <w:p w14:paraId="5EA280A1" w14:textId="77777777" w:rsidR="003C66EB" w:rsidRDefault="003C66EB">
            <w:pPr>
              <w:rPr>
                <w:rFonts w:ascii="宋体"/>
                <w:vanish/>
              </w:rPr>
            </w:pPr>
          </w:p>
        </w:tc>
        <w:tc>
          <w:tcPr>
            <w:tcW w:w="0" w:type="auto"/>
            <w:gridSpan w:val="3"/>
            <w:shd w:val="clear" w:color="auto" w:fill="auto"/>
          </w:tcPr>
          <w:p w14:paraId="5EA280A2" w14:textId="77777777" w:rsidR="003C66EB" w:rsidRDefault="003C66EB">
            <w:pPr>
              <w:rPr>
                <w:rFonts w:ascii="宋体"/>
                <w:vanish/>
              </w:rPr>
            </w:pPr>
          </w:p>
        </w:tc>
        <w:tc>
          <w:tcPr>
            <w:tcW w:w="0" w:type="auto"/>
            <w:gridSpan w:val="3"/>
            <w:shd w:val="clear" w:color="auto" w:fill="auto"/>
          </w:tcPr>
          <w:p w14:paraId="5EA280A3" w14:textId="77777777" w:rsidR="003C66EB" w:rsidRDefault="003C66EB">
            <w:pPr>
              <w:rPr>
                <w:rFonts w:ascii="宋体"/>
                <w:vanish/>
              </w:rPr>
            </w:pPr>
          </w:p>
        </w:tc>
        <w:tc>
          <w:tcPr>
            <w:tcW w:w="0" w:type="auto"/>
            <w:gridSpan w:val="3"/>
            <w:shd w:val="clear" w:color="auto" w:fill="auto"/>
          </w:tcPr>
          <w:p w14:paraId="5EA280A4" w14:textId="77777777" w:rsidR="003C66EB" w:rsidRDefault="003C66EB">
            <w:pPr>
              <w:rPr>
                <w:rFonts w:ascii="宋体"/>
                <w:vanish/>
              </w:rPr>
            </w:pPr>
          </w:p>
        </w:tc>
        <w:tc>
          <w:tcPr>
            <w:tcW w:w="0" w:type="auto"/>
            <w:gridSpan w:val="3"/>
            <w:shd w:val="clear" w:color="auto" w:fill="auto"/>
          </w:tcPr>
          <w:p w14:paraId="5EA280A5" w14:textId="77777777" w:rsidR="003C66EB" w:rsidRDefault="003C66EB">
            <w:pPr>
              <w:rPr>
                <w:rFonts w:ascii="宋体"/>
                <w:vanish/>
              </w:rPr>
            </w:pPr>
          </w:p>
        </w:tc>
        <w:tc>
          <w:tcPr>
            <w:tcW w:w="0" w:type="auto"/>
            <w:gridSpan w:val="3"/>
            <w:shd w:val="clear" w:color="auto" w:fill="auto"/>
          </w:tcPr>
          <w:p w14:paraId="5EA280A6" w14:textId="77777777" w:rsidR="003C66EB" w:rsidRDefault="003C66EB">
            <w:pPr>
              <w:rPr>
                <w:rFonts w:ascii="宋体"/>
                <w:vanish/>
              </w:rPr>
            </w:pPr>
          </w:p>
        </w:tc>
        <w:tc>
          <w:tcPr>
            <w:tcW w:w="0" w:type="auto"/>
            <w:gridSpan w:val="3"/>
            <w:shd w:val="clear" w:color="auto" w:fill="auto"/>
          </w:tcPr>
          <w:p w14:paraId="5EA280A7" w14:textId="77777777" w:rsidR="003C66EB" w:rsidRDefault="003C66EB">
            <w:pPr>
              <w:rPr>
                <w:rFonts w:ascii="宋体"/>
                <w:vanish/>
              </w:rPr>
            </w:pPr>
          </w:p>
        </w:tc>
        <w:tc>
          <w:tcPr>
            <w:tcW w:w="0" w:type="auto"/>
            <w:gridSpan w:val="3"/>
            <w:shd w:val="clear" w:color="auto" w:fill="auto"/>
          </w:tcPr>
          <w:p w14:paraId="5EA280A8" w14:textId="77777777" w:rsidR="003C66EB" w:rsidRDefault="003C66EB">
            <w:pPr>
              <w:rPr>
                <w:rFonts w:ascii="宋体"/>
                <w:vanish/>
              </w:rPr>
            </w:pPr>
          </w:p>
        </w:tc>
        <w:tc>
          <w:tcPr>
            <w:tcW w:w="0" w:type="auto"/>
            <w:gridSpan w:val="3"/>
            <w:shd w:val="clear" w:color="auto" w:fill="auto"/>
          </w:tcPr>
          <w:p w14:paraId="5EA280A9" w14:textId="77777777" w:rsidR="003C66EB" w:rsidRDefault="003C66EB">
            <w:pPr>
              <w:rPr>
                <w:rFonts w:ascii="宋体"/>
                <w:vanish/>
              </w:rPr>
            </w:pPr>
          </w:p>
        </w:tc>
        <w:tc>
          <w:tcPr>
            <w:tcW w:w="0" w:type="auto"/>
            <w:gridSpan w:val="3"/>
            <w:shd w:val="clear" w:color="auto" w:fill="auto"/>
          </w:tcPr>
          <w:p w14:paraId="5EA280AA" w14:textId="77777777" w:rsidR="003C66EB" w:rsidRDefault="003C66EB">
            <w:pPr>
              <w:rPr>
                <w:rFonts w:ascii="宋体"/>
                <w:vanish/>
              </w:rPr>
            </w:pPr>
          </w:p>
        </w:tc>
        <w:tc>
          <w:tcPr>
            <w:tcW w:w="0" w:type="auto"/>
            <w:gridSpan w:val="3"/>
            <w:shd w:val="clear" w:color="auto" w:fill="auto"/>
          </w:tcPr>
          <w:p w14:paraId="5EA280AB" w14:textId="77777777" w:rsidR="003C66EB" w:rsidRDefault="003C66EB">
            <w:pPr>
              <w:rPr>
                <w:rFonts w:ascii="宋体"/>
                <w:vanish/>
              </w:rPr>
            </w:pPr>
          </w:p>
        </w:tc>
        <w:tc>
          <w:tcPr>
            <w:tcW w:w="0" w:type="auto"/>
            <w:gridSpan w:val="2"/>
            <w:shd w:val="clear" w:color="auto" w:fill="auto"/>
          </w:tcPr>
          <w:p w14:paraId="5EA280AC" w14:textId="77777777" w:rsidR="003C66EB" w:rsidRDefault="003C66EB">
            <w:pPr>
              <w:rPr>
                <w:rFonts w:ascii="宋体"/>
                <w:vanish/>
              </w:rPr>
            </w:pPr>
          </w:p>
        </w:tc>
        <w:tc>
          <w:tcPr>
            <w:tcW w:w="0" w:type="auto"/>
            <w:shd w:val="clear" w:color="auto" w:fill="auto"/>
          </w:tcPr>
          <w:p w14:paraId="5EA280AD" w14:textId="77777777" w:rsidR="003C66EB" w:rsidRDefault="003C66EB">
            <w:pPr>
              <w:rPr>
                <w:rFonts w:ascii="宋体"/>
                <w:vanish/>
              </w:rPr>
            </w:pPr>
          </w:p>
        </w:tc>
      </w:tr>
      <w:tr w:rsidR="003C66EB" w14:paraId="5EA280D2" w14:textId="77777777">
        <w:trPr>
          <w:hidden/>
        </w:trPr>
        <w:tc>
          <w:tcPr>
            <w:tcW w:w="0" w:type="auto"/>
            <w:gridSpan w:val="3"/>
            <w:shd w:val="clear" w:color="auto" w:fill="auto"/>
          </w:tcPr>
          <w:p w14:paraId="5EA280AF" w14:textId="77777777" w:rsidR="003C66EB" w:rsidRDefault="003C66EB">
            <w:pPr>
              <w:rPr>
                <w:rFonts w:ascii="宋体"/>
                <w:vanish/>
              </w:rPr>
            </w:pPr>
          </w:p>
        </w:tc>
        <w:tc>
          <w:tcPr>
            <w:tcW w:w="0" w:type="auto"/>
            <w:gridSpan w:val="3"/>
            <w:shd w:val="clear" w:color="auto" w:fill="auto"/>
          </w:tcPr>
          <w:p w14:paraId="5EA280B0" w14:textId="77777777" w:rsidR="003C66EB" w:rsidRDefault="003C66EB">
            <w:pPr>
              <w:rPr>
                <w:rFonts w:ascii="宋体"/>
                <w:vanish/>
              </w:rPr>
            </w:pPr>
          </w:p>
        </w:tc>
        <w:tc>
          <w:tcPr>
            <w:tcW w:w="0" w:type="auto"/>
            <w:gridSpan w:val="3"/>
            <w:shd w:val="clear" w:color="auto" w:fill="auto"/>
          </w:tcPr>
          <w:p w14:paraId="5EA280B1" w14:textId="77777777" w:rsidR="003C66EB" w:rsidRDefault="003C66EB">
            <w:pPr>
              <w:rPr>
                <w:rFonts w:ascii="宋体"/>
                <w:vanish/>
              </w:rPr>
            </w:pPr>
          </w:p>
        </w:tc>
        <w:tc>
          <w:tcPr>
            <w:tcW w:w="0" w:type="auto"/>
            <w:gridSpan w:val="3"/>
            <w:shd w:val="clear" w:color="auto" w:fill="auto"/>
          </w:tcPr>
          <w:p w14:paraId="5EA280B2" w14:textId="77777777" w:rsidR="003C66EB" w:rsidRDefault="003C66EB">
            <w:pPr>
              <w:rPr>
                <w:rFonts w:ascii="宋体"/>
                <w:vanish/>
              </w:rPr>
            </w:pPr>
          </w:p>
        </w:tc>
        <w:tc>
          <w:tcPr>
            <w:tcW w:w="0" w:type="auto"/>
            <w:gridSpan w:val="3"/>
            <w:shd w:val="clear" w:color="auto" w:fill="auto"/>
          </w:tcPr>
          <w:p w14:paraId="5EA280B3" w14:textId="77777777" w:rsidR="003C66EB" w:rsidRDefault="003C66EB">
            <w:pPr>
              <w:rPr>
                <w:rFonts w:ascii="宋体"/>
                <w:vanish/>
              </w:rPr>
            </w:pPr>
          </w:p>
        </w:tc>
        <w:tc>
          <w:tcPr>
            <w:tcW w:w="0" w:type="auto"/>
            <w:gridSpan w:val="3"/>
            <w:shd w:val="clear" w:color="auto" w:fill="auto"/>
          </w:tcPr>
          <w:p w14:paraId="5EA280B4" w14:textId="77777777" w:rsidR="003C66EB" w:rsidRDefault="003C66EB">
            <w:pPr>
              <w:rPr>
                <w:rFonts w:ascii="宋体"/>
                <w:vanish/>
              </w:rPr>
            </w:pPr>
          </w:p>
        </w:tc>
        <w:tc>
          <w:tcPr>
            <w:tcW w:w="0" w:type="auto"/>
            <w:gridSpan w:val="3"/>
            <w:shd w:val="clear" w:color="auto" w:fill="auto"/>
          </w:tcPr>
          <w:p w14:paraId="5EA280B5" w14:textId="77777777" w:rsidR="003C66EB" w:rsidRDefault="003C66EB">
            <w:pPr>
              <w:rPr>
                <w:rFonts w:ascii="宋体"/>
                <w:vanish/>
              </w:rPr>
            </w:pPr>
          </w:p>
        </w:tc>
        <w:tc>
          <w:tcPr>
            <w:tcW w:w="0" w:type="auto"/>
            <w:gridSpan w:val="3"/>
            <w:shd w:val="clear" w:color="auto" w:fill="auto"/>
          </w:tcPr>
          <w:p w14:paraId="5EA280B6" w14:textId="77777777" w:rsidR="003C66EB" w:rsidRDefault="003C66EB">
            <w:pPr>
              <w:rPr>
                <w:rFonts w:ascii="宋体"/>
                <w:vanish/>
              </w:rPr>
            </w:pPr>
          </w:p>
        </w:tc>
        <w:tc>
          <w:tcPr>
            <w:tcW w:w="0" w:type="auto"/>
            <w:gridSpan w:val="3"/>
            <w:shd w:val="clear" w:color="auto" w:fill="auto"/>
          </w:tcPr>
          <w:p w14:paraId="5EA280B7" w14:textId="77777777" w:rsidR="003C66EB" w:rsidRDefault="003C66EB">
            <w:pPr>
              <w:rPr>
                <w:rFonts w:ascii="宋体"/>
                <w:vanish/>
              </w:rPr>
            </w:pPr>
          </w:p>
        </w:tc>
        <w:tc>
          <w:tcPr>
            <w:tcW w:w="0" w:type="auto"/>
            <w:gridSpan w:val="3"/>
            <w:shd w:val="clear" w:color="auto" w:fill="auto"/>
          </w:tcPr>
          <w:p w14:paraId="5EA280B8" w14:textId="77777777" w:rsidR="003C66EB" w:rsidRDefault="003C66EB">
            <w:pPr>
              <w:rPr>
                <w:rFonts w:ascii="宋体"/>
                <w:vanish/>
              </w:rPr>
            </w:pPr>
          </w:p>
        </w:tc>
        <w:tc>
          <w:tcPr>
            <w:tcW w:w="0" w:type="auto"/>
            <w:gridSpan w:val="3"/>
            <w:shd w:val="clear" w:color="auto" w:fill="auto"/>
          </w:tcPr>
          <w:p w14:paraId="5EA280B9" w14:textId="77777777" w:rsidR="003C66EB" w:rsidRDefault="003C66EB">
            <w:pPr>
              <w:rPr>
                <w:rFonts w:ascii="宋体"/>
                <w:vanish/>
              </w:rPr>
            </w:pPr>
          </w:p>
        </w:tc>
        <w:tc>
          <w:tcPr>
            <w:tcW w:w="0" w:type="auto"/>
            <w:gridSpan w:val="3"/>
            <w:shd w:val="clear" w:color="auto" w:fill="auto"/>
          </w:tcPr>
          <w:p w14:paraId="5EA280BA" w14:textId="77777777" w:rsidR="003C66EB" w:rsidRDefault="003C66EB">
            <w:pPr>
              <w:rPr>
                <w:rFonts w:ascii="宋体"/>
                <w:vanish/>
              </w:rPr>
            </w:pPr>
          </w:p>
        </w:tc>
        <w:tc>
          <w:tcPr>
            <w:tcW w:w="0" w:type="auto"/>
            <w:gridSpan w:val="3"/>
            <w:shd w:val="clear" w:color="auto" w:fill="auto"/>
          </w:tcPr>
          <w:p w14:paraId="5EA280BB" w14:textId="77777777" w:rsidR="003C66EB" w:rsidRDefault="003C66EB">
            <w:pPr>
              <w:rPr>
                <w:rFonts w:ascii="宋体"/>
                <w:vanish/>
              </w:rPr>
            </w:pPr>
          </w:p>
        </w:tc>
        <w:tc>
          <w:tcPr>
            <w:tcW w:w="0" w:type="auto"/>
            <w:gridSpan w:val="3"/>
            <w:shd w:val="clear" w:color="auto" w:fill="auto"/>
          </w:tcPr>
          <w:p w14:paraId="5EA280BC" w14:textId="77777777" w:rsidR="003C66EB" w:rsidRDefault="003C66EB">
            <w:pPr>
              <w:rPr>
                <w:rFonts w:ascii="宋体"/>
                <w:vanish/>
              </w:rPr>
            </w:pPr>
          </w:p>
        </w:tc>
        <w:tc>
          <w:tcPr>
            <w:tcW w:w="0" w:type="auto"/>
            <w:shd w:val="clear" w:color="auto" w:fill="auto"/>
          </w:tcPr>
          <w:p w14:paraId="5EA280BD" w14:textId="77777777" w:rsidR="003C66EB" w:rsidRDefault="003C66EB">
            <w:pPr>
              <w:rPr>
                <w:rFonts w:ascii="宋体"/>
              </w:rPr>
            </w:pPr>
          </w:p>
        </w:tc>
        <w:tc>
          <w:tcPr>
            <w:tcW w:w="0" w:type="auto"/>
            <w:shd w:val="clear" w:color="auto" w:fill="auto"/>
          </w:tcPr>
          <w:p w14:paraId="5EA280BE" w14:textId="77777777" w:rsidR="003C66EB" w:rsidRDefault="003C66EB">
            <w:pPr>
              <w:rPr>
                <w:rFonts w:ascii="宋体"/>
              </w:rPr>
            </w:pPr>
          </w:p>
        </w:tc>
        <w:tc>
          <w:tcPr>
            <w:tcW w:w="0" w:type="auto"/>
            <w:shd w:val="clear" w:color="auto" w:fill="auto"/>
          </w:tcPr>
          <w:p w14:paraId="5EA280BF" w14:textId="77777777" w:rsidR="003C66EB" w:rsidRDefault="003C66EB">
            <w:pPr>
              <w:rPr>
                <w:rFonts w:ascii="宋体"/>
              </w:rPr>
            </w:pPr>
          </w:p>
        </w:tc>
        <w:tc>
          <w:tcPr>
            <w:tcW w:w="0" w:type="auto"/>
            <w:shd w:val="clear" w:color="auto" w:fill="auto"/>
          </w:tcPr>
          <w:p w14:paraId="5EA280C0" w14:textId="77777777" w:rsidR="003C66EB" w:rsidRDefault="003C66EB">
            <w:pPr>
              <w:rPr>
                <w:rFonts w:ascii="宋体"/>
              </w:rPr>
            </w:pPr>
          </w:p>
        </w:tc>
        <w:tc>
          <w:tcPr>
            <w:tcW w:w="0" w:type="auto"/>
            <w:shd w:val="clear" w:color="auto" w:fill="auto"/>
          </w:tcPr>
          <w:p w14:paraId="5EA280C1" w14:textId="77777777" w:rsidR="003C66EB" w:rsidRDefault="003C66EB">
            <w:pPr>
              <w:rPr>
                <w:rFonts w:ascii="宋体"/>
              </w:rPr>
            </w:pPr>
          </w:p>
        </w:tc>
        <w:tc>
          <w:tcPr>
            <w:tcW w:w="0" w:type="auto"/>
            <w:shd w:val="clear" w:color="auto" w:fill="auto"/>
          </w:tcPr>
          <w:p w14:paraId="5EA280C2" w14:textId="77777777" w:rsidR="003C66EB" w:rsidRDefault="003C66EB">
            <w:pPr>
              <w:rPr>
                <w:rFonts w:ascii="宋体"/>
              </w:rPr>
            </w:pPr>
          </w:p>
        </w:tc>
        <w:tc>
          <w:tcPr>
            <w:tcW w:w="0" w:type="auto"/>
            <w:shd w:val="clear" w:color="auto" w:fill="auto"/>
          </w:tcPr>
          <w:p w14:paraId="5EA280C3" w14:textId="77777777" w:rsidR="003C66EB" w:rsidRDefault="003C66EB">
            <w:pPr>
              <w:rPr>
                <w:rFonts w:ascii="宋体"/>
              </w:rPr>
            </w:pPr>
          </w:p>
        </w:tc>
        <w:tc>
          <w:tcPr>
            <w:tcW w:w="0" w:type="auto"/>
            <w:shd w:val="clear" w:color="auto" w:fill="auto"/>
          </w:tcPr>
          <w:p w14:paraId="5EA280C4" w14:textId="77777777" w:rsidR="003C66EB" w:rsidRDefault="003C66EB">
            <w:pPr>
              <w:rPr>
                <w:rFonts w:ascii="宋体"/>
              </w:rPr>
            </w:pPr>
          </w:p>
        </w:tc>
        <w:tc>
          <w:tcPr>
            <w:tcW w:w="0" w:type="auto"/>
            <w:shd w:val="clear" w:color="auto" w:fill="auto"/>
          </w:tcPr>
          <w:p w14:paraId="5EA280C5" w14:textId="77777777" w:rsidR="003C66EB" w:rsidRDefault="003C66EB">
            <w:pPr>
              <w:rPr>
                <w:rFonts w:ascii="宋体"/>
              </w:rPr>
            </w:pPr>
          </w:p>
        </w:tc>
        <w:tc>
          <w:tcPr>
            <w:tcW w:w="0" w:type="auto"/>
            <w:shd w:val="clear" w:color="auto" w:fill="auto"/>
          </w:tcPr>
          <w:p w14:paraId="5EA280C6" w14:textId="77777777" w:rsidR="003C66EB" w:rsidRDefault="003C66EB">
            <w:pPr>
              <w:rPr>
                <w:rFonts w:ascii="宋体"/>
              </w:rPr>
            </w:pPr>
          </w:p>
        </w:tc>
        <w:tc>
          <w:tcPr>
            <w:tcW w:w="0" w:type="auto"/>
            <w:shd w:val="clear" w:color="auto" w:fill="auto"/>
          </w:tcPr>
          <w:p w14:paraId="5EA280C7" w14:textId="77777777" w:rsidR="003C66EB" w:rsidRDefault="003C66EB">
            <w:pPr>
              <w:rPr>
                <w:rFonts w:ascii="宋体"/>
              </w:rPr>
            </w:pPr>
          </w:p>
        </w:tc>
        <w:tc>
          <w:tcPr>
            <w:tcW w:w="0" w:type="auto"/>
            <w:shd w:val="clear" w:color="auto" w:fill="auto"/>
          </w:tcPr>
          <w:p w14:paraId="5EA280C8" w14:textId="77777777" w:rsidR="003C66EB" w:rsidRDefault="003C66EB">
            <w:pPr>
              <w:rPr>
                <w:rFonts w:ascii="宋体"/>
              </w:rPr>
            </w:pPr>
          </w:p>
        </w:tc>
        <w:tc>
          <w:tcPr>
            <w:tcW w:w="0" w:type="auto"/>
            <w:shd w:val="clear" w:color="auto" w:fill="auto"/>
          </w:tcPr>
          <w:p w14:paraId="5EA280C9" w14:textId="77777777" w:rsidR="003C66EB" w:rsidRDefault="003C66EB">
            <w:pPr>
              <w:rPr>
                <w:rFonts w:ascii="宋体"/>
              </w:rPr>
            </w:pPr>
          </w:p>
        </w:tc>
        <w:tc>
          <w:tcPr>
            <w:tcW w:w="0" w:type="auto"/>
            <w:shd w:val="clear" w:color="auto" w:fill="auto"/>
          </w:tcPr>
          <w:p w14:paraId="5EA280CA" w14:textId="77777777" w:rsidR="003C66EB" w:rsidRDefault="003C66EB">
            <w:pPr>
              <w:rPr>
                <w:rFonts w:ascii="宋体"/>
              </w:rPr>
            </w:pPr>
          </w:p>
        </w:tc>
        <w:tc>
          <w:tcPr>
            <w:tcW w:w="0" w:type="auto"/>
            <w:shd w:val="clear" w:color="auto" w:fill="auto"/>
          </w:tcPr>
          <w:p w14:paraId="5EA280CB" w14:textId="77777777" w:rsidR="003C66EB" w:rsidRDefault="003C66EB">
            <w:pPr>
              <w:rPr>
                <w:rFonts w:ascii="宋体"/>
              </w:rPr>
            </w:pPr>
          </w:p>
        </w:tc>
        <w:tc>
          <w:tcPr>
            <w:tcW w:w="0" w:type="auto"/>
            <w:shd w:val="clear" w:color="auto" w:fill="auto"/>
          </w:tcPr>
          <w:p w14:paraId="5EA280CC" w14:textId="77777777" w:rsidR="003C66EB" w:rsidRDefault="003C66EB">
            <w:pPr>
              <w:rPr>
                <w:rFonts w:ascii="宋体"/>
              </w:rPr>
            </w:pPr>
          </w:p>
        </w:tc>
        <w:tc>
          <w:tcPr>
            <w:tcW w:w="0" w:type="auto"/>
            <w:shd w:val="clear" w:color="auto" w:fill="auto"/>
          </w:tcPr>
          <w:p w14:paraId="5EA280CD" w14:textId="77777777" w:rsidR="003C66EB" w:rsidRDefault="003C66EB">
            <w:pPr>
              <w:rPr>
                <w:rFonts w:ascii="宋体"/>
              </w:rPr>
            </w:pPr>
          </w:p>
        </w:tc>
        <w:tc>
          <w:tcPr>
            <w:tcW w:w="0" w:type="auto"/>
            <w:shd w:val="clear" w:color="auto" w:fill="auto"/>
          </w:tcPr>
          <w:p w14:paraId="5EA280CE" w14:textId="77777777" w:rsidR="003C66EB" w:rsidRDefault="003C66EB">
            <w:pPr>
              <w:rPr>
                <w:rFonts w:ascii="宋体"/>
              </w:rPr>
            </w:pPr>
          </w:p>
        </w:tc>
        <w:tc>
          <w:tcPr>
            <w:tcW w:w="0" w:type="auto"/>
            <w:shd w:val="clear" w:color="auto" w:fill="auto"/>
          </w:tcPr>
          <w:p w14:paraId="5EA280CF" w14:textId="77777777" w:rsidR="003C66EB" w:rsidRDefault="003C66EB">
            <w:pPr>
              <w:rPr>
                <w:rFonts w:ascii="宋体"/>
              </w:rPr>
            </w:pPr>
          </w:p>
        </w:tc>
        <w:tc>
          <w:tcPr>
            <w:tcW w:w="0" w:type="auto"/>
            <w:shd w:val="clear" w:color="auto" w:fill="auto"/>
          </w:tcPr>
          <w:p w14:paraId="5EA280D0" w14:textId="77777777" w:rsidR="003C66EB" w:rsidRDefault="003C66EB">
            <w:pPr>
              <w:rPr>
                <w:rFonts w:ascii="宋体"/>
              </w:rPr>
            </w:pPr>
          </w:p>
        </w:tc>
        <w:tc>
          <w:tcPr>
            <w:tcW w:w="0" w:type="auto"/>
            <w:shd w:val="clear" w:color="auto" w:fill="auto"/>
          </w:tcPr>
          <w:p w14:paraId="5EA280D1" w14:textId="77777777" w:rsidR="003C66EB" w:rsidRDefault="003C66EB">
            <w:pPr>
              <w:rPr>
                <w:rFonts w:ascii="宋体"/>
              </w:rPr>
            </w:pPr>
          </w:p>
        </w:tc>
      </w:tr>
      <w:tr w:rsidR="003C66EB" w14:paraId="5EA280FA" w14:textId="77777777">
        <w:trPr>
          <w:hidden/>
        </w:trPr>
        <w:tc>
          <w:tcPr>
            <w:tcW w:w="0" w:type="auto"/>
            <w:gridSpan w:val="3"/>
            <w:shd w:val="clear" w:color="auto" w:fill="auto"/>
          </w:tcPr>
          <w:p w14:paraId="5EA280D3" w14:textId="77777777" w:rsidR="003C66EB" w:rsidRDefault="003C66EB">
            <w:pPr>
              <w:rPr>
                <w:rFonts w:ascii="宋体"/>
                <w:vanish/>
              </w:rPr>
            </w:pPr>
          </w:p>
        </w:tc>
        <w:tc>
          <w:tcPr>
            <w:tcW w:w="0" w:type="auto"/>
            <w:gridSpan w:val="3"/>
            <w:shd w:val="clear" w:color="auto" w:fill="auto"/>
          </w:tcPr>
          <w:p w14:paraId="5EA280D4" w14:textId="77777777" w:rsidR="003C66EB" w:rsidRDefault="003C66EB">
            <w:pPr>
              <w:rPr>
                <w:rFonts w:ascii="宋体"/>
                <w:vanish/>
              </w:rPr>
            </w:pPr>
          </w:p>
        </w:tc>
        <w:tc>
          <w:tcPr>
            <w:tcW w:w="0" w:type="auto"/>
            <w:gridSpan w:val="3"/>
            <w:shd w:val="clear" w:color="auto" w:fill="auto"/>
          </w:tcPr>
          <w:p w14:paraId="5EA280D5" w14:textId="77777777" w:rsidR="003C66EB" w:rsidRDefault="003C66EB">
            <w:pPr>
              <w:rPr>
                <w:rFonts w:ascii="宋体"/>
                <w:vanish/>
              </w:rPr>
            </w:pPr>
          </w:p>
        </w:tc>
        <w:tc>
          <w:tcPr>
            <w:tcW w:w="0" w:type="auto"/>
            <w:gridSpan w:val="3"/>
            <w:shd w:val="clear" w:color="auto" w:fill="auto"/>
          </w:tcPr>
          <w:p w14:paraId="5EA280D6" w14:textId="77777777" w:rsidR="003C66EB" w:rsidRDefault="003C66EB">
            <w:pPr>
              <w:rPr>
                <w:rFonts w:ascii="宋体"/>
                <w:vanish/>
              </w:rPr>
            </w:pPr>
          </w:p>
        </w:tc>
        <w:tc>
          <w:tcPr>
            <w:tcW w:w="0" w:type="auto"/>
            <w:gridSpan w:val="3"/>
            <w:shd w:val="clear" w:color="auto" w:fill="auto"/>
          </w:tcPr>
          <w:p w14:paraId="5EA280D7" w14:textId="77777777" w:rsidR="003C66EB" w:rsidRDefault="003C66EB">
            <w:pPr>
              <w:rPr>
                <w:rFonts w:ascii="宋体"/>
                <w:vanish/>
              </w:rPr>
            </w:pPr>
          </w:p>
        </w:tc>
        <w:tc>
          <w:tcPr>
            <w:tcW w:w="0" w:type="auto"/>
            <w:gridSpan w:val="3"/>
            <w:shd w:val="clear" w:color="auto" w:fill="auto"/>
          </w:tcPr>
          <w:p w14:paraId="5EA280D8" w14:textId="77777777" w:rsidR="003C66EB" w:rsidRDefault="003C66EB">
            <w:pPr>
              <w:rPr>
                <w:rFonts w:ascii="宋体"/>
                <w:vanish/>
              </w:rPr>
            </w:pPr>
          </w:p>
        </w:tc>
        <w:tc>
          <w:tcPr>
            <w:tcW w:w="0" w:type="auto"/>
            <w:gridSpan w:val="3"/>
            <w:shd w:val="clear" w:color="auto" w:fill="auto"/>
          </w:tcPr>
          <w:p w14:paraId="5EA280D9" w14:textId="77777777" w:rsidR="003C66EB" w:rsidRDefault="003C66EB">
            <w:pPr>
              <w:rPr>
                <w:rFonts w:ascii="宋体"/>
                <w:vanish/>
              </w:rPr>
            </w:pPr>
          </w:p>
        </w:tc>
        <w:tc>
          <w:tcPr>
            <w:tcW w:w="0" w:type="auto"/>
            <w:gridSpan w:val="3"/>
            <w:shd w:val="clear" w:color="auto" w:fill="auto"/>
          </w:tcPr>
          <w:p w14:paraId="5EA280DA" w14:textId="77777777" w:rsidR="003C66EB" w:rsidRDefault="003C66EB">
            <w:pPr>
              <w:rPr>
                <w:rFonts w:ascii="宋体"/>
                <w:vanish/>
              </w:rPr>
            </w:pPr>
          </w:p>
        </w:tc>
        <w:tc>
          <w:tcPr>
            <w:tcW w:w="0" w:type="auto"/>
            <w:gridSpan w:val="3"/>
            <w:shd w:val="clear" w:color="auto" w:fill="auto"/>
          </w:tcPr>
          <w:p w14:paraId="5EA280DB" w14:textId="77777777" w:rsidR="003C66EB" w:rsidRDefault="003C66EB">
            <w:pPr>
              <w:rPr>
                <w:rFonts w:ascii="宋体"/>
                <w:vanish/>
              </w:rPr>
            </w:pPr>
          </w:p>
        </w:tc>
        <w:tc>
          <w:tcPr>
            <w:tcW w:w="0" w:type="auto"/>
            <w:gridSpan w:val="3"/>
            <w:shd w:val="clear" w:color="auto" w:fill="auto"/>
          </w:tcPr>
          <w:p w14:paraId="5EA280DC" w14:textId="77777777" w:rsidR="003C66EB" w:rsidRDefault="003C66EB">
            <w:pPr>
              <w:rPr>
                <w:rFonts w:ascii="宋体"/>
                <w:vanish/>
              </w:rPr>
            </w:pPr>
          </w:p>
        </w:tc>
        <w:tc>
          <w:tcPr>
            <w:tcW w:w="0" w:type="auto"/>
            <w:gridSpan w:val="3"/>
            <w:shd w:val="clear" w:color="auto" w:fill="auto"/>
          </w:tcPr>
          <w:p w14:paraId="5EA280DD" w14:textId="77777777" w:rsidR="003C66EB" w:rsidRDefault="003C66EB">
            <w:pPr>
              <w:rPr>
                <w:rFonts w:ascii="宋体"/>
                <w:vanish/>
              </w:rPr>
            </w:pPr>
          </w:p>
        </w:tc>
        <w:tc>
          <w:tcPr>
            <w:tcW w:w="0" w:type="auto"/>
            <w:gridSpan w:val="3"/>
            <w:shd w:val="clear" w:color="auto" w:fill="auto"/>
          </w:tcPr>
          <w:p w14:paraId="5EA280DE" w14:textId="77777777" w:rsidR="003C66EB" w:rsidRDefault="003C66EB">
            <w:pPr>
              <w:rPr>
                <w:rFonts w:ascii="宋体"/>
                <w:vanish/>
              </w:rPr>
            </w:pPr>
          </w:p>
        </w:tc>
        <w:tc>
          <w:tcPr>
            <w:tcW w:w="0" w:type="auto"/>
            <w:shd w:val="clear" w:color="auto" w:fill="auto"/>
          </w:tcPr>
          <w:p w14:paraId="5EA280DF" w14:textId="77777777" w:rsidR="003C66EB" w:rsidRDefault="003C66EB">
            <w:pPr>
              <w:rPr>
                <w:rFonts w:ascii="宋体"/>
              </w:rPr>
            </w:pPr>
          </w:p>
        </w:tc>
        <w:tc>
          <w:tcPr>
            <w:tcW w:w="0" w:type="auto"/>
            <w:shd w:val="clear" w:color="auto" w:fill="auto"/>
          </w:tcPr>
          <w:p w14:paraId="5EA280E0" w14:textId="77777777" w:rsidR="003C66EB" w:rsidRDefault="003C66EB">
            <w:pPr>
              <w:rPr>
                <w:rFonts w:ascii="宋体"/>
              </w:rPr>
            </w:pPr>
          </w:p>
        </w:tc>
        <w:tc>
          <w:tcPr>
            <w:tcW w:w="0" w:type="auto"/>
            <w:shd w:val="clear" w:color="auto" w:fill="auto"/>
          </w:tcPr>
          <w:p w14:paraId="5EA280E1" w14:textId="77777777" w:rsidR="003C66EB" w:rsidRDefault="003C66EB">
            <w:pPr>
              <w:rPr>
                <w:rFonts w:ascii="宋体"/>
              </w:rPr>
            </w:pPr>
          </w:p>
        </w:tc>
        <w:tc>
          <w:tcPr>
            <w:tcW w:w="0" w:type="auto"/>
            <w:shd w:val="clear" w:color="auto" w:fill="auto"/>
          </w:tcPr>
          <w:p w14:paraId="5EA280E2" w14:textId="77777777" w:rsidR="003C66EB" w:rsidRDefault="003C66EB">
            <w:pPr>
              <w:rPr>
                <w:rFonts w:ascii="宋体"/>
              </w:rPr>
            </w:pPr>
          </w:p>
        </w:tc>
        <w:tc>
          <w:tcPr>
            <w:tcW w:w="0" w:type="auto"/>
            <w:shd w:val="clear" w:color="auto" w:fill="auto"/>
          </w:tcPr>
          <w:p w14:paraId="5EA280E3" w14:textId="77777777" w:rsidR="003C66EB" w:rsidRDefault="003C66EB">
            <w:pPr>
              <w:rPr>
                <w:rFonts w:ascii="宋体"/>
              </w:rPr>
            </w:pPr>
          </w:p>
        </w:tc>
        <w:tc>
          <w:tcPr>
            <w:tcW w:w="0" w:type="auto"/>
            <w:shd w:val="clear" w:color="auto" w:fill="auto"/>
          </w:tcPr>
          <w:p w14:paraId="5EA280E4" w14:textId="77777777" w:rsidR="003C66EB" w:rsidRDefault="003C66EB">
            <w:pPr>
              <w:rPr>
                <w:rFonts w:ascii="宋体"/>
              </w:rPr>
            </w:pPr>
          </w:p>
        </w:tc>
        <w:tc>
          <w:tcPr>
            <w:tcW w:w="0" w:type="auto"/>
            <w:shd w:val="clear" w:color="auto" w:fill="auto"/>
          </w:tcPr>
          <w:p w14:paraId="5EA280E5" w14:textId="77777777" w:rsidR="003C66EB" w:rsidRDefault="003C66EB">
            <w:pPr>
              <w:rPr>
                <w:rFonts w:ascii="宋体"/>
              </w:rPr>
            </w:pPr>
          </w:p>
        </w:tc>
        <w:tc>
          <w:tcPr>
            <w:tcW w:w="0" w:type="auto"/>
            <w:shd w:val="clear" w:color="auto" w:fill="auto"/>
          </w:tcPr>
          <w:p w14:paraId="5EA280E6" w14:textId="77777777" w:rsidR="003C66EB" w:rsidRDefault="003C66EB">
            <w:pPr>
              <w:rPr>
                <w:rFonts w:ascii="宋体"/>
              </w:rPr>
            </w:pPr>
          </w:p>
        </w:tc>
        <w:tc>
          <w:tcPr>
            <w:tcW w:w="0" w:type="auto"/>
            <w:shd w:val="clear" w:color="auto" w:fill="auto"/>
          </w:tcPr>
          <w:p w14:paraId="5EA280E7" w14:textId="77777777" w:rsidR="003C66EB" w:rsidRDefault="003C66EB">
            <w:pPr>
              <w:rPr>
                <w:rFonts w:ascii="宋体"/>
              </w:rPr>
            </w:pPr>
          </w:p>
        </w:tc>
        <w:tc>
          <w:tcPr>
            <w:tcW w:w="0" w:type="auto"/>
            <w:shd w:val="clear" w:color="auto" w:fill="auto"/>
          </w:tcPr>
          <w:p w14:paraId="5EA280E8" w14:textId="77777777" w:rsidR="003C66EB" w:rsidRDefault="003C66EB">
            <w:pPr>
              <w:rPr>
                <w:rFonts w:ascii="宋体"/>
              </w:rPr>
            </w:pPr>
          </w:p>
        </w:tc>
        <w:tc>
          <w:tcPr>
            <w:tcW w:w="0" w:type="auto"/>
            <w:shd w:val="clear" w:color="auto" w:fill="auto"/>
          </w:tcPr>
          <w:p w14:paraId="5EA280E9" w14:textId="77777777" w:rsidR="003C66EB" w:rsidRDefault="003C66EB">
            <w:pPr>
              <w:rPr>
                <w:rFonts w:ascii="宋体"/>
              </w:rPr>
            </w:pPr>
          </w:p>
        </w:tc>
        <w:tc>
          <w:tcPr>
            <w:tcW w:w="0" w:type="auto"/>
            <w:shd w:val="clear" w:color="auto" w:fill="auto"/>
          </w:tcPr>
          <w:p w14:paraId="5EA280EA" w14:textId="77777777" w:rsidR="003C66EB" w:rsidRDefault="003C66EB">
            <w:pPr>
              <w:rPr>
                <w:rFonts w:ascii="宋体"/>
              </w:rPr>
            </w:pPr>
          </w:p>
        </w:tc>
        <w:tc>
          <w:tcPr>
            <w:tcW w:w="0" w:type="auto"/>
            <w:shd w:val="clear" w:color="auto" w:fill="auto"/>
          </w:tcPr>
          <w:p w14:paraId="5EA280EB" w14:textId="77777777" w:rsidR="003C66EB" w:rsidRDefault="003C66EB">
            <w:pPr>
              <w:rPr>
                <w:rFonts w:ascii="宋体"/>
              </w:rPr>
            </w:pPr>
          </w:p>
        </w:tc>
        <w:tc>
          <w:tcPr>
            <w:tcW w:w="0" w:type="auto"/>
            <w:shd w:val="clear" w:color="auto" w:fill="auto"/>
          </w:tcPr>
          <w:p w14:paraId="5EA280EC" w14:textId="77777777" w:rsidR="003C66EB" w:rsidRDefault="003C66EB">
            <w:pPr>
              <w:rPr>
                <w:rFonts w:ascii="宋体"/>
              </w:rPr>
            </w:pPr>
          </w:p>
        </w:tc>
        <w:tc>
          <w:tcPr>
            <w:tcW w:w="0" w:type="auto"/>
            <w:shd w:val="clear" w:color="auto" w:fill="auto"/>
          </w:tcPr>
          <w:p w14:paraId="5EA280ED" w14:textId="77777777" w:rsidR="003C66EB" w:rsidRDefault="003C66EB">
            <w:pPr>
              <w:rPr>
                <w:rFonts w:ascii="宋体"/>
              </w:rPr>
            </w:pPr>
          </w:p>
        </w:tc>
        <w:tc>
          <w:tcPr>
            <w:tcW w:w="0" w:type="auto"/>
            <w:shd w:val="clear" w:color="auto" w:fill="auto"/>
          </w:tcPr>
          <w:p w14:paraId="5EA280EE" w14:textId="77777777" w:rsidR="003C66EB" w:rsidRDefault="003C66EB">
            <w:pPr>
              <w:rPr>
                <w:rFonts w:ascii="宋体"/>
              </w:rPr>
            </w:pPr>
          </w:p>
        </w:tc>
        <w:tc>
          <w:tcPr>
            <w:tcW w:w="0" w:type="auto"/>
            <w:shd w:val="clear" w:color="auto" w:fill="auto"/>
          </w:tcPr>
          <w:p w14:paraId="5EA280EF" w14:textId="77777777" w:rsidR="003C66EB" w:rsidRDefault="003C66EB">
            <w:pPr>
              <w:rPr>
                <w:rFonts w:ascii="宋体"/>
              </w:rPr>
            </w:pPr>
          </w:p>
        </w:tc>
        <w:tc>
          <w:tcPr>
            <w:tcW w:w="0" w:type="auto"/>
            <w:shd w:val="clear" w:color="auto" w:fill="auto"/>
          </w:tcPr>
          <w:p w14:paraId="5EA280F0" w14:textId="77777777" w:rsidR="003C66EB" w:rsidRDefault="003C66EB">
            <w:pPr>
              <w:rPr>
                <w:rFonts w:ascii="宋体"/>
              </w:rPr>
            </w:pPr>
          </w:p>
        </w:tc>
        <w:tc>
          <w:tcPr>
            <w:tcW w:w="0" w:type="auto"/>
            <w:shd w:val="clear" w:color="auto" w:fill="auto"/>
          </w:tcPr>
          <w:p w14:paraId="5EA280F1" w14:textId="77777777" w:rsidR="003C66EB" w:rsidRDefault="003C66EB">
            <w:pPr>
              <w:rPr>
                <w:rFonts w:ascii="宋体"/>
              </w:rPr>
            </w:pPr>
          </w:p>
        </w:tc>
        <w:tc>
          <w:tcPr>
            <w:tcW w:w="0" w:type="auto"/>
            <w:shd w:val="clear" w:color="auto" w:fill="auto"/>
          </w:tcPr>
          <w:p w14:paraId="5EA280F2" w14:textId="77777777" w:rsidR="003C66EB" w:rsidRDefault="003C66EB">
            <w:pPr>
              <w:rPr>
                <w:rFonts w:ascii="宋体"/>
              </w:rPr>
            </w:pPr>
          </w:p>
        </w:tc>
        <w:tc>
          <w:tcPr>
            <w:tcW w:w="0" w:type="auto"/>
            <w:shd w:val="clear" w:color="auto" w:fill="auto"/>
          </w:tcPr>
          <w:p w14:paraId="5EA280F3" w14:textId="77777777" w:rsidR="003C66EB" w:rsidRDefault="003C66EB">
            <w:pPr>
              <w:rPr>
                <w:rFonts w:ascii="宋体"/>
              </w:rPr>
            </w:pPr>
          </w:p>
        </w:tc>
        <w:tc>
          <w:tcPr>
            <w:tcW w:w="0" w:type="auto"/>
            <w:shd w:val="clear" w:color="auto" w:fill="auto"/>
          </w:tcPr>
          <w:p w14:paraId="5EA280F4" w14:textId="77777777" w:rsidR="003C66EB" w:rsidRDefault="003C66EB">
            <w:pPr>
              <w:rPr>
                <w:rFonts w:ascii="宋体"/>
              </w:rPr>
            </w:pPr>
          </w:p>
        </w:tc>
        <w:tc>
          <w:tcPr>
            <w:tcW w:w="0" w:type="auto"/>
            <w:shd w:val="clear" w:color="auto" w:fill="auto"/>
          </w:tcPr>
          <w:p w14:paraId="5EA280F5" w14:textId="77777777" w:rsidR="003C66EB" w:rsidRDefault="003C66EB">
            <w:pPr>
              <w:rPr>
                <w:rFonts w:ascii="宋体"/>
              </w:rPr>
            </w:pPr>
          </w:p>
        </w:tc>
        <w:tc>
          <w:tcPr>
            <w:tcW w:w="0" w:type="auto"/>
            <w:shd w:val="clear" w:color="auto" w:fill="auto"/>
          </w:tcPr>
          <w:p w14:paraId="5EA280F6" w14:textId="77777777" w:rsidR="003C66EB" w:rsidRDefault="003C66EB">
            <w:pPr>
              <w:rPr>
                <w:rFonts w:ascii="宋体"/>
              </w:rPr>
            </w:pPr>
          </w:p>
        </w:tc>
        <w:tc>
          <w:tcPr>
            <w:tcW w:w="0" w:type="auto"/>
            <w:shd w:val="clear" w:color="auto" w:fill="auto"/>
          </w:tcPr>
          <w:p w14:paraId="5EA280F7" w14:textId="77777777" w:rsidR="003C66EB" w:rsidRDefault="003C66EB">
            <w:pPr>
              <w:rPr>
                <w:rFonts w:ascii="宋体"/>
              </w:rPr>
            </w:pPr>
          </w:p>
        </w:tc>
        <w:tc>
          <w:tcPr>
            <w:tcW w:w="0" w:type="auto"/>
            <w:shd w:val="clear" w:color="auto" w:fill="auto"/>
          </w:tcPr>
          <w:p w14:paraId="5EA280F8" w14:textId="77777777" w:rsidR="003C66EB" w:rsidRDefault="003C66EB">
            <w:pPr>
              <w:rPr>
                <w:rFonts w:ascii="宋体"/>
              </w:rPr>
            </w:pPr>
          </w:p>
        </w:tc>
        <w:tc>
          <w:tcPr>
            <w:tcW w:w="0" w:type="auto"/>
            <w:shd w:val="clear" w:color="auto" w:fill="auto"/>
          </w:tcPr>
          <w:p w14:paraId="5EA280F9" w14:textId="77777777" w:rsidR="003C66EB" w:rsidRDefault="003C66EB">
            <w:pPr>
              <w:rPr>
                <w:rFonts w:ascii="宋体"/>
              </w:rPr>
            </w:pPr>
          </w:p>
        </w:tc>
      </w:tr>
      <w:tr w:rsidR="003C66EB" w14:paraId="5EA28111" w14:textId="77777777">
        <w:trPr>
          <w:hidden/>
        </w:trPr>
        <w:tc>
          <w:tcPr>
            <w:tcW w:w="0" w:type="auto"/>
            <w:gridSpan w:val="3"/>
            <w:shd w:val="clear" w:color="auto" w:fill="auto"/>
          </w:tcPr>
          <w:p w14:paraId="5EA280FB" w14:textId="77777777" w:rsidR="003C66EB" w:rsidRDefault="003C66EB">
            <w:pPr>
              <w:rPr>
                <w:rFonts w:ascii="宋体"/>
                <w:vanish/>
              </w:rPr>
            </w:pPr>
          </w:p>
        </w:tc>
        <w:tc>
          <w:tcPr>
            <w:tcW w:w="0" w:type="auto"/>
            <w:gridSpan w:val="3"/>
            <w:shd w:val="clear" w:color="auto" w:fill="auto"/>
          </w:tcPr>
          <w:p w14:paraId="5EA280FC" w14:textId="77777777" w:rsidR="003C66EB" w:rsidRDefault="003C66EB">
            <w:pPr>
              <w:rPr>
                <w:rFonts w:ascii="宋体"/>
                <w:vanish/>
              </w:rPr>
            </w:pPr>
          </w:p>
        </w:tc>
        <w:tc>
          <w:tcPr>
            <w:tcW w:w="0" w:type="auto"/>
            <w:gridSpan w:val="3"/>
            <w:shd w:val="clear" w:color="auto" w:fill="auto"/>
          </w:tcPr>
          <w:p w14:paraId="5EA280FD" w14:textId="77777777" w:rsidR="003C66EB" w:rsidRDefault="003C66EB">
            <w:pPr>
              <w:rPr>
                <w:rFonts w:ascii="宋体"/>
                <w:vanish/>
              </w:rPr>
            </w:pPr>
          </w:p>
        </w:tc>
        <w:tc>
          <w:tcPr>
            <w:tcW w:w="0" w:type="auto"/>
            <w:gridSpan w:val="3"/>
            <w:shd w:val="clear" w:color="auto" w:fill="auto"/>
          </w:tcPr>
          <w:p w14:paraId="5EA280FE" w14:textId="77777777" w:rsidR="003C66EB" w:rsidRDefault="003C66EB">
            <w:pPr>
              <w:rPr>
                <w:rFonts w:ascii="宋体"/>
                <w:vanish/>
              </w:rPr>
            </w:pPr>
          </w:p>
        </w:tc>
        <w:tc>
          <w:tcPr>
            <w:tcW w:w="0" w:type="auto"/>
            <w:gridSpan w:val="3"/>
            <w:shd w:val="clear" w:color="auto" w:fill="auto"/>
          </w:tcPr>
          <w:p w14:paraId="5EA280FF" w14:textId="77777777" w:rsidR="003C66EB" w:rsidRDefault="003C66EB">
            <w:pPr>
              <w:rPr>
                <w:rFonts w:ascii="宋体"/>
                <w:vanish/>
              </w:rPr>
            </w:pPr>
          </w:p>
        </w:tc>
        <w:tc>
          <w:tcPr>
            <w:tcW w:w="0" w:type="auto"/>
            <w:gridSpan w:val="3"/>
            <w:shd w:val="clear" w:color="auto" w:fill="auto"/>
          </w:tcPr>
          <w:p w14:paraId="5EA28100" w14:textId="77777777" w:rsidR="003C66EB" w:rsidRDefault="003C66EB">
            <w:pPr>
              <w:rPr>
                <w:rFonts w:ascii="宋体"/>
                <w:vanish/>
              </w:rPr>
            </w:pPr>
          </w:p>
        </w:tc>
        <w:tc>
          <w:tcPr>
            <w:tcW w:w="0" w:type="auto"/>
            <w:gridSpan w:val="3"/>
            <w:shd w:val="clear" w:color="auto" w:fill="auto"/>
          </w:tcPr>
          <w:p w14:paraId="5EA28101" w14:textId="77777777" w:rsidR="003C66EB" w:rsidRDefault="003C66EB">
            <w:pPr>
              <w:rPr>
                <w:rFonts w:ascii="宋体"/>
                <w:vanish/>
              </w:rPr>
            </w:pPr>
          </w:p>
        </w:tc>
        <w:tc>
          <w:tcPr>
            <w:tcW w:w="0" w:type="auto"/>
            <w:gridSpan w:val="3"/>
            <w:shd w:val="clear" w:color="auto" w:fill="auto"/>
          </w:tcPr>
          <w:p w14:paraId="5EA28102" w14:textId="77777777" w:rsidR="003C66EB" w:rsidRDefault="003C66EB">
            <w:pPr>
              <w:rPr>
                <w:rFonts w:ascii="宋体"/>
                <w:vanish/>
              </w:rPr>
            </w:pPr>
          </w:p>
        </w:tc>
        <w:tc>
          <w:tcPr>
            <w:tcW w:w="0" w:type="auto"/>
            <w:gridSpan w:val="3"/>
            <w:shd w:val="clear" w:color="auto" w:fill="auto"/>
          </w:tcPr>
          <w:p w14:paraId="5EA28103" w14:textId="77777777" w:rsidR="003C66EB" w:rsidRDefault="003C66EB">
            <w:pPr>
              <w:rPr>
                <w:rFonts w:ascii="宋体"/>
                <w:vanish/>
              </w:rPr>
            </w:pPr>
          </w:p>
        </w:tc>
        <w:tc>
          <w:tcPr>
            <w:tcW w:w="0" w:type="auto"/>
            <w:gridSpan w:val="3"/>
            <w:shd w:val="clear" w:color="auto" w:fill="auto"/>
          </w:tcPr>
          <w:p w14:paraId="5EA28104" w14:textId="77777777" w:rsidR="003C66EB" w:rsidRDefault="003C66EB">
            <w:pPr>
              <w:rPr>
                <w:rFonts w:ascii="宋体"/>
                <w:vanish/>
              </w:rPr>
            </w:pPr>
          </w:p>
        </w:tc>
        <w:tc>
          <w:tcPr>
            <w:tcW w:w="0" w:type="auto"/>
            <w:gridSpan w:val="3"/>
            <w:shd w:val="clear" w:color="auto" w:fill="auto"/>
          </w:tcPr>
          <w:p w14:paraId="5EA28105" w14:textId="77777777" w:rsidR="003C66EB" w:rsidRDefault="003C66EB">
            <w:pPr>
              <w:rPr>
                <w:rFonts w:ascii="宋体"/>
                <w:vanish/>
              </w:rPr>
            </w:pPr>
          </w:p>
        </w:tc>
        <w:tc>
          <w:tcPr>
            <w:tcW w:w="0" w:type="auto"/>
            <w:gridSpan w:val="3"/>
            <w:shd w:val="clear" w:color="auto" w:fill="auto"/>
          </w:tcPr>
          <w:p w14:paraId="5EA28106" w14:textId="77777777" w:rsidR="003C66EB" w:rsidRDefault="003C66EB">
            <w:pPr>
              <w:rPr>
                <w:rFonts w:ascii="宋体"/>
                <w:vanish/>
              </w:rPr>
            </w:pPr>
          </w:p>
        </w:tc>
        <w:tc>
          <w:tcPr>
            <w:tcW w:w="0" w:type="auto"/>
            <w:gridSpan w:val="3"/>
            <w:shd w:val="clear" w:color="auto" w:fill="auto"/>
          </w:tcPr>
          <w:p w14:paraId="5EA28107" w14:textId="77777777" w:rsidR="003C66EB" w:rsidRDefault="003C66EB">
            <w:pPr>
              <w:rPr>
                <w:rFonts w:ascii="宋体"/>
                <w:vanish/>
              </w:rPr>
            </w:pPr>
          </w:p>
        </w:tc>
        <w:tc>
          <w:tcPr>
            <w:tcW w:w="0" w:type="auto"/>
            <w:gridSpan w:val="3"/>
            <w:shd w:val="clear" w:color="auto" w:fill="auto"/>
          </w:tcPr>
          <w:p w14:paraId="5EA28108" w14:textId="77777777" w:rsidR="003C66EB" w:rsidRDefault="003C66EB">
            <w:pPr>
              <w:rPr>
                <w:rFonts w:ascii="宋体"/>
                <w:vanish/>
              </w:rPr>
            </w:pPr>
          </w:p>
        </w:tc>
        <w:tc>
          <w:tcPr>
            <w:tcW w:w="0" w:type="auto"/>
            <w:gridSpan w:val="3"/>
            <w:shd w:val="clear" w:color="auto" w:fill="auto"/>
          </w:tcPr>
          <w:p w14:paraId="5EA28109" w14:textId="77777777" w:rsidR="003C66EB" w:rsidRDefault="003C66EB">
            <w:pPr>
              <w:rPr>
                <w:rFonts w:ascii="宋体"/>
                <w:vanish/>
              </w:rPr>
            </w:pPr>
          </w:p>
        </w:tc>
        <w:tc>
          <w:tcPr>
            <w:tcW w:w="0" w:type="auto"/>
            <w:gridSpan w:val="3"/>
            <w:shd w:val="clear" w:color="auto" w:fill="auto"/>
          </w:tcPr>
          <w:p w14:paraId="5EA2810A" w14:textId="77777777" w:rsidR="003C66EB" w:rsidRDefault="003C66EB">
            <w:pPr>
              <w:rPr>
                <w:rFonts w:ascii="宋体"/>
                <w:vanish/>
              </w:rPr>
            </w:pPr>
          </w:p>
        </w:tc>
        <w:tc>
          <w:tcPr>
            <w:tcW w:w="0" w:type="auto"/>
            <w:gridSpan w:val="3"/>
            <w:shd w:val="clear" w:color="auto" w:fill="auto"/>
          </w:tcPr>
          <w:p w14:paraId="5EA2810B" w14:textId="77777777" w:rsidR="003C66EB" w:rsidRDefault="003C66EB">
            <w:pPr>
              <w:rPr>
                <w:rFonts w:ascii="宋体"/>
                <w:vanish/>
              </w:rPr>
            </w:pPr>
          </w:p>
        </w:tc>
        <w:tc>
          <w:tcPr>
            <w:tcW w:w="0" w:type="auto"/>
            <w:gridSpan w:val="3"/>
            <w:shd w:val="clear" w:color="auto" w:fill="auto"/>
          </w:tcPr>
          <w:p w14:paraId="5EA2810C" w14:textId="77777777" w:rsidR="003C66EB" w:rsidRDefault="003C66EB">
            <w:pPr>
              <w:rPr>
                <w:rFonts w:ascii="宋体"/>
                <w:vanish/>
              </w:rPr>
            </w:pPr>
          </w:p>
        </w:tc>
        <w:tc>
          <w:tcPr>
            <w:tcW w:w="0" w:type="auto"/>
            <w:gridSpan w:val="3"/>
            <w:shd w:val="clear" w:color="auto" w:fill="auto"/>
          </w:tcPr>
          <w:p w14:paraId="5EA2810D" w14:textId="77777777" w:rsidR="003C66EB" w:rsidRDefault="003C66EB">
            <w:pPr>
              <w:rPr>
                <w:rFonts w:ascii="宋体"/>
                <w:vanish/>
              </w:rPr>
            </w:pPr>
          </w:p>
        </w:tc>
        <w:tc>
          <w:tcPr>
            <w:tcW w:w="0" w:type="auto"/>
            <w:gridSpan w:val="3"/>
            <w:shd w:val="clear" w:color="auto" w:fill="auto"/>
          </w:tcPr>
          <w:p w14:paraId="5EA2810E" w14:textId="77777777" w:rsidR="003C66EB" w:rsidRDefault="003C66EB">
            <w:pPr>
              <w:rPr>
                <w:rFonts w:ascii="宋体"/>
                <w:vanish/>
              </w:rPr>
            </w:pPr>
          </w:p>
        </w:tc>
        <w:tc>
          <w:tcPr>
            <w:tcW w:w="0" w:type="auto"/>
            <w:gridSpan w:val="2"/>
            <w:shd w:val="clear" w:color="auto" w:fill="auto"/>
          </w:tcPr>
          <w:p w14:paraId="5EA2810F" w14:textId="77777777" w:rsidR="003C66EB" w:rsidRDefault="003C66EB">
            <w:pPr>
              <w:rPr>
                <w:rFonts w:ascii="宋体"/>
                <w:vanish/>
              </w:rPr>
            </w:pPr>
          </w:p>
        </w:tc>
        <w:tc>
          <w:tcPr>
            <w:tcW w:w="0" w:type="auto"/>
            <w:shd w:val="clear" w:color="auto" w:fill="auto"/>
          </w:tcPr>
          <w:p w14:paraId="5EA28110" w14:textId="77777777" w:rsidR="003C66EB" w:rsidRDefault="003C66EB">
            <w:pPr>
              <w:rPr>
                <w:rFonts w:ascii="宋体"/>
                <w:vanish/>
              </w:rPr>
            </w:pPr>
          </w:p>
        </w:tc>
      </w:tr>
      <w:tr w:rsidR="003C66EB" w14:paraId="5EA28128" w14:textId="77777777">
        <w:trPr>
          <w:hidden/>
        </w:trPr>
        <w:tc>
          <w:tcPr>
            <w:tcW w:w="0" w:type="auto"/>
            <w:gridSpan w:val="3"/>
            <w:shd w:val="clear" w:color="auto" w:fill="auto"/>
          </w:tcPr>
          <w:p w14:paraId="5EA28112" w14:textId="77777777" w:rsidR="003C66EB" w:rsidRDefault="003C66EB">
            <w:pPr>
              <w:rPr>
                <w:rFonts w:ascii="宋体"/>
                <w:vanish/>
              </w:rPr>
            </w:pPr>
          </w:p>
        </w:tc>
        <w:tc>
          <w:tcPr>
            <w:tcW w:w="0" w:type="auto"/>
            <w:gridSpan w:val="3"/>
            <w:shd w:val="clear" w:color="auto" w:fill="auto"/>
          </w:tcPr>
          <w:p w14:paraId="5EA28113" w14:textId="77777777" w:rsidR="003C66EB" w:rsidRDefault="003C66EB">
            <w:pPr>
              <w:rPr>
                <w:rFonts w:ascii="宋体"/>
                <w:vanish/>
              </w:rPr>
            </w:pPr>
          </w:p>
        </w:tc>
        <w:tc>
          <w:tcPr>
            <w:tcW w:w="0" w:type="auto"/>
            <w:gridSpan w:val="3"/>
            <w:shd w:val="clear" w:color="auto" w:fill="auto"/>
          </w:tcPr>
          <w:p w14:paraId="5EA28114" w14:textId="77777777" w:rsidR="003C66EB" w:rsidRDefault="003C66EB">
            <w:pPr>
              <w:rPr>
                <w:rFonts w:ascii="宋体"/>
                <w:vanish/>
              </w:rPr>
            </w:pPr>
          </w:p>
        </w:tc>
        <w:tc>
          <w:tcPr>
            <w:tcW w:w="0" w:type="auto"/>
            <w:gridSpan w:val="3"/>
            <w:shd w:val="clear" w:color="auto" w:fill="auto"/>
          </w:tcPr>
          <w:p w14:paraId="5EA28115" w14:textId="77777777" w:rsidR="003C66EB" w:rsidRDefault="003C66EB">
            <w:pPr>
              <w:rPr>
                <w:rFonts w:ascii="宋体"/>
                <w:vanish/>
              </w:rPr>
            </w:pPr>
          </w:p>
        </w:tc>
        <w:tc>
          <w:tcPr>
            <w:tcW w:w="0" w:type="auto"/>
            <w:gridSpan w:val="3"/>
            <w:shd w:val="clear" w:color="auto" w:fill="auto"/>
          </w:tcPr>
          <w:p w14:paraId="5EA28116" w14:textId="77777777" w:rsidR="003C66EB" w:rsidRDefault="003C66EB">
            <w:pPr>
              <w:rPr>
                <w:rFonts w:ascii="宋体"/>
                <w:vanish/>
              </w:rPr>
            </w:pPr>
          </w:p>
        </w:tc>
        <w:tc>
          <w:tcPr>
            <w:tcW w:w="0" w:type="auto"/>
            <w:gridSpan w:val="3"/>
            <w:shd w:val="clear" w:color="auto" w:fill="auto"/>
          </w:tcPr>
          <w:p w14:paraId="5EA28117" w14:textId="77777777" w:rsidR="003C66EB" w:rsidRDefault="003C66EB">
            <w:pPr>
              <w:rPr>
                <w:rFonts w:ascii="宋体"/>
                <w:vanish/>
              </w:rPr>
            </w:pPr>
          </w:p>
        </w:tc>
        <w:tc>
          <w:tcPr>
            <w:tcW w:w="0" w:type="auto"/>
            <w:gridSpan w:val="3"/>
            <w:shd w:val="clear" w:color="auto" w:fill="auto"/>
          </w:tcPr>
          <w:p w14:paraId="5EA28118" w14:textId="77777777" w:rsidR="003C66EB" w:rsidRDefault="003C66EB">
            <w:pPr>
              <w:rPr>
                <w:rFonts w:ascii="宋体"/>
                <w:vanish/>
              </w:rPr>
            </w:pPr>
          </w:p>
        </w:tc>
        <w:tc>
          <w:tcPr>
            <w:tcW w:w="0" w:type="auto"/>
            <w:gridSpan w:val="3"/>
            <w:shd w:val="clear" w:color="auto" w:fill="auto"/>
          </w:tcPr>
          <w:p w14:paraId="5EA28119" w14:textId="77777777" w:rsidR="003C66EB" w:rsidRDefault="003C66EB">
            <w:pPr>
              <w:rPr>
                <w:rFonts w:ascii="宋体"/>
                <w:vanish/>
              </w:rPr>
            </w:pPr>
          </w:p>
        </w:tc>
        <w:tc>
          <w:tcPr>
            <w:tcW w:w="0" w:type="auto"/>
            <w:gridSpan w:val="3"/>
            <w:shd w:val="clear" w:color="auto" w:fill="auto"/>
          </w:tcPr>
          <w:p w14:paraId="5EA2811A" w14:textId="77777777" w:rsidR="003C66EB" w:rsidRDefault="003C66EB">
            <w:pPr>
              <w:rPr>
                <w:rFonts w:ascii="宋体"/>
                <w:vanish/>
              </w:rPr>
            </w:pPr>
          </w:p>
        </w:tc>
        <w:tc>
          <w:tcPr>
            <w:tcW w:w="0" w:type="auto"/>
            <w:gridSpan w:val="3"/>
            <w:shd w:val="clear" w:color="auto" w:fill="auto"/>
          </w:tcPr>
          <w:p w14:paraId="5EA2811B" w14:textId="77777777" w:rsidR="003C66EB" w:rsidRDefault="003C66EB">
            <w:pPr>
              <w:rPr>
                <w:rFonts w:ascii="宋体"/>
                <w:vanish/>
              </w:rPr>
            </w:pPr>
          </w:p>
        </w:tc>
        <w:tc>
          <w:tcPr>
            <w:tcW w:w="0" w:type="auto"/>
            <w:gridSpan w:val="3"/>
            <w:shd w:val="clear" w:color="auto" w:fill="auto"/>
          </w:tcPr>
          <w:p w14:paraId="5EA2811C" w14:textId="77777777" w:rsidR="003C66EB" w:rsidRDefault="003C66EB">
            <w:pPr>
              <w:rPr>
                <w:rFonts w:ascii="宋体"/>
                <w:vanish/>
              </w:rPr>
            </w:pPr>
          </w:p>
        </w:tc>
        <w:tc>
          <w:tcPr>
            <w:tcW w:w="0" w:type="auto"/>
            <w:gridSpan w:val="3"/>
            <w:shd w:val="clear" w:color="auto" w:fill="auto"/>
          </w:tcPr>
          <w:p w14:paraId="5EA2811D" w14:textId="77777777" w:rsidR="003C66EB" w:rsidRDefault="003C66EB">
            <w:pPr>
              <w:rPr>
                <w:rFonts w:ascii="宋体"/>
                <w:vanish/>
              </w:rPr>
            </w:pPr>
          </w:p>
        </w:tc>
        <w:tc>
          <w:tcPr>
            <w:tcW w:w="0" w:type="auto"/>
            <w:gridSpan w:val="3"/>
            <w:shd w:val="clear" w:color="auto" w:fill="auto"/>
          </w:tcPr>
          <w:p w14:paraId="5EA2811E" w14:textId="77777777" w:rsidR="003C66EB" w:rsidRDefault="003C66EB">
            <w:pPr>
              <w:rPr>
                <w:rFonts w:ascii="宋体"/>
                <w:vanish/>
              </w:rPr>
            </w:pPr>
          </w:p>
        </w:tc>
        <w:tc>
          <w:tcPr>
            <w:tcW w:w="0" w:type="auto"/>
            <w:gridSpan w:val="3"/>
            <w:shd w:val="clear" w:color="auto" w:fill="auto"/>
          </w:tcPr>
          <w:p w14:paraId="5EA2811F" w14:textId="77777777" w:rsidR="003C66EB" w:rsidRDefault="003C66EB">
            <w:pPr>
              <w:rPr>
                <w:rFonts w:ascii="宋体"/>
                <w:vanish/>
              </w:rPr>
            </w:pPr>
          </w:p>
        </w:tc>
        <w:tc>
          <w:tcPr>
            <w:tcW w:w="0" w:type="auto"/>
            <w:gridSpan w:val="3"/>
            <w:shd w:val="clear" w:color="auto" w:fill="auto"/>
          </w:tcPr>
          <w:p w14:paraId="5EA28120" w14:textId="77777777" w:rsidR="003C66EB" w:rsidRDefault="003C66EB">
            <w:pPr>
              <w:rPr>
                <w:rFonts w:ascii="宋体"/>
                <w:vanish/>
              </w:rPr>
            </w:pPr>
          </w:p>
        </w:tc>
        <w:tc>
          <w:tcPr>
            <w:tcW w:w="0" w:type="auto"/>
            <w:gridSpan w:val="3"/>
            <w:shd w:val="clear" w:color="auto" w:fill="auto"/>
          </w:tcPr>
          <w:p w14:paraId="5EA28121" w14:textId="77777777" w:rsidR="003C66EB" w:rsidRDefault="003C66EB">
            <w:pPr>
              <w:rPr>
                <w:rFonts w:ascii="宋体"/>
                <w:vanish/>
              </w:rPr>
            </w:pPr>
          </w:p>
        </w:tc>
        <w:tc>
          <w:tcPr>
            <w:tcW w:w="0" w:type="auto"/>
            <w:gridSpan w:val="3"/>
            <w:shd w:val="clear" w:color="auto" w:fill="auto"/>
          </w:tcPr>
          <w:p w14:paraId="5EA28122" w14:textId="77777777" w:rsidR="003C66EB" w:rsidRDefault="003C66EB">
            <w:pPr>
              <w:rPr>
                <w:rFonts w:ascii="宋体"/>
                <w:vanish/>
              </w:rPr>
            </w:pPr>
          </w:p>
        </w:tc>
        <w:tc>
          <w:tcPr>
            <w:tcW w:w="0" w:type="auto"/>
            <w:gridSpan w:val="3"/>
            <w:shd w:val="clear" w:color="auto" w:fill="auto"/>
          </w:tcPr>
          <w:p w14:paraId="5EA28123" w14:textId="77777777" w:rsidR="003C66EB" w:rsidRDefault="003C66EB">
            <w:pPr>
              <w:rPr>
                <w:rFonts w:ascii="宋体"/>
                <w:vanish/>
              </w:rPr>
            </w:pPr>
          </w:p>
        </w:tc>
        <w:tc>
          <w:tcPr>
            <w:tcW w:w="0" w:type="auto"/>
            <w:gridSpan w:val="3"/>
            <w:shd w:val="clear" w:color="auto" w:fill="auto"/>
          </w:tcPr>
          <w:p w14:paraId="5EA28124" w14:textId="77777777" w:rsidR="003C66EB" w:rsidRDefault="003C66EB">
            <w:pPr>
              <w:rPr>
                <w:rFonts w:ascii="宋体"/>
                <w:vanish/>
              </w:rPr>
            </w:pPr>
          </w:p>
        </w:tc>
        <w:tc>
          <w:tcPr>
            <w:tcW w:w="0" w:type="auto"/>
            <w:gridSpan w:val="3"/>
            <w:shd w:val="clear" w:color="auto" w:fill="auto"/>
          </w:tcPr>
          <w:p w14:paraId="5EA28125" w14:textId="77777777" w:rsidR="003C66EB" w:rsidRDefault="003C66EB">
            <w:pPr>
              <w:rPr>
                <w:rFonts w:ascii="宋体"/>
                <w:vanish/>
              </w:rPr>
            </w:pPr>
          </w:p>
        </w:tc>
        <w:tc>
          <w:tcPr>
            <w:tcW w:w="0" w:type="auto"/>
            <w:gridSpan w:val="2"/>
            <w:shd w:val="clear" w:color="auto" w:fill="auto"/>
          </w:tcPr>
          <w:p w14:paraId="5EA28126" w14:textId="77777777" w:rsidR="003C66EB" w:rsidRDefault="003C66EB">
            <w:pPr>
              <w:rPr>
                <w:rFonts w:ascii="宋体"/>
                <w:vanish/>
              </w:rPr>
            </w:pPr>
          </w:p>
        </w:tc>
        <w:tc>
          <w:tcPr>
            <w:tcW w:w="0" w:type="auto"/>
            <w:shd w:val="clear" w:color="auto" w:fill="auto"/>
          </w:tcPr>
          <w:p w14:paraId="5EA28127" w14:textId="77777777" w:rsidR="003C66EB" w:rsidRDefault="003C66EB">
            <w:pPr>
              <w:rPr>
                <w:rFonts w:ascii="宋体"/>
                <w:vanish/>
              </w:rPr>
            </w:pPr>
          </w:p>
        </w:tc>
      </w:tr>
      <w:tr w:rsidR="003C66EB" w14:paraId="5EA2813F" w14:textId="77777777">
        <w:trPr>
          <w:hidden/>
        </w:trPr>
        <w:tc>
          <w:tcPr>
            <w:tcW w:w="0" w:type="auto"/>
            <w:gridSpan w:val="3"/>
            <w:shd w:val="clear" w:color="auto" w:fill="auto"/>
          </w:tcPr>
          <w:p w14:paraId="5EA28129" w14:textId="77777777" w:rsidR="003C66EB" w:rsidRDefault="003C66EB">
            <w:pPr>
              <w:rPr>
                <w:rFonts w:ascii="宋体"/>
                <w:vanish/>
              </w:rPr>
            </w:pPr>
          </w:p>
        </w:tc>
        <w:tc>
          <w:tcPr>
            <w:tcW w:w="0" w:type="auto"/>
            <w:gridSpan w:val="3"/>
            <w:shd w:val="clear" w:color="auto" w:fill="auto"/>
          </w:tcPr>
          <w:p w14:paraId="5EA2812A" w14:textId="77777777" w:rsidR="003C66EB" w:rsidRDefault="003C66EB">
            <w:pPr>
              <w:rPr>
                <w:rFonts w:ascii="宋体"/>
                <w:vanish/>
              </w:rPr>
            </w:pPr>
          </w:p>
        </w:tc>
        <w:tc>
          <w:tcPr>
            <w:tcW w:w="0" w:type="auto"/>
            <w:gridSpan w:val="3"/>
            <w:shd w:val="clear" w:color="auto" w:fill="auto"/>
          </w:tcPr>
          <w:p w14:paraId="5EA2812B" w14:textId="77777777" w:rsidR="003C66EB" w:rsidRDefault="003C66EB">
            <w:pPr>
              <w:rPr>
                <w:rFonts w:ascii="宋体"/>
                <w:vanish/>
              </w:rPr>
            </w:pPr>
          </w:p>
        </w:tc>
        <w:tc>
          <w:tcPr>
            <w:tcW w:w="0" w:type="auto"/>
            <w:gridSpan w:val="3"/>
            <w:shd w:val="clear" w:color="auto" w:fill="auto"/>
          </w:tcPr>
          <w:p w14:paraId="5EA2812C" w14:textId="77777777" w:rsidR="003C66EB" w:rsidRDefault="003C66EB">
            <w:pPr>
              <w:rPr>
                <w:rFonts w:ascii="宋体"/>
                <w:vanish/>
              </w:rPr>
            </w:pPr>
          </w:p>
        </w:tc>
        <w:tc>
          <w:tcPr>
            <w:tcW w:w="0" w:type="auto"/>
            <w:gridSpan w:val="3"/>
            <w:shd w:val="clear" w:color="auto" w:fill="auto"/>
          </w:tcPr>
          <w:p w14:paraId="5EA2812D" w14:textId="77777777" w:rsidR="003C66EB" w:rsidRDefault="003C66EB">
            <w:pPr>
              <w:rPr>
                <w:rFonts w:ascii="宋体"/>
                <w:vanish/>
              </w:rPr>
            </w:pPr>
          </w:p>
        </w:tc>
        <w:tc>
          <w:tcPr>
            <w:tcW w:w="0" w:type="auto"/>
            <w:gridSpan w:val="3"/>
            <w:shd w:val="clear" w:color="auto" w:fill="auto"/>
          </w:tcPr>
          <w:p w14:paraId="5EA2812E" w14:textId="77777777" w:rsidR="003C66EB" w:rsidRDefault="003C66EB">
            <w:pPr>
              <w:rPr>
                <w:rFonts w:ascii="宋体"/>
                <w:vanish/>
              </w:rPr>
            </w:pPr>
          </w:p>
        </w:tc>
        <w:tc>
          <w:tcPr>
            <w:tcW w:w="0" w:type="auto"/>
            <w:gridSpan w:val="3"/>
            <w:shd w:val="clear" w:color="auto" w:fill="auto"/>
          </w:tcPr>
          <w:p w14:paraId="5EA2812F" w14:textId="77777777" w:rsidR="003C66EB" w:rsidRDefault="003C66EB">
            <w:pPr>
              <w:rPr>
                <w:rFonts w:ascii="宋体"/>
                <w:vanish/>
              </w:rPr>
            </w:pPr>
          </w:p>
        </w:tc>
        <w:tc>
          <w:tcPr>
            <w:tcW w:w="0" w:type="auto"/>
            <w:gridSpan w:val="3"/>
            <w:shd w:val="clear" w:color="auto" w:fill="auto"/>
          </w:tcPr>
          <w:p w14:paraId="5EA28130" w14:textId="77777777" w:rsidR="003C66EB" w:rsidRDefault="003C66EB">
            <w:pPr>
              <w:rPr>
                <w:rFonts w:ascii="宋体"/>
                <w:vanish/>
              </w:rPr>
            </w:pPr>
          </w:p>
        </w:tc>
        <w:tc>
          <w:tcPr>
            <w:tcW w:w="0" w:type="auto"/>
            <w:gridSpan w:val="3"/>
            <w:shd w:val="clear" w:color="auto" w:fill="auto"/>
          </w:tcPr>
          <w:p w14:paraId="5EA28131" w14:textId="77777777" w:rsidR="003C66EB" w:rsidRDefault="003C66EB">
            <w:pPr>
              <w:rPr>
                <w:rFonts w:ascii="宋体"/>
                <w:vanish/>
              </w:rPr>
            </w:pPr>
          </w:p>
        </w:tc>
        <w:tc>
          <w:tcPr>
            <w:tcW w:w="0" w:type="auto"/>
            <w:gridSpan w:val="3"/>
            <w:shd w:val="clear" w:color="auto" w:fill="auto"/>
          </w:tcPr>
          <w:p w14:paraId="5EA28132" w14:textId="77777777" w:rsidR="003C66EB" w:rsidRDefault="003C66EB">
            <w:pPr>
              <w:rPr>
                <w:rFonts w:ascii="宋体"/>
                <w:vanish/>
              </w:rPr>
            </w:pPr>
          </w:p>
        </w:tc>
        <w:tc>
          <w:tcPr>
            <w:tcW w:w="0" w:type="auto"/>
            <w:gridSpan w:val="3"/>
            <w:shd w:val="clear" w:color="auto" w:fill="auto"/>
          </w:tcPr>
          <w:p w14:paraId="5EA28133" w14:textId="77777777" w:rsidR="003C66EB" w:rsidRDefault="003C66EB">
            <w:pPr>
              <w:rPr>
                <w:rFonts w:ascii="宋体"/>
                <w:vanish/>
              </w:rPr>
            </w:pPr>
          </w:p>
        </w:tc>
        <w:tc>
          <w:tcPr>
            <w:tcW w:w="0" w:type="auto"/>
            <w:gridSpan w:val="3"/>
            <w:shd w:val="clear" w:color="auto" w:fill="auto"/>
          </w:tcPr>
          <w:p w14:paraId="5EA28134" w14:textId="77777777" w:rsidR="003C66EB" w:rsidRDefault="003C66EB">
            <w:pPr>
              <w:rPr>
                <w:rFonts w:ascii="宋体"/>
                <w:vanish/>
              </w:rPr>
            </w:pPr>
          </w:p>
        </w:tc>
        <w:tc>
          <w:tcPr>
            <w:tcW w:w="0" w:type="auto"/>
            <w:gridSpan w:val="3"/>
            <w:shd w:val="clear" w:color="auto" w:fill="auto"/>
          </w:tcPr>
          <w:p w14:paraId="5EA28135" w14:textId="77777777" w:rsidR="003C66EB" w:rsidRDefault="003C66EB">
            <w:pPr>
              <w:rPr>
                <w:rFonts w:ascii="宋体"/>
                <w:vanish/>
              </w:rPr>
            </w:pPr>
          </w:p>
        </w:tc>
        <w:tc>
          <w:tcPr>
            <w:tcW w:w="0" w:type="auto"/>
            <w:gridSpan w:val="3"/>
            <w:shd w:val="clear" w:color="auto" w:fill="auto"/>
          </w:tcPr>
          <w:p w14:paraId="5EA28136" w14:textId="77777777" w:rsidR="003C66EB" w:rsidRDefault="003C66EB">
            <w:pPr>
              <w:rPr>
                <w:rFonts w:ascii="宋体"/>
                <w:vanish/>
              </w:rPr>
            </w:pPr>
          </w:p>
        </w:tc>
        <w:tc>
          <w:tcPr>
            <w:tcW w:w="0" w:type="auto"/>
            <w:gridSpan w:val="3"/>
            <w:shd w:val="clear" w:color="auto" w:fill="auto"/>
          </w:tcPr>
          <w:p w14:paraId="5EA28137" w14:textId="77777777" w:rsidR="003C66EB" w:rsidRDefault="003C66EB">
            <w:pPr>
              <w:rPr>
                <w:rFonts w:ascii="宋体"/>
                <w:vanish/>
              </w:rPr>
            </w:pPr>
          </w:p>
        </w:tc>
        <w:tc>
          <w:tcPr>
            <w:tcW w:w="0" w:type="auto"/>
            <w:gridSpan w:val="3"/>
            <w:shd w:val="clear" w:color="auto" w:fill="auto"/>
          </w:tcPr>
          <w:p w14:paraId="5EA28138" w14:textId="77777777" w:rsidR="003C66EB" w:rsidRDefault="003C66EB">
            <w:pPr>
              <w:rPr>
                <w:rFonts w:ascii="宋体"/>
                <w:vanish/>
              </w:rPr>
            </w:pPr>
          </w:p>
        </w:tc>
        <w:tc>
          <w:tcPr>
            <w:tcW w:w="0" w:type="auto"/>
            <w:gridSpan w:val="3"/>
            <w:shd w:val="clear" w:color="auto" w:fill="auto"/>
          </w:tcPr>
          <w:p w14:paraId="5EA28139" w14:textId="77777777" w:rsidR="003C66EB" w:rsidRDefault="003C66EB">
            <w:pPr>
              <w:rPr>
                <w:rFonts w:ascii="宋体"/>
                <w:vanish/>
              </w:rPr>
            </w:pPr>
          </w:p>
        </w:tc>
        <w:tc>
          <w:tcPr>
            <w:tcW w:w="0" w:type="auto"/>
            <w:gridSpan w:val="3"/>
            <w:shd w:val="clear" w:color="auto" w:fill="auto"/>
          </w:tcPr>
          <w:p w14:paraId="5EA2813A" w14:textId="77777777" w:rsidR="003C66EB" w:rsidRDefault="003C66EB">
            <w:pPr>
              <w:rPr>
                <w:rFonts w:ascii="宋体"/>
                <w:vanish/>
              </w:rPr>
            </w:pPr>
          </w:p>
        </w:tc>
        <w:tc>
          <w:tcPr>
            <w:tcW w:w="0" w:type="auto"/>
            <w:gridSpan w:val="3"/>
            <w:shd w:val="clear" w:color="auto" w:fill="auto"/>
          </w:tcPr>
          <w:p w14:paraId="5EA2813B" w14:textId="77777777" w:rsidR="003C66EB" w:rsidRDefault="003C66EB">
            <w:pPr>
              <w:rPr>
                <w:rFonts w:ascii="宋体"/>
                <w:vanish/>
              </w:rPr>
            </w:pPr>
          </w:p>
        </w:tc>
        <w:tc>
          <w:tcPr>
            <w:tcW w:w="0" w:type="auto"/>
            <w:gridSpan w:val="3"/>
            <w:shd w:val="clear" w:color="auto" w:fill="auto"/>
          </w:tcPr>
          <w:p w14:paraId="5EA2813C" w14:textId="77777777" w:rsidR="003C66EB" w:rsidRDefault="003C66EB">
            <w:pPr>
              <w:rPr>
                <w:rFonts w:ascii="宋体"/>
                <w:vanish/>
              </w:rPr>
            </w:pPr>
          </w:p>
        </w:tc>
        <w:tc>
          <w:tcPr>
            <w:tcW w:w="0" w:type="auto"/>
            <w:gridSpan w:val="2"/>
            <w:shd w:val="clear" w:color="auto" w:fill="auto"/>
          </w:tcPr>
          <w:p w14:paraId="5EA2813D" w14:textId="77777777" w:rsidR="003C66EB" w:rsidRDefault="003C66EB">
            <w:pPr>
              <w:rPr>
                <w:rFonts w:ascii="宋体"/>
                <w:vanish/>
              </w:rPr>
            </w:pPr>
          </w:p>
        </w:tc>
        <w:tc>
          <w:tcPr>
            <w:tcW w:w="0" w:type="auto"/>
            <w:shd w:val="clear" w:color="auto" w:fill="auto"/>
          </w:tcPr>
          <w:p w14:paraId="5EA2813E" w14:textId="77777777" w:rsidR="003C66EB" w:rsidRDefault="003C66EB">
            <w:pPr>
              <w:rPr>
                <w:rFonts w:ascii="宋体"/>
                <w:vanish/>
              </w:rPr>
            </w:pPr>
          </w:p>
        </w:tc>
      </w:tr>
      <w:tr w:rsidR="003C66EB" w14:paraId="5EA28156" w14:textId="77777777">
        <w:trPr>
          <w:hidden/>
        </w:trPr>
        <w:tc>
          <w:tcPr>
            <w:tcW w:w="0" w:type="auto"/>
            <w:gridSpan w:val="3"/>
            <w:shd w:val="clear" w:color="auto" w:fill="auto"/>
          </w:tcPr>
          <w:p w14:paraId="5EA28140" w14:textId="77777777" w:rsidR="003C66EB" w:rsidRDefault="003C66EB">
            <w:pPr>
              <w:rPr>
                <w:rFonts w:ascii="宋体"/>
                <w:vanish/>
              </w:rPr>
            </w:pPr>
          </w:p>
        </w:tc>
        <w:tc>
          <w:tcPr>
            <w:tcW w:w="0" w:type="auto"/>
            <w:gridSpan w:val="3"/>
            <w:shd w:val="clear" w:color="auto" w:fill="auto"/>
          </w:tcPr>
          <w:p w14:paraId="5EA28141" w14:textId="77777777" w:rsidR="003C66EB" w:rsidRDefault="003C66EB">
            <w:pPr>
              <w:rPr>
                <w:rFonts w:ascii="宋体"/>
                <w:vanish/>
              </w:rPr>
            </w:pPr>
          </w:p>
        </w:tc>
        <w:tc>
          <w:tcPr>
            <w:tcW w:w="0" w:type="auto"/>
            <w:gridSpan w:val="3"/>
            <w:shd w:val="clear" w:color="auto" w:fill="auto"/>
          </w:tcPr>
          <w:p w14:paraId="5EA28142" w14:textId="77777777" w:rsidR="003C66EB" w:rsidRDefault="003C66EB">
            <w:pPr>
              <w:rPr>
                <w:rFonts w:ascii="宋体"/>
                <w:vanish/>
              </w:rPr>
            </w:pPr>
          </w:p>
        </w:tc>
        <w:tc>
          <w:tcPr>
            <w:tcW w:w="0" w:type="auto"/>
            <w:gridSpan w:val="3"/>
            <w:shd w:val="clear" w:color="auto" w:fill="auto"/>
          </w:tcPr>
          <w:p w14:paraId="5EA28143" w14:textId="77777777" w:rsidR="003C66EB" w:rsidRDefault="003C66EB">
            <w:pPr>
              <w:rPr>
                <w:rFonts w:ascii="宋体"/>
                <w:vanish/>
              </w:rPr>
            </w:pPr>
          </w:p>
        </w:tc>
        <w:tc>
          <w:tcPr>
            <w:tcW w:w="0" w:type="auto"/>
            <w:gridSpan w:val="3"/>
            <w:shd w:val="clear" w:color="auto" w:fill="auto"/>
          </w:tcPr>
          <w:p w14:paraId="5EA28144" w14:textId="77777777" w:rsidR="003C66EB" w:rsidRDefault="003C66EB">
            <w:pPr>
              <w:rPr>
                <w:rFonts w:ascii="宋体"/>
                <w:vanish/>
              </w:rPr>
            </w:pPr>
          </w:p>
        </w:tc>
        <w:tc>
          <w:tcPr>
            <w:tcW w:w="0" w:type="auto"/>
            <w:gridSpan w:val="3"/>
            <w:shd w:val="clear" w:color="auto" w:fill="auto"/>
          </w:tcPr>
          <w:p w14:paraId="5EA28145" w14:textId="77777777" w:rsidR="003C66EB" w:rsidRDefault="003C66EB">
            <w:pPr>
              <w:rPr>
                <w:rFonts w:ascii="宋体"/>
                <w:vanish/>
              </w:rPr>
            </w:pPr>
          </w:p>
        </w:tc>
        <w:tc>
          <w:tcPr>
            <w:tcW w:w="0" w:type="auto"/>
            <w:gridSpan w:val="3"/>
            <w:shd w:val="clear" w:color="auto" w:fill="auto"/>
          </w:tcPr>
          <w:p w14:paraId="5EA28146" w14:textId="77777777" w:rsidR="003C66EB" w:rsidRDefault="003C66EB">
            <w:pPr>
              <w:rPr>
                <w:rFonts w:ascii="宋体"/>
                <w:vanish/>
              </w:rPr>
            </w:pPr>
          </w:p>
        </w:tc>
        <w:tc>
          <w:tcPr>
            <w:tcW w:w="0" w:type="auto"/>
            <w:gridSpan w:val="3"/>
            <w:shd w:val="clear" w:color="auto" w:fill="auto"/>
          </w:tcPr>
          <w:p w14:paraId="5EA28147" w14:textId="77777777" w:rsidR="003C66EB" w:rsidRDefault="003C66EB">
            <w:pPr>
              <w:rPr>
                <w:rFonts w:ascii="宋体"/>
                <w:vanish/>
              </w:rPr>
            </w:pPr>
          </w:p>
        </w:tc>
        <w:tc>
          <w:tcPr>
            <w:tcW w:w="0" w:type="auto"/>
            <w:gridSpan w:val="3"/>
            <w:shd w:val="clear" w:color="auto" w:fill="auto"/>
          </w:tcPr>
          <w:p w14:paraId="5EA28148" w14:textId="77777777" w:rsidR="003C66EB" w:rsidRDefault="003C66EB">
            <w:pPr>
              <w:rPr>
                <w:rFonts w:ascii="宋体"/>
                <w:vanish/>
              </w:rPr>
            </w:pPr>
          </w:p>
        </w:tc>
        <w:tc>
          <w:tcPr>
            <w:tcW w:w="0" w:type="auto"/>
            <w:gridSpan w:val="3"/>
            <w:shd w:val="clear" w:color="auto" w:fill="auto"/>
          </w:tcPr>
          <w:p w14:paraId="5EA28149" w14:textId="77777777" w:rsidR="003C66EB" w:rsidRDefault="003C66EB">
            <w:pPr>
              <w:rPr>
                <w:rFonts w:ascii="宋体"/>
                <w:vanish/>
              </w:rPr>
            </w:pPr>
          </w:p>
        </w:tc>
        <w:tc>
          <w:tcPr>
            <w:tcW w:w="0" w:type="auto"/>
            <w:gridSpan w:val="3"/>
            <w:shd w:val="clear" w:color="auto" w:fill="auto"/>
          </w:tcPr>
          <w:p w14:paraId="5EA2814A" w14:textId="77777777" w:rsidR="003C66EB" w:rsidRDefault="003C66EB">
            <w:pPr>
              <w:rPr>
                <w:rFonts w:ascii="宋体"/>
                <w:vanish/>
              </w:rPr>
            </w:pPr>
          </w:p>
        </w:tc>
        <w:tc>
          <w:tcPr>
            <w:tcW w:w="0" w:type="auto"/>
            <w:gridSpan w:val="3"/>
            <w:shd w:val="clear" w:color="auto" w:fill="auto"/>
          </w:tcPr>
          <w:p w14:paraId="5EA2814B" w14:textId="77777777" w:rsidR="003C66EB" w:rsidRDefault="003C66EB">
            <w:pPr>
              <w:rPr>
                <w:rFonts w:ascii="宋体"/>
                <w:vanish/>
              </w:rPr>
            </w:pPr>
          </w:p>
        </w:tc>
        <w:tc>
          <w:tcPr>
            <w:tcW w:w="0" w:type="auto"/>
            <w:gridSpan w:val="3"/>
            <w:shd w:val="clear" w:color="auto" w:fill="auto"/>
          </w:tcPr>
          <w:p w14:paraId="5EA2814C" w14:textId="77777777" w:rsidR="003C66EB" w:rsidRDefault="003C66EB">
            <w:pPr>
              <w:rPr>
                <w:rFonts w:ascii="宋体"/>
                <w:vanish/>
              </w:rPr>
            </w:pPr>
          </w:p>
        </w:tc>
        <w:tc>
          <w:tcPr>
            <w:tcW w:w="0" w:type="auto"/>
            <w:gridSpan w:val="3"/>
            <w:shd w:val="clear" w:color="auto" w:fill="auto"/>
          </w:tcPr>
          <w:p w14:paraId="5EA2814D" w14:textId="77777777" w:rsidR="003C66EB" w:rsidRDefault="003C66EB">
            <w:pPr>
              <w:rPr>
                <w:rFonts w:ascii="宋体"/>
                <w:vanish/>
              </w:rPr>
            </w:pPr>
          </w:p>
        </w:tc>
        <w:tc>
          <w:tcPr>
            <w:tcW w:w="0" w:type="auto"/>
            <w:gridSpan w:val="3"/>
            <w:shd w:val="clear" w:color="auto" w:fill="auto"/>
          </w:tcPr>
          <w:p w14:paraId="5EA2814E" w14:textId="77777777" w:rsidR="003C66EB" w:rsidRDefault="003C66EB">
            <w:pPr>
              <w:rPr>
                <w:rFonts w:ascii="宋体"/>
                <w:vanish/>
              </w:rPr>
            </w:pPr>
          </w:p>
        </w:tc>
        <w:tc>
          <w:tcPr>
            <w:tcW w:w="0" w:type="auto"/>
            <w:gridSpan w:val="3"/>
            <w:shd w:val="clear" w:color="auto" w:fill="auto"/>
          </w:tcPr>
          <w:p w14:paraId="5EA2814F" w14:textId="77777777" w:rsidR="003C66EB" w:rsidRDefault="003C66EB">
            <w:pPr>
              <w:rPr>
                <w:rFonts w:ascii="宋体"/>
                <w:vanish/>
              </w:rPr>
            </w:pPr>
          </w:p>
        </w:tc>
        <w:tc>
          <w:tcPr>
            <w:tcW w:w="0" w:type="auto"/>
            <w:gridSpan w:val="3"/>
            <w:shd w:val="clear" w:color="auto" w:fill="auto"/>
          </w:tcPr>
          <w:p w14:paraId="5EA28150" w14:textId="77777777" w:rsidR="003C66EB" w:rsidRDefault="003C66EB">
            <w:pPr>
              <w:rPr>
                <w:rFonts w:ascii="宋体"/>
                <w:vanish/>
              </w:rPr>
            </w:pPr>
          </w:p>
        </w:tc>
        <w:tc>
          <w:tcPr>
            <w:tcW w:w="0" w:type="auto"/>
            <w:gridSpan w:val="3"/>
            <w:shd w:val="clear" w:color="auto" w:fill="auto"/>
          </w:tcPr>
          <w:p w14:paraId="5EA28151" w14:textId="77777777" w:rsidR="003C66EB" w:rsidRDefault="003C66EB">
            <w:pPr>
              <w:rPr>
                <w:rFonts w:ascii="宋体"/>
                <w:vanish/>
              </w:rPr>
            </w:pPr>
          </w:p>
        </w:tc>
        <w:tc>
          <w:tcPr>
            <w:tcW w:w="0" w:type="auto"/>
            <w:gridSpan w:val="3"/>
            <w:shd w:val="clear" w:color="auto" w:fill="auto"/>
          </w:tcPr>
          <w:p w14:paraId="5EA28152" w14:textId="77777777" w:rsidR="003C66EB" w:rsidRDefault="003C66EB">
            <w:pPr>
              <w:rPr>
                <w:rFonts w:ascii="宋体"/>
                <w:vanish/>
              </w:rPr>
            </w:pPr>
          </w:p>
        </w:tc>
        <w:tc>
          <w:tcPr>
            <w:tcW w:w="0" w:type="auto"/>
            <w:gridSpan w:val="3"/>
            <w:shd w:val="clear" w:color="auto" w:fill="auto"/>
          </w:tcPr>
          <w:p w14:paraId="5EA28153" w14:textId="77777777" w:rsidR="003C66EB" w:rsidRDefault="003C66EB">
            <w:pPr>
              <w:rPr>
                <w:rFonts w:ascii="宋体"/>
                <w:vanish/>
              </w:rPr>
            </w:pPr>
          </w:p>
        </w:tc>
        <w:tc>
          <w:tcPr>
            <w:tcW w:w="0" w:type="auto"/>
            <w:gridSpan w:val="2"/>
            <w:shd w:val="clear" w:color="auto" w:fill="auto"/>
          </w:tcPr>
          <w:p w14:paraId="5EA28154" w14:textId="77777777" w:rsidR="003C66EB" w:rsidRDefault="003C66EB">
            <w:pPr>
              <w:rPr>
                <w:rFonts w:ascii="宋体"/>
                <w:vanish/>
              </w:rPr>
            </w:pPr>
          </w:p>
        </w:tc>
        <w:tc>
          <w:tcPr>
            <w:tcW w:w="0" w:type="auto"/>
            <w:shd w:val="clear" w:color="auto" w:fill="auto"/>
          </w:tcPr>
          <w:p w14:paraId="5EA28155" w14:textId="77777777" w:rsidR="003C66EB" w:rsidRDefault="003C66EB">
            <w:pPr>
              <w:rPr>
                <w:rFonts w:ascii="宋体"/>
                <w:vanish/>
              </w:rPr>
            </w:pPr>
          </w:p>
        </w:tc>
      </w:tr>
      <w:tr w:rsidR="003C66EB" w14:paraId="5EA28168" w14:textId="77777777">
        <w:tc>
          <w:tcPr>
            <w:tcW w:w="0" w:type="auto"/>
            <w:gridSpan w:val="3"/>
            <w:shd w:val="clear" w:color="auto" w:fill="auto"/>
            <w:tcMar>
              <w:top w:w="0" w:type="dxa"/>
              <w:left w:w="20" w:type="dxa"/>
              <w:bottom w:w="0" w:type="dxa"/>
              <w:right w:w="20" w:type="dxa"/>
            </w:tcMar>
          </w:tcPr>
          <w:p w14:paraId="5EA28157" w14:textId="77777777" w:rsidR="003C66EB" w:rsidRDefault="003C66EB">
            <w:pPr>
              <w:rPr>
                <w:rFonts w:ascii="宋体"/>
              </w:rPr>
            </w:pPr>
          </w:p>
        </w:tc>
        <w:tc>
          <w:tcPr>
            <w:tcW w:w="0" w:type="auto"/>
            <w:gridSpan w:val="33"/>
            <w:tcBorders>
              <w:bottom w:val="single" w:sz="8" w:space="0" w:color="000000"/>
            </w:tcBorders>
            <w:shd w:val="clear" w:color="auto" w:fill="FFFFFF"/>
            <w:tcMar>
              <w:top w:w="40" w:type="dxa"/>
              <w:left w:w="20" w:type="dxa"/>
              <w:bottom w:w="40" w:type="dxa"/>
              <w:right w:w="20" w:type="dxa"/>
            </w:tcMar>
            <w:vAlign w:val="bottom"/>
          </w:tcPr>
          <w:p w14:paraId="5EA28158" w14:textId="77777777" w:rsidR="003C66EB" w:rsidRDefault="00D96C4E">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Pr>
          <w:p w14:paraId="5EA28159" w14:textId="77777777" w:rsidR="003C66EB" w:rsidRDefault="003C66EB">
            <w:pPr>
              <w:rPr>
                <w:rFonts w:ascii="宋体"/>
                <w:vanish/>
              </w:rPr>
            </w:pPr>
          </w:p>
        </w:tc>
        <w:tc>
          <w:tcPr>
            <w:tcW w:w="0" w:type="auto"/>
            <w:gridSpan w:val="3"/>
            <w:shd w:val="clear" w:color="auto" w:fill="auto"/>
          </w:tcPr>
          <w:p w14:paraId="5EA2815A" w14:textId="77777777" w:rsidR="003C66EB" w:rsidRDefault="003C66EB">
            <w:pPr>
              <w:rPr>
                <w:rFonts w:ascii="宋体"/>
                <w:vanish/>
              </w:rPr>
            </w:pPr>
          </w:p>
        </w:tc>
        <w:tc>
          <w:tcPr>
            <w:tcW w:w="0" w:type="auto"/>
            <w:gridSpan w:val="3"/>
            <w:shd w:val="clear" w:color="auto" w:fill="auto"/>
          </w:tcPr>
          <w:p w14:paraId="5EA2815B" w14:textId="77777777" w:rsidR="003C66EB" w:rsidRDefault="003C66EB">
            <w:pPr>
              <w:rPr>
                <w:rFonts w:ascii="宋体"/>
                <w:vanish/>
              </w:rPr>
            </w:pPr>
          </w:p>
        </w:tc>
        <w:tc>
          <w:tcPr>
            <w:tcW w:w="0" w:type="auto"/>
            <w:gridSpan w:val="3"/>
            <w:shd w:val="clear" w:color="auto" w:fill="auto"/>
          </w:tcPr>
          <w:p w14:paraId="5EA2815C" w14:textId="77777777" w:rsidR="003C66EB" w:rsidRDefault="003C66EB">
            <w:pPr>
              <w:rPr>
                <w:rFonts w:ascii="宋体"/>
                <w:vanish/>
              </w:rPr>
            </w:pPr>
          </w:p>
        </w:tc>
        <w:tc>
          <w:tcPr>
            <w:tcW w:w="0" w:type="auto"/>
            <w:gridSpan w:val="3"/>
            <w:shd w:val="clear" w:color="auto" w:fill="auto"/>
          </w:tcPr>
          <w:p w14:paraId="5EA2815D" w14:textId="77777777" w:rsidR="003C66EB" w:rsidRDefault="003C66EB">
            <w:pPr>
              <w:rPr>
                <w:rFonts w:ascii="宋体"/>
                <w:vanish/>
              </w:rPr>
            </w:pPr>
          </w:p>
        </w:tc>
        <w:tc>
          <w:tcPr>
            <w:tcW w:w="0" w:type="auto"/>
            <w:gridSpan w:val="3"/>
            <w:shd w:val="clear" w:color="auto" w:fill="auto"/>
          </w:tcPr>
          <w:p w14:paraId="5EA2815E" w14:textId="77777777" w:rsidR="003C66EB" w:rsidRDefault="003C66EB">
            <w:pPr>
              <w:rPr>
                <w:rFonts w:ascii="宋体"/>
                <w:vanish/>
              </w:rPr>
            </w:pPr>
          </w:p>
        </w:tc>
        <w:tc>
          <w:tcPr>
            <w:tcW w:w="0" w:type="auto"/>
            <w:shd w:val="clear" w:color="auto" w:fill="auto"/>
          </w:tcPr>
          <w:p w14:paraId="5EA2815F" w14:textId="77777777" w:rsidR="003C66EB" w:rsidRDefault="003C66EB">
            <w:pPr>
              <w:rPr>
                <w:rFonts w:ascii="宋体"/>
              </w:rPr>
            </w:pPr>
          </w:p>
        </w:tc>
        <w:tc>
          <w:tcPr>
            <w:tcW w:w="0" w:type="auto"/>
            <w:shd w:val="clear" w:color="auto" w:fill="auto"/>
          </w:tcPr>
          <w:p w14:paraId="5EA28160" w14:textId="77777777" w:rsidR="003C66EB" w:rsidRDefault="003C66EB">
            <w:pPr>
              <w:rPr>
                <w:rFonts w:ascii="宋体"/>
              </w:rPr>
            </w:pPr>
          </w:p>
        </w:tc>
        <w:tc>
          <w:tcPr>
            <w:tcW w:w="0" w:type="auto"/>
            <w:shd w:val="clear" w:color="auto" w:fill="auto"/>
          </w:tcPr>
          <w:p w14:paraId="5EA28161" w14:textId="77777777" w:rsidR="003C66EB" w:rsidRDefault="003C66EB">
            <w:pPr>
              <w:rPr>
                <w:rFonts w:ascii="宋体"/>
              </w:rPr>
            </w:pPr>
          </w:p>
        </w:tc>
        <w:tc>
          <w:tcPr>
            <w:tcW w:w="0" w:type="auto"/>
            <w:shd w:val="clear" w:color="auto" w:fill="auto"/>
          </w:tcPr>
          <w:p w14:paraId="5EA28162" w14:textId="77777777" w:rsidR="003C66EB" w:rsidRDefault="003C66EB">
            <w:pPr>
              <w:rPr>
                <w:rFonts w:ascii="宋体"/>
              </w:rPr>
            </w:pPr>
          </w:p>
        </w:tc>
        <w:tc>
          <w:tcPr>
            <w:tcW w:w="0" w:type="auto"/>
            <w:shd w:val="clear" w:color="auto" w:fill="auto"/>
          </w:tcPr>
          <w:p w14:paraId="5EA28163" w14:textId="77777777" w:rsidR="003C66EB" w:rsidRDefault="003C66EB">
            <w:pPr>
              <w:rPr>
                <w:rFonts w:ascii="宋体"/>
              </w:rPr>
            </w:pPr>
          </w:p>
        </w:tc>
        <w:tc>
          <w:tcPr>
            <w:tcW w:w="0" w:type="auto"/>
            <w:shd w:val="clear" w:color="auto" w:fill="auto"/>
          </w:tcPr>
          <w:p w14:paraId="5EA28164" w14:textId="77777777" w:rsidR="003C66EB" w:rsidRDefault="003C66EB">
            <w:pPr>
              <w:rPr>
                <w:rFonts w:ascii="宋体"/>
              </w:rPr>
            </w:pPr>
          </w:p>
        </w:tc>
        <w:tc>
          <w:tcPr>
            <w:tcW w:w="0" w:type="auto"/>
            <w:shd w:val="clear" w:color="auto" w:fill="auto"/>
          </w:tcPr>
          <w:p w14:paraId="5EA28165" w14:textId="77777777" w:rsidR="003C66EB" w:rsidRDefault="003C66EB">
            <w:pPr>
              <w:rPr>
                <w:rFonts w:ascii="宋体"/>
              </w:rPr>
            </w:pPr>
          </w:p>
        </w:tc>
        <w:tc>
          <w:tcPr>
            <w:tcW w:w="0" w:type="auto"/>
            <w:shd w:val="clear" w:color="auto" w:fill="auto"/>
          </w:tcPr>
          <w:p w14:paraId="5EA28166" w14:textId="77777777" w:rsidR="003C66EB" w:rsidRDefault="003C66EB">
            <w:pPr>
              <w:rPr>
                <w:rFonts w:ascii="宋体"/>
              </w:rPr>
            </w:pPr>
          </w:p>
        </w:tc>
        <w:tc>
          <w:tcPr>
            <w:tcW w:w="0" w:type="auto"/>
            <w:shd w:val="clear" w:color="auto" w:fill="auto"/>
          </w:tcPr>
          <w:p w14:paraId="5EA28167" w14:textId="77777777" w:rsidR="003C66EB" w:rsidRDefault="003C66EB">
            <w:pPr>
              <w:rPr>
                <w:rFonts w:ascii="宋体"/>
              </w:rPr>
            </w:pPr>
          </w:p>
        </w:tc>
      </w:tr>
      <w:tr w:rsidR="003C66EB" w14:paraId="5EA28178" w14:textId="77777777">
        <w:tc>
          <w:tcPr>
            <w:tcW w:w="0" w:type="auto"/>
            <w:gridSpan w:val="3"/>
            <w:shd w:val="clear" w:color="auto" w:fill="auto"/>
            <w:tcMar>
              <w:top w:w="0" w:type="dxa"/>
              <w:left w:w="20" w:type="dxa"/>
              <w:bottom w:w="0" w:type="dxa"/>
              <w:right w:w="20" w:type="dxa"/>
            </w:tcMar>
          </w:tcPr>
          <w:p w14:paraId="5EA28169"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816A" w14:textId="77777777" w:rsidR="003C66EB" w:rsidRDefault="00D96C4E">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5EA2816B" w14:textId="77777777" w:rsidR="003C66EB" w:rsidRDefault="003C66EB">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A2816C" w14:textId="77777777" w:rsidR="003C66EB" w:rsidRDefault="00D96C4E">
            <w:pPr>
              <w:jc w:val="center"/>
              <w:textAlignment w:val="bottom"/>
            </w:pPr>
            <w:r>
              <w:rPr>
                <w:rFonts w:ascii="Arial" w:eastAsia="宋体" w:hAnsi="Arial" w:cs="Arial"/>
                <w:b/>
                <w:bCs/>
                <w:color w:val="000000"/>
                <w:sz w:val="16"/>
                <w:szCs w:val="16"/>
              </w:rPr>
              <w:t>2020</w:t>
            </w:r>
          </w:p>
        </w:tc>
        <w:tc>
          <w:tcPr>
            <w:tcW w:w="0" w:type="auto"/>
            <w:gridSpan w:val="3"/>
            <w:shd w:val="clear" w:color="auto" w:fill="auto"/>
          </w:tcPr>
          <w:p w14:paraId="5EA2816D" w14:textId="77777777" w:rsidR="003C66EB" w:rsidRDefault="003C66EB">
            <w:pPr>
              <w:rPr>
                <w:rFonts w:ascii="宋体"/>
                <w:vanish/>
              </w:rPr>
            </w:pPr>
          </w:p>
        </w:tc>
        <w:tc>
          <w:tcPr>
            <w:tcW w:w="0" w:type="auto"/>
            <w:gridSpan w:val="3"/>
            <w:shd w:val="clear" w:color="auto" w:fill="auto"/>
          </w:tcPr>
          <w:p w14:paraId="5EA2816E" w14:textId="77777777" w:rsidR="003C66EB" w:rsidRDefault="003C66EB">
            <w:pPr>
              <w:rPr>
                <w:rFonts w:ascii="宋体"/>
                <w:vanish/>
              </w:rPr>
            </w:pPr>
          </w:p>
        </w:tc>
        <w:tc>
          <w:tcPr>
            <w:tcW w:w="0" w:type="auto"/>
            <w:gridSpan w:val="3"/>
            <w:shd w:val="clear" w:color="auto" w:fill="auto"/>
          </w:tcPr>
          <w:p w14:paraId="5EA2816F" w14:textId="77777777" w:rsidR="003C66EB" w:rsidRDefault="003C66EB">
            <w:pPr>
              <w:rPr>
                <w:rFonts w:ascii="宋体"/>
                <w:vanish/>
              </w:rPr>
            </w:pPr>
          </w:p>
        </w:tc>
        <w:tc>
          <w:tcPr>
            <w:tcW w:w="0" w:type="auto"/>
            <w:gridSpan w:val="3"/>
            <w:shd w:val="clear" w:color="auto" w:fill="auto"/>
          </w:tcPr>
          <w:p w14:paraId="5EA28170" w14:textId="77777777" w:rsidR="003C66EB" w:rsidRDefault="003C66EB">
            <w:pPr>
              <w:rPr>
                <w:rFonts w:ascii="宋体"/>
                <w:vanish/>
              </w:rPr>
            </w:pPr>
          </w:p>
        </w:tc>
        <w:tc>
          <w:tcPr>
            <w:tcW w:w="0" w:type="auto"/>
            <w:gridSpan w:val="3"/>
            <w:shd w:val="clear" w:color="auto" w:fill="auto"/>
          </w:tcPr>
          <w:p w14:paraId="5EA28171" w14:textId="77777777" w:rsidR="003C66EB" w:rsidRDefault="003C66EB">
            <w:pPr>
              <w:rPr>
                <w:rFonts w:ascii="宋体"/>
                <w:vanish/>
              </w:rPr>
            </w:pPr>
          </w:p>
        </w:tc>
        <w:tc>
          <w:tcPr>
            <w:tcW w:w="0" w:type="auto"/>
            <w:gridSpan w:val="3"/>
            <w:shd w:val="clear" w:color="auto" w:fill="auto"/>
          </w:tcPr>
          <w:p w14:paraId="5EA28172" w14:textId="77777777" w:rsidR="003C66EB" w:rsidRDefault="003C66EB">
            <w:pPr>
              <w:rPr>
                <w:rFonts w:ascii="宋体"/>
                <w:vanish/>
              </w:rPr>
            </w:pPr>
          </w:p>
        </w:tc>
        <w:tc>
          <w:tcPr>
            <w:tcW w:w="0" w:type="auto"/>
            <w:gridSpan w:val="3"/>
            <w:shd w:val="clear" w:color="auto" w:fill="auto"/>
          </w:tcPr>
          <w:p w14:paraId="5EA28173" w14:textId="77777777" w:rsidR="003C66EB" w:rsidRDefault="003C66EB">
            <w:pPr>
              <w:rPr>
                <w:rFonts w:ascii="宋体"/>
                <w:vanish/>
              </w:rPr>
            </w:pPr>
          </w:p>
        </w:tc>
        <w:tc>
          <w:tcPr>
            <w:tcW w:w="0" w:type="auto"/>
            <w:gridSpan w:val="3"/>
            <w:shd w:val="clear" w:color="auto" w:fill="auto"/>
          </w:tcPr>
          <w:p w14:paraId="5EA28174" w14:textId="77777777" w:rsidR="003C66EB" w:rsidRDefault="003C66EB">
            <w:pPr>
              <w:rPr>
                <w:rFonts w:ascii="宋体"/>
                <w:vanish/>
              </w:rPr>
            </w:pPr>
          </w:p>
        </w:tc>
        <w:tc>
          <w:tcPr>
            <w:tcW w:w="0" w:type="auto"/>
            <w:shd w:val="clear" w:color="auto" w:fill="auto"/>
          </w:tcPr>
          <w:p w14:paraId="5EA28175" w14:textId="77777777" w:rsidR="003C66EB" w:rsidRDefault="003C66EB">
            <w:pPr>
              <w:rPr>
                <w:rFonts w:ascii="宋体"/>
              </w:rPr>
            </w:pPr>
          </w:p>
        </w:tc>
        <w:tc>
          <w:tcPr>
            <w:tcW w:w="0" w:type="auto"/>
            <w:shd w:val="clear" w:color="auto" w:fill="auto"/>
          </w:tcPr>
          <w:p w14:paraId="5EA28176" w14:textId="77777777" w:rsidR="003C66EB" w:rsidRDefault="003C66EB">
            <w:pPr>
              <w:rPr>
                <w:rFonts w:ascii="宋体"/>
              </w:rPr>
            </w:pPr>
          </w:p>
        </w:tc>
        <w:tc>
          <w:tcPr>
            <w:tcW w:w="0" w:type="auto"/>
            <w:shd w:val="clear" w:color="auto" w:fill="auto"/>
          </w:tcPr>
          <w:p w14:paraId="5EA28177" w14:textId="77777777" w:rsidR="003C66EB" w:rsidRDefault="003C66EB">
            <w:pPr>
              <w:rPr>
                <w:rFonts w:ascii="宋体"/>
              </w:rPr>
            </w:pPr>
          </w:p>
        </w:tc>
      </w:tr>
      <w:tr w:rsidR="003C66EB" w14:paraId="5EA2818F" w14:textId="77777777">
        <w:tc>
          <w:tcPr>
            <w:tcW w:w="0" w:type="auto"/>
            <w:gridSpan w:val="3"/>
            <w:shd w:val="clear" w:color="auto" w:fill="auto"/>
            <w:tcMar>
              <w:top w:w="40" w:type="dxa"/>
              <w:left w:w="20" w:type="dxa"/>
              <w:bottom w:w="40" w:type="dxa"/>
              <w:right w:w="20" w:type="dxa"/>
            </w:tcMar>
            <w:vAlign w:val="bottom"/>
          </w:tcPr>
          <w:p w14:paraId="5EA28179" w14:textId="77777777" w:rsidR="003C66EB" w:rsidRDefault="00D96C4E">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17A" w14:textId="77777777" w:rsidR="003C66EB" w:rsidRDefault="00D96C4E">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5EA2817B"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17C" w14:textId="77777777" w:rsidR="003C66EB" w:rsidRDefault="00D96C4E">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tcPr>
          <w:p w14:paraId="5EA2817D"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17E" w14:textId="77777777" w:rsidR="003C66EB" w:rsidRDefault="00D96C4E">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tcPr>
          <w:p w14:paraId="5EA2817F"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180" w14:textId="77777777" w:rsidR="003C66EB" w:rsidRDefault="00D96C4E">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5EA28181"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182" w14:textId="77777777" w:rsidR="003C66EB" w:rsidRDefault="00D96C4E">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tcPr>
          <w:p w14:paraId="5EA28183"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184" w14:textId="77777777" w:rsidR="003C66EB" w:rsidRDefault="00D96C4E">
            <w:pPr>
              <w:jc w:val="center"/>
              <w:textAlignment w:val="bottom"/>
            </w:pPr>
            <w:r>
              <w:rPr>
                <w:rFonts w:ascii="Arial" w:eastAsia="宋体" w:hAnsi="Arial" w:cs="Arial"/>
                <w:b/>
                <w:bCs/>
                <w:color w:val="000000"/>
                <w:sz w:val="16"/>
                <w:szCs w:val="16"/>
              </w:rPr>
              <w:t>Total</w:t>
            </w:r>
          </w:p>
        </w:tc>
        <w:tc>
          <w:tcPr>
            <w:tcW w:w="0" w:type="auto"/>
            <w:gridSpan w:val="3"/>
            <w:shd w:val="clear" w:color="auto" w:fill="auto"/>
          </w:tcPr>
          <w:p w14:paraId="5EA28185" w14:textId="77777777" w:rsidR="003C66EB" w:rsidRDefault="003C66EB">
            <w:pPr>
              <w:rPr>
                <w:rFonts w:ascii="宋体"/>
                <w:vanish/>
              </w:rPr>
            </w:pPr>
          </w:p>
        </w:tc>
        <w:tc>
          <w:tcPr>
            <w:tcW w:w="0" w:type="auto"/>
            <w:gridSpan w:val="3"/>
            <w:shd w:val="clear" w:color="auto" w:fill="auto"/>
          </w:tcPr>
          <w:p w14:paraId="5EA28186" w14:textId="77777777" w:rsidR="003C66EB" w:rsidRDefault="003C66EB">
            <w:pPr>
              <w:rPr>
                <w:rFonts w:ascii="宋体"/>
                <w:vanish/>
              </w:rPr>
            </w:pPr>
          </w:p>
        </w:tc>
        <w:tc>
          <w:tcPr>
            <w:tcW w:w="0" w:type="auto"/>
            <w:gridSpan w:val="3"/>
            <w:shd w:val="clear" w:color="auto" w:fill="auto"/>
          </w:tcPr>
          <w:p w14:paraId="5EA28187" w14:textId="77777777" w:rsidR="003C66EB" w:rsidRDefault="003C66EB">
            <w:pPr>
              <w:rPr>
                <w:rFonts w:ascii="宋体"/>
                <w:vanish/>
              </w:rPr>
            </w:pPr>
          </w:p>
        </w:tc>
        <w:tc>
          <w:tcPr>
            <w:tcW w:w="0" w:type="auto"/>
            <w:gridSpan w:val="3"/>
            <w:shd w:val="clear" w:color="auto" w:fill="auto"/>
          </w:tcPr>
          <w:p w14:paraId="5EA28188" w14:textId="77777777" w:rsidR="003C66EB" w:rsidRDefault="003C66EB">
            <w:pPr>
              <w:rPr>
                <w:rFonts w:ascii="宋体"/>
                <w:vanish/>
              </w:rPr>
            </w:pPr>
          </w:p>
        </w:tc>
        <w:tc>
          <w:tcPr>
            <w:tcW w:w="0" w:type="auto"/>
            <w:gridSpan w:val="3"/>
            <w:shd w:val="clear" w:color="auto" w:fill="auto"/>
          </w:tcPr>
          <w:p w14:paraId="5EA28189" w14:textId="77777777" w:rsidR="003C66EB" w:rsidRDefault="003C66EB">
            <w:pPr>
              <w:rPr>
                <w:rFonts w:ascii="宋体"/>
                <w:vanish/>
              </w:rPr>
            </w:pPr>
          </w:p>
        </w:tc>
        <w:tc>
          <w:tcPr>
            <w:tcW w:w="0" w:type="auto"/>
            <w:gridSpan w:val="3"/>
            <w:shd w:val="clear" w:color="auto" w:fill="auto"/>
          </w:tcPr>
          <w:p w14:paraId="5EA2818A" w14:textId="77777777" w:rsidR="003C66EB" w:rsidRDefault="003C66EB">
            <w:pPr>
              <w:rPr>
                <w:rFonts w:ascii="宋体"/>
                <w:vanish/>
              </w:rPr>
            </w:pPr>
          </w:p>
        </w:tc>
        <w:tc>
          <w:tcPr>
            <w:tcW w:w="0" w:type="auto"/>
            <w:gridSpan w:val="3"/>
            <w:shd w:val="clear" w:color="auto" w:fill="auto"/>
          </w:tcPr>
          <w:p w14:paraId="5EA2818B" w14:textId="77777777" w:rsidR="003C66EB" w:rsidRDefault="003C66EB">
            <w:pPr>
              <w:rPr>
                <w:rFonts w:ascii="宋体"/>
                <w:vanish/>
              </w:rPr>
            </w:pPr>
          </w:p>
        </w:tc>
        <w:tc>
          <w:tcPr>
            <w:tcW w:w="0" w:type="auto"/>
            <w:gridSpan w:val="3"/>
            <w:shd w:val="clear" w:color="auto" w:fill="auto"/>
          </w:tcPr>
          <w:p w14:paraId="5EA2818C" w14:textId="77777777" w:rsidR="003C66EB" w:rsidRDefault="003C66EB">
            <w:pPr>
              <w:rPr>
                <w:rFonts w:ascii="宋体"/>
                <w:vanish/>
              </w:rPr>
            </w:pPr>
          </w:p>
        </w:tc>
        <w:tc>
          <w:tcPr>
            <w:tcW w:w="0" w:type="auto"/>
            <w:gridSpan w:val="2"/>
            <w:shd w:val="clear" w:color="auto" w:fill="auto"/>
          </w:tcPr>
          <w:p w14:paraId="5EA2818D" w14:textId="77777777" w:rsidR="003C66EB" w:rsidRDefault="003C66EB">
            <w:pPr>
              <w:rPr>
                <w:rFonts w:ascii="宋体"/>
                <w:vanish/>
              </w:rPr>
            </w:pPr>
          </w:p>
        </w:tc>
        <w:tc>
          <w:tcPr>
            <w:tcW w:w="0" w:type="auto"/>
            <w:shd w:val="clear" w:color="auto" w:fill="auto"/>
          </w:tcPr>
          <w:p w14:paraId="5EA2818E" w14:textId="77777777" w:rsidR="003C66EB" w:rsidRDefault="003C66EB">
            <w:pPr>
              <w:rPr>
                <w:rFonts w:ascii="宋体"/>
                <w:vanish/>
              </w:rPr>
            </w:pPr>
          </w:p>
        </w:tc>
      </w:tr>
      <w:tr w:rsidR="003C66EB" w14:paraId="5EA281B2" w14:textId="77777777">
        <w:tc>
          <w:tcPr>
            <w:tcW w:w="0" w:type="auto"/>
            <w:gridSpan w:val="3"/>
            <w:shd w:val="clear" w:color="auto" w:fill="CCEEFF"/>
            <w:tcMar>
              <w:top w:w="40" w:type="dxa"/>
              <w:left w:w="20" w:type="dxa"/>
              <w:bottom w:w="40" w:type="dxa"/>
              <w:right w:w="20" w:type="dxa"/>
            </w:tcMar>
            <w:vAlign w:val="bottom"/>
          </w:tcPr>
          <w:p w14:paraId="5EA28190" w14:textId="77777777" w:rsidR="003C66EB" w:rsidRDefault="00D96C4E">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A28191"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8192" w14:textId="77777777" w:rsidR="003C66EB" w:rsidRDefault="00D96C4E">
            <w:pPr>
              <w:jc w:val="right"/>
              <w:textAlignment w:val="bottom"/>
            </w:pPr>
            <w:r>
              <w:rPr>
                <w:rFonts w:ascii="Arial" w:eastAsia="宋体" w:hAnsi="Arial" w:cs="Arial"/>
                <w:b/>
                <w:bCs/>
                <w:color w:val="000000"/>
                <w:sz w:val="16"/>
                <w:szCs w:val="16"/>
              </w:rPr>
              <w:t>1,337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819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19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8195"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8196" w14:textId="77777777" w:rsidR="003C66EB" w:rsidRDefault="00D96C4E">
            <w:pPr>
              <w:jc w:val="right"/>
              <w:textAlignment w:val="bottom"/>
            </w:pPr>
            <w:r>
              <w:rPr>
                <w:rFonts w:ascii="Arial" w:eastAsia="宋体" w:hAnsi="Arial" w:cs="Arial"/>
                <w:b/>
                <w:bCs/>
                <w:color w:val="000000"/>
                <w:sz w:val="16"/>
                <w:szCs w:val="16"/>
              </w:rPr>
              <w:t>1,613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8197"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198"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8199" w14:textId="77777777" w:rsidR="003C66EB" w:rsidRDefault="00D96C4E">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819A" w14:textId="77777777" w:rsidR="003C66EB" w:rsidRDefault="00D96C4E">
            <w:pPr>
              <w:jc w:val="right"/>
              <w:textAlignment w:val="bottom"/>
            </w:pPr>
            <w:r>
              <w:rPr>
                <w:rFonts w:ascii="Arial" w:eastAsia="宋体" w:hAnsi="Arial" w:cs="Arial"/>
                <w:b/>
                <w:bCs/>
                <w:color w:val="000000"/>
                <w:sz w:val="16"/>
                <w:szCs w:val="16"/>
              </w:rPr>
              <w:t>2,950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819B"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19C"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819D"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819E" w14:textId="77777777" w:rsidR="003C66EB" w:rsidRDefault="00D96C4E">
            <w:pPr>
              <w:jc w:val="right"/>
              <w:textAlignment w:val="bottom"/>
            </w:pPr>
            <w:r>
              <w:rPr>
                <w:rFonts w:ascii="Arial" w:eastAsia="宋体" w:hAnsi="Arial" w:cs="Arial"/>
                <w:color w:val="000000"/>
                <w:sz w:val="16"/>
                <w:szCs w:val="16"/>
              </w:rPr>
              <w:t>1,357 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819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1A0"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81A1"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81A2" w14:textId="77777777" w:rsidR="003C66EB" w:rsidRDefault="00D96C4E">
            <w:pPr>
              <w:jc w:val="right"/>
              <w:textAlignment w:val="bottom"/>
            </w:pPr>
            <w:r>
              <w:rPr>
                <w:rFonts w:ascii="Arial" w:eastAsia="宋体" w:hAnsi="Arial" w:cs="Arial"/>
                <w:color w:val="000000"/>
                <w:sz w:val="16"/>
                <w:szCs w:val="16"/>
              </w:rPr>
              <w:t>1,708 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81A3"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1A4" w14:textId="77777777" w:rsidR="003C66EB" w:rsidRDefault="003C66E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A281A5" w14:textId="77777777" w:rsidR="003C66EB" w:rsidRDefault="00D96C4E">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A281A6" w14:textId="77777777" w:rsidR="003C66EB" w:rsidRDefault="00D96C4E">
            <w:pPr>
              <w:jc w:val="right"/>
              <w:textAlignment w:val="bottom"/>
            </w:pPr>
            <w:r>
              <w:rPr>
                <w:rFonts w:ascii="Arial" w:eastAsia="宋体" w:hAnsi="Arial" w:cs="Arial"/>
                <w:color w:val="000000"/>
                <w:sz w:val="16"/>
                <w:szCs w:val="16"/>
              </w:rPr>
              <w:t>3,065 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A281A7" w14:textId="77777777" w:rsidR="003C66EB" w:rsidRDefault="003C66EB">
            <w:pPr>
              <w:jc w:val="right"/>
              <w:rPr>
                <w:rFonts w:ascii="宋体"/>
              </w:rPr>
            </w:pPr>
          </w:p>
        </w:tc>
        <w:tc>
          <w:tcPr>
            <w:tcW w:w="0" w:type="auto"/>
            <w:gridSpan w:val="3"/>
            <w:shd w:val="clear" w:color="auto" w:fill="auto"/>
          </w:tcPr>
          <w:p w14:paraId="5EA281A8" w14:textId="77777777" w:rsidR="003C66EB" w:rsidRDefault="003C66EB">
            <w:pPr>
              <w:rPr>
                <w:rFonts w:ascii="宋体"/>
                <w:vanish/>
              </w:rPr>
            </w:pPr>
          </w:p>
        </w:tc>
        <w:tc>
          <w:tcPr>
            <w:tcW w:w="0" w:type="auto"/>
            <w:gridSpan w:val="3"/>
            <w:shd w:val="clear" w:color="auto" w:fill="auto"/>
          </w:tcPr>
          <w:p w14:paraId="5EA281A9" w14:textId="77777777" w:rsidR="003C66EB" w:rsidRDefault="003C66EB">
            <w:pPr>
              <w:rPr>
                <w:rFonts w:ascii="宋体"/>
                <w:vanish/>
              </w:rPr>
            </w:pPr>
          </w:p>
        </w:tc>
        <w:tc>
          <w:tcPr>
            <w:tcW w:w="0" w:type="auto"/>
            <w:gridSpan w:val="3"/>
            <w:shd w:val="clear" w:color="auto" w:fill="auto"/>
          </w:tcPr>
          <w:p w14:paraId="5EA281AA" w14:textId="77777777" w:rsidR="003C66EB" w:rsidRDefault="003C66EB">
            <w:pPr>
              <w:rPr>
                <w:rFonts w:ascii="宋体"/>
                <w:vanish/>
              </w:rPr>
            </w:pPr>
          </w:p>
        </w:tc>
        <w:tc>
          <w:tcPr>
            <w:tcW w:w="0" w:type="auto"/>
            <w:gridSpan w:val="3"/>
            <w:shd w:val="clear" w:color="auto" w:fill="auto"/>
          </w:tcPr>
          <w:p w14:paraId="5EA281AB" w14:textId="77777777" w:rsidR="003C66EB" w:rsidRDefault="003C66EB">
            <w:pPr>
              <w:rPr>
                <w:rFonts w:ascii="宋体"/>
                <w:vanish/>
              </w:rPr>
            </w:pPr>
          </w:p>
        </w:tc>
        <w:tc>
          <w:tcPr>
            <w:tcW w:w="0" w:type="auto"/>
            <w:gridSpan w:val="3"/>
            <w:shd w:val="clear" w:color="auto" w:fill="auto"/>
          </w:tcPr>
          <w:p w14:paraId="5EA281AC" w14:textId="77777777" w:rsidR="003C66EB" w:rsidRDefault="003C66EB">
            <w:pPr>
              <w:rPr>
                <w:rFonts w:ascii="宋体"/>
                <w:vanish/>
              </w:rPr>
            </w:pPr>
          </w:p>
        </w:tc>
        <w:tc>
          <w:tcPr>
            <w:tcW w:w="0" w:type="auto"/>
            <w:gridSpan w:val="3"/>
            <w:shd w:val="clear" w:color="auto" w:fill="auto"/>
          </w:tcPr>
          <w:p w14:paraId="5EA281AD" w14:textId="77777777" w:rsidR="003C66EB" w:rsidRDefault="003C66EB">
            <w:pPr>
              <w:rPr>
                <w:rFonts w:ascii="宋体"/>
                <w:vanish/>
              </w:rPr>
            </w:pPr>
          </w:p>
        </w:tc>
        <w:tc>
          <w:tcPr>
            <w:tcW w:w="0" w:type="auto"/>
            <w:gridSpan w:val="3"/>
            <w:shd w:val="clear" w:color="auto" w:fill="auto"/>
          </w:tcPr>
          <w:p w14:paraId="5EA281AE" w14:textId="77777777" w:rsidR="003C66EB" w:rsidRDefault="003C66EB">
            <w:pPr>
              <w:rPr>
                <w:rFonts w:ascii="宋体"/>
                <w:vanish/>
              </w:rPr>
            </w:pPr>
          </w:p>
        </w:tc>
        <w:tc>
          <w:tcPr>
            <w:tcW w:w="0" w:type="auto"/>
            <w:gridSpan w:val="3"/>
            <w:shd w:val="clear" w:color="auto" w:fill="auto"/>
          </w:tcPr>
          <w:p w14:paraId="5EA281AF" w14:textId="77777777" w:rsidR="003C66EB" w:rsidRDefault="003C66EB">
            <w:pPr>
              <w:rPr>
                <w:rFonts w:ascii="宋体"/>
                <w:vanish/>
              </w:rPr>
            </w:pPr>
          </w:p>
        </w:tc>
        <w:tc>
          <w:tcPr>
            <w:tcW w:w="0" w:type="auto"/>
            <w:gridSpan w:val="2"/>
            <w:shd w:val="clear" w:color="auto" w:fill="auto"/>
          </w:tcPr>
          <w:p w14:paraId="5EA281B0" w14:textId="77777777" w:rsidR="003C66EB" w:rsidRDefault="003C66EB">
            <w:pPr>
              <w:rPr>
                <w:rFonts w:ascii="宋体"/>
                <w:vanish/>
              </w:rPr>
            </w:pPr>
          </w:p>
        </w:tc>
        <w:tc>
          <w:tcPr>
            <w:tcW w:w="0" w:type="auto"/>
            <w:shd w:val="clear" w:color="auto" w:fill="auto"/>
          </w:tcPr>
          <w:p w14:paraId="5EA281B1" w14:textId="77777777" w:rsidR="003C66EB" w:rsidRDefault="003C66EB">
            <w:pPr>
              <w:rPr>
                <w:rFonts w:ascii="宋体"/>
                <w:vanish/>
              </w:rPr>
            </w:pPr>
          </w:p>
        </w:tc>
      </w:tr>
      <w:tr w:rsidR="003C66EB" w14:paraId="5EA281CF" w14:textId="77777777">
        <w:tc>
          <w:tcPr>
            <w:tcW w:w="0" w:type="auto"/>
            <w:gridSpan w:val="3"/>
            <w:shd w:val="clear" w:color="auto" w:fill="FFFFFF"/>
            <w:tcMar>
              <w:top w:w="40" w:type="dxa"/>
              <w:left w:w="20" w:type="dxa"/>
              <w:bottom w:w="40" w:type="dxa"/>
              <w:right w:w="20" w:type="dxa"/>
            </w:tcMar>
            <w:vAlign w:val="bottom"/>
          </w:tcPr>
          <w:p w14:paraId="5EA281B3" w14:textId="77777777" w:rsidR="003C66EB" w:rsidRDefault="00D96C4E">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5EA281B4" w14:textId="77777777" w:rsidR="003C66EB" w:rsidRDefault="00D96C4E">
            <w:pPr>
              <w:jc w:val="right"/>
              <w:textAlignment w:val="bottom"/>
            </w:pPr>
            <w:r>
              <w:rPr>
                <w:rFonts w:ascii="Arial" w:eastAsia="宋体" w:hAnsi="Arial" w:cs="Arial"/>
                <w:b/>
                <w:bCs/>
                <w:color w:val="000000"/>
                <w:sz w:val="16"/>
                <w:szCs w:val="16"/>
              </w:rPr>
              <w:t>312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1B5"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1B6"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81B7" w14:textId="77777777" w:rsidR="003C66EB" w:rsidRDefault="00D96C4E">
            <w:pPr>
              <w:jc w:val="right"/>
              <w:textAlignment w:val="bottom"/>
            </w:pPr>
            <w:r>
              <w:rPr>
                <w:rFonts w:ascii="Arial" w:eastAsia="宋体" w:hAnsi="Arial" w:cs="Arial"/>
                <w:b/>
                <w:bCs/>
                <w:color w:val="000000"/>
                <w:sz w:val="16"/>
                <w:szCs w:val="16"/>
              </w:rPr>
              <w:t>315</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EA281B8"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1B9" w14:textId="77777777" w:rsidR="003C66EB" w:rsidRDefault="003C66EB">
            <w:pPr>
              <w:rPr>
                <w:rFonts w:ascii="宋体"/>
              </w:rPr>
            </w:pPr>
          </w:p>
        </w:tc>
        <w:tc>
          <w:tcPr>
            <w:tcW w:w="0" w:type="auto"/>
            <w:gridSpan w:val="2"/>
            <w:shd w:val="clear" w:color="auto" w:fill="auto"/>
            <w:tcMar>
              <w:top w:w="40" w:type="dxa"/>
              <w:left w:w="20" w:type="dxa"/>
              <w:bottom w:w="40" w:type="dxa"/>
              <w:right w:w="0" w:type="dxa"/>
            </w:tcMar>
            <w:vAlign w:val="bottom"/>
          </w:tcPr>
          <w:p w14:paraId="5EA281BA" w14:textId="77777777" w:rsidR="003C66EB" w:rsidRDefault="00D96C4E">
            <w:pPr>
              <w:jc w:val="right"/>
              <w:textAlignment w:val="bottom"/>
            </w:pPr>
            <w:r>
              <w:rPr>
                <w:rFonts w:ascii="Arial" w:eastAsia="宋体" w:hAnsi="Arial" w:cs="Arial"/>
                <w:b/>
                <w:bCs/>
                <w:color w:val="000000"/>
                <w:sz w:val="16"/>
                <w:szCs w:val="16"/>
              </w:rPr>
              <w:t>627</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EA281BB"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1BC"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81BD" w14:textId="77777777" w:rsidR="003C66EB" w:rsidRDefault="00D96C4E">
            <w:pPr>
              <w:jc w:val="right"/>
              <w:textAlignment w:val="bottom"/>
            </w:pPr>
            <w:r>
              <w:rPr>
                <w:rFonts w:ascii="Arial" w:eastAsia="宋体" w:hAnsi="Arial" w:cs="Arial"/>
                <w:color w:val="000000"/>
                <w:sz w:val="16"/>
                <w:szCs w:val="16"/>
              </w:rPr>
              <w:t>339 </w:t>
            </w:r>
          </w:p>
        </w:tc>
        <w:tc>
          <w:tcPr>
            <w:tcW w:w="0" w:type="auto"/>
            <w:shd w:val="clear" w:color="auto" w:fill="FFFFFF"/>
            <w:tcMar>
              <w:top w:w="40" w:type="dxa"/>
              <w:left w:w="0" w:type="dxa"/>
              <w:bottom w:w="40" w:type="dxa"/>
              <w:right w:w="20" w:type="dxa"/>
            </w:tcMar>
            <w:vAlign w:val="bottom"/>
          </w:tcPr>
          <w:p w14:paraId="5EA281B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1B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81C0" w14:textId="77777777" w:rsidR="003C66EB" w:rsidRDefault="00D96C4E">
            <w:pPr>
              <w:jc w:val="right"/>
              <w:textAlignment w:val="bottom"/>
            </w:pPr>
            <w:r>
              <w:rPr>
                <w:rFonts w:ascii="Arial" w:eastAsia="宋体" w:hAnsi="Arial" w:cs="Arial"/>
                <w:color w:val="000000"/>
                <w:sz w:val="16"/>
                <w:szCs w:val="16"/>
              </w:rPr>
              <w:t>435 </w:t>
            </w:r>
          </w:p>
        </w:tc>
        <w:tc>
          <w:tcPr>
            <w:tcW w:w="0" w:type="auto"/>
            <w:shd w:val="clear" w:color="auto" w:fill="FFFFFF"/>
            <w:tcMar>
              <w:top w:w="40" w:type="dxa"/>
              <w:left w:w="0" w:type="dxa"/>
              <w:bottom w:w="40" w:type="dxa"/>
              <w:right w:w="20" w:type="dxa"/>
            </w:tcMar>
            <w:vAlign w:val="bottom"/>
          </w:tcPr>
          <w:p w14:paraId="5EA281C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1C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81C3" w14:textId="77777777" w:rsidR="003C66EB" w:rsidRDefault="00D96C4E">
            <w:pPr>
              <w:jc w:val="right"/>
              <w:textAlignment w:val="bottom"/>
            </w:pPr>
            <w:r>
              <w:rPr>
                <w:rFonts w:ascii="Arial" w:eastAsia="宋体" w:hAnsi="Arial" w:cs="Arial"/>
                <w:color w:val="000000"/>
                <w:sz w:val="16"/>
                <w:szCs w:val="16"/>
              </w:rPr>
              <w:t>774 </w:t>
            </w:r>
          </w:p>
        </w:tc>
        <w:tc>
          <w:tcPr>
            <w:tcW w:w="0" w:type="auto"/>
            <w:shd w:val="clear" w:color="auto" w:fill="FFFFFF"/>
            <w:tcMar>
              <w:top w:w="40" w:type="dxa"/>
              <w:left w:w="0" w:type="dxa"/>
              <w:bottom w:w="40" w:type="dxa"/>
              <w:right w:w="20" w:type="dxa"/>
            </w:tcMar>
            <w:vAlign w:val="bottom"/>
          </w:tcPr>
          <w:p w14:paraId="5EA281C4" w14:textId="77777777" w:rsidR="003C66EB" w:rsidRDefault="003C66EB">
            <w:pPr>
              <w:jc w:val="right"/>
              <w:rPr>
                <w:rFonts w:ascii="宋体"/>
              </w:rPr>
            </w:pPr>
          </w:p>
        </w:tc>
        <w:tc>
          <w:tcPr>
            <w:tcW w:w="0" w:type="auto"/>
            <w:gridSpan w:val="3"/>
            <w:shd w:val="clear" w:color="auto" w:fill="auto"/>
          </w:tcPr>
          <w:p w14:paraId="5EA281C5" w14:textId="77777777" w:rsidR="003C66EB" w:rsidRDefault="003C66EB">
            <w:pPr>
              <w:rPr>
                <w:rFonts w:ascii="宋体"/>
                <w:vanish/>
              </w:rPr>
            </w:pPr>
          </w:p>
        </w:tc>
        <w:tc>
          <w:tcPr>
            <w:tcW w:w="0" w:type="auto"/>
            <w:gridSpan w:val="3"/>
            <w:shd w:val="clear" w:color="auto" w:fill="auto"/>
          </w:tcPr>
          <w:p w14:paraId="5EA281C6" w14:textId="77777777" w:rsidR="003C66EB" w:rsidRDefault="003C66EB">
            <w:pPr>
              <w:rPr>
                <w:rFonts w:ascii="宋体"/>
                <w:vanish/>
              </w:rPr>
            </w:pPr>
          </w:p>
        </w:tc>
        <w:tc>
          <w:tcPr>
            <w:tcW w:w="0" w:type="auto"/>
            <w:gridSpan w:val="3"/>
            <w:shd w:val="clear" w:color="auto" w:fill="auto"/>
          </w:tcPr>
          <w:p w14:paraId="5EA281C7" w14:textId="77777777" w:rsidR="003C66EB" w:rsidRDefault="003C66EB">
            <w:pPr>
              <w:rPr>
                <w:rFonts w:ascii="宋体"/>
                <w:vanish/>
              </w:rPr>
            </w:pPr>
          </w:p>
        </w:tc>
        <w:tc>
          <w:tcPr>
            <w:tcW w:w="0" w:type="auto"/>
            <w:gridSpan w:val="3"/>
            <w:shd w:val="clear" w:color="auto" w:fill="auto"/>
          </w:tcPr>
          <w:p w14:paraId="5EA281C8" w14:textId="77777777" w:rsidR="003C66EB" w:rsidRDefault="003C66EB">
            <w:pPr>
              <w:rPr>
                <w:rFonts w:ascii="宋体"/>
                <w:vanish/>
              </w:rPr>
            </w:pPr>
          </w:p>
        </w:tc>
        <w:tc>
          <w:tcPr>
            <w:tcW w:w="0" w:type="auto"/>
            <w:gridSpan w:val="3"/>
            <w:shd w:val="clear" w:color="auto" w:fill="auto"/>
          </w:tcPr>
          <w:p w14:paraId="5EA281C9" w14:textId="77777777" w:rsidR="003C66EB" w:rsidRDefault="003C66EB">
            <w:pPr>
              <w:rPr>
                <w:rFonts w:ascii="宋体"/>
                <w:vanish/>
              </w:rPr>
            </w:pPr>
          </w:p>
        </w:tc>
        <w:tc>
          <w:tcPr>
            <w:tcW w:w="0" w:type="auto"/>
            <w:gridSpan w:val="3"/>
            <w:shd w:val="clear" w:color="auto" w:fill="auto"/>
          </w:tcPr>
          <w:p w14:paraId="5EA281CA" w14:textId="77777777" w:rsidR="003C66EB" w:rsidRDefault="003C66EB">
            <w:pPr>
              <w:rPr>
                <w:rFonts w:ascii="宋体"/>
                <w:vanish/>
              </w:rPr>
            </w:pPr>
          </w:p>
        </w:tc>
        <w:tc>
          <w:tcPr>
            <w:tcW w:w="0" w:type="auto"/>
            <w:gridSpan w:val="3"/>
            <w:shd w:val="clear" w:color="auto" w:fill="auto"/>
          </w:tcPr>
          <w:p w14:paraId="5EA281CB" w14:textId="77777777" w:rsidR="003C66EB" w:rsidRDefault="003C66EB">
            <w:pPr>
              <w:rPr>
                <w:rFonts w:ascii="宋体"/>
                <w:vanish/>
              </w:rPr>
            </w:pPr>
          </w:p>
        </w:tc>
        <w:tc>
          <w:tcPr>
            <w:tcW w:w="0" w:type="auto"/>
            <w:gridSpan w:val="3"/>
            <w:shd w:val="clear" w:color="auto" w:fill="auto"/>
          </w:tcPr>
          <w:p w14:paraId="5EA281CC" w14:textId="77777777" w:rsidR="003C66EB" w:rsidRDefault="003C66EB">
            <w:pPr>
              <w:rPr>
                <w:rFonts w:ascii="宋体"/>
                <w:vanish/>
              </w:rPr>
            </w:pPr>
          </w:p>
        </w:tc>
        <w:tc>
          <w:tcPr>
            <w:tcW w:w="0" w:type="auto"/>
            <w:gridSpan w:val="2"/>
            <w:shd w:val="clear" w:color="auto" w:fill="auto"/>
          </w:tcPr>
          <w:p w14:paraId="5EA281CD" w14:textId="77777777" w:rsidR="003C66EB" w:rsidRDefault="003C66EB">
            <w:pPr>
              <w:rPr>
                <w:rFonts w:ascii="宋体"/>
                <w:vanish/>
              </w:rPr>
            </w:pPr>
          </w:p>
        </w:tc>
        <w:tc>
          <w:tcPr>
            <w:tcW w:w="0" w:type="auto"/>
            <w:shd w:val="clear" w:color="auto" w:fill="auto"/>
          </w:tcPr>
          <w:p w14:paraId="5EA281CE" w14:textId="77777777" w:rsidR="003C66EB" w:rsidRDefault="003C66EB">
            <w:pPr>
              <w:rPr>
                <w:rFonts w:ascii="宋体"/>
                <w:vanish/>
              </w:rPr>
            </w:pPr>
          </w:p>
        </w:tc>
      </w:tr>
    </w:tbl>
    <w:p w14:paraId="5EA281D0"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3C66EB" w14:paraId="5EA281DA" w14:textId="77777777">
        <w:tc>
          <w:tcPr>
            <w:tcW w:w="50" w:type="pct"/>
            <w:shd w:val="clear" w:color="auto" w:fill="auto"/>
          </w:tcPr>
          <w:p w14:paraId="5EA281D1" w14:textId="77777777" w:rsidR="003C66EB" w:rsidRDefault="003C66EB">
            <w:pPr>
              <w:rPr>
                <w:rFonts w:ascii="宋体"/>
              </w:rPr>
            </w:pPr>
          </w:p>
        </w:tc>
        <w:tc>
          <w:tcPr>
            <w:tcW w:w="1348" w:type="pct"/>
            <w:shd w:val="clear" w:color="auto" w:fill="auto"/>
          </w:tcPr>
          <w:p w14:paraId="5EA281D2" w14:textId="77777777" w:rsidR="003C66EB" w:rsidRDefault="003C66EB">
            <w:pPr>
              <w:rPr>
                <w:rFonts w:ascii="宋体"/>
              </w:rPr>
            </w:pPr>
          </w:p>
        </w:tc>
        <w:tc>
          <w:tcPr>
            <w:tcW w:w="5" w:type="pct"/>
            <w:shd w:val="clear" w:color="auto" w:fill="auto"/>
          </w:tcPr>
          <w:p w14:paraId="5EA281D3" w14:textId="77777777" w:rsidR="003C66EB" w:rsidRDefault="003C66EB">
            <w:pPr>
              <w:rPr>
                <w:rFonts w:ascii="宋体"/>
              </w:rPr>
            </w:pPr>
          </w:p>
        </w:tc>
        <w:tc>
          <w:tcPr>
            <w:tcW w:w="50" w:type="pct"/>
            <w:shd w:val="clear" w:color="auto" w:fill="auto"/>
          </w:tcPr>
          <w:p w14:paraId="5EA281D4" w14:textId="77777777" w:rsidR="003C66EB" w:rsidRDefault="003C66EB">
            <w:pPr>
              <w:rPr>
                <w:rFonts w:ascii="宋体"/>
              </w:rPr>
            </w:pPr>
          </w:p>
        </w:tc>
        <w:tc>
          <w:tcPr>
            <w:tcW w:w="2569" w:type="pct"/>
            <w:shd w:val="clear" w:color="auto" w:fill="auto"/>
          </w:tcPr>
          <w:p w14:paraId="5EA281D5" w14:textId="77777777" w:rsidR="003C66EB" w:rsidRDefault="003C66EB">
            <w:pPr>
              <w:rPr>
                <w:rFonts w:ascii="宋体"/>
              </w:rPr>
            </w:pPr>
          </w:p>
        </w:tc>
        <w:tc>
          <w:tcPr>
            <w:tcW w:w="5" w:type="pct"/>
            <w:shd w:val="clear" w:color="auto" w:fill="auto"/>
          </w:tcPr>
          <w:p w14:paraId="5EA281D6" w14:textId="77777777" w:rsidR="003C66EB" w:rsidRDefault="003C66EB">
            <w:pPr>
              <w:rPr>
                <w:rFonts w:ascii="宋体"/>
              </w:rPr>
            </w:pPr>
          </w:p>
        </w:tc>
        <w:tc>
          <w:tcPr>
            <w:tcW w:w="50" w:type="pct"/>
            <w:shd w:val="clear" w:color="auto" w:fill="auto"/>
          </w:tcPr>
          <w:p w14:paraId="5EA281D7" w14:textId="77777777" w:rsidR="003C66EB" w:rsidRDefault="003C66EB">
            <w:pPr>
              <w:rPr>
                <w:rFonts w:ascii="宋体"/>
              </w:rPr>
            </w:pPr>
          </w:p>
        </w:tc>
        <w:tc>
          <w:tcPr>
            <w:tcW w:w="917" w:type="pct"/>
            <w:shd w:val="clear" w:color="auto" w:fill="auto"/>
          </w:tcPr>
          <w:p w14:paraId="5EA281D8" w14:textId="77777777" w:rsidR="003C66EB" w:rsidRDefault="003C66EB">
            <w:pPr>
              <w:rPr>
                <w:rFonts w:ascii="宋体"/>
              </w:rPr>
            </w:pPr>
          </w:p>
        </w:tc>
        <w:tc>
          <w:tcPr>
            <w:tcW w:w="5" w:type="pct"/>
            <w:shd w:val="clear" w:color="auto" w:fill="auto"/>
          </w:tcPr>
          <w:p w14:paraId="5EA281D9" w14:textId="77777777" w:rsidR="003C66EB" w:rsidRDefault="003C66EB">
            <w:pPr>
              <w:rPr>
                <w:rFonts w:ascii="宋体"/>
              </w:rPr>
            </w:pPr>
          </w:p>
        </w:tc>
      </w:tr>
      <w:tr w:rsidR="003C66EB" w14:paraId="5EA281D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81D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1D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1DD" w14:textId="77777777" w:rsidR="003C66EB" w:rsidRDefault="003C66EB">
            <w:pPr>
              <w:rPr>
                <w:rFonts w:ascii="宋体"/>
              </w:rPr>
            </w:pPr>
          </w:p>
        </w:tc>
      </w:tr>
    </w:tbl>
    <w:p w14:paraId="5EA281DF" w14:textId="77777777" w:rsidR="003C66EB" w:rsidRDefault="00D96C4E">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Geographic mix is generally based on the domicile of the entity servicing the funds and is not necessarily representative of the underlying asset mix.</w:t>
      </w:r>
    </w:p>
    <w:p w14:paraId="5EA281E0" w14:textId="77777777" w:rsidR="003C66EB" w:rsidRDefault="00D96C4E">
      <w:pPr>
        <w:spacing w:before="60" w:after="60"/>
        <w:ind w:firstLine="450"/>
        <w:jc w:val="both"/>
      </w:pPr>
      <w:r>
        <w:rPr>
          <w:rFonts w:ascii="Arial" w:eastAsia="宋体" w:hAnsi="Arial" w:cs="Arial"/>
          <w:color w:val="000000"/>
          <w:sz w:val="20"/>
          <w:szCs w:val="20"/>
        </w:rPr>
        <w:t>Non-U.S. assets were $106.25 billion and $104.44 billion as of March 31, 2021 and 2020, respectively.</w:t>
      </w:r>
    </w:p>
    <w:p w14:paraId="5EA281E1" w14:textId="77777777" w:rsidR="003C66EB" w:rsidRDefault="00D96C4E">
      <w:pPr>
        <w:ind w:firstLine="450"/>
        <w:jc w:val="right"/>
      </w:pPr>
      <w:r>
        <w:rPr>
          <w:rFonts w:ascii="Arial" w:eastAsia="宋体" w:hAnsi="Arial" w:cs="Arial"/>
          <w:color w:val="000000"/>
          <w:sz w:val="18"/>
          <w:szCs w:val="18"/>
        </w:rPr>
        <w:t>Sta</w:t>
      </w:r>
      <w:r>
        <w:rPr>
          <w:rFonts w:ascii="Arial" w:eastAsia="宋体" w:hAnsi="Arial" w:cs="Arial"/>
          <w:color w:val="000000"/>
          <w:sz w:val="18"/>
          <w:szCs w:val="18"/>
        </w:rPr>
        <w:t>te Street Corporation | 85</w:t>
      </w:r>
    </w:p>
    <w:p w14:paraId="5EA281E2" w14:textId="77777777" w:rsidR="003C66EB" w:rsidRDefault="003C66EB">
      <w:pPr>
        <w:ind w:firstLine="450"/>
        <w:jc w:val="center"/>
      </w:pPr>
    </w:p>
    <w:p w14:paraId="5EA281E3" w14:textId="77777777" w:rsidR="003C66EB" w:rsidRDefault="00D96C4E">
      <w:r>
        <w:pict w14:anchorId="5EA28805">
          <v:rect id="_x0000_i1109" style="width:415.3pt;height:1.5pt" o:hralign="center" o:hrstd="t" o:hr="t" fillcolor="#a0a0a0" stroked="f"/>
        </w:pict>
      </w:r>
    </w:p>
    <w:p w14:paraId="5EA281E4" w14:textId="77777777" w:rsidR="003C66EB" w:rsidRDefault="003C66EB">
      <w:pPr>
        <w:ind w:firstLine="450"/>
      </w:pPr>
    </w:p>
    <w:p w14:paraId="5EA281E5" w14:textId="77777777" w:rsidR="003C66EB" w:rsidRDefault="00D96C4E">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5EA281E6" w14:textId="77777777" w:rsidR="003C66EB" w:rsidRDefault="003C66EB"/>
    <w:p w14:paraId="5EA281E7" w14:textId="77777777" w:rsidR="003C66EB" w:rsidRDefault="00D96C4E">
      <w:r>
        <w:rPr>
          <w:rFonts w:ascii="Arial" w:eastAsia="宋体" w:hAnsi="Arial" w:cs="Arial"/>
          <w:color w:val="000000"/>
          <w:sz w:val="20"/>
          <w:szCs w:val="20"/>
        </w:rPr>
        <w:t xml:space="preserve">The Shareholders and Board of Directors of State Street Corporation </w:t>
      </w:r>
    </w:p>
    <w:p w14:paraId="5EA281E8" w14:textId="77777777" w:rsidR="003C66EB" w:rsidRDefault="00D96C4E">
      <w:pPr>
        <w:spacing w:before="180"/>
      </w:pPr>
      <w:r>
        <w:rPr>
          <w:rFonts w:ascii="Arial" w:eastAsia="宋体" w:hAnsi="Arial" w:cs="Arial"/>
          <w:b/>
          <w:bCs/>
          <w:color w:val="000000"/>
          <w:sz w:val="20"/>
          <w:szCs w:val="20"/>
        </w:rPr>
        <w:t>Results of Review of Interim Financial Statements</w:t>
      </w:r>
    </w:p>
    <w:p w14:paraId="5EA281E9" w14:textId="77777777" w:rsidR="003C66EB" w:rsidRDefault="00D96C4E">
      <w:pPr>
        <w:spacing w:before="120"/>
        <w:jc w:val="both"/>
      </w:pPr>
      <w:r>
        <w:rPr>
          <w:rFonts w:ascii="Arial" w:eastAsia="宋体" w:hAnsi="Arial" w:cs="Arial"/>
          <w:color w:val="000000"/>
          <w:sz w:val="20"/>
          <w:szCs w:val="20"/>
        </w:rPr>
        <w:t xml:space="preserve">We have reviewed the </w:t>
      </w:r>
      <w:r>
        <w:rPr>
          <w:rFonts w:ascii="Arial" w:eastAsia="宋体" w:hAnsi="Arial" w:cs="Arial"/>
          <w:color w:val="000000"/>
          <w:sz w:val="20"/>
          <w:szCs w:val="20"/>
        </w:rPr>
        <w:t>accompanying consolidated statement of condition of State Street Corporation (the “Corporation”) as of March 31, 2021, and the related consolidated statements of income, comprehensive income, changes in shareholders' equity and cash flows for the three-mon</w:t>
      </w:r>
      <w:r>
        <w:rPr>
          <w:rFonts w:ascii="Arial" w:eastAsia="宋体" w:hAnsi="Arial" w:cs="Arial"/>
          <w:color w:val="000000"/>
          <w:sz w:val="20"/>
          <w:szCs w:val="20"/>
        </w:rPr>
        <w:t>th periods ended March 31, 2021 and 2020, and the related condensed notes (collectively referred to as the “condensed consolidated interim financial statements”). Based on our reviews, we are not aware of any material modifications that should be made to t</w:t>
      </w:r>
      <w:r>
        <w:rPr>
          <w:rFonts w:ascii="Arial" w:eastAsia="宋体" w:hAnsi="Arial" w:cs="Arial"/>
          <w:color w:val="000000"/>
          <w:sz w:val="20"/>
          <w:szCs w:val="20"/>
        </w:rPr>
        <w:t>he condensed consolidated interim financial statements for them to be in conformity with U.S. generally accepted accounting principles.</w:t>
      </w:r>
    </w:p>
    <w:p w14:paraId="5EA281EA" w14:textId="77777777" w:rsidR="003C66EB" w:rsidRDefault="00D96C4E">
      <w:pPr>
        <w:spacing w:before="120"/>
        <w:jc w:val="both"/>
      </w:pPr>
      <w:r>
        <w:rPr>
          <w:rFonts w:ascii="Arial" w:eastAsia="宋体" w:hAnsi="Arial" w:cs="Arial"/>
          <w:color w:val="000000"/>
          <w:sz w:val="20"/>
          <w:szCs w:val="20"/>
        </w:rPr>
        <w:t xml:space="preserve">We have previously audited, in accordance with the standards of the Public Company Accounting Oversight Board </w:t>
      </w:r>
      <w:r>
        <w:rPr>
          <w:rFonts w:ascii="Arial" w:eastAsia="宋体" w:hAnsi="Arial" w:cs="Arial"/>
          <w:color w:val="000000"/>
          <w:sz w:val="20"/>
          <w:szCs w:val="20"/>
        </w:rPr>
        <w:t xml:space="preserve">(United States) ("PCAOB"), the consolidated statement of condition of the Corporation as of December 31, 2020, the related consolidated statements of income, comprehensive income, changes in shareholders' equity and cash flows for the year then ended, and </w:t>
      </w:r>
      <w:r>
        <w:rPr>
          <w:rFonts w:ascii="Arial" w:eastAsia="宋体" w:hAnsi="Arial" w:cs="Arial"/>
          <w:color w:val="000000"/>
          <w:sz w:val="20"/>
          <w:szCs w:val="20"/>
        </w:rPr>
        <w:t xml:space="preserve">the related notes (not presented herein); and in our report dated February 19, 2021, we expressed an unqualified audit opinion on those consolidated financial statements. In our opinion, the information set forth in the accompanying consolidated statement </w:t>
      </w:r>
      <w:r>
        <w:rPr>
          <w:rFonts w:ascii="Arial" w:eastAsia="宋体" w:hAnsi="Arial" w:cs="Arial"/>
          <w:color w:val="000000"/>
          <w:sz w:val="20"/>
          <w:szCs w:val="20"/>
        </w:rPr>
        <w:t>of condition as of December 31, 2020, is fairly stated, in all material respects, in relation to the consolidated statement of condition from which it has been derived.</w:t>
      </w:r>
    </w:p>
    <w:p w14:paraId="5EA281EB" w14:textId="77777777" w:rsidR="003C66EB" w:rsidRDefault="00D96C4E">
      <w:pPr>
        <w:spacing w:before="180"/>
      </w:pPr>
      <w:r>
        <w:rPr>
          <w:rFonts w:ascii="Arial" w:eastAsia="宋体" w:hAnsi="Arial" w:cs="Arial"/>
          <w:b/>
          <w:bCs/>
          <w:color w:val="000000"/>
          <w:sz w:val="20"/>
          <w:szCs w:val="20"/>
        </w:rPr>
        <w:t>Basis for Review Results</w:t>
      </w:r>
    </w:p>
    <w:p w14:paraId="5EA281EC" w14:textId="77777777" w:rsidR="003C66EB" w:rsidRDefault="003C66EB">
      <w:pPr>
        <w:jc w:val="both"/>
      </w:pPr>
    </w:p>
    <w:p w14:paraId="5EA281ED" w14:textId="77777777" w:rsidR="003C66EB" w:rsidRDefault="00D96C4E">
      <w:pPr>
        <w:jc w:val="both"/>
      </w:pPr>
      <w:r>
        <w:rPr>
          <w:rFonts w:ascii="Arial" w:eastAsia="宋体" w:hAnsi="Arial" w:cs="Arial"/>
          <w:color w:val="000000"/>
          <w:sz w:val="20"/>
          <w:szCs w:val="20"/>
        </w:rPr>
        <w:t>These financial statements are the responsibility of the Corp</w:t>
      </w:r>
      <w:r>
        <w:rPr>
          <w:rFonts w:ascii="Arial" w:eastAsia="宋体" w:hAnsi="Arial" w:cs="Arial"/>
          <w:color w:val="000000"/>
          <w:sz w:val="20"/>
          <w:szCs w:val="20"/>
        </w:rPr>
        <w:t>oration’s management. We are a public accounting firm registered with the PCAOB and are required to be independent with respect to the Corporation in accordance with the U.S. federal securities laws and the applicable rules and regulations of the SEC and t</w:t>
      </w:r>
      <w:r>
        <w:rPr>
          <w:rFonts w:ascii="Arial" w:eastAsia="宋体" w:hAnsi="Arial" w:cs="Arial"/>
          <w:color w:val="000000"/>
          <w:sz w:val="20"/>
          <w:szCs w:val="20"/>
        </w:rPr>
        <w:t>he PCAOB. We conducted our review in accordance with the standards of the PCAOB. A review of interim financial statements consists principally of applying analytical procedures and making inquiries of persons responsible for financial and accounting matter</w:t>
      </w:r>
      <w:r>
        <w:rPr>
          <w:rFonts w:ascii="Arial" w:eastAsia="宋体" w:hAnsi="Arial" w:cs="Arial"/>
          <w:color w:val="000000"/>
          <w:sz w:val="20"/>
          <w:szCs w:val="20"/>
        </w:rPr>
        <w:t>s. It is substantially less in scope than an audit conducted in accordance with the standards of the PCAOB, the objective of which is the expression of an opinion regarding the financial statements taken as a whole. Accordingly, we do not express such an o</w:t>
      </w:r>
      <w:r>
        <w:rPr>
          <w:rFonts w:ascii="Arial" w:eastAsia="宋体" w:hAnsi="Arial" w:cs="Arial"/>
          <w:color w:val="000000"/>
          <w:sz w:val="20"/>
          <w:szCs w:val="20"/>
        </w:rPr>
        <w:t>pinion.</w:t>
      </w:r>
    </w:p>
    <w:p w14:paraId="5EA281EE" w14:textId="77777777" w:rsidR="003C66EB" w:rsidRDefault="003C66EB">
      <w:pPr>
        <w:spacing w:before="120"/>
        <w:ind w:firstLine="450"/>
        <w:jc w:val="both"/>
      </w:pPr>
    </w:p>
    <w:p w14:paraId="5EA281EF" w14:textId="77777777" w:rsidR="003C66EB" w:rsidRDefault="003C66EB">
      <w:pPr>
        <w:spacing w:before="180"/>
      </w:pPr>
    </w:p>
    <w:p w14:paraId="5EA281F0" w14:textId="77777777" w:rsidR="003C66EB" w:rsidRDefault="003C66EB">
      <w:pPr>
        <w:spacing w:before="90"/>
        <w:ind w:firstLine="450"/>
      </w:pPr>
    </w:p>
    <w:p w14:paraId="5EA281F1" w14:textId="77777777" w:rsidR="003C66EB" w:rsidRDefault="00D96C4E">
      <w:pPr>
        <w:spacing w:before="90"/>
        <w:ind w:firstLine="450"/>
      </w:pPr>
      <w:r>
        <w:rPr>
          <w:rFonts w:ascii="Arial" w:eastAsia="宋体" w:hAnsi="Arial" w:cs="Arial"/>
          <w:color w:val="000000"/>
          <w:sz w:val="20"/>
          <w:szCs w:val="20"/>
        </w:rPr>
        <w:t xml:space="preserve">/s/ Ernst &amp; Young LLP </w:t>
      </w:r>
    </w:p>
    <w:p w14:paraId="5EA281F2" w14:textId="77777777" w:rsidR="003C66EB" w:rsidRDefault="003C66EB">
      <w:pPr>
        <w:spacing w:before="90"/>
        <w:ind w:firstLine="450"/>
      </w:pPr>
    </w:p>
    <w:p w14:paraId="5EA281F3" w14:textId="77777777" w:rsidR="003C66EB" w:rsidRDefault="00D96C4E">
      <w:pPr>
        <w:spacing w:before="90"/>
        <w:ind w:firstLine="450"/>
      </w:pPr>
      <w:r>
        <w:rPr>
          <w:rFonts w:ascii="Arial" w:eastAsia="宋体" w:hAnsi="Arial" w:cs="Arial"/>
          <w:color w:val="000000"/>
          <w:sz w:val="20"/>
          <w:szCs w:val="20"/>
        </w:rPr>
        <w:t>Boston, Massachusetts</w:t>
      </w:r>
    </w:p>
    <w:p w14:paraId="5EA281F4" w14:textId="77777777" w:rsidR="003C66EB" w:rsidRDefault="00D96C4E">
      <w:pPr>
        <w:ind w:firstLine="450"/>
      </w:pPr>
      <w:r>
        <w:rPr>
          <w:rFonts w:ascii="Arial" w:eastAsia="宋体" w:hAnsi="Arial" w:cs="Arial"/>
          <w:color w:val="000000"/>
          <w:sz w:val="20"/>
          <w:szCs w:val="20"/>
        </w:rPr>
        <w:t xml:space="preserve">April 23, 2021 </w:t>
      </w:r>
    </w:p>
    <w:p w14:paraId="5EA281F5" w14:textId="77777777" w:rsidR="003C66EB" w:rsidRDefault="003C66EB">
      <w:pPr>
        <w:spacing w:before="90"/>
        <w:ind w:firstLine="450"/>
      </w:pPr>
    </w:p>
    <w:p w14:paraId="5EA281F6" w14:textId="77777777" w:rsidR="003C66EB" w:rsidRDefault="00D96C4E">
      <w:pPr>
        <w:ind w:firstLine="450"/>
        <w:jc w:val="right"/>
      </w:pPr>
      <w:r>
        <w:rPr>
          <w:rFonts w:ascii="Arial" w:eastAsia="宋体" w:hAnsi="Arial" w:cs="Arial"/>
          <w:color w:val="000000"/>
          <w:sz w:val="18"/>
          <w:szCs w:val="18"/>
        </w:rPr>
        <w:t>State Street Corporation | 86</w:t>
      </w:r>
    </w:p>
    <w:p w14:paraId="5EA281F7" w14:textId="77777777" w:rsidR="003C66EB" w:rsidRDefault="003C66EB">
      <w:pPr>
        <w:ind w:firstLine="450"/>
        <w:jc w:val="center"/>
      </w:pPr>
    </w:p>
    <w:p w14:paraId="5EA281F8" w14:textId="77777777" w:rsidR="003C66EB" w:rsidRDefault="00D96C4E">
      <w:r>
        <w:pict w14:anchorId="5EA28806">
          <v:rect id="_x0000_i1110" style="width:415.3pt;height:1.5pt" o:hralign="center" o:hrstd="t" o:hr="t" fillcolor="#a0a0a0" stroked="f"/>
        </w:pict>
      </w:r>
    </w:p>
    <w:p w14:paraId="5EA281F9" w14:textId="77777777" w:rsidR="003C66EB" w:rsidRDefault="003C66EB">
      <w:pPr>
        <w:ind w:firstLine="450"/>
      </w:pPr>
    </w:p>
    <w:p w14:paraId="5EA281FA" w14:textId="77777777" w:rsidR="003C66EB" w:rsidRDefault="003C66EB">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71"/>
        <w:gridCol w:w="852"/>
        <w:gridCol w:w="37"/>
        <w:gridCol w:w="68"/>
        <w:gridCol w:w="3124"/>
        <w:gridCol w:w="38"/>
        <w:gridCol w:w="68"/>
        <w:gridCol w:w="867"/>
        <w:gridCol w:w="39"/>
        <w:gridCol w:w="69"/>
        <w:gridCol w:w="3064"/>
        <w:gridCol w:w="39"/>
      </w:tblGrid>
      <w:tr w:rsidR="003C66EB" w14:paraId="5EA28207" w14:textId="77777777">
        <w:tc>
          <w:tcPr>
            <w:tcW w:w="50" w:type="pct"/>
            <w:shd w:val="clear" w:color="auto" w:fill="auto"/>
          </w:tcPr>
          <w:p w14:paraId="5EA281FB" w14:textId="77777777" w:rsidR="003C66EB" w:rsidRDefault="003C66EB">
            <w:pPr>
              <w:rPr>
                <w:rFonts w:ascii="宋体"/>
              </w:rPr>
            </w:pPr>
          </w:p>
        </w:tc>
        <w:tc>
          <w:tcPr>
            <w:tcW w:w="522" w:type="pct"/>
            <w:shd w:val="clear" w:color="auto" w:fill="auto"/>
          </w:tcPr>
          <w:p w14:paraId="5EA281FC" w14:textId="77777777" w:rsidR="003C66EB" w:rsidRDefault="003C66EB">
            <w:pPr>
              <w:rPr>
                <w:rFonts w:ascii="宋体"/>
              </w:rPr>
            </w:pPr>
          </w:p>
        </w:tc>
        <w:tc>
          <w:tcPr>
            <w:tcW w:w="5" w:type="pct"/>
            <w:shd w:val="clear" w:color="auto" w:fill="auto"/>
          </w:tcPr>
          <w:p w14:paraId="5EA281FD" w14:textId="77777777" w:rsidR="003C66EB" w:rsidRDefault="003C66EB">
            <w:pPr>
              <w:rPr>
                <w:rFonts w:ascii="宋体"/>
              </w:rPr>
            </w:pPr>
          </w:p>
        </w:tc>
        <w:tc>
          <w:tcPr>
            <w:tcW w:w="50" w:type="pct"/>
            <w:shd w:val="clear" w:color="auto" w:fill="auto"/>
          </w:tcPr>
          <w:p w14:paraId="5EA281FE" w14:textId="77777777" w:rsidR="003C66EB" w:rsidRDefault="003C66EB">
            <w:pPr>
              <w:rPr>
                <w:rFonts w:ascii="宋体"/>
              </w:rPr>
            </w:pPr>
          </w:p>
        </w:tc>
        <w:tc>
          <w:tcPr>
            <w:tcW w:w="1882" w:type="pct"/>
            <w:shd w:val="clear" w:color="auto" w:fill="auto"/>
          </w:tcPr>
          <w:p w14:paraId="5EA281FF" w14:textId="77777777" w:rsidR="003C66EB" w:rsidRDefault="003C66EB">
            <w:pPr>
              <w:rPr>
                <w:rFonts w:ascii="宋体"/>
              </w:rPr>
            </w:pPr>
          </w:p>
        </w:tc>
        <w:tc>
          <w:tcPr>
            <w:tcW w:w="5" w:type="pct"/>
            <w:shd w:val="clear" w:color="auto" w:fill="auto"/>
          </w:tcPr>
          <w:p w14:paraId="5EA28200" w14:textId="77777777" w:rsidR="003C66EB" w:rsidRDefault="003C66EB">
            <w:pPr>
              <w:rPr>
                <w:rFonts w:ascii="宋体"/>
              </w:rPr>
            </w:pPr>
          </w:p>
        </w:tc>
        <w:tc>
          <w:tcPr>
            <w:tcW w:w="50" w:type="pct"/>
            <w:shd w:val="clear" w:color="auto" w:fill="auto"/>
          </w:tcPr>
          <w:p w14:paraId="5EA28201" w14:textId="77777777" w:rsidR="003C66EB" w:rsidRDefault="003C66EB">
            <w:pPr>
              <w:rPr>
                <w:rFonts w:ascii="宋体"/>
              </w:rPr>
            </w:pPr>
          </w:p>
        </w:tc>
        <w:tc>
          <w:tcPr>
            <w:tcW w:w="529" w:type="pct"/>
            <w:shd w:val="clear" w:color="auto" w:fill="auto"/>
          </w:tcPr>
          <w:p w14:paraId="5EA28202" w14:textId="77777777" w:rsidR="003C66EB" w:rsidRDefault="003C66EB">
            <w:pPr>
              <w:rPr>
                <w:rFonts w:ascii="宋体"/>
              </w:rPr>
            </w:pPr>
          </w:p>
        </w:tc>
        <w:tc>
          <w:tcPr>
            <w:tcW w:w="5" w:type="pct"/>
            <w:shd w:val="clear" w:color="auto" w:fill="auto"/>
          </w:tcPr>
          <w:p w14:paraId="5EA28203" w14:textId="77777777" w:rsidR="003C66EB" w:rsidRDefault="003C66EB">
            <w:pPr>
              <w:rPr>
                <w:rFonts w:ascii="宋体"/>
              </w:rPr>
            </w:pPr>
          </w:p>
        </w:tc>
        <w:tc>
          <w:tcPr>
            <w:tcW w:w="50" w:type="pct"/>
            <w:shd w:val="clear" w:color="auto" w:fill="auto"/>
          </w:tcPr>
          <w:p w14:paraId="5EA28204" w14:textId="77777777" w:rsidR="003C66EB" w:rsidRDefault="003C66EB">
            <w:pPr>
              <w:rPr>
                <w:rFonts w:ascii="宋体"/>
              </w:rPr>
            </w:pPr>
          </w:p>
        </w:tc>
        <w:tc>
          <w:tcPr>
            <w:tcW w:w="1845" w:type="pct"/>
            <w:shd w:val="clear" w:color="auto" w:fill="auto"/>
          </w:tcPr>
          <w:p w14:paraId="5EA28205" w14:textId="77777777" w:rsidR="003C66EB" w:rsidRDefault="003C66EB">
            <w:pPr>
              <w:rPr>
                <w:rFonts w:ascii="宋体"/>
              </w:rPr>
            </w:pPr>
          </w:p>
        </w:tc>
        <w:tc>
          <w:tcPr>
            <w:tcW w:w="5" w:type="pct"/>
            <w:shd w:val="clear" w:color="auto" w:fill="auto"/>
          </w:tcPr>
          <w:p w14:paraId="5EA28206" w14:textId="77777777" w:rsidR="003C66EB" w:rsidRDefault="003C66EB">
            <w:pPr>
              <w:rPr>
                <w:rFonts w:ascii="宋体"/>
              </w:rPr>
            </w:pPr>
          </w:p>
        </w:tc>
      </w:tr>
      <w:tr w:rsidR="003C66EB" w14:paraId="5EA28209" w14:textId="77777777">
        <w:tc>
          <w:tcPr>
            <w:tcW w:w="0" w:type="auto"/>
            <w:gridSpan w:val="12"/>
            <w:shd w:val="clear" w:color="auto" w:fill="auto"/>
            <w:tcMar>
              <w:top w:w="40" w:type="dxa"/>
              <w:left w:w="20" w:type="dxa"/>
              <w:bottom w:w="40" w:type="dxa"/>
              <w:right w:w="20" w:type="dxa"/>
            </w:tcMar>
            <w:vAlign w:val="center"/>
          </w:tcPr>
          <w:p w14:paraId="5EA28208" w14:textId="77777777" w:rsidR="003C66EB" w:rsidRDefault="00D96C4E">
            <w:pPr>
              <w:jc w:val="center"/>
              <w:textAlignment w:val="center"/>
            </w:pPr>
            <w:r>
              <w:rPr>
                <w:rFonts w:ascii="Arial" w:eastAsia="宋体" w:hAnsi="Arial" w:cs="Arial"/>
                <w:b/>
                <w:bCs/>
                <w:color w:val="000000"/>
                <w:sz w:val="20"/>
                <w:szCs w:val="20"/>
              </w:rPr>
              <w:t>ACRONYMS</w:t>
            </w:r>
          </w:p>
        </w:tc>
      </w:tr>
      <w:tr w:rsidR="003C66EB" w14:paraId="5EA2820E" w14:textId="77777777">
        <w:trPr>
          <w:hidden/>
        </w:trPr>
        <w:tc>
          <w:tcPr>
            <w:tcW w:w="0" w:type="auto"/>
            <w:gridSpan w:val="3"/>
            <w:shd w:val="clear" w:color="auto" w:fill="auto"/>
          </w:tcPr>
          <w:p w14:paraId="5EA2820A" w14:textId="77777777" w:rsidR="003C66EB" w:rsidRDefault="003C66EB">
            <w:pPr>
              <w:rPr>
                <w:rFonts w:ascii="宋体"/>
                <w:vanish/>
              </w:rPr>
            </w:pPr>
          </w:p>
        </w:tc>
        <w:tc>
          <w:tcPr>
            <w:tcW w:w="0" w:type="auto"/>
            <w:gridSpan w:val="3"/>
            <w:shd w:val="clear" w:color="auto" w:fill="auto"/>
          </w:tcPr>
          <w:p w14:paraId="5EA2820B" w14:textId="77777777" w:rsidR="003C66EB" w:rsidRDefault="003C66EB">
            <w:pPr>
              <w:rPr>
                <w:rFonts w:ascii="宋体"/>
                <w:vanish/>
              </w:rPr>
            </w:pPr>
          </w:p>
        </w:tc>
        <w:tc>
          <w:tcPr>
            <w:tcW w:w="0" w:type="auto"/>
            <w:gridSpan w:val="3"/>
            <w:shd w:val="clear" w:color="auto" w:fill="auto"/>
          </w:tcPr>
          <w:p w14:paraId="5EA2820C" w14:textId="77777777" w:rsidR="003C66EB" w:rsidRDefault="003C66EB">
            <w:pPr>
              <w:rPr>
                <w:rFonts w:ascii="宋体"/>
                <w:vanish/>
              </w:rPr>
            </w:pPr>
          </w:p>
        </w:tc>
        <w:tc>
          <w:tcPr>
            <w:tcW w:w="0" w:type="auto"/>
            <w:gridSpan w:val="3"/>
            <w:shd w:val="clear" w:color="auto" w:fill="auto"/>
          </w:tcPr>
          <w:p w14:paraId="5EA2820D" w14:textId="77777777" w:rsidR="003C66EB" w:rsidRDefault="003C66EB">
            <w:pPr>
              <w:rPr>
                <w:rFonts w:ascii="宋体"/>
                <w:vanish/>
              </w:rPr>
            </w:pPr>
          </w:p>
        </w:tc>
      </w:tr>
      <w:tr w:rsidR="003C66EB" w14:paraId="5EA28213"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tcPr>
          <w:p w14:paraId="5EA2820F"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21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211"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212" w14:textId="77777777" w:rsidR="003C66EB" w:rsidRDefault="003C66EB">
            <w:pPr>
              <w:rPr>
                <w:rFonts w:ascii="宋体"/>
              </w:rPr>
            </w:pPr>
          </w:p>
        </w:tc>
      </w:tr>
      <w:tr w:rsidR="003C66EB" w14:paraId="5EA28218" w14:textId="77777777">
        <w:tc>
          <w:tcPr>
            <w:tcW w:w="0" w:type="auto"/>
            <w:gridSpan w:val="3"/>
            <w:shd w:val="clear" w:color="auto" w:fill="auto"/>
            <w:tcMar>
              <w:top w:w="40" w:type="dxa"/>
              <w:left w:w="20" w:type="dxa"/>
              <w:bottom w:w="40" w:type="dxa"/>
              <w:right w:w="20" w:type="dxa"/>
            </w:tcMar>
            <w:vAlign w:val="center"/>
          </w:tcPr>
          <w:p w14:paraId="5EA28214" w14:textId="77777777" w:rsidR="003C66EB" w:rsidRDefault="00D96C4E">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5EA28215" w14:textId="77777777" w:rsidR="003C66EB" w:rsidRDefault="00D96C4E">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5EA28216" w14:textId="77777777" w:rsidR="003C66EB" w:rsidRDefault="00D96C4E">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17" w14:textId="77777777" w:rsidR="003C66EB" w:rsidRDefault="00D96C4E">
            <w:pPr>
              <w:textAlignment w:val="center"/>
            </w:pPr>
            <w:r>
              <w:rPr>
                <w:rFonts w:ascii="Arial" w:eastAsia="宋体" w:hAnsi="Arial" w:cs="Arial"/>
                <w:color w:val="000000"/>
                <w:sz w:val="16"/>
                <w:szCs w:val="16"/>
              </w:rPr>
              <w:t>Liquidity coverage ratio</w:t>
            </w:r>
          </w:p>
        </w:tc>
      </w:tr>
      <w:tr w:rsidR="003C66EB" w14:paraId="5EA2821D" w14:textId="77777777">
        <w:tc>
          <w:tcPr>
            <w:tcW w:w="0" w:type="auto"/>
            <w:gridSpan w:val="3"/>
            <w:shd w:val="clear" w:color="auto" w:fill="auto"/>
            <w:tcMar>
              <w:top w:w="40" w:type="dxa"/>
              <w:left w:w="20" w:type="dxa"/>
              <w:bottom w:w="40" w:type="dxa"/>
              <w:right w:w="20" w:type="dxa"/>
            </w:tcMar>
            <w:vAlign w:val="center"/>
          </w:tcPr>
          <w:p w14:paraId="5EA28219" w14:textId="77777777" w:rsidR="003C66EB" w:rsidRDefault="00D96C4E">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5EA2821A" w14:textId="77777777" w:rsidR="003C66EB" w:rsidRDefault="00D96C4E">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5EA2821B" w14:textId="77777777" w:rsidR="003C66EB" w:rsidRDefault="00D96C4E">
            <w:pPr>
              <w:textAlignment w:val="center"/>
            </w:pPr>
            <w:r>
              <w:rPr>
                <w:rFonts w:ascii="Arial" w:eastAsia="宋体" w:hAnsi="Arial" w:cs="Arial"/>
                <w:color w:val="000000"/>
                <w:sz w:val="16"/>
                <w:szCs w:val="16"/>
              </w:rPr>
              <w:t>LIHTC</w:t>
            </w:r>
          </w:p>
        </w:tc>
        <w:tc>
          <w:tcPr>
            <w:tcW w:w="0" w:type="auto"/>
            <w:gridSpan w:val="3"/>
            <w:shd w:val="clear" w:color="auto" w:fill="auto"/>
            <w:tcMar>
              <w:top w:w="40" w:type="dxa"/>
              <w:left w:w="20" w:type="dxa"/>
              <w:bottom w:w="40" w:type="dxa"/>
              <w:right w:w="20" w:type="dxa"/>
            </w:tcMar>
            <w:vAlign w:val="center"/>
          </w:tcPr>
          <w:p w14:paraId="5EA2821C" w14:textId="77777777" w:rsidR="003C66EB" w:rsidRDefault="00D96C4E">
            <w:pPr>
              <w:textAlignment w:val="center"/>
            </w:pPr>
            <w:r>
              <w:rPr>
                <w:rFonts w:ascii="Arial" w:eastAsia="宋体" w:hAnsi="Arial" w:cs="Arial"/>
                <w:color w:val="000000"/>
                <w:sz w:val="16"/>
                <w:szCs w:val="16"/>
              </w:rPr>
              <w:t xml:space="preserve">Low income </w:t>
            </w:r>
            <w:r>
              <w:rPr>
                <w:rFonts w:ascii="Arial" w:eastAsia="宋体" w:hAnsi="Arial" w:cs="Arial"/>
                <w:color w:val="000000"/>
                <w:sz w:val="16"/>
                <w:szCs w:val="16"/>
              </w:rPr>
              <w:t>housing tax credits</w:t>
            </w:r>
          </w:p>
        </w:tc>
      </w:tr>
      <w:tr w:rsidR="003C66EB" w14:paraId="5EA28222" w14:textId="77777777">
        <w:tc>
          <w:tcPr>
            <w:tcW w:w="0" w:type="auto"/>
            <w:gridSpan w:val="3"/>
            <w:shd w:val="clear" w:color="auto" w:fill="auto"/>
            <w:tcMar>
              <w:top w:w="40" w:type="dxa"/>
              <w:left w:w="20" w:type="dxa"/>
              <w:bottom w:w="40" w:type="dxa"/>
              <w:right w:w="20" w:type="dxa"/>
            </w:tcMar>
            <w:vAlign w:val="center"/>
          </w:tcPr>
          <w:p w14:paraId="5EA2821E" w14:textId="77777777" w:rsidR="003C66EB" w:rsidRDefault="00D96C4E">
            <w:pPr>
              <w:textAlignment w:val="center"/>
            </w:pPr>
            <w:r>
              <w:rPr>
                <w:rFonts w:ascii="Arial" w:eastAsia="宋体" w:hAnsi="Arial" w:cs="Arial"/>
                <w:color w:val="000000"/>
                <w:sz w:val="16"/>
                <w:szCs w:val="16"/>
              </w:rPr>
              <w:t>AML</w:t>
            </w:r>
          </w:p>
        </w:tc>
        <w:tc>
          <w:tcPr>
            <w:tcW w:w="0" w:type="auto"/>
            <w:gridSpan w:val="3"/>
            <w:shd w:val="clear" w:color="auto" w:fill="auto"/>
            <w:tcMar>
              <w:top w:w="40" w:type="dxa"/>
              <w:left w:w="20" w:type="dxa"/>
              <w:bottom w:w="40" w:type="dxa"/>
              <w:right w:w="20" w:type="dxa"/>
            </w:tcMar>
            <w:vAlign w:val="center"/>
          </w:tcPr>
          <w:p w14:paraId="5EA2821F" w14:textId="77777777" w:rsidR="003C66EB" w:rsidRDefault="00D96C4E">
            <w:pPr>
              <w:textAlignment w:val="center"/>
            </w:pPr>
            <w:r>
              <w:rPr>
                <w:rFonts w:ascii="Arial" w:eastAsia="宋体" w:hAnsi="Arial" w:cs="Arial"/>
                <w:color w:val="000000"/>
                <w:sz w:val="16"/>
                <w:szCs w:val="16"/>
              </w:rPr>
              <w:t>Anti-money laundering</w:t>
            </w:r>
          </w:p>
        </w:tc>
        <w:tc>
          <w:tcPr>
            <w:tcW w:w="0" w:type="auto"/>
            <w:gridSpan w:val="3"/>
            <w:shd w:val="clear" w:color="auto" w:fill="auto"/>
            <w:tcMar>
              <w:top w:w="40" w:type="dxa"/>
              <w:left w:w="20" w:type="dxa"/>
              <w:bottom w:w="40" w:type="dxa"/>
              <w:right w:w="20" w:type="dxa"/>
            </w:tcMar>
            <w:vAlign w:val="center"/>
          </w:tcPr>
          <w:p w14:paraId="5EA28220" w14:textId="77777777" w:rsidR="003C66EB" w:rsidRDefault="00D96C4E">
            <w:pPr>
              <w:textAlignment w:val="center"/>
            </w:pPr>
            <w:r>
              <w:rPr>
                <w:rFonts w:ascii="Arial" w:eastAsia="宋体" w:hAnsi="Arial" w:cs="Arial"/>
                <w:color w:val="000000"/>
                <w:sz w:val="16"/>
                <w:szCs w:val="16"/>
              </w:rPr>
              <w:t>LDA model</w:t>
            </w:r>
          </w:p>
        </w:tc>
        <w:tc>
          <w:tcPr>
            <w:tcW w:w="0" w:type="auto"/>
            <w:gridSpan w:val="3"/>
            <w:shd w:val="clear" w:color="auto" w:fill="auto"/>
            <w:tcMar>
              <w:top w:w="40" w:type="dxa"/>
              <w:left w:w="20" w:type="dxa"/>
              <w:bottom w:w="40" w:type="dxa"/>
              <w:right w:w="20" w:type="dxa"/>
            </w:tcMar>
            <w:vAlign w:val="center"/>
          </w:tcPr>
          <w:p w14:paraId="5EA28221" w14:textId="77777777" w:rsidR="003C66EB" w:rsidRDefault="00D96C4E">
            <w:pPr>
              <w:textAlignment w:val="center"/>
            </w:pPr>
            <w:r>
              <w:rPr>
                <w:rFonts w:ascii="Arial" w:eastAsia="宋体" w:hAnsi="Arial" w:cs="Arial"/>
                <w:color w:val="000000"/>
                <w:sz w:val="16"/>
                <w:szCs w:val="16"/>
              </w:rPr>
              <w:t>Loss distribution approach model</w:t>
            </w:r>
          </w:p>
        </w:tc>
      </w:tr>
      <w:tr w:rsidR="003C66EB" w14:paraId="5EA28227" w14:textId="77777777">
        <w:tc>
          <w:tcPr>
            <w:tcW w:w="0" w:type="auto"/>
            <w:gridSpan w:val="3"/>
            <w:shd w:val="clear" w:color="auto" w:fill="auto"/>
            <w:tcMar>
              <w:top w:w="40" w:type="dxa"/>
              <w:left w:w="20" w:type="dxa"/>
              <w:bottom w:w="40" w:type="dxa"/>
              <w:right w:w="20" w:type="dxa"/>
            </w:tcMar>
            <w:vAlign w:val="center"/>
          </w:tcPr>
          <w:p w14:paraId="5EA28223" w14:textId="77777777" w:rsidR="003C66EB" w:rsidRDefault="00D96C4E">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5EA28224" w14:textId="77777777" w:rsidR="003C66EB" w:rsidRDefault="00D96C4E">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5EA28225" w14:textId="77777777" w:rsidR="003C66EB" w:rsidRDefault="00D96C4E">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5EA28226" w14:textId="77777777" w:rsidR="003C66EB" w:rsidRDefault="00D96C4E">
            <w:pPr>
              <w:textAlignment w:val="center"/>
            </w:pPr>
            <w:r>
              <w:rPr>
                <w:rFonts w:ascii="Arial" w:eastAsia="宋体" w:hAnsi="Arial" w:cs="Arial"/>
                <w:color w:val="000000"/>
                <w:sz w:val="16"/>
                <w:szCs w:val="16"/>
              </w:rPr>
              <w:t>London Interbank Offered Rate</w:t>
            </w:r>
          </w:p>
        </w:tc>
      </w:tr>
      <w:tr w:rsidR="003C66EB" w14:paraId="5EA2822C" w14:textId="77777777">
        <w:tc>
          <w:tcPr>
            <w:tcW w:w="0" w:type="auto"/>
            <w:gridSpan w:val="3"/>
            <w:shd w:val="clear" w:color="auto" w:fill="auto"/>
            <w:tcMar>
              <w:top w:w="40" w:type="dxa"/>
              <w:left w:w="20" w:type="dxa"/>
              <w:bottom w:w="40" w:type="dxa"/>
              <w:right w:w="20" w:type="dxa"/>
            </w:tcMar>
            <w:vAlign w:val="center"/>
          </w:tcPr>
          <w:p w14:paraId="5EA28228" w14:textId="77777777" w:rsidR="003C66EB" w:rsidRDefault="00D96C4E">
            <w:pPr>
              <w:textAlignment w:val="center"/>
            </w:pPr>
            <w:r>
              <w:rPr>
                <w:rFonts w:ascii="Arial" w:eastAsia="宋体" w:hAnsi="Arial" w:cs="Arial"/>
                <w:color w:val="000000"/>
                <w:sz w:val="16"/>
                <w:szCs w:val="16"/>
              </w:rPr>
              <w:t>ASU</w:t>
            </w:r>
          </w:p>
        </w:tc>
        <w:tc>
          <w:tcPr>
            <w:tcW w:w="0" w:type="auto"/>
            <w:gridSpan w:val="3"/>
            <w:shd w:val="clear" w:color="auto" w:fill="auto"/>
            <w:tcMar>
              <w:top w:w="40" w:type="dxa"/>
              <w:left w:w="20" w:type="dxa"/>
              <w:bottom w:w="40" w:type="dxa"/>
              <w:right w:w="20" w:type="dxa"/>
            </w:tcMar>
            <w:vAlign w:val="center"/>
          </w:tcPr>
          <w:p w14:paraId="5EA28229" w14:textId="77777777" w:rsidR="003C66EB" w:rsidRDefault="00D96C4E">
            <w:pPr>
              <w:textAlignment w:val="center"/>
            </w:pPr>
            <w:r>
              <w:rPr>
                <w:rFonts w:ascii="Arial" w:eastAsia="宋体" w:hAnsi="Arial" w:cs="Arial"/>
                <w:color w:val="000000"/>
                <w:sz w:val="16"/>
                <w:szCs w:val="16"/>
              </w:rPr>
              <w:t>Accounting Standards Update</w:t>
            </w:r>
          </w:p>
        </w:tc>
        <w:tc>
          <w:tcPr>
            <w:tcW w:w="0" w:type="auto"/>
            <w:gridSpan w:val="3"/>
            <w:shd w:val="clear" w:color="auto" w:fill="auto"/>
            <w:tcMar>
              <w:top w:w="40" w:type="dxa"/>
              <w:left w:w="20" w:type="dxa"/>
              <w:bottom w:w="40" w:type="dxa"/>
              <w:right w:w="20" w:type="dxa"/>
            </w:tcMar>
            <w:vAlign w:val="center"/>
          </w:tcPr>
          <w:p w14:paraId="5EA2822A" w14:textId="77777777" w:rsidR="003C66EB" w:rsidRDefault="00D96C4E">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5EA2822B" w14:textId="77777777" w:rsidR="003C66EB" w:rsidRDefault="00D96C4E">
            <w:pPr>
              <w:textAlignment w:val="center"/>
            </w:pPr>
            <w:r>
              <w:rPr>
                <w:rFonts w:ascii="Arial" w:eastAsia="宋体" w:hAnsi="Arial" w:cs="Arial"/>
                <w:color w:val="000000"/>
                <w:sz w:val="16"/>
                <w:szCs w:val="16"/>
              </w:rPr>
              <w:t>Long-term debt</w:t>
            </w:r>
          </w:p>
        </w:tc>
      </w:tr>
      <w:tr w:rsidR="003C66EB" w14:paraId="5EA28231" w14:textId="77777777">
        <w:tc>
          <w:tcPr>
            <w:tcW w:w="0" w:type="auto"/>
            <w:gridSpan w:val="3"/>
            <w:shd w:val="clear" w:color="auto" w:fill="auto"/>
            <w:tcMar>
              <w:top w:w="40" w:type="dxa"/>
              <w:left w:w="20" w:type="dxa"/>
              <w:bottom w:w="40" w:type="dxa"/>
              <w:right w:w="20" w:type="dxa"/>
            </w:tcMar>
            <w:vAlign w:val="center"/>
          </w:tcPr>
          <w:p w14:paraId="5EA2822D" w14:textId="77777777" w:rsidR="003C66EB" w:rsidRDefault="00D96C4E">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5EA2822E" w14:textId="77777777" w:rsidR="003C66EB" w:rsidRDefault="00D96C4E">
            <w:pPr>
              <w:textAlignment w:val="center"/>
            </w:pPr>
            <w:r>
              <w:rPr>
                <w:rFonts w:ascii="Arial" w:eastAsia="宋体" w:hAnsi="Arial" w:cs="Arial"/>
                <w:color w:val="000000"/>
                <w:sz w:val="16"/>
                <w:szCs w:val="16"/>
              </w:rPr>
              <w:t>Assets under custod</w:t>
            </w:r>
            <w:r>
              <w:rPr>
                <w:rFonts w:ascii="Arial" w:eastAsia="宋体" w:hAnsi="Arial" w:cs="Arial"/>
                <w:color w:val="000000"/>
                <w:sz w:val="16"/>
                <w:szCs w:val="16"/>
              </w:rPr>
              <w:t>y and/or administration</w:t>
            </w:r>
          </w:p>
        </w:tc>
        <w:tc>
          <w:tcPr>
            <w:tcW w:w="0" w:type="auto"/>
            <w:gridSpan w:val="3"/>
            <w:shd w:val="clear" w:color="auto" w:fill="auto"/>
            <w:tcMar>
              <w:top w:w="40" w:type="dxa"/>
              <w:left w:w="20" w:type="dxa"/>
              <w:bottom w:w="40" w:type="dxa"/>
              <w:right w:w="20" w:type="dxa"/>
            </w:tcMar>
            <w:vAlign w:val="center"/>
          </w:tcPr>
          <w:p w14:paraId="5EA2822F" w14:textId="77777777" w:rsidR="003C66EB" w:rsidRDefault="00D96C4E">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5EA28230" w14:textId="77777777" w:rsidR="003C66EB" w:rsidRDefault="00D96C4E">
            <w:pPr>
              <w:textAlignment w:val="center"/>
            </w:pPr>
            <w:r>
              <w:rPr>
                <w:rFonts w:ascii="Arial" w:eastAsia="宋体" w:hAnsi="Arial" w:cs="Arial"/>
                <w:color w:val="000000"/>
                <w:sz w:val="16"/>
                <w:szCs w:val="16"/>
              </w:rPr>
              <w:t>Mortgage-backed securities</w:t>
            </w:r>
          </w:p>
        </w:tc>
      </w:tr>
      <w:tr w:rsidR="003C66EB" w14:paraId="5EA28236" w14:textId="77777777">
        <w:tc>
          <w:tcPr>
            <w:tcW w:w="0" w:type="auto"/>
            <w:gridSpan w:val="3"/>
            <w:shd w:val="clear" w:color="auto" w:fill="auto"/>
            <w:tcMar>
              <w:top w:w="40" w:type="dxa"/>
              <w:left w:w="20" w:type="dxa"/>
              <w:bottom w:w="40" w:type="dxa"/>
              <w:right w:w="20" w:type="dxa"/>
            </w:tcMar>
            <w:vAlign w:val="center"/>
          </w:tcPr>
          <w:p w14:paraId="5EA28232" w14:textId="77777777" w:rsidR="003C66EB" w:rsidRDefault="00D96C4E">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5EA28233" w14:textId="77777777" w:rsidR="003C66EB" w:rsidRDefault="00D96C4E">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5EA28234" w14:textId="77777777" w:rsidR="003C66EB" w:rsidRDefault="00D96C4E">
            <w:pPr>
              <w:textAlignment w:val="center"/>
            </w:pPr>
            <w:r>
              <w:rPr>
                <w:rFonts w:ascii="Arial" w:eastAsia="宋体" w:hAnsi="Arial" w:cs="Arial"/>
                <w:color w:val="000000"/>
                <w:sz w:val="16"/>
                <w:szCs w:val="16"/>
              </w:rPr>
              <w:t>MRAC</w:t>
            </w:r>
          </w:p>
        </w:tc>
        <w:tc>
          <w:tcPr>
            <w:tcW w:w="0" w:type="auto"/>
            <w:gridSpan w:val="3"/>
            <w:shd w:val="clear" w:color="auto" w:fill="auto"/>
            <w:tcMar>
              <w:top w:w="40" w:type="dxa"/>
              <w:left w:w="20" w:type="dxa"/>
              <w:bottom w:w="40" w:type="dxa"/>
              <w:right w:w="20" w:type="dxa"/>
            </w:tcMar>
            <w:vAlign w:val="center"/>
          </w:tcPr>
          <w:p w14:paraId="5EA28235" w14:textId="77777777" w:rsidR="003C66EB" w:rsidRDefault="00D96C4E">
            <w:pPr>
              <w:textAlignment w:val="center"/>
            </w:pPr>
            <w:r>
              <w:rPr>
                <w:rFonts w:ascii="Arial" w:eastAsia="宋体" w:hAnsi="Arial" w:cs="Arial"/>
                <w:color w:val="000000"/>
                <w:sz w:val="16"/>
                <w:szCs w:val="16"/>
              </w:rPr>
              <w:t>Management Risk and Capital Committee</w:t>
            </w:r>
          </w:p>
        </w:tc>
      </w:tr>
      <w:tr w:rsidR="003C66EB" w14:paraId="5EA2823B" w14:textId="77777777">
        <w:tc>
          <w:tcPr>
            <w:tcW w:w="0" w:type="auto"/>
            <w:gridSpan w:val="3"/>
            <w:shd w:val="clear" w:color="auto" w:fill="auto"/>
            <w:tcMar>
              <w:top w:w="40" w:type="dxa"/>
              <w:left w:w="20" w:type="dxa"/>
              <w:bottom w:w="40" w:type="dxa"/>
              <w:right w:w="20" w:type="dxa"/>
            </w:tcMar>
            <w:vAlign w:val="center"/>
          </w:tcPr>
          <w:p w14:paraId="5EA28237" w14:textId="77777777" w:rsidR="003C66EB" w:rsidRDefault="00D96C4E">
            <w:pPr>
              <w:textAlignment w:val="center"/>
            </w:pPr>
            <w:r>
              <w:rPr>
                <w:rFonts w:ascii="Arial" w:eastAsia="宋体" w:hAnsi="Arial" w:cs="Arial"/>
                <w:color w:val="000000"/>
                <w:sz w:val="16"/>
                <w:szCs w:val="16"/>
              </w:rPr>
              <w:t>BCC</w:t>
            </w:r>
          </w:p>
        </w:tc>
        <w:tc>
          <w:tcPr>
            <w:tcW w:w="0" w:type="auto"/>
            <w:gridSpan w:val="3"/>
            <w:shd w:val="clear" w:color="auto" w:fill="auto"/>
            <w:tcMar>
              <w:top w:w="40" w:type="dxa"/>
              <w:left w:w="20" w:type="dxa"/>
              <w:bottom w:w="40" w:type="dxa"/>
              <w:right w:w="20" w:type="dxa"/>
            </w:tcMar>
            <w:vAlign w:val="center"/>
          </w:tcPr>
          <w:p w14:paraId="5EA28238" w14:textId="77777777" w:rsidR="003C66EB" w:rsidRDefault="00D96C4E">
            <w:pPr>
              <w:textAlignment w:val="center"/>
            </w:pPr>
            <w:r>
              <w:rPr>
                <w:rFonts w:ascii="Arial" w:eastAsia="宋体" w:hAnsi="Arial" w:cs="Arial"/>
                <w:color w:val="000000"/>
                <w:sz w:val="16"/>
                <w:szCs w:val="16"/>
              </w:rPr>
              <w:t>Business Conduct Committee</w:t>
            </w:r>
          </w:p>
        </w:tc>
        <w:tc>
          <w:tcPr>
            <w:tcW w:w="0" w:type="auto"/>
            <w:gridSpan w:val="3"/>
            <w:shd w:val="clear" w:color="auto" w:fill="auto"/>
            <w:tcMar>
              <w:top w:w="40" w:type="dxa"/>
              <w:left w:w="20" w:type="dxa"/>
              <w:bottom w:w="40" w:type="dxa"/>
              <w:right w:w="20" w:type="dxa"/>
            </w:tcMar>
            <w:vAlign w:val="center"/>
          </w:tcPr>
          <w:p w14:paraId="5EA28239" w14:textId="77777777" w:rsidR="003C66EB" w:rsidRDefault="00D96C4E">
            <w:pPr>
              <w:textAlignment w:val="center"/>
            </w:pPr>
            <w:r>
              <w:rPr>
                <w:rFonts w:ascii="Arial" w:eastAsia="宋体" w:hAnsi="Arial" w:cs="Arial"/>
                <w:color w:val="000000"/>
                <w:sz w:val="16"/>
                <w:szCs w:val="16"/>
              </w:rPr>
              <w:t>MRC</w:t>
            </w:r>
          </w:p>
        </w:tc>
        <w:tc>
          <w:tcPr>
            <w:tcW w:w="0" w:type="auto"/>
            <w:gridSpan w:val="3"/>
            <w:shd w:val="clear" w:color="auto" w:fill="auto"/>
            <w:tcMar>
              <w:top w:w="40" w:type="dxa"/>
              <w:left w:w="20" w:type="dxa"/>
              <w:bottom w:w="40" w:type="dxa"/>
              <w:right w:w="20" w:type="dxa"/>
            </w:tcMar>
            <w:vAlign w:val="center"/>
          </w:tcPr>
          <w:p w14:paraId="5EA2823A" w14:textId="77777777" w:rsidR="003C66EB" w:rsidRDefault="00D96C4E">
            <w:pPr>
              <w:textAlignment w:val="center"/>
            </w:pPr>
            <w:r>
              <w:rPr>
                <w:rFonts w:ascii="Arial" w:eastAsia="宋体" w:hAnsi="Arial" w:cs="Arial"/>
                <w:color w:val="000000"/>
                <w:sz w:val="16"/>
                <w:szCs w:val="16"/>
              </w:rPr>
              <w:t>Model Risk Committee</w:t>
            </w:r>
          </w:p>
        </w:tc>
      </w:tr>
      <w:tr w:rsidR="003C66EB" w14:paraId="5EA28240" w14:textId="77777777">
        <w:tc>
          <w:tcPr>
            <w:tcW w:w="0" w:type="auto"/>
            <w:gridSpan w:val="3"/>
            <w:shd w:val="clear" w:color="auto" w:fill="auto"/>
            <w:tcMar>
              <w:top w:w="40" w:type="dxa"/>
              <w:left w:w="20" w:type="dxa"/>
              <w:bottom w:w="40" w:type="dxa"/>
              <w:right w:w="20" w:type="dxa"/>
            </w:tcMar>
            <w:vAlign w:val="center"/>
          </w:tcPr>
          <w:p w14:paraId="5EA2823C" w14:textId="77777777" w:rsidR="003C66EB" w:rsidRDefault="00D96C4E">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5EA2823D" w14:textId="77777777" w:rsidR="003C66EB" w:rsidRDefault="00D96C4E">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5EA2823E" w14:textId="77777777" w:rsidR="003C66EB" w:rsidRDefault="00D96C4E">
            <w:pPr>
              <w:textAlignment w:val="center"/>
            </w:pPr>
            <w:r>
              <w:rPr>
                <w:rFonts w:ascii="Arial" w:eastAsia="宋体" w:hAnsi="Arial" w:cs="Arial"/>
                <w:color w:val="000000"/>
                <w:sz w:val="16"/>
                <w:szCs w:val="16"/>
              </w:rPr>
              <w:t>MRM</w:t>
            </w:r>
          </w:p>
        </w:tc>
        <w:tc>
          <w:tcPr>
            <w:tcW w:w="0" w:type="auto"/>
            <w:gridSpan w:val="3"/>
            <w:shd w:val="clear" w:color="auto" w:fill="auto"/>
            <w:tcMar>
              <w:top w:w="40" w:type="dxa"/>
              <w:left w:w="20" w:type="dxa"/>
              <w:bottom w:w="40" w:type="dxa"/>
              <w:right w:w="20" w:type="dxa"/>
            </w:tcMar>
            <w:vAlign w:val="center"/>
          </w:tcPr>
          <w:p w14:paraId="5EA2823F" w14:textId="77777777" w:rsidR="003C66EB" w:rsidRDefault="00D96C4E">
            <w:pPr>
              <w:textAlignment w:val="center"/>
            </w:pPr>
            <w:r>
              <w:rPr>
                <w:rFonts w:ascii="Arial" w:eastAsia="宋体" w:hAnsi="Arial" w:cs="Arial"/>
                <w:color w:val="000000"/>
                <w:sz w:val="16"/>
                <w:szCs w:val="16"/>
              </w:rPr>
              <w:t>Model Risk Management</w:t>
            </w:r>
          </w:p>
        </w:tc>
      </w:tr>
      <w:tr w:rsidR="003C66EB" w14:paraId="5EA28245" w14:textId="77777777">
        <w:tc>
          <w:tcPr>
            <w:tcW w:w="0" w:type="auto"/>
            <w:gridSpan w:val="3"/>
            <w:shd w:val="clear" w:color="auto" w:fill="auto"/>
            <w:tcMar>
              <w:top w:w="40" w:type="dxa"/>
              <w:left w:w="20" w:type="dxa"/>
              <w:bottom w:w="40" w:type="dxa"/>
              <w:right w:w="20" w:type="dxa"/>
            </w:tcMar>
            <w:vAlign w:val="center"/>
          </w:tcPr>
          <w:p w14:paraId="5EA28241" w14:textId="77777777" w:rsidR="003C66EB" w:rsidRDefault="00D96C4E">
            <w:pPr>
              <w:textAlignment w:val="center"/>
            </w:pPr>
            <w:r>
              <w:rPr>
                <w:rFonts w:ascii="Arial" w:eastAsia="宋体" w:hAnsi="Arial" w:cs="Arial"/>
                <w:color w:val="000000"/>
                <w:sz w:val="16"/>
                <w:szCs w:val="16"/>
              </w:rPr>
              <w:t>CAP</w:t>
            </w:r>
          </w:p>
        </w:tc>
        <w:tc>
          <w:tcPr>
            <w:tcW w:w="0" w:type="auto"/>
            <w:gridSpan w:val="3"/>
            <w:shd w:val="clear" w:color="auto" w:fill="auto"/>
            <w:tcMar>
              <w:top w:w="40" w:type="dxa"/>
              <w:left w:w="20" w:type="dxa"/>
              <w:bottom w:w="40" w:type="dxa"/>
              <w:right w:w="20" w:type="dxa"/>
            </w:tcMar>
            <w:vAlign w:val="center"/>
          </w:tcPr>
          <w:p w14:paraId="5EA28242" w14:textId="77777777" w:rsidR="003C66EB" w:rsidRDefault="00D96C4E">
            <w:pPr>
              <w:textAlignment w:val="center"/>
            </w:pPr>
            <w:r>
              <w:rPr>
                <w:rFonts w:ascii="Arial" w:eastAsia="宋体" w:hAnsi="Arial" w:cs="Arial"/>
                <w:color w:val="000000"/>
                <w:sz w:val="16"/>
                <w:szCs w:val="16"/>
              </w:rPr>
              <w:t xml:space="preserve">Capital </w:t>
            </w:r>
            <w:r>
              <w:rPr>
                <w:rFonts w:ascii="Arial" w:eastAsia="宋体" w:hAnsi="Arial" w:cs="Arial"/>
                <w:color w:val="000000"/>
                <w:sz w:val="16"/>
                <w:szCs w:val="16"/>
              </w:rPr>
              <w:t>adequacy process</w:t>
            </w:r>
          </w:p>
        </w:tc>
        <w:tc>
          <w:tcPr>
            <w:tcW w:w="0" w:type="auto"/>
            <w:gridSpan w:val="3"/>
            <w:shd w:val="clear" w:color="auto" w:fill="auto"/>
            <w:tcMar>
              <w:top w:w="40" w:type="dxa"/>
              <w:left w:w="20" w:type="dxa"/>
              <w:bottom w:w="40" w:type="dxa"/>
              <w:right w:w="20" w:type="dxa"/>
            </w:tcMar>
            <w:vAlign w:val="center"/>
          </w:tcPr>
          <w:p w14:paraId="5EA28243" w14:textId="77777777" w:rsidR="003C66EB" w:rsidRDefault="00D96C4E">
            <w:pPr>
              <w:textAlignment w:val="center"/>
            </w:pPr>
            <w:r>
              <w:rPr>
                <w:rFonts w:ascii="Arial" w:eastAsia="宋体" w:hAnsi="Arial" w:cs="Arial"/>
                <w:color w:val="000000"/>
                <w:sz w:val="16"/>
                <w:szCs w:val="16"/>
              </w:rPr>
              <w:t>MVG</w:t>
            </w:r>
          </w:p>
        </w:tc>
        <w:tc>
          <w:tcPr>
            <w:tcW w:w="0" w:type="auto"/>
            <w:gridSpan w:val="3"/>
            <w:shd w:val="clear" w:color="auto" w:fill="auto"/>
            <w:tcMar>
              <w:top w:w="40" w:type="dxa"/>
              <w:left w:w="20" w:type="dxa"/>
              <w:bottom w:w="40" w:type="dxa"/>
              <w:right w:w="20" w:type="dxa"/>
            </w:tcMar>
            <w:vAlign w:val="center"/>
          </w:tcPr>
          <w:p w14:paraId="5EA28244" w14:textId="77777777" w:rsidR="003C66EB" w:rsidRDefault="00D96C4E">
            <w:pPr>
              <w:textAlignment w:val="center"/>
            </w:pPr>
            <w:r>
              <w:rPr>
                <w:rFonts w:ascii="Arial" w:eastAsia="宋体" w:hAnsi="Arial" w:cs="Arial"/>
                <w:color w:val="000000"/>
                <w:sz w:val="16"/>
                <w:szCs w:val="16"/>
              </w:rPr>
              <w:t>Model Validation Group</w:t>
            </w:r>
          </w:p>
        </w:tc>
      </w:tr>
      <w:tr w:rsidR="003C66EB" w14:paraId="5EA2824A" w14:textId="77777777">
        <w:tc>
          <w:tcPr>
            <w:tcW w:w="0" w:type="auto"/>
            <w:gridSpan w:val="3"/>
            <w:shd w:val="clear" w:color="auto" w:fill="auto"/>
            <w:tcMar>
              <w:top w:w="40" w:type="dxa"/>
              <w:left w:w="20" w:type="dxa"/>
              <w:bottom w:w="40" w:type="dxa"/>
              <w:right w:w="20" w:type="dxa"/>
            </w:tcMar>
            <w:vAlign w:val="center"/>
          </w:tcPr>
          <w:p w14:paraId="5EA28246" w14:textId="77777777" w:rsidR="003C66EB" w:rsidRDefault="00D96C4E">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5EA28247" w14:textId="77777777" w:rsidR="003C66EB" w:rsidRDefault="00D96C4E">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5EA28248" w14:textId="77777777" w:rsidR="003C66EB" w:rsidRDefault="00D96C4E">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5EA28249" w14:textId="77777777" w:rsidR="003C66EB" w:rsidRDefault="00D96C4E">
            <w:pPr>
              <w:textAlignment w:val="center"/>
            </w:pPr>
            <w:r>
              <w:rPr>
                <w:rFonts w:ascii="Arial" w:eastAsia="宋体" w:hAnsi="Arial" w:cs="Arial"/>
                <w:color w:val="000000"/>
                <w:sz w:val="16"/>
                <w:szCs w:val="16"/>
              </w:rPr>
              <w:t>Net interest income</w:t>
            </w:r>
          </w:p>
        </w:tc>
      </w:tr>
      <w:tr w:rsidR="003C66EB" w14:paraId="5EA2824F" w14:textId="77777777">
        <w:tc>
          <w:tcPr>
            <w:tcW w:w="0" w:type="auto"/>
            <w:gridSpan w:val="3"/>
            <w:shd w:val="clear" w:color="auto" w:fill="auto"/>
            <w:tcMar>
              <w:top w:w="40" w:type="dxa"/>
              <w:left w:w="20" w:type="dxa"/>
              <w:bottom w:w="40" w:type="dxa"/>
              <w:right w:w="20" w:type="dxa"/>
            </w:tcMar>
            <w:vAlign w:val="center"/>
          </w:tcPr>
          <w:p w14:paraId="5EA2824B" w14:textId="77777777" w:rsidR="003C66EB" w:rsidRDefault="00D96C4E">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5EA2824C" w14:textId="77777777" w:rsidR="003C66EB" w:rsidRDefault="00D96C4E">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5EA2824D" w14:textId="77777777" w:rsidR="003C66EB" w:rsidRDefault="00D96C4E">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5EA2824E" w14:textId="77777777" w:rsidR="003C66EB" w:rsidRDefault="00D96C4E">
            <w:pPr>
              <w:textAlignment w:val="center"/>
            </w:pPr>
            <w:r>
              <w:rPr>
                <w:rFonts w:ascii="Arial" w:eastAsia="宋体" w:hAnsi="Arial" w:cs="Arial"/>
                <w:color w:val="000000"/>
                <w:sz w:val="16"/>
                <w:szCs w:val="16"/>
              </w:rPr>
              <w:t>Net interest margin</w:t>
            </w:r>
          </w:p>
        </w:tc>
      </w:tr>
      <w:tr w:rsidR="003C66EB" w14:paraId="5EA28254" w14:textId="77777777">
        <w:tc>
          <w:tcPr>
            <w:tcW w:w="0" w:type="auto"/>
            <w:gridSpan w:val="3"/>
            <w:shd w:val="clear" w:color="auto" w:fill="auto"/>
            <w:tcMar>
              <w:top w:w="40" w:type="dxa"/>
              <w:left w:w="20" w:type="dxa"/>
              <w:bottom w:w="40" w:type="dxa"/>
              <w:right w:w="20" w:type="dxa"/>
            </w:tcMar>
            <w:vAlign w:val="center"/>
          </w:tcPr>
          <w:p w14:paraId="5EA28250" w14:textId="77777777" w:rsidR="003C66EB" w:rsidRDefault="00D96C4E">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51" w14:textId="77777777" w:rsidR="003C66EB" w:rsidRDefault="00D96C4E">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5EA28252" w14:textId="77777777" w:rsidR="003C66EB" w:rsidRDefault="00D96C4E">
            <w:pPr>
              <w:textAlignment w:val="center"/>
            </w:pPr>
            <w:r>
              <w:rPr>
                <w:rFonts w:ascii="Arial" w:eastAsia="宋体" w:hAnsi="Arial" w:cs="Arial"/>
                <w:color w:val="000000"/>
                <w:sz w:val="16"/>
                <w:szCs w:val="16"/>
              </w:rPr>
              <w:t>NOL</w:t>
            </w:r>
          </w:p>
        </w:tc>
        <w:tc>
          <w:tcPr>
            <w:tcW w:w="0" w:type="auto"/>
            <w:gridSpan w:val="3"/>
            <w:shd w:val="clear" w:color="auto" w:fill="auto"/>
            <w:tcMar>
              <w:top w:w="40" w:type="dxa"/>
              <w:left w:w="20" w:type="dxa"/>
              <w:bottom w:w="40" w:type="dxa"/>
              <w:right w:w="20" w:type="dxa"/>
            </w:tcMar>
            <w:vAlign w:val="center"/>
          </w:tcPr>
          <w:p w14:paraId="5EA28253" w14:textId="77777777" w:rsidR="003C66EB" w:rsidRDefault="00D96C4E">
            <w:pPr>
              <w:textAlignment w:val="center"/>
            </w:pPr>
            <w:r>
              <w:rPr>
                <w:rFonts w:ascii="Arial" w:eastAsia="宋体" w:hAnsi="Arial" w:cs="Arial"/>
                <w:color w:val="000000"/>
                <w:sz w:val="16"/>
                <w:szCs w:val="16"/>
              </w:rPr>
              <w:t>Net Operating Loss</w:t>
            </w:r>
          </w:p>
        </w:tc>
      </w:tr>
      <w:tr w:rsidR="003C66EB" w14:paraId="5EA28259" w14:textId="77777777">
        <w:tc>
          <w:tcPr>
            <w:tcW w:w="0" w:type="auto"/>
            <w:gridSpan w:val="3"/>
            <w:shd w:val="clear" w:color="auto" w:fill="auto"/>
            <w:tcMar>
              <w:top w:w="40" w:type="dxa"/>
              <w:left w:w="20" w:type="dxa"/>
              <w:bottom w:w="40" w:type="dxa"/>
              <w:right w:w="20" w:type="dxa"/>
            </w:tcMar>
            <w:vAlign w:val="center"/>
          </w:tcPr>
          <w:p w14:paraId="5EA28255" w14:textId="77777777" w:rsidR="003C66EB" w:rsidRDefault="00D96C4E">
            <w:pPr>
              <w:textAlignment w:val="center"/>
            </w:pPr>
            <w:r>
              <w:rPr>
                <w:rFonts w:ascii="Arial" w:eastAsia="宋体" w:hAnsi="Arial" w:cs="Arial"/>
                <w:color w:val="000000"/>
                <w:sz w:val="16"/>
                <w:szCs w:val="16"/>
              </w:rPr>
              <w:t>CFTC</w:t>
            </w:r>
          </w:p>
        </w:tc>
        <w:tc>
          <w:tcPr>
            <w:tcW w:w="0" w:type="auto"/>
            <w:gridSpan w:val="3"/>
            <w:shd w:val="clear" w:color="auto" w:fill="auto"/>
            <w:tcMar>
              <w:top w:w="40" w:type="dxa"/>
              <w:left w:w="20" w:type="dxa"/>
              <w:bottom w:w="40" w:type="dxa"/>
              <w:right w:w="20" w:type="dxa"/>
            </w:tcMar>
            <w:vAlign w:val="center"/>
          </w:tcPr>
          <w:p w14:paraId="5EA28256" w14:textId="77777777" w:rsidR="003C66EB" w:rsidRDefault="00D96C4E">
            <w:pPr>
              <w:textAlignment w:val="center"/>
            </w:pPr>
            <w:r>
              <w:rPr>
                <w:rFonts w:ascii="Arial" w:eastAsia="宋体" w:hAnsi="Arial" w:cs="Arial"/>
                <w:color w:val="000000"/>
                <w:sz w:val="16"/>
                <w:szCs w:val="16"/>
              </w:rPr>
              <w:t xml:space="preserve">Commodity Futures </w:t>
            </w:r>
            <w:r>
              <w:rPr>
                <w:rFonts w:ascii="Arial" w:eastAsia="宋体" w:hAnsi="Arial" w:cs="Arial"/>
                <w:color w:val="000000"/>
                <w:sz w:val="16"/>
                <w:szCs w:val="16"/>
              </w:rPr>
              <w:t>Trading Commission</w:t>
            </w:r>
          </w:p>
        </w:tc>
        <w:tc>
          <w:tcPr>
            <w:tcW w:w="0" w:type="auto"/>
            <w:gridSpan w:val="3"/>
            <w:shd w:val="clear" w:color="auto" w:fill="auto"/>
            <w:tcMar>
              <w:top w:w="40" w:type="dxa"/>
              <w:left w:w="20" w:type="dxa"/>
              <w:bottom w:w="40" w:type="dxa"/>
              <w:right w:w="20" w:type="dxa"/>
            </w:tcMar>
            <w:vAlign w:val="center"/>
          </w:tcPr>
          <w:p w14:paraId="5EA28257" w14:textId="77777777" w:rsidR="003C66EB" w:rsidRDefault="00D96C4E">
            <w:pPr>
              <w:textAlignment w:val="center"/>
            </w:pPr>
            <w:r>
              <w:rPr>
                <w:rFonts w:ascii="Arial" w:eastAsia="宋体" w:hAnsi="Arial" w:cs="Arial"/>
                <w:color w:val="000000"/>
                <w:sz w:val="16"/>
                <w:szCs w:val="16"/>
              </w:rPr>
              <w:t>NSFR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58" w14:textId="77777777" w:rsidR="003C66EB" w:rsidRDefault="00D96C4E">
            <w:pPr>
              <w:textAlignment w:val="center"/>
            </w:pPr>
            <w:r>
              <w:rPr>
                <w:rFonts w:ascii="Arial" w:eastAsia="宋体" w:hAnsi="Arial" w:cs="Arial"/>
                <w:color w:val="000000"/>
                <w:sz w:val="16"/>
                <w:szCs w:val="16"/>
              </w:rPr>
              <w:t>Net stable funding ratio</w:t>
            </w:r>
          </w:p>
        </w:tc>
      </w:tr>
      <w:tr w:rsidR="003C66EB" w14:paraId="5EA2825E" w14:textId="77777777">
        <w:tc>
          <w:tcPr>
            <w:tcW w:w="0" w:type="auto"/>
            <w:gridSpan w:val="3"/>
            <w:shd w:val="clear" w:color="auto" w:fill="auto"/>
            <w:tcMar>
              <w:top w:w="40" w:type="dxa"/>
              <w:left w:w="20" w:type="dxa"/>
              <w:bottom w:w="40" w:type="dxa"/>
              <w:right w:w="20" w:type="dxa"/>
            </w:tcMar>
            <w:vAlign w:val="center"/>
          </w:tcPr>
          <w:p w14:paraId="5EA2825A" w14:textId="77777777" w:rsidR="003C66EB" w:rsidRDefault="00D96C4E">
            <w:pPr>
              <w:textAlignment w:val="center"/>
            </w:pPr>
            <w:r>
              <w:rPr>
                <w:rFonts w:ascii="Arial" w:eastAsia="宋体" w:hAnsi="Arial" w:cs="Arial"/>
                <w:color w:val="000000"/>
                <w:sz w:val="16"/>
                <w:szCs w:val="16"/>
              </w:rPr>
              <w:t>CIS</w:t>
            </w:r>
          </w:p>
        </w:tc>
        <w:tc>
          <w:tcPr>
            <w:tcW w:w="0" w:type="auto"/>
            <w:gridSpan w:val="3"/>
            <w:shd w:val="clear" w:color="auto" w:fill="auto"/>
            <w:tcMar>
              <w:top w:w="40" w:type="dxa"/>
              <w:left w:w="20" w:type="dxa"/>
              <w:bottom w:w="40" w:type="dxa"/>
              <w:right w:w="20" w:type="dxa"/>
            </w:tcMar>
            <w:vAlign w:val="center"/>
          </w:tcPr>
          <w:p w14:paraId="5EA2825B" w14:textId="77777777" w:rsidR="003C66EB" w:rsidRDefault="00D96C4E">
            <w:pPr>
              <w:textAlignment w:val="center"/>
            </w:pPr>
            <w:r>
              <w:rPr>
                <w:rFonts w:ascii="Arial" w:eastAsia="宋体" w:hAnsi="Arial" w:cs="Arial"/>
                <w:color w:val="000000"/>
                <w:sz w:val="16"/>
                <w:szCs w:val="16"/>
              </w:rPr>
              <w:t>Corporate Information Security</w:t>
            </w:r>
          </w:p>
        </w:tc>
        <w:tc>
          <w:tcPr>
            <w:tcW w:w="0" w:type="auto"/>
            <w:gridSpan w:val="3"/>
            <w:shd w:val="clear" w:color="auto" w:fill="auto"/>
            <w:tcMar>
              <w:top w:w="40" w:type="dxa"/>
              <w:left w:w="20" w:type="dxa"/>
              <w:bottom w:w="40" w:type="dxa"/>
              <w:right w:w="20" w:type="dxa"/>
            </w:tcMar>
            <w:vAlign w:val="center"/>
          </w:tcPr>
          <w:p w14:paraId="5EA2825C" w14:textId="77777777" w:rsidR="003C66EB" w:rsidRDefault="00D96C4E">
            <w:pPr>
              <w:textAlignment w:val="center"/>
            </w:pPr>
            <w:r>
              <w:rPr>
                <w:rFonts w:ascii="Arial" w:eastAsia="宋体" w:hAnsi="Arial" w:cs="Arial"/>
                <w:color w:val="000000"/>
                <w:sz w:val="16"/>
                <w:szCs w:val="16"/>
              </w:rPr>
              <w:t>ORM</w:t>
            </w:r>
          </w:p>
        </w:tc>
        <w:tc>
          <w:tcPr>
            <w:tcW w:w="0" w:type="auto"/>
            <w:gridSpan w:val="3"/>
            <w:shd w:val="clear" w:color="auto" w:fill="auto"/>
            <w:tcMar>
              <w:top w:w="40" w:type="dxa"/>
              <w:left w:w="20" w:type="dxa"/>
              <w:bottom w:w="40" w:type="dxa"/>
              <w:right w:w="20" w:type="dxa"/>
            </w:tcMar>
            <w:vAlign w:val="center"/>
          </w:tcPr>
          <w:p w14:paraId="5EA2825D" w14:textId="77777777" w:rsidR="003C66EB" w:rsidRDefault="00D96C4E">
            <w:pPr>
              <w:textAlignment w:val="center"/>
            </w:pPr>
            <w:r>
              <w:rPr>
                <w:rFonts w:ascii="Arial" w:eastAsia="宋体" w:hAnsi="Arial" w:cs="Arial"/>
                <w:color w:val="000000"/>
                <w:sz w:val="16"/>
                <w:szCs w:val="16"/>
              </w:rPr>
              <w:t>Operational risk management</w:t>
            </w:r>
          </w:p>
        </w:tc>
      </w:tr>
      <w:tr w:rsidR="003C66EB" w14:paraId="5EA28263" w14:textId="77777777">
        <w:tc>
          <w:tcPr>
            <w:tcW w:w="0" w:type="auto"/>
            <w:gridSpan w:val="3"/>
            <w:shd w:val="clear" w:color="auto" w:fill="auto"/>
            <w:tcMar>
              <w:top w:w="40" w:type="dxa"/>
              <w:left w:w="20" w:type="dxa"/>
              <w:bottom w:w="40" w:type="dxa"/>
              <w:right w:w="20" w:type="dxa"/>
            </w:tcMar>
            <w:vAlign w:val="center"/>
          </w:tcPr>
          <w:p w14:paraId="5EA2825F" w14:textId="77777777" w:rsidR="003C66EB" w:rsidRDefault="00D96C4E">
            <w:pPr>
              <w:textAlignment w:val="center"/>
            </w:pPr>
            <w:r>
              <w:rPr>
                <w:rFonts w:ascii="Arial" w:eastAsia="宋体" w:hAnsi="Arial" w:cs="Arial"/>
                <w:color w:val="000000"/>
                <w:sz w:val="16"/>
                <w:szCs w:val="16"/>
              </w:rPr>
              <w:t>COSO</w:t>
            </w:r>
          </w:p>
        </w:tc>
        <w:tc>
          <w:tcPr>
            <w:tcW w:w="0" w:type="auto"/>
            <w:gridSpan w:val="3"/>
            <w:shd w:val="clear" w:color="auto" w:fill="auto"/>
            <w:tcMar>
              <w:top w:w="40" w:type="dxa"/>
              <w:left w:w="20" w:type="dxa"/>
              <w:bottom w:w="40" w:type="dxa"/>
              <w:right w:w="20" w:type="dxa"/>
            </w:tcMar>
            <w:vAlign w:val="center"/>
          </w:tcPr>
          <w:p w14:paraId="5EA28260" w14:textId="77777777" w:rsidR="003C66EB" w:rsidRDefault="00D96C4E">
            <w:pPr>
              <w:textAlignment w:val="center"/>
            </w:pPr>
            <w:r>
              <w:rPr>
                <w:rFonts w:ascii="Arial" w:eastAsia="宋体" w:hAnsi="Arial" w:cs="Arial"/>
                <w:color w:val="000000"/>
                <w:sz w:val="16"/>
                <w:szCs w:val="16"/>
              </w:rPr>
              <w:t>Committee of Sponsoring Organizations of the Treadway Commission</w:t>
            </w:r>
          </w:p>
        </w:tc>
        <w:tc>
          <w:tcPr>
            <w:tcW w:w="0" w:type="auto"/>
            <w:gridSpan w:val="3"/>
            <w:shd w:val="clear" w:color="auto" w:fill="auto"/>
            <w:tcMar>
              <w:top w:w="40" w:type="dxa"/>
              <w:left w:w="20" w:type="dxa"/>
              <w:bottom w:w="40" w:type="dxa"/>
              <w:right w:w="20" w:type="dxa"/>
            </w:tcMar>
            <w:vAlign w:val="center"/>
          </w:tcPr>
          <w:p w14:paraId="5EA28261" w14:textId="77777777" w:rsidR="003C66EB" w:rsidRDefault="00D96C4E">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5EA28262" w14:textId="77777777" w:rsidR="003C66EB" w:rsidRDefault="00D96C4E">
            <w:pPr>
              <w:textAlignment w:val="center"/>
            </w:pPr>
            <w:r>
              <w:rPr>
                <w:rFonts w:ascii="Arial" w:eastAsia="宋体" w:hAnsi="Arial" w:cs="Arial"/>
                <w:color w:val="000000"/>
                <w:sz w:val="16"/>
                <w:szCs w:val="16"/>
              </w:rPr>
              <w:t>Over-the-counter</w:t>
            </w:r>
          </w:p>
        </w:tc>
      </w:tr>
      <w:tr w:rsidR="003C66EB" w14:paraId="5EA28268" w14:textId="77777777">
        <w:tc>
          <w:tcPr>
            <w:tcW w:w="0" w:type="auto"/>
            <w:gridSpan w:val="3"/>
            <w:shd w:val="clear" w:color="auto" w:fill="auto"/>
            <w:tcMar>
              <w:top w:w="40" w:type="dxa"/>
              <w:left w:w="20" w:type="dxa"/>
              <w:bottom w:w="40" w:type="dxa"/>
              <w:right w:w="20" w:type="dxa"/>
            </w:tcMar>
            <w:vAlign w:val="center"/>
          </w:tcPr>
          <w:p w14:paraId="5EA28264" w14:textId="77777777" w:rsidR="003C66EB" w:rsidRDefault="00D96C4E">
            <w:pPr>
              <w:textAlignment w:val="center"/>
            </w:pPr>
            <w:r>
              <w:rPr>
                <w:rFonts w:ascii="Arial" w:eastAsia="宋体" w:hAnsi="Arial" w:cs="Arial"/>
                <w:color w:val="000000"/>
                <w:sz w:val="16"/>
                <w:szCs w:val="16"/>
              </w:rPr>
              <w:t>CRO</w:t>
            </w:r>
          </w:p>
        </w:tc>
        <w:tc>
          <w:tcPr>
            <w:tcW w:w="0" w:type="auto"/>
            <w:gridSpan w:val="3"/>
            <w:shd w:val="clear" w:color="auto" w:fill="auto"/>
            <w:tcMar>
              <w:top w:w="40" w:type="dxa"/>
              <w:left w:w="20" w:type="dxa"/>
              <w:bottom w:w="40" w:type="dxa"/>
              <w:right w:w="20" w:type="dxa"/>
            </w:tcMar>
            <w:vAlign w:val="center"/>
          </w:tcPr>
          <w:p w14:paraId="5EA28265" w14:textId="77777777" w:rsidR="003C66EB" w:rsidRDefault="00D96C4E">
            <w:pPr>
              <w:textAlignment w:val="center"/>
            </w:pPr>
            <w:r>
              <w:rPr>
                <w:rFonts w:ascii="Arial" w:eastAsia="宋体" w:hAnsi="Arial" w:cs="Arial"/>
                <w:color w:val="000000"/>
                <w:sz w:val="16"/>
                <w:szCs w:val="16"/>
              </w:rPr>
              <w:t>Chief Risk Officer</w:t>
            </w:r>
          </w:p>
        </w:tc>
        <w:tc>
          <w:tcPr>
            <w:tcW w:w="0" w:type="auto"/>
            <w:gridSpan w:val="3"/>
            <w:shd w:val="clear" w:color="auto" w:fill="auto"/>
            <w:tcMar>
              <w:top w:w="40" w:type="dxa"/>
              <w:left w:w="20" w:type="dxa"/>
              <w:bottom w:w="40" w:type="dxa"/>
              <w:right w:w="20" w:type="dxa"/>
            </w:tcMar>
            <w:vAlign w:val="center"/>
          </w:tcPr>
          <w:p w14:paraId="5EA28266" w14:textId="77777777" w:rsidR="003C66EB" w:rsidRDefault="00D96C4E">
            <w:pPr>
              <w:textAlignment w:val="center"/>
            </w:pPr>
            <w:r>
              <w:rPr>
                <w:rFonts w:ascii="Arial" w:eastAsia="宋体" w:hAnsi="Arial" w:cs="Arial"/>
                <w:color w:val="000000"/>
                <w:sz w:val="16"/>
                <w:szCs w:val="16"/>
              </w:rPr>
              <w:t>OTTI</w:t>
            </w:r>
          </w:p>
        </w:tc>
        <w:tc>
          <w:tcPr>
            <w:tcW w:w="0" w:type="auto"/>
            <w:gridSpan w:val="3"/>
            <w:shd w:val="clear" w:color="auto" w:fill="auto"/>
            <w:tcMar>
              <w:top w:w="40" w:type="dxa"/>
              <w:left w:w="20" w:type="dxa"/>
              <w:bottom w:w="40" w:type="dxa"/>
              <w:right w:w="20" w:type="dxa"/>
            </w:tcMar>
            <w:vAlign w:val="center"/>
          </w:tcPr>
          <w:p w14:paraId="5EA28267" w14:textId="77777777" w:rsidR="003C66EB" w:rsidRDefault="00D96C4E">
            <w:pPr>
              <w:textAlignment w:val="center"/>
            </w:pPr>
            <w:r>
              <w:rPr>
                <w:rFonts w:ascii="Arial" w:eastAsia="宋体" w:hAnsi="Arial" w:cs="Arial"/>
                <w:color w:val="000000"/>
                <w:sz w:val="16"/>
                <w:szCs w:val="16"/>
              </w:rPr>
              <w:t>Other-than-temp</w:t>
            </w:r>
            <w:r>
              <w:rPr>
                <w:rFonts w:ascii="Arial" w:eastAsia="宋体" w:hAnsi="Arial" w:cs="Arial"/>
                <w:color w:val="000000"/>
                <w:sz w:val="16"/>
                <w:szCs w:val="16"/>
              </w:rPr>
              <w:t>orary-impairment</w:t>
            </w:r>
          </w:p>
        </w:tc>
      </w:tr>
      <w:tr w:rsidR="003C66EB" w14:paraId="5EA2826D" w14:textId="77777777">
        <w:tc>
          <w:tcPr>
            <w:tcW w:w="0" w:type="auto"/>
            <w:gridSpan w:val="3"/>
            <w:shd w:val="clear" w:color="auto" w:fill="auto"/>
            <w:tcMar>
              <w:top w:w="40" w:type="dxa"/>
              <w:left w:w="20" w:type="dxa"/>
              <w:bottom w:w="40" w:type="dxa"/>
              <w:right w:w="20" w:type="dxa"/>
            </w:tcMar>
            <w:vAlign w:val="center"/>
          </w:tcPr>
          <w:p w14:paraId="5EA28269" w14:textId="77777777" w:rsidR="003C66EB" w:rsidRDefault="00D96C4E">
            <w:pPr>
              <w:textAlignment w:val="center"/>
            </w:pPr>
            <w:r>
              <w:rPr>
                <w:rFonts w:ascii="Arial" w:eastAsia="宋体" w:hAnsi="Arial" w:cs="Arial"/>
                <w:color w:val="000000"/>
                <w:sz w:val="16"/>
                <w:szCs w:val="16"/>
              </w:rPr>
              <w:t>CRPC</w:t>
            </w:r>
          </w:p>
        </w:tc>
        <w:tc>
          <w:tcPr>
            <w:tcW w:w="0" w:type="auto"/>
            <w:gridSpan w:val="3"/>
            <w:shd w:val="clear" w:color="auto" w:fill="auto"/>
            <w:tcMar>
              <w:top w:w="40" w:type="dxa"/>
              <w:left w:w="20" w:type="dxa"/>
              <w:bottom w:w="40" w:type="dxa"/>
              <w:right w:w="20" w:type="dxa"/>
            </w:tcMar>
            <w:vAlign w:val="center"/>
          </w:tcPr>
          <w:p w14:paraId="5EA2826A" w14:textId="77777777" w:rsidR="003C66EB" w:rsidRDefault="00D96C4E">
            <w:pPr>
              <w:textAlignment w:val="center"/>
            </w:pPr>
            <w:r>
              <w:rPr>
                <w:rFonts w:ascii="Arial" w:eastAsia="宋体" w:hAnsi="Arial" w:cs="Arial"/>
                <w:color w:val="000000"/>
                <w:sz w:val="16"/>
                <w:szCs w:val="16"/>
              </w:rPr>
              <w:t>Credit Risk &amp; Policy Committee</w:t>
            </w:r>
          </w:p>
        </w:tc>
        <w:tc>
          <w:tcPr>
            <w:tcW w:w="0" w:type="auto"/>
            <w:gridSpan w:val="3"/>
            <w:shd w:val="clear" w:color="auto" w:fill="auto"/>
            <w:tcMar>
              <w:top w:w="40" w:type="dxa"/>
              <w:left w:w="20" w:type="dxa"/>
              <w:bottom w:w="40" w:type="dxa"/>
              <w:right w:w="20" w:type="dxa"/>
            </w:tcMar>
            <w:vAlign w:val="center"/>
          </w:tcPr>
          <w:p w14:paraId="5EA2826B" w14:textId="77777777" w:rsidR="003C66EB" w:rsidRDefault="00D96C4E">
            <w:pPr>
              <w:textAlignment w:val="center"/>
            </w:pPr>
            <w:r>
              <w:rPr>
                <w:rFonts w:ascii="Arial" w:eastAsia="宋体" w:hAnsi="Arial" w:cs="Arial"/>
                <w:color w:val="000000"/>
                <w:sz w:val="16"/>
                <w:szCs w:val="16"/>
              </w:rPr>
              <w:t>PCA</w:t>
            </w:r>
          </w:p>
        </w:tc>
        <w:tc>
          <w:tcPr>
            <w:tcW w:w="0" w:type="auto"/>
            <w:gridSpan w:val="3"/>
            <w:shd w:val="clear" w:color="auto" w:fill="auto"/>
            <w:tcMar>
              <w:top w:w="40" w:type="dxa"/>
              <w:left w:w="20" w:type="dxa"/>
              <w:bottom w:w="40" w:type="dxa"/>
              <w:right w:w="20" w:type="dxa"/>
            </w:tcMar>
            <w:vAlign w:val="center"/>
          </w:tcPr>
          <w:p w14:paraId="5EA2826C" w14:textId="77777777" w:rsidR="003C66EB" w:rsidRDefault="00D96C4E">
            <w:pPr>
              <w:textAlignment w:val="center"/>
            </w:pPr>
            <w:r>
              <w:rPr>
                <w:rFonts w:ascii="Arial" w:eastAsia="宋体" w:hAnsi="Arial" w:cs="Arial"/>
                <w:color w:val="000000"/>
                <w:sz w:val="16"/>
                <w:szCs w:val="16"/>
              </w:rPr>
              <w:t>Prompt corrective action</w:t>
            </w:r>
          </w:p>
        </w:tc>
      </w:tr>
      <w:tr w:rsidR="003C66EB" w14:paraId="5EA28272" w14:textId="77777777">
        <w:tc>
          <w:tcPr>
            <w:tcW w:w="0" w:type="auto"/>
            <w:gridSpan w:val="3"/>
            <w:shd w:val="clear" w:color="auto" w:fill="auto"/>
            <w:tcMar>
              <w:top w:w="40" w:type="dxa"/>
              <w:left w:w="20" w:type="dxa"/>
              <w:bottom w:w="40" w:type="dxa"/>
              <w:right w:w="20" w:type="dxa"/>
            </w:tcMar>
            <w:vAlign w:val="center"/>
          </w:tcPr>
          <w:p w14:paraId="5EA2826E" w14:textId="77777777" w:rsidR="003C66EB" w:rsidRDefault="00D96C4E">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5EA2826F" w14:textId="77777777" w:rsidR="003C66EB" w:rsidRDefault="00D96C4E">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5EA28270" w14:textId="77777777" w:rsidR="003C66EB" w:rsidRDefault="00D96C4E">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5EA28271" w14:textId="77777777" w:rsidR="003C66EB" w:rsidRDefault="00D96C4E">
            <w:pPr>
              <w:textAlignment w:val="center"/>
            </w:pPr>
            <w:r>
              <w:rPr>
                <w:rFonts w:ascii="Arial" w:eastAsia="宋体" w:hAnsi="Arial" w:cs="Arial"/>
                <w:color w:val="000000"/>
                <w:sz w:val="16"/>
                <w:szCs w:val="16"/>
              </w:rPr>
              <w:t>Public Company Accounting Oversight Board</w:t>
            </w:r>
          </w:p>
        </w:tc>
      </w:tr>
      <w:tr w:rsidR="003C66EB" w14:paraId="5EA28277" w14:textId="77777777">
        <w:tc>
          <w:tcPr>
            <w:tcW w:w="0" w:type="auto"/>
            <w:gridSpan w:val="3"/>
            <w:shd w:val="clear" w:color="auto" w:fill="auto"/>
            <w:tcMar>
              <w:top w:w="40" w:type="dxa"/>
              <w:left w:w="20" w:type="dxa"/>
              <w:bottom w:w="40" w:type="dxa"/>
              <w:right w:w="20" w:type="dxa"/>
            </w:tcMar>
            <w:vAlign w:val="center"/>
          </w:tcPr>
          <w:p w14:paraId="5EA28273" w14:textId="77777777" w:rsidR="003C66EB" w:rsidRDefault="00D96C4E">
            <w:pPr>
              <w:textAlignment w:val="center"/>
            </w:pPr>
            <w:r>
              <w:rPr>
                <w:rFonts w:ascii="Arial" w:eastAsia="宋体" w:hAnsi="Arial" w:cs="Arial"/>
                <w:color w:val="000000"/>
                <w:sz w:val="16"/>
                <w:szCs w:val="16"/>
              </w:rPr>
              <w:t>DOJ</w:t>
            </w:r>
          </w:p>
        </w:tc>
        <w:tc>
          <w:tcPr>
            <w:tcW w:w="0" w:type="auto"/>
            <w:gridSpan w:val="3"/>
            <w:shd w:val="clear" w:color="auto" w:fill="auto"/>
            <w:tcMar>
              <w:top w:w="40" w:type="dxa"/>
              <w:left w:w="20" w:type="dxa"/>
              <w:bottom w:w="40" w:type="dxa"/>
              <w:right w:w="20" w:type="dxa"/>
            </w:tcMar>
            <w:vAlign w:val="center"/>
          </w:tcPr>
          <w:p w14:paraId="5EA28274" w14:textId="77777777" w:rsidR="003C66EB" w:rsidRDefault="00D96C4E">
            <w:pPr>
              <w:textAlignment w:val="center"/>
            </w:pPr>
            <w:r>
              <w:rPr>
                <w:rFonts w:ascii="Arial" w:eastAsia="宋体" w:hAnsi="Arial" w:cs="Arial"/>
                <w:color w:val="000000"/>
                <w:sz w:val="16"/>
                <w:szCs w:val="16"/>
              </w:rPr>
              <w:t>Department of Justice</w:t>
            </w:r>
          </w:p>
        </w:tc>
        <w:tc>
          <w:tcPr>
            <w:tcW w:w="0" w:type="auto"/>
            <w:gridSpan w:val="3"/>
            <w:shd w:val="clear" w:color="auto" w:fill="auto"/>
            <w:tcMar>
              <w:top w:w="40" w:type="dxa"/>
              <w:left w:w="20" w:type="dxa"/>
              <w:bottom w:w="40" w:type="dxa"/>
              <w:right w:w="20" w:type="dxa"/>
            </w:tcMar>
            <w:vAlign w:val="center"/>
          </w:tcPr>
          <w:p w14:paraId="5EA28275" w14:textId="77777777" w:rsidR="003C66EB" w:rsidRDefault="00D96C4E">
            <w:pPr>
              <w:textAlignment w:val="center"/>
            </w:pPr>
            <w:r>
              <w:rPr>
                <w:rFonts w:ascii="Arial" w:eastAsia="宋体" w:hAnsi="Arial" w:cs="Arial"/>
                <w:color w:val="000000"/>
                <w:sz w:val="16"/>
                <w:szCs w:val="16"/>
              </w:rPr>
              <w:t>PD</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76" w14:textId="77777777" w:rsidR="003C66EB" w:rsidRDefault="00D96C4E">
            <w:pPr>
              <w:textAlignment w:val="center"/>
            </w:pPr>
            <w:r>
              <w:rPr>
                <w:rFonts w:ascii="Arial" w:eastAsia="宋体" w:hAnsi="Arial" w:cs="Arial"/>
                <w:color w:val="000000"/>
                <w:sz w:val="16"/>
                <w:szCs w:val="16"/>
              </w:rPr>
              <w:t>Probability-of-default</w:t>
            </w:r>
          </w:p>
        </w:tc>
      </w:tr>
      <w:tr w:rsidR="003C66EB" w14:paraId="5EA2827C" w14:textId="77777777">
        <w:tc>
          <w:tcPr>
            <w:tcW w:w="0" w:type="auto"/>
            <w:gridSpan w:val="3"/>
            <w:shd w:val="clear" w:color="auto" w:fill="auto"/>
            <w:tcMar>
              <w:top w:w="40" w:type="dxa"/>
              <w:left w:w="20" w:type="dxa"/>
              <w:bottom w:w="40" w:type="dxa"/>
              <w:right w:w="20" w:type="dxa"/>
            </w:tcMar>
            <w:vAlign w:val="center"/>
          </w:tcPr>
          <w:p w14:paraId="5EA28278" w14:textId="77777777" w:rsidR="003C66EB" w:rsidRDefault="00D96C4E">
            <w:pPr>
              <w:textAlignment w:val="center"/>
            </w:pPr>
            <w:r>
              <w:rPr>
                <w:rFonts w:ascii="Arial" w:eastAsia="宋体" w:hAnsi="Arial" w:cs="Arial"/>
                <w:color w:val="000000"/>
                <w:sz w:val="16"/>
                <w:szCs w:val="16"/>
              </w:rPr>
              <w:t>DOL</w:t>
            </w:r>
          </w:p>
        </w:tc>
        <w:tc>
          <w:tcPr>
            <w:tcW w:w="0" w:type="auto"/>
            <w:gridSpan w:val="3"/>
            <w:shd w:val="clear" w:color="auto" w:fill="auto"/>
            <w:tcMar>
              <w:top w:w="40" w:type="dxa"/>
              <w:left w:w="20" w:type="dxa"/>
              <w:bottom w:w="40" w:type="dxa"/>
              <w:right w:w="20" w:type="dxa"/>
            </w:tcMar>
            <w:vAlign w:val="center"/>
          </w:tcPr>
          <w:p w14:paraId="5EA28279" w14:textId="77777777" w:rsidR="003C66EB" w:rsidRDefault="00D96C4E">
            <w:pPr>
              <w:textAlignment w:val="center"/>
            </w:pPr>
            <w:r>
              <w:rPr>
                <w:rFonts w:ascii="Arial" w:eastAsia="宋体" w:hAnsi="Arial" w:cs="Arial"/>
                <w:color w:val="000000"/>
                <w:sz w:val="16"/>
                <w:szCs w:val="16"/>
              </w:rPr>
              <w:t>Department of Labor</w:t>
            </w:r>
          </w:p>
        </w:tc>
        <w:tc>
          <w:tcPr>
            <w:tcW w:w="0" w:type="auto"/>
            <w:gridSpan w:val="3"/>
            <w:shd w:val="clear" w:color="auto" w:fill="auto"/>
            <w:tcMar>
              <w:top w:w="40" w:type="dxa"/>
              <w:left w:w="20" w:type="dxa"/>
              <w:bottom w:w="40" w:type="dxa"/>
              <w:right w:w="20" w:type="dxa"/>
            </w:tcMar>
            <w:vAlign w:val="center"/>
          </w:tcPr>
          <w:p w14:paraId="5EA2827A" w14:textId="77777777" w:rsidR="003C66EB" w:rsidRDefault="00D96C4E">
            <w:pPr>
              <w:textAlignment w:val="center"/>
            </w:pPr>
            <w:r>
              <w:rPr>
                <w:rFonts w:ascii="Arial" w:eastAsia="宋体" w:hAnsi="Arial" w:cs="Arial"/>
                <w:color w:val="000000"/>
                <w:sz w:val="16"/>
                <w:szCs w:val="16"/>
              </w:rPr>
              <w:t>P&amp;L</w:t>
            </w:r>
          </w:p>
        </w:tc>
        <w:tc>
          <w:tcPr>
            <w:tcW w:w="0" w:type="auto"/>
            <w:gridSpan w:val="3"/>
            <w:shd w:val="clear" w:color="auto" w:fill="auto"/>
            <w:tcMar>
              <w:top w:w="40" w:type="dxa"/>
              <w:left w:w="20" w:type="dxa"/>
              <w:bottom w:w="40" w:type="dxa"/>
              <w:right w:w="20" w:type="dxa"/>
            </w:tcMar>
            <w:vAlign w:val="center"/>
          </w:tcPr>
          <w:p w14:paraId="5EA2827B" w14:textId="77777777" w:rsidR="003C66EB" w:rsidRDefault="00D96C4E">
            <w:pPr>
              <w:textAlignment w:val="center"/>
            </w:pPr>
            <w:r>
              <w:rPr>
                <w:rFonts w:ascii="Arial" w:eastAsia="宋体" w:hAnsi="Arial" w:cs="Arial"/>
                <w:color w:val="000000"/>
                <w:sz w:val="16"/>
                <w:szCs w:val="16"/>
              </w:rPr>
              <w:t>Profit-and-loss</w:t>
            </w:r>
          </w:p>
        </w:tc>
      </w:tr>
      <w:tr w:rsidR="003C66EB" w14:paraId="5EA28281" w14:textId="77777777">
        <w:tc>
          <w:tcPr>
            <w:tcW w:w="0" w:type="auto"/>
            <w:gridSpan w:val="3"/>
            <w:shd w:val="clear" w:color="auto" w:fill="auto"/>
            <w:tcMar>
              <w:top w:w="40" w:type="dxa"/>
              <w:left w:w="20" w:type="dxa"/>
              <w:bottom w:w="40" w:type="dxa"/>
              <w:right w:w="20" w:type="dxa"/>
            </w:tcMar>
            <w:vAlign w:val="center"/>
          </w:tcPr>
          <w:p w14:paraId="5EA2827D" w14:textId="77777777" w:rsidR="003C66EB" w:rsidRDefault="00D96C4E">
            <w:pPr>
              <w:textAlignment w:val="center"/>
            </w:pPr>
            <w:r>
              <w:rPr>
                <w:rFonts w:ascii="Arial" w:eastAsia="宋体" w:hAnsi="Arial" w:cs="Arial"/>
                <w:color w:val="000000"/>
                <w:sz w:val="16"/>
                <w:szCs w:val="16"/>
              </w:rPr>
              <w:t>E&amp;A Committee</w:t>
            </w:r>
          </w:p>
        </w:tc>
        <w:tc>
          <w:tcPr>
            <w:tcW w:w="0" w:type="auto"/>
            <w:gridSpan w:val="3"/>
            <w:shd w:val="clear" w:color="auto" w:fill="auto"/>
            <w:tcMar>
              <w:top w:w="40" w:type="dxa"/>
              <w:left w:w="20" w:type="dxa"/>
              <w:bottom w:w="40" w:type="dxa"/>
              <w:right w:w="20" w:type="dxa"/>
            </w:tcMar>
            <w:vAlign w:val="center"/>
          </w:tcPr>
          <w:p w14:paraId="5EA2827E" w14:textId="77777777" w:rsidR="003C66EB" w:rsidRDefault="00D96C4E">
            <w:pPr>
              <w:textAlignment w:val="center"/>
            </w:pPr>
            <w:r>
              <w:rPr>
                <w:rFonts w:ascii="Arial" w:eastAsia="宋体" w:hAnsi="Arial" w:cs="Arial"/>
                <w:color w:val="000000"/>
                <w:sz w:val="16"/>
                <w:szCs w:val="16"/>
              </w:rPr>
              <w:t>Examining and Audit Committee</w:t>
            </w:r>
          </w:p>
        </w:tc>
        <w:tc>
          <w:tcPr>
            <w:tcW w:w="0" w:type="auto"/>
            <w:gridSpan w:val="3"/>
            <w:shd w:val="clear" w:color="auto" w:fill="auto"/>
            <w:tcMar>
              <w:top w:w="40" w:type="dxa"/>
              <w:left w:w="20" w:type="dxa"/>
              <w:bottom w:w="40" w:type="dxa"/>
              <w:right w:w="20" w:type="dxa"/>
            </w:tcMar>
            <w:vAlign w:val="center"/>
          </w:tcPr>
          <w:p w14:paraId="5EA2827F" w14:textId="77777777" w:rsidR="003C66EB" w:rsidRDefault="00D96C4E">
            <w:pPr>
              <w:textAlignment w:val="center"/>
            </w:pPr>
            <w:r>
              <w:rPr>
                <w:rFonts w:ascii="Arial" w:eastAsia="宋体" w:hAnsi="Arial" w:cs="Arial"/>
                <w:color w:val="000000"/>
                <w:sz w:val="16"/>
                <w:szCs w:val="16"/>
              </w:rPr>
              <w:t>RC</w:t>
            </w:r>
          </w:p>
        </w:tc>
        <w:tc>
          <w:tcPr>
            <w:tcW w:w="0" w:type="auto"/>
            <w:gridSpan w:val="3"/>
            <w:shd w:val="clear" w:color="auto" w:fill="auto"/>
            <w:tcMar>
              <w:top w:w="40" w:type="dxa"/>
              <w:left w:w="20" w:type="dxa"/>
              <w:bottom w:w="40" w:type="dxa"/>
              <w:right w:w="20" w:type="dxa"/>
            </w:tcMar>
            <w:vAlign w:val="center"/>
          </w:tcPr>
          <w:p w14:paraId="5EA28280" w14:textId="77777777" w:rsidR="003C66EB" w:rsidRDefault="00D96C4E">
            <w:pPr>
              <w:textAlignment w:val="center"/>
            </w:pPr>
            <w:r>
              <w:rPr>
                <w:rFonts w:ascii="Arial" w:eastAsia="宋体" w:hAnsi="Arial" w:cs="Arial"/>
                <w:color w:val="000000"/>
                <w:sz w:val="16"/>
                <w:szCs w:val="16"/>
              </w:rPr>
              <w:t>Risk Committee</w:t>
            </w:r>
          </w:p>
        </w:tc>
      </w:tr>
      <w:tr w:rsidR="003C66EB" w14:paraId="5EA28286" w14:textId="77777777">
        <w:tc>
          <w:tcPr>
            <w:tcW w:w="0" w:type="auto"/>
            <w:gridSpan w:val="3"/>
            <w:shd w:val="clear" w:color="auto" w:fill="auto"/>
            <w:tcMar>
              <w:top w:w="40" w:type="dxa"/>
              <w:left w:w="20" w:type="dxa"/>
              <w:bottom w:w="40" w:type="dxa"/>
              <w:right w:w="20" w:type="dxa"/>
            </w:tcMar>
            <w:vAlign w:val="center"/>
          </w:tcPr>
          <w:p w14:paraId="5EA28282" w14:textId="77777777" w:rsidR="003C66EB" w:rsidRDefault="00D96C4E">
            <w:pPr>
              <w:textAlignment w:val="center"/>
            </w:pPr>
            <w:r>
              <w:rPr>
                <w:rFonts w:ascii="Arial" w:eastAsia="宋体" w:hAnsi="Arial" w:cs="Arial"/>
                <w:color w:val="000000"/>
                <w:sz w:val="16"/>
                <w:szCs w:val="16"/>
              </w:rPr>
              <w:t>ECB</w:t>
            </w:r>
          </w:p>
        </w:tc>
        <w:tc>
          <w:tcPr>
            <w:tcW w:w="0" w:type="auto"/>
            <w:gridSpan w:val="3"/>
            <w:shd w:val="clear" w:color="auto" w:fill="auto"/>
            <w:tcMar>
              <w:top w:w="40" w:type="dxa"/>
              <w:left w:w="20" w:type="dxa"/>
              <w:bottom w:w="40" w:type="dxa"/>
              <w:right w:w="20" w:type="dxa"/>
            </w:tcMar>
            <w:vAlign w:val="center"/>
          </w:tcPr>
          <w:p w14:paraId="5EA28283" w14:textId="77777777" w:rsidR="003C66EB" w:rsidRDefault="00D96C4E">
            <w:pPr>
              <w:textAlignment w:val="center"/>
            </w:pPr>
            <w:r>
              <w:rPr>
                <w:rFonts w:ascii="Arial" w:eastAsia="宋体" w:hAnsi="Arial" w:cs="Arial"/>
                <w:color w:val="000000"/>
                <w:sz w:val="16"/>
                <w:szCs w:val="16"/>
              </w:rPr>
              <w:t>European Central Bank</w:t>
            </w:r>
          </w:p>
        </w:tc>
        <w:tc>
          <w:tcPr>
            <w:tcW w:w="0" w:type="auto"/>
            <w:gridSpan w:val="3"/>
            <w:shd w:val="clear" w:color="auto" w:fill="auto"/>
            <w:tcMar>
              <w:top w:w="40" w:type="dxa"/>
              <w:left w:w="20" w:type="dxa"/>
              <w:bottom w:w="40" w:type="dxa"/>
              <w:right w:w="20" w:type="dxa"/>
            </w:tcMar>
            <w:vAlign w:val="center"/>
          </w:tcPr>
          <w:p w14:paraId="5EA28284" w14:textId="77777777" w:rsidR="003C66EB" w:rsidRDefault="00D96C4E">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85" w14:textId="77777777" w:rsidR="003C66EB" w:rsidRDefault="00D96C4E">
            <w:pPr>
              <w:textAlignment w:val="center"/>
            </w:pPr>
            <w:r>
              <w:rPr>
                <w:rFonts w:ascii="Arial" w:eastAsia="宋体" w:hAnsi="Arial" w:cs="Arial"/>
                <w:color w:val="000000"/>
                <w:sz w:val="16"/>
                <w:szCs w:val="16"/>
              </w:rPr>
              <w:t>Risk-weighted asset</w:t>
            </w:r>
          </w:p>
        </w:tc>
      </w:tr>
      <w:tr w:rsidR="003C66EB" w14:paraId="5EA2828B" w14:textId="77777777">
        <w:tc>
          <w:tcPr>
            <w:tcW w:w="0" w:type="auto"/>
            <w:gridSpan w:val="3"/>
            <w:shd w:val="clear" w:color="auto" w:fill="auto"/>
            <w:tcMar>
              <w:top w:w="40" w:type="dxa"/>
              <w:left w:w="20" w:type="dxa"/>
              <w:bottom w:w="40" w:type="dxa"/>
              <w:right w:w="20" w:type="dxa"/>
            </w:tcMar>
            <w:vAlign w:val="center"/>
          </w:tcPr>
          <w:p w14:paraId="5EA28287" w14:textId="77777777" w:rsidR="003C66EB" w:rsidRDefault="00D96C4E">
            <w:pPr>
              <w:textAlignment w:val="center"/>
            </w:pPr>
            <w:r>
              <w:rPr>
                <w:rFonts w:ascii="Arial" w:eastAsia="宋体" w:hAnsi="Arial" w:cs="Arial"/>
                <w:color w:val="000000"/>
                <w:sz w:val="16"/>
                <w:szCs w:val="16"/>
              </w:rPr>
              <w:t>EGRRCPA</w:t>
            </w:r>
          </w:p>
        </w:tc>
        <w:tc>
          <w:tcPr>
            <w:tcW w:w="0" w:type="auto"/>
            <w:gridSpan w:val="3"/>
            <w:shd w:val="clear" w:color="auto" w:fill="auto"/>
            <w:tcMar>
              <w:top w:w="40" w:type="dxa"/>
              <w:left w:w="20" w:type="dxa"/>
              <w:bottom w:w="40" w:type="dxa"/>
              <w:right w:w="20" w:type="dxa"/>
            </w:tcMar>
            <w:vAlign w:val="center"/>
          </w:tcPr>
          <w:p w14:paraId="5EA28288" w14:textId="77777777" w:rsidR="003C66EB" w:rsidRDefault="00D96C4E">
            <w:pPr>
              <w:textAlignment w:val="center"/>
            </w:pPr>
            <w:r>
              <w:rPr>
                <w:rFonts w:ascii="Arial" w:eastAsia="宋体" w:hAnsi="Arial" w:cs="Arial"/>
                <w:color w:val="000000"/>
                <w:sz w:val="16"/>
                <w:szCs w:val="16"/>
              </w:rPr>
              <w:t>Economic Growth, Regulatory Relief, and Consumer Protection Act</w:t>
            </w:r>
          </w:p>
        </w:tc>
        <w:tc>
          <w:tcPr>
            <w:tcW w:w="0" w:type="auto"/>
            <w:gridSpan w:val="3"/>
            <w:shd w:val="clear" w:color="auto" w:fill="auto"/>
            <w:tcMar>
              <w:top w:w="40" w:type="dxa"/>
              <w:left w:w="20" w:type="dxa"/>
              <w:bottom w:w="40" w:type="dxa"/>
              <w:right w:w="20" w:type="dxa"/>
            </w:tcMar>
            <w:vAlign w:val="center"/>
          </w:tcPr>
          <w:p w14:paraId="5EA28289" w14:textId="77777777" w:rsidR="003C66EB" w:rsidRDefault="00D96C4E">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5EA2828A" w14:textId="77777777" w:rsidR="003C66EB" w:rsidRDefault="00D96C4E">
            <w:pPr>
              <w:textAlignment w:val="center"/>
            </w:pPr>
            <w:r>
              <w:rPr>
                <w:rFonts w:ascii="Arial" w:eastAsia="宋体" w:hAnsi="Arial" w:cs="Arial"/>
                <w:color w:val="000000"/>
                <w:sz w:val="16"/>
                <w:szCs w:val="16"/>
              </w:rPr>
              <w:t>Stress Capital Buffer</w:t>
            </w:r>
          </w:p>
        </w:tc>
      </w:tr>
      <w:tr w:rsidR="003C66EB" w14:paraId="5EA28290" w14:textId="77777777">
        <w:tc>
          <w:tcPr>
            <w:tcW w:w="0" w:type="auto"/>
            <w:gridSpan w:val="3"/>
            <w:shd w:val="clear" w:color="auto" w:fill="auto"/>
            <w:tcMar>
              <w:top w:w="40" w:type="dxa"/>
              <w:left w:w="20" w:type="dxa"/>
              <w:bottom w:w="40" w:type="dxa"/>
              <w:right w:w="20" w:type="dxa"/>
            </w:tcMar>
            <w:vAlign w:val="center"/>
          </w:tcPr>
          <w:p w14:paraId="5EA2828C" w14:textId="77777777" w:rsidR="003C66EB" w:rsidRDefault="00D96C4E">
            <w:pPr>
              <w:textAlignment w:val="center"/>
            </w:pPr>
            <w:r>
              <w:rPr>
                <w:rFonts w:ascii="Arial" w:eastAsia="宋体" w:hAnsi="Arial" w:cs="Arial"/>
                <w:color w:val="000000"/>
                <w:sz w:val="16"/>
                <w:szCs w:val="16"/>
              </w:rPr>
              <w:t>EMEA</w:t>
            </w:r>
          </w:p>
        </w:tc>
        <w:tc>
          <w:tcPr>
            <w:tcW w:w="0" w:type="auto"/>
            <w:gridSpan w:val="3"/>
            <w:shd w:val="clear" w:color="auto" w:fill="auto"/>
            <w:tcMar>
              <w:top w:w="40" w:type="dxa"/>
              <w:left w:w="20" w:type="dxa"/>
              <w:bottom w:w="40" w:type="dxa"/>
              <w:right w:w="20" w:type="dxa"/>
            </w:tcMar>
            <w:vAlign w:val="center"/>
          </w:tcPr>
          <w:p w14:paraId="5EA2828D" w14:textId="77777777" w:rsidR="003C66EB" w:rsidRDefault="00D96C4E">
            <w:pPr>
              <w:textAlignment w:val="center"/>
            </w:pPr>
            <w:r>
              <w:rPr>
                <w:rFonts w:ascii="Arial" w:eastAsia="宋体" w:hAnsi="Arial" w:cs="Arial"/>
                <w:color w:val="000000"/>
                <w:sz w:val="16"/>
                <w:szCs w:val="16"/>
              </w:rPr>
              <w:t>Europe, Middle Eas</w:t>
            </w:r>
            <w:r>
              <w:rPr>
                <w:rFonts w:ascii="Arial" w:eastAsia="宋体" w:hAnsi="Arial" w:cs="Arial"/>
                <w:color w:val="000000"/>
                <w:sz w:val="16"/>
                <w:szCs w:val="16"/>
              </w:rPr>
              <w:t>t, and Africa</w:t>
            </w:r>
          </w:p>
        </w:tc>
        <w:tc>
          <w:tcPr>
            <w:tcW w:w="0" w:type="auto"/>
            <w:gridSpan w:val="3"/>
            <w:shd w:val="clear" w:color="auto" w:fill="auto"/>
            <w:tcMar>
              <w:top w:w="40" w:type="dxa"/>
              <w:left w:w="20" w:type="dxa"/>
              <w:bottom w:w="40" w:type="dxa"/>
              <w:right w:w="20" w:type="dxa"/>
            </w:tcMar>
            <w:vAlign w:val="center"/>
          </w:tcPr>
          <w:p w14:paraId="5EA2828E" w14:textId="77777777" w:rsidR="003C66EB" w:rsidRDefault="00D96C4E">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5EA2828F" w14:textId="77777777" w:rsidR="003C66EB" w:rsidRDefault="00D96C4E">
            <w:pPr>
              <w:textAlignment w:val="center"/>
            </w:pPr>
            <w:r>
              <w:rPr>
                <w:rFonts w:ascii="Arial" w:eastAsia="宋体" w:hAnsi="Arial" w:cs="Arial"/>
                <w:color w:val="000000"/>
                <w:sz w:val="16"/>
                <w:szCs w:val="16"/>
              </w:rPr>
              <w:t>Securities and Exchange Commission</w:t>
            </w:r>
          </w:p>
        </w:tc>
      </w:tr>
      <w:tr w:rsidR="003C66EB" w14:paraId="5EA28295" w14:textId="77777777">
        <w:tc>
          <w:tcPr>
            <w:tcW w:w="0" w:type="auto"/>
            <w:gridSpan w:val="3"/>
            <w:shd w:val="clear" w:color="auto" w:fill="auto"/>
            <w:tcMar>
              <w:top w:w="40" w:type="dxa"/>
              <w:left w:w="20" w:type="dxa"/>
              <w:bottom w:w="40" w:type="dxa"/>
              <w:right w:w="20" w:type="dxa"/>
            </w:tcMar>
            <w:vAlign w:val="center"/>
          </w:tcPr>
          <w:p w14:paraId="5EA28291" w14:textId="77777777" w:rsidR="003C66EB" w:rsidRDefault="00D96C4E">
            <w:pPr>
              <w:textAlignment w:val="center"/>
            </w:pPr>
            <w:r>
              <w:rPr>
                <w:rFonts w:ascii="Arial" w:eastAsia="宋体" w:hAnsi="Arial" w:cs="Arial"/>
                <w:color w:val="000000"/>
                <w:sz w:val="16"/>
                <w:szCs w:val="16"/>
              </w:rPr>
              <w:t>EPS</w:t>
            </w:r>
          </w:p>
        </w:tc>
        <w:tc>
          <w:tcPr>
            <w:tcW w:w="0" w:type="auto"/>
            <w:gridSpan w:val="3"/>
            <w:shd w:val="clear" w:color="auto" w:fill="auto"/>
            <w:tcMar>
              <w:top w:w="40" w:type="dxa"/>
              <w:left w:w="20" w:type="dxa"/>
              <w:bottom w:w="40" w:type="dxa"/>
              <w:right w:w="20" w:type="dxa"/>
            </w:tcMar>
            <w:vAlign w:val="center"/>
          </w:tcPr>
          <w:p w14:paraId="5EA28292" w14:textId="77777777" w:rsidR="003C66EB" w:rsidRDefault="00D96C4E">
            <w:pPr>
              <w:textAlignment w:val="center"/>
            </w:pPr>
            <w:r>
              <w:rPr>
                <w:rFonts w:ascii="Arial" w:eastAsia="宋体" w:hAnsi="Arial" w:cs="Arial"/>
                <w:color w:val="000000"/>
                <w:sz w:val="16"/>
                <w:szCs w:val="16"/>
              </w:rPr>
              <w:t>Earnings per share</w:t>
            </w:r>
          </w:p>
        </w:tc>
        <w:tc>
          <w:tcPr>
            <w:tcW w:w="0" w:type="auto"/>
            <w:gridSpan w:val="3"/>
            <w:shd w:val="clear" w:color="auto" w:fill="auto"/>
            <w:tcMar>
              <w:top w:w="40" w:type="dxa"/>
              <w:left w:w="20" w:type="dxa"/>
              <w:bottom w:w="40" w:type="dxa"/>
              <w:right w:w="20" w:type="dxa"/>
            </w:tcMar>
            <w:vAlign w:val="center"/>
          </w:tcPr>
          <w:p w14:paraId="5EA28293" w14:textId="77777777" w:rsidR="003C66EB" w:rsidRDefault="00D96C4E">
            <w:pPr>
              <w:textAlignment w:val="center"/>
            </w:pPr>
            <w:r>
              <w:rPr>
                <w:rFonts w:ascii="Arial" w:eastAsia="宋体" w:hAnsi="Arial" w:cs="Arial"/>
                <w:color w:val="000000"/>
                <w:sz w:val="16"/>
                <w:szCs w:val="16"/>
              </w:rPr>
              <w:t>SIFI</w:t>
            </w:r>
          </w:p>
        </w:tc>
        <w:tc>
          <w:tcPr>
            <w:tcW w:w="0" w:type="auto"/>
            <w:gridSpan w:val="3"/>
            <w:shd w:val="clear" w:color="auto" w:fill="auto"/>
            <w:tcMar>
              <w:top w:w="40" w:type="dxa"/>
              <w:left w:w="20" w:type="dxa"/>
              <w:bottom w:w="40" w:type="dxa"/>
              <w:right w:w="20" w:type="dxa"/>
            </w:tcMar>
            <w:vAlign w:val="center"/>
          </w:tcPr>
          <w:p w14:paraId="5EA28294" w14:textId="77777777" w:rsidR="003C66EB" w:rsidRDefault="00D96C4E">
            <w:pPr>
              <w:textAlignment w:val="center"/>
            </w:pPr>
            <w:r>
              <w:rPr>
                <w:rFonts w:ascii="Arial" w:eastAsia="宋体" w:hAnsi="Arial" w:cs="Arial"/>
                <w:color w:val="000000"/>
                <w:sz w:val="16"/>
                <w:szCs w:val="16"/>
              </w:rPr>
              <w:t>Systemically important financial institutions</w:t>
            </w:r>
          </w:p>
        </w:tc>
      </w:tr>
      <w:tr w:rsidR="003C66EB" w14:paraId="5EA2829A" w14:textId="77777777">
        <w:tc>
          <w:tcPr>
            <w:tcW w:w="0" w:type="auto"/>
            <w:gridSpan w:val="3"/>
            <w:shd w:val="clear" w:color="auto" w:fill="auto"/>
            <w:tcMar>
              <w:top w:w="40" w:type="dxa"/>
              <w:left w:w="20" w:type="dxa"/>
              <w:bottom w:w="40" w:type="dxa"/>
              <w:right w:w="20" w:type="dxa"/>
            </w:tcMar>
            <w:vAlign w:val="center"/>
          </w:tcPr>
          <w:p w14:paraId="5EA28296" w14:textId="77777777" w:rsidR="003C66EB" w:rsidRDefault="00D96C4E">
            <w:pPr>
              <w:textAlignment w:val="center"/>
            </w:pPr>
            <w:r>
              <w:rPr>
                <w:rFonts w:ascii="Arial" w:eastAsia="宋体" w:hAnsi="Arial" w:cs="Arial"/>
                <w:color w:val="000000"/>
                <w:sz w:val="16"/>
                <w:szCs w:val="16"/>
              </w:rPr>
              <w:t>ERM</w:t>
            </w:r>
          </w:p>
        </w:tc>
        <w:tc>
          <w:tcPr>
            <w:tcW w:w="0" w:type="auto"/>
            <w:gridSpan w:val="3"/>
            <w:shd w:val="clear" w:color="auto" w:fill="auto"/>
            <w:tcMar>
              <w:top w:w="40" w:type="dxa"/>
              <w:left w:w="20" w:type="dxa"/>
              <w:bottom w:w="40" w:type="dxa"/>
              <w:right w:w="20" w:type="dxa"/>
            </w:tcMar>
            <w:vAlign w:val="center"/>
          </w:tcPr>
          <w:p w14:paraId="5EA28297" w14:textId="77777777" w:rsidR="003C66EB" w:rsidRDefault="00D96C4E">
            <w:pPr>
              <w:textAlignment w:val="center"/>
            </w:pPr>
            <w:r>
              <w:rPr>
                <w:rFonts w:ascii="Arial" w:eastAsia="宋体" w:hAnsi="Arial" w:cs="Arial"/>
                <w:color w:val="000000"/>
                <w:sz w:val="16"/>
                <w:szCs w:val="16"/>
              </w:rPr>
              <w:t>Enterprise Risk Management</w:t>
            </w:r>
          </w:p>
        </w:tc>
        <w:tc>
          <w:tcPr>
            <w:tcW w:w="0" w:type="auto"/>
            <w:gridSpan w:val="3"/>
            <w:shd w:val="clear" w:color="auto" w:fill="auto"/>
            <w:tcMar>
              <w:top w:w="40" w:type="dxa"/>
              <w:left w:w="20" w:type="dxa"/>
              <w:bottom w:w="40" w:type="dxa"/>
              <w:right w:w="20" w:type="dxa"/>
            </w:tcMar>
            <w:vAlign w:val="center"/>
          </w:tcPr>
          <w:p w14:paraId="5EA28298" w14:textId="77777777" w:rsidR="003C66EB" w:rsidRDefault="00D96C4E">
            <w:pPr>
              <w:textAlignment w:val="center"/>
            </w:pPr>
            <w:r>
              <w:rPr>
                <w:rFonts w:ascii="Arial" w:eastAsia="宋体" w:hAnsi="Arial" w:cs="Arial"/>
                <w:color w:val="000000"/>
                <w:sz w:val="16"/>
                <w:szCs w:val="16"/>
              </w:rPr>
              <w:t>SLB</w:t>
            </w:r>
          </w:p>
        </w:tc>
        <w:tc>
          <w:tcPr>
            <w:tcW w:w="0" w:type="auto"/>
            <w:gridSpan w:val="3"/>
            <w:shd w:val="clear" w:color="auto" w:fill="auto"/>
            <w:tcMar>
              <w:top w:w="40" w:type="dxa"/>
              <w:left w:w="20" w:type="dxa"/>
              <w:bottom w:w="40" w:type="dxa"/>
              <w:right w:w="20" w:type="dxa"/>
            </w:tcMar>
            <w:vAlign w:val="center"/>
          </w:tcPr>
          <w:p w14:paraId="5EA28299" w14:textId="77777777" w:rsidR="003C66EB" w:rsidRDefault="00D96C4E">
            <w:pPr>
              <w:textAlignment w:val="center"/>
            </w:pPr>
            <w:r>
              <w:rPr>
                <w:rFonts w:ascii="Arial" w:eastAsia="宋体" w:hAnsi="Arial" w:cs="Arial"/>
                <w:color w:val="000000"/>
                <w:sz w:val="16"/>
                <w:szCs w:val="16"/>
              </w:rPr>
              <w:t>Stress Leverage Buffer</w:t>
            </w:r>
          </w:p>
        </w:tc>
      </w:tr>
      <w:tr w:rsidR="003C66EB" w14:paraId="5EA2829F" w14:textId="77777777">
        <w:tc>
          <w:tcPr>
            <w:tcW w:w="0" w:type="auto"/>
            <w:gridSpan w:val="3"/>
            <w:shd w:val="clear" w:color="auto" w:fill="auto"/>
            <w:tcMar>
              <w:top w:w="40" w:type="dxa"/>
              <w:left w:w="20" w:type="dxa"/>
              <w:bottom w:w="40" w:type="dxa"/>
              <w:right w:w="20" w:type="dxa"/>
            </w:tcMar>
            <w:vAlign w:val="center"/>
          </w:tcPr>
          <w:p w14:paraId="5EA2829B" w14:textId="77777777" w:rsidR="003C66EB" w:rsidRDefault="00D96C4E">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5EA2829C" w14:textId="77777777" w:rsidR="003C66EB" w:rsidRDefault="00D96C4E">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5EA2829D" w14:textId="77777777" w:rsidR="003C66EB" w:rsidRDefault="00D96C4E">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9E" w14:textId="77777777" w:rsidR="003C66EB" w:rsidRDefault="00D96C4E">
            <w:pPr>
              <w:textAlignment w:val="center"/>
            </w:pPr>
            <w:r>
              <w:rPr>
                <w:rFonts w:ascii="Arial" w:eastAsia="宋体" w:hAnsi="Arial" w:cs="Arial"/>
                <w:color w:val="000000"/>
                <w:sz w:val="16"/>
                <w:szCs w:val="16"/>
              </w:rPr>
              <w:t>Supplementary leverage ratio</w:t>
            </w:r>
          </w:p>
        </w:tc>
      </w:tr>
      <w:tr w:rsidR="003C66EB" w14:paraId="5EA282A4" w14:textId="77777777">
        <w:tc>
          <w:tcPr>
            <w:tcW w:w="0" w:type="auto"/>
            <w:gridSpan w:val="3"/>
            <w:shd w:val="clear" w:color="auto" w:fill="auto"/>
            <w:tcMar>
              <w:top w:w="40" w:type="dxa"/>
              <w:left w:w="20" w:type="dxa"/>
              <w:bottom w:w="40" w:type="dxa"/>
              <w:right w:w="20" w:type="dxa"/>
            </w:tcMar>
            <w:vAlign w:val="center"/>
          </w:tcPr>
          <w:p w14:paraId="5EA282A0" w14:textId="77777777" w:rsidR="003C66EB" w:rsidRDefault="00D96C4E">
            <w:pPr>
              <w:textAlignment w:val="center"/>
            </w:pPr>
            <w:r>
              <w:rPr>
                <w:rFonts w:ascii="Arial" w:eastAsia="宋体" w:hAnsi="Arial" w:cs="Arial"/>
                <w:color w:val="000000"/>
                <w:sz w:val="16"/>
                <w:szCs w:val="16"/>
              </w:rPr>
              <w:t>EVE</w:t>
            </w:r>
          </w:p>
        </w:tc>
        <w:tc>
          <w:tcPr>
            <w:tcW w:w="0" w:type="auto"/>
            <w:gridSpan w:val="3"/>
            <w:shd w:val="clear" w:color="auto" w:fill="auto"/>
            <w:tcMar>
              <w:top w:w="40" w:type="dxa"/>
              <w:left w:w="20" w:type="dxa"/>
              <w:bottom w:w="40" w:type="dxa"/>
              <w:right w:w="20" w:type="dxa"/>
            </w:tcMar>
            <w:vAlign w:val="center"/>
          </w:tcPr>
          <w:p w14:paraId="5EA282A1" w14:textId="77777777" w:rsidR="003C66EB" w:rsidRDefault="00D96C4E">
            <w:pPr>
              <w:textAlignment w:val="center"/>
            </w:pPr>
            <w:r>
              <w:rPr>
                <w:rFonts w:ascii="Arial" w:eastAsia="宋体" w:hAnsi="Arial" w:cs="Arial"/>
                <w:color w:val="000000"/>
                <w:sz w:val="16"/>
                <w:szCs w:val="16"/>
              </w:rPr>
              <w:t>Economic value of equity</w:t>
            </w:r>
          </w:p>
        </w:tc>
        <w:tc>
          <w:tcPr>
            <w:tcW w:w="0" w:type="auto"/>
            <w:gridSpan w:val="3"/>
            <w:shd w:val="clear" w:color="auto" w:fill="auto"/>
            <w:tcMar>
              <w:top w:w="40" w:type="dxa"/>
              <w:left w:w="20" w:type="dxa"/>
              <w:bottom w:w="40" w:type="dxa"/>
              <w:right w:w="20" w:type="dxa"/>
            </w:tcMar>
            <w:vAlign w:val="center"/>
          </w:tcPr>
          <w:p w14:paraId="5EA282A2" w14:textId="77777777" w:rsidR="003C66EB" w:rsidRDefault="00D96C4E">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5EA282A3" w14:textId="77777777" w:rsidR="003C66EB" w:rsidRDefault="00D96C4E">
            <w:pPr>
              <w:textAlignment w:val="center"/>
            </w:pPr>
            <w:r>
              <w:rPr>
                <w:rFonts w:ascii="Arial" w:eastAsia="宋体" w:hAnsi="Arial" w:cs="Arial"/>
                <w:color w:val="000000"/>
                <w:sz w:val="16"/>
                <w:szCs w:val="16"/>
              </w:rPr>
              <w:t>Spider; Standard and Poor's depository receipt</w:t>
            </w:r>
          </w:p>
        </w:tc>
      </w:tr>
      <w:tr w:rsidR="003C66EB" w14:paraId="5EA282A9" w14:textId="77777777">
        <w:tc>
          <w:tcPr>
            <w:tcW w:w="0" w:type="auto"/>
            <w:gridSpan w:val="3"/>
            <w:shd w:val="clear" w:color="auto" w:fill="auto"/>
            <w:tcMar>
              <w:top w:w="40" w:type="dxa"/>
              <w:left w:w="20" w:type="dxa"/>
              <w:bottom w:w="40" w:type="dxa"/>
              <w:right w:w="20" w:type="dxa"/>
            </w:tcMar>
            <w:vAlign w:val="center"/>
          </w:tcPr>
          <w:p w14:paraId="5EA282A5" w14:textId="77777777" w:rsidR="003C66EB" w:rsidRDefault="00D96C4E">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5EA282A6" w14:textId="77777777" w:rsidR="003C66EB" w:rsidRDefault="00D96C4E">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5EA282A7" w14:textId="77777777" w:rsidR="003C66EB" w:rsidRDefault="00D96C4E">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5EA282A8" w14:textId="77777777" w:rsidR="003C66EB" w:rsidRDefault="00D96C4E">
            <w:pPr>
              <w:textAlignment w:val="center"/>
            </w:pPr>
            <w:r>
              <w:rPr>
                <w:rFonts w:ascii="Arial" w:eastAsia="宋体" w:hAnsi="Arial" w:cs="Arial"/>
                <w:color w:val="000000"/>
                <w:sz w:val="16"/>
                <w:szCs w:val="16"/>
              </w:rPr>
              <w:t>Single Point of Entry Strategy</w:t>
            </w:r>
          </w:p>
        </w:tc>
      </w:tr>
      <w:tr w:rsidR="003C66EB" w14:paraId="5EA282AE" w14:textId="77777777">
        <w:tc>
          <w:tcPr>
            <w:tcW w:w="0" w:type="auto"/>
            <w:gridSpan w:val="3"/>
            <w:shd w:val="clear" w:color="auto" w:fill="auto"/>
            <w:tcMar>
              <w:top w:w="40" w:type="dxa"/>
              <w:left w:w="20" w:type="dxa"/>
              <w:bottom w:w="40" w:type="dxa"/>
              <w:right w:w="20" w:type="dxa"/>
            </w:tcMar>
            <w:vAlign w:val="center"/>
          </w:tcPr>
          <w:p w14:paraId="5EA282AA" w14:textId="77777777" w:rsidR="003C66EB" w:rsidRDefault="00D96C4E">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5EA282AB" w14:textId="77777777" w:rsidR="003C66EB" w:rsidRDefault="00D96C4E">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5EA282AC" w14:textId="77777777" w:rsidR="003C66EB" w:rsidRDefault="00D96C4E">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5EA282AD" w14:textId="77777777" w:rsidR="003C66EB" w:rsidRDefault="00D96C4E">
            <w:pPr>
              <w:textAlignment w:val="center"/>
            </w:pPr>
            <w:r>
              <w:rPr>
                <w:rFonts w:ascii="Arial" w:eastAsia="宋体" w:hAnsi="Arial" w:cs="Arial"/>
                <w:color w:val="000000"/>
                <w:sz w:val="16"/>
                <w:szCs w:val="16"/>
              </w:rPr>
              <w:t>State Street Intermediate Funding, LLC</w:t>
            </w:r>
          </w:p>
        </w:tc>
      </w:tr>
      <w:tr w:rsidR="003C66EB" w14:paraId="5EA282B3" w14:textId="77777777">
        <w:tc>
          <w:tcPr>
            <w:tcW w:w="0" w:type="auto"/>
            <w:gridSpan w:val="3"/>
            <w:shd w:val="clear" w:color="auto" w:fill="auto"/>
            <w:tcMar>
              <w:top w:w="40" w:type="dxa"/>
              <w:left w:w="20" w:type="dxa"/>
              <w:bottom w:w="40" w:type="dxa"/>
              <w:right w:w="20" w:type="dxa"/>
            </w:tcMar>
            <w:vAlign w:val="center"/>
          </w:tcPr>
          <w:p w14:paraId="5EA282AF" w14:textId="77777777" w:rsidR="003C66EB" w:rsidRDefault="00D96C4E">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5EA282B0" w14:textId="77777777" w:rsidR="003C66EB" w:rsidRDefault="00D96C4E">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5EA282B1" w14:textId="77777777" w:rsidR="003C66EB" w:rsidRDefault="00D96C4E">
            <w:pPr>
              <w:textAlignment w:val="center"/>
            </w:pPr>
            <w:r>
              <w:rPr>
                <w:rFonts w:ascii="Arial" w:eastAsia="宋体" w:hAnsi="Arial" w:cs="Arial"/>
                <w:color w:val="000000"/>
                <w:sz w:val="16"/>
                <w:szCs w:val="16"/>
              </w:rPr>
              <w:t>TCJA</w:t>
            </w:r>
          </w:p>
        </w:tc>
        <w:tc>
          <w:tcPr>
            <w:tcW w:w="0" w:type="auto"/>
            <w:gridSpan w:val="3"/>
            <w:shd w:val="clear" w:color="auto" w:fill="auto"/>
            <w:tcMar>
              <w:top w:w="40" w:type="dxa"/>
              <w:left w:w="20" w:type="dxa"/>
              <w:bottom w:w="40" w:type="dxa"/>
              <w:right w:w="20" w:type="dxa"/>
            </w:tcMar>
            <w:vAlign w:val="center"/>
          </w:tcPr>
          <w:p w14:paraId="5EA282B2" w14:textId="77777777" w:rsidR="003C66EB" w:rsidRDefault="00D96C4E">
            <w:pPr>
              <w:textAlignment w:val="center"/>
            </w:pPr>
            <w:r>
              <w:rPr>
                <w:rFonts w:ascii="Arial" w:eastAsia="宋体" w:hAnsi="Arial" w:cs="Arial"/>
                <w:color w:val="000000"/>
                <w:sz w:val="16"/>
                <w:szCs w:val="16"/>
              </w:rPr>
              <w:t>Tax Cuts and Jobs Act</w:t>
            </w:r>
          </w:p>
        </w:tc>
      </w:tr>
      <w:tr w:rsidR="003C66EB" w14:paraId="5EA282B8" w14:textId="77777777">
        <w:tc>
          <w:tcPr>
            <w:tcW w:w="0" w:type="auto"/>
            <w:gridSpan w:val="3"/>
            <w:shd w:val="clear" w:color="auto" w:fill="auto"/>
            <w:tcMar>
              <w:top w:w="40" w:type="dxa"/>
              <w:left w:w="20" w:type="dxa"/>
              <w:bottom w:w="40" w:type="dxa"/>
              <w:right w:w="20" w:type="dxa"/>
            </w:tcMar>
            <w:vAlign w:val="center"/>
          </w:tcPr>
          <w:p w14:paraId="5EA282B4" w14:textId="77777777" w:rsidR="003C66EB" w:rsidRDefault="00D96C4E">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5EA282B5" w14:textId="77777777" w:rsidR="003C66EB" w:rsidRDefault="00D96C4E">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5EA282B6" w14:textId="77777777" w:rsidR="003C66EB" w:rsidRDefault="00D96C4E">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B7" w14:textId="77777777" w:rsidR="003C66EB" w:rsidRDefault="00D96C4E">
            <w:pPr>
              <w:textAlignment w:val="center"/>
            </w:pPr>
            <w:r>
              <w:rPr>
                <w:rFonts w:ascii="Arial" w:eastAsia="宋体" w:hAnsi="Arial" w:cs="Arial"/>
                <w:color w:val="000000"/>
                <w:sz w:val="16"/>
                <w:szCs w:val="16"/>
              </w:rPr>
              <w:t>Total loss-absorbing capacity</w:t>
            </w:r>
          </w:p>
        </w:tc>
      </w:tr>
      <w:tr w:rsidR="003C66EB" w14:paraId="5EA282BD" w14:textId="77777777">
        <w:tc>
          <w:tcPr>
            <w:tcW w:w="0" w:type="auto"/>
            <w:gridSpan w:val="3"/>
            <w:shd w:val="clear" w:color="auto" w:fill="auto"/>
            <w:tcMar>
              <w:top w:w="40" w:type="dxa"/>
              <w:left w:w="20" w:type="dxa"/>
              <w:bottom w:w="40" w:type="dxa"/>
              <w:right w:w="20" w:type="dxa"/>
            </w:tcMar>
            <w:vAlign w:val="center"/>
          </w:tcPr>
          <w:p w14:paraId="5EA282B9" w14:textId="77777777" w:rsidR="003C66EB" w:rsidRDefault="00D96C4E">
            <w:pPr>
              <w:textAlignment w:val="center"/>
            </w:pPr>
            <w:r>
              <w:rPr>
                <w:rFonts w:ascii="Arial" w:eastAsia="宋体" w:hAnsi="Arial" w:cs="Arial"/>
                <w:color w:val="000000"/>
                <w:sz w:val="16"/>
                <w:szCs w:val="16"/>
              </w:rPr>
              <w:t>FSOC</w:t>
            </w:r>
          </w:p>
        </w:tc>
        <w:tc>
          <w:tcPr>
            <w:tcW w:w="0" w:type="auto"/>
            <w:gridSpan w:val="3"/>
            <w:shd w:val="clear" w:color="auto" w:fill="auto"/>
            <w:tcMar>
              <w:top w:w="40" w:type="dxa"/>
              <w:left w:w="20" w:type="dxa"/>
              <w:bottom w:w="40" w:type="dxa"/>
              <w:right w:w="20" w:type="dxa"/>
            </w:tcMar>
            <w:vAlign w:val="center"/>
          </w:tcPr>
          <w:p w14:paraId="5EA282BA" w14:textId="77777777" w:rsidR="003C66EB" w:rsidRDefault="00D96C4E">
            <w:pPr>
              <w:textAlignment w:val="center"/>
            </w:pPr>
            <w:r>
              <w:rPr>
                <w:rFonts w:ascii="Arial" w:eastAsia="宋体" w:hAnsi="Arial" w:cs="Arial"/>
                <w:color w:val="000000"/>
                <w:sz w:val="16"/>
                <w:szCs w:val="16"/>
              </w:rPr>
              <w:t>Financial Stability Oversight Council</w:t>
            </w:r>
          </w:p>
        </w:tc>
        <w:tc>
          <w:tcPr>
            <w:tcW w:w="0" w:type="auto"/>
            <w:gridSpan w:val="3"/>
            <w:shd w:val="clear" w:color="auto" w:fill="auto"/>
            <w:tcMar>
              <w:top w:w="40" w:type="dxa"/>
              <w:left w:w="20" w:type="dxa"/>
              <w:bottom w:w="40" w:type="dxa"/>
              <w:right w:w="20" w:type="dxa"/>
            </w:tcMar>
            <w:vAlign w:val="center"/>
          </w:tcPr>
          <w:p w14:paraId="5EA282BB" w14:textId="77777777" w:rsidR="003C66EB" w:rsidRDefault="00D96C4E">
            <w:pPr>
              <w:textAlignment w:val="center"/>
            </w:pPr>
            <w:r>
              <w:rPr>
                <w:rFonts w:ascii="Arial" w:eastAsia="宋体" w:hAnsi="Arial" w:cs="Arial"/>
                <w:color w:val="000000"/>
                <w:sz w:val="16"/>
                <w:szCs w:val="16"/>
              </w:rPr>
              <w:t>TMRC</w:t>
            </w:r>
          </w:p>
        </w:tc>
        <w:tc>
          <w:tcPr>
            <w:tcW w:w="0" w:type="auto"/>
            <w:gridSpan w:val="3"/>
            <w:shd w:val="clear" w:color="auto" w:fill="auto"/>
            <w:tcMar>
              <w:top w:w="40" w:type="dxa"/>
              <w:left w:w="20" w:type="dxa"/>
              <w:bottom w:w="40" w:type="dxa"/>
              <w:right w:w="20" w:type="dxa"/>
            </w:tcMar>
            <w:vAlign w:val="center"/>
          </w:tcPr>
          <w:p w14:paraId="5EA282BC" w14:textId="77777777" w:rsidR="003C66EB" w:rsidRDefault="00D96C4E">
            <w:pPr>
              <w:textAlignment w:val="center"/>
            </w:pPr>
            <w:r>
              <w:rPr>
                <w:rFonts w:ascii="Arial" w:eastAsia="宋体" w:hAnsi="Arial" w:cs="Arial"/>
                <w:color w:val="000000"/>
                <w:sz w:val="16"/>
                <w:szCs w:val="16"/>
              </w:rPr>
              <w:t>Trading and Markets Risk Committee</w:t>
            </w:r>
          </w:p>
        </w:tc>
      </w:tr>
      <w:tr w:rsidR="003C66EB" w14:paraId="5EA282C2" w14:textId="77777777">
        <w:tc>
          <w:tcPr>
            <w:tcW w:w="0" w:type="auto"/>
            <w:gridSpan w:val="3"/>
            <w:shd w:val="clear" w:color="auto" w:fill="auto"/>
            <w:tcMar>
              <w:top w:w="40" w:type="dxa"/>
              <w:left w:w="20" w:type="dxa"/>
              <w:bottom w:w="40" w:type="dxa"/>
              <w:right w:w="20" w:type="dxa"/>
            </w:tcMar>
            <w:vAlign w:val="center"/>
          </w:tcPr>
          <w:p w14:paraId="5EA282BE" w14:textId="77777777" w:rsidR="003C66EB" w:rsidRDefault="00D96C4E">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5EA282BF" w14:textId="77777777" w:rsidR="003C66EB" w:rsidRDefault="00D96C4E">
            <w:pPr>
              <w:textAlignment w:val="center"/>
            </w:pPr>
            <w:r>
              <w:rPr>
                <w:rFonts w:ascii="Arial" w:eastAsia="宋体" w:hAnsi="Arial" w:cs="Arial"/>
                <w:color w:val="000000"/>
                <w:sz w:val="16"/>
                <w:szCs w:val="16"/>
              </w:rPr>
              <w:t>Foreign exchange</w:t>
            </w:r>
          </w:p>
        </w:tc>
        <w:tc>
          <w:tcPr>
            <w:tcW w:w="0" w:type="auto"/>
            <w:gridSpan w:val="3"/>
            <w:shd w:val="clear" w:color="auto" w:fill="auto"/>
            <w:tcMar>
              <w:top w:w="40" w:type="dxa"/>
              <w:left w:w="20" w:type="dxa"/>
              <w:bottom w:w="40" w:type="dxa"/>
              <w:right w:w="20" w:type="dxa"/>
            </w:tcMar>
            <w:vAlign w:val="center"/>
          </w:tcPr>
          <w:p w14:paraId="5EA282C0" w14:textId="77777777" w:rsidR="003C66EB" w:rsidRDefault="00D96C4E">
            <w:pPr>
              <w:textAlignment w:val="center"/>
            </w:pPr>
            <w:r>
              <w:rPr>
                <w:rFonts w:ascii="Arial" w:eastAsia="宋体" w:hAnsi="Arial" w:cs="Arial"/>
                <w:color w:val="000000"/>
                <w:sz w:val="16"/>
                <w:szCs w:val="16"/>
              </w:rPr>
              <w:t>TOPS</w:t>
            </w:r>
          </w:p>
        </w:tc>
        <w:tc>
          <w:tcPr>
            <w:tcW w:w="0" w:type="auto"/>
            <w:gridSpan w:val="3"/>
            <w:shd w:val="clear" w:color="auto" w:fill="auto"/>
            <w:tcMar>
              <w:top w:w="40" w:type="dxa"/>
              <w:left w:w="20" w:type="dxa"/>
              <w:bottom w:w="40" w:type="dxa"/>
              <w:right w:w="20" w:type="dxa"/>
            </w:tcMar>
            <w:vAlign w:val="center"/>
          </w:tcPr>
          <w:p w14:paraId="5EA282C1" w14:textId="77777777" w:rsidR="003C66EB" w:rsidRDefault="00D96C4E">
            <w:pPr>
              <w:textAlignment w:val="center"/>
            </w:pPr>
            <w:r>
              <w:rPr>
                <w:rFonts w:ascii="Arial" w:eastAsia="宋体" w:hAnsi="Arial" w:cs="Arial"/>
                <w:color w:val="000000"/>
                <w:sz w:val="16"/>
                <w:szCs w:val="16"/>
              </w:rPr>
              <w:t>Technology and Operations Committee</w:t>
            </w:r>
          </w:p>
        </w:tc>
      </w:tr>
      <w:tr w:rsidR="003C66EB" w14:paraId="5EA282C7" w14:textId="77777777">
        <w:tc>
          <w:tcPr>
            <w:tcW w:w="0" w:type="auto"/>
            <w:gridSpan w:val="3"/>
            <w:shd w:val="clear" w:color="auto" w:fill="auto"/>
            <w:tcMar>
              <w:top w:w="40" w:type="dxa"/>
              <w:left w:w="20" w:type="dxa"/>
              <w:bottom w:w="40" w:type="dxa"/>
              <w:right w:w="20" w:type="dxa"/>
            </w:tcMar>
            <w:vAlign w:val="center"/>
          </w:tcPr>
          <w:p w14:paraId="5EA282C3" w14:textId="77777777" w:rsidR="003C66EB" w:rsidRDefault="00D96C4E">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5EA282C4" w14:textId="77777777" w:rsidR="003C66EB" w:rsidRDefault="00D96C4E">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40" w:type="dxa"/>
              <w:left w:w="20" w:type="dxa"/>
              <w:bottom w:w="40" w:type="dxa"/>
              <w:right w:w="20" w:type="dxa"/>
            </w:tcMar>
            <w:vAlign w:val="center"/>
          </w:tcPr>
          <w:p w14:paraId="5EA282C5" w14:textId="77777777" w:rsidR="003C66EB" w:rsidRDefault="00D96C4E">
            <w:pPr>
              <w:textAlignment w:val="center"/>
            </w:pPr>
            <w:r>
              <w:rPr>
                <w:rFonts w:ascii="Arial" w:eastAsia="宋体" w:hAnsi="Arial" w:cs="Arial"/>
                <w:color w:val="000000"/>
                <w:sz w:val="16"/>
                <w:szCs w:val="16"/>
              </w:rPr>
              <w:t>TORC</w:t>
            </w:r>
          </w:p>
        </w:tc>
        <w:tc>
          <w:tcPr>
            <w:tcW w:w="0" w:type="auto"/>
            <w:gridSpan w:val="3"/>
            <w:shd w:val="clear" w:color="auto" w:fill="auto"/>
            <w:tcMar>
              <w:top w:w="40" w:type="dxa"/>
              <w:left w:w="20" w:type="dxa"/>
              <w:bottom w:w="40" w:type="dxa"/>
              <w:right w:w="20" w:type="dxa"/>
            </w:tcMar>
            <w:vAlign w:val="center"/>
          </w:tcPr>
          <w:p w14:paraId="5EA282C6" w14:textId="77777777" w:rsidR="003C66EB" w:rsidRDefault="00D96C4E">
            <w:pPr>
              <w:textAlignment w:val="center"/>
            </w:pPr>
            <w:r>
              <w:rPr>
                <w:rFonts w:ascii="Arial" w:eastAsia="宋体" w:hAnsi="Arial" w:cs="Arial"/>
                <w:color w:val="000000"/>
                <w:sz w:val="16"/>
                <w:szCs w:val="16"/>
              </w:rPr>
              <w:t>Technology and Operational Risk Committee</w:t>
            </w:r>
          </w:p>
        </w:tc>
      </w:tr>
      <w:tr w:rsidR="003C66EB" w14:paraId="5EA282CC" w14:textId="77777777">
        <w:tc>
          <w:tcPr>
            <w:tcW w:w="0" w:type="auto"/>
            <w:gridSpan w:val="3"/>
            <w:shd w:val="clear" w:color="auto" w:fill="auto"/>
            <w:tcMar>
              <w:top w:w="40" w:type="dxa"/>
              <w:left w:w="20" w:type="dxa"/>
              <w:bottom w:w="40" w:type="dxa"/>
              <w:right w:w="20" w:type="dxa"/>
            </w:tcMar>
            <w:vAlign w:val="center"/>
          </w:tcPr>
          <w:p w14:paraId="5EA282C8" w14:textId="77777777" w:rsidR="003C66EB" w:rsidRDefault="00D96C4E">
            <w:pPr>
              <w:textAlignment w:val="center"/>
            </w:pPr>
            <w:r>
              <w:rPr>
                <w:rFonts w:ascii="Arial" w:eastAsia="宋体" w:hAnsi="Arial" w:cs="Arial"/>
                <w:color w:val="000000"/>
                <w:sz w:val="16"/>
                <w:szCs w:val="16"/>
              </w:rPr>
              <w:t>GCR</w:t>
            </w:r>
          </w:p>
        </w:tc>
        <w:tc>
          <w:tcPr>
            <w:tcW w:w="0" w:type="auto"/>
            <w:gridSpan w:val="3"/>
            <w:shd w:val="clear" w:color="auto" w:fill="auto"/>
            <w:tcMar>
              <w:top w:w="40" w:type="dxa"/>
              <w:left w:w="20" w:type="dxa"/>
              <w:bottom w:w="40" w:type="dxa"/>
              <w:right w:w="20" w:type="dxa"/>
            </w:tcMar>
            <w:vAlign w:val="center"/>
          </w:tcPr>
          <w:p w14:paraId="5EA282C9" w14:textId="77777777" w:rsidR="003C66EB" w:rsidRDefault="00D96C4E">
            <w:pPr>
              <w:textAlignment w:val="center"/>
            </w:pPr>
            <w:r>
              <w:rPr>
                <w:rFonts w:ascii="Arial" w:eastAsia="宋体" w:hAnsi="Arial" w:cs="Arial"/>
                <w:color w:val="000000"/>
                <w:sz w:val="16"/>
                <w:szCs w:val="16"/>
              </w:rPr>
              <w:t>Global credit review</w:t>
            </w:r>
          </w:p>
        </w:tc>
        <w:tc>
          <w:tcPr>
            <w:tcW w:w="0" w:type="auto"/>
            <w:gridSpan w:val="3"/>
            <w:shd w:val="clear" w:color="auto" w:fill="auto"/>
            <w:tcMar>
              <w:top w:w="40" w:type="dxa"/>
              <w:left w:w="20" w:type="dxa"/>
              <w:bottom w:w="40" w:type="dxa"/>
              <w:right w:w="20" w:type="dxa"/>
            </w:tcMar>
            <w:vAlign w:val="center"/>
          </w:tcPr>
          <w:p w14:paraId="5EA282CA" w14:textId="77777777" w:rsidR="003C66EB" w:rsidRDefault="00D96C4E">
            <w:pPr>
              <w:textAlignment w:val="center"/>
            </w:pPr>
            <w:r>
              <w:rPr>
                <w:rFonts w:ascii="Arial" w:eastAsia="宋体" w:hAnsi="Arial" w:cs="Arial"/>
                <w:color w:val="000000"/>
                <w:sz w:val="16"/>
                <w:szCs w:val="16"/>
              </w:rPr>
              <w:t>UCITS</w:t>
            </w:r>
          </w:p>
        </w:tc>
        <w:tc>
          <w:tcPr>
            <w:tcW w:w="0" w:type="auto"/>
            <w:gridSpan w:val="3"/>
            <w:shd w:val="clear" w:color="auto" w:fill="auto"/>
            <w:tcMar>
              <w:top w:w="40" w:type="dxa"/>
              <w:left w:w="20" w:type="dxa"/>
              <w:bottom w:w="40" w:type="dxa"/>
              <w:right w:w="20" w:type="dxa"/>
            </w:tcMar>
            <w:vAlign w:val="center"/>
          </w:tcPr>
          <w:p w14:paraId="5EA282CB" w14:textId="77777777" w:rsidR="003C66EB" w:rsidRDefault="00D96C4E">
            <w:pPr>
              <w:textAlignment w:val="center"/>
            </w:pPr>
            <w:r>
              <w:rPr>
                <w:rFonts w:ascii="Arial" w:eastAsia="宋体" w:hAnsi="Arial" w:cs="Arial"/>
                <w:color w:val="000000"/>
                <w:sz w:val="16"/>
                <w:szCs w:val="16"/>
              </w:rPr>
              <w:t>Undertakings for Collective Investments in Transferable Securities</w:t>
            </w:r>
          </w:p>
        </w:tc>
      </w:tr>
      <w:tr w:rsidR="003C66EB" w14:paraId="5EA282D1" w14:textId="77777777">
        <w:tc>
          <w:tcPr>
            <w:tcW w:w="0" w:type="auto"/>
            <w:gridSpan w:val="3"/>
            <w:shd w:val="clear" w:color="auto" w:fill="auto"/>
            <w:tcMar>
              <w:top w:w="40" w:type="dxa"/>
              <w:left w:w="20" w:type="dxa"/>
              <w:bottom w:w="40" w:type="dxa"/>
              <w:right w:w="20" w:type="dxa"/>
            </w:tcMar>
            <w:vAlign w:val="center"/>
          </w:tcPr>
          <w:p w14:paraId="5EA282CD" w14:textId="77777777" w:rsidR="003C66EB" w:rsidRDefault="00D96C4E">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5EA282CE" w14:textId="77777777" w:rsidR="003C66EB" w:rsidRDefault="00D96C4E">
            <w:pPr>
              <w:textAlignment w:val="center"/>
            </w:pPr>
            <w:r>
              <w:rPr>
                <w:rFonts w:ascii="Arial" w:eastAsia="宋体" w:hAnsi="Arial" w:cs="Arial"/>
                <w:color w:val="000000"/>
                <w:sz w:val="16"/>
                <w:szCs w:val="16"/>
              </w:rPr>
              <w:t xml:space="preserve">Global </w:t>
            </w:r>
            <w:r>
              <w:rPr>
                <w:rFonts w:ascii="Arial" w:eastAsia="宋体" w:hAnsi="Arial" w:cs="Arial"/>
                <w:color w:val="000000"/>
                <w:sz w:val="16"/>
                <w:szCs w:val="16"/>
              </w:rPr>
              <w:t>systemically important bank</w:t>
            </w:r>
          </w:p>
        </w:tc>
        <w:tc>
          <w:tcPr>
            <w:tcW w:w="0" w:type="auto"/>
            <w:gridSpan w:val="3"/>
            <w:shd w:val="clear" w:color="auto" w:fill="auto"/>
            <w:tcMar>
              <w:top w:w="40" w:type="dxa"/>
              <w:left w:w="20" w:type="dxa"/>
              <w:bottom w:w="40" w:type="dxa"/>
              <w:right w:w="20" w:type="dxa"/>
            </w:tcMar>
            <w:vAlign w:val="center"/>
          </w:tcPr>
          <w:p w14:paraId="5EA282CF" w14:textId="77777777" w:rsidR="003C66EB" w:rsidRDefault="00D96C4E">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5EA282D0" w14:textId="77777777" w:rsidR="003C66EB" w:rsidRDefault="00D96C4E">
            <w:pPr>
              <w:textAlignment w:val="center"/>
            </w:pPr>
            <w:r>
              <w:rPr>
                <w:rFonts w:ascii="Arial" w:eastAsia="宋体" w:hAnsi="Arial" w:cs="Arial"/>
                <w:color w:val="000000"/>
                <w:sz w:val="16"/>
                <w:szCs w:val="16"/>
              </w:rPr>
              <w:t>Unit of measure</w:t>
            </w:r>
          </w:p>
        </w:tc>
      </w:tr>
      <w:tr w:rsidR="003C66EB" w14:paraId="5EA282D6" w14:textId="77777777">
        <w:tc>
          <w:tcPr>
            <w:tcW w:w="0" w:type="auto"/>
            <w:gridSpan w:val="3"/>
            <w:shd w:val="clear" w:color="auto" w:fill="auto"/>
            <w:tcMar>
              <w:top w:w="40" w:type="dxa"/>
              <w:left w:w="20" w:type="dxa"/>
              <w:bottom w:w="40" w:type="dxa"/>
              <w:right w:w="20" w:type="dxa"/>
            </w:tcMar>
            <w:vAlign w:val="center"/>
          </w:tcPr>
          <w:p w14:paraId="5EA282D2" w14:textId="77777777" w:rsidR="003C66EB" w:rsidRDefault="00D96C4E">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A282D3" w14:textId="77777777" w:rsidR="003C66EB" w:rsidRDefault="00D96C4E">
            <w:pPr>
              <w:textAlignment w:val="center"/>
            </w:pPr>
            <w:r>
              <w:rPr>
                <w:rFonts w:ascii="Arial" w:eastAsia="宋体" w:hAnsi="Arial" w:cs="Arial"/>
                <w:color w:val="000000"/>
                <w:sz w:val="16"/>
                <w:szCs w:val="16"/>
              </w:rPr>
              <w:t>High-quality liquid assets</w:t>
            </w:r>
          </w:p>
        </w:tc>
        <w:tc>
          <w:tcPr>
            <w:tcW w:w="0" w:type="auto"/>
            <w:gridSpan w:val="3"/>
            <w:shd w:val="clear" w:color="auto" w:fill="auto"/>
            <w:tcMar>
              <w:top w:w="40" w:type="dxa"/>
              <w:left w:w="20" w:type="dxa"/>
              <w:bottom w:w="40" w:type="dxa"/>
              <w:right w:w="20" w:type="dxa"/>
            </w:tcMar>
            <w:vAlign w:val="center"/>
          </w:tcPr>
          <w:p w14:paraId="5EA282D4" w14:textId="77777777" w:rsidR="003C66EB" w:rsidRDefault="00D96C4E">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5EA282D5" w14:textId="77777777" w:rsidR="003C66EB" w:rsidRDefault="00D96C4E">
            <w:pPr>
              <w:textAlignment w:val="center"/>
            </w:pPr>
            <w:r>
              <w:rPr>
                <w:rFonts w:ascii="Arial" w:eastAsia="宋体" w:hAnsi="Arial" w:cs="Arial"/>
                <w:color w:val="000000"/>
                <w:sz w:val="16"/>
                <w:szCs w:val="16"/>
              </w:rPr>
              <w:t>Value-at-Risk</w:t>
            </w:r>
          </w:p>
        </w:tc>
      </w:tr>
      <w:tr w:rsidR="003C66EB" w14:paraId="5EA282DB" w14:textId="77777777">
        <w:tc>
          <w:tcPr>
            <w:tcW w:w="0" w:type="auto"/>
            <w:gridSpan w:val="3"/>
            <w:shd w:val="clear" w:color="auto" w:fill="auto"/>
            <w:tcMar>
              <w:top w:w="40" w:type="dxa"/>
              <w:left w:w="20" w:type="dxa"/>
              <w:bottom w:w="40" w:type="dxa"/>
              <w:right w:w="20" w:type="dxa"/>
            </w:tcMar>
            <w:vAlign w:val="center"/>
          </w:tcPr>
          <w:p w14:paraId="5EA282D7" w14:textId="77777777" w:rsidR="003C66EB" w:rsidRDefault="00D96C4E">
            <w:pPr>
              <w:textAlignment w:val="center"/>
            </w:pPr>
            <w:r>
              <w:rPr>
                <w:rFonts w:ascii="Arial" w:eastAsia="宋体" w:hAnsi="Arial" w:cs="Arial"/>
                <w:color w:val="000000"/>
                <w:sz w:val="16"/>
                <w:szCs w:val="16"/>
              </w:rPr>
              <w:t>HRC</w:t>
            </w:r>
          </w:p>
        </w:tc>
        <w:tc>
          <w:tcPr>
            <w:tcW w:w="0" w:type="auto"/>
            <w:gridSpan w:val="3"/>
            <w:shd w:val="clear" w:color="auto" w:fill="auto"/>
            <w:tcMar>
              <w:top w:w="40" w:type="dxa"/>
              <w:left w:w="20" w:type="dxa"/>
              <w:bottom w:w="40" w:type="dxa"/>
              <w:right w:w="20" w:type="dxa"/>
            </w:tcMar>
            <w:vAlign w:val="center"/>
          </w:tcPr>
          <w:p w14:paraId="5EA282D8" w14:textId="77777777" w:rsidR="003C66EB" w:rsidRDefault="00D96C4E">
            <w:pPr>
              <w:textAlignment w:val="center"/>
            </w:pPr>
            <w:r>
              <w:rPr>
                <w:rFonts w:ascii="Arial" w:eastAsia="宋体" w:hAnsi="Arial" w:cs="Arial"/>
                <w:color w:val="000000"/>
                <w:sz w:val="16"/>
                <w:szCs w:val="16"/>
              </w:rPr>
              <w:t>Human Resources Committee</w:t>
            </w:r>
          </w:p>
        </w:tc>
        <w:tc>
          <w:tcPr>
            <w:tcW w:w="0" w:type="auto"/>
            <w:gridSpan w:val="3"/>
            <w:shd w:val="clear" w:color="auto" w:fill="auto"/>
            <w:tcMar>
              <w:top w:w="40" w:type="dxa"/>
              <w:left w:w="20" w:type="dxa"/>
              <w:bottom w:w="40" w:type="dxa"/>
              <w:right w:w="20" w:type="dxa"/>
            </w:tcMar>
            <w:vAlign w:val="center"/>
          </w:tcPr>
          <w:p w14:paraId="5EA282D9" w14:textId="77777777" w:rsidR="003C66EB" w:rsidRDefault="00D96C4E">
            <w:pPr>
              <w:textAlignment w:val="center"/>
            </w:pPr>
            <w:r>
              <w:rPr>
                <w:rFonts w:ascii="Arial" w:eastAsia="宋体" w:hAnsi="Arial" w:cs="Arial"/>
                <w:color w:val="000000"/>
                <w:sz w:val="16"/>
                <w:szCs w:val="16"/>
              </w:rPr>
              <w:t>VIE</w:t>
            </w:r>
          </w:p>
        </w:tc>
        <w:tc>
          <w:tcPr>
            <w:tcW w:w="0" w:type="auto"/>
            <w:gridSpan w:val="3"/>
            <w:shd w:val="clear" w:color="auto" w:fill="auto"/>
            <w:tcMar>
              <w:top w:w="40" w:type="dxa"/>
              <w:left w:w="20" w:type="dxa"/>
              <w:bottom w:w="40" w:type="dxa"/>
              <w:right w:w="20" w:type="dxa"/>
            </w:tcMar>
            <w:vAlign w:val="center"/>
          </w:tcPr>
          <w:p w14:paraId="5EA282DA" w14:textId="77777777" w:rsidR="003C66EB" w:rsidRDefault="00D96C4E">
            <w:pPr>
              <w:textAlignment w:val="center"/>
            </w:pPr>
            <w:r>
              <w:rPr>
                <w:rFonts w:ascii="Arial" w:eastAsia="宋体" w:hAnsi="Arial" w:cs="Arial"/>
                <w:color w:val="000000"/>
                <w:sz w:val="16"/>
                <w:szCs w:val="16"/>
              </w:rPr>
              <w:t>Variable interest entity</w:t>
            </w:r>
          </w:p>
        </w:tc>
      </w:tr>
      <w:tr w:rsidR="003C66EB" w14:paraId="5EA282E0" w14:textId="77777777">
        <w:tc>
          <w:tcPr>
            <w:tcW w:w="0" w:type="auto"/>
            <w:gridSpan w:val="3"/>
            <w:shd w:val="clear" w:color="auto" w:fill="auto"/>
            <w:tcMar>
              <w:top w:w="40" w:type="dxa"/>
              <w:left w:w="20" w:type="dxa"/>
              <w:bottom w:w="40" w:type="dxa"/>
              <w:right w:w="20" w:type="dxa"/>
            </w:tcMar>
            <w:vAlign w:val="center"/>
          </w:tcPr>
          <w:p w14:paraId="5EA282DC" w14:textId="77777777" w:rsidR="003C66EB" w:rsidRDefault="00D96C4E">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5EA282DD" w14:textId="77777777" w:rsidR="003C66EB" w:rsidRDefault="00D96C4E">
            <w:pPr>
              <w:textAlignment w:val="center"/>
            </w:pPr>
            <w:r>
              <w:rPr>
                <w:rFonts w:ascii="Arial" w:eastAsia="宋体" w:hAnsi="Arial" w:cs="Arial"/>
                <w:color w:val="000000"/>
                <w:sz w:val="16"/>
                <w:szCs w:val="16"/>
              </w:rPr>
              <w:t>Held-to-maturity</w:t>
            </w:r>
          </w:p>
        </w:tc>
        <w:tc>
          <w:tcPr>
            <w:tcW w:w="0" w:type="auto"/>
            <w:gridSpan w:val="3"/>
            <w:shd w:val="clear" w:color="auto" w:fill="auto"/>
            <w:tcMar>
              <w:top w:w="40" w:type="dxa"/>
              <w:left w:w="20" w:type="dxa"/>
              <w:bottom w:w="40" w:type="dxa"/>
              <w:right w:w="20" w:type="dxa"/>
            </w:tcMar>
            <w:vAlign w:val="center"/>
          </w:tcPr>
          <w:p w14:paraId="5EA282DE" w14:textId="77777777" w:rsidR="003C66EB" w:rsidRDefault="00D96C4E">
            <w:pPr>
              <w:textAlignment w:val="center"/>
            </w:pPr>
            <w:r>
              <w:rPr>
                <w:rFonts w:ascii="Arial" w:eastAsia="宋体" w:hAnsi="Arial" w:cs="Arial"/>
                <w:color w:val="000000"/>
                <w:sz w:val="16"/>
                <w:szCs w:val="16"/>
              </w:rPr>
              <w:t>WD</w:t>
            </w:r>
          </w:p>
        </w:tc>
        <w:tc>
          <w:tcPr>
            <w:tcW w:w="0" w:type="auto"/>
            <w:gridSpan w:val="3"/>
            <w:shd w:val="clear" w:color="auto" w:fill="auto"/>
            <w:tcMar>
              <w:top w:w="40" w:type="dxa"/>
              <w:left w:w="20" w:type="dxa"/>
              <w:bottom w:w="40" w:type="dxa"/>
              <w:right w:w="20" w:type="dxa"/>
            </w:tcMar>
            <w:vAlign w:val="center"/>
          </w:tcPr>
          <w:p w14:paraId="5EA282DF" w14:textId="77777777" w:rsidR="003C66EB" w:rsidRDefault="00D96C4E">
            <w:pPr>
              <w:textAlignment w:val="center"/>
            </w:pPr>
            <w:r>
              <w:rPr>
                <w:rFonts w:ascii="Arial" w:eastAsia="宋体" w:hAnsi="Arial" w:cs="Arial"/>
                <w:color w:val="000000"/>
                <w:sz w:val="16"/>
                <w:szCs w:val="16"/>
              </w:rPr>
              <w:t>Withdrawn</w:t>
            </w:r>
          </w:p>
        </w:tc>
      </w:tr>
      <w:tr w:rsidR="003C66EB" w14:paraId="5EA282E5" w14:textId="77777777">
        <w:tc>
          <w:tcPr>
            <w:tcW w:w="0" w:type="auto"/>
            <w:gridSpan w:val="3"/>
            <w:shd w:val="clear" w:color="auto" w:fill="auto"/>
            <w:tcMar>
              <w:top w:w="40" w:type="dxa"/>
              <w:left w:w="20" w:type="dxa"/>
              <w:bottom w:w="40" w:type="dxa"/>
              <w:right w:w="20" w:type="dxa"/>
            </w:tcMar>
            <w:vAlign w:val="bottom"/>
          </w:tcPr>
          <w:p w14:paraId="5EA282E1" w14:textId="77777777" w:rsidR="003C66EB" w:rsidRDefault="00D96C4E">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5EA282E2" w14:textId="77777777" w:rsidR="003C66EB" w:rsidRDefault="00D96C4E">
            <w:pPr>
              <w:textAlignment w:val="bottom"/>
            </w:pPr>
            <w:r>
              <w:rPr>
                <w:rFonts w:ascii="Arial" w:eastAsia="宋体" w:hAnsi="Arial" w:cs="Arial"/>
                <w:color w:val="000000"/>
                <w:sz w:val="16"/>
                <w:szCs w:val="16"/>
              </w:rPr>
              <w:t xml:space="preserve">Insured Depository Institution </w:t>
            </w:r>
          </w:p>
        </w:tc>
        <w:tc>
          <w:tcPr>
            <w:tcW w:w="0" w:type="auto"/>
            <w:gridSpan w:val="3"/>
            <w:shd w:val="clear" w:color="auto" w:fill="auto"/>
            <w:tcMar>
              <w:top w:w="0" w:type="dxa"/>
              <w:left w:w="20" w:type="dxa"/>
              <w:bottom w:w="0" w:type="dxa"/>
              <w:right w:w="20" w:type="dxa"/>
            </w:tcMar>
          </w:tcPr>
          <w:p w14:paraId="5EA282E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2E4" w14:textId="77777777" w:rsidR="003C66EB" w:rsidRDefault="003C66EB">
            <w:pPr>
              <w:rPr>
                <w:rFonts w:ascii="宋体"/>
              </w:rPr>
            </w:pPr>
          </w:p>
        </w:tc>
      </w:tr>
      <w:tr w:rsidR="003C66EB" w14:paraId="5EA282EA" w14:textId="77777777">
        <w:trPr>
          <w:trHeight w:val="240"/>
        </w:trPr>
        <w:tc>
          <w:tcPr>
            <w:tcW w:w="0" w:type="auto"/>
            <w:gridSpan w:val="3"/>
            <w:shd w:val="clear" w:color="auto" w:fill="auto"/>
            <w:tcMar>
              <w:top w:w="0" w:type="dxa"/>
              <w:left w:w="20" w:type="dxa"/>
              <w:bottom w:w="0" w:type="dxa"/>
              <w:right w:w="20" w:type="dxa"/>
            </w:tcMar>
          </w:tcPr>
          <w:p w14:paraId="5EA282E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2E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2E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2E9" w14:textId="77777777" w:rsidR="003C66EB" w:rsidRDefault="003C66EB">
            <w:pPr>
              <w:rPr>
                <w:rFonts w:ascii="宋体"/>
              </w:rPr>
            </w:pPr>
          </w:p>
        </w:tc>
      </w:tr>
      <w:tr w:rsidR="003C66EB" w14:paraId="5EA282EF" w14:textId="77777777">
        <w:trPr>
          <w:hidden/>
        </w:trPr>
        <w:tc>
          <w:tcPr>
            <w:tcW w:w="0" w:type="auto"/>
            <w:gridSpan w:val="3"/>
            <w:shd w:val="clear" w:color="auto" w:fill="auto"/>
          </w:tcPr>
          <w:p w14:paraId="5EA282EB" w14:textId="77777777" w:rsidR="003C66EB" w:rsidRDefault="003C66EB">
            <w:pPr>
              <w:rPr>
                <w:rFonts w:ascii="宋体"/>
                <w:vanish/>
              </w:rPr>
            </w:pPr>
          </w:p>
        </w:tc>
        <w:tc>
          <w:tcPr>
            <w:tcW w:w="0" w:type="auto"/>
            <w:gridSpan w:val="3"/>
            <w:shd w:val="clear" w:color="auto" w:fill="auto"/>
          </w:tcPr>
          <w:p w14:paraId="5EA282EC" w14:textId="77777777" w:rsidR="003C66EB" w:rsidRDefault="003C66EB">
            <w:pPr>
              <w:rPr>
                <w:rFonts w:ascii="宋体"/>
                <w:vanish/>
              </w:rPr>
            </w:pPr>
          </w:p>
        </w:tc>
        <w:tc>
          <w:tcPr>
            <w:tcW w:w="0" w:type="auto"/>
            <w:gridSpan w:val="3"/>
            <w:shd w:val="clear" w:color="auto" w:fill="auto"/>
          </w:tcPr>
          <w:p w14:paraId="5EA282ED" w14:textId="77777777" w:rsidR="003C66EB" w:rsidRDefault="003C66EB">
            <w:pPr>
              <w:rPr>
                <w:rFonts w:ascii="宋体"/>
                <w:vanish/>
              </w:rPr>
            </w:pPr>
          </w:p>
        </w:tc>
        <w:tc>
          <w:tcPr>
            <w:tcW w:w="0" w:type="auto"/>
            <w:gridSpan w:val="3"/>
            <w:shd w:val="clear" w:color="auto" w:fill="auto"/>
          </w:tcPr>
          <w:p w14:paraId="5EA282EE" w14:textId="77777777" w:rsidR="003C66EB" w:rsidRDefault="003C66EB">
            <w:pPr>
              <w:rPr>
                <w:rFonts w:ascii="宋体"/>
                <w:vanish/>
              </w:rPr>
            </w:pPr>
          </w:p>
        </w:tc>
      </w:tr>
      <w:tr w:rsidR="003C66EB" w14:paraId="5EA282F4" w14:textId="77777777">
        <w:trPr>
          <w:hidden/>
        </w:trPr>
        <w:tc>
          <w:tcPr>
            <w:tcW w:w="0" w:type="auto"/>
            <w:gridSpan w:val="3"/>
            <w:shd w:val="clear" w:color="auto" w:fill="auto"/>
          </w:tcPr>
          <w:p w14:paraId="5EA282F0" w14:textId="77777777" w:rsidR="003C66EB" w:rsidRDefault="003C66EB">
            <w:pPr>
              <w:rPr>
                <w:rFonts w:ascii="宋体"/>
                <w:vanish/>
              </w:rPr>
            </w:pPr>
          </w:p>
        </w:tc>
        <w:tc>
          <w:tcPr>
            <w:tcW w:w="0" w:type="auto"/>
            <w:gridSpan w:val="3"/>
            <w:shd w:val="clear" w:color="auto" w:fill="auto"/>
          </w:tcPr>
          <w:p w14:paraId="5EA282F1" w14:textId="77777777" w:rsidR="003C66EB" w:rsidRDefault="003C66EB">
            <w:pPr>
              <w:rPr>
                <w:rFonts w:ascii="宋体"/>
                <w:vanish/>
              </w:rPr>
            </w:pPr>
          </w:p>
        </w:tc>
        <w:tc>
          <w:tcPr>
            <w:tcW w:w="0" w:type="auto"/>
            <w:gridSpan w:val="3"/>
            <w:shd w:val="clear" w:color="auto" w:fill="auto"/>
          </w:tcPr>
          <w:p w14:paraId="5EA282F2" w14:textId="77777777" w:rsidR="003C66EB" w:rsidRDefault="003C66EB">
            <w:pPr>
              <w:rPr>
                <w:rFonts w:ascii="宋体"/>
                <w:vanish/>
              </w:rPr>
            </w:pPr>
          </w:p>
        </w:tc>
        <w:tc>
          <w:tcPr>
            <w:tcW w:w="0" w:type="auto"/>
            <w:gridSpan w:val="3"/>
            <w:shd w:val="clear" w:color="auto" w:fill="auto"/>
          </w:tcPr>
          <w:p w14:paraId="5EA282F3" w14:textId="77777777" w:rsidR="003C66EB" w:rsidRDefault="003C66EB">
            <w:pPr>
              <w:rPr>
                <w:rFonts w:ascii="宋体"/>
                <w:vanish/>
              </w:rPr>
            </w:pPr>
          </w:p>
        </w:tc>
      </w:tr>
      <w:tr w:rsidR="003C66EB" w14:paraId="5EA282F9" w14:textId="77777777">
        <w:trPr>
          <w:hidden/>
        </w:trPr>
        <w:tc>
          <w:tcPr>
            <w:tcW w:w="0" w:type="auto"/>
            <w:gridSpan w:val="3"/>
            <w:shd w:val="clear" w:color="auto" w:fill="auto"/>
          </w:tcPr>
          <w:p w14:paraId="5EA282F5" w14:textId="77777777" w:rsidR="003C66EB" w:rsidRDefault="003C66EB">
            <w:pPr>
              <w:rPr>
                <w:rFonts w:ascii="宋体"/>
                <w:vanish/>
              </w:rPr>
            </w:pPr>
          </w:p>
        </w:tc>
        <w:tc>
          <w:tcPr>
            <w:tcW w:w="0" w:type="auto"/>
            <w:gridSpan w:val="3"/>
            <w:shd w:val="clear" w:color="auto" w:fill="auto"/>
          </w:tcPr>
          <w:p w14:paraId="5EA282F6" w14:textId="77777777" w:rsidR="003C66EB" w:rsidRDefault="003C66EB">
            <w:pPr>
              <w:rPr>
                <w:rFonts w:ascii="宋体"/>
                <w:vanish/>
              </w:rPr>
            </w:pPr>
          </w:p>
        </w:tc>
        <w:tc>
          <w:tcPr>
            <w:tcW w:w="0" w:type="auto"/>
            <w:gridSpan w:val="3"/>
            <w:shd w:val="clear" w:color="auto" w:fill="auto"/>
          </w:tcPr>
          <w:p w14:paraId="5EA282F7" w14:textId="77777777" w:rsidR="003C66EB" w:rsidRDefault="003C66EB">
            <w:pPr>
              <w:rPr>
                <w:rFonts w:ascii="宋体"/>
                <w:vanish/>
              </w:rPr>
            </w:pPr>
          </w:p>
        </w:tc>
        <w:tc>
          <w:tcPr>
            <w:tcW w:w="0" w:type="auto"/>
            <w:gridSpan w:val="3"/>
            <w:shd w:val="clear" w:color="auto" w:fill="auto"/>
          </w:tcPr>
          <w:p w14:paraId="5EA282F8" w14:textId="77777777" w:rsidR="003C66EB" w:rsidRDefault="003C66EB">
            <w:pPr>
              <w:rPr>
                <w:rFonts w:ascii="宋体"/>
                <w:vanish/>
              </w:rPr>
            </w:pPr>
          </w:p>
        </w:tc>
      </w:tr>
      <w:tr w:rsidR="003C66EB" w14:paraId="5EA282FE" w14:textId="77777777">
        <w:trPr>
          <w:hidden/>
        </w:trPr>
        <w:tc>
          <w:tcPr>
            <w:tcW w:w="0" w:type="auto"/>
            <w:gridSpan w:val="3"/>
            <w:shd w:val="clear" w:color="auto" w:fill="auto"/>
          </w:tcPr>
          <w:p w14:paraId="5EA282FA" w14:textId="77777777" w:rsidR="003C66EB" w:rsidRDefault="003C66EB">
            <w:pPr>
              <w:rPr>
                <w:rFonts w:ascii="宋体"/>
                <w:vanish/>
              </w:rPr>
            </w:pPr>
          </w:p>
        </w:tc>
        <w:tc>
          <w:tcPr>
            <w:tcW w:w="0" w:type="auto"/>
            <w:gridSpan w:val="3"/>
            <w:shd w:val="clear" w:color="auto" w:fill="auto"/>
          </w:tcPr>
          <w:p w14:paraId="5EA282FB" w14:textId="77777777" w:rsidR="003C66EB" w:rsidRDefault="003C66EB">
            <w:pPr>
              <w:rPr>
                <w:rFonts w:ascii="宋体"/>
                <w:vanish/>
              </w:rPr>
            </w:pPr>
          </w:p>
        </w:tc>
        <w:tc>
          <w:tcPr>
            <w:tcW w:w="0" w:type="auto"/>
            <w:gridSpan w:val="3"/>
            <w:shd w:val="clear" w:color="auto" w:fill="auto"/>
          </w:tcPr>
          <w:p w14:paraId="5EA282FC" w14:textId="77777777" w:rsidR="003C66EB" w:rsidRDefault="003C66EB">
            <w:pPr>
              <w:rPr>
                <w:rFonts w:ascii="宋体"/>
                <w:vanish/>
              </w:rPr>
            </w:pPr>
          </w:p>
        </w:tc>
        <w:tc>
          <w:tcPr>
            <w:tcW w:w="0" w:type="auto"/>
            <w:gridSpan w:val="3"/>
            <w:shd w:val="clear" w:color="auto" w:fill="auto"/>
          </w:tcPr>
          <w:p w14:paraId="5EA282FD" w14:textId="77777777" w:rsidR="003C66EB" w:rsidRDefault="003C66EB">
            <w:pPr>
              <w:rPr>
                <w:rFonts w:ascii="宋体"/>
                <w:vanish/>
              </w:rPr>
            </w:pPr>
          </w:p>
        </w:tc>
      </w:tr>
      <w:tr w:rsidR="003C66EB" w14:paraId="5EA28303" w14:textId="77777777">
        <w:trPr>
          <w:hidden/>
        </w:trPr>
        <w:tc>
          <w:tcPr>
            <w:tcW w:w="0" w:type="auto"/>
            <w:gridSpan w:val="3"/>
            <w:shd w:val="clear" w:color="auto" w:fill="auto"/>
          </w:tcPr>
          <w:p w14:paraId="5EA282FF" w14:textId="77777777" w:rsidR="003C66EB" w:rsidRDefault="003C66EB">
            <w:pPr>
              <w:rPr>
                <w:rFonts w:ascii="宋体"/>
                <w:vanish/>
              </w:rPr>
            </w:pPr>
          </w:p>
        </w:tc>
        <w:tc>
          <w:tcPr>
            <w:tcW w:w="0" w:type="auto"/>
            <w:gridSpan w:val="3"/>
            <w:shd w:val="clear" w:color="auto" w:fill="auto"/>
          </w:tcPr>
          <w:p w14:paraId="5EA28300" w14:textId="77777777" w:rsidR="003C66EB" w:rsidRDefault="003C66EB">
            <w:pPr>
              <w:rPr>
                <w:rFonts w:ascii="宋体"/>
                <w:vanish/>
              </w:rPr>
            </w:pPr>
          </w:p>
        </w:tc>
        <w:tc>
          <w:tcPr>
            <w:tcW w:w="0" w:type="auto"/>
            <w:gridSpan w:val="3"/>
            <w:shd w:val="clear" w:color="auto" w:fill="auto"/>
          </w:tcPr>
          <w:p w14:paraId="5EA28301" w14:textId="77777777" w:rsidR="003C66EB" w:rsidRDefault="003C66EB">
            <w:pPr>
              <w:rPr>
                <w:rFonts w:ascii="宋体"/>
                <w:vanish/>
              </w:rPr>
            </w:pPr>
          </w:p>
        </w:tc>
        <w:tc>
          <w:tcPr>
            <w:tcW w:w="0" w:type="auto"/>
            <w:gridSpan w:val="3"/>
            <w:shd w:val="clear" w:color="auto" w:fill="auto"/>
          </w:tcPr>
          <w:p w14:paraId="5EA28302" w14:textId="77777777" w:rsidR="003C66EB" w:rsidRDefault="003C66EB">
            <w:pPr>
              <w:rPr>
                <w:rFonts w:ascii="宋体"/>
                <w:vanish/>
              </w:rPr>
            </w:pPr>
          </w:p>
        </w:tc>
      </w:tr>
      <w:tr w:rsidR="003C66EB" w14:paraId="5EA28308" w14:textId="77777777">
        <w:trPr>
          <w:hidden/>
        </w:trPr>
        <w:tc>
          <w:tcPr>
            <w:tcW w:w="0" w:type="auto"/>
            <w:gridSpan w:val="3"/>
            <w:shd w:val="clear" w:color="auto" w:fill="auto"/>
          </w:tcPr>
          <w:p w14:paraId="5EA28304" w14:textId="77777777" w:rsidR="003C66EB" w:rsidRDefault="003C66EB">
            <w:pPr>
              <w:rPr>
                <w:rFonts w:ascii="宋体"/>
                <w:vanish/>
              </w:rPr>
            </w:pPr>
          </w:p>
        </w:tc>
        <w:tc>
          <w:tcPr>
            <w:tcW w:w="0" w:type="auto"/>
            <w:gridSpan w:val="3"/>
            <w:shd w:val="clear" w:color="auto" w:fill="auto"/>
          </w:tcPr>
          <w:p w14:paraId="5EA28305" w14:textId="77777777" w:rsidR="003C66EB" w:rsidRDefault="003C66EB">
            <w:pPr>
              <w:rPr>
                <w:rFonts w:ascii="宋体"/>
                <w:vanish/>
              </w:rPr>
            </w:pPr>
          </w:p>
        </w:tc>
        <w:tc>
          <w:tcPr>
            <w:tcW w:w="0" w:type="auto"/>
            <w:gridSpan w:val="3"/>
            <w:shd w:val="clear" w:color="auto" w:fill="auto"/>
          </w:tcPr>
          <w:p w14:paraId="5EA28306" w14:textId="77777777" w:rsidR="003C66EB" w:rsidRDefault="003C66EB">
            <w:pPr>
              <w:rPr>
                <w:rFonts w:ascii="宋体"/>
                <w:vanish/>
              </w:rPr>
            </w:pPr>
          </w:p>
        </w:tc>
        <w:tc>
          <w:tcPr>
            <w:tcW w:w="0" w:type="auto"/>
            <w:gridSpan w:val="3"/>
            <w:shd w:val="clear" w:color="auto" w:fill="auto"/>
          </w:tcPr>
          <w:p w14:paraId="5EA28307" w14:textId="77777777" w:rsidR="003C66EB" w:rsidRDefault="003C66EB">
            <w:pPr>
              <w:rPr>
                <w:rFonts w:ascii="宋体"/>
                <w:vanish/>
              </w:rPr>
            </w:pPr>
          </w:p>
        </w:tc>
      </w:tr>
      <w:tr w:rsidR="003C66EB" w14:paraId="5EA2830D" w14:textId="77777777">
        <w:trPr>
          <w:hidden/>
        </w:trPr>
        <w:tc>
          <w:tcPr>
            <w:tcW w:w="0" w:type="auto"/>
            <w:gridSpan w:val="3"/>
            <w:shd w:val="clear" w:color="auto" w:fill="auto"/>
          </w:tcPr>
          <w:p w14:paraId="5EA28309" w14:textId="77777777" w:rsidR="003C66EB" w:rsidRDefault="003C66EB">
            <w:pPr>
              <w:rPr>
                <w:rFonts w:ascii="宋体"/>
                <w:vanish/>
              </w:rPr>
            </w:pPr>
          </w:p>
        </w:tc>
        <w:tc>
          <w:tcPr>
            <w:tcW w:w="0" w:type="auto"/>
            <w:gridSpan w:val="3"/>
            <w:shd w:val="clear" w:color="auto" w:fill="auto"/>
          </w:tcPr>
          <w:p w14:paraId="5EA2830A" w14:textId="77777777" w:rsidR="003C66EB" w:rsidRDefault="003C66EB">
            <w:pPr>
              <w:rPr>
                <w:rFonts w:ascii="宋体"/>
                <w:vanish/>
              </w:rPr>
            </w:pPr>
          </w:p>
        </w:tc>
        <w:tc>
          <w:tcPr>
            <w:tcW w:w="0" w:type="auto"/>
            <w:gridSpan w:val="3"/>
            <w:shd w:val="clear" w:color="auto" w:fill="auto"/>
          </w:tcPr>
          <w:p w14:paraId="5EA2830B" w14:textId="77777777" w:rsidR="003C66EB" w:rsidRDefault="003C66EB">
            <w:pPr>
              <w:rPr>
                <w:rFonts w:ascii="宋体"/>
                <w:vanish/>
              </w:rPr>
            </w:pPr>
          </w:p>
        </w:tc>
        <w:tc>
          <w:tcPr>
            <w:tcW w:w="0" w:type="auto"/>
            <w:gridSpan w:val="3"/>
            <w:shd w:val="clear" w:color="auto" w:fill="auto"/>
          </w:tcPr>
          <w:p w14:paraId="5EA2830C" w14:textId="77777777" w:rsidR="003C66EB" w:rsidRDefault="003C66EB">
            <w:pPr>
              <w:rPr>
                <w:rFonts w:ascii="宋体"/>
                <w:vanish/>
              </w:rPr>
            </w:pPr>
          </w:p>
        </w:tc>
      </w:tr>
      <w:tr w:rsidR="003C66EB" w14:paraId="5EA28312" w14:textId="77777777">
        <w:trPr>
          <w:hidden/>
        </w:trPr>
        <w:tc>
          <w:tcPr>
            <w:tcW w:w="0" w:type="auto"/>
            <w:gridSpan w:val="3"/>
            <w:shd w:val="clear" w:color="auto" w:fill="auto"/>
          </w:tcPr>
          <w:p w14:paraId="5EA2830E" w14:textId="77777777" w:rsidR="003C66EB" w:rsidRDefault="003C66EB">
            <w:pPr>
              <w:rPr>
                <w:rFonts w:ascii="宋体"/>
                <w:vanish/>
              </w:rPr>
            </w:pPr>
          </w:p>
        </w:tc>
        <w:tc>
          <w:tcPr>
            <w:tcW w:w="0" w:type="auto"/>
            <w:gridSpan w:val="3"/>
            <w:shd w:val="clear" w:color="auto" w:fill="auto"/>
          </w:tcPr>
          <w:p w14:paraId="5EA2830F" w14:textId="77777777" w:rsidR="003C66EB" w:rsidRDefault="003C66EB">
            <w:pPr>
              <w:rPr>
                <w:rFonts w:ascii="宋体"/>
                <w:vanish/>
              </w:rPr>
            </w:pPr>
          </w:p>
        </w:tc>
        <w:tc>
          <w:tcPr>
            <w:tcW w:w="0" w:type="auto"/>
            <w:gridSpan w:val="3"/>
            <w:shd w:val="clear" w:color="auto" w:fill="auto"/>
          </w:tcPr>
          <w:p w14:paraId="5EA28310" w14:textId="77777777" w:rsidR="003C66EB" w:rsidRDefault="003C66EB">
            <w:pPr>
              <w:rPr>
                <w:rFonts w:ascii="宋体"/>
                <w:vanish/>
              </w:rPr>
            </w:pPr>
          </w:p>
        </w:tc>
        <w:tc>
          <w:tcPr>
            <w:tcW w:w="0" w:type="auto"/>
            <w:gridSpan w:val="3"/>
            <w:shd w:val="clear" w:color="auto" w:fill="auto"/>
          </w:tcPr>
          <w:p w14:paraId="5EA28311" w14:textId="77777777" w:rsidR="003C66EB" w:rsidRDefault="003C66EB">
            <w:pPr>
              <w:rPr>
                <w:rFonts w:ascii="宋体"/>
                <w:vanish/>
              </w:rPr>
            </w:pPr>
          </w:p>
        </w:tc>
      </w:tr>
      <w:tr w:rsidR="003C66EB" w14:paraId="5EA28317" w14:textId="77777777">
        <w:trPr>
          <w:hidden/>
        </w:trPr>
        <w:tc>
          <w:tcPr>
            <w:tcW w:w="0" w:type="auto"/>
            <w:gridSpan w:val="3"/>
            <w:shd w:val="clear" w:color="auto" w:fill="auto"/>
          </w:tcPr>
          <w:p w14:paraId="5EA28313" w14:textId="77777777" w:rsidR="003C66EB" w:rsidRDefault="003C66EB">
            <w:pPr>
              <w:rPr>
                <w:rFonts w:ascii="宋体"/>
                <w:vanish/>
              </w:rPr>
            </w:pPr>
          </w:p>
        </w:tc>
        <w:tc>
          <w:tcPr>
            <w:tcW w:w="0" w:type="auto"/>
            <w:gridSpan w:val="3"/>
            <w:shd w:val="clear" w:color="auto" w:fill="auto"/>
          </w:tcPr>
          <w:p w14:paraId="5EA28314" w14:textId="77777777" w:rsidR="003C66EB" w:rsidRDefault="003C66EB">
            <w:pPr>
              <w:rPr>
                <w:rFonts w:ascii="宋体"/>
                <w:vanish/>
              </w:rPr>
            </w:pPr>
          </w:p>
        </w:tc>
        <w:tc>
          <w:tcPr>
            <w:tcW w:w="0" w:type="auto"/>
            <w:gridSpan w:val="3"/>
            <w:shd w:val="clear" w:color="auto" w:fill="auto"/>
          </w:tcPr>
          <w:p w14:paraId="5EA28315" w14:textId="77777777" w:rsidR="003C66EB" w:rsidRDefault="003C66EB">
            <w:pPr>
              <w:rPr>
                <w:rFonts w:ascii="宋体"/>
                <w:vanish/>
              </w:rPr>
            </w:pPr>
          </w:p>
        </w:tc>
        <w:tc>
          <w:tcPr>
            <w:tcW w:w="0" w:type="auto"/>
            <w:gridSpan w:val="3"/>
            <w:shd w:val="clear" w:color="auto" w:fill="auto"/>
          </w:tcPr>
          <w:p w14:paraId="5EA28316" w14:textId="77777777" w:rsidR="003C66EB" w:rsidRDefault="003C66EB">
            <w:pPr>
              <w:rPr>
                <w:rFonts w:ascii="宋体"/>
                <w:vanish/>
              </w:rPr>
            </w:pPr>
          </w:p>
        </w:tc>
      </w:tr>
      <w:tr w:rsidR="003C66EB" w14:paraId="5EA2831C" w14:textId="77777777">
        <w:trPr>
          <w:hidden/>
        </w:trPr>
        <w:tc>
          <w:tcPr>
            <w:tcW w:w="0" w:type="auto"/>
            <w:gridSpan w:val="3"/>
            <w:shd w:val="clear" w:color="auto" w:fill="auto"/>
          </w:tcPr>
          <w:p w14:paraId="5EA28318" w14:textId="77777777" w:rsidR="003C66EB" w:rsidRDefault="003C66EB">
            <w:pPr>
              <w:rPr>
                <w:rFonts w:ascii="宋体"/>
                <w:vanish/>
              </w:rPr>
            </w:pPr>
          </w:p>
        </w:tc>
        <w:tc>
          <w:tcPr>
            <w:tcW w:w="0" w:type="auto"/>
            <w:gridSpan w:val="3"/>
            <w:shd w:val="clear" w:color="auto" w:fill="auto"/>
          </w:tcPr>
          <w:p w14:paraId="5EA28319" w14:textId="77777777" w:rsidR="003C66EB" w:rsidRDefault="003C66EB">
            <w:pPr>
              <w:rPr>
                <w:rFonts w:ascii="宋体"/>
                <w:vanish/>
              </w:rPr>
            </w:pPr>
          </w:p>
        </w:tc>
        <w:tc>
          <w:tcPr>
            <w:tcW w:w="0" w:type="auto"/>
            <w:gridSpan w:val="3"/>
            <w:shd w:val="clear" w:color="auto" w:fill="auto"/>
          </w:tcPr>
          <w:p w14:paraId="5EA2831A" w14:textId="77777777" w:rsidR="003C66EB" w:rsidRDefault="003C66EB">
            <w:pPr>
              <w:rPr>
                <w:rFonts w:ascii="宋体"/>
                <w:vanish/>
              </w:rPr>
            </w:pPr>
          </w:p>
        </w:tc>
        <w:tc>
          <w:tcPr>
            <w:tcW w:w="0" w:type="auto"/>
            <w:gridSpan w:val="3"/>
            <w:shd w:val="clear" w:color="auto" w:fill="auto"/>
          </w:tcPr>
          <w:p w14:paraId="5EA2831B" w14:textId="77777777" w:rsidR="003C66EB" w:rsidRDefault="003C66EB">
            <w:pPr>
              <w:rPr>
                <w:rFonts w:ascii="宋体"/>
                <w:vanish/>
              </w:rPr>
            </w:pPr>
          </w:p>
        </w:tc>
      </w:tr>
      <w:tr w:rsidR="003C66EB" w14:paraId="5EA28321" w14:textId="77777777">
        <w:trPr>
          <w:hidden/>
        </w:trPr>
        <w:tc>
          <w:tcPr>
            <w:tcW w:w="0" w:type="auto"/>
            <w:gridSpan w:val="3"/>
            <w:shd w:val="clear" w:color="auto" w:fill="auto"/>
          </w:tcPr>
          <w:p w14:paraId="5EA2831D" w14:textId="77777777" w:rsidR="003C66EB" w:rsidRDefault="003C66EB">
            <w:pPr>
              <w:rPr>
                <w:rFonts w:ascii="宋体"/>
                <w:vanish/>
              </w:rPr>
            </w:pPr>
          </w:p>
        </w:tc>
        <w:tc>
          <w:tcPr>
            <w:tcW w:w="0" w:type="auto"/>
            <w:gridSpan w:val="3"/>
            <w:shd w:val="clear" w:color="auto" w:fill="auto"/>
          </w:tcPr>
          <w:p w14:paraId="5EA2831E" w14:textId="77777777" w:rsidR="003C66EB" w:rsidRDefault="003C66EB">
            <w:pPr>
              <w:rPr>
                <w:rFonts w:ascii="宋体"/>
                <w:vanish/>
              </w:rPr>
            </w:pPr>
          </w:p>
        </w:tc>
        <w:tc>
          <w:tcPr>
            <w:tcW w:w="0" w:type="auto"/>
            <w:gridSpan w:val="3"/>
            <w:shd w:val="clear" w:color="auto" w:fill="auto"/>
          </w:tcPr>
          <w:p w14:paraId="5EA2831F" w14:textId="77777777" w:rsidR="003C66EB" w:rsidRDefault="003C66EB">
            <w:pPr>
              <w:rPr>
                <w:rFonts w:ascii="宋体"/>
                <w:vanish/>
              </w:rPr>
            </w:pPr>
          </w:p>
        </w:tc>
        <w:tc>
          <w:tcPr>
            <w:tcW w:w="0" w:type="auto"/>
            <w:gridSpan w:val="3"/>
            <w:shd w:val="clear" w:color="auto" w:fill="auto"/>
          </w:tcPr>
          <w:p w14:paraId="5EA28320" w14:textId="77777777" w:rsidR="003C66EB" w:rsidRDefault="003C66EB">
            <w:pPr>
              <w:rPr>
                <w:rFonts w:ascii="宋体"/>
                <w:vanish/>
              </w:rPr>
            </w:pPr>
          </w:p>
        </w:tc>
      </w:tr>
      <w:tr w:rsidR="003C66EB" w14:paraId="5EA28326" w14:textId="77777777">
        <w:trPr>
          <w:hidden/>
        </w:trPr>
        <w:tc>
          <w:tcPr>
            <w:tcW w:w="0" w:type="auto"/>
            <w:gridSpan w:val="3"/>
            <w:shd w:val="clear" w:color="auto" w:fill="auto"/>
          </w:tcPr>
          <w:p w14:paraId="5EA28322" w14:textId="77777777" w:rsidR="003C66EB" w:rsidRDefault="003C66EB">
            <w:pPr>
              <w:rPr>
                <w:rFonts w:ascii="宋体"/>
                <w:vanish/>
              </w:rPr>
            </w:pPr>
          </w:p>
        </w:tc>
        <w:tc>
          <w:tcPr>
            <w:tcW w:w="0" w:type="auto"/>
            <w:gridSpan w:val="3"/>
            <w:shd w:val="clear" w:color="auto" w:fill="auto"/>
          </w:tcPr>
          <w:p w14:paraId="5EA28323" w14:textId="77777777" w:rsidR="003C66EB" w:rsidRDefault="003C66EB">
            <w:pPr>
              <w:rPr>
                <w:rFonts w:ascii="宋体"/>
                <w:vanish/>
              </w:rPr>
            </w:pPr>
          </w:p>
        </w:tc>
        <w:tc>
          <w:tcPr>
            <w:tcW w:w="0" w:type="auto"/>
            <w:gridSpan w:val="3"/>
            <w:shd w:val="clear" w:color="auto" w:fill="auto"/>
          </w:tcPr>
          <w:p w14:paraId="5EA28324" w14:textId="77777777" w:rsidR="003C66EB" w:rsidRDefault="003C66EB">
            <w:pPr>
              <w:rPr>
                <w:rFonts w:ascii="宋体"/>
                <w:vanish/>
              </w:rPr>
            </w:pPr>
          </w:p>
        </w:tc>
        <w:tc>
          <w:tcPr>
            <w:tcW w:w="0" w:type="auto"/>
            <w:gridSpan w:val="3"/>
            <w:shd w:val="clear" w:color="auto" w:fill="auto"/>
          </w:tcPr>
          <w:p w14:paraId="5EA28325" w14:textId="77777777" w:rsidR="003C66EB" w:rsidRDefault="003C66EB">
            <w:pPr>
              <w:rPr>
                <w:rFonts w:ascii="宋体"/>
                <w:vanish/>
              </w:rPr>
            </w:pPr>
          </w:p>
        </w:tc>
      </w:tr>
      <w:tr w:rsidR="003C66EB" w14:paraId="5EA2832B" w14:textId="77777777">
        <w:trPr>
          <w:hidden/>
        </w:trPr>
        <w:tc>
          <w:tcPr>
            <w:tcW w:w="0" w:type="auto"/>
            <w:gridSpan w:val="3"/>
            <w:shd w:val="clear" w:color="auto" w:fill="auto"/>
          </w:tcPr>
          <w:p w14:paraId="5EA28327" w14:textId="77777777" w:rsidR="003C66EB" w:rsidRDefault="003C66EB">
            <w:pPr>
              <w:rPr>
                <w:rFonts w:ascii="宋体"/>
                <w:vanish/>
              </w:rPr>
            </w:pPr>
          </w:p>
        </w:tc>
        <w:tc>
          <w:tcPr>
            <w:tcW w:w="0" w:type="auto"/>
            <w:gridSpan w:val="3"/>
            <w:shd w:val="clear" w:color="auto" w:fill="auto"/>
          </w:tcPr>
          <w:p w14:paraId="5EA28328" w14:textId="77777777" w:rsidR="003C66EB" w:rsidRDefault="003C66EB">
            <w:pPr>
              <w:rPr>
                <w:rFonts w:ascii="宋体"/>
                <w:vanish/>
              </w:rPr>
            </w:pPr>
          </w:p>
        </w:tc>
        <w:tc>
          <w:tcPr>
            <w:tcW w:w="0" w:type="auto"/>
            <w:gridSpan w:val="3"/>
            <w:shd w:val="clear" w:color="auto" w:fill="auto"/>
          </w:tcPr>
          <w:p w14:paraId="5EA28329" w14:textId="77777777" w:rsidR="003C66EB" w:rsidRDefault="003C66EB">
            <w:pPr>
              <w:rPr>
                <w:rFonts w:ascii="宋体"/>
                <w:vanish/>
              </w:rPr>
            </w:pPr>
          </w:p>
        </w:tc>
        <w:tc>
          <w:tcPr>
            <w:tcW w:w="0" w:type="auto"/>
            <w:gridSpan w:val="3"/>
            <w:shd w:val="clear" w:color="auto" w:fill="auto"/>
          </w:tcPr>
          <w:p w14:paraId="5EA2832A" w14:textId="77777777" w:rsidR="003C66EB" w:rsidRDefault="003C66EB">
            <w:pPr>
              <w:rPr>
                <w:rFonts w:ascii="宋体"/>
                <w:vanish/>
              </w:rPr>
            </w:pPr>
          </w:p>
        </w:tc>
      </w:tr>
      <w:tr w:rsidR="003C66EB" w14:paraId="5EA28330" w14:textId="77777777">
        <w:trPr>
          <w:hidden/>
        </w:trPr>
        <w:tc>
          <w:tcPr>
            <w:tcW w:w="0" w:type="auto"/>
            <w:gridSpan w:val="3"/>
            <w:shd w:val="clear" w:color="auto" w:fill="auto"/>
          </w:tcPr>
          <w:p w14:paraId="5EA2832C" w14:textId="77777777" w:rsidR="003C66EB" w:rsidRDefault="003C66EB">
            <w:pPr>
              <w:rPr>
                <w:rFonts w:ascii="宋体"/>
                <w:vanish/>
              </w:rPr>
            </w:pPr>
          </w:p>
        </w:tc>
        <w:tc>
          <w:tcPr>
            <w:tcW w:w="0" w:type="auto"/>
            <w:gridSpan w:val="3"/>
            <w:shd w:val="clear" w:color="auto" w:fill="auto"/>
          </w:tcPr>
          <w:p w14:paraId="5EA2832D" w14:textId="77777777" w:rsidR="003C66EB" w:rsidRDefault="003C66EB">
            <w:pPr>
              <w:rPr>
                <w:rFonts w:ascii="宋体"/>
                <w:vanish/>
              </w:rPr>
            </w:pPr>
          </w:p>
        </w:tc>
        <w:tc>
          <w:tcPr>
            <w:tcW w:w="0" w:type="auto"/>
            <w:gridSpan w:val="3"/>
            <w:shd w:val="clear" w:color="auto" w:fill="auto"/>
          </w:tcPr>
          <w:p w14:paraId="5EA2832E" w14:textId="77777777" w:rsidR="003C66EB" w:rsidRDefault="003C66EB">
            <w:pPr>
              <w:rPr>
                <w:rFonts w:ascii="宋体"/>
                <w:vanish/>
              </w:rPr>
            </w:pPr>
          </w:p>
        </w:tc>
        <w:tc>
          <w:tcPr>
            <w:tcW w:w="0" w:type="auto"/>
            <w:gridSpan w:val="3"/>
            <w:shd w:val="clear" w:color="auto" w:fill="auto"/>
          </w:tcPr>
          <w:p w14:paraId="5EA2832F" w14:textId="77777777" w:rsidR="003C66EB" w:rsidRDefault="003C66EB">
            <w:pPr>
              <w:rPr>
                <w:rFonts w:ascii="宋体"/>
                <w:vanish/>
              </w:rPr>
            </w:pPr>
          </w:p>
        </w:tc>
      </w:tr>
      <w:tr w:rsidR="003C66EB" w14:paraId="5EA28335" w14:textId="77777777">
        <w:trPr>
          <w:hidden/>
        </w:trPr>
        <w:tc>
          <w:tcPr>
            <w:tcW w:w="0" w:type="auto"/>
            <w:gridSpan w:val="3"/>
            <w:shd w:val="clear" w:color="auto" w:fill="auto"/>
          </w:tcPr>
          <w:p w14:paraId="5EA28331" w14:textId="77777777" w:rsidR="003C66EB" w:rsidRDefault="003C66EB">
            <w:pPr>
              <w:rPr>
                <w:rFonts w:ascii="宋体"/>
                <w:vanish/>
              </w:rPr>
            </w:pPr>
          </w:p>
        </w:tc>
        <w:tc>
          <w:tcPr>
            <w:tcW w:w="0" w:type="auto"/>
            <w:gridSpan w:val="3"/>
            <w:shd w:val="clear" w:color="auto" w:fill="auto"/>
          </w:tcPr>
          <w:p w14:paraId="5EA28332" w14:textId="77777777" w:rsidR="003C66EB" w:rsidRDefault="003C66EB">
            <w:pPr>
              <w:rPr>
                <w:rFonts w:ascii="宋体"/>
                <w:vanish/>
              </w:rPr>
            </w:pPr>
          </w:p>
        </w:tc>
        <w:tc>
          <w:tcPr>
            <w:tcW w:w="0" w:type="auto"/>
            <w:gridSpan w:val="3"/>
            <w:shd w:val="clear" w:color="auto" w:fill="auto"/>
          </w:tcPr>
          <w:p w14:paraId="5EA28333" w14:textId="77777777" w:rsidR="003C66EB" w:rsidRDefault="003C66EB">
            <w:pPr>
              <w:rPr>
                <w:rFonts w:ascii="宋体"/>
                <w:vanish/>
              </w:rPr>
            </w:pPr>
          </w:p>
        </w:tc>
        <w:tc>
          <w:tcPr>
            <w:tcW w:w="0" w:type="auto"/>
            <w:gridSpan w:val="3"/>
            <w:shd w:val="clear" w:color="auto" w:fill="auto"/>
          </w:tcPr>
          <w:p w14:paraId="5EA28334" w14:textId="77777777" w:rsidR="003C66EB" w:rsidRDefault="003C66EB">
            <w:pPr>
              <w:rPr>
                <w:rFonts w:ascii="宋体"/>
                <w:vanish/>
              </w:rPr>
            </w:pPr>
          </w:p>
        </w:tc>
      </w:tr>
      <w:tr w:rsidR="003C66EB" w14:paraId="5EA2833A" w14:textId="77777777">
        <w:trPr>
          <w:hidden/>
        </w:trPr>
        <w:tc>
          <w:tcPr>
            <w:tcW w:w="0" w:type="auto"/>
            <w:gridSpan w:val="3"/>
            <w:shd w:val="clear" w:color="auto" w:fill="auto"/>
          </w:tcPr>
          <w:p w14:paraId="5EA28336" w14:textId="77777777" w:rsidR="003C66EB" w:rsidRDefault="003C66EB">
            <w:pPr>
              <w:rPr>
                <w:rFonts w:ascii="宋体"/>
                <w:vanish/>
              </w:rPr>
            </w:pPr>
          </w:p>
        </w:tc>
        <w:tc>
          <w:tcPr>
            <w:tcW w:w="0" w:type="auto"/>
            <w:gridSpan w:val="3"/>
            <w:shd w:val="clear" w:color="auto" w:fill="auto"/>
          </w:tcPr>
          <w:p w14:paraId="5EA28337" w14:textId="77777777" w:rsidR="003C66EB" w:rsidRDefault="003C66EB">
            <w:pPr>
              <w:rPr>
                <w:rFonts w:ascii="宋体"/>
                <w:vanish/>
              </w:rPr>
            </w:pPr>
          </w:p>
        </w:tc>
        <w:tc>
          <w:tcPr>
            <w:tcW w:w="0" w:type="auto"/>
            <w:gridSpan w:val="3"/>
            <w:shd w:val="clear" w:color="auto" w:fill="auto"/>
          </w:tcPr>
          <w:p w14:paraId="5EA28338" w14:textId="77777777" w:rsidR="003C66EB" w:rsidRDefault="003C66EB">
            <w:pPr>
              <w:rPr>
                <w:rFonts w:ascii="宋体"/>
                <w:vanish/>
              </w:rPr>
            </w:pPr>
          </w:p>
        </w:tc>
        <w:tc>
          <w:tcPr>
            <w:tcW w:w="0" w:type="auto"/>
            <w:gridSpan w:val="3"/>
            <w:shd w:val="clear" w:color="auto" w:fill="auto"/>
          </w:tcPr>
          <w:p w14:paraId="5EA28339" w14:textId="77777777" w:rsidR="003C66EB" w:rsidRDefault="003C66EB">
            <w:pPr>
              <w:rPr>
                <w:rFonts w:ascii="宋体"/>
                <w:vanish/>
              </w:rPr>
            </w:pPr>
          </w:p>
        </w:tc>
      </w:tr>
      <w:tr w:rsidR="003C66EB" w14:paraId="5EA2833F" w14:textId="77777777">
        <w:trPr>
          <w:hidden/>
        </w:trPr>
        <w:tc>
          <w:tcPr>
            <w:tcW w:w="0" w:type="auto"/>
            <w:gridSpan w:val="3"/>
            <w:shd w:val="clear" w:color="auto" w:fill="auto"/>
          </w:tcPr>
          <w:p w14:paraId="5EA2833B" w14:textId="77777777" w:rsidR="003C66EB" w:rsidRDefault="003C66EB">
            <w:pPr>
              <w:rPr>
                <w:rFonts w:ascii="宋体"/>
                <w:vanish/>
              </w:rPr>
            </w:pPr>
          </w:p>
        </w:tc>
        <w:tc>
          <w:tcPr>
            <w:tcW w:w="0" w:type="auto"/>
            <w:gridSpan w:val="3"/>
            <w:shd w:val="clear" w:color="auto" w:fill="auto"/>
          </w:tcPr>
          <w:p w14:paraId="5EA2833C" w14:textId="77777777" w:rsidR="003C66EB" w:rsidRDefault="003C66EB">
            <w:pPr>
              <w:rPr>
                <w:rFonts w:ascii="宋体"/>
                <w:vanish/>
              </w:rPr>
            </w:pPr>
          </w:p>
        </w:tc>
        <w:tc>
          <w:tcPr>
            <w:tcW w:w="0" w:type="auto"/>
            <w:gridSpan w:val="3"/>
            <w:shd w:val="clear" w:color="auto" w:fill="auto"/>
          </w:tcPr>
          <w:p w14:paraId="5EA2833D" w14:textId="77777777" w:rsidR="003C66EB" w:rsidRDefault="003C66EB">
            <w:pPr>
              <w:rPr>
                <w:rFonts w:ascii="宋体"/>
                <w:vanish/>
              </w:rPr>
            </w:pPr>
          </w:p>
        </w:tc>
        <w:tc>
          <w:tcPr>
            <w:tcW w:w="0" w:type="auto"/>
            <w:gridSpan w:val="3"/>
            <w:shd w:val="clear" w:color="auto" w:fill="auto"/>
          </w:tcPr>
          <w:p w14:paraId="5EA2833E" w14:textId="77777777" w:rsidR="003C66EB" w:rsidRDefault="003C66EB">
            <w:pPr>
              <w:rPr>
                <w:rFonts w:ascii="宋体"/>
                <w:vanish/>
              </w:rPr>
            </w:pPr>
          </w:p>
        </w:tc>
      </w:tr>
      <w:tr w:rsidR="003C66EB" w14:paraId="5EA28344" w14:textId="77777777">
        <w:trPr>
          <w:hidden/>
        </w:trPr>
        <w:tc>
          <w:tcPr>
            <w:tcW w:w="0" w:type="auto"/>
            <w:gridSpan w:val="3"/>
            <w:shd w:val="clear" w:color="auto" w:fill="auto"/>
          </w:tcPr>
          <w:p w14:paraId="5EA28340" w14:textId="77777777" w:rsidR="003C66EB" w:rsidRDefault="003C66EB">
            <w:pPr>
              <w:rPr>
                <w:rFonts w:ascii="宋体"/>
                <w:vanish/>
              </w:rPr>
            </w:pPr>
          </w:p>
        </w:tc>
        <w:tc>
          <w:tcPr>
            <w:tcW w:w="0" w:type="auto"/>
            <w:gridSpan w:val="3"/>
            <w:shd w:val="clear" w:color="auto" w:fill="auto"/>
          </w:tcPr>
          <w:p w14:paraId="5EA28341" w14:textId="77777777" w:rsidR="003C66EB" w:rsidRDefault="003C66EB">
            <w:pPr>
              <w:rPr>
                <w:rFonts w:ascii="宋体"/>
                <w:vanish/>
              </w:rPr>
            </w:pPr>
          </w:p>
        </w:tc>
        <w:tc>
          <w:tcPr>
            <w:tcW w:w="0" w:type="auto"/>
            <w:gridSpan w:val="3"/>
            <w:shd w:val="clear" w:color="auto" w:fill="auto"/>
          </w:tcPr>
          <w:p w14:paraId="5EA28342" w14:textId="77777777" w:rsidR="003C66EB" w:rsidRDefault="003C66EB">
            <w:pPr>
              <w:rPr>
                <w:rFonts w:ascii="宋体"/>
                <w:vanish/>
              </w:rPr>
            </w:pPr>
          </w:p>
        </w:tc>
        <w:tc>
          <w:tcPr>
            <w:tcW w:w="0" w:type="auto"/>
            <w:gridSpan w:val="3"/>
            <w:shd w:val="clear" w:color="auto" w:fill="auto"/>
          </w:tcPr>
          <w:p w14:paraId="5EA28343" w14:textId="77777777" w:rsidR="003C66EB" w:rsidRDefault="003C66EB">
            <w:pPr>
              <w:rPr>
                <w:rFonts w:ascii="宋体"/>
                <w:vanish/>
              </w:rPr>
            </w:pPr>
          </w:p>
        </w:tc>
      </w:tr>
      <w:tr w:rsidR="003C66EB" w14:paraId="5EA28349" w14:textId="77777777">
        <w:trPr>
          <w:hidden/>
        </w:trPr>
        <w:tc>
          <w:tcPr>
            <w:tcW w:w="0" w:type="auto"/>
            <w:gridSpan w:val="3"/>
            <w:shd w:val="clear" w:color="auto" w:fill="auto"/>
          </w:tcPr>
          <w:p w14:paraId="5EA28345" w14:textId="77777777" w:rsidR="003C66EB" w:rsidRDefault="003C66EB">
            <w:pPr>
              <w:rPr>
                <w:rFonts w:ascii="宋体"/>
                <w:vanish/>
              </w:rPr>
            </w:pPr>
          </w:p>
        </w:tc>
        <w:tc>
          <w:tcPr>
            <w:tcW w:w="0" w:type="auto"/>
            <w:gridSpan w:val="3"/>
            <w:shd w:val="clear" w:color="auto" w:fill="auto"/>
          </w:tcPr>
          <w:p w14:paraId="5EA28346" w14:textId="77777777" w:rsidR="003C66EB" w:rsidRDefault="003C66EB">
            <w:pPr>
              <w:rPr>
                <w:rFonts w:ascii="宋体"/>
                <w:vanish/>
              </w:rPr>
            </w:pPr>
          </w:p>
        </w:tc>
        <w:tc>
          <w:tcPr>
            <w:tcW w:w="0" w:type="auto"/>
            <w:gridSpan w:val="3"/>
            <w:shd w:val="clear" w:color="auto" w:fill="auto"/>
          </w:tcPr>
          <w:p w14:paraId="5EA28347" w14:textId="77777777" w:rsidR="003C66EB" w:rsidRDefault="003C66EB">
            <w:pPr>
              <w:rPr>
                <w:rFonts w:ascii="宋体"/>
                <w:vanish/>
              </w:rPr>
            </w:pPr>
          </w:p>
        </w:tc>
        <w:tc>
          <w:tcPr>
            <w:tcW w:w="0" w:type="auto"/>
            <w:gridSpan w:val="3"/>
            <w:shd w:val="clear" w:color="auto" w:fill="auto"/>
          </w:tcPr>
          <w:p w14:paraId="5EA28348" w14:textId="77777777" w:rsidR="003C66EB" w:rsidRDefault="003C66EB">
            <w:pPr>
              <w:rPr>
                <w:rFonts w:ascii="宋体"/>
                <w:vanish/>
              </w:rPr>
            </w:pPr>
          </w:p>
        </w:tc>
      </w:tr>
      <w:tr w:rsidR="003C66EB" w14:paraId="5EA28352" w14:textId="77777777">
        <w:trPr>
          <w:hidden/>
        </w:trPr>
        <w:tc>
          <w:tcPr>
            <w:tcW w:w="0" w:type="auto"/>
            <w:gridSpan w:val="3"/>
            <w:shd w:val="clear" w:color="auto" w:fill="auto"/>
          </w:tcPr>
          <w:p w14:paraId="5EA2834A" w14:textId="77777777" w:rsidR="003C66EB" w:rsidRDefault="003C66EB">
            <w:pPr>
              <w:rPr>
                <w:rFonts w:ascii="宋体"/>
                <w:vanish/>
              </w:rPr>
            </w:pPr>
          </w:p>
        </w:tc>
        <w:tc>
          <w:tcPr>
            <w:tcW w:w="0" w:type="auto"/>
            <w:gridSpan w:val="3"/>
            <w:shd w:val="clear" w:color="auto" w:fill="auto"/>
          </w:tcPr>
          <w:p w14:paraId="5EA2834B" w14:textId="77777777" w:rsidR="003C66EB" w:rsidRDefault="003C66EB">
            <w:pPr>
              <w:rPr>
                <w:rFonts w:ascii="宋体"/>
                <w:vanish/>
              </w:rPr>
            </w:pPr>
          </w:p>
        </w:tc>
        <w:tc>
          <w:tcPr>
            <w:tcW w:w="0" w:type="auto"/>
            <w:shd w:val="clear" w:color="auto" w:fill="auto"/>
          </w:tcPr>
          <w:p w14:paraId="5EA2834C" w14:textId="77777777" w:rsidR="003C66EB" w:rsidRDefault="003C66EB">
            <w:pPr>
              <w:rPr>
                <w:rFonts w:ascii="宋体"/>
              </w:rPr>
            </w:pPr>
          </w:p>
        </w:tc>
        <w:tc>
          <w:tcPr>
            <w:tcW w:w="0" w:type="auto"/>
            <w:shd w:val="clear" w:color="auto" w:fill="auto"/>
          </w:tcPr>
          <w:p w14:paraId="5EA2834D" w14:textId="77777777" w:rsidR="003C66EB" w:rsidRDefault="003C66EB">
            <w:pPr>
              <w:rPr>
                <w:rFonts w:ascii="宋体"/>
              </w:rPr>
            </w:pPr>
          </w:p>
        </w:tc>
        <w:tc>
          <w:tcPr>
            <w:tcW w:w="0" w:type="auto"/>
            <w:shd w:val="clear" w:color="auto" w:fill="auto"/>
          </w:tcPr>
          <w:p w14:paraId="5EA2834E" w14:textId="77777777" w:rsidR="003C66EB" w:rsidRDefault="003C66EB">
            <w:pPr>
              <w:rPr>
                <w:rFonts w:ascii="宋体"/>
              </w:rPr>
            </w:pPr>
          </w:p>
        </w:tc>
        <w:tc>
          <w:tcPr>
            <w:tcW w:w="0" w:type="auto"/>
            <w:shd w:val="clear" w:color="auto" w:fill="auto"/>
          </w:tcPr>
          <w:p w14:paraId="5EA2834F" w14:textId="77777777" w:rsidR="003C66EB" w:rsidRDefault="003C66EB">
            <w:pPr>
              <w:rPr>
                <w:rFonts w:ascii="宋体"/>
              </w:rPr>
            </w:pPr>
          </w:p>
        </w:tc>
        <w:tc>
          <w:tcPr>
            <w:tcW w:w="0" w:type="auto"/>
            <w:shd w:val="clear" w:color="auto" w:fill="auto"/>
          </w:tcPr>
          <w:p w14:paraId="5EA28350" w14:textId="77777777" w:rsidR="003C66EB" w:rsidRDefault="003C66EB">
            <w:pPr>
              <w:rPr>
                <w:rFonts w:ascii="宋体"/>
              </w:rPr>
            </w:pPr>
          </w:p>
        </w:tc>
        <w:tc>
          <w:tcPr>
            <w:tcW w:w="0" w:type="auto"/>
            <w:shd w:val="clear" w:color="auto" w:fill="auto"/>
          </w:tcPr>
          <w:p w14:paraId="5EA28351" w14:textId="77777777" w:rsidR="003C66EB" w:rsidRDefault="003C66EB">
            <w:pPr>
              <w:rPr>
                <w:rFonts w:ascii="宋体"/>
              </w:rPr>
            </w:pPr>
          </w:p>
        </w:tc>
      </w:tr>
      <w:tr w:rsidR="003C66EB" w14:paraId="5EA28357" w14:textId="77777777">
        <w:trPr>
          <w:hidden/>
        </w:trPr>
        <w:tc>
          <w:tcPr>
            <w:tcW w:w="0" w:type="auto"/>
            <w:gridSpan w:val="3"/>
            <w:shd w:val="clear" w:color="auto" w:fill="auto"/>
          </w:tcPr>
          <w:p w14:paraId="5EA28353" w14:textId="77777777" w:rsidR="003C66EB" w:rsidRDefault="003C66EB">
            <w:pPr>
              <w:rPr>
                <w:rFonts w:ascii="宋体"/>
                <w:vanish/>
              </w:rPr>
            </w:pPr>
          </w:p>
        </w:tc>
        <w:tc>
          <w:tcPr>
            <w:tcW w:w="0" w:type="auto"/>
            <w:gridSpan w:val="3"/>
            <w:shd w:val="clear" w:color="auto" w:fill="auto"/>
          </w:tcPr>
          <w:p w14:paraId="5EA28354" w14:textId="77777777" w:rsidR="003C66EB" w:rsidRDefault="003C66EB">
            <w:pPr>
              <w:rPr>
                <w:rFonts w:ascii="宋体"/>
                <w:vanish/>
              </w:rPr>
            </w:pPr>
          </w:p>
        </w:tc>
        <w:tc>
          <w:tcPr>
            <w:tcW w:w="0" w:type="auto"/>
            <w:gridSpan w:val="3"/>
            <w:shd w:val="clear" w:color="auto" w:fill="auto"/>
          </w:tcPr>
          <w:p w14:paraId="5EA28355" w14:textId="77777777" w:rsidR="003C66EB" w:rsidRDefault="003C66EB">
            <w:pPr>
              <w:rPr>
                <w:rFonts w:ascii="宋体"/>
                <w:vanish/>
              </w:rPr>
            </w:pPr>
          </w:p>
        </w:tc>
        <w:tc>
          <w:tcPr>
            <w:tcW w:w="0" w:type="auto"/>
            <w:gridSpan w:val="3"/>
            <w:shd w:val="clear" w:color="auto" w:fill="auto"/>
          </w:tcPr>
          <w:p w14:paraId="5EA28356" w14:textId="77777777" w:rsidR="003C66EB" w:rsidRDefault="003C66EB">
            <w:pPr>
              <w:rPr>
                <w:rFonts w:ascii="宋体"/>
                <w:vanish/>
              </w:rPr>
            </w:pPr>
          </w:p>
        </w:tc>
      </w:tr>
      <w:tr w:rsidR="003C66EB" w14:paraId="5EA2835C" w14:textId="77777777">
        <w:trPr>
          <w:hidden/>
        </w:trPr>
        <w:tc>
          <w:tcPr>
            <w:tcW w:w="0" w:type="auto"/>
            <w:gridSpan w:val="3"/>
            <w:shd w:val="clear" w:color="auto" w:fill="auto"/>
          </w:tcPr>
          <w:p w14:paraId="5EA28358" w14:textId="77777777" w:rsidR="003C66EB" w:rsidRDefault="003C66EB">
            <w:pPr>
              <w:rPr>
                <w:rFonts w:ascii="宋体"/>
                <w:vanish/>
              </w:rPr>
            </w:pPr>
          </w:p>
        </w:tc>
        <w:tc>
          <w:tcPr>
            <w:tcW w:w="0" w:type="auto"/>
            <w:gridSpan w:val="3"/>
            <w:shd w:val="clear" w:color="auto" w:fill="auto"/>
          </w:tcPr>
          <w:p w14:paraId="5EA28359" w14:textId="77777777" w:rsidR="003C66EB" w:rsidRDefault="003C66EB">
            <w:pPr>
              <w:rPr>
                <w:rFonts w:ascii="宋体"/>
                <w:vanish/>
              </w:rPr>
            </w:pPr>
          </w:p>
        </w:tc>
        <w:tc>
          <w:tcPr>
            <w:tcW w:w="0" w:type="auto"/>
            <w:gridSpan w:val="3"/>
            <w:shd w:val="clear" w:color="auto" w:fill="auto"/>
          </w:tcPr>
          <w:p w14:paraId="5EA2835A" w14:textId="77777777" w:rsidR="003C66EB" w:rsidRDefault="003C66EB">
            <w:pPr>
              <w:rPr>
                <w:rFonts w:ascii="宋体"/>
                <w:vanish/>
              </w:rPr>
            </w:pPr>
          </w:p>
        </w:tc>
        <w:tc>
          <w:tcPr>
            <w:tcW w:w="0" w:type="auto"/>
            <w:gridSpan w:val="3"/>
            <w:shd w:val="clear" w:color="auto" w:fill="auto"/>
          </w:tcPr>
          <w:p w14:paraId="5EA2835B" w14:textId="77777777" w:rsidR="003C66EB" w:rsidRDefault="003C66EB">
            <w:pPr>
              <w:rPr>
                <w:rFonts w:ascii="宋体"/>
                <w:vanish/>
              </w:rPr>
            </w:pPr>
          </w:p>
        </w:tc>
      </w:tr>
      <w:tr w:rsidR="003C66EB" w14:paraId="5EA28361" w14:textId="77777777">
        <w:trPr>
          <w:hidden/>
        </w:trPr>
        <w:tc>
          <w:tcPr>
            <w:tcW w:w="0" w:type="auto"/>
            <w:gridSpan w:val="3"/>
            <w:shd w:val="clear" w:color="auto" w:fill="auto"/>
          </w:tcPr>
          <w:p w14:paraId="5EA2835D" w14:textId="77777777" w:rsidR="003C66EB" w:rsidRDefault="003C66EB">
            <w:pPr>
              <w:rPr>
                <w:rFonts w:ascii="宋体"/>
                <w:vanish/>
              </w:rPr>
            </w:pPr>
          </w:p>
        </w:tc>
        <w:tc>
          <w:tcPr>
            <w:tcW w:w="0" w:type="auto"/>
            <w:gridSpan w:val="3"/>
            <w:shd w:val="clear" w:color="auto" w:fill="auto"/>
          </w:tcPr>
          <w:p w14:paraId="5EA2835E" w14:textId="77777777" w:rsidR="003C66EB" w:rsidRDefault="003C66EB">
            <w:pPr>
              <w:rPr>
                <w:rFonts w:ascii="宋体"/>
                <w:vanish/>
              </w:rPr>
            </w:pPr>
          </w:p>
        </w:tc>
        <w:tc>
          <w:tcPr>
            <w:tcW w:w="0" w:type="auto"/>
            <w:gridSpan w:val="3"/>
            <w:shd w:val="clear" w:color="auto" w:fill="auto"/>
          </w:tcPr>
          <w:p w14:paraId="5EA2835F" w14:textId="77777777" w:rsidR="003C66EB" w:rsidRDefault="003C66EB">
            <w:pPr>
              <w:rPr>
                <w:rFonts w:ascii="宋体"/>
                <w:vanish/>
              </w:rPr>
            </w:pPr>
          </w:p>
        </w:tc>
        <w:tc>
          <w:tcPr>
            <w:tcW w:w="0" w:type="auto"/>
            <w:gridSpan w:val="3"/>
            <w:shd w:val="clear" w:color="auto" w:fill="auto"/>
          </w:tcPr>
          <w:p w14:paraId="5EA28360" w14:textId="77777777" w:rsidR="003C66EB" w:rsidRDefault="003C66EB">
            <w:pPr>
              <w:rPr>
                <w:rFonts w:ascii="宋体"/>
                <w:vanish/>
              </w:rPr>
            </w:pPr>
          </w:p>
        </w:tc>
      </w:tr>
      <w:tr w:rsidR="003C66EB" w14:paraId="5EA28366" w14:textId="77777777">
        <w:trPr>
          <w:hidden/>
        </w:trPr>
        <w:tc>
          <w:tcPr>
            <w:tcW w:w="0" w:type="auto"/>
            <w:gridSpan w:val="3"/>
            <w:shd w:val="clear" w:color="auto" w:fill="auto"/>
          </w:tcPr>
          <w:p w14:paraId="5EA28362" w14:textId="77777777" w:rsidR="003C66EB" w:rsidRDefault="003C66EB">
            <w:pPr>
              <w:rPr>
                <w:rFonts w:ascii="宋体"/>
                <w:vanish/>
              </w:rPr>
            </w:pPr>
          </w:p>
        </w:tc>
        <w:tc>
          <w:tcPr>
            <w:tcW w:w="0" w:type="auto"/>
            <w:gridSpan w:val="3"/>
            <w:shd w:val="clear" w:color="auto" w:fill="auto"/>
          </w:tcPr>
          <w:p w14:paraId="5EA28363" w14:textId="77777777" w:rsidR="003C66EB" w:rsidRDefault="003C66EB">
            <w:pPr>
              <w:rPr>
                <w:rFonts w:ascii="宋体"/>
                <w:vanish/>
              </w:rPr>
            </w:pPr>
          </w:p>
        </w:tc>
        <w:tc>
          <w:tcPr>
            <w:tcW w:w="0" w:type="auto"/>
            <w:gridSpan w:val="3"/>
            <w:shd w:val="clear" w:color="auto" w:fill="auto"/>
          </w:tcPr>
          <w:p w14:paraId="5EA28364" w14:textId="77777777" w:rsidR="003C66EB" w:rsidRDefault="003C66EB">
            <w:pPr>
              <w:rPr>
                <w:rFonts w:ascii="宋体"/>
                <w:vanish/>
              </w:rPr>
            </w:pPr>
          </w:p>
        </w:tc>
        <w:tc>
          <w:tcPr>
            <w:tcW w:w="0" w:type="auto"/>
            <w:gridSpan w:val="3"/>
            <w:shd w:val="clear" w:color="auto" w:fill="auto"/>
          </w:tcPr>
          <w:p w14:paraId="5EA28365" w14:textId="77777777" w:rsidR="003C66EB" w:rsidRDefault="003C66EB">
            <w:pPr>
              <w:rPr>
                <w:rFonts w:ascii="宋体"/>
                <w:vanish/>
              </w:rPr>
            </w:pPr>
          </w:p>
        </w:tc>
      </w:tr>
      <w:tr w:rsidR="003C66EB" w14:paraId="5EA2836B" w14:textId="77777777">
        <w:trPr>
          <w:hidden/>
        </w:trPr>
        <w:tc>
          <w:tcPr>
            <w:tcW w:w="0" w:type="auto"/>
            <w:gridSpan w:val="3"/>
            <w:shd w:val="clear" w:color="auto" w:fill="auto"/>
          </w:tcPr>
          <w:p w14:paraId="5EA28367" w14:textId="77777777" w:rsidR="003C66EB" w:rsidRDefault="003C66EB">
            <w:pPr>
              <w:rPr>
                <w:rFonts w:ascii="宋体"/>
                <w:vanish/>
              </w:rPr>
            </w:pPr>
          </w:p>
        </w:tc>
        <w:tc>
          <w:tcPr>
            <w:tcW w:w="0" w:type="auto"/>
            <w:gridSpan w:val="3"/>
            <w:shd w:val="clear" w:color="auto" w:fill="auto"/>
          </w:tcPr>
          <w:p w14:paraId="5EA28368" w14:textId="77777777" w:rsidR="003C66EB" w:rsidRDefault="003C66EB">
            <w:pPr>
              <w:rPr>
                <w:rFonts w:ascii="宋体"/>
                <w:vanish/>
              </w:rPr>
            </w:pPr>
          </w:p>
        </w:tc>
        <w:tc>
          <w:tcPr>
            <w:tcW w:w="0" w:type="auto"/>
            <w:gridSpan w:val="3"/>
            <w:shd w:val="clear" w:color="auto" w:fill="auto"/>
          </w:tcPr>
          <w:p w14:paraId="5EA28369" w14:textId="77777777" w:rsidR="003C66EB" w:rsidRDefault="003C66EB">
            <w:pPr>
              <w:rPr>
                <w:rFonts w:ascii="宋体"/>
                <w:vanish/>
              </w:rPr>
            </w:pPr>
          </w:p>
        </w:tc>
        <w:tc>
          <w:tcPr>
            <w:tcW w:w="0" w:type="auto"/>
            <w:gridSpan w:val="3"/>
            <w:shd w:val="clear" w:color="auto" w:fill="auto"/>
          </w:tcPr>
          <w:p w14:paraId="5EA2836A" w14:textId="77777777" w:rsidR="003C66EB" w:rsidRDefault="003C66EB">
            <w:pPr>
              <w:rPr>
                <w:rFonts w:ascii="宋体"/>
                <w:vanish/>
              </w:rPr>
            </w:pPr>
          </w:p>
        </w:tc>
      </w:tr>
      <w:tr w:rsidR="003C66EB" w14:paraId="5EA28370" w14:textId="77777777">
        <w:trPr>
          <w:hidden/>
        </w:trPr>
        <w:tc>
          <w:tcPr>
            <w:tcW w:w="0" w:type="auto"/>
            <w:gridSpan w:val="3"/>
            <w:shd w:val="clear" w:color="auto" w:fill="auto"/>
          </w:tcPr>
          <w:p w14:paraId="5EA2836C" w14:textId="77777777" w:rsidR="003C66EB" w:rsidRDefault="003C66EB">
            <w:pPr>
              <w:rPr>
                <w:rFonts w:ascii="宋体"/>
                <w:vanish/>
              </w:rPr>
            </w:pPr>
          </w:p>
        </w:tc>
        <w:tc>
          <w:tcPr>
            <w:tcW w:w="0" w:type="auto"/>
            <w:gridSpan w:val="3"/>
            <w:shd w:val="clear" w:color="auto" w:fill="auto"/>
          </w:tcPr>
          <w:p w14:paraId="5EA2836D" w14:textId="77777777" w:rsidR="003C66EB" w:rsidRDefault="003C66EB">
            <w:pPr>
              <w:rPr>
                <w:rFonts w:ascii="宋体"/>
                <w:vanish/>
              </w:rPr>
            </w:pPr>
          </w:p>
        </w:tc>
        <w:tc>
          <w:tcPr>
            <w:tcW w:w="0" w:type="auto"/>
            <w:gridSpan w:val="3"/>
            <w:shd w:val="clear" w:color="auto" w:fill="auto"/>
          </w:tcPr>
          <w:p w14:paraId="5EA2836E" w14:textId="77777777" w:rsidR="003C66EB" w:rsidRDefault="003C66EB">
            <w:pPr>
              <w:rPr>
                <w:rFonts w:ascii="宋体"/>
                <w:vanish/>
              </w:rPr>
            </w:pPr>
          </w:p>
        </w:tc>
        <w:tc>
          <w:tcPr>
            <w:tcW w:w="0" w:type="auto"/>
            <w:gridSpan w:val="3"/>
            <w:shd w:val="clear" w:color="auto" w:fill="auto"/>
          </w:tcPr>
          <w:p w14:paraId="5EA2836F" w14:textId="77777777" w:rsidR="003C66EB" w:rsidRDefault="003C66EB">
            <w:pPr>
              <w:rPr>
                <w:rFonts w:ascii="宋体"/>
                <w:vanish/>
              </w:rPr>
            </w:pPr>
          </w:p>
        </w:tc>
      </w:tr>
      <w:tr w:rsidR="003C66EB" w14:paraId="5EA28375" w14:textId="77777777">
        <w:trPr>
          <w:hidden/>
        </w:trPr>
        <w:tc>
          <w:tcPr>
            <w:tcW w:w="0" w:type="auto"/>
            <w:gridSpan w:val="3"/>
            <w:shd w:val="clear" w:color="auto" w:fill="auto"/>
          </w:tcPr>
          <w:p w14:paraId="5EA28371" w14:textId="77777777" w:rsidR="003C66EB" w:rsidRDefault="003C66EB">
            <w:pPr>
              <w:rPr>
                <w:rFonts w:ascii="宋体"/>
                <w:vanish/>
              </w:rPr>
            </w:pPr>
          </w:p>
        </w:tc>
        <w:tc>
          <w:tcPr>
            <w:tcW w:w="0" w:type="auto"/>
            <w:gridSpan w:val="3"/>
            <w:shd w:val="clear" w:color="auto" w:fill="auto"/>
          </w:tcPr>
          <w:p w14:paraId="5EA28372" w14:textId="77777777" w:rsidR="003C66EB" w:rsidRDefault="003C66EB">
            <w:pPr>
              <w:rPr>
                <w:rFonts w:ascii="宋体"/>
                <w:vanish/>
              </w:rPr>
            </w:pPr>
          </w:p>
        </w:tc>
        <w:tc>
          <w:tcPr>
            <w:tcW w:w="0" w:type="auto"/>
            <w:gridSpan w:val="3"/>
            <w:shd w:val="clear" w:color="auto" w:fill="auto"/>
          </w:tcPr>
          <w:p w14:paraId="5EA28373" w14:textId="77777777" w:rsidR="003C66EB" w:rsidRDefault="003C66EB">
            <w:pPr>
              <w:rPr>
                <w:rFonts w:ascii="宋体"/>
                <w:vanish/>
              </w:rPr>
            </w:pPr>
          </w:p>
        </w:tc>
        <w:tc>
          <w:tcPr>
            <w:tcW w:w="0" w:type="auto"/>
            <w:gridSpan w:val="3"/>
            <w:shd w:val="clear" w:color="auto" w:fill="auto"/>
          </w:tcPr>
          <w:p w14:paraId="5EA28374" w14:textId="77777777" w:rsidR="003C66EB" w:rsidRDefault="003C66EB">
            <w:pPr>
              <w:rPr>
                <w:rFonts w:ascii="宋体"/>
                <w:vanish/>
              </w:rPr>
            </w:pPr>
          </w:p>
        </w:tc>
      </w:tr>
      <w:tr w:rsidR="003C66EB" w14:paraId="5EA2837A" w14:textId="77777777">
        <w:trPr>
          <w:hidden/>
        </w:trPr>
        <w:tc>
          <w:tcPr>
            <w:tcW w:w="0" w:type="auto"/>
            <w:gridSpan w:val="3"/>
            <w:shd w:val="clear" w:color="auto" w:fill="auto"/>
          </w:tcPr>
          <w:p w14:paraId="5EA28376" w14:textId="77777777" w:rsidR="003C66EB" w:rsidRDefault="003C66EB">
            <w:pPr>
              <w:rPr>
                <w:rFonts w:ascii="宋体"/>
                <w:vanish/>
              </w:rPr>
            </w:pPr>
          </w:p>
        </w:tc>
        <w:tc>
          <w:tcPr>
            <w:tcW w:w="0" w:type="auto"/>
            <w:gridSpan w:val="3"/>
            <w:shd w:val="clear" w:color="auto" w:fill="auto"/>
          </w:tcPr>
          <w:p w14:paraId="5EA28377" w14:textId="77777777" w:rsidR="003C66EB" w:rsidRDefault="003C66EB">
            <w:pPr>
              <w:rPr>
                <w:rFonts w:ascii="宋体"/>
                <w:vanish/>
              </w:rPr>
            </w:pPr>
          </w:p>
        </w:tc>
        <w:tc>
          <w:tcPr>
            <w:tcW w:w="0" w:type="auto"/>
            <w:gridSpan w:val="3"/>
            <w:shd w:val="clear" w:color="auto" w:fill="auto"/>
          </w:tcPr>
          <w:p w14:paraId="5EA28378" w14:textId="77777777" w:rsidR="003C66EB" w:rsidRDefault="003C66EB">
            <w:pPr>
              <w:rPr>
                <w:rFonts w:ascii="宋体"/>
                <w:vanish/>
              </w:rPr>
            </w:pPr>
          </w:p>
        </w:tc>
        <w:tc>
          <w:tcPr>
            <w:tcW w:w="0" w:type="auto"/>
            <w:gridSpan w:val="3"/>
            <w:shd w:val="clear" w:color="auto" w:fill="auto"/>
          </w:tcPr>
          <w:p w14:paraId="5EA28379" w14:textId="77777777" w:rsidR="003C66EB" w:rsidRDefault="003C66EB">
            <w:pPr>
              <w:rPr>
                <w:rFonts w:ascii="宋体"/>
                <w:vanish/>
              </w:rPr>
            </w:pPr>
          </w:p>
        </w:tc>
      </w:tr>
      <w:tr w:rsidR="003C66EB" w14:paraId="5EA2837F" w14:textId="77777777">
        <w:trPr>
          <w:hidden/>
        </w:trPr>
        <w:tc>
          <w:tcPr>
            <w:tcW w:w="0" w:type="auto"/>
            <w:gridSpan w:val="3"/>
            <w:shd w:val="clear" w:color="auto" w:fill="auto"/>
          </w:tcPr>
          <w:p w14:paraId="5EA2837B" w14:textId="77777777" w:rsidR="003C66EB" w:rsidRDefault="003C66EB">
            <w:pPr>
              <w:rPr>
                <w:rFonts w:ascii="宋体"/>
                <w:vanish/>
              </w:rPr>
            </w:pPr>
          </w:p>
        </w:tc>
        <w:tc>
          <w:tcPr>
            <w:tcW w:w="0" w:type="auto"/>
            <w:gridSpan w:val="3"/>
            <w:shd w:val="clear" w:color="auto" w:fill="auto"/>
          </w:tcPr>
          <w:p w14:paraId="5EA2837C" w14:textId="77777777" w:rsidR="003C66EB" w:rsidRDefault="003C66EB">
            <w:pPr>
              <w:rPr>
                <w:rFonts w:ascii="宋体"/>
                <w:vanish/>
              </w:rPr>
            </w:pPr>
          </w:p>
        </w:tc>
        <w:tc>
          <w:tcPr>
            <w:tcW w:w="0" w:type="auto"/>
            <w:gridSpan w:val="3"/>
            <w:shd w:val="clear" w:color="auto" w:fill="auto"/>
          </w:tcPr>
          <w:p w14:paraId="5EA2837D" w14:textId="77777777" w:rsidR="003C66EB" w:rsidRDefault="003C66EB">
            <w:pPr>
              <w:rPr>
                <w:rFonts w:ascii="宋体"/>
                <w:vanish/>
              </w:rPr>
            </w:pPr>
          </w:p>
        </w:tc>
        <w:tc>
          <w:tcPr>
            <w:tcW w:w="0" w:type="auto"/>
            <w:gridSpan w:val="3"/>
            <w:shd w:val="clear" w:color="auto" w:fill="auto"/>
          </w:tcPr>
          <w:p w14:paraId="5EA2837E" w14:textId="77777777" w:rsidR="003C66EB" w:rsidRDefault="003C66EB">
            <w:pPr>
              <w:rPr>
                <w:rFonts w:ascii="宋体"/>
                <w:vanish/>
              </w:rPr>
            </w:pPr>
          </w:p>
        </w:tc>
      </w:tr>
      <w:tr w:rsidR="003C66EB" w14:paraId="5EA28384" w14:textId="77777777">
        <w:trPr>
          <w:hidden/>
        </w:trPr>
        <w:tc>
          <w:tcPr>
            <w:tcW w:w="0" w:type="auto"/>
            <w:gridSpan w:val="3"/>
            <w:shd w:val="clear" w:color="auto" w:fill="auto"/>
          </w:tcPr>
          <w:p w14:paraId="5EA28380" w14:textId="77777777" w:rsidR="003C66EB" w:rsidRDefault="003C66EB">
            <w:pPr>
              <w:rPr>
                <w:rFonts w:ascii="宋体"/>
                <w:vanish/>
              </w:rPr>
            </w:pPr>
          </w:p>
        </w:tc>
        <w:tc>
          <w:tcPr>
            <w:tcW w:w="0" w:type="auto"/>
            <w:gridSpan w:val="3"/>
            <w:shd w:val="clear" w:color="auto" w:fill="auto"/>
          </w:tcPr>
          <w:p w14:paraId="5EA28381" w14:textId="77777777" w:rsidR="003C66EB" w:rsidRDefault="003C66EB">
            <w:pPr>
              <w:rPr>
                <w:rFonts w:ascii="宋体"/>
                <w:vanish/>
              </w:rPr>
            </w:pPr>
          </w:p>
        </w:tc>
        <w:tc>
          <w:tcPr>
            <w:tcW w:w="0" w:type="auto"/>
            <w:gridSpan w:val="3"/>
            <w:shd w:val="clear" w:color="auto" w:fill="auto"/>
          </w:tcPr>
          <w:p w14:paraId="5EA28382" w14:textId="77777777" w:rsidR="003C66EB" w:rsidRDefault="003C66EB">
            <w:pPr>
              <w:rPr>
                <w:rFonts w:ascii="宋体"/>
                <w:vanish/>
              </w:rPr>
            </w:pPr>
          </w:p>
        </w:tc>
        <w:tc>
          <w:tcPr>
            <w:tcW w:w="0" w:type="auto"/>
            <w:gridSpan w:val="3"/>
            <w:shd w:val="clear" w:color="auto" w:fill="auto"/>
          </w:tcPr>
          <w:p w14:paraId="5EA28383" w14:textId="77777777" w:rsidR="003C66EB" w:rsidRDefault="003C66EB">
            <w:pPr>
              <w:rPr>
                <w:rFonts w:ascii="宋体"/>
                <w:vanish/>
              </w:rPr>
            </w:pPr>
          </w:p>
        </w:tc>
      </w:tr>
      <w:tr w:rsidR="003C66EB" w14:paraId="5EA2838D" w14:textId="77777777">
        <w:trPr>
          <w:hidden/>
        </w:trPr>
        <w:tc>
          <w:tcPr>
            <w:tcW w:w="0" w:type="auto"/>
            <w:gridSpan w:val="3"/>
            <w:shd w:val="clear" w:color="auto" w:fill="auto"/>
          </w:tcPr>
          <w:p w14:paraId="5EA28385" w14:textId="77777777" w:rsidR="003C66EB" w:rsidRDefault="003C66EB">
            <w:pPr>
              <w:rPr>
                <w:rFonts w:ascii="宋体"/>
                <w:vanish/>
              </w:rPr>
            </w:pPr>
          </w:p>
        </w:tc>
        <w:tc>
          <w:tcPr>
            <w:tcW w:w="0" w:type="auto"/>
            <w:gridSpan w:val="3"/>
            <w:shd w:val="clear" w:color="auto" w:fill="auto"/>
          </w:tcPr>
          <w:p w14:paraId="5EA28386" w14:textId="77777777" w:rsidR="003C66EB" w:rsidRDefault="003C66EB">
            <w:pPr>
              <w:rPr>
                <w:rFonts w:ascii="宋体"/>
                <w:vanish/>
              </w:rPr>
            </w:pPr>
          </w:p>
        </w:tc>
        <w:tc>
          <w:tcPr>
            <w:tcW w:w="0" w:type="auto"/>
            <w:shd w:val="clear" w:color="auto" w:fill="auto"/>
          </w:tcPr>
          <w:p w14:paraId="5EA28387" w14:textId="77777777" w:rsidR="003C66EB" w:rsidRDefault="003C66EB">
            <w:pPr>
              <w:rPr>
                <w:rFonts w:ascii="宋体"/>
              </w:rPr>
            </w:pPr>
          </w:p>
        </w:tc>
        <w:tc>
          <w:tcPr>
            <w:tcW w:w="0" w:type="auto"/>
            <w:shd w:val="clear" w:color="auto" w:fill="auto"/>
          </w:tcPr>
          <w:p w14:paraId="5EA28388" w14:textId="77777777" w:rsidR="003C66EB" w:rsidRDefault="003C66EB">
            <w:pPr>
              <w:rPr>
                <w:rFonts w:ascii="宋体"/>
              </w:rPr>
            </w:pPr>
          </w:p>
        </w:tc>
        <w:tc>
          <w:tcPr>
            <w:tcW w:w="0" w:type="auto"/>
            <w:shd w:val="clear" w:color="auto" w:fill="auto"/>
          </w:tcPr>
          <w:p w14:paraId="5EA28389" w14:textId="77777777" w:rsidR="003C66EB" w:rsidRDefault="003C66EB">
            <w:pPr>
              <w:rPr>
                <w:rFonts w:ascii="宋体"/>
              </w:rPr>
            </w:pPr>
          </w:p>
        </w:tc>
        <w:tc>
          <w:tcPr>
            <w:tcW w:w="0" w:type="auto"/>
            <w:shd w:val="clear" w:color="auto" w:fill="auto"/>
          </w:tcPr>
          <w:p w14:paraId="5EA2838A" w14:textId="77777777" w:rsidR="003C66EB" w:rsidRDefault="003C66EB">
            <w:pPr>
              <w:rPr>
                <w:rFonts w:ascii="宋体"/>
              </w:rPr>
            </w:pPr>
          </w:p>
        </w:tc>
        <w:tc>
          <w:tcPr>
            <w:tcW w:w="0" w:type="auto"/>
            <w:shd w:val="clear" w:color="auto" w:fill="auto"/>
          </w:tcPr>
          <w:p w14:paraId="5EA2838B" w14:textId="77777777" w:rsidR="003C66EB" w:rsidRDefault="003C66EB">
            <w:pPr>
              <w:rPr>
                <w:rFonts w:ascii="宋体"/>
              </w:rPr>
            </w:pPr>
          </w:p>
        </w:tc>
        <w:tc>
          <w:tcPr>
            <w:tcW w:w="0" w:type="auto"/>
            <w:shd w:val="clear" w:color="auto" w:fill="auto"/>
          </w:tcPr>
          <w:p w14:paraId="5EA2838C" w14:textId="77777777" w:rsidR="003C66EB" w:rsidRDefault="003C66EB">
            <w:pPr>
              <w:rPr>
                <w:rFonts w:ascii="宋体"/>
              </w:rPr>
            </w:pPr>
          </w:p>
        </w:tc>
      </w:tr>
      <w:tr w:rsidR="003C66EB" w14:paraId="5EA28392" w14:textId="77777777">
        <w:trPr>
          <w:hidden/>
        </w:trPr>
        <w:tc>
          <w:tcPr>
            <w:tcW w:w="0" w:type="auto"/>
            <w:gridSpan w:val="3"/>
            <w:shd w:val="clear" w:color="auto" w:fill="auto"/>
          </w:tcPr>
          <w:p w14:paraId="5EA2838E" w14:textId="77777777" w:rsidR="003C66EB" w:rsidRDefault="003C66EB">
            <w:pPr>
              <w:rPr>
                <w:rFonts w:ascii="宋体"/>
                <w:vanish/>
              </w:rPr>
            </w:pPr>
          </w:p>
        </w:tc>
        <w:tc>
          <w:tcPr>
            <w:tcW w:w="0" w:type="auto"/>
            <w:gridSpan w:val="3"/>
            <w:shd w:val="clear" w:color="auto" w:fill="auto"/>
          </w:tcPr>
          <w:p w14:paraId="5EA2838F" w14:textId="77777777" w:rsidR="003C66EB" w:rsidRDefault="003C66EB">
            <w:pPr>
              <w:rPr>
                <w:rFonts w:ascii="宋体"/>
                <w:vanish/>
              </w:rPr>
            </w:pPr>
          </w:p>
        </w:tc>
        <w:tc>
          <w:tcPr>
            <w:tcW w:w="0" w:type="auto"/>
            <w:gridSpan w:val="3"/>
            <w:shd w:val="clear" w:color="auto" w:fill="auto"/>
          </w:tcPr>
          <w:p w14:paraId="5EA28390" w14:textId="77777777" w:rsidR="003C66EB" w:rsidRDefault="003C66EB">
            <w:pPr>
              <w:rPr>
                <w:rFonts w:ascii="宋体"/>
                <w:vanish/>
              </w:rPr>
            </w:pPr>
          </w:p>
        </w:tc>
        <w:tc>
          <w:tcPr>
            <w:tcW w:w="0" w:type="auto"/>
            <w:gridSpan w:val="3"/>
            <w:shd w:val="clear" w:color="auto" w:fill="auto"/>
          </w:tcPr>
          <w:p w14:paraId="5EA28391" w14:textId="77777777" w:rsidR="003C66EB" w:rsidRDefault="003C66EB">
            <w:pPr>
              <w:rPr>
                <w:rFonts w:ascii="宋体"/>
                <w:vanish/>
              </w:rPr>
            </w:pPr>
          </w:p>
        </w:tc>
      </w:tr>
      <w:tr w:rsidR="003C66EB" w14:paraId="5EA28397" w14:textId="77777777">
        <w:trPr>
          <w:hidden/>
        </w:trPr>
        <w:tc>
          <w:tcPr>
            <w:tcW w:w="0" w:type="auto"/>
            <w:gridSpan w:val="3"/>
            <w:shd w:val="clear" w:color="auto" w:fill="auto"/>
          </w:tcPr>
          <w:p w14:paraId="5EA28393" w14:textId="77777777" w:rsidR="003C66EB" w:rsidRDefault="003C66EB">
            <w:pPr>
              <w:rPr>
                <w:rFonts w:ascii="宋体"/>
                <w:vanish/>
              </w:rPr>
            </w:pPr>
          </w:p>
        </w:tc>
        <w:tc>
          <w:tcPr>
            <w:tcW w:w="0" w:type="auto"/>
            <w:gridSpan w:val="3"/>
            <w:shd w:val="clear" w:color="auto" w:fill="auto"/>
          </w:tcPr>
          <w:p w14:paraId="5EA28394" w14:textId="77777777" w:rsidR="003C66EB" w:rsidRDefault="003C66EB">
            <w:pPr>
              <w:rPr>
                <w:rFonts w:ascii="宋体"/>
                <w:vanish/>
              </w:rPr>
            </w:pPr>
          </w:p>
        </w:tc>
        <w:tc>
          <w:tcPr>
            <w:tcW w:w="0" w:type="auto"/>
            <w:gridSpan w:val="3"/>
            <w:shd w:val="clear" w:color="auto" w:fill="auto"/>
          </w:tcPr>
          <w:p w14:paraId="5EA28395" w14:textId="77777777" w:rsidR="003C66EB" w:rsidRDefault="003C66EB">
            <w:pPr>
              <w:rPr>
                <w:rFonts w:ascii="宋体"/>
                <w:vanish/>
              </w:rPr>
            </w:pPr>
          </w:p>
        </w:tc>
        <w:tc>
          <w:tcPr>
            <w:tcW w:w="0" w:type="auto"/>
            <w:gridSpan w:val="3"/>
            <w:shd w:val="clear" w:color="auto" w:fill="auto"/>
          </w:tcPr>
          <w:p w14:paraId="5EA28396" w14:textId="77777777" w:rsidR="003C66EB" w:rsidRDefault="003C66EB">
            <w:pPr>
              <w:rPr>
                <w:rFonts w:ascii="宋体"/>
                <w:vanish/>
              </w:rPr>
            </w:pPr>
          </w:p>
        </w:tc>
      </w:tr>
      <w:tr w:rsidR="003C66EB" w14:paraId="5EA2839C" w14:textId="77777777">
        <w:trPr>
          <w:hidden/>
        </w:trPr>
        <w:tc>
          <w:tcPr>
            <w:tcW w:w="0" w:type="auto"/>
            <w:gridSpan w:val="3"/>
            <w:shd w:val="clear" w:color="auto" w:fill="auto"/>
          </w:tcPr>
          <w:p w14:paraId="5EA28398" w14:textId="77777777" w:rsidR="003C66EB" w:rsidRDefault="003C66EB">
            <w:pPr>
              <w:rPr>
                <w:rFonts w:ascii="宋体"/>
                <w:vanish/>
              </w:rPr>
            </w:pPr>
          </w:p>
        </w:tc>
        <w:tc>
          <w:tcPr>
            <w:tcW w:w="0" w:type="auto"/>
            <w:gridSpan w:val="3"/>
            <w:shd w:val="clear" w:color="auto" w:fill="auto"/>
          </w:tcPr>
          <w:p w14:paraId="5EA28399" w14:textId="77777777" w:rsidR="003C66EB" w:rsidRDefault="003C66EB">
            <w:pPr>
              <w:rPr>
                <w:rFonts w:ascii="宋体"/>
                <w:vanish/>
              </w:rPr>
            </w:pPr>
          </w:p>
        </w:tc>
        <w:tc>
          <w:tcPr>
            <w:tcW w:w="0" w:type="auto"/>
            <w:gridSpan w:val="3"/>
            <w:shd w:val="clear" w:color="auto" w:fill="auto"/>
          </w:tcPr>
          <w:p w14:paraId="5EA2839A" w14:textId="77777777" w:rsidR="003C66EB" w:rsidRDefault="003C66EB">
            <w:pPr>
              <w:rPr>
                <w:rFonts w:ascii="宋体"/>
                <w:vanish/>
              </w:rPr>
            </w:pPr>
          </w:p>
        </w:tc>
        <w:tc>
          <w:tcPr>
            <w:tcW w:w="0" w:type="auto"/>
            <w:gridSpan w:val="3"/>
            <w:shd w:val="clear" w:color="auto" w:fill="auto"/>
          </w:tcPr>
          <w:p w14:paraId="5EA2839B" w14:textId="77777777" w:rsidR="003C66EB" w:rsidRDefault="003C66EB">
            <w:pPr>
              <w:rPr>
                <w:rFonts w:ascii="宋体"/>
                <w:vanish/>
              </w:rPr>
            </w:pPr>
          </w:p>
        </w:tc>
      </w:tr>
      <w:tr w:rsidR="003C66EB" w14:paraId="5EA283A5" w14:textId="77777777">
        <w:trPr>
          <w:hidden/>
        </w:trPr>
        <w:tc>
          <w:tcPr>
            <w:tcW w:w="0" w:type="auto"/>
            <w:gridSpan w:val="3"/>
            <w:shd w:val="clear" w:color="auto" w:fill="auto"/>
          </w:tcPr>
          <w:p w14:paraId="5EA2839D" w14:textId="77777777" w:rsidR="003C66EB" w:rsidRDefault="003C66EB">
            <w:pPr>
              <w:rPr>
                <w:rFonts w:ascii="宋体"/>
                <w:vanish/>
              </w:rPr>
            </w:pPr>
          </w:p>
        </w:tc>
        <w:tc>
          <w:tcPr>
            <w:tcW w:w="0" w:type="auto"/>
            <w:gridSpan w:val="3"/>
            <w:shd w:val="clear" w:color="auto" w:fill="auto"/>
          </w:tcPr>
          <w:p w14:paraId="5EA2839E" w14:textId="77777777" w:rsidR="003C66EB" w:rsidRDefault="003C66EB">
            <w:pPr>
              <w:rPr>
                <w:rFonts w:ascii="宋体"/>
                <w:vanish/>
              </w:rPr>
            </w:pPr>
          </w:p>
        </w:tc>
        <w:tc>
          <w:tcPr>
            <w:tcW w:w="0" w:type="auto"/>
            <w:shd w:val="clear" w:color="auto" w:fill="auto"/>
          </w:tcPr>
          <w:p w14:paraId="5EA2839F" w14:textId="77777777" w:rsidR="003C66EB" w:rsidRDefault="003C66EB">
            <w:pPr>
              <w:rPr>
                <w:rFonts w:ascii="宋体"/>
              </w:rPr>
            </w:pPr>
          </w:p>
        </w:tc>
        <w:tc>
          <w:tcPr>
            <w:tcW w:w="0" w:type="auto"/>
            <w:shd w:val="clear" w:color="auto" w:fill="auto"/>
          </w:tcPr>
          <w:p w14:paraId="5EA283A0" w14:textId="77777777" w:rsidR="003C66EB" w:rsidRDefault="003C66EB">
            <w:pPr>
              <w:rPr>
                <w:rFonts w:ascii="宋体"/>
              </w:rPr>
            </w:pPr>
          </w:p>
        </w:tc>
        <w:tc>
          <w:tcPr>
            <w:tcW w:w="0" w:type="auto"/>
            <w:shd w:val="clear" w:color="auto" w:fill="auto"/>
          </w:tcPr>
          <w:p w14:paraId="5EA283A1" w14:textId="77777777" w:rsidR="003C66EB" w:rsidRDefault="003C66EB">
            <w:pPr>
              <w:rPr>
                <w:rFonts w:ascii="宋体"/>
              </w:rPr>
            </w:pPr>
          </w:p>
        </w:tc>
        <w:tc>
          <w:tcPr>
            <w:tcW w:w="0" w:type="auto"/>
            <w:shd w:val="clear" w:color="auto" w:fill="auto"/>
          </w:tcPr>
          <w:p w14:paraId="5EA283A2" w14:textId="77777777" w:rsidR="003C66EB" w:rsidRDefault="003C66EB">
            <w:pPr>
              <w:rPr>
                <w:rFonts w:ascii="宋体"/>
              </w:rPr>
            </w:pPr>
          </w:p>
        </w:tc>
        <w:tc>
          <w:tcPr>
            <w:tcW w:w="0" w:type="auto"/>
            <w:shd w:val="clear" w:color="auto" w:fill="auto"/>
          </w:tcPr>
          <w:p w14:paraId="5EA283A3" w14:textId="77777777" w:rsidR="003C66EB" w:rsidRDefault="003C66EB">
            <w:pPr>
              <w:rPr>
                <w:rFonts w:ascii="宋体"/>
              </w:rPr>
            </w:pPr>
          </w:p>
        </w:tc>
        <w:tc>
          <w:tcPr>
            <w:tcW w:w="0" w:type="auto"/>
            <w:shd w:val="clear" w:color="auto" w:fill="auto"/>
          </w:tcPr>
          <w:p w14:paraId="5EA283A4" w14:textId="77777777" w:rsidR="003C66EB" w:rsidRDefault="003C66EB">
            <w:pPr>
              <w:rPr>
                <w:rFonts w:ascii="宋体"/>
              </w:rPr>
            </w:pPr>
          </w:p>
        </w:tc>
      </w:tr>
      <w:tr w:rsidR="003C66EB" w14:paraId="5EA283AA" w14:textId="77777777">
        <w:trPr>
          <w:hidden/>
        </w:trPr>
        <w:tc>
          <w:tcPr>
            <w:tcW w:w="0" w:type="auto"/>
            <w:gridSpan w:val="3"/>
            <w:shd w:val="clear" w:color="auto" w:fill="auto"/>
          </w:tcPr>
          <w:p w14:paraId="5EA283A6" w14:textId="77777777" w:rsidR="003C66EB" w:rsidRDefault="003C66EB">
            <w:pPr>
              <w:rPr>
                <w:rFonts w:ascii="宋体"/>
                <w:vanish/>
              </w:rPr>
            </w:pPr>
          </w:p>
        </w:tc>
        <w:tc>
          <w:tcPr>
            <w:tcW w:w="0" w:type="auto"/>
            <w:gridSpan w:val="3"/>
            <w:shd w:val="clear" w:color="auto" w:fill="auto"/>
          </w:tcPr>
          <w:p w14:paraId="5EA283A7" w14:textId="77777777" w:rsidR="003C66EB" w:rsidRDefault="003C66EB">
            <w:pPr>
              <w:rPr>
                <w:rFonts w:ascii="宋体"/>
                <w:vanish/>
              </w:rPr>
            </w:pPr>
          </w:p>
        </w:tc>
        <w:tc>
          <w:tcPr>
            <w:tcW w:w="0" w:type="auto"/>
            <w:gridSpan w:val="3"/>
            <w:shd w:val="clear" w:color="auto" w:fill="auto"/>
          </w:tcPr>
          <w:p w14:paraId="5EA283A8" w14:textId="77777777" w:rsidR="003C66EB" w:rsidRDefault="003C66EB">
            <w:pPr>
              <w:rPr>
                <w:rFonts w:ascii="宋体"/>
                <w:vanish/>
              </w:rPr>
            </w:pPr>
          </w:p>
        </w:tc>
        <w:tc>
          <w:tcPr>
            <w:tcW w:w="0" w:type="auto"/>
            <w:gridSpan w:val="3"/>
            <w:shd w:val="clear" w:color="auto" w:fill="auto"/>
          </w:tcPr>
          <w:p w14:paraId="5EA283A9" w14:textId="77777777" w:rsidR="003C66EB" w:rsidRDefault="003C66EB">
            <w:pPr>
              <w:rPr>
                <w:rFonts w:ascii="宋体"/>
                <w:vanish/>
              </w:rPr>
            </w:pPr>
          </w:p>
        </w:tc>
      </w:tr>
      <w:tr w:rsidR="003C66EB" w14:paraId="5EA283AF" w14:textId="77777777">
        <w:trPr>
          <w:hidden/>
        </w:trPr>
        <w:tc>
          <w:tcPr>
            <w:tcW w:w="0" w:type="auto"/>
            <w:gridSpan w:val="3"/>
            <w:shd w:val="clear" w:color="auto" w:fill="auto"/>
          </w:tcPr>
          <w:p w14:paraId="5EA283AB" w14:textId="77777777" w:rsidR="003C66EB" w:rsidRDefault="003C66EB">
            <w:pPr>
              <w:rPr>
                <w:rFonts w:ascii="宋体"/>
                <w:vanish/>
              </w:rPr>
            </w:pPr>
          </w:p>
        </w:tc>
        <w:tc>
          <w:tcPr>
            <w:tcW w:w="0" w:type="auto"/>
            <w:gridSpan w:val="3"/>
            <w:shd w:val="clear" w:color="auto" w:fill="auto"/>
          </w:tcPr>
          <w:p w14:paraId="5EA283AC" w14:textId="77777777" w:rsidR="003C66EB" w:rsidRDefault="003C66EB">
            <w:pPr>
              <w:rPr>
                <w:rFonts w:ascii="宋体"/>
                <w:vanish/>
              </w:rPr>
            </w:pPr>
          </w:p>
        </w:tc>
        <w:tc>
          <w:tcPr>
            <w:tcW w:w="0" w:type="auto"/>
            <w:gridSpan w:val="3"/>
            <w:shd w:val="clear" w:color="auto" w:fill="auto"/>
          </w:tcPr>
          <w:p w14:paraId="5EA283AD" w14:textId="77777777" w:rsidR="003C66EB" w:rsidRDefault="003C66EB">
            <w:pPr>
              <w:rPr>
                <w:rFonts w:ascii="宋体"/>
                <w:vanish/>
              </w:rPr>
            </w:pPr>
          </w:p>
        </w:tc>
        <w:tc>
          <w:tcPr>
            <w:tcW w:w="0" w:type="auto"/>
            <w:gridSpan w:val="3"/>
            <w:shd w:val="clear" w:color="auto" w:fill="auto"/>
          </w:tcPr>
          <w:p w14:paraId="5EA283AE" w14:textId="77777777" w:rsidR="003C66EB" w:rsidRDefault="003C66EB">
            <w:pPr>
              <w:rPr>
                <w:rFonts w:ascii="宋体"/>
                <w:vanish/>
              </w:rPr>
            </w:pPr>
          </w:p>
        </w:tc>
      </w:tr>
      <w:tr w:rsidR="003C66EB" w14:paraId="5EA283B4" w14:textId="77777777">
        <w:trPr>
          <w:hidden/>
        </w:trPr>
        <w:tc>
          <w:tcPr>
            <w:tcW w:w="0" w:type="auto"/>
            <w:gridSpan w:val="3"/>
            <w:shd w:val="clear" w:color="auto" w:fill="auto"/>
          </w:tcPr>
          <w:p w14:paraId="5EA283B0" w14:textId="77777777" w:rsidR="003C66EB" w:rsidRDefault="003C66EB">
            <w:pPr>
              <w:rPr>
                <w:rFonts w:ascii="宋体"/>
                <w:vanish/>
              </w:rPr>
            </w:pPr>
          </w:p>
        </w:tc>
        <w:tc>
          <w:tcPr>
            <w:tcW w:w="0" w:type="auto"/>
            <w:gridSpan w:val="3"/>
            <w:shd w:val="clear" w:color="auto" w:fill="auto"/>
          </w:tcPr>
          <w:p w14:paraId="5EA283B1" w14:textId="77777777" w:rsidR="003C66EB" w:rsidRDefault="003C66EB">
            <w:pPr>
              <w:rPr>
                <w:rFonts w:ascii="宋体"/>
                <w:vanish/>
              </w:rPr>
            </w:pPr>
          </w:p>
        </w:tc>
        <w:tc>
          <w:tcPr>
            <w:tcW w:w="0" w:type="auto"/>
            <w:gridSpan w:val="3"/>
            <w:shd w:val="clear" w:color="auto" w:fill="auto"/>
          </w:tcPr>
          <w:p w14:paraId="5EA283B2" w14:textId="77777777" w:rsidR="003C66EB" w:rsidRDefault="003C66EB">
            <w:pPr>
              <w:rPr>
                <w:rFonts w:ascii="宋体"/>
                <w:vanish/>
              </w:rPr>
            </w:pPr>
          </w:p>
        </w:tc>
        <w:tc>
          <w:tcPr>
            <w:tcW w:w="0" w:type="auto"/>
            <w:gridSpan w:val="3"/>
            <w:shd w:val="clear" w:color="auto" w:fill="auto"/>
          </w:tcPr>
          <w:p w14:paraId="5EA283B3" w14:textId="77777777" w:rsidR="003C66EB" w:rsidRDefault="003C66EB">
            <w:pPr>
              <w:rPr>
                <w:rFonts w:ascii="宋体"/>
                <w:vanish/>
              </w:rPr>
            </w:pPr>
          </w:p>
        </w:tc>
      </w:tr>
      <w:tr w:rsidR="003C66EB" w14:paraId="5EA283B9" w14:textId="77777777">
        <w:trPr>
          <w:hidden/>
        </w:trPr>
        <w:tc>
          <w:tcPr>
            <w:tcW w:w="0" w:type="auto"/>
            <w:gridSpan w:val="3"/>
            <w:shd w:val="clear" w:color="auto" w:fill="auto"/>
          </w:tcPr>
          <w:p w14:paraId="5EA283B5" w14:textId="77777777" w:rsidR="003C66EB" w:rsidRDefault="003C66EB">
            <w:pPr>
              <w:rPr>
                <w:rFonts w:ascii="宋体"/>
                <w:vanish/>
              </w:rPr>
            </w:pPr>
          </w:p>
        </w:tc>
        <w:tc>
          <w:tcPr>
            <w:tcW w:w="0" w:type="auto"/>
            <w:gridSpan w:val="3"/>
            <w:shd w:val="clear" w:color="auto" w:fill="auto"/>
          </w:tcPr>
          <w:p w14:paraId="5EA283B6" w14:textId="77777777" w:rsidR="003C66EB" w:rsidRDefault="003C66EB">
            <w:pPr>
              <w:rPr>
                <w:rFonts w:ascii="宋体"/>
                <w:vanish/>
              </w:rPr>
            </w:pPr>
          </w:p>
        </w:tc>
        <w:tc>
          <w:tcPr>
            <w:tcW w:w="0" w:type="auto"/>
            <w:gridSpan w:val="3"/>
            <w:shd w:val="clear" w:color="auto" w:fill="auto"/>
          </w:tcPr>
          <w:p w14:paraId="5EA283B7" w14:textId="77777777" w:rsidR="003C66EB" w:rsidRDefault="003C66EB">
            <w:pPr>
              <w:rPr>
                <w:rFonts w:ascii="宋体"/>
                <w:vanish/>
              </w:rPr>
            </w:pPr>
          </w:p>
        </w:tc>
        <w:tc>
          <w:tcPr>
            <w:tcW w:w="0" w:type="auto"/>
            <w:gridSpan w:val="3"/>
            <w:shd w:val="clear" w:color="auto" w:fill="auto"/>
          </w:tcPr>
          <w:p w14:paraId="5EA283B8" w14:textId="77777777" w:rsidR="003C66EB" w:rsidRDefault="003C66EB">
            <w:pPr>
              <w:rPr>
                <w:rFonts w:ascii="宋体"/>
                <w:vanish/>
              </w:rPr>
            </w:pPr>
          </w:p>
        </w:tc>
      </w:tr>
      <w:tr w:rsidR="003C66EB" w14:paraId="5EA283BE" w14:textId="77777777">
        <w:trPr>
          <w:hidden/>
        </w:trPr>
        <w:tc>
          <w:tcPr>
            <w:tcW w:w="0" w:type="auto"/>
            <w:gridSpan w:val="3"/>
            <w:shd w:val="clear" w:color="auto" w:fill="auto"/>
          </w:tcPr>
          <w:p w14:paraId="5EA283BA" w14:textId="77777777" w:rsidR="003C66EB" w:rsidRDefault="003C66EB">
            <w:pPr>
              <w:rPr>
                <w:rFonts w:ascii="宋体"/>
                <w:vanish/>
              </w:rPr>
            </w:pPr>
          </w:p>
        </w:tc>
        <w:tc>
          <w:tcPr>
            <w:tcW w:w="0" w:type="auto"/>
            <w:gridSpan w:val="3"/>
            <w:shd w:val="clear" w:color="auto" w:fill="auto"/>
          </w:tcPr>
          <w:p w14:paraId="5EA283BB" w14:textId="77777777" w:rsidR="003C66EB" w:rsidRDefault="003C66EB">
            <w:pPr>
              <w:rPr>
                <w:rFonts w:ascii="宋体"/>
                <w:vanish/>
              </w:rPr>
            </w:pPr>
          </w:p>
        </w:tc>
        <w:tc>
          <w:tcPr>
            <w:tcW w:w="0" w:type="auto"/>
            <w:gridSpan w:val="3"/>
            <w:shd w:val="clear" w:color="auto" w:fill="auto"/>
          </w:tcPr>
          <w:p w14:paraId="5EA283BC" w14:textId="77777777" w:rsidR="003C66EB" w:rsidRDefault="003C66EB">
            <w:pPr>
              <w:rPr>
                <w:rFonts w:ascii="宋体"/>
                <w:vanish/>
              </w:rPr>
            </w:pPr>
          </w:p>
        </w:tc>
        <w:tc>
          <w:tcPr>
            <w:tcW w:w="0" w:type="auto"/>
            <w:gridSpan w:val="3"/>
            <w:shd w:val="clear" w:color="auto" w:fill="auto"/>
          </w:tcPr>
          <w:p w14:paraId="5EA283BD" w14:textId="77777777" w:rsidR="003C66EB" w:rsidRDefault="003C66EB">
            <w:pPr>
              <w:rPr>
                <w:rFonts w:ascii="宋体"/>
                <w:vanish/>
              </w:rPr>
            </w:pPr>
          </w:p>
        </w:tc>
      </w:tr>
      <w:tr w:rsidR="003C66EB" w14:paraId="5EA283C3" w14:textId="77777777">
        <w:trPr>
          <w:hidden/>
        </w:trPr>
        <w:tc>
          <w:tcPr>
            <w:tcW w:w="0" w:type="auto"/>
            <w:gridSpan w:val="3"/>
            <w:shd w:val="clear" w:color="auto" w:fill="auto"/>
          </w:tcPr>
          <w:p w14:paraId="5EA283BF" w14:textId="77777777" w:rsidR="003C66EB" w:rsidRDefault="003C66EB">
            <w:pPr>
              <w:rPr>
                <w:rFonts w:ascii="宋体"/>
                <w:vanish/>
              </w:rPr>
            </w:pPr>
          </w:p>
        </w:tc>
        <w:tc>
          <w:tcPr>
            <w:tcW w:w="0" w:type="auto"/>
            <w:gridSpan w:val="3"/>
            <w:shd w:val="clear" w:color="auto" w:fill="auto"/>
          </w:tcPr>
          <w:p w14:paraId="5EA283C0" w14:textId="77777777" w:rsidR="003C66EB" w:rsidRDefault="003C66EB">
            <w:pPr>
              <w:rPr>
                <w:rFonts w:ascii="宋体"/>
                <w:vanish/>
              </w:rPr>
            </w:pPr>
          </w:p>
        </w:tc>
        <w:tc>
          <w:tcPr>
            <w:tcW w:w="0" w:type="auto"/>
            <w:gridSpan w:val="3"/>
            <w:shd w:val="clear" w:color="auto" w:fill="auto"/>
          </w:tcPr>
          <w:p w14:paraId="5EA283C1" w14:textId="77777777" w:rsidR="003C66EB" w:rsidRDefault="003C66EB">
            <w:pPr>
              <w:rPr>
                <w:rFonts w:ascii="宋体"/>
                <w:vanish/>
              </w:rPr>
            </w:pPr>
          </w:p>
        </w:tc>
        <w:tc>
          <w:tcPr>
            <w:tcW w:w="0" w:type="auto"/>
            <w:gridSpan w:val="3"/>
            <w:shd w:val="clear" w:color="auto" w:fill="auto"/>
          </w:tcPr>
          <w:p w14:paraId="5EA283C2" w14:textId="77777777" w:rsidR="003C66EB" w:rsidRDefault="003C66EB">
            <w:pPr>
              <w:rPr>
                <w:rFonts w:ascii="宋体"/>
                <w:vanish/>
              </w:rPr>
            </w:pPr>
          </w:p>
        </w:tc>
      </w:tr>
      <w:tr w:rsidR="003C66EB" w14:paraId="5EA283C8" w14:textId="77777777">
        <w:trPr>
          <w:hidden/>
        </w:trPr>
        <w:tc>
          <w:tcPr>
            <w:tcW w:w="0" w:type="auto"/>
            <w:gridSpan w:val="3"/>
            <w:shd w:val="clear" w:color="auto" w:fill="auto"/>
          </w:tcPr>
          <w:p w14:paraId="5EA283C4" w14:textId="77777777" w:rsidR="003C66EB" w:rsidRDefault="003C66EB">
            <w:pPr>
              <w:rPr>
                <w:rFonts w:ascii="宋体"/>
                <w:vanish/>
              </w:rPr>
            </w:pPr>
          </w:p>
        </w:tc>
        <w:tc>
          <w:tcPr>
            <w:tcW w:w="0" w:type="auto"/>
            <w:gridSpan w:val="3"/>
            <w:shd w:val="clear" w:color="auto" w:fill="auto"/>
          </w:tcPr>
          <w:p w14:paraId="5EA283C5" w14:textId="77777777" w:rsidR="003C66EB" w:rsidRDefault="003C66EB">
            <w:pPr>
              <w:rPr>
                <w:rFonts w:ascii="宋体"/>
                <w:vanish/>
              </w:rPr>
            </w:pPr>
          </w:p>
        </w:tc>
        <w:tc>
          <w:tcPr>
            <w:tcW w:w="0" w:type="auto"/>
            <w:gridSpan w:val="3"/>
            <w:shd w:val="clear" w:color="auto" w:fill="auto"/>
          </w:tcPr>
          <w:p w14:paraId="5EA283C6" w14:textId="77777777" w:rsidR="003C66EB" w:rsidRDefault="003C66EB">
            <w:pPr>
              <w:rPr>
                <w:rFonts w:ascii="宋体"/>
                <w:vanish/>
              </w:rPr>
            </w:pPr>
          </w:p>
        </w:tc>
        <w:tc>
          <w:tcPr>
            <w:tcW w:w="0" w:type="auto"/>
            <w:gridSpan w:val="3"/>
            <w:shd w:val="clear" w:color="auto" w:fill="auto"/>
          </w:tcPr>
          <w:p w14:paraId="5EA283C7" w14:textId="77777777" w:rsidR="003C66EB" w:rsidRDefault="003C66EB">
            <w:pPr>
              <w:rPr>
                <w:rFonts w:ascii="宋体"/>
                <w:vanish/>
              </w:rPr>
            </w:pPr>
          </w:p>
        </w:tc>
      </w:tr>
      <w:tr w:rsidR="003C66EB" w14:paraId="5EA283CD" w14:textId="77777777">
        <w:trPr>
          <w:hidden/>
        </w:trPr>
        <w:tc>
          <w:tcPr>
            <w:tcW w:w="0" w:type="auto"/>
            <w:gridSpan w:val="3"/>
            <w:shd w:val="clear" w:color="auto" w:fill="auto"/>
          </w:tcPr>
          <w:p w14:paraId="5EA283C9" w14:textId="77777777" w:rsidR="003C66EB" w:rsidRDefault="003C66EB">
            <w:pPr>
              <w:rPr>
                <w:rFonts w:ascii="宋体"/>
                <w:vanish/>
              </w:rPr>
            </w:pPr>
          </w:p>
        </w:tc>
        <w:tc>
          <w:tcPr>
            <w:tcW w:w="0" w:type="auto"/>
            <w:gridSpan w:val="3"/>
            <w:shd w:val="clear" w:color="auto" w:fill="auto"/>
          </w:tcPr>
          <w:p w14:paraId="5EA283CA" w14:textId="77777777" w:rsidR="003C66EB" w:rsidRDefault="003C66EB">
            <w:pPr>
              <w:rPr>
                <w:rFonts w:ascii="宋体"/>
                <w:vanish/>
              </w:rPr>
            </w:pPr>
          </w:p>
        </w:tc>
        <w:tc>
          <w:tcPr>
            <w:tcW w:w="0" w:type="auto"/>
            <w:gridSpan w:val="3"/>
            <w:shd w:val="clear" w:color="auto" w:fill="auto"/>
          </w:tcPr>
          <w:p w14:paraId="5EA283CB" w14:textId="77777777" w:rsidR="003C66EB" w:rsidRDefault="003C66EB">
            <w:pPr>
              <w:rPr>
                <w:rFonts w:ascii="宋体"/>
                <w:vanish/>
              </w:rPr>
            </w:pPr>
          </w:p>
        </w:tc>
        <w:tc>
          <w:tcPr>
            <w:tcW w:w="0" w:type="auto"/>
            <w:gridSpan w:val="3"/>
            <w:shd w:val="clear" w:color="auto" w:fill="auto"/>
          </w:tcPr>
          <w:p w14:paraId="5EA283CC" w14:textId="77777777" w:rsidR="003C66EB" w:rsidRDefault="003C66EB">
            <w:pPr>
              <w:rPr>
                <w:rFonts w:ascii="宋体"/>
                <w:vanish/>
              </w:rPr>
            </w:pPr>
          </w:p>
        </w:tc>
      </w:tr>
      <w:tr w:rsidR="003C66EB" w14:paraId="5EA283D2" w14:textId="77777777">
        <w:trPr>
          <w:hidden/>
        </w:trPr>
        <w:tc>
          <w:tcPr>
            <w:tcW w:w="0" w:type="auto"/>
            <w:gridSpan w:val="3"/>
            <w:shd w:val="clear" w:color="auto" w:fill="auto"/>
          </w:tcPr>
          <w:p w14:paraId="5EA283CE" w14:textId="77777777" w:rsidR="003C66EB" w:rsidRDefault="003C66EB">
            <w:pPr>
              <w:rPr>
                <w:rFonts w:ascii="宋体"/>
                <w:vanish/>
              </w:rPr>
            </w:pPr>
          </w:p>
        </w:tc>
        <w:tc>
          <w:tcPr>
            <w:tcW w:w="0" w:type="auto"/>
            <w:gridSpan w:val="3"/>
            <w:shd w:val="clear" w:color="auto" w:fill="auto"/>
          </w:tcPr>
          <w:p w14:paraId="5EA283CF" w14:textId="77777777" w:rsidR="003C66EB" w:rsidRDefault="003C66EB">
            <w:pPr>
              <w:rPr>
                <w:rFonts w:ascii="宋体"/>
                <w:vanish/>
              </w:rPr>
            </w:pPr>
          </w:p>
        </w:tc>
        <w:tc>
          <w:tcPr>
            <w:tcW w:w="0" w:type="auto"/>
            <w:gridSpan w:val="3"/>
            <w:shd w:val="clear" w:color="auto" w:fill="auto"/>
          </w:tcPr>
          <w:p w14:paraId="5EA283D0" w14:textId="77777777" w:rsidR="003C66EB" w:rsidRDefault="003C66EB">
            <w:pPr>
              <w:rPr>
                <w:rFonts w:ascii="宋体"/>
                <w:vanish/>
              </w:rPr>
            </w:pPr>
          </w:p>
        </w:tc>
        <w:tc>
          <w:tcPr>
            <w:tcW w:w="0" w:type="auto"/>
            <w:gridSpan w:val="3"/>
            <w:shd w:val="clear" w:color="auto" w:fill="auto"/>
          </w:tcPr>
          <w:p w14:paraId="5EA283D1" w14:textId="77777777" w:rsidR="003C66EB" w:rsidRDefault="003C66EB">
            <w:pPr>
              <w:rPr>
                <w:rFonts w:ascii="宋体"/>
                <w:vanish/>
              </w:rPr>
            </w:pPr>
          </w:p>
        </w:tc>
      </w:tr>
      <w:tr w:rsidR="003C66EB" w14:paraId="5EA283D7" w14:textId="77777777">
        <w:trPr>
          <w:hidden/>
        </w:trPr>
        <w:tc>
          <w:tcPr>
            <w:tcW w:w="0" w:type="auto"/>
            <w:gridSpan w:val="3"/>
            <w:shd w:val="clear" w:color="auto" w:fill="auto"/>
          </w:tcPr>
          <w:p w14:paraId="5EA283D3" w14:textId="77777777" w:rsidR="003C66EB" w:rsidRDefault="003C66EB">
            <w:pPr>
              <w:rPr>
                <w:rFonts w:ascii="宋体"/>
                <w:vanish/>
              </w:rPr>
            </w:pPr>
          </w:p>
        </w:tc>
        <w:tc>
          <w:tcPr>
            <w:tcW w:w="0" w:type="auto"/>
            <w:gridSpan w:val="3"/>
            <w:shd w:val="clear" w:color="auto" w:fill="auto"/>
          </w:tcPr>
          <w:p w14:paraId="5EA283D4" w14:textId="77777777" w:rsidR="003C66EB" w:rsidRDefault="003C66EB">
            <w:pPr>
              <w:rPr>
                <w:rFonts w:ascii="宋体"/>
                <w:vanish/>
              </w:rPr>
            </w:pPr>
          </w:p>
        </w:tc>
        <w:tc>
          <w:tcPr>
            <w:tcW w:w="0" w:type="auto"/>
            <w:gridSpan w:val="3"/>
            <w:shd w:val="clear" w:color="auto" w:fill="auto"/>
          </w:tcPr>
          <w:p w14:paraId="5EA283D5" w14:textId="77777777" w:rsidR="003C66EB" w:rsidRDefault="003C66EB">
            <w:pPr>
              <w:rPr>
                <w:rFonts w:ascii="宋体"/>
                <w:vanish/>
              </w:rPr>
            </w:pPr>
          </w:p>
        </w:tc>
        <w:tc>
          <w:tcPr>
            <w:tcW w:w="0" w:type="auto"/>
            <w:gridSpan w:val="3"/>
            <w:shd w:val="clear" w:color="auto" w:fill="auto"/>
          </w:tcPr>
          <w:p w14:paraId="5EA283D6" w14:textId="77777777" w:rsidR="003C66EB" w:rsidRDefault="003C66EB">
            <w:pPr>
              <w:rPr>
                <w:rFonts w:ascii="宋体"/>
                <w:vanish/>
              </w:rPr>
            </w:pPr>
          </w:p>
        </w:tc>
      </w:tr>
      <w:tr w:rsidR="003C66EB" w14:paraId="5EA283DC" w14:textId="77777777">
        <w:trPr>
          <w:hidden/>
        </w:trPr>
        <w:tc>
          <w:tcPr>
            <w:tcW w:w="0" w:type="auto"/>
            <w:gridSpan w:val="3"/>
            <w:shd w:val="clear" w:color="auto" w:fill="auto"/>
          </w:tcPr>
          <w:p w14:paraId="5EA283D8" w14:textId="77777777" w:rsidR="003C66EB" w:rsidRDefault="003C66EB">
            <w:pPr>
              <w:rPr>
                <w:rFonts w:ascii="宋体"/>
                <w:vanish/>
              </w:rPr>
            </w:pPr>
          </w:p>
        </w:tc>
        <w:tc>
          <w:tcPr>
            <w:tcW w:w="0" w:type="auto"/>
            <w:gridSpan w:val="3"/>
            <w:shd w:val="clear" w:color="auto" w:fill="auto"/>
          </w:tcPr>
          <w:p w14:paraId="5EA283D9" w14:textId="77777777" w:rsidR="003C66EB" w:rsidRDefault="003C66EB">
            <w:pPr>
              <w:rPr>
                <w:rFonts w:ascii="宋体"/>
                <w:vanish/>
              </w:rPr>
            </w:pPr>
          </w:p>
        </w:tc>
        <w:tc>
          <w:tcPr>
            <w:tcW w:w="0" w:type="auto"/>
            <w:gridSpan w:val="3"/>
            <w:shd w:val="clear" w:color="auto" w:fill="auto"/>
          </w:tcPr>
          <w:p w14:paraId="5EA283DA" w14:textId="77777777" w:rsidR="003C66EB" w:rsidRDefault="003C66EB">
            <w:pPr>
              <w:rPr>
                <w:rFonts w:ascii="宋体"/>
                <w:vanish/>
              </w:rPr>
            </w:pPr>
          </w:p>
        </w:tc>
        <w:tc>
          <w:tcPr>
            <w:tcW w:w="0" w:type="auto"/>
            <w:gridSpan w:val="3"/>
            <w:shd w:val="clear" w:color="auto" w:fill="auto"/>
          </w:tcPr>
          <w:p w14:paraId="5EA283DB" w14:textId="77777777" w:rsidR="003C66EB" w:rsidRDefault="003C66EB">
            <w:pPr>
              <w:rPr>
                <w:rFonts w:ascii="宋体"/>
                <w:vanish/>
              </w:rPr>
            </w:pPr>
          </w:p>
        </w:tc>
      </w:tr>
      <w:tr w:rsidR="003C66EB" w14:paraId="5EA283E1" w14:textId="77777777">
        <w:trPr>
          <w:hidden/>
        </w:trPr>
        <w:tc>
          <w:tcPr>
            <w:tcW w:w="0" w:type="auto"/>
            <w:gridSpan w:val="3"/>
            <w:shd w:val="clear" w:color="auto" w:fill="auto"/>
          </w:tcPr>
          <w:p w14:paraId="5EA283DD" w14:textId="77777777" w:rsidR="003C66EB" w:rsidRDefault="003C66EB">
            <w:pPr>
              <w:rPr>
                <w:rFonts w:ascii="宋体"/>
                <w:vanish/>
              </w:rPr>
            </w:pPr>
          </w:p>
        </w:tc>
        <w:tc>
          <w:tcPr>
            <w:tcW w:w="0" w:type="auto"/>
            <w:gridSpan w:val="3"/>
            <w:shd w:val="clear" w:color="auto" w:fill="auto"/>
          </w:tcPr>
          <w:p w14:paraId="5EA283DE" w14:textId="77777777" w:rsidR="003C66EB" w:rsidRDefault="003C66EB">
            <w:pPr>
              <w:rPr>
                <w:rFonts w:ascii="宋体"/>
                <w:vanish/>
              </w:rPr>
            </w:pPr>
          </w:p>
        </w:tc>
        <w:tc>
          <w:tcPr>
            <w:tcW w:w="0" w:type="auto"/>
            <w:gridSpan w:val="3"/>
            <w:shd w:val="clear" w:color="auto" w:fill="auto"/>
          </w:tcPr>
          <w:p w14:paraId="5EA283DF" w14:textId="77777777" w:rsidR="003C66EB" w:rsidRDefault="003C66EB">
            <w:pPr>
              <w:rPr>
                <w:rFonts w:ascii="宋体"/>
                <w:vanish/>
              </w:rPr>
            </w:pPr>
          </w:p>
        </w:tc>
        <w:tc>
          <w:tcPr>
            <w:tcW w:w="0" w:type="auto"/>
            <w:gridSpan w:val="3"/>
            <w:shd w:val="clear" w:color="auto" w:fill="auto"/>
          </w:tcPr>
          <w:p w14:paraId="5EA283E0" w14:textId="77777777" w:rsidR="003C66EB" w:rsidRDefault="003C66EB">
            <w:pPr>
              <w:rPr>
                <w:rFonts w:ascii="宋体"/>
                <w:vanish/>
              </w:rPr>
            </w:pPr>
          </w:p>
        </w:tc>
      </w:tr>
      <w:tr w:rsidR="003C66EB" w14:paraId="5EA283E6" w14:textId="77777777">
        <w:trPr>
          <w:hidden/>
        </w:trPr>
        <w:tc>
          <w:tcPr>
            <w:tcW w:w="0" w:type="auto"/>
            <w:gridSpan w:val="3"/>
            <w:shd w:val="clear" w:color="auto" w:fill="auto"/>
          </w:tcPr>
          <w:p w14:paraId="5EA283E2" w14:textId="77777777" w:rsidR="003C66EB" w:rsidRDefault="003C66EB">
            <w:pPr>
              <w:rPr>
                <w:rFonts w:ascii="宋体"/>
                <w:vanish/>
              </w:rPr>
            </w:pPr>
          </w:p>
        </w:tc>
        <w:tc>
          <w:tcPr>
            <w:tcW w:w="0" w:type="auto"/>
            <w:gridSpan w:val="3"/>
            <w:shd w:val="clear" w:color="auto" w:fill="auto"/>
          </w:tcPr>
          <w:p w14:paraId="5EA283E3" w14:textId="77777777" w:rsidR="003C66EB" w:rsidRDefault="003C66EB">
            <w:pPr>
              <w:rPr>
                <w:rFonts w:ascii="宋体"/>
                <w:vanish/>
              </w:rPr>
            </w:pPr>
          </w:p>
        </w:tc>
        <w:tc>
          <w:tcPr>
            <w:tcW w:w="0" w:type="auto"/>
            <w:gridSpan w:val="3"/>
            <w:shd w:val="clear" w:color="auto" w:fill="auto"/>
          </w:tcPr>
          <w:p w14:paraId="5EA283E4" w14:textId="77777777" w:rsidR="003C66EB" w:rsidRDefault="003C66EB">
            <w:pPr>
              <w:rPr>
                <w:rFonts w:ascii="宋体"/>
                <w:vanish/>
              </w:rPr>
            </w:pPr>
          </w:p>
        </w:tc>
        <w:tc>
          <w:tcPr>
            <w:tcW w:w="0" w:type="auto"/>
            <w:gridSpan w:val="3"/>
            <w:shd w:val="clear" w:color="auto" w:fill="auto"/>
          </w:tcPr>
          <w:p w14:paraId="5EA283E5" w14:textId="77777777" w:rsidR="003C66EB" w:rsidRDefault="003C66EB">
            <w:pPr>
              <w:rPr>
                <w:rFonts w:ascii="宋体"/>
                <w:vanish/>
              </w:rPr>
            </w:pPr>
          </w:p>
        </w:tc>
      </w:tr>
      <w:tr w:rsidR="003C66EB" w14:paraId="5EA283EB" w14:textId="77777777">
        <w:trPr>
          <w:hidden/>
        </w:trPr>
        <w:tc>
          <w:tcPr>
            <w:tcW w:w="0" w:type="auto"/>
            <w:gridSpan w:val="3"/>
            <w:shd w:val="clear" w:color="auto" w:fill="auto"/>
          </w:tcPr>
          <w:p w14:paraId="5EA283E7" w14:textId="77777777" w:rsidR="003C66EB" w:rsidRDefault="003C66EB">
            <w:pPr>
              <w:rPr>
                <w:rFonts w:ascii="宋体"/>
                <w:vanish/>
              </w:rPr>
            </w:pPr>
          </w:p>
        </w:tc>
        <w:tc>
          <w:tcPr>
            <w:tcW w:w="0" w:type="auto"/>
            <w:gridSpan w:val="3"/>
            <w:shd w:val="clear" w:color="auto" w:fill="auto"/>
          </w:tcPr>
          <w:p w14:paraId="5EA283E8" w14:textId="77777777" w:rsidR="003C66EB" w:rsidRDefault="003C66EB">
            <w:pPr>
              <w:rPr>
                <w:rFonts w:ascii="宋体"/>
                <w:vanish/>
              </w:rPr>
            </w:pPr>
          </w:p>
        </w:tc>
        <w:tc>
          <w:tcPr>
            <w:tcW w:w="0" w:type="auto"/>
            <w:gridSpan w:val="3"/>
            <w:shd w:val="clear" w:color="auto" w:fill="auto"/>
          </w:tcPr>
          <w:p w14:paraId="5EA283E9" w14:textId="77777777" w:rsidR="003C66EB" w:rsidRDefault="003C66EB">
            <w:pPr>
              <w:rPr>
                <w:rFonts w:ascii="宋体"/>
                <w:vanish/>
              </w:rPr>
            </w:pPr>
          </w:p>
        </w:tc>
        <w:tc>
          <w:tcPr>
            <w:tcW w:w="0" w:type="auto"/>
            <w:gridSpan w:val="3"/>
            <w:shd w:val="clear" w:color="auto" w:fill="auto"/>
          </w:tcPr>
          <w:p w14:paraId="5EA283EA" w14:textId="77777777" w:rsidR="003C66EB" w:rsidRDefault="003C66EB">
            <w:pPr>
              <w:rPr>
                <w:rFonts w:ascii="宋体"/>
                <w:vanish/>
              </w:rPr>
            </w:pPr>
          </w:p>
        </w:tc>
      </w:tr>
      <w:tr w:rsidR="003C66EB" w14:paraId="5EA283F0" w14:textId="77777777">
        <w:trPr>
          <w:hidden/>
        </w:trPr>
        <w:tc>
          <w:tcPr>
            <w:tcW w:w="0" w:type="auto"/>
            <w:gridSpan w:val="3"/>
            <w:shd w:val="clear" w:color="auto" w:fill="auto"/>
          </w:tcPr>
          <w:p w14:paraId="5EA283EC" w14:textId="77777777" w:rsidR="003C66EB" w:rsidRDefault="003C66EB">
            <w:pPr>
              <w:rPr>
                <w:rFonts w:ascii="宋体"/>
                <w:vanish/>
              </w:rPr>
            </w:pPr>
          </w:p>
        </w:tc>
        <w:tc>
          <w:tcPr>
            <w:tcW w:w="0" w:type="auto"/>
            <w:gridSpan w:val="3"/>
            <w:shd w:val="clear" w:color="auto" w:fill="auto"/>
          </w:tcPr>
          <w:p w14:paraId="5EA283ED" w14:textId="77777777" w:rsidR="003C66EB" w:rsidRDefault="003C66EB">
            <w:pPr>
              <w:rPr>
                <w:rFonts w:ascii="宋体"/>
                <w:vanish/>
              </w:rPr>
            </w:pPr>
          </w:p>
        </w:tc>
        <w:tc>
          <w:tcPr>
            <w:tcW w:w="0" w:type="auto"/>
            <w:gridSpan w:val="3"/>
            <w:shd w:val="clear" w:color="auto" w:fill="auto"/>
          </w:tcPr>
          <w:p w14:paraId="5EA283EE" w14:textId="77777777" w:rsidR="003C66EB" w:rsidRDefault="003C66EB">
            <w:pPr>
              <w:rPr>
                <w:rFonts w:ascii="宋体"/>
                <w:vanish/>
              </w:rPr>
            </w:pPr>
          </w:p>
        </w:tc>
        <w:tc>
          <w:tcPr>
            <w:tcW w:w="0" w:type="auto"/>
            <w:gridSpan w:val="3"/>
            <w:shd w:val="clear" w:color="auto" w:fill="auto"/>
          </w:tcPr>
          <w:p w14:paraId="5EA283EF" w14:textId="77777777" w:rsidR="003C66EB" w:rsidRDefault="003C66EB">
            <w:pPr>
              <w:rPr>
                <w:rFonts w:ascii="宋体"/>
                <w:vanish/>
              </w:rPr>
            </w:pPr>
          </w:p>
        </w:tc>
      </w:tr>
      <w:tr w:rsidR="003C66EB" w14:paraId="5EA283F5" w14:textId="77777777">
        <w:trPr>
          <w:hidden/>
        </w:trPr>
        <w:tc>
          <w:tcPr>
            <w:tcW w:w="0" w:type="auto"/>
            <w:gridSpan w:val="3"/>
            <w:shd w:val="clear" w:color="auto" w:fill="auto"/>
          </w:tcPr>
          <w:p w14:paraId="5EA283F1" w14:textId="77777777" w:rsidR="003C66EB" w:rsidRDefault="003C66EB">
            <w:pPr>
              <w:rPr>
                <w:rFonts w:ascii="宋体"/>
                <w:vanish/>
              </w:rPr>
            </w:pPr>
          </w:p>
        </w:tc>
        <w:tc>
          <w:tcPr>
            <w:tcW w:w="0" w:type="auto"/>
            <w:gridSpan w:val="3"/>
            <w:shd w:val="clear" w:color="auto" w:fill="auto"/>
          </w:tcPr>
          <w:p w14:paraId="5EA283F2" w14:textId="77777777" w:rsidR="003C66EB" w:rsidRDefault="003C66EB">
            <w:pPr>
              <w:rPr>
                <w:rFonts w:ascii="宋体"/>
                <w:vanish/>
              </w:rPr>
            </w:pPr>
          </w:p>
        </w:tc>
        <w:tc>
          <w:tcPr>
            <w:tcW w:w="0" w:type="auto"/>
            <w:gridSpan w:val="3"/>
            <w:shd w:val="clear" w:color="auto" w:fill="auto"/>
          </w:tcPr>
          <w:p w14:paraId="5EA283F3" w14:textId="77777777" w:rsidR="003C66EB" w:rsidRDefault="003C66EB">
            <w:pPr>
              <w:rPr>
                <w:rFonts w:ascii="宋体"/>
                <w:vanish/>
              </w:rPr>
            </w:pPr>
          </w:p>
        </w:tc>
        <w:tc>
          <w:tcPr>
            <w:tcW w:w="0" w:type="auto"/>
            <w:gridSpan w:val="3"/>
            <w:shd w:val="clear" w:color="auto" w:fill="auto"/>
          </w:tcPr>
          <w:p w14:paraId="5EA283F4" w14:textId="77777777" w:rsidR="003C66EB" w:rsidRDefault="003C66EB">
            <w:pPr>
              <w:rPr>
                <w:rFonts w:ascii="宋体"/>
                <w:vanish/>
              </w:rPr>
            </w:pPr>
          </w:p>
        </w:tc>
      </w:tr>
      <w:tr w:rsidR="003C66EB" w14:paraId="5EA283FA" w14:textId="77777777">
        <w:trPr>
          <w:hidden/>
        </w:trPr>
        <w:tc>
          <w:tcPr>
            <w:tcW w:w="0" w:type="auto"/>
            <w:gridSpan w:val="3"/>
            <w:shd w:val="clear" w:color="auto" w:fill="auto"/>
          </w:tcPr>
          <w:p w14:paraId="5EA283F6" w14:textId="77777777" w:rsidR="003C66EB" w:rsidRDefault="003C66EB">
            <w:pPr>
              <w:rPr>
                <w:rFonts w:ascii="宋体"/>
                <w:vanish/>
              </w:rPr>
            </w:pPr>
          </w:p>
        </w:tc>
        <w:tc>
          <w:tcPr>
            <w:tcW w:w="0" w:type="auto"/>
            <w:gridSpan w:val="3"/>
            <w:shd w:val="clear" w:color="auto" w:fill="auto"/>
          </w:tcPr>
          <w:p w14:paraId="5EA283F7" w14:textId="77777777" w:rsidR="003C66EB" w:rsidRDefault="003C66EB">
            <w:pPr>
              <w:rPr>
                <w:rFonts w:ascii="宋体"/>
                <w:vanish/>
              </w:rPr>
            </w:pPr>
          </w:p>
        </w:tc>
        <w:tc>
          <w:tcPr>
            <w:tcW w:w="0" w:type="auto"/>
            <w:gridSpan w:val="3"/>
            <w:shd w:val="clear" w:color="auto" w:fill="auto"/>
          </w:tcPr>
          <w:p w14:paraId="5EA283F8" w14:textId="77777777" w:rsidR="003C66EB" w:rsidRDefault="003C66EB">
            <w:pPr>
              <w:rPr>
                <w:rFonts w:ascii="宋体"/>
                <w:vanish/>
              </w:rPr>
            </w:pPr>
          </w:p>
        </w:tc>
        <w:tc>
          <w:tcPr>
            <w:tcW w:w="0" w:type="auto"/>
            <w:gridSpan w:val="3"/>
            <w:shd w:val="clear" w:color="auto" w:fill="auto"/>
          </w:tcPr>
          <w:p w14:paraId="5EA283F9" w14:textId="77777777" w:rsidR="003C66EB" w:rsidRDefault="003C66EB">
            <w:pPr>
              <w:rPr>
                <w:rFonts w:ascii="宋体"/>
                <w:vanish/>
              </w:rPr>
            </w:pPr>
          </w:p>
        </w:tc>
      </w:tr>
      <w:tr w:rsidR="003C66EB" w14:paraId="5EA283FF" w14:textId="77777777">
        <w:trPr>
          <w:hidden/>
        </w:trPr>
        <w:tc>
          <w:tcPr>
            <w:tcW w:w="0" w:type="auto"/>
            <w:gridSpan w:val="3"/>
            <w:shd w:val="clear" w:color="auto" w:fill="auto"/>
          </w:tcPr>
          <w:p w14:paraId="5EA283FB" w14:textId="77777777" w:rsidR="003C66EB" w:rsidRDefault="003C66EB">
            <w:pPr>
              <w:rPr>
                <w:rFonts w:ascii="宋体"/>
                <w:vanish/>
              </w:rPr>
            </w:pPr>
          </w:p>
        </w:tc>
        <w:tc>
          <w:tcPr>
            <w:tcW w:w="0" w:type="auto"/>
            <w:gridSpan w:val="3"/>
            <w:shd w:val="clear" w:color="auto" w:fill="auto"/>
          </w:tcPr>
          <w:p w14:paraId="5EA283FC" w14:textId="77777777" w:rsidR="003C66EB" w:rsidRDefault="003C66EB">
            <w:pPr>
              <w:rPr>
                <w:rFonts w:ascii="宋体"/>
                <w:vanish/>
              </w:rPr>
            </w:pPr>
          </w:p>
        </w:tc>
        <w:tc>
          <w:tcPr>
            <w:tcW w:w="0" w:type="auto"/>
            <w:gridSpan w:val="3"/>
            <w:shd w:val="clear" w:color="auto" w:fill="auto"/>
          </w:tcPr>
          <w:p w14:paraId="5EA283FD" w14:textId="77777777" w:rsidR="003C66EB" w:rsidRDefault="003C66EB">
            <w:pPr>
              <w:rPr>
                <w:rFonts w:ascii="宋体"/>
                <w:vanish/>
              </w:rPr>
            </w:pPr>
          </w:p>
        </w:tc>
        <w:tc>
          <w:tcPr>
            <w:tcW w:w="0" w:type="auto"/>
            <w:gridSpan w:val="3"/>
            <w:shd w:val="clear" w:color="auto" w:fill="auto"/>
          </w:tcPr>
          <w:p w14:paraId="5EA283FE" w14:textId="77777777" w:rsidR="003C66EB" w:rsidRDefault="003C66EB">
            <w:pPr>
              <w:rPr>
                <w:rFonts w:ascii="宋体"/>
                <w:vanish/>
              </w:rPr>
            </w:pPr>
          </w:p>
        </w:tc>
      </w:tr>
      <w:tr w:rsidR="003C66EB" w14:paraId="5EA28404" w14:textId="77777777">
        <w:trPr>
          <w:hidden/>
        </w:trPr>
        <w:tc>
          <w:tcPr>
            <w:tcW w:w="0" w:type="auto"/>
            <w:gridSpan w:val="3"/>
            <w:shd w:val="clear" w:color="auto" w:fill="auto"/>
          </w:tcPr>
          <w:p w14:paraId="5EA28400" w14:textId="77777777" w:rsidR="003C66EB" w:rsidRDefault="003C66EB">
            <w:pPr>
              <w:rPr>
                <w:rFonts w:ascii="宋体"/>
                <w:vanish/>
              </w:rPr>
            </w:pPr>
          </w:p>
        </w:tc>
        <w:tc>
          <w:tcPr>
            <w:tcW w:w="0" w:type="auto"/>
            <w:gridSpan w:val="3"/>
            <w:shd w:val="clear" w:color="auto" w:fill="auto"/>
          </w:tcPr>
          <w:p w14:paraId="5EA28401" w14:textId="77777777" w:rsidR="003C66EB" w:rsidRDefault="003C66EB">
            <w:pPr>
              <w:rPr>
                <w:rFonts w:ascii="宋体"/>
                <w:vanish/>
              </w:rPr>
            </w:pPr>
          </w:p>
        </w:tc>
        <w:tc>
          <w:tcPr>
            <w:tcW w:w="0" w:type="auto"/>
            <w:gridSpan w:val="3"/>
            <w:shd w:val="clear" w:color="auto" w:fill="auto"/>
          </w:tcPr>
          <w:p w14:paraId="5EA28402" w14:textId="77777777" w:rsidR="003C66EB" w:rsidRDefault="003C66EB">
            <w:pPr>
              <w:rPr>
                <w:rFonts w:ascii="宋体"/>
                <w:vanish/>
              </w:rPr>
            </w:pPr>
          </w:p>
        </w:tc>
        <w:tc>
          <w:tcPr>
            <w:tcW w:w="0" w:type="auto"/>
            <w:gridSpan w:val="3"/>
            <w:shd w:val="clear" w:color="auto" w:fill="auto"/>
          </w:tcPr>
          <w:p w14:paraId="5EA28403" w14:textId="77777777" w:rsidR="003C66EB" w:rsidRDefault="003C66EB">
            <w:pPr>
              <w:rPr>
                <w:rFonts w:ascii="宋体"/>
                <w:vanish/>
              </w:rPr>
            </w:pPr>
          </w:p>
        </w:tc>
      </w:tr>
      <w:tr w:rsidR="003C66EB" w14:paraId="5EA28409" w14:textId="77777777">
        <w:trPr>
          <w:hidden/>
        </w:trPr>
        <w:tc>
          <w:tcPr>
            <w:tcW w:w="0" w:type="auto"/>
            <w:gridSpan w:val="3"/>
            <w:shd w:val="clear" w:color="auto" w:fill="auto"/>
          </w:tcPr>
          <w:p w14:paraId="5EA28405" w14:textId="77777777" w:rsidR="003C66EB" w:rsidRDefault="003C66EB">
            <w:pPr>
              <w:rPr>
                <w:rFonts w:ascii="宋体"/>
                <w:vanish/>
              </w:rPr>
            </w:pPr>
          </w:p>
        </w:tc>
        <w:tc>
          <w:tcPr>
            <w:tcW w:w="0" w:type="auto"/>
            <w:gridSpan w:val="3"/>
            <w:shd w:val="clear" w:color="auto" w:fill="auto"/>
          </w:tcPr>
          <w:p w14:paraId="5EA28406" w14:textId="77777777" w:rsidR="003C66EB" w:rsidRDefault="003C66EB">
            <w:pPr>
              <w:rPr>
                <w:rFonts w:ascii="宋体"/>
                <w:vanish/>
              </w:rPr>
            </w:pPr>
          </w:p>
        </w:tc>
        <w:tc>
          <w:tcPr>
            <w:tcW w:w="0" w:type="auto"/>
            <w:gridSpan w:val="3"/>
            <w:shd w:val="clear" w:color="auto" w:fill="auto"/>
          </w:tcPr>
          <w:p w14:paraId="5EA28407" w14:textId="77777777" w:rsidR="003C66EB" w:rsidRDefault="003C66EB">
            <w:pPr>
              <w:rPr>
                <w:rFonts w:ascii="宋体"/>
                <w:vanish/>
              </w:rPr>
            </w:pPr>
          </w:p>
        </w:tc>
        <w:tc>
          <w:tcPr>
            <w:tcW w:w="0" w:type="auto"/>
            <w:gridSpan w:val="3"/>
            <w:shd w:val="clear" w:color="auto" w:fill="auto"/>
          </w:tcPr>
          <w:p w14:paraId="5EA28408" w14:textId="77777777" w:rsidR="003C66EB" w:rsidRDefault="003C66EB">
            <w:pPr>
              <w:rPr>
                <w:rFonts w:ascii="宋体"/>
                <w:vanish/>
              </w:rPr>
            </w:pPr>
          </w:p>
        </w:tc>
      </w:tr>
      <w:tr w:rsidR="003C66EB" w14:paraId="5EA2840E" w14:textId="77777777">
        <w:trPr>
          <w:hidden/>
        </w:trPr>
        <w:tc>
          <w:tcPr>
            <w:tcW w:w="0" w:type="auto"/>
            <w:gridSpan w:val="3"/>
            <w:shd w:val="clear" w:color="auto" w:fill="auto"/>
          </w:tcPr>
          <w:p w14:paraId="5EA2840A" w14:textId="77777777" w:rsidR="003C66EB" w:rsidRDefault="003C66EB">
            <w:pPr>
              <w:rPr>
                <w:rFonts w:ascii="宋体"/>
                <w:vanish/>
              </w:rPr>
            </w:pPr>
          </w:p>
        </w:tc>
        <w:tc>
          <w:tcPr>
            <w:tcW w:w="0" w:type="auto"/>
            <w:gridSpan w:val="3"/>
            <w:shd w:val="clear" w:color="auto" w:fill="auto"/>
          </w:tcPr>
          <w:p w14:paraId="5EA2840B" w14:textId="77777777" w:rsidR="003C66EB" w:rsidRDefault="003C66EB">
            <w:pPr>
              <w:rPr>
                <w:rFonts w:ascii="宋体"/>
                <w:vanish/>
              </w:rPr>
            </w:pPr>
          </w:p>
        </w:tc>
        <w:tc>
          <w:tcPr>
            <w:tcW w:w="0" w:type="auto"/>
            <w:gridSpan w:val="3"/>
            <w:shd w:val="clear" w:color="auto" w:fill="auto"/>
          </w:tcPr>
          <w:p w14:paraId="5EA2840C" w14:textId="77777777" w:rsidR="003C66EB" w:rsidRDefault="003C66EB">
            <w:pPr>
              <w:rPr>
                <w:rFonts w:ascii="宋体"/>
                <w:vanish/>
              </w:rPr>
            </w:pPr>
          </w:p>
        </w:tc>
        <w:tc>
          <w:tcPr>
            <w:tcW w:w="0" w:type="auto"/>
            <w:gridSpan w:val="3"/>
            <w:shd w:val="clear" w:color="auto" w:fill="auto"/>
          </w:tcPr>
          <w:p w14:paraId="5EA2840D" w14:textId="77777777" w:rsidR="003C66EB" w:rsidRDefault="003C66EB">
            <w:pPr>
              <w:rPr>
                <w:rFonts w:ascii="宋体"/>
                <w:vanish/>
              </w:rPr>
            </w:pPr>
          </w:p>
        </w:tc>
      </w:tr>
      <w:tr w:rsidR="003C66EB" w14:paraId="5EA28413" w14:textId="77777777">
        <w:trPr>
          <w:hidden/>
        </w:trPr>
        <w:tc>
          <w:tcPr>
            <w:tcW w:w="0" w:type="auto"/>
            <w:gridSpan w:val="3"/>
            <w:shd w:val="clear" w:color="auto" w:fill="auto"/>
          </w:tcPr>
          <w:p w14:paraId="5EA2840F" w14:textId="77777777" w:rsidR="003C66EB" w:rsidRDefault="003C66EB">
            <w:pPr>
              <w:rPr>
                <w:rFonts w:ascii="宋体"/>
                <w:vanish/>
              </w:rPr>
            </w:pPr>
          </w:p>
        </w:tc>
        <w:tc>
          <w:tcPr>
            <w:tcW w:w="0" w:type="auto"/>
            <w:gridSpan w:val="3"/>
            <w:shd w:val="clear" w:color="auto" w:fill="auto"/>
          </w:tcPr>
          <w:p w14:paraId="5EA28410" w14:textId="77777777" w:rsidR="003C66EB" w:rsidRDefault="003C66EB">
            <w:pPr>
              <w:rPr>
                <w:rFonts w:ascii="宋体"/>
                <w:vanish/>
              </w:rPr>
            </w:pPr>
          </w:p>
        </w:tc>
        <w:tc>
          <w:tcPr>
            <w:tcW w:w="0" w:type="auto"/>
            <w:gridSpan w:val="3"/>
            <w:shd w:val="clear" w:color="auto" w:fill="auto"/>
          </w:tcPr>
          <w:p w14:paraId="5EA28411" w14:textId="77777777" w:rsidR="003C66EB" w:rsidRDefault="003C66EB">
            <w:pPr>
              <w:rPr>
                <w:rFonts w:ascii="宋体"/>
                <w:vanish/>
              </w:rPr>
            </w:pPr>
          </w:p>
        </w:tc>
        <w:tc>
          <w:tcPr>
            <w:tcW w:w="0" w:type="auto"/>
            <w:gridSpan w:val="3"/>
            <w:shd w:val="clear" w:color="auto" w:fill="auto"/>
          </w:tcPr>
          <w:p w14:paraId="5EA28412" w14:textId="77777777" w:rsidR="003C66EB" w:rsidRDefault="003C66EB">
            <w:pPr>
              <w:rPr>
                <w:rFonts w:ascii="宋体"/>
                <w:vanish/>
              </w:rPr>
            </w:pPr>
          </w:p>
        </w:tc>
      </w:tr>
      <w:tr w:rsidR="003C66EB" w14:paraId="5EA28418" w14:textId="77777777">
        <w:trPr>
          <w:hidden/>
        </w:trPr>
        <w:tc>
          <w:tcPr>
            <w:tcW w:w="0" w:type="auto"/>
            <w:gridSpan w:val="3"/>
            <w:shd w:val="clear" w:color="auto" w:fill="auto"/>
          </w:tcPr>
          <w:p w14:paraId="5EA28414" w14:textId="77777777" w:rsidR="003C66EB" w:rsidRDefault="003C66EB">
            <w:pPr>
              <w:rPr>
                <w:rFonts w:ascii="宋体"/>
                <w:vanish/>
              </w:rPr>
            </w:pPr>
          </w:p>
        </w:tc>
        <w:tc>
          <w:tcPr>
            <w:tcW w:w="0" w:type="auto"/>
            <w:gridSpan w:val="3"/>
            <w:shd w:val="clear" w:color="auto" w:fill="auto"/>
          </w:tcPr>
          <w:p w14:paraId="5EA28415" w14:textId="77777777" w:rsidR="003C66EB" w:rsidRDefault="003C66EB">
            <w:pPr>
              <w:rPr>
                <w:rFonts w:ascii="宋体"/>
                <w:vanish/>
              </w:rPr>
            </w:pPr>
          </w:p>
        </w:tc>
        <w:tc>
          <w:tcPr>
            <w:tcW w:w="0" w:type="auto"/>
            <w:gridSpan w:val="3"/>
            <w:shd w:val="clear" w:color="auto" w:fill="auto"/>
          </w:tcPr>
          <w:p w14:paraId="5EA28416" w14:textId="77777777" w:rsidR="003C66EB" w:rsidRDefault="003C66EB">
            <w:pPr>
              <w:rPr>
                <w:rFonts w:ascii="宋体"/>
                <w:vanish/>
              </w:rPr>
            </w:pPr>
          </w:p>
        </w:tc>
        <w:tc>
          <w:tcPr>
            <w:tcW w:w="0" w:type="auto"/>
            <w:gridSpan w:val="3"/>
            <w:shd w:val="clear" w:color="auto" w:fill="auto"/>
          </w:tcPr>
          <w:p w14:paraId="5EA28417" w14:textId="77777777" w:rsidR="003C66EB" w:rsidRDefault="003C66EB">
            <w:pPr>
              <w:rPr>
                <w:rFonts w:ascii="宋体"/>
                <w:vanish/>
              </w:rPr>
            </w:pPr>
          </w:p>
        </w:tc>
      </w:tr>
      <w:tr w:rsidR="003C66EB" w14:paraId="5EA2841D" w14:textId="77777777">
        <w:trPr>
          <w:hidden/>
        </w:trPr>
        <w:tc>
          <w:tcPr>
            <w:tcW w:w="0" w:type="auto"/>
            <w:gridSpan w:val="3"/>
            <w:shd w:val="clear" w:color="auto" w:fill="auto"/>
          </w:tcPr>
          <w:p w14:paraId="5EA28419" w14:textId="77777777" w:rsidR="003C66EB" w:rsidRDefault="003C66EB">
            <w:pPr>
              <w:rPr>
                <w:rFonts w:ascii="宋体"/>
                <w:vanish/>
              </w:rPr>
            </w:pPr>
          </w:p>
        </w:tc>
        <w:tc>
          <w:tcPr>
            <w:tcW w:w="0" w:type="auto"/>
            <w:gridSpan w:val="3"/>
            <w:shd w:val="clear" w:color="auto" w:fill="auto"/>
          </w:tcPr>
          <w:p w14:paraId="5EA2841A" w14:textId="77777777" w:rsidR="003C66EB" w:rsidRDefault="003C66EB">
            <w:pPr>
              <w:rPr>
                <w:rFonts w:ascii="宋体"/>
                <w:vanish/>
              </w:rPr>
            </w:pPr>
          </w:p>
        </w:tc>
        <w:tc>
          <w:tcPr>
            <w:tcW w:w="0" w:type="auto"/>
            <w:gridSpan w:val="3"/>
            <w:shd w:val="clear" w:color="auto" w:fill="auto"/>
          </w:tcPr>
          <w:p w14:paraId="5EA2841B" w14:textId="77777777" w:rsidR="003C66EB" w:rsidRDefault="003C66EB">
            <w:pPr>
              <w:rPr>
                <w:rFonts w:ascii="宋体"/>
                <w:vanish/>
              </w:rPr>
            </w:pPr>
          </w:p>
        </w:tc>
        <w:tc>
          <w:tcPr>
            <w:tcW w:w="0" w:type="auto"/>
            <w:gridSpan w:val="3"/>
            <w:shd w:val="clear" w:color="auto" w:fill="auto"/>
          </w:tcPr>
          <w:p w14:paraId="5EA2841C" w14:textId="77777777" w:rsidR="003C66EB" w:rsidRDefault="003C66EB">
            <w:pPr>
              <w:rPr>
                <w:rFonts w:ascii="宋体"/>
                <w:vanish/>
              </w:rPr>
            </w:pPr>
          </w:p>
        </w:tc>
      </w:tr>
      <w:tr w:rsidR="003C66EB" w14:paraId="5EA28422" w14:textId="77777777">
        <w:trPr>
          <w:hidden/>
        </w:trPr>
        <w:tc>
          <w:tcPr>
            <w:tcW w:w="0" w:type="auto"/>
            <w:gridSpan w:val="3"/>
            <w:shd w:val="clear" w:color="auto" w:fill="auto"/>
          </w:tcPr>
          <w:p w14:paraId="5EA2841E" w14:textId="77777777" w:rsidR="003C66EB" w:rsidRDefault="003C66EB">
            <w:pPr>
              <w:rPr>
                <w:rFonts w:ascii="宋体"/>
                <w:vanish/>
              </w:rPr>
            </w:pPr>
          </w:p>
        </w:tc>
        <w:tc>
          <w:tcPr>
            <w:tcW w:w="0" w:type="auto"/>
            <w:gridSpan w:val="3"/>
            <w:shd w:val="clear" w:color="auto" w:fill="auto"/>
          </w:tcPr>
          <w:p w14:paraId="5EA2841F" w14:textId="77777777" w:rsidR="003C66EB" w:rsidRDefault="003C66EB">
            <w:pPr>
              <w:rPr>
                <w:rFonts w:ascii="宋体"/>
                <w:vanish/>
              </w:rPr>
            </w:pPr>
          </w:p>
        </w:tc>
        <w:tc>
          <w:tcPr>
            <w:tcW w:w="0" w:type="auto"/>
            <w:gridSpan w:val="3"/>
            <w:shd w:val="clear" w:color="auto" w:fill="auto"/>
          </w:tcPr>
          <w:p w14:paraId="5EA28420" w14:textId="77777777" w:rsidR="003C66EB" w:rsidRDefault="003C66EB">
            <w:pPr>
              <w:rPr>
                <w:rFonts w:ascii="宋体"/>
                <w:vanish/>
              </w:rPr>
            </w:pPr>
          </w:p>
        </w:tc>
        <w:tc>
          <w:tcPr>
            <w:tcW w:w="0" w:type="auto"/>
            <w:gridSpan w:val="3"/>
            <w:shd w:val="clear" w:color="auto" w:fill="auto"/>
          </w:tcPr>
          <w:p w14:paraId="5EA28421" w14:textId="77777777" w:rsidR="003C66EB" w:rsidRDefault="003C66EB">
            <w:pPr>
              <w:rPr>
                <w:rFonts w:ascii="宋体"/>
                <w:vanish/>
              </w:rPr>
            </w:pPr>
          </w:p>
        </w:tc>
      </w:tr>
      <w:tr w:rsidR="003C66EB" w14:paraId="5EA28427" w14:textId="77777777">
        <w:trPr>
          <w:hidden/>
        </w:trPr>
        <w:tc>
          <w:tcPr>
            <w:tcW w:w="0" w:type="auto"/>
            <w:gridSpan w:val="3"/>
            <w:shd w:val="clear" w:color="auto" w:fill="auto"/>
          </w:tcPr>
          <w:p w14:paraId="5EA28423" w14:textId="77777777" w:rsidR="003C66EB" w:rsidRDefault="003C66EB">
            <w:pPr>
              <w:rPr>
                <w:rFonts w:ascii="宋体"/>
                <w:vanish/>
              </w:rPr>
            </w:pPr>
          </w:p>
        </w:tc>
        <w:tc>
          <w:tcPr>
            <w:tcW w:w="0" w:type="auto"/>
            <w:gridSpan w:val="3"/>
            <w:shd w:val="clear" w:color="auto" w:fill="auto"/>
          </w:tcPr>
          <w:p w14:paraId="5EA28424" w14:textId="77777777" w:rsidR="003C66EB" w:rsidRDefault="003C66EB">
            <w:pPr>
              <w:rPr>
                <w:rFonts w:ascii="宋体"/>
                <w:vanish/>
              </w:rPr>
            </w:pPr>
          </w:p>
        </w:tc>
        <w:tc>
          <w:tcPr>
            <w:tcW w:w="0" w:type="auto"/>
            <w:gridSpan w:val="3"/>
            <w:shd w:val="clear" w:color="auto" w:fill="auto"/>
          </w:tcPr>
          <w:p w14:paraId="5EA28425" w14:textId="77777777" w:rsidR="003C66EB" w:rsidRDefault="003C66EB">
            <w:pPr>
              <w:rPr>
                <w:rFonts w:ascii="宋体"/>
                <w:vanish/>
              </w:rPr>
            </w:pPr>
          </w:p>
        </w:tc>
        <w:tc>
          <w:tcPr>
            <w:tcW w:w="0" w:type="auto"/>
            <w:gridSpan w:val="3"/>
            <w:shd w:val="clear" w:color="auto" w:fill="auto"/>
          </w:tcPr>
          <w:p w14:paraId="5EA28426" w14:textId="77777777" w:rsidR="003C66EB" w:rsidRDefault="003C66EB">
            <w:pPr>
              <w:rPr>
                <w:rFonts w:ascii="宋体"/>
                <w:vanish/>
              </w:rPr>
            </w:pPr>
          </w:p>
        </w:tc>
      </w:tr>
      <w:tr w:rsidR="003C66EB" w14:paraId="5EA2842C" w14:textId="77777777">
        <w:trPr>
          <w:hidden/>
        </w:trPr>
        <w:tc>
          <w:tcPr>
            <w:tcW w:w="0" w:type="auto"/>
            <w:gridSpan w:val="3"/>
            <w:shd w:val="clear" w:color="auto" w:fill="auto"/>
          </w:tcPr>
          <w:p w14:paraId="5EA28428" w14:textId="77777777" w:rsidR="003C66EB" w:rsidRDefault="003C66EB">
            <w:pPr>
              <w:rPr>
                <w:rFonts w:ascii="宋体"/>
                <w:vanish/>
              </w:rPr>
            </w:pPr>
          </w:p>
        </w:tc>
        <w:tc>
          <w:tcPr>
            <w:tcW w:w="0" w:type="auto"/>
            <w:gridSpan w:val="3"/>
            <w:shd w:val="clear" w:color="auto" w:fill="auto"/>
          </w:tcPr>
          <w:p w14:paraId="5EA28429" w14:textId="77777777" w:rsidR="003C66EB" w:rsidRDefault="003C66EB">
            <w:pPr>
              <w:rPr>
                <w:rFonts w:ascii="宋体"/>
                <w:vanish/>
              </w:rPr>
            </w:pPr>
          </w:p>
        </w:tc>
        <w:tc>
          <w:tcPr>
            <w:tcW w:w="0" w:type="auto"/>
            <w:gridSpan w:val="3"/>
            <w:shd w:val="clear" w:color="auto" w:fill="auto"/>
          </w:tcPr>
          <w:p w14:paraId="5EA2842A" w14:textId="77777777" w:rsidR="003C66EB" w:rsidRDefault="003C66EB">
            <w:pPr>
              <w:rPr>
                <w:rFonts w:ascii="宋体"/>
                <w:vanish/>
              </w:rPr>
            </w:pPr>
          </w:p>
        </w:tc>
        <w:tc>
          <w:tcPr>
            <w:tcW w:w="0" w:type="auto"/>
            <w:gridSpan w:val="3"/>
            <w:shd w:val="clear" w:color="auto" w:fill="auto"/>
          </w:tcPr>
          <w:p w14:paraId="5EA2842B" w14:textId="77777777" w:rsidR="003C66EB" w:rsidRDefault="003C66EB">
            <w:pPr>
              <w:rPr>
                <w:rFonts w:ascii="宋体"/>
                <w:vanish/>
              </w:rPr>
            </w:pPr>
          </w:p>
        </w:tc>
      </w:tr>
      <w:tr w:rsidR="003C66EB" w14:paraId="5EA28431" w14:textId="77777777">
        <w:trPr>
          <w:hidden/>
        </w:trPr>
        <w:tc>
          <w:tcPr>
            <w:tcW w:w="0" w:type="auto"/>
            <w:gridSpan w:val="3"/>
            <w:shd w:val="clear" w:color="auto" w:fill="auto"/>
          </w:tcPr>
          <w:p w14:paraId="5EA2842D" w14:textId="77777777" w:rsidR="003C66EB" w:rsidRDefault="003C66EB">
            <w:pPr>
              <w:rPr>
                <w:rFonts w:ascii="宋体"/>
                <w:vanish/>
              </w:rPr>
            </w:pPr>
          </w:p>
        </w:tc>
        <w:tc>
          <w:tcPr>
            <w:tcW w:w="0" w:type="auto"/>
            <w:gridSpan w:val="3"/>
            <w:shd w:val="clear" w:color="auto" w:fill="auto"/>
          </w:tcPr>
          <w:p w14:paraId="5EA2842E" w14:textId="77777777" w:rsidR="003C66EB" w:rsidRDefault="003C66EB">
            <w:pPr>
              <w:rPr>
                <w:rFonts w:ascii="宋体"/>
                <w:vanish/>
              </w:rPr>
            </w:pPr>
          </w:p>
        </w:tc>
        <w:tc>
          <w:tcPr>
            <w:tcW w:w="0" w:type="auto"/>
            <w:gridSpan w:val="3"/>
            <w:shd w:val="clear" w:color="auto" w:fill="auto"/>
          </w:tcPr>
          <w:p w14:paraId="5EA2842F" w14:textId="77777777" w:rsidR="003C66EB" w:rsidRDefault="003C66EB">
            <w:pPr>
              <w:rPr>
                <w:rFonts w:ascii="宋体"/>
                <w:vanish/>
              </w:rPr>
            </w:pPr>
          </w:p>
        </w:tc>
        <w:tc>
          <w:tcPr>
            <w:tcW w:w="0" w:type="auto"/>
            <w:gridSpan w:val="3"/>
            <w:shd w:val="clear" w:color="auto" w:fill="auto"/>
          </w:tcPr>
          <w:p w14:paraId="5EA28430" w14:textId="77777777" w:rsidR="003C66EB" w:rsidRDefault="003C66EB">
            <w:pPr>
              <w:rPr>
                <w:rFonts w:ascii="宋体"/>
                <w:vanish/>
              </w:rPr>
            </w:pPr>
          </w:p>
        </w:tc>
      </w:tr>
      <w:tr w:rsidR="003C66EB" w14:paraId="5EA28436" w14:textId="77777777">
        <w:trPr>
          <w:hidden/>
        </w:trPr>
        <w:tc>
          <w:tcPr>
            <w:tcW w:w="0" w:type="auto"/>
            <w:gridSpan w:val="3"/>
            <w:shd w:val="clear" w:color="auto" w:fill="auto"/>
          </w:tcPr>
          <w:p w14:paraId="5EA28432" w14:textId="77777777" w:rsidR="003C66EB" w:rsidRDefault="003C66EB">
            <w:pPr>
              <w:rPr>
                <w:rFonts w:ascii="宋体"/>
                <w:vanish/>
              </w:rPr>
            </w:pPr>
          </w:p>
        </w:tc>
        <w:tc>
          <w:tcPr>
            <w:tcW w:w="0" w:type="auto"/>
            <w:gridSpan w:val="3"/>
            <w:shd w:val="clear" w:color="auto" w:fill="auto"/>
          </w:tcPr>
          <w:p w14:paraId="5EA28433" w14:textId="77777777" w:rsidR="003C66EB" w:rsidRDefault="003C66EB">
            <w:pPr>
              <w:rPr>
                <w:rFonts w:ascii="宋体"/>
                <w:vanish/>
              </w:rPr>
            </w:pPr>
          </w:p>
        </w:tc>
        <w:tc>
          <w:tcPr>
            <w:tcW w:w="0" w:type="auto"/>
            <w:gridSpan w:val="3"/>
            <w:shd w:val="clear" w:color="auto" w:fill="auto"/>
          </w:tcPr>
          <w:p w14:paraId="5EA28434" w14:textId="77777777" w:rsidR="003C66EB" w:rsidRDefault="003C66EB">
            <w:pPr>
              <w:rPr>
                <w:rFonts w:ascii="宋体"/>
                <w:vanish/>
              </w:rPr>
            </w:pPr>
          </w:p>
        </w:tc>
        <w:tc>
          <w:tcPr>
            <w:tcW w:w="0" w:type="auto"/>
            <w:gridSpan w:val="3"/>
            <w:shd w:val="clear" w:color="auto" w:fill="auto"/>
          </w:tcPr>
          <w:p w14:paraId="5EA28435" w14:textId="77777777" w:rsidR="003C66EB" w:rsidRDefault="003C66EB">
            <w:pPr>
              <w:rPr>
                <w:rFonts w:ascii="宋体"/>
                <w:vanish/>
              </w:rPr>
            </w:pPr>
          </w:p>
        </w:tc>
      </w:tr>
      <w:tr w:rsidR="003C66EB" w14:paraId="5EA2843B" w14:textId="77777777">
        <w:trPr>
          <w:hidden/>
        </w:trPr>
        <w:tc>
          <w:tcPr>
            <w:tcW w:w="0" w:type="auto"/>
            <w:gridSpan w:val="3"/>
            <w:shd w:val="clear" w:color="auto" w:fill="auto"/>
          </w:tcPr>
          <w:p w14:paraId="5EA28437" w14:textId="77777777" w:rsidR="003C66EB" w:rsidRDefault="003C66EB">
            <w:pPr>
              <w:rPr>
                <w:rFonts w:ascii="宋体"/>
                <w:vanish/>
              </w:rPr>
            </w:pPr>
          </w:p>
        </w:tc>
        <w:tc>
          <w:tcPr>
            <w:tcW w:w="0" w:type="auto"/>
            <w:gridSpan w:val="3"/>
            <w:shd w:val="clear" w:color="auto" w:fill="auto"/>
          </w:tcPr>
          <w:p w14:paraId="5EA28438" w14:textId="77777777" w:rsidR="003C66EB" w:rsidRDefault="003C66EB">
            <w:pPr>
              <w:rPr>
                <w:rFonts w:ascii="宋体"/>
                <w:vanish/>
              </w:rPr>
            </w:pPr>
          </w:p>
        </w:tc>
        <w:tc>
          <w:tcPr>
            <w:tcW w:w="0" w:type="auto"/>
            <w:gridSpan w:val="3"/>
            <w:shd w:val="clear" w:color="auto" w:fill="auto"/>
          </w:tcPr>
          <w:p w14:paraId="5EA28439" w14:textId="77777777" w:rsidR="003C66EB" w:rsidRDefault="003C66EB">
            <w:pPr>
              <w:rPr>
                <w:rFonts w:ascii="宋体"/>
                <w:vanish/>
              </w:rPr>
            </w:pPr>
          </w:p>
        </w:tc>
        <w:tc>
          <w:tcPr>
            <w:tcW w:w="0" w:type="auto"/>
            <w:gridSpan w:val="3"/>
            <w:shd w:val="clear" w:color="auto" w:fill="auto"/>
          </w:tcPr>
          <w:p w14:paraId="5EA2843A" w14:textId="77777777" w:rsidR="003C66EB" w:rsidRDefault="003C66EB">
            <w:pPr>
              <w:rPr>
                <w:rFonts w:ascii="宋体"/>
                <w:vanish/>
              </w:rPr>
            </w:pPr>
          </w:p>
        </w:tc>
      </w:tr>
      <w:tr w:rsidR="003C66EB" w14:paraId="5EA28440" w14:textId="77777777">
        <w:trPr>
          <w:hidden/>
        </w:trPr>
        <w:tc>
          <w:tcPr>
            <w:tcW w:w="0" w:type="auto"/>
            <w:gridSpan w:val="3"/>
            <w:shd w:val="clear" w:color="auto" w:fill="auto"/>
          </w:tcPr>
          <w:p w14:paraId="5EA2843C" w14:textId="77777777" w:rsidR="003C66EB" w:rsidRDefault="003C66EB">
            <w:pPr>
              <w:rPr>
                <w:rFonts w:ascii="宋体"/>
                <w:vanish/>
              </w:rPr>
            </w:pPr>
          </w:p>
        </w:tc>
        <w:tc>
          <w:tcPr>
            <w:tcW w:w="0" w:type="auto"/>
            <w:gridSpan w:val="3"/>
            <w:shd w:val="clear" w:color="auto" w:fill="auto"/>
          </w:tcPr>
          <w:p w14:paraId="5EA2843D" w14:textId="77777777" w:rsidR="003C66EB" w:rsidRDefault="003C66EB">
            <w:pPr>
              <w:rPr>
                <w:rFonts w:ascii="宋体"/>
                <w:vanish/>
              </w:rPr>
            </w:pPr>
          </w:p>
        </w:tc>
        <w:tc>
          <w:tcPr>
            <w:tcW w:w="0" w:type="auto"/>
            <w:gridSpan w:val="3"/>
            <w:shd w:val="clear" w:color="auto" w:fill="auto"/>
          </w:tcPr>
          <w:p w14:paraId="5EA2843E" w14:textId="77777777" w:rsidR="003C66EB" w:rsidRDefault="003C66EB">
            <w:pPr>
              <w:rPr>
                <w:rFonts w:ascii="宋体"/>
                <w:vanish/>
              </w:rPr>
            </w:pPr>
          </w:p>
        </w:tc>
        <w:tc>
          <w:tcPr>
            <w:tcW w:w="0" w:type="auto"/>
            <w:gridSpan w:val="3"/>
            <w:shd w:val="clear" w:color="auto" w:fill="auto"/>
          </w:tcPr>
          <w:p w14:paraId="5EA2843F" w14:textId="77777777" w:rsidR="003C66EB" w:rsidRDefault="003C66EB">
            <w:pPr>
              <w:rPr>
                <w:rFonts w:ascii="宋体"/>
                <w:vanish/>
              </w:rPr>
            </w:pPr>
          </w:p>
        </w:tc>
      </w:tr>
      <w:tr w:rsidR="003C66EB" w14:paraId="5EA28445" w14:textId="77777777">
        <w:trPr>
          <w:hidden/>
        </w:trPr>
        <w:tc>
          <w:tcPr>
            <w:tcW w:w="0" w:type="auto"/>
            <w:gridSpan w:val="3"/>
            <w:shd w:val="clear" w:color="auto" w:fill="auto"/>
          </w:tcPr>
          <w:p w14:paraId="5EA28441" w14:textId="77777777" w:rsidR="003C66EB" w:rsidRDefault="003C66EB">
            <w:pPr>
              <w:rPr>
                <w:rFonts w:ascii="宋体"/>
                <w:vanish/>
              </w:rPr>
            </w:pPr>
          </w:p>
        </w:tc>
        <w:tc>
          <w:tcPr>
            <w:tcW w:w="0" w:type="auto"/>
            <w:gridSpan w:val="3"/>
            <w:shd w:val="clear" w:color="auto" w:fill="auto"/>
          </w:tcPr>
          <w:p w14:paraId="5EA28442" w14:textId="77777777" w:rsidR="003C66EB" w:rsidRDefault="003C66EB">
            <w:pPr>
              <w:rPr>
                <w:rFonts w:ascii="宋体"/>
                <w:vanish/>
              </w:rPr>
            </w:pPr>
          </w:p>
        </w:tc>
        <w:tc>
          <w:tcPr>
            <w:tcW w:w="0" w:type="auto"/>
            <w:gridSpan w:val="3"/>
            <w:shd w:val="clear" w:color="auto" w:fill="auto"/>
          </w:tcPr>
          <w:p w14:paraId="5EA28443" w14:textId="77777777" w:rsidR="003C66EB" w:rsidRDefault="003C66EB">
            <w:pPr>
              <w:rPr>
                <w:rFonts w:ascii="宋体"/>
                <w:vanish/>
              </w:rPr>
            </w:pPr>
          </w:p>
        </w:tc>
        <w:tc>
          <w:tcPr>
            <w:tcW w:w="0" w:type="auto"/>
            <w:gridSpan w:val="3"/>
            <w:shd w:val="clear" w:color="auto" w:fill="auto"/>
          </w:tcPr>
          <w:p w14:paraId="5EA28444" w14:textId="77777777" w:rsidR="003C66EB" w:rsidRDefault="003C66EB">
            <w:pPr>
              <w:rPr>
                <w:rFonts w:ascii="宋体"/>
                <w:vanish/>
              </w:rPr>
            </w:pPr>
          </w:p>
        </w:tc>
      </w:tr>
      <w:tr w:rsidR="003C66EB" w14:paraId="5EA2844A" w14:textId="77777777">
        <w:trPr>
          <w:hidden/>
        </w:trPr>
        <w:tc>
          <w:tcPr>
            <w:tcW w:w="0" w:type="auto"/>
            <w:gridSpan w:val="3"/>
            <w:shd w:val="clear" w:color="auto" w:fill="auto"/>
          </w:tcPr>
          <w:p w14:paraId="5EA28446" w14:textId="77777777" w:rsidR="003C66EB" w:rsidRDefault="003C66EB">
            <w:pPr>
              <w:rPr>
                <w:rFonts w:ascii="宋体"/>
                <w:vanish/>
              </w:rPr>
            </w:pPr>
          </w:p>
        </w:tc>
        <w:tc>
          <w:tcPr>
            <w:tcW w:w="0" w:type="auto"/>
            <w:gridSpan w:val="3"/>
            <w:shd w:val="clear" w:color="auto" w:fill="auto"/>
          </w:tcPr>
          <w:p w14:paraId="5EA28447" w14:textId="77777777" w:rsidR="003C66EB" w:rsidRDefault="003C66EB">
            <w:pPr>
              <w:rPr>
                <w:rFonts w:ascii="宋体"/>
                <w:vanish/>
              </w:rPr>
            </w:pPr>
          </w:p>
        </w:tc>
        <w:tc>
          <w:tcPr>
            <w:tcW w:w="0" w:type="auto"/>
            <w:gridSpan w:val="3"/>
            <w:shd w:val="clear" w:color="auto" w:fill="auto"/>
          </w:tcPr>
          <w:p w14:paraId="5EA28448" w14:textId="77777777" w:rsidR="003C66EB" w:rsidRDefault="003C66EB">
            <w:pPr>
              <w:rPr>
                <w:rFonts w:ascii="宋体"/>
                <w:vanish/>
              </w:rPr>
            </w:pPr>
          </w:p>
        </w:tc>
        <w:tc>
          <w:tcPr>
            <w:tcW w:w="0" w:type="auto"/>
            <w:gridSpan w:val="3"/>
            <w:shd w:val="clear" w:color="auto" w:fill="auto"/>
          </w:tcPr>
          <w:p w14:paraId="5EA28449" w14:textId="77777777" w:rsidR="003C66EB" w:rsidRDefault="003C66EB">
            <w:pPr>
              <w:rPr>
                <w:rFonts w:ascii="宋体"/>
                <w:vanish/>
              </w:rPr>
            </w:pPr>
          </w:p>
        </w:tc>
      </w:tr>
      <w:tr w:rsidR="003C66EB" w14:paraId="5EA2844F" w14:textId="77777777">
        <w:trPr>
          <w:hidden/>
        </w:trPr>
        <w:tc>
          <w:tcPr>
            <w:tcW w:w="0" w:type="auto"/>
            <w:gridSpan w:val="3"/>
            <w:shd w:val="clear" w:color="auto" w:fill="auto"/>
          </w:tcPr>
          <w:p w14:paraId="5EA2844B" w14:textId="77777777" w:rsidR="003C66EB" w:rsidRDefault="003C66EB">
            <w:pPr>
              <w:rPr>
                <w:rFonts w:ascii="宋体"/>
                <w:vanish/>
              </w:rPr>
            </w:pPr>
          </w:p>
        </w:tc>
        <w:tc>
          <w:tcPr>
            <w:tcW w:w="0" w:type="auto"/>
            <w:gridSpan w:val="3"/>
            <w:shd w:val="clear" w:color="auto" w:fill="auto"/>
          </w:tcPr>
          <w:p w14:paraId="5EA2844C" w14:textId="77777777" w:rsidR="003C66EB" w:rsidRDefault="003C66EB">
            <w:pPr>
              <w:rPr>
                <w:rFonts w:ascii="宋体"/>
                <w:vanish/>
              </w:rPr>
            </w:pPr>
          </w:p>
        </w:tc>
        <w:tc>
          <w:tcPr>
            <w:tcW w:w="0" w:type="auto"/>
            <w:gridSpan w:val="3"/>
            <w:shd w:val="clear" w:color="auto" w:fill="auto"/>
          </w:tcPr>
          <w:p w14:paraId="5EA2844D" w14:textId="77777777" w:rsidR="003C66EB" w:rsidRDefault="003C66EB">
            <w:pPr>
              <w:rPr>
                <w:rFonts w:ascii="宋体"/>
                <w:vanish/>
              </w:rPr>
            </w:pPr>
          </w:p>
        </w:tc>
        <w:tc>
          <w:tcPr>
            <w:tcW w:w="0" w:type="auto"/>
            <w:gridSpan w:val="3"/>
            <w:shd w:val="clear" w:color="auto" w:fill="auto"/>
          </w:tcPr>
          <w:p w14:paraId="5EA2844E" w14:textId="77777777" w:rsidR="003C66EB" w:rsidRDefault="003C66EB">
            <w:pPr>
              <w:rPr>
                <w:rFonts w:ascii="宋体"/>
                <w:vanish/>
              </w:rPr>
            </w:pPr>
          </w:p>
        </w:tc>
      </w:tr>
      <w:tr w:rsidR="003C66EB" w14:paraId="5EA28454" w14:textId="77777777">
        <w:trPr>
          <w:hidden/>
        </w:trPr>
        <w:tc>
          <w:tcPr>
            <w:tcW w:w="0" w:type="auto"/>
            <w:gridSpan w:val="3"/>
            <w:shd w:val="clear" w:color="auto" w:fill="auto"/>
          </w:tcPr>
          <w:p w14:paraId="5EA28450" w14:textId="77777777" w:rsidR="003C66EB" w:rsidRDefault="003C66EB">
            <w:pPr>
              <w:rPr>
                <w:rFonts w:ascii="宋体"/>
                <w:vanish/>
              </w:rPr>
            </w:pPr>
          </w:p>
        </w:tc>
        <w:tc>
          <w:tcPr>
            <w:tcW w:w="0" w:type="auto"/>
            <w:gridSpan w:val="3"/>
            <w:shd w:val="clear" w:color="auto" w:fill="auto"/>
          </w:tcPr>
          <w:p w14:paraId="5EA28451" w14:textId="77777777" w:rsidR="003C66EB" w:rsidRDefault="003C66EB">
            <w:pPr>
              <w:rPr>
                <w:rFonts w:ascii="宋体"/>
                <w:vanish/>
              </w:rPr>
            </w:pPr>
          </w:p>
        </w:tc>
        <w:tc>
          <w:tcPr>
            <w:tcW w:w="0" w:type="auto"/>
            <w:gridSpan w:val="3"/>
            <w:shd w:val="clear" w:color="auto" w:fill="auto"/>
          </w:tcPr>
          <w:p w14:paraId="5EA28452" w14:textId="77777777" w:rsidR="003C66EB" w:rsidRDefault="003C66EB">
            <w:pPr>
              <w:rPr>
                <w:rFonts w:ascii="宋体"/>
                <w:vanish/>
              </w:rPr>
            </w:pPr>
          </w:p>
        </w:tc>
        <w:tc>
          <w:tcPr>
            <w:tcW w:w="0" w:type="auto"/>
            <w:gridSpan w:val="3"/>
            <w:shd w:val="clear" w:color="auto" w:fill="auto"/>
          </w:tcPr>
          <w:p w14:paraId="5EA28453" w14:textId="77777777" w:rsidR="003C66EB" w:rsidRDefault="003C66EB">
            <w:pPr>
              <w:rPr>
                <w:rFonts w:ascii="宋体"/>
                <w:vanish/>
              </w:rPr>
            </w:pPr>
          </w:p>
        </w:tc>
      </w:tr>
      <w:tr w:rsidR="003C66EB" w14:paraId="5EA28459" w14:textId="77777777">
        <w:trPr>
          <w:hidden/>
        </w:trPr>
        <w:tc>
          <w:tcPr>
            <w:tcW w:w="0" w:type="auto"/>
            <w:gridSpan w:val="3"/>
            <w:shd w:val="clear" w:color="auto" w:fill="auto"/>
          </w:tcPr>
          <w:p w14:paraId="5EA28455" w14:textId="77777777" w:rsidR="003C66EB" w:rsidRDefault="003C66EB">
            <w:pPr>
              <w:rPr>
                <w:rFonts w:ascii="宋体"/>
                <w:vanish/>
              </w:rPr>
            </w:pPr>
          </w:p>
        </w:tc>
        <w:tc>
          <w:tcPr>
            <w:tcW w:w="0" w:type="auto"/>
            <w:gridSpan w:val="3"/>
            <w:shd w:val="clear" w:color="auto" w:fill="auto"/>
          </w:tcPr>
          <w:p w14:paraId="5EA28456" w14:textId="77777777" w:rsidR="003C66EB" w:rsidRDefault="003C66EB">
            <w:pPr>
              <w:rPr>
                <w:rFonts w:ascii="宋体"/>
                <w:vanish/>
              </w:rPr>
            </w:pPr>
          </w:p>
        </w:tc>
        <w:tc>
          <w:tcPr>
            <w:tcW w:w="0" w:type="auto"/>
            <w:gridSpan w:val="3"/>
            <w:shd w:val="clear" w:color="auto" w:fill="auto"/>
          </w:tcPr>
          <w:p w14:paraId="5EA28457" w14:textId="77777777" w:rsidR="003C66EB" w:rsidRDefault="003C66EB">
            <w:pPr>
              <w:rPr>
                <w:rFonts w:ascii="宋体"/>
                <w:vanish/>
              </w:rPr>
            </w:pPr>
          </w:p>
        </w:tc>
        <w:tc>
          <w:tcPr>
            <w:tcW w:w="0" w:type="auto"/>
            <w:gridSpan w:val="3"/>
            <w:shd w:val="clear" w:color="auto" w:fill="auto"/>
          </w:tcPr>
          <w:p w14:paraId="5EA28458" w14:textId="77777777" w:rsidR="003C66EB" w:rsidRDefault="003C66EB">
            <w:pPr>
              <w:rPr>
                <w:rFonts w:ascii="宋体"/>
                <w:vanish/>
              </w:rPr>
            </w:pPr>
          </w:p>
        </w:tc>
      </w:tr>
      <w:tr w:rsidR="003C66EB" w14:paraId="5EA2845E" w14:textId="77777777">
        <w:trPr>
          <w:hidden/>
        </w:trPr>
        <w:tc>
          <w:tcPr>
            <w:tcW w:w="0" w:type="auto"/>
            <w:gridSpan w:val="3"/>
            <w:shd w:val="clear" w:color="auto" w:fill="auto"/>
          </w:tcPr>
          <w:p w14:paraId="5EA2845A" w14:textId="77777777" w:rsidR="003C66EB" w:rsidRDefault="003C66EB">
            <w:pPr>
              <w:rPr>
                <w:rFonts w:ascii="宋体"/>
                <w:vanish/>
              </w:rPr>
            </w:pPr>
          </w:p>
        </w:tc>
        <w:tc>
          <w:tcPr>
            <w:tcW w:w="0" w:type="auto"/>
            <w:gridSpan w:val="3"/>
            <w:shd w:val="clear" w:color="auto" w:fill="auto"/>
          </w:tcPr>
          <w:p w14:paraId="5EA2845B" w14:textId="77777777" w:rsidR="003C66EB" w:rsidRDefault="003C66EB">
            <w:pPr>
              <w:rPr>
                <w:rFonts w:ascii="宋体"/>
                <w:vanish/>
              </w:rPr>
            </w:pPr>
          </w:p>
        </w:tc>
        <w:tc>
          <w:tcPr>
            <w:tcW w:w="0" w:type="auto"/>
            <w:gridSpan w:val="3"/>
            <w:shd w:val="clear" w:color="auto" w:fill="auto"/>
          </w:tcPr>
          <w:p w14:paraId="5EA2845C" w14:textId="77777777" w:rsidR="003C66EB" w:rsidRDefault="003C66EB">
            <w:pPr>
              <w:rPr>
                <w:rFonts w:ascii="宋体"/>
                <w:vanish/>
              </w:rPr>
            </w:pPr>
          </w:p>
        </w:tc>
        <w:tc>
          <w:tcPr>
            <w:tcW w:w="0" w:type="auto"/>
            <w:gridSpan w:val="3"/>
            <w:shd w:val="clear" w:color="auto" w:fill="auto"/>
          </w:tcPr>
          <w:p w14:paraId="5EA2845D" w14:textId="77777777" w:rsidR="003C66EB" w:rsidRDefault="003C66EB">
            <w:pPr>
              <w:rPr>
                <w:rFonts w:ascii="宋体"/>
                <w:vanish/>
              </w:rPr>
            </w:pPr>
          </w:p>
        </w:tc>
      </w:tr>
      <w:tr w:rsidR="003C66EB" w14:paraId="5EA28463" w14:textId="77777777">
        <w:trPr>
          <w:hidden/>
        </w:trPr>
        <w:tc>
          <w:tcPr>
            <w:tcW w:w="0" w:type="auto"/>
            <w:gridSpan w:val="3"/>
            <w:shd w:val="clear" w:color="auto" w:fill="auto"/>
          </w:tcPr>
          <w:p w14:paraId="5EA2845F" w14:textId="77777777" w:rsidR="003C66EB" w:rsidRDefault="003C66EB">
            <w:pPr>
              <w:rPr>
                <w:rFonts w:ascii="宋体"/>
                <w:vanish/>
              </w:rPr>
            </w:pPr>
          </w:p>
        </w:tc>
        <w:tc>
          <w:tcPr>
            <w:tcW w:w="0" w:type="auto"/>
            <w:gridSpan w:val="3"/>
            <w:shd w:val="clear" w:color="auto" w:fill="auto"/>
          </w:tcPr>
          <w:p w14:paraId="5EA28460" w14:textId="77777777" w:rsidR="003C66EB" w:rsidRDefault="003C66EB">
            <w:pPr>
              <w:rPr>
                <w:rFonts w:ascii="宋体"/>
                <w:vanish/>
              </w:rPr>
            </w:pPr>
          </w:p>
        </w:tc>
        <w:tc>
          <w:tcPr>
            <w:tcW w:w="0" w:type="auto"/>
            <w:gridSpan w:val="3"/>
            <w:shd w:val="clear" w:color="auto" w:fill="auto"/>
          </w:tcPr>
          <w:p w14:paraId="5EA28461" w14:textId="77777777" w:rsidR="003C66EB" w:rsidRDefault="003C66EB">
            <w:pPr>
              <w:rPr>
                <w:rFonts w:ascii="宋体"/>
                <w:vanish/>
              </w:rPr>
            </w:pPr>
          </w:p>
        </w:tc>
        <w:tc>
          <w:tcPr>
            <w:tcW w:w="0" w:type="auto"/>
            <w:gridSpan w:val="3"/>
            <w:shd w:val="clear" w:color="auto" w:fill="auto"/>
          </w:tcPr>
          <w:p w14:paraId="5EA28462" w14:textId="77777777" w:rsidR="003C66EB" w:rsidRDefault="003C66EB">
            <w:pPr>
              <w:rPr>
                <w:rFonts w:ascii="宋体"/>
                <w:vanish/>
              </w:rPr>
            </w:pPr>
          </w:p>
        </w:tc>
      </w:tr>
      <w:tr w:rsidR="003C66EB" w14:paraId="5EA28468" w14:textId="77777777">
        <w:trPr>
          <w:hidden/>
        </w:trPr>
        <w:tc>
          <w:tcPr>
            <w:tcW w:w="0" w:type="auto"/>
            <w:gridSpan w:val="3"/>
            <w:shd w:val="clear" w:color="auto" w:fill="auto"/>
          </w:tcPr>
          <w:p w14:paraId="5EA28464" w14:textId="77777777" w:rsidR="003C66EB" w:rsidRDefault="003C66EB">
            <w:pPr>
              <w:rPr>
                <w:rFonts w:ascii="宋体"/>
                <w:vanish/>
              </w:rPr>
            </w:pPr>
          </w:p>
        </w:tc>
        <w:tc>
          <w:tcPr>
            <w:tcW w:w="0" w:type="auto"/>
            <w:gridSpan w:val="3"/>
            <w:shd w:val="clear" w:color="auto" w:fill="auto"/>
          </w:tcPr>
          <w:p w14:paraId="5EA28465" w14:textId="77777777" w:rsidR="003C66EB" w:rsidRDefault="003C66EB">
            <w:pPr>
              <w:rPr>
                <w:rFonts w:ascii="宋体"/>
                <w:vanish/>
              </w:rPr>
            </w:pPr>
          </w:p>
        </w:tc>
        <w:tc>
          <w:tcPr>
            <w:tcW w:w="0" w:type="auto"/>
            <w:gridSpan w:val="3"/>
            <w:shd w:val="clear" w:color="auto" w:fill="auto"/>
          </w:tcPr>
          <w:p w14:paraId="5EA28466" w14:textId="77777777" w:rsidR="003C66EB" w:rsidRDefault="003C66EB">
            <w:pPr>
              <w:rPr>
                <w:rFonts w:ascii="宋体"/>
                <w:vanish/>
              </w:rPr>
            </w:pPr>
          </w:p>
        </w:tc>
        <w:tc>
          <w:tcPr>
            <w:tcW w:w="0" w:type="auto"/>
            <w:gridSpan w:val="3"/>
            <w:shd w:val="clear" w:color="auto" w:fill="auto"/>
          </w:tcPr>
          <w:p w14:paraId="5EA28467" w14:textId="77777777" w:rsidR="003C66EB" w:rsidRDefault="003C66EB">
            <w:pPr>
              <w:rPr>
                <w:rFonts w:ascii="宋体"/>
                <w:vanish/>
              </w:rPr>
            </w:pPr>
          </w:p>
        </w:tc>
      </w:tr>
      <w:tr w:rsidR="003C66EB" w14:paraId="5EA2846D" w14:textId="77777777">
        <w:trPr>
          <w:hidden/>
        </w:trPr>
        <w:tc>
          <w:tcPr>
            <w:tcW w:w="0" w:type="auto"/>
            <w:gridSpan w:val="3"/>
            <w:shd w:val="clear" w:color="auto" w:fill="auto"/>
          </w:tcPr>
          <w:p w14:paraId="5EA28469" w14:textId="77777777" w:rsidR="003C66EB" w:rsidRDefault="003C66EB">
            <w:pPr>
              <w:rPr>
                <w:rFonts w:ascii="宋体"/>
                <w:vanish/>
              </w:rPr>
            </w:pPr>
          </w:p>
        </w:tc>
        <w:tc>
          <w:tcPr>
            <w:tcW w:w="0" w:type="auto"/>
            <w:gridSpan w:val="3"/>
            <w:shd w:val="clear" w:color="auto" w:fill="auto"/>
          </w:tcPr>
          <w:p w14:paraId="5EA2846A" w14:textId="77777777" w:rsidR="003C66EB" w:rsidRDefault="003C66EB">
            <w:pPr>
              <w:rPr>
                <w:rFonts w:ascii="宋体"/>
                <w:vanish/>
              </w:rPr>
            </w:pPr>
          </w:p>
        </w:tc>
        <w:tc>
          <w:tcPr>
            <w:tcW w:w="0" w:type="auto"/>
            <w:gridSpan w:val="3"/>
            <w:shd w:val="clear" w:color="auto" w:fill="auto"/>
          </w:tcPr>
          <w:p w14:paraId="5EA2846B" w14:textId="77777777" w:rsidR="003C66EB" w:rsidRDefault="003C66EB">
            <w:pPr>
              <w:rPr>
                <w:rFonts w:ascii="宋体"/>
                <w:vanish/>
              </w:rPr>
            </w:pPr>
          </w:p>
        </w:tc>
        <w:tc>
          <w:tcPr>
            <w:tcW w:w="0" w:type="auto"/>
            <w:gridSpan w:val="3"/>
            <w:shd w:val="clear" w:color="auto" w:fill="auto"/>
          </w:tcPr>
          <w:p w14:paraId="5EA2846C" w14:textId="77777777" w:rsidR="003C66EB" w:rsidRDefault="003C66EB">
            <w:pPr>
              <w:rPr>
                <w:rFonts w:ascii="宋体"/>
                <w:vanish/>
              </w:rPr>
            </w:pPr>
          </w:p>
        </w:tc>
      </w:tr>
      <w:tr w:rsidR="003C66EB" w14:paraId="5EA28472" w14:textId="77777777">
        <w:trPr>
          <w:hidden/>
        </w:trPr>
        <w:tc>
          <w:tcPr>
            <w:tcW w:w="0" w:type="auto"/>
            <w:gridSpan w:val="3"/>
            <w:shd w:val="clear" w:color="auto" w:fill="auto"/>
          </w:tcPr>
          <w:p w14:paraId="5EA2846E" w14:textId="77777777" w:rsidR="003C66EB" w:rsidRDefault="003C66EB">
            <w:pPr>
              <w:rPr>
                <w:rFonts w:ascii="宋体"/>
                <w:vanish/>
              </w:rPr>
            </w:pPr>
          </w:p>
        </w:tc>
        <w:tc>
          <w:tcPr>
            <w:tcW w:w="0" w:type="auto"/>
            <w:gridSpan w:val="3"/>
            <w:shd w:val="clear" w:color="auto" w:fill="auto"/>
          </w:tcPr>
          <w:p w14:paraId="5EA2846F" w14:textId="77777777" w:rsidR="003C66EB" w:rsidRDefault="003C66EB">
            <w:pPr>
              <w:rPr>
                <w:rFonts w:ascii="宋体"/>
                <w:vanish/>
              </w:rPr>
            </w:pPr>
          </w:p>
        </w:tc>
        <w:tc>
          <w:tcPr>
            <w:tcW w:w="0" w:type="auto"/>
            <w:gridSpan w:val="3"/>
            <w:shd w:val="clear" w:color="auto" w:fill="auto"/>
          </w:tcPr>
          <w:p w14:paraId="5EA28470" w14:textId="77777777" w:rsidR="003C66EB" w:rsidRDefault="003C66EB">
            <w:pPr>
              <w:rPr>
                <w:rFonts w:ascii="宋体"/>
                <w:vanish/>
              </w:rPr>
            </w:pPr>
          </w:p>
        </w:tc>
        <w:tc>
          <w:tcPr>
            <w:tcW w:w="0" w:type="auto"/>
            <w:gridSpan w:val="3"/>
            <w:shd w:val="clear" w:color="auto" w:fill="auto"/>
          </w:tcPr>
          <w:p w14:paraId="5EA28471" w14:textId="77777777" w:rsidR="003C66EB" w:rsidRDefault="003C66EB">
            <w:pPr>
              <w:rPr>
                <w:rFonts w:ascii="宋体"/>
                <w:vanish/>
              </w:rPr>
            </w:pPr>
          </w:p>
        </w:tc>
      </w:tr>
      <w:tr w:rsidR="003C66EB" w14:paraId="5EA28477" w14:textId="77777777">
        <w:trPr>
          <w:hidden/>
        </w:trPr>
        <w:tc>
          <w:tcPr>
            <w:tcW w:w="0" w:type="auto"/>
            <w:gridSpan w:val="3"/>
            <w:shd w:val="clear" w:color="auto" w:fill="auto"/>
          </w:tcPr>
          <w:p w14:paraId="5EA28473" w14:textId="77777777" w:rsidR="003C66EB" w:rsidRDefault="003C66EB">
            <w:pPr>
              <w:rPr>
                <w:rFonts w:ascii="宋体"/>
                <w:vanish/>
              </w:rPr>
            </w:pPr>
          </w:p>
        </w:tc>
        <w:tc>
          <w:tcPr>
            <w:tcW w:w="0" w:type="auto"/>
            <w:gridSpan w:val="3"/>
            <w:shd w:val="clear" w:color="auto" w:fill="auto"/>
          </w:tcPr>
          <w:p w14:paraId="5EA28474" w14:textId="77777777" w:rsidR="003C66EB" w:rsidRDefault="003C66EB">
            <w:pPr>
              <w:rPr>
                <w:rFonts w:ascii="宋体"/>
                <w:vanish/>
              </w:rPr>
            </w:pPr>
          </w:p>
        </w:tc>
        <w:tc>
          <w:tcPr>
            <w:tcW w:w="0" w:type="auto"/>
            <w:gridSpan w:val="3"/>
            <w:shd w:val="clear" w:color="auto" w:fill="auto"/>
          </w:tcPr>
          <w:p w14:paraId="5EA28475" w14:textId="77777777" w:rsidR="003C66EB" w:rsidRDefault="003C66EB">
            <w:pPr>
              <w:rPr>
                <w:rFonts w:ascii="宋体"/>
                <w:vanish/>
              </w:rPr>
            </w:pPr>
          </w:p>
        </w:tc>
        <w:tc>
          <w:tcPr>
            <w:tcW w:w="0" w:type="auto"/>
            <w:gridSpan w:val="3"/>
            <w:shd w:val="clear" w:color="auto" w:fill="auto"/>
          </w:tcPr>
          <w:p w14:paraId="5EA28476" w14:textId="77777777" w:rsidR="003C66EB" w:rsidRDefault="003C66EB">
            <w:pPr>
              <w:rPr>
                <w:rFonts w:ascii="宋体"/>
                <w:vanish/>
              </w:rPr>
            </w:pPr>
          </w:p>
        </w:tc>
      </w:tr>
      <w:tr w:rsidR="003C66EB" w14:paraId="5EA2847C" w14:textId="77777777">
        <w:trPr>
          <w:hidden/>
        </w:trPr>
        <w:tc>
          <w:tcPr>
            <w:tcW w:w="0" w:type="auto"/>
            <w:gridSpan w:val="3"/>
            <w:shd w:val="clear" w:color="auto" w:fill="auto"/>
          </w:tcPr>
          <w:p w14:paraId="5EA28478" w14:textId="77777777" w:rsidR="003C66EB" w:rsidRDefault="003C66EB">
            <w:pPr>
              <w:rPr>
                <w:rFonts w:ascii="宋体"/>
                <w:vanish/>
              </w:rPr>
            </w:pPr>
          </w:p>
        </w:tc>
        <w:tc>
          <w:tcPr>
            <w:tcW w:w="0" w:type="auto"/>
            <w:gridSpan w:val="3"/>
            <w:shd w:val="clear" w:color="auto" w:fill="auto"/>
          </w:tcPr>
          <w:p w14:paraId="5EA28479" w14:textId="77777777" w:rsidR="003C66EB" w:rsidRDefault="003C66EB">
            <w:pPr>
              <w:rPr>
                <w:rFonts w:ascii="宋体"/>
                <w:vanish/>
              </w:rPr>
            </w:pPr>
          </w:p>
        </w:tc>
        <w:tc>
          <w:tcPr>
            <w:tcW w:w="0" w:type="auto"/>
            <w:gridSpan w:val="3"/>
            <w:shd w:val="clear" w:color="auto" w:fill="auto"/>
          </w:tcPr>
          <w:p w14:paraId="5EA2847A" w14:textId="77777777" w:rsidR="003C66EB" w:rsidRDefault="003C66EB">
            <w:pPr>
              <w:rPr>
                <w:rFonts w:ascii="宋体"/>
                <w:vanish/>
              </w:rPr>
            </w:pPr>
          </w:p>
        </w:tc>
        <w:tc>
          <w:tcPr>
            <w:tcW w:w="0" w:type="auto"/>
            <w:gridSpan w:val="3"/>
            <w:shd w:val="clear" w:color="auto" w:fill="auto"/>
          </w:tcPr>
          <w:p w14:paraId="5EA2847B" w14:textId="77777777" w:rsidR="003C66EB" w:rsidRDefault="003C66EB">
            <w:pPr>
              <w:rPr>
                <w:rFonts w:ascii="宋体"/>
                <w:vanish/>
              </w:rPr>
            </w:pPr>
          </w:p>
        </w:tc>
      </w:tr>
      <w:tr w:rsidR="003C66EB" w14:paraId="5EA28481" w14:textId="77777777">
        <w:trPr>
          <w:hidden/>
        </w:trPr>
        <w:tc>
          <w:tcPr>
            <w:tcW w:w="0" w:type="auto"/>
            <w:gridSpan w:val="3"/>
            <w:shd w:val="clear" w:color="auto" w:fill="auto"/>
          </w:tcPr>
          <w:p w14:paraId="5EA2847D" w14:textId="77777777" w:rsidR="003C66EB" w:rsidRDefault="003C66EB">
            <w:pPr>
              <w:rPr>
                <w:rFonts w:ascii="宋体"/>
                <w:vanish/>
              </w:rPr>
            </w:pPr>
          </w:p>
        </w:tc>
        <w:tc>
          <w:tcPr>
            <w:tcW w:w="0" w:type="auto"/>
            <w:gridSpan w:val="3"/>
            <w:shd w:val="clear" w:color="auto" w:fill="auto"/>
          </w:tcPr>
          <w:p w14:paraId="5EA2847E" w14:textId="77777777" w:rsidR="003C66EB" w:rsidRDefault="003C66EB">
            <w:pPr>
              <w:rPr>
                <w:rFonts w:ascii="宋体"/>
                <w:vanish/>
              </w:rPr>
            </w:pPr>
          </w:p>
        </w:tc>
        <w:tc>
          <w:tcPr>
            <w:tcW w:w="0" w:type="auto"/>
            <w:gridSpan w:val="3"/>
            <w:shd w:val="clear" w:color="auto" w:fill="auto"/>
          </w:tcPr>
          <w:p w14:paraId="5EA2847F" w14:textId="77777777" w:rsidR="003C66EB" w:rsidRDefault="003C66EB">
            <w:pPr>
              <w:rPr>
                <w:rFonts w:ascii="宋体"/>
                <w:vanish/>
              </w:rPr>
            </w:pPr>
          </w:p>
        </w:tc>
        <w:tc>
          <w:tcPr>
            <w:tcW w:w="0" w:type="auto"/>
            <w:gridSpan w:val="3"/>
            <w:shd w:val="clear" w:color="auto" w:fill="auto"/>
          </w:tcPr>
          <w:p w14:paraId="5EA28480" w14:textId="77777777" w:rsidR="003C66EB" w:rsidRDefault="003C66EB">
            <w:pPr>
              <w:rPr>
                <w:rFonts w:ascii="宋体"/>
                <w:vanish/>
              </w:rPr>
            </w:pPr>
          </w:p>
        </w:tc>
      </w:tr>
      <w:tr w:rsidR="003C66EB" w14:paraId="5EA28486" w14:textId="77777777">
        <w:trPr>
          <w:hidden/>
        </w:trPr>
        <w:tc>
          <w:tcPr>
            <w:tcW w:w="0" w:type="auto"/>
            <w:gridSpan w:val="3"/>
            <w:shd w:val="clear" w:color="auto" w:fill="auto"/>
          </w:tcPr>
          <w:p w14:paraId="5EA28482" w14:textId="77777777" w:rsidR="003C66EB" w:rsidRDefault="003C66EB">
            <w:pPr>
              <w:rPr>
                <w:rFonts w:ascii="宋体"/>
                <w:vanish/>
              </w:rPr>
            </w:pPr>
          </w:p>
        </w:tc>
        <w:tc>
          <w:tcPr>
            <w:tcW w:w="0" w:type="auto"/>
            <w:gridSpan w:val="3"/>
            <w:shd w:val="clear" w:color="auto" w:fill="auto"/>
          </w:tcPr>
          <w:p w14:paraId="5EA28483" w14:textId="77777777" w:rsidR="003C66EB" w:rsidRDefault="003C66EB">
            <w:pPr>
              <w:rPr>
                <w:rFonts w:ascii="宋体"/>
                <w:vanish/>
              </w:rPr>
            </w:pPr>
          </w:p>
        </w:tc>
        <w:tc>
          <w:tcPr>
            <w:tcW w:w="0" w:type="auto"/>
            <w:gridSpan w:val="3"/>
            <w:shd w:val="clear" w:color="auto" w:fill="auto"/>
          </w:tcPr>
          <w:p w14:paraId="5EA28484" w14:textId="77777777" w:rsidR="003C66EB" w:rsidRDefault="003C66EB">
            <w:pPr>
              <w:rPr>
                <w:rFonts w:ascii="宋体"/>
                <w:vanish/>
              </w:rPr>
            </w:pPr>
          </w:p>
        </w:tc>
        <w:tc>
          <w:tcPr>
            <w:tcW w:w="0" w:type="auto"/>
            <w:gridSpan w:val="3"/>
            <w:shd w:val="clear" w:color="auto" w:fill="auto"/>
          </w:tcPr>
          <w:p w14:paraId="5EA28485" w14:textId="77777777" w:rsidR="003C66EB" w:rsidRDefault="003C66EB">
            <w:pPr>
              <w:rPr>
                <w:rFonts w:ascii="宋体"/>
                <w:vanish/>
              </w:rPr>
            </w:pPr>
          </w:p>
        </w:tc>
      </w:tr>
      <w:tr w:rsidR="003C66EB" w14:paraId="5EA2848B" w14:textId="77777777">
        <w:trPr>
          <w:hidden/>
        </w:trPr>
        <w:tc>
          <w:tcPr>
            <w:tcW w:w="0" w:type="auto"/>
            <w:gridSpan w:val="3"/>
            <w:shd w:val="clear" w:color="auto" w:fill="auto"/>
          </w:tcPr>
          <w:p w14:paraId="5EA28487" w14:textId="77777777" w:rsidR="003C66EB" w:rsidRDefault="003C66EB">
            <w:pPr>
              <w:rPr>
                <w:rFonts w:ascii="宋体"/>
                <w:vanish/>
              </w:rPr>
            </w:pPr>
          </w:p>
        </w:tc>
        <w:tc>
          <w:tcPr>
            <w:tcW w:w="0" w:type="auto"/>
            <w:gridSpan w:val="3"/>
            <w:shd w:val="clear" w:color="auto" w:fill="auto"/>
          </w:tcPr>
          <w:p w14:paraId="5EA28488" w14:textId="77777777" w:rsidR="003C66EB" w:rsidRDefault="003C66EB">
            <w:pPr>
              <w:rPr>
                <w:rFonts w:ascii="宋体"/>
                <w:vanish/>
              </w:rPr>
            </w:pPr>
          </w:p>
        </w:tc>
        <w:tc>
          <w:tcPr>
            <w:tcW w:w="0" w:type="auto"/>
            <w:gridSpan w:val="3"/>
            <w:shd w:val="clear" w:color="auto" w:fill="auto"/>
          </w:tcPr>
          <w:p w14:paraId="5EA28489" w14:textId="77777777" w:rsidR="003C66EB" w:rsidRDefault="003C66EB">
            <w:pPr>
              <w:rPr>
                <w:rFonts w:ascii="宋体"/>
                <w:vanish/>
              </w:rPr>
            </w:pPr>
          </w:p>
        </w:tc>
        <w:tc>
          <w:tcPr>
            <w:tcW w:w="0" w:type="auto"/>
            <w:gridSpan w:val="3"/>
            <w:shd w:val="clear" w:color="auto" w:fill="auto"/>
          </w:tcPr>
          <w:p w14:paraId="5EA2848A" w14:textId="77777777" w:rsidR="003C66EB" w:rsidRDefault="003C66EB">
            <w:pPr>
              <w:rPr>
                <w:rFonts w:ascii="宋体"/>
                <w:vanish/>
              </w:rPr>
            </w:pPr>
          </w:p>
        </w:tc>
      </w:tr>
      <w:tr w:rsidR="003C66EB" w14:paraId="5EA28490" w14:textId="77777777">
        <w:trPr>
          <w:hidden/>
        </w:trPr>
        <w:tc>
          <w:tcPr>
            <w:tcW w:w="0" w:type="auto"/>
            <w:gridSpan w:val="3"/>
            <w:shd w:val="clear" w:color="auto" w:fill="auto"/>
          </w:tcPr>
          <w:p w14:paraId="5EA2848C" w14:textId="77777777" w:rsidR="003C66EB" w:rsidRDefault="003C66EB">
            <w:pPr>
              <w:rPr>
                <w:rFonts w:ascii="宋体"/>
                <w:vanish/>
              </w:rPr>
            </w:pPr>
          </w:p>
        </w:tc>
        <w:tc>
          <w:tcPr>
            <w:tcW w:w="0" w:type="auto"/>
            <w:gridSpan w:val="3"/>
            <w:shd w:val="clear" w:color="auto" w:fill="auto"/>
          </w:tcPr>
          <w:p w14:paraId="5EA2848D" w14:textId="77777777" w:rsidR="003C66EB" w:rsidRDefault="003C66EB">
            <w:pPr>
              <w:rPr>
                <w:rFonts w:ascii="宋体"/>
                <w:vanish/>
              </w:rPr>
            </w:pPr>
          </w:p>
        </w:tc>
        <w:tc>
          <w:tcPr>
            <w:tcW w:w="0" w:type="auto"/>
            <w:gridSpan w:val="3"/>
            <w:shd w:val="clear" w:color="auto" w:fill="auto"/>
          </w:tcPr>
          <w:p w14:paraId="5EA2848E" w14:textId="77777777" w:rsidR="003C66EB" w:rsidRDefault="003C66EB">
            <w:pPr>
              <w:rPr>
                <w:rFonts w:ascii="宋体"/>
                <w:vanish/>
              </w:rPr>
            </w:pPr>
          </w:p>
        </w:tc>
        <w:tc>
          <w:tcPr>
            <w:tcW w:w="0" w:type="auto"/>
            <w:gridSpan w:val="3"/>
            <w:shd w:val="clear" w:color="auto" w:fill="auto"/>
          </w:tcPr>
          <w:p w14:paraId="5EA2848F" w14:textId="77777777" w:rsidR="003C66EB" w:rsidRDefault="003C66EB">
            <w:pPr>
              <w:rPr>
                <w:rFonts w:ascii="宋体"/>
                <w:vanish/>
              </w:rPr>
            </w:pPr>
          </w:p>
        </w:tc>
      </w:tr>
    </w:tbl>
    <w:p w14:paraId="5EA28491"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3C66EB" w14:paraId="5EA2849B" w14:textId="77777777">
        <w:tc>
          <w:tcPr>
            <w:tcW w:w="50" w:type="pct"/>
            <w:shd w:val="clear" w:color="auto" w:fill="auto"/>
          </w:tcPr>
          <w:p w14:paraId="5EA28492" w14:textId="77777777" w:rsidR="003C66EB" w:rsidRDefault="003C66EB">
            <w:pPr>
              <w:rPr>
                <w:rFonts w:ascii="宋体"/>
              </w:rPr>
            </w:pPr>
          </w:p>
        </w:tc>
        <w:tc>
          <w:tcPr>
            <w:tcW w:w="1348" w:type="pct"/>
            <w:shd w:val="clear" w:color="auto" w:fill="auto"/>
          </w:tcPr>
          <w:p w14:paraId="5EA28493" w14:textId="77777777" w:rsidR="003C66EB" w:rsidRDefault="003C66EB">
            <w:pPr>
              <w:rPr>
                <w:rFonts w:ascii="宋体"/>
              </w:rPr>
            </w:pPr>
          </w:p>
        </w:tc>
        <w:tc>
          <w:tcPr>
            <w:tcW w:w="5" w:type="pct"/>
            <w:shd w:val="clear" w:color="auto" w:fill="auto"/>
          </w:tcPr>
          <w:p w14:paraId="5EA28494" w14:textId="77777777" w:rsidR="003C66EB" w:rsidRDefault="003C66EB">
            <w:pPr>
              <w:rPr>
                <w:rFonts w:ascii="宋体"/>
              </w:rPr>
            </w:pPr>
          </w:p>
        </w:tc>
        <w:tc>
          <w:tcPr>
            <w:tcW w:w="50" w:type="pct"/>
            <w:shd w:val="clear" w:color="auto" w:fill="auto"/>
          </w:tcPr>
          <w:p w14:paraId="5EA28495" w14:textId="77777777" w:rsidR="003C66EB" w:rsidRDefault="003C66EB">
            <w:pPr>
              <w:rPr>
                <w:rFonts w:ascii="宋体"/>
              </w:rPr>
            </w:pPr>
          </w:p>
        </w:tc>
        <w:tc>
          <w:tcPr>
            <w:tcW w:w="1648" w:type="pct"/>
            <w:shd w:val="clear" w:color="auto" w:fill="auto"/>
          </w:tcPr>
          <w:p w14:paraId="5EA28496" w14:textId="77777777" w:rsidR="003C66EB" w:rsidRDefault="003C66EB">
            <w:pPr>
              <w:rPr>
                <w:rFonts w:ascii="宋体"/>
              </w:rPr>
            </w:pPr>
          </w:p>
        </w:tc>
        <w:tc>
          <w:tcPr>
            <w:tcW w:w="5" w:type="pct"/>
            <w:shd w:val="clear" w:color="auto" w:fill="auto"/>
          </w:tcPr>
          <w:p w14:paraId="5EA28497" w14:textId="77777777" w:rsidR="003C66EB" w:rsidRDefault="003C66EB">
            <w:pPr>
              <w:rPr>
                <w:rFonts w:ascii="宋体"/>
              </w:rPr>
            </w:pPr>
          </w:p>
        </w:tc>
        <w:tc>
          <w:tcPr>
            <w:tcW w:w="50" w:type="pct"/>
            <w:shd w:val="clear" w:color="auto" w:fill="auto"/>
          </w:tcPr>
          <w:p w14:paraId="5EA28498" w14:textId="77777777" w:rsidR="003C66EB" w:rsidRDefault="003C66EB">
            <w:pPr>
              <w:rPr>
                <w:rFonts w:ascii="宋体"/>
              </w:rPr>
            </w:pPr>
          </w:p>
        </w:tc>
        <w:tc>
          <w:tcPr>
            <w:tcW w:w="1838" w:type="pct"/>
            <w:shd w:val="clear" w:color="auto" w:fill="auto"/>
          </w:tcPr>
          <w:p w14:paraId="5EA28499" w14:textId="77777777" w:rsidR="003C66EB" w:rsidRDefault="003C66EB">
            <w:pPr>
              <w:rPr>
                <w:rFonts w:ascii="宋体"/>
              </w:rPr>
            </w:pPr>
          </w:p>
        </w:tc>
        <w:tc>
          <w:tcPr>
            <w:tcW w:w="5" w:type="pct"/>
            <w:shd w:val="clear" w:color="auto" w:fill="auto"/>
          </w:tcPr>
          <w:p w14:paraId="5EA2849A" w14:textId="77777777" w:rsidR="003C66EB" w:rsidRDefault="003C66EB">
            <w:pPr>
              <w:rPr>
                <w:rFonts w:ascii="宋体"/>
              </w:rPr>
            </w:pPr>
          </w:p>
        </w:tc>
      </w:tr>
      <w:tr w:rsidR="003C66EB" w14:paraId="5EA2849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849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49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49E" w14:textId="77777777" w:rsidR="003C66EB" w:rsidRDefault="003C66EB">
            <w:pPr>
              <w:rPr>
                <w:rFonts w:ascii="宋体"/>
              </w:rPr>
            </w:pPr>
          </w:p>
        </w:tc>
      </w:tr>
    </w:tbl>
    <w:p w14:paraId="5EA284A0" w14:textId="77777777" w:rsidR="003C66EB" w:rsidRDefault="00D96C4E">
      <w:pPr>
        <w:spacing w:before="90"/>
      </w:pPr>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5EA284A1" w14:textId="77777777" w:rsidR="003C66EB" w:rsidRDefault="00D96C4E">
      <w:pPr>
        <w:ind w:firstLine="450"/>
        <w:jc w:val="right"/>
      </w:pPr>
      <w:r>
        <w:rPr>
          <w:rFonts w:ascii="Arial" w:eastAsia="宋体" w:hAnsi="Arial" w:cs="Arial"/>
          <w:color w:val="000000"/>
          <w:sz w:val="18"/>
          <w:szCs w:val="18"/>
        </w:rPr>
        <w:t>State Street Corporation | 87</w:t>
      </w:r>
    </w:p>
    <w:p w14:paraId="5EA284A2" w14:textId="77777777" w:rsidR="003C66EB" w:rsidRDefault="003C66EB">
      <w:pPr>
        <w:ind w:firstLine="450"/>
        <w:jc w:val="center"/>
      </w:pPr>
    </w:p>
    <w:p w14:paraId="5EA284A3" w14:textId="77777777" w:rsidR="003C66EB" w:rsidRDefault="00D96C4E">
      <w:r>
        <w:pict w14:anchorId="5EA28807">
          <v:rect id="_x0000_i1111" style="width:415.3pt;height:1.5pt" o:hralign="center" o:hrstd="t" o:hr="t" fillcolor="#a0a0a0" stroked="f"/>
        </w:pict>
      </w:r>
    </w:p>
    <w:p w14:paraId="5EA284A4" w14:textId="77777777" w:rsidR="003C66EB" w:rsidRDefault="003C66EB">
      <w:pPr>
        <w:ind w:firstLine="450"/>
      </w:pPr>
    </w:p>
    <w:p w14:paraId="5EA284A5" w14:textId="77777777" w:rsidR="003C66EB" w:rsidRDefault="003C66EB">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3C66EB" w14:paraId="5EA284AF" w14:textId="77777777">
        <w:trPr>
          <w:jc w:val="center"/>
        </w:trPr>
        <w:tc>
          <w:tcPr>
            <w:tcW w:w="50" w:type="pct"/>
            <w:shd w:val="clear" w:color="auto" w:fill="auto"/>
          </w:tcPr>
          <w:p w14:paraId="5EA284A6" w14:textId="77777777" w:rsidR="003C66EB" w:rsidRDefault="003C66EB">
            <w:pPr>
              <w:rPr>
                <w:rFonts w:ascii="宋体"/>
              </w:rPr>
            </w:pPr>
          </w:p>
        </w:tc>
        <w:tc>
          <w:tcPr>
            <w:tcW w:w="2437" w:type="pct"/>
            <w:shd w:val="clear" w:color="auto" w:fill="auto"/>
          </w:tcPr>
          <w:p w14:paraId="5EA284A7" w14:textId="77777777" w:rsidR="003C66EB" w:rsidRDefault="003C66EB">
            <w:pPr>
              <w:rPr>
                <w:rFonts w:ascii="宋体"/>
              </w:rPr>
            </w:pPr>
          </w:p>
        </w:tc>
        <w:tc>
          <w:tcPr>
            <w:tcW w:w="5" w:type="pct"/>
            <w:shd w:val="clear" w:color="auto" w:fill="auto"/>
          </w:tcPr>
          <w:p w14:paraId="5EA284A8" w14:textId="77777777" w:rsidR="003C66EB" w:rsidRDefault="003C66EB">
            <w:pPr>
              <w:rPr>
                <w:rFonts w:ascii="宋体"/>
              </w:rPr>
            </w:pPr>
          </w:p>
        </w:tc>
        <w:tc>
          <w:tcPr>
            <w:tcW w:w="50" w:type="pct"/>
            <w:shd w:val="clear" w:color="auto" w:fill="auto"/>
          </w:tcPr>
          <w:p w14:paraId="5EA284A9" w14:textId="77777777" w:rsidR="003C66EB" w:rsidRDefault="003C66EB">
            <w:pPr>
              <w:rPr>
                <w:rFonts w:ascii="宋体"/>
              </w:rPr>
            </w:pPr>
          </w:p>
        </w:tc>
        <w:tc>
          <w:tcPr>
            <w:tcW w:w="2452" w:type="pct"/>
            <w:shd w:val="clear" w:color="auto" w:fill="auto"/>
          </w:tcPr>
          <w:p w14:paraId="5EA284AA" w14:textId="77777777" w:rsidR="003C66EB" w:rsidRDefault="003C66EB">
            <w:pPr>
              <w:rPr>
                <w:rFonts w:ascii="宋体"/>
              </w:rPr>
            </w:pPr>
          </w:p>
        </w:tc>
        <w:tc>
          <w:tcPr>
            <w:tcW w:w="5" w:type="pct"/>
            <w:shd w:val="clear" w:color="auto" w:fill="auto"/>
          </w:tcPr>
          <w:p w14:paraId="5EA284AB" w14:textId="77777777" w:rsidR="003C66EB" w:rsidRDefault="003C66EB">
            <w:pPr>
              <w:rPr>
                <w:rFonts w:ascii="宋体"/>
              </w:rPr>
            </w:pPr>
          </w:p>
        </w:tc>
        <w:tc>
          <w:tcPr>
            <w:tcW w:w="0" w:type="auto"/>
            <w:shd w:val="clear" w:color="auto" w:fill="auto"/>
          </w:tcPr>
          <w:p w14:paraId="5EA284AC" w14:textId="77777777" w:rsidR="003C66EB" w:rsidRDefault="003C66EB">
            <w:pPr>
              <w:rPr>
                <w:rFonts w:ascii="宋体"/>
                <w:vanish/>
              </w:rPr>
            </w:pPr>
          </w:p>
        </w:tc>
        <w:tc>
          <w:tcPr>
            <w:tcW w:w="0" w:type="auto"/>
            <w:shd w:val="clear" w:color="auto" w:fill="auto"/>
          </w:tcPr>
          <w:p w14:paraId="5EA284AD" w14:textId="77777777" w:rsidR="003C66EB" w:rsidRDefault="003C66EB">
            <w:pPr>
              <w:rPr>
                <w:rFonts w:ascii="宋体"/>
                <w:vanish/>
              </w:rPr>
            </w:pPr>
          </w:p>
        </w:tc>
        <w:tc>
          <w:tcPr>
            <w:tcW w:w="0" w:type="auto"/>
            <w:shd w:val="clear" w:color="auto" w:fill="auto"/>
          </w:tcPr>
          <w:p w14:paraId="5EA284AE" w14:textId="77777777" w:rsidR="003C66EB" w:rsidRDefault="003C66EB">
            <w:pPr>
              <w:rPr>
                <w:rFonts w:ascii="宋体"/>
                <w:vanish/>
              </w:rPr>
            </w:pPr>
          </w:p>
        </w:tc>
      </w:tr>
      <w:tr w:rsidR="003C66EB" w14:paraId="5EA284B4" w14:textId="77777777">
        <w:trPr>
          <w:jc w:val="center"/>
        </w:trPr>
        <w:tc>
          <w:tcPr>
            <w:tcW w:w="0" w:type="auto"/>
            <w:gridSpan w:val="6"/>
            <w:shd w:val="clear" w:color="auto" w:fill="auto"/>
            <w:tcMar>
              <w:top w:w="40" w:type="dxa"/>
              <w:left w:w="20" w:type="dxa"/>
              <w:bottom w:w="40" w:type="dxa"/>
              <w:right w:w="20" w:type="dxa"/>
            </w:tcMar>
          </w:tcPr>
          <w:p w14:paraId="5EA284B0" w14:textId="77777777" w:rsidR="003C66EB" w:rsidRDefault="00D96C4E">
            <w:pPr>
              <w:jc w:val="center"/>
              <w:textAlignment w:val="top"/>
            </w:pPr>
            <w:r>
              <w:rPr>
                <w:rFonts w:ascii="Arial" w:eastAsia="宋体" w:hAnsi="Arial" w:cs="Arial"/>
                <w:b/>
                <w:bCs/>
                <w:color w:val="000000"/>
                <w:sz w:val="20"/>
                <w:szCs w:val="20"/>
              </w:rPr>
              <w:t>GLOSSARY</w:t>
            </w:r>
          </w:p>
        </w:tc>
        <w:tc>
          <w:tcPr>
            <w:tcW w:w="0" w:type="auto"/>
            <w:shd w:val="clear" w:color="auto" w:fill="auto"/>
          </w:tcPr>
          <w:p w14:paraId="5EA284B1" w14:textId="77777777" w:rsidR="003C66EB" w:rsidRDefault="003C66EB">
            <w:pPr>
              <w:rPr>
                <w:rFonts w:ascii="宋体"/>
                <w:vanish/>
              </w:rPr>
            </w:pPr>
          </w:p>
        </w:tc>
        <w:tc>
          <w:tcPr>
            <w:tcW w:w="0" w:type="auto"/>
            <w:shd w:val="clear" w:color="auto" w:fill="auto"/>
          </w:tcPr>
          <w:p w14:paraId="5EA284B2" w14:textId="77777777" w:rsidR="003C66EB" w:rsidRDefault="003C66EB">
            <w:pPr>
              <w:rPr>
                <w:rFonts w:ascii="宋体"/>
                <w:vanish/>
              </w:rPr>
            </w:pPr>
          </w:p>
        </w:tc>
        <w:tc>
          <w:tcPr>
            <w:tcW w:w="0" w:type="auto"/>
            <w:shd w:val="clear" w:color="auto" w:fill="auto"/>
          </w:tcPr>
          <w:p w14:paraId="5EA284B3" w14:textId="77777777" w:rsidR="003C66EB" w:rsidRDefault="003C66EB">
            <w:pPr>
              <w:rPr>
                <w:rFonts w:ascii="宋体"/>
                <w:vanish/>
              </w:rPr>
            </w:pPr>
          </w:p>
        </w:tc>
      </w:tr>
      <w:tr w:rsidR="003C66EB" w14:paraId="5EA284BA"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tcPr>
          <w:p w14:paraId="5EA284B5" w14:textId="77777777" w:rsidR="003C66EB" w:rsidRDefault="003C66EB">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tcPr>
          <w:p w14:paraId="5EA284B6" w14:textId="77777777" w:rsidR="003C66EB" w:rsidRDefault="003C66EB">
            <w:pPr>
              <w:rPr>
                <w:rFonts w:ascii="宋体"/>
              </w:rPr>
            </w:pPr>
          </w:p>
        </w:tc>
        <w:tc>
          <w:tcPr>
            <w:tcW w:w="0" w:type="auto"/>
            <w:shd w:val="clear" w:color="auto" w:fill="auto"/>
          </w:tcPr>
          <w:p w14:paraId="5EA284B7" w14:textId="77777777" w:rsidR="003C66EB" w:rsidRDefault="003C66EB">
            <w:pPr>
              <w:rPr>
                <w:rFonts w:ascii="宋体"/>
                <w:vanish/>
              </w:rPr>
            </w:pPr>
          </w:p>
        </w:tc>
        <w:tc>
          <w:tcPr>
            <w:tcW w:w="0" w:type="auto"/>
            <w:shd w:val="clear" w:color="auto" w:fill="auto"/>
          </w:tcPr>
          <w:p w14:paraId="5EA284B8" w14:textId="77777777" w:rsidR="003C66EB" w:rsidRDefault="003C66EB">
            <w:pPr>
              <w:rPr>
                <w:rFonts w:ascii="宋体"/>
                <w:vanish/>
              </w:rPr>
            </w:pPr>
          </w:p>
        </w:tc>
        <w:tc>
          <w:tcPr>
            <w:tcW w:w="0" w:type="auto"/>
            <w:shd w:val="clear" w:color="auto" w:fill="auto"/>
          </w:tcPr>
          <w:p w14:paraId="5EA284B9" w14:textId="77777777" w:rsidR="003C66EB" w:rsidRDefault="003C66EB">
            <w:pPr>
              <w:rPr>
                <w:rFonts w:ascii="宋体"/>
                <w:vanish/>
              </w:rPr>
            </w:pPr>
          </w:p>
        </w:tc>
      </w:tr>
      <w:tr w:rsidR="003C66EB" w14:paraId="5EA284C0" w14:textId="77777777">
        <w:trPr>
          <w:jc w:val="center"/>
          <w:hidden/>
        </w:trPr>
        <w:tc>
          <w:tcPr>
            <w:tcW w:w="0" w:type="auto"/>
            <w:gridSpan w:val="3"/>
            <w:shd w:val="clear" w:color="auto" w:fill="auto"/>
          </w:tcPr>
          <w:p w14:paraId="5EA284BB" w14:textId="77777777" w:rsidR="003C66EB" w:rsidRDefault="003C66EB">
            <w:pPr>
              <w:rPr>
                <w:rFonts w:ascii="宋体"/>
                <w:vanish/>
              </w:rPr>
            </w:pPr>
          </w:p>
        </w:tc>
        <w:tc>
          <w:tcPr>
            <w:tcW w:w="0" w:type="auto"/>
            <w:gridSpan w:val="3"/>
            <w:shd w:val="clear" w:color="auto" w:fill="auto"/>
          </w:tcPr>
          <w:p w14:paraId="5EA284BC" w14:textId="77777777" w:rsidR="003C66EB" w:rsidRDefault="003C66EB">
            <w:pPr>
              <w:rPr>
                <w:rFonts w:ascii="宋体"/>
                <w:vanish/>
              </w:rPr>
            </w:pPr>
          </w:p>
        </w:tc>
        <w:tc>
          <w:tcPr>
            <w:tcW w:w="0" w:type="auto"/>
            <w:shd w:val="clear" w:color="auto" w:fill="auto"/>
          </w:tcPr>
          <w:p w14:paraId="5EA284BD" w14:textId="77777777" w:rsidR="003C66EB" w:rsidRDefault="003C66EB">
            <w:pPr>
              <w:rPr>
                <w:rFonts w:ascii="宋体"/>
                <w:vanish/>
              </w:rPr>
            </w:pPr>
          </w:p>
        </w:tc>
        <w:tc>
          <w:tcPr>
            <w:tcW w:w="0" w:type="auto"/>
            <w:shd w:val="clear" w:color="auto" w:fill="auto"/>
          </w:tcPr>
          <w:p w14:paraId="5EA284BE" w14:textId="77777777" w:rsidR="003C66EB" w:rsidRDefault="003C66EB">
            <w:pPr>
              <w:rPr>
                <w:rFonts w:ascii="宋体"/>
                <w:vanish/>
              </w:rPr>
            </w:pPr>
          </w:p>
        </w:tc>
        <w:tc>
          <w:tcPr>
            <w:tcW w:w="0" w:type="auto"/>
            <w:shd w:val="clear" w:color="auto" w:fill="auto"/>
          </w:tcPr>
          <w:p w14:paraId="5EA284BF" w14:textId="77777777" w:rsidR="003C66EB" w:rsidRDefault="003C66EB">
            <w:pPr>
              <w:rPr>
                <w:rFonts w:ascii="宋体"/>
                <w:vanish/>
              </w:rPr>
            </w:pPr>
          </w:p>
        </w:tc>
      </w:tr>
      <w:tr w:rsidR="003C66EB" w14:paraId="5EA284C6" w14:textId="77777777">
        <w:trPr>
          <w:jc w:val="center"/>
          <w:hidden/>
        </w:trPr>
        <w:tc>
          <w:tcPr>
            <w:tcW w:w="0" w:type="auto"/>
            <w:gridSpan w:val="3"/>
            <w:shd w:val="clear" w:color="auto" w:fill="auto"/>
          </w:tcPr>
          <w:p w14:paraId="5EA284C1" w14:textId="77777777" w:rsidR="003C66EB" w:rsidRDefault="003C66EB">
            <w:pPr>
              <w:rPr>
                <w:rFonts w:ascii="宋体"/>
                <w:vanish/>
              </w:rPr>
            </w:pPr>
          </w:p>
        </w:tc>
        <w:tc>
          <w:tcPr>
            <w:tcW w:w="0" w:type="auto"/>
            <w:gridSpan w:val="3"/>
            <w:shd w:val="clear" w:color="auto" w:fill="auto"/>
          </w:tcPr>
          <w:p w14:paraId="5EA284C2" w14:textId="77777777" w:rsidR="003C66EB" w:rsidRDefault="003C66EB">
            <w:pPr>
              <w:rPr>
                <w:rFonts w:ascii="宋体"/>
                <w:vanish/>
              </w:rPr>
            </w:pPr>
          </w:p>
        </w:tc>
        <w:tc>
          <w:tcPr>
            <w:tcW w:w="0" w:type="auto"/>
            <w:shd w:val="clear" w:color="auto" w:fill="auto"/>
          </w:tcPr>
          <w:p w14:paraId="5EA284C3" w14:textId="77777777" w:rsidR="003C66EB" w:rsidRDefault="003C66EB">
            <w:pPr>
              <w:rPr>
                <w:rFonts w:ascii="宋体"/>
                <w:vanish/>
              </w:rPr>
            </w:pPr>
          </w:p>
        </w:tc>
        <w:tc>
          <w:tcPr>
            <w:tcW w:w="0" w:type="auto"/>
            <w:shd w:val="clear" w:color="auto" w:fill="auto"/>
          </w:tcPr>
          <w:p w14:paraId="5EA284C4" w14:textId="77777777" w:rsidR="003C66EB" w:rsidRDefault="003C66EB">
            <w:pPr>
              <w:rPr>
                <w:rFonts w:ascii="宋体"/>
                <w:vanish/>
              </w:rPr>
            </w:pPr>
          </w:p>
        </w:tc>
        <w:tc>
          <w:tcPr>
            <w:tcW w:w="0" w:type="auto"/>
            <w:shd w:val="clear" w:color="auto" w:fill="auto"/>
          </w:tcPr>
          <w:p w14:paraId="5EA284C5" w14:textId="77777777" w:rsidR="003C66EB" w:rsidRDefault="003C66EB">
            <w:pPr>
              <w:rPr>
                <w:rFonts w:ascii="宋体"/>
                <w:vanish/>
              </w:rPr>
            </w:pPr>
          </w:p>
        </w:tc>
      </w:tr>
      <w:tr w:rsidR="003C66EB" w14:paraId="5EA284CC" w14:textId="77777777">
        <w:trPr>
          <w:jc w:val="center"/>
          <w:hidden/>
        </w:trPr>
        <w:tc>
          <w:tcPr>
            <w:tcW w:w="0" w:type="auto"/>
            <w:gridSpan w:val="3"/>
            <w:shd w:val="clear" w:color="auto" w:fill="auto"/>
          </w:tcPr>
          <w:p w14:paraId="5EA284C7" w14:textId="77777777" w:rsidR="003C66EB" w:rsidRDefault="003C66EB">
            <w:pPr>
              <w:rPr>
                <w:rFonts w:ascii="宋体"/>
                <w:vanish/>
              </w:rPr>
            </w:pPr>
          </w:p>
        </w:tc>
        <w:tc>
          <w:tcPr>
            <w:tcW w:w="0" w:type="auto"/>
            <w:gridSpan w:val="3"/>
            <w:shd w:val="clear" w:color="auto" w:fill="auto"/>
          </w:tcPr>
          <w:p w14:paraId="5EA284C8" w14:textId="77777777" w:rsidR="003C66EB" w:rsidRDefault="003C66EB">
            <w:pPr>
              <w:rPr>
                <w:rFonts w:ascii="宋体"/>
                <w:vanish/>
              </w:rPr>
            </w:pPr>
          </w:p>
        </w:tc>
        <w:tc>
          <w:tcPr>
            <w:tcW w:w="0" w:type="auto"/>
            <w:shd w:val="clear" w:color="auto" w:fill="auto"/>
          </w:tcPr>
          <w:p w14:paraId="5EA284C9" w14:textId="77777777" w:rsidR="003C66EB" w:rsidRDefault="003C66EB">
            <w:pPr>
              <w:rPr>
                <w:rFonts w:ascii="宋体"/>
                <w:vanish/>
              </w:rPr>
            </w:pPr>
          </w:p>
        </w:tc>
        <w:tc>
          <w:tcPr>
            <w:tcW w:w="0" w:type="auto"/>
            <w:shd w:val="clear" w:color="auto" w:fill="auto"/>
          </w:tcPr>
          <w:p w14:paraId="5EA284CA" w14:textId="77777777" w:rsidR="003C66EB" w:rsidRDefault="003C66EB">
            <w:pPr>
              <w:rPr>
                <w:rFonts w:ascii="宋体"/>
                <w:vanish/>
              </w:rPr>
            </w:pPr>
          </w:p>
        </w:tc>
        <w:tc>
          <w:tcPr>
            <w:tcW w:w="0" w:type="auto"/>
            <w:shd w:val="clear" w:color="auto" w:fill="auto"/>
          </w:tcPr>
          <w:p w14:paraId="5EA284CB" w14:textId="77777777" w:rsidR="003C66EB" w:rsidRDefault="003C66EB">
            <w:pPr>
              <w:rPr>
                <w:rFonts w:ascii="宋体"/>
                <w:vanish/>
              </w:rPr>
            </w:pPr>
          </w:p>
        </w:tc>
      </w:tr>
      <w:tr w:rsidR="003C66EB" w14:paraId="5EA284D2" w14:textId="77777777">
        <w:trPr>
          <w:jc w:val="center"/>
          <w:hidden/>
        </w:trPr>
        <w:tc>
          <w:tcPr>
            <w:tcW w:w="0" w:type="auto"/>
            <w:gridSpan w:val="3"/>
            <w:shd w:val="clear" w:color="auto" w:fill="auto"/>
          </w:tcPr>
          <w:p w14:paraId="5EA284CD" w14:textId="77777777" w:rsidR="003C66EB" w:rsidRDefault="003C66EB">
            <w:pPr>
              <w:rPr>
                <w:rFonts w:ascii="宋体"/>
                <w:vanish/>
              </w:rPr>
            </w:pPr>
          </w:p>
        </w:tc>
        <w:tc>
          <w:tcPr>
            <w:tcW w:w="0" w:type="auto"/>
            <w:gridSpan w:val="3"/>
            <w:shd w:val="clear" w:color="auto" w:fill="auto"/>
          </w:tcPr>
          <w:p w14:paraId="5EA284CE" w14:textId="77777777" w:rsidR="003C66EB" w:rsidRDefault="003C66EB">
            <w:pPr>
              <w:rPr>
                <w:rFonts w:ascii="宋体"/>
                <w:vanish/>
              </w:rPr>
            </w:pPr>
          </w:p>
        </w:tc>
        <w:tc>
          <w:tcPr>
            <w:tcW w:w="0" w:type="auto"/>
            <w:shd w:val="clear" w:color="auto" w:fill="auto"/>
          </w:tcPr>
          <w:p w14:paraId="5EA284CF" w14:textId="77777777" w:rsidR="003C66EB" w:rsidRDefault="003C66EB">
            <w:pPr>
              <w:rPr>
                <w:rFonts w:ascii="宋体"/>
                <w:vanish/>
              </w:rPr>
            </w:pPr>
          </w:p>
        </w:tc>
        <w:tc>
          <w:tcPr>
            <w:tcW w:w="0" w:type="auto"/>
            <w:shd w:val="clear" w:color="auto" w:fill="auto"/>
          </w:tcPr>
          <w:p w14:paraId="5EA284D0" w14:textId="77777777" w:rsidR="003C66EB" w:rsidRDefault="003C66EB">
            <w:pPr>
              <w:rPr>
                <w:rFonts w:ascii="宋体"/>
                <w:vanish/>
              </w:rPr>
            </w:pPr>
          </w:p>
        </w:tc>
        <w:tc>
          <w:tcPr>
            <w:tcW w:w="0" w:type="auto"/>
            <w:shd w:val="clear" w:color="auto" w:fill="auto"/>
          </w:tcPr>
          <w:p w14:paraId="5EA284D1" w14:textId="77777777" w:rsidR="003C66EB" w:rsidRDefault="003C66EB">
            <w:pPr>
              <w:rPr>
                <w:rFonts w:ascii="宋体"/>
                <w:vanish/>
              </w:rPr>
            </w:pPr>
          </w:p>
        </w:tc>
      </w:tr>
      <w:tr w:rsidR="003C66EB" w14:paraId="5EA284D8" w14:textId="77777777">
        <w:trPr>
          <w:jc w:val="center"/>
          <w:hidden/>
        </w:trPr>
        <w:tc>
          <w:tcPr>
            <w:tcW w:w="0" w:type="auto"/>
            <w:gridSpan w:val="3"/>
            <w:shd w:val="clear" w:color="auto" w:fill="auto"/>
          </w:tcPr>
          <w:p w14:paraId="5EA284D3" w14:textId="77777777" w:rsidR="003C66EB" w:rsidRDefault="003C66EB">
            <w:pPr>
              <w:rPr>
                <w:rFonts w:ascii="宋体"/>
                <w:vanish/>
              </w:rPr>
            </w:pPr>
          </w:p>
        </w:tc>
        <w:tc>
          <w:tcPr>
            <w:tcW w:w="0" w:type="auto"/>
            <w:gridSpan w:val="3"/>
            <w:shd w:val="clear" w:color="auto" w:fill="auto"/>
          </w:tcPr>
          <w:p w14:paraId="5EA284D4" w14:textId="77777777" w:rsidR="003C66EB" w:rsidRDefault="003C66EB">
            <w:pPr>
              <w:rPr>
                <w:rFonts w:ascii="宋体"/>
                <w:vanish/>
              </w:rPr>
            </w:pPr>
          </w:p>
        </w:tc>
        <w:tc>
          <w:tcPr>
            <w:tcW w:w="0" w:type="auto"/>
            <w:shd w:val="clear" w:color="auto" w:fill="auto"/>
          </w:tcPr>
          <w:p w14:paraId="5EA284D5" w14:textId="77777777" w:rsidR="003C66EB" w:rsidRDefault="003C66EB">
            <w:pPr>
              <w:rPr>
                <w:rFonts w:ascii="宋体"/>
                <w:vanish/>
              </w:rPr>
            </w:pPr>
          </w:p>
        </w:tc>
        <w:tc>
          <w:tcPr>
            <w:tcW w:w="0" w:type="auto"/>
            <w:shd w:val="clear" w:color="auto" w:fill="auto"/>
          </w:tcPr>
          <w:p w14:paraId="5EA284D6" w14:textId="77777777" w:rsidR="003C66EB" w:rsidRDefault="003C66EB">
            <w:pPr>
              <w:rPr>
                <w:rFonts w:ascii="宋体"/>
                <w:vanish/>
              </w:rPr>
            </w:pPr>
          </w:p>
        </w:tc>
        <w:tc>
          <w:tcPr>
            <w:tcW w:w="0" w:type="auto"/>
            <w:shd w:val="clear" w:color="auto" w:fill="auto"/>
          </w:tcPr>
          <w:p w14:paraId="5EA284D7" w14:textId="77777777" w:rsidR="003C66EB" w:rsidRDefault="003C66EB">
            <w:pPr>
              <w:rPr>
                <w:rFonts w:ascii="宋体"/>
                <w:vanish/>
              </w:rPr>
            </w:pPr>
          </w:p>
        </w:tc>
      </w:tr>
      <w:tr w:rsidR="003C66EB" w14:paraId="5EA284DE" w14:textId="77777777">
        <w:trPr>
          <w:jc w:val="center"/>
          <w:hidden/>
        </w:trPr>
        <w:tc>
          <w:tcPr>
            <w:tcW w:w="0" w:type="auto"/>
            <w:gridSpan w:val="3"/>
            <w:shd w:val="clear" w:color="auto" w:fill="auto"/>
          </w:tcPr>
          <w:p w14:paraId="5EA284D9" w14:textId="77777777" w:rsidR="003C66EB" w:rsidRDefault="003C66EB">
            <w:pPr>
              <w:rPr>
                <w:rFonts w:ascii="宋体"/>
                <w:vanish/>
              </w:rPr>
            </w:pPr>
          </w:p>
        </w:tc>
        <w:tc>
          <w:tcPr>
            <w:tcW w:w="0" w:type="auto"/>
            <w:gridSpan w:val="3"/>
            <w:shd w:val="clear" w:color="auto" w:fill="auto"/>
          </w:tcPr>
          <w:p w14:paraId="5EA284DA" w14:textId="77777777" w:rsidR="003C66EB" w:rsidRDefault="003C66EB">
            <w:pPr>
              <w:rPr>
                <w:rFonts w:ascii="宋体"/>
                <w:vanish/>
              </w:rPr>
            </w:pPr>
          </w:p>
        </w:tc>
        <w:tc>
          <w:tcPr>
            <w:tcW w:w="0" w:type="auto"/>
            <w:shd w:val="clear" w:color="auto" w:fill="auto"/>
          </w:tcPr>
          <w:p w14:paraId="5EA284DB" w14:textId="77777777" w:rsidR="003C66EB" w:rsidRDefault="003C66EB">
            <w:pPr>
              <w:rPr>
                <w:rFonts w:ascii="宋体"/>
                <w:vanish/>
              </w:rPr>
            </w:pPr>
          </w:p>
        </w:tc>
        <w:tc>
          <w:tcPr>
            <w:tcW w:w="0" w:type="auto"/>
            <w:shd w:val="clear" w:color="auto" w:fill="auto"/>
          </w:tcPr>
          <w:p w14:paraId="5EA284DC" w14:textId="77777777" w:rsidR="003C66EB" w:rsidRDefault="003C66EB">
            <w:pPr>
              <w:rPr>
                <w:rFonts w:ascii="宋体"/>
                <w:vanish/>
              </w:rPr>
            </w:pPr>
          </w:p>
        </w:tc>
        <w:tc>
          <w:tcPr>
            <w:tcW w:w="0" w:type="auto"/>
            <w:shd w:val="clear" w:color="auto" w:fill="auto"/>
          </w:tcPr>
          <w:p w14:paraId="5EA284DD" w14:textId="77777777" w:rsidR="003C66EB" w:rsidRDefault="003C66EB">
            <w:pPr>
              <w:rPr>
                <w:rFonts w:ascii="宋体"/>
                <w:vanish/>
              </w:rPr>
            </w:pPr>
          </w:p>
        </w:tc>
      </w:tr>
      <w:tr w:rsidR="003C66EB" w14:paraId="5EA284E4" w14:textId="77777777">
        <w:trPr>
          <w:jc w:val="center"/>
          <w:hidden/>
        </w:trPr>
        <w:tc>
          <w:tcPr>
            <w:tcW w:w="0" w:type="auto"/>
            <w:gridSpan w:val="3"/>
            <w:shd w:val="clear" w:color="auto" w:fill="auto"/>
          </w:tcPr>
          <w:p w14:paraId="5EA284DF" w14:textId="77777777" w:rsidR="003C66EB" w:rsidRDefault="003C66EB">
            <w:pPr>
              <w:rPr>
                <w:rFonts w:ascii="宋体"/>
                <w:vanish/>
              </w:rPr>
            </w:pPr>
          </w:p>
        </w:tc>
        <w:tc>
          <w:tcPr>
            <w:tcW w:w="0" w:type="auto"/>
            <w:gridSpan w:val="3"/>
            <w:shd w:val="clear" w:color="auto" w:fill="auto"/>
          </w:tcPr>
          <w:p w14:paraId="5EA284E0" w14:textId="77777777" w:rsidR="003C66EB" w:rsidRDefault="003C66EB">
            <w:pPr>
              <w:rPr>
                <w:rFonts w:ascii="宋体"/>
                <w:vanish/>
              </w:rPr>
            </w:pPr>
          </w:p>
        </w:tc>
        <w:tc>
          <w:tcPr>
            <w:tcW w:w="0" w:type="auto"/>
            <w:shd w:val="clear" w:color="auto" w:fill="auto"/>
          </w:tcPr>
          <w:p w14:paraId="5EA284E1" w14:textId="77777777" w:rsidR="003C66EB" w:rsidRDefault="003C66EB">
            <w:pPr>
              <w:rPr>
                <w:rFonts w:ascii="宋体"/>
                <w:vanish/>
              </w:rPr>
            </w:pPr>
          </w:p>
        </w:tc>
        <w:tc>
          <w:tcPr>
            <w:tcW w:w="0" w:type="auto"/>
            <w:shd w:val="clear" w:color="auto" w:fill="auto"/>
          </w:tcPr>
          <w:p w14:paraId="5EA284E2" w14:textId="77777777" w:rsidR="003C66EB" w:rsidRDefault="003C66EB">
            <w:pPr>
              <w:rPr>
                <w:rFonts w:ascii="宋体"/>
                <w:vanish/>
              </w:rPr>
            </w:pPr>
          </w:p>
        </w:tc>
        <w:tc>
          <w:tcPr>
            <w:tcW w:w="0" w:type="auto"/>
            <w:shd w:val="clear" w:color="auto" w:fill="auto"/>
          </w:tcPr>
          <w:p w14:paraId="5EA284E3" w14:textId="77777777" w:rsidR="003C66EB" w:rsidRDefault="003C66EB">
            <w:pPr>
              <w:rPr>
                <w:rFonts w:ascii="宋体"/>
                <w:vanish/>
              </w:rPr>
            </w:pPr>
          </w:p>
        </w:tc>
      </w:tr>
      <w:tr w:rsidR="003C66EB" w14:paraId="5EA284EA" w14:textId="77777777">
        <w:trPr>
          <w:jc w:val="center"/>
          <w:hidden/>
        </w:trPr>
        <w:tc>
          <w:tcPr>
            <w:tcW w:w="0" w:type="auto"/>
            <w:gridSpan w:val="3"/>
            <w:shd w:val="clear" w:color="auto" w:fill="auto"/>
          </w:tcPr>
          <w:p w14:paraId="5EA284E5" w14:textId="77777777" w:rsidR="003C66EB" w:rsidRDefault="003C66EB">
            <w:pPr>
              <w:rPr>
                <w:rFonts w:ascii="宋体"/>
                <w:vanish/>
              </w:rPr>
            </w:pPr>
          </w:p>
        </w:tc>
        <w:tc>
          <w:tcPr>
            <w:tcW w:w="0" w:type="auto"/>
            <w:gridSpan w:val="3"/>
            <w:shd w:val="clear" w:color="auto" w:fill="auto"/>
          </w:tcPr>
          <w:p w14:paraId="5EA284E6" w14:textId="77777777" w:rsidR="003C66EB" w:rsidRDefault="003C66EB">
            <w:pPr>
              <w:rPr>
                <w:rFonts w:ascii="宋体"/>
                <w:vanish/>
              </w:rPr>
            </w:pPr>
          </w:p>
        </w:tc>
        <w:tc>
          <w:tcPr>
            <w:tcW w:w="0" w:type="auto"/>
            <w:shd w:val="clear" w:color="auto" w:fill="auto"/>
          </w:tcPr>
          <w:p w14:paraId="5EA284E7" w14:textId="77777777" w:rsidR="003C66EB" w:rsidRDefault="003C66EB">
            <w:pPr>
              <w:rPr>
                <w:rFonts w:ascii="宋体"/>
                <w:vanish/>
              </w:rPr>
            </w:pPr>
          </w:p>
        </w:tc>
        <w:tc>
          <w:tcPr>
            <w:tcW w:w="0" w:type="auto"/>
            <w:shd w:val="clear" w:color="auto" w:fill="auto"/>
          </w:tcPr>
          <w:p w14:paraId="5EA284E8" w14:textId="77777777" w:rsidR="003C66EB" w:rsidRDefault="003C66EB">
            <w:pPr>
              <w:rPr>
                <w:rFonts w:ascii="宋体"/>
                <w:vanish/>
              </w:rPr>
            </w:pPr>
          </w:p>
        </w:tc>
        <w:tc>
          <w:tcPr>
            <w:tcW w:w="0" w:type="auto"/>
            <w:shd w:val="clear" w:color="auto" w:fill="auto"/>
          </w:tcPr>
          <w:p w14:paraId="5EA284E9" w14:textId="77777777" w:rsidR="003C66EB" w:rsidRDefault="003C66EB">
            <w:pPr>
              <w:rPr>
                <w:rFonts w:ascii="宋体"/>
                <w:vanish/>
              </w:rPr>
            </w:pPr>
          </w:p>
        </w:tc>
      </w:tr>
      <w:tr w:rsidR="003C66EB" w14:paraId="5EA284F0" w14:textId="77777777">
        <w:trPr>
          <w:jc w:val="center"/>
          <w:hidden/>
        </w:trPr>
        <w:tc>
          <w:tcPr>
            <w:tcW w:w="0" w:type="auto"/>
            <w:gridSpan w:val="3"/>
            <w:shd w:val="clear" w:color="auto" w:fill="auto"/>
          </w:tcPr>
          <w:p w14:paraId="5EA284EB" w14:textId="77777777" w:rsidR="003C66EB" w:rsidRDefault="003C66EB">
            <w:pPr>
              <w:rPr>
                <w:rFonts w:ascii="宋体"/>
                <w:vanish/>
              </w:rPr>
            </w:pPr>
          </w:p>
        </w:tc>
        <w:tc>
          <w:tcPr>
            <w:tcW w:w="0" w:type="auto"/>
            <w:gridSpan w:val="3"/>
            <w:shd w:val="clear" w:color="auto" w:fill="auto"/>
          </w:tcPr>
          <w:p w14:paraId="5EA284EC" w14:textId="77777777" w:rsidR="003C66EB" w:rsidRDefault="003C66EB">
            <w:pPr>
              <w:rPr>
                <w:rFonts w:ascii="宋体"/>
                <w:vanish/>
              </w:rPr>
            </w:pPr>
          </w:p>
        </w:tc>
        <w:tc>
          <w:tcPr>
            <w:tcW w:w="0" w:type="auto"/>
            <w:shd w:val="clear" w:color="auto" w:fill="auto"/>
          </w:tcPr>
          <w:p w14:paraId="5EA284ED" w14:textId="77777777" w:rsidR="003C66EB" w:rsidRDefault="003C66EB">
            <w:pPr>
              <w:rPr>
                <w:rFonts w:ascii="宋体"/>
                <w:vanish/>
              </w:rPr>
            </w:pPr>
          </w:p>
        </w:tc>
        <w:tc>
          <w:tcPr>
            <w:tcW w:w="0" w:type="auto"/>
            <w:shd w:val="clear" w:color="auto" w:fill="auto"/>
          </w:tcPr>
          <w:p w14:paraId="5EA284EE" w14:textId="77777777" w:rsidR="003C66EB" w:rsidRDefault="003C66EB">
            <w:pPr>
              <w:rPr>
                <w:rFonts w:ascii="宋体"/>
                <w:vanish/>
              </w:rPr>
            </w:pPr>
          </w:p>
        </w:tc>
        <w:tc>
          <w:tcPr>
            <w:tcW w:w="0" w:type="auto"/>
            <w:shd w:val="clear" w:color="auto" w:fill="auto"/>
          </w:tcPr>
          <w:p w14:paraId="5EA284EF" w14:textId="77777777" w:rsidR="003C66EB" w:rsidRDefault="003C66EB">
            <w:pPr>
              <w:rPr>
                <w:rFonts w:ascii="宋体"/>
                <w:vanish/>
              </w:rPr>
            </w:pPr>
          </w:p>
        </w:tc>
      </w:tr>
      <w:tr w:rsidR="003C66EB" w14:paraId="5EA284F6" w14:textId="77777777">
        <w:trPr>
          <w:jc w:val="center"/>
          <w:hidden/>
        </w:trPr>
        <w:tc>
          <w:tcPr>
            <w:tcW w:w="0" w:type="auto"/>
            <w:gridSpan w:val="3"/>
            <w:shd w:val="clear" w:color="auto" w:fill="auto"/>
          </w:tcPr>
          <w:p w14:paraId="5EA284F1" w14:textId="77777777" w:rsidR="003C66EB" w:rsidRDefault="003C66EB">
            <w:pPr>
              <w:rPr>
                <w:rFonts w:ascii="宋体"/>
                <w:vanish/>
              </w:rPr>
            </w:pPr>
          </w:p>
        </w:tc>
        <w:tc>
          <w:tcPr>
            <w:tcW w:w="0" w:type="auto"/>
            <w:gridSpan w:val="3"/>
            <w:shd w:val="clear" w:color="auto" w:fill="auto"/>
          </w:tcPr>
          <w:p w14:paraId="5EA284F2" w14:textId="77777777" w:rsidR="003C66EB" w:rsidRDefault="003C66EB">
            <w:pPr>
              <w:rPr>
                <w:rFonts w:ascii="宋体"/>
                <w:vanish/>
              </w:rPr>
            </w:pPr>
          </w:p>
        </w:tc>
        <w:tc>
          <w:tcPr>
            <w:tcW w:w="0" w:type="auto"/>
            <w:shd w:val="clear" w:color="auto" w:fill="auto"/>
          </w:tcPr>
          <w:p w14:paraId="5EA284F3" w14:textId="77777777" w:rsidR="003C66EB" w:rsidRDefault="003C66EB">
            <w:pPr>
              <w:rPr>
                <w:rFonts w:ascii="宋体"/>
                <w:vanish/>
              </w:rPr>
            </w:pPr>
          </w:p>
        </w:tc>
        <w:tc>
          <w:tcPr>
            <w:tcW w:w="0" w:type="auto"/>
            <w:shd w:val="clear" w:color="auto" w:fill="auto"/>
          </w:tcPr>
          <w:p w14:paraId="5EA284F4" w14:textId="77777777" w:rsidR="003C66EB" w:rsidRDefault="003C66EB">
            <w:pPr>
              <w:rPr>
                <w:rFonts w:ascii="宋体"/>
                <w:vanish/>
              </w:rPr>
            </w:pPr>
          </w:p>
        </w:tc>
        <w:tc>
          <w:tcPr>
            <w:tcW w:w="0" w:type="auto"/>
            <w:shd w:val="clear" w:color="auto" w:fill="auto"/>
          </w:tcPr>
          <w:p w14:paraId="5EA284F5" w14:textId="77777777" w:rsidR="003C66EB" w:rsidRDefault="003C66EB">
            <w:pPr>
              <w:rPr>
                <w:rFonts w:ascii="宋体"/>
                <w:vanish/>
              </w:rPr>
            </w:pPr>
          </w:p>
        </w:tc>
      </w:tr>
      <w:tr w:rsidR="003C66EB" w14:paraId="5EA284FC" w14:textId="77777777">
        <w:trPr>
          <w:jc w:val="center"/>
          <w:hidden/>
        </w:trPr>
        <w:tc>
          <w:tcPr>
            <w:tcW w:w="0" w:type="auto"/>
            <w:gridSpan w:val="3"/>
            <w:shd w:val="clear" w:color="auto" w:fill="auto"/>
          </w:tcPr>
          <w:p w14:paraId="5EA284F7" w14:textId="77777777" w:rsidR="003C66EB" w:rsidRDefault="003C66EB">
            <w:pPr>
              <w:rPr>
                <w:rFonts w:ascii="宋体"/>
                <w:vanish/>
              </w:rPr>
            </w:pPr>
          </w:p>
        </w:tc>
        <w:tc>
          <w:tcPr>
            <w:tcW w:w="0" w:type="auto"/>
            <w:gridSpan w:val="3"/>
            <w:shd w:val="clear" w:color="auto" w:fill="auto"/>
          </w:tcPr>
          <w:p w14:paraId="5EA284F8" w14:textId="77777777" w:rsidR="003C66EB" w:rsidRDefault="003C66EB">
            <w:pPr>
              <w:rPr>
                <w:rFonts w:ascii="宋体"/>
                <w:vanish/>
              </w:rPr>
            </w:pPr>
          </w:p>
        </w:tc>
        <w:tc>
          <w:tcPr>
            <w:tcW w:w="0" w:type="auto"/>
            <w:shd w:val="clear" w:color="auto" w:fill="auto"/>
          </w:tcPr>
          <w:p w14:paraId="5EA284F9" w14:textId="77777777" w:rsidR="003C66EB" w:rsidRDefault="003C66EB">
            <w:pPr>
              <w:rPr>
                <w:rFonts w:ascii="宋体"/>
                <w:vanish/>
              </w:rPr>
            </w:pPr>
          </w:p>
        </w:tc>
        <w:tc>
          <w:tcPr>
            <w:tcW w:w="0" w:type="auto"/>
            <w:shd w:val="clear" w:color="auto" w:fill="auto"/>
          </w:tcPr>
          <w:p w14:paraId="5EA284FA" w14:textId="77777777" w:rsidR="003C66EB" w:rsidRDefault="003C66EB">
            <w:pPr>
              <w:rPr>
                <w:rFonts w:ascii="宋体"/>
                <w:vanish/>
              </w:rPr>
            </w:pPr>
          </w:p>
        </w:tc>
        <w:tc>
          <w:tcPr>
            <w:tcW w:w="0" w:type="auto"/>
            <w:shd w:val="clear" w:color="auto" w:fill="auto"/>
          </w:tcPr>
          <w:p w14:paraId="5EA284FB" w14:textId="77777777" w:rsidR="003C66EB" w:rsidRDefault="003C66EB">
            <w:pPr>
              <w:rPr>
                <w:rFonts w:ascii="宋体"/>
                <w:vanish/>
              </w:rPr>
            </w:pPr>
          </w:p>
        </w:tc>
      </w:tr>
      <w:tr w:rsidR="003C66EB" w14:paraId="5EA28502" w14:textId="77777777">
        <w:trPr>
          <w:jc w:val="center"/>
          <w:hidden/>
        </w:trPr>
        <w:tc>
          <w:tcPr>
            <w:tcW w:w="0" w:type="auto"/>
            <w:gridSpan w:val="3"/>
            <w:shd w:val="clear" w:color="auto" w:fill="auto"/>
          </w:tcPr>
          <w:p w14:paraId="5EA284FD" w14:textId="77777777" w:rsidR="003C66EB" w:rsidRDefault="003C66EB">
            <w:pPr>
              <w:rPr>
                <w:rFonts w:ascii="宋体"/>
                <w:vanish/>
              </w:rPr>
            </w:pPr>
          </w:p>
        </w:tc>
        <w:tc>
          <w:tcPr>
            <w:tcW w:w="0" w:type="auto"/>
            <w:gridSpan w:val="3"/>
            <w:shd w:val="clear" w:color="auto" w:fill="auto"/>
          </w:tcPr>
          <w:p w14:paraId="5EA284FE" w14:textId="77777777" w:rsidR="003C66EB" w:rsidRDefault="003C66EB">
            <w:pPr>
              <w:rPr>
                <w:rFonts w:ascii="宋体"/>
                <w:vanish/>
              </w:rPr>
            </w:pPr>
          </w:p>
        </w:tc>
        <w:tc>
          <w:tcPr>
            <w:tcW w:w="0" w:type="auto"/>
            <w:shd w:val="clear" w:color="auto" w:fill="auto"/>
          </w:tcPr>
          <w:p w14:paraId="5EA284FF" w14:textId="77777777" w:rsidR="003C66EB" w:rsidRDefault="003C66EB">
            <w:pPr>
              <w:rPr>
                <w:rFonts w:ascii="宋体"/>
                <w:vanish/>
              </w:rPr>
            </w:pPr>
          </w:p>
        </w:tc>
        <w:tc>
          <w:tcPr>
            <w:tcW w:w="0" w:type="auto"/>
            <w:shd w:val="clear" w:color="auto" w:fill="auto"/>
          </w:tcPr>
          <w:p w14:paraId="5EA28500" w14:textId="77777777" w:rsidR="003C66EB" w:rsidRDefault="003C66EB">
            <w:pPr>
              <w:rPr>
                <w:rFonts w:ascii="宋体"/>
                <w:vanish/>
              </w:rPr>
            </w:pPr>
          </w:p>
        </w:tc>
        <w:tc>
          <w:tcPr>
            <w:tcW w:w="0" w:type="auto"/>
            <w:shd w:val="clear" w:color="auto" w:fill="auto"/>
          </w:tcPr>
          <w:p w14:paraId="5EA28501" w14:textId="77777777" w:rsidR="003C66EB" w:rsidRDefault="003C66EB">
            <w:pPr>
              <w:rPr>
                <w:rFonts w:ascii="宋体"/>
                <w:vanish/>
              </w:rPr>
            </w:pPr>
          </w:p>
        </w:tc>
      </w:tr>
      <w:tr w:rsidR="003C66EB" w14:paraId="5EA28508" w14:textId="77777777">
        <w:trPr>
          <w:jc w:val="center"/>
          <w:hidden/>
        </w:trPr>
        <w:tc>
          <w:tcPr>
            <w:tcW w:w="0" w:type="auto"/>
            <w:gridSpan w:val="3"/>
            <w:shd w:val="clear" w:color="auto" w:fill="auto"/>
          </w:tcPr>
          <w:p w14:paraId="5EA28503" w14:textId="77777777" w:rsidR="003C66EB" w:rsidRDefault="003C66EB">
            <w:pPr>
              <w:rPr>
                <w:rFonts w:ascii="宋体"/>
                <w:vanish/>
              </w:rPr>
            </w:pPr>
          </w:p>
        </w:tc>
        <w:tc>
          <w:tcPr>
            <w:tcW w:w="0" w:type="auto"/>
            <w:gridSpan w:val="3"/>
            <w:shd w:val="clear" w:color="auto" w:fill="auto"/>
          </w:tcPr>
          <w:p w14:paraId="5EA28504" w14:textId="77777777" w:rsidR="003C66EB" w:rsidRDefault="003C66EB">
            <w:pPr>
              <w:rPr>
                <w:rFonts w:ascii="宋体"/>
                <w:vanish/>
              </w:rPr>
            </w:pPr>
          </w:p>
        </w:tc>
        <w:tc>
          <w:tcPr>
            <w:tcW w:w="0" w:type="auto"/>
            <w:shd w:val="clear" w:color="auto" w:fill="auto"/>
          </w:tcPr>
          <w:p w14:paraId="5EA28505" w14:textId="77777777" w:rsidR="003C66EB" w:rsidRDefault="003C66EB">
            <w:pPr>
              <w:rPr>
                <w:rFonts w:ascii="宋体"/>
                <w:vanish/>
              </w:rPr>
            </w:pPr>
          </w:p>
        </w:tc>
        <w:tc>
          <w:tcPr>
            <w:tcW w:w="0" w:type="auto"/>
            <w:shd w:val="clear" w:color="auto" w:fill="auto"/>
          </w:tcPr>
          <w:p w14:paraId="5EA28506" w14:textId="77777777" w:rsidR="003C66EB" w:rsidRDefault="003C66EB">
            <w:pPr>
              <w:rPr>
                <w:rFonts w:ascii="宋体"/>
                <w:vanish/>
              </w:rPr>
            </w:pPr>
          </w:p>
        </w:tc>
        <w:tc>
          <w:tcPr>
            <w:tcW w:w="0" w:type="auto"/>
            <w:shd w:val="clear" w:color="auto" w:fill="auto"/>
          </w:tcPr>
          <w:p w14:paraId="5EA28507" w14:textId="77777777" w:rsidR="003C66EB" w:rsidRDefault="003C66EB">
            <w:pPr>
              <w:rPr>
                <w:rFonts w:ascii="宋体"/>
                <w:vanish/>
              </w:rPr>
            </w:pPr>
          </w:p>
        </w:tc>
      </w:tr>
      <w:tr w:rsidR="003C66EB" w14:paraId="5EA2850E" w14:textId="77777777">
        <w:trPr>
          <w:jc w:val="center"/>
          <w:hidden/>
        </w:trPr>
        <w:tc>
          <w:tcPr>
            <w:tcW w:w="0" w:type="auto"/>
            <w:gridSpan w:val="3"/>
            <w:shd w:val="clear" w:color="auto" w:fill="auto"/>
          </w:tcPr>
          <w:p w14:paraId="5EA28509" w14:textId="77777777" w:rsidR="003C66EB" w:rsidRDefault="003C66EB">
            <w:pPr>
              <w:rPr>
                <w:rFonts w:ascii="宋体"/>
                <w:vanish/>
              </w:rPr>
            </w:pPr>
          </w:p>
        </w:tc>
        <w:tc>
          <w:tcPr>
            <w:tcW w:w="0" w:type="auto"/>
            <w:gridSpan w:val="3"/>
            <w:shd w:val="clear" w:color="auto" w:fill="auto"/>
          </w:tcPr>
          <w:p w14:paraId="5EA2850A" w14:textId="77777777" w:rsidR="003C66EB" w:rsidRDefault="003C66EB">
            <w:pPr>
              <w:rPr>
                <w:rFonts w:ascii="宋体"/>
                <w:vanish/>
              </w:rPr>
            </w:pPr>
          </w:p>
        </w:tc>
        <w:tc>
          <w:tcPr>
            <w:tcW w:w="0" w:type="auto"/>
            <w:shd w:val="clear" w:color="auto" w:fill="auto"/>
          </w:tcPr>
          <w:p w14:paraId="5EA2850B" w14:textId="77777777" w:rsidR="003C66EB" w:rsidRDefault="003C66EB">
            <w:pPr>
              <w:rPr>
                <w:rFonts w:ascii="宋体"/>
                <w:vanish/>
              </w:rPr>
            </w:pPr>
          </w:p>
        </w:tc>
        <w:tc>
          <w:tcPr>
            <w:tcW w:w="0" w:type="auto"/>
            <w:shd w:val="clear" w:color="auto" w:fill="auto"/>
          </w:tcPr>
          <w:p w14:paraId="5EA2850C" w14:textId="77777777" w:rsidR="003C66EB" w:rsidRDefault="003C66EB">
            <w:pPr>
              <w:rPr>
                <w:rFonts w:ascii="宋体"/>
                <w:vanish/>
              </w:rPr>
            </w:pPr>
          </w:p>
        </w:tc>
        <w:tc>
          <w:tcPr>
            <w:tcW w:w="0" w:type="auto"/>
            <w:shd w:val="clear" w:color="auto" w:fill="auto"/>
          </w:tcPr>
          <w:p w14:paraId="5EA2850D" w14:textId="77777777" w:rsidR="003C66EB" w:rsidRDefault="003C66EB">
            <w:pPr>
              <w:rPr>
                <w:rFonts w:ascii="宋体"/>
                <w:vanish/>
              </w:rPr>
            </w:pPr>
          </w:p>
        </w:tc>
      </w:tr>
      <w:tr w:rsidR="003C66EB" w14:paraId="5EA28514" w14:textId="77777777">
        <w:trPr>
          <w:jc w:val="center"/>
          <w:hidden/>
        </w:trPr>
        <w:tc>
          <w:tcPr>
            <w:tcW w:w="0" w:type="auto"/>
            <w:gridSpan w:val="3"/>
            <w:shd w:val="clear" w:color="auto" w:fill="auto"/>
          </w:tcPr>
          <w:p w14:paraId="5EA2850F" w14:textId="77777777" w:rsidR="003C66EB" w:rsidRDefault="003C66EB">
            <w:pPr>
              <w:rPr>
                <w:rFonts w:ascii="宋体"/>
                <w:vanish/>
              </w:rPr>
            </w:pPr>
          </w:p>
        </w:tc>
        <w:tc>
          <w:tcPr>
            <w:tcW w:w="0" w:type="auto"/>
            <w:gridSpan w:val="3"/>
            <w:shd w:val="clear" w:color="auto" w:fill="auto"/>
          </w:tcPr>
          <w:p w14:paraId="5EA28510" w14:textId="77777777" w:rsidR="003C66EB" w:rsidRDefault="003C66EB">
            <w:pPr>
              <w:rPr>
                <w:rFonts w:ascii="宋体"/>
                <w:vanish/>
              </w:rPr>
            </w:pPr>
          </w:p>
        </w:tc>
        <w:tc>
          <w:tcPr>
            <w:tcW w:w="0" w:type="auto"/>
            <w:shd w:val="clear" w:color="auto" w:fill="auto"/>
          </w:tcPr>
          <w:p w14:paraId="5EA28511" w14:textId="77777777" w:rsidR="003C66EB" w:rsidRDefault="003C66EB">
            <w:pPr>
              <w:rPr>
                <w:rFonts w:ascii="宋体"/>
                <w:vanish/>
              </w:rPr>
            </w:pPr>
          </w:p>
        </w:tc>
        <w:tc>
          <w:tcPr>
            <w:tcW w:w="0" w:type="auto"/>
            <w:shd w:val="clear" w:color="auto" w:fill="auto"/>
          </w:tcPr>
          <w:p w14:paraId="5EA28512" w14:textId="77777777" w:rsidR="003C66EB" w:rsidRDefault="003C66EB">
            <w:pPr>
              <w:rPr>
                <w:rFonts w:ascii="宋体"/>
                <w:vanish/>
              </w:rPr>
            </w:pPr>
          </w:p>
        </w:tc>
        <w:tc>
          <w:tcPr>
            <w:tcW w:w="0" w:type="auto"/>
            <w:shd w:val="clear" w:color="auto" w:fill="auto"/>
          </w:tcPr>
          <w:p w14:paraId="5EA28513" w14:textId="77777777" w:rsidR="003C66EB" w:rsidRDefault="003C66EB">
            <w:pPr>
              <w:rPr>
                <w:rFonts w:ascii="宋体"/>
                <w:vanish/>
              </w:rPr>
            </w:pPr>
          </w:p>
        </w:tc>
      </w:tr>
      <w:tr w:rsidR="003C66EB" w14:paraId="5EA2851A" w14:textId="77777777">
        <w:trPr>
          <w:jc w:val="center"/>
          <w:hidden/>
        </w:trPr>
        <w:tc>
          <w:tcPr>
            <w:tcW w:w="0" w:type="auto"/>
            <w:gridSpan w:val="3"/>
            <w:shd w:val="clear" w:color="auto" w:fill="auto"/>
          </w:tcPr>
          <w:p w14:paraId="5EA28515" w14:textId="77777777" w:rsidR="003C66EB" w:rsidRDefault="003C66EB">
            <w:pPr>
              <w:rPr>
                <w:rFonts w:ascii="宋体"/>
                <w:vanish/>
              </w:rPr>
            </w:pPr>
          </w:p>
        </w:tc>
        <w:tc>
          <w:tcPr>
            <w:tcW w:w="0" w:type="auto"/>
            <w:gridSpan w:val="3"/>
            <w:shd w:val="clear" w:color="auto" w:fill="auto"/>
          </w:tcPr>
          <w:p w14:paraId="5EA28516" w14:textId="77777777" w:rsidR="003C66EB" w:rsidRDefault="003C66EB">
            <w:pPr>
              <w:rPr>
                <w:rFonts w:ascii="宋体"/>
                <w:vanish/>
              </w:rPr>
            </w:pPr>
          </w:p>
        </w:tc>
        <w:tc>
          <w:tcPr>
            <w:tcW w:w="0" w:type="auto"/>
            <w:shd w:val="clear" w:color="auto" w:fill="auto"/>
          </w:tcPr>
          <w:p w14:paraId="5EA28517" w14:textId="77777777" w:rsidR="003C66EB" w:rsidRDefault="003C66EB">
            <w:pPr>
              <w:rPr>
                <w:rFonts w:ascii="宋体"/>
                <w:vanish/>
              </w:rPr>
            </w:pPr>
          </w:p>
        </w:tc>
        <w:tc>
          <w:tcPr>
            <w:tcW w:w="0" w:type="auto"/>
            <w:shd w:val="clear" w:color="auto" w:fill="auto"/>
          </w:tcPr>
          <w:p w14:paraId="5EA28518" w14:textId="77777777" w:rsidR="003C66EB" w:rsidRDefault="003C66EB">
            <w:pPr>
              <w:rPr>
                <w:rFonts w:ascii="宋体"/>
                <w:vanish/>
              </w:rPr>
            </w:pPr>
          </w:p>
        </w:tc>
        <w:tc>
          <w:tcPr>
            <w:tcW w:w="0" w:type="auto"/>
            <w:shd w:val="clear" w:color="auto" w:fill="auto"/>
          </w:tcPr>
          <w:p w14:paraId="5EA28519" w14:textId="77777777" w:rsidR="003C66EB" w:rsidRDefault="003C66EB">
            <w:pPr>
              <w:rPr>
                <w:rFonts w:ascii="宋体"/>
                <w:vanish/>
              </w:rPr>
            </w:pPr>
          </w:p>
        </w:tc>
      </w:tr>
      <w:tr w:rsidR="003C66EB" w14:paraId="5EA28521"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5EA2851B" w14:textId="77777777" w:rsidR="003C66EB" w:rsidRDefault="00D96C4E">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5EA2851C" w14:textId="77777777" w:rsidR="003C66EB" w:rsidRDefault="00D96C4E">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security backed by a pool of debt, primarily senior secured leveraged loans. CLOs are similar to collateralized mortgage obligations, except for the different type of underlying loan. With a CLO, the investor rece</w:t>
            </w:r>
            <w:r>
              <w:rPr>
                <w:rFonts w:ascii="Arial" w:eastAsia="宋体" w:hAnsi="Arial" w:cs="Arial"/>
                <w:color w:val="000000"/>
                <w:sz w:val="16"/>
                <w:szCs w:val="16"/>
              </w:rPr>
              <w:t>ives scheduled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 to generate pro</w:t>
            </w:r>
            <w:r>
              <w:rPr>
                <w:rFonts w:ascii="Arial" w:eastAsia="宋体" w:hAnsi="Arial" w:cs="Arial"/>
                <w:color w:val="000000"/>
                <w:sz w:val="16"/>
                <w:szCs w:val="16"/>
              </w:rPr>
              <w:t>fit from capital gains or rental income. CRE loans are term loans secured by commercial and multifamily properties. We seek CRE loans with strong competitive positions in major domestic markets, stable cash flows, modest leverage and experienced institutio</w:t>
            </w:r>
            <w:r>
              <w:rPr>
                <w:rFonts w:ascii="Arial" w:eastAsia="宋体" w:hAnsi="Arial" w:cs="Arial"/>
                <w:color w:val="000000"/>
                <w:sz w:val="16"/>
                <w:szCs w:val="16"/>
              </w:rPr>
              <w:t>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 which essentia</w:t>
            </w:r>
            <w:r>
              <w:rPr>
                <w:rFonts w:ascii="Arial" w:eastAsia="宋体" w:hAnsi="Arial" w:cs="Arial"/>
                <w:color w:val="000000"/>
                <w:sz w:val="16"/>
                <w:szCs w:val="16"/>
              </w:rPr>
              <w:t xml:space="preserve">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with the added char</w:t>
            </w:r>
            <w:r>
              <w:rPr>
                <w:rFonts w:ascii="Arial" w:eastAsia="宋体" w:hAnsi="Arial" w:cs="Arial"/>
                <w:color w:val="000000"/>
                <w:sz w:val="16"/>
                <w:szCs w:val="16"/>
              </w:rPr>
              <w:t>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based on a discounte</w:t>
            </w:r>
            <w:r>
              <w:rPr>
                <w:rFonts w:ascii="Arial" w:eastAsia="宋体" w:hAnsi="Arial" w:cs="Arial"/>
                <w:color w:val="000000"/>
                <w:sz w:val="16"/>
                <w:szCs w:val="16"/>
              </w:rPr>
              <w:t>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A type of exchange-traded investment product that offer investors a way to pool their money in a fund that makes investments in stocks, bonds, or other assets and, in return, to receive an interest in that investme</w:t>
            </w:r>
            <w:r>
              <w:rPr>
                <w:rFonts w:ascii="Arial" w:eastAsia="宋体" w:hAnsi="Arial" w:cs="Arial"/>
                <w:color w:val="000000"/>
                <w:sz w:val="16"/>
                <w:szCs w:val="16"/>
              </w:rPr>
              <w:t>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final rule. It can be def</w:t>
            </w:r>
            <w:r>
              <w:rPr>
                <w:rFonts w:ascii="Arial" w:eastAsia="宋体" w:hAnsi="Arial" w:cs="Arial"/>
                <w:color w:val="000000"/>
                <w:sz w:val="16"/>
                <w:szCs w:val="16"/>
              </w:rPr>
              <w:t>ined as the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disorderly failure, because of its size, complexity and systemic interconnectedness, wou</w:t>
            </w:r>
            <w:r>
              <w:rPr>
                <w:rFonts w:ascii="Arial" w:eastAsia="宋体" w:hAnsi="Arial" w:cs="Arial"/>
                <w:color w:val="000000"/>
                <w:sz w:val="16"/>
                <w:szCs w:val="16"/>
              </w:rPr>
              <w:t>ld cause significant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held-to-maturity only if w</w:t>
            </w:r>
            <w:r>
              <w:rPr>
                <w:rFonts w:ascii="Arial" w:eastAsia="宋体" w:hAnsi="Arial" w:cs="Arial"/>
                <w:color w:val="000000"/>
                <w:sz w:val="16"/>
                <w:szCs w:val="16"/>
              </w:rPr>
              <w:t>e have the positive intent and ability to hold those securities to maturity. Investments in debt securities classified as held-to-maturity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5EA2851D" w14:textId="77777777" w:rsidR="003C66EB" w:rsidRDefault="00D96C4E">
            <w:pPr>
              <w:spacing w:after="240"/>
              <w:textAlignment w:val="top"/>
            </w:pPr>
            <w:r>
              <w:rPr>
                <w:rFonts w:ascii="Arial" w:eastAsia="宋体" w:hAnsi="Arial" w:cs="Arial"/>
                <w:b/>
                <w:bCs/>
                <w:color w:val="000000"/>
                <w:sz w:val="16"/>
                <w:szCs w:val="16"/>
              </w:rPr>
              <w:t>High-quality liquid assets:</w:t>
            </w:r>
            <w:r>
              <w:rPr>
                <w:rFonts w:ascii="Arial" w:eastAsia="宋体" w:hAnsi="Arial" w:cs="Arial"/>
                <w:color w:val="000000"/>
                <w:sz w:val="16"/>
                <w:szCs w:val="16"/>
              </w:rPr>
              <w:t xml:space="preserve"> Cash </w:t>
            </w:r>
            <w:r>
              <w:rPr>
                <w:rFonts w:ascii="Arial" w:eastAsia="宋体" w:hAnsi="Arial" w:cs="Arial"/>
                <w:color w:val="000000"/>
                <w:sz w:val="16"/>
                <w:szCs w:val="16"/>
              </w:rPr>
              <w:t>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counterparties with strong credit quality and low expected credit risk and probab</w:t>
            </w:r>
            <w:r>
              <w:rPr>
                <w:rFonts w:ascii="Arial" w:eastAsia="宋体" w:hAnsi="Arial" w:cs="Arial"/>
                <w:color w:val="000000"/>
                <w:sz w:val="16"/>
                <w:szCs w:val="16"/>
              </w:rPr>
              <w:t>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high-quality liquid assets divided by expected total net cash outflows ove</w:t>
            </w:r>
            <w:r>
              <w:rPr>
                <w:rFonts w:ascii="Arial" w:eastAsia="宋体" w:hAnsi="Arial" w:cs="Arial"/>
                <w:color w:val="000000"/>
                <w:sz w:val="16"/>
                <w:szCs w:val="16"/>
              </w:rPr>
              <w:t>r a 30-day stress period. A Basel III framework requirement for banks and bank holding companies to measure liquidity, it is designed to ensure that certain banking institutions, including us, maintain a minimum amount of unencumbered HQLA sufficient to wi</w:t>
            </w:r>
            <w:r>
              <w:rPr>
                <w:rFonts w:ascii="Arial" w:eastAsia="宋体" w:hAnsi="Arial" w:cs="Arial"/>
                <w:color w:val="000000"/>
                <w:sz w:val="16"/>
                <w:szCs w:val="16"/>
              </w:rPr>
              <w:t xml:space="preserve">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w:t>
            </w:r>
            <w:r>
              <w:rPr>
                <w:rFonts w:ascii="Arial" w:eastAsia="宋体" w:hAnsi="Arial" w:cs="Arial"/>
                <w:b/>
                <w:bCs/>
                <w:color w:val="000000"/>
                <w:sz w:val="16"/>
                <w:szCs w:val="16"/>
              </w:rPr>
              <w:t>ing ratio:</w:t>
            </w:r>
            <w:r>
              <w:rPr>
                <w:rFonts w:ascii="Arial" w:eastAsia="宋体" w:hAnsi="Arial" w:cs="Arial"/>
                <w:color w:val="000000"/>
                <w:sz w:val="16"/>
                <w:szCs w:val="16"/>
              </w:rPr>
              <w:t xml:space="preserve"> The ratio of the amount of available stable funding relative to the amount of required stable funding. This ratio should be equal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 a security whos</w:t>
            </w:r>
            <w:r>
              <w:rPr>
                <w:rFonts w:ascii="Arial" w:eastAsia="宋体" w:hAnsi="Arial" w:cs="Arial"/>
                <w:color w:val="000000"/>
                <w:sz w:val="16"/>
                <w:szCs w:val="16"/>
              </w:rPr>
              <w:t>e fair value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measure of the likelihood that a credit obligor will enter into default status</w:t>
            </w:r>
            <w:r>
              <w:rPr>
                <w:rFonts w:ascii="Arial" w:eastAsia="宋体" w:hAnsi="Arial" w:cs="Arial"/>
                <w:color w:val="000000"/>
                <w:sz w:val="16"/>
                <w:szCs w:val="16"/>
              </w:rPr>
              <w: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 any other contract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w:t>
            </w:r>
            <w:r>
              <w:rPr>
                <w:rFonts w:ascii="Arial" w:eastAsia="宋体" w:hAnsi="Arial" w:cs="Arial"/>
                <w:color w:val="000000"/>
                <w:sz w:val="16"/>
                <w:szCs w:val="16"/>
              </w:rPr>
              <w:t xml:space="preserve">used to quantify risk inherent in our on and off-balance sheet assets by adjusting the asset value for risk. RWA is used in the calculation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 with potential </w:t>
            </w:r>
            <w:r>
              <w:rPr>
                <w:rFonts w:ascii="Arial" w:eastAsia="宋体" w:hAnsi="Arial" w:cs="Arial"/>
                <w:color w:val="000000"/>
                <w:sz w:val="16"/>
                <w:szCs w:val="16"/>
              </w:rPr>
              <w:t>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uncertainties or exposure to business, financial, or economic downturns. However, these cou</w:t>
            </w:r>
            <w:r>
              <w:rPr>
                <w:rFonts w:ascii="Arial" w:eastAsia="宋体" w:hAnsi="Arial" w:cs="Arial"/>
                <w:color w:val="000000"/>
                <w:sz w:val="16"/>
                <w:szCs w:val="16"/>
              </w:rPr>
              <w:t>nterparties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consist of counterparties with well-defined weakness that jeopardizes repayment with the po</w:t>
            </w:r>
            <w:r>
              <w:rPr>
                <w:rFonts w:ascii="Arial" w:eastAsia="宋体" w:hAnsi="Arial" w:cs="Arial"/>
                <w:color w:val="000000"/>
                <w:sz w:val="16"/>
                <w:szCs w:val="16"/>
              </w:rPr>
              <w:t xml:space="preserve">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w:t>
            </w:r>
            <w:r>
              <w:rPr>
                <w:rFonts w:ascii="Arial" w:eastAsia="宋体" w:hAnsi="Arial" w:cs="Arial"/>
                <w:color w:val="000000"/>
                <w:sz w:val="16"/>
                <w:szCs w:val="16"/>
              </w:rPr>
              <w:t>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in value of a portfolio that could occur in normal markets condition, over a 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w:t>
            </w:r>
            <w:r>
              <w:rPr>
                <w:rFonts w:ascii="Arial" w:eastAsia="宋体" w:hAnsi="Arial" w:cs="Arial"/>
                <w:color w:val="000000"/>
                <w:sz w:val="16"/>
                <w:szCs w:val="16"/>
              </w:rPr>
              <w:t>y investment at risk to permit the entity to finance its activities without additional financial support from other parties; (2) has equity owners that lack the right to make significant decisions affecting the entity’s operations; and/or (3) has equity ow</w:t>
            </w:r>
            <w:r>
              <w:rPr>
                <w:rFonts w:ascii="Arial" w:eastAsia="宋体" w:hAnsi="Arial" w:cs="Arial"/>
                <w:color w:val="000000"/>
                <w:sz w:val="16"/>
                <w:szCs w:val="16"/>
              </w:rPr>
              <w:t>ners that do not have an obligation to absorb or the right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tcPr>
          <w:p w14:paraId="5EA2851E" w14:textId="77777777" w:rsidR="003C66EB" w:rsidRDefault="003C66EB">
            <w:pPr>
              <w:rPr>
                <w:rFonts w:ascii="宋体"/>
                <w:vanish/>
              </w:rPr>
            </w:pPr>
          </w:p>
        </w:tc>
        <w:tc>
          <w:tcPr>
            <w:tcW w:w="0" w:type="auto"/>
            <w:shd w:val="clear" w:color="auto" w:fill="auto"/>
          </w:tcPr>
          <w:p w14:paraId="5EA2851F" w14:textId="77777777" w:rsidR="003C66EB" w:rsidRDefault="003C66EB">
            <w:pPr>
              <w:rPr>
                <w:rFonts w:ascii="宋体"/>
                <w:vanish/>
              </w:rPr>
            </w:pPr>
          </w:p>
        </w:tc>
        <w:tc>
          <w:tcPr>
            <w:tcW w:w="0" w:type="auto"/>
            <w:shd w:val="clear" w:color="auto" w:fill="auto"/>
          </w:tcPr>
          <w:p w14:paraId="5EA28520" w14:textId="77777777" w:rsidR="003C66EB" w:rsidRDefault="003C66EB">
            <w:pPr>
              <w:rPr>
                <w:rFonts w:ascii="宋体"/>
                <w:vanish/>
              </w:rPr>
            </w:pPr>
          </w:p>
        </w:tc>
      </w:tr>
    </w:tbl>
    <w:p w14:paraId="5EA28522" w14:textId="77777777" w:rsidR="003C66EB" w:rsidRDefault="00D96C4E">
      <w:pPr>
        <w:ind w:firstLine="450"/>
        <w:jc w:val="right"/>
      </w:pPr>
      <w:r>
        <w:rPr>
          <w:rFonts w:ascii="Arial" w:eastAsia="宋体" w:hAnsi="Arial" w:cs="Arial"/>
          <w:color w:val="000000"/>
          <w:sz w:val="18"/>
          <w:szCs w:val="18"/>
        </w:rPr>
        <w:t>State Street Corporation | 88</w:t>
      </w:r>
    </w:p>
    <w:p w14:paraId="5EA28523" w14:textId="77777777" w:rsidR="003C66EB" w:rsidRDefault="003C66EB">
      <w:pPr>
        <w:ind w:firstLine="450"/>
        <w:jc w:val="center"/>
      </w:pPr>
    </w:p>
    <w:p w14:paraId="5EA28524" w14:textId="77777777" w:rsidR="003C66EB" w:rsidRDefault="00D96C4E">
      <w:r>
        <w:pict w14:anchorId="5EA28808">
          <v:rect id="_x0000_i1112" style="width:415.3pt;height:1.5pt" o:hralign="center" o:hrstd="t" o:hr="t" fillcolor="#a0a0a0" stroked="f"/>
        </w:pict>
      </w:r>
    </w:p>
    <w:p w14:paraId="5EA28525" w14:textId="77777777" w:rsidR="003C66EB" w:rsidRDefault="003C66EB">
      <w:pPr>
        <w:ind w:firstLine="450"/>
      </w:pPr>
    </w:p>
    <w:p w14:paraId="5EA28526" w14:textId="77777777" w:rsidR="003C66EB" w:rsidRDefault="003C66EB">
      <w:pPr>
        <w:ind w:firstLine="450"/>
        <w:jc w:val="center"/>
      </w:pPr>
    </w:p>
    <w:p w14:paraId="5EA28527" w14:textId="77777777" w:rsidR="003C66EB" w:rsidRDefault="003C66EB">
      <w:pPr>
        <w:jc w:val="both"/>
      </w:pPr>
    </w:p>
    <w:p w14:paraId="5EA28528" w14:textId="77777777" w:rsidR="003C66EB" w:rsidRDefault="00D96C4E">
      <w:pPr>
        <w:jc w:val="both"/>
      </w:pPr>
      <w:r>
        <w:rPr>
          <w:rFonts w:ascii="Arial" w:eastAsia="宋体" w:hAnsi="Arial" w:cs="Arial"/>
          <w:b/>
          <w:bCs/>
          <w:color w:val="000000"/>
          <w:sz w:val="20"/>
          <w:szCs w:val="20"/>
        </w:rPr>
        <w:t>PART2. OTHER INFORMATION</w:t>
      </w:r>
    </w:p>
    <w:p w14:paraId="5EA28529" w14:textId="77777777" w:rsidR="003C66EB" w:rsidRDefault="003C66EB">
      <w:pPr>
        <w:ind w:firstLine="450"/>
        <w:jc w:val="both"/>
      </w:pPr>
    </w:p>
    <w:p w14:paraId="5EA2852A" w14:textId="77777777" w:rsidR="003C66EB" w:rsidRDefault="00D96C4E">
      <w:pPr>
        <w:jc w:val="both"/>
      </w:pPr>
      <w:r>
        <w:rPr>
          <w:rFonts w:ascii="Arial" w:eastAsia="宋体" w:hAnsi="Arial" w:cs="Arial"/>
          <w:b/>
          <w:bCs/>
          <w:color w:val="000000"/>
          <w:sz w:val="20"/>
          <w:szCs w:val="20"/>
        </w:rPr>
        <w:t xml:space="preserve">ITEM 2.     UNREGISTERED SALES OF EQUITY SECURITIES AND USE OF </w:t>
      </w:r>
      <w:r>
        <w:rPr>
          <w:rFonts w:ascii="Arial" w:eastAsia="宋体" w:hAnsi="Arial" w:cs="Arial"/>
          <w:b/>
          <w:bCs/>
          <w:color w:val="000000"/>
          <w:sz w:val="20"/>
          <w:szCs w:val="20"/>
        </w:rPr>
        <w:t>PROCEEDS</w:t>
      </w:r>
    </w:p>
    <w:p w14:paraId="5EA2852B" w14:textId="77777777" w:rsidR="003C66EB" w:rsidRDefault="00D96C4E">
      <w:pPr>
        <w:spacing w:before="60"/>
        <w:ind w:firstLine="450"/>
        <w:jc w:val="both"/>
      </w:pPr>
      <w:r>
        <w:rPr>
          <w:rFonts w:ascii="Arial" w:eastAsia="宋体" w:hAnsi="Arial" w:cs="Arial"/>
          <w:color w:val="000000"/>
          <w:sz w:val="20"/>
          <w:szCs w:val="20"/>
        </w:rPr>
        <w:t>In June 2019, our Board approved a common stock purchase program authorizing the purchase of up to $2.0 billion of our common stock from July 1, 2019 through June 30, 2020 (the 2019 Program). On March 16, 2020, we, along with the other U.S. G-SIBs</w:t>
      </w:r>
      <w:r>
        <w:rPr>
          <w:rFonts w:ascii="Arial" w:eastAsia="宋体" w:hAnsi="Arial" w:cs="Arial"/>
          <w:color w:val="000000"/>
          <w:sz w:val="20"/>
          <w:szCs w:val="20"/>
        </w:rPr>
        <w:t>, suspended common share repurchases and maintained this suspension through the fourth quarter of 2020 in response to the COVID-19 pandemic. This suspension was consistent with limitations imposed by the Federal Reserve beginning in the second quarter of 2</w:t>
      </w:r>
      <w:r>
        <w:rPr>
          <w:rFonts w:ascii="Arial" w:eastAsia="宋体" w:hAnsi="Arial" w:cs="Arial"/>
          <w:color w:val="000000"/>
          <w:sz w:val="20"/>
          <w:szCs w:val="20"/>
        </w:rPr>
        <w:t xml:space="preserve">020. As a result, we had no repurchases of our common stock in the second, third or fourth quarters of 2020. </w:t>
      </w:r>
    </w:p>
    <w:p w14:paraId="5EA2852C" w14:textId="77777777" w:rsidR="003C66EB" w:rsidRDefault="00D96C4E">
      <w:pPr>
        <w:spacing w:before="60"/>
        <w:ind w:firstLine="450"/>
        <w:jc w:val="both"/>
      </w:pPr>
      <w:r>
        <w:rPr>
          <w:rFonts w:ascii="Arial" w:eastAsia="宋体" w:hAnsi="Arial" w:cs="Arial"/>
          <w:color w:val="000000"/>
          <w:sz w:val="20"/>
          <w:szCs w:val="20"/>
          <w:shd w:val="clear" w:color="auto" w:fill="FFFFFF"/>
        </w:rPr>
        <w:t>In December 2020, the Federal Reserve issued results of 2020 resubmission stress tests and authorized us to continue to pay common stock dividends</w:t>
      </w:r>
      <w:r>
        <w:rPr>
          <w:rFonts w:ascii="Arial" w:eastAsia="宋体" w:hAnsi="Arial" w:cs="Arial"/>
          <w:color w:val="000000"/>
          <w:sz w:val="20"/>
          <w:szCs w:val="20"/>
          <w:shd w:val="clear" w:color="auto" w:fill="FFFFFF"/>
        </w:rPr>
        <w:t xml:space="preserve"> at current levels and to resume repurchasing common shares in the first quarter of 2021. </w:t>
      </w:r>
      <w:r>
        <w:rPr>
          <w:rFonts w:ascii="Arial" w:eastAsia="宋体" w:hAnsi="Arial" w:cs="Arial"/>
          <w:color w:val="000000"/>
          <w:sz w:val="20"/>
          <w:szCs w:val="20"/>
        </w:rPr>
        <w:t>In January 2021, our Board authorized a share repurchase program for the purchase of up to $475 million of our common stock through March 31, 2021. In April 2021, our</w:t>
      </w:r>
      <w:r>
        <w:rPr>
          <w:rFonts w:ascii="Arial" w:eastAsia="宋体" w:hAnsi="Arial" w:cs="Arial"/>
          <w:color w:val="000000"/>
          <w:sz w:val="20"/>
          <w:szCs w:val="20"/>
        </w:rPr>
        <w:t xml:space="preserve"> Board authorized a share repurchase program for the purchase of up to $425 million of our common stock through June 30, 2021, consistent with the limit set by the Federal Reserve.</w:t>
      </w:r>
    </w:p>
    <w:p w14:paraId="5EA2852D" w14:textId="77777777" w:rsidR="003C66EB" w:rsidRDefault="00D96C4E">
      <w:pPr>
        <w:spacing w:before="60"/>
        <w:ind w:firstLine="450"/>
        <w:jc w:val="both"/>
      </w:pPr>
      <w:r>
        <w:rPr>
          <w:rFonts w:ascii="Arial" w:eastAsia="宋体" w:hAnsi="Arial" w:cs="Arial"/>
          <w:color w:val="000000"/>
          <w:sz w:val="20"/>
          <w:szCs w:val="20"/>
        </w:rPr>
        <w:t>Stock purchases may be made using various types of mechanisms, including op</w:t>
      </w:r>
      <w:r>
        <w:rPr>
          <w:rFonts w:ascii="Arial" w:eastAsia="宋体" w:hAnsi="Arial" w:cs="Arial"/>
          <w:color w:val="000000"/>
          <w:sz w:val="20"/>
          <w:szCs w:val="20"/>
        </w:rPr>
        <w:t>en market purchases, accelerated share repurchases or transactions off market, and may be made under Rule 10b5-1 trading programs. The timing of stock purchases, types of transactions and number of shares purchased will depend on several factors, including</w:t>
      </w:r>
      <w:r>
        <w:rPr>
          <w:rFonts w:ascii="Arial" w:eastAsia="宋体" w:hAnsi="Arial" w:cs="Arial"/>
          <w:color w:val="000000"/>
          <w:sz w:val="20"/>
          <w:szCs w:val="20"/>
        </w:rPr>
        <w:t xml:space="preserve"> market conditions and State Street’s capital positions, financial performance and investment opportunities. Our common stock purchase programs do not have specific price targets and may be suspended at any time. We may employ third-party broker/dealers to</w:t>
      </w:r>
      <w:r>
        <w:rPr>
          <w:rFonts w:ascii="Arial" w:eastAsia="宋体" w:hAnsi="Arial" w:cs="Arial"/>
          <w:color w:val="000000"/>
          <w:sz w:val="20"/>
          <w:szCs w:val="20"/>
        </w:rPr>
        <w:t xml:space="preserve"> acquire shares on the open market in connection with our common stock purchase programs. </w:t>
      </w:r>
    </w:p>
    <w:tbl>
      <w:tblPr>
        <w:tblW w:w="4993" w:type="pct"/>
        <w:tblCellMar>
          <w:top w:w="15" w:type="dxa"/>
          <w:left w:w="15" w:type="dxa"/>
          <w:bottom w:w="15" w:type="dxa"/>
          <w:right w:w="15" w:type="dxa"/>
        </w:tblCellMar>
        <w:tblLook w:val="04A0" w:firstRow="1" w:lastRow="0" w:firstColumn="1" w:lastColumn="0" w:noHBand="0" w:noVBand="1"/>
      </w:tblPr>
      <w:tblGrid>
        <w:gridCol w:w="50"/>
        <w:gridCol w:w="2388"/>
        <w:gridCol w:w="37"/>
        <w:gridCol w:w="55"/>
        <w:gridCol w:w="1242"/>
        <w:gridCol w:w="36"/>
        <w:gridCol w:w="36"/>
        <w:gridCol w:w="36"/>
        <w:gridCol w:w="36"/>
        <w:gridCol w:w="110"/>
        <w:gridCol w:w="1063"/>
        <w:gridCol w:w="36"/>
        <w:gridCol w:w="36"/>
        <w:gridCol w:w="36"/>
        <w:gridCol w:w="36"/>
        <w:gridCol w:w="52"/>
        <w:gridCol w:w="1343"/>
        <w:gridCol w:w="36"/>
        <w:gridCol w:w="36"/>
        <w:gridCol w:w="36"/>
        <w:gridCol w:w="36"/>
        <w:gridCol w:w="110"/>
        <w:gridCol w:w="1370"/>
        <w:gridCol w:w="36"/>
        <w:gridCol w:w="36"/>
      </w:tblGrid>
      <w:tr w:rsidR="003C66EB" w14:paraId="5EA28547" w14:textId="77777777">
        <w:tc>
          <w:tcPr>
            <w:tcW w:w="50" w:type="pct"/>
            <w:shd w:val="clear" w:color="auto" w:fill="auto"/>
          </w:tcPr>
          <w:p w14:paraId="5EA2852E" w14:textId="77777777" w:rsidR="003C66EB" w:rsidRDefault="003C66EB">
            <w:pPr>
              <w:rPr>
                <w:rFonts w:ascii="宋体"/>
              </w:rPr>
            </w:pPr>
          </w:p>
        </w:tc>
        <w:tc>
          <w:tcPr>
            <w:tcW w:w="1460" w:type="pct"/>
            <w:shd w:val="clear" w:color="auto" w:fill="auto"/>
          </w:tcPr>
          <w:p w14:paraId="5EA2852F" w14:textId="77777777" w:rsidR="003C66EB" w:rsidRDefault="003C66EB">
            <w:pPr>
              <w:rPr>
                <w:rFonts w:ascii="宋体"/>
              </w:rPr>
            </w:pPr>
          </w:p>
        </w:tc>
        <w:tc>
          <w:tcPr>
            <w:tcW w:w="5" w:type="pct"/>
            <w:shd w:val="clear" w:color="auto" w:fill="auto"/>
          </w:tcPr>
          <w:p w14:paraId="5EA28530" w14:textId="77777777" w:rsidR="003C66EB" w:rsidRDefault="003C66EB">
            <w:pPr>
              <w:rPr>
                <w:rFonts w:ascii="宋体"/>
              </w:rPr>
            </w:pPr>
          </w:p>
        </w:tc>
        <w:tc>
          <w:tcPr>
            <w:tcW w:w="50" w:type="pct"/>
            <w:shd w:val="clear" w:color="auto" w:fill="auto"/>
          </w:tcPr>
          <w:p w14:paraId="5EA28531" w14:textId="77777777" w:rsidR="003C66EB" w:rsidRDefault="003C66EB">
            <w:pPr>
              <w:rPr>
                <w:rFonts w:ascii="宋体"/>
              </w:rPr>
            </w:pPr>
          </w:p>
        </w:tc>
        <w:tc>
          <w:tcPr>
            <w:tcW w:w="772" w:type="pct"/>
            <w:shd w:val="clear" w:color="auto" w:fill="auto"/>
          </w:tcPr>
          <w:p w14:paraId="5EA28532" w14:textId="77777777" w:rsidR="003C66EB" w:rsidRDefault="003C66EB">
            <w:pPr>
              <w:rPr>
                <w:rFonts w:ascii="宋体"/>
              </w:rPr>
            </w:pPr>
          </w:p>
        </w:tc>
        <w:tc>
          <w:tcPr>
            <w:tcW w:w="5" w:type="pct"/>
            <w:shd w:val="clear" w:color="auto" w:fill="auto"/>
          </w:tcPr>
          <w:p w14:paraId="5EA28533" w14:textId="77777777" w:rsidR="003C66EB" w:rsidRDefault="003C66EB">
            <w:pPr>
              <w:rPr>
                <w:rFonts w:ascii="宋体"/>
              </w:rPr>
            </w:pPr>
          </w:p>
        </w:tc>
        <w:tc>
          <w:tcPr>
            <w:tcW w:w="5" w:type="pct"/>
            <w:shd w:val="clear" w:color="auto" w:fill="auto"/>
          </w:tcPr>
          <w:p w14:paraId="5EA28534" w14:textId="77777777" w:rsidR="003C66EB" w:rsidRDefault="003C66EB">
            <w:pPr>
              <w:rPr>
                <w:rFonts w:ascii="宋体"/>
              </w:rPr>
            </w:pPr>
          </w:p>
        </w:tc>
        <w:tc>
          <w:tcPr>
            <w:tcW w:w="26" w:type="pct"/>
            <w:shd w:val="clear" w:color="auto" w:fill="auto"/>
          </w:tcPr>
          <w:p w14:paraId="5EA28535" w14:textId="77777777" w:rsidR="003C66EB" w:rsidRDefault="003C66EB">
            <w:pPr>
              <w:rPr>
                <w:rFonts w:ascii="宋体"/>
              </w:rPr>
            </w:pPr>
          </w:p>
        </w:tc>
        <w:tc>
          <w:tcPr>
            <w:tcW w:w="5" w:type="pct"/>
            <w:shd w:val="clear" w:color="auto" w:fill="auto"/>
          </w:tcPr>
          <w:p w14:paraId="5EA28536" w14:textId="77777777" w:rsidR="003C66EB" w:rsidRDefault="003C66EB">
            <w:pPr>
              <w:rPr>
                <w:rFonts w:ascii="宋体"/>
              </w:rPr>
            </w:pPr>
          </w:p>
        </w:tc>
        <w:tc>
          <w:tcPr>
            <w:tcW w:w="50" w:type="pct"/>
            <w:shd w:val="clear" w:color="auto" w:fill="auto"/>
          </w:tcPr>
          <w:p w14:paraId="5EA28537" w14:textId="77777777" w:rsidR="003C66EB" w:rsidRDefault="003C66EB">
            <w:pPr>
              <w:rPr>
                <w:rFonts w:ascii="宋体"/>
              </w:rPr>
            </w:pPr>
          </w:p>
        </w:tc>
        <w:tc>
          <w:tcPr>
            <w:tcW w:w="677" w:type="pct"/>
            <w:shd w:val="clear" w:color="auto" w:fill="auto"/>
          </w:tcPr>
          <w:p w14:paraId="5EA28538" w14:textId="77777777" w:rsidR="003C66EB" w:rsidRDefault="003C66EB">
            <w:pPr>
              <w:rPr>
                <w:rFonts w:ascii="宋体"/>
              </w:rPr>
            </w:pPr>
          </w:p>
        </w:tc>
        <w:tc>
          <w:tcPr>
            <w:tcW w:w="5" w:type="pct"/>
            <w:shd w:val="clear" w:color="auto" w:fill="auto"/>
          </w:tcPr>
          <w:p w14:paraId="5EA28539" w14:textId="77777777" w:rsidR="003C66EB" w:rsidRDefault="003C66EB">
            <w:pPr>
              <w:rPr>
                <w:rFonts w:ascii="宋体"/>
              </w:rPr>
            </w:pPr>
          </w:p>
        </w:tc>
        <w:tc>
          <w:tcPr>
            <w:tcW w:w="5" w:type="pct"/>
            <w:shd w:val="clear" w:color="auto" w:fill="auto"/>
          </w:tcPr>
          <w:p w14:paraId="5EA2853A" w14:textId="77777777" w:rsidR="003C66EB" w:rsidRDefault="003C66EB">
            <w:pPr>
              <w:rPr>
                <w:rFonts w:ascii="宋体"/>
              </w:rPr>
            </w:pPr>
          </w:p>
        </w:tc>
        <w:tc>
          <w:tcPr>
            <w:tcW w:w="26" w:type="pct"/>
            <w:shd w:val="clear" w:color="auto" w:fill="auto"/>
          </w:tcPr>
          <w:p w14:paraId="5EA2853B" w14:textId="77777777" w:rsidR="003C66EB" w:rsidRDefault="003C66EB">
            <w:pPr>
              <w:rPr>
                <w:rFonts w:ascii="宋体"/>
              </w:rPr>
            </w:pPr>
          </w:p>
        </w:tc>
        <w:tc>
          <w:tcPr>
            <w:tcW w:w="5" w:type="pct"/>
            <w:shd w:val="clear" w:color="auto" w:fill="auto"/>
          </w:tcPr>
          <w:p w14:paraId="5EA2853C" w14:textId="77777777" w:rsidR="003C66EB" w:rsidRDefault="003C66EB">
            <w:pPr>
              <w:rPr>
                <w:rFonts w:ascii="宋体"/>
              </w:rPr>
            </w:pPr>
          </w:p>
        </w:tc>
        <w:tc>
          <w:tcPr>
            <w:tcW w:w="50" w:type="pct"/>
            <w:shd w:val="clear" w:color="auto" w:fill="auto"/>
          </w:tcPr>
          <w:p w14:paraId="5EA2853D" w14:textId="77777777" w:rsidR="003C66EB" w:rsidRDefault="003C66EB">
            <w:pPr>
              <w:rPr>
                <w:rFonts w:ascii="宋体"/>
              </w:rPr>
            </w:pPr>
          </w:p>
        </w:tc>
        <w:tc>
          <w:tcPr>
            <w:tcW w:w="845" w:type="pct"/>
            <w:shd w:val="clear" w:color="auto" w:fill="auto"/>
          </w:tcPr>
          <w:p w14:paraId="5EA2853E" w14:textId="77777777" w:rsidR="003C66EB" w:rsidRDefault="003C66EB">
            <w:pPr>
              <w:rPr>
                <w:rFonts w:ascii="宋体"/>
              </w:rPr>
            </w:pPr>
          </w:p>
        </w:tc>
        <w:tc>
          <w:tcPr>
            <w:tcW w:w="5" w:type="pct"/>
            <w:shd w:val="clear" w:color="auto" w:fill="auto"/>
          </w:tcPr>
          <w:p w14:paraId="5EA2853F" w14:textId="77777777" w:rsidR="003C66EB" w:rsidRDefault="003C66EB">
            <w:pPr>
              <w:rPr>
                <w:rFonts w:ascii="宋体"/>
              </w:rPr>
            </w:pPr>
          </w:p>
        </w:tc>
        <w:tc>
          <w:tcPr>
            <w:tcW w:w="5" w:type="pct"/>
            <w:shd w:val="clear" w:color="auto" w:fill="auto"/>
          </w:tcPr>
          <w:p w14:paraId="5EA28540" w14:textId="77777777" w:rsidR="003C66EB" w:rsidRDefault="003C66EB">
            <w:pPr>
              <w:rPr>
                <w:rFonts w:ascii="宋体"/>
              </w:rPr>
            </w:pPr>
          </w:p>
        </w:tc>
        <w:tc>
          <w:tcPr>
            <w:tcW w:w="26" w:type="pct"/>
            <w:shd w:val="clear" w:color="auto" w:fill="auto"/>
          </w:tcPr>
          <w:p w14:paraId="5EA28541" w14:textId="77777777" w:rsidR="003C66EB" w:rsidRDefault="003C66EB">
            <w:pPr>
              <w:rPr>
                <w:rFonts w:ascii="宋体"/>
              </w:rPr>
            </w:pPr>
          </w:p>
        </w:tc>
        <w:tc>
          <w:tcPr>
            <w:tcW w:w="5" w:type="pct"/>
            <w:shd w:val="clear" w:color="auto" w:fill="auto"/>
          </w:tcPr>
          <w:p w14:paraId="5EA28542" w14:textId="77777777" w:rsidR="003C66EB" w:rsidRDefault="003C66EB">
            <w:pPr>
              <w:rPr>
                <w:rFonts w:ascii="宋体"/>
              </w:rPr>
            </w:pPr>
          </w:p>
        </w:tc>
        <w:tc>
          <w:tcPr>
            <w:tcW w:w="50" w:type="pct"/>
            <w:shd w:val="clear" w:color="auto" w:fill="auto"/>
          </w:tcPr>
          <w:p w14:paraId="5EA28543" w14:textId="77777777" w:rsidR="003C66EB" w:rsidRDefault="003C66EB">
            <w:pPr>
              <w:rPr>
                <w:rFonts w:ascii="宋体"/>
              </w:rPr>
            </w:pPr>
          </w:p>
        </w:tc>
        <w:tc>
          <w:tcPr>
            <w:tcW w:w="860" w:type="pct"/>
            <w:shd w:val="clear" w:color="auto" w:fill="auto"/>
          </w:tcPr>
          <w:p w14:paraId="5EA28544" w14:textId="77777777" w:rsidR="003C66EB" w:rsidRDefault="003C66EB">
            <w:pPr>
              <w:rPr>
                <w:rFonts w:ascii="宋体"/>
              </w:rPr>
            </w:pPr>
          </w:p>
        </w:tc>
        <w:tc>
          <w:tcPr>
            <w:tcW w:w="5" w:type="pct"/>
            <w:shd w:val="clear" w:color="auto" w:fill="auto"/>
          </w:tcPr>
          <w:p w14:paraId="5EA28545" w14:textId="77777777" w:rsidR="003C66EB" w:rsidRDefault="003C66EB">
            <w:pPr>
              <w:rPr>
                <w:rFonts w:ascii="宋体"/>
              </w:rPr>
            </w:pPr>
          </w:p>
        </w:tc>
        <w:tc>
          <w:tcPr>
            <w:tcW w:w="0" w:type="auto"/>
            <w:shd w:val="clear" w:color="auto" w:fill="auto"/>
          </w:tcPr>
          <w:p w14:paraId="5EA28546" w14:textId="77777777" w:rsidR="003C66EB" w:rsidRDefault="003C66EB">
            <w:pPr>
              <w:rPr>
                <w:rFonts w:ascii="宋体"/>
                <w:vanish/>
              </w:rPr>
            </w:pPr>
          </w:p>
        </w:tc>
      </w:tr>
      <w:tr w:rsidR="003C66EB" w14:paraId="5EA28551" w14:textId="77777777">
        <w:tc>
          <w:tcPr>
            <w:tcW w:w="0" w:type="auto"/>
            <w:gridSpan w:val="3"/>
            <w:shd w:val="clear" w:color="auto" w:fill="auto"/>
            <w:tcMar>
              <w:top w:w="0" w:type="dxa"/>
              <w:left w:w="20" w:type="dxa"/>
              <w:bottom w:w="0" w:type="dxa"/>
              <w:right w:w="20" w:type="dxa"/>
            </w:tcMar>
          </w:tcPr>
          <w:p w14:paraId="5EA2854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549" w14:textId="77777777" w:rsidR="003C66EB" w:rsidRDefault="00D96C4E">
            <w:pPr>
              <w:jc w:val="center"/>
              <w:textAlignment w:val="bottom"/>
            </w:pPr>
            <w:r>
              <w:rPr>
                <w:rFonts w:ascii="Arial" w:eastAsia="宋体" w:hAnsi="Arial" w:cs="Arial"/>
                <w:b/>
                <w:bCs/>
                <w:color w:val="000000"/>
                <w:sz w:val="16"/>
                <w:szCs w:val="16"/>
              </w:rPr>
              <w:t>Total Number of Shares Purchased (In thousands)</w:t>
            </w:r>
          </w:p>
        </w:tc>
        <w:tc>
          <w:tcPr>
            <w:tcW w:w="0" w:type="auto"/>
            <w:gridSpan w:val="3"/>
            <w:shd w:val="clear" w:color="auto" w:fill="auto"/>
            <w:tcMar>
              <w:top w:w="0" w:type="dxa"/>
              <w:left w:w="20" w:type="dxa"/>
              <w:bottom w:w="0" w:type="dxa"/>
              <w:right w:w="20" w:type="dxa"/>
            </w:tcMar>
          </w:tcPr>
          <w:p w14:paraId="5EA2854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54B" w14:textId="77777777" w:rsidR="003C66EB" w:rsidRDefault="00D96C4E">
            <w:pPr>
              <w:jc w:val="center"/>
              <w:textAlignment w:val="bottom"/>
            </w:pPr>
            <w:r>
              <w:rPr>
                <w:rFonts w:ascii="Arial" w:eastAsia="宋体"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tcPr>
          <w:p w14:paraId="5EA2854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54D" w14:textId="77777777" w:rsidR="003C66EB" w:rsidRDefault="00D96C4E">
            <w:pPr>
              <w:jc w:val="center"/>
              <w:textAlignment w:val="bottom"/>
            </w:pPr>
            <w:r>
              <w:rPr>
                <w:rFonts w:ascii="Arial" w:eastAsia="宋体" w:hAnsi="Arial" w:cs="Arial"/>
                <w:b/>
                <w:bCs/>
                <w:color w:val="000000"/>
                <w:sz w:val="16"/>
                <w:szCs w:val="16"/>
              </w:rPr>
              <w:t>Total Number of Shares Purchased as Part of Publicly Announced Program (In thousands)</w:t>
            </w:r>
          </w:p>
        </w:tc>
        <w:tc>
          <w:tcPr>
            <w:tcW w:w="0" w:type="auto"/>
            <w:gridSpan w:val="3"/>
            <w:shd w:val="clear" w:color="auto" w:fill="auto"/>
            <w:tcMar>
              <w:top w:w="0" w:type="dxa"/>
              <w:left w:w="20" w:type="dxa"/>
              <w:bottom w:w="0" w:type="dxa"/>
              <w:right w:w="20" w:type="dxa"/>
            </w:tcMar>
          </w:tcPr>
          <w:p w14:paraId="5EA2854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54F" w14:textId="77777777" w:rsidR="003C66EB" w:rsidRDefault="00D96C4E">
            <w:pPr>
              <w:jc w:val="center"/>
              <w:textAlignment w:val="bottom"/>
            </w:pPr>
            <w:r>
              <w:rPr>
                <w:rFonts w:ascii="Arial" w:eastAsia="宋体" w:hAnsi="Arial" w:cs="Arial"/>
                <w:b/>
                <w:bCs/>
                <w:color w:val="000000"/>
                <w:sz w:val="16"/>
                <w:szCs w:val="16"/>
              </w:rPr>
              <w:t>Approximate Dollar Value of Shares That May Yet be P</w:t>
            </w:r>
            <w:r>
              <w:rPr>
                <w:rFonts w:ascii="Arial" w:eastAsia="宋体" w:hAnsi="Arial" w:cs="Arial"/>
                <w:b/>
                <w:bCs/>
                <w:color w:val="000000"/>
                <w:sz w:val="16"/>
                <w:szCs w:val="16"/>
              </w:rPr>
              <w:t>urchased Under Publicly Announced Program (In thousands)</w:t>
            </w:r>
          </w:p>
        </w:tc>
        <w:tc>
          <w:tcPr>
            <w:tcW w:w="0" w:type="auto"/>
            <w:shd w:val="clear" w:color="auto" w:fill="auto"/>
          </w:tcPr>
          <w:p w14:paraId="5EA28550" w14:textId="77777777" w:rsidR="003C66EB" w:rsidRDefault="003C66EB">
            <w:pPr>
              <w:rPr>
                <w:rFonts w:ascii="宋体"/>
                <w:vanish/>
              </w:rPr>
            </w:pPr>
          </w:p>
        </w:tc>
      </w:tr>
      <w:tr w:rsidR="003C66EB" w14:paraId="5EA2855B" w14:textId="77777777">
        <w:tc>
          <w:tcPr>
            <w:tcW w:w="0" w:type="auto"/>
            <w:gridSpan w:val="3"/>
            <w:shd w:val="clear" w:color="auto" w:fill="auto"/>
            <w:tcMar>
              <w:top w:w="40" w:type="dxa"/>
              <w:left w:w="20" w:type="dxa"/>
              <w:bottom w:w="40" w:type="dxa"/>
              <w:right w:w="20" w:type="dxa"/>
            </w:tcMar>
            <w:vAlign w:val="bottom"/>
          </w:tcPr>
          <w:p w14:paraId="5EA28552" w14:textId="77777777" w:rsidR="003C66EB" w:rsidRDefault="00D96C4E">
            <w:pPr>
              <w:textAlignment w:val="bottom"/>
            </w:pPr>
            <w:r>
              <w:rPr>
                <w:rFonts w:ascii="Arial" w:eastAsia="宋体" w:hAnsi="Arial" w:cs="Arial"/>
                <w:b/>
                <w:bCs/>
                <w:color w:val="000000"/>
                <w:sz w:val="16"/>
                <w:szCs w:val="16"/>
              </w:rPr>
              <w:t>Period:</w:t>
            </w:r>
          </w:p>
        </w:tc>
        <w:tc>
          <w:tcPr>
            <w:tcW w:w="0" w:type="auto"/>
            <w:gridSpan w:val="3"/>
            <w:tcBorders>
              <w:top w:val="single" w:sz="8" w:space="0" w:color="000000"/>
            </w:tcBorders>
            <w:shd w:val="clear" w:color="auto" w:fill="auto"/>
            <w:tcMar>
              <w:top w:w="0" w:type="dxa"/>
              <w:left w:w="20" w:type="dxa"/>
              <w:bottom w:w="0" w:type="dxa"/>
              <w:right w:w="20" w:type="dxa"/>
            </w:tcMar>
          </w:tcPr>
          <w:p w14:paraId="5EA2855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554"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55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556"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55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558"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559" w14:textId="77777777" w:rsidR="003C66EB" w:rsidRDefault="003C66EB">
            <w:pPr>
              <w:rPr>
                <w:rFonts w:ascii="宋体"/>
              </w:rPr>
            </w:pPr>
          </w:p>
        </w:tc>
        <w:tc>
          <w:tcPr>
            <w:tcW w:w="0" w:type="auto"/>
            <w:shd w:val="clear" w:color="auto" w:fill="auto"/>
          </w:tcPr>
          <w:p w14:paraId="5EA2855A" w14:textId="77777777" w:rsidR="003C66EB" w:rsidRDefault="003C66EB">
            <w:pPr>
              <w:rPr>
                <w:rFonts w:ascii="宋体"/>
                <w:vanish/>
              </w:rPr>
            </w:pPr>
          </w:p>
        </w:tc>
      </w:tr>
      <w:tr w:rsidR="003C66EB" w14:paraId="5EA2856B" w14:textId="77777777">
        <w:tc>
          <w:tcPr>
            <w:tcW w:w="0" w:type="auto"/>
            <w:gridSpan w:val="3"/>
            <w:shd w:val="clear" w:color="auto" w:fill="CCEEFF"/>
            <w:tcMar>
              <w:top w:w="40" w:type="dxa"/>
              <w:left w:w="20" w:type="dxa"/>
              <w:bottom w:w="40" w:type="dxa"/>
              <w:right w:w="20" w:type="dxa"/>
            </w:tcMar>
            <w:vAlign w:val="bottom"/>
          </w:tcPr>
          <w:p w14:paraId="5EA2855C" w14:textId="77777777" w:rsidR="003C66EB" w:rsidRDefault="00D96C4E">
            <w:pPr>
              <w:textAlignment w:val="bottom"/>
            </w:pPr>
            <w:r>
              <w:rPr>
                <w:rFonts w:ascii="Arial" w:eastAsia="宋体" w:hAnsi="Arial" w:cs="Arial"/>
                <w:color w:val="000000"/>
                <w:sz w:val="16"/>
                <w:szCs w:val="16"/>
              </w:rPr>
              <w:t>January 1 - January 31, 2021</w:t>
            </w:r>
          </w:p>
        </w:tc>
        <w:tc>
          <w:tcPr>
            <w:tcW w:w="0" w:type="auto"/>
            <w:gridSpan w:val="2"/>
            <w:shd w:val="clear" w:color="auto" w:fill="CCEEFF"/>
            <w:tcMar>
              <w:top w:w="40" w:type="dxa"/>
              <w:left w:w="20" w:type="dxa"/>
              <w:bottom w:w="40" w:type="dxa"/>
              <w:right w:w="0" w:type="dxa"/>
            </w:tcMar>
            <w:vAlign w:val="bottom"/>
          </w:tcPr>
          <w:p w14:paraId="5EA2855D" w14:textId="77777777" w:rsidR="003C66EB" w:rsidRDefault="00D96C4E">
            <w:pPr>
              <w:jc w:val="right"/>
              <w:textAlignment w:val="bottom"/>
            </w:pPr>
            <w:r>
              <w:rPr>
                <w:rFonts w:ascii="Arial" w:eastAsia="宋体" w:hAnsi="Arial" w:cs="Arial"/>
                <w:b/>
                <w:bCs/>
                <w:color w:val="000000"/>
                <w:sz w:val="16"/>
                <w:szCs w:val="16"/>
              </w:rPr>
              <w:t>1,375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5E"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55F"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8560"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A28561" w14:textId="77777777" w:rsidR="003C66EB" w:rsidRDefault="00D96C4E">
            <w:pPr>
              <w:jc w:val="right"/>
              <w:textAlignment w:val="bottom"/>
            </w:pPr>
            <w:r>
              <w:rPr>
                <w:rFonts w:ascii="Arial" w:eastAsia="宋体" w:hAnsi="Arial" w:cs="Arial"/>
                <w:b/>
                <w:bCs/>
                <w:color w:val="000000"/>
                <w:sz w:val="16"/>
                <w:szCs w:val="16"/>
              </w:rPr>
              <w:t>72.85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6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56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8564" w14:textId="77777777" w:rsidR="003C66EB" w:rsidRDefault="00D96C4E">
            <w:pPr>
              <w:jc w:val="right"/>
              <w:textAlignment w:val="bottom"/>
            </w:pPr>
            <w:r>
              <w:rPr>
                <w:rFonts w:ascii="Arial" w:eastAsia="宋体" w:hAnsi="Arial" w:cs="Arial"/>
                <w:b/>
                <w:bCs/>
                <w:color w:val="000000"/>
                <w:sz w:val="16"/>
                <w:szCs w:val="16"/>
              </w:rPr>
              <w:t>1,375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65"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566" w14:textId="77777777" w:rsidR="003C66EB" w:rsidRDefault="003C66EB">
            <w:pPr>
              <w:rPr>
                <w:rFonts w:ascii="宋体"/>
              </w:rPr>
            </w:pPr>
          </w:p>
        </w:tc>
        <w:tc>
          <w:tcPr>
            <w:tcW w:w="0" w:type="auto"/>
            <w:shd w:val="clear" w:color="auto" w:fill="CCEEFF"/>
            <w:tcMar>
              <w:top w:w="40" w:type="dxa"/>
              <w:left w:w="20" w:type="dxa"/>
              <w:bottom w:w="40" w:type="dxa"/>
              <w:right w:w="0" w:type="dxa"/>
            </w:tcMar>
            <w:vAlign w:val="bottom"/>
          </w:tcPr>
          <w:p w14:paraId="5EA28567"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A28568" w14:textId="77777777" w:rsidR="003C66EB" w:rsidRDefault="00D96C4E">
            <w:pPr>
              <w:jc w:val="right"/>
              <w:textAlignment w:val="bottom"/>
            </w:pPr>
            <w:r>
              <w:rPr>
                <w:rFonts w:ascii="Arial" w:eastAsia="宋体" w:hAnsi="Arial" w:cs="Arial"/>
                <w:b/>
                <w:bCs/>
                <w:color w:val="000000"/>
                <w:sz w:val="16"/>
                <w:szCs w:val="16"/>
              </w:rPr>
              <w:t>374,840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69" w14:textId="77777777" w:rsidR="003C66EB" w:rsidRDefault="003C66EB">
            <w:pPr>
              <w:jc w:val="right"/>
              <w:rPr>
                <w:rFonts w:ascii="宋体"/>
              </w:rPr>
            </w:pPr>
          </w:p>
        </w:tc>
        <w:tc>
          <w:tcPr>
            <w:tcW w:w="0" w:type="auto"/>
            <w:shd w:val="clear" w:color="auto" w:fill="auto"/>
          </w:tcPr>
          <w:p w14:paraId="5EA2856A" w14:textId="77777777" w:rsidR="003C66EB" w:rsidRDefault="003C66EB">
            <w:pPr>
              <w:rPr>
                <w:rFonts w:ascii="宋体"/>
                <w:vanish/>
              </w:rPr>
            </w:pPr>
          </w:p>
        </w:tc>
      </w:tr>
      <w:tr w:rsidR="003C66EB" w14:paraId="5EA28579" w14:textId="77777777">
        <w:tc>
          <w:tcPr>
            <w:tcW w:w="0" w:type="auto"/>
            <w:gridSpan w:val="3"/>
            <w:shd w:val="clear" w:color="auto" w:fill="FFFFFF"/>
            <w:tcMar>
              <w:top w:w="40" w:type="dxa"/>
              <w:left w:w="20" w:type="dxa"/>
              <w:bottom w:w="40" w:type="dxa"/>
              <w:right w:w="20" w:type="dxa"/>
            </w:tcMar>
            <w:vAlign w:val="bottom"/>
          </w:tcPr>
          <w:p w14:paraId="5EA2856C" w14:textId="77777777" w:rsidR="003C66EB" w:rsidRDefault="00D96C4E">
            <w:pPr>
              <w:textAlignment w:val="bottom"/>
            </w:pPr>
            <w:r>
              <w:rPr>
                <w:rFonts w:ascii="Arial" w:eastAsia="宋体" w:hAnsi="Arial" w:cs="Arial"/>
                <w:color w:val="000000"/>
                <w:sz w:val="16"/>
                <w:szCs w:val="16"/>
              </w:rPr>
              <w:t>February 1 - February 28, 2021</w:t>
            </w:r>
          </w:p>
        </w:tc>
        <w:tc>
          <w:tcPr>
            <w:tcW w:w="0" w:type="auto"/>
            <w:gridSpan w:val="2"/>
            <w:shd w:val="clear" w:color="auto" w:fill="FFFFFF"/>
            <w:tcMar>
              <w:top w:w="40" w:type="dxa"/>
              <w:left w:w="20" w:type="dxa"/>
              <w:bottom w:w="40" w:type="dxa"/>
              <w:right w:w="0" w:type="dxa"/>
            </w:tcMar>
            <w:vAlign w:val="bottom"/>
          </w:tcPr>
          <w:p w14:paraId="5EA2856D" w14:textId="77777777" w:rsidR="003C66EB" w:rsidRDefault="00D96C4E">
            <w:pPr>
              <w:jc w:val="right"/>
              <w:textAlignment w:val="bottom"/>
            </w:pPr>
            <w:r>
              <w:rPr>
                <w:rFonts w:ascii="Arial" w:eastAsia="宋体" w:hAnsi="Arial" w:cs="Arial"/>
                <w:b/>
                <w:bCs/>
                <w:color w:val="000000"/>
                <w:sz w:val="16"/>
                <w:szCs w:val="16"/>
              </w:rPr>
              <w:t>2,744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56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56F"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8570" w14:textId="77777777" w:rsidR="003C66EB" w:rsidRDefault="00D96C4E">
            <w:pPr>
              <w:jc w:val="right"/>
              <w:textAlignment w:val="bottom"/>
            </w:pPr>
            <w:r>
              <w:rPr>
                <w:rFonts w:ascii="Arial" w:eastAsia="宋体" w:hAnsi="Arial" w:cs="Arial"/>
                <w:b/>
                <w:bCs/>
                <w:color w:val="000000"/>
                <w:sz w:val="16"/>
                <w:szCs w:val="16"/>
              </w:rPr>
              <w:t>73.83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57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572"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8573" w14:textId="77777777" w:rsidR="003C66EB" w:rsidRDefault="00D96C4E">
            <w:pPr>
              <w:jc w:val="right"/>
              <w:textAlignment w:val="bottom"/>
            </w:pPr>
            <w:r>
              <w:rPr>
                <w:rFonts w:ascii="Arial" w:eastAsia="宋体" w:hAnsi="Arial" w:cs="Arial"/>
                <w:b/>
                <w:bCs/>
                <w:color w:val="000000"/>
                <w:sz w:val="16"/>
                <w:szCs w:val="16"/>
              </w:rPr>
              <w:t>2,744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574"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575" w14:textId="77777777" w:rsidR="003C66EB" w:rsidRDefault="003C66EB">
            <w:pPr>
              <w:rPr>
                <w:rFonts w:ascii="宋体"/>
              </w:rPr>
            </w:pPr>
          </w:p>
        </w:tc>
        <w:tc>
          <w:tcPr>
            <w:tcW w:w="0" w:type="auto"/>
            <w:gridSpan w:val="2"/>
            <w:shd w:val="clear" w:color="auto" w:fill="FFFFFF"/>
            <w:tcMar>
              <w:top w:w="40" w:type="dxa"/>
              <w:left w:w="20" w:type="dxa"/>
              <w:bottom w:w="40" w:type="dxa"/>
              <w:right w:w="0" w:type="dxa"/>
            </w:tcMar>
            <w:vAlign w:val="bottom"/>
          </w:tcPr>
          <w:p w14:paraId="5EA28576" w14:textId="77777777" w:rsidR="003C66EB" w:rsidRDefault="00D96C4E">
            <w:pPr>
              <w:jc w:val="right"/>
              <w:textAlignment w:val="bottom"/>
            </w:pPr>
            <w:r>
              <w:rPr>
                <w:rFonts w:ascii="Arial" w:eastAsia="宋体" w:hAnsi="Arial" w:cs="Arial"/>
                <w:b/>
                <w:bCs/>
                <w:color w:val="000000"/>
                <w:sz w:val="16"/>
                <w:szCs w:val="16"/>
              </w:rPr>
              <w:t>172,268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577" w14:textId="77777777" w:rsidR="003C66EB" w:rsidRDefault="003C66EB">
            <w:pPr>
              <w:jc w:val="right"/>
              <w:rPr>
                <w:rFonts w:ascii="宋体"/>
              </w:rPr>
            </w:pPr>
          </w:p>
        </w:tc>
        <w:tc>
          <w:tcPr>
            <w:tcW w:w="0" w:type="auto"/>
            <w:shd w:val="clear" w:color="auto" w:fill="auto"/>
          </w:tcPr>
          <w:p w14:paraId="5EA28578" w14:textId="77777777" w:rsidR="003C66EB" w:rsidRDefault="003C66EB">
            <w:pPr>
              <w:rPr>
                <w:rFonts w:ascii="宋体"/>
                <w:vanish/>
              </w:rPr>
            </w:pPr>
          </w:p>
        </w:tc>
      </w:tr>
      <w:tr w:rsidR="003C66EB" w14:paraId="5EA28587" w14:textId="77777777">
        <w:tc>
          <w:tcPr>
            <w:tcW w:w="0" w:type="auto"/>
            <w:gridSpan w:val="3"/>
            <w:shd w:val="clear" w:color="auto" w:fill="CCEEFF"/>
            <w:tcMar>
              <w:top w:w="40" w:type="dxa"/>
              <w:left w:w="20" w:type="dxa"/>
              <w:bottom w:w="40" w:type="dxa"/>
              <w:right w:w="20" w:type="dxa"/>
            </w:tcMar>
            <w:vAlign w:val="bottom"/>
          </w:tcPr>
          <w:p w14:paraId="5EA2857A" w14:textId="77777777" w:rsidR="003C66EB" w:rsidRDefault="00D96C4E">
            <w:pPr>
              <w:textAlignment w:val="bottom"/>
            </w:pPr>
            <w:r>
              <w:rPr>
                <w:rFonts w:ascii="Arial" w:eastAsia="宋体" w:hAnsi="Arial" w:cs="Arial"/>
                <w:color w:val="000000"/>
                <w:sz w:val="16"/>
                <w:szCs w:val="16"/>
              </w:rPr>
              <w:t>March 1 - March 31, 2021</w:t>
            </w:r>
          </w:p>
        </w:tc>
        <w:tc>
          <w:tcPr>
            <w:tcW w:w="0" w:type="auto"/>
            <w:gridSpan w:val="2"/>
            <w:shd w:val="clear" w:color="auto" w:fill="CCEEFF"/>
            <w:tcMar>
              <w:top w:w="40" w:type="dxa"/>
              <w:left w:w="20" w:type="dxa"/>
              <w:bottom w:w="40" w:type="dxa"/>
              <w:right w:w="0" w:type="dxa"/>
            </w:tcMar>
            <w:vAlign w:val="bottom"/>
          </w:tcPr>
          <w:p w14:paraId="5EA2857B" w14:textId="77777777" w:rsidR="003C66EB" w:rsidRDefault="00D96C4E">
            <w:pPr>
              <w:jc w:val="right"/>
              <w:textAlignment w:val="bottom"/>
            </w:pPr>
            <w:r>
              <w:rPr>
                <w:rFonts w:ascii="Arial" w:eastAsia="宋体" w:hAnsi="Arial" w:cs="Arial"/>
                <w:b/>
                <w:bCs/>
                <w:color w:val="000000"/>
                <w:sz w:val="16"/>
                <w:szCs w:val="16"/>
              </w:rPr>
              <w:t>2,114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7C"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57D"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857E" w14:textId="77777777" w:rsidR="003C66EB" w:rsidRDefault="00D96C4E">
            <w:pPr>
              <w:jc w:val="right"/>
              <w:textAlignment w:val="bottom"/>
            </w:pPr>
            <w:r>
              <w:rPr>
                <w:rFonts w:ascii="Arial" w:eastAsia="宋体" w:hAnsi="Arial" w:cs="Arial"/>
                <w:b/>
                <w:bCs/>
                <w:color w:val="000000"/>
                <w:sz w:val="16"/>
                <w:szCs w:val="16"/>
              </w:rPr>
              <w:t>81.49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7F"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580"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8581" w14:textId="77777777" w:rsidR="003C66EB" w:rsidRDefault="00D96C4E">
            <w:pPr>
              <w:jc w:val="right"/>
              <w:textAlignment w:val="bottom"/>
            </w:pPr>
            <w:r>
              <w:rPr>
                <w:rFonts w:ascii="Arial" w:eastAsia="宋体" w:hAnsi="Arial" w:cs="Arial"/>
                <w:b/>
                <w:bCs/>
                <w:color w:val="000000"/>
                <w:sz w:val="16"/>
                <w:szCs w:val="16"/>
              </w:rPr>
              <w:t>2,114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82" w14:textId="77777777" w:rsidR="003C66EB" w:rsidRDefault="003C66EB">
            <w:pPr>
              <w:jc w:val="right"/>
              <w:rPr>
                <w:rFonts w:ascii="宋体"/>
              </w:rPr>
            </w:pPr>
          </w:p>
        </w:tc>
        <w:tc>
          <w:tcPr>
            <w:tcW w:w="0" w:type="auto"/>
            <w:gridSpan w:val="3"/>
            <w:shd w:val="clear" w:color="auto" w:fill="CCEEFF"/>
            <w:tcMar>
              <w:top w:w="0" w:type="dxa"/>
              <w:left w:w="20" w:type="dxa"/>
              <w:bottom w:w="0" w:type="dxa"/>
              <w:right w:w="20" w:type="dxa"/>
            </w:tcMar>
          </w:tcPr>
          <w:p w14:paraId="5EA28583" w14:textId="77777777" w:rsidR="003C66EB" w:rsidRDefault="003C66EB">
            <w:pPr>
              <w:rPr>
                <w:rFonts w:ascii="宋体"/>
              </w:rPr>
            </w:pPr>
          </w:p>
        </w:tc>
        <w:tc>
          <w:tcPr>
            <w:tcW w:w="0" w:type="auto"/>
            <w:gridSpan w:val="2"/>
            <w:shd w:val="clear" w:color="auto" w:fill="CCEEFF"/>
            <w:tcMar>
              <w:top w:w="40" w:type="dxa"/>
              <w:left w:w="20" w:type="dxa"/>
              <w:bottom w:w="40" w:type="dxa"/>
              <w:right w:w="0" w:type="dxa"/>
            </w:tcMar>
            <w:vAlign w:val="bottom"/>
          </w:tcPr>
          <w:p w14:paraId="5EA28584"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A28585" w14:textId="77777777" w:rsidR="003C66EB" w:rsidRDefault="003C66EB">
            <w:pPr>
              <w:jc w:val="right"/>
              <w:rPr>
                <w:rFonts w:ascii="宋体"/>
              </w:rPr>
            </w:pPr>
          </w:p>
        </w:tc>
        <w:tc>
          <w:tcPr>
            <w:tcW w:w="0" w:type="auto"/>
            <w:shd w:val="clear" w:color="auto" w:fill="auto"/>
          </w:tcPr>
          <w:p w14:paraId="5EA28586" w14:textId="77777777" w:rsidR="003C66EB" w:rsidRDefault="003C66EB">
            <w:pPr>
              <w:rPr>
                <w:rFonts w:ascii="宋体"/>
                <w:vanish/>
              </w:rPr>
            </w:pPr>
          </w:p>
        </w:tc>
      </w:tr>
      <w:tr w:rsidR="003C66EB" w14:paraId="5EA28597" w14:textId="77777777">
        <w:tc>
          <w:tcPr>
            <w:tcW w:w="0" w:type="auto"/>
            <w:gridSpan w:val="3"/>
            <w:shd w:val="clear" w:color="auto" w:fill="FFFFFF"/>
            <w:tcMar>
              <w:top w:w="40" w:type="dxa"/>
              <w:left w:w="20" w:type="dxa"/>
              <w:bottom w:w="40" w:type="dxa"/>
              <w:right w:w="20" w:type="dxa"/>
            </w:tcMar>
            <w:vAlign w:val="bottom"/>
          </w:tcPr>
          <w:p w14:paraId="5EA28588" w14:textId="77777777" w:rsidR="003C66EB" w:rsidRDefault="00D96C4E">
            <w:pPr>
              <w:textAlignment w:val="bottom"/>
            </w:pPr>
            <w:r>
              <w:rPr>
                <w:rFonts w:ascii="Arial" w:eastAsia="宋体" w:hAnsi="Arial" w:cs="Arial"/>
                <w:color w:val="000000"/>
                <w:sz w:val="16"/>
                <w:szCs w:val="16"/>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8589" w14:textId="77777777" w:rsidR="003C66EB" w:rsidRDefault="00D96C4E">
            <w:pPr>
              <w:jc w:val="right"/>
              <w:textAlignment w:val="bottom"/>
            </w:pPr>
            <w:r>
              <w:rPr>
                <w:rFonts w:ascii="Arial" w:eastAsia="宋体" w:hAnsi="Arial" w:cs="Arial"/>
                <w:b/>
                <w:bCs/>
                <w:color w:val="000000"/>
                <w:sz w:val="16"/>
                <w:szCs w:val="16"/>
              </w:rPr>
              <w:t>6,233</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858A"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58B"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858C"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5EA2858D" w14:textId="77777777" w:rsidR="003C66EB" w:rsidRDefault="00D96C4E">
            <w:pPr>
              <w:jc w:val="right"/>
              <w:textAlignment w:val="bottom"/>
            </w:pPr>
            <w:r>
              <w:rPr>
                <w:rFonts w:ascii="Arial" w:eastAsia="宋体" w:hAnsi="Arial" w:cs="Arial"/>
                <w:b/>
                <w:bCs/>
                <w:color w:val="000000"/>
                <w:sz w:val="16"/>
                <w:szCs w:val="16"/>
              </w:rPr>
              <w:t>76.21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58E"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58F" w14:textId="77777777" w:rsidR="003C66EB" w:rsidRDefault="003C66E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A28590" w14:textId="77777777" w:rsidR="003C66EB" w:rsidRDefault="00D96C4E">
            <w:pPr>
              <w:jc w:val="right"/>
              <w:textAlignment w:val="bottom"/>
            </w:pPr>
            <w:r>
              <w:rPr>
                <w:rFonts w:ascii="Arial" w:eastAsia="宋体" w:hAnsi="Arial" w:cs="Arial"/>
                <w:b/>
                <w:bCs/>
                <w:color w:val="000000"/>
                <w:sz w:val="16"/>
                <w:szCs w:val="16"/>
              </w:rPr>
              <w:t>6,233</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A28591" w14:textId="77777777" w:rsidR="003C66EB" w:rsidRDefault="003C66EB">
            <w:pPr>
              <w:jc w:val="right"/>
              <w:rPr>
                <w:rFonts w:ascii="宋体"/>
              </w:rPr>
            </w:pPr>
          </w:p>
        </w:tc>
        <w:tc>
          <w:tcPr>
            <w:tcW w:w="0" w:type="auto"/>
            <w:gridSpan w:val="3"/>
            <w:shd w:val="clear" w:color="auto" w:fill="FFFFFF"/>
            <w:tcMar>
              <w:top w:w="0" w:type="dxa"/>
              <w:left w:w="20" w:type="dxa"/>
              <w:bottom w:w="0" w:type="dxa"/>
              <w:right w:w="20" w:type="dxa"/>
            </w:tcMar>
          </w:tcPr>
          <w:p w14:paraId="5EA28592" w14:textId="77777777" w:rsidR="003C66EB" w:rsidRDefault="003C66EB">
            <w:pPr>
              <w:rPr>
                <w:rFonts w:ascii="宋体"/>
              </w:rPr>
            </w:pPr>
          </w:p>
        </w:tc>
        <w:tc>
          <w:tcPr>
            <w:tcW w:w="0" w:type="auto"/>
            <w:shd w:val="clear" w:color="auto" w:fill="FFFFFF"/>
            <w:tcMar>
              <w:top w:w="40" w:type="dxa"/>
              <w:left w:w="20" w:type="dxa"/>
              <w:bottom w:w="40" w:type="dxa"/>
              <w:right w:w="0" w:type="dxa"/>
            </w:tcMar>
            <w:vAlign w:val="bottom"/>
          </w:tcPr>
          <w:p w14:paraId="5EA28593" w14:textId="77777777" w:rsidR="003C66EB" w:rsidRDefault="00D96C4E">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5EA28594" w14:textId="77777777" w:rsidR="003C66EB" w:rsidRDefault="00D96C4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A28595" w14:textId="77777777" w:rsidR="003C66EB" w:rsidRDefault="003C66EB">
            <w:pPr>
              <w:jc w:val="right"/>
              <w:rPr>
                <w:rFonts w:ascii="宋体"/>
              </w:rPr>
            </w:pPr>
          </w:p>
        </w:tc>
        <w:tc>
          <w:tcPr>
            <w:tcW w:w="0" w:type="auto"/>
            <w:shd w:val="clear" w:color="auto" w:fill="auto"/>
          </w:tcPr>
          <w:p w14:paraId="5EA28596" w14:textId="77777777" w:rsidR="003C66EB" w:rsidRDefault="003C66EB">
            <w:pPr>
              <w:rPr>
                <w:rFonts w:ascii="宋体"/>
                <w:vanish/>
              </w:rPr>
            </w:pPr>
          </w:p>
        </w:tc>
      </w:tr>
      <w:tr w:rsidR="003C66EB" w14:paraId="5EA285A1" w14:textId="77777777">
        <w:trPr>
          <w:hidden/>
        </w:trPr>
        <w:tc>
          <w:tcPr>
            <w:tcW w:w="0" w:type="auto"/>
            <w:gridSpan w:val="3"/>
            <w:shd w:val="clear" w:color="auto" w:fill="auto"/>
          </w:tcPr>
          <w:p w14:paraId="5EA28598" w14:textId="77777777" w:rsidR="003C66EB" w:rsidRDefault="003C66EB">
            <w:pPr>
              <w:rPr>
                <w:rFonts w:ascii="宋体"/>
                <w:vanish/>
              </w:rPr>
            </w:pPr>
          </w:p>
        </w:tc>
        <w:tc>
          <w:tcPr>
            <w:tcW w:w="0" w:type="auto"/>
            <w:gridSpan w:val="3"/>
            <w:shd w:val="clear" w:color="auto" w:fill="auto"/>
          </w:tcPr>
          <w:p w14:paraId="5EA28599" w14:textId="77777777" w:rsidR="003C66EB" w:rsidRDefault="003C66EB">
            <w:pPr>
              <w:rPr>
                <w:rFonts w:ascii="宋体"/>
                <w:vanish/>
              </w:rPr>
            </w:pPr>
          </w:p>
        </w:tc>
        <w:tc>
          <w:tcPr>
            <w:tcW w:w="0" w:type="auto"/>
            <w:gridSpan w:val="3"/>
            <w:shd w:val="clear" w:color="auto" w:fill="auto"/>
          </w:tcPr>
          <w:p w14:paraId="5EA2859A" w14:textId="77777777" w:rsidR="003C66EB" w:rsidRDefault="003C66EB">
            <w:pPr>
              <w:rPr>
                <w:rFonts w:ascii="宋体"/>
                <w:vanish/>
              </w:rPr>
            </w:pPr>
          </w:p>
        </w:tc>
        <w:tc>
          <w:tcPr>
            <w:tcW w:w="0" w:type="auto"/>
            <w:gridSpan w:val="3"/>
            <w:shd w:val="clear" w:color="auto" w:fill="auto"/>
          </w:tcPr>
          <w:p w14:paraId="5EA2859B" w14:textId="77777777" w:rsidR="003C66EB" w:rsidRDefault="003C66EB">
            <w:pPr>
              <w:rPr>
                <w:rFonts w:ascii="宋体"/>
                <w:vanish/>
              </w:rPr>
            </w:pPr>
          </w:p>
        </w:tc>
        <w:tc>
          <w:tcPr>
            <w:tcW w:w="0" w:type="auto"/>
            <w:gridSpan w:val="3"/>
            <w:shd w:val="clear" w:color="auto" w:fill="auto"/>
          </w:tcPr>
          <w:p w14:paraId="5EA2859C" w14:textId="77777777" w:rsidR="003C66EB" w:rsidRDefault="003C66EB">
            <w:pPr>
              <w:rPr>
                <w:rFonts w:ascii="宋体"/>
                <w:vanish/>
              </w:rPr>
            </w:pPr>
          </w:p>
        </w:tc>
        <w:tc>
          <w:tcPr>
            <w:tcW w:w="0" w:type="auto"/>
            <w:gridSpan w:val="3"/>
            <w:shd w:val="clear" w:color="auto" w:fill="auto"/>
          </w:tcPr>
          <w:p w14:paraId="5EA2859D" w14:textId="77777777" w:rsidR="003C66EB" w:rsidRDefault="003C66EB">
            <w:pPr>
              <w:rPr>
                <w:rFonts w:ascii="宋体"/>
                <w:vanish/>
              </w:rPr>
            </w:pPr>
          </w:p>
        </w:tc>
        <w:tc>
          <w:tcPr>
            <w:tcW w:w="0" w:type="auto"/>
            <w:gridSpan w:val="3"/>
            <w:shd w:val="clear" w:color="auto" w:fill="auto"/>
          </w:tcPr>
          <w:p w14:paraId="5EA2859E" w14:textId="77777777" w:rsidR="003C66EB" w:rsidRDefault="003C66EB">
            <w:pPr>
              <w:rPr>
                <w:rFonts w:ascii="宋体"/>
                <w:vanish/>
              </w:rPr>
            </w:pPr>
          </w:p>
        </w:tc>
        <w:tc>
          <w:tcPr>
            <w:tcW w:w="0" w:type="auto"/>
            <w:gridSpan w:val="3"/>
            <w:shd w:val="clear" w:color="auto" w:fill="auto"/>
          </w:tcPr>
          <w:p w14:paraId="5EA2859F" w14:textId="77777777" w:rsidR="003C66EB" w:rsidRDefault="003C66EB">
            <w:pPr>
              <w:rPr>
                <w:rFonts w:ascii="宋体"/>
                <w:vanish/>
              </w:rPr>
            </w:pPr>
          </w:p>
        </w:tc>
        <w:tc>
          <w:tcPr>
            <w:tcW w:w="0" w:type="auto"/>
            <w:shd w:val="clear" w:color="auto" w:fill="auto"/>
          </w:tcPr>
          <w:p w14:paraId="5EA285A0" w14:textId="77777777" w:rsidR="003C66EB" w:rsidRDefault="003C66EB">
            <w:pPr>
              <w:rPr>
                <w:rFonts w:ascii="宋体"/>
                <w:vanish/>
              </w:rPr>
            </w:pPr>
          </w:p>
        </w:tc>
      </w:tr>
      <w:tr w:rsidR="003C66EB" w14:paraId="5EA285AB" w14:textId="77777777">
        <w:trPr>
          <w:hidden/>
        </w:trPr>
        <w:tc>
          <w:tcPr>
            <w:tcW w:w="0" w:type="auto"/>
            <w:gridSpan w:val="3"/>
            <w:shd w:val="clear" w:color="auto" w:fill="auto"/>
          </w:tcPr>
          <w:p w14:paraId="5EA285A2" w14:textId="77777777" w:rsidR="003C66EB" w:rsidRDefault="003C66EB">
            <w:pPr>
              <w:rPr>
                <w:rFonts w:ascii="宋体"/>
                <w:vanish/>
              </w:rPr>
            </w:pPr>
          </w:p>
        </w:tc>
        <w:tc>
          <w:tcPr>
            <w:tcW w:w="0" w:type="auto"/>
            <w:gridSpan w:val="3"/>
            <w:shd w:val="clear" w:color="auto" w:fill="auto"/>
          </w:tcPr>
          <w:p w14:paraId="5EA285A3" w14:textId="77777777" w:rsidR="003C66EB" w:rsidRDefault="003C66EB">
            <w:pPr>
              <w:rPr>
                <w:rFonts w:ascii="宋体"/>
                <w:vanish/>
              </w:rPr>
            </w:pPr>
          </w:p>
        </w:tc>
        <w:tc>
          <w:tcPr>
            <w:tcW w:w="0" w:type="auto"/>
            <w:gridSpan w:val="3"/>
            <w:shd w:val="clear" w:color="auto" w:fill="auto"/>
          </w:tcPr>
          <w:p w14:paraId="5EA285A4" w14:textId="77777777" w:rsidR="003C66EB" w:rsidRDefault="003C66EB">
            <w:pPr>
              <w:rPr>
                <w:rFonts w:ascii="宋体"/>
                <w:vanish/>
              </w:rPr>
            </w:pPr>
          </w:p>
        </w:tc>
        <w:tc>
          <w:tcPr>
            <w:tcW w:w="0" w:type="auto"/>
            <w:gridSpan w:val="3"/>
            <w:shd w:val="clear" w:color="auto" w:fill="auto"/>
          </w:tcPr>
          <w:p w14:paraId="5EA285A5" w14:textId="77777777" w:rsidR="003C66EB" w:rsidRDefault="003C66EB">
            <w:pPr>
              <w:rPr>
                <w:rFonts w:ascii="宋体"/>
                <w:vanish/>
              </w:rPr>
            </w:pPr>
          </w:p>
        </w:tc>
        <w:tc>
          <w:tcPr>
            <w:tcW w:w="0" w:type="auto"/>
            <w:gridSpan w:val="3"/>
            <w:shd w:val="clear" w:color="auto" w:fill="auto"/>
          </w:tcPr>
          <w:p w14:paraId="5EA285A6" w14:textId="77777777" w:rsidR="003C66EB" w:rsidRDefault="003C66EB">
            <w:pPr>
              <w:rPr>
                <w:rFonts w:ascii="宋体"/>
                <w:vanish/>
              </w:rPr>
            </w:pPr>
          </w:p>
        </w:tc>
        <w:tc>
          <w:tcPr>
            <w:tcW w:w="0" w:type="auto"/>
            <w:gridSpan w:val="3"/>
            <w:shd w:val="clear" w:color="auto" w:fill="auto"/>
          </w:tcPr>
          <w:p w14:paraId="5EA285A7" w14:textId="77777777" w:rsidR="003C66EB" w:rsidRDefault="003C66EB">
            <w:pPr>
              <w:rPr>
                <w:rFonts w:ascii="宋体"/>
                <w:vanish/>
              </w:rPr>
            </w:pPr>
          </w:p>
        </w:tc>
        <w:tc>
          <w:tcPr>
            <w:tcW w:w="0" w:type="auto"/>
            <w:gridSpan w:val="3"/>
            <w:shd w:val="clear" w:color="auto" w:fill="auto"/>
          </w:tcPr>
          <w:p w14:paraId="5EA285A8" w14:textId="77777777" w:rsidR="003C66EB" w:rsidRDefault="003C66EB">
            <w:pPr>
              <w:rPr>
                <w:rFonts w:ascii="宋体"/>
                <w:vanish/>
              </w:rPr>
            </w:pPr>
          </w:p>
        </w:tc>
        <w:tc>
          <w:tcPr>
            <w:tcW w:w="0" w:type="auto"/>
            <w:gridSpan w:val="3"/>
            <w:shd w:val="clear" w:color="auto" w:fill="auto"/>
          </w:tcPr>
          <w:p w14:paraId="5EA285A9" w14:textId="77777777" w:rsidR="003C66EB" w:rsidRDefault="003C66EB">
            <w:pPr>
              <w:rPr>
                <w:rFonts w:ascii="宋体"/>
                <w:vanish/>
              </w:rPr>
            </w:pPr>
          </w:p>
        </w:tc>
        <w:tc>
          <w:tcPr>
            <w:tcW w:w="0" w:type="auto"/>
            <w:shd w:val="clear" w:color="auto" w:fill="auto"/>
          </w:tcPr>
          <w:p w14:paraId="5EA285AA" w14:textId="77777777" w:rsidR="003C66EB" w:rsidRDefault="003C66EB">
            <w:pPr>
              <w:rPr>
                <w:rFonts w:ascii="宋体"/>
                <w:vanish/>
              </w:rPr>
            </w:pPr>
          </w:p>
        </w:tc>
      </w:tr>
      <w:tr w:rsidR="003C66EB" w14:paraId="5EA285B5" w14:textId="77777777">
        <w:trPr>
          <w:hidden/>
        </w:trPr>
        <w:tc>
          <w:tcPr>
            <w:tcW w:w="0" w:type="auto"/>
            <w:gridSpan w:val="3"/>
            <w:shd w:val="clear" w:color="auto" w:fill="auto"/>
          </w:tcPr>
          <w:p w14:paraId="5EA285AC" w14:textId="77777777" w:rsidR="003C66EB" w:rsidRDefault="003C66EB">
            <w:pPr>
              <w:rPr>
                <w:rFonts w:ascii="宋体"/>
                <w:vanish/>
              </w:rPr>
            </w:pPr>
          </w:p>
        </w:tc>
        <w:tc>
          <w:tcPr>
            <w:tcW w:w="0" w:type="auto"/>
            <w:gridSpan w:val="3"/>
            <w:shd w:val="clear" w:color="auto" w:fill="auto"/>
          </w:tcPr>
          <w:p w14:paraId="5EA285AD" w14:textId="77777777" w:rsidR="003C66EB" w:rsidRDefault="003C66EB">
            <w:pPr>
              <w:rPr>
                <w:rFonts w:ascii="宋体"/>
                <w:vanish/>
              </w:rPr>
            </w:pPr>
          </w:p>
        </w:tc>
        <w:tc>
          <w:tcPr>
            <w:tcW w:w="0" w:type="auto"/>
            <w:gridSpan w:val="3"/>
            <w:shd w:val="clear" w:color="auto" w:fill="auto"/>
          </w:tcPr>
          <w:p w14:paraId="5EA285AE" w14:textId="77777777" w:rsidR="003C66EB" w:rsidRDefault="003C66EB">
            <w:pPr>
              <w:rPr>
                <w:rFonts w:ascii="宋体"/>
                <w:vanish/>
              </w:rPr>
            </w:pPr>
          </w:p>
        </w:tc>
        <w:tc>
          <w:tcPr>
            <w:tcW w:w="0" w:type="auto"/>
            <w:gridSpan w:val="3"/>
            <w:shd w:val="clear" w:color="auto" w:fill="auto"/>
          </w:tcPr>
          <w:p w14:paraId="5EA285AF" w14:textId="77777777" w:rsidR="003C66EB" w:rsidRDefault="003C66EB">
            <w:pPr>
              <w:rPr>
                <w:rFonts w:ascii="宋体"/>
                <w:vanish/>
              </w:rPr>
            </w:pPr>
          </w:p>
        </w:tc>
        <w:tc>
          <w:tcPr>
            <w:tcW w:w="0" w:type="auto"/>
            <w:gridSpan w:val="3"/>
            <w:shd w:val="clear" w:color="auto" w:fill="auto"/>
          </w:tcPr>
          <w:p w14:paraId="5EA285B0" w14:textId="77777777" w:rsidR="003C66EB" w:rsidRDefault="003C66EB">
            <w:pPr>
              <w:rPr>
                <w:rFonts w:ascii="宋体"/>
                <w:vanish/>
              </w:rPr>
            </w:pPr>
          </w:p>
        </w:tc>
        <w:tc>
          <w:tcPr>
            <w:tcW w:w="0" w:type="auto"/>
            <w:gridSpan w:val="3"/>
            <w:shd w:val="clear" w:color="auto" w:fill="auto"/>
          </w:tcPr>
          <w:p w14:paraId="5EA285B1" w14:textId="77777777" w:rsidR="003C66EB" w:rsidRDefault="003C66EB">
            <w:pPr>
              <w:rPr>
                <w:rFonts w:ascii="宋体"/>
                <w:vanish/>
              </w:rPr>
            </w:pPr>
          </w:p>
        </w:tc>
        <w:tc>
          <w:tcPr>
            <w:tcW w:w="0" w:type="auto"/>
            <w:gridSpan w:val="3"/>
            <w:shd w:val="clear" w:color="auto" w:fill="auto"/>
          </w:tcPr>
          <w:p w14:paraId="5EA285B2" w14:textId="77777777" w:rsidR="003C66EB" w:rsidRDefault="003C66EB">
            <w:pPr>
              <w:rPr>
                <w:rFonts w:ascii="宋体"/>
                <w:vanish/>
              </w:rPr>
            </w:pPr>
          </w:p>
        </w:tc>
        <w:tc>
          <w:tcPr>
            <w:tcW w:w="0" w:type="auto"/>
            <w:gridSpan w:val="3"/>
            <w:shd w:val="clear" w:color="auto" w:fill="auto"/>
          </w:tcPr>
          <w:p w14:paraId="5EA285B3" w14:textId="77777777" w:rsidR="003C66EB" w:rsidRDefault="003C66EB">
            <w:pPr>
              <w:rPr>
                <w:rFonts w:ascii="宋体"/>
                <w:vanish/>
              </w:rPr>
            </w:pPr>
          </w:p>
        </w:tc>
        <w:tc>
          <w:tcPr>
            <w:tcW w:w="0" w:type="auto"/>
            <w:shd w:val="clear" w:color="auto" w:fill="auto"/>
          </w:tcPr>
          <w:p w14:paraId="5EA285B4" w14:textId="77777777" w:rsidR="003C66EB" w:rsidRDefault="003C66EB">
            <w:pPr>
              <w:rPr>
                <w:rFonts w:ascii="宋体"/>
                <w:vanish/>
              </w:rPr>
            </w:pPr>
          </w:p>
        </w:tc>
      </w:tr>
      <w:tr w:rsidR="003C66EB" w14:paraId="5EA285BF" w14:textId="77777777">
        <w:trPr>
          <w:hidden/>
        </w:trPr>
        <w:tc>
          <w:tcPr>
            <w:tcW w:w="0" w:type="auto"/>
            <w:gridSpan w:val="3"/>
            <w:shd w:val="clear" w:color="auto" w:fill="auto"/>
          </w:tcPr>
          <w:p w14:paraId="5EA285B6" w14:textId="77777777" w:rsidR="003C66EB" w:rsidRDefault="003C66EB">
            <w:pPr>
              <w:rPr>
                <w:rFonts w:ascii="宋体"/>
                <w:vanish/>
              </w:rPr>
            </w:pPr>
          </w:p>
        </w:tc>
        <w:tc>
          <w:tcPr>
            <w:tcW w:w="0" w:type="auto"/>
            <w:gridSpan w:val="3"/>
            <w:shd w:val="clear" w:color="auto" w:fill="auto"/>
          </w:tcPr>
          <w:p w14:paraId="5EA285B7" w14:textId="77777777" w:rsidR="003C66EB" w:rsidRDefault="003C66EB">
            <w:pPr>
              <w:rPr>
                <w:rFonts w:ascii="宋体"/>
                <w:vanish/>
              </w:rPr>
            </w:pPr>
          </w:p>
        </w:tc>
        <w:tc>
          <w:tcPr>
            <w:tcW w:w="0" w:type="auto"/>
            <w:gridSpan w:val="3"/>
            <w:shd w:val="clear" w:color="auto" w:fill="auto"/>
          </w:tcPr>
          <w:p w14:paraId="5EA285B8" w14:textId="77777777" w:rsidR="003C66EB" w:rsidRDefault="003C66EB">
            <w:pPr>
              <w:rPr>
                <w:rFonts w:ascii="宋体"/>
                <w:vanish/>
              </w:rPr>
            </w:pPr>
          </w:p>
        </w:tc>
        <w:tc>
          <w:tcPr>
            <w:tcW w:w="0" w:type="auto"/>
            <w:gridSpan w:val="3"/>
            <w:shd w:val="clear" w:color="auto" w:fill="auto"/>
          </w:tcPr>
          <w:p w14:paraId="5EA285B9" w14:textId="77777777" w:rsidR="003C66EB" w:rsidRDefault="003C66EB">
            <w:pPr>
              <w:rPr>
                <w:rFonts w:ascii="宋体"/>
                <w:vanish/>
              </w:rPr>
            </w:pPr>
          </w:p>
        </w:tc>
        <w:tc>
          <w:tcPr>
            <w:tcW w:w="0" w:type="auto"/>
            <w:gridSpan w:val="3"/>
            <w:shd w:val="clear" w:color="auto" w:fill="auto"/>
          </w:tcPr>
          <w:p w14:paraId="5EA285BA" w14:textId="77777777" w:rsidR="003C66EB" w:rsidRDefault="003C66EB">
            <w:pPr>
              <w:rPr>
                <w:rFonts w:ascii="宋体"/>
                <w:vanish/>
              </w:rPr>
            </w:pPr>
          </w:p>
        </w:tc>
        <w:tc>
          <w:tcPr>
            <w:tcW w:w="0" w:type="auto"/>
            <w:gridSpan w:val="3"/>
            <w:shd w:val="clear" w:color="auto" w:fill="auto"/>
          </w:tcPr>
          <w:p w14:paraId="5EA285BB" w14:textId="77777777" w:rsidR="003C66EB" w:rsidRDefault="003C66EB">
            <w:pPr>
              <w:rPr>
                <w:rFonts w:ascii="宋体"/>
                <w:vanish/>
              </w:rPr>
            </w:pPr>
          </w:p>
        </w:tc>
        <w:tc>
          <w:tcPr>
            <w:tcW w:w="0" w:type="auto"/>
            <w:gridSpan w:val="3"/>
            <w:shd w:val="clear" w:color="auto" w:fill="auto"/>
          </w:tcPr>
          <w:p w14:paraId="5EA285BC" w14:textId="77777777" w:rsidR="003C66EB" w:rsidRDefault="003C66EB">
            <w:pPr>
              <w:rPr>
                <w:rFonts w:ascii="宋体"/>
                <w:vanish/>
              </w:rPr>
            </w:pPr>
          </w:p>
        </w:tc>
        <w:tc>
          <w:tcPr>
            <w:tcW w:w="0" w:type="auto"/>
            <w:gridSpan w:val="3"/>
            <w:shd w:val="clear" w:color="auto" w:fill="auto"/>
          </w:tcPr>
          <w:p w14:paraId="5EA285BD" w14:textId="77777777" w:rsidR="003C66EB" w:rsidRDefault="003C66EB">
            <w:pPr>
              <w:rPr>
                <w:rFonts w:ascii="宋体"/>
                <w:vanish/>
              </w:rPr>
            </w:pPr>
          </w:p>
        </w:tc>
        <w:tc>
          <w:tcPr>
            <w:tcW w:w="0" w:type="auto"/>
            <w:shd w:val="clear" w:color="auto" w:fill="auto"/>
          </w:tcPr>
          <w:p w14:paraId="5EA285BE" w14:textId="77777777" w:rsidR="003C66EB" w:rsidRDefault="003C66EB">
            <w:pPr>
              <w:rPr>
                <w:rFonts w:ascii="宋体"/>
                <w:vanish/>
              </w:rPr>
            </w:pPr>
          </w:p>
        </w:tc>
      </w:tr>
      <w:tr w:rsidR="003C66EB" w14:paraId="5EA285C9" w14:textId="77777777">
        <w:trPr>
          <w:hidden/>
        </w:trPr>
        <w:tc>
          <w:tcPr>
            <w:tcW w:w="0" w:type="auto"/>
            <w:gridSpan w:val="3"/>
            <w:shd w:val="clear" w:color="auto" w:fill="auto"/>
          </w:tcPr>
          <w:p w14:paraId="5EA285C0" w14:textId="77777777" w:rsidR="003C66EB" w:rsidRDefault="003C66EB">
            <w:pPr>
              <w:rPr>
                <w:rFonts w:ascii="宋体"/>
                <w:vanish/>
              </w:rPr>
            </w:pPr>
          </w:p>
        </w:tc>
        <w:tc>
          <w:tcPr>
            <w:tcW w:w="0" w:type="auto"/>
            <w:gridSpan w:val="3"/>
            <w:shd w:val="clear" w:color="auto" w:fill="auto"/>
          </w:tcPr>
          <w:p w14:paraId="5EA285C1" w14:textId="77777777" w:rsidR="003C66EB" w:rsidRDefault="003C66EB">
            <w:pPr>
              <w:rPr>
                <w:rFonts w:ascii="宋体"/>
                <w:vanish/>
              </w:rPr>
            </w:pPr>
          </w:p>
        </w:tc>
        <w:tc>
          <w:tcPr>
            <w:tcW w:w="0" w:type="auto"/>
            <w:gridSpan w:val="3"/>
            <w:shd w:val="clear" w:color="auto" w:fill="auto"/>
          </w:tcPr>
          <w:p w14:paraId="5EA285C2" w14:textId="77777777" w:rsidR="003C66EB" w:rsidRDefault="003C66EB">
            <w:pPr>
              <w:rPr>
                <w:rFonts w:ascii="宋体"/>
                <w:vanish/>
              </w:rPr>
            </w:pPr>
          </w:p>
        </w:tc>
        <w:tc>
          <w:tcPr>
            <w:tcW w:w="0" w:type="auto"/>
            <w:gridSpan w:val="3"/>
            <w:shd w:val="clear" w:color="auto" w:fill="auto"/>
          </w:tcPr>
          <w:p w14:paraId="5EA285C3" w14:textId="77777777" w:rsidR="003C66EB" w:rsidRDefault="003C66EB">
            <w:pPr>
              <w:rPr>
                <w:rFonts w:ascii="宋体"/>
                <w:vanish/>
              </w:rPr>
            </w:pPr>
          </w:p>
        </w:tc>
        <w:tc>
          <w:tcPr>
            <w:tcW w:w="0" w:type="auto"/>
            <w:gridSpan w:val="3"/>
            <w:shd w:val="clear" w:color="auto" w:fill="auto"/>
          </w:tcPr>
          <w:p w14:paraId="5EA285C4" w14:textId="77777777" w:rsidR="003C66EB" w:rsidRDefault="003C66EB">
            <w:pPr>
              <w:rPr>
                <w:rFonts w:ascii="宋体"/>
                <w:vanish/>
              </w:rPr>
            </w:pPr>
          </w:p>
        </w:tc>
        <w:tc>
          <w:tcPr>
            <w:tcW w:w="0" w:type="auto"/>
            <w:gridSpan w:val="3"/>
            <w:shd w:val="clear" w:color="auto" w:fill="auto"/>
          </w:tcPr>
          <w:p w14:paraId="5EA285C5" w14:textId="77777777" w:rsidR="003C66EB" w:rsidRDefault="003C66EB">
            <w:pPr>
              <w:rPr>
                <w:rFonts w:ascii="宋体"/>
                <w:vanish/>
              </w:rPr>
            </w:pPr>
          </w:p>
        </w:tc>
        <w:tc>
          <w:tcPr>
            <w:tcW w:w="0" w:type="auto"/>
            <w:gridSpan w:val="3"/>
            <w:shd w:val="clear" w:color="auto" w:fill="auto"/>
          </w:tcPr>
          <w:p w14:paraId="5EA285C6" w14:textId="77777777" w:rsidR="003C66EB" w:rsidRDefault="003C66EB">
            <w:pPr>
              <w:rPr>
                <w:rFonts w:ascii="宋体"/>
                <w:vanish/>
              </w:rPr>
            </w:pPr>
          </w:p>
        </w:tc>
        <w:tc>
          <w:tcPr>
            <w:tcW w:w="0" w:type="auto"/>
            <w:gridSpan w:val="3"/>
            <w:shd w:val="clear" w:color="auto" w:fill="auto"/>
          </w:tcPr>
          <w:p w14:paraId="5EA285C7" w14:textId="77777777" w:rsidR="003C66EB" w:rsidRDefault="003C66EB">
            <w:pPr>
              <w:rPr>
                <w:rFonts w:ascii="宋体"/>
                <w:vanish/>
              </w:rPr>
            </w:pPr>
          </w:p>
        </w:tc>
        <w:tc>
          <w:tcPr>
            <w:tcW w:w="0" w:type="auto"/>
            <w:shd w:val="clear" w:color="auto" w:fill="auto"/>
          </w:tcPr>
          <w:p w14:paraId="5EA285C8" w14:textId="77777777" w:rsidR="003C66EB" w:rsidRDefault="003C66EB">
            <w:pPr>
              <w:rPr>
                <w:rFonts w:ascii="宋体"/>
                <w:vanish/>
              </w:rPr>
            </w:pPr>
          </w:p>
        </w:tc>
      </w:tr>
      <w:tr w:rsidR="003C66EB" w14:paraId="5EA285D3" w14:textId="77777777">
        <w:trPr>
          <w:hidden/>
        </w:trPr>
        <w:tc>
          <w:tcPr>
            <w:tcW w:w="0" w:type="auto"/>
            <w:gridSpan w:val="3"/>
            <w:shd w:val="clear" w:color="auto" w:fill="auto"/>
          </w:tcPr>
          <w:p w14:paraId="5EA285CA" w14:textId="77777777" w:rsidR="003C66EB" w:rsidRDefault="003C66EB">
            <w:pPr>
              <w:rPr>
                <w:rFonts w:ascii="宋体"/>
                <w:vanish/>
              </w:rPr>
            </w:pPr>
          </w:p>
        </w:tc>
        <w:tc>
          <w:tcPr>
            <w:tcW w:w="0" w:type="auto"/>
            <w:gridSpan w:val="3"/>
            <w:shd w:val="clear" w:color="auto" w:fill="auto"/>
          </w:tcPr>
          <w:p w14:paraId="5EA285CB" w14:textId="77777777" w:rsidR="003C66EB" w:rsidRDefault="003C66EB">
            <w:pPr>
              <w:rPr>
                <w:rFonts w:ascii="宋体"/>
                <w:vanish/>
              </w:rPr>
            </w:pPr>
          </w:p>
        </w:tc>
        <w:tc>
          <w:tcPr>
            <w:tcW w:w="0" w:type="auto"/>
            <w:gridSpan w:val="3"/>
            <w:shd w:val="clear" w:color="auto" w:fill="auto"/>
          </w:tcPr>
          <w:p w14:paraId="5EA285CC" w14:textId="77777777" w:rsidR="003C66EB" w:rsidRDefault="003C66EB">
            <w:pPr>
              <w:rPr>
                <w:rFonts w:ascii="宋体"/>
                <w:vanish/>
              </w:rPr>
            </w:pPr>
          </w:p>
        </w:tc>
        <w:tc>
          <w:tcPr>
            <w:tcW w:w="0" w:type="auto"/>
            <w:gridSpan w:val="3"/>
            <w:shd w:val="clear" w:color="auto" w:fill="auto"/>
          </w:tcPr>
          <w:p w14:paraId="5EA285CD" w14:textId="77777777" w:rsidR="003C66EB" w:rsidRDefault="003C66EB">
            <w:pPr>
              <w:rPr>
                <w:rFonts w:ascii="宋体"/>
                <w:vanish/>
              </w:rPr>
            </w:pPr>
          </w:p>
        </w:tc>
        <w:tc>
          <w:tcPr>
            <w:tcW w:w="0" w:type="auto"/>
            <w:gridSpan w:val="3"/>
            <w:shd w:val="clear" w:color="auto" w:fill="auto"/>
          </w:tcPr>
          <w:p w14:paraId="5EA285CE" w14:textId="77777777" w:rsidR="003C66EB" w:rsidRDefault="003C66EB">
            <w:pPr>
              <w:rPr>
                <w:rFonts w:ascii="宋体"/>
                <w:vanish/>
              </w:rPr>
            </w:pPr>
          </w:p>
        </w:tc>
        <w:tc>
          <w:tcPr>
            <w:tcW w:w="0" w:type="auto"/>
            <w:gridSpan w:val="3"/>
            <w:shd w:val="clear" w:color="auto" w:fill="auto"/>
          </w:tcPr>
          <w:p w14:paraId="5EA285CF" w14:textId="77777777" w:rsidR="003C66EB" w:rsidRDefault="003C66EB">
            <w:pPr>
              <w:rPr>
                <w:rFonts w:ascii="宋体"/>
                <w:vanish/>
              </w:rPr>
            </w:pPr>
          </w:p>
        </w:tc>
        <w:tc>
          <w:tcPr>
            <w:tcW w:w="0" w:type="auto"/>
            <w:gridSpan w:val="3"/>
            <w:shd w:val="clear" w:color="auto" w:fill="auto"/>
          </w:tcPr>
          <w:p w14:paraId="5EA285D0" w14:textId="77777777" w:rsidR="003C66EB" w:rsidRDefault="003C66EB">
            <w:pPr>
              <w:rPr>
                <w:rFonts w:ascii="宋体"/>
                <w:vanish/>
              </w:rPr>
            </w:pPr>
          </w:p>
        </w:tc>
        <w:tc>
          <w:tcPr>
            <w:tcW w:w="0" w:type="auto"/>
            <w:gridSpan w:val="3"/>
            <w:shd w:val="clear" w:color="auto" w:fill="auto"/>
          </w:tcPr>
          <w:p w14:paraId="5EA285D1" w14:textId="77777777" w:rsidR="003C66EB" w:rsidRDefault="003C66EB">
            <w:pPr>
              <w:rPr>
                <w:rFonts w:ascii="宋体"/>
                <w:vanish/>
              </w:rPr>
            </w:pPr>
          </w:p>
        </w:tc>
        <w:tc>
          <w:tcPr>
            <w:tcW w:w="0" w:type="auto"/>
            <w:shd w:val="clear" w:color="auto" w:fill="auto"/>
          </w:tcPr>
          <w:p w14:paraId="5EA285D2" w14:textId="77777777" w:rsidR="003C66EB" w:rsidRDefault="003C66EB">
            <w:pPr>
              <w:rPr>
                <w:rFonts w:ascii="宋体"/>
                <w:vanish/>
              </w:rPr>
            </w:pPr>
          </w:p>
        </w:tc>
      </w:tr>
      <w:tr w:rsidR="003C66EB" w14:paraId="5EA285DD" w14:textId="77777777">
        <w:trPr>
          <w:hidden/>
        </w:trPr>
        <w:tc>
          <w:tcPr>
            <w:tcW w:w="0" w:type="auto"/>
            <w:gridSpan w:val="3"/>
            <w:shd w:val="clear" w:color="auto" w:fill="auto"/>
          </w:tcPr>
          <w:p w14:paraId="5EA285D4" w14:textId="77777777" w:rsidR="003C66EB" w:rsidRDefault="003C66EB">
            <w:pPr>
              <w:rPr>
                <w:rFonts w:ascii="宋体"/>
                <w:vanish/>
              </w:rPr>
            </w:pPr>
          </w:p>
        </w:tc>
        <w:tc>
          <w:tcPr>
            <w:tcW w:w="0" w:type="auto"/>
            <w:gridSpan w:val="3"/>
            <w:shd w:val="clear" w:color="auto" w:fill="auto"/>
          </w:tcPr>
          <w:p w14:paraId="5EA285D5" w14:textId="77777777" w:rsidR="003C66EB" w:rsidRDefault="003C66EB">
            <w:pPr>
              <w:rPr>
                <w:rFonts w:ascii="宋体"/>
                <w:vanish/>
              </w:rPr>
            </w:pPr>
          </w:p>
        </w:tc>
        <w:tc>
          <w:tcPr>
            <w:tcW w:w="0" w:type="auto"/>
            <w:gridSpan w:val="3"/>
            <w:shd w:val="clear" w:color="auto" w:fill="auto"/>
          </w:tcPr>
          <w:p w14:paraId="5EA285D6" w14:textId="77777777" w:rsidR="003C66EB" w:rsidRDefault="003C66EB">
            <w:pPr>
              <w:rPr>
                <w:rFonts w:ascii="宋体"/>
                <w:vanish/>
              </w:rPr>
            </w:pPr>
          </w:p>
        </w:tc>
        <w:tc>
          <w:tcPr>
            <w:tcW w:w="0" w:type="auto"/>
            <w:gridSpan w:val="3"/>
            <w:shd w:val="clear" w:color="auto" w:fill="auto"/>
          </w:tcPr>
          <w:p w14:paraId="5EA285D7" w14:textId="77777777" w:rsidR="003C66EB" w:rsidRDefault="003C66EB">
            <w:pPr>
              <w:rPr>
                <w:rFonts w:ascii="宋体"/>
                <w:vanish/>
              </w:rPr>
            </w:pPr>
          </w:p>
        </w:tc>
        <w:tc>
          <w:tcPr>
            <w:tcW w:w="0" w:type="auto"/>
            <w:gridSpan w:val="3"/>
            <w:shd w:val="clear" w:color="auto" w:fill="auto"/>
          </w:tcPr>
          <w:p w14:paraId="5EA285D8" w14:textId="77777777" w:rsidR="003C66EB" w:rsidRDefault="003C66EB">
            <w:pPr>
              <w:rPr>
                <w:rFonts w:ascii="宋体"/>
                <w:vanish/>
              </w:rPr>
            </w:pPr>
          </w:p>
        </w:tc>
        <w:tc>
          <w:tcPr>
            <w:tcW w:w="0" w:type="auto"/>
            <w:gridSpan w:val="3"/>
            <w:shd w:val="clear" w:color="auto" w:fill="auto"/>
          </w:tcPr>
          <w:p w14:paraId="5EA285D9" w14:textId="77777777" w:rsidR="003C66EB" w:rsidRDefault="003C66EB">
            <w:pPr>
              <w:rPr>
                <w:rFonts w:ascii="宋体"/>
                <w:vanish/>
              </w:rPr>
            </w:pPr>
          </w:p>
        </w:tc>
        <w:tc>
          <w:tcPr>
            <w:tcW w:w="0" w:type="auto"/>
            <w:gridSpan w:val="3"/>
            <w:shd w:val="clear" w:color="auto" w:fill="auto"/>
          </w:tcPr>
          <w:p w14:paraId="5EA285DA" w14:textId="77777777" w:rsidR="003C66EB" w:rsidRDefault="003C66EB">
            <w:pPr>
              <w:rPr>
                <w:rFonts w:ascii="宋体"/>
                <w:vanish/>
              </w:rPr>
            </w:pPr>
          </w:p>
        </w:tc>
        <w:tc>
          <w:tcPr>
            <w:tcW w:w="0" w:type="auto"/>
            <w:gridSpan w:val="3"/>
            <w:shd w:val="clear" w:color="auto" w:fill="auto"/>
          </w:tcPr>
          <w:p w14:paraId="5EA285DB" w14:textId="77777777" w:rsidR="003C66EB" w:rsidRDefault="003C66EB">
            <w:pPr>
              <w:rPr>
                <w:rFonts w:ascii="宋体"/>
                <w:vanish/>
              </w:rPr>
            </w:pPr>
          </w:p>
        </w:tc>
        <w:tc>
          <w:tcPr>
            <w:tcW w:w="0" w:type="auto"/>
            <w:shd w:val="clear" w:color="auto" w:fill="auto"/>
          </w:tcPr>
          <w:p w14:paraId="5EA285DC" w14:textId="77777777" w:rsidR="003C66EB" w:rsidRDefault="003C66EB">
            <w:pPr>
              <w:rPr>
                <w:rFonts w:ascii="宋体"/>
                <w:vanish/>
              </w:rPr>
            </w:pPr>
          </w:p>
        </w:tc>
      </w:tr>
      <w:tr w:rsidR="003C66EB" w14:paraId="5EA285E7" w14:textId="77777777">
        <w:trPr>
          <w:hidden/>
        </w:trPr>
        <w:tc>
          <w:tcPr>
            <w:tcW w:w="0" w:type="auto"/>
            <w:gridSpan w:val="3"/>
            <w:shd w:val="clear" w:color="auto" w:fill="auto"/>
          </w:tcPr>
          <w:p w14:paraId="5EA285DE" w14:textId="77777777" w:rsidR="003C66EB" w:rsidRDefault="003C66EB">
            <w:pPr>
              <w:rPr>
                <w:rFonts w:ascii="宋体"/>
                <w:vanish/>
              </w:rPr>
            </w:pPr>
          </w:p>
        </w:tc>
        <w:tc>
          <w:tcPr>
            <w:tcW w:w="0" w:type="auto"/>
            <w:gridSpan w:val="3"/>
            <w:shd w:val="clear" w:color="auto" w:fill="auto"/>
          </w:tcPr>
          <w:p w14:paraId="5EA285DF" w14:textId="77777777" w:rsidR="003C66EB" w:rsidRDefault="003C66EB">
            <w:pPr>
              <w:rPr>
                <w:rFonts w:ascii="宋体"/>
                <w:vanish/>
              </w:rPr>
            </w:pPr>
          </w:p>
        </w:tc>
        <w:tc>
          <w:tcPr>
            <w:tcW w:w="0" w:type="auto"/>
            <w:gridSpan w:val="3"/>
            <w:shd w:val="clear" w:color="auto" w:fill="auto"/>
          </w:tcPr>
          <w:p w14:paraId="5EA285E0" w14:textId="77777777" w:rsidR="003C66EB" w:rsidRDefault="003C66EB">
            <w:pPr>
              <w:rPr>
                <w:rFonts w:ascii="宋体"/>
                <w:vanish/>
              </w:rPr>
            </w:pPr>
          </w:p>
        </w:tc>
        <w:tc>
          <w:tcPr>
            <w:tcW w:w="0" w:type="auto"/>
            <w:gridSpan w:val="3"/>
            <w:shd w:val="clear" w:color="auto" w:fill="auto"/>
          </w:tcPr>
          <w:p w14:paraId="5EA285E1" w14:textId="77777777" w:rsidR="003C66EB" w:rsidRDefault="003C66EB">
            <w:pPr>
              <w:rPr>
                <w:rFonts w:ascii="宋体"/>
                <w:vanish/>
              </w:rPr>
            </w:pPr>
          </w:p>
        </w:tc>
        <w:tc>
          <w:tcPr>
            <w:tcW w:w="0" w:type="auto"/>
            <w:gridSpan w:val="3"/>
            <w:shd w:val="clear" w:color="auto" w:fill="auto"/>
          </w:tcPr>
          <w:p w14:paraId="5EA285E2" w14:textId="77777777" w:rsidR="003C66EB" w:rsidRDefault="003C66EB">
            <w:pPr>
              <w:rPr>
                <w:rFonts w:ascii="宋体"/>
                <w:vanish/>
              </w:rPr>
            </w:pPr>
          </w:p>
        </w:tc>
        <w:tc>
          <w:tcPr>
            <w:tcW w:w="0" w:type="auto"/>
            <w:gridSpan w:val="3"/>
            <w:shd w:val="clear" w:color="auto" w:fill="auto"/>
          </w:tcPr>
          <w:p w14:paraId="5EA285E3" w14:textId="77777777" w:rsidR="003C66EB" w:rsidRDefault="003C66EB">
            <w:pPr>
              <w:rPr>
                <w:rFonts w:ascii="宋体"/>
                <w:vanish/>
              </w:rPr>
            </w:pPr>
          </w:p>
        </w:tc>
        <w:tc>
          <w:tcPr>
            <w:tcW w:w="0" w:type="auto"/>
            <w:gridSpan w:val="3"/>
            <w:shd w:val="clear" w:color="auto" w:fill="auto"/>
          </w:tcPr>
          <w:p w14:paraId="5EA285E4" w14:textId="77777777" w:rsidR="003C66EB" w:rsidRDefault="003C66EB">
            <w:pPr>
              <w:rPr>
                <w:rFonts w:ascii="宋体"/>
                <w:vanish/>
              </w:rPr>
            </w:pPr>
          </w:p>
        </w:tc>
        <w:tc>
          <w:tcPr>
            <w:tcW w:w="0" w:type="auto"/>
            <w:gridSpan w:val="3"/>
            <w:shd w:val="clear" w:color="auto" w:fill="auto"/>
          </w:tcPr>
          <w:p w14:paraId="5EA285E5" w14:textId="77777777" w:rsidR="003C66EB" w:rsidRDefault="003C66EB">
            <w:pPr>
              <w:rPr>
                <w:rFonts w:ascii="宋体"/>
                <w:vanish/>
              </w:rPr>
            </w:pPr>
          </w:p>
        </w:tc>
        <w:tc>
          <w:tcPr>
            <w:tcW w:w="0" w:type="auto"/>
            <w:shd w:val="clear" w:color="auto" w:fill="auto"/>
          </w:tcPr>
          <w:p w14:paraId="5EA285E6" w14:textId="77777777" w:rsidR="003C66EB" w:rsidRDefault="003C66EB">
            <w:pPr>
              <w:rPr>
                <w:rFonts w:ascii="宋体"/>
                <w:vanish/>
              </w:rPr>
            </w:pPr>
          </w:p>
        </w:tc>
      </w:tr>
      <w:tr w:rsidR="003C66EB" w14:paraId="5EA285F1" w14:textId="77777777">
        <w:trPr>
          <w:hidden/>
        </w:trPr>
        <w:tc>
          <w:tcPr>
            <w:tcW w:w="0" w:type="auto"/>
            <w:gridSpan w:val="3"/>
            <w:shd w:val="clear" w:color="auto" w:fill="auto"/>
          </w:tcPr>
          <w:p w14:paraId="5EA285E8" w14:textId="77777777" w:rsidR="003C66EB" w:rsidRDefault="003C66EB">
            <w:pPr>
              <w:rPr>
                <w:rFonts w:ascii="宋体"/>
                <w:vanish/>
              </w:rPr>
            </w:pPr>
          </w:p>
        </w:tc>
        <w:tc>
          <w:tcPr>
            <w:tcW w:w="0" w:type="auto"/>
            <w:gridSpan w:val="3"/>
            <w:shd w:val="clear" w:color="auto" w:fill="auto"/>
          </w:tcPr>
          <w:p w14:paraId="5EA285E9" w14:textId="77777777" w:rsidR="003C66EB" w:rsidRDefault="003C66EB">
            <w:pPr>
              <w:rPr>
                <w:rFonts w:ascii="宋体"/>
                <w:vanish/>
              </w:rPr>
            </w:pPr>
          </w:p>
        </w:tc>
        <w:tc>
          <w:tcPr>
            <w:tcW w:w="0" w:type="auto"/>
            <w:gridSpan w:val="3"/>
            <w:shd w:val="clear" w:color="auto" w:fill="auto"/>
          </w:tcPr>
          <w:p w14:paraId="5EA285EA" w14:textId="77777777" w:rsidR="003C66EB" w:rsidRDefault="003C66EB">
            <w:pPr>
              <w:rPr>
                <w:rFonts w:ascii="宋体"/>
                <w:vanish/>
              </w:rPr>
            </w:pPr>
          </w:p>
        </w:tc>
        <w:tc>
          <w:tcPr>
            <w:tcW w:w="0" w:type="auto"/>
            <w:gridSpan w:val="3"/>
            <w:shd w:val="clear" w:color="auto" w:fill="auto"/>
          </w:tcPr>
          <w:p w14:paraId="5EA285EB" w14:textId="77777777" w:rsidR="003C66EB" w:rsidRDefault="003C66EB">
            <w:pPr>
              <w:rPr>
                <w:rFonts w:ascii="宋体"/>
                <w:vanish/>
              </w:rPr>
            </w:pPr>
          </w:p>
        </w:tc>
        <w:tc>
          <w:tcPr>
            <w:tcW w:w="0" w:type="auto"/>
            <w:gridSpan w:val="3"/>
            <w:shd w:val="clear" w:color="auto" w:fill="auto"/>
          </w:tcPr>
          <w:p w14:paraId="5EA285EC" w14:textId="77777777" w:rsidR="003C66EB" w:rsidRDefault="003C66EB">
            <w:pPr>
              <w:rPr>
                <w:rFonts w:ascii="宋体"/>
                <w:vanish/>
              </w:rPr>
            </w:pPr>
          </w:p>
        </w:tc>
        <w:tc>
          <w:tcPr>
            <w:tcW w:w="0" w:type="auto"/>
            <w:gridSpan w:val="3"/>
            <w:shd w:val="clear" w:color="auto" w:fill="auto"/>
          </w:tcPr>
          <w:p w14:paraId="5EA285ED" w14:textId="77777777" w:rsidR="003C66EB" w:rsidRDefault="003C66EB">
            <w:pPr>
              <w:rPr>
                <w:rFonts w:ascii="宋体"/>
                <w:vanish/>
              </w:rPr>
            </w:pPr>
          </w:p>
        </w:tc>
        <w:tc>
          <w:tcPr>
            <w:tcW w:w="0" w:type="auto"/>
            <w:gridSpan w:val="3"/>
            <w:shd w:val="clear" w:color="auto" w:fill="auto"/>
          </w:tcPr>
          <w:p w14:paraId="5EA285EE" w14:textId="77777777" w:rsidR="003C66EB" w:rsidRDefault="003C66EB">
            <w:pPr>
              <w:rPr>
                <w:rFonts w:ascii="宋体"/>
                <w:vanish/>
              </w:rPr>
            </w:pPr>
          </w:p>
        </w:tc>
        <w:tc>
          <w:tcPr>
            <w:tcW w:w="0" w:type="auto"/>
            <w:gridSpan w:val="3"/>
            <w:shd w:val="clear" w:color="auto" w:fill="auto"/>
          </w:tcPr>
          <w:p w14:paraId="5EA285EF" w14:textId="77777777" w:rsidR="003C66EB" w:rsidRDefault="003C66EB">
            <w:pPr>
              <w:rPr>
                <w:rFonts w:ascii="宋体"/>
                <w:vanish/>
              </w:rPr>
            </w:pPr>
          </w:p>
        </w:tc>
        <w:tc>
          <w:tcPr>
            <w:tcW w:w="0" w:type="auto"/>
            <w:shd w:val="clear" w:color="auto" w:fill="auto"/>
          </w:tcPr>
          <w:p w14:paraId="5EA285F0" w14:textId="77777777" w:rsidR="003C66EB" w:rsidRDefault="003C66EB">
            <w:pPr>
              <w:rPr>
                <w:rFonts w:ascii="宋体"/>
                <w:vanish/>
              </w:rPr>
            </w:pPr>
          </w:p>
        </w:tc>
      </w:tr>
      <w:tr w:rsidR="003C66EB" w14:paraId="5EA285FB" w14:textId="77777777">
        <w:trPr>
          <w:hidden/>
        </w:trPr>
        <w:tc>
          <w:tcPr>
            <w:tcW w:w="0" w:type="auto"/>
            <w:gridSpan w:val="3"/>
            <w:shd w:val="clear" w:color="auto" w:fill="auto"/>
          </w:tcPr>
          <w:p w14:paraId="5EA285F2" w14:textId="77777777" w:rsidR="003C66EB" w:rsidRDefault="003C66EB">
            <w:pPr>
              <w:rPr>
                <w:rFonts w:ascii="宋体"/>
                <w:vanish/>
              </w:rPr>
            </w:pPr>
          </w:p>
        </w:tc>
        <w:tc>
          <w:tcPr>
            <w:tcW w:w="0" w:type="auto"/>
            <w:gridSpan w:val="3"/>
            <w:shd w:val="clear" w:color="auto" w:fill="auto"/>
          </w:tcPr>
          <w:p w14:paraId="5EA285F3" w14:textId="77777777" w:rsidR="003C66EB" w:rsidRDefault="003C66EB">
            <w:pPr>
              <w:rPr>
                <w:rFonts w:ascii="宋体"/>
                <w:vanish/>
              </w:rPr>
            </w:pPr>
          </w:p>
        </w:tc>
        <w:tc>
          <w:tcPr>
            <w:tcW w:w="0" w:type="auto"/>
            <w:gridSpan w:val="3"/>
            <w:shd w:val="clear" w:color="auto" w:fill="auto"/>
          </w:tcPr>
          <w:p w14:paraId="5EA285F4" w14:textId="77777777" w:rsidR="003C66EB" w:rsidRDefault="003C66EB">
            <w:pPr>
              <w:rPr>
                <w:rFonts w:ascii="宋体"/>
                <w:vanish/>
              </w:rPr>
            </w:pPr>
          </w:p>
        </w:tc>
        <w:tc>
          <w:tcPr>
            <w:tcW w:w="0" w:type="auto"/>
            <w:gridSpan w:val="3"/>
            <w:shd w:val="clear" w:color="auto" w:fill="auto"/>
          </w:tcPr>
          <w:p w14:paraId="5EA285F5" w14:textId="77777777" w:rsidR="003C66EB" w:rsidRDefault="003C66EB">
            <w:pPr>
              <w:rPr>
                <w:rFonts w:ascii="宋体"/>
                <w:vanish/>
              </w:rPr>
            </w:pPr>
          </w:p>
        </w:tc>
        <w:tc>
          <w:tcPr>
            <w:tcW w:w="0" w:type="auto"/>
            <w:gridSpan w:val="3"/>
            <w:shd w:val="clear" w:color="auto" w:fill="auto"/>
          </w:tcPr>
          <w:p w14:paraId="5EA285F6" w14:textId="77777777" w:rsidR="003C66EB" w:rsidRDefault="003C66EB">
            <w:pPr>
              <w:rPr>
                <w:rFonts w:ascii="宋体"/>
                <w:vanish/>
              </w:rPr>
            </w:pPr>
          </w:p>
        </w:tc>
        <w:tc>
          <w:tcPr>
            <w:tcW w:w="0" w:type="auto"/>
            <w:gridSpan w:val="3"/>
            <w:shd w:val="clear" w:color="auto" w:fill="auto"/>
          </w:tcPr>
          <w:p w14:paraId="5EA285F7" w14:textId="77777777" w:rsidR="003C66EB" w:rsidRDefault="003C66EB">
            <w:pPr>
              <w:rPr>
                <w:rFonts w:ascii="宋体"/>
                <w:vanish/>
              </w:rPr>
            </w:pPr>
          </w:p>
        </w:tc>
        <w:tc>
          <w:tcPr>
            <w:tcW w:w="0" w:type="auto"/>
            <w:gridSpan w:val="3"/>
            <w:shd w:val="clear" w:color="auto" w:fill="auto"/>
          </w:tcPr>
          <w:p w14:paraId="5EA285F8" w14:textId="77777777" w:rsidR="003C66EB" w:rsidRDefault="003C66EB">
            <w:pPr>
              <w:rPr>
                <w:rFonts w:ascii="宋体"/>
                <w:vanish/>
              </w:rPr>
            </w:pPr>
          </w:p>
        </w:tc>
        <w:tc>
          <w:tcPr>
            <w:tcW w:w="0" w:type="auto"/>
            <w:gridSpan w:val="3"/>
            <w:shd w:val="clear" w:color="auto" w:fill="auto"/>
          </w:tcPr>
          <w:p w14:paraId="5EA285F9" w14:textId="77777777" w:rsidR="003C66EB" w:rsidRDefault="003C66EB">
            <w:pPr>
              <w:rPr>
                <w:rFonts w:ascii="宋体"/>
                <w:vanish/>
              </w:rPr>
            </w:pPr>
          </w:p>
        </w:tc>
        <w:tc>
          <w:tcPr>
            <w:tcW w:w="0" w:type="auto"/>
            <w:shd w:val="clear" w:color="auto" w:fill="auto"/>
          </w:tcPr>
          <w:p w14:paraId="5EA285FA" w14:textId="77777777" w:rsidR="003C66EB" w:rsidRDefault="003C66EB">
            <w:pPr>
              <w:rPr>
                <w:rFonts w:ascii="宋体"/>
                <w:vanish/>
              </w:rPr>
            </w:pPr>
          </w:p>
        </w:tc>
      </w:tr>
    </w:tbl>
    <w:p w14:paraId="5EA285FC" w14:textId="77777777" w:rsidR="003C66EB" w:rsidRDefault="003C66EB">
      <w:pPr>
        <w:spacing w:before="20" w:after="60"/>
        <w:ind w:firstLine="450"/>
      </w:pPr>
    </w:p>
    <w:p w14:paraId="5EA285FD" w14:textId="77777777" w:rsidR="003C66EB" w:rsidRDefault="003C66EB">
      <w:pPr>
        <w:spacing w:before="20" w:after="60"/>
        <w:ind w:firstLine="450"/>
      </w:pPr>
    </w:p>
    <w:p w14:paraId="5EA285FE" w14:textId="77777777" w:rsidR="003C66EB" w:rsidRDefault="003C66EB">
      <w:pPr>
        <w:spacing w:before="20" w:after="60"/>
        <w:ind w:firstLine="450"/>
      </w:pPr>
    </w:p>
    <w:p w14:paraId="5EA285FF" w14:textId="77777777" w:rsidR="003C66EB" w:rsidRDefault="00D96C4E">
      <w:pPr>
        <w:ind w:firstLine="450"/>
        <w:jc w:val="right"/>
      </w:pPr>
      <w:r>
        <w:rPr>
          <w:rFonts w:ascii="Arial" w:eastAsia="宋体" w:hAnsi="Arial" w:cs="Arial"/>
          <w:color w:val="000000"/>
          <w:sz w:val="18"/>
          <w:szCs w:val="18"/>
        </w:rPr>
        <w:t>State Street Corporation | 89</w:t>
      </w:r>
    </w:p>
    <w:p w14:paraId="5EA28600" w14:textId="77777777" w:rsidR="003C66EB" w:rsidRDefault="003C66EB">
      <w:pPr>
        <w:ind w:firstLine="450"/>
        <w:jc w:val="center"/>
      </w:pPr>
    </w:p>
    <w:p w14:paraId="5EA28601" w14:textId="77777777" w:rsidR="003C66EB" w:rsidRDefault="00D96C4E">
      <w:r>
        <w:pict w14:anchorId="5EA28809">
          <v:rect id="_x0000_i1113" style="width:415.3pt;height:1.5pt" o:hralign="center" o:hrstd="t" o:hr="t" fillcolor="#a0a0a0" stroked="f"/>
        </w:pict>
      </w:r>
    </w:p>
    <w:p w14:paraId="5EA28602" w14:textId="77777777" w:rsidR="003C66EB" w:rsidRDefault="003C66EB">
      <w:pPr>
        <w:ind w:firstLine="450"/>
      </w:pPr>
    </w:p>
    <w:p w14:paraId="5EA28603" w14:textId="77777777" w:rsidR="003C66EB" w:rsidRDefault="003C66EB">
      <w:pPr>
        <w:ind w:firstLine="450"/>
        <w:jc w:val="center"/>
      </w:pPr>
    </w:p>
    <w:p w14:paraId="5EA28604" w14:textId="77777777" w:rsidR="003C66EB" w:rsidRDefault="00D96C4E">
      <w:pPr>
        <w:spacing w:before="180"/>
        <w:jc w:val="both"/>
      </w:pPr>
      <w:r>
        <w:rPr>
          <w:rFonts w:ascii="Arial" w:eastAsia="宋体" w:hAnsi="Arial" w:cs="Arial"/>
          <w:b/>
          <w:bCs/>
          <w:color w:val="000000"/>
          <w:sz w:val="20"/>
          <w:szCs w:val="20"/>
        </w:rPr>
        <w:t xml:space="preserve">ITEM </w:t>
      </w:r>
      <w:r>
        <w:rPr>
          <w:rFonts w:ascii="Arial" w:eastAsia="宋体" w:hAnsi="Arial" w:cs="Arial"/>
          <w:b/>
          <w:bCs/>
          <w:color w:val="000000"/>
          <w:sz w:val="20"/>
          <w:szCs w:val="20"/>
        </w:rPr>
        <w:t>6.    EXHIBITS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7"/>
        <w:gridCol w:w="37"/>
        <w:gridCol w:w="85"/>
        <w:gridCol w:w="759"/>
        <w:gridCol w:w="37"/>
        <w:gridCol w:w="36"/>
        <w:gridCol w:w="36"/>
        <w:gridCol w:w="36"/>
        <w:gridCol w:w="40"/>
        <w:gridCol w:w="7027"/>
        <w:gridCol w:w="39"/>
      </w:tblGrid>
      <w:tr w:rsidR="003C66EB" w14:paraId="5EA28611" w14:textId="77777777">
        <w:tc>
          <w:tcPr>
            <w:tcW w:w="5" w:type="pct"/>
            <w:shd w:val="clear" w:color="auto" w:fill="auto"/>
          </w:tcPr>
          <w:p w14:paraId="5EA28605" w14:textId="77777777" w:rsidR="003C66EB" w:rsidRDefault="003C66EB">
            <w:pPr>
              <w:rPr>
                <w:rFonts w:ascii="宋体"/>
              </w:rPr>
            </w:pPr>
          </w:p>
        </w:tc>
        <w:tc>
          <w:tcPr>
            <w:tcW w:w="128" w:type="pct"/>
            <w:shd w:val="clear" w:color="auto" w:fill="auto"/>
          </w:tcPr>
          <w:p w14:paraId="5EA28606" w14:textId="77777777" w:rsidR="003C66EB" w:rsidRDefault="003C66EB">
            <w:pPr>
              <w:rPr>
                <w:rFonts w:ascii="宋体"/>
              </w:rPr>
            </w:pPr>
          </w:p>
        </w:tc>
        <w:tc>
          <w:tcPr>
            <w:tcW w:w="5" w:type="pct"/>
            <w:shd w:val="clear" w:color="auto" w:fill="auto"/>
          </w:tcPr>
          <w:p w14:paraId="5EA28607" w14:textId="77777777" w:rsidR="003C66EB" w:rsidRDefault="003C66EB">
            <w:pPr>
              <w:rPr>
                <w:rFonts w:ascii="宋体"/>
              </w:rPr>
            </w:pPr>
          </w:p>
        </w:tc>
        <w:tc>
          <w:tcPr>
            <w:tcW w:w="50" w:type="pct"/>
            <w:shd w:val="clear" w:color="auto" w:fill="auto"/>
          </w:tcPr>
          <w:p w14:paraId="5EA28608" w14:textId="77777777" w:rsidR="003C66EB" w:rsidRDefault="003C66EB">
            <w:pPr>
              <w:rPr>
                <w:rFonts w:ascii="宋体"/>
              </w:rPr>
            </w:pPr>
          </w:p>
        </w:tc>
        <w:tc>
          <w:tcPr>
            <w:tcW w:w="449" w:type="pct"/>
            <w:shd w:val="clear" w:color="auto" w:fill="auto"/>
          </w:tcPr>
          <w:p w14:paraId="5EA28609" w14:textId="77777777" w:rsidR="003C66EB" w:rsidRDefault="003C66EB">
            <w:pPr>
              <w:rPr>
                <w:rFonts w:ascii="宋体"/>
              </w:rPr>
            </w:pPr>
          </w:p>
        </w:tc>
        <w:tc>
          <w:tcPr>
            <w:tcW w:w="5" w:type="pct"/>
            <w:shd w:val="clear" w:color="auto" w:fill="auto"/>
          </w:tcPr>
          <w:p w14:paraId="5EA2860A" w14:textId="77777777" w:rsidR="003C66EB" w:rsidRDefault="003C66EB">
            <w:pPr>
              <w:rPr>
                <w:rFonts w:ascii="宋体"/>
              </w:rPr>
            </w:pPr>
          </w:p>
        </w:tc>
        <w:tc>
          <w:tcPr>
            <w:tcW w:w="5" w:type="pct"/>
            <w:shd w:val="clear" w:color="auto" w:fill="auto"/>
          </w:tcPr>
          <w:p w14:paraId="5EA2860B" w14:textId="77777777" w:rsidR="003C66EB" w:rsidRDefault="003C66EB">
            <w:pPr>
              <w:rPr>
                <w:rFonts w:ascii="宋体"/>
              </w:rPr>
            </w:pPr>
          </w:p>
        </w:tc>
        <w:tc>
          <w:tcPr>
            <w:tcW w:w="26" w:type="pct"/>
            <w:shd w:val="clear" w:color="auto" w:fill="auto"/>
          </w:tcPr>
          <w:p w14:paraId="5EA2860C" w14:textId="77777777" w:rsidR="003C66EB" w:rsidRDefault="003C66EB">
            <w:pPr>
              <w:rPr>
                <w:rFonts w:ascii="宋体"/>
              </w:rPr>
            </w:pPr>
          </w:p>
        </w:tc>
        <w:tc>
          <w:tcPr>
            <w:tcW w:w="5" w:type="pct"/>
            <w:shd w:val="clear" w:color="auto" w:fill="auto"/>
          </w:tcPr>
          <w:p w14:paraId="5EA2860D" w14:textId="77777777" w:rsidR="003C66EB" w:rsidRDefault="003C66EB">
            <w:pPr>
              <w:rPr>
                <w:rFonts w:ascii="宋体"/>
              </w:rPr>
            </w:pPr>
          </w:p>
        </w:tc>
        <w:tc>
          <w:tcPr>
            <w:tcW w:w="50" w:type="pct"/>
            <w:shd w:val="clear" w:color="auto" w:fill="auto"/>
          </w:tcPr>
          <w:p w14:paraId="5EA2860E" w14:textId="77777777" w:rsidR="003C66EB" w:rsidRDefault="003C66EB">
            <w:pPr>
              <w:rPr>
                <w:rFonts w:ascii="宋体"/>
              </w:rPr>
            </w:pPr>
          </w:p>
        </w:tc>
        <w:tc>
          <w:tcPr>
            <w:tcW w:w="4265" w:type="pct"/>
            <w:shd w:val="clear" w:color="auto" w:fill="auto"/>
          </w:tcPr>
          <w:p w14:paraId="5EA2860F" w14:textId="77777777" w:rsidR="003C66EB" w:rsidRDefault="003C66EB">
            <w:pPr>
              <w:rPr>
                <w:rFonts w:ascii="宋体"/>
              </w:rPr>
            </w:pPr>
          </w:p>
        </w:tc>
        <w:tc>
          <w:tcPr>
            <w:tcW w:w="5" w:type="pct"/>
            <w:shd w:val="clear" w:color="auto" w:fill="auto"/>
          </w:tcPr>
          <w:p w14:paraId="5EA28610" w14:textId="77777777" w:rsidR="003C66EB" w:rsidRDefault="003C66EB">
            <w:pPr>
              <w:rPr>
                <w:rFonts w:ascii="宋体"/>
              </w:rPr>
            </w:pPr>
          </w:p>
        </w:tc>
      </w:tr>
      <w:tr w:rsidR="003C66EB" w14:paraId="5EA28615" w14:textId="77777777">
        <w:tc>
          <w:tcPr>
            <w:tcW w:w="0" w:type="auto"/>
            <w:gridSpan w:val="6"/>
            <w:shd w:val="clear" w:color="auto" w:fill="auto"/>
            <w:tcMar>
              <w:top w:w="40" w:type="dxa"/>
              <w:left w:w="20" w:type="dxa"/>
              <w:bottom w:w="40" w:type="dxa"/>
              <w:right w:w="20" w:type="dxa"/>
            </w:tcMar>
            <w:vAlign w:val="bottom"/>
          </w:tcPr>
          <w:p w14:paraId="5EA28612" w14:textId="77777777" w:rsidR="003C66EB" w:rsidRDefault="00D96C4E">
            <w:pPr>
              <w:textAlignment w:val="bottom"/>
            </w:pPr>
            <w:r>
              <w:rPr>
                <w:rFonts w:ascii="Arial" w:eastAsia="宋体" w:hAnsi="Arial" w:cs="Arial"/>
                <w:color w:val="000000"/>
                <w:sz w:val="20"/>
                <w:szCs w:val="20"/>
              </w:rPr>
              <w:t>Exhibit No.</w:t>
            </w:r>
          </w:p>
        </w:tc>
        <w:tc>
          <w:tcPr>
            <w:tcW w:w="0" w:type="auto"/>
            <w:gridSpan w:val="3"/>
            <w:shd w:val="clear" w:color="auto" w:fill="auto"/>
            <w:tcMar>
              <w:top w:w="0" w:type="dxa"/>
              <w:left w:w="20" w:type="dxa"/>
              <w:bottom w:w="0" w:type="dxa"/>
              <w:right w:w="20" w:type="dxa"/>
            </w:tcMar>
          </w:tcPr>
          <w:p w14:paraId="5EA2861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14" w14:textId="77777777" w:rsidR="003C66EB" w:rsidRDefault="00D96C4E">
            <w:pPr>
              <w:textAlignment w:val="bottom"/>
            </w:pPr>
            <w:r>
              <w:rPr>
                <w:rFonts w:ascii="Arial" w:eastAsia="宋体" w:hAnsi="Arial" w:cs="Arial"/>
                <w:color w:val="000000"/>
                <w:sz w:val="20"/>
                <w:szCs w:val="20"/>
              </w:rPr>
              <w:t>Exhibit Description</w:t>
            </w:r>
          </w:p>
        </w:tc>
      </w:tr>
      <w:tr w:rsidR="003C66EB" w14:paraId="5EA2861A" w14:textId="77777777">
        <w:trPr>
          <w:hidden/>
        </w:trPr>
        <w:tc>
          <w:tcPr>
            <w:tcW w:w="0" w:type="auto"/>
            <w:gridSpan w:val="3"/>
            <w:shd w:val="clear" w:color="auto" w:fill="auto"/>
          </w:tcPr>
          <w:p w14:paraId="5EA28616" w14:textId="77777777" w:rsidR="003C66EB" w:rsidRDefault="003C66EB">
            <w:pPr>
              <w:rPr>
                <w:rFonts w:ascii="宋体"/>
                <w:vanish/>
              </w:rPr>
            </w:pPr>
          </w:p>
        </w:tc>
        <w:tc>
          <w:tcPr>
            <w:tcW w:w="0" w:type="auto"/>
            <w:gridSpan w:val="3"/>
            <w:shd w:val="clear" w:color="auto" w:fill="auto"/>
          </w:tcPr>
          <w:p w14:paraId="5EA28617" w14:textId="77777777" w:rsidR="003C66EB" w:rsidRDefault="003C66EB">
            <w:pPr>
              <w:rPr>
                <w:rFonts w:ascii="宋体"/>
                <w:vanish/>
              </w:rPr>
            </w:pPr>
          </w:p>
        </w:tc>
        <w:tc>
          <w:tcPr>
            <w:tcW w:w="0" w:type="auto"/>
            <w:gridSpan w:val="3"/>
            <w:shd w:val="clear" w:color="auto" w:fill="auto"/>
          </w:tcPr>
          <w:p w14:paraId="5EA28618" w14:textId="77777777" w:rsidR="003C66EB" w:rsidRDefault="003C66EB">
            <w:pPr>
              <w:rPr>
                <w:rFonts w:ascii="宋体"/>
                <w:vanish/>
              </w:rPr>
            </w:pPr>
          </w:p>
        </w:tc>
        <w:tc>
          <w:tcPr>
            <w:tcW w:w="0" w:type="auto"/>
            <w:gridSpan w:val="3"/>
            <w:shd w:val="clear" w:color="auto" w:fill="auto"/>
          </w:tcPr>
          <w:p w14:paraId="5EA28619" w14:textId="77777777" w:rsidR="003C66EB" w:rsidRDefault="003C66EB">
            <w:pPr>
              <w:rPr>
                <w:rFonts w:ascii="宋体"/>
                <w:vanish/>
              </w:rPr>
            </w:pPr>
          </w:p>
        </w:tc>
      </w:tr>
      <w:tr w:rsidR="003C66EB" w14:paraId="5EA2861F" w14:textId="77777777">
        <w:trPr>
          <w:hidden/>
        </w:trPr>
        <w:tc>
          <w:tcPr>
            <w:tcW w:w="0" w:type="auto"/>
            <w:gridSpan w:val="3"/>
            <w:shd w:val="clear" w:color="auto" w:fill="auto"/>
          </w:tcPr>
          <w:p w14:paraId="5EA2861B" w14:textId="77777777" w:rsidR="003C66EB" w:rsidRDefault="003C66EB">
            <w:pPr>
              <w:rPr>
                <w:rFonts w:ascii="宋体"/>
                <w:vanish/>
              </w:rPr>
            </w:pPr>
          </w:p>
        </w:tc>
        <w:tc>
          <w:tcPr>
            <w:tcW w:w="0" w:type="auto"/>
            <w:gridSpan w:val="3"/>
            <w:shd w:val="clear" w:color="auto" w:fill="auto"/>
          </w:tcPr>
          <w:p w14:paraId="5EA2861C" w14:textId="77777777" w:rsidR="003C66EB" w:rsidRDefault="003C66EB">
            <w:pPr>
              <w:rPr>
                <w:rFonts w:ascii="宋体"/>
                <w:vanish/>
              </w:rPr>
            </w:pPr>
          </w:p>
        </w:tc>
        <w:tc>
          <w:tcPr>
            <w:tcW w:w="0" w:type="auto"/>
            <w:gridSpan w:val="3"/>
            <w:shd w:val="clear" w:color="auto" w:fill="auto"/>
          </w:tcPr>
          <w:p w14:paraId="5EA2861D" w14:textId="77777777" w:rsidR="003C66EB" w:rsidRDefault="003C66EB">
            <w:pPr>
              <w:rPr>
                <w:rFonts w:ascii="宋体"/>
                <w:vanish/>
              </w:rPr>
            </w:pPr>
          </w:p>
        </w:tc>
        <w:tc>
          <w:tcPr>
            <w:tcW w:w="0" w:type="auto"/>
            <w:gridSpan w:val="3"/>
            <w:shd w:val="clear" w:color="auto" w:fill="auto"/>
          </w:tcPr>
          <w:p w14:paraId="5EA2861E" w14:textId="77777777" w:rsidR="003C66EB" w:rsidRDefault="003C66EB">
            <w:pPr>
              <w:rPr>
                <w:rFonts w:ascii="宋体"/>
                <w:vanish/>
              </w:rPr>
            </w:pPr>
          </w:p>
        </w:tc>
      </w:tr>
      <w:tr w:rsidR="003C66EB" w14:paraId="5EA28624"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5EA28620"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6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22" w14:textId="77777777" w:rsidR="003C66EB" w:rsidRDefault="003C66E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5EA28623" w14:textId="77777777" w:rsidR="003C66EB" w:rsidRDefault="003C66EB">
            <w:pPr>
              <w:rPr>
                <w:rFonts w:ascii="宋体"/>
              </w:rPr>
            </w:pPr>
          </w:p>
        </w:tc>
      </w:tr>
      <w:tr w:rsidR="003C66EB" w14:paraId="5EA28629" w14:textId="77777777">
        <w:trPr>
          <w:trHeight w:val="160"/>
        </w:trPr>
        <w:tc>
          <w:tcPr>
            <w:tcW w:w="0" w:type="auto"/>
            <w:gridSpan w:val="3"/>
            <w:shd w:val="clear" w:color="auto" w:fill="auto"/>
            <w:tcMar>
              <w:top w:w="0" w:type="dxa"/>
              <w:left w:w="20" w:type="dxa"/>
              <w:bottom w:w="0" w:type="dxa"/>
              <w:right w:w="20" w:type="dxa"/>
            </w:tcMar>
          </w:tcPr>
          <w:p w14:paraId="5EA2862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2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2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28" w14:textId="77777777" w:rsidR="003C66EB" w:rsidRDefault="003C66EB">
            <w:pPr>
              <w:rPr>
                <w:rFonts w:ascii="宋体"/>
              </w:rPr>
            </w:pPr>
          </w:p>
        </w:tc>
      </w:tr>
      <w:tr w:rsidR="003C66EB" w14:paraId="5EA2862E" w14:textId="77777777">
        <w:tc>
          <w:tcPr>
            <w:tcW w:w="0" w:type="auto"/>
            <w:gridSpan w:val="3"/>
            <w:shd w:val="clear" w:color="auto" w:fill="auto"/>
            <w:tcMar>
              <w:top w:w="0" w:type="dxa"/>
              <w:left w:w="20" w:type="dxa"/>
              <w:bottom w:w="0" w:type="dxa"/>
              <w:right w:w="20" w:type="dxa"/>
            </w:tcMar>
          </w:tcPr>
          <w:p w14:paraId="5EA2862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2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2C"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2D" w14:textId="77777777" w:rsidR="003C66EB" w:rsidRDefault="00D96C4E">
            <w:pPr>
              <w:textAlignment w:val="bottom"/>
            </w:pPr>
            <w:r>
              <w:rPr>
                <w:rFonts w:ascii="Arial" w:eastAsia="宋体" w:hAnsi="Arial" w:cs="Arial"/>
                <w:color w:val="000000"/>
                <w:sz w:val="20"/>
                <w:szCs w:val="20"/>
              </w:rPr>
              <w:t xml:space="preserve">(Note:None of the instruments defining the rights of holders of State Street's outstanding long-term debt are in respect of indebtedness in excess of 10%of the total </w:t>
            </w:r>
            <w:r>
              <w:rPr>
                <w:rFonts w:ascii="Arial" w:eastAsia="宋体" w:hAnsi="Arial" w:cs="Arial"/>
                <w:color w:val="000000"/>
                <w:sz w:val="20"/>
                <w:szCs w:val="20"/>
              </w:rPr>
              <w:t>assets of State Street and its subsidiaries on a consolidated basis. State Street hereby agrees to furnish to the SEC upon request a copy of any other instrument with respect to long-term debt of State Street and its subsidiaries.)</w:t>
            </w:r>
          </w:p>
        </w:tc>
      </w:tr>
      <w:tr w:rsidR="003C66EB" w14:paraId="5EA28633" w14:textId="77777777">
        <w:trPr>
          <w:trHeight w:val="60"/>
        </w:trPr>
        <w:tc>
          <w:tcPr>
            <w:tcW w:w="0" w:type="auto"/>
            <w:gridSpan w:val="3"/>
            <w:shd w:val="clear" w:color="auto" w:fill="auto"/>
            <w:tcMar>
              <w:top w:w="0" w:type="dxa"/>
              <w:left w:w="20" w:type="dxa"/>
              <w:bottom w:w="0" w:type="dxa"/>
              <w:right w:w="20" w:type="dxa"/>
            </w:tcMar>
          </w:tcPr>
          <w:p w14:paraId="5EA2862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3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3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32" w14:textId="77777777" w:rsidR="003C66EB" w:rsidRDefault="003C66EB">
            <w:pPr>
              <w:rPr>
                <w:rFonts w:ascii="宋体"/>
              </w:rPr>
            </w:pPr>
          </w:p>
        </w:tc>
      </w:tr>
      <w:tr w:rsidR="003C66EB" w14:paraId="5EA28638" w14:textId="77777777">
        <w:tc>
          <w:tcPr>
            <w:tcW w:w="0" w:type="auto"/>
            <w:gridSpan w:val="3"/>
            <w:shd w:val="clear" w:color="auto" w:fill="auto"/>
            <w:tcMar>
              <w:top w:w="0" w:type="dxa"/>
              <w:left w:w="20" w:type="dxa"/>
              <w:bottom w:w="0" w:type="dxa"/>
              <w:right w:w="20" w:type="dxa"/>
            </w:tcMar>
          </w:tcPr>
          <w:p w14:paraId="5EA28634"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635" w14:textId="77777777" w:rsidR="003C66EB" w:rsidRDefault="00D96C4E">
            <w:pPr>
              <w:textAlignment w:val="top"/>
            </w:pPr>
            <w:hyperlink r:id="rId65" w:history="1">
              <w:r>
                <w:rPr>
                  <w:rStyle w:val="a5"/>
                  <w:rFonts w:ascii="Arial" w:eastAsia="宋体" w:hAnsi="Arial" w:cs="Arial"/>
                  <w:sz w:val="20"/>
                  <w:szCs w:val="20"/>
                </w:rPr>
                <w:t>10.1†</w:t>
              </w:r>
            </w:hyperlink>
          </w:p>
        </w:tc>
        <w:tc>
          <w:tcPr>
            <w:tcW w:w="0" w:type="auto"/>
            <w:gridSpan w:val="3"/>
            <w:shd w:val="clear" w:color="auto" w:fill="auto"/>
            <w:tcMar>
              <w:top w:w="0" w:type="dxa"/>
              <w:left w:w="20" w:type="dxa"/>
              <w:bottom w:w="0" w:type="dxa"/>
              <w:right w:w="20" w:type="dxa"/>
            </w:tcMar>
          </w:tcPr>
          <w:p w14:paraId="5EA28636"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37" w14:textId="77777777" w:rsidR="003C66EB" w:rsidRDefault="00D96C4E">
            <w:pPr>
              <w:textAlignment w:val="bottom"/>
            </w:pPr>
            <w:hyperlink r:id="rId66" w:history="1">
              <w:r>
                <w:rPr>
                  <w:rStyle w:val="a5"/>
                  <w:rFonts w:ascii="Arial" w:eastAsia="宋体" w:hAnsi="Arial" w:cs="Arial"/>
                  <w:sz w:val="20"/>
                  <w:szCs w:val="20"/>
                </w:rPr>
                <w:t>Supplemental Cash Incentive Plan, as amended</w:t>
              </w:r>
              <w:r>
                <w:rPr>
                  <w:rStyle w:val="a5"/>
                  <w:rFonts w:ascii="Arial" w:eastAsia="宋体" w:hAnsi="Arial" w:cs="Arial"/>
                  <w:sz w:val="20"/>
                  <w:szCs w:val="20"/>
                </w:rPr>
                <w:t>, First and Second Amendments thereto, and form of award agreement thereunder</w:t>
              </w:r>
            </w:hyperlink>
          </w:p>
        </w:tc>
      </w:tr>
      <w:tr w:rsidR="003C66EB" w14:paraId="5EA2863D" w14:textId="77777777">
        <w:trPr>
          <w:trHeight w:val="100"/>
        </w:trPr>
        <w:tc>
          <w:tcPr>
            <w:tcW w:w="0" w:type="auto"/>
            <w:gridSpan w:val="3"/>
            <w:shd w:val="clear" w:color="auto" w:fill="auto"/>
            <w:tcMar>
              <w:top w:w="0" w:type="dxa"/>
              <w:left w:w="20" w:type="dxa"/>
              <w:bottom w:w="0" w:type="dxa"/>
              <w:right w:w="20" w:type="dxa"/>
            </w:tcMar>
          </w:tcPr>
          <w:p w14:paraId="5EA2863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3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3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3C" w14:textId="77777777" w:rsidR="003C66EB" w:rsidRDefault="003C66EB">
            <w:pPr>
              <w:rPr>
                <w:rFonts w:ascii="宋体"/>
              </w:rPr>
            </w:pPr>
          </w:p>
        </w:tc>
      </w:tr>
      <w:tr w:rsidR="003C66EB" w14:paraId="5EA28642" w14:textId="77777777">
        <w:tc>
          <w:tcPr>
            <w:tcW w:w="0" w:type="auto"/>
            <w:gridSpan w:val="3"/>
            <w:shd w:val="clear" w:color="auto" w:fill="auto"/>
            <w:tcMar>
              <w:top w:w="0" w:type="dxa"/>
              <w:left w:w="20" w:type="dxa"/>
              <w:bottom w:w="0" w:type="dxa"/>
              <w:right w:w="20" w:type="dxa"/>
            </w:tcMar>
          </w:tcPr>
          <w:p w14:paraId="5EA2863E"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2863F" w14:textId="77777777" w:rsidR="003C66EB" w:rsidRDefault="00D96C4E">
            <w:pPr>
              <w:textAlignment w:val="center"/>
            </w:pPr>
            <w:hyperlink r:id="rId67" w:history="1">
              <w:r>
                <w:rPr>
                  <w:rStyle w:val="a5"/>
                  <w:rFonts w:ascii="Arial" w:eastAsia="宋体" w:hAnsi="Arial" w:cs="Arial"/>
                  <w:sz w:val="20"/>
                  <w:szCs w:val="20"/>
                </w:rPr>
                <w:t>10.2†</w:t>
              </w:r>
            </w:hyperlink>
          </w:p>
        </w:tc>
        <w:tc>
          <w:tcPr>
            <w:tcW w:w="0" w:type="auto"/>
            <w:gridSpan w:val="3"/>
            <w:shd w:val="clear" w:color="auto" w:fill="auto"/>
            <w:tcMar>
              <w:top w:w="0" w:type="dxa"/>
              <w:left w:w="20" w:type="dxa"/>
              <w:bottom w:w="0" w:type="dxa"/>
              <w:right w:w="20" w:type="dxa"/>
            </w:tcMar>
          </w:tcPr>
          <w:p w14:paraId="5EA2864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28641" w14:textId="77777777" w:rsidR="003C66EB" w:rsidRDefault="00D96C4E">
            <w:pPr>
              <w:textAlignment w:val="center"/>
            </w:pPr>
            <w:hyperlink r:id="rId68" w:history="1">
              <w:r>
                <w:rPr>
                  <w:rStyle w:val="a5"/>
                  <w:rFonts w:ascii="Arial" w:eastAsia="宋体" w:hAnsi="Arial" w:cs="Arial"/>
                  <w:sz w:val="20"/>
                  <w:szCs w:val="20"/>
                </w:rPr>
                <w:t>State Street's 2017 Stock Incentive Plan and</w:t>
              </w:r>
              <w:r>
                <w:rPr>
                  <w:rStyle w:val="a5"/>
                  <w:rFonts w:ascii="Arial" w:eastAsia="宋体" w:hAnsi="Arial" w:cs="Arial"/>
                  <w:sz w:val="20"/>
                  <w:szCs w:val="20"/>
                </w:rPr>
                <w:t xml:space="preserve"> forms of award agreement thereunder</w:t>
              </w:r>
            </w:hyperlink>
            <w:r>
              <w:rPr>
                <w:rFonts w:ascii="Arial" w:eastAsia="宋体" w:hAnsi="Arial" w:cs="Arial"/>
                <w:color w:val="000000"/>
                <w:sz w:val="20"/>
                <w:szCs w:val="20"/>
              </w:rPr>
              <w:t xml:space="preserve"> </w:t>
            </w:r>
          </w:p>
        </w:tc>
      </w:tr>
      <w:tr w:rsidR="003C66EB" w14:paraId="5EA28647" w14:textId="77777777">
        <w:trPr>
          <w:trHeight w:val="120"/>
        </w:trPr>
        <w:tc>
          <w:tcPr>
            <w:tcW w:w="0" w:type="auto"/>
            <w:gridSpan w:val="3"/>
            <w:shd w:val="clear" w:color="auto" w:fill="auto"/>
            <w:tcMar>
              <w:top w:w="0" w:type="dxa"/>
              <w:left w:w="20" w:type="dxa"/>
              <w:bottom w:w="0" w:type="dxa"/>
              <w:right w:w="20" w:type="dxa"/>
            </w:tcMar>
          </w:tcPr>
          <w:p w14:paraId="5EA2864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4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4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46" w14:textId="77777777" w:rsidR="003C66EB" w:rsidRDefault="003C66EB">
            <w:pPr>
              <w:rPr>
                <w:rFonts w:ascii="宋体"/>
              </w:rPr>
            </w:pPr>
          </w:p>
        </w:tc>
      </w:tr>
      <w:tr w:rsidR="003C66EB" w14:paraId="5EA2864D" w14:textId="77777777">
        <w:tc>
          <w:tcPr>
            <w:tcW w:w="0" w:type="auto"/>
            <w:gridSpan w:val="3"/>
            <w:shd w:val="clear" w:color="auto" w:fill="auto"/>
            <w:tcMar>
              <w:top w:w="0" w:type="dxa"/>
              <w:left w:w="20" w:type="dxa"/>
              <w:bottom w:w="0" w:type="dxa"/>
              <w:right w:w="20" w:type="dxa"/>
            </w:tcMar>
          </w:tcPr>
          <w:p w14:paraId="5EA28648"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649" w14:textId="77777777" w:rsidR="003C66EB" w:rsidRDefault="00D96C4E">
            <w:pPr>
              <w:textAlignment w:val="top"/>
            </w:pPr>
            <w:hyperlink r:id="rId69" w:history="1">
              <w:r>
                <w:rPr>
                  <w:rStyle w:val="a5"/>
                  <w:rFonts w:ascii="Arial" w:eastAsia="宋体" w:hAnsi="Arial" w:cs="Arial"/>
                  <w:sz w:val="20"/>
                  <w:szCs w:val="20"/>
                </w:rPr>
                <w:t>15</w:t>
              </w:r>
            </w:hyperlink>
          </w:p>
        </w:tc>
        <w:tc>
          <w:tcPr>
            <w:tcW w:w="0" w:type="auto"/>
            <w:gridSpan w:val="3"/>
            <w:shd w:val="clear" w:color="auto" w:fill="auto"/>
            <w:tcMar>
              <w:top w:w="0" w:type="dxa"/>
              <w:left w:w="20" w:type="dxa"/>
              <w:bottom w:w="0" w:type="dxa"/>
              <w:right w:w="20" w:type="dxa"/>
            </w:tcMar>
          </w:tcPr>
          <w:p w14:paraId="5EA2864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4B" w14:textId="77777777" w:rsidR="003C66EB" w:rsidRDefault="00D96C4E">
            <w:pPr>
              <w:textAlignment w:val="bottom"/>
            </w:pPr>
            <w:hyperlink r:id="rId70" w:history="1">
              <w:r>
                <w:rPr>
                  <w:rStyle w:val="a5"/>
                  <w:rFonts w:ascii="Arial" w:eastAsia="宋体" w:hAnsi="Arial" w:cs="Arial"/>
                  <w:sz w:val="20"/>
                  <w:szCs w:val="20"/>
                </w:rPr>
                <w:t xml:space="preserve">Acknowledgment Letter of Ernst </w:t>
              </w:r>
              <w:r>
                <w:rPr>
                  <w:rStyle w:val="a5"/>
                  <w:rFonts w:ascii="Arial" w:eastAsia="宋体" w:hAnsi="Arial" w:cs="Arial"/>
                  <w:sz w:val="20"/>
                  <w:szCs w:val="20"/>
                </w:rPr>
                <w:t>&amp; Young LLP, Independent Registered Public Accounting Firm</w:t>
              </w:r>
            </w:hyperlink>
          </w:p>
          <w:p w14:paraId="5EA2864C" w14:textId="77777777" w:rsidR="003C66EB" w:rsidRDefault="003C66EB">
            <w:pPr>
              <w:textAlignment w:val="bottom"/>
            </w:pPr>
          </w:p>
        </w:tc>
      </w:tr>
      <w:tr w:rsidR="003C66EB" w14:paraId="5EA28652" w14:textId="77777777">
        <w:trPr>
          <w:hidden/>
        </w:trPr>
        <w:tc>
          <w:tcPr>
            <w:tcW w:w="0" w:type="auto"/>
            <w:gridSpan w:val="3"/>
            <w:shd w:val="clear" w:color="auto" w:fill="auto"/>
          </w:tcPr>
          <w:p w14:paraId="5EA2864E" w14:textId="77777777" w:rsidR="003C66EB" w:rsidRDefault="003C66EB">
            <w:pPr>
              <w:rPr>
                <w:rFonts w:ascii="宋体"/>
                <w:vanish/>
              </w:rPr>
            </w:pPr>
          </w:p>
        </w:tc>
        <w:tc>
          <w:tcPr>
            <w:tcW w:w="0" w:type="auto"/>
            <w:gridSpan w:val="3"/>
            <w:shd w:val="clear" w:color="auto" w:fill="auto"/>
          </w:tcPr>
          <w:p w14:paraId="5EA2864F" w14:textId="77777777" w:rsidR="003C66EB" w:rsidRDefault="003C66EB">
            <w:pPr>
              <w:rPr>
                <w:rFonts w:ascii="宋体"/>
                <w:vanish/>
              </w:rPr>
            </w:pPr>
          </w:p>
        </w:tc>
        <w:tc>
          <w:tcPr>
            <w:tcW w:w="0" w:type="auto"/>
            <w:gridSpan w:val="3"/>
            <w:shd w:val="clear" w:color="auto" w:fill="auto"/>
          </w:tcPr>
          <w:p w14:paraId="5EA28650" w14:textId="77777777" w:rsidR="003C66EB" w:rsidRDefault="003C66EB">
            <w:pPr>
              <w:rPr>
                <w:rFonts w:ascii="宋体"/>
                <w:vanish/>
              </w:rPr>
            </w:pPr>
          </w:p>
        </w:tc>
        <w:tc>
          <w:tcPr>
            <w:tcW w:w="0" w:type="auto"/>
            <w:gridSpan w:val="3"/>
            <w:shd w:val="clear" w:color="auto" w:fill="auto"/>
          </w:tcPr>
          <w:p w14:paraId="5EA28651" w14:textId="77777777" w:rsidR="003C66EB" w:rsidRDefault="003C66EB">
            <w:pPr>
              <w:rPr>
                <w:rFonts w:ascii="宋体"/>
                <w:vanish/>
              </w:rPr>
            </w:pPr>
          </w:p>
        </w:tc>
      </w:tr>
      <w:tr w:rsidR="003C66EB" w14:paraId="5EA28657" w14:textId="77777777">
        <w:trPr>
          <w:hidden/>
        </w:trPr>
        <w:tc>
          <w:tcPr>
            <w:tcW w:w="0" w:type="auto"/>
            <w:gridSpan w:val="3"/>
            <w:shd w:val="clear" w:color="auto" w:fill="auto"/>
          </w:tcPr>
          <w:p w14:paraId="5EA28653" w14:textId="77777777" w:rsidR="003C66EB" w:rsidRDefault="003C66EB">
            <w:pPr>
              <w:rPr>
                <w:rFonts w:ascii="宋体"/>
                <w:vanish/>
              </w:rPr>
            </w:pPr>
          </w:p>
        </w:tc>
        <w:tc>
          <w:tcPr>
            <w:tcW w:w="0" w:type="auto"/>
            <w:gridSpan w:val="3"/>
            <w:shd w:val="clear" w:color="auto" w:fill="auto"/>
          </w:tcPr>
          <w:p w14:paraId="5EA28654" w14:textId="77777777" w:rsidR="003C66EB" w:rsidRDefault="003C66EB">
            <w:pPr>
              <w:rPr>
                <w:rFonts w:ascii="宋体"/>
                <w:vanish/>
              </w:rPr>
            </w:pPr>
          </w:p>
        </w:tc>
        <w:tc>
          <w:tcPr>
            <w:tcW w:w="0" w:type="auto"/>
            <w:gridSpan w:val="3"/>
            <w:shd w:val="clear" w:color="auto" w:fill="auto"/>
          </w:tcPr>
          <w:p w14:paraId="5EA28655" w14:textId="77777777" w:rsidR="003C66EB" w:rsidRDefault="003C66EB">
            <w:pPr>
              <w:rPr>
                <w:rFonts w:ascii="宋体"/>
                <w:vanish/>
              </w:rPr>
            </w:pPr>
          </w:p>
        </w:tc>
        <w:tc>
          <w:tcPr>
            <w:tcW w:w="0" w:type="auto"/>
            <w:gridSpan w:val="3"/>
            <w:shd w:val="clear" w:color="auto" w:fill="auto"/>
          </w:tcPr>
          <w:p w14:paraId="5EA28656" w14:textId="77777777" w:rsidR="003C66EB" w:rsidRDefault="003C66EB">
            <w:pPr>
              <w:rPr>
                <w:rFonts w:ascii="宋体"/>
                <w:vanish/>
              </w:rPr>
            </w:pPr>
          </w:p>
        </w:tc>
      </w:tr>
      <w:tr w:rsidR="003C66EB" w14:paraId="5EA2865C" w14:textId="77777777">
        <w:trPr>
          <w:hidden/>
        </w:trPr>
        <w:tc>
          <w:tcPr>
            <w:tcW w:w="0" w:type="auto"/>
            <w:gridSpan w:val="3"/>
            <w:shd w:val="clear" w:color="auto" w:fill="auto"/>
          </w:tcPr>
          <w:p w14:paraId="5EA28658" w14:textId="77777777" w:rsidR="003C66EB" w:rsidRDefault="003C66EB">
            <w:pPr>
              <w:rPr>
                <w:rFonts w:ascii="宋体"/>
                <w:vanish/>
              </w:rPr>
            </w:pPr>
          </w:p>
        </w:tc>
        <w:tc>
          <w:tcPr>
            <w:tcW w:w="0" w:type="auto"/>
            <w:gridSpan w:val="3"/>
            <w:shd w:val="clear" w:color="auto" w:fill="auto"/>
          </w:tcPr>
          <w:p w14:paraId="5EA28659" w14:textId="77777777" w:rsidR="003C66EB" w:rsidRDefault="003C66EB">
            <w:pPr>
              <w:rPr>
                <w:rFonts w:ascii="宋体"/>
                <w:vanish/>
              </w:rPr>
            </w:pPr>
          </w:p>
        </w:tc>
        <w:tc>
          <w:tcPr>
            <w:tcW w:w="0" w:type="auto"/>
            <w:gridSpan w:val="3"/>
            <w:shd w:val="clear" w:color="auto" w:fill="auto"/>
          </w:tcPr>
          <w:p w14:paraId="5EA2865A" w14:textId="77777777" w:rsidR="003C66EB" w:rsidRDefault="003C66EB">
            <w:pPr>
              <w:rPr>
                <w:rFonts w:ascii="宋体"/>
                <w:vanish/>
              </w:rPr>
            </w:pPr>
          </w:p>
        </w:tc>
        <w:tc>
          <w:tcPr>
            <w:tcW w:w="0" w:type="auto"/>
            <w:gridSpan w:val="3"/>
            <w:shd w:val="clear" w:color="auto" w:fill="auto"/>
          </w:tcPr>
          <w:p w14:paraId="5EA2865B" w14:textId="77777777" w:rsidR="003C66EB" w:rsidRDefault="003C66EB">
            <w:pPr>
              <w:rPr>
                <w:rFonts w:ascii="宋体"/>
                <w:vanish/>
              </w:rPr>
            </w:pPr>
          </w:p>
        </w:tc>
      </w:tr>
      <w:tr w:rsidR="003C66EB" w14:paraId="5EA28661" w14:textId="77777777">
        <w:trPr>
          <w:hidden/>
        </w:trPr>
        <w:tc>
          <w:tcPr>
            <w:tcW w:w="0" w:type="auto"/>
            <w:gridSpan w:val="3"/>
            <w:shd w:val="clear" w:color="auto" w:fill="auto"/>
          </w:tcPr>
          <w:p w14:paraId="5EA2865D" w14:textId="77777777" w:rsidR="003C66EB" w:rsidRDefault="003C66EB">
            <w:pPr>
              <w:rPr>
                <w:rFonts w:ascii="宋体"/>
                <w:vanish/>
              </w:rPr>
            </w:pPr>
          </w:p>
        </w:tc>
        <w:tc>
          <w:tcPr>
            <w:tcW w:w="0" w:type="auto"/>
            <w:gridSpan w:val="3"/>
            <w:shd w:val="clear" w:color="auto" w:fill="auto"/>
          </w:tcPr>
          <w:p w14:paraId="5EA2865E" w14:textId="77777777" w:rsidR="003C66EB" w:rsidRDefault="003C66EB">
            <w:pPr>
              <w:rPr>
                <w:rFonts w:ascii="宋体"/>
                <w:vanish/>
              </w:rPr>
            </w:pPr>
          </w:p>
        </w:tc>
        <w:tc>
          <w:tcPr>
            <w:tcW w:w="0" w:type="auto"/>
            <w:gridSpan w:val="3"/>
            <w:shd w:val="clear" w:color="auto" w:fill="auto"/>
          </w:tcPr>
          <w:p w14:paraId="5EA2865F" w14:textId="77777777" w:rsidR="003C66EB" w:rsidRDefault="003C66EB">
            <w:pPr>
              <w:rPr>
                <w:rFonts w:ascii="宋体"/>
                <w:vanish/>
              </w:rPr>
            </w:pPr>
          </w:p>
        </w:tc>
        <w:tc>
          <w:tcPr>
            <w:tcW w:w="0" w:type="auto"/>
            <w:gridSpan w:val="3"/>
            <w:shd w:val="clear" w:color="auto" w:fill="auto"/>
          </w:tcPr>
          <w:p w14:paraId="5EA28660" w14:textId="77777777" w:rsidR="003C66EB" w:rsidRDefault="003C66EB">
            <w:pPr>
              <w:rPr>
                <w:rFonts w:ascii="宋体"/>
                <w:vanish/>
              </w:rPr>
            </w:pPr>
          </w:p>
        </w:tc>
      </w:tr>
      <w:tr w:rsidR="003C66EB" w14:paraId="5EA28666" w14:textId="77777777">
        <w:trPr>
          <w:trHeight w:val="60"/>
        </w:trPr>
        <w:tc>
          <w:tcPr>
            <w:tcW w:w="0" w:type="auto"/>
            <w:gridSpan w:val="3"/>
            <w:shd w:val="clear" w:color="auto" w:fill="auto"/>
            <w:tcMar>
              <w:top w:w="0" w:type="dxa"/>
              <w:left w:w="20" w:type="dxa"/>
              <w:bottom w:w="0" w:type="dxa"/>
              <w:right w:w="20" w:type="dxa"/>
            </w:tcMar>
          </w:tcPr>
          <w:p w14:paraId="5EA2866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6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65" w14:textId="77777777" w:rsidR="003C66EB" w:rsidRDefault="003C66EB">
            <w:pPr>
              <w:rPr>
                <w:rFonts w:ascii="宋体"/>
              </w:rPr>
            </w:pPr>
          </w:p>
        </w:tc>
      </w:tr>
      <w:tr w:rsidR="003C66EB" w14:paraId="5EA2866B" w14:textId="77777777">
        <w:tc>
          <w:tcPr>
            <w:tcW w:w="0" w:type="auto"/>
            <w:gridSpan w:val="3"/>
            <w:shd w:val="clear" w:color="auto" w:fill="auto"/>
            <w:tcMar>
              <w:top w:w="0" w:type="dxa"/>
              <w:left w:w="20" w:type="dxa"/>
              <w:bottom w:w="0" w:type="dxa"/>
              <w:right w:w="20" w:type="dxa"/>
            </w:tcMar>
          </w:tcPr>
          <w:p w14:paraId="5EA2866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668" w14:textId="77777777" w:rsidR="003C66EB" w:rsidRDefault="00D96C4E">
            <w:pPr>
              <w:textAlignment w:val="top"/>
            </w:pPr>
            <w:hyperlink r:id="rId71"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tcPr>
          <w:p w14:paraId="5EA2866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6A" w14:textId="77777777" w:rsidR="003C66EB" w:rsidRDefault="00D96C4E">
            <w:pPr>
              <w:textAlignment w:val="bottom"/>
            </w:pPr>
            <w:hyperlink r:id="rId72" w:history="1">
              <w:r>
                <w:rPr>
                  <w:rStyle w:val="a5"/>
                  <w:rFonts w:ascii="Arial" w:eastAsia="宋体" w:hAnsi="Arial" w:cs="Arial"/>
                  <w:sz w:val="20"/>
                  <w:szCs w:val="20"/>
                </w:rPr>
                <w:t>Rule 13a-14(a)/15d-14(a) Certificatio</w:t>
              </w:r>
              <w:r>
                <w:rPr>
                  <w:rStyle w:val="a5"/>
                  <w:rFonts w:ascii="Arial" w:eastAsia="宋体" w:hAnsi="Arial" w:cs="Arial"/>
                  <w:sz w:val="20"/>
                  <w:szCs w:val="20"/>
                </w:rPr>
                <w:t>n of Chairman, President and Chief Executive Officer</w:t>
              </w:r>
            </w:hyperlink>
          </w:p>
        </w:tc>
      </w:tr>
      <w:tr w:rsidR="003C66EB" w14:paraId="5EA28670" w14:textId="77777777">
        <w:trPr>
          <w:trHeight w:val="60"/>
        </w:trPr>
        <w:tc>
          <w:tcPr>
            <w:tcW w:w="0" w:type="auto"/>
            <w:gridSpan w:val="3"/>
            <w:shd w:val="clear" w:color="auto" w:fill="auto"/>
            <w:tcMar>
              <w:top w:w="0" w:type="dxa"/>
              <w:left w:w="20" w:type="dxa"/>
              <w:bottom w:w="0" w:type="dxa"/>
              <w:right w:w="20" w:type="dxa"/>
            </w:tcMar>
          </w:tcPr>
          <w:p w14:paraId="5EA2866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6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6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6F" w14:textId="77777777" w:rsidR="003C66EB" w:rsidRDefault="003C66EB">
            <w:pPr>
              <w:rPr>
                <w:rFonts w:ascii="宋体"/>
              </w:rPr>
            </w:pPr>
          </w:p>
        </w:tc>
      </w:tr>
      <w:tr w:rsidR="003C66EB" w14:paraId="5EA28675" w14:textId="77777777">
        <w:tc>
          <w:tcPr>
            <w:tcW w:w="0" w:type="auto"/>
            <w:gridSpan w:val="3"/>
            <w:shd w:val="clear" w:color="auto" w:fill="auto"/>
            <w:tcMar>
              <w:top w:w="0" w:type="dxa"/>
              <w:left w:w="20" w:type="dxa"/>
              <w:bottom w:w="0" w:type="dxa"/>
              <w:right w:w="20" w:type="dxa"/>
            </w:tcMar>
          </w:tcPr>
          <w:p w14:paraId="5EA2867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672" w14:textId="77777777" w:rsidR="003C66EB" w:rsidRDefault="00D96C4E">
            <w:pPr>
              <w:textAlignment w:val="top"/>
            </w:pPr>
            <w:hyperlink r:id="rId73"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tcPr>
          <w:p w14:paraId="5EA2867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74" w14:textId="77777777" w:rsidR="003C66EB" w:rsidRDefault="00D96C4E">
            <w:pPr>
              <w:textAlignment w:val="bottom"/>
            </w:pPr>
            <w:hyperlink r:id="rId74" w:history="1">
              <w:r>
                <w:rPr>
                  <w:rStyle w:val="a5"/>
                  <w:rFonts w:ascii="Arial" w:eastAsia="宋体" w:hAnsi="Arial" w:cs="Arial"/>
                  <w:sz w:val="20"/>
                  <w:szCs w:val="20"/>
                </w:rPr>
                <w:t>Rule 13a-14(a)/15d-14(a) Certificatio</w:t>
              </w:r>
              <w:r>
                <w:rPr>
                  <w:rStyle w:val="a5"/>
                  <w:rFonts w:ascii="Arial" w:eastAsia="宋体" w:hAnsi="Arial" w:cs="Arial"/>
                  <w:sz w:val="20"/>
                  <w:szCs w:val="20"/>
                </w:rPr>
                <w:t>n of Chief Financial Officer</w:t>
              </w:r>
            </w:hyperlink>
          </w:p>
        </w:tc>
      </w:tr>
      <w:tr w:rsidR="003C66EB" w14:paraId="5EA2867A" w14:textId="77777777">
        <w:trPr>
          <w:trHeight w:val="60"/>
        </w:trPr>
        <w:tc>
          <w:tcPr>
            <w:tcW w:w="0" w:type="auto"/>
            <w:gridSpan w:val="3"/>
            <w:shd w:val="clear" w:color="auto" w:fill="auto"/>
            <w:tcMar>
              <w:top w:w="0" w:type="dxa"/>
              <w:left w:w="20" w:type="dxa"/>
              <w:bottom w:w="0" w:type="dxa"/>
              <w:right w:w="20" w:type="dxa"/>
            </w:tcMar>
          </w:tcPr>
          <w:p w14:paraId="5EA2867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7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7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79" w14:textId="77777777" w:rsidR="003C66EB" w:rsidRDefault="003C66EB">
            <w:pPr>
              <w:rPr>
                <w:rFonts w:ascii="宋体"/>
              </w:rPr>
            </w:pPr>
          </w:p>
        </w:tc>
      </w:tr>
      <w:tr w:rsidR="003C66EB" w14:paraId="5EA2867F" w14:textId="77777777">
        <w:tc>
          <w:tcPr>
            <w:tcW w:w="0" w:type="auto"/>
            <w:gridSpan w:val="3"/>
            <w:shd w:val="clear" w:color="auto" w:fill="auto"/>
            <w:tcMar>
              <w:top w:w="0" w:type="dxa"/>
              <w:left w:w="20" w:type="dxa"/>
              <w:bottom w:w="0" w:type="dxa"/>
              <w:right w:w="20" w:type="dxa"/>
            </w:tcMar>
          </w:tcPr>
          <w:p w14:paraId="5EA2867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67C" w14:textId="77777777" w:rsidR="003C66EB" w:rsidRDefault="00D96C4E">
            <w:pPr>
              <w:textAlignment w:val="top"/>
            </w:pPr>
            <w:hyperlink r:id="rId75"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tcPr>
          <w:p w14:paraId="5EA2867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7E" w14:textId="77777777" w:rsidR="003C66EB" w:rsidRDefault="00D96C4E">
            <w:pPr>
              <w:textAlignment w:val="bottom"/>
            </w:pPr>
            <w:hyperlink r:id="rId76" w:history="1">
              <w:r>
                <w:rPr>
                  <w:rStyle w:val="a5"/>
                  <w:rFonts w:ascii="Arial" w:eastAsia="宋体" w:hAnsi="Arial" w:cs="Arial"/>
                  <w:sz w:val="20"/>
                  <w:szCs w:val="20"/>
                </w:rPr>
                <w:t>Section 1350 Certifications</w:t>
              </w:r>
            </w:hyperlink>
          </w:p>
        </w:tc>
      </w:tr>
      <w:tr w:rsidR="003C66EB" w14:paraId="5EA28684" w14:textId="77777777">
        <w:trPr>
          <w:trHeight w:val="60"/>
        </w:trPr>
        <w:tc>
          <w:tcPr>
            <w:tcW w:w="0" w:type="auto"/>
            <w:gridSpan w:val="3"/>
            <w:shd w:val="clear" w:color="auto" w:fill="auto"/>
            <w:tcMar>
              <w:top w:w="0" w:type="dxa"/>
              <w:left w:w="20" w:type="dxa"/>
              <w:bottom w:w="0" w:type="dxa"/>
              <w:right w:w="20" w:type="dxa"/>
            </w:tcMar>
          </w:tcPr>
          <w:p w14:paraId="5EA2868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8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8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83" w14:textId="77777777" w:rsidR="003C66EB" w:rsidRDefault="003C66EB">
            <w:pPr>
              <w:rPr>
                <w:rFonts w:ascii="宋体"/>
              </w:rPr>
            </w:pPr>
          </w:p>
        </w:tc>
      </w:tr>
      <w:tr w:rsidR="003C66EB" w14:paraId="5EA28689" w14:textId="77777777">
        <w:tc>
          <w:tcPr>
            <w:tcW w:w="0" w:type="auto"/>
            <w:gridSpan w:val="3"/>
            <w:shd w:val="clear" w:color="auto" w:fill="auto"/>
            <w:tcMar>
              <w:top w:w="0" w:type="dxa"/>
              <w:left w:w="20" w:type="dxa"/>
              <w:bottom w:w="0" w:type="dxa"/>
              <w:right w:w="20" w:type="dxa"/>
            </w:tcMar>
          </w:tcPr>
          <w:p w14:paraId="5EA2868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28686" w14:textId="77777777" w:rsidR="003C66EB" w:rsidRDefault="00D96C4E">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tcPr>
          <w:p w14:paraId="5EA28687"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28688" w14:textId="77777777" w:rsidR="003C66EB" w:rsidRDefault="00D96C4E">
            <w:pPr>
              <w:textAlignment w:val="center"/>
            </w:pPr>
            <w:r>
              <w:rPr>
                <w:rFonts w:ascii="Arial" w:eastAsia="宋体" w:hAnsi="Arial" w:cs="Arial"/>
                <w:color w:val="000000"/>
                <w:sz w:val="20"/>
                <w:szCs w:val="20"/>
              </w:rPr>
              <w:t xml:space="preserve">The instance document does not appear in the interactive data file because its XBRL tags are </w:t>
            </w:r>
            <w:r>
              <w:rPr>
                <w:rFonts w:ascii="Arial" w:eastAsia="宋体" w:hAnsi="Arial" w:cs="Arial"/>
                <w:color w:val="000000"/>
                <w:sz w:val="20"/>
                <w:szCs w:val="20"/>
              </w:rPr>
              <w:t>embedded within the inline XBRL document</w:t>
            </w:r>
          </w:p>
        </w:tc>
      </w:tr>
      <w:tr w:rsidR="003C66EB" w14:paraId="5EA2868E" w14:textId="77777777">
        <w:trPr>
          <w:trHeight w:val="60"/>
        </w:trPr>
        <w:tc>
          <w:tcPr>
            <w:tcW w:w="0" w:type="auto"/>
            <w:gridSpan w:val="3"/>
            <w:shd w:val="clear" w:color="auto" w:fill="auto"/>
            <w:tcMar>
              <w:top w:w="0" w:type="dxa"/>
              <w:left w:w="20" w:type="dxa"/>
              <w:bottom w:w="0" w:type="dxa"/>
              <w:right w:w="20" w:type="dxa"/>
            </w:tcMar>
          </w:tcPr>
          <w:p w14:paraId="5EA2868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8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8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8D" w14:textId="77777777" w:rsidR="003C66EB" w:rsidRDefault="003C66EB">
            <w:pPr>
              <w:rPr>
                <w:rFonts w:ascii="宋体"/>
              </w:rPr>
            </w:pPr>
          </w:p>
        </w:tc>
      </w:tr>
      <w:tr w:rsidR="003C66EB" w14:paraId="5EA28693" w14:textId="77777777">
        <w:tc>
          <w:tcPr>
            <w:tcW w:w="0" w:type="auto"/>
            <w:gridSpan w:val="3"/>
            <w:shd w:val="clear" w:color="auto" w:fill="auto"/>
            <w:tcMar>
              <w:top w:w="40" w:type="dxa"/>
              <w:left w:w="20" w:type="dxa"/>
              <w:bottom w:w="40" w:type="dxa"/>
              <w:right w:w="20" w:type="dxa"/>
            </w:tcMar>
            <w:vAlign w:val="bottom"/>
          </w:tcPr>
          <w:p w14:paraId="5EA2868F" w14:textId="77777777" w:rsidR="003C66EB" w:rsidRDefault="00D96C4E">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A28690" w14:textId="77777777" w:rsidR="003C66EB" w:rsidRDefault="00D96C4E">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tcPr>
          <w:p w14:paraId="5EA2869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92" w14:textId="77777777" w:rsidR="003C66EB" w:rsidRDefault="00D96C4E">
            <w:pPr>
              <w:textAlignment w:val="bottom"/>
            </w:pPr>
            <w:r>
              <w:rPr>
                <w:rFonts w:ascii="Arial" w:eastAsia="宋体" w:hAnsi="Arial" w:cs="Arial"/>
                <w:color w:val="000000"/>
                <w:sz w:val="20"/>
                <w:szCs w:val="20"/>
              </w:rPr>
              <w:t>Inline XBRL Taxonomy Extension Schema Document</w:t>
            </w:r>
          </w:p>
        </w:tc>
      </w:tr>
      <w:tr w:rsidR="003C66EB" w14:paraId="5EA28698" w14:textId="77777777">
        <w:trPr>
          <w:trHeight w:val="60"/>
        </w:trPr>
        <w:tc>
          <w:tcPr>
            <w:tcW w:w="0" w:type="auto"/>
            <w:gridSpan w:val="3"/>
            <w:shd w:val="clear" w:color="auto" w:fill="auto"/>
            <w:tcMar>
              <w:top w:w="0" w:type="dxa"/>
              <w:left w:w="20" w:type="dxa"/>
              <w:bottom w:w="0" w:type="dxa"/>
              <w:right w:w="20" w:type="dxa"/>
            </w:tcMar>
          </w:tcPr>
          <w:p w14:paraId="5EA2869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9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9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97" w14:textId="77777777" w:rsidR="003C66EB" w:rsidRDefault="003C66EB">
            <w:pPr>
              <w:rPr>
                <w:rFonts w:ascii="宋体"/>
              </w:rPr>
            </w:pPr>
          </w:p>
        </w:tc>
      </w:tr>
      <w:tr w:rsidR="003C66EB" w14:paraId="5EA2869D" w14:textId="77777777">
        <w:tc>
          <w:tcPr>
            <w:tcW w:w="0" w:type="auto"/>
            <w:gridSpan w:val="3"/>
            <w:shd w:val="clear" w:color="auto" w:fill="auto"/>
            <w:tcMar>
              <w:top w:w="40" w:type="dxa"/>
              <w:left w:w="20" w:type="dxa"/>
              <w:bottom w:w="40" w:type="dxa"/>
              <w:right w:w="20" w:type="dxa"/>
            </w:tcMar>
            <w:vAlign w:val="bottom"/>
          </w:tcPr>
          <w:p w14:paraId="5EA28699" w14:textId="77777777" w:rsidR="003C66EB" w:rsidRDefault="00D96C4E">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A2869A" w14:textId="77777777" w:rsidR="003C66EB" w:rsidRDefault="00D96C4E">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tcPr>
          <w:p w14:paraId="5EA2869B"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9C" w14:textId="77777777" w:rsidR="003C66EB" w:rsidRDefault="00D96C4E">
            <w:pPr>
              <w:textAlignment w:val="bottom"/>
            </w:pPr>
            <w:r>
              <w:rPr>
                <w:rFonts w:ascii="Arial" w:eastAsia="宋体" w:hAnsi="Arial" w:cs="Arial"/>
                <w:color w:val="000000"/>
                <w:sz w:val="20"/>
                <w:szCs w:val="20"/>
              </w:rPr>
              <w:t>Inline XBRL Taxonomy Calculation Linkbase Document</w:t>
            </w:r>
          </w:p>
        </w:tc>
      </w:tr>
      <w:tr w:rsidR="003C66EB" w14:paraId="5EA286A2" w14:textId="77777777">
        <w:trPr>
          <w:trHeight w:val="60"/>
        </w:trPr>
        <w:tc>
          <w:tcPr>
            <w:tcW w:w="0" w:type="auto"/>
            <w:gridSpan w:val="3"/>
            <w:shd w:val="clear" w:color="auto" w:fill="auto"/>
            <w:tcMar>
              <w:top w:w="0" w:type="dxa"/>
              <w:left w:w="20" w:type="dxa"/>
              <w:bottom w:w="0" w:type="dxa"/>
              <w:right w:w="20" w:type="dxa"/>
            </w:tcMar>
          </w:tcPr>
          <w:p w14:paraId="5EA2869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9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A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A1" w14:textId="77777777" w:rsidR="003C66EB" w:rsidRDefault="003C66EB">
            <w:pPr>
              <w:rPr>
                <w:rFonts w:ascii="宋体"/>
              </w:rPr>
            </w:pPr>
          </w:p>
        </w:tc>
      </w:tr>
      <w:tr w:rsidR="003C66EB" w14:paraId="5EA286A7" w14:textId="77777777">
        <w:tc>
          <w:tcPr>
            <w:tcW w:w="0" w:type="auto"/>
            <w:gridSpan w:val="3"/>
            <w:shd w:val="clear" w:color="auto" w:fill="auto"/>
            <w:tcMar>
              <w:top w:w="40" w:type="dxa"/>
              <w:left w:w="20" w:type="dxa"/>
              <w:bottom w:w="40" w:type="dxa"/>
              <w:right w:w="20" w:type="dxa"/>
            </w:tcMar>
            <w:vAlign w:val="bottom"/>
          </w:tcPr>
          <w:p w14:paraId="5EA286A3" w14:textId="77777777" w:rsidR="003C66EB" w:rsidRDefault="00D96C4E">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A286A4" w14:textId="77777777" w:rsidR="003C66EB" w:rsidRDefault="00D96C4E">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tcPr>
          <w:p w14:paraId="5EA286A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A6" w14:textId="77777777" w:rsidR="003C66EB" w:rsidRDefault="00D96C4E">
            <w:pPr>
              <w:textAlignment w:val="bottom"/>
            </w:pPr>
            <w:r>
              <w:rPr>
                <w:rFonts w:ascii="Arial" w:eastAsia="宋体" w:hAnsi="Arial" w:cs="Arial"/>
                <w:color w:val="000000"/>
                <w:sz w:val="20"/>
                <w:szCs w:val="20"/>
              </w:rPr>
              <w:t xml:space="preserve">Inline XBRL Taxonomy Extension Definition Linkbase </w:t>
            </w:r>
            <w:r>
              <w:rPr>
                <w:rFonts w:ascii="Arial" w:eastAsia="宋体" w:hAnsi="Arial" w:cs="Arial"/>
                <w:color w:val="000000"/>
                <w:sz w:val="20"/>
                <w:szCs w:val="20"/>
              </w:rPr>
              <w:t>Document</w:t>
            </w:r>
          </w:p>
        </w:tc>
      </w:tr>
      <w:tr w:rsidR="003C66EB" w14:paraId="5EA286AC" w14:textId="77777777">
        <w:trPr>
          <w:trHeight w:val="60"/>
        </w:trPr>
        <w:tc>
          <w:tcPr>
            <w:tcW w:w="0" w:type="auto"/>
            <w:gridSpan w:val="3"/>
            <w:shd w:val="clear" w:color="auto" w:fill="auto"/>
            <w:tcMar>
              <w:top w:w="0" w:type="dxa"/>
              <w:left w:w="20" w:type="dxa"/>
              <w:bottom w:w="0" w:type="dxa"/>
              <w:right w:w="20" w:type="dxa"/>
            </w:tcMar>
          </w:tcPr>
          <w:p w14:paraId="5EA286A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A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A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AB" w14:textId="77777777" w:rsidR="003C66EB" w:rsidRDefault="003C66EB">
            <w:pPr>
              <w:rPr>
                <w:rFonts w:ascii="宋体"/>
              </w:rPr>
            </w:pPr>
          </w:p>
        </w:tc>
      </w:tr>
      <w:tr w:rsidR="003C66EB" w14:paraId="5EA286B1" w14:textId="77777777">
        <w:tc>
          <w:tcPr>
            <w:tcW w:w="0" w:type="auto"/>
            <w:gridSpan w:val="3"/>
            <w:shd w:val="clear" w:color="auto" w:fill="auto"/>
            <w:tcMar>
              <w:top w:w="40" w:type="dxa"/>
              <w:left w:w="20" w:type="dxa"/>
              <w:bottom w:w="40" w:type="dxa"/>
              <w:right w:w="20" w:type="dxa"/>
            </w:tcMar>
            <w:vAlign w:val="bottom"/>
          </w:tcPr>
          <w:p w14:paraId="5EA286AD" w14:textId="77777777" w:rsidR="003C66EB" w:rsidRDefault="00D96C4E">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A286AE" w14:textId="77777777" w:rsidR="003C66EB" w:rsidRDefault="00D96C4E">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tcPr>
          <w:p w14:paraId="5EA286A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B0" w14:textId="77777777" w:rsidR="003C66EB" w:rsidRDefault="00D96C4E">
            <w:pPr>
              <w:textAlignment w:val="bottom"/>
            </w:pPr>
            <w:r>
              <w:rPr>
                <w:rFonts w:ascii="Arial" w:eastAsia="宋体" w:hAnsi="Arial" w:cs="Arial"/>
                <w:color w:val="000000"/>
                <w:sz w:val="20"/>
                <w:szCs w:val="20"/>
              </w:rPr>
              <w:t>Inline XBRL Taxonomy Label Linkbase Document</w:t>
            </w:r>
          </w:p>
        </w:tc>
      </w:tr>
      <w:tr w:rsidR="003C66EB" w14:paraId="5EA286B6" w14:textId="77777777">
        <w:trPr>
          <w:trHeight w:val="60"/>
        </w:trPr>
        <w:tc>
          <w:tcPr>
            <w:tcW w:w="0" w:type="auto"/>
            <w:gridSpan w:val="3"/>
            <w:shd w:val="clear" w:color="auto" w:fill="auto"/>
            <w:tcMar>
              <w:top w:w="0" w:type="dxa"/>
              <w:left w:w="20" w:type="dxa"/>
              <w:bottom w:w="0" w:type="dxa"/>
              <w:right w:w="20" w:type="dxa"/>
            </w:tcMar>
          </w:tcPr>
          <w:p w14:paraId="5EA286B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B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B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B5" w14:textId="77777777" w:rsidR="003C66EB" w:rsidRDefault="003C66EB">
            <w:pPr>
              <w:rPr>
                <w:rFonts w:ascii="宋体"/>
              </w:rPr>
            </w:pPr>
          </w:p>
        </w:tc>
      </w:tr>
      <w:tr w:rsidR="003C66EB" w14:paraId="5EA286BB" w14:textId="77777777">
        <w:tc>
          <w:tcPr>
            <w:tcW w:w="0" w:type="auto"/>
            <w:gridSpan w:val="3"/>
            <w:shd w:val="clear" w:color="auto" w:fill="auto"/>
            <w:tcMar>
              <w:top w:w="40" w:type="dxa"/>
              <w:left w:w="20" w:type="dxa"/>
              <w:bottom w:w="40" w:type="dxa"/>
              <w:right w:w="20" w:type="dxa"/>
            </w:tcMar>
            <w:vAlign w:val="bottom"/>
          </w:tcPr>
          <w:p w14:paraId="5EA286B7" w14:textId="77777777" w:rsidR="003C66EB" w:rsidRDefault="00D96C4E">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A286B8" w14:textId="77777777" w:rsidR="003C66EB" w:rsidRDefault="00D96C4E">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tcPr>
          <w:p w14:paraId="5EA286B9"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BA" w14:textId="77777777" w:rsidR="003C66EB" w:rsidRDefault="00D96C4E">
            <w:pPr>
              <w:textAlignment w:val="bottom"/>
            </w:pPr>
            <w:r>
              <w:rPr>
                <w:rFonts w:ascii="Arial" w:eastAsia="宋体" w:hAnsi="Arial" w:cs="Arial"/>
                <w:color w:val="000000"/>
                <w:sz w:val="20"/>
                <w:szCs w:val="20"/>
              </w:rPr>
              <w:t>Inline XBRL Taxonomy Presentation Linkbase Document</w:t>
            </w:r>
          </w:p>
        </w:tc>
      </w:tr>
      <w:tr w:rsidR="003C66EB" w14:paraId="5EA286C0" w14:textId="77777777">
        <w:trPr>
          <w:trHeight w:val="60"/>
        </w:trPr>
        <w:tc>
          <w:tcPr>
            <w:tcW w:w="0" w:type="auto"/>
            <w:gridSpan w:val="3"/>
            <w:shd w:val="clear" w:color="auto" w:fill="auto"/>
            <w:tcMar>
              <w:top w:w="0" w:type="dxa"/>
              <w:left w:w="20" w:type="dxa"/>
              <w:bottom w:w="0" w:type="dxa"/>
              <w:right w:w="20" w:type="dxa"/>
            </w:tcMar>
          </w:tcPr>
          <w:p w14:paraId="5EA286B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B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B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BF" w14:textId="77777777" w:rsidR="003C66EB" w:rsidRDefault="003C66EB">
            <w:pPr>
              <w:rPr>
                <w:rFonts w:ascii="宋体"/>
              </w:rPr>
            </w:pPr>
          </w:p>
        </w:tc>
      </w:tr>
      <w:tr w:rsidR="003C66EB" w14:paraId="5EA286C5" w14:textId="77777777">
        <w:tc>
          <w:tcPr>
            <w:tcW w:w="0" w:type="auto"/>
            <w:gridSpan w:val="3"/>
            <w:shd w:val="clear" w:color="auto" w:fill="auto"/>
            <w:tcMar>
              <w:top w:w="40" w:type="dxa"/>
              <w:left w:w="20" w:type="dxa"/>
              <w:bottom w:w="40" w:type="dxa"/>
              <w:right w:w="20" w:type="dxa"/>
            </w:tcMar>
            <w:vAlign w:val="center"/>
          </w:tcPr>
          <w:p w14:paraId="5EA286C1" w14:textId="77777777" w:rsidR="003C66EB" w:rsidRDefault="00D96C4E">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5EA286C2" w14:textId="77777777" w:rsidR="003C66EB" w:rsidRDefault="00D96C4E">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5EA286C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center"/>
          </w:tcPr>
          <w:p w14:paraId="5EA286C4" w14:textId="77777777" w:rsidR="003C66EB" w:rsidRDefault="00D96C4E">
            <w:pPr>
              <w:textAlignment w:val="center"/>
            </w:pPr>
            <w:r>
              <w:rPr>
                <w:rFonts w:ascii="Arial" w:eastAsia="宋体" w:hAnsi="Arial" w:cs="Arial"/>
                <w:color w:val="000000"/>
                <w:sz w:val="20"/>
                <w:szCs w:val="20"/>
              </w:rPr>
              <w:t xml:space="preserve">Cover Page Interactive Data File (formatted as Inline XBRL and included within the Exhibit 101 </w:t>
            </w:r>
            <w:r>
              <w:rPr>
                <w:rFonts w:ascii="Arial" w:eastAsia="宋体" w:hAnsi="Arial" w:cs="Arial"/>
                <w:color w:val="000000"/>
                <w:sz w:val="20"/>
                <w:szCs w:val="20"/>
              </w:rPr>
              <w:t>attachments)</w:t>
            </w:r>
          </w:p>
        </w:tc>
      </w:tr>
    </w:tbl>
    <w:p w14:paraId="5EA286C6"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3C66EB" w14:paraId="5EA286D3" w14:textId="77777777">
        <w:tc>
          <w:tcPr>
            <w:tcW w:w="50" w:type="pct"/>
            <w:shd w:val="clear" w:color="auto" w:fill="auto"/>
          </w:tcPr>
          <w:p w14:paraId="5EA286C7" w14:textId="77777777" w:rsidR="003C66EB" w:rsidRDefault="003C66EB">
            <w:pPr>
              <w:rPr>
                <w:rFonts w:ascii="宋体"/>
              </w:rPr>
            </w:pPr>
          </w:p>
        </w:tc>
        <w:tc>
          <w:tcPr>
            <w:tcW w:w="1348" w:type="pct"/>
            <w:shd w:val="clear" w:color="auto" w:fill="auto"/>
          </w:tcPr>
          <w:p w14:paraId="5EA286C8" w14:textId="77777777" w:rsidR="003C66EB" w:rsidRDefault="003C66EB">
            <w:pPr>
              <w:rPr>
                <w:rFonts w:ascii="宋体"/>
              </w:rPr>
            </w:pPr>
          </w:p>
        </w:tc>
        <w:tc>
          <w:tcPr>
            <w:tcW w:w="5" w:type="pct"/>
            <w:shd w:val="clear" w:color="auto" w:fill="auto"/>
          </w:tcPr>
          <w:p w14:paraId="5EA286C9" w14:textId="77777777" w:rsidR="003C66EB" w:rsidRDefault="003C66EB">
            <w:pPr>
              <w:rPr>
                <w:rFonts w:ascii="宋体"/>
              </w:rPr>
            </w:pPr>
          </w:p>
        </w:tc>
        <w:tc>
          <w:tcPr>
            <w:tcW w:w="50" w:type="pct"/>
            <w:shd w:val="clear" w:color="auto" w:fill="auto"/>
          </w:tcPr>
          <w:p w14:paraId="5EA286CA" w14:textId="77777777" w:rsidR="003C66EB" w:rsidRDefault="003C66EB">
            <w:pPr>
              <w:rPr>
                <w:rFonts w:ascii="宋体"/>
              </w:rPr>
            </w:pPr>
          </w:p>
        </w:tc>
        <w:tc>
          <w:tcPr>
            <w:tcW w:w="931" w:type="pct"/>
            <w:shd w:val="clear" w:color="auto" w:fill="auto"/>
          </w:tcPr>
          <w:p w14:paraId="5EA286CB" w14:textId="77777777" w:rsidR="003C66EB" w:rsidRDefault="003C66EB">
            <w:pPr>
              <w:rPr>
                <w:rFonts w:ascii="宋体"/>
              </w:rPr>
            </w:pPr>
          </w:p>
        </w:tc>
        <w:tc>
          <w:tcPr>
            <w:tcW w:w="5" w:type="pct"/>
            <w:shd w:val="clear" w:color="auto" w:fill="auto"/>
          </w:tcPr>
          <w:p w14:paraId="5EA286CC" w14:textId="77777777" w:rsidR="003C66EB" w:rsidRDefault="003C66EB">
            <w:pPr>
              <w:rPr>
                <w:rFonts w:ascii="宋体"/>
              </w:rPr>
            </w:pPr>
          </w:p>
        </w:tc>
        <w:tc>
          <w:tcPr>
            <w:tcW w:w="50" w:type="pct"/>
            <w:shd w:val="clear" w:color="auto" w:fill="auto"/>
          </w:tcPr>
          <w:p w14:paraId="5EA286CD" w14:textId="77777777" w:rsidR="003C66EB" w:rsidRDefault="003C66EB">
            <w:pPr>
              <w:rPr>
                <w:rFonts w:ascii="宋体"/>
              </w:rPr>
            </w:pPr>
          </w:p>
        </w:tc>
        <w:tc>
          <w:tcPr>
            <w:tcW w:w="917" w:type="pct"/>
            <w:shd w:val="clear" w:color="auto" w:fill="auto"/>
          </w:tcPr>
          <w:p w14:paraId="5EA286CE" w14:textId="77777777" w:rsidR="003C66EB" w:rsidRDefault="003C66EB">
            <w:pPr>
              <w:rPr>
                <w:rFonts w:ascii="宋体"/>
              </w:rPr>
            </w:pPr>
          </w:p>
        </w:tc>
        <w:tc>
          <w:tcPr>
            <w:tcW w:w="5" w:type="pct"/>
            <w:shd w:val="clear" w:color="auto" w:fill="auto"/>
          </w:tcPr>
          <w:p w14:paraId="5EA286CF" w14:textId="77777777" w:rsidR="003C66EB" w:rsidRDefault="003C66EB">
            <w:pPr>
              <w:rPr>
                <w:rFonts w:ascii="宋体"/>
              </w:rPr>
            </w:pPr>
          </w:p>
        </w:tc>
        <w:tc>
          <w:tcPr>
            <w:tcW w:w="50" w:type="pct"/>
            <w:shd w:val="clear" w:color="auto" w:fill="auto"/>
          </w:tcPr>
          <w:p w14:paraId="5EA286D0" w14:textId="77777777" w:rsidR="003C66EB" w:rsidRDefault="003C66EB">
            <w:pPr>
              <w:rPr>
                <w:rFonts w:ascii="宋体"/>
              </w:rPr>
            </w:pPr>
          </w:p>
        </w:tc>
        <w:tc>
          <w:tcPr>
            <w:tcW w:w="1582" w:type="pct"/>
            <w:shd w:val="clear" w:color="auto" w:fill="auto"/>
          </w:tcPr>
          <w:p w14:paraId="5EA286D1" w14:textId="77777777" w:rsidR="003C66EB" w:rsidRDefault="003C66EB">
            <w:pPr>
              <w:rPr>
                <w:rFonts w:ascii="宋体"/>
              </w:rPr>
            </w:pPr>
          </w:p>
        </w:tc>
        <w:tc>
          <w:tcPr>
            <w:tcW w:w="5" w:type="pct"/>
            <w:shd w:val="clear" w:color="auto" w:fill="auto"/>
          </w:tcPr>
          <w:p w14:paraId="5EA286D2" w14:textId="77777777" w:rsidR="003C66EB" w:rsidRDefault="003C66EB">
            <w:pPr>
              <w:rPr>
                <w:rFonts w:ascii="宋体"/>
              </w:rPr>
            </w:pPr>
          </w:p>
        </w:tc>
      </w:tr>
      <w:tr w:rsidR="003C66EB" w14:paraId="5EA286D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5EA286D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D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D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D7" w14:textId="77777777" w:rsidR="003C66EB" w:rsidRDefault="003C66EB">
            <w:pPr>
              <w:rPr>
                <w:rFonts w:ascii="宋体"/>
              </w:rPr>
            </w:pPr>
          </w:p>
        </w:tc>
      </w:tr>
    </w:tbl>
    <w:p w14:paraId="5EA286D9" w14:textId="77777777" w:rsidR="003C66EB" w:rsidRDefault="003C66E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8"/>
        <w:gridCol w:w="36"/>
        <w:gridCol w:w="36"/>
        <w:gridCol w:w="36"/>
        <w:gridCol w:w="36"/>
        <w:gridCol w:w="37"/>
        <w:gridCol w:w="7904"/>
        <w:gridCol w:w="36"/>
      </w:tblGrid>
      <w:tr w:rsidR="003C66EB" w14:paraId="5EA286E3" w14:textId="77777777">
        <w:tc>
          <w:tcPr>
            <w:tcW w:w="5" w:type="pct"/>
            <w:shd w:val="clear" w:color="auto" w:fill="auto"/>
          </w:tcPr>
          <w:p w14:paraId="5EA286DA" w14:textId="77777777" w:rsidR="003C66EB" w:rsidRDefault="003C66EB">
            <w:pPr>
              <w:rPr>
                <w:rFonts w:ascii="宋体"/>
              </w:rPr>
            </w:pPr>
          </w:p>
        </w:tc>
        <w:tc>
          <w:tcPr>
            <w:tcW w:w="128" w:type="pct"/>
            <w:shd w:val="clear" w:color="auto" w:fill="auto"/>
          </w:tcPr>
          <w:p w14:paraId="5EA286DB" w14:textId="77777777" w:rsidR="003C66EB" w:rsidRDefault="003C66EB">
            <w:pPr>
              <w:rPr>
                <w:rFonts w:ascii="宋体"/>
              </w:rPr>
            </w:pPr>
          </w:p>
        </w:tc>
        <w:tc>
          <w:tcPr>
            <w:tcW w:w="5" w:type="pct"/>
            <w:shd w:val="clear" w:color="auto" w:fill="auto"/>
          </w:tcPr>
          <w:p w14:paraId="5EA286DC" w14:textId="77777777" w:rsidR="003C66EB" w:rsidRDefault="003C66EB">
            <w:pPr>
              <w:rPr>
                <w:rFonts w:ascii="宋体"/>
              </w:rPr>
            </w:pPr>
          </w:p>
        </w:tc>
        <w:tc>
          <w:tcPr>
            <w:tcW w:w="5" w:type="pct"/>
            <w:shd w:val="clear" w:color="auto" w:fill="auto"/>
          </w:tcPr>
          <w:p w14:paraId="5EA286DD" w14:textId="77777777" w:rsidR="003C66EB" w:rsidRDefault="003C66EB">
            <w:pPr>
              <w:rPr>
                <w:rFonts w:ascii="宋体"/>
              </w:rPr>
            </w:pPr>
          </w:p>
        </w:tc>
        <w:tc>
          <w:tcPr>
            <w:tcW w:w="26" w:type="pct"/>
            <w:shd w:val="clear" w:color="auto" w:fill="auto"/>
          </w:tcPr>
          <w:p w14:paraId="5EA286DE" w14:textId="77777777" w:rsidR="003C66EB" w:rsidRDefault="003C66EB">
            <w:pPr>
              <w:rPr>
                <w:rFonts w:ascii="宋体"/>
              </w:rPr>
            </w:pPr>
          </w:p>
        </w:tc>
        <w:tc>
          <w:tcPr>
            <w:tcW w:w="5" w:type="pct"/>
            <w:shd w:val="clear" w:color="auto" w:fill="auto"/>
          </w:tcPr>
          <w:p w14:paraId="5EA286DF" w14:textId="77777777" w:rsidR="003C66EB" w:rsidRDefault="003C66EB">
            <w:pPr>
              <w:rPr>
                <w:rFonts w:ascii="宋体"/>
              </w:rPr>
            </w:pPr>
          </w:p>
        </w:tc>
        <w:tc>
          <w:tcPr>
            <w:tcW w:w="50" w:type="pct"/>
            <w:shd w:val="clear" w:color="auto" w:fill="auto"/>
          </w:tcPr>
          <w:p w14:paraId="5EA286E0" w14:textId="77777777" w:rsidR="003C66EB" w:rsidRDefault="003C66EB">
            <w:pPr>
              <w:rPr>
                <w:rFonts w:ascii="宋体"/>
              </w:rPr>
            </w:pPr>
          </w:p>
        </w:tc>
        <w:tc>
          <w:tcPr>
            <w:tcW w:w="4769" w:type="pct"/>
            <w:shd w:val="clear" w:color="auto" w:fill="auto"/>
          </w:tcPr>
          <w:p w14:paraId="5EA286E1" w14:textId="77777777" w:rsidR="003C66EB" w:rsidRDefault="003C66EB">
            <w:pPr>
              <w:rPr>
                <w:rFonts w:ascii="宋体"/>
              </w:rPr>
            </w:pPr>
          </w:p>
        </w:tc>
        <w:tc>
          <w:tcPr>
            <w:tcW w:w="5" w:type="pct"/>
            <w:shd w:val="clear" w:color="auto" w:fill="auto"/>
          </w:tcPr>
          <w:p w14:paraId="5EA286E2" w14:textId="77777777" w:rsidR="003C66EB" w:rsidRDefault="003C66EB">
            <w:pPr>
              <w:rPr>
                <w:rFonts w:ascii="宋体"/>
              </w:rPr>
            </w:pPr>
          </w:p>
        </w:tc>
      </w:tr>
      <w:tr w:rsidR="003C66EB" w14:paraId="5EA286E7" w14:textId="77777777">
        <w:tc>
          <w:tcPr>
            <w:tcW w:w="0" w:type="auto"/>
            <w:gridSpan w:val="3"/>
            <w:shd w:val="clear" w:color="auto" w:fill="auto"/>
            <w:tcMar>
              <w:top w:w="40" w:type="dxa"/>
              <w:left w:w="20" w:type="dxa"/>
              <w:bottom w:w="40" w:type="dxa"/>
              <w:right w:w="20" w:type="dxa"/>
            </w:tcMar>
          </w:tcPr>
          <w:p w14:paraId="5EA286E4" w14:textId="77777777" w:rsidR="003C66EB" w:rsidRDefault="00D96C4E">
            <w:pPr>
              <w:jc w:val="right"/>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5EA286E5"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E6" w14:textId="77777777" w:rsidR="003C66EB" w:rsidRDefault="00D96C4E">
            <w:pPr>
              <w:textAlignment w:val="bottom"/>
            </w:pPr>
            <w:r>
              <w:rPr>
                <w:rFonts w:ascii="Arial" w:eastAsia="宋体" w:hAnsi="Arial" w:cs="Arial"/>
                <w:color w:val="000000"/>
                <w:sz w:val="20"/>
                <w:szCs w:val="20"/>
              </w:rPr>
              <w:t>Denotes management contract or compensatory plan or arrangement</w:t>
            </w:r>
          </w:p>
        </w:tc>
      </w:tr>
      <w:tr w:rsidR="003C66EB" w14:paraId="5EA286EB" w14:textId="77777777">
        <w:trPr>
          <w:hidden/>
        </w:trPr>
        <w:tc>
          <w:tcPr>
            <w:tcW w:w="0" w:type="auto"/>
            <w:gridSpan w:val="3"/>
            <w:shd w:val="clear" w:color="auto" w:fill="auto"/>
          </w:tcPr>
          <w:p w14:paraId="5EA286E8" w14:textId="77777777" w:rsidR="003C66EB" w:rsidRDefault="003C66EB">
            <w:pPr>
              <w:rPr>
                <w:rFonts w:ascii="宋体"/>
                <w:vanish/>
              </w:rPr>
            </w:pPr>
          </w:p>
        </w:tc>
        <w:tc>
          <w:tcPr>
            <w:tcW w:w="0" w:type="auto"/>
            <w:gridSpan w:val="3"/>
            <w:shd w:val="clear" w:color="auto" w:fill="auto"/>
          </w:tcPr>
          <w:p w14:paraId="5EA286E9" w14:textId="77777777" w:rsidR="003C66EB" w:rsidRDefault="003C66EB">
            <w:pPr>
              <w:rPr>
                <w:rFonts w:ascii="宋体"/>
                <w:vanish/>
              </w:rPr>
            </w:pPr>
          </w:p>
        </w:tc>
        <w:tc>
          <w:tcPr>
            <w:tcW w:w="0" w:type="auto"/>
            <w:gridSpan w:val="3"/>
            <w:shd w:val="clear" w:color="auto" w:fill="auto"/>
          </w:tcPr>
          <w:p w14:paraId="5EA286EA" w14:textId="77777777" w:rsidR="003C66EB" w:rsidRDefault="003C66EB">
            <w:pPr>
              <w:rPr>
                <w:rFonts w:ascii="宋体"/>
                <w:vanish/>
              </w:rPr>
            </w:pPr>
          </w:p>
        </w:tc>
      </w:tr>
      <w:tr w:rsidR="003C66EB" w14:paraId="5EA286EF" w14:textId="77777777">
        <w:trPr>
          <w:trHeight w:val="60"/>
        </w:trPr>
        <w:tc>
          <w:tcPr>
            <w:tcW w:w="0" w:type="auto"/>
            <w:gridSpan w:val="3"/>
            <w:shd w:val="clear" w:color="auto" w:fill="auto"/>
            <w:tcMar>
              <w:top w:w="0" w:type="dxa"/>
              <w:left w:w="20" w:type="dxa"/>
              <w:bottom w:w="0" w:type="dxa"/>
              <w:right w:w="20" w:type="dxa"/>
            </w:tcMar>
          </w:tcPr>
          <w:p w14:paraId="5EA286E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E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6EE" w14:textId="77777777" w:rsidR="003C66EB" w:rsidRDefault="003C66EB">
            <w:pPr>
              <w:rPr>
                <w:rFonts w:ascii="宋体"/>
              </w:rPr>
            </w:pPr>
          </w:p>
        </w:tc>
      </w:tr>
      <w:tr w:rsidR="003C66EB" w14:paraId="5EA286F3" w14:textId="77777777">
        <w:tc>
          <w:tcPr>
            <w:tcW w:w="0" w:type="auto"/>
            <w:gridSpan w:val="3"/>
            <w:shd w:val="clear" w:color="auto" w:fill="auto"/>
            <w:tcMar>
              <w:top w:w="40" w:type="dxa"/>
              <w:left w:w="20" w:type="dxa"/>
              <w:bottom w:w="40" w:type="dxa"/>
              <w:right w:w="20" w:type="dxa"/>
            </w:tcMar>
          </w:tcPr>
          <w:p w14:paraId="5EA286F0" w14:textId="77777777" w:rsidR="003C66EB" w:rsidRDefault="00D96C4E">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5EA286F1"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6F2" w14:textId="77777777" w:rsidR="003C66EB" w:rsidRDefault="00D96C4E">
            <w:pPr>
              <w:textAlignment w:val="bottom"/>
            </w:pPr>
            <w:r>
              <w:rPr>
                <w:rFonts w:ascii="Arial" w:eastAsia="宋体" w:hAnsi="Arial" w:cs="Arial"/>
                <w:color w:val="000000"/>
                <w:sz w:val="20"/>
                <w:szCs w:val="20"/>
              </w:rPr>
              <w:t>Submitted electronically herewith</w:t>
            </w:r>
          </w:p>
        </w:tc>
      </w:tr>
    </w:tbl>
    <w:p w14:paraId="5EA286F4" w14:textId="77777777" w:rsidR="003C66EB" w:rsidRDefault="00D96C4E">
      <w:pPr>
        <w:spacing w:before="90"/>
        <w:ind w:firstLine="450"/>
        <w:jc w:val="both"/>
      </w:pPr>
      <w:r>
        <w:rPr>
          <w:rFonts w:ascii="Arial" w:eastAsia="宋体" w:hAnsi="Arial" w:cs="Arial"/>
          <w:color w:val="000000"/>
          <w:sz w:val="20"/>
          <w:szCs w:val="20"/>
        </w:rPr>
        <w:t xml:space="preserve">Attached as Exhibit 101 to this report are the following formatted in Inline XBRL </w:t>
      </w:r>
      <w:r>
        <w:rPr>
          <w:rFonts w:ascii="Arial" w:eastAsia="宋体" w:hAnsi="Arial" w:cs="Arial"/>
          <w:color w:val="000000"/>
          <w:sz w:val="20"/>
          <w:szCs w:val="20"/>
        </w:rPr>
        <w:t>(Extensible Business Reporting Language): (i) consolidated statement of income for the three months ended March 31, 2021 and 2020, (ii) consolidated statement of comprehensive income for the three months ended March 31, 2021 and 2020, (iii) consolidated st</w:t>
      </w:r>
      <w:r>
        <w:rPr>
          <w:rFonts w:ascii="Arial" w:eastAsia="宋体" w:hAnsi="Arial" w:cs="Arial"/>
          <w:color w:val="000000"/>
          <w:sz w:val="20"/>
          <w:szCs w:val="20"/>
        </w:rPr>
        <w:t>atement of condition as of March 31, 2021 and December 31, 2020, (iv) consolidated statement of changes in shareholders' equity for the three months ended March 31, 2021 and 2020, (v) consolidated statement of cash flows for the three months ended March 31</w:t>
      </w:r>
      <w:r>
        <w:rPr>
          <w:rFonts w:ascii="Arial" w:eastAsia="宋体" w:hAnsi="Arial" w:cs="Arial"/>
          <w:color w:val="000000"/>
          <w:sz w:val="20"/>
          <w:szCs w:val="20"/>
        </w:rPr>
        <w:t>, 2021 and 2020, and (vi) notes to consolidated financial statements.</w:t>
      </w:r>
    </w:p>
    <w:p w14:paraId="5EA286F5" w14:textId="77777777" w:rsidR="003C66EB" w:rsidRDefault="00D96C4E">
      <w:pPr>
        <w:ind w:firstLine="450"/>
        <w:jc w:val="right"/>
      </w:pPr>
      <w:r>
        <w:rPr>
          <w:rFonts w:ascii="Arial" w:eastAsia="宋体" w:hAnsi="Arial" w:cs="Arial"/>
          <w:color w:val="000000"/>
          <w:sz w:val="18"/>
          <w:szCs w:val="18"/>
        </w:rPr>
        <w:t>State Street Corporation | 90</w:t>
      </w:r>
    </w:p>
    <w:p w14:paraId="5EA286F6" w14:textId="77777777" w:rsidR="003C66EB" w:rsidRDefault="003C66EB">
      <w:pPr>
        <w:ind w:firstLine="450"/>
        <w:jc w:val="center"/>
      </w:pPr>
    </w:p>
    <w:p w14:paraId="5EA286F7" w14:textId="77777777" w:rsidR="003C66EB" w:rsidRDefault="00D96C4E">
      <w:r>
        <w:pict w14:anchorId="5EA2880A">
          <v:rect id="_x0000_i1114" style="width:415.3pt;height:1.5pt" o:hralign="center" o:hrstd="t" o:hr="t" fillcolor="#a0a0a0" stroked="f"/>
        </w:pict>
      </w:r>
    </w:p>
    <w:p w14:paraId="5EA286F8" w14:textId="77777777" w:rsidR="003C66EB" w:rsidRDefault="003C66EB">
      <w:pPr>
        <w:ind w:firstLine="450"/>
      </w:pPr>
    </w:p>
    <w:p w14:paraId="5EA286F9" w14:textId="77777777" w:rsidR="003C66EB" w:rsidRDefault="003C66EB">
      <w:pPr>
        <w:ind w:firstLine="450"/>
        <w:jc w:val="center"/>
      </w:pPr>
    </w:p>
    <w:p w14:paraId="5EA286FA" w14:textId="77777777" w:rsidR="003C66EB" w:rsidRDefault="00D96C4E">
      <w:pPr>
        <w:spacing w:before="180"/>
        <w:ind w:firstLine="450"/>
        <w:jc w:val="center"/>
      </w:pPr>
      <w:r>
        <w:rPr>
          <w:rFonts w:ascii="Arial" w:eastAsia="宋体" w:hAnsi="Arial" w:cs="Arial"/>
          <w:b/>
          <w:bCs/>
          <w:color w:val="000000"/>
          <w:sz w:val="20"/>
          <w:szCs w:val="20"/>
        </w:rPr>
        <w:t>SIGNATURES</w:t>
      </w:r>
    </w:p>
    <w:p w14:paraId="5EA286FB" w14:textId="77777777" w:rsidR="003C66EB" w:rsidRDefault="00D96C4E">
      <w:pPr>
        <w:spacing w:before="90"/>
        <w:ind w:firstLine="450"/>
      </w:pPr>
      <w:r>
        <w:rPr>
          <w:rFonts w:ascii="Arial" w:eastAsia="宋体" w:hAnsi="Arial" w:cs="Arial"/>
          <w:color w:val="000000"/>
          <w:sz w:val="20"/>
          <w:szCs w:val="20"/>
        </w:rPr>
        <w:t xml:space="preserve">Pursuant to the requirement of the Securities Exchange Act of 1934, the registrant has duly caused this report to be signed on its </w:t>
      </w:r>
      <w:r>
        <w:rPr>
          <w:rFonts w:ascii="Arial" w:eastAsia="宋体" w:hAnsi="Arial" w:cs="Arial"/>
          <w:color w:val="000000"/>
          <w:sz w:val="20"/>
          <w:szCs w:val="20"/>
        </w:rPr>
        <w:t>behalf by the undersigned 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89"/>
        <w:gridCol w:w="422"/>
        <w:gridCol w:w="36"/>
        <w:gridCol w:w="51"/>
        <w:gridCol w:w="1876"/>
        <w:gridCol w:w="36"/>
        <w:gridCol w:w="36"/>
        <w:gridCol w:w="36"/>
        <w:gridCol w:w="36"/>
        <w:gridCol w:w="37"/>
        <w:gridCol w:w="804"/>
        <w:gridCol w:w="36"/>
        <w:gridCol w:w="36"/>
        <w:gridCol w:w="36"/>
        <w:gridCol w:w="36"/>
        <w:gridCol w:w="42"/>
        <w:gridCol w:w="4643"/>
        <w:gridCol w:w="36"/>
      </w:tblGrid>
      <w:tr w:rsidR="003C66EB" w14:paraId="5EA2870E" w14:textId="77777777">
        <w:tc>
          <w:tcPr>
            <w:tcW w:w="50" w:type="pct"/>
            <w:shd w:val="clear" w:color="auto" w:fill="auto"/>
          </w:tcPr>
          <w:p w14:paraId="5EA286FC" w14:textId="77777777" w:rsidR="003C66EB" w:rsidRDefault="003C66EB">
            <w:pPr>
              <w:rPr>
                <w:rFonts w:ascii="宋体"/>
              </w:rPr>
            </w:pPr>
          </w:p>
        </w:tc>
        <w:tc>
          <w:tcPr>
            <w:tcW w:w="237" w:type="pct"/>
            <w:shd w:val="clear" w:color="auto" w:fill="auto"/>
          </w:tcPr>
          <w:p w14:paraId="5EA286FD" w14:textId="77777777" w:rsidR="003C66EB" w:rsidRDefault="003C66EB">
            <w:pPr>
              <w:rPr>
                <w:rFonts w:ascii="宋体"/>
              </w:rPr>
            </w:pPr>
          </w:p>
        </w:tc>
        <w:tc>
          <w:tcPr>
            <w:tcW w:w="5" w:type="pct"/>
            <w:shd w:val="clear" w:color="auto" w:fill="auto"/>
          </w:tcPr>
          <w:p w14:paraId="5EA286FE" w14:textId="77777777" w:rsidR="003C66EB" w:rsidRDefault="003C66EB">
            <w:pPr>
              <w:rPr>
                <w:rFonts w:ascii="宋体"/>
              </w:rPr>
            </w:pPr>
          </w:p>
        </w:tc>
        <w:tc>
          <w:tcPr>
            <w:tcW w:w="50" w:type="pct"/>
            <w:shd w:val="clear" w:color="auto" w:fill="auto"/>
          </w:tcPr>
          <w:p w14:paraId="5EA286FF" w14:textId="77777777" w:rsidR="003C66EB" w:rsidRDefault="003C66EB">
            <w:pPr>
              <w:rPr>
                <w:rFonts w:ascii="宋体"/>
              </w:rPr>
            </w:pPr>
          </w:p>
        </w:tc>
        <w:tc>
          <w:tcPr>
            <w:tcW w:w="1145" w:type="pct"/>
            <w:shd w:val="clear" w:color="auto" w:fill="auto"/>
          </w:tcPr>
          <w:p w14:paraId="5EA28700" w14:textId="77777777" w:rsidR="003C66EB" w:rsidRDefault="003C66EB">
            <w:pPr>
              <w:rPr>
                <w:rFonts w:ascii="宋体"/>
              </w:rPr>
            </w:pPr>
          </w:p>
        </w:tc>
        <w:tc>
          <w:tcPr>
            <w:tcW w:w="5" w:type="pct"/>
            <w:shd w:val="clear" w:color="auto" w:fill="auto"/>
          </w:tcPr>
          <w:p w14:paraId="5EA28701" w14:textId="77777777" w:rsidR="003C66EB" w:rsidRDefault="003C66EB">
            <w:pPr>
              <w:rPr>
                <w:rFonts w:ascii="宋体"/>
              </w:rPr>
            </w:pPr>
          </w:p>
        </w:tc>
        <w:tc>
          <w:tcPr>
            <w:tcW w:w="5" w:type="pct"/>
            <w:shd w:val="clear" w:color="auto" w:fill="auto"/>
          </w:tcPr>
          <w:p w14:paraId="5EA28702" w14:textId="77777777" w:rsidR="003C66EB" w:rsidRDefault="003C66EB">
            <w:pPr>
              <w:rPr>
                <w:rFonts w:ascii="宋体"/>
              </w:rPr>
            </w:pPr>
          </w:p>
        </w:tc>
        <w:tc>
          <w:tcPr>
            <w:tcW w:w="26" w:type="pct"/>
            <w:shd w:val="clear" w:color="auto" w:fill="auto"/>
          </w:tcPr>
          <w:p w14:paraId="5EA28703" w14:textId="77777777" w:rsidR="003C66EB" w:rsidRDefault="003C66EB">
            <w:pPr>
              <w:rPr>
                <w:rFonts w:ascii="宋体"/>
              </w:rPr>
            </w:pPr>
          </w:p>
        </w:tc>
        <w:tc>
          <w:tcPr>
            <w:tcW w:w="5" w:type="pct"/>
            <w:shd w:val="clear" w:color="auto" w:fill="auto"/>
          </w:tcPr>
          <w:p w14:paraId="5EA28704" w14:textId="77777777" w:rsidR="003C66EB" w:rsidRDefault="003C66EB">
            <w:pPr>
              <w:rPr>
                <w:rFonts w:ascii="宋体"/>
              </w:rPr>
            </w:pPr>
          </w:p>
        </w:tc>
        <w:tc>
          <w:tcPr>
            <w:tcW w:w="50" w:type="pct"/>
            <w:shd w:val="clear" w:color="auto" w:fill="auto"/>
          </w:tcPr>
          <w:p w14:paraId="5EA28705" w14:textId="77777777" w:rsidR="003C66EB" w:rsidRDefault="003C66EB">
            <w:pPr>
              <w:rPr>
                <w:rFonts w:ascii="宋体"/>
              </w:rPr>
            </w:pPr>
          </w:p>
        </w:tc>
        <w:tc>
          <w:tcPr>
            <w:tcW w:w="508" w:type="pct"/>
            <w:shd w:val="clear" w:color="auto" w:fill="auto"/>
          </w:tcPr>
          <w:p w14:paraId="5EA28706" w14:textId="77777777" w:rsidR="003C66EB" w:rsidRDefault="003C66EB">
            <w:pPr>
              <w:rPr>
                <w:rFonts w:ascii="宋体"/>
              </w:rPr>
            </w:pPr>
          </w:p>
        </w:tc>
        <w:tc>
          <w:tcPr>
            <w:tcW w:w="5" w:type="pct"/>
            <w:shd w:val="clear" w:color="auto" w:fill="auto"/>
          </w:tcPr>
          <w:p w14:paraId="5EA28707" w14:textId="77777777" w:rsidR="003C66EB" w:rsidRDefault="003C66EB">
            <w:pPr>
              <w:rPr>
                <w:rFonts w:ascii="宋体"/>
              </w:rPr>
            </w:pPr>
          </w:p>
        </w:tc>
        <w:tc>
          <w:tcPr>
            <w:tcW w:w="5" w:type="pct"/>
            <w:shd w:val="clear" w:color="auto" w:fill="auto"/>
          </w:tcPr>
          <w:p w14:paraId="5EA28708" w14:textId="77777777" w:rsidR="003C66EB" w:rsidRDefault="003C66EB">
            <w:pPr>
              <w:rPr>
                <w:rFonts w:ascii="宋体"/>
              </w:rPr>
            </w:pPr>
          </w:p>
        </w:tc>
        <w:tc>
          <w:tcPr>
            <w:tcW w:w="26" w:type="pct"/>
            <w:shd w:val="clear" w:color="auto" w:fill="auto"/>
          </w:tcPr>
          <w:p w14:paraId="5EA28709" w14:textId="77777777" w:rsidR="003C66EB" w:rsidRDefault="003C66EB">
            <w:pPr>
              <w:rPr>
                <w:rFonts w:ascii="宋体"/>
              </w:rPr>
            </w:pPr>
          </w:p>
        </w:tc>
        <w:tc>
          <w:tcPr>
            <w:tcW w:w="5" w:type="pct"/>
            <w:shd w:val="clear" w:color="auto" w:fill="auto"/>
          </w:tcPr>
          <w:p w14:paraId="5EA2870A" w14:textId="77777777" w:rsidR="003C66EB" w:rsidRDefault="003C66EB">
            <w:pPr>
              <w:rPr>
                <w:rFonts w:ascii="宋体"/>
              </w:rPr>
            </w:pPr>
          </w:p>
        </w:tc>
        <w:tc>
          <w:tcPr>
            <w:tcW w:w="50" w:type="pct"/>
            <w:shd w:val="clear" w:color="auto" w:fill="auto"/>
          </w:tcPr>
          <w:p w14:paraId="5EA2870B" w14:textId="77777777" w:rsidR="003C66EB" w:rsidRDefault="003C66EB">
            <w:pPr>
              <w:rPr>
                <w:rFonts w:ascii="宋体"/>
              </w:rPr>
            </w:pPr>
          </w:p>
        </w:tc>
        <w:tc>
          <w:tcPr>
            <w:tcW w:w="2814" w:type="pct"/>
            <w:shd w:val="clear" w:color="auto" w:fill="auto"/>
          </w:tcPr>
          <w:p w14:paraId="5EA2870C" w14:textId="77777777" w:rsidR="003C66EB" w:rsidRDefault="003C66EB">
            <w:pPr>
              <w:rPr>
                <w:rFonts w:ascii="宋体"/>
              </w:rPr>
            </w:pPr>
          </w:p>
        </w:tc>
        <w:tc>
          <w:tcPr>
            <w:tcW w:w="5" w:type="pct"/>
            <w:shd w:val="clear" w:color="auto" w:fill="auto"/>
          </w:tcPr>
          <w:p w14:paraId="5EA2870D" w14:textId="77777777" w:rsidR="003C66EB" w:rsidRDefault="003C66EB">
            <w:pPr>
              <w:rPr>
                <w:rFonts w:ascii="宋体"/>
              </w:rPr>
            </w:pPr>
          </w:p>
        </w:tc>
      </w:tr>
      <w:tr w:rsidR="003C66EB" w14:paraId="5EA28715" w14:textId="77777777">
        <w:tc>
          <w:tcPr>
            <w:tcW w:w="0" w:type="auto"/>
            <w:gridSpan w:val="3"/>
            <w:shd w:val="clear" w:color="auto" w:fill="auto"/>
            <w:tcMar>
              <w:top w:w="0" w:type="dxa"/>
              <w:left w:w="20" w:type="dxa"/>
              <w:bottom w:w="0" w:type="dxa"/>
              <w:right w:w="20" w:type="dxa"/>
            </w:tcMar>
          </w:tcPr>
          <w:p w14:paraId="5EA2870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3"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714" w14:textId="77777777" w:rsidR="003C66EB" w:rsidRDefault="00D96C4E">
            <w:pPr>
              <w:jc w:val="center"/>
              <w:textAlignment w:val="bottom"/>
            </w:pPr>
            <w:r>
              <w:rPr>
                <w:rFonts w:ascii="Arial" w:eastAsia="宋体" w:hAnsi="Arial" w:cs="Arial"/>
                <w:color w:val="000000"/>
                <w:sz w:val="20"/>
                <w:szCs w:val="20"/>
              </w:rPr>
              <w:t>STATE STREET CORPORATION</w:t>
            </w:r>
          </w:p>
        </w:tc>
      </w:tr>
      <w:tr w:rsidR="003C66EB" w14:paraId="5EA2871C" w14:textId="77777777">
        <w:tc>
          <w:tcPr>
            <w:tcW w:w="0" w:type="auto"/>
            <w:gridSpan w:val="3"/>
            <w:shd w:val="clear" w:color="auto" w:fill="auto"/>
            <w:tcMar>
              <w:top w:w="0" w:type="dxa"/>
              <w:left w:w="20" w:type="dxa"/>
              <w:bottom w:w="0" w:type="dxa"/>
              <w:right w:w="20" w:type="dxa"/>
            </w:tcMar>
          </w:tcPr>
          <w:p w14:paraId="5EA2871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A"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71B" w14:textId="77777777" w:rsidR="003C66EB" w:rsidRDefault="00D96C4E">
            <w:pPr>
              <w:jc w:val="center"/>
              <w:textAlignment w:val="bottom"/>
            </w:pPr>
            <w:r>
              <w:rPr>
                <w:rFonts w:ascii="Arial" w:eastAsia="宋体" w:hAnsi="Arial" w:cs="Arial"/>
                <w:color w:val="000000"/>
                <w:sz w:val="20"/>
                <w:szCs w:val="20"/>
              </w:rPr>
              <w:t>(Registrant)</w:t>
            </w:r>
          </w:p>
        </w:tc>
      </w:tr>
      <w:tr w:rsidR="003C66EB" w14:paraId="5EA28723" w14:textId="77777777">
        <w:trPr>
          <w:trHeight w:val="280"/>
        </w:trPr>
        <w:tc>
          <w:tcPr>
            <w:tcW w:w="0" w:type="auto"/>
            <w:gridSpan w:val="3"/>
            <w:shd w:val="clear" w:color="auto" w:fill="auto"/>
            <w:tcMar>
              <w:top w:w="0" w:type="dxa"/>
              <w:left w:w="20" w:type="dxa"/>
              <w:bottom w:w="0" w:type="dxa"/>
              <w:right w:w="20" w:type="dxa"/>
            </w:tcMar>
          </w:tcPr>
          <w:p w14:paraId="5EA2871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1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2" w14:textId="77777777" w:rsidR="003C66EB" w:rsidRDefault="003C66EB">
            <w:pPr>
              <w:rPr>
                <w:rFonts w:ascii="宋体"/>
              </w:rPr>
            </w:pPr>
          </w:p>
        </w:tc>
      </w:tr>
      <w:tr w:rsidR="003C66EB" w14:paraId="5EA2872A" w14:textId="77777777">
        <w:trPr>
          <w:trHeight w:val="280"/>
        </w:trPr>
        <w:tc>
          <w:tcPr>
            <w:tcW w:w="0" w:type="auto"/>
            <w:gridSpan w:val="3"/>
            <w:shd w:val="clear" w:color="auto" w:fill="auto"/>
            <w:tcMar>
              <w:top w:w="0" w:type="dxa"/>
              <w:left w:w="20" w:type="dxa"/>
              <w:bottom w:w="0" w:type="dxa"/>
              <w:right w:w="20" w:type="dxa"/>
            </w:tcMar>
          </w:tcPr>
          <w:p w14:paraId="5EA2872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29" w14:textId="77777777" w:rsidR="003C66EB" w:rsidRDefault="003C66EB">
            <w:pPr>
              <w:rPr>
                <w:rFonts w:ascii="宋体"/>
              </w:rPr>
            </w:pPr>
          </w:p>
        </w:tc>
      </w:tr>
      <w:tr w:rsidR="003C66EB" w14:paraId="5EA28731" w14:textId="77777777">
        <w:tc>
          <w:tcPr>
            <w:tcW w:w="0" w:type="auto"/>
            <w:gridSpan w:val="3"/>
            <w:shd w:val="clear" w:color="auto" w:fill="auto"/>
            <w:tcMar>
              <w:top w:w="40" w:type="dxa"/>
              <w:left w:w="20" w:type="dxa"/>
              <w:bottom w:w="40" w:type="dxa"/>
              <w:right w:w="20" w:type="dxa"/>
            </w:tcMar>
          </w:tcPr>
          <w:p w14:paraId="5EA2872B" w14:textId="77777777" w:rsidR="003C66EB" w:rsidRDefault="00D96C4E">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5EA2872C" w14:textId="77777777" w:rsidR="003C66EB" w:rsidRDefault="00D96C4E">
            <w:pPr>
              <w:textAlignment w:val="top"/>
            </w:pPr>
            <w:r>
              <w:rPr>
                <w:rFonts w:ascii="Arial" w:eastAsia="宋体" w:hAnsi="Arial" w:cs="Arial"/>
                <w:color w:val="000000"/>
                <w:sz w:val="20"/>
                <w:szCs w:val="20"/>
              </w:rPr>
              <w:t>April 23, 2021</w:t>
            </w:r>
          </w:p>
        </w:tc>
        <w:tc>
          <w:tcPr>
            <w:tcW w:w="0" w:type="auto"/>
            <w:gridSpan w:val="3"/>
            <w:shd w:val="clear" w:color="auto" w:fill="auto"/>
            <w:tcMar>
              <w:top w:w="0" w:type="dxa"/>
              <w:left w:w="20" w:type="dxa"/>
              <w:bottom w:w="0" w:type="dxa"/>
              <w:right w:w="20" w:type="dxa"/>
            </w:tcMar>
          </w:tcPr>
          <w:p w14:paraId="5EA2872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72E" w14:textId="77777777" w:rsidR="003C66EB" w:rsidRDefault="00D96C4E">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tcPr>
          <w:p w14:paraId="5EA2872F"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730" w14:textId="77777777" w:rsidR="003C66EB" w:rsidRDefault="00D96C4E">
            <w:pP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3C66EB" w14:paraId="5EA28738" w14:textId="77777777">
        <w:tc>
          <w:tcPr>
            <w:tcW w:w="0" w:type="auto"/>
            <w:gridSpan w:val="3"/>
            <w:shd w:val="clear" w:color="auto" w:fill="auto"/>
            <w:tcMar>
              <w:top w:w="0" w:type="dxa"/>
              <w:left w:w="20" w:type="dxa"/>
              <w:bottom w:w="0" w:type="dxa"/>
              <w:right w:w="20" w:type="dxa"/>
            </w:tcMar>
          </w:tcPr>
          <w:p w14:paraId="5EA2873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6"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737" w14:textId="77777777" w:rsidR="003C66EB" w:rsidRDefault="00D96C4E">
            <w:pPr>
              <w:jc w:val="center"/>
              <w:textAlignment w:val="bottom"/>
            </w:pPr>
            <w:r>
              <w:rPr>
                <w:rFonts w:ascii="Arial" w:eastAsia="宋体" w:hAnsi="Arial" w:cs="Arial"/>
                <w:color w:val="000000"/>
                <w:sz w:val="20"/>
                <w:szCs w:val="20"/>
              </w:rPr>
              <w:t>Eric W. Aboaf,</w:t>
            </w:r>
          </w:p>
        </w:tc>
      </w:tr>
      <w:tr w:rsidR="003C66EB" w14:paraId="5EA2873F" w14:textId="77777777">
        <w:tc>
          <w:tcPr>
            <w:tcW w:w="0" w:type="auto"/>
            <w:gridSpan w:val="3"/>
            <w:shd w:val="clear" w:color="auto" w:fill="auto"/>
            <w:tcMar>
              <w:top w:w="0" w:type="dxa"/>
              <w:left w:w="20" w:type="dxa"/>
              <w:bottom w:w="0" w:type="dxa"/>
              <w:right w:w="20" w:type="dxa"/>
            </w:tcMar>
          </w:tcPr>
          <w:p w14:paraId="5EA2873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3D"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73E" w14:textId="77777777" w:rsidR="003C66EB" w:rsidRDefault="00D96C4E">
            <w:pPr>
              <w:jc w:val="center"/>
              <w:textAlignment w:val="bottom"/>
            </w:pPr>
            <w:r>
              <w:rPr>
                <w:rFonts w:ascii="Arial" w:eastAsia="宋体" w:hAnsi="Arial" w:cs="Arial"/>
                <w:i/>
                <w:iCs/>
                <w:color w:val="000000"/>
                <w:sz w:val="20"/>
                <w:szCs w:val="20"/>
              </w:rPr>
              <w:t xml:space="preserve">Executive Vice President and Chief </w:t>
            </w:r>
            <w:r>
              <w:rPr>
                <w:rFonts w:ascii="Arial" w:eastAsia="宋体" w:hAnsi="Arial" w:cs="Arial"/>
                <w:i/>
                <w:iCs/>
                <w:color w:val="000000"/>
                <w:sz w:val="20"/>
                <w:szCs w:val="20"/>
              </w:rPr>
              <w:t>Financial Officer (Principal Financial Officer)</w:t>
            </w:r>
          </w:p>
        </w:tc>
      </w:tr>
      <w:tr w:rsidR="003C66EB" w14:paraId="5EA28746" w14:textId="77777777">
        <w:trPr>
          <w:trHeight w:val="300"/>
        </w:trPr>
        <w:tc>
          <w:tcPr>
            <w:tcW w:w="0" w:type="auto"/>
            <w:gridSpan w:val="3"/>
            <w:shd w:val="clear" w:color="auto" w:fill="auto"/>
            <w:tcMar>
              <w:top w:w="0" w:type="dxa"/>
              <w:left w:w="20" w:type="dxa"/>
              <w:bottom w:w="0" w:type="dxa"/>
              <w:right w:w="20" w:type="dxa"/>
            </w:tcMar>
          </w:tcPr>
          <w:p w14:paraId="5EA28740"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1"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2"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3"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5" w14:textId="77777777" w:rsidR="003C66EB" w:rsidRDefault="003C66EB">
            <w:pPr>
              <w:rPr>
                <w:rFonts w:ascii="宋体"/>
              </w:rPr>
            </w:pPr>
          </w:p>
        </w:tc>
      </w:tr>
      <w:tr w:rsidR="003C66EB" w14:paraId="5EA2874D" w14:textId="77777777">
        <w:trPr>
          <w:trHeight w:val="300"/>
        </w:trPr>
        <w:tc>
          <w:tcPr>
            <w:tcW w:w="0" w:type="auto"/>
            <w:gridSpan w:val="3"/>
            <w:shd w:val="clear" w:color="auto" w:fill="auto"/>
            <w:tcMar>
              <w:top w:w="0" w:type="dxa"/>
              <w:left w:w="20" w:type="dxa"/>
              <w:bottom w:w="0" w:type="dxa"/>
              <w:right w:w="20" w:type="dxa"/>
            </w:tcMar>
          </w:tcPr>
          <w:p w14:paraId="5EA2874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9"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A"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B"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4C" w14:textId="77777777" w:rsidR="003C66EB" w:rsidRDefault="003C66EB">
            <w:pPr>
              <w:rPr>
                <w:rFonts w:ascii="宋体"/>
              </w:rPr>
            </w:pPr>
          </w:p>
        </w:tc>
      </w:tr>
      <w:tr w:rsidR="003C66EB" w14:paraId="5EA28754" w14:textId="77777777">
        <w:tc>
          <w:tcPr>
            <w:tcW w:w="0" w:type="auto"/>
            <w:gridSpan w:val="3"/>
            <w:shd w:val="clear" w:color="auto" w:fill="auto"/>
            <w:tcMar>
              <w:top w:w="40" w:type="dxa"/>
              <w:left w:w="20" w:type="dxa"/>
              <w:bottom w:w="40" w:type="dxa"/>
              <w:right w:w="20" w:type="dxa"/>
            </w:tcMar>
          </w:tcPr>
          <w:p w14:paraId="5EA2874E" w14:textId="77777777" w:rsidR="003C66EB" w:rsidRDefault="00D96C4E">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5EA2874F" w14:textId="77777777" w:rsidR="003C66EB" w:rsidRDefault="00D96C4E">
            <w:pPr>
              <w:textAlignment w:val="top"/>
            </w:pPr>
            <w:r>
              <w:rPr>
                <w:rFonts w:ascii="Arial" w:eastAsia="宋体" w:hAnsi="Arial" w:cs="Arial"/>
                <w:color w:val="000000"/>
                <w:sz w:val="20"/>
                <w:szCs w:val="20"/>
              </w:rPr>
              <w:t>April 23, 2021</w:t>
            </w:r>
          </w:p>
        </w:tc>
        <w:tc>
          <w:tcPr>
            <w:tcW w:w="0" w:type="auto"/>
            <w:gridSpan w:val="3"/>
            <w:shd w:val="clear" w:color="auto" w:fill="auto"/>
            <w:tcMar>
              <w:top w:w="0" w:type="dxa"/>
              <w:left w:w="20" w:type="dxa"/>
              <w:bottom w:w="0" w:type="dxa"/>
              <w:right w:w="20" w:type="dxa"/>
            </w:tcMar>
          </w:tcPr>
          <w:p w14:paraId="5EA2875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tcPr>
          <w:p w14:paraId="5EA28751" w14:textId="77777777" w:rsidR="003C66EB" w:rsidRDefault="00D96C4E">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tcPr>
          <w:p w14:paraId="5EA28752"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753" w14:textId="77777777" w:rsidR="003C66EB" w:rsidRDefault="00D96C4E">
            <w:pP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3C66EB" w14:paraId="5EA2875B" w14:textId="77777777">
        <w:tc>
          <w:tcPr>
            <w:tcW w:w="0" w:type="auto"/>
            <w:gridSpan w:val="3"/>
            <w:shd w:val="clear" w:color="auto" w:fill="auto"/>
            <w:tcMar>
              <w:top w:w="0" w:type="dxa"/>
              <w:left w:w="20" w:type="dxa"/>
              <w:bottom w:w="0" w:type="dxa"/>
              <w:right w:w="20" w:type="dxa"/>
            </w:tcMar>
          </w:tcPr>
          <w:p w14:paraId="5EA2875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9" w14:textId="77777777" w:rsidR="003C66EB" w:rsidRDefault="003C66E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A2875A" w14:textId="77777777" w:rsidR="003C66EB" w:rsidRDefault="00D96C4E">
            <w:pPr>
              <w:jc w:val="center"/>
              <w:textAlignment w:val="bottom"/>
            </w:pPr>
            <w:r>
              <w:rPr>
                <w:rFonts w:ascii="Arial" w:eastAsia="宋体" w:hAnsi="Arial" w:cs="Arial"/>
                <w:color w:val="000000"/>
                <w:sz w:val="20"/>
                <w:szCs w:val="20"/>
              </w:rPr>
              <w:t>Ian W. Appleyard,</w:t>
            </w:r>
          </w:p>
        </w:tc>
      </w:tr>
      <w:tr w:rsidR="003C66EB" w14:paraId="5EA28763" w14:textId="77777777">
        <w:tc>
          <w:tcPr>
            <w:tcW w:w="0" w:type="auto"/>
            <w:gridSpan w:val="3"/>
            <w:shd w:val="clear" w:color="auto" w:fill="auto"/>
            <w:tcMar>
              <w:top w:w="0" w:type="dxa"/>
              <w:left w:w="20" w:type="dxa"/>
              <w:bottom w:w="0" w:type="dxa"/>
              <w:right w:w="20" w:type="dxa"/>
            </w:tcMar>
          </w:tcPr>
          <w:p w14:paraId="5EA2875C"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D"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E"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5F"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60" w14:textId="77777777" w:rsidR="003C66EB" w:rsidRDefault="003C66EB">
            <w:pPr>
              <w:rPr>
                <w:rFonts w:ascii="宋体"/>
              </w:rPr>
            </w:pPr>
          </w:p>
        </w:tc>
        <w:tc>
          <w:tcPr>
            <w:tcW w:w="0" w:type="auto"/>
            <w:gridSpan w:val="3"/>
            <w:shd w:val="clear" w:color="auto" w:fill="auto"/>
            <w:tcMar>
              <w:top w:w="40" w:type="dxa"/>
              <w:left w:w="20" w:type="dxa"/>
              <w:bottom w:w="40" w:type="dxa"/>
              <w:right w:w="20" w:type="dxa"/>
            </w:tcMar>
            <w:vAlign w:val="bottom"/>
          </w:tcPr>
          <w:p w14:paraId="5EA28761" w14:textId="77777777" w:rsidR="003C66EB" w:rsidRDefault="00D96C4E">
            <w:pPr>
              <w:jc w:val="center"/>
              <w:textAlignment w:val="bottom"/>
            </w:pPr>
            <w:r>
              <w:rPr>
                <w:rFonts w:ascii="Arial" w:eastAsia="宋体" w:hAnsi="Arial" w:cs="Arial"/>
                <w:i/>
                <w:iCs/>
                <w:color w:val="000000"/>
                <w:sz w:val="20"/>
                <w:szCs w:val="20"/>
              </w:rPr>
              <w:t>Executive Vice President, Global Controller and Chief Accounting Officer</w:t>
            </w:r>
          </w:p>
          <w:p w14:paraId="5EA28762" w14:textId="77777777" w:rsidR="003C66EB" w:rsidRDefault="00D96C4E">
            <w:pPr>
              <w:jc w:val="center"/>
              <w:textAlignment w:val="bottom"/>
            </w:pPr>
            <w:r>
              <w:rPr>
                <w:rFonts w:ascii="Arial" w:eastAsia="宋体" w:hAnsi="Arial" w:cs="Arial"/>
                <w:i/>
                <w:iCs/>
                <w:color w:val="000000"/>
                <w:sz w:val="20"/>
                <w:szCs w:val="20"/>
              </w:rPr>
              <w:t>(Principal Accounting Officer)</w:t>
            </w:r>
          </w:p>
        </w:tc>
      </w:tr>
      <w:tr w:rsidR="003C66EB" w14:paraId="5EA2876A" w14:textId="77777777">
        <w:trPr>
          <w:trHeight w:val="300"/>
        </w:trPr>
        <w:tc>
          <w:tcPr>
            <w:tcW w:w="0" w:type="auto"/>
            <w:gridSpan w:val="3"/>
            <w:shd w:val="clear" w:color="auto" w:fill="auto"/>
            <w:tcMar>
              <w:top w:w="0" w:type="dxa"/>
              <w:left w:w="20" w:type="dxa"/>
              <w:bottom w:w="0" w:type="dxa"/>
              <w:right w:w="20" w:type="dxa"/>
            </w:tcMar>
          </w:tcPr>
          <w:p w14:paraId="5EA28764"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65"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66"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67"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68" w14:textId="77777777" w:rsidR="003C66EB" w:rsidRDefault="003C66EB">
            <w:pPr>
              <w:rPr>
                <w:rFonts w:ascii="宋体"/>
              </w:rPr>
            </w:pPr>
          </w:p>
        </w:tc>
        <w:tc>
          <w:tcPr>
            <w:tcW w:w="0" w:type="auto"/>
            <w:gridSpan w:val="3"/>
            <w:shd w:val="clear" w:color="auto" w:fill="auto"/>
            <w:tcMar>
              <w:top w:w="0" w:type="dxa"/>
              <w:left w:w="20" w:type="dxa"/>
              <w:bottom w:w="0" w:type="dxa"/>
              <w:right w:w="20" w:type="dxa"/>
            </w:tcMar>
          </w:tcPr>
          <w:p w14:paraId="5EA28769" w14:textId="77777777" w:rsidR="003C66EB" w:rsidRDefault="003C66EB">
            <w:pPr>
              <w:rPr>
                <w:rFonts w:ascii="宋体"/>
              </w:rPr>
            </w:pPr>
          </w:p>
        </w:tc>
      </w:tr>
    </w:tbl>
    <w:p w14:paraId="5EA2876B" w14:textId="77777777" w:rsidR="003C66EB" w:rsidRDefault="003C66EB">
      <w:pPr>
        <w:ind w:firstLine="450"/>
        <w:textAlignment w:val="top"/>
      </w:pPr>
    </w:p>
    <w:p w14:paraId="5EA2876C" w14:textId="77777777" w:rsidR="003C66EB" w:rsidRDefault="00D96C4E">
      <w:pPr>
        <w:ind w:firstLine="450"/>
        <w:jc w:val="right"/>
      </w:pPr>
      <w:r>
        <w:rPr>
          <w:rFonts w:ascii="Arial" w:eastAsia="宋体" w:hAnsi="Arial" w:cs="Arial"/>
          <w:color w:val="000000"/>
          <w:sz w:val="18"/>
          <w:szCs w:val="18"/>
        </w:rPr>
        <w:t>State Street Corporation | 91</w:t>
      </w:r>
    </w:p>
    <w:p w14:paraId="5EA2876D" w14:textId="77777777" w:rsidR="003C66EB" w:rsidRDefault="003C66EB">
      <w:pPr>
        <w:ind w:firstLine="450"/>
        <w:jc w:val="center"/>
      </w:pPr>
    </w:p>
    <w:p w14:paraId="5EA2876E" w14:textId="77777777" w:rsidR="003C66EB" w:rsidRDefault="00D96C4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A2880B" wp14:editId="5EA2880C">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70" w14:textId="77777777">
        <w:trPr>
          <w:tblCellSpacing w:w="15" w:type="dxa"/>
        </w:trPr>
        <w:tc>
          <w:tcPr>
            <w:tcW w:w="0" w:type="auto"/>
            <w:shd w:val="clear" w:color="auto" w:fill="auto"/>
            <w:vAlign w:val="center"/>
          </w:tcPr>
          <w:p w14:paraId="5EA2876F" w14:textId="77777777" w:rsidR="003C66EB" w:rsidRDefault="003C66EB">
            <w:pPr>
              <w:rPr>
                <w:rFonts w:ascii="宋体"/>
              </w:rPr>
            </w:pPr>
          </w:p>
        </w:tc>
      </w:tr>
    </w:tbl>
    <w:p w14:paraId="5EA28771"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73" w14:textId="77777777">
        <w:trPr>
          <w:tblCellSpacing w:w="15" w:type="dxa"/>
        </w:trPr>
        <w:tc>
          <w:tcPr>
            <w:tcW w:w="0" w:type="auto"/>
            <w:shd w:val="clear" w:color="auto" w:fill="auto"/>
            <w:vAlign w:val="center"/>
          </w:tcPr>
          <w:p w14:paraId="5EA28772" w14:textId="77777777" w:rsidR="003C66EB" w:rsidRDefault="003C66EB">
            <w:pPr>
              <w:rPr>
                <w:rFonts w:ascii="宋体"/>
              </w:rPr>
            </w:pPr>
          </w:p>
        </w:tc>
      </w:tr>
    </w:tbl>
    <w:p w14:paraId="5EA28774"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76" w14:textId="77777777">
        <w:trPr>
          <w:tblCellSpacing w:w="15" w:type="dxa"/>
        </w:trPr>
        <w:tc>
          <w:tcPr>
            <w:tcW w:w="0" w:type="auto"/>
            <w:shd w:val="clear" w:color="auto" w:fill="auto"/>
            <w:vAlign w:val="center"/>
          </w:tcPr>
          <w:p w14:paraId="5EA28775" w14:textId="77777777" w:rsidR="003C66EB" w:rsidRDefault="003C66EB">
            <w:pPr>
              <w:rPr>
                <w:rFonts w:ascii="宋体"/>
              </w:rPr>
            </w:pPr>
          </w:p>
        </w:tc>
      </w:tr>
    </w:tbl>
    <w:p w14:paraId="5EA28777"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79" w14:textId="77777777">
        <w:trPr>
          <w:tblCellSpacing w:w="15" w:type="dxa"/>
        </w:trPr>
        <w:tc>
          <w:tcPr>
            <w:tcW w:w="0" w:type="auto"/>
            <w:shd w:val="clear" w:color="auto" w:fill="auto"/>
            <w:vAlign w:val="center"/>
          </w:tcPr>
          <w:p w14:paraId="5EA28778" w14:textId="77777777" w:rsidR="003C66EB" w:rsidRDefault="003C66EB">
            <w:pPr>
              <w:rPr>
                <w:rFonts w:ascii="宋体"/>
              </w:rPr>
            </w:pPr>
          </w:p>
        </w:tc>
      </w:tr>
    </w:tbl>
    <w:p w14:paraId="5EA2877A" w14:textId="77777777" w:rsidR="003C66EB" w:rsidRDefault="00D96C4E">
      <w:r>
        <w:rPr>
          <w:rFonts w:ascii="宋体" w:eastAsia="宋体" w:hAnsi="宋体" w:cs="宋体"/>
        </w:rPr>
        <w:t xml:space="preserve">Previous Next </w:t>
      </w:r>
    </w:p>
    <w:p w14:paraId="5EA2877B" w14:textId="77777777" w:rsidR="003C66EB" w:rsidRDefault="00D96C4E">
      <w:pPr>
        <w:pStyle w:val="a3"/>
      </w:pPr>
      <w:r>
        <w:t>Settings</w:t>
      </w:r>
    </w:p>
    <w:p w14:paraId="5EA2877C" w14:textId="77777777" w:rsidR="003C66EB" w:rsidRDefault="00D96C4E">
      <w:pPr>
        <w:pStyle w:val="Style4"/>
      </w:pPr>
      <w:r>
        <w:t>窗体顶端</w:t>
      </w:r>
    </w:p>
    <w:p w14:paraId="5EA2877D" w14:textId="77777777" w:rsidR="003C66EB" w:rsidRDefault="00D96C4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EA2880D" wp14:editId="5EA2880E">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EA2877E" w14:textId="77777777" w:rsidR="003C66EB" w:rsidRDefault="00D96C4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EA2880F" wp14:editId="5EA28810">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EA2877F" w14:textId="77777777" w:rsidR="003C66EB" w:rsidRDefault="00D96C4E">
      <w:r>
        <w:pict w14:anchorId="5EA28811">
          <v:rect id="_x0000_i1115" style="width:415.3pt;height:1.5pt" o:hralign="center" o:hrstd="t" o:hr="t" fillcolor="#a0a0a0" stroked="f"/>
        </w:pict>
      </w:r>
    </w:p>
    <w:p w14:paraId="5EA28780" w14:textId="77777777" w:rsidR="003C66EB" w:rsidRDefault="00D96C4E">
      <w:r>
        <w:rPr>
          <w:rFonts w:ascii="宋体" w:eastAsia="宋体" w:hAnsi="宋体" w:cs="宋体"/>
        </w:rPr>
        <w:t xml:space="preserve">Tagged Data </w:t>
      </w:r>
    </w:p>
    <w:p w14:paraId="5EA28781" w14:textId="77777777" w:rsidR="003C66EB" w:rsidRDefault="00D96C4E">
      <w:r>
        <w:rPr>
          <w:rFonts w:ascii="monospace" w:eastAsia="monospace" w:hAnsi="monospace" w:cs="monospace"/>
          <w:noProof/>
        </w:rPr>
        <mc:AlternateContent>
          <mc:Choice Requires="wps">
            <w:drawing>
              <wp:inline distT="0" distB="0" distL="114300" distR="114300" wp14:anchorId="5EA28812" wp14:editId="5EA28813">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EA28782" w14:textId="77777777" w:rsidR="003C66EB" w:rsidRDefault="00D96C4E">
      <w:r>
        <w:rPr>
          <w:rFonts w:ascii="宋体" w:eastAsia="宋体" w:hAnsi="宋体" w:cs="宋体"/>
        </w:rPr>
        <w:t>Save</w:t>
      </w:r>
    </w:p>
    <w:p w14:paraId="5EA28783" w14:textId="77777777" w:rsidR="003C66EB" w:rsidRDefault="00D96C4E">
      <w:r>
        <w:rPr>
          <w:rFonts w:ascii="宋体" w:eastAsia="宋体" w:hAnsi="宋体" w:cs="宋体"/>
        </w:rPr>
        <w:t>Reset</w:t>
      </w:r>
    </w:p>
    <w:p w14:paraId="5EA28784" w14:textId="77777777" w:rsidR="003C66EB" w:rsidRDefault="00D96C4E">
      <w:r>
        <w:pict w14:anchorId="5EA28814">
          <v:rect id="_x0000_i1116" style="width:415.3pt;height:1.5pt" o:hralign="center" o:hrstd="t" o:hr="t" fillcolor="#a0a0a0" stroked="f"/>
        </w:pict>
      </w:r>
    </w:p>
    <w:p w14:paraId="5EA28785" w14:textId="77777777" w:rsidR="003C66EB" w:rsidRDefault="00D96C4E">
      <w:r>
        <w:rPr>
          <w:rFonts w:ascii="宋体" w:eastAsia="宋体" w:hAnsi="宋体" w:cs="宋体"/>
        </w:rPr>
        <w:t xml:space="preserve">Search Results </w:t>
      </w:r>
    </w:p>
    <w:p w14:paraId="5EA28786" w14:textId="77777777" w:rsidR="003C66EB" w:rsidRDefault="00D96C4E">
      <w:r>
        <w:rPr>
          <w:rFonts w:ascii="monospace" w:eastAsia="monospace" w:hAnsi="monospace" w:cs="monospace"/>
          <w:noProof/>
        </w:rPr>
        <mc:AlternateContent>
          <mc:Choice Requires="wps">
            <w:drawing>
              <wp:inline distT="0" distB="0" distL="114300" distR="114300" wp14:anchorId="5EA28815" wp14:editId="5EA28816">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EA28787" w14:textId="77777777" w:rsidR="003C66EB" w:rsidRDefault="00D96C4E">
      <w:r>
        <w:rPr>
          <w:rFonts w:ascii="宋体" w:eastAsia="宋体" w:hAnsi="宋体" w:cs="宋体"/>
        </w:rPr>
        <w:t>Save</w:t>
      </w:r>
    </w:p>
    <w:p w14:paraId="5EA28788" w14:textId="77777777" w:rsidR="003C66EB" w:rsidRDefault="00D96C4E">
      <w:r>
        <w:rPr>
          <w:rFonts w:ascii="宋体" w:eastAsia="宋体" w:hAnsi="宋体" w:cs="宋体"/>
        </w:rPr>
        <w:t>Reset</w:t>
      </w:r>
    </w:p>
    <w:p w14:paraId="5EA28789" w14:textId="77777777" w:rsidR="003C66EB" w:rsidRDefault="00D96C4E">
      <w:r>
        <w:pict w14:anchorId="5EA28817">
          <v:rect id="_x0000_i1117" style="width:415.3pt;height:1.5pt" o:hralign="center" o:hrstd="t" o:hr="t" fillcolor="#a0a0a0" stroked="f"/>
        </w:pict>
      </w:r>
    </w:p>
    <w:p w14:paraId="5EA2878A" w14:textId="77777777" w:rsidR="003C66EB" w:rsidRDefault="00D96C4E">
      <w:r>
        <w:rPr>
          <w:rFonts w:ascii="宋体" w:eastAsia="宋体" w:hAnsi="宋体" w:cs="宋体"/>
        </w:rPr>
        <w:t xml:space="preserve">Selected Fact </w:t>
      </w:r>
    </w:p>
    <w:p w14:paraId="5EA2878B" w14:textId="77777777" w:rsidR="003C66EB" w:rsidRDefault="00D96C4E">
      <w:r>
        <w:rPr>
          <w:rFonts w:ascii="monospace" w:eastAsia="monospace" w:hAnsi="monospace" w:cs="monospace"/>
          <w:noProof/>
        </w:rPr>
        <mc:AlternateContent>
          <mc:Choice Requires="wps">
            <w:drawing>
              <wp:inline distT="0" distB="0" distL="114300" distR="114300" wp14:anchorId="5EA28818" wp14:editId="5EA28819">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EA2878C" w14:textId="77777777" w:rsidR="003C66EB" w:rsidRDefault="00D96C4E">
      <w:r>
        <w:rPr>
          <w:rFonts w:ascii="宋体" w:eastAsia="宋体" w:hAnsi="宋体" w:cs="宋体"/>
        </w:rPr>
        <w:t>Save</w:t>
      </w:r>
    </w:p>
    <w:p w14:paraId="5EA2878D" w14:textId="77777777" w:rsidR="003C66EB" w:rsidRDefault="00D96C4E">
      <w:r>
        <w:rPr>
          <w:rFonts w:ascii="宋体" w:eastAsia="宋体" w:hAnsi="宋体" w:cs="宋体"/>
        </w:rPr>
        <w:t>Reset</w:t>
      </w:r>
    </w:p>
    <w:p w14:paraId="5EA2878E" w14:textId="77777777" w:rsidR="003C66EB" w:rsidRDefault="00D96C4E">
      <w:r>
        <w:pict w14:anchorId="5EA2881A">
          <v:rect id="_x0000_i1118" style="width:415.3pt;height:1.5pt" o:hralign="center" o:hrstd="t" o:hr="t" fillcolor="#a0a0a0" stroked="f"/>
        </w:pict>
      </w:r>
    </w:p>
    <w:p w14:paraId="5EA2878F" w14:textId="77777777" w:rsidR="003C66EB" w:rsidRDefault="00D96C4E">
      <w:r>
        <w:rPr>
          <w:rFonts w:ascii="宋体" w:eastAsia="宋体" w:hAnsi="宋体" w:cs="宋体"/>
        </w:rPr>
        <w:t xml:space="preserve">Tag Shading (hover) </w:t>
      </w:r>
    </w:p>
    <w:p w14:paraId="5EA28790" w14:textId="77777777" w:rsidR="003C66EB" w:rsidRDefault="00D96C4E">
      <w:r>
        <w:rPr>
          <w:rFonts w:ascii="monospace" w:eastAsia="monospace" w:hAnsi="monospace" w:cs="monospace"/>
          <w:noProof/>
        </w:rPr>
        <mc:AlternateContent>
          <mc:Choice Requires="wps">
            <w:drawing>
              <wp:inline distT="0" distB="0" distL="114300" distR="114300" wp14:anchorId="5EA2881B" wp14:editId="5EA2881C">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EA28791" w14:textId="77777777" w:rsidR="003C66EB" w:rsidRDefault="00D96C4E">
      <w:r>
        <w:rPr>
          <w:rFonts w:ascii="宋体" w:eastAsia="宋体" w:hAnsi="宋体" w:cs="宋体"/>
        </w:rPr>
        <w:t>Save</w:t>
      </w:r>
    </w:p>
    <w:p w14:paraId="5EA28792" w14:textId="77777777" w:rsidR="003C66EB" w:rsidRDefault="00D96C4E">
      <w:r>
        <w:rPr>
          <w:rFonts w:ascii="宋体" w:eastAsia="宋体" w:hAnsi="宋体" w:cs="宋体"/>
        </w:rPr>
        <w:t>Reset</w:t>
      </w:r>
    </w:p>
    <w:p w14:paraId="5EA28793" w14:textId="77777777" w:rsidR="003C66EB" w:rsidRDefault="00D96C4E">
      <w:pPr>
        <w:pStyle w:val="Style5"/>
      </w:pPr>
      <w:r>
        <w:t>窗体底端</w:t>
      </w:r>
    </w:p>
    <w:p w14:paraId="5EA28794" w14:textId="77777777" w:rsidR="003C66EB" w:rsidRDefault="00D96C4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A2881D" wp14:editId="5EA2881E">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96" w14:textId="77777777">
        <w:trPr>
          <w:tblCellSpacing w:w="15" w:type="dxa"/>
        </w:trPr>
        <w:tc>
          <w:tcPr>
            <w:tcW w:w="0" w:type="auto"/>
            <w:shd w:val="clear" w:color="auto" w:fill="auto"/>
            <w:vAlign w:val="center"/>
          </w:tcPr>
          <w:p w14:paraId="5EA28795" w14:textId="77777777" w:rsidR="003C66EB" w:rsidRDefault="003C66EB">
            <w:pPr>
              <w:rPr>
                <w:rFonts w:ascii="宋体"/>
              </w:rPr>
            </w:pPr>
          </w:p>
        </w:tc>
      </w:tr>
    </w:tbl>
    <w:p w14:paraId="5EA28797"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99" w14:textId="77777777">
        <w:trPr>
          <w:tblCellSpacing w:w="15" w:type="dxa"/>
        </w:trPr>
        <w:tc>
          <w:tcPr>
            <w:tcW w:w="0" w:type="auto"/>
            <w:shd w:val="clear" w:color="auto" w:fill="auto"/>
            <w:vAlign w:val="center"/>
          </w:tcPr>
          <w:p w14:paraId="5EA28798" w14:textId="77777777" w:rsidR="003C66EB" w:rsidRDefault="003C66EB">
            <w:pPr>
              <w:rPr>
                <w:rFonts w:ascii="宋体"/>
              </w:rPr>
            </w:pPr>
          </w:p>
        </w:tc>
      </w:tr>
    </w:tbl>
    <w:p w14:paraId="5EA2879A"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9C" w14:textId="77777777">
        <w:trPr>
          <w:tblCellSpacing w:w="15" w:type="dxa"/>
        </w:trPr>
        <w:tc>
          <w:tcPr>
            <w:tcW w:w="0" w:type="auto"/>
            <w:shd w:val="clear" w:color="auto" w:fill="auto"/>
            <w:vAlign w:val="center"/>
          </w:tcPr>
          <w:p w14:paraId="5EA2879B" w14:textId="77777777" w:rsidR="003C66EB" w:rsidRDefault="003C66EB">
            <w:pPr>
              <w:rPr>
                <w:rFonts w:ascii="宋体"/>
              </w:rPr>
            </w:pPr>
          </w:p>
        </w:tc>
      </w:tr>
    </w:tbl>
    <w:p w14:paraId="5EA2879D"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9F" w14:textId="77777777">
        <w:trPr>
          <w:tblCellSpacing w:w="15" w:type="dxa"/>
        </w:trPr>
        <w:tc>
          <w:tcPr>
            <w:tcW w:w="0" w:type="auto"/>
            <w:shd w:val="clear" w:color="auto" w:fill="auto"/>
            <w:vAlign w:val="center"/>
          </w:tcPr>
          <w:p w14:paraId="5EA2879E" w14:textId="77777777" w:rsidR="003C66EB" w:rsidRDefault="003C66EB">
            <w:pPr>
              <w:rPr>
                <w:rFonts w:ascii="宋体"/>
              </w:rPr>
            </w:pPr>
          </w:p>
        </w:tc>
      </w:tr>
    </w:tbl>
    <w:p w14:paraId="5EA287A0" w14:textId="77777777" w:rsidR="003C66EB" w:rsidRDefault="00D96C4E">
      <w:r>
        <w:rPr>
          <w:rFonts w:ascii="宋体" w:eastAsia="宋体" w:hAnsi="宋体" w:cs="宋体"/>
        </w:rPr>
        <w:t xml:space="preserve">Previous Next </w:t>
      </w:r>
    </w:p>
    <w:p w14:paraId="5EA287A1" w14:textId="77777777" w:rsidR="003C66EB" w:rsidRDefault="00D96C4E">
      <w:pPr>
        <w:pStyle w:val="a3"/>
      </w:pPr>
      <w:r>
        <w:t xml:space="preserve">Nested Facts / </w:t>
      </w:r>
    </w:p>
    <w:p w14:paraId="5EA287A2" w14:textId="77777777" w:rsidR="003C66EB" w:rsidRDefault="00D96C4E">
      <w:r>
        <w:rPr>
          <w:rFonts w:ascii="宋体" w:eastAsia="宋体" w:hAnsi="宋体" w:cs="宋体"/>
        </w:rPr>
        <w:t xml:space="preserve">Previous Next </w:t>
      </w:r>
    </w:p>
    <w:p w14:paraId="5EA287A3" w14:textId="77777777" w:rsidR="003C66EB" w:rsidRDefault="00D96C4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A2881F" wp14:editId="5EA28820">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A5" w14:textId="77777777">
        <w:trPr>
          <w:tblCellSpacing w:w="15" w:type="dxa"/>
        </w:trPr>
        <w:tc>
          <w:tcPr>
            <w:tcW w:w="0" w:type="auto"/>
            <w:shd w:val="clear" w:color="auto" w:fill="auto"/>
            <w:vAlign w:val="center"/>
          </w:tcPr>
          <w:p w14:paraId="5EA287A4" w14:textId="77777777" w:rsidR="003C66EB" w:rsidRDefault="003C66EB">
            <w:pPr>
              <w:rPr>
                <w:rFonts w:ascii="宋体"/>
              </w:rPr>
            </w:pPr>
          </w:p>
        </w:tc>
      </w:tr>
    </w:tbl>
    <w:p w14:paraId="5EA287A6"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A8" w14:textId="77777777">
        <w:trPr>
          <w:tblCellSpacing w:w="15" w:type="dxa"/>
        </w:trPr>
        <w:tc>
          <w:tcPr>
            <w:tcW w:w="0" w:type="auto"/>
            <w:shd w:val="clear" w:color="auto" w:fill="auto"/>
            <w:vAlign w:val="center"/>
          </w:tcPr>
          <w:p w14:paraId="5EA287A7" w14:textId="77777777" w:rsidR="003C66EB" w:rsidRDefault="003C66EB">
            <w:pPr>
              <w:rPr>
                <w:rFonts w:ascii="宋体"/>
              </w:rPr>
            </w:pPr>
          </w:p>
        </w:tc>
      </w:tr>
    </w:tbl>
    <w:p w14:paraId="5EA287A9"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AB" w14:textId="77777777">
        <w:trPr>
          <w:tblCellSpacing w:w="15" w:type="dxa"/>
        </w:trPr>
        <w:tc>
          <w:tcPr>
            <w:tcW w:w="0" w:type="auto"/>
            <w:shd w:val="clear" w:color="auto" w:fill="auto"/>
            <w:vAlign w:val="center"/>
          </w:tcPr>
          <w:p w14:paraId="5EA287AA" w14:textId="77777777" w:rsidR="003C66EB" w:rsidRDefault="003C66EB">
            <w:pPr>
              <w:rPr>
                <w:rFonts w:ascii="宋体"/>
              </w:rPr>
            </w:pPr>
          </w:p>
        </w:tc>
      </w:tr>
    </w:tbl>
    <w:p w14:paraId="5EA287AC" w14:textId="77777777" w:rsidR="003C66EB" w:rsidRDefault="003C66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66EB" w14:paraId="5EA287AE" w14:textId="77777777">
        <w:trPr>
          <w:tblCellSpacing w:w="15" w:type="dxa"/>
        </w:trPr>
        <w:tc>
          <w:tcPr>
            <w:tcW w:w="0" w:type="auto"/>
            <w:shd w:val="clear" w:color="auto" w:fill="auto"/>
            <w:vAlign w:val="center"/>
          </w:tcPr>
          <w:p w14:paraId="5EA287AD" w14:textId="77777777" w:rsidR="003C66EB" w:rsidRDefault="003C66EB">
            <w:pPr>
              <w:rPr>
                <w:rFonts w:ascii="宋体"/>
              </w:rPr>
            </w:pPr>
          </w:p>
        </w:tc>
      </w:tr>
    </w:tbl>
    <w:p w14:paraId="5EA287AF" w14:textId="77777777" w:rsidR="003C66EB" w:rsidRDefault="00D96C4E">
      <w:r>
        <w:rPr>
          <w:rFonts w:ascii="宋体" w:eastAsia="宋体" w:hAnsi="宋体" w:cs="宋体"/>
        </w:rPr>
        <w:t xml:space="preserve">Previous Next </w:t>
      </w:r>
    </w:p>
    <w:p w14:paraId="5EA287B0" w14:textId="77777777" w:rsidR="003C66EB" w:rsidRDefault="003C66EB"/>
    <w:sectPr w:rsidR="003C66E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4875" w14:textId="77777777" w:rsidR="00D96C4E" w:rsidRDefault="00D96C4E" w:rsidP="00D96C4E">
      <w:r>
        <w:separator/>
      </w:r>
    </w:p>
  </w:endnote>
  <w:endnote w:type="continuationSeparator" w:id="0">
    <w:p w14:paraId="5D5B803D" w14:textId="77777777" w:rsidR="00D96C4E" w:rsidRDefault="00D96C4E" w:rsidP="00D9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A7BE" w14:textId="77777777" w:rsidR="00D96C4E" w:rsidRDefault="00D96C4E" w:rsidP="00D96C4E">
      <w:r>
        <w:separator/>
      </w:r>
    </w:p>
  </w:footnote>
  <w:footnote w:type="continuationSeparator" w:id="0">
    <w:p w14:paraId="21F85C20" w14:textId="77777777" w:rsidR="00D96C4E" w:rsidRDefault="00D96C4E" w:rsidP="00D96C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EE8"/>
    <w:rsid w:val="003C66EB"/>
    <w:rsid w:val="00D96C4E"/>
    <w:rsid w:val="7FFE4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A1DA32"/>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96C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96C4E"/>
    <w:rPr>
      <w:rFonts w:asciiTheme="minorEastAsia" w:hAnsiTheme="minorEastAsia" w:cs="Times New Roman"/>
      <w:sz w:val="18"/>
      <w:szCs w:val="18"/>
    </w:rPr>
  </w:style>
  <w:style w:type="paragraph" w:styleId="a8">
    <w:name w:val="footer"/>
    <w:basedOn w:val="a"/>
    <w:link w:val="a9"/>
    <w:rsid w:val="00D96C4E"/>
    <w:pPr>
      <w:tabs>
        <w:tab w:val="center" w:pos="4153"/>
        <w:tab w:val="right" w:pos="8306"/>
      </w:tabs>
      <w:snapToGrid w:val="0"/>
    </w:pPr>
    <w:rPr>
      <w:sz w:val="18"/>
      <w:szCs w:val="18"/>
    </w:rPr>
  </w:style>
  <w:style w:type="character" w:customStyle="1" w:styleId="a9">
    <w:name w:val="页脚 字符"/>
    <w:basedOn w:val="a0"/>
    <w:link w:val="a8"/>
    <w:rsid w:val="00D96C4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1000540/stt-20210331.htm" TargetMode="External"/><Relationship Id="rId21" Type="http://schemas.openxmlformats.org/officeDocument/2006/relationships/hyperlink" Target="https://www.sec.gov/ix?doc=/Archives/edgar/data/93751/000009375121000540/stt-20210331.htm" TargetMode="External"/><Relationship Id="rId42" Type="http://schemas.openxmlformats.org/officeDocument/2006/relationships/hyperlink" Target="https://www.sec.gov/ix?doc=/Archives/edgar/data/93751/000009375121000540/stt-20210331.htm" TargetMode="External"/><Relationship Id="rId47" Type="http://schemas.openxmlformats.org/officeDocument/2006/relationships/hyperlink" Target="https://www.sec.gov/ix?doc=/Archives/edgar/data/93751/000009375121000540/stt-20210331.htm" TargetMode="External"/><Relationship Id="rId63" Type="http://schemas.openxmlformats.org/officeDocument/2006/relationships/hyperlink" Target="https://www.sec.gov/ix?doc=/Archives/edgar/data/93751/000009375121000540/stt-20210331.htm" TargetMode="External"/><Relationship Id="rId68" Type="http://schemas.openxmlformats.org/officeDocument/2006/relationships/hyperlink" Target="https://www.sec.gov/Archives/edgar/data/93751/000009375121000540/exhibit102combined.htm" TargetMode="External"/><Relationship Id="rId16" Type="http://schemas.openxmlformats.org/officeDocument/2006/relationships/hyperlink" Target="https://www.sec.gov/ix?doc=/Archives/edgar/data/93751/000009375121000540/stt-20210331.htm" TargetMode="External"/><Relationship Id="rId11" Type="http://schemas.openxmlformats.org/officeDocument/2006/relationships/hyperlink" Target="https://www.sec.gov/ix?doc=/Archives/edgar/data/93751/000009375121000540/stt-20210331.htm" TargetMode="External"/><Relationship Id="rId24" Type="http://schemas.openxmlformats.org/officeDocument/2006/relationships/hyperlink" Target="https://www.sec.gov/ix?doc=/Archives/edgar/data/93751/000009375121000540/stt-20210331.htm" TargetMode="External"/><Relationship Id="rId32" Type="http://schemas.openxmlformats.org/officeDocument/2006/relationships/hyperlink" Target="https://www.sec.gov/ix?doc=/Archives/edgar/data/93751/000009375121000540/stt-20210331.htm" TargetMode="External"/><Relationship Id="rId37" Type="http://schemas.openxmlformats.org/officeDocument/2006/relationships/hyperlink" Target="https://www.sec.gov/ix?doc=/Archives/edgar/data/93751/000009375121000540/stt-20210331.htm" TargetMode="External"/><Relationship Id="rId40" Type="http://schemas.openxmlformats.org/officeDocument/2006/relationships/hyperlink" Target="https://www.sec.gov/ix?doc=/Archives/edgar/data/93751/000009375121000540/stt-20210331.htm" TargetMode="External"/><Relationship Id="rId45" Type="http://schemas.openxmlformats.org/officeDocument/2006/relationships/hyperlink" Target="https://www.sec.gov/ix?doc=/Archives/edgar/data/93751/000009375121000540/stt-20210331.htm" TargetMode="External"/><Relationship Id="rId53" Type="http://schemas.openxmlformats.org/officeDocument/2006/relationships/hyperlink" Target="https://www.sec.gov/ix?doc=/Archives/edgar/data/93751/000009375121000540/stt-20210331.htm" TargetMode="External"/><Relationship Id="rId58" Type="http://schemas.openxmlformats.org/officeDocument/2006/relationships/hyperlink" Target="https://www.sec.gov/ix?doc=/Archives/edgar/data/93751/000009375121000540/stt-20210331.htm" TargetMode="External"/><Relationship Id="rId66" Type="http://schemas.openxmlformats.org/officeDocument/2006/relationships/hyperlink" Target="https://www.sec.gov/Archives/edgar/data/93751/000009375121000540/exhibit101combined.htm" TargetMode="External"/><Relationship Id="rId74" Type="http://schemas.openxmlformats.org/officeDocument/2006/relationships/hyperlink" Target="https://www.sec.gov/Archives/edgar/data/93751/000009375121000540/exhibit312-march312021.htm" TargetMode="External"/><Relationship Id="rId5" Type="http://schemas.openxmlformats.org/officeDocument/2006/relationships/endnotes" Target="endnotes.xml"/><Relationship Id="rId61" Type="http://schemas.openxmlformats.org/officeDocument/2006/relationships/hyperlink" Target="https://www.sec.gov/ix?doc=/Archives/edgar/data/93751/000009375121000540/stt-20210331.htm" TargetMode="External"/><Relationship Id="rId19" Type="http://schemas.openxmlformats.org/officeDocument/2006/relationships/hyperlink" Target="https://www.sec.gov/ix?doc=/Archives/edgar/data/93751/000009375121000540/stt-20210331.htm" TargetMode="External"/><Relationship Id="rId14" Type="http://schemas.openxmlformats.org/officeDocument/2006/relationships/hyperlink" Target="https://www.sec.gov/ix?doc=/Archives/edgar/data/93751/000009375121000540/stt-20210331.htm" TargetMode="External"/><Relationship Id="rId22" Type="http://schemas.openxmlformats.org/officeDocument/2006/relationships/hyperlink" Target="https://www.sec.gov/ix?doc=/Archives/edgar/data/93751/000009375121000540/stt-20210331.htm" TargetMode="External"/><Relationship Id="rId27" Type="http://schemas.openxmlformats.org/officeDocument/2006/relationships/hyperlink" Target="https://www.sec.gov/ix?doc=/Archives/edgar/data/93751/000009375121000540/stt-20210331.htm" TargetMode="External"/><Relationship Id="rId30" Type="http://schemas.openxmlformats.org/officeDocument/2006/relationships/hyperlink" Target="https://www.sec.gov/ix?doc=/Archives/edgar/data/93751/000009375121000540/stt-20210331.htm" TargetMode="External"/><Relationship Id="rId35" Type="http://schemas.openxmlformats.org/officeDocument/2006/relationships/hyperlink" Target="https://www.sec.gov/ix?doc=/Archives/edgar/data/93751/000009375121000540/stt-20210331.htm" TargetMode="External"/><Relationship Id="rId43" Type="http://schemas.openxmlformats.org/officeDocument/2006/relationships/hyperlink" Target="https://www.sec.gov/ix?doc=/Archives/edgar/data/93751/000009375121000540/stt-20210331.htm" TargetMode="External"/><Relationship Id="rId48" Type="http://schemas.openxmlformats.org/officeDocument/2006/relationships/hyperlink" Target="https://www.sec.gov/ix?doc=/Archives/edgar/data/93751/000009375121000540/stt-20210331.htm" TargetMode="External"/><Relationship Id="rId56" Type="http://schemas.openxmlformats.org/officeDocument/2006/relationships/hyperlink" Target="https://www.sec.gov/ix?doc=/Archives/edgar/data/93751/000009375121000540/stt-20210331.htm" TargetMode="External"/><Relationship Id="rId64" Type="http://schemas.openxmlformats.org/officeDocument/2006/relationships/hyperlink" Target="https://www.sec.gov/ix?doc=/Archives/edgar/data/93751/000009375121000540/stt-20210331.htm" TargetMode="External"/><Relationship Id="rId69" Type="http://schemas.openxmlformats.org/officeDocument/2006/relationships/hyperlink" Target="https://www.sec.gov/Archives/edgar/data/93751/000009375121000540/exhibit15acknowledgmentlet.htm" TargetMode="External"/><Relationship Id="rId77" Type="http://schemas.openxmlformats.org/officeDocument/2006/relationships/fontTable" Target="fontTable.xml"/><Relationship Id="rId8" Type="http://schemas.openxmlformats.org/officeDocument/2006/relationships/hyperlink" Target="https://www.sec.gov/ix?doc=/Archives/edgar/data/93751/000009375121000540/stt-20210331.htm" TargetMode="External"/><Relationship Id="rId51" Type="http://schemas.openxmlformats.org/officeDocument/2006/relationships/hyperlink" Target="https://www.sec.gov/ix?doc=/Archives/edgar/data/93751/000009375121000540/stt-20210331.htm" TargetMode="External"/><Relationship Id="rId72" Type="http://schemas.openxmlformats.org/officeDocument/2006/relationships/hyperlink" Target="https://www.sec.gov/Archives/edgar/data/93751/000009375121000540/exhibit311-march312021.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1000540/stt-20210331.htm" TargetMode="External"/><Relationship Id="rId17" Type="http://schemas.openxmlformats.org/officeDocument/2006/relationships/hyperlink" Target="https://www.sec.gov/ix?doc=/Archives/edgar/data/93751/000009375121000540/stt-20210331.htm" TargetMode="External"/><Relationship Id="rId25" Type="http://schemas.openxmlformats.org/officeDocument/2006/relationships/hyperlink" Target="https://www.sec.gov/ix?doc=/Archives/edgar/data/93751/000009375121000540/stt-20210331.htm" TargetMode="External"/><Relationship Id="rId33" Type="http://schemas.openxmlformats.org/officeDocument/2006/relationships/hyperlink" Target="https://www.sec.gov/ix?doc=/Archives/edgar/data/93751/000009375121000540/stt-20210331.htm" TargetMode="External"/><Relationship Id="rId38" Type="http://schemas.openxmlformats.org/officeDocument/2006/relationships/hyperlink" Target="https://www.sec.gov/ix?doc=/Archives/edgar/data/93751/000009375121000540/stt-20210331.htm" TargetMode="External"/><Relationship Id="rId46" Type="http://schemas.openxmlformats.org/officeDocument/2006/relationships/hyperlink" Target="https://www.sec.gov/ix?doc=/Archives/edgar/data/93751/000009375121000540/stt-20210331.htm" TargetMode="External"/><Relationship Id="rId59" Type="http://schemas.openxmlformats.org/officeDocument/2006/relationships/hyperlink" Target="https://www.sec.gov/ix?doc=/Archives/edgar/data/93751/000009375121000540/stt-20210331.htm" TargetMode="External"/><Relationship Id="rId67" Type="http://schemas.openxmlformats.org/officeDocument/2006/relationships/hyperlink" Target="https://www.sec.gov/Archives/edgar/data/93751/000009375121000540/exhibit102combined.htm" TargetMode="External"/><Relationship Id="rId20" Type="http://schemas.openxmlformats.org/officeDocument/2006/relationships/hyperlink" Target="https://www.sec.gov/ix?doc=/Archives/edgar/data/93751/000009375121000540/stt-20210331.htm" TargetMode="External"/><Relationship Id="rId41" Type="http://schemas.openxmlformats.org/officeDocument/2006/relationships/hyperlink" Target="https://www.sec.gov/ix?doc=/Archives/edgar/data/93751/000009375121000540/stt-20210331.htm" TargetMode="External"/><Relationship Id="rId54" Type="http://schemas.openxmlformats.org/officeDocument/2006/relationships/hyperlink" Target="https://www.sec.gov/ix?doc=/Archives/edgar/data/93751/000009375121000540/stt-20210331.htm" TargetMode="External"/><Relationship Id="rId62" Type="http://schemas.openxmlformats.org/officeDocument/2006/relationships/hyperlink" Target="https://www.sec.gov/ix?doc=/Archives/edgar/data/93751/000009375121000540/stt-20210331.htm" TargetMode="External"/><Relationship Id="rId70" Type="http://schemas.openxmlformats.org/officeDocument/2006/relationships/hyperlink" Target="https://www.sec.gov/Archives/edgar/data/93751/000009375121000540/exhibit15acknowledgmentlet.htm" TargetMode="External"/><Relationship Id="rId75" Type="http://schemas.openxmlformats.org/officeDocument/2006/relationships/hyperlink" Target="https://www.sec.gov/Archives/edgar/data/93751/000009375121000540/exhibit32-march312021.htm" TargetMode="External"/><Relationship Id="rId1" Type="http://schemas.openxmlformats.org/officeDocument/2006/relationships/styles" Target="styles.xml"/><Relationship Id="rId6" Type="http://schemas.openxmlformats.org/officeDocument/2006/relationships/hyperlink" Target="https://www.sec.gov/ix?doc=/Archives/edgar/data/93751/000009375121000540/stt-20210331.htm" TargetMode="External"/><Relationship Id="rId15" Type="http://schemas.openxmlformats.org/officeDocument/2006/relationships/hyperlink" Target="https://www.sec.gov/ix?doc=/Archives/edgar/data/93751/000009375121000540/stt-20210331.htm" TargetMode="External"/><Relationship Id="rId23" Type="http://schemas.openxmlformats.org/officeDocument/2006/relationships/hyperlink" Target="https://www.sec.gov/ix?doc=/Archives/edgar/data/93751/000009375121000540/stt-20210331.htm" TargetMode="External"/><Relationship Id="rId28" Type="http://schemas.openxmlformats.org/officeDocument/2006/relationships/hyperlink" Target="https://www.sec.gov/ix?doc=/Archives/edgar/data/93751/000009375121000540/stt-20210331.htm" TargetMode="External"/><Relationship Id="rId36" Type="http://schemas.openxmlformats.org/officeDocument/2006/relationships/hyperlink" Target="https://www.sec.gov/ix?doc=/Archives/edgar/data/93751/000009375121000540/stt-20210331.htm" TargetMode="External"/><Relationship Id="rId49" Type="http://schemas.openxmlformats.org/officeDocument/2006/relationships/hyperlink" Target="https://www.sec.gov/ix?doc=/Archives/edgar/data/93751/000009375121000540/stt-20210331.htm" TargetMode="External"/><Relationship Id="rId57" Type="http://schemas.openxmlformats.org/officeDocument/2006/relationships/hyperlink" Target="https://www.sec.gov/ix?doc=/Archives/edgar/data/93751/000009375121000540/stt-20210331.htm" TargetMode="External"/><Relationship Id="rId10" Type="http://schemas.openxmlformats.org/officeDocument/2006/relationships/hyperlink" Target="https://www.sec.gov/ix?doc=/Archives/edgar/data/93751/000009375121000540/stt-20210331.htm" TargetMode="External"/><Relationship Id="rId31" Type="http://schemas.openxmlformats.org/officeDocument/2006/relationships/hyperlink" Target="https://www.sec.gov/ix?doc=/Archives/edgar/data/93751/000009375121000540/stt-20210331.htm" TargetMode="External"/><Relationship Id="rId44" Type="http://schemas.openxmlformats.org/officeDocument/2006/relationships/hyperlink" Target="https://www.sec.gov/ix?doc=/Archives/edgar/data/93751/000009375121000540/stt-20210331.htm" TargetMode="External"/><Relationship Id="rId52" Type="http://schemas.openxmlformats.org/officeDocument/2006/relationships/hyperlink" Target="https://www.sec.gov/ix?doc=/Archives/edgar/data/93751/000009375121000540/stt-20210331.htm" TargetMode="External"/><Relationship Id="rId60" Type="http://schemas.openxmlformats.org/officeDocument/2006/relationships/hyperlink" Target="https://www.sec.gov/ix?doc=/Archives/edgar/data/93751/000009375121000540/stt-20210331.htm" TargetMode="External"/><Relationship Id="rId65" Type="http://schemas.openxmlformats.org/officeDocument/2006/relationships/hyperlink" Target="https://www.sec.gov/Archives/edgar/data/93751/000009375121000540/exhibit101combined.htm" TargetMode="External"/><Relationship Id="rId73" Type="http://schemas.openxmlformats.org/officeDocument/2006/relationships/hyperlink" Target="https://www.sec.gov/Archives/edgar/data/93751/000009375121000540/exhibit312-march312021.htm" TargetMode="Externa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93751/000009375121000540/stt-20210331.htm" TargetMode="External"/><Relationship Id="rId13" Type="http://schemas.openxmlformats.org/officeDocument/2006/relationships/hyperlink" Target="https://www.sec.gov/ix?doc=/Archives/edgar/data/93751/000009375121000540/stt-20210331.htm" TargetMode="External"/><Relationship Id="rId18" Type="http://schemas.openxmlformats.org/officeDocument/2006/relationships/hyperlink" Target="https://www.sec.gov/ix?doc=/Archives/edgar/data/93751/000009375121000540/stt-20210331.htm" TargetMode="External"/><Relationship Id="rId39" Type="http://schemas.openxmlformats.org/officeDocument/2006/relationships/hyperlink" Target="https://www.sec.gov/ix?doc=/Archives/edgar/data/93751/000009375121000540/stt-20210331.htm" TargetMode="External"/><Relationship Id="rId34" Type="http://schemas.openxmlformats.org/officeDocument/2006/relationships/hyperlink" Target="https://www.sec.gov/ix?doc=/Archives/edgar/data/93751/000009375121000540/stt-20210331.htm" TargetMode="External"/><Relationship Id="rId50" Type="http://schemas.openxmlformats.org/officeDocument/2006/relationships/hyperlink" Target="https://www.sec.gov/ix?doc=/Archives/edgar/data/93751/000009375121000540/stt-20210331.htm" TargetMode="External"/><Relationship Id="rId55" Type="http://schemas.openxmlformats.org/officeDocument/2006/relationships/hyperlink" Target="https://www.sec.gov/ix?doc=/Archives/edgar/data/93751/000009375121000540/stt-20210331.htm" TargetMode="External"/><Relationship Id="rId76" Type="http://schemas.openxmlformats.org/officeDocument/2006/relationships/hyperlink" Target="https://www.sec.gov/Archives/edgar/data/93751/000009375121000540/exhibit32-march312021.htm" TargetMode="External"/><Relationship Id="rId7" Type="http://schemas.openxmlformats.org/officeDocument/2006/relationships/hyperlink" Target="https://www.sec.gov/ix?doc=/Archives/edgar/data/93751/000009375121000540/stt-20210331.htm" TargetMode="External"/><Relationship Id="rId71" Type="http://schemas.openxmlformats.org/officeDocument/2006/relationships/hyperlink" Target="https://www.sec.gov/Archives/edgar/data/93751/000009375121000540/exhibit311-march312021.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1000540/stt-202103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60751</Words>
  <Characters>346281</Characters>
  <Application>Microsoft Office Word</Application>
  <DocSecurity>0</DocSecurity>
  <Lines>2885</Lines>
  <Paragraphs>812</Paragraphs>
  <ScaleCrop>false</ScaleCrop>
  <Company/>
  <LinksUpToDate>false</LinksUpToDate>
  <CharactersWithSpaces>406220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7979B1DA7660B482D2B4E763F6B53A5A</vt:lpwstr>
  </property>
</Properties>
</file>